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AB43F9" w:rsidRPr="004B76C7" w:rsidRDefault="00AB43F9" w:rsidP="003168C3">
      <w:pPr>
        <w:widowControl w:val="0"/>
        <w:spacing w:before="120"/>
        <w:jc w:val="center"/>
        <w:rPr>
          <w:rFonts w:ascii="mylotus" w:hAnsi="mylotus" w:cs="mylotus" w:hint="cs"/>
          <w:b/>
          <w:bCs/>
          <w:sz w:val="6"/>
          <w:szCs w:val="6"/>
          <w:rtl/>
          <w:lang w:bidi="fa-IR"/>
        </w:rPr>
      </w:pPr>
      <w:bookmarkStart w:id="0" w:name="_GoBack"/>
      <w:bookmarkEnd w:id="0"/>
    </w:p>
    <w:p w:rsidR="00255711" w:rsidRPr="00995B26" w:rsidRDefault="00255711" w:rsidP="007D1547">
      <w:pPr>
        <w:jc w:val="center"/>
        <w:rPr>
          <w:rFonts w:cs="KFGQPC Uthman Taha Naskh" w:hint="cs"/>
          <w:b/>
          <w:bCs/>
          <w:sz w:val="28"/>
          <w:rtl/>
          <w:lang w:bidi="fa-IR"/>
        </w:rPr>
      </w:pPr>
      <w:r w:rsidRPr="00995B26">
        <w:rPr>
          <w:rFonts w:cs="KFGQPC Uthman Taha Naskh" w:hint="cs"/>
          <w:b/>
          <w:bCs/>
          <w:sz w:val="28"/>
          <w:rtl/>
          <w:lang w:bidi="ar-SY"/>
        </w:rPr>
        <w:t>قال</w:t>
      </w:r>
      <w:r w:rsidR="00953581" w:rsidRPr="00995B26">
        <w:rPr>
          <w:rFonts w:cs="KFGQPC Uthman Taha Naskh" w:hint="cs"/>
          <w:b/>
          <w:bCs/>
          <w:sz w:val="28"/>
          <w:rtl/>
          <w:lang w:bidi="ar-SY"/>
        </w:rPr>
        <w:t xml:space="preserve"> </w:t>
      </w:r>
      <w:r w:rsidRPr="00995B26">
        <w:rPr>
          <w:rFonts w:cs="KFGQPC Uthman Taha Naskh" w:hint="cs"/>
          <w:b/>
          <w:bCs/>
          <w:sz w:val="28"/>
          <w:rtl/>
          <w:lang w:bidi="ar-SY"/>
        </w:rPr>
        <w:t>الصادق</w:t>
      </w:r>
      <w:r w:rsidR="00953581" w:rsidRPr="00995B26">
        <w:rPr>
          <w:rFonts w:cs="KFGQPC Uthman Taha Naskh" w:hint="cs"/>
          <w:b/>
          <w:bCs/>
          <w:sz w:val="28"/>
          <w:rtl/>
          <w:lang w:bidi="ar-SY"/>
        </w:rPr>
        <w:t xml:space="preserve"> </w:t>
      </w:r>
      <w:r w:rsidR="007D1547" w:rsidRPr="00995B26">
        <w:rPr>
          <w:rFonts w:cs="KFGQPC Uthman Taha Naskh" w:hint="cs"/>
          <w:sz w:val="28"/>
          <w:lang w:bidi="ar-SY"/>
        </w:rPr>
        <w:sym w:font="AGA Arabesque" w:char="F075"/>
      </w:r>
      <w:r w:rsidR="005C53D5" w:rsidRPr="00995B26">
        <w:rPr>
          <w:rFonts w:cs="KFGQPC Uthman Taha Naskh" w:hint="cs"/>
          <w:b/>
          <w:bCs/>
          <w:sz w:val="28"/>
          <w:rtl/>
          <w:lang w:bidi="ar-SY"/>
        </w:rPr>
        <w:t>:</w:t>
      </w:r>
      <w:r w:rsidR="00953581" w:rsidRPr="00995B26">
        <w:rPr>
          <w:rFonts w:cs="KFGQPC Uthman Taha Naskh" w:hint="cs"/>
          <w:b/>
          <w:bCs/>
          <w:sz w:val="28"/>
          <w:rtl/>
          <w:lang w:bidi="ar-SY"/>
        </w:rPr>
        <w:t xml:space="preserve"> </w:t>
      </w:r>
      <w:r w:rsidR="007D1547" w:rsidRPr="00995B26">
        <w:rPr>
          <w:rFonts w:ascii="Traditional Arabic" w:hAnsi="Traditional Arabic" w:cs="KFGQPC Uthman Taha Naskh"/>
          <w:b/>
          <w:bCs/>
          <w:sz w:val="28"/>
          <w:rtl/>
          <w:lang w:bidi="ar-SY"/>
        </w:rPr>
        <w:t>«</w:t>
      </w:r>
      <w:r w:rsidR="007D1547" w:rsidRPr="00995B26">
        <w:rPr>
          <w:rFonts w:cs="KFGQPC Uthman Taha Naskh"/>
          <w:b/>
          <w:bCs/>
          <w:sz w:val="28"/>
          <w:rtl/>
          <w:lang w:bidi="ar-SY"/>
        </w:rPr>
        <w:t>لَيْسَ الخُمُسُ إِلَّا فِي الْغَنَائِمِ خَاصَّةً</w:t>
      </w:r>
      <w:r w:rsidR="007D1547" w:rsidRPr="00995B26">
        <w:rPr>
          <w:rFonts w:ascii="Traditional Arabic" w:hAnsi="Traditional Arabic" w:cs="KFGQPC Uthman Taha Naskh"/>
          <w:b/>
          <w:bCs/>
          <w:sz w:val="28"/>
          <w:rtl/>
          <w:lang w:bidi="ar-SY"/>
        </w:rPr>
        <w:t>»</w:t>
      </w:r>
    </w:p>
    <w:p w:rsidR="00255711" w:rsidRDefault="00255711" w:rsidP="00822DEC">
      <w:pPr>
        <w:jc w:val="right"/>
        <w:rPr>
          <w:rFonts w:ascii="mylotus" w:hAnsi="mylotus" w:cs="mylotus" w:hint="cs"/>
          <w:szCs w:val="24"/>
          <w:rtl/>
          <w:lang w:bidi="ar-SY"/>
        </w:rPr>
      </w:pPr>
      <w:r w:rsidRPr="00995B26">
        <w:rPr>
          <w:rFonts w:ascii="mylotus" w:hAnsi="mylotus" w:cs="mylotus"/>
          <w:szCs w:val="24"/>
          <w:rtl/>
          <w:lang w:bidi="ar-SY"/>
        </w:rPr>
        <w:t>«من</w:t>
      </w:r>
      <w:r w:rsidR="00953581" w:rsidRPr="00995B26">
        <w:rPr>
          <w:rFonts w:ascii="mylotus" w:hAnsi="mylotus" w:cs="mylotus"/>
          <w:szCs w:val="24"/>
          <w:rtl/>
          <w:lang w:bidi="ar-SY"/>
        </w:rPr>
        <w:t xml:space="preserve"> </w:t>
      </w:r>
      <w:r w:rsidRPr="00995B26">
        <w:rPr>
          <w:rFonts w:ascii="mylotus" w:hAnsi="mylotus" w:cs="mylotus"/>
          <w:szCs w:val="24"/>
          <w:rtl/>
          <w:lang w:bidi="ar-SY"/>
        </w:rPr>
        <w:t>لا</w:t>
      </w:r>
      <w:r w:rsidR="00953581" w:rsidRPr="00995B26">
        <w:rPr>
          <w:rFonts w:ascii="mylotus" w:hAnsi="mylotus" w:cs="mylotus"/>
          <w:szCs w:val="24"/>
          <w:rtl/>
          <w:lang w:bidi="ar-SY"/>
        </w:rPr>
        <w:t xml:space="preserve"> </w:t>
      </w:r>
      <w:r w:rsidRPr="00995B26">
        <w:rPr>
          <w:rFonts w:ascii="mylotus" w:hAnsi="mylotus" w:cs="mylotus"/>
          <w:szCs w:val="24"/>
          <w:rtl/>
          <w:lang w:bidi="ar-SY"/>
        </w:rPr>
        <w:t>يحضره</w:t>
      </w:r>
      <w:r w:rsidR="00953581" w:rsidRPr="00995B26">
        <w:rPr>
          <w:rFonts w:ascii="mylotus" w:hAnsi="mylotus" w:cs="mylotus"/>
          <w:szCs w:val="24"/>
          <w:rtl/>
          <w:lang w:bidi="ar-SY"/>
        </w:rPr>
        <w:t xml:space="preserve"> </w:t>
      </w:r>
      <w:r w:rsidRPr="00995B26">
        <w:rPr>
          <w:rFonts w:ascii="mylotus" w:hAnsi="mylotus" w:cs="mylotus"/>
          <w:szCs w:val="24"/>
          <w:rtl/>
          <w:lang w:bidi="ar-SY"/>
        </w:rPr>
        <w:t>الفقيه»</w:t>
      </w:r>
    </w:p>
    <w:p w:rsidR="004B76C7" w:rsidRPr="00995B26" w:rsidRDefault="004B76C7" w:rsidP="00822DEC">
      <w:pPr>
        <w:jc w:val="right"/>
        <w:rPr>
          <w:rFonts w:ascii="mylotus" w:hAnsi="mylotus" w:cs="mylotus"/>
          <w:szCs w:val="24"/>
          <w:rtl/>
          <w:lang w:bidi="ar-SY"/>
        </w:rPr>
      </w:pPr>
    </w:p>
    <w:p w:rsidR="00EC7905" w:rsidRPr="0038508C" w:rsidRDefault="00953581" w:rsidP="001A5A8F">
      <w:pPr>
        <w:widowControl w:val="0"/>
        <w:jc w:val="center"/>
        <w:rPr>
          <w:rFonts w:cs="KFGQPC Uthman Taha Naskh" w:hint="cs"/>
          <w:b/>
          <w:bCs/>
          <w:sz w:val="98"/>
          <w:szCs w:val="98"/>
          <w:rtl/>
          <w:lang w:bidi="ar-SY"/>
        </w:rPr>
      </w:pPr>
      <w:r w:rsidRPr="0038508C">
        <w:rPr>
          <w:rFonts w:hint="cs"/>
          <w:sz w:val="18"/>
          <w:szCs w:val="18"/>
          <w:rtl/>
          <w:lang w:bidi="ar-SY"/>
        </w:rPr>
        <w:t xml:space="preserve"> </w:t>
      </w:r>
      <w:r w:rsidR="00EC7905" w:rsidRPr="0038508C">
        <w:rPr>
          <w:rFonts w:cs="KFGQPC Uthman Taha Naskh"/>
          <w:b/>
          <w:bCs/>
          <w:sz w:val="72"/>
          <w:szCs w:val="72"/>
          <w:rtl/>
          <w:lang w:bidi="ar-SY"/>
        </w:rPr>
        <w:t>بحث عميق في</w:t>
      </w:r>
      <w:r w:rsidR="00EC7905" w:rsidRPr="0038508C">
        <w:rPr>
          <w:rFonts w:cs="KFGQPC Uthman Taha Naskh"/>
          <w:b/>
          <w:bCs/>
          <w:sz w:val="98"/>
          <w:szCs w:val="98"/>
          <w:rtl/>
          <w:lang w:bidi="ar-SY"/>
        </w:rPr>
        <w:t xml:space="preserve"> </w:t>
      </w:r>
      <w:r w:rsidR="00EC7905" w:rsidRPr="0038508C">
        <w:rPr>
          <w:rFonts w:cs="KFGQPC Uthman Taha Naskh" w:hint="cs"/>
          <w:b/>
          <w:bCs/>
          <w:sz w:val="98"/>
          <w:szCs w:val="98"/>
          <w:rtl/>
          <w:lang w:bidi="ar-SY"/>
        </w:rPr>
        <w:br/>
      </w:r>
      <w:r w:rsidR="00EC7905" w:rsidRPr="0038508C">
        <w:rPr>
          <w:rFonts w:cs="KFGQPC Uthman Taha Naskh"/>
          <w:b/>
          <w:bCs/>
          <w:sz w:val="98"/>
          <w:szCs w:val="98"/>
          <w:rtl/>
          <w:lang w:bidi="ar-SY"/>
        </w:rPr>
        <w:t>مسـألة الخُمْـس</w:t>
      </w:r>
    </w:p>
    <w:p w:rsidR="00255711" w:rsidRPr="0038508C" w:rsidRDefault="0038508C" w:rsidP="001A5A8F">
      <w:pPr>
        <w:widowControl w:val="0"/>
        <w:jc w:val="center"/>
        <w:rPr>
          <w:rFonts w:cs="KFGQPC Uthman Taha Naskh" w:hint="cs"/>
          <w:b/>
          <w:bCs/>
          <w:sz w:val="56"/>
          <w:szCs w:val="56"/>
          <w:rtl/>
          <w:lang w:bidi="ar-SY"/>
        </w:rPr>
      </w:pPr>
      <w:r>
        <w:rPr>
          <w:rFonts w:cs="KFGQPC Uthman Taha Naskh" w:hint="cs"/>
          <w:b/>
          <w:bCs/>
          <w:sz w:val="56"/>
          <w:szCs w:val="56"/>
          <w:rtl/>
          <w:lang w:bidi="ar-SY"/>
        </w:rPr>
        <w:t>في الكتاب والسن</w:t>
      </w:r>
      <w:r w:rsidR="00822DEC" w:rsidRPr="0038508C">
        <w:rPr>
          <w:rFonts w:cs="KFGQPC Uthman Taha Naskh" w:hint="cs"/>
          <w:b/>
          <w:bCs/>
          <w:sz w:val="56"/>
          <w:szCs w:val="56"/>
          <w:rtl/>
          <w:lang w:bidi="ar-SY"/>
        </w:rPr>
        <w:t>ة</w:t>
      </w:r>
    </w:p>
    <w:p w:rsidR="00255711" w:rsidRPr="00995B26" w:rsidRDefault="00255711" w:rsidP="001A5A8F">
      <w:pPr>
        <w:jc w:val="lowKashida"/>
        <w:rPr>
          <w:rFonts w:hint="cs"/>
          <w:sz w:val="28"/>
          <w:rtl/>
          <w:lang w:bidi="ar-SY"/>
        </w:rPr>
      </w:pPr>
    </w:p>
    <w:p w:rsidR="00255711" w:rsidRPr="00995B26" w:rsidRDefault="00255711" w:rsidP="001A5A8F">
      <w:pPr>
        <w:jc w:val="lowKashida"/>
        <w:rPr>
          <w:rFonts w:hint="cs"/>
          <w:sz w:val="28"/>
          <w:rtl/>
          <w:lang w:bidi="ar-SY"/>
        </w:rPr>
      </w:pPr>
    </w:p>
    <w:p w:rsidR="00255711" w:rsidRPr="0038508C" w:rsidRDefault="00255711" w:rsidP="001A5A8F">
      <w:pPr>
        <w:widowControl w:val="0"/>
        <w:jc w:val="center"/>
        <w:rPr>
          <w:rFonts w:ascii="mylotus" w:hAnsi="mylotus" w:cs="mylotus"/>
          <w:b/>
          <w:bCs/>
          <w:sz w:val="32"/>
          <w:szCs w:val="32"/>
          <w:rtl/>
          <w:lang w:bidi="ar-SY"/>
        </w:rPr>
      </w:pPr>
      <w:r w:rsidRPr="0038508C">
        <w:rPr>
          <w:rFonts w:ascii="mylotus" w:hAnsi="mylotus" w:cs="mylotus"/>
          <w:b/>
          <w:bCs/>
          <w:sz w:val="32"/>
          <w:szCs w:val="32"/>
          <w:rtl/>
          <w:lang w:bidi="ar-SY"/>
        </w:rPr>
        <w:t>تأليف</w:t>
      </w:r>
      <w:r w:rsidR="00953581" w:rsidRPr="0038508C">
        <w:rPr>
          <w:rFonts w:ascii="mylotus" w:hAnsi="mylotus" w:cs="mylotus"/>
          <w:b/>
          <w:bCs/>
          <w:sz w:val="32"/>
          <w:szCs w:val="32"/>
          <w:rtl/>
          <w:lang w:bidi="ar-SY"/>
        </w:rPr>
        <w:t xml:space="preserve"> </w:t>
      </w:r>
      <w:r w:rsidRPr="0038508C">
        <w:rPr>
          <w:rFonts w:ascii="mylotus" w:hAnsi="mylotus" w:cs="mylotus"/>
          <w:b/>
          <w:bCs/>
          <w:sz w:val="32"/>
          <w:szCs w:val="32"/>
          <w:rtl/>
          <w:lang w:bidi="ar-SY"/>
        </w:rPr>
        <w:t>الأستاذ</w:t>
      </w:r>
      <w:r w:rsidR="005C53D5" w:rsidRPr="0038508C">
        <w:rPr>
          <w:rFonts w:ascii="mylotus" w:hAnsi="mylotus" w:cs="mylotus"/>
          <w:b/>
          <w:bCs/>
          <w:sz w:val="32"/>
          <w:szCs w:val="32"/>
          <w:rtl/>
          <w:lang w:bidi="ar-SY"/>
        </w:rPr>
        <w:t>:</w:t>
      </w:r>
    </w:p>
    <w:p w:rsidR="00255711" w:rsidRPr="004E3323" w:rsidRDefault="00255711" w:rsidP="001A5A8F">
      <w:pPr>
        <w:widowControl w:val="0"/>
        <w:jc w:val="center"/>
        <w:rPr>
          <w:rFonts w:ascii="mylotus" w:hAnsi="mylotus" w:cs="mylotus"/>
          <w:b/>
          <w:bCs/>
          <w:sz w:val="40"/>
          <w:szCs w:val="40"/>
          <w:rtl/>
          <w:lang w:bidi="ar-SY"/>
        </w:rPr>
      </w:pPr>
      <w:r w:rsidRPr="004E3323">
        <w:rPr>
          <w:rFonts w:ascii="mylotus" w:hAnsi="mylotus" w:cs="mylotus"/>
          <w:b/>
          <w:bCs/>
          <w:sz w:val="40"/>
          <w:szCs w:val="40"/>
          <w:rtl/>
          <w:lang w:bidi="ar-SY"/>
        </w:rPr>
        <w:t>حيدر</w:t>
      </w:r>
      <w:r w:rsidR="00953581" w:rsidRPr="004E3323">
        <w:rPr>
          <w:rFonts w:ascii="mylotus" w:hAnsi="mylotus" w:cs="mylotus"/>
          <w:b/>
          <w:bCs/>
          <w:sz w:val="40"/>
          <w:szCs w:val="40"/>
          <w:rtl/>
          <w:lang w:bidi="ar-SY"/>
        </w:rPr>
        <w:t xml:space="preserve"> </w:t>
      </w:r>
      <w:r w:rsidRPr="004E3323">
        <w:rPr>
          <w:rFonts w:ascii="mylotus" w:hAnsi="mylotus" w:cs="mylotus"/>
          <w:b/>
          <w:bCs/>
          <w:sz w:val="40"/>
          <w:szCs w:val="40"/>
          <w:rtl/>
          <w:lang w:bidi="ar-SY"/>
        </w:rPr>
        <w:t>علي</w:t>
      </w:r>
      <w:r w:rsidR="00953581" w:rsidRPr="004E3323">
        <w:rPr>
          <w:rFonts w:ascii="mylotus" w:hAnsi="mylotus" w:cs="mylotus"/>
          <w:b/>
          <w:bCs/>
          <w:sz w:val="40"/>
          <w:szCs w:val="40"/>
          <w:rtl/>
          <w:lang w:bidi="ar-SY"/>
        </w:rPr>
        <w:t xml:space="preserve"> </w:t>
      </w:r>
      <w:r w:rsidRPr="004E3323">
        <w:rPr>
          <w:rFonts w:ascii="mylotus" w:hAnsi="mylotus" w:cs="mylotus"/>
          <w:b/>
          <w:bCs/>
          <w:sz w:val="40"/>
          <w:szCs w:val="40"/>
          <w:rtl/>
          <w:lang w:bidi="ar-SY"/>
        </w:rPr>
        <w:t>قلمداران</w:t>
      </w:r>
      <w:r w:rsidR="00953581" w:rsidRPr="004E3323">
        <w:rPr>
          <w:rFonts w:ascii="mylotus" w:hAnsi="mylotus" w:cs="mylotus"/>
          <w:b/>
          <w:bCs/>
          <w:sz w:val="40"/>
          <w:szCs w:val="40"/>
          <w:rtl/>
          <w:lang w:bidi="ar-SY"/>
        </w:rPr>
        <w:t xml:space="preserve"> </w:t>
      </w:r>
      <w:r w:rsidR="00645136">
        <w:rPr>
          <w:rFonts w:ascii="mylotus" w:hAnsi="mylotus" w:cs="mylotus"/>
          <w:b/>
          <w:bCs/>
          <w:sz w:val="40"/>
          <w:szCs w:val="40"/>
          <w:rtl/>
          <w:lang w:bidi="ar-SY"/>
        </w:rPr>
        <w:t>القُم</w:t>
      </w:r>
      <w:r w:rsidR="00645136">
        <w:rPr>
          <w:rFonts w:ascii="mylotus" w:hAnsi="mylotus" w:cs="mylotus" w:hint="cs"/>
          <w:b/>
          <w:bCs/>
          <w:sz w:val="40"/>
          <w:szCs w:val="40"/>
          <w:rtl/>
          <w:lang w:bidi="ar-SY"/>
        </w:rPr>
        <w:t>ِّ</w:t>
      </w:r>
      <w:r w:rsidR="004E3323">
        <w:rPr>
          <w:rFonts w:ascii="mylotus" w:hAnsi="mylotus" w:cs="mylotus"/>
          <w:b/>
          <w:bCs/>
          <w:sz w:val="40"/>
          <w:szCs w:val="40"/>
          <w:rtl/>
          <w:lang w:bidi="ar-SY"/>
        </w:rPr>
        <w:t>ي</w:t>
      </w:r>
    </w:p>
    <w:p w:rsidR="00255711" w:rsidRPr="004B76C7" w:rsidRDefault="005C53D5" w:rsidP="001A5A8F">
      <w:pPr>
        <w:widowControl w:val="0"/>
        <w:jc w:val="center"/>
        <w:rPr>
          <w:rFonts w:ascii="mylotus" w:hAnsi="mylotus" w:cs="mylotus"/>
          <w:b/>
          <w:bCs/>
          <w:szCs w:val="24"/>
          <w:rtl/>
          <w:lang w:bidi="ar-SY"/>
        </w:rPr>
      </w:pPr>
      <w:r w:rsidRPr="004B76C7">
        <w:rPr>
          <w:rFonts w:ascii="mylotus" w:hAnsi="mylotus" w:cs="mylotus"/>
          <w:b/>
          <w:bCs/>
          <w:szCs w:val="24"/>
          <w:rtl/>
          <w:lang w:bidi="ar-SY"/>
        </w:rPr>
        <w:t>(</w:t>
      </w:r>
      <w:r w:rsidR="00255711" w:rsidRPr="004B76C7">
        <w:rPr>
          <w:rFonts w:ascii="mylotus" w:hAnsi="mylotus" w:cs="mylotus"/>
          <w:b/>
          <w:bCs/>
          <w:szCs w:val="24"/>
          <w:rtl/>
          <w:lang w:bidi="ar-SY"/>
        </w:rPr>
        <w:t>1332</w:t>
      </w:r>
      <w:r w:rsidRPr="004B76C7">
        <w:rPr>
          <w:rFonts w:ascii="mylotus" w:hAnsi="mylotus" w:cs="mylotus"/>
          <w:b/>
          <w:bCs/>
          <w:szCs w:val="24"/>
          <w:rtl/>
          <w:lang w:bidi="ar-SY"/>
        </w:rPr>
        <w:t>-</w:t>
      </w:r>
      <w:r w:rsidR="00255711" w:rsidRPr="004B76C7">
        <w:rPr>
          <w:rFonts w:ascii="mylotus" w:hAnsi="mylotus" w:cs="mylotus"/>
          <w:b/>
          <w:bCs/>
          <w:szCs w:val="24"/>
          <w:rtl/>
          <w:lang w:bidi="ar-SY"/>
        </w:rPr>
        <w:t>1411هـ</w:t>
      </w:r>
      <w:r w:rsidR="00953581" w:rsidRPr="004B76C7">
        <w:rPr>
          <w:rFonts w:ascii="mylotus" w:hAnsi="mylotus" w:cs="mylotus"/>
          <w:b/>
          <w:bCs/>
          <w:szCs w:val="24"/>
          <w:rtl/>
          <w:lang w:bidi="ar-SY"/>
        </w:rPr>
        <w:t xml:space="preserve"> </w:t>
      </w:r>
      <w:r w:rsidR="00255711" w:rsidRPr="004B76C7">
        <w:rPr>
          <w:rFonts w:ascii="mylotus" w:hAnsi="mylotus" w:cs="mylotus"/>
          <w:b/>
          <w:bCs/>
          <w:szCs w:val="24"/>
          <w:rtl/>
          <w:lang w:bidi="ar-SY"/>
        </w:rPr>
        <w:t>=</w:t>
      </w:r>
      <w:r w:rsidR="00953581" w:rsidRPr="004B76C7">
        <w:rPr>
          <w:rFonts w:ascii="mylotus" w:hAnsi="mylotus" w:cs="mylotus"/>
          <w:b/>
          <w:bCs/>
          <w:szCs w:val="24"/>
          <w:rtl/>
          <w:lang w:bidi="ar-SY"/>
        </w:rPr>
        <w:t xml:space="preserve"> </w:t>
      </w:r>
      <w:r w:rsidR="00255711" w:rsidRPr="004B76C7">
        <w:rPr>
          <w:rFonts w:ascii="mylotus" w:hAnsi="mylotus" w:cs="mylotus"/>
          <w:b/>
          <w:bCs/>
          <w:szCs w:val="24"/>
          <w:rtl/>
          <w:lang w:bidi="ar-SY"/>
        </w:rPr>
        <w:t>1913</w:t>
      </w:r>
      <w:r w:rsidR="00953581" w:rsidRPr="004B76C7">
        <w:rPr>
          <w:rFonts w:ascii="mylotus" w:hAnsi="mylotus" w:cs="mylotus"/>
          <w:b/>
          <w:bCs/>
          <w:szCs w:val="24"/>
          <w:rtl/>
          <w:lang w:bidi="ar-SY"/>
        </w:rPr>
        <w:t xml:space="preserve"> </w:t>
      </w:r>
      <w:r w:rsidR="00255711" w:rsidRPr="004B76C7">
        <w:rPr>
          <w:rFonts w:cs="Times New Roman" w:hint="cs"/>
          <w:b/>
          <w:bCs/>
          <w:szCs w:val="24"/>
          <w:rtl/>
          <w:lang w:bidi="ar-SY"/>
        </w:rPr>
        <w:t>–</w:t>
      </w:r>
      <w:r w:rsidR="00953581" w:rsidRPr="004B76C7">
        <w:rPr>
          <w:rFonts w:ascii="mylotus" w:hAnsi="mylotus" w:cs="mylotus"/>
          <w:b/>
          <w:bCs/>
          <w:szCs w:val="24"/>
          <w:rtl/>
          <w:lang w:bidi="ar-SY"/>
        </w:rPr>
        <w:t xml:space="preserve"> </w:t>
      </w:r>
      <w:r w:rsidR="00255711" w:rsidRPr="004B76C7">
        <w:rPr>
          <w:rFonts w:ascii="mylotus" w:hAnsi="mylotus" w:cs="mylotus"/>
          <w:b/>
          <w:bCs/>
          <w:szCs w:val="24"/>
          <w:rtl/>
          <w:lang w:bidi="ar-SY"/>
        </w:rPr>
        <w:t>1989م</w:t>
      </w:r>
      <w:r w:rsidRPr="004B76C7">
        <w:rPr>
          <w:rFonts w:ascii="mylotus" w:hAnsi="mylotus" w:cs="mylotus"/>
          <w:b/>
          <w:bCs/>
          <w:szCs w:val="24"/>
          <w:rtl/>
          <w:lang w:bidi="ar-SY"/>
        </w:rPr>
        <w:t>)</w:t>
      </w:r>
    </w:p>
    <w:p w:rsidR="00255711" w:rsidRPr="0038508C" w:rsidRDefault="00255711" w:rsidP="001A5A8F">
      <w:pPr>
        <w:jc w:val="center"/>
        <w:rPr>
          <w:rFonts w:ascii="mylotus" w:hAnsi="mylotus" w:cs="mylotus"/>
          <w:sz w:val="32"/>
          <w:szCs w:val="32"/>
          <w:rtl/>
          <w:lang w:bidi="ar-SY"/>
        </w:rPr>
      </w:pPr>
    </w:p>
    <w:p w:rsidR="00255711" w:rsidRPr="0038508C" w:rsidRDefault="00255711" w:rsidP="001A5A8F">
      <w:pPr>
        <w:widowControl w:val="0"/>
        <w:jc w:val="center"/>
        <w:rPr>
          <w:rFonts w:ascii="mylotus" w:hAnsi="mylotus" w:cs="mylotus"/>
          <w:b/>
          <w:bCs/>
          <w:sz w:val="32"/>
          <w:szCs w:val="32"/>
          <w:rtl/>
          <w:lang w:bidi="ar-SY"/>
        </w:rPr>
      </w:pPr>
      <w:r w:rsidRPr="0038508C">
        <w:rPr>
          <w:rFonts w:ascii="mylotus" w:hAnsi="mylotus" w:cs="mylotus"/>
          <w:b/>
          <w:bCs/>
          <w:sz w:val="32"/>
          <w:szCs w:val="32"/>
          <w:rtl/>
          <w:lang w:bidi="ar-SY"/>
        </w:rPr>
        <w:t>ترجمه</w:t>
      </w:r>
      <w:r w:rsidR="00953581" w:rsidRPr="0038508C">
        <w:rPr>
          <w:rFonts w:ascii="mylotus" w:hAnsi="mylotus" w:cs="mylotus"/>
          <w:b/>
          <w:bCs/>
          <w:sz w:val="32"/>
          <w:szCs w:val="32"/>
          <w:rtl/>
          <w:lang w:bidi="ar-SY"/>
        </w:rPr>
        <w:t xml:space="preserve"> </w:t>
      </w:r>
      <w:r w:rsidRPr="0038508C">
        <w:rPr>
          <w:rFonts w:ascii="mylotus" w:hAnsi="mylotus" w:cs="mylotus"/>
          <w:b/>
          <w:bCs/>
          <w:sz w:val="32"/>
          <w:szCs w:val="32"/>
          <w:rtl/>
          <w:lang w:bidi="ar-SY"/>
        </w:rPr>
        <w:t>إلى</w:t>
      </w:r>
      <w:r w:rsidR="00953581" w:rsidRPr="0038508C">
        <w:rPr>
          <w:rFonts w:ascii="mylotus" w:hAnsi="mylotus" w:cs="mylotus"/>
          <w:b/>
          <w:bCs/>
          <w:sz w:val="32"/>
          <w:szCs w:val="32"/>
          <w:rtl/>
          <w:lang w:bidi="ar-SY"/>
        </w:rPr>
        <w:t xml:space="preserve"> </w:t>
      </w:r>
      <w:r w:rsidRPr="0038508C">
        <w:rPr>
          <w:rFonts w:ascii="mylotus" w:hAnsi="mylotus" w:cs="mylotus"/>
          <w:b/>
          <w:bCs/>
          <w:sz w:val="32"/>
          <w:szCs w:val="32"/>
          <w:rtl/>
          <w:lang w:bidi="ar-SY"/>
        </w:rPr>
        <w:t>العربية</w:t>
      </w:r>
      <w:r w:rsidR="00953581" w:rsidRPr="0038508C">
        <w:rPr>
          <w:rFonts w:ascii="mylotus" w:hAnsi="mylotus" w:cs="mylotus"/>
          <w:b/>
          <w:bCs/>
          <w:sz w:val="32"/>
          <w:szCs w:val="32"/>
          <w:rtl/>
          <w:lang w:bidi="ar-SY"/>
        </w:rPr>
        <w:t xml:space="preserve"> </w:t>
      </w:r>
      <w:r w:rsidRPr="0038508C">
        <w:rPr>
          <w:rFonts w:ascii="mylotus" w:hAnsi="mylotus" w:cs="mylotus"/>
          <w:b/>
          <w:bCs/>
          <w:sz w:val="32"/>
          <w:szCs w:val="32"/>
          <w:rtl/>
          <w:lang w:bidi="ar-SY"/>
        </w:rPr>
        <w:t>وقدَّم</w:t>
      </w:r>
      <w:r w:rsidR="00953581" w:rsidRPr="0038508C">
        <w:rPr>
          <w:rFonts w:ascii="mylotus" w:hAnsi="mylotus" w:cs="mylotus"/>
          <w:b/>
          <w:bCs/>
          <w:sz w:val="32"/>
          <w:szCs w:val="32"/>
          <w:rtl/>
          <w:lang w:bidi="ar-SY"/>
        </w:rPr>
        <w:t xml:space="preserve"> </w:t>
      </w:r>
      <w:r w:rsidRPr="0038508C">
        <w:rPr>
          <w:rFonts w:ascii="mylotus" w:hAnsi="mylotus" w:cs="mylotus"/>
          <w:b/>
          <w:bCs/>
          <w:sz w:val="32"/>
          <w:szCs w:val="32"/>
          <w:rtl/>
          <w:lang w:bidi="ar-SY"/>
        </w:rPr>
        <w:t>له</w:t>
      </w:r>
      <w:r w:rsidR="00953581" w:rsidRPr="0038508C">
        <w:rPr>
          <w:rFonts w:ascii="mylotus" w:hAnsi="mylotus" w:cs="mylotus"/>
          <w:b/>
          <w:bCs/>
          <w:sz w:val="32"/>
          <w:szCs w:val="32"/>
          <w:rtl/>
          <w:lang w:bidi="ar-SY"/>
        </w:rPr>
        <w:t xml:space="preserve"> </w:t>
      </w:r>
      <w:r w:rsidRPr="0038508C">
        <w:rPr>
          <w:rFonts w:ascii="mylotus" w:hAnsi="mylotus" w:cs="mylotus"/>
          <w:b/>
          <w:bCs/>
          <w:sz w:val="32"/>
          <w:szCs w:val="32"/>
          <w:rtl/>
          <w:lang w:bidi="ar-SY"/>
        </w:rPr>
        <w:t>وعلَّق</w:t>
      </w:r>
      <w:r w:rsidR="00953581" w:rsidRPr="0038508C">
        <w:rPr>
          <w:rFonts w:ascii="mylotus" w:hAnsi="mylotus" w:cs="mylotus"/>
          <w:b/>
          <w:bCs/>
          <w:sz w:val="32"/>
          <w:szCs w:val="32"/>
          <w:rtl/>
          <w:lang w:bidi="ar-SY"/>
        </w:rPr>
        <w:t xml:space="preserve"> </w:t>
      </w:r>
      <w:r w:rsidRPr="0038508C">
        <w:rPr>
          <w:rFonts w:ascii="mylotus" w:hAnsi="mylotus" w:cs="mylotus"/>
          <w:b/>
          <w:bCs/>
          <w:sz w:val="32"/>
          <w:szCs w:val="32"/>
          <w:rtl/>
          <w:lang w:bidi="ar-SY"/>
        </w:rPr>
        <w:t>حواشيه</w:t>
      </w:r>
      <w:r w:rsidR="001357A3">
        <w:rPr>
          <w:rFonts w:ascii="mylotus" w:hAnsi="mylotus" w:cs="mylotus" w:hint="cs"/>
          <w:b/>
          <w:bCs/>
          <w:sz w:val="32"/>
          <w:szCs w:val="32"/>
          <w:rtl/>
          <w:lang w:bidi="ar-SY"/>
        </w:rPr>
        <w:t>:</w:t>
      </w:r>
    </w:p>
    <w:p w:rsidR="00255711" w:rsidRPr="00995B26" w:rsidRDefault="00255711" w:rsidP="001A5A8F">
      <w:pPr>
        <w:widowControl w:val="0"/>
        <w:jc w:val="center"/>
        <w:rPr>
          <w:rFonts w:cs="Traditional Arabic" w:hint="cs"/>
          <w:b/>
          <w:bCs/>
          <w:sz w:val="44"/>
          <w:szCs w:val="44"/>
          <w:rtl/>
          <w:lang w:bidi="ar-SY"/>
        </w:rPr>
      </w:pPr>
      <w:r w:rsidRPr="0038508C">
        <w:rPr>
          <w:rFonts w:ascii="mylotus" w:hAnsi="mylotus" w:cs="mylotus"/>
          <w:b/>
          <w:bCs/>
          <w:sz w:val="32"/>
          <w:szCs w:val="32"/>
          <w:rtl/>
          <w:lang w:bidi="ar-SY"/>
        </w:rPr>
        <w:t>سـعد</w:t>
      </w:r>
      <w:r w:rsidR="00953581" w:rsidRPr="0038508C">
        <w:rPr>
          <w:rFonts w:ascii="mylotus" w:hAnsi="mylotus" w:cs="mylotus"/>
          <w:b/>
          <w:bCs/>
          <w:sz w:val="32"/>
          <w:szCs w:val="32"/>
          <w:rtl/>
          <w:lang w:bidi="ar-SY"/>
        </w:rPr>
        <w:t xml:space="preserve"> </w:t>
      </w:r>
      <w:r w:rsidRPr="0038508C">
        <w:rPr>
          <w:rFonts w:ascii="mylotus" w:hAnsi="mylotus" w:cs="mylotus"/>
          <w:b/>
          <w:bCs/>
          <w:sz w:val="32"/>
          <w:szCs w:val="32"/>
          <w:rtl/>
          <w:lang w:bidi="ar-SY"/>
        </w:rPr>
        <w:t>رسـتم</w:t>
      </w:r>
    </w:p>
    <w:p w:rsidR="0038508C" w:rsidRPr="0038508C" w:rsidRDefault="005C664D" w:rsidP="0038508C">
      <w:pPr>
        <w:pStyle w:val="10"/>
        <w:spacing w:before="0" w:after="60" w:line="228" w:lineRule="auto"/>
        <w:rPr>
          <w:rFonts w:cs="mylotus" w:hint="cs"/>
          <w:color w:val="0000FF"/>
          <w:sz w:val="36"/>
          <w:szCs w:val="27"/>
          <w:rtl/>
          <w:lang w:eastAsia="ar-SA"/>
        </w:rPr>
      </w:pPr>
      <w:r w:rsidRPr="00995B26">
        <w:rPr>
          <w:sz w:val="28"/>
          <w:rtl/>
          <w:lang w:bidi="ar-SY"/>
        </w:rPr>
        <w:br w:type="page"/>
      </w:r>
    </w:p>
    <w:p w:rsidR="0038508C" w:rsidRPr="0038508C" w:rsidRDefault="0038508C" w:rsidP="0038508C">
      <w:pPr>
        <w:widowControl w:val="0"/>
        <w:spacing w:after="60" w:line="228" w:lineRule="auto"/>
        <w:jc w:val="center"/>
        <w:rPr>
          <w:rFonts w:cs="mylotus" w:hint="cs"/>
          <w:b/>
          <w:bCs/>
          <w:color w:val="0000FF"/>
          <w:sz w:val="36"/>
          <w:szCs w:val="27"/>
          <w:rtl/>
          <w:lang w:eastAsia="ar-SA"/>
        </w:rPr>
      </w:pPr>
    </w:p>
    <w:p w:rsidR="0038508C" w:rsidRPr="0038508C" w:rsidRDefault="0038508C" w:rsidP="0038508C">
      <w:pPr>
        <w:widowControl w:val="0"/>
        <w:spacing w:after="60" w:line="228" w:lineRule="auto"/>
        <w:jc w:val="center"/>
        <w:rPr>
          <w:rFonts w:cs="mylotus" w:hint="cs"/>
          <w:b/>
          <w:bCs/>
          <w:color w:val="0000FF"/>
          <w:sz w:val="36"/>
          <w:szCs w:val="27"/>
          <w:rtl/>
          <w:lang w:eastAsia="ar-SA"/>
        </w:rPr>
      </w:pPr>
    </w:p>
    <w:p w:rsidR="0038508C" w:rsidRPr="0038508C" w:rsidRDefault="0038508C" w:rsidP="0038508C">
      <w:pPr>
        <w:widowControl w:val="0"/>
        <w:spacing w:after="60" w:line="228" w:lineRule="auto"/>
        <w:jc w:val="center"/>
        <w:rPr>
          <w:rFonts w:cs="mylotus" w:hint="cs"/>
          <w:b/>
          <w:bCs/>
          <w:color w:val="0000FF"/>
          <w:sz w:val="36"/>
          <w:szCs w:val="27"/>
          <w:rtl/>
          <w:lang w:eastAsia="ar-SA"/>
        </w:rPr>
      </w:pPr>
    </w:p>
    <w:p w:rsidR="0038508C" w:rsidRPr="00FC3403" w:rsidRDefault="00FC3403" w:rsidP="00FC3403">
      <w:pPr>
        <w:widowControl w:val="0"/>
        <w:tabs>
          <w:tab w:val="left" w:pos="2638"/>
        </w:tabs>
        <w:spacing w:after="60" w:line="228" w:lineRule="auto"/>
        <w:rPr>
          <w:rFonts w:cs="mylotus" w:hint="cs"/>
          <w:b/>
          <w:bCs/>
          <w:color w:val="0000FF"/>
          <w:sz w:val="22"/>
          <w:szCs w:val="13"/>
          <w:rtl/>
          <w:lang w:eastAsia="ar-SA"/>
        </w:rPr>
      </w:pPr>
      <w:r>
        <w:rPr>
          <w:rFonts w:cs="mylotus"/>
          <w:b/>
          <w:bCs/>
          <w:color w:val="0000FF"/>
          <w:sz w:val="36"/>
          <w:szCs w:val="27"/>
          <w:rtl/>
          <w:lang w:eastAsia="ar-SA"/>
        </w:rPr>
        <w:tab/>
      </w:r>
    </w:p>
    <w:p w:rsidR="0038508C" w:rsidRPr="0038508C" w:rsidRDefault="0038508C" w:rsidP="0038508C">
      <w:pPr>
        <w:widowControl w:val="0"/>
        <w:spacing w:after="60" w:line="228" w:lineRule="auto"/>
        <w:jc w:val="center"/>
        <w:rPr>
          <w:rFonts w:cs="mylotus" w:hint="cs"/>
          <w:b/>
          <w:bCs/>
          <w:color w:val="0000FF"/>
          <w:sz w:val="36"/>
          <w:szCs w:val="27"/>
          <w:rtl/>
          <w:lang w:eastAsia="ar-SA"/>
        </w:rPr>
      </w:pPr>
    </w:p>
    <w:p w:rsidR="0038508C" w:rsidRPr="0038508C" w:rsidRDefault="0038508C" w:rsidP="0038508C">
      <w:pPr>
        <w:widowControl w:val="0"/>
        <w:spacing w:after="60" w:line="228" w:lineRule="auto"/>
        <w:jc w:val="center"/>
        <w:rPr>
          <w:rFonts w:cs="mylotus" w:hint="cs"/>
          <w:b/>
          <w:bCs/>
          <w:color w:val="0000FF"/>
          <w:szCs w:val="15"/>
          <w:rtl/>
          <w:lang w:eastAsia="ar-SA"/>
        </w:rPr>
      </w:pPr>
    </w:p>
    <w:p w:rsidR="0038508C" w:rsidRPr="0038508C" w:rsidRDefault="0038508C" w:rsidP="0038508C">
      <w:pPr>
        <w:widowControl w:val="0"/>
        <w:spacing w:after="60" w:line="228" w:lineRule="auto"/>
        <w:jc w:val="center"/>
        <w:rPr>
          <w:rFonts w:cs="mylotus" w:hint="cs"/>
          <w:b/>
          <w:bCs/>
          <w:color w:val="0000FF"/>
          <w:sz w:val="36"/>
          <w:szCs w:val="27"/>
          <w:rtl/>
          <w:lang w:eastAsia="ar-SA"/>
        </w:rPr>
      </w:pPr>
    </w:p>
    <w:p w:rsidR="0038508C" w:rsidRPr="0038508C" w:rsidRDefault="0038508C" w:rsidP="0038508C">
      <w:pPr>
        <w:widowControl w:val="0"/>
        <w:shd w:val="clear" w:color="auto" w:fill="FFFFFF"/>
        <w:tabs>
          <w:tab w:val="right" w:leader="dot" w:pos="5138"/>
        </w:tabs>
        <w:spacing w:line="228" w:lineRule="auto"/>
        <w:ind w:left="998"/>
        <w:rPr>
          <w:rFonts w:cs="KFGQPC Uthman Taha Naskh"/>
          <w:b/>
          <w:bCs/>
          <w:sz w:val="40"/>
          <w:szCs w:val="40"/>
          <w:rtl/>
        </w:rPr>
      </w:pPr>
      <w:r w:rsidRPr="0038508C">
        <w:rPr>
          <w:rFonts w:cs="KFGQPC Uthman Taha Naskh"/>
          <w:b/>
          <w:bCs/>
          <w:sz w:val="40"/>
          <w:szCs w:val="40"/>
          <w:rtl/>
        </w:rPr>
        <w:t>بطاقة الكتاب</w:t>
      </w:r>
    </w:p>
    <w:p w:rsidR="0038508C" w:rsidRPr="0038508C" w:rsidRDefault="00261222" w:rsidP="0038508C">
      <w:pPr>
        <w:widowControl w:val="0"/>
        <w:shd w:val="clear" w:color="auto" w:fill="FFFFFF"/>
        <w:tabs>
          <w:tab w:val="right" w:leader="dot" w:pos="5138"/>
        </w:tabs>
        <w:spacing w:line="228" w:lineRule="auto"/>
        <w:ind w:left="998"/>
        <w:rPr>
          <w:rFonts w:cs="Times New Roman"/>
          <w:szCs w:val="24"/>
          <w:rtl/>
        </w:rPr>
      </w:pPr>
      <w:r>
        <w:rPr>
          <w:rFonts w:cs="Traditional Arabic"/>
          <w:noProof/>
          <w:sz w:val="32"/>
          <w:szCs w:val="36"/>
        </w:rPr>
        <mc:AlternateContent>
          <mc:Choice Requires="wps">
            <w:drawing>
              <wp:anchor distT="4294967295" distB="4294967295" distL="114300" distR="114300" simplePos="0" relativeHeight="251657728" behindDoc="0" locked="0" layoutInCell="1" allowOverlap="1">
                <wp:simplePos x="0" y="0"/>
                <wp:positionH relativeFrom="column">
                  <wp:posOffset>2407285</wp:posOffset>
                </wp:positionH>
                <wp:positionV relativeFrom="paragraph">
                  <wp:posOffset>98424</wp:posOffset>
                </wp:positionV>
                <wp:extent cx="2171700" cy="0"/>
                <wp:effectExtent l="0" t="0" r="19050" b="19050"/>
                <wp:wrapNone/>
                <wp:docPr id="100" name="Straight Connector 10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1717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00" o:spid="_x0000_s1026" style="position:absolute;flip:x;z-index:2516577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89.55pt,7.75pt" to="360.55pt,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" strokeweight="1.5pt"/>
            </w:pict>
          </mc:Fallback>
        </mc:AlternateContent>
      </w:r>
    </w:p>
    <w:tbl>
      <w:tblPr>
        <w:bidiVisual/>
        <w:tblW w:w="0" w:type="auto"/>
        <w:tblInd w:w="160" w:type="dxa"/>
        <w:tblBorders>
          <w:insideH w:val="single" w:sz="4" w:space="0" w:color="auto"/>
        </w:tblBorders>
        <w:tblLook w:val="01E0" w:firstRow="1" w:lastRow="1" w:firstColumn="1" w:lastColumn="1" w:noHBand="0" w:noVBand="0"/>
      </w:tblPr>
      <w:tblGrid>
        <w:gridCol w:w="3067"/>
        <w:gridCol w:w="283"/>
        <w:gridCol w:w="3794"/>
      </w:tblGrid>
      <w:tr w:rsidR="0038508C" w:rsidRPr="0038508C" w:rsidTr="005A4321">
        <w:tc>
          <w:tcPr>
            <w:tcW w:w="3067" w:type="dxa"/>
            <w:tcBorders>
              <w:bottom w:val="single" w:sz="4" w:space="0" w:color="auto"/>
            </w:tcBorders>
            <w:vAlign w:val="center"/>
            <w:hideMark/>
          </w:tcPr>
          <w:p w:rsidR="0038508C" w:rsidRPr="0038508C" w:rsidRDefault="0038508C" w:rsidP="0038508C">
            <w:pPr>
              <w:widowControl w:val="0"/>
              <w:shd w:val="clear" w:color="auto" w:fill="FFFFFF"/>
              <w:tabs>
                <w:tab w:val="right" w:leader="dot" w:pos="5138"/>
              </w:tabs>
              <w:spacing w:line="228" w:lineRule="auto"/>
              <w:rPr>
                <w:rFonts w:cs="KFGQPC Uthman Taha Naskh"/>
                <w:b/>
                <w:bCs/>
                <w:sz w:val="32"/>
              </w:rPr>
            </w:pPr>
            <w:r w:rsidRPr="0038508C">
              <w:rPr>
                <w:rFonts w:cs="KFGQPC Uthman Taha Naskh"/>
                <w:b/>
                <w:bCs/>
                <w:sz w:val="32"/>
                <w:rtl/>
              </w:rPr>
              <w:t>عنوان الكتاب بالفارسية:</w:t>
            </w:r>
          </w:p>
        </w:tc>
        <w:tc>
          <w:tcPr>
            <w:tcW w:w="283" w:type="dxa"/>
            <w:tcBorders>
              <w:bottom w:val="single" w:sz="4" w:space="0" w:color="auto"/>
            </w:tcBorders>
            <w:tcMar>
              <w:top w:w="0" w:type="dxa"/>
              <w:left w:w="0" w:type="dxa"/>
              <w:bottom w:w="0" w:type="dxa"/>
              <w:right w:w="0" w:type="dxa"/>
            </w:tcMar>
          </w:tcPr>
          <w:p w:rsidR="0038508C" w:rsidRPr="0038508C" w:rsidRDefault="0038508C" w:rsidP="0038508C">
            <w:pPr>
              <w:widowControl w:val="0"/>
              <w:shd w:val="clear" w:color="auto" w:fill="FFFFFF"/>
              <w:tabs>
                <w:tab w:val="right" w:leader="dot" w:pos="5138"/>
              </w:tabs>
              <w:spacing w:line="228" w:lineRule="auto"/>
              <w:rPr>
                <w:rFonts w:cs="Times New Roman"/>
                <w:b/>
                <w:bCs/>
                <w:szCs w:val="24"/>
              </w:rPr>
            </w:pPr>
          </w:p>
        </w:tc>
        <w:tc>
          <w:tcPr>
            <w:tcW w:w="3794" w:type="dxa"/>
            <w:tcBorders>
              <w:bottom w:val="single" w:sz="4" w:space="0" w:color="auto"/>
            </w:tcBorders>
            <w:hideMark/>
          </w:tcPr>
          <w:p w:rsidR="001357A3" w:rsidRPr="001357A3" w:rsidRDefault="001357A3" w:rsidP="001357A3">
            <w:pPr>
              <w:widowControl w:val="0"/>
              <w:shd w:val="clear" w:color="auto" w:fill="FFFFFF"/>
              <w:tabs>
                <w:tab w:val="right" w:leader="dot" w:pos="5138"/>
              </w:tabs>
              <w:spacing w:line="228" w:lineRule="auto"/>
              <w:rPr>
                <w:rFonts w:cs="KFGQPC Uthman Taha Naskh"/>
                <w:b/>
                <w:bCs/>
                <w:sz w:val="28"/>
                <w:rtl/>
              </w:rPr>
            </w:pPr>
            <w:r w:rsidRPr="001357A3">
              <w:rPr>
                <w:rFonts w:cs="KFGQPC Uthman Taha Naskh"/>
                <w:b/>
                <w:bCs/>
                <w:sz w:val="28"/>
                <w:rtl/>
              </w:rPr>
              <w:t>پژوهش</w:t>
            </w:r>
            <w:r w:rsidRPr="001357A3">
              <w:rPr>
                <w:rFonts w:cs="KFGQPC Uthman Taha Naskh" w:hint="cs"/>
                <w:b/>
                <w:bCs/>
                <w:sz w:val="28"/>
                <w:rtl/>
              </w:rPr>
              <w:t>ی</w:t>
            </w:r>
            <w:r w:rsidRPr="001357A3">
              <w:rPr>
                <w:rFonts w:cs="KFGQPC Uthman Taha Naskh"/>
                <w:b/>
                <w:bCs/>
                <w:sz w:val="28"/>
                <w:rtl/>
              </w:rPr>
              <w:t xml:space="preserve"> بن</w:t>
            </w:r>
            <w:r w:rsidRPr="001357A3">
              <w:rPr>
                <w:rFonts w:cs="KFGQPC Uthman Taha Naskh" w:hint="cs"/>
                <w:b/>
                <w:bCs/>
                <w:sz w:val="28"/>
                <w:rtl/>
              </w:rPr>
              <w:t>ی</w:t>
            </w:r>
            <w:r w:rsidRPr="001357A3">
              <w:rPr>
                <w:rFonts w:cs="KFGQPC Uthman Taha Naskh" w:hint="eastAsia"/>
                <w:b/>
                <w:bCs/>
                <w:sz w:val="28"/>
                <w:rtl/>
              </w:rPr>
              <w:t>اد</w:t>
            </w:r>
            <w:r w:rsidRPr="001357A3">
              <w:rPr>
                <w:rFonts w:cs="KFGQPC Uthman Taha Naskh" w:hint="cs"/>
                <w:b/>
                <w:bCs/>
                <w:sz w:val="28"/>
                <w:rtl/>
              </w:rPr>
              <w:t>ی</w:t>
            </w:r>
            <w:r w:rsidRPr="001357A3">
              <w:rPr>
                <w:rFonts w:cs="KFGQPC Uthman Taha Naskh" w:hint="eastAsia"/>
                <w:b/>
                <w:bCs/>
                <w:sz w:val="28"/>
                <w:rtl/>
              </w:rPr>
              <w:t>ن</w:t>
            </w:r>
            <w:r w:rsidRPr="001357A3">
              <w:rPr>
                <w:rFonts w:cs="KFGQPC Uthman Taha Naskh"/>
                <w:b/>
                <w:bCs/>
                <w:sz w:val="28"/>
                <w:rtl/>
              </w:rPr>
              <w:t xml:space="preserve"> پ</w:t>
            </w:r>
            <w:r w:rsidRPr="001357A3">
              <w:rPr>
                <w:rFonts w:cs="KFGQPC Uthman Taha Naskh" w:hint="cs"/>
                <w:b/>
                <w:bCs/>
                <w:sz w:val="28"/>
                <w:rtl/>
              </w:rPr>
              <w:t>ی</w:t>
            </w:r>
            <w:r w:rsidRPr="001357A3">
              <w:rPr>
                <w:rFonts w:cs="KFGQPC Uthman Taha Naskh" w:hint="eastAsia"/>
                <w:b/>
                <w:bCs/>
                <w:sz w:val="28"/>
                <w:rtl/>
              </w:rPr>
              <w:t>رامون</w:t>
            </w:r>
            <w:r w:rsidRPr="001357A3">
              <w:rPr>
                <w:rFonts w:cs="KFGQPC Uthman Taha Naskh"/>
                <w:b/>
                <w:bCs/>
                <w:sz w:val="28"/>
                <w:rtl/>
              </w:rPr>
              <w:t xml:space="preserve"> خمس</w:t>
            </w:r>
          </w:p>
          <w:p w:rsidR="0038508C" w:rsidRPr="0038508C" w:rsidRDefault="001357A3" w:rsidP="001357A3">
            <w:pPr>
              <w:widowControl w:val="0"/>
              <w:shd w:val="clear" w:color="auto" w:fill="FFFFFF"/>
              <w:tabs>
                <w:tab w:val="right" w:leader="dot" w:pos="5138"/>
              </w:tabs>
              <w:spacing w:line="228" w:lineRule="auto"/>
              <w:rPr>
                <w:rFonts w:cs="KFGQPC Uthman Taha Naskh"/>
                <w:b/>
                <w:bCs/>
                <w:sz w:val="28"/>
              </w:rPr>
            </w:pPr>
            <w:r w:rsidRPr="001357A3">
              <w:rPr>
                <w:rFonts w:cs="KFGQPC Uthman Taha Naskh" w:hint="eastAsia"/>
                <w:b/>
                <w:bCs/>
                <w:sz w:val="28"/>
                <w:rtl/>
              </w:rPr>
              <w:t>از</w:t>
            </w:r>
            <w:r w:rsidRPr="001357A3">
              <w:rPr>
                <w:rFonts w:cs="KFGQPC Uthman Taha Naskh"/>
                <w:b/>
                <w:bCs/>
                <w:sz w:val="28"/>
                <w:rtl/>
              </w:rPr>
              <w:t xml:space="preserve"> د</w:t>
            </w:r>
            <w:r w:rsidRPr="001357A3">
              <w:rPr>
                <w:rFonts w:cs="KFGQPC Uthman Taha Naskh" w:hint="cs"/>
                <w:b/>
                <w:bCs/>
                <w:sz w:val="28"/>
                <w:rtl/>
              </w:rPr>
              <w:t>ی</w:t>
            </w:r>
            <w:r w:rsidRPr="001357A3">
              <w:rPr>
                <w:rFonts w:cs="KFGQPC Uthman Taha Naskh" w:hint="eastAsia"/>
                <w:b/>
                <w:bCs/>
                <w:sz w:val="28"/>
                <w:rtl/>
              </w:rPr>
              <w:t>دگاه</w:t>
            </w:r>
            <w:r w:rsidRPr="001357A3">
              <w:rPr>
                <w:rFonts w:cs="KFGQPC Uthman Taha Naskh"/>
                <w:b/>
                <w:bCs/>
                <w:sz w:val="28"/>
                <w:rtl/>
              </w:rPr>
              <w:t xml:space="preserve"> قرآن، سنّت و فتوا</w:t>
            </w:r>
          </w:p>
        </w:tc>
      </w:tr>
      <w:tr w:rsidR="0038508C" w:rsidRPr="0038508C" w:rsidTr="001357A3">
        <w:tc>
          <w:tcPr>
            <w:tcW w:w="3067" w:type="dxa"/>
            <w:tcBorders>
              <w:top w:val="single" w:sz="4" w:space="0" w:color="auto"/>
              <w:bottom w:val="single" w:sz="4" w:space="0" w:color="auto"/>
            </w:tcBorders>
            <w:vAlign w:val="center"/>
            <w:hideMark/>
          </w:tcPr>
          <w:p w:rsidR="0038508C" w:rsidRPr="0038508C" w:rsidRDefault="0038508C" w:rsidP="0038508C">
            <w:pPr>
              <w:widowControl w:val="0"/>
              <w:shd w:val="clear" w:color="auto" w:fill="FFFFFF"/>
              <w:tabs>
                <w:tab w:val="right" w:leader="dot" w:pos="5138"/>
              </w:tabs>
              <w:spacing w:line="228" w:lineRule="auto"/>
              <w:rPr>
                <w:rFonts w:cs="KFGQPC Uthman Taha Naskh"/>
                <w:b/>
                <w:bCs/>
                <w:sz w:val="32"/>
              </w:rPr>
            </w:pPr>
            <w:r w:rsidRPr="0038508C">
              <w:rPr>
                <w:rFonts w:cs="KFGQPC Uthman Taha Naskh"/>
                <w:b/>
                <w:bCs/>
                <w:sz w:val="32"/>
                <w:rtl/>
              </w:rPr>
              <w:t>عنوان ترجمة الكتاب إلى العربية:</w:t>
            </w:r>
          </w:p>
        </w:tc>
        <w:tc>
          <w:tcPr>
            <w:tcW w:w="283" w:type="dxa"/>
            <w:tcBorders>
              <w:top w:val="single" w:sz="4" w:space="0" w:color="auto"/>
              <w:bottom w:val="single" w:sz="4" w:space="0" w:color="auto"/>
            </w:tcBorders>
            <w:tcMar>
              <w:top w:w="0" w:type="dxa"/>
              <w:left w:w="0" w:type="dxa"/>
              <w:bottom w:w="0" w:type="dxa"/>
              <w:right w:w="0" w:type="dxa"/>
            </w:tcMar>
          </w:tcPr>
          <w:p w:rsidR="0038508C" w:rsidRPr="0038508C" w:rsidRDefault="0038508C" w:rsidP="0038508C">
            <w:pPr>
              <w:widowControl w:val="0"/>
              <w:shd w:val="clear" w:color="auto" w:fill="FFFFFF"/>
              <w:tabs>
                <w:tab w:val="right" w:leader="dot" w:pos="5138"/>
              </w:tabs>
              <w:spacing w:line="228" w:lineRule="auto"/>
              <w:rPr>
                <w:rFonts w:cs="Times New Roman"/>
                <w:b/>
                <w:bCs/>
                <w:szCs w:val="24"/>
              </w:rPr>
            </w:pPr>
          </w:p>
        </w:tc>
        <w:tc>
          <w:tcPr>
            <w:tcW w:w="3794" w:type="dxa"/>
            <w:tcBorders>
              <w:top w:val="single" w:sz="4" w:space="0" w:color="auto"/>
              <w:bottom w:val="single" w:sz="4" w:space="0" w:color="auto"/>
            </w:tcBorders>
            <w:hideMark/>
          </w:tcPr>
          <w:p w:rsidR="001357A3" w:rsidRPr="004E3323" w:rsidRDefault="001357A3" w:rsidP="001357A3">
            <w:pPr>
              <w:widowControl w:val="0"/>
              <w:shd w:val="clear" w:color="auto" w:fill="FFFFFF"/>
              <w:tabs>
                <w:tab w:val="right" w:leader="dot" w:pos="5138"/>
              </w:tabs>
              <w:spacing w:line="228" w:lineRule="auto"/>
              <w:rPr>
                <w:rFonts w:cs="KFGQPC Uthman Taha Naskh"/>
                <w:b/>
                <w:bCs/>
                <w:sz w:val="28"/>
                <w:rtl/>
              </w:rPr>
            </w:pPr>
            <w:r w:rsidRPr="004E3323">
              <w:rPr>
                <w:rFonts w:cs="KFGQPC Uthman Taha Naskh" w:hint="cs"/>
                <w:b/>
                <w:bCs/>
                <w:sz w:val="28"/>
                <w:rtl/>
              </w:rPr>
              <w:t>بحث</w:t>
            </w:r>
            <w:r w:rsidRPr="004E3323">
              <w:rPr>
                <w:rFonts w:cs="KFGQPC Uthman Taha Naskh"/>
                <w:b/>
                <w:bCs/>
                <w:sz w:val="28"/>
                <w:rtl/>
              </w:rPr>
              <w:t xml:space="preserve"> </w:t>
            </w:r>
            <w:r w:rsidRPr="004E3323">
              <w:rPr>
                <w:rFonts w:cs="KFGQPC Uthman Taha Naskh" w:hint="cs"/>
                <w:b/>
                <w:bCs/>
                <w:sz w:val="28"/>
                <w:rtl/>
              </w:rPr>
              <w:t>عميق</w:t>
            </w:r>
            <w:r w:rsidRPr="004E3323">
              <w:rPr>
                <w:rFonts w:cs="KFGQPC Uthman Taha Naskh"/>
                <w:b/>
                <w:bCs/>
                <w:sz w:val="28"/>
                <w:rtl/>
              </w:rPr>
              <w:t xml:space="preserve"> </w:t>
            </w:r>
            <w:r w:rsidRPr="004E3323">
              <w:rPr>
                <w:rFonts w:cs="KFGQPC Uthman Taha Naskh" w:hint="cs"/>
                <w:b/>
                <w:bCs/>
                <w:sz w:val="28"/>
                <w:rtl/>
              </w:rPr>
              <w:t>في</w:t>
            </w:r>
            <w:r w:rsidRPr="004E3323">
              <w:rPr>
                <w:rFonts w:cs="KFGQPC Uthman Taha Naskh"/>
                <w:b/>
                <w:bCs/>
                <w:sz w:val="28"/>
                <w:rtl/>
              </w:rPr>
              <w:t xml:space="preserve"> </w:t>
            </w:r>
            <w:r w:rsidRPr="004E3323">
              <w:rPr>
                <w:rFonts w:cs="KFGQPC Uthman Taha Naskh" w:hint="cs"/>
                <w:b/>
                <w:bCs/>
                <w:sz w:val="28"/>
                <w:rtl/>
              </w:rPr>
              <w:t>مسـألة</w:t>
            </w:r>
            <w:r w:rsidRPr="004E3323">
              <w:rPr>
                <w:rFonts w:cs="KFGQPC Uthman Taha Naskh"/>
                <w:b/>
                <w:bCs/>
                <w:sz w:val="28"/>
                <w:rtl/>
              </w:rPr>
              <w:t xml:space="preserve"> </w:t>
            </w:r>
            <w:r w:rsidRPr="004E3323">
              <w:rPr>
                <w:rFonts w:cs="KFGQPC Uthman Taha Naskh" w:hint="cs"/>
                <w:b/>
                <w:bCs/>
                <w:sz w:val="28"/>
                <w:rtl/>
              </w:rPr>
              <w:t>الخُمْـس</w:t>
            </w:r>
          </w:p>
          <w:p w:rsidR="0038508C" w:rsidRPr="0038508C" w:rsidRDefault="001357A3" w:rsidP="001357A3">
            <w:pPr>
              <w:widowControl w:val="0"/>
              <w:shd w:val="clear" w:color="auto" w:fill="FFFFFF"/>
              <w:tabs>
                <w:tab w:val="right" w:leader="dot" w:pos="5138"/>
              </w:tabs>
              <w:spacing w:line="228" w:lineRule="auto"/>
              <w:rPr>
                <w:rFonts w:cs="KFGQPC Uthman Taha Naskh"/>
                <w:b/>
                <w:bCs/>
                <w:sz w:val="28"/>
              </w:rPr>
            </w:pPr>
            <w:r w:rsidRPr="004E3323">
              <w:rPr>
                <w:rFonts w:cs="KFGQPC Uthman Taha Naskh" w:hint="cs"/>
                <w:b/>
                <w:bCs/>
                <w:sz w:val="28"/>
                <w:rtl/>
              </w:rPr>
              <w:t>في</w:t>
            </w:r>
            <w:r w:rsidRPr="004E3323">
              <w:rPr>
                <w:rFonts w:cs="KFGQPC Uthman Taha Naskh"/>
                <w:b/>
                <w:bCs/>
                <w:sz w:val="28"/>
                <w:rtl/>
              </w:rPr>
              <w:t xml:space="preserve"> </w:t>
            </w:r>
            <w:r w:rsidRPr="004E3323">
              <w:rPr>
                <w:rFonts w:cs="KFGQPC Uthman Taha Naskh" w:hint="cs"/>
                <w:b/>
                <w:bCs/>
                <w:sz w:val="28"/>
                <w:rtl/>
              </w:rPr>
              <w:t>الكتاب</w:t>
            </w:r>
            <w:r w:rsidRPr="004E3323">
              <w:rPr>
                <w:rFonts w:cs="KFGQPC Uthman Taha Naskh"/>
                <w:b/>
                <w:bCs/>
                <w:sz w:val="28"/>
                <w:rtl/>
              </w:rPr>
              <w:t xml:space="preserve"> </w:t>
            </w:r>
            <w:r w:rsidRPr="004E3323">
              <w:rPr>
                <w:rFonts w:cs="KFGQPC Uthman Taha Naskh" w:hint="cs"/>
                <w:b/>
                <w:bCs/>
                <w:sz w:val="28"/>
                <w:rtl/>
              </w:rPr>
              <w:t>والسنة</w:t>
            </w:r>
          </w:p>
        </w:tc>
      </w:tr>
      <w:tr w:rsidR="001357A3" w:rsidRPr="00AF50ED" w:rsidTr="001357A3">
        <w:tc>
          <w:tcPr>
            <w:tcW w:w="3067" w:type="dxa"/>
            <w:tcBorders>
              <w:top w:val="single" w:sz="4" w:space="0" w:color="auto"/>
              <w:bottom w:val="single" w:sz="4" w:space="0" w:color="auto"/>
              <w:right w:val="nil"/>
            </w:tcBorders>
            <w:vAlign w:val="center"/>
            <w:hideMark/>
          </w:tcPr>
          <w:p w:rsidR="001357A3" w:rsidRPr="00AF50ED" w:rsidRDefault="001357A3" w:rsidP="003108CB">
            <w:pPr>
              <w:widowControl w:val="0"/>
              <w:shd w:val="clear" w:color="auto" w:fill="FFFFFF"/>
              <w:tabs>
                <w:tab w:val="right" w:leader="dot" w:pos="5138"/>
              </w:tabs>
              <w:spacing w:line="228" w:lineRule="auto"/>
              <w:rPr>
                <w:rFonts w:cs="KFGQPC Uthman Taha Naskh" w:hint="cs"/>
                <w:b/>
                <w:bCs/>
                <w:sz w:val="32"/>
                <w:rtl/>
              </w:rPr>
            </w:pPr>
            <w:r w:rsidRPr="00AF50ED">
              <w:rPr>
                <w:rFonts w:cs="KFGQPC Uthman Taha Naskh" w:hint="cs"/>
                <w:b/>
                <w:bCs/>
                <w:sz w:val="32"/>
                <w:rtl/>
              </w:rPr>
              <w:t>نقله</w:t>
            </w:r>
            <w:r w:rsidRPr="00AF50ED">
              <w:rPr>
                <w:rFonts w:cs="KFGQPC Uthman Taha Naskh"/>
                <w:b/>
                <w:bCs/>
                <w:sz w:val="32"/>
                <w:rtl/>
              </w:rPr>
              <w:t xml:space="preserve"> </w:t>
            </w:r>
            <w:r w:rsidRPr="00AF50ED">
              <w:rPr>
                <w:rFonts w:cs="KFGQPC Uthman Taha Naskh" w:hint="cs"/>
                <w:b/>
                <w:bCs/>
                <w:sz w:val="32"/>
                <w:rtl/>
              </w:rPr>
              <w:t>إلى</w:t>
            </w:r>
            <w:r w:rsidRPr="00AF50ED">
              <w:rPr>
                <w:rFonts w:cs="KFGQPC Uthman Taha Naskh"/>
                <w:b/>
                <w:bCs/>
                <w:sz w:val="32"/>
                <w:rtl/>
              </w:rPr>
              <w:t xml:space="preserve"> </w:t>
            </w:r>
            <w:r w:rsidRPr="00AF50ED">
              <w:rPr>
                <w:rFonts w:cs="KFGQPC Uthman Taha Naskh" w:hint="cs"/>
                <w:b/>
                <w:bCs/>
                <w:sz w:val="32"/>
                <w:rtl/>
              </w:rPr>
              <w:t>العربية</w:t>
            </w:r>
            <w:r w:rsidRPr="00AF50ED">
              <w:rPr>
                <w:rFonts w:cs="KFGQPC Uthman Taha Naskh"/>
                <w:b/>
                <w:bCs/>
                <w:sz w:val="32"/>
                <w:rtl/>
              </w:rPr>
              <w:t xml:space="preserve"> </w:t>
            </w:r>
            <w:r w:rsidRPr="00AF50ED">
              <w:rPr>
                <w:rFonts w:cs="KFGQPC Uthman Taha Naskh" w:hint="cs"/>
                <w:b/>
                <w:bCs/>
                <w:sz w:val="32"/>
                <w:rtl/>
              </w:rPr>
              <w:t>وعلَّق</w:t>
            </w:r>
            <w:r w:rsidRPr="00AF50ED">
              <w:rPr>
                <w:rFonts w:cs="KFGQPC Uthman Taha Naskh"/>
                <w:b/>
                <w:bCs/>
                <w:sz w:val="32"/>
                <w:rtl/>
              </w:rPr>
              <w:t xml:space="preserve"> </w:t>
            </w:r>
            <w:r w:rsidRPr="00AF50ED">
              <w:rPr>
                <w:rFonts w:cs="KFGQPC Uthman Taha Naskh" w:hint="cs"/>
                <w:b/>
                <w:bCs/>
                <w:sz w:val="32"/>
                <w:rtl/>
              </w:rPr>
              <w:t>حواشيه</w:t>
            </w:r>
            <w:r>
              <w:rPr>
                <w:rFonts w:cs="KFGQPC Uthman Taha Naskh" w:hint="cs"/>
                <w:b/>
                <w:bCs/>
                <w:sz w:val="32"/>
                <w:rtl/>
              </w:rPr>
              <w:t>:</w:t>
            </w:r>
          </w:p>
        </w:tc>
        <w:tc>
          <w:tcPr>
            <w:tcW w:w="283" w:type="dxa"/>
            <w:tcBorders>
              <w:top w:val="single" w:sz="4" w:space="0" w:color="auto"/>
              <w:left w:val="nil"/>
              <w:bottom w:val="single" w:sz="4" w:space="0" w:color="auto"/>
              <w:right w:val="nil"/>
            </w:tcBorders>
            <w:tcMar>
              <w:top w:w="0" w:type="dxa"/>
              <w:left w:w="0" w:type="dxa"/>
              <w:bottom w:w="0" w:type="dxa"/>
              <w:right w:w="0" w:type="dxa"/>
            </w:tcMar>
          </w:tcPr>
          <w:p w:rsidR="001357A3" w:rsidRPr="00AF50ED" w:rsidRDefault="001357A3" w:rsidP="003108CB">
            <w:pPr>
              <w:widowControl w:val="0"/>
              <w:shd w:val="clear" w:color="auto" w:fill="FFFFFF"/>
              <w:tabs>
                <w:tab w:val="right" w:leader="dot" w:pos="5138"/>
              </w:tabs>
              <w:spacing w:line="228" w:lineRule="auto"/>
              <w:rPr>
                <w:rFonts w:cs="Times New Roman"/>
                <w:b/>
                <w:bCs/>
                <w:szCs w:val="24"/>
              </w:rPr>
            </w:pPr>
          </w:p>
        </w:tc>
        <w:tc>
          <w:tcPr>
            <w:tcW w:w="3794" w:type="dxa"/>
            <w:tcBorders>
              <w:top w:val="single" w:sz="4" w:space="0" w:color="auto"/>
              <w:left w:val="nil"/>
              <w:bottom w:val="single" w:sz="4" w:space="0" w:color="auto"/>
            </w:tcBorders>
            <w:hideMark/>
          </w:tcPr>
          <w:p w:rsidR="001357A3" w:rsidRPr="00AF50ED" w:rsidRDefault="001357A3" w:rsidP="003108CB">
            <w:pPr>
              <w:widowControl w:val="0"/>
              <w:shd w:val="clear" w:color="auto" w:fill="FFFFFF"/>
              <w:tabs>
                <w:tab w:val="right" w:leader="dot" w:pos="5138"/>
              </w:tabs>
              <w:spacing w:line="228" w:lineRule="auto"/>
              <w:rPr>
                <w:rFonts w:cs="KFGQPC Uthman Taha Naskh" w:hint="cs"/>
                <w:b/>
                <w:bCs/>
                <w:sz w:val="28"/>
                <w:rtl/>
              </w:rPr>
            </w:pPr>
            <w:r w:rsidRPr="00AF50ED">
              <w:rPr>
                <w:rFonts w:cs="KFGQPC Uthman Taha Naskh" w:hint="cs"/>
                <w:b/>
                <w:bCs/>
                <w:sz w:val="28"/>
                <w:rtl/>
              </w:rPr>
              <w:t>د</w:t>
            </w:r>
            <w:r w:rsidRPr="00AF50ED">
              <w:rPr>
                <w:rFonts w:cs="KFGQPC Uthman Taha Naskh"/>
                <w:b/>
                <w:bCs/>
                <w:sz w:val="28"/>
                <w:rtl/>
              </w:rPr>
              <w:t xml:space="preserve">. </w:t>
            </w:r>
            <w:r w:rsidRPr="00AF50ED">
              <w:rPr>
                <w:rFonts w:cs="KFGQPC Uthman Taha Naskh" w:hint="cs"/>
                <w:b/>
                <w:bCs/>
                <w:sz w:val="28"/>
                <w:rtl/>
              </w:rPr>
              <w:t>سعد</w:t>
            </w:r>
            <w:r w:rsidRPr="00AF50ED">
              <w:rPr>
                <w:rFonts w:cs="KFGQPC Uthman Taha Naskh"/>
                <w:b/>
                <w:bCs/>
                <w:sz w:val="28"/>
                <w:rtl/>
              </w:rPr>
              <w:t xml:space="preserve"> </w:t>
            </w:r>
            <w:r w:rsidRPr="00AF50ED">
              <w:rPr>
                <w:rFonts w:cs="KFGQPC Uthman Taha Naskh" w:hint="cs"/>
                <w:b/>
                <w:bCs/>
                <w:sz w:val="28"/>
                <w:rtl/>
              </w:rPr>
              <w:t>رستم</w:t>
            </w:r>
          </w:p>
        </w:tc>
      </w:tr>
      <w:tr w:rsidR="0038508C" w:rsidRPr="0038508C" w:rsidTr="001357A3">
        <w:tc>
          <w:tcPr>
            <w:tcW w:w="3067" w:type="dxa"/>
            <w:tcBorders>
              <w:top w:val="single" w:sz="4" w:space="0" w:color="auto"/>
            </w:tcBorders>
            <w:hideMark/>
          </w:tcPr>
          <w:p w:rsidR="0038508C" w:rsidRPr="0038508C" w:rsidRDefault="0038508C" w:rsidP="0038508C">
            <w:pPr>
              <w:widowControl w:val="0"/>
              <w:shd w:val="clear" w:color="auto" w:fill="FFFFFF"/>
              <w:tabs>
                <w:tab w:val="right" w:leader="dot" w:pos="5138"/>
              </w:tabs>
              <w:spacing w:line="228" w:lineRule="auto"/>
              <w:rPr>
                <w:rFonts w:cs="KFGQPC Uthman Taha Naskh"/>
                <w:b/>
                <w:bCs/>
                <w:sz w:val="32"/>
              </w:rPr>
            </w:pPr>
            <w:r w:rsidRPr="0038508C">
              <w:rPr>
                <w:rFonts w:cs="KFGQPC Uthman Taha Naskh"/>
                <w:b/>
                <w:bCs/>
                <w:sz w:val="32"/>
                <w:rtl/>
              </w:rPr>
              <w:t xml:space="preserve">تأليف: </w:t>
            </w:r>
          </w:p>
        </w:tc>
        <w:tc>
          <w:tcPr>
            <w:tcW w:w="283" w:type="dxa"/>
            <w:tcBorders>
              <w:top w:val="single" w:sz="4" w:space="0" w:color="auto"/>
            </w:tcBorders>
          </w:tcPr>
          <w:p w:rsidR="0038508C" w:rsidRPr="0038508C" w:rsidRDefault="0038508C" w:rsidP="0038508C">
            <w:pPr>
              <w:widowControl w:val="0"/>
              <w:shd w:val="clear" w:color="auto" w:fill="FFFFFF"/>
              <w:tabs>
                <w:tab w:val="right" w:leader="dot" w:pos="5138"/>
              </w:tabs>
              <w:spacing w:line="228" w:lineRule="auto"/>
              <w:rPr>
                <w:rFonts w:cs="Times New Roman"/>
                <w:b/>
                <w:bCs/>
                <w:szCs w:val="24"/>
              </w:rPr>
            </w:pPr>
          </w:p>
        </w:tc>
        <w:tc>
          <w:tcPr>
            <w:tcW w:w="3794" w:type="dxa"/>
            <w:tcBorders>
              <w:top w:val="single" w:sz="4" w:space="0" w:color="auto"/>
            </w:tcBorders>
            <w:hideMark/>
          </w:tcPr>
          <w:p w:rsidR="001357A3" w:rsidRPr="001357A3" w:rsidRDefault="001357A3" w:rsidP="001357A3">
            <w:pPr>
              <w:widowControl w:val="0"/>
              <w:shd w:val="clear" w:color="auto" w:fill="FFFFFF"/>
              <w:tabs>
                <w:tab w:val="right" w:leader="dot" w:pos="5138"/>
              </w:tabs>
              <w:spacing w:line="228" w:lineRule="auto"/>
              <w:rPr>
                <w:rFonts w:cs="KFGQPC Uthman Taha Naskh"/>
                <w:b/>
                <w:bCs/>
                <w:sz w:val="28"/>
                <w:rtl/>
              </w:rPr>
            </w:pPr>
            <w:r w:rsidRPr="001357A3">
              <w:rPr>
                <w:rFonts w:cs="KFGQPC Uthman Taha Naskh" w:hint="cs"/>
                <w:b/>
                <w:bCs/>
                <w:sz w:val="28"/>
                <w:rtl/>
              </w:rPr>
              <w:t>أستاذ حيدرعلي قلمداران القُم</w:t>
            </w:r>
            <w:r w:rsidR="0019759F">
              <w:rPr>
                <w:rFonts w:cs="KFGQPC Uthman Taha Naskh" w:hint="cs"/>
                <w:b/>
                <w:bCs/>
                <w:sz w:val="28"/>
                <w:rtl/>
              </w:rPr>
              <w:t>ِّ</w:t>
            </w:r>
            <w:r w:rsidRPr="001357A3">
              <w:rPr>
                <w:rFonts w:cs="KFGQPC Uthman Taha Naskh" w:hint="cs"/>
                <w:b/>
                <w:bCs/>
                <w:sz w:val="28"/>
                <w:rtl/>
              </w:rPr>
              <w:t xml:space="preserve">ي </w:t>
            </w:r>
          </w:p>
          <w:p w:rsidR="001357A3" w:rsidRPr="001357A3" w:rsidRDefault="001357A3" w:rsidP="001357A3">
            <w:pPr>
              <w:widowControl w:val="0"/>
              <w:shd w:val="clear" w:color="auto" w:fill="FFFFFF"/>
              <w:tabs>
                <w:tab w:val="right" w:leader="dot" w:pos="5138"/>
              </w:tabs>
              <w:spacing w:line="228" w:lineRule="auto"/>
              <w:rPr>
                <w:rFonts w:cs="KFGQPC Uthman Taha Naskh"/>
                <w:b/>
                <w:bCs/>
                <w:szCs w:val="24"/>
                <w:rtl/>
              </w:rPr>
            </w:pPr>
            <w:r w:rsidRPr="001357A3">
              <w:rPr>
                <w:rFonts w:cs="KFGQPC Uthman Taha Naskh"/>
                <w:b/>
                <w:bCs/>
                <w:szCs w:val="24"/>
                <w:rtl/>
              </w:rPr>
              <w:t xml:space="preserve">(1292 </w:t>
            </w:r>
            <w:r w:rsidRPr="001357A3">
              <w:rPr>
                <w:rFonts w:cs="Times New Roman" w:hint="cs"/>
                <w:b/>
                <w:bCs/>
                <w:szCs w:val="24"/>
                <w:rtl/>
              </w:rPr>
              <w:t>–</w:t>
            </w:r>
            <w:r w:rsidRPr="001357A3">
              <w:rPr>
                <w:rFonts w:cs="KFGQPC Uthman Taha Naskh"/>
                <w:b/>
                <w:bCs/>
                <w:szCs w:val="24"/>
                <w:rtl/>
              </w:rPr>
              <w:t xml:space="preserve"> 1368 </w:t>
            </w:r>
            <w:r w:rsidRPr="001357A3">
              <w:rPr>
                <w:rFonts w:cs="KFGQPC Uthman Taha Naskh" w:hint="cs"/>
                <w:b/>
                <w:bCs/>
                <w:szCs w:val="24"/>
                <w:rtl/>
              </w:rPr>
              <w:t>ه‍</w:t>
            </w:r>
            <w:r w:rsidRPr="001357A3">
              <w:rPr>
                <w:rFonts w:cs="KFGQPC Uthman Taha Naskh"/>
                <w:b/>
                <w:bCs/>
                <w:szCs w:val="24"/>
                <w:rtl/>
              </w:rPr>
              <w:t xml:space="preserve"> </w:t>
            </w:r>
            <w:r w:rsidRPr="001357A3">
              <w:rPr>
                <w:rFonts w:cs="KFGQPC Uthman Taha Naskh" w:hint="cs"/>
                <w:b/>
                <w:bCs/>
                <w:szCs w:val="24"/>
                <w:rtl/>
              </w:rPr>
              <w:t>ش</w:t>
            </w:r>
            <w:r w:rsidRPr="001357A3">
              <w:rPr>
                <w:rFonts w:cs="KFGQPC Uthman Taha Naskh"/>
                <w:b/>
                <w:bCs/>
                <w:szCs w:val="24"/>
                <w:rtl/>
              </w:rPr>
              <w:t xml:space="preserve"> </w:t>
            </w:r>
            <w:r w:rsidRPr="001357A3">
              <w:rPr>
                <w:rFonts w:cs="KFGQPC Uthman Taha Naskh" w:hint="cs"/>
                <w:b/>
                <w:bCs/>
                <w:szCs w:val="24"/>
                <w:rtl/>
              </w:rPr>
              <w:t>الموافق</w:t>
            </w:r>
            <w:r w:rsidRPr="001357A3">
              <w:rPr>
                <w:rFonts w:cs="KFGQPC Uthman Taha Naskh"/>
                <w:b/>
                <w:bCs/>
                <w:szCs w:val="24"/>
                <w:rtl/>
              </w:rPr>
              <w:t xml:space="preserve"> 1332-1409</w:t>
            </w:r>
            <w:r w:rsidRPr="001357A3">
              <w:rPr>
                <w:rFonts w:cs="KFGQPC Uthman Taha Naskh" w:hint="cs"/>
                <w:b/>
                <w:bCs/>
                <w:szCs w:val="24"/>
                <w:rtl/>
              </w:rPr>
              <w:t>هـ</w:t>
            </w:r>
            <w:r w:rsidRPr="001357A3">
              <w:rPr>
                <w:rFonts w:cs="KFGQPC Uthman Taha Naskh"/>
                <w:b/>
                <w:bCs/>
                <w:szCs w:val="24"/>
                <w:rtl/>
              </w:rPr>
              <w:t xml:space="preserve"> </w:t>
            </w:r>
            <w:r w:rsidRPr="001357A3">
              <w:rPr>
                <w:rFonts w:cs="KFGQPC Uthman Taha Naskh" w:hint="cs"/>
                <w:b/>
                <w:bCs/>
                <w:szCs w:val="24"/>
                <w:rtl/>
              </w:rPr>
              <w:t>ق</w:t>
            </w:r>
            <w:r w:rsidRPr="001357A3">
              <w:rPr>
                <w:rFonts w:cs="KFGQPC Uthman Taha Naskh"/>
                <w:b/>
                <w:bCs/>
                <w:szCs w:val="24"/>
                <w:rtl/>
              </w:rPr>
              <w:t>)</w:t>
            </w:r>
            <w:r w:rsidRPr="001357A3">
              <w:rPr>
                <w:rFonts w:cs="KFGQPC Uthman Taha Naskh" w:hint="cs"/>
                <w:b/>
                <w:bCs/>
                <w:szCs w:val="24"/>
                <w:rtl/>
              </w:rPr>
              <w:t xml:space="preserve"> </w:t>
            </w:r>
          </w:p>
          <w:p w:rsidR="0038508C" w:rsidRPr="0038508C" w:rsidRDefault="001357A3" w:rsidP="001357A3">
            <w:pPr>
              <w:widowControl w:val="0"/>
              <w:shd w:val="clear" w:color="auto" w:fill="FFFFFF"/>
              <w:tabs>
                <w:tab w:val="right" w:leader="dot" w:pos="5138"/>
              </w:tabs>
              <w:spacing w:line="228" w:lineRule="auto"/>
              <w:jc w:val="right"/>
              <w:rPr>
                <w:rFonts w:cs="KFGQPC Uthman Taha Naskh" w:hint="cs"/>
                <w:b/>
                <w:bCs/>
                <w:sz w:val="28"/>
                <w:rtl/>
              </w:rPr>
            </w:pPr>
            <w:r w:rsidRPr="001357A3">
              <w:rPr>
                <w:rFonts w:cs="KFGQPC Uthman Taha Naskh"/>
                <w:b/>
                <w:bCs/>
                <w:sz w:val="28"/>
                <w:lang w:bidi="fa-IR"/>
              </w:rPr>
              <w:t>www.qalamdaran.com</w:t>
            </w:r>
          </w:p>
        </w:tc>
      </w:tr>
      <w:tr w:rsidR="0038508C" w:rsidRPr="0038508C" w:rsidTr="005A4321">
        <w:tc>
          <w:tcPr>
            <w:tcW w:w="3067" w:type="dxa"/>
            <w:vAlign w:val="center"/>
          </w:tcPr>
          <w:p w:rsidR="0038508C" w:rsidRPr="0038508C" w:rsidRDefault="0038508C" w:rsidP="0038508C">
            <w:pPr>
              <w:widowControl w:val="0"/>
              <w:shd w:val="clear" w:color="auto" w:fill="FFFFFF"/>
              <w:tabs>
                <w:tab w:val="right" w:leader="dot" w:pos="5138"/>
              </w:tabs>
              <w:spacing w:line="228" w:lineRule="auto"/>
              <w:rPr>
                <w:rFonts w:cs="KFGQPC Uthman Taha Naskh"/>
                <w:b/>
                <w:bCs/>
                <w:sz w:val="32"/>
                <w:rtl/>
              </w:rPr>
            </w:pPr>
            <w:r w:rsidRPr="0038508C">
              <w:rPr>
                <w:rFonts w:cs="KFGQPC Uthman Taha Naskh"/>
                <w:b/>
                <w:bCs/>
                <w:sz w:val="32"/>
                <w:rtl/>
              </w:rPr>
              <w:t>الناشر:</w:t>
            </w:r>
          </w:p>
        </w:tc>
        <w:tc>
          <w:tcPr>
            <w:tcW w:w="283" w:type="dxa"/>
          </w:tcPr>
          <w:p w:rsidR="0038508C" w:rsidRPr="0038508C" w:rsidRDefault="0038508C" w:rsidP="0038508C">
            <w:pPr>
              <w:widowControl w:val="0"/>
              <w:shd w:val="clear" w:color="auto" w:fill="FFFFFF"/>
              <w:tabs>
                <w:tab w:val="right" w:leader="dot" w:pos="5138"/>
              </w:tabs>
              <w:spacing w:line="228" w:lineRule="auto"/>
              <w:rPr>
                <w:rFonts w:cs="Times New Roman"/>
                <w:b/>
                <w:bCs/>
                <w:szCs w:val="24"/>
              </w:rPr>
            </w:pPr>
          </w:p>
        </w:tc>
        <w:tc>
          <w:tcPr>
            <w:tcW w:w="3794" w:type="dxa"/>
          </w:tcPr>
          <w:p w:rsidR="0038508C" w:rsidRPr="0038508C" w:rsidRDefault="0019759F" w:rsidP="0038508C">
            <w:pPr>
              <w:widowControl w:val="0"/>
              <w:shd w:val="clear" w:color="auto" w:fill="FFFFFF"/>
              <w:tabs>
                <w:tab w:val="right" w:leader="dot" w:pos="5138"/>
              </w:tabs>
              <w:spacing w:line="228" w:lineRule="auto"/>
              <w:rPr>
                <w:rFonts w:cs="KFGQPC Uthman Taha Naskh"/>
                <w:b/>
                <w:bCs/>
                <w:sz w:val="28"/>
                <w:rtl/>
              </w:rPr>
            </w:pPr>
            <w:r>
              <w:rPr>
                <w:rFonts w:cs="KFGQPC Uthman Taha Naskh"/>
                <w:b/>
                <w:bCs/>
                <w:sz w:val="28"/>
                <w:rtl/>
              </w:rPr>
              <w:t>دار العقيدة للنشر و</w:t>
            </w:r>
            <w:r w:rsidR="0038508C" w:rsidRPr="0038508C">
              <w:rPr>
                <w:rFonts w:cs="KFGQPC Uthman Taha Naskh"/>
                <w:b/>
                <w:bCs/>
                <w:sz w:val="28"/>
                <w:rtl/>
              </w:rPr>
              <w:t xml:space="preserve">التوزيع </w:t>
            </w:r>
          </w:p>
          <w:p w:rsidR="0038508C" w:rsidRPr="0038508C" w:rsidRDefault="0038508C" w:rsidP="0038508C">
            <w:pPr>
              <w:widowControl w:val="0"/>
              <w:shd w:val="clear" w:color="auto" w:fill="FFFFFF"/>
              <w:tabs>
                <w:tab w:val="right" w:leader="dot" w:pos="5138"/>
              </w:tabs>
              <w:spacing w:line="228" w:lineRule="auto"/>
              <w:jc w:val="right"/>
              <w:rPr>
                <w:rFonts w:cs="KFGQPC Uthman Taha Naskh"/>
                <w:b/>
                <w:bCs/>
                <w:sz w:val="28"/>
                <w:rtl/>
              </w:rPr>
            </w:pPr>
            <w:r w:rsidRPr="0038508C">
              <w:rPr>
                <w:rFonts w:cs="KFGQPC Uthman Taha Naskh"/>
                <w:b/>
                <w:bCs/>
                <w:sz w:val="28"/>
                <w:rtl/>
              </w:rPr>
              <w:t>(</w:t>
            </w:r>
            <w:r w:rsidRPr="0038508C">
              <w:rPr>
                <w:rFonts w:cs="KFGQPC Uthman Taha Naskh"/>
                <w:b/>
                <w:bCs/>
                <w:sz w:val="28"/>
              </w:rPr>
              <w:t>www.aqideh.com</w:t>
            </w:r>
            <w:r w:rsidRPr="0038508C">
              <w:rPr>
                <w:rFonts w:cs="KFGQPC Uthman Taha Naskh"/>
                <w:b/>
                <w:bCs/>
                <w:sz w:val="28"/>
                <w:rtl/>
              </w:rPr>
              <w:t>)</w:t>
            </w:r>
          </w:p>
        </w:tc>
      </w:tr>
      <w:tr w:rsidR="0038508C" w:rsidRPr="0038508C" w:rsidTr="005A4321">
        <w:tc>
          <w:tcPr>
            <w:tcW w:w="3067" w:type="dxa"/>
            <w:vAlign w:val="center"/>
          </w:tcPr>
          <w:p w:rsidR="0038508C" w:rsidRPr="0038508C" w:rsidRDefault="0038508C" w:rsidP="0038508C">
            <w:pPr>
              <w:widowControl w:val="0"/>
              <w:shd w:val="clear" w:color="auto" w:fill="FFFFFF"/>
              <w:tabs>
                <w:tab w:val="right" w:leader="dot" w:pos="5138"/>
              </w:tabs>
              <w:spacing w:line="228" w:lineRule="auto"/>
              <w:rPr>
                <w:rFonts w:cs="KFGQPC Uthman Taha Naskh"/>
                <w:b/>
                <w:bCs/>
                <w:sz w:val="32"/>
                <w:rtl/>
              </w:rPr>
            </w:pPr>
            <w:r w:rsidRPr="0038508C">
              <w:rPr>
                <w:rFonts w:cs="KFGQPC Uthman Taha Naskh"/>
                <w:b/>
                <w:bCs/>
                <w:sz w:val="32"/>
                <w:rtl/>
              </w:rPr>
              <w:t>سنة النشر:</w:t>
            </w:r>
          </w:p>
        </w:tc>
        <w:tc>
          <w:tcPr>
            <w:tcW w:w="283" w:type="dxa"/>
          </w:tcPr>
          <w:p w:rsidR="0038508C" w:rsidRPr="0038508C" w:rsidRDefault="0038508C" w:rsidP="0038508C">
            <w:pPr>
              <w:widowControl w:val="0"/>
              <w:shd w:val="clear" w:color="auto" w:fill="FFFFFF"/>
              <w:tabs>
                <w:tab w:val="right" w:leader="dot" w:pos="5138"/>
              </w:tabs>
              <w:spacing w:line="228" w:lineRule="auto"/>
              <w:rPr>
                <w:rFonts w:cs="Times New Roman"/>
                <w:b/>
                <w:bCs/>
                <w:szCs w:val="24"/>
              </w:rPr>
            </w:pPr>
          </w:p>
        </w:tc>
        <w:tc>
          <w:tcPr>
            <w:tcW w:w="3794" w:type="dxa"/>
          </w:tcPr>
          <w:p w:rsidR="0038508C" w:rsidRPr="0038508C" w:rsidRDefault="0038508C" w:rsidP="0038508C">
            <w:pPr>
              <w:widowControl w:val="0"/>
              <w:shd w:val="clear" w:color="auto" w:fill="FFFFFF"/>
              <w:tabs>
                <w:tab w:val="right" w:leader="dot" w:pos="5138"/>
              </w:tabs>
              <w:spacing w:line="228" w:lineRule="auto"/>
              <w:rPr>
                <w:rFonts w:cs="KFGQPC Uthman Taha Naskh"/>
                <w:b/>
                <w:bCs/>
                <w:sz w:val="28"/>
                <w:rtl/>
              </w:rPr>
            </w:pPr>
            <w:r w:rsidRPr="0038508C">
              <w:rPr>
                <w:rFonts w:cs="KFGQPC Uthman Taha Naskh"/>
                <w:b/>
                <w:bCs/>
                <w:sz w:val="28"/>
                <w:rtl/>
              </w:rPr>
              <w:t>143</w:t>
            </w:r>
            <w:r w:rsidRPr="0038508C">
              <w:rPr>
                <w:rFonts w:cs="KFGQPC Uthman Taha Naskh" w:hint="cs"/>
                <w:b/>
                <w:bCs/>
                <w:sz w:val="28"/>
                <w:rtl/>
              </w:rPr>
              <w:t>5</w:t>
            </w:r>
            <w:r w:rsidRPr="0038508C">
              <w:rPr>
                <w:rFonts w:cs="KFGQPC Uthman Taha Naskh"/>
                <w:b/>
                <w:bCs/>
                <w:sz w:val="28"/>
                <w:rtl/>
              </w:rPr>
              <w:t xml:space="preserve"> هـ . ق  / 201</w:t>
            </w:r>
            <w:r w:rsidRPr="0038508C">
              <w:rPr>
                <w:rFonts w:cs="KFGQPC Uthman Taha Naskh" w:hint="cs"/>
                <w:b/>
                <w:bCs/>
                <w:sz w:val="28"/>
                <w:rtl/>
              </w:rPr>
              <w:t>4</w:t>
            </w:r>
            <w:r w:rsidRPr="0038508C">
              <w:rPr>
                <w:rFonts w:cs="KFGQPC Uthman Taha Naskh"/>
                <w:b/>
                <w:bCs/>
                <w:sz w:val="28"/>
                <w:rtl/>
              </w:rPr>
              <w:t xml:space="preserve"> م</w:t>
            </w:r>
          </w:p>
        </w:tc>
      </w:tr>
      <w:tr w:rsidR="0038508C" w:rsidRPr="0038508C" w:rsidTr="005A4321">
        <w:tc>
          <w:tcPr>
            <w:tcW w:w="3067" w:type="dxa"/>
            <w:tcBorders>
              <w:bottom w:val="nil"/>
            </w:tcBorders>
            <w:vAlign w:val="center"/>
          </w:tcPr>
          <w:p w:rsidR="0038508C" w:rsidRPr="0038508C" w:rsidRDefault="0038508C" w:rsidP="0038508C">
            <w:pPr>
              <w:widowControl w:val="0"/>
              <w:shd w:val="clear" w:color="auto" w:fill="FFFFFF"/>
              <w:tabs>
                <w:tab w:val="right" w:leader="dot" w:pos="5138"/>
              </w:tabs>
              <w:spacing w:line="228" w:lineRule="auto"/>
              <w:rPr>
                <w:rFonts w:cs="KFGQPC Uthman Taha Naskh"/>
                <w:b/>
                <w:bCs/>
                <w:sz w:val="20"/>
                <w:szCs w:val="16"/>
                <w:rtl/>
              </w:rPr>
            </w:pPr>
          </w:p>
          <w:p w:rsidR="0038508C" w:rsidRPr="0038508C" w:rsidRDefault="0038508C" w:rsidP="0038508C">
            <w:pPr>
              <w:widowControl w:val="0"/>
              <w:shd w:val="clear" w:color="auto" w:fill="FFFFFF"/>
              <w:tabs>
                <w:tab w:val="right" w:leader="dot" w:pos="5138"/>
              </w:tabs>
              <w:spacing w:line="228" w:lineRule="auto"/>
              <w:rPr>
                <w:rFonts w:cs="KFGQPC Uthman Taha Naskh"/>
                <w:b/>
                <w:bCs/>
                <w:sz w:val="20"/>
                <w:szCs w:val="16"/>
                <w:rtl/>
              </w:rPr>
            </w:pPr>
          </w:p>
          <w:p w:rsidR="0038508C" w:rsidRPr="0038508C" w:rsidRDefault="0038508C" w:rsidP="0038508C">
            <w:pPr>
              <w:widowControl w:val="0"/>
              <w:shd w:val="clear" w:color="auto" w:fill="FFFFFF"/>
              <w:tabs>
                <w:tab w:val="right" w:leader="dot" w:pos="5138"/>
              </w:tabs>
              <w:spacing w:line="228" w:lineRule="auto"/>
              <w:rPr>
                <w:rFonts w:cs="KFGQPC Uthman Taha Naskh"/>
                <w:b/>
                <w:bCs/>
                <w:sz w:val="20"/>
                <w:szCs w:val="16"/>
                <w:rtl/>
              </w:rPr>
            </w:pPr>
          </w:p>
        </w:tc>
        <w:tc>
          <w:tcPr>
            <w:tcW w:w="283" w:type="dxa"/>
            <w:tcBorders>
              <w:bottom w:val="nil"/>
            </w:tcBorders>
          </w:tcPr>
          <w:p w:rsidR="0038508C" w:rsidRPr="0038508C" w:rsidRDefault="0038508C" w:rsidP="0038508C">
            <w:pPr>
              <w:widowControl w:val="0"/>
              <w:shd w:val="clear" w:color="auto" w:fill="FFFFFF"/>
              <w:tabs>
                <w:tab w:val="right" w:leader="dot" w:pos="5138"/>
              </w:tabs>
              <w:spacing w:line="228" w:lineRule="auto"/>
              <w:rPr>
                <w:rFonts w:cs="Times New Roman"/>
                <w:b/>
                <w:bCs/>
                <w:sz w:val="20"/>
                <w:szCs w:val="16"/>
              </w:rPr>
            </w:pPr>
          </w:p>
        </w:tc>
        <w:tc>
          <w:tcPr>
            <w:tcW w:w="3794" w:type="dxa"/>
            <w:tcBorders>
              <w:bottom w:val="nil"/>
            </w:tcBorders>
          </w:tcPr>
          <w:p w:rsidR="0038508C" w:rsidRPr="0038508C" w:rsidRDefault="0038508C" w:rsidP="0038508C">
            <w:pPr>
              <w:widowControl w:val="0"/>
              <w:shd w:val="clear" w:color="auto" w:fill="FFFFFF"/>
              <w:tabs>
                <w:tab w:val="right" w:leader="dot" w:pos="5138"/>
              </w:tabs>
              <w:spacing w:line="228" w:lineRule="auto"/>
              <w:rPr>
                <w:rFonts w:cs="KFGQPC Uthman Taha Naskh"/>
                <w:b/>
                <w:bCs/>
                <w:sz w:val="20"/>
                <w:szCs w:val="16"/>
                <w:rtl/>
              </w:rPr>
            </w:pPr>
          </w:p>
        </w:tc>
      </w:tr>
      <w:tr w:rsidR="0038508C" w:rsidRPr="0038508C" w:rsidTr="005A4321">
        <w:tc>
          <w:tcPr>
            <w:tcW w:w="3067" w:type="dxa"/>
            <w:tcBorders>
              <w:top w:val="nil"/>
              <w:bottom w:val="nil"/>
            </w:tcBorders>
            <w:vAlign w:val="center"/>
          </w:tcPr>
          <w:p w:rsidR="0038508C" w:rsidRPr="0038508C" w:rsidRDefault="0038508C" w:rsidP="0038508C">
            <w:pPr>
              <w:widowControl w:val="0"/>
              <w:shd w:val="clear" w:color="auto" w:fill="FFFFFF"/>
              <w:tabs>
                <w:tab w:val="right" w:leader="dot" w:pos="5138"/>
              </w:tabs>
              <w:spacing w:line="228" w:lineRule="auto"/>
              <w:rPr>
                <w:rFonts w:cs="KFGQPC Uthman Taha Naskh"/>
                <w:b/>
                <w:bCs/>
                <w:sz w:val="32"/>
                <w:rtl/>
              </w:rPr>
            </w:pPr>
            <w:r w:rsidRPr="0038508C">
              <w:rPr>
                <w:rFonts w:cs="KFGQPC Uthman Taha Naskh"/>
                <w:b/>
                <w:bCs/>
                <w:sz w:val="32"/>
                <w:rtl/>
              </w:rPr>
              <w:t>الإشراف والإعداد:</w:t>
            </w:r>
          </w:p>
        </w:tc>
        <w:tc>
          <w:tcPr>
            <w:tcW w:w="283" w:type="dxa"/>
            <w:tcBorders>
              <w:top w:val="nil"/>
              <w:bottom w:val="nil"/>
            </w:tcBorders>
          </w:tcPr>
          <w:p w:rsidR="0038508C" w:rsidRPr="0038508C" w:rsidRDefault="0038508C" w:rsidP="0038508C">
            <w:pPr>
              <w:widowControl w:val="0"/>
              <w:shd w:val="clear" w:color="auto" w:fill="FFFFFF"/>
              <w:tabs>
                <w:tab w:val="right" w:leader="dot" w:pos="5138"/>
              </w:tabs>
              <w:spacing w:line="228" w:lineRule="auto"/>
              <w:rPr>
                <w:rFonts w:cs="Times New Roman"/>
                <w:b/>
                <w:bCs/>
                <w:szCs w:val="24"/>
              </w:rPr>
            </w:pPr>
          </w:p>
        </w:tc>
        <w:tc>
          <w:tcPr>
            <w:tcW w:w="3794" w:type="dxa"/>
            <w:tcBorders>
              <w:top w:val="nil"/>
              <w:bottom w:val="nil"/>
            </w:tcBorders>
          </w:tcPr>
          <w:p w:rsidR="0038508C" w:rsidRPr="0038508C" w:rsidRDefault="0038508C" w:rsidP="0038508C">
            <w:pPr>
              <w:widowControl w:val="0"/>
              <w:shd w:val="clear" w:color="auto" w:fill="FFFFFF"/>
              <w:tabs>
                <w:tab w:val="right" w:leader="dot" w:pos="5138"/>
              </w:tabs>
              <w:spacing w:line="228" w:lineRule="auto"/>
              <w:jc w:val="center"/>
              <w:rPr>
                <w:rFonts w:cs="KFGQPC Uthman Taha Naskh"/>
                <w:b/>
                <w:bCs/>
                <w:sz w:val="28"/>
                <w:rtl/>
              </w:rPr>
            </w:pPr>
            <w:r w:rsidRPr="0038508C">
              <w:rPr>
                <w:rFonts w:cs="KFGQPC Uthman Taha Naskh"/>
                <w:b/>
                <w:bCs/>
                <w:sz w:val="28"/>
                <w:rtl/>
              </w:rPr>
              <w:t>مجموعة الموحدين</w:t>
            </w:r>
          </w:p>
          <w:p w:rsidR="0038508C" w:rsidRPr="0038508C" w:rsidRDefault="0038508C" w:rsidP="0038508C">
            <w:pPr>
              <w:widowControl w:val="0"/>
              <w:shd w:val="clear" w:color="auto" w:fill="FFFFFF"/>
              <w:tabs>
                <w:tab w:val="right" w:leader="dot" w:pos="5138"/>
              </w:tabs>
              <w:spacing w:line="228" w:lineRule="auto"/>
              <w:jc w:val="right"/>
              <w:rPr>
                <w:rFonts w:cs="KFGQPC Uthman Taha Naskh"/>
                <w:b/>
                <w:bCs/>
                <w:sz w:val="28"/>
              </w:rPr>
            </w:pPr>
            <w:r w:rsidRPr="0038508C">
              <w:rPr>
                <w:rFonts w:cs="KFGQPC Uthman Taha Naskh"/>
                <w:b/>
                <w:bCs/>
                <w:sz w:val="28"/>
              </w:rPr>
              <w:t>www.mowahedin.com</w:t>
            </w:r>
          </w:p>
          <w:p w:rsidR="0038508C" w:rsidRPr="0038508C" w:rsidRDefault="0038508C" w:rsidP="0038508C">
            <w:pPr>
              <w:widowControl w:val="0"/>
              <w:shd w:val="clear" w:color="auto" w:fill="FFFFFF"/>
              <w:tabs>
                <w:tab w:val="right" w:leader="dot" w:pos="5138"/>
              </w:tabs>
              <w:spacing w:line="228" w:lineRule="auto"/>
              <w:jc w:val="right"/>
              <w:rPr>
                <w:rFonts w:cs="KFGQPC Uthman Taha Naskh"/>
                <w:b/>
                <w:bCs/>
                <w:sz w:val="28"/>
              </w:rPr>
            </w:pPr>
            <w:r w:rsidRPr="0038508C">
              <w:rPr>
                <w:rFonts w:cs="KFGQPC Uthman Taha Naskh"/>
                <w:b/>
                <w:bCs/>
                <w:sz w:val="28"/>
              </w:rPr>
              <w:t>contact@mowahedin.com</w:t>
            </w:r>
          </w:p>
        </w:tc>
      </w:tr>
    </w:tbl>
    <w:p w:rsidR="004A2B58" w:rsidRPr="00995B26" w:rsidRDefault="004A2B58" w:rsidP="00EC7905">
      <w:pPr>
        <w:rPr>
          <w:rFonts w:hint="cs"/>
          <w:rtl/>
          <w:lang w:bidi="fa-IR"/>
        </w:rPr>
        <w:sectPr w:rsidR="004A2B58" w:rsidRPr="00995B26" w:rsidSect="00010AE3">
          <w:footnotePr>
            <w:numRestart w:val="eachPage"/>
          </w:footnotePr>
          <w:type w:val="oddPage"/>
          <w:pgSz w:w="9356" w:h="13608" w:code="34"/>
          <w:pgMar w:top="964" w:right="1134" w:bottom="1134" w:left="964" w:header="0" w:footer="851" w:gutter="0"/>
          <w:cols w:space="708"/>
          <w:titlePg/>
          <w:bidi/>
          <w:rtlGutter/>
          <w:docGrid w:linePitch="360"/>
        </w:sectPr>
      </w:pPr>
      <w:bookmarkStart w:id="1" w:name="_Toc362692909"/>
    </w:p>
    <w:p w:rsidR="00EC7905" w:rsidRPr="00995B26" w:rsidRDefault="00EC7905" w:rsidP="00EC7905">
      <w:pPr>
        <w:pStyle w:val="Heading1"/>
        <w:rPr>
          <w:rFonts w:hint="cs"/>
          <w:rtl/>
        </w:rPr>
      </w:pPr>
      <w:bookmarkStart w:id="2" w:name="_Toc363071961"/>
      <w:bookmarkStart w:id="3" w:name="_Toc387843028"/>
      <w:r w:rsidRPr="00995B26">
        <w:rPr>
          <w:rFonts w:hint="cs"/>
          <w:rtl/>
        </w:rPr>
        <w:lastRenderedPageBreak/>
        <w:t>فهرس المحتويات</w:t>
      </w:r>
      <w:bookmarkEnd w:id="2"/>
      <w:bookmarkEnd w:id="3"/>
    </w:p>
    <w:p w:rsidR="00F90700" w:rsidRPr="008607E3" w:rsidRDefault="00EC7905" w:rsidP="00D52B3E">
      <w:pPr>
        <w:pStyle w:val="TOC1"/>
        <w:tabs>
          <w:tab w:val="right" w:leader="dot" w:pos="7248"/>
        </w:tabs>
        <w:rPr>
          <w:rFonts w:ascii="Calibri" w:hAnsi="Calibri" w:cs="Arial"/>
          <w:bCs w:val="0"/>
          <w:noProof/>
          <w:sz w:val="22"/>
          <w:szCs w:val="22"/>
          <w:rtl/>
          <w:lang w:eastAsia="en-US" w:bidi="fa-IR"/>
        </w:rPr>
      </w:pPr>
      <w:r w:rsidRPr="00995B26">
        <w:rPr>
          <w:rtl/>
        </w:rPr>
        <w:fldChar w:fldCharType="begin"/>
      </w:r>
      <w:r w:rsidRPr="00995B26">
        <w:rPr>
          <w:rtl/>
        </w:rPr>
        <w:instrText xml:space="preserve"> </w:instrText>
      </w:r>
      <w:r w:rsidRPr="00995B26">
        <w:rPr>
          <w:rFonts w:hint="cs"/>
        </w:rPr>
        <w:instrText>TOC</w:instrText>
      </w:r>
      <w:r w:rsidRPr="00995B26">
        <w:rPr>
          <w:rFonts w:hint="cs"/>
          <w:rtl/>
        </w:rPr>
        <w:instrText xml:space="preserve"> \</w:instrText>
      </w:r>
      <w:r w:rsidRPr="00995B26">
        <w:rPr>
          <w:rFonts w:hint="cs"/>
        </w:rPr>
        <w:instrText>o "1-3" \h \z \u</w:instrText>
      </w:r>
      <w:r w:rsidRPr="00995B26">
        <w:rPr>
          <w:rtl/>
        </w:rPr>
        <w:instrText xml:space="preserve"> </w:instrText>
      </w:r>
      <w:r w:rsidRPr="00995B26">
        <w:rPr>
          <w:rtl/>
        </w:rPr>
        <w:fldChar w:fldCharType="separate"/>
      </w:r>
      <w:hyperlink w:anchor="_Toc387843029" w:history="1">
        <w:r w:rsidR="00F90700" w:rsidRPr="00F14100">
          <w:rPr>
            <w:rStyle w:val="Hyperlink"/>
            <w:rFonts w:eastAsia="Calibri" w:hint="cs"/>
            <w:noProof/>
            <w:rtl/>
            <w:lang w:bidi="ar-SY"/>
          </w:rPr>
          <w:t>مقدمة</w:t>
        </w:r>
        <w:r w:rsidR="00F90700" w:rsidRPr="00F14100">
          <w:rPr>
            <w:rStyle w:val="Hyperlink"/>
            <w:rFonts w:eastAsia="Calibri"/>
            <w:noProof/>
            <w:rtl/>
            <w:lang w:bidi="ar-SY"/>
          </w:rPr>
          <w:t xml:space="preserve"> </w:t>
        </w:r>
        <w:r w:rsidR="00F90700" w:rsidRPr="00F14100">
          <w:rPr>
            <w:rStyle w:val="Hyperlink"/>
            <w:rFonts w:eastAsia="Calibri" w:hint="cs"/>
            <w:noProof/>
            <w:rtl/>
            <w:lang w:bidi="ar-SY"/>
          </w:rPr>
          <w:t>المشروع</w:t>
        </w:r>
        <w:r w:rsidR="00F90700">
          <w:rPr>
            <w:noProof/>
            <w:webHidden/>
            <w:rtl/>
          </w:rPr>
          <w:tab/>
        </w:r>
        <w:r w:rsidR="00F90700">
          <w:rPr>
            <w:rStyle w:val="Hyperlink"/>
            <w:noProof/>
            <w:rtl/>
          </w:rPr>
          <w:fldChar w:fldCharType="begin"/>
        </w:r>
        <w:r w:rsidR="00F90700">
          <w:rPr>
            <w:noProof/>
            <w:webHidden/>
            <w:rtl/>
          </w:rPr>
          <w:instrText xml:space="preserve"> </w:instrText>
        </w:r>
        <w:r w:rsidR="00F90700">
          <w:rPr>
            <w:noProof/>
            <w:webHidden/>
          </w:rPr>
          <w:instrText>PAGEREF</w:instrText>
        </w:r>
        <w:r w:rsidR="00F90700">
          <w:rPr>
            <w:noProof/>
            <w:webHidden/>
            <w:rtl/>
          </w:rPr>
          <w:instrText xml:space="preserve"> _</w:instrText>
        </w:r>
        <w:r w:rsidR="00F90700">
          <w:rPr>
            <w:noProof/>
            <w:webHidden/>
          </w:rPr>
          <w:instrText>Toc387843029 \h</w:instrText>
        </w:r>
        <w:r w:rsidR="00F90700">
          <w:rPr>
            <w:noProof/>
            <w:webHidden/>
            <w:rtl/>
          </w:rPr>
          <w:instrText xml:space="preserve"> </w:instrText>
        </w:r>
        <w:r w:rsidR="00F90700">
          <w:rPr>
            <w:rStyle w:val="Hyperlink"/>
            <w:noProof/>
            <w:rtl/>
          </w:rPr>
        </w:r>
        <w:r w:rsidR="00F90700">
          <w:rPr>
            <w:rStyle w:val="Hyperlink"/>
            <w:noProof/>
            <w:rtl/>
          </w:rPr>
          <w:fldChar w:fldCharType="separate"/>
        </w:r>
        <w:r w:rsidR="00755AAC">
          <w:rPr>
            <w:noProof/>
            <w:webHidden/>
            <w:rtl/>
          </w:rPr>
          <w:t>2</w:t>
        </w:r>
        <w:r w:rsidR="00F90700">
          <w:rPr>
            <w:rStyle w:val="Hyperlink"/>
            <w:noProof/>
            <w:rtl/>
          </w:rPr>
          <w:fldChar w:fldCharType="end"/>
        </w:r>
      </w:hyperlink>
    </w:p>
    <w:p w:rsidR="00F90700" w:rsidRPr="008607E3" w:rsidRDefault="00F90700">
      <w:pPr>
        <w:pStyle w:val="TOC1"/>
        <w:tabs>
          <w:tab w:val="right" w:leader="dot" w:pos="7248"/>
        </w:tabs>
        <w:rPr>
          <w:rFonts w:ascii="Calibri" w:hAnsi="Calibri" w:cs="Arial"/>
          <w:bCs w:val="0"/>
          <w:noProof/>
          <w:sz w:val="22"/>
          <w:szCs w:val="22"/>
          <w:rtl/>
          <w:lang w:eastAsia="en-US" w:bidi="fa-IR"/>
        </w:rPr>
      </w:pPr>
      <w:hyperlink w:anchor="_Toc387843032" w:history="1">
        <w:r w:rsidRPr="00F14100">
          <w:rPr>
            <w:rStyle w:val="Hyperlink"/>
            <w:rFonts w:eastAsia="Calibri" w:hint="cs"/>
            <w:noProof/>
            <w:rtl/>
          </w:rPr>
          <w:t>مقدمة</w:t>
        </w:r>
        <w:r w:rsidRPr="00F14100">
          <w:rPr>
            <w:rStyle w:val="Hyperlink"/>
            <w:rFonts w:eastAsia="Calibri"/>
            <w:noProof/>
            <w:rtl/>
          </w:rPr>
          <w:t xml:space="preserve"> </w:t>
        </w:r>
        <w:r w:rsidRPr="00F14100">
          <w:rPr>
            <w:rStyle w:val="Hyperlink"/>
            <w:rFonts w:eastAsia="Calibri" w:hint="cs"/>
            <w:noProof/>
            <w:rtl/>
          </w:rPr>
          <w:t>الناشر</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Toc387843032 \h</w:instrText>
        </w:r>
        <w:r>
          <w:rPr>
            <w:noProof/>
            <w:webHidden/>
            <w:rtl/>
          </w:rPr>
          <w:instrText xml:space="preserve"> </w:instrText>
        </w:r>
        <w:r>
          <w:rPr>
            <w:rStyle w:val="Hyperlink"/>
            <w:noProof/>
            <w:rtl/>
          </w:rPr>
        </w:r>
        <w:r>
          <w:rPr>
            <w:rStyle w:val="Hyperlink"/>
            <w:noProof/>
            <w:rtl/>
          </w:rPr>
          <w:fldChar w:fldCharType="separate"/>
        </w:r>
        <w:r w:rsidR="00755AAC">
          <w:rPr>
            <w:noProof/>
            <w:webHidden/>
            <w:rtl/>
          </w:rPr>
          <w:t>2</w:t>
        </w:r>
        <w:r>
          <w:rPr>
            <w:rStyle w:val="Hyperlink"/>
            <w:noProof/>
            <w:rtl/>
          </w:rPr>
          <w:fldChar w:fldCharType="end"/>
        </w:r>
      </w:hyperlink>
    </w:p>
    <w:p w:rsidR="00F90700" w:rsidRPr="008607E3" w:rsidRDefault="00F90700">
      <w:pPr>
        <w:pStyle w:val="TOC1"/>
        <w:tabs>
          <w:tab w:val="right" w:leader="dot" w:pos="7248"/>
        </w:tabs>
        <w:rPr>
          <w:rFonts w:ascii="Calibri" w:hAnsi="Calibri" w:cs="Arial"/>
          <w:bCs w:val="0"/>
          <w:noProof/>
          <w:sz w:val="22"/>
          <w:szCs w:val="22"/>
          <w:rtl/>
          <w:lang w:eastAsia="en-US" w:bidi="fa-IR"/>
        </w:rPr>
      </w:pPr>
      <w:hyperlink w:anchor="_Toc387843033" w:history="1">
        <w:r w:rsidRPr="00F14100">
          <w:rPr>
            <w:rStyle w:val="Hyperlink"/>
            <w:rFonts w:hint="cs"/>
            <w:noProof/>
            <w:rtl/>
          </w:rPr>
          <w:t>ترجمة</w:t>
        </w:r>
        <w:r w:rsidRPr="00F14100">
          <w:rPr>
            <w:rStyle w:val="Hyperlink"/>
            <w:noProof/>
            <w:rtl/>
          </w:rPr>
          <w:t xml:space="preserve"> </w:t>
        </w:r>
        <w:r w:rsidRPr="00F14100">
          <w:rPr>
            <w:rStyle w:val="Hyperlink"/>
            <w:rFonts w:hint="cs"/>
            <w:noProof/>
            <w:rtl/>
          </w:rPr>
          <w:t>مختصرة</w:t>
        </w:r>
        <w:r w:rsidRPr="00F14100">
          <w:rPr>
            <w:rStyle w:val="Hyperlink"/>
            <w:noProof/>
            <w:rtl/>
          </w:rPr>
          <w:t xml:space="preserve"> </w:t>
        </w:r>
        <w:r w:rsidRPr="00F14100">
          <w:rPr>
            <w:rStyle w:val="Hyperlink"/>
            <w:rFonts w:hint="cs"/>
            <w:noProof/>
            <w:rtl/>
          </w:rPr>
          <w:t>للأستاذ</w:t>
        </w:r>
        <w:r w:rsidRPr="00F14100">
          <w:rPr>
            <w:rStyle w:val="Hyperlink"/>
            <w:noProof/>
            <w:rtl/>
          </w:rPr>
          <w:t xml:space="preserve"> </w:t>
        </w:r>
        <w:r w:rsidRPr="00F14100">
          <w:rPr>
            <w:rStyle w:val="Hyperlink"/>
            <w:rFonts w:hint="cs"/>
            <w:noProof/>
            <w:rtl/>
          </w:rPr>
          <w:t>حيدر</w:t>
        </w:r>
        <w:r w:rsidRPr="00F14100">
          <w:rPr>
            <w:rStyle w:val="Hyperlink"/>
            <w:noProof/>
            <w:rtl/>
          </w:rPr>
          <w:t xml:space="preserve"> </w:t>
        </w:r>
        <w:r w:rsidRPr="00F14100">
          <w:rPr>
            <w:rStyle w:val="Hyperlink"/>
            <w:rFonts w:hint="cs"/>
            <w:noProof/>
            <w:rtl/>
          </w:rPr>
          <w:t>علي</w:t>
        </w:r>
        <w:r w:rsidRPr="00F14100">
          <w:rPr>
            <w:rStyle w:val="Hyperlink"/>
            <w:noProof/>
            <w:rtl/>
          </w:rPr>
          <w:t xml:space="preserve"> </w:t>
        </w:r>
        <w:r w:rsidRPr="00F14100">
          <w:rPr>
            <w:rStyle w:val="Hyperlink"/>
            <w:rFonts w:hint="cs"/>
            <w:noProof/>
            <w:rtl/>
          </w:rPr>
          <w:t>قلمداران</w:t>
        </w:r>
        <w:r w:rsidRPr="00F14100">
          <w:rPr>
            <w:rStyle w:val="Hyperlink"/>
            <w:noProof/>
            <w:rtl/>
          </w:rPr>
          <w:t xml:space="preserve"> </w:t>
        </w:r>
        <w:r w:rsidRPr="00F14100">
          <w:rPr>
            <w:rStyle w:val="Hyperlink"/>
            <w:rFonts w:hint="cs"/>
            <w:noProof/>
            <w:rtl/>
          </w:rPr>
          <w:t>رحمه</w:t>
        </w:r>
        <w:r w:rsidRPr="00F14100">
          <w:rPr>
            <w:rStyle w:val="Hyperlink"/>
            <w:noProof/>
            <w:rtl/>
          </w:rPr>
          <w:t xml:space="preserve"> </w:t>
        </w:r>
        <w:r w:rsidRPr="00F14100">
          <w:rPr>
            <w:rStyle w:val="Hyperlink"/>
            <w:rFonts w:hint="cs"/>
            <w:noProof/>
            <w:rtl/>
          </w:rPr>
          <w:t>الله</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Toc387843033 \h</w:instrText>
        </w:r>
        <w:r>
          <w:rPr>
            <w:noProof/>
            <w:webHidden/>
            <w:rtl/>
          </w:rPr>
          <w:instrText xml:space="preserve"> </w:instrText>
        </w:r>
        <w:r>
          <w:rPr>
            <w:rStyle w:val="Hyperlink"/>
            <w:noProof/>
            <w:rtl/>
          </w:rPr>
        </w:r>
        <w:r>
          <w:rPr>
            <w:rStyle w:val="Hyperlink"/>
            <w:noProof/>
            <w:rtl/>
          </w:rPr>
          <w:fldChar w:fldCharType="separate"/>
        </w:r>
        <w:r w:rsidR="00755AAC">
          <w:rPr>
            <w:noProof/>
            <w:webHidden/>
            <w:rtl/>
          </w:rPr>
          <w:t>2</w:t>
        </w:r>
        <w:r>
          <w:rPr>
            <w:rStyle w:val="Hyperlink"/>
            <w:noProof/>
            <w:rtl/>
          </w:rPr>
          <w:fldChar w:fldCharType="end"/>
        </w:r>
      </w:hyperlink>
    </w:p>
    <w:p w:rsidR="00F90700" w:rsidRPr="008607E3" w:rsidRDefault="00F90700">
      <w:pPr>
        <w:pStyle w:val="TOC2"/>
        <w:rPr>
          <w:rFonts w:ascii="Calibri" w:hAnsi="Calibri" w:cs="Arial"/>
          <w:noProof/>
          <w:sz w:val="22"/>
          <w:szCs w:val="22"/>
          <w:rtl/>
          <w:lang w:eastAsia="en-US" w:bidi="fa-IR"/>
        </w:rPr>
      </w:pPr>
      <w:hyperlink w:anchor="_Toc387843034" w:history="1">
        <w:r w:rsidRPr="00D52B3E">
          <w:rPr>
            <w:rStyle w:val="Hyperlink"/>
            <w:rFonts w:hint="cs"/>
            <w:noProof/>
            <w:sz w:val="24"/>
            <w:szCs w:val="22"/>
          </w:rPr>
          <w:sym w:font="AGA Arabesque" w:char="F02A"/>
        </w:r>
        <w:r w:rsidRPr="00F14100">
          <w:rPr>
            <w:rStyle w:val="Hyperlink"/>
            <w:noProof/>
            <w:rtl/>
          </w:rPr>
          <w:t xml:space="preserve"> </w:t>
        </w:r>
        <w:r w:rsidRPr="00F14100">
          <w:rPr>
            <w:rStyle w:val="Hyperlink"/>
            <w:rFonts w:hint="cs"/>
            <w:noProof/>
            <w:rtl/>
          </w:rPr>
          <w:t>المولد</w:t>
        </w:r>
        <w:r w:rsidRPr="00F14100">
          <w:rPr>
            <w:rStyle w:val="Hyperlink"/>
            <w:noProof/>
            <w:rtl/>
          </w:rPr>
          <w:t xml:space="preserve"> </w:t>
        </w:r>
        <w:r w:rsidRPr="00F14100">
          <w:rPr>
            <w:rStyle w:val="Hyperlink"/>
            <w:rFonts w:hint="cs"/>
            <w:noProof/>
            <w:rtl/>
          </w:rPr>
          <w:t>والمنشأ</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Toc387843034 \h</w:instrText>
        </w:r>
        <w:r>
          <w:rPr>
            <w:noProof/>
            <w:webHidden/>
            <w:rtl/>
          </w:rPr>
          <w:instrText xml:space="preserve"> </w:instrText>
        </w:r>
        <w:r>
          <w:rPr>
            <w:rStyle w:val="Hyperlink"/>
            <w:noProof/>
            <w:rtl/>
          </w:rPr>
        </w:r>
        <w:r>
          <w:rPr>
            <w:rStyle w:val="Hyperlink"/>
            <w:noProof/>
            <w:rtl/>
          </w:rPr>
          <w:fldChar w:fldCharType="separate"/>
        </w:r>
        <w:r w:rsidR="00755AAC">
          <w:rPr>
            <w:noProof/>
            <w:webHidden/>
            <w:rtl/>
          </w:rPr>
          <w:t>2</w:t>
        </w:r>
        <w:r>
          <w:rPr>
            <w:rStyle w:val="Hyperlink"/>
            <w:noProof/>
            <w:rtl/>
          </w:rPr>
          <w:fldChar w:fldCharType="end"/>
        </w:r>
      </w:hyperlink>
    </w:p>
    <w:p w:rsidR="00F90700" w:rsidRPr="008607E3" w:rsidRDefault="00F90700">
      <w:pPr>
        <w:pStyle w:val="TOC2"/>
        <w:rPr>
          <w:rFonts w:ascii="Calibri" w:hAnsi="Calibri" w:cs="Arial"/>
          <w:noProof/>
          <w:sz w:val="22"/>
          <w:szCs w:val="22"/>
          <w:rtl/>
          <w:lang w:eastAsia="en-US" w:bidi="fa-IR"/>
        </w:rPr>
      </w:pPr>
      <w:hyperlink w:anchor="_Toc387843035" w:history="1">
        <w:r w:rsidRPr="00D52B3E">
          <w:rPr>
            <w:rStyle w:val="Hyperlink"/>
            <w:rFonts w:hint="cs"/>
            <w:noProof/>
            <w:sz w:val="24"/>
            <w:szCs w:val="22"/>
          </w:rPr>
          <w:sym w:font="AGA Arabesque" w:char="F02A"/>
        </w:r>
        <w:r w:rsidRPr="00F14100">
          <w:rPr>
            <w:rStyle w:val="Hyperlink"/>
            <w:noProof/>
            <w:rtl/>
          </w:rPr>
          <w:t xml:space="preserve"> </w:t>
        </w:r>
        <w:r w:rsidRPr="00F14100">
          <w:rPr>
            <w:rStyle w:val="Hyperlink"/>
            <w:rFonts w:hint="cs"/>
            <w:noProof/>
            <w:rtl/>
          </w:rPr>
          <w:t>الدعوة</w:t>
        </w:r>
        <w:r w:rsidRPr="00F14100">
          <w:rPr>
            <w:rStyle w:val="Hyperlink"/>
            <w:noProof/>
            <w:rtl/>
          </w:rPr>
          <w:t xml:space="preserve"> </w:t>
        </w:r>
        <w:r w:rsidRPr="00F14100">
          <w:rPr>
            <w:rStyle w:val="Hyperlink"/>
            <w:rFonts w:hint="cs"/>
            <w:noProof/>
            <w:rtl/>
          </w:rPr>
          <w:t>والنشاط</w:t>
        </w:r>
        <w:r w:rsidRPr="00F14100">
          <w:rPr>
            <w:rStyle w:val="Hyperlink"/>
            <w:noProof/>
            <w:rtl/>
          </w:rPr>
          <w:t xml:space="preserve"> </w:t>
        </w:r>
        <w:r w:rsidRPr="00F14100">
          <w:rPr>
            <w:rStyle w:val="Hyperlink"/>
            <w:rFonts w:hint="cs"/>
            <w:noProof/>
            <w:rtl/>
          </w:rPr>
          <w:t>عند</w:t>
        </w:r>
        <w:r w:rsidRPr="00F14100">
          <w:rPr>
            <w:rStyle w:val="Hyperlink"/>
            <w:noProof/>
            <w:rtl/>
          </w:rPr>
          <w:t xml:space="preserve"> </w:t>
        </w:r>
        <w:r w:rsidRPr="00F14100">
          <w:rPr>
            <w:rStyle w:val="Hyperlink"/>
            <w:rFonts w:hint="cs"/>
            <w:noProof/>
            <w:rtl/>
          </w:rPr>
          <w:t>الأستاذ</w:t>
        </w:r>
        <w:r w:rsidRPr="00F14100">
          <w:rPr>
            <w:rStyle w:val="Hyperlink"/>
            <w:noProof/>
            <w:rtl/>
          </w:rPr>
          <w:t xml:space="preserve"> </w:t>
        </w:r>
        <w:r w:rsidRPr="00F14100">
          <w:rPr>
            <w:rStyle w:val="Hyperlink"/>
            <w:rFonts w:hint="cs"/>
            <w:noProof/>
            <w:rtl/>
          </w:rPr>
          <w:t>قلمداران</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Toc387843035 \h</w:instrText>
        </w:r>
        <w:r>
          <w:rPr>
            <w:noProof/>
            <w:webHidden/>
            <w:rtl/>
          </w:rPr>
          <w:instrText xml:space="preserve"> </w:instrText>
        </w:r>
        <w:r>
          <w:rPr>
            <w:rStyle w:val="Hyperlink"/>
            <w:noProof/>
            <w:rtl/>
          </w:rPr>
        </w:r>
        <w:r>
          <w:rPr>
            <w:rStyle w:val="Hyperlink"/>
            <w:noProof/>
            <w:rtl/>
          </w:rPr>
          <w:fldChar w:fldCharType="separate"/>
        </w:r>
        <w:r w:rsidR="00755AAC">
          <w:rPr>
            <w:noProof/>
            <w:webHidden/>
            <w:rtl/>
          </w:rPr>
          <w:t>2</w:t>
        </w:r>
        <w:r>
          <w:rPr>
            <w:rStyle w:val="Hyperlink"/>
            <w:noProof/>
            <w:rtl/>
          </w:rPr>
          <w:fldChar w:fldCharType="end"/>
        </w:r>
      </w:hyperlink>
    </w:p>
    <w:p w:rsidR="00F90700" w:rsidRPr="008607E3" w:rsidRDefault="00F90700">
      <w:pPr>
        <w:pStyle w:val="TOC2"/>
        <w:rPr>
          <w:rFonts w:ascii="Calibri" w:hAnsi="Calibri" w:cs="Arial"/>
          <w:noProof/>
          <w:sz w:val="22"/>
          <w:szCs w:val="22"/>
          <w:rtl/>
          <w:lang w:eastAsia="en-US" w:bidi="fa-IR"/>
        </w:rPr>
      </w:pPr>
      <w:hyperlink w:anchor="_Toc387843036" w:history="1">
        <w:r w:rsidRPr="00D52B3E">
          <w:rPr>
            <w:rStyle w:val="Hyperlink"/>
            <w:rFonts w:hint="cs"/>
            <w:noProof/>
            <w:sz w:val="24"/>
            <w:szCs w:val="22"/>
          </w:rPr>
          <w:sym w:font="AGA Arabesque" w:char="F02A"/>
        </w:r>
        <w:r w:rsidRPr="00F14100">
          <w:rPr>
            <w:rStyle w:val="Hyperlink"/>
            <w:noProof/>
            <w:rtl/>
          </w:rPr>
          <w:t xml:space="preserve"> </w:t>
        </w:r>
        <w:r w:rsidRPr="00F14100">
          <w:rPr>
            <w:rStyle w:val="Hyperlink"/>
            <w:rFonts w:hint="cs"/>
            <w:noProof/>
            <w:rtl/>
          </w:rPr>
          <w:t>علاقة</w:t>
        </w:r>
        <w:r w:rsidRPr="00F14100">
          <w:rPr>
            <w:rStyle w:val="Hyperlink"/>
            <w:noProof/>
            <w:rtl/>
          </w:rPr>
          <w:t xml:space="preserve"> </w:t>
        </w:r>
        <w:r w:rsidRPr="00F14100">
          <w:rPr>
            <w:rStyle w:val="Hyperlink"/>
            <w:rFonts w:hint="cs"/>
            <w:noProof/>
            <w:rtl/>
          </w:rPr>
          <w:t>الأستاذ</w:t>
        </w:r>
        <w:r w:rsidRPr="00F14100">
          <w:rPr>
            <w:rStyle w:val="Hyperlink"/>
            <w:noProof/>
            <w:rtl/>
          </w:rPr>
          <w:t xml:space="preserve"> </w:t>
        </w:r>
        <w:r w:rsidRPr="00F14100">
          <w:rPr>
            <w:rStyle w:val="Hyperlink"/>
            <w:rFonts w:hint="cs"/>
            <w:noProof/>
            <w:rtl/>
          </w:rPr>
          <w:t>قلمداران</w:t>
        </w:r>
        <w:r w:rsidRPr="00F14100">
          <w:rPr>
            <w:rStyle w:val="Hyperlink"/>
            <w:noProof/>
            <w:rtl/>
          </w:rPr>
          <w:t xml:space="preserve"> </w:t>
        </w:r>
        <w:r w:rsidRPr="00F14100">
          <w:rPr>
            <w:rStyle w:val="Hyperlink"/>
            <w:rFonts w:hint="cs"/>
            <w:noProof/>
            <w:rtl/>
          </w:rPr>
          <w:t>بالخميني</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Toc387843036 \h</w:instrText>
        </w:r>
        <w:r>
          <w:rPr>
            <w:noProof/>
            <w:webHidden/>
            <w:rtl/>
          </w:rPr>
          <w:instrText xml:space="preserve"> </w:instrText>
        </w:r>
        <w:r>
          <w:rPr>
            <w:rStyle w:val="Hyperlink"/>
            <w:noProof/>
            <w:rtl/>
          </w:rPr>
        </w:r>
        <w:r>
          <w:rPr>
            <w:rStyle w:val="Hyperlink"/>
            <w:noProof/>
            <w:rtl/>
          </w:rPr>
          <w:fldChar w:fldCharType="separate"/>
        </w:r>
        <w:r w:rsidR="00755AAC">
          <w:rPr>
            <w:noProof/>
            <w:webHidden/>
            <w:rtl/>
          </w:rPr>
          <w:t>2</w:t>
        </w:r>
        <w:r>
          <w:rPr>
            <w:rStyle w:val="Hyperlink"/>
            <w:noProof/>
            <w:rtl/>
          </w:rPr>
          <w:fldChar w:fldCharType="end"/>
        </w:r>
      </w:hyperlink>
    </w:p>
    <w:p w:rsidR="00F90700" w:rsidRPr="008607E3" w:rsidRDefault="00F90700">
      <w:pPr>
        <w:pStyle w:val="TOC2"/>
        <w:rPr>
          <w:rFonts w:ascii="Calibri" w:hAnsi="Calibri" w:cs="Arial"/>
          <w:noProof/>
          <w:sz w:val="22"/>
          <w:szCs w:val="22"/>
          <w:rtl/>
          <w:lang w:eastAsia="en-US" w:bidi="fa-IR"/>
        </w:rPr>
      </w:pPr>
      <w:hyperlink w:anchor="_Toc387843037" w:history="1">
        <w:r w:rsidRPr="00D52B3E">
          <w:rPr>
            <w:rStyle w:val="Hyperlink"/>
            <w:rFonts w:hint="cs"/>
            <w:noProof/>
            <w:sz w:val="24"/>
            <w:szCs w:val="22"/>
          </w:rPr>
          <w:sym w:font="AGA Arabesque" w:char="F02A"/>
        </w:r>
        <w:r w:rsidRPr="00F14100">
          <w:rPr>
            <w:rStyle w:val="Hyperlink"/>
            <w:noProof/>
            <w:rtl/>
          </w:rPr>
          <w:t xml:space="preserve"> </w:t>
        </w:r>
        <w:r w:rsidRPr="00F14100">
          <w:rPr>
            <w:rStyle w:val="Hyperlink"/>
            <w:rFonts w:hint="cs"/>
            <w:noProof/>
            <w:rtl/>
          </w:rPr>
          <w:t>الأستاذ</w:t>
        </w:r>
        <w:r w:rsidRPr="00F14100">
          <w:rPr>
            <w:rStyle w:val="Hyperlink"/>
            <w:noProof/>
            <w:rtl/>
          </w:rPr>
          <w:t xml:space="preserve"> </w:t>
        </w:r>
        <w:r w:rsidRPr="00F14100">
          <w:rPr>
            <w:rStyle w:val="Hyperlink"/>
            <w:rFonts w:hint="cs"/>
            <w:noProof/>
            <w:rtl/>
          </w:rPr>
          <w:t>قلمداران</w:t>
        </w:r>
        <w:r w:rsidRPr="00F14100">
          <w:rPr>
            <w:rStyle w:val="Hyperlink"/>
            <w:noProof/>
            <w:rtl/>
          </w:rPr>
          <w:t xml:space="preserve"> </w:t>
        </w:r>
        <w:r w:rsidRPr="00F14100">
          <w:rPr>
            <w:rStyle w:val="Hyperlink"/>
            <w:rFonts w:hint="cs"/>
            <w:noProof/>
            <w:rtl/>
          </w:rPr>
          <w:t>والشعر</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Toc387843037 \h</w:instrText>
        </w:r>
        <w:r>
          <w:rPr>
            <w:noProof/>
            <w:webHidden/>
            <w:rtl/>
          </w:rPr>
          <w:instrText xml:space="preserve"> </w:instrText>
        </w:r>
        <w:r>
          <w:rPr>
            <w:rStyle w:val="Hyperlink"/>
            <w:noProof/>
            <w:rtl/>
          </w:rPr>
        </w:r>
        <w:r>
          <w:rPr>
            <w:rStyle w:val="Hyperlink"/>
            <w:noProof/>
            <w:rtl/>
          </w:rPr>
          <w:fldChar w:fldCharType="separate"/>
        </w:r>
        <w:r w:rsidR="00755AAC">
          <w:rPr>
            <w:noProof/>
            <w:webHidden/>
            <w:rtl/>
          </w:rPr>
          <w:t>2</w:t>
        </w:r>
        <w:r>
          <w:rPr>
            <w:rStyle w:val="Hyperlink"/>
            <w:noProof/>
            <w:rtl/>
          </w:rPr>
          <w:fldChar w:fldCharType="end"/>
        </w:r>
      </w:hyperlink>
    </w:p>
    <w:p w:rsidR="00F90700" w:rsidRPr="008607E3" w:rsidRDefault="00F90700">
      <w:pPr>
        <w:pStyle w:val="TOC2"/>
        <w:rPr>
          <w:rFonts w:ascii="Calibri" w:hAnsi="Calibri" w:cs="Arial"/>
          <w:noProof/>
          <w:sz w:val="22"/>
          <w:szCs w:val="22"/>
          <w:rtl/>
          <w:lang w:eastAsia="en-US" w:bidi="fa-IR"/>
        </w:rPr>
      </w:pPr>
      <w:hyperlink w:anchor="_Toc387843038" w:history="1">
        <w:r w:rsidRPr="00D52B3E">
          <w:rPr>
            <w:rStyle w:val="Hyperlink"/>
            <w:rFonts w:hint="cs"/>
            <w:noProof/>
            <w:sz w:val="24"/>
            <w:szCs w:val="22"/>
          </w:rPr>
          <w:sym w:font="AGA Arabesque" w:char="F02A"/>
        </w:r>
        <w:r w:rsidRPr="00F14100">
          <w:rPr>
            <w:rStyle w:val="Hyperlink"/>
            <w:noProof/>
            <w:rtl/>
          </w:rPr>
          <w:t xml:space="preserve"> </w:t>
        </w:r>
        <w:r w:rsidRPr="00F14100">
          <w:rPr>
            <w:rStyle w:val="Hyperlink"/>
            <w:rFonts w:hint="cs"/>
            <w:noProof/>
            <w:rtl/>
          </w:rPr>
          <w:t>صلة</w:t>
        </w:r>
        <w:r w:rsidRPr="00F14100">
          <w:rPr>
            <w:rStyle w:val="Hyperlink"/>
            <w:noProof/>
            <w:rtl/>
          </w:rPr>
          <w:t xml:space="preserve"> «</w:t>
        </w:r>
        <w:r w:rsidRPr="00F14100">
          <w:rPr>
            <w:rStyle w:val="Hyperlink"/>
            <w:rFonts w:hint="cs"/>
            <w:noProof/>
            <w:rtl/>
          </w:rPr>
          <w:t>قلمداران</w:t>
        </w:r>
        <w:r w:rsidRPr="00F14100">
          <w:rPr>
            <w:rStyle w:val="Hyperlink"/>
            <w:rFonts w:hint="eastAsia"/>
            <w:noProof/>
            <w:rtl/>
          </w:rPr>
          <w:t>»</w:t>
        </w:r>
        <w:r w:rsidRPr="00F14100">
          <w:rPr>
            <w:rStyle w:val="Hyperlink"/>
            <w:noProof/>
            <w:rtl/>
          </w:rPr>
          <w:t xml:space="preserve"> </w:t>
        </w:r>
        <w:r w:rsidRPr="00F14100">
          <w:rPr>
            <w:rStyle w:val="Hyperlink"/>
            <w:rFonts w:hint="cs"/>
            <w:noProof/>
            <w:rtl/>
          </w:rPr>
          <w:t>بالشخصيات</w:t>
        </w:r>
        <w:r w:rsidRPr="00F14100">
          <w:rPr>
            <w:rStyle w:val="Hyperlink"/>
            <w:noProof/>
            <w:rtl/>
          </w:rPr>
          <w:t xml:space="preserve"> </w:t>
        </w:r>
        <w:r w:rsidRPr="00F14100">
          <w:rPr>
            <w:rStyle w:val="Hyperlink"/>
            <w:rFonts w:hint="cs"/>
            <w:noProof/>
            <w:rtl/>
          </w:rPr>
          <w:t>المعاصرة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Toc387843038 \h</w:instrText>
        </w:r>
        <w:r>
          <w:rPr>
            <w:noProof/>
            <w:webHidden/>
            <w:rtl/>
          </w:rPr>
          <w:instrText xml:space="preserve"> </w:instrText>
        </w:r>
        <w:r>
          <w:rPr>
            <w:rStyle w:val="Hyperlink"/>
            <w:noProof/>
            <w:rtl/>
          </w:rPr>
        </w:r>
        <w:r>
          <w:rPr>
            <w:rStyle w:val="Hyperlink"/>
            <w:noProof/>
            <w:rtl/>
          </w:rPr>
          <w:fldChar w:fldCharType="separate"/>
        </w:r>
        <w:r w:rsidR="00755AAC">
          <w:rPr>
            <w:noProof/>
            <w:webHidden/>
            <w:rtl/>
          </w:rPr>
          <w:t>2</w:t>
        </w:r>
        <w:r>
          <w:rPr>
            <w:rStyle w:val="Hyperlink"/>
            <w:noProof/>
            <w:rtl/>
          </w:rPr>
          <w:fldChar w:fldCharType="end"/>
        </w:r>
      </w:hyperlink>
    </w:p>
    <w:p w:rsidR="00F90700" w:rsidRPr="008607E3" w:rsidRDefault="00F90700">
      <w:pPr>
        <w:pStyle w:val="TOC3"/>
        <w:tabs>
          <w:tab w:val="right" w:leader="dot" w:pos="7248"/>
        </w:tabs>
        <w:bidi/>
        <w:rPr>
          <w:rFonts w:cs="Arial"/>
          <w:noProof/>
          <w:szCs w:val="22"/>
          <w:rtl/>
          <w:lang w:bidi="fa-IR"/>
        </w:rPr>
      </w:pPr>
      <w:hyperlink w:anchor="_Toc387843039" w:history="1">
        <w:r w:rsidRPr="00F14100">
          <w:rPr>
            <w:rStyle w:val="Hyperlink"/>
            <w:noProof/>
            <w:rtl/>
          </w:rPr>
          <w:t xml:space="preserve">1- </w:t>
        </w:r>
        <w:r w:rsidRPr="00F14100">
          <w:rPr>
            <w:rStyle w:val="Hyperlink"/>
            <w:rFonts w:hint="cs"/>
            <w:noProof/>
            <w:rtl/>
          </w:rPr>
          <w:t>العلامة</w:t>
        </w:r>
        <w:r w:rsidRPr="00F14100">
          <w:rPr>
            <w:rStyle w:val="Hyperlink"/>
            <w:noProof/>
            <w:rtl/>
          </w:rPr>
          <w:t xml:space="preserve"> </w:t>
        </w:r>
        <w:r w:rsidRPr="00F14100">
          <w:rPr>
            <w:rStyle w:val="Hyperlink"/>
            <w:rFonts w:hint="cs"/>
            <w:noProof/>
            <w:rtl/>
          </w:rPr>
          <w:t>الشيخ</w:t>
        </w:r>
        <w:r w:rsidRPr="00F14100">
          <w:rPr>
            <w:rStyle w:val="Hyperlink"/>
            <w:noProof/>
            <w:rtl/>
          </w:rPr>
          <w:t xml:space="preserve"> </w:t>
        </w:r>
        <w:r w:rsidRPr="00F14100">
          <w:rPr>
            <w:rStyle w:val="Hyperlink"/>
            <w:rFonts w:hint="cs"/>
            <w:noProof/>
            <w:rtl/>
          </w:rPr>
          <w:t>محمد</w:t>
        </w:r>
        <w:r w:rsidRPr="00F14100">
          <w:rPr>
            <w:rStyle w:val="Hyperlink"/>
            <w:noProof/>
            <w:rtl/>
          </w:rPr>
          <w:t xml:space="preserve"> </w:t>
        </w:r>
        <w:r w:rsidRPr="00F14100">
          <w:rPr>
            <w:rStyle w:val="Hyperlink"/>
            <w:rFonts w:hint="cs"/>
            <w:noProof/>
            <w:rtl/>
          </w:rPr>
          <w:t>الخالصي</w:t>
        </w:r>
        <w:r w:rsidRPr="00F14100">
          <w:rPr>
            <w:rStyle w:val="Hyperlink"/>
            <w:noProof/>
            <w:rtl/>
          </w:rPr>
          <w:t xml:space="preserve"> (</w:t>
        </w:r>
        <w:r w:rsidRPr="00F14100">
          <w:rPr>
            <w:rStyle w:val="Hyperlink"/>
            <w:rFonts w:hint="cs"/>
            <w:noProof/>
            <w:rtl/>
          </w:rPr>
          <w:t>رحمه</w:t>
        </w:r>
        <w:r w:rsidRPr="00F14100">
          <w:rPr>
            <w:rStyle w:val="Hyperlink"/>
            <w:noProof/>
            <w:rtl/>
          </w:rPr>
          <w:t xml:space="preserve"> </w:t>
        </w:r>
        <w:r w:rsidRPr="00F14100">
          <w:rPr>
            <w:rStyle w:val="Hyperlink"/>
            <w:rFonts w:hint="cs"/>
            <w:noProof/>
            <w:rtl/>
          </w:rPr>
          <w:t>الله</w:t>
        </w:r>
        <w:r w:rsidRPr="00F14100">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Toc387843039 \h</w:instrText>
        </w:r>
        <w:r>
          <w:rPr>
            <w:noProof/>
            <w:webHidden/>
            <w:rtl/>
          </w:rPr>
          <w:instrText xml:space="preserve"> </w:instrText>
        </w:r>
        <w:r>
          <w:rPr>
            <w:rStyle w:val="Hyperlink"/>
            <w:noProof/>
            <w:rtl/>
          </w:rPr>
        </w:r>
        <w:r>
          <w:rPr>
            <w:rStyle w:val="Hyperlink"/>
            <w:noProof/>
            <w:rtl/>
          </w:rPr>
          <w:fldChar w:fldCharType="separate"/>
        </w:r>
        <w:r w:rsidR="00755AAC">
          <w:rPr>
            <w:noProof/>
            <w:webHidden/>
            <w:rtl/>
          </w:rPr>
          <w:t>2</w:t>
        </w:r>
        <w:r>
          <w:rPr>
            <w:rStyle w:val="Hyperlink"/>
            <w:noProof/>
            <w:rtl/>
          </w:rPr>
          <w:fldChar w:fldCharType="end"/>
        </w:r>
      </w:hyperlink>
    </w:p>
    <w:p w:rsidR="00F90700" w:rsidRPr="008607E3" w:rsidRDefault="00F90700">
      <w:pPr>
        <w:pStyle w:val="TOC3"/>
        <w:tabs>
          <w:tab w:val="right" w:leader="dot" w:pos="7248"/>
        </w:tabs>
        <w:bidi/>
        <w:rPr>
          <w:rFonts w:cs="Arial"/>
          <w:noProof/>
          <w:szCs w:val="22"/>
          <w:rtl/>
          <w:lang w:bidi="fa-IR"/>
        </w:rPr>
      </w:pPr>
      <w:hyperlink w:anchor="_Toc387843040" w:history="1">
        <w:r w:rsidRPr="00F14100">
          <w:rPr>
            <w:rStyle w:val="Hyperlink"/>
            <w:noProof/>
            <w:rtl/>
          </w:rPr>
          <w:t xml:space="preserve">2- </w:t>
        </w:r>
        <w:r w:rsidRPr="00F14100">
          <w:rPr>
            <w:rStyle w:val="Hyperlink"/>
            <w:rFonts w:hint="cs"/>
            <w:noProof/>
            <w:rtl/>
          </w:rPr>
          <w:t>المهندس</w:t>
        </w:r>
        <w:r w:rsidRPr="00F14100">
          <w:rPr>
            <w:rStyle w:val="Hyperlink"/>
            <w:noProof/>
            <w:rtl/>
          </w:rPr>
          <w:t xml:space="preserve"> </w:t>
        </w:r>
        <w:r w:rsidRPr="00F14100">
          <w:rPr>
            <w:rStyle w:val="Hyperlink"/>
            <w:rFonts w:hint="cs"/>
            <w:noProof/>
            <w:rtl/>
          </w:rPr>
          <w:t>مهدي</w:t>
        </w:r>
        <w:r w:rsidRPr="00F14100">
          <w:rPr>
            <w:rStyle w:val="Hyperlink"/>
            <w:noProof/>
            <w:rtl/>
          </w:rPr>
          <w:t xml:space="preserve"> «</w:t>
        </w:r>
        <w:r w:rsidRPr="00F14100">
          <w:rPr>
            <w:rStyle w:val="Hyperlink"/>
            <w:rFonts w:hint="cs"/>
            <w:noProof/>
            <w:rtl/>
          </w:rPr>
          <w:t>بازركان</w:t>
        </w:r>
        <w:r w:rsidRPr="00F14100">
          <w:rPr>
            <w:rStyle w:val="Hyperlink"/>
            <w:rFonts w:hint="eastAsia"/>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Toc387843040 \h</w:instrText>
        </w:r>
        <w:r>
          <w:rPr>
            <w:noProof/>
            <w:webHidden/>
            <w:rtl/>
          </w:rPr>
          <w:instrText xml:space="preserve"> </w:instrText>
        </w:r>
        <w:r>
          <w:rPr>
            <w:rStyle w:val="Hyperlink"/>
            <w:noProof/>
            <w:rtl/>
          </w:rPr>
        </w:r>
        <w:r>
          <w:rPr>
            <w:rStyle w:val="Hyperlink"/>
            <w:noProof/>
            <w:rtl/>
          </w:rPr>
          <w:fldChar w:fldCharType="separate"/>
        </w:r>
        <w:r w:rsidR="00755AAC">
          <w:rPr>
            <w:noProof/>
            <w:webHidden/>
            <w:rtl/>
          </w:rPr>
          <w:t>2</w:t>
        </w:r>
        <w:r>
          <w:rPr>
            <w:rStyle w:val="Hyperlink"/>
            <w:noProof/>
            <w:rtl/>
          </w:rPr>
          <w:fldChar w:fldCharType="end"/>
        </w:r>
      </w:hyperlink>
    </w:p>
    <w:p w:rsidR="00F90700" w:rsidRPr="008607E3" w:rsidRDefault="00F90700">
      <w:pPr>
        <w:pStyle w:val="TOC3"/>
        <w:tabs>
          <w:tab w:val="right" w:leader="dot" w:pos="7248"/>
        </w:tabs>
        <w:bidi/>
        <w:rPr>
          <w:rFonts w:cs="Arial"/>
          <w:noProof/>
          <w:szCs w:val="22"/>
          <w:rtl/>
          <w:lang w:bidi="fa-IR"/>
        </w:rPr>
      </w:pPr>
      <w:hyperlink w:anchor="_Toc387843041" w:history="1">
        <w:r w:rsidRPr="00F14100">
          <w:rPr>
            <w:rStyle w:val="Hyperlink"/>
            <w:noProof/>
            <w:rtl/>
          </w:rPr>
          <w:t xml:space="preserve">3- </w:t>
        </w:r>
        <w:r w:rsidRPr="00F14100">
          <w:rPr>
            <w:rStyle w:val="Hyperlink"/>
            <w:rFonts w:hint="cs"/>
            <w:noProof/>
            <w:rtl/>
          </w:rPr>
          <w:t>الدكتور</w:t>
        </w:r>
        <w:r w:rsidRPr="00F14100">
          <w:rPr>
            <w:rStyle w:val="Hyperlink"/>
            <w:noProof/>
            <w:rtl/>
          </w:rPr>
          <w:t xml:space="preserve"> </w:t>
        </w:r>
        <w:r w:rsidRPr="00F14100">
          <w:rPr>
            <w:rStyle w:val="Hyperlink"/>
            <w:rFonts w:hint="cs"/>
            <w:noProof/>
            <w:rtl/>
          </w:rPr>
          <w:t>علي</w:t>
        </w:r>
        <w:r w:rsidRPr="00F14100">
          <w:rPr>
            <w:rStyle w:val="Hyperlink"/>
            <w:noProof/>
            <w:rtl/>
          </w:rPr>
          <w:t xml:space="preserve"> </w:t>
        </w:r>
        <w:r w:rsidRPr="00F14100">
          <w:rPr>
            <w:rStyle w:val="Hyperlink"/>
            <w:rFonts w:hint="cs"/>
            <w:noProof/>
            <w:rtl/>
          </w:rPr>
          <w:t>شريعتي</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Toc387843041 \h</w:instrText>
        </w:r>
        <w:r>
          <w:rPr>
            <w:noProof/>
            <w:webHidden/>
            <w:rtl/>
          </w:rPr>
          <w:instrText xml:space="preserve"> </w:instrText>
        </w:r>
        <w:r>
          <w:rPr>
            <w:rStyle w:val="Hyperlink"/>
            <w:noProof/>
            <w:rtl/>
          </w:rPr>
        </w:r>
        <w:r>
          <w:rPr>
            <w:rStyle w:val="Hyperlink"/>
            <w:noProof/>
            <w:rtl/>
          </w:rPr>
          <w:fldChar w:fldCharType="separate"/>
        </w:r>
        <w:r w:rsidR="00755AAC">
          <w:rPr>
            <w:noProof/>
            <w:webHidden/>
            <w:rtl/>
          </w:rPr>
          <w:t>2</w:t>
        </w:r>
        <w:r>
          <w:rPr>
            <w:rStyle w:val="Hyperlink"/>
            <w:noProof/>
            <w:rtl/>
          </w:rPr>
          <w:fldChar w:fldCharType="end"/>
        </w:r>
      </w:hyperlink>
    </w:p>
    <w:p w:rsidR="00F90700" w:rsidRPr="008607E3" w:rsidRDefault="00F90700">
      <w:pPr>
        <w:pStyle w:val="TOC3"/>
        <w:tabs>
          <w:tab w:val="right" w:leader="dot" w:pos="7248"/>
        </w:tabs>
        <w:bidi/>
        <w:rPr>
          <w:rFonts w:cs="Arial"/>
          <w:noProof/>
          <w:szCs w:val="22"/>
          <w:rtl/>
          <w:lang w:bidi="fa-IR"/>
        </w:rPr>
      </w:pPr>
      <w:hyperlink w:anchor="_Toc387843042" w:history="1">
        <w:r w:rsidRPr="00F14100">
          <w:rPr>
            <w:rStyle w:val="Hyperlink"/>
            <w:noProof/>
            <w:rtl/>
          </w:rPr>
          <w:t xml:space="preserve">4- </w:t>
        </w:r>
        <w:r w:rsidRPr="00F14100">
          <w:rPr>
            <w:rStyle w:val="Hyperlink"/>
            <w:rFonts w:hint="cs"/>
            <w:noProof/>
            <w:rtl/>
          </w:rPr>
          <w:t>الأستاذ</w:t>
        </w:r>
        <w:r w:rsidRPr="00F14100">
          <w:rPr>
            <w:rStyle w:val="Hyperlink"/>
            <w:noProof/>
            <w:rtl/>
          </w:rPr>
          <w:t xml:space="preserve"> </w:t>
        </w:r>
        <w:r w:rsidRPr="00F14100">
          <w:rPr>
            <w:rStyle w:val="Hyperlink"/>
            <w:rFonts w:hint="cs"/>
            <w:noProof/>
            <w:rtl/>
          </w:rPr>
          <w:t>الشيخ</w:t>
        </w:r>
        <w:r w:rsidRPr="00F14100">
          <w:rPr>
            <w:rStyle w:val="Hyperlink"/>
            <w:noProof/>
            <w:rtl/>
          </w:rPr>
          <w:t xml:space="preserve"> </w:t>
        </w:r>
        <w:r w:rsidRPr="00F14100">
          <w:rPr>
            <w:rStyle w:val="Hyperlink"/>
            <w:rFonts w:hint="cs"/>
            <w:noProof/>
            <w:rtl/>
          </w:rPr>
          <w:t>مرتضي</w:t>
        </w:r>
        <w:r w:rsidRPr="00F14100">
          <w:rPr>
            <w:rStyle w:val="Hyperlink"/>
            <w:noProof/>
            <w:rtl/>
          </w:rPr>
          <w:t xml:space="preserve"> «</w:t>
        </w:r>
        <w:r w:rsidRPr="00F14100">
          <w:rPr>
            <w:rStyle w:val="Hyperlink"/>
            <w:rFonts w:hint="cs"/>
            <w:noProof/>
            <w:rtl/>
          </w:rPr>
          <w:t>مطهري</w:t>
        </w:r>
        <w:r w:rsidRPr="00F14100">
          <w:rPr>
            <w:rStyle w:val="Hyperlink"/>
            <w:rFonts w:hint="eastAsia"/>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Toc387843042 \h</w:instrText>
        </w:r>
        <w:r>
          <w:rPr>
            <w:noProof/>
            <w:webHidden/>
            <w:rtl/>
          </w:rPr>
          <w:instrText xml:space="preserve"> </w:instrText>
        </w:r>
        <w:r>
          <w:rPr>
            <w:rStyle w:val="Hyperlink"/>
            <w:noProof/>
            <w:rtl/>
          </w:rPr>
        </w:r>
        <w:r>
          <w:rPr>
            <w:rStyle w:val="Hyperlink"/>
            <w:noProof/>
            <w:rtl/>
          </w:rPr>
          <w:fldChar w:fldCharType="separate"/>
        </w:r>
        <w:r w:rsidR="00755AAC">
          <w:rPr>
            <w:noProof/>
            <w:webHidden/>
            <w:rtl/>
          </w:rPr>
          <w:t>2</w:t>
        </w:r>
        <w:r>
          <w:rPr>
            <w:rStyle w:val="Hyperlink"/>
            <w:noProof/>
            <w:rtl/>
          </w:rPr>
          <w:fldChar w:fldCharType="end"/>
        </w:r>
      </w:hyperlink>
    </w:p>
    <w:p w:rsidR="00F90700" w:rsidRPr="008607E3" w:rsidRDefault="00F90700">
      <w:pPr>
        <w:pStyle w:val="TOC3"/>
        <w:tabs>
          <w:tab w:val="right" w:leader="dot" w:pos="7248"/>
        </w:tabs>
        <w:bidi/>
        <w:rPr>
          <w:rFonts w:cs="Arial"/>
          <w:noProof/>
          <w:szCs w:val="22"/>
          <w:rtl/>
          <w:lang w:bidi="fa-IR"/>
        </w:rPr>
      </w:pPr>
      <w:hyperlink w:anchor="_Toc387843043" w:history="1">
        <w:r w:rsidRPr="00F14100">
          <w:rPr>
            <w:rStyle w:val="Hyperlink"/>
            <w:noProof/>
            <w:rtl/>
            <w:lang w:bidi="ar-SY"/>
          </w:rPr>
          <w:t xml:space="preserve">5- </w:t>
        </w:r>
        <w:r w:rsidRPr="00F14100">
          <w:rPr>
            <w:rStyle w:val="Hyperlink"/>
            <w:rFonts w:hint="cs"/>
            <w:noProof/>
            <w:rtl/>
            <w:lang w:bidi="ar-SY"/>
          </w:rPr>
          <w:t>آيت</w:t>
        </w:r>
        <w:r w:rsidRPr="00F14100">
          <w:rPr>
            <w:rStyle w:val="Hyperlink"/>
            <w:noProof/>
            <w:rtl/>
            <w:lang w:bidi="ar-SY"/>
          </w:rPr>
          <w:t xml:space="preserve"> </w:t>
        </w:r>
        <w:r w:rsidRPr="00F14100">
          <w:rPr>
            <w:rStyle w:val="Hyperlink"/>
            <w:rFonts w:hint="cs"/>
            <w:noProof/>
            <w:rtl/>
            <w:lang w:bidi="ar-SY"/>
          </w:rPr>
          <w:t>الله</w:t>
        </w:r>
        <w:r w:rsidRPr="00F14100">
          <w:rPr>
            <w:rStyle w:val="Hyperlink"/>
            <w:noProof/>
            <w:rtl/>
            <w:lang w:bidi="ar-SY"/>
          </w:rPr>
          <w:t xml:space="preserve"> </w:t>
        </w:r>
        <w:r w:rsidRPr="00F14100">
          <w:rPr>
            <w:rStyle w:val="Hyperlink"/>
            <w:rFonts w:hint="cs"/>
            <w:noProof/>
            <w:rtl/>
            <w:lang w:bidi="ar-SY"/>
          </w:rPr>
          <w:t>العظمى</w:t>
        </w:r>
        <w:r w:rsidRPr="00F14100">
          <w:rPr>
            <w:rStyle w:val="Hyperlink"/>
            <w:noProof/>
            <w:rtl/>
            <w:lang w:bidi="ar-SY"/>
          </w:rPr>
          <w:t xml:space="preserve"> </w:t>
        </w:r>
        <w:r w:rsidRPr="00F14100">
          <w:rPr>
            <w:rStyle w:val="Hyperlink"/>
            <w:rFonts w:hint="cs"/>
            <w:noProof/>
            <w:rtl/>
            <w:lang w:bidi="ar-SY"/>
          </w:rPr>
          <w:t>حسينعلي</w:t>
        </w:r>
        <w:r w:rsidRPr="00F14100">
          <w:rPr>
            <w:rStyle w:val="Hyperlink"/>
            <w:noProof/>
            <w:rtl/>
            <w:lang w:bidi="ar-SY"/>
          </w:rPr>
          <w:t xml:space="preserve"> </w:t>
        </w:r>
        <w:r w:rsidRPr="00F14100">
          <w:rPr>
            <w:rStyle w:val="Hyperlink"/>
            <w:rFonts w:hint="cs"/>
            <w:noProof/>
            <w:rtl/>
            <w:lang w:bidi="ar-SY"/>
          </w:rPr>
          <w:t>منتظري</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Toc387843043 \h</w:instrText>
        </w:r>
        <w:r>
          <w:rPr>
            <w:noProof/>
            <w:webHidden/>
            <w:rtl/>
          </w:rPr>
          <w:instrText xml:space="preserve"> </w:instrText>
        </w:r>
        <w:r>
          <w:rPr>
            <w:rStyle w:val="Hyperlink"/>
            <w:noProof/>
            <w:rtl/>
          </w:rPr>
        </w:r>
        <w:r>
          <w:rPr>
            <w:rStyle w:val="Hyperlink"/>
            <w:noProof/>
            <w:rtl/>
          </w:rPr>
          <w:fldChar w:fldCharType="separate"/>
        </w:r>
        <w:r w:rsidR="00755AAC">
          <w:rPr>
            <w:noProof/>
            <w:webHidden/>
            <w:rtl/>
          </w:rPr>
          <w:t>2</w:t>
        </w:r>
        <w:r>
          <w:rPr>
            <w:rStyle w:val="Hyperlink"/>
            <w:noProof/>
            <w:rtl/>
          </w:rPr>
          <w:fldChar w:fldCharType="end"/>
        </w:r>
      </w:hyperlink>
    </w:p>
    <w:p w:rsidR="00F90700" w:rsidRPr="008607E3" w:rsidRDefault="00F90700">
      <w:pPr>
        <w:pStyle w:val="TOC2"/>
        <w:rPr>
          <w:rFonts w:ascii="Calibri" w:hAnsi="Calibri" w:cs="Arial"/>
          <w:noProof/>
          <w:sz w:val="22"/>
          <w:szCs w:val="22"/>
          <w:rtl/>
          <w:lang w:eastAsia="en-US" w:bidi="fa-IR"/>
        </w:rPr>
      </w:pPr>
      <w:hyperlink w:anchor="_Toc387843044" w:history="1">
        <w:r w:rsidRPr="00D52B3E">
          <w:rPr>
            <w:rStyle w:val="Hyperlink"/>
            <w:rFonts w:hint="cs"/>
            <w:noProof/>
            <w:sz w:val="24"/>
            <w:szCs w:val="22"/>
          </w:rPr>
          <w:sym w:font="AGA Arabesque" w:char="F02A"/>
        </w:r>
        <w:r w:rsidRPr="00F14100">
          <w:rPr>
            <w:rStyle w:val="Hyperlink"/>
            <w:noProof/>
            <w:rtl/>
          </w:rPr>
          <w:t xml:space="preserve"> </w:t>
        </w:r>
        <w:r w:rsidRPr="00F14100">
          <w:rPr>
            <w:rStyle w:val="Hyperlink"/>
            <w:rFonts w:hint="cs"/>
            <w:noProof/>
            <w:rtl/>
          </w:rPr>
          <w:t>حادثة</w:t>
        </w:r>
        <w:r w:rsidRPr="00F14100">
          <w:rPr>
            <w:rStyle w:val="Hyperlink"/>
            <w:noProof/>
            <w:rtl/>
          </w:rPr>
          <w:t xml:space="preserve"> </w:t>
        </w:r>
        <w:r w:rsidRPr="00F14100">
          <w:rPr>
            <w:rStyle w:val="Hyperlink"/>
            <w:rFonts w:hint="cs"/>
            <w:noProof/>
            <w:rtl/>
          </w:rPr>
          <w:t>اغتيال</w:t>
        </w:r>
        <w:r w:rsidRPr="00F14100">
          <w:rPr>
            <w:rStyle w:val="Hyperlink"/>
            <w:noProof/>
            <w:rtl/>
          </w:rPr>
          <w:t xml:space="preserve"> </w:t>
        </w:r>
        <w:r w:rsidRPr="00F14100">
          <w:rPr>
            <w:rStyle w:val="Hyperlink"/>
            <w:rFonts w:hint="cs"/>
            <w:noProof/>
            <w:rtl/>
          </w:rPr>
          <w:t>الأستاذ</w:t>
        </w:r>
        <w:r w:rsidRPr="00F14100">
          <w:rPr>
            <w:rStyle w:val="Hyperlink"/>
            <w:noProof/>
            <w:rtl/>
          </w:rPr>
          <w:t xml:space="preserve"> «</w:t>
        </w:r>
        <w:r w:rsidRPr="00F14100">
          <w:rPr>
            <w:rStyle w:val="Hyperlink"/>
            <w:rFonts w:hint="cs"/>
            <w:noProof/>
            <w:rtl/>
          </w:rPr>
          <w:t>قلمداران</w:t>
        </w:r>
        <w:r w:rsidRPr="00F14100">
          <w:rPr>
            <w:rStyle w:val="Hyperlink"/>
            <w:rFonts w:hint="eastAsia"/>
            <w:noProof/>
            <w:rtl/>
          </w:rPr>
          <w:t>»</w:t>
        </w:r>
        <w:r w:rsidRPr="00F14100">
          <w:rPr>
            <w:rStyle w:val="Hyperlink"/>
            <w:noProof/>
            <w:rtl/>
          </w:rPr>
          <w:t xml:space="preserve"> </w:t>
        </w:r>
        <w:r w:rsidRPr="00F14100">
          <w:rPr>
            <w:rStyle w:val="Hyperlink"/>
            <w:rFonts w:hint="cs"/>
            <w:noProof/>
            <w:rtl/>
          </w:rPr>
          <w:t>والحوادث</w:t>
        </w:r>
        <w:r w:rsidRPr="00F14100">
          <w:rPr>
            <w:rStyle w:val="Hyperlink"/>
            <w:noProof/>
            <w:rtl/>
          </w:rPr>
          <w:t xml:space="preserve"> </w:t>
        </w:r>
        <w:r w:rsidRPr="00F14100">
          <w:rPr>
            <w:rStyle w:val="Hyperlink"/>
            <w:rFonts w:hint="cs"/>
            <w:noProof/>
            <w:rtl/>
          </w:rPr>
          <w:t>المؤلمة</w:t>
        </w:r>
        <w:r w:rsidRPr="00F14100">
          <w:rPr>
            <w:rStyle w:val="Hyperlink"/>
            <w:noProof/>
            <w:rtl/>
          </w:rPr>
          <w:t xml:space="preserve"> </w:t>
        </w:r>
        <w:r w:rsidRPr="00F14100">
          <w:rPr>
            <w:rStyle w:val="Hyperlink"/>
            <w:rFonts w:hint="cs"/>
            <w:noProof/>
            <w:rtl/>
          </w:rPr>
          <w:t>الأخرى</w:t>
        </w:r>
        <w:r w:rsidRPr="00F14100">
          <w:rPr>
            <w:rStyle w:val="Hyperlink"/>
            <w:noProof/>
            <w:rtl/>
          </w:rPr>
          <w:t xml:space="preserve"> </w:t>
        </w:r>
        <w:r w:rsidRPr="00F14100">
          <w:rPr>
            <w:rStyle w:val="Hyperlink"/>
            <w:rFonts w:hint="cs"/>
            <w:noProof/>
            <w:rtl/>
          </w:rPr>
          <w:t>في</w:t>
        </w:r>
        <w:r w:rsidRPr="00F14100">
          <w:rPr>
            <w:rStyle w:val="Hyperlink"/>
            <w:noProof/>
            <w:rtl/>
          </w:rPr>
          <w:t xml:space="preserve"> </w:t>
        </w:r>
        <w:r w:rsidRPr="00F14100">
          <w:rPr>
            <w:rStyle w:val="Hyperlink"/>
            <w:rFonts w:hint="cs"/>
            <w:noProof/>
            <w:rtl/>
          </w:rPr>
          <w:t>حياته</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Toc387843044 \h</w:instrText>
        </w:r>
        <w:r>
          <w:rPr>
            <w:noProof/>
            <w:webHidden/>
            <w:rtl/>
          </w:rPr>
          <w:instrText xml:space="preserve"> </w:instrText>
        </w:r>
        <w:r>
          <w:rPr>
            <w:rStyle w:val="Hyperlink"/>
            <w:noProof/>
            <w:rtl/>
          </w:rPr>
        </w:r>
        <w:r>
          <w:rPr>
            <w:rStyle w:val="Hyperlink"/>
            <w:noProof/>
            <w:rtl/>
          </w:rPr>
          <w:fldChar w:fldCharType="separate"/>
        </w:r>
        <w:r w:rsidR="00755AAC">
          <w:rPr>
            <w:noProof/>
            <w:webHidden/>
            <w:rtl/>
          </w:rPr>
          <w:t>2</w:t>
        </w:r>
        <w:r>
          <w:rPr>
            <w:rStyle w:val="Hyperlink"/>
            <w:noProof/>
            <w:rtl/>
          </w:rPr>
          <w:fldChar w:fldCharType="end"/>
        </w:r>
      </w:hyperlink>
    </w:p>
    <w:p w:rsidR="00F90700" w:rsidRPr="008607E3" w:rsidRDefault="00F90700">
      <w:pPr>
        <w:pStyle w:val="TOC2"/>
        <w:rPr>
          <w:rFonts w:ascii="Calibri" w:hAnsi="Calibri" w:cs="Arial"/>
          <w:noProof/>
          <w:sz w:val="22"/>
          <w:szCs w:val="22"/>
          <w:rtl/>
          <w:lang w:eastAsia="en-US" w:bidi="fa-IR"/>
        </w:rPr>
      </w:pPr>
      <w:hyperlink w:anchor="_Toc387843045" w:history="1">
        <w:r w:rsidRPr="00D52B3E">
          <w:rPr>
            <w:rStyle w:val="Hyperlink"/>
            <w:rFonts w:hint="cs"/>
            <w:noProof/>
            <w:sz w:val="24"/>
            <w:szCs w:val="22"/>
          </w:rPr>
          <w:sym w:font="AGA Arabesque" w:char="F02A"/>
        </w:r>
        <w:r w:rsidRPr="00F14100">
          <w:rPr>
            <w:rStyle w:val="Hyperlink"/>
            <w:noProof/>
            <w:rtl/>
          </w:rPr>
          <w:t xml:space="preserve"> </w:t>
        </w:r>
        <w:r w:rsidRPr="00F14100">
          <w:rPr>
            <w:rStyle w:val="Hyperlink"/>
            <w:rFonts w:hint="cs"/>
            <w:noProof/>
            <w:rtl/>
          </w:rPr>
          <w:t>الخلق</w:t>
        </w:r>
        <w:r w:rsidRPr="00F14100">
          <w:rPr>
            <w:rStyle w:val="Hyperlink"/>
            <w:noProof/>
            <w:rtl/>
          </w:rPr>
          <w:t xml:space="preserve"> </w:t>
        </w:r>
        <w:r w:rsidRPr="00F14100">
          <w:rPr>
            <w:rStyle w:val="Hyperlink"/>
            <w:rFonts w:hint="cs"/>
            <w:noProof/>
            <w:rtl/>
          </w:rPr>
          <w:t>الرفيع</w:t>
        </w:r>
        <w:r w:rsidRPr="00F14100">
          <w:rPr>
            <w:rStyle w:val="Hyperlink"/>
            <w:noProof/>
            <w:rtl/>
          </w:rPr>
          <w:t xml:space="preserve"> </w:t>
        </w:r>
        <w:r w:rsidRPr="00F14100">
          <w:rPr>
            <w:rStyle w:val="Hyperlink"/>
            <w:rFonts w:hint="cs"/>
            <w:noProof/>
            <w:rtl/>
          </w:rPr>
          <w:t>عند</w:t>
        </w:r>
        <w:r w:rsidRPr="00F14100">
          <w:rPr>
            <w:rStyle w:val="Hyperlink"/>
            <w:noProof/>
            <w:rtl/>
          </w:rPr>
          <w:t xml:space="preserve"> </w:t>
        </w:r>
        <w:r w:rsidRPr="00F14100">
          <w:rPr>
            <w:rStyle w:val="Hyperlink"/>
            <w:rFonts w:hint="cs"/>
            <w:noProof/>
            <w:rtl/>
          </w:rPr>
          <w:t>الأستاذ</w:t>
        </w:r>
        <w:r w:rsidRPr="00F14100">
          <w:rPr>
            <w:rStyle w:val="Hyperlink"/>
            <w:noProof/>
            <w:rtl/>
          </w:rPr>
          <w:t xml:space="preserve"> «</w:t>
        </w:r>
        <w:r w:rsidRPr="00F14100">
          <w:rPr>
            <w:rStyle w:val="Hyperlink"/>
            <w:rFonts w:hint="cs"/>
            <w:noProof/>
            <w:rtl/>
          </w:rPr>
          <w:t>قلمداران</w:t>
        </w:r>
        <w:r w:rsidRPr="00F14100">
          <w:rPr>
            <w:rStyle w:val="Hyperlink"/>
            <w:rFonts w:hint="eastAsia"/>
            <w:noProof/>
            <w:rtl/>
          </w:rPr>
          <w:t>»</w:t>
        </w:r>
        <w:r w:rsidRPr="00F14100">
          <w:rPr>
            <w:rStyle w:val="Hyperlink"/>
            <w:noProof/>
            <w:rtl/>
          </w:rPr>
          <w:t xml:space="preserve"> </w:t>
        </w:r>
        <w:r w:rsidRPr="00F14100">
          <w:rPr>
            <w:rStyle w:val="Hyperlink"/>
            <w:rFonts w:hint="cs"/>
            <w:noProof/>
            <w:rtl/>
          </w:rPr>
          <w:t>وحرّيته</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Toc387843045 \h</w:instrText>
        </w:r>
        <w:r>
          <w:rPr>
            <w:noProof/>
            <w:webHidden/>
            <w:rtl/>
          </w:rPr>
          <w:instrText xml:space="preserve"> </w:instrText>
        </w:r>
        <w:r>
          <w:rPr>
            <w:rStyle w:val="Hyperlink"/>
            <w:noProof/>
            <w:rtl/>
          </w:rPr>
        </w:r>
        <w:r>
          <w:rPr>
            <w:rStyle w:val="Hyperlink"/>
            <w:noProof/>
            <w:rtl/>
          </w:rPr>
          <w:fldChar w:fldCharType="separate"/>
        </w:r>
        <w:r w:rsidR="00755AAC">
          <w:rPr>
            <w:noProof/>
            <w:webHidden/>
            <w:rtl/>
          </w:rPr>
          <w:t>2</w:t>
        </w:r>
        <w:r>
          <w:rPr>
            <w:rStyle w:val="Hyperlink"/>
            <w:noProof/>
            <w:rtl/>
          </w:rPr>
          <w:fldChar w:fldCharType="end"/>
        </w:r>
      </w:hyperlink>
    </w:p>
    <w:p w:rsidR="00F90700" w:rsidRPr="008607E3" w:rsidRDefault="00F90700">
      <w:pPr>
        <w:pStyle w:val="TOC2"/>
        <w:rPr>
          <w:rFonts w:ascii="Calibri" w:hAnsi="Calibri" w:cs="Arial"/>
          <w:noProof/>
          <w:sz w:val="22"/>
          <w:szCs w:val="22"/>
          <w:rtl/>
          <w:lang w:eastAsia="en-US" w:bidi="fa-IR"/>
        </w:rPr>
      </w:pPr>
      <w:hyperlink w:anchor="_Toc387843046" w:history="1">
        <w:r w:rsidRPr="00D52B3E">
          <w:rPr>
            <w:rStyle w:val="Hyperlink"/>
            <w:rFonts w:hint="cs"/>
            <w:noProof/>
            <w:sz w:val="24"/>
            <w:szCs w:val="22"/>
          </w:rPr>
          <w:sym w:font="AGA Arabesque" w:char="F02A"/>
        </w:r>
        <w:r w:rsidRPr="00F14100">
          <w:rPr>
            <w:rStyle w:val="Hyperlink"/>
            <w:noProof/>
            <w:rtl/>
          </w:rPr>
          <w:t xml:space="preserve"> </w:t>
        </w:r>
        <w:r w:rsidRPr="00F14100">
          <w:rPr>
            <w:rStyle w:val="Hyperlink"/>
            <w:rFonts w:hint="cs"/>
            <w:noProof/>
            <w:rtl/>
          </w:rPr>
          <w:t>الآثار</w:t>
        </w:r>
        <w:r w:rsidRPr="00F14100">
          <w:rPr>
            <w:rStyle w:val="Hyperlink"/>
            <w:noProof/>
            <w:rtl/>
          </w:rPr>
          <w:t xml:space="preserve"> </w:t>
        </w:r>
        <w:r w:rsidRPr="00F14100">
          <w:rPr>
            <w:rStyle w:val="Hyperlink"/>
            <w:rFonts w:hint="cs"/>
            <w:noProof/>
            <w:rtl/>
          </w:rPr>
          <w:t>العلمية</w:t>
        </w:r>
        <w:r w:rsidRPr="00F14100">
          <w:rPr>
            <w:rStyle w:val="Hyperlink"/>
            <w:noProof/>
            <w:rtl/>
          </w:rPr>
          <w:t xml:space="preserve"> </w:t>
        </w:r>
        <w:r w:rsidRPr="00F14100">
          <w:rPr>
            <w:rStyle w:val="Hyperlink"/>
            <w:rFonts w:hint="cs"/>
            <w:noProof/>
            <w:rtl/>
          </w:rPr>
          <w:t>وتأليفات</w:t>
        </w:r>
        <w:r w:rsidRPr="00F14100">
          <w:rPr>
            <w:rStyle w:val="Hyperlink"/>
            <w:noProof/>
            <w:rtl/>
          </w:rPr>
          <w:t xml:space="preserve"> </w:t>
        </w:r>
        <w:r w:rsidRPr="00F14100">
          <w:rPr>
            <w:rStyle w:val="Hyperlink"/>
            <w:rFonts w:hint="cs"/>
            <w:noProof/>
            <w:rtl/>
          </w:rPr>
          <w:t>الأستاذ</w:t>
        </w:r>
        <w:r w:rsidRPr="00F14100">
          <w:rPr>
            <w:rStyle w:val="Hyperlink"/>
            <w:noProof/>
            <w:rtl/>
          </w:rPr>
          <w:t xml:space="preserve"> «</w:t>
        </w:r>
        <w:r w:rsidRPr="00F14100">
          <w:rPr>
            <w:rStyle w:val="Hyperlink"/>
            <w:rFonts w:hint="cs"/>
            <w:noProof/>
            <w:rtl/>
          </w:rPr>
          <w:t>قلمداران</w:t>
        </w:r>
        <w:r w:rsidRPr="00F14100">
          <w:rPr>
            <w:rStyle w:val="Hyperlink"/>
            <w:rFonts w:hint="eastAsia"/>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Toc387843046 \h</w:instrText>
        </w:r>
        <w:r>
          <w:rPr>
            <w:noProof/>
            <w:webHidden/>
            <w:rtl/>
          </w:rPr>
          <w:instrText xml:space="preserve"> </w:instrText>
        </w:r>
        <w:r>
          <w:rPr>
            <w:rStyle w:val="Hyperlink"/>
            <w:noProof/>
            <w:rtl/>
          </w:rPr>
        </w:r>
        <w:r>
          <w:rPr>
            <w:rStyle w:val="Hyperlink"/>
            <w:noProof/>
            <w:rtl/>
          </w:rPr>
          <w:fldChar w:fldCharType="separate"/>
        </w:r>
        <w:r w:rsidR="00755AAC">
          <w:rPr>
            <w:noProof/>
            <w:webHidden/>
            <w:rtl/>
          </w:rPr>
          <w:t>2</w:t>
        </w:r>
        <w:r>
          <w:rPr>
            <w:rStyle w:val="Hyperlink"/>
            <w:noProof/>
            <w:rtl/>
          </w:rPr>
          <w:fldChar w:fldCharType="end"/>
        </w:r>
      </w:hyperlink>
    </w:p>
    <w:p w:rsidR="00F90700" w:rsidRPr="008607E3" w:rsidRDefault="00F90700">
      <w:pPr>
        <w:pStyle w:val="TOC2"/>
        <w:rPr>
          <w:rFonts w:ascii="Calibri" w:hAnsi="Calibri" w:cs="Arial"/>
          <w:noProof/>
          <w:sz w:val="22"/>
          <w:szCs w:val="22"/>
          <w:rtl/>
          <w:lang w:eastAsia="en-US" w:bidi="fa-IR"/>
        </w:rPr>
      </w:pPr>
      <w:hyperlink w:anchor="_Toc387843047" w:history="1">
        <w:r w:rsidRPr="00D52B3E">
          <w:rPr>
            <w:rStyle w:val="Hyperlink"/>
            <w:rFonts w:hint="cs"/>
            <w:noProof/>
            <w:sz w:val="24"/>
            <w:szCs w:val="22"/>
          </w:rPr>
          <w:sym w:font="AGA Arabesque" w:char="F02A"/>
        </w:r>
        <w:r w:rsidRPr="00F14100">
          <w:rPr>
            <w:rStyle w:val="Hyperlink"/>
            <w:noProof/>
            <w:rtl/>
          </w:rPr>
          <w:t xml:space="preserve"> </w:t>
        </w:r>
        <w:r w:rsidRPr="00F14100">
          <w:rPr>
            <w:rStyle w:val="Hyperlink"/>
            <w:rFonts w:hint="cs"/>
            <w:noProof/>
            <w:rtl/>
          </w:rPr>
          <w:t>وفاة</w:t>
        </w:r>
        <w:r w:rsidRPr="00F14100">
          <w:rPr>
            <w:rStyle w:val="Hyperlink"/>
            <w:noProof/>
            <w:rtl/>
          </w:rPr>
          <w:t xml:space="preserve"> </w:t>
        </w:r>
        <w:r w:rsidRPr="00F14100">
          <w:rPr>
            <w:rStyle w:val="Hyperlink"/>
            <w:rFonts w:hint="cs"/>
            <w:noProof/>
            <w:rtl/>
          </w:rPr>
          <w:t>الأستاذ</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Toc387843047 \h</w:instrText>
        </w:r>
        <w:r>
          <w:rPr>
            <w:noProof/>
            <w:webHidden/>
            <w:rtl/>
          </w:rPr>
          <w:instrText xml:space="preserve"> </w:instrText>
        </w:r>
        <w:r>
          <w:rPr>
            <w:rStyle w:val="Hyperlink"/>
            <w:noProof/>
            <w:rtl/>
          </w:rPr>
        </w:r>
        <w:r>
          <w:rPr>
            <w:rStyle w:val="Hyperlink"/>
            <w:noProof/>
            <w:rtl/>
          </w:rPr>
          <w:fldChar w:fldCharType="separate"/>
        </w:r>
        <w:r w:rsidR="00755AAC">
          <w:rPr>
            <w:noProof/>
            <w:webHidden/>
            <w:rtl/>
          </w:rPr>
          <w:t>2</w:t>
        </w:r>
        <w:r>
          <w:rPr>
            <w:rStyle w:val="Hyperlink"/>
            <w:noProof/>
            <w:rtl/>
          </w:rPr>
          <w:fldChar w:fldCharType="end"/>
        </w:r>
      </w:hyperlink>
    </w:p>
    <w:p w:rsidR="00F90700" w:rsidRPr="008607E3" w:rsidRDefault="00F90700">
      <w:pPr>
        <w:pStyle w:val="TOC1"/>
        <w:tabs>
          <w:tab w:val="right" w:leader="dot" w:pos="7248"/>
        </w:tabs>
        <w:rPr>
          <w:rFonts w:ascii="Calibri" w:hAnsi="Calibri" w:cs="Arial"/>
          <w:bCs w:val="0"/>
          <w:noProof/>
          <w:sz w:val="22"/>
          <w:szCs w:val="22"/>
          <w:rtl/>
          <w:lang w:eastAsia="en-US" w:bidi="fa-IR"/>
        </w:rPr>
      </w:pPr>
      <w:hyperlink w:anchor="_Toc387843048" w:history="1">
        <w:r w:rsidRPr="00F14100">
          <w:rPr>
            <w:rStyle w:val="Hyperlink"/>
            <w:rFonts w:hint="cs"/>
            <w:noProof/>
            <w:rtl/>
          </w:rPr>
          <w:t>كلمة</w:t>
        </w:r>
        <w:r w:rsidRPr="00F14100">
          <w:rPr>
            <w:rStyle w:val="Hyperlink"/>
            <w:noProof/>
            <w:rtl/>
          </w:rPr>
          <w:t xml:space="preserve"> </w:t>
        </w:r>
        <w:r w:rsidRPr="00F14100">
          <w:rPr>
            <w:rStyle w:val="Hyperlink"/>
            <w:rFonts w:hint="cs"/>
            <w:noProof/>
            <w:rtl/>
          </w:rPr>
          <w:t>المُنَقِّح</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Toc387843048 \h</w:instrText>
        </w:r>
        <w:r>
          <w:rPr>
            <w:noProof/>
            <w:webHidden/>
            <w:rtl/>
          </w:rPr>
          <w:instrText xml:space="preserve"> </w:instrText>
        </w:r>
        <w:r>
          <w:rPr>
            <w:rStyle w:val="Hyperlink"/>
            <w:noProof/>
            <w:rtl/>
          </w:rPr>
        </w:r>
        <w:r>
          <w:rPr>
            <w:rStyle w:val="Hyperlink"/>
            <w:noProof/>
            <w:rtl/>
          </w:rPr>
          <w:fldChar w:fldCharType="separate"/>
        </w:r>
        <w:r w:rsidR="00755AAC">
          <w:rPr>
            <w:noProof/>
            <w:webHidden/>
            <w:rtl/>
          </w:rPr>
          <w:t>2</w:t>
        </w:r>
        <w:r>
          <w:rPr>
            <w:rStyle w:val="Hyperlink"/>
            <w:noProof/>
            <w:rtl/>
          </w:rPr>
          <w:fldChar w:fldCharType="end"/>
        </w:r>
      </w:hyperlink>
    </w:p>
    <w:p w:rsidR="00F90700" w:rsidRPr="008607E3" w:rsidRDefault="00F90700">
      <w:pPr>
        <w:pStyle w:val="TOC1"/>
        <w:tabs>
          <w:tab w:val="right" w:leader="dot" w:pos="7248"/>
        </w:tabs>
        <w:rPr>
          <w:rFonts w:ascii="Calibri" w:hAnsi="Calibri" w:cs="Arial"/>
          <w:bCs w:val="0"/>
          <w:noProof/>
          <w:sz w:val="22"/>
          <w:szCs w:val="22"/>
          <w:rtl/>
          <w:lang w:eastAsia="en-US" w:bidi="fa-IR"/>
        </w:rPr>
      </w:pPr>
      <w:hyperlink w:anchor="_Toc387843049" w:history="1">
        <w:r w:rsidRPr="00F14100">
          <w:rPr>
            <w:rStyle w:val="Hyperlink"/>
            <w:rFonts w:hint="cs"/>
            <w:noProof/>
            <w:rtl/>
          </w:rPr>
          <w:t>مصطلحات</w:t>
        </w:r>
        <w:r w:rsidRPr="00F14100">
          <w:rPr>
            <w:rStyle w:val="Hyperlink"/>
            <w:noProof/>
            <w:rtl/>
          </w:rPr>
          <w:t xml:space="preserve"> </w:t>
        </w:r>
        <w:r w:rsidRPr="00F14100">
          <w:rPr>
            <w:rStyle w:val="Hyperlink"/>
            <w:rFonts w:hint="cs"/>
            <w:noProof/>
            <w:rtl/>
          </w:rPr>
          <w:t>علم</w:t>
        </w:r>
        <w:r w:rsidRPr="00F14100">
          <w:rPr>
            <w:rStyle w:val="Hyperlink"/>
            <w:noProof/>
            <w:rtl/>
          </w:rPr>
          <w:t xml:space="preserve"> </w:t>
        </w:r>
        <w:r w:rsidRPr="00F14100">
          <w:rPr>
            <w:rStyle w:val="Hyperlink"/>
            <w:rFonts w:hint="cs"/>
            <w:noProof/>
            <w:rtl/>
          </w:rPr>
          <w:t>الحديث</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Toc387843049 \h</w:instrText>
        </w:r>
        <w:r>
          <w:rPr>
            <w:noProof/>
            <w:webHidden/>
            <w:rtl/>
          </w:rPr>
          <w:instrText xml:space="preserve"> </w:instrText>
        </w:r>
        <w:r>
          <w:rPr>
            <w:rStyle w:val="Hyperlink"/>
            <w:noProof/>
            <w:rtl/>
          </w:rPr>
        </w:r>
        <w:r>
          <w:rPr>
            <w:rStyle w:val="Hyperlink"/>
            <w:noProof/>
            <w:rtl/>
          </w:rPr>
          <w:fldChar w:fldCharType="separate"/>
        </w:r>
        <w:r w:rsidR="00755AAC">
          <w:rPr>
            <w:noProof/>
            <w:webHidden/>
            <w:rtl/>
          </w:rPr>
          <w:t>2</w:t>
        </w:r>
        <w:r>
          <w:rPr>
            <w:rStyle w:val="Hyperlink"/>
            <w:noProof/>
            <w:rtl/>
          </w:rPr>
          <w:fldChar w:fldCharType="end"/>
        </w:r>
      </w:hyperlink>
    </w:p>
    <w:p w:rsidR="00F90700" w:rsidRPr="008607E3" w:rsidRDefault="00F90700">
      <w:pPr>
        <w:pStyle w:val="TOC1"/>
        <w:tabs>
          <w:tab w:val="right" w:leader="dot" w:pos="7248"/>
        </w:tabs>
        <w:rPr>
          <w:rFonts w:ascii="Calibri" w:hAnsi="Calibri" w:cs="Arial"/>
          <w:bCs w:val="0"/>
          <w:noProof/>
          <w:sz w:val="22"/>
          <w:szCs w:val="22"/>
          <w:rtl/>
          <w:lang w:eastAsia="en-US" w:bidi="fa-IR"/>
        </w:rPr>
      </w:pPr>
      <w:hyperlink w:anchor="_Toc387843050" w:history="1">
        <w:r w:rsidRPr="00F14100">
          <w:rPr>
            <w:rStyle w:val="Hyperlink"/>
            <w:rFonts w:hint="cs"/>
            <w:noProof/>
            <w:rtl/>
          </w:rPr>
          <w:t>مقدِّمة</w:t>
        </w:r>
        <w:r w:rsidRPr="00F14100">
          <w:rPr>
            <w:rStyle w:val="Hyperlink"/>
            <w:noProof/>
            <w:rtl/>
          </w:rPr>
          <w:t xml:space="preserve"> </w:t>
        </w:r>
        <w:r w:rsidRPr="00F14100">
          <w:rPr>
            <w:rStyle w:val="Hyperlink"/>
            <w:rFonts w:hint="cs"/>
            <w:noProof/>
            <w:rtl/>
          </w:rPr>
          <w:t>المترجِم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Toc387843050 \h</w:instrText>
        </w:r>
        <w:r>
          <w:rPr>
            <w:noProof/>
            <w:webHidden/>
            <w:rtl/>
          </w:rPr>
          <w:instrText xml:space="preserve"> </w:instrText>
        </w:r>
        <w:r>
          <w:rPr>
            <w:rStyle w:val="Hyperlink"/>
            <w:noProof/>
            <w:rtl/>
          </w:rPr>
        </w:r>
        <w:r>
          <w:rPr>
            <w:rStyle w:val="Hyperlink"/>
            <w:noProof/>
            <w:rtl/>
          </w:rPr>
          <w:fldChar w:fldCharType="separate"/>
        </w:r>
        <w:r w:rsidR="00755AAC">
          <w:rPr>
            <w:noProof/>
            <w:webHidden/>
            <w:rtl/>
          </w:rPr>
          <w:t>2</w:t>
        </w:r>
        <w:r>
          <w:rPr>
            <w:rStyle w:val="Hyperlink"/>
            <w:noProof/>
            <w:rtl/>
          </w:rPr>
          <w:fldChar w:fldCharType="end"/>
        </w:r>
      </w:hyperlink>
    </w:p>
    <w:p w:rsidR="00F90700" w:rsidRPr="008607E3" w:rsidRDefault="00F90700">
      <w:pPr>
        <w:pStyle w:val="TOC1"/>
        <w:tabs>
          <w:tab w:val="right" w:leader="dot" w:pos="7248"/>
        </w:tabs>
        <w:rPr>
          <w:rFonts w:ascii="Calibri" w:hAnsi="Calibri" w:cs="Arial"/>
          <w:bCs w:val="0"/>
          <w:noProof/>
          <w:sz w:val="22"/>
          <w:szCs w:val="22"/>
          <w:rtl/>
          <w:lang w:eastAsia="en-US" w:bidi="fa-IR"/>
        </w:rPr>
      </w:pPr>
      <w:hyperlink w:anchor="_Toc387843051" w:history="1">
        <w:r w:rsidRPr="00F14100">
          <w:rPr>
            <w:rStyle w:val="Hyperlink"/>
            <w:rFonts w:hint="cs"/>
            <w:noProof/>
            <w:highlight w:val="yellow"/>
            <w:rtl/>
          </w:rPr>
          <w:t>صور</w:t>
        </w:r>
        <w:r w:rsidRPr="00F14100">
          <w:rPr>
            <w:rStyle w:val="Hyperlink"/>
            <w:noProof/>
            <w:highlight w:val="yellow"/>
            <w:rtl/>
          </w:rPr>
          <w:t xml:space="preserve"> </w:t>
        </w:r>
        <w:r w:rsidRPr="00F14100">
          <w:rPr>
            <w:rStyle w:val="Hyperlink"/>
            <w:rFonts w:hint="cs"/>
            <w:noProof/>
            <w:highlight w:val="yellow"/>
            <w:rtl/>
          </w:rPr>
          <w:t>من</w:t>
        </w:r>
        <w:r w:rsidRPr="00F14100">
          <w:rPr>
            <w:rStyle w:val="Hyperlink"/>
            <w:noProof/>
            <w:highlight w:val="yellow"/>
            <w:rtl/>
          </w:rPr>
          <w:t xml:space="preserve"> </w:t>
        </w:r>
        <w:r w:rsidRPr="00F14100">
          <w:rPr>
            <w:rStyle w:val="Hyperlink"/>
            <w:rFonts w:hint="cs"/>
            <w:noProof/>
            <w:highlight w:val="yellow"/>
            <w:rtl/>
          </w:rPr>
          <w:t>أصل</w:t>
        </w:r>
        <w:r w:rsidRPr="00F14100">
          <w:rPr>
            <w:rStyle w:val="Hyperlink"/>
            <w:noProof/>
            <w:highlight w:val="yellow"/>
            <w:rtl/>
          </w:rPr>
          <w:t xml:space="preserve"> </w:t>
        </w:r>
        <w:r w:rsidRPr="00F14100">
          <w:rPr>
            <w:rStyle w:val="Hyperlink"/>
            <w:rFonts w:hint="cs"/>
            <w:noProof/>
            <w:highlight w:val="yellow"/>
            <w:rtl/>
          </w:rPr>
          <w:t>الكتاب</w:t>
        </w:r>
        <w:r w:rsidRPr="00F14100">
          <w:rPr>
            <w:rStyle w:val="Hyperlink"/>
            <w:noProof/>
            <w:highlight w:val="yellow"/>
            <w:rtl/>
          </w:rPr>
          <w:t xml:space="preserve"> </w:t>
        </w:r>
        <w:r w:rsidRPr="00F14100">
          <w:rPr>
            <w:rStyle w:val="Hyperlink"/>
            <w:rFonts w:hint="cs"/>
            <w:noProof/>
            <w:highlight w:val="yellow"/>
            <w:rtl/>
          </w:rPr>
          <w:t>باللغة</w:t>
        </w:r>
        <w:r w:rsidRPr="00F14100">
          <w:rPr>
            <w:rStyle w:val="Hyperlink"/>
            <w:noProof/>
            <w:highlight w:val="yellow"/>
            <w:rtl/>
          </w:rPr>
          <w:t xml:space="preserve"> </w:t>
        </w:r>
        <w:r w:rsidRPr="00F14100">
          <w:rPr>
            <w:rStyle w:val="Hyperlink"/>
            <w:rFonts w:hint="cs"/>
            <w:noProof/>
            <w:highlight w:val="yellow"/>
            <w:rtl/>
          </w:rPr>
          <w:t>الفارسية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Toc387843051 \h</w:instrText>
        </w:r>
        <w:r>
          <w:rPr>
            <w:noProof/>
            <w:webHidden/>
            <w:rtl/>
          </w:rPr>
          <w:instrText xml:space="preserve"> </w:instrText>
        </w:r>
        <w:r>
          <w:rPr>
            <w:rStyle w:val="Hyperlink"/>
            <w:noProof/>
            <w:rtl/>
          </w:rPr>
        </w:r>
        <w:r>
          <w:rPr>
            <w:rStyle w:val="Hyperlink"/>
            <w:noProof/>
            <w:rtl/>
          </w:rPr>
          <w:fldChar w:fldCharType="separate"/>
        </w:r>
        <w:r w:rsidR="00755AAC">
          <w:rPr>
            <w:noProof/>
            <w:webHidden/>
            <w:rtl/>
          </w:rPr>
          <w:t>2</w:t>
        </w:r>
        <w:r>
          <w:rPr>
            <w:rStyle w:val="Hyperlink"/>
            <w:noProof/>
            <w:rtl/>
          </w:rPr>
          <w:fldChar w:fldCharType="end"/>
        </w:r>
      </w:hyperlink>
    </w:p>
    <w:p w:rsidR="00F90700" w:rsidRPr="008607E3" w:rsidRDefault="00F90700">
      <w:pPr>
        <w:pStyle w:val="TOC1"/>
        <w:tabs>
          <w:tab w:val="right" w:leader="dot" w:pos="7248"/>
        </w:tabs>
        <w:rPr>
          <w:rFonts w:ascii="Calibri" w:hAnsi="Calibri" w:cs="Arial"/>
          <w:bCs w:val="0"/>
          <w:noProof/>
          <w:sz w:val="22"/>
          <w:szCs w:val="22"/>
          <w:rtl/>
          <w:lang w:eastAsia="en-US" w:bidi="fa-IR"/>
        </w:rPr>
      </w:pPr>
      <w:hyperlink w:anchor="_Toc387843052" w:history="1">
        <w:r w:rsidRPr="00F14100">
          <w:rPr>
            <w:rStyle w:val="Hyperlink"/>
            <w:rFonts w:hint="cs"/>
            <w:noProof/>
            <w:rtl/>
          </w:rPr>
          <w:t>مقدِّمة</w:t>
        </w:r>
        <w:r w:rsidRPr="00F14100">
          <w:rPr>
            <w:rStyle w:val="Hyperlink"/>
            <w:noProof/>
            <w:rtl/>
          </w:rPr>
          <w:t xml:space="preserve"> </w:t>
        </w:r>
        <w:r w:rsidRPr="00F14100">
          <w:rPr>
            <w:rStyle w:val="Hyperlink"/>
            <w:rFonts w:hint="cs"/>
            <w:noProof/>
            <w:rtl/>
          </w:rPr>
          <w:t>المؤلف</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Toc387843052 \h</w:instrText>
        </w:r>
        <w:r>
          <w:rPr>
            <w:noProof/>
            <w:webHidden/>
            <w:rtl/>
          </w:rPr>
          <w:instrText xml:space="preserve"> </w:instrText>
        </w:r>
        <w:r>
          <w:rPr>
            <w:rStyle w:val="Hyperlink"/>
            <w:noProof/>
            <w:rtl/>
          </w:rPr>
        </w:r>
        <w:r>
          <w:rPr>
            <w:rStyle w:val="Hyperlink"/>
            <w:noProof/>
            <w:rtl/>
          </w:rPr>
          <w:fldChar w:fldCharType="separate"/>
        </w:r>
        <w:r w:rsidR="00755AAC">
          <w:rPr>
            <w:noProof/>
            <w:webHidden/>
            <w:rtl/>
          </w:rPr>
          <w:t>2</w:t>
        </w:r>
        <w:r>
          <w:rPr>
            <w:rStyle w:val="Hyperlink"/>
            <w:noProof/>
            <w:rtl/>
          </w:rPr>
          <w:fldChar w:fldCharType="end"/>
        </w:r>
      </w:hyperlink>
    </w:p>
    <w:p w:rsidR="00F90700" w:rsidRPr="008607E3" w:rsidRDefault="00F90700">
      <w:pPr>
        <w:pStyle w:val="TOC1"/>
        <w:tabs>
          <w:tab w:val="right" w:leader="dot" w:pos="7248"/>
        </w:tabs>
        <w:rPr>
          <w:rFonts w:ascii="Calibri" w:hAnsi="Calibri" w:cs="Arial"/>
          <w:bCs w:val="0"/>
          <w:noProof/>
          <w:sz w:val="22"/>
          <w:szCs w:val="22"/>
          <w:rtl/>
          <w:lang w:eastAsia="en-US" w:bidi="fa-IR"/>
        </w:rPr>
      </w:pPr>
      <w:hyperlink w:anchor="_Toc387843053" w:history="1">
        <w:r w:rsidRPr="00F14100">
          <w:rPr>
            <w:rStyle w:val="Hyperlink"/>
            <w:rFonts w:hint="cs"/>
            <w:noProof/>
            <w:rtl/>
          </w:rPr>
          <w:t>الفصل</w:t>
        </w:r>
        <w:r w:rsidRPr="00F14100">
          <w:rPr>
            <w:rStyle w:val="Hyperlink"/>
            <w:noProof/>
            <w:rtl/>
          </w:rPr>
          <w:t xml:space="preserve"> </w:t>
        </w:r>
        <w:r w:rsidRPr="00F14100">
          <w:rPr>
            <w:rStyle w:val="Hyperlink"/>
            <w:rFonts w:hint="cs"/>
            <w:noProof/>
            <w:rtl/>
          </w:rPr>
          <w:t>الأول</w:t>
        </w:r>
        <w:r w:rsidR="00D52B3E">
          <w:rPr>
            <w:rStyle w:val="Hyperlink"/>
            <w:rFonts w:hint="cs"/>
            <w:noProof/>
            <w:rtl/>
          </w:rPr>
          <w:t>:</w:t>
        </w:r>
        <w:r w:rsidRPr="00F14100">
          <w:rPr>
            <w:rStyle w:val="Hyperlink"/>
            <w:noProof/>
            <w:rtl/>
          </w:rPr>
          <w:t xml:space="preserve"> </w:t>
        </w:r>
        <w:r w:rsidRPr="00F14100">
          <w:rPr>
            <w:rStyle w:val="Hyperlink"/>
            <w:rFonts w:hint="cs"/>
            <w:noProof/>
            <w:rtl/>
          </w:rPr>
          <w:t>حقيقة</w:t>
        </w:r>
        <w:r w:rsidRPr="00F14100">
          <w:rPr>
            <w:rStyle w:val="Hyperlink"/>
            <w:noProof/>
            <w:rtl/>
          </w:rPr>
          <w:t xml:space="preserve"> </w:t>
        </w:r>
        <w:r w:rsidRPr="00F14100">
          <w:rPr>
            <w:rStyle w:val="Hyperlink"/>
            <w:rFonts w:hint="cs"/>
            <w:noProof/>
            <w:rtl/>
          </w:rPr>
          <w:t>الخمس</w:t>
        </w:r>
        <w:r w:rsidRPr="00F14100">
          <w:rPr>
            <w:rStyle w:val="Hyperlink"/>
            <w:noProof/>
            <w:rtl/>
          </w:rPr>
          <w:t xml:space="preserve"> </w:t>
        </w:r>
        <w:r w:rsidRPr="00F14100">
          <w:rPr>
            <w:rStyle w:val="Hyperlink"/>
            <w:rFonts w:hint="cs"/>
            <w:noProof/>
            <w:rtl/>
          </w:rPr>
          <w:t>في</w:t>
        </w:r>
        <w:r w:rsidRPr="00F14100">
          <w:rPr>
            <w:rStyle w:val="Hyperlink"/>
            <w:noProof/>
            <w:rtl/>
          </w:rPr>
          <w:t xml:space="preserve"> </w:t>
        </w:r>
        <w:r w:rsidRPr="00F14100">
          <w:rPr>
            <w:rStyle w:val="Hyperlink"/>
            <w:rFonts w:hint="cs"/>
            <w:noProof/>
            <w:rtl/>
          </w:rPr>
          <w:t>الإسلام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Toc387843053 \h</w:instrText>
        </w:r>
        <w:r>
          <w:rPr>
            <w:noProof/>
            <w:webHidden/>
            <w:rtl/>
          </w:rPr>
          <w:instrText xml:space="preserve"> </w:instrText>
        </w:r>
        <w:r>
          <w:rPr>
            <w:rStyle w:val="Hyperlink"/>
            <w:noProof/>
            <w:rtl/>
          </w:rPr>
        </w:r>
        <w:r>
          <w:rPr>
            <w:rStyle w:val="Hyperlink"/>
            <w:noProof/>
            <w:rtl/>
          </w:rPr>
          <w:fldChar w:fldCharType="separate"/>
        </w:r>
        <w:r w:rsidR="00755AAC">
          <w:rPr>
            <w:noProof/>
            <w:webHidden/>
            <w:rtl/>
          </w:rPr>
          <w:t>2</w:t>
        </w:r>
        <w:r>
          <w:rPr>
            <w:rStyle w:val="Hyperlink"/>
            <w:noProof/>
            <w:rtl/>
          </w:rPr>
          <w:fldChar w:fldCharType="end"/>
        </w:r>
      </w:hyperlink>
    </w:p>
    <w:p w:rsidR="00F90700" w:rsidRPr="008607E3" w:rsidRDefault="00F90700">
      <w:pPr>
        <w:pStyle w:val="TOC2"/>
        <w:rPr>
          <w:rFonts w:ascii="Calibri" w:hAnsi="Calibri" w:cs="Arial"/>
          <w:noProof/>
          <w:sz w:val="22"/>
          <w:szCs w:val="22"/>
          <w:rtl/>
          <w:lang w:eastAsia="en-US" w:bidi="fa-IR"/>
        </w:rPr>
      </w:pPr>
      <w:hyperlink w:anchor="_Toc387843054" w:history="1">
        <w:r w:rsidRPr="00F14100">
          <w:rPr>
            <w:rStyle w:val="Hyperlink"/>
            <w:noProof/>
            <w:rtl/>
            <w:lang w:bidi="ar-SY"/>
          </w:rPr>
          <w:t xml:space="preserve">1- </w:t>
        </w:r>
        <w:r w:rsidRPr="00F14100">
          <w:rPr>
            <w:rStyle w:val="Hyperlink"/>
            <w:rFonts w:hint="cs"/>
            <w:noProof/>
            <w:rtl/>
            <w:lang w:bidi="ar-SY"/>
          </w:rPr>
          <w:t>الخمس</w:t>
        </w:r>
        <w:r w:rsidRPr="00F14100">
          <w:rPr>
            <w:rStyle w:val="Hyperlink"/>
            <w:noProof/>
            <w:rtl/>
            <w:lang w:bidi="ar-SY"/>
          </w:rPr>
          <w:t xml:space="preserve"> </w:t>
        </w:r>
        <w:r w:rsidRPr="00F14100">
          <w:rPr>
            <w:rStyle w:val="Hyperlink"/>
            <w:rFonts w:hint="cs"/>
            <w:noProof/>
            <w:rtl/>
            <w:lang w:bidi="ar-SY"/>
          </w:rPr>
          <w:t>في</w:t>
        </w:r>
        <w:r w:rsidRPr="00F14100">
          <w:rPr>
            <w:rStyle w:val="Hyperlink"/>
            <w:noProof/>
            <w:rtl/>
            <w:lang w:bidi="ar-SY"/>
          </w:rPr>
          <w:t xml:space="preserve"> </w:t>
        </w:r>
        <w:r w:rsidRPr="00F14100">
          <w:rPr>
            <w:rStyle w:val="Hyperlink"/>
            <w:rFonts w:hint="cs"/>
            <w:noProof/>
            <w:rtl/>
            <w:lang w:bidi="ar-SY"/>
          </w:rPr>
          <w:t>القرآن</w:t>
        </w:r>
        <w:r w:rsidRPr="00F14100">
          <w:rPr>
            <w:rStyle w:val="Hyperlink"/>
            <w:noProof/>
            <w:rtl/>
            <w:lang w:bidi="ar-SY"/>
          </w:rPr>
          <w:t xml:space="preserve"> </w:t>
        </w:r>
        <w:r w:rsidRPr="00F14100">
          <w:rPr>
            <w:rStyle w:val="Hyperlink"/>
            <w:rFonts w:hint="cs"/>
            <w:noProof/>
            <w:rtl/>
            <w:lang w:bidi="ar-SY"/>
          </w:rPr>
          <w:t>وتفسير</w:t>
        </w:r>
        <w:r w:rsidRPr="00F14100">
          <w:rPr>
            <w:rStyle w:val="Hyperlink"/>
            <w:noProof/>
            <w:rtl/>
            <w:lang w:bidi="ar-SY"/>
          </w:rPr>
          <w:t xml:space="preserve"> </w:t>
        </w:r>
        <w:r w:rsidRPr="00F14100">
          <w:rPr>
            <w:rStyle w:val="Hyperlink"/>
            <w:rFonts w:hint="cs"/>
            <w:noProof/>
            <w:rtl/>
            <w:lang w:bidi="ar-SY"/>
          </w:rPr>
          <w:t>الأئمة</w:t>
        </w:r>
        <w:r w:rsidRPr="00F14100">
          <w:rPr>
            <w:rStyle w:val="Hyperlink"/>
            <w:noProof/>
            <w:rtl/>
            <w:lang w:bidi="ar-SY"/>
          </w:rPr>
          <w:t xml:space="preserve"> </w:t>
        </w:r>
        <w:r w:rsidRPr="00F14100">
          <w:rPr>
            <w:rStyle w:val="Hyperlink"/>
            <w:rFonts w:hint="cs"/>
            <w:noProof/>
            <w:rtl/>
            <w:lang w:bidi="ar-SY"/>
          </w:rPr>
          <w:t>لآية</w:t>
        </w:r>
        <w:r w:rsidRPr="00F14100">
          <w:rPr>
            <w:rStyle w:val="Hyperlink"/>
            <w:noProof/>
            <w:rtl/>
            <w:lang w:bidi="ar-SY"/>
          </w:rPr>
          <w:t xml:space="preserve"> </w:t>
        </w:r>
        <w:r w:rsidRPr="00F14100">
          <w:rPr>
            <w:rStyle w:val="Hyperlink"/>
            <w:rFonts w:hint="cs"/>
            <w:noProof/>
            <w:rtl/>
            <w:lang w:bidi="ar-SY"/>
          </w:rPr>
          <w:t>الخمس</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Toc387843054 \h</w:instrText>
        </w:r>
        <w:r>
          <w:rPr>
            <w:noProof/>
            <w:webHidden/>
            <w:rtl/>
          </w:rPr>
          <w:instrText xml:space="preserve"> </w:instrText>
        </w:r>
        <w:r>
          <w:rPr>
            <w:rStyle w:val="Hyperlink"/>
            <w:noProof/>
            <w:rtl/>
          </w:rPr>
        </w:r>
        <w:r>
          <w:rPr>
            <w:rStyle w:val="Hyperlink"/>
            <w:noProof/>
            <w:rtl/>
          </w:rPr>
          <w:fldChar w:fldCharType="separate"/>
        </w:r>
        <w:r w:rsidR="00755AAC">
          <w:rPr>
            <w:noProof/>
            <w:webHidden/>
            <w:rtl/>
          </w:rPr>
          <w:t>2</w:t>
        </w:r>
        <w:r>
          <w:rPr>
            <w:rStyle w:val="Hyperlink"/>
            <w:noProof/>
            <w:rtl/>
          </w:rPr>
          <w:fldChar w:fldCharType="end"/>
        </w:r>
      </w:hyperlink>
    </w:p>
    <w:p w:rsidR="00F90700" w:rsidRPr="008607E3" w:rsidRDefault="00F90700">
      <w:pPr>
        <w:pStyle w:val="TOC2"/>
        <w:rPr>
          <w:rFonts w:ascii="Calibri" w:hAnsi="Calibri" w:cs="Arial"/>
          <w:noProof/>
          <w:sz w:val="22"/>
          <w:szCs w:val="22"/>
          <w:rtl/>
          <w:lang w:eastAsia="en-US" w:bidi="fa-IR"/>
        </w:rPr>
      </w:pPr>
      <w:hyperlink w:anchor="_Toc387843055" w:history="1">
        <w:r w:rsidRPr="00F14100">
          <w:rPr>
            <w:rStyle w:val="Hyperlink"/>
            <w:noProof/>
            <w:rtl/>
          </w:rPr>
          <w:t xml:space="preserve">2- </w:t>
        </w:r>
        <w:r w:rsidRPr="00F14100">
          <w:rPr>
            <w:rStyle w:val="Hyperlink"/>
            <w:rFonts w:hint="cs"/>
            <w:noProof/>
            <w:rtl/>
          </w:rPr>
          <w:t>معنى</w:t>
        </w:r>
        <w:r w:rsidRPr="00F14100">
          <w:rPr>
            <w:rStyle w:val="Hyperlink"/>
            <w:noProof/>
            <w:rtl/>
          </w:rPr>
          <w:t xml:space="preserve"> </w:t>
        </w:r>
        <w:r w:rsidRPr="00F14100">
          <w:rPr>
            <w:rStyle w:val="Hyperlink"/>
            <w:rFonts w:hint="cs"/>
            <w:noProof/>
            <w:rtl/>
          </w:rPr>
          <w:t>آية</w:t>
        </w:r>
        <w:r w:rsidRPr="00F14100">
          <w:rPr>
            <w:rStyle w:val="Hyperlink"/>
            <w:noProof/>
            <w:rtl/>
          </w:rPr>
          <w:t xml:space="preserve"> </w:t>
        </w:r>
        <w:r w:rsidRPr="00F14100">
          <w:rPr>
            <w:rStyle w:val="Hyperlink"/>
            <w:rFonts w:hint="cs"/>
            <w:noProof/>
            <w:rtl/>
          </w:rPr>
          <w:t>الخمس</w:t>
        </w:r>
        <w:r w:rsidRPr="00F14100">
          <w:rPr>
            <w:rStyle w:val="Hyperlink"/>
            <w:noProof/>
            <w:rtl/>
          </w:rPr>
          <w:t xml:space="preserve"> </w:t>
        </w:r>
        <w:r w:rsidRPr="00F14100">
          <w:rPr>
            <w:rStyle w:val="Hyperlink"/>
            <w:rFonts w:hint="cs"/>
            <w:noProof/>
            <w:rtl/>
          </w:rPr>
          <w:t>لدى</w:t>
        </w:r>
        <w:r w:rsidRPr="00F14100">
          <w:rPr>
            <w:rStyle w:val="Hyperlink"/>
            <w:noProof/>
            <w:rtl/>
          </w:rPr>
          <w:t xml:space="preserve"> </w:t>
        </w:r>
        <w:r w:rsidRPr="00F14100">
          <w:rPr>
            <w:rStyle w:val="Hyperlink"/>
            <w:rFonts w:hint="cs"/>
            <w:noProof/>
            <w:rtl/>
          </w:rPr>
          <w:t>علماء</w:t>
        </w:r>
        <w:r w:rsidRPr="00F14100">
          <w:rPr>
            <w:rStyle w:val="Hyperlink"/>
            <w:noProof/>
            <w:rtl/>
          </w:rPr>
          <w:t xml:space="preserve"> </w:t>
        </w:r>
        <w:r w:rsidRPr="00F14100">
          <w:rPr>
            <w:rStyle w:val="Hyperlink"/>
            <w:rFonts w:hint="cs"/>
            <w:noProof/>
            <w:rtl/>
          </w:rPr>
          <w:t>الشيعة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Toc387843055 \h</w:instrText>
        </w:r>
        <w:r>
          <w:rPr>
            <w:noProof/>
            <w:webHidden/>
            <w:rtl/>
          </w:rPr>
          <w:instrText xml:space="preserve"> </w:instrText>
        </w:r>
        <w:r>
          <w:rPr>
            <w:rStyle w:val="Hyperlink"/>
            <w:noProof/>
            <w:rtl/>
          </w:rPr>
        </w:r>
        <w:r>
          <w:rPr>
            <w:rStyle w:val="Hyperlink"/>
            <w:noProof/>
            <w:rtl/>
          </w:rPr>
          <w:fldChar w:fldCharType="separate"/>
        </w:r>
        <w:r w:rsidR="00755AAC">
          <w:rPr>
            <w:noProof/>
            <w:webHidden/>
            <w:rtl/>
          </w:rPr>
          <w:t>2</w:t>
        </w:r>
        <w:r>
          <w:rPr>
            <w:rStyle w:val="Hyperlink"/>
            <w:noProof/>
            <w:rtl/>
          </w:rPr>
          <w:fldChar w:fldCharType="end"/>
        </w:r>
      </w:hyperlink>
    </w:p>
    <w:p w:rsidR="00F90700" w:rsidRPr="008607E3" w:rsidRDefault="00F90700">
      <w:pPr>
        <w:pStyle w:val="TOC1"/>
        <w:tabs>
          <w:tab w:val="right" w:leader="dot" w:pos="7248"/>
        </w:tabs>
        <w:rPr>
          <w:rFonts w:ascii="Calibri" w:hAnsi="Calibri" w:cs="Arial"/>
          <w:bCs w:val="0"/>
          <w:noProof/>
          <w:sz w:val="22"/>
          <w:szCs w:val="22"/>
          <w:rtl/>
          <w:lang w:eastAsia="en-US" w:bidi="fa-IR"/>
        </w:rPr>
      </w:pPr>
      <w:hyperlink w:anchor="_Toc387843056" w:history="1">
        <w:r w:rsidRPr="00F14100">
          <w:rPr>
            <w:rStyle w:val="Hyperlink"/>
            <w:rFonts w:hint="cs"/>
            <w:noProof/>
            <w:rtl/>
          </w:rPr>
          <w:t>الفصل</w:t>
        </w:r>
        <w:r w:rsidRPr="00F14100">
          <w:rPr>
            <w:rStyle w:val="Hyperlink"/>
            <w:noProof/>
            <w:rtl/>
          </w:rPr>
          <w:t xml:space="preserve"> </w:t>
        </w:r>
        <w:r w:rsidRPr="00F14100">
          <w:rPr>
            <w:rStyle w:val="Hyperlink"/>
            <w:rFonts w:hint="cs"/>
            <w:noProof/>
            <w:rtl/>
          </w:rPr>
          <w:t>الثاني</w:t>
        </w:r>
        <w:r w:rsidR="00D52B3E">
          <w:rPr>
            <w:rStyle w:val="Hyperlink"/>
            <w:rFonts w:hint="cs"/>
            <w:noProof/>
            <w:rtl/>
          </w:rPr>
          <w:t>:</w:t>
        </w:r>
        <w:r w:rsidRPr="00F14100">
          <w:rPr>
            <w:rStyle w:val="Hyperlink"/>
            <w:noProof/>
            <w:rtl/>
          </w:rPr>
          <w:t xml:space="preserve"> </w:t>
        </w:r>
        <w:r w:rsidRPr="00F14100">
          <w:rPr>
            <w:rStyle w:val="Hyperlink"/>
            <w:rFonts w:hint="cs"/>
            <w:noProof/>
            <w:rtl/>
          </w:rPr>
          <w:t>استفادة</w:t>
        </w:r>
        <w:r w:rsidRPr="00F14100">
          <w:rPr>
            <w:rStyle w:val="Hyperlink"/>
            <w:noProof/>
            <w:rtl/>
          </w:rPr>
          <w:t xml:space="preserve"> </w:t>
        </w:r>
        <w:r w:rsidRPr="00F14100">
          <w:rPr>
            <w:rStyle w:val="Hyperlink"/>
            <w:rFonts w:hint="cs"/>
            <w:noProof/>
            <w:rtl/>
          </w:rPr>
          <w:t>النبي</w:t>
        </w:r>
        <w:r w:rsidRPr="00D52B3E">
          <w:rPr>
            <w:rStyle w:val="Hyperlink"/>
            <w:rFonts w:cs="CTraditional Arabic" w:hint="cs"/>
            <w:b/>
            <w:bCs w:val="0"/>
            <w:noProof/>
            <w:rtl/>
          </w:rPr>
          <w:t>ص</w:t>
        </w:r>
        <w:r w:rsidRPr="00F14100">
          <w:rPr>
            <w:rStyle w:val="Hyperlink"/>
            <w:noProof/>
            <w:rtl/>
          </w:rPr>
          <w:t xml:space="preserve"> </w:t>
        </w:r>
        <w:r w:rsidRPr="00F14100">
          <w:rPr>
            <w:rStyle w:val="Hyperlink"/>
            <w:rFonts w:hint="cs"/>
            <w:noProof/>
            <w:rtl/>
          </w:rPr>
          <w:t>وأهل</w:t>
        </w:r>
        <w:r w:rsidRPr="00F14100">
          <w:rPr>
            <w:rStyle w:val="Hyperlink"/>
            <w:noProof/>
            <w:rtl/>
          </w:rPr>
          <w:t xml:space="preserve"> </w:t>
        </w:r>
        <w:r w:rsidRPr="00F14100">
          <w:rPr>
            <w:rStyle w:val="Hyperlink"/>
            <w:rFonts w:hint="cs"/>
            <w:noProof/>
            <w:rtl/>
          </w:rPr>
          <w:t>البيت</w:t>
        </w:r>
        <w:r w:rsidRPr="00F14100">
          <w:rPr>
            <w:rStyle w:val="Hyperlink"/>
            <w:noProof/>
            <w:rtl/>
          </w:rPr>
          <w:t xml:space="preserve"> </w:t>
        </w:r>
        <w:r w:rsidRPr="00F14100">
          <w:rPr>
            <w:rStyle w:val="Hyperlink"/>
            <w:rFonts w:hint="cs"/>
            <w:noProof/>
            <w:rtl/>
          </w:rPr>
          <w:t>من</w:t>
        </w:r>
        <w:r w:rsidRPr="00F14100">
          <w:rPr>
            <w:rStyle w:val="Hyperlink"/>
            <w:noProof/>
            <w:rtl/>
          </w:rPr>
          <w:t xml:space="preserve"> </w:t>
        </w:r>
        <w:r w:rsidRPr="00F14100">
          <w:rPr>
            <w:rStyle w:val="Hyperlink"/>
            <w:rFonts w:hint="cs"/>
            <w:noProof/>
            <w:rtl/>
          </w:rPr>
          <w:t>الخمس</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Toc387843056 \h</w:instrText>
        </w:r>
        <w:r>
          <w:rPr>
            <w:noProof/>
            <w:webHidden/>
            <w:rtl/>
          </w:rPr>
          <w:instrText xml:space="preserve"> </w:instrText>
        </w:r>
        <w:r>
          <w:rPr>
            <w:rStyle w:val="Hyperlink"/>
            <w:noProof/>
            <w:rtl/>
          </w:rPr>
        </w:r>
        <w:r>
          <w:rPr>
            <w:rStyle w:val="Hyperlink"/>
            <w:noProof/>
            <w:rtl/>
          </w:rPr>
          <w:fldChar w:fldCharType="separate"/>
        </w:r>
        <w:r w:rsidR="00755AAC">
          <w:rPr>
            <w:noProof/>
            <w:webHidden/>
            <w:rtl/>
          </w:rPr>
          <w:t>2</w:t>
        </w:r>
        <w:r>
          <w:rPr>
            <w:rStyle w:val="Hyperlink"/>
            <w:noProof/>
            <w:rtl/>
          </w:rPr>
          <w:fldChar w:fldCharType="end"/>
        </w:r>
      </w:hyperlink>
    </w:p>
    <w:p w:rsidR="00F90700" w:rsidRPr="008607E3" w:rsidRDefault="00F90700">
      <w:pPr>
        <w:pStyle w:val="TOC2"/>
        <w:rPr>
          <w:rFonts w:ascii="Calibri" w:hAnsi="Calibri" w:cs="Arial"/>
          <w:noProof/>
          <w:sz w:val="22"/>
          <w:szCs w:val="22"/>
          <w:rtl/>
          <w:lang w:eastAsia="en-US" w:bidi="fa-IR"/>
        </w:rPr>
      </w:pPr>
      <w:hyperlink w:anchor="_Toc387843057" w:history="1">
        <w:r w:rsidRPr="00F14100">
          <w:rPr>
            <w:rStyle w:val="Hyperlink"/>
            <w:noProof/>
            <w:rtl/>
            <w:lang w:bidi="ar-SY"/>
          </w:rPr>
          <w:t xml:space="preserve">1- </w:t>
        </w:r>
        <w:r w:rsidRPr="00F14100">
          <w:rPr>
            <w:rStyle w:val="Hyperlink"/>
            <w:rFonts w:hint="cs"/>
            <w:noProof/>
            <w:rtl/>
            <w:lang w:bidi="ar-SY"/>
          </w:rPr>
          <w:t>مقدمة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Toc387843057 \h</w:instrText>
        </w:r>
        <w:r>
          <w:rPr>
            <w:noProof/>
            <w:webHidden/>
            <w:rtl/>
          </w:rPr>
          <w:instrText xml:space="preserve"> </w:instrText>
        </w:r>
        <w:r>
          <w:rPr>
            <w:rStyle w:val="Hyperlink"/>
            <w:noProof/>
            <w:rtl/>
          </w:rPr>
        </w:r>
        <w:r>
          <w:rPr>
            <w:rStyle w:val="Hyperlink"/>
            <w:noProof/>
            <w:rtl/>
          </w:rPr>
          <w:fldChar w:fldCharType="separate"/>
        </w:r>
        <w:r w:rsidR="00755AAC">
          <w:rPr>
            <w:noProof/>
            <w:webHidden/>
            <w:rtl/>
          </w:rPr>
          <w:t>2</w:t>
        </w:r>
        <w:r>
          <w:rPr>
            <w:rStyle w:val="Hyperlink"/>
            <w:noProof/>
            <w:rtl/>
          </w:rPr>
          <w:fldChar w:fldCharType="end"/>
        </w:r>
      </w:hyperlink>
    </w:p>
    <w:p w:rsidR="00F90700" w:rsidRPr="008607E3" w:rsidRDefault="00F90700">
      <w:pPr>
        <w:pStyle w:val="TOC2"/>
        <w:rPr>
          <w:rFonts w:ascii="Calibri" w:hAnsi="Calibri" w:cs="Arial"/>
          <w:noProof/>
          <w:sz w:val="22"/>
          <w:szCs w:val="22"/>
          <w:rtl/>
          <w:lang w:eastAsia="en-US" w:bidi="fa-IR"/>
        </w:rPr>
      </w:pPr>
      <w:hyperlink w:anchor="_Toc387843058" w:history="1">
        <w:r w:rsidRPr="00F14100">
          <w:rPr>
            <w:rStyle w:val="Hyperlink"/>
            <w:noProof/>
            <w:rtl/>
            <w:lang w:bidi="ar-SY"/>
          </w:rPr>
          <w:t xml:space="preserve">2- </w:t>
        </w:r>
        <w:r w:rsidRPr="00F14100">
          <w:rPr>
            <w:rStyle w:val="Hyperlink"/>
            <w:rFonts w:hint="cs"/>
            <w:noProof/>
            <w:rtl/>
            <w:lang w:bidi="ar-SY"/>
          </w:rPr>
          <w:t>المساواة</w:t>
        </w:r>
        <w:r w:rsidRPr="00F14100">
          <w:rPr>
            <w:rStyle w:val="Hyperlink"/>
            <w:noProof/>
            <w:rtl/>
            <w:lang w:bidi="ar-SY"/>
          </w:rPr>
          <w:t xml:space="preserve"> </w:t>
        </w:r>
        <w:r w:rsidRPr="00F14100">
          <w:rPr>
            <w:rStyle w:val="Hyperlink"/>
            <w:rFonts w:hint="cs"/>
            <w:noProof/>
            <w:rtl/>
            <w:lang w:bidi="ar-SY"/>
          </w:rPr>
          <w:t>في</w:t>
        </w:r>
        <w:r w:rsidRPr="00F14100">
          <w:rPr>
            <w:rStyle w:val="Hyperlink"/>
            <w:noProof/>
            <w:rtl/>
            <w:lang w:bidi="ar-SY"/>
          </w:rPr>
          <w:t xml:space="preserve"> </w:t>
        </w:r>
        <w:r w:rsidRPr="00F14100">
          <w:rPr>
            <w:rStyle w:val="Hyperlink"/>
            <w:rFonts w:hint="cs"/>
            <w:noProof/>
            <w:rtl/>
            <w:lang w:bidi="ar-SY"/>
          </w:rPr>
          <w:t>القرآن</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Toc387843058 \h</w:instrText>
        </w:r>
        <w:r>
          <w:rPr>
            <w:noProof/>
            <w:webHidden/>
            <w:rtl/>
          </w:rPr>
          <w:instrText xml:space="preserve"> </w:instrText>
        </w:r>
        <w:r>
          <w:rPr>
            <w:rStyle w:val="Hyperlink"/>
            <w:noProof/>
            <w:rtl/>
          </w:rPr>
        </w:r>
        <w:r>
          <w:rPr>
            <w:rStyle w:val="Hyperlink"/>
            <w:noProof/>
            <w:rtl/>
          </w:rPr>
          <w:fldChar w:fldCharType="separate"/>
        </w:r>
        <w:r w:rsidR="00755AAC">
          <w:rPr>
            <w:noProof/>
            <w:webHidden/>
            <w:rtl/>
          </w:rPr>
          <w:t>2</w:t>
        </w:r>
        <w:r>
          <w:rPr>
            <w:rStyle w:val="Hyperlink"/>
            <w:noProof/>
            <w:rtl/>
          </w:rPr>
          <w:fldChar w:fldCharType="end"/>
        </w:r>
      </w:hyperlink>
    </w:p>
    <w:p w:rsidR="00F90700" w:rsidRPr="008607E3" w:rsidRDefault="00F90700">
      <w:pPr>
        <w:pStyle w:val="TOC2"/>
        <w:rPr>
          <w:rFonts w:ascii="Calibri" w:hAnsi="Calibri" w:cs="Arial"/>
          <w:noProof/>
          <w:sz w:val="22"/>
          <w:szCs w:val="22"/>
          <w:rtl/>
          <w:lang w:eastAsia="en-US" w:bidi="fa-IR"/>
        </w:rPr>
      </w:pPr>
      <w:hyperlink w:anchor="_Toc387843059" w:history="1">
        <w:r w:rsidRPr="00F14100">
          <w:rPr>
            <w:rStyle w:val="Hyperlink"/>
            <w:noProof/>
            <w:rtl/>
            <w:lang w:bidi="ar-SY"/>
          </w:rPr>
          <w:t xml:space="preserve">3- </w:t>
        </w:r>
        <w:r w:rsidRPr="00F14100">
          <w:rPr>
            <w:rStyle w:val="Hyperlink"/>
            <w:rFonts w:hint="cs"/>
            <w:noProof/>
            <w:rtl/>
            <w:lang w:bidi="ar-SY"/>
          </w:rPr>
          <w:t>تساوى</w:t>
        </w:r>
        <w:r w:rsidRPr="00F14100">
          <w:rPr>
            <w:rStyle w:val="Hyperlink"/>
            <w:noProof/>
            <w:rtl/>
            <w:lang w:bidi="ar-SY"/>
          </w:rPr>
          <w:t xml:space="preserve"> </w:t>
        </w:r>
        <w:r w:rsidRPr="00F14100">
          <w:rPr>
            <w:rStyle w:val="Hyperlink"/>
            <w:rFonts w:hint="cs"/>
            <w:noProof/>
            <w:rtl/>
            <w:lang w:bidi="ar-SY"/>
          </w:rPr>
          <w:t>أفراد</w:t>
        </w:r>
        <w:r w:rsidRPr="00F14100">
          <w:rPr>
            <w:rStyle w:val="Hyperlink"/>
            <w:noProof/>
            <w:rtl/>
            <w:lang w:bidi="ar-SY"/>
          </w:rPr>
          <w:t xml:space="preserve"> </w:t>
        </w:r>
        <w:r w:rsidRPr="00F14100">
          <w:rPr>
            <w:rStyle w:val="Hyperlink"/>
            <w:rFonts w:hint="cs"/>
            <w:noProof/>
            <w:rtl/>
            <w:lang w:bidi="ar-SY"/>
          </w:rPr>
          <w:t>البشر</w:t>
        </w:r>
        <w:r w:rsidRPr="00F14100">
          <w:rPr>
            <w:rStyle w:val="Hyperlink"/>
            <w:noProof/>
            <w:rtl/>
            <w:lang w:bidi="ar-SY"/>
          </w:rPr>
          <w:t xml:space="preserve"> </w:t>
        </w:r>
        <w:r w:rsidRPr="00F14100">
          <w:rPr>
            <w:rStyle w:val="Hyperlink"/>
            <w:rFonts w:hint="cs"/>
            <w:noProof/>
            <w:rtl/>
            <w:lang w:bidi="ar-SY"/>
          </w:rPr>
          <w:t>في</w:t>
        </w:r>
        <w:r w:rsidRPr="00F14100">
          <w:rPr>
            <w:rStyle w:val="Hyperlink"/>
            <w:noProof/>
            <w:rtl/>
            <w:lang w:bidi="ar-SY"/>
          </w:rPr>
          <w:t xml:space="preserve"> </w:t>
        </w:r>
        <w:r w:rsidRPr="00F14100">
          <w:rPr>
            <w:rStyle w:val="Hyperlink"/>
            <w:rFonts w:hint="cs"/>
            <w:noProof/>
            <w:rtl/>
            <w:lang w:bidi="ar-SY"/>
          </w:rPr>
          <w:t>سنة</w:t>
        </w:r>
        <w:r w:rsidRPr="00F14100">
          <w:rPr>
            <w:rStyle w:val="Hyperlink"/>
            <w:noProof/>
            <w:rtl/>
            <w:lang w:bidi="ar-SY"/>
          </w:rPr>
          <w:t xml:space="preserve"> </w:t>
        </w:r>
        <w:r w:rsidRPr="00F14100">
          <w:rPr>
            <w:rStyle w:val="Hyperlink"/>
            <w:rFonts w:hint="cs"/>
            <w:noProof/>
            <w:rtl/>
            <w:lang w:bidi="ar-SY"/>
          </w:rPr>
          <w:t>النبي</w:t>
        </w:r>
        <w:r w:rsidRPr="00F14100">
          <w:rPr>
            <w:rStyle w:val="Hyperlink"/>
            <w:noProof/>
            <w:rtl/>
            <w:lang w:bidi="ar-SY"/>
          </w:rPr>
          <w:t xml:space="preserve"> </w:t>
        </w:r>
        <w:r w:rsidRPr="00F14100">
          <w:rPr>
            <w:rStyle w:val="Hyperlink"/>
            <w:rFonts w:hint="cs"/>
            <w:noProof/>
            <w:rtl/>
            <w:lang w:bidi="ar-SY"/>
          </w:rPr>
          <w:t>الأكرم</w:t>
        </w:r>
        <w:r w:rsidRPr="00F14100">
          <w:rPr>
            <w:rStyle w:val="Hyperlink"/>
            <w:noProof/>
            <w:rtl/>
            <w:lang w:bidi="ar-SY"/>
          </w:rPr>
          <w:t xml:space="preserve"> </w:t>
        </w:r>
        <w:r w:rsidRPr="00F14100">
          <w:rPr>
            <w:rStyle w:val="Hyperlink"/>
            <w:rFonts w:hint="cs"/>
            <w:noProof/>
            <w:rtl/>
            <w:lang w:bidi="ar-SY"/>
          </w:rPr>
          <w:t>وسيرته</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Toc387843059 \h</w:instrText>
        </w:r>
        <w:r>
          <w:rPr>
            <w:noProof/>
            <w:webHidden/>
            <w:rtl/>
          </w:rPr>
          <w:instrText xml:space="preserve"> </w:instrText>
        </w:r>
        <w:r>
          <w:rPr>
            <w:rStyle w:val="Hyperlink"/>
            <w:noProof/>
            <w:rtl/>
          </w:rPr>
        </w:r>
        <w:r>
          <w:rPr>
            <w:rStyle w:val="Hyperlink"/>
            <w:noProof/>
            <w:rtl/>
          </w:rPr>
          <w:fldChar w:fldCharType="separate"/>
        </w:r>
        <w:r w:rsidR="00755AAC">
          <w:rPr>
            <w:noProof/>
            <w:webHidden/>
            <w:rtl/>
          </w:rPr>
          <w:t>2</w:t>
        </w:r>
        <w:r>
          <w:rPr>
            <w:rStyle w:val="Hyperlink"/>
            <w:noProof/>
            <w:rtl/>
          </w:rPr>
          <w:fldChar w:fldCharType="end"/>
        </w:r>
      </w:hyperlink>
    </w:p>
    <w:p w:rsidR="00F90700" w:rsidRPr="008607E3" w:rsidRDefault="00F90700">
      <w:pPr>
        <w:pStyle w:val="TOC2"/>
        <w:rPr>
          <w:rFonts w:ascii="Calibri" w:hAnsi="Calibri" w:cs="Arial"/>
          <w:noProof/>
          <w:sz w:val="22"/>
          <w:szCs w:val="22"/>
          <w:rtl/>
          <w:lang w:eastAsia="en-US" w:bidi="fa-IR"/>
        </w:rPr>
      </w:pPr>
      <w:hyperlink w:anchor="_Toc387843060" w:history="1">
        <w:r w:rsidRPr="00F14100">
          <w:rPr>
            <w:rStyle w:val="Hyperlink"/>
            <w:noProof/>
            <w:rtl/>
            <w:lang w:bidi="ar-SY"/>
          </w:rPr>
          <w:t xml:space="preserve">4- </w:t>
        </w:r>
        <w:r w:rsidRPr="00F14100">
          <w:rPr>
            <w:rStyle w:val="Hyperlink"/>
            <w:rFonts w:hint="cs"/>
            <w:noProof/>
            <w:rtl/>
            <w:lang w:bidi="ar-SY"/>
          </w:rPr>
          <w:t>نقض</w:t>
        </w:r>
        <w:r w:rsidRPr="00F14100">
          <w:rPr>
            <w:rStyle w:val="Hyperlink"/>
            <w:noProof/>
            <w:rtl/>
            <w:lang w:bidi="ar-SY"/>
          </w:rPr>
          <w:t xml:space="preserve"> </w:t>
        </w:r>
        <w:r w:rsidRPr="00F14100">
          <w:rPr>
            <w:rStyle w:val="Hyperlink"/>
            <w:rFonts w:hint="cs"/>
            <w:noProof/>
            <w:rtl/>
            <w:lang w:bidi="ar-SY"/>
          </w:rPr>
          <w:t>القول</w:t>
        </w:r>
        <w:r w:rsidRPr="00F14100">
          <w:rPr>
            <w:rStyle w:val="Hyperlink"/>
            <w:noProof/>
            <w:rtl/>
            <w:lang w:bidi="ar-SY"/>
          </w:rPr>
          <w:t xml:space="preserve"> </w:t>
        </w:r>
        <w:r w:rsidRPr="00F14100">
          <w:rPr>
            <w:rStyle w:val="Hyperlink"/>
            <w:rFonts w:hint="cs"/>
            <w:noProof/>
            <w:rtl/>
            <w:lang w:bidi="ar-SY"/>
          </w:rPr>
          <w:t>بتحريم</w:t>
        </w:r>
        <w:r w:rsidRPr="00F14100">
          <w:rPr>
            <w:rStyle w:val="Hyperlink"/>
            <w:noProof/>
            <w:rtl/>
            <w:lang w:bidi="ar-SY"/>
          </w:rPr>
          <w:t xml:space="preserve"> </w:t>
        </w:r>
        <w:r w:rsidRPr="00F14100">
          <w:rPr>
            <w:rStyle w:val="Hyperlink"/>
            <w:rFonts w:hint="cs"/>
            <w:noProof/>
            <w:rtl/>
            <w:lang w:bidi="ar-SY"/>
          </w:rPr>
          <w:t>الصدقة</w:t>
        </w:r>
        <w:r w:rsidRPr="00F14100">
          <w:rPr>
            <w:rStyle w:val="Hyperlink"/>
            <w:noProof/>
            <w:rtl/>
            <w:lang w:bidi="ar-SY"/>
          </w:rPr>
          <w:t xml:space="preserve"> </w:t>
        </w:r>
        <w:r w:rsidRPr="00F14100">
          <w:rPr>
            <w:rStyle w:val="Hyperlink"/>
            <w:rFonts w:hint="cs"/>
            <w:noProof/>
            <w:rtl/>
            <w:lang w:bidi="ar-SY"/>
          </w:rPr>
          <w:t>على</w:t>
        </w:r>
        <w:r w:rsidRPr="00F14100">
          <w:rPr>
            <w:rStyle w:val="Hyperlink"/>
            <w:noProof/>
            <w:rtl/>
            <w:lang w:bidi="ar-SY"/>
          </w:rPr>
          <w:t xml:space="preserve"> </w:t>
        </w:r>
        <w:r w:rsidRPr="00F14100">
          <w:rPr>
            <w:rStyle w:val="Hyperlink"/>
            <w:rFonts w:hint="cs"/>
            <w:noProof/>
            <w:rtl/>
            <w:lang w:bidi="ar-SY"/>
          </w:rPr>
          <w:t>بني</w:t>
        </w:r>
        <w:r w:rsidRPr="00F14100">
          <w:rPr>
            <w:rStyle w:val="Hyperlink"/>
            <w:noProof/>
            <w:rtl/>
            <w:lang w:bidi="ar-SY"/>
          </w:rPr>
          <w:t xml:space="preserve"> </w:t>
        </w:r>
        <w:r w:rsidRPr="00F14100">
          <w:rPr>
            <w:rStyle w:val="Hyperlink"/>
            <w:rFonts w:hint="cs"/>
            <w:noProof/>
            <w:rtl/>
            <w:lang w:bidi="ar-SY"/>
          </w:rPr>
          <w:t>هاشم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Toc387843060 \h</w:instrText>
        </w:r>
        <w:r>
          <w:rPr>
            <w:noProof/>
            <w:webHidden/>
            <w:rtl/>
          </w:rPr>
          <w:instrText xml:space="preserve"> </w:instrText>
        </w:r>
        <w:r>
          <w:rPr>
            <w:rStyle w:val="Hyperlink"/>
            <w:noProof/>
            <w:rtl/>
          </w:rPr>
        </w:r>
        <w:r>
          <w:rPr>
            <w:rStyle w:val="Hyperlink"/>
            <w:noProof/>
            <w:rtl/>
          </w:rPr>
          <w:fldChar w:fldCharType="separate"/>
        </w:r>
        <w:r w:rsidR="00755AAC">
          <w:rPr>
            <w:noProof/>
            <w:webHidden/>
            <w:rtl/>
          </w:rPr>
          <w:t>2</w:t>
        </w:r>
        <w:r>
          <w:rPr>
            <w:rStyle w:val="Hyperlink"/>
            <w:noProof/>
            <w:rtl/>
          </w:rPr>
          <w:fldChar w:fldCharType="end"/>
        </w:r>
      </w:hyperlink>
    </w:p>
    <w:p w:rsidR="00F90700" w:rsidRPr="008607E3" w:rsidRDefault="00F90700">
      <w:pPr>
        <w:pStyle w:val="TOC1"/>
        <w:tabs>
          <w:tab w:val="right" w:leader="dot" w:pos="7248"/>
        </w:tabs>
        <w:rPr>
          <w:rFonts w:ascii="Calibri" w:hAnsi="Calibri" w:cs="Arial"/>
          <w:bCs w:val="0"/>
          <w:noProof/>
          <w:sz w:val="22"/>
          <w:szCs w:val="22"/>
          <w:rtl/>
          <w:lang w:eastAsia="en-US" w:bidi="fa-IR"/>
        </w:rPr>
      </w:pPr>
      <w:hyperlink w:anchor="_Toc387843061" w:history="1">
        <w:r w:rsidRPr="00F14100">
          <w:rPr>
            <w:rStyle w:val="Hyperlink"/>
            <w:rFonts w:hint="cs"/>
            <w:noProof/>
            <w:rtl/>
          </w:rPr>
          <w:t>الفصل</w:t>
        </w:r>
        <w:r w:rsidRPr="00F14100">
          <w:rPr>
            <w:rStyle w:val="Hyperlink"/>
            <w:noProof/>
            <w:rtl/>
          </w:rPr>
          <w:t xml:space="preserve"> </w:t>
        </w:r>
        <w:r w:rsidRPr="00F14100">
          <w:rPr>
            <w:rStyle w:val="Hyperlink"/>
            <w:rFonts w:hint="cs"/>
            <w:noProof/>
            <w:rtl/>
          </w:rPr>
          <w:t>الثالث</w:t>
        </w:r>
        <w:r w:rsidR="00D52B3E">
          <w:rPr>
            <w:rStyle w:val="Hyperlink"/>
            <w:rFonts w:hint="cs"/>
            <w:noProof/>
            <w:rtl/>
          </w:rPr>
          <w:t>:</w:t>
        </w:r>
        <w:r w:rsidRPr="00F14100">
          <w:rPr>
            <w:rStyle w:val="Hyperlink"/>
            <w:noProof/>
            <w:rtl/>
          </w:rPr>
          <w:t xml:space="preserve"> </w:t>
        </w:r>
        <w:r w:rsidRPr="00F14100">
          <w:rPr>
            <w:rStyle w:val="Hyperlink"/>
            <w:rFonts w:hint="cs"/>
            <w:noProof/>
            <w:rtl/>
          </w:rPr>
          <w:t>استفادة</w:t>
        </w:r>
        <w:r w:rsidRPr="00F14100">
          <w:rPr>
            <w:rStyle w:val="Hyperlink"/>
            <w:noProof/>
            <w:rtl/>
          </w:rPr>
          <w:t xml:space="preserve"> </w:t>
        </w:r>
        <w:r w:rsidRPr="00F14100">
          <w:rPr>
            <w:rStyle w:val="Hyperlink"/>
            <w:rFonts w:hint="cs"/>
            <w:noProof/>
            <w:rtl/>
          </w:rPr>
          <w:t>أهل</w:t>
        </w:r>
        <w:r w:rsidRPr="00F14100">
          <w:rPr>
            <w:rStyle w:val="Hyperlink"/>
            <w:noProof/>
            <w:rtl/>
          </w:rPr>
          <w:t xml:space="preserve"> </w:t>
        </w:r>
        <w:r w:rsidRPr="00F14100">
          <w:rPr>
            <w:rStyle w:val="Hyperlink"/>
            <w:rFonts w:hint="cs"/>
            <w:noProof/>
            <w:rtl/>
          </w:rPr>
          <w:t>البيت</w:t>
        </w:r>
        <w:r w:rsidRPr="00F14100">
          <w:rPr>
            <w:rStyle w:val="Hyperlink"/>
            <w:noProof/>
            <w:rtl/>
          </w:rPr>
          <w:t xml:space="preserve"> </w:t>
        </w:r>
        <w:r w:rsidRPr="00F14100">
          <w:rPr>
            <w:rStyle w:val="Hyperlink"/>
            <w:rFonts w:hint="cs"/>
            <w:noProof/>
            <w:rtl/>
          </w:rPr>
          <w:t>من</w:t>
        </w:r>
        <w:r w:rsidRPr="00F14100">
          <w:rPr>
            <w:rStyle w:val="Hyperlink"/>
            <w:noProof/>
            <w:rtl/>
          </w:rPr>
          <w:t xml:space="preserve"> </w:t>
        </w:r>
        <w:r w:rsidRPr="00F14100">
          <w:rPr>
            <w:rStyle w:val="Hyperlink"/>
            <w:rFonts w:hint="cs"/>
            <w:noProof/>
            <w:rtl/>
          </w:rPr>
          <w:t>الزكاة</w:t>
        </w:r>
        <w:r w:rsidRPr="00F14100">
          <w:rPr>
            <w:rStyle w:val="Hyperlink"/>
            <w:noProof/>
            <w:rtl/>
          </w:rPr>
          <w:t xml:space="preserve"> </w:t>
        </w:r>
        <w:r w:rsidRPr="00F14100">
          <w:rPr>
            <w:rStyle w:val="Hyperlink"/>
            <w:rFonts w:hint="cs"/>
            <w:noProof/>
            <w:rtl/>
          </w:rPr>
          <w:t>والصدقات</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Toc387843061 \h</w:instrText>
        </w:r>
        <w:r>
          <w:rPr>
            <w:noProof/>
            <w:webHidden/>
            <w:rtl/>
          </w:rPr>
          <w:instrText xml:space="preserve"> </w:instrText>
        </w:r>
        <w:r>
          <w:rPr>
            <w:rStyle w:val="Hyperlink"/>
            <w:noProof/>
            <w:rtl/>
          </w:rPr>
        </w:r>
        <w:r>
          <w:rPr>
            <w:rStyle w:val="Hyperlink"/>
            <w:noProof/>
            <w:rtl/>
          </w:rPr>
          <w:fldChar w:fldCharType="separate"/>
        </w:r>
        <w:r w:rsidR="00755AAC">
          <w:rPr>
            <w:noProof/>
            <w:webHidden/>
            <w:rtl/>
          </w:rPr>
          <w:t>2</w:t>
        </w:r>
        <w:r>
          <w:rPr>
            <w:rStyle w:val="Hyperlink"/>
            <w:noProof/>
            <w:rtl/>
          </w:rPr>
          <w:fldChar w:fldCharType="end"/>
        </w:r>
      </w:hyperlink>
    </w:p>
    <w:p w:rsidR="00F90700" w:rsidRPr="008607E3" w:rsidRDefault="00F90700">
      <w:pPr>
        <w:pStyle w:val="TOC2"/>
        <w:rPr>
          <w:rFonts w:ascii="Calibri" w:hAnsi="Calibri" w:cs="Arial"/>
          <w:noProof/>
          <w:sz w:val="22"/>
          <w:szCs w:val="22"/>
          <w:rtl/>
          <w:lang w:eastAsia="en-US" w:bidi="fa-IR"/>
        </w:rPr>
      </w:pPr>
      <w:hyperlink w:anchor="_Toc387843062" w:history="1">
        <w:r w:rsidRPr="00F14100">
          <w:rPr>
            <w:rStyle w:val="Hyperlink"/>
            <w:noProof/>
            <w:rtl/>
            <w:lang w:bidi="ar-SY"/>
          </w:rPr>
          <w:t xml:space="preserve">1- </w:t>
        </w:r>
        <w:r w:rsidRPr="00F14100">
          <w:rPr>
            <w:rStyle w:val="Hyperlink"/>
            <w:rFonts w:hint="cs"/>
            <w:noProof/>
            <w:rtl/>
            <w:lang w:bidi="ar-SY"/>
          </w:rPr>
          <w:t>أخذ</w:t>
        </w:r>
        <w:r w:rsidRPr="00F14100">
          <w:rPr>
            <w:rStyle w:val="Hyperlink"/>
            <w:noProof/>
            <w:rtl/>
            <w:lang w:bidi="ar-SY"/>
          </w:rPr>
          <w:t xml:space="preserve"> </w:t>
        </w:r>
        <w:r w:rsidRPr="00F14100">
          <w:rPr>
            <w:rStyle w:val="Hyperlink"/>
            <w:rFonts w:hint="cs"/>
            <w:noProof/>
            <w:rtl/>
            <w:lang w:bidi="ar-SY"/>
          </w:rPr>
          <w:t>أهل</w:t>
        </w:r>
        <w:r w:rsidRPr="00F14100">
          <w:rPr>
            <w:rStyle w:val="Hyperlink"/>
            <w:noProof/>
            <w:rtl/>
            <w:lang w:bidi="ar-SY"/>
          </w:rPr>
          <w:t xml:space="preserve"> </w:t>
        </w:r>
        <w:r w:rsidRPr="00F14100">
          <w:rPr>
            <w:rStyle w:val="Hyperlink"/>
            <w:rFonts w:hint="cs"/>
            <w:noProof/>
            <w:rtl/>
            <w:lang w:bidi="ar-SY"/>
          </w:rPr>
          <w:t>البيت</w:t>
        </w:r>
        <w:r w:rsidRPr="00F14100">
          <w:rPr>
            <w:rStyle w:val="Hyperlink"/>
            <w:noProof/>
            <w:rtl/>
            <w:lang w:bidi="ar-SY"/>
          </w:rPr>
          <w:t xml:space="preserve"> </w:t>
        </w:r>
        <w:r w:rsidRPr="00F14100">
          <w:rPr>
            <w:rStyle w:val="Hyperlink"/>
            <w:rFonts w:hint="cs"/>
            <w:noProof/>
            <w:rtl/>
            <w:lang w:bidi="ar-SY"/>
          </w:rPr>
          <w:t>الزكاةَ</w:t>
        </w:r>
        <w:r w:rsidRPr="00F14100">
          <w:rPr>
            <w:rStyle w:val="Hyperlink"/>
            <w:noProof/>
            <w:rtl/>
            <w:lang w:bidi="ar-SY"/>
          </w:rPr>
          <w:t xml:space="preserve"> </w:t>
        </w:r>
        <w:r w:rsidRPr="00F14100">
          <w:rPr>
            <w:rStyle w:val="Hyperlink"/>
            <w:rFonts w:hint="cs"/>
            <w:noProof/>
            <w:rtl/>
            <w:lang w:bidi="ar-SY"/>
          </w:rPr>
          <w:t>من</w:t>
        </w:r>
        <w:r w:rsidRPr="00F14100">
          <w:rPr>
            <w:rStyle w:val="Hyperlink"/>
            <w:noProof/>
            <w:rtl/>
            <w:lang w:bidi="ar-SY"/>
          </w:rPr>
          <w:t xml:space="preserve"> </w:t>
        </w:r>
        <w:r w:rsidRPr="00F14100">
          <w:rPr>
            <w:rStyle w:val="Hyperlink"/>
            <w:rFonts w:hint="cs"/>
            <w:noProof/>
            <w:rtl/>
            <w:lang w:bidi="ar-SY"/>
          </w:rPr>
          <w:t>الناس</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Toc387843062 \h</w:instrText>
        </w:r>
        <w:r>
          <w:rPr>
            <w:noProof/>
            <w:webHidden/>
            <w:rtl/>
          </w:rPr>
          <w:instrText xml:space="preserve"> </w:instrText>
        </w:r>
        <w:r>
          <w:rPr>
            <w:rStyle w:val="Hyperlink"/>
            <w:noProof/>
            <w:rtl/>
          </w:rPr>
        </w:r>
        <w:r>
          <w:rPr>
            <w:rStyle w:val="Hyperlink"/>
            <w:noProof/>
            <w:rtl/>
          </w:rPr>
          <w:fldChar w:fldCharType="separate"/>
        </w:r>
        <w:r w:rsidR="00755AAC">
          <w:rPr>
            <w:noProof/>
            <w:webHidden/>
            <w:rtl/>
          </w:rPr>
          <w:t>2</w:t>
        </w:r>
        <w:r>
          <w:rPr>
            <w:rStyle w:val="Hyperlink"/>
            <w:noProof/>
            <w:rtl/>
          </w:rPr>
          <w:fldChar w:fldCharType="end"/>
        </w:r>
      </w:hyperlink>
    </w:p>
    <w:p w:rsidR="00F90700" w:rsidRPr="008607E3" w:rsidRDefault="00F90700">
      <w:pPr>
        <w:pStyle w:val="TOC2"/>
        <w:rPr>
          <w:rFonts w:ascii="Calibri" w:hAnsi="Calibri" w:cs="Arial"/>
          <w:noProof/>
          <w:sz w:val="22"/>
          <w:szCs w:val="22"/>
          <w:rtl/>
          <w:lang w:eastAsia="en-US" w:bidi="fa-IR"/>
        </w:rPr>
      </w:pPr>
      <w:hyperlink w:anchor="_Toc387843063" w:history="1">
        <w:r w:rsidRPr="00F14100">
          <w:rPr>
            <w:rStyle w:val="Hyperlink"/>
            <w:noProof/>
            <w:rtl/>
            <w:lang w:bidi="ar-SY"/>
          </w:rPr>
          <w:t xml:space="preserve">2- </w:t>
        </w:r>
        <w:r w:rsidRPr="00F14100">
          <w:rPr>
            <w:rStyle w:val="Hyperlink"/>
            <w:rFonts w:hint="cs"/>
            <w:noProof/>
            <w:rtl/>
            <w:lang w:bidi="ar-SY"/>
          </w:rPr>
          <w:t>أخذ</w:t>
        </w:r>
        <w:r w:rsidRPr="00F14100">
          <w:rPr>
            <w:rStyle w:val="Hyperlink"/>
            <w:noProof/>
            <w:rtl/>
            <w:lang w:bidi="ar-SY"/>
          </w:rPr>
          <w:t xml:space="preserve"> </w:t>
        </w:r>
        <w:r w:rsidRPr="00F14100">
          <w:rPr>
            <w:rStyle w:val="Hyperlink"/>
            <w:rFonts w:hint="cs"/>
            <w:noProof/>
            <w:rtl/>
            <w:lang w:bidi="ar-SY"/>
          </w:rPr>
          <w:t>أهل</w:t>
        </w:r>
        <w:r w:rsidRPr="00F14100">
          <w:rPr>
            <w:rStyle w:val="Hyperlink"/>
            <w:noProof/>
            <w:rtl/>
            <w:lang w:bidi="ar-SY"/>
          </w:rPr>
          <w:t xml:space="preserve"> </w:t>
        </w:r>
        <w:r w:rsidRPr="00F14100">
          <w:rPr>
            <w:rStyle w:val="Hyperlink"/>
            <w:rFonts w:hint="cs"/>
            <w:noProof/>
            <w:rtl/>
            <w:lang w:bidi="ar-SY"/>
          </w:rPr>
          <w:t>البيت</w:t>
        </w:r>
        <w:r w:rsidRPr="00F14100">
          <w:rPr>
            <w:rStyle w:val="Hyperlink"/>
            <w:noProof/>
            <w:rtl/>
            <w:lang w:bidi="ar-SY"/>
          </w:rPr>
          <w:t xml:space="preserve"> </w:t>
        </w:r>
        <w:r w:rsidRPr="00F14100">
          <w:rPr>
            <w:rStyle w:val="Hyperlink"/>
            <w:rFonts w:hint="cs"/>
            <w:noProof/>
            <w:rtl/>
            <w:lang w:bidi="ar-SY"/>
          </w:rPr>
          <w:t>سهمهم</w:t>
        </w:r>
        <w:r w:rsidRPr="00F14100">
          <w:rPr>
            <w:rStyle w:val="Hyperlink"/>
            <w:noProof/>
            <w:rtl/>
            <w:lang w:bidi="ar-SY"/>
          </w:rPr>
          <w:t xml:space="preserve"> </w:t>
        </w:r>
        <w:r w:rsidRPr="00F14100">
          <w:rPr>
            <w:rStyle w:val="Hyperlink"/>
            <w:rFonts w:hint="cs"/>
            <w:noProof/>
            <w:rtl/>
            <w:lang w:bidi="ar-SY"/>
          </w:rPr>
          <w:t>من</w:t>
        </w:r>
        <w:r w:rsidRPr="00F14100">
          <w:rPr>
            <w:rStyle w:val="Hyperlink"/>
            <w:noProof/>
            <w:rtl/>
            <w:lang w:bidi="ar-SY"/>
          </w:rPr>
          <w:t xml:space="preserve"> </w:t>
        </w:r>
        <w:r w:rsidRPr="00F14100">
          <w:rPr>
            <w:rStyle w:val="Hyperlink"/>
            <w:rFonts w:hint="cs"/>
            <w:noProof/>
            <w:rtl/>
            <w:lang w:bidi="ar-SY"/>
          </w:rPr>
          <w:t>بيت</w:t>
        </w:r>
        <w:r w:rsidRPr="00F14100">
          <w:rPr>
            <w:rStyle w:val="Hyperlink"/>
            <w:noProof/>
            <w:rtl/>
            <w:lang w:bidi="ar-SY"/>
          </w:rPr>
          <w:t xml:space="preserve"> </w:t>
        </w:r>
        <w:r w:rsidRPr="00F14100">
          <w:rPr>
            <w:rStyle w:val="Hyperlink"/>
            <w:rFonts w:hint="cs"/>
            <w:noProof/>
            <w:rtl/>
            <w:lang w:bidi="ar-SY"/>
          </w:rPr>
          <w:t>المال،</w:t>
        </w:r>
        <w:r w:rsidRPr="00F14100">
          <w:rPr>
            <w:rStyle w:val="Hyperlink"/>
            <w:noProof/>
            <w:rtl/>
            <w:lang w:bidi="ar-SY"/>
          </w:rPr>
          <w:t xml:space="preserve"> </w:t>
        </w:r>
        <w:r w:rsidRPr="00F14100">
          <w:rPr>
            <w:rStyle w:val="Hyperlink"/>
            <w:rFonts w:hint="cs"/>
            <w:noProof/>
            <w:rtl/>
            <w:lang w:bidi="ar-SY"/>
          </w:rPr>
          <w:t>وقبولهم</w:t>
        </w:r>
        <w:r w:rsidRPr="00F14100">
          <w:rPr>
            <w:rStyle w:val="Hyperlink"/>
            <w:noProof/>
            <w:rtl/>
            <w:lang w:bidi="ar-SY"/>
          </w:rPr>
          <w:t xml:space="preserve"> </w:t>
        </w:r>
        <w:r w:rsidRPr="00F14100">
          <w:rPr>
            <w:rStyle w:val="Hyperlink"/>
            <w:rFonts w:hint="cs"/>
            <w:noProof/>
            <w:rtl/>
            <w:lang w:bidi="ar-SY"/>
          </w:rPr>
          <w:t>هدايا</w:t>
        </w:r>
        <w:r w:rsidRPr="00F14100">
          <w:rPr>
            <w:rStyle w:val="Hyperlink"/>
            <w:noProof/>
            <w:rtl/>
            <w:lang w:bidi="ar-SY"/>
          </w:rPr>
          <w:t xml:space="preserve"> </w:t>
        </w:r>
        <w:r w:rsidRPr="00F14100">
          <w:rPr>
            <w:rStyle w:val="Hyperlink"/>
            <w:rFonts w:hint="cs"/>
            <w:noProof/>
            <w:rtl/>
            <w:lang w:bidi="ar-SY"/>
          </w:rPr>
          <w:t>الخلفاء</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Toc387843063 \h</w:instrText>
        </w:r>
        <w:r>
          <w:rPr>
            <w:noProof/>
            <w:webHidden/>
            <w:rtl/>
          </w:rPr>
          <w:instrText xml:space="preserve"> </w:instrText>
        </w:r>
        <w:r>
          <w:rPr>
            <w:rStyle w:val="Hyperlink"/>
            <w:noProof/>
            <w:rtl/>
          </w:rPr>
        </w:r>
        <w:r>
          <w:rPr>
            <w:rStyle w:val="Hyperlink"/>
            <w:noProof/>
            <w:rtl/>
          </w:rPr>
          <w:fldChar w:fldCharType="separate"/>
        </w:r>
        <w:r w:rsidR="00755AAC">
          <w:rPr>
            <w:noProof/>
            <w:webHidden/>
            <w:rtl/>
          </w:rPr>
          <w:t>2</w:t>
        </w:r>
        <w:r>
          <w:rPr>
            <w:rStyle w:val="Hyperlink"/>
            <w:noProof/>
            <w:rtl/>
          </w:rPr>
          <w:fldChar w:fldCharType="end"/>
        </w:r>
      </w:hyperlink>
    </w:p>
    <w:p w:rsidR="00F90700" w:rsidRPr="008607E3" w:rsidRDefault="00F90700">
      <w:pPr>
        <w:pStyle w:val="TOC1"/>
        <w:tabs>
          <w:tab w:val="right" w:leader="dot" w:pos="7248"/>
        </w:tabs>
        <w:rPr>
          <w:rFonts w:ascii="Calibri" w:hAnsi="Calibri" w:cs="Arial"/>
          <w:bCs w:val="0"/>
          <w:noProof/>
          <w:sz w:val="22"/>
          <w:szCs w:val="22"/>
          <w:rtl/>
          <w:lang w:eastAsia="en-US" w:bidi="fa-IR"/>
        </w:rPr>
      </w:pPr>
      <w:hyperlink w:anchor="_Toc387843064" w:history="1">
        <w:r w:rsidRPr="00F14100">
          <w:rPr>
            <w:rStyle w:val="Hyperlink"/>
            <w:rFonts w:hint="cs"/>
            <w:noProof/>
            <w:rtl/>
          </w:rPr>
          <w:t>الفصل</w:t>
        </w:r>
        <w:r w:rsidRPr="00F14100">
          <w:rPr>
            <w:rStyle w:val="Hyperlink"/>
            <w:noProof/>
            <w:rtl/>
          </w:rPr>
          <w:t xml:space="preserve"> </w:t>
        </w:r>
        <w:r w:rsidRPr="00F14100">
          <w:rPr>
            <w:rStyle w:val="Hyperlink"/>
            <w:rFonts w:hint="cs"/>
            <w:noProof/>
            <w:rtl/>
          </w:rPr>
          <w:t>الرابع</w:t>
        </w:r>
        <w:r w:rsidR="00D52B3E">
          <w:rPr>
            <w:rStyle w:val="Hyperlink"/>
            <w:rFonts w:hint="cs"/>
            <w:noProof/>
            <w:rtl/>
          </w:rPr>
          <w:t>:</w:t>
        </w:r>
        <w:r w:rsidRPr="00F14100">
          <w:rPr>
            <w:rStyle w:val="Hyperlink"/>
            <w:noProof/>
            <w:rtl/>
          </w:rPr>
          <w:t xml:space="preserve"> </w:t>
        </w:r>
        <w:r w:rsidRPr="00F14100">
          <w:rPr>
            <w:rStyle w:val="Hyperlink"/>
            <w:rFonts w:hint="cs"/>
            <w:noProof/>
            <w:rtl/>
          </w:rPr>
          <w:t>رسالة</w:t>
        </w:r>
        <w:r w:rsidRPr="00F14100">
          <w:rPr>
            <w:rStyle w:val="Hyperlink"/>
            <w:noProof/>
            <w:rtl/>
          </w:rPr>
          <w:t xml:space="preserve"> </w:t>
        </w:r>
        <w:r w:rsidRPr="00F14100">
          <w:rPr>
            <w:rStyle w:val="Hyperlink"/>
            <w:rFonts w:hint="cs"/>
            <w:noProof/>
            <w:rtl/>
          </w:rPr>
          <w:t>معنوية</w:t>
        </w:r>
        <w:r w:rsidRPr="00F14100">
          <w:rPr>
            <w:rStyle w:val="Hyperlink"/>
            <w:noProof/>
            <w:rtl/>
          </w:rPr>
          <w:t xml:space="preserve"> </w:t>
        </w:r>
        <w:r w:rsidRPr="00F14100">
          <w:rPr>
            <w:rStyle w:val="Hyperlink"/>
            <w:rFonts w:hint="cs"/>
            <w:noProof/>
            <w:rtl/>
          </w:rPr>
          <w:t>أم</w:t>
        </w:r>
        <w:r w:rsidRPr="00F14100">
          <w:rPr>
            <w:rStyle w:val="Hyperlink"/>
            <w:noProof/>
            <w:rtl/>
          </w:rPr>
          <w:t xml:space="preserve"> </w:t>
        </w:r>
        <w:r w:rsidRPr="00F14100">
          <w:rPr>
            <w:rStyle w:val="Hyperlink"/>
            <w:rFonts w:hint="cs"/>
            <w:noProof/>
            <w:rtl/>
          </w:rPr>
          <w:t>رعاية</w:t>
        </w:r>
        <w:r w:rsidRPr="00F14100">
          <w:rPr>
            <w:rStyle w:val="Hyperlink"/>
            <w:noProof/>
            <w:rtl/>
          </w:rPr>
          <w:t xml:space="preserve"> </w:t>
        </w:r>
        <w:r w:rsidRPr="00F14100">
          <w:rPr>
            <w:rStyle w:val="Hyperlink"/>
            <w:rFonts w:hint="cs"/>
            <w:noProof/>
            <w:rtl/>
          </w:rPr>
          <w:t>مادية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Toc387843064 \h</w:instrText>
        </w:r>
        <w:r>
          <w:rPr>
            <w:noProof/>
            <w:webHidden/>
            <w:rtl/>
          </w:rPr>
          <w:instrText xml:space="preserve"> </w:instrText>
        </w:r>
        <w:r>
          <w:rPr>
            <w:rStyle w:val="Hyperlink"/>
            <w:noProof/>
            <w:rtl/>
          </w:rPr>
        </w:r>
        <w:r>
          <w:rPr>
            <w:rStyle w:val="Hyperlink"/>
            <w:noProof/>
            <w:rtl/>
          </w:rPr>
          <w:fldChar w:fldCharType="separate"/>
        </w:r>
        <w:r w:rsidR="00755AAC">
          <w:rPr>
            <w:noProof/>
            <w:webHidden/>
            <w:rtl/>
          </w:rPr>
          <w:t>2</w:t>
        </w:r>
        <w:r>
          <w:rPr>
            <w:rStyle w:val="Hyperlink"/>
            <w:noProof/>
            <w:rtl/>
          </w:rPr>
          <w:fldChar w:fldCharType="end"/>
        </w:r>
      </w:hyperlink>
    </w:p>
    <w:p w:rsidR="00F90700" w:rsidRPr="008607E3" w:rsidRDefault="00F90700">
      <w:pPr>
        <w:pStyle w:val="TOC2"/>
        <w:rPr>
          <w:rFonts w:ascii="Calibri" w:hAnsi="Calibri" w:cs="Arial"/>
          <w:noProof/>
          <w:sz w:val="22"/>
          <w:szCs w:val="22"/>
          <w:rtl/>
          <w:lang w:eastAsia="en-US" w:bidi="fa-IR"/>
        </w:rPr>
      </w:pPr>
      <w:hyperlink w:anchor="_Toc387843065" w:history="1">
        <w:r w:rsidRPr="00F14100">
          <w:rPr>
            <w:rStyle w:val="Hyperlink"/>
            <w:noProof/>
            <w:rtl/>
          </w:rPr>
          <w:t xml:space="preserve">1- </w:t>
        </w:r>
        <w:r w:rsidRPr="00F14100">
          <w:rPr>
            <w:rStyle w:val="Hyperlink"/>
            <w:rFonts w:hint="cs"/>
            <w:noProof/>
            <w:rtl/>
          </w:rPr>
          <w:t>غِـنَى</w:t>
        </w:r>
        <w:r w:rsidRPr="00F14100">
          <w:rPr>
            <w:rStyle w:val="Hyperlink"/>
            <w:noProof/>
            <w:rtl/>
          </w:rPr>
          <w:t xml:space="preserve"> </w:t>
        </w:r>
        <w:r w:rsidRPr="00F14100">
          <w:rPr>
            <w:rStyle w:val="Hyperlink"/>
            <w:rFonts w:hint="cs"/>
            <w:noProof/>
            <w:rtl/>
          </w:rPr>
          <w:t>الأنبياء</w:t>
        </w:r>
        <w:r w:rsidRPr="00F14100">
          <w:rPr>
            <w:rStyle w:val="Hyperlink"/>
            <w:noProof/>
            <w:rtl/>
          </w:rPr>
          <w:t xml:space="preserve"> </w:t>
        </w:r>
        <w:r w:rsidRPr="00F14100">
          <w:rPr>
            <w:rStyle w:val="Hyperlink"/>
            <w:rFonts w:hint="cs"/>
            <w:noProof/>
            <w:rtl/>
          </w:rPr>
          <w:t>عن</w:t>
        </w:r>
        <w:r w:rsidRPr="00F14100">
          <w:rPr>
            <w:rStyle w:val="Hyperlink"/>
            <w:noProof/>
            <w:rtl/>
          </w:rPr>
          <w:t xml:space="preserve"> </w:t>
        </w:r>
        <w:r w:rsidRPr="00F14100">
          <w:rPr>
            <w:rStyle w:val="Hyperlink"/>
            <w:rFonts w:hint="cs"/>
            <w:noProof/>
            <w:rtl/>
          </w:rPr>
          <w:t>الأجر</w:t>
        </w:r>
        <w:r w:rsidRPr="00F14100">
          <w:rPr>
            <w:rStyle w:val="Hyperlink"/>
            <w:noProof/>
            <w:rtl/>
          </w:rPr>
          <w:t xml:space="preserve"> </w:t>
        </w:r>
        <w:r w:rsidRPr="00F14100">
          <w:rPr>
            <w:rStyle w:val="Hyperlink"/>
            <w:rFonts w:hint="cs"/>
            <w:noProof/>
            <w:rtl/>
          </w:rPr>
          <w:t>المادي</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Toc387843065 \h</w:instrText>
        </w:r>
        <w:r>
          <w:rPr>
            <w:noProof/>
            <w:webHidden/>
            <w:rtl/>
          </w:rPr>
          <w:instrText xml:space="preserve"> </w:instrText>
        </w:r>
        <w:r>
          <w:rPr>
            <w:rStyle w:val="Hyperlink"/>
            <w:noProof/>
            <w:rtl/>
          </w:rPr>
        </w:r>
        <w:r>
          <w:rPr>
            <w:rStyle w:val="Hyperlink"/>
            <w:noProof/>
            <w:rtl/>
          </w:rPr>
          <w:fldChar w:fldCharType="separate"/>
        </w:r>
        <w:r w:rsidR="00755AAC">
          <w:rPr>
            <w:noProof/>
            <w:webHidden/>
            <w:rtl/>
          </w:rPr>
          <w:t>2</w:t>
        </w:r>
        <w:r>
          <w:rPr>
            <w:rStyle w:val="Hyperlink"/>
            <w:noProof/>
            <w:rtl/>
          </w:rPr>
          <w:fldChar w:fldCharType="end"/>
        </w:r>
      </w:hyperlink>
    </w:p>
    <w:p w:rsidR="00F90700" w:rsidRPr="008607E3" w:rsidRDefault="00F90700">
      <w:pPr>
        <w:pStyle w:val="TOC2"/>
        <w:rPr>
          <w:rFonts w:ascii="Calibri" w:hAnsi="Calibri" w:cs="Arial"/>
          <w:noProof/>
          <w:sz w:val="22"/>
          <w:szCs w:val="22"/>
          <w:rtl/>
          <w:lang w:eastAsia="en-US" w:bidi="fa-IR"/>
        </w:rPr>
      </w:pPr>
      <w:hyperlink w:anchor="_Toc387843067" w:history="1">
        <w:r w:rsidRPr="00F14100">
          <w:rPr>
            <w:rStyle w:val="Hyperlink"/>
            <w:noProof/>
            <w:rtl/>
          </w:rPr>
          <w:t xml:space="preserve">2- </w:t>
        </w:r>
        <w:r w:rsidRPr="00F14100">
          <w:rPr>
            <w:rStyle w:val="Hyperlink"/>
            <w:rFonts w:hint="cs"/>
            <w:noProof/>
            <w:rtl/>
          </w:rPr>
          <w:t>بيان</w:t>
        </w:r>
        <w:r w:rsidRPr="00F14100">
          <w:rPr>
            <w:rStyle w:val="Hyperlink"/>
            <w:noProof/>
            <w:rtl/>
          </w:rPr>
          <w:t xml:space="preserve"> </w:t>
        </w:r>
        <w:r w:rsidRPr="00F14100">
          <w:rPr>
            <w:rStyle w:val="Hyperlink"/>
            <w:rFonts w:hint="cs"/>
            <w:noProof/>
            <w:rtl/>
          </w:rPr>
          <w:t>بعض</w:t>
        </w:r>
        <w:r w:rsidRPr="00F14100">
          <w:rPr>
            <w:rStyle w:val="Hyperlink"/>
            <w:noProof/>
            <w:rtl/>
          </w:rPr>
          <w:t xml:space="preserve"> </w:t>
        </w:r>
        <w:r w:rsidRPr="00F14100">
          <w:rPr>
            <w:rStyle w:val="Hyperlink"/>
            <w:rFonts w:hint="cs"/>
            <w:noProof/>
            <w:rtl/>
          </w:rPr>
          <w:t>النقاط</w:t>
        </w:r>
        <w:r w:rsidRPr="00F14100">
          <w:rPr>
            <w:rStyle w:val="Hyperlink"/>
            <w:noProof/>
            <w:rtl/>
          </w:rPr>
          <w:t xml:space="preserve"> </w:t>
        </w:r>
        <w:r w:rsidRPr="00F14100">
          <w:rPr>
            <w:rStyle w:val="Hyperlink"/>
            <w:rFonts w:hint="cs"/>
            <w:noProof/>
            <w:rtl/>
          </w:rPr>
          <w:t>المتعلقة</w:t>
        </w:r>
        <w:r w:rsidRPr="00F14100">
          <w:rPr>
            <w:rStyle w:val="Hyperlink"/>
            <w:noProof/>
            <w:rtl/>
          </w:rPr>
          <w:t xml:space="preserve"> </w:t>
        </w:r>
        <w:r w:rsidRPr="00F14100">
          <w:rPr>
            <w:rStyle w:val="Hyperlink"/>
            <w:rFonts w:hint="cs"/>
            <w:noProof/>
            <w:rtl/>
          </w:rPr>
          <w:t>بالآية</w:t>
        </w:r>
        <w:r w:rsidRPr="00F14100">
          <w:rPr>
            <w:rStyle w:val="Hyperlink"/>
            <w:noProof/>
            <w:rtl/>
          </w:rPr>
          <w:t xml:space="preserve"> 23 </w:t>
        </w:r>
        <w:r w:rsidRPr="00F14100">
          <w:rPr>
            <w:rStyle w:val="Hyperlink"/>
            <w:rFonts w:hint="cs"/>
            <w:noProof/>
            <w:rtl/>
          </w:rPr>
          <w:t>من</w:t>
        </w:r>
        <w:r w:rsidRPr="00F14100">
          <w:rPr>
            <w:rStyle w:val="Hyperlink"/>
            <w:noProof/>
            <w:rtl/>
          </w:rPr>
          <w:t xml:space="preserve"> </w:t>
        </w:r>
        <w:r w:rsidRPr="00F14100">
          <w:rPr>
            <w:rStyle w:val="Hyperlink"/>
            <w:rFonts w:hint="cs"/>
            <w:noProof/>
            <w:rtl/>
          </w:rPr>
          <w:t>سورة</w:t>
        </w:r>
        <w:r w:rsidRPr="00F14100">
          <w:rPr>
            <w:rStyle w:val="Hyperlink"/>
            <w:noProof/>
            <w:rtl/>
          </w:rPr>
          <w:t xml:space="preserve"> </w:t>
        </w:r>
        <w:r w:rsidRPr="00F14100">
          <w:rPr>
            <w:rStyle w:val="Hyperlink"/>
            <w:rFonts w:hint="cs"/>
            <w:noProof/>
            <w:rtl/>
          </w:rPr>
          <w:t>الشورى</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Toc387843067 \h</w:instrText>
        </w:r>
        <w:r>
          <w:rPr>
            <w:noProof/>
            <w:webHidden/>
            <w:rtl/>
          </w:rPr>
          <w:instrText xml:space="preserve"> </w:instrText>
        </w:r>
        <w:r>
          <w:rPr>
            <w:rStyle w:val="Hyperlink"/>
            <w:noProof/>
            <w:rtl/>
          </w:rPr>
        </w:r>
        <w:r>
          <w:rPr>
            <w:rStyle w:val="Hyperlink"/>
            <w:noProof/>
            <w:rtl/>
          </w:rPr>
          <w:fldChar w:fldCharType="separate"/>
        </w:r>
        <w:r w:rsidR="00755AAC">
          <w:rPr>
            <w:noProof/>
            <w:webHidden/>
            <w:rtl/>
          </w:rPr>
          <w:t>2</w:t>
        </w:r>
        <w:r>
          <w:rPr>
            <w:rStyle w:val="Hyperlink"/>
            <w:noProof/>
            <w:rtl/>
          </w:rPr>
          <w:fldChar w:fldCharType="end"/>
        </w:r>
      </w:hyperlink>
    </w:p>
    <w:p w:rsidR="00F90700" w:rsidRPr="008607E3" w:rsidRDefault="00F90700">
      <w:pPr>
        <w:pStyle w:val="TOC2"/>
        <w:rPr>
          <w:rFonts w:ascii="Calibri" w:hAnsi="Calibri" w:cs="Arial"/>
          <w:noProof/>
          <w:sz w:val="22"/>
          <w:szCs w:val="22"/>
          <w:rtl/>
          <w:lang w:eastAsia="en-US" w:bidi="fa-IR"/>
        </w:rPr>
      </w:pPr>
      <w:hyperlink w:anchor="_Toc387843068" w:history="1">
        <w:r w:rsidRPr="00F14100">
          <w:rPr>
            <w:rStyle w:val="Hyperlink"/>
            <w:noProof/>
            <w:rtl/>
          </w:rPr>
          <w:t xml:space="preserve">3- </w:t>
        </w:r>
        <w:r w:rsidRPr="00F14100">
          <w:rPr>
            <w:rStyle w:val="Hyperlink"/>
            <w:rFonts w:hint="cs"/>
            <w:noProof/>
            <w:rtl/>
          </w:rPr>
          <w:t>حكم</w:t>
        </w:r>
        <w:r w:rsidRPr="00F14100">
          <w:rPr>
            <w:rStyle w:val="Hyperlink"/>
            <w:noProof/>
            <w:rtl/>
          </w:rPr>
          <w:t xml:space="preserve"> </w:t>
        </w:r>
        <w:r w:rsidRPr="00F14100">
          <w:rPr>
            <w:rStyle w:val="Hyperlink"/>
            <w:rFonts w:hint="cs"/>
            <w:noProof/>
            <w:rtl/>
          </w:rPr>
          <w:t>عادل</w:t>
        </w:r>
        <w:r w:rsidRPr="00F14100">
          <w:rPr>
            <w:rStyle w:val="Hyperlink"/>
            <w:noProof/>
            <w:rtl/>
          </w:rPr>
          <w:t xml:space="preserve"> </w:t>
        </w:r>
        <w:r w:rsidRPr="00F14100">
          <w:rPr>
            <w:rStyle w:val="Hyperlink"/>
            <w:rFonts w:hint="cs"/>
            <w:noProof/>
            <w:rtl/>
          </w:rPr>
          <w:t>بشأن</w:t>
        </w:r>
        <w:r w:rsidRPr="00F14100">
          <w:rPr>
            <w:rStyle w:val="Hyperlink"/>
            <w:noProof/>
            <w:rtl/>
          </w:rPr>
          <w:t xml:space="preserve"> </w:t>
        </w:r>
        <w:r w:rsidRPr="00F14100">
          <w:rPr>
            <w:rStyle w:val="Hyperlink"/>
            <w:rFonts w:hint="cs"/>
            <w:noProof/>
            <w:rtl/>
          </w:rPr>
          <w:t>قانون</w:t>
        </w:r>
        <w:r w:rsidRPr="00F14100">
          <w:rPr>
            <w:rStyle w:val="Hyperlink"/>
            <w:noProof/>
            <w:rtl/>
          </w:rPr>
          <w:t xml:space="preserve"> </w:t>
        </w:r>
        <w:r w:rsidRPr="00F14100">
          <w:rPr>
            <w:rStyle w:val="Hyperlink"/>
            <w:rFonts w:hint="cs"/>
            <w:noProof/>
            <w:rtl/>
          </w:rPr>
          <w:t>ظالم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Toc387843068 \h</w:instrText>
        </w:r>
        <w:r>
          <w:rPr>
            <w:noProof/>
            <w:webHidden/>
            <w:rtl/>
          </w:rPr>
          <w:instrText xml:space="preserve"> </w:instrText>
        </w:r>
        <w:r>
          <w:rPr>
            <w:rStyle w:val="Hyperlink"/>
            <w:noProof/>
            <w:rtl/>
          </w:rPr>
        </w:r>
        <w:r>
          <w:rPr>
            <w:rStyle w:val="Hyperlink"/>
            <w:noProof/>
            <w:rtl/>
          </w:rPr>
          <w:fldChar w:fldCharType="separate"/>
        </w:r>
        <w:r w:rsidR="00755AAC">
          <w:rPr>
            <w:noProof/>
            <w:webHidden/>
            <w:rtl/>
          </w:rPr>
          <w:t>2</w:t>
        </w:r>
        <w:r>
          <w:rPr>
            <w:rStyle w:val="Hyperlink"/>
            <w:noProof/>
            <w:rtl/>
          </w:rPr>
          <w:fldChar w:fldCharType="end"/>
        </w:r>
      </w:hyperlink>
    </w:p>
    <w:p w:rsidR="00F90700" w:rsidRPr="008607E3" w:rsidRDefault="00F90700">
      <w:pPr>
        <w:pStyle w:val="TOC1"/>
        <w:tabs>
          <w:tab w:val="right" w:leader="dot" w:pos="7248"/>
        </w:tabs>
        <w:rPr>
          <w:rFonts w:ascii="Calibri" w:hAnsi="Calibri" w:cs="Arial"/>
          <w:bCs w:val="0"/>
          <w:noProof/>
          <w:sz w:val="22"/>
          <w:szCs w:val="22"/>
          <w:rtl/>
          <w:lang w:eastAsia="en-US" w:bidi="fa-IR"/>
        </w:rPr>
      </w:pPr>
      <w:hyperlink w:anchor="_Toc387843069" w:history="1">
        <w:r w:rsidRPr="00F14100">
          <w:rPr>
            <w:rStyle w:val="Hyperlink"/>
            <w:rFonts w:hint="cs"/>
            <w:noProof/>
            <w:rtl/>
          </w:rPr>
          <w:t>الفصل</w:t>
        </w:r>
        <w:r w:rsidRPr="00F14100">
          <w:rPr>
            <w:rStyle w:val="Hyperlink"/>
            <w:noProof/>
            <w:rtl/>
          </w:rPr>
          <w:t xml:space="preserve"> </w:t>
        </w:r>
        <w:r w:rsidRPr="00F14100">
          <w:rPr>
            <w:rStyle w:val="Hyperlink"/>
            <w:rFonts w:hint="cs"/>
            <w:noProof/>
            <w:rtl/>
          </w:rPr>
          <w:t>الخامس</w:t>
        </w:r>
        <w:r w:rsidR="00D52B3E">
          <w:rPr>
            <w:rStyle w:val="Hyperlink"/>
            <w:rFonts w:hint="cs"/>
            <w:noProof/>
            <w:rtl/>
          </w:rPr>
          <w:t>:</w:t>
        </w:r>
        <w:r w:rsidRPr="00F14100">
          <w:rPr>
            <w:rStyle w:val="Hyperlink"/>
            <w:noProof/>
            <w:rtl/>
          </w:rPr>
          <w:t xml:space="preserve"> </w:t>
        </w:r>
        <w:r w:rsidRPr="00F14100">
          <w:rPr>
            <w:rStyle w:val="Hyperlink"/>
            <w:rFonts w:hint="cs"/>
            <w:noProof/>
            <w:rtl/>
          </w:rPr>
          <w:t>الخُمْس</w:t>
        </w:r>
        <w:r w:rsidRPr="00F14100">
          <w:rPr>
            <w:rStyle w:val="Hyperlink"/>
            <w:noProof/>
            <w:rtl/>
          </w:rPr>
          <w:t xml:space="preserve"> </w:t>
        </w:r>
        <w:r w:rsidRPr="00F14100">
          <w:rPr>
            <w:rStyle w:val="Hyperlink"/>
            <w:rFonts w:hint="cs"/>
            <w:noProof/>
            <w:rtl/>
          </w:rPr>
          <w:t>والأشياء</w:t>
        </w:r>
        <w:r w:rsidRPr="00F14100">
          <w:rPr>
            <w:rStyle w:val="Hyperlink"/>
            <w:noProof/>
            <w:rtl/>
          </w:rPr>
          <w:t xml:space="preserve"> </w:t>
        </w:r>
        <w:r w:rsidRPr="00F14100">
          <w:rPr>
            <w:rStyle w:val="Hyperlink"/>
            <w:rFonts w:hint="cs"/>
            <w:noProof/>
            <w:rtl/>
          </w:rPr>
          <w:t>التي</w:t>
        </w:r>
        <w:r w:rsidRPr="00F14100">
          <w:rPr>
            <w:rStyle w:val="Hyperlink"/>
            <w:noProof/>
            <w:rtl/>
          </w:rPr>
          <w:t xml:space="preserve"> </w:t>
        </w:r>
        <w:r w:rsidRPr="00F14100">
          <w:rPr>
            <w:rStyle w:val="Hyperlink"/>
            <w:rFonts w:hint="cs"/>
            <w:noProof/>
            <w:rtl/>
          </w:rPr>
          <w:t>يتعلق</w:t>
        </w:r>
        <w:r w:rsidRPr="00F14100">
          <w:rPr>
            <w:rStyle w:val="Hyperlink"/>
            <w:noProof/>
            <w:rtl/>
          </w:rPr>
          <w:t xml:space="preserve"> </w:t>
        </w:r>
        <w:r w:rsidRPr="00F14100">
          <w:rPr>
            <w:rStyle w:val="Hyperlink"/>
            <w:rFonts w:hint="cs"/>
            <w:noProof/>
            <w:rtl/>
          </w:rPr>
          <w:t>بها</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Toc387843069 \h</w:instrText>
        </w:r>
        <w:r>
          <w:rPr>
            <w:noProof/>
            <w:webHidden/>
            <w:rtl/>
          </w:rPr>
          <w:instrText xml:space="preserve"> </w:instrText>
        </w:r>
        <w:r>
          <w:rPr>
            <w:rStyle w:val="Hyperlink"/>
            <w:noProof/>
            <w:rtl/>
          </w:rPr>
        </w:r>
        <w:r>
          <w:rPr>
            <w:rStyle w:val="Hyperlink"/>
            <w:noProof/>
            <w:rtl/>
          </w:rPr>
          <w:fldChar w:fldCharType="separate"/>
        </w:r>
        <w:r w:rsidR="00755AAC">
          <w:rPr>
            <w:noProof/>
            <w:webHidden/>
            <w:rtl/>
          </w:rPr>
          <w:t>2</w:t>
        </w:r>
        <w:r>
          <w:rPr>
            <w:rStyle w:val="Hyperlink"/>
            <w:noProof/>
            <w:rtl/>
          </w:rPr>
          <w:fldChar w:fldCharType="end"/>
        </w:r>
      </w:hyperlink>
    </w:p>
    <w:p w:rsidR="00F90700" w:rsidRPr="008607E3" w:rsidRDefault="00F90700">
      <w:pPr>
        <w:pStyle w:val="TOC2"/>
        <w:rPr>
          <w:rFonts w:ascii="Calibri" w:hAnsi="Calibri" w:cs="Arial"/>
          <w:noProof/>
          <w:sz w:val="22"/>
          <w:szCs w:val="22"/>
          <w:rtl/>
          <w:lang w:eastAsia="en-US" w:bidi="fa-IR"/>
        </w:rPr>
      </w:pPr>
      <w:hyperlink w:anchor="_Toc387843070" w:history="1">
        <w:r w:rsidRPr="00F14100">
          <w:rPr>
            <w:rStyle w:val="Hyperlink"/>
            <w:noProof/>
            <w:rtl/>
            <w:lang w:bidi="ar-SY"/>
          </w:rPr>
          <w:t xml:space="preserve">1- </w:t>
        </w:r>
        <w:r w:rsidRPr="00F14100">
          <w:rPr>
            <w:rStyle w:val="Hyperlink"/>
            <w:rFonts w:hint="cs"/>
            <w:noProof/>
            <w:rtl/>
            <w:lang w:bidi="ar-SY"/>
          </w:rPr>
          <w:t>الأشياء</w:t>
        </w:r>
        <w:r w:rsidRPr="00F14100">
          <w:rPr>
            <w:rStyle w:val="Hyperlink"/>
            <w:noProof/>
            <w:rtl/>
            <w:lang w:bidi="ar-SY"/>
          </w:rPr>
          <w:t xml:space="preserve"> </w:t>
        </w:r>
        <w:r w:rsidRPr="00F14100">
          <w:rPr>
            <w:rStyle w:val="Hyperlink"/>
            <w:rFonts w:hint="cs"/>
            <w:noProof/>
            <w:rtl/>
            <w:lang w:bidi="ar-SY"/>
          </w:rPr>
          <w:t>التي</w:t>
        </w:r>
        <w:r w:rsidRPr="00F14100">
          <w:rPr>
            <w:rStyle w:val="Hyperlink"/>
            <w:noProof/>
            <w:rtl/>
            <w:lang w:bidi="ar-SY"/>
          </w:rPr>
          <w:t xml:space="preserve"> </w:t>
        </w:r>
        <w:r w:rsidRPr="00F14100">
          <w:rPr>
            <w:rStyle w:val="Hyperlink"/>
            <w:rFonts w:hint="cs"/>
            <w:noProof/>
            <w:rtl/>
            <w:lang w:bidi="ar-SY"/>
          </w:rPr>
          <w:t>يتعلق</w:t>
        </w:r>
        <w:r w:rsidRPr="00F14100">
          <w:rPr>
            <w:rStyle w:val="Hyperlink"/>
            <w:noProof/>
            <w:rtl/>
            <w:lang w:bidi="ar-SY"/>
          </w:rPr>
          <w:t xml:space="preserve"> </w:t>
        </w:r>
        <w:r w:rsidRPr="00F14100">
          <w:rPr>
            <w:rStyle w:val="Hyperlink"/>
            <w:rFonts w:hint="cs"/>
            <w:noProof/>
            <w:rtl/>
            <w:lang w:bidi="ar-SY"/>
          </w:rPr>
          <w:t>بها</w:t>
        </w:r>
        <w:r w:rsidRPr="00F14100">
          <w:rPr>
            <w:rStyle w:val="Hyperlink"/>
            <w:noProof/>
            <w:rtl/>
            <w:lang w:bidi="ar-SY"/>
          </w:rPr>
          <w:t xml:space="preserve"> </w:t>
        </w:r>
        <w:r w:rsidRPr="00F14100">
          <w:rPr>
            <w:rStyle w:val="Hyperlink"/>
            <w:rFonts w:hint="cs"/>
            <w:noProof/>
            <w:rtl/>
            <w:lang w:bidi="ar-SY"/>
          </w:rPr>
          <w:t>الخُمْس</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Toc387843070 \h</w:instrText>
        </w:r>
        <w:r>
          <w:rPr>
            <w:noProof/>
            <w:webHidden/>
            <w:rtl/>
          </w:rPr>
          <w:instrText xml:space="preserve"> </w:instrText>
        </w:r>
        <w:r>
          <w:rPr>
            <w:rStyle w:val="Hyperlink"/>
            <w:noProof/>
            <w:rtl/>
          </w:rPr>
        </w:r>
        <w:r>
          <w:rPr>
            <w:rStyle w:val="Hyperlink"/>
            <w:noProof/>
            <w:rtl/>
          </w:rPr>
          <w:fldChar w:fldCharType="separate"/>
        </w:r>
        <w:r w:rsidR="00755AAC">
          <w:rPr>
            <w:noProof/>
            <w:webHidden/>
            <w:rtl/>
          </w:rPr>
          <w:t>2</w:t>
        </w:r>
        <w:r>
          <w:rPr>
            <w:rStyle w:val="Hyperlink"/>
            <w:noProof/>
            <w:rtl/>
          </w:rPr>
          <w:fldChar w:fldCharType="end"/>
        </w:r>
      </w:hyperlink>
    </w:p>
    <w:p w:rsidR="00F90700" w:rsidRPr="008607E3" w:rsidRDefault="00F90700">
      <w:pPr>
        <w:pStyle w:val="TOC2"/>
        <w:rPr>
          <w:rFonts w:ascii="Calibri" w:hAnsi="Calibri" w:cs="Arial"/>
          <w:noProof/>
          <w:sz w:val="22"/>
          <w:szCs w:val="22"/>
          <w:rtl/>
          <w:lang w:eastAsia="en-US" w:bidi="fa-IR"/>
        </w:rPr>
      </w:pPr>
      <w:hyperlink w:anchor="_Toc387843071" w:history="1">
        <w:r w:rsidRPr="00F14100">
          <w:rPr>
            <w:rStyle w:val="Hyperlink"/>
            <w:noProof/>
            <w:rtl/>
          </w:rPr>
          <w:t xml:space="preserve">2- </w:t>
        </w:r>
        <w:r w:rsidRPr="00F14100">
          <w:rPr>
            <w:rStyle w:val="Hyperlink"/>
            <w:rFonts w:hint="cs"/>
            <w:noProof/>
            <w:rtl/>
          </w:rPr>
          <w:t>خمس</w:t>
        </w:r>
        <w:r w:rsidRPr="00F14100">
          <w:rPr>
            <w:rStyle w:val="Hyperlink"/>
            <w:noProof/>
            <w:rtl/>
          </w:rPr>
          <w:t xml:space="preserve"> </w:t>
        </w:r>
        <w:r w:rsidRPr="00F14100">
          <w:rPr>
            <w:rStyle w:val="Hyperlink"/>
            <w:rFonts w:hint="cs"/>
            <w:noProof/>
            <w:rtl/>
          </w:rPr>
          <w:t>أرباح</w:t>
        </w:r>
        <w:r w:rsidRPr="00F14100">
          <w:rPr>
            <w:rStyle w:val="Hyperlink"/>
            <w:noProof/>
            <w:rtl/>
          </w:rPr>
          <w:t xml:space="preserve"> </w:t>
        </w:r>
        <w:r w:rsidRPr="00F14100">
          <w:rPr>
            <w:rStyle w:val="Hyperlink"/>
            <w:rFonts w:hint="cs"/>
            <w:noProof/>
            <w:rtl/>
          </w:rPr>
          <w:t>المكاسب</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Toc387843071 \h</w:instrText>
        </w:r>
        <w:r>
          <w:rPr>
            <w:noProof/>
            <w:webHidden/>
            <w:rtl/>
          </w:rPr>
          <w:instrText xml:space="preserve"> </w:instrText>
        </w:r>
        <w:r>
          <w:rPr>
            <w:rStyle w:val="Hyperlink"/>
            <w:noProof/>
            <w:rtl/>
          </w:rPr>
        </w:r>
        <w:r>
          <w:rPr>
            <w:rStyle w:val="Hyperlink"/>
            <w:noProof/>
            <w:rtl/>
          </w:rPr>
          <w:fldChar w:fldCharType="separate"/>
        </w:r>
        <w:r w:rsidR="00755AAC">
          <w:rPr>
            <w:noProof/>
            <w:webHidden/>
            <w:rtl/>
          </w:rPr>
          <w:t>2</w:t>
        </w:r>
        <w:r>
          <w:rPr>
            <w:rStyle w:val="Hyperlink"/>
            <w:noProof/>
            <w:rtl/>
          </w:rPr>
          <w:fldChar w:fldCharType="end"/>
        </w:r>
      </w:hyperlink>
    </w:p>
    <w:p w:rsidR="00F90700" w:rsidRPr="008607E3" w:rsidRDefault="00F90700">
      <w:pPr>
        <w:pStyle w:val="TOC3"/>
        <w:tabs>
          <w:tab w:val="right" w:leader="dot" w:pos="7248"/>
        </w:tabs>
        <w:bidi/>
        <w:rPr>
          <w:rFonts w:cs="Arial"/>
          <w:noProof/>
          <w:szCs w:val="22"/>
          <w:rtl/>
          <w:lang w:bidi="fa-IR"/>
        </w:rPr>
      </w:pPr>
      <w:hyperlink w:anchor="_Toc387843072" w:history="1">
        <w:r w:rsidRPr="00F14100">
          <w:rPr>
            <w:rStyle w:val="Hyperlink"/>
            <w:noProof/>
            <w:rtl/>
          </w:rPr>
          <w:t xml:space="preserve">1- </w:t>
        </w:r>
        <w:r w:rsidRPr="00F14100">
          <w:rPr>
            <w:rStyle w:val="Hyperlink"/>
            <w:rFonts w:hint="cs"/>
            <w:noProof/>
            <w:rtl/>
          </w:rPr>
          <w:t>الأحاديث</w:t>
        </w:r>
        <w:r w:rsidRPr="00F14100">
          <w:rPr>
            <w:rStyle w:val="Hyperlink"/>
            <w:noProof/>
            <w:rtl/>
          </w:rPr>
          <w:t xml:space="preserve"> </w:t>
        </w:r>
        <w:r w:rsidRPr="00F14100">
          <w:rPr>
            <w:rStyle w:val="Hyperlink"/>
            <w:rFonts w:hint="cs"/>
            <w:noProof/>
            <w:rtl/>
          </w:rPr>
          <w:t>الضعيفة</w:t>
        </w:r>
        <w:r w:rsidRPr="00F14100">
          <w:rPr>
            <w:rStyle w:val="Hyperlink"/>
            <w:noProof/>
            <w:rtl/>
          </w:rPr>
          <w:t xml:space="preserve"> </w:t>
        </w:r>
        <w:r w:rsidRPr="00F14100">
          <w:rPr>
            <w:rStyle w:val="Hyperlink"/>
            <w:rFonts w:hint="cs"/>
            <w:noProof/>
            <w:rtl/>
          </w:rPr>
          <w:t>في</w:t>
        </w:r>
        <w:r w:rsidRPr="00F14100">
          <w:rPr>
            <w:rStyle w:val="Hyperlink"/>
            <w:noProof/>
            <w:rtl/>
          </w:rPr>
          <w:t xml:space="preserve"> </w:t>
        </w:r>
        <w:r w:rsidRPr="00F14100">
          <w:rPr>
            <w:rStyle w:val="Hyperlink"/>
            <w:rFonts w:hint="cs"/>
            <w:noProof/>
            <w:rtl/>
          </w:rPr>
          <w:t>خُمْس</w:t>
        </w:r>
        <w:r w:rsidRPr="00F14100">
          <w:rPr>
            <w:rStyle w:val="Hyperlink"/>
            <w:noProof/>
            <w:rtl/>
          </w:rPr>
          <w:t xml:space="preserve"> </w:t>
        </w:r>
        <w:r w:rsidRPr="00F14100">
          <w:rPr>
            <w:rStyle w:val="Hyperlink"/>
            <w:rFonts w:hint="cs"/>
            <w:noProof/>
            <w:rtl/>
          </w:rPr>
          <w:t>أرباح</w:t>
        </w:r>
        <w:r w:rsidRPr="00F14100">
          <w:rPr>
            <w:rStyle w:val="Hyperlink"/>
            <w:noProof/>
            <w:rtl/>
          </w:rPr>
          <w:t xml:space="preserve"> </w:t>
        </w:r>
        <w:r w:rsidRPr="00F14100">
          <w:rPr>
            <w:rStyle w:val="Hyperlink"/>
            <w:rFonts w:hint="cs"/>
            <w:noProof/>
            <w:rtl/>
          </w:rPr>
          <w:t>المكاسب</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Toc387843072 \h</w:instrText>
        </w:r>
        <w:r>
          <w:rPr>
            <w:noProof/>
            <w:webHidden/>
            <w:rtl/>
          </w:rPr>
          <w:instrText xml:space="preserve"> </w:instrText>
        </w:r>
        <w:r>
          <w:rPr>
            <w:rStyle w:val="Hyperlink"/>
            <w:noProof/>
            <w:rtl/>
          </w:rPr>
        </w:r>
        <w:r>
          <w:rPr>
            <w:rStyle w:val="Hyperlink"/>
            <w:noProof/>
            <w:rtl/>
          </w:rPr>
          <w:fldChar w:fldCharType="separate"/>
        </w:r>
        <w:r w:rsidR="00755AAC">
          <w:rPr>
            <w:noProof/>
            <w:webHidden/>
            <w:rtl/>
          </w:rPr>
          <w:t>2</w:t>
        </w:r>
        <w:r>
          <w:rPr>
            <w:rStyle w:val="Hyperlink"/>
            <w:noProof/>
            <w:rtl/>
          </w:rPr>
          <w:fldChar w:fldCharType="end"/>
        </w:r>
      </w:hyperlink>
    </w:p>
    <w:p w:rsidR="00F90700" w:rsidRPr="008607E3" w:rsidRDefault="00F90700">
      <w:pPr>
        <w:pStyle w:val="TOC3"/>
        <w:tabs>
          <w:tab w:val="right" w:leader="dot" w:pos="7248"/>
        </w:tabs>
        <w:bidi/>
        <w:rPr>
          <w:rFonts w:cs="Arial"/>
          <w:noProof/>
          <w:szCs w:val="22"/>
          <w:rtl/>
          <w:lang w:bidi="fa-IR"/>
        </w:rPr>
      </w:pPr>
      <w:hyperlink w:anchor="_Toc387843073" w:history="1">
        <w:r w:rsidRPr="00F14100">
          <w:rPr>
            <w:rStyle w:val="Hyperlink"/>
            <w:noProof/>
            <w:rtl/>
          </w:rPr>
          <w:t xml:space="preserve">2- </w:t>
        </w:r>
        <w:r w:rsidRPr="00F14100">
          <w:rPr>
            <w:rStyle w:val="Hyperlink"/>
            <w:rFonts w:hint="cs"/>
            <w:noProof/>
            <w:rtl/>
          </w:rPr>
          <w:t>خمس</w:t>
        </w:r>
        <w:r w:rsidRPr="00F14100">
          <w:rPr>
            <w:rStyle w:val="Hyperlink"/>
            <w:noProof/>
            <w:rtl/>
          </w:rPr>
          <w:t xml:space="preserve"> </w:t>
        </w:r>
        <w:r w:rsidRPr="00F14100">
          <w:rPr>
            <w:rStyle w:val="Hyperlink"/>
            <w:rFonts w:hint="cs"/>
            <w:noProof/>
            <w:rtl/>
          </w:rPr>
          <w:t>أرباح</w:t>
        </w:r>
        <w:r w:rsidRPr="00F14100">
          <w:rPr>
            <w:rStyle w:val="Hyperlink"/>
            <w:noProof/>
            <w:rtl/>
          </w:rPr>
          <w:t xml:space="preserve"> </w:t>
        </w:r>
        <w:r w:rsidRPr="00F14100">
          <w:rPr>
            <w:rStyle w:val="Hyperlink"/>
            <w:rFonts w:hint="cs"/>
            <w:noProof/>
            <w:rtl/>
          </w:rPr>
          <w:t>المكاسب</w:t>
        </w:r>
        <w:r w:rsidRPr="00F14100">
          <w:rPr>
            <w:rStyle w:val="Hyperlink"/>
            <w:noProof/>
            <w:rtl/>
          </w:rPr>
          <w:t xml:space="preserve"> </w:t>
        </w:r>
        <w:r w:rsidRPr="00F14100">
          <w:rPr>
            <w:rStyle w:val="Hyperlink"/>
            <w:rFonts w:hint="cs"/>
            <w:noProof/>
            <w:rtl/>
          </w:rPr>
          <w:t>خاص</w:t>
        </w:r>
        <w:r w:rsidRPr="00F14100">
          <w:rPr>
            <w:rStyle w:val="Hyperlink"/>
            <w:noProof/>
            <w:rtl/>
          </w:rPr>
          <w:t xml:space="preserve"> </w:t>
        </w:r>
        <w:r w:rsidRPr="00F14100">
          <w:rPr>
            <w:rStyle w:val="Hyperlink"/>
            <w:rFonts w:hint="cs"/>
            <w:noProof/>
            <w:rtl/>
          </w:rPr>
          <w:t>بالإمام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Toc387843073 \h</w:instrText>
        </w:r>
        <w:r>
          <w:rPr>
            <w:noProof/>
            <w:webHidden/>
            <w:rtl/>
          </w:rPr>
          <w:instrText xml:space="preserve"> </w:instrText>
        </w:r>
        <w:r>
          <w:rPr>
            <w:rStyle w:val="Hyperlink"/>
            <w:noProof/>
            <w:rtl/>
          </w:rPr>
        </w:r>
        <w:r>
          <w:rPr>
            <w:rStyle w:val="Hyperlink"/>
            <w:noProof/>
            <w:rtl/>
          </w:rPr>
          <w:fldChar w:fldCharType="separate"/>
        </w:r>
        <w:r w:rsidR="00755AAC">
          <w:rPr>
            <w:noProof/>
            <w:webHidden/>
            <w:rtl/>
          </w:rPr>
          <w:t>2</w:t>
        </w:r>
        <w:r>
          <w:rPr>
            <w:rStyle w:val="Hyperlink"/>
            <w:noProof/>
            <w:rtl/>
          </w:rPr>
          <w:fldChar w:fldCharType="end"/>
        </w:r>
      </w:hyperlink>
    </w:p>
    <w:p w:rsidR="00F90700" w:rsidRPr="008607E3" w:rsidRDefault="00F90700">
      <w:pPr>
        <w:pStyle w:val="TOC3"/>
        <w:tabs>
          <w:tab w:val="right" w:leader="dot" w:pos="7248"/>
        </w:tabs>
        <w:bidi/>
        <w:rPr>
          <w:rFonts w:cs="Arial"/>
          <w:noProof/>
          <w:szCs w:val="22"/>
          <w:rtl/>
          <w:lang w:bidi="fa-IR"/>
        </w:rPr>
      </w:pPr>
      <w:hyperlink w:anchor="_Toc387843074" w:history="1">
        <w:r w:rsidRPr="00F14100">
          <w:rPr>
            <w:rStyle w:val="Hyperlink"/>
            <w:noProof/>
            <w:rtl/>
          </w:rPr>
          <w:t xml:space="preserve">3- </w:t>
        </w:r>
        <w:r w:rsidRPr="00F14100">
          <w:rPr>
            <w:rStyle w:val="Hyperlink"/>
            <w:rFonts w:hint="cs"/>
            <w:noProof/>
            <w:rtl/>
          </w:rPr>
          <w:t>راوي</w:t>
        </w:r>
        <w:r w:rsidRPr="00F14100">
          <w:rPr>
            <w:rStyle w:val="Hyperlink"/>
            <w:noProof/>
            <w:rtl/>
          </w:rPr>
          <w:t xml:space="preserve"> </w:t>
        </w:r>
        <w:r w:rsidRPr="00F14100">
          <w:rPr>
            <w:rStyle w:val="Hyperlink"/>
            <w:rFonts w:hint="cs"/>
            <w:noProof/>
            <w:rtl/>
          </w:rPr>
          <w:t>وجوب</w:t>
        </w:r>
        <w:r w:rsidRPr="00F14100">
          <w:rPr>
            <w:rStyle w:val="Hyperlink"/>
            <w:noProof/>
            <w:rtl/>
          </w:rPr>
          <w:t xml:space="preserve"> </w:t>
        </w:r>
        <w:r w:rsidRPr="00F14100">
          <w:rPr>
            <w:rStyle w:val="Hyperlink"/>
            <w:rFonts w:hint="cs"/>
            <w:noProof/>
            <w:rtl/>
          </w:rPr>
          <w:t>الخُمس</w:t>
        </w:r>
        <w:r w:rsidRPr="00F14100">
          <w:rPr>
            <w:rStyle w:val="Hyperlink"/>
            <w:noProof/>
            <w:rtl/>
          </w:rPr>
          <w:t xml:space="preserve"> </w:t>
        </w:r>
        <w:r w:rsidRPr="00F14100">
          <w:rPr>
            <w:rStyle w:val="Hyperlink"/>
            <w:rFonts w:hint="cs"/>
            <w:noProof/>
            <w:rtl/>
          </w:rPr>
          <w:t>في</w:t>
        </w:r>
        <w:r w:rsidRPr="00F14100">
          <w:rPr>
            <w:rStyle w:val="Hyperlink"/>
            <w:noProof/>
            <w:rtl/>
          </w:rPr>
          <w:t xml:space="preserve"> </w:t>
        </w:r>
        <w:r w:rsidRPr="00F14100">
          <w:rPr>
            <w:rStyle w:val="Hyperlink"/>
            <w:rFonts w:hint="cs"/>
            <w:noProof/>
            <w:rtl/>
          </w:rPr>
          <w:t>أرباح</w:t>
        </w:r>
        <w:r w:rsidRPr="00F14100">
          <w:rPr>
            <w:rStyle w:val="Hyperlink"/>
            <w:noProof/>
            <w:rtl/>
          </w:rPr>
          <w:t xml:space="preserve"> </w:t>
        </w:r>
        <w:r w:rsidRPr="00F14100">
          <w:rPr>
            <w:rStyle w:val="Hyperlink"/>
            <w:rFonts w:hint="cs"/>
            <w:noProof/>
            <w:rtl/>
          </w:rPr>
          <w:t>المكاسب</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Toc387843074 \h</w:instrText>
        </w:r>
        <w:r>
          <w:rPr>
            <w:noProof/>
            <w:webHidden/>
            <w:rtl/>
          </w:rPr>
          <w:instrText xml:space="preserve"> </w:instrText>
        </w:r>
        <w:r>
          <w:rPr>
            <w:rStyle w:val="Hyperlink"/>
            <w:noProof/>
            <w:rtl/>
          </w:rPr>
        </w:r>
        <w:r>
          <w:rPr>
            <w:rStyle w:val="Hyperlink"/>
            <w:noProof/>
            <w:rtl/>
          </w:rPr>
          <w:fldChar w:fldCharType="separate"/>
        </w:r>
        <w:r w:rsidR="00755AAC">
          <w:rPr>
            <w:noProof/>
            <w:webHidden/>
            <w:rtl/>
          </w:rPr>
          <w:t>2</w:t>
        </w:r>
        <w:r>
          <w:rPr>
            <w:rStyle w:val="Hyperlink"/>
            <w:noProof/>
            <w:rtl/>
          </w:rPr>
          <w:fldChar w:fldCharType="end"/>
        </w:r>
      </w:hyperlink>
    </w:p>
    <w:p w:rsidR="00F90700" w:rsidRPr="008607E3" w:rsidRDefault="00F90700">
      <w:pPr>
        <w:pStyle w:val="TOC2"/>
        <w:rPr>
          <w:rFonts w:ascii="Calibri" w:hAnsi="Calibri" w:cs="Arial"/>
          <w:noProof/>
          <w:sz w:val="22"/>
          <w:szCs w:val="22"/>
          <w:rtl/>
          <w:lang w:eastAsia="en-US" w:bidi="fa-IR"/>
        </w:rPr>
      </w:pPr>
      <w:hyperlink w:anchor="_Toc387843075" w:history="1">
        <w:r w:rsidRPr="00F14100">
          <w:rPr>
            <w:rStyle w:val="Hyperlink"/>
            <w:noProof/>
            <w:rtl/>
          </w:rPr>
          <w:t xml:space="preserve">3- </w:t>
        </w:r>
        <w:r w:rsidRPr="00F14100">
          <w:rPr>
            <w:rStyle w:val="Hyperlink"/>
            <w:rFonts w:hint="cs"/>
            <w:noProof/>
            <w:rtl/>
          </w:rPr>
          <w:t>فتوى</w:t>
        </w:r>
        <w:r w:rsidRPr="00F14100">
          <w:rPr>
            <w:rStyle w:val="Hyperlink"/>
            <w:noProof/>
            <w:rtl/>
          </w:rPr>
          <w:t xml:space="preserve"> </w:t>
        </w:r>
        <w:r w:rsidRPr="00F14100">
          <w:rPr>
            <w:rStyle w:val="Hyperlink"/>
            <w:rFonts w:hint="cs"/>
            <w:noProof/>
            <w:rtl/>
          </w:rPr>
          <w:t>إعفاء</w:t>
        </w:r>
        <w:r w:rsidRPr="00F14100">
          <w:rPr>
            <w:rStyle w:val="Hyperlink"/>
            <w:noProof/>
            <w:rtl/>
          </w:rPr>
          <w:t xml:space="preserve"> </w:t>
        </w:r>
        <w:r w:rsidRPr="00F14100">
          <w:rPr>
            <w:rStyle w:val="Hyperlink"/>
            <w:rFonts w:hint="cs"/>
            <w:noProof/>
            <w:rtl/>
          </w:rPr>
          <w:t>الشيعة</w:t>
        </w:r>
        <w:r w:rsidRPr="00F14100">
          <w:rPr>
            <w:rStyle w:val="Hyperlink"/>
            <w:noProof/>
            <w:rtl/>
          </w:rPr>
          <w:t xml:space="preserve"> </w:t>
        </w:r>
        <w:r w:rsidRPr="00F14100">
          <w:rPr>
            <w:rStyle w:val="Hyperlink"/>
            <w:rFonts w:hint="cs"/>
            <w:noProof/>
            <w:rtl/>
          </w:rPr>
          <w:t>من</w:t>
        </w:r>
        <w:r w:rsidRPr="00F14100">
          <w:rPr>
            <w:rStyle w:val="Hyperlink"/>
            <w:noProof/>
            <w:rtl/>
          </w:rPr>
          <w:t xml:space="preserve"> </w:t>
        </w:r>
        <w:r w:rsidRPr="00F14100">
          <w:rPr>
            <w:rStyle w:val="Hyperlink"/>
            <w:rFonts w:hint="cs"/>
            <w:noProof/>
            <w:rtl/>
          </w:rPr>
          <w:t>أداء</w:t>
        </w:r>
        <w:r w:rsidRPr="00F14100">
          <w:rPr>
            <w:rStyle w:val="Hyperlink"/>
            <w:noProof/>
            <w:rtl/>
          </w:rPr>
          <w:t xml:space="preserve"> </w:t>
        </w:r>
        <w:r w:rsidRPr="00F14100">
          <w:rPr>
            <w:rStyle w:val="Hyperlink"/>
            <w:rFonts w:hint="cs"/>
            <w:noProof/>
            <w:rtl/>
          </w:rPr>
          <w:t>الخمس</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Toc387843075 \h</w:instrText>
        </w:r>
        <w:r>
          <w:rPr>
            <w:noProof/>
            <w:webHidden/>
            <w:rtl/>
          </w:rPr>
          <w:instrText xml:space="preserve"> </w:instrText>
        </w:r>
        <w:r>
          <w:rPr>
            <w:rStyle w:val="Hyperlink"/>
            <w:noProof/>
            <w:rtl/>
          </w:rPr>
        </w:r>
        <w:r>
          <w:rPr>
            <w:rStyle w:val="Hyperlink"/>
            <w:noProof/>
            <w:rtl/>
          </w:rPr>
          <w:fldChar w:fldCharType="separate"/>
        </w:r>
        <w:r w:rsidR="00755AAC">
          <w:rPr>
            <w:noProof/>
            <w:webHidden/>
            <w:rtl/>
          </w:rPr>
          <w:t>2</w:t>
        </w:r>
        <w:r>
          <w:rPr>
            <w:rStyle w:val="Hyperlink"/>
            <w:noProof/>
            <w:rtl/>
          </w:rPr>
          <w:fldChar w:fldCharType="end"/>
        </w:r>
      </w:hyperlink>
    </w:p>
    <w:p w:rsidR="00F90700" w:rsidRPr="008607E3" w:rsidRDefault="00F90700">
      <w:pPr>
        <w:pStyle w:val="TOC2"/>
        <w:rPr>
          <w:rFonts w:ascii="Calibri" w:hAnsi="Calibri" w:cs="Arial"/>
          <w:noProof/>
          <w:sz w:val="22"/>
          <w:szCs w:val="22"/>
          <w:rtl/>
          <w:lang w:eastAsia="en-US" w:bidi="fa-IR"/>
        </w:rPr>
      </w:pPr>
      <w:hyperlink w:anchor="_Toc387843076" w:history="1">
        <w:r w:rsidRPr="00F14100">
          <w:rPr>
            <w:rStyle w:val="Hyperlink"/>
            <w:noProof/>
            <w:rtl/>
          </w:rPr>
          <w:t xml:space="preserve">4- </w:t>
        </w:r>
        <w:r w:rsidRPr="00F14100">
          <w:rPr>
            <w:rStyle w:val="Hyperlink"/>
            <w:rFonts w:hint="cs"/>
            <w:noProof/>
            <w:rtl/>
          </w:rPr>
          <w:t>نتيجة</w:t>
        </w:r>
        <w:r w:rsidRPr="00F14100">
          <w:rPr>
            <w:rStyle w:val="Hyperlink"/>
            <w:noProof/>
            <w:rtl/>
          </w:rPr>
          <w:t xml:space="preserve"> </w:t>
        </w:r>
        <w:r w:rsidRPr="00F14100">
          <w:rPr>
            <w:rStyle w:val="Hyperlink"/>
            <w:rFonts w:hint="cs"/>
            <w:noProof/>
            <w:rtl/>
          </w:rPr>
          <w:t>ما</w:t>
        </w:r>
        <w:r w:rsidRPr="00F14100">
          <w:rPr>
            <w:rStyle w:val="Hyperlink"/>
            <w:noProof/>
            <w:rtl/>
          </w:rPr>
          <w:t xml:space="preserve"> </w:t>
        </w:r>
        <w:r w:rsidRPr="00F14100">
          <w:rPr>
            <w:rStyle w:val="Hyperlink"/>
            <w:rFonts w:hint="cs"/>
            <w:noProof/>
            <w:rtl/>
          </w:rPr>
          <w:t>تقدم</w:t>
        </w:r>
        <w:r w:rsidRPr="00F14100">
          <w:rPr>
            <w:rStyle w:val="Hyperlink"/>
            <w:noProof/>
            <w:rtl/>
          </w:rPr>
          <w:t xml:space="preserve"> </w:t>
        </w:r>
        <w:r w:rsidRPr="00F14100">
          <w:rPr>
            <w:rStyle w:val="Hyperlink"/>
            <w:rFonts w:hint="cs"/>
            <w:noProof/>
            <w:rtl/>
          </w:rPr>
          <w:t>من</w:t>
        </w:r>
        <w:r w:rsidRPr="00F14100">
          <w:rPr>
            <w:rStyle w:val="Hyperlink"/>
            <w:noProof/>
            <w:rtl/>
          </w:rPr>
          <w:t xml:space="preserve"> </w:t>
        </w:r>
        <w:r w:rsidRPr="00F14100">
          <w:rPr>
            <w:rStyle w:val="Hyperlink"/>
            <w:rFonts w:hint="cs"/>
            <w:noProof/>
            <w:rtl/>
          </w:rPr>
          <w:t>البحث</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Toc387843076 \h</w:instrText>
        </w:r>
        <w:r>
          <w:rPr>
            <w:noProof/>
            <w:webHidden/>
            <w:rtl/>
          </w:rPr>
          <w:instrText xml:space="preserve"> </w:instrText>
        </w:r>
        <w:r>
          <w:rPr>
            <w:rStyle w:val="Hyperlink"/>
            <w:noProof/>
            <w:rtl/>
          </w:rPr>
        </w:r>
        <w:r>
          <w:rPr>
            <w:rStyle w:val="Hyperlink"/>
            <w:noProof/>
            <w:rtl/>
          </w:rPr>
          <w:fldChar w:fldCharType="separate"/>
        </w:r>
        <w:r w:rsidR="00755AAC">
          <w:rPr>
            <w:noProof/>
            <w:webHidden/>
            <w:rtl/>
          </w:rPr>
          <w:t>2</w:t>
        </w:r>
        <w:r>
          <w:rPr>
            <w:rStyle w:val="Hyperlink"/>
            <w:noProof/>
            <w:rtl/>
          </w:rPr>
          <w:fldChar w:fldCharType="end"/>
        </w:r>
      </w:hyperlink>
    </w:p>
    <w:p w:rsidR="00F90700" w:rsidRPr="008607E3" w:rsidRDefault="00F90700">
      <w:pPr>
        <w:pStyle w:val="TOC1"/>
        <w:tabs>
          <w:tab w:val="right" w:leader="dot" w:pos="7248"/>
        </w:tabs>
        <w:rPr>
          <w:rFonts w:ascii="Calibri" w:hAnsi="Calibri" w:cs="Arial"/>
          <w:bCs w:val="0"/>
          <w:noProof/>
          <w:sz w:val="22"/>
          <w:szCs w:val="22"/>
          <w:rtl/>
          <w:lang w:eastAsia="en-US" w:bidi="fa-IR"/>
        </w:rPr>
      </w:pPr>
      <w:hyperlink w:anchor="_Toc387843077" w:history="1">
        <w:r w:rsidRPr="00F14100">
          <w:rPr>
            <w:rStyle w:val="Hyperlink"/>
            <w:rFonts w:hint="cs"/>
            <w:noProof/>
            <w:rtl/>
          </w:rPr>
          <w:t>الفصل</w:t>
        </w:r>
        <w:r w:rsidRPr="00F14100">
          <w:rPr>
            <w:rStyle w:val="Hyperlink"/>
            <w:noProof/>
            <w:rtl/>
          </w:rPr>
          <w:t xml:space="preserve"> </w:t>
        </w:r>
        <w:r w:rsidRPr="00F14100">
          <w:rPr>
            <w:rStyle w:val="Hyperlink"/>
            <w:rFonts w:hint="cs"/>
            <w:noProof/>
            <w:rtl/>
          </w:rPr>
          <w:t>السادس</w:t>
        </w:r>
        <w:r w:rsidR="00D52B3E">
          <w:rPr>
            <w:rStyle w:val="Hyperlink"/>
            <w:rFonts w:hint="cs"/>
            <w:noProof/>
            <w:rtl/>
          </w:rPr>
          <w:t>:</w:t>
        </w:r>
        <w:r w:rsidRPr="00F14100">
          <w:rPr>
            <w:rStyle w:val="Hyperlink"/>
            <w:noProof/>
            <w:rtl/>
          </w:rPr>
          <w:t xml:space="preserve"> </w:t>
        </w:r>
        <w:r w:rsidRPr="00F14100">
          <w:rPr>
            <w:rStyle w:val="Hyperlink"/>
            <w:rFonts w:hint="cs"/>
            <w:noProof/>
            <w:rtl/>
          </w:rPr>
          <w:t>أحاديث</w:t>
        </w:r>
        <w:r w:rsidRPr="00F14100">
          <w:rPr>
            <w:rStyle w:val="Hyperlink"/>
            <w:noProof/>
            <w:rtl/>
          </w:rPr>
          <w:t xml:space="preserve"> </w:t>
        </w:r>
        <w:r w:rsidRPr="00F14100">
          <w:rPr>
            <w:rStyle w:val="Hyperlink"/>
            <w:rFonts w:hint="cs"/>
            <w:noProof/>
            <w:rtl/>
          </w:rPr>
          <w:t>إباحة</w:t>
        </w:r>
        <w:r w:rsidRPr="00F14100">
          <w:rPr>
            <w:rStyle w:val="Hyperlink"/>
            <w:noProof/>
            <w:rtl/>
          </w:rPr>
          <w:t xml:space="preserve"> </w:t>
        </w:r>
        <w:r w:rsidRPr="00F14100">
          <w:rPr>
            <w:rStyle w:val="Hyperlink"/>
            <w:rFonts w:hint="cs"/>
            <w:noProof/>
            <w:rtl/>
          </w:rPr>
          <w:t>الخمس</w:t>
        </w:r>
        <w:r w:rsidRPr="00F14100">
          <w:rPr>
            <w:rStyle w:val="Hyperlink"/>
            <w:noProof/>
            <w:rtl/>
          </w:rPr>
          <w:t xml:space="preserve"> </w:t>
        </w:r>
        <w:r w:rsidRPr="00F14100">
          <w:rPr>
            <w:rStyle w:val="Hyperlink"/>
            <w:rFonts w:hint="cs"/>
            <w:noProof/>
            <w:rtl/>
          </w:rPr>
          <w:t>وتحليله</w:t>
        </w:r>
        <w:r w:rsidRPr="00F14100">
          <w:rPr>
            <w:rStyle w:val="Hyperlink"/>
            <w:noProof/>
            <w:rtl/>
          </w:rPr>
          <w:t xml:space="preserve"> </w:t>
        </w:r>
        <w:r w:rsidRPr="00F14100">
          <w:rPr>
            <w:rStyle w:val="Hyperlink"/>
            <w:rFonts w:hint="cs"/>
            <w:noProof/>
            <w:rtl/>
          </w:rPr>
          <w:t>للشيعة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Toc387843077 \h</w:instrText>
        </w:r>
        <w:r>
          <w:rPr>
            <w:noProof/>
            <w:webHidden/>
            <w:rtl/>
          </w:rPr>
          <w:instrText xml:space="preserve"> </w:instrText>
        </w:r>
        <w:r>
          <w:rPr>
            <w:rStyle w:val="Hyperlink"/>
            <w:noProof/>
            <w:rtl/>
          </w:rPr>
        </w:r>
        <w:r>
          <w:rPr>
            <w:rStyle w:val="Hyperlink"/>
            <w:noProof/>
            <w:rtl/>
          </w:rPr>
          <w:fldChar w:fldCharType="separate"/>
        </w:r>
        <w:r w:rsidR="00755AAC">
          <w:rPr>
            <w:noProof/>
            <w:webHidden/>
            <w:rtl/>
          </w:rPr>
          <w:t>2</w:t>
        </w:r>
        <w:r>
          <w:rPr>
            <w:rStyle w:val="Hyperlink"/>
            <w:noProof/>
            <w:rtl/>
          </w:rPr>
          <w:fldChar w:fldCharType="end"/>
        </w:r>
      </w:hyperlink>
    </w:p>
    <w:p w:rsidR="00F90700" w:rsidRPr="008607E3" w:rsidRDefault="00F90700">
      <w:pPr>
        <w:pStyle w:val="TOC2"/>
        <w:rPr>
          <w:rFonts w:ascii="Calibri" w:hAnsi="Calibri" w:cs="Arial"/>
          <w:noProof/>
          <w:sz w:val="22"/>
          <w:szCs w:val="22"/>
          <w:rtl/>
          <w:lang w:eastAsia="en-US" w:bidi="fa-IR"/>
        </w:rPr>
      </w:pPr>
      <w:hyperlink w:anchor="_Toc387843078" w:history="1">
        <w:r w:rsidRPr="00F14100">
          <w:rPr>
            <w:rStyle w:val="Hyperlink"/>
            <w:noProof/>
            <w:rtl/>
          </w:rPr>
          <w:t xml:space="preserve">1- </w:t>
        </w:r>
        <w:r w:rsidRPr="00F14100">
          <w:rPr>
            <w:rStyle w:val="Hyperlink"/>
            <w:rFonts w:hint="cs"/>
            <w:noProof/>
            <w:rtl/>
          </w:rPr>
          <w:t>أخبار</w:t>
        </w:r>
        <w:r w:rsidRPr="00F14100">
          <w:rPr>
            <w:rStyle w:val="Hyperlink"/>
            <w:noProof/>
            <w:rtl/>
          </w:rPr>
          <w:t xml:space="preserve"> </w:t>
        </w:r>
        <w:r w:rsidRPr="00F14100">
          <w:rPr>
            <w:rStyle w:val="Hyperlink"/>
            <w:rFonts w:hint="cs"/>
            <w:noProof/>
            <w:rtl/>
          </w:rPr>
          <w:t>الإعفاء</w:t>
        </w:r>
        <w:r w:rsidRPr="00F14100">
          <w:rPr>
            <w:rStyle w:val="Hyperlink"/>
            <w:noProof/>
            <w:rtl/>
          </w:rPr>
          <w:t xml:space="preserve"> </w:t>
        </w:r>
        <w:r w:rsidRPr="00F14100">
          <w:rPr>
            <w:rStyle w:val="Hyperlink"/>
            <w:rFonts w:hint="cs"/>
            <w:noProof/>
            <w:rtl/>
          </w:rPr>
          <w:t>مِنْ</w:t>
        </w:r>
        <w:r w:rsidRPr="00F14100">
          <w:rPr>
            <w:rStyle w:val="Hyperlink"/>
            <w:noProof/>
            <w:rtl/>
          </w:rPr>
          <w:t xml:space="preserve"> </w:t>
        </w:r>
        <w:r w:rsidRPr="00F14100">
          <w:rPr>
            <w:rStyle w:val="Hyperlink"/>
            <w:rFonts w:hint="cs"/>
            <w:noProof/>
            <w:rtl/>
          </w:rPr>
          <w:t>قِبَلِ</w:t>
        </w:r>
        <w:r w:rsidRPr="00F14100">
          <w:rPr>
            <w:rStyle w:val="Hyperlink"/>
            <w:noProof/>
            <w:rtl/>
          </w:rPr>
          <w:t xml:space="preserve"> </w:t>
        </w:r>
        <w:r w:rsidRPr="00F14100">
          <w:rPr>
            <w:rStyle w:val="Hyperlink"/>
            <w:rFonts w:hint="cs"/>
            <w:noProof/>
            <w:rtl/>
          </w:rPr>
          <w:t>الأئمة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Toc387843078 \h</w:instrText>
        </w:r>
        <w:r>
          <w:rPr>
            <w:noProof/>
            <w:webHidden/>
            <w:rtl/>
          </w:rPr>
          <w:instrText xml:space="preserve"> </w:instrText>
        </w:r>
        <w:r>
          <w:rPr>
            <w:rStyle w:val="Hyperlink"/>
            <w:noProof/>
            <w:rtl/>
          </w:rPr>
        </w:r>
        <w:r>
          <w:rPr>
            <w:rStyle w:val="Hyperlink"/>
            <w:noProof/>
            <w:rtl/>
          </w:rPr>
          <w:fldChar w:fldCharType="separate"/>
        </w:r>
        <w:r w:rsidR="00755AAC">
          <w:rPr>
            <w:noProof/>
            <w:webHidden/>
            <w:rtl/>
          </w:rPr>
          <w:t>2</w:t>
        </w:r>
        <w:r>
          <w:rPr>
            <w:rStyle w:val="Hyperlink"/>
            <w:noProof/>
            <w:rtl/>
          </w:rPr>
          <w:fldChar w:fldCharType="end"/>
        </w:r>
      </w:hyperlink>
    </w:p>
    <w:p w:rsidR="00F90700" w:rsidRPr="008607E3" w:rsidRDefault="00F90700">
      <w:pPr>
        <w:pStyle w:val="TOC3"/>
        <w:tabs>
          <w:tab w:val="right" w:leader="dot" w:pos="7248"/>
        </w:tabs>
        <w:bidi/>
        <w:rPr>
          <w:rFonts w:cs="Arial"/>
          <w:noProof/>
          <w:szCs w:val="22"/>
          <w:rtl/>
          <w:lang w:bidi="fa-IR"/>
        </w:rPr>
      </w:pPr>
      <w:hyperlink w:anchor="_Toc387843079" w:history="1">
        <w:r w:rsidRPr="00F14100">
          <w:rPr>
            <w:rStyle w:val="Hyperlink"/>
            <w:noProof/>
            <w:rtl/>
          </w:rPr>
          <w:t xml:space="preserve">1- </w:t>
        </w:r>
        <w:r w:rsidRPr="00F14100">
          <w:rPr>
            <w:rStyle w:val="Hyperlink"/>
            <w:rFonts w:hint="cs"/>
            <w:noProof/>
            <w:rtl/>
          </w:rPr>
          <w:t>الإمام</w:t>
        </w:r>
        <w:r w:rsidRPr="00F14100">
          <w:rPr>
            <w:rStyle w:val="Hyperlink"/>
            <w:noProof/>
            <w:rtl/>
          </w:rPr>
          <w:t xml:space="preserve"> </w:t>
        </w:r>
        <w:r w:rsidRPr="00F14100">
          <w:rPr>
            <w:rStyle w:val="Hyperlink"/>
            <w:rFonts w:hint="cs"/>
            <w:noProof/>
            <w:rtl/>
          </w:rPr>
          <w:t>علي</w:t>
        </w:r>
        <w:r w:rsidRPr="00F14100">
          <w:rPr>
            <w:rStyle w:val="Hyperlink"/>
            <w:noProof/>
            <w:rtl/>
          </w:rPr>
          <w:t xml:space="preserve"> </w:t>
        </w:r>
        <w:r w:rsidRPr="00F14100">
          <w:rPr>
            <w:rStyle w:val="Hyperlink"/>
            <w:rFonts w:cs="CTraditional Arabic"/>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Toc387843079 \h</w:instrText>
        </w:r>
        <w:r>
          <w:rPr>
            <w:noProof/>
            <w:webHidden/>
            <w:rtl/>
          </w:rPr>
          <w:instrText xml:space="preserve"> </w:instrText>
        </w:r>
        <w:r>
          <w:rPr>
            <w:rStyle w:val="Hyperlink"/>
            <w:noProof/>
            <w:rtl/>
          </w:rPr>
        </w:r>
        <w:r>
          <w:rPr>
            <w:rStyle w:val="Hyperlink"/>
            <w:noProof/>
            <w:rtl/>
          </w:rPr>
          <w:fldChar w:fldCharType="separate"/>
        </w:r>
        <w:r w:rsidR="00755AAC">
          <w:rPr>
            <w:noProof/>
            <w:webHidden/>
            <w:rtl/>
          </w:rPr>
          <w:t>2</w:t>
        </w:r>
        <w:r>
          <w:rPr>
            <w:rStyle w:val="Hyperlink"/>
            <w:noProof/>
            <w:rtl/>
          </w:rPr>
          <w:fldChar w:fldCharType="end"/>
        </w:r>
      </w:hyperlink>
    </w:p>
    <w:p w:rsidR="00F90700" w:rsidRPr="008607E3" w:rsidRDefault="00F90700">
      <w:pPr>
        <w:pStyle w:val="TOC3"/>
        <w:tabs>
          <w:tab w:val="right" w:leader="dot" w:pos="7248"/>
        </w:tabs>
        <w:bidi/>
        <w:rPr>
          <w:rFonts w:cs="Arial"/>
          <w:noProof/>
          <w:szCs w:val="22"/>
          <w:rtl/>
          <w:lang w:bidi="fa-IR"/>
        </w:rPr>
      </w:pPr>
      <w:hyperlink w:anchor="_Toc387843080" w:history="1">
        <w:r w:rsidRPr="00F14100">
          <w:rPr>
            <w:rStyle w:val="Hyperlink"/>
            <w:noProof/>
            <w:rtl/>
          </w:rPr>
          <w:t xml:space="preserve">2- </w:t>
        </w:r>
        <w:r w:rsidRPr="00F14100">
          <w:rPr>
            <w:rStyle w:val="Hyperlink"/>
            <w:rFonts w:hint="cs"/>
            <w:noProof/>
            <w:rtl/>
          </w:rPr>
          <w:t>فاطمة</w:t>
        </w:r>
        <w:r w:rsidRPr="00F14100">
          <w:rPr>
            <w:rStyle w:val="Hyperlink"/>
            <w:noProof/>
            <w:rtl/>
          </w:rPr>
          <w:t xml:space="preserve"> </w:t>
        </w:r>
        <w:r w:rsidRPr="00F14100">
          <w:rPr>
            <w:rStyle w:val="Hyperlink"/>
            <w:rFonts w:hint="cs"/>
            <w:noProof/>
            <w:rtl/>
          </w:rPr>
          <w:t>الزهرا</w:t>
        </w:r>
        <w:r w:rsidRPr="00F14100">
          <w:rPr>
            <w:rStyle w:val="Hyperlink"/>
            <w:noProof/>
            <w:rtl/>
          </w:rPr>
          <w:t xml:space="preserve"> </w:t>
        </w:r>
        <w:r w:rsidRPr="00F14100">
          <w:rPr>
            <w:rStyle w:val="Hyperlink"/>
            <w:rFonts w:cs="CTraditional Arabic"/>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Toc387843080 \h</w:instrText>
        </w:r>
        <w:r>
          <w:rPr>
            <w:noProof/>
            <w:webHidden/>
            <w:rtl/>
          </w:rPr>
          <w:instrText xml:space="preserve"> </w:instrText>
        </w:r>
        <w:r>
          <w:rPr>
            <w:rStyle w:val="Hyperlink"/>
            <w:noProof/>
            <w:rtl/>
          </w:rPr>
        </w:r>
        <w:r>
          <w:rPr>
            <w:rStyle w:val="Hyperlink"/>
            <w:noProof/>
            <w:rtl/>
          </w:rPr>
          <w:fldChar w:fldCharType="separate"/>
        </w:r>
        <w:r w:rsidR="00755AAC">
          <w:rPr>
            <w:noProof/>
            <w:webHidden/>
            <w:rtl/>
          </w:rPr>
          <w:t>2</w:t>
        </w:r>
        <w:r>
          <w:rPr>
            <w:rStyle w:val="Hyperlink"/>
            <w:noProof/>
            <w:rtl/>
          </w:rPr>
          <w:fldChar w:fldCharType="end"/>
        </w:r>
      </w:hyperlink>
    </w:p>
    <w:p w:rsidR="00F90700" w:rsidRPr="008607E3" w:rsidRDefault="00F90700">
      <w:pPr>
        <w:pStyle w:val="TOC3"/>
        <w:tabs>
          <w:tab w:val="right" w:leader="dot" w:pos="7248"/>
        </w:tabs>
        <w:bidi/>
        <w:rPr>
          <w:rFonts w:cs="Arial"/>
          <w:noProof/>
          <w:szCs w:val="22"/>
          <w:rtl/>
          <w:lang w:bidi="fa-IR"/>
        </w:rPr>
      </w:pPr>
      <w:hyperlink w:anchor="_Toc387843081" w:history="1">
        <w:r w:rsidRPr="00F14100">
          <w:rPr>
            <w:rStyle w:val="Hyperlink"/>
            <w:noProof/>
            <w:rtl/>
          </w:rPr>
          <w:t xml:space="preserve">3- </w:t>
        </w:r>
        <w:r w:rsidRPr="00F14100">
          <w:rPr>
            <w:rStyle w:val="Hyperlink"/>
            <w:rFonts w:hint="cs"/>
            <w:noProof/>
            <w:rtl/>
          </w:rPr>
          <w:t>الإمام</w:t>
        </w:r>
        <w:r w:rsidRPr="00F14100">
          <w:rPr>
            <w:rStyle w:val="Hyperlink"/>
            <w:noProof/>
            <w:rtl/>
          </w:rPr>
          <w:t xml:space="preserve"> </w:t>
        </w:r>
        <w:r w:rsidRPr="00F14100">
          <w:rPr>
            <w:rStyle w:val="Hyperlink"/>
            <w:rFonts w:hint="cs"/>
            <w:noProof/>
            <w:rtl/>
          </w:rPr>
          <w:t>الباقر</w:t>
        </w:r>
        <w:r w:rsidRPr="00F14100">
          <w:rPr>
            <w:rStyle w:val="Hyperlink"/>
            <w:noProof/>
            <w:rtl/>
          </w:rPr>
          <w:t xml:space="preserve"> </w:t>
        </w:r>
        <w:r w:rsidRPr="00F14100">
          <w:rPr>
            <w:rStyle w:val="Hyperlink"/>
            <w:rFonts w:cs="CTraditional Arabic"/>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Toc387843081 \h</w:instrText>
        </w:r>
        <w:r>
          <w:rPr>
            <w:noProof/>
            <w:webHidden/>
            <w:rtl/>
          </w:rPr>
          <w:instrText xml:space="preserve"> </w:instrText>
        </w:r>
        <w:r>
          <w:rPr>
            <w:rStyle w:val="Hyperlink"/>
            <w:noProof/>
            <w:rtl/>
          </w:rPr>
        </w:r>
        <w:r>
          <w:rPr>
            <w:rStyle w:val="Hyperlink"/>
            <w:noProof/>
            <w:rtl/>
          </w:rPr>
          <w:fldChar w:fldCharType="separate"/>
        </w:r>
        <w:r w:rsidR="00755AAC">
          <w:rPr>
            <w:noProof/>
            <w:webHidden/>
            <w:rtl/>
          </w:rPr>
          <w:t>2</w:t>
        </w:r>
        <w:r>
          <w:rPr>
            <w:rStyle w:val="Hyperlink"/>
            <w:noProof/>
            <w:rtl/>
          </w:rPr>
          <w:fldChar w:fldCharType="end"/>
        </w:r>
      </w:hyperlink>
    </w:p>
    <w:p w:rsidR="00F90700" w:rsidRPr="008607E3" w:rsidRDefault="00F90700">
      <w:pPr>
        <w:pStyle w:val="TOC3"/>
        <w:tabs>
          <w:tab w:val="right" w:leader="dot" w:pos="7248"/>
        </w:tabs>
        <w:bidi/>
        <w:rPr>
          <w:rFonts w:cs="Arial"/>
          <w:noProof/>
          <w:szCs w:val="22"/>
          <w:rtl/>
          <w:lang w:bidi="fa-IR"/>
        </w:rPr>
      </w:pPr>
      <w:hyperlink w:anchor="_Toc387843082" w:history="1">
        <w:r w:rsidRPr="00F14100">
          <w:rPr>
            <w:rStyle w:val="Hyperlink"/>
            <w:noProof/>
            <w:rtl/>
          </w:rPr>
          <w:t xml:space="preserve">4- </w:t>
        </w:r>
        <w:r w:rsidRPr="00F14100">
          <w:rPr>
            <w:rStyle w:val="Hyperlink"/>
            <w:rFonts w:hint="cs"/>
            <w:noProof/>
            <w:rtl/>
          </w:rPr>
          <w:t>الإمام</w:t>
        </w:r>
        <w:r w:rsidRPr="00F14100">
          <w:rPr>
            <w:rStyle w:val="Hyperlink"/>
            <w:noProof/>
            <w:rtl/>
          </w:rPr>
          <w:t xml:space="preserve"> </w:t>
        </w:r>
        <w:r w:rsidRPr="00F14100">
          <w:rPr>
            <w:rStyle w:val="Hyperlink"/>
            <w:rFonts w:hint="cs"/>
            <w:noProof/>
            <w:rtl/>
          </w:rPr>
          <w:t>الصادق</w:t>
        </w:r>
        <w:r w:rsidRPr="00F14100">
          <w:rPr>
            <w:rStyle w:val="Hyperlink"/>
            <w:noProof/>
            <w:rtl/>
          </w:rPr>
          <w:t xml:space="preserve"> </w:t>
        </w:r>
        <w:r w:rsidRPr="00F14100">
          <w:rPr>
            <w:rStyle w:val="Hyperlink"/>
            <w:rFonts w:cs="CTraditional Arabic"/>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Toc387843082 \h</w:instrText>
        </w:r>
        <w:r>
          <w:rPr>
            <w:noProof/>
            <w:webHidden/>
            <w:rtl/>
          </w:rPr>
          <w:instrText xml:space="preserve"> </w:instrText>
        </w:r>
        <w:r>
          <w:rPr>
            <w:rStyle w:val="Hyperlink"/>
            <w:noProof/>
            <w:rtl/>
          </w:rPr>
        </w:r>
        <w:r>
          <w:rPr>
            <w:rStyle w:val="Hyperlink"/>
            <w:noProof/>
            <w:rtl/>
          </w:rPr>
          <w:fldChar w:fldCharType="separate"/>
        </w:r>
        <w:r w:rsidR="00755AAC">
          <w:rPr>
            <w:noProof/>
            <w:webHidden/>
            <w:rtl/>
          </w:rPr>
          <w:t>2</w:t>
        </w:r>
        <w:r>
          <w:rPr>
            <w:rStyle w:val="Hyperlink"/>
            <w:noProof/>
            <w:rtl/>
          </w:rPr>
          <w:fldChar w:fldCharType="end"/>
        </w:r>
      </w:hyperlink>
    </w:p>
    <w:p w:rsidR="00F90700" w:rsidRPr="008607E3" w:rsidRDefault="00F90700">
      <w:pPr>
        <w:pStyle w:val="TOC3"/>
        <w:tabs>
          <w:tab w:val="right" w:leader="dot" w:pos="7248"/>
        </w:tabs>
        <w:bidi/>
        <w:rPr>
          <w:rFonts w:cs="Arial"/>
          <w:noProof/>
          <w:szCs w:val="22"/>
          <w:rtl/>
          <w:lang w:bidi="fa-IR"/>
        </w:rPr>
      </w:pPr>
      <w:hyperlink w:anchor="_Toc387843083" w:history="1">
        <w:r w:rsidRPr="00F14100">
          <w:rPr>
            <w:rStyle w:val="Hyperlink"/>
            <w:noProof/>
            <w:rtl/>
          </w:rPr>
          <w:t xml:space="preserve">5- </w:t>
        </w:r>
        <w:r w:rsidRPr="00F14100">
          <w:rPr>
            <w:rStyle w:val="Hyperlink"/>
            <w:rFonts w:hint="cs"/>
            <w:noProof/>
            <w:rtl/>
          </w:rPr>
          <w:t>الإمام</w:t>
        </w:r>
        <w:r w:rsidRPr="00F14100">
          <w:rPr>
            <w:rStyle w:val="Hyperlink"/>
            <w:noProof/>
            <w:rtl/>
          </w:rPr>
          <w:t xml:space="preserve"> </w:t>
        </w:r>
        <w:r w:rsidRPr="00F14100">
          <w:rPr>
            <w:rStyle w:val="Hyperlink"/>
            <w:rFonts w:hint="cs"/>
            <w:noProof/>
            <w:rtl/>
          </w:rPr>
          <w:t>محمد</w:t>
        </w:r>
        <w:r w:rsidRPr="00F14100">
          <w:rPr>
            <w:rStyle w:val="Hyperlink"/>
            <w:noProof/>
            <w:rtl/>
          </w:rPr>
          <w:t xml:space="preserve"> </w:t>
        </w:r>
        <w:r w:rsidRPr="00F14100">
          <w:rPr>
            <w:rStyle w:val="Hyperlink"/>
            <w:rFonts w:hint="cs"/>
            <w:noProof/>
            <w:rtl/>
          </w:rPr>
          <w:t>التقي</w:t>
        </w:r>
        <w:r w:rsidRPr="00F14100">
          <w:rPr>
            <w:rStyle w:val="Hyperlink"/>
            <w:noProof/>
            <w:rtl/>
          </w:rPr>
          <w:t xml:space="preserve"> </w:t>
        </w:r>
        <w:r w:rsidRPr="00F14100">
          <w:rPr>
            <w:rStyle w:val="Hyperlink"/>
            <w:rFonts w:cs="CTraditional Arabic"/>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Toc387843083 \h</w:instrText>
        </w:r>
        <w:r>
          <w:rPr>
            <w:noProof/>
            <w:webHidden/>
            <w:rtl/>
          </w:rPr>
          <w:instrText xml:space="preserve"> </w:instrText>
        </w:r>
        <w:r>
          <w:rPr>
            <w:rStyle w:val="Hyperlink"/>
            <w:noProof/>
            <w:rtl/>
          </w:rPr>
        </w:r>
        <w:r>
          <w:rPr>
            <w:rStyle w:val="Hyperlink"/>
            <w:noProof/>
            <w:rtl/>
          </w:rPr>
          <w:fldChar w:fldCharType="separate"/>
        </w:r>
        <w:r w:rsidR="00755AAC">
          <w:rPr>
            <w:noProof/>
            <w:webHidden/>
            <w:rtl/>
          </w:rPr>
          <w:t>2</w:t>
        </w:r>
        <w:r>
          <w:rPr>
            <w:rStyle w:val="Hyperlink"/>
            <w:noProof/>
            <w:rtl/>
          </w:rPr>
          <w:fldChar w:fldCharType="end"/>
        </w:r>
      </w:hyperlink>
    </w:p>
    <w:p w:rsidR="00F90700" w:rsidRPr="008607E3" w:rsidRDefault="00F90700">
      <w:pPr>
        <w:pStyle w:val="TOC3"/>
        <w:tabs>
          <w:tab w:val="right" w:leader="dot" w:pos="7248"/>
        </w:tabs>
        <w:bidi/>
        <w:rPr>
          <w:rFonts w:cs="Arial"/>
          <w:noProof/>
          <w:szCs w:val="22"/>
          <w:rtl/>
          <w:lang w:bidi="fa-IR"/>
        </w:rPr>
      </w:pPr>
      <w:hyperlink w:anchor="_Toc387843084" w:history="1">
        <w:r w:rsidRPr="00F14100">
          <w:rPr>
            <w:rStyle w:val="Hyperlink"/>
            <w:noProof/>
            <w:rtl/>
          </w:rPr>
          <w:t xml:space="preserve">6- </w:t>
        </w:r>
        <w:r w:rsidRPr="00F14100">
          <w:rPr>
            <w:rStyle w:val="Hyperlink"/>
            <w:rFonts w:hint="cs"/>
            <w:noProof/>
            <w:rtl/>
          </w:rPr>
          <w:t>إمام</w:t>
        </w:r>
        <w:r w:rsidRPr="00F14100">
          <w:rPr>
            <w:rStyle w:val="Hyperlink"/>
            <w:noProof/>
            <w:rtl/>
          </w:rPr>
          <w:t xml:space="preserve"> </w:t>
        </w:r>
        <w:r w:rsidRPr="00F14100">
          <w:rPr>
            <w:rStyle w:val="Hyperlink"/>
            <w:rFonts w:hint="cs"/>
            <w:noProof/>
            <w:rtl/>
          </w:rPr>
          <w:t>الزمان</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Toc387843084 \h</w:instrText>
        </w:r>
        <w:r>
          <w:rPr>
            <w:noProof/>
            <w:webHidden/>
            <w:rtl/>
          </w:rPr>
          <w:instrText xml:space="preserve"> </w:instrText>
        </w:r>
        <w:r>
          <w:rPr>
            <w:rStyle w:val="Hyperlink"/>
            <w:noProof/>
            <w:rtl/>
          </w:rPr>
        </w:r>
        <w:r>
          <w:rPr>
            <w:rStyle w:val="Hyperlink"/>
            <w:noProof/>
            <w:rtl/>
          </w:rPr>
          <w:fldChar w:fldCharType="separate"/>
        </w:r>
        <w:r w:rsidR="00755AAC">
          <w:rPr>
            <w:noProof/>
            <w:webHidden/>
            <w:rtl/>
          </w:rPr>
          <w:t>2</w:t>
        </w:r>
        <w:r>
          <w:rPr>
            <w:rStyle w:val="Hyperlink"/>
            <w:noProof/>
            <w:rtl/>
          </w:rPr>
          <w:fldChar w:fldCharType="end"/>
        </w:r>
      </w:hyperlink>
    </w:p>
    <w:p w:rsidR="00F90700" w:rsidRPr="008607E3" w:rsidRDefault="00F90700">
      <w:pPr>
        <w:pStyle w:val="TOC2"/>
        <w:rPr>
          <w:rFonts w:ascii="Calibri" w:hAnsi="Calibri" w:cs="Arial"/>
          <w:noProof/>
          <w:sz w:val="22"/>
          <w:szCs w:val="22"/>
          <w:rtl/>
          <w:lang w:eastAsia="en-US" w:bidi="fa-IR"/>
        </w:rPr>
      </w:pPr>
      <w:hyperlink w:anchor="_Toc387843085" w:history="1">
        <w:r w:rsidRPr="00F14100">
          <w:rPr>
            <w:rStyle w:val="Hyperlink"/>
            <w:noProof/>
            <w:rtl/>
            <w:lang w:bidi="ar-SY"/>
          </w:rPr>
          <w:t xml:space="preserve">2- </w:t>
        </w:r>
        <w:r w:rsidRPr="00F14100">
          <w:rPr>
            <w:rStyle w:val="Hyperlink"/>
            <w:rFonts w:hint="cs"/>
            <w:noProof/>
            <w:rtl/>
            <w:lang w:bidi="ar-SY"/>
          </w:rPr>
          <w:t>الإشكالات</w:t>
        </w:r>
        <w:r w:rsidRPr="00F14100">
          <w:rPr>
            <w:rStyle w:val="Hyperlink"/>
            <w:noProof/>
            <w:rtl/>
            <w:lang w:bidi="ar-SY"/>
          </w:rPr>
          <w:t xml:space="preserve"> </w:t>
        </w:r>
        <w:r w:rsidRPr="00F14100">
          <w:rPr>
            <w:rStyle w:val="Hyperlink"/>
            <w:rFonts w:hint="cs"/>
            <w:noProof/>
            <w:rtl/>
            <w:lang w:bidi="ar-SY"/>
          </w:rPr>
          <w:t>على</w:t>
        </w:r>
        <w:r w:rsidRPr="00F14100">
          <w:rPr>
            <w:rStyle w:val="Hyperlink"/>
            <w:noProof/>
            <w:rtl/>
            <w:lang w:bidi="ar-SY"/>
          </w:rPr>
          <w:t xml:space="preserve"> </w:t>
        </w:r>
        <w:r w:rsidRPr="00F14100">
          <w:rPr>
            <w:rStyle w:val="Hyperlink"/>
            <w:rFonts w:hint="cs"/>
            <w:noProof/>
            <w:rtl/>
            <w:lang w:bidi="ar-SY"/>
          </w:rPr>
          <w:t>أخبار</w:t>
        </w:r>
        <w:r w:rsidRPr="00F14100">
          <w:rPr>
            <w:rStyle w:val="Hyperlink"/>
            <w:noProof/>
            <w:rtl/>
            <w:lang w:bidi="ar-SY"/>
          </w:rPr>
          <w:t xml:space="preserve"> </w:t>
        </w:r>
        <w:r w:rsidRPr="00F14100">
          <w:rPr>
            <w:rStyle w:val="Hyperlink"/>
            <w:rFonts w:hint="cs"/>
            <w:noProof/>
            <w:rtl/>
            <w:lang w:bidi="ar-SY"/>
          </w:rPr>
          <w:t>تحليل</w:t>
        </w:r>
        <w:r w:rsidRPr="00F14100">
          <w:rPr>
            <w:rStyle w:val="Hyperlink"/>
            <w:noProof/>
            <w:rtl/>
            <w:lang w:bidi="ar-SY"/>
          </w:rPr>
          <w:t xml:space="preserve"> </w:t>
        </w:r>
        <w:r w:rsidRPr="00F14100">
          <w:rPr>
            <w:rStyle w:val="Hyperlink"/>
            <w:rFonts w:hint="cs"/>
            <w:noProof/>
            <w:rtl/>
            <w:lang w:bidi="ar-SY"/>
          </w:rPr>
          <w:t>الخمس</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Toc387843085 \h</w:instrText>
        </w:r>
        <w:r>
          <w:rPr>
            <w:noProof/>
            <w:webHidden/>
            <w:rtl/>
          </w:rPr>
          <w:instrText xml:space="preserve"> </w:instrText>
        </w:r>
        <w:r>
          <w:rPr>
            <w:rStyle w:val="Hyperlink"/>
            <w:noProof/>
            <w:rtl/>
          </w:rPr>
        </w:r>
        <w:r>
          <w:rPr>
            <w:rStyle w:val="Hyperlink"/>
            <w:noProof/>
            <w:rtl/>
          </w:rPr>
          <w:fldChar w:fldCharType="separate"/>
        </w:r>
        <w:r w:rsidR="00755AAC">
          <w:rPr>
            <w:noProof/>
            <w:webHidden/>
            <w:rtl/>
          </w:rPr>
          <w:t>2</w:t>
        </w:r>
        <w:r>
          <w:rPr>
            <w:rStyle w:val="Hyperlink"/>
            <w:noProof/>
            <w:rtl/>
          </w:rPr>
          <w:fldChar w:fldCharType="end"/>
        </w:r>
      </w:hyperlink>
    </w:p>
    <w:p w:rsidR="00F90700" w:rsidRPr="008607E3" w:rsidRDefault="00F90700">
      <w:pPr>
        <w:pStyle w:val="TOC2"/>
        <w:rPr>
          <w:rFonts w:ascii="Calibri" w:hAnsi="Calibri" w:cs="Arial"/>
          <w:noProof/>
          <w:sz w:val="22"/>
          <w:szCs w:val="22"/>
          <w:rtl/>
          <w:lang w:eastAsia="en-US" w:bidi="fa-IR"/>
        </w:rPr>
      </w:pPr>
      <w:hyperlink w:anchor="_Toc387843086" w:history="1">
        <w:r w:rsidRPr="00F14100">
          <w:rPr>
            <w:rStyle w:val="Hyperlink"/>
            <w:noProof/>
            <w:rtl/>
            <w:lang w:bidi="ar-SY"/>
          </w:rPr>
          <w:t xml:space="preserve">3- </w:t>
        </w:r>
        <w:r w:rsidRPr="00F14100">
          <w:rPr>
            <w:rStyle w:val="Hyperlink"/>
            <w:rFonts w:hint="cs"/>
            <w:noProof/>
            <w:rtl/>
            <w:lang w:bidi="ar-SY"/>
          </w:rPr>
          <w:t>نقد</w:t>
        </w:r>
        <w:r w:rsidRPr="00F14100">
          <w:rPr>
            <w:rStyle w:val="Hyperlink"/>
            <w:noProof/>
            <w:rtl/>
            <w:lang w:bidi="ar-SY"/>
          </w:rPr>
          <w:t xml:space="preserve"> </w:t>
        </w:r>
        <w:r w:rsidRPr="00F14100">
          <w:rPr>
            <w:rStyle w:val="Hyperlink"/>
            <w:rFonts w:hint="cs"/>
            <w:noProof/>
            <w:rtl/>
            <w:lang w:bidi="ar-SY"/>
          </w:rPr>
          <w:t>رأي</w:t>
        </w:r>
        <w:r w:rsidRPr="00F14100">
          <w:rPr>
            <w:rStyle w:val="Hyperlink"/>
            <w:noProof/>
            <w:rtl/>
            <w:lang w:bidi="ar-SY"/>
          </w:rPr>
          <w:t xml:space="preserve">  </w:t>
        </w:r>
        <w:r w:rsidRPr="00F14100">
          <w:rPr>
            <w:rStyle w:val="Hyperlink"/>
            <w:rFonts w:hint="cs"/>
            <w:noProof/>
            <w:rtl/>
            <w:lang w:bidi="ar-SY"/>
          </w:rPr>
          <w:t>السيد</w:t>
        </w:r>
        <w:r w:rsidRPr="00F14100">
          <w:rPr>
            <w:rStyle w:val="Hyperlink"/>
            <w:noProof/>
            <w:rtl/>
            <w:lang w:bidi="ar-SY"/>
          </w:rPr>
          <w:t xml:space="preserve"> </w:t>
        </w:r>
        <w:r w:rsidRPr="00F14100">
          <w:rPr>
            <w:rStyle w:val="Hyperlink"/>
            <w:rFonts w:hint="cs"/>
            <w:noProof/>
            <w:rtl/>
            <w:lang w:bidi="ar-SY"/>
          </w:rPr>
          <w:t>رضا</w:t>
        </w:r>
        <w:r w:rsidRPr="00F14100">
          <w:rPr>
            <w:rStyle w:val="Hyperlink"/>
            <w:noProof/>
            <w:rtl/>
            <w:lang w:bidi="ar-SY"/>
          </w:rPr>
          <w:t xml:space="preserve"> </w:t>
        </w:r>
        <w:r w:rsidRPr="00F14100">
          <w:rPr>
            <w:rStyle w:val="Hyperlink"/>
            <w:rFonts w:hint="cs"/>
            <w:noProof/>
            <w:rtl/>
            <w:lang w:bidi="ar-SY"/>
          </w:rPr>
          <w:t>الهمداني</w:t>
        </w:r>
        <w:r w:rsidRPr="00F14100">
          <w:rPr>
            <w:rStyle w:val="Hyperlink"/>
            <w:noProof/>
            <w:rtl/>
            <w:lang w:bidi="ar-SY"/>
          </w:rPr>
          <w:t xml:space="preserve"> </w:t>
        </w:r>
        <w:r w:rsidRPr="00F14100">
          <w:rPr>
            <w:rStyle w:val="Hyperlink"/>
            <w:rFonts w:hint="cs"/>
            <w:noProof/>
            <w:rtl/>
            <w:lang w:bidi="ar-SY"/>
          </w:rPr>
          <w:t>في</w:t>
        </w:r>
        <w:r w:rsidRPr="00F14100">
          <w:rPr>
            <w:rStyle w:val="Hyperlink"/>
            <w:noProof/>
            <w:rtl/>
            <w:lang w:bidi="ar-SY"/>
          </w:rPr>
          <w:t xml:space="preserve"> </w:t>
        </w:r>
        <w:r w:rsidRPr="00F14100">
          <w:rPr>
            <w:rStyle w:val="Hyperlink"/>
            <w:rFonts w:hint="cs"/>
            <w:noProof/>
            <w:rtl/>
            <w:lang w:bidi="ar-SY"/>
          </w:rPr>
          <w:t>كتابه</w:t>
        </w:r>
        <w:r w:rsidRPr="00F14100">
          <w:rPr>
            <w:rStyle w:val="Hyperlink"/>
            <w:noProof/>
            <w:rtl/>
            <w:lang w:bidi="ar-SY"/>
          </w:rPr>
          <w:t xml:space="preserve"> «</w:t>
        </w:r>
        <w:r w:rsidRPr="00F14100">
          <w:rPr>
            <w:rStyle w:val="Hyperlink"/>
            <w:rFonts w:hint="cs"/>
            <w:noProof/>
            <w:rtl/>
            <w:lang w:bidi="ar-SY"/>
          </w:rPr>
          <w:t>مصباح</w:t>
        </w:r>
        <w:r w:rsidRPr="00F14100">
          <w:rPr>
            <w:rStyle w:val="Hyperlink"/>
            <w:noProof/>
            <w:rtl/>
            <w:lang w:bidi="ar-SY"/>
          </w:rPr>
          <w:t xml:space="preserve"> </w:t>
        </w:r>
        <w:r w:rsidRPr="00F14100">
          <w:rPr>
            <w:rStyle w:val="Hyperlink"/>
            <w:rFonts w:hint="cs"/>
            <w:noProof/>
            <w:rtl/>
            <w:lang w:bidi="ar-SY"/>
          </w:rPr>
          <w:t>الفقيه</w:t>
        </w:r>
        <w:r w:rsidRPr="00F14100">
          <w:rPr>
            <w:rStyle w:val="Hyperlink"/>
            <w:rFonts w:hint="eastAsia"/>
            <w:noProof/>
            <w:rtl/>
            <w:lang w:bidi="ar-SY"/>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Toc387843086 \h</w:instrText>
        </w:r>
        <w:r>
          <w:rPr>
            <w:noProof/>
            <w:webHidden/>
            <w:rtl/>
          </w:rPr>
          <w:instrText xml:space="preserve"> </w:instrText>
        </w:r>
        <w:r>
          <w:rPr>
            <w:rStyle w:val="Hyperlink"/>
            <w:noProof/>
            <w:rtl/>
          </w:rPr>
        </w:r>
        <w:r>
          <w:rPr>
            <w:rStyle w:val="Hyperlink"/>
            <w:noProof/>
            <w:rtl/>
          </w:rPr>
          <w:fldChar w:fldCharType="separate"/>
        </w:r>
        <w:r w:rsidR="00755AAC">
          <w:rPr>
            <w:noProof/>
            <w:webHidden/>
            <w:rtl/>
          </w:rPr>
          <w:t>2</w:t>
        </w:r>
        <w:r>
          <w:rPr>
            <w:rStyle w:val="Hyperlink"/>
            <w:noProof/>
            <w:rtl/>
          </w:rPr>
          <w:fldChar w:fldCharType="end"/>
        </w:r>
      </w:hyperlink>
    </w:p>
    <w:p w:rsidR="00F90700" w:rsidRPr="008607E3" w:rsidRDefault="00F90700">
      <w:pPr>
        <w:pStyle w:val="TOC3"/>
        <w:tabs>
          <w:tab w:val="right" w:leader="dot" w:pos="7248"/>
        </w:tabs>
        <w:bidi/>
        <w:rPr>
          <w:rFonts w:cs="Arial"/>
          <w:noProof/>
          <w:szCs w:val="22"/>
          <w:rtl/>
          <w:lang w:bidi="fa-IR"/>
        </w:rPr>
      </w:pPr>
      <w:hyperlink w:anchor="_Toc387843087" w:history="1">
        <w:r w:rsidRPr="00F14100">
          <w:rPr>
            <w:rStyle w:val="Hyperlink"/>
            <w:noProof/>
            <w:rtl/>
          </w:rPr>
          <w:t xml:space="preserve">1- </w:t>
        </w:r>
        <w:r w:rsidRPr="00F14100">
          <w:rPr>
            <w:rStyle w:val="Hyperlink"/>
            <w:rFonts w:hint="cs"/>
            <w:noProof/>
            <w:rtl/>
          </w:rPr>
          <w:t>ضَعـف</w:t>
        </w:r>
        <w:r w:rsidRPr="00F14100">
          <w:rPr>
            <w:rStyle w:val="Hyperlink"/>
            <w:noProof/>
            <w:rtl/>
          </w:rPr>
          <w:t xml:space="preserve"> </w:t>
        </w:r>
        <w:r w:rsidRPr="00F14100">
          <w:rPr>
            <w:rStyle w:val="Hyperlink"/>
            <w:rFonts w:hint="cs"/>
            <w:noProof/>
            <w:rtl/>
          </w:rPr>
          <w:t>استدلال</w:t>
        </w:r>
        <w:r w:rsidRPr="00F14100">
          <w:rPr>
            <w:rStyle w:val="Hyperlink"/>
            <w:noProof/>
            <w:rtl/>
          </w:rPr>
          <w:t xml:space="preserve"> </w:t>
        </w:r>
        <w:r w:rsidRPr="00F14100">
          <w:rPr>
            <w:rStyle w:val="Hyperlink"/>
            <w:rFonts w:hint="cs"/>
            <w:noProof/>
            <w:rtl/>
          </w:rPr>
          <w:t>الهمداني</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Toc387843087 \h</w:instrText>
        </w:r>
        <w:r>
          <w:rPr>
            <w:noProof/>
            <w:webHidden/>
            <w:rtl/>
          </w:rPr>
          <w:instrText xml:space="preserve"> </w:instrText>
        </w:r>
        <w:r>
          <w:rPr>
            <w:rStyle w:val="Hyperlink"/>
            <w:noProof/>
            <w:rtl/>
          </w:rPr>
        </w:r>
        <w:r>
          <w:rPr>
            <w:rStyle w:val="Hyperlink"/>
            <w:noProof/>
            <w:rtl/>
          </w:rPr>
          <w:fldChar w:fldCharType="separate"/>
        </w:r>
        <w:r w:rsidR="00755AAC">
          <w:rPr>
            <w:noProof/>
            <w:webHidden/>
            <w:rtl/>
          </w:rPr>
          <w:t>2</w:t>
        </w:r>
        <w:r>
          <w:rPr>
            <w:rStyle w:val="Hyperlink"/>
            <w:noProof/>
            <w:rtl/>
          </w:rPr>
          <w:fldChar w:fldCharType="end"/>
        </w:r>
      </w:hyperlink>
    </w:p>
    <w:p w:rsidR="00F90700" w:rsidRPr="008607E3" w:rsidRDefault="00F90700">
      <w:pPr>
        <w:pStyle w:val="TOC3"/>
        <w:tabs>
          <w:tab w:val="right" w:leader="dot" w:pos="7248"/>
        </w:tabs>
        <w:bidi/>
        <w:rPr>
          <w:rFonts w:cs="Arial"/>
          <w:noProof/>
          <w:szCs w:val="22"/>
          <w:rtl/>
          <w:lang w:bidi="fa-IR"/>
        </w:rPr>
      </w:pPr>
      <w:hyperlink w:anchor="_Toc387843088" w:history="1">
        <w:r w:rsidRPr="00F14100">
          <w:rPr>
            <w:rStyle w:val="Hyperlink"/>
            <w:noProof/>
            <w:rtl/>
          </w:rPr>
          <w:t xml:space="preserve">2- </w:t>
        </w:r>
        <w:r w:rsidRPr="00F14100">
          <w:rPr>
            <w:rStyle w:val="Hyperlink"/>
            <w:rFonts w:hint="cs"/>
            <w:noProof/>
            <w:rtl/>
          </w:rPr>
          <w:t>خطأ</w:t>
        </w:r>
        <w:r w:rsidRPr="00F14100">
          <w:rPr>
            <w:rStyle w:val="Hyperlink"/>
            <w:noProof/>
            <w:rtl/>
          </w:rPr>
          <w:t xml:space="preserve"> </w:t>
        </w:r>
        <w:r w:rsidRPr="00F14100">
          <w:rPr>
            <w:rStyle w:val="Hyperlink"/>
            <w:rFonts w:hint="cs"/>
            <w:noProof/>
            <w:rtl/>
          </w:rPr>
          <w:t>الدلائل</w:t>
        </w:r>
        <w:r w:rsidRPr="00F14100">
          <w:rPr>
            <w:rStyle w:val="Hyperlink"/>
            <w:noProof/>
            <w:rtl/>
          </w:rPr>
          <w:t xml:space="preserve"> </w:t>
        </w:r>
        <w:r w:rsidRPr="00F14100">
          <w:rPr>
            <w:rStyle w:val="Hyperlink"/>
            <w:rFonts w:hint="cs"/>
            <w:noProof/>
            <w:rtl/>
          </w:rPr>
          <w:t>العـقلية</w:t>
        </w:r>
        <w:r w:rsidRPr="00F14100">
          <w:rPr>
            <w:rStyle w:val="Hyperlink"/>
            <w:noProof/>
            <w:rtl/>
          </w:rPr>
          <w:t xml:space="preserve"> </w:t>
        </w:r>
        <w:r w:rsidRPr="00F14100">
          <w:rPr>
            <w:rStyle w:val="Hyperlink"/>
            <w:rFonts w:hint="cs"/>
            <w:noProof/>
            <w:rtl/>
          </w:rPr>
          <w:t>التي</w:t>
        </w:r>
        <w:r w:rsidRPr="00F14100">
          <w:rPr>
            <w:rStyle w:val="Hyperlink"/>
            <w:noProof/>
            <w:rtl/>
          </w:rPr>
          <w:t xml:space="preserve"> </w:t>
        </w:r>
        <w:r w:rsidRPr="00F14100">
          <w:rPr>
            <w:rStyle w:val="Hyperlink"/>
            <w:rFonts w:hint="cs"/>
            <w:noProof/>
            <w:rtl/>
          </w:rPr>
          <w:t>قدَّمها</w:t>
        </w:r>
        <w:r w:rsidRPr="00F14100">
          <w:rPr>
            <w:rStyle w:val="Hyperlink"/>
            <w:noProof/>
            <w:rtl/>
          </w:rPr>
          <w:t xml:space="preserve"> </w:t>
        </w:r>
        <w:r w:rsidRPr="00F14100">
          <w:rPr>
            <w:rStyle w:val="Hyperlink"/>
            <w:rFonts w:hint="cs"/>
            <w:noProof/>
            <w:rtl/>
          </w:rPr>
          <w:t>الهمداني</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Toc387843088 \h</w:instrText>
        </w:r>
        <w:r>
          <w:rPr>
            <w:noProof/>
            <w:webHidden/>
            <w:rtl/>
          </w:rPr>
          <w:instrText xml:space="preserve"> </w:instrText>
        </w:r>
        <w:r>
          <w:rPr>
            <w:rStyle w:val="Hyperlink"/>
            <w:noProof/>
            <w:rtl/>
          </w:rPr>
        </w:r>
        <w:r>
          <w:rPr>
            <w:rStyle w:val="Hyperlink"/>
            <w:noProof/>
            <w:rtl/>
          </w:rPr>
          <w:fldChar w:fldCharType="separate"/>
        </w:r>
        <w:r w:rsidR="00755AAC">
          <w:rPr>
            <w:noProof/>
            <w:webHidden/>
            <w:rtl/>
          </w:rPr>
          <w:t>2</w:t>
        </w:r>
        <w:r>
          <w:rPr>
            <w:rStyle w:val="Hyperlink"/>
            <w:noProof/>
            <w:rtl/>
          </w:rPr>
          <w:fldChar w:fldCharType="end"/>
        </w:r>
      </w:hyperlink>
    </w:p>
    <w:p w:rsidR="00F90700" w:rsidRPr="008607E3" w:rsidRDefault="00F90700">
      <w:pPr>
        <w:pStyle w:val="TOC2"/>
        <w:rPr>
          <w:rFonts w:ascii="Calibri" w:hAnsi="Calibri" w:cs="Arial"/>
          <w:noProof/>
          <w:sz w:val="22"/>
          <w:szCs w:val="22"/>
          <w:rtl/>
          <w:lang w:eastAsia="en-US" w:bidi="fa-IR"/>
        </w:rPr>
      </w:pPr>
      <w:hyperlink w:anchor="_Toc387843089" w:history="1">
        <w:r w:rsidRPr="00F14100">
          <w:rPr>
            <w:rStyle w:val="Hyperlink"/>
            <w:noProof/>
            <w:rtl/>
          </w:rPr>
          <w:t xml:space="preserve">4- </w:t>
        </w:r>
        <w:r w:rsidRPr="00F14100">
          <w:rPr>
            <w:rStyle w:val="Hyperlink"/>
            <w:rFonts w:hint="cs"/>
            <w:noProof/>
            <w:rtl/>
          </w:rPr>
          <w:t>تمحيص</w:t>
        </w:r>
        <w:r w:rsidRPr="00F14100">
          <w:rPr>
            <w:rStyle w:val="Hyperlink"/>
            <w:noProof/>
            <w:rtl/>
          </w:rPr>
          <w:t xml:space="preserve"> </w:t>
        </w:r>
        <w:r w:rsidRPr="00F14100">
          <w:rPr>
            <w:rStyle w:val="Hyperlink"/>
            <w:rFonts w:hint="cs"/>
            <w:noProof/>
            <w:rtl/>
          </w:rPr>
          <w:t>أسانيد</w:t>
        </w:r>
        <w:r w:rsidRPr="00F14100">
          <w:rPr>
            <w:rStyle w:val="Hyperlink"/>
            <w:noProof/>
            <w:rtl/>
          </w:rPr>
          <w:t xml:space="preserve"> </w:t>
        </w:r>
        <w:r w:rsidRPr="00F14100">
          <w:rPr>
            <w:rStyle w:val="Hyperlink"/>
            <w:rFonts w:hint="cs"/>
            <w:noProof/>
            <w:rtl/>
          </w:rPr>
          <w:t>ومتون</w:t>
        </w:r>
        <w:r w:rsidRPr="00F14100">
          <w:rPr>
            <w:rStyle w:val="Hyperlink"/>
            <w:noProof/>
            <w:rtl/>
          </w:rPr>
          <w:t xml:space="preserve"> </w:t>
        </w:r>
        <w:r w:rsidRPr="00F14100">
          <w:rPr>
            <w:rStyle w:val="Hyperlink"/>
            <w:rFonts w:hint="cs"/>
            <w:noProof/>
            <w:rtl/>
          </w:rPr>
          <w:t>أحاديث</w:t>
        </w:r>
        <w:r w:rsidRPr="00F14100">
          <w:rPr>
            <w:rStyle w:val="Hyperlink"/>
            <w:noProof/>
            <w:rtl/>
          </w:rPr>
          <w:t xml:space="preserve"> «</w:t>
        </w:r>
        <w:r w:rsidRPr="00F14100">
          <w:rPr>
            <w:rStyle w:val="Hyperlink"/>
            <w:rFonts w:hint="cs"/>
            <w:noProof/>
            <w:rtl/>
          </w:rPr>
          <w:t>مصباح</w:t>
        </w:r>
        <w:r w:rsidRPr="00F14100">
          <w:rPr>
            <w:rStyle w:val="Hyperlink"/>
            <w:noProof/>
            <w:rtl/>
          </w:rPr>
          <w:t xml:space="preserve"> </w:t>
        </w:r>
        <w:r w:rsidRPr="00F14100">
          <w:rPr>
            <w:rStyle w:val="Hyperlink"/>
            <w:rFonts w:hint="cs"/>
            <w:noProof/>
            <w:rtl/>
          </w:rPr>
          <w:t>الفقيه</w:t>
        </w:r>
        <w:r w:rsidRPr="00F14100">
          <w:rPr>
            <w:rStyle w:val="Hyperlink"/>
            <w:rFonts w:hint="eastAsia"/>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Toc387843089 \h</w:instrText>
        </w:r>
        <w:r>
          <w:rPr>
            <w:noProof/>
            <w:webHidden/>
            <w:rtl/>
          </w:rPr>
          <w:instrText xml:space="preserve"> </w:instrText>
        </w:r>
        <w:r>
          <w:rPr>
            <w:rStyle w:val="Hyperlink"/>
            <w:noProof/>
            <w:rtl/>
          </w:rPr>
        </w:r>
        <w:r>
          <w:rPr>
            <w:rStyle w:val="Hyperlink"/>
            <w:noProof/>
            <w:rtl/>
          </w:rPr>
          <w:fldChar w:fldCharType="separate"/>
        </w:r>
        <w:r w:rsidR="00755AAC">
          <w:rPr>
            <w:noProof/>
            <w:webHidden/>
            <w:rtl/>
          </w:rPr>
          <w:t>2</w:t>
        </w:r>
        <w:r>
          <w:rPr>
            <w:rStyle w:val="Hyperlink"/>
            <w:noProof/>
            <w:rtl/>
          </w:rPr>
          <w:fldChar w:fldCharType="end"/>
        </w:r>
      </w:hyperlink>
    </w:p>
    <w:p w:rsidR="00F90700" w:rsidRPr="008607E3" w:rsidRDefault="00F90700" w:rsidP="00D52B3E">
      <w:pPr>
        <w:pStyle w:val="TOC3"/>
        <w:tabs>
          <w:tab w:val="right" w:leader="dot" w:pos="7248"/>
        </w:tabs>
        <w:bidi/>
        <w:rPr>
          <w:rFonts w:cs="Arial"/>
          <w:noProof/>
          <w:szCs w:val="22"/>
          <w:rtl/>
          <w:lang w:bidi="fa-IR"/>
        </w:rPr>
      </w:pPr>
      <w:hyperlink w:anchor="_Toc387843090" w:history="1">
        <w:r w:rsidRPr="00F14100">
          <w:rPr>
            <w:rStyle w:val="Hyperlink"/>
            <w:rFonts w:hint="cs"/>
            <w:noProof/>
            <w:rtl/>
          </w:rPr>
          <w:t>سند</w:t>
        </w:r>
        <w:r w:rsidRPr="00F14100">
          <w:rPr>
            <w:rStyle w:val="Hyperlink"/>
            <w:noProof/>
            <w:rtl/>
          </w:rPr>
          <w:t xml:space="preserve"> </w:t>
        </w:r>
        <w:r w:rsidRPr="00F14100">
          <w:rPr>
            <w:rStyle w:val="Hyperlink"/>
            <w:rFonts w:hint="cs"/>
            <w:noProof/>
            <w:rtl/>
          </w:rPr>
          <w:t>الحديث</w:t>
        </w:r>
        <w:r w:rsidRPr="00F14100">
          <w:rPr>
            <w:rStyle w:val="Hyperlink"/>
            <w:noProof/>
            <w:rtl/>
          </w:rPr>
          <w:t xml:space="preserve"> </w:t>
        </w:r>
        <w:r w:rsidRPr="00F14100">
          <w:rPr>
            <w:rStyle w:val="Hyperlink"/>
            <w:rFonts w:hint="cs"/>
            <w:noProof/>
            <w:rtl/>
          </w:rPr>
          <w:t>الأول</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Toc387843090 \h</w:instrText>
        </w:r>
        <w:r>
          <w:rPr>
            <w:noProof/>
            <w:webHidden/>
            <w:rtl/>
          </w:rPr>
          <w:instrText xml:space="preserve"> </w:instrText>
        </w:r>
        <w:r>
          <w:rPr>
            <w:rStyle w:val="Hyperlink"/>
            <w:noProof/>
            <w:rtl/>
          </w:rPr>
        </w:r>
        <w:r>
          <w:rPr>
            <w:rStyle w:val="Hyperlink"/>
            <w:noProof/>
            <w:rtl/>
          </w:rPr>
          <w:fldChar w:fldCharType="separate"/>
        </w:r>
        <w:r w:rsidR="00755AAC">
          <w:rPr>
            <w:noProof/>
            <w:webHidden/>
            <w:rtl/>
          </w:rPr>
          <w:t>2</w:t>
        </w:r>
        <w:r>
          <w:rPr>
            <w:rStyle w:val="Hyperlink"/>
            <w:noProof/>
            <w:rtl/>
          </w:rPr>
          <w:fldChar w:fldCharType="end"/>
        </w:r>
      </w:hyperlink>
    </w:p>
    <w:p w:rsidR="00F90700" w:rsidRPr="008607E3" w:rsidRDefault="00F90700" w:rsidP="00D52B3E">
      <w:pPr>
        <w:pStyle w:val="TOC3"/>
        <w:tabs>
          <w:tab w:val="right" w:leader="dot" w:pos="7248"/>
        </w:tabs>
        <w:bidi/>
        <w:rPr>
          <w:rFonts w:cs="Arial"/>
          <w:noProof/>
          <w:szCs w:val="22"/>
          <w:rtl/>
          <w:lang w:bidi="fa-IR"/>
        </w:rPr>
      </w:pPr>
      <w:hyperlink w:anchor="_Toc387843091" w:history="1">
        <w:r w:rsidRPr="00F14100">
          <w:rPr>
            <w:rStyle w:val="Hyperlink"/>
            <w:rFonts w:hint="cs"/>
            <w:noProof/>
            <w:rtl/>
          </w:rPr>
          <w:t>متن</w:t>
        </w:r>
        <w:r w:rsidRPr="00F14100">
          <w:rPr>
            <w:rStyle w:val="Hyperlink"/>
            <w:noProof/>
            <w:rtl/>
          </w:rPr>
          <w:t xml:space="preserve"> </w:t>
        </w:r>
        <w:r w:rsidRPr="00F14100">
          <w:rPr>
            <w:rStyle w:val="Hyperlink"/>
            <w:rFonts w:hint="cs"/>
            <w:noProof/>
            <w:rtl/>
          </w:rPr>
          <w:t>الحديث</w:t>
        </w:r>
        <w:r w:rsidRPr="00F14100">
          <w:rPr>
            <w:rStyle w:val="Hyperlink"/>
            <w:noProof/>
            <w:rtl/>
          </w:rPr>
          <w:t xml:space="preserve"> </w:t>
        </w:r>
        <w:r w:rsidRPr="00F14100">
          <w:rPr>
            <w:rStyle w:val="Hyperlink"/>
            <w:rFonts w:hint="cs"/>
            <w:noProof/>
            <w:rtl/>
          </w:rPr>
          <w:t>الأول</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Toc387843091 \h</w:instrText>
        </w:r>
        <w:r>
          <w:rPr>
            <w:noProof/>
            <w:webHidden/>
            <w:rtl/>
          </w:rPr>
          <w:instrText xml:space="preserve"> </w:instrText>
        </w:r>
        <w:r>
          <w:rPr>
            <w:rStyle w:val="Hyperlink"/>
            <w:noProof/>
            <w:rtl/>
          </w:rPr>
        </w:r>
        <w:r>
          <w:rPr>
            <w:rStyle w:val="Hyperlink"/>
            <w:noProof/>
            <w:rtl/>
          </w:rPr>
          <w:fldChar w:fldCharType="separate"/>
        </w:r>
        <w:r w:rsidR="00755AAC">
          <w:rPr>
            <w:noProof/>
            <w:webHidden/>
            <w:rtl/>
          </w:rPr>
          <w:t>2</w:t>
        </w:r>
        <w:r>
          <w:rPr>
            <w:rStyle w:val="Hyperlink"/>
            <w:noProof/>
            <w:rtl/>
          </w:rPr>
          <w:fldChar w:fldCharType="end"/>
        </w:r>
      </w:hyperlink>
    </w:p>
    <w:p w:rsidR="00F90700" w:rsidRPr="008607E3" w:rsidRDefault="00F90700" w:rsidP="00D52B3E">
      <w:pPr>
        <w:pStyle w:val="TOC3"/>
        <w:tabs>
          <w:tab w:val="right" w:leader="dot" w:pos="7248"/>
        </w:tabs>
        <w:bidi/>
        <w:rPr>
          <w:rFonts w:cs="Arial"/>
          <w:noProof/>
          <w:szCs w:val="22"/>
          <w:rtl/>
          <w:lang w:bidi="fa-IR"/>
        </w:rPr>
      </w:pPr>
      <w:hyperlink w:anchor="_Toc387843092" w:history="1">
        <w:r w:rsidRPr="00F14100">
          <w:rPr>
            <w:rStyle w:val="Hyperlink"/>
            <w:rFonts w:hint="cs"/>
            <w:noProof/>
            <w:rtl/>
          </w:rPr>
          <w:t>سند</w:t>
        </w:r>
        <w:r w:rsidRPr="00F14100">
          <w:rPr>
            <w:rStyle w:val="Hyperlink"/>
            <w:noProof/>
            <w:rtl/>
          </w:rPr>
          <w:t xml:space="preserve"> </w:t>
        </w:r>
        <w:r w:rsidRPr="00F14100">
          <w:rPr>
            <w:rStyle w:val="Hyperlink"/>
            <w:rFonts w:hint="cs"/>
            <w:noProof/>
            <w:rtl/>
          </w:rPr>
          <w:t>الحديث</w:t>
        </w:r>
        <w:r w:rsidRPr="00F14100">
          <w:rPr>
            <w:rStyle w:val="Hyperlink"/>
            <w:noProof/>
            <w:rtl/>
          </w:rPr>
          <w:t xml:space="preserve"> </w:t>
        </w:r>
        <w:r w:rsidRPr="00F14100">
          <w:rPr>
            <w:rStyle w:val="Hyperlink"/>
            <w:rFonts w:hint="cs"/>
            <w:noProof/>
            <w:rtl/>
          </w:rPr>
          <w:t>الثاني</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Toc387843092 \h</w:instrText>
        </w:r>
        <w:r>
          <w:rPr>
            <w:noProof/>
            <w:webHidden/>
            <w:rtl/>
          </w:rPr>
          <w:instrText xml:space="preserve"> </w:instrText>
        </w:r>
        <w:r>
          <w:rPr>
            <w:rStyle w:val="Hyperlink"/>
            <w:noProof/>
            <w:rtl/>
          </w:rPr>
        </w:r>
        <w:r>
          <w:rPr>
            <w:rStyle w:val="Hyperlink"/>
            <w:noProof/>
            <w:rtl/>
          </w:rPr>
          <w:fldChar w:fldCharType="separate"/>
        </w:r>
        <w:r w:rsidR="00755AAC">
          <w:rPr>
            <w:noProof/>
            <w:webHidden/>
            <w:rtl/>
          </w:rPr>
          <w:t>2</w:t>
        </w:r>
        <w:r>
          <w:rPr>
            <w:rStyle w:val="Hyperlink"/>
            <w:noProof/>
            <w:rtl/>
          </w:rPr>
          <w:fldChar w:fldCharType="end"/>
        </w:r>
      </w:hyperlink>
    </w:p>
    <w:p w:rsidR="00F90700" w:rsidRPr="008607E3" w:rsidRDefault="00F90700" w:rsidP="00D52B3E">
      <w:pPr>
        <w:pStyle w:val="TOC3"/>
        <w:tabs>
          <w:tab w:val="right" w:leader="dot" w:pos="7248"/>
        </w:tabs>
        <w:bidi/>
        <w:rPr>
          <w:rFonts w:cs="Arial"/>
          <w:noProof/>
          <w:szCs w:val="22"/>
          <w:rtl/>
          <w:lang w:bidi="fa-IR"/>
        </w:rPr>
      </w:pPr>
      <w:hyperlink w:anchor="_Toc387843093" w:history="1">
        <w:r w:rsidRPr="00F14100">
          <w:rPr>
            <w:rStyle w:val="Hyperlink"/>
            <w:rFonts w:hint="cs"/>
            <w:noProof/>
            <w:rtl/>
          </w:rPr>
          <w:t>متن</w:t>
        </w:r>
        <w:r w:rsidRPr="00F14100">
          <w:rPr>
            <w:rStyle w:val="Hyperlink"/>
            <w:noProof/>
            <w:rtl/>
          </w:rPr>
          <w:t xml:space="preserve"> </w:t>
        </w:r>
        <w:r w:rsidRPr="00F14100">
          <w:rPr>
            <w:rStyle w:val="Hyperlink"/>
            <w:rFonts w:hint="cs"/>
            <w:noProof/>
            <w:rtl/>
          </w:rPr>
          <w:t>الحديث</w:t>
        </w:r>
        <w:r w:rsidRPr="00F14100">
          <w:rPr>
            <w:rStyle w:val="Hyperlink"/>
            <w:noProof/>
            <w:rtl/>
          </w:rPr>
          <w:t xml:space="preserve"> </w:t>
        </w:r>
        <w:r w:rsidRPr="00F14100">
          <w:rPr>
            <w:rStyle w:val="Hyperlink"/>
            <w:rFonts w:hint="cs"/>
            <w:noProof/>
            <w:rtl/>
          </w:rPr>
          <w:t>الثاني</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Toc387843093 \h</w:instrText>
        </w:r>
        <w:r>
          <w:rPr>
            <w:noProof/>
            <w:webHidden/>
            <w:rtl/>
          </w:rPr>
          <w:instrText xml:space="preserve"> </w:instrText>
        </w:r>
        <w:r>
          <w:rPr>
            <w:rStyle w:val="Hyperlink"/>
            <w:noProof/>
            <w:rtl/>
          </w:rPr>
        </w:r>
        <w:r>
          <w:rPr>
            <w:rStyle w:val="Hyperlink"/>
            <w:noProof/>
            <w:rtl/>
          </w:rPr>
          <w:fldChar w:fldCharType="separate"/>
        </w:r>
        <w:r w:rsidR="00755AAC">
          <w:rPr>
            <w:noProof/>
            <w:webHidden/>
            <w:rtl/>
          </w:rPr>
          <w:t>2</w:t>
        </w:r>
        <w:r>
          <w:rPr>
            <w:rStyle w:val="Hyperlink"/>
            <w:noProof/>
            <w:rtl/>
          </w:rPr>
          <w:fldChar w:fldCharType="end"/>
        </w:r>
      </w:hyperlink>
    </w:p>
    <w:p w:rsidR="00F90700" w:rsidRPr="008607E3" w:rsidRDefault="00F90700" w:rsidP="00D52B3E">
      <w:pPr>
        <w:pStyle w:val="TOC3"/>
        <w:tabs>
          <w:tab w:val="right" w:leader="dot" w:pos="7248"/>
        </w:tabs>
        <w:bidi/>
        <w:rPr>
          <w:rFonts w:cs="Arial"/>
          <w:noProof/>
          <w:szCs w:val="22"/>
          <w:rtl/>
          <w:lang w:bidi="fa-IR"/>
        </w:rPr>
      </w:pPr>
      <w:hyperlink w:anchor="_Toc387843094" w:history="1">
        <w:r w:rsidRPr="00F14100">
          <w:rPr>
            <w:rStyle w:val="Hyperlink"/>
            <w:rFonts w:hint="cs"/>
            <w:noProof/>
            <w:rtl/>
          </w:rPr>
          <w:t>سند</w:t>
        </w:r>
        <w:r w:rsidRPr="00F14100">
          <w:rPr>
            <w:rStyle w:val="Hyperlink"/>
            <w:noProof/>
            <w:rtl/>
          </w:rPr>
          <w:t xml:space="preserve"> </w:t>
        </w:r>
        <w:r w:rsidRPr="00F14100">
          <w:rPr>
            <w:rStyle w:val="Hyperlink"/>
            <w:rFonts w:hint="cs"/>
            <w:noProof/>
            <w:rtl/>
          </w:rPr>
          <w:t>الحديث</w:t>
        </w:r>
        <w:r w:rsidRPr="00F14100">
          <w:rPr>
            <w:rStyle w:val="Hyperlink"/>
            <w:noProof/>
            <w:rtl/>
          </w:rPr>
          <w:t xml:space="preserve"> </w:t>
        </w:r>
        <w:r w:rsidRPr="00F14100">
          <w:rPr>
            <w:rStyle w:val="Hyperlink"/>
            <w:rFonts w:hint="cs"/>
            <w:noProof/>
            <w:rtl/>
          </w:rPr>
          <w:t>الثالث</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Toc387843094 \h</w:instrText>
        </w:r>
        <w:r>
          <w:rPr>
            <w:noProof/>
            <w:webHidden/>
            <w:rtl/>
          </w:rPr>
          <w:instrText xml:space="preserve"> </w:instrText>
        </w:r>
        <w:r>
          <w:rPr>
            <w:rStyle w:val="Hyperlink"/>
            <w:noProof/>
            <w:rtl/>
          </w:rPr>
        </w:r>
        <w:r>
          <w:rPr>
            <w:rStyle w:val="Hyperlink"/>
            <w:noProof/>
            <w:rtl/>
          </w:rPr>
          <w:fldChar w:fldCharType="separate"/>
        </w:r>
        <w:r w:rsidR="00755AAC">
          <w:rPr>
            <w:noProof/>
            <w:webHidden/>
            <w:rtl/>
          </w:rPr>
          <w:t>2</w:t>
        </w:r>
        <w:r>
          <w:rPr>
            <w:rStyle w:val="Hyperlink"/>
            <w:noProof/>
            <w:rtl/>
          </w:rPr>
          <w:fldChar w:fldCharType="end"/>
        </w:r>
      </w:hyperlink>
    </w:p>
    <w:p w:rsidR="00F90700" w:rsidRPr="008607E3" w:rsidRDefault="00F90700" w:rsidP="00D52B3E">
      <w:pPr>
        <w:pStyle w:val="TOC3"/>
        <w:tabs>
          <w:tab w:val="right" w:leader="dot" w:pos="7248"/>
        </w:tabs>
        <w:bidi/>
        <w:rPr>
          <w:rFonts w:cs="Arial"/>
          <w:noProof/>
          <w:szCs w:val="22"/>
          <w:rtl/>
          <w:lang w:bidi="fa-IR"/>
        </w:rPr>
      </w:pPr>
      <w:hyperlink w:anchor="_Toc387843095" w:history="1">
        <w:r w:rsidRPr="00F14100">
          <w:rPr>
            <w:rStyle w:val="Hyperlink"/>
            <w:rFonts w:hint="cs"/>
            <w:noProof/>
            <w:rtl/>
          </w:rPr>
          <w:t>متن</w:t>
        </w:r>
        <w:r w:rsidRPr="00F14100">
          <w:rPr>
            <w:rStyle w:val="Hyperlink"/>
            <w:noProof/>
            <w:rtl/>
          </w:rPr>
          <w:t xml:space="preserve"> </w:t>
        </w:r>
        <w:r w:rsidRPr="00F14100">
          <w:rPr>
            <w:rStyle w:val="Hyperlink"/>
            <w:rFonts w:hint="cs"/>
            <w:noProof/>
            <w:rtl/>
          </w:rPr>
          <w:t>الحديث</w:t>
        </w:r>
        <w:r w:rsidRPr="00F14100">
          <w:rPr>
            <w:rStyle w:val="Hyperlink"/>
            <w:noProof/>
            <w:rtl/>
          </w:rPr>
          <w:t xml:space="preserve"> </w:t>
        </w:r>
        <w:r w:rsidRPr="00F14100">
          <w:rPr>
            <w:rStyle w:val="Hyperlink"/>
            <w:rFonts w:hint="cs"/>
            <w:noProof/>
            <w:rtl/>
          </w:rPr>
          <w:t>الثالث</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Toc387843095 \h</w:instrText>
        </w:r>
        <w:r>
          <w:rPr>
            <w:noProof/>
            <w:webHidden/>
            <w:rtl/>
          </w:rPr>
          <w:instrText xml:space="preserve"> </w:instrText>
        </w:r>
        <w:r>
          <w:rPr>
            <w:rStyle w:val="Hyperlink"/>
            <w:noProof/>
            <w:rtl/>
          </w:rPr>
        </w:r>
        <w:r>
          <w:rPr>
            <w:rStyle w:val="Hyperlink"/>
            <w:noProof/>
            <w:rtl/>
          </w:rPr>
          <w:fldChar w:fldCharType="separate"/>
        </w:r>
        <w:r w:rsidR="00755AAC">
          <w:rPr>
            <w:noProof/>
            <w:webHidden/>
            <w:rtl/>
          </w:rPr>
          <w:t>2</w:t>
        </w:r>
        <w:r>
          <w:rPr>
            <w:rStyle w:val="Hyperlink"/>
            <w:noProof/>
            <w:rtl/>
          </w:rPr>
          <w:fldChar w:fldCharType="end"/>
        </w:r>
      </w:hyperlink>
    </w:p>
    <w:p w:rsidR="00F90700" w:rsidRPr="008607E3" w:rsidRDefault="00F90700" w:rsidP="00D52B3E">
      <w:pPr>
        <w:pStyle w:val="TOC3"/>
        <w:tabs>
          <w:tab w:val="right" w:leader="dot" w:pos="7248"/>
        </w:tabs>
        <w:bidi/>
        <w:rPr>
          <w:rFonts w:cs="Arial"/>
          <w:noProof/>
          <w:szCs w:val="22"/>
          <w:rtl/>
          <w:lang w:bidi="fa-IR"/>
        </w:rPr>
      </w:pPr>
      <w:hyperlink w:anchor="_Toc387843096" w:history="1">
        <w:r w:rsidRPr="00F14100">
          <w:rPr>
            <w:rStyle w:val="Hyperlink"/>
            <w:rFonts w:hint="cs"/>
            <w:noProof/>
            <w:rtl/>
          </w:rPr>
          <w:t>تمحيص</w:t>
        </w:r>
        <w:r w:rsidRPr="00F14100">
          <w:rPr>
            <w:rStyle w:val="Hyperlink"/>
            <w:noProof/>
            <w:rtl/>
          </w:rPr>
          <w:t xml:space="preserve"> </w:t>
        </w:r>
        <w:r w:rsidRPr="00F14100">
          <w:rPr>
            <w:rStyle w:val="Hyperlink"/>
            <w:rFonts w:hint="cs"/>
            <w:noProof/>
            <w:rtl/>
          </w:rPr>
          <w:t>سند</w:t>
        </w:r>
        <w:r w:rsidRPr="00F14100">
          <w:rPr>
            <w:rStyle w:val="Hyperlink"/>
            <w:noProof/>
            <w:rtl/>
          </w:rPr>
          <w:t xml:space="preserve"> </w:t>
        </w:r>
        <w:r w:rsidRPr="00F14100">
          <w:rPr>
            <w:rStyle w:val="Hyperlink"/>
            <w:rFonts w:hint="cs"/>
            <w:noProof/>
            <w:rtl/>
          </w:rPr>
          <w:t>الحديث</w:t>
        </w:r>
        <w:r w:rsidRPr="00F14100">
          <w:rPr>
            <w:rStyle w:val="Hyperlink"/>
            <w:noProof/>
            <w:rtl/>
          </w:rPr>
          <w:t xml:space="preserve"> </w:t>
        </w:r>
        <w:r w:rsidRPr="00F14100">
          <w:rPr>
            <w:rStyle w:val="Hyperlink"/>
            <w:rFonts w:hint="cs"/>
            <w:noProof/>
            <w:rtl/>
          </w:rPr>
          <w:t>الرابع</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Toc387843096 \h</w:instrText>
        </w:r>
        <w:r>
          <w:rPr>
            <w:noProof/>
            <w:webHidden/>
            <w:rtl/>
          </w:rPr>
          <w:instrText xml:space="preserve"> </w:instrText>
        </w:r>
        <w:r>
          <w:rPr>
            <w:rStyle w:val="Hyperlink"/>
            <w:noProof/>
            <w:rtl/>
          </w:rPr>
        </w:r>
        <w:r>
          <w:rPr>
            <w:rStyle w:val="Hyperlink"/>
            <w:noProof/>
            <w:rtl/>
          </w:rPr>
          <w:fldChar w:fldCharType="separate"/>
        </w:r>
        <w:r w:rsidR="00755AAC">
          <w:rPr>
            <w:noProof/>
            <w:webHidden/>
            <w:rtl/>
          </w:rPr>
          <w:t>2</w:t>
        </w:r>
        <w:r>
          <w:rPr>
            <w:rStyle w:val="Hyperlink"/>
            <w:noProof/>
            <w:rtl/>
          </w:rPr>
          <w:fldChar w:fldCharType="end"/>
        </w:r>
      </w:hyperlink>
    </w:p>
    <w:p w:rsidR="00F90700" w:rsidRPr="008607E3" w:rsidRDefault="00F90700">
      <w:pPr>
        <w:pStyle w:val="TOC3"/>
        <w:tabs>
          <w:tab w:val="right" w:leader="dot" w:pos="7248"/>
        </w:tabs>
        <w:bidi/>
        <w:rPr>
          <w:rFonts w:cs="Arial"/>
          <w:noProof/>
          <w:szCs w:val="22"/>
          <w:rtl/>
          <w:lang w:bidi="fa-IR"/>
        </w:rPr>
      </w:pPr>
      <w:hyperlink w:anchor="_Toc387843097" w:history="1">
        <w:r w:rsidRPr="00F14100">
          <w:rPr>
            <w:rStyle w:val="Hyperlink"/>
            <w:noProof/>
            <w:rtl/>
          </w:rPr>
          <w:t>[</w:t>
        </w:r>
        <w:r w:rsidRPr="00F14100">
          <w:rPr>
            <w:rStyle w:val="Hyperlink"/>
            <w:rFonts w:hint="cs"/>
            <w:noProof/>
            <w:rtl/>
          </w:rPr>
          <w:t>الأموال</w:t>
        </w:r>
        <w:r w:rsidRPr="00F14100">
          <w:rPr>
            <w:rStyle w:val="Hyperlink"/>
            <w:noProof/>
            <w:rtl/>
          </w:rPr>
          <w:t xml:space="preserve"> </w:t>
        </w:r>
        <w:r w:rsidRPr="00F14100">
          <w:rPr>
            <w:rStyle w:val="Hyperlink"/>
            <w:rFonts w:hint="cs"/>
            <w:noProof/>
            <w:rtl/>
          </w:rPr>
          <w:t>التي</w:t>
        </w:r>
        <w:r w:rsidRPr="00F14100">
          <w:rPr>
            <w:rStyle w:val="Hyperlink"/>
            <w:noProof/>
            <w:rtl/>
          </w:rPr>
          <w:t xml:space="preserve"> </w:t>
        </w:r>
        <w:r w:rsidRPr="00F14100">
          <w:rPr>
            <w:rStyle w:val="Hyperlink"/>
            <w:rFonts w:hint="cs"/>
            <w:noProof/>
            <w:rtl/>
          </w:rPr>
          <w:t>كان</w:t>
        </w:r>
        <w:r w:rsidRPr="00F14100">
          <w:rPr>
            <w:rStyle w:val="Hyperlink"/>
            <w:noProof/>
            <w:rtl/>
          </w:rPr>
          <w:t xml:space="preserve"> </w:t>
        </w:r>
        <w:r w:rsidRPr="00F14100">
          <w:rPr>
            <w:rStyle w:val="Hyperlink"/>
            <w:rFonts w:hint="cs"/>
            <w:noProof/>
            <w:rtl/>
          </w:rPr>
          <w:t>الناس</w:t>
        </w:r>
        <w:r w:rsidRPr="00F14100">
          <w:rPr>
            <w:rStyle w:val="Hyperlink"/>
            <w:noProof/>
            <w:rtl/>
          </w:rPr>
          <w:t xml:space="preserve"> </w:t>
        </w:r>
        <w:r w:rsidRPr="00F14100">
          <w:rPr>
            <w:rStyle w:val="Hyperlink"/>
            <w:rFonts w:hint="cs"/>
            <w:noProof/>
            <w:rtl/>
          </w:rPr>
          <w:t>يدفعونها</w:t>
        </w:r>
        <w:r w:rsidRPr="00F14100">
          <w:rPr>
            <w:rStyle w:val="Hyperlink"/>
            <w:noProof/>
            <w:rtl/>
          </w:rPr>
          <w:t xml:space="preserve"> </w:t>
        </w:r>
        <w:r w:rsidRPr="00F14100">
          <w:rPr>
            <w:rStyle w:val="Hyperlink"/>
            <w:rFonts w:hint="cs"/>
            <w:noProof/>
            <w:rtl/>
          </w:rPr>
          <w:t>إلى</w:t>
        </w:r>
        <w:r w:rsidRPr="00F14100">
          <w:rPr>
            <w:rStyle w:val="Hyperlink"/>
            <w:noProof/>
            <w:rtl/>
          </w:rPr>
          <w:t xml:space="preserve"> </w:t>
        </w:r>
        <w:r w:rsidRPr="00F14100">
          <w:rPr>
            <w:rStyle w:val="Hyperlink"/>
            <w:rFonts w:hint="cs"/>
            <w:noProof/>
            <w:rtl/>
          </w:rPr>
          <w:t>الأئمة</w:t>
        </w:r>
        <w:r w:rsidRPr="00F14100">
          <w:rPr>
            <w:rStyle w:val="Hyperlink"/>
            <w:noProof/>
            <w:rtl/>
          </w:rPr>
          <w:t xml:space="preserve"> </w:t>
        </w:r>
        <w:r w:rsidRPr="00F14100">
          <w:rPr>
            <w:rStyle w:val="Hyperlink"/>
            <w:rFonts w:cs="CTraditional Arabic"/>
            <w:noProof/>
            <w:rtl/>
          </w:rPr>
          <w:t>‡</w:t>
        </w:r>
        <w:r w:rsidRPr="00F14100">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Toc387843097 \h</w:instrText>
        </w:r>
        <w:r>
          <w:rPr>
            <w:noProof/>
            <w:webHidden/>
            <w:rtl/>
          </w:rPr>
          <w:instrText xml:space="preserve"> </w:instrText>
        </w:r>
        <w:r>
          <w:rPr>
            <w:rStyle w:val="Hyperlink"/>
            <w:noProof/>
            <w:rtl/>
          </w:rPr>
        </w:r>
        <w:r>
          <w:rPr>
            <w:rStyle w:val="Hyperlink"/>
            <w:noProof/>
            <w:rtl/>
          </w:rPr>
          <w:fldChar w:fldCharType="separate"/>
        </w:r>
        <w:r w:rsidR="00755AAC">
          <w:rPr>
            <w:noProof/>
            <w:webHidden/>
            <w:rtl/>
          </w:rPr>
          <w:t>2</w:t>
        </w:r>
        <w:r>
          <w:rPr>
            <w:rStyle w:val="Hyperlink"/>
            <w:noProof/>
            <w:rtl/>
          </w:rPr>
          <w:fldChar w:fldCharType="end"/>
        </w:r>
      </w:hyperlink>
    </w:p>
    <w:p w:rsidR="00F90700" w:rsidRPr="008607E3" w:rsidRDefault="00F90700">
      <w:pPr>
        <w:pStyle w:val="TOC2"/>
        <w:rPr>
          <w:rFonts w:ascii="Calibri" w:hAnsi="Calibri" w:cs="Arial"/>
          <w:noProof/>
          <w:sz w:val="22"/>
          <w:szCs w:val="22"/>
          <w:rtl/>
          <w:lang w:eastAsia="en-US" w:bidi="fa-IR"/>
        </w:rPr>
      </w:pPr>
      <w:hyperlink w:anchor="_Toc387843098" w:history="1">
        <w:r w:rsidRPr="00F14100">
          <w:rPr>
            <w:rStyle w:val="Hyperlink"/>
            <w:noProof/>
            <w:rtl/>
          </w:rPr>
          <w:t xml:space="preserve">5- </w:t>
        </w:r>
        <w:r w:rsidRPr="00F14100">
          <w:rPr>
            <w:rStyle w:val="Hyperlink"/>
            <w:rFonts w:hint="cs"/>
            <w:noProof/>
            <w:rtl/>
          </w:rPr>
          <w:t>التحقيق</w:t>
        </w:r>
        <w:r w:rsidRPr="00F14100">
          <w:rPr>
            <w:rStyle w:val="Hyperlink"/>
            <w:noProof/>
            <w:rtl/>
          </w:rPr>
          <w:t xml:space="preserve"> </w:t>
        </w:r>
        <w:r w:rsidRPr="00F14100">
          <w:rPr>
            <w:rStyle w:val="Hyperlink"/>
            <w:rFonts w:hint="cs"/>
            <w:noProof/>
            <w:rtl/>
          </w:rPr>
          <w:t>في</w:t>
        </w:r>
        <w:r w:rsidRPr="00F14100">
          <w:rPr>
            <w:rStyle w:val="Hyperlink"/>
            <w:noProof/>
            <w:rtl/>
          </w:rPr>
          <w:t xml:space="preserve"> </w:t>
        </w:r>
        <w:r w:rsidRPr="00F14100">
          <w:rPr>
            <w:rStyle w:val="Hyperlink"/>
            <w:rFonts w:hint="cs"/>
            <w:noProof/>
            <w:rtl/>
          </w:rPr>
          <w:t>خمس</w:t>
        </w:r>
        <w:r w:rsidRPr="00F14100">
          <w:rPr>
            <w:rStyle w:val="Hyperlink"/>
            <w:noProof/>
            <w:rtl/>
          </w:rPr>
          <w:t xml:space="preserve"> </w:t>
        </w:r>
        <w:r w:rsidRPr="00F14100">
          <w:rPr>
            <w:rStyle w:val="Hyperlink"/>
            <w:rFonts w:hint="cs"/>
            <w:noProof/>
            <w:rtl/>
          </w:rPr>
          <w:t>آل</w:t>
        </w:r>
        <w:r w:rsidRPr="00F14100">
          <w:rPr>
            <w:rStyle w:val="Hyperlink"/>
            <w:noProof/>
            <w:rtl/>
          </w:rPr>
          <w:t xml:space="preserve"> </w:t>
        </w:r>
        <w:r w:rsidRPr="00F14100">
          <w:rPr>
            <w:rStyle w:val="Hyperlink"/>
            <w:rFonts w:hint="cs"/>
            <w:noProof/>
            <w:rtl/>
          </w:rPr>
          <w:t>محمد</w:t>
        </w:r>
        <w:r w:rsidRPr="00F14100">
          <w:rPr>
            <w:rStyle w:val="Hyperlink"/>
            <w:noProof/>
            <w:rtl/>
          </w:rPr>
          <w:t xml:space="preserve"> </w:t>
        </w:r>
        <w:r w:rsidRPr="00F14100">
          <w:rPr>
            <w:rStyle w:val="Hyperlink"/>
            <w:rFonts w:cs="CTraditional Arabic"/>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Toc387843098 \h</w:instrText>
        </w:r>
        <w:r>
          <w:rPr>
            <w:noProof/>
            <w:webHidden/>
            <w:rtl/>
          </w:rPr>
          <w:instrText xml:space="preserve"> </w:instrText>
        </w:r>
        <w:r>
          <w:rPr>
            <w:rStyle w:val="Hyperlink"/>
            <w:noProof/>
            <w:rtl/>
          </w:rPr>
        </w:r>
        <w:r>
          <w:rPr>
            <w:rStyle w:val="Hyperlink"/>
            <w:noProof/>
            <w:rtl/>
          </w:rPr>
          <w:fldChar w:fldCharType="separate"/>
        </w:r>
        <w:r w:rsidR="00755AAC">
          <w:rPr>
            <w:noProof/>
            <w:webHidden/>
            <w:rtl/>
          </w:rPr>
          <w:t>2</w:t>
        </w:r>
        <w:r>
          <w:rPr>
            <w:rStyle w:val="Hyperlink"/>
            <w:noProof/>
            <w:rtl/>
          </w:rPr>
          <w:fldChar w:fldCharType="end"/>
        </w:r>
      </w:hyperlink>
    </w:p>
    <w:p w:rsidR="00F90700" w:rsidRPr="008607E3" w:rsidRDefault="00F90700">
      <w:pPr>
        <w:pStyle w:val="TOC2"/>
        <w:rPr>
          <w:rFonts w:ascii="Calibri" w:hAnsi="Calibri" w:cs="Arial"/>
          <w:noProof/>
          <w:sz w:val="22"/>
          <w:szCs w:val="22"/>
          <w:rtl/>
          <w:lang w:eastAsia="en-US" w:bidi="fa-IR"/>
        </w:rPr>
      </w:pPr>
      <w:hyperlink w:anchor="_Toc387843099" w:history="1">
        <w:r w:rsidRPr="00F14100">
          <w:rPr>
            <w:rStyle w:val="Hyperlink"/>
            <w:noProof/>
            <w:rtl/>
          </w:rPr>
          <w:t xml:space="preserve">6- </w:t>
        </w:r>
        <w:r w:rsidRPr="00F14100">
          <w:rPr>
            <w:rStyle w:val="Hyperlink"/>
            <w:rFonts w:hint="cs"/>
            <w:noProof/>
            <w:rtl/>
          </w:rPr>
          <w:t>دفع</w:t>
        </w:r>
        <w:r w:rsidRPr="00F14100">
          <w:rPr>
            <w:rStyle w:val="Hyperlink"/>
            <w:noProof/>
            <w:rtl/>
          </w:rPr>
          <w:t xml:space="preserve"> </w:t>
        </w:r>
        <w:r w:rsidRPr="00F14100">
          <w:rPr>
            <w:rStyle w:val="Hyperlink"/>
            <w:rFonts w:hint="cs"/>
            <w:noProof/>
            <w:rtl/>
          </w:rPr>
          <w:t>الخمس</w:t>
        </w:r>
        <w:r w:rsidRPr="00F14100">
          <w:rPr>
            <w:rStyle w:val="Hyperlink"/>
            <w:noProof/>
            <w:rtl/>
          </w:rPr>
          <w:t xml:space="preserve"> </w:t>
        </w:r>
        <w:r w:rsidRPr="00F14100">
          <w:rPr>
            <w:rStyle w:val="Hyperlink"/>
            <w:rFonts w:hint="cs"/>
            <w:noProof/>
            <w:rtl/>
          </w:rPr>
          <w:t>في</w:t>
        </w:r>
        <w:r w:rsidRPr="00F14100">
          <w:rPr>
            <w:rStyle w:val="Hyperlink"/>
            <w:noProof/>
            <w:rtl/>
          </w:rPr>
          <w:t xml:space="preserve"> </w:t>
        </w:r>
        <w:r w:rsidRPr="00F14100">
          <w:rPr>
            <w:rStyle w:val="Hyperlink"/>
            <w:rFonts w:hint="cs"/>
            <w:noProof/>
            <w:rtl/>
          </w:rPr>
          <w:t>زمن</w:t>
        </w:r>
        <w:r w:rsidRPr="00F14100">
          <w:rPr>
            <w:rStyle w:val="Hyperlink"/>
            <w:noProof/>
            <w:rtl/>
          </w:rPr>
          <w:t xml:space="preserve"> </w:t>
        </w:r>
        <w:r w:rsidRPr="00F14100">
          <w:rPr>
            <w:rStyle w:val="Hyperlink"/>
            <w:rFonts w:hint="cs"/>
            <w:noProof/>
            <w:rtl/>
          </w:rPr>
          <w:t>الغيبة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Toc387843099 \h</w:instrText>
        </w:r>
        <w:r>
          <w:rPr>
            <w:noProof/>
            <w:webHidden/>
            <w:rtl/>
          </w:rPr>
          <w:instrText xml:space="preserve"> </w:instrText>
        </w:r>
        <w:r>
          <w:rPr>
            <w:rStyle w:val="Hyperlink"/>
            <w:noProof/>
            <w:rtl/>
          </w:rPr>
        </w:r>
        <w:r>
          <w:rPr>
            <w:rStyle w:val="Hyperlink"/>
            <w:noProof/>
            <w:rtl/>
          </w:rPr>
          <w:fldChar w:fldCharType="separate"/>
        </w:r>
        <w:r w:rsidR="00755AAC">
          <w:rPr>
            <w:noProof/>
            <w:webHidden/>
            <w:rtl/>
          </w:rPr>
          <w:t>2</w:t>
        </w:r>
        <w:r>
          <w:rPr>
            <w:rStyle w:val="Hyperlink"/>
            <w:noProof/>
            <w:rtl/>
          </w:rPr>
          <w:fldChar w:fldCharType="end"/>
        </w:r>
      </w:hyperlink>
    </w:p>
    <w:p w:rsidR="00F90700" w:rsidRPr="008607E3" w:rsidRDefault="00F90700">
      <w:pPr>
        <w:pStyle w:val="TOC2"/>
        <w:rPr>
          <w:rFonts w:ascii="Calibri" w:hAnsi="Calibri" w:cs="Arial"/>
          <w:noProof/>
          <w:sz w:val="22"/>
          <w:szCs w:val="22"/>
          <w:rtl/>
          <w:lang w:eastAsia="en-US" w:bidi="fa-IR"/>
        </w:rPr>
      </w:pPr>
      <w:hyperlink w:anchor="_Toc387843100" w:history="1">
        <w:r w:rsidRPr="00F14100">
          <w:rPr>
            <w:rStyle w:val="Hyperlink"/>
            <w:noProof/>
            <w:rtl/>
          </w:rPr>
          <w:t xml:space="preserve">7- </w:t>
        </w:r>
        <w:r w:rsidRPr="00F14100">
          <w:rPr>
            <w:rStyle w:val="Hyperlink"/>
            <w:rFonts w:hint="cs"/>
            <w:noProof/>
            <w:rtl/>
          </w:rPr>
          <w:t>مصرف</w:t>
        </w:r>
        <w:r w:rsidRPr="00F14100">
          <w:rPr>
            <w:rStyle w:val="Hyperlink"/>
            <w:noProof/>
            <w:rtl/>
          </w:rPr>
          <w:t xml:space="preserve"> </w:t>
        </w:r>
        <w:r w:rsidRPr="00F14100">
          <w:rPr>
            <w:rStyle w:val="Hyperlink"/>
            <w:rFonts w:hint="cs"/>
            <w:noProof/>
            <w:rtl/>
          </w:rPr>
          <w:t>سهم</w:t>
        </w:r>
        <w:r w:rsidRPr="00F14100">
          <w:rPr>
            <w:rStyle w:val="Hyperlink"/>
            <w:noProof/>
            <w:rtl/>
          </w:rPr>
          <w:t xml:space="preserve"> </w:t>
        </w:r>
        <w:r w:rsidRPr="00F14100">
          <w:rPr>
            <w:rStyle w:val="Hyperlink"/>
            <w:rFonts w:hint="cs"/>
            <w:noProof/>
            <w:rtl/>
          </w:rPr>
          <w:t>الإمام</w:t>
        </w:r>
        <w:r w:rsidRPr="00F14100">
          <w:rPr>
            <w:rStyle w:val="Hyperlink"/>
            <w:noProof/>
            <w:rtl/>
          </w:rPr>
          <w:t xml:space="preserve"> </w:t>
        </w:r>
        <w:r w:rsidRPr="00F14100">
          <w:rPr>
            <w:rStyle w:val="Hyperlink"/>
            <w:rFonts w:cs="CTraditional Arabic"/>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Toc387843100 \h</w:instrText>
        </w:r>
        <w:r>
          <w:rPr>
            <w:noProof/>
            <w:webHidden/>
            <w:rtl/>
          </w:rPr>
          <w:instrText xml:space="preserve"> </w:instrText>
        </w:r>
        <w:r>
          <w:rPr>
            <w:rStyle w:val="Hyperlink"/>
            <w:noProof/>
            <w:rtl/>
          </w:rPr>
        </w:r>
        <w:r>
          <w:rPr>
            <w:rStyle w:val="Hyperlink"/>
            <w:noProof/>
            <w:rtl/>
          </w:rPr>
          <w:fldChar w:fldCharType="separate"/>
        </w:r>
        <w:r w:rsidR="00755AAC">
          <w:rPr>
            <w:noProof/>
            <w:webHidden/>
            <w:rtl/>
          </w:rPr>
          <w:t>2</w:t>
        </w:r>
        <w:r>
          <w:rPr>
            <w:rStyle w:val="Hyperlink"/>
            <w:noProof/>
            <w:rtl/>
          </w:rPr>
          <w:fldChar w:fldCharType="end"/>
        </w:r>
      </w:hyperlink>
    </w:p>
    <w:p w:rsidR="00F90700" w:rsidRPr="008607E3" w:rsidRDefault="00F90700">
      <w:pPr>
        <w:pStyle w:val="TOC1"/>
        <w:tabs>
          <w:tab w:val="right" w:leader="dot" w:pos="7248"/>
        </w:tabs>
        <w:rPr>
          <w:rFonts w:ascii="Calibri" w:hAnsi="Calibri" w:cs="Arial"/>
          <w:bCs w:val="0"/>
          <w:noProof/>
          <w:sz w:val="22"/>
          <w:szCs w:val="22"/>
          <w:rtl/>
          <w:lang w:eastAsia="en-US" w:bidi="fa-IR"/>
        </w:rPr>
      </w:pPr>
      <w:hyperlink w:anchor="_Toc387843101" w:history="1">
        <w:r w:rsidRPr="00F14100">
          <w:rPr>
            <w:rStyle w:val="Hyperlink"/>
            <w:rFonts w:hint="cs"/>
            <w:noProof/>
            <w:rtl/>
          </w:rPr>
          <w:t>الفصل</w:t>
        </w:r>
        <w:r w:rsidRPr="00F14100">
          <w:rPr>
            <w:rStyle w:val="Hyperlink"/>
            <w:noProof/>
            <w:rtl/>
          </w:rPr>
          <w:t xml:space="preserve"> </w:t>
        </w:r>
        <w:r w:rsidRPr="00F14100">
          <w:rPr>
            <w:rStyle w:val="Hyperlink"/>
            <w:rFonts w:hint="cs"/>
            <w:noProof/>
            <w:rtl/>
          </w:rPr>
          <w:t>السابع</w:t>
        </w:r>
        <w:r w:rsidR="00D52B3E">
          <w:rPr>
            <w:rStyle w:val="Hyperlink"/>
            <w:rFonts w:hint="cs"/>
            <w:noProof/>
            <w:rtl/>
          </w:rPr>
          <w:t>:</w:t>
        </w:r>
        <w:r w:rsidRPr="00F14100">
          <w:rPr>
            <w:rStyle w:val="Hyperlink"/>
            <w:noProof/>
            <w:rtl/>
          </w:rPr>
          <w:t xml:space="preserve"> </w:t>
        </w:r>
        <w:r w:rsidRPr="00F14100">
          <w:rPr>
            <w:rStyle w:val="Hyperlink"/>
            <w:rFonts w:hint="cs"/>
            <w:noProof/>
            <w:rtl/>
          </w:rPr>
          <w:t>فتاوى</w:t>
        </w:r>
        <w:r w:rsidRPr="00F14100">
          <w:rPr>
            <w:rStyle w:val="Hyperlink"/>
            <w:noProof/>
            <w:rtl/>
          </w:rPr>
          <w:t xml:space="preserve"> </w:t>
        </w:r>
        <w:r w:rsidRPr="00F14100">
          <w:rPr>
            <w:rStyle w:val="Hyperlink"/>
            <w:rFonts w:hint="cs"/>
            <w:noProof/>
            <w:rtl/>
          </w:rPr>
          <w:t>سقوط</w:t>
        </w:r>
        <w:r w:rsidRPr="00F14100">
          <w:rPr>
            <w:rStyle w:val="Hyperlink"/>
            <w:noProof/>
            <w:rtl/>
          </w:rPr>
          <w:t xml:space="preserve"> «</w:t>
        </w:r>
        <w:r w:rsidRPr="00F14100">
          <w:rPr>
            <w:rStyle w:val="Hyperlink"/>
            <w:rFonts w:hint="cs"/>
            <w:noProof/>
            <w:rtl/>
          </w:rPr>
          <w:t>الخُمْس</w:t>
        </w:r>
        <w:r w:rsidRPr="00F14100">
          <w:rPr>
            <w:rStyle w:val="Hyperlink"/>
            <w:rFonts w:hint="eastAsia"/>
            <w:noProof/>
            <w:rtl/>
          </w:rPr>
          <w:t>»</w:t>
        </w:r>
        <w:r w:rsidRPr="00F14100">
          <w:rPr>
            <w:rStyle w:val="Hyperlink"/>
            <w:noProof/>
            <w:rtl/>
          </w:rPr>
          <w:t xml:space="preserve"> </w:t>
        </w:r>
        <w:r w:rsidRPr="00F14100">
          <w:rPr>
            <w:rStyle w:val="Hyperlink"/>
            <w:rFonts w:hint="cs"/>
            <w:noProof/>
            <w:rtl/>
          </w:rPr>
          <w:t>وإباحته</w:t>
        </w:r>
        <w:r w:rsidRPr="00F14100">
          <w:rPr>
            <w:rStyle w:val="Hyperlink"/>
            <w:noProof/>
            <w:rtl/>
          </w:rPr>
          <w:t xml:space="preserve"> </w:t>
        </w:r>
        <w:r w:rsidRPr="00F14100">
          <w:rPr>
            <w:rStyle w:val="Hyperlink"/>
            <w:rFonts w:hint="cs"/>
            <w:noProof/>
            <w:rtl/>
          </w:rPr>
          <w:t>في</w:t>
        </w:r>
        <w:r w:rsidRPr="00F14100">
          <w:rPr>
            <w:rStyle w:val="Hyperlink"/>
            <w:noProof/>
            <w:rtl/>
          </w:rPr>
          <w:t xml:space="preserve"> </w:t>
        </w:r>
        <w:r w:rsidRPr="00F14100">
          <w:rPr>
            <w:rStyle w:val="Hyperlink"/>
            <w:rFonts w:hint="cs"/>
            <w:noProof/>
            <w:rtl/>
          </w:rPr>
          <w:t>زمن</w:t>
        </w:r>
        <w:r w:rsidRPr="00F14100">
          <w:rPr>
            <w:rStyle w:val="Hyperlink"/>
            <w:noProof/>
            <w:rtl/>
          </w:rPr>
          <w:t xml:space="preserve"> </w:t>
        </w:r>
        <w:r w:rsidRPr="00F14100">
          <w:rPr>
            <w:rStyle w:val="Hyperlink"/>
            <w:rFonts w:hint="cs"/>
            <w:noProof/>
            <w:rtl/>
          </w:rPr>
          <w:t>الغيبة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Toc387843101 \h</w:instrText>
        </w:r>
        <w:r>
          <w:rPr>
            <w:noProof/>
            <w:webHidden/>
            <w:rtl/>
          </w:rPr>
          <w:instrText xml:space="preserve"> </w:instrText>
        </w:r>
        <w:r>
          <w:rPr>
            <w:rStyle w:val="Hyperlink"/>
            <w:noProof/>
            <w:rtl/>
          </w:rPr>
        </w:r>
        <w:r>
          <w:rPr>
            <w:rStyle w:val="Hyperlink"/>
            <w:noProof/>
            <w:rtl/>
          </w:rPr>
          <w:fldChar w:fldCharType="separate"/>
        </w:r>
        <w:r w:rsidR="00755AAC">
          <w:rPr>
            <w:noProof/>
            <w:webHidden/>
            <w:rtl/>
          </w:rPr>
          <w:t>2</w:t>
        </w:r>
        <w:r>
          <w:rPr>
            <w:rStyle w:val="Hyperlink"/>
            <w:noProof/>
            <w:rtl/>
          </w:rPr>
          <w:fldChar w:fldCharType="end"/>
        </w:r>
      </w:hyperlink>
    </w:p>
    <w:p w:rsidR="00F90700" w:rsidRPr="008607E3" w:rsidRDefault="00F90700">
      <w:pPr>
        <w:pStyle w:val="TOC2"/>
        <w:rPr>
          <w:rFonts w:ascii="Calibri" w:hAnsi="Calibri" w:cs="Arial"/>
          <w:noProof/>
          <w:sz w:val="22"/>
          <w:szCs w:val="22"/>
          <w:rtl/>
          <w:lang w:eastAsia="en-US" w:bidi="fa-IR"/>
        </w:rPr>
      </w:pPr>
      <w:hyperlink w:anchor="_Toc387843102" w:history="1">
        <w:r w:rsidRPr="00F14100">
          <w:rPr>
            <w:rStyle w:val="Hyperlink"/>
            <w:noProof/>
            <w:rtl/>
          </w:rPr>
          <w:t xml:space="preserve">1- </w:t>
        </w:r>
        <w:r w:rsidRPr="00F14100">
          <w:rPr>
            <w:rStyle w:val="Hyperlink"/>
            <w:rFonts w:hint="cs"/>
            <w:noProof/>
            <w:rtl/>
          </w:rPr>
          <w:t>ابن</w:t>
        </w:r>
        <w:r w:rsidRPr="00F14100">
          <w:rPr>
            <w:rStyle w:val="Hyperlink"/>
            <w:noProof/>
            <w:rtl/>
          </w:rPr>
          <w:t xml:space="preserve"> </w:t>
        </w:r>
        <w:r w:rsidRPr="00F14100">
          <w:rPr>
            <w:rStyle w:val="Hyperlink"/>
            <w:rFonts w:hint="cs"/>
            <w:noProof/>
            <w:rtl/>
          </w:rPr>
          <w:t>أبي</w:t>
        </w:r>
        <w:r w:rsidRPr="00F14100">
          <w:rPr>
            <w:rStyle w:val="Hyperlink"/>
            <w:noProof/>
            <w:rtl/>
          </w:rPr>
          <w:t xml:space="preserve"> </w:t>
        </w:r>
        <w:r w:rsidRPr="00F14100">
          <w:rPr>
            <w:rStyle w:val="Hyperlink"/>
            <w:rFonts w:hint="cs"/>
            <w:noProof/>
            <w:rtl/>
          </w:rPr>
          <w:t>عقيل</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Toc387843102 \h</w:instrText>
        </w:r>
        <w:r>
          <w:rPr>
            <w:noProof/>
            <w:webHidden/>
            <w:rtl/>
          </w:rPr>
          <w:instrText xml:space="preserve"> </w:instrText>
        </w:r>
        <w:r>
          <w:rPr>
            <w:rStyle w:val="Hyperlink"/>
            <w:noProof/>
            <w:rtl/>
          </w:rPr>
        </w:r>
        <w:r>
          <w:rPr>
            <w:rStyle w:val="Hyperlink"/>
            <w:noProof/>
            <w:rtl/>
          </w:rPr>
          <w:fldChar w:fldCharType="separate"/>
        </w:r>
        <w:r w:rsidR="00755AAC">
          <w:rPr>
            <w:noProof/>
            <w:webHidden/>
            <w:rtl/>
          </w:rPr>
          <w:t>2</w:t>
        </w:r>
        <w:r>
          <w:rPr>
            <w:rStyle w:val="Hyperlink"/>
            <w:noProof/>
            <w:rtl/>
          </w:rPr>
          <w:fldChar w:fldCharType="end"/>
        </w:r>
      </w:hyperlink>
    </w:p>
    <w:p w:rsidR="00F90700" w:rsidRPr="008607E3" w:rsidRDefault="00F90700">
      <w:pPr>
        <w:pStyle w:val="TOC2"/>
        <w:rPr>
          <w:rFonts w:ascii="Calibri" w:hAnsi="Calibri" w:cs="Arial"/>
          <w:noProof/>
          <w:sz w:val="22"/>
          <w:szCs w:val="22"/>
          <w:rtl/>
          <w:lang w:eastAsia="en-US" w:bidi="fa-IR"/>
        </w:rPr>
      </w:pPr>
      <w:hyperlink w:anchor="_Toc387843103" w:history="1">
        <w:r w:rsidRPr="00F14100">
          <w:rPr>
            <w:rStyle w:val="Hyperlink"/>
            <w:noProof/>
            <w:rtl/>
          </w:rPr>
          <w:t xml:space="preserve">2- </w:t>
        </w:r>
        <w:r w:rsidRPr="00F14100">
          <w:rPr>
            <w:rStyle w:val="Hyperlink"/>
            <w:rFonts w:hint="cs"/>
            <w:noProof/>
            <w:rtl/>
          </w:rPr>
          <w:t>ابن</w:t>
        </w:r>
        <w:r w:rsidRPr="00F14100">
          <w:rPr>
            <w:rStyle w:val="Hyperlink"/>
            <w:noProof/>
            <w:rtl/>
          </w:rPr>
          <w:t xml:space="preserve"> </w:t>
        </w:r>
        <w:r w:rsidRPr="00F14100">
          <w:rPr>
            <w:rStyle w:val="Hyperlink"/>
            <w:rFonts w:hint="cs"/>
            <w:noProof/>
            <w:rtl/>
          </w:rPr>
          <w:t>الجُنَيْد</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Toc387843103 \h</w:instrText>
        </w:r>
        <w:r>
          <w:rPr>
            <w:noProof/>
            <w:webHidden/>
            <w:rtl/>
          </w:rPr>
          <w:instrText xml:space="preserve"> </w:instrText>
        </w:r>
        <w:r>
          <w:rPr>
            <w:rStyle w:val="Hyperlink"/>
            <w:noProof/>
            <w:rtl/>
          </w:rPr>
        </w:r>
        <w:r>
          <w:rPr>
            <w:rStyle w:val="Hyperlink"/>
            <w:noProof/>
            <w:rtl/>
          </w:rPr>
          <w:fldChar w:fldCharType="separate"/>
        </w:r>
        <w:r w:rsidR="00755AAC">
          <w:rPr>
            <w:noProof/>
            <w:webHidden/>
            <w:rtl/>
          </w:rPr>
          <w:t>2</w:t>
        </w:r>
        <w:r>
          <w:rPr>
            <w:rStyle w:val="Hyperlink"/>
            <w:noProof/>
            <w:rtl/>
          </w:rPr>
          <w:fldChar w:fldCharType="end"/>
        </w:r>
      </w:hyperlink>
    </w:p>
    <w:p w:rsidR="00F90700" w:rsidRPr="008607E3" w:rsidRDefault="00F90700">
      <w:pPr>
        <w:pStyle w:val="TOC2"/>
        <w:rPr>
          <w:rFonts w:ascii="Calibri" w:hAnsi="Calibri" w:cs="Arial"/>
          <w:noProof/>
          <w:sz w:val="22"/>
          <w:szCs w:val="22"/>
          <w:rtl/>
          <w:lang w:eastAsia="en-US" w:bidi="fa-IR"/>
        </w:rPr>
      </w:pPr>
      <w:hyperlink w:anchor="_Toc387843104" w:history="1">
        <w:r w:rsidRPr="00F14100">
          <w:rPr>
            <w:rStyle w:val="Hyperlink"/>
            <w:noProof/>
            <w:rtl/>
          </w:rPr>
          <w:t xml:space="preserve">3- </w:t>
        </w:r>
        <w:r w:rsidRPr="00F14100">
          <w:rPr>
            <w:rStyle w:val="Hyperlink"/>
            <w:rFonts w:hint="cs"/>
            <w:noProof/>
            <w:rtl/>
          </w:rPr>
          <w:t>الإسكافي</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Toc387843104 \h</w:instrText>
        </w:r>
        <w:r>
          <w:rPr>
            <w:noProof/>
            <w:webHidden/>
            <w:rtl/>
          </w:rPr>
          <w:instrText xml:space="preserve"> </w:instrText>
        </w:r>
        <w:r>
          <w:rPr>
            <w:rStyle w:val="Hyperlink"/>
            <w:noProof/>
            <w:rtl/>
          </w:rPr>
        </w:r>
        <w:r>
          <w:rPr>
            <w:rStyle w:val="Hyperlink"/>
            <w:noProof/>
            <w:rtl/>
          </w:rPr>
          <w:fldChar w:fldCharType="separate"/>
        </w:r>
        <w:r w:rsidR="00755AAC">
          <w:rPr>
            <w:noProof/>
            <w:webHidden/>
            <w:rtl/>
          </w:rPr>
          <w:t>2</w:t>
        </w:r>
        <w:r>
          <w:rPr>
            <w:rStyle w:val="Hyperlink"/>
            <w:noProof/>
            <w:rtl/>
          </w:rPr>
          <w:fldChar w:fldCharType="end"/>
        </w:r>
      </w:hyperlink>
    </w:p>
    <w:p w:rsidR="00F90700" w:rsidRPr="008607E3" w:rsidRDefault="00F90700">
      <w:pPr>
        <w:pStyle w:val="TOC2"/>
        <w:rPr>
          <w:rFonts w:ascii="Calibri" w:hAnsi="Calibri" w:cs="Arial"/>
          <w:noProof/>
          <w:sz w:val="22"/>
          <w:szCs w:val="22"/>
          <w:rtl/>
          <w:lang w:eastAsia="en-US" w:bidi="fa-IR"/>
        </w:rPr>
      </w:pPr>
      <w:hyperlink w:anchor="_Toc387843105" w:history="1">
        <w:r w:rsidRPr="00F14100">
          <w:rPr>
            <w:rStyle w:val="Hyperlink"/>
            <w:noProof/>
            <w:rtl/>
          </w:rPr>
          <w:t xml:space="preserve">4- </w:t>
        </w:r>
        <w:r w:rsidRPr="00F14100">
          <w:rPr>
            <w:rStyle w:val="Hyperlink"/>
            <w:rFonts w:hint="cs"/>
            <w:noProof/>
            <w:rtl/>
          </w:rPr>
          <w:t>الشيخ</w:t>
        </w:r>
        <w:r w:rsidRPr="00F14100">
          <w:rPr>
            <w:rStyle w:val="Hyperlink"/>
            <w:noProof/>
            <w:rtl/>
          </w:rPr>
          <w:t xml:space="preserve"> </w:t>
        </w:r>
        <w:r w:rsidRPr="00F14100">
          <w:rPr>
            <w:rStyle w:val="Hyperlink"/>
            <w:rFonts w:hint="cs"/>
            <w:noProof/>
            <w:rtl/>
          </w:rPr>
          <w:t>الصدوق</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Toc387843105 \h</w:instrText>
        </w:r>
        <w:r>
          <w:rPr>
            <w:noProof/>
            <w:webHidden/>
            <w:rtl/>
          </w:rPr>
          <w:instrText xml:space="preserve"> </w:instrText>
        </w:r>
        <w:r>
          <w:rPr>
            <w:rStyle w:val="Hyperlink"/>
            <w:noProof/>
            <w:rtl/>
          </w:rPr>
        </w:r>
        <w:r>
          <w:rPr>
            <w:rStyle w:val="Hyperlink"/>
            <w:noProof/>
            <w:rtl/>
          </w:rPr>
          <w:fldChar w:fldCharType="separate"/>
        </w:r>
        <w:r w:rsidR="00755AAC">
          <w:rPr>
            <w:noProof/>
            <w:webHidden/>
            <w:rtl/>
          </w:rPr>
          <w:t>2</w:t>
        </w:r>
        <w:r>
          <w:rPr>
            <w:rStyle w:val="Hyperlink"/>
            <w:noProof/>
            <w:rtl/>
          </w:rPr>
          <w:fldChar w:fldCharType="end"/>
        </w:r>
      </w:hyperlink>
    </w:p>
    <w:p w:rsidR="00F90700" w:rsidRPr="008607E3" w:rsidRDefault="00F90700">
      <w:pPr>
        <w:pStyle w:val="TOC2"/>
        <w:rPr>
          <w:rFonts w:ascii="Calibri" w:hAnsi="Calibri" w:cs="Arial"/>
          <w:noProof/>
          <w:sz w:val="22"/>
          <w:szCs w:val="22"/>
          <w:rtl/>
          <w:lang w:eastAsia="en-US" w:bidi="fa-IR"/>
        </w:rPr>
      </w:pPr>
      <w:hyperlink w:anchor="_Toc387843106" w:history="1">
        <w:r w:rsidRPr="00F14100">
          <w:rPr>
            <w:rStyle w:val="Hyperlink"/>
            <w:noProof/>
            <w:rtl/>
          </w:rPr>
          <w:t xml:space="preserve">5- </w:t>
        </w:r>
        <w:r w:rsidRPr="00F14100">
          <w:rPr>
            <w:rStyle w:val="Hyperlink"/>
            <w:rFonts w:hint="cs"/>
            <w:noProof/>
            <w:rtl/>
          </w:rPr>
          <w:t>الشيخ</w:t>
        </w:r>
        <w:r w:rsidRPr="00F14100">
          <w:rPr>
            <w:rStyle w:val="Hyperlink"/>
            <w:noProof/>
            <w:rtl/>
          </w:rPr>
          <w:t xml:space="preserve">  </w:t>
        </w:r>
        <w:r w:rsidRPr="00F14100">
          <w:rPr>
            <w:rStyle w:val="Hyperlink"/>
            <w:rFonts w:hint="cs"/>
            <w:noProof/>
            <w:rtl/>
          </w:rPr>
          <w:t>الطوسي</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Toc387843106 \h</w:instrText>
        </w:r>
        <w:r>
          <w:rPr>
            <w:noProof/>
            <w:webHidden/>
            <w:rtl/>
          </w:rPr>
          <w:instrText xml:space="preserve"> </w:instrText>
        </w:r>
        <w:r>
          <w:rPr>
            <w:rStyle w:val="Hyperlink"/>
            <w:noProof/>
            <w:rtl/>
          </w:rPr>
        </w:r>
        <w:r>
          <w:rPr>
            <w:rStyle w:val="Hyperlink"/>
            <w:noProof/>
            <w:rtl/>
          </w:rPr>
          <w:fldChar w:fldCharType="separate"/>
        </w:r>
        <w:r w:rsidR="00755AAC">
          <w:rPr>
            <w:noProof/>
            <w:webHidden/>
            <w:rtl/>
          </w:rPr>
          <w:t>2</w:t>
        </w:r>
        <w:r>
          <w:rPr>
            <w:rStyle w:val="Hyperlink"/>
            <w:noProof/>
            <w:rtl/>
          </w:rPr>
          <w:fldChar w:fldCharType="end"/>
        </w:r>
      </w:hyperlink>
    </w:p>
    <w:p w:rsidR="00F90700" w:rsidRPr="008607E3" w:rsidRDefault="00F90700">
      <w:pPr>
        <w:pStyle w:val="TOC2"/>
        <w:rPr>
          <w:rFonts w:ascii="Calibri" w:hAnsi="Calibri" w:cs="Arial"/>
          <w:noProof/>
          <w:sz w:val="22"/>
          <w:szCs w:val="22"/>
          <w:rtl/>
          <w:lang w:eastAsia="en-US" w:bidi="fa-IR"/>
        </w:rPr>
      </w:pPr>
      <w:hyperlink w:anchor="_Toc387843107" w:history="1">
        <w:r w:rsidRPr="00F14100">
          <w:rPr>
            <w:rStyle w:val="Hyperlink"/>
            <w:noProof/>
            <w:rtl/>
          </w:rPr>
          <w:t xml:space="preserve">6- </w:t>
        </w:r>
        <w:r w:rsidRPr="00F14100">
          <w:rPr>
            <w:rStyle w:val="Hyperlink"/>
            <w:rFonts w:hint="cs"/>
            <w:noProof/>
            <w:rtl/>
          </w:rPr>
          <w:t>الشيخ</w:t>
        </w:r>
        <w:r w:rsidRPr="00F14100">
          <w:rPr>
            <w:rStyle w:val="Hyperlink"/>
            <w:noProof/>
            <w:rtl/>
          </w:rPr>
          <w:t xml:space="preserve"> </w:t>
        </w:r>
        <w:r w:rsidRPr="00F14100">
          <w:rPr>
            <w:rStyle w:val="Hyperlink"/>
            <w:rFonts w:hint="cs"/>
            <w:noProof/>
            <w:rtl/>
          </w:rPr>
          <w:t>سلار</w:t>
        </w:r>
        <w:r w:rsidRPr="00F14100">
          <w:rPr>
            <w:rStyle w:val="Hyperlink"/>
            <w:noProof/>
            <w:rtl/>
          </w:rPr>
          <w:t xml:space="preserve"> </w:t>
        </w:r>
        <w:r w:rsidRPr="00F14100">
          <w:rPr>
            <w:rStyle w:val="Hyperlink"/>
            <w:rFonts w:hint="cs"/>
            <w:noProof/>
            <w:rtl/>
          </w:rPr>
          <w:t>الديلمي</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Toc387843107 \h</w:instrText>
        </w:r>
        <w:r>
          <w:rPr>
            <w:noProof/>
            <w:webHidden/>
            <w:rtl/>
          </w:rPr>
          <w:instrText xml:space="preserve"> </w:instrText>
        </w:r>
        <w:r>
          <w:rPr>
            <w:rStyle w:val="Hyperlink"/>
            <w:noProof/>
            <w:rtl/>
          </w:rPr>
        </w:r>
        <w:r>
          <w:rPr>
            <w:rStyle w:val="Hyperlink"/>
            <w:noProof/>
            <w:rtl/>
          </w:rPr>
          <w:fldChar w:fldCharType="separate"/>
        </w:r>
        <w:r w:rsidR="00755AAC">
          <w:rPr>
            <w:noProof/>
            <w:webHidden/>
            <w:rtl/>
          </w:rPr>
          <w:t>2</w:t>
        </w:r>
        <w:r>
          <w:rPr>
            <w:rStyle w:val="Hyperlink"/>
            <w:noProof/>
            <w:rtl/>
          </w:rPr>
          <w:fldChar w:fldCharType="end"/>
        </w:r>
      </w:hyperlink>
    </w:p>
    <w:p w:rsidR="00F90700" w:rsidRPr="008607E3" w:rsidRDefault="00F90700">
      <w:pPr>
        <w:pStyle w:val="TOC2"/>
        <w:rPr>
          <w:rFonts w:ascii="Calibri" w:hAnsi="Calibri" w:cs="Arial"/>
          <w:noProof/>
          <w:sz w:val="22"/>
          <w:szCs w:val="22"/>
          <w:rtl/>
          <w:lang w:eastAsia="en-US" w:bidi="fa-IR"/>
        </w:rPr>
      </w:pPr>
      <w:hyperlink w:anchor="_Toc387843108" w:history="1">
        <w:r w:rsidRPr="00F14100">
          <w:rPr>
            <w:rStyle w:val="Hyperlink"/>
            <w:noProof/>
            <w:rtl/>
          </w:rPr>
          <w:t xml:space="preserve">7- </w:t>
        </w:r>
        <w:r w:rsidRPr="00F14100">
          <w:rPr>
            <w:rStyle w:val="Hyperlink"/>
            <w:rFonts w:hint="cs"/>
            <w:noProof/>
            <w:rtl/>
          </w:rPr>
          <w:t>المُحَقِّق</w:t>
        </w:r>
        <w:r w:rsidRPr="00F14100">
          <w:rPr>
            <w:rStyle w:val="Hyperlink"/>
            <w:noProof/>
            <w:rtl/>
          </w:rPr>
          <w:t xml:space="preserve"> </w:t>
        </w:r>
        <w:r w:rsidRPr="00F14100">
          <w:rPr>
            <w:rStyle w:val="Hyperlink"/>
            <w:rFonts w:hint="cs"/>
            <w:noProof/>
            <w:rtl/>
          </w:rPr>
          <w:t>الثاني</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Toc387843108 \h</w:instrText>
        </w:r>
        <w:r>
          <w:rPr>
            <w:noProof/>
            <w:webHidden/>
            <w:rtl/>
          </w:rPr>
          <w:instrText xml:space="preserve"> </w:instrText>
        </w:r>
        <w:r>
          <w:rPr>
            <w:rStyle w:val="Hyperlink"/>
            <w:noProof/>
            <w:rtl/>
          </w:rPr>
        </w:r>
        <w:r>
          <w:rPr>
            <w:rStyle w:val="Hyperlink"/>
            <w:noProof/>
            <w:rtl/>
          </w:rPr>
          <w:fldChar w:fldCharType="separate"/>
        </w:r>
        <w:r w:rsidR="00755AAC">
          <w:rPr>
            <w:noProof/>
            <w:webHidden/>
            <w:rtl/>
          </w:rPr>
          <w:t>2</w:t>
        </w:r>
        <w:r>
          <w:rPr>
            <w:rStyle w:val="Hyperlink"/>
            <w:noProof/>
            <w:rtl/>
          </w:rPr>
          <w:fldChar w:fldCharType="end"/>
        </w:r>
      </w:hyperlink>
    </w:p>
    <w:p w:rsidR="00F90700" w:rsidRPr="008607E3" w:rsidRDefault="00F90700">
      <w:pPr>
        <w:pStyle w:val="TOC2"/>
        <w:rPr>
          <w:rFonts w:ascii="Calibri" w:hAnsi="Calibri" w:cs="Arial"/>
          <w:noProof/>
          <w:sz w:val="22"/>
          <w:szCs w:val="22"/>
          <w:rtl/>
          <w:lang w:eastAsia="en-US" w:bidi="fa-IR"/>
        </w:rPr>
      </w:pPr>
      <w:hyperlink w:anchor="_Toc387843109" w:history="1">
        <w:r w:rsidRPr="00F14100">
          <w:rPr>
            <w:rStyle w:val="Hyperlink"/>
            <w:noProof/>
            <w:rtl/>
          </w:rPr>
          <w:t xml:space="preserve">8- </w:t>
        </w:r>
        <w:r w:rsidRPr="00F14100">
          <w:rPr>
            <w:rStyle w:val="Hyperlink"/>
            <w:rFonts w:hint="cs"/>
            <w:noProof/>
            <w:rtl/>
          </w:rPr>
          <w:t>المُقَدَّس</w:t>
        </w:r>
        <w:r w:rsidRPr="00F14100">
          <w:rPr>
            <w:rStyle w:val="Hyperlink"/>
            <w:noProof/>
            <w:rtl/>
          </w:rPr>
          <w:t xml:space="preserve"> </w:t>
        </w:r>
        <w:r w:rsidRPr="00F14100">
          <w:rPr>
            <w:rStyle w:val="Hyperlink"/>
            <w:rFonts w:hint="cs"/>
            <w:noProof/>
            <w:rtl/>
          </w:rPr>
          <w:t>الأردبيلي</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Toc387843109 \h</w:instrText>
        </w:r>
        <w:r>
          <w:rPr>
            <w:noProof/>
            <w:webHidden/>
            <w:rtl/>
          </w:rPr>
          <w:instrText xml:space="preserve"> </w:instrText>
        </w:r>
        <w:r>
          <w:rPr>
            <w:rStyle w:val="Hyperlink"/>
            <w:noProof/>
            <w:rtl/>
          </w:rPr>
        </w:r>
        <w:r>
          <w:rPr>
            <w:rStyle w:val="Hyperlink"/>
            <w:noProof/>
            <w:rtl/>
          </w:rPr>
          <w:fldChar w:fldCharType="separate"/>
        </w:r>
        <w:r w:rsidR="00755AAC">
          <w:rPr>
            <w:noProof/>
            <w:webHidden/>
            <w:rtl/>
          </w:rPr>
          <w:t>2</w:t>
        </w:r>
        <w:r>
          <w:rPr>
            <w:rStyle w:val="Hyperlink"/>
            <w:noProof/>
            <w:rtl/>
          </w:rPr>
          <w:fldChar w:fldCharType="end"/>
        </w:r>
      </w:hyperlink>
    </w:p>
    <w:p w:rsidR="00F90700" w:rsidRPr="008607E3" w:rsidRDefault="00F90700">
      <w:pPr>
        <w:pStyle w:val="TOC2"/>
        <w:rPr>
          <w:rFonts w:ascii="Calibri" w:hAnsi="Calibri" w:cs="Arial"/>
          <w:noProof/>
          <w:sz w:val="22"/>
          <w:szCs w:val="22"/>
          <w:rtl/>
          <w:lang w:eastAsia="en-US" w:bidi="fa-IR"/>
        </w:rPr>
      </w:pPr>
      <w:hyperlink w:anchor="_Toc387843110" w:history="1">
        <w:r w:rsidRPr="00F14100">
          <w:rPr>
            <w:rStyle w:val="Hyperlink"/>
            <w:noProof/>
            <w:rtl/>
          </w:rPr>
          <w:t xml:space="preserve">9- </w:t>
        </w:r>
        <w:r w:rsidRPr="00F14100">
          <w:rPr>
            <w:rStyle w:val="Hyperlink"/>
            <w:rFonts w:hint="cs"/>
            <w:noProof/>
            <w:rtl/>
          </w:rPr>
          <w:t>القطيفي</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Toc387843110 \h</w:instrText>
        </w:r>
        <w:r>
          <w:rPr>
            <w:noProof/>
            <w:webHidden/>
            <w:rtl/>
          </w:rPr>
          <w:instrText xml:space="preserve"> </w:instrText>
        </w:r>
        <w:r>
          <w:rPr>
            <w:rStyle w:val="Hyperlink"/>
            <w:noProof/>
            <w:rtl/>
          </w:rPr>
        </w:r>
        <w:r>
          <w:rPr>
            <w:rStyle w:val="Hyperlink"/>
            <w:noProof/>
            <w:rtl/>
          </w:rPr>
          <w:fldChar w:fldCharType="separate"/>
        </w:r>
        <w:r w:rsidR="00755AAC">
          <w:rPr>
            <w:noProof/>
            <w:webHidden/>
            <w:rtl/>
          </w:rPr>
          <w:t>2</w:t>
        </w:r>
        <w:r>
          <w:rPr>
            <w:rStyle w:val="Hyperlink"/>
            <w:noProof/>
            <w:rtl/>
          </w:rPr>
          <w:fldChar w:fldCharType="end"/>
        </w:r>
      </w:hyperlink>
    </w:p>
    <w:p w:rsidR="00F90700" w:rsidRPr="008607E3" w:rsidRDefault="00F90700">
      <w:pPr>
        <w:pStyle w:val="TOC2"/>
        <w:rPr>
          <w:rFonts w:ascii="Calibri" w:hAnsi="Calibri" w:cs="Arial"/>
          <w:noProof/>
          <w:sz w:val="22"/>
          <w:szCs w:val="22"/>
          <w:rtl/>
          <w:lang w:eastAsia="en-US" w:bidi="fa-IR"/>
        </w:rPr>
      </w:pPr>
      <w:hyperlink w:anchor="_Toc387843111" w:history="1">
        <w:r w:rsidRPr="00F14100">
          <w:rPr>
            <w:rStyle w:val="Hyperlink"/>
            <w:noProof/>
            <w:rtl/>
          </w:rPr>
          <w:t xml:space="preserve">10- </w:t>
        </w:r>
        <w:r w:rsidRPr="00F14100">
          <w:rPr>
            <w:rStyle w:val="Hyperlink"/>
            <w:rFonts w:hint="cs"/>
            <w:noProof/>
            <w:rtl/>
          </w:rPr>
          <w:t>حسن</w:t>
        </w:r>
        <w:r w:rsidRPr="00F14100">
          <w:rPr>
            <w:rStyle w:val="Hyperlink"/>
            <w:noProof/>
            <w:rtl/>
          </w:rPr>
          <w:t xml:space="preserve"> </w:t>
        </w:r>
        <w:r w:rsidRPr="00F14100">
          <w:rPr>
            <w:rStyle w:val="Hyperlink"/>
            <w:rFonts w:hint="cs"/>
            <w:noProof/>
            <w:rtl/>
          </w:rPr>
          <w:t>ابن</w:t>
        </w:r>
        <w:r w:rsidRPr="00F14100">
          <w:rPr>
            <w:rStyle w:val="Hyperlink"/>
            <w:noProof/>
            <w:rtl/>
          </w:rPr>
          <w:t xml:space="preserve"> </w:t>
        </w:r>
        <w:r w:rsidRPr="00F14100">
          <w:rPr>
            <w:rStyle w:val="Hyperlink"/>
            <w:rFonts w:hint="cs"/>
            <w:noProof/>
            <w:rtl/>
          </w:rPr>
          <w:t>الشهيد</w:t>
        </w:r>
        <w:r w:rsidRPr="00F14100">
          <w:rPr>
            <w:rStyle w:val="Hyperlink"/>
            <w:noProof/>
            <w:rtl/>
          </w:rPr>
          <w:t xml:space="preserve"> </w:t>
        </w:r>
        <w:r w:rsidRPr="00F14100">
          <w:rPr>
            <w:rStyle w:val="Hyperlink"/>
            <w:rFonts w:hint="cs"/>
            <w:noProof/>
            <w:rtl/>
          </w:rPr>
          <w:t>الثاني</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Toc387843111 \h</w:instrText>
        </w:r>
        <w:r>
          <w:rPr>
            <w:noProof/>
            <w:webHidden/>
            <w:rtl/>
          </w:rPr>
          <w:instrText xml:space="preserve"> </w:instrText>
        </w:r>
        <w:r>
          <w:rPr>
            <w:rStyle w:val="Hyperlink"/>
            <w:noProof/>
            <w:rtl/>
          </w:rPr>
        </w:r>
        <w:r>
          <w:rPr>
            <w:rStyle w:val="Hyperlink"/>
            <w:noProof/>
            <w:rtl/>
          </w:rPr>
          <w:fldChar w:fldCharType="separate"/>
        </w:r>
        <w:r w:rsidR="00755AAC">
          <w:rPr>
            <w:noProof/>
            <w:webHidden/>
            <w:rtl/>
          </w:rPr>
          <w:t>2</w:t>
        </w:r>
        <w:r>
          <w:rPr>
            <w:rStyle w:val="Hyperlink"/>
            <w:noProof/>
            <w:rtl/>
          </w:rPr>
          <w:fldChar w:fldCharType="end"/>
        </w:r>
      </w:hyperlink>
    </w:p>
    <w:p w:rsidR="00F90700" w:rsidRPr="008607E3" w:rsidRDefault="00F90700">
      <w:pPr>
        <w:pStyle w:val="TOC2"/>
        <w:rPr>
          <w:rFonts w:ascii="Calibri" w:hAnsi="Calibri" w:cs="Arial"/>
          <w:noProof/>
          <w:sz w:val="22"/>
          <w:szCs w:val="22"/>
          <w:rtl/>
          <w:lang w:eastAsia="en-US" w:bidi="fa-IR"/>
        </w:rPr>
      </w:pPr>
      <w:hyperlink w:anchor="_Toc387843112" w:history="1">
        <w:r w:rsidRPr="00F14100">
          <w:rPr>
            <w:rStyle w:val="Hyperlink"/>
            <w:noProof/>
            <w:rtl/>
          </w:rPr>
          <w:t xml:space="preserve">11- </w:t>
        </w:r>
        <w:r w:rsidRPr="00F14100">
          <w:rPr>
            <w:rStyle w:val="Hyperlink"/>
            <w:rFonts w:hint="cs"/>
            <w:noProof/>
            <w:rtl/>
          </w:rPr>
          <w:t>صاحب</w:t>
        </w:r>
        <w:r w:rsidRPr="00F14100">
          <w:rPr>
            <w:rStyle w:val="Hyperlink"/>
            <w:noProof/>
            <w:rtl/>
          </w:rPr>
          <w:t xml:space="preserve"> </w:t>
        </w:r>
        <w:r w:rsidRPr="00F14100">
          <w:rPr>
            <w:rStyle w:val="Hyperlink"/>
            <w:rFonts w:hint="cs"/>
            <w:noProof/>
            <w:rtl/>
          </w:rPr>
          <w:t>المدارك</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Toc387843112 \h</w:instrText>
        </w:r>
        <w:r>
          <w:rPr>
            <w:noProof/>
            <w:webHidden/>
            <w:rtl/>
          </w:rPr>
          <w:instrText xml:space="preserve"> </w:instrText>
        </w:r>
        <w:r>
          <w:rPr>
            <w:rStyle w:val="Hyperlink"/>
            <w:noProof/>
            <w:rtl/>
          </w:rPr>
        </w:r>
        <w:r>
          <w:rPr>
            <w:rStyle w:val="Hyperlink"/>
            <w:noProof/>
            <w:rtl/>
          </w:rPr>
          <w:fldChar w:fldCharType="separate"/>
        </w:r>
        <w:r w:rsidR="00755AAC">
          <w:rPr>
            <w:noProof/>
            <w:webHidden/>
            <w:rtl/>
          </w:rPr>
          <w:t>2</w:t>
        </w:r>
        <w:r>
          <w:rPr>
            <w:rStyle w:val="Hyperlink"/>
            <w:noProof/>
            <w:rtl/>
          </w:rPr>
          <w:fldChar w:fldCharType="end"/>
        </w:r>
      </w:hyperlink>
    </w:p>
    <w:p w:rsidR="00F90700" w:rsidRPr="008607E3" w:rsidRDefault="00F90700">
      <w:pPr>
        <w:pStyle w:val="TOC2"/>
        <w:rPr>
          <w:rFonts w:ascii="Calibri" w:hAnsi="Calibri" w:cs="Arial"/>
          <w:noProof/>
          <w:sz w:val="22"/>
          <w:szCs w:val="22"/>
          <w:rtl/>
          <w:lang w:eastAsia="en-US" w:bidi="fa-IR"/>
        </w:rPr>
      </w:pPr>
      <w:hyperlink w:anchor="_Toc387843113" w:history="1">
        <w:r w:rsidRPr="00F14100">
          <w:rPr>
            <w:rStyle w:val="Hyperlink"/>
            <w:noProof/>
            <w:rtl/>
          </w:rPr>
          <w:t xml:space="preserve">12- </w:t>
        </w:r>
        <w:r w:rsidRPr="00F14100">
          <w:rPr>
            <w:rStyle w:val="Hyperlink"/>
            <w:rFonts w:hint="cs"/>
            <w:noProof/>
            <w:rtl/>
          </w:rPr>
          <w:t>المُحَقِّق</w:t>
        </w:r>
        <w:r w:rsidRPr="00F14100">
          <w:rPr>
            <w:rStyle w:val="Hyperlink"/>
            <w:noProof/>
            <w:rtl/>
          </w:rPr>
          <w:t xml:space="preserve"> </w:t>
        </w:r>
        <w:r w:rsidRPr="00F14100">
          <w:rPr>
            <w:rStyle w:val="Hyperlink"/>
            <w:rFonts w:hint="cs"/>
            <w:noProof/>
            <w:rtl/>
          </w:rPr>
          <w:t>السبزواري</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Toc387843113 \h</w:instrText>
        </w:r>
        <w:r>
          <w:rPr>
            <w:noProof/>
            <w:webHidden/>
            <w:rtl/>
          </w:rPr>
          <w:instrText xml:space="preserve"> </w:instrText>
        </w:r>
        <w:r>
          <w:rPr>
            <w:rStyle w:val="Hyperlink"/>
            <w:noProof/>
            <w:rtl/>
          </w:rPr>
        </w:r>
        <w:r>
          <w:rPr>
            <w:rStyle w:val="Hyperlink"/>
            <w:noProof/>
            <w:rtl/>
          </w:rPr>
          <w:fldChar w:fldCharType="separate"/>
        </w:r>
        <w:r w:rsidR="00755AAC">
          <w:rPr>
            <w:noProof/>
            <w:webHidden/>
            <w:rtl/>
          </w:rPr>
          <w:t>2</w:t>
        </w:r>
        <w:r>
          <w:rPr>
            <w:rStyle w:val="Hyperlink"/>
            <w:noProof/>
            <w:rtl/>
          </w:rPr>
          <w:fldChar w:fldCharType="end"/>
        </w:r>
      </w:hyperlink>
    </w:p>
    <w:p w:rsidR="00F90700" w:rsidRPr="008607E3" w:rsidRDefault="00F90700">
      <w:pPr>
        <w:pStyle w:val="TOC2"/>
        <w:rPr>
          <w:rFonts w:ascii="Calibri" w:hAnsi="Calibri" w:cs="Arial"/>
          <w:noProof/>
          <w:sz w:val="22"/>
          <w:szCs w:val="22"/>
          <w:rtl/>
          <w:lang w:eastAsia="en-US" w:bidi="fa-IR"/>
        </w:rPr>
      </w:pPr>
      <w:hyperlink w:anchor="_Toc387843114" w:history="1">
        <w:r w:rsidRPr="00F14100">
          <w:rPr>
            <w:rStyle w:val="Hyperlink"/>
            <w:noProof/>
            <w:rtl/>
          </w:rPr>
          <w:t xml:space="preserve">13- </w:t>
        </w:r>
        <w:r w:rsidRPr="00F14100">
          <w:rPr>
            <w:rStyle w:val="Hyperlink"/>
            <w:rFonts w:hint="cs"/>
            <w:noProof/>
            <w:rtl/>
          </w:rPr>
          <w:t>المُلَّا</w:t>
        </w:r>
        <w:r w:rsidRPr="00F14100">
          <w:rPr>
            <w:rStyle w:val="Hyperlink"/>
            <w:noProof/>
            <w:rtl/>
          </w:rPr>
          <w:t xml:space="preserve"> </w:t>
        </w:r>
        <w:r w:rsidRPr="00F14100">
          <w:rPr>
            <w:rStyle w:val="Hyperlink"/>
            <w:rFonts w:hint="cs"/>
            <w:noProof/>
            <w:rtl/>
          </w:rPr>
          <w:t>محسن</w:t>
        </w:r>
        <w:r w:rsidRPr="00F14100">
          <w:rPr>
            <w:rStyle w:val="Hyperlink"/>
            <w:noProof/>
            <w:rtl/>
          </w:rPr>
          <w:t xml:space="preserve"> </w:t>
        </w:r>
        <w:r w:rsidRPr="00F14100">
          <w:rPr>
            <w:rStyle w:val="Hyperlink"/>
            <w:rFonts w:hint="cs"/>
            <w:noProof/>
            <w:rtl/>
          </w:rPr>
          <w:t>فيض</w:t>
        </w:r>
        <w:r w:rsidRPr="00F14100">
          <w:rPr>
            <w:rStyle w:val="Hyperlink"/>
            <w:noProof/>
            <w:rtl/>
          </w:rPr>
          <w:t xml:space="preserve"> </w:t>
        </w:r>
        <w:r w:rsidRPr="00F14100">
          <w:rPr>
            <w:rStyle w:val="Hyperlink"/>
            <w:rFonts w:hint="cs"/>
            <w:noProof/>
            <w:rtl/>
          </w:rPr>
          <w:t>الكاشاني</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Toc387843114 \h</w:instrText>
        </w:r>
        <w:r>
          <w:rPr>
            <w:noProof/>
            <w:webHidden/>
            <w:rtl/>
          </w:rPr>
          <w:instrText xml:space="preserve"> </w:instrText>
        </w:r>
        <w:r>
          <w:rPr>
            <w:rStyle w:val="Hyperlink"/>
            <w:noProof/>
            <w:rtl/>
          </w:rPr>
        </w:r>
        <w:r>
          <w:rPr>
            <w:rStyle w:val="Hyperlink"/>
            <w:noProof/>
            <w:rtl/>
          </w:rPr>
          <w:fldChar w:fldCharType="separate"/>
        </w:r>
        <w:r w:rsidR="00755AAC">
          <w:rPr>
            <w:noProof/>
            <w:webHidden/>
            <w:rtl/>
          </w:rPr>
          <w:t>2</w:t>
        </w:r>
        <w:r>
          <w:rPr>
            <w:rStyle w:val="Hyperlink"/>
            <w:noProof/>
            <w:rtl/>
          </w:rPr>
          <w:fldChar w:fldCharType="end"/>
        </w:r>
      </w:hyperlink>
    </w:p>
    <w:p w:rsidR="00F90700" w:rsidRPr="008607E3" w:rsidRDefault="00F90700">
      <w:pPr>
        <w:pStyle w:val="TOC2"/>
        <w:rPr>
          <w:rFonts w:ascii="Calibri" w:hAnsi="Calibri" w:cs="Arial"/>
          <w:noProof/>
          <w:sz w:val="22"/>
          <w:szCs w:val="22"/>
          <w:rtl/>
          <w:lang w:eastAsia="en-US" w:bidi="fa-IR"/>
        </w:rPr>
      </w:pPr>
      <w:hyperlink w:anchor="_Toc387843115" w:history="1">
        <w:r w:rsidRPr="00F14100">
          <w:rPr>
            <w:rStyle w:val="Hyperlink"/>
            <w:noProof/>
            <w:rtl/>
          </w:rPr>
          <w:t xml:space="preserve">14- </w:t>
        </w:r>
        <w:r w:rsidRPr="00F14100">
          <w:rPr>
            <w:rStyle w:val="Hyperlink"/>
            <w:rFonts w:hint="cs"/>
            <w:noProof/>
            <w:rtl/>
          </w:rPr>
          <w:t>الشيخ</w:t>
        </w:r>
        <w:r w:rsidRPr="00F14100">
          <w:rPr>
            <w:rStyle w:val="Hyperlink"/>
            <w:noProof/>
            <w:rtl/>
          </w:rPr>
          <w:t xml:space="preserve"> </w:t>
        </w:r>
        <w:r w:rsidRPr="00F14100">
          <w:rPr>
            <w:rStyle w:val="Hyperlink"/>
            <w:rFonts w:hint="cs"/>
            <w:noProof/>
            <w:rtl/>
          </w:rPr>
          <w:t>الحُر</w:t>
        </w:r>
        <w:r w:rsidRPr="00F14100">
          <w:rPr>
            <w:rStyle w:val="Hyperlink"/>
            <w:noProof/>
            <w:rtl/>
          </w:rPr>
          <w:t xml:space="preserve"> </w:t>
        </w:r>
        <w:r w:rsidRPr="00F14100">
          <w:rPr>
            <w:rStyle w:val="Hyperlink"/>
            <w:rFonts w:hint="cs"/>
            <w:noProof/>
            <w:rtl/>
          </w:rPr>
          <w:t>العاملي</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Toc387843115 \h</w:instrText>
        </w:r>
        <w:r>
          <w:rPr>
            <w:noProof/>
            <w:webHidden/>
            <w:rtl/>
          </w:rPr>
          <w:instrText xml:space="preserve"> </w:instrText>
        </w:r>
        <w:r>
          <w:rPr>
            <w:rStyle w:val="Hyperlink"/>
            <w:noProof/>
            <w:rtl/>
          </w:rPr>
        </w:r>
        <w:r>
          <w:rPr>
            <w:rStyle w:val="Hyperlink"/>
            <w:noProof/>
            <w:rtl/>
          </w:rPr>
          <w:fldChar w:fldCharType="separate"/>
        </w:r>
        <w:r w:rsidR="00755AAC">
          <w:rPr>
            <w:noProof/>
            <w:webHidden/>
            <w:rtl/>
          </w:rPr>
          <w:t>2</w:t>
        </w:r>
        <w:r>
          <w:rPr>
            <w:rStyle w:val="Hyperlink"/>
            <w:noProof/>
            <w:rtl/>
          </w:rPr>
          <w:fldChar w:fldCharType="end"/>
        </w:r>
      </w:hyperlink>
    </w:p>
    <w:p w:rsidR="00F90700" w:rsidRPr="008607E3" w:rsidRDefault="00F90700">
      <w:pPr>
        <w:pStyle w:val="TOC2"/>
        <w:rPr>
          <w:rFonts w:ascii="Calibri" w:hAnsi="Calibri" w:cs="Arial"/>
          <w:noProof/>
          <w:sz w:val="22"/>
          <w:szCs w:val="22"/>
          <w:rtl/>
          <w:lang w:eastAsia="en-US" w:bidi="fa-IR"/>
        </w:rPr>
      </w:pPr>
      <w:hyperlink w:anchor="_Toc387843116" w:history="1">
        <w:r w:rsidRPr="00F14100">
          <w:rPr>
            <w:rStyle w:val="Hyperlink"/>
            <w:noProof/>
            <w:rtl/>
          </w:rPr>
          <w:t xml:space="preserve">15- </w:t>
        </w:r>
        <w:r w:rsidRPr="00F14100">
          <w:rPr>
            <w:rStyle w:val="Hyperlink"/>
            <w:rFonts w:hint="cs"/>
            <w:noProof/>
            <w:rtl/>
          </w:rPr>
          <w:t>الشيخ</w:t>
        </w:r>
        <w:r w:rsidRPr="00F14100">
          <w:rPr>
            <w:rStyle w:val="Hyperlink"/>
            <w:noProof/>
            <w:rtl/>
          </w:rPr>
          <w:t xml:space="preserve"> </w:t>
        </w:r>
        <w:r w:rsidRPr="00F14100">
          <w:rPr>
            <w:rStyle w:val="Hyperlink"/>
            <w:rFonts w:hint="cs"/>
            <w:noProof/>
            <w:rtl/>
          </w:rPr>
          <w:t>يوسف</w:t>
        </w:r>
        <w:r w:rsidRPr="00F14100">
          <w:rPr>
            <w:rStyle w:val="Hyperlink"/>
            <w:noProof/>
            <w:rtl/>
          </w:rPr>
          <w:t xml:space="preserve"> </w:t>
        </w:r>
        <w:r w:rsidRPr="00F14100">
          <w:rPr>
            <w:rStyle w:val="Hyperlink"/>
            <w:rFonts w:hint="cs"/>
            <w:noProof/>
            <w:rtl/>
          </w:rPr>
          <w:t>البحراني</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Toc387843116 \h</w:instrText>
        </w:r>
        <w:r>
          <w:rPr>
            <w:noProof/>
            <w:webHidden/>
            <w:rtl/>
          </w:rPr>
          <w:instrText xml:space="preserve"> </w:instrText>
        </w:r>
        <w:r>
          <w:rPr>
            <w:rStyle w:val="Hyperlink"/>
            <w:noProof/>
            <w:rtl/>
          </w:rPr>
        </w:r>
        <w:r>
          <w:rPr>
            <w:rStyle w:val="Hyperlink"/>
            <w:noProof/>
            <w:rtl/>
          </w:rPr>
          <w:fldChar w:fldCharType="separate"/>
        </w:r>
        <w:r w:rsidR="00755AAC">
          <w:rPr>
            <w:noProof/>
            <w:webHidden/>
            <w:rtl/>
          </w:rPr>
          <w:t>2</w:t>
        </w:r>
        <w:r>
          <w:rPr>
            <w:rStyle w:val="Hyperlink"/>
            <w:noProof/>
            <w:rtl/>
          </w:rPr>
          <w:fldChar w:fldCharType="end"/>
        </w:r>
      </w:hyperlink>
    </w:p>
    <w:p w:rsidR="00F90700" w:rsidRPr="008607E3" w:rsidRDefault="00F90700">
      <w:pPr>
        <w:pStyle w:val="TOC2"/>
        <w:rPr>
          <w:rFonts w:ascii="Calibri" w:hAnsi="Calibri" w:cs="Arial"/>
          <w:noProof/>
          <w:sz w:val="22"/>
          <w:szCs w:val="22"/>
          <w:rtl/>
          <w:lang w:eastAsia="en-US" w:bidi="fa-IR"/>
        </w:rPr>
      </w:pPr>
      <w:hyperlink w:anchor="_Toc387843117" w:history="1">
        <w:r w:rsidRPr="00F14100">
          <w:rPr>
            <w:rStyle w:val="Hyperlink"/>
            <w:noProof/>
            <w:rtl/>
          </w:rPr>
          <w:t xml:space="preserve">16- </w:t>
        </w:r>
        <w:r w:rsidRPr="00F14100">
          <w:rPr>
            <w:rStyle w:val="Hyperlink"/>
            <w:rFonts w:hint="cs"/>
            <w:noProof/>
            <w:rtl/>
          </w:rPr>
          <w:t>صاحب</w:t>
        </w:r>
        <w:r w:rsidRPr="00F14100">
          <w:rPr>
            <w:rStyle w:val="Hyperlink"/>
            <w:noProof/>
            <w:rtl/>
          </w:rPr>
          <w:t xml:space="preserve"> </w:t>
        </w:r>
        <w:r w:rsidRPr="00F14100">
          <w:rPr>
            <w:rStyle w:val="Hyperlink"/>
            <w:rFonts w:hint="cs"/>
            <w:noProof/>
            <w:rtl/>
          </w:rPr>
          <w:t>الجواهر</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Toc387843117 \h</w:instrText>
        </w:r>
        <w:r>
          <w:rPr>
            <w:noProof/>
            <w:webHidden/>
            <w:rtl/>
          </w:rPr>
          <w:instrText xml:space="preserve"> </w:instrText>
        </w:r>
        <w:r>
          <w:rPr>
            <w:rStyle w:val="Hyperlink"/>
            <w:noProof/>
            <w:rtl/>
          </w:rPr>
        </w:r>
        <w:r>
          <w:rPr>
            <w:rStyle w:val="Hyperlink"/>
            <w:noProof/>
            <w:rtl/>
          </w:rPr>
          <w:fldChar w:fldCharType="separate"/>
        </w:r>
        <w:r w:rsidR="00755AAC">
          <w:rPr>
            <w:noProof/>
            <w:webHidden/>
            <w:rtl/>
          </w:rPr>
          <w:t>2</w:t>
        </w:r>
        <w:r>
          <w:rPr>
            <w:rStyle w:val="Hyperlink"/>
            <w:noProof/>
            <w:rtl/>
          </w:rPr>
          <w:fldChar w:fldCharType="end"/>
        </w:r>
      </w:hyperlink>
    </w:p>
    <w:p w:rsidR="00F90700" w:rsidRPr="008607E3" w:rsidRDefault="00F90700">
      <w:pPr>
        <w:pStyle w:val="TOC2"/>
        <w:rPr>
          <w:rFonts w:ascii="Calibri" w:hAnsi="Calibri" w:cs="Arial"/>
          <w:noProof/>
          <w:sz w:val="22"/>
          <w:szCs w:val="22"/>
          <w:rtl/>
          <w:lang w:eastAsia="en-US" w:bidi="fa-IR"/>
        </w:rPr>
      </w:pPr>
      <w:hyperlink w:anchor="_Toc387843118" w:history="1">
        <w:r w:rsidRPr="00F14100">
          <w:rPr>
            <w:rStyle w:val="Hyperlink"/>
            <w:noProof/>
            <w:rtl/>
          </w:rPr>
          <w:t xml:space="preserve">17- </w:t>
        </w:r>
        <w:r w:rsidRPr="00F14100">
          <w:rPr>
            <w:rStyle w:val="Hyperlink"/>
            <w:rFonts w:hint="cs"/>
            <w:noProof/>
            <w:rtl/>
          </w:rPr>
          <w:t>المُحدِّث</w:t>
        </w:r>
        <w:r w:rsidRPr="00F14100">
          <w:rPr>
            <w:rStyle w:val="Hyperlink"/>
            <w:noProof/>
            <w:rtl/>
          </w:rPr>
          <w:t xml:space="preserve"> </w:t>
        </w:r>
        <w:r w:rsidRPr="00F14100">
          <w:rPr>
            <w:rStyle w:val="Hyperlink"/>
            <w:rFonts w:hint="cs"/>
            <w:noProof/>
            <w:rtl/>
          </w:rPr>
          <w:t>البحراني</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Toc387843118 \h</w:instrText>
        </w:r>
        <w:r>
          <w:rPr>
            <w:noProof/>
            <w:webHidden/>
            <w:rtl/>
          </w:rPr>
          <w:instrText xml:space="preserve"> </w:instrText>
        </w:r>
        <w:r>
          <w:rPr>
            <w:rStyle w:val="Hyperlink"/>
            <w:noProof/>
            <w:rtl/>
          </w:rPr>
        </w:r>
        <w:r>
          <w:rPr>
            <w:rStyle w:val="Hyperlink"/>
            <w:noProof/>
            <w:rtl/>
          </w:rPr>
          <w:fldChar w:fldCharType="separate"/>
        </w:r>
        <w:r w:rsidR="00755AAC">
          <w:rPr>
            <w:noProof/>
            <w:webHidden/>
            <w:rtl/>
          </w:rPr>
          <w:t>2</w:t>
        </w:r>
        <w:r>
          <w:rPr>
            <w:rStyle w:val="Hyperlink"/>
            <w:noProof/>
            <w:rtl/>
          </w:rPr>
          <w:fldChar w:fldCharType="end"/>
        </w:r>
      </w:hyperlink>
    </w:p>
    <w:p w:rsidR="00F90700" w:rsidRPr="008607E3" w:rsidRDefault="00F90700">
      <w:pPr>
        <w:pStyle w:val="TOC2"/>
        <w:rPr>
          <w:rFonts w:ascii="Calibri" w:hAnsi="Calibri" w:cs="Arial"/>
          <w:noProof/>
          <w:sz w:val="22"/>
          <w:szCs w:val="22"/>
          <w:rtl/>
          <w:lang w:eastAsia="en-US" w:bidi="fa-IR"/>
        </w:rPr>
      </w:pPr>
      <w:hyperlink w:anchor="_Toc387843119" w:history="1">
        <w:r w:rsidRPr="00F14100">
          <w:rPr>
            <w:rStyle w:val="Hyperlink"/>
            <w:rFonts w:hint="cs"/>
            <w:noProof/>
            <w:rtl/>
          </w:rPr>
          <w:t>ختام</w:t>
        </w:r>
        <w:r w:rsidRPr="00F14100">
          <w:rPr>
            <w:rStyle w:val="Hyperlink"/>
            <w:noProof/>
            <w:rtl/>
          </w:rPr>
          <w:t xml:space="preserve"> </w:t>
        </w:r>
        <w:r w:rsidRPr="00F14100">
          <w:rPr>
            <w:rStyle w:val="Hyperlink"/>
            <w:rFonts w:hint="cs"/>
            <w:noProof/>
            <w:rtl/>
          </w:rPr>
          <w:t>الكلام</w:t>
        </w:r>
        <w:r w:rsidRPr="00F14100">
          <w:rPr>
            <w:rStyle w:val="Hyperlink"/>
            <w:noProof/>
            <w:rtl/>
          </w:rPr>
          <w:t xml:space="preserve"> </w:t>
        </w:r>
        <w:r w:rsidRPr="00F14100">
          <w:rPr>
            <w:rStyle w:val="Hyperlink"/>
            <w:rFonts w:hint="cs"/>
            <w:noProof/>
            <w:rtl/>
          </w:rPr>
          <w:t>في</w:t>
        </w:r>
        <w:r w:rsidRPr="00F14100">
          <w:rPr>
            <w:rStyle w:val="Hyperlink"/>
            <w:noProof/>
            <w:rtl/>
          </w:rPr>
          <w:t xml:space="preserve"> </w:t>
        </w:r>
        <w:r w:rsidRPr="00F14100">
          <w:rPr>
            <w:rStyle w:val="Hyperlink"/>
            <w:rFonts w:hint="cs"/>
            <w:noProof/>
            <w:rtl/>
          </w:rPr>
          <w:t>هذا</w:t>
        </w:r>
        <w:r w:rsidRPr="00F14100">
          <w:rPr>
            <w:rStyle w:val="Hyperlink"/>
            <w:noProof/>
            <w:rtl/>
          </w:rPr>
          <w:t xml:space="preserve"> </w:t>
        </w:r>
        <w:r w:rsidRPr="00F14100">
          <w:rPr>
            <w:rStyle w:val="Hyperlink"/>
            <w:rFonts w:hint="cs"/>
            <w:noProof/>
            <w:rtl/>
          </w:rPr>
          <w:t>المقام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Toc387843119 \h</w:instrText>
        </w:r>
        <w:r>
          <w:rPr>
            <w:noProof/>
            <w:webHidden/>
            <w:rtl/>
          </w:rPr>
          <w:instrText xml:space="preserve"> </w:instrText>
        </w:r>
        <w:r>
          <w:rPr>
            <w:rStyle w:val="Hyperlink"/>
            <w:noProof/>
            <w:rtl/>
          </w:rPr>
        </w:r>
        <w:r>
          <w:rPr>
            <w:rStyle w:val="Hyperlink"/>
            <w:noProof/>
            <w:rtl/>
          </w:rPr>
          <w:fldChar w:fldCharType="separate"/>
        </w:r>
        <w:r w:rsidR="00755AAC">
          <w:rPr>
            <w:noProof/>
            <w:webHidden/>
            <w:rtl/>
          </w:rPr>
          <w:t>2</w:t>
        </w:r>
        <w:r>
          <w:rPr>
            <w:rStyle w:val="Hyperlink"/>
            <w:noProof/>
            <w:rtl/>
          </w:rPr>
          <w:fldChar w:fldCharType="end"/>
        </w:r>
      </w:hyperlink>
    </w:p>
    <w:p w:rsidR="00F90700" w:rsidRPr="008607E3" w:rsidRDefault="00F90700">
      <w:pPr>
        <w:pStyle w:val="TOC1"/>
        <w:tabs>
          <w:tab w:val="right" w:leader="dot" w:pos="7248"/>
        </w:tabs>
        <w:rPr>
          <w:rFonts w:ascii="Calibri" w:hAnsi="Calibri" w:cs="Arial"/>
          <w:bCs w:val="0"/>
          <w:noProof/>
          <w:sz w:val="22"/>
          <w:szCs w:val="22"/>
          <w:rtl/>
          <w:lang w:eastAsia="en-US" w:bidi="fa-IR"/>
        </w:rPr>
      </w:pPr>
      <w:hyperlink w:anchor="_Toc387843120" w:history="1">
        <w:r w:rsidRPr="00F14100">
          <w:rPr>
            <w:rStyle w:val="Hyperlink"/>
            <w:rFonts w:hint="cs"/>
            <w:noProof/>
            <w:rtl/>
          </w:rPr>
          <w:t>الفصل</w:t>
        </w:r>
        <w:r w:rsidRPr="00F14100">
          <w:rPr>
            <w:rStyle w:val="Hyperlink"/>
            <w:noProof/>
            <w:rtl/>
          </w:rPr>
          <w:t xml:space="preserve"> </w:t>
        </w:r>
        <w:r w:rsidRPr="00F14100">
          <w:rPr>
            <w:rStyle w:val="Hyperlink"/>
            <w:rFonts w:hint="cs"/>
            <w:noProof/>
            <w:rtl/>
          </w:rPr>
          <w:t>الثامن</w:t>
        </w:r>
        <w:r w:rsidR="00D52B3E">
          <w:rPr>
            <w:rStyle w:val="Hyperlink"/>
            <w:rFonts w:hint="cs"/>
            <w:noProof/>
            <w:rtl/>
          </w:rPr>
          <w:t>:</w:t>
        </w:r>
        <w:r w:rsidRPr="00F14100">
          <w:rPr>
            <w:rStyle w:val="Hyperlink"/>
            <w:noProof/>
            <w:rtl/>
          </w:rPr>
          <w:t xml:space="preserve"> </w:t>
        </w:r>
        <w:r w:rsidRPr="00F14100">
          <w:rPr>
            <w:rStyle w:val="Hyperlink"/>
            <w:rFonts w:hint="cs"/>
            <w:noProof/>
            <w:rtl/>
          </w:rPr>
          <w:t>الجواب</w:t>
        </w:r>
        <w:r w:rsidRPr="00F14100">
          <w:rPr>
            <w:rStyle w:val="Hyperlink"/>
            <w:noProof/>
            <w:rtl/>
          </w:rPr>
          <w:t xml:space="preserve"> </w:t>
        </w:r>
        <w:r w:rsidRPr="00F14100">
          <w:rPr>
            <w:rStyle w:val="Hyperlink"/>
            <w:rFonts w:hint="cs"/>
            <w:noProof/>
            <w:rtl/>
          </w:rPr>
          <w:t>عن</w:t>
        </w:r>
        <w:r w:rsidRPr="00F14100">
          <w:rPr>
            <w:rStyle w:val="Hyperlink"/>
            <w:noProof/>
            <w:rtl/>
          </w:rPr>
          <w:t xml:space="preserve"> </w:t>
        </w:r>
        <w:r w:rsidRPr="00F14100">
          <w:rPr>
            <w:rStyle w:val="Hyperlink"/>
            <w:rFonts w:hint="cs"/>
            <w:noProof/>
            <w:rtl/>
          </w:rPr>
          <w:t>الردود</w:t>
        </w:r>
        <w:r w:rsidRPr="00F14100">
          <w:rPr>
            <w:rStyle w:val="Hyperlink"/>
            <w:noProof/>
            <w:rtl/>
          </w:rPr>
          <w:t xml:space="preserve"> </w:t>
        </w:r>
        <w:r w:rsidRPr="00F14100">
          <w:rPr>
            <w:rStyle w:val="Hyperlink"/>
            <w:rFonts w:hint="cs"/>
            <w:noProof/>
            <w:rtl/>
          </w:rPr>
          <w:t>التي</w:t>
        </w:r>
        <w:r w:rsidRPr="00F14100">
          <w:rPr>
            <w:rStyle w:val="Hyperlink"/>
            <w:noProof/>
            <w:rtl/>
          </w:rPr>
          <w:t xml:space="preserve"> </w:t>
        </w:r>
        <w:r w:rsidRPr="00F14100">
          <w:rPr>
            <w:rStyle w:val="Hyperlink"/>
            <w:rFonts w:hint="cs"/>
            <w:noProof/>
            <w:rtl/>
          </w:rPr>
          <w:t>كُتِبت</w:t>
        </w:r>
        <w:r w:rsidRPr="00F14100">
          <w:rPr>
            <w:rStyle w:val="Hyperlink"/>
            <w:noProof/>
            <w:rtl/>
          </w:rPr>
          <w:t xml:space="preserve"> </w:t>
        </w:r>
        <w:r w:rsidRPr="00F14100">
          <w:rPr>
            <w:rStyle w:val="Hyperlink"/>
            <w:rFonts w:hint="cs"/>
            <w:noProof/>
            <w:rtl/>
          </w:rPr>
          <w:t>على</w:t>
        </w:r>
        <w:r w:rsidRPr="00F14100">
          <w:rPr>
            <w:rStyle w:val="Hyperlink"/>
            <w:noProof/>
            <w:rtl/>
          </w:rPr>
          <w:t xml:space="preserve"> </w:t>
        </w:r>
        <w:r w:rsidRPr="00F14100">
          <w:rPr>
            <w:rStyle w:val="Hyperlink"/>
            <w:rFonts w:hint="cs"/>
            <w:noProof/>
            <w:rtl/>
          </w:rPr>
          <w:t>كتاب</w:t>
        </w:r>
        <w:r w:rsidRPr="00F14100">
          <w:rPr>
            <w:rStyle w:val="Hyperlink"/>
            <w:noProof/>
            <w:rtl/>
          </w:rPr>
          <w:t xml:space="preserve"> </w:t>
        </w:r>
        <w:r w:rsidRPr="00F14100">
          <w:rPr>
            <w:rStyle w:val="Hyperlink"/>
            <w:rFonts w:hint="cs"/>
            <w:noProof/>
            <w:rtl/>
          </w:rPr>
          <w:t>الخُمس</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Toc387843120 \h</w:instrText>
        </w:r>
        <w:r>
          <w:rPr>
            <w:noProof/>
            <w:webHidden/>
            <w:rtl/>
          </w:rPr>
          <w:instrText xml:space="preserve"> </w:instrText>
        </w:r>
        <w:r>
          <w:rPr>
            <w:rStyle w:val="Hyperlink"/>
            <w:noProof/>
            <w:rtl/>
          </w:rPr>
        </w:r>
        <w:r>
          <w:rPr>
            <w:rStyle w:val="Hyperlink"/>
            <w:noProof/>
            <w:rtl/>
          </w:rPr>
          <w:fldChar w:fldCharType="separate"/>
        </w:r>
        <w:r w:rsidR="00755AAC">
          <w:rPr>
            <w:noProof/>
            <w:webHidden/>
            <w:rtl/>
          </w:rPr>
          <w:t>2</w:t>
        </w:r>
        <w:r>
          <w:rPr>
            <w:rStyle w:val="Hyperlink"/>
            <w:noProof/>
            <w:rtl/>
          </w:rPr>
          <w:fldChar w:fldCharType="end"/>
        </w:r>
      </w:hyperlink>
    </w:p>
    <w:p w:rsidR="00F90700" w:rsidRPr="008607E3" w:rsidRDefault="00F90700" w:rsidP="00D52B3E">
      <w:pPr>
        <w:pStyle w:val="TOC2"/>
        <w:rPr>
          <w:rFonts w:ascii="Calibri" w:hAnsi="Calibri" w:cs="Arial"/>
          <w:noProof/>
          <w:sz w:val="22"/>
          <w:szCs w:val="22"/>
          <w:rtl/>
          <w:lang w:eastAsia="en-US" w:bidi="fa-IR"/>
        </w:rPr>
      </w:pPr>
      <w:hyperlink w:anchor="_Toc387843121" w:history="1">
        <w:r w:rsidRPr="00F14100">
          <w:rPr>
            <w:rStyle w:val="Hyperlink"/>
            <w:noProof/>
            <w:rtl/>
          </w:rPr>
          <w:t xml:space="preserve">1- </w:t>
        </w:r>
        <w:r w:rsidRPr="00F14100">
          <w:rPr>
            <w:rStyle w:val="Hyperlink"/>
            <w:rFonts w:hint="cs"/>
            <w:noProof/>
            <w:rtl/>
          </w:rPr>
          <w:t>الإجابة</w:t>
        </w:r>
        <w:r w:rsidRPr="00F14100">
          <w:rPr>
            <w:rStyle w:val="Hyperlink"/>
            <w:noProof/>
            <w:rtl/>
          </w:rPr>
          <w:t xml:space="preserve"> </w:t>
        </w:r>
        <w:r w:rsidRPr="00F14100">
          <w:rPr>
            <w:rStyle w:val="Hyperlink"/>
            <w:rFonts w:hint="cs"/>
            <w:noProof/>
            <w:rtl/>
          </w:rPr>
          <w:t>عن</w:t>
        </w:r>
        <w:r w:rsidRPr="00F14100">
          <w:rPr>
            <w:rStyle w:val="Hyperlink"/>
            <w:noProof/>
            <w:rtl/>
          </w:rPr>
          <w:t xml:space="preserve"> </w:t>
        </w:r>
        <w:r w:rsidRPr="00F14100">
          <w:rPr>
            <w:rStyle w:val="Hyperlink"/>
            <w:rFonts w:hint="cs"/>
            <w:noProof/>
            <w:rtl/>
          </w:rPr>
          <w:t>ردّ</w:t>
        </w:r>
        <w:r w:rsidRPr="00F14100">
          <w:rPr>
            <w:rStyle w:val="Hyperlink"/>
            <w:noProof/>
            <w:rtl/>
          </w:rPr>
          <w:t xml:space="preserve"> </w:t>
        </w:r>
        <w:r w:rsidRPr="00F14100">
          <w:rPr>
            <w:rStyle w:val="Hyperlink"/>
            <w:rFonts w:hint="cs"/>
            <w:noProof/>
            <w:rtl/>
          </w:rPr>
          <w:t>السيد</w:t>
        </w:r>
        <w:r w:rsidRPr="00F14100">
          <w:rPr>
            <w:rStyle w:val="Hyperlink"/>
            <w:noProof/>
            <w:rtl/>
          </w:rPr>
          <w:t xml:space="preserve"> </w:t>
        </w:r>
        <w:r w:rsidRPr="00F14100">
          <w:rPr>
            <w:rStyle w:val="Hyperlink"/>
            <w:rFonts w:hint="cs"/>
            <w:noProof/>
            <w:rtl/>
          </w:rPr>
          <w:t>رضا</w:t>
        </w:r>
        <w:r w:rsidRPr="00F14100">
          <w:rPr>
            <w:rStyle w:val="Hyperlink"/>
            <w:noProof/>
            <w:rtl/>
          </w:rPr>
          <w:t xml:space="preserve"> </w:t>
        </w:r>
        <w:r w:rsidRPr="00F14100">
          <w:rPr>
            <w:rStyle w:val="Hyperlink"/>
            <w:rFonts w:hint="cs"/>
            <w:noProof/>
            <w:rtl/>
          </w:rPr>
          <w:t>أستادي</w:t>
        </w:r>
        <w:r w:rsidRPr="00F14100">
          <w:rPr>
            <w:rStyle w:val="Hyperlink"/>
            <w:noProof/>
            <w:rtl/>
          </w:rPr>
          <w:t xml:space="preserve"> </w:t>
        </w:r>
        <w:r w:rsidRPr="00F14100">
          <w:rPr>
            <w:rStyle w:val="Hyperlink"/>
            <w:rFonts w:hint="cs"/>
            <w:noProof/>
            <w:rtl/>
          </w:rPr>
          <w:t>الأصفهاني</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Toc387843121 \h</w:instrText>
        </w:r>
        <w:r>
          <w:rPr>
            <w:noProof/>
            <w:webHidden/>
            <w:rtl/>
          </w:rPr>
          <w:instrText xml:space="preserve"> </w:instrText>
        </w:r>
        <w:r>
          <w:rPr>
            <w:rStyle w:val="Hyperlink"/>
            <w:noProof/>
            <w:rtl/>
          </w:rPr>
        </w:r>
        <w:r>
          <w:rPr>
            <w:rStyle w:val="Hyperlink"/>
            <w:noProof/>
            <w:rtl/>
          </w:rPr>
          <w:fldChar w:fldCharType="separate"/>
        </w:r>
        <w:r w:rsidR="00755AAC">
          <w:rPr>
            <w:noProof/>
            <w:webHidden/>
            <w:rtl/>
          </w:rPr>
          <w:t>2</w:t>
        </w:r>
        <w:r>
          <w:rPr>
            <w:rStyle w:val="Hyperlink"/>
            <w:noProof/>
            <w:rtl/>
          </w:rPr>
          <w:fldChar w:fldCharType="end"/>
        </w:r>
      </w:hyperlink>
    </w:p>
    <w:p w:rsidR="00F90700" w:rsidRPr="008607E3" w:rsidRDefault="00F90700">
      <w:pPr>
        <w:pStyle w:val="TOC3"/>
        <w:tabs>
          <w:tab w:val="right" w:leader="dot" w:pos="7248"/>
        </w:tabs>
        <w:bidi/>
        <w:rPr>
          <w:rFonts w:cs="Arial"/>
          <w:noProof/>
          <w:szCs w:val="22"/>
          <w:rtl/>
          <w:lang w:bidi="fa-IR"/>
        </w:rPr>
      </w:pPr>
      <w:hyperlink w:anchor="_Toc387843122" w:history="1">
        <w:r w:rsidRPr="00F14100">
          <w:rPr>
            <w:rStyle w:val="Hyperlink"/>
            <w:rFonts w:hint="cs"/>
            <w:noProof/>
            <w:rtl/>
            <w:lang w:bidi="ar-SY"/>
          </w:rPr>
          <w:t>النتيجة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Toc387843122 \h</w:instrText>
        </w:r>
        <w:r>
          <w:rPr>
            <w:noProof/>
            <w:webHidden/>
            <w:rtl/>
          </w:rPr>
          <w:instrText xml:space="preserve"> </w:instrText>
        </w:r>
        <w:r>
          <w:rPr>
            <w:rStyle w:val="Hyperlink"/>
            <w:noProof/>
            <w:rtl/>
          </w:rPr>
        </w:r>
        <w:r>
          <w:rPr>
            <w:rStyle w:val="Hyperlink"/>
            <w:noProof/>
            <w:rtl/>
          </w:rPr>
          <w:fldChar w:fldCharType="separate"/>
        </w:r>
        <w:r w:rsidR="00755AAC">
          <w:rPr>
            <w:noProof/>
            <w:webHidden/>
            <w:rtl/>
          </w:rPr>
          <w:t>2</w:t>
        </w:r>
        <w:r>
          <w:rPr>
            <w:rStyle w:val="Hyperlink"/>
            <w:noProof/>
            <w:rtl/>
          </w:rPr>
          <w:fldChar w:fldCharType="end"/>
        </w:r>
      </w:hyperlink>
    </w:p>
    <w:p w:rsidR="00F90700" w:rsidRPr="008607E3" w:rsidRDefault="00F90700">
      <w:pPr>
        <w:pStyle w:val="TOC2"/>
        <w:rPr>
          <w:rFonts w:ascii="Calibri" w:hAnsi="Calibri" w:cs="Arial"/>
          <w:noProof/>
          <w:sz w:val="22"/>
          <w:szCs w:val="22"/>
          <w:rtl/>
          <w:lang w:eastAsia="en-US" w:bidi="fa-IR"/>
        </w:rPr>
      </w:pPr>
      <w:hyperlink w:anchor="_Toc387843123" w:history="1">
        <w:r w:rsidRPr="00F14100">
          <w:rPr>
            <w:rStyle w:val="Hyperlink"/>
            <w:noProof/>
            <w:rtl/>
          </w:rPr>
          <w:t xml:space="preserve">2- </w:t>
        </w:r>
        <w:r w:rsidRPr="00F14100">
          <w:rPr>
            <w:rStyle w:val="Hyperlink"/>
            <w:rFonts w:hint="cs"/>
            <w:noProof/>
            <w:rtl/>
          </w:rPr>
          <w:t>الإجابة</w:t>
        </w:r>
        <w:r w:rsidRPr="00F14100">
          <w:rPr>
            <w:rStyle w:val="Hyperlink"/>
            <w:noProof/>
            <w:rtl/>
          </w:rPr>
          <w:t xml:space="preserve"> </w:t>
        </w:r>
        <w:r w:rsidRPr="00F14100">
          <w:rPr>
            <w:rStyle w:val="Hyperlink"/>
            <w:rFonts w:hint="cs"/>
            <w:noProof/>
            <w:rtl/>
          </w:rPr>
          <w:t>عن</w:t>
        </w:r>
        <w:r w:rsidRPr="00F14100">
          <w:rPr>
            <w:rStyle w:val="Hyperlink"/>
            <w:noProof/>
            <w:rtl/>
          </w:rPr>
          <w:t xml:space="preserve"> </w:t>
        </w:r>
        <w:r w:rsidRPr="00F14100">
          <w:rPr>
            <w:rStyle w:val="Hyperlink"/>
            <w:rFonts w:hint="cs"/>
            <w:noProof/>
            <w:rtl/>
          </w:rPr>
          <w:t>الرد</w:t>
        </w:r>
        <w:r w:rsidRPr="00F14100">
          <w:rPr>
            <w:rStyle w:val="Hyperlink"/>
            <w:noProof/>
            <w:rtl/>
          </w:rPr>
          <w:t xml:space="preserve"> </w:t>
        </w:r>
        <w:r w:rsidRPr="00F14100">
          <w:rPr>
            <w:rStyle w:val="Hyperlink"/>
            <w:rFonts w:hint="cs"/>
            <w:noProof/>
            <w:rtl/>
          </w:rPr>
          <w:t>الذي</w:t>
        </w:r>
        <w:r w:rsidRPr="00F14100">
          <w:rPr>
            <w:rStyle w:val="Hyperlink"/>
            <w:noProof/>
            <w:rtl/>
          </w:rPr>
          <w:t xml:space="preserve"> </w:t>
        </w:r>
        <w:r w:rsidRPr="00F14100">
          <w:rPr>
            <w:rStyle w:val="Hyperlink"/>
            <w:rFonts w:hint="cs"/>
            <w:noProof/>
            <w:rtl/>
          </w:rPr>
          <w:t>كتبه</w:t>
        </w:r>
        <w:r w:rsidRPr="00F14100">
          <w:rPr>
            <w:rStyle w:val="Hyperlink"/>
            <w:noProof/>
            <w:rtl/>
          </w:rPr>
          <w:t xml:space="preserve"> </w:t>
        </w:r>
        <w:r w:rsidRPr="00F14100">
          <w:rPr>
            <w:rStyle w:val="Hyperlink"/>
            <w:rFonts w:hint="cs"/>
            <w:noProof/>
            <w:rtl/>
          </w:rPr>
          <w:t>الشيخ</w:t>
        </w:r>
        <w:r w:rsidRPr="00F14100">
          <w:rPr>
            <w:rStyle w:val="Hyperlink"/>
            <w:noProof/>
            <w:rtl/>
          </w:rPr>
          <w:t xml:space="preserve"> </w:t>
        </w:r>
        <w:r w:rsidRPr="00F14100">
          <w:rPr>
            <w:rStyle w:val="Hyperlink"/>
            <w:rFonts w:hint="cs"/>
            <w:noProof/>
            <w:rtl/>
          </w:rPr>
          <w:t>ناصر</w:t>
        </w:r>
        <w:r w:rsidRPr="00F14100">
          <w:rPr>
            <w:rStyle w:val="Hyperlink"/>
            <w:noProof/>
            <w:rtl/>
          </w:rPr>
          <w:t xml:space="preserve"> </w:t>
        </w:r>
        <w:r w:rsidRPr="00F14100">
          <w:rPr>
            <w:rStyle w:val="Hyperlink"/>
            <w:rFonts w:hint="cs"/>
            <w:noProof/>
            <w:rtl/>
          </w:rPr>
          <w:t>مكارم</w:t>
        </w:r>
        <w:r w:rsidRPr="00F14100">
          <w:rPr>
            <w:rStyle w:val="Hyperlink"/>
            <w:noProof/>
            <w:rtl/>
          </w:rPr>
          <w:t xml:space="preserve"> </w:t>
        </w:r>
        <w:r w:rsidRPr="00F14100">
          <w:rPr>
            <w:rStyle w:val="Hyperlink"/>
            <w:rFonts w:hint="cs"/>
            <w:noProof/>
            <w:rtl/>
          </w:rPr>
          <w:t>الشيرازي</w:t>
        </w:r>
        <w:r w:rsidRPr="00F14100">
          <w:rPr>
            <w:rStyle w:val="Hyperlink"/>
            <w:noProof/>
            <w:rtl/>
          </w:rPr>
          <w:t xml:space="preserve"> </w:t>
        </w:r>
        <w:r w:rsidRPr="00F14100">
          <w:rPr>
            <w:rStyle w:val="Hyperlink"/>
            <w:rFonts w:hint="cs"/>
            <w:noProof/>
            <w:rtl/>
          </w:rPr>
          <w:t>وأعوانه</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Toc387843123 \h</w:instrText>
        </w:r>
        <w:r>
          <w:rPr>
            <w:noProof/>
            <w:webHidden/>
            <w:rtl/>
          </w:rPr>
          <w:instrText xml:space="preserve"> </w:instrText>
        </w:r>
        <w:r>
          <w:rPr>
            <w:rStyle w:val="Hyperlink"/>
            <w:noProof/>
            <w:rtl/>
          </w:rPr>
        </w:r>
        <w:r>
          <w:rPr>
            <w:rStyle w:val="Hyperlink"/>
            <w:noProof/>
            <w:rtl/>
          </w:rPr>
          <w:fldChar w:fldCharType="separate"/>
        </w:r>
        <w:r w:rsidR="00755AAC">
          <w:rPr>
            <w:noProof/>
            <w:webHidden/>
            <w:rtl/>
          </w:rPr>
          <w:t>2</w:t>
        </w:r>
        <w:r>
          <w:rPr>
            <w:rStyle w:val="Hyperlink"/>
            <w:noProof/>
            <w:rtl/>
          </w:rPr>
          <w:fldChar w:fldCharType="end"/>
        </w:r>
      </w:hyperlink>
    </w:p>
    <w:p w:rsidR="00F90700" w:rsidRPr="008607E3" w:rsidRDefault="00F90700">
      <w:pPr>
        <w:pStyle w:val="TOC3"/>
        <w:tabs>
          <w:tab w:val="right" w:leader="dot" w:pos="7248"/>
        </w:tabs>
        <w:bidi/>
        <w:rPr>
          <w:rFonts w:cs="Arial"/>
          <w:noProof/>
          <w:szCs w:val="22"/>
          <w:rtl/>
          <w:lang w:bidi="fa-IR"/>
        </w:rPr>
      </w:pPr>
      <w:hyperlink w:anchor="_Toc387843124" w:history="1">
        <w:r w:rsidRPr="00F14100">
          <w:rPr>
            <w:rStyle w:val="Hyperlink"/>
            <w:rFonts w:hint="cs"/>
            <w:noProof/>
            <w:rtl/>
            <w:lang w:bidi="ar-SY"/>
          </w:rPr>
          <w:t>مقدِّمة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Toc387843124 \h</w:instrText>
        </w:r>
        <w:r>
          <w:rPr>
            <w:noProof/>
            <w:webHidden/>
            <w:rtl/>
          </w:rPr>
          <w:instrText xml:space="preserve"> </w:instrText>
        </w:r>
        <w:r>
          <w:rPr>
            <w:rStyle w:val="Hyperlink"/>
            <w:noProof/>
            <w:rtl/>
          </w:rPr>
        </w:r>
        <w:r>
          <w:rPr>
            <w:rStyle w:val="Hyperlink"/>
            <w:noProof/>
            <w:rtl/>
          </w:rPr>
          <w:fldChar w:fldCharType="separate"/>
        </w:r>
        <w:r w:rsidR="00755AAC">
          <w:rPr>
            <w:noProof/>
            <w:webHidden/>
            <w:rtl/>
          </w:rPr>
          <w:t>2</w:t>
        </w:r>
        <w:r>
          <w:rPr>
            <w:rStyle w:val="Hyperlink"/>
            <w:noProof/>
            <w:rtl/>
          </w:rPr>
          <w:fldChar w:fldCharType="end"/>
        </w:r>
      </w:hyperlink>
    </w:p>
    <w:p w:rsidR="00F90700" w:rsidRPr="008607E3" w:rsidRDefault="00F90700">
      <w:pPr>
        <w:pStyle w:val="TOC3"/>
        <w:tabs>
          <w:tab w:val="right" w:leader="dot" w:pos="7248"/>
        </w:tabs>
        <w:bidi/>
        <w:rPr>
          <w:rFonts w:cs="Arial"/>
          <w:noProof/>
          <w:szCs w:val="22"/>
          <w:rtl/>
          <w:lang w:bidi="fa-IR"/>
        </w:rPr>
      </w:pPr>
      <w:hyperlink w:anchor="_Toc387843125" w:history="1">
        <w:r w:rsidRPr="00F14100">
          <w:rPr>
            <w:rStyle w:val="Hyperlink"/>
            <w:rFonts w:hint="cs"/>
            <w:noProof/>
            <w:rtl/>
            <w:lang w:bidi="ar-SY"/>
          </w:rPr>
          <w:t>مغالطة</w:t>
        </w:r>
        <w:r w:rsidRPr="00F14100">
          <w:rPr>
            <w:rStyle w:val="Hyperlink"/>
            <w:noProof/>
            <w:rtl/>
            <w:lang w:bidi="ar-SY"/>
          </w:rPr>
          <w:t xml:space="preserve"> </w:t>
        </w:r>
        <w:r w:rsidRPr="00F14100">
          <w:rPr>
            <w:rStyle w:val="Hyperlink"/>
            <w:rFonts w:hint="cs"/>
            <w:noProof/>
            <w:rtl/>
            <w:lang w:bidi="ar-SY"/>
          </w:rPr>
          <w:t>وسفسطة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Toc387843125 \h</w:instrText>
        </w:r>
        <w:r>
          <w:rPr>
            <w:noProof/>
            <w:webHidden/>
            <w:rtl/>
          </w:rPr>
          <w:instrText xml:space="preserve"> </w:instrText>
        </w:r>
        <w:r>
          <w:rPr>
            <w:rStyle w:val="Hyperlink"/>
            <w:noProof/>
            <w:rtl/>
          </w:rPr>
        </w:r>
        <w:r>
          <w:rPr>
            <w:rStyle w:val="Hyperlink"/>
            <w:noProof/>
            <w:rtl/>
          </w:rPr>
          <w:fldChar w:fldCharType="separate"/>
        </w:r>
        <w:r w:rsidR="00755AAC">
          <w:rPr>
            <w:noProof/>
            <w:webHidden/>
            <w:rtl/>
          </w:rPr>
          <w:t>2</w:t>
        </w:r>
        <w:r>
          <w:rPr>
            <w:rStyle w:val="Hyperlink"/>
            <w:noProof/>
            <w:rtl/>
          </w:rPr>
          <w:fldChar w:fldCharType="end"/>
        </w:r>
      </w:hyperlink>
    </w:p>
    <w:p w:rsidR="00F90700" w:rsidRPr="008607E3" w:rsidRDefault="00F90700">
      <w:pPr>
        <w:pStyle w:val="TOC2"/>
        <w:rPr>
          <w:rFonts w:ascii="Calibri" w:hAnsi="Calibri" w:cs="Arial"/>
          <w:noProof/>
          <w:sz w:val="22"/>
          <w:szCs w:val="22"/>
          <w:rtl/>
          <w:lang w:eastAsia="en-US" w:bidi="fa-IR"/>
        </w:rPr>
      </w:pPr>
      <w:hyperlink w:anchor="_Toc387843126" w:history="1">
        <w:r w:rsidRPr="00F14100">
          <w:rPr>
            <w:rStyle w:val="Hyperlink"/>
            <w:noProof/>
            <w:rtl/>
          </w:rPr>
          <w:t xml:space="preserve">3- </w:t>
        </w:r>
        <w:r w:rsidRPr="00F14100">
          <w:rPr>
            <w:rStyle w:val="Hyperlink"/>
            <w:rFonts w:hint="cs"/>
            <w:noProof/>
            <w:rtl/>
          </w:rPr>
          <w:t>الجواب</w:t>
        </w:r>
        <w:r w:rsidRPr="00F14100">
          <w:rPr>
            <w:rStyle w:val="Hyperlink"/>
            <w:noProof/>
            <w:rtl/>
          </w:rPr>
          <w:t xml:space="preserve"> </w:t>
        </w:r>
        <w:r w:rsidRPr="00F14100">
          <w:rPr>
            <w:rStyle w:val="Hyperlink"/>
            <w:rFonts w:hint="cs"/>
            <w:noProof/>
            <w:rtl/>
          </w:rPr>
          <w:t>عن</w:t>
        </w:r>
        <w:r w:rsidRPr="00F14100">
          <w:rPr>
            <w:rStyle w:val="Hyperlink"/>
            <w:noProof/>
            <w:rtl/>
          </w:rPr>
          <w:t xml:space="preserve"> </w:t>
        </w:r>
        <w:r w:rsidRPr="00F14100">
          <w:rPr>
            <w:rStyle w:val="Hyperlink"/>
            <w:rFonts w:hint="cs"/>
            <w:noProof/>
            <w:rtl/>
          </w:rPr>
          <w:t>الردّ</w:t>
        </w:r>
        <w:r w:rsidRPr="00F14100">
          <w:rPr>
            <w:rStyle w:val="Hyperlink"/>
            <w:noProof/>
            <w:rtl/>
          </w:rPr>
          <w:t xml:space="preserve"> </w:t>
        </w:r>
        <w:r w:rsidRPr="00F14100">
          <w:rPr>
            <w:rStyle w:val="Hyperlink"/>
            <w:rFonts w:hint="cs"/>
            <w:noProof/>
            <w:rtl/>
          </w:rPr>
          <w:t>الذي</w:t>
        </w:r>
        <w:r w:rsidRPr="00F14100">
          <w:rPr>
            <w:rStyle w:val="Hyperlink"/>
            <w:noProof/>
            <w:rtl/>
          </w:rPr>
          <w:t xml:space="preserve"> </w:t>
        </w:r>
        <w:r w:rsidRPr="00F14100">
          <w:rPr>
            <w:rStyle w:val="Hyperlink"/>
            <w:rFonts w:hint="cs"/>
            <w:noProof/>
            <w:rtl/>
          </w:rPr>
          <w:t>كتبه</w:t>
        </w:r>
        <w:r w:rsidRPr="00F14100">
          <w:rPr>
            <w:rStyle w:val="Hyperlink"/>
            <w:noProof/>
            <w:rtl/>
          </w:rPr>
          <w:t xml:space="preserve"> </w:t>
        </w:r>
        <w:r w:rsidRPr="00F14100">
          <w:rPr>
            <w:rStyle w:val="Hyperlink"/>
            <w:rFonts w:hint="cs"/>
            <w:noProof/>
            <w:rtl/>
          </w:rPr>
          <w:t>السيد</w:t>
        </w:r>
        <w:r w:rsidRPr="00F14100">
          <w:rPr>
            <w:rStyle w:val="Hyperlink"/>
            <w:noProof/>
            <w:rtl/>
          </w:rPr>
          <w:t xml:space="preserve"> </w:t>
        </w:r>
        <w:r w:rsidRPr="00F14100">
          <w:rPr>
            <w:rStyle w:val="Hyperlink"/>
            <w:rFonts w:hint="cs"/>
            <w:noProof/>
            <w:rtl/>
          </w:rPr>
          <w:t>حسن</w:t>
        </w:r>
        <w:r w:rsidRPr="00F14100">
          <w:rPr>
            <w:rStyle w:val="Hyperlink"/>
            <w:noProof/>
            <w:rtl/>
          </w:rPr>
          <w:t xml:space="preserve"> </w:t>
        </w:r>
        <w:r w:rsidRPr="00F14100">
          <w:rPr>
            <w:rStyle w:val="Hyperlink"/>
            <w:rFonts w:hint="cs"/>
            <w:noProof/>
            <w:rtl/>
          </w:rPr>
          <w:t>إمامي</w:t>
        </w:r>
        <w:r w:rsidRPr="00F14100">
          <w:rPr>
            <w:rStyle w:val="Hyperlink"/>
            <w:noProof/>
            <w:rtl/>
          </w:rPr>
          <w:t xml:space="preserve"> </w:t>
        </w:r>
        <w:r w:rsidRPr="00F14100">
          <w:rPr>
            <w:rStyle w:val="Hyperlink"/>
            <w:rFonts w:hint="cs"/>
            <w:noProof/>
            <w:rtl/>
          </w:rPr>
          <w:t>الأصفهاني</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Toc387843126 \h</w:instrText>
        </w:r>
        <w:r>
          <w:rPr>
            <w:noProof/>
            <w:webHidden/>
            <w:rtl/>
          </w:rPr>
          <w:instrText xml:space="preserve"> </w:instrText>
        </w:r>
        <w:r>
          <w:rPr>
            <w:rStyle w:val="Hyperlink"/>
            <w:noProof/>
            <w:rtl/>
          </w:rPr>
        </w:r>
        <w:r>
          <w:rPr>
            <w:rStyle w:val="Hyperlink"/>
            <w:noProof/>
            <w:rtl/>
          </w:rPr>
          <w:fldChar w:fldCharType="separate"/>
        </w:r>
        <w:r w:rsidR="00755AAC">
          <w:rPr>
            <w:noProof/>
            <w:webHidden/>
            <w:rtl/>
          </w:rPr>
          <w:t>2</w:t>
        </w:r>
        <w:r>
          <w:rPr>
            <w:rStyle w:val="Hyperlink"/>
            <w:noProof/>
            <w:rtl/>
          </w:rPr>
          <w:fldChar w:fldCharType="end"/>
        </w:r>
      </w:hyperlink>
    </w:p>
    <w:p w:rsidR="00F90700" w:rsidRPr="008607E3" w:rsidRDefault="00F90700">
      <w:pPr>
        <w:pStyle w:val="TOC3"/>
        <w:tabs>
          <w:tab w:val="right" w:leader="dot" w:pos="7248"/>
        </w:tabs>
        <w:bidi/>
        <w:rPr>
          <w:rFonts w:cs="Arial"/>
          <w:noProof/>
          <w:szCs w:val="22"/>
          <w:rtl/>
          <w:lang w:bidi="fa-IR"/>
        </w:rPr>
      </w:pPr>
      <w:hyperlink w:anchor="_Toc387843127" w:history="1">
        <w:r w:rsidRPr="00F14100">
          <w:rPr>
            <w:rStyle w:val="Hyperlink"/>
            <w:rFonts w:hint="cs"/>
            <w:noProof/>
            <w:rtl/>
          </w:rPr>
          <w:t>حول</w:t>
        </w:r>
        <w:r w:rsidRPr="00F14100">
          <w:rPr>
            <w:rStyle w:val="Hyperlink"/>
            <w:noProof/>
            <w:rtl/>
          </w:rPr>
          <w:t xml:space="preserve"> </w:t>
        </w:r>
        <w:r w:rsidRPr="00F14100">
          <w:rPr>
            <w:rStyle w:val="Hyperlink"/>
            <w:rFonts w:hint="cs"/>
            <w:noProof/>
            <w:rtl/>
          </w:rPr>
          <w:t>كلمة</w:t>
        </w:r>
        <w:r w:rsidRPr="00F14100">
          <w:rPr>
            <w:rStyle w:val="Hyperlink"/>
            <w:noProof/>
            <w:rtl/>
          </w:rPr>
          <w:t xml:space="preserve"> «</w:t>
        </w:r>
        <w:r w:rsidRPr="00F14100">
          <w:rPr>
            <w:rStyle w:val="Hyperlink"/>
            <w:rFonts w:hint="cs"/>
            <w:noProof/>
            <w:rtl/>
          </w:rPr>
          <w:t>الغنيمة</w:t>
        </w:r>
        <w:r w:rsidRPr="00F14100">
          <w:rPr>
            <w:rStyle w:val="Hyperlink"/>
            <w:rFonts w:hint="eastAsia"/>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Toc387843127 \h</w:instrText>
        </w:r>
        <w:r>
          <w:rPr>
            <w:noProof/>
            <w:webHidden/>
            <w:rtl/>
          </w:rPr>
          <w:instrText xml:space="preserve"> </w:instrText>
        </w:r>
        <w:r>
          <w:rPr>
            <w:rStyle w:val="Hyperlink"/>
            <w:noProof/>
            <w:rtl/>
          </w:rPr>
        </w:r>
        <w:r>
          <w:rPr>
            <w:rStyle w:val="Hyperlink"/>
            <w:noProof/>
            <w:rtl/>
          </w:rPr>
          <w:fldChar w:fldCharType="separate"/>
        </w:r>
        <w:r w:rsidR="00755AAC">
          <w:rPr>
            <w:noProof/>
            <w:webHidden/>
            <w:rtl/>
          </w:rPr>
          <w:t>2</w:t>
        </w:r>
        <w:r>
          <w:rPr>
            <w:rStyle w:val="Hyperlink"/>
            <w:noProof/>
            <w:rtl/>
          </w:rPr>
          <w:fldChar w:fldCharType="end"/>
        </w:r>
      </w:hyperlink>
    </w:p>
    <w:p w:rsidR="00F90700" w:rsidRPr="008607E3" w:rsidRDefault="00F90700">
      <w:pPr>
        <w:pStyle w:val="TOC1"/>
        <w:tabs>
          <w:tab w:val="right" w:leader="dot" w:pos="7248"/>
        </w:tabs>
        <w:rPr>
          <w:rFonts w:ascii="Calibri" w:hAnsi="Calibri" w:cs="Arial"/>
          <w:bCs w:val="0"/>
          <w:noProof/>
          <w:sz w:val="22"/>
          <w:szCs w:val="22"/>
          <w:rtl/>
          <w:lang w:eastAsia="en-US" w:bidi="fa-IR"/>
        </w:rPr>
      </w:pPr>
      <w:hyperlink w:anchor="_Toc387843128" w:history="1">
        <w:r w:rsidRPr="00F14100">
          <w:rPr>
            <w:rStyle w:val="Hyperlink"/>
            <w:rFonts w:hint="cs"/>
            <w:noProof/>
            <w:rtl/>
          </w:rPr>
          <w:t>قائمة</w:t>
        </w:r>
        <w:r w:rsidRPr="00F14100">
          <w:rPr>
            <w:rStyle w:val="Hyperlink"/>
            <w:noProof/>
            <w:rtl/>
          </w:rPr>
          <w:t xml:space="preserve"> </w:t>
        </w:r>
        <w:r w:rsidRPr="00F14100">
          <w:rPr>
            <w:rStyle w:val="Hyperlink"/>
            <w:rFonts w:hint="cs"/>
            <w:noProof/>
            <w:rtl/>
          </w:rPr>
          <w:t>المصادر</w:t>
        </w:r>
        <w:r w:rsidRPr="00F14100">
          <w:rPr>
            <w:rStyle w:val="Hyperlink"/>
            <w:noProof/>
            <w:rtl/>
          </w:rPr>
          <w:t xml:space="preserve"> </w:t>
        </w:r>
        <w:r w:rsidRPr="00F14100">
          <w:rPr>
            <w:rStyle w:val="Hyperlink"/>
            <w:rFonts w:hint="cs"/>
            <w:noProof/>
            <w:rtl/>
          </w:rPr>
          <w:t>والمراجع</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Toc387843128 \h</w:instrText>
        </w:r>
        <w:r>
          <w:rPr>
            <w:noProof/>
            <w:webHidden/>
            <w:rtl/>
          </w:rPr>
          <w:instrText xml:space="preserve"> </w:instrText>
        </w:r>
        <w:r>
          <w:rPr>
            <w:rStyle w:val="Hyperlink"/>
            <w:noProof/>
            <w:rtl/>
          </w:rPr>
        </w:r>
        <w:r>
          <w:rPr>
            <w:rStyle w:val="Hyperlink"/>
            <w:noProof/>
            <w:rtl/>
          </w:rPr>
          <w:fldChar w:fldCharType="separate"/>
        </w:r>
        <w:r w:rsidR="00755AAC">
          <w:rPr>
            <w:noProof/>
            <w:webHidden/>
            <w:rtl/>
          </w:rPr>
          <w:t>2</w:t>
        </w:r>
        <w:r>
          <w:rPr>
            <w:rStyle w:val="Hyperlink"/>
            <w:noProof/>
            <w:rtl/>
          </w:rPr>
          <w:fldChar w:fldCharType="end"/>
        </w:r>
      </w:hyperlink>
    </w:p>
    <w:p w:rsidR="00EC7905" w:rsidRPr="00C3556F" w:rsidRDefault="00EC7905" w:rsidP="00C3556F">
      <w:pPr>
        <w:pStyle w:val="a0"/>
        <w:rPr>
          <w:rFonts w:hint="cs"/>
          <w:rtl/>
        </w:rPr>
      </w:pPr>
      <w:r w:rsidRPr="00995B26">
        <w:rPr>
          <w:rtl/>
        </w:rPr>
        <w:fldChar w:fldCharType="end"/>
      </w:r>
    </w:p>
    <w:p w:rsidR="004A2B58" w:rsidRPr="00C3556F" w:rsidRDefault="004A2B58" w:rsidP="00C3556F">
      <w:pPr>
        <w:pStyle w:val="a0"/>
        <w:rPr>
          <w:rFonts w:hint="cs"/>
          <w:rtl/>
        </w:rPr>
      </w:pPr>
    </w:p>
    <w:p w:rsidR="004A2B58" w:rsidRPr="00C3556F" w:rsidRDefault="004A2B58" w:rsidP="008E6B97">
      <w:pPr>
        <w:pStyle w:val="a0"/>
        <w:ind w:firstLine="0"/>
        <w:jc w:val="center"/>
        <w:rPr>
          <w:rFonts w:hint="cs"/>
          <w:rtl/>
        </w:rPr>
      </w:pPr>
      <w:r w:rsidRPr="00C3556F">
        <w:rPr>
          <w:rFonts w:hint="cs"/>
          <w:sz w:val="36"/>
          <w:rtl/>
        </w:rPr>
        <w:sym w:font="AGA Arabesque" w:char="F02B"/>
      </w:r>
      <w:r w:rsidRPr="00C3556F">
        <w:rPr>
          <w:rFonts w:hint="cs"/>
          <w:sz w:val="36"/>
          <w:rtl/>
        </w:rPr>
        <w:sym w:font="AGA Arabesque" w:char="F02B"/>
      </w:r>
      <w:r w:rsidRPr="00C3556F">
        <w:rPr>
          <w:rFonts w:hint="cs"/>
          <w:sz w:val="36"/>
          <w:rtl/>
        </w:rPr>
        <w:t xml:space="preserve"> </w:t>
      </w:r>
      <w:r w:rsidRPr="00C3556F">
        <w:rPr>
          <w:rFonts w:hint="cs"/>
          <w:sz w:val="36"/>
          <w:rtl/>
        </w:rPr>
        <w:sym w:font="AGA Arabesque" w:char="F02B"/>
      </w:r>
    </w:p>
    <w:p w:rsidR="001A5A8F" w:rsidRPr="00C3556F" w:rsidRDefault="001A5A8F" w:rsidP="00C3556F">
      <w:pPr>
        <w:pStyle w:val="a0"/>
        <w:rPr>
          <w:rtl/>
        </w:rPr>
        <w:sectPr w:rsidR="001A5A8F" w:rsidRPr="00C3556F" w:rsidSect="00010AE3">
          <w:headerReference w:type="even" r:id="rId9"/>
          <w:headerReference w:type="default" r:id="rId10"/>
          <w:footerReference w:type="even" r:id="rId11"/>
          <w:footerReference w:type="default" r:id="rId12"/>
          <w:headerReference w:type="first" r:id="rId13"/>
          <w:footerReference w:type="first" r:id="rId14"/>
          <w:footnotePr>
            <w:numRestart w:val="eachPage"/>
          </w:footnotePr>
          <w:type w:val="oddPage"/>
          <w:pgSz w:w="9356" w:h="13608" w:code="34"/>
          <w:pgMar w:top="964" w:right="1134" w:bottom="1134" w:left="964" w:header="0" w:footer="851" w:gutter="0"/>
          <w:pgNumType w:fmt="arabicAbjad" w:start="1"/>
          <w:cols w:space="708"/>
          <w:titlePg/>
          <w:bidi/>
          <w:rtlGutter/>
          <w:docGrid w:linePitch="360"/>
        </w:sectPr>
      </w:pPr>
    </w:p>
    <w:p w:rsidR="00963823" w:rsidRPr="0087305F" w:rsidRDefault="00963823" w:rsidP="00963823">
      <w:pPr>
        <w:widowControl w:val="0"/>
        <w:spacing w:after="60" w:line="228" w:lineRule="auto"/>
        <w:ind w:firstLine="340"/>
        <w:jc w:val="both"/>
        <w:rPr>
          <w:rFonts w:cs="mylotus" w:hint="cs"/>
          <w:sz w:val="6"/>
          <w:szCs w:val="6"/>
        </w:rPr>
      </w:pPr>
      <w:bookmarkStart w:id="4" w:name="_Toc300909625"/>
    </w:p>
    <w:bookmarkEnd w:id="4"/>
    <w:p w:rsidR="00963823" w:rsidRPr="00963823" w:rsidRDefault="00963823" w:rsidP="00963823">
      <w:pPr>
        <w:jc w:val="center"/>
        <w:rPr>
          <w:rFonts w:ascii="110_Besmellah" w:eastAsia="Calibri" w:hAnsi="110_Besmellah" w:cs="KFGQPC Uthman Taha Naskh"/>
          <w:b/>
          <w:bCs/>
          <w:sz w:val="32"/>
          <w:szCs w:val="32"/>
          <w:rtl/>
          <w:lang w:bidi="ar-SY"/>
        </w:rPr>
      </w:pPr>
      <w:r w:rsidRPr="00963823">
        <w:rPr>
          <w:rFonts w:ascii="110_Besmellah" w:eastAsia="Calibri" w:hAnsi="110_Besmellah" w:cs="Times New Roman"/>
          <w:sz w:val="72"/>
          <w:szCs w:val="72"/>
          <w:lang w:bidi="fa-IR"/>
        </w:rPr>
        <w:t>f</w:t>
      </w:r>
    </w:p>
    <w:p w:rsidR="00963823" w:rsidRPr="00963823" w:rsidRDefault="00963823" w:rsidP="0087305F">
      <w:pPr>
        <w:pStyle w:val="Heading1"/>
        <w:spacing w:before="600"/>
        <w:rPr>
          <w:rFonts w:eastAsia="Calibri"/>
          <w:rtl/>
          <w:lang w:bidi="ar-SY"/>
        </w:rPr>
      </w:pPr>
      <w:bookmarkStart w:id="5" w:name="_Toc342263217"/>
      <w:bookmarkStart w:id="6" w:name="_Toc377068733"/>
      <w:bookmarkStart w:id="7" w:name="_Toc381812575"/>
      <w:bookmarkStart w:id="8" w:name="_Toc385428751"/>
      <w:bookmarkStart w:id="9" w:name="_Toc387843029"/>
      <w:r w:rsidRPr="00963823">
        <w:rPr>
          <w:rFonts w:eastAsia="Calibri" w:hint="cs"/>
          <w:rtl/>
          <w:lang w:bidi="ar-SY"/>
        </w:rPr>
        <w:t>مقدمة المشروع</w:t>
      </w:r>
      <w:bookmarkEnd w:id="5"/>
      <w:bookmarkEnd w:id="6"/>
      <w:bookmarkEnd w:id="7"/>
      <w:bookmarkEnd w:id="8"/>
      <w:bookmarkEnd w:id="9"/>
    </w:p>
    <w:p w:rsidR="00963823" w:rsidRPr="00EF45F7" w:rsidRDefault="00963823" w:rsidP="00963823">
      <w:pPr>
        <w:spacing w:after="60" w:line="228" w:lineRule="auto"/>
        <w:ind w:firstLine="284"/>
        <w:jc w:val="both"/>
        <w:rPr>
          <w:rFonts w:ascii="110_Besmellah" w:eastAsia="Calibri" w:hAnsi="110_Besmellah" w:cs="mylotus"/>
          <w:spacing w:val="-4"/>
          <w:sz w:val="28"/>
          <w:szCs w:val="27"/>
          <w:rtl/>
          <w:lang w:bidi="ar-SY"/>
        </w:rPr>
      </w:pPr>
      <w:r w:rsidRPr="00EF45F7">
        <w:rPr>
          <w:rFonts w:ascii="110_Besmellah" w:eastAsia="Calibri" w:hAnsi="110_Besmellah" w:cs="mylotus" w:hint="cs"/>
          <w:spacing w:val="-4"/>
          <w:sz w:val="28"/>
          <w:szCs w:val="27"/>
          <w:rtl/>
          <w:lang w:bidi="ar-SY"/>
        </w:rPr>
        <w:t>الحمد لله الذي أنعم على عباده بنعمة الإسلام، واختار منهم أفضل عباده وأطهرهم لإبلاغ رسالة الحرية والتحرُّر من كل عبودية سوى عبودية الله، والصلاة والسلام على أهل بيتِ نبي المحبة والرحمة الكرام الأطهار، وعلى صحبه الأجلاء الأبرار، وعلى من تبعهم بإحسان إلى يوم الدين.</w:t>
      </w:r>
    </w:p>
    <w:p w:rsidR="00963823" w:rsidRPr="0087305F" w:rsidRDefault="00963823" w:rsidP="00963823">
      <w:pPr>
        <w:spacing w:after="60" w:line="228" w:lineRule="auto"/>
        <w:ind w:firstLine="284"/>
        <w:jc w:val="both"/>
        <w:rPr>
          <w:rFonts w:ascii="110_Besmellah" w:eastAsia="Calibri" w:hAnsi="110_Besmellah" w:cs="mylotus" w:hint="cs"/>
          <w:spacing w:val="-4"/>
          <w:sz w:val="28"/>
          <w:szCs w:val="27"/>
          <w:rtl/>
          <w:lang w:bidi="fa-IR"/>
        </w:rPr>
      </w:pPr>
      <w:r w:rsidRPr="0087305F">
        <w:rPr>
          <w:rFonts w:ascii="110_Besmellah" w:eastAsia="Calibri" w:hAnsi="110_Besmellah" w:cs="mylotus" w:hint="cs"/>
          <w:spacing w:val="-4"/>
          <w:sz w:val="28"/>
          <w:szCs w:val="27"/>
          <w:rtl/>
          <w:lang w:bidi="ar-SY"/>
        </w:rPr>
        <w:t>أما بعد، فإن الدينَ الذي نفخر به اليوم ثمرةٌ لجهاد رجال الله وتضحياتهم؛ أولئك الذين كانت قلوبهم  مُتَيَّمةً بحب الله، وألسنتهم ل</w:t>
      </w:r>
      <w:r w:rsidRPr="0087305F">
        <w:rPr>
          <w:rFonts w:ascii="Symbol" w:eastAsia="Calibri" w:hAnsi="Symbol" w:cs="mylotus" w:hint="cs"/>
          <w:spacing w:val="-4"/>
          <w:sz w:val="28"/>
          <w:szCs w:val="27"/>
          <w:rtl/>
          <w:lang w:bidi="ar-SY"/>
        </w:rPr>
        <w:t>َـ</w:t>
      </w:r>
      <w:r w:rsidRPr="0087305F">
        <w:rPr>
          <w:rFonts w:ascii="110_Besmellah" w:eastAsia="Calibri" w:hAnsi="110_Besmellah" w:cs="mylotus" w:hint="cs"/>
          <w:spacing w:val="-4"/>
          <w:sz w:val="28"/>
          <w:szCs w:val="27"/>
          <w:rtl/>
          <w:lang w:bidi="ar-SY"/>
        </w:rPr>
        <w:t>هِجَةً بذكر الله، وبذلوا الغالي والنفيس في سبيل حفظ رسالات الله ونشرها، واضعين أرواحهم وأموالهم وأعراضهم على أكفهم ليقدِّموها رخيصةً في سبيل صون كلمة الله سبحانه و سنة نبيه الكريم، لا تأخذهم في ذلك لومة لائم، ولا يخشون إلا الله.</w:t>
      </w:r>
    </w:p>
    <w:p w:rsidR="00963823" w:rsidRPr="00963823" w:rsidRDefault="00963823" w:rsidP="00963823">
      <w:pPr>
        <w:spacing w:after="60" w:line="228" w:lineRule="auto"/>
        <w:ind w:firstLine="284"/>
        <w:jc w:val="both"/>
        <w:rPr>
          <w:rFonts w:ascii="110_Besmellah" w:eastAsia="Calibri" w:hAnsi="110_Besmellah" w:cs="mylotus"/>
          <w:sz w:val="28"/>
          <w:szCs w:val="27"/>
          <w:rtl/>
        </w:rPr>
      </w:pPr>
      <w:r w:rsidRPr="00963823">
        <w:rPr>
          <w:rFonts w:ascii="110_Besmellah" w:eastAsia="Calibri" w:hAnsi="110_Besmellah" w:cs="mylotus" w:hint="cs"/>
          <w:sz w:val="28"/>
          <w:szCs w:val="27"/>
          <w:rtl/>
          <w:lang w:bidi="ar-SY"/>
        </w:rPr>
        <w:t xml:space="preserve">أجل، هكذا قامت شجرةُ </w:t>
      </w:r>
      <w:r w:rsidRPr="00963823">
        <w:rPr>
          <w:rFonts w:ascii="110_Besmellah" w:eastAsia="Calibri" w:hAnsi="110_Besmellah" w:cs="mylotus" w:hint="cs"/>
          <w:sz w:val="28"/>
          <w:szCs w:val="27"/>
          <w:rtl/>
        </w:rPr>
        <w:t>الإِسْلاَمُ</w:t>
      </w:r>
      <w:r w:rsidRPr="00963823">
        <w:rPr>
          <w:rFonts w:ascii="110_Besmellah" w:eastAsia="Calibri" w:hAnsi="110_Besmellah" w:cs="mylotus"/>
          <w:sz w:val="28"/>
          <w:szCs w:val="27"/>
          <w:rtl/>
        </w:rPr>
        <w:t xml:space="preserve"> </w:t>
      </w:r>
      <w:r w:rsidRPr="00963823">
        <w:rPr>
          <w:rFonts w:ascii="110_Besmellah" w:eastAsia="Calibri" w:hAnsi="110_Besmellah" w:cs="mylotus" w:hint="cs"/>
          <w:sz w:val="28"/>
          <w:szCs w:val="27"/>
          <w:rtl/>
        </w:rPr>
        <w:t>العزيز واسْتَقَرَّت ضاربةً بجذورِها أعماق الأرض، بالغةً بفروعها وثمارها عنان السماء، مُعْليةً كلمة التوحيد والمساواة.</w:t>
      </w:r>
    </w:p>
    <w:p w:rsidR="00963823" w:rsidRPr="00963823" w:rsidRDefault="00963823" w:rsidP="00963823">
      <w:pPr>
        <w:spacing w:after="60" w:line="228" w:lineRule="auto"/>
        <w:ind w:firstLine="284"/>
        <w:jc w:val="both"/>
        <w:rPr>
          <w:rFonts w:ascii="110_Besmellah" w:eastAsia="Calibri" w:hAnsi="110_Besmellah" w:cs="mylotus"/>
          <w:sz w:val="28"/>
          <w:szCs w:val="27"/>
          <w:rtl/>
        </w:rPr>
      </w:pPr>
      <w:r w:rsidRPr="00963823">
        <w:rPr>
          <w:rFonts w:ascii="110_Besmellah" w:eastAsia="Calibri" w:hAnsi="110_Besmellah" w:cs="mylotus" w:hint="cs"/>
          <w:sz w:val="28"/>
          <w:szCs w:val="27"/>
          <w:rtl/>
        </w:rPr>
        <w:t>ولكن في أثناء ذلك، تطاولت على قامة الإسلام يد أعدائه الألدَّاء، وظلم علماء السوء وتحريف المتعبِّدين الجَهَلة، فَشَوَّهُوا صورة الإسلام الناصعة بشركهم وغلوهم وخرافاتهم وأكاذيبهم، إلى درجة أن تلك الأكاذيب التي كان ينشرها المتاجرون بالدين غطَّت وجه الإسلام الناصع. وقد اشتدَّ هذا المنحى من الابتعاد عن حقائق الدين  وعن سنة رسول الله الحسنة، بمجيء الصفويين إلى حكم إيران في القرن التاسع الهجري ثم بقيام الجمهورية الإسلامية في العصر الحاضر، حتى أصبحت المساجد اليوم محلاً لِـلَطْمِ الصدور وإقامة المآتم ومجالس العزاء، وحلَّت الأحاديث الموضوعة المكذوبة محل سنة النبي</w:t>
      </w:r>
      <w:r w:rsidRPr="00963823">
        <w:rPr>
          <w:rFonts w:ascii="110_Besmellah" w:eastAsia="Calibri" w:hAnsi="110_Besmellah" w:cs="CTraditional Arabic" w:hint="cs"/>
          <w:sz w:val="28"/>
          <w:szCs w:val="27"/>
          <w:rtl/>
        </w:rPr>
        <w:t>ص</w:t>
      </w:r>
      <w:r w:rsidRPr="00963823">
        <w:rPr>
          <w:rFonts w:ascii="110_Besmellah" w:eastAsia="Calibri" w:hAnsi="110_Besmellah" w:cs="mylotus" w:hint="cs"/>
          <w:sz w:val="28"/>
          <w:szCs w:val="27"/>
          <w:rtl/>
        </w:rPr>
        <w:t xml:space="preserve">، وأصبح المدَّاحون الجهلاء الخدّاعون للعوام، هم الناطقون الرسميون باسم الدين؛ وأصبح التفسير بالرأي </w:t>
      </w:r>
      <w:r w:rsidRPr="00963823">
        <w:rPr>
          <w:rFonts w:ascii="110_Besmellah" w:eastAsia="Calibri" w:hAnsi="110_Besmellah" w:cs="mylotus" w:hint="cs"/>
          <w:sz w:val="28"/>
          <w:szCs w:val="27"/>
          <w:rtl/>
        </w:rPr>
        <w:lastRenderedPageBreak/>
        <w:t>المذموم والروايات الموضوعة المختَلَقة مستمسكاً للتفرقة بين الشيعة والسنة، ولم يدروا للأسف من الذي سينتفع ويستفيد من هذه التفرقة المقيتة؟</w:t>
      </w:r>
    </w:p>
    <w:p w:rsidR="00963823" w:rsidRPr="00963823" w:rsidRDefault="00963823" w:rsidP="00963823">
      <w:pPr>
        <w:spacing w:after="60" w:line="228" w:lineRule="auto"/>
        <w:ind w:firstLine="284"/>
        <w:jc w:val="both"/>
        <w:rPr>
          <w:rFonts w:ascii="110_Besmellah" w:eastAsia="Calibri" w:hAnsi="110_Besmellah" w:cs="mylotus"/>
          <w:sz w:val="28"/>
          <w:szCs w:val="27"/>
          <w:rtl/>
        </w:rPr>
      </w:pPr>
      <w:r w:rsidRPr="00963823">
        <w:rPr>
          <w:rFonts w:ascii="110_Besmellah" w:eastAsia="Calibri" w:hAnsi="110_Besmellah" w:cs="mylotus" w:hint="cs"/>
          <w:sz w:val="28"/>
          <w:szCs w:val="27"/>
          <w:rtl/>
        </w:rPr>
        <w:t>إن دعوة التقريب بين المذاهب الإسلامية التي تُرْفع اليوم في إيران، ليست سوى ضجَّة إعلامية ودعاية سياسية واسعة، القصد منها جذب الأنظار وإعطاء صورة جيدة عن حكومة إيران الشيعية في العالم. إن نظرةً إلى قادة الشيعة في إيران وزعماءهم الدينيين ومراجعهم تدل بوضوح على هذه  الحقيقة وهي أن التقريب بين المذاهب الإسلامية والأخوَّة والمحبَّة الدينية بين المسلمين، على منهج حُكَّام إيران الحاليين، ليست سوى رؤيا وخيالٍ وشعارات برَّاقة لا حقيقة لها على أرض الواقع.</w:t>
      </w:r>
    </w:p>
    <w:p w:rsidR="00963823" w:rsidRPr="00963823" w:rsidRDefault="00963823" w:rsidP="00963823">
      <w:pPr>
        <w:spacing w:after="60" w:line="228" w:lineRule="auto"/>
        <w:ind w:firstLine="284"/>
        <w:jc w:val="both"/>
        <w:rPr>
          <w:rFonts w:ascii="110_Besmellah" w:eastAsia="Calibri" w:hAnsi="110_Besmellah" w:cs="mylotus"/>
          <w:sz w:val="28"/>
          <w:szCs w:val="27"/>
          <w:rtl/>
        </w:rPr>
      </w:pPr>
      <w:r w:rsidRPr="00963823">
        <w:rPr>
          <w:rFonts w:ascii="110_Besmellah" w:eastAsia="Calibri" w:hAnsi="110_Besmellah" w:cs="mylotus" w:hint="cs"/>
          <w:sz w:val="28"/>
          <w:szCs w:val="27"/>
          <w:rtl/>
        </w:rPr>
        <w:t xml:space="preserve">في هذا الخِضَمّ نهض أفراد مؤمنون موحِّدون من وسط مجتمع الشيعة الإمامية في إيران، </w:t>
      </w:r>
      <w:r w:rsidRPr="00963823">
        <w:rPr>
          <w:rFonts w:ascii="110_Besmellah" w:eastAsia="Calibri" w:hAnsi="110_Besmellah" w:cs="mylotus" w:hint="cs"/>
          <w:sz w:val="28"/>
          <w:szCs w:val="27"/>
          <w:rtl/>
          <w:lang w:bidi="ar-SY"/>
        </w:rPr>
        <w:t>دعوا</w:t>
      </w:r>
      <w:r w:rsidRPr="00963823">
        <w:rPr>
          <w:rFonts w:ascii="110_Besmellah" w:eastAsia="Calibri" w:hAnsi="110_Besmellah" w:cs="mylotus"/>
          <w:sz w:val="28"/>
          <w:szCs w:val="27"/>
          <w:rtl/>
          <w:lang w:bidi="ar-SY"/>
        </w:rPr>
        <w:t xml:space="preserve"> </w:t>
      </w:r>
      <w:r w:rsidRPr="00963823">
        <w:rPr>
          <w:rFonts w:ascii="110_Besmellah" w:eastAsia="Calibri" w:hAnsi="110_Besmellah" w:cs="mylotus" w:hint="cs"/>
          <w:sz w:val="28"/>
          <w:szCs w:val="27"/>
          <w:rtl/>
          <w:lang w:bidi="ar-SY"/>
        </w:rPr>
        <w:t>إلى</w:t>
      </w:r>
      <w:r w:rsidRPr="00963823">
        <w:rPr>
          <w:rFonts w:ascii="110_Besmellah" w:eastAsia="Calibri" w:hAnsi="110_Besmellah" w:cs="mylotus"/>
          <w:sz w:val="28"/>
          <w:szCs w:val="27"/>
          <w:rtl/>
          <w:lang w:bidi="ar-SY"/>
        </w:rPr>
        <w:t xml:space="preserve"> </w:t>
      </w:r>
      <w:r w:rsidRPr="00963823">
        <w:rPr>
          <w:rFonts w:ascii="110_Besmellah" w:eastAsia="Calibri" w:hAnsi="110_Besmellah" w:cs="mylotus" w:hint="cs"/>
          <w:sz w:val="28"/>
          <w:szCs w:val="27"/>
          <w:rtl/>
          <w:lang w:bidi="ar-SY"/>
        </w:rPr>
        <w:t>النقد</w:t>
      </w:r>
      <w:r w:rsidRPr="00963823">
        <w:rPr>
          <w:rFonts w:ascii="110_Besmellah" w:eastAsia="Calibri" w:hAnsi="110_Besmellah" w:cs="mylotus"/>
          <w:sz w:val="28"/>
          <w:szCs w:val="27"/>
          <w:rtl/>
          <w:lang w:bidi="ar-SY"/>
        </w:rPr>
        <w:t xml:space="preserve"> </w:t>
      </w:r>
      <w:r w:rsidRPr="00963823">
        <w:rPr>
          <w:rFonts w:ascii="110_Besmellah" w:eastAsia="Calibri" w:hAnsi="110_Besmellah" w:cs="mylotus" w:hint="cs"/>
          <w:sz w:val="28"/>
          <w:szCs w:val="27"/>
          <w:rtl/>
          <w:lang w:bidi="ar-SY"/>
        </w:rPr>
        <w:t>الذاتي</w:t>
      </w:r>
      <w:r w:rsidRPr="00963823">
        <w:rPr>
          <w:rFonts w:ascii="110_Besmellah" w:eastAsia="Calibri" w:hAnsi="110_Besmellah" w:cs="mylotus"/>
          <w:sz w:val="28"/>
          <w:szCs w:val="27"/>
          <w:rtl/>
          <w:lang w:bidi="ar-SY"/>
        </w:rPr>
        <w:t xml:space="preserve"> </w:t>
      </w:r>
      <w:r w:rsidRPr="00963823">
        <w:rPr>
          <w:rFonts w:ascii="110_Besmellah" w:eastAsia="Calibri" w:hAnsi="110_Besmellah" w:cs="mylotus" w:hint="cs"/>
          <w:sz w:val="28"/>
          <w:szCs w:val="27"/>
          <w:rtl/>
          <w:lang w:bidi="ar-SY"/>
        </w:rPr>
        <w:t>وإعادة</w:t>
      </w:r>
      <w:r w:rsidRPr="00963823">
        <w:rPr>
          <w:rFonts w:ascii="110_Besmellah" w:eastAsia="Calibri" w:hAnsi="110_Besmellah" w:cs="mylotus"/>
          <w:sz w:val="28"/>
          <w:szCs w:val="27"/>
          <w:rtl/>
          <w:lang w:bidi="ar-SY"/>
        </w:rPr>
        <w:t xml:space="preserve"> </w:t>
      </w:r>
      <w:r w:rsidRPr="00963823">
        <w:rPr>
          <w:rFonts w:ascii="110_Besmellah" w:eastAsia="Calibri" w:hAnsi="110_Besmellah" w:cs="mylotus" w:hint="cs"/>
          <w:sz w:val="28"/>
          <w:szCs w:val="27"/>
          <w:rtl/>
          <w:lang w:bidi="ar-SY"/>
        </w:rPr>
        <w:t>النظر</w:t>
      </w:r>
      <w:r w:rsidRPr="00963823">
        <w:rPr>
          <w:rFonts w:ascii="110_Besmellah" w:eastAsia="Calibri" w:hAnsi="110_Besmellah" w:cs="mylotus"/>
          <w:sz w:val="28"/>
          <w:szCs w:val="27"/>
          <w:rtl/>
          <w:lang w:bidi="ar-SY"/>
        </w:rPr>
        <w:t xml:space="preserve"> </w:t>
      </w:r>
      <w:r w:rsidRPr="00963823">
        <w:rPr>
          <w:rFonts w:ascii="110_Besmellah" w:eastAsia="Calibri" w:hAnsi="110_Besmellah" w:cs="mylotus" w:hint="cs"/>
          <w:sz w:val="28"/>
          <w:szCs w:val="27"/>
          <w:rtl/>
          <w:lang w:bidi="ar-SY"/>
        </w:rPr>
        <w:t>في</w:t>
      </w:r>
      <w:r w:rsidRPr="00963823">
        <w:rPr>
          <w:rFonts w:ascii="110_Besmellah" w:eastAsia="Calibri" w:hAnsi="110_Besmellah" w:cs="mylotus"/>
          <w:sz w:val="28"/>
          <w:szCs w:val="27"/>
          <w:rtl/>
          <w:lang w:bidi="ar-SY"/>
        </w:rPr>
        <w:t xml:space="preserve"> </w:t>
      </w:r>
      <w:r w:rsidRPr="00963823">
        <w:rPr>
          <w:rFonts w:ascii="110_Besmellah" w:eastAsia="Calibri" w:hAnsi="110_Besmellah" w:cs="mylotus" w:hint="cs"/>
          <w:sz w:val="28"/>
          <w:szCs w:val="27"/>
          <w:rtl/>
          <w:lang w:bidi="ar-SY"/>
        </w:rPr>
        <w:t>العقائد</w:t>
      </w:r>
      <w:r w:rsidRPr="00963823">
        <w:rPr>
          <w:rFonts w:ascii="110_Besmellah" w:eastAsia="Calibri" w:hAnsi="110_Besmellah" w:cs="mylotus"/>
          <w:sz w:val="28"/>
          <w:szCs w:val="27"/>
          <w:rtl/>
          <w:lang w:bidi="ar-SY"/>
        </w:rPr>
        <w:t xml:space="preserve"> </w:t>
      </w:r>
      <w:r w:rsidRPr="00963823">
        <w:rPr>
          <w:rFonts w:ascii="110_Besmellah" w:eastAsia="Calibri" w:hAnsi="110_Besmellah" w:cs="mylotus" w:hint="cs"/>
          <w:sz w:val="28"/>
          <w:szCs w:val="27"/>
          <w:rtl/>
          <w:lang w:bidi="ar-SY"/>
        </w:rPr>
        <w:t>والممارسات</w:t>
      </w:r>
      <w:r w:rsidRPr="00963823">
        <w:rPr>
          <w:rFonts w:ascii="110_Besmellah" w:eastAsia="Calibri" w:hAnsi="110_Besmellah" w:cs="mylotus"/>
          <w:sz w:val="28"/>
          <w:szCs w:val="27"/>
          <w:rtl/>
          <w:lang w:bidi="ar-SY"/>
        </w:rPr>
        <w:t xml:space="preserve"> </w:t>
      </w:r>
      <w:r w:rsidRPr="00963823">
        <w:rPr>
          <w:rFonts w:ascii="110_Besmellah" w:eastAsia="Calibri" w:hAnsi="110_Besmellah" w:cs="mylotus" w:hint="cs"/>
          <w:sz w:val="28"/>
          <w:szCs w:val="27"/>
          <w:rtl/>
          <w:lang w:bidi="ar-SY"/>
        </w:rPr>
        <w:t>الشيعية</w:t>
      </w:r>
      <w:r w:rsidRPr="00963823">
        <w:rPr>
          <w:rFonts w:ascii="110_Besmellah" w:eastAsia="Calibri" w:hAnsi="110_Besmellah" w:cs="mylotus"/>
          <w:sz w:val="28"/>
          <w:szCs w:val="27"/>
          <w:rtl/>
          <w:lang w:bidi="ar-SY"/>
        </w:rPr>
        <w:t xml:space="preserve"> </w:t>
      </w:r>
      <w:r w:rsidRPr="00963823">
        <w:rPr>
          <w:rFonts w:ascii="110_Besmellah" w:eastAsia="Calibri" w:hAnsi="110_Besmellah" w:cs="mylotus" w:hint="cs"/>
          <w:sz w:val="28"/>
          <w:szCs w:val="27"/>
          <w:rtl/>
          <w:lang w:bidi="ar-SY"/>
        </w:rPr>
        <w:t>الموروثة،</w:t>
      </w:r>
      <w:r w:rsidRPr="00963823">
        <w:rPr>
          <w:rFonts w:ascii="110_Besmellah" w:eastAsia="Calibri" w:hAnsi="110_Besmellah" w:cs="mylotus"/>
          <w:sz w:val="28"/>
          <w:szCs w:val="27"/>
          <w:rtl/>
          <w:lang w:bidi="ar-SY"/>
        </w:rPr>
        <w:t xml:space="preserve"> </w:t>
      </w:r>
      <w:r w:rsidRPr="00963823">
        <w:rPr>
          <w:rFonts w:ascii="110_Besmellah" w:eastAsia="Calibri" w:hAnsi="110_Besmellah" w:cs="mylotus" w:hint="cs"/>
          <w:sz w:val="28"/>
          <w:szCs w:val="27"/>
          <w:rtl/>
          <w:lang w:bidi="ar-SY"/>
        </w:rPr>
        <w:t>ونبذ</w:t>
      </w:r>
      <w:r w:rsidRPr="00963823">
        <w:rPr>
          <w:rFonts w:ascii="110_Besmellah" w:eastAsia="Calibri" w:hAnsi="110_Besmellah" w:cs="mylotus"/>
          <w:sz w:val="28"/>
          <w:szCs w:val="27"/>
          <w:rtl/>
          <w:lang w:bidi="ar-SY"/>
        </w:rPr>
        <w:t xml:space="preserve"> </w:t>
      </w:r>
      <w:r w:rsidRPr="00963823">
        <w:rPr>
          <w:rFonts w:ascii="110_Besmellah" w:eastAsia="Calibri" w:hAnsi="110_Besmellah" w:cs="mylotus" w:hint="cs"/>
          <w:sz w:val="28"/>
          <w:szCs w:val="27"/>
          <w:rtl/>
          <w:lang w:bidi="ar-SY"/>
        </w:rPr>
        <w:t>البدع</w:t>
      </w:r>
      <w:r w:rsidRPr="00963823">
        <w:rPr>
          <w:rFonts w:ascii="110_Besmellah" w:eastAsia="Calibri" w:hAnsi="110_Besmellah" w:cs="mylotus"/>
          <w:sz w:val="28"/>
          <w:szCs w:val="27"/>
          <w:rtl/>
          <w:lang w:bidi="ar-SY"/>
        </w:rPr>
        <w:t xml:space="preserve"> </w:t>
      </w:r>
      <w:r w:rsidRPr="00963823">
        <w:rPr>
          <w:rFonts w:ascii="110_Besmellah" w:eastAsia="Calibri" w:hAnsi="110_Besmellah" w:cs="mylotus" w:hint="cs"/>
          <w:sz w:val="28"/>
          <w:szCs w:val="27"/>
          <w:rtl/>
          <w:lang w:bidi="ar-SY"/>
        </w:rPr>
        <w:t>الطارئة</w:t>
      </w:r>
      <w:r w:rsidRPr="00963823">
        <w:rPr>
          <w:rFonts w:ascii="110_Besmellah" w:eastAsia="Calibri" w:hAnsi="110_Besmellah" w:cs="mylotus"/>
          <w:sz w:val="28"/>
          <w:szCs w:val="27"/>
          <w:rtl/>
          <w:lang w:bidi="ar-SY"/>
        </w:rPr>
        <w:t xml:space="preserve"> </w:t>
      </w:r>
      <w:r w:rsidRPr="00963823">
        <w:rPr>
          <w:rFonts w:ascii="110_Besmellah" w:eastAsia="Calibri" w:hAnsi="110_Besmellah" w:cs="mylotus" w:hint="cs"/>
          <w:sz w:val="28"/>
          <w:szCs w:val="27"/>
          <w:rtl/>
          <w:lang w:bidi="ar-SY"/>
        </w:rPr>
        <w:t>والخرافات</w:t>
      </w:r>
      <w:r w:rsidRPr="00963823">
        <w:rPr>
          <w:rFonts w:ascii="110_Besmellah" w:eastAsia="Calibri" w:hAnsi="110_Besmellah" w:cs="mylotus"/>
          <w:sz w:val="28"/>
          <w:szCs w:val="27"/>
          <w:rtl/>
          <w:lang w:bidi="ar-SY"/>
        </w:rPr>
        <w:t xml:space="preserve"> </w:t>
      </w:r>
      <w:r w:rsidRPr="00963823">
        <w:rPr>
          <w:rFonts w:ascii="110_Besmellah" w:eastAsia="Calibri" w:hAnsi="110_Besmellah" w:cs="mylotus" w:hint="cs"/>
          <w:sz w:val="28"/>
          <w:szCs w:val="27"/>
          <w:rtl/>
          <w:lang w:bidi="ar-SY"/>
        </w:rPr>
        <w:t>الدخيلة،</w:t>
      </w:r>
      <w:r w:rsidRPr="00963823">
        <w:rPr>
          <w:rFonts w:ascii="110_Besmellah" w:eastAsia="Calibri" w:hAnsi="110_Besmellah" w:cs="mylotus"/>
          <w:sz w:val="28"/>
          <w:szCs w:val="27"/>
          <w:rtl/>
          <w:lang w:bidi="ar-SY"/>
        </w:rPr>
        <w:t xml:space="preserve"> </w:t>
      </w:r>
      <w:r w:rsidRPr="00963823">
        <w:rPr>
          <w:rFonts w:ascii="110_Besmellah" w:eastAsia="Calibri" w:hAnsi="110_Besmellah" w:cs="mylotus" w:hint="cs"/>
          <w:sz w:val="28"/>
          <w:szCs w:val="27"/>
          <w:rtl/>
          <w:lang w:bidi="ar-SY"/>
        </w:rPr>
        <w:t>وإصلاح</w:t>
      </w:r>
      <w:r w:rsidRPr="00963823">
        <w:rPr>
          <w:rFonts w:ascii="110_Besmellah" w:eastAsia="Calibri" w:hAnsi="110_Besmellah" w:cs="mylotus"/>
          <w:sz w:val="28"/>
          <w:szCs w:val="27"/>
          <w:rtl/>
          <w:lang w:bidi="ar-SY"/>
        </w:rPr>
        <w:t xml:space="preserve"> </w:t>
      </w:r>
      <w:r w:rsidRPr="00963823">
        <w:rPr>
          <w:rFonts w:ascii="110_Besmellah" w:eastAsia="Calibri" w:hAnsi="110_Besmellah" w:cs="mylotus" w:hint="cs"/>
          <w:sz w:val="28"/>
          <w:szCs w:val="27"/>
          <w:rtl/>
          <w:lang w:bidi="ar-SY"/>
        </w:rPr>
        <w:t>مذهب</w:t>
      </w:r>
      <w:r w:rsidRPr="00963823">
        <w:rPr>
          <w:rFonts w:ascii="110_Besmellah" w:eastAsia="Calibri" w:hAnsi="110_Besmellah" w:cs="mylotus"/>
          <w:sz w:val="28"/>
          <w:szCs w:val="27"/>
          <w:rtl/>
          <w:lang w:bidi="ar-SY"/>
        </w:rPr>
        <w:t xml:space="preserve"> </w:t>
      </w:r>
      <w:r w:rsidRPr="00963823">
        <w:rPr>
          <w:rFonts w:ascii="110_Besmellah" w:eastAsia="Calibri" w:hAnsi="110_Besmellah" w:cs="mylotus" w:hint="cs"/>
          <w:sz w:val="28"/>
          <w:szCs w:val="27"/>
          <w:rtl/>
          <w:lang w:bidi="ar-SY"/>
        </w:rPr>
        <w:t>العترة</w:t>
      </w:r>
      <w:r w:rsidRPr="00963823">
        <w:rPr>
          <w:rFonts w:ascii="110_Besmellah" w:eastAsia="Calibri" w:hAnsi="110_Besmellah" w:cs="mylotus"/>
          <w:sz w:val="28"/>
          <w:szCs w:val="27"/>
          <w:rtl/>
          <w:lang w:bidi="ar-SY"/>
        </w:rPr>
        <w:t xml:space="preserve"> </w:t>
      </w:r>
      <w:r w:rsidRPr="00963823">
        <w:rPr>
          <w:rFonts w:ascii="110_Besmellah" w:eastAsia="Calibri" w:hAnsi="110_Besmellah" w:cs="mylotus" w:hint="cs"/>
          <w:sz w:val="28"/>
          <w:szCs w:val="27"/>
          <w:rtl/>
          <w:lang w:bidi="ar-SY"/>
        </w:rPr>
        <w:t>النبوية</w:t>
      </w:r>
      <w:r w:rsidRPr="00963823">
        <w:rPr>
          <w:rFonts w:ascii="110_Besmellah" w:eastAsia="Calibri" w:hAnsi="110_Besmellah" w:cs="mylotus"/>
          <w:sz w:val="28"/>
          <w:szCs w:val="27"/>
          <w:rtl/>
          <w:lang w:bidi="ar-SY"/>
        </w:rPr>
        <w:t xml:space="preserve"> </w:t>
      </w:r>
      <w:r w:rsidRPr="00963823">
        <w:rPr>
          <w:rFonts w:ascii="110_Besmellah" w:eastAsia="Calibri" w:hAnsi="110_Besmellah" w:cs="mylotus" w:hint="cs"/>
          <w:sz w:val="28"/>
          <w:szCs w:val="27"/>
          <w:rtl/>
          <w:lang w:bidi="ar-SY"/>
        </w:rPr>
        <w:t>بإزالة</w:t>
      </w:r>
      <w:r w:rsidRPr="00963823">
        <w:rPr>
          <w:rFonts w:ascii="110_Besmellah" w:eastAsia="Calibri" w:hAnsi="110_Besmellah" w:cs="mylotus"/>
          <w:sz w:val="28"/>
          <w:szCs w:val="27"/>
          <w:rtl/>
          <w:lang w:bidi="ar-SY"/>
        </w:rPr>
        <w:t xml:space="preserve"> </w:t>
      </w:r>
      <w:r w:rsidRPr="00963823">
        <w:rPr>
          <w:rFonts w:ascii="110_Besmellah" w:eastAsia="Calibri" w:hAnsi="110_Besmellah" w:cs="mylotus" w:hint="cs"/>
          <w:sz w:val="28"/>
          <w:szCs w:val="27"/>
          <w:rtl/>
          <w:lang w:bidi="ar-SY"/>
        </w:rPr>
        <w:t>ما</w:t>
      </w:r>
      <w:r w:rsidRPr="00963823">
        <w:rPr>
          <w:rFonts w:ascii="110_Besmellah" w:eastAsia="Calibri" w:hAnsi="110_Besmellah" w:cs="mylotus"/>
          <w:sz w:val="28"/>
          <w:szCs w:val="27"/>
          <w:rtl/>
          <w:lang w:bidi="ar-SY"/>
        </w:rPr>
        <w:t xml:space="preserve"> </w:t>
      </w:r>
      <w:r w:rsidRPr="00963823">
        <w:rPr>
          <w:rFonts w:ascii="110_Besmellah" w:eastAsia="Calibri" w:hAnsi="110_Besmellah" w:cs="mylotus" w:hint="cs"/>
          <w:sz w:val="28"/>
          <w:szCs w:val="27"/>
          <w:rtl/>
          <w:lang w:bidi="ar-SY"/>
        </w:rPr>
        <w:t>تراكم</w:t>
      </w:r>
      <w:r w:rsidRPr="00963823">
        <w:rPr>
          <w:rFonts w:ascii="110_Besmellah" w:eastAsia="Calibri" w:hAnsi="110_Besmellah" w:cs="mylotus"/>
          <w:sz w:val="28"/>
          <w:szCs w:val="27"/>
          <w:rtl/>
          <w:lang w:bidi="ar-SY"/>
        </w:rPr>
        <w:t xml:space="preserve"> </w:t>
      </w:r>
      <w:r w:rsidRPr="00963823">
        <w:rPr>
          <w:rFonts w:ascii="110_Besmellah" w:eastAsia="Calibri" w:hAnsi="110_Besmellah" w:cs="mylotus" w:hint="cs"/>
          <w:sz w:val="28"/>
          <w:szCs w:val="27"/>
          <w:rtl/>
          <w:lang w:bidi="ar-SY"/>
        </w:rPr>
        <w:t>فوق</w:t>
      </w:r>
      <w:r w:rsidRPr="00963823">
        <w:rPr>
          <w:rFonts w:ascii="110_Besmellah" w:eastAsia="Calibri" w:hAnsi="110_Besmellah" w:cs="mylotus"/>
          <w:sz w:val="28"/>
          <w:szCs w:val="27"/>
          <w:rtl/>
          <w:lang w:bidi="ar-SY"/>
        </w:rPr>
        <w:t xml:space="preserve"> </w:t>
      </w:r>
      <w:r w:rsidRPr="00963823">
        <w:rPr>
          <w:rFonts w:ascii="110_Besmellah" w:eastAsia="Calibri" w:hAnsi="110_Besmellah" w:cs="mylotus" w:hint="cs"/>
          <w:sz w:val="28"/>
          <w:szCs w:val="27"/>
          <w:rtl/>
          <w:lang w:bidi="ar-SY"/>
        </w:rPr>
        <w:t>وجهه</w:t>
      </w:r>
      <w:r w:rsidRPr="00963823">
        <w:rPr>
          <w:rFonts w:ascii="110_Besmellah" w:eastAsia="Calibri" w:hAnsi="110_Besmellah" w:cs="mylotus"/>
          <w:sz w:val="28"/>
          <w:szCs w:val="27"/>
          <w:rtl/>
          <w:lang w:bidi="ar-SY"/>
        </w:rPr>
        <w:t xml:space="preserve"> </w:t>
      </w:r>
      <w:r w:rsidRPr="00963823">
        <w:rPr>
          <w:rFonts w:ascii="110_Besmellah" w:eastAsia="Calibri" w:hAnsi="110_Besmellah" w:cs="mylotus" w:hint="cs"/>
          <w:sz w:val="28"/>
          <w:szCs w:val="27"/>
          <w:rtl/>
          <w:lang w:bidi="ar-SY"/>
        </w:rPr>
        <w:t>الناصع</w:t>
      </w:r>
      <w:r w:rsidRPr="00963823">
        <w:rPr>
          <w:rFonts w:ascii="110_Besmellah" w:eastAsia="Calibri" w:hAnsi="110_Besmellah" w:cs="mylotus"/>
          <w:sz w:val="28"/>
          <w:szCs w:val="27"/>
          <w:rtl/>
          <w:lang w:bidi="ar-SY"/>
        </w:rPr>
        <w:t xml:space="preserve"> </w:t>
      </w:r>
      <w:r w:rsidRPr="00963823">
        <w:rPr>
          <w:rFonts w:ascii="110_Besmellah" w:eastAsia="Calibri" w:hAnsi="110_Besmellah" w:cs="mylotus" w:hint="cs"/>
          <w:sz w:val="28"/>
          <w:szCs w:val="27"/>
          <w:rtl/>
          <w:lang w:bidi="ar-SY"/>
        </w:rPr>
        <w:t>منذ</w:t>
      </w:r>
      <w:r w:rsidRPr="00963823">
        <w:rPr>
          <w:rFonts w:ascii="110_Besmellah" w:eastAsia="Calibri" w:hAnsi="110_Besmellah" w:cs="mylotus"/>
          <w:sz w:val="28"/>
          <w:szCs w:val="27"/>
          <w:rtl/>
          <w:lang w:bidi="ar-SY"/>
        </w:rPr>
        <w:t xml:space="preserve"> </w:t>
      </w:r>
      <w:r w:rsidRPr="00963823">
        <w:rPr>
          <w:rFonts w:ascii="110_Besmellah" w:eastAsia="Calibri" w:hAnsi="110_Besmellah" w:cs="mylotus" w:hint="cs"/>
          <w:sz w:val="28"/>
          <w:szCs w:val="27"/>
          <w:rtl/>
          <w:lang w:bidi="ar-SY"/>
        </w:rPr>
        <w:t>العصور</w:t>
      </w:r>
      <w:r w:rsidRPr="00963823">
        <w:rPr>
          <w:rFonts w:ascii="110_Besmellah" w:eastAsia="Calibri" w:hAnsi="110_Besmellah" w:cs="mylotus"/>
          <w:sz w:val="28"/>
          <w:szCs w:val="27"/>
          <w:rtl/>
          <w:lang w:bidi="ar-SY"/>
        </w:rPr>
        <w:t xml:space="preserve"> </w:t>
      </w:r>
      <w:r w:rsidRPr="00963823">
        <w:rPr>
          <w:rFonts w:ascii="110_Besmellah" w:eastAsia="Calibri" w:hAnsi="110_Besmellah" w:cs="mylotus" w:hint="cs"/>
          <w:sz w:val="28"/>
          <w:szCs w:val="27"/>
          <w:rtl/>
          <w:lang w:bidi="ar-SY"/>
        </w:rPr>
        <w:t>القديمة</w:t>
      </w:r>
      <w:r w:rsidRPr="00963823">
        <w:rPr>
          <w:rFonts w:ascii="110_Besmellah" w:eastAsia="Calibri" w:hAnsi="110_Besmellah" w:cs="mylotus"/>
          <w:sz w:val="28"/>
          <w:szCs w:val="27"/>
          <w:rtl/>
          <w:lang w:bidi="ar-SY"/>
        </w:rPr>
        <w:t xml:space="preserve"> </w:t>
      </w:r>
      <w:r w:rsidRPr="00963823">
        <w:rPr>
          <w:rFonts w:ascii="110_Besmellah" w:eastAsia="Calibri" w:hAnsi="110_Besmellah" w:cs="mylotus" w:hint="cs"/>
          <w:sz w:val="28"/>
          <w:szCs w:val="27"/>
          <w:rtl/>
          <w:lang w:bidi="ar-SY"/>
        </w:rPr>
        <w:t>من</w:t>
      </w:r>
      <w:r w:rsidRPr="00963823">
        <w:rPr>
          <w:rFonts w:ascii="110_Besmellah" w:eastAsia="Calibri" w:hAnsi="110_Besmellah" w:cs="mylotus"/>
          <w:sz w:val="28"/>
          <w:szCs w:val="27"/>
          <w:rtl/>
          <w:lang w:bidi="ar-SY"/>
        </w:rPr>
        <w:t xml:space="preserve"> </w:t>
      </w:r>
      <w:r w:rsidRPr="00963823">
        <w:rPr>
          <w:rFonts w:ascii="110_Besmellah" w:eastAsia="Calibri" w:hAnsi="110_Besmellah" w:cs="mylotus" w:hint="cs"/>
          <w:sz w:val="28"/>
          <w:szCs w:val="27"/>
          <w:rtl/>
          <w:lang w:bidi="ar-SY"/>
        </w:rPr>
        <w:t>طبقات</w:t>
      </w:r>
      <w:r w:rsidRPr="00963823">
        <w:rPr>
          <w:rFonts w:ascii="110_Besmellah" w:eastAsia="Calibri" w:hAnsi="110_Besmellah" w:cs="mylotus"/>
          <w:sz w:val="28"/>
          <w:szCs w:val="27"/>
          <w:rtl/>
          <w:lang w:bidi="ar-SY"/>
        </w:rPr>
        <w:t xml:space="preserve"> </w:t>
      </w:r>
      <w:r w:rsidRPr="00963823">
        <w:rPr>
          <w:rFonts w:ascii="110_Besmellah" w:eastAsia="Calibri" w:hAnsi="110_Besmellah" w:cs="mylotus" w:hint="cs"/>
          <w:sz w:val="28"/>
          <w:szCs w:val="27"/>
          <w:rtl/>
          <w:lang w:bidi="ar-SY"/>
        </w:rPr>
        <w:t>كثيفة</w:t>
      </w:r>
      <w:r w:rsidRPr="00963823">
        <w:rPr>
          <w:rFonts w:ascii="110_Besmellah" w:eastAsia="Calibri" w:hAnsi="110_Besmellah" w:cs="mylotus"/>
          <w:sz w:val="28"/>
          <w:szCs w:val="27"/>
          <w:rtl/>
          <w:lang w:bidi="ar-SY"/>
        </w:rPr>
        <w:t xml:space="preserve"> </w:t>
      </w:r>
      <w:r w:rsidRPr="00963823">
        <w:rPr>
          <w:rFonts w:ascii="110_Besmellah" w:eastAsia="Calibri" w:hAnsi="110_Besmellah" w:cs="mylotus" w:hint="cs"/>
          <w:sz w:val="28"/>
          <w:szCs w:val="27"/>
          <w:rtl/>
          <w:lang w:bidi="ar-SY"/>
        </w:rPr>
        <w:t>من</w:t>
      </w:r>
      <w:r w:rsidRPr="00963823">
        <w:rPr>
          <w:rFonts w:ascii="110_Besmellah" w:eastAsia="Calibri" w:hAnsi="110_Besmellah" w:cs="mylotus"/>
          <w:sz w:val="28"/>
          <w:szCs w:val="27"/>
          <w:rtl/>
          <w:lang w:bidi="ar-SY"/>
        </w:rPr>
        <w:t xml:space="preserve"> </w:t>
      </w:r>
      <w:r w:rsidRPr="00963823">
        <w:rPr>
          <w:rFonts w:ascii="110_Besmellah" w:eastAsia="Calibri" w:hAnsi="110_Besmellah" w:cs="mylotus" w:hint="cs"/>
          <w:sz w:val="28"/>
          <w:szCs w:val="27"/>
          <w:rtl/>
          <w:lang w:bidi="ar-SY"/>
        </w:rPr>
        <w:t>غبار</w:t>
      </w:r>
      <w:r w:rsidRPr="00963823">
        <w:rPr>
          <w:rFonts w:ascii="110_Besmellah" w:eastAsia="Calibri" w:hAnsi="110_Besmellah" w:cs="mylotus"/>
          <w:sz w:val="28"/>
          <w:szCs w:val="27"/>
          <w:rtl/>
          <w:lang w:bidi="ar-SY"/>
        </w:rPr>
        <w:t xml:space="preserve"> </w:t>
      </w:r>
      <w:r w:rsidRPr="00963823">
        <w:rPr>
          <w:rFonts w:ascii="110_Besmellah" w:eastAsia="Calibri" w:hAnsi="110_Besmellah" w:cs="mylotus" w:hint="cs"/>
          <w:sz w:val="28"/>
          <w:szCs w:val="27"/>
          <w:rtl/>
          <w:lang w:bidi="ar-SY"/>
        </w:rPr>
        <w:t>العقائد</w:t>
      </w:r>
      <w:r w:rsidRPr="00963823">
        <w:rPr>
          <w:rFonts w:ascii="110_Besmellah" w:eastAsia="Calibri" w:hAnsi="110_Besmellah" w:cs="mylotus"/>
          <w:sz w:val="28"/>
          <w:szCs w:val="27"/>
          <w:rtl/>
          <w:lang w:bidi="ar-SY"/>
        </w:rPr>
        <w:t xml:space="preserve"> </w:t>
      </w:r>
      <w:r w:rsidRPr="00963823">
        <w:rPr>
          <w:rFonts w:ascii="110_Besmellah" w:eastAsia="Calibri" w:hAnsi="110_Besmellah" w:cs="mylotus" w:hint="cs"/>
          <w:sz w:val="28"/>
          <w:szCs w:val="27"/>
          <w:rtl/>
          <w:lang w:bidi="ar-SY"/>
        </w:rPr>
        <w:t>الغالية</w:t>
      </w:r>
      <w:r w:rsidRPr="00963823">
        <w:rPr>
          <w:rFonts w:ascii="110_Besmellah" w:eastAsia="Calibri" w:hAnsi="110_Besmellah" w:cs="mylotus"/>
          <w:sz w:val="28"/>
          <w:szCs w:val="27"/>
          <w:rtl/>
          <w:lang w:bidi="ar-SY"/>
        </w:rPr>
        <w:t xml:space="preserve"> </w:t>
      </w:r>
      <w:r w:rsidRPr="00963823">
        <w:rPr>
          <w:rFonts w:ascii="110_Besmellah" w:eastAsia="Calibri" w:hAnsi="110_Besmellah" w:cs="mylotus" w:hint="cs"/>
          <w:sz w:val="28"/>
          <w:szCs w:val="27"/>
          <w:rtl/>
          <w:lang w:bidi="ar-SY"/>
        </w:rPr>
        <w:t>والأعمال</w:t>
      </w:r>
      <w:r w:rsidRPr="00963823">
        <w:rPr>
          <w:rFonts w:ascii="110_Besmellah" w:eastAsia="Calibri" w:hAnsi="110_Besmellah" w:cs="mylotus"/>
          <w:sz w:val="28"/>
          <w:szCs w:val="27"/>
          <w:rtl/>
          <w:lang w:bidi="ar-SY"/>
        </w:rPr>
        <w:t xml:space="preserve"> </w:t>
      </w:r>
      <w:r w:rsidRPr="00963823">
        <w:rPr>
          <w:rFonts w:ascii="110_Besmellah" w:eastAsia="Calibri" w:hAnsi="110_Besmellah" w:cs="mylotus" w:hint="cs"/>
          <w:sz w:val="28"/>
          <w:szCs w:val="27"/>
          <w:rtl/>
          <w:lang w:bidi="ar-SY"/>
        </w:rPr>
        <w:t>الشركية</w:t>
      </w:r>
      <w:r w:rsidRPr="00963823">
        <w:rPr>
          <w:rFonts w:ascii="110_Besmellah" w:eastAsia="Calibri" w:hAnsi="110_Besmellah" w:cs="mylotus"/>
          <w:sz w:val="28"/>
          <w:szCs w:val="27"/>
          <w:rtl/>
          <w:lang w:bidi="ar-SY"/>
        </w:rPr>
        <w:t xml:space="preserve"> </w:t>
      </w:r>
      <w:r w:rsidRPr="00963823">
        <w:rPr>
          <w:rFonts w:ascii="110_Besmellah" w:eastAsia="Calibri" w:hAnsi="110_Besmellah" w:cs="mylotus" w:hint="cs"/>
          <w:sz w:val="28"/>
          <w:szCs w:val="27"/>
          <w:rtl/>
          <w:lang w:bidi="ar-SY"/>
        </w:rPr>
        <w:t>والبدعية،</w:t>
      </w:r>
      <w:r w:rsidRPr="00963823">
        <w:rPr>
          <w:rFonts w:ascii="110_Besmellah" w:eastAsia="Calibri" w:hAnsi="110_Besmellah" w:cs="mylotus"/>
          <w:sz w:val="28"/>
          <w:szCs w:val="27"/>
          <w:rtl/>
          <w:lang w:bidi="ar-SY"/>
        </w:rPr>
        <w:t xml:space="preserve"> </w:t>
      </w:r>
      <w:r w:rsidRPr="00963823">
        <w:rPr>
          <w:rFonts w:ascii="110_Besmellah" w:eastAsia="Calibri" w:hAnsi="110_Besmellah" w:cs="mylotus" w:hint="cs"/>
          <w:sz w:val="28"/>
          <w:szCs w:val="27"/>
          <w:rtl/>
          <w:lang w:bidi="ar-SY"/>
        </w:rPr>
        <w:t>والأحاديث</w:t>
      </w:r>
      <w:r w:rsidRPr="00963823">
        <w:rPr>
          <w:rFonts w:ascii="110_Besmellah" w:eastAsia="Calibri" w:hAnsi="110_Besmellah" w:cs="mylotus"/>
          <w:sz w:val="28"/>
          <w:szCs w:val="27"/>
          <w:rtl/>
          <w:lang w:bidi="ar-SY"/>
        </w:rPr>
        <w:t xml:space="preserve"> </w:t>
      </w:r>
      <w:r w:rsidRPr="00963823">
        <w:rPr>
          <w:rFonts w:ascii="110_Besmellah" w:eastAsia="Calibri" w:hAnsi="110_Besmellah" w:cs="mylotus" w:hint="cs"/>
          <w:sz w:val="28"/>
          <w:szCs w:val="27"/>
          <w:rtl/>
          <w:lang w:bidi="ar-SY"/>
        </w:rPr>
        <w:t>الخرافية</w:t>
      </w:r>
      <w:r w:rsidRPr="00963823">
        <w:rPr>
          <w:rFonts w:ascii="110_Besmellah" w:eastAsia="Calibri" w:hAnsi="110_Besmellah" w:cs="mylotus"/>
          <w:sz w:val="28"/>
          <w:szCs w:val="27"/>
          <w:rtl/>
          <w:lang w:bidi="ar-SY"/>
        </w:rPr>
        <w:t xml:space="preserve"> </w:t>
      </w:r>
      <w:r w:rsidRPr="00963823">
        <w:rPr>
          <w:rFonts w:ascii="110_Besmellah" w:eastAsia="Calibri" w:hAnsi="110_Besmellah" w:cs="mylotus" w:hint="cs"/>
          <w:sz w:val="28"/>
          <w:szCs w:val="27"/>
          <w:rtl/>
          <w:lang w:bidi="ar-SY"/>
        </w:rPr>
        <w:t>والآثار</w:t>
      </w:r>
      <w:r w:rsidRPr="00963823">
        <w:rPr>
          <w:rFonts w:ascii="110_Besmellah" w:eastAsia="Calibri" w:hAnsi="110_Besmellah" w:cs="mylotus"/>
          <w:sz w:val="28"/>
          <w:szCs w:val="27"/>
          <w:rtl/>
          <w:lang w:bidi="ar-SY"/>
        </w:rPr>
        <w:t xml:space="preserve"> </w:t>
      </w:r>
      <w:r w:rsidRPr="00963823">
        <w:rPr>
          <w:rFonts w:ascii="110_Besmellah" w:eastAsia="Calibri" w:hAnsi="110_Besmellah" w:cs="mylotus" w:hint="cs"/>
          <w:sz w:val="28"/>
          <w:szCs w:val="27"/>
          <w:rtl/>
          <w:lang w:bidi="ar-SY"/>
        </w:rPr>
        <w:t>والكتب</w:t>
      </w:r>
      <w:r w:rsidRPr="00963823">
        <w:rPr>
          <w:rFonts w:ascii="110_Besmellah" w:eastAsia="Calibri" w:hAnsi="110_Besmellah" w:cs="mylotus"/>
          <w:sz w:val="28"/>
          <w:szCs w:val="27"/>
          <w:rtl/>
          <w:lang w:bidi="ar-SY"/>
        </w:rPr>
        <w:t xml:space="preserve"> </w:t>
      </w:r>
      <w:r w:rsidRPr="00963823">
        <w:rPr>
          <w:rFonts w:ascii="110_Besmellah" w:eastAsia="Calibri" w:hAnsi="110_Besmellah" w:cs="mylotus" w:hint="cs"/>
          <w:sz w:val="28"/>
          <w:szCs w:val="27"/>
          <w:rtl/>
          <w:lang w:bidi="ar-SY"/>
        </w:rPr>
        <w:t>الموضوعة،</w:t>
      </w:r>
      <w:r w:rsidRPr="00963823">
        <w:rPr>
          <w:rFonts w:ascii="110_Besmellah" w:eastAsia="Calibri" w:hAnsi="110_Besmellah" w:cs="mylotus"/>
          <w:sz w:val="28"/>
          <w:szCs w:val="27"/>
          <w:rtl/>
          <w:lang w:bidi="ar-SY"/>
        </w:rPr>
        <w:t xml:space="preserve"> </w:t>
      </w:r>
      <w:r w:rsidRPr="00963823">
        <w:rPr>
          <w:rFonts w:ascii="110_Besmellah" w:eastAsia="Calibri" w:hAnsi="110_Besmellah" w:cs="mylotus" w:hint="cs"/>
          <w:sz w:val="28"/>
          <w:szCs w:val="27"/>
          <w:rtl/>
          <w:lang w:bidi="ar-SY"/>
        </w:rPr>
        <w:t>والعودة</w:t>
      </w:r>
      <w:r w:rsidRPr="00963823">
        <w:rPr>
          <w:rFonts w:ascii="110_Besmellah" w:eastAsia="Calibri" w:hAnsi="110_Besmellah" w:cs="mylotus"/>
          <w:sz w:val="28"/>
          <w:szCs w:val="27"/>
          <w:rtl/>
          <w:lang w:bidi="ar-SY"/>
        </w:rPr>
        <w:t xml:space="preserve"> </w:t>
      </w:r>
      <w:r w:rsidRPr="00963823">
        <w:rPr>
          <w:rFonts w:ascii="110_Besmellah" w:eastAsia="Calibri" w:hAnsi="110_Besmellah" w:cs="mylotus" w:hint="cs"/>
          <w:sz w:val="28"/>
          <w:szCs w:val="27"/>
          <w:rtl/>
          <w:lang w:bidi="ar-SY"/>
        </w:rPr>
        <w:t>به</w:t>
      </w:r>
      <w:r w:rsidRPr="00963823">
        <w:rPr>
          <w:rFonts w:ascii="110_Besmellah" w:eastAsia="Calibri" w:hAnsi="110_Besmellah" w:cs="mylotus"/>
          <w:sz w:val="28"/>
          <w:szCs w:val="27"/>
          <w:rtl/>
          <w:lang w:bidi="ar-SY"/>
        </w:rPr>
        <w:t xml:space="preserve"> </w:t>
      </w:r>
      <w:r w:rsidRPr="00963823">
        <w:rPr>
          <w:rFonts w:ascii="110_Besmellah" w:eastAsia="Calibri" w:hAnsi="110_Besmellah" w:cs="mylotus" w:hint="cs"/>
          <w:sz w:val="28"/>
          <w:szCs w:val="27"/>
          <w:rtl/>
          <w:lang w:bidi="ar-SY"/>
        </w:rPr>
        <w:t>إلى</w:t>
      </w:r>
      <w:r w:rsidRPr="00963823">
        <w:rPr>
          <w:rFonts w:ascii="110_Besmellah" w:eastAsia="Calibri" w:hAnsi="110_Besmellah" w:cs="mylotus"/>
          <w:sz w:val="28"/>
          <w:szCs w:val="27"/>
          <w:rtl/>
          <w:lang w:bidi="ar-SY"/>
        </w:rPr>
        <w:t xml:space="preserve"> </w:t>
      </w:r>
      <w:r w:rsidRPr="00963823">
        <w:rPr>
          <w:rFonts w:ascii="110_Besmellah" w:eastAsia="Calibri" w:hAnsi="110_Besmellah" w:cs="mylotus" w:hint="cs"/>
          <w:sz w:val="28"/>
          <w:szCs w:val="27"/>
          <w:rtl/>
          <w:lang w:bidi="ar-SY"/>
        </w:rPr>
        <w:t>نقائه</w:t>
      </w:r>
      <w:r w:rsidRPr="00963823">
        <w:rPr>
          <w:rFonts w:ascii="110_Besmellah" w:eastAsia="Calibri" w:hAnsi="110_Besmellah" w:cs="mylotus"/>
          <w:sz w:val="28"/>
          <w:szCs w:val="27"/>
          <w:rtl/>
          <w:lang w:bidi="ar-SY"/>
        </w:rPr>
        <w:t xml:space="preserve"> </w:t>
      </w:r>
      <w:r w:rsidRPr="00963823">
        <w:rPr>
          <w:rFonts w:ascii="110_Besmellah" w:eastAsia="Calibri" w:hAnsi="110_Besmellah" w:cs="mylotus" w:hint="cs"/>
          <w:sz w:val="28"/>
          <w:szCs w:val="27"/>
          <w:rtl/>
          <w:lang w:bidi="ar-SY"/>
        </w:rPr>
        <w:t>الأصلي</w:t>
      </w:r>
      <w:r w:rsidRPr="00963823">
        <w:rPr>
          <w:rFonts w:ascii="110_Besmellah" w:eastAsia="Calibri" w:hAnsi="110_Besmellah" w:cs="mylotus"/>
          <w:sz w:val="28"/>
          <w:szCs w:val="27"/>
          <w:rtl/>
          <w:lang w:bidi="ar-SY"/>
        </w:rPr>
        <w:t xml:space="preserve"> </w:t>
      </w:r>
      <w:r w:rsidRPr="00963823">
        <w:rPr>
          <w:rFonts w:ascii="110_Besmellah" w:eastAsia="Calibri" w:hAnsi="110_Besmellah" w:cs="mylotus" w:hint="cs"/>
          <w:sz w:val="28"/>
          <w:szCs w:val="27"/>
          <w:rtl/>
          <w:lang w:bidi="ar-SY"/>
        </w:rPr>
        <w:t>الذي</w:t>
      </w:r>
      <w:r w:rsidRPr="00963823">
        <w:rPr>
          <w:rFonts w:ascii="110_Besmellah" w:eastAsia="Calibri" w:hAnsi="110_Besmellah" w:cs="mylotus"/>
          <w:sz w:val="28"/>
          <w:szCs w:val="27"/>
          <w:rtl/>
          <w:lang w:bidi="ar-SY"/>
        </w:rPr>
        <w:t xml:space="preserve"> </w:t>
      </w:r>
      <w:r w:rsidRPr="00963823">
        <w:rPr>
          <w:rFonts w:ascii="110_Besmellah" w:eastAsia="Calibri" w:hAnsi="110_Besmellah" w:cs="mylotus" w:hint="cs"/>
          <w:sz w:val="28"/>
          <w:szCs w:val="27"/>
          <w:rtl/>
          <w:lang w:bidi="ar-SY"/>
        </w:rPr>
        <w:t>يتجلى</w:t>
      </w:r>
      <w:r w:rsidRPr="00963823">
        <w:rPr>
          <w:rFonts w:ascii="110_Besmellah" w:eastAsia="Calibri" w:hAnsi="110_Besmellah" w:cs="mylotus"/>
          <w:sz w:val="28"/>
          <w:szCs w:val="27"/>
          <w:rtl/>
          <w:lang w:bidi="ar-SY"/>
        </w:rPr>
        <w:t xml:space="preserve"> </w:t>
      </w:r>
      <w:r w:rsidRPr="00963823">
        <w:rPr>
          <w:rFonts w:ascii="110_Besmellah" w:eastAsia="Calibri" w:hAnsi="110_Besmellah" w:cs="mylotus" w:hint="cs"/>
          <w:sz w:val="28"/>
          <w:szCs w:val="27"/>
          <w:rtl/>
          <w:lang w:bidi="ar-SY"/>
        </w:rPr>
        <w:t>في</w:t>
      </w:r>
      <w:r w:rsidRPr="00963823">
        <w:rPr>
          <w:rFonts w:ascii="110_Besmellah" w:eastAsia="Calibri" w:hAnsi="110_Besmellah" w:cs="mylotus"/>
          <w:sz w:val="28"/>
          <w:szCs w:val="27"/>
          <w:rtl/>
          <w:lang w:bidi="ar-SY"/>
        </w:rPr>
        <w:t xml:space="preserve"> </w:t>
      </w:r>
      <w:r w:rsidRPr="00963823">
        <w:rPr>
          <w:rFonts w:ascii="110_Besmellah" w:eastAsia="Calibri" w:hAnsi="110_Besmellah" w:cs="mylotus" w:hint="cs"/>
          <w:sz w:val="28"/>
          <w:szCs w:val="27"/>
          <w:rtl/>
          <w:lang w:bidi="ar-SY"/>
        </w:rPr>
        <w:t>منابع</w:t>
      </w:r>
      <w:r w:rsidRPr="00963823">
        <w:rPr>
          <w:rFonts w:ascii="110_Besmellah" w:eastAsia="Calibri" w:hAnsi="110_Besmellah" w:cs="mylotus"/>
          <w:sz w:val="28"/>
          <w:szCs w:val="27"/>
          <w:rtl/>
          <w:lang w:bidi="ar-SY"/>
        </w:rPr>
        <w:t xml:space="preserve"> </w:t>
      </w:r>
      <w:r w:rsidRPr="00963823">
        <w:rPr>
          <w:rFonts w:ascii="110_Besmellah" w:eastAsia="Calibri" w:hAnsi="110_Besmellah" w:cs="mylotus" w:hint="cs"/>
          <w:sz w:val="28"/>
          <w:szCs w:val="27"/>
          <w:rtl/>
          <w:lang w:bidi="ar-SY"/>
        </w:rPr>
        <w:t>الإسلام</w:t>
      </w:r>
      <w:r w:rsidRPr="00963823">
        <w:rPr>
          <w:rFonts w:ascii="110_Besmellah" w:eastAsia="Calibri" w:hAnsi="110_Besmellah" w:cs="mylotus"/>
          <w:sz w:val="28"/>
          <w:szCs w:val="27"/>
          <w:rtl/>
          <w:lang w:bidi="ar-SY"/>
        </w:rPr>
        <w:t xml:space="preserve"> </w:t>
      </w:r>
      <w:r w:rsidRPr="00963823">
        <w:rPr>
          <w:rFonts w:ascii="110_Besmellah" w:eastAsia="Calibri" w:hAnsi="110_Besmellah" w:cs="mylotus" w:hint="cs"/>
          <w:sz w:val="28"/>
          <w:szCs w:val="27"/>
          <w:rtl/>
          <w:lang w:bidi="ar-SY"/>
        </w:rPr>
        <w:t>الأصيلة</w:t>
      </w:r>
      <w:r w:rsidRPr="00963823">
        <w:rPr>
          <w:rFonts w:ascii="110_Besmellah" w:eastAsia="Calibri" w:hAnsi="110_Besmellah" w:cs="mylotus"/>
          <w:sz w:val="28"/>
          <w:szCs w:val="27"/>
          <w:rtl/>
          <w:lang w:bidi="ar-SY"/>
        </w:rPr>
        <w:t xml:space="preserve">: </w:t>
      </w:r>
      <w:r w:rsidRPr="00963823">
        <w:rPr>
          <w:rFonts w:ascii="110_Besmellah" w:eastAsia="Calibri" w:hAnsi="110_Besmellah" w:cs="mylotus" w:hint="cs"/>
          <w:sz w:val="28"/>
          <w:szCs w:val="27"/>
          <w:rtl/>
          <w:lang w:bidi="ar-SY"/>
        </w:rPr>
        <w:t>القرآن</w:t>
      </w:r>
      <w:r w:rsidRPr="00963823">
        <w:rPr>
          <w:rFonts w:ascii="110_Besmellah" w:eastAsia="Calibri" w:hAnsi="110_Besmellah" w:cs="mylotus"/>
          <w:sz w:val="28"/>
          <w:szCs w:val="27"/>
          <w:rtl/>
          <w:lang w:bidi="ar-SY"/>
        </w:rPr>
        <w:t xml:space="preserve"> </w:t>
      </w:r>
      <w:r w:rsidRPr="00963823">
        <w:rPr>
          <w:rFonts w:ascii="110_Besmellah" w:eastAsia="Calibri" w:hAnsi="110_Besmellah" w:cs="mylotus" w:hint="cs"/>
          <w:sz w:val="28"/>
          <w:szCs w:val="27"/>
          <w:rtl/>
          <w:lang w:bidi="ar-SY"/>
        </w:rPr>
        <w:t>الكريم</w:t>
      </w:r>
      <w:r w:rsidRPr="00963823">
        <w:rPr>
          <w:rFonts w:ascii="110_Besmellah" w:eastAsia="Calibri" w:hAnsi="110_Besmellah" w:cs="mylotus"/>
          <w:sz w:val="28"/>
          <w:szCs w:val="27"/>
          <w:rtl/>
          <w:lang w:bidi="ar-SY"/>
        </w:rPr>
        <w:t xml:space="preserve"> </w:t>
      </w:r>
      <w:r w:rsidRPr="00963823">
        <w:rPr>
          <w:rFonts w:ascii="110_Besmellah" w:eastAsia="Calibri" w:hAnsi="110_Besmellah" w:cs="mylotus" w:hint="cs"/>
          <w:sz w:val="28"/>
          <w:szCs w:val="27"/>
          <w:rtl/>
          <w:lang w:bidi="ar-SY"/>
        </w:rPr>
        <w:t>وما</w:t>
      </w:r>
      <w:r w:rsidRPr="00963823">
        <w:rPr>
          <w:rFonts w:ascii="110_Besmellah" w:eastAsia="Calibri" w:hAnsi="110_Besmellah" w:cs="mylotus"/>
          <w:sz w:val="28"/>
          <w:szCs w:val="27"/>
          <w:rtl/>
          <w:lang w:bidi="ar-SY"/>
        </w:rPr>
        <w:t xml:space="preserve"> </w:t>
      </w:r>
      <w:r w:rsidRPr="00963823">
        <w:rPr>
          <w:rFonts w:ascii="110_Besmellah" w:eastAsia="Calibri" w:hAnsi="110_Besmellah" w:cs="mylotus" w:hint="cs"/>
          <w:sz w:val="28"/>
          <w:szCs w:val="27"/>
          <w:rtl/>
          <w:lang w:bidi="ar-SY"/>
        </w:rPr>
        <w:t>وافقه</w:t>
      </w:r>
      <w:r w:rsidRPr="00963823">
        <w:rPr>
          <w:rFonts w:ascii="110_Besmellah" w:eastAsia="Calibri" w:hAnsi="110_Besmellah" w:cs="mylotus"/>
          <w:sz w:val="28"/>
          <w:szCs w:val="27"/>
          <w:rtl/>
          <w:lang w:bidi="ar-SY"/>
        </w:rPr>
        <w:t xml:space="preserve"> </w:t>
      </w:r>
      <w:r w:rsidRPr="00963823">
        <w:rPr>
          <w:rFonts w:ascii="110_Besmellah" w:eastAsia="Calibri" w:hAnsi="110_Besmellah" w:cs="mylotus" w:hint="cs"/>
          <w:sz w:val="28"/>
          <w:szCs w:val="27"/>
          <w:rtl/>
          <w:lang w:bidi="ar-SY"/>
        </w:rPr>
        <w:t>من</w:t>
      </w:r>
      <w:r w:rsidRPr="00963823">
        <w:rPr>
          <w:rFonts w:ascii="110_Besmellah" w:eastAsia="Calibri" w:hAnsi="110_Besmellah" w:cs="mylotus"/>
          <w:sz w:val="28"/>
          <w:szCs w:val="27"/>
          <w:rtl/>
          <w:lang w:bidi="ar-SY"/>
        </w:rPr>
        <w:t xml:space="preserve"> </w:t>
      </w:r>
      <w:r w:rsidRPr="00963823">
        <w:rPr>
          <w:rFonts w:ascii="110_Besmellah" w:eastAsia="Calibri" w:hAnsi="110_Besmellah" w:cs="mylotus" w:hint="cs"/>
          <w:sz w:val="28"/>
          <w:szCs w:val="27"/>
          <w:rtl/>
          <w:lang w:bidi="ar-SY"/>
        </w:rPr>
        <w:t>الصحيح</w:t>
      </w:r>
      <w:r w:rsidRPr="00963823">
        <w:rPr>
          <w:rFonts w:ascii="110_Besmellah" w:eastAsia="Calibri" w:hAnsi="110_Besmellah" w:cs="mylotus"/>
          <w:sz w:val="28"/>
          <w:szCs w:val="27"/>
          <w:rtl/>
          <w:lang w:bidi="ar-SY"/>
        </w:rPr>
        <w:t xml:space="preserve"> </w:t>
      </w:r>
      <w:r w:rsidRPr="00963823">
        <w:rPr>
          <w:rFonts w:ascii="110_Besmellah" w:eastAsia="Calibri" w:hAnsi="110_Besmellah" w:cs="mylotus" w:hint="cs"/>
          <w:sz w:val="28"/>
          <w:szCs w:val="27"/>
          <w:rtl/>
          <w:lang w:bidi="ar-SY"/>
        </w:rPr>
        <w:t>المقطوع</w:t>
      </w:r>
      <w:r w:rsidRPr="00963823">
        <w:rPr>
          <w:rFonts w:ascii="110_Besmellah" w:eastAsia="Calibri" w:hAnsi="110_Besmellah" w:cs="mylotus"/>
          <w:sz w:val="28"/>
          <w:szCs w:val="27"/>
          <w:rtl/>
          <w:lang w:bidi="ar-SY"/>
        </w:rPr>
        <w:t xml:space="preserve"> </w:t>
      </w:r>
      <w:r w:rsidRPr="00963823">
        <w:rPr>
          <w:rFonts w:ascii="110_Besmellah" w:eastAsia="Calibri" w:hAnsi="110_Besmellah" w:cs="mylotus" w:hint="cs"/>
          <w:sz w:val="28"/>
          <w:szCs w:val="27"/>
          <w:rtl/>
          <w:lang w:bidi="ar-SY"/>
        </w:rPr>
        <w:t>به</w:t>
      </w:r>
      <w:r w:rsidRPr="00963823">
        <w:rPr>
          <w:rFonts w:ascii="110_Besmellah" w:eastAsia="Calibri" w:hAnsi="110_Besmellah" w:cs="mylotus"/>
          <w:sz w:val="28"/>
          <w:szCs w:val="27"/>
          <w:rtl/>
          <w:lang w:bidi="ar-SY"/>
        </w:rPr>
        <w:t xml:space="preserve"> </w:t>
      </w:r>
      <w:r w:rsidRPr="00963823">
        <w:rPr>
          <w:rFonts w:ascii="110_Besmellah" w:eastAsia="Calibri" w:hAnsi="110_Besmellah" w:cs="mylotus" w:hint="cs"/>
          <w:sz w:val="28"/>
          <w:szCs w:val="27"/>
          <w:rtl/>
          <w:lang w:bidi="ar-SY"/>
        </w:rPr>
        <w:t>من</w:t>
      </w:r>
      <w:r w:rsidRPr="00963823">
        <w:rPr>
          <w:rFonts w:ascii="110_Besmellah" w:eastAsia="Calibri" w:hAnsi="110_Besmellah" w:cs="mylotus"/>
          <w:sz w:val="28"/>
          <w:szCs w:val="27"/>
          <w:rtl/>
          <w:lang w:bidi="ar-SY"/>
        </w:rPr>
        <w:t xml:space="preserve"> </w:t>
      </w:r>
      <w:r w:rsidRPr="00963823">
        <w:rPr>
          <w:rFonts w:ascii="110_Besmellah" w:eastAsia="Calibri" w:hAnsi="110_Besmellah" w:cs="mylotus" w:hint="cs"/>
          <w:sz w:val="28"/>
          <w:szCs w:val="27"/>
          <w:rtl/>
          <w:lang w:bidi="ar-SY"/>
        </w:rPr>
        <w:t>السنة</w:t>
      </w:r>
      <w:r w:rsidRPr="00963823">
        <w:rPr>
          <w:rFonts w:ascii="110_Besmellah" w:eastAsia="Calibri" w:hAnsi="110_Besmellah" w:cs="mylotus"/>
          <w:sz w:val="28"/>
          <w:szCs w:val="27"/>
          <w:rtl/>
          <w:lang w:bidi="ar-SY"/>
        </w:rPr>
        <w:t xml:space="preserve"> </w:t>
      </w:r>
      <w:r w:rsidRPr="00963823">
        <w:rPr>
          <w:rFonts w:ascii="110_Besmellah" w:eastAsia="Calibri" w:hAnsi="110_Besmellah" w:cs="mylotus" w:hint="cs"/>
          <w:sz w:val="28"/>
          <w:szCs w:val="27"/>
          <w:rtl/>
          <w:lang w:bidi="ar-SY"/>
        </w:rPr>
        <w:t>المحمدية</w:t>
      </w:r>
      <w:r w:rsidRPr="00963823">
        <w:rPr>
          <w:rFonts w:ascii="110_Besmellah" w:eastAsia="Calibri" w:hAnsi="110_Besmellah" w:cs="mylotus"/>
          <w:sz w:val="28"/>
          <w:szCs w:val="27"/>
          <w:rtl/>
          <w:lang w:bidi="ar-SY"/>
        </w:rPr>
        <w:t xml:space="preserve"> </w:t>
      </w:r>
      <w:r w:rsidRPr="00963823">
        <w:rPr>
          <w:rFonts w:ascii="110_Besmellah" w:eastAsia="Calibri" w:hAnsi="110_Besmellah" w:cs="mylotus" w:hint="cs"/>
          <w:sz w:val="28"/>
          <w:szCs w:val="27"/>
          <w:rtl/>
          <w:lang w:bidi="ar-SY"/>
        </w:rPr>
        <w:t>الشريفة</w:t>
      </w:r>
      <w:r w:rsidRPr="00963823">
        <w:rPr>
          <w:rFonts w:ascii="110_Besmellah" w:eastAsia="Calibri" w:hAnsi="110_Besmellah" w:cs="mylotus"/>
          <w:sz w:val="28"/>
          <w:szCs w:val="27"/>
          <w:rtl/>
          <w:lang w:bidi="ar-SY"/>
        </w:rPr>
        <w:t xml:space="preserve"> </w:t>
      </w:r>
      <w:r w:rsidRPr="00963823">
        <w:rPr>
          <w:rFonts w:ascii="110_Besmellah" w:eastAsia="Calibri" w:hAnsi="110_Besmellah" w:cs="mylotus" w:hint="cs"/>
          <w:sz w:val="28"/>
          <w:szCs w:val="27"/>
          <w:rtl/>
          <w:lang w:bidi="ar-SY"/>
        </w:rPr>
        <w:t>على صاحبها آلاف التحية والسلام وما</w:t>
      </w:r>
      <w:r w:rsidRPr="00963823">
        <w:rPr>
          <w:rFonts w:ascii="110_Besmellah" w:eastAsia="Calibri" w:hAnsi="110_Besmellah" w:cs="mylotus"/>
          <w:sz w:val="28"/>
          <w:szCs w:val="27"/>
          <w:rtl/>
          <w:lang w:bidi="ar-SY"/>
        </w:rPr>
        <w:t xml:space="preserve"> </w:t>
      </w:r>
      <w:r w:rsidRPr="00963823">
        <w:rPr>
          <w:rFonts w:ascii="110_Besmellah" w:eastAsia="Calibri" w:hAnsi="110_Besmellah" w:cs="mylotus" w:hint="cs"/>
          <w:sz w:val="28"/>
          <w:szCs w:val="27"/>
          <w:rtl/>
          <w:lang w:bidi="ar-SY"/>
        </w:rPr>
        <w:t>أيَّدهما</w:t>
      </w:r>
      <w:r w:rsidRPr="00963823">
        <w:rPr>
          <w:rFonts w:ascii="110_Besmellah" w:eastAsia="Calibri" w:hAnsi="110_Besmellah" w:cs="mylotus"/>
          <w:sz w:val="28"/>
          <w:szCs w:val="27"/>
          <w:rtl/>
          <w:lang w:bidi="ar-SY"/>
        </w:rPr>
        <w:t xml:space="preserve"> </w:t>
      </w:r>
      <w:r w:rsidRPr="00963823">
        <w:rPr>
          <w:rFonts w:ascii="110_Besmellah" w:eastAsia="Calibri" w:hAnsi="110_Besmellah" w:cs="mylotus" w:hint="cs"/>
          <w:sz w:val="28"/>
          <w:szCs w:val="27"/>
          <w:rtl/>
          <w:lang w:bidi="ar-SY"/>
        </w:rPr>
        <w:t>من</w:t>
      </w:r>
      <w:r w:rsidRPr="00963823">
        <w:rPr>
          <w:rFonts w:ascii="110_Besmellah" w:eastAsia="Calibri" w:hAnsi="110_Besmellah" w:cs="mylotus"/>
          <w:sz w:val="28"/>
          <w:szCs w:val="27"/>
          <w:rtl/>
          <w:lang w:bidi="ar-SY"/>
        </w:rPr>
        <w:t xml:space="preserve"> </w:t>
      </w:r>
      <w:r w:rsidRPr="00963823">
        <w:rPr>
          <w:rFonts w:ascii="110_Besmellah" w:eastAsia="Calibri" w:hAnsi="110_Besmellah" w:cs="mylotus" w:hint="cs"/>
          <w:sz w:val="28"/>
          <w:szCs w:val="27"/>
          <w:rtl/>
          <w:lang w:bidi="ar-SY"/>
        </w:rPr>
        <w:t>صحيح</w:t>
      </w:r>
      <w:r w:rsidRPr="00963823">
        <w:rPr>
          <w:rFonts w:ascii="110_Besmellah" w:eastAsia="Calibri" w:hAnsi="110_Besmellah" w:cs="mylotus"/>
          <w:sz w:val="28"/>
          <w:szCs w:val="27"/>
          <w:rtl/>
          <w:lang w:bidi="ar-SY"/>
        </w:rPr>
        <w:t xml:space="preserve"> </w:t>
      </w:r>
      <w:r w:rsidRPr="00963823">
        <w:rPr>
          <w:rFonts w:ascii="110_Besmellah" w:eastAsia="Calibri" w:hAnsi="110_Besmellah" w:cs="mylotus" w:hint="cs"/>
          <w:sz w:val="28"/>
          <w:szCs w:val="27"/>
          <w:rtl/>
          <w:lang w:bidi="ar-SY"/>
        </w:rPr>
        <w:t>هدي</w:t>
      </w:r>
      <w:r w:rsidRPr="00963823">
        <w:rPr>
          <w:rFonts w:ascii="110_Besmellah" w:eastAsia="Calibri" w:hAnsi="110_Besmellah" w:cs="mylotus"/>
          <w:sz w:val="28"/>
          <w:szCs w:val="27"/>
          <w:rtl/>
          <w:lang w:bidi="ar-SY"/>
        </w:rPr>
        <w:t xml:space="preserve"> </w:t>
      </w:r>
      <w:r w:rsidRPr="00963823">
        <w:rPr>
          <w:rFonts w:ascii="110_Besmellah" w:eastAsia="Calibri" w:hAnsi="110_Besmellah" w:cs="mylotus" w:hint="cs"/>
          <w:sz w:val="28"/>
          <w:szCs w:val="27"/>
          <w:rtl/>
          <w:lang w:bidi="ar-SY"/>
        </w:rPr>
        <w:t>أئمّة</w:t>
      </w:r>
      <w:r w:rsidRPr="00963823">
        <w:rPr>
          <w:rFonts w:ascii="110_Besmellah" w:eastAsia="Calibri" w:hAnsi="110_Besmellah" w:cs="mylotus"/>
          <w:sz w:val="28"/>
          <w:szCs w:val="27"/>
          <w:rtl/>
          <w:lang w:bidi="ar-SY"/>
        </w:rPr>
        <w:t xml:space="preserve"> </w:t>
      </w:r>
      <w:r w:rsidRPr="00963823">
        <w:rPr>
          <w:rFonts w:ascii="110_Besmellah" w:eastAsia="Calibri" w:hAnsi="110_Besmellah" w:cs="mylotus" w:hint="cs"/>
          <w:sz w:val="28"/>
          <w:szCs w:val="27"/>
          <w:rtl/>
          <w:lang w:bidi="ar-SY"/>
        </w:rPr>
        <w:t>العترة</w:t>
      </w:r>
      <w:r w:rsidRPr="00963823">
        <w:rPr>
          <w:rFonts w:ascii="110_Besmellah" w:eastAsia="Calibri" w:hAnsi="110_Besmellah" w:cs="mylotus"/>
          <w:sz w:val="28"/>
          <w:szCs w:val="27"/>
          <w:rtl/>
          <w:lang w:bidi="ar-SY"/>
        </w:rPr>
        <w:t xml:space="preserve"> </w:t>
      </w:r>
      <w:r w:rsidRPr="00963823">
        <w:rPr>
          <w:rFonts w:ascii="110_Besmellah" w:eastAsia="Calibri" w:hAnsi="110_Besmellah" w:cs="mylotus" w:hint="cs"/>
          <w:sz w:val="28"/>
          <w:szCs w:val="27"/>
          <w:rtl/>
          <w:lang w:bidi="ar-SY"/>
        </w:rPr>
        <w:t>الطاهرة</w:t>
      </w:r>
      <w:r w:rsidRPr="00963823">
        <w:rPr>
          <w:rFonts w:ascii="110_Besmellah" w:eastAsia="Calibri" w:hAnsi="110_Besmellah" w:cs="mylotus"/>
          <w:sz w:val="28"/>
          <w:szCs w:val="27"/>
          <w:rtl/>
          <w:lang w:bidi="ar-SY"/>
        </w:rPr>
        <w:t xml:space="preserve"> </w:t>
      </w:r>
      <w:r w:rsidRPr="00963823">
        <w:rPr>
          <w:rFonts w:ascii="110_Besmellah" w:eastAsia="Calibri" w:hAnsi="110_Besmellah" w:cs="mylotus" w:hint="cs"/>
          <w:sz w:val="28"/>
          <w:szCs w:val="27"/>
          <w:rtl/>
          <w:lang w:bidi="ar-SY"/>
        </w:rPr>
        <w:t xml:space="preserve">وسيرتهم؛ </w:t>
      </w:r>
      <w:r w:rsidRPr="00963823">
        <w:rPr>
          <w:rFonts w:ascii="110_Besmellah" w:eastAsia="Calibri" w:hAnsi="110_Besmellah" w:cs="mylotus" w:hint="cs"/>
          <w:sz w:val="28"/>
          <w:szCs w:val="27"/>
          <w:rtl/>
        </w:rPr>
        <w:t>وشمَّر هؤلاء عن  ساعد الجِدّ وأطلقوا العِنان لأقلامهم وخطبهم و محاضراتهم لإزالة صدأ الشرك عن معدن التوحيد الخالص، ولسان حالهم يقول: «انهض أيها المسلم وامحُ هذه الخرافات والخزعبلات عن وجه الدين، واقضِ على هذا الشرك الذي يتظاهر باسم التقوى، وأعلن التوحيد وحطِّم الأصنام».</w:t>
      </w:r>
    </w:p>
    <w:p w:rsidR="00963823" w:rsidRPr="0087305F" w:rsidRDefault="00963823" w:rsidP="0087305F">
      <w:pPr>
        <w:spacing w:after="60" w:line="228" w:lineRule="auto"/>
        <w:ind w:firstLine="284"/>
        <w:jc w:val="both"/>
        <w:rPr>
          <w:rFonts w:ascii="110_Besmellah" w:eastAsia="Calibri" w:hAnsi="110_Besmellah" w:cs="mylotus"/>
          <w:spacing w:val="-2"/>
          <w:sz w:val="28"/>
          <w:szCs w:val="27"/>
          <w:rtl/>
        </w:rPr>
      </w:pPr>
      <w:r w:rsidRPr="0087305F">
        <w:rPr>
          <w:rFonts w:ascii="110_Besmellah" w:eastAsia="Calibri" w:hAnsi="110_Besmellah" w:cs="mylotus" w:hint="cs"/>
          <w:spacing w:val="-2"/>
          <w:sz w:val="28"/>
          <w:szCs w:val="27"/>
          <w:rtl/>
        </w:rPr>
        <w:t xml:space="preserve">لقد اعتبر «حيدر علي قلمداران القمِّي» - وهو أحد أفراد تلك المجموعة من الموحِّدين المصلحين - في كتابه «طريق الاتحاد»، أن سبب هذه التفرقة هو جهل المسلمين بكتاب الله وسيرة نبيه، وسعى من خلال كشف الجذور الأخرى لتفرُّق الفرق الإسلامية، إلى التقدّم خطوات مؤثرة نحو التقريب الحقيقي بين المذاهب. ولا ريب أن جهود علماء الإسلام الآخرين مثل آية الله السيد </w:t>
      </w:r>
      <w:r w:rsidRPr="0087305F">
        <w:rPr>
          <w:rFonts w:ascii="110_Besmellah" w:eastAsia="Calibri" w:hAnsi="110_Besmellah" w:cs="mylotus" w:hint="cs"/>
          <w:spacing w:val="-2"/>
          <w:sz w:val="28"/>
          <w:szCs w:val="27"/>
          <w:rtl/>
        </w:rPr>
        <w:lastRenderedPageBreak/>
        <w:t xml:space="preserve">أبو الفضل ابن الرضا البرقعي، والسيد مصطفى الحسيني الطباطبائي، وآية الله شريعت سنكلجي، ويوسف شعار وكثيرين آخرين من أمثال هؤلاء المجاهدين في سبيل الحق، أسوة ونبراس لكل باحث عن  الحق ومتطلِّعٍ إلى جوهر الدين، كي يخطوا هم بدورهم أيضاً خطوات مؤثرة في طريق البحث والتحقيق التوحيدي، مُتَّبِعين في ذلك أسلوب التحقيق الديني وتمحيص الادِّعاءات الدينية على ضوء التعاليم الأصيلة للقرآن والسنة، ليعينوا ويرشدوا من ضلوا الطريق وتقاذفتهم أمواج الشرك والخرافات والأباطيل، ليصلوا بهم إلى بر أمان التوحيد والدين الحق. </w:t>
      </w:r>
    </w:p>
    <w:p w:rsidR="00963823" w:rsidRPr="00963823" w:rsidRDefault="00963823" w:rsidP="0087305F">
      <w:pPr>
        <w:spacing w:after="60" w:line="228" w:lineRule="auto"/>
        <w:ind w:firstLine="284"/>
        <w:jc w:val="both"/>
        <w:rPr>
          <w:rFonts w:ascii="110_Besmellah" w:eastAsia="Calibri" w:hAnsi="110_Besmellah" w:cs="mylotus"/>
          <w:sz w:val="28"/>
          <w:szCs w:val="27"/>
          <w:rtl/>
        </w:rPr>
      </w:pPr>
      <w:r w:rsidRPr="00963823">
        <w:rPr>
          <w:rFonts w:ascii="110_Besmellah" w:eastAsia="Calibri" w:hAnsi="110_Besmellah" w:cs="mylotus" w:hint="cs"/>
          <w:sz w:val="28"/>
          <w:szCs w:val="27"/>
          <w:rtl/>
        </w:rPr>
        <w:t>إن المساعي الحثيثة التي لم تعرف الكلل لِرُوَّاد التوحيد هؤلاء لَهِيَ رسالةٌ تقع مسؤوليتها على عاتق الآخرين أيضاً، الذين يشاهدون المشاكل الدينية لمجتمعنا، ويرون ابتعاد المسلمين عن تعاليم الإسلام الحيَّة، لاسيما في إيران.</w:t>
      </w:r>
    </w:p>
    <w:p w:rsidR="00963823" w:rsidRPr="00963823" w:rsidRDefault="00963823" w:rsidP="0087305F">
      <w:pPr>
        <w:spacing w:line="228" w:lineRule="auto"/>
        <w:ind w:firstLine="284"/>
        <w:jc w:val="both"/>
        <w:rPr>
          <w:rFonts w:ascii="110_Besmellah" w:eastAsia="Calibri" w:hAnsi="110_Besmellah" w:cs="mylotus"/>
          <w:sz w:val="28"/>
          <w:szCs w:val="27"/>
          <w:rtl/>
        </w:rPr>
      </w:pPr>
      <w:r w:rsidRPr="00963823">
        <w:rPr>
          <w:rFonts w:ascii="110_Besmellah" w:eastAsia="Calibri" w:hAnsi="110_Besmellah" w:cs="mylotus" w:hint="cs"/>
          <w:sz w:val="28"/>
          <w:szCs w:val="27"/>
          <w:rtl/>
        </w:rPr>
        <w:t xml:space="preserve">هذا ولا يفوتنا أن نُذَكِّر هنا بأن هؤلاء المصلحين الذين نقوم بنشر كتبهم اليوم قد مرُّوا خلال تحوُّلهم عن مذهبهم الإمامي القديم بمراحل متعددة، واكتشفوا بطلان العقائد الشيعية الإمامية الخاصة - كالإمامة بمفهومها الشيعي والعصمة والرجعة والغيبة و... وكالموقف مما شجر بين الصحابة وغير ذلك - بشكل متدرِّج وعلى مراحل، لذا فلا عجب أن نجد في بعض كتبهم التي ألفوها في بداية تحولهم بعض الآثار والرسوبات من تلك العقائد القديمة لكن كتبهم التالية تخلَّصت بل نقدت بشدة كل تلك العقائد المغالية واقتربوا للغاية بل عانقوا العقيدة الإسلامية الصافية والتوحيدية الخالصة. </w:t>
      </w:r>
    </w:p>
    <w:p w:rsidR="00963823" w:rsidRPr="00963823" w:rsidRDefault="00963823" w:rsidP="0087305F">
      <w:pPr>
        <w:spacing w:line="228" w:lineRule="auto"/>
        <w:jc w:val="center"/>
        <w:rPr>
          <w:rFonts w:ascii="mylotus" w:eastAsia="Calibri" w:hAnsi="mylotus" w:cs="B Lotus"/>
          <w:b/>
          <w:bCs/>
          <w:sz w:val="28"/>
          <w:rtl/>
        </w:rPr>
      </w:pPr>
      <w:r w:rsidRPr="00A33EB8">
        <w:rPr>
          <w:rFonts w:ascii="mylotus" w:eastAsia="Calibri" w:hAnsi="mylotus" w:cs="B Lotus"/>
          <w:b/>
          <w:bCs/>
          <w:sz w:val="28"/>
          <w:rtl/>
        </w:rPr>
        <w:t>***</w:t>
      </w:r>
    </w:p>
    <w:p w:rsidR="00963823" w:rsidRPr="00963823" w:rsidRDefault="00963823" w:rsidP="0087305F">
      <w:pPr>
        <w:pStyle w:val="a5"/>
        <w:spacing w:line="228" w:lineRule="auto"/>
        <w:rPr>
          <w:rtl/>
        </w:rPr>
      </w:pPr>
      <w:bookmarkStart w:id="10" w:name="_Toc342263218"/>
      <w:bookmarkStart w:id="11" w:name="_Toc377068516"/>
      <w:bookmarkStart w:id="12" w:name="_Toc377068643"/>
      <w:bookmarkStart w:id="13" w:name="_Toc377068734"/>
      <w:bookmarkStart w:id="14" w:name="_Toc381750825"/>
      <w:bookmarkStart w:id="15" w:name="_Toc381812576"/>
      <w:bookmarkStart w:id="16" w:name="_Toc385428752"/>
      <w:bookmarkStart w:id="17" w:name="_Toc387843030"/>
      <w:r w:rsidRPr="00963823">
        <w:rPr>
          <w:rFonts w:hint="cs"/>
          <w:rtl/>
        </w:rPr>
        <w:t>الأهداف</w:t>
      </w:r>
      <w:bookmarkEnd w:id="10"/>
      <w:bookmarkEnd w:id="11"/>
      <w:bookmarkEnd w:id="12"/>
      <w:bookmarkEnd w:id="13"/>
      <w:bookmarkEnd w:id="14"/>
      <w:bookmarkEnd w:id="15"/>
      <w:bookmarkEnd w:id="16"/>
      <w:bookmarkEnd w:id="17"/>
    </w:p>
    <w:p w:rsidR="00963823" w:rsidRPr="00963823" w:rsidRDefault="00963823" w:rsidP="0087305F">
      <w:pPr>
        <w:spacing w:line="228" w:lineRule="auto"/>
        <w:ind w:firstLine="284"/>
        <w:jc w:val="both"/>
        <w:rPr>
          <w:rFonts w:ascii="mylotus" w:eastAsia="Calibri" w:hAnsi="mylotus" w:cs="mylotus"/>
          <w:sz w:val="27"/>
          <w:szCs w:val="27"/>
          <w:rtl/>
        </w:rPr>
      </w:pPr>
      <w:r w:rsidRPr="00963823">
        <w:rPr>
          <w:rFonts w:ascii="mylotus" w:eastAsia="Calibri" w:hAnsi="mylotus" w:cs="mylotus"/>
          <w:sz w:val="27"/>
          <w:szCs w:val="27"/>
          <w:rtl/>
        </w:rPr>
        <w:t>تُمثِّلُ الكتبُ التي بين أيديكم اليوم سعياً لنشر معارف الدين  وتقديراً لمجاهدات رجال الله التي لم  تعرف الكَلَل. إن الهدف من نشر هذه المجموعة من الكتب هو:</w:t>
      </w:r>
    </w:p>
    <w:p w:rsidR="00963823" w:rsidRPr="0087305F" w:rsidRDefault="00963823" w:rsidP="0087305F">
      <w:pPr>
        <w:spacing w:after="60" w:line="228" w:lineRule="auto"/>
        <w:ind w:left="624" w:hanging="340"/>
        <w:jc w:val="both"/>
        <w:rPr>
          <w:rFonts w:ascii="mylotus" w:eastAsia="Calibri" w:hAnsi="mylotus" w:cs="mylotus"/>
          <w:spacing w:val="-6"/>
          <w:sz w:val="27"/>
          <w:szCs w:val="27"/>
          <w:rtl/>
        </w:rPr>
      </w:pPr>
      <w:r w:rsidRPr="0087305F">
        <w:rPr>
          <w:rFonts w:ascii="mylotus" w:eastAsia="Calibri" w:hAnsi="mylotus" w:cs="mylotus"/>
          <w:spacing w:val="-6"/>
          <w:sz w:val="27"/>
          <w:szCs w:val="27"/>
          <w:rtl/>
        </w:rPr>
        <w:t>1- إمكانية تنظيم ونشر آثار الموحِّدين بصورة إلكترونية على صفحات الإنترنت، وضمن أقراص مضغوطة، و بصورة كتب مطبوعة، لتهيئة الأرضية اللازمة لتعرُّف المجتمع على أفكارهم التوحيدية وآرائهم الإصلاحية، لتأمين نقل قِيَم الدين الأصيلة إلى الأجيال اللاحقة.</w:t>
      </w:r>
    </w:p>
    <w:p w:rsidR="00963823" w:rsidRPr="00963823" w:rsidRDefault="00963823" w:rsidP="00963823">
      <w:pPr>
        <w:spacing w:after="60" w:line="228" w:lineRule="auto"/>
        <w:ind w:left="624" w:hanging="340"/>
        <w:jc w:val="both"/>
        <w:rPr>
          <w:rFonts w:ascii="mylotus" w:eastAsia="Calibri" w:hAnsi="mylotus" w:cs="mylotus"/>
          <w:sz w:val="27"/>
          <w:szCs w:val="27"/>
          <w:rtl/>
        </w:rPr>
      </w:pPr>
      <w:r w:rsidRPr="00963823">
        <w:rPr>
          <w:rFonts w:ascii="mylotus" w:eastAsia="Calibri" w:hAnsi="mylotus" w:cs="mylotus"/>
          <w:sz w:val="27"/>
          <w:szCs w:val="27"/>
          <w:rtl/>
        </w:rPr>
        <w:lastRenderedPageBreak/>
        <w:t>2- التعريف بآثار هؤلاء العلماء الموحِّدين وأفكارهم يشكِّل مشعلاً يهدي الأبحاث التوحيدية و ينير الدرب لطلاب الحقيقة ويقدِّم نموذجاً يُحْتَذَى لمجتمع علماء إيران.</w:t>
      </w:r>
    </w:p>
    <w:p w:rsidR="00963823" w:rsidRPr="00963823" w:rsidRDefault="00963823" w:rsidP="00963823">
      <w:pPr>
        <w:spacing w:after="60" w:line="228" w:lineRule="auto"/>
        <w:ind w:left="624" w:hanging="340"/>
        <w:jc w:val="both"/>
        <w:rPr>
          <w:rFonts w:ascii="mylotus" w:eastAsia="Calibri" w:hAnsi="mylotus" w:cs="mylotus"/>
          <w:sz w:val="27"/>
          <w:szCs w:val="27"/>
          <w:rtl/>
        </w:rPr>
      </w:pPr>
      <w:r w:rsidRPr="00963823">
        <w:rPr>
          <w:rFonts w:ascii="mylotus" w:eastAsia="Calibri" w:hAnsi="mylotus" w:cs="mylotus"/>
          <w:sz w:val="27"/>
          <w:szCs w:val="27"/>
          <w:rtl/>
        </w:rPr>
        <w:t>3- هذه الكتب تحث المجتمع الديني في إيران الذي اعتاد التقليد المحض، وتصديق كل ما يقوله رجال الدين دون تفكير، والذي يتمحور حول المراجع ويحب المدَّاحين، إلى التفكير في أفكارهم الدينية، ويدعوهم إلى استبدال ثقافة التقليد بثقافة التوحيد، ويريهم كيف نهض من بطن الشيعة الغلاة الخرافيين ، رجال أدركوا نور التوحيد اعتماداً على كتاب الله وسنة رسوله.</w:t>
      </w:r>
    </w:p>
    <w:p w:rsidR="00963823" w:rsidRPr="00963823" w:rsidRDefault="00963823" w:rsidP="00963823">
      <w:pPr>
        <w:spacing w:after="60" w:line="228" w:lineRule="auto"/>
        <w:ind w:left="624" w:hanging="340"/>
        <w:jc w:val="both"/>
        <w:rPr>
          <w:rFonts w:ascii="mylotus" w:eastAsia="Calibri" w:hAnsi="mylotus" w:cs="mylotus"/>
          <w:sz w:val="27"/>
          <w:szCs w:val="27"/>
          <w:rtl/>
        </w:rPr>
      </w:pPr>
      <w:r w:rsidRPr="00963823">
        <w:rPr>
          <w:rFonts w:ascii="mylotus" w:eastAsia="Calibri" w:hAnsi="mylotus" w:cs="mylotus"/>
          <w:sz w:val="27"/>
          <w:szCs w:val="27"/>
          <w:rtl/>
        </w:rPr>
        <w:t>4- إن نشر آثار هؤلاء الموحِّدين الأطهار وأفكارهم، ينقذ ثمرات أبحاثهم الخالصة من  مقصِّ الرقيب ومن تغييب قادة الدين والثقافة في إيران لهذه الآثار القَيِّمة والتعتيم عليها، كما أن ترجمة هذه الآثار القَيِّمة لسائر اللغات يُعَرِّف الأمّة الإسلامية بآراء  الموحدين المسلمين  في إيران وبأفكارهم النيِّرة.</w:t>
      </w:r>
    </w:p>
    <w:p w:rsidR="00963823" w:rsidRPr="00963823" w:rsidRDefault="00963823" w:rsidP="00A33EB8">
      <w:pPr>
        <w:jc w:val="center"/>
        <w:rPr>
          <w:rFonts w:ascii="mylotus" w:eastAsia="Calibri" w:hAnsi="mylotus" w:cs="mylotus"/>
          <w:sz w:val="27"/>
          <w:szCs w:val="27"/>
          <w:rtl/>
        </w:rPr>
      </w:pPr>
      <w:r w:rsidRPr="00A33EB8">
        <w:rPr>
          <w:rFonts w:ascii="mylotus" w:eastAsia="Calibri" w:hAnsi="mylotus" w:cs="B Lotus"/>
          <w:b/>
          <w:bCs/>
          <w:sz w:val="28"/>
          <w:rtl/>
        </w:rPr>
        <w:t>***</w:t>
      </w:r>
    </w:p>
    <w:p w:rsidR="00963823" w:rsidRPr="00963823" w:rsidRDefault="00963823" w:rsidP="009D15B8">
      <w:pPr>
        <w:pStyle w:val="a5"/>
        <w:rPr>
          <w:rtl/>
        </w:rPr>
      </w:pPr>
      <w:bookmarkStart w:id="18" w:name="_Toc342263219"/>
      <w:bookmarkStart w:id="19" w:name="_Toc377068517"/>
      <w:bookmarkStart w:id="20" w:name="_Toc377068644"/>
      <w:bookmarkStart w:id="21" w:name="_Toc377068735"/>
      <w:bookmarkStart w:id="22" w:name="_Toc381750826"/>
      <w:bookmarkStart w:id="23" w:name="_Toc381812577"/>
      <w:bookmarkStart w:id="24" w:name="_Toc385428753"/>
      <w:bookmarkStart w:id="25" w:name="_Toc387843031"/>
      <w:r w:rsidRPr="00963823">
        <w:rPr>
          <w:rtl/>
        </w:rPr>
        <w:t>آفاق المستقبل</w:t>
      </w:r>
      <w:bookmarkEnd w:id="18"/>
      <w:bookmarkEnd w:id="19"/>
      <w:bookmarkEnd w:id="20"/>
      <w:bookmarkEnd w:id="21"/>
      <w:bookmarkEnd w:id="22"/>
      <w:bookmarkEnd w:id="23"/>
      <w:bookmarkEnd w:id="24"/>
      <w:bookmarkEnd w:id="25"/>
    </w:p>
    <w:p w:rsidR="00963823" w:rsidRPr="00963823" w:rsidRDefault="00963823" w:rsidP="00963823">
      <w:pPr>
        <w:spacing w:after="60" w:line="228" w:lineRule="auto"/>
        <w:ind w:firstLine="284"/>
        <w:jc w:val="both"/>
        <w:rPr>
          <w:rFonts w:ascii="mylotus" w:eastAsia="Calibri" w:hAnsi="mylotus" w:cs="mylotus"/>
          <w:sz w:val="27"/>
          <w:szCs w:val="27"/>
          <w:rtl/>
        </w:rPr>
      </w:pPr>
      <w:r w:rsidRPr="00963823">
        <w:rPr>
          <w:rFonts w:ascii="mylotus" w:eastAsia="Calibri" w:hAnsi="mylotus" w:cs="mylotus"/>
          <w:sz w:val="27"/>
          <w:szCs w:val="27"/>
          <w:rtl/>
        </w:rPr>
        <w:t xml:space="preserve">لا شك أنه لا يمكن الوصول إلى مجتمع خالٍ تماماً من الخرافات </w:t>
      </w:r>
      <w:r w:rsidRPr="00963823">
        <w:rPr>
          <w:rFonts w:ascii="mylotus" w:eastAsia="Calibri" w:hAnsi="mylotus" w:cs="mylotus" w:hint="cs"/>
          <w:sz w:val="27"/>
          <w:szCs w:val="27"/>
          <w:rtl/>
        </w:rPr>
        <w:t>و</w:t>
      </w:r>
      <w:r w:rsidRPr="00963823">
        <w:rPr>
          <w:rFonts w:ascii="mylotus" w:eastAsia="Calibri" w:hAnsi="mylotus" w:cs="mylotus"/>
          <w:sz w:val="27"/>
          <w:szCs w:val="27"/>
          <w:rtl/>
        </w:rPr>
        <w:t xml:space="preserve">البدع وإلى المدينة الفاضلة التي تتحقق فيها الطمأنينة في ظلِّ رضا الله سبحانه وتعالى، إلا باتِّباع التعاليم النقيَّة الأصيلة للقرآن الكريم وسنة نبي الرحمة والرأفة </w:t>
      </w:r>
      <w:r w:rsidRPr="00963823">
        <w:rPr>
          <w:rFonts w:ascii="110_Besmellah" w:eastAsia="Calibri" w:hAnsi="110_Besmellah" w:cs="CTraditional Arabic" w:hint="cs"/>
          <w:sz w:val="28"/>
          <w:szCs w:val="27"/>
          <w:rtl/>
        </w:rPr>
        <w:t>ص</w:t>
      </w:r>
      <w:r w:rsidRPr="00963823">
        <w:rPr>
          <w:rFonts w:ascii="mylotus" w:eastAsia="Calibri" w:hAnsi="mylotus" w:cs="mylotus"/>
          <w:sz w:val="27"/>
          <w:szCs w:val="27"/>
          <w:rtl/>
        </w:rPr>
        <w:t>. إن هدف القائمين على نشر مجموعة آثار الموحِّدين هو التعريف بآثار هؤلاء المجاهدين العلميين الكبار، كي تكون معرفة الفضائل الدينية والعلمية لهؤلاء الأعزاء، أرضية مناسبةً لنموّ المجتمع التوحيدي والقرآني في إيران وقوّته، وذلك لنيل رضا الخالق وسعادة  المخلوق.</w:t>
      </w:r>
    </w:p>
    <w:p w:rsidR="00963823" w:rsidRPr="00963823" w:rsidRDefault="00963823" w:rsidP="00963823">
      <w:pPr>
        <w:widowControl w:val="0"/>
        <w:spacing w:after="60" w:line="228" w:lineRule="auto"/>
        <w:jc w:val="center"/>
        <w:rPr>
          <w:rFonts w:cs="mylotus"/>
          <w:szCs w:val="27"/>
          <w:rtl/>
        </w:rPr>
      </w:pPr>
      <w:r w:rsidRPr="00963823">
        <w:rPr>
          <w:rFonts w:cs="mylotus"/>
          <w:szCs w:val="27"/>
          <w:rtl/>
          <w:lang w:bidi="ar-SY"/>
        </w:rPr>
        <w:t xml:space="preserve">نسأل الله تعالى أن يجعل هذه الكلمات المختصرة وسيلة </w:t>
      </w:r>
      <w:r w:rsidRPr="00963823">
        <w:rPr>
          <w:rFonts w:cs="mylotus"/>
          <w:szCs w:val="27"/>
          <w:rtl/>
        </w:rPr>
        <w:t xml:space="preserve">لعلوّ درجات أولئك الأعزاء، وأن يمنّ علينا بالعفو.  </w:t>
      </w:r>
    </w:p>
    <w:p w:rsidR="00963823" w:rsidRPr="0087305F" w:rsidRDefault="00963823" w:rsidP="00963823">
      <w:pPr>
        <w:widowControl w:val="0"/>
        <w:spacing w:after="60" w:line="228" w:lineRule="auto"/>
        <w:jc w:val="center"/>
        <w:rPr>
          <w:rFonts w:cs="mylotus"/>
          <w:sz w:val="4"/>
          <w:szCs w:val="7"/>
          <w:rtl/>
        </w:rPr>
      </w:pPr>
      <w:r w:rsidRPr="00963823">
        <w:rPr>
          <w:rFonts w:cs="mylotus"/>
          <w:szCs w:val="27"/>
          <w:rtl/>
        </w:rPr>
        <w:br w:type="page"/>
      </w:r>
    </w:p>
    <w:p w:rsidR="00963823" w:rsidRPr="00963823" w:rsidRDefault="00963823" w:rsidP="00963823">
      <w:pPr>
        <w:spacing w:line="192" w:lineRule="auto"/>
        <w:jc w:val="center"/>
        <w:rPr>
          <w:rFonts w:eastAsia="Calibri"/>
          <w:rtl/>
        </w:rPr>
      </w:pPr>
      <w:r w:rsidRPr="00963823">
        <w:rPr>
          <w:rFonts w:ascii="110_Besmellah" w:eastAsia="Calibri" w:hAnsi="110_Besmellah" w:cs="Times New Roman"/>
          <w:sz w:val="96"/>
          <w:szCs w:val="96"/>
          <w:lang w:bidi="fa-IR"/>
        </w:rPr>
        <w:t>a</w:t>
      </w:r>
    </w:p>
    <w:p w:rsidR="00963823" w:rsidRPr="00963823" w:rsidRDefault="00963823" w:rsidP="0087305F">
      <w:pPr>
        <w:pStyle w:val="Heading1"/>
        <w:spacing w:before="600"/>
        <w:rPr>
          <w:rFonts w:eastAsia="Calibri"/>
          <w:rtl/>
        </w:rPr>
      </w:pPr>
      <w:bookmarkStart w:id="26" w:name="_Toc342263220"/>
      <w:bookmarkStart w:id="27" w:name="_Toc377068736"/>
      <w:bookmarkStart w:id="28" w:name="_Toc381812578"/>
      <w:bookmarkStart w:id="29" w:name="_Toc385428754"/>
      <w:bookmarkStart w:id="30" w:name="_Toc387843032"/>
      <w:r w:rsidRPr="00963823">
        <w:rPr>
          <w:rFonts w:eastAsia="Calibri" w:hint="cs"/>
          <w:rtl/>
        </w:rPr>
        <w:t>مقدمة الناشر</w:t>
      </w:r>
      <w:bookmarkEnd w:id="26"/>
      <w:bookmarkEnd w:id="27"/>
      <w:bookmarkEnd w:id="28"/>
      <w:bookmarkEnd w:id="29"/>
      <w:bookmarkEnd w:id="30"/>
    </w:p>
    <w:p w:rsidR="00963823" w:rsidRPr="00963823" w:rsidRDefault="00963823" w:rsidP="00963823">
      <w:pPr>
        <w:spacing w:after="60" w:line="228" w:lineRule="auto"/>
        <w:ind w:firstLine="284"/>
        <w:jc w:val="both"/>
        <w:rPr>
          <w:rFonts w:ascii="mylotus" w:eastAsia="Calibri" w:hAnsi="mylotus" w:cs="mylotus"/>
          <w:sz w:val="27"/>
          <w:szCs w:val="27"/>
          <w:rtl/>
          <w:lang w:bidi="ar-SY"/>
        </w:rPr>
      </w:pPr>
      <w:r w:rsidRPr="00963823">
        <w:rPr>
          <w:rFonts w:ascii="mylotus" w:eastAsia="Calibri" w:hAnsi="mylotus" w:cs="mylotus"/>
          <w:sz w:val="27"/>
          <w:szCs w:val="27"/>
          <w:rtl/>
          <w:lang w:bidi="ar-SY"/>
        </w:rPr>
        <w:t xml:space="preserve">الحمد لله الذي أنعم علينا بنعمة العبودية له، والصلاة والسلام  على أشرف خلق الله وآخر رسل الله محمد المصطفى وعلى آله الأطهار وصحبه الأبرار. </w:t>
      </w:r>
    </w:p>
    <w:p w:rsidR="00963823" w:rsidRPr="00963823" w:rsidRDefault="00963823" w:rsidP="0087305F">
      <w:pPr>
        <w:pStyle w:val="a0"/>
        <w:rPr>
          <w:rFonts w:eastAsia="Calibri"/>
          <w:rtl/>
          <w:lang w:bidi="ar-SY"/>
        </w:rPr>
      </w:pPr>
      <w:r w:rsidRPr="00963823">
        <w:rPr>
          <w:rFonts w:ascii="mylotus" w:eastAsia="Calibri" w:hAnsi="mylotus"/>
          <w:sz w:val="27"/>
          <w:rtl/>
          <w:lang w:bidi="ar-SY"/>
        </w:rPr>
        <w:t>وبعد، فقد كان المسلمون طول القرون المنصرمة سبَّاقين للآخرين في تحصيل العلم والمعرفة وتعلُّم العلوم المختلفة، وذلك ببركة تعاليم الإسلام العزيز واتِّباعاً منهم لكلام رسول</w:t>
      </w:r>
      <w:r w:rsidR="0087305F">
        <w:rPr>
          <w:rFonts w:ascii="mylotus" w:eastAsia="Calibri" w:hAnsi="mylotus" w:cs="Times New Roman" w:hint="cs"/>
          <w:sz w:val="27"/>
          <w:rtl/>
          <w:lang w:bidi="ar-SY"/>
        </w:rPr>
        <w:t>‌</w:t>
      </w:r>
      <w:r w:rsidRPr="00963823">
        <w:rPr>
          <w:rFonts w:ascii="mylotus" w:eastAsia="Calibri" w:hAnsi="mylotus"/>
          <w:sz w:val="27"/>
          <w:rtl/>
          <w:lang w:bidi="ar-SY"/>
        </w:rPr>
        <w:t>الله</w:t>
      </w:r>
      <w:r w:rsidRPr="00495BAB">
        <w:rPr>
          <w:rFonts w:ascii="Abo-thar" w:eastAsia="Calibri" w:hAnsi="Abo-thar"/>
          <w:sz w:val="30"/>
          <w:lang w:bidi="fa-IR"/>
        </w:rPr>
        <w:t></w:t>
      </w:r>
      <w:r w:rsidRPr="00963823">
        <w:rPr>
          <w:rFonts w:ascii="mylotus" w:eastAsia="Calibri" w:hAnsi="mylotus"/>
          <w:sz w:val="27"/>
          <w:rtl/>
          <w:lang w:bidi="ar-SY"/>
        </w:rPr>
        <w:t xml:space="preserve">، حتى صار العلماء المسلمون في أواخر فترة الخلافة العباسية سادة العلوم في عصرهم، وتحول بيت الحكمة الذي تأسس في بغداد في النصف الثاني من القرن الهجري الثاني في عهد خلافة هارون الرشيد العباسي، إلى أكبر مؤسسة علمية وبحثية في العالم، ولا يزال بيت الحكمة يُعتَبر مظهراً من مظاهر الحضارة الإسلامية وذلك بفضل نشاطاته الثقافية والعلمية في المجالات المختلفة من تأليف وترجمة واستنساخ وأبحاث متنوعة في المجالات العملية المختلفة سواء الطب والهندسة أم العلوم الإنسانية. </w:t>
      </w:r>
    </w:p>
    <w:p w:rsidR="00963823" w:rsidRPr="0087305F" w:rsidRDefault="00963823" w:rsidP="00963823">
      <w:pPr>
        <w:spacing w:after="60" w:line="228" w:lineRule="auto"/>
        <w:ind w:firstLine="284"/>
        <w:jc w:val="both"/>
        <w:rPr>
          <w:rFonts w:ascii="mylotus" w:eastAsia="Calibri" w:hAnsi="mylotus" w:cs="mylotus"/>
          <w:spacing w:val="-2"/>
          <w:sz w:val="27"/>
          <w:szCs w:val="27"/>
          <w:rtl/>
          <w:lang w:bidi="ar-SY"/>
        </w:rPr>
      </w:pPr>
      <w:r w:rsidRPr="0087305F">
        <w:rPr>
          <w:rFonts w:ascii="mylotus" w:eastAsia="Calibri" w:hAnsi="mylotus" w:cs="mylotus"/>
          <w:spacing w:val="-2"/>
          <w:sz w:val="27"/>
          <w:szCs w:val="27"/>
          <w:rtl/>
          <w:lang w:bidi="ar-SY"/>
        </w:rPr>
        <w:t xml:space="preserve">ولا شك أن هذه القوة العلمية للمسلمين كانت بمثابة شوكة في أعين أعداء الإسلام، لذلك سعوا من خلال بثِّ أسباب الفرقة والاختلاف بين المسلمين إلى تحطيم عَظَمَة الإسلام هذه وسؤدده الذي يعود الفضل فيه إلى وحدة المسلمين وتماسكهم والأخوة السائدة بينهم، فأثار أعداء الإسلام عواصف النزاعات والتفرقة بين  المسلمين كي يحجبوا جمال الحق عن أبصارهم، ويخفوا شمس الدين المشعة خلف غيوم البدع والخرافات. وكما يقول الشيخ سعدي الشيرازي: </w:t>
      </w:r>
    </w:p>
    <w:tbl>
      <w:tblPr>
        <w:bidiVisual/>
        <w:tblW w:w="0" w:type="auto"/>
        <w:jc w:val="center"/>
        <w:tblLook w:val="04A0" w:firstRow="1" w:lastRow="0" w:firstColumn="1" w:lastColumn="0" w:noHBand="0" w:noVBand="1"/>
      </w:tblPr>
      <w:tblGrid>
        <w:gridCol w:w="3455"/>
        <w:gridCol w:w="282"/>
        <w:gridCol w:w="3737"/>
      </w:tblGrid>
      <w:tr w:rsidR="00963823" w:rsidRPr="00963823" w:rsidTr="003F3B94">
        <w:trPr>
          <w:jc w:val="center"/>
        </w:trPr>
        <w:tc>
          <w:tcPr>
            <w:tcW w:w="3510" w:type="dxa"/>
            <w:shd w:val="clear" w:color="auto" w:fill="auto"/>
          </w:tcPr>
          <w:p w:rsidR="00963823" w:rsidRPr="00963823" w:rsidRDefault="00963823" w:rsidP="00963823">
            <w:pPr>
              <w:spacing w:after="60" w:line="228" w:lineRule="auto"/>
              <w:jc w:val="lowKashida"/>
              <w:rPr>
                <w:rFonts w:ascii="mylotus" w:eastAsia="Calibri" w:hAnsi="mylotus" w:cs="mylotus"/>
                <w:sz w:val="2"/>
                <w:szCs w:val="2"/>
                <w:rtl/>
                <w:lang w:bidi="ar-SY"/>
              </w:rPr>
            </w:pPr>
            <w:r w:rsidRPr="00963823">
              <w:rPr>
                <w:rFonts w:ascii="mylotus" w:eastAsia="Calibri" w:hAnsi="mylotus" w:cs="mylotus"/>
                <w:sz w:val="27"/>
                <w:szCs w:val="27"/>
                <w:rtl/>
                <w:lang w:bidi="ar-SY"/>
              </w:rPr>
              <w:t>الحقيقــة مكـان مزَينٌ</w:t>
            </w:r>
            <w:r w:rsidRPr="00963823">
              <w:rPr>
                <w:rFonts w:ascii="mylotus" w:eastAsia="Calibri" w:hAnsi="mylotus" w:cs="mylotus" w:hint="cs"/>
                <w:sz w:val="27"/>
                <w:szCs w:val="27"/>
                <w:rtl/>
                <w:lang w:bidi="ar-SY"/>
              </w:rPr>
              <w:br/>
            </w:r>
            <w:r w:rsidRPr="00963823">
              <w:rPr>
                <w:rFonts w:ascii="mylotus" w:eastAsia="Calibri" w:hAnsi="mylotus" w:cs="mylotus"/>
                <w:sz w:val="27"/>
                <w:szCs w:val="27"/>
                <w:rtl/>
                <w:lang w:bidi="ar-SY"/>
              </w:rPr>
              <w:lastRenderedPageBreak/>
              <w:t>ألا ترى أن كل مكان اعتلاه الغبار</w:t>
            </w:r>
            <w:r w:rsidRPr="00963823">
              <w:rPr>
                <w:rFonts w:ascii="mylotus" w:eastAsia="Calibri" w:hAnsi="mylotus" w:cs="mylotus" w:hint="cs"/>
                <w:sz w:val="27"/>
                <w:szCs w:val="27"/>
                <w:rtl/>
                <w:lang w:bidi="ar-SY"/>
              </w:rPr>
              <w:br/>
            </w:r>
          </w:p>
        </w:tc>
        <w:tc>
          <w:tcPr>
            <w:tcW w:w="283" w:type="dxa"/>
            <w:shd w:val="clear" w:color="auto" w:fill="auto"/>
          </w:tcPr>
          <w:p w:rsidR="00963823" w:rsidRPr="00963823" w:rsidRDefault="00963823" w:rsidP="00963823">
            <w:pPr>
              <w:spacing w:after="60" w:line="228" w:lineRule="auto"/>
              <w:jc w:val="lowKashida"/>
              <w:rPr>
                <w:rFonts w:ascii="mylotus" w:eastAsia="Calibri" w:hAnsi="mylotus" w:cs="mylotus"/>
                <w:sz w:val="27"/>
                <w:szCs w:val="27"/>
                <w:rtl/>
                <w:lang w:bidi="ar-SY"/>
              </w:rPr>
            </w:pPr>
          </w:p>
        </w:tc>
        <w:tc>
          <w:tcPr>
            <w:tcW w:w="3794" w:type="dxa"/>
            <w:shd w:val="clear" w:color="auto" w:fill="auto"/>
          </w:tcPr>
          <w:p w:rsidR="00963823" w:rsidRPr="00963823" w:rsidRDefault="00963823" w:rsidP="00963823">
            <w:pPr>
              <w:spacing w:after="60" w:line="228" w:lineRule="auto"/>
              <w:jc w:val="lowKashida"/>
              <w:rPr>
                <w:rFonts w:ascii="mylotus" w:eastAsia="Calibri" w:hAnsi="mylotus" w:cs="mylotus"/>
                <w:sz w:val="2"/>
                <w:szCs w:val="2"/>
                <w:rtl/>
                <w:lang w:bidi="ar-SY"/>
              </w:rPr>
            </w:pPr>
            <w:r w:rsidRPr="00963823">
              <w:rPr>
                <w:rFonts w:ascii="mylotus" w:eastAsia="Calibri" w:hAnsi="mylotus" w:cs="mylotus"/>
                <w:sz w:val="27"/>
                <w:szCs w:val="27"/>
                <w:rtl/>
                <w:lang w:bidi="ar-SY"/>
              </w:rPr>
              <w:t>لكن الهوى والرغبات أثارا الغبار فوقه</w:t>
            </w:r>
            <w:r w:rsidRPr="00963823">
              <w:rPr>
                <w:rFonts w:ascii="mylotus" w:eastAsia="Calibri" w:hAnsi="mylotus" w:cs="mylotus" w:hint="cs"/>
                <w:sz w:val="27"/>
                <w:szCs w:val="27"/>
                <w:rtl/>
                <w:lang w:bidi="ar-SY"/>
              </w:rPr>
              <w:br/>
            </w:r>
            <w:r w:rsidRPr="00963823">
              <w:rPr>
                <w:rFonts w:ascii="mylotus" w:eastAsia="Calibri" w:hAnsi="mylotus" w:cs="mylotus"/>
                <w:sz w:val="27"/>
                <w:szCs w:val="27"/>
                <w:rtl/>
                <w:lang w:bidi="ar-SY"/>
              </w:rPr>
              <w:lastRenderedPageBreak/>
              <w:t>لا يقع عليه النظر ولو كان الرجل بصيراً</w:t>
            </w:r>
            <w:r w:rsidRPr="00963823">
              <w:rPr>
                <w:rFonts w:ascii="mylotus" w:eastAsia="Calibri" w:hAnsi="mylotus" w:cs="mylotus" w:hint="cs"/>
                <w:sz w:val="27"/>
                <w:szCs w:val="27"/>
                <w:rtl/>
                <w:lang w:bidi="ar-SY"/>
              </w:rPr>
              <w:br/>
            </w:r>
          </w:p>
        </w:tc>
      </w:tr>
    </w:tbl>
    <w:p w:rsidR="00963823" w:rsidRPr="00963823" w:rsidRDefault="00963823" w:rsidP="00963823">
      <w:pPr>
        <w:spacing w:after="60" w:line="228" w:lineRule="auto"/>
        <w:ind w:firstLine="284"/>
        <w:jc w:val="both"/>
        <w:rPr>
          <w:rFonts w:ascii="mylotus" w:eastAsia="Calibri" w:hAnsi="mylotus" w:cs="mylotus"/>
          <w:sz w:val="27"/>
          <w:szCs w:val="27"/>
          <w:rtl/>
          <w:lang w:bidi="ar-SY"/>
        </w:rPr>
      </w:pPr>
      <w:r w:rsidRPr="00963823">
        <w:rPr>
          <w:rFonts w:ascii="mylotus" w:eastAsia="Calibri" w:hAnsi="mylotus" w:cs="mylotus"/>
          <w:sz w:val="27"/>
          <w:szCs w:val="27"/>
          <w:rtl/>
          <w:lang w:bidi="ar-SY"/>
        </w:rPr>
        <w:lastRenderedPageBreak/>
        <w:t>إن المساعي المخطط لها وعلى المدى الطويل لأعداء الإسلام، لأجل إغلاق أعين المسلمين عن حقيقة الدين وإضعاف المسلمين عن تعلُّم معارف الدين ونشرها، وإبعادهم عن سنة النبي الأصيلة الهادية، أدت إلى حدوث فجوة عميقة واختلاف كبير في أمة الإسلام وأصبح أبناء الإسلام اليوم يعانون بشدَّة من تبعات هذه الفجوة وآثارها المشؤومة.</w:t>
      </w:r>
    </w:p>
    <w:p w:rsidR="00963823" w:rsidRPr="00194244" w:rsidRDefault="00963823" w:rsidP="00495BAB">
      <w:pPr>
        <w:pStyle w:val="a0"/>
        <w:rPr>
          <w:spacing w:val="-2"/>
          <w:rtl/>
        </w:rPr>
      </w:pPr>
      <w:r w:rsidRPr="00194244">
        <w:rPr>
          <w:rFonts w:ascii="mylotus" w:eastAsia="Calibri" w:hAnsi="mylotus"/>
          <w:spacing w:val="-2"/>
          <w:sz w:val="27"/>
          <w:rtl/>
          <w:lang w:bidi="ar-SY"/>
        </w:rPr>
        <w:t xml:space="preserve">وبموازاة مساعي أعداء نبي الإسلام </w:t>
      </w:r>
      <w:r w:rsidRPr="00194244">
        <w:rPr>
          <w:rFonts w:ascii="Abo-thar" w:eastAsia="Calibri" w:hAnsi="Abo-thar"/>
          <w:spacing w:val="-2"/>
          <w:sz w:val="30"/>
          <w:lang w:bidi="fa-IR"/>
        </w:rPr>
        <w:t></w:t>
      </w:r>
      <w:r w:rsidRPr="00194244">
        <w:rPr>
          <w:rFonts w:ascii="mylotus" w:eastAsia="Calibri" w:hAnsi="mylotus"/>
          <w:spacing w:val="-2"/>
          <w:sz w:val="27"/>
          <w:rtl/>
          <w:lang w:bidi="ar-SY"/>
        </w:rPr>
        <w:t xml:space="preserve"> العِدائية الرامية إلى تحريف تعاليم الإسلام وتشويهها وإدخال البدع المختلفة في الدين، أدرك أشخاصٌ مؤمنون أطهار شفيقون هذا الخطر، ونهضوا مشمِّرين عن ساعد الجِد والجهاد المتواصل لإحياء معالم الإسلام والسنة النبوية الأصيلة، وتناولوا بأيديهم -بشجاعة منقطعة النظير- أقلامهم وأخذوا يكتبون ويؤلفون في نشر ثقافة الإسلام الأصيلة والعقائد الإسلامية الصحيحة  النقية بين أوساط الشيعة عُبَّاد الخرافات، وصدحوا بينهم بنداء التوحيد بصوت عال أيقظ المتاجرين بالدين والبدع من نوم غفلتهم مذعورين! لقد ضحى هؤلاء الموحدون الطالبون للحق والحقيقة بمصالحهم الشخصية فداء للحقيقة، وقدموا أرواحهم في هذا السبيل هديةً رخيصةً للحق تعالى، وصاروا عن حق مصداقاً لقوله  تعالى:</w:t>
      </w:r>
      <w:r w:rsidRPr="00194244">
        <w:rPr>
          <w:rFonts w:ascii="110_Besmellah" w:eastAsia="Calibri" w:hAnsi="110_Besmellah" w:hint="cs"/>
          <w:spacing w:val="-2"/>
          <w:sz w:val="30"/>
          <w:rtl/>
          <w:lang w:bidi="ar-SY"/>
        </w:rPr>
        <w:t xml:space="preserve"> </w:t>
      </w:r>
      <w:r w:rsidRPr="00194244">
        <w:rPr>
          <w:rFonts w:ascii="Traditional Arabic" w:hAnsi="Traditional Arabic" w:cs="Traditional Arabic"/>
          <w:spacing w:val="-2"/>
          <w:sz w:val="30"/>
          <w:szCs w:val="30"/>
          <w:rtl/>
        </w:rPr>
        <w:t>﴿</w:t>
      </w:r>
      <w:r w:rsidRPr="00194244">
        <w:rPr>
          <w:rStyle w:val="Char3"/>
          <w:rFonts w:hint="eastAsia"/>
          <w:spacing w:val="-2"/>
          <w:rtl/>
        </w:rPr>
        <w:t>أَلَآ</w:t>
      </w:r>
      <w:r w:rsidRPr="00194244">
        <w:rPr>
          <w:rStyle w:val="Char3"/>
          <w:spacing w:val="-2"/>
          <w:rtl/>
        </w:rPr>
        <w:t xml:space="preserve"> إِنَّ أَوۡلِيَآءَ </w:t>
      </w:r>
      <w:r w:rsidRPr="00194244">
        <w:rPr>
          <w:rStyle w:val="Char3"/>
          <w:rFonts w:hint="cs"/>
          <w:spacing w:val="-2"/>
          <w:rtl/>
        </w:rPr>
        <w:t>ٱ</w:t>
      </w:r>
      <w:r w:rsidRPr="00194244">
        <w:rPr>
          <w:rStyle w:val="Char3"/>
          <w:rFonts w:hint="eastAsia"/>
          <w:spacing w:val="-2"/>
          <w:rtl/>
        </w:rPr>
        <w:t>للَّهِ</w:t>
      </w:r>
      <w:r w:rsidRPr="00194244">
        <w:rPr>
          <w:rStyle w:val="Char3"/>
          <w:spacing w:val="-2"/>
          <w:rtl/>
        </w:rPr>
        <w:t xml:space="preserve"> لَا خَوۡفٌ عَلَيۡهِمۡ وَلَا هُمۡ يَحۡزَنُونَ٦٢</w:t>
      </w:r>
      <w:r w:rsidRPr="00194244">
        <w:rPr>
          <w:rFonts w:ascii="Traditional Arabic" w:hAnsi="Traditional Arabic" w:cs="Traditional Arabic"/>
          <w:spacing w:val="-2"/>
          <w:sz w:val="30"/>
          <w:szCs w:val="30"/>
          <w:rtl/>
        </w:rPr>
        <w:t>﴾</w:t>
      </w:r>
      <w:r w:rsidRPr="00194244">
        <w:rPr>
          <w:rFonts w:ascii="110_Besmellah" w:eastAsia="Calibri" w:hAnsi="110_Besmellah" w:cs="KFGQPC Uthman Taha Naskh" w:hint="cs"/>
          <w:spacing w:val="-2"/>
          <w:sz w:val="28"/>
          <w:rtl/>
          <w:lang w:bidi="ar-SY"/>
        </w:rPr>
        <w:t xml:space="preserve"> </w:t>
      </w:r>
      <w:r w:rsidRPr="00194244">
        <w:rPr>
          <w:rFonts w:ascii="110_Besmellah" w:eastAsia="Calibri" w:hAnsi="110_Besmellah" w:cs="KFGQPC Uthman Taha Naskh"/>
          <w:spacing w:val="-2"/>
          <w:sz w:val="28"/>
          <w:rtl/>
          <w:lang w:bidi="ar-SY"/>
        </w:rPr>
        <w:t xml:space="preserve"> </w:t>
      </w:r>
      <w:r w:rsidRPr="00194244">
        <w:rPr>
          <w:rStyle w:val="Char2"/>
          <w:rFonts w:eastAsia="Calibri"/>
          <w:spacing w:val="-2"/>
          <w:rtl/>
        </w:rPr>
        <w:t>[</w:t>
      </w:r>
      <w:r w:rsidRPr="00194244">
        <w:rPr>
          <w:rStyle w:val="Char2"/>
          <w:rFonts w:eastAsia="Calibri" w:hint="cs"/>
          <w:spacing w:val="-2"/>
          <w:rtl/>
        </w:rPr>
        <w:t>يونس:</w:t>
      </w:r>
      <w:r w:rsidRPr="00194244">
        <w:rPr>
          <w:rStyle w:val="Char2"/>
          <w:rFonts w:eastAsia="Calibri"/>
          <w:spacing w:val="-2"/>
          <w:rtl/>
        </w:rPr>
        <w:t>62]</w:t>
      </w:r>
      <w:r w:rsidRPr="00194244">
        <w:rPr>
          <w:rFonts w:ascii="110_Besmellah" w:eastAsia="Calibri" w:hAnsi="110_Besmellah" w:cs="KFGQPC Uthman Taha Naskh" w:hint="cs"/>
          <w:spacing w:val="-2"/>
          <w:szCs w:val="24"/>
          <w:rtl/>
          <w:lang w:bidi="ar-SY"/>
        </w:rPr>
        <w:t>.</w:t>
      </w:r>
    </w:p>
    <w:p w:rsidR="00963823" w:rsidRPr="00963823" w:rsidRDefault="00963823" w:rsidP="00963823">
      <w:pPr>
        <w:spacing w:after="60" w:line="228" w:lineRule="auto"/>
        <w:ind w:firstLine="284"/>
        <w:jc w:val="both"/>
        <w:rPr>
          <w:rFonts w:ascii="mylotus" w:eastAsia="Calibri" w:hAnsi="mylotus" w:cs="mylotus"/>
          <w:sz w:val="27"/>
          <w:szCs w:val="27"/>
          <w:rtl/>
          <w:lang w:bidi="ar-SY"/>
        </w:rPr>
      </w:pPr>
      <w:r w:rsidRPr="00963823">
        <w:rPr>
          <w:rFonts w:ascii="mylotus" w:eastAsia="Calibri" w:hAnsi="mylotus" w:cs="mylotus"/>
          <w:sz w:val="27"/>
          <w:szCs w:val="27"/>
          <w:rtl/>
          <w:lang w:bidi="ar-SY"/>
        </w:rPr>
        <w:t xml:space="preserve">إن ما جاء في هذه المجموعة ليس سوى غيضٍ من فيض المعارف الإلـهية، ومُنْتَخَبٍ من آثار الموحدين الطالبين لله تعالى الذين كانوا ينتمون في بداية أمرهم لطائفة الشيعة.  لقد أشرق نور الله في صدورهم، وصار التوحيد نبراس حياتهم المباركة. لقد تم تحرك هؤلاء الأفراد الذين كانوا جميعاً في بداية أمرهم من الطراز الأول من علماء الشيعة في إيران، في مسيرتهم التحولية من مذهبهم القديم، خطوةً خطوةً؛ بمعنى أن نظرتهم إلى المسائل العقائدية لم تتحول بشكل فجائي مرةً واحدةً، بل حَصَل هذا التحول بمرور الزمان وعلى إثر المطالعة والدراسة المتأنية والتواصل مع من يوافقهم في أفكارهم، لذا من الطبيعي أن لا تنطبق بعض رؤى وأفكار هؤلاء الإصلاحيين في بعض مراحل حياتهم وكتاباتهم، مع عقائد أهل السنة والجماعة واتجاهاتهم الفكرية بشكل كامل؛ لكن رغم ذلك قمنا بنشر هذه المؤلفات كما هي نظراً لأهميتها في هداية </w:t>
      </w:r>
      <w:r w:rsidRPr="00963823">
        <w:rPr>
          <w:rFonts w:ascii="mylotus" w:eastAsia="Calibri" w:hAnsi="mylotus" w:cs="mylotus"/>
          <w:sz w:val="27"/>
          <w:szCs w:val="27"/>
          <w:rtl/>
          <w:lang w:bidi="ar-SY"/>
        </w:rPr>
        <w:lastRenderedPageBreak/>
        <w:t>شيعة إيران وغيرهم من الناطقين باللغة الفارسية. كما أنه من الجدير بالذكر أن الرؤى والمواقف الفكرية المطروحة في هذه الكتب، لا تنطبق بالضرورة مع رؤى الناشر والقائمين على نشر هذه المجموعة من الكتب، هذا على الرغم من أن هذه الكتب تمثل بلا ريب نفحةً من نفحات الحق و نوراً من جانب الله لهداية طالبي الحقيقة البعيدين عن العصبيات والظنون التاريخية الطائفية.</w:t>
      </w:r>
    </w:p>
    <w:p w:rsidR="00963823" w:rsidRPr="00963823" w:rsidRDefault="00963823" w:rsidP="00495BAB">
      <w:pPr>
        <w:pStyle w:val="a0"/>
        <w:rPr>
          <w:rFonts w:eastAsia="Calibri"/>
          <w:rtl/>
          <w:lang w:bidi="ar-SY"/>
        </w:rPr>
      </w:pPr>
      <w:r w:rsidRPr="00963823">
        <w:rPr>
          <w:rFonts w:ascii="mylotus" w:eastAsia="Calibri" w:hAnsi="mylotus"/>
          <w:sz w:val="27"/>
          <w:rtl/>
          <w:lang w:bidi="ar-SY"/>
        </w:rPr>
        <w:t>إن النقطة الجديرة بالتأمّل هي أنه للوقوف بشكل صحيح على رؤى وأفكار هؤلاء الأفراد، لا يمكن  الاكتفاء بقراءة مجلد واحد من آثارهم؛ بل لا بد من قراءة حياتهم بشكل كامل، كي يتم التعرُّف بشكل كامل على كيفية تحولهم  الفكري، ودوافعه وعوامله. فعلى سبيل المثال، ألف</w:t>
      </w:r>
      <w:r w:rsidRPr="00963823">
        <w:rPr>
          <w:rFonts w:ascii="mylotus" w:eastAsia="Calibri" w:hAnsi="mylotus" w:hint="cs"/>
          <w:sz w:val="27"/>
          <w:rtl/>
          <w:lang w:bidi="ar-SY"/>
        </w:rPr>
        <w:t xml:space="preserve">      </w:t>
      </w:r>
      <w:r w:rsidRPr="00963823">
        <w:rPr>
          <w:rFonts w:ascii="mylotus" w:eastAsia="Calibri" w:hAnsi="mylotus"/>
          <w:sz w:val="27"/>
          <w:rtl/>
          <w:lang w:bidi="ar-SY"/>
        </w:rPr>
        <w:t xml:space="preserve">آية الله السيد أبو الفضل البرقعي في الفترة الأولى من بداية تحوله الفكري كتاباً بعنوان «درسى از ولايت» أي «درسٌ حول الولاية»، بحث فيه موضوع الأئمة وادعاء الشيعة حول ولايتهم وإمامتهم ورئاستهم المباشرة للمسلمين بعد نبي الله </w:t>
      </w:r>
      <w:r w:rsidRPr="00495BAB">
        <w:rPr>
          <w:rFonts w:ascii="Abo-thar" w:eastAsia="Calibri" w:hAnsi="Abo-thar"/>
          <w:sz w:val="30"/>
          <w:lang w:bidi="fa-IR"/>
        </w:rPr>
        <w:t></w:t>
      </w:r>
      <w:r w:rsidRPr="00963823">
        <w:rPr>
          <w:rFonts w:ascii="mylotus" w:eastAsia="Calibri" w:hAnsi="mylotus"/>
          <w:sz w:val="27"/>
          <w:rtl/>
          <w:lang w:bidi="ar-SY"/>
        </w:rPr>
        <w:t xml:space="preserve">. واعتبر أن عدد الأئمة 12 إماماً، مصحِّحاً بذلك الاعتقاد بوجود محمد بن الحسن العسكري وحياته حتى الآن، بوصفه الإمام الثاني عشر. لكن المؤلِّف نفسه ألف بعد عدة سنوات كتاباً باسم «تحقيق جدي في أحاديث المهدي» ووضع تحت تصرف القراء نتائج بحثه التي توصل إليها في هذا المجال، وهي أن جميع الأخبار والروايات التاريخية المتعلِّقة بولادة ووجود المهدي إمام الزمان، روايات وأخبار موضوعة وكاذبة. من هذا المثال ومن أمثلة مشابهة أخرى يتبيَّن أن أفضل طريق لمعرفة المسيرة التحولية لأفكار هؤلاء الموحدين وآثارهم هي قراءة مجموعة كتاباتهم بشكل كامل، مع الأخذ بعين الاعتبار تقدم كل مؤلَّف من مؤلَّفاتهم أو تأخّره زمنياً. </w:t>
      </w:r>
    </w:p>
    <w:p w:rsidR="00963823" w:rsidRPr="00963823" w:rsidRDefault="00963823" w:rsidP="00963823">
      <w:pPr>
        <w:spacing w:after="60" w:line="228" w:lineRule="auto"/>
        <w:ind w:firstLine="284"/>
        <w:jc w:val="both"/>
        <w:rPr>
          <w:rFonts w:ascii="mylotus" w:eastAsia="Calibri" w:hAnsi="mylotus" w:cs="mylotus"/>
          <w:sz w:val="27"/>
          <w:szCs w:val="27"/>
          <w:rtl/>
          <w:lang w:bidi="ar-SY"/>
        </w:rPr>
      </w:pPr>
      <w:r w:rsidRPr="00963823">
        <w:rPr>
          <w:rFonts w:ascii="mylotus" w:eastAsia="Calibri" w:hAnsi="mylotus" w:cs="mylotus"/>
          <w:sz w:val="27"/>
          <w:szCs w:val="27"/>
          <w:rtl/>
          <w:lang w:bidi="ar-SY"/>
        </w:rPr>
        <w:t xml:space="preserve">نأمل أن تكون آثار هؤلاء المؤلّفين الكبار ومساعي القائمين على نشرها، سبباً للعودة إلى مسيرة الأمن الإلـهية وعبادة الحق سبحانه وتعالى الخالصة.  </w:t>
      </w:r>
    </w:p>
    <w:p w:rsidR="00963823" w:rsidRDefault="00963823" w:rsidP="00194244">
      <w:pPr>
        <w:spacing w:before="240"/>
        <w:jc w:val="center"/>
        <w:rPr>
          <w:rFonts w:ascii="mylotus" w:eastAsia="Calibri" w:hAnsi="mylotus" w:cs="mylotus" w:hint="cs"/>
          <w:sz w:val="27"/>
          <w:szCs w:val="27"/>
          <w:rtl/>
          <w:lang w:bidi="ar-SY"/>
        </w:rPr>
      </w:pPr>
      <w:r w:rsidRPr="00963823">
        <w:rPr>
          <w:rFonts w:ascii="mylotus" w:eastAsia="Calibri" w:hAnsi="mylotus" w:cs="mylotus"/>
          <w:sz w:val="27"/>
          <w:szCs w:val="27"/>
          <w:rtl/>
          <w:lang w:bidi="ar-SY"/>
        </w:rPr>
        <w:t>نسأل الله تعالى أن يجعل هذه الكلمات المختصرة وسيلة لغفران ذنوبنا وأن يسامحنا إذا وقعنا في خطأ أو زلل، وأن يرحم أرواح أولئك المؤلفين الأعزَّاء ويجعلهم في جوار رحمته، إنه رؤوف رحيم، والحمد لله رب العالمين.</w:t>
      </w:r>
    </w:p>
    <w:p w:rsidR="00194244" w:rsidRPr="00963823" w:rsidRDefault="00194244" w:rsidP="00194244">
      <w:pPr>
        <w:jc w:val="both"/>
        <w:rPr>
          <w:rFonts w:ascii="mylotus" w:eastAsia="Calibri" w:hAnsi="mylotus" w:cs="mylotus"/>
          <w:sz w:val="27"/>
          <w:szCs w:val="27"/>
          <w:rtl/>
          <w:lang w:bidi="ar-SY"/>
        </w:rPr>
        <w:sectPr w:rsidR="00194244" w:rsidRPr="00963823" w:rsidSect="00010AE3">
          <w:headerReference w:type="default" r:id="rId15"/>
          <w:footnotePr>
            <w:numRestart w:val="eachPage"/>
          </w:footnotePr>
          <w:endnotePr>
            <w:numFmt w:val="lowerLetter"/>
          </w:endnotePr>
          <w:type w:val="oddPage"/>
          <w:pgSz w:w="9356" w:h="13608" w:code="34"/>
          <w:pgMar w:top="964" w:right="1134" w:bottom="1134" w:left="964" w:header="0" w:footer="851" w:gutter="0"/>
          <w:cols w:space="720"/>
          <w:titlePg/>
          <w:bidi/>
          <w:rtlGutter/>
        </w:sectPr>
      </w:pPr>
    </w:p>
    <w:p w:rsidR="00963823" w:rsidRPr="00963823" w:rsidRDefault="00963823" w:rsidP="009D15B8">
      <w:pPr>
        <w:pStyle w:val="Heading1"/>
      </w:pPr>
      <w:bookmarkStart w:id="31" w:name="_Toc387843033"/>
      <w:r w:rsidRPr="00963823">
        <w:rPr>
          <w:rtl/>
        </w:rPr>
        <w:lastRenderedPageBreak/>
        <w:t>ترجمة مختصرة للأستاذ حيدر علي قلمداران رحمه الله</w:t>
      </w:r>
      <w:bookmarkEnd w:id="31"/>
    </w:p>
    <w:p w:rsidR="00963823" w:rsidRPr="00963823" w:rsidRDefault="00963823" w:rsidP="004A32F0">
      <w:pPr>
        <w:widowControl w:val="0"/>
        <w:spacing w:after="40" w:line="226" w:lineRule="auto"/>
        <w:ind w:firstLine="284"/>
        <w:jc w:val="both"/>
        <w:rPr>
          <w:rFonts w:cs="mylotus"/>
          <w:szCs w:val="27"/>
          <w:rtl/>
        </w:rPr>
      </w:pPr>
      <w:r w:rsidRPr="00963823">
        <w:rPr>
          <w:rFonts w:cs="mylotus"/>
          <w:sz w:val="32"/>
          <w:szCs w:val="27"/>
          <w:rtl/>
        </w:rPr>
        <w:t>الحمد لله الذي يهدي</w:t>
      </w:r>
      <w:r w:rsidR="00DF60B6">
        <w:rPr>
          <w:rFonts w:cs="mylotus" w:hint="cs"/>
          <w:sz w:val="32"/>
          <w:szCs w:val="27"/>
          <w:rtl/>
        </w:rPr>
        <w:t xml:space="preserve"> برحمته</w:t>
      </w:r>
      <w:r w:rsidR="00DF60B6">
        <w:rPr>
          <w:rFonts w:cs="mylotus"/>
          <w:sz w:val="32"/>
          <w:szCs w:val="27"/>
          <w:rtl/>
        </w:rPr>
        <w:t xml:space="preserve"> من يشاء</w:t>
      </w:r>
      <w:r w:rsidRPr="00963823">
        <w:rPr>
          <w:rFonts w:cs="mylotus"/>
          <w:sz w:val="32"/>
          <w:szCs w:val="27"/>
          <w:rtl/>
        </w:rPr>
        <w:t>، ويضل</w:t>
      </w:r>
      <w:r w:rsidR="00DF60B6">
        <w:rPr>
          <w:rFonts w:cs="mylotus" w:hint="cs"/>
          <w:sz w:val="32"/>
          <w:szCs w:val="27"/>
          <w:rtl/>
        </w:rPr>
        <w:t xml:space="preserve"> بحكمته</w:t>
      </w:r>
      <w:r w:rsidR="00DF60B6">
        <w:rPr>
          <w:rFonts w:cs="mylotus"/>
          <w:sz w:val="32"/>
          <w:szCs w:val="27"/>
          <w:rtl/>
        </w:rPr>
        <w:t xml:space="preserve"> من يشاء</w:t>
      </w:r>
      <w:r w:rsidRPr="00963823">
        <w:rPr>
          <w:rFonts w:cs="mylotus"/>
          <w:sz w:val="32"/>
          <w:szCs w:val="27"/>
          <w:rtl/>
        </w:rPr>
        <w:t>، والصلاة والسلام على من أ</w:t>
      </w:r>
      <w:r w:rsidR="00AC2426">
        <w:rPr>
          <w:rFonts w:cs="mylotus" w:hint="cs"/>
          <w:sz w:val="32"/>
          <w:szCs w:val="27"/>
          <w:rtl/>
        </w:rPr>
        <w:t>ُ</w:t>
      </w:r>
      <w:r w:rsidRPr="00963823">
        <w:rPr>
          <w:rFonts w:cs="mylotus"/>
          <w:sz w:val="32"/>
          <w:szCs w:val="27"/>
          <w:rtl/>
        </w:rPr>
        <w:t>رسل لتبليغ الدين بدعوته، وعلى جميع الأطهار الأخ</w:t>
      </w:r>
      <w:r w:rsidRPr="00963823">
        <w:rPr>
          <w:rFonts w:cs="mylotus" w:hint="cs"/>
          <w:sz w:val="32"/>
          <w:szCs w:val="27"/>
          <w:rtl/>
        </w:rPr>
        <w:t>ي</w:t>
      </w:r>
      <w:r w:rsidRPr="00963823">
        <w:rPr>
          <w:rFonts w:cs="mylotus"/>
          <w:sz w:val="32"/>
          <w:szCs w:val="27"/>
          <w:rtl/>
        </w:rPr>
        <w:t>ار من صحبه وعترته.</w:t>
      </w:r>
      <w:r w:rsidR="004A32F0">
        <w:rPr>
          <w:rFonts w:cs="mylotus" w:hint="cs"/>
          <w:sz w:val="32"/>
          <w:szCs w:val="27"/>
          <w:rtl/>
        </w:rPr>
        <w:t xml:space="preserve"> </w:t>
      </w:r>
    </w:p>
    <w:p w:rsidR="00963823" w:rsidRPr="00963823" w:rsidRDefault="00963823" w:rsidP="004A32F0">
      <w:pPr>
        <w:widowControl w:val="0"/>
        <w:spacing w:after="40" w:line="226" w:lineRule="auto"/>
        <w:ind w:firstLine="284"/>
        <w:jc w:val="both"/>
        <w:rPr>
          <w:rFonts w:cs="mylotus"/>
          <w:szCs w:val="27"/>
          <w:rtl/>
        </w:rPr>
      </w:pPr>
      <w:r w:rsidRPr="00963823">
        <w:rPr>
          <w:rFonts w:cs="mylotus"/>
          <w:szCs w:val="27"/>
          <w:rtl/>
        </w:rPr>
        <w:t>وبعد:</w:t>
      </w:r>
    </w:p>
    <w:p w:rsidR="00963823" w:rsidRPr="00963823" w:rsidRDefault="00963823" w:rsidP="00665F8E">
      <w:pPr>
        <w:widowControl w:val="0"/>
        <w:spacing w:after="40" w:line="226" w:lineRule="auto"/>
        <w:ind w:firstLine="284"/>
        <w:jc w:val="both"/>
        <w:rPr>
          <w:rFonts w:cs="mylotus" w:hint="cs"/>
          <w:szCs w:val="27"/>
          <w:rtl/>
          <w:lang w:bidi="fa-IR"/>
        </w:rPr>
      </w:pPr>
      <w:r w:rsidRPr="00963823">
        <w:rPr>
          <w:rFonts w:cs="mylotus"/>
          <w:szCs w:val="27"/>
          <w:rtl/>
        </w:rPr>
        <w:t xml:space="preserve">فالهداية </w:t>
      </w:r>
      <w:r w:rsidRPr="00963823">
        <w:rPr>
          <w:rFonts w:cs="mylotus" w:hint="cs"/>
          <w:szCs w:val="27"/>
          <w:rtl/>
        </w:rPr>
        <w:t xml:space="preserve">نعمة </w:t>
      </w:r>
      <w:r w:rsidRPr="00963823">
        <w:rPr>
          <w:rFonts w:cs="mylotus"/>
          <w:szCs w:val="27"/>
          <w:rtl/>
        </w:rPr>
        <w:t>إلهية ومنة ربانية</w:t>
      </w:r>
      <w:r w:rsidRPr="00963823">
        <w:rPr>
          <w:rFonts w:cs="mylotus" w:hint="cs"/>
          <w:szCs w:val="27"/>
          <w:rtl/>
        </w:rPr>
        <w:t>،</w:t>
      </w:r>
      <w:r w:rsidRPr="00963823">
        <w:rPr>
          <w:rFonts w:cs="mylotus"/>
          <w:szCs w:val="27"/>
          <w:rtl/>
        </w:rPr>
        <w:t xml:space="preserve"> لا يملكها ولا يستطيع التصرف فيها حتى الملائكة والأنبياء</w:t>
      </w:r>
      <w:r w:rsidR="00963EFD" w:rsidRPr="00963EFD">
        <w:rPr>
          <w:rFonts w:cs="CTraditional Arabic"/>
          <w:szCs w:val="27"/>
          <w:rtl/>
        </w:rPr>
        <w:t>‡</w:t>
      </w:r>
      <w:r w:rsidRPr="00963823">
        <w:rPr>
          <w:rFonts w:cs="mylotus"/>
          <w:szCs w:val="27"/>
          <w:rtl/>
        </w:rPr>
        <w:t xml:space="preserve"> كما قال سبحانه: </w:t>
      </w:r>
      <w:r w:rsidRPr="00963823">
        <w:rPr>
          <w:rFonts w:ascii="Traditional Arabic" w:hAnsi="Traditional Arabic" w:cs="Traditional Arabic"/>
          <w:sz w:val="30"/>
          <w:szCs w:val="30"/>
          <w:rtl/>
        </w:rPr>
        <w:t>﴿</w:t>
      </w:r>
      <w:r w:rsidRPr="00963823">
        <w:rPr>
          <w:rFonts w:ascii="KFGQPC Uthmanic Script HAFS" w:cs="KFGQPC Uthmanic Script HAFS" w:hint="eastAsia"/>
          <w:sz w:val="28"/>
          <w:rtl/>
          <w:lang w:val="en-MY" w:eastAsia="en-MY"/>
        </w:rPr>
        <w:t>إِنَّكَ</w:t>
      </w:r>
      <w:r w:rsidRPr="00963823">
        <w:rPr>
          <w:rFonts w:ascii="KFGQPC Uthmanic Script HAFS" w:cs="KFGQPC Uthmanic Script HAFS"/>
          <w:sz w:val="28"/>
          <w:rtl/>
          <w:lang w:val="en-MY" w:eastAsia="en-MY"/>
        </w:rPr>
        <w:t xml:space="preserve"> </w:t>
      </w:r>
      <w:r w:rsidRPr="00963823">
        <w:rPr>
          <w:rFonts w:ascii="KFGQPC Uthmanic Script HAFS" w:cs="KFGQPC Uthmanic Script HAFS" w:hint="eastAsia"/>
          <w:sz w:val="28"/>
          <w:rtl/>
          <w:lang w:val="en-MY" w:eastAsia="en-MY"/>
        </w:rPr>
        <w:t>لَا</w:t>
      </w:r>
      <w:r w:rsidRPr="00963823">
        <w:rPr>
          <w:rFonts w:ascii="KFGQPC Uthmanic Script HAFS" w:cs="KFGQPC Uthmanic Script HAFS"/>
          <w:sz w:val="28"/>
          <w:rtl/>
          <w:lang w:val="en-MY" w:eastAsia="en-MY"/>
        </w:rPr>
        <w:t xml:space="preserve"> </w:t>
      </w:r>
      <w:r w:rsidRPr="00963823">
        <w:rPr>
          <w:rFonts w:ascii="KFGQPC Uthmanic Script HAFS" w:cs="KFGQPC Uthmanic Script HAFS" w:hint="eastAsia"/>
          <w:sz w:val="28"/>
          <w:rtl/>
          <w:lang w:val="en-MY" w:eastAsia="en-MY"/>
        </w:rPr>
        <w:t>تَه</w:t>
      </w:r>
      <w:r w:rsidRPr="00963823">
        <w:rPr>
          <w:rFonts w:ascii="KFGQPC Uthmanic Script HAFS" w:cs="KFGQPC Uthmanic Script HAFS" w:hint="cs"/>
          <w:sz w:val="28"/>
          <w:rtl/>
          <w:lang w:val="en-MY" w:eastAsia="en-MY"/>
        </w:rPr>
        <w:t>ۡ</w:t>
      </w:r>
      <w:r w:rsidRPr="00963823">
        <w:rPr>
          <w:rFonts w:ascii="KFGQPC Uthmanic Script HAFS" w:cs="KFGQPC Uthmanic Script HAFS" w:hint="eastAsia"/>
          <w:sz w:val="28"/>
          <w:rtl/>
          <w:lang w:val="en-MY" w:eastAsia="en-MY"/>
        </w:rPr>
        <w:t>دِي</w:t>
      </w:r>
      <w:r w:rsidRPr="00963823">
        <w:rPr>
          <w:rFonts w:ascii="KFGQPC Uthmanic Script HAFS" w:cs="KFGQPC Uthmanic Script HAFS"/>
          <w:sz w:val="28"/>
          <w:rtl/>
          <w:lang w:val="en-MY" w:eastAsia="en-MY"/>
        </w:rPr>
        <w:t xml:space="preserve"> </w:t>
      </w:r>
      <w:r w:rsidRPr="00963823">
        <w:rPr>
          <w:rFonts w:ascii="KFGQPC Uthmanic Script HAFS" w:cs="KFGQPC Uthmanic Script HAFS" w:hint="eastAsia"/>
          <w:sz w:val="28"/>
          <w:rtl/>
          <w:lang w:val="en-MY" w:eastAsia="en-MY"/>
        </w:rPr>
        <w:t>مَن</w:t>
      </w:r>
      <w:r w:rsidRPr="00963823">
        <w:rPr>
          <w:rFonts w:ascii="KFGQPC Uthmanic Script HAFS" w:cs="KFGQPC Uthmanic Script HAFS" w:hint="cs"/>
          <w:sz w:val="28"/>
          <w:rtl/>
          <w:lang w:val="en-MY" w:eastAsia="en-MY"/>
        </w:rPr>
        <w:t>ۡ</w:t>
      </w:r>
      <w:r w:rsidRPr="00963823">
        <w:rPr>
          <w:rFonts w:ascii="KFGQPC Uthmanic Script HAFS" w:cs="KFGQPC Uthmanic Script HAFS"/>
          <w:sz w:val="28"/>
          <w:rtl/>
          <w:lang w:val="en-MY" w:eastAsia="en-MY"/>
        </w:rPr>
        <w:t xml:space="preserve"> </w:t>
      </w:r>
      <w:r w:rsidRPr="00963823">
        <w:rPr>
          <w:rFonts w:ascii="KFGQPC Uthmanic Script HAFS" w:cs="KFGQPC Uthmanic Script HAFS" w:hint="eastAsia"/>
          <w:sz w:val="28"/>
          <w:rtl/>
          <w:lang w:val="en-MY" w:eastAsia="en-MY"/>
        </w:rPr>
        <w:t>أَح</w:t>
      </w:r>
      <w:r w:rsidRPr="00963823">
        <w:rPr>
          <w:rFonts w:ascii="KFGQPC Uthmanic Script HAFS" w:cs="KFGQPC Uthmanic Script HAFS" w:hint="cs"/>
          <w:sz w:val="28"/>
          <w:rtl/>
          <w:lang w:val="en-MY" w:eastAsia="en-MY"/>
        </w:rPr>
        <w:t>ۡ</w:t>
      </w:r>
      <w:r w:rsidRPr="00963823">
        <w:rPr>
          <w:rFonts w:ascii="KFGQPC Uthmanic Script HAFS" w:cs="KFGQPC Uthmanic Script HAFS" w:hint="eastAsia"/>
          <w:sz w:val="28"/>
          <w:rtl/>
          <w:lang w:val="en-MY" w:eastAsia="en-MY"/>
        </w:rPr>
        <w:t>بَب</w:t>
      </w:r>
      <w:r w:rsidRPr="00963823">
        <w:rPr>
          <w:rFonts w:ascii="KFGQPC Uthmanic Script HAFS" w:cs="KFGQPC Uthmanic Script HAFS" w:hint="cs"/>
          <w:sz w:val="28"/>
          <w:rtl/>
          <w:lang w:val="en-MY" w:eastAsia="en-MY"/>
        </w:rPr>
        <w:t>ۡ</w:t>
      </w:r>
      <w:r w:rsidRPr="00963823">
        <w:rPr>
          <w:rFonts w:ascii="KFGQPC Uthmanic Script HAFS" w:cs="KFGQPC Uthmanic Script HAFS" w:hint="eastAsia"/>
          <w:sz w:val="28"/>
          <w:rtl/>
          <w:lang w:val="en-MY" w:eastAsia="en-MY"/>
        </w:rPr>
        <w:t>تَ</w:t>
      </w:r>
      <w:r w:rsidRPr="00963823">
        <w:rPr>
          <w:rFonts w:ascii="KFGQPC Uthmanic Script HAFS" w:cs="KFGQPC Uthmanic Script HAFS"/>
          <w:sz w:val="28"/>
          <w:rtl/>
          <w:lang w:val="en-MY" w:eastAsia="en-MY"/>
        </w:rPr>
        <w:t xml:space="preserve"> </w:t>
      </w:r>
      <w:r w:rsidRPr="00963823">
        <w:rPr>
          <w:rFonts w:ascii="KFGQPC Uthmanic Script HAFS" w:cs="KFGQPC Uthmanic Script HAFS" w:hint="eastAsia"/>
          <w:sz w:val="28"/>
          <w:rtl/>
          <w:lang w:val="en-MY" w:eastAsia="en-MY"/>
        </w:rPr>
        <w:t>وَلَ</w:t>
      </w:r>
      <w:r w:rsidRPr="00963823">
        <w:rPr>
          <w:rFonts w:ascii="KFGQPC Uthmanic Script HAFS" w:cs="KFGQPC Uthmanic Script HAFS" w:hint="cs"/>
          <w:sz w:val="28"/>
          <w:rtl/>
          <w:lang w:val="en-MY" w:eastAsia="en-MY"/>
        </w:rPr>
        <w:t>ٰ</w:t>
      </w:r>
      <w:r w:rsidRPr="00963823">
        <w:rPr>
          <w:rFonts w:ascii="KFGQPC Uthmanic Script HAFS" w:cs="KFGQPC Uthmanic Script HAFS" w:hint="eastAsia"/>
          <w:sz w:val="28"/>
          <w:rtl/>
          <w:lang w:val="en-MY" w:eastAsia="en-MY"/>
        </w:rPr>
        <w:t>كِنَّ</w:t>
      </w:r>
      <w:r w:rsidRPr="00963823">
        <w:rPr>
          <w:rFonts w:ascii="KFGQPC Uthmanic Script HAFS" w:cs="KFGQPC Uthmanic Script HAFS"/>
          <w:sz w:val="28"/>
          <w:rtl/>
          <w:lang w:val="en-MY" w:eastAsia="en-MY"/>
        </w:rPr>
        <w:t xml:space="preserve"> </w:t>
      </w:r>
      <w:r w:rsidRPr="00963823">
        <w:rPr>
          <w:rFonts w:ascii="KFGQPC Uthmanic Script HAFS" w:cs="KFGQPC Uthmanic Script HAFS" w:hint="cs"/>
          <w:sz w:val="28"/>
          <w:rtl/>
          <w:lang w:val="en-MY" w:eastAsia="en-MY"/>
        </w:rPr>
        <w:t>ٱ</w:t>
      </w:r>
      <w:r w:rsidRPr="00963823">
        <w:rPr>
          <w:rFonts w:ascii="KFGQPC Uthmanic Script HAFS" w:cs="KFGQPC Uthmanic Script HAFS" w:hint="eastAsia"/>
          <w:sz w:val="28"/>
          <w:rtl/>
          <w:lang w:val="en-MY" w:eastAsia="en-MY"/>
        </w:rPr>
        <w:t>للَّهَ</w:t>
      </w:r>
      <w:r w:rsidRPr="00963823">
        <w:rPr>
          <w:rFonts w:ascii="KFGQPC Uthmanic Script HAFS" w:cs="KFGQPC Uthmanic Script HAFS"/>
          <w:sz w:val="28"/>
          <w:rtl/>
          <w:lang w:val="en-MY" w:eastAsia="en-MY"/>
        </w:rPr>
        <w:t xml:space="preserve"> </w:t>
      </w:r>
      <w:r w:rsidRPr="00963823">
        <w:rPr>
          <w:rFonts w:ascii="KFGQPC Uthmanic Script HAFS" w:cs="KFGQPC Uthmanic Script HAFS" w:hint="eastAsia"/>
          <w:sz w:val="28"/>
          <w:rtl/>
          <w:lang w:val="en-MY" w:eastAsia="en-MY"/>
        </w:rPr>
        <w:t>يَه</w:t>
      </w:r>
      <w:r w:rsidRPr="00963823">
        <w:rPr>
          <w:rFonts w:ascii="KFGQPC Uthmanic Script HAFS" w:cs="KFGQPC Uthmanic Script HAFS" w:hint="cs"/>
          <w:sz w:val="28"/>
          <w:rtl/>
          <w:lang w:val="en-MY" w:eastAsia="en-MY"/>
        </w:rPr>
        <w:t>ۡ</w:t>
      </w:r>
      <w:r w:rsidRPr="00963823">
        <w:rPr>
          <w:rFonts w:ascii="KFGQPC Uthmanic Script HAFS" w:cs="KFGQPC Uthmanic Script HAFS" w:hint="eastAsia"/>
          <w:sz w:val="28"/>
          <w:rtl/>
          <w:lang w:val="en-MY" w:eastAsia="en-MY"/>
        </w:rPr>
        <w:t>دِي</w:t>
      </w:r>
      <w:r w:rsidRPr="00963823">
        <w:rPr>
          <w:rFonts w:ascii="KFGQPC Uthmanic Script HAFS" w:cs="KFGQPC Uthmanic Script HAFS"/>
          <w:sz w:val="28"/>
          <w:rtl/>
          <w:lang w:val="en-MY" w:eastAsia="en-MY"/>
        </w:rPr>
        <w:t xml:space="preserve"> </w:t>
      </w:r>
      <w:r w:rsidRPr="00963823">
        <w:rPr>
          <w:rFonts w:ascii="KFGQPC Uthmanic Script HAFS" w:cs="KFGQPC Uthmanic Script HAFS" w:hint="eastAsia"/>
          <w:sz w:val="28"/>
          <w:rtl/>
          <w:lang w:val="en-MY" w:eastAsia="en-MY"/>
        </w:rPr>
        <w:t>مَن</w:t>
      </w:r>
      <w:r w:rsidRPr="00963823">
        <w:rPr>
          <w:rFonts w:ascii="KFGQPC Uthmanic Script HAFS" w:cs="KFGQPC Uthmanic Script HAFS"/>
          <w:sz w:val="28"/>
          <w:rtl/>
          <w:lang w:val="en-MY" w:eastAsia="en-MY"/>
        </w:rPr>
        <w:t xml:space="preserve"> </w:t>
      </w:r>
      <w:r w:rsidRPr="00963823">
        <w:rPr>
          <w:rFonts w:ascii="KFGQPC Uthmanic Script HAFS" w:cs="KFGQPC Uthmanic Script HAFS" w:hint="eastAsia"/>
          <w:sz w:val="28"/>
          <w:rtl/>
          <w:lang w:val="en-MY" w:eastAsia="en-MY"/>
        </w:rPr>
        <w:t>يَشَا</w:t>
      </w:r>
      <w:r w:rsidRPr="00963823">
        <w:rPr>
          <w:rFonts w:ascii="KFGQPC Uthmanic Script HAFS" w:cs="KFGQPC Uthmanic Script HAFS" w:hint="cs"/>
          <w:sz w:val="28"/>
          <w:rtl/>
          <w:lang w:val="en-MY" w:eastAsia="en-MY"/>
        </w:rPr>
        <w:t>ٓ</w:t>
      </w:r>
      <w:r w:rsidRPr="00963823">
        <w:rPr>
          <w:rFonts w:ascii="KFGQPC Uthmanic Script HAFS" w:cs="KFGQPC Uthmanic Script HAFS" w:hint="eastAsia"/>
          <w:sz w:val="28"/>
          <w:rtl/>
          <w:lang w:val="en-MY" w:eastAsia="en-MY"/>
        </w:rPr>
        <w:t>ءُ</w:t>
      </w:r>
      <w:r w:rsidRPr="00963823">
        <w:rPr>
          <w:rFonts w:ascii="KFGQPC Uthmanic Script HAFS" w:cs="KFGQPC Uthmanic Script HAFS" w:hint="cs"/>
          <w:sz w:val="28"/>
          <w:rtl/>
          <w:lang w:val="en-MY" w:eastAsia="en-MY"/>
        </w:rPr>
        <w:t>ۚ</w:t>
      </w:r>
      <w:r w:rsidRPr="00963823">
        <w:rPr>
          <w:rFonts w:ascii="KFGQPC Uthmanic Script HAFS" w:cs="KFGQPC Uthmanic Script HAFS"/>
          <w:sz w:val="28"/>
          <w:rtl/>
          <w:lang w:val="en-MY" w:eastAsia="en-MY"/>
        </w:rPr>
        <w:t xml:space="preserve"> </w:t>
      </w:r>
      <w:r w:rsidRPr="00963823">
        <w:rPr>
          <w:rFonts w:ascii="KFGQPC Uthmanic Script HAFS" w:cs="KFGQPC Uthmanic Script HAFS" w:hint="eastAsia"/>
          <w:sz w:val="28"/>
          <w:rtl/>
          <w:lang w:val="en-MY" w:eastAsia="en-MY"/>
        </w:rPr>
        <w:t>وَهُوَ</w:t>
      </w:r>
      <w:r w:rsidRPr="00963823">
        <w:rPr>
          <w:rFonts w:ascii="KFGQPC Uthmanic Script HAFS" w:cs="KFGQPC Uthmanic Script HAFS"/>
          <w:sz w:val="28"/>
          <w:rtl/>
          <w:lang w:val="en-MY" w:eastAsia="en-MY"/>
        </w:rPr>
        <w:t xml:space="preserve"> </w:t>
      </w:r>
      <w:r w:rsidRPr="00963823">
        <w:rPr>
          <w:rFonts w:ascii="KFGQPC Uthmanic Script HAFS" w:cs="KFGQPC Uthmanic Script HAFS" w:hint="eastAsia"/>
          <w:sz w:val="28"/>
          <w:rtl/>
          <w:lang w:val="en-MY" w:eastAsia="en-MY"/>
        </w:rPr>
        <w:t>أَع</w:t>
      </w:r>
      <w:r w:rsidRPr="00963823">
        <w:rPr>
          <w:rFonts w:ascii="KFGQPC Uthmanic Script HAFS" w:cs="KFGQPC Uthmanic Script HAFS" w:hint="cs"/>
          <w:sz w:val="28"/>
          <w:rtl/>
          <w:lang w:val="en-MY" w:eastAsia="en-MY"/>
        </w:rPr>
        <w:t>ۡ</w:t>
      </w:r>
      <w:r w:rsidRPr="00963823">
        <w:rPr>
          <w:rFonts w:ascii="KFGQPC Uthmanic Script HAFS" w:cs="KFGQPC Uthmanic Script HAFS" w:hint="eastAsia"/>
          <w:sz w:val="28"/>
          <w:rtl/>
          <w:lang w:val="en-MY" w:eastAsia="en-MY"/>
        </w:rPr>
        <w:t>لَمُ</w:t>
      </w:r>
      <w:r w:rsidRPr="00963823">
        <w:rPr>
          <w:rFonts w:ascii="KFGQPC Uthmanic Script HAFS" w:cs="KFGQPC Uthmanic Script HAFS"/>
          <w:sz w:val="28"/>
          <w:rtl/>
          <w:lang w:val="en-MY" w:eastAsia="en-MY"/>
        </w:rPr>
        <w:t xml:space="preserve"> </w:t>
      </w:r>
      <w:r w:rsidRPr="00963823">
        <w:rPr>
          <w:rFonts w:ascii="KFGQPC Uthmanic Script HAFS" w:cs="KFGQPC Uthmanic Script HAFS" w:hint="eastAsia"/>
          <w:sz w:val="28"/>
          <w:rtl/>
          <w:lang w:val="en-MY" w:eastAsia="en-MY"/>
        </w:rPr>
        <w:t>بِ</w:t>
      </w:r>
      <w:r w:rsidRPr="00963823">
        <w:rPr>
          <w:rFonts w:ascii="KFGQPC Uthmanic Script HAFS" w:cs="KFGQPC Uthmanic Script HAFS" w:hint="cs"/>
          <w:sz w:val="28"/>
          <w:rtl/>
          <w:lang w:val="en-MY" w:eastAsia="en-MY"/>
        </w:rPr>
        <w:t>ٱ</w:t>
      </w:r>
      <w:r w:rsidRPr="00963823">
        <w:rPr>
          <w:rFonts w:ascii="KFGQPC Uthmanic Script HAFS" w:cs="KFGQPC Uthmanic Script HAFS" w:hint="eastAsia"/>
          <w:sz w:val="28"/>
          <w:rtl/>
          <w:lang w:val="en-MY" w:eastAsia="en-MY"/>
        </w:rPr>
        <w:t>ل</w:t>
      </w:r>
      <w:r w:rsidRPr="00963823">
        <w:rPr>
          <w:rFonts w:ascii="KFGQPC Uthmanic Script HAFS" w:cs="KFGQPC Uthmanic Script HAFS" w:hint="cs"/>
          <w:sz w:val="28"/>
          <w:rtl/>
          <w:lang w:val="en-MY" w:eastAsia="en-MY"/>
        </w:rPr>
        <w:t>ۡ</w:t>
      </w:r>
      <w:r w:rsidRPr="00963823">
        <w:rPr>
          <w:rFonts w:ascii="KFGQPC Uthmanic Script HAFS" w:cs="KFGQPC Uthmanic Script HAFS" w:hint="eastAsia"/>
          <w:sz w:val="28"/>
          <w:rtl/>
          <w:lang w:val="en-MY" w:eastAsia="en-MY"/>
        </w:rPr>
        <w:t>مُه</w:t>
      </w:r>
      <w:r w:rsidRPr="00963823">
        <w:rPr>
          <w:rFonts w:ascii="KFGQPC Uthmanic Script HAFS" w:cs="KFGQPC Uthmanic Script HAFS" w:hint="cs"/>
          <w:sz w:val="28"/>
          <w:rtl/>
          <w:lang w:val="en-MY" w:eastAsia="en-MY"/>
        </w:rPr>
        <w:t>ۡ</w:t>
      </w:r>
      <w:r w:rsidRPr="00963823">
        <w:rPr>
          <w:rFonts w:ascii="KFGQPC Uthmanic Script HAFS" w:cs="KFGQPC Uthmanic Script HAFS" w:hint="eastAsia"/>
          <w:sz w:val="28"/>
          <w:rtl/>
          <w:lang w:val="en-MY" w:eastAsia="en-MY"/>
        </w:rPr>
        <w:t>تَدِينَ</w:t>
      </w:r>
      <w:r w:rsidRPr="00963823">
        <w:rPr>
          <w:rFonts w:ascii="KFGQPC Uthmanic Script HAFS" w:cs="KFGQPC Uthmanic Script HAFS"/>
          <w:sz w:val="28"/>
          <w:rtl/>
          <w:lang w:val="en-MY" w:eastAsia="en-MY"/>
        </w:rPr>
        <w:t xml:space="preserve"> </w:t>
      </w:r>
      <w:r w:rsidRPr="00963823">
        <w:rPr>
          <w:rFonts w:ascii="KFGQPC Uthmanic Script HAFS" w:cs="KFGQPC Uthmanic Script HAFS" w:hint="cs"/>
          <w:sz w:val="28"/>
          <w:rtl/>
          <w:lang w:val="en-MY" w:eastAsia="en-MY"/>
        </w:rPr>
        <w:t>٥٦</w:t>
      </w:r>
      <w:r w:rsidRPr="00963823">
        <w:rPr>
          <w:rFonts w:ascii="Traditional Arabic" w:hAnsi="Traditional Arabic" w:cs="Traditional Arabic"/>
          <w:sz w:val="30"/>
          <w:szCs w:val="30"/>
          <w:rtl/>
        </w:rPr>
        <w:t>﴾</w:t>
      </w:r>
      <w:r w:rsidRPr="00963823">
        <w:rPr>
          <w:rFonts w:ascii="KFGQPC Uthman Taha Naskh" w:cs="KFGQPC Uthman Taha Naskh"/>
          <w:sz w:val="28"/>
          <w:rtl/>
          <w:lang w:val="en-MY" w:eastAsia="en-MY"/>
        </w:rPr>
        <w:t xml:space="preserve"> </w:t>
      </w:r>
      <w:r w:rsidRPr="009E1401">
        <w:rPr>
          <w:rStyle w:val="Char2"/>
          <w:rtl/>
        </w:rPr>
        <w:t>[</w:t>
      </w:r>
      <w:r w:rsidRPr="009E1401">
        <w:rPr>
          <w:rStyle w:val="Char2"/>
          <w:rFonts w:hint="eastAsia"/>
          <w:rtl/>
        </w:rPr>
        <w:t>القصص</w:t>
      </w:r>
      <w:r w:rsidRPr="009E1401">
        <w:rPr>
          <w:rStyle w:val="Char2"/>
          <w:rtl/>
        </w:rPr>
        <w:t xml:space="preserve">: </w:t>
      </w:r>
      <w:r w:rsidRPr="009E1401">
        <w:rPr>
          <w:rStyle w:val="Char2"/>
          <w:rFonts w:hint="cs"/>
          <w:rtl/>
        </w:rPr>
        <w:t>٥٦</w:t>
      </w:r>
      <w:r w:rsidRPr="009E1401">
        <w:rPr>
          <w:rStyle w:val="Char2"/>
          <w:rtl/>
        </w:rPr>
        <w:t>]</w:t>
      </w:r>
      <w:r w:rsidRPr="00963823">
        <w:rPr>
          <w:rFonts w:ascii="mylotus" w:hAnsi="mylotus" w:cs="mylotus"/>
          <w:sz w:val="27"/>
          <w:szCs w:val="27"/>
          <w:rtl/>
          <w:lang w:val="en-MY" w:eastAsia="en-MY"/>
        </w:rPr>
        <w:t xml:space="preserve">.  </w:t>
      </w:r>
    </w:p>
    <w:p w:rsidR="00963823" w:rsidRPr="00963823" w:rsidRDefault="00963823" w:rsidP="004A32F0">
      <w:pPr>
        <w:widowControl w:val="0"/>
        <w:spacing w:after="40" w:line="226" w:lineRule="auto"/>
        <w:ind w:firstLine="284"/>
        <w:jc w:val="both"/>
        <w:rPr>
          <w:rFonts w:cs="mylotus"/>
          <w:sz w:val="32"/>
          <w:szCs w:val="27"/>
          <w:rtl/>
        </w:rPr>
      </w:pPr>
      <w:r w:rsidRPr="00963823">
        <w:rPr>
          <w:rFonts w:cs="mylotus"/>
          <w:sz w:val="32"/>
          <w:szCs w:val="27"/>
          <w:rtl/>
        </w:rPr>
        <w:t>عدة سنوات مر</w:t>
      </w:r>
      <w:r w:rsidRPr="00963823">
        <w:rPr>
          <w:rFonts w:cs="mylotus" w:hint="cs"/>
          <w:sz w:val="32"/>
          <w:szCs w:val="27"/>
          <w:rtl/>
        </w:rPr>
        <w:t>َّ</w:t>
      </w:r>
      <w:r w:rsidRPr="00963823">
        <w:rPr>
          <w:rFonts w:cs="mylotus"/>
          <w:sz w:val="32"/>
          <w:szCs w:val="27"/>
          <w:rtl/>
        </w:rPr>
        <w:t>ت على وفاة المفكر الإسلامي والعالم الداعية الأستاذ حيدر علي قلمداران رحمة الله عليه، و</w:t>
      </w:r>
      <w:r w:rsidRPr="00963823">
        <w:rPr>
          <w:rFonts w:cs="mylotus" w:hint="cs"/>
          <w:sz w:val="32"/>
          <w:szCs w:val="27"/>
          <w:rtl/>
        </w:rPr>
        <w:t xml:space="preserve">قد </w:t>
      </w:r>
      <w:r w:rsidRPr="00963823">
        <w:rPr>
          <w:rFonts w:cs="mylotus"/>
          <w:sz w:val="32"/>
          <w:szCs w:val="27"/>
          <w:rtl/>
        </w:rPr>
        <w:t xml:space="preserve">كُتِبت </w:t>
      </w:r>
      <w:r w:rsidRPr="00963823">
        <w:rPr>
          <w:rFonts w:cs="mylotus" w:hint="cs"/>
          <w:sz w:val="32"/>
          <w:szCs w:val="27"/>
          <w:rtl/>
        </w:rPr>
        <w:t>سيرة</w:t>
      </w:r>
      <w:r w:rsidRPr="00963823">
        <w:rPr>
          <w:rFonts w:cs="mylotus"/>
          <w:sz w:val="32"/>
          <w:szCs w:val="27"/>
          <w:rtl/>
        </w:rPr>
        <w:t xml:space="preserve"> مختصرة عن حياته النضالية وآثاره العلمية </w:t>
      </w:r>
      <w:r w:rsidRPr="00963823">
        <w:rPr>
          <w:rFonts w:cs="mylotus" w:hint="cs"/>
          <w:sz w:val="32"/>
          <w:szCs w:val="27"/>
          <w:rtl/>
        </w:rPr>
        <w:t>وفاءاً لبعض خدماته الغالية النادرة الخالصة التي قدمها للإسلام والشريعة الإسلامية المقدسة في إيران.</w:t>
      </w:r>
    </w:p>
    <w:p w:rsidR="00963823" w:rsidRPr="00963823" w:rsidRDefault="00963823" w:rsidP="004A32F0">
      <w:pPr>
        <w:pStyle w:val="a5"/>
        <w:spacing w:after="40" w:line="226" w:lineRule="auto"/>
        <w:rPr>
          <w:rtl/>
        </w:rPr>
      </w:pPr>
      <w:bookmarkStart w:id="32" w:name="_Toc377068740"/>
      <w:bookmarkStart w:id="33" w:name="_Toc387843034"/>
      <w:r w:rsidRPr="00963823">
        <w:rPr>
          <w:rFonts w:hint="cs"/>
        </w:rPr>
        <w:sym w:font="AGA Arabesque" w:char="F02A"/>
      </w:r>
      <w:r w:rsidRPr="00963823">
        <w:rPr>
          <w:rFonts w:hint="cs"/>
          <w:rtl/>
        </w:rPr>
        <w:t xml:space="preserve"> المولد والمنشأ</w:t>
      </w:r>
      <w:bookmarkEnd w:id="32"/>
      <w:bookmarkEnd w:id="33"/>
    </w:p>
    <w:p w:rsidR="00963823" w:rsidRPr="00963823" w:rsidRDefault="00963823" w:rsidP="004A32F0">
      <w:pPr>
        <w:widowControl w:val="0"/>
        <w:spacing w:after="40" w:line="226" w:lineRule="auto"/>
        <w:ind w:firstLine="284"/>
        <w:jc w:val="both"/>
        <w:rPr>
          <w:rFonts w:cs="mylotus"/>
          <w:szCs w:val="27"/>
        </w:rPr>
      </w:pPr>
      <w:r w:rsidRPr="00963823">
        <w:rPr>
          <w:rFonts w:cs="mylotus" w:hint="cs"/>
          <w:szCs w:val="27"/>
          <w:rtl/>
        </w:rPr>
        <w:t xml:space="preserve">ولد حيدر علي بن إسماعيل قلمداران في عام </w:t>
      </w:r>
      <w:r w:rsidRPr="00963823">
        <w:rPr>
          <w:rFonts w:cs="mylotus"/>
          <w:szCs w:val="27"/>
          <w:rtl/>
        </w:rPr>
        <w:t xml:space="preserve">1292 </w:t>
      </w:r>
      <w:r w:rsidRPr="00963823">
        <w:rPr>
          <w:rFonts w:ascii="mylotus" w:hAnsi="mylotus" w:cs="mylotus" w:hint="cs"/>
          <w:szCs w:val="27"/>
          <w:rtl/>
        </w:rPr>
        <w:t>ه‍.ش</w:t>
      </w:r>
      <w:r w:rsidRPr="00963823">
        <w:rPr>
          <w:rFonts w:cs="mylotus"/>
          <w:szCs w:val="27"/>
          <w:rtl/>
        </w:rPr>
        <w:t xml:space="preserve"> </w:t>
      </w:r>
      <w:r w:rsidRPr="00963823">
        <w:rPr>
          <w:rFonts w:ascii="mylotus" w:hAnsi="mylotus" w:cs="mylotus" w:hint="cs"/>
          <w:szCs w:val="27"/>
          <w:rtl/>
        </w:rPr>
        <w:t>الموافق</w:t>
      </w:r>
      <w:r w:rsidRPr="00963823">
        <w:rPr>
          <w:rFonts w:cs="mylotus"/>
          <w:szCs w:val="27"/>
          <w:rtl/>
        </w:rPr>
        <w:t xml:space="preserve"> 1332</w:t>
      </w:r>
      <w:r w:rsidRPr="00963823">
        <w:rPr>
          <w:rFonts w:ascii="mylotus" w:hAnsi="mylotus" w:cs="mylotus" w:hint="cs"/>
          <w:szCs w:val="27"/>
          <w:rtl/>
        </w:rPr>
        <w:t>ه</w:t>
      </w:r>
      <w:r w:rsidRPr="00963823">
        <w:rPr>
          <w:rFonts w:ascii="mylotus" w:hAnsi="mylotus" w:cs="mylotus"/>
          <w:szCs w:val="27"/>
          <w:rtl/>
        </w:rPr>
        <w:t>‍</w:t>
      </w:r>
      <w:r w:rsidRPr="00963823">
        <w:rPr>
          <w:rFonts w:cs="mylotus" w:hint="cs"/>
          <w:szCs w:val="27"/>
          <w:rtl/>
        </w:rPr>
        <w:t>.ق في قرية «ديزيجان» على بعد 55 كم من طريق قم- أراك من أعمال مدينة قم في أسرة فقيرة نسبياً، تشتغل بالزراعة</w:t>
      </w:r>
      <w:r w:rsidRPr="00963823">
        <w:rPr>
          <w:rFonts w:cs="mylotus" w:hint="cs"/>
          <w:szCs w:val="27"/>
        </w:rPr>
        <w:t>.</w:t>
      </w:r>
      <w:r w:rsidRPr="00963823">
        <w:rPr>
          <w:rFonts w:cs="mylotus" w:hint="cs"/>
          <w:szCs w:val="27"/>
          <w:rtl/>
        </w:rPr>
        <w:t xml:space="preserve"> وأصله </w:t>
      </w:r>
      <w:r w:rsidRPr="004A32F0">
        <w:rPr>
          <w:rFonts w:ascii="mylotus" w:hAnsi="mylotus" w:cs="mylotus"/>
          <w:szCs w:val="27"/>
          <w:rtl/>
        </w:rPr>
        <w:t xml:space="preserve">من مدينة </w:t>
      </w:r>
      <w:r w:rsidRPr="004A32F0">
        <w:rPr>
          <w:rFonts w:ascii="mylotus" w:hAnsi="mylotus" w:cs="mylotus"/>
          <w:szCs w:val="27"/>
        </w:rPr>
        <w:t>»</w:t>
      </w:r>
      <w:r w:rsidRPr="004A32F0">
        <w:rPr>
          <w:rFonts w:ascii="mylotus" w:hAnsi="mylotus" w:cs="mylotus"/>
          <w:szCs w:val="27"/>
          <w:rtl/>
        </w:rPr>
        <w:t>تفرش</w:t>
      </w:r>
      <w:r w:rsidRPr="004A32F0">
        <w:rPr>
          <w:rFonts w:ascii="mylotus" w:hAnsi="mylotus" w:cs="mylotus"/>
          <w:szCs w:val="27"/>
        </w:rPr>
        <w:t>«</w:t>
      </w:r>
      <w:r w:rsidRPr="004A32F0">
        <w:rPr>
          <w:rFonts w:ascii="mylotus" w:hAnsi="mylotus" w:cs="mylotus"/>
          <w:szCs w:val="27"/>
          <w:rtl/>
        </w:rPr>
        <w:t xml:space="preserve"> لأن جده لأبيه</w:t>
      </w:r>
      <w:r w:rsidRPr="00963823">
        <w:rPr>
          <w:rFonts w:cs="mylotus" w:hint="cs"/>
          <w:szCs w:val="27"/>
          <w:rtl/>
        </w:rPr>
        <w:t xml:space="preserve"> المرحوم الحاج حيدر علي - وكان رجلاً سخياً جداً، يقضي حاجات الناس ويحل مشاكلهم - انتقل من تفرض إلى ديزيجان.</w:t>
      </w:r>
    </w:p>
    <w:p w:rsidR="00963823" w:rsidRPr="00963823" w:rsidRDefault="00963823" w:rsidP="0042709A">
      <w:pPr>
        <w:widowControl w:val="0"/>
        <w:spacing w:after="40" w:line="226" w:lineRule="auto"/>
        <w:ind w:firstLine="284"/>
        <w:jc w:val="both"/>
        <w:rPr>
          <w:rFonts w:cs="mylotus"/>
          <w:szCs w:val="27"/>
        </w:rPr>
      </w:pPr>
      <w:r w:rsidRPr="00963823">
        <w:rPr>
          <w:rFonts w:cs="mylotus" w:hint="cs"/>
          <w:szCs w:val="27"/>
          <w:rtl/>
        </w:rPr>
        <w:t xml:space="preserve">توفيت أمُّه وهو ابن خمس سنوات، ولم يكن بإمكانه أن يسجل في الكتّاب عند </w:t>
      </w:r>
      <w:r w:rsidR="0042709A">
        <w:rPr>
          <w:rFonts w:cs="mylotus" w:hint="cs"/>
          <w:szCs w:val="27"/>
          <w:rtl/>
        </w:rPr>
        <w:t>زوجة</w:t>
      </w:r>
      <w:r w:rsidRPr="00963823">
        <w:rPr>
          <w:rFonts w:cs="mylotus" w:hint="cs"/>
          <w:szCs w:val="27"/>
          <w:rtl/>
        </w:rPr>
        <w:t xml:space="preserve"> إمام الحي التي كانت تدرّس أبناء وبنات الحي؛ لأنه لا</w:t>
      </w:r>
      <w:r w:rsidR="00AC2426">
        <w:rPr>
          <w:rFonts w:cs="mylotus" w:hint="cs"/>
          <w:szCs w:val="27"/>
          <w:rtl/>
        </w:rPr>
        <w:t xml:space="preserve"> </w:t>
      </w:r>
      <w:r w:rsidRPr="00963823">
        <w:rPr>
          <w:rFonts w:cs="mylotus" w:hint="cs"/>
          <w:szCs w:val="27"/>
          <w:rtl/>
        </w:rPr>
        <w:t>يستطيع أن يدفع الأجرة الشهرية، وكان يقف خلف البا</w:t>
      </w:r>
      <w:r w:rsidR="0042709A">
        <w:rPr>
          <w:rFonts w:cs="mylotus" w:hint="cs"/>
          <w:szCs w:val="27"/>
          <w:rtl/>
        </w:rPr>
        <w:t>ب ويستمع إلى دروس العجوزة</w:t>
      </w:r>
      <w:r w:rsidRPr="00963823">
        <w:rPr>
          <w:rFonts w:cs="mylotus" w:hint="cs"/>
          <w:szCs w:val="27"/>
          <w:rtl/>
        </w:rPr>
        <w:t>، ومرّة حينما عجز الطلاب عن إجابة ما تسأله العجوزة وأجابها «قلمداران» الصغير من خلف الباب، سمحت</w:t>
      </w:r>
      <w:r w:rsidR="0042709A">
        <w:rPr>
          <w:rFonts w:cs="mylotus" w:hint="cs"/>
          <w:szCs w:val="27"/>
          <w:rtl/>
        </w:rPr>
        <w:t>ْ</w:t>
      </w:r>
      <w:r w:rsidRPr="00963823">
        <w:rPr>
          <w:rFonts w:cs="mylotus" w:hint="cs"/>
          <w:szCs w:val="27"/>
          <w:rtl/>
        </w:rPr>
        <w:t xml:space="preserve"> له</w:t>
      </w:r>
      <w:r w:rsidR="0042709A">
        <w:rPr>
          <w:rFonts w:cs="mylotus" w:hint="cs"/>
          <w:szCs w:val="27"/>
          <w:rtl/>
        </w:rPr>
        <w:t xml:space="preserve"> السيدة</w:t>
      </w:r>
      <w:r w:rsidRPr="00963823">
        <w:rPr>
          <w:rFonts w:cs="mylotus" w:hint="cs"/>
          <w:szCs w:val="27"/>
          <w:rtl/>
        </w:rPr>
        <w:t xml:space="preserve"> أن يحضر الدروس مجاناً</w:t>
      </w:r>
      <w:r w:rsidRPr="00963823">
        <w:rPr>
          <w:rFonts w:cs="mylotus" w:hint="cs"/>
          <w:szCs w:val="27"/>
        </w:rPr>
        <w:t>.</w:t>
      </w:r>
      <w:r w:rsidRPr="00963823">
        <w:rPr>
          <w:rFonts w:cs="mylotus" w:hint="cs"/>
          <w:szCs w:val="27"/>
          <w:rtl/>
        </w:rPr>
        <w:t xml:space="preserve"> ولكنه بسبب عدم امتلاكه ثمن الدفا</w:t>
      </w:r>
      <w:r w:rsidR="0042709A">
        <w:rPr>
          <w:rFonts w:cs="mylotus" w:hint="cs"/>
          <w:szCs w:val="27"/>
          <w:rtl/>
        </w:rPr>
        <w:t>تر والأقلام، وشدَّة شغفه بالتعلّ</w:t>
      </w:r>
      <w:r w:rsidRPr="00963823">
        <w:rPr>
          <w:rFonts w:cs="mylotus" w:hint="cs"/>
          <w:szCs w:val="27"/>
          <w:rtl/>
        </w:rPr>
        <w:t xml:space="preserve">م كان يستخدم </w:t>
      </w:r>
      <w:r w:rsidRPr="00963823">
        <w:rPr>
          <w:rFonts w:cs="mylotus" w:hint="cs"/>
          <w:szCs w:val="27"/>
          <w:rtl/>
        </w:rPr>
        <w:lastRenderedPageBreak/>
        <w:t>الدخان الأسود لنار الحمام كحبر، وأعواد الثقاب كأقلام، والأوراق الزائدة التي يرميها أصحابها في الشوارع، بدل الكراسات، ليستمرّ في دراسته</w:t>
      </w:r>
      <w:r w:rsidRPr="00963823">
        <w:rPr>
          <w:rFonts w:cs="mylotus" w:hint="cs"/>
          <w:szCs w:val="27"/>
        </w:rPr>
        <w:t>.</w:t>
      </w:r>
      <w:r w:rsidRPr="00963823">
        <w:rPr>
          <w:rFonts w:cs="mylotus" w:hint="cs"/>
          <w:szCs w:val="27"/>
          <w:rtl/>
        </w:rPr>
        <w:t xml:space="preserve"> </w:t>
      </w:r>
    </w:p>
    <w:p w:rsidR="00963823" w:rsidRPr="00963823" w:rsidRDefault="00963823" w:rsidP="00665F8E">
      <w:pPr>
        <w:widowControl w:val="0"/>
        <w:spacing w:after="40" w:line="226" w:lineRule="auto"/>
        <w:ind w:firstLine="284"/>
        <w:jc w:val="both"/>
        <w:rPr>
          <w:rFonts w:cs="mylotus"/>
          <w:szCs w:val="27"/>
          <w:lang w:bidi="ar-SY"/>
        </w:rPr>
      </w:pPr>
      <w:r w:rsidRPr="00963823">
        <w:rPr>
          <w:rFonts w:cs="mylotus" w:hint="cs"/>
          <w:szCs w:val="27"/>
          <w:rtl/>
        </w:rPr>
        <w:t>كان حيدر علي قلمداران الولد الوحيد المتبق</w:t>
      </w:r>
      <w:r w:rsidR="0042709A">
        <w:rPr>
          <w:rFonts w:cs="mylotus" w:hint="cs"/>
          <w:szCs w:val="27"/>
          <w:rtl/>
        </w:rPr>
        <w:t>ى</w:t>
      </w:r>
      <w:r w:rsidRPr="00963823">
        <w:rPr>
          <w:rFonts w:cs="mylotus" w:hint="cs"/>
          <w:szCs w:val="27"/>
          <w:rtl/>
        </w:rPr>
        <w:t xml:space="preserve"> لأبيه من أصل ثلاثة عشر ولداً ذكوراً وإناثاً توفوا جميعاً في الصغر بسبب الأوبئة والأمراض الفتاكة، ثم فقد قلمداران والدَه وهو ابن خمسة عشر سنة. وكان والده رجلاً سريع الغضب ويعترض على حضور ابنه الحلقات التعليمية</w:t>
      </w:r>
      <w:r w:rsidRPr="00963823">
        <w:rPr>
          <w:rFonts w:cs="mylotus" w:hint="cs"/>
          <w:szCs w:val="27"/>
          <w:rtl/>
          <w:lang w:bidi="ar-SY"/>
        </w:rPr>
        <w:t xml:space="preserve"> ويرغب بأن ينصرف ابنه إلى مساعدته في الأعمال الزراعية فحسب. فكان الشاب قلمداران يضطر إلى حرمان نفسه من تناول طعام الفطور كي يتمكن من الذهاب للمكتب للتعلم في الصباح الباكر كي لا يأخذه والده معه لل</w:t>
      </w:r>
      <w:r w:rsidR="00665F8E">
        <w:rPr>
          <w:rFonts w:cs="mylotus" w:hint="cs"/>
          <w:szCs w:val="27"/>
          <w:rtl/>
          <w:lang w:bidi="ar-SY"/>
        </w:rPr>
        <w:t>مزرعة</w:t>
      </w:r>
      <w:r w:rsidRPr="00963823">
        <w:rPr>
          <w:rFonts w:cs="mylotus" w:hint="cs"/>
          <w:szCs w:val="27"/>
          <w:rtl/>
          <w:lang w:bidi="ar-SY"/>
        </w:rPr>
        <w:t xml:space="preserve"> في أول النهار.</w:t>
      </w:r>
    </w:p>
    <w:p w:rsidR="00963823" w:rsidRPr="00963823" w:rsidRDefault="00963823" w:rsidP="004A32F0">
      <w:pPr>
        <w:pStyle w:val="a5"/>
        <w:spacing w:after="40" w:line="226" w:lineRule="auto"/>
        <w:rPr>
          <w:rtl/>
        </w:rPr>
      </w:pPr>
      <w:bookmarkStart w:id="34" w:name="_Toc377068741"/>
      <w:bookmarkStart w:id="35" w:name="_Toc387843035"/>
      <w:r w:rsidRPr="00963823">
        <w:rPr>
          <w:rFonts w:hint="cs"/>
        </w:rPr>
        <w:sym w:font="AGA Arabesque" w:char="F02A"/>
      </w:r>
      <w:r w:rsidRPr="00963823">
        <w:rPr>
          <w:rFonts w:hint="cs"/>
          <w:rtl/>
        </w:rPr>
        <w:t xml:space="preserve"> </w:t>
      </w:r>
      <w:r w:rsidRPr="00963823">
        <w:rPr>
          <w:rtl/>
        </w:rPr>
        <w:t>الدعوة والنشاط عند الأستاذ قلمداران</w:t>
      </w:r>
      <w:bookmarkEnd w:id="34"/>
      <w:bookmarkEnd w:id="35"/>
    </w:p>
    <w:p w:rsidR="00963823" w:rsidRPr="00963823" w:rsidRDefault="00963823" w:rsidP="00665F8E">
      <w:pPr>
        <w:widowControl w:val="0"/>
        <w:spacing w:after="40" w:line="226" w:lineRule="auto"/>
        <w:ind w:firstLine="284"/>
        <w:jc w:val="both"/>
        <w:rPr>
          <w:rFonts w:cs="mylotus"/>
          <w:szCs w:val="27"/>
          <w:lang w:bidi="ar-SY"/>
        </w:rPr>
      </w:pPr>
      <w:r w:rsidRPr="00963823">
        <w:rPr>
          <w:rFonts w:cs="mylotus" w:hint="cs"/>
          <w:szCs w:val="27"/>
          <w:rtl/>
        </w:rPr>
        <w:t xml:space="preserve">تزوّج «قلمداران» بعد مضي سبعة وعشرين ربيعاً من عمره، </w:t>
      </w:r>
      <w:r w:rsidRPr="00963823">
        <w:rPr>
          <w:rFonts w:cs="mylotus" w:hint="cs"/>
          <w:szCs w:val="27"/>
          <w:rtl/>
          <w:lang w:bidi="ar-SY"/>
        </w:rPr>
        <w:t>ورزقه الله ثمانية أولاد (خمسة ذكور وثلاث إناث).</w:t>
      </w:r>
      <w:r w:rsidRPr="00963823">
        <w:rPr>
          <w:rFonts w:cs="mylotus" w:hint="cs"/>
          <w:szCs w:val="27"/>
          <w:rtl/>
        </w:rPr>
        <w:t xml:space="preserve"> وفي سن الثلاثين من عمره </w:t>
      </w:r>
      <w:r w:rsidR="00665F8E" w:rsidRPr="00665F8E">
        <w:rPr>
          <w:rFonts w:cs="mylotus"/>
          <w:szCs w:val="27"/>
          <w:rtl/>
        </w:rPr>
        <w:t>ت</w:t>
      </w:r>
      <w:r w:rsidR="00665F8E">
        <w:rPr>
          <w:rFonts w:cs="mylotus" w:hint="cs"/>
          <w:szCs w:val="27"/>
          <w:rtl/>
        </w:rPr>
        <w:t>َ</w:t>
      </w:r>
      <w:r w:rsidR="00665F8E" w:rsidRPr="00665F8E">
        <w:rPr>
          <w:rFonts w:cs="mylotus"/>
          <w:szCs w:val="27"/>
          <w:rtl/>
        </w:rPr>
        <w:t>و</w:t>
      </w:r>
      <w:r w:rsidR="00665F8E">
        <w:rPr>
          <w:rFonts w:cs="mylotus" w:hint="cs"/>
          <w:szCs w:val="27"/>
          <w:rtl/>
        </w:rPr>
        <w:t>َ</w:t>
      </w:r>
      <w:r w:rsidR="00665F8E" w:rsidRPr="00665F8E">
        <w:rPr>
          <w:rFonts w:cs="mylotus"/>
          <w:szCs w:val="27"/>
          <w:rtl/>
        </w:rPr>
        <w:t>ظَّف</w:t>
      </w:r>
      <w:r w:rsidRPr="00963823">
        <w:rPr>
          <w:rFonts w:cs="mylotus" w:hint="cs"/>
          <w:szCs w:val="27"/>
          <w:rtl/>
        </w:rPr>
        <w:t xml:space="preserve"> في مديرية التربية في مدينة «ق</w:t>
      </w:r>
      <w:r w:rsidRPr="00963823">
        <w:rPr>
          <w:rFonts w:cs="mylotus" w:hint="cs"/>
          <w:szCs w:val="27"/>
          <w:rtl/>
          <w:lang w:bidi="ar-SY"/>
        </w:rPr>
        <w:t>م»، فعُيِّن في بداية أمره كاتباً لحسن خطه، ثم أصبح معلماً في المدارس الثانوية التابعة لمديرية التربية.</w:t>
      </w:r>
    </w:p>
    <w:p w:rsidR="00963823" w:rsidRPr="00963823" w:rsidRDefault="00963823" w:rsidP="004A32F0">
      <w:pPr>
        <w:widowControl w:val="0"/>
        <w:spacing w:after="40" w:line="226" w:lineRule="auto"/>
        <w:ind w:firstLine="284"/>
        <w:jc w:val="both"/>
        <w:rPr>
          <w:rFonts w:cs="mylotus"/>
          <w:szCs w:val="27"/>
        </w:rPr>
      </w:pPr>
      <w:r w:rsidRPr="00963823">
        <w:rPr>
          <w:rFonts w:cs="mylotus" w:hint="cs"/>
          <w:szCs w:val="27"/>
          <w:rtl/>
        </w:rPr>
        <w:t>ولما نضج علمه وانبرى في ميادين الثقافة بدأ يكتب مقالات في بعض الجرائد مثل: جريدة «استوار» وجريدة  «سرچشمه» في مدينة قم، وصحيفة «وظيفة» في مدينة طهران</w:t>
      </w:r>
      <w:r w:rsidRPr="00963823">
        <w:rPr>
          <w:rFonts w:cs="mylotus" w:hint="cs"/>
          <w:szCs w:val="27"/>
        </w:rPr>
        <w:t>.</w:t>
      </w:r>
    </w:p>
    <w:p w:rsidR="00963823" w:rsidRPr="00963823" w:rsidRDefault="00963823" w:rsidP="004A32F0">
      <w:pPr>
        <w:widowControl w:val="0"/>
        <w:spacing w:after="40" w:line="226" w:lineRule="auto"/>
        <w:ind w:firstLine="284"/>
        <w:jc w:val="both"/>
        <w:rPr>
          <w:rFonts w:cs="mylotus"/>
          <w:szCs w:val="27"/>
        </w:rPr>
      </w:pPr>
      <w:r w:rsidRPr="00963823">
        <w:rPr>
          <w:rFonts w:cs="mylotus" w:hint="cs"/>
          <w:szCs w:val="27"/>
          <w:rtl/>
        </w:rPr>
        <w:t>وكانت مجلة «يغما» أيضا تطبع الأشعار الرائعة والمقالات القيمة للأستاذ «قلمداران»، وكانت مجلة «الحكمة» تنشر المقالات الفقهية التي يكتبها الأستاذ، وكان آية الله «طالقاني» والمهندس «مهدي بازركان» -رحمهما الله- يكتبان في هذه المجلة.</w:t>
      </w:r>
    </w:p>
    <w:p w:rsidR="00963823" w:rsidRPr="00963823" w:rsidRDefault="00963823" w:rsidP="004A32F0">
      <w:pPr>
        <w:widowControl w:val="0"/>
        <w:spacing w:after="40" w:line="226" w:lineRule="auto"/>
        <w:ind w:firstLine="284"/>
        <w:jc w:val="both"/>
        <w:rPr>
          <w:rFonts w:cs="mylotus"/>
          <w:szCs w:val="27"/>
        </w:rPr>
      </w:pPr>
      <w:r w:rsidRPr="00963823">
        <w:rPr>
          <w:rFonts w:cs="mylotus" w:hint="cs"/>
          <w:szCs w:val="27"/>
          <w:rtl/>
        </w:rPr>
        <w:t xml:space="preserve">كان كثير الشغف بالقراءة والبحث ومطالعة الكتب الإسلامية منذ صغره، وما لبث -وهو في ريعان الشباب- أن قرض الشعر وأصبح كاتباً في عدد من المجلات التي كانت تصدر في عصره في قم وطهران، وعمل في سلك التدريس في مدارس مدينة قم، وكان يسخِّر قلمه لكتابة المقالات الإسلامية التي يدافع فيها عن تعاليم الدين الحنيف، ويردّ على مخالفي الإسلام، ويدعو لإصلاح الأوضاع وإيقاظ همم المسلمين. </w:t>
      </w:r>
    </w:p>
    <w:p w:rsidR="00963823" w:rsidRPr="00963823" w:rsidRDefault="00963823" w:rsidP="004A32F0">
      <w:pPr>
        <w:widowControl w:val="0"/>
        <w:spacing w:after="40" w:line="226" w:lineRule="auto"/>
        <w:ind w:firstLine="284"/>
        <w:jc w:val="both"/>
        <w:rPr>
          <w:rFonts w:cs="mylotus"/>
          <w:szCs w:val="27"/>
        </w:rPr>
      </w:pPr>
      <w:r w:rsidRPr="00963823">
        <w:rPr>
          <w:rFonts w:cs="mylotus" w:hint="cs"/>
          <w:szCs w:val="27"/>
          <w:rtl/>
        </w:rPr>
        <w:t xml:space="preserve">فمرّةً نشرت مديرية الثقافة في مدينة قم مقالاً ينال من الحجاب الإسلامي، فكتب الأستاذ </w:t>
      </w:r>
      <w:r w:rsidRPr="00963823">
        <w:rPr>
          <w:rFonts w:cs="mylotus" w:hint="cs"/>
          <w:szCs w:val="27"/>
          <w:rtl/>
        </w:rPr>
        <w:lastRenderedPageBreak/>
        <w:t>رداً قاطعاً على ذلك المقال ونشرت مجلة «استوار» ردَّه هذا. فغضب رئيس إدارة الثقافة في قم على الأستاذ وهدده بالطرد من الإدارة أمام الجميع</w:t>
      </w:r>
      <w:r w:rsidRPr="00963823">
        <w:rPr>
          <w:rFonts w:cs="mylotus" w:hint="cs"/>
          <w:szCs w:val="27"/>
        </w:rPr>
        <w:t>.</w:t>
      </w:r>
    </w:p>
    <w:p w:rsidR="00963823" w:rsidRPr="00963823" w:rsidRDefault="00963823" w:rsidP="00963823">
      <w:pPr>
        <w:widowControl w:val="0"/>
        <w:spacing w:after="60" w:line="228" w:lineRule="auto"/>
        <w:ind w:firstLine="284"/>
        <w:jc w:val="both"/>
        <w:rPr>
          <w:rFonts w:cs="mylotus"/>
          <w:szCs w:val="27"/>
          <w:rtl/>
        </w:rPr>
      </w:pPr>
      <w:r w:rsidRPr="00963823">
        <w:rPr>
          <w:rFonts w:cs="mylotus" w:hint="cs"/>
          <w:szCs w:val="27"/>
          <w:rtl/>
        </w:rPr>
        <w:t>يقول الأستاذ: فاستأذنت ووقفت أمام المنصة الخطابية ورددت على كلامه السخيف وتهديداته الواهية، وانتهت الجلسة بعد كلامي، ولم يستطع أن يفعل شيئاً؛ بل بحمد الله نُقل إلى مدينة أخرى</w:t>
      </w:r>
      <w:r w:rsidRPr="00963823">
        <w:rPr>
          <w:rFonts w:cs="mylotus" w:hint="cs"/>
          <w:szCs w:val="27"/>
        </w:rPr>
        <w:t>.</w:t>
      </w:r>
      <w:r w:rsidRPr="00963823">
        <w:rPr>
          <w:rFonts w:cs="mylotus" w:hint="cs"/>
          <w:szCs w:val="27"/>
          <w:rtl/>
        </w:rPr>
        <w:t xml:space="preserve"> </w:t>
      </w:r>
    </w:p>
    <w:p w:rsidR="00963823" w:rsidRPr="00963823" w:rsidRDefault="00963823" w:rsidP="009D15B8">
      <w:pPr>
        <w:pStyle w:val="a5"/>
        <w:rPr>
          <w:rtl/>
        </w:rPr>
      </w:pPr>
      <w:bookmarkStart w:id="36" w:name="_Toc377068742"/>
      <w:bookmarkStart w:id="37" w:name="_Toc387843036"/>
      <w:r w:rsidRPr="00963823">
        <w:rPr>
          <w:rFonts w:hint="cs"/>
        </w:rPr>
        <w:sym w:font="AGA Arabesque" w:char="F02A"/>
      </w:r>
      <w:r w:rsidRPr="00963823">
        <w:rPr>
          <w:rFonts w:hint="cs"/>
          <w:rtl/>
        </w:rPr>
        <w:t xml:space="preserve"> </w:t>
      </w:r>
      <w:r w:rsidRPr="00963823">
        <w:rPr>
          <w:rtl/>
        </w:rPr>
        <w:t>علاقة الأستاذ قلمداران بالخميني</w:t>
      </w:r>
      <w:bookmarkEnd w:id="36"/>
      <w:bookmarkEnd w:id="37"/>
    </w:p>
    <w:p w:rsidR="00963823" w:rsidRPr="00963823" w:rsidRDefault="00963823" w:rsidP="00F60480">
      <w:pPr>
        <w:widowControl w:val="0"/>
        <w:spacing w:after="60" w:line="228" w:lineRule="auto"/>
        <w:ind w:firstLine="284"/>
        <w:jc w:val="both"/>
        <w:rPr>
          <w:rFonts w:cs="mylotus"/>
          <w:szCs w:val="27"/>
          <w:rtl/>
        </w:rPr>
      </w:pPr>
      <w:r w:rsidRPr="00963823">
        <w:rPr>
          <w:rFonts w:cs="mylotus" w:hint="cs"/>
          <w:szCs w:val="27"/>
          <w:rtl/>
        </w:rPr>
        <w:t>قال الأستاذ قلمداران: يحتمل أن السيد روح الله الخميني كان وراء نقل رئيس مديرية الثقافة في قم، إذ كان السيد الخميني في ذلك الوقت يعطي دروساً في الأخلاق في قم، وكنتُ أحضَرُ دروسه أحياناً. وعندما سمع بقضية مديرية الثقافة، أرسل إليَّ شخصاً يقول إن السيد الخميني يريد أن يلقاك ويكلّمك، فلمَّا ذهبتُ إليه استفسر مني عن الموضوع (أعني موضوع المقالة ضد الحجاب وردِّي عليها)، فلمَّا بيَّنتُ له القصَّة قال لي: لا تخف أبداً فإنهم لن يستطيعوا فعل شيء ضدَّك، ولن أسمح ببقاء هذا الرُّجَيل (تصغير رجل، ويقصد به رئيس مديرية الثقافة) في قم، فإن  قال شيئاً حول هذا الموضوع مرَّةً أخرى فرُدَّ عليه ولا تخشى شيئاً. (وبالمناسبة أشار الأستاذ قلمداران مرَّةً إلى أن السيد الخميني قال مرةً في أحد دروس الأخلاق تلك، في معرض حديثٍ له عن الولاية ومقام الولي: "</w:t>
      </w:r>
      <w:r w:rsidRPr="00963823">
        <w:rPr>
          <w:rFonts w:cs="mylotus" w:hint="cs"/>
          <w:b/>
          <w:bCs/>
          <w:szCs w:val="27"/>
          <w:rtl/>
        </w:rPr>
        <w:t>إذا نفخ الوليُّ بفمه انطفأ مصباح الخليقة</w:t>
      </w:r>
      <w:r w:rsidRPr="00963823">
        <w:rPr>
          <w:rFonts w:cs="mylotus" w:hint="cs"/>
          <w:szCs w:val="27"/>
          <w:rtl/>
        </w:rPr>
        <w:t xml:space="preserve">!" قال الأستاذ: فلما رأيت هذا النمط من التفكير لديه، لم أعد أحضر دروسه). </w:t>
      </w:r>
    </w:p>
    <w:p w:rsidR="00963823" w:rsidRPr="00963823" w:rsidRDefault="00963823" w:rsidP="009D15B8">
      <w:pPr>
        <w:pStyle w:val="a5"/>
        <w:rPr>
          <w:rtl/>
        </w:rPr>
      </w:pPr>
      <w:bookmarkStart w:id="38" w:name="_Toc377068743"/>
      <w:bookmarkStart w:id="39" w:name="_Toc387843037"/>
      <w:r w:rsidRPr="00963823">
        <w:rPr>
          <w:rFonts w:hint="cs"/>
        </w:rPr>
        <w:sym w:font="AGA Arabesque" w:char="F02A"/>
      </w:r>
      <w:r w:rsidRPr="00963823">
        <w:rPr>
          <w:rFonts w:hint="cs"/>
          <w:rtl/>
        </w:rPr>
        <w:t xml:space="preserve"> الأستاذ قلمداران والشعر</w:t>
      </w:r>
      <w:bookmarkEnd w:id="38"/>
      <w:bookmarkEnd w:id="39"/>
    </w:p>
    <w:p w:rsidR="00963823" w:rsidRPr="00963823" w:rsidRDefault="00963823" w:rsidP="00963823">
      <w:pPr>
        <w:widowControl w:val="0"/>
        <w:spacing w:after="60" w:line="228" w:lineRule="auto"/>
        <w:ind w:firstLine="284"/>
        <w:jc w:val="both"/>
        <w:rPr>
          <w:rFonts w:cs="mylotus"/>
          <w:szCs w:val="27"/>
          <w:rtl/>
        </w:rPr>
      </w:pPr>
      <w:r w:rsidRPr="00963823">
        <w:rPr>
          <w:rFonts w:cs="mylotus" w:hint="cs"/>
          <w:szCs w:val="27"/>
          <w:rtl/>
        </w:rPr>
        <w:t>رغم أن الأستاذ قلمداران لم يكن شاعراً بالمعنى الأخص للكلمة، إلى أنه كان يمتلك قريحة شعرية حسنة، فكان يَنْظِمُ أحياناً بعض الأبيات الشعرية، وكما ذُكِرَ سابقاً كانت مجلة «</w:t>
      </w:r>
      <w:r w:rsidRPr="00963823">
        <w:rPr>
          <w:rFonts w:cs="mylotus" w:hint="cs"/>
          <w:b/>
          <w:bCs/>
          <w:szCs w:val="27"/>
          <w:rtl/>
        </w:rPr>
        <w:t>يغما</w:t>
      </w:r>
      <w:r w:rsidRPr="00963823">
        <w:rPr>
          <w:rFonts w:cs="mylotus" w:hint="cs"/>
          <w:szCs w:val="27"/>
          <w:rtl/>
        </w:rPr>
        <w:t>» تنشر بعض أشعاره.</w:t>
      </w:r>
    </w:p>
    <w:p w:rsidR="00963823" w:rsidRPr="00963823" w:rsidRDefault="00963823" w:rsidP="009D15B8">
      <w:pPr>
        <w:pStyle w:val="a5"/>
      </w:pPr>
      <w:bookmarkStart w:id="40" w:name="_Toc377068744"/>
      <w:bookmarkStart w:id="41" w:name="_Toc387843038"/>
      <w:r w:rsidRPr="00963823">
        <w:rPr>
          <w:rFonts w:hint="cs"/>
        </w:rPr>
        <w:sym w:font="AGA Arabesque" w:char="F02A"/>
      </w:r>
      <w:r w:rsidRPr="00963823">
        <w:rPr>
          <w:rFonts w:hint="cs"/>
          <w:rtl/>
        </w:rPr>
        <w:t xml:space="preserve"> صلة «قلمداران» بالشخصيات المعاصرة</w:t>
      </w:r>
      <w:bookmarkEnd w:id="40"/>
      <w:bookmarkEnd w:id="41"/>
    </w:p>
    <w:p w:rsidR="00963823" w:rsidRPr="00963823" w:rsidRDefault="00963823" w:rsidP="00963823">
      <w:pPr>
        <w:widowControl w:val="0"/>
        <w:spacing w:after="60" w:line="228" w:lineRule="auto"/>
        <w:ind w:firstLine="284"/>
        <w:jc w:val="both"/>
        <w:rPr>
          <w:rFonts w:cs="mylotus"/>
          <w:szCs w:val="27"/>
          <w:rtl/>
        </w:rPr>
      </w:pPr>
      <w:r w:rsidRPr="00963823">
        <w:rPr>
          <w:rFonts w:cs="mylotus"/>
          <w:szCs w:val="27"/>
          <w:rtl/>
        </w:rPr>
        <w:t>تَعرَّف الأستاذ قلمداران رحمه الله بعدد من الشخصيات المعروفة في عصره منهم</w:t>
      </w:r>
      <w:r w:rsidRPr="00963823">
        <w:rPr>
          <w:rFonts w:cs="mylotus" w:hint="cs"/>
          <w:szCs w:val="27"/>
          <w:rtl/>
        </w:rPr>
        <w:t>:</w:t>
      </w:r>
    </w:p>
    <w:p w:rsidR="00963823" w:rsidRPr="00963823" w:rsidRDefault="00963823" w:rsidP="009D15B8">
      <w:pPr>
        <w:pStyle w:val="a6"/>
        <w:rPr>
          <w:rtl/>
        </w:rPr>
      </w:pPr>
      <w:bookmarkStart w:id="42" w:name="_Toc377068745"/>
      <w:bookmarkStart w:id="43" w:name="_Toc385428757"/>
      <w:bookmarkStart w:id="44" w:name="_Toc387843039"/>
      <w:r w:rsidRPr="00963823">
        <w:rPr>
          <w:rtl/>
        </w:rPr>
        <w:lastRenderedPageBreak/>
        <w:t>1- العلامة الشيخ محمد الخالصي (رحمه الله)</w:t>
      </w:r>
      <w:bookmarkEnd w:id="42"/>
      <w:bookmarkEnd w:id="43"/>
      <w:bookmarkEnd w:id="44"/>
      <w:r w:rsidRPr="00963823">
        <w:rPr>
          <w:rFonts w:hint="cs"/>
          <w:rtl/>
        </w:rPr>
        <w:t xml:space="preserve"> </w:t>
      </w:r>
    </w:p>
    <w:p w:rsidR="00963823" w:rsidRPr="00963823" w:rsidRDefault="00963823" w:rsidP="00963823">
      <w:pPr>
        <w:widowControl w:val="0"/>
        <w:spacing w:after="60" w:line="228" w:lineRule="auto"/>
        <w:ind w:firstLine="284"/>
        <w:jc w:val="both"/>
        <w:rPr>
          <w:rFonts w:cs="Arabic11 BT"/>
          <w:szCs w:val="27"/>
          <w:vertAlign w:val="superscript"/>
          <w:rtl/>
        </w:rPr>
      </w:pPr>
      <w:r w:rsidRPr="00963823">
        <w:rPr>
          <w:rFonts w:cs="mylotus" w:hint="cs"/>
          <w:szCs w:val="27"/>
          <w:rtl/>
        </w:rPr>
        <w:t xml:space="preserve">آية الله العظمى محمد بن محمد بن مهدي الخالصي المولود عام </w:t>
      </w:r>
      <w:hyperlink r:id="rId16" w:tooltip="1888" w:history="1">
        <w:r w:rsidRPr="00963823">
          <w:rPr>
            <w:rFonts w:cs="mylotus" w:hint="cs"/>
            <w:szCs w:val="27"/>
            <w:rtl/>
          </w:rPr>
          <w:t>1888م</w:t>
        </w:r>
      </w:hyperlink>
      <w:r w:rsidRPr="00963823">
        <w:rPr>
          <w:rFonts w:cs="mylotus" w:hint="cs"/>
          <w:szCs w:val="27"/>
          <w:rtl/>
        </w:rPr>
        <w:t xml:space="preserve"> في مدينة </w:t>
      </w:r>
      <w:hyperlink r:id="rId17" w:tooltip="الكاظمية" w:history="1">
        <w:r w:rsidRPr="00963823">
          <w:rPr>
            <w:rFonts w:cs="mylotus" w:hint="cs"/>
            <w:szCs w:val="27"/>
            <w:rtl/>
          </w:rPr>
          <w:t>الكاظمية</w:t>
        </w:r>
      </w:hyperlink>
      <w:r w:rsidRPr="00963823">
        <w:rPr>
          <w:rFonts w:cs="mylotus" w:hint="cs"/>
          <w:szCs w:val="27"/>
          <w:rtl/>
        </w:rPr>
        <w:t xml:space="preserve"> بالعراق درس على كبار علماء عصره وحاز على درجة الاجتهاد في سنٍ مبكرة جداً، له آراء إصلاحية كثيرة، توفي في بغداد عام 1963م</w:t>
      </w:r>
      <w:r w:rsidRPr="0021507A">
        <w:rPr>
          <w:rFonts w:cs="Arabic11 BT" w:hint="cs"/>
          <w:szCs w:val="27"/>
          <w:vertAlign w:val="superscript"/>
          <w:rtl/>
        </w:rPr>
        <w:t>(</w:t>
      </w:r>
      <w:r w:rsidRPr="0021507A">
        <w:rPr>
          <w:rFonts w:cs="Arabic11 BT"/>
          <w:szCs w:val="27"/>
          <w:vertAlign w:val="superscript"/>
          <w:rtl/>
        </w:rPr>
        <w:footnoteReference w:id="1"/>
      </w:r>
      <w:r w:rsidRPr="0021507A">
        <w:rPr>
          <w:rFonts w:cs="Arabic11 BT" w:hint="cs"/>
          <w:szCs w:val="27"/>
          <w:vertAlign w:val="superscript"/>
          <w:rtl/>
        </w:rPr>
        <w:t>)</w:t>
      </w:r>
      <w:r w:rsidRPr="00963823">
        <w:rPr>
          <w:rFonts w:cs="Arabic11 BT" w:hint="cs"/>
          <w:szCs w:val="27"/>
          <w:rtl/>
        </w:rPr>
        <w:t>.</w:t>
      </w:r>
      <w:r w:rsidRPr="00963823">
        <w:rPr>
          <w:rFonts w:cs="Arabic11 BT" w:hint="cs"/>
          <w:szCs w:val="27"/>
          <w:vertAlign w:val="superscript"/>
          <w:rtl/>
        </w:rPr>
        <w:t xml:space="preserve"> </w:t>
      </w:r>
    </w:p>
    <w:p w:rsidR="00963823" w:rsidRPr="00963823" w:rsidRDefault="00963823" w:rsidP="00963823">
      <w:pPr>
        <w:widowControl w:val="0"/>
        <w:spacing w:after="60" w:line="228" w:lineRule="auto"/>
        <w:ind w:firstLine="284"/>
        <w:jc w:val="both"/>
        <w:rPr>
          <w:rFonts w:cs="mylotus"/>
          <w:szCs w:val="27"/>
        </w:rPr>
      </w:pPr>
      <w:r w:rsidRPr="00963823">
        <w:rPr>
          <w:rFonts w:cs="mylotus" w:hint="cs"/>
          <w:szCs w:val="27"/>
          <w:rtl/>
        </w:rPr>
        <w:t>العلامة الشيخ محمد «الخالصي» من العلماء المجاهدين في العراق. بدأت معرفة الأستاذ بالعلامة الخالصي بسبب ترجمة كتابه «المعارف المحمدية»، واستمرّت بعد ترجمة كتاب «الإسلام سبيل السعادة والسلام» وكتاب إحياء الشريعة في ثلاث مجلدات والآثار الأخرى للعلامة الخالصي</w:t>
      </w:r>
      <w:r w:rsidRPr="00963823">
        <w:rPr>
          <w:rFonts w:cs="mylotus" w:hint="cs"/>
          <w:szCs w:val="27"/>
        </w:rPr>
        <w:t>.</w:t>
      </w:r>
      <w:r w:rsidRPr="00963823">
        <w:rPr>
          <w:rFonts w:cs="mylotus" w:hint="cs"/>
          <w:szCs w:val="27"/>
          <w:rtl/>
        </w:rPr>
        <w:t xml:space="preserve"> وأعقبت هذه الأعمال الثقافية إرسال الرسائل واللقاء بين الأستاذ والعلامة؛ حتى أن السيد الخالصي تأثر بأفكار الأستاذ المنوِّرة الإصلاحية، ونستطيع أن نشاهد علائم هذا التغيير في الآثار التي نشرها الخالصي فيما بعد، وكذا نرى هذا التأثير المشهود من المقدمة التي كتبها العلامة الخالصي على كتاب «أرمغان آسمان = تحفة السماء» للأستاذ «قلمداران»، وهو يكتب:</w:t>
      </w:r>
      <w:r w:rsidRPr="00963823">
        <w:rPr>
          <w:rFonts w:cs="mylotus" w:hint="cs"/>
          <w:szCs w:val="27"/>
        </w:rPr>
        <w:t xml:space="preserve"> </w:t>
      </w:r>
    </w:p>
    <w:p w:rsidR="00963823" w:rsidRPr="004A32F0" w:rsidRDefault="00963823" w:rsidP="00963823">
      <w:pPr>
        <w:widowControl w:val="0"/>
        <w:spacing w:after="60" w:line="228" w:lineRule="auto"/>
        <w:ind w:firstLine="284"/>
        <w:jc w:val="both"/>
        <w:rPr>
          <w:rFonts w:cs="mylotus"/>
          <w:spacing w:val="-2"/>
          <w:szCs w:val="27"/>
        </w:rPr>
      </w:pPr>
      <w:r w:rsidRPr="004A32F0">
        <w:rPr>
          <w:rFonts w:cs="mylotus" w:hint="cs"/>
          <w:spacing w:val="-2"/>
          <w:szCs w:val="27"/>
          <w:rtl/>
        </w:rPr>
        <w:t>"شابٌّ مثل الأستاذ حيدر علي«قلمداران» في عصر الغفلة وتجاهل المسلمين، وفي عصر نسيان المسلمين للتعاليم الإسلامية؛ بل في عصر الجاهلية، يوضح الحقائق الإسلامية وينشرها بالشجاعة التامة وبدون أي خوف من المعاندين الجهال، فكيف نستطيع أن نشكر هذه النعمة العظيمة؟</w:t>
      </w:r>
      <w:r w:rsidRPr="004A32F0">
        <w:rPr>
          <w:rFonts w:cs="mylotus"/>
          <w:spacing w:val="-2"/>
          <w:szCs w:val="27"/>
        </w:rPr>
        <w:t>!</w:t>
      </w:r>
      <w:r w:rsidRPr="004A32F0">
        <w:rPr>
          <w:rFonts w:cs="mylotus" w:hint="cs"/>
          <w:spacing w:val="-2"/>
          <w:szCs w:val="27"/>
          <w:rtl/>
        </w:rPr>
        <w:t>"</w:t>
      </w:r>
    </w:p>
    <w:p w:rsidR="00963823" w:rsidRPr="004A32F0" w:rsidRDefault="00963823" w:rsidP="00963823">
      <w:pPr>
        <w:widowControl w:val="0"/>
        <w:spacing w:after="60" w:line="228" w:lineRule="auto"/>
        <w:ind w:firstLine="284"/>
        <w:jc w:val="both"/>
        <w:rPr>
          <w:rFonts w:cs="mylotus"/>
          <w:spacing w:val="-2"/>
          <w:szCs w:val="27"/>
        </w:rPr>
      </w:pPr>
      <w:r w:rsidRPr="004A32F0">
        <w:rPr>
          <w:rFonts w:cs="mylotus" w:hint="cs"/>
          <w:spacing w:val="-2"/>
          <w:szCs w:val="27"/>
          <w:rtl/>
        </w:rPr>
        <w:t xml:space="preserve">تأثّر المؤلف كثيراً بالمرجع الشيعي المصلح آيـة اللـه الشيـخ محمد مهدي الخالصي (رحمه الله) وقام بترجمة أغلب كتبه إلى الفارسية، لكنه تجاوز شيخه الخالصي بخطوات أكثر انفتاحاً وخرج عن إجماع الإماميّة في بعض المسائل كنفيه وجوب أداء خمس المكاسب والأرباح، وقوله بأن الأئمة الاثني عشر ليس منصوصاً عليهم من قبل الله تعالى ورسوله </w:t>
      </w:r>
      <w:r w:rsidRPr="004A32F0">
        <w:rPr>
          <w:rFonts w:cs="CTraditional Arabic" w:hint="cs"/>
          <w:spacing w:val="-2"/>
          <w:szCs w:val="27"/>
          <w:rtl/>
        </w:rPr>
        <w:t>ص</w:t>
      </w:r>
      <w:r w:rsidRPr="004A32F0">
        <w:rPr>
          <w:rFonts w:cs="mylotus" w:hint="cs"/>
          <w:spacing w:val="-2"/>
          <w:szCs w:val="27"/>
          <w:rtl/>
        </w:rPr>
        <w:t>، بل هم علماء ربانيون وفقهاء مجتهدون فحسب، وأفضل أهل عصرهم وأولاهم بالاتباع، وألف في هذا الموضوع كتابه الشهير «</w:t>
      </w:r>
      <w:r w:rsidRPr="004A32F0">
        <w:rPr>
          <w:rFonts w:cs="mylotus" w:hint="cs"/>
          <w:b/>
          <w:bCs/>
          <w:spacing w:val="-2"/>
          <w:szCs w:val="27"/>
          <w:rtl/>
        </w:rPr>
        <w:t>طريق الاتحاد</w:t>
      </w:r>
      <w:r w:rsidRPr="004A32F0">
        <w:rPr>
          <w:rFonts w:cs="mylotus" w:hint="cs"/>
          <w:spacing w:val="-2"/>
          <w:szCs w:val="27"/>
          <w:rtl/>
        </w:rPr>
        <w:t>» وقد تعرض بعد نشره إلى محاولة اغتيال فاشلة من بعض المتعصبين الغلاة.</w:t>
      </w:r>
    </w:p>
    <w:p w:rsidR="00963823" w:rsidRPr="00963823" w:rsidRDefault="00963823" w:rsidP="004A32F0">
      <w:pPr>
        <w:widowControl w:val="0"/>
        <w:spacing w:after="40" w:line="226" w:lineRule="auto"/>
        <w:ind w:firstLine="284"/>
        <w:jc w:val="both"/>
        <w:rPr>
          <w:rFonts w:cs="mylotus"/>
          <w:szCs w:val="27"/>
        </w:rPr>
      </w:pPr>
      <w:r w:rsidRPr="00963823">
        <w:rPr>
          <w:rFonts w:cs="mylotus" w:hint="cs"/>
          <w:szCs w:val="27"/>
          <w:rtl/>
        </w:rPr>
        <w:t xml:space="preserve">كما قال قلمداران بأنه لا ثبوت لإمامٍ غائبٍ مستترٍ إلى الآن ولا رجعة ولا عصمة مطلقة </w:t>
      </w:r>
      <w:r w:rsidRPr="00963823">
        <w:rPr>
          <w:rFonts w:cs="mylotus" w:hint="cs"/>
          <w:szCs w:val="27"/>
          <w:rtl/>
        </w:rPr>
        <w:lastRenderedPageBreak/>
        <w:t xml:space="preserve">لأحد إلا عصمة رسول الله </w:t>
      </w:r>
      <w:r w:rsidRPr="00963823">
        <w:rPr>
          <w:rFonts w:cs="CTraditional Arabic" w:hint="cs"/>
          <w:szCs w:val="27"/>
          <w:rtl/>
        </w:rPr>
        <w:t>ص</w:t>
      </w:r>
      <w:r w:rsidRPr="00963823">
        <w:rPr>
          <w:rFonts w:cs="mylotus" w:hint="cs"/>
          <w:szCs w:val="27"/>
          <w:rtl/>
        </w:rPr>
        <w:t xml:space="preserve"> في تبليغ رسالات ربه، ورأى كذلك من خلال دراسته لتاريخ زيارة القبور في الإسلام، عدم صحة نصب القباب وإقامة الأضرحة على قبور الصالحين سواء من أئمة آل البيت أو أولادهم وجعلها مزارات يحج لها الناس ويطوفون بها داعين مستغيثين ورأى ذلك من مظاهر الشرك في العبادة، وألف في ذلك كتابه «بحث حول زيارة المزارات».</w:t>
      </w:r>
    </w:p>
    <w:p w:rsidR="00963823" w:rsidRPr="00963823" w:rsidRDefault="00963823" w:rsidP="004A32F0">
      <w:pPr>
        <w:widowControl w:val="0"/>
        <w:spacing w:after="40" w:line="226" w:lineRule="auto"/>
        <w:ind w:firstLine="284"/>
        <w:jc w:val="both"/>
        <w:rPr>
          <w:rFonts w:cs="mylotus"/>
          <w:szCs w:val="27"/>
        </w:rPr>
      </w:pPr>
      <w:r w:rsidRPr="00963823">
        <w:rPr>
          <w:rFonts w:cs="mylotus" w:hint="cs"/>
          <w:szCs w:val="27"/>
          <w:rtl/>
        </w:rPr>
        <w:t>التقى الأستاذ «قلمداران» في أسفاره إلى بعض المدن العراقية وخاصة مدينة كربلاء بكاشف الغطاء وهبة الدين الشهرستاني مؤلف كتاب «الهيئة والإسلام» وهما من العلماء الأكابر عند الشيعة الإثني عشرية وتعرّف بهما من قريب، وكان يراسل العلامة الخالصي وأحيانا الشهرستاني ويناقشه في بعض المسائل الكلامية</w:t>
      </w:r>
      <w:r w:rsidRPr="00963823">
        <w:rPr>
          <w:rFonts w:cs="mylotus" w:hint="cs"/>
          <w:szCs w:val="27"/>
        </w:rPr>
        <w:t>.</w:t>
      </w:r>
    </w:p>
    <w:p w:rsidR="00963823" w:rsidRPr="00963823" w:rsidRDefault="00963823" w:rsidP="004A32F0">
      <w:pPr>
        <w:pStyle w:val="a6"/>
        <w:spacing w:line="226" w:lineRule="auto"/>
        <w:rPr>
          <w:rtl/>
        </w:rPr>
      </w:pPr>
      <w:bookmarkStart w:id="45" w:name="_Toc377068746"/>
      <w:bookmarkStart w:id="46" w:name="_Toc385428758"/>
      <w:bookmarkStart w:id="47" w:name="_Toc387843040"/>
      <w:r w:rsidRPr="00963823">
        <w:rPr>
          <w:rFonts w:hint="cs"/>
          <w:rtl/>
        </w:rPr>
        <w:t>2- المهندس مهدي «بازركان»</w:t>
      </w:r>
      <w:bookmarkEnd w:id="45"/>
      <w:bookmarkEnd w:id="46"/>
      <w:bookmarkEnd w:id="47"/>
      <w:r w:rsidRPr="00963823">
        <w:rPr>
          <w:rFonts w:hint="cs"/>
          <w:rtl/>
        </w:rPr>
        <w:t xml:space="preserve"> </w:t>
      </w:r>
    </w:p>
    <w:p w:rsidR="00963823" w:rsidRPr="00963823" w:rsidRDefault="00963823" w:rsidP="004A32F0">
      <w:pPr>
        <w:widowControl w:val="0"/>
        <w:spacing w:after="40" w:line="226" w:lineRule="auto"/>
        <w:ind w:firstLine="284"/>
        <w:jc w:val="both"/>
        <w:rPr>
          <w:rFonts w:cs="mylotus"/>
          <w:szCs w:val="27"/>
          <w:rtl/>
        </w:rPr>
      </w:pPr>
      <w:r w:rsidRPr="00963823">
        <w:rPr>
          <w:rFonts w:cs="mylotus"/>
          <w:szCs w:val="27"/>
          <w:rtl/>
        </w:rPr>
        <w:t>المهندس مهدي بازركان المولود عام 1905م في طهران والحاصل على الدكتوراه في الهندسة من فرنسا</w:t>
      </w:r>
      <w:r w:rsidRPr="00963823">
        <w:rPr>
          <w:rFonts w:cs="mylotus" w:hint="cs"/>
          <w:szCs w:val="27"/>
          <w:rtl/>
        </w:rPr>
        <w:t xml:space="preserve">. </w:t>
      </w:r>
    </w:p>
    <w:p w:rsidR="00963823" w:rsidRPr="00963823" w:rsidRDefault="00963823" w:rsidP="004A32F0">
      <w:pPr>
        <w:widowControl w:val="0"/>
        <w:spacing w:after="40" w:line="226" w:lineRule="auto"/>
        <w:ind w:firstLine="284"/>
        <w:jc w:val="both"/>
        <w:rPr>
          <w:rFonts w:cs="mylotus"/>
          <w:szCs w:val="27"/>
        </w:rPr>
      </w:pPr>
      <w:r w:rsidRPr="00963823">
        <w:rPr>
          <w:rFonts w:cs="mylotus" w:hint="cs"/>
          <w:szCs w:val="27"/>
          <w:rtl/>
        </w:rPr>
        <w:t>الأستاذ بنفسه ينقل لنا كيف تعرّف على المهندس بازركان، ويقول: بينما كنت واقفاً على الشارع بين القرية ومدينة قم وأنتظر وصول الحافلة وكنت أقرأ كتابا كي أستفيد ولا أضيع وقتي بالانتظار، مرّت سيارة أمامي فيها بضعة أشخاص، ثم وقفت السيارة ورجعت إلى الخلف ووقفت أمامي، وطلب ركابها مني أن أركب معهم</w:t>
      </w:r>
      <w:r w:rsidRPr="00963823">
        <w:rPr>
          <w:rFonts w:cs="mylotus" w:hint="cs"/>
          <w:szCs w:val="27"/>
        </w:rPr>
        <w:t>.</w:t>
      </w:r>
    </w:p>
    <w:p w:rsidR="00963823" w:rsidRPr="00963823" w:rsidRDefault="00963823" w:rsidP="004A32F0">
      <w:pPr>
        <w:widowControl w:val="0"/>
        <w:spacing w:after="40" w:line="226" w:lineRule="auto"/>
        <w:ind w:firstLine="284"/>
        <w:jc w:val="both"/>
        <w:rPr>
          <w:rFonts w:cs="mylotus"/>
          <w:szCs w:val="27"/>
        </w:rPr>
      </w:pPr>
      <w:r w:rsidRPr="00963823">
        <w:rPr>
          <w:rFonts w:cs="mylotus" w:hint="cs"/>
          <w:szCs w:val="27"/>
          <w:rtl/>
        </w:rPr>
        <w:t xml:space="preserve">وأثناء الطريق انتبهتُ إلى أن أحد الركاب هو المهندس بازركان (أول رئيس وزراء في إيران بعد انتصار الثورة، </w:t>
      </w:r>
      <w:r w:rsidRPr="00963823">
        <w:rPr>
          <w:rFonts w:cs="mylotus"/>
          <w:szCs w:val="27"/>
          <w:rtl/>
        </w:rPr>
        <w:t>عام 1979م</w:t>
      </w:r>
      <w:r w:rsidRPr="00963823">
        <w:rPr>
          <w:rFonts w:cs="mylotus" w:hint="cs"/>
          <w:szCs w:val="27"/>
          <w:rtl/>
        </w:rPr>
        <w:t>)، و كان رئيس «صناعة البترول» آنذاك (سنة 1370 أو 1371ه</w:t>
      </w:r>
      <w:r w:rsidRPr="00963823">
        <w:rPr>
          <w:rFonts w:ascii="mylotus" w:hAnsi="mylotus" w:cs="mylotus"/>
          <w:szCs w:val="27"/>
          <w:rtl/>
        </w:rPr>
        <w:t>‍</w:t>
      </w:r>
      <w:r w:rsidRPr="00963823">
        <w:rPr>
          <w:rFonts w:cs="mylotus" w:hint="cs"/>
          <w:szCs w:val="27"/>
          <w:rtl/>
        </w:rPr>
        <w:t>) وكان عائداً من مدينة عبادان أثناء مهمة رسمية للأمور المتعلقة بالنفط. وقال السيد بازركان لي: تعجبتُ جداً، لما رأيت شخصاً قروياً يغرق في المطالعة وهو ينتظر الحافلة. وكان هذا الحدَث سبباً في عقد الألفة والمحبة بيننا حتى أن السيد بازركان استفاد كثيراً من كتاب «الحكومة في الإسلام» في تأليف كتابه «البعثة الإيديولوجية». وكان السيد بازركان معجبا بكتاب «ارمغان آسمان= بشرى السماء» تأليف الأستاذ «قلمداران» وعرَّف الدكتور علي شريعتي على هذا الكتاب و وصفه له.</w:t>
      </w:r>
    </w:p>
    <w:p w:rsidR="00963823" w:rsidRPr="00963823" w:rsidRDefault="00963823" w:rsidP="00B7173B">
      <w:pPr>
        <w:widowControl w:val="0"/>
        <w:spacing w:after="40" w:line="226" w:lineRule="auto"/>
        <w:ind w:firstLine="284"/>
        <w:jc w:val="both"/>
        <w:rPr>
          <w:rFonts w:cs="mylotus"/>
          <w:szCs w:val="27"/>
          <w:rtl/>
        </w:rPr>
      </w:pPr>
      <w:r w:rsidRPr="00963823">
        <w:rPr>
          <w:rFonts w:cs="mylotus" w:hint="cs"/>
          <w:szCs w:val="27"/>
          <w:rtl/>
        </w:rPr>
        <w:lastRenderedPageBreak/>
        <w:t>ومن الجدير بالذكر أنه بعد إطلاق سراح المهندس مهدي بازركان من السجن جاء على الأقل مرتين إلى قم لزيارة الأستاذ قلمداران</w:t>
      </w:r>
      <w:r w:rsidRPr="00963823">
        <w:rPr>
          <w:rFonts w:cs="mylotus" w:hint="cs"/>
          <w:szCs w:val="27"/>
        </w:rPr>
        <w:t>.</w:t>
      </w:r>
    </w:p>
    <w:p w:rsidR="00963823" w:rsidRPr="00963823" w:rsidRDefault="00963823" w:rsidP="00B7173B">
      <w:pPr>
        <w:pStyle w:val="a6"/>
        <w:spacing w:line="226" w:lineRule="auto"/>
        <w:rPr>
          <w:rtl/>
        </w:rPr>
      </w:pPr>
      <w:bookmarkStart w:id="48" w:name="_Toc377068747"/>
      <w:bookmarkStart w:id="49" w:name="_Toc385428759"/>
      <w:bookmarkStart w:id="50" w:name="_Toc387843041"/>
      <w:r w:rsidRPr="00963823">
        <w:rPr>
          <w:rFonts w:hint="cs"/>
          <w:rtl/>
        </w:rPr>
        <w:t>3- الدكتور علي شريعتي</w:t>
      </w:r>
      <w:bookmarkEnd w:id="48"/>
      <w:bookmarkEnd w:id="49"/>
      <w:bookmarkEnd w:id="50"/>
      <w:r w:rsidRPr="00963823">
        <w:rPr>
          <w:rFonts w:hint="cs"/>
          <w:rtl/>
        </w:rPr>
        <w:t xml:space="preserve"> </w:t>
      </w:r>
    </w:p>
    <w:p w:rsidR="00963823" w:rsidRPr="00963823" w:rsidRDefault="00963823" w:rsidP="00B7173B">
      <w:pPr>
        <w:widowControl w:val="0"/>
        <w:spacing w:after="40" w:line="226" w:lineRule="auto"/>
        <w:ind w:firstLine="284"/>
        <w:jc w:val="both"/>
        <w:rPr>
          <w:rFonts w:cs="mylotus"/>
          <w:szCs w:val="27"/>
          <w:rtl/>
        </w:rPr>
      </w:pPr>
      <w:r w:rsidRPr="00963823">
        <w:rPr>
          <w:rFonts w:cs="mylotus"/>
          <w:szCs w:val="27"/>
          <w:rtl/>
        </w:rPr>
        <w:t>الدكتور علي شريعتي المولود عام 1933م في خراسان</w:t>
      </w:r>
      <w:r w:rsidRPr="00963823">
        <w:rPr>
          <w:rFonts w:cs="mylotus" w:hint="cs"/>
          <w:szCs w:val="27"/>
          <w:rtl/>
        </w:rPr>
        <w:t>،</w:t>
      </w:r>
      <w:r w:rsidRPr="00963823">
        <w:rPr>
          <w:rFonts w:cs="mylotus"/>
          <w:szCs w:val="27"/>
          <w:rtl/>
        </w:rPr>
        <w:t xml:space="preserve"> والذي يعتبر ملهم الثورة الإيرانية التي قامت عام 1979م رغم </w:t>
      </w:r>
      <w:r w:rsidRPr="00963823">
        <w:rPr>
          <w:rFonts w:cs="mylotus" w:hint="cs"/>
          <w:szCs w:val="27"/>
          <w:rtl/>
        </w:rPr>
        <w:t>أ</w:t>
      </w:r>
      <w:r w:rsidRPr="00963823">
        <w:rPr>
          <w:rFonts w:cs="mylotus"/>
          <w:szCs w:val="27"/>
          <w:rtl/>
        </w:rPr>
        <w:t>نه توفي قبلها بسنتين تقريباً</w:t>
      </w:r>
      <w:r w:rsidRPr="00963823">
        <w:rPr>
          <w:rFonts w:cs="mylotus" w:hint="cs"/>
          <w:szCs w:val="27"/>
          <w:rtl/>
        </w:rPr>
        <w:t>،</w:t>
      </w:r>
      <w:r w:rsidRPr="00963823">
        <w:rPr>
          <w:rFonts w:cs="mylotus"/>
          <w:szCs w:val="27"/>
          <w:rtl/>
        </w:rPr>
        <w:t xml:space="preserve"> عام 1977م في لندن</w:t>
      </w:r>
      <w:r w:rsidRPr="00963823">
        <w:rPr>
          <w:rFonts w:cs="mylotus" w:hint="cs"/>
          <w:szCs w:val="27"/>
          <w:rtl/>
        </w:rPr>
        <w:t>.</w:t>
      </w:r>
      <w:r w:rsidRPr="00963823">
        <w:rPr>
          <w:rFonts w:cs="mylotus"/>
          <w:szCs w:val="27"/>
          <w:rtl/>
        </w:rPr>
        <w:t xml:space="preserve"> عدَّه هاشمي رفسنجاني مَعْلماً أساسياً في إرساء النهضة الإيرانية، له أفكار إصلاحية كثيرة نشرها في عدة كتب من أهمها كتاب التشيع العلوي والتشيع الصفوي</w:t>
      </w:r>
      <w:r w:rsidRPr="00963823">
        <w:rPr>
          <w:rFonts w:cs="mylotus" w:hint="cs"/>
          <w:szCs w:val="27"/>
          <w:rtl/>
        </w:rPr>
        <w:t>.</w:t>
      </w:r>
    </w:p>
    <w:p w:rsidR="00963823" w:rsidRPr="00B45B50" w:rsidRDefault="00963823" w:rsidP="00B7173B">
      <w:pPr>
        <w:widowControl w:val="0"/>
        <w:spacing w:after="40" w:line="226" w:lineRule="auto"/>
        <w:ind w:firstLine="284"/>
        <w:jc w:val="both"/>
        <w:rPr>
          <w:rFonts w:cs="mylotus"/>
          <w:spacing w:val="-4"/>
          <w:szCs w:val="27"/>
        </w:rPr>
      </w:pPr>
      <w:r w:rsidRPr="00B45B50">
        <w:rPr>
          <w:rFonts w:cs="mylotus" w:hint="cs"/>
          <w:spacing w:val="-4"/>
          <w:szCs w:val="27"/>
          <w:rtl/>
        </w:rPr>
        <w:t>رأى الدكتور علي شريعتي كتاب «ارمغان الهي» تأليف الأستاذ «قلمداران»، وبعدما سمع عن كتاب «ارمغان آسمان» من الباحثين والمفكرين وأساتذة الجامعات، وخاصة من المهندس بازركان، تأثر أكثر فأكثر بالأفكار المنوِّرة الإصلاحية التي يحملها الأستاذ «قلمداران»، وهذا الأمر بالذات حمل الدكتور شريعتي على كتابة رسالة إلى قلمداران من باريس يطلب فيها منه إرسال الكتاب  المذكور إليه. (أدرج نص هذه الرسالة في كتاب «ذكريات مانا»</w:t>
      </w:r>
      <w:r w:rsidR="003C4B41">
        <w:rPr>
          <w:rFonts w:cs="mylotus" w:hint="cs"/>
          <w:spacing w:val="-4"/>
          <w:szCs w:val="27"/>
          <w:rtl/>
        </w:rPr>
        <w:t xml:space="preserve"> - كُتَيِّب نشر في ذكرى شريعتي-</w:t>
      </w:r>
      <w:r w:rsidRPr="00B45B50">
        <w:rPr>
          <w:rFonts w:cs="mylotus" w:hint="cs"/>
          <w:spacing w:val="-4"/>
          <w:szCs w:val="27"/>
          <w:rtl/>
        </w:rPr>
        <w:t>).</w:t>
      </w:r>
    </w:p>
    <w:p w:rsidR="00963823" w:rsidRPr="004A32F0" w:rsidRDefault="00963823" w:rsidP="00B7173B">
      <w:pPr>
        <w:widowControl w:val="0"/>
        <w:spacing w:after="40" w:line="226" w:lineRule="auto"/>
        <w:ind w:firstLine="284"/>
        <w:jc w:val="both"/>
        <w:rPr>
          <w:rFonts w:cs="mylotus"/>
          <w:spacing w:val="-4"/>
          <w:szCs w:val="27"/>
          <w:rtl/>
        </w:rPr>
      </w:pPr>
      <w:r w:rsidRPr="004A32F0">
        <w:rPr>
          <w:rFonts w:cs="mylotus" w:hint="cs"/>
          <w:spacing w:val="-4"/>
          <w:szCs w:val="27"/>
          <w:rtl/>
        </w:rPr>
        <w:t>ولما رجع الدكتور شريعتي إلي إيران قال لأحد أصدقائه وهو الدكتور «أخروي» الذي كان يعرف «قلمداران» من قريب، إن لقلمداران دور كبير في اتجاهاتي الفكرية وأشتاقُ لرؤيته، فهلا يسرتم لي اللقاء به، لكن هذا اللقاء لم يتحقق مع الأسف، ولبى الدكتور شريعتي نداء ربه، رحمه الله.</w:t>
      </w:r>
    </w:p>
    <w:p w:rsidR="00963823" w:rsidRPr="00963823" w:rsidRDefault="00963823" w:rsidP="00B7173B">
      <w:pPr>
        <w:pStyle w:val="a6"/>
        <w:spacing w:line="226" w:lineRule="auto"/>
        <w:rPr>
          <w:rtl/>
        </w:rPr>
      </w:pPr>
      <w:bookmarkStart w:id="51" w:name="_Toc377068748"/>
      <w:bookmarkStart w:id="52" w:name="_Toc385428760"/>
      <w:bookmarkStart w:id="53" w:name="_Toc387843042"/>
      <w:r w:rsidRPr="00963823">
        <w:rPr>
          <w:rFonts w:hint="cs"/>
          <w:rtl/>
        </w:rPr>
        <w:t>4- الأستاذ الشيخ مرتضي «مطهري»</w:t>
      </w:r>
      <w:bookmarkEnd w:id="51"/>
      <w:bookmarkEnd w:id="52"/>
      <w:bookmarkEnd w:id="53"/>
      <w:r w:rsidRPr="00963823">
        <w:rPr>
          <w:rFonts w:hint="cs"/>
          <w:rtl/>
        </w:rPr>
        <w:t xml:space="preserve"> </w:t>
      </w:r>
    </w:p>
    <w:p w:rsidR="00963823" w:rsidRPr="00963823" w:rsidRDefault="00963823" w:rsidP="00B7173B">
      <w:pPr>
        <w:widowControl w:val="0"/>
        <w:spacing w:after="40" w:line="226" w:lineRule="auto"/>
        <w:ind w:firstLine="284"/>
        <w:jc w:val="both"/>
        <w:rPr>
          <w:rFonts w:cs="mylotus"/>
          <w:szCs w:val="27"/>
          <w:rtl/>
        </w:rPr>
      </w:pPr>
      <w:r w:rsidRPr="00963823">
        <w:rPr>
          <w:rFonts w:cs="mylotus"/>
          <w:szCs w:val="27"/>
          <w:rtl/>
        </w:rPr>
        <w:t>الأستاذ مرتضى مطهري</w:t>
      </w:r>
      <w:r w:rsidRPr="00963823">
        <w:rPr>
          <w:rFonts w:cs="mylotus" w:hint="cs"/>
          <w:szCs w:val="27"/>
          <w:rtl/>
        </w:rPr>
        <w:t xml:space="preserve"> المولود عام 1338هـ في خراسان، تتلمذ على كبار علماء الشيعة كصدر الدين الصدر والخميني، وكان من الأعضاء البارزين في إدارة الحكم بعد قيام الثورة وقد تم اغتياله في طهران عام 1399هـ، وله مؤلفات كثيرة</w:t>
      </w:r>
      <w:r w:rsidRPr="0021507A">
        <w:rPr>
          <w:rFonts w:cs="Arabic11 BT" w:hint="cs"/>
          <w:szCs w:val="27"/>
          <w:vertAlign w:val="superscript"/>
          <w:rtl/>
        </w:rPr>
        <w:t>(</w:t>
      </w:r>
      <w:r w:rsidRPr="0021507A">
        <w:rPr>
          <w:rFonts w:cs="Arabic11 BT"/>
          <w:szCs w:val="27"/>
          <w:vertAlign w:val="superscript"/>
          <w:rtl/>
        </w:rPr>
        <w:footnoteReference w:id="2"/>
      </w:r>
      <w:r w:rsidRPr="0021507A">
        <w:rPr>
          <w:rFonts w:cs="Arabic11 BT" w:hint="cs"/>
          <w:szCs w:val="27"/>
          <w:vertAlign w:val="superscript"/>
          <w:rtl/>
        </w:rPr>
        <w:t>)</w:t>
      </w:r>
      <w:r w:rsidRPr="00963823">
        <w:rPr>
          <w:rFonts w:cs="mylotus" w:hint="cs"/>
          <w:szCs w:val="27"/>
          <w:rtl/>
        </w:rPr>
        <w:t>.</w:t>
      </w:r>
    </w:p>
    <w:p w:rsidR="00963823" w:rsidRPr="00963823" w:rsidRDefault="00963823" w:rsidP="00B7173B">
      <w:pPr>
        <w:widowControl w:val="0"/>
        <w:spacing w:after="40" w:line="226" w:lineRule="auto"/>
        <w:ind w:firstLine="284"/>
        <w:jc w:val="both"/>
        <w:rPr>
          <w:rFonts w:cs="mylotus"/>
          <w:szCs w:val="27"/>
          <w:rtl/>
          <w:lang w:bidi="ar-SY"/>
        </w:rPr>
      </w:pPr>
      <w:r w:rsidRPr="00963823">
        <w:rPr>
          <w:rFonts w:cs="mylotus" w:hint="cs"/>
          <w:szCs w:val="27"/>
          <w:rtl/>
        </w:rPr>
        <w:t xml:space="preserve">كان الأستاذ الشيخ مطهري أيضاً من المعجبين بقلمداران، ولكنه لم يكن يظهر حبه للأستاذ قلمداران خوفاً من لوم زملائه من علماء الدين. وكما قال السيد «قلمداران» إن مطهري قال له </w:t>
      </w:r>
      <w:r w:rsidRPr="00963823">
        <w:rPr>
          <w:rFonts w:cs="mylotus" w:hint="cs"/>
          <w:szCs w:val="27"/>
          <w:rtl/>
        </w:rPr>
        <w:lastRenderedPageBreak/>
        <w:t>مرةً حينما التقيا في أحد الشوارع بعد الخروج من إحدى المحاضرات: "</w:t>
      </w:r>
      <w:r w:rsidRPr="00963823">
        <w:rPr>
          <w:rFonts w:cs="mylotus" w:hint="cs"/>
          <w:b/>
          <w:bCs/>
          <w:szCs w:val="27"/>
          <w:rtl/>
        </w:rPr>
        <w:t>بخٍ بخٍ! أحسنتَ يا سيد قلمداران، لقد قرأتُ كتابَكَ «ارمغان آسمان» فاستمتعت به جداً و وجدته كتاباً ممتازاً</w:t>
      </w:r>
      <w:r w:rsidRPr="00963823">
        <w:rPr>
          <w:rFonts w:cs="mylotus" w:hint="cs"/>
          <w:szCs w:val="27"/>
          <w:rtl/>
        </w:rPr>
        <w:t>".</w:t>
      </w:r>
    </w:p>
    <w:p w:rsidR="00963823" w:rsidRPr="00963823" w:rsidRDefault="00963823" w:rsidP="00B7173B">
      <w:pPr>
        <w:pStyle w:val="a6"/>
        <w:spacing w:after="60"/>
        <w:rPr>
          <w:rtl/>
          <w:lang w:bidi="ar-SY"/>
        </w:rPr>
      </w:pPr>
      <w:bookmarkStart w:id="54" w:name="_Toc377068749"/>
      <w:bookmarkStart w:id="55" w:name="_Toc385428761"/>
      <w:bookmarkStart w:id="56" w:name="_Toc387843043"/>
      <w:r w:rsidRPr="00963823">
        <w:rPr>
          <w:rFonts w:hint="cs"/>
          <w:rtl/>
          <w:lang w:bidi="ar-SY"/>
        </w:rPr>
        <w:t>5- آيت الله العظمى حسينعلي منتظري</w:t>
      </w:r>
      <w:bookmarkEnd w:id="54"/>
      <w:bookmarkEnd w:id="55"/>
      <w:bookmarkEnd w:id="56"/>
      <w:r w:rsidRPr="00963823">
        <w:rPr>
          <w:rFonts w:hint="cs"/>
          <w:rtl/>
          <w:lang w:bidi="ar-SY"/>
        </w:rPr>
        <w:t xml:space="preserve"> </w:t>
      </w:r>
    </w:p>
    <w:p w:rsidR="00963823" w:rsidRPr="00963823" w:rsidRDefault="00963823" w:rsidP="00B7173B">
      <w:pPr>
        <w:widowControl w:val="0"/>
        <w:spacing w:after="60" w:line="228" w:lineRule="auto"/>
        <w:ind w:firstLine="284"/>
        <w:jc w:val="both"/>
        <w:rPr>
          <w:rFonts w:cs="mylotus"/>
          <w:szCs w:val="27"/>
          <w:rtl/>
          <w:lang w:bidi="ar-SY"/>
        </w:rPr>
      </w:pPr>
      <w:r w:rsidRPr="00963823">
        <w:rPr>
          <w:rFonts w:cs="mylotus" w:hint="cs"/>
          <w:szCs w:val="27"/>
          <w:rtl/>
          <w:lang w:bidi="ar-SY"/>
        </w:rPr>
        <w:t>كان بين هذا الفقيه القدير رفيع الشأن والمرحوم قلمداران صداقة ومودَّة متميَّزة منذ سنوات قبل الثورة، وكان منتظري يحب كتابات قلمداران ونظرته الدينية، دون أن يفصح عن ذلك للآخرين. والشواهد الدالَّة على هذا المُدَّعى هي التالية:</w:t>
      </w:r>
    </w:p>
    <w:p w:rsidR="00963823" w:rsidRPr="00963823" w:rsidRDefault="00963823" w:rsidP="00B7173B">
      <w:pPr>
        <w:widowControl w:val="0"/>
        <w:spacing w:after="60" w:line="228" w:lineRule="auto"/>
        <w:ind w:left="681" w:hanging="397"/>
        <w:jc w:val="both"/>
        <w:rPr>
          <w:rFonts w:cs="mylotus"/>
          <w:szCs w:val="27"/>
          <w:rtl/>
          <w:lang w:bidi="ar-SY"/>
        </w:rPr>
      </w:pPr>
      <w:r w:rsidRPr="00963823">
        <w:rPr>
          <w:rFonts w:cs="mylotus" w:hint="cs"/>
          <w:szCs w:val="27"/>
          <w:rtl/>
          <w:lang w:bidi="ar-SY"/>
        </w:rPr>
        <w:t>ألف) عندما سمع الشيخ منتظري بقضية طباعة ونشر كتاب «الخُمس» للأستاذ قلمداران في أصفهان، أرسل عن طريق المرحوم السيد هاشمي مبلغ 1000 ريال وقال: هذا أيضاً مشاركة من قبلي في تكاليف طباعة كتاب الخُمْس!</w:t>
      </w:r>
    </w:p>
    <w:p w:rsidR="00963823" w:rsidRPr="00963823" w:rsidRDefault="00963823" w:rsidP="00B7173B">
      <w:pPr>
        <w:widowControl w:val="0"/>
        <w:spacing w:after="60" w:line="228" w:lineRule="auto"/>
        <w:ind w:left="681"/>
        <w:jc w:val="both"/>
        <w:rPr>
          <w:rFonts w:cs="mylotus"/>
          <w:szCs w:val="27"/>
          <w:rtl/>
          <w:lang w:bidi="ar-SY"/>
        </w:rPr>
      </w:pPr>
      <w:r w:rsidRPr="00963823">
        <w:rPr>
          <w:rFonts w:cs="mylotus" w:hint="cs"/>
          <w:szCs w:val="27"/>
          <w:rtl/>
          <w:lang w:bidi="ar-SY"/>
        </w:rPr>
        <w:t xml:space="preserve">وأذكر أن المرحوم قلمداران كان يقول: لما أُطلِق سراح الشيخ منتظري من السجن قُبَيل انتصار الثورة جاء إلى منزله في قم الكائن في حي «عشقعلي». فلما ذهبتُ إلى لقائه في منزله رحب بي أشدّ الترحاب وأبدى سروره البالغ بهذا اللقاء ثم قال لمن حوله </w:t>
      </w:r>
      <w:r w:rsidR="00307780">
        <w:rPr>
          <w:rFonts w:cs="mylotus"/>
          <w:szCs w:val="27"/>
          <w:rtl/>
          <w:lang w:bidi="ar-SY"/>
        </w:rPr>
        <w:br/>
      </w:r>
      <w:r w:rsidRPr="00963823">
        <w:rPr>
          <w:rFonts w:cs="mylotus" w:hint="cs"/>
          <w:szCs w:val="27"/>
          <w:rtl/>
          <w:lang w:bidi="ar-SY"/>
        </w:rPr>
        <w:t>- وأكثرهم من طلاب العلوم الدينية - مبتسماً مازحاً بلهجته الحلوة: هذا هو الأستاذ قلمداران الذي أخذ منا الخُمس وحرمنا منه!</w:t>
      </w:r>
    </w:p>
    <w:p w:rsidR="00963823" w:rsidRPr="00963823" w:rsidRDefault="00963823" w:rsidP="00B7173B">
      <w:pPr>
        <w:widowControl w:val="0"/>
        <w:spacing w:after="60" w:line="228" w:lineRule="auto"/>
        <w:ind w:left="681"/>
        <w:jc w:val="both"/>
        <w:rPr>
          <w:rFonts w:cs="mylotus"/>
          <w:szCs w:val="27"/>
          <w:rtl/>
          <w:lang w:bidi="ar-SY"/>
        </w:rPr>
      </w:pPr>
      <w:r w:rsidRPr="00963823">
        <w:rPr>
          <w:rFonts w:cs="mylotus" w:hint="cs"/>
          <w:szCs w:val="27"/>
          <w:rtl/>
          <w:lang w:bidi="ar-SY"/>
        </w:rPr>
        <w:t>فهذا يدل على أن هذا الفقيه الكبير كان واقفاً تماماً على الرأي الاستثنائي الذي لا سابقة له للأستاذ قلمداران حول انحصار الخمس في غنائم الحرب.</w:t>
      </w:r>
    </w:p>
    <w:p w:rsidR="00963823" w:rsidRPr="00963823" w:rsidRDefault="00963823" w:rsidP="00B7173B">
      <w:pPr>
        <w:widowControl w:val="0"/>
        <w:spacing w:after="60" w:line="228" w:lineRule="auto"/>
        <w:ind w:left="681" w:hanging="397"/>
        <w:jc w:val="both"/>
        <w:rPr>
          <w:rFonts w:cs="mylotus"/>
          <w:szCs w:val="27"/>
          <w:rtl/>
          <w:lang w:bidi="ar-SY"/>
        </w:rPr>
      </w:pPr>
      <w:r w:rsidRPr="00963823">
        <w:rPr>
          <w:rFonts w:cs="mylotus" w:hint="cs"/>
          <w:szCs w:val="27"/>
          <w:rtl/>
          <w:lang w:bidi="ar-SY"/>
        </w:rPr>
        <w:t>ب) طبقاً لقول المرحوم قلمداران، كان الشيخ منتظري منذ سنوات قبل انتصار الثورة يدَرِّس طلابه في مدينة «نجف آباد» كتاب «</w:t>
      </w:r>
      <w:r w:rsidRPr="00963823">
        <w:rPr>
          <w:rFonts w:cs="mylotus" w:hint="cs"/>
          <w:b/>
          <w:bCs/>
          <w:szCs w:val="27"/>
          <w:rtl/>
          <w:lang w:bidi="ar-SY"/>
        </w:rPr>
        <w:t>الحكومة الإسلامية</w:t>
      </w:r>
      <w:r w:rsidRPr="00963823">
        <w:rPr>
          <w:rFonts w:cs="mylotus" w:hint="cs"/>
          <w:szCs w:val="27"/>
          <w:rtl/>
          <w:lang w:bidi="ar-SY"/>
        </w:rPr>
        <w:t>» المثير والفريد الذي ألفه قلمداران.</w:t>
      </w:r>
    </w:p>
    <w:p w:rsidR="00963823" w:rsidRPr="00B45B50" w:rsidRDefault="00963823" w:rsidP="00B7173B">
      <w:pPr>
        <w:widowControl w:val="0"/>
        <w:spacing w:after="60" w:line="228" w:lineRule="auto"/>
        <w:ind w:left="681" w:hanging="397"/>
        <w:jc w:val="both"/>
        <w:rPr>
          <w:rFonts w:cs="mylotus"/>
          <w:spacing w:val="-2"/>
          <w:szCs w:val="27"/>
          <w:rtl/>
          <w:lang w:bidi="ar-SY"/>
        </w:rPr>
      </w:pPr>
      <w:r w:rsidRPr="00B45B50">
        <w:rPr>
          <w:rFonts w:cs="mylotus" w:hint="cs"/>
          <w:spacing w:val="-2"/>
          <w:szCs w:val="27"/>
          <w:rtl/>
          <w:lang w:bidi="ar-SY"/>
        </w:rPr>
        <w:t xml:space="preserve">ج) من الجدير بالذكر أنه بين السنوات 1363 حتى 1367هـ.ش. (الموافق لما بين عامي 1984 إلى 1988م) وبعد أن  تعرض المرحوم قلمداران 3 مرات للجلطة الدماغية، وأصبح طريح الفراش في المستشفى، قام الفقيه الشيخ منتظري بلطفه وكرمه بإرسال </w:t>
      </w:r>
      <w:r w:rsidRPr="00B45B50">
        <w:rPr>
          <w:rFonts w:cs="mylotus" w:hint="cs"/>
          <w:spacing w:val="-2"/>
          <w:szCs w:val="27"/>
          <w:rtl/>
          <w:lang w:bidi="ar-SY"/>
        </w:rPr>
        <w:lastRenderedPageBreak/>
        <w:t>مبلغٍ كبيرٍ من المال لأسرته، مرتين متواليتين - عبر أحد علماء الدين -، خشية أن يكون بحاجة إلى المال لأجل الدواء والعلاج. وقد شكرت أسرة المرحوم قلمداران في كلتا المرتين لطف الشيخ المنتظري وثمَّنت موقفه، واعتذرت عن قبول المال لعدم حاجتها إليه.  هذا أيضاً علامة أخرى من علامات المحبة بين الأستاذين المرحومين. رحمهما الله!</w:t>
      </w:r>
    </w:p>
    <w:p w:rsidR="00963823" w:rsidRPr="00963823" w:rsidRDefault="00963823" w:rsidP="009D15B8">
      <w:pPr>
        <w:pStyle w:val="a5"/>
      </w:pPr>
      <w:bookmarkStart w:id="57" w:name="_Toc377068750"/>
      <w:bookmarkStart w:id="58" w:name="_Toc387843044"/>
      <w:r w:rsidRPr="00963823">
        <w:rPr>
          <w:rFonts w:hint="cs"/>
        </w:rPr>
        <w:sym w:font="AGA Arabesque" w:char="F02A"/>
      </w:r>
      <w:r w:rsidRPr="00963823">
        <w:rPr>
          <w:rFonts w:hint="cs"/>
          <w:rtl/>
        </w:rPr>
        <w:t xml:space="preserve"> حادثة اغتيال الأستاذ «قلمداران» والحوادث المؤلمة الأخرى في حياته</w:t>
      </w:r>
      <w:bookmarkEnd w:id="57"/>
      <w:bookmarkEnd w:id="58"/>
    </w:p>
    <w:p w:rsidR="00963823" w:rsidRPr="00963823" w:rsidRDefault="00963823" w:rsidP="00963823">
      <w:pPr>
        <w:widowControl w:val="0"/>
        <w:spacing w:line="228" w:lineRule="auto"/>
        <w:ind w:left="624" w:hanging="340"/>
        <w:jc w:val="both"/>
        <w:rPr>
          <w:rFonts w:cs="mylotus"/>
          <w:szCs w:val="27"/>
        </w:rPr>
      </w:pPr>
      <w:r w:rsidRPr="00963823">
        <w:rPr>
          <w:rFonts w:cs="mylotus" w:hint="cs"/>
          <w:szCs w:val="27"/>
          <w:rtl/>
        </w:rPr>
        <w:t>1- عندما نشر الأستاذ «قلمداران» كتابه «</w:t>
      </w:r>
      <w:r w:rsidRPr="00963823">
        <w:rPr>
          <w:rFonts w:cs="mylotus" w:hint="cs"/>
          <w:b/>
          <w:bCs/>
          <w:szCs w:val="27"/>
          <w:rtl/>
        </w:rPr>
        <w:t>طريق الاتحاد - دراسة نصوص الإمامة</w:t>
      </w:r>
      <w:r w:rsidRPr="00963823">
        <w:rPr>
          <w:rFonts w:cs="mylotus" w:hint="cs"/>
          <w:szCs w:val="27"/>
          <w:rtl/>
        </w:rPr>
        <w:t>» -قُبَيل انتصار الثورة - أرسل الشيخ مرتضي حائري نجل آية الله الشيخ عبدالكريم الحائري مؤسس الحوزة العلمية في قم رجلاً إلى الأستاذ وطلب منه أن يأتيه إلى بيته، ولما ذهب الأستاذ إلى بيت الحائري، قال له الحائري: أأنت ألفت كتاب «</w:t>
      </w:r>
      <w:r w:rsidRPr="00963823">
        <w:rPr>
          <w:rFonts w:cs="mylotus" w:hint="cs"/>
          <w:b/>
          <w:bCs/>
          <w:szCs w:val="27"/>
          <w:rtl/>
        </w:rPr>
        <w:t>نصوص الإمامة</w:t>
      </w:r>
      <w:r w:rsidRPr="00963823">
        <w:rPr>
          <w:rFonts w:cs="mylotus" w:hint="cs"/>
          <w:szCs w:val="27"/>
          <w:rtl/>
        </w:rPr>
        <w:t>»؟ فأجاب الأستاذ: أنا لا أقول أنا لم أكتبه! ولكن لا يُرى اسمي على الكتاب! قال له الحائري: يمكن أن تُقتل بسبب تأليف هذا الكتاب! قال الأستاذ: ما أسعدني! لو أُقتل من أجل عقيدتي، ثم قال له الحائري: لو بإمكانك أن تجمع الكتاب من السوق فافعل، ثم ادفنه أو أحرقه! فأجاب الأستاذ: ليس هذا بإمكاني، طبعه رجلٌ آخر ونشره، وأنت لو بإمكانك اشتر جميع النسخ واحرقها، ومن جانب آخر يطبع آلاف الكتب للدعاية للشيوعية وتبليغ البهائية، فلماذا لا تقفون أمام هذه الكتب ومؤلفيها؟!</w:t>
      </w:r>
    </w:p>
    <w:p w:rsidR="00963823" w:rsidRPr="00963823" w:rsidRDefault="00963823" w:rsidP="00963823">
      <w:pPr>
        <w:widowControl w:val="0"/>
        <w:spacing w:line="228" w:lineRule="auto"/>
        <w:ind w:left="624"/>
        <w:jc w:val="both"/>
        <w:rPr>
          <w:rFonts w:cs="mylotus"/>
          <w:szCs w:val="27"/>
        </w:rPr>
      </w:pPr>
      <w:r w:rsidRPr="00963823">
        <w:rPr>
          <w:rFonts w:cs="mylotus" w:hint="cs"/>
          <w:szCs w:val="27"/>
          <w:rtl/>
        </w:rPr>
        <w:t>وبعد مُضِيّ بضعة أشهر على انتصار الثورة، وفي ليلة العشرين من شهر رمضان المبارك سنة 1358 هجرية شمسية (1979م) عندما كان الأستاذ على عادته يأتي في هذا الشهر إلى مسقط رأسه قرية ديزيجان ويقيم فيها، دخل رجلٌ مأجور -أرسله المتعصبون عُميُ البصيرة وأفتوه بجواز قتل المرحوم قلمداران- بيتَ الأستاذ في منتصف الليل وأطلق عليه رصاصةً وهو نائم، ثم فرّ، ولكن رغم قرب المسافة من الهدف، جَرَحَت الرصاصُة بشرةَ رقبة قلمداران فقط واستقرَّت في أرض الغرفة!</w:t>
      </w:r>
      <w:r w:rsidRPr="00963823">
        <w:rPr>
          <w:rFonts w:cs="mylotus" w:hint="cs"/>
          <w:szCs w:val="27"/>
        </w:rPr>
        <w:t>.</w:t>
      </w:r>
    </w:p>
    <w:p w:rsidR="00963823" w:rsidRPr="00963823" w:rsidRDefault="00963823" w:rsidP="00963823">
      <w:pPr>
        <w:widowControl w:val="0"/>
        <w:spacing w:line="228" w:lineRule="auto"/>
        <w:ind w:left="624"/>
        <w:jc w:val="both"/>
        <w:rPr>
          <w:rFonts w:cs="mylotus"/>
          <w:szCs w:val="27"/>
        </w:rPr>
      </w:pPr>
      <w:r w:rsidRPr="00963823">
        <w:rPr>
          <w:rFonts w:cs="mylotus" w:hint="cs"/>
          <w:szCs w:val="27"/>
          <w:rtl/>
        </w:rPr>
        <w:t>ونُقل عن الأستاذ أنه قبل يوم من حادثة الاغتيال جاءه رجلٌ من مدينة قم وسأله عن آرائه وعقائده، وكذا سأله عن الكتاب أيضاً!</w:t>
      </w:r>
    </w:p>
    <w:p w:rsidR="00963823" w:rsidRPr="00963823" w:rsidRDefault="00963823" w:rsidP="00B45B50">
      <w:pPr>
        <w:widowControl w:val="0"/>
        <w:spacing w:after="40" w:line="226" w:lineRule="auto"/>
        <w:ind w:left="624"/>
        <w:jc w:val="both"/>
        <w:rPr>
          <w:rFonts w:cs="mylotus"/>
          <w:szCs w:val="27"/>
        </w:rPr>
      </w:pPr>
      <w:r w:rsidRPr="00963823">
        <w:rPr>
          <w:rFonts w:cs="mylotus" w:hint="cs"/>
          <w:szCs w:val="27"/>
          <w:rtl/>
        </w:rPr>
        <w:lastRenderedPageBreak/>
        <w:t>مما لاشك فيه أن تأليف كتاب الخمس وطريق الاتحاد كانا من الأسباب الرئيسية لمحاولة اغتياله تلك</w:t>
      </w:r>
      <w:r w:rsidRPr="00963823">
        <w:rPr>
          <w:rFonts w:cs="mylotus" w:hint="cs"/>
          <w:szCs w:val="27"/>
        </w:rPr>
        <w:t>.</w:t>
      </w:r>
    </w:p>
    <w:p w:rsidR="00963823" w:rsidRPr="00963823" w:rsidRDefault="00963823" w:rsidP="00B45B50">
      <w:pPr>
        <w:widowControl w:val="0"/>
        <w:spacing w:after="40" w:line="226" w:lineRule="auto"/>
        <w:ind w:left="624"/>
        <w:jc w:val="both"/>
        <w:rPr>
          <w:rFonts w:cs="mylotus"/>
          <w:szCs w:val="27"/>
          <w:rtl/>
        </w:rPr>
      </w:pPr>
      <w:r w:rsidRPr="00963823">
        <w:rPr>
          <w:rFonts w:cs="mylotus" w:hint="cs"/>
          <w:szCs w:val="27"/>
          <w:rtl/>
        </w:rPr>
        <w:t xml:space="preserve">على كل حال، لم يشأ الله أن يُقتل الأستاذ، وبعد هذا الحادث كان يأتي القرية ويداوم على أنشطته كما في السابق مؤمناً بقوله تعالى: </w:t>
      </w:r>
      <w:r w:rsidRPr="00963823">
        <w:rPr>
          <w:rFonts w:ascii="Traditional Arabic" w:hAnsi="Traditional Arabic" w:cs="Traditional Arabic"/>
          <w:sz w:val="30"/>
          <w:szCs w:val="30"/>
          <w:rtl/>
        </w:rPr>
        <w:t>﴿</w:t>
      </w:r>
      <w:r w:rsidRPr="00963823">
        <w:rPr>
          <w:rFonts w:ascii="KFGQPC Uthmanic Script HAFS" w:cs="KFGQPC Uthmanic Script HAFS"/>
          <w:sz w:val="28"/>
          <w:rtl/>
          <w:lang w:val="en-MY" w:eastAsia="en-MY"/>
        </w:rPr>
        <w:t xml:space="preserve">قُل لَّن يُصِيبَنَآ إِلَّا مَا كَتَبَ </w:t>
      </w:r>
      <w:r w:rsidRPr="00963823">
        <w:rPr>
          <w:rFonts w:ascii="KFGQPC Uthmanic Script HAFS" w:cs="KFGQPC Uthmanic Script HAFS" w:hint="cs"/>
          <w:sz w:val="28"/>
          <w:rtl/>
          <w:lang w:val="en-MY" w:eastAsia="en-MY"/>
        </w:rPr>
        <w:t>ٱ</w:t>
      </w:r>
      <w:r w:rsidRPr="00963823">
        <w:rPr>
          <w:rFonts w:ascii="KFGQPC Uthmanic Script HAFS" w:cs="KFGQPC Uthmanic Script HAFS" w:hint="eastAsia"/>
          <w:sz w:val="28"/>
          <w:rtl/>
          <w:lang w:val="en-MY" w:eastAsia="en-MY"/>
        </w:rPr>
        <w:t>للَّهُ</w:t>
      </w:r>
      <w:r w:rsidRPr="00963823">
        <w:rPr>
          <w:rFonts w:ascii="KFGQPC Uthmanic Script HAFS" w:cs="KFGQPC Uthmanic Script HAFS"/>
          <w:sz w:val="28"/>
          <w:rtl/>
          <w:lang w:val="en-MY" w:eastAsia="en-MY"/>
        </w:rPr>
        <w:t xml:space="preserve"> لَنَا هُوَ مَوۡلَىٰنَا</w:t>
      </w:r>
      <w:r w:rsidRPr="00963823">
        <w:rPr>
          <w:rFonts w:ascii="Traditional Arabic" w:hAnsi="Traditional Arabic" w:cs="Traditional Arabic"/>
          <w:sz w:val="30"/>
          <w:szCs w:val="30"/>
          <w:rtl/>
        </w:rPr>
        <w:t>﴾</w:t>
      </w:r>
      <w:r w:rsidRPr="00963823">
        <w:rPr>
          <w:rFonts w:cs="KFGQPC Uthman Taha Naskh" w:hint="cs"/>
          <w:szCs w:val="24"/>
          <w:rtl/>
        </w:rPr>
        <w:t xml:space="preserve"> </w:t>
      </w:r>
      <w:r w:rsidRPr="009E1401">
        <w:rPr>
          <w:rStyle w:val="Char2"/>
          <w:rtl/>
        </w:rPr>
        <w:t>[التوبة: 51]</w:t>
      </w:r>
      <w:r w:rsidRPr="00963823">
        <w:rPr>
          <w:rFonts w:cs="mylotus" w:hint="cs"/>
          <w:szCs w:val="27"/>
          <w:rtl/>
        </w:rPr>
        <w:t>.</w:t>
      </w:r>
    </w:p>
    <w:p w:rsidR="00963823" w:rsidRPr="00963823" w:rsidRDefault="00963823" w:rsidP="00B45B50">
      <w:pPr>
        <w:widowControl w:val="0"/>
        <w:spacing w:after="40" w:line="226" w:lineRule="auto"/>
        <w:ind w:left="624"/>
        <w:jc w:val="both"/>
        <w:rPr>
          <w:rFonts w:cs="mylotus"/>
          <w:szCs w:val="27"/>
        </w:rPr>
      </w:pPr>
      <w:r w:rsidRPr="00963823">
        <w:rPr>
          <w:rFonts w:cs="mylotus" w:hint="cs"/>
          <w:szCs w:val="27"/>
          <w:rtl/>
        </w:rPr>
        <w:t xml:space="preserve">طبقاً لرواية شهود العيان من أهل القرية الذين كانوا في تلك الليلة مشغولين بسقاية بساتينهم، يمكن شرح حادثة الاغتيال تلك بالصورة الآتية:   </w:t>
      </w:r>
    </w:p>
    <w:p w:rsidR="00963823" w:rsidRPr="00963823" w:rsidRDefault="00963823" w:rsidP="00936DBE">
      <w:pPr>
        <w:widowControl w:val="0"/>
        <w:spacing w:after="40" w:line="226" w:lineRule="auto"/>
        <w:ind w:left="624"/>
        <w:jc w:val="both"/>
        <w:rPr>
          <w:rFonts w:cs="mylotus"/>
          <w:szCs w:val="27"/>
        </w:rPr>
      </w:pPr>
      <w:r w:rsidRPr="00963823">
        <w:rPr>
          <w:rFonts w:cs="mylotus" w:hint="cs"/>
          <w:szCs w:val="27"/>
          <w:rtl/>
        </w:rPr>
        <w:t>دخل ثلاثة أو أربعة أشخاص راكبين سيارةً إلى القرية في ليلة العشرين من شهر رمضان، وأوقفوا السيارة على جسر القرية جاهزةً ومستعدةً للفرار السريع. ودخل اثنان منهم منتصف الليل بيتَ الأستاذ وكَمَنَا في حديقة البيت بين الأشجار، وكان أبناء الأستاذ يقفلون الباب مرات عديدة من الداخل، ولكنهم كانوا يرون متعجبين أن البابَ مفتوحٌ، لكنهم لم ينتبهوا أصلاً إلى الكارثة التي تنتظرهم. وفي منتصف الليل بعدما رأى المهاجمون أن الكل قد ناموا، دخل الضارب معه المصباح الكاشف ومسدّسه، غرفةَ النوم الخاصة بالأستاذ. وكانت زوجة الأستاذ قلقة كثيرا تلك الليلة لا تستطيع النوم، وحينما رأت الوارد ظنت أنه ابنه علي فنادت: علي</w:t>
      </w:r>
      <w:r w:rsidRPr="00963823">
        <w:rPr>
          <w:rFonts w:cs="mylotus" w:hint="cs"/>
          <w:szCs w:val="27"/>
        </w:rPr>
        <w:t>!</w:t>
      </w:r>
    </w:p>
    <w:p w:rsidR="00963823" w:rsidRPr="00B45B50" w:rsidRDefault="00963823" w:rsidP="00B45B50">
      <w:pPr>
        <w:widowControl w:val="0"/>
        <w:spacing w:after="40" w:line="226" w:lineRule="auto"/>
        <w:ind w:left="624"/>
        <w:jc w:val="both"/>
        <w:rPr>
          <w:rFonts w:cs="mylotus"/>
          <w:spacing w:val="-2"/>
          <w:szCs w:val="27"/>
        </w:rPr>
      </w:pPr>
      <w:r w:rsidRPr="00B45B50">
        <w:rPr>
          <w:rFonts w:cs="mylotus" w:hint="cs"/>
          <w:spacing w:val="-2"/>
          <w:szCs w:val="27"/>
          <w:rtl/>
        </w:rPr>
        <w:t>وخاف القاتل وأطلق النار بسرعة على الأستاذ وفرّ من البيت، وكانت زوجة الأستاذ تصرخ ولا تستطيع أن تتكلم من شدّة الفزع. وكذا الأولاد بعدما سمعوا صوت الطلقة النارية كانوا يصرخون ويقولون: قتلوا الحاجَ السيد، واجتمع أهالي القرية ونقلوا الأستاذ من القرية إلى مدينة قم وأدخلوه في مستشفى «كامكار». وبعد أيام جاء شابٌّ ومن ظاهره أنه كان من طلبة العلم وسأل عن الأستاذ، وتابعه ابن الأستاذ «قلمداران» فرأى أنه دخل إحدى الحوزات العلمية في محلة «يخجال قاضي» في مدينة قم</w:t>
      </w:r>
      <w:r w:rsidRPr="00B45B50">
        <w:rPr>
          <w:rFonts w:cs="mylotus" w:hint="cs"/>
          <w:spacing w:val="-2"/>
          <w:szCs w:val="27"/>
        </w:rPr>
        <w:t>.</w:t>
      </w:r>
    </w:p>
    <w:p w:rsidR="00963823" w:rsidRPr="00B7173B" w:rsidRDefault="00963823" w:rsidP="00B7173B">
      <w:pPr>
        <w:widowControl w:val="0"/>
        <w:spacing w:after="40" w:line="226" w:lineRule="auto"/>
        <w:ind w:left="624" w:hanging="340"/>
        <w:jc w:val="both"/>
        <w:rPr>
          <w:rFonts w:cs="mylotus"/>
          <w:szCs w:val="27"/>
        </w:rPr>
      </w:pPr>
      <w:r w:rsidRPr="00B7173B">
        <w:rPr>
          <w:rFonts w:cs="mylotus" w:hint="cs"/>
          <w:szCs w:val="27"/>
          <w:rtl/>
        </w:rPr>
        <w:t>2- والحادثة المؤلمة الأخرى التي أثرت على حياة الأستاذ هي وفاة أحد أبناءه في سنة 1360ش/1399ه</w:t>
      </w:r>
      <w:r w:rsidRPr="00B7173B">
        <w:rPr>
          <w:rFonts w:ascii="mylotus" w:hAnsi="mylotus" w:cs="mylotus"/>
          <w:szCs w:val="27"/>
          <w:rtl/>
        </w:rPr>
        <w:t>‍</w:t>
      </w:r>
      <w:r w:rsidRPr="00B7173B">
        <w:rPr>
          <w:rFonts w:cs="mylotus" w:hint="cs"/>
          <w:szCs w:val="27"/>
          <w:rtl/>
        </w:rPr>
        <w:t xml:space="preserve">، وتألم الأستاذ كثيراً بسبب هذا الحادثة المؤسفة، حتى أدى ذلك </w:t>
      </w:r>
      <w:r w:rsidRPr="00B7173B">
        <w:rPr>
          <w:rFonts w:cs="mylotus" w:hint="cs"/>
          <w:szCs w:val="27"/>
          <w:rtl/>
        </w:rPr>
        <w:lastRenderedPageBreak/>
        <w:t>إلى إصابته بجلطة دماغية، ولم يستطع أن يستمر في التأليف ولكنه لم يترك القراءة إلى حد الإمكان</w:t>
      </w:r>
      <w:r w:rsidRPr="00B7173B">
        <w:rPr>
          <w:rFonts w:cs="mylotus" w:hint="cs"/>
          <w:szCs w:val="27"/>
        </w:rPr>
        <w:t>.</w:t>
      </w:r>
    </w:p>
    <w:p w:rsidR="00963823" w:rsidRPr="00963823" w:rsidRDefault="00963823" w:rsidP="00B45B50">
      <w:pPr>
        <w:widowControl w:val="0"/>
        <w:spacing w:after="40" w:line="226" w:lineRule="auto"/>
        <w:ind w:left="624" w:hanging="340"/>
        <w:jc w:val="both"/>
        <w:rPr>
          <w:rFonts w:cs="mylotus"/>
          <w:szCs w:val="27"/>
        </w:rPr>
      </w:pPr>
      <w:r w:rsidRPr="00963823">
        <w:rPr>
          <w:rFonts w:cs="mylotus" w:hint="cs"/>
          <w:szCs w:val="27"/>
          <w:rtl/>
        </w:rPr>
        <w:t xml:space="preserve">3- الحادثة المؤسفة الأخرى في حياة السيد «قلمداران» هي سجنه في سجن «ساحل» قم. </w:t>
      </w:r>
    </w:p>
    <w:p w:rsidR="00963823" w:rsidRPr="00B45B50" w:rsidRDefault="00963823" w:rsidP="00B45B50">
      <w:pPr>
        <w:widowControl w:val="0"/>
        <w:spacing w:after="40" w:line="226" w:lineRule="auto"/>
        <w:ind w:left="624"/>
        <w:jc w:val="both"/>
        <w:rPr>
          <w:rFonts w:cs="mylotus"/>
          <w:spacing w:val="-4"/>
          <w:szCs w:val="27"/>
        </w:rPr>
      </w:pPr>
      <w:r w:rsidRPr="00B45B50">
        <w:rPr>
          <w:rFonts w:cs="mylotus" w:hint="cs"/>
          <w:spacing w:val="-4"/>
          <w:szCs w:val="27"/>
          <w:rtl/>
        </w:rPr>
        <w:t>ذكر الأستاذ هذه الواقعة وقال: كنت في أحد الأيام مستلقياً على سرير المستشفى إثر السكتتين اللتين أصبت بهما، فجاء رجلان من قبل محكمة الثورة واعتقلاني بتهمة معارضة الثورة، وظفرا ببعض كتبي ونقلاني إلى السجن، وحتى أنهما لم يسمحا لي بأخذ الأدوية التي كنت أحتاج إليها، وكنت في ذاك الوقت مصابا بأمراض خطيرة وحتى أنني لم أستطع أن أسيطر على بولي، وكنت أحمل الجهاز الخاص للمواقع الضرورية. وفي السجن لم يكن معي إلا بطانية صغيرة، وكان زجاج الغرفة مكسوراً، وعانيت حتى الفجر من البرد القارص. و لم أستطِع أن أتناول طعام العَشاء؛ لأن بقية المسجونين نهبوا الطعام. ناولني فقط أحد المسجونين بقية طعامه. ولما رأيت الوضع في السجن نويت الصيام من فجر اليوم التالي</w:t>
      </w:r>
      <w:r w:rsidRPr="00B45B50">
        <w:rPr>
          <w:rFonts w:cs="mylotus" w:hint="cs"/>
          <w:spacing w:val="-4"/>
          <w:szCs w:val="27"/>
        </w:rPr>
        <w:t>.</w:t>
      </w:r>
    </w:p>
    <w:p w:rsidR="00963823" w:rsidRPr="00963823" w:rsidRDefault="00963823" w:rsidP="00B45B50">
      <w:pPr>
        <w:widowControl w:val="0"/>
        <w:spacing w:after="40" w:line="226" w:lineRule="auto"/>
        <w:ind w:left="624"/>
        <w:jc w:val="both"/>
        <w:rPr>
          <w:rFonts w:cs="mylotus"/>
          <w:szCs w:val="27"/>
        </w:rPr>
      </w:pPr>
      <w:r w:rsidRPr="00963823">
        <w:rPr>
          <w:rFonts w:cs="mylotus" w:hint="cs"/>
          <w:szCs w:val="27"/>
          <w:rtl/>
        </w:rPr>
        <w:t>وذهب أولادي إلى بيت آية الله المنتظري وكان آنذاك نائبا عن الخميني (وجديرٌ بالذكر أنه كان بين آية الله المنتظري وبين الأستاذ «قلمداران» معرفة قديمة وكان الأستاذ يقول: أن آية الله المنتظري كان يدرّس كتابي «الحكومة في الإسلام» في نجف آباد إصبهان)، وفي الصباح رأيت أن بعض حرس الثورة دخلوا السجن مضطربين وقدَّموا الاعتذار وأخرجوني من السجن واتصلوا بأبنائي كي يحضروا لي بعض الألبسة، ثم رهنوا وثيقة استملاك البيت وأطلقوني</w:t>
      </w:r>
      <w:r w:rsidRPr="00963823">
        <w:rPr>
          <w:rFonts w:cs="mylotus" w:hint="cs"/>
          <w:szCs w:val="27"/>
        </w:rPr>
        <w:t>.</w:t>
      </w:r>
    </w:p>
    <w:p w:rsidR="00963823" w:rsidRPr="00963823" w:rsidRDefault="00963823" w:rsidP="00747993">
      <w:pPr>
        <w:widowControl w:val="0"/>
        <w:spacing w:after="40" w:line="226" w:lineRule="auto"/>
        <w:ind w:left="624"/>
        <w:jc w:val="both"/>
        <w:rPr>
          <w:rFonts w:cs="mylotus"/>
          <w:szCs w:val="27"/>
        </w:rPr>
      </w:pPr>
      <w:r w:rsidRPr="00963823">
        <w:rPr>
          <w:rFonts w:cs="mylotus" w:hint="cs"/>
          <w:szCs w:val="27"/>
          <w:rtl/>
        </w:rPr>
        <w:t>الآن تصوروا لو</w:t>
      </w:r>
      <w:r w:rsidR="00747993">
        <w:rPr>
          <w:rFonts w:cs="mylotus" w:hint="cs"/>
          <w:szCs w:val="27"/>
          <w:rtl/>
        </w:rPr>
        <w:t xml:space="preserve"> </w:t>
      </w:r>
      <w:r w:rsidRPr="00963823">
        <w:rPr>
          <w:rFonts w:cs="mylotus" w:hint="cs"/>
          <w:szCs w:val="27"/>
          <w:rtl/>
        </w:rPr>
        <w:t xml:space="preserve">لا فضل الله، </w:t>
      </w:r>
      <w:r w:rsidR="00747993">
        <w:rPr>
          <w:rFonts w:cs="mylotus" w:hint="cs"/>
          <w:szCs w:val="27"/>
          <w:rtl/>
        </w:rPr>
        <w:t xml:space="preserve">ثم </w:t>
      </w:r>
      <w:r w:rsidRPr="00963823">
        <w:rPr>
          <w:rFonts w:cs="mylotus" w:hint="cs"/>
          <w:szCs w:val="27"/>
          <w:rtl/>
        </w:rPr>
        <w:t>لو لم تكن هناك علاقات ودية بين الأستاذ وبين آية الله المنتظري كيف كانت الثورة وحرسها سيتعاملون معه؟!</w:t>
      </w:r>
    </w:p>
    <w:p w:rsidR="00963823" w:rsidRPr="00963823" w:rsidRDefault="00963823" w:rsidP="00747993">
      <w:pPr>
        <w:widowControl w:val="0"/>
        <w:spacing w:after="40" w:line="226" w:lineRule="auto"/>
        <w:ind w:left="624"/>
        <w:jc w:val="both"/>
        <w:rPr>
          <w:rFonts w:cs="mylotus" w:hint="cs"/>
          <w:szCs w:val="27"/>
          <w:rtl/>
        </w:rPr>
      </w:pPr>
      <w:r w:rsidRPr="00963823">
        <w:rPr>
          <w:rFonts w:cs="mylotus" w:hint="cs"/>
          <w:szCs w:val="27"/>
          <w:rtl/>
        </w:rPr>
        <w:t>وجديرٌ بالذكر أن إدارة الثقافة في قم أقامت معرضا باسم «مجاهدتها</w:t>
      </w:r>
      <w:r w:rsidR="00747993">
        <w:rPr>
          <w:rFonts w:cs="mylotus" w:hint="cs"/>
          <w:szCs w:val="27"/>
          <w:rtl/>
        </w:rPr>
        <w:t>ی</w:t>
      </w:r>
      <w:r w:rsidRPr="00963823">
        <w:rPr>
          <w:rFonts w:cs="mylotus" w:hint="cs"/>
          <w:szCs w:val="27"/>
          <w:rtl/>
        </w:rPr>
        <w:t xml:space="preserve"> خاموش = المجاهدات الصامتة» في هذه المدينة ووضعوا بعض كتب الأستاذ على مرأى الناس كأن هذه الكتب تحمل الأفكار والعقائد الانحرافية، كما أنهم وضعوا بعض الوثائق والمستندات ضد آية الله المنتظري في هذا المعرض أيضا</w:t>
      </w:r>
      <w:r w:rsidRPr="00963823">
        <w:rPr>
          <w:rFonts w:cs="mylotus" w:hint="cs"/>
          <w:szCs w:val="27"/>
          <w:rtl/>
          <w:lang w:bidi="ar-SY"/>
        </w:rPr>
        <w:t>ً</w:t>
      </w:r>
      <w:r w:rsidRPr="00963823">
        <w:rPr>
          <w:rFonts w:cs="mylotus" w:hint="cs"/>
          <w:szCs w:val="27"/>
        </w:rPr>
        <w:t>.</w:t>
      </w:r>
    </w:p>
    <w:p w:rsidR="00963823" w:rsidRPr="00963823" w:rsidRDefault="00963823" w:rsidP="009D15B8">
      <w:pPr>
        <w:pStyle w:val="a5"/>
      </w:pPr>
      <w:bookmarkStart w:id="59" w:name="_Toc377068751"/>
      <w:bookmarkStart w:id="60" w:name="_Toc387843045"/>
      <w:r w:rsidRPr="00963823">
        <w:rPr>
          <w:rFonts w:hint="cs"/>
        </w:rPr>
        <w:lastRenderedPageBreak/>
        <w:sym w:font="AGA Arabesque" w:char="F02A"/>
      </w:r>
      <w:r w:rsidRPr="00963823">
        <w:rPr>
          <w:rFonts w:hint="cs"/>
          <w:rtl/>
        </w:rPr>
        <w:t xml:space="preserve"> الخلق الرفيع عند الأستاذ «قلمداران» وحرّيته</w:t>
      </w:r>
      <w:bookmarkEnd w:id="59"/>
      <w:bookmarkEnd w:id="60"/>
    </w:p>
    <w:p w:rsidR="00963823" w:rsidRPr="00B45B50" w:rsidRDefault="00963823" w:rsidP="00B7173B">
      <w:pPr>
        <w:widowControl w:val="0"/>
        <w:spacing w:after="40" w:line="226" w:lineRule="auto"/>
        <w:ind w:firstLine="284"/>
        <w:jc w:val="both"/>
        <w:rPr>
          <w:rFonts w:cs="mylotus"/>
          <w:spacing w:val="-4"/>
          <w:szCs w:val="27"/>
        </w:rPr>
      </w:pPr>
      <w:r w:rsidRPr="00B45B50">
        <w:rPr>
          <w:rFonts w:cs="mylotus" w:hint="cs"/>
          <w:spacing w:val="-4"/>
          <w:szCs w:val="27"/>
          <w:rtl/>
        </w:rPr>
        <w:t>كان رحمه الله طوال حياته رجلاً صادقاً، عفيفاً، صادق الوعد، عابداً، زاهداً، شجاعاً، سخياً وصريحاً. وجميع من كان لهم صلة بالأستاذ كانوا يبجلونه ويعرفون عنه أنه رجل عظيم، بسيط العيش، بعيد عن الرياء والتكلفات الاجتماعية وغير معتنٍ بالطعام واللباس؛ كأنه اقتدى بالأخلاق الحسنة بأكابر الدين الحنيف، وكانت حياته تشبه حياة السلف وقائدي الأمة الإسلامية</w:t>
      </w:r>
      <w:r w:rsidRPr="00B45B50">
        <w:rPr>
          <w:rFonts w:cs="mylotus" w:hint="cs"/>
          <w:spacing w:val="-4"/>
          <w:szCs w:val="27"/>
        </w:rPr>
        <w:t>.</w:t>
      </w:r>
    </w:p>
    <w:p w:rsidR="00963823" w:rsidRPr="00963823" w:rsidRDefault="00963823" w:rsidP="00B7173B">
      <w:pPr>
        <w:widowControl w:val="0"/>
        <w:spacing w:after="40" w:line="226" w:lineRule="auto"/>
        <w:ind w:firstLine="284"/>
        <w:jc w:val="both"/>
        <w:rPr>
          <w:rFonts w:cs="mylotus"/>
          <w:szCs w:val="27"/>
        </w:rPr>
      </w:pPr>
      <w:r w:rsidRPr="00963823">
        <w:rPr>
          <w:rFonts w:cs="mylotus" w:hint="cs"/>
          <w:szCs w:val="27"/>
          <w:rtl/>
        </w:rPr>
        <w:t>ومع أنه كان رجلاً قد طبَّقَت شُهرتُه الآفاق وكان باستطاعته أن يقفز إلى المدارج الحكومية الرفيعة ويوفر لنفسه ولأسرته حياةً مرفهةً، إلى أن زهده في الدنيا منعه من أن يضحي بالعلم والتقوى في سبيل التقية والخرافات والأباطيل المروّجة في البيئة الإيرانية؛ بل وقف مع الحق صامدا ًورفض المتع المادية الحقيرة. فما أسعده</w:t>
      </w:r>
      <w:r w:rsidRPr="00963823">
        <w:rPr>
          <w:rFonts w:cs="mylotus" w:hint="cs"/>
          <w:szCs w:val="27"/>
        </w:rPr>
        <w:t>!</w:t>
      </w:r>
    </w:p>
    <w:p w:rsidR="00963823" w:rsidRPr="00963823" w:rsidRDefault="00963823" w:rsidP="00B7173B">
      <w:pPr>
        <w:pStyle w:val="a5"/>
        <w:spacing w:after="40" w:line="226" w:lineRule="auto"/>
      </w:pPr>
      <w:bookmarkStart w:id="61" w:name="_Toc377068752"/>
      <w:bookmarkStart w:id="62" w:name="_Toc387843046"/>
      <w:r w:rsidRPr="00963823">
        <w:rPr>
          <w:rFonts w:hint="cs"/>
        </w:rPr>
        <w:sym w:font="AGA Arabesque" w:char="F02A"/>
      </w:r>
      <w:r w:rsidRPr="00963823">
        <w:rPr>
          <w:rFonts w:hint="cs"/>
          <w:rtl/>
        </w:rPr>
        <w:t xml:space="preserve"> الآثار العلمية وتأليفات الأستاذ «قلمداران»</w:t>
      </w:r>
      <w:bookmarkEnd w:id="61"/>
      <w:bookmarkEnd w:id="62"/>
    </w:p>
    <w:p w:rsidR="00963823" w:rsidRPr="00963823" w:rsidRDefault="00963823" w:rsidP="00B7173B">
      <w:pPr>
        <w:widowControl w:val="0"/>
        <w:spacing w:after="40" w:line="226" w:lineRule="auto"/>
        <w:ind w:firstLine="284"/>
        <w:jc w:val="both"/>
        <w:rPr>
          <w:rFonts w:cs="mylotus"/>
          <w:szCs w:val="27"/>
        </w:rPr>
      </w:pPr>
      <w:r w:rsidRPr="00963823">
        <w:rPr>
          <w:rFonts w:cs="mylotus" w:hint="cs"/>
          <w:szCs w:val="27"/>
          <w:rtl/>
        </w:rPr>
        <w:t>إضافة إلى المقالات والبحوث التي كان الأستاذ يكتبها في الجرائد والمجلات المختلفة، ترك لنا أيضا ثروة ثمينة من الكتب؛ ألف بعضها وترجم البعض الآخر من العربية إلى الفارسية، وكلها كتب نفيسة، منها</w:t>
      </w:r>
      <w:r w:rsidRPr="00963823">
        <w:rPr>
          <w:rFonts w:cs="mylotus" w:hint="cs"/>
          <w:szCs w:val="27"/>
        </w:rPr>
        <w:t>:</w:t>
      </w:r>
    </w:p>
    <w:p w:rsidR="00963823" w:rsidRPr="00963823" w:rsidRDefault="00963823" w:rsidP="00B7173B">
      <w:pPr>
        <w:widowControl w:val="0"/>
        <w:spacing w:after="40" w:line="226" w:lineRule="auto"/>
        <w:ind w:left="681" w:hanging="397"/>
        <w:jc w:val="both"/>
        <w:rPr>
          <w:rFonts w:cs="mylotus"/>
          <w:szCs w:val="27"/>
        </w:rPr>
      </w:pPr>
      <w:r w:rsidRPr="00963823">
        <w:rPr>
          <w:rFonts w:cs="mylotus" w:hint="cs"/>
          <w:szCs w:val="27"/>
          <w:rtl/>
        </w:rPr>
        <w:t>1- ترجمة كتاب «المعارف المحمدية» وهذا الكتاب من آثار العلامة الخالصي، وقد ترجم وطبع قبل سنة 1335 ه</w:t>
      </w:r>
      <w:r w:rsidRPr="00963823">
        <w:rPr>
          <w:rFonts w:ascii="mylotus" w:hAnsi="mylotus" w:cs="mylotus"/>
          <w:szCs w:val="27"/>
          <w:rtl/>
        </w:rPr>
        <w:t>‍</w:t>
      </w:r>
      <w:r w:rsidRPr="00963823">
        <w:rPr>
          <w:rFonts w:cs="mylotus" w:hint="cs"/>
          <w:szCs w:val="27"/>
          <w:rtl/>
        </w:rPr>
        <w:t>. ش. حسب التقويم الإيراني (يطابق سنة 1956م)</w:t>
      </w:r>
      <w:r w:rsidRPr="00963823">
        <w:rPr>
          <w:rFonts w:cs="mylotus" w:hint="cs"/>
          <w:szCs w:val="27"/>
        </w:rPr>
        <w:t>.</w:t>
      </w:r>
    </w:p>
    <w:p w:rsidR="00963823" w:rsidRPr="00B45B50" w:rsidRDefault="00963823" w:rsidP="00B7173B">
      <w:pPr>
        <w:widowControl w:val="0"/>
        <w:spacing w:after="40" w:line="226" w:lineRule="auto"/>
        <w:ind w:left="681" w:hanging="397"/>
        <w:jc w:val="both"/>
        <w:rPr>
          <w:rFonts w:cs="mylotus"/>
          <w:spacing w:val="-2"/>
          <w:szCs w:val="27"/>
        </w:rPr>
      </w:pPr>
      <w:r w:rsidRPr="00B45B50">
        <w:rPr>
          <w:rFonts w:cs="mylotus" w:hint="cs"/>
          <w:spacing w:val="-2"/>
          <w:szCs w:val="27"/>
          <w:rtl/>
        </w:rPr>
        <w:t>2- ترجمة كتاب «إحياء الشريعة» تأليف العلامة الخالصي، وكان كرسالة يوضح فيها العلامة الخالصي بعض المسائل الفقهية، وترجمه الأستاذ بعنوان: «آئين جاويدان» وطبعه</w:t>
      </w:r>
      <w:r w:rsidRPr="00B45B50">
        <w:rPr>
          <w:rFonts w:cs="mylotus" w:hint="cs"/>
          <w:spacing w:val="-2"/>
          <w:szCs w:val="27"/>
        </w:rPr>
        <w:t>.</w:t>
      </w:r>
    </w:p>
    <w:p w:rsidR="00963823" w:rsidRPr="00963823" w:rsidRDefault="00963823" w:rsidP="00B7173B">
      <w:pPr>
        <w:widowControl w:val="0"/>
        <w:spacing w:after="40" w:line="226" w:lineRule="auto"/>
        <w:ind w:left="681" w:hanging="397"/>
        <w:jc w:val="both"/>
        <w:rPr>
          <w:rFonts w:cs="mylotus"/>
          <w:szCs w:val="27"/>
        </w:rPr>
      </w:pPr>
      <w:r w:rsidRPr="00963823">
        <w:rPr>
          <w:rFonts w:cs="mylotus" w:hint="cs"/>
          <w:szCs w:val="27"/>
          <w:rtl/>
          <w:lang w:bidi="ar-SY"/>
        </w:rPr>
        <w:t>3- «</w:t>
      </w:r>
      <w:r w:rsidRPr="00963823">
        <w:rPr>
          <w:rFonts w:cs="mylotus" w:hint="cs"/>
          <w:szCs w:val="27"/>
          <w:rtl/>
        </w:rPr>
        <w:t>آيين دين يا أحكام اسلام» ترجمة كتاب «الإسلام سبيل السعادة والسلام» وهذا الكتاب أيضا من مؤلفات العلامة الخالصي، وترجمه الأستاذ «قلمداران» وطبعه في سنة 1376ه</w:t>
      </w:r>
      <w:r w:rsidRPr="00963823">
        <w:rPr>
          <w:rFonts w:ascii="mylotus" w:hAnsi="mylotus" w:cs="mylotus"/>
          <w:szCs w:val="27"/>
          <w:rtl/>
        </w:rPr>
        <w:t>‍</w:t>
      </w:r>
      <w:r w:rsidRPr="00963823">
        <w:rPr>
          <w:rFonts w:ascii="mylotus" w:hAnsi="mylotus" w:cs="mylotus" w:hint="cs"/>
          <w:szCs w:val="27"/>
          <w:rtl/>
        </w:rPr>
        <w:t>.</w:t>
      </w:r>
    </w:p>
    <w:p w:rsidR="00963823" w:rsidRPr="00963823" w:rsidRDefault="00963823" w:rsidP="00B7173B">
      <w:pPr>
        <w:widowControl w:val="0"/>
        <w:spacing w:after="40" w:line="226" w:lineRule="auto"/>
        <w:ind w:left="681" w:hanging="397"/>
        <w:jc w:val="both"/>
        <w:rPr>
          <w:rFonts w:cs="mylotus"/>
          <w:szCs w:val="27"/>
        </w:rPr>
      </w:pPr>
      <w:r w:rsidRPr="00963823">
        <w:rPr>
          <w:rFonts w:cs="mylotus" w:hint="cs"/>
          <w:szCs w:val="27"/>
          <w:rtl/>
        </w:rPr>
        <w:t>4- تأليف كتاب «أرمغان آسمان = بشرى السماء» المشهور في سنة 1961م. وهذا الكتاب قد نشره من قَبل ضمن سلسلة مقالات في جريدة «الوظيفة».</w:t>
      </w:r>
    </w:p>
    <w:p w:rsidR="00963823" w:rsidRPr="00963823" w:rsidRDefault="00963823" w:rsidP="00B7173B">
      <w:pPr>
        <w:widowControl w:val="0"/>
        <w:spacing w:after="40" w:line="226" w:lineRule="auto"/>
        <w:ind w:left="681" w:hanging="397"/>
        <w:jc w:val="both"/>
        <w:rPr>
          <w:rFonts w:cs="mylotus"/>
          <w:szCs w:val="27"/>
        </w:rPr>
      </w:pPr>
      <w:r w:rsidRPr="00963823">
        <w:rPr>
          <w:rFonts w:cs="mylotus" w:hint="cs"/>
          <w:szCs w:val="27"/>
          <w:rtl/>
        </w:rPr>
        <w:t xml:space="preserve">5- «ارمغان إلهي» في إثبات وجوب صلاة الجمعة، وهذا الكتاب ترجمة لكتاب «الجمعة» </w:t>
      </w:r>
      <w:r w:rsidRPr="00963823">
        <w:rPr>
          <w:rFonts w:cs="mylotus" w:hint="cs"/>
          <w:szCs w:val="27"/>
          <w:rtl/>
        </w:rPr>
        <w:lastRenderedPageBreak/>
        <w:t>تأليف العلامة الخالصي</w:t>
      </w:r>
      <w:r w:rsidRPr="00963823">
        <w:rPr>
          <w:rFonts w:cs="mylotus" w:hint="cs"/>
          <w:szCs w:val="27"/>
        </w:rPr>
        <w:t>.</w:t>
      </w:r>
    </w:p>
    <w:p w:rsidR="00963823" w:rsidRPr="00963823" w:rsidRDefault="00963823" w:rsidP="00963823">
      <w:pPr>
        <w:widowControl w:val="0"/>
        <w:spacing w:after="60" w:line="228" w:lineRule="auto"/>
        <w:ind w:left="681" w:hanging="397"/>
        <w:jc w:val="both"/>
        <w:rPr>
          <w:rFonts w:cs="mylotus"/>
          <w:szCs w:val="27"/>
        </w:rPr>
      </w:pPr>
      <w:r w:rsidRPr="00963823">
        <w:rPr>
          <w:rFonts w:cs="mylotus" w:hint="cs"/>
          <w:szCs w:val="27"/>
          <w:rtl/>
        </w:rPr>
        <w:t>6- رسالة في الحج أو المؤتمر الإسلامي العظيم في سنة 1362ه</w:t>
      </w:r>
      <w:r w:rsidRPr="00963823">
        <w:rPr>
          <w:rFonts w:ascii="mylotus" w:hAnsi="mylotus" w:cs="mylotus"/>
          <w:szCs w:val="27"/>
          <w:rtl/>
        </w:rPr>
        <w:t>‍</w:t>
      </w:r>
      <w:r w:rsidRPr="00963823">
        <w:rPr>
          <w:rFonts w:cs="mylotus" w:hint="cs"/>
          <w:szCs w:val="27"/>
        </w:rPr>
        <w:t>.</w:t>
      </w:r>
    </w:p>
    <w:p w:rsidR="00963823" w:rsidRPr="00963823" w:rsidRDefault="00963823" w:rsidP="00963823">
      <w:pPr>
        <w:widowControl w:val="0"/>
        <w:spacing w:after="60" w:line="228" w:lineRule="auto"/>
        <w:ind w:left="681" w:hanging="397"/>
        <w:jc w:val="both"/>
        <w:rPr>
          <w:rFonts w:cs="mylotus"/>
          <w:szCs w:val="27"/>
        </w:rPr>
      </w:pPr>
      <w:r w:rsidRPr="00963823">
        <w:rPr>
          <w:rFonts w:cs="mylotus" w:hint="cs"/>
          <w:szCs w:val="27"/>
          <w:rtl/>
        </w:rPr>
        <w:t>7- رسالة «الاستملاك في إيران من وجهة النظر الإسلامي»، وهذا الكتاب مخطوط بخطه ولم يطبع إلى الآن</w:t>
      </w:r>
      <w:r w:rsidRPr="00963823">
        <w:rPr>
          <w:rFonts w:cs="mylotus" w:hint="cs"/>
          <w:szCs w:val="27"/>
        </w:rPr>
        <w:t>.</w:t>
      </w:r>
    </w:p>
    <w:p w:rsidR="00963823" w:rsidRPr="00963823" w:rsidRDefault="00963823" w:rsidP="00963823">
      <w:pPr>
        <w:widowControl w:val="0"/>
        <w:spacing w:after="60" w:line="228" w:lineRule="auto"/>
        <w:ind w:left="681" w:hanging="397"/>
        <w:jc w:val="both"/>
        <w:rPr>
          <w:rFonts w:cs="mylotus"/>
          <w:szCs w:val="27"/>
        </w:rPr>
      </w:pPr>
      <w:r w:rsidRPr="00963823">
        <w:rPr>
          <w:rFonts w:cs="mylotus" w:hint="cs"/>
          <w:szCs w:val="27"/>
          <w:rtl/>
        </w:rPr>
        <w:t xml:space="preserve">8- قيام الإمام الحسين </w:t>
      </w:r>
      <w:r w:rsidR="003C7AEB" w:rsidRPr="003C7AEB">
        <w:rPr>
          <w:rFonts w:cs="CTraditional Arabic" w:hint="cs"/>
          <w:szCs w:val="27"/>
          <w:rtl/>
        </w:rPr>
        <w:t>÷</w:t>
      </w:r>
      <w:r w:rsidRPr="00963823">
        <w:rPr>
          <w:rFonts w:cs="mylotus" w:hint="cs"/>
          <w:szCs w:val="27"/>
        </w:rPr>
        <w:t>.</w:t>
      </w:r>
    </w:p>
    <w:p w:rsidR="00963823" w:rsidRPr="00963823" w:rsidRDefault="00963823" w:rsidP="00963823">
      <w:pPr>
        <w:widowControl w:val="0"/>
        <w:spacing w:line="228" w:lineRule="auto"/>
        <w:ind w:left="681" w:hanging="397"/>
        <w:jc w:val="both"/>
        <w:rPr>
          <w:rFonts w:cs="mylotus"/>
          <w:szCs w:val="27"/>
        </w:rPr>
      </w:pPr>
      <w:r w:rsidRPr="00963823">
        <w:rPr>
          <w:rFonts w:cs="mylotus" w:hint="cs"/>
          <w:szCs w:val="27"/>
          <w:rtl/>
        </w:rPr>
        <w:t>9- تأليف المجلد الأول من كتاب نفيس باسم «حكومت در اسلام = الحكومة في الإسلام» ودرس أهمية الحكومة وكيفية تأسيسها في ضمن 68 مبحثا، ولم يكتب مثله مِن قبل في إيران، بل وإلى الآن ليس لهذا الكتاب نظير في المحافل العلمية في إيران</w:t>
      </w:r>
      <w:r w:rsidRPr="00963823">
        <w:rPr>
          <w:rFonts w:cs="mylotus" w:hint="cs"/>
          <w:szCs w:val="27"/>
        </w:rPr>
        <w:t>.</w:t>
      </w:r>
    </w:p>
    <w:p w:rsidR="00963823" w:rsidRPr="00963823" w:rsidRDefault="00963823" w:rsidP="00963823">
      <w:pPr>
        <w:widowControl w:val="0"/>
        <w:spacing w:line="228" w:lineRule="auto"/>
        <w:ind w:left="681"/>
        <w:jc w:val="both"/>
        <w:rPr>
          <w:rFonts w:cs="mylotus"/>
          <w:szCs w:val="27"/>
        </w:rPr>
      </w:pPr>
      <w:r w:rsidRPr="00963823">
        <w:rPr>
          <w:rFonts w:cs="mylotus" w:hint="cs"/>
          <w:szCs w:val="27"/>
          <w:rtl/>
        </w:rPr>
        <w:t>وسُمع من الأستاذ أنه قال: كان آية الله المنتظري يدرّس هذا الكتاب في نجف آباد إصبهان قبل ثورة الخميني</w:t>
      </w:r>
      <w:r w:rsidRPr="00963823">
        <w:rPr>
          <w:rFonts w:cs="mylotus" w:hint="cs"/>
          <w:szCs w:val="27"/>
        </w:rPr>
        <w:t>.</w:t>
      </w:r>
    </w:p>
    <w:p w:rsidR="00963823" w:rsidRPr="00963823" w:rsidRDefault="00963823" w:rsidP="00963823">
      <w:pPr>
        <w:widowControl w:val="0"/>
        <w:spacing w:line="228" w:lineRule="auto"/>
        <w:ind w:left="681"/>
        <w:jc w:val="both"/>
        <w:rPr>
          <w:rFonts w:cs="mylotus"/>
          <w:szCs w:val="27"/>
        </w:rPr>
      </w:pPr>
      <w:r w:rsidRPr="00963823">
        <w:rPr>
          <w:rFonts w:cs="mylotus" w:hint="cs"/>
          <w:szCs w:val="27"/>
          <w:rtl/>
        </w:rPr>
        <w:t>وبين الأستاذ السبب الدافع لتأليف هذا الكتاب وقال: رأيت في المنام ليلة الإثنين السابع والعشرين من شهر محرم سنة 1384 من الهجرة أنني مع بعض الإخوة في كربلاء، وكأنه توفي الحسين وأنا لابدّ أن أغسل جثمانه وسائر الإخوة يساعدونني في هذا المهام، فتهيأت نفسي وقصدت الوضوء قبل كل شيء. فاستيقظت من النوم. وعبّرتُ نومي بأني سأغسل وجه الإسلام من الخرافات والأوهام بتأليف هذا الكتاب والكتب الأخرى وأظهر للناس الوجه الحقيقي الساطع للإسلام. فشكرا لهذه النعمة بدأت بصلاة قيام الليل، والحمد لله</w:t>
      </w:r>
      <w:r w:rsidRPr="00963823">
        <w:rPr>
          <w:rFonts w:cs="mylotus" w:hint="cs"/>
          <w:szCs w:val="27"/>
        </w:rPr>
        <w:t>.</w:t>
      </w:r>
    </w:p>
    <w:p w:rsidR="00963823" w:rsidRPr="00963823" w:rsidRDefault="00963823" w:rsidP="00963823">
      <w:pPr>
        <w:widowControl w:val="0"/>
        <w:spacing w:after="60" w:line="228" w:lineRule="auto"/>
        <w:ind w:left="681"/>
        <w:jc w:val="both"/>
        <w:rPr>
          <w:rFonts w:cs="mylotus"/>
          <w:szCs w:val="27"/>
        </w:rPr>
      </w:pPr>
      <w:r w:rsidRPr="00963823">
        <w:rPr>
          <w:rFonts w:cs="mylotus" w:hint="cs"/>
          <w:szCs w:val="27"/>
          <w:rtl/>
        </w:rPr>
        <w:t xml:space="preserve">ثم من الغد بدأت بتأليف هذا الكتاب وكنت في قرية «ديزيجان» في العطلة الصيفية. </w:t>
      </w:r>
    </w:p>
    <w:p w:rsidR="00963823" w:rsidRPr="00963823" w:rsidRDefault="00963823" w:rsidP="00963823">
      <w:pPr>
        <w:widowControl w:val="0"/>
        <w:spacing w:after="60" w:line="228" w:lineRule="auto"/>
        <w:ind w:left="681" w:hanging="397"/>
        <w:jc w:val="both"/>
        <w:rPr>
          <w:rFonts w:cs="mylotus"/>
          <w:szCs w:val="27"/>
          <w:rtl/>
        </w:rPr>
      </w:pPr>
      <w:r w:rsidRPr="00963823">
        <w:rPr>
          <w:rFonts w:cs="mylotus" w:hint="cs"/>
          <w:szCs w:val="27"/>
          <w:rtl/>
        </w:rPr>
        <w:t>10- رسالة «هل هؤلاء مسلمون؟»، هذا الكتيب الصغير ترجمة لوصية العلامة الخالصي في المستشفي سنة 1377ه</w:t>
      </w:r>
      <w:r w:rsidRPr="00963823">
        <w:rPr>
          <w:rFonts w:ascii="mylotus" w:hAnsi="mylotus" w:cs="mylotus"/>
          <w:szCs w:val="27"/>
          <w:rtl/>
        </w:rPr>
        <w:t>‍</w:t>
      </w:r>
      <w:r w:rsidRPr="00963823">
        <w:rPr>
          <w:rFonts w:cs="mylotus" w:hint="cs"/>
          <w:szCs w:val="27"/>
          <w:rtl/>
        </w:rPr>
        <w:t xml:space="preserve"> وقد أملاه سكرتيره، ثم طبع بعنوان: «هل هم مسلمون؟» وفي ضمنه رسالة قصيرة باسم: «ايران در آتش ناداني = إيران في نار الجهل» وهي ترجمة بعض المواضع من كتاب «شر وفتنة الجهل في إيران» من مؤلفات العلامة الخالصي</w:t>
      </w:r>
      <w:r w:rsidRPr="00963823">
        <w:rPr>
          <w:rFonts w:cs="mylotus" w:hint="cs"/>
          <w:szCs w:val="27"/>
        </w:rPr>
        <w:t>.</w:t>
      </w:r>
    </w:p>
    <w:p w:rsidR="00963823" w:rsidRPr="00963823" w:rsidRDefault="00963823" w:rsidP="00963823">
      <w:pPr>
        <w:widowControl w:val="0"/>
        <w:spacing w:after="60" w:line="228" w:lineRule="auto"/>
        <w:ind w:left="681" w:hanging="397"/>
        <w:jc w:val="both"/>
        <w:rPr>
          <w:rFonts w:cs="mylotus"/>
          <w:szCs w:val="27"/>
        </w:rPr>
      </w:pPr>
      <w:r w:rsidRPr="00963823">
        <w:rPr>
          <w:rFonts w:cs="mylotus" w:hint="cs"/>
          <w:szCs w:val="27"/>
          <w:rtl/>
        </w:rPr>
        <w:lastRenderedPageBreak/>
        <w:t>11- مجموعة «راه نجات از شر غلات = طريق النجاة من شر الغلاة» في خمس مجلدات يشتمل على المباحث التالية: 1- علم الغيب، 2- الإمامة، 3- بحث في الولاية وحقيقتها (لم يطبع بعد)، 4- بحث في الشفاعة، 5- بحث في الغلو والغلاة وطبع ضمن بحث الشفاعة، 6- بحث في حقيقة الزيارة وعمارة المقابر وطبع باسم «زيارت وزيارتنامه». (طبع بالآلة الكاتبة القديمة وصورت منه 50 نسخة تقريبا و نشر بين محبي قلمداران فقط).</w:t>
      </w:r>
    </w:p>
    <w:p w:rsidR="00963823" w:rsidRPr="00963823" w:rsidRDefault="00963823" w:rsidP="00963823">
      <w:pPr>
        <w:widowControl w:val="0"/>
        <w:spacing w:after="60" w:line="228" w:lineRule="auto"/>
        <w:ind w:left="681" w:hanging="397"/>
        <w:jc w:val="both"/>
        <w:rPr>
          <w:rFonts w:cs="mylotus"/>
          <w:szCs w:val="27"/>
        </w:rPr>
      </w:pPr>
      <w:r w:rsidRPr="00963823">
        <w:rPr>
          <w:rFonts w:cs="mylotus" w:hint="cs"/>
          <w:szCs w:val="27"/>
          <w:rtl/>
        </w:rPr>
        <w:t>12- كتاب «الزكاة» وطبع بمساعدة المهندس بازركان في شركة الأسهم، ومنعت السلطة الدينية نشر هذا الكتاب إلى حين</w:t>
      </w:r>
      <w:r w:rsidRPr="00963823">
        <w:rPr>
          <w:rFonts w:cs="mylotus" w:hint="cs"/>
          <w:szCs w:val="27"/>
        </w:rPr>
        <w:t>.</w:t>
      </w:r>
    </w:p>
    <w:p w:rsidR="00963823" w:rsidRPr="00963823" w:rsidRDefault="00963823" w:rsidP="00963823">
      <w:pPr>
        <w:widowControl w:val="0"/>
        <w:spacing w:after="60" w:line="228" w:lineRule="auto"/>
        <w:ind w:left="681" w:hanging="397"/>
        <w:jc w:val="both"/>
        <w:rPr>
          <w:rFonts w:cs="mylotus"/>
          <w:szCs w:val="27"/>
        </w:rPr>
      </w:pPr>
      <w:r w:rsidRPr="00963823">
        <w:rPr>
          <w:rFonts w:cs="mylotus" w:hint="cs"/>
          <w:szCs w:val="27"/>
          <w:rtl/>
        </w:rPr>
        <w:t xml:space="preserve">13- </w:t>
      </w:r>
      <w:r w:rsidRPr="00963823">
        <w:rPr>
          <w:rFonts w:cs="mylotus" w:hint="cs"/>
          <w:szCs w:val="27"/>
        </w:rPr>
        <w:t xml:space="preserve"> </w:t>
      </w:r>
      <w:r w:rsidRPr="00963823">
        <w:rPr>
          <w:rFonts w:cs="mylotus" w:hint="cs"/>
          <w:szCs w:val="27"/>
          <w:rtl/>
        </w:rPr>
        <w:t>كتاب «الخمس» ألفه الأستاذ بعد كتاب الزكاة، ولم يطبع هذا الكتاب لأن الحوزات وعلماء الشيعة لهم حساسية خاصة حول هذا الموضوع، ونسخه بعض زملاء الأستاذ بالآلة الكاتبة في إصفهان ونشروه، وكتب آية الله «ناصر مكارم شيرازي» و «رضا استادي» وغيرهما ردودا على هذا الكتاب القيم، وأجاب الأستاذ «قلمداران» عن جميع هذا الردود وضمها إلى كتابه «الخُمْس»</w:t>
      </w:r>
      <w:r w:rsidRPr="00963823">
        <w:rPr>
          <w:rFonts w:cs="mylotus" w:hint="cs"/>
          <w:szCs w:val="27"/>
        </w:rPr>
        <w:t>.</w:t>
      </w:r>
    </w:p>
    <w:p w:rsidR="00963823" w:rsidRPr="00963823" w:rsidRDefault="00963823" w:rsidP="00963823">
      <w:pPr>
        <w:widowControl w:val="0"/>
        <w:spacing w:after="60" w:line="228" w:lineRule="auto"/>
        <w:ind w:left="681" w:hanging="397"/>
        <w:jc w:val="both"/>
        <w:rPr>
          <w:rFonts w:cs="mylotus"/>
          <w:szCs w:val="27"/>
        </w:rPr>
      </w:pPr>
      <w:r w:rsidRPr="00963823">
        <w:rPr>
          <w:rFonts w:cs="mylotus" w:hint="cs"/>
          <w:szCs w:val="27"/>
          <w:rtl/>
        </w:rPr>
        <w:t>14- كتاب «شاهراه اتحاد = طريق الإتحاد»، ومن المعلوم أن الشيعة تشتعل بسرعة عند سماع مسألة الإمامة. وهذا الكتاب اشتمل على مباحث الإمامة والوقائع بعد رحلة الرسول</w:t>
      </w:r>
      <w:r w:rsidRPr="00963823">
        <w:rPr>
          <w:rFonts w:ascii="Abo-thar" w:hAnsi="Abo-thar" w:cs="mylotus"/>
          <w:sz w:val="30"/>
          <w:szCs w:val="30"/>
          <w:lang w:bidi="fa-IR"/>
        </w:rPr>
        <w:t></w:t>
      </w:r>
      <w:r w:rsidRPr="00963823">
        <w:rPr>
          <w:rFonts w:cs="mylotus" w:hint="cs"/>
          <w:szCs w:val="27"/>
          <w:rtl/>
        </w:rPr>
        <w:t>، واجتماع الصحابة في سقيفة بني</w:t>
      </w:r>
      <w:r w:rsidRPr="00963823">
        <w:rPr>
          <w:rFonts w:cs="Times New Roman" w:hint="cs"/>
          <w:szCs w:val="27"/>
          <w:rtl/>
        </w:rPr>
        <w:t>‌</w:t>
      </w:r>
      <w:r w:rsidRPr="00963823">
        <w:rPr>
          <w:rFonts w:ascii="mylotus" w:hAnsi="mylotus" w:cs="mylotus" w:hint="cs"/>
          <w:szCs w:val="27"/>
          <w:rtl/>
        </w:rPr>
        <w:t>ساعدة،</w:t>
      </w:r>
      <w:r w:rsidRPr="00963823">
        <w:rPr>
          <w:rFonts w:cs="mylotus" w:hint="cs"/>
          <w:szCs w:val="27"/>
          <w:rtl/>
        </w:rPr>
        <w:t xml:space="preserve"> </w:t>
      </w:r>
      <w:r w:rsidRPr="00963823">
        <w:rPr>
          <w:rFonts w:ascii="mylotus" w:hAnsi="mylotus" w:cs="mylotus" w:hint="cs"/>
          <w:szCs w:val="27"/>
          <w:rtl/>
        </w:rPr>
        <w:t>وموضوع</w:t>
      </w:r>
      <w:r w:rsidRPr="00963823">
        <w:rPr>
          <w:rFonts w:cs="mylotus" w:hint="cs"/>
          <w:szCs w:val="27"/>
          <w:rtl/>
        </w:rPr>
        <w:t xml:space="preserve"> </w:t>
      </w:r>
      <w:r w:rsidRPr="00963823">
        <w:rPr>
          <w:rFonts w:ascii="mylotus" w:hAnsi="mylotus" w:cs="mylotus" w:hint="cs"/>
          <w:szCs w:val="27"/>
          <w:rtl/>
        </w:rPr>
        <w:t>الخلافة</w:t>
      </w:r>
      <w:r w:rsidRPr="00963823">
        <w:rPr>
          <w:rFonts w:cs="mylotus" w:hint="cs"/>
          <w:szCs w:val="27"/>
          <w:rtl/>
        </w:rPr>
        <w:t xml:space="preserve"> </w:t>
      </w:r>
      <w:r w:rsidRPr="00963823">
        <w:rPr>
          <w:rFonts w:ascii="mylotus" w:hAnsi="mylotus" w:cs="mylotus" w:hint="cs"/>
          <w:szCs w:val="27"/>
          <w:rtl/>
        </w:rPr>
        <w:t>والإمامة</w:t>
      </w:r>
      <w:r w:rsidRPr="00963823">
        <w:rPr>
          <w:rFonts w:cs="mylotus" w:hint="cs"/>
          <w:szCs w:val="27"/>
          <w:rtl/>
        </w:rPr>
        <w:t>. وهذا الكتاب نُشر من قِبَل بعض زملاء الأستاذ بأعداد قليلة</w:t>
      </w:r>
      <w:r w:rsidRPr="00963823">
        <w:rPr>
          <w:rFonts w:cs="mylotus" w:hint="cs"/>
          <w:szCs w:val="27"/>
        </w:rPr>
        <w:t>.</w:t>
      </w:r>
    </w:p>
    <w:p w:rsidR="00963823" w:rsidRPr="00963823" w:rsidRDefault="00963823" w:rsidP="00963823">
      <w:pPr>
        <w:widowControl w:val="0"/>
        <w:spacing w:after="60" w:line="228" w:lineRule="auto"/>
        <w:ind w:left="681" w:hanging="397"/>
        <w:jc w:val="both"/>
        <w:rPr>
          <w:rFonts w:cs="mylotus"/>
          <w:szCs w:val="27"/>
        </w:rPr>
      </w:pPr>
      <w:r w:rsidRPr="00963823">
        <w:rPr>
          <w:rFonts w:cs="mylotus" w:hint="cs"/>
          <w:szCs w:val="27"/>
          <w:rtl/>
        </w:rPr>
        <w:t>15- قبل الثورة بعدّة أعوام كتب «ذبيح الله محلاتي»، -من الرجال المذهبيين الشيعة- رسالةً باسم «ضرب شمشير بر منكر غدير = ضربة السيف على منكر الغدير» وأدرج في رسالته مباحث زائفة تخالف الحق والعقل. فأجابه الأستاذ «قلمداران» برسالة عنوانها: «</w:t>
      </w:r>
      <w:r w:rsidRPr="00963823">
        <w:rPr>
          <w:rFonts w:cs="mylotus" w:hint="cs"/>
          <w:b/>
          <w:bCs/>
          <w:szCs w:val="27"/>
          <w:rtl/>
        </w:rPr>
        <w:t>پاسخ يك دهاتي به آية الله محلاتي</w:t>
      </w:r>
      <w:r w:rsidRPr="00963823">
        <w:rPr>
          <w:rFonts w:cs="mylotus" w:hint="cs"/>
          <w:szCs w:val="27"/>
          <w:rtl/>
        </w:rPr>
        <w:t xml:space="preserve"> = ردٌّ من رجل قروي على آية الله محلاتي».</w:t>
      </w:r>
    </w:p>
    <w:p w:rsidR="00963823" w:rsidRPr="00963823" w:rsidRDefault="00963823" w:rsidP="00963823">
      <w:pPr>
        <w:widowControl w:val="0"/>
        <w:spacing w:after="60" w:line="228" w:lineRule="auto"/>
        <w:ind w:left="681" w:hanging="397"/>
        <w:jc w:val="both"/>
        <w:rPr>
          <w:rFonts w:cs="mylotus"/>
          <w:szCs w:val="27"/>
        </w:rPr>
      </w:pPr>
      <w:r w:rsidRPr="00963823">
        <w:rPr>
          <w:rFonts w:cs="mylotus" w:hint="cs"/>
          <w:szCs w:val="27"/>
          <w:rtl/>
        </w:rPr>
        <w:t>16- المجلد الثاني من كتاب «الحكومة في الإسلام» ودرس فيه مهام الحكومة الإسلامية والحاكم المسلم</w:t>
      </w:r>
      <w:r w:rsidRPr="00963823">
        <w:rPr>
          <w:rFonts w:cs="mylotus" w:hint="cs"/>
          <w:szCs w:val="27"/>
        </w:rPr>
        <w:t>.</w:t>
      </w:r>
    </w:p>
    <w:p w:rsidR="00963823" w:rsidRPr="00963823" w:rsidRDefault="00963823" w:rsidP="00963823">
      <w:pPr>
        <w:widowControl w:val="0"/>
        <w:spacing w:after="60" w:line="228" w:lineRule="auto"/>
        <w:ind w:left="397" w:hanging="397"/>
        <w:jc w:val="both"/>
        <w:rPr>
          <w:rFonts w:cs="mylotus"/>
          <w:szCs w:val="27"/>
          <w:rtl/>
        </w:rPr>
      </w:pPr>
      <w:r w:rsidRPr="00963823">
        <w:rPr>
          <w:rFonts w:cs="mylotus" w:hint="cs"/>
          <w:szCs w:val="27"/>
          <w:rtl/>
        </w:rPr>
        <w:lastRenderedPageBreak/>
        <w:t>17- رسالة «</w:t>
      </w:r>
      <w:r w:rsidRPr="00963823">
        <w:rPr>
          <w:rFonts w:cs="mylotus" w:hint="cs"/>
          <w:b/>
          <w:bCs/>
          <w:szCs w:val="27"/>
          <w:rtl/>
        </w:rPr>
        <w:t>سنة الرسول من عترة الرسول</w:t>
      </w:r>
      <w:r w:rsidRPr="00963823">
        <w:rPr>
          <w:rFonts w:cs="mylotus" w:hint="cs"/>
          <w:szCs w:val="27"/>
          <w:rtl/>
        </w:rPr>
        <w:t xml:space="preserve"> </w:t>
      </w:r>
      <w:r w:rsidRPr="00963823">
        <w:rPr>
          <w:rFonts w:ascii="Abo-thar" w:hAnsi="Abo-thar" w:cs="mylotus"/>
          <w:sz w:val="30"/>
          <w:szCs w:val="30"/>
          <w:lang w:bidi="fa-IR"/>
        </w:rPr>
        <w:t></w:t>
      </w:r>
      <w:r w:rsidRPr="00963823">
        <w:rPr>
          <w:rFonts w:cs="mylotus" w:hint="cs"/>
          <w:szCs w:val="27"/>
          <w:rtl/>
        </w:rPr>
        <w:t xml:space="preserve">». </w:t>
      </w:r>
    </w:p>
    <w:p w:rsidR="00963823" w:rsidRPr="00963823" w:rsidRDefault="00963823" w:rsidP="00963823">
      <w:pPr>
        <w:widowControl w:val="0"/>
        <w:spacing w:after="60" w:line="228" w:lineRule="auto"/>
        <w:ind w:firstLine="284"/>
        <w:jc w:val="both"/>
        <w:rPr>
          <w:rFonts w:cs="mylotus"/>
          <w:szCs w:val="27"/>
        </w:rPr>
      </w:pPr>
      <w:r w:rsidRPr="00963823">
        <w:rPr>
          <w:rFonts w:cs="mylotus" w:hint="cs"/>
          <w:szCs w:val="27"/>
          <w:rtl/>
        </w:rPr>
        <w:t>كان هذا نموذجاً مختصراً عن مؤلفات الأستاذ قلمداران</w:t>
      </w:r>
      <w:r w:rsidRPr="0021507A">
        <w:rPr>
          <w:rFonts w:cs="Arabic11 BT" w:hint="cs"/>
          <w:sz w:val="27"/>
          <w:szCs w:val="27"/>
          <w:vertAlign w:val="superscript"/>
          <w:rtl/>
          <w:lang w:bidi="fa-IR"/>
        </w:rPr>
        <w:t>(</w:t>
      </w:r>
      <w:r w:rsidRPr="0021507A">
        <w:rPr>
          <w:rFonts w:cs="Arabic11 BT"/>
          <w:sz w:val="27"/>
          <w:szCs w:val="27"/>
          <w:vertAlign w:val="superscript"/>
          <w:rtl/>
          <w:lang w:bidi="fa-IR"/>
        </w:rPr>
        <w:footnoteReference w:id="3"/>
      </w:r>
      <w:r w:rsidRPr="0021507A">
        <w:rPr>
          <w:rFonts w:cs="Arabic11 BT" w:hint="cs"/>
          <w:sz w:val="27"/>
          <w:szCs w:val="27"/>
          <w:vertAlign w:val="superscript"/>
          <w:rtl/>
          <w:lang w:bidi="fa-IR"/>
        </w:rPr>
        <w:t>)</w:t>
      </w:r>
      <w:r w:rsidRPr="00963823">
        <w:rPr>
          <w:rFonts w:cs="mylotus" w:hint="cs"/>
          <w:szCs w:val="27"/>
          <w:rtl/>
        </w:rPr>
        <w:t>.</w:t>
      </w:r>
    </w:p>
    <w:p w:rsidR="00963823" w:rsidRPr="00963823" w:rsidRDefault="00963823" w:rsidP="00963823">
      <w:pPr>
        <w:widowControl w:val="0"/>
        <w:spacing w:after="60" w:line="228" w:lineRule="auto"/>
        <w:ind w:firstLine="284"/>
        <w:jc w:val="both"/>
        <w:rPr>
          <w:rFonts w:cs="mylotus" w:hint="cs"/>
          <w:szCs w:val="27"/>
          <w:rtl/>
        </w:rPr>
      </w:pPr>
      <w:r w:rsidRPr="00963823">
        <w:rPr>
          <w:rFonts w:cs="mylotus" w:hint="cs"/>
          <w:szCs w:val="27"/>
          <w:rtl/>
        </w:rPr>
        <w:t>ومن الجدير بالذكر أنه بالإضافة إلى المؤلفات والمصنفات وترجمةِ الكتب ونشر المقالات والبحوث الدينية والذب عن حوزة الدين، كان الأستاذ يلقي الخطب والدروس الدينية والثقافية العديدة في طهران (مسجد كذر وزير دفتر أيام آية الله البرقعي) وفي تبريز وأصفهان، وكذا ألقى خطبة مهمة في صحن قبر الحسين في كربلاء حينما زارها، وطبعت هذه الخطبة مع كتاب «زيارت و زيارتنام</w:t>
      </w:r>
      <w:r w:rsidRPr="00963823">
        <w:rPr>
          <w:rFonts w:cs="mylotus" w:hint="cs"/>
          <w:szCs w:val="27"/>
          <w:rtl/>
          <w:lang w:bidi="ar-SY"/>
        </w:rPr>
        <w:t>ه».</w:t>
      </w:r>
    </w:p>
    <w:p w:rsidR="00963823" w:rsidRPr="00963823" w:rsidRDefault="00963823" w:rsidP="009D15B8">
      <w:pPr>
        <w:pStyle w:val="a5"/>
        <w:rPr>
          <w:rFonts w:hint="cs"/>
          <w:rtl/>
          <w:lang w:bidi="fa-IR"/>
        </w:rPr>
      </w:pPr>
      <w:bookmarkStart w:id="63" w:name="_Toc377068753"/>
      <w:bookmarkStart w:id="64" w:name="_Toc387843047"/>
      <w:r w:rsidRPr="00963823">
        <w:rPr>
          <w:rFonts w:hint="cs"/>
        </w:rPr>
        <w:sym w:font="AGA Arabesque" w:char="F02A"/>
      </w:r>
      <w:r w:rsidRPr="00963823">
        <w:rPr>
          <w:rFonts w:hint="cs"/>
          <w:rtl/>
        </w:rPr>
        <w:t xml:space="preserve"> وفاة الأستاذ</w:t>
      </w:r>
      <w:bookmarkEnd w:id="63"/>
      <w:bookmarkEnd w:id="64"/>
    </w:p>
    <w:p w:rsidR="00963823" w:rsidRPr="00963823" w:rsidRDefault="00963823" w:rsidP="00963823">
      <w:pPr>
        <w:widowControl w:val="0"/>
        <w:spacing w:after="60" w:line="228" w:lineRule="auto"/>
        <w:ind w:firstLine="284"/>
        <w:jc w:val="both"/>
        <w:rPr>
          <w:rFonts w:cs="mylotus"/>
          <w:szCs w:val="27"/>
        </w:rPr>
      </w:pPr>
      <w:r w:rsidRPr="00963823">
        <w:rPr>
          <w:rFonts w:cs="mylotus" w:hint="cs"/>
          <w:szCs w:val="27"/>
          <w:rtl/>
        </w:rPr>
        <w:t>توفي هذا العالم النحرير في يوم الجمعة التاسع والعشرين من شهر رمضان المبارك عام 1409ه</w:t>
      </w:r>
      <w:r w:rsidRPr="00963823">
        <w:rPr>
          <w:rFonts w:ascii="mylotus" w:hAnsi="mylotus" w:cs="mylotus"/>
          <w:szCs w:val="27"/>
          <w:rtl/>
        </w:rPr>
        <w:t>‍</w:t>
      </w:r>
      <w:r w:rsidRPr="00963823">
        <w:rPr>
          <w:rFonts w:cs="mylotus" w:hint="cs"/>
          <w:szCs w:val="27"/>
          <w:rtl/>
        </w:rPr>
        <w:t xml:space="preserve"> (15 ارديبهشت </w:t>
      </w:r>
      <w:r w:rsidRPr="00963823">
        <w:rPr>
          <w:rFonts w:cs="mylotus"/>
          <w:szCs w:val="27"/>
          <w:rtl/>
        </w:rPr>
        <w:t xml:space="preserve">1368 </w:t>
      </w:r>
      <w:r w:rsidRPr="00963823">
        <w:rPr>
          <w:rFonts w:ascii="mylotus" w:hAnsi="mylotus" w:cs="mylotus" w:hint="cs"/>
          <w:szCs w:val="27"/>
          <w:rtl/>
        </w:rPr>
        <w:t>ه‍</w:t>
      </w:r>
      <w:r w:rsidRPr="00963823">
        <w:rPr>
          <w:rFonts w:cs="mylotus"/>
          <w:szCs w:val="27"/>
          <w:rtl/>
        </w:rPr>
        <w:t xml:space="preserve"> </w:t>
      </w:r>
      <w:r w:rsidRPr="00963823">
        <w:rPr>
          <w:rFonts w:ascii="mylotus" w:hAnsi="mylotus" w:cs="mylotus" w:hint="cs"/>
          <w:szCs w:val="27"/>
          <w:rtl/>
        </w:rPr>
        <w:t>ش)</w:t>
      </w:r>
      <w:r w:rsidRPr="00963823">
        <w:rPr>
          <w:rFonts w:cs="mylotus" w:hint="cs"/>
          <w:szCs w:val="27"/>
          <w:rtl/>
        </w:rPr>
        <w:t xml:space="preserve"> وقد مضى من عمره 76 سنة بعدما تحمل المشاق والمتاعب في سبيل نشر الحقائق الإسلامية والوقوف أمام البدع والخرافات الموجودة في المجتمع، وكان عمره ستّ وسبعون سنة، ودفن عصر ذلك اليوم </w:t>
      </w:r>
      <w:r w:rsidRPr="00963823">
        <w:rPr>
          <w:rFonts w:cs="mylotus"/>
          <w:szCs w:val="27"/>
          <w:rtl/>
        </w:rPr>
        <w:t>في مقبرة قم في آخر شارع (جهارمردان)</w:t>
      </w:r>
      <w:r w:rsidRPr="00963823">
        <w:rPr>
          <w:rFonts w:cs="mylotus" w:hint="cs"/>
          <w:szCs w:val="27"/>
          <w:rtl/>
        </w:rPr>
        <w:t>، بعد</w:t>
      </w:r>
      <w:r w:rsidR="00EE4BED">
        <w:rPr>
          <w:rFonts w:cs="mylotus" w:hint="cs"/>
          <w:szCs w:val="27"/>
          <w:rtl/>
        </w:rPr>
        <w:t xml:space="preserve"> </w:t>
      </w:r>
      <w:r w:rsidRPr="00963823">
        <w:rPr>
          <w:rFonts w:cs="mylotus" w:hint="cs"/>
          <w:szCs w:val="27"/>
          <w:rtl/>
        </w:rPr>
        <w:t>ما حضر بعض أصدقائه وتلاميذه جنازته</w:t>
      </w:r>
      <w:r w:rsidRPr="00963823">
        <w:rPr>
          <w:rFonts w:cs="mylotus" w:hint="cs"/>
          <w:szCs w:val="27"/>
        </w:rPr>
        <w:t>.</w:t>
      </w:r>
    </w:p>
    <w:p w:rsidR="00963823" w:rsidRPr="00963823" w:rsidRDefault="00963823" w:rsidP="00963823">
      <w:pPr>
        <w:widowControl w:val="0"/>
        <w:spacing w:after="60" w:line="228" w:lineRule="auto"/>
        <w:ind w:firstLine="284"/>
        <w:jc w:val="both"/>
        <w:rPr>
          <w:rFonts w:cs="mylotus"/>
          <w:szCs w:val="27"/>
        </w:rPr>
      </w:pPr>
      <w:r w:rsidRPr="00963823">
        <w:rPr>
          <w:rFonts w:cs="mylotus" w:hint="cs"/>
          <w:szCs w:val="27"/>
          <w:rtl/>
        </w:rPr>
        <w:t>وكان حفلاً بسيطاً خالياً عن جميع مظاهر البدعة المروّجة في المجتمع الإيراني، وقد صلى عليه العلامة الموحد مصطفى حسيني طباطبائي</w:t>
      </w:r>
      <w:r w:rsidRPr="00963823">
        <w:rPr>
          <w:rFonts w:cs="mylotus" w:hint="cs"/>
          <w:szCs w:val="27"/>
        </w:rPr>
        <w:t>.</w:t>
      </w:r>
    </w:p>
    <w:p w:rsidR="00963823" w:rsidRPr="00963823" w:rsidRDefault="00963823" w:rsidP="00963823">
      <w:pPr>
        <w:widowControl w:val="0"/>
        <w:spacing w:after="60" w:line="228" w:lineRule="auto"/>
        <w:jc w:val="center"/>
        <w:rPr>
          <w:rFonts w:cs="B Zar"/>
          <w:b/>
          <w:bCs/>
          <w:sz w:val="28"/>
          <w:szCs w:val="27"/>
          <w:rtl/>
          <w:lang w:bidi="ar-SY"/>
        </w:rPr>
      </w:pPr>
      <w:r w:rsidRPr="00963823">
        <w:rPr>
          <w:rFonts w:cs="mylotus" w:hint="cs"/>
          <w:szCs w:val="27"/>
          <w:rtl/>
        </w:rPr>
        <w:t>فرضي الله عنه وعن سائر الدعاة المصلحين</w:t>
      </w:r>
      <w:r w:rsidRPr="00963823">
        <w:rPr>
          <w:rFonts w:cs="mylotus" w:hint="cs"/>
          <w:szCs w:val="27"/>
          <w:rtl/>
          <w:lang w:bidi="ar-SY"/>
        </w:rPr>
        <w:t>.</w:t>
      </w:r>
    </w:p>
    <w:p w:rsidR="00963823" w:rsidRPr="00B7173B" w:rsidRDefault="00963823" w:rsidP="00963823">
      <w:pPr>
        <w:ind w:firstLine="3118"/>
        <w:jc w:val="center"/>
        <w:rPr>
          <w:rFonts w:cs="KFGQPC Uthman Taha Naskh"/>
          <w:sz w:val="22"/>
          <w:szCs w:val="22"/>
          <w:rtl/>
        </w:rPr>
      </w:pPr>
    </w:p>
    <w:p w:rsidR="00963823" w:rsidRPr="00963823" w:rsidRDefault="00963823" w:rsidP="00963823">
      <w:pPr>
        <w:ind w:left="3742"/>
        <w:jc w:val="center"/>
        <w:rPr>
          <w:rFonts w:cs="KFGQPC Uthman Taha Naskh"/>
          <w:b/>
          <w:bCs/>
          <w:sz w:val="27"/>
          <w:szCs w:val="27"/>
          <w:rtl/>
        </w:rPr>
      </w:pPr>
      <w:r w:rsidRPr="00963823">
        <w:rPr>
          <w:rFonts w:cs="KFGQPC Uthman Taha Naskh" w:hint="cs"/>
          <w:b/>
          <w:bCs/>
          <w:sz w:val="27"/>
          <w:szCs w:val="27"/>
          <w:rtl/>
        </w:rPr>
        <w:t>الدكتور حنیف</w:t>
      </w:r>
    </w:p>
    <w:p w:rsidR="00963823" w:rsidRPr="00963823" w:rsidRDefault="00963823" w:rsidP="00963823">
      <w:pPr>
        <w:ind w:left="3742"/>
        <w:jc w:val="center"/>
        <w:rPr>
          <w:rFonts w:cs="Traditional Arabic" w:hint="cs"/>
          <w:b/>
          <w:bCs/>
          <w:sz w:val="28"/>
          <w:szCs w:val="30"/>
          <w:rtl/>
        </w:rPr>
      </w:pPr>
      <w:r w:rsidRPr="00963823">
        <w:rPr>
          <w:rFonts w:cs="KFGQPC Uthman Taha Naskh" w:hint="cs"/>
          <w:sz w:val="27"/>
          <w:szCs w:val="27"/>
          <w:rtl/>
        </w:rPr>
        <w:t>20/4/1431 هـ. ق. المطابق لـ 5/4/2010 م،  و 16/1/1389هـ. ش.</w:t>
      </w:r>
    </w:p>
    <w:p w:rsidR="00963823" w:rsidRPr="00963823" w:rsidRDefault="00963823" w:rsidP="00963823">
      <w:pPr>
        <w:rPr>
          <w:rFonts w:cs="Traditional Arabic" w:hint="cs"/>
          <w:b/>
          <w:bCs/>
          <w:sz w:val="28"/>
          <w:szCs w:val="30"/>
          <w:rtl/>
        </w:rPr>
      </w:pPr>
    </w:p>
    <w:p w:rsidR="00963823" w:rsidRPr="00963823" w:rsidRDefault="00963823" w:rsidP="00963823">
      <w:pPr>
        <w:rPr>
          <w:rFonts w:cs="Traditional Arabic"/>
          <w:b/>
          <w:bCs/>
          <w:sz w:val="28"/>
          <w:szCs w:val="30"/>
          <w:rtl/>
        </w:rPr>
        <w:sectPr w:rsidR="00963823" w:rsidRPr="00963823" w:rsidSect="00F2006D">
          <w:headerReference w:type="default" r:id="rId18"/>
          <w:footnotePr>
            <w:numRestart w:val="eachPage"/>
          </w:footnotePr>
          <w:endnotePr>
            <w:numFmt w:val="decimal"/>
            <w:numRestart w:val="eachSect"/>
          </w:endnotePr>
          <w:type w:val="oddPage"/>
          <w:pgSz w:w="9356" w:h="13608" w:code="34"/>
          <w:pgMar w:top="964" w:right="1134" w:bottom="1134" w:left="964" w:header="0" w:footer="851" w:gutter="0"/>
          <w:cols w:space="709"/>
          <w:titlePg/>
          <w:bidi/>
          <w:rtlGutter/>
        </w:sectPr>
      </w:pPr>
    </w:p>
    <w:p w:rsidR="00546906" w:rsidRPr="00995B26" w:rsidRDefault="00546906" w:rsidP="00546906">
      <w:pPr>
        <w:pStyle w:val="Heading1"/>
        <w:rPr>
          <w:rtl/>
        </w:rPr>
      </w:pPr>
      <w:bookmarkStart w:id="65" w:name="_Toc387843048"/>
      <w:r w:rsidRPr="00995B26">
        <w:rPr>
          <w:rFonts w:hint="cs"/>
          <w:rtl/>
        </w:rPr>
        <w:lastRenderedPageBreak/>
        <w:t>كلمة المُنَقِّح</w:t>
      </w:r>
      <w:bookmarkEnd w:id="65"/>
    </w:p>
    <w:p w:rsidR="003A46B4" w:rsidRPr="00495BAB" w:rsidRDefault="003A46B4" w:rsidP="00495BAB">
      <w:pPr>
        <w:spacing w:after="60" w:line="228" w:lineRule="auto"/>
        <w:jc w:val="both"/>
        <w:rPr>
          <w:rFonts w:ascii="mylotus" w:hAnsi="mylotus" w:cs="mylotus"/>
          <w:sz w:val="27"/>
          <w:szCs w:val="27"/>
          <w:rtl/>
          <w:lang w:bidi="ar-SY"/>
        </w:rPr>
      </w:pPr>
      <w:r w:rsidRPr="00495BAB">
        <w:rPr>
          <w:rFonts w:ascii="mylotus" w:hAnsi="mylotus" w:cs="mylotus"/>
          <w:sz w:val="27"/>
          <w:szCs w:val="27"/>
          <w:rtl/>
          <w:lang w:bidi="ar-SY"/>
        </w:rPr>
        <w:t>النسخة الحالية من كتاب «الخمس» الذي بين أيديكم أيها القراء المحترمون، أحدث وأكمل نسخة مصححة ومنقحة لهذا الكتاب تصدر حتى الآن. يمكن تلخيص الأعمال التي قام بها المُنَقِّح في هذه النسخة الجديدة بالنقاط التالية:</w:t>
      </w:r>
    </w:p>
    <w:p w:rsidR="003A46B4" w:rsidRPr="00495BAB" w:rsidRDefault="003A46B4" w:rsidP="00495BAB">
      <w:pPr>
        <w:spacing w:after="60" w:line="228" w:lineRule="auto"/>
        <w:ind w:left="568" w:hanging="284"/>
        <w:jc w:val="both"/>
        <w:rPr>
          <w:rFonts w:ascii="mylotus" w:hAnsi="mylotus" w:cs="mylotus"/>
          <w:sz w:val="27"/>
          <w:szCs w:val="27"/>
          <w:rtl/>
          <w:lang w:bidi="ar-SY"/>
        </w:rPr>
      </w:pPr>
      <w:r w:rsidRPr="00495BAB">
        <w:rPr>
          <w:rFonts w:ascii="mylotus" w:hAnsi="mylotus" w:cs="mylotus"/>
          <w:sz w:val="27"/>
          <w:szCs w:val="27"/>
          <w:rtl/>
          <w:lang w:bidi="ar-SY"/>
        </w:rPr>
        <w:t>1) اختيار عناوين لأقسام الكتاب تتناسب مع مضامينه أكثر من العناوين القليلة التي كان المؤلف قد وضعها.</w:t>
      </w:r>
    </w:p>
    <w:p w:rsidR="003A46B4" w:rsidRPr="00495BAB" w:rsidRDefault="003A46B4" w:rsidP="00495BAB">
      <w:pPr>
        <w:spacing w:after="60" w:line="228" w:lineRule="auto"/>
        <w:ind w:left="568" w:hanging="284"/>
        <w:jc w:val="both"/>
        <w:rPr>
          <w:rFonts w:ascii="mylotus" w:hAnsi="mylotus" w:cs="mylotus"/>
          <w:sz w:val="27"/>
          <w:szCs w:val="27"/>
          <w:rtl/>
          <w:lang w:bidi="ar-SY"/>
        </w:rPr>
      </w:pPr>
      <w:r w:rsidRPr="00495BAB">
        <w:rPr>
          <w:rFonts w:ascii="mylotus" w:hAnsi="mylotus" w:cs="mylotus"/>
          <w:sz w:val="27"/>
          <w:szCs w:val="27"/>
          <w:rtl/>
          <w:lang w:bidi="ar-SY"/>
        </w:rPr>
        <w:t xml:space="preserve">2) </w:t>
      </w:r>
      <w:r w:rsidRPr="00370015">
        <w:rPr>
          <w:rFonts w:ascii="mylotus" w:hAnsi="mylotus" w:cs="mylotus"/>
          <w:sz w:val="27"/>
          <w:szCs w:val="27"/>
          <w:highlight w:val="yellow"/>
          <w:rtl/>
          <w:lang w:bidi="ar-SY"/>
        </w:rPr>
        <w:t>تنقيح المتن وتصحيحه وضبطه بشكل كامل على نحو يتطابق مع قواعد اللغة المعمول بها اليوم، دون أن يؤثر ذلك أدنى تأثير على أصالة المطالب والأفكار التي طرحها المؤلف.</w:t>
      </w:r>
    </w:p>
    <w:p w:rsidR="003A46B4" w:rsidRPr="00495BAB" w:rsidRDefault="003A46B4" w:rsidP="00495BAB">
      <w:pPr>
        <w:spacing w:after="60" w:line="228" w:lineRule="auto"/>
        <w:ind w:left="568" w:hanging="284"/>
        <w:jc w:val="both"/>
        <w:rPr>
          <w:rFonts w:ascii="mylotus" w:hAnsi="mylotus" w:cs="mylotus"/>
          <w:sz w:val="27"/>
          <w:szCs w:val="27"/>
          <w:rtl/>
          <w:lang w:bidi="ar-SY"/>
        </w:rPr>
      </w:pPr>
      <w:r w:rsidRPr="00495BAB">
        <w:rPr>
          <w:rFonts w:ascii="mylotus" w:hAnsi="mylotus" w:cs="mylotus"/>
          <w:sz w:val="27"/>
          <w:szCs w:val="27"/>
          <w:rtl/>
          <w:lang w:bidi="ar-SY"/>
        </w:rPr>
        <w:t xml:space="preserve">3) </w:t>
      </w:r>
      <w:r w:rsidRPr="001F25C7">
        <w:rPr>
          <w:rFonts w:ascii="mylotus" w:hAnsi="mylotus" w:cs="mylotus"/>
          <w:sz w:val="27"/>
          <w:szCs w:val="27"/>
          <w:highlight w:val="yellow"/>
          <w:rtl/>
          <w:lang w:bidi="ar-SY"/>
        </w:rPr>
        <w:t>تدقيق الآيات القرآنية المنقولة في الكتاب وترجمتها إلى الفارسية، مع اختيار ترجمة فارسية سلسة ومفهومة بشكل أفضل مما اختاره المؤلف عند الضرورة.</w:t>
      </w:r>
    </w:p>
    <w:p w:rsidR="003A46B4" w:rsidRPr="00495BAB" w:rsidRDefault="003A46B4" w:rsidP="00495BAB">
      <w:pPr>
        <w:spacing w:after="60" w:line="228" w:lineRule="auto"/>
        <w:ind w:left="568" w:hanging="284"/>
        <w:jc w:val="both"/>
        <w:rPr>
          <w:rFonts w:ascii="mylotus" w:hAnsi="mylotus" w:cs="mylotus"/>
          <w:sz w:val="27"/>
          <w:szCs w:val="27"/>
          <w:rtl/>
          <w:lang w:bidi="ar-SY"/>
        </w:rPr>
      </w:pPr>
      <w:r w:rsidRPr="00495BAB">
        <w:rPr>
          <w:rFonts w:ascii="mylotus" w:hAnsi="mylotus" w:cs="mylotus"/>
          <w:sz w:val="27"/>
          <w:szCs w:val="27"/>
          <w:rtl/>
          <w:lang w:bidi="ar-SY"/>
        </w:rPr>
        <w:t xml:space="preserve">4) تدقيق الأحاديث المنقولة في الكتاب عن كتب الحديث، وضبطها والتأكد من صحة النقل </w:t>
      </w:r>
      <w:r w:rsidRPr="00EB6195">
        <w:rPr>
          <w:rFonts w:ascii="mylotus" w:hAnsi="mylotus" w:cs="mylotus"/>
          <w:sz w:val="27"/>
          <w:szCs w:val="27"/>
          <w:highlight w:val="yellow"/>
          <w:rtl/>
          <w:lang w:bidi="ar-SY"/>
        </w:rPr>
        <w:t>ودقة الترجمة.</w:t>
      </w:r>
    </w:p>
    <w:p w:rsidR="003A46B4" w:rsidRPr="00495BAB" w:rsidRDefault="003A46B4" w:rsidP="00495BAB">
      <w:pPr>
        <w:spacing w:after="60" w:line="228" w:lineRule="auto"/>
        <w:ind w:left="568" w:hanging="284"/>
        <w:jc w:val="both"/>
        <w:rPr>
          <w:rFonts w:ascii="mylotus" w:hAnsi="mylotus" w:cs="mylotus"/>
          <w:sz w:val="27"/>
          <w:szCs w:val="27"/>
          <w:rtl/>
          <w:lang w:bidi="ar-SY"/>
        </w:rPr>
      </w:pPr>
      <w:r w:rsidRPr="00495BAB">
        <w:rPr>
          <w:rFonts w:ascii="mylotus" w:hAnsi="mylotus" w:cs="mylotus"/>
          <w:sz w:val="27"/>
          <w:szCs w:val="27"/>
          <w:rtl/>
          <w:lang w:bidi="ar-SY"/>
        </w:rPr>
        <w:t>5) إكمال التوثيق وبيان المصادر والمراجع في الحواشي السفلية حيث أن الكتاب كان يفتقد كثيراً من الإحالات في الحاشية، كما تمت إضافة مصادر أخرى لما ذكره المؤلف في المتن لمن أراد المزيد من الاطلاع من القراء الكرام.</w:t>
      </w:r>
    </w:p>
    <w:p w:rsidR="003A46B4" w:rsidRPr="00495BAB" w:rsidRDefault="003A46B4" w:rsidP="00495BAB">
      <w:pPr>
        <w:spacing w:after="60" w:line="228" w:lineRule="auto"/>
        <w:ind w:left="568" w:hanging="284"/>
        <w:jc w:val="both"/>
        <w:rPr>
          <w:rFonts w:ascii="mylotus" w:hAnsi="mylotus" w:cs="mylotus"/>
          <w:sz w:val="27"/>
          <w:szCs w:val="27"/>
          <w:rtl/>
          <w:lang w:bidi="ar-SY"/>
        </w:rPr>
      </w:pPr>
      <w:r w:rsidRPr="00495BAB">
        <w:rPr>
          <w:rFonts w:ascii="mylotus" w:hAnsi="mylotus" w:cs="mylotus"/>
          <w:sz w:val="27"/>
          <w:szCs w:val="27"/>
          <w:rtl/>
          <w:lang w:bidi="ar-SY"/>
        </w:rPr>
        <w:t>6) تصحيح عناوين الفصول وتعديلها وتنقيحها.</w:t>
      </w:r>
    </w:p>
    <w:p w:rsidR="003A46B4" w:rsidRPr="00495BAB" w:rsidRDefault="003A46B4" w:rsidP="00495BAB">
      <w:pPr>
        <w:spacing w:after="60" w:line="228" w:lineRule="auto"/>
        <w:ind w:left="568" w:hanging="284"/>
        <w:jc w:val="both"/>
        <w:rPr>
          <w:rFonts w:ascii="mylotus" w:hAnsi="mylotus" w:cs="mylotus"/>
          <w:sz w:val="27"/>
          <w:szCs w:val="27"/>
          <w:rtl/>
          <w:lang w:bidi="ar-SY"/>
        </w:rPr>
      </w:pPr>
      <w:r w:rsidRPr="00495BAB">
        <w:rPr>
          <w:rFonts w:ascii="mylotus" w:hAnsi="mylotus" w:cs="mylotus"/>
          <w:sz w:val="27"/>
          <w:szCs w:val="27"/>
          <w:rtl/>
          <w:lang w:bidi="ar-SY"/>
        </w:rPr>
        <w:t xml:space="preserve">7) أهم عمل تم إنجازه في هذه الطبعة الجديدة لكتاب الخمس هو أنها جمعت كل ما كتبه المؤلف حول موضوع الخمس في هذا الكتاب. ومن الجدير بالذكر أن المؤلف رحمه الله </w:t>
      </w:r>
      <w:r w:rsidRPr="00495BAB">
        <w:rPr>
          <w:rFonts w:ascii="mylotus" w:hAnsi="mylotus" w:cs="mylotus"/>
          <w:sz w:val="27"/>
          <w:szCs w:val="27"/>
          <w:rtl/>
          <w:lang w:bidi="ar-SY"/>
        </w:rPr>
        <w:lastRenderedPageBreak/>
        <w:t>كان قد ألف كُتَيِّباً صغيراً منفصلاً باسم «الخمس في الحديث والفتوى»، ولكن لما كانت الأحاديث الموجودة في ذلك الكُتَيِّب موجودة أيضاً في أصل كتاب الخمس الكبير، تم الاقتصار على إضافة فتاوى علماء الشيعة في إباحة الخمس وتحليله لشيعتهم إلى النسخة الحاضرة. إضافةً إلى ذلك، فقد كتب بعض علماء الشيعة في الحوزة العلمية في قم ردوداً على كتاب الخمس فردَّ المؤلف عليها، لكن كتاب الخمس في طبعته الأولى لم يضم تلك الردود ولا رد المؤلف عليها، فتم إلحاق تلك الردود وإجابة المؤلف عنها في نهاية هذه النسخة المنقحة الجديدة للكتاب، لذا يمكننا أن ندعي أن النسخة الحاضرة تُعَدُّ أكمل نسخة تصدر حتى اليوم لكتاب الخمس وأتمها.</w:t>
      </w:r>
    </w:p>
    <w:p w:rsidR="00546906" w:rsidRPr="00495BAB" w:rsidRDefault="003A46B4" w:rsidP="00495BAB">
      <w:pPr>
        <w:spacing w:after="60" w:line="228" w:lineRule="auto"/>
        <w:ind w:firstLine="397"/>
        <w:jc w:val="both"/>
        <w:rPr>
          <w:rFonts w:ascii="mylotus" w:hAnsi="mylotus" w:cs="mylotus"/>
          <w:sz w:val="27"/>
          <w:szCs w:val="27"/>
          <w:rtl/>
          <w:lang w:bidi="ar-SY"/>
        </w:rPr>
      </w:pPr>
      <w:r w:rsidRPr="00495BAB">
        <w:rPr>
          <w:rFonts w:ascii="mylotus" w:hAnsi="mylotus" w:cs="mylotus"/>
          <w:sz w:val="27"/>
          <w:szCs w:val="27"/>
          <w:rtl/>
          <w:lang w:bidi="ar-SY"/>
        </w:rPr>
        <w:t>نسأل الله تعالى أن يتقبل منا هذا العمل وأن ينال عملنا رضا الله وتقدير روح ذلك الأستاذ الجليل رحمه الله.</w:t>
      </w:r>
    </w:p>
    <w:p w:rsidR="00546906" w:rsidRPr="00995B26" w:rsidRDefault="00546906" w:rsidP="00B7173B">
      <w:pPr>
        <w:ind w:firstLine="5131"/>
        <w:jc w:val="center"/>
        <w:rPr>
          <w:rFonts w:cs="KFGQPC Uthman Taha Naskh" w:hint="cs"/>
          <w:rtl/>
          <w:lang w:bidi="ar-SY"/>
        </w:rPr>
      </w:pPr>
      <w:r w:rsidRPr="00995B26">
        <w:rPr>
          <w:rFonts w:cs="KFGQPC Uthman Taha Naskh" w:hint="cs"/>
          <w:rtl/>
          <w:lang w:bidi="ar-SY"/>
        </w:rPr>
        <w:t>د. حنيف زرنكار</w:t>
      </w:r>
    </w:p>
    <w:p w:rsidR="00546906" w:rsidRPr="00995B26" w:rsidRDefault="00546906" w:rsidP="00B7173B">
      <w:pPr>
        <w:ind w:firstLine="5131"/>
        <w:jc w:val="center"/>
        <w:rPr>
          <w:rFonts w:cs="KFGQPC Uthman Taha Naskh"/>
          <w:rtl/>
          <w:lang w:bidi="ar-SY"/>
        </w:rPr>
      </w:pPr>
      <w:r w:rsidRPr="00995B26">
        <w:rPr>
          <w:rFonts w:cs="KFGQPC Uthman Taha Naskh" w:hint="cs"/>
          <w:rtl/>
          <w:lang w:bidi="ar-SY"/>
        </w:rPr>
        <w:t>مُنَقِّح الکتاب</w:t>
      </w:r>
      <w:r w:rsidR="00106D5F" w:rsidRPr="00995B26">
        <w:rPr>
          <w:rFonts w:cs="KFGQPC Uthman Taha Naskh" w:hint="cs"/>
          <w:rtl/>
          <w:lang w:bidi="ar-SY"/>
        </w:rPr>
        <w:t xml:space="preserve"> بالفارسية</w:t>
      </w:r>
    </w:p>
    <w:p w:rsidR="00E93515" w:rsidRPr="00C3556F" w:rsidRDefault="00E93515" w:rsidP="00C3556F">
      <w:pPr>
        <w:pStyle w:val="a0"/>
        <w:rPr>
          <w:rtl/>
        </w:rPr>
        <w:sectPr w:rsidR="00E93515" w:rsidRPr="00C3556F" w:rsidSect="00F2006D">
          <w:footnotePr>
            <w:numRestart w:val="eachPage"/>
          </w:footnotePr>
          <w:type w:val="oddPage"/>
          <w:pgSz w:w="9356" w:h="13608" w:code="34"/>
          <w:pgMar w:top="964" w:right="1134" w:bottom="1134" w:left="964" w:header="0" w:footer="851" w:gutter="0"/>
          <w:cols w:space="708"/>
          <w:titlePg/>
          <w:bidi/>
          <w:rtlGutter/>
          <w:docGrid w:linePitch="360"/>
        </w:sectPr>
      </w:pPr>
    </w:p>
    <w:p w:rsidR="00546906" w:rsidRPr="00FA54B5" w:rsidRDefault="00546906" w:rsidP="00546906">
      <w:pPr>
        <w:pStyle w:val="Heading1"/>
        <w:rPr>
          <w:rFonts w:hint="cs"/>
          <w:rtl/>
        </w:rPr>
      </w:pPr>
      <w:bookmarkStart w:id="66" w:name="_Toc387843049"/>
      <w:r w:rsidRPr="00FA54B5">
        <w:rPr>
          <w:rFonts w:hint="cs"/>
          <w:rtl/>
        </w:rPr>
        <w:lastRenderedPageBreak/>
        <w:t>مصطلحات علم الحديث</w:t>
      </w:r>
      <w:bookmarkEnd w:id="66"/>
      <w:r w:rsidRPr="00FA54B5">
        <w:rPr>
          <w:rFonts w:hint="cs"/>
          <w:rtl/>
        </w:rPr>
        <w:t xml:space="preserve"> </w:t>
      </w:r>
    </w:p>
    <w:p w:rsidR="00881F70" w:rsidRPr="00367019" w:rsidRDefault="00881F70" w:rsidP="00367019">
      <w:pPr>
        <w:pStyle w:val="a0"/>
        <w:rPr>
          <w:rFonts w:eastAsia="Calibri" w:hint="cs"/>
          <w:rtl/>
        </w:rPr>
      </w:pPr>
      <w:r w:rsidRPr="00FA54B5">
        <w:rPr>
          <w:rFonts w:eastAsia="Calibri" w:hint="cs"/>
          <w:rtl/>
          <w:lang w:bidi="ar-SY"/>
        </w:rPr>
        <w:t>لما تضمن الكتاب الحالي عددا من المباحث الحديثية رأينا من الضروري أن نعرف القراء الكرام الذين لا علم لهم بمصطلحات علم الحديث التخصصية بهذه المصطلحات وبالعبارات الشائعة التي استخدمها المؤلف المحترم في مباحث الكتاب.</w:t>
      </w:r>
      <w:r w:rsidR="00E72D22">
        <w:rPr>
          <w:rFonts w:eastAsia="Calibri" w:hint="cs"/>
          <w:rtl/>
          <w:lang w:bidi="fa-IR"/>
        </w:rPr>
        <w:t xml:space="preserve"> </w:t>
      </w:r>
      <w:r w:rsidR="00E72D22">
        <w:rPr>
          <w:rFonts w:eastAsia="Calibri" w:hint="cs"/>
          <w:rtl/>
        </w:rPr>
        <w:t>وذلك حسب اصطلاح علماء الشيعة.</w:t>
      </w:r>
    </w:p>
    <w:p w:rsidR="00881F70" w:rsidRPr="00367019" w:rsidRDefault="00881F70" w:rsidP="00367019">
      <w:pPr>
        <w:pStyle w:val="a0"/>
        <w:rPr>
          <w:rFonts w:eastAsia="Calibri"/>
          <w:rtl/>
          <w:lang w:bidi="ar-SY"/>
        </w:rPr>
      </w:pPr>
      <w:r w:rsidRPr="00367019">
        <w:rPr>
          <w:rFonts w:eastAsia="Calibri" w:hint="cs"/>
          <w:rtl/>
          <w:lang w:bidi="ar-SY"/>
        </w:rPr>
        <w:t>هناك ثلاثة معايير يمكن تقسيم الأحاديث على أساسها:</w:t>
      </w:r>
    </w:p>
    <w:p w:rsidR="00881F70" w:rsidRPr="00367019" w:rsidRDefault="00881F70" w:rsidP="00FA54B5">
      <w:pPr>
        <w:pStyle w:val="a0"/>
        <w:spacing w:after="0"/>
        <w:rPr>
          <w:rFonts w:eastAsia="Calibri"/>
          <w:lang w:bidi="ar-SY"/>
        </w:rPr>
      </w:pPr>
      <w:r w:rsidRPr="00367019">
        <w:rPr>
          <w:rFonts w:eastAsia="Calibri" w:hint="cs"/>
          <w:rtl/>
          <w:lang w:bidi="ar-SY"/>
        </w:rPr>
        <w:t>1 - درجة الصحة.</w:t>
      </w:r>
    </w:p>
    <w:p w:rsidR="00881F70" w:rsidRPr="00367019" w:rsidRDefault="00881F70" w:rsidP="00FA54B5">
      <w:pPr>
        <w:pStyle w:val="a0"/>
        <w:spacing w:after="0"/>
        <w:rPr>
          <w:rFonts w:eastAsia="Calibri"/>
          <w:lang w:bidi="ar-SY"/>
        </w:rPr>
      </w:pPr>
      <w:r w:rsidRPr="00367019">
        <w:rPr>
          <w:rFonts w:eastAsia="Calibri" w:hint="cs"/>
          <w:rtl/>
          <w:lang w:bidi="ar-SY"/>
        </w:rPr>
        <w:t>2 - عدد الرواة.</w:t>
      </w:r>
    </w:p>
    <w:p w:rsidR="00881F70" w:rsidRPr="00367019" w:rsidRDefault="00881F70" w:rsidP="00367019">
      <w:pPr>
        <w:pStyle w:val="a0"/>
        <w:rPr>
          <w:rFonts w:eastAsia="Calibri"/>
          <w:lang w:bidi="ar-SY"/>
        </w:rPr>
      </w:pPr>
      <w:r w:rsidRPr="00367019">
        <w:rPr>
          <w:rFonts w:eastAsia="Calibri" w:hint="cs"/>
          <w:rtl/>
          <w:lang w:bidi="ar-SY"/>
        </w:rPr>
        <w:t>3 - اتصال سلسلة السند أو انقطاعها.</w:t>
      </w:r>
    </w:p>
    <w:p w:rsidR="00881F70" w:rsidRPr="00367019" w:rsidRDefault="00881F70" w:rsidP="00367019">
      <w:pPr>
        <w:pStyle w:val="a0"/>
        <w:rPr>
          <w:rFonts w:eastAsia="Calibri"/>
          <w:rtl/>
          <w:lang w:bidi="ar-SY"/>
        </w:rPr>
      </w:pPr>
      <w:r w:rsidRPr="00367019">
        <w:rPr>
          <w:rFonts w:eastAsia="Calibri" w:hint="cs"/>
          <w:b/>
          <w:bCs/>
          <w:rtl/>
          <w:lang w:bidi="ar-SY"/>
        </w:rPr>
        <w:t>تنقسم الأحاديث حسب درجة صحتها إلى خمسة أقسام:</w:t>
      </w:r>
    </w:p>
    <w:p w:rsidR="00881F70" w:rsidRPr="00367019" w:rsidRDefault="00FA54B5" w:rsidP="00FA54B5">
      <w:pPr>
        <w:pStyle w:val="a0"/>
        <w:ind w:left="624" w:hanging="340"/>
        <w:rPr>
          <w:rFonts w:eastAsia="Calibri"/>
          <w:lang w:bidi="ar-SY"/>
        </w:rPr>
      </w:pPr>
      <w:r>
        <w:rPr>
          <w:rFonts w:eastAsia="Calibri" w:hint="cs"/>
          <w:rtl/>
          <w:lang w:bidi="ar-SY"/>
        </w:rPr>
        <w:t>1</w:t>
      </w:r>
      <w:r w:rsidR="00881F70" w:rsidRPr="00367019">
        <w:rPr>
          <w:rFonts w:eastAsia="Calibri" w:hint="cs"/>
          <w:rtl/>
          <w:lang w:bidi="ar-SY"/>
        </w:rPr>
        <w:t xml:space="preserve">- </w:t>
      </w:r>
      <w:r w:rsidR="00881F70" w:rsidRPr="00367019">
        <w:rPr>
          <w:rFonts w:eastAsia="Calibri" w:hint="cs"/>
          <w:b/>
          <w:bCs/>
          <w:rtl/>
          <w:lang w:bidi="ar-SY"/>
        </w:rPr>
        <w:t>الحديث الصحيح</w:t>
      </w:r>
      <w:r w:rsidR="00881F70" w:rsidRPr="00367019">
        <w:rPr>
          <w:rFonts w:eastAsia="Calibri" w:hint="cs"/>
          <w:rtl/>
          <w:lang w:bidi="ar-SY"/>
        </w:rPr>
        <w:t>: وهو في علم الحديث عند الشيعة كل حديث اتصل سنده من راويه إلى المعصوم برجال موثقين إماميي المذهب.</w:t>
      </w:r>
    </w:p>
    <w:p w:rsidR="00881F70" w:rsidRPr="00367019" w:rsidRDefault="00FA54B5" w:rsidP="00FA54B5">
      <w:pPr>
        <w:pStyle w:val="a0"/>
        <w:ind w:left="624" w:hanging="340"/>
        <w:rPr>
          <w:rFonts w:eastAsia="Calibri"/>
          <w:lang w:bidi="ar-SY"/>
        </w:rPr>
      </w:pPr>
      <w:r>
        <w:rPr>
          <w:rFonts w:eastAsia="Calibri" w:hint="cs"/>
          <w:rtl/>
          <w:lang w:bidi="ar-SY"/>
        </w:rPr>
        <w:t>2</w:t>
      </w:r>
      <w:r w:rsidR="00881F70" w:rsidRPr="00367019">
        <w:rPr>
          <w:rFonts w:eastAsia="Calibri" w:hint="cs"/>
          <w:rtl/>
          <w:lang w:bidi="ar-SY"/>
        </w:rPr>
        <w:t xml:space="preserve">- </w:t>
      </w:r>
      <w:r w:rsidR="00881F70" w:rsidRPr="00367019">
        <w:rPr>
          <w:rFonts w:eastAsia="Calibri" w:hint="cs"/>
          <w:b/>
          <w:bCs/>
          <w:rtl/>
          <w:lang w:bidi="ar-SY"/>
        </w:rPr>
        <w:t>الحديث الحسن</w:t>
      </w:r>
      <w:r w:rsidR="00881F70" w:rsidRPr="00367019">
        <w:rPr>
          <w:rFonts w:eastAsia="Calibri" w:hint="cs"/>
          <w:rtl/>
          <w:lang w:bidi="ar-SY"/>
        </w:rPr>
        <w:t>: هو الحديث المتصل برواة كلهم إماميون ممدوحون ولكن لم ترد أقوال عن أئمة الجرح والتعديل تنص على عدالة كل واحد من رواته و وثاقتهم أو كان بعض رواته من الممدوحين وبقية الرواة من الموثقين.</w:t>
      </w:r>
    </w:p>
    <w:p w:rsidR="00881F70" w:rsidRPr="00367019" w:rsidRDefault="00FA54B5" w:rsidP="00FA54B5">
      <w:pPr>
        <w:pStyle w:val="a0"/>
        <w:ind w:left="624" w:hanging="340"/>
        <w:rPr>
          <w:rFonts w:eastAsia="Calibri"/>
          <w:lang w:bidi="ar-SY"/>
        </w:rPr>
      </w:pPr>
      <w:r>
        <w:rPr>
          <w:rFonts w:eastAsia="Calibri" w:hint="cs"/>
          <w:rtl/>
          <w:lang w:bidi="ar-SY"/>
        </w:rPr>
        <w:t>3</w:t>
      </w:r>
      <w:r w:rsidR="00881F70" w:rsidRPr="00367019">
        <w:rPr>
          <w:rFonts w:eastAsia="Calibri" w:hint="cs"/>
          <w:rtl/>
          <w:lang w:bidi="ar-SY"/>
        </w:rPr>
        <w:t xml:space="preserve">- </w:t>
      </w:r>
      <w:r w:rsidR="00881F70" w:rsidRPr="00367019">
        <w:rPr>
          <w:rFonts w:eastAsia="Calibri" w:hint="cs"/>
          <w:b/>
          <w:bCs/>
          <w:rtl/>
          <w:lang w:bidi="ar-SY"/>
        </w:rPr>
        <w:t>الحديث المُوَثَّق</w:t>
      </w:r>
      <w:r w:rsidR="00881F70" w:rsidRPr="00367019">
        <w:rPr>
          <w:rFonts w:eastAsia="Calibri" w:hint="cs"/>
          <w:rtl/>
          <w:lang w:bidi="ar-SY"/>
        </w:rPr>
        <w:t>: هو الخبر الذي تتكون سلسلة سنده من رجال صرحت كتب رجال الشيعة بوثاقتهم في الرواية سواء كانوا من الشيعة الإمامية أم لم يكونوا.</w:t>
      </w:r>
    </w:p>
    <w:p w:rsidR="00881F70" w:rsidRPr="00367019" w:rsidRDefault="00FA54B5" w:rsidP="00FA54B5">
      <w:pPr>
        <w:pStyle w:val="a0"/>
        <w:ind w:left="624" w:hanging="340"/>
        <w:rPr>
          <w:rFonts w:eastAsia="Calibri"/>
          <w:lang w:bidi="ar-SY"/>
        </w:rPr>
      </w:pPr>
      <w:r>
        <w:rPr>
          <w:rFonts w:eastAsia="Calibri" w:hint="cs"/>
          <w:rtl/>
          <w:lang w:bidi="ar-SY"/>
        </w:rPr>
        <w:t>4</w:t>
      </w:r>
      <w:r w:rsidR="00881F70" w:rsidRPr="00367019">
        <w:rPr>
          <w:rFonts w:eastAsia="Calibri" w:hint="cs"/>
          <w:rtl/>
          <w:lang w:bidi="ar-SY"/>
        </w:rPr>
        <w:t xml:space="preserve">- </w:t>
      </w:r>
      <w:r w:rsidR="00881F70" w:rsidRPr="00367019">
        <w:rPr>
          <w:rFonts w:eastAsia="Calibri" w:hint="cs"/>
          <w:b/>
          <w:bCs/>
          <w:rtl/>
          <w:lang w:bidi="ar-SY"/>
        </w:rPr>
        <w:t>الحديث القوي</w:t>
      </w:r>
      <w:r w:rsidR="00881F70" w:rsidRPr="00367019">
        <w:rPr>
          <w:rFonts w:eastAsia="Calibri" w:hint="cs"/>
          <w:rtl/>
          <w:lang w:bidi="ar-SY"/>
        </w:rPr>
        <w:t>: هو الخبر الذي تتكون سلسلة سنده من رواة إماميي المذهب وإن لم يرد عن علماء الرجال ذم ولا مدح أو تعديل لرواته.</w:t>
      </w:r>
    </w:p>
    <w:p w:rsidR="00881F70" w:rsidRPr="00FA54B5" w:rsidRDefault="00FA54B5" w:rsidP="00FA54B5">
      <w:pPr>
        <w:pStyle w:val="a0"/>
        <w:ind w:left="624" w:hanging="340"/>
        <w:rPr>
          <w:rFonts w:eastAsia="Calibri"/>
          <w:spacing w:val="-4"/>
          <w:lang w:bidi="ar-SY"/>
        </w:rPr>
      </w:pPr>
      <w:r w:rsidRPr="00FA54B5">
        <w:rPr>
          <w:rFonts w:eastAsia="Calibri" w:hint="cs"/>
          <w:spacing w:val="-4"/>
          <w:rtl/>
          <w:lang w:bidi="ar-SY"/>
        </w:rPr>
        <w:lastRenderedPageBreak/>
        <w:t>5</w:t>
      </w:r>
      <w:r w:rsidR="00881F70" w:rsidRPr="00FA54B5">
        <w:rPr>
          <w:rFonts w:eastAsia="Calibri" w:hint="cs"/>
          <w:spacing w:val="-4"/>
          <w:rtl/>
          <w:lang w:bidi="ar-SY"/>
        </w:rPr>
        <w:t xml:space="preserve">- </w:t>
      </w:r>
      <w:r w:rsidR="00881F70" w:rsidRPr="00FA54B5">
        <w:rPr>
          <w:rFonts w:eastAsia="Calibri" w:hint="cs"/>
          <w:b/>
          <w:bCs/>
          <w:spacing w:val="-4"/>
          <w:rtl/>
          <w:lang w:bidi="ar-SY"/>
        </w:rPr>
        <w:t>الحديث الضعيف</w:t>
      </w:r>
      <w:r w:rsidR="00881F70" w:rsidRPr="00FA54B5">
        <w:rPr>
          <w:rFonts w:eastAsia="Calibri" w:hint="cs"/>
          <w:spacing w:val="-4"/>
          <w:rtl/>
          <w:lang w:bidi="ar-SY"/>
        </w:rPr>
        <w:t>: هو الحديث الذي لم تتوفر فيه أي من الشروط السابقة وله أنواع عديدة.</w:t>
      </w:r>
    </w:p>
    <w:p w:rsidR="00881F70" w:rsidRPr="00367019" w:rsidRDefault="00881F70" w:rsidP="00416960">
      <w:pPr>
        <w:pStyle w:val="a0"/>
        <w:spacing w:after="0"/>
        <w:rPr>
          <w:rFonts w:eastAsia="Calibri"/>
          <w:rtl/>
          <w:lang w:bidi="ar-SY"/>
        </w:rPr>
      </w:pPr>
      <w:r w:rsidRPr="00367019">
        <w:rPr>
          <w:rFonts w:eastAsia="Calibri" w:hint="cs"/>
          <w:b/>
          <w:bCs/>
          <w:rtl/>
          <w:lang w:bidi="ar-SY"/>
        </w:rPr>
        <w:t>كما تنقسم الأحاديث من حيث عدد رواتها إلى مجموعتين:</w:t>
      </w:r>
    </w:p>
    <w:p w:rsidR="00881F70" w:rsidRPr="00367019" w:rsidRDefault="00FA54B5" w:rsidP="00FA54B5">
      <w:pPr>
        <w:pStyle w:val="a0"/>
        <w:ind w:left="624" w:hanging="340"/>
        <w:rPr>
          <w:rFonts w:eastAsia="Calibri"/>
          <w:lang w:bidi="ar-SY"/>
        </w:rPr>
      </w:pPr>
      <w:r>
        <w:rPr>
          <w:rFonts w:eastAsia="Calibri" w:hint="cs"/>
          <w:rtl/>
          <w:lang w:bidi="ar-SY"/>
        </w:rPr>
        <w:t>1</w:t>
      </w:r>
      <w:r w:rsidR="00881F70" w:rsidRPr="00367019">
        <w:rPr>
          <w:rFonts w:eastAsia="Calibri" w:hint="cs"/>
          <w:rtl/>
          <w:lang w:bidi="ar-SY"/>
        </w:rPr>
        <w:t xml:space="preserve">- </w:t>
      </w:r>
      <w:r w:rsidR="00881F70" w:rsidRPr="00367019">
        <w:rPr>
          <w:rFonts w:eastAsia="Calibri" w:hint="cs"/>
          <w:b/>
          <w:bCs/>
          <w:rtl/>
          <w:lang w:bidi="ar-SY"/>
        </w:rPr>
        <w:t>الحديث المتواتر</w:t>
      </w:r>
      <w:r w:rsidR="00881F70" w:rsidRPr="00367019">
        <w:rPr>
          <w:rFonts w:eastAsia="Calibri" w:hint="cs"/>
          <w:rtl/>
          <w:lang w:bidi="ar-SY"/>
        </w:rPr>
        <w:t>: هو الحديث الذي رواه عدد كبير من الرواة يستحيل تواطؤهم على الكذب.</w:t>
      </w:r>
    </w:p>
    <w:p w:rsidR="00881F70" w:rsidRPr="00367019" w:rsidRDefault="00FA54B5" w:rsidP="00FA54B5">
      <w:pPr>
        <w:pStyle w:val="a0"/>
        <w:ind w:left="624" w:hanging="340"/>
        <w:rPr>
          <w:rFonts w:eastAsia="Calibri"/>
          <w:lang w:bidi="ar-SY"/>
        </w:rPr>
      </w:pPr>
      <w:r>
        <w:rPr>
          <w:rFonts w:eastAsia="Calibri" w:hint="cs"/>
          <w:rtl/>
          <w:lang w:bidi="ar-SY"/>
        </w:rPr>
        <w:t>2</w:t>
      </w:r>
      <w:r w:rsidR="00881F70" w:rsidRPr="00367019">
        <w:rPr>
          <w:rFonts w:eastAsia="Calibri" w:hint="cs"/>
          <w:rtl/>
          <w:lang w:bidi="ar-SY"/>
        </w:rPr>
        <w:t xml:space="preserve">- </w:t>
      </w:r>
      <w:r w:rsidR="00881F70" w:rsidRPr="00367019">
        <w:rPr>
          <w:rFonts w:eastAsia="Calibri" w:hint="cs"/>
          <w:b/>
          <w:bCs/>
          <w:rtl/>
          <w:lang w:bidi="ar-SY"/>
        </w:rPr>
        <w:t>حديث الآحاد</w:t>
      </w:r>
      <w:r w:rsidR="00881F70" w:rsidRPr="00367019">
        <w:rPr>
          <w:rFonts w:eastAsia="Calibri" w:hint="cs"/>
          <w:rtl/>
          <w:lang w:bidi="ar-SY"/>
        </w:rPr>
        <w:t>: هو الحديث الذي لم يصل عدد رواته في كل طبقة من طبقات السند إلى حد التواتر ولا يمكن الجزم بصحته. وكل حديث غير متواتر هو خبر آحاد، حتى لو كان رواته في بعض طبقات السند أكثر من شخص واحد.</w:t>
      </w:r>
    </w:p>
    <w:p w:rsidR="00881F70" w:rsidRPr="00367019" w:rsidRDefault="00881F70" w:rsidP="00416960">
      <w:pPr>
        <w:pStyle w:val="a0"/>
        <w:spacing w:after="0"/>
        <w:rPr>
          <w:rFonts w:eastAsia="Calibri"/>
          <w:rtl/>
          <w:lang w:bidi="ar-SY"/>
        </w:rPr>
      </w:pPr>
      <w:r w:rsidRPr="00367019">
        <w:rPr>
          <w:rFonts w:eastAsia="Calibri" w:hint="cs"/>
          <w:b/>
          <w:bCs/>
          <w:rtl/>
          <w:lang w:bidi="ar-SY"/>
        </w:rPr>
        <w:t>وتنقسم الأحاديث من حيث اتصال سندها أو انقطاعه إلى ثمانية أقسام:</w:t>
      </w:r>
    </w:p>
    <w:p w:rsidR="00881F70" w:rsidRPr="00367019" w:rsidRDefault="00FA54B5" w:rsidP="00FA54B5">
      <w:pPr>
        <w:pStyle w:val="a0"/>
        <w:ind w:left="624" w:hanging="340"/>
        <w:rPr>
          <w:rFonts w:eastAsia="Calibri"/>
          <w:lang w:bidi="ar-SY"/>
        </w:rPr>
      </w:pPr>
      <w:r>
        <w:rPr>
          <w:rFonts w:eastAsia="Calibri" w:hint="cs"/>
          <w:rtl/>
          <w:lang w:bidi="ar-SY"/>
        </w:rPr>
        <w:t>1</w:t>
      </w:r>
      <w:r w:rsidR="00881F70" w:rsidRPr="00367019">
        <w:rPr>
          <w:rFonts w:eastAsia="Calibri" w:hint="cs"/>
          <w:rtl/>
          <w:lang w:bidi="ar-SY"/>
        </w:rPr>
        <w:t xml:space="preserve">- </w:t>
      </w:r>
      <w:r w:rsidR="00881F70" w:rsidRPr="00367019">
        <w:rPr>
          <w:rFonts w:eastAsia="Calibri" w:hint="cs"/>
          <w:b/>
          <w:bCs/>
          <w:rtl/>
          <w:lang w:bidi="ar-SY"/>
        </w:rPr>
        <w:t>الحديث المسند</w:t>
      </w:r>
      <w:r w:rsidR="00881F70" w:rsidRPr="00367019">
        <w:rPr>
          <w:rFonts w:eastAsia="Calibri" w:hint="cs"/>
          <w:rtl/>
          <w:lang w:bidi="ar-SY"/>
        </w:rPr>
        <w:t>: هو الحديث الذي لم يقع في سلسلة سنده أي انقطاع في الرواة بين راويه وحتى الإمام، أي أن كل راوٍ من رجال سنده سمع الحديث من الراوي الذي قبله في سلسلة السند بشكل مباشر ونقله عنه وهكذا حتى يصل آخر راوٍ إلى الإمام.</w:t>
      </w:r>
    </w:p>
    <w:p w:rsidR="00881F70" w:rsidRPr="00367019" w:rsidRDefault="00FA54B5" w:rsidP="00FA54B5">
      <w:pPr>
        <w:pStyle w:val="a0"/>
        <w:ind w:left="624" w:hanging="340"/>
        <w:rPr>
          <w:rFonts w:eastAsia="Calibri"/>
          <w:lang w:bidi="ar-SY"/>
        </w:rPr>
      </w:pPr>
      <w:r>
        <w:rPr>
          <w:rFonts w:eastAsia="Calibri" w:hint="cs"/>
          <w:rtl/>
          <w:lang w:bidi="ar-SY"/>
        </w:rPr>
        <w:t>2</w:t>
      </w:r>
      <w:r w:rsidR="00881F70" w:rsidRPr="00367019">
        <w:rPr>
          <w:rFonts w:eastAsia="Calibri" w:hint="cs"/>
          <w:rtl/>
          <w:lang w:bidi="ar-SY"/>
        </w:rPr>
        <w:t xml:space="preserve">- </w:t>
      </w:r>
      <w:r w:rsidR="00881F70" w:rsidRPr="00367019">
        <w:rPr>
          <w:rFonts w:eastAsia="Calibri" w:hint="cs"/>
          <w:b/>
          <w:bCs/>
          <w:rtl/>
          <w:lang w:bidi="ar-SY"/>
        </w:rPr>
        <w:t>الحديث المتصل</w:t>
      </w:r>
      <w:r w:rsidR="00881F70" w:rsidRPr="00367019">
        <w:rPr>
          <w:rFonts w:eastAsia="Calibri" w:hint="cs"/>
          <w:rtl/>
          <w:lang w:bidi="ar-SY"/>
        </w:rPr>
        <w:t>: هو الحديث الذي اتصل سنده من كل راوٍ إلى الراوي الذي قبله سواء وصل السند في نهايته إلى الإمام أم توقف عند غير الإمام.</w:t>
      </w:r>
    </w:p>
    <w:p w:rsidR="00881F70" w:rsidRPr="00995B26" w:rsidRDefault="00881F70" w:rsidP="00FA54B5">
      <w:pPr>
        <w:pStyle w:val="a0"/>
        <w:ind w:left="624" w:hanging="340"/>
        <w:rPr>
          <w:rFonts w:eastAsia="Calibri"/>
          <w:rtl/>
          <w:lang w:bidi="ar-SY"/>
        </w:rPr>
      </w:pPr>
      <w:r w:rsidRPr="00367019">
        <w:rPr>
          <w:rFonts w:eastAsia="Calibri" w:hint="cs"/>
          <w:rtl/>
          <w:lang w:bidi="ar-SY"/>
        </w:rPr>
        <w:t>3</w:t>
      </w:r>
      <w:r w:rsidR="00FA54B5">
        <w:rPr>
          <w:rFonts w:eastAsia="Calibri" w:hint="cs"/>
          <w:rtl/>
          <w:lang w:bidi="ar-SY"/>
        </w:rPr>
        <w:t>-</w:t>
      </w:r>
      <w:r w:rsidRPr="00367019">
        <w:rPr>
          <w:rFonts w:eastAsia="Calibri" w:hint="cs"/>
          <w:rtl/>
          <w:lang w:bidi="ar-SY"/>
        </w:rPr>
        <w:t xml:space="preserve"> </w:t>
      </w:r>
      <w:r w:rsidRPr="00367019">
        <w:rPr>
          <w:rFonts w:eastAsia="Calibri" w:hint="cs"/>
          <w:b/>
          <w:bCs/>
          <w:rtl/>
          <w:lang w:bidi="ar-SY"/>
        </w:rPr>
        <w:t>الحديث المرفوع</w:t>
      </w:r>
      <w:r w:rsidRPr="00367019">
        <w:rPr>
          <w:rFonts w:eastAsia="Calibri" w:hint="cs"/>
          <w:rtl/>
          <w:lang w:bidi="ar-SY"/>
        </w:rPr>
        <w:t>: هو الحديث الذي أُضيف آخر سنده إلى قول الإمام أو فعله أو تقريره سواء كان في سنده إرسال أو لم يكن، كقول صحابي الإمام: «قال الإمام كذا أو رأيت الإمام يفعل كذا أو كنت في حضرة الإمام ففعلت كذا ولم ينكر الإمام علي».</w:t>
      </w:r>
    </w:p>
    <w:p w:rsidR="00881F70" w:rsidRPr="00995B26" w:rsidRDefault="00881F70" w:rsidP="00FA54B5">
      <w:pPr>
        <w:pStyle w:val="a0"/>
        <w:ind w:left="624" w:hanging="340"/>
        <w:rPr>
          <w:rFonts w:eastAsia="Calibri"/>
          <w:rtl/>
          <w:lang w:bidi="ar-SY"/>
        </w:rPr>
      </w:pPr>
      <w:r w:rsidRPr="00367019">
        <w:rPr>
          <w:rFonts w:eastAsia="Calibri" w:hint="cs"/>
          <w:rtl/>
          <w:lang w:bidi="ar-SY"/>
        </w:rPr>
        <w:t>4</w:t>
      </w:r>
      <w:r w:rsidR="00FA54B5">
        <w:rPr>
          <w:rFonts w:eastAsia="Calibri" w:hint="cs"/>
          <w:rtl/>
          <w:lang w:bidi="ar-SY"/>
        </w:rPr>
        <w:t>-</w:t>
      </w:r>
      <w:r w:rsidRPr="00367019">
        <w:rPr>
          <w:rFonts w:eastAsia="Calibri" w:hint="cs"/>
          <w:rtl/>
          <w:lang w:bidi="ar-SY"/>
        </w:rPr>
        <w:t xml:space="preserve"> </w:t>
      </w:r>
      <w:r w:rsidRPr="00367019">
        <w:rPr>
          <w:rFonts w:eastAsia="Calibri" w:hint="cs"/>
          <w:b/>
          <w:bCs/>
          <w:rtl/>
          <w:lang w:bidi="ar-SY"/>
        </w:rPr>
        <w:t>الحديث الموقوف</w:t>
      </w:r>
      <w:r w:rsidRPr="00367019">
        <w:rPr>
          <w:rFonts w:eastAsia="Calibri" w:hint="cs"/>
          <w:rtl/>
          <w:lang w:bidi="ar-SY"/>
        </w:rPr>
        <w:t>: هو الحديث الذي تنتهي سلسلة سنده بأحد الرواة ولا تصل إلى الإمام. في الحقيقة مثل هذه الرواية لا تعد حديثاً بل هي قول لأحد الرواة. اللهم إلا أن توجد قرائن تعطي حسب العادة الطمأنينة بأن هذا كلام الراوي صدر عن الإمام.</w:t>
      </w:r>
    </w:p>
    <w:p w:rsidR="00881F70" w:rsidRPr="00995B26" w:rsidRDefault="00881F70" w:rsidP="00FA54B5">
      <w:pPr>
        <w:pStyle w:val="a0"/>
        <w:ind w:left="624" w:hanging="340"/>
        <w:rPr>
          <w:rFonts w:eastAsia="Calibri"/>
          <w:rtl/>
          <w:lang w:bidi="ar-SY"/>
        </w:rPr>
      </w:pPr>
      <w:r w:rsidRPr="00367019">
        <w:rPr>
          <w:rFonts w:eastAsia="Calibri" w:hint="cs"/>
          <w:rtl/>
          <w:lang w:bidi="ar-SY"/>
        </w:rPr>
        <w:t>5</w:t>
      </w:r>
      <w:r w:rsidR="00FA54B5">
        <w:rPr>
          <w:rFonts w:eastAsia="Calibri" w:hint="cs"/>
          <w:rtl/>
          <w:lang w:bidi="ar-SY"/>
        </w:rPr>
        <w:t>-</w:t>
      </w:r>
      <w:r w:rsidRPr="00367019">
        <w:rPr>
          <w:rFonts w:eastAsia="Calibri" w:hint="cs"/>
          <w:rtl/>
          <w:lang w:bidi="ar-SY"/>
        </w:rPr>
        <w:t xml:space="preserve"> </w:t>
      </w:r>
      <w:r w:rsidRPr="00367019">
        <w:rPr>
          <w:rFonts w:eastAsia="Calibri" w:hint="cs"/>
          <w:b/>
          <w:bCs/>
          <w:rtl/>
          <w:lang w:bidi="ar-SY"/>
        </w:rPr>
        <w:t>الحديث المقطوع</w:t>
      </w:r>
      <w:r w:rsidRPr="00367019">
        <w:rPr>
          <w:rFonts w:eastAsia="Calibri" w:hint="cs"/>
          <w:rtl/>
          <w:lang w:bidi="ar-SY"/>
        </w:rPr>
        <w:t>: هو الحديث الذي بعض رجال سنده مجهولون، أو ليس هناك ثقة وطمأنينة باتصال سنده بالإمام. أما في مصطلح الحديث لدى أهل السنة فالحديث المقطوع هو كل حديث مروي عن أحد التابعين أو مُبيِّن لفعله.</w:t>
      </w:r>
    </w:p>
    <w:p w:rsidR="00881F70" w:rsidRPr="00367019" w:rsidRDefault="00FA54B5" w:rsidP="00FA54B5">
      <w:pPr>
        <w:pStyle w:val="a0"/>
        <w:ind w:left="624" w:hanging="340"/>
        <w:rPr>
          <w:rFonts w:eastAsia="Calibri"/>
          <w:rtl/>
          <w:lang w:bidi="ar-SY"/>
        </w:rPr>
      </w:pPr>
      <w:r>
        <w:rPr>
          <w:rFonts w:eastAsia="Calibri" w:hint="cs"/>
          <w:rtl/>
          <w:lang w:bidi="ar-SY"/>
        </w:rPr>
        <w:lastRenderedPageBreak/>
        <w:t>6</w:t>
      </w:r>
      <w:r w:rsidR="00881F70" w:rsidRPr="00367019">
        <w:rPr>
          <w:rFonts w:eastAsia="Calibri" w:hint="cs"/>
          <w:rtl/>
          <w:lang w:bidi="ar-SY"/>
        </w:rPr>
        <w:t xml:space="preserve">- </w:t>
      </w:r>
      <w:r w:rsidR="00881F70" w:rsidRPr="00367019">
        <w:rPr>
          <w:rFonts w:eastAsia="Calibri" w:hint="cs"/>
          <w:b/>
          <w:bCs/>
          <w:rtl/>
          <w:lang w:bidi="ar-SY"/>
        </w:rPr>
        <w:t>الحديث المرسل</w:t>
      </w:r>
      <w:r w:rsidR="00881F70" w:rsidRPr="00367019">
        <w:rPr>
          <w:rFonts w:eastAsia="Calibri" w:hint="cs"/>
          <w:rtl/>
          <w:lang w:bidi="ar-SY"/>
        </w:rPr>
        <w:t>: هو الحديث الذي لم يسمع راويه من الإمام ومع ذلك روى حديثه عن الإمام دون واسطة، أو رواه عن الإمام عبر واسطة ولكنه نسي أن يذكرها وصرَّح بنسيانه هذا، أو أنه لم يذكر الواسطة بينه وبين الإمام إما عمداً أو سهواً، أو أنه ذكر الواسطة على نحو مبهم كقوله: «عن رجل» أو «عن بعض أصحابنا»، سواء كانت الواسطة التي تم حذفها شخص واحد أو أكثر.</w:t>
      </w:r>
    </w:p>
    <w:p w:rsidR="00881F70" w:rsidRPr="00995B26" w:rsidRDefault="00881F70" w:rsidP="00FA54B5">
      <w:pPr>
        <w:pStyle w:val="a0"/>
        <w:ind w:left="624" w:hanging="340"/>
        <w:rPr>
          <w:rFonts w:eastAsia="Calibri"/>
          <w:rtl/>
          <w:lang w:bidi="ar-SY"/>
        </w:rPr>
      </w:pPr>
      <w:r w:rsidRPr="00367019">
        <w:rPr>
          <w:rFonts w:eastAsia="Calibri" w:hint="cs"/>
          <w:rtl/>
          <w:lang w:bidi="ar-SY"/>
        </w:rPr>
        <w:t xml:space="preserve">7 </w:t>
      </w:r>
      <w:r w:rsidR="00FA54B5">
        <w:rPr>
          <w:rFonts w:eastAsia="Calibri" w:hint="cs"/>
          <w:rtl/>
          <w:lang w:bidi="ar-SY"/>
        </w:rPr>
        <w:t>-</w:t>
      </w:r>
      <w:r w:rsidRPr="00367019">
        <w:rPr>
          <w:rFonts w:eastAsia="Calibri" w:hint="cs"/>
          <w:rtl/>
          <w:lang w:bidi="ar-SY"/>
        </w:rPr>
        <w:t xml:space="preserve"> </w:t>
      </w:r>
      <w:r w:rsidRPr="00367019">
        <w:rPr>
          <w:rFonts w:eastAsia="Calibri" w:hint="cs"/>
          <w:b/>
          <w:bCs/>
          <w:rtl/>
          <w:lang w:bidi="ar-SY"/>
        </w:rPr>
        <w:t>الحديث المنقطع</w:t>
      </w:r>
      <w:r w:rsidRPr="00367019">
        <w:rPr>
          <w:rFonts w:eastAsia="Calibri" w:hint="cs"/>
          <w:rtl/>
          <w:lang w:bidi="ar-SY"/>
        </w:rPr>
        <w:t>: هو الحديث الذي لم يتصل سنده بالإمام سواء وقع الانقطاع في بداية السند أو في وسطه أو في آخره وسواء كان الراوي الساقط من السند واحداً أم أكثر.</w:t>
      </w:r>
    </w:p>
    <w:p w:rsidR="00546906" w:rsidRPr="00995B26" w:rsidRDefault="00881F70" w:rsidP="00FA54B5">
      <w:pPr>
        <w:pStyle w:val="a0"/>
        <w:ind w:left="624" w:hanging="340"/>
        <w:rPr>
          <w:rFonts w:hint="cs"/>
          <w:rtl/>
          <w:lang w:bidi="ar-SY"/>
        </w:rPr>
      </w:pPr>
      <w:r w:rsidRPr="00367019">
        <w:rPr>
          <w:rFonts w:eastAsia="Calibri" w:hint="cs"/>
          <w:rtl/>
          <w:lang w:bidi="ar-SY"/>
        </w:rPr>
        <w:t>8</w:t>
      </w:r>
      <w:r w:rsidR="00FA54B5">
        <w:rPr>
          <w:rFonts w:eastAsia="Calibri" w:hint="cs"/>
          <w:rtl/>
          <w:lang w:bidi="ar-SY"/>
        </w:rPr>
        <w:t>-</w:t>
      </w:r>
      <w:r w:rsidRPr="00367019">
        <w:rPr>
          <w:rFonts w:eastAsia="Calibri" w:hint="cs"/>
          <w:rtl/>
          <w:lang w:bidi="ar-SY"/>
        </w:rPr>
        <w:t xml:space="preserve"> </w:t>
      </w:r>
      <w:r w:rsidRPr="00367019">
        <w:rPr>
          <w:rFonts w:eastAsia="Calibri" w:hint="cs"/>
          <w:b/>
          <w:bCs/>
          <w:rtl/>
          <w:lang w:bidi="ar-SY"/>
        </w:rPr>
        <w:t>الحديث المُعْضَل</w:t>
      </w:r>
      <w:r w:rsidRPr="00367019">
        <w:rPr>
          <w:rFonts w:eastAsia="Calibri" w:hint="cs"/>
          <w:rtl/>
          <w:lang w:bidi="ar-SY"/>
        </w:rPr>
        <w:t>: هو الحديث الذي سقط في سلسلة سنده راويان فأكثر. وبعضهم خصص سقوط الرواة في وسط السند وقال إن الحديث المعضل هو الحديث الذي سقط في وسط سنده راويان فأكثر أو سقط في بداية سنده أو وسطه أو آخره راويان فأكثر.</w:t>
      </w:r>
    </w:p>
    <w:p w:rsidR="00546906" w:rsidRPr="00995B26" w:rsidRDefault="00546906" w:rsidP="00546906">
      <w:pPr>
        <w:spacing w:after="120"/>
        <w:jc w:val="right"/>
        <w:rPr>
          <w:rFonts w:cs="KFGQPC Uthman Taha Naskh" w:hint="cs"/>
          <w:rtl/>
          <w:lang w:bidi="ar-SY"/>
        </w:rPr>
      </w:pPr>
      <w:r w:rsidRPr="00995B26">
        <w:rPr>
          <w:rFonts w:cs="KFGQPC Uthman Taha Naskh" w:hint="cs"/>
          <w:rtl/>
          <w:lang w:bidi="ar-SY"/>
        </w:rPr>
        <w:t>د. حنیف</w:t>
      </w:r>
    </w:p>
    <w:p w:rsidR="004A2B58" w:rsidRPr="00C3556F" w:rsidRDefault="004A2B58" w:rsidP="00C3556F">
      <w:pPr>
        <w:pStyle w:val="a0"/>
        <w:rPr>
          <w:rFonts w:hint="cs"/>
          <w:rtl/>
        </w:rPr>
        <w:sectPr w:rsidR="004A2B58" w:rsidRPr="00C3556F" w:rsidSect="00F2006D">
          <w:headerReference w:type="default" r:id="rId19"/>
          <w:footnotePr>
            <w:numRestart w:val="eachPage"/>
          </w:footnotePr>
          <w:type w:val="oddPage"/>
          <w:pgSz w:w="9356" w:h="13608" w:code="34"/>
          <w:pgMar w:top="964" w:right="1134" w:bottom="1134" w:left="964" w:header="0" w:footer="851" w:gutter="0"/>
          <w:cols w:space="708"/>
          <w:titlePg/>
          <w:bidi/>
          <w:rtlGutter/>
          <w:docGrid w:linePitch="360"/>
        </w:sectPr>
      </w:pPr>
    </w:p>
    <w:p w:rsidR="00255711" w:rsidRPr="00995B26" w:rsidRDefault="00255711" w:rsidP="00EC7905">
      <w:pPr>
        <w:pStyle w:val="Heading1"/>
        <w:rPr>
          <w:rFonts w:hint="cs"/>
          <w:rtl/>
        </w:rPr>
      </w:pPr>
      <w:bookmarkStart w:id="67" w:name="_Toc387843050"/>
      <w:r w:rsidRPr="00995B26">
        <w:rPr>
          <w:rFonts w:hint="cs"/>
          <w:rtl/>
        </w:rPr>
        <w:lastRenderedPageBreak/>
        <w:t>مقدِّمة</w:t>
      </w:r>
      <w:r w:rsidR="00953581" w:rsidRPr="00995B26">
        <w:rPr>
          <w:rFonts w:hint="cs"/>
          <w:rtl/>
        </w:rPr>
        <w:t xml:space="preserve"> </w:t>
      </w:r>
      <w:r w:rsidRPr="00995B26">
        <w:rPr>
          <w:rFonts w:hint="cs"/>
          <w:rtl/>
        </w:rPr>
        <w:t>المترج</w:t>
      </w:r>
      <w:r w:rsidR="004A2B58" w:rsidRPr="00995B26">
        <w:rPr>
          <w:rFonts w:hint="cs"/>
          <w:rtl/>
        </w:rPr>
        <w:t>ِ</w:t>
      </w:r>
      <w:r w:rsidRPr="00995B26">
        <w:rPr>
          <w:rFonts w:hint="cs"/>
          <w:rtl/>
        </w:rPr>
        <w:t>م</w:t>
      </w:r>
      <w:bookmarkEnd w:id="1"/>
      <w:bookmarkEnd w:id="67"/>
    </w:p>
    <w:p w:rsidR="00255711" w:rsidRPr="003F3B94" w:rsidRDefault="00255711" w:rsidP="003F3B94">
      <w:pPr>
        <w:pStyle w:val="a0"/>
        <w:rPr>
          <w:rtl/>
          <w:lang w:bidi="ar-SY"/>
        </w:rPr>
      </w:pPr>
      <w:r w:rsidRPr="003F3B94">
        <w:rPr>
          <w:rFonts w:ascii="Abo-thar" w:hAnsi="Abo-thar" w:hint="cs"/>
          <w:sz w:val="28"/>
          <w:rtl/>
          <w:lang w:bidi="ar-SY"/>
        </w:rPr>
        <w:t>بسم</w:t>
      </w:r>
      <w:r w:rsidR="00953581" w:rsidRPr="003F3B94">
        <w:rPr>
          <w:rFonts w:ascii="Abo-thar" w:hAnsi="Abo-thar" w:hint="cs"/>
          <w:sz w:val="28"/>
          <w:rtl/>
          <w:lang w:bidi="ar-SY"/>
        </w:rPr>
        <w:t xml:space="preserve"> </w:t>
      </w:r>
      <w:r w:rsidRPr="003F3B94">
        <w:rPr>
          <w:rFonts w:ascii="Abo-thar" w:hAnsi="Abo-thar" w:hint="cs"/>
          <w:sz w:val="28"/>
          <w:rtl/>
          <w:lang w:bidi="ar-SY"/>
        </w:rPr>
        <w:t>الله</w:t>
      </w:r>
      <w:r w:rsidR="00953581" w:rsidRPr="003F3B94">
        <w:rPr>
          <w:rFonts w:ascii="Abo-thar" w:hAnsi="Abo-thar" w:hint="cs"/>
          <w:sz w:val="28"/>
          <w:rtl/>
          <w:lang w:bidi="ar-SY"/>
        </w:rPr>
        <w:t xml:space="preserve"> </w:t>
      </w:r>
      <w:r w:rsidRPr="003F3B94">
        <w:rPr>
          <w:rFonts w:ascii="Abo-thar" w:hAnsi="Abo-thar" w:hint="cs"/>
          <w:sz w:val="28"/>
          <w:rtl/>
          <w:lang w:bidi="ar-SY"/>
        </w:rPr>
        <w:t>الرحمن</w:t>
      </w:r>
      <w:r w:rsidR="00953581" w:rsidRPr="003F3B94">
        <w:rPr>
          <w:rFonts w:ascii="Abo-thar" w:hAnsi="Abo-thar" w:hint="cs"/>
          <w:sz w:val="28"/>
          <w:rtl/>
          <w:lang w:bidi="ar-SY"/>
        </w:rPr>
        <w:t xml:space="preserve"> </w:t>
      </w:r>
      <w:r w:rsidRPr="003F3B94">
        <w:rPr>
          <w:rFonts w:ascii="Abo-thar" w:hAnsi="Abo-thar" w:hint="cs"/>
          <w:sz w:val="28"/>
          <w:rtl/>
          <w:lang w:bidi="ar-SY"/>
        </w:rPr>
        <w:t>الرحيم</w:t>
      </w:r>
      <w:r w:rsidR="005C53D5" w:rsidRPr="003F3B94">
        <w:rPr>
          <w:rFonts w:ascii="Abo-thar" w:hAnsi="Abo-thar" w:hint="cs"/>
          <w:sz w:val="28"/>
          <w:rtl/>
          <w:lang w:bidi="ar-SY"/>
        </w:rPr>
        <w:t>،</w:t>
      </w:r>
      <w:r w:rsidR="00953581" w:rsidRPr="003F3B94">
        <w:rPr>
          <w:rFonts w:ascii="Abo-thar" w:hAnsi="Abo-thar" w:hint="cs"/>
          <w:sz w:val="28"/>
          <w:rtl/>
          <w:lang w:bidi="ar-SY"/>
        </w:rPr>
        <w:t xml:space="preserve"> </w:t>
      </w:r>
      <w:r w:rsidRPr="003F3B94">
        <w:rPr>
          <w:rFonts w:ascii="Abo-thar" w:hAnsi="Abo-thar" w:hint="eastAsia"/>
          <w:sz w:val="28"/>
          <w:rtl/>
          <w:lang w:bidi="ar-SY"/>
        </w:rPr>
        <w:t>الحمد</w:t>
      </w:r>
      <w:r w:rsidR="00953581" w:rsidRPr="003F3B94">
        <w:rPr>
          <w:rFonts w:ascii="Abo-thar" w:hAnsi="Abo-thar"/>
          <w:sz w:val="28"/>
          <w:rtl/>
          <w:lang w:bidi="ar-SY"/>
        </w:rPr>
        <w:t xml:space="preserve"> </w:t>
      </w:r>
      <w:r w:rsidRPr="003F3B94">
        <w:rPr>
          <w:rFonts w:ascii="Abo-thar" w:hAnsi="Abo-thar" w:hint="eastAsia"/>
          <w:sz w:val="28"/>
          <w:rtl/>
          <w:lang w:bidi="ar-SY"/>
        </w:rPr>
        <w:t>لله</w:t>
      </w:r>
      <w:r w:rsidR="00953581" w:rsidRPr="003F3B94">
        <w:rPr>
          <w:rFonts w:ascii="Abo-thar" w:hAnsi="Abo-thar"/>
          <w:sz w:val="28"/>
          <w:rtl/>
          <w:lang w:bidi="ar-SY"/>
        </w:rPr>
        <w:t xml:space="preserve"> </w:t>
      </w:r>
      <w:r w:rsidRPr="003F3B94">
        <w:rPr>
          <w:rFonts w:ascii="Abo-thar" w:hAnsi="Abo-thar" w:hint="eastAsia"/>
          <w:sz w:val="28"/>
          <w:rtl/>
          <w:lang w:bidi="ar-SY"/>
        </w:rPr>
        <w:t>رب</w:t>
      </w:r>
      <w:r w:rsidR="00953581" w:rsidRPr="003F3B94">
        <w:rPr>
          <w:rFonts w:ascii="Abo-thar" w:hAnsi="Abo-thar"/>
          <w:sz w:val="28"/>
          <w:rtl/>
          <w:lang w:bidi="ar-SY"/>
        </w:rPr>
        <w:t xml:space="preserve"> </w:t>
      </w:r>
      <w:r w:rsidRPr="003F3B94">
        <w:rPr>
          <w:rFonts w:ascii="Abo-thar" w:hAnsi="Abo-thar" w:hint="eastAsia"/>
          <w:sz w:val="28"/>
          <w:rtl/>
          <w:lang w:bidi="ar-SY"/>
        </w:rPr>
        <w:t>العالمين</w:t>
      </w:r>
      <w:r w:rsidR="005C53D5" w:rsidRPr="003F3B94">
        <w:rPr>
          <w:rFonts w:ascii="Abo-thar" w:hAnsi="Abo-thar" w:hint="cs"/>
          <w:sz w:val="28"/>
          <w:rtl/>
          <w:lang w:bidi="ar-SY"/>
        </w:rPr>
        <w:t>،</w:t>
      </w:r>
      <w:r w:rsidR="00953581" w:rsidRPr="003F3B94">
        <w:rPr>
          <w:rFonts w:ascii="Abo-thar" w:hAnsi="Abo-thar"/>
          <w:sz w:val="28"/>
          <w:rtl/>
          <w:lang w:bidi="ar-SY"/>
        </w:rPr>
        <w:t xml:space="preserve"> </w:t>
      </w:r>
      <w:r w:rsidRPr="003F3B94">
        <w:rPr>
          <w:rFonts w:ascii="Abo-thar" w:hAnsi="Abo-thar" w:hint="eastAsia"/>
          <w:sz w:val="28"/>
          <w:rtl/>
          <w:lang w:bidi="ar-SY"/>
        </w:rPr>
        <w:t>والصلاة</w:t>
      </w:r>
      <w:r w:rsidR="00953581" w:rsidRPr="003F3B94">
        <w:rPr>
          <w:rFonts w:ascii="Abo-thar" w:hAnsi="Abo-thar"/>
          <w:sz w:val="28"/>
          <w:rtl/>
          <w:lang w:bidi="ar-SY"/>
        </w:rPr>
        <w:t xml:space="preserve"> </w:t>
      </w:r>
      <w:r w:rsidRPr="003F3B94">
        <w:rPr>
          <w:rFonts w:ascii="Abo-thar" w:hAnsi="Abo-thar" w:hint="eastAsia"/>
          <w:sz w:val="28"/>
          <w:rtl/>
          <w:lang w:bidi="ar-SY"/>
        </w:rPr>
        <w:t>والسلام</w:t>
      </w:r>
      <w:r w:rsidR="00953581" w:rsidRPr="003F3B94">
        <w:rPr>
          <w:rFonts w:ascii="Abo-thar" w:hAnsi="Abo-thar"/>
          <w:sz w:val="28"/>
          <w:rtl/>
          <w:lang w:bidi="ar-SY"/>
        </w:rPr>
        <w:t xml:space="preserve"> </w:t>
      </w:r>
      <w:r w:rsidRPr="003F3B94">
        <w:rPr>
          <w:rFonts w:ascii="Abo-thar" w:hAnsi="Abo-thar" w:hint="eastAsia"/>
          <w:sz w:val="28"/>
          <w:rtl/>
          <w:lang w:bidi="ar-SY"/>
        </w:rPr>
        <w:t>على</w:t>
      </w:r>
      <w:r w:rsidR="00953581" w:rsidRPr="003F3B94">
        <w:rPr>
          <w:rFonts w:ascii="Abo-thar" w:hAnsi="Abo-thar"/>
          <w:sz w:val="28"/>
          <w:rtl/>
          <w:lang w:bidi="ar-SY"/>
        </w:rPr>
        <w:t xml:space="preserve"> </w:t>
      </w:r>
      <w:r w:rsidRPr="003F3B94">
        <w:rPr>
          <w:rFonts w:ascii="Abo-thar" w:hAnsi="Abo-thar" w:hint="eastAsia"/>
          <w:sz w:val="28"/>
          <w:rtl/>
          <w:lang w:bidi="ar-SY"/>
        </w:rPr>
        <w:t>أشرف</w:t>
      </w:r>
      <w:r w:rsidR="00953581" w:rsidRPr="003F3B94">
        <w:rPr>
          <w:rFonts w:ascii="Abo-thar" w:hAnsi="Abo-thar"/>
          <w:sz w:val="28"/>
          <w:rtl/>
          <w:lang w:bidi="ar-SY"/>
        </w:rPr>
        <w:t xml:space="preserve"> </w:t>
      </w:r>
      <w:r w:rsidRPr="003F3B94">
        <w:rPr>
          <w:rFonts w:ascii="Abo-thar" w:hAnsi="Abo-thar" w:hint="eastAsia"/>
          <w:sz w:val="28"/>
          <w:rtl/>
          <w:lang w:bidi="ar-SY"/>
        </w:rPr>
        <w:t>الأنبياء</w:t>
      </w:r>
      <w:r w:rsidR="00953581" w:rsidRPr="003F3B94">
        <w:rPr>
          <w:rFonts w:ascii="Abo-thar" w:hAnsi="Abo-thar"/>
          <w:sz w:val="28"/>
          <w:rtl/>
          <w:lang w:bidi="ar-SY"/>
        </w:rPr>
        <w:t xml:space="preserve"> </w:t>
      </w:r>
      <w:r w:rsidRPr="003F3B94">
        <w:rPr>
          <w:rFonts w:ascii="Abo-thar" w:hAnsi="Abo-thar" w:hint="eastAsia"/>
          <w:sz w:val="28"/>
          <w:rtl/>
          <w:lang w:bidi="ar-SY"/>
        </w:rPr>
        <w:t>والمرسلين</w:t>
      </w:r>
      <w:r w:rsidR="00953581" w:rsidRPr="003F3B94">
        <w:rPr>
          <w:rFonts w:ascii="Abo-thar" w:hAnsi="Abo-thar"/>
          <w:sz w:val="28"/>
          <w:rtl/>
          <w:lang w:bidi="ar-SY"/>
        </w:rPr>
        <w:t xml:space="preserve"> </w:t>
      </w:r>
      <w:r w:rsidRPr="003F3B94">
        <w:rPr>
          <w:rFonts w:ascii="Abo-thar" w:hAnsi="Abo-thar" w:hint="eastAsia"/>
          <w:sz w:val="28"/>
          <w:rtl/>
          <w:lang w:bidi="ar-SY"/>
        </w:rPr>
        <w:t>نبي</w:t>
      </w:r>
      <w:r w:rsidRPr="003F3B94">
        <w:rPr>
          <w:rFonts w:ascii="Abo-thar" w:hAnsi="Abo-thar" w:hint="cs"/>
          <w:sz w:val="28"/>
          <w:rtl/>
          <w:lang w:bidi="ar-SY"/>
        </w:rPr>
        <w:t>ِّ</w:t>
      </w:r>
      <w:r w:rsidRPr="003F3B94">
        <w:rPr>
          <w:rFonts w:ascii="Abo-thar" w:hAnsi="Abo-thar" w:hint="eastAsia"/>
          <w:sz w:val="28"/>
          <w:rtl/>
          <w:lang w:bidi="ar-SY"/>
        </w:rPr>
        <w:t>نا</w:t>
      </w:r>
      <w:r w:rsidR="00953581" w:rsidRPr="003F3B94">
        <w:rPr>
          <w:rFonts w:ascii="Abo-thar" w:hAnsi="Abo-thar"/>
          <w:sz w:val="28"/>
          <w:rtl/>
          <w:lang w:bidi="ar-SY"/>
        </w:rPr>
        <w:t xml:space="preserve"> </w:t>
      </w:r>
      <w:r w:rsidRPr="003F3B94">
        <w:rPr>
          <w:rFonts w:ascii="Abo-thar" w:hAnsi="Abo-thar" w:hint="eastAsia"/>
          <w:sz w:val="28"/>
          <w:rtl/>
          <w:lang w:bidi="ar-SY"/>
        </w:rPr>
        <w:t>محم</w:t>
      </w:r>
      <w:r w:rsidRPr="003F3B94">
        <w:rPr>
          <w:rFonts w:ascii="Abo-thar" w:hAnsi="Abo-thar" w:hint="cs"/>
          <w:sz w:val="28"/>
          <w:rtl/>
          <w:lang w:bidi="ar-SY"/>
        </w:rPr>
        <w:t>ّ</w:t>
      </w:r>
      <w:r w:rsidRPr="003F3B94">
        <w:rPr>
          <w:rFonts w:ascii="Abo-thar" w:hAnsi="Abo-thar" w:hint="eastAsia"/>
          <w:sz w:val="28"/>
          <w:rtl/>
          <w:lang w:bidi="ar-SY"/>
        </w:rPr>
        <w:t>د</w:t>
      </w:r>
      <w:r w:rsidRPr="003F3B94">
        <w:rPr>
          <w:rFonts w:ascii="Abo-thar" w:hAnsi="Abo-thar" w:hint="cs"/>
          <w:sz w:val="28"/>
          <w:rtl/>
          <w:lang w:bidi="ar-SY"/>
        </w:rPr>
        <w:t>ٍ</w:t>
      </w:r>
      <w:r w:rsidR="00953581" w:rsidRPr="003F3B94">
        <w:rPr>
          <w:rFonts w:ascii="Abo-thar" w:hAnsi="Abo-thar"/>
          <w:sz w:val="28"/>
          <w:rtl/>
          <w:lang w:bidi="ar-SY"/>
        </w:rPr>
        <w:t xml:space="preserve"> </w:t>
      </w:r>
      <w:r w:rsidRPr="003F3B94">
        <w:rPr>
          <w:rFonts w:ascii="Abo-thar" w:hAnsi="Abo-thar" w:hint="eastAsia"/>
          <w:sz w:val="28"/>
          <w:rtl/>
          <w:lang w:bidi="ar-SY"/>
        </w:rPr>
        <w:t>وعلى</w:t>
      </w:r>
      <w:r w:rsidR="00953581" w:rsidRPr="003F3B94">
        <w:rPr>
          <w:rFonts w:ascii="Abo-thar" w:hAnsi="Abo-thar"/>
          <w:sz w:val="28"/>
          <w:rtl/>
          <w:lang w:bidi="ar-SY"/>
        </w:rPr>
        <w:t xml:space="preserve"> </w:t>
      </w:r>
      <w:r w:rsidRPr="003F3B94">
        <w:rPr>
          <w:rFonts w:ascii="Abo-thar" w:hAnsi="Abo-thar" w:hint="eastAsia"/>
          <w:sz w:val="28"/>
          <w:rtl/>
          <w:lang w:bidi="ar-SY"/>
        </w:rPr>
        <w:t>آله</w:t>
      </w:r>
      <w:r w:rsidR="00953581" w:rsidRPr="003F3B94">
        <w:rPr>
          <w:rFonts w:ascii="Abo-thar" w:hAnsi="Abo-thar"/>
          <w:sz w:val="28"/>
          <w:rtl/>
          <w:lang w:bidi="ar-SY"/>
        </w:rPr>
        <w:t xml:space="preserve"> </w:t>
      </w:r>
      <w:r w:rsidRPr="003F3B94">
        <w:rPr>
          <w:rFonts w:ascii="Abo-thar" w:hAnsi="Abo-thar" w:hint="cs"/>
          <w:sz w:val="28"/>
          <w:rtl/>
          <w:lang w:bidi="ar-SY"/>
        </w:rPr>
        <w:t>الطيبين</w:t>
      </w:r>
      <w:r w:rsidR="00953581" w:rsidRPr="003F3B94">
        <w:rPr>
          <w:rFonts w:ascii="Abo-thar" w:hAnsi="Abo-thar" w:hint="cs"/>
          <w:sz w:val="28"/>
          <w:rtl/>
          <w:lang w:bidi="ar-SY"/>
        </w:rPr>
        <w:t xml:space="preserve"> </w:t>
      </w:r>
      <w:r w:rsidRPr="003F3B94">
        <w:rPr>
          <w:rFonts w:ascii="Abo-thar" w:hAnsi="Abo-thar" w:hint="cs"/>
          <w:sz w:val="28"/>
          <w:rtl/>
          <w:lang w:bidi="ar-SY"/>
        </w:rPr>
        <w:t>الطاهرين</w:t>
      </w:r>
      <w:r w:rsidR="00953581" w:rsidRPr="003F3B94">
        <w:rPr>
          <w:rFonts w:ascii="Abo-thar" w:hAnsi="Abo-thar" w:hint="cs"/>
          <w:sz w:val="28"/>
          <w:rtl/>
          <w:lang w:bidi="ar-SY"/>
        </w:rPr>
        <w:t xml:space="preserve"> </w:t>
      </w:r>
      <w:r w:rsidRPr="003F3B94">
        <w:rPr>
          <w:rFonts w:ascii="Abo-thar" w:hAnsi="Abo-thar" w:hint="eastAsia"/>
          <w:sz w:val="28"/>
          <w:rtl/>
          <w:lang w:bidi="ar-SY"/>
        </w:rPr>
        <w:t>وصحبه</w:t>
      </w:r>
      <w:r w:rsidR="00953581" w:rsidRPr="003F3B94">
        <w:rPr>
          <w:rFonts w:ascii="Abo-thar" w:hAnsi="Abo-thar"/>
          <w:sz w:val="28"/>
          <w:rtl/>
          <w:lang w:bidi="ar-SY"/>
        </w:rPr>
        <w:t xml:space="preserve"> </w:t>
      </w:r>
      <w:r w:rsidRPr="003F3B94">
        <w:rPr>
          <w:rFonts w:ascii="Abo-thar" w:hAnsi="Abo-thar" w:hint="cs"/>
          <w:sz w:val="28"/>
          <w:rtl/>
          <w:lang w:bidi="ar-SY"/>
        </w:rPr>
        <w:t>الأخيار</w:t>
      </w:r>
      <w:r w:rsidR="00953581" w:rsidRPr="003F3B94">
        <w:rPr>
          <w:rFonts w:ascii="Abo-thar" w:hAnsi="Abo-thar" w:hint="cs"/>
          <w:sz w:val="28"/>
          <w:rtl/>
          <w:lang w:bidi="ar-SY"/>
        </w:rPr>
        <w:t xml:space="preserve"> </w:t>
      </w:r>
      <w:r w:rsidRPr="003F3B94">
        <w:rPr>
          <w:rFonts w:ascii="Abo-thar" w:hAnsi="Abo-thar" w:hint="cs"/>
          <w:sz w:val="28"/>
          <w:rtl/>
          <w:lang w:bidi="ar-SY"/>
        </w:rPr>
        <w:t>الأبرار</w:t>
      </w:r>
      <w:r w:rsidR="00953581" w:rsidRPr="003F3B94">
        <w:rPr>
          <w:rFonts w:ascii="Abo-thar" w:hAnsi="Abo-thar" w:hint="cs"/>
          <w:sz w:val="28"/>
          <w:rtl/>
          <w:lang w:bidi="ar-SY"/>
        </w:rPr>
        <w:t xml:space="preserve"> </w:t>
      </w:r>
      <w:r w:rsidRPr="003F3B94">
        <w:rPr>
          <w:rFonts w:ascii="Abo-thar" w:hAnsi="Abo-thar" w:hint="cs"/>
          <w:sz w:val="28"/>
          <w:rtl/>
          <w:lang w:bidi="ar-SY"/>
        </w:rPr>
        <w:t>الميامين</w:t>
      </w:r>
      <w:r w:rsidR="00953581" w:rsidRPr="003F3B94">
        <w:rPr>
          <w:rFonts w:ascii="Abo-thar" w:hAnsi="Abo-thar" w:hint="cs"/>
          <w:sz w:val="28"/>
          <w:rtl/>
          <w:lang w:bidi="ar-SY"/>
        </w:rPr>
        <w:t xml:space="preserve"> </w:t>
      </w:r>
      <w:r w:rsidRPr="003F3B94">
        <w:rPr>
          <w:rFonts w:ascii="Abo-thar" w:hAnsi="Abo-thar" w:hint="eastAsia"/>
          <w:sz w:val="28"/>
          <w:rtl/>
          <w:lang w:bidi="ar-SY"/>
        </w:rPr>
        <w:t>أجمعين</w:t>
      </w:r>
      <w:r w:rsidR="005C53D5" w:rsidRPr="003F3B94">
        <w:rPr>
          <w:rFonts w:ascii="Abo-thar" w:hAnsi="Abo-thar" w:hint="eastAsia"/>
          <w:sz w:val="28"/>
          <w:rtl/>
          <w:lang w:bidi="ar-SY"/>
        </w:rPr>
        <w:t>،</w:t>
      </w:r>
      <w:r w:rsidR="00953581" w:rsidRPr="003F3B94">
        <w:rPr>
          <w:rFonts w:ascii="Abo-thar" w:hAnsi="Abo-thar" w:hint="cs"/>
          <w:sz w:val="28"/>
          <w:rtl/>
          <w:lang w:bidi="ar-SY"/>
        </w:rPr>
        <w:t xml:space="preserve"> </w:t>
      </w:r>
      <w:r w:rsidRPr="003F3B94">
        <w:rPr>
          <w:rFonts w:ascii="Abo-thar" w:hAnsi="Abo-thar" w:hint="eastAsia"/>
          <w:sz w:val="28"/>
          <w:rtl/>
          <w:lang w:bidi="ar-SY"/>
        </w:rPr>
        <w:t>وبعد</w:t>
      </w:r>
      <w:r w:rsidR="005C53D5" w:rsidRPr="003F3B94">
        <w:rPr>
          <w:rFonts w:ascii="Abo-thar" w:hAnsi="Abo-thar" w:hint="cs"/>
          <w:sz w:val="28"/>
          <w:rtl/>
          <w:lang w:bidi="ar-SY"/>
        </w:rPr>
        <w:t>،</w:t>
      </w:r>
    </w:p>
    <w:p w:rsidR="00255711" w:rsidRPr="003F3B94" w:rsidRDefault="00255711" w:rsidP="003F3B94">
      <w:pPr>
        <w:pStyle w:val="a0"/>
        <w:rPr>
          <w:rFonts w:hint="cs"/>
          <w:rtl/>
          <w:lang w:bidi="ar-SY"/>
        </w:rPr>
      </w:pPr>
      <w:r w:rsidRPr="003F3B94">
        <w:rPr>
          <w:rFonts w:ascii="Abo-thar" w:hAnsi="Abo-thar" w:hint="eastAsia"/>
          <w:sz w:val="28"/>
          <w:rtl/>
          <w:lang w:bidi="ar-SY"/>
        </w:rPr>
        <w:t>فإن</w:t>
      </w:r>
      <w:r w:rsidR="00953581" w:rsidRPr="003F3B94">
        <w:rPr>
          <w:rFonts w:ascii="Abo-thar" w:hAnsi="Abo-thar"/>
          <w:sz w:val="28"/>
          <w:rtl/>
          <w:lang w:bidi="ar-SY"/>
        </w:rPr>
        <w:t xml:space="preserve"> </w:t>
      </w:r>
      <w:r w:rsidRPr="003F3B94">
        <w:rPr>
          <w:rFonts w:ascii="Abo-thar" w:hAnsi="Abo-thar" w:hint="cs"/>
          <w:sz w:val="28"/>
          <w:rtl/>
          <w:lang w:bidi="ar-SY"/>
        </w:rPr>
        <w:t>مسألة</w:t>
      </w:r>
      <w:r w:rsidR="00953581" w:rsidRPr="003F3B94">
        <w:rPr>
          <w:rFonts w:ascii="Abo-thar" w:hAnsi="Abo-thar" w:hint="cs"/>
          <w:sz w:val="28"/>
          <w:rtl/>
          <w:lang w:bidi="ar-SY"/>
        </w:rPr>
        <w:t xml:space="preserve"> </w:t>
      </w:r>
      <w:r w:rsidRPr="003F3B94">
        <w:rPr>
          <w:rFonts w:ascii="Abo-thar" w:hAnsi="Abo-thar" w:hint="cs"/>
          <w:sz w:val="28"/>
          <w:rtl/>
          <w:lang w:bidi="ar-SY"/>
        </w:rPr>
        <w:t>وجوب</w:t>
      </w:r>
      <w:r w:rsidR="00953581" w:rsidRPr="003F3B94">
        <w:rPr>
          <w:rFonts w:ascii="Abo-thar" w:hAnsi="Abo-thar" w:hint="cs"/>
          <w:sz w:val="28"/>
          <w:rtl/>
          <w:lang w:bidi="ar-SY"/>
        </w:rPr>
        <w:t xml:space="preserve"> </w:t>
      </w:r>
      <w:r w:rsidRPr="003F3B94">
        <w:rPr>
          <w:rFonts w:ascii="Abo-thar" w:hAnsi="Abo-thar" w:hint="cs"/>
          <w:sz w:val="28"/>
          <w:rtl/>
          <w:lang w:bidi="ar-SY"/>
        </w:rPr>
        <w:t>دفع</w:t>
      </w:r>
      <w:r w:rsidR="00953581" w:rsidRPr="003F3B94">
        <w:rPr>
          <w:rFonts w:ascii="Abo-thar" w:hAnsi="Abo-thar" w:hint="cs"/>
          <w:sz w:val="28"/>
          <w:rtl/>
          <w:lang w:bidi="ar-SY"/>
        </w:rPr>
        <w:t xml:space="preserve"> </w:t>
      </w:r>
      <w:r w:rsidRPr="003F3B94">
        <w:rPr>
          <w:rFonts w:ascii="Abo-thar" w:hAnsi="Abo-thar" w:hint="cs"/>
          <w:sz w:val="28"/>
          <w:rtl/>
          <w:lang w:bidi="ar-SY"/>
        </w:rPr>
        <w:t>خمس</w:t>
      </w:r>
      <w:r w:rsidR="00953581" w:rsidRPr="003F3B94">
        <w:rPr>
          <w:rFonts w:ascii="Abo-thar" w:hAnsi="Abo-thar" w:hint="cs"/>
          <w:sz w:val="28"/>
          <w:rtl/>
          <w:lang w:bidi="ar-SY"/>
        </w:rPr>
        <w:t xml:space="preserve"> </w:t>
      </w:r>
      <w:r w:rsidRPr="003F3B94">
        <w:rPr>
          <w:rFonts w:ascii="Abo-thar" w:hAnsi="Abo-thar" w:hint="cs"/>
          <w:sz w:val="28"/>
          <w:rtl/>
          <w:lang w:bidi="ar-SY"/>
        </w:rPr>
        <w:t>أرباح</w:t>
      </w:r>
      <w:r w:rsidR="00953581" w:rsidRPr="003F3B94">
        <w:rPr>
          <w:rFonts w:ascii="Abo-thar" w:hAnsi="Abo-thar" w:hint="cs"/>
          <w:sz w:val="28"/>
          <w:rtl/>
          <w:lang w:bidi="ar-SY"/>
        </w:rPr>
        <w:t xml:space="preserve"> </w:t>
      </w:r>
      <w:r w:rsidRPr="003F3B94">
        <w:rPr>
          <w:rFonts w:ascii="Abo-thar" w:hAnsi="Abo-thar" w:hint="cs"/>
          <w:sz w:val="28"/>
          <w:rtl/>
          <w:lang w:bidi="ar-SY"/>
        </w:rPr>
        <w:t>المكاسب</w:t>
      </w:r>
      <w:r w:rsidR="00953581" w:rsidRPr="003F3B94">
        <w:rPr>
          <w:rFonts w:ascii="Abo-thar" w:hAnsi="Abo-thar" w:hint="cs"/>
          <w:sz w:val="28"/>
          <w:rtl/>
          <w:lang w:bidi="ar-SY"/>
        </w:rPr>
        <w:t xml:space="preserve"> </w:t>
      </w:r>
      <w:r w:rsidRPr="003F3B94">
        <w:rPr>
          <w:rFonts w:ascii="Abo-thar" w:hAnsi="Abo-thar" w:hint="cs"/>
          <w:sz w:val="28"/>
          <w:rtl/>
          <w:lang w:bidi="ar-SY"/>
        </w:rPr>
        <w:t>والتجارات</w:t>
      </w:r>
      <w:r w:rsidR="00953581" w:rsidRPr="003F3B94">
        <w:rPr>
          <w:rFonts w:ascii="Abo-thar" w:hAnsi="Abo-thar" w:hint="cs"/>
          <w:sz w:val="28"/>
          <w:rtl/>
          <w:lang w:bidi="ar-SY"/>
        </w:rPr>
        <w:t xml:space="preserve"> </w:t>
      </w:r>
      <w:r w:rsidRPr="003F3B94">
        <w:rPr>
          <w:rFonts w:ascii="Abo-thar" w:hAnsi="Abo-thar" w:hint="cs"/>
          <w:sz w:val="28"/>
          <w:rtl/>
          <w:lang w:bidi="ar-SY"/>
        </w:rPr>
        <w:t>والصناعات</w:t>
      </w:r>
      <w:r w:rsidR="00953581" w:rsidRPr="003F3B94">
        <w:rPr>
          <w:rFonts w:ascii="Abo-thar" w:hAnsi="Abo-thar" w:hint="cs"/>
          <w:sz w:val="28"/>
          <w:rtl/>
          <w:lang w:bidi="ar-SY"/>
        </w:rPr>
        <w:t xml:space="preserve"> </w:t>
      </w:r>
      <w:r w:rsidRPr="003F3B94">
        <w:rPr>
          <w:rFonts w:ascii="Abo-thar" w:hAnsi="Abo-thar" w:hint="cs"/>
          <w:sz w:val="28"/>
          <w:rtl/>
          <w:lang w:bidi="ar-SY"/>
        </w:rPr>
        <w:t>والزراعات</w:t>
      </w:r>
      <w:r w:rsidR="00953581" w:rsidRPr="003F3B94">
        <w:rPr>
          <w:rFonts w:ascii="Abo-thar" w:hAnsi="Abo-thar" w:hint="cs"/>
          <w:sz w:val="28"/>
          <w:rtl/>
          <w:lang w:bidi="ar-SY"/>
        </w:rPr>
        <w:t xml:space="preserve"> </w:t>
      </w:r>
      <w:r w:rsidRPr="003F3B94">
        <w:rPr>
          <w:rFonts w:ascii="Abo-thar" w:hAnsi="Abo-thar" w:hint="cs"/>
          <w:sz w:val="28"/>
          <w:rtl/>
          <w:lang w:bidi="ar-SY"/>
        </w:rPr>
        <w:t>وغيرها</w:t>
      </w:r>
      <w:r w:rsidR="00953581" w:rsidRPr="003F3B94">
        <w:rPr>
          <w:rFonts w:ascii="Abo-thar" w:hAnsi="Abo-thar" w:hint="cs"/>
          <w:sz w:val="28"/>
          <w:rtl/>
          <w:lang w:bidi="ar-SY"/>
        </w:rPr>
        <w:t xml:space="preserve"> </w:t>
      </w:r>
      <w:r w:rsidRPr="003F3B94">
        <w:rPr>
          <w:rFonts w:ascii="Abo-thar" w:hAnsi="Abo-thar" w:hint="cs"/>
          <w:sz w:val="28"/>
          <w:rtl/>
          <w:lang w:bidi="ar-SY"/>
        </w:rPr>
        <w:t>من</w:t>
      </w:r>
      <w:r w:rsidR="00953581" w:rsidRPr="003F3B94">
        <w:rPr>
          <w:rFonts w:ascii="Abo-thar" w:hAnsi="Abo-thar" w:hint="cs"/>
          <w:sz w:val="28"/>
          <w:rtl/>
          <w:lang w:bidi="ar-SY"/>
        </w:rPr>
        <w:t xml:space="preserve"> </w:t>
      </w:r>
      <w:r w:rsidRPr="003F3B94">
        <w:rPr>
          <w:rFonts w:ascii="Abo-thar" w:hAnsi="Abo-thar" w:hint="cs"/>
          <w:sz w:val="28"/>
          <w:rtl/>
          <w:lang w:bidi="ar-SY"/>
        </w:rPr>
        <w:t>المكاسب</w:t>
      </w:r>
      <w:r w:rsidR="005C53D5" w:rsidRPr="003F3B94">
        <w:rPr>
          <w:rFonts w:ascii="Abo-thar" w:hAnsi="Abo-thar" w:hint="cs"/>
          <w:sz w:val="28"/>
          <w:rtl/>
          <w:lang w:bidi="ar-SY"/>
        </w:rPr>
        <w:t>..</w:t>
      </w:r>
      <w:r w:rsidR="00953581" w:rsidRPr="003F3B94">
        <w:rPr>
          <w:rFonts w:ascii="Abo-thar" w:hAnsi="Abo-thar" w:hint="cs"/>
          <w:sz w:val="28"/>
          <w:rtl/>
          <w:lang w:bidi="ar-SY"/>
        </w:rPr>
        <w:t xml:space="preserve"> </w:t>
      </w:r>
      <w:r w:rsidRPr="003F3B94">
        <w:rPr>
          <w:rFonts w:ascii="Abo-thar" w:hAnsi="Abo-thar" w:hint="cs"/>
          <w:sz w:val="28"/>
          <w:rtl/>
          <w:lang w:bidi="ar-SY"/>
        </w:rPr>
        <w:t>من</w:t>
      </w:r>
      <w:r w:rsidR="00953581" w:rsidRPr="003F3B94">
        <w:rPr>
          <w:rFonts w:ascii="Abo-thar" w:hAnsi="Abo-thar" w:hint="cs"/>
          <w:sz w:val="28"/>
          <w:rtl/>
          <w:lang w:bidi="ar-SY"/>
        </w:rPr>
        <w:t xml:space="preserve"> </w:t>
      </w:r>
      <w:r w:rsidRPr="003F3B94">
        <w:rPr>
          <w:rFonts w:ascii="Abo-thar" w:hAnsi="Abo-thar" w:hint="cs"/>
          <w:sz w:val="28"/>
          <w:rtl/>
          <w:lang w:bidi="ar-SY"/>
        </w:rPr>
        <w:t>المسائل</w:t>
      </w:r>
      <w:r w:rsidR="00953581" w:rsidRPr="003F3B94">
        <w:rPr>
          <w:rFonts w:ascii="Abo-thar" w:hAnsi="Abo-thar" w:hint="cs"/>
          <w:sz w:val="28"/>
          <w:rtl/>
          <w:lang w:bidi="ar-SY"/>
        </w:rPr>
        <w:t xml:space="preserve"> </w:t>
      </w:r>
      <w:r w:rsidRPr="003F3B94">
        <w:rPr>
          <w:rFonts w:ascii="Abo-thar" w:hAnsi="Abo-thar" w:hint="cs"/>
          <w:sz w:val="28"/>
          <w:rtl/>
          <w:lang w:bidi="ar-SY"/>
        </w:rPr>
        <w:t>التي</w:t>
      </w:r>
      <w:r w:rsidR="00953581" w:rsidRPr="003F3B94">
        <w:rPr>
          <w:rFonts w:ascii="Abo-thar" w:hAnsi="Abo-thar" w:hint="cs"/>
          <w:sz w:val="28"/>
          <w:rtl/>
          <w:lang w:bidi="ar-SY"/>
        </w:rPr>
        <w:t xml:space="preserve"> </w:t>
      </w:r>
      <w:r w:rsidRPr="003F3B94">
        <w:rPr>
          <w:rFonts w:ascii="Abo-thar" w:hAnsi="Abo-thar" w:hint="cs"/>
          <w:sz w:val="28"/>
          <w:rtl/>
          <w:lang w:bidi="ar-SY"/>
        </w:rPr>
        <w:t>اختص</w:t>
      </w:r>
      <w:r w:rsidR="00953581" w:rsidRPr="003F3B94">
        <w:rPr>
          <w:rFonts w:ascii="Abo-thar" w:hAnsi="Abo-thar" w:hint="cs"/>
          <w:sz w:val="28"/>
          <w:rtl/>
          <w:lang w:bidi="ar-SY"/>
        </w:rPr>
        <w:t xml:space="preserve"> </w:t>
      </w:r>
      <w:r w:rsidRPr="003F3B94">
        <w:rPr>
          <w:rFonts w:ascii="Abo-thar" w:hAnsi="Abo-thar" w:hint="cs"/>
          <w:sz w:val="28"/>
          <w:rtl/>
          <w:lang w:bidi="ar-SY"/>
        </w:rPr>
        <w:t>بها</w:t>
      </w:r>
      <w:r w:rsidR="00953581" w:rsidRPr="003F3B94">
        <w:rPr>
          <w:rFonts w:ascii="Abo-thar" w:hAnsi="Abo-thar" w:hint="cs"/>
          <w:sz w:val="28"/>
          <w:rtl/>
          <w:lang w:bidi="ar-SY"/>
        </w:rPr>
        <w:t xml:space="preserve"> </w:t>
      </w:r>
      <w:r w:rsidRPr="003F3B94">
        <w:rPr>
          <w:rFonts w:ascii="Abo-thar" w:hAnsi="Abo-thar" w:hint="cs"/>
          <w:sz w:val="28"/>
          <w:rtl/>
          <w:lang w:bidi="ar-SY"/>
        </w:rPr>
        <w:t>فقه</w:t>
      </w:r>
      <w:r w:rsidR="00953581" w:rsidRPr="003F3B94">
        <w:rPr>
          <w:rFonts w:ascii="Abo-thar" w:hAnsi="Abo-thar" w:hint="cs"/>
          <w:sz w:val="28"/>
          <w:rtl/>
          <w:lang w:bidi="ar-SY"/>
        </w:rPr>
        <w:t xml:space="preserve"> </w:t>
      </w:r>
      <w:r w:rsidRPr="003F3B94">
        <w:rPr>
          <w:rFonts w:ascii="Abo-thar" w:hAnsi="Abo-thar" w:hint="cs"/>
          <w:sz w:val="28"/>
          <w:rtl/>
          <w:lang w:bidi="ar-SY"/>
        </w:rPr>
        <w:t>المذهب</w:t>
      </w:r>
      <w:r w:rsidR="00953581" w:rsidRPr="003F3B94">
        <w:rPr>
          <w:rFonts w:ascii="Abo-thar" w:hAnsi="Abo-thar" w:hint="cs"/>
          <w:sz w:val="28"/>
          <w:rtl/>
          <w:lang w:bidi="ar-SY"/>
        </w:rPr>
        <w:t xml:space="preserve"> </w:t>
      </w:r>
      <w:r w:rsidRPr="003F3B94">
        <w:rPr>
          <w:rFonts w:ascii="Abo-thar" w:hAnsi="Abo-thar" w:hint="cs"/>
          <w:sz w:val="28"/>
          <w:rtl/>
          <w:lang w:bidi="ar-SY"/>
        </w:rPr>
        <w:t>الإمامي</w:t>
      </w:r>
      <w:r w:rsidR="00953581" w:rsidRPr="003F3B94">
        <w:rPr>
          <w:rFonts w:ascii="Abo-thar" w:hAnsi="Abo-thar" w:hint="cs"/>
          <w:sz w:val="28"/>
          <w:rtl/>
          <w:lang w:bidi="ar-SY"/>
        </w:rPr>
        <w:t xml:space="preserve"> </w:t>
      </w:r>
      <w:r w:rsidRPr="003F3B94">
        <w:rPr>
          <w:rFonts w:ascii="Abo-thar" w:hAnsi="Abo-thar" w:hint="cs"/>
          <w:sz w:val="28"/>
          <w:rtl/>
          <w:lang w:bidi="ar-SY"/>
        </w:rPr>
        <w:t>الاثني</w:t>
      </w:r>
      <w:r w:rsidR="00953581" w:rsidRPr="003F3B94">
        <w:rPr>
          <w:rFonts w:ascii="Abo-thar" w:hAnsi="Abo-thar" w:hint="cs"/>
          <w:sz w:val="28"/>
          <w:rtl/>
          <w:lang w:bidi="ar-SY"/>
        </w:rPr>
        <w:t xml:space="preserve"> </w:t>
      </w:r>
      <w:r w:rsidRPr="003F3B94">
        <w:rPr>
          <w:rFonts w:ascii="Abo-thar" w:hAnsi="Abo-thar" w:hint="cs"/>
          <w:sz w:val="28"/>
          <w:rtl/>
          <w:lang w:bidi="ar-SY"/>
        </w:rPr>
        <w:t>عشري</w:t>
      </w:r>
      <w:r w:rsidR="00953581" w:rsidRPr="003F3B94">
        <w:rPr>
          <w:rFonts w:ascii="Abo-thar" w:hAnsi="Abo-thar" w:hint="cs"/>
          <w:sz w:val="28"/>
          <w:rtl/>
          <w:lang w:bidi="ar-SY"/>
        </w:rPr>
        <w:t xml:space="preserve"> </w:t>
      </w:r>
      <w:r w:rsidRPr="003F3B94">
        <w:rPr>
          <w:rFonts w:ascii="Abo-thar" w:hAnsi="Abo-thar" w:hint="cs"/>
          <w:sz w:val="28"/>
          <w:rtl/>
          <w:lang w:bidi="ar-SY"/>
        </w:rPr>
        <w:t>وفارق</w:t>
      </w:r>
      <w:r w:rsidR="00953581" w:rsidRPr="003F3B94">
        <w:rPr>
          <w:rFonts w:ascii="Abo-thar" w:hAnsi="Abo-thar" w:hint="cs"/>
          <w:sz w:val="28"/>
          <w:rtl/>
          <w:lang w:bidi="ar-SY"/>
        </w:rPr>
        <w:t xml:space="preserve"> </w:t>
      </w:r>
      <w:r w:rsidRPr="003F3B94">
        <w:rPr>
          <w:rFonts w:ascii="Abo-thar" w:hAnsi="Abo-thar" w:hint="cs"/>
          <w:sz w:val="28"/>
          <w:rtl/>
          <w:lang w:bidi="ar-SY"/>
        </w:rPr>
        <w:t>بها</w:t>
      </w:r>
      <w:r w:rsidR="00953581" w:rsidRPr="003F3B94">
        <w:rPr>
          <w:rFonts w:ascii="Abo-thar" w:hAnsi="Abo-thar" w:hint="cs"/>
          <w:sz w:val="28"/>
          <w:rtl/>
          <w:lang w:bidi="ar-SY"/>
        </w:rPr>
        <w:t xml:space="preserve"> </w:t>
      </w:r>
      <w:r w:rsidRPr="003F3B94">
        <w:rPr>
          <w:rFonts w:ascii="Abo-thar" w:hAnsi="Abo-thar" w:hint="cs"/>
          <w:sz w:val="28"/>
          <w:rtl/>
          <w:lang w:bidi="ar-SY"/>
        </w:rPr>
        <w:t>سائر</w:t>
      </w:r>
      <w:r w:rsidR="00953581" w:rsidRPr="003F3B94">
        <w:rPr>
          <w:rFonts w:ascii="Abo-thar" w:hAnsi="Abo-thar" w:hint="cs"/>
          <w:sz w:val="28"/>
          <w:rtl/>
          <w:lang w:bidi="ar-SY"/>
        </w:rPr>
        <w:t xml:space="preserve"> </w:t>
      </w:r>
      <w:r w:rsidRPr="003F3B94">
        <w:rPr>
          <w:rFonts w:ascii="Abo-thar" w:hAnsi="Abo-thar" w:hint="cs"/>
          <w:sz w:val="28"/>
          <w:rtl/>
          <w:lang w:bidi="ar-SY"/>
        </w:rPr>
        <w:t>المذاهب</w:t>
      </w:r>
      <w:r w:rsidR="00953581" w:rsidRPr="003F3B94">
        <w:rPr>
          <w:rFonts w:ascii="Abo-thar" w:hAnsi="Abo-thar" w:hint="cs"/>
          <w:sz w:val="28"/>
          <w:rtl/>
          <w:lang w:bidi="ar-SY"/>
        </w:rPr>
        <w:t xml:space="preserve"> </w:t>
      </w:r>
      <w:r w:rsidRPr="003F3B94">
        <w:rPr>
          <w:rFonts w:ascii="Abo-thar" w:hAnsi="Abo-thar" w:hint="cs"/>
          <w:sz w:val="28"/>
          <w:rtl/>
          <w:lang w:bidi="ar-SY"/>
        </w:rPr>
        <w:t>الإسلامية</w:t>
      </w:r>
      <w:r w:rsidR="00953581" w:rsidRPr="003F3B94">
        <w:rPr>
          <w:rFonts w:ascii="Abo-thar" w:hAnsi="Abo-thar" w:hint="cs"/>
          <w:sz w:val="28"/>
          <w:rtl/>
          <w:lang w:bidi="ar-SY"/>
        </w:rPr>
        <w:t xml:space="preserve"> </w:t>
      </w:r>
      <w:r w:rsidRPr="003F3B94">
        <w:rPr>
          <w:rFonts w:ascii="Abo-thar" w:hAnsi="Abo-thar" w:hint="cs"/>
          <w:sz w:val="28"/>
          <w:rtl/>
          <w:lang w:bidi="ar-SY"/>
        </w:rPr>
        <w:t>حتى</w:t>
      </w:r>
      <w:r w:rsidR="00953581" w:rsidRPr="003F3B94">
        <w:rPr>
          <w:rFonts w:ascii="Abo-thar" w:hAnsi="Abo-thar" w:hint="cs"/>
          <w:sz w:val="28"/>
          <w:rtl/>
          <w:lang w:bidi="ar-SY"/>
        </w:rPr>
        <w:t xml:space="preserve"> </w:t>
      </w:r>
      <w:r w:rsidRPr="003F3B94">
        <w:rPr>
          <w:rFonts w:ascii="Abo-thar" w:hAnsi="Abo-thar" w:hint="cs"/>
          <w:sz w:val="28"/>
          <w:rtl/>
          <w:lang w:bidi="ar-SY"/>
        </w:rPr>
        <w:t>الشيعية</w:t>
      </w:r>
      <w:r w:rsidR="00953581" w:rsidRPr="003F3B94">
        <w:rPr>
          <w:rFonts w:ascii="Abo-thar" w:hAnsi="Abo-thar" w:hint="cs"/>
          <w:sz w:val="28"/>
          <w:rtl/>
          <w:lang w:bidi="ar-SY"/>
        </w:rPr>
        <w:t xml:space="preserve"> </w:t>
      </w:r>
      <w:r w:rsidRPr="003F3B94">
        <w:rPr>
          <w:rFonts w:ascii="Abo-thar" w:hAnsi="Abo-thar" w:hint="cs"/>
          <w:sz w:val="28"/>
          <w:rtl/>
          <w:lang w:bidi="ar-SY"/>
        </w:rPr>
        <w:t>منها</w:t>
      </w:r>
      <w:r w:rsidR="00953581" w:rsidRPr="003F3B94">
        <w:rPr>
          <w:rFonts w:ascii="Abo-thar" w:hAnsi="Abo-thar" w:hint="cs"/>
          <w:sz w:val="28"/>
          <w:rtl/>
          <w:lang w:bidi="ar-SY"/>
        </w:rPr>
        <w:t xml:space="preserve"> </w:t>
      </w:r>
      <w:r w:rsidRPr="003F3B94">
        <w:rPr>
          <w:rFonts w:ascii="Abo-thar" w:hAnsi="Abo-thar" w:hint="cs"/>
          <w:sz w:val="28"/>
          <w:rtl/>
          <w:lang w:bidi="ar-SY"/>
        </w:rPr>
        <w:t>كالزيدية</w:t>
      </w:r>
      <w:r w:rsidR="00953581" w:rsidRPr="003F3B94">
        <w:rPr>
          <w:rFonts w:ascii="Abo-thar" w:hAnsi="Abo-thar" w:hint="cs"/>
          <w:sz w:val="28"/>
          <w:rtl/>
          <w:lang w:bidi="ar-SY"/>
        </w:rPr>
        <w:t xml:space="preserve"> </w:t>
      </w:r>
      <w:r w:rsidRPr="003F3B94">
        <w:rPr>
          <w:rFonts w:ascii="Abo-thar" w:hAnsi="Abo-thar" w:hint="cs"/>
          <w:sz w:val="28"/>
          <w:rtl/>
          <w:lang w:bidi="ar-SY"/>
        </w:rPr>
        <w:t>والإسماعيل</w:t>
      </w:r>
      <w:r w:rsidR="009D787A" w:rsidRPr="003F3B94">
        <w:rPr>
          <w:rFonts w:ascii="Abo-thar" w:hAnsi="Abo-thar" w:hint="cs"/>
          <w:sz w:val="28"/>
          <w:rtl/>
          <w:lang w:bidi="ar-SY"/>
        </w:rPr>
        <w:t>ي</w:t>
      </w:r>
      <w:r w:rsidRPr="003F3B94">
        <w:rPr>
          <w:rFonts w:ascii="Abo-thar" w:hAnsi="Abo-thar" w:hint="cs"/>
          <w:sz w:val="28"/>
          <w:rtl/>
          <w:lang w:bidi="ar-SY"/>
        </w:rPr>
        <w:t>ة</w:t>
      </w:r>
      <w:r w:rsidR="005C53D5" w:rsidRPr="003F3B94">
        <w:rPr>
          <w:rFonts w:ascii="Abo-thar" w:hAnsi="Abo-thar" w:hint="cs"/>
          <w:sz w:val="28"/>
          <w:rtl/>
          <w:lang w:bidi="ar-SY"/>
        </w:rPr>
        <w:t>،</w:t>
      </w:r>
      <w:r w:rsidR="00953581" w:rsidRPr="003F3B94">
        <w:rPr>
          <w:rFonts w:ascii="Abo-thar" w:hAnsi="Abo-thar" w:hint="cs"/>
          <w:sz w:val="28"/>
          <w:rtl/>
          <w:lang w:bidi="ar-SY"/>
        </w:rPr>
        <w:t xml:space="preserve"> </w:t>
      </w:r>
      <w:r w:rsidRPr="003F3B94">
        <w:rPr>
          <w:rFonts w:ascii="Abo-thar" w:hAnsi="Abo-thar" w:hint="cs"/>
          <w:sz w:val="28"/>
          <w:rtl/>
          <w:lang w:bidi="ar-SY"/>
        </w:rPr>
        <w:t>وهي</w:t>
      </w:r>
      <w:r w:rsidR="00953581" w:rsidRPr="003F3B94">
        <w:rPr>
          <w:rFonts w:ascii="Abo-thar" w:hAnsi="Abo-thar" w:hint="cs"/>
          <w:sz w:val="28"/>
          <w:rtl/>
          <w:lang w:bidi="ar-SY"/>
        </w:rPr>
        <w:t xml:space="preserve"> </w:t>
      </w:r>
      <w:r w:rsidRPr="003F3B94">
        <w:rPr>
          <w:rFonts w:ascii="Abo-thar" w:hAnsi="Abo-thar" w:hint="cs"/>
          <w:sz w:val="28"/>
          <w:rtl/>
          <w:lang w:bidi="ar-SY"/>
        </w:rPr>
        <w:t>مسألة</w:t>
      </w:r>
      <w:r w:rsidR="00953581" w:rsidRPr="003F3B94">
        <w:rPr>
          <w:rFonts w:ascii="Abo-thar" w:hAnsi="Abo-thar" w:hint="cs"/>
          <w:sz w:val="28"/>
          <w:rtl/>
          <w:lang w:bidi="ar-SY"/>
        </w:rPr>
        <w:t xml:space="preserve"> </w:t>
      </w:r>
      <w:r w:rsidRPr="003F3B94">
        <w:rPr>
          <w:rFonts w:ascii="Abo-thar" w:hAnsi="Abo-thar" w:hint="cs"/>
          <w:sz w:val="28"/>
          <w:rtl/>
          <w:lang w:bidi="ar-SY"/>
        </w:rPr>
        <w:t>هامة</w:t>
      </w:r>
      <w:r w:rsidR="00953581" w:rsidRPr="003F3B94">
        <w:rPr>
          <w:rFonts w:ascii="Abo-thar" w:hAnsi="Abo-thar" w:hint="cs"/>
          <w:sz w:val="28"/>
          <w:rtl/>
          <w:lang w:bidi="ar-SY"/>
        </w:rPr>
        <w:t xml:space="preserve"> </w:t>
      </w:r>
      <w:r w:rsidRPr="003F3B94">
        <w:rPr>
          <w:rFonts w:ascii="Abo-thar" w:hAnsi="Abo-thar" w:hint="cs"/>
          <w:sz w:val="28"/>
          <w:rtl/>
          <w:lang w:bidi="ar-SY"/>
        </w:rPr>
        <w:t>وذات</w:t>
      </w:r>
      <w:r w:rsidR="00953581" w:rsidRPr="003F3B94">
        <w:rPr>
          <w:rFonts w:ascii="Abo-thar" w:hAnsi="Abo-thar" w:hint="cs"/>
          <w:sz w:val="28"/>
          <w:rtl/>
          <w:lang w:bidi="ar-SY"/>
        </w:rPr>
        <w:t xml:space="preserve"> </w:t>
      </w:r>
      <w:r w:rsidRPr="003F3B94">
        <w:rPr>
          <w:rFonts w:ascii="Abo-thar" w:hAnsi="Abo-thar" w:hint="cs"/>
          <w:sz w:val="28"/>
          <w:rtl/>
          <w:lang w:bidi="ar-SY"/>
        </w:rPr>
        <w:t>آثار</w:t>
      </w:r>
      <w:r w:rsidR="00953581" w:rsidRPr="003F3B94">
        <w:rPr>
          <w:rFonts w:ascii="Abo-thar" w:hAnsi="Abo-thar" w:hint="cs"/>
          <w:sz w:val="28"/>
          <w:rtl/>
          <w:lang w:bidi="ar-SY"/>
        </w:rPr>
        <w:t xml:space="preserve"> </w:t>
      </w:r>
      <w:r w:rsidRPr="003F3B94">
        <w:rPr>
          <w:rFonts w:ascii="Abo-thar" w:hAnsi="Abo-thar" w:hint="cs"/>
          <w:sz w:val="28"/>
          <w:rtl/>
          <w:lang w:bidi="ar-SY"/>
        </w:rPr>
        <w:t>كبيرة</w:t>
      </w:r>
      <w:r w:rsidR="005C53D5" w:rsidRPr="003F3B94">
        <w:rPr>
          <w:rFonts w:ascii="Abo-thar" w:hAnsi="Abo-thar" w:hint="cs"/>
          <w:sz w:val="28"/>
          <w:rtl/>
          <w:lang w:bidi="ar-SY"/>
        </w:rPr>
        <w:t>،</w:t>
      </w:r>
      <w:r w:rsidR="00953581" w:rsidRPr="003F3B94">
        <w:rPr>
          <w:rFonts w:ascii="Abo-thar" w:hAnsi="Abo-thar" w:hint="cs"/>
          <w:sz w:val="28"/>
          <w:rtl/>
          <w:lang w:bidi="ar-SY"/>
        </w:rPr>
        <w:t xml:space="preserve"> </w:t>
      </w:r>
      <w:r w:rsidRPr="003F3B94">
        <w:rPr>
          <w:rFonts w:ascii="Abo-thar" w:hAnsi="Abo-thar" w:hint="cs"/>
          <w:sz w:val="28"/>
          <w:rtl/>
          <w:lang w:bidi="ar-SY"/>
        </w:rPr>
        <w:t>وقد</w:t>
      </w:r>
      <w:r w:rsidR="00953581" w:rsidRPr="003F3B94">
        <w:rPr>
          <w:rFonts w:ascii="Abo-thar" w:hAnsi="Abo-thar" w:hint="cs"/>
          <w:sz w:val="28"/>
          <w:rtl/>
          <w:lang w:bidi="ar-SY"/>
        </w:rPr>
        <w:t xml:space="preserve"> </w:t>
      </w:r>
      <w:r w:rsidRPr="003F3B94">
        <w:rPr>
          <w:rFonts w:ascii="Abo-thar" w:hAnsi="Abo-thar" w:hint="cs"/>
          <w:sz w:val="28"/>
          <w:rtl/>
          <w:lang w:bidi="ar-SY"/>
        </w:rPr>
        <w:t>اختلفت</w:t>
      </w:r>
      <w:r w:rsidR="00953581" w:rsidRPr="003F3B94">
        <w:rPr>
          <w:rFonts w:ascii="Abo-thar" w:hAnsi="Abo-thar" w:hint="cs"/>
          <w:sz w:val="28"/>
          <w:rtl/>
          <w:lang w:bidi="ar-SY"/>
        </w:rPr>
        <w:t xml:space="preserve"> </w:t>
      </w:r>
      <w:r w:rsidRPr="003F3B94">
        <w:rPr>
          <w:rFonts w:ascii="Abo-thar" w:hAnsi="Abo-thar" w:hint="cs"/>
          <w:sz w:val="28"/>
          <w:rtl/>
          <w:lang w:bidi="ar-SY"/>
        </w:rPr>
        <w:t>فيها</w:t>
      </w:r>
      <w:r w:rsidR="00953581" w:rsidRPr="003F3B94">
        <w:rPr>
          <w:rFonts w:ascii="Abo-thar" w:hAnsi="Abo-thar" w:hint="cs"/>
          <w:sz w:val="28"/>
          <w:rtl/>
          <w:lang w:bidi="ar-SY"/>
        </w:rPr>
        <w:t xml:space="preserve"> </w:t>
      </w:r>
      <w:r w:rsidRPr="003F3B94">
        <w:rPr>
          <w:rFonts w:ascii="Abo-thar" w:hAnsi="Abo-thar" w:hint="cs"/>
          <w:sz w:val="28"/>
          <w:rtl/>
          <w:lang w:bidi="ar-SY"/>
        </w:rPr>
        <w:t>أنظار</w:t>
      </w:r>
      <w:r w:rsidR="00953581" w:rsidRPr="003F3B94">
        <w:rPr>
          <w:rFonts w:ascii="Abo-thar" w:hAnsi="Abo-thar" w:hint="cs"/>
          <w:sz w:val="28"/>
          <w:rtl/>
          <w:lang w:bidi="ar-SY"/>
        </w:rPr>
        <w:t xml:space="preserve"> </w:t>
      </w:r>
      <w:r w:rsidRPr="003F3B94">
        <w:rPr>
          <w:rFonts w:ascii="Abo-thar" w:hAnsi="Abo-thar" w:hint="cs"/>
          <w:sz w:val="28"/>
          <w:rtl/>
          <w:lang w:bidi="ar-SY"/>
        </w:rPr>
        <w:t>الإمامية</w:t>
      </w:r>
      <w:r w:rsidR="00953581" w:rsidRPr="003F3B94">
        <w:rPr>
          <w:rFonts w:ascii="Abo-thar" w:hAnsi="Abo-thar" w:hint="cs"/>
          <w:sz w:val="28"/>
          <w:rtl/>
          <w:lang w:bidi="ar-SY"/>
        </w:rPr>
        <w:t xml:space="preserve"> </w:t>
      </w:r>
      <w:r w:rsidRPr="003F3B94">
        <w:rPr>
          <w:rFonts w:ascii="Abo-thar" w:hAnsi="Abo-thar" w:hint="cs"/>
          <w:sz w:val="28"/>
          <w:rtl/>
          <w:lang w:bidi="ar-SY"/>
        </w:rPr>
        <w:t>منذ</w:t>
      </w:r>
      <w:r w:rsidR="00953581" w:rsidRPr="003F3B94">
        <w:rPr>
          <w:rFonts w:ascii="Abo-thar" w:hAnsi="Abo-thar" w:hint="cs"/>
          <w:sz w:val="28"/>
          <w:rtl/>
          <w:lang w:bidi="ar-SY"/>
        </w:rPr>
        <w:t xml:space="preserve"> </w:t>
      </w:r>
      <w:r w:rsidRPr="003F3B94">
        <w:rPr>
          <w:rFonts w:ascii="Abo-thar" w:hAnsi="Abo-thar" w:hint="cs"/>
          <w:sz w:val="28"/>
          <w:rtl/>
          <w:lang w:bidi="ar-SY"/>
        </w:rPr>
        <w:t>القديم</w:t>
      </w:r>
      <w:r w:rsidR="00953581" w:rsidRPr="003F3B94">
        <w:rPr>
          <w:rFonts w:ascii="Abo-thar" w:hAnsi="Abo-thar" w:hint="cs"/>
          <w:sz w:val="28"/>
          <w:rtl/>
          <w:lang w:bidi="ar-SY"/>
        </w:rPr>
        <w:t xml:space="preserve"> </w:t>
      </w:r>
      <w:r w:rsidRPr="003F3B94">
        <w:rPr>
          <w:rFonts w:ascii="Abo-thar" w:hAnsi="Abo-thar" w:hint="cs"/>
          <w:sz w:val="28"/>
          <w:rtl/>
          <w:lang w:bidi="ar-SY"/>
        </w:rPr>
        <w:t>فذهب</w:t>
      </w:r>
      <w:r w:rsidR="00953581" w:rsidRPr="003F3B94">
        <w:rPr>
          <w:rFonts w:ascii="Abo-thar" w:hAnsi="Abo-thar" w:hint="cs"/>
          <w:sz w:val="28"/>
          <w:rtl/>
          <w:lang w:bidi="ar-SY"/>
        </w:rPr>
        <w:t xml:space="preserve"> </w:t>
      </w:r>
      <w:r w:rsidRPr="003F3B94">
        <w:rPr>
          <w:rFonts w:ascii="Abo-thar" w:hAnsi="Abo-thar" w:hint="cs"/>
          <w:sz w:val="28"/>
          <w:rtl/>
          <w:lang w:bidi="ar-SY"/>
        </w:rPr>
        <w:t>بعض</w:t>
      </w:r>
      <w:r w:rsidR="00953581" w:rsidRPr="003F3B94">
        <w:rPr>
          <w:rFonts w:ascii="Abo-thar" w:hAnsi="Abo-thar" w:hint="cs"/>
          <w:sz w:val="28"/>
          <w:rtl/>
          <w:lang w:bidi="ar-SY"/>
        </w:rPr>
        <w:t xml:space="preserve"> </w:t>
      </w:r>
      <w:r w:rsidRPr="003F3B94">
        <w:rPr>
          <w:rFonts w:ascii="Abo-thar" w:hAnsi="Abo-thar" w:hint="cs"/>
          <w:sz w:val="28"/>
          <w:rtl/>
          <w:lang w:bidi="ar-SY"/>
        </w:rPr>
        <w:t>كبار</w:t>
      </w:r>
      <w:r w:rsidR="00953581" w:rsidRPr="003F3B94">
        <w:rPr>
          <w:rFonts w:ascii="Abo-thar" w:hAnsi="Abo-thar" w:hint="cs"/>
          <w:sz w:val="28"/>
          <w:rtl/>
          <w:lang w:bidi="ar-SY"/>
        </w:rPr>
        <w:t xml:space="preserve"> </w:t>
      </w:r>
      <w:r w:rsidRPr="003F3B94">
        <w:rPr>
          <w:rFonts w:ascii="Abo-thar" w:hAnsi="Abo-thar" w:hint="cs"/>
          <w:sz w:val="28"/>
          <w:rtl/>
          <w:lang w:bidi="ar-SY"/>
        </w:rPr>
        <w:t>فقهاء</w:t>
      </w:r>
      <w:r w:rsidR="00953581" w:rsidRPr="003F3B94">
        <w:rPr>
          <w:rFonts w:ascii="Abo-thar" w:hAnsi="Abo-thar" w:hint="cs"/>
          <w:sz w:val="28"/>
          <w:rtl/>
          <w:lang w:bidi="ar-SY"/>
        </w:rPr>
        <w:t xml:space="preserve"> </w:t>
      </w:r>
      <w:r w:rsidRPr="003F3B94">
        <w:rPr>
          <w:rFonts w:ascii="Abo-thar" w:hAnsi="Abo-thar" w:hint="cs"/>
          <w:sz w:val="28"/>
          <w:rtl/>
          <w:lang w:bidi="ar-SY"/>
        </w:rPr>
        <w:t>الإمامية</w:t>
      </w:r>
      <w:r w:rsidR="00953581" w:rsidRPr="003F3B94">
        <w:rPr>
          <w:rFonts w:ascii="Abo-thar" w:hAnsi="Abo-thar" w:hint="cs"/>
          <w:sz w:val="28"/>
          <w:rtl/>
          <w:lang w:bidi="ar-SY"/>
        </w:rPr>
        <w:t xml:space="preserve"> </w:t>
      </w:r>
      <w:r w:rsidRPr="003F3B94">
        <w:rPr>
          <w:rFonts w:ascii="Abo-thar" w:hAnsi="Abo-thar" w:hint="cs"/>
          <w:sz w:val="28"/>
          <w:rtl/>
          <w:lang w:bidi="ar-SY"/>
        </w:rPr>
        <w:t>القدماء</w:t>
      </w:r>
      <w:r w:rsidR="00953581" w:rsidRPr="003F3B94">
        <w:rPr>
          <w:rFonts w:ascii="Abo-thar" w:hAnsi="Abo-thar" w:hint="cs"/>
          <w:sz w:val="28"/>
          <w:rtl/>
          <w:lang w:bidi="ar-SY"/>
        </w:rPr>
        <w:t xml:space="preserve"> </w:t>
      </w:r>
      <w:r w:rsidR="00E72D22">
        <w:rPr>
          <w:rFonts w:cs="Times New Roman"/>
          <w:sz w:val="28"/>
          <w:rtl/>
          <w:lang w:bidi="ar-SY"/>
        </w:rPr>
        <w:br/>
      </w:r>
      <w:r w:rsidRPr="003F3B94">
        <w:rPr>
          <w:rFonts w:cs="Times New Roman" w:hint="cs"/>
          <w:sz w:val="28"/>
          <w:rtl/>
          <w:lang w:bidi="ar-SY"/>
        </w:rPr>
        <w:t>–</w:t>
      </w:r>
      <w:r w:rsidR="00953581" w:rsidRPr="003F3B94">
        <w:rPr>
          <w:rFonts w:ascii="Abo-thar" w:hAnsi="Abo-thar" w:hint="cs"/>
          <w:sz w:val="28"/>
          <w:rtl/>
          <w:lang w:bidi="ar-SY"/>
        </w:rPr>
        <w:t xml:space="preserve"> </w:t>
      </w:r>
      <w:r w:rsidRPr="003F3B94">
        <w:rPr>
          <w:rFonts w:ascii="Abo-thar" w:hAnsi="Abo-thar" w:hint="cs"/>
          <w:sz w:val="28"/>
          <w:rtl/>
          <w:lang w:bidi="ar-SY"/>
        </w:rPr>
        <w:t>مثل</w:t>
      </w:r>
      <w:r w:rsidR="00953581" w:rsidRPr="003F3B94">
        <w:rPr>
          <w:rFonts w:ascii="Abo-thar" w:hAnsi="Abo-thar" w:hint="cs"/>
          <w:sz w:val="28"/>
          <w:rtl/>
          <w:lang w:bidi="ar-SY"/>
        </w:rPr>
        <w:t xml:space="preserve"> </w:t>
      </w:r>
      <w:r w:rsidRPr="003F3B94">
        <w:rPr>
          <w:rFonts w:ascii="Lotus Linotype" w:hAnsi="Lotus Linotype" w:hint="cs"/>
          <w:sz w:val="28"/>
          <w:rtl/>
          <w:lang w:bidi="ar-SY"/>
        </w:rPr>
        <w:t>الشيخ</w:t>
      </w:r>
      <w:r w:rsidR="00953581" w:rsidRPr="003F3B94">
        <w:rPr>
          <w:rFonts w:ascii="Lotus Linotype" w:hAnsi="Lotus Linotype" w:hint="cs"/>
          <w:sz w:val="28"/>
          <w:rtl/>
          <w:lang w:bidi="ar-SY"/>
        </w:rPr>
        <w:t xml:space="preserve"> </w:t>
      </w:r>
      <w:r w:rsidRPr="003F3B94">
        <w:rPr>
          <w:rFonts w:ascii="Lotus Linotype" w:hAnsi="Lotus Linotype"/>
          <w:sz w:val="28"/>
          <w:rtl/>
          <w:lang w:bidi="ar-SY"/>
        </w:rPr>
        <w:t>«</w:t>
      </w:r>
      <w:r w:rsidRPr="003F3B94">
        <w:rPr>
          <w:rFonts w:ascii="Lotus Linotype" w:hAnsi="Lotus Linotype" w:hint="cs"/>
          <w:sz w:val="28"/>
          <w:rtl/>
          <w:lang w:bidi="ar-SY"/>
        </w:rPr>
        <w:t>ابن</w:t>
      </w:r>
      <w:r w:rsidR="00953581" w:rsidRPr="003F3B94">
        <w:rPr>
          <w:rFonts w:ascii="Lotus Linotype" w:hAnsi="Lotus Linotype" w:hint="cs"/>
          <w:sz w:val="28"/>
          <w:rtl/>
          <w:lang w:bidi="ar-SY"/>
        </w:rPr>
        <w:t xml:space="preserve"> </w:t>
      </w:r>
      <w:r w:rsidRPr="003F3B94">
        <w:rPr>
          <w:rFonts w:ascii="Lotus Linotype" w:hAnsi="Lotus Linotype" w:hint="cs"/>
          <w:sz w:val="28"/>
          <w:rtl/>
          <w:lang w:bidi="ar-SY"/>
        </w:rPr>
        <w:t>جنيد</w:t>
      </w:r>
      <w:r w:rsidR="00953581" w:rsidRPr="003F3B94">
        <w:rPr>
          <w:rFonts w:ascii="Lotus Linotype" w:hAnsi="Lotus Linotype" w:hint="cs"/>
          <w:sz w:val="28"/>
          <w:rtl/>
          <w:lang w:bidi="ar-SY"/>
        </w:rPr>
        <w:t xml:space="preserve"> </w:t>
      </w:r>
      <w:r w:rsidRPr="003F3B94">
        <w:rPr>
          <w:rFonts w:ascii="Lotus Linotype" w:hAnsi="Lotus Linotype" w:hint="cs"/>
          <w:sz w:val="28"/>
          <w:rtl/>
          <w:lang w:bidi="ar-SY"/>
        </w:rPr>
        <w:t>الإسكافي</w:t>
      </w:r>
      <w:r w:rsidRPr="003F3B94">
        <w:rPr>
          <w:rFonts w:ascii="Lotus Linotype" w:hAnsi="Lotus Linotype"/>
          <w:sz w:val="28"/>
          <w:rtl/>
          <w:lang w:bidi="ar-SY"/>
        </w:rPr>
        <w:t>»</w:t>
      </w:r>
      <w:r w:rsidR="00953581" w:rsidRPr="003F3B94">
        <w:rPr>
          <w:rFonts w:ascii="Lotus Linotype" w:hAnsi="Lotus Linotype" w:hint="cs"/>
          <w:sz w:val="28"/>
          <w:rtl/>
          <w:lang w:bidi="ar-SY"/>
        </w:rPr>
        <w:t xml:space="preserve"> </w:t>
      </w:r>
      <w:r w:rsidR="005C53D5" w:rsidRPr="003F3B94">
        <w:rPr>
          <w:rFonts w:ascii="Lotus Linotype" w:hAnsi="Lotus Linotype" w:hint="cs"/>
          <w:sz w:val="28"/>
          <w:rtl/>
          <w:lang w:bidi="ar-SY"/>
        </w:rPr>
        <w:t>(</w:t>
      </w:r>
      <w:r w:rsidRPr="003F3B94">
        <w:rPr>
          <w:rFonts w:ascii="Lotus Linotype" w:hAnsi="Lotus Linotype" w:hint="cs"/>
          <w:sz w:val="28"/>
          <w:rtl/>
          <w:lang w:bidi="ar-SY"/>
        </w:rPr>
        <w:t>381هـ</w:t>
      </w:r>
      <w:r w:rsidR="005C53D5" w:rsidRPr="003F3B94">
        <w:rPr>
          <w:rFonts w:ascii="Lotus Linotype" w:hAnsi="Lotus Linotype" w:hint="cs"/>
          <w:sz w:val="28"/>
          <w:rtl/>
          <w:lang w:bidi="ar-SY"/>
        </w:rPr>
        <w:t>)</w:t>
      </w:r>
      <w:r w:rsidR="00953581" w:rsidRPr="003F3B94">
        <w:rPr>
          <w:rFonts w:ascii="Lotus Linotype" w:hAnsi="Lotus Linotype" w:hint="cs"/>
          <w:sz w:val="28"/>
          <w:rtl/>
          <w:lang w:bidi="ar-SY"/>
        </w:rPr>
        <w:t xml:space="preserve"> </w:t>
      </w:r>
      <w:r w:rsidRPr="003F3B94">
        <w:rPr>
          <w:rFonts w:ascii="Lotus Linotype" w:hAnsi="Lotus Linotype" w:hint="cs"/>
          <w:sz w:val="28"/>
          <w:rtl/>
          <w:lang w:bidi="ar-SY"/>
        </w:rPr>
        <w:t>والشيخ</w:t>
      </w:r>
      <w:r w:rsidR="00953581" w:rsidRPr="003F3B94">
        <w:rPr>
          <w:rFonts w:ascii="Lotus Linotype" w:hAnsi="Lotus Linotype" w:hint="cs"/>
          <w:sz w:val="28"/>
          <w:rtl/>
          <w:lang w:bidi="ar-SY"/>
        </w:rPr>
        <w:t xml:space="preserve"> </w:t>
      </w:r>
      <w:r w:rsidRPr="003F3B94">
        <w:rPr>
          <w:rFonts w:ascii="Lotus Linotype" w:hAnsi="Lotus Linotype"/>
          <w:sz w:val="28"/>
          <w:rtl/>
          <w:lang w:bidi="ar-SY"/>
        </w:rPr>
        <w:t>«</w:t>
      </w:r>
      <w:r w:rsidRPr="003F3B94">
        <w:rPr>
          <w:rFonts w:ascii="Lotus Linotype" w:hAnsi="Lotus Linotype" w:hint="cs"/>
          <w:sz w:val="28"/>
          <w:rtl/>
          <w:lang w:bidi="ar-SY"/>
        </w:rPr>
        <w:t>ابن</w:t>
      </w:r>
      <w:r w:rsidR="00953581" w:rsidRPr="003F3B94">
        <w:rPr>
          <w:rFonts w:ascii="Lotus Linotype" w:hAnsi="Lotus Linotype" w:hint="cs"/>
          <w:sz w:val="28"/>
          <w:rtl/>
          <w:lang w:bidi="ar-SY"/>
        </w:rPr>
        <w:t xml:space="preserve"> </w:t>
      </w:r>
      <w:r w:rsidRPr="003F3B94">
        <w:rPr>
          <w:rFonts w:ascii="Lotus Linotype" w:hAnsi="Lotus Linotype" w:hint="cs"/>
          <w:sz w:val="28"/>
          <w:rtl/>
          <w:lang w:bidi="ar-SY"/>
        </w:rPr>
        <w:t>أبي</w:t>
      </w:r>
      <w:r w:rsidR="00953581" w:rsidRPr="003F3B94">
        <w:rPr>
          <w:rFonts w:ascii="Lotus Linotype" w:hAnsi="Lotus Linotype" w:hint="cs"/>
          <w:sz w:val="28"/>
          <w:rtl/>
          <w:lang w:bidi="ar-SY"/>
        </w:rPr>
        <w:t xml:space="preserve"> </w:t>
      </w:r>
      <w:r w:rsidRPr="003F3B94">
        <w:rPr>
          <w:rFonts w:ascii="Lotus Linotype" w:hAnsi="Lotus Linotype" w:hint="cs"/>
          <w:sz w:val="28"/>
          <w:rtl/>
          <w:lang w:bidi="ar-SY"/>
        </w:rPr>
        <w:t>عقيل</w:t>
      </w:r>
      <w:r w:rsidR="00953581" w:rsidRPr="003F3B94">
        <w:rPr>
          <w:rFonts w:ascii="Lotus Linotype" w:hAnsi="Lotus Linotype" w:hint="cs"/>
          <w:sz w:val="28"/>
          <w:rtl/>
          <w:lang w:bidi="ar-SY"/>
        </w:rPr>
        <w:t xml:space="preserve"> </w:t>
      </w:r>
      <w:r w:rsidRPr="003F3B94">
        <w:rPr>
          <w:rFonts w:ascii="Lotus Linotype" w:hAnsi="Lotus Linotype" w:hint="cs"/>
          <w:sz w:val="28"/>
          <w:rtl/>
          <w:lang w:bidi="ar-SY"/>
        </w:rPr>
        <w:t>العماني</w:t>
      </w:r>
      <w:r w:rsidRPr="003F3B94">
        <w:rPr>
          <w:rFonts w:ascii="Lotus Linotype" w:hAnsi="Lotus Linotype"/>
          <w:sz w:val="28"/>
          <w:rtl/>
          <w:lang w:bidi="ar-SY"/>
        </w:rPr>
        <w:t>»</w:t>
      </w:r>
      <w:r w:rsidR="00953581" w:rsidRPr="003F3B94">
        <w:rPr>
          <w:rFonts w:ascii="Abo-thar" w:hAnsi="Abo-thar" w:hint="cs"/>
          <w:sz w:val="28"/>
          <w:rtl/>
          <w:lang w:bidi="ar-SY"/>
        </w:rPr>
        <w:t xml:space="preserve"> </w:t>
      </w:r>
      <w:r w:rsidR="005C53D5" w:rsidRPr="003F3B94">
        <w:rPr>
          <w:rFonts w:ascii="Abo-thar" w:hAnsi="Abo-thar" w:hint="cs"/>
          <w:sz w:val="28"/>
          <w:rtl/>
          <w:lang w:bidi="ar-SY"/>
        </w:rPr>
        <w:t>(</w:t>
      </w:r>
      <w:r w:rsidRPr="003F3B94">
        <w:rPr>
          <w:rFonts w:ascii="Abo-thar" w:hAnsi="Abo-thar" w:hint="cs"/>
          <w:sz w:val="28"/>
          <w:rtl/>
          <w:lang w:bidi="ar-SY"/>
        </w:rPr>
        <w:t>القرن</w:t>
      </w:r>
      <w:r w:rsidR="00953581" w:rsidRPr="003F3B94">
        <w:rPr>
          <w:rFonts w:ascii="Abo-thar" w:hAnsi="Abo-thar" w:hint="cs"/>
          <w:sz w:val="28"/>
          <w:rtl/>
          <w:lang w:bidi="ar-SY"/>
        </w:rPr>
        <w:t xml:space="preserve"> </w:t>
      </w:r>
      <w:r w:rsidRPr="003F3B94">
        <w:rPr>
          <w:rFonts w:ascii="Abo-thar" w:hAnsi="Abo-thar" w:hint="cs"/>
          <w:sz w:val="28"/>
          <w:rtl/>
          <w:lang w:bidi="ar-SY"/>
        </w:rPr>
        <w:t>الرابع</w:t>
      </w:r>
      <w:r w:rsidR="00953581" w:rsidRPr="003F3B94">
        <w:rPr>
          <w:rFonts w:ascii="Abo-thar" w:hAnsi="Abo-thar" w:hint="cs"/>
          <w:sz w:val="28"/>
          <w:rtl/>
          <w:lang w:bidi="ar-SY"/>
        </w:rPr>
        <w:t xml:space="preserve"> </w:t>
      </w:r>
      <w:r w:rsidRPr="003F3B94">
        <w:rPr>
          <w:rFonts w:ascii="Abo-thar" w:hAnsi="Abo-thar" w:hint="cs"/>
          <w:sz w:val="28"/>
          <w:rtl/>
          <w:lang w:bidi="ar-SY"/>
        </w:rPr>
        <w:t>الهجري</w:t>
      </w:r>
      <w:r w:rsidR="005C53D5" w:rsidRPr="003F3B94">
        <w:rPr>
          <w:rFonts w:ascii="Abo-thar" w:hAnsi="Abo-thar" w:hint="cs"/>
          <w:sz w:val="28"/>
          <w:rtl/>
          <w:lang w:bidi="ar-SY"/>
        </w:rPr>
        <w:t>)،</w:t>
      </w:r>
      <w:r w:rsidR="00953581" w:rsidRPr="003F3B94">
        <w:rPr>
          <w:rFonts w:ascii="Abo-thar" w:hAnsi="Abo-thar" w:hint="cs"/>
          <w:sz w:val="28"/>
          <w:rtl/>
          <w:lang w:bidi="ar-SY"/>
        </w:rPr>
        <w:t xml:space="preserve"> </w:t>
      </w:r>
      <w:r w:rsidRPr="003F3B94">
        <w:rPr>
          <w:rFonts w:ascii="Abo-thar" w:hAnsi="Abo-thar" w:hint="cs"/>
          <w:sz w:val="28"/>
          <w:rtl/>
          <w:lang w:bidi="ar-SY"/>
        </w:rPr>
        <w:t>والشيخ</w:t>
      </w:r>
      <w:r w:rsidR="00953581" w:rsidRPr="003F3B94">
        <w:rPr>
          <w:rFonts w:ascii="Abo-thar" w:hAnsi="Abo-thar" w:hint="cs"/>
          <w:sz w:val="28"/>
          <w:rtl/>
          <w:lang w:bidi="ar-SY"/>
        </w:rPr>
        <w:t xml:space="preserve"> </w:t>
      </w:r>
      <w:r w:rsidRPr="003F3B94">
        <w:rPr>
          <w:rFonts w:ascii="Lotus Linotype" w:hAnsi="Lotus Linotype"/>
          <w:sz w:val="28"/>
          <w:rtl/>
          <w:lang w:bidi="ar-SY"/>
        </w:rPr>
        <w:t>«</w:t>
      </w:r>
      <w:r w:rsidRPr="003F3B94">
        <w:rPr>
          <w:rFonts w:ascii="Lotus Linotype" w:hAnsi="Lotus Linotype" w:hint="cs"/>
          <w:sz w:val="28"/>
          <w:rtl/>
          <w:lang w:bidi="ar-SY"/>
        </w:rPr>
        <w:t>سلار</w:t>
      </w:r>
      <w:r w:rsidR="00953581" w:rsidRPr="003F3B94">
        <w:rPr>
          <w:rFonts w:ascii="Lotus Linotype" w:hAnsi="Lotus Linotype" w:hint="cs"/>
          <w:sz w:val="28"/>
          <w:rtl/>
          <w:lang w:bidi="ar-SY"/>
        </w:rPr>
        <w:t xml:space="preserve"> </w:t>
      </w:r>
      <w:r w:rsidRPr="003F3B94">
        <w:rPr>
          <w:rFonts w:ascii="Lotus Linotype" w:hAnsi="Lotus Linotype" w:hint="cs"/>
          <w:sz w:val="28"/>
          <w:rtl/>
          <w:lang w:bidi="ar-SY"/>
        </w:rPr>
        <w:t>الديلمي</w:t>
      </w:r>
      <w:r w:rsidRPr="003F3B94">
        <w:rPr>
          <w:rFonts w:ascii="Lotus Linotype" w:hAnsi="Lotus Linotype"/>
          <w:sz w:val="28"/>
          <w:rtl/>
          <w:lang w:bidi="ar-SY"/>
        </w:rPr>
        <w:t>»</w:t>
      </w:r>
      <w:r w:rsidR="00953581" w:rsidRPr="003F3B94">
        <w:rPr>
          <w:rFonts w:ascii="Lotus Linotype" w:hAnsi="Lotus Linotype" w:hint="cs"/>
          <w:sz w:val="28"/>
          <w:rtl/>
          <w:lang w:bidi="ar-SY"/>
        </w:rPr>
        <w:t xml:space="preserve"> </w:t>
      </w:r>
      <w:r w:rsidR="005C53D5" w:rsidRPr="003F3B94">
        <w:rPr>
          <w:rFonts w:ascii="Lotus Linotype" w:hAnsi="Lotus Linotype" w:hint="cs"/>
          <w:sz w:val="28"/>
          <w:rtl/>
          <w:lang w:bidi="ar-SY"/>
        </w:rPr>
        <w:t>(</w:t>
      </w:r>
      <w:r w:rsidRPr="003F3B94">
        <w:rPr>
          <w:rFonts w:ascii="Lotus Linotype" w:hAnsi="Lotus Linotype"/>
          <w:sz w:val="28"/>
          <w:rtl/>
          <w:lang w:bidi="ar-SY"/>
        </w:rPr>
        <w:t>463</w:t>
      </w:r>
      <w:r w:rsidRPr="003F3B94">
        <w:rPr>
          <w:rFonts w:ascii="Lotus Linotype" w:hAnsi="Lotus Linotype" w:hint="cs"/>
          <w:sz w:val="28"/>
          <w:rtl/>
          <w:lang w:bidi="ar-SY"/>
        </w:rPr>
        <w:t>هـ</w:t>
      </w:r>
      <w:r w:rsidR="005C53D5" w:rsidRPr="003F3B94">
        <w:rPr>
          <w:rFonts w:ascii="Lotus Linotype" w:hAnsi="Lotus Linotype" w:hint="cs"/>
          <w:sz w:val="28"/>
          <w:rtl/>
          <w:lang w:bidi="ar-SY"/>
        </w:rPr>
        <w:t>)</w:t>
      </w:r>
      <w:r w:rsidR="00953581" w:rsidRPr="003F3B94">
        <w:rPr>
          <w:rFonts w:ascii="Lotus Linotype" w:hAnsi="Lotus Linotype" w:hint="cs"/>
          <w:sz w:val="28"/>
          <w:rtl/>
          <w:lang w:bidi="ar-SY"/>
        </w:rPr>
        <w:t xml:space="preserve"> </w:t>
      </w:r>
      <w:r w:rsidR="005C53D5" w:rsidRPr="003F3B94">
        <w:rPr>
          <w:rFonts w:ascii="Abo-thar" w:hAnsi="Abo-thar" w:hint="cs"/>
          <w:sz w:val="28"/>
          <w:rtl/>
          <w:lang w:bidi="ar-SY"/>
        </w:rPr>
        <w:t>-،</w:t>
      </w:r>
      <w:r w:rsidR="00953581" w:rsidRPr="003F3B94">
        <w:rPr>
          <w:rFonts w:ascii="Abo-thar" w:hAnsi="Abo-thar" w:hint="cs"/>
          <w:sz w:val="28"/>
          <w:rtl/>
          <w:lang w:bidi="ar-SY"/>
        </w:rPr>
        <w:t xml:space="preserve"> </w:t>
      </w:r>
      <w:r w:rsidRPr="003F3B94">
        <w:rPr>
          <w:rFonts w:ascii="Abo-thar" w:hAnsi="Abo-thar" w:hint="cs"/>
          <w:sz w:val="28"/>
          <w:rtl/>
          <w:lang w:bidi="ar-SY"/>
        </w:rPr>
        <w:t>وبعض</w:t>
      </w:r>
      <w:r w:rsidR="00953581" w:rsidRPr="003F3B94">
        <w:rPr>
          <w:rFonts w:ascii="Abo-thar" w:hAnsi="Abo-thar" w:hint="cs"/>
          <w:sz w:val="28"/>
          <w:rtl/>
          <w:lang w:bidi="ar-SY"/>
        </w:rPr>
        <w:t xml:space="preserve"> </w:t>
      </w:r>
      <w:r w:rsidRPr="003F3B94">
        <w:rPr>
          <w:rFonts w:ascii="Lotus Linotype" w:hAnsi="Lotus Linotype" w:hint="cs"/>
          <w:sz w:val="28"/>
          <w:rtl/>
          <w:lang w:bidi="ar-SY"/>
        </w:rPr>
        <w:t>المتأخرين</w:t>
      </w:r>
      <w:r w:rsidR="00953581" w:rsidRPr="003F3B94">
        <w:rPr>
          <w:rFonts w:ascii="Lotus Linotype" w:hAnsi="Lotus Linotype" w:hint="cs"/>
          <w:sz w:val="28"/>
          <w:rtl/>
          <w:lang w:bidi="ar-SY"/>
        </w:rPr>
        <w:t xml:space="preserve"> </w:t>
      </w:r>
      <w:r w:rsidR="005C53D5" w:rsidRPr="003F3B94">
        <w:rPr>
          <w:rFonts w:ascii="Lotus Linotype" w:hAnsi="Lotus Linotype" w:hint="cs"/>
          <w:sz w:val="28"/>
          <w:rtl/>
          <w:lang w:bidi="ar-SY"/>
        </w:rPr>
        <w:t>-</w:t>
      </w:r>
      <w:r w:rsidR="00953581" w:rsidRPr="003F3B94">
        <w:rPr>
          <w:rFonts w:ascii="Lotus Linotype" w:hAnsi="Lotus Linotype" w:hint="cs"/>
          <w:sz w:val="28"/>
          <w:rtl/>
          <w:lang w:bidi="ar-SY"/>
        </w:rPr>
        <w:t xml:space="preserve"> </w:t>
      </w:r>
      <w:r w:rsidRPr="003F3B94">
        <w:rPr>
          <w:rFonts w:ascii="Lotus Linotype" w:hAnsi="Lotus Linotype" w:hint="cs"/>
          <w:sz w:val="28"/>
          <w:rtl/>
          <w:lang w:bidi="ar-SY"/>
        </w:rPr>
        <w:t>مثل</w:t>
      </w:r>
      <w:r w:rsidR="00953581" w:rsidRPr="003F3B94">
        <w:rPr>
          <w:rFonts w:ascii="Lotus Linotype" w:hAnsi="Lotus Linotype" w:hint="cs"/>
          <w:sz w:val="28"/>
          <w:rtl/>
          <w:lang w:bidi="ar-SY"/>
        </w:rPr>
        <w:t xml:space="preserve"> </w:t>
      </w:r>
      <w:r w:rsidRPr="003F3B94">
        <w:rPr>
          <w:rFonts w:ascii="Lotus Linotype" w:hAnsi="Lotus Linotype" w:hint="cs"/>
          <w:sz w:val="28"/>
          <w:rtl/>
          <w:lang w:bidi="ar-SY"/>
        </w:rPr>
        <w:t>المحقق</w:t>
      </w:r>
      <w:r w:rsidR="00953581" w:rsidRPr="003F3B94">
        <w:rPr>
          <w:rFonts w:ascii="Lotus Linotype" w:hAnsi="Lotus Linotype" w:hint="cs"/>
          <w:sz w:val="28"/>
          <w:rtl/>
          <w:lang w:bidi="ar-SY"/>
        </w:rPr>
        <w:t xml:space="preserve"> </w:t>
      </w:r>
      <w:r w:rsidRPr="003F3B94">
        <w:rPr>
          <w:rFonts w:ascii="Lotus Linotype" w:hAnsi="Lotus Linotype" w:hint="cs"/>
          <w:sz w:val="28"/>
          <w:rtl/>
          <w:lang w:bidi="ar-SY"/>
        </w:rPr>
        <w:t>السبزواري</w:t>
      </w:r>
      <w:r w:rsidR="00953581" w:rsidRPr="003F3B94">
        <w:rPr>
          <w:rFonts w:ascii="Lotus Linotype" w:hAnsi="Lotus Linotype" w:hint="cs"/>
          <w:sz w:val="28"/>
          <w:rtl/>
          <w:lang w:bidi="ar-SY"/>
        </w:rPr>
        <w:t xml:space="preserve"> </w:t>
      </w:r>
      <w:r w:rsidR="005C53D5" w:rsidRPr="003F3B94">
        <w:rPr>
          <w:rFonts w:ascii="Lotus Linotype" w:hAnsi="Lotus Linotype" w:hint="cs"/>
          <w:sz w:val="28"/>
          <w:rtl/>
          <w:lang w:bidi="ar-SY"/>
        </w:rPr>
        <w:t>(</w:t>
      </w:r>
      <w:r w:rsidRPr="003F3B94">
        <w:rPr>
          <w:rFonts w:ascii="Lotus Linotype" w:hAnsi="Lotus Linotype" w:hint="cs"/>
          <w:sz w:val="28"/>
          <w:rtl/>
          <w:lang w:bidi="ar-SY"/>
        </w:rPr>
        <w:t>1090هـ</w:t>
      </w:r>
      <w:r w:rsidR="005C53D5" w:rsidRPr="003F3B94">
        <w:rPr>
          <w:rFonts w:ascii="Lotus Linotype" w:hAnsi="Lotus Linotype" w:hint="cs"/>
          <w:sz w:val="28"/>
          <w:rtl/>
          <w:lang w:bidi="ar-SY"/>
        </w:rPr>
        <w:t>)</w:t>
      </w:r>
      <w:r w:rsidR="00953581" w:rsidRPr="003F3B94">
        <w:rPr>
          <w:rFonts w:ascii="Lotus Linotype" w:hAnsi="Lotus Linotype" w:hint="cs"/>
          <w:sz w:val="28"/>
          <w:rtl/>
          <w:lang w:bidi="ar-SY"/>
        </w:rPr>
        <w:t xml:space="preserve"> </w:t>
      </w:r>
      <w:r w:rsidR="00147857" w:rsidRPr="003F3B94">
        <w:rPr>
          <w:rFonts w:ascii="Lotus Linotype" w:hAnsi="Lotus Linotype" w:hint="cs"/>
          <w:sz w:val="28"/>
          <w:rtl/>
          <w:lang w:bidi="ar-SY"/>
        </w:rPr>
        <w:t>و</w:t>
      </w:r>
      <w:r w:rsidRPr="003F3B94">
        <w:rPr>
          <w:rFonts w:ascii="Lotus Linotype" w:hAnsi="Lotus Linotype"/>
          <w:sz w:val="28"/>
          <w:rtl/>
          <w:lang w:bidi="ar-SY"/>
        </w:rPr>
        <w:t>الشيخ</w:t>
      </w:r>
      <w:r w:rsidR="00953581" w:rsidRPr="003F3B94">
        <w:rPr>
          <w:rFonts w:ascii="Lotus Linotype" w:hAnsi="Lotus Linotype"/>
          <w:sz w:val="28"/>
          <w:rtl/>
          <w:lang w:bidi="ar-SY"/>
        </w:rPr>
        <w:t xml:space="preserve"> </w:t>
      </w:r>
      <w:r w:rsidRPr="003F3B94">
        <w:rPr>
          <w:rFonts w:ascii="Lotus Linotype" w:hAnsi="Lotus Linotype"/>
          <w:sz w:val="28"/>
          <w:rtl/>
          <w:lang w:bidi="ar-SY"/>
        </w:rPr>
        <w:t>عبد</w:t>
      </w:r>
      <w:r w:rsidR="00953581" w:rsidRPr="003F3B94">
        <w:rPr>
          <w:rFonts w:ascii="Lotus Linotype" w:hAnsi="Lotus Linotype"/>
          <w:sz w:val="28"/>
          <w:rtl/>
          <w:lang w:bidi="ar-SY"/>
        </w:rPr>
        <w:t xml:space="preserve"> </w:t>
      </w:r>
      <w:r w:rsidRPr="003F3B94">
        <w:rPr>
          <w:rFonts w:ascii="Lotus Linotype" w:hAnsi="Lotus Linotype"/>
          <w:sz w:val="28"/>
          <w:rtl/>
          <w:lang w:bidi="ar-SY"/>
        </w:rPr>
        <w:t>الله</w:t>
      </w:r>
      <w:r w:rsidR="00953581" w:rsidRPr="003F3B94">
        <w:rPr>
          <w:rFonts w:ascii="Lotus Linotype" w:hAnsi="Lotus Linotype"/>
          <w:sz w:val="28"/>
          <w:rtl/>
          <w:lang w:bidi="ar-SY"/>
        </w:rPr>
        <w:t xml:space="preserve"> </w:t>
      </w:r>
      <w:r w:rsidRPr="003F3B94">
        <w:rPr>
          <w:rFonts w:ascii="Lotus Linotype" w:hAnsi="Lotus Linotype"/>
          <w:sz w:val="28"/>
          <w:rtl/>
          <w:lang w:bidi="ar-SY"/>
        </w:rPr>
        <w:t>بن</w:t>
      </w:r>
      <w:r w:rsidR="00953581" w:rsidRPr="003F3B94">
        <w:rPr>
          <w:rFonts w:ascii="Lotus Linotype" w:hAnsi="Lotus Linotype"/>
          <w:sz w:val="28"/>
          <w:rtl/>
          <w:lang w:bidi="ar-SY"/>
        </w:rPr>
        <w:t xml:space="preserve"> </w:t>
      </w:r>
      <w:r w:rsidRPr="003F3B94">
        <w:rPr>
          <w:rFonts w:ascii="Lotus Linotype" w:hAnsi="Lotus Linotype"/>
          <w:sz w:val="28"/>
          <w:rtl/>
          <w:lang w:bidi="ar-SY"/>
        </w:rPr>
        <w:t>صالح</w:t>
      </w:r>
      <w:r w:rsidR="00953581" w:rsidRPr="003F3B94">
        <w:rPr>
          <w:rFonts w:ascii="Lotus Linotype" w:hAnsi="Lotus Linotype"/>
          <w:sz w:val="28"/>
          <w:rtl/>
          <w:lang w:bidi="ar-SY"/>
        </w:rPr>
        <w:t xml:space="preserve"> </w:t>
      </w:r>
      <w:r w:rsidRPr="003F3B94">
        <w:rPr>
          <w:rFonts w:ascii="Lotus Linotype" w:hAnsi="Lotus Linotype"/>
          <w:sz w:val="28"/>
          <w:rtl/>
          <w:lang w:bidi="ar-SY"/>
        </w:rPr>
        <w:t>البحراني</w:t>
      </w:r>
      <w:r w:rsidR="00953581" w:rsidRPr="003F3B94">
        <w:rPr>
          <w:rFonts w:ascii="Lotus Linotype" w:hAnsi="Lotus Linotype" w:hint="cs"/>
          <w:sz w:val="28"/>
          <w:rtl/>
          <w:lang w:bidi="ar-SY"/>
        </w:rPr>
        <w:t xml:space="preserve"> </w:t>
      </w:r>
      <w:r w:rsidR="005C53D5" w:rsidRPr="003F3B94">
        <w:rPr>
          <w:rFonts w:ascii="Lotus Linotype" w:hAnsi="Lotus Linotype" w:hint="cs"/>
          <w:sz w:val="28"/>
          <w:rtl/>
          <w:lang w:bidi="ar-SY"/>
        </w:rPr>
        <w:t>(</w:t>
      </w:r>
      <w:r w:rsidRPr="003F3B94">
        <w:rPr>
          <w:rFonts w:ascii="Lotus Linotype" w:hAnsi="Lotus Linotype" w:hint="cs"/>
          <w:sz w:val="28"/>
          <w:rtl/>
          <w:lang w:bidi="ar-SY"/>
        </w:rPr>
        <w:t>1135هـ</w:t>
      </w:r>
      <w:r w:rsidR="005C53D5" w:rsidRPr="003F3B94">
        <w:rPr>
          <w:rFonts w:ascii="Lotus Linotype" w:hAnsi="Lotus Linotype" w:hint="cs"/>
          <w:sz w:val="28"/>
          <w:rtl/>
          <w:lang w:bidi="ar-SY"/>
        </w:rPr>
        <w:t>)-</w:t>
      </w:r>
      <w:r w:rsidR="00953581" w:rsidRPr="003F3B94">
        <w:rPr>
          <w:rFonts w:ascii="Lotus Linotype" w:hAnsi="Lotus Linotype" w:hint="cs"/>
          <w:sz w:val="28"/>
          <w:rtl/>
          <w:lang w:bidi="ar-SY"/>
        </w:rPr>
        <w:t xml:space="preserve"> </w:t>
      </w:r>
      <w:r w:rsidRPr="003F3B94">
        <w:rPr>
          <w:rFonts w:ascii="Lotus Linotype" w:hAnsi="Lotus Linotype" w:hint="cs"/>
          <w:sz w:val="28"/>
          <w:rtl/>
          <w:lang w:bidi="ar-SY"/>
        </w:rPr>
        <w:t>إلى</w:t>
      </w:r>
      <w:r w:rsidR="00953581" w:rsidRPr="003F3B94">
        <w:rPr>
          <w:rFonts w:ascii="Abo-thar" w:hAnsi="Abo-thar" w:hint="cs"/>
          <w:sz w:val="28"/>
          <w:rtl/>
          <w:lang w:bidi="ar-SY"/>
        </w:rPr>
        <w:t xml:space="preserve"> </w:t>
      </w:r>
      <w:r w:rsidRPr="003F3B94">
        <w:rPr>
          <w:rFonts w:ascii="Abo-thar" w:hAnsi="Abo-thar" w:hint="cs"/>
          <w:sz w:val="28"/>
          <w:rtl/>
          <w:lang w:bidi="ar-SY"/>
        </w:rPr>
        <w:t>سقوط</w:t>
      </w:r>
      <w:r w:rsidR="00953581" w:rsidRPr="003F3B94">
        <w:rPr>
          <w:rFonts w:ascii="Abo-thar" w:hAnsi="Abo-thar" w:hint="cs"/>
          <w:sz w:val="28"/>
          <w:rtl/>
          <w:lang w:bidi="ar-SY"/>
        </w:rPr>
        <w:t xml:space="preserve"> </w:t>
      </w:r>
      <w:r w:rsidRPr="003F3B94">
        <w:rPr>
          <w:rFonts w:ascii="Lotus Linotype" w:hAnsi="Lotus Linotype"/>
          <w:sz w:val="28"/>
          <w:rtl/>
          <w:lang w:bidi="ar-SY"/>
        </w:rPr>
        <w:t>«</w:t>
      </w:r>
      <w:r w:rsidRPr="003F3B94">
        <w:rPr>
          <w:rFonts w:ascii="Lotus Linotype" w:hAnsi="Lotus Linotype" w:hint="cs"/>
          <w:sz w:val="28"/>
          <w:rtl/>
          <w:lang w:bidi="ar-SY"/>
        </w:rPr>
        <w:t>الخُمُس</w:t>
      </w:r>
      <w:r w:rsidRPr="003F3B94">
        <w:rPr>
          <w:rFonts w:ascii="Lotus Linotype" w:hAnsi="Lotus Linotype"/>
          <w:sz w:val="28"/>
          <w:rtl/>
          <w:lang w:bidi="ar-SY"/>
        </w:rPr>
        <w:t>»</w:t>
      </w:r>
      <w:r w:rsidR="00953581" w:rsidRPr="003F3B94">
        <w:rPr>
          <w:rFonts w:ascii="Lotus Linotype" w:hAnsi="Lotus Linotype" w:hint="cs"/>
          <w:sz w:val="28"/>
          <w:rtl/>
          <w:lang w:bidi="ar-SY"/>
        </w:rPr>
        <w:t xml:space="preserve"> </w:t>
      </w:r>
      <w:r w:rsidRPr="003F3B94">
        <w:rPr>
          <w:rFonts w:ascii="Abo-thar" w:hAnsi="Abo-thar" w:hint="cs"/>
          <w:sz w:val="28"/>
          <w:rtl/>
          <w:lang w:bidi="ar-SY"/>
        </w:rPr>
        <w:t>كلياً</w:t>
      </w:r>
      <w:r w:rsidR="00953581" w:rsidRPr="003F3B94">
        <w:rPr>
          <w:rFonts w:ascii="Abo-thar" w:hAnsi="Abo-thar" w:hint="cs"/>
          <w:sz w:val="28"/>
          <w:rtl/>
          <w:lang w:bidi="ar-SY"/>
        </w:rPr>
        <w:t xml:space="preserve"> </w:t>
      </w:r>
      <w:r w:rsidRPr="003F3B94">
        <w:rPr>
          <w:rFonts w:ascii="Abo-thar" w:hAnsi="Abo-thar" w:hint="cs"/>
          <w:sz w:val="28"/>
          <w:rtl/>
          <w:lang w:bidi="ar-SY"/>
        </w:rPr>
        <w:t>في</w:t>
      </w:r>
      <w:r w:rsidR="00953581" w:rsidRPr="003F3B94">
        <w:rPr>
          <w:rFonts w:ascii="Abo-thar" w:hAnsi="Abo-thar" w:hint="cs"/>
          <w:sz w:val="28"/>
          <w:rtl/>
          <w:lang w:bidi="ar-SY"/>
        </w:rPr>
        <w:t xml:space="preserve"> </w:t>
      </w:r>
      <w:r w:rsidRPr="003F3B94">
        <w:rPr>
          <w:rFonts w:ascii="Abo-thar" w:hAnsi="Abo-thar" w:hint="cs"/>
          <w:sz w:val="28"/>
          <w:rtl/>
          <w:lang w:bidi="ar-SY"/>
        </w:rPr>
        <w:t>العصور</w:t>
      </w:r>
      <w:r w:rsidR="00953581" w:rsidRPr="003F3B94">
        <w:rPr>
          <w:rFonts w:ascii="Abo-thar" w:hAnsi="Abo-thar" w:hint="cs"/>
          <w:sz w:val="28"/>
          <w:rtl/>
          <w:lang w:bidi="ar-SY"/>
        </w:rPr>
        <w:t xml:space="preserve"> </w:t>
      </w:r>
      <w:r w:rsidRPr="003F3B94">
        <w:rPr>
          <w:rFonts w:ascii="Abo-thar" w:hAnsi="Abo-thar" w:hint="cs"/>
          <w:sz w:val="28"/>
          <w:rtl/>
          <w:lang w:bidi="ar-SY"/>
        </w:rPr>
        <w:t>التي</w:t>
      </w:r>
      <w:r w:rsidR="00953581" w:rsidRPr="003F3B94">
        <w:rPr>
          <w:rFonts w:ascii="Abo-thar" w:hAnsi="Abo-thar" w:hint="cs"/>
          <w:sz w:val="28"/>
          <w:rtl/>
          <w:lang w:bidi="ar-SY"/>
        </w:rPr>
        <w:t xml:space="preserve"> </w:t>
      </w:r>
      <w:r w:rsidRPr="003F3B94">
        <w:rPr>
          <w:rFonts w:ascii="Abo-thar" w:hAnsi="Abo-thar" w:hint="cs"/>
          <w:sz w:val="28"/>
          <w:rtl/>
          <w:lang w:bidi="ar-SY"/>
        </w:rPr>
        <w:t>تلت</w:t>
      </w:r>
      <w:r w:rsidR="00953581" w:rsidRPr="003F3B94">
        <w:rPr>
          <w:rFonts w:ascii="Abo-thar" w:hAnsi="Abo-thar" w:hint="cs"/>
          <w:sz w:val="28"/>
          <w:rtl/>
          <w:lang w:bidi="ar-SY"/>
        </w:rPr>
        <w:t xml:space="preserve"> </w:t>
      </w:r>
      <w:r w:rsidRPr="003F3B94">
        <w:rPr>
          <w:rFonts w:ascii="Abo-thar" w:hAnsi="Abo-thar" w:hint="cs"/>
          <w:sz w:val="28"/>
          <w:rtl/>
          <w:lang w:bidi="ar-SY"/>
        </w:rPr>
        <w:t>عصر</w:t>
      </w:r>
      <w:r w:rsidR="00953581" w:rsidRPr="003F3B94">
        <w:rPr>
          <w:rFonts w:ascii="Abo-thar" w:hAnsi="Abo-thar" w:hint="cs"/>
          <w:sz w:val="28"/>
          <w:rtl/>
          <w:lang w:bidi="ar-SY"/>
        </w:rPr>
        <w:t xml:space="preserve"> </w:t>
      </w:r>
      <w:r w:rsidR="000D40CA" w:rsidRPr="003F3B94">
        <w:rPr>
          <w:rFonts w:ascii="Abo-thar" w:hAnsi="Abo-thar" w:hint="cs"/>
          <w:sz w:val="28"/>
          <w:rtl/>
          <w:lang w:bidi="ar-SY"/>
        </w:rPr>
        <w:t>ال</w:t>
      </w:r>
      <w:r w:rsidRPr="003F3B94">
        <w:rPr>
          <w:rFonts w:ascii="Abo-thar" w:hAnsi="Abo-thar" w:hint="cs"/>
          <w:sz w:val="28"/>
          <w:rtl/>
          <w:lang w:bidi="ar-SY"/>
        </w:rPr>
        <w:t>أئم</w:t>
      </w:r>
      <w:r w:rsidR="000D40CA" w:rsidRPr="003F3B94">
        <w:rPr>
          <w:rFonts w:ascii="Abo-thar" w:hAnsi="Abo-thar" w:hint="cs"/>
          <w:sz w:val="28"/>
          <w:rtl/>
          <w:lang w:bidi="ar-SY"/>
        </w:rPr>
        <w:t>ة</w:t>
      </w:r>
      <w:r w:rsidR="00953581" w:rsidRPr="003F3B94">
        <w:rPr>
          <w:rFonts w:ascii="Abo-thar" w:hAnsi="Abo-thar" w:hint="cs"/>
          <w:sz w:val="28"/>
          <w:rtl/>
          <w:lang w:bidi="ar-SY"/>
        </w:rPr>
        <w:t xml:space="preserve"> </w:t>
      </w:r>
      <w:r w:rsidRPr="003F3B94">
        <w:rPr>
          <w:rFonts w:ascii="Abo-thar" w:hAnsi="Abo-thar" w:hint="cs"/>
          <w:sz w:val="28"/>
          <w:rtl/>
          <w:lang w:bidi="ar-SY"/>
        </w:rPr>
        <w:t>من</w:t>
      </w:r>
      <w:r w:rsidR="00953581" w:rsidRPr="003F3B94">
        <w:rPr>
          <w:rFonts w:ascii="Abo-thar" w:hAnsi="Abo-thar" w:hint="cs"/>
          <w:sz w:val="28"/>
          <w:rtl/>
          <w:lang w:bidi="ar-SY"/>
        </w:rPr>
        <w:t xml:space="preserve"> </w:t>
      </w:r>
      <w:r w:rsidRPr="003F3B94">
        <w:rPr>
          <w:rFonts w:ascii="Abo-thar" w:hAnsi="Abo-thar" w:hint="cs"/>
          <w:sz w:val="28"/>
          <w:rtl/>
          <w:lang w:bidi="ar-SY"/>
        </w:rPr>
        <w:t>آل</w:t>
      </w:r>
      <w:r w:rsidR="00953581" w:rsidRPr="003F3B94">
        <w:rPr>
          <w:rFonts w:ascii="Abo-thar" w:hAnsi="Abo-thar" w:hint="cs"/>
          <w:sz w:val="28"/>
          <w:rtl/>
          <w:lang w:bidi="ar-SY"/>
        </w:rPr>
        <w:t xml:space="preserve"> </w:t>
      </w:r>
      <w:r w:rsidRPr="003F3B94">
        <w:rPr>
          <w:rFonts w:ascii="Abo-thar" w:hAnsi="Abo-thar" w:hint="cs"/>
          <w:sz w:val="28"/>
          <w:rtl/>
          <w:lang w:bidi="ar-SY"/>
        </w:rPr>
        <w:t>الرسول</w:t>
      </w:r>
      <w:r w:rsidR="00953581" w:rsidRPr="003F3B94">
        <w:rPr>
          <w:rFonts w:ascii="Abo-thar" w:hAnsi="Abo-thar" w:hint="cs"/>
          <w:sz w:val="28"/>
          <w:rtl/>
          <w:lang w:bidi="ar-SY"/>
        </w:rPr>
        <w:t xml:space="preserve"> </w:t>
      </w:r>
      <w:r w:rsidRPr="003F3B94">
        <w:rPr>
          <w:rFonts w:cs="Times New Roman" w:hint="cs"/>
          <w:sz w:val="28"/>
          <w:rtl/>
          <w:lang w:bidi="ar-SY"/>
        </w:rPr>
        <w:t>–</w:t>
      </w:r>
      <w:r w:rsidR="00953581" w:rsidRPr="003F3B94">
        <w:rPr>
          <w:rFonts w:ascii="Abo-thar" w:hAnsi="Abo-thar" w:hint="cs"/>
          <w:sz w:val="28"/>
          <w:rtl/>
          <w:lang w:bidi="ar-SY"/>
        </w:rPr>
        <w:t xml:space="preserve"> </w:t>
      </w:r>
      <w:r w:rsidRPr="003F3B94">
        <w:rPr>
          <w:rFonts w:ascii="Abo-thar" w:hAnsi="Abo-thar" w:hint="cs"/>
          <w:sz w:val="28"/>
          <w:rtl/>
          <w:lang w:bidi="ar-SY"/>
        </w:rPr>
        <w:t>والتي</w:t>
      </w:r>
      <w:r w:rsidR="00953581" w:rsidRPr="003F3B94">
        <w:rPr>
          <w:rFonts w:ascii="Abo-thar" w:hAnsi="Abo-thar" w:hint="cs"/>
          <w:sz w:val="28"/>
          <w:rtl/>
          <w:lang w:bidi="ar-SY"/>
        </w:rPr>
        <w:t xml:space="preserve"> </w:t>
      </w:r>
      <w:r w:rsidRPr="003F3B94">
        <w:rPr>
          <w:rFonts w:ascii="Abo-thar" w:hAnsi="Abo-thar" w:hint="cs"/>
          <w:sz w:val="28"/>
          <w:rtl/>
          <w:lang w:bidi="ar-SY"/>
        </w:rPr>
        <w:t>يطلق</w:t>
      </w:r>
      <w:r w:rsidR="00953581" w:rsidRPr="003F3B94">
        <w:rPr>
          <w:rFonts w:ascii="Abo-thar" w:hAnsi="Abo-thar" w:hint="cs"/>
          <w:sz w:val="28"/>
          <w:rtl/>
          <w:lang w:bidi="ar-SY"/>
        </w:rPr>
        <w:t xml:space="preserve"> </w:t>
      </w:r>
      <w:r w:rsidRPr="003F3B94">
        <w:rPr>
          <w:rFonts w:ascii="Abo-thar" w:hAnsi="Abo-thar" w:hint="cs"/>
          <w:sz w:val="28"/>
          <w:rtl/>
          <w:lang w:bidi="ar-SY"/>
        </w:rPr>
        <w:t>عليها</w:t>
      </w:r>
      <w:r w:rsidR="00953581" w:rsidRPr="003F3B94">
        <w:rPr>
          <w:rFonts w:ascii="Abo-thar" w:hAnsi="Abo-thar" w:hint="cs"/>
          <w:sz w:val="28"/>
          <w:rtl/>
          <w:lang w:bidi="ar-SY"/>
        </w:rPr>
        <w:t xml:space="preserve"> </w:t>
      </w:r>
      <w:r w:rsidR="000D40CA" w:rsidRPr="003F3B94">
        <w:rPr>
          <w:rFonts w:ascii="Abo-thar" w:hAnsi="Abo-thar" w:hint="cs"/>
          <w:sz w:val="28"/>
          <w:rtl/>
          <w:lang w:bidi="ar-SY"/>
        </w:rPr>
        <w:t>لدى</w:t>
      </w:r>
      <w:r w:rsidR="00953581" w:rsidRPr="003F3B94">
        <w:rPr>
          <w:rFonts w:ascii="Abo-thar" w:hAnsi="Abo-thar" w:hint="cs"/>
          <w:sz w:val="28"/>
          <w:rtl/>
          <w:lang w:bidi="ar-SY"/>
        </w:rPr>
        <w:t xml:space="preserve"> </w:t>
      </w:r>
      <w:r w:rsidR="000D40CA" w:rsidRPr="003F3B94">
        <w:rPr>
          <w:rFonts w:ascii="Abo-thar" w:hAnsi="Abo-thar" w:hint="cs"/>
          <w:sz w:val="28"/>
          <w:rtl/>
          <w:lang w:bidi="ar-SY"/>
        </w:rPr>
        <w:t>الإمامية</w:t>
      </w:r>
      <w:r w:rsidR="00953581" w:rsidRPr="003F3B94">
        <w:rPr>
          <w:rFonts w:ascii="Abo-thar" w:hAnsi="Abo-thar" w:hint="cs"/>
          <w:sz w:val="28"/>
          <w:rtl/>
          <w:lang w:bidi="ar-SY"/>
        </w:rPr>
        <w:t xml:space="preserve"> </w:t>
      </w:r>
      <w:r w:rsidRPr="003F3B94">
        <w:rPr>
          <w:rFonts w:ascii="Abo-thar" w:hAnsi="Abo-thar" w:hint="cs"/>
          <w:sz w:val="28"/>
          <w:rtl/>
          <w:lang w:bidi="ar-SY"/>
        </w:rPr>
        <w:t>تعبير</w:t>
      </w:r>
      <w:r w:rsidR="00953581" w:rsidRPr="003F3B94">
        <w:rPr>
          <w:rFonts w:ascii="Abo-thar" w:hAnsi="Abo-thar" w:hint="cs"/>
          <w:sz w:val="28"/>
          <w:rtl/>
          <w:lang w:bidi="ar-SY"/>
        </w:rPr>
        <w:t xml:space="preserve"> </w:t>
      </w:r>
      <w:r w:rsidRPr="003F3B94">
        <w:rPr>
          <w:rFonts w:ascii="Abo-thar" w:hAnsi="Abo-thar" w:hint="cs"/>
          <w:sz w:val="28"/>
          <w:rtl/>
          <w:lang w:bidi="ar-SY"/>
        </w:rPr>
        <w:t>عصر</w:t>
      </w:r>
      <w:r w:rsidR="00953581" w:rsidRPr="003F3B94">
        <w:rPr>
          <w:rFonts w:ascii="Abo-thar" w:hAnsi="Abo-thar" w:hint="cs"/>
          <w:sz w:val="28"/>
          <w:rtl/>
          <w:lang w:bidi="ar-SY"/>
        </w:rPr>
        <w:t xml:space="preserve"> </w:t>
      </w:r>
      <w:r w:rsidRPr="003F3B94">
        <w:rPr>
          <w:rFonts w:ascii="Abo-thar" w:hAnsi="Abo-thar" w:hint="cs"/>
          <w:sz w:val="28"/>
          <w:rtl/>
          <w:lang w:bidi="ar-SY"/>
        </w:rPr>
        <w:t>الغيبة</w:t>
      </w:r>
      <w:r w:rsidR="00953581" w:rsidRPr="003F3B94">
        <w:rPr>
          <w:rFonts w:ascii="Abo-thar" w:hAnsi="Abo-thar" w:hint="cs"/>
          <w:sz w:val="28"/>
          <w:rtl/>
          <w:lang w:bidi="ar-SY"/>
        </w:rPr>
        <w:t xml:space="preserve"> </w:t>
      </w:r>
      <w:r w:rsidR="005C53D5" w:rsidRPr="003F3B94">
        <w:rPr>
          <w:rFonts w:ascii="Abo-thar" w:hAnsi="Abo-thar" w:hint="cs"/>
          <w:sz w:val="28"/>
          <w:rtl/>
          <w:lang w:bidi="ar-SY"/>
        </w:rPr>
        <w:t>-،</w:t>
      </w:r>
      <w:r w:rsidR="00953581" w:rsidRPr="003F3B94">
        <w:rPr>
          <w:rFonts w:ascii="Abo-thar" w:hAnsi="Abo-thar" w:hint="cs"/>
          <w:sz w:val="28"/>
          <w:rtl/>
          <w:lang w:bidi="ar-SY"/>
        </w:rPr>
        <w:t xml:space="preserve"> </w:t>
      </w:r>
      <w:r w:rsidRPr="003F3B94">
        <w:rPr>
          <w:rFonts w:ascii="Abo-thar" w:hAnsi="Abo-thar" w:hint="cs"/>
          <w:sz w:val="28"/>
          <w:rtl/>
          <w:lang w:bidi="ar-SY"/>
        </w:rPr>
        <w:t>فيما</w:t>
      </w:r>
      <w:r w:rsidR="00953581" w:rsidRPr="003F3B94">
        <w:rPr>
          <w:rFonts w:ascii="Abo-thar" w:hAnsi="Abo-thar" w:hint="cs"/>
          <w:sz w:val="28"/>
          <w:rtl/>
          <w:lang w:bidi="ar-SY"/>
        </w:rPr>
        <w:t xml:space="preserve"> </w:t>
      </w:r>
      <w:r w:rsidRPr="003F3B94">
        <w:rPr>
          <w:rFonts w:ascii="Abo-thar" w:hAnsi="Abo-thar" w:hint="cs"/>
          <w:sz w:val="28"/>
          <w:rtl/>
          <w:lang w:bidi="ar-SY"/>
        </w:rPr>
        <w:t>ذهب</w:t>
      </w:r>
      <w:r w:rsidR="00953581" w:rsidRPr="003F3B94">
        <w:rPr>
          <w:rFonts w:ascii="Abo-thar" w:hAnsi="Abo-thar" w:hint="cs"/>
          <w:sz w:val="28"/>
          <w:rtl/>
          <w:lang w:bidi="ar-SY"/>
        </w:rPr>
        <w:t xml:space="preserve"> </w:t>
      </w:r>
      <w:r w:rsidRPr="003F3B94">
        <w:rPr>
          <w:rFonts w:ascii="Abo-thar" w:hAnsi="Abo-thar" w:hint="cs"/>
          <w:sz w:val="28"/>
          <w:rtl/>
          <w:lang w:bidi="ar-SY"/>
        </w:rPr>
        <w:t>فقهاء</w:t>
      </w:r>
      <w:r w:rsidR="00953581" w:rsidRPr="003F3B94">
        <w:rPr>
          <w:rFonts w:ascii="Abo-thar" w:hAnsi="Abo-thar" w:hint="cs"/>
          <w:sz w:val="28"/>
          <w:rtl/>
          <w:lang w:bidi="ar-SY"/>
        </w:rPr>
        <w:t xml:space="preserve"> </w:t>
      </w:r>
      <w:r w:rsidRPr="003F3B94">
        <w:rPr>
          <w:rFonts w:ascii="Abo-thar" w:hAnsi="Abo-thar" w:hint="cs"/>
          <w:sz w:val="28"/>
          <w:rtl/>
          <w:lang w:bidi="ar-SY"/>
        </w:rPr>
        <w:t>الإمامية</w:t>
      </w:r>
      <w:r w:rsidR="00953581" w:rsidRPr="003F3B94">
        <w:rPr>
          <w:rFonts w:ascii="Abo-thar" w:hAnsi="Abo-thar" w:hint="cs"/>
          <w:sz w:val="28"/>
          <w:rtl/>
          <w:lang w:bidi="ar-SY"/>
        </w:rPr>
        <w:t xml:space="preserve"> </w:t>
      </w:r>
      <w:r w:rsidRPr="003F3B94">
        <w:rPr>
          <w:rFonts w:ascii="Abo-thar" w:hAnsi="Abo-thar" w:hint="cs"/>
          <w:sz w:val="28"/>
          <w:rtl/>
          <w:lang w:bidi="ar-SY"/>
        </w:rPr>
        <w:t>الآخرون</w:t>
      </w:r>
      <w:r w:rsidR="00953581" w:rsidRPr="003F3B94">
        <w:rPr>
          <w:rFonts w:ascii="Abo-thar" w:hAnsi="Abo-thar" w:hint="cs"/>
          <w:sz w:val="28"/>
          <w:rtl/>
          <w:lang w:bidi="ar-SY"/>
        </w:rPr>
        <w:t xml:space="preserve"> </w:t>
      </w:r>
      <w:r w:rsidRPr="003F3B94">
        <w:rPr>
          <w:rFonts w:ascii="Abo-thar" w:hAnsi="Abo-thar" w:hint="cs"/>
          <w:sz w:val="28"/>
          <w:rtl/>
          <w:lang w:bidi="ar-SY"/>
        </w:rPr>
        <w:t>مذاهب</w:t>
      </w:r>
      <w:r w:rsidR="00953581" w:rsidRPr="003F3B94">
        <w:rPr>
          <w:rFonts w:ascii="Abo-thar" w:hAnsi="Abo-thar" w:hint="cs"/>
          <w:sz w:val="28"/>
          <w:rtl/>
          <w:lang w:bidi="ar-SY"/>
        </w:rPr>
        <w:t xml:space="preserve"> </w:t>
      </w:r>
      <w:r w:rsidRPr="003F3B94">
        <w:rPr>
          <w:rFonts w:ascii="Abo-thar" w:hAnsi="Abo-thar" w:hint="cs"/>
          <w:sz w:val="28"/>
          <w:rtl/>
          <w:lang w:bidi="ar-SY"/>
        </w:rPr>
        <w:t>شتى</w:t>
      </w:r>
      <w:r w:rsidR="00953581" w:rsidRPr="003F3B94">
        <w:rPr>
          <w:rFonts w:ascii="Abo-thar" w:hAnsi="Abo-thar" w:hint="cs"/>
          <w:sz w:val="28"/>
          <w:rtl/>
          <w:lang w:bidi="ar-SY"/>
        </w:rPr>
        <w:t xml:space="preserve"> </w:t>
      </w:r>
      <w:r w:rsidRPr="003F3B94">
        <w:rPr>
          <w:rFonts w:ascii="Abo-thar" w:hAnsi="Abo-thar" w:hint="cs"/>
          <w:sz w:val="28"/>
          <w:rtl/>
          <w:lang w:bidi="ar-SY"/>
        </w:rPr>
        <w:t>فيه</w:t>
      </w:r>
      <w:r w:rsidR="00953581" w:rsidRPr="003F3B94">
        <w:rPr>
          <w:rFonts w:ascii="Abo-thar" w:hAnsi="Abo-thar" w:hint="cs"/>
          <w:sz w:val="28"/>
          <w:rtl/>
          <w:lang w:bidi="ar-SY"/>
        </w:rPr>
        <w:t xml:space="preserve"> </w:t>
      </w:r>
      <w:r w:rsidRPr="003F3B94">
        <w:rPr>
          <w:rFonts w:ascii="Abo-thar" w:hAnsi="Abo-thar" w:hint="cs"/>
          <w:sz w:val="28"/>
          <w:rtl/>
          <w:lang w:bidi="ar-SY"/>
        </w:rPr>
        <w:t>فمنهم</w:t>
      </w:r>
      <w:r w:rsidR="00953581" w:rsidRPr="003F3B94">
        <w:rPr>
          <w:rFonts w:ascii="Abo-thar" w:hAnsi="Abo-thar" w:hint="cs"/>
          <w:sz w:val="28"/>
          <w:rtl/>
          <w:lang w:bidi="ar-SY"/>
        </w:rPr>
        <w:t xml:space="preserve"> </w:t>
      </w:r>
      <w:r w:rsidRPr="003F3B94">
        <w:rPr>
          <w:rFonts w:ascii="Abo-thar" w:hAnsi="Abo-thar" w:hint="cs"/>
          <w:sz w:val="28"/>
          <w:rtl/>
          <w:lang w:bidi="ar-SY"/>
        </w:rPr>
        <w:t>من</w:t>
      </w:r>
      <w:r w:rsidR="00953581" w:rsidRPr="003F3B94">
        <w:rPr>
          <w:rFonts w:ascii="Abo-thar" w:hAnsi="Abo-thar" w:hint="cs"/>
          <w:sz w:val="28"/>
          <w:rtl/>
          <w:lang w:bidi="ar-SY"/>
        </w:rPr>
        <w:t xml:space="preserve"> </w:t>
      </w:r>
      <w:r w:rsidRPr="003F3B94">
        <w:rPr>
          <w:rFonts w:ascii="Abo-thar" w:hAnsi="Abo-thar" w:hint="cs"/>
          <w:sz w:val="28"/>
          <w:rtl/>
          <w:lang w:bidi="ar-SY"/>
        </w:rPr>
        <w:t>أسقط</w:t>
      </w:r>
      <w:r w:rsidR="00953581" w:rsidRPr="003F3B94">
        <w:rPr>
          <w:rFonts w:ascii="Abo-thar" w:hAnsi="Abo-thar" w:hint="cs"/>
          <w:sz w:val="28"/>
          <w:rtl/>
          <w:lang w:bidi="ar-SY"/>
        </w:rPr>
        <w:t xml:space="preserve"> </w:t>
      </w:r>
      <w:r w:rsidRPr="003F3B94">
        <w:rPr>
          <w:rFonts w:ascii="Abo-thar" w:hAnsi="Abo-thar" w:hint="cs"/>
          <w:sz w:val="28"/>
          <w:rtl/>
          <w:lang w:bidi="ar-SY"/>
        </w:rPr>
        <w:t>نصفه</w:t>
      </w:r>
      <w:r w:rsidR="00953581" w:rsidRPr="003F3B94">
        <w:rPr>
          <w:rFonts w:ascii="Abo-thar" w:hAnsi="Abo-thar" w:hint="cs"/>
          <w:sz w:val="28"/>
          <w:rtl/>
          <w:lang w:bidi="ar-SY"/>
        </w:rPr>
        <w:t xml:space="preserve"> </w:t>
      </w:r>
      <w:r w:rsidRPr="003F3B94">
        <w:rPr>
          <w:rFonts w:ascii="Abo-thar" w:hAnsi="Abo-thar" w:hint="cs"/>
          <w:sz w:val="28"/>
          <w:rtl/>
          <w:lang w:bidi="ar-SY"/>
        </w:rPr>
        <w:t>أي</w:t>
      </w:r>
      <w:r w:rsidR="00953581" w:rsidRPr="003F3B94">
        <w:rPr>
          <w:rFonts w:ascii="Abo-thar" w:hAnsi="Abo-thar" w:hint="cs"/>
          <w:sz w:val="28"/>
          <w:rtl/>
          <w:lang w:bidi="ar-SY"/>
        </w:rPr>
        <w:t xml:space="preserve"> </w:t>
      </w:r>
      <w:r w:rsidRPr="003F3B94">
        <w:rPr>
          <w:rFonts w:ascii="Abo-thar" w:hAnsi="Abo-thar" w:hint="cs"/>
          <w:sz w:val="28"/>
          <w:rtl/>
          <w:lang w:bidi="ar-SY"/>
        </w:rPr>
        <w:t>سهم</w:t>
      </w:r>
      <w:r w:rsidR="00953581" w:rsidRPr="003F3B94">
        <w:rPr>
          <w:rFonts w:ascii="Abo-thar" w:hAnsi="Abo-thar" w:hint="cs"/>
          <w:sz w:val="28"/>
          <w:rtl/>
          <w:lang w:bidi="ar-SY"/>
        </w:rPr>
        <w:t xml:space="preserve"> </w:t>
      </w:r>
      <w:r w:rsidRPr="003F3B94">
        <w:rPr>
          <w:rFonts w:ascii="Abo-thar" w:hAnsi="Abo-thar" w:hint="cs"/>
          <w:sz w:val="28"/>
          <w:rtl/>
          <w:lang w:bidi="ar-SY"/>
        </w:rPr>
        <w:t>الإمام</w:t>
      </w:r>
      <w:r w:rsidR="00953581" w:rsidRPr="003F3B94">
        <w:rPr>
          <w:rFonts w:ascii="Abo-thar" w:hAnsi="Abo-thar" w:hint="cs"/>
          <w:sz w:val="28"/>
          <w:rtl/>
          <w:lang w:bidi="ar-SY"/>
        </w:rPr>
        <w:t xml:space="preserve"> </w:t>
      </w:r>
      <w:r w:rsidRPr="003F3B94">
        <w:rPr>
          <w:rFonts w:ascii="Abo-thar" w:hAnsi="Abo-thar" w:hint="cs"/>
          <w:sz w:val="28"/>
          <w:rtl/>
          <w:lang w:bidi="ar-SY"/>
        </w:rPr>
        <w:t>منه</w:t>
      </w:r>
      <w:r w:rsidR="00953581" w:rsidRPr="003F3B94">
        <w:rPr>
          <w:rFonts w:ascii="Abo-thar" w:hAnsi="Abo-thar" w:hint="cs"/>
          <w:sz w:val="28"/>
          <w:rtl/>
          <w:lang w:bidi="ar-SY"/>
        </w:rPr>
        <w:t xml:space="preserve"> </w:t>
      </w:r>
      <w:r w:rsidRPr="003F3B94">
        <w:rPr>
          <w:rFonts w:ascii="Abo-thar" w:hAnsi="Abo-thar" w:hint="cs"/>
          <w:sz w:val="28"/>
          <w:rtl/>
          <w:lang w:bidi="ar-SY"/>
        </w:rPr>
        <w:t>في</w:t>
      </w:r>
      <w:r w:rsidR="00953581" w:rsidRPr="003F3B94">
        <w:rPr>
          <w:rFonts w:ascii="Abo-thar" w:hAnsi="Abo-thar" w:hint="cs"/>
          <w:sz w:val="28"/>
          <w:rtl/>
          <w:lang w:bidi="ar-SY"/>
        </w:rPr>
        <w:t xml:space="preserve"> </w:t>
      </w:r>
      <w:r w:rsidRPr="003F3B94">
        <w:rPr>
          <w:rFonts w:ascii="Abo-thar" w:hAnsi="Abo-thar" w:hint="cs"/>
          <w:sz w:val="28"/>
          <w:rtl/>
          <w:lang w:bidi="ar-SY"/>
        </w:rPr>
        <w:t>عصـر</w:t>
      </w:r>
      <w:r w:rsidR="00953581" w:rsidRPr="003F3B94">
        <w:rPr>
          <w:rFonts w:ascii="Abo-thar" w:hAnsi="Abo-thar" w:hint="cs"/>
          <w:sz w:val="28"/>
          <w:rtl/>
          <w:lang w:bidi="ar-SY"/>
        </w:rPr>
        <w:t xml:space="preserve"> </w:t>
      </w:r>
      <w:r w:rsidRPr="003F3B94">
        <w:rPr>
          <w:rFonts w:ascii="Abo-thar" w:hAnsi="Abo-thar" w:hint="cs"/>
          <w:sz w:val="28"/>
          <w:rtl/>
          <w:lang w:bidi="ar-SY"/>
        </w:rPr>
        <w:t>الغيبة</w:t>
      </w:r>
      <w:r w:rsidR="00953581" w:rsidRPr="003F3B94">
        <w:rPr>
          <w:rFonts w:ascii="Abo-thar" w:hAnsi="Abo-thar" w:hint="cs"/>
          <w:sz w:val="28"/>
          <w:rtl/>
          <w:lang w:bidi="ar-SY"/>
        </w:rPr>
        <w:t xml:space="preserve"> </w:t>
      </w:r>
      <w:r w:rsidRPr="003F3B94">
        <w:rPr>
          <w:rFonts w:ascii="Abo-thar" w:hAnsi="Abo-thar" w:hint="cs"/>
          <w:sz w:val="28"/>
          <w:rtl/>
          <w:lang w:bidi="ar-SY"/>
        </w:rPr>
        <w:t>وأبقى</w:t>
      </w:r>
      <w:r w:rsidR="00953581" w:rsidRPr="003F3B94">
        <w:rPr>
          <w:rFonts w:ascii="Abo-thar" w:hAnsi="Abo-thar" w:hint="cs"/>
          <w:sz w:val="28"/>
          <w:rtl/>
          <w:lang w:bidi="ar-SY"/>
        </w:rPr>
        <w:t xml:space="preserve"> </w:t>
      </w:r>
      <w:r w:rsidRPr="003F3B94">
        <w:rPr>
          <w:rFonts w:ascii="Abo-thar" w:hAnsi="Abo-thar" w:hint="cs"/>
          <w:sz w:val="28"/>
          <w:rtl/>
          <w:lang w:bidi="ar-SY"/>
        </w:rPr>
        <w:t>النصف</w:t>
      </w:r>
      <w:r w:rsidR="00953581" w:rsidRPr="003F3B94">
        <w:rPr>
          <w:rFonts w:ascii="Abo-thar" w:hAnsi="Abo-thar" w:hint="cs"/>
          <w:sz w:val="28"/>
          <w:rtl/>
          <w:lang w:bidi="ar-SY"/>
        </w:rPr>
        <w:t xml:space="preserve"> </w:t>
      </w:r>
      <w:r w:rsidRPr="003F3B94">
        <w:rPr>
          <w:rFonts w:ascii="Abo-thar" w:hAnsi="Abo-thar" w:hint="cs"/>
          <w:sz w:val="28"/>
          <w:rtl/>
          <w:lang w:bidi="ar-SY"/>
        </w:rPr>
        <w:t>الآخر</w:t>
      </w:r>
      <w:r w:rsidR="00953581" w:rsidRPr="003F3B94">
        <w:rPr>
          <w:rFonts w:ascii="Abo-thar" w:hAnsi="Abo-thar" w:hint="cs"/>
          <w:sz w:val="28"/>
          <w:rtl/>
          <w:lang w:bidi="ar-SY"/>
        </w:rPr>
        <w:t xml:space="preserve"> </w:t>
      </w:r>
      <w:r w:rsidRPr="003F3B94">
        <w:rPr>
          <w:rFonts w:ascii="Abo-thar" w:hAnsi="Abo-thar" w:hint="cs"/>
          <w:sz w:val="28"/>
          <w:rtl/>
          <w:lang w:bidi="ar-SY"/>
        </w:rPr>
        <w:t>أي</w:t>
      </w:r>
      <w:r w:rsidR="00953581" w:rsidRPr="003F3B94">
        <w:rPr>
          <w:rFonts w:ascii="Abo-thar" w:hAnsi="Abo-thar" w:hint="cs"/>
          <w:sz w:val="28"/>
          <w:rtl/>
          <w:lang w:bidi="ar-SY"/>
        </w:rPr>
        <w:t xml:space="preserve"> </w:t>
      </w:r>
      <w:r w:rsidRPr="003F3B94">
        <w:rPr>
          <w:rFonts w:ascii="Abo-thar" w:hAnsi="Abo-thar" w:hint="cs"/>
          <w:sz w:val="28"/>
          <w:rtl/>
          <w:lang w:bidi="ar-SY"/>
        </w:rPr>
        <w:t>سهم</w:t>
      </w:r>
      <w:r w:rsidR="00953581" w:rsidRPr="003F3B94">
        <w:rPr>
          <w:rFonts w:ascii="Abo-thar" w:hAnsi="Abo-thar" w:hint="cs"/>
          <w:sz w:val="28"/>
          <w:rtl/>
          <w:lang w:bidi="ar-SY"/>
        </w:rPr>
        <w:t xml:space="preserve"> </w:t>
      </w:r>
      <w:r w:rsidRPr="003F3B94">
        <w:rPr>
          <w:rFonts w:ascii="Abo-thar" w:hAnsi="Abo-thar" w:hint="cs"/>
          <w:sz w:val="28"/>
          <w:rtl/>
          <w:lang w:bidi="ar-SY"/>
        </w:rPr>
        <w:t>اليتامى</w:t>
      </w:r>
      <w:r w:rsidR="00953581" w:rsidRPr="003F3B94">
        <w:rPr>
          <w:rFonts w:ascii="Abo-thar" w:hAnsi="Abo-thar" w:hint="cs"/>
          <w:sz w:val="28"/>
          <w:rtl/>
          <w:lang w:bidi="ar-SY"/>
        </w:rPr>
        <w:t xml:space="preserve"> </w:t>
      </w:r>
      <w:r w:rsidRPr="003F3B94">
        <w:rPr>
          <w:rFonts w:ascii="Abo-thar" w:hAnsi="Abo-thar" w:hint="cs"/>
          <w:sz w:val="28"/>
          <w:rtl/>
          <w:lang w:bidi="ar-SY"/>
        </w:rPr>
        <w:t>والمساكين</w:t>
      </w:r>
      <w:r w:rsidR="00953581" w:rsidRPr="003F3B94">
        <w:rPr>
          <w:rFonts w:ascii="Abo-thar" w:hAnsi="Abo-thar" w:hint="cs"/>
          <w:sz w:val="28"/>
          <w:rtl/>
          <w:lang w:bidi="ar-SY"/>
        </w:rPr>
        <w:t xml:space="preserve"> </w:t>
      </w:r>
      <w:r w:rsidRPr="003F3B94">
        <w:rPr>
          <w:rFonts w:ascii="Abo-thar" w:hAnsi="Abo-thar" w:hint="cs"/>
          <w:sz w:val="28"/>
          <w:rtl/>
          <w:lang w:bidi="ar-SY"/>
        </w:rPr>
        <w:t>وابن</w:t>
      </w:r>
      <w:r w:rsidR="00953581" w:rsidRPr="003F3B94">
        <w:rPr>
          <w:rFonts w:ascii="Abo-thar" w:hAnsi="Abo-thar" w:hint="cs"/>
          <w:sz w:val="28"/>
          <w:rtl/>
          <w:lang w:bidi="ar-SY"/>
        </w:rPr>
        <w:t xml:space="preserve"> </w:t>
      </w:r>
      <w:r w:rsidRPr="003F3B94">
        <w:rPr>
          <w:rFonts w:ascii="Abo-thar" w:hAnsi="Abo-thar" w:hint="cs"/>
          <w:sz w:val="28"/>
          <w:rtl/>
          <w:lang w:bidi="ar-SY"/>
        </w:rPr>
        <w:t>السبيل</w:t>
      </w:r>
      <w:r w:rsidR="00953581" w:rsidRPr="003F3B94">
        <w:rPr>
          <w:rFonts w:ascii="Abo-thar" w:hAnsi="Abo-thar" w:hint="cs"/>
          <w:sz w:val="28"/>
          <w:rtl/>
          <w:lang w:bidi="ar-SY"/>
        </w:rPr>
        <w:t xml:space="preserve"> </w:t>
      </w:r>
      <w:r w:rsidRPr="003F3B94">
        <w:rPr>
          <w:rFonts w:ascii="Abo-thar" w:hAnsi="Abo-thar" w:hint="cs"/>
          <w:sz w:val="28"/>
          <w:rtl/>
          <w:lang w:bidi="ar-SY"/>
        </w:rPr>
        <w:t>من</w:t>
      </w:r>
      <w:r w:rsidR="00953581" w:rsidRPr="003F3B94">
        <w:rPr>
          <w:rFonts w:ascii="Abo-thar" w:hAnsi="Abo-thar" w:hint="cs"/>
          <w:sz w:val="28"/>
          <w:rtl/>
          <w:lang w:bidi="ar-SY"/>
        </w:rPr>
        <w:t xml:space="preserve"> </w:t>
      </w:r>
      <w:r w:rsidRPr="003F3B94">
        <w:rPr>
          <w:rFonts w:ascii="Abo-thar" w:hAnsi="Abo-thar" w:hint="cs"/>
          <w:sz w:val="28"/>
          <w:rtl/>
          <w:lang w:bidi="ar-SY"/>
        </w:rPr>
        <w:t>بني</w:t>
      </w:r>
      <w:r w:rsidR="00953581" w:rsidRPr="003F3B94">
        <w:rPr>
          <w:rFonts w:ascii="Abo-thar" w:hAnsi="Abo-thar" w:hint="cs"/>
          <w:sz w:val="28"/>
          <w:rtl/>
          <w:lang w:bidi="ar-SY"/>
        </w:rPr>
        <w:t xml:space="preserve"> </w:t>
      </w:r>
      <w:r w:rsidRPr="003F3B94">
        <w:rPr>
          <w:rFonts w:ascii="Abo-thar" w:hAnsi="Abo-thar" w:hint="cs"/>
          <w:sz w:val="28"/>
          <w:rtl/>
          <w:lang w:bidi="ar-SY"/>
        </w:rPr>
        <w:t>هاشم</w:t>
      </w:r>
      <w:r w:rsidR="005C53D5" w:rsidRPr="003F3B94">
        <w:rPr>
          <w:rFonts w:ascii="Abo-thar" w:hAnsi="Abo-thar" w:hint="cs"/>
          <w:sz w:val="28"/>
          <w:rtl/>
          <w:lang w:bidi="ar-SY"/>
        </w:rPr>
        <w:t>،</w:t>
      </w:r>
      <w:r w:rsidR="00953581" w:rsidRPr="003F3B94">
        <w:rPr>
          <w:rFonts w:ascii="Abo-thar" w:hAnsi="Abo-thar" w:hint="cs"/>
          <w:sz w:val="28"/>
          <w:rtl/>
          <w:lang w:bidi="ar-SY"/>
        </w:rPr>
        <w:t xml:space="preserve"> </w:t>
      </w:r>
      <w:r w:rsidRPr="003F3B94">
        <w:rPr>
          <w:rFonts w:ascii="Abo-thar" w:hAnsi="Abo-thar" w:hint="cs"/>
          <w:sz w:val="28"/>
          <w:rtl/>
          <w:lang w:bidi="ar-SY"/>
        </w:rPr>
        <w:t>ومنهم</w:t>
      </w:r>
      <w:r w:rsidR="00953581" w:rsidRPr="003F3B94">
        <w:rPr>
          <w:rFonts w:ascii="Abo-thar" w:hAnsi="Abo-thar" w:hint="cs"/>
          <w:sz w:val="28"/>
          <w:rtl/>
          <w:lang w:bidi="ar-SY"/>
        </w:rPr>
        <w:t xml:space="preserve"> </w:t>
      </w:r>
      <w:r w:rsidRPr="003F3B94">
        <w:rPr>
          <w:rFonts w:ascii="Abo-thar" w:hAnsi="Abo-thar" w:hint="cs"/>
          <w:sz w:val="28"/>
          <w:rtl/>
          <w:lang w:bidi="ar-SY"/>
        </w:rPr>
        <w:t>من</w:t>
      </w:r>
      <w:r w:rsidR="00953581" w:rsidRPr="003F3B94">
        <w:rPr>
          <w:rFonts w:ascii="Abo-thar" w:hAnsi="Abo-thar" w:hint="cs"/>
          <w:sz w:val="28"/>
          <w:rtl/>
          <w:lang w:bidi="ar-SY"/>
        </w:rPr>
        <w:t xml:space="preserve"> </w:t>
      </w:r>
      <w:r w:rsidRPr="003F3B94">
        <w:rPr>
          <w:rFonts w:ascii="Abo-thar" w:hAnsi="Abo-thar" w:hint="cs"/>
          <w:sz w:val="28"/>
          <w:rtl/>
          <w:lang w:bidi="ar-SY"/>
        </w:rPr>
        <w:t>أفتى</w:t>
      </w:r>
      <w:r w:rsidR="00953581" w:rsidRPr="003F3B94">
        <w:rPr>
          <w:rFonts w:ascii="Abo-thar" w:hAnsi="Abo-thar" w:hint="cs"/>
          <w:sz w:val="28"/>
          <w:rtl/>
          <w:lang w:bidi="ar-SY"/>
        </w:rPr>
        <w:t xml:space="preserve"> </w:t>
      </w:r>
      <w:r w:rsidRPr="003F3B94">
        <w:rPr>
          <w:rFonts w:ascii="Abo-thar" w:hAnsi="Abo-thar" w:hint="cs"/>
          <w:sz w:val="28"/>
          <w:rtl/>
          <w:lang w:bidi="ar-SY"/>
        </w:rPr>
        <w:t>بعزل</w:t>
      </w:r>
      <w:r w:rsidR="00953581" w:rsidRPr="003F3B94">
        <w:rPr>
          <w:rFonts w:ascii="Abo-thar" w:hAnsi="Abo-thar" w:hint="cs"/>
          <w:sz w:val="28"/>
          <w:rtl/>
          <w:lang w:bidi="ar-SY"/>
        </w:rPr>
        <w:t xml:space="preserve"> </w:t>
      </w:r>
      <w:r w:rsidRPr="003F3B94">
        <w:rPr>
          <w:rFonts w:ascii="Abo-thar" w:hAnsi="Abo-thar" w:hint="cs"/>
          <w:sz w:val="28"/>
          <w:rtl/>
          <w:lang w:bidi="ar-SY"/>
        </w:rPr>
        <w:t>سهم</w:t>
      </w:r>
      <w:r w:rsidR="00953581" w:rsidRPr="003F3B94">
        <w:rPr>
          <w:rFonts w:ascii="Abo-thar" w:hAnsi="Abo-thar" w:hint="cs"/>
          <w:sz w:val="28"/>
          <w:rtl/>
          <w:lang w:bidi="ar-SY"/>
        </w:rPr>
        <w:t xml:space="preserve"> </w:t>
      </w:r>
      <w:r w:rsidRPr="003F3B94">
        <w:rPr>
          <w:rFonts w:ascii="Abo-thar" w:hAnsi="Abo-thar" w:hint="cs"/>
          <w:sz w:val="28"/>
          <w:rtl/>
          <w:lang w:bidi="ar-SY"/>
        </w:rPr>
        <w:t>الإمام</w:t>
      </w:r>
      <w:r w:rsidR="00953581" w:rsidRPr="003F3B94">
        <w:rPr>
          <w:rFonts w:ascii="Abo-thar" w:hAnsi="Abo-thar" w:hint="cs"/>
          <w:sz w:val="28"/>
          <w:rtl/>
          <w:lang w:bidi="ar-SY"/>
        </w:rPr>
        <w:t xml:space="preserve"> </w:t>
      </w:r>
      <w:r w:rsidRPr="003F3B94">
        <w:rPr>
          <w:rFonts w:ascii="Abo-thar" w:hAnsi="Abo-thar" w:hint="cs"/>
          <w:sz w:val="28"/>
          <w:rtl/>
          <w:lang w:bidi="ar-SY"/>
        </w:rPr>
        <w:t>وإبقائه</w:t>
      </w:r>
      <w:r w:rsidR="00953581" w:rsidRPr="003F3B94">
        <w:rPr>
          <w:rFonts w:ascii="Abo-thar" w:hAnsi="Abo-thar" w:hint="cs"/>
          <w:sz w:val="28"/>
          <w:rtl/>
          <w:lang w:bidi="ar-SY"/>
        </w:rPr>
        <w:t xml:space="preserve"> </w:t>
      </w:r>
      <w:r w:rsidRPr="003F3B94">
        <w:rPr>
          <w:rFonts w:ascii="Abo-thar" w:hAnsi="Abo-thar" w:hint="cs"/>
          <w:sz w:val="28"/>
          <w:rtl/>
          <w:lang w:bidi="ar-SY"/>
        </w:rPr>
        <w:t>والوصية</w:t>
      </w:r>
      <w:r w:rsidR="00953581" w:rsidRPr="003F3B94">
        <w:rPr>
          <w:rFonts w:ascii="Abo-thar" w:hAnsi="Abo-thar" w:hint="cs"/>
          <w:sz w:val="28"/>
          <w:rtl/>
          <w:lang w:bidi="ar-SY"/>
        </w:rPr>
        <w:t xml:space="preserve"> </w:t>
      </w:r>
      <w:r w:rsidRPr="003F3B94">
        <w:rPr>
          <w:rFonts w:ascii="Abo-thar" w:hAnsi="Abo-thar" w:hint="cs"/>
          <w:sz w:val="28"/>
          <w:rtl/>
          <w:lang w:bidi="ar-SY"/>
        </w:rPr>
        <w:t>به</w:t>
      </w:r>
      <w:r w:rsidR="00953581" w:rsidRPr="003F3B94">
        <w:rPr>
          <w:rFonts w:ascii="Abo-thar" w:hAnsi="Abo-thar" w:hint="cs"/>
          <w:sz w:val="28"/>
          <w:rtl/>
          <w:lang w:bidi="ar-SY"/>
        </w:rPr>
        <w:t xml:space="preserve"> </w:t>
      </w:r>
      <w:r w:rsidRPr="003F3B94">
        <w:rPr>
          <w:rFonts w:ascii="Abo-thar" w:hAnsi="Abo-thar" w:hint="cs"/>
          <w:sz w:val="28"/>
          <w:rtl/>
          <w:lang w:bidi="ar-SY"/>
        </w:rPr>
        <w:t>لشخص</w:t>
      </w:r>
      <w:r w:rsidR="00953581" w:rsidRPr="003F3B94">
        <w:rPr>
          <w:rFonts w:ascii="Abo-thar" w:hAnsi="Abo-thar" w:hint="cs"/>
          <w:sz w:val="28"/>
          <w:rtl/>
          <w:lang w:bidi="ar-SY"/>
        </w:rPr>
        <w:t xml:space="preserve"> </w:t>
      </w:r>
      <w:r w:rsidRPr="003F3B94">
        <w:rPr>
          <w:rFonts w:ascii="Abo-thar" w:hAnsi="Abo-thar" w:hint="cs"/>
          <w:sz w:val="28"/>
          <w:rtl/>
          <w:lang w:bidi="ar-SY"/>
        </w:rPr>
        <w:t>أمين</w:t>
      </w:r>
      <w:r w:rsidR="00953581" w:rsidRPr="003F3B94">
        <w:rPr>
          <w:rFonts w:ascii="Abo-thar" w:hAnsi="Abo-thar" w:hint="cs"/>
          <w:sz w:val="28"/>
          <w:rtl/>
          <w:lang w:bidi="ar-SY"/>
        </w:rPr>
        <w:t xml:space="preserve"> </w:t>
      </w:r>
      <w:r w:rsidRPr="003F3B94">
        <w:rPr>
          <w:rFonts w:ascii="Abo-thar" w:hAnsi="Abo-thar" w:hint="cs"/>
          <w:sz w:val="28"/>
          <w:rtl/>
          <w:lang w:bidi="ar-SY"/>
        </w:rPr>
        <w:t>وهكذا</w:t>
      </w:r>
      <w:r w:rsidR="00953581" w:rsidRPr="003F3B94">
        <w:rPr>
          <w:rFonts w:ascii="Abo-thar" w:hAnsi="Abo-thar" w:hint="cs"/>
          <w:sz w:val="28"/>
          <w:rtl/>
          <w:lang w:bidi="ar-SY"/>
        </w:rPr>
        <w:t xml:space="preserve"> </w:t>
      </w:r>
      <w:r w:rsidRPr="003F3B94">
        <w:rPr>
          <w:rFonts w:ascii="Abo-thar" w:hAnsi="Abo-thar" w:hint="cs"/>
          <w:sz w:val="28"/>
          <w:rtl/>
          <w:lang w:bidi="ar-SY"/>
        </w:rPr>
        <w:t>حتى</w:t>
      </w:r>
      <w:r w:rsidR="00953581" w:rsidRPr="003F3B94">
        <w:rPr>
          <w:rFonts w:ascii="Abo-thar" w:hAnsi="Abo-thar" w:hint="cs"/>
          <w:sz w:val="28"/>
          <w:rtl/>
          <w:lang w:bidi="ar-SY"/>
        </w:rPr>
        <w:t xml:space="preserve"> </w:t>
      </w:r>
      <w:r w:rsidRPr="003F3B94">
        <w:rPr>
          <w:rFonts w:ascii="Abo-thar" w:hAnsi="Abo-thar" w:hint="cs"/>
          <w:sz w:val="28"/>
          <w:rtl/>
          <w:lang w:bidi="ar-SY"/>
        </w:rPr>
        <w:t>ظهور</w:t>
      </w:r>
      <w:r w:rsidR="00953581" w:rsidRPr="003F3B94">
        <w:rPr>
          <w:rFonts w:ascii="Abo-thar" w:hAnsi="Abo-thar" w:hint="cs"/>
          <w:sz w:val="28"/>
          <w:rtl/>
          <w:lang w:bidi="ar-SY"/>
        </w:rPr>
        <w:t xml:space="preserve"> </w:t>
      </w:r>
      <w:r w:rsidRPr="003F3B94">
        <w:rPr>
          <w:rFonts w:ascii="Abo-thar" w:hAnsi="Abo-thar" w:hint="cs"/>
          <w:sz w:val="28"/>
          <w:rtl/>
          <w:lang w:bidi="ar-SY"/>
        </w:rPr>
        <w:t>الإمام</w:t>
      </w:r>
      <w:r w:rsidR="00953581" w:rsidRPr="003F3B94">
        <w:rPr>
          <w:rFonts w:ascii="Abo-thar" w:hAnsi="Abo-thar" w:hint="cs"/>
          <w:sz w:val="28"/>
          <w:rtl/>
          <w:lang w:bidi="ar-SY"/>
        </w:rPr>
        <w:t xml:space="preserve"> </w:t>
      </w:r>
      <w:r w:rsidRPr="003F3B94">
        <w:rPr>
          <w:rFonts w:ascii="Abo-thar" w:hAnsi="Abo-thar" w:hint="cs"/>
          <w:sz w:val="28"/>
          <w:rtl/>
          <w:lang w:bidi="ar-SY"/>
        </w:rPr>
        <w:t>المهدي</w:t>
      </w:r>
      <w:r w:rsidR="005C53D5" w:rsidRPr="003F3B94">
        <w:rPr>
          <w:rFonts w:ascii="Abo-thar" w:hAnsi="Abo-thar" w:hint="cs"/>
          <w:sz w:val="28"/>
          <w:rtl/>
          <w:lang w:bidi="ar-SY"/>
        </w:rPr>
        <w:t>!</w:t>
      </w:r>
      <w:r w:rsidR="00953581" w:rsidRPr="003F3B94">
        <w:rPr>
          <w:rFonts w:ascii="Abo-thar" w:hAnsi="Abo-thar" w:hint="cs"/>
          <w:sz w:val="28"/>
          <w:rtl/>
          <w:lang w:bidi="ar-SY"/>
        </w:rPr>
        <w:t xml:space="preserve"> </w:t>
      </w:r>
      <w:r w:rsidRPr="003F3B94">
        <w:rPr>
          <w:rFonts w:ascii="Abo-thar" w:hAnsi="Abo-thar" w:hint="cs"/>
          <w:sz w:val="28"/>
          <w:rtl/>
          <w:lang w:bidi="ar-SY"/>
        </w:rPr>
        <w:t>بل</w:t>
      </w:r>
      <w:r w:rsidR="00953581" w:rsidRPr="003F3B94">
        <w:rPr>
          <w:rFonts w:ascii="Abo-thar" w:hAnsi="Abo-thar" w:hint="cs"/>
          <w:sz w:val="28"/>
          <w:rtl/>
          <w:lang w:bidi="ar-SY"/>
        </w:rPr>
        <w:t xml:space="preserve"> </w:t>
      </w:r>
      <w:r w:rsidRPr="003F3B94">
        <w:rPr>
          <w:rFonts w:ascii="Abo-thar" w:hAnsi="Abo-thar" w:hint="cs"/>
          <w:sz w:val="28"/>
          <w:rtl/>
          <w:lang w:bidi="ar-SY"/>
        </w:rPr>
        <w:t>منهم</w:t>
      </w:r>
      <w:r w:rsidR="00953581" w:rsidRPr="003F3B94">
        <w:rPr>
          <w:rFonts w:ascii="Abo-thar" w:hAnsi="Abo-thar" w:hint="cs"/>
          <w:sz w:val="28"/>
          <w:rtl/>
          <w:lang w:bidi="ar-SY"/>
        </w:rPr>
        <w:t xml:space="preserve"> </w:t>
      </w:r>
      <w:r w:rsidRPr="003F3B94">
        <w:rPr>
          <w:rFonts w:ascii="Abo-thar" w:hAnsi="Abo-thar" w:hint="cs"/>
          <w:sz w:val="28"/>
          <w:rtl/>
          <w:lang w:bidi="ar-SY"/>
        </w:rPr>
        <w:t>من</w:t>
      </w:r>
      <w:r w:rsidR="00953581" w:rsidRPr="003F3B94">
        <w:rPr>
          <w:rFonts w:ascii="Abo-thar" w:hAnsi="Abo-thar" w:hint="cs"/>
          <w:sz w:val="28"/>
          <w:rtl/>
          <w:lang w:bidi="ar-SY"/>
        </w:rPr>
        <w:t xml:space="preserve"> </w:t>
      </w:r>
      <w:r w:rsidRPr="003F3B94">
        <w:rPr>
          <w:rFonts w:ascii="Abo-thar" w:hAnsi="Abo-thar" w:hint="cs"/>
          <w:sz w:val="28"/>
          <w:rtl/>
          <w:lang w:bidi="ar-SY"/>
        </w:rPr>
        <w:t>قال</w:t>
      </w:r>
      <w:r w:rsidR="00953581" w:rsidRPr="003F3B94">
        <w:rPr>
          <w:rFonts w:ascii="Abo-thar" w:hAnsi="Abo-thar" w:hint="cs"/>
          <w:sz w:val="28"/>
          <w:rtl/>
          <w:lang w:bidi="ar-SY"/>
        </w:rPr>
        <w:t xml:space="preserve"> </w:t>
      </w:r>
      <w:r w:rsidRPr="003F3B94">
        <w:rPr>
          <w:rFonts w:ascii="Abo-thar" w:hAnsi="Abo-thar" w:hint="cs"/>
          <w:sz w:val="28"/>
          <w:rtl/>
          <w:lang w:bidi="ar-SY"/>
        </w:rPr>
        <w:t>بدفنه</w:t>
      </w:r>
      <w:r w:rsidR="00953581" w:rsidRPr="003F3B94">
        <w:rPr>
          <w:rFonts w:ascii="Abo-thar" w:hAnsi="Abo-thar" w:hint="cs"/>
          <w:sz w:val="28"/>
          <w:rtl/>
          <w:lang w:bidi="ar-SY"/>
        </w:rPr>
        <w:t xml:space="preserve"> </w:t>
      </w:r>
      <w:r w:rsidRPr="003F3B94">
        <w:rPr>
          <w:rFonts w:ascii="Abo-thar" w:hAnsi="Abo-thar" w:hint="cs"/>
          <w:sz w:val="28"/>
          <w:rtl/>
          <w:lang w:bidi="ar-SY"/>
        </w:rPr>
        <w:t>أو</w:t>
      </w:r>
      <w:r w:rsidR="00953581" w:rsidRPr="003F3B94">
        <w:rPr>
          <w:rFonts w:ascii="Abo-thar" w:hAnsi="Abo-thar" w:hint="cs"/>
          <w:sz w:val="28"/>
          <w:rtl/>
          <w:lang w:bidi="ar-SY"/>
        </w:rPr>
        <w:t xml:space="preserve"> </w:t>
      </w:r>
      <w:r w:rsidRPr="003F3B94">
        <w:rPr>
          <w:rFonts w:ascii="Abo-thar" w:hAnsi="Abo-thar" w:hint="cs"/>
          <w:sz w:val="28"/>
          <w:rtl/>
          <w:lang w:bidi="ar-SY"/>
        </w:rPr>
        <w:t>رميه</w:t>
      </w:r>
      <w:r w:rsidR="00953581" w:rsidRPr="003F3B94">
        <w:rPr>
          <w:rFonts w:ascii="Abo-thar" w:hAnsi="Abo-thar" w:hint="cs"/>
          <w:sz w:val="28"/>
          <w:rtl/>
          <w:lang w:bidi="ar-SY"/>
        </w:rPr>
        <w:t xml:space="preserve"> </w:t>
      </w:r>
      <w:r w:rsidRPr="003F3B94">
        <w:rPr>
          <w:rFonts w:ascii="Abo-thar" w:hAnsi="Abo-thar" w:hint="cs"/>
          <w:sz w:val="28"/>
          <w:rtl/>
          <w:lang w:bidi="ar-SY"/>
        </w:rPr>
        <w:t>في</w:t>
      </w:r>
      <w:r w:rsidR="00953581" w:rsidRPr="003F3B94">
        <w:rPr>
          <w:rFonts w:ascii="Abo-thar" w:hAnsi="Abo-thar" w:hint="cs"/>
          <w:sz w:val="28"/>
          <w:rtl/>
          <w:lang w:bidi="ar-SY"/>
        </w:rPr>
        <w:t xml:space="preserve"> </w:t>
      </w:r>
      <w:r w:rsidRPr="003F3B94">
        <w:rPr>
          <w:rFonts w:ascii="Abo-thar" w:hAnsi="Abo-thar" w:hint="cs"/>
          <w:sz w:val="28"/>
          <w:rtl/>
          <w:lang w:bidi="ar-SY"/>
        </w:rPr>
        <w:t>البحر</w:t>
      </w:r>
      <w:r w:rsidR="00953581" w:rsidRPr="003F3B94">
        <w:rPr>
          <w:rFonts w:ascii="Abo-thar" w:hAnsi="Abo-thar" w:hint="cs"/>
          <w:sz w:val="28"/>
          <w:rtl/>
          <w:lang w:bidi="ar-SY"/>
        </w:rPr>
        <w:t xml:space="preserve"> </w:t>
      </w:r>
      <w:r w:rsidRPr="003F3B94">
        <w:rPr>
          <w:rFonts w:ascii="Abo-thar" w:hAnsi="Abo-thar" w:hint="cs"/>
          <w:sz w:val="28"/>
          <w:rtl/>
          <w:lang w:bidi="ar-SY"/>
        </w:rPr>
        <w:t>إلى</w:t>
      </w:r>
      <w:r w:rsidR="00953581" w:rsidRPr="003F3B94">
        <w:rPr>
          <w:rFonts w:ascii="Abo-thar" w:hAnsi="Abo-thar" w:hint="cs"/>
          <w:sz w:val="28"/>
          <w:rtl/>
          <w:lang w:bidi="ar-SY"/>
        </w:rPr>
        <w:t xml:space="preserve"> </w:t>
      </w:r>
      <w:r w:rsidRPr="003F3B94">
        <w:rPr>
          <w:rFonts w:ascii="Abo-thar" w:hAnsi="Abo-thar" w:hint="cs"/>
          <w:sz w:val="28"/>
          <w:rtl/>
          <w:lang w:bidi="ar-SY"/>
        </w:rPr>
        <w:t>حين</w:t>
      </w:r>
      <w:r w:rsidR="00953581" w:rsidRPr="003F3B94">
        <w:rPr>
          <w:rFonts w:ascii="Abo-thar" w:hAnsi="Abo-thar" w:hint="cs"/>
          <w:sz w:val="28"/>
          <w:rtl/>
          <w:lang w:bidi="ar-SY"/>
        </w:rPr>
        <w:t xml:space="preserve"> </w:t>
      </w:r>
      <w:r w:rsidRPr="003F3B94">
        <w:rPr>
          <w:rFonts w:ascii="Abo-thar" w:hAnsi="Abo-thar" w:hint="cs"/>
          <w:sz w:val="28"/>
          <w:rtl/>
          <w:lang w:bidi="ar-SY"/>
        </w:rPr>
        <w:t>ظهور</w:t>
      </w:r>
      <w:r w:rsidR="00953581" w:rsidRPr="003F3B94">
        <w:rPr>
          <w:rFonts w:ascii="Abo-thar" w:hAnsi="Abo-thar" w:hint="cs"/>
          <w:sz w:val="28"/>
          <w:rtl/>
          <w:lang w:bidi="ar-SY"/>
        </w:rPr>
        <w:t xml:space="preserve"> </w:t>
      </w:r>
      <w:r w:rsidRPr="003F3B94">
        <w:rPr>
          <w:rFonts w:ascii="Abo-thar" w:hAnsi="Abo-thar" w:hint="cs"/>
          <w:sz w:val="28"/>
          <w:rtl/>
          <w:lang w:bidi="ar-SY"/>
        </w:rPr>
        <w:t>الإمام</w:t>
      </w:r>
      <w:r w:rsidR="00953581" w:rsidRPr="003F3B94">
        <w:rPr>
          <w:rFonts w:ascii="Abo-thar" w:hAnsi="Abo-thar" w:hint="cs"/>
          <w:sz w:val="28"/>
          <w:rtl/>
          <w:lang w:bidi="ar-SY"/>
        </w:rPr>
        <w:t xml:space="preserve"> </w:t>
      </w:r>
      <w:r w:rsidRPr="003F3B94">
        <w:rPr>
          <w:rFonts w:ascii="Abo-thar" w:hAnsi="Abo-thar" w:hint="cs"/>
          <w:sz w:val="28"/>
          <w:rtl/>
          <w:lang w:bidi="ar-SY"/>
        </w:rPr>
        <w:t>المهدي</w:t>
      </w:r>
      <w:r w:rsidR="005C53D5" w:rsidRPr="003F3B94">
        <w:rPr>
          <w:rFonts w:ascii="Abo-thar" w:hAnsi="Abo-thar" w:hint="cs"/>
          <w:sz w:val="28"/>
          <w:rtl/>
          <w:lang w:bidi="ar-SY"/>
        </w:rPr>
        <w:t>!!</w:t>
      </w:r>
      <w:r w:rsidR="00953581" w:rsidRPr="003F3B94">
        <w:rPr>
          <w:rFonts w:ascii="Abo-thar" w:hAnsi="Abo-thar" w:hint="cs"/>
          <w:sz w:val="28"/>
          <w:rtl/>
          <w:lang w:bidi="ar-SY"/>
        </w:rPr>
        <w:t xml:space="preserve"> </w:t>
      </w:r>
      <w:r w:rsidRPr="003F3B94">
        <w:rPr>
          <w:rFonts w:ascii="Abo-thar" w:hAnsi="Abo-thar" w:hint="cs"/>
          <w:sz w:val="28"/>
          <w:rtl/>
          <w:lang w:bidi="ar-SY"/>
        </w:rPr>
        <w:t>هذا</w:t>
      </w:r>
      <w:r w:rsidR="00953581" w:rsidRPr="003F3B94">
        <w:rPr>
          <w:rFonts w:ascii="Abo-thar" w:hAnsi="Abo-thar" w:hint="cs"/>
          <w:sz w:val="28"/>
          <w:rtl/>
          <w:lang w:bidi="ar-SY"/>
        </w:rPr>
        <w:t xml:space="preserve"> </w:t>
      </w:r>
      <w:r w:rsidRPr="003F3B94">
        <w:rPr>
          <w:rFonts w:ascii="Abo-thar" w:hAnsi="Abo-thar" w:hint="cs"/>
          <w:sz w:val="28"/>
          <w:rtl/>
          <w:lang w:bidi="ar-SY"/>
        </w:rPr>
        <w:t>في</w:t>
      </w:r>
      <w:r w:rsidR="00953581" w:rsidRPr="003F3B94">
        <w:rPr>
          <w:rFonts w:ascii="Abo-thar" w:hAnsi="Abo-thar" w:hint="cs"/>
          <w:sz w:val="28"/>
          <w:rtl/>
          <w:lang w:bidi="ar-SY"/>
        </w:rPr>
        <w:t xml:space="preserve"> </w:t>
      </w:r>
      <w:r w:rsidRPr="003F3B94">
        <w:rPr>
          <w:rFonts w:ascii="Abo-thar" w:hAnsi="Abo-thar" w:hint="cs"/>
          <w:sz w:val="28"/>
          <w:rtl/>
          <w:lang w:bidi="ar-SY"/>
        </w:rPr>
        <w:t>حين</w:t>
      </w:r>
      <w:r w:rsidR="00953581" w:rsidRPr="003F3B94">
        <w:rPr>
          <w:rFonts w:ascii="Abo-thar" w:hAnsi="Abo-thar" w:hint="cs"/>
          <w:sz w:val="28"/>
          <w:rtl/>
          <w:lang w:bidi="ar-SY"/>
        </w:rPr>
        <w:t xml:space="preserve"> </w:t>
      </w:r>
      <w:r w:rsidRPr="003F3B94">
        <w:rPr>
          <w:rFonts w:ascii="Abo-thar" w:hAnsi="Abo-thar" w:hint="cs"/>
          <w:sz w:val="28"/>
          <w:rtl/>
          <w:lang w:bidi="ar-SY"/>
        </w:rPr>
        <w:t>ذهب</w:t>
      </w:r>
      <w:r w:rsidR="00953581" w:rsidRPr="003F3B94">
        <w:rPr>
          <w:rFonts w:ascii="Abo-thar" w:hAnsi="Abo-thar" w:hint="cs"/>
          <w:sz w:val="28"/>
          <w:rtl/>
          <w:lang w:bidi="ar-SY"/>
        </w:rPr>
        <w:t xml:space="preserve"> </w:t>
      </w:r>
      <w:r w:rsidRPr="003F3B94">
        <w:rPr>
          <w:rFonts w:ascii="Abo-thar" w:hAnsi="Abo-thar" w:hint="cs"/>
          <w:sz w:val="28"/>
          <w:rtl/>
          <w:lang w:bidi="ar-SY"/>
        </w:rPr>
        <w:t>معظم</w:t>
      </w:r>
      <w:r w:rsidR="00953581" w:rsidRPr="003F3B94">
        <w:rPr>
          <w:rFonts w:ascii="Abo-thar" w:hAnsi="Abo-thar" w:hint="cs"/>
          <w:sz w:val="28"/>
          <w:rtl/>
          <w:lang w:bidi="ar-SY"/>
        </w:rPr>
        <w:t xml:space="preserve"> </w:t>
      </w:r>
      <w:r w:rsidRPr="003F3B94">
        <w:rPr>
          <w:rFonts w:ascii="Abo-thar" w:hAnsi="Abo-thar" w:hint="cs"/>
          <w:sz w:val="28"/>
          <w:rtl/>
          <w:lang w:bidi="ar-SY"/>
        </w:rPr>
        <w:t>المتأخرين</w:t>
      </w:r>
      <w:r w:rsidR="00953581" w:rsidRPr="003F3B94">
        <w:rPr>
          <w:rFonts w:ascii="Abo-thar" w:hAnsi="Abo-thar" w:hint="cs"/>
          <w:sz w:val="28"/>
          <w:rtl/>
          <w:lang w:bidi="ar-SY"/>
        </w:rPr>
        <w:t xml:space="preserve"> </w:t>
      </w:r>
      <w:r w:rsidRPr="003F3B94">
        <w:rPr>
          <w:rFonts w:ascii="Abo-thar" w:hAnsi="Abo-thar" w:hint="cs"/>
          <w:sz w:val="28"/>
          <w:rtl/>
          <w:lang w:bidi="ar-SY"/>
        </w:rPr>
        <w:t>إلى</w:t>
      </w:r>
      <w:r w:rsidR="00953581" w:rsidRPr="003F3B94">
        <w:rPr>
          <w:rFonts w:ascii="Abo-thar" w:hAnsi="Abo-thar" w:hint="cs"/>
          <w:sz w:val="28"/>
          <w:rtl/>
          <w:lang w:bidi="ar-SY"/>
        </w:rPr>
        <w:t xml:space="preserve"> </w:t>
      </w:r>
      <w:r w:rsidRPr="003F3B94">
        <w:rPr>
          <w:rFonts w:ascii="Abo-thar" w:hAnsi="Abo-thar" w:hint="cs"/>
          <w:sz w:val="28"/>
          <w:rtl/>
          <w:lang w:bidi="ar-SY"/>
        </w:rPr>
        <w:t>إعطائه</w:t>
      </w:r>
      <w:r w:rsidR="00953581" w:rsidRPr="003F3B94">
        <w:rPr>
          <w:rFonts w:ascii="Abo-thar" w:hAnsi="Abo-thar" w:hint="cs"/>
          <w:sz w:val="28"/>
          <w:rtl/>
          <w:lang w:bidi="ar-SY"/>
        </w:rPr>
        <w:t xml:space="preserve"> </w:t>
      </w:r>
      <w:r w:rsidRPr="003F3B94">
        <w:rPr>
          <w:rFonts w:ascii="Abo-thar" w:hAnsi="Abo-thar" w:hint="cs"/>
          <w:sz w:val="28"/>
          <w:rtl/>
          <w:lang w:bidi="ar-SY"/>
        </w:rPr>
        <w:t>كاملاً</w:t>
      </w:r>
      <w:r w:rsidR="00953581" w:rsidRPr="003F3B94">
        <w:rPr>
          <w:rFonts w:ascii="Abo-thar" w:hAnsi="Abo-thar" w:hint="cs"/>
          <w:sz w:val="28"/>
          <w:rtl/>
          <w:lang w:bidi="ar-SY"/>
        </w:rPr>
        <w:t xml:space="preserve"> </w:t>
      </w:r>
      <w:r w:rsidRPr="003F3B94">
        <w:rPr>
          <w:rFonts w:ascii="Abo-thar" w:hAnsi="Abo-thar" w:hint="cs"/>
          <w:sz w:val="28"/>
          <w:rtl/>
          <w:lang w:bidi="ar-SY"/>
        </w:rPr>
        <w:t>للمراجع</w:t>
      </w:r>
      <w:r w:rsidR="00953581" w:rsidRPr="003F3B94">
        <w:rPr>
          <w:rFonts w:ascii="Abo-thar" w:hAnsi="Abo-thar" w:hint="cs"/>
          <w:sz w:val="28"/>
          <w:rtl/>
          <w:lang w:bidi="ar-SY"/>
        </w:rPr>
        <w:t xml:space="preserve"> </w:t>
      </w:r>
      <w:r w:rsidRPr="003F3B94">
        <w:rPr>
          <w:rFonts w:ascii="Abo-thar" w:hAnsi="Abo-thar" w:hint="cs"/>
          <w:sz w:val="28"/>
          <w:rtl/>
          <w:lang w:bidi="ar-SY"/>
        </w:rPr>
        <w:t>المجتهدين</w:t>
      </w:r>
      <w:r w:rsidR="005C53D5" w:rsidRPr="003F3B94">
        <w:rPr>
          <w:rFonts w:ascii="Abo-thar" w:hAnsi="Abo-thar" w:hint="cs"/>
          <w:sz w:val="28"/>
          <w:rtl/>
          <w:lang w:bidi="ar-SY"/>
        </w:rPr>
        <w:t>.</w:t>
      </w:r>
    </w:p>
    <w:p w:rsidR="00255711" w:rsidRPr="003F3B94" w:rsidRDefault="00255711" w:rsidP="003F3B94">
      <w:pPr>
        <w:pStyle w:val="a0"/>
        <w:rPr>
          <w:rFonts w:hint="cs"/>
          <w:rtl/>
        </w:rPr>
      </w:pPr>
      <w:r w:rsidRPr="003F3B94">
        <w:rPr>
          <w:rFonts w:ascii="Abo-thar" w:hAnsi="Abo-thar" w:hint="cs"/>
          <w:sz w:val="28"/>
          <w:rtl/>
          <w:lang w:bidi="ar-SY"/>
        </w:rPr>
        <w:t>فما</w:t>
      </w:r>
      <w:r w:rsidR="00953581" w:rsidRPr="003F3B94">
        <w:rPr>
          <w:rFonts w:ascii="Abo-thar" w:hAnsi="Abo-thar" w:hint="cs"/>
          <w:sz w:val="28"/>
          <w:rtl/>
          <w:lang w:bidi="ar-SY"/>
        </w:rPr>
        <w:t xml:space="preserve"> </w:t>
      </w:r>
      <w:r w:rsidRPr="003F3B94">
        <w:rPr>
          <w:rFonts w:ascii="Abo-thar" w:hAnsi="Abo-thar" w:hint="cs"/>
          <w:sz w:val="28"/>
          <w:rtl/>
          <w:lang w:bidi="ar-SY"/>
        </w:rPr>
        <w:t>هي</w:t>
      </w:r>
      <w:r w:rsidR="00953581" w:rsidRPr="003F3B94">
        <w:rPr>
          <w:rFonts w:ascii="Abo-thar" w:hAnsi="Abo-thar" w:hint="cs"/>
          <w:sz w:val="28"/>
          <w:rtl/>
          <w:lang w:bidi="ar-SY"/>
        </w:rPr>
        <w:t xml:space="preserve"> </w:t>
      </w:r>
      <w:r w:rsidRPr="003F3B94">
        <w:rPr>
          <w:rFonts w:ascii="Abo-thar" w:hAnsi="Abo-thar" w:hint="cs"/>
          <w:sz w:val="28"/>
          <w:rtl/>
          <w:lang w:bidi="ar-SY"/>
        </w:rPr>
        <w:t>قصة</w:t>
      </w:r>
      <w:r w:rsidR="00953581" w:rsidRPr="003F3B94">
        <w:rPr>
          <w:rFonts w:ascii="Abo-thar" w:hAnsi="Abo-thar" w:hint="cs"/>
          <w:sz w:val="28"/>
          <w:rtl/>
          <w:lang w:bidi="ar-SY"/>
        </w:rPr>
        <w:t xml:space="preserve"> </w:t>
      </w:r>
      <w:r w:rsidRPr="003F3B94">
        <w:rPr>
          <w:rFonts w:ascii="Abo-thar" w:hAnsi="Abo-thar" w:hint="cs"/>
          <w:sz w:val="28"/>
          <w:rtl/>
          <w:lang w:bidi="ar-SY"/>
        </w:rPr>
        <w:t>هذا</w:t>
      </w:r>
      <w:r w:rsidR="00953581" w:rsidRPr="003F3B94">
        <w:rPr>
          <w:rFonts w:ascii="Abo-thar" w:hAnsi="Abo-thar" w:hint="cs"/>
          <w:sz w:val="28"/>
          <w:rtl/>
          <w:lang w:bidi="ar-SY"/>
        </w:rPr>
        <w:t xml:space="preserve"> </w:t>
      </w:r>
      <w:r w:rsidRPr="003F3B94">
        <w:rPr>
          <w:rFonts w:ascii="Abo-thar" w:hAnsi="Abo-thar" w:hint="cs"/>
          <w:sz w:val="28"/>
          <w:rtl/>
          <w:lang w:bidi="ar-SY"/>
        </w:rPr>
        <w:t>الخمس</w:t>
      </w:r>
      <w:r w:rsidR="00953581" w:rsidRPr="003F3B94">
        <w:rPr>
          <w:rFonts w:ascii="Abo-thar" w:hAnsi="Abo-thar" w:hint="cs"/>
          <w:sz w:val="28"/>
          <w:rtl/>
          <w:lang w:bidi="ar-SY"/>
        </w:rPr>
        <w:t xml:space="preserve"> </w:t>
      </w:r>
      <w:r w:rsidRPr="003F3B94">
        <w:rPr>
          <w:rFonts w:ascii="Abo-thar" w:hAnsi="Abo-thar" w:hint="cs"/>
          <w:sz w:val="28"/>
          <w:rtl/>
          <w:lang w:bidi="ar-SY"/>
        </w:rPr>
        <w:t>وما</w:t>
      </w:r>
      <w:r w:rsidR="00953581" w:rsidRPr="003F3B94">
        <w:rPr>
          <w:rFonts w:ascii="Abo-thar" w:hAnsi="Abo-thar" w:hint="cs"/>
          <w:sz w:val="28"/>
          <w:rtl/>
          <w:lang w:bidi="ar-SY"/>
        </w:rPr>
        <w:t xml:space="preserve"> </w:t>
      </w:r>
      <w:r w:rsidRPr="003F3B94">
        <w:rPr>
          <w:rFonts w:ascii="Abo-thar" w:hAnsi="Abo-thar" w:hint="cs"/>
          <w:sz w:val="28"/>
          <w:rtl/>
          <w:lang w:bidi="ar-SY"/>
        </w:rPr>
        <w:t>أصلها</w:t>
      </w:r>
      <w:r w:rsidR="005C53D5" w:rsidRPr="003F3B94">
        <w:rPr>
          <w:rFonts w:ascii="Abo-thar" w:hAnsi="Abo-thar" w:hint="cs"/>
          <w:sz w:val="28"/>
          <w:rtl/>
          <w:lang w:bidi="ar-SY"/>
        </w:rPr>
        <w:t>؟</w:t>
      </w:r>
      <w:r w:rsidR="00953581" w:rsidRPr="003F3B94">
        <w:rPr>
          <w:rFonts w:ascii="Abo-thar" w:hAnsi="Abo-thar" w:hint="cs"/>
          <w:sz w:val="28"/>
          <w:rtl/>
          <w:lang w:bidi="ar-SY"/>
        </w:rPr>
        <w:t xml:space="preserve"> </w:t>
      </w:r>
      <w:r w:rsidRPr="003F3B94">
        <w:rPr>
          <w:rFonts w:ascii="Abo-thar" w:hAnsi="Abo-thar" w:hint="cs"/>
          <w:sz w:val="28"/>
          <w:rtl/>
          <w:lang w:bidi="ar-SY"/>
        </w:rPr>
        <w:t>ومتى</w:t>
      </w:r>
      <w:r w:rsidR="00953581" w:rsidRPr="003F3B94">
        <w:rPr>
          <w:rFonts w:ascii="Abo-thar" w:hAnsi="Abo-thar" w:hint="cs"/>
          <w:sz w:val="28"/>
          <w:rtl/>
          <w:lang w:bidi="ar-SY"/>
        </w:rPr>
        <w:t xml:space="preserve"> </w:t>
      </w:r>
      <w:r w:rsidRPr="003F3B94">
        <w:rPr>
          <w:rFonts w:ascii="Abo-thar" w:hAnsi="Abo-thar" w:hint="cs"/>
          <w:sz w:val="28"/>
          <w:rtl/>
          <w:lang w:bidi="ar-SY"/>
        </w:rPr>
        <w:t>بدأ</w:t>
      </w:r>
      <w:r w:rsidR="00953581" w:rsidRPr="003F3B94">
        <w:rPr>
          <w:rFonts w:ascii="Abo-thar" w:hAnsi="Abo-thar" w:hint="cs"/>
          <w:sz w:val="28"/>
          <w:rtl/>
          <w:lang w:bidi="ar-SY"/>
        </w:rPr>
        <w:t xml:space="preserve"> </w:t>
      </w:r>
      <w:r w:rsidRPr="003F3B94">
        <w:rPr>
          <w:rFonts w:ascii="Abo-thar" w:hAnsi="Abo-thar" w:hint="cs"/>
          <w:sz w:val="28"/>
          <w:rtl/>
          <w:lang w:bidi="ar-SY"/>
        </w:rPr>
        <w:t>أخذه</w:t>
      </w:r>
      <w:r w:rsidR="005C53D5" w:rsidRPr="003F3B94">
        <w:rPr>
          <w:rFonts w:ascii="Abo-thar" w:hAnsi="Abo-thar" w:hint="cs"/>
          <w:sz w:val="28"/>
          <w:rtl/>
          <w:lang w:bidi="ar-SY"/>
        </w:rPr>
        <w:t>؟</w:t>
      </w:r>
      <w:r w:rsidR="00953581" w:rsidRPr="003F3B94">
        <w:rPr>
          <w:rFonts w:ascii="Abo-thar" w:hAnsi="Abo-thar" w:hint="cs"/>
          <w:sz w:val="28"/>
          <w:rtl/>
          <w:lang w:bidi="ar-SY"/>
        </w:rPr>
        <w:t xml:space="preserve"> </w:t>
      </w:r>
      <w:r w:rsidRPr="003F3B94">
        <w:rPr>
          <w:rFonts w:ascii="Abo-thar" w:hAnsi="Abo-thar" w:hint="cs"/>
          <w:sz w:val="28"/>
          <w:rtl/>
          <w:lang w:bidi="ar-SY"/>
        </w:rPr>
        <w:t>وهل</w:t>
      </w:r>
      <w:r w:rsidR="00953581" w:rsidRPr="003F3B94">
        <w:rPr>
          <w:rFonts w:ascii="Abo-thar" w:hAnsi="Abo-thar" w:hint="cs"/>
          <w:sz w:val="28"/>
          <w:rtl/>
          <w:lang w:bidi="ar-SY"/>
        </w:rPr>
        <w:t xml:space="preserve"> </w:t>
      </w:r>
      <w:r w:rsidRPr="003F3B94">
        <w:rPr>
          <w:rFonts w:ascii="Abo-thar" w:hAnsi="Abo-thar" w:hint="cs"/>
          <w:sz w:val="28"/>
          <w:rtl/>
          <w:lang w:bidi="ar-SY"/>
        </w:rPr>
        <w:t>له</w:t>
      </w:r>
      <w:r w:rsidR="00953581" w:rsidRPr="003F3B94">
        <w:rPr>
          <w:rFonts w:ascii="Abo-thar" w:hAnsi="Abo-thar" w:hint="cs"/>
          <w:sz w:val="28"/>
          <w:rtl/>
          <w:lang w:bidi="ar-SY"/>
        </w:rPr>
        <w:t xml:space="preserve"> </w:t>
      </w:r>
      <w:r w:rsidRPr="003F3B94">
        <w:rPr>
          <w:rFonts w:ascii="Abo-thar" w:hAnsi="Abo-thar" w:hint="cs"/>
          <w:sz w:val="28"/>
          <w:rtl/>
          <w:lang w:bidi="ar-SY"/>
        </w:rPr>
        <w:t>مستند</w:t>
      </w:r>
      <w:r w:rsidR="00953581" w:rsidRPr="003F3B94">
        <w:rPr>
          <w:rFonts w:ascii="Abo-thar" w:hAnsi="Abo-thar" w:hint="cs"/>
          <w:sz w:val="28"/>
          <w:rtl/>
          <w:lang w:bidi="ar-SY"/>
        </w:rPr>
        <w:t xml:space="preserve"> </w:t>
      </w:r>
      <w:r w:rsidRPr="003F3B94">
        <w:rPr>
          <w:rFonts w:ascii="Abo-thar" w:hAnsi="Abo-thar" w:hint="cs"/>
          <w:sz w:val="28"/>
          <w:rtl/>
          <w:lang w:bidi="ar-SY"/>
        </w:rPr>
        <w:t>شرعي</w:t>
      </w:r>
      <w:r w:rsidR="00953581" w:rsidRPr="003F3B94">
        <w:rPr>
          <w:rFonts w:ascii="Abo-thar" w:hAnsi="Abo-thar" w:hint="cs"/>
          <w:sz w:val="28"/>
          <w:rtl/>
          <w:lang w:bidi="ar-SY"/>
        </w:rPr>
        <w:t xml:space="preserve"> </w:t>
      </w:r>
      <w:r w:rsidRPr="003F3B94">
        <w:rPr>
          <w:rFonts w:ascii="Abo-thar" w:hAnsi="Abo-thar" w:hint="cs"/>
          <w:sz w:val="28"/>
          <w:rtl/>
          <w:lang w:bidi="ar-SY"/>
        </w:rPr>
        <w:t>في</w:t>
      </w:r>
      <w:r w:rsidR="00953581" w:rsidRPr="003F3B94">
        <w:rPr>
          <w:rFonts w:ascii="Abo-thar" w:hAnsi="Abo-thar" w:hint="cs"/>
          <w:sz w:val="28"/>
          <w:rtl/>
          <w:lang w:bidi="ar-SY"/>
        </w:rPr>
        <w:t xml:space="preserve"> </w:t>
      </w:r>
      <w:r w:rsidRPr="003F3B94">
        <w:rPr>
          <w:rFonts w:ascii="Abo-thar" w:hAnsi="Abo-thar" w:hint="cs"/>
          <w:sz w:val="28"/>
          <w:rtl/>
          <w:lang w:bidi="ar-SY"/>
        </w:rPr>
        <w:t>الكتاب</w:t>
      </w:r>
      <w:r w:rsidR="00953581" w:rsidRPr="003F3B94">
        <w:rPr>
          <w:rFonts w:ascii="Abo-thar" w:hAnsi="Abo-thar" w:hint="cs"/>
          <w:sz w:val="28"/>
          <w:rtl/>
          <w:lang w:bidi="ar-SY"/>
        </w:rPr>
        <w:t xml:space="preserve"> </w:t>
      </w:r>
      <w:r w:rsidRPr="003F3B94">
        <w:rPr>
          <w:rFonts w:ascii="Abo-thar" w:hAnsi="Abo-thar" w:hint="cs"/>
          <w:sz w:val="28"/>
          <w:rtl/>
          <w:lang w:bidi="ar-SY"/>
        </w:rPr>
        <w:t>والسنة</w:t>
      </w:r>
      <w:r w:rsidR="005C53D5" w:rsidRPr="003F3B94">
        <w:rPr>
          <w:rFonts w:ascii="Abo-thar" w:hAnsi="Abo-thar" w:hint="cs"/>
          <w:sz w:val="28"/>
          <w:rtl/>
          <w:lang w:bidi="ar-SY"/>
        </w:rPr>
        <w:t>؟</w:t>
      </w:r>
      <w:r w:rsidR="00953581" w:rsidRPr="003F3B94">
        <w:rPr>
          <w:rFonts w:ascii="Abo-thar" w:hAnsi="Abo-thar" w:hint="cs"/>
          <w:sz w:val="28"/>
          <w:rtl/>
          <w:lang w:bidi="ar-SY"/>
        </w:rPr>
        <w:t xml:space="preserve"> </w:t>
      </w:r>
      <w:r w:rsidRPr="003F3B94">
        <w:rPr>
          <w:rFonts w:ascii="Abo-thar" w:hAnsi="Abo-thar" w:hint="cs"/>
          <w:sz w:val="28"/>
          <w:rtl/>
          <w:lang w:bidi="ar-SY"/>
        </w:rPr>
        <w:t>وما</w:t>
      </w:r>
      <w:r w:rsidR="00953581" w:rsidRPr="003F3B94">
        <w:rPr>
          <w:rFonts w:ascii="Abo-thar" w:hAnsi="Abo-thar" w:hint="cs"/>
          <w:sz w:val="28"/>
          <w:rtl/>
          <w:lang w:bidi="ar-SY"/>
        </w:rPr>
        <w:t xml:space="preserve"> </w:t>
      </w:r>
      <w:r w:rsidRPr="003F3B94">
        <w:rPr>
          <w:rFonts w:ascii="Abo-thar" w:hAnsi="Abo-thar" w:hint="cs"/>
          <w:sz w:val="28"/>
          <w:rtl/>
          <w:lang w:bidi="ar-SY"/>
        </w:rPr>
        <w:t>مدى</w:t>
      </w:r>
      <w:r w:rsidR="00953581" w:rsidRPr="003F3B94">
        <w:rPr>
          <w:rFonts w:ascii="Abo-thar" w:hAnsi="Abo-thar" w:hint="cs"/>
          <w:sz w:val="28"/>
          <w:rtl/>
          <w:lang w:bidi="ar-SY"/>
        </w:rPr>
        <w:t xml:space="preserve"> </w:t>
      </w:r>
      <w:r w:rsidRPr="003F3B94">
        <w:rPr>
          <w:rFonts w:ascii="Abo-thar" w:hAnsi="Abo-thar" w:hint="cs"/>
          <w:sz w:val="28"/>
          <w:rtl/>
          <w:lang w:bidi="ar-SY"/>
        </w:rPr>
        <w:t>صحة</w:t>
      </w:r>
      <w:r w:rsidR="00953581" w:rsidRPr="003F3B94">
        <w:rPr>
          <w:rFonts w:ascii="Abo-thar" w:hAnsi="Abo-thar" w:hint="cs"/>
          <w:sz w:val="28"/>
          <w:rtl/>
          <w:lang w:bidi="ar-SY"/>
        </w:rPr>
        <w:t xml:space="preserve"> </w:t>
      </w:r>
      <w:r w:rsidRPr="003F3B94">
        <w:rPr>
          <w:rFonts w:ascii="Abo-thar" w:hAnsi="Abo-thar" w:hint="cs"/>
          <w:sz w:val="28"/>
          <w:rtl/>
          <w:lang w:bidi="ar-SY"/>
        </w:rPr>
        <w:t>الأخبار</w:t>
      </w:r>
      <w:r w:rsidR="00953581" w:rsidRPr="003F3B94">
        <w:rPr>
          <w:rFonts w:ascii="Abo-thar" w:hAnsi="Abo-thar" w:hint="cs"/>
          <w:sz w:val="28"/>
          <w:rtl/>
          <w:lang w:bidi="ar-SY"/>
        </w:rPr>
        <w:t xml:space="preserve"> </w:t>
      </w:r>
      <w:r w:rsidRPr="003F3B94">
        <w:rPr>
          <w:rFonts w:ascii="Abo-thar" w:hAnsi="Abo-thar" w:hint="cs"/>
          <w:sz w:val="28"/>
          <w:rtl/>
          <w:lang w:bidi="ar-SY"/>
        </w:rPr>
        <w:t>المنسوبة</w:t>
      </w:r>
      <w:r w:rsidR="00953581" w:rsidRPr="003F3B94">
        <w:rPr>
          <w:rFonts w:ascii="Abo-thar" w:hAnsi="Abo-thar" w:hint="cs"/>
          <w:sz w:val="28"/>
          <w:rtl/>
          <w:lang w:bidi="ar-SY"/>
        </w:rPr>
        <w:t xml:space="preserve"> </w:t>
      </w:r>
      <w:r w:rsidRPr="003F3B94">
        <w:rPr>
          <w:rFonts w:ascii="Abo-thar" w:hAnsi="Abo-thar" w:hint="cs"/>
          <w:sz w:val="28"/>
          <w:rtl/>
          <w:lang w:bidi="ar-SY"/>
        </w:rPr>
        <w:t>إلى</w:t>
      </w:r>
      <w:r w:rsidR="00953581" w:rsidRPr="003F3B94">
        <w:rPr>
          <w:rFonts w:ascii="Abo-thar" w:hAnsi="Abo-thar" w:hint="cs"/>
          <w:sz w:val="28"/>
          <w:rtl/>
          <w:lang w:bidi="ar-SY"/>
        </w:rPr>
        <w:t xml:space="preserve"> </w:t>
      </w:r>
      <w:r w:rsidRPr="003F3B94">
        <w:rPr>
          <w:rFonts w:ascii="Abo-thar" w:hAnsi="Abo-thar" w:hint="cs"/>
          <w:sz w:val="28"/>
          <w:rtl/>
          <w:lang w:bidi="ar-SY"/>
        </w:rPr>
        <w:t>الأئمة</w:t>
      </w:r>
      <w:r w:rsidR="00953581" w:rsidRPr="003F3B94">
        <w:rPr>
          <w:rFonts w:ascii="Abo-thar" w:hAnsi="Abo-thar" w:hint="cs"/>
          <w:sz w:val="28"/>
          <w:rtl/>
          <w:lang w:bidi="ar-SY"/>
        </w:rPr>
        <w:t xml:space="preserve"> </w:t>
      </w:r>
      <w:r w:rsidRPr="003F3B94">
        <w:rPr>
          <w:rFonts w:ascii="Abo-thar" w:hAnsi="Abo-thar" w:hint="cs"/>
          <w:sz w:val="28"/>
          <w:rtl/>
          <w:lang w:bidi="ar-SY"/>
        </w:rPr>
        <w:t>من</w:t>
      </w:r>
      <w:r w:rsidR="00953581" w:rsidRPr="003F3B94">
        <w:rPr>
          <w:rFonts w:ascii="Abo-thar" w:hAnsi="Abo-thar" w:hint="cs"/>
          <w:sz w:val="28"/>
          <w:rtl/>
          <w:lang w:bidi="ar-SY"/>
        </w:rPr>
        <w:t xml:space="preserve"> </w:t>
      </w:r>
      <w:r w:rsidRPr="003F3B94">
        <w:rPr>
          <w:rFonts w:ascii="Abo-thar" w:hAnsi="Abo-thar" w:hint="cs"/>
          <w:sz w:val="28"/>
          <w:rtl/>
          <w:lang w:bidi="ar-SY"/>
        </w:rPr>
        <w:t>آل</w:t>
      </w:r>
      <w:r w:rsidR="00953581" w:rsidRPr="003F3B94">
        <w:rPr>
          <w:rFonts w:ascii="Abo-thar" w:hAnsi="Abo-thar" w:hint="cs"/>
          <w:sz w:val="28"/>
          <w:rtl/>
          <w:lang w:bidi="ar-SY"/>
        </w:rPr>
        <w:t xml:space="preserve"> </w:t>
      </w:r>
      <w:r w:rsidRPr="003F3B94">
        <w:rPr>
          <w:rFonts w:ascii="Abo-thar" w:hAnsi="Abo-thar" w:hint="cs"/>
          <w:sz w:val="28"/>
          <w:rtl/>
          <w:lang w:bidi="ar-SY"/>
        </w:rPr>
        <w:t>الرسول</w:t>
      </w:r>
      <w:r w:rsidR="00953581" w:rsidRPr="003F3B94">
        <w:rPr>
          <w:rFonts w:ascii="Abo-thar" w:hAnsi="Abo-thar" w:hint="cs"/>
          <w:sz w:val="28"/>
          <w:rtl/>
          <w:lang w:bidi="ar-SY"/>
        </w:rPr>
        <w:t xml:space="preserve"> </w:t>
      </w:r>
      <w:r w:rsidR="003C7AEB" w:rsidRPr="003C7AEB">
        <w:rPr>
          <w:rFonts w:ascii="Abo-thar" w:hAnsi="Abo-thar" w:cs="CTraditional Arabic"/>
          <w:sz w:val="28"/>
          <w:rtl/>
          <w:lang w:bidi="ar-SY"/>
        </w:rPr>
        <w:t>ص</w:t>
      </w:r>
      <w:r w:rsidR="00953581" w:rsidRPr="003F3B94">
        <w:rPr>
          <w:rFonts w:ascii="Abo-thar" w:hAnsi="Abo-thar"/>
          <w:sz w:val="28"/>
          <w:rtl/>
          <w:lang w:bidi="ar-SY"/>
        </w:rPr>
        <w:t xml:space="preserve"> </w:t>
      </w:r>
      <w:r w:rsidRPr="003F3B94">
        <w:rPr>
          <w:rFonts w:ascii="Abo-thar" w:hAnsi="Abo-thar" w:hint="cs"/>
          <w:sz w:val="28"/>
          <w:rtl/>
          <w:lang w:bidi="ar-SY"/>
        </w:rPr>
        <w:t>بشأنه</w:t>
      </w:r>
      <w:r w:rsidR="005C53D5" w:rsidRPr="003F3B94">
        <w:rPr>
          <w:rFonts w:ascii="Abo-thar" w:hAnsi="Abo-thar" w:hint="cs"/>
          <w:sz w:val="28"/>
          <w:rtl/>
          <w:lang w:bidi="ar-SY"/>
        </w:rPr>
        <w:t>؟</w:t>
      </w:r>
      <w:r w:rsidR="00953581" w:rsidRPr="003F3B94">
        <w:rPr>
          <w:rFonts w:ascii="Abo-thar" w:hAnsi="Abo-thar" w:hint="cs"/>
          <w:sz w:val="28"/>
          <w:rtl/>
          <w:lang w:bidi="ar-SY"/>
        </w:rPr>
        <w:t xml:space="preserve"> </w:t>
      </w:r>
      <w:r w:rsidRPr="003F3B94">
        <w:rPr>
          <w:rFonts w:ascii="Abo-thar" w:hAnsi="Abo-thar" w:hint="cs"/>
          <w:sz w:val="28"/>
          <w:rtl/>
          <w:lang w:bidi="ar-SY"/>
        </w:rPr>
        <w:t>وهل</w:t>
      </w:r>
      <w:r w:rsidR="00953581" w:rsidRPr="003F3B94">
        <w:rPr>
          <w:rFonts w:ascii="Abo-thar" w:hAnsi="Abo-thar" w:hint="cs"/>
          <w:sz w:val="28"/>
          <w:rtl/>
          <w:lang w:bidi="ar-SY"/>
        </w:rPr>
        <w:t xml:space="preserve"> </w:t>
      </w:r>
      <w:r w:rsidRPr="003F3B94">
        <w:rPr>
          <w:rFonts w:ascii="Abo-thar" w:hAnsi="Abo-thar" w:hint="cs"/>
          <w:sz w:val="28"/>
          <w:rtl/>
          <w:lang w:bidi="ar-SY"/>
        </w:rPr>
        <w:t>في</w:t>
      </w:r>
      <w:r w:rsidR="00953581" w:rsidRPr="003F3B94">
        <w:rPr>
          <w:rFonts w:ascii="Abo-thar" w:hAnsi="Abo-thar" w:hint="cs"/>
          <w:sz w:val="28"/>
          <w:rtl/>
          <w:lang w:bidi="ar-SY"/>
        </w:rPr>
        <w:t xml:space="preserve"> </w:t>
      </w:r>
      <w:r w:rsidRPr="003F3B94">
        <w:rPr>
          <w:rFonts w:ascii="Abo-thar" w:hAnsi="Abo-thar" w:hint="cs"/>
          <w:sz w:val="28"/>
          <w:rtl/>
          <w:lang w:bidi="ar-SY"/>
        </w:rPr>
        <w:t>الإسلام</w:t>
      </w:r>
      <w:r w:rsidR="00953581" w:rsidRPr="003F3B94">
        <w:rPr>
          <w:rFonts w:ascii="Abo-thar" w:hAnsi="Abo-thar" w:hint="cs"/>
          <w:sz w:val="28"/>
          <w:rtl/>
          <w:lang w:bidi="ar-SY"/>
        </w:rPr>
        <w:t xml:space="preserve"> </w:t>
      </w:r>
      <w:r w:rsidRPr="003F3B94">
        <w:rPr>
          <w:rFonts w:ascii="Abo-thar" w:hAnsi="Abo-thar" w:hint="cs"/>
          <w:sz w:val="28"/>
          <w:rtl/>
          <w:lang w:bidi="ar-SY"/>
        </w:rPr>
        <w:t>فعلاً</w:t>
      </w:r>
      <w:r w:rsidR="00953581" w:rsidRPr="003F3B94">
        <w:rPr>
          <w:rFonts w:ascii="Abo-thar" w:hAnsi="Abo-thar" w:hint="cs"/>
          <w:sz w:val="28"/>
          <w:rtl/>
          <w:lang w:bidi="ar-SY"/>
        </w:rPr>
        <w:t xml:space="preserve"> </w:t>
      </w:r>
      <w:r w:rsidRPr="003F3B94">
        <w:rPr>
          <w:rFonts w:ascii="Abo-thar" w:hAnsi="Abo-thar" w:hint="cs"/>
          <w:sz w:val="28"/>
          <w:rtl/>
          <w:lang w:bidi="ar-SY"/>
        </w:rPr>
        <w:t>تمييزٌ</w:t>
      </w:r>
      <w:r w:rsidR="00953581" w:rsidRPr="003F3B94">
        <w:rPr>
          <w:rFonts w:ascii="Abo-thar" w:hAnsi="Abo-thar" w:hint="cs"/>
          <w:sz w:val="28"/>
          <w:rtl/>
          <w:lang w:bidi="ar-SY"/>
        </w:rPr>
        <w:t xml:space="preserve"> </w:t>
      </w:r>
      <w:r w:rsidRPr="003F3B94">
        <w:rPr>
          <w:rFonts w:ascii="Abo-thar" w:hAnsi="Abo-thar" w:hint="cs"/>
          <w:sz w:val="28"/>
          <w:rtl/>
          <w:lang w:bidi="ar-SY"/>
        </w:rPr>
        <w:t>لأسرة</w:t>
      </w:r>
      <w:r w:rsidR="00953581" w:rsidRPr="003F3B94">
        <w:rPr>
          <w:rFonts w:ascii="Abo-thar" w:hAnsi="Abo-thar" w:hint="cs"/>
          <w:sz w:val="28"/>
          <w:rtl/>
          <w:lang w:bidi="ar-SY"/>
        </w:rPr>
        <w:t xml:space="preserve"> </w:t>
      </w:r>
      <w:r w:rsidRPr="003F3B94">
        <w:rPr>
          <w:rFonts w:ascii="Abo-thar" w:hAnsi="Abo-thar" w:hint="cs"/>
          <w:sz w:val="28"/>
          <w:rtl/>
          <w:lang w:bidi="ar-SY"/>
        </w:rPr>
        <w:t>أو</w:t>
      </w:r>
      <w:r w:rsidR="00953581" w:rsidRPr="003F3B94">
        <w:rPr>
          <w:rFonts w:ascii="Abo-thar" w:hAnsi="Abo-thar" w:hint="cs"/>
          <w:sz w:val="28"/>
          <w:rtl/>
          <w:lang w:bidi="ar-SY"/>
        </w:rPr>
        <w:t xml:space="preserve"> </w:t>
      </w:r>
      <w:r w:rsidRPr="003F3B94">
        <w:rPr>
          <w:rFonts w:ascii="Abo-thar" w:hAnsi="Abo-thar" w:hint="cs"/>
          <w:sz w:val="28"/>
          <w:rtl/>
          <w:lang w:bidi="ar-SY"/>
        </w:rPr>
        <w:t>نسب</w:t>
      </w:r>
      <w:r w:rsidR="00953581" w:rsidRPr="003F3B94">
        <w:rPr>
          <w:rFonts w:ascii="Abo-thar" w:hAnsi="Abo-thar" w:hint="cs"/>
          <w:sz w:val="28"/>
          <w:rtl/>
          <w:lang w:bidi="ar-SY"/>
        </w:rPr>
        <w:t xml:space="preserve"> </w:t>
      </w:r>
      <w:r w:rsidRPr="003F3B94">
        <w:rPr>
          <w:rFonts w:ascii="Abo-thar" w:hAnsi="Abo-thar" w:hint="cs"/>
          <w:sz w:val="28"/>
          <w:rtl/>
          <w:lang w:bidi="ar-SY"/>
        </w:rPr>
        <w:t>معين</w:t>
      </w:r>
      <w:r w:rsidR="00953581" w:rsidRPr="003F3B94">
        <w:rPr>
          <w:rFonts w:ascii="Abo-thar" w:hAnsi="Abo-thar" w:hint="cs"/>
          <w:sz w:val="28"/>
          <w:rtl/>
          <w:lang w:bidi="ar-SY"/>
        </w:rPr>
        <w:t xml:space="preserve"> </w:t>
      </w:r>
      <w:r w:rsidRPr="003F3B94">
        <w:rPr>
          <w:rFonts w:cs="Times New Roman" w:hint="cs"/>
          <w:sz w:val="28"/>
          <w:rtl/>
          <w:lang w:bidi="ar-SY"/>
        </w:rPr>
        <w:t>–</w:t>
      </w:r>
      <w:r w:rsidR="00953581" w:rsidRPr="003F3B94">
        <w:rPr>
          <w:rFonts w:ascii="Abo-thar" w:hAnsi="Abo-thar" w:hint="cs"/>
          <w:sz w:val="28"/>
          <w:rtl/>
          <w:lang w:bidi="ar-SY"/>
        </w:rPr>
        <w:t xml:space="preserve"> </w:t>
      </w:r>
      <w:r w:rsidRPr="003F3B94">
        <w:rPr>
          <w:rFonts w:ascii="Abo-thar" w:hAnsi="Abo-thar" w:hint="cs"/>
          <w:sz w:val="28"/>
          <w:rtl/>
          <w:lang w:bidi="ar-SY"/>
        </w:rPr>
        <w:t>مثل</w:t>
      </w:r>
      <w:r w:rsidR="00953581" w:rsidRPr="003F3B94">
        <w:rPr>
          <w:rFonts w:ascii="Abo-thar" w:hAnsi="Abo-thar" w:hint="cs"/>
          <w:sz w:val="28"/>
          <w:rtl/>
          <w:lang w:bidi="ar-SY"/>
        </w:rPr>
        <w:t xml:space="preserve"> </w:t>
      </w:r>
      <w:r w:rsidRPr="003F3B94">
        <w:rPr>
          <w:rFonts w:ascii="Abo-thar" w:hAnsi="Abo-thar" w:hint="cs"/>
          <w:sz w:val="28"/>
          <w:rtl/>
          <w:lang w:bidi="ar-SY"/>
        </w:rPr>
        <w:t>ذرية</w:t>
      </w:r>
      <w:r w:rsidR="00953581" w:rsidRPr="003F3B94">
        <w:rPr>
          <w:rFonts w:ascii="Abo-thar" w:hAnsi="Abo-thar" w:hint="cs"/>
          <w:sz w:val="28"/>
          <w:rtl/>
          <w:lang w:bidi="ar-SY"/>
        </w:rPr>
        <w:t xml:space="preserve"> </w:t>
      </w:r>
      <w:r w:rsidRPr="003F3B94">
        <w:rPr>
          <w:rFonts w:ascii="Abo-thar" w:hAnsi="Abo-thar" w:hint="cs"/>
          <w:sz w:val="28"/>
          <w:rtl/>
          <w:lang w:bidi="ar-SY"/>
        </w:rPr>
        <w:t>بني</w:t>
      </w:r>
      <w:r w:rsidR="00953581" w:rsidRPr="003F3B94">
        <w:rPr>
          <w:rFonts w:ascii="Abo-thar" w:hAnsi="Abo-thar" w:hint="cs"/>
          <w:sz w:val="28"/>
          <w:rtl/>
          <w:lang w:bidi="ar-SY"/>
        </w:rPr>
        <w:t xml:space="preserve"> </w:t>
      </w:r>
      <w:r w:rsidRPr="003F3B94">
        <w:rPr>
          <w:rFonts w:ascii="Abo-thar" w:hAnsi="Abo-thar" w:hint="cs"/>
          <w:sz w:val="28"/>
          <w:rtl/>
          <w:lang w:bidi="ar-SY"/>
        </w:rPr>
        <w:t>هاشم</w:t>
      </w:r>
      <w:r w:rsidR="00953581" w:rsidRPr="003F3B94">
        <w:rPr>
          <w:rFonts w:ascii="Abo-thar" w:hAnsi="Abo-thar" w:hint="cs"/>
          <w:sz w:val="28"/>
          <w:rtl/>
          <w:lang w:bidi="ar-SY"/>
        </w:rPr>
        <w:t xml:space="preserve"> </w:t>
      </w:r>
      <w:r w:rsidRPr="003F3B94">
        <w:rPr>
          <w:rFonts w:ascii="Abo-thar" w:hAnsi="Abo-thar" w:hint="cs"/>
          <w:sz w:val="28"/>
          <w:rtl/>
          <w:lang w:bidi="ar-SY"/>
        </w:rPr>
        <w:t>أو</w:t>
      </w:r>
      <w:r w:rsidR="00953581" w:rsidRPr="003F3B94">
        <w:rPr>
          <w:rFonts w:ascii="Abo-thar" w:hAnsi="Abo-thar" w:hint="cs"/>
          <w:sz w:val="28"/>
          <w:rtl/>
          <w:lang w:bidi="ar-SY"/>
        </w:rPr>
        <w:t xml:space="preserve"> </w:t>
      </w:r>
      <w:r w:rsidRPr="003F3B94">
        <w:rPr>
          <w:rFonts w:ascii="Abo-thar" w:hAnsi="Abo-thar" w:hint="cs"/>
          <w:sz w:val="28"/>
          <w:rtl/>
          <w:lang w:bidi="ar-SY"/>
        </w:rPr>
        <w:t>ذرية</w:t>
      </w:r>
      <w:r w:rsidR="00953581" w:rsidRPr="003F3B94">
        <w:rPr>
          <w:rFonts w:ascii="Abo-thar" w:hAnsi="Abo-thar" w:hint="cs"/>
          <w:sz w:val="28"/>
          <w:rtl/>
          <w:lang w:bidi="ar-SY"/>
        </w:rPr>
        <w:t xml:space="preserve"> </w:t>
      </w:r>
      <w:r w:rsidRPr="003F3B94">
        <w:rPr>
          <w:rFonts w:ascii="Abo-thar" w:hAnsi="Abo-thar" w:hint="cs"/>
          <w:sz w:val="28"/>
          <w:rtl/>
          <w:lang w:bidi="ar-SY"/>
        </w:rPr>
        <w:t>النبي</w:t>
      </w:r>
      <w:r w:rsidR="00953581" w:rsidRPr="003F3B94">
        <w:rPr>
          <w:rFonts w:ascii="Abo-thar" w:hAnsi="Abo-thar" w:hint="cs"/>
          <w:sz w:val="28"/>
          <w:rtl/>
          <w:lang w:bidi="ar-SY"/>
        </w:rPr>
        <w:t xml:space="preserve"> </w:t>
      </w:r>
      <w:r w:rsidR="003C7AEB" w:rsidRPr="003C7AEB">
        <w:rPr>
          <w:rFonts w:ascii="Abo-thar" w:hAnsi="Abo-thar" w:cs="CTraditional Arabic"/>
          <w:sz w:val="28"/>
          <w:rtl/>
          <w:lang w:bidi="ar-SY"/>
        </w:rPr>
        <w:t>ص</w:t>
      </w:r>
      <w:r w:rsidR="00953581" w:rsidRPr="003F3B94">
        <w:rPr>
          <w:rFonts w:ascii="Abo-thar" w:hAnsi="Abo-thar"/>
          <w:sz w:val="28"/>
          <w:rtl/>
          <w:lang w:bidi="ar-SY"/>
        </w:rPr>
        <w:t xml:space="preserve"> </w:t>
      </w:r>
      <w:r w:rsidR="005C53D5" w:rsidRPr="003F3B94">
        <w:rPr>
          <w:rFonts w:ascii="Abo-thar" w:hAnsi="Abo-thar" w:hint="cs"/>
          <w:sz w:val="28"/>
          <w:rtl/>
          <w:lang w:bidi="ar-SY"/>
        </w:rPr>
        <w:t>-</w:t>
      </w:r>
      <w:r w:rsidR="00953581" w:rsidRPr="003F3B94">
        <w:rPr>
          <w:rFonts w:ascii="Abo-thar" w:hAnsi="Abo-thar" w:hint="cs"/>
          <w:sz w:val="28"/>
          <w:rtl/>
          <w:lang w:bidi="ar-SY"/>
        </w:rPr>
        <w:t xml:space="preserve"> </w:t>
      </w:r>
      <w:r w:rsidRPr="003F3B94">
        <w:rPr>
          <w:rFonts w:ascii="Abo-thar" w:hAnsi="Abo-thar" w:hint="cs"/>
          <w:sz w:val="28"/>
          <w:rtl/>
          <w:lang w:bidi="ar-SY"/>
        </w:rPr>
        <w:t>على</w:t>
      </w:r>
      <w:r w:rsidR="00953581" w:rsidRPr="003F3B94">
        <w:rPr>
          <w:rFonts w:ascii="Abo-thar" w:hAnsi="Abo-thar" w:hint="cs"/>
          <w:sz w:val="28"/>
          <w:rtl/>
          <w:lang w:bidi="ar-SY"/>
        </w:rPr>
        <w:t xml:space="preserve"> </w:t>
      </w:r>
      <w:r w:rsidRPr="003F3B94">
        <w:rPr>
          <w:rFonts w:ascii="Abo-thar" w:hAnsi="Abo-thar" w:hint="cs"/>
          <w:sz w:val="28"/>
          <w:rtl/>
          <w:lang w:bidi="ar-SY"/>
        </w:rPr>
        <w:t>سائر</w:t>
      </w:r>
      <w:r w:rsidR="00953581" w:rsidRPr="003F3B94">
        <w:rPr>
          <w:rFonts w:ascii="Abo-thar" w:hAnsi="Abo-thar" w:hint="cs"/>
          <w:sz w:val="28"/>
          <w:rtl/>
          <w:lang w:bidi="ar-SY"/>
        </w:rPr>
        <w:t xml:space="preserve"> </w:t>
      </w:r>
      <w:r w:rsidRPr="003F3B94">
        <w:rPr>
          <w:rFonts w:ascii="Abo-thar" w:hAnsi="Abo-thar" w:hint="cs"/>
          <w:sz w:val="28"/>
          <w:rtl/>
          <w:lang w:bidi="ar-SY"/>
        </w:rPr>
        <w:t>المسلمين</w:t>
      </w:r>
      <w:r w:rsidR="00953581" w:rsidRPr="003F3B94">
        <w:rPr>
          <w:rFonts w:ascii="Abo-thar" w:hAnsi="Abo-thar" w:hint="cs"/>
          <w:sz w:val="28"/>
          <w:rtl/>
          <w:lang w:bidi="ar-SY"/>
        </w:rPr>
        <w:t xml:space="preserve"> </w:t>
      </w:r>
      <w:r w:rsidRPr="003F3B94">
        <w:rPr>
          <w:rFonts w:ascii="Abo-thar" w:hAnsi="Abo-thar" w:hint="cs"/>
          <w:sz w:val="28"/>
          <w:rtl/>
          <w:lang w:bidi="ar-SY"/>
        </w:rPr>
        <w:t>بحق</w:t>
      </w:r>
      <w:r w:rsidR="00953581" w:rsidRPr="003F3B94">
        <w:rPr>
          <w:rFonts w:ascii="Abo-thar" w:hAnsi="Abo-thar" w:hint="cs"/>
          <w:sz w:val="28"/>
          <w:rtl/>
          <w:lang w:bidi="ar-SY"/>
        </w:rPr>
        <w:t xml:space="preserve"> </w:t>
      </w:r>
      <w:r w:rsidRPr="003F3B94">
        <w:rPr>
          <w:rFonts w:ascii="Abo-thar" w:hAnsi="Abo-thar" w:hint="cs"/>
          <w:sz w:val="28"/>
          <w:rtl/>
          <w:lang w:bidi="ar-SY"/>
        </w:rPr>
        <w:t>ماليٍّ</w:t>
      </w:r>
      <w:r w:rsidR="005C53D5" w:rsidRPr="003F3B94">
        <w:rPr>
          <w:rFonts w:ascii="Abo-thar" w:hAnsi="Abo-thar" w:hint="cs"/>
          <w:sz w:val="28"/>
          <w:rtl/>
          <w:lang w:bidi="ar-SY"/>
        </w:rPr>
        <w:t>؟</w:t>
      </w:r>
      <w:r w:rsidR="00953581" w:rsidRPr="003F3B94">
        <w:rPr>
          <w:rFonts w:ascii="Abo-thar" w:hAnsi="Abo-thar" w:hint="cs"/>
          <w:sz w:val="28"/>
          <w:rtl/>
          <w:lang w:bidi="ar-SY"/>
        </w:rPr>
        <w:t xml:space="preserve"> </w:t>
      </w:r>
      <w:r w:rsidRPr="003F3B94">
        <w:rPr>
          <w:rFonts w:ascii="Abo-thar" w:hAnsi="Abo-thar" w:hint="cs"/>
          <w:sz w:val="28"/>
          <w:rtl/>
          <w:lang w:bidi="ar-SY"/>
        </w:rPr>
        <w:t>وهل</w:t>
      </w:r>
      <w:r w:rsidR="00953581" w:rsidRPr="003F3B94">
        <w:rPr>
          <w:rFonts w:ascii="Abo-thar" w:hAnsi="Abo-thar" w:hint="cs"/>
          <w:sz w:val="28"/>
          <w:rtl/>
          <w:lang w:bidi="ar-SY"/>
        </w:rPr>
        <w:t xml:space="preserve"> </w:t>
      </w:r>
      <w:r w:rsidRPr="003F3B94">
        <w:rPr>
          <w:rFonts w:ascii="Abo-thar" w:hAnsi="Abo-thar" w:hint="cs"/>
          <w:sz w:val="28"/>
          <w:rtl/>
          <w:lang w:bidi="ar-SY"/>
        </w:rPr>
        <w:t>في</w:t>
      </w:r>
      <w:r w:rsidR="00953581" w:rsidRPr="003F3B94">
        <w:rPr>
          <w:rFonts w:ascii="Abo-thar" w:hAnsi="Abo-thar" w:hint="cs"/>
          <w:sz w:val="28"/>
          <w:rtl/>
          <w:lang w:bidi="ar-SY"/>
        </w:rPr>
        <w:t xml:space="preserve"> </w:t>
      </w:r>
      <w:r w:rsidRPr="003F3B94">
        <w:rPr>
          <w:rFonts w:ascii="Abo-thar" w:hAnsi="Abo-thar" w:hint="cs"/>
          <w:sz w:val="28"/>
          <w:rtl/>
          <w:lang w:bidi="ar-SY"/>
        </w:rPr>
        <w:t>سيرة</w:t>
      </w:r>
      <w:r w:rsidR="00953581" w:rsidRPr="003F3B94">
        <w:rPr>
          <w:rFonts w:ascii="Abo-thar" w:hAnsi="Abo-thar" w:hint="cs"/>
          <w:sz w:val="28"/>
          <w:rtl/>
          <w:lang w:bidi="ar-SY"/>
        </w:rPr>
        <w:t xml:space="preserve"> </w:t>
      </w:r>
      <w:r w:rsidRPr="003F3B94">
        <w:rPr>
          <w:rFonts w:ascii="Abo-thar" w:hAnsi="Abo-thar" w:hint="cs"/>
          <w:sz w:val="28"/>
          <w:rtl/>
          <w:lang w:bidi="ar-SY"/>
        </w:rPr>
        <w:t>النبي</w:t>
      </w:r>
      <w:r w:rsidR="00953581" w:rsidRPr="003F3B94">
        <w:rPr>
          <w:rFonts w:ascii="Abo-thar" w:hAnsi="Abo-thar" w:hint="cs"/>
          <w:sz w:val="28"/>
          <w:rtl/>
          <w:lang w:bidi="ar-SY"/>
        </w:rPr>
        <w:t xml:space="preserve"> </w:t>
      </w:r>
      <w:r w:rsidR="003C7AEB" w:rsidRPr="003C7AEB">
        <w:rPr>
          <w:rFonts w:ascii="Abo-thar" w:hAnsi="Abo-thar" w:cs="CTraditional Arabic"/>
          <w:sz w:val="28"/>
          <w:rtl/>
          <w:lang w:bidi="ar-SY"/>
        </w:rPr>
        <w:t>ص</w:t>
      </w:r>
      <w:r w:rsidR="00953581" w:rsidRPr="003F3B94">
        <w:rPr>
          <w:rFonts w:ascii="Abo-thar" w:hAnsi="Abo-thar"/>
          <w:sz w:val="28"/>
          <w:rtl/>
          <w:lang w:bidi="ar-SY"/>
        </w:rPr>
        <w:t xml:space="preserve"> </w:t>
      </w:r>
      <w:r w:rsidRPr="003F3B94">
        <w:rPr>
          <w:rFonts w:ascii="Abo-thar" w:hAnsi="Abo-thar" w:hint="cs"/>
          <w:sz w:val="28"/>
          <w:rtl/>
          <w:lang w:bidi="ar-SY"/>
        </w:rPr>
        <w:t>وأصحابه</w:t>
      </w:r>
      <w:r w:rsidR="00953581" w:rsidRPr="003F3B94">
        <w:rPr>
          <w:rFonts w:ascii="Abo-thar" w:hAnsi="Abo-thar" w:hint="cs"/>
          <w:sz w:val="28"/>
          <w:rtl/>
          <w:lang w:bidi="ar-SY"/>
        </w:rPr>
        <w:t xml:space="preserve"> </w:t>
      </w:r>
      <w:r w:rsidRPr="003F3B94">
        <w:rPr>
          <w:rFonts w:ascii="Abo-thar" w:hAnsi="Abo-thar" w:hint="cs"/>
          <w:sz w:val="28"/>
          <w:rtl/>
          <w:lang w:bidi="ar-SY"/>
        </w:rPr>
        <w:t>وسيرة</w:t>
      </w:r>
      <w:r w:rsidR="00953581" w:rsidRPr="003F3B94">
        <w:rPr>
          <w:rFonts w:ascii="Abo-thar" w:hAnsi="Abo-thar" w:hint="cs"/>
          <w:sz w:val="28"/>
          <w:rtl/>
          <w:lang w:bidi="ar-SY"/>
        </w:rPr>
        <w:t xml:space="preserve"> </w:t>
      </w:r>
      <w:r w:rsidRPr="003F3B94">
        <w:rPr>
          <w:rFonts w:ascii="Abo-thar" w:hAnsi="Abo-thar" w:hint="cs"/>
          <w:sz w:val="28"/>
          <w:rtl/>
          <w:lang w:bidi="ar-SY"/>
        </w:rPr>
        <w:t>علي</w:t>
      </w:r>
      <w:r w:rsidR="00953581" w:rsidRPr="003F3B94">
        <w:rPr>
          <w:rFonts w:ascii="Abo-thar" w:hAnsi="Abo-thar" w:hint="cs"/>
          <w:sz w:val="28"/>
          <w:rtl/>
          <w:lang w:bidi="ar-SY"/>
        </w:rPr>
        <w:t xml:space="preserve"> </w:t>
      </w:r>
      <w:r w:rsidRPr="003F3B94">
        <w:rPr>
          <w:rFonts w:ascii="Abo-thar" w:hAnsi="Abo-thar" w:hint="cs"/>
          <w:sz w:val="28"/>
          <w:rtl/>
          <w:lang w:bidi="ar-SY"/>
        </w:rPr>
        <w:t>بن</w:t>
      </w:r>
      <w:r w:rsidR="00953581" w:rsidRPr="003F3B94">
        <w:rPr>
          <w:rFonts w:ascii="Abo-thar" w:hAnsi="Abo-thar" w:hint="cs"/>
          <w:sz w:val="28"/>
          <w:rtl/>
          <w:lang w:bidi="ar-SY"/>
        </w:rPr>
        <w:t xml:space="preserve"> </w:t>
      </w:r>
      <w:r w:rsidRPr="003F3B94">
        <w:rPr>
          <w:rFonts w:ascii="Abo-thar" w:hAnsi="Abo-thar" w:hint="cs"/>
          <w:sz w:val="28"/>
          <w:rtl/>
          <w:lang w:bidi="ar-SY"/>
        </w:rPr>
        <w:t>أبي</w:t>
      </w:r>
      <w:r w:rsidR="00953581" w:rsidRPr="003F3B94">
        <w:rPr>
          <w:rFonts w:ascii="Abo-thar" w:hAnsi="Abo-thar" w:hint="cs"/>
          <w:sz w:val="28"/>
          <w:rtl/>
          <w:lang w:bidi="ar-SY"/>
        </w:rPr>
        <w:t xml:space="preserve"> </w:t>
      </w:r>
      <w:r w:rsidRPr="003F3B94">
        <w:rPr>
          <w:rFonts w:ascii="Abo-thar" w:hAnsi="Abo-thar" w:hint="cs"/>
          <w:sz w:val="28"/>
          <w:rtl/>
          <w:lang w:bidi="ar-SY"/>
        </w:rPr>
        <w:t>طالب</w:t>
      </w:r>
      <w:r w:rsidR="00953581" w:rsidRPr="003F3B94">
        <w:rPr>
          <w:rFonts w:ascii="Abo-thar" w:hAnsi="Abo-thar" w:hint="cs"/>
          <w:sz w:val="28"/>
          <w:rtl/>
          <w:lang w:bidi="ar-SY"/>
        </w:rPr>
        <w:t xml:space="preserve"> </w:t>
      </w:r>
      <w:r w:rsidR="003C7AEB" w:rsidRPr="003C7AEB">
        <w:rPr>
          <w:rFonts w:ascii="Abo-thar" w:hAnsi="Abo-thar" w:cs="CTraditional Arabic"/>
          <w:sz w:val="28"/>
          <w:rtl/>
          <w:lang w:bidi="ar-SY"/>
        </w:rPr>
        <w:t>÷</w:t>
      </w:r>
      <w:r w:rsidR="00953581" w:rsidRPr="003F3B94">
        <w:rPr>
          <w:rFonts w:ascii="Abo-thar" w:hAnsi="Abo-thar"/>
          <w:sz w:val="28"/>
          <w:rtl/>
          <w:lang w:bidi="ar-SY"/>
        </w:rPr>
        <w:t xml:space="preserve"> </w:t>
      </w:r>
      <w:r w:rsidRPr="003F3B94">
        <w:rPr>
          <w:rFonts w:ascii="Abo-thar" w:hAnsi="Abo-thar" w:hint="cs"/>
          <w:sz w:val="28"/>
          <w:rtl/>
          <w:lang w:bidi="ar-SY"/>
        </w:rPr>
        <w:t>ما</w:t>
      </w:r>
      <w:r w:rsidR="00953581" w:rsidRPr="003F3B94">
        <w:rPr>
          <w:rFonts w:ascii="Abo-thar" w:hAnsi="Abo-thar" w:hint="cs"/>
          <w:sz w:val="28"/>
          <w:rtl/>
          <w:lang w:bidi="ar-SY"/>
        </w:rPr>
        <w:t xml:space="preserve"> </w:t>
      </w:r>
      <w:r w:rsidRPr="003F3B94">
        <w:rPr>
          <w:rFonts w:ascii="Abo-thar" w:hAnsi="Abo-thar" w:hint="cs"/>
          <w:sz w:val="28"/>
          <w:rtl/>
          <w:lang w:bidi="ar-SY"/>
        </w:rPr>
        <w:t>يشهد</w:t>
      </w:r>
      <w:r w:rsidR="00953581" w:rsidRPr="003F3B94">
        <w:rPr>
          <w:rFonts w:ascii="Abo-thar" w:hAnsi="Abo-thar" w:hint="cs"/>
          <w:sz w:val="28"/>
          <w:rtl/>
          <w:lang w:bidi="ar-SY"/>
        </w:rPr>
        <w:t xml:space="preserve"> </w:t>
      </w:r>
      <w:r w:rsidRPr="003F3B94">
        <w:rPr>
          <w:rFonts w:ascii="Abo-thar" w:hAnsi="Abo-thar" w:hint="cs"/>
          <w:sz w:val="28"/>
          <w:rtl/>
          <w:lang w:bidi="ar-SY"/>
        </w:rPr>
        <w:lastRenderedPageBreak/>
        <w:t>لمثل</w:t>
      </w:r>
      <w:r w:rsidR="00953581" w:rsidRPr="003F3B94">
        <w:rPr>
          <w:rFonts w:ascii="Abo-thar" w:hAnsi="Abo-thar" w:hint="cs"/>
          <w:sz w:val="28"/>
          <w:rtl/>
          <w:lang w:bidi="ar-SY"/>
        </w:rPr>
        <w:t xml:space="preserve"> </w:t>
      </w:r>
      <w:r w:rsidRPr="003F3B94">
        <w:rPr>
          <w:rFonts w:ascii="Abo-thar" w:hAnsi="Abo-thar" w:hint="cs"/>
          <w:sz w:val="28"/>
          <w:rtl/>
          <w:lang w:bidi="ar-SY"/>
        </w:rPr>
        <w:t>هذا</w:t>
      </w:r>
      <w:r w:rsidR="00953581" w:rsidRPr="003F3B94">
        <w:rPr>
          <w:rFonts w:ascii="Abo-thar" w:hAnsi="Abo-thar" w:hint="cs"/>
          <w:sz w:val="28"/>
          <w:rtl/>
          <w:lang w:bidi="ar-SY"/>
        </w:rPr>
        <w:t xml:space="preserve"> </w:t>
      </w:r>
      <w:r w:rsidRPr="003F3B94">
        <w:rPr>
          <w:rFonts w:ascii="Abo-thar" w:hAnsi="Abo-thar" w:hint="cs"/>
          <w:sz w:val="28"/>
          <w:rtl/>
          <w:lang w:bidi="ar-SY"/>
        </w:rPr>
        <w:t>الخمس</w:t>
      </w:r>
      <w:r w:rsidR="00953581" w:rsidRPr="003F3B94">
        <w:rPr>
          <w:rFonts w:ascii="Abo-thar" w:hAnsi="Abo-thar" w:hint="cs"/>
          <w:sz w:val="28"/>
          <w:rtl/>
          <w:lang w:bidi="ar-SY"/>
        </w:rPr>
        <w:t xml:space="preserve"> </w:t>
      </w:r>
      <w:r w:rsidRPr="003F3B94">
        <w:rPr>
          <w:rFonts w:ascii="Abo-thar" w:hAnsi="Abo-thar" w:hint="cs"/>
          <w:sz w:val="28"/>
          <w:rtl/>
          <w:lang w:bidi="ar-SY"/>
        </w:rPr>
        <w:t>الذي</w:t>
      </w:r>
      <w:r w:rsidR="00953581" w:rsidRPr="003F3B94">
        <w:rPr>
          <w:rFonts w:ascii="Abo-thar" w:hAnsi="Abo-thar" w:hint="cs"/>
          <w:sz w:val="28"/>
          <w:rtl/>
          <w:lang w:bidi="ar-SY"/>
        </w:rPr>
        <w:t xml:space="preserve"> </w:t>
      </w:r>
      <w:r w:rsidRPr="003F3B94">
        <w:rPr>
          <w:rFonts w:ascii="Abo-thar" w:hAnsi="Abo-thar" w:hint="cs"/>
          <w:sz w:val="28"/>
          <w:rtl/>
          <w:lang w:bidi="ar-SY"/>
        </w:rPr>
        <w:t>يتحدثون</w:t>
      </w:r>
      <w:r w:rsidR="00953581" w:rsidRPr="003F3B94">
        <w:rPr>
          <w:rFonts w:ascii="Abo-thar" w:hAnsi="Abo-thar" w:hint="cs"/>
          <w:sz w:val="28"/>
          <w:rtl/>
          <w:lang w:bidi="ar-SY"/>
        </w:rPr>
        <w:t xml:space="preserve"> </w:t>
      </w:r>
      <w:r w:rsidRPr="003F3B94">
        <w:rPr>
          <w:rFonts w:ascii="Abo-thar" w:hAnsi="Abo-thar" w:hint="cs"/>
          <w:sz w:val="28"/>
          <w:rtl/>
          <w:lang w:bidi="ar-SY"/>
        </w:rPr>
        <w:t>عنه</w:t>
      </w:r>
      <w:r w:rsidR="005C53D5" w:rsidRPr="003F3B94">
        <w:rPr>
          <w:rFonts w:ascii="Abo-thar" w:hAnsi="Abo-thar" w:hint="cs"/>
          <w:sz w:val="28"/>
          <w:rtl/>
          <w:lang w:bidi="ar-SY"/>
        </w:rPr>
        <w:t>؟</w:t>
      </w:r>
      <w:r w:rsidR="00953581" w:rsidRPr="003F3B94">
        <w:rPr>
          <w:rFonts w:ascii="Abo-thar" w:hAnsi="Abo-thar" w:hint="cs"/>
          <w:sz w:val="28"/>
          <w:rtl/>
          <w:lang w:bidi="ar-SY"/>
        </w:rPr>
        <w:t xml:space="preserve"> </w:t>
      </w:r>
      <w:r w:rsidRPr="003F3B94">
        <w:rPr>
          <w:rFonts w:ascii="Abo-thar" w:hAnsi="Abo-thar" w:hint="cs"/>
          <w:sz w:val="28"/>
          <w:rtl/>
          <w:lang w:bidi="ar-SY"/>
        </w:rPr>
        <w:t>وإن</w:t>
      </w:r>
      <w:r w:rsidR="00953581" w:rsidRPr="003F3B94">
        <w:rPr>
          <w:rFonts w:ascii="Abo-thar" w:hAnsi="Abo-thar" w:hint="cs"/>
          <w:sz w:val="28"/>
          <w:rtl/>
          <w:lang w:bidi="ar-SY"/>
        </w:rPr>
        <w:t xml:space="preserve"> </w:t>
      </w:r>
      <w:r w:rsidRPr="003F3B94">
        <w:rPr>
          <w:rFonts w:ascii="Abo-thar" w:hAnsi="Abo-thar" w:hint="cs"/>
          <w:sz w:val="28"/>
          <w:rtl/>
          <w:lang w:bidi="ar-SY"/>
        </w:rPr>
        <w:t>لم</w:t>
      </w:r>
      <w:r w:rsidR="00953581" w:rsidRPr="003F3B94">
        <w:rPr>
          <w:rFonts w:ascii="Abo-thar" w:hAnsi="Abo-thar" w:hint="cs"/>
          <w:sz w:val="28"/>
          <w:rtl/>
          <w:lang w:bidi="ar-SY"/>
        </w:rPr>
        <w:t xml:space="preserve"> </w:t>
      </w:r>
      <w:r w:rsidRPr="003F3B94">
        <w:rPr>
          <w:rFonts w:ascii="Abo-thar" w:hAnsi="Abo-thar" w:hint="cs"/>
          <w:sz w:val="28"/>
          <w:rtl/>
          <w:lang w:bidi="ar-SY"/>
        </w:rPr>
        <w:t>يكن</w:t>
      </w:r>
      <w:r w:rsidR="00953581" w:rsidRPr="003F3B94">
        <w:rPr>
          <w:rFonts w:ascii="Abo-thar" w:hAnsi="Abo-thar" w:hint="cs"/>
          <w:sz w:val="28"/>
          <w:rtl/>
          <w:lang w:bidi="ar-SY"/>
        </w:rPr>
        <w:t xml:space="preserve"> </w:t>
      </w:r>
      <w:r w:rsidRPr="003F3B94">
        <w:rPr>
          <w:rFonts w:ascii="Abo-thar" w:hAnsi="Abo-thar" w:hint="cs"/>
          <w:sz w:val="28"/>
          <w:rtl/>
          <w:lang w:bidi="ar-SY"/>
        </w:rPr>
        <w:t>كذلك</w:t>
      </w:r>
      <w:r w:rsidR="00953581" w:rsidRPr="003F3B94">
        <w:rPr>
          <w:rFonts w:ascii="Abo-thar" w:hAnsi="Abo-thar" w:hint="cs"/>
          <w:sz w:val="28"/>
          <w:rtl/>
          <w:lang w:bidi="ar-SY"/>
        </w:rPr>
        <w:t xml:space="preserve"> </w:t>
      </w:r>
      <w:r w:rsidRPr="003F3B94">
        <w:rPr>
          <w:rFonts w:ascii="Abo-thar" w:hAnsi="Abo-thar" w:hint="cs"/>
          <w:sz w:val="28"/>
          <w:rtl/>
          <w:lang w:bidi="ar-SY"/>
        </w:rPr>
        <w:t>فمن</w:t>
      </w:r>
      <w:r w:rsidR="00953581" w:rsidRPr="003F3B94">
        <w:rPr>
          <w:rFonts w:ascii="Abo-thar" w:hAnsi="Abo-thar" w:hint="cs"/>
          <w:sz w:val="28"/>
          <w:rtl/>
          <w:lang w:bidi="ar-SY"/>
        </w:rPr>
        <w:t xml:space="preserve"> </w:t>
      </w:r>
      <w:r w:rsidRPr="003F3B94">
        <w:rPr>
          <w:rFonts w:ascii="Abo-thar" w:hAnsi="Abo-thar" w:hint="cs"/>
          <w:sz w:val="28"/>
          <w:rtl/>
          <w:lang w:bidi="ar-SY"/>
        </w:rPr>
        <w:t>وضع</w:t>
      </w:r>
      <w:r w:rsidR="00953581" w:rsidRPr="003F3B94">
        <w:rPr>
          <w:rFonts w:ascii="Abo-thar" w:hAnsi="Abo-thar" w:hint="cs"/>
          <w:sz w:val="28"/>
          <w:rtl/>
          <w:lang w:bidi="ar-SY"/>
        </w:rPr>
        <w:t xml:space="preserve"> </w:t>
      </w:r>
      <w:r w:rsidRPr="003F3B94">
        <w:rPr>
          <w:rFonts w:ascii="Abo-thar" w:hAnsi="Abo-thar" w:hint="cs"/>
          <w:sz w:val="28"/>
          <w:rtl/>
          <w:lang w:bidi="ar-SY"/>
        </w:rPr>
        <w:t>هذه</w:t>
      </w:r>
      <w:r w:rsidR="00953581" w:rsidRPr="003F3B94">
        <w:rPr>
          <w:rFonts w:ascii="Abo-thar" w:hAnsi="Abo-thar" w:hint="cs"/>
          <w:sz w:val="28"/>
          <w:rtl/>
          <w:lang w:bidi="ar-SY"/>
        </w:rPr>
        <w:t xml:space="preserve"> </w:t>
      </w:r>
      <w:r w:rsidRPr="003F3B94">
        <w:rPr>
          <w:rFonts w:ascii="Abo-thar" w:hAnsi="Abo-thar" w:hint="cs"/>
          <w:sz w:val="28"/>
          <w:rtl/>
          <w:lang w:bidi="ar-SY"/>
        </w:rPr>
        <w:t>الفكرة</w:t>
      </w:r>
      <w:r w:rsidR="005C53D5" w:rsidRPr="003F3B94">
        <w:rPr>
          <w:rFonts w:ascii="Abo-thar" w:hAnsi="Abo-thar" w:hint="cs"/>
          <w:sz w:val="28"/>
          <w:rtl/>
          <w:lang w:bidi="ar-SY"/>
        </w:rPr>
        <w:t>؟</w:t>
      </w:r>
      <w:r w:rsidR="00953581" w:rsidRPr="003F3B94">
        <w:rPr>
          <w:rFonts w:ascii="Abo-thar" w:hAnsi="Abo-thar" w:hint="cs"/>
          <w:sz w:val="28"/>
          <w:rtl/>
          <w:lang w:bidi="ar-SY"/>
        </w:rPr>
        <w:t xml:space="preserve"> </w:t>
      </w:r>
      <w:r w:rsidRPr="003F3B94">
        <w:rPr>
          <w:rFonts w:ascii="Abo-thar" w:hAnsi="Abo-thar" w:hint="cs"/>
          <w:sz w:val="28"/>
          <w:rtl/>
          <w:lang w:bidi="ar-SY"/>
        </w:rPr>
        <w:t>ولماذا</w:t>
      </w:r>
      <w:r w:rsidR="00953581" w:rsidRPr="003F3B94">
        <w:rPr>
          <w:rFonts w:ascii="Abo-thar" w:hAnsi="Abo-thar" w:hint="cs"/>
          <w:sz w:val="28"/>
          <w:rtl/>
          <w:lang w:bidi="ar-SY"/>
        </w:rPr>
        <w:t xml:space="preserve"> </w:t>
      </w:r>
      <w:r w:rsidRPr="003F3B94">
        <w:rPr>
          <w:rFonts w:ascii="Abo-thar" w:hAnsi="Abo-thar" w:hint="cs"/>
          <w:sz w:val="28"/>
          <w:rtl/>
          <w:lang w:bidi="ar-SY"/>
        </w:rPr>
        <w:t>وكيف</w:t>
      </w:r>
      <w:r w:rsidR="005C53D5" w:rsidRPr="003F3B94">
        <w:rPr>
          <w:rFonts w:ascii="Abo-thar" w:hAnsi="Abo-thar" w:hint="cs"/>
          <w:sz w:val="28"/>
          <w:rtl/>
          <w:lang w:bidi="ar-SY"/>
        </w:rPr>
        <w:t>؟</w:t>
      </w:r>
    </w:p>
    <w:p w:rsidR="00255711" w:rsidRPr="003F3B94" w:rsidRDefault="00255711" w:rsidP="003F3B94">
      <w:pPr>
        <w:pStyle w:val="a0"/>
        <w:rPr>
          <w:rFonts w:hint="cs"/>
          <w:rtl/>
        </w:rPr>
      </w:pPr>
      <w:r w:rsidRPr="003F3B94">
        <w:rPr>
          <w:rFonts w:ascii="Abo-thar" w:hAnsi="Abo-thar" w:hint="cs"/>
          <w:sz w:val="28"/>
          <w:rtl/>
        </w:rPr>
        <w:t>هذه</w:t>
      </w:r>
      <w:r w:rsidR="00953581" w:rsidRPr="003F3B94">
        <w:rPr>
          <w:rFonts w:ascii="Abo-thar" w:hAnsi="Abo-thar" w:hint="cs"/>
          <w:sz w:val="28"/>
          <w:rtl/>
        </w:rPr>
        <w:t xml:space="preserve"> </w:t>
      </w:r>
      <w:r w:rsidRPr="003F3B94">
        <w:rPr>
          <w:rFonts w:ascii="Abo-thar" w:hAnsi="Abo-thar" w:hint="cs"/>
          <w:sz w:val="28"/>
          <w:rtl/>
        </w:rPr>
        <w:t>أسئلة</w:t>
      </w:r>
      <w:r w:rsidR="00953581" w:rsidRPr="003F3B94">
        <w:rPr>
          <w:rFonts w:ascii="Abo-thar" w:hAnsi="Abo-thar" w:hint="cs"/>
          <w:sz w:val="28"/>
          <w:rtl/>
        </w:rPr>
        <w:t xml:space="preserve"> </w:t>
      </w:r>
      <w:r w:rsidRPr="003F3B94">
        <w:rPr>
          <w:rFonts w:ascii="Abo-thar" w:hAnsi="Abo-thar" w:hint="cs"/>
          <w:sz w:val="28"/>
          <w:rtl/>
        </w:rPr>
        <w:t>هامة</w:t>
      </w:r>
      <w:r w:rsidR="00953581" w:rsidRPr="003F3B94">
        <w:rPr>
          <w:rFonts w:ascii="Abo-thar" w:hAnsi="Abo-thar" w:hint="cs"/>
          <w:sz w:val="28"/>
          <w:rtl/>
        </w:rPr>
        <w:t xml:space="preserve"> </w:t>
      </w:r>
      <w:r w:rsidRPr="003F3B94">
        <w:rPr>
          <w:rFonts w:ascii="Abo-thar" w:hAnsi="Abo-thar" w:hint="cs"/>
          <w:sz w:val="28"/>
          <w:rtl/>
        </w:rPr>
        <w:t>ربما</w:t>
      </w:r>
      <w:r w:rsidR="00953581" w:rsidRPr="003F3B94">
        <w:rPr>
          <w:rFonts w:ascii="Abo-thar" w:hAnsi="Abo-thar" w:hint="cs"/>
          <w:sz w:val="28"/>
          <w:rtl/>
        </w:rPr>
        <w:t xml:space="preserve"> </w:t>
      </w:r>
      <w:r w:rsidRPr="003F3B94">
        <w:rPr>
          <w:rFonts w:ascii="Abo-thar" w:hAnsi="Abo-thar" w:hint="cs"/>
          <w:sz w:val="28"/>
          <w:rtl/>
        </w:rPr>
        <w:t>تدور</w:t>
      </w:r>
      <w:r w:rsidR="00953581" w:rsidRPr="003F3B94">
        <w:rPr>
          <w:rFonts w:ascii="Abo-thar" w:hAnsi="Abo-thar" w:hint="cs"/>
          <w:sz w:val="28"/>
          <w:rtl/>
        </w:rPr>
        <w:t xml:space="preserve"> </w:t>
      </w:r>
      <w:r w:rsidRPr="003F3B94">
        <w:rPr>
          <w:rFonts w:ascii="Abo-thar" w:hAnsi="Abo-thar" w:hint="cs"/>
          <w:sz w:val="28"/>
          <w:rtl/>
        </w:rPr>
        <w:t>في</w:t>
      </w:r>
      <w:r w:rsidR="00953581" w:rsidRPr="003F3B94">
        <w:rPr>
          <w:rFonts w:ascii="Abo-thar" w:hAnsi="Abo-thar" w:hint="cs"/>
          <w:sz w:val="28"/>
          <w:rtl/>
        </w:rPr>
        <w:t xml:space="preserve"> </w:t>
      </w:r>
      <w:r w:rsidRPr="003F3B94">
        <w:rPr>
          <w:rFonts w:ascii="Abo-thar" w:hAnsi="Abo-thar" w:hint="cs"/>
          <w:sz w:val="28"/>
          <w:rtl/>
        </w:rPr>
        <w:t>خلد</w:t>
      </w:r>
      <w:r w:rsidR="00953581" w:rsidRPr="003F3B94">
        <w:rPr>
          <w:rFonts w:ascii="Abo-thar" w:hAnsi="Abo-thar" w:hint="cs"/>
          <w:sz w:val="28"/>
          <w:rtl/>
        </w:rPr>
        <w:t xml:space="preserve"> </w:t>
      </w:r>
      <w:r w:rsidRPr="003F3B94">
        <w:rPr>
          <w:rFonts w:ascii="Abo-thar" w:hAnsi="Abo-thar" w:hint="cs"/>
          <w:sz w:val="28"/>
          <w:rtl/>
        </w:rPr>
        <w:t>كثير</w:t>
      </w:r>
      <w:r w:rsidR="00953581" w:rsidRPr="003F3B94">
        <w:rPr>
          <w:rFonts w:ascii="Abo-thar" w:hAnsi="Abo-thar" w:hint="cs"/>
          <w:sz w:val="28"/>
          <w:rtl/>
        </w:rPr>
        <w:t xml:space="preserve"> </w:t>
      </w:r>
      <w:r w:rsidRPr="003F3B94">
        <w:rPr>
          <w:rFonts w:ascii="Abo-thar" w:hAnsi="Abo-thar" w:hint="cs"/>
          <w:sz w:val="28"/>
          <w:rtl/>
        </w:rPr>
        <w:t>من</w:t>
      </w:r>
      <w:r w:rsidR="00953581" w:rsidRPr="003F3B94">
        <w:rPr>
          <w:rFonts w:ascii="Abo-thar" w:hAnsi="Abo-thar" w:hint="cs"/>
          <w:sz w:val="28"/>
          <w:rtl/>
        </w:rPr>
        <w:t xml:space="preserve"> </w:t>
      </w:r>
      <w:r w:rsidRPr="003F3B94">
        <w:rPr>
          <w:rFonts w:ascii="Abo-thar" w:hAnsi="Abo-thar" w:hint="cs"/>
          <w:sz w:val="28"/>
          <w:rtl/>
        </w:rPr>
        <w:t>المسلمين</w:t>
      </w:r>
      <w:r w:rsidR="00953581" w:rsidRPr="003F3B94">
        <w:rPr>
          <w:rFonts w:ascii="Abo-thar" w:hAnsi="Abo-thar" w:hint="cs"/>
          <w:sz w:val="28"/>
          <w:rtl/>
        </w:rPr>
        <w:t xml:space="preserve"> </w:t>
      </w:r>
      <w:r w:rsidRPr="003F3B94">
        <w:rPr>
          <w:rFonts w:ascii="Abo-thar" w:hAnsi="Abo-thar" w:hint="cs"/>
          <w:sz w:val="28"/>
          <w:rtl/>
        </w:rPr>
        <w:t>بل</w:t>
      </w:r>
      <w:r w:rsidR="00953581" w:rsidRPr="003F3B94">
        <w:rPr>
          <w:rFonts w:ascii="Abo-thar" w:hAnsi="Abo-thar" w:hint="cs"/>
          <w:sz w:val="28"/>
          <w:rtl/>
        </w:rPr>
        <w:t xml:space="preserve"> </w:t>
      </w:r>
      <w:r w:rsidRPr="003F3B94">
        <w:rPr>
          <w:rFonts w:ascii="Abo-thar" w:hAnsi="Abo-thar" w:hint="cs"/>
          <w:sz w:val="28"/>
          <w:rtl/>
        </w:rPr>
        <w:t>من</w:t>
      </w:r>
      <w:r w:rsidR="00953581" w:rsidRPr="003F3B94">
        <w:rPr>
          <w:rFonts w:ascii="Abo-thar" w:hAnsi="Abo-thar" w:hint="cs"/>
          <w:sz w:val="28"/>
          <w:rtl/>
        </w:rPr>
        <w:t xml:space="preserve"> </w:t>
      </w:r>
      <w:r w:rsidRPr="003F3B94">
        <w:rPr>
          <w:rFonts w:ascii="Abo-thar" w:hAnsi="Abo-thar" w:hint="cs"/>
          <w:sz w:val="28"/>
          <w:rtl/>
        </w:rPr>
        <w:t>الشيعة</w:t>
      </w:r>
      <w:r w:rsidR="00953581" w:rsidRPr="003F3B94">
        <w:rPr>
          <w:rFonts w:ascii="Abo-thar" w:hAnsi="Abo-thar" w:hint="cs"/>
          <w:sz w:val="28"/>
          <w:rtl/>
        </w:rPr>
        <w:t xml:space="preserve"> </w:t>
      </w:r>
      <w:r w:rsidRPr="003F3B94">
        <w:rPr>
          <w:rFonts w:ascii="Abo-thar" w:hAnsi="Abo-thar" w:hint="cs"/>
          <w:sz w:val="28"/>
          <w:rtl/>
        </w:rPr>
        <w:t>أنفسهم</w:t>
      </w:r>
      <w:r w:rsidR="00953581" w:rsidRPr="003F3B94">
        <w:rPr>
          <w:rFonts w:ascii="Abo-thar" w:hAnsi="Abo-thar" w:hint="cs"/>
          <w:sz w:val="28"/>
          <w:rtl/>
        </w:rPr>
        <w:t xml:space="preserve"> </w:t>
      </w:r>
      <w:r w:rsidRPr="003F3B94">
        <w:rPr>
          <w:rFonts w:ascii="Abo-thar" w:hAnsi="Abo-thar" w:hint="cs"/>
          <w:sz w:val="28"/>
          <w:rtl/>
        </w:rPr>
        <w:t>وتبحث</w:t>
      </w:r>
      <w:r w:rsidR="00953581" w:rsidRPr="003F3B94">
        <w:rPr>
          <w:rFonts w:ascii="Abo-thar" w:hAnsi="Abo-thar" w:hint="cs"/>
          <w:sz w:val="28"/>
          <w:rtl/>
        </w:rPr>
        <w:t xml:space="preserve"> </w:t>
      </w:r>
      <w:r w:rsidRPr="003F3B94">
        <w:rPr>
          <w:rFonts w:ascii="Abo-thar" w:hAnsi="Abo-thar" w:hint="cs"/>
          <w:sz w:val="28"/>
          <w:rtl/>
        </w:rPr>
        <w:t>عن</w:t>
      </w:r>
      <w:r w:rsidR="00953581" w:rsidRPr="003F3B94">
        <w:rPr>
          <w:rFonts w:ascii="Abo-thar" w:hAnsi="Abo-thar" w:hint="cs"/>
          <w:sz w:val="28"/>
          <w:rtl/>
        </w:rPr>
        <w:t xml:space="preserve"> </w:t>
      </w:r>
      <w:r w:rsidRPr="003F3B94">
        <w:rPr>
          <w:rFonts w:ascii="Abo-thar" w:hAnsi="Abo-thar" w:hint="cs"/>
          <w:sz w:val="28"/>
          <w:rtl/>
        </w:rPr>
        <w:t>جواب</w:t>
      </w:r>
      <w:r w:rsidR="00953581" w:rsidRPr="003F3B94">
        <w:rPr>
          <w:rFonts w:ascii="Abo-thar" w:hAnsi="Abo-thar" w:hint="cs"/>
          <w:sz w:val="28"/>
          <w:rtl/>
        </w:rPr>
        <w:t xml:space="preserve"> </w:t>
      </w:r>
      <w:r w:rsidRPr="003F3B94">
        <w:rPr>
          <w:rFonts w:ascii="Abo-thar" w:hAnsi="Abo-thar" w:hint="cs"/>
          <w:sz w:val="28"/>
          <w:rtl/>
        </w:rPr>
        <w:t>شافٍ</w:t>
      </w:r>
      <w:r w:rsidR="005C53D5" w:rsidRPr="003F3B94">
        <w:rPr>
          <w:rFonts w:ascii="Abo-thar" w:hAnsi="Abo-thar" w:hint="cs"/>
          <w:sz w:val="28"/>
          <w:rtl/>
        </w:rPr>
        <w:t>،</w:t>
      </w:r>
      <w:r w:rsidR="00953581" w:rsidRPr="003F3B94">
        <w:rPr>
          <w:rFonts w:ascii="Abo-thar" w:hAnsi="Abo-thar" w:hint="cs"/>
          <w:sz w:val="28"/>
          <w:rtl/>
        </w:rPr>
        <w:t xml:space="preserve"> </w:t>
      </w:r>
      <w:r w:rsidRPr="003F3B94">
        <w:rPr>
          <w:rFonts w:ascii="Abo-thar" w:hAnsi="Abo-thar" w:hint="cs"/>
          <w:sz w:val="28"/>
          <w:rtl/>
        </w:rPr>
        <w:t>وهذا</w:t>
      </w:r>
      <w:r w:rsidR="00953581" w:rsidRPr="003F3B94">
        <w:rPr>
          <w:rFonts w:ascii="Abo-thar" w:hAnsi="Abo-thar" w:hint="cs"/>
          <w:sz w:val="28"/>
          <w:rtl/>
        </w:rPr>
        <w:t xml:space="preserve"> </w:t>
      </w:r>
      <w:r w:rsidRPr="003F3B94">
        <w:rPr>
          <w:rFonts w:ascii="Abo-thar" w:hAnsi="Abo-thar" w:hint="cs"/>
          <w:sz w:val="28"/>
          <w:rtl/>
        </w:rPr>
        <w:t>الكتاب</w:t>
      </w:r>
      <w:r w:rsidR="00953581" w:rsidRPr="003F3B94">
        <w:rPr>
          <w:rFonts w:ascii="Abo-thar" w:hAnsi="Abo-thar" w:hint="cs"/>
          <w:sz w:val="28"/>
          <w:rtl/>
        </w:rPr>
        <w:t xml:space="preserve"> </w:t>
      </w:r>
      <w:r w:rsidRPr="003F3B94">
        <w:rPr>
          <w:rFonts w:ascii="Abo-thar" w:hAnsi="Abo-thar" w:hint="cs"/>
          <w:sz w:val="28"/>
          <w:rtl/>
        </w:rPr>
        <w:t>الذي</w:t>
      </w:r>
      <w:r w:rsidR="00953581" w:rsidRPr="003F3B94">
        <w:rPr>
          <w:rFonts w:ascii="Abo-thar" w:hAnsi="Abo-thar" w:hint="cs"/>
          <w:sz w:val="28"/>
          <w:rtl/>
        </w:rPr>
        <w:t xml:space="preserve"> </w:t>
      </w:r>
      <w:r w:rsidRPr="003F3B94">
        <w:rPr>
          <w:rFonts w:ascii="Abo-thar" w:hAnsi="Abo-thar" w:hint="cs"/>
          <w:sz w:val="28"/>
          <w:rtl/>
        </w:rPr>
        <w:t>بين</w:t>
      </w:r>
      <w:r w:rsidR="00953581" w:rsidRPr="003F3B94">
        <w:rPr>
          <w:rFonts w:ascii="Abo-thar" w:hAnsi="Abo-thar" w:hint="cs"/>
          <w:sz w:val="28"/>
          <w:rtl/>
        </w:rPr>
        <w:t xml:space="preserve"> </w:t>
      </w:r>
      <w:r w:rsidRPr="003F3B94">
        <w:rPr>
          <w:rFonts w:ascii="Abo-thar" w:hAnsi="Abo-thar" w:hint="cs"/>
          <w:sz w:val="28"/>
          <w:rtl/>
        </w:rPr>
        <w:t>أيدينا</w:t>
      </w:r>
      <w:r w:rsidR="00953581" w:rsidRPr="003F3B94">
        <w:rPr>
          <w:rFonts w:ascii="Abo-thar" w:hAnsi="Abo-thar" w:hint="cs"/>
          <w:sz w:val="28"/>
          <w:rtl/>
        </w:rPr>
        <w:t xml:space="preserve"> </w:t>
      </w:r>
      <w:r w:rsidRPr="003F3B94">
        <w:rPr>
          <w:rFonts w:ascii="Abo-thar" w:hAnsi="Abo-thar" w:hint="cs"/>
          <w:sz w:val="28"/>
          <w:rtl/>
        </w:rPr>
        <w:t>قد</w:t>
      </w:r>
      <w:r w:rsidR="00953581" w:rsidRPr="003F3B94">
        <w:rPr>
          <w:rFonts w:ascii="Abo-thar" w:hAnsi="Abo-thar" w:hint="cs"/>
          <w:sz w:val="28"/>
          <w:rtl/>
        </w:rPr>
        <w:t xml:space="preserve"> </w:t>
      </w:r>
      <w:r w:rsidRPr="003F3B94">
        <w:rPr>
          <w:rFonts w:ascii="Abo-thar" w:hAnsi="Abo-thar" w:hint="cs"/>
          <w:sz w:val="28"/>
          <w:rtl/>
        </w:rPr>
        <w:t>أجاب</w:t>
      </w:r>
      <w:r w:rsidR="00953581" w:rsidRPr="003F3B94">
        <w:rPr>
          <w:rFonts w:ascii="Abo-thar" w:hAnsi="Abo-thar" w:hint="cs"/>
          <w:sz w:val="28"/>
          <w:rtl/>
        </w:rPr>
        <w:t xml:space="preserve"> </w:t>
      </w:r>
      <w:r w:rsidRPr="003F3B94">
        <w:rPr>
          <w:rFonts w:ascii="Abo-thar" w:hAnsi="Abo-thar" w:hint="cs"/>
          <w:sz w:val="28"/>
          <w:rtl/>
        </w:rPr>
        <w:t>عنها</w:t>
      </w:r>
      <w:r w:rsidR="00953581" w:rsidRPr="003F3B94">
        <w:rPr>
          <w:rFonts w:ascii="Abo-thar" w:hAnsi="Abo-thar" w:hint="cs"/>
          <w:sz w:val="28"/>
          <w:rtl/>
        </w:rPr>
        <w:t xml:space="preserve"> </w:t>
      </w:r>
      <w:r w:rsidRPr="003F3B94">
        <w:rPr>
          <w:rFonts w:ascii="Abo-thar" w:hAnsi="Abo-thar" w:hint="cs"/>
          <w:sz w:val="28"/>
          <w:rtl/>
        </w:rPr>
        <w:t>كلها</w:t>
      </w:r>
      <w:r w:rsidR="00953581" w:rsidRPr="003F3B94">
        <w:rPr>
          <w:rFonts w:ascii="Abo-thar" w:hAnsi="Abo-thar" w:hint="cs"/>
          <w:sz w:val="28"/>
          <w:rtl/>
        </w:rPr>
        <w:t xml:space="preserve"> </w:t>
      </w:r>
      <w:r w:rsidRPr="003F3B94">
        <w:rPr>
          <w:rFonts w:ascii="Abo-thar" w:hAnsi="Abo-thar" w:hint="cs"/>
          <w:sz w:val="28"/>
          <w:rtl/>
        </w:rPr>
        <w:t>إجابة</w:t>
      </w:r>
      <w:r w:rsidR="000D40CA" w:rsidRPr="003F3B94">
        <w:rPr>
          <w:rFonts w:ascii="Abo-thar" w:hAnsi="Abo-thar" w:hint="cs"/>
          <w:sz w:val="28"/>
          <w:rtl/>
        </w:rPr>
        <w:t>ً</w:t>
      </w:r>
      <w:r w:rsidR="00953581" w:rsidRPr="003F3B94">
        <w:rPr>
          <w:rFonts w:ascii="Abo-thar" w:hAnsi="Abo-thar" w:hint="cs"/>
          <w:sz w:val="28"/>
          <w:rtl/>
        </w:rPr>
        <w:t xml:space="preserve"> </w:t>
      </w:r>
      <w:r w:rsidRPr="003F3B94">
        <w:rPr>
          <w:rFonts w:ascii="Abo-thar" w:hAnsi="Abo-thar" w:hint="cs"/>
          <w:sz w:val="28"/>
          <w:rtl/>
        </w:rPr>
        <w:t>شافيةً</w:t>
      </w:r>
      <w:r w:rsidR="00953581" w:rsidRPr="003F3B94">
        <w:rPr>
          <w:rFonts w:ascii="Abo-thar" w:hAnsi="Abo-thar" w:hint="cs"/>
          <w:sz w:val="28"/>
          <w:rtl/>
        </w:rPr>
        <w:t xml:space="preserve"> </w:t>
      </w:r>
      <w:r w:rsidRPr="003F3B94">
        <w:rPr>
          <w:rFonts w:ascii="Abo-thar" w:hAnsi="Abo-thar" w:hint="cs"/>
          <w:sz w:val="28"/>
          <w:rtl/>
        </w:rPr>
        <w:t>وافيةً</w:t>
      </w:r>
      <w:r w:rsidR="005C53D5" w:rsidRPr="003F3B94">
        <w:rPr>
          <w:rFonts w:ascii="Abo-thar" w:hAnsi="Abo-thar" w:hint="cs"/>
          <w:sz w:val="28"/>
          <w:rtl/>
        </w:rPr>
        <w:t>،</w:t>
      </w:r>
      <w:r w:rsidR="00953581" w:rsidRPr="003F3B94">
        <w:rPr>
          <w:rFonts w:ascii="Abo-thar" w:hAnsi="Abo-thar" w:hint="cs"/>
          <w:sz w:val="28"/>
          <w:rtl/>
        </w:rPr>
        <w:t xml:space="preserve"> </w:t>
      </w:r>
      <w:r w:rsidRPr="003F3B94">
        <w:rPr>
          <w:rFonts w:ascii="Abo-thar" w:hAnsi="Abo-thar" w:hint="cs"/>
          <w:sz w:val="28"/>
          <w:rtl/>
        </w:rPr>
        <w:t>حث</w:t>
      </w:r>
      <w:r w:rsidR="00953581" w:rsidRPr="003F3B94">
        <w:rPr>
          <w:rFonts w:ascii="Abo-thar" w:hAnsi="Abo-thar" w:hint="cs"/>
          <w:sz w:val="28"/>
          <w:rtl/>
        </w:rPr>
        <w:t xml:space="preserve"> </w:t>
      </w:r>
      <w:r w:rsidRPr="003F3B94">
        <w:rPr>
          <w:rFonts w:ascii="Abo-thar" w:hAnsi="Abo-thar" w:hint="cs"/>
          <w:sz w:val="28"/>
          <w:rtl/>
        </w:rPr>
        <w:t>قام</w:t>
      </w:r>
      <w:r w:rsidR="00953581" w:rsidRPr="003F3B94">
        <w:rPr>
          <w:rFonts w:ascii="Abo-thar" w:hAnsi="Abo-thar" w:hint="cs"/>
          <w:sz w:val="28"/>
          <w:rtl/>
        </w:rPr>
        <w:t xml:space="preserve"> </w:t>
      </w:r>
      <w:r w:rsidRPr="003F3B94">
        <w:rPr>
          <w:rFonts w:ascii="Abo-thar" w:hAnsi="Abo-thar" w:hint="cs"/>
          <w:sz w:val="28"/>
          <w:rtl/>
        </w:rPr>
        <w:t>مؤلفه</w:t>
      </w:r>
      <w:r w:rsidR="00953581" w:rsidRPr="003F3B94">
        <w:rPr>
          <w:rFonts w:ascii="Abo-thar" w:hAnsi="Abo-thar" w:hint="cs"/>
          <w:sz w:val="28"/>
          <w:rtl/>
        </w:rPr>
        <w:t xml:space="preserve"> </w:t>
      </w:r>
      <w:r w:rsidRPr="003F3B94">
        <w:rPr>
          <w:rFonts w:ascii="Abo-thar" w:hAnsi="Abo-thar" w:hint="cs"/>
          <w:sz w:val="28"/>
          <w:rtl/>
        </w:rPr>
        <w:t>الأستاذ</w:t>
      </w:r>
      <w:r w:rsidR="00953581" w:rsidRPr="003F3B94">
        <w:rPr>
          <w:rFonts w:ascii="Abo-thar" w:hAnsi="Abo-thar" w:hint="cs"/>
          <w:sz w:val="28"/>
          <w:rtl/>
        </w:rPr>
        <w:t xml:space="preserve"> </w:t>
      </w:r>
      <w:r w:rsidRPr="003F3B94">
        <w:rPr>
          <w:rFonts w:ascii="Abo-thar" w:hAnsi="Abo-thar" w:hint="cs"/>
          <w:sz w:val="28"/>
          <w:rtl/>
        </w:rPr>
        <w:t>الفاضل</w:t>
      </w:r>
      <w:r w:rsidR="00953581" w:rsidRPr="003F3B94">
        <w:rPr>
          <w:rFonts w:ascii="Abo-thar" w:hAnsi="Abo-thar" w:hint="cs"/>
          <w:sz w:val="28"/>
          <w:rtl/>
        </w:rPr>
        <w:t xml:space="preserve"> </w:t>
      </w:r>
      <w:r w:rsidRPr="003F3B94">
        <w:rPr>
          <w:rFonts w:ascii="Abo-thar" w:hAnsi="Abo-thar" w:hint="cs"/>
          <w:sz w:val="28"/>
          <w:rtl/>
        </w:rPr>
        <w:t>المرحوم</w:t>
      </w:r>
      <w:r w:rsidR="00953581" w:rsidRPr="003F3B94">
        <w:rPr>
          <w:rFonts w:ascii="Abo-thar" w:hAnsi="Abo-thar" w:hint="cs"/>
          <w:sz w:val="28"/>
          <w:rtl/>
        </w:rPr>
        <w:t xml:space="preserve"> </w:t>
      </w:r>
      <w:r w:rsidRPr="003F3B94">
        <w:rPr>
          <w:rFonts w:ascii="Lotus Linotype" w:hAnsi="Lotus Linotype"/>
          <w:sz w:val="28"/>
          <w:rtl/>
        </w:rPr>
        <w:t>«</w:t>
      </w:r>
      <w:r w:rsidRPr="003F3B94">
        <w:rPr>
          <w:rFonts w:ascii="Lotus Linotype" w:hAnsi="Lotus Linotype" w:hint="cs"/>
          <w:sz w:val="28"/>
          <w:rtl/>
        </w:rPr>
        <w:t>حيدر</w:t>
      </w:r>
      <w:r w:rsidR="00953581" w:rsidRPr="003F3B94">
        <w:rPr>
          <w:rFonts w:ascii="Lotus Linotype" w:hAnsi="Lotus Linotype" w:hint="cs"/>
          <w:sz w:val="28"/>
          <w:rtl/>
        </w:rPr>
        <w:t xml:space="preserve"> </w:t>
      </w:r>
      <w:r w:rsidRPr="003F3B94">
        <w:rPr>
          <w:rFonts w:ascii="Lotus Linotype" w:hAnsi="Lotus Linotype" w:hint="cs"/>
          <w:sz w:val="28"/>
          <w:rtl/>
        </w:rPr>
        <w:t>علي</w:t>
      </w:r>
      <w:r w:rsidR="00953581" w:rsidRPr="003F3B94">
        <w:rPr>
          <w:rFonts w:ascii="Lotus Linotype" w:hAnsi="Lotus Linotype" w:hint="cs"/>
          <w:sz w:val="28"/>
          <w:rtl/>
        </w:rPr>
        <w:t xml:space="preserve"> </w:t>
      </w:r>
      <w:r w:rsidRPr="003F3B94">
        <w:rPr>
          <w:rFonts w:ascii="Lotus Linotype" w:hAnsi="Lotus Linotype" w:hint="cs"/>
          <w:sz w:val="28"/>
          <w:rtl/>
        </w:rPr>
        <w:t>قلمداران</w:t>
      </w:r>
      <w:r w:rsidRPr="003F3B94">
        <w:rPr>
          <w:rFonts w:ascii="Lotus Linotype" w:hAnsi="Lotus Linotype"/>
          <w:sz w:val="28"/>
          <w:rtl/>
        </w:rPr>
        <w:t>»</w:t>
      </w:r>
      <w:r w:rsidR="00953581" w:rsidRPr="003F3B94">
        <w:rPr>
          <w:rFonts w:ascii="Lotus Linotype" w:hAnsi="Lotus Linotype" w:hint="cs"/>
          <w:sz w:val="28"/>
          <w:rtl/>
        </w:rPr>
        <w:t xml:space="preserve"> </w:t>
      </w:r>
      <w:r w:rsidRPr="003F3B94">
        <w:rPr>
          <w:rFonts w:ascii="Lotus Linotype" w:hAnsi="Lotus Linotype" w:hint="cs"/>
          <w:sz w:val="28"/>
          <w:rtl/>
        </w:rPr>
        <w:t>القمّي</w:t>
      </w:r>
      <w:r w:rsidR="00953581" w:rsidRPr="003F3B94">
        <w:rPr>
          <w:rFonts w:ascii="Lotus Linotype" w:hAnsi="Lotus Linotype" w:hint="cs"/>
          <w:sz w:val="28"/>
          <w:rtl/>
        </w:rPr>
        <w:t xml:space="preserve"> </w:t>
      </w:r>
      <w:r w:rsidR="005C53D5" w:rsidRPr="003F3B94">
        <w:rPr>
          <w:rFonts w:ascii="Lotus Linotype" w:hAnsi="Lotus Linotype" w:hint="cs"/>
          <w:sz w:val="28"/>
          <w:rtl/>
        </w:rPr>
        <w:t>(</w:t>
      </w:r>
      <w:r w:rsidRPr="003F3B94">
        <w:rPr>
          <w:rFonts w:ascii="Lotus Linotype" w:hAnsi="Lotus Linotype" w:hint="cs"/>
          <w:sz w:val="28"/>
          <w:rtl/>
        </w:rPr>
        <w:t>1411هـ</w:t>
      </w:r>
      <w:r w:rsidR="005C53D5" w:rsidRPr="003F3B94">
        <w:rPr>
          <w:rFonts w:ascii="Lotus Linotype" w:hAnsi="Lotus Linotype" w:hint="cs"/>
          <w:sz w:val="28"/>
          <w:rtl/>
        </w:rPr>
        <w:t>)</w:t>
      </w:r>
      <w:r w:rsidR="00953581" w:rsidRPr="003F3B94">
        <w:rPr>
          <w:rFonts w:ascii="Lotus Linotype" w:hAnsi="Lotus Linotype" w:hint="cs"/>
          <w:sz w:val="28"/>
          <w:rtl/>
        </w:rPr>
        <w:t xml:space="preserve"> </w:t>
      </w:r>
      <w:r w:rsidRPr="003F3B94">
        <w:rPr>
          <w:rFonts w:ascii="Lotus Linotype" w:hAnsi="Lotus Linotype" w:hint="cs"/>
          <w:sz w:val="28"/>
          <w:rtl/>
        </w:rPr>
        <w:t>المعروف</w:t>
      </w:r>
      <w:r w:rsidR="00953581" w:rsidRPr="003F3B94">
        <w:rPr>
          <w:rFonts w:ascii="Lotus Linotype" w:hAnsi="Lotus Linotype" w:hint="cs"/>
          <w:sz w:val="28"/>
          <w:rtl/>
        </w:rPr>
        <w:t xml:space="preserve"> </w:t>
      </w:r>
      <w:r w:rsidRPr="003F3B94">
        <w:rPr>
          <w:rFonts w:ascii="Lotus Linotype" w:hAnsi="Lotus Linotype" w:hint="cs"/>
          <w:sz w:val="28"/>
          <w:rtl/>
        </w:rPr>
        <w:t>بأفكاره</w:t>
      </w:r>
      <w:r w:rsidR="00953581" w:rsidRPr="003F3B94">
        <w:rPr>
          <w:rFonts w:ascii="Lotus Linotype" w:hAnsi="Lotus Linotype" w:hint="cs"/>
          <w:sz w:val="28"/>
          <w:rtl/>
        </w:rPr>
        <w:t xml:space="preserve"> </w:t>
      </w:r>
      <w:r w:rsidRPr="003F3B94">
        <w:rPr>
          <w:rFonts w:ascii="Lotus Linotype" w:hAnsi="Lotus Linotype" w:hint="cs"/>
          <w:sz w:val="28"/>
          <w:rtl/>
        </w:rPr>
        <w:t>التصحيحية</w:t>
      </w:r>
      <w:r w:rsidR="00953581" w:rsidRPr="003F3B94">
        <w:rPr>
          <w:rFonts w:ascii="Lotus Linotype" w:hAnsi="Lotus Linotype" w:hint="cs"/>
          <w:sz w:val="28"/>
          <w:rtl/>
        </w:rPr>
        <w:t xml:space="preserve"> </w:t>
      </w:r>
      <w:r w:rsidRPr="003F3B94">
        <w:rPr>
          <w:rFonts w:ascii="Lotus Linotype" w:hAnsi="Lotus Linotype" w:hint="cs"/>
          <w:sz w:val="28"/>
          <w:rtl/>
        </w:rPr>
        <w:t>الإصلاحية</w:t>
      </w:r>
      <w:r w:rsidR="00953581" w:rsidRPr="003F3B94">
        <w:rPr>
          <w:rFonts w:ascii="Lotus Linotype" w:hAnsi="Lotus Linotype" w:hint="cs"/>
          <w:sz w:val="28"/>
          <w:rtl/>
        </w:rPr>
        <w:t xml:space="preserve"> </w:t>
      </w:r>
      <w:r w:rsidRPr="003F3B94">
        <w:rPr>
          <w:rFonts w:ascii="Lotus Linotype" w:hAnsi="Lotus Linotype" w:hint="cs"/>
          <w:sz w:val="28"/>
          <w:rtl/>
        </w:rPr>
        <w:t>ونقده</w:t>
      </w:r>
      <w:r w:rsidR="00953581" w:rsidRPr="003F3B94">
        <w:rPr>
          <w:rFonts w:ascii="Lotus Linotype" w:hAnsi="Lotus Linotype" w:hint="cs"/>
          <w:sz w:val="28"/>
          <w:rtl/>
        </w:rPr>
        <w:t xml:space="preserve"> </w:t>
      </w:r>
      <w:r w:rsidRPr="003F3B94">
        <w:rPr>
          <w:rFonts w:ascii="Lotus Linotype" w:hAnsi="Lotus Linotype" w:hint="cs"/>
          <w:sz w:val="28"/>
          <w:rtl/>
        </w:rPr>
        <w:t>الذاتي</w:t>
      </w:r>
      <w:r w:rsidR="00953581" w:rsidRPr="003F3B94">
        <w:rPr>
          <w:rFonts w:ascii="Lotus Linotype" w:hAnsi="Lotus Linotype" w:hint="cs"/>
          <w:sz w:val="28"/>
          <w:rtl/>
        </w:rPr>
        <w:t xml:space="preserve"> </w:t>
      </w:r>
      <w:r w:rsidRPr="003F3B94">
        <w:rPr>
          <w:rFonts w:ascii="Lotus Linotype" w:hAnsi="Lotus Linotype" w:hint="cs"/>
          <w:sz w:val="28"/>
          <w:rtl/>
        </w:rPr>
        <w:t>الجريء</w:t>
      </w:r>
      <w:r w:rsidR="00953581" w:rsidRPr="003F3B94">
        <w:rPr>
          <w:rFonts w:ascii="Lotus Linotype" w:hAnsi="Lotus Linotype" w:hint="cs"/>
          <w:sz w:val="28"/>
          <w:rtl/>
        </w:rPr>
        <w:t xml:space="preserve"> </w:t>
      </w:r>
      <w:r w:rsidRPr="003F3B94">
        <w:rPr>
          <w:rFonts w:ascii="Lotus Linotype" w:hAnsi="Lotus Linotype" w:hint="cs"/>
          <w:sz w:val="28"/>
          <w:rtl/>
        </w:rPr>
        <w:t>والمخلص</w:t>
      </w:r>
      <w:r w:rsidR="00953581" w:rsidRPr="003F3B94">
        <w:rPr>
          <w:rFonts w:ascii="Lotus Linotype" w:hAnsi="Lotus Linotype" w:hint="cs"/>
          <w:sz w:val="28"/>
          <w:rtl/>
        </w:rPr>
        <w:t xml:space="preserve"> </w:t>
      </w:r>
      <w:r w:rsidRPr="003F3B94">
        <w:rPr>
          <w:rFonts w:ascii="Lotus Linotype" w:hAnsi="Lotus Linotype" w:hint="cs"/>
          <w:sz w:val="28"/>
          <w:rtl/>
        </w:rPr>
        <w:t>لكل</w:t>
      </w:r>
      <w:r w:rsidR="00953581" w:rsidRPr="003F3B94">
        <w:rPr>
          <w:rFonts w:ascii="Lotus Linotype" w:hAnsi="Lotus Linotype" w:hint="cs"/>
          <w:sz w:val="28"/>
          <w:rtl/>
        </w:rPr>
        <w:t xml:space="preserve"> </w:t>
      </w:r>
      <w:r w:rsidRPr="003F3B94">
        <w:rPr>
          <w:rFonts w:ascii="Lotus Linotype" w:hAnsi="Lotus Linotype" w:hint="cs"/>
          <w:sz w:val="28"/>
          <w:rtl/>
        </w:rPr>
        <w:t>ما</w:t>
      </w:r>
      <w:r w:rsidR="00953581" w:rsidRPr="003F3B94">
        <w:rPr>
          <w:rFonts w:ascii="Lotus Linotype" w:hAnsi="Lotus Linotype" w:hint="cs"/>
          <w:sz w:val="28"/>
          <w:rtl/>
        </w:rPr>
        <w:t xml:space="preserve"> </w:t>
      </w:r>
      <w:r w:rsidRPr="003F3B94">
        <w:rPr>
          <w:rFonts w:ascii="Lotus Linotype" w:hAnsi="Lotus Linotype" w:hint="cs"/>
          <w:sz w:val="28"/>
          <w:rtl/>
        </w:rPr>
        <w:t>يراه</w:t>
      </w:r>
      <w:r w:rsidR="00953581" w:rsidRPr="003F3B94">
        <w:rPr>
          <w:rFonts w:ascii="Lotus Linotype" w:hAnsi="Lotus Linotype" w:hint="cs"/>
          <w:sz w:val="28"/>
          <w:rtl/>
        </w:rPr>
        <w:t xml:space="preserve"> </w:t>
      </w:r>
      <w:r w:rsidRPr="003F3B94">
        <w:rPr>
          <w:rFonts w:ascii="Lotus Linotype" w:hAnsi="Lotus Linotype" w:hint="cs"/>
          <w:sz w:val="28"/>
          <w:rtl/>
        </w:rPr>
        <w:t>من</w:t>
      </w:r>
      <w:r w:rsidR="00953581" w:rsidRPr="003F3B94">
        <w:rPr>
          <w:rFonts w:ascii="Lotus Linotype" w:hAnsi="Lotus Linotype" w:hint="cs"/>
          <w:sz w:val="28"/>
          <w:rtl/>
        </w:rPr>
        <w:t xml:space="preserve"> </w:t>
      </w:r>
      <w:r w:rsidRPr="003F3B94">
        <w:rPr>
          <w:rFonts w:ascii="Lotus Linotype" w:hAnsi="Lotus Linotype" w:hint="cs"/>
          <w:sz w:val="28"/>
          <w:rtl/>
        </w:rPr>
        <w:t>أخطاء</w:t>
      </w:r>
      <w:r w:rsidR="00953581" w:rsidRPr="003F3B94">
        <w:rPr>
          <w:rFonts w:ascii="Lotus Linotype" w:hAnsi="Lotus Linotype" w:hint="cs"/>
          <w:sz w:val="28"/>
          <w:rtl/>
        </w:rPr>
        <w:t xml:space="preserve"> </w:t>
      </w:r>
      <w:r w:rsidRPr="003F3B94">
        <w:rPr>
          <w:rFonts w:ascii="Lotus Linotype" w:hAnsi="Lotus Linotype" w:hint="cs"/>
          <w:sz w:val="28"/>
          <w:rtl/>
        </w:rPr>
        <w:t>أو</w:t>
      </w:r>
      <w:r w:rsidR="00953581" w:rsidRPr="003F3B94">
        <w:rPr>
          <w:rFonts w:ascii="Lotus Linotype" w:hAnsi="Lotus Linotype" w:hint="cs"/>
          <w:sz w:val="28"/>
          <w:rtl/>
        </w:rPr>
        <w:t xml:space="preserve"> </w:t>
      </w:r>
      <w:r w:rsidRPr="003F3B94">
        <w:rPr>
          <w:rFonts w:ascii="Lotus Linotype" w:hAnsi="Lotus Linotype" w:hint="cs"/>
          <w:sz w:val="28"/>
          <w:rtl/>
        </w:rPr>
        <w:t>بدع</w:t>
      </w:r>
      <w:r w:rsidR="00953581" w:rsidRPr="003F3B94">
        <w:rPr>
          <w:rFonts w:ascii="Lotus Linotype" w:hAnsi="Lotus Linotype" w:hint="cs"/>
          <w:sz w:val="28"/>
          <w:rtl/>
        </w:rPr>
        <w:t xml:space="preserve"> </w:t>
      </w:r>
      <w:r w:rsidRPr="003F3B94">
        <w:rPr>
          <w:rFonts w:ascii="Lotus Linotype" w:hAnsi="Lotus Linotype" w:hint="cs"/>
          <w:sz w:val="28"/>
          <w:rtl/>
        </w:rPr>
        <w:t>أو</w:t>
      </w:r>
      <w:r w:rsidR="00953581" w:rsidRPr="003F3B94">
        <w:rPr>
          <w:rFonts w:ascii="Lotus Linotype" w:hAnsi="Lotus Linotype" w:hint="cs"/>
          <w:sz w:val="28"/>
          <w:rtl/>
        </w:rPr>
        <w:t xml:space="preserve"> </w:t>
      </w:r>
      <w:r w:rsidRPr="003F3B94">
        <w:rPr>
          <w:rFonts w:ascii="Lotus Linotype" w:hAnsi="Lotus Linotype" w:hint="cs"/>
          <w:sz w:val="28"/>
          <w:rtl/>
        </w:rPr>
        <w:t>انحرافات</w:t>
      </w:r>
      <w:r w:rsidR="00953581" w:rsidRPr="003F3B94">
        <w:rPr>
          <w:rFonts w:ascii="Lotus Linotype" w:hAnsi="Lotus Linotype" w:hint="cs"/>
          <w:sz w:val="28"/>
          <w:rtl/>
        </w:rPr>
        <w:t xml:space="preserve"> </w:t>
      </w:r>
      <w:r w:rsidRPr="003F3B94">
        <w:rPr>
          <w:rFonts w:ascii="Lotus Linotype" w:hAnsi="Lotus Linotype" w:hint="cs"/>
          <w:sz w:val="28"/>
          <w:rtl/>
        </w:rPr>
        <w:t>لدى</w:t>
      </w:r>
      <w:r w:rsidR="00953581" w:rsidRPr="003F3B94">
        <w:rPr>
          <w:rFonts w:ascii="Lotus Linotype" w:hAnsi="Lotus Linotype" w:hint="cs"/>
          <w:sz w:val="28"/>
          <w:rtl/>
        </w:rPr>
        <w:t xml:space="preserve"> </w:t>
      </w:r>
      <w:r w:rsidR="000D40CA" w:rsidRPr="003F3B94">
        <w:rPr>
          <w:rFonts w:ascii="Lotus Linotype" w:hAnsi="Lotus Linotype" w:hint="cs"/>
          <w:sz w:val="28"/>
          <w:rtl/>
        </w:rPr>
        <w:t>المسلمين</w:t>
      </w:r>
      <w:r w:rsidR="00953581" w:rsidRPr="003F3B94">
        <w:rPr>
          <w:rFonts w:ascii="Lotus Linotype" w:hAnsi="Lotus Linotype" w:hint="cs"/>
          <w:sz w:val="28"/>
          <w:rtl/>
        </w:rPr>
        <w:t xml:space="preserve"> </w:t>
      </w:r>
      <w:r w:rsidR="000D40CA" w:rsidRPr="003F3B94">
        <w:rPr>
          <w:rFonts w:ascii="Lotus Linotype" w:hAnsi="Lotus Linotype" w:hint="cs"/>
          <w:sz w:val="28"/>
          <w:rtl/>
        </w:rPr>
        <w:t>في</w:t>
      </w:r>
      <w:r w:rsidR="00953581" w:rsidRPr="003F3B94">
        <w:rPr>
          <w:rFonts w:ascii="Lotus Linotype" w:hAnsi="Lotus Linotype" w:hint="cs"/>
          <w:sz w:val="28"/>
          <w:rtl/>
        </w:rPr>
        <w:t xml:space="preserve"> </w:t>
      </w:r>
      <w:r w:rsidR="000D40CA" w:rsidRPr="003F3B94">
        <w:rPr>
          <w:rFonts w:ascii="Lotus Linotype" w:hAnsi="Lotus Linotype" w:hint="cs"/>
          <w:sz w:val="28"/>
          <w:rtl/>
        </w:rPr>
        <w:t>بلاده</w:t>
      </w:r>
      <w:r w:rsidR="00953581" w:rsidRPr="003F3B94">
        <w:rPr>
          <w:rFonts w:ascii="Lotus Linotype" w:hAnsi="Lotus Linotype" w:hint="cs"/>
          <w:sz w:val="28"/>
          <w:rtl/>
        </w:rPr>
        <w:t xml:space="preserve"> </w:t>
      </w:r>
      <w:r w:rsidRPr="003F3B94">
        <w:rPr>
          <w:rFonts w:ascii="Abo-thar" w:hAnsi="Abo-thar" w:hint="cs"/>
          <w:sz w:val="28"/>
          <w:rtl/>
        </w:rPr>
        <w:t>في</w:t>
      </w:r>
      <w:r w:rsidR="00953581" w:rsidRPr="003F3B94">
        <w:rPr>
          <w:rFonts w:ascii="Abo-thar" w:hAnsi="Abo-thar" w:hint="cs"/>
          <w:sz w:val="28"/>
          <w:rtl/>
        </w:rPr>
        <w:t xml:space="preserve"> </w:t>
      </w:r>
      <w:r w:rsidRPr="003F3B94">
        <w:rPr>
          <w:rFonts w:ascii="Abo-thar" w:hAnsi="Abo-thar" w:hint="cs"/>
          <w:sz w:val="28"/>
          <w:rtl/>
        </w:rPr>
        <w:t>العقائد</w:t>
      </w:r>
      <w:r w:rsidR="00953581" w:rsidRPr="003F3B94">
        <w:rPr>
          <w:rFonts w:ascii="Abo-thar" w:hAnsi="Abo-thar" w:hint="cs"/>
          <w:sz w:val="28"/>
          <w:rtl/>
        </w:rPr>
        <w:t xml:space="preserve"> </w:t>
      </w:r>
      <w:r w:rsidRPr="003F3B94">
        <w:rPr>
          <w:rFonts w:ascii="Abo-thar" w:hAnsi="Abo-thar" w:hint="cs"/>
          <w:sz w:val="28"/>
          <w:rtl/>
        </w:rPr>
        <w:t>أو</w:t>
      </w:r>
      <w:r w:rsidR="00953581" w:rsidRPr="003F3B94">
        <w:rPr>
          <w:rFonts w:ascii="Abo-thar" w:hAnsi="Abo-thar" w:hint="cs"/>
          <w:sz w:val="28"/>
          <w:rtl/>
        </w:rPr>
        <w:t xml:space="preserve"> </w:t>
      </w:r>
      <w:r w:rsidRPr="003F3B94">
        <w:rPr>
          <w:rFonts w:ascii="Abo-thar" w:hAnsi="Abo-thar" w:hint="cs"/>
          <w:sz w:val="28"/>
          <w:rtl/>
        </w:rPr>
        <w:t>الفقه</w:t>
      </w:r>
      <w:r w:rsidR="005C53D5" w:rsidRPr="003F3B94">
        <w:rPr>
          <w:rFonts w:ascii="Abo-thar" w:hAnsi="Abo-thar" w:hint="cs"/>
          <w:sz w:val="28"/>
          <w:rtl/>
        </w:rPr>
        <w:t>،</w:t>
      </w:r>
      <w:r w:rsidR="00953581" w:rsidRPr="003F3B94">
        <w:rPr>
          <w:rFonts w:ascii="Abo-thar" w:hAnsi="Abo-thar" w:hint="cs"/>
          <w:sz w:val="28"/>
          <w:rtl/>
        </w:rPr>
        <w:t xml:space="preserve"> </w:t>
      </w:r>
      <w:r w:rsidRPr="003F3B94">
        <w:rPr>
          <w:rFonts w:ascii="Abo-thar" w:hAnsi="Abo-thar" w:hint="cs"/>
          <w:sz w:val="28"/>
          <w:rtl/>
        </w:rPr>
        <w:t>ببحث</w:t>
      </w:r>
      <w:r w:rsidR="00953581" w:rsidRPr="003F3B94">
        <w:rPr>
          <w:rFonts w:ascii="Abo-thar" w:hAnsi="Abo-thar" w:hint="cs"/>
          <w:sz w:val="28"/>
          <w:rtl/>
        </w:rPr>
        <w:t xml:space="preserve"> </w:t>
      </w:r>
      <w:r w:rsidRPr="003F3B94">
        <w:rPr>
          <w:rFonts w:ascii="Abo-thar" w:hAnsi="Abo-thar" w:hint="cs"/>
          <w:sz w:val="28"/>
          <w:rtl/>
        </w:rPr>
        <w:t>هذا</w:t>
      </w:r>
      <w:r w:rsidR="00953581" w:rsidRPr="003F3B94">
        <w:rPr>
          <w:rFonts w:ascii="Abo-thar" w:hAnsi="Abo-thar" w:hint="cs"/>
          <w:sz w:val="28"/>
          <w:rtl/>
        </w:rPr>
        <w:t xml:space="preserve"> </w:t>
      </w:r>
      <w:r w:rsidRPr="003F3B94">
        <w:rPr>
          <w:rFonts w:ascii="Abo-thar" w:hAnsi="Abo-thar" w:hint="cs"/>
          <w:sz w:val="28"/>
          <w:rtl/>
        </w:rPr>
        <w:t>الموضوع</w:t>
      </w:r>
      <w:r w:rsidR="00953581" w:rsidRPr="003F3B94">
        <w:rPr>
          <w:rFonts w:ascii="Abo-thar" w:hAnsi="Abo-thar" w:hint="cs"/>
          <w:sz w:val="28"/>
          <w:rtl/>
        </w:rPr>
        <w:t xml:space="preserve"> </w:t>
      </w:r>
      <w:r w:rsidRPr="003F3B94">
        <w:rPr>
          <w:rFonts w:ascii="Abo-thar" w:hAnsi="Abo-thar" w:hint="cs"/>
          <w:sz w:val="28"/>
          <w:rtl/>
        </w:rPr>
        <w:t>بحثاً</w:t>
      </w:r>
      <w:r w:rsidR="00953581" w:rsidRPr="003F3B94">
        <w:rPr>
          <w:rFonts w:ascii="Abo-thar" w:hAnsi="Abo-thar" w:hint="cs"/>
          <w:sz w:val="28"/>
          <w:rtl/>
        </w:rPr>
        <w:t xml:space="preserve"> </w:t>
      </w:r>
      <w:r w:rsidRPr="003F3B94">
        <w:rPr>
          <w:rFonts w:ascii="Abo-thar" w:hAnsi="Abo-thar" w:hint="cs"/>
          <w:sz w:val="28"/>
          <w:rtl/>
        </w:rPr>
        <w:t>شافياً</w:t>
      </w:r>
      <w:r w:rsidR="00953581" w:rsidRPr="003F3B94">
        <w:rPr>
          <w:rFonts w:ascii="Abo-thar" w:hAnsi="Abo-thar" w:hint="cs"/>
          <w:sz w:val="28"/>
          <w:rtl/>
        </w:rPr>
        <w:t xml:space="preserve"> </w:t>
      </w:r>
      <w:r w:rsidRPr="003F3B94">
        <w:rPr>
          <w:rFonts w:ascii="Lotus Linotype" w:hAnsi="Lotus Linotype" w:hint="cs"/>
          <w:sz w:val="28"/>
          <w:rtl/>
        </w:rPr>
        <w:t>وهو</w:t>
      </w:r>
      <w:r w:rsidR="00953581" w:rsidRPr="003F3B94">
        <w:rPr>
          <w:rFonts w:ascii="Lotus Linotype" w:hAnsi="Lotus Linotype" w:hint="cs"/>
          <w:sz w:val="28"/>
          <w:rtl/>
        </w:rPr>
        <w:t xml:space="preserve"> </w:t>
      </w:r>
      <w:r w:rsidRPr="003F3B94">
        <w:rPr>
          <w:rFonts w:ascii="Lotus Linotype" w:hAnsi="Lotus Linotype" w:hint="cs"/>
          <w:sz w:val="28"/>
          <w:rtl/>
        </w:rPr>
        <w:t>فيما</w:t>
      </w:r>
      <w:r w:rsidR="00953581" w:rsidRPr="003F3B94">
        <w:rPr>
          <w:rFonts w:ascii="Lotus Linotype" w:hAnsi="Lotus Linotype" w:hint="cs"/>
          <w:sz w:val="28"/>
          <w:rtl/>
        </w:rPr>
        <w:t xml:space="preserve"> </w:t>
      </w:r>
      <w:r w:rsidRPr="003F3B94">
        <w:rPr>
          <w:rFonts w:ascii="Lotus Linotype" w:hAnsi="Lotus Linotype" w:hint="cs"/>
          <w:sz w:val="28"/>
          <w:rtl/>
        </w:rPr>
        <w:t>أعلم</w:t>
      </w:r>
      <w:r w:rsidR="00953581" w:rsidRPr="003F3B94">
        <w:rPr>
          <w:rFonts w:ascii="Lotus Linotype" w:hAnsi="Lotus Linotype" w:hint="cs"/>
          <w:sz w:val="28"/>
          <w:rtl/>
        </w:rPr>
        <w:t xml:space="preserve"> </w:t>
      </w:r>
      <w:r w:rsidRPr="003F3B94">
        <w:rPr>
          <w:rFonts w:ascii="Lotus Linotype" w:hAnsi="Lotus Linotype" w:hint="cs"/>
          <w:sz w:val="28"/>
          <w:rtl/>
        </w:rPr>
        <w:t>أول</w:t>
      </w:r>
      <w:r w:rsidR="00953581" w:rsidRPr="003F3B94">
        <w:rPr>
          <w:rFonts w:ascii="Lotus Linotype" w:hAnsi="Lotus Linotype" w:hint="cs"/>
          <w:sz w:val="28"/>
          <w:rtl/>
        </w:rPr>
        <w:t xml:space="preserve"> </w:t>
      </w:r>
      <w:r w:rsidRPr="003F3B94">
        <w:rPr>
          <w:rFonts w:ascii="Lotus Linotype" w:hAnsi="Lotus Linotype" w:hint="cs"/>
          <w:sz w:val="28"/>
          <w:rtl/>
        </w:rPr>
        <w:t>من</w:t>
      </w:r>
      <w:r w:rsidR="00953581" w:rsidRPr="003F3B94">
        <w:rPr>
          <w:rFonts w:ascii="Lotus Linotype" w:hAnsi="Lotus Linotype" w:hint="cs"/>
          <w:sz w:val="28"/>
          <w:rtl/>
        </w:rPr>
        <w:t xml:space="preserve"> </w:t>
      </w:r>
      <w:r w:rsidRPr="003F3B94">
        <w:rPr>
          <w:rFonts w:ascii="Lotus Linotype" w:hAnsi="Lotus Linotype" w:hint="cs"/>
          <w:sz w:val="28"/>
          <w:rtl/>
        </w:rPr>
        <w:t>بحث</w:t>
      </w:r>
      <w:r w:rsidR="00953581" w:rsidRPr="003F3B94">
        <w:rPr>
          <w:rFonts w:ascii="Lotus Linotype" w:hAnsi="Lotus Linotype" w:hint="cs"/>
          <w:sz w:val="28"/>
          <w:rtl/>
        </w:rPr>
        <w:t xml:space="preserve"> </w:t>
      </w:r>
      <w:r w:rsidRPr="003F3B94">
        <w:rPr>
          <w:rFonts w:ascii="Lotus Linotype" w:hAnsi="Lotus Linotype" w:hint="cs"/>
          <w:sz w:val="28"/>
          <w:rtl/>
        </w:rPr>
        <w:t>هذا</w:t>
      </w:r>
      <w:r w:rsidR="00953581" w:rsidRPr="003F3B94">
        <w:rPr>
          <w:rFonts w:ascii="Lotus Linotype" w:hAnsi="Lotus Linotype" w:hint="cs"/>
          <w:sz w:val="28"/>
          <w:rtl/>
        </w:rPr>
        <w:t xml:space="preserve"> </w:t>
      </w:r>
      <w:r w:rsidRPr="003F3B94">
        <w:rPr>
          <w:rFonts w:ascii="Lotus Linotype" w:hAnsi="Lotus Linotype" w:hint="cs"/>
          <w:sz w:val="28"/>
          <w:rtl/>
        </w:rPr>
        <w:t>الموضوع</w:t>
      </w:r>
      <w:r w:rsidR="00953581" w:rsidRPr="003F3B94">
        <w:rPr>
          <w:rFonts w:ascii="Lotus Linotype" w:hAnsi="Lotus Linotype" w:hint="cs"/>
          <w:sz w:val="28"/>
          <w:rtl/>
        </w:rPr>
        <w:t xml:space="preserve"> </w:t>
      </w:r>
      <w:r w:rsidRPr="003F3B94">
        <w:rPr>
          <w:rFonts w:ascii="Lotus Linotype" w:hAnsi="Lotus Linotype" w:hint="cs"/>
          <w:sz w:val="28"/>
          <w:rtl/>
        </w:rPr>
        <w:t>بهذا</w:t>
      </w:r>
      <w:r w:rsidR="00953581" w:rsidRPr="003F3B94">
        <w:rPr>
          <w:rFonts w:ascii="Lotus Linotype" w:hAnsi="Lotus Linotype" w:hint="cs"/>
          <w:sz w:val="28"/>
          <w:rtl/>
        </w:rPr>
        <w:t xml:space="preserve"> </w:t>
      </w:r>
      <w:r w:rsidRPr="003F3B94">
        <w:rPr>
          <w:rFonts w:ascii="Lotus Linotype" w:hAnsi="Lotus Linotype" w:hint="cs"/>
          <w:sz w:val="28"/>
          <w:rtl/>
        </w:rPr>
        <w:t>الاتساع</w:t>
      </w:r>
      <w:r w:rsidR="00953581" w:rsidRPr="003F3B94">
        <w:rPr>
          <w:rFonts w:ascii="Lotus Linotype" w:hAnsi="Lotus Linotype" w:hint="cs"/>
          <w:sz w:val="28"/>
          <w:rtl/>
        </w:rPr>
        <w:t xml:space="preserve"> </w:t>
      </w:r>
      <w:r w:rsidRPr="003F3B94">
        <w:rPr>
          <w:rFonts w:ascii="Lotus Linotype" w:hAnsi="Lotus Linotype" w:hint="cs"/>
          <w:sz w:val="28"/>
          <w:rtl/>
        </w:rPr>
        <w:t>والتحليل</w:t>
      </w:r>
      <w:r w:rsidR="00953581" w:rsidRPr="003F3B94">
        <w:rPr>
          <w:rFonts w:ascii="Lotus Linotype" w:hAnsi="Lotus Linotype" w:hint="cs"/>
          <w:sz w:val="28"/>
          <w:rtl/>
        </w:rPr>
        <w:t xml:space="preserve"> </w:t>
      </w:r>
      <w:r w:rsidRPr="003F3B94">
        <w:rPr>
          <w:rFonts w:ascii="Lotus Linotype" w:hAnsi="Lotus Linotype" w:hint="cs"/>
          <w:sz w:val="28"/>
          <w:rtl/>
        </w:rPr>
        <w:t>الجذري</w:t>
      </w:r>
      <w:r w:rsidR="00953581" w:rsidRPr="003F3B94">
        <w:rPr>
          <w:rFonts w:ascii="Lotus Linotype" w:hAnsi="Lotus Linotype" w:hint="cs"/>
          <w:sz w:val="28"/>
          <w:rtl/>
        </w:rPr>
        <w:t xml:space="preserve"> </w:t>
      </w:r>
      <w:r w:rsidRPr="003F3B94">
        <w:rPr>
          <w:rFonts w:ascii="Lotus Linotype" w:hAnsi="Lotus Linotype" w:hint="cs"/>
          <w:sz w:val="28"/>
          <w:rtl/>
        </w:rPr>
        <w:t>للمسألة</w:t>
      </w:r>
      <w:r w:rsidR="00953581" w:rsidRPr="003F3B94">
        <w:rPr>
          <w:rFonts w:ascii="Lotus Linotype" w:hAnsi="Lotus Linotype" w:hint="cs"/>
          <w:sz w:val="28"/>
          <w:rtl/>
        </w:rPr>
        <w:t xml:space="preserve"> </w:t>
      </w:r>
      <w:r w:rsidRPr="003F3B94">
        <w:rPr>
          <w:rFonts w:ascii="Lotus Linotype" w:hAnsi="Lotus Linotype" w:hint="cs"/>
          <w:sz w:val="28"/>
          <w:rtl/>
        </w:rPr>
        <w:t>وبذل</w:t>
      </w:r>
      <w:r w:rsidR="00953581" w:rsidRPr="003F3B94">
        <w:rPr>
          <w:rFonts w:ascii="Lotus Linotype" w:hAnsi="Lotus Linotype" w:hint="cs"/>
          <w:sz w:val="28"/>
          <w:rtl/>
        </w:rPr>
        <w:t xml:space="preserve"> </w:t>
      </w:r>
      <w:r w:rsidRPr="003F3B94">
        <w:rPr>
          <w:rFonts w:ascii="Lotus Linotype" w:hAnsi="Lotus Linotype" w:hint="cs"/>
          <w:sz w:val="28"/>
          <w:rtl/>
        </w:rPr>
        <w:t>جهداً</w:t>
      </w:r>
      <w:r w:rsidR="00953581" w:rsidRPr="003F3B94">
        <w:rPr>
          <w:rFonts w:ascii="Lotus Linotype" w:hAnsi="Lotus Linotype" w:hint="cs"/>
          <w:sz w:val="28"/>
          <w:rtl/>
        </w:rPr>
        <w:t xml:space="preserve"> </w:t>
      </w:r>
      <w:r w:rsidRPr="003F3B94">
        <w:rPr>
          <w:rFonts w:ascii="Lotus Linotype" w:hAnsi="Lotus Linotype" w:hint="cs"/>
          <w:sz w:val="28"/>
          <w:rtl/>
        </w:rPr>
        <w:t>مضنياً</w:t>
      </w:r>
      <w:r w:rsidR="00953581" w:rsidRPr="003F3B94">
        <w:rPr>
          <w:rFonts w:ascii="Lotus Linotype" w:hAnsi="Lotus Linotype" w:hint="cs"/>
          <w:sz w:val="28"/>
          <w:rtl/>
        </w:rPr>
        <w:t xml:space="preserve"> </w:t>
      </w:r>
      <w:r w:rsidRPr="003F3B94">
        <w:rPr>
          <w:rFonts w:ascii="Lotus Linotype" w:hAnsi="Lotus Linotype" w:hint="cs"/>
          <w:sz w:val="28"/>
          <w:rtl/>
        </w:rPr>
        <w:t>في</w:t>
      </w:r>
      <w:r w:rsidR="00953581" w:rsidRPr="003F3B94">
        <w:rPr>
          <w:rFonts w:ascii="Lotus Linotype" w:hAnsi="Lotus Linotype" w:hint="cs"/>
          <w:sz w:val="28"/>
          <w:rtl/>
        </w:rPr>
        <w:t xml:space="preserve"> </w:t>
      </w:r>
      <w:r w:rsidRPr="003F3B94">
        <w:rPr>
          <w:rFonts w:ascii="Lotus Linotype" w:hAnsi="Lotus Linotype" w:hint="cs"/>
          <w:sz w:val="28"/>
          <w:rtl/>
        </w:rPr>
        <w:t>تتبع</w:t>
      </w:r>
      <w:r w:rsidR="00953581" w:rsidRPr="003F3B94">
        <w:rPr>
          <w:rFonts w:ascii="Lotus Linotype" w:hAnsi="Lotus Linotype" w:hint="cs"/>
          <w:sz w:val="28"/>
          <w:rtl/>
        </w:rPr>
        <w:t xml:space="preserve"> </w:t>
      </w:r>
      <w:r w:rsidRPr="003F3B94">
        <w:rPr>
          <w:rFonts w:ascii="Lotus Linotype" w:hAnsi="Lotus Linotype" w:hint="cs"/>
          <w:sz w:val="28"/>
          <w:rtl/>
        </w:rPr>
        <w:t>أصلها</w:t>
      </w:r>
      <w:r w:rsidR="00953581" w:rsidRPr="003F3B94">
        <w:rPr>
          <w:rFonts w:ascii="Lotus Linotype" w:hAnsi="Lotus Linotype" w:hint="cs"/>
          <w:sz w:val="28"/>
          <w:rtl/>
        </w:rPr>
        <w:t xml:space="preserve"> </w:t>
      </w:r>
      <w:r w:rsidRPr="003F3B94">
        <w:rPr>
          <w:rFonts w:ascii="Lotus Linotype" w:hAnsi="Lotus Linotype" w:hint="cs"/>
          <w:sz w:val="28"/>
          <w:rtl/>
        </w:rPr>
        <w:t>وفي</w:t>
      </w:r>
      <w:r w:rsidR="00953581" w:rsidRPr="003F3B94">
        <w:rPr>
          <w:rFonts w:ascii="Lotus Linotype" w:hAnsi="Lotus Linotype" w:hint="cs"/>
          <w:sz w:val="28"/>
          <w:rtl/>
        </w:rPr>
        <w:t xml:space="preserve"> </w:t>
      </w:r>
      <w:r w:rsidRPr="003F3B94">
        <w:rPr>
          <w:rFonts w:ascii="Lotus Linotype" w:hAnsi="Lotus Linotype" w:hint="cs"/>
          <w:sz w:val="28"/>
          <w:rtl/>
        </w:rPr>
        <w:t>بيان</w:t>
      </w:r>
      <w:r w:rsidR="00953581" w:rsidRPr="003F3B94">
        <w:rPr>
          <w:rFonts w:ascii="Lotus Linotype" w:hAnsi="Lotus Linotype" w:hint="cs"/>
          <w:sz w:val="28"/>
          <w:rtl/>
        </w:rPr>
        <w:t xml:space="preserve"> </w:t>
      </w:r>
      <w:r w:rsidRPr="003F3B94">
        <w:rPr>
          <w:rFonts w:ascii="Lotus Linotype" w:hAnsi="Lotus Linotype" w:hint="cs"/>
          <w:sz w:val="28"/>
          <w:rtl/>
        </w:rPr>
        <w:t>الشواهد</w:t>
      </w:r>
      <w:r w:rsidR="00953581" w:rsidRPr="003F3B94">
        <w:rPr>
          <w:rFonts w:ascii="Lotus Linotype" w:hAnsi="Lotus Linotype" w:hint="cs"/>
          <w:sz w:val="28"/>
          <w:rtl/>
        </w:rPr>
        <w:t xml:space="preserve"> </w:t>
      </w:r>
      <w:r w:rsidRPr="003F3B94">
        <w:rPr>
          <w:rFonts w:ascii="Lotus Linotype" w:hAnsi="Lotus Linotype" w:hint="cs"/>
          <w:sz w:val="28"/>
          <w:rtl/>
        </w:rPr>
        <w:t>القرآنية</w:t>
      </w:r>
      <w:r w:rsidR="00953581" w:rsidRPr="003F3B94">
        <w:rPr>
          <w:rFonts w:ascii="Lotus Linotype" w:hAnsi="Lotus Linotype" w:hint="cs"/>
          <w:sz w:val="28"/>
          <w:rtl/>
        </w:rPr>
        <w:t xml:space="preserve"> </w:t>
      </w:r>
      <w:r w:rsidRPr="003F3B94">
        <w:rPr>
          <w:rFonts w:ascii="Lotus Linotype" w:hAnsi="Lotus Linotype" w:hint="cs"/>
          <w:sz w:val="28"/>
          <w:rtl/>
        </w:rPr>
        <w:t>والتاريخية</w:t>
      </w:r>
      <w:r w:rsidR="00953581" w:rsidRPr="003F3B94">
        <w:rPr>
          <w:rFonts w:ascii="Lotus Linotype" w:hAnsi="Lotus Linotype" w:hint="cs"/>
          <w:sz w:val="28"/>
          <w:rtl/>
        </w:rPr>
        <w:t xml:space="preserve"> </w:t>
      </w:r>
      <w:r w:rsidRPr="003F3B94">
        <w:rPr>
          <w:rFonts w:ascii="Lotus Linotype" w:hAnsi="Lotus Linotype" w:hint="cs"/>
          <w:sz w:val="28"/>
          <w:rtl/>
        </w:rPr>
        <w:t>على</w:t>
      </w:r>
      <w:r w:rsidR="00953581" w:rsidRPr="003F3B94">
        <w:rPr>
          <w:rFonts w:ascii="Lotus Linotype" w:hAnsi="Lotus Linotype" w:hint="cs"/>
          <w:sz w:val="28"/>
          <w:rtl/>
        </w:rPr>
        <w:t xml:space="preserve"> </w:t>
      </w:r>
      <w:r w:rsidRPr="003F3B94">
        <w:rPr>
          <w:rFonts w:ascii="Lotus Linotype" w:hAnsi="Lotus Linotype" w:hint="cs"/>
          <w:sz w:val="28"/>
          <w:rtl/>
        </w:rPr>
        <w:t>عدم</w:t>
      </w:r>
      <w:r w:rsidR="00953581" w:rsidRPr="003F3B94">
        <w:rPr>
          <w:rFonts w:ascii="Lotus Linotype" w:hAnsi="Lotus Linotype" w:hint="cs"/>
          <w:sz w:val="28"/>
          <w:rtl/>
        </w:rPr>
        <w:t xml:space="preserve"> </w:t>
      </w:r>
      <w:r w:rsidRPr="003F3B94">
        <w:rPr>
          <w:rFonts w:ascii="Lotus Linotype" w:hAnsi="Lotus Linotype" w:hint="cs"/>
          <w:sz w:val="28"/>
          <w:rtl/>
        </w:rPr>
        <w:t>وجود</w:t>
      </w:r>
      <w:r w:rsidR="00953581" w:rsidRPr="003F3B94">
        <w:rPr>
          <w:rFonts w:ascii="Lotus Linotype" w:hAnsi="Lotus Linotype" w:hint="cs"/>
          <w:sz w:val="28"/>
          <w:rtl/>
        </w:rPr>
        <w:t xml:space="preserve"> </w:t>
      </w:r>
      <w:r w:rsidRPr="003F3B94">
        <w:rPr>
          <w:rFonts w:ascii="Lotus Linotype" w:hAnsi="Lotus Linotype" w:hint="cs"/>
          <w:sz w:val="28"/>
          <w:rtl/>
        </w:rPr>
        <w:t>أثر</w:t>
      </w:r>
      <w:r w:rsidR="00953581" w:rsidRPr="003F3B94">
        <w:rPr>
          <w:rFonts w:ascii="Lotus Linotype" w:hAnsi="Lotus Linotype" w:hint="cs"/>
          <w:sz w:val="28"/>
          <w:rtl/>
        </w:rPr>
        <w:t xml:space="preserve"> </w:t>
      </w:r>
      <w:r w:rsidRPr="003F3B94">
        <w:rPr>
          <w:rFonts w:ascii="Lotus Linotype" w:hAnsi="Lotus Linotype" w:hint="cs"/>
          <w:sz w:val="28"/>
          <w:rtl/>
        </w:rPr>
        <w:t>لمثل</w:t>
      </w:r>
      <w:r w:rsidR="00953581" w:rsidRPr="003F3B94">
        <w:rPr>
          <w:rFonts w:ascii="Lotus Linotype" w:hAnsi="Lotus Linotype" w:hint="cs"/>
          <w:sz w:val="28"/>
          <w:rtl/>
        </w:rPr>
        <w:t xml:space="preserve"> </w:t>
      </w:r>
      <w:r w:rsidRPr="003F3B94">
        <w:rPr>
          <w:rFonts w:ascii="Lotus Linotype" w:hAnsi="Lotus Linotype" w:hint="cs"/>
          <w:sz w:val="28"/>
          <w:rtl/>
        </w:rPr>
        <w:t>هذا</w:t>
      </w:r>
      <w:r w:rsidR="00953581" w:rsidRPr="003F3B94">
        <w:rPr>
          <w:rFonts w:ascii="Lotus Linotype" w:hAnsi="Lotus Linotype" w:hint="cs"/>
          <w:sz w:val="28"/>
          <w:rtl/>
        </w:rPr>
        <w:t xml:space="preserve"> </w:t>
      </w:r>
      <w:r w:rsidRPr="003F3B94">
        <w:rPr>
          <w:rFonts w:ascii="Lotus Linotype" w:hAnsi="Lotus Linotype" w:hint="cs"/>
          <w:sz w:val="28"/>
          <w:rtl/>
        </w:rPr>
        <w:t>الأمر</w:t>
      </w:r>
      <w:r w:rsidR="00953581" w:rsidRPr="003F3B94">
        <w:rPr>
          <w:rFonts w:ascii="Lotus Linotype" w:hAnsi="Lotus Linotype" w:hint="cs"/>
          <w:sz w:val="28"/>
          <w:rtl/>
        </w:rPr>
        <w:t xml:space="preserve"> </w:t>
      </w:r>
      <w:r w:rsidRPr="003F3B94">
        <w:rPr>
          <w:rFonts w:ascii="Lotus Linotype" w:hAnsi="Lotus Linotype" w:hint="cs"/>
          <w:sz w:val="28"/>
          <w:rtl/>
        </w:rPr>
        <w:t>زمن</w:t>
      </w:r>
      <w:r w:rsidR="00953581" w:rsidRPr="003F3B94">
        <w:rPr>
          <w:rFonts w:ascii="Lotus Linotype" w:hAnsi="Lotus Linotype" w:hint="cs"/>
          <w:sz w:val="28"/>
          <w:rtl/>
        </w:rPr>
        <w:t xml:space="preserve"> </w:t>
      </w:r>
      <w:r w:rsidRPr="003F3B94">
        <w:rPr>
          <w:rFonts w:ascii="Lotus Linotype" w:hAnsi="Lotus Linotype" w:hint="cs"/>
          <w:sz w:val="28"/>
          <w:rtl/>
        </w:rPr>
        <w:t>النبي</w:t>
      </w:r>
      <w:r w:rsidR="00953581" w:rsidRPr="003F3B94">
        <w:rPr>
          <w:rFonts w:ascii="Lotus Linotype" w:hAnsi="Lotus Linotype" w:hint="cs"/>
          <w:sz w:val="28"/>
          <w:rtl/>
        </w:rPr>
        <w:t xml:space="preserve"> </w:t>
      </w:r>
      <w:r w:rsidR="003C7AEB" w:rsidRPr="003C7AEB">
        <w:rPr>
          <w:rFonts w:ascii="Abo-thar" w:hAnsi="Abo-thar" w:cs="CTraditional Arabic"/>
          <w:sz w:val="28"/>
          <w:rtl/>
        </w:rPr>
        <w:t>ص</w:t>
      </w:r>
      <w:r w:rsidR="00953581" w:rsidRPr="003F3B94">
        <w:rPr>
          <w:rFonts w:ascii="Abo-thar" w:hAnsi="Abo-thar"/>
          <w:sz w:val="28"/>
          <w:rtl/>
        </w:rPr>
        <w:t xml:space="preserve"> </w:t>
      </w:r>
      <w:r w:rsidRPr="003F3B94">
        <w:rPr>
          <w:rFonts w:ascii="Lotus Linotype" w:hAnsi="Lotus Linotype" w:hint="cs"/>
          <w:sz w:val="28"/>
          <w:rtl/>
        </w:rPr>
        <w:t>وخلفائه</w:t>
      </w:r>
      <w:r w:rsidR="00953581" w:rsidRPr="003F3B94">
        <w:rPr>
          <w:rFonts w:ascii="Lotus Linotype" w:hAnsi="Lotus Linotype" w:hint="cs"/>
          <w:sz w:val="28"/>
          <w:rtl/>
        </w:rPr>
        <w:t xml:space="preserve"> </w:t>
      </w:r>
      <w:r w:rsidRPr="003F3B94">
        <w:rPr>
          <w:rFonts w:ascii="Lotus Linotype" w:hAnsi="Lotus Linotype" w:hint="cs"/>
          <w:sz w:val="28"/>
          <w:rtl/>
        </w:rPr>
        <w:t>الراشدين</w:t>
      </w:r>
      <w:r w:rsidR="00953581" w:rsidRPr="003F3B94">
        <w:rPr>
          <w:rFonts w:ascii="Lotus Linotype" w:hAnsi="Lotus Linotype" w:hint="cs"/>
          <w:sz w:val="28"/>
          <w:rtl/>
        </w:rPr>
        <w:t xml:space="preserve"> </w:t>
      </w:r>
      <w:r w:rsidRPr="003F3B94">
        <w:rPr>
          <w:rFonts w:ascii="Lotus Linotype" w:hAnsi="Lotus Linotype" w:hint="cs"/>
          <w:sz w:val="28"/>
          <w:rtl/>
        </w:rPr>
        <w:t>رضي</w:t>
      </w:r>
      <w:r w:rsidR="00953581" w:rsidRPr="003F3B94">
        <w:rPr>
          <w:rFonts w:ascii="Lotus Linotype" w:hAnsi="Lotus Linotype" w:hint="cs"/>
          <w:sz w:val="28"/>
          <w:rtl/>
        </w:rPr>
        <w:t xml:space="preserve"> </w:t>
      </w:r>
      <w:r w:rsidRPr="003F3B94">
        <w:rPr>
          <w:rFonts w:ascii="Lotus Linotype" w:hAnsi="Lotus Linotype" w:hint="cs"/>
          <w:sz w:val="28"/>
          <w:rtl/>
        </w:rPr>
        <w:t>الله</w:t>
      </w:r>
      <w:r w:rsidR="00953581" w:rsidRPr="003F3B94">
        <w:rPr>
          <w:rFonts w:ascii="Lotus Linotype" w:hAnsi="Lotus Linotype" w:hint="cs"/>
          <w:sz w:val="28"/>
          <w:rtl/>
        </w:rPr>
        <w:t xml:space="preserve"> </w:t>
      </w:r>
      <w:r w:rsidRPr="003F3B94">
        <w:rPr>
          <w:rFonts w:ascii="Lotus Linotype" w:hAnsi="Lotus Linotype" w:hint="cs"/>
          <w:sz w:val="28"/>
          <w:rtl/>
        </w:rPr>
        <w:t>عنهم</w:t>
      </w:r>
      <w:r w:rsidR="005C53D5" w:rsidRPr="003F3B94">
        <w:rPr>
          <w:rFonts w:ascii="Lotus Linotype" w:hAnsi="Lotus Linotype" w:hint="cs"/>
          <w:sz w:val="28"/>
          <w:rtl/>
        </w:rPr>
        <w:t>،</w:t>
      </w:r>
      <w:r w:rsidR="00953581" w:rsidRPr="003F3B94">
        <w:rPr>
          <w:rFonts w:ascii="Lotus Linotype" w:hAnsi="Lotus Linotype" w:hint="cs"/>
          <w:sz w:val="28"/>
          <w:rtl/>
        </w:rPr>
        <w:t xml:space="preserve"> </w:t>
      </w:r>
      <w:r w:rsidRPr="003F3B94">
        <w:rPr>
          <w:rFonts w:ascii="Lotus Linotype" w:hAnsi="Lotus Linotype" w:hint="cs"/>
          <w:sz w:val="28"/>
          <w:rtl/>
        </w:rPr>
        <w:t>ودرس</w:t>
      </w:r>
      <w:r w:rsidR="00953581" w:rsidRPr="003F3B94">
        <w:rPr>
          <w:rFonts w:ascii="Lotus Linotype" w:hAnsi="Lotus Linotype" w:hint="cs"/>
          <w:sz w:val="28"/>
          <w:rtl/>
        </w:rPr>
        <w:t xml:space="preserve"> </w:t>
      </w:r>
      <w:r w:rsidRPr="003F3B94">
        <w:rPr>
          <w:rFonts w:ascii="Lotus Linotype" w:hAnsi="Lotus Linotype" w:hint="cs"/>
          <w:sz w:val="28"/>
          <w:rtl/>
        </w:rPr>
        <w:t>الأحاديث</w:t>
      </w:r>
      <w:r w:rsidR="00953581" w:rsidRPr="003F3B94">
        <w:rPr>
          <w:rFonts w:ascii="Lotus Linotype" w:hAnsi="Lotus Linotype" w:hint="cs"/>
          <w:sz w:val="28"/>
          <w:rtl/>
        </w:rPr>
        <w:t xml:space="preserve"> </w:t>
      </w:r>
      <w:r w:rsidRPr="003F3B94">
        <w:rPr>
          <w:rFonts w:ascii="Lotus Linotype" w:hAnsi="Lotus Linotype" w:hint="cs"/>
          <w:sz w:val="28"/>
          <w:rtl/>
        </w:rPr>
        <w:t>المنسوبة</w:t>
      </w:r>
      <w:r w:rsidR="00953581" w:rsidRPr="003F3B94">
        <w:rPr>
          <w:rFonts w:ascii="Lotus Linotype" w:hAnsi="Lotus Linotype" w:hint="cs"/>
          <w:sz w:val="28"/>
          <w:rtl/>
        </w:rPr>
        <w:t xml:space="preserve"> </w:t>
      </w:r>
      <w:r w:rsidRPr="003F3B94">
        <w:rPr>
          <w:rFonts w:ascii="Lotus Linotype" w:hAnsi="Lotus Linotype" w:hint="cs"/>
          <w:sz w:val="28"/>
          <w:rtl/>
        </w:rPr>
        <w:t>لآل</w:t>
      </w:r>
      <w:r w:rsidR="00953581" w:rsidRPr="003F3B94">
        <w:rPr>
          <w:rFonts w:ascii="Lotus Linotype" w:hAnsi="Lotus Linotype" w:hint="cs"/>
          <w:sz w:val="28"/>
          <w:rtl/>
        </w:rPr>
        <w:t xml:space="preserve"> </w:t>
      </w:r>
      <w:r w:rsidRPr="003F3B94">
        <w:rPr>
          <w:rFonts w:ascii="Lotus Linotype" w:hAnsi="Lotus Linotype" w:hint="cs"/>
          <w:sz w:val="28"/>
          <w:rtl/>
        </w:rPr>
        <w:t>الرسول</w:t>
      </w:r>
      <w:r w:rsidR="00953581" w:rsidRPr="003F3B94">
        <w:rPr>
          <w:rFonts w:ascii="Lotus Linotype" w:hAnsi="Lotus Linotype" w:hint="cs"/>
          <w:sz w:val="28"/>
          <w:rtl/>
        </w:rPr>
        <w:t xml:space="preserve"> </w:t>
      </w:r>
      <w:r w:rsidRPr="003F3B94">
        <w:rPr>
          <w:rFonts w:ascii="Lotus Linotype" w:hAnsi="Lotus Linotype" w:hint="cs"/>
          <w:sz w:val="28"/>
          <w:rtl/>
        </w:rPr>
        <w:t>في</w:t>
      </w:r>
      <w:r w:rsidR="00953581" w:rsidRPr="003F3B94">
        <w:rPr>
          <w:rFonts w:ascii="Lotus Linotype" w:hAnsi="Lotus Linotype" w:hint="cs"/>
          <w:sz w:val="28"/>
          <w:rtl/>
        </w:rPr>
        <w:t xml:space="preserve"> </w:t>
      </w:r>
      <w:r w:rsidRPr="003F3B94">
        <w:rPr>
          <w:rFonts w:ascii="Lotus Linotype" w:hAnsi="Lotus Linotype" w:hint="cs"/>
          <w:sz w:val="28"/>
          <w:rtl/>
        </w:rPr>
        <w:t>هذا</w:t>
      </w:r>
      <w:r w:rsidR="00953581" w:rsidRPr="003F3B94">
        <w:rPr>
          <w:rFonts w:ascii="Lotus Linotype" w:hAnsi="Lotus Linotype" w:hint="cs"/>
          <w:sz w:val="28"/>
          <w:rtl/>
        </w:rPr>
        <w:t xml:space="preserve"> </w:t>
      </w:r>
      <w:r w:rsidRPr="003F3B94">
        <w:rPr>
          <w:rFonts w:ascii="Lotus Linotype" w:hAnsi="Lotus Linotype" w:hint="cs"/>
          <w:sz w:val="28"/>
          <w:rtl/>
        </w:rPr>
        <w:t>الصدد</w:t>
      </w:r>
      <w:r w:rsidR="00953581" w:rsidRPr="003F3B94">
        <w:rPr>
          <w:rFonts w:ascii="Lotus Linotype" w:hAnsi="Lotus Linotype" w:hint="cs"/>
          <w:sz w:val="28"/>
          <w:rtl/>
        </w:rPr>
        <w:t xml:space="preserve"> </w:t>
      </w:r>
      <w:r w:rsidRPr="003F3B94">
        <w:rPr>
          <w:rFonts w:ascii="Lotus Linotype" w:hAnsi="Lotus Linotype" w:hint="cs"/>
          <w:sz w:val="28"/>
          <w:rtl/>
        </w:rPr>
        <w:t>سنداً</w:t>
      </w:r>
      <w:r w:rsidR="00953581" w:rsidRPr="003F3B94">
        <w:rPr>
          <w:rFonts w:ascii="Lotus Linotype" w:hAnsi="Lotus Linotype" w:hint="cs"/>
          <w:sz w:val="28"/>
          <w:rtl/>
        </w:rPr>
        <w:t xml:space="preserve"> </w:t>
      </w:r>
      <w:r w:rsidRPr="003F3B94">
        <w:rPr>
          <w:rFonts w:ascii="Lotus Linotype" w:hAnsi="Lotus Linotype" w:hint="cs"/>
          <w:sz w:val="28"/>
          <w:rtl/>
        </w:rPr>
        <w:t>ومتناً</w:t>
      </w:r>
      <w:r w:rsidR="00953581" w:rsidRPr="003F3B94">
        <w:rPr>
          <w:rFonts w:ascii="Lotus Linotype" w:hAnsi="Lotus Linotype" w:hint="cs"/>
          <w:sz w:val="28"/>
          <w:rtl/>
        </w:rPr>
        <w:t xml:space="preserve"> </w:t>
      </w:r>
      <w:r w:rsidRPr="003F3B94">
        <w:rPr>
          <w:rFonts w:ascii="Lotus Linotype" w:hAnsi="Lotus Linotype" w:hint="cs"/>
          <w:sz w:val="28"/>
          <w:rtl/>
        </w:rPr>
        <w:t>وبيَّن</w:t>
      </w:r>
      <w:r w:rsidR="00953581" w:rsidRPr="003F3B94">
        <w:rPr>
          <w:rFonts w:ascii="Lotus Linotype" w:hAnsi="Lotus Linotype" w:hint="cs"/>
          <w:sz w:val="28"/>
          <w:rtl/>
        </w:rPr>
        <w:t xml:space="preserve"> </w:t>
      </w:r>
      <w:r w:rsidRPr="003F3B94">
        <w:rPr>
          <w:rFonts w:ascii="Lotus Linotype" w:hAnsi="Lotus Linotype" w:hint="cs"/>
          <w:sz w:val="28"/>
          <w:rtl/>
        </w:rPr>
        <w:t>تهافتها</w:t>
      </w:r>
      <w:r w:rsidR="00953581" w:rsidRPr="003F3B94">
        <w:rPr>
          <w:rFonts w:ascii="Lotus Linotype" w:hAnsi="Lotus Linotype" w:hint="cs"/>
          <w:sz w:val="28"/>
          <w:rtl/>
        </w:rPr>
        <w:t xml:space="preserve"> </w:t>
      </w:r>
      <w:r w:rsidRPr="003F3B94">
        <w:rPr>
          <w:rFonts w:ascii="Lotus Linotype" w:hAnsi="Lotus Linotype" w:hint="cs"/>
          <w:sz w:val="28"/>
          <w:rtl/>
        </w:rPr>
        <w:t>جميعاً</w:t>
      </w:r>
      <w:r w:rsidR="005C53D5" w:rsidRPr="003F3B94">
        <w:rPr>
          <w:rFonts w:ascii="Lotus Linotype" w:hAnsi="Lotus Linotype" w:hint="cs"/>
          <w:sz w:val="28"/>
          <w:rtl/>
        </w:rPr>
        <w:t>،</w:t>
      </w:r>
      <w:r w:rsidR="00953581" w:rsidRPr="003F3B94">
        <w:rPr>
          <w:rFonts w:ascii="Lotus Linotype" w:hAnsi="Lotus Linotype" w:hint="cs"/>
          <w:sz w:val="28"/>
          <w:rtl/>
        </w:rPr>
        <w:t xml:space="preserve"> </w:t>
      </w:r>
      <w:r w:rsidRPr="003F3B94">
        <w:rPr>
          <w:rFonts w:ascii="Lotus Linotype" w:hAnsi="Lotus Linotype" w:hint="cs"/>
          <w:sz w:val="28"/>
          <w:rtl/>
        </w:rPr>
        <w:t>وقد</w:t>
      </w:r>
      <w:r w:rsidR="00953581" w:rsidRPr="003F3B94">
        <w:rPr>
          <w:rFonts w:ascii="Lotus Linotype" w:hAnsi="Lotus Linotype" w:hint="cs"/>
          <w:sz w:val="28"/>
          <w:rtl/>
        </w:rPr>
        <w:t xml:space="preserve"> </w:t>
      </w:r>
      <w:r w:rsidRPr="003F3B94">
        <w:rPr>
          <w:rFonts w:ascii="Lotus Linotype" w:hAnsi="Lotus Linotype" w:hint="cs"/>
          <w:sz w:val="28"/>
          <w:rtl/>
        </w:rPr>
        <w:t>أبدع</w:t>
      </w:r>
      <w:r w:rsidR="00953581" w:rsidRPr="003F3B94">
        <w:rPr>
          <w:rFonts w:ascii="Lotus Linotype" w:hAnsi="Lotus Linotype" w:hint="cs"/>
          <w:sz w:val="28"/>
          <w:rtl/>
        </w:rPr>
        <w:t xml:space="preserve"> </w:t>
      </w:r>
      <w:r w:rsidRPr="003F3B94">
        <w:rPr>
          <w:rFonts w:ascii="Lotus Linotype" w:hAnsi="Lotus Linotype" w:hint="cs"/>
          <w:sz w:val="28"/>
          <w:rtl/>
        </w:rPr>
        <w:t>في</w:t>
      </w:r>
      <w:r w:rsidR="00953581" w:rsidRPr="003F3B94">
        <w:rPr>
          <w:rFonts w:ascii="Lotus Linotype" w:hAnsi="Lotus Linotype" w:hint="cs"/>
          <w:sz w:val="28"/>
          <w:rtl/>
        </w:rPr>
        <w:t xml:space="preserve"> </w:t>
      </w:r>
      <w:r w:rsidRPr="003F3B94">
        <w:rPr>
          <w:rFonts w:ascii="Lotus Linotype" w:hAnsi="Lotus Linotype" w:hint="cs"/>
          <w:sz w:val="28"/>
          <w:rtl/>
        </w:rPr>
        <w:t>ذلك</w:t>
      </w:r>
      <w:r w:rsidR="005C53D5" w:rsidRPr="003F3B94">
        <w:rPr>
          <w:rFonts w:ascii="Lotus Linotype" w:hAnsi="Lotus Linotype" w:hint="cs"/>
          <w:sz w:val="28"/>
          <w:rtl/>
        </w:rPr>
        <w:t>،</w:t>
      </w:r>
      <w:r w:rsidR="00953581" w:rsidRPr="003F3B94">
        <w:rPr>
          <w:rFonts w:ascii="Lotus Linotype" w:hAnsi="Lotus Linotype" w:hint="cs"/>
          <w:sz w:val="28"/>
          <w:rtl/>
        </w:rPr>
        <w:t xml:space="preserve"> </w:t>
      </w:r>
      <w:r w:rsidRPr="003F3B94">
        <w:rPr>
          <w:rFonts w:ascii="Lotus Linotype" w:hAnsi="Lotus Linotype" w:hint="cs"/>
          <w:sz w:val="28"/>
          <w:rtl/>
        </w:rPr>
        <w:t>ووضع</w:t>
      </w:r>
      <w:r w:rsidR="00953581" w:rsidRPr="003F3B94">
        <w:rPr>
          <w:rFonts w:ascii="Lotus Linotype" w:hAnsi="Lotus Linotype" w:hint="cs"/>
          <w:sz w:val="28"/>
          <w:rtl/>
        </w:rPr>
        <w:t xml:space="preserve"> </w:t>
      </w:r>
      <w:r w:rsidRPr="003F3B94">
        <w:rPr>
          <w:rFonts w:ascii="Lotus Linotype" w:hAnsi="Lotus Linotype" w:hint="cs"/>
          <w:sz w:val="28"/>
          <w:rtl/>
        </w:rPr>
        <w:t>نتيجة</w:t>
      </w:r>
      <w:r w:rsidR="00953581" w:rsidRPr="003F3B94">
        <w:rPr>
          <w:rFonts w:ascii="Lotus Linotype" w:hAnsi="Lotus Linotype" w:hint="cs"/>
          <w:sz w:val="28"/>
          <w:rtl/>
        </w:rPr>
        <w:t xml:space="preserve"> </w:t>
      </w:r>
      <w:r w:rsidRPr="003F3B94">
        <w:rPr>
          <w:rFonts w:ascii="Lotus Linotype" w:hAnsi="Lotus Linotype" w:hint="cs"/>
          <w:sz w:val="28"/>
          <w:rtl/>
        </w:rPr>
        <w:t>بحث</w:t>
      </w:r>
      <w:r w:rsidR="000D40CA" w:rsidRPr="003F3B94">
        <w:rPr>
          <w:rFonts w:ascii="Lotus Linotype" w:hAnsi="Lotus Linotype" w:hint="cs"/>
          <w:sz w:val="28"/>
          <w:rtl/>
        </w:rPr>
        <w:t>ه</w:t>
      </w:r>
      <w:r w:rsidR="00953581" w:rsidRPr="003F3B94">
        <w:rPr>
          <w:rFonts w:ascii="Lotus Linotype" w:hAnsi="Lotus Linotype" w:hint="cs"/>
          <w:sz w:val="28"/>
          <w:rtl/>
        </w:rPr>
        <w:t xml:space="preserve"> </w:t>
      </w:r>
      <w:r w:rsidRPr="003F3B94">
        <w:rPr>
          <w:rFonts w:ascii="Abo-thar" w:hAnsi="Abo-thar" w:hint="cs"/>
          <w:sz w:val="28"/>
          <w:rtl/>
        </w:rPr>
        <w:t>في</w:t>
      </w:r>
      <w:r w:rsidR="00953581" w:rsidRPr="003F3B94">
        <w:rPr>
          <w:rFonts w:ascii="Abo-thar" w:hAnsi="Abo-thar" w:hint="cs"/>
          <w:sz w:val="28"/>
          <w:rtl/>
        </w:rPr>
        <w:t xml:space="preserve"> </w:t>
      </w:r>
      <w:r w:rsidRPr="003F3B94">
        <w:rPr>
          <w:rFonts w:ascii="Abo-thar" w:hAnsi="Abo-thar" w:hint="cs"/>
          <w:sz w:val="28"/>
          <w:rtl/>
        </w:rPr>
        <w:t>كتابه</w:t>
      </w:r>
      <w:r w:rsidR="00953581" w:rsidRPr="003F3B94">
        <w:rPr>
          <w:rFonts w:ascii="Abo-thar" w:hAnsi="Abo-thar" w:hint="cs"/>
          <w:sz w:val="28"/>
          <w:rtl/>
        </w:rPr>
        <w:t xml:space="preserve"> </w:t>
      </w:r>
      <w:r w:rsidRPr="003F3B94">
        <w:rPr>
          <w:rFonts w:ascii="Abo-thar" w:hAnsi="Abo-thar" w:hint="cs"/>
          <w:sz w:val="28"/>
          <w:rtl/>
        </w:rPr>
        <w:t>هذا</w:t>
      </w:r>
      <w:r w:rsidR="00953581" w:rsidRPr="003F3B94">
        <w:rPr>
          <w:rFonts w:ascii="Abo-thar" w:hAnsi="Abo-thar" w:hint="cs"/>
          <w:sz w:val="28"/>
          <w:rtl/>
        </w:rPr>
        <w:t xml:space="preserve"> </w:t>
      </w:r>
      <w:r w:rsidR="005C53D5" w:rsidRPr="003F3B94">
        <w:rPr>
          <w:rFonts w:ascii="Abo-thar" w:hAnsi="Abo-thar" w:hint="cs"/>
          <w:sz w:val="28"/>
          <w:rtl/>
        </w:rPr>
        <w:t>(</w:t>
      </w:r>
      <w:r w:rsidRPr="003F3B94">
        <w:rPr>
          <w:rFonts w:ascii="Abo-thar" w:hAnsi="Abo-thar" w:hint="cs"/>
          <w:sz w:val="28"/>
          <w:rtl/>
        </w:rPr>
        <w:t>بلغته</w:t>
      </w:r>
      <w:r w:rsidR="00953581" w:rsidRPr="003F3B94">
        <w:rPr>
          <w:rFonts w:ascii="Abo-thar" w:hAnsi="Abo-thar" w:hint="cs"/>
          <w:sz w:val="28"/>
          <w:rtl/>
        </w:rPr>
        <w:t xml:space="preserve"> </w:t>
      </w:r>
      <w:r w:rsidRPr="003F3B94">
        <w:rPr>
          <w:rFonts w:ascii="Abo-thar" w:hAnsi="Abo-thar" w:hint="cs"/>
          <w:sz w:val="28"/>
          <w:rtl/>
        </w:rPr>
        <w:t>الفارسية</w:t>
      </w:r>
      <w:r w:rsidR="00953581" w:rsidRPr="003F3B94">
        <w:rPr>
          <w:rFonts w:ascii="Abo-thar" w:hAnsi="Abo-thar" w:hint="cs"/>
          <w:sz w:val="28"/>
          <w:rtl/>
        </w:rPr>
        <w:t xml:space="preserve"> </w:t>
      </w:r>
      <w:r w:rsidRPr="003F3B94">
        <w:rPr>
          <w:rFonts w:ascii="Abo-thar" w:hAnsi="Abo-thar" w:hint="cs"/>
          <w:sz w:val="28"/>
          <w:rtl/>
        </w:rPr>
        <w:t>بالطبع</w:t>
      </w:r>
      <w:r w:rsidR="005C53D5" w:rsidRPr="003F3B94">
        <w:rPr>
          <w:rFonts w:ascii="Abo-thar" w:hAnsi="Abo-thar" w:hint="cs"/>
          <w:sz w:val="28"/>
          <w:rtl/>
        </w:rPr>
        <w:t>)</w:t>
      </w:r>
      <w:r w:rsidR="00953581" w:rsidRPr="003F3B94">
        <w:rPr>
          <w:rFonts w:ascii="Abo-thar" w:hAnsi="Abo-thar" w:hint="cs"/>
          <w:sz w:val="28"/>
          <w:rtl/>
        </w:rPr>
        <w:t xml:space="preserve"> </w:t>
      </w:r>
      <w:r w:rsidRPr="003F3B94">
        <w:rPr>
          <w:rFonts w:ascii="Abo-thar" w:hAnsi="Abo-thar" w:hint="cs"/>
          <w:sz w:val="28"/>
          <w:rtl/>
        </w:rPr>
        <w:t>الذي</w:t>
      </w:r>
      <w:r w:rsidR="00953581" w:rsidRPr="003F3B94">
        <w:rPr>
          <w:rFonts w:ascii="Abo-thar" w:hAnsi="Abo-thar" w:hint="cs"/>
          <w:sz w:val="28"/>
          <w:rtl/>
        </w:rPr>
        <w:t xml:space="preserve"> </w:t>
      </w:r>
      <w:r w:rsidRPr="003F3B94">
        <w:rPr>
          <w:rFonts w:ascii="Abo-thar" w:hAnsi="Abo-thar" w:hint="cs"/>
          <w:sz w:val="28"/>
          <w:rtl/>
        </w:rPr>
        <w:t>أسماه</w:t>
      </w:r>
      <w:r w:rsidR="00953581" w:rsidRPr="003F3B94">
        <w:rPr>
          <w:rFonts w:ascii="Abo-thar" w:hAnsi="Abo-thar" w:hint="cs"/>
          <w:sz w:val="28"/>
          <w:rtl/>
        </w:rPr>
        <w:t xml:space="preserve"> </w:t>
      </w:r>
      <w:r w:rsidRPr="003F3B94">
        <w:rPr>
          <w:rFonts w:ascii="Lotus Linotype" w:hAnsi="Lotus Linotype"/>
          <w:sz w:val="28"/>
          <w:rtl/>
        </w:rPr>
        <w:t>«</w:t>
      </w:r>
      <w:r w:rsidRPr="003F3B94">
        <w:rPr>
          <w:rFonts w:ascii="Lotus Linotype" w:hAnsi="Lotus Linotype" w:hint="cs"/>
          <w:b/>
          <w:bCs/>
          <w:sz w:val="28"/>
          <w:rtl/>
        </w:rPr>
        <w:t>بحث</w:t>
      </w:r>
      <w:r w:rsidR="00953581" w:rsidRPr="003F3B94">
        <w:rPr>
          <w:rFonts w:ascii="Lotus Linotype" w:hAnsi="Lotus Linotype" w:hint="cs"/>
          <w:b/>
          <w:bCs/>
          <w:sz w:val="28"/>
          <w:rtl/>
        </w:rPr>
        <w:t xml:space="preserve"> </w:t>
      </w:r>
      <w:r w:rsidRPr="003F3B94">
        <w:rPr>
          <w:rFonts w:ascii="Lotus Linotype" w:hAnsi="Lotus Linotype" w:hint="cs"/>
          <w:b/>
          <w:bCs/>
          <w:sz w:val="28"/>
          <w:rtl/>
        </w:rPr>
        <w:t>عميق</w:t>
      </w:r>
      <w:r w:rsidR="00953581" w:rsidRPr="003F3B94">
        <w:rPr>
          <w:rFonts w:ascii="Lotus Linotype" w:hAnsi="Lotus Linotype" w:hint="cs"/>
          <w:b/>
          <w:bCs/>
          <w:sz w:val="28"/>
          <w:rtl/>
        </w:rPr>
        <w:t xml:space="preserve"> </w:t>
      </w:r>
      <w:r w:rsidRPr="003F3B94">
        <w:rPr>
          <w:rFonts w:ascii="Lotus Linotype" w:hAnsi="Lotus Linotype" w:hint="cs"/>
          <w:b/>
          <w:bCs/>
          <w:sz w:val="28"/>
          <w:rtl/>
        </w:rPr>
        <w:t>في</w:t>
      </w:r>
      <w:r w:rsidR="00953581" w:rsidRPr="003F3B94">
        <w:rPr>
          <w:rFonts w:ascii="Lotus Linotype" w:hAnsi="Lotus Linotype" w:hint="cs"/>
          <w:b/>
          <w:bCs/>
          <w:sz w:val="28"/>
          <w:rtl/>
        </w:rPr>
        <w:t xml:space="preserve"> </w:t>
      </w:r>
      <w:r w:rsidRPr="003F3B94">
        <w:rPr>
          <w:rFonts w:ascii="Lotus Linotype" w:hAnsi="Lotus Linotype" w:hint="cs"/>
          <w:b/>
          <w:bCs/>
          <w:sz w:val="28"/>
          <w:rtl/>
        </w:rPr>
        <w:t>مسألة</w:t>
      </w:r>
      <w:r w:rsidR="00953581" w:rsidRPr="003F3B94">
        <w:rPr>
          <w:rFonts w:ascii="Lotus Linotype" w:hAnsi="Lotus Linotype" w:hint="cs"/>
          <w:b/>
          <w:bCs/>
          <w:sz w:val="28"/>
          <w:rtl/>
        </w:rPr>
        <w:t xml:space="preserve"> </w:t>
      </w:r>
      <w:r w:rsidRPr="003F3B94">
        <w:rPr>
          <w:rFonts w:ascii="Lotus Linotype" w:hAnsi="Lotus Linotype" w:hint="cs"/>
          <w:b/>
          <w:bCs/>
          <w:sz w:val="28"/>
          <w:rtl/>
        </w:rPr>
        <w:t>الخمس</w:t>
      </w:r>
      <w:r w:rsidR="00953581" w:rsidRPr="003F3B94">
        <w:rPr>
          <w:rFonts w:ascii="Lotus Linotype" w:hAnsi="Lotus Linotype" w:hint="cs"/>
          <w:b/>
          <w:bCs/>
          <w:sz w:val="28"/>
          <w:rtl/>
        </w:rPr>
        <w:t xml:space="preserve"> </w:t>
      </w:r>
      <w:r w:rsidRPr="003F3B94">
        <w:rPr>
          <w:rFonts w:ascii="Lotus Linotype" w:hAnsi="Lotus Linotype" w:hint="cs"/>
          <w:b/>
          <w:bCs/>
          <w:sz w:val="28"/>
          <w:rtl/>
        </w:rPr>
        <w:t>في</w:t>
      </w:r>
      <w:r w:rsidR="00953581" w:rsidRPr="003F3B94">
        <w:rPr>
          <w:rFonts w:ascii="Lotus Linotype" w:hAnsi="Lotus Linotype" w:hint="cs"/>
          <w:b/>
          <w:bCs/>
          <w:sz w:val="28"/>
          <w:rtl/>
        </w:rPr>
        <w:t xml:space="preserve"> </w:t>
      </w:r>
      <w:r w:rsidRPr="003F3B94">
        <w:rPr>
          <w:rFonts w:ascii="Lotus Linotype" w:hAnsi="Lotus Linotype" w:hint="cs"/>
          <w:b/>
          <w:bCs/>
          <w:sz w:val="28"/>
          <w:rtl/>
        </w:rPr>
        <w:t>الكتاب</w:t>
      </w:r>
      <w:r w:rsidR="00953581" w:rsidRPr="003F3B94">
        <w:rPr>
          <w:rFonts w:ascii="Lotus Linotype" w:hAnsi="Lotus Linotype" w:hint="cs"/>
          <w:b/>
          <w:bCs/>
          <w:sz w:val="28"/>
          <w:rtl/>
        </w:rPr>
        <w:t xml:space="preserve"> </w:t>
      </w:r>
      <w:r w:rsidRPr="003F3B94">
        <w:rPr>
          <w:rFonts w:ascii="Lotus Linotype" w:hAnsi="Lotus Linotype" w:hint="cs"/>
          <w:b/>
          <w:bCs/>
          <w:sz w:val="28"/>
          <w:rtl/>
        </w:rPr>
        <w:t>والسنة</w:t>
      </w:r>
      <w:r w:rsidRPr="003F3B94">
        <w:rPr>
          <w:rFonts w:ascii="Lotus Linotype" w:hAnsi="Lotus Linotype"/>
          <w:sz w:val="28"/>
          <w:rtl/>
        </w:rPr>
        <w:t>»</w:t>
      </w:r>
      <w:r w:rsidR="00953581" w:rsidRPr="003F3B94">
        <w:rPr>
          <w:rFonts w:ascii="Lotus Linotype" w:hAnsi="Lotus Linotype" w:hint="cs"/>
          <w:sz w:val="28"/>
          <w:rtl/>
        </w:rPr>
        <w:t xml:space="preserve"> </w:t>
      </w:r>
      <w:r w:rsidRPr="003F3B94">
        <w:rPr>
          <w:rFonts w:ascii="Lotus Linotype" w:hAnsi="Lotus Linotype" w:hint="cs"/>
          <w:sz w:val="28"/>
          <w:rtl/>
        </w:rPr>
        <w:t>ونشره</w:t>
      </w:r>
      <w:r w:rsidR="00953581" w:rsidRPr="003F3B94">
        <w:rPr>
          <w:rFonts w:ascii="Lotus Linotype" w:hAnsi="Lotus Linotype" w:hint="cs"/>
          <w:sz w:val="28"/>
          <w:rtl/>
        </w:rPr>
        <w:t xml:space="preserve"> </w:t>
      </w:r>
      <w:r w:rsidRPr="003F3B94">
        <w:rPr>
          <w:rFonts w:ascii="Lotus Linotype" w:hAnsi="Lotus Linotype" w:hint="cs"/>
          <w:sz w:val="28"/>
          <w:rtl/>
        </w:rPr>
        <w:t>عام</w:t>
      </w:r>
      <w:r w:rsidR="00953581" w:rsidRPr="003F3B94">
        <w:rPr>
          <w:rFonts w:ascii="Lotus Linotype" w:hAnsi="Lotus Linotype" w:hint="cs"/>
          <w:sz w:val="28"/>
          <w:rtl/>
        </w:rPr>
        <w:t xml:space="preserve"> </w:t>
      </w:r>
      <w:r w:rsidRPr="003F3B94">
        <w:rPr>
          <w:rFonts w:ascii="Lotus Linotype" w:hAnsi="Lotus Linotype" w:hint="cs"/>
          <w:sz w:val="28"/>
          <w:rtl/>
        </w:rPr>
        <w:t>1388هـ</w:t>
      </w:r>
      <w:r w:rsidR="00953581" w:rsidRPr="003F3B94">
        <w:rPr>
          <w:rFonts w:ascii="Lotus Linotype" w:hAnsi="Lotus Linotype" w:hint="cs"/>
          <w:sz w:val="28"/>
          <w:rtl/>
        </w:rPr>
        <w:t xml:space="preserve"> </w:t>
      </w:r>
      <w:r w:rsidR="005C53D5" w:rsidRPr="003F3B94">
        <w:rPr>
          <w:rFonts w:ascii="Lotus Linotype" w:hAnsi="Lotus Linotype" w:hint="cs"/>
          <w:sz w:val="28"/>
          <w:rtl/>
        </w:rPr>
        <w:t>(</w:t>
      </w:r>
      <w:r w:rsidRPr="003F3B94">
        <w:rPr>
          <w:rFonts w:ascii="Lotus Linotype" w:hAnsi="Lotus Linotype" w:hint="cs"/>
          <w:sz w:val="28"/>
          <w:rtl/>
        </w:rPr>
        <w:t>=</w:t>
      </w:r>
      <w:r w:rsidR="00953581" w:rsidRPr="003F3B94">
        <w:rPr>
          <w:rFonts w:ascii="Lotus Linotype" w:hAnsi="Lotus Linotype" w:hint="cs"/>
          <w:sz w:val="28"/>
          <w:rtl/>
        </w:rPr>
        <w:t xml:space="preserve"> </w:t>
      </w:r>
      <w:r w:rsidRPr="003F3B94">
        <w:rPr>
          <w:rFonts w:ascii="Lotus Linotype" w:hAnsi="Lotus Linotype" w:hint="cs"/>
          <w:sz w:val="28"/>
          <w:rtl/>
        </w:rPr>
        <w:t>1968م</w:t>
      </w:r>
      <w:r w:rsidR="005C53D5" w:rsidRPr="003F3B94">
        <w:rPr>
          <w:rFonts w:ascii="Lotus Linotype" w:hAnsi="Lotus Linotype" w:hint="cs"/>
          <w:sz w:val="28"/>
          <w:rtl/>
        </w:rPr>
        <w:t>)،</w:t>
      </w:r>
      <w:r w:rsidR="00953581" w:rsidRPr="003F3B94">
        <w:rPr>
          <w:rFonts w:ascii="Lotus Linotype" w:hAnsi="Lotus Linotype" w:hint="cs"/>
          <w:sz w:val="28"/>
          <w:rtl/>
        </w:rPr>
        <w:t xml:space="preserve"> </w:t>
      </w:r>
      <w:r w:rsidRPr="003F3B94">
        <w:rPr>
          <w:rFonts w:ascii="Lotus Linotype" w:hAnsi="Lotus Linotype" w:hint="cs"/>
          <w:sz w:val="28"/>
          <w:rtl/>
        </w:rPr>
        <w:t>وبالطبع</w:t>
      </w:r>
      <w:r w:rsidR="00953581" w:rsidRPr="003F3B94">
        <w:rPr>
          <w:rFonts w:ascii="Lotus Linotype" w:hAnsi="Lotus Linotype" w:hint="cs"/>
          <w:sz w:val="28"/>
          <w:rtl/>
        </w:rPr>
        <w:t xml:space="preserve"> </w:t>
      </w:r>
      <w:r w:rsidRPr="003F3B94">
        <w:rPr>
          <w:rFonts w:ascii="Lotus Linotype" w:hAnsi="Lotus Linotype" w:hint="cs"/>
          <w:sz w:val="28"/>
          <w:rtl/>
        </w:rPr>
        <w:t>أثار</w:t>
      </w:r>
      <w:r w:rsidR="00953581" w:rsidRPr="003F3B94">
        <w:rPr>
          <w:rFonts w:ascii="Lotus Linotype" w:hAnsi="Lotus Linotype" w:hint="cs"/>
          <w:sz w:val="28"/>
          <w:rtl/>
        </w:rPr>
        <w:t xml:space="preserve"> </w:t>
      </w:r>
      <w:r w:rsidRPr="003F3B94">
        <w:rPr>
          <w:rFonts w:ascii="Lotus Linotype" w:hAnsi="Lotus Linotype" w:hint="cs"/>
          <w:sz w:val="28"/>
          <w:rtl/>
        </w:rPr>
        <w:t>الكتابُ</w:t>
      </w:r>
      <w:r w:rsidR="00953581" w:rsidRPr="003F3B94">
        <w:rPr>
          <w:rFonts w:ascii="Lotus Linotype" w:hAnsi="Lotus Linotype" w:hint="cs"/>
          <w:sz w:val="28"/>
          <w:rtl/>
        </w:rPr>
        <w:t xml:space="preserve"> </w:t>
      </w:r>
      <w:r w:rsidRPr="003F3B94">
        <w:rPr>
          <w:rFonts w:ascii="Lotus Linotype" w:hAnsi="Lotus Linotype" w:hint="cs"/>
          <w:sz w:val="28"/>
          <w:rtl/>
        </w:rPr>
        <w:t>عليه</w:t>
      </w:r>
      <w:r w:rsidR="00953581" w:rsidRPr="003F3B94">
        <w:rPr>
          <w:rFonts w:ascii="Lotus Linotype" w:hAnsi="Lotus Linotype" w:hint="cs"/>
          <w:sz w:val="28"/>
          <w:rtl/>
        </w:rPr>
        <w:t xml:space="preserve"> </w:t>
      </w:r>
      <w:r w:rsidRPr="003F3B94">
        <w:rPr>
          <w:rFonts w:ascii="Lotus Linotype" w:hAnsi="Lotus Linotype" w:hint="cs"/>
          <w:sz w:val="28"/>
          <w:rtl/>
        </w:rPr>
        <w:t>المتعصبين</w:t>
      </w:r>
      <w:r w:rsidR="00953581" w:rsidRPr="003F3B94">
        <w:rPr>
          <w:rFonts w:ascii="Lotus Linotype" w:hAnsi="Lotus Linotype" w:hint="cs"/>
          <w:sz w:val="28"/>
          <w:rtl/>
        </w:rPr>
        <w:t xml:space="preserve"> </w:t>
      </w:r>
      <w:r w:rsidRPr="003F3B94">
        <w:rPr>
          <w:rFonts w:ascii="Lotus Linotype" w:hAnsi="Lotus Linotype" w:hint="cs"/>
          <w:sz w:val="28"/>
          <w:rtl/>
        </w:rPr>
        <w:t>من</w:t>
      </w:r>
      <w:r w:rsidR="00953581" w:rsidRPr="003F3B94">
        <w:rPr>
          <w:rFonts w:ascii="Lotus Linotype" w:hAnsi="Lotus Linotype" w:hint="cs"/>
          <w:sz w:val="28"/>
          <w:rtl/>
        </w:rPr>
        <w:t xml:space="preserve"> </w:t>
      </w:r>
      <w:r w:rsidRPr="003F3B94">
        <w:rPr>
          <w:rFonts w:ascii="Lotus Linotype" w:hAnsi="Lotus Linotype" w:hint="cs"/>
          <w:sz w:val="28"/>
          <w:rtl/>
        </w:rPr>
        <w:t>فقهاء</w:t>
      </w:r>
      <w:r w:rsidR="00953581" w:rsidRPr="003F3B94">
        <w:rPr>
          <w:rFonts w:ascii="Lotus Linotype" w:hAnsi="Lotus Linotype" w:hint="cs"/>
          <w:sz w:val="28"/>
          <w:rtl/>
        </w:rPr>
        <w:t xml:space="preserve"> </w:t>
      </w:r>
      <w:r w:rsidRPr="003F3B94">
        <w:rPr>
          <w:rFonts w:ascii="Lotus Linotype" w:hAnsi="Lotus Linotype" w:hint="cs"/>
          <w:sz w:val="28"/>
          <w:rtl/>
        </w:rPr>
        <w:t>زمانه</w:t>
      </w:r>
      <w:r w:rsidR="00953581" w:rsidRPr="003F3B94">
        <w:rPr>
          <w:rFonts w:ascii="Lotus Linotype" w:hAnsi="Lotus Linotype" w:hint="cs"/>
          <w:sz w:val="28"/>
          <w:rtl/>
        </w:rPr>
        <w:t xml:space="preserve"> </w:t>
      </w:r>
      <w:r w:rsidRPr="003F3B94">
        <w:rPr>
          <w:rFonts w:ascii="Lotus Linotype" w:hAnsi="Lotus Linotype" w:hint="cs"/>
          <w:sz w:val="28"/>
          <w:rtl/>
        </w:rPr>
        <w:t>فرد</w:t>
      </w:r>
      <w:r w:rsidR="00953581" w:rsidRPr="003F3B94">
        <w:rPr>
          <w:rFonts w:ascii="Lotus Linotype" w:hAnsi="Lotus Linotype" w:hint="cs"/>
          <w:sz w:val="28"/>
          <w:rtl/>
        </w:rPr>
        <w:t xml:space="preserve"> </w:t>
      </w:r>
      <w:r w:rsidRPr="003F3B94">
        <w:rPr>
          <w:rFonts w:ascii="Lotus Linotype" w:hAnsi="Lotus Linotype" w:hint="cs"/>
          <w:sz w:val="28"/>
          <w:rtl/>
        </w:rPr>
        <w:t>عليه</w:t>
      </w:r>
      <w:r w:rsidR="00953581" w:rsidRPr="003F3B94">
        <w:rPr>
          <w:rFonts w:ascii="Lotus Linotype" w:hAnsi="Lotus Linotype" w:hint="cs"/>
          <w:sz w:val="28"/>
          <w:rtl/>
        </w:rPr>
        <w:t xml:space="preserve"> </w:t>
      </w:r>
      <w:r w:rsidRPr="003F3B94">
        <w:rPr>
          <w:rFonts w:ascii="Lotus Linotype" w:hAnsi="Lotus Linotype" w:hint="cs"/>
          <w:sz w:val="28"/>
          <w:rtl/>
        </w:rPr>
        <w:t>بعضهم</w:t>
      </w:r>
      <w:r w:rsidR="00953581" w:rsidRPr="003F3B94">
        <w:rPr>
          <w:rFonts w:ascii="Lotus Linotype" w:hAnsi="Lotus Linotype" w:hint="cs"/>
          <w:sz w:val="28"/>
          <w:rtl/>
        </w:rPr>
        <w:t xml:space="preserve"> </w:t>
      </w:r>
      <w:r w:rsidRPr="003F3B94">
        <w:rPr>
          <w:rFonts w:ascii="Lotus Linotype" w:hAnsi="Lotus Linotype" w:hint="cs"/>
          <w:sz w:val="28"/>
          <w:rtl/>
        </w:rPr>
        <w:t>في</w:t>
      </w:r>
      <w:r w:rsidR="00953581" w:rsidRPr="003F3B94">
        <w:rPr>
          <w:rFonts w:ascii="Lotus Linotype" w:hAnsi="Lotus Linotype" w:hint="cs"/>
          <w:sz w:val="28"/>
          <w:rtl/>
        </w:rPr>
        <w:t xml:space="preserve"> </w:t>
      </w:r>
      <w:r w:rsidRPr="003F3B94">
        <w:rPr>
          <w:rFonts w:ascii="Lotus Linotype" w:hAnsi="Lotus Linotype" w:hint="cs"/>
          <w:sz w:val="28"/>
          <w:rtl/>
        </w:rPr>
        <w:t>رسائل</w:t>
      </w:r>
      <w:r w:rsidR="00953581" w:rsidRPr="003F3B94">
        <w:rPr>
          <w:rFonts w:ascii="Lotus Linotype" w:hAnsi="Lotus Linotype" w:hint="cs"/>
          <w:sz w:val="28"/>
          <w:rtl/>
        </w:rPr>
        <w:t xml:space="preserve"> </w:t>
      </w:r>
      <w:r w:rsidRPr="003F3B94">
        <w:rPr>
          <w:rFonts w:ascii="Lotus Linotype" w:hAnsi="Lotus Linotype" w:hint="cs"/>
          <w:sz w:val="28"/>
          <w:rtl/>
        </w:rPr>
        <w:t>خاصة</w:t>
      </w:r>
      <w:r w:rsidR="00953581" w:rsidRPr="003F3B94">
        <w:rPr>
          <w:rFonts w:ascii="Lotus Linotype" w:hAnsi="Lotus Linotype" w:hint="cs"/>
          <w:sz w:val="28"/>
          <w:rtl/>
        </w:rPr>
        <w:t xml:space="preserve"> </w:t>
      </w:r>
      <w:r w:rsidRPr="003F3B94">
        <w:rPr>
          <w:rFonts w:ascii="Lotus Linotype" w:hAnsi="Lotus Linotype" w:hint="cs"/>
          <w:sz w:val="28"/>
          <w:rtl/>
        </w:rPr>
        <w:t>فأجاب</w:t>
      </w:r>
      <w:r w:rsidR="00953581" w:rsidRPr="003F3B94">
        <w:rPr>
          <w:rFonts w:ascii="Lotus Linotype" w:hAnsi="Lotus Linotype" w:hint="cs"/>
          <w:sz w:val="28"/>
          <w:rtl/>
        </w:rPr>
        <w:t xml:space="preserve"> </w:t>
      </w:r>
      <w:r w:rsidRPr="003F3B94">
        <w:rPr>
          <w:rFonts w:ascii="Lotus Linotype" w:hAnsi="Lotus Linotype" w:hint="cs"/>
          <w:sz w:val="28"/>
          <w:rtl/>
        </w:rPr>
        <w:t>عن</w:t>
      </w:r>
      <w:r w:rsidR="00953581" w:rsidRPr="003F3B94">
        <w:rPr>
          <w:rFonts w:ascii="Lotus Linotype" w:hAnsi="Lotus Linotype" w:hint="cs"/>
          <w:sz w:val="28"/>
          <w:rtl/>
        </w:rPr>
        <w:t xml:space="preserve"> </w:t>
      </w:r>
      <w:r w:rsidRPr="003F3B94">
        <w:rPr>
          <w:rFonts w:ascii="Lotus Linotype" w:hAnsi="Lotus Linotype" w:hint="cs"/>
          <w:sz w:val="28"/>
          <w:rtl/>
        </w:rPr>
        <w:t>تلك</w:t>
      </w:r>
      <w:r w:rsidR="00953581" w:rsidRPr="003F3B94">
        <w:rPr>
          <w:rFonts w:ascii="Lotus Linotype" w:hAnsi="Lotus Linotype" w:hint="cs"/>
          <w:sz w:val="28"/>
          <w:rtl/>
        </w:rPr>
        <w:t xml:space="preserve"> </w:t>
      </w:r>
      <w:r w:rsidRPr="003F3B94">
        <w:rPr>
          <w:rFonts w:ascii="Lotus Linotype" w:hAnsi="Lotus Linotype" w:hint="cs"/>
          <w:sz w:val="28"/>
          <w:rtl/>
        </w:rPr>
        <w:t>الردود</w:t>
      </w:r>
      <w:r w:rsidR="00953581" w:rsidRPr="003F3B94">
        <w:rPr>
          <w:rFonts w:ascii="Lotus Linotype" w:hAnsi="Lotus Linotype" w:hint="cs"/>
          <w:sz w:val="28"/>
          <w:rtl/>
        </w:rPr>
        <w:t xml:space="preserve"> </w:t>
      </w:r>
      <w:r w:rsidRPr="003F3B94">
        <w:rPr>
          <w:rFonts w:ascii="Lotus Linotype" w:hAnsi="Lotus Linotype" w:hint="cs"/>
          <w:sz w:val="28"/>
          <w:rtl/>
        </w:rPr>
        <w:t>جميعاً</w:t>
      </w:r>
      <w:r w:rsidR="005C53D5" w:rsidRPr="003F3B94">
        <w:rPr>
          <w:rFonts w:ascii="Lotus Linotype" w:hAnsi="Lotus Linotype" w:hint="cs"/>
          <w:sz w:val="28"/>
          <w:rtl/>
        </w:rPr>
        <w:t>.</w:t>
      </w:r>
      <w:r w:rsidR="00953581" w:rsidRPr="003F3B94">
        <w:rPr>
          <w:rFonts w:ascii="Lotus Linotype" w:hAnsi="Lotus Linotype" w:hint="cs"/>
          <w:sz w:val="28"/>
          <w:rtl/>
        </w:rPr>
        <w:t xml:space="preserve"> </w:t>
      </w:r>
    </w:p>
    <w:p w:rsidR="00255711" w:rsidRPr="003F3B94" w:rsidRDefault="00255711" w:rsidP="003F3B94">
      <w:pPr>
        <w:pStyle w:val="a0"/>
        <w:rPr>
          <w:rFonts w:hint="cs"/>
          <w:rtl/>
        </w:rPr>
      </w:pPr>
      <w:r w:rsidRPr="003F3B94">
        <w:rPr>
          <w:rFonts w:ascii="Lotus Linotype" w:hAnsi="Lotus Linotype" w:hint="cs"/>
          <w:sz w:val="28"/>
          <w:rtl/>
        </w:rPr>
        <w:t>هذا</w:t>
      </w:r>
      <w:r w:rsidR="00454A83" w:rsidRPr="003F3B94">
        <w:rPr>
          <w:rFonts w:ascii="Lotus Linotype" w:hAnsi="Lotus Linotype" w:hint="cs"/>
          <w:sz w:val="28"/>
          <w:rtl/>
        </w:rPr>
        <w:t>،</w:t>
      </w:r>
      <w:r w:rsidR="00953581" w:rsidRPr="003F3B94">
        <w:rPr>
          <w:rFonts w:ascii="Lotus Linotype" w:hAnsi="Lotus Linotype" w:hint="cs"/>
          <w:sz w:val="28"/>
          <w:rtl/>
        </w:rPr>
        <w:t xml:space="preserve"> </w:t>
      </w:r>
      <w:r w:rsidRPr="003F3B94">
        <w:rPr>
          <w:rFonts w:ascii="Lotus Linotype" w:hAnsi="Lotus Linotype" w:hint="cs"/>
          <w:sz w:val="28"/>
          <w:rtl/>
        </w:rPr>
        <w:t>وقد</w:t>
      </w:r>
      <w:r w:rsidR="00953581" w:rsidRPr="003F3B94">
        <w:rPr>
          <w:rFonts w:ascii="Lotus Linotype" w:hAnsi="Lotus Linotype" w:hint="cs"/>
          <w:sz w:val="28"/>
          <w:rtl/>
        </w:rPr>
        <w:t xml:space="preserve"> </w:t>
      </w:r>
      <w:r w:rsidRPr="003F3B94">
        <w:rPr>
          <w:rFonts w:ascii="Lotus Linotype" w:hAnsi="Lotus Linotype" w:hint="cs"/>
          <w:sz w:val="28"/>
          <w:rtl/>
        </w:rPr>
        <w:t>طُبع</w:t>
      </w:r>
      <w:r w:rsidR="00953581" w:rsidRPr="003F3B94">
        <w:rPr>
          <w:rFonts w:ascii="Lotus Linotype" w:hAnsi="Lotus Linotype" w:hint="cs"/>
          <w:sz w:val="28"/>
          <w:rtl/>
        </w:rPr>
        <w:t xml:space="preserve"> </w:t>
      </w:r>
      <w:r w:rsidRPr="003F3B94">
        <w:rPr>
          <w:rFonts w:ascii="Lotus Linotype" w:hAnsi="Lotus Linotype" w:hint="cs"/>
          <w:sz w:val="28"/>
          <w:rtl/>
        </w:rPr>
        <w:t>كتابه</w:t>
      </w:r>
      <w:r w:rsidR="00953581" w:rsidRPr="003F3B94">
        <w:rPr>
          <w:rFonts w:ascii="Lotus Linotype" w:hAnsi="Lotus Linotype" w:hint="cs"/>
          <w:sz w:val="28"/>
          <w:rtl/>
        </w:rPr>
        <w:t xml:space="preserve"> </w:t>
      </w:r>
      <w:r w:rsidRPr="003F3B94">
        <w:rPr>
          <w:rFonts w:ascii="Lotus Linotype" w:hAnsi="Lotus Linotype" w:hint="cs"/>
          <w:sz w:val="28"/>
          <w:rtl/>
        </w:rPr>
        <w:t>بالفارسية</w:t>
      </w:r>
      <w:r w:rsidR="00953581" w:rsidRPr="003F3B94">
        <w:rPr>
          <w:rFonts w:ascii="Lotus Linotype" w:hAnsi="Lotus Linotype" w:hint="cs"/>
          <w:sz w:val="28"/>
          <w:rtl/>
        </w:rPr>
        <w:t xml:space="preserve"> </w:t>
      </w:r>
      <w:r w:rsidR="00454A83" w:rsidRPr="003F3B94">
        <w:rPr>
          <w:rFonts w:ascii="Lotus Linotype" w:hAnsi="Lotus Linotype" w:hint="cs"/>
          <w:sz w:val="28"/>
          <w:rtl/>
        </w:rPr>
        <w:t>ف</w:t>
      </w:r>
      <w:r w:rsidRPr="003F3B94">
        <w:rPr>
          <w:rFonts w:ascii="Lotus Linotype" w:hAnsi="Lotus Linotype" w:hint="cs"/>
          <w:sz w:val="28"/>
          <w:rtl/>
        </w:rPr>
        <w:t>قمنا</w:t>
      </w:r>
      <w:r w:rsidR="00953581" w:rsidRPr="003F3B94">
        <w:rPr>
          <w:rFonts w:ascii="Lotus Linotype" w:hAnsi="Lotus Linotype" w:hint="cs"/>
          <w:sz w:val="28"/>
          <w:rtl/>
        </w:rPr>
        <w:t xml:space="preserve"> </w:t>
      </w:r>
      <w:r w:rsidRPr="003F3B94">
        <w:rPr>
          <w:rFonts w:ascii="Lotus Linotype" w:hAnsi="Lotus Linotype" w:hint="cs"/>
          <w:sz w:val="28"/>
          <w:rtl/>
        </w:rPr>
        <w:t>بترجمته</w:t>
      </w:r>
      <w:r w:rsidR="00953581" w:rsidRPr="003F3B94">
        <w:rPr>
          <w:rFonts w:ascii="Lotus Linotype" w:hAnsi="Lotus Linotype" w:hint="cs"/>
          <w:sz w:val="28"/>
          <w:rtl/>
        </w:rPr>
        <w:t xml:space="preserve"> </w:t>
      </w:r>
      <w:r w:rsidRPr="003F3B94">
        <w:rPr>
          <w:rFonts w:ascii="Lotus Linotype" w:hAnsi="Lotus Linotype" w:hint="cs"/>
          <w:sz w:val="28"/>
          <w:rtl/>
        </w:rPr>
        <w:t>إلى</w:t>
      </w:r>
      <w:r w:rsidR="00953581" w:rsidRPr="003F3B94">
        <w:rPr>
          <w:rFonts w:ascii="Lotus Linotype" w:hAnsi="Lotus Linotype" w:hint="cs"/>
          <w:sz w:val="28"/>
          <w:rtl/>
        </w:rPr>
        <w:t xml:space="preserve"> </w:t>
      </w:r>
      <w:r w:rsidRPr="003F3B94">
        <w:rPr>
          <w:rFonts w:ascii="Lotus Linotype" w:hAnsi="Lotus Linotype" w:hint="cs"/>
          <w:sz w:val="28"/>
          <w:rtl/>
        </w:rPr>
        <w:t>العربية</w:t>
      </w:r>
      <w:r w:rsidR="00953581" w:rsidRPr="003F3B94">
        <w:rPr>
          <w:rFonts w:ascii="Lotus Linotype" w:hAnsi="Lotus Linotype" w:hint="cs"/>
          <w:sz w:val="28"/>
          <w:rtl/>
        </w:rPr>
        <w:t xml:space="preserve"> </w:t>
      </w:r>
      <w:r w:rsidRPr="003F3B94">
        <w:rPr>
          <w:rFonts w:ascii="Lotus Linotype" w:hAnsi="Lotus Linotype" w:hint="cs"/>
          <w:sz w:val="28"/>
          <w:rtl/>
        </w:rPr>
        <w:t>في</w:t>
      </w:r>
      <w:r w:rsidR="00953581" w:rsidRPr="003F3B94">
        <w:rPr>
          <w:rFonts w:ascii="Lotus Linotype" w:hAnsi="Lotus Linotype" w:hint="cs"/>
          <w:sz w:val="28"/>
          <w:rtl/>
        </w:rPr>
        <w:t xml:space="preserve"> </w:t>
      </w:r>
      <w:r w:rsidRPr="003F3B94">
        <w:rPr>
          <w:rFonts w:ascii="Lotus Linotype" w:hAnsi="Lotus Linotype" w:hint="cs"/>
          <w:sz w:val="28"/>
          <w:rtl/>
        </w:rPr>
        <w:t>هذا</w:t>
      </w:r>
      <w:r w:rsidR="00953581" w:rsidRPr="003F3B94">
        <w:rPr>
          <w:rFonts w:ascii="Lotus Linotype" w:hAnsi="Lotus Linotype" w:hint="cs"/>
          <w:sz w:val="28"/>
          <w:rtl/>
        </w:rPr>
        <w:t xml:space="preserve"> </w:t>
      </w:r>
      <w:r w:rsidRPr="003F3B94">
        <w:rPr>
          <w:rFonts w:ascii="Lotus Linotype" w:hAnsi="Lotus Linotype" w:hint="cs"/>
          <w:sz w:val="28"/>
          <w:rtl/>
        </w:rPr>
        <w:t>الكتاب</w:t>
      </w:r>
      <w:r w:rsidR="00953581" w:rsidRPr="003F3B94">
        <w:rPr>
          <w:rFonts w:ascii="Lotus Linotype" w:hAnsi="Lotus Linotype" w:hint="cs"/>
          <w:sz w:val="28"/>
          <w:rtl/>
        </w:rPr>
        <w:t xml:space="preserve"> </w:t>
      </w:r>
      <w:r w:rsidRPr="003F3B94">
        <w:rPr>
          <w:rFonts w:ascii="Lotus Linotype" w:hAnsi="Lotus Linotype" w:hint="cs"/>
          <w:sz w:val="28"/>
          <w:rtl/>
        </w:rPr>
        <w:t>الذي</w:t>
      </w:r>
      <w:r w:rsidR="00953581" w:rsidRPr="003F3B94">
        <w:rPr>
          <w:rFonts w:ascii="Lotus Linotype" w:hAnsi="Lotus Linotype" w:hint="cs"/>
          <w:sz w:val="28"/>
          <w:rtl/>
        </w:rPr>
        <w:t xml:space="preserve"> </w:t>
      </w:r>
      <w:r w:rsidRPr="003F3B94">
        <w:rPr>
          <w:rFonts w:ascii="Lotus Linotype" w:hAnsi="Lotus Linotype" w:hint="cs"/>
          <w:sz w:val="28"/>
          <w:rtl/>
        </w:rPr>
        <w:t>بين</w:t>
      </w:r>
      <w:r w:rsidR="00953581" w:rsidRPr="003F3B94">
        <w:rPr>
          <w:rFonts w:ascii="Lotus Linotype" w:hAnsi="Lotus Linotype" w:hint="cs"/>
          <w:sz w:val="28"/>
          <w:rtl/>
        </w:rPr>
        <w:t xml:space="preserve"> </w:t>
      </w:r>
      <w:r w:rsidRPr="003F3B94">
        <w:rPr>
          <w:rFonts w:ascii="Lotus Linotype" w:hAnsi="Lotus Linotype" w:hint="cs"/>
          <w:sz w:val="28"/>
          <w:rtl/>
        </w:rPr>
        <w:t>يديك</w:t>
      </w:r>
      <w:r w:rsidR="00217AB4" w:rsidRPr="003F3B94">
        <w:rPr>
          <w:rFonts w:ascii="Lotus Linotype" w:hAnsi="Lotus Linotype" w:hint="cs"/>
          <w:sz w:val="28"/>
          <w:rtl/>
        </w:rPr>
        <w:t>،</w:t>
      </w:r>
      <w:r w:rsidR="00953581" w:rsidRPr="003F3B94">
        <w:rPr>
          <w:rFonts w:ascii="Lotus Linotype" w:hAnsi="Lotus Linotype" w:hint="cs"/>
          <w:sz w:val="28"/>
          <w:rtl/>
        </w:rPr>
        <w:t xml:space="preserve"> </w:t>
      </w:r>
      <w:r w:rsidRPr="003F3B94">
        <w:rPr>
          <w:rFonts w:ascii="Lotus Linotype" w:hAnsi="Lotus Linotype" w:hint="cs"/>
          <w:sz w:val="28"/>
          <w:rtl/>
        </w:rPr>
        <w:t>وخدمناه</w:t>
      </w:r>
      <w:r w:rsidR="00953581" w:rsidRPr="003F3B94">
        <w:rPr>
          <w:rFonts w:ascii="Lotus Linotype" w:hAnsi="Lotus Linotype" w:hint="cs"/>
          <w:sz w:val="28"/>
          <w:rtl/>
        </w:rPr>
        <w:t xml:space="preserve"> </w:t>
      </w:r>
      <w:r w:rsidRPr="003F3B94">
        <w:rPr>
          <w:rFonts w:ascii="Lotus Linotype" w:hAnsi="Lotus Linotype" w:hint="cs"/>
          <w:sz w:val="28"/>
          <w:rtl/>
        </w:rPr>
        <w:t>بعون</w:t>
      </w:r>
      <w:r w:rsidR="00953581" w:rsidRPr="003F3B94">
        <w:rPr>
          <w:rFonts w:ascii="Lotus Linotype" w:hAnsi="Lotus Linotype" w:hint="cs"/>
          <w:sz w:val="28"/>
          <w:rtl/>
        </w:rPr>
        <w:t xml:space="preserve"> </w:t>
      </w:r>
      <w:r w:rsidRPr="003F3B94">
        <w:rPr>
          <w:rFonts w:ascii="Lotus Linotype" w:hAnsi="Lotus Linotype" w:hint="cs"/>
          <w:sz w:val="28"/>
          <w:rtl/>
        </w:rPr>
        <w:t>الله</w:t>
      </w:r>
      <w:r w:rsidR="00953581" w:rsidRPr="003F3B94">
        <w:rPr>
          <w:rFonts w:ascii="Lotus Linotype" w:hAnsi="Lotus Linotype" w:hint="cs"/>
          <w:sz w:val="28"/>
          <w:rtl/>
        </w:rPr>
        <w:t xml:space="preserve"> </w:t>
      </w:r>
      <w:r w:rsidRPr="003F3B94">
        <w:rPr>
          <w:rFonts w:ascii="Lotus Linotype" w:hAnsi="Lotus Linotype" w:hint="cs"/>
          <w:sz w:val="28"/>
          <w:rtl/>
        </w:rPr>
        <w:t>وتوفيقه</w:t>
      </w:r>
      <w:r w:rsidR="00953581" w:rsidRPr="003F3B94">
        <w:rPr>
          <w:rFonts w:ascii="Lotus Linotype" w:hAnsi="Lotus Linotype" w:hint="cs"/>
          <w:sz w:val="28"/>
          <w:rtl/>
        </w:rPr>
        <w:t xml:space="preserve"> </w:t>
      </w:r>
      <w:r w:rsidRPr="003F3B94">
        <w:rPr>
          <w:rFonts w:ascii="Lotus Linotype" w:hAnsi="Lotus Linotype" w:hint="cs"/>
          <w:sz w:val="28"/>
          <w:rtl/>
        </w:rPr>
        <w:t>بتصحيح</w:t>
      </w:r>
      <w:r w:rsidR="00953581" w:rsidRPr="003F3B94">
        <w:rPr>
          <w:rFonts w:ascii="Lotus Linotype" w:hAnsi="Lotus Linotype" w:hint="cs"/>
          <w:sz w:val="28"/>
          <w:rtl/>
        </w:rPr>
        <w:t xml:space="preserve"> </w:t>
      </w:r>
      <w:r w:rsidRPr="003F3B94">
        <w:rPr>
          <w:rFonts w:ascii="Lotus Linotype" w:hAnsi="Lotus Linotype" w:hint="cs"/>
          <w:sz w:val="28"/>
          <w:rtl/>
        </w:rPr>
        <w:t>تصحيفاته</w:t>
      </w:r>
      <w:r w:rsidR="00953581" w:rsidRPr="003F3B94">
        <w:rPr>
          <w:rFonts w:ascii="Lotus Linotype" w:hAnsi="Lotus Linotype" w:hint="cs"/>
          <w:sz w:val="28"/>
          <w:rtl/>
        </w:rPr>
        <w:t xml:space="preserve"> </w:t>
      </w:r>
      <w:r w:rsidRPr="003F3B94">
        <w:rPr>
          <w:rFonts w:ascii="Lotus Linotype" w:hAnsi="Lotus Linotype" w:hint="cs"/>
          <w:sz w:val="28"/>
          <w:rtl/>
        </w:rPr>
        <w:t>وتوثيق</w:t>
      </w:r>
      <w:r w:rsidR="00953581" w:rsidRPr="003F3B94">
        <w:rPr>
          <w:rFonts w:ascii="Lotus Linotype" w:hAnsi="Lotus Linotype" w:hint="cs"/>
          <w:sz w:val="28"/>
          <w:rtl/>
        </w:rPr>
        <w:t xml:space="preserve"> </w:t>
      </w:r>
      <w:r w:rsidRPr="003F3B94">
        <w:rPr>
          <w:rFonts w:ascii="Lotus Linotype" w:hAnsi="Lotus Linotype" w:hint="cs"/>
          <w:sz w:val="28"/>
          <w:rtl/>
        </w:rPr>
        <w:t>اقتباساته</w:t>
      </w:r>
      <w:r w:rsidR="00953581" w:rsidRPr="003F3B94">
        <w:rPr>
          <w:rFonts w:ascii="Lotus Linotype" w:hAnsi="Lotus Linotype" w:hint="cs"/>
          <w:sz w:val="28"/>
          <w:rtl/>
        </w:rPr>
        <w:t xml:space="preserve"> </w:t>
      </w:r>
      <w:r w:rsidRPr="003F3B94">
        <w:rPr>
          <w:rFonts w:ascii="Lotus Linotype" w:hAnsi="Lotus Linotype" w:hint="cs"/>
          <w:sz w:val="28"/>
          <w:rtl/>
        </w:rPr>
        <w:t>وشرح</w:t>
      </w:r>
      <w:r w:rsidR="00953581" w:rsidRPr="003F3B94">
        <w:rPr>
          <w:rFonts w:ascii="Lotus Linotype" w:hAnsi="Lotus Linotype" w:hint="cs"/>
          <w:sz w:val="28"/>
          <w:rtl/>
        </w:rPr>
        <w:t xml:space="preserve"> </w:t>
      </w:r>
      <w:r w:rsidRPr="003F3B94">
        <w:rPr>
          <w:rFonts w:ascii="Lotus Linotype" w:hAnsi="Lotus Linotype" w:hint="cs"/>
          <w:sz w:val="28"/>
          <w:rtl/>
        </w:rPr>
        <w:t>غريبه</w:t>
      </w:r>
      <w:r w:rsidR="00953581" w:rsidRPr="003F3B94">
        <w:rPr>
          <w:rFonts w:ascii="Lotus Linotype" w:hAnsi="Lotus Linotype" w:hint="cs"/>
          <w:sz w:val="28"/>
          <w:rtl/>
        </w:rPr>
        <w:t xml:space="preserve"> </w:t>
      </w:r>
      <w:r w:rsidRPr="003F3B94">
        <w:rPr>
          <w:rFonts w:ascii="Lotus Linotype" w:hAnsi="Lotus Linotype" w:hint="cs"/>
          <w:sz w:val="28"/>
          <w:rtl/>
        </w:rPr>
        <w:t>وترجمة</w:t>
      </w:r>
      <w:r w:rsidR="00953581" w:rsidRPr="003F3B94">
        <w:rPr>
          <w:rFonts w:ascii="Lotus Linotype" w:hAnsi="Lotus Linotype" w:hint="cs"/>
          <w:sz w:val="28"/>
          <w:rtl/>
        </w:rPr>
        <w:t xml:space="preserve"> </w:t>
      </w:r>
      <w:r w:rsidRPr="003F3B94">
        <w:rPr>
          <w:rFonts w:ascii="Lotus Linotype" w:hAnsi="Lotus Linotype" w:hint="cs"/>
          <w:sz w:val="28"/>
          <w:rtl/>
        </w:rPr>
        <w:t>أعلامه</w:t>
      </w:r>
      <w:r w:rsidR="00953581" w:rsidRPr="003F3B94">
        <w:rPr>
          <w:rFonts w:ascii="Lotus Linotype" w:hAnsi="Lotus Linotype" w:hint="cs"/>
          <w:sz w:val="28"/>
          <w:rtl/>
        </w:rPr>
        <w:t xml:space="preserve"> </w:t>
      </w:r>
      <w:r w:rsidR="00147857" w:rsidRPr="003F3B94">
        <w:rPr>
          <w:rFonts w:ascii="Lotus Linotype" w:hAnsi="Lotus Linotype" w:hint="cs"/>
          <w:sz w:val="28"/>
          <w:rtl/>
        </w:rPr>
        <w:t>و</w:t>
      </w:r>
      <w:r w:rsidRPr="003F3B94">
        <w:rPr>
          <w:rFonts w:ascii="Lotus Linotype" w:hAnsi="Lotus Linotype" w:hint="cs"/>
          <w:sz w:val="28"/>
          <w:rtl/>
        </w:rPr>
        <w:t>وضع</w:t>
      </w:r>
      <w:r w:rsidR="00953581" w:rsidRPr="003F3B94">
        <w:rPr>
          <w:rFonts w:ascii="Lotus Linotype" w:hAnsi="Lotus Linotype" w:hint="cs"/>
          <w:sz w:val="28"/>
          <w:rtl/>
        </w:rPr>
        <w:t xml:space="preserve"> </w:t>
      </w:r>
      <w:r w:rsidRPr="003F3B94">
        <w:rPr>
          <w:rFonts w:ascii="Lotus Linotype" w:hAnsi="Lotus Linotype" w:hint="cs"/>
          <w:sz w:val="28"/>
          <w:rtl/>
        </w:rPr>
        <w:t>بعض</w:t>
      </w:r>
      <w:r w:rsidR="00953581" w:rsidRPr="003F3B94">
        <w:rPr>
          <w:rFonts w:ascii="Lotus Linotype" w:hAnsi="Lotus Linotype" w:hint="cs"/>
          <w:sz w:val="28"/>
          <w:rtl/>
        </w:rPr>
        <w:t xml:space="preserve"> </w:t>
      </w:r>
      <w:r w:rsidRPr="003F3B94">
        <w:rPr>
          <w:rFonts w:ascii="Lotus Linotype" w:hAnsi="Lotus Linotype" w:hint="cs"/>
          <w:sz w:val="28"/>
          <w:rtl/>
        </w:rPr>
        <w:t>العناوين</w:t>
      </w:r>
      <w:r w:rsidR="00953581" w:rsidRPr="003F3B94">
        <w:rPr>
          <w:rFonts w:ascii="Lotus Linotype" w:hAnsi="Lotus Linotype" w:hint="cs"/>
          <w:sz w:val="28"/>
          <w:rtl/>
        </w:rPr>
        <w:t xml:space="preserve"> </w:t>
      </w:r>
      <w:r w:rsidRPr="003F3B94">
        <w:rPr>
          <w:rFonts w:ascii="Lotus Linotype" w:hAnsi="Lotus Linotype" w:hint="cs"/>
          <w:sz w:val="28"/>
          <w:rtl/>
        </w:rPr>
        <w:t>التوضيحية</w:t>
      </w:r>
      <w:r w:rsidR="00953581" w:rsidRPr="003F3B94">
        <w:rPr>
          <w:rFonts w:ascii="Lotus Linotype" w:hAnsi="Lotus Linotype" w:hint="cs"/>
          <w:sz w:val="28"/>
          <w:rtl/>
        </w:rPr>
        <w:t xml:space="preserve"> </w:t>
      </w:r>
      <w:r w:rsidRPr="003F3B94">
        <w:rPr>
          <w:rFonts w:ascii="Lotus Linotype" w:hAnsi="Lotus Linotype" w:hint="cs"/>
          <w:sz w:val="28"/>
          <w:rtl/>
        </w:rPr>
        <w:t>الإضافية</w:t>
      </w:r>
      <w:r w:rsidR="00953581" w:rsidRPr="003F3B94">
        <w:rPr>
          <w:rFonts w:ascii="Lotus Linotype" w:hAnsi="Lotus Linotype" w:hint="cs"/>
          <w:sz w:val="28"/>
          <w:rtl/>
        </w:rPr>
        <w:t xml:space="preserve"> </w:t>
      </w:r>
      <w:r w:rsidRPr="003F3B94">
        <w:rPr>
          <w:rFonts w:ascii="Lotus Linotype" w:hAnsi="Lotus Linotype" w:hint="cs"/>
          <w:sz w:val="28"/>
          <w:rtl/>
        </w:rPr>
        <w:t>له</w:t>
      </w:r>
      <w:r w:rsidR="00217AB4" w:rsidRPr="003F3B94">
        <w:rPr>
          <w:rFonts w:ascii="Lotus Linotype" w:hAnsi="Lotus Linotype" w:hint="cs"/>
          <w:sz w:val="28"/>
          <w:rtl/>
        </w:rPr>
        <w:t>،</w:t>
      </w:r>
      <w:r w:rsidR="00953581" w:rsidRPr="003F3B94">
        <w:rPr>
          <w:rFonts w:ascii="Lotus Linotype" w:hAnsi="Lotus Linotype" w:hint="cs"/>
          <w:sz w:val="28"/>
          <w:rtl/>
        </w:rPr>
        <w:t xml:space="preserve"> </w:t>
      </w:r>
      <w:r w:rsidRPr="003F3B94">
        <w:rPr>
          <w:rFonts w:ascii="Lotus Linotype" w:hAnsi="Lotus Linotype" w:hint="cs"/>
          <w:sz w:val="28"/>
          <w:rtl/>
        </w:rPr>
        <w:t>فجاء</w:t>
      </w:r>
      <w:r w:rsidR="00953581" w:rsidRPr="003F3B94">
        <w:rPr>
          <w:rFonts w:ascii="Lotus Linotype" w:hAnsi="Lotus Linotype" w:hint="cs"/>
          <w:sz w:val="28"/>
          <w:rtl/>
        </w:rPr>
        <w:t xml:space="preserve"> </w:t>
      </w:r>
      <w:r w:rsidRPr="003F3B94">
        <w:rPr>
          <w:rFonts w:ascii="Lotus Linotype" w:hAnsi="Lotus Linotype" w:hint="cs"/>
          <w:sz w:val="28"/>
          <w:rtl/>
        </w:rPr>
        <w:t>بهذا</w:t>
      </w:r>
      <w:r w:rsidR="00953581" w:rsidRPr="003F3B94">
        <w:rPr>
          <w:rFonts w:ascii="Lotus Linotype" w:hAnsi="Lotus Linotype" w:hint="cs"/>
          <w:sz w:val="28"/>
          <w:rtl/>
        </w:rPr>
        <w:t xml:space="preserve"> </w:t>
      </w:r>
      <w:r w:rsidRPr="003F3B94">
        <w:rPr>
          <w:rFonts w:ascii="Lotus Linotype" w:hAnsi="Lotus Linotype" w:hint="cs"/>
          <w:sz w:val="28"/>
          <w:rtl/>
        </w:rPr>
        <w:t>الثوب</w:t>
      </w:r>
      <w:r w:rsidR="00953581" w:rsidRPr="003F3B94">
        <w:rPr>
          <w:rFonts w:ascii="Lotus Linotype" w:hAnsi="Lotus Linotype" w:hint="cs"/>
          <w:sz w:val="28"/>
          <w:rtl/>
        </w:rPr>
        <w:t xml:space="preserve"> </w:t>
      </w:r>
      <w:r w:rsidRPr="003F3B94">
        <w:rPr>
          <w:rFonts w:ascii="Lotus Linotype" w:hAnsi="Lotus Linotype" w:hint="cs"/>
          <w:sz w:val="28"/>
          <w:rtl/>
        </w:rPr>
        <w:t>القشيب</w:t>
      </w:r>
      <w:r w:rsidR="00953581" w:rsidRPr="003F3B94">
        <w:rPr>
          <w:rFonts w:ascii="Lotus Linotype" w:hAnsi="Lotus Linotype" w:hint="cs"/>
          <w:sz w:val="28"/>
          <w:rtl/>
        </w:rPr>
        <w:t xml:space="preserve"> </w:t>
      </w:r>
      <w:r w:rsidRPr="003F3B94">
        <w:rPr>
          <w:rFonts w:ascii="Lotus Linotype" w:hAnsi="Lotus Linotype" w:hint="cs"/>
          <w:sz w:val="28"/>
          <w:rtl/>
        </w:rPr>
        <w:t>المتكامل</w:t>
      </w:r>
      <w:r w:rsidR="00953581" w:rsidRPr="003F3B94">
        <w:rPr>
          <w:rFonts w:ascii="Lotus Linotype" w:hAnsi="Lotus Linotype" w:hint="cs"/>
          <w:sz w:val="28"/>
          <w:rtl/>
        </w:rPr>
        <w:t xml:space="preserve"> </w:t>
      </w:r>
      <w:r w:rsidRPr="003F3B94">
        <w:rPr>
          <w:rFonts w:ascii="Lotus Linotype" w:hAnsi="Lotus Linotype" w:hint="cs"/>
          <w:sz w:val="28"/>
          <w:rtl/>
        </w:rPr>
        <w:t>ليكون</w:t>
      </w:r>
      <w:r w:rsidR="00953581" w:rsidRPr="003F3B94">
        <w:rPr>
          <w:rFonts w:ascii="Lotus Linotype" w:hAnsi="Lotus Linotype" w:hint="cs"/>
          <w:sz w:val="28"/>
          <w:rtl/>
        </w:rPr>
        <w:t xml:space="preserve"> </w:t>
      </w:r>
      <w:r w:rsidRPr="003F3B94">
        <w:rPr>
          <w:rFonts w:ascii="Lotus Linotype" w:hAnsi="Lotus Linotype" w:hint="cs"/>
          <w:sz w:val="28"/>
          <w:rtl/>
        </w:rPr>
        <w:t>ميسوراً</w:t>
      </w:r>
      <w:r w:rsidR="00953581" w:rsidRPr="003F3B94">
        <w:rPr>
          <w:rFonts w:ascii="Lotus Linotype" w:hAnsi="Lotus Linotype" w:hint="cs"/>
          <w:sz w:val="28"/>
          <w:rtl/>
        </w:rPr>
        <w:t xml:space="preserve"> </w:t>
      </w:r>
      <w:r w:rsidRPr="003F3B94">
        <w:rPr>
          <w:rFonts w:ascii="Lotus Linotype" w:hAnsi="Lotus Linotype" w:hint="cs"/>
          <w:sz w:val="28"/>
          <w:rtl/>
        </w:rPr>
        <w:t>في</w:t>
      </w:r>
      <w:r w:rsidR="00953581" w:rsidRPr="003F3B94">
        <w:rPr>
          <w:rFonts w:ascii="Lotus Linotype" w:hAnsi="Lotus Linotype" w:hint="cs"/>
          <w:sz w:val="28"/>
          <w:rtl/>
        </w:rPr>
        <w:t xml:space="preserve"> </w:t>
      </w:r>
      <w:r w:rsidRPr="003F3B94">
        <w:rPr>
          <w:rFonts w:ascii="Lotus Linotype" w:hAnsi="Lotus Linotype" w:hint="cs"/>
          <w:sz w:val="28"/>
          <w:rtl/>
        </w:rPr>
        <w:t>أيدي</w:t>
      </w:r>
      <w:r w:rsidR="00953581" w:rsidRPr="003F3B94">
        <w:rPr>
          <w:rFonts w:ascii="Lotus Linotype" w:hAnsi="Lotus Linotype" w:hint="cs"/>
          <w:sz w:val="28"/>
          <w:rtl/>
        </w:rPr>
        <w:t xml:space="preserve"> </w:t>
      </w:r>
      <w:r w:rsidRPr="003F3B94">
        <w:rPr>
          <w:rFonts w:ascii="Lotus Linotype" w:hAnsi="Lotus Linotype" w:hint="cs"/>
          <w:sz w:val="28"/>
          <w:rtl/>
        </w:rPr>
        <w:t>الباحثين</w:t>
      </w:r>
      <w:r w:rsidR="00953581" w:rsidRPr="003F3B94">
        <w:rPr>
          <w:rFonts w:ascii="Lotus Linotype" w:hAnsi="Lotus Linotype" w:hint="cs"/>
          <w:sz w:val="28"/>
          <w:rtl/>
        </w:rPr>
        <w:t xml:space="preserve"> </w:t>
      </w:r>
      <w:r w:rsidRPr="003F3B94">
        <w:rPr>
          <w:rFonts w:ascii="Lotus Linotype" w:hAnsi="Lotus Linotype" w:hint="cs"/>
          <w:sz w:val="28"/>
          <w:rtl/>
        </w:rPr>
        <w:t>والقارئين</w:t>
      </w:r>
      <w:r w:rsidR="00953581" w:rsidRPr="003F3B94">
        <w:rPr>
          <w:rFonts w:ascii="Lotus Linotype" w:hAnsi="Lotus Linotype" w:hint="cs"/>
          <w:sz w:val="28"/>
          <w:rtl/>
        </w:rPr>
        <w:t xml:space="preserve"> </w:t>
      </w:r>
      <w:r w:rsidRPr="003F3B94">
        <w:rPr>
          <w:rFonts w:ascii="Lotus Linotype" w:hAnsi="Lotus Linotype" w:hint="cs"/>
          <w:sz w:val="28"/>
          <w:rtl/>
        </w:rPr>
        <w:t>المتَطَلِّعِين</w:t>
      </w:r>
      <w:r w:rsidR="00953581" w:rsidRPr="003F3B94">
        <w:rPr>
          <w:rFonts w:ascii="Lotus Linotype" w:hAnsi="Lotus Linotype" w:hint="cs"/>
          <w:sz w:val="28"/>
          <w:rtl/>
        </w:rPr>
        <w:t xml:space="preserve"> </w:t>
      </w:r>
      <w:r w:rsidRPr="003F3B94">
        <w:rPr>
          <w:rFonts w:ascii="Lotus Linotype" w:hAnsi="Lotus Linotype" w:hint="cs"/>
          <w:sz w:val="28"/>
          <w:rtl/>
        </w:rPr>
        <w:t>إلى</w:t>
      </w:r>
      <w:r w:rsidR="00953581" w:rsidRPr="003F3B94">
        <w:rPr>
          <w:rFonts w:ascii="Lotus Linotype" w:hAnsi="Lotus Linotype" w:hint="cs"/>
          <w:sz w:val="28"/>
          <w:rtl/>
        </w:rPr>
        <w:t xml:space="preserve"> </w:t>
      </w:r>
      <w:r w:rsidRPr="003F3B94">
        <w:rPr>
          <w:rFonts w:ascii="Lotus Linotype" w:hAnsi="Lotus Linotype" w:hint="cs"/>
          <w:sz w:val="28"/>
          <w:rtl/>
        </w:rPr>
        <w:t>معرفة</w:t>
      </w:r>
      <w:r w:rsidR="00953581" w:rsidRPr="003F3B94">
        <w:rPr>
          <w:rFonts w:ascii="Lotus Linotype" w:hAnsi="Lotus Linotype" w:hint="cs"/>
          <w:sz w:val="28"/>
          <w:rtl/>
        </w:rPr>
        <w:t xml:space="preserve"> </w:t>
      </w:r>
      <w:r w:rsidRPr="003F3B94">
        <w:rPr>
          <w:rFonts w:ascii="Lotus Linotype" w:hAnsi="Lotus Linotype" w:hint="cs"/>
          <w:sz w:val="28"/>
          <w:rtl/>
        </w:rPr>
        <w:t>الحقيقة</w:t>
      </w:r>
      <w:r w:rsidR="00953581" w:rsidRPr="003F3B94">
        <w:rPr>
          <w:rFonts w:ascii="Lotus Linotype" w:hAnsi="Lotus Linotype" w:hint="cs"/>
          <w:sz w:val="28"/>
          <w:rtl/>
        </w:rPr>
        <w:t xml:space="preserve"> </w:t>
      </w:r>
      <w:r w:rsidRPr="003F3B94">
        <w:rPr>
          <w:rFonts w:ascii="Lotus Linotype" w:hAnsi="Lotus Linotype" w:hint="cs"/>
          <w:sz w:val="28"/>
          <w:rtl/>
        </w:rPr>
        <w:t>واتباع</w:t>
      </w:r>
      <w:r w:rsidR="00953581" w:rsidRPr="003F3B94">
        <w:rPr>
          <w:rFonts w:ascii="Lotus Linotype" w:hAnsi="Lotus Linotype" w:hint="cs"/>
          <w:sz w:val="28"/>
          <w:rtl/>
        </w:rPr>
        <w:t xml:space="preserve"> </w:t>
      </w:r>
      <w:r w:rsidRPr="003F3B94">
        <w:rPr>
          <w:rFonts w:ascii="Lotus Linotype" w:hAnsi="Lotus Linotype" w:hint="cs"/>
          <w:sz w:val="28"/>
          <w:rtl/>
        </w:rPr>
        <w:t>الكتاب</w:t>
      </w:r>
      <w:r w:rsidR="00953581" w:rsidRPr="003F3B94">
        <w:rPr>
          <w:rFonts w:ascii="Lotus Linotype" w:hAnsi="Lotus Linotype" w:hint="cs"/>
          <w:sz w:val="28"/>
          <w:rtl/>
        </w:rPr>
        <w:t xml:space="preserve"> </w:t>
      </w:r>
      <w:r w:rsidRPr="003F3B94">
        <w:rPr>
          <w:rFonts w:ascii="Lotus Linotype" w:hAnsi="Lotus Linotype" w:hint="cs"/>
          <w:sz w:val="28"/>
          <w:rtl/>
        </w:rPr>
        <w:t>والسنة</w:t>
      </w:r>
      <w:r w:rsidR="00953581" w:rsidRPr="003F3B94">
        <w:rPr>
          <w:rFonts w:ascii="Lotus Linotype" w:hAnsi="Lotus Linotype" w:hint="cs"/>
          <w:sz w:val="28"/>
          <w:rtl/>
        </w:rPr>
        <w:t xml:space="preserve"> </w:t>
      </w:r>
      <w:r w:rsidRPr="003F3B94">
        <w:rPr>
          <w:rFonts w:ascii="Lotus Linotype" w:hAnsi="Lotus Linotype" w:hint="cs"/>
          <w:sz w:val="28"/>
          <w:rtl/>
        </w:rPr>
        <w:t>الصحيحة</w:t>
      </w:r>
      <w:r w:rsidR="00217AB4" w:rsidRPr="003F3B94">
        <w:rPr>
          <w:rFonts w:ascii="Lotus Linotype" w:hAnsi="Lotus Linotype" w:hint="cs"/>
          <w:sz w:val="28"/>
          <w:rtl/>
        </w:rPr>
        <w:t>،</w:t>
      </w:r>
      <w:r w:rsidR="00953581" w:rsidRPr="003F3B94">
        <w:rPr>
          <w:rFonts w:ascii="Lotus Linotype" w:hAnsi="Lotus Linotype" w:hint="cs"/>
          <w:sz w:val="28"/>
          <w:rtl/>
        </w:rPr>
        <w:t xml:space="preserve"> </w:t>
      </w:r>
      <w:r w:rsidRPr="003F3B94">
        <w:rPr>
          <w:rFonts w:ascii="Lotus Linotype" w:hAnsi="Lotus Linotype" w:hint="cs"/>
          <w:sz w:val="28"/>
          <w:rtl/>
        </w:rPr>
        <w:t>نسأل</w:t>
      </w:r>
      <w:r w:rsidR="00953581" w:rsidRPr="003F3B94">
        <w:rPr>
          <w:rFonts w:ascii="Lotus Linotype" w:hAnsi="Lotus Linotype" w:hint="cs"/>
          <w:sz w:val="28"/>
          <w:rtl/>
        </w:rPr>
        <w:t xml:space="preserve"> </w:t>
      </w:r>
      <w:r w:rsidRPr="003F3B94">
        <w:rPr>
          <w:rFonts w:ascii="Lotus Linotype" w:hAnsi="Lotus Linotype" w:hint="cs"/>
          <w:sz w:val="28"/>
          <w:rtl/>
        </w:rPr>
        <w:t>الله</w:t>
      </w:r>
      <w:r w:rsidR="00953581" w:rsidRPr="003F3B94">
        <w:rPr>
          <w:rFonts w:ascii="Lotus Linotype" w:hAnsi="Lotus Linotype" w:hint="cs"/>
          <w:sz w:val="28"/>
          <w:rtl/>
        </w:rPr>
        <w:t xml:space="preserve"> </w:t>
      </w:r>
      <w:r w:rsidRPr="003F3B94">
        <w:rPr>
          <w:rFonts w:ascii="Lotus Linotype" w:hAnsi="Lotus Linotype" w:hint="cs"/>
          <w:sz w:val="28"/>
          <w:rtl/>
        </w:rPr>
        <w:t>تعالى</w:t>
      </w:r>
      <w:r w:rsidR="00953581" w:rsidRPr="003F3B94">
        <w:rPr>
          <w:rFonts w:ascii="Lotus Linotype" w:hAnsi="Lotus Linotype" w:hint="cs"/>
          <w:sz w:val="28"/>
          <w:rtl/>
        </w:rPr>
        <w:t xml:space="preserve"> </w:t>
      </w:r>
      <w:r w:rsidRPr="003F3B94">
        <w:rPr>
          <w:rFonts w:ascii="Lotus Linotype" w:hAnsi="Lotus Linotype" w:hint="cs"/>
          <w:sz w:val="28"/>
          <w:rtl/>
        </w:rPr>
        <w:t>أن</w:t>
      </w:r>
      <w:r w:rsidR="00953581" w:rsidRPr="003F3B94">
        <w:rPr>
          <w:rFonts w:ascii="Lotus Linotype" w:hAnsi="Lotus Linotype" w:hint="cs"/>
          <w:sz w:val="28"/>
          <w:rtl/>
        </w:rPr>
        <w:t xml:space="preserve"> </w:t>
      </w:r>
      <w:r w:rsidRPr="003F3B94">
        <w:rPr>
          <w:rFonts w:ascii="Lotus Linotype" w:hAnsi="Lotus Linotype" w:hint="cs"/>
          <w:sz w:val="28"/>
          <w:rtl/>
        </w:rPr>
        <w:t>ينفع</w:t>
      </w:r>
      <w:r w:rsidR="00953581" w:rsidRPr="003F3B94">
        <w:rPr>
          <w:rFonts w:ascii="Lotus Linotype" w:hAnsi="Lotus Linotype" w:hint="cs"/>
          <w:sz w:val="28"/>
          <w:rtl/>
        </w:rPr>
        <w:t xml:space="preserve"> </w:t>
      </w:r>
      <w:r w:rsidRPr="003F3B94">
        <w:rPr>
          <w:rFonts w:ascii="Lotus Linotype" w:hAnsi="Lotus Linotype" w:hint="cs"/>
          <w:sz w:val="28"/>
          <w:rtl/>
        </w:rPr>
        <w:t>به</w:t>
      </w:r>
      <w:r w:rsidR="00454A83" w:rsidRPr="003F3B94">
        <w:rPr>
          <w:rFonts w:ascii="Lotus Linotype" w:hAnsi="Lotus Linotype" w:hint="cs"/>
          <w:sz w:val="28"/>
          <w:rtl/>
        </w:rPr>
        <w:t>،</w:t>
      </w:r>
      <w:r w:rsidR="00953581" w:rsidRPr="003F3B94">
        <w:rPr>
          <w:rFonts w:ascii="Lotus Linotype" w:hAnsi="Lotus Linotype" w:hint="cs"/>
          <w:sz w:val="28"/>
          <w:rtl/>
        </w:rPr>
        <w:t xml:space="preserve"> </w:t>
      </w:r>
      <w:r w:rsidRPr="003F3B94">
        <w:rPr>
          <w:rFonts w:ascii="Lotus Linotype" w:hAnsi="Lotus Linotype" w:hint="cs"/>
          <w:sz w:val="28"/>
          <w:rtl/>
        </w:rPr>
        <w:t>إنه</w:t>
      </w:r>
      <w:r w:rsidR="00953581" w:rsidRPr="003F3B94">
        <w:rPr>
          <w:rFonts w:ascii="Lotus Linotype" w:hAnsi="Lotus Linotype" w:hint="cs"/>
          <w:sz w:val="28"/>
          <w:rtl/>
        </w:rPr>
        <w:t xml:space="preserve"> </w:t>
      </w:r>
      <w:r w:rsidRPr="003F3B94">
        <w:rPr>
          <w:rFonts w:ascii="Lotus Linotype" w:hAnsi="Lotus Linotype" w:hint="cs"/>
          <w:sz w:val="28"/>
          <w:rtl/>
        </w:rPr>
        <w:t>ولي</w:t>
      </w:r>
      <w:r w:rsidR="00953581" w:rsidRPr="003F3B94">
        <w:rPr>
          <w:rFonts w:ascii="Lotus Linotype" w:hAnsi="Lotus Linotype" w:hint="cs"/>
          <w:sz w:val="28"/>
          <w:rtl/>
        </w:rPr>
        <w:t xml:space="preserve"> </w:t>
      </w:r>
      <w:r w:rsidRPr="003F3B94">
        <w:rPr>
          <w:rFonts w:ascii="Lotus Linotype" w:hAnsi="Lotus Linotype" w:hint="cs"/>
          <w:sz w:val="28"/>
          <w:rtl/>
        </w:rPr>
        <w:t>التوفيق</w:t>
      </w:r>
      <w:r w:rsidR="00953581" w:rsidRPr="003F3B94">
        <w:rPr>
          <w:rFonts w:ascii="Lotus Linotype" w:hAnsi="Lotus Linotype" w:hint="cs"/>
          <w:sz w:val="28"/>
          <w:rtl/>
        </w:rPr>
        <w:t xml:space="preserve"> </w:t>
      </w:r>
      <w:r w:rsidRPr="003F3B94">
        <w:rPr>
          <w:rFonts w:ascii="Lotus Linotype" w:hAnsi="Lotus Linotype" w:hint="cs"/>
          <w:sz w:val="28"/>
          <w:rtl/>
        </w:rPr>
        <w:t>والقادر</w:t>
      </w:r>
      <w:r w:rsidR="00953581" w:rsidRPr="003F3B94">
        <w:rPr>
          <w:rFonts w:ascii="Lotus Linotype" w:hAnsi="Lotus Linotype" w:hint="cs"/>
          <w:sz w:val="28"/>
          <w:rtl/>
        </w:rPr>
        <w:t xml:space="preserve"> </w:t>
      </w:r>
      <w:r w:rsidRPr="003F3B94">
        <w:rPr>
          <w:rFonts w:ascii="Lotus Linotype" w:hAnsi="Lotus Linotype" w:hint="cs"/>
          <w:sz w:val="28"/>
          <w:rtl/>
        </w:rPr>
        <w:t>عليه</w:t>
      </w:r>
      <w:r w:rsidR="00217AB4" w:rsidRPr="003F3B94">
        <w:rPr>
          <w:rFonts w:ascii="Lotus Linotype" w:hAnsi="Lotus Linotype" w:hint="cs"/>
          <w:sz w:val="28"/>
          <w:rtl/>
        </w:rPr>
        <w:t>.</w:t>
      </w:r>
      <w:r w:rsidR="00953581" w:rsidRPr="003F3B94">
        <w:rPr>
          <w:rFonts w:ascii="Lotus Linotype" w:hAnsi="Lotus Linotype" w:hint="cs"/>
          <w:sz w:val="28"/>
          <w:rtl/>
        </w:rPr>
        <w:t xml:space="preserve"> </w:t>
      </w:r>
    </w:p>
    <w:p w:rsidR="00255711" w:rsidRPr="003F3B94" w:rsidRDefault="00255711" w:rsidP="003F3B94">
      <w:pPr>
        <w:pStyle w:val="a0"/>
        <w:rPr>
          <w:rFonts w:hint="cs"/>
          <w:rtl/>
        </w:rPr>
      </w:pPr>
      <w:r w:rsidRPr="003F3B94">
        <w:rPr>
          <w:rFonts w:ascii="Lotus Linotype" w:hAnsi="Lotus Linotype" w:hint="cs"/>
          <w:sz w:val="28"/>
          <w:rtl/>
        </w:rPr>
        <w:t>ومما</w:t>
      </w:r>
      <w:r w:rsidR="00953581" w:rsidRPr="003F3B94">
        <w:rPr>
          <w:rFonts w:ascii="Lotus Linotype" w:hAnsi="Lotus Linotype" w:hint="cs"/>
          <w:sz w:val="28"/>
          <w:rtl/>
        </w:rPr>
        <w:t xml:space="preserve"> </w:t>
      </w:r>
      <w:r w:rsidRPr="003F3B94">
        <w:rPr>
          <w:rFonts w:ascii="Lotus Linotype" w:hAnsi="Lotus Linotype" w:hint="cs"/>
          <w:sz w:val="28"/>
          <w:rtl/>
        </w:rPr>
        <w:t>يجدر</w:t>
      </w:r>
      <w:r w:rsidR="00953581" w:rsidRPr="003F3B94">
        <w:rPr>
          <w:rFonts w:ascii="Lotus Linotype" w:hAnsi="Lotus Linotype" w:hint="cs"/>
          <w:sz w:val="28"/>
          <w:rtl/>
        </w:rPr>
        <w:t xml:space="preserve"> </w:t>
      </w:r>
      <w:r w:rsidRPr="003F3B94">
        <w:rPr>
          <w:rFonts w:ascii="Lotus Linotype" w:hAnsi="Lotus Linotype" w:hint="cs"/>
          <w:sz w:val="28"/>
          <w:rtl/>
        </w:rPr>
        <w:t>ذكره</w:t>
      </w:r>
      <w:r w:rsidR="00953581" w:rsidRPr="003F3B94">
        <w:rPr>
          <w:rFonts w:ascii="Lotus Linotype" w:hAnsi="Lotus Linotype" w:hint="cs"/>
          <w:sz w:val="28"/>
          <w:rtl/>
        </w:rPr>
        <w:t xml:space="preserve"> </w:t>
      </w:r>
      <w:r w:rsidR="00451BFE" w:rsidRPr="003F3B94">
        <w:rPr>
          <w:rFonts w:ascii="Lotus Linotype" w:hAnsi="Lotus Linotype" w:hint="cs"/>
          <w:sz w:val="28"/>
          <w:rtl/>
        </w:rPr>
        <w:t>في</w:t>
      </w:r>
      <w:r w:rsidR="00953581" w:rsidRPr="003F3B94">
        <w:rPr>
          <w:rFonts w:ascii="Lotus Linotype" w:hAnsi="Lotus Linotype" w:hint="cs"/>
          <w:sz w:val="28"/>
          <w:rtl/>
        </w:rPr>
        <w:t xml:space="preserve"> </w:t>
      </w:r>
      <w:r w:rsidR="00451BFE" w:rsidRPr="003F3B94">
        <w:rPr>
          <w:rFonts w:ascii="Lotus Linotype" w:hAnsi="Lotus Linotype" w:hint="cs"/>
          <w:sz w:val="28"/>
          <w:rtl/>
        </w:rPr>
        <w:t>هذا</w:t>
      </w:r>
      <w:r w:rsidR="00953581" w:rsidRPr="003F3B94">
        <w:rPr>
          <w:rFonts w:ascii="Lotus Linotype" w:hAnsi="Lotus Linotype" w:hint="cs"/>
          <w:sz w:val="28"/>
          <w:rtl/>
        </w:rPr>
        <w:t xml:space="preserve"> </w:t>
      </w:r>
      <w:r w:rsidR="00451BFE" w:rsidRPr="003F3B94">
        <w:rPr>
          <w:rFonts w:ascii="Lotus Linotype" w:hAnsi="Lotus Linotype" w:hint="cs"/>
          <w:sz w:val="28"/>
          <w:rtl/>
        </w:rPr>
        <w:t>المقام</w:t>
      </w:r>
      <w:r w:rsidR="00953581" w:rsidRPr="003F3B94">
        <w:rPr>
          <w:rFonts w:ascii="Lotus Linotype" w:hAnsi="Lotus Linotype" w:hint="cs"/>
          <w:sz w:val="28"/>
          <w:rtl/>
        </w:rPr>
        <w:t xml:space="preserve"> </w:t>
      </w:r>
      <w:r w:rsidRPr="003F3B94">
        <w:rPr>
          <w:rFonts w:ascii="Lotus Linotype" w:hAnsi="Lotus Linotype" w:hint="cs"/>
          <w:sz w:val="28"/>
          <w:rtl/>
        </w:rPr>
        <w:t>أن</w:t>
      </w:r>
      <w:r w:rsidR="00953581" w:rsidRPr="003F3B94">
        <w:rPr>
          <w:rFonts w:ascii="Lotus Linotype" w:hAnsi="Lotus Linotype" w:hint="cs"/>
          <w:sz w:val="28"/>
          <w:rtl/>
        </w:rPr>
        <w:t xml:space="preserve"> </w:t>
      </w:r>
      <w:r w:rsidRPr="003F3B94">
        <w:rPr>
          <w:rFonts w:ascii="Lotus Linotype" w:hAnsi="Lotus Linotype" w:hint="cs"/>
          <w:sz w:val="28"/>
          <w:rtl/>
        </w:rPr>
        <w:t>هذا</w:t>
      </w:r>
      <w:r w:rsidR="00953581" w:rsidRPr="003F3B94">
        <w:rPr>
          <w:rFonts w:ascii="Lotus Linotype" w:hAnsi="Lotus Linotype" w:hint="cs"/>
          <w:sz w:val="28"/>
          <w:rtl/>
        </w:rPr>
        <w:t xml:space="preserve"> </w:t>
      </w:r>
      <w:r w:rsidRPr="003F3B94">
        <w:rPr>
          <w:rFonts w:ascii="Lotus Linotype" w:hAnsi="Lotus Linotype" w:hint="cs"/>
          <w:sz w:val="28"/>
          <w:rtl/>
        </w:rPr>
        <w:t>الكتاب</w:t>
      </w:r>
      <w:r w:rsidR="00953581" w:rsidRPr="003F3B94">
        <w:rPr>
          <w:rFonts w:ascii="Lotus Linotype" w:hAnsi="Lotus Linotype" w:hint="cs"/>
          <w:sz w:val="28"/>
          <w:rtl/>
        </w:rPr>
        <w:t xml:space="preserve"> </w:t>
      </w:r>
      <w:r w:rsidRPr="003F3B94">
        <w:rPr>
          <w:rFonts w:ascii="Lotus Linotype" w:hAnsi="Lotus Linotype" w:hint="cs"/>
          <w:sz w:val="28"/>
          <w:rtl/>
        </w:rPr>
        <w:t>جاء</w:t>
      </w:r>
      <w:r w:rsidR="00953581" w:rsidRPr="003F3B94">
        <w:rPr>
          <w:rFonts w:ascii="Lotus Linotype" w:hAnsi="Lotus Linotype" w:hint="cs"/>
          <w:sz w:val="28"/>
          <w:rtl/>
        </w:rPr>
        <w:t xml:space="preserve"> </w:t>
      </w:r>
      <w:r w:rsidRPr="003F3B94">
        <w:rPr>
          <w:rFonts w:ascii="Lotus Linotype" w:hAnsi="Lotus Linotype" w:hint="cs"/>
          <w:sz w:val="28"/>
          <w:rtl/>
        </w:rPr>
        <w:t>تتميماً</w:t>
      </w:r>
      <w:r w:rsidR="00953581" w:rsidRPr="003F3B94">
        <w:rPr>
          <w:rFonts w:ascii="Lotus Linotype" w:hAnsi="Lotus Linotype" w:hint="cs"/>
          <w:sz w:val="28"/>
          <w:rtl/>
        </w:rPr>
        <w:t xml:space="preserve"> </w:t>
      </w:r>
      <w:r w:rsidRPr="003F3B94">
        <w:rPr>
          <w:rFonts w:ascii="Lotus Linotype" w:hAnsi="Lotus Linotype" w:hint="cs"/>
          <w:sz w:val="28"/>
          <w:rtl/>
        </w:rPr>
        <w:t>لكتاب</w:t>
      </w:r>
      <w:r w:rsidR="00953581" w:rsidRPr="003F3B94">
        <w:rPr>
          <w:rFonts w:ascii="Lotus Linotype" w:hAnsi="Lotus Linotype" w:hint="cs"/>
          <w:sz w:val="28"/>
          <w:rtl/>
        </w:rPr>
        <w:t xml:space="preserve"> </w:t>
      </w:r>
      <w:r w:rsidRPr="003F3B94">
        <w:rPr>
          <w:rFonts w:ascii="Lotus Linotype" w:hAnsi="Lotus Linotype" w:hint="cs"/>
          <w:sz w:val="28"/>
          <w:rtl/>
        </w:rPr>
        <w:t>سبقه</w:t>
      </w:r>
      <w:r w:rsidR="00953581" w:rsidRPr="003F3B94">
        <w:rPr>
          <w:rFonts w:ascii="Lotus Linotype" w:hAnsi="Lotus Linotype" w:hint="cs"/>
          <w:sz w:val="28"/>
          <w:rtl/>
        </w:rPr>
        <w:t xml:space="preserve"> </w:t>
      </w:r>
      <w:r w:rsidRPr="003F3B94">
        <w:rPr>
          <w:rFonts w:ascii="Lotus Linotype" w:hAnsi="Lotus Linotype" w:hint="cs"/>
          <w:sz w:val="28"/>
          <w:rtl/>
        </w:rPr>
        <w:t>ألفه</w:t>
      </w:r>
      <w:r w:rsidR="00953581" w:rsidRPr="003F3B94">
        <w:rPr>
          <w:rFonts w:ascii="Lotus Linotype" w:hAnsi="Lotus Linotype" w:hint="cs"/>
          <w:sz w:val="28"/>
          <w:rtl/>
        </w:rPr>
        <w:t xml:space="preserve"> </w:t>
      </w:r>
      <w:r w:rsidRPr="003F3B94">
        <w:rPr>
          <w:rFonts w:ascii="Lotus Linotype" w:hAnsi="Lotus Linotype" w:hint="cs"/>
          <w:sz w:val="28"/>
          <w:rtl/>
        </w:rPr>
        <w:t>مؤلفه</w:t>
      </w:r>
      <w:r w:rsidR="00953581" w:rsidRPr="003F3B94">
        <w:rPr>
          <w:rFonts w:ascii="Lotus Linotype" w:hAnsi="Lotus Linotype" w:hint="cs"/>
          <w:sz w:val="28"/>
          <w:rtl/>
        </w:rPr>
        <w:t xml:space="preserve"> </w:t>
      </w:r>
      <w:r w:rsidRPr="003F3B94">
        <w:rPr>
          <w:rFonts w:ascii="Lotus Linotype" w:hAnsi="Lotus Linotype" w:hint="cs"/>
          <w:sz w:val="28"/>
          <w:rtl/>
        </w:rPr>
        <w:t>حول</w:t>
      </w:r>
      <w:r w:rsidR="00953581" w:rsidRPr="003F3B94">
        <w:rPr>
          <w:rFonts w:ascii="Lotus Linotype" w:hAnsi="Lotus Linotype" w:hint="cs"/>
          <w:sz w:val="28"/>
          <w:rtl/>
        </w:rPr>
        <w:t xml:space="preserve"> </w:t>
      </w:r>
      <w:r w:rsidRPr="003F3B94">
        <w:rPr>
          <w:rFonts w:ascii="Lotus Linotype" w:hAnsi="Lotus Linotype" w:hint="cs"/>
          <w:sz w:val="28"/>
          <w:rtl/>
        </w:rPr>
        <w:t>موضوع</w:t>
      </w:r>
      <w:r w:rsidR="00953581" w:rsidRPr="003F3B94">
        <w:rPr>
          <w:rFonts w:ascii="Lotus Linotype" w:hAnsi="Lotus Linotype" w:hint="cs"/>
          <w:sz w:val="28"/>
          <w:rtl/>
        </w:rPr>
        <w:t xml:space="preserve"> </w:t>
      </w:r>
      <w:r w:rsidRPr="003F3B94">
        <w:rPr>
          <w:rFonts w:ascii="Lotus Linotype" w:hAnsi="Lotus Linotype" w:hint="cs"/>
          <w:sz w:val="28"/>
          <w:rtl/>
        </w:rPr>
        <w:t>الزكاة</w:t>
      </w:r>
      <w:r w:rsidR="00953581" w:rsidRPr="003F3B94">
        <w:rPr>
          <w:rFonts w:ascii="Lotus Linotype" w:hAnsi="Lotus Linotype" w:hint="cs"/>
          <w:sz w:val="28"/>
          <w:rtl/>
        </w:rPr>
        <w:t xml:space="preserve"> </w:t>
      </w:r>
      <w:r w:rsidRPr="003F3B94">
        <w:rPr>
          <w:rFonts w:ascii="Lotus Linotype" w:hAnsi="Lotus Linotype" w:hint="cs"/>
          <w:sz w:val="28"/>
          <w:rtl/>
        </w:rPr>
        <w:t>نقد</w:t>
      </w:r>
      <w:r w:rsidR="00953581" w:rsidRPr="003F3B94">
        <w:rPr>
          <w:rFonts w:ascii="Lotus Linotype" w:hAnsi="Lotus Linotype" w:hint="cs"/>
          <w:sz w:val="28"/>
          <w:rtl/>
        </w:rPr>
        <w:t xml:space="preserve"> </w:t>
      </w:r>
      <w:r w:rsidRPr="003F3B94">
        <w:rPr>
          <w:rFonts w:ascii="Lotus Linotype" w:hAnsi="Lotus Linotype" w:hint="cs"/>
          <w:sz w:val="28"/>
          <w:rtl/>
        </w:rPr>
        <w:t>فيه</w:t>
      </w:r>
      <w:r w:rsidR="00953581" w:rsidRPr="003F3B94">
        <w:rPr>
          <w:rFonts w:ascii="Lotus Linotype" w:hAnsi="Lotus Linotype" w:hint="cs"/>
          <w:sz w:val="28"/>
          <w:rtl/>
        </w:rPr>
        <w:t xml:space="preserve"> </w:t>
      </w:r>
      <w:r w:rsidRPr="003F3B94">
        <w:rPr>
          <w:rFonts w:ascii="Lotus Linotype" w:hAnsi="Lotus Linotype" w:hint="cs"/>
          <w:sz w:val="28"/>
          <w:rtl/>
        </w:rPr>
        <w:t>المشهور</w:t>
      </w:r>
      <w:r w:rsidR="00953581" w:rsidRPr="003F3B94">
        <w:rPr>
          <w:rFonts w:ascii="Lotus Linotype" w:hAnsi="Lotus Linotype" w:hint="cs"/>
          <w:sz w:val="28"/>
          <w:rtl/>
        </w:rPr>
        <w:t xml:space="preserve"> </w:t>
      </w:r>
      <w:r w:rsidRPr="003F3B94">
        <w:rPr>
          <w:rFonts w:ascii="Lotus Linotype" w:hAnsi="Lotus Linotype" w:hint="cs"/>
          <w:sz w:val="28"/>
          <w:rtl/>
        </w:rPr>
        <w:t>في</w:t>
      </w:r>
      <w:r w:rsidR="00953581" w:rsidRPr="003F3B94">
        <w:rPr>
          <w:rFonts w:ascii="Lotus Linotype" w:hAnsi="Lotus Linotype" w:hint="cs"/>
          <w:sz w:val="28"/>
          <w:rtl/>
        </w:rPr>
        <w:t xml:space="preserve"> </w:t>
      </w:r>
      <w:r w:rsidRPr="003F3B94">
        <w:rPr>
          <w:rFonts w:ascii="Lotus Linotype" w:hAnsi="Lotus Linotype" w:hint="cs"/>
          <w:sz w:val="28"/>
          <w:rtl/>
        </w:rPr>
        <w:t>مذهب</w:t>
      </w:r>
      <w:r w:rsidR="00953581" w:rsidRPr="003F3B94">
        <w:rPr>
          <w:rFonts w:ascii="Lotus Linotype" w:hAnsi="Lotus Linotype" w:hint="cs"/>
          <w:sz w:val="28"/>
          <w:rtl/>
        </w:rPr>
        <w:t xml:space="preserve"> </w:t>
      </w:r>
      <w:r w:rsidRPr="003F3B94">
        <w:rPr>
          <w:rFonts w:ascii="Lotus Linotype" w:hAnsi="Lotus Linotype" w:hint="cs"/>
          <w:sz w:val="28"/>
          <w:rtl/>
        </w:rPr>
        <w:t>الإمامية</w:t>
      </w:r>
      <w:r w:rsidR="00953581" w:rsidRPr="003F3B94">
        <w:rPr>
          <w:rFonts w:ascii="Lotus Linotype" w:hAnsi="Lotus Linotype" w:hint="cs"/>
          <w:sz w:val="28"/>
          <w:rtl/>
        </w:rPr>
        <w:t xml:space="preserve"> </w:t>
      </w:r>
      <w:r w:rsidRPr="003F3B94">
        <w:rPr>
          <w:rFonts w:ascii="Lotus Linotype" w:hAnsi="Lotus Linotype" w:hint="cs"/>
          <w:sz w:val="28"/>
          <w:rtl/>
        </w:rPr>
        <w:t>من</w:t>
      </w:r>
      <w:r w:rsidR="00953581" w:rsidRPr="003F3B94">
        <w:rPr>
          <w:rFonts w:ascii="Lotus Linotype" w:hAnsi="Lotus Linotype" w:hint="cs"/>
          <w:sz w:val="28"/>
          <w:rtl/>
        </w:rPr>
        <w:t xml:space="preserve"> </w:t>
      </w:r>
      <w:r w:rsidRPr="003F3B94">
        <w:rPr>
          <w:rFonts w:ascii="Lotus Linotype" w:hAnsi="Lotus Linotype" w:hint="cs"/>
          <w:sz w:val="28"/>
          <w:rtl/>
        </w:rPr>
        <w:t>حصـر</w:t>
      </w:r>
      <w:r w:rsidR="00953581" w:rsidRPr="003F3B94">
        <w:rPr>
          <w:rFonts w:ascii="Lotus Linotype" w:hAnsi="Lotus Linotype" w:hint="cs"/>
          <w:sz w:val="28"/>
          <w:rtl/>
        </w:rPr>
        <w:t xml:space="preserve"> </w:t>
      </w:r>
      <w:r w:rsidRPr="003F3B94">
        <w:rPr>
          <w:rFonts w:ascii="Lotus Linotype" w:hAnsi="Lotus Linotype" w:hint="cs"/>
          <w:sz w:val="28"/>
          <w:rtl/>
        </w:rPr>
        <w:t>الزكاة</w:t>
      </w:r>
      <w:r w:rsidR="00953581" w:rsidRPr="003F3B94">
        <w:rPr>
          <w:rFonts w:ascii="Lotus Linotype" w:hAnsi="Lotus Linotype" w:hint="cs"/>
          <w:sz w:val="28"/>
          <w:rtl/>
        </w:rPr>
        <w:t xml:space="preserve"> </w:t>
      </w:r>
      <w:r w:rsidRPr="003F3B94">
        <w:rPr>
          <w:rFonts w:ascii="Lotus Linotype" w:hAnsi="Lotus Linotype" w:hint="cs"/>
          <w:sz w:val="28"/>
          <w:rtl/>
        </w:rPr>
        <w:t>في</w:t>
      </w:r>
      <w:r w:rsidR="00953581" w:rsidRPr="003F3B94">
        <w:rPr>
          <w:rFonts w:ascii="Lotus Linotype" w:hAnsi="Lotus Linotype" w:hint="cs"/>
          <w:sz w:val="28"/>
          <w:rtl/>
        </w:rPr>
        <w:t xml:space="preserve"> </w:t>
      </w:r>
      <w:r w:rsidRPr="003F3B94">
        <w:rPr>
          <w:rFonts w:ascii="Lotus Linotype" w:hAnsi="Lotus Linotype" w:hint="cs"/>
          <w:sz w:val="28"/>
          <w:rtl/>
        </w:rPr>
        <w:t>الأجناس</w:t>
      </w:r>
      <w:r w:rsidR="00953581" w:rsidRPr="003F3B94">
        <w:rPr>
          <w:rFonts w:ascii="Lotus Linotype" w:hAnsi="Lotus Linotype" w:hint="cs"/>
          <w:sz w:val="28"/>
          <w:rtl/>
        </w:rPr>
        <w:t xml:space="preserve"> </w:t>
      </w:r>
      <w:r w:rsidRPr="003F3B94">
        <w:rPr>
          <w:rFonts w:ascii="Lotus Linotype" w:hAnsi="Lotus Linotype" w:hint="cs"/>
          <w:sz w:val="28"/>
          <w:rtl/>
        </w:rPr>
        <w:t>التسعة</w:t>
      </w:r>
      <w:r w:rsidR="00953581" w:rsidRPr="003F3B94">
        <w:rPr>
          <w:rFonts w:ascii="Lotus Linotype" w:hAnsi="Lotus Linotype" w:hint="cs"/>
          <w:sz w:val="28"/>
          <w:rtl/>
        </w:rPr>
        <w:t xml:space="preserve"> </w:t>
      </w:r>
      <w:r w:rsidRPr="003F3B94">
        <w:rPr>
          <w:rFonts w:ascii="Lotus Linotype" w:hAnsi="Lotus Linotype" w:hint="cs"/>
          <w:sz w:val="28"/>
          <w:rtl/>
        </w:rPr>
        <w:t>مع</w:t>
      </w:r>
      <w:r w:rsidR="00953581" w:rsidRPr="003F3B94">
        <w:rPr>
          <w:rFonts w:ascii="Lotus Linotype" w:hAnsi="Lotus Linotype" w:hint="cs"/>
          <w:sz w:val="28"/>
          <w:rtl/>
        </w:rPr>
        <w:t xml:space="preserve"> </w:t>
      </w:r>
      <w:r w:rsidRPr="003F3B94">
        <w:rPr>
          <w:rFonts w:ascii="Lotus Linotype" w:hAnsi="Lotus Linotype" w:hint="cs"/>
          <w:sz w:val="28"/>
          <w:rtl/>
        </w:rPr>
        <w:t>تحديد</w:t>
      </w:r>
      <w:r w:rsidR="00953581" w:rsidRPr="003F3B94">
        <w:rPr>
          <w:rFonts w:ascii="Lotus Linotype" w:hAnsi="Lotus Linotype" w:hint="cs"/>
          <w:sz w:val="28"/>
          <w:rtl/>
        </w:rPr>
        <w:t xml:space="preserve"> </w:t>
      </w:r>
      <w:r w:rsidRPr="003F3B94">
        <w:rPr>
          <w:rFonts w:ascii="Lotus Linotype" w:hAnsi="Lotus Linotype" w:hint="cs"/>
          <w:sz w:val="28"/>
          <w:rtl/>
        </w:rPr>
        <w:t>شروط</w:t>
      </w:r>
      <w:r w:rsidR="00953581" w:rsidRPr="003F3B94">
        <w:rPr>
          <w:rFonts w:ascii="Lotus Linotype" w:hAnsi="Lotus Linotype" w:hint="cs"/>
          <w:sz w:val="28"/>
          <w:rtl/>
        </w:rPr>
        <w:t xml:space="preserve"> </w:t>
      </w:r>
      <w:r w:rsidRPr="003F3B94">
        <w:rPr>
          <w:rFonts w:ascii="Lotus Linotype" w:hAnsi="Lotus Linotype" w:hint="cs"/>
          <w:sz w:val="28"/>
          <w:rtl/>
        </w:rPr>
        <w:t>عديدة</w:t>
      </w:r>
      <w:r w:rsidR="00953581" w:rsidRPr="003F3B94">
        <w:rPr>
          <w:rFonts w:ascii="Lotus Linotype" w:hAnsi="Lotus Linotype" w:hint="cs"/>
          <w:sz w:val="28"/>
          <w:rtl/>
        </w:rPr>
        <w:t xml:space="preserve"> </w:t>
      </w:r>
      <w:r w:rsidRPr="003F3B94">
        <w:rPr>
          <w:rFonts w:ascii="Lotus Linotype" w:hAnsi="Lotus Linotype" w:hint="cs"/>
          <w:sz w:val="28"/>
          <w:rtl/>
        </w:rPr>
        <w:t>لوجوبها</w:t>
      </w:r>
      <w:r w:rsidR="00953581" w:rsidRPr="003F3B94">
        <w:rPr>
          <w:rFonts w:ascii="Lotus Linotype" w:hAnsi="Lotus Linotype" w:hint="cs"/>
          <w:sz w:val="28"/>
          <w:rtl/>
        </w:rPr>
        <w:t xml:space="preserve"> </w:t>
      </w:r>
      <w:r w:rsidRPr="003F3B94">
        <w:rPr>
          <w:rFonts w:ascii="Lotus Linotype" w:hAnsi="Lotus Linotype" w:hint="cs"/>
          <w:sz w:val="28"/>
          <w:rtl/>
        </w:rPr>
        <w:t>مما</w:t>
      </w:r>
      <w:r w:rsidR="00953581" w:rsidRPr="003F3B94">
        <w:rPr>
          <w:rFonts w:ascii="Lotus Linotype" w:hAnsi="Lotus Linotype" w:hint="cs"/>
          <w:sz w:val="28"/>
          <w:rtl/>
        </w:rPr>
        <w:t xml:space="preserve"> </w:t>
      </w:r>
      <w:r w:rsidRPr="003F3B94">
        <w:rPr>
          <w:rFonts w:ascii="Lotus Linotype" w:hAnsi="Lotus Linotype" w:hint="cs"/>
          <w:sz w:val="28"/>
          <w:rtl/>
        </w:rPr>
        <w:t>أسقط</w:t>
      </w:r>
      <w:r w:rsidR="00953581" w:rsidRPr="003F3B94">
        <w:rPr>
          <w:rFonts w:ascii="Lotus Linotype" w:hAnsi="Lotus Linotype" w:hint="cs"/>
          <w:sz w:val="28"/>
          <w:rtl/>
        </w:rPr>
        <w:t xml:space="preserve"> </w:t>
      </w:r>
      <w:r w:rsidRPr="003F3B94">
        <w:rPr>
          <w:rFonts w:ascii="Lotus Linotype" w:hAnsi="Lotus Linotype" w:hint="cs"/>
          <w:sz w:val="28"/>
          <w:rtl/>
        </w:rPr>
        <w:t>أهميتها</w:t>
      </w:r>
      <w:r w:rsidR="00953581" w:rsidRPr="003F3B94">
        <w:rPr>
          <w:rFonts w:ascii="Lotus Linotype" w:hAnsi="Lotus Linotype" w:hint="cs"/>
          <w:sz w:val="28"/>
          <w:rtl/>
        </w:rPr>
        <w:t xml:space="preserve"> </w:t>
      </w:r>
      <w:r w:rsidRPr="003F3B94">
        <w:rPr>
          <w:rFonts w:ascii="Lotus Linotype" w:hAnsi="Lotus Linotype" w:hint="cs"/>
          <w:sz w:val="28"/>
          <w:rtl/>
        </w:rPr>
        <w:t>في</w:t>
      </w:r>
      <w:r w:rsidR="00953581" w:rsidRPr="003F3B94">
        <w:rPr>
          <w:rFonts w:ascii="Lotus Linotype" w:hAnsi="Lotus Linotype" w:hint="cs"/>
          <w:sz w:val="28"/>
          <w:rtl/>
        </w:rPr>
        <w:t xml:space="preserve"> </w:t>
      </w:r>
      <w:r w:rsidRPr="003F3B94">
        <w:rPr>
          <w:rFonts w:ascii="Lotus Linotype" w:hAnsi="Lotus Linotype" w:hint="cs"/>
          <w:sz w:val="28"/>
          <w:rtl/>
        </w:rPr>
        <w:t>عصورنا</w:t>
      </w:r>
      <w:r w:rsidR="00953581" w:rsidRPr="003F3B94">
        <w:rPr>
          <w:rFonts w:ascii="Lotus Linotype" w:hAnsi="Lotus Linotype" w:hint="cs"/>
          <w:sz w:val="28"/>
          <w:rtl/>
        </w:rPr>
        <w:t xml:space="preserve"> </w:t>
      </w:r>
      <w:r w:rsidRPr="003F3B94">
        <w:rPr>
          <w:rFonts w:ascii="Lotus Linotype" w:hAnsi="Lotus Linotype" w:hint="cs"/>
          <w:sz w:val="28"/>
          <w:rtl/>
        </w:rPr>
        <w:t>الحالية</w:t>
      </w:r>
      <w:r w:rsidR="00217AB4" w:rsidRPr="003F3B94">
        <w:rPr>
          <w:rFonts w:ascii="Lotus Linotype" w:hAnsi="Lotus Linotype" w:hint="cs"/>
          <w:sz w:val="28"/>
          <w:rtl/>
        </w:rPr>
        <w:t>،</w:t>
      </w:r>
      <w:r w:rsidR="00953581" w:rsidRPr="003F3B94">
        <w:rPr>
          <w:rFonts w:ascii="Lotus Linotype" w:hAnsi="Lotus Linotype" w:hint="cs"/>
          <w:sz w:val="28"/>
          <w:rtl/>
        </w:rPr>
        <w:t xml:space="preserve"> </w:t>
      </w:r>
      <w:r w:rsidRPr="003F3B94">
        <w:rPr>
          <w:rFonts w:ascii="Lotus Linotype" w:hAnsi="Lotus Linotype" w:hint="cs"/>
          <w:sz w:val="28"/>
          <w:rtl/>
        </w:rPr>
        <w:t>وأثبت</w:t>
      </w:r>
      <w:r w:rsidR="00953581" w:rsidRPr="003F3B94">
        <w:rPr>
          <w:rFonts w:ascii="Lotus Linotype" w:hAnsi="Lotus Linotype" w:hint="cs"/>
          <w:sz w:val="28"/>
          <w:rtl/>
        </w:rPr>
        <w:t xml:space="preserve"> </w:t>
      </w:r>
      <w:r w:rsidRPr="003F3B94">
        <w:rPr>
          <w:rFonts w:ascii="Lotus Linotype" w:hAnsi="Lotus Linotype" w:hint="cs"/>
          <w:sz w:val="28"/>
          <w:rtl/>
        </w:rPr>
        <w:t>فيه</w:t>
      </w:r>
      <w:r w:rsidR="00953581" w:rsidRPr="003F3B94">
        <w:rPr>
          <w:rFonts w:ascii="Lotus Linotype" w:hAnsi="Lotus Linotype" w:hint="cs"/>
          <w:sz w:val="28"/>
          <w:rtl/>
        </w:rPr>
        <w:t xml:space="preserve"> </w:t>
      </w:r>
      <w:r w:rsidRPr="003F3B94">
        <w:rPr>
          <w:rFonts w:ascii="Lotus Linotype" w:hAnsi="Lotus Linotype" w:hint="cs"/>
          <w:sz w:val="28"/>
          <w:rtl/>
        </w:rPr>
        <w:t>وجوب</w:t>
      </w:r>
      <w:r w:rsidR="00953581" w:rsidRPr="003F3B94">
        <w:rPr>
          <w:rFonts w:ascii="Lotus Linotype" w:hAnsi="Lotus Linotype" w:hint="cs"/>
          <w:sz w:val="28"/>
          <w:rtl/>
        </w:rPr>
        <w:t xml:space="preserve"> </w:t>
      </w:r>
      <w:r w:rsidRPr="003F3B94">
        <w:rPr>
          <w:rFonts w:ascii="Lotus Linotype" w:hAnsi="Lotus Linotype" w:hint="cs"/>
          <w:sz w:val="28"/>
          <w:rtl/>
        </w:rPr>
        <w:t>الزكاة</w:t>
      </w:r>
      <w:r w:rsidR="00953581" w:rsidRPr="003F3B94">
        <w:rPr>
          <w:rFonts w:ascii="Lotus Linotype" w:hAnsi="Lotus Linotype" w:hint="cs"/>
          <w:sz w:val="28"/>
          <w:rtl/>
        </w:rPr>
        <w:t xml:space="preserve"> </w:t>
      </w:r>
      <w:r w:rsidRPr="003F3B94">
        <w:rPr>
          <w:rFonts w:ascii="Lotus Linotype" w:hAnsi="Lotus Linotype" w:hint="cs"/>
          <w:sz w:val="28"/>
          <w:rtl/>
        </w:rPr>
        <w:t>في</w:t>
      </w:r>
      <w:r w:rsidR="00953581" w:rsidRPr="003F3B94">
        <w:rPr>
          <w:rFonts w:ascii="Lotus Linotype" w:hAnsi="Lotus Linotype" w:hint="cs"/>
          <w:sz w:val="28"/>
          <w:rtl/>
        </w:rPr>
        <w:t xml:space="preserve"> </w:t>
      </w:r>
      <w:r w:rsidRPr="003F3B94">
        <w:rPr>
          <w:rFonts w:ascii="Lotus Linotype" w:hAnsi="Lotus Linotype" w:hint="cs"/>
          <w:sz w:val="28"/>
          <w:rtl/>
        </w:rPr>
        <w:t>مطلق</w:t>
      </w:r>
      <w:r w:rsidR="00953581" w:rsidRPr="003F3B94">
        <w:rPr>
          <w:rFonts w:ascii="Lotus Linotype" w:hAnsi="Lotus Linotype" w:hint="cs"/>
          <w:sz w:val="28"/>
          <w:rtl/>
        </w:rPr>
        <w:t xml:space="preserve"> </w:t>
      </w:r>
      <w:r w:rsidRPr="003F3B94">
        <w:rPr>
          <w:rFonts w:ascii="Lotus Linotype" w:hAnsi="Lotus Linotype" w:hint="cs"/>
          <w:sz w:val="28"/>
          <w:rtl/>
        </w:rPr>
        <w:t>النقد</w:t>
      </w:r>
      <w:r w:rsidR="00953581" w:rsidRPr="003F3B94">
        <w:rPr>
          <w:rFonts w:ascii="Lotus Linotype" w:hAnsi="Lotus Linotype" w:hint="cs"/>
          <w:sz w:val="28"/>
          <w:rtl/>
        </w:rPr>
        <w:t xml:space="preserve"> </w:t>
      </w:r>
      <w:r w:rsidR="00217AB4" w:rsidRPr="003F3B94">
        <w:rPr>
          <w:rFonts w:ascii="Lotus Linotype" w:hAnsi="Lotus Linotype" w:hint="cs"/>
          <w:sz w:val="28"/>
          <w:rtl/>
        </w:rPr>
        <w:t>(</w:t>
      </w:r>
      <w:r w:rsidRPr="003F3B94">
        <w:rPr>
          <w:rFonts w:ascii="Lotus Linotype" w:hAnsi="Lotus Linotype" w:hint="cs"/>
          <w:sz w:val="28"/>
          <w:rtl/>
        </w:rPr>
        <w:t>بما</w:t>
      </w:r>
      <w:r w:rsidR="00953581" w:rsidRPr="003F3B94">
        <w:rPr>
          <w:rFonts w:ascii="Lotus Linotype" w:hAnsi="Lotus Linotype" w:hint="cs"/>
          <w:sz w:val="28"/>
          <w:rtl/>
        </w:rPr>
        <w:t xml:space="preserve"> </w:t>
      </w:r>
      <w:r w:rsidRPr="003F3B94">
        <w:rPr>
          <w:rFonts w:ascii="Lotus Linotype" w:hAnsi="Lotus Linotype" w:hint="cs"/>
          <w:sz w:val="28"/>
          <w:rtl/>
        </w:rPr>
        <w:t>في</w:t>
      </w:r>
      <w:r w:rsidR="00953581" w:rsidRPr="003F3B94">
        <w:rPr>
          <w:rFonts w:ascii="Lotus Linotype" w:hAnsi="Lotus Linotype" w:hint="cs"/>
          <w:sz w:val="28"/>
          <w:rtl/>
        </w:rPr>
        <w:t xml:space="preserve"> </w:t>
      </w:r>
      <w:r w:rsidRPr="003F3B94">
        <w:rPr>
          <w:rFonts w:ascii="Lotus Linotype" w:hAnsi="Lotus Linotype" w:hint="cs"/>
          <w:sz w:val="28"/>
          <w:rtl/>
        </w:rPr>
        <w:t>ذلك</w:t>
      </w:r>
      <w:r w:rsidR="00953581" w:rsidRPr="003F3B94">
        <w:rPr>
          <w:rFonts w:ascii="Lotus Linotype" w:hAnsi="Lotus Linotype" w:hint="cs"/>
          <w:sz w:val="28"/>
          <w:rtl/>
        </w:rPr>
        <w:t xml:space="preserve"> </w:t>
      </w:r>
      <w:r w:rsidRPr="003F3B94">
        <w:rPr>
          <w:rFonts w:ascii="Lotus Linotype" w:hAnsi="Lotus Linotype" w:hint="cs"/>
          <w:sz w:val="28"/>
          <w:rtl/>
        </w:rPr>
        <w:t>العملات</w:t>
      </w:r>
      <w:r w:rsidR="00953581" w:rsidRPr="003F3B94">
        <w:rPr>
          <w:rFonts w:ascii="Lotus Linotype" w:hAnsi="Lotus Linotype" w:hint="cs"/>
          <w:sz w:val="28"/>
          <w:rtl/>
        </w:rPr>
        <w:t xml:space="preserve"> </w:t>
      </w:r>
      <w:r w:rsidRPr="003F3B94">
        <w:rPr>
          <w:rFonts w:ascii="Lotus Linotype" w:hAnsi="Lotus Linotype" w:hint="cs"/>
          <w:sz w:val="28"/>
          <w:rtl/>
        </w:rPr>
        <w:t>المتداول</w:t>
      </w:r>
      <w:r w:rsidR="00953581" w:rsidRPr="003F3B94">
        <w:rPr>
          <w:rFonts w:ascii="Lotus Linotype" w:hAnsi="Lotus Linotype" w:hint="cs"/>
          <w:sz w:val="28"/>
          <w:rtl/>
        </w:rPr>
        <w:t xml:space="preserve"> </w:t>
      </w:r>
      <w:r w:rsidRPr="003F3B94">
        <w:rPr>
          <w:rFonts w:ascii="Lotus Linotype" w:hAnsi="Lotus Linotype" w:hint="cs"/>
          <w:sz w:val="28"/>
          <w:rtl/>
        </w:rPr>
        <w:t>بها</w:t>
      </w:r>
      <w:r w:rsidR="00953581" w:rsidRPr="003F3B94">
        <w:rPr>
          <w:rFonts w:ascii="Lotus Linotype" w:hAnsi="Lotus Linotype" w:hint="cs"/>
          <w:sz w:val="28"/>
          <w:rtl/>
        </w:rPr>
        <w:t xml:space="preserve"> </w:t>
      </w:r>
      <w:r w:rsidRPr="003F3B94">
        <w:rPr>
          <w:rFonts w:ascii="Lotus Linotype" w:hAnsi="Lotus Linotype" w:hint="cs"/>
          <w:sz w:val="28"/>
          <w:rtl/>
        </w:rPr>
        <w:t>حالياً</w:t>
      </w:r>
      <w:r w:rsidR="00953581" w:rsidRPr="003F3B94">
        <w:rPr>
          <w:rFonts w:ascii="Lotus Linotype" w:hAnsi="Lotus Linotype" w:hint="cs"/>
          <w:sz w:val="28"/>
          <w:rtl/>
        </w:rPr>
        <w:t xml:space="preserve"> </w:t>
      </w:r>
      <w:r w:rsidRPr="003F3B94">
        <w:rPr>
          <w:rFonts w:ascii="Lotus Linotype" w:hAnsi="Lotus Linotype" w:hint="cs"/>
          <w:sz w:val="28"/>
          <w:rtl/>
        </w:rPr>
        <w:t>ولو</w:t>
      </w:r>
      <w:r w:rsidR="00953581" w:rsidRPr="003F3B94">
        <w:rPr>
          <w:rFonts w:ascii="Lotus Linotype" w:hAnsi="Lotus Linotype" w:hint="cs"/>
          <w:sz w:val="28"/>
          <w:rtl/>
        </w:rPr>
        <w:t xml:space="preserve"> </w:t>
      </w:r>
      <w:r w:rsidRPr="003F3B94">
        <w:rPr>
          <w:rFonts w:ascii="Lotus Linotype" w:hAnsi="Lotus Linotype" w:hint="cs"/>
          <w:sz w:val="28"/>
          <w:rtl/>
        </w:rPr>
        <w:t>لم</w:t>
      </w:r>
      <w:r w:rsidR="00953581" w:rsidRPr="003F3B94">
        <w:rPr>
          <w:rFonts w:ascii="Lotus Linotype" w:hAnsi="Lotus Linotype" w:hint="cs"/>
          <w:sz w:val="28"/>
          <w:rtl/>
        </w:rPr>
        <w:t xml:space="preserve"> </w:t>
      </w:r>
      <w:r w:rsidRPr="003F3B94">
        <w:rPr>
          <w:rFonts w:ascii="Lotus Linotype" w:hAnsi="Lotus Linotype" w:hint="cs"/>
          <w:sz w:val="28"/>
          <w:rtl/>
        </w:rPr>
        <w:t>تكن</w:t>
      </w:r>
      <w:r w:rsidR="00953581" w:rsidRPr="003F3B94">
        <w:rPr>
          <w:rFonts w:ascii="Lotus Linotype" w:hAnsi="Lotus Linotype" w:hint="cs"/>
          <w:sz w:val="28"/>
          <w:rtl/>
        </w:rPr>
        <w:t xml:space="preserve"> </w:t>
      </w:r>
      <w:r w:rsidRPr="003F3B94">
        <w:rPr>
          <w:rFonts w:ascii="Lotus Linotype" w:hAnsi="Lotus Linotype" w:hint="cs"/>
          <w:sz w:val="28"/>
          <w:rtl/>
        </w:rPr>
        <w:t>من</w:t>
      </w:r>
      <w:r w:rsidR="00953581" w:rsidRPr="003F3B94">
        <w:rPr>
          <w:rFonts w:ascii="Lotus Linotype" w:hAnsi="Lotus Linotype" w:hint="cs"/>
          <w:sz w:val="28"/>
          <w:rtl/>
        </w:rPr>
        <w:t xml:space="preserve"> </w:t>
      </w:r>
      <w:r w:rsidRPr="003F3B94">
        <w:rPr>
          <w:rFonts w:ascii="Lotus Linotype" w:hAnsi="Lotus Linotype" w:hint="cs"/>
          <w:sz w:val="28"/>
          <w:rtl/>
        </w:rPr>
        <w:t>الذهب</w:t>
      </w:r>
      <w:r w:rsidR="00953581" w:rsidRPr="003F3B94">
        <w:rPr>
          <w:rFonts w:ascii="Lotus Linotype" w:hAnsi="Lotus Linotype" w:hint="cs"/>
          <w:sz w:val="28"/>
          <w:rtl/>
        </w:rPr>
        <w:t xml:space="preserve"> </w:t>
      </w:r>
      <w:r w:rsidRPr="003F3B94">
        <w:rPr>
          <w:rFonts w:ascii="Lotus Linotype" w:hAnsi="Lotus Linotype" w:hint="cs"/>
          <w:sz w:val="28"/>
          <w:rtl/>
        </w:rPr>
        <w:t>أو</w:t>
      </w:r>
      <w:r w:rsidR="00953581" w:rsidRPr="003F3B94">
        <w:rPr>
          <w:rFonts w:ascii="Lotus Linotype" w:hAnsi="Lotus Linotype" w:hint="cs"/>
          <w:sz w:val="28"/>
          <w:rtl/>
        </w:rPr>
        <w:t xml:space="preserve"> </w:t>
      </w:r>
      <w:r w:rsidRPr="003F3B94">
        <w:rPr>
          <w:rFonts w:ascii="Lotus Linotype" w:hAnsi="Lotus Linotype" w:hint="cs"/>
          <w:sz w:val="28"/>
          <w:rtl/>
        </w:rPr>
        <w:t>الفضة</w:t>
      </w:r>
      <w:r w:rsidR="00217AB4" w:rsidRPr="003F3B94">
        <w:rPr>
          <w:rFonts w:ascii="Lotus Linotype" w:hAnsi="Lotus Linotype" w:hint="cs"/>
          <w:sz w:val="28"/>
          <w:rtl/>
        </w:rPr>
        <w:t>)،</w:t>
      </w:r>
      <w:r w:rsidR="00953581" w:rsidRPr="003F3B94">
        <w:rPr>
          <w:rFonts w:ascii="Lotus Linotype" w:hAnsi="Lotus Linotype" w:hint="cs"/>
          <w:sz w:val="28"/>
          <w:rtl/>
        </w:rPr>
        <w:t xml:space="preserve"> </w:t>
      </w:r>
      <w:r w:rsidRPr="003F3B94">
        <w:rPr>
          <w:rFonts w:ascii="Lotus Linotype" w:hAnsi="Lotus Linotype" w:hint="cs"/>
          <w:sz w:val="28"/>
          <w:rtl/>
        </w:rPr>
        <w:t>وفي</w:t>
      </w:r>
      <w:r w:rsidR="00953581" w:rsidRPr="003F3B94">
        <w:rPr>
          <w:rFonts w:ascii="Lotus Linotype" w:hAnsi="Lotus Linotype" w:hint="cs"/>
          <w:sz w:val="28"/>
          <w:rtl/>
        </w:rPr>
        <w:t xml:space="preserve"> </w:t>
      </w:r>
      <w:r w:rsidRPr="003F3B94">
        <w:rPr>
          <w:rFonts w:ascii="Lotus Linotype" w:hAnsi="Lotus Linotype" w:hint="cs"/>
          <w:sz w:val="28"/>
          <w:rtl/>
        </w:rPr>
        <w:lastRenderedPageBreak/>
        <w:t>جميع</w:t>
      </w:r>
      <w:r w:rsidR="00953581" w:rsidRPr="003F3B94">
        <w:rPr>
          <w:rFonts w:ascii="Lotus Linotype" w:hAnsi="Lotus Linotype" w:hint="cs"/>
          <w:sz w:val="28"/>
          <w:rtl/>
        </w:rPr>
        <w:t xml:space="preserve"> </w:t>
      </w:r>
      <w:r w:rsidRPr="003F3B94">
        <w:rPr>
          <w:rFonts w:ascii="Lotus Linotype" w:hAnsi="Lotus Linotype" w:hint="cs"/>
          <w:sz w:val="28"/>
          <w:rtl/>
        </w:rPr>
        <w:t>الغلات</w:t>
      </w:r>
      <w:r w:rsidR="00953581" w:rsidRPr="003F3B94">
        <w:rPr>
          <w:rFonts w:ascii="Lotus Linotype" w:hAnsi="Lotus Linotype" w:hint="cs"/>
          <w:sz w:val="28"/>
          <w:rtl/>
        </w:rPr>
        <w:t xml:space="preserve"> </w:t>
      </w:r>
      <w:r w:rsidRPr="003F3B94">
        <w:rPr>
          <w:rFonts w:ascii="Lotus Linotype" w:hAnsi="Lotus Linotype" w:hint="cs"/>
          <w:sz w:val="28"/>
          <w:rtl/>
        </w:rPr>
        <w:t>والحبوب</w:t>
      </w:r>
      <w:r w:rsidR="00953581" w:rsidRPr="003F3B94">
        <w:rPr>
          <w:rFonts w:ascii="Lotus Linotype" w:hAnsi="Lotus Linotype" w:hint="cs"/>
          <w:sz w:val="28"/>
          <w:rtl/>
        </w:rPr>
        <w:t xml:space="preserve"> </w:t>
      </w:r>
      <w:r w:rsidRPr="003F3B94">
        <w:rPr>
          <w:rFonts w:ascii="Lotus Linotype" w:hAnsi="Lotus Linotype" w:hint="cs"/>
          <w:sz w:val="28"/>
          <w:rtl/>
        </w:rPr>
        <w:t>والثمار</w:t>
      </w:r>
      <w:r w:rsidR="00953581" w:rsidRPr="003F3B94">
        <w:rPr>
          <w:rFonts w:ascii="Lotus Linotype" w:hAnsi="Lotus Linotype" w:hint="cs"/>
          <w:sz w:val="28"/>
          <w:rtl/>
        </w:rPr>
        <w:t xml:space="preserve"> </w:t>
      </w:r>
      <w:r w:rsidRPr="003F3B94">
        <w:rPr>
          <w:rFonts w:ascii="Lotus Linotype" w:hAnsi="Lotus Linotype" w:hint="cs"/>
          <w:sz w:val="28"/>
          <w:rtl/>
        </w:rPr>
        <w:t>الزراعية</w:t>
      </w:r>
      <w:r w:rsidR="00953581" w:rsidRPr="003F3B94">
        <w:rPr>
          <w:rFonts w:ascii="Lotus Linotype" w:hAnsi="Lotus Linotype" w:hint="cs"/>
          <w:sz w:val="28"/>
          <w:rtl/>
        </w:rPr>
        <w:t xml:space="preserve"> </w:t>
      </w:r>
      <w:r w:rsidRPr="003F3B94">
        <w:rPr>
          <w:rFonts w:ascii="Lotus Linotype" w:hAnsi="Lotus Linotype" w:hint="cs"/>
          <w:sz w:val="28"/>
          <w:rtl/>
        </w:rPr>
        <w:t>وفي</w:t>
      </w:r>
      <w:r w:rsidR="00953581" w:rsidRPr="003F3B94">
        <w:rPr>
          <w:rFonts w:ascii="Lotus Linotype" w:hAnsi="Lotus Linotype" w:hint="cs"/>
          <w:sz w:val="28"/>
          <w:rtl/>
        </w:rPr>
        <w:t xml:space="preserve"> </w:t>
      </w:r>
      <w:r w:rsidRPr="003F3B94">
        <w:rPr>
          <w:rFonts w:ascii="Lotus Linotype" w:hAnsi="Lotus Linotype" w:hint="cs"/>
          <w:sz w:val="28"/>
          <w:rtl/>
        </w:rPr>
        <w:t>مال</w:t>
      </w:r>
      <w:r w:rsidR="00953581" w:rsidRPr="003F3B94">
        <w:rPr>
          <w:rFonts w:ascii="Lotus Linotype" w:hAnsi="Lotus Linotype" w:hint="cs"/>
          <w:sz w:val="28"/>
          <w:rtl/>
        </w:rPr>
        <w:t xml:space="preserve"> </w:t>
      </w:r>
      <w:r w:rsidRPr="003F3B94">
        <w:rPr>
          <w:rFonts w:ascii="Lotus Linotype" w:hAnsi="Lotus Linotype" w:hint="cs"/>
          <w:sz w:val="28"/>
          <w:rtl/>
        </w:rPr>
        <w:t>التجارة</w:t>
      </w:r>
      <w:r w:rsidR="00217AB4" w:rsidRPr="003F3B94">
        <w:rPr>
          <w:rFonts w:ascii="Lotus Linotype" w:hAnsi="Lotus Linotype" w:hint="cs"/>
          <w:sz w:val="28"/>
          <w:rtl/>
        </w:rPr>
        <w:t>،</w:t>
      </w:r>
      <w:r w:rsidR="00953581" w:rsidRPr="003F3B94">
        <w:rPr>
          <w:rFonts w:ascii="Lotus Linotype" w:hAnsi="Lotus Linotype" w:hint="cs"/>
          <w:sz w:val="28"/>
          <w:rtl/>
        </w:rPr>
        <w:t xml:space="preserve"> </w:t>
      </w:r>
      <w:r w:rsidRPr="003F3B94">
        <w:rPr>
          <w:rFonts w:ascii="Lotus Linotype" w:hAnsi="Lotus Linotype" w:hint="cs"/>
          <w:sz w:val="28"/>
          <w:rtl/>
        </w:rPr>
        <w:t>وقد</w:t>
      </w:r>
      <w:r w:rsidR="00953581" w:rsidRPr="003F3B94">
        <w:rPr>
          <w:rFonts w:ascii="Lotus Linotype" w:hAnsi="Lotus Linotype" w:hint="cs"/>
          <w:sz w:val="28"/>
          <w:rtl/>
        </w:rPr>
        <w:t xml:space="preserve"> </w:t>
      </w:r>
      <w:r w:rsidRPr="003F3B94">
        <w:rPr>
          <w:rFonts w:ascii="Lotus Linotype" w:hAnsi="Lotus Linotype" w:hint="cs"/>
          <w:sz w:val="28"/>
          <w:rtl/>
        </w:rPr>
        <w:t>أحال</w:t>
      </w:r>
      <w:r w:rsidR="00953581" w:rsidRPr="003F3B94">
        <w:rPr>
          <w:rFonts w:ascii="Lotus Linotype" w:hAnsi="Lotus Linotype" w:hint="cs"/>
          <w:sz w:val="28"/>
          <w:rtl/>
        </w:rPr>
        <w:t xml:space="preserve"> </w:t>
      </w:r>
      <w:r w:rsidRPr="003F3B94">
        <w:rPr>
          <w:rFonts w:ascii="Lotus Linotype" w:hAnsi="Lotus Linotype" w:hint="cs"/>
          <w:sz w:val="28"/>
          <w:rtl/>
        </w:rPr>
        <w:t>كثيراً</w:t>
      </w:r>
      <w:r w:rsidR="00953581" w:rsidRPr="003F3B94">
        <w:rPr>
          <w:rFonts w:ascii="Lotus Linotype" w:hAnsi="Lotus Linotype" w:hint="cs"/>
          <w:sz w:val="28"/>
          <w:rtl/>
        </w:rPr>
        <w:t xml:space="preserve"> </w:t>
      </w:r>
      <w:r w:rsidRPr="003F3B94">
        <w:rPr>
          <w:rFonts w:ascii="Lotus Linotype" w:hAnsi="Lotus Linotype" w:hint="cs"/>
          <w:sz w:val="28"/>
          <w:rtl/>
        </w:rPr>
        <w:t>في</w:t>
      </w:r>
      <w:r w:rsidR="00953581" w:rsidRPr="003F3B94">
        <w:rPr>
          <w:rFonts w:ascii="Lotus Linotype" w:hAnsi="Lotus Linotype" w:hint="cs"/>
          <w:sz w:val="28"/>
          <w:rtl/>
        </w:rPr>
        <w:t xml:space="preserve"> </w:t>
      </w:r>
      <w:r w:rsidRPr="003F3B94">
        <w:rPr>
          <w:rFonts w:ascii="Lotus Linotype" w:hAnsi="Lotus Linotype" w:hint="cs"/>
          <w:sz w:val="28"/>
          <w:rtl/>
        </w:rPr>
        <w:t>كتابه</w:t>
      </w:r>
      <w:r w:rsidR="00953581" w:rsidRPr="003F3B94">
        <w:rPr>
          <w:rFonts w:ascii="Lotus Linotype" w:hAnsi="Lotus Linotype" w:hint="cs"/>
          <w:sz w:val="28"/>
          <w:rtl/>
        </w:rPr>
        <w:t xml:space="preserve"> </w:t>
      </w:r>
      <w:r w:rsidRPr="003F3B94">
        <w:rPr>
          <w:rFonts w:ascii="Lotus Linotype" w:hAnsi="Lotus Linotype" w:hint="cs"/>
          <w:sz w:val="28"/>
          <w:rtl/>
        </w:rPr>
        <w:t>الحالي</w:t>
      </w:r>
      <w:r w:rsidR="00953581" w:rsidRPr="003F3B94">
        <w:rPr>
          <w:rFonts w:ascii="Lotus Linotype" w:hAnsi="Lotus Linotype" w:hint="cs"/>
          <w:sz w:val="28"/>
          <w:rtl/>
        </w:rPr>
        <w:t xml:space="preserve"> </w:t>
      </w:r>
      <w:r w:rsidRPr="003F3B94">
        <w:rPr>
          <w:rFonts w:ascii="Lotus Linotype" w:hAnsi="Lotus Linotype" w:hint="cs"/>
          <w:sz w:val="28"/>
          <w:rtl/>
        </w:rPr>
        <w:t>حول</w:t>
      </w:r>
      <w:r w:rsidR="00953581" w:rsidRPr="003F3B94">
        <w:rPr>
          <w:rFonts w:ascii="Lotus Linotype" w:hAnsi="Lotus Linotype" w:hint="cs"/>
          <w:sz w:val="28"/>
          <w:rtl/>
        </w:rPr>
        <w:t xml:space="preserve"> </w:t>
      </w:r>
      <w:r w:rsidRPr="003F3B94">
        <w:rPr>
          <w:rFonts w:ascii="Lotus Linotype" w:hAnsi="Lotus Linotype" w:hint="cs"/>
          <w:sz w:val="28"/>
          <w:rtl/>
        </w:rPr>
        <w:t>الخمس</w:t>
      </w:r>
      <w:r w:rsidR="00953581" w:rsidRPr="003F3B94">
        <w:rPr>
          <w:rFonts w:ascii="Lotus Linotype" w:hAnsi="Lotus Linotype" w:hint="cs"/>
          <w:sz w:val="28"/>
          <w:rtl/>
        </w:rPr>
        <w:t xml:space="preserve"> </w:t>
      </w:r>
      <w:r w:rsidRPr="003F3B94">
        <w:rPr>
          <w:rFonts w:ascii="Lotus Linotype" w:hAnsi="Lotus Linotype" w:hint="cs"/>
          <w:sz w:val="28"/>
          <w:rtl/>
        </w:rPr>
        <w:t>إلى</w:t>
      </w:r>
      <w:r w:rsidR="00953581" w:rsidRPr="003F3B94">
        <w:rPr>
          <w:rFonts w:ascii="Lotus Linotype" w:hAnsi="Lotus Linotype" w:hint="cs"/>
          <w:sz w:val="28"/>
          <w:rtl/>
        </w:rPr>
        <w:t xml:space="preserve"> </w:t>
      </w:r>
      <w:r w:rsidRPr="003F3B94">
        <w:rPr>
          <w:rFonts w:ascii="Lotus Linotype" w:hAnsi="Lotus Linotype" w:hint="cs"/>
          <w:sz w:val="28"/>
          <w:rtl/>
        </w:rPr>
        <w:t>كتابه</w:t>
      </w:r>
      <w:r w:rsidR="00953581" w:rsidRPr="003F3B94">
        <w:rPr>
          <w:rFonts w:ascii="Lotus Linotype" w:hAnsi="Lotus Linotype" w:hint="cs"/>
          <w:sz w:val="28"/>
          <w:rtl/>
        </w:rPr>
        <w:t xml:space="preserve"> </w:t>
      </w:r>
      <w:r w:rsidRPr="003F3B94">
        <w:rPr>
          <w:rFonts w:ascii="Lotus Linotype" w:hAnsi="Lotus Linotype" w:hint="cs"/>
          <w:sz w:val="28"/>
          <w:rtl/>
        </w:rPr>
        <w:t>السابق</w:t>
      </w:r>
      <w:r w:rsidR="00953581" w:rsidRPr="003F3B94">
        <w:rPr>
          <w:rFonts w:ascii="Lotus Linotype" w:hAnsi="Lotus Linotype" w:hint="cs"/>
          <w:sz w:val="28"/>
          <w:rtl/>
        </w:rPr>
        <w:t xml:space="preserve"> </w:t>
      </w:r>
      <w:r w:rsidRPr="003F3B94">
        <w:rPr>
          <w:rFonts w:ascii="Lotus Linotype" w:hAnsi="Lotus Linotype" w:hint="cs"/>
          <w:sz w:val="28"/>
          <w:rtl/>
        </w:rPr>
        <w:t>حول</w:t>
      </w:r>
      <w:r w:rsidR="00953581" w:rsidRPr="003F3B94">
        <w:rPr>
          <w:rFonts w:ascii="Lotus Linotype" w:hAnsi="Lotus Linotype" w:hint="cs"/>
          <w:sz w:val="28"/>
          <w:rtl/>
        </w:rPr>
        <w:t xml:space="preserve"> </w:t>
      </w:r>
      <w:r w:rsidRPr="003F3B94">
        <w:rPr>
          <w:rFonts w:ascii="Lotus Linotype" w:hAnsi="Lotus Linotype" w:hint="cs"/>
          <w:sz w:val="28"/>
          <w:rtl/>
        </w:rPr>
        <w:t>الزكاة</w:t>
      </w:r>
      <w:r w:rsidR="00217AB4" w:rsidRPr="003F3B94">
        <w:rPr>
          <w:rFonts w:ascii="Lotus Linotype" w:hAnsi="Lotus Linotype" w:hint="cs"/>
          <w:sz w:val="28"/>
          <w:rtl/>
        </w:rPr>
        <w:t>.</w:t>
      </w:r>
    </w:p>
    <w:p w:rsidR="00255711" w:rsidRPr="003F3B94" w:rsidRDefault="00255711" w:rsidP="003F3B94">
      <w:pPr>
        <w:pStyle w:val="a0"/>
        <w:rPr>
          <w:rFonts w:hint="cs"/>
          <w:rtl/>
        </w:rPr>
      </w:pPr>
    </w:p>
    <w:p w:rsidR="00255711" w:rsidRPr="003F3B94" w:rsidRDefault="00255711" w:rsidP="003F3B94">
      <w:pPr>
        <w:pStyle w:val="a0"/>
        <w:rPr>
          <w:rFonts w:hint="cs"/>
          <w:rtl/>
        </w:rPr>
      </w:pPr>
      <w:r w:rsidRPr="003F3B94">
        <w:rPr>
          <w:rFonts w:hint="cs"/>
          <w:sz w:val="28"/>
          <w:rtl/>
        </w:rPr>
        <w:t>ملاحظة</w:t>
      </w:r>
      <w:r w:rsidR="00953581" w:rsidRPr="003F3B94">
        <w:rPr>
          <w:rFonts w:hint="cs"/>
          <w:sz w:val="28"/>
          <w:rtl/>
        </w:rPr>
        <w:t xml:space="preserve"> </w:t>
      </w:r>
      <w:r w:rsidRPr="003F3B94">
        <w:rPr>
          <w:rFonts w:hint="cs"/>
          <w:sz w:val="28"/>
          <w:rtl/>
        </w:rPr>
        <w:t>أخيرة</w:t>
      </w:r>
      <w:r w:rsidR="00217AB4" w:rsidRPr="003F3B94">
        <w:rPr>
          <w:rFonts w:hint="cs"/>
          <w:sz w:val="28"/>
          <w:rtl/>
        </w:rPr>
        <w:t>:</w:t>
      </w:r>
      <w:r w:rsidR="00953581" w:rsidRPr="003F3B94">
        <w:rPr>
          <w:rFonts w:hint="cs"/>
          <w:sz w:val="28"/>
          <w:rtl/>
        </w:rPr>
        <w:t xml:space="preserve"> </w:t>
      </w:r>
      <w:r w:rsidRPr="003F3B94">
        <w:rPr>
          <w:rFonts w:hint="cs"/>
          <w:sz w:val="28"/>
          <w:rtl/>
        </w:rPr>
        <w:t>ميزتُ</w:t>
      </w:r>
      <w:r w:rsidR="00953581" w:rsidRPr="003F3B94">
        <w:rPr>
          <w:rFonts w:hint="cs"/>
          <w:sz w:val="28"/>
          <w:rtl/>
        </w:rPr>
        <w:t xml:space="preserve"> </w:t>
      </w:r>
      <w:r w:rsidRPr="003F3B94">
        <w:rPr>
          <w:rFonts w:hint="cs"/>
          <w:sz w:val="28"/>
          <w:rtl/>
        </w:rPr>
        <w:t>حواشيّي</w:t>
      </w:r>
      <w:r w:rsidR="00953581" w:rsidRPr="003F3B94">
        <w:rPr>
          <w:rFonts w:hint="cs"/>
          <w:sz w:val="28"/>
          <w:rtl/>
        </w:rPr>
        <w:t xml:space="preserve"> </w:t>
      </w:r>
      <w:r w:rsidRPr="003F3B94">
        <w:rPr>
          <w:rFonts w:hint="cs"/>
          <w:sz w:val="28"/>
          <w:rtl/>
        </w:rPr>
        <w:t>عن</w:t>
      </w:r>
      <w:r w:rsidR="00953581" w:rsidRPr="003F3B94">
        <w:rPr>
          <w:rFonts w:hint="cs"/>
          <w:sz w:val="28"/>
          <w:rtl/>
        </w:rPr>
        <w:t xml:space="preserve"> </w:t>
      </w:r>
      <w:r w:rsidRPr="003F3B94">
        <w:rPr>
          <w:rFonts w:hint="cs"/>
          <w:sz w:val="28"/>
          <w:rtl/>
        </w:rPr>
        <w:t>حواشي</w:t>
      </w:r>
      <w:r w:rsidR="00953581" w:rsidRPr="003F3B94">
        <w:rPr>
          <w:rFonts w:hint="cs"/>
          <w:sz w:val="28"/>
          <w:rtl/>
        </w:rPr>
        <w:t xml:space="preserve"> </w:t>
      </w:r>
      <w:r w:rsidRPr="003F3B94">
        <w:rPr>
          <w:rFonts w:hint="cs"/>
          <w:sz w:val="28"/>
          <w:rtl/>
        </w:rPr>
        <w:t>المؤلف</w:t>
      </w:r>
      <w:r w:rsidR="00953581" w:rsidRPr="003F3B94">
        <w:rPr>
          <w:rFonts w:hint="cs"/>
          <w:sz w:val="28"/>
          <w:rtl/>
        </w:rPr>
        <w:t xml:space="preserve"> </w:t>
      </w:r>
      <w:r w:rsidRPr="003F3B94">
        <w:rPr>
          <w:rFonts w:hint="cs"/>
          <w:sz w:val="28"/>
          <w:rtl/>
        </w:rPr>
        <w:t>بتذييل</w:t>
      </w:r>
      <w:r w:rsidR="00953581" w:rsidRPr="003F3B94">
        <w:rPr>
          <w:rFonts w:hint="cs"/>
          <w:sz w:val="28"/>
          <w:rtl/>
        </w:rPr>
        <w:t xml:space="preserve"> </w:t>
      </w:r>
      <w:r w:rsidRPr="003F3B94">
        <w:rPr>
          <w:rFonts w:hint="cs"/>
          <w:sz w:val="28"/>
          <w:rtl/>
        </w:rPr>
        <w:t>حواشيي</w:t>
      </w:r>
      <w:r w:rsidR="00953581" w:rsidRPr="003F3B94">
        <w:rPr>
          <w:rFonts w:hint="cs"/>
          <w:sz w:val="28"/>
          <w:rtl/>
        </w:rPr>
        <w:t xml:space="preserve"> </w:t>
      </w:r>
      <w:r w:rsidRPr="003F3B94">
        <w:rPr>
          <w:rFonts w:hint="cs"/>
          <w:sz w:val="28"/>
          <w:rtl/>
        </w:rPr>
        <w:t>بكلمة</w:t>
      </w:r>
      <w:r w:rsidR="00953581" w:rsidRPr="003F3B94">
        <w:rPr>
          <w:rFonts w:hint="cs"/>
          <w:sz w:val="28"/>
          <w:rtl/>
        </w:rPr>
        <w:t xml:space="preserve"> </w:t>
      </w:r>
      <w:r w:rsidR="00217AB4" w:rsidRPr="003F3B94">
        <w:rPr>
          <w:rFonts w:hint="cs"/>
          <w:sz w:val="28"/>
          <w:rtl/>
        </w:rPr>
        <w:t>(</w:t>
      </w:r>
      <w:r w:rsidR="004A2B58" w:rsidRPr="003F3B94">
        <w:rPr>
          <w:rFonts w:hint="cs"/>
          <w:sz w:val="28"/>
          <w:rtl/>
        </w:rPr>
        <w:t>المُتَرْجِمُ)</w:t>
      </w:r>
      <w:r w:rsidR="00217AB4" w:rsidRPr="003F3B94">
        <w:rPr>
          <w:rFonts w:hint="cs"/>
          <w:sz w:val="28"/>
          <w:rtl/>
        </w:rPr>
        <w:t>.</w:t>
      </w:r>
    </w:p>
    <w:p w:rsidR="00B22F2C" w:rsidRPr="003F3B94" w:rsidRDefault="00B22F2C" w:rsidP="003F3B94">
      <w:pPr>
        <w:pStyle w:val="a0"/>
        <w:rPr>
          <w:rFonts w:hint="cs"/>
          <w:rtl/>
        </w:rPr>
      </w:pPr>
    </w:p>
    <w:p w:rsidR="00B22F2C" w:rsidRDefault="00B22F2C" w:rsidP="008059E3">
      <w:pPr>
        <w:pStyle w:val="a0"/>
        <w:ind w:firstLine="0"/>
        <w:jc w:val="center"/>
        <w:rPr>
          <w:rFonts w:hint="cs"/>
          <w:rtl/>
        </w:rPr>
      </w:pPr>
      <w:r w:rsidRPr="00C3556F">
        <w:rPr>
          <w:rFonts w:hint="cs"/>
          <w:sz w:val="36"/>
          <w:rtl/>
        </w:rPr>
        <w:sym w:font="AGA Arabesque" w:char="F02B"/>
      </w:r>
      <w:r w:rsidR="008059E3">
        <w:rPr>
          <w:rFonts w:hint="cs"/>
          <w:sz w:val="36"/>
          <w:rtl/>
        </w:rPr>
        <w:t xml:space="preserve"> </w:t>
      </w:r>
      <w:r w:rsidRPr="00C3556F">
        <w:rPr>
          <w:rFonts w:hint="cs"/>
          <w:sz w:val="36"/>
          <w:rtl/>
        </w:rPr>
        <w:sym w:font="AGA Arabesque" w:char="F02B"/>
      </w:r>
      <w:r w:rsidRPr="00C3556F">
        <w:rPr>
          <w:rFonts w:hint="cs"/>
          <w:sz w:val="36"/>
          <w:rtl/>
        </w:rPr>
        <w:t xml:space="preserve"> </w:t>
      </w:r>
      <w:r w:rsidRPr="00C3556F">
        <w:rPr>
          <w:rFonts w:hint="cs"/>
          <w:sz w:val="36"/>
          <w:rtl/>
        </w:rPr>
        <w:sym w:font="AGA Arabesque" w:char="F02B"/>
      </w:r>
    </w:p>
    <w:p w:rsidR="008059E3" w:rsidRDefault="008059E3" w:rsidP="008059E3">
      <w:pPr>
        <w:pStyle w:val="a0"/>
        <w:ind w:firstLine="0"/>
        <w:jc w:val="center"/>
        <w:rPr>
          <w:rFonts w:hint="cs"/>
          <w:rtl/>
        </w:rPr>
      </w:pPr>
    </w:p>
    <w:p w:rsidR="008059E3" w:rsidRDefault="008059E3" w:rsidP="008059E3">
      <w:pPr>
        <w:pStyle w:val="a0"/>
        <w:ind w:firstLine="0"/>
        <w:jc w:val="center"/>
        <w:rPr>
          <w:rFonts w:hint="cs"/>
          <w:rtl/>
        </w:rPr>
      </w:pPr>
    </w:p>
    <w:p w:rsidR="008059E3" w:rsidRPr="008059E3" w:rsidRDefault="008059E3" w:rsidP="008059E3">
      <w:pPr>
        <w:pStyle w:val="Heading1"/>
        <w:spacing w:after="120"/>
        <w:rPr>
          <w:rFonts w:hint="cs"/>
          <w:rtl/>
        </w:rPr>
      </w:pPr>
      <w:r>
        <w:rPr>
          <w:rtl/>
        </w:rPr>
        <w:br w:type="page"/>
      </w:r>
      <w:bookmarkStart w:id="68" w:name="_Toc387843051"/>
      <w:r w:rsidRPr="008059E3">
        <w:rPr>
          <w:rFonts w:hint="cs"/>
          <w:highlight w:val="yellow"/>
          <w:rtl/>
        </w:rPr>
        <w:lastRenderedPageBreak/>
        <w:t>صور من أصل الكتاب باللغة الفارسية</w:t>
      </w:r>
      <w:bookmarkEnd w:id="68"/>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80"/>
        <w:gridCol w:w="3679"/>
      </w:tblGrid>
      <w:tr w:rsidR="00255711" w:rsidRPr="00C3556F" w:rsidTr="008059E3">
        <w:trPr>
          <w:trHeight w:val="4347"/>
          <w:jc w:val="center"/>
        </w:trPr>
        <w:tc>
          <w:tcPr>
            <w:tcW w:w="3680" w:type="dxa"/>
          </w:tcPr>
          <w:p w:rsidR="00255711" w:rsidRPr="00C3556F" w:rsidRDefault="00B22F2C" w:rsidP="008059E3">
            <w:pPr>
              <w:pStyle w:val="a0"/>
              <w:ind w:firstLine="0"/>
              <w:rPr>
                <w:rFonts w:hint="cs"/>
                <w:rtl/>
              </w:rPr>
            </w:pPr>
            <w:r w:rsidRPr="00C3556F">
              <w:rPr>
                <w:sz w:val="28"/>
                <w:rtl/>
              </w:rPr>
              <w:br w:type="page"/>
            </w:r>
            <w:r w:rsidR="00261222">
              <w:rPr>
                <w:rFonts w:hint="cs"/>
                <w:noProof/>
                <w:sz w:val="28"/>
                <w:rtl/>
              </w:rPr>
              <w:drawing>
                <wp:inline distT="0" distB="0" distL="0" distR="0">
                  <wp:extent cx="2077085" cy="2664460"/>
                  <wp:effectExtent l="0" t="0" r="0" b="2540"/>
                  <wp:docPr id="34" name="Picture 1" descr="P1 khoms-qalamdar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1 khoms-qalamdaran"/>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077085" cy="2664460"/>
                          </a:xfrm>
                          <a:prstGeom prst="rect">
                            <a:avLst/>
                          </a:prstGeom>
                          <a:noFill/>
                          <a:ln>
                            <a:noFill/>
                          </a:ln>
                        </pic:spPr>
                      </pic:pic>
                    </a:graphicData>
                  </a:graphic>
                </wp:inline>
              </w:drawing>
            </w:r>
          </w:p>
        </w:tc>
        <w:tc>
          <w:tcPr>
            <w:tcW w:w="3679" w:type="dxa"/>
          </w:tcPr>
          <w:p w:rsidR="00255711" w:rsidRPr="00C3556F" w:rsidRDefault="00261222" w:rsidP="008059E3">
            <w:pPr>
              <w:pStyle w:val="a0"/>
              <w:ind w:firstLine="0"/>
              <w:rPr>
                <w:rFonts w:hint="cs"/>
                <w:lang w:bidi="ar-SY"/>
              </w:rPr>
            </w:pPr>
            <w:r>
              <w:rPr>
                <w:rFonts w:hint="cs"/>
                <w:noProof/>
                <w:sz w:val="28"/>
              </w:rPr>
              <w:drawing>
                <wp:inline distT="0" distB="0" distL="0" distR="0">
                  <wp:extent cx="2093595" cy="2664460"/>
                  <wp:effectExtent l="0" t="0" r="1905" b="2540"/>
                  <wp:docPr id="32" name="Picture 2" descr="P2 khoms-qalamdar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2 khoms-qalamdaran"/>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093595" cy="2664460"/>
                          </a:xfrm>
                          <a:prstGeom prst="rect">
                            <a:avLst/>
                          </a:prstGeom>
                          <a:noFill/>
                          <a:ln>
                            <a:noFill/>
                          </a:ln>
                        </pic:spPr>
                      </pic:pic>
                    </a:graphicData>
                  </a:graphic>
                </wp:inline>
              </w:drawing>
            </w:r>
          </w:p>
        </w:tc>
      </w:tr>
      <w:tr w:rsidR="00255711" w:rsidRPr="00C3556F" w:rsidTr="008059E3">
        <w:trPr>
          <w:trHeight w:val="476"/>
          <w:jc w:val="center"/>
        </w:trPr>
        <w:tc>
          <w:tcPr>
            <w:tcW w:w="3680" w:type="dxa"/>
          </w:tcPr>
          <w:p w:rsidR="00255711" w:rsidRPr="008059E3" w:rsidRDefault="00255711" w:rsidP="008059E3">
            <w:pPr>
              <w:pStyle w:val="a0"/>
              <w:ind w:firstLine="0"/>
              <w:jc w:val="center"/>
              <w:rPr>
                <w:rFonts w:hint="cs"/>
                <w:rtl/>
                <w:lang w:bidi="ar-SY"/>
              </w:rPr>
            </w:pPr>
            <w:r w:rsidRPr="008059E3">
              <w:rPr>
                <w:rFonts w:hint="cs"/>
                <w:sz w:val="28"/>
                <w:rtl/>
                <w:lang w:bidi="ar-SY"/>
              </w:rPr>
              <w:t>صورة</w:t>
            </w:r>
            <w:r w:rsidR="00953581" w:rsidRPr="008059E3">
              <w:rPr>
                <w:rFonts w:hint="cs"/>
                <w:sz w:val="28"/>
                <w:rtl/>
                <w:lang w:bidi="ar-SY"/>
              </w:rPr>
              <w:t xml:space="preserve"> </w:t>
            </w:r>
            <w:r w:rsidRPr="008059E3">
              <w:rPr>
                <w:rFonts w:hint="cs"/>
                <w:sz w:val="28"/>
                <w:rtl/>
                <w:lang w:bidi="ar-SY"/>
              </w:rPr>
              <w:t>للصفحة</w:t>
            </w:r>
            <w:r w:rsidR="00953581" w:rsidRPr="008059E3">
              <w:rPr>
                <w:rFonts w:hint="cs"/>
                <w:sz w:val="28"/>
                <w:rtl/>
                <w:lang w:bidi="ar-SY"/>
              </w:rPr>
              <w:t xml:space="preserve"> </w:t>
            </w:r>
            <w:r w:rsidRPr="008059E3">
              <w:rPr>
                <w:rFonts w:hint="cs"/>
                <w:sz w:val="28"/>
                <w:rtl/>
                <w:lang w:bidi="ar-SY"/>
              </w:rPr>
              <w:t>1</w:t>
            </w:r>
            <w:r w:rsidR="00953581" w:rsidRPr="008059E3">
              <w:rPr>
                <w:rFonts w:hint="cs"/>
                <w:sz w:val="28"/>
                <w:rtl/>
                <w:lang w:bidi="ar-SY"/>
              </w:rPr>
              <w:t xml:space="preserve"> </w:t>
            </w:r>
            <w:r w:rsidRPr="008059E3">
              <w:rPr>
                <w:rFonts w:hint="cs"/>
                <w:sz w:val="28"/>
                <w:rtl/>
                <w:lang w:bidi="ar-SY"/>
              </w:rPr>
              <w:t>من</w:t>
            </w:r>
            <w:r w:rsidR="00953581" w:rsidRPr="008059E3">
              <w:rPr>
                <w:rFonts w:hint="cs"/>
                <w:sz w:val="28"/>
                <w:rtl/>
                <w:lang w:bidi="ar-SY"/>
              </w:rPr>
              <w:t xml:space="preserve"> </w:t>
            </w:r>
            <w:r w:rsidRPr="008059E3">
              <w:rPr>
                <w:rFonts w:hint="cs"/>
                <w:sz w:val="28"/>
                <w:rtl/>
                <w:lang w:bidi="ar-SY"/>
              </w:rPr>
              <w:t>الأصل</w:t>
            </w:r>
            <w:r w:rsidR="00953581" w:rsidRPr="008059E3">
              <w:rPr>
                <w:rFonts w:hint="cs"/>
                <w:sz w:val="28"/>
                <w:rtl/>
                <w:lang w:bidi="ar-SY"/>
              </w:rPr>
              <w:t xml:space="preserve"> </w:t>
            </w:r>
            <w:r w:rsidRPr="008059E3">
              <w:rPr>
                <w:rFonts w:hint="cs"/>
                <w:sz w:val="28"/>
                <w:rtl/>
                <w:lang w:bidi="ar-SY"/>
              </w:rPr>
              <w:t>الفارسي</w:t>
            </w:r>
            <w:r w:rsidR="00953581" w:rsidRPr="008059E3">
              <w:rPr>
                <w:rFonts w:hint="cs"/>
                <w:sz w:val="28"/>
                <w:rtl/>
                <w:lang w:bidi="ar-SY"/>
              </w:rPr>
              <w:t xml:space="preserve"> </w:t>
            </w:r>
          </w:p>
        </w:tc>
        <w:tc>
          <w:tcPr>
            <w:tcW w:w="3679" w:type="dxa"/>
          </w:tcPr>
          <w:p w:rsidR="00255711" w:rsidRPr="00C3556F" w:rsidRDefault="00255711" w:rsidP="008059E3">
            <w:pPr>
              <w:pStyle w:val="a0"/>
              <w:ind w:firstLine="0"/>
              <w:jc w:val="center"/>
              <w:rPr>
                <w:rFonts w:hint="cs"/>
                <w:rtl/>
                <w:lang w:bidi="ar-SY"/>
              </w:rPr>
            </w:pPr>
            <w:r w:rsidRPr="00C3556F">
              <w:rPr>
                <w:rFonts w:hint="cs"/>
                <w:rtl/>
                <w:lang w:bidi="ar-SY"/>
              </w:rPr>
              <w:t>صورة</w:t>
            </w:r>
            <w:r w:rsidR="00953581" w:rsidRPr="00C3556F">
              <w:rPr>
                <w:rFonts w:hint="cs"/>
                <w:rtl/>
                <w:lang w:bidi="ar-SY"/>
              </w:rPr>
              <w:t xml:space="preserve"> </w:t>
            </w:r>
            <w:r w:rsidRPr="00C3556F">
              <w:rPr>
                <w:rFonts w:hint="cs"/>
                <w:rtl/>
                <w:lang w:bidi="ar-SY"/>
              </w:rPr>
              <w:t>للصفحة</w:t>
            </w:r>
            <w:r w:rsidR="00953581" w:rsidRPr="00C3556F">
              <w:rPr>
                <w:rFonts w:hint="cs"/>
                <w:rtl/>
                <w:lang w:bidi="ar-SY"/>
              </w:rPr>
              <w:t xml:space="preserve"> </w:t>
            </w:r>
            <w:r w:rsidRPr="00C3556F">
              <w:rPr>
                <w:rFonts w:hint="cs"/>
                <w:rtl/>
                <w:lang w:bidi="ar-SY"/>
              </w:rPr>
              <w:t>2</w:t>
            </w:r>
            <w:r w:rsidR="00953581" w:rsidRPr="00C3556F">
              <w:rPr>
                <w:rFonts w:hint="cs"/>
                <w:rtl/>
                <w:lang w:bidi="ar-SY"/>
              </w:rPr>
              <w:t xml:space="preserve"> </w:t>
            </w:r>
            <w:r w:rsidRPr="00C3556F">
              <w:rPr>
                <w:rFonts w:hint="cs"/>
                <w:rtl/>
                <w:lang w:bidi="ar-SY"/>
              </w:rPr>
              <w:t>من</w:t>
            </w:r>
            <w:r w:rsidR="00953581" w:rsidRPr="00C3556F">
              <w:rPr>
                <w:rFonts w:hint="cs"/>
                <w:rtl/>
                <w:lang w:bidi="ar-SY"/>
              </w:rPr>
              <w:t xml:space="preserve"> </w:t>
            </w:r>
            <w:r w:rsidRPr="00C3556F">
              <w:rPr>
                <w:rFonts w:hint="cs"/>
                <w:rtl/>
                <w:lang w:bidi="ar-SY"/>
              </w:rPr>
              <w:t>الأصل</w:t>
            </w:r>
            <w:r w:rsidR="00953581" w:rsidRPr="00C3556F">
              <w:rPr>
                <w:rFonts w:hint="cs"/>
                <w:rtl/>
                <w:lang w:bidi="ar-SY"/>
              </w:rPr>
              <w:t xml:space="preserve"> </w:t>
            </w:r>
            <w:r w:rsidRPr="00C3556F">
              <w:rPr>
                <w:rFonts w:hint="cs"/>
                <w:rtl/>
                <w:lang w:bidi="ar-SY"/>
              </w:rPr>
              <w:t>الفارسي</w:t>
            </w:r>
            <w:r w:rsidR="00953581" w:rsidRPr="00C3556F">
              <w:rPr>
                <w:rFonts w:hint="cs"/>
                <w:rtl/>
                <w:lang w:bidi="ar-SY"/>
              </w:rPr>
              <w:t xml:space="preserve"> </w:t>
            </w:r>
          </w:p>
        </w:tc>
      </w:tr>
      <w:tr w:rsidR="00255711" w:rsidRPr="00C3556F" w:rsidTr="008059E3">
        <w:trPr>
          <w:jc w:val="center"/>
        </w:trPr>
        <w:tc>
          <w:tcPr>
            <w:tcW w:w="3680" w:type="dxa"/>
          </w:tcPr>
          <w:p w:rsidR="00255711" w:rsidRPr="00C3556F" w:rsidRDefault="00261222" w:rsidP="008059E3">
            <w:pPr>
              <w:pStyle w:val="a0"/>
              <w:ind w:firstLine="0"/>
              <w:rPr>
                <w:lang w:bidi="ar-SY"/>
              </w:rPr>
            </w:pPr>
            <w:r>
              <w:rPr>
                <w:rFonts w:hint="cs"/>
                <w:noProof/>
                <w:sz w:val="28"/>
              </w:rPr>
              <w:drawing>
                <wp:inline distT="0" distB="0" distL="0" distR="0">
                  <wp:extent cx="1833245" cy="2664460"/>
                  <wp:effectExtent l="0" t="0" r="0" b="2540"/>
                  <wp:docPr id="30" name="Picture 3" descr="P4 khoms-qalamdar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4 khoms-qalamdaran"/>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833245" cy="2664460"/>
                          </a:xfrm>
                          <a:prstGeom prst="rect">
                            <a:avLst/>
                          </a:prstGeom>
                          <a:noFill/>
                          <a:ln>
                            <a:noFill/>
                          </a:ln>
                        </pic:spPr>
                      </pic:pic>
                    </a:graphicData>
                  </a:graphic>
                </wp:inline>
              </w:drawing>
            </w:r>
          </w:p>
        </w:tc>
        <w:tc>
          <w:tcPr>
            <w:tcW w:w="3679" w:type="dxa"/>
          </w:tcPr>
          <w:p w:rsidR="00255711" w:rsidRPr="00C3556F" w:rsidRDefault="00261222" w:rsidP="008059E3">
            <w:pPr>
              <w:pStyle w:val="a0"/>
              <w:ind w:firstLine="0"/>
              <w:rPr>
                <w:rFonts w:hint="cs"/>
                <w:lang w:bidi="ar-SY"/>
              </w:rPr>
            </w:pPr>
            <w:r>
              <w:rPr>
                <w:rFonts w:hint="cs"/>
                <w:noProof/>
                <w:sz w:val="28"/>
              </w:rPr>
              <w:drawing>
                <wp:inline distT="0" distB="0" distL="0" distR="0">
                  <wp:extent cx="1932305" cy="2664460"/>
                  <wp:effectExtent l="0" t="0" r="0" b="2540"/>
                  <wp:docPr id="28" name="Picture 4" descr="P296 khoms-qalamdar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P296 khoms-qalamdaran"/>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932305" cy="2664460"/>
                          </a:xfrm>
                          <a:prstGeom prst="rect">
                            <a:avLst/>
                          </a:prstGeom>
                          <a:noFill/>
                          <a:ln>
                            <a:noFill/>
                          </a:ln>
                        </pic:spPr>
                      </pic:pic>
                    </a:graphicData>
                  </a:graphic>
                </wp:inline>
              </w:drawing>
            </w:r>
          </w:p>
        </w:tc>
      </w:tr>
      <w:tr w:rsidR="00255711" w:rsidRPr="00C3556F" w:rsidTr="008059E3">
        <w:trPr>
          <w:jc w:val="center"/>
        </w:trPr>
        <w:tc>
          <w:tcPr>
            <w:tcW w:w="3680" w:type="dxa"/>
          </w:tcPr>
          <w:p w:rsidR="00255711" w:rsidRPr="008059E3" w:rsidRDefault="00255711" w:rsidP="008059E3">
            <w:pPr>
              <w:pStyle w:val="a0"/>
              <w:ind w:firstLine="0"/>
              <w:jc w:val="center"/>
              <w:rPr>
                <w:rFonts w:hint="cs"/>
                <w:rtl/>
                <w:lang w:bidi="ar-SY"/>
              </w:rPr>
            </w:pPr>
            <w:r w:rsidRPr="008059E3">
              <w:rPr>
                <w:rFonts w:hint="cs"/>
                <w:szCs w:val="24"/>
                <w:rtl/>
                <w:lang w:bidi="ar-SY"/>
              </w:rPr>
              <w:t>صورة</w:t>
            </w:r>
            <w:r w:rsidR="00953581" w:rsidRPr="008059E3">
              <w:rPr>
                <w:rFonts w:hint="cs"/>
                <w:szCs w:val="24"/>
                <w:rtl/>
                <w:lang w:bidi="ar-SY"/>
              </w:rPr>
              <w:t xml:space="preserve"> </w:t>
            </w:r>
            <w:r w:rsidRPr="008059E3">
              <w:rPr>
                <w:rFonts w:hint="cs"/>
                <w:szCs w:val="24"/>
                <w:rtl/>
                <w:lang w:bidi="ar-SY"/>
              </w:rPr>
              <w:t>للصفحة</w:t>
            </w:r>
            <w:r w:rsidR="00953581" w:rsidRPr="008059E3">
              <w:rPr>
                <w:rFonts w:hint="cs"/>
                <w:szCs w:val="24"/>
                <w:rtl/>
                <w:lang w:bidi="ar-SY"/>
              </w:rPr>
              <w:t xml:space="preserve"> </w:t>
            </w:r>
            <w:r w:rsidRPr="008059E3">
              <w:rPr>
                <w:rFonts w:hint="cs"/>
                <w:szCs w:val="24"/>
                <w:rtl/>
                <w:lang w:bidi="ar-SY"/>
              </w:rPr>
              <w:t>4</w:t>
            </w:r>
            <w:r w:rsidR="00953581" w:rsidRPr="008059E3">
              <w:rPr>
                <w:rFonts w:hint="cs"/>
                <w:szCs w:val="24"/>
                <w:rtl/>
                <w:lang w:bidi="ar-SY"/>
              </w:rPr>
              <w:t xml:space="preserve"> </w:t>
            </w:r>
            <w:r w:rsidRPr="008059E3">
              <w:rPr>
                <w:rFonts w:hint="cs"/>
                <w:szCs w:val="24"/>
                <w:rtl/>
                <w:lang w:bidi="ar-SY"/>
              </w:rPr>
              <w:t>من</w:t>
            </w:r>
            <w:r w:rsidR="00953581" w:rsidRPr="008059E3">
              <w:rPr>
                <w:rFonts w:hint="cs"/>
                <w:szCs w:val="24"/>
                <w:rtl/>
                <w:lang w:bidi="ar-SY"/>
              </w:rPr>
              <w:t xml:space="preserve"> </w:t>
            </w:r>
            <w:r w:rsidRPr="008059E3">
              <w:rPr>
                <w:rFonts w:hint="cs"/>
                <w:szCs w:val="24"/>
                <w:rtl/>
                <w:lang w:bidi="ar-SY"/>
              </w:rPr>
              <w:t>الأصل</w:t>
            </w:r>
            <w:r w:rsidR="00953581" w:rsidRPr="008059E3">
              <w:rPr>
                <w:rFonts w:hint="cs"/>
                <w:szCs w:val="24"/>
                <w:rtl/>
                <w:lang w:bidi="ar-SY"/>
              </w:rPr>
              <w:t xml:space="preserve"> </w:t>
            </w:r>
            <w:r w:rsidRPr="008059E3">
              <w:rPr>
                <w:rFonts w:hint="cs"/>
                <w:szCs w:val="24"/>
                <w:rtl/>
                <w:lang w:bidi="ar-SY"/>
              </w:rPr>
              <w:t>الفارسي</w:t>
            </w:r>
          </w:p>
        </w:tc>
        <w:tc>
          <w:tcPr>
            <w:tcW w:w="3679" w:type="dxa"/>
          </w:tcPr>
          <w:p w:rsidR="00255711" w:rsidRPr="00C3556F" w:rsidRDefault="00255711" w:rsidP="008059E3">
            <w:pPr>
              <w:pStyle w:val="a0"/>
              <w:ind w:firstLine="0"/>
              <w:jc w:val="center"/>
              <w:rPr>
                <w:rFonts w:hint="cs"/>
                <w:rtl/>
                <w:lang w:bidi="ar-SY"/>
              </w:rPr>
            </w:pPr>
            <w:r w:rsidRPr="00C3556F">
              <w:rPr>
                <w:rFonts w:hint="cs"/>
                <w:rtl/>
                <w:lang w:bidi="ar-SY"/>
              </w:rPr>
              <w:t>صورة</w:t>
            </w:r>
            <w:r w:rsidR="00953581" w:rsidRPr="00C3556F">
              <w:rPr>
                <w:rFonts w:hint="cs"/>
                <w:rtl/>
                <w:lang w:bidi="ar-SY"/>
              </w:rPr>
              <w:t xml:space="preserve"> </w:t>
            </w:r>
            <w:r w:rsidRPr="00C3556F">
              <w:rPr>
                <w:rFonts w:hint="cs"/>
                <w:rtl/>
                <w:lang w:bidi="ar-SY"/>
              </w:rPr>
              <w:t>للصفحة</w:t>
            </w:r>
            <w:r w:rsidR="00953581" w:rsidRPr="00C3556F">
              <w:rPr>
                <w:rFonts w:hint="cs"/>
                <w:rtl/>
                <w:lang w:bidi="ar-SY"/>
              </w:rPr>
              <w:t xml:space="preserve"> </w:t>
            </w:r>
            <w:r w:rsidRPr="00C3556F">
              <w:rPr>
                <w:rFonts w:hint="cs"/>
                <w:rtl/>
                <w:lang w:bidi="ar-SY"/>
              </w:rPr>
              <w:t>الأخيرة</w:t>
            </w:r>
            <w:r w:rsidR="00953581" w:rsidRPr="00C3556F">
              <w:rPr>
                <w:rFonts w:hint="cs"/>
                <w:rtl/>
                <w:lang w:bidi="ar-SY"/>
              </w:rPr>
              <w:t xml:space="preserve"> </w:t>
            </w:r>
            <w:r w:rsidRPr="00C3556F">
              <w:rPr>
                <w:rFonts w:hint="cs"/>
                <w:rtl/>
                <w:lang w:bidi="ar-SY"/>
              </w:rPr>
              <w:t>من</w:t>
            </w:r>
            <w:r w:rsidR="00953581" w:rsidRPr="00C3556F">
              <w:rPr>
                <w:rFonts w:hint="cs"/>
                <w:rtl/>
                <w:lang w:bidi="ar-SY"/>
              </w:rPr>
              <w:t xml:space="preserve"> </w:t>
            </w:r>
            <w:r w:rsidRPr="00C3556F">
              <w:rPr>
                <w:rFonts w:hint="cs"/>
                <w:rtl/>
                <w:lang w:bidi="ar-SY"/>
              </w:rPr>
              <w:t>الأصل</w:t>
            </w:r>
            <w:r w:rsidR="00953581" w:rsidRPr="00C3556F">
              <w:rPr>
                <w:rFonts w:hint="cs"/>
                <w:rtl/>
                <w:lang w:bidi="ar-SY"/>
              </w:rPr>
              <w:t xml:space="preserve"> </w:t>
            </w:r>
            <w:r w:rsidRPr="00C3556F">
              <w:rPr>
                <w:rFonts w:hint="cs"/>
                <w:rtl/>
                <w:lang w:bidi="ar-SY"/>
              </w:rPr>
              <w:t>الفارسي</w:t>
            </w:r>
          </w:p>
        </w:tc>
      </w:tr>
    </w:tbl>
    <w:p w:rsidR="002F3502" w:rsidRPr="003F3B94" w:rsidRDefault="002F3502" w:rsidP="003F3B94">
      <w:pPr>
        <w:pStyle w:val="a0"/>
        <w:rPr>
          <w:rtl/>
        </w:rPr>
        <w:sectPr w:rsidR="002F3502" w:rsidRPr="003F3B94" w:rsidSect="00010AE3">
          <w:headerReference w:type="default" r:id="rId24"/>
          <w:footnotePr>
            <w:numRestart w:val="eachPage"/>
          </w:footnotePr>
          <w:type w:val="oddPage"/>
          <w:pgSz w:w="9356" w:h="13608" w:code="34"/>
          <w:pgMar w:top="964" w:right="1134" w:bottom="1134" w:left="964" w:header="0" w:footer="851" w:gutter="0"/>
          <w:cols w:space="708"/>
          <w:titlePg/>
          <w:bidi/>
          <w:rtlGutter/>
          <w:docGrid w:linePitch="360"/>
        </w:sectPr>
      </w:pPr>
    </w:p>
    <w:p w:rsidR="00E37E8D" w:rsidRPr="00995B26" w:rsidRDefault="00E37E8D" w:rsidP="004A2B58">
      <w:pPr>
        <w:pStyle w:val="Heading1"/>
        <w:rPr>
          <w:rFonts w:hint="cs"/>
          <w:rtl/>
        </w:rPr>
      </w:pPr>
      <w:bookmarkStart w:id="69" w:name="_Toc215489260"/>
      <w:bookmarkStart w:id="70" w:name="_Toc362692911"/>
      <w:bookmarkStart w:id="71" w:name="_Toc387843052"/>
      <w:r w:rsidRPr="00995B26">
        <w:rPr>
          <w:rFonts w:hint="cs"/>
          <w:rtl/>
        </w:rPr>
        <w:lastRenderedPageBreak/>
        <w:t>مقد</w:t>
      </w:r>
      <w:r w:rsidR="005D01E8" w:rsidRPr="00995B26">
        <w:rPr>
          <w:rFonts w:hint="cs"/>
          <w:rtl/>
        </w:rPr>
        <w:t>ِّمة</w:t>
      </w:r>
      <w:bookmarkEnd w:id="69"/>
      <w:bookmarkEnd w:id="70"/>
      <w:r w:rsidR="00963823">
        <w:rPr>
          <w:rFonts w:hint="cs"/>
          <w:rtl/>
        </w:rPr>
        <w:t xml:space="preserve"> المؤلف</w:t>
      </w:r>
      <w:bookmarkEnd w:id="71"/>
    </w:p>
    <w:p w:rsidR="00E37E8D" w:rsidRPr="00FC12FD" w:rsidRDefault="00DD7D67" w:rsidP="00FC12FD">
      <w:pPr>
        <w:pStyle w:val="a0"/>
        <w:rPr>
          <w:rStyle w:val="Char2"/>
          <w:rFonts w:hint="cs"/>
          <w:rtl/>
        </w:rPr>
      </w:pPr>
      <w:r w:rsidRPr="00995B26">
        <w:rPr>
          <w:rFonts w:cs="Traditional Arabic" w:hint="cs"/>
          <w:sz w:val="30"/>
          <w:szCs w:val="30"/>
          <w:rtl/>
          <w:lang w:bidi="ar-SY"/>
        </w:rPr>
        <w:t>﴿</w:t>
      </w:r>
      <w:r w:rsidRPr="00995B26">
        <w:rPr>
          <w:rFonts w:ascii="KFGQPC Uthmanic Script HAFS" w:cs="KFGQPC Uthmanic Script HAFS" w:hint="eastAsia"/>
          <w:sz w:val="29"/>
          <w:szCs w:val="29"/>
          <w:rtl/>
        </w:rPr>
        <w:t>لَا</w:t>
      </w:r>
      <w:r w:rsidRPr="00995B26">
        <w:rPr>
          <w:rFonts w:ascii="KFGQPC Uthmanic Script HAFS" w:cs="KFGQPC Uthmanic Script HAFS"/>
          <w:sz w:val="29"/>
          <w:szCs w:val="29"/>
          <w:rtl/>
        </w:rPr>
        <w:t xml:space="preserve"> </w:t>
      </w:r>
      <w:r w:rsidRPr="00995B26">
        <w:rPr>
          <w:rFonts w:ascii="KFGQPC Uthmanic Script HAFS" w:cs="KFGQPC Uthmanic Script HAFS" w:hint="eastAsia"/>
          <w:sz w:val="29"/>
          <w:szCs w:val="29"/>
          <w:rtl/>
        </w:rPr>
        <w:t>تَغ</w:t>
      </w:r>
      <w:r w:rsidRPr="00995B26">
        <w:rPr>
          <w:rFonts w:ascii="KFGQPC Uthmanic Script HAFS" w:cs="KFGQPC Uthmanic Script HAFS" w:hint="cs"/>
          <w:sz w:val="29"/>
          <w:szCs w:val="29"/>
          <w:rtl/>
        </w:rPr>
        <w:t>ۡ</w:t>
      </w:r>
      <w:r w:rsidRPr="00995B26">
        <w:rPr>
          <w:rFonts w:ascii="KFGQPC Uthmanic Script HAFS" w:cs="KFGQPC Uthmanic Script HAFS" w:hint="eastAsia"/>
          <w:sz w:val="29"/>
          <w:szCs w:val="29"/>
          <w:rtl/>
        </w:rPr>
        <w:t>لُواْ</w:t>
      </w:r>
      <w:r w:rsidRPr="00995B26">
        <w:rPr>
          <w:rFonts w:ascii="KFGQPC Uthmanic Script HAFS" w:cs="KFGQPC Uthmanic Script HAFS"/>
          <w:sz w:val="29"/>
          <w:szCs w:val="29"/>
          <w:rtl/>
        </w:rPr>
        <w:t xml:space="preserve"> </w:t>
      </w:r>
      <w:r w:rsidRPr="00995B26">
        <w:rPr>
          <w:rFonts w:ascii="KFGQPC Uthmanic Script HAFS" w:cs="KFGQPC Uthmanic Script HAFS" w:hint="eastAsia"/>
          <w:sz w:val="29"/>
          <w:szCs w:val="29"/>
          <w:rtl/>
        </w:rPr>
        <w:t>فِي</w:t>
      </w:r>
      <w:r w:rsidRPr="00995B26">
        <w:rPr>
          <w:rFonts w:ascii="KFGQPC Uthmanic Script HAFS" w:cs="KFGQPC Uthmanic Script HAFS"/>
          <w:sz w:val="29"/>
          <w:szCs w:val="29"/>
          <w:rtl/>
        </w:rPr>
        <w:t xml:space="preserve"> </w:t>
      </w:r>
      <w:r w:rsidRPr="00995B26">
        <w:rPr>
          <w:rFonts w:ascii="KFGQPC Uthmanic Script HAFS" w:cs="KFGQPC Uthmanic Script HAFS" w:hint="eastAsia"/>
          <w:sz w:val="29"/>
          <w:szCs w:val="29"/>
          <w:rtl/>
        </w:rPr>
        <w:t>دِينِكُم</w:t>
      </w:r>
      <w:r w:rsidRPr="00995B26">
        <w:rPr>
          <w:rFonts w:ascii="KFGQPC Uthmanic Script HAFS" w:cs="KFGQPC Uthmanic Script HAFS" w:hint="cs"/>
          <w:sz w:val="29"/>
          <w:szCs w:val="29"/>
          <w:rtl/>
        </w:rPr>
        <w:t>ۡ</w:t>
      </w:r>
      <w:r w:rsidRPr="00995B26">
        <w:rPr>
          <w:rFonts w:ascii="KFGQPC Uthmanic Script HAFS" w:cs="KFGQPC Uthmanic Script HAFS"/>
          <w:sz w:val="29"/>
          <w:szCs w:val="29"/>
          <w:rtl/>
        </w:rPr>
        <w:t xml:space="preserve"> </w:t>
      </w:r>
      <w:r w:rsidRPr="00995B26">
        <w:rPr>
          <w:rFonts w:ascii="KFGQPC Uthmanic Script HAFS" w:cs="KFGQPC Uthmanic Script HAFS" w:hint="eastAsia"/>
          <w:sz w:val="29"/>
          <w:szCs w:val="29"/>
          <w:rtl/>
        </w:rPr>
        <w:t>وَلَا</w:t>
      </w:r>
      <w:r w:rsidRPr="00995B26">
        <w:rPr>
          <w:rFonts w:ascii="KFGQPC Uthmanic Script HAFS" w:cs="KFGQPC Uthmanic Script HAFS"/>
          <w:sz w:val="29"/>
          <w:szCs w:val="29"/>
          <w:rtl/>
        </w:rPr>
        <w:t xml:space="preserve"> </w:t>
      </w:r>
      <w:r w:rsidRPr="00995B26">
        <w:rPr>
          <w:rFonts w:ascii="KFGQPC Uthmanic Script HAFS" w:cs="KFGQPC Uthmanic Script HAFS" w:hint="eastAsia"/>
          <w:sz w:val="29"/>
          <w:szCs w:val="29"/>
          <w:rtl/>
        </w:rPr>
        <w:t>تَقُولُواْ</w:t>
      </w:r>
      <w:r w:rsidRPr="00995B26">
        <w:rPr>
          <w:rFonts w:ascii="KFGQPC Uthmanic Script HAFS" w:cs="KFGQPC Uthmanic Script HAFS"/>
          <w:sz w:val="29"/>
          <w:szCs w:val="29"/>
          <w:rtl/>
        </w:rPr>
        <w:t xml:space="preserve"> </w:t>
      </w:r>
      <w:r w:rsidRPr="00995B26">
        <w:rPr>
          <w:rFonts w:ascii="KFGQPC Uthmanic Script HAFS" w:cs="KFGQPC Uthmanic Script HAFS" w:hint="eastAsia"/>
          <w:sz w:val="29"/>
          <w:szCs w:val="29"/>
          <w:rtl/>
        </w:rPr>
        <w:t>عَلَى</w:t>
      </w:r>
      <w:r w:rsidRPr="00995B26">
        <w:rPr>
          <w:rFonts w:ascii="KFGQPC Uthmanic Script HAFS" w:cs="KFGQPC Uthmanic Script HAFS"/>
          <w:sz w:val="29"/>
          <w:szCs w:val="29"/>
          <w:rtl/>
        </w:rPr>
        <w:t xml:space="preserve"> </w:t>
      </w:r>
      <w:r w:rsidRPr="00995B26">
        <w:rPr>
          <w:rFonts w:ascii="KFGQPC Uthmanic Script HAFS" w:cs="KFGQPC Uthmanic Script HAFS" w:hint="cs"/>
          <w:sz w:val="29"/>
          <w:szCs w:val="29"/>
          <w:rtl/>
        </w:rPr>
        <w:t>ٱ</w:t>
      </w:r>
      <w:r w:rsidRPr="00995B26">
        <w:rPr>
          <w:rFonts w:ascii="KFGQPC Uthmanic Script HAFS" w:cs="KFGQPC Uthmanic Script HAFS" w:hint="eastAsia"/>
          <w:sz w:val="29"/>
          <w:szCs w:val="29"/>
          <w:rtl/>
        </w:rPr>
        <w:t>للَّهِ</w:t>
      </w:r>
      <w:r w:rsidRPr="00995B26">
        <w:rPr>
          <w:rFonts w:ascii="KFGQPC Uthmanic Script HAFS" w:cs="KFGQPC Uthmanic Script HAFS"/>
          <w:sz w:val="29"/>
          <w:szCs w:val="29"/>
          <w:rtl/>
        </w:rPr>
        <w:t xml:space="preserve"> </w:t>
      </w:r>
      <w:r w:rsidRPr="00995B26">
        <w:rPr>
          <w:rFonts w:ascii="KFGQPC Uthmanic Script HAFS" w:cs="KFGQPC Uthmanic Script HAFS" w:hint="eastAsia"/>
          <w:sz w:val="29"/>
          <w:szCs w:val="29"/>
          <w:rtl/>
        </w:rPr>
        <w:t>إِلَّا</w:t>
      </w:r>
      <w:r w:rsidRPr="00995B26">
        <w:rPr>
          <w:rFonts w:ascii="KFGQPC Uthmanic Script HAFS" w:cs="KFGQPC Uthmanic Script HAFS"/>
          <w:sz w:val="29"/>
          <w:szCs w:val="29"/>
          <w:rtl/>
        </w:rPr>
        <w:t xml:space="preserve"> </w:t>
      </w:r>
      <w:r w:rsidRPr="00995B26">
        <w:rPr>
          <w:rFonts w:ascii="KFGQPC Uthmanic Script HAFS" w:cs="KFGQPC Uthmanic Script HAFS" w:hint="cs"/>
          <w:sz w:val="29"/>
          <w:szCs w:val="29"/>
          <w:rtl/>
        </w:rPr>
        <w:t>ٱ</w:t>
      </w:r>
      <w:r w:rsidRPr="00995B26">
        <w:rPr>
          <w:rFonts w:ascii="KFGQPC Uthmanic Script HAFS" w:cs="KFGQPC Uthmanic Script HAFS" w:hint="eastAsia"/>
          <w:sz w:val="29"/>
          <w:szCs w:val="29"/>
          <w:rtl/>
        </w:rPr>
        <w:t>ل</w:t>
      </w:r>
      <w:r w:rsidRPr="00995B26">
        <w:rPr>
          <w:rFonts w:ascii="KFGQPC Uthmanic Script HAFS" w:cs="KFGQPC Uthmanic Script HAFS" w:hint="cs"/>
          <w:sz w:val="29"/>
          <w:szCs w:val="29"/>
          <w:rtl/>
        </w:rPr>
        <w:t>ۡ</w:t>
      </w:r>
      <w:r w:rsidRPr="00995B26">
        <w:rPr>
          <w:rFonts w:ascii="KFGQPC Uthmanic Script HAFS" w:cs="KFGQPC Uthmanic Script HAFS" w:hint="eastAsia"/>
          <w:sz w:val="29"/>
          <w:szCs w:val="29"/>
          <w:rtl/>
        </w:rPr>
        <w:t>حَقَّ</w:t>
      </w:r>
      <w:r w:rsidRPr="00995B26">
        <w:rPr>
          <w:rFonts w:cs="Traditional Arabic" w:hint="cs"/>
          <w:sz w:val="30"/>
          <w:szCs w:val="30"/>
          <w:rtl/>
          <w:lang w:bidi="ar-SY"/>
        </w:rPr>
        <w:t xml:space="preserve">﴾ </w:t>
      </w:r>
      <w:r w:rsidRPr="00FC12FD">
        <w:rPr>
          <w:rStyle w:val="Char2"/>
          <w:rFonts w:hint="cs"/>
          <w:rtl/>
        </w:rPr>
        <w:t>[</w:t>
      </w:r>
      <w:r w:rsidR="00E37E8D" w:rsidRPr="00FC12FD">
        <w:rPr>
          <w:rStyle w:val="Char2"/>
          <w:rFonts w:hint="cs"/>
          <w:rtl/>
        </w:rPr>
        <w:t>النساء</w:t>
      </w:r>
      <w:r w:rsidRPr="00FC12FD">
        <w:rPr>
          <w:rStyle w:val="Char2"/>
          <w:rFonts w:hint="cs"/>
          <w:rtl/>
        </w:rPr>
        <w:t xml:space="preserve">: </w:t>
      </w:r>
      <w:r w:rsidR="00E37E8D" w:rsidRPr="00FC12FD">
        <w:rPr>
          <w:rStyle w:val="Char2"/>
          <w:rFonts w:hint="cs"/>
          <w:rtl/>
        </w:rPr>
        <w:t>171</w:t>
      </w:r>
      <w:r w:rsidRPr="00FC12FD">
        <w:rPr>
          <w:rStyle w:val="Char2"/>
          <w:rFonts w:hint="cs"/>
          <w:rtl/>
        </w:rPr>
        <w:t>]</w:t>
      </w:r>
    </w:p>
    <w:p w:rsidR="008C41C5" w:rsidRPr="003F3B94" w:rsidRDefault="00E37E8D" w:rsidP="003F3B94">
      <w:pPr>
        <w:pStyle w:val="a0"/>
        <w:rPr>
          <w:rFonts w:hint="cs"/>
          <w:rtl/>
          <w:lang w:bidi="ar-SY"/>
        </w:rPr>
      </w:pPr>
      <w:r w:rsidRPr="003F3B94">
        <w:rPr>
          <w:rFonts w:hint="cs"/>
          <w:sz w:val="28"/>
          <w:rtl/>
          <w:lang w:bidi="ar-SY"/>
        </w:rPr>
        <w:t>ميَّز</w:t>
      </w:r>
      <w:r w:rsidR="00953581" w:rsidRPr="003F3B94">
        <w:rPr>
          <w:rFonts w:hint="cs"/>
          <w:sz w:val="28"/>
          <w:rtl/>
          <w:lang w:bidi="ar-SY"/>
        </w:rPr>
        <w:t xml:space="preserve"> </w:t>
      </w:r>
      <w:r w:rsidRPr="003F3B94">
        <w:rPr>
          <w:rFonts w:hint="cs"/>
          <w:sz w:val="28"/>
          <w:rtl/>
          <w:lang w:bidi="ar-SY"/>
        </w:rPr>
        <w:t>اللهُ</w:t>
      </w:r>
      <w:r w:rsidR="00953581" w:rsidRPr="003F3B94">
        <w:rPr>
          <w:rFonts w:hint="cs"/>
          <w:sz w:val="28"/>
          <w:rtl/>
          <w:lang w:bidi="ar-SY"/>
        </w:rPr>
        <w:t xml:space="preserve"> </w:t>
      </w:r>
      <w:r w:rsidR="00211524" w:rsidRPr="003F3B94">
        <w:rPr>
          <w:rFonts w:hint="cs"/>
          <w:sz w:val="28"/>
          <w:rtl/>
          <w:lang w:bidi="ar-SY"/>
        </w:rPr>
        <w:t>ا</w:t>
      </w:r>
      <w:r w:rsidR="008A2A49" w:rsidRPr="003F3B94">
        <w:rPr>
          <w:rFonts w:hint="cs"/>
          <w:sz w:val="28"/>
          <w:rtl/>
          <w:lang w:bidi="ar-SY"/>
        </w:rPr>
        <w:t>لإ</w:t>
      </w:r>
      <w:r w:rsidR="00211524" w:rsidRPr="003F3B94">
        <w:rPr>
          <w:rFonts w:hint="cs"/>
          <w:sz w:val="28"/>
          <w:rtl/>
          <w:lang w:bidi="ar-SY"/>
        </w:rPr>
        <w:t>نسان</w:t>
      </w:r>
      <w:r w:rsidRPr="003F3B94">
        <w:rPr>
          <w:rFonts w:hint="cs"/>
          <w:sz w:val="28"/>
          <w:rtl/>
          <w:lang w:bidi="ar-SY"/>
        </w:rPr>
        <w:t>َ</w:t>
      </w:r>
      <w:r w:rsidR="00953581" w:rsidRPr="003F3B94">
        <w:rPr>
          <w:rFonts w:hint="cs"/>
          <w:sz w:val="28"/>
          <w:rtl/>
          <w:lang w:bidi="ar-SY"/>
        </w:rPr>
        <w:t xml:space="preserve"> </w:t>
      </w:r>
      <w:r w:rsidR="00211524" w:rsidRPr="003F3B94">
        <w:rPr>
          <w:rFonts w:hint="cs"/>
          <w:sz w:val="28"/>
          <w:rtl/>
          <w:lang w:bidi="ar-SY"/>
        </w:rPr>
        <w:t>وحد</w:t>
      </w:r>
      <w:r w:rsidRPr="003F3B94">
        <w:rPr>
          <w:rFonts w:hint="cs"/>
          <w:sz w:val="28"/>
          <w:rtl/>
          <w:lang w:bidi="ar-SY"/>
        </w:rPr>
        <w:t>َ</w:t>
      </w:r>
      <w:r w:rsidR="00211524" w:rsidRPr="003F3B94">
        <w:rPr>
          <w:rFonts w:hint="cs"/>
          <w:sz w:val="28"/>
          <w:rtl/>
          <w:lang w:bidi="ar-SY"/>
        </w:rPr>
        <w:t>ه</w:t>
      </w:r>
      <w:r w:rsidR="00953581" w:rsidRPr="003F3B94">
        <w:rPr>
          <w:rFonts w:hint="cs"/>
          <w:sz w:val="28"/>
          <w:rtl/>
          <w:lang w:bidi="ar-SY"/>
        </w:rPr>
        <w:t xml:space="preserve"> </w:t>
      </w:r>
      <w:r w:rsidRPr="003F3B94">
        <w:rPr>
          <w:rFonts w:hint="cs"/>
          <w:sz w:val="28"/>
          <w:rtl/>
          <w:lang w:bidi="ar-SY"/>
        </w:rPr>
        <w:t>عن</w:t>
      </w:r>
      <w:r w:rsidR="00953581" w:rsidRPr="003F3B94">
        <w:rPr>
          <w:rFonts w:hint="cs"/>
          <w:sz w:val="28"/>
          <w:rtl/>
          <w:lang w:bidi="ar-SY"/>
        </w:rPr>
        <w:t xml:space="preserve"> </w:t>
      </w:r>
      <w:r w:rsidRPr="003F3B94">
        <w:rPr>
          <w:rFonts w:hint="cs"/>
          <w:sz w:val="28"/>
          <w:rtl/>
          <w:lang w:bidi="ar-SY"/>
        </w:rPr>
        <w:t>جميع</w:t>
      </w:r>
      <w:r w:rsidR="00953581" w:rsidRPr="003F3B94">
        <w:rPr>
          <w:rFonts w:hint="cs"/>
          <w:sz w:val="28"/>
          <w:rtl/>
          <w:lang w:bidi="ar-SY"/>
        </w:rPr>
        <w:t xml:space="preserve"> </w:t>
      </w:r>
      <w:r w:rsidR="00211524" w:rsidRPr="003F3B94">
        <w:rPr>
          <w:rFonts w:hint="cs"/>
          <w:sz w:val="28"/>
          <w:rtl/>
          <w:lang w:bidi="ar-SY"/>
        </w:rPr>
        <w:t>كائنات</w:t>
      </w:r>
      <w:r w:rsidR="00953581" w:rsidRPr="003F3B94">
        <w:rPr>
          <w:rFonts w:hint="cs"/>
          <w:sz w:val="28"/>
          <w:rtl/>
          <w:lang w:bidi="ar-SY"/>
        </w:rPr>
        <w:t xml:space="preserve"> </w:t>
      </w:r>
      <w:r w:rsidR="00211524" w:rsidRPr="003F3B94">
        <w:rPr>
          <w:rFonts w:hint="cs"/>
          <w:sz w:val="28"/>
          <w:rtl/>
          <w:lang w:bidi="ar-SY"/>
        </w:rPr>
        <w:t>الكرة</w:t>
      </w:r>
      <w:r w:rsidR="00953581" w:rsidRPr="003F3B94">
        <w:rPr>
          <w:rFonts w:hint="cs"/>
          <w:sz w:val="28"/>
          <w:rtl/>
          <w:lang w:bidi="ar-SY"/>
        </w:rPr>
        <w:t xml:space="preserve"> </w:t>
      </w:r>
      <w:r w:rsidR="00211524" w:rsidRPr="003F3B94">
        <w:rPr>
          <w:rFonts w:hint="cs"/>
          <w:sz w:val="28"/>
          <w:rtl/>
          <w:lang w:bidi="ar-SY"/>
        </w:rPr>
        <w:t>ا</w:t>
      </w:r>
      <w:r w:rsidR="008A2A49" w:rsidRPr="003F3B94">
        <w:rPr>
          <w:rFonts w:hint="cs"/>
          <w:sz w:val="28"/>
          <w:rtl/>
          <w:lang w:bidi="ar-SY"/>
        </w:rPr>
        <w:t>لأ</w:t>
      </w:r>
      <w:r w:rsidR="00211524" w:rsidRPr="003F3B94">
        <w:rPr>
          <w:rFonts w:hint="cs"/>
          <w:sz w:val="28"/>
          <w:rtl/>
          <w:lang w:bidi="ar-SY"/>
        </w:rPr>
        <w:t>رضية</w:t>
      </w:r>
      <w:r w:rsidR="00953581" w:rsidRPr="003F3B94">
        <w:rPr>
          <w:rFonts w:hint="cs"/>
          <w:sz w:val="28"/>
          <w:rtl/>
          <w:lang w:bidi="ar-SY"/>
        </w:rPr>
        <w:t xml:space="preserve"> </w:t>
      </w:r>
      <w:r w:rsidR="00211524" w:rsidRPr="003F3B94">
        <w:rPr>
          <w:rFonts w:hint="cs"/>
          <w:sz w:val="28"/>
          <w:rtl/>
          <w:lang w:bidi="ar-SY"/>
        </w:rPr>
        <w:t>من</w:t>
      </w:r>
      <w:r w:rsidR="00953581" w:rsidRPr="003F3B94">
        <w:rPr>
          <w:rFonts w:hint="cs"/>
          <w:sz w:val="28"/>
          <w:rtl/>
          <w:lang w:bidi="ar-SY"/>
        </w:rPr>
        <w:t xml:space="preserve"> </w:t>
      </w:r>
      <w:r w:rsidR="00211524" w:rsidRPr="003F3B94">
        <w:rPr>
          <w:rFonts w:hint="cs"/>
          <w:sz w:val="28"/>
          <w:rtl/>
          <w:lang w:bidi="ar-SY"/>
        </w:rPr>
        <w:t>جمادات</w:t>
      </w:r>
      <w:r w:rsidR="00953581" w:rsidRPr="003F3B94">
        <w:rPr>
          <w:rFonts w:hint="cs"/>
          <w:sz w:val="28"/>
          <w:rtl/>
          <w:lang w:bidi="ar-SY"/>
        </w:rPr>
        <w:t xml:space="preserve"> </w:t>
      </w:r>
      <w:r w:rsidR="00211524" w:rsidRPr="003F3B94">
        <w:rPr>
          <w:rFonts w:hint="cs"/>
          <w:sz w:val="28"/>
          <w:rtl/>
          <w:lang w:bidi="ar-SY"/>
        </w:rPr>
        <w:t>ونباتات</w:t>
      </w:r>
      <w:r w:rsidR="00953581" w:rsidRPr="003F3B94">
        <w:rPr>
          <w:rFonts w:hint="cs"/>
          <w:sz w:val="28"/>
          <w:rtl/>
          <w:lang w:bidi="ar-SY"/>
        </w:rPr>
        <w:t xml:space="preserve"> </w:t>
      </w:r>
      <w:r w:rsidR="00211524" w:rsidRPr="003F3B94">
        <w:rPr>
          <w:rFonts w:hint="cs"/>
          <w:sz w:val="28"/>
          <w:rtl/>
          <w:lang w:bidi="ar-SY"/>
        </w:rPr>
        <w:t>وحيوانات</w:t>
      </w:r>
      <w:r w:rsidR="00953581" w:rsidRPr="003F3B94">
        <w:rPr>
          <w:rFonts w:hint="cs"/>
          <w:sz w:val="28"/>
          <w:rtl/>
          <w:lang w:bidi="ar-SY"/>
        </w:rPr>
        <w:t xml:space="preserve"> </w:t>
      </w:r>
      <w:r w:rsidR="00F275B8" w:rsidRPr="003F3B94">
        <w:rPr>
          <w:rFonts w:hint="cs"/>
          <w:sz w:val="28"/>
          <w:rtl/>
          <w:lang w:bidi="ar-SY"/>
        </w:rPr>
        <w:t>بالعقل</w:t>
      </w:r>
      <w:r w:rsidR="00953581" w:rsidRPr="003F3B94">
        <w:rPr>
          <w:rFonts w:hint="cs"/>
          <w:sz w:val="28"/>
          <w:rtl/>
          <w:lang w:bidi="ar-SY"/>
        </w:rPr>
        <w:t xml:space="preserve"> </w:t>
      </w:r>
      <w:r w:rsidR="00F275B8" w:rsidRPr="003F3B94">
        <w:rPr>
          <w:rFonts w:hint="cs"/>
          <w:sz w:val="28"/>
          <w:rtl/>
          <w:lang w:bidi="ar-SY"/>
        </w:rPr>
        <w:t>والذكاء</w:t>
      </w:r>
      <w:r w:rsidR="00953581" w:rsidRPr="003F3B94">
        <w:rPr>
          <w:rFonts w:hint="cs"/>
          <w:sz w:val="28"/>
          <w:rtl/>
          <w:lang w:bidi="ar-SY"/>
        </w:rPr>
        <w:t xml:space="preserve"> </w:t>
      </w:r>
      <w:r w:rsidR="00F275B8" w:rsidRPr="003F3B94">
        <w:rPr>
          <w:rFonts w:hint="cs"/>
          <w:sz w:val="28"/>
          <w:rtl/>
          <w:lang w:bidi="ar-SY"/>
        </w:rPr>
        <w:t>واختص</w:t>
      </w:r>
      <w:r w:rsidRPr="003F3B94">
        <w:rPr>
          <w:rFonts w:hint="cs"/>
          <w:sz w:val="28"/>
          <w:rtl/>
          <w:lang w:bidi="ar-SY"/>
        </w:rPr>
        <w:t>َّه</w:t>
      </w:r>
      <w:r w:rsidR="00953581" w:rsidRPr="003F3B94">
        <w:rPr>
          <w:rFonts w:hint="cs"/>
          <w:sz w:val="28"/>
          <w:rtl/>
          <w:lang w:bidi="ar-SY"/>
        </w:rPr>
        <w:t xml:space="preserve"> </w:t>
      </w:r>
      <w:r w:rsidR="00F275B8" w:rsidRPr="003F3B94">
        <w:rPr>
          <w:rFonts w:hint="cs"/>
          <w:sz w:val="28"/>
          <w:rtl/>
          <w:lang w:bidi="ar-SY"/>
        </w:rPr>
        <w:t>بالقدرة</w:t>
      </w:r>
      <w:r w:rsidR="00953581" w:rsidRPr="003F3B94">
        <w:rPr>
          <w:rFonts w:hint="cs"/>
          <w:sz w:val="28"/>
          <w:rtl/>
          <w:lang w:bidi="ar-SY"/>
        </w:rPr>
        <w:t xml:space="preserve"> </w:t>
      </w:r>
      <w:r w:rsidR="00F275B8" w:rsidRPr="003F3B94">
        <w:rPr>
          <w:rFonts w:hint="cs"/>
          <w:sz w:val="28"/>
          <w:rtl/>
          <w:lang w:bidi="ar-SY"/>
        </w:rPr>
        <w:t>على</w:t>
      </w:r>
      <w:r w:rsidR="00953581" w:rsidRPr="003F3B94">
        <w:rPr>
          <w:rFonts w:hint="cs"/>
          <w:sz w:val="28"/>
          <w:rtl/>
          <w:lang w:bidi="ar-SY"/>
        </w:rPr>
        <w:t xml:space="preserve"> </w:t>
      </w:r>
      <w:r w:rsidR="00F275B8" w:rsidRPr="003F3B94">
        <w:rPr>
          <w:rFonts w:hint="cs"/>
          <w:sz w:val="28"/>
          <w:rtl/>
          <w:lang w:bidi="ar-SY"/>
        </w:rPr>
        <w:t>التمييز</w:t>
      </w:r>
      <w:r w:rsidR="00953581" w:rsidRPr="003F3B94">
        <w:rPr>
          <w:rFonts w:hint="cs"/>
          <w:sz w:val="28"/>
          <w:rtl/>
          <w:lang w:bidi="ar-SY"/>
        </w:rPr>
        <w:t xml:space="preserve"> </w:t>
      </w:r>
      <w:r w:rsidR="00F275B8" w:rsidRPr="003F3B94">
        <w:rPr>
          <w:rFonts w:hint="cs"/>
          <w:sz w:val="28"/>
          <w:rtl/>
          <w:lang w:bidi="ar-SY"/>
        </w:rPr>
        <w:t>بين</w:t>
      </w:r>
      <w:r w:rsidR="00953581" w:rsidRPr="003F3B94">
        <w:rPr>
          <w:rFonts w:hint="cs"/>
          <w:sz w:val="28"/>
          <w:rtl/>
          <w:lang w:bidi="ar-SY"/>
        </w:rPr>
        <w:t xml:space="preserve"> </w:t>
      </w:r>
      <w:r w:rsidR="00F275B8" w:rsidRPr="003F3B94">
        <w:rPr>
          <w:rFonts w:hint="cs"/>
          <w:sz w:val="28"/>
          <w:rtl/>
          <w:lang w:bidi="ar-SY"/>
        </w:rPr>
        <w:t>ا</w:t>
      </w:r>
      <w:r w:rsidR="008A2A49" w:rsidRPr="003F3B94">
        <w:rPr>
          <w:rFonts w:hint="cs"/>
          <w:sz w:val="28"/>
          <w:rtl/>
          <w:lang w:bidi="ar-SY"/>
        </w:rPr>
        <w:t>لأ</w:t>
      </w:r>
      <w:r w:rsidR="00F275B8" w:rsidRPr="003F3B94">
        <w:rPr>
          <w:rFonts w:hint="cs"/>
          <w:sz w:val="28"/>
          <w:rtl/>
          <w:lang w:bidi="ar-SY"/>
        </w:rPr>
        <w:t>مور</w:t>
      </w:r>
      <w:r w:rsidR="00217AB4" w:rsidRPr="003F3B94">
        <w:rPr>
          <w:rFonts w:hint="cs"/>
          <w:sz w:val="28"/>
          <w:rtl/>
          <w:lang w:bidi="ar-SY"/>
        </w:rPr>
        <w:t>.</w:t>
      </w:r>
      <w:r w:rsidR="00953581" w:rsidRPr="003F3B94">
        <w:rPr>
          <w:rFonts w:hint="cs"/>
          <w:sz w:val="28"/>
          <w:rtl/>
          <w:lang w:bidi="ar-SY"/>
        </w:rPr>
        <w:t xml:space="preserve"> </w:t>
      </w:r>
      <w:r w:rsidR="00F275B8" w:rsidRPr="003F3B94">
        <w:rPr>
          <w:rFonts w:hint="cs"/>
          <w:sz w:val="28"/>
          <w:rtl/>
          <w:lang w:bidi="ar-SY"/>
        </w:rPr>
        <w:t>وهذه</w:t>
      </w:r>
      <w:r w:rsidR="00953581" w:rsidRPr="003F3B94">
        <w:rPr>
          <w:rFonts w:hint="cs"/>
          <w:sz w:val="28"/>
          <w:rtl/>
          <w:lang w:bidi="ar-SY"/>
        </w:rPr>
        <w:t xml:space="preserve"> </w:t>
      </w:r>
      <w:r w:rsidR="00F275B8" w:rsidRPr="003F3B94">
        <w:rPr>
          <w:rFonts w:hint="cs"/>
          <w:sz w:val="28"/>
          <w:rtl/>
          <w:lang w:bidi="ar-SY"/>
        </w:rPr>
        <w:t>المي</w:t>
      </w:r>
      <w:r w:rsidR="00DF79BC" w:rsidRPr="003F3B94">
        <w:rPr>
          <w:rFonts w:hint="cs"/>
          <w:sz w:val="28"/>
          <w:rtl/>
          <w:lang w:bidi="ar-SY"/>
        </w:rPr>
        <w:t>ّ</w:t>
      </w:r>
      <w:r w:rsidR="00F275B8" w:rsidRPr="003F3B94">
        <w:rPr>
          <w:rFonts w:hint="cs"/>
          <w:sz w:val="28"/>
          <w:rtl/>
          <w:lang w:bidi="ar-SY"/>
        </w:rPr>
        <w:t>زة</w:t>
      </w:r>
      <w:r w:rsidR="00953581" w:rsidRPr="003F3B94">
        <w:rPr>
          <w:rFonts w:hint="cs"/>
          <w:sz w:val="28"/>
          <w:rtl/>
          <w:lang w:bidi="ar-SY"/>
        </w:rPr>
        <w:t xml:space="preserve"> </w:t>
      </w:r>
      <w:r w:rsidR="00F275B8" w:rsidRPr="003F3B94">
        <w:rPr>
          <w:rFonts w:hint="cs"/>
          <w:sz w:val="28"/>
          <w:rtl/>
          <w:lang w:bidi="ar-SY"/>
        </w:rPr>
        <w:t>هي</w:t>
      </w:r>
      <w:r w:rsidR="00953581" w:rsidRPr="003F3B94">
        <w:rPr>
          <w:rFonts w:hint="cs"/>
          <w:sz w:val="28"/>
          <w:rtl/>
          <w:lang w:bidi="ar-SY"/>
        </w:rPr>
        <w:t xml:space="preserve"> </w:t>
      </w:r>
      <w:r w:rsidR="00F275B8" w:rsidRPr="003F3B94">
        <w:rPr>
          <w:rFonts w:hint="cs"/>
          <w:sz w:val="28"/>
          <w:rtl/>
          <w:lang w:bidi="ar-SY"/>
        </w:rPr>
        <w:t>التي</w:t>
      </w:r>
      <w:r w:rsidR="00953581" w:rsidRPr="003F3B94">
        <w:rPr>
          <w:rFonts w:hint="cs"/>
          <w:sz w:val="28"/>
          <w:rtl/>
          <w:lang w:bidi="ar-SY"/>
        </w:rPr>
        <w:t xml:space="preserve"> </w:t>
      </w:r>
      <w:r w:rsidR="00F275B8" w:rsidRPr="003F3B94">
        <w:rPr>
          <w:rFonts w:hint="cs"/>
          <w:sz w:val="28"/>
          <w:rtl/>
          <w:lang w:bidi="ar-SY"/>
        </w:rPr>
        <w:t>منحته</w:t>
      </w:r>
      <w:r w:rsidR="00953581" w:rsidRPr="003F3B94">
        <w:rPr>
          <w:rFonts w:hint="cs"/>
          <w:sz w:val="28"/>
          <w:rtl/>
          <w:lang w:bidi="ar-SY"/>
        </w:rPr>
        <w:t xml:space="preserve"> </w:t>
      </w:r>
      <w:r w:rsidR="00F275B8" w:rsidRPr="003F3B94">
        <w:rPr>
          <w:rFonts w:hint="cs"/>
          <w:sz w:val="28"/>
          <w:rtl/>
          <w:lang w:bidi="ar-SY"/>
        </w:rPr>
        <w:t>القدرة</w:t>
      </w:r>
      <w:r w:rsidR="00953581" w:rsidRPr="003F3B94">
        <w:rPr>
          <w:rFonts w:hint="cs"/>
          <w:sz w:val="28"/>
          <w:rtl/>
          <w:lang w:bidi="ar-SY"/>
        </w:rPr>
        <w:t xml:space="preserve"> </w:t>
      </w:r>
      <w:r w:rsidR="00F275B8" w:rsidRPr="003F3B94">
        <w:rPr>
          <w:rFonts w:hint="cs"/>
          <w:sz w:val="28"/>
          <w:rtl/>
          <w:lang w:bidi="ar-SY"/>
        </w:rPr>
        <w:t>المنفردة</w:t>
      </w:r>
      <w:r w:rsidR="00953581" w:rsidRPr="003F3B94">
        <w:rPr>
          <w:rFonts w:hint="cs"/>
          <w:sz w:val="28"/>
          <w:rtl/>
          <w:lang w:bidi="ar-SY"/>
        </w:rPr>
        <w:t xml:space="preserve"> </w:t>
      </w:r>
      <w:r w:rsidR="00F275B8" w:rsidRPr="003F3B94">
        <w:rPr>
          <w:rFonts w:hint="cs"/>
          <w:sz w:val="28"/>
          <w:rtl/>
          <w:lang w:bidi="ar-SY"/>
        </w:rPr>
        <w:t>على</w:t>
      </w:r>
      <w:r w:rsidR="00953581" w:rsidRPr="003F3B94">
        <w:rPr>
          <w:rFonts w:hint="cs"/>
          <w:sz w:val="28"/>
          <w:rtl/>
          <w:lang w:bidi="ar-SY"/>
        </w:rPr>
        <w:t xml:space="preserve"> </w:t>
      </w:r>
      <w:r w:rsidR="00F275B8" w:rsidRPr="003F3B94">
        <w:rPr>
          <w:rFonts w:hint="cs"/>
          <w:sz w:val="28"/>
          <w:rtl/>
          <w:lang w:bidi="ar-SY"/>
        </w:rPr>
        <w:t>تسخير</w:t>
      </w:r>
      <w:r w:rsidR="00953581" w:rsidRPr="003F3B94">
        <w:rPr>
          <w:rFonts w:hint="cs"/>
          <w:sz w:val="28"/>
          <w:rtl/>
          <w:lang w:bidi="ar-SY"/>
        </w:rPr>
        <w:t xml:space="preserve"> </w:t>
      </w:r>
      <w:r w:rsidR="00F275B8" w:rsidRPr="003F3B94">
        <w:rPr>
          <w:rFonts w:hint="cs"/>
          <w:sz w:val="28"/>
          <w:rtl/>
          <w:lang w:bidi="ar-SY"/>
        </w:rPr>
        <w:t>الطبيعة</w:t>
      </w:r>
      <w:r w:rsidR="00953581" w:rsidRPr="003F3B94">
        <w:rPr>
          <w:rFonts w:hint="cs"/>
          <w:sz w:val="28"/>
          <w:rtl/>
          <w:lang w:bidi="ar-SY"/>
        </w:rPr>
        <w:t xml:space="preserve"> </w:t>
      </w:r>
      <w:r w:rsidR="00F275B8" w:rsidRPr="003F3B94">
        <w:rPr>
          <w:rFonts w:hint="cs"/>
          <w:sz w:val="28"/>
          <w:rtl/>
          <w:lang w:bidi="ar-SY"/>
        </w:rPr>
        <w:t>واستغ</w:t>
      </w:r>
      <w:r w:rsidR="008A2A49" w:rsidRPr="003F3B94">
        <w:rPr>
          <w:rFonts w:hint="cs"/>
          <w:sz w:val="28"/>
          <w:rtl/>
          <w:lang w:bidi="ar-SY"/>
        </w:rPr>
        <w:t>لا</w:t>
      </w:r>
      <w:r w:rsidR="00F275B8" w:rsidRPr="003F3B94">
        <w:rPr>
          <w:rFonts w:hint="cs"/>
          <w:sz w:val="28"/>
          <w:rtl/>
          <w:lang w:bidi="ar-SY"/>
        </w:rPr>
        <w:t>ل</w:t>
      </w:r>
      <w:r w:rsidR="00953581" w:rsidRPr="003F3B94">
        <w:rPr>
          <w:rFonts w:hint="cs"/>
          <w:sz w:val="28"/>
          <w:rtl/>
          <w:lang w:bidi="ar-SY"/>
        </w:rPr>
        <w:t xml:space="preserve"> </w:t>
      </w:r>
      <w:r w:rsidR="00F275B8" w:rsidRPr="003F3B94">
        <w:rPr>
          <w:rFonts w:hint="cs"/>
          <w:sz w:val="28"/>
          <w:rtl/>
          <w:lang w:bidi="ar-SY"/>
        </w:rPr>
        <w:t>ثرواتها</w:t>
      </w:r>
      <w:r w:rsidR="00953581" w:rsidRPr="003F3B94">
        <w:rPr>
          <w:rFonts w:hint="cs"/>
          <w:sz w:val="28"/>
          <w:rtl/>
          <w:lang w:bidi="ar-SY"/>
        </w:rPr>
        <w:t xml:space="preserve"> </w:t>
      </w:r>
      <w:r w:rsidR="00C0564E" w:rsidRPr="003F3B94">
        <w:rPr>
          <w:rFonts w:hint="cs"/>
          <w:sz w:val="28"/>
          <w:rtl/>
          <w:lang w:bidi="ar-SY"/>
        </w:rPr>
        <w:t>وذخائرها</w:t>
      </w:r>
      <w:r w:rsidR="00217AB4" w:rsidRPr="003F3B94">
        <w:rPr>
          <w:rFonts w:hint="cs"/>
          <w:sz w:val="28"/>
          <w:rtl/>
          <w:lang w:bidi="ar-SY"/>
        </w:rPr>
        <w:t>،</w:t>
      </w:r>
      <w:r w:rsidR="00953581" w:rsidRPr="003F3B94">
        <w:rPr>
          <w:rFonts w:hint="cs"/>
          <w:sz w:val="28"/>
          <w:rtl/>
          <w:lang w:bidi="ar-SY"/>
        </w:rPr>
        <w:t xml:space="preserve"> </w:t>
      </w:r>
      <w:r w:rsidR="00C0564E" w:rsidRPr="003F3B94">
        <w:rPr>
          <w:rFonts w:hint="cs"/>
          <w:sz w:val="28"/>
          <w:rtl/>
          <w:lang w:bidi="ar-SY"/>
        </w:rPr>
        <w:t>فأخضع</w:t>
      </w:r>
      <w:r w:rsidR="00953581" w:rsidRPr="003F3B94">
        <w:rPr>
          <w:rFonts w:hint="cs"/>
          <w:sz w:val="28"/>
          <w:rtl/>
          <w:lang w:bidi="ar-SY"/>
        </w:rPr>
        <w:t xml:space="preserve"> </w:t>
      </w:r>
      <w:r w:rsidR="00C0564E" w:rsidRPr="003F3B94">
        <w:rPr>
          <w:rFonts w:hint="cs"/>
          <w:sz w:val="28"/>
          <w:rtl/>
          <w:lang w:bidi="ar-SY"/>
        </w:rPr>
        <w:t>جميع</w:t>
      </w:r>
      <w:r w:rsidR="00953581" w:rsidRPr="003F3B94">
        <w:rPr>
          <w:rFonts w:hint="cs"/>
          <w:sz w:val="28"/>
          <w:rtl/>
          <w:lang w:bidi="ar-SY"/>
        </w:rPr>
        <w:t xml:space="preserve"> </w:t>
      </w:r>
      <w:r w:rsidR="00C0564E" w:rsidRPr="003F3B94">
        <w:rPr>
          <w:rFonts w:hint="cs"/>
          <w:sz w:val="28"/>
          <w:rtl/>
          <w:lang w:bidi="ar-SY"/>
        </w:rPr>
        <w:t>كائنات</w:t>
      </w:r>
      <w:r w:rsidR="00953581" w:rsidRPr="003F3B94">
        <w:rPr>
          <w:rFonts w:hint="cs"/>
          <w:sz w:val="28"/>
          <w:rtl/>
          <w:lang w:bidi="ar-SY"/>
        </w:rPr>
        <w:t xml:space="preserve"> </w:t>
      </w:r>
      <w:r w:rsidR="00C0564E" w:rsidRPr="003F3B94">
        <w:rPr>
          <w:rFonts w:hint="cs"/>
          <w:sz w:val="28"/>
          <w:rtl/>
          <w:lang w:bidi="ar-SY"/>
        </w:rPr>
        <w:t>ا</w:t>
      </w:r>
      <w:r w:rsidR="008A2A49" w:rsidRPr="003F3B94">
        <w:rPr>
          <w:rFonts w:hint="cs"/>
          <w:sz w:val="28"/>
          <w:rtl/>
          <w:lang w:bidi="ar-SY"/>
        </w:rPr>
        <w:t>لأ</w:t>
      </w:r>
      <w:r w:rsidR="00C0564E" w:rsidRPr="003F3B94">
        <w:rPr>
          <w:rFonts w:hint="cs"/>
          <w:sz w:val="28"/>
          <w:rtl/>
          <w:lang w:bidi="ar-SY"/>
        </w:rPr>
        <w:t>رض</w:t>
      </w:r>
      <w:r w:rsidR="00953581" w:rsidRPr="003F3B94">
        <w:rPr>
          <w:rFonts w:hint="cs"/>
          <w:sz w:val="28"/>
          <w:rtl/>
          <w:lang w:bidi="ar-SY"/>
        </w:rPr>
        <w:t xml:space="preserve"> </w:t>
      </w:r>
      <w:r w:rsidR="00C0564E" w:rsidRPr="003F3B94">
        <w:rPr>
          <w:rFonts w:hint="cs"/>
          <w:sz w:val="28"/>
          <w:rtl/>
          <w:lang w:bidi="ar-SY"/>
        </w:rPr>
        <w:t>البسيطة</w:t>
      </w:r>
      <w:r w:rsidR="00953581" w:rsidRPr="003F3B94">
        <w:rPr>
          <w:rFonts w:hint="cs"/>
          <w:sz w:val="28"/>
          <w:rtl/>
          <w:lang w:bidi="ar-SY"/>
        </w:rPr>
        <w:t xml:space="preserve"> </w:t>
      </w:r>
      <w:r w:rsidR="00C0564E" w:rsidRPr="003F3B94">
        <w:rPr>
          <w:rFonts w:hint="cs"/>
          <w:sz w:val="28"/>
          <w:rtl/>
          <w:lang w:bidi="ar-SY"/>
        </w:rPr>
        <w:t>لسيطرته</w:t>
      </w:r>
      <w:r w:rsidR="00953581" w:rsidRPr="003F3B94">
        <w:rPr>
          <w:rFonts w:hint="cs"/>
          <w:sz w:val="28"/>
          <w:rtl/>
          <w:lang w:bidi="ar-SY"/>
        </w:rPr>
        <w:t xml:space="preserve"> </w:t>
      </w:r>
      <w:r w:rsidR="00C0564E" w:rsidRPr="003F3B94">
        <w:rPr>
          <w:rFonts w:hint="cs"/>
          <w:sz w:val="28"/>
          <w:rtl/>
          <w:lang w:bidi="ar-SY"/>
        </w:rPr>
        <w:t>وجعلها</w:t>
      </w:r>
      <w:r w:rsidR="00953581" w:rsidRPr="003F3B94">
        <w:rPr>
          <w:rFonts w:hint="cs"/>
          <w:sz w:val="28"/>
          <w:rtl/>
          <w:lang w:bidi="ar-SY"/>
        </w:rPr>
        <w:t xml:space="preserve"> </w:t>
      </w:r>
      <w:r w:rsidR="00C0564E" w:rsidRPr="003F3B94">
        <w:rPr>
          <w:rFonts w:hint="cs"/>
          <w:sz w:val="28"/>
          <w:rtl/>
          <w:lang w:bidi="ar-SY"/>
        </w:rPr>
        <w:t>مطيعة</w:t>
      </w:r>
      <w:r w:rsidR="00953581" w:rsidRPr="003F3B94">
        <w:rPr>
          <w:rFonts w:hint="cs"/>
          <w:sz w:val="28"/>
          <w:rtl/>
          <w:lang w:bidi="ar-SY"/>
        </w:rPr>
        <w:t xml:space="preserve"> </w:t>
      </w:r>
      <w:r w:rsidR="00C0564E" w:rsidRPr="003F3B94">
        <w:rPr>
          <w:rFonts w:hint="cs"/>
          <w:sz w:val="28"/>
          <w:rtl/>
          <w:lang w:bidi="ar-SY"/>
        </w:rPr>
        <w:t>له</w:t>
      </w:r>
      <w:r w:rsidR="00217AB4" w:rsidRPr="003F3B94">
        <w:rPr>
          <w:rFonts w:hint="cs"/>
          <w:sz w:val="28"/>
          <w:rtl/>
          <w:lang w:bidi="ar-SY"/>
        </w:rPr>
        <w:t>.</w:t>
      </w:r>
      <w:r w:rsidR="00953581" w:rsidRPr="003F3B94">
        <w:rPr>
          <w:rFonts w:hint="cs"/>
          <w:sz w:val="28"/>
          <w:rtl/>
          <w:lang w:bidi="ar-SY"/>
        </w:rPr>
        <w:t xml:space="preserve"> </w:t>
      </w:r>
      <w:r w:rsidR="00C0564E" w:rsidRPr="003F3B94">
        <w:rPr>
          <w:rFonts w:hint="cs"/>
          <w:sz w:val="28"/>
          <w:rtl/>
          <w:lang w:bidi="ar-SY"/>
        </w:rPr>
        <w:t>أجل</w:t>
      </w:r>
      <w:r w:rsidR="00953581" w:rsidRPr="003F3B94">
        <w:rPr>
          <w:rFonts w:hint="cs"/>
          <w:sz w:val="28"/>
          <w:rtl/>
          <w:lang w:bidi="ar-SY"/>
        </w:rPr>
        <w:t xml:space="preserve"> </w:t>
      </w:r>
      <w:r w:rsidR="00C0564E" w:rsidRPr="003F3B94">
        <w:rPr>
          <w:rFonts w:hint="cs"/>
          <w:sz w:val="28"/>
          <w:rtl/>
          <w:lang w:bidi="ar-SY"/>
        </w:rPr>
        <w:t>لقد</w:t>
      </w:r>
      <w:r w:rsidR="00953581" w:rsidRPr="003F3B94">
        <w:rPr>
          <w:rFonts w:hint="cs"/>
          <w:sz w:val="28"/>
          <w:rtl/>
          <w:lang w:bidi="ar-SY"/>
        </w:rPr>
        <w:t xml:space="preserve"> </w:t>
      </w:r>
      <w:r w:rsidR="00C0564E" w:rsidRPr="003F3B94">
        <w:rPr>
          <w:rFonts w:hint="cs"/>
          <w:sz w:val="28"/>
          <w:rtl/>
          <w:lang w:bidi="ar-SY"/>
        </w:rPr>
        <w:t>منح</w:t>
      </w:r>
      <w:r w:rsidR="00953581" w:rsidRPr="003F3B94">
        <w:rPr>
          <w:rFonts w:hint="cs"/>
          <w:sz w:val="28"/>
          <w:rtl/>
          <w:lang w:bidi="ar-SY"/>
        </w:rPr>
        <w:t xml:space="preserve"> </w:t>
      </w:r>
      <w:r w:rsidR="00C0564E" w:rsidRPr="003F3B94">
        <w:rPr>
          <w:rFonts w:hint="cs"/>
          <w:sz w:val="28"/>
          <w:rtl/>
          <w:lang w:bidi="ar-SY"/>
        </w:rPr>
        <w:t>هذا</w:t>
      </w:r>
      <w:r w:rsidR="00953581" w:rsidRPr="003F3B94">
        <w:rPr>
          <w:rFonts w:hint="cs"/>
          <w:sz w:val="28"/>
          <w:rtl/>
          <w:lang w:bidi="ar-SY"/>
        </w:rPr>
        <w:t xml:space="preserve"> </w:t>
      </w:r>
      <w:r w:rsidR="00C0564E" w:rsidRPr="003F3B94">
        <w:rPr>
          <w:rFonts w:hint="cs"/>
          <w:sz w:val="28"/>
          <w:rtl/>
          <w:lang w:bidi="ar-SY"/>
        </w:rPr>
        <w:t>ا</w:t>
      </w:r>
      <w:r w:rsidR="008A2A49" w:rsidRPr="003F3B94">
        <w:rPr>
          <w:rFonts w:hint="cs"/>
          <w:sz w:val="28"/>
          <w:rtl/>
          <w:lang w:bidi="ar-SY"/>
        </w:rPr>
        <w:t>لا</w:t>
      </w:r>
      <w:r w:rsidR="00C0564E" w:rsidRPr="003F3B94">
        <w:rPr>
          <w:rFonts w:hint="cs"/>
          <w:sz w:val="28"/>
          <w:rtl/>
          <w:lang w:bidi="ar-SY"/>
        </w:rPr>
        <w:t>متياز</w:t>
      </w:r>
      <w:r w:rsidR="00953581" w:rsidRPr="003F3B94">
        <w:rPr>
          <w:rFonts w:hint="cs"/>
          <w:sz w:val="28"/>
          <w:rtl/>
          <w:lang w:bidi="ar-SY"/>
        </w:rPr>
        <w:t xml:space="preserve"> </w:t>
      </w:r>
      <w:r w:rsidR="00C0564E" w:rsidRPr="003F3B94">
        <w:rPr>
          <w:rFonts w:hint="cs"/>
          <w:sz w:val="28"/>
          <w:rtl/>
          <w:lang w:bidi="ar-SY"/>
        </w:rPr>
        <w:t>ا</w:t>
      </w:r>
      <w:r w:rsidR="008A2A49" w:rsidRPr="003F3B94">
        <w:rPr>
          <w:rFonts w:hint="cs"/>
          <w:sz w:val="28"/>
          <w:rtl/>
          <w:lang w:bidi="ar-SY"/>
        </w:rPr>
        <w:t>لإ</w:t>
      </w:r>
      <w:r w:rsidR="00C0564E" w:rsidRPr="003F3B94">
        <w:rPr>
          <w:rFonts w:hint="cs"/>
          <w:sz w:val="28"/>
          <w:rtl/>
          <w:lang w:bidi="ar-SY"/>
        </w:rPr>
        <w:t>نسان</w:t>
      </w:r>
      <w:r w:rsidR="00953581" w:rsidRPr="003F3B94">
        <w:rPr>
          <w:rFonts w:hint="cs"/>
          <w:sz w:val="28"/>
          <w:rtl/>
          <w:lang w:bidi="ar-SY"/>
        </w:rPr>
        <w:t xml:space="preserve"> </w:t>
      </w:r>
      <w:r w:rsidR="00C0564E" w:rsidRPr="003F3B94">
        <w:rPr>
          <w:rFonts w:hint="cs"/>
          <w:sz w:val="28"/>
          <w:rtl/>
          <w:lang w:bidi="ar-SY"/>
        </w:rPr>
        <w:t>تسلطاً</w:t>
      </w:r>
      <w:r w:rsidR="00953581" w:rsidRPr="003F3B94">
        <w:rPr>
          <w:rFonts w:hint="cs"/>
          <w:sz w:val="28"/>
          <w:rtl/>
          <w:lang w:bidi="ar-SY"/>
        </w:rPr>
        <w:t xml:space="preserve"> </w:t>
      </w:r>
      <w:r w:rsidR="00C0564E" w:rsidRPr="003F3B94">
        <w:rPr>
          <w:rFonts w:hint="cs"/>
          <w:sz w:val="28"/>
          <w:rtl/>
          <w:lang w:bidi="ar-SY"/>
        </w:rPr>
        <w:t>على</w:t>
      </w:r>
      <w:r w:rsidR="00953581" w:rsidRPr="003F3B94">
        <w:rPr>
          <w:rFonts w:hint="cs"/>
          <w:sz w:val="28"/>
          <w:rtl/>
          <w:lang w:bidi="ar-SY"/>
        </w:rPr>
        <w:t xml:space="preserve"> </w:t>
      </w:r>
      <w:r w:rsidR="00C0564E" w:rsidRPr="003F3B94">
        <w:rPr>
          <w:rFonts w:hint="cs"/>
          <w:sz w:val="28"/>
          <w:rtl/>
          <w:lang w:bidi="ar-SY"/>
        </w:rPr>
        <w:t>الكائنات</w:t>
      </w:r>
      <w:r w:rsidR="00953581" w:rsidRPr="003F3B94">
        <w:rPr>
          <w:rFonts w:hint="cs"/>
          <w:sz w:val="28"/>
          <w:rtl/>
          <w:lang w:bidi="ar-SY"/>
        </w:rPr>
        <w:t xml:space="preserve"> </w:t>
      </w:r>
      <w:r w:rsidR="00C0564E" w:rsidRPr="003F3B94">
        <w:rPr>
          <w:rFonts w:hint="cs"/>
          <w:sz w:val="28"/>
          <w:rtl/>
          <w:lang w:bidi="ar-SY"/>
        </w:rPr>
        <w:t>والموجودات</w:t>
      </w:r>
      <w:r w:rsidR="00953581" w:rsidRPr="003F3B94">
        <w:rPr>
          <w:rFonts w:hint="cs"/>
          <w:sz w:val="28"/>
          <w:rtl/>
          <w:lang w:bidi="ar-SY"/>
        </w:rPr>
        <w:t xml:space="preserve"> </w:t>
      </w:r>
      <w:r w:rsidR="00C0564E" w:rsidRPr="003F3B94">
        <w:rPr>
          <w:rFonts w:hint="cs"/>
          <w:sz w:val="28"/>
          <w:rtl/>
          <w:lang w:bidi="ar-SY"/>
        </w:rPr>
        <w:t>ا</w:t>
      </w:r>
      <w:r w:rsidR="008A2A49" w:rsidRPr="003F3B94">
        <w:rPr>
          <w:rFonts w:hint="cs"/>
          <w:sz w:val="28"/>
          <w:rtl/>
          <w:lang w:bidi="ar-SY"/>
        </w:rPr>
        <w:t>لأ</w:t>
      </w:r>
      <w:r w:rsidR="00C0564E" w:rsidRPr="003F3B94">
        <w:rPr>
          <w:rFonts w:hint="cs"/>
          <w:sz w:val="28"/>
          <w:rtl/>
          <w:lang w:bidi="ar-SY"/>
        </w:rPr>
        <w:t>خرى</w:t>
      </w:r>
      <w:r w:rsidR="00953581" w:rsidRPr="003F3B94">
        <w:rPr>
          <w:rFonts w:hint="cs"/>
          <w:sz w:val="28"/>
          <w:rtl/>
          <w:lang w:bidi="ar-SY"/>
        </w:rPr>
        <w:t xml:space="preserve"> </w:t>
      </w:r>
      <w:r w:rsidR="00532720" w:rsidRPr="003F3B94">
        <w:rPr>
          <w:rFonts w:hint="cs"/>
          <w:sz w:val="28"/>
          <w:rtl/>
          <w:lang w:bidi="ar-SY"/>
        </w:rPr>
        <w:t>في</w:t>
      </w:r>
      <w:r w:rsidR="00953581" w:rsidRPr="003F3B94">
        <w:rPr>
          <w:rFonts w:hint="cs"/>
          <w:sz w:val="28"/>
          <w:rtl/>
          <w:lang w:bidi="ar-SY"/>
        </w:rPr>
        <w:t xml:space="preserve"> </w:t>
      </w:r>
      <w:r w:rsidR="00532720" w:rsidRPr="003F3B94">
        <w:rPr>
          <w:rFonts w:hint="cs"/>
          <w:sz w:val="28"/>
          <w:rtl/>
          <w:lang w:bidi="ar-SY"/>
        </w:rPr>
        <w:t>هذا</w:t>
      </w:r>
      <w:r w:rsidR="00953581" w:rsidRPr="003F3B94">
        <w:rPr>
          <w:rFonts w:hint="cs"/>
          <w:sz w:val="28"/>
          <w:rtl/>
          <w:lang w:bidi="ar-SY"/>
        </w:rPr>
        <w:t xml:space="preserve"> </w:t>
      </w:r>
      <w:r w:rsidR="00532720" w:rsidRPr="003F3B94">
        <w:rPr>
          <w:rFonts w:hint="cs"/>
          <w:sz w:val="28"/>
          <w:rtl/>
          <w:lang w:bidi="ar-SY"/>
        </w:rPr>
        <w:t>العالم</w:t>
      </w:r>
      <w:r w:rsidR="00953581" w:rsidRPr="003F3B94">
        <w:rPr>
          <w:rFonts w:hint="cs"/>
          <w:sz w:val="28"/>
          <w:rtl/>
          <w:lang w:bidi="ar-SY"/>
        </w:rPr>
        <w:t xml:space="preserve"> </w:t>
      </w:r>
      <w:r w:rsidR="00532720" w:rsidRPr="003F3B94">
        <w:rPr>
          <w:rFonts w:hint="cs"/>
          <w:sz w:val="28"/>
          <w:rtl/>
          <w:lang w:bidi="ar-SY"/>
        </w:rPr>
        <w:t>فاستغلها</w:t>
      </w:r>
      <w:r w:rsidR="00953581" w:rsidRPr="003F3B94">
        <w:rPr>
          <w:rFonts w:hint="cs"/>
          <w:sz w:val="28"/>
          <w:rtl/>
          <w:lang w:bidi="ar-SY"/>
        </w:rPr>
        <w:t xml:space="preserve"> </w:t>
      </w:r>
      <w:r w:rsidR="00532720" w:rsidRPr="003F3B94">
        <w:rPr>
          <w:rFonts w:hint="cs"/>
          <w:sz w:val="28"/>
          <w:rtl/>
          <w:lang w:bidi="ar-SY"/>
        </w:rPr>
        <w:t>لمنافعه</w:t>
      </w:r>
      <w:r w:rsidR="00953581" w:rsidRPr="003F3B94">
        <w:rPr>
          <w:rFonts w:hint="cs"/>
          <w:sz w:val="28"/>
          <w:rtl/>
          <w:lang w:bidi="ar-SY"/>
        </w:rPr>
        <w:t xml:space="preserve"> </w:t>
      </w:r>
      <w:r w:rsidR="006069C4" w:rsidRPr="003F3B94">
        <w:rPr>
          <w:rFonts w:hint="cs"/>
          <w:sz w:val="28"/>
          <w:rtl/>
          <w:lang w:bidi="ar-SY"/>
        </w:rPr>
        <w:t>أو</w:t>
      </w:r>
      <w:r w:rsidR="00953581" w:rsidRPr="003F3B94">
        <w:rPr>
          <w:rFonts w:hint="cs"/>
          <w:sz w:val="28"/>
          <w:rtl/>
          <w:lang w:bidi="ar-SY"/>
        </w:rPr>
        <w:t xml:space="preserve"> </w:t>
      </w:r>
      <w:r w:rsidR="006069C4" w:rsidRPr="003F3B94">
        <w:rPr>
          <w:rFonts w:hint="cs"/>
          <w:sz w:val="28"/>
          <w:rtl/>
          <w:lang w:bidi="ar-SY"/>
        </w:rPr>
        <w:t>استخدمها</w:t>
      </w:r>
      <w:r w:rsidR="00953581" w:rsidRPr="003F3B94">
        <w:rPr>
          <w:rFonts w:hint="cs"/>
          <w:sz w:val="28"/>
          <w:rtl/>
          <w:lang w:bidi="ar-SY"/>
        </w:rPr>
        <w:t xml:space="preserve"> </w:t>
      </w:r>
      <w:r w:rsidR="006069C4" w:rsidRPr="003F3B94">
        <w:rPr>
          <w:rFonts w:hint="cs"/>
          <w:sz w:val="28"/>
          <w:rtl/>
          <w:lang w:bidi="ar-SY"/>
        </w:rPr>
        <w:t>لتحقيق</w:t>
      </w:r>
      <w:r w:rsidR="00953581" w:rsidRPr="003F3B94">
        <w:rPr>
          <w:rFonts w:hint="cs"/>
          <w:sz w:val="28"/>
          <w:rtl/>
          <w:lang w:bidi="ar-SY"/>
        </w:rPr>
        <w:t xml:space="preserve"> </w:t>
      </w:r>
      <w:r w:rsidR="002C7C1B" w:rsidRPr="003F3B94">
        <w:rPr>
          <w:rFonts w:hint="cs"/>
          <w:sz w:val="28"/>
          <w:rtl/>
          <w:lang w:bidi="ar-SY"/>
        </w:rPr>
        <w:t>أغراضه</w:t>
      </w:r>
      <w:r w:rsidR="00953581" w:rsidRPr="003F3B94">
        <w:rPr>
          <w:rFonts w:hint="cs"/>
          <w:sz w:val="28"/>
          <w:rtl/>
          <w:lang w:bidi="ar-SY"/>
        </w:rPr>
        <w:t xml:space="preserve"> </w:t>
      </w:r>
      <w:r w:rsidR="002C7C1B" w:rsidRPr="003F3B94">
        <w:rPr>
          <w:rFonts w:hint="cs"/>
          <w:sz w:val="28"/>
          <w:rtl/>
          <w:lang w:bidi="ar-SY"/>
        </w:rPr>
        <w:t>و</w:t>
      </w:r>
      <w:r w:rsidR="006069C4" w:rsidRPr="003F3B94">
        <w:rPr>
          <w:rFonts w:hint="cs"/>
          <w:sz w:val="28"/>
          <w:rtl/>
          <w:lang w:bidi="ar-SY"/>
        </w:rPr>
        <w:t>أ</w:t>
      </w:r>
      <w:r w:rsidR="00466FD3" w:rsidRPr="003F3B94">
        <w:rPr>
          <w:rFonts w:hint="cs"/>
          <w:sz w:val="28"/>
          <w:rtl/>
          <w:lang w:bidi="ar-SY"/>
        </w:rPr>
        <w:t>هوائه</w:t>
      </w:r>
      <w:r w:rsidR="00953581" w:rsidRPr="003F3B94">
        <w:rPr>
          <w:rFonts w:hint="cs"/>
          <w:sz w:val="28"/>
          <w:rtl/>
          <w:lang w:bidi="ar-SY"/>
        </w:rPr>
        <w:t xml:space="preserve"> </w:t>
      </w:r>
      <w:r w:rsidR="00466FD3" w:rsidRPr="003F3B94">
        <w:rPr>
          <w:rFonts w:hint="cs"/>
          <w:sz w:val="28"/>
          <w:rtl/>
          <w:lang w:bidi="ar-SY"/>
        </w:rPr>
        <w:t>واستفاد</w:t>
      </w:r>
      <w:r w:rsidR="00953581" w:rsidRPr="003F3B94">
        <w:rPr>
          <w:rFonts w:hint="cs"/>
          <w:sz w:val="28"/>
          <w:rtl/>
          <w:lang w:bidi="ar-SY"/>
        </w:rPr>
        <w:t xml:space="preserve"> </w:t>
      </w:r>
      <w:r w:rsidR="00466FD3" w:rsidRPr="003F3B94">
        <w:rPr>
          <w:rFonts w:hint="cs"/>
          <w:sz w:val="28"/>
          <w:rtl/>
          <w:lang w:bidi="ar-SY"/>
        </w:rPr>
        <w:t>منها</w:t>
      </w:r>
      <w:r w:rsidR="00953581" w:rsidRPr="003F3B94">
        <w:rPr>
          <w:rFonts w:hint="cs"/>
          <w:sz w:val="28"/>
          <w:rtl/>
          <w:lang w:bidi="ar-SY"/>
        </w:rPr>
        <w:t xml:space="preserve"> </w:t>
      </w:r>
      <w:r w:rsidR="00466FD3" w:rsidRPr="003F3B94">
        <w:rPr>
          <w:rFonts w:hint="cs"/>
          <w:sz w:val="28"/>
          <w:rtl/>
          <w:lang w:bidi="ar-SY"/>
        </w:rPr>
        <w:t>في</w:t>
      </w:r>
      <w:r w:rsidR="00953581" w:rsidRPr="003F3B94">
        <w:rPr>
          <w:rFonts w:hint="cs"/>
          <w:sz w:val="28"/>
          <w:rtl/>
          <w:lang w:bidi="ar-SY"/>
        </w:rPr>
        <w:t xml:space="preserve"> </w:t>
      </w:r>
      <w:r w:rsidR="00D25EA3" w:rsidRPr="003F3B94">
        <w:rPr>
          <w:rFonts w:hint="cs"/>
          <w:sz w:val="28"/>
          <w:rtl/>
          <w:lang w:bidi="ar-SY"/>
        </w:rPr>
        <w:t>تلبية</w:t>
      </w:r>
      <w:r w:rsidR="00953581" w:rsidRPr="003F3B94">
        <w:rPr>
          <w:rFonts w:hint="cs"/>
          <w:sz w:val="28"/>
          <w:rtl/>
          <w:lang w:bidi="ar-SY"/>
        </w:rPr>
        <w:t xml:space="preserve"> </w:t>
      </w:r>
      <w:r w:rsidR="002C7C1B" w:rsidRPr="003F3B94">
        <w:rPr>
          <w:rFonts w:hint="cs"/>
          <w:sz w:val="28"/>
          <w:rtl/>
          <w:lang w:bidi="ar-SY"/>
        </w:rPr>
        <w:t>حاجاته</w:t>
      </w:r>
      <w:r w:rsidR="00953581" w:rsidRPr="003F3B94">
        <w:rPr>
          <w:rFonts w:hint="cs"/>
          <w:sz w:val="28"/>
          <w:rtl/>
          <w:lang w:bidi="ar-SY"/>
        </w:rPr>
        <w:t xml:space="preserve"> </w:t>
      </w:r>
      <w:r w:rsidR="00466FD3" w:rsidRPr="003F3B94">
        <w:rPr>
          <w:rFonts w:hint="cs"/>
          <w:sz w:val="28"/>
          <w:rtl/>
          <w:lang w:bidi="ar-SY"/>
        </w:rPr>
        <w:t>وتحقيق</w:t>
      </w:r>
      <w:r w:rsidR="00953581" w:rsidRPr="003F3B94">
        <w:rPr>
          <w:rFonts w:hint="cs"/>
          <w:sz w:val="28"/>
          <w:rtl/>
          <w:lang w:bidi="ar-SY"/>
        </w:rPr>
        <w:t xml:space="preserve"> </w:t>
      </w:r>
      <w:r w:rsidR="00466FD3" w:rsidRPr="003F3B94">
        <w:rPr>
          <w:rFonts w:hint="cs"/>
          <w:sz w:val="28"/>
          <w:rtl/>
          <w:lang w:bidi="ar-SY"/>
        </w:rPr>
        <w:t>آماله</w:t>
      </w:r>
      <w:r w:rsidR="00217AB4" w:rsidRPr="003F3B94">
        <w:rPr>
          <w:rFonts w:hint="cs"/>
          <w:sz w:val="28"/>
          <w:rtl/>
          <w:lang w:bidi="ar-SY"/>
        </w:rPr>
        <w:t>،</w:t>
      </w:r>
      <w:r w:rsidR="00953581" w:rsidRPr="003F3B94">
        <w:rPr>
          <w:rFonts w:hint="cs"/>
          <w:sz w:val="28"/>
          <w:rtl/>
          <w:lang w:bidi="ar-SY"/>
        </w:rPr>
        <w:t xml:space="preserve"> </w:t>
      </w:r>
      <w:r w:rsidR="00D25EA3" w:rsidRPr="003F3B94">
        <w:rPr>
          <w:rFonts w:hint="cs"/>
          <w:sz w:val="28"/>
          <w:rtl/>
          <w:lang w:bidi="ar-SY"/>
        </w:rPr>
        <w:t>ونتيجةً</w:t>
      </w:r>
      <w:r w:rsidR="00953581" w:rsidRPr="003F3B94">
        <w:rPr>
          <w:rFonts w:hint="cs"/>
          <w:sz w:val="28"/>
          <w:rtl/>
          <w:lang w:bidi="ar-SY"/>
        </w:rPr>
        <w:t xml:space="preserve"> </w:t>
      </w:r>
      <w:r w:rsidR="00D25EA3" w:rsidRPr="003F3B94">
        <w:rPr>
          <w:rFonts w:hint="cs"/>
          <w:sz w:val="28"/>
          <w:rtl/>
          <w:lang w:bidi="ar-SY"/>
        </w:rPr>
        <w:t>لذلك</w:t>
      </w:r>
      <w:r w:rsidR="00953581" w:rsidRPr="003F3B94">
        <w:rPr>
          <w:rFonts w:hint="cs"/>
          <w:sz w:val="28"/>
          <w:rtl/>
          <w:lang w:bidi="ar-SY"/>
        </w:rPr>
        <w:t xml:space="preserve"> </w:t>
      </w:r>
      <w:r w:rsidR="002C7C1B" w:rsidRPr="003F3B94">
        <w:rPr>
          <w:rFonts w:hint="cs"/>
          <w:sz w:val="28"/>
          <w:rtl/>
          <w:lang w:bidi="ar-SY"/>
        </w:rPr>
        <w:t>توسَّع</w:t>
      </w:r>
      <w:r w:rsidR="00953581" w:rsidRPr="003F3B94">
        <w:rPr>
          <w:rFonts w:hint="cs"/>
          <w:sz w:val="28"/>
          <w:rtl/>
          <w:lang w:bidi="ar-SY"/>
        </w:rPr>
        <w:t xml:space="preserve"> </w:t>
      </w:r>
      <w:r w:rsidR="002C7C1B" w:rsidRPr="003F3B94">
        <w:rPr>
          <w:rFonts w:hint="cs"/>
          <w:sz w:val="28"/>
          <w:rtl/>
          <w:lang w:bidi="ar-SY"/>
        </w:rPr>
        <w:t>في</w:t>
      </w:r>
      <w:r w:rsidR="00953581" w:rsidRPr="003F3B94">
        <w:rPr>
          <w:rFonts w:hint="cs"/>
          <w:sz w:val="28"/>
          <w:rtl/>
          <w:lang w:bidi="ar-SY"/>
        </w:rPr>
        <w:t xml:space="preserve"> </w:t>
      </w:r>
      <w:r w:rsidR="002C7C1B" w:rsidRPr="003F3B94">
        <w:rPr>
          <w:rFonts w:hint="cs"/>
          <w:sz w:val="28"/>
          <w:rtl/>
          <w:lang w:bidi="ar-SY"/>
        </w:rPr>
        <w:t>رغباته</w:t>
      </w:r>
      <w:r w:rsidR="00953581" w:rsidRPr="003F3B94">
        <w:rPr>
          <w:rFonts w:hint="cs"/>
          <w:sz w:val="28"/>
          <w:rtl/>
          <w:lang w:bidi="ar-SY"/>
        </w:rPr>
        <w:t xml:space="preserve"> </w:t>
      </w:r>
      <w:r w:rsidR="00D25EA3" w:rsidRPr="003F3B94">
        <w:rPr>
          <w:rFonts w:hint="cs"/>
          <w:sz w:val="28"/>
          <w:rtl/>
          <w:lang w:bidi="ar-SY"/>
        </w:rPr>
        <w:t>يوماً</w:t>
      </w:r>
      <w:r w:rsidR="00953581" w:rsidRPr="003F3B94">
        <w:rPr>
          <w:rFonts w:hint="cs"/>
          <w:sz w:val="28"/>
          <w:rtl/>
          <w:lang w:bidi="ar-SY"/>
        </w:rPr>
        <w:t xml:space="preserve"> </w:t>
      </w:r>
      <w:r w:rsidR="00D25EA3" w:rsidRPr="003F3B94">
        <w:rPr>
          <w:rFonts w:hint="cs"/>
          <w:sz w:val="28"/>
          <w:rtl/>
          <w:lang w:bidi="ar-SY"/>
        </w:rPr>
        <w:t>بعد</w:t>
      </w:r>
      <w:r w:rsidR="00953581" w:rsidRPr="003F3B94">
        <w:rPr>
          <w:rFonts w:hint="cs"/>
          <w:sz w:val="28"/>
          <w:rtl/>
          <w:lang w:bidi="ar-SY"/>
        </w:rPr>
        <w:t xml:space="preserve"> </w:t>
      </w:r>
      <w:r w:rsidR="00D25EA3" w:rsidRPr="003F3B94">
        <w:rPr>
          <w:rFonts w:hint="cs"/>
          <w:sz w:val="28"/>
          <w:rtl/>
          <w:lang w:bidi="ar-SY"/>
        </w:rPr>
        <w:t>يوم</w:t>
      </w:r>
      <w:r w:rsidR="00217AB4" w:rsidRPr="003F3B94">
        <w:rPr>
          <w:rFonts w:hint="cs"/>
          <w:sz w:val="28"/>
          <w:rtl/>
          <w:lang w:bidi="ar-SY"/>
        </w:rPr>
        <w:t>.</w:t>
      </w:r>
      <w:r w:rsidR="00953581" w:rsidRPr="003F3B94">
        <w:rPr>
          <w:rFonts w:hint="cs"/>
          <w:sz w:val="28"/>
          <w:rtl/>
          <w:lang w:bidi="ar-SY"/>
        </w:rPr>
        <w:t xml:space="preserve"> </w:t>
      </w:r>
      <w:r w:rsidR="002C7C1B" w:rsidRPr="003F3B94">
        <w:rPr>
          <w:rFonts w:hint="cs"/>
          <w:sz w:val="28"/>
          <w:rtl/>
          <w:lang w:bidi="ar-SY"/>
        </w:rPr>
        <w:t>ولكن</w:t>
      </w:r>
      <w:r w:rsidR="00953581" w:rsidRPr="003F3B94">
        <w:rPr>
          <w:rFonts w:hint="cs"/>
          <w:sz w:val="28"/>
          <w:rtl/>
          <w:lang w:bidi="ar-SY"/>
        </w:rPr>
        <w:t xml:space="preserve"> </w:t>
      </w:r>
      <w:r w:rsidR="008C41C5" w:rsidRPr="003F3B94">
        <w:rPr>
          <w:rFonts w:hint="cs"/>
          <w:sz w:val="28"/>
          <w:rtl/>
          <w:lang w:bidi="ar-SY"/>
        </w:rPr>
        <w:t>من</w:t>
      </w:r>
      <w:r w:rsidR="00953581" w:rsidRPr="003F3B94">
        <w:rPr>
          <w:rFonts w:hint="cs"/>
          <w:sz w:val="28"/>
          <w:rtl/>
          <w:lang w:bidi="ar-SY"/>
        </w:rPr>
        <w:t xml:space="preserve"> </w:t>
      </w:r>
      <w:r w:rsidR="008C41C5" w:rsidRPr="003F3B94">
        <w:rPr>
          <w:rFonts w:hint="cs"/>
          <w:sz w:val="28"/>
          <w:rtl/>
          <w:lang w:bidi="ar-SY"/>
        </w:rPr>
        <w:t>الجهة</w:t>
      </w:r>
      <w:r w:rsidR="00953581" w:rsidRPr="003F3B94">
        <w:rPr>
          <w:rFonts w:hint="cs"/>
          <w:sz w:val="28"/>
          <w:rtl/>
          <w:lang w:bidi="ar-SY"/>
        </w:rPr>
        <w:t xml:space="preserve"> </w:t>
      </w:r>
      <w:r w:rsidR="008C41C5" w:rsidRPr="003F3B94">
        <w:rPr>
          <w:rFonts w:hint="cs"/>
          <w:sz w:val="28"/>
          <w:rtl/>
          <w:lang w:bidi="ar-SY"/>
        </w:rPr>
        <w:t>ا</w:t>
      </w:r>
      <w:r w:rsidR="008A2A49" w:rsidRPr="003F3B94">
        <w:rPr>
          <w:rFonts w:hint="cs"/>
          <w:sz w:val="28"/>
          <w:rtl/>
          <w:lang w:bidi="ar-SY"/>
        </w:rPr>
        <w:t>لأ</w:t>
      </w:r>
      <w:r w:rsidR="008C41C5" w:rsidRPr="003F3B94">
        <w:rPr>
          <w:rFonts w:hint="cs"/>
          <w:sz w:val="28"/>
          <w:rtl/>
          <w:lang w:bidi="ar-SY"/>
        </w:rPr>
        <w:t>خرى</w:t>
      </w:r>
      <w:r w:rsidR="00953581" w:rsidRPr="003F3B94">
        <w:rPr>
          <w:rFonts w:hint="cs"/>
          <w:sz w:val="28"/>
          <w:rtl/>
          <w:lang w:bidi="ar-SY"/>
        </w:rPr>
        <w:t xml:space="preserve"> </w:t>
      </w:r>
      <w:r w:rsidR="008C41C5" w:rsidRPr="003F3B94">
        <w:rPr>
          <w:rFonts w:hint="cs"/>
          <w:sz w:val="28"/>
          <w:rtl/>
          <w:lang w:bidi="ar-SY"/>
        </w:rPr>
        <w:t>أدت</w:t>
      </w:r>
      <w:r w:rsidR="00953581" w:rsidRPr="003F3B94">
        <w:rPr>
          <w:rFonts w:hint="cs"/>
          <w:sz w:val="28"/>
          <w:rtl/>
          <w:lang w:bidi="ar-SY"/>
        </w:rPr>
        <w:t xml:space="preserve"> </w:t>
      </w:r>
      <w:r w:rsidR="008C41C5" w:rsidRPr="003F3B94">
        <w:rPr>
          <w:rFonts w:hint="cs"/>
          <w:sz w:val="28"/>
          <w:rtl/>
          <w:lang w:bidi="ar-SY"/>
        </w:rPr>
        <w:t>هذه</w:t>
      </w:r>
      <w:r w:rsidR="00953581" w:rsidRPr="003F3B94">
        <w:rPr>
          <w:rFonts w:hint="cs"/>
          <w:sz w:val="28"/>
          <w:rtl/>
          <w:lang w:bidi="ar-SY"/>
        </w:rPr>
        <w:t xml:space="preserve"> </w:t>
      </w:r>
      <w:r w:rsidR="008C41C5" w:rsidRPr="003F3B94">
        <w:rPr>
          <w:rFonts w:hint="cs"/>
          <w:sz w:val="28"/>
          <w:rtl/>
          <w:lang w:bidi="ar-SY"/>
        </w:rPr>
        <w:t>المي</w:t>
      </w:r>
      <w:r w:rsidR="00DF79BC" w:rsidRPr="003F3B94">
        <w:rPr>
          <w:rFonts w:hint="cs"/>
          <w:sz w:val="28"/>
          <w:rtl/>
          <w:lang w:bidi="ar-SY"/>
        </w:rPr>
        <w:t>ّ</w:t>
      </w:r>
      <w:r w:rsidR="008C41C5" w:rsidRPr="003F3B94">
        <w:rPr>
          <w:rFonts w:hint="cs"/>
          <w:sz w:val="28"/>
          <w:rtl/>
          <w:lang w:bidi="ar-SY"/>
        </w:rPr>
        <w:t>زة</w:t>
      </w:r>
      <w:r w:rsidR="00953581" w:rsidRPr="003F3B94">
        <w:rPr>
          <w:rFonts w:hint="cs"/>
          <w:sz w:val="28"/>
          <w:rtl/>
          <w:lang w:bidi="ar-SY"/>
        </w:rPr>
        <w:t xml:space="preserve"> </w:t>
      </w:r>
      <w:r w:rsidR="008C41C5" w:rsidRPr="003F3B94">
        <w:rPr>
          <w:rFonts w:hint="cs"/>
          <w:sz w:val="28"/>
          <w:rtl/>
          <w:lang w:bidi="ar-SY"/>
        </w:rPr>
        <w:t>والخاصي</w:t>
      </w:r>
      <w:r w:rsidR="00DF79BC" w:rsidRPr="003F3B94">
        <w:rPr>
          <w:rFonts w:hint="cs"/>
          <w:sz w:val="28"/>
          <w:rtl/>
          <w:lang w:bidi="ar-SY"/>
        </w:rPr>
        <w:t>ّ</w:t>
      </w:r>
      <w:r w:rsidR="008C41C5" w:rsidRPr="003F3B94">
        <w:rPr>
          <w:rFonts w:hint="cs"/>
          <w:sz w:val="28"/>
          <w:rtl/>
          <w:lang w:bidi="ar-SY"/>
        </w:rPr>
        <w:t>ة</w:t>
      </w:r>
      <w:r w:rsidR="00953581" w:rsidRPr="003F3B94">
        <w:rPr>
          <w:rFonts w:hint="cs"/>
          <w:sz w:val="28"/>
          <w:rtl/>
          <w:lang w:bidi="ar-SY"/>
        </w:rPr>
        <w:t xml:space="preserve"> </w:t>
      </w:r>
      <w:r w:rsidR="008C41C5" w:rsidRPr="003F3B94">
        <w:rPr>
          <w:rFonts w:hint="cs"/>
          <w:sz w:val="28"/>
          <w:rtl/>
          <w:lang w:bidi="ar-SY"/>
        </w:rPr>
        <w:t>التي</w:t>
      </w:r>
      <w:r w:rsidR="00953581" w:rsidRPr="003F3B94">
        <w:rPr>
          <w:rFonts w:hint="cs"/>
          <w:sz w:val="28"/>
          <w:rtl/>
          <w:lang w:bidi="ar-SY"/>
        </w:rPr>
        <w:t xml:space="preserve"> </w:t>
      </w:r>
      <w:r w:rsidR="008C41C5" w:rsidRPr="003F3B94">
        <w:rPr>
          <w:rFonts w:hint="cs"/>
          <w:sz w:val="28"/>
          <w:rtl/>
          <w:lang w:bidi="ar-SY"/>
        </w:rPr>
        <w:t>اخت</w:t>
      </w:r>
      <w:r w:rsidR="002C7C1B" w:rsidRPr="003F3B94">
        <w:rPr>
          <w:rFonts w:hint="cs"/>
          <w:sz w:val="28"/>
          <w:rtl/>
          <w:lang w:bidi="ar-SY"/>
        </w:rPr>
        <w:t>ُ</w:t>
      </w:r>
      <w:r w:rsidR="008C41C5" w:rsidRPr="003F3B94">
        <w:rPr>
          <w:rFonts w:hint="cs"/>
          <w:sz w:val="28"/>
          <w:rtl/>
          <w:lang w:bidi="ar-SY"/>
        </w:rPr>
        <w:t>ص</w:t>
      </w:r>
      <w:r w:rsidR="002C7C1B" w:rsidRPr="003F3B94">
        <w:rPr>
          <w:rFonts w:hint="cs"/>
          <w:sz w:val="28"/>
          <w:rtl/>
          <w:lang w:bidi="ar-SY"/>
        </w:rPr>
        <w:t>َّ</w:t>
      </w:r>
      <w:r w:rsidR="00953581" w:rsidRPr="003F3B94">
        <w:rPr>
          <w:rFonts w:hint="cs"/>
          <w:sz w:val="28"/>
          <w:rtl/>
          <w:lang w:bidi="ar-SY"/>
        </w:rPr>
        <w:t xml:space="preserve"> </w:t>
      </w:r>
      <w:r w:rsidR="002C7C1B" w:rsidRPr="003F3B94">
        <w:rPr>
          <w:rFonts w:hint="cs"/>
          <w:sz w:val="28"/>
          <w:rtl/>
          <w:lang w:bidi="ar-SY"/>
        </w:rPr>
        <w:t>بها</w:t>
      </w:r>
      <w:r w:rsidR="00953581" w:rsidRPr="003F3B94">
        <w:rPr>
          <w:rFonts w:hint="cs"/>
          <w:sz w:val="28"/>
          <w:rtl/>
          <w:lang w:bidi="ar-SY"/>
        </w:rPr>
        <w:t xml:space="preserve"> </w:t>
      </w:r>
      <w:r w:rsidR="002C7C1B" w:rsidRPr="003F3B94">
        <w:rPr>
          <w:rFonts w:hint="cs"/>
          <w:sz w:val="28"/>
          <w:rtl/>
          <w:lang w:bidi="ar-SY"/>
        </w:rPr>
        <w:t>ا</w:t>
      </w:r>
      <w:r w:rsidR="008A2A49" w:rsidRPr="003F3B94">
        <w:rPr>
          <w:rFonts w:hint="cs"/>
          <w:sz w:val="28"/>
          <w:rtl/>
          <w:lang w:bidi="ar-SY"/>
        </w:rPr>
        <w:t>لإ</w:t>
      </w:r>
      <w:r w:rsidR="002C7C1B" w:rsidRPr="003F3B94">
        <w:rPr>
          <w:rFonts w:hint="cs"/>
          <w:sz w:val="28"/>
          <w:rtl/>
          <w:lang w:bidi="ar-SY"/>
        </w:rPr>
        <w:t>نسان</w:t>
      </w:r>
      <w:r w:rsidR="00953581" w:rsidRPr="003F3B94">
        <w:rPr>
          <w:rFonts w:hint="cs"/>
          <w:sz w:val="28"/>
          <w:rtl/>
          <w:lang w:bidi="ar-SY"/>
        </w:rPr>
        <w:t xml:space="preserve"> </w:t>
      </w:r>
      <w:r w:rsidR="008C41C5" w:rsidRPr="003F3B94">
        <w:rPr>
          <w:rFonts w:hint="cs"/>
          <w:sz w:val="28"/>
          <w:rtl/>
          <w:lang w:bidi="ar-SY"/>
        </w:rPr>
        <w:t>إلى</w:t>
      </w:r>
      <w:r w:rsidR="00953581" w:rsidRPr="003F3B94">
        <w:rPr>
          <w:rFonts w:hint="cs"/>
          <w:sz w:val="28"/>
          <w:rtl/>
          <w:lang w:bidi="ar-SY"/>
        </w:rPr>
        <w:t xml:space="preserve"> </w:t>
      </w:r>
      <w:r w:rsidR="008C41C5" w:rsidRPr="003F3B94">
        <w:rPr>
          <w:rFonts w:hint="cs"/>
          <w:sz w:val="28"/>
          <w:rtl/>
          <w:lang w:bidi="ar-SY"/>
        </w:rPr>
        <w:t>قلقه</w:t>
      </w:r>
      <w:r w:rsidR="00953581" w:rsidRPr="003F3B94">
        <w:rPr>
          <w:rFonts w:hint="cs"/>
          <w:sz w:val="28"/>
          <w:rtl/>
          <w:lang w:bidi="ar-SY"/>
        </w:rPr>
        <w:t xml:space="preserve"> </w:t>
      </w:r>
      <w:r w:rsidR="008C41C5" w:rsidRPr="003F3B94">
        <w:rPr>
          <w:rFonts w:hint="cs"/>
          <w:sz w:val="28"/>
          <w:rtl/>
          <w:lang w:bidi="ar-SY"/>
        </w:rPr>
        <w:t>الروحي</w:t>
      </w:r>
      <w:r w:rsidR="00953581" w:rsidRPr="003F3B94">
        <w:rPr>
          <w:rFonts w:hint="cs"/>
          <w:sz w:val="28"/>
          <w:rtl/>
          <w:lang w:bidi="ar-SY"/>
        </w:rPr>
        <w:t xml:space="preserve"> </w:t>
      </w:r>
      <w:r w:rsidR="002C7C1B" w:rsidRPr="003F3B94">
        <w:rPr>
          <w:rFonts w:hint="cs"/>
          <w:sz w:val="28"/>
          <w:rtl/>
          <w:lang w:bidi="ar-SY"/>
        </w:rPr>
        <w:t>واضطراب</w:t>
      </w:r>
      <w:r w:rsidR="00953581" w:rsidRPr="003F3B94">
        <w:rPr>
          <w:rFonts w:hint="cs"/>
          <w:sz w:val="28"/>
          <w:rtl/>
          <w:lang w:bidi="ar-SY"/>
        </w:rPr>
        <w:t xml:space="preserve"> </w:t>
      </w:r>
      <w:r w:rsidR="008C41C5" w:rsidRPr="003F3B94">
        <w:rPr>
          <w:rFonts w:hint="cs"/>
          <w:sz w:val="28"/>
          <w:rtl/>
          <w:lang w:bidi="ar-SY"/>
        </w:rPr>
        <w:t>وجدانه</w:t>
      </w:r>
      <w:r w:rsidR="00953581" w:rsidRPr="003F3B94">
        <w:rPr>
          <w:rFonts w:hint="cs"/>
          <w:sz w:val="28"/>
          <w:rtl/>
          <w:lang w:bidi="ar-SY"/>
        </w:rPr>
        <w:t xml:space="preserve"> </w:t>
      </w:r>
      <w:r w:rsidR="002C7C1B" w:rsidRPr="003F3B94">
        <w:rPr>
          <w:rFonts w:hint="cs"/>
          <w:sz w:val="28"/>
          <w:rtl/>
          <w:lang w:bidi="ar-SY"/>
        </w:rPr>
        <w:t>حتى</w:t>
      </w:r>
      <w:r w:rsidR="00953581" w:rsidRPr="003F3B94">
        <w:rPr>
          <w:rFonts w:hint="cs"/>
          <w:sz w:val="28"/>
          <w:rtl/>
          <w:lang w:bidi="ar-SY"/>
        </w:rPr>
        <w:t xml:space="preserve"> </w:t>
      </w:r>
      <w:r w:rsidR="008C41C5" w:rsidRPr="003F3B94">
        <w:rPr>
          <w:rFonts w:hint="cs"/>
          <w:sz w:val="28"/>
          <w:rtl/>
          <w:lang w:bidi="ar-SY"/>
        </w:rPr>
        <w:t>فقد</w:t>
      </w:r>
      <w:r w:rsidR="00953581" w:rsidRPr="003F3B94">
        <w:rPr>
          <w:rFonts w:hint="cs"/>
          <w:sz w:val="28"/>
          <w:rtl/>
          <w:lang w:bidi="ar-SY"/>
        </w:rPr>
        <w:t xml:space="preserve"> </w:t>
      </w:r>
      <w:r w:rsidR="008C41C5" w:rsidRPr="003F3B94">
        <w:rPr>
          <w:rFonts w:hint="cs"/>
          <w:sz w:val="28"/>
          <w:rtl/>
          <w:lang w:bidi="ar-SY"/>
        </w:rPr>
        <w:t>راحة</w:t>
      </w:r>
      <w:r w:rsidR="00953581" w:rsidRPr="003F3B94">
        <w:rPr>
          <w:rFonts w:hint="cs"/>
          <w:sz w:val="28"/>
          <w:rtl/>
          <w:lang w:bidi="ar-SY"/>
        </w:rPr>
        <w:t xml:space="preserve"> </w:t>
      </w:r>
      <w:r w:rsidR="008C41C5" w:rsidRPr="003F3B94">
        <w:rPr>
          <w:rFonts w:hint="cs"/>
          <w:sz w:val="28"/>
          <w:rtl/>
          <w:lang w:bidi="ar-SY"/>
        </w:rPr>
        <w:t>البا</w:t>
      </w:r>
      <w:r w:rsidR="002C7C1B" w:rsidRPr="003F3B94">
        <w:rPr>
          <w:rFonts w:hint="cs"/>
          <w:sz w:val="28"/>
          <w:rtl/>
          <w:lang w:bidi="ar-SY"/>
        </w:rPr>
        <w:t>ل</w:t>
      </w:r>
      <w:r w:rsidR="00953581" w:rsidRPr="003F3B94">
        <w:rPr>
          <w:rFonts w:hint="cs"/>
          <w:sz w:val="28"/>
          <w:rtl/>
          <w:lang w:bidi="ar-SY"/>
        </w:rPr>
        <w:t xml:space="preserve"> </w:t>
      </w:r>
      <w:r w:rsidR="002C7C1B" w:rsidRPr="003F3B94">
        <w:rPr>
          <w:rFonts w:hint="cs"/>
          <w:sz w:val="28"/>
          <w:rtl/>
          <w:lang w:bidi="ar-SY"/>
        </w:rPr>
        <w:t>وسلبت</w:t>
      </w:r>
      <w:r w:rsidR="00953581" w:rsidRPr="003F3B94">
        <w:rPr>
          <w:rFonts w:hint="cs"/>
          <w:sz w:val="28"/>
          <w:rtl/>
          <w:lang w:bidi="ar-SY"/>
        </w:rPr>
        <w:t xml:space="preserve"> </w:t>
      </w:r>
      <w:r w:rsidR="002C7C1B" w:rsidRPr="003F3B94">
        <w:rPr>
          <w:rFonts w:hint="cs"/>
          <w:sz w:val="28"/>
          <w:rtl/>
          <w:lang w:bidi="ar-SY"/>
        </w:rPr>
        <w:t>عنه</w:t>
      </w:r>
      <w:r w:rsidR="00953581" w:rsidRPr="003F3B94">
        <w:rPr>
          <w:rFonts w:hint="cs"/>
          <w:sz w:val="28"/>
          <w:rtl/>
          <w:lang w:bidi="ar-SY"/>
        </w:rPr>
        <w:t xml:space="preserve"> </w:t>
      </w:r>
      <w:r w:rsidR="002C7C1B" w:rsidRPr="003F3B94">
        <w:rPr>
          <w:rFonts w:hint="cs"/>
          <w:sz w:val="28"/>
          <w:rtl/>
          <w:lang w:bidi="ar-SY"/>
        </w:rPr>
        <w:t>السكينة</w:t>
      </w:r>
      <w:r w:rsidR="00953581" w:rsidRPr="003F3B94">
        <w:rPr>
          <w:rFonts w:hint="cs"/>
          <w:sz w:val="28"/>
          <w:rtl/>
          <w:lang w:bidi="ar-SY"/>
        </w:rPr>
        <w:t xml:space="preserve"> </w:t>
      </w:r>
      <w:r w:rsidR="002C7C1B" w:rsidRPr="003F3B94">
        <w:rPr>
          <w:rFonts w:hint="cs"/>
          <w:sz w:val="28"/>
          <w:rtl/>
          <w:lang w:bidi="ar-SY"/>
        </w:rPr>
        <w:t>والطمأنينة</w:t>
      </w:r>
      <w:r w:rsidR="00217AB4" w:rsidRPr="003F3B94">
        <w:rPr>
          <w:rFonts w:hint="cs"/>
          <w:sz w:val="28"/>
          <w:rtl/>
          <w:lang w:bidi="ar-SY"/>
        </w:rPr>
        <w:t>،</w:t>
      </w:r>
      <w:r w:rsidR="00953581" w:rsidRPr="003F3B94">
        <w:rPr>
          <w:rFonts w:hint="cs"/>
          <w:sz w:val="28"/>
          <w:rtl/>
          <w:lang w:bidi="ar-SY"/>
        </w:rPr>
        <w:t xml:space="preserve"> </w:t>
      </w:r>
      <w:r w:rsidR="00DF79BC" w:rsidRPr="003F3B94">
        <w:rPr>
          <w:rFonts w:hint="cs"/>
          <w:sz w:val="28"/>
          <w:rtl/>
          <w:lang w:bidi="ar-SY"/>
        </w:rPr>
        <w:t>لأنه</w:t>
      </w:r>
      <w:r w:rsidR="00953581" w:rsidRPr="003F3B94">
        <w:rPr>
          <w:rFonts w:hint="cs"/>
          <w:sz w:val="28"/>
          <w:rtl/>
          <w:lang w:bidi="ar-SY"/>
        </w:rPr>
        <w:t xml:space="preserve"> </w:t>
      </w:r>
      <w:r w:rsidR="00DF79BC" w:rsidRPr="003F3B94">
        <w:rPr>
          <w:rFonts w:hint="cs"/>
          <w:sz w:val="28"/>
          <w:rtl/>
          <w:lang w:bidi="ar-SY"/>
        </w:rPr>
        <w:t>رغم</w:t>
      </w:r>
      <w:r w:rsidR="00953581" w:rsidRPr="003F3B94">
        <w:rPr>
          <w:rFonts w:hint="cs"/>
          <w:sz w:val="28"/>
          <w:rtl/>
          <w:lang w:bidi="ar-SY"/>
        </w:rPr>
        <w:t xml:space="preserve"> </w:t>
      </w:r>
      <w:r w:rsidR="00DF79BC" w:rsidRPr="003F3B94">
        <w:rPr>
          <w:rFonts w:hint="cs"/>
          <w:sz w:val="28"/>
          <w:rtl/>
          <w:lang w:bidi="ar-SY"/>
        </w:rPr>
        <w:t>استطاعته</w:t>
      </w:r>
      <w:r w:rsidR="00217AB4" w:rsidRPr="003F3B94">
        <w:rPr>
          <w:rFonts w:hint="cs"/>
          <w:sz w:val="28"/>
          <w:rtl/>
          <w:lang w:bidi="ar-SY"/>
        </w:rPr>
        <w:t>،</w:t>
      </w:r>
      <w:r w:rsidR="00953581" w:rsidRPr="003F3B94">
        <w:rPr>
          <w:rFonts w:hint="cs"/>
          <w:sz w:val="28"/>
          <w:rtl/>
          <w:lang w:bidi="ar-SY"/>
        </w:rPr>
        <w:t xml:space="preserve"> </w:t>
      </w:r>
      <w:r w:rsidR="00DF79BC" w:rsidRPr="003F3B94">
        <w:rPr>
          <w:rFonts w:hint="cs"/>
          <w:sz w:val="28"/>
          <w:rtl/>
          <w:lang w:bidi="ar-SY"/>
        </w:rPr>
        <w:t>بفضل</w:t>
      </w:r>
      <w:r w:rsidR="00953581" w:rsidRPr="003F3B94">
        <w:rPr>
          <w:rFonts w:hint="cs"/>
          <w:sz w:val="28"/>
          <w:rtl/>
          <w:lang w:bidi="ar-SY"/>
        </w:rPr>
        <w:t xml:space="preserve"> </w:t>
      </w:r>
      <w:r w:rsidR="00DF79BC" w:rsidRPr="003F3B94">
        <w:rPr>
          <w:rFonts w:hint="cs"/>
          <w:sz w:val="28"/>
          <w:rtl/>
          <w:lang w:bidi="ar-SY"/>
        </w:rPr>
        <w:t>امتلاكه</w:t>
      </w:r>
      <w:r w:rsidR="00953581" w:rsidRPr="003F3B94">
        <w:rPr>
          <w:rFonts w:hint="cs"/>
          <w:sz w:val="28"/>
          <w:rtl/>
          <w:lang w:bidi="ar-SY"/>
        </w:rPr>
        <w:t xml:space="preserve"> </w:t>
      </w:r>
      <w:r w:rsidR="00DF79BC" w:rsidRPr="003F3B94">
        <w:rPr>
          <w:rFonts w:hint="cs"/>
          <w:sz w:val="28"/>
          <w:rtl/>
          <w:lang w:bidi="ar-SY"/>
        </w:rPr>
        <w:t>لمزية</w:t>
      </w:r>
      <w:r w:rsidR="00953581" w:rsidRPr="003F3B94">
        <w:rPr>
          <w:rFonts w:hint="cs"/>
          <w:sz w:val="28"/>
          <w:rtl/>
          <w:lang w:bidi="ar-SY"/>
        </w:rPr>
        <w:t xml:space="preserve"> </w:t>
      </w:r>
      <w:r w:rsidR="00DF79BC" w:rsidRPr="003F3B94">
        <w:rPr>
          <w:rFonts w:hint="cs"/>
          <w:sz w:val="28"/>
          <w:rtl/>
          <w:lang w:bidi="ar-SY"/>
        </w:rPr>
        <w:t>الذكاء</w:t>
      </w:r>
      <w:r w:rsidR="00953581" w:rsidRPr="003F3B94">
        <w:rPr>
          <w:rFonts w:hint="cs"/>
          <w:sz w:val="28"/>
          <w:rtl/>
          <w:lang w:bidi="ar-SY"/>
        </w:rPr>
        <w:t xml:space="preserve"> </w:t>
      </w:r>
      <w:r w:rsidR="00DF79BC" w:rsidRPr="003F3B94">
        <w:rPr>
          <w:rFonts w:hint="cs"/>
          <w:sz w:val="28"/>
          <w:rtl/>
          <w:lang w:bidi="ar-SY"/>
        </w:rPr>
        <w:t>والتفكير</w:t>
      </w:r>
      <w:r w:rsidR="00953581" w:rsidRPr="003F3B94">
        <w:rPr>
          <w:rFonts w:hint="cs"/>
          <w:sz w:val="28"/>
          <w:rtl/>
          <w:lang w:bidi="ar-SY"/>
        </w:rPr>
        <w:t xml:space="preserve"> </w:t>
      </w:r>
      <w:r w:rsidR="00DF79BC" w:rsidRPr="003F3B94">
        <w:rPr>
          <w:rFonts w:hint="cs"/>
          <w:sz w:val="28"/>
          <w:rtl/>
          <w:lang w:bidi="ar-SY"/>
        </w:rPr>
        <w:t>هذه</w:t>
      </w:r>
      <w:r w:rsidR="00217AB4" w:rsidRPr="003F3B94">
        <w:rPr>
          <w:rFonts w:hint="cs"/>
          <w:sz w:val="28"/>
          <w:rtl/>
          <w:lang w:bidi="ar-SY"/>
        </w:rPr>
        <w:t>،</w:t>
      </w:r>
      <w:r w:rsidR="00953581" w:rsidRPr="003F3B94">
        <w:rPr>
          <w:rFonts w:hint="cs"/>
          <w:sz w:val="28"/>
          <w:rtl/>
          <w:lang w:bidi="ar-SY"/>
        </w:rPr>
        <w:t xml:space="preserve"> </w:t>
      </w:r>
      <w:r w:rsidR="00DF79BC" w:rsidRPr="003F3B94">
        <w:rPr>
          <w:rFonts w:hint="cs"/>
          <w:sz w:val="28"/>
          <w:rtl/>
          <w:lang w:bidi="ar-SY"/>
        </w:rPr>
        <w:t>أن</w:t>
      </w:r>
      <w:r w:rsidR="00953581" w:rsidRPr="003F3B94">
        <w:rPr>
          <w:rFonts w:hint="cs"/>
          <w:sz w:val="28"/>
          <w:rtl/>
          <w:lang w:bidi="ar-SY"/>
        </w:rPr>
        <w:t xml:space="preserve"> </w:t>
      </w:r>
      <w:r w:rsidR="00DF79BC" w:rsidRPr="003F3B94">
        <w:rPr>
          <w:rFonts w:hint="cs"/>
          <w:sz w:val="28"/>
          <w:rtl/>
          <w:lang w:bidi="ar-SY"/>
        </w:rPr>
        <w:t>يدرك</w:t>
      </w:r>
      <w:r w:rsidR="00953581" w:rsidRPr="003F3B94">
        <w:rPr>
          <w:rFonts w:hint="cs"/>
          <w:sz w:val="28"/>
          <w:rtl/>
          <w:lang w:bidi="ar-SY"/>
        </w:rPr>
        <w:t xml:space="preserve"> </w:t>
      </w:r>
      <w:r w:rsidR="00DF79BC" w:rsidRPr="003F3B94">
        <w:rPr>
          <w:rFonts w:hint="cs"/>
          <w:sz w:val="28"/>
          <w:rtl/>
          <w:lang w:bidi="ar-SY"/>
        </w:rPr>
        <w:t>حقيقة</w:t>
      </w:r>
      <w:r w:rsidR="00953581" w:rsidRPr="003F3B94">
        <w:rPr>
          <w:rFonts w:hint="cs"/>
          <w:sz w:val="28"/>
          <w:rtl/>
          <w:lang w:bidi="ar-SY"/>
        </w:rPr>
        <w:t xml:space="preserve"> </w:t>
      </w:r>
      <w:r w:rsidR="00DF79BC" w:rsidRPr="003F3B94">
        <w:rPr>
          <w:rFonts w:hint="cs"/>
          <w:sz w:val="28"/>
          <w:rtl/>
          <w:lang w:bidi="ar-SY"/>
        </w:rPr>
        <w:t>كثيرٍ</w:t>
      </w:r>
      <w:r w:rsidR="00953581" w:rsidRPr="003F3B94">
        <w:rPr>
          <w:rFonts w:hint="cs"/>
          <w:sz w:val="28"/>
          <w:rtl/>
          <w:lang w:bidi="ar-SY"/>
        </w:rPr>
        <w:t xml:space="preserve"> </w:t>
      </w:r>
      <w:r w:rsidR="00DF79BC" w:rsidRPr="003F3B94">
        <w:rPr>
          <w:rFonts w:hint="cs"/>
          <w:sz w:val="28"/>
          <w:rtl/>
          <w:lang w:bidi="ar-SY"/>
        </w:rPr>
        <w:t>من</w:t>
      </w:r>
      <w:r w:rsidR="00953581" w:rsidRPr="003F3B94">
        <w:rPr>
          <w:rFonts w:hint="cs"/>
          <w:sz w:val="28"/>
          <w:rtl/>
          <w:lang w:bidi="ar-SY"/>
        </w:rPr>
        <w:t xml:space="preserve"> </w:t>
      </w:r>
      <w:r w:rsidR="00DF79BC" w:rsidRPr="003F3B94">
        <w:rPr>
          <w:rFonts w:hint="cs"/>
          <w:sz w:val="28"/>
          <w:rtl/>
          <w:lang w:bidi="ar-SY"/>
        </w:rPr>
        <w:t>الأمور</w:t>
      </w:r>
      <w:r w:rsidR="00953581" w:rsidRPr="003F3B94">
        <w:rPr>
          <w:rFonts w:hint="cs"/>
          <w:sz w:val="28"/>
          <w:rtl/>
          <w:lang w:bidi="ar-SY"/>
        </w:rPr>
        <w:t xml:space="preserve"> </w:t>
      </w:r>
      <w:r w:rsidR="00DF79BC" w:rsidRPr="003F3B94">
        <w:rPr>
          <w:rFonts w:hint="cs"/>
          <w:sz w:val="28"/>
          <w:rtl/>
          <w:lang w:bidi="ar-SY"/>
        </w:rPr>
        <w:t>التي</w:t>
      </w:r>
      <w:r w:rsidR="00953581" w:rsidRPr="003F3B94">
        <w:rPr>
          <w:rFonts w:hint="cs"/>
          <w:sz w:val="28"/>
          <w:rtl/>
          <w:lang w:bidi="ar-SY"/>
        </w:rPr>
        <w:t xml:space="preserve"> </w:t>
      </w:r>
      <w:r w:rsidR="00DF79BC" w:rsidRPr="003F3B94">
        <w:rPr>
          <w:rFonts w:hint="cs"/>
          <w:sz w:val="28"/>
          <w:rtl/>
          <w:lang w:bidi="ar-SY"/>
        </w:rPr>
        <w:t>قد</w:t>
      </w:r>
      <w:r w:rsidR="00953581" w:rsidRPr="003F3B94">
        <w:rPr>
          <w:rFonts w:hint="cs"/>
          <w:sz w:val="28"/>
          <w:rtl/>
          <w:lang w:bidi="ar-SY"/>
        </w:rPr>
        <w:t xml:space="preserve"> </w:t>
      </w:r>
      <w:r w:rsidR="00DF79BC" w:rsidRPr="003F3B94">
        <w:rPr>
          <w:rFonts w:hint="cs"/>
          <w:sz w:val="28"/>
          <w:rtl/>
          <w:lang w:bidi="ar-SY"/>
        </w:rPr>
        <w:t>لا</w:t>
      </w:r>
      <w:r w:rsidR="00953581" w:rsidRPr="003F3B94">
        <w:rPr>
          <w:rFonts w:hint="eastAsia"/>
          <w:sz w:val="28"/>
          <w:rtl/>
          <w:lang w:bidi="ar-SY"/>
        </w:rPr>
        <w:t xml:space="preserve"> </w:t>
      </w:r>
      <w:r w:rsidR="00DF79BC" w:rsidRPr="003F3B94">
        <w:rPr>
          <w:rFonts w:hint="cs"/>
          <w:sz w:val="28"/>
          <w:rtl/>
          <w:lang w:bidi="ar-SY"/>
        </w:rPr>
        <w:t>تدركها</w:t>
      </w:r>
      <w:r w:rsidR="00953581" w:rsidRPr="003F3B94">
        <w:rPr>
          <w:rFonts w:hint="cs"/>
          <w:sz w:val="28"/>
          <w:rtl/>
          <w:lang w:bidi="ar-SY"/>
        </w:rPr>
        <w:t xml:space="preserve"> </w:t>
      </w:r>
      <w:r w:rsidR="00DF79BC" w:rsidRPr="003F3B94">
        <w:rPr>
          <w:rFonts w:hint="cs"/>
          <w:sz w:val="28"/>
          <w:rtl/>
          <w:lang w:bidi="ar-SY"/>
        </w:rPr>
        <w:t>الموجودات</w:t>
      </w:r>
      <w:r w:rsidR="00953581" w:rsidRPr="003F3B94">
        <w:rPr>
          <w:rFonts w:hint="cs"/>
          <w:sz w:val="28"/>
          <w:rtl/>
          <w:lang w:bidi="ar-SY"/>
        </w:rPr>
        <w:t xml:space="preserve"> </w:t>
      </w:r>
      <w:r w:rsidR="00DF79BC" w:rsidRPr="003F3B94">
        <w:rPr>
          <w:rFonts w:hint="cs"/>
          <w:sz w:val="28"/>
          <w:rtl/>
          <w:lang w:bidi="ar-SY"/>
        </w:rPr>
        <w:t>الأخرى</w:t>
      </w:r>
      <w:r w:rsidR="00217AB4" w:rsidRPr="003F3B94">
        <w:rPr>
          <w:rFonts w:hint="cs"/>
          <w:sz w:val="28"/>
          <w:rtl/>
          <w:lang w:bidi="ar-SY"/>
        </w:rPr>
        <w:t>،</w:t>
      </w:r>
      <w:r w:rsidR="00953581" w:rsidRPr="003F3B94">
        <w:rPr>
          <w:rFonts w:hint="cs"/>
          <w:sz w:val="28"/>
          <w:rtl/>
          <w:lang w:bidi="ar-SY"/>
        </w:rPr>
        <w:t xml:space="preserve"> </w:t>
      </w:r>
      <w:r w:rsidR="00D45865" w:rsidRPr="003F3B94">
        <w:rPr>
          <w:rFonts w:hint="cs"/>
          <w:sz w:val="28"/>
          <w:rtl/>
          <w:lang w:bidi="ar-SY"/>
        </w:rPr>
        <w:t>إ</w:t>
      </w:r>
      <w:r w:rsidR="008A2A49" w:rsidRPr="003F3B94">
        <w:rPr>
          <w:rFonts w:hint="cs"/>
          <w:sz w:val="28"/>
          <w:rtl/>
          <w:lang w:bidi="ar-SY"/>
        </w:rPr>
        <w:t>لا</w:t>
      </w:r>
      <w:r w:rsidR="00953581" w:rsidRPr="003F3B94">
        <w:rPr>
          <w:rFonts w:hint="cs"/>
          <w:sz w:val="28"/>
          <w:rtl/>
          <w:lang w:bidi="ar-SY"/>
        </w:rPr>
        <w:t xml:space="preserve"> </w:t>
      </w:r>
      <w:r w:rsidR="002C7C1B" w:rsidRPr="003F3B94">
        <w:rPr>
          <w:rFonts w:hint="cs"/>
          <w:sz w:val="28"/>
          <w:rtl/>
          <w:lang w:bidi="ar-SY"/>
        </w:rPr>
        <w:t>أن</w:t>
      </w:r>
      <w:r w:rsidR="00953581" w:rsidRPr="003F3B94">
        <w:rPr>
          <w:rFonts w:hint="cs"/>
          <w:sz w:val="28"/>
          <w:rtl/>
          <w:lang w:bidi="ar-SY"/>
        </w:rPr>
        <w:t xml:space="preserve"> </w:t>
      </w:r>
      <w:r w:rsidR="00D45865" w:rsidRPr="003F3B94">
        <w:rPr>
          <w:rFonts w:hint="cs"/>
          <w:sz w:val="28"/>
          <w:rtl/>
          <w:lang w:bidi="ar-SY"/>
        </w:rPr>
        <w:t>نور</w:t>
      </w:r>
      <w:r w:rsidR="00953581" w:rsidRPr="003F3B94">
        <w:rPr>
          <w:rFonts w:hint="cs"/>
          <w:sz w:val="28"/>
          <w:rtl/>
          <w:lang w:bidi="ar-SY"/>
        </w:rPr>
        <w:t xml:space="preserve"> </w:t>
      </w:r>
      <w:r w:rsidR="00D45865" w:rsidRPr="003F3B94">
        <w:rPr>
          <w:rFonts w:hint="cs"/>
          <w:sz w:val="28"/>
          <w:rtl/>
          <w:lang w:bidi="ar-SY"/>
        </w:rPr>
        <w:t>عقل</w:t>
      </w:r>
      <w:r w:rsidR="00953581" w:rsidRPr="003F3B94">
        <w:rPr>
          <w:rFonts w:hint="cs"/>
          <w:sz w:val="28"/>
          <w:rtl/>
          <w:lang w:bidi="ar-SY"/>
        </w:rPr>
        <w:t xml:space="preserve"> </w:t>
      </w:r>
      <w:r w:rsidR="00D45865" w:rsidRPr="003F3B94">
        <w:rPr>
          <w:rFonts w:hint="cs"/>
          <w:sz w:val="28"/>
          <w:rtl/>
          <w:lang w:bidi="ar-SY"/>
        </w:rPr>
        <w:t>ا</w:t>
      </w:r>
      <w:r w:rsidR="008A2A49" w:rsidRPr="003F3B94">
        <w:rPr>
          <w:rFonts w:hint="cs"/>
          <w:sz w:val="28"/>
          <w:rtl/>
          <w:lang w:bidi="ar-SY"/>
        </w:rPr>
        <w:t>لإ</w:t>
      </w:r>
      <w:r w:rsidR="00D45865" w:rsidRPr="003F3B94">
        <w:rPr>
          <w:rFonts w:hint="cs"/>
          <w:sz w:val="28"/>
          <w:rtl/>
          <w:lang w:bidi="ar-SY"/>
        </w:rPr>
        <w:t>نسان</w:t>
      </w:r>
      <w:r w:rsidR="00953581" w:rsidRPr="003F3B94">
        <w:rPr>
          <w:rFonts w:hint="cs"/>
          <w:sz w:val="28"/>
          <w:rtl/>
          <w:lang w:bidi="ar-SY"/>
        </w:rPr>
        <w:t xml:space="preserve"> </w:t>
      </w:r>
      <w:r w:rsidR="002C7C1B" w:rsidRPr="003F3B94">
        <w:rPr>
          <w:rFonts w:cs="Times New Roman" w:hint="cs"/>
          <w:sz w:val="28"/>
          <w:rtl/>
          <w:lang w:bidi="ar-SY"/>
        </w:rPr>
        <w:t>–</w:t>
      </w:r>
      <w:r w:rsidR="00953581" w:rsidRPr="003F3B94">
        <w:rPr>
          <w:rFonts w:hint="cs"/>
          <w:sz w:val="28"/>
          <w:rtl/>
          <w:lang w:bidi="ar-SY"/>
        </w:rPr>
        <w:t xml:space="preserve"> </w:t>
      </w:r>
      <w:r w:rsidR="002C7C1B" w:rsidRPr="003F3B94">
        <w:rPr>
          <w:rFonts w:hint="cs"/>
          <w:sz w:val="28"/>
          <w:rtl/>
          <w:lang w:bidi="ar-SY"/>
        </w:rPr>
        <w:t>مهما</w:t>
      </w:r>
      <w:r w:rsidR="00953581" w:rsidRPr="003F3B94">
        <w:rPr>
          <w:rFonts w:hint="cs"/>
          <w:sz w:val="28"/>
          <w:rtl/>
          <w:lang w:bidi="ar-SY"/>
        </w:rPr>
        <w:t xml:space="preserve"> </w:t>
      </w:r>
      <w:r w:rsidR="002C7C1B" w:rsidRPr="003F3B94">
        <w:rPr>
          <w:rFonts w:hint="cs"/>
          <w:sz w:val="28"/>
          <w:rtl/>
          <w:lang w:bidi="ar-SY"/>
        </w:rPr>
        <w:t>كان</w:t>
      </w:r>
      <w:r w:rsidR="00953581" w:rsidRPr="003F3B94">
        <w:rPr>
          <w:rFonts w:hint="cs"/>
          <w:sz w:val="28"/>
          <w:rtl/>
          <w:lang w:bidi="ar-SY"/>
        </w:rPr>
        <w:t xml:space="preserve"> </w:t>
      </w:r>
      <w:r w:rsidR="002C7C1B" w:rsidRPr="003F3B94">
        <w:rPr>
          <w:rFonts w:hint="cs"/>
          <w:sz w:val="28"/>
          <w:rtl/>
          <w:lang w:bidi="ar-SY"/>
        </w:rPr>
        <w:t>قويا</w:t>
      </w:r>
      <w:r w:rsidR="00DF79BC" w:rsidRPr="003F3B94">
        <w:rPr>
          <w:rFonts w:hint="cs"/>
          <w:sz w:val="28"/>
          <w:rtl/>
          <w:lang w:bidi="ar-SY"/>
        </w:rPr>
        <w:t>ً</w:t>
      </w:r>
      <w:r w:rsidR="00953581" w:rsidRPr="003F3B94">
        <w:rPr>
          <w:rFonts w:hint="cs"/>
          <w:sz w:val="28"/>
          <w:rtl/>
          <w:lang w:bidi="ar-SY"/>
        </w:rPr>
        <w:t xml:space="preserve"> </w:t>
      </w:r>
      <w:r w:rsidR="00217AB4" w:rsidRPr="003F3B94">
        <w:rPr>
          <w:rFonts w:hint="cs"/>
          <w:sz w:val="28"/>
          <w:rtl/>
          <w:lang w:bidi="ar-SY"/>
        </w:rPr>
        <w:t>-</w:t>
      </w:r>
      <w:r w:rsidR="00953581" w:rsidRPr="003F3B94">
        <w:rPr>
          <w:rFonts w:hint="cs"/>
          <w:sz w:val="28"/>
          <w:rtl/>
          <w:lang w:bidi="ar-SY"/>
        </w:rPr>
        <w:t xml:space="preserve"> </w:t>
      </w:r>
      <w:r w:rsidR="00D45865" w:rsidRPr="003F3B94">
        <w:rPr>
          <w:rFonts w:hint="cs"/>
          <w:sz w:val="28"/>
          <w:rtl/>
          <w:lang w:bidi="ar-SY"/>
        </w:rPr>
        <w:t>يبقى</w:t>
      </w:r>
      <w:r w:rsidR="00953581" w:rsidRPr="003F3B94">
        <w:rPr>
          <w:rFonts w:hint="cs"/>
          <w:sz w:val="28"/>
          <w:rtl/>
          <w:lang w:bidi="ar-SY"/>
        </w:rPr>
        <w:t xml:space="preserve"> </w:t>
      </w:r>
      <w:r w:rsidR="00D45865" w:rsidRPr="003F3B94">
        <w:rPr>
          <w:rFonts w:hint="cs"/>
          <w:sz w:val="28"/>
          <w:rtl/>
          <w:lang w:bidi="ar-SY"/>
        </w:rPr>
        <w:t>شعلةً</w:t>
      </w:r>
      <w:r w:rsidR="00953581" w:rsidRPr="003F3B94">
        <w:rPr>
          <w:rFonts w:hint="cs"/>
          <w:sz w:val="28"/>
          <w:rtl/>
          <w:lang w:bidi="ar-SY"/>
        </w:rPr>
        <w:t xml:space="preserve"> </w:t>
      </w:r>
      <w:r w:rsidR="00D45865" w:rsidRPr="003F3B94">
        <w:rPr>
          <w:rFonts w:hint="cs"/>
          <w:sz w:val="28"/>
          <w:rtl/>
          <w:lang w:bidi="ar-SY"/>
        </w:rPr>
        <w:t>ضعيفة</w:t>
      </w:r>
      <w:r w:rsidR="00953581" w:rsidRPr="003F3B94">
        <w:rPr>
          <w:rFonts w:hint="cs"/>
          <w:sz w:val="28"/>
          <w:rtl/>
          <w:lang w:bidi="ar-SY"/>
        </w:rPr>
        <w:t xml:space="preserve"> </w:t>
      </w:r>
      <w:r w:rsidR="004B06DF" w:rsidRPr="003F3B94">
        <w:rPr>
          <w:rFonts w:hint="cs"/>
          <w:sz w:val="28"/>
          <w:rtl/>
          <w:lang w:bidi="ar-SY"/>
        </w:rPr>
        <w:t>مثلها</w:t>
      </w:r>
      <w:r w:rsidR="00953581" w:rsidRPr="003F3B94">
        <w:rPr>
          <w:rFonts w:hint="cs"/>
          <w:sz w:val="28"/>
          <w:rtl/>
          <w:lang w:bidi="ar-SY"/>
        </w:rPr>
        <w:t xml:space="preserve"> </w:t>
      </w:r>
      <w:r w:rsidR="004B06DF" w:rsidRPr="003F3B94">
        <w:rPr>
          <w:rFonts w:hint="cs"/>
          <w:sz w:val="28"/>
          <w:rtl/>
          <w:lang w:bidi="ar-SY"/>
        </w:rPr>
        <w:t>مثل</w:t>
      </w:r>
      <w:r w:rsidR="00953581" w:rsidRPr="003F3B94">
        <w:rPr>
          <w:rFonts w:hint="cs"/>
          <w:sz w:val="28"/>
          <w:rtl/>
          <w:lang w:bidi="ar-SY"/>
        </w:rPr>
        <w:t xml:space="preserve"> </w:t>
      </w:r>
      <w:r w:rsidR="004B06DF" w:rsidRPr="003F3B94">
        <w:rPr>
          <w:rFonts w:hint="cs"/>
          <w:sz w:val="28"/>
          <w:rtl/>
          <w:lang w:bidi="ar-SY"/>
        </w:rPr>
        <w:t>مصباحٍ</w:t>
      </w:r>
      <w:r w:rsidR="00953581" w:rsidRPr="003F3B94">
        <w:rPr>
          <w:rFonts w:hint="cs"/>
          <w:sz w:val="28"/>
          <w:rtl/>
          <w:lang w:bidi="ar-SY"/>
        </w:rPr>
        <w:t xml:space="preserve"> </w:t>
      </w:r>
      <w:r w:rsidR="004B06DF" w:rsidRPr="003F3B94">
        <w:rPr>
          <w:rFonts w:hint="cs"/>
          <w:sz w:val="28"/>
          <w:rtl/>
          <w:lang w:bidi="ar-SY"/>
        </w:rPr>
        <w:t>صغير</w:t>
      </w:r>
      <w:r w:rsidR="00953581" w:rsidRPr="003F3B94">
        <w:rPr>
          <w:rFonts w:hint="cs"/>
          <w:sz w:val="28"/>
          <w:rtl/>
          <w:lang w:bidi="ar-SY"/>
        </w:rPr>
        <w:t xml:space="preserve"> </w:t>
      </w:r>
      <w:r w:rsidR="00A31F6D" w:rsidRPr="003F3B94">
        <w:rPr>
          <w:rFonts w:hint="cs"/>
          <w:sz w:val="28"/>
          <w:rtl/>
          <w:lang w:bidi="ar-SY"/>
        </w:rPr>
        <w:t>أعطي</w:t>
      </w:r>
      <w:r w:rsidR="00953581" w:rsidRPr="003F3B94">
        <w:rPr>
          <w:rFonts w:hint="cs"/>
          <w:sz w:val="28"/>
          <w:rtl/>
          <w:lang w:bidi="ar-SY"/>
        </w:rPr>
        <w:t xml:space="preserve"> </w:t>
      </w:r>
      <w:r w:rsidR="00A31F6D" w:rsidRPr="003F3B94">
        <w:rPr>
          <w:rFonts w:hint="cs"/>
          <w:sz w:val="28"/>
          <w:rtl/>
          <w:lang w:bidi="ar-SY"/>
        </w:rPr>
        <w:t>لسائرٍ</w:t>
      </w:r>
      <w:r w:rsidR="00953581" w:rsidRPr="003F3B94">
        <w:rPr>
          <w:rFonts w:hint="cs"/>
          <w:sz w:val="28"/>
          <w:rtl/>
          <w:lang w:bidi="ar-SY"/>
        </w:rPr>
        <w:t xml:space="preserve"> </w:t>
      </w:r>
      <w:r w:rsidR="004B06DF" w:rsidRPr="003F3B94">
        <w:rPr>
          <w:rFonts w:hint="cs"/>
          <w:sz w:val="28"/>
          <w:rtl/>
          <w:lang w:bidi="ar-SY"/>
        </w:rPr>
        <w:t>في</w:t>
      </w:r>
      <w:r w:rsidR="00953581" w:rsidRPr="003F3B94">
        <w:rPr>
          <w:rFonts w:hint="cs"/>
          <w:sz w:val="28"/>
          <w:rtl/>
          <w:lang w:bidi="ar-SY"/>
        </w:rPr>
        <w:t xml:space="preserve"> </w:t>
      </w:r>
      <w:r w:rsidR="004B06DF" w:rsidRPr="003F3B94">
        <w:rPr>
          <w:rFonts w:hint="cs"/>
          <w:sz w:val="28"/>
          <w:rtl/>
          <w:lang w:bidi="ar-SY"/>
        </w:rPr>
        <w:t>وسط</w:t>
      </w:r>
      <w:r w:rsidR="00953581" w:rsidRPr="003F3B94">
        <w:rPr>
          <w:rFonts w:hint="cs"/>
          <w:sz w:val="28"/>
          <w:rtl/>
          <w:lang w:bidi="ar-SY"/>
        </w:rPr>
        <w:t xml:space="preserve"> </w:t>
      </w:r>
      <w:r w:rsidR="004B06DF" w:rsidRPr="003F3B94">
        <w:rPr>
          <w:rFonts w:hint="cs"/>
          <w:sz w:val="28"/>
          <w:rtl/>
          <w:lang w:bidi="ar-SY"/>
        </w:rPr>
        <w:t>صحراء</w:t>
      </w:r>
      <w:r w:rsidR="00953581" w:rsidRPr="003F3B94">
        <w:rPr>
          <w:rFonts w:hint="cs"/>
          <w:sz w:val="28"/>
          <w:rtl/>
          <w:lang w:bidi="ar-SY"/>
        </w:rPr>
        <w:t xml:space="preserve"> </w:t>
      </w:r>
      <w:r w:rsidR="00467518" w:rsidRPr="003F3B94">
        <w:rPr>
          <w:rFonts w:hint="cs"/>
          <w:sz w:val="28"/>
          <w:rtl/>
          <w:lang w:bidi="ar-SY"/>
        </w:rPr>
        <w:t>الوجود</w:t>
      </w:r>
      <w:r w:rsidR="00953581" w:rsidRPr="003F3B94">
        <w:rPr>
          <w:rFonts w:hint="cs"/>
          <w:sz w:val="28"/>
          <w:rtl/>
          <w:lang w:bidi="ar-SY"/>
        </w:rPr>
        <w:t xml:space="preserve"> </w:t>
      </w:r>
      <w:r w:rsidR="00467518" w:rsidRPr="003F3B94">
        <w:rPr>
          <w:rFonts w:hint="cs"/>
          <w:sz w:val="28"/>
          <w:rtl/>
          <w:lang w:bidi="ar-SY"/>
        </w:rPr>
        <w:t>المظلمة</w:t>
      </w:r>
      <w:r w:rsidR="00953581" w:rsidRPr="003F3B94">
        <w:rPr>
          <w:rFonts w:hint="cs"/>
          <w:sz w:val="28"/>
          <w:rtl/>
          <w:lang w:bidi="ar-SY"/>
        </w:rPr>
        <w:t xml:space="preserve"> </w:t>
      </w:r>
      <w:r w:rsidR="00467518" w:rsidRPr="003F3B94">
        <w:rPr>
          <w:rFonts w:hint="cs"/>
          <w:sz w:val="28"/>
          <w:rtl/>
          <w:lang w:bidi="ar-SY"/>
        </w:rPr>
        <w:t>المترامية</w:t>
      </w:r>
      <w:r w:rsidR="00953581" w:rsidRPr="003F3B94">
        <w:rPr>
          <w:rFonts w:hint="cs"/>
          <w:sz w:val="28"/>
          <w:rtl/>
          <w:lang w:bidi="ar-SY"/>
        </w:rPr>
        <w:t xml:space="preserve"> </w:t>
      </w:r>
      <w:r w:rsidR="00467518" w:rsidRPr="003F3B94">
        <w:rPr>
          <w:rFonts w:hint="cs"/>
          <w:sz w:val="28"/>
          <w:rtl/>
          <w:lang w:bidi="ar-SY"/>
        </w:rPr>
        <w:t>ا</w:t>
      </w:r>
      <w:r w:rsidR="008A2A49" w:rsidRPr="003F3B94">
        <w:rPr>
          <w:rFonts w:hint="cs"/>
          <w:sz w:val="28"/>
          <w:rtl/>
          <w:lang w:bidi="ar-SY"/>
        </w:rPr>
        <w:t>لأ</w:t>
      </w:r>
      <w:r w:rsidR="00467518" w:rsidRPr="003F3B94">
        <w:rPr>
          <w:rFonts w:hint="cs"/>
          <w:sz w:val="28"/>
          <w:rtl/>
          <w:lang w:bidi="ar-SY"/>
        </w:rPr>
        <w:t>طراف</w:t>
      </w:r>
      <w:r w:rsidR="00217AB4" w:rsidRPr="003F3B94">
        <w:rPr>
          <w:rFonts w:hint="cs"/>
          <w:sz w:val="28"/>
          <w:rtl/>
          <w:lang w:bidi="ar-SY"/>
        </w:rPr>
        <w:t>،</w:t>
      </w:r>
      <w:r w:rsidR="00953581" w:rsidRPr="003F3B94">
        <w:rPr>
          <w:rFonts w:hint="cs"/>
          <w:sz w:val="28"/>
          <w:rtl/>
          <w:lang w:bidi="ar-SY"/>
        </w:rPr>
        <w:t xml:space="preserve"> </w:t>
      </w:r>
      <w:r w:rsidR="00A70F6D" w:rsidRPr="003F3B94">
        <w:rPr>
          <w:rFonts w:hint="cs"/>
          <w:sz w:val="28"/>
          <w:rtl/>
          <w:lang w:bidi="ar-SY"/>
        </w:rPr>
        <w:t>كي</w:t>
      </w:r>
      <w:r w:rsidR="00953581" w:rsidRPr="003F3B94">
        <w:rPr>
          <w:rFonts w:hint="cs"/>
          <w:sz w:val="28"/>
          <w:rtl/>
          <w:lang w:bidi="ar-SY"/>
        </w:rPr>
        <w:t xml:space="preserve"> </w:t>
      </w:r>
      <w:r w:rsidR="00DF79BC" w:rsidRPr="003F3B94">
        <w:rPr>
          <w:rFonts w:hint="cs"/>
          <w:sz w:val="28"/>
          <w:rtl/>
          <w:lang w:bidi="ar-SY"/>
        </w:rPr>
        <w:t>يستكشف</w:t>
      </w:r>
      <w:r w:rsidR="00953581" w:rsidRPr="003F3B94">
        <w:rPr>
          <w:rFonts w:hint="cs"/>
          <w:sz w:val="28"/>
          <w:rtl/>
          <w:lang w:bidi="ar-SY"/>
        </w:rPr>
        <w:t xml:space="preserve"> </w:t>
      </w:r>
      <w:r w:rsidR="00DF79BC" w:rsidRPr="003F3B94">
        <w:rPr>
          <w:rFonts w:hint="cs"/>
          <w:sz w:val="28"/>
          <w:rtl/>
          <w:lang w:bidi="ar-SY"/>
        </w:rPr>
        <w:t>بها</w:t>
      </w:r>
      <w:r w:rsidR="00953581" w:rsidRPr="003F3B94">
        <w:rPr>
          <w:rFonts w:hint="cs"/>
          <w:sz w:val="28"/>
          <w:rtl/>
          <w:lang w:bidi="ar-SY"/>
        </w:rPr>
        <w:t xml:space="preserve"> </w:t>
      </w:r>
      <w:r w:rsidR="00A70F6D" w:rsidRPr="003F3B94">
        <w:rPr>
          <w:rFonts w:hint="cs"/>
          <w:sz w:val="28"/>
          <w:rtl/>
          <w:lang w:bidi="ar-SY"/>
        </w:rPr>
        <w:t>طريق</w:t>
      </w:r>
      <w:r w:rsidR="00953581" w:rsidRPr="003F3B94">
        <w:rPr>
          <w:rFonts w:hint="cs"/>
          <w:sz w:val="28"/>
          <w:rtl/>
          <w:lang w:bidi="ar-SY"/>
        </w:rPr>
        <w:t xml:space="preserve"> </w:t>
      </w:r>
      <w:r w:rsidR="00DF79BC" w:rsidRPr="003F3B94">
        <w:rPr>
          <w:rFonts w:hint="cs"/>
          <w:sz w:val="28"/>
          <w:rtl/>
          <w:lang w:bidi="ar-SY"/>
        </w:rPr>
        <w:t>عيشه</w:t>
      </w:r>
      <w:r w:rsidR="00953581" w:rsidRPr="003F3B94">
        <w:rPr>
          <w:rFonts w:hint="cs"/>
          <w:sz w:val="28"/>
          <w:rtl/>
          <w:lang w:bidi="ar-SY"/>
        </w:rPr>
        <w:t xml:space="preserve"> </w:t>
      </w:r>
      <w:r w:rsidR="00DF79BC" w:rsidRPr="003F3B94">
        <w:rPr>
          <w:rFonts w:hint="cs"/>
          <w:sz w:val="28"/>
          <w:rtl/>
          <w:lang w:bidi="ar-SY"/>
        </w:rPr>
        <w:t>ومعاده</w:t>
      </w:r>
      <w:r w:rsidR="00953581" w:rsidRPr="003F3B94">
        <w:rPr>
          <w:rFonts w:hint="cs"/>
          <w:sz w:val="28"/>
          <w:rtl/>
          <w:lang w:bidi="ar-SY"/>
        </w:rPr>
        <w:t xml:space="preserve"> </w:t>
      </w:r>
      <w:r w:rsidR="002C7C1B" w:rsidRPr="003F3B94">
        <w:rPr>
          <w:rFonts w:hint="cs"/>
          <w:sz w:val="28"/>
          <w:rtl/>
          <w:lang w:bidi="ar-SY"/>
        </w:rPr>
        <w:t>البعيد</w:t>
      </w:r>
      <w:r w:rsidR="00953581" w:rsidRPr="003F3B94">
        <w:rPr>
          <w:rFonts w:hint="cs"/>
          <w:sz w:val="28"/>
          <w:rtl/>
          <w:lang w:bidi="ar-SY"/>
        </w:rPr>
        <w:t xml:space="preserve"> </w:t>
      </w:r>
      <w:r w:rsidR="002C7C1B" w:rsidRPr="003F3B94">
        <w:rPr>
          <w:rFonts w:hint="cs"/>
          <w:sz w:val="28"/>
          <w:rtl/>
          <w:lang w:bidi="ar-SY"/>
        </w:rPr>
        <w:t>والطويل</w:t>
      </w:r>
      <w:r w:rsidR="00953581" w:rsidRPr="003F3B94">
        <w:rPr>
          <w:rFonts w:hint="cs"/>
          <w:sz w:val="28"/>
          <w:rtl/>
          <w:lang w:bidi="ar-SY"/>
        </w:rPr>
        <w:t xml:space="preserve"> </w:t>
      </w:r>
      <w:r w:rsidR="00A70F6D" w:rsidRPr="003F3B94">
        <w:rPr>
          <w:rFonts w:hint="cs"/>
          <w:sz w:val="28"/>
          <w:rtl/>
          <w:lang w:bidi="ar-SY"/>
        </w:rPr>
        <w:t>ويقطعه</w:t>
      </w:r>
      <w:r w:rsidR="00953581" w:rsidRPr="003F3B94">
        <w:rPr>
          <w:rFonts w:hint="cs"/>
          <w:sz w:val="28"/>
          <w:rtl/>
          <w:lang w:bidi="ar-SY"/>
        </w:rPr>
        <w:t xml:space="preserve"> </w:t>
      </w:r>
      <w:r w:rsidR="002C7C1B" w:rsidRPr="003F3B94">
        <w:rPr>
          <w:rFonts w:hint="cs"/>
          <w:sz w:val="28"/>
          <w:rtl/>
          <w:lang w:bidi="ar-SY"/>
        </w:rPr>
        <w:t>بس</w:t>
      </w:r>
      <w:r w:rsidR="008A2A49" w:rsidRPr="003F3B94">
        <w:rPr>
          <w:rFonts w:hint="cs"/>
          <w:sz w:val="28"/>
          <w:rtl/>
          <w:lang w:bidi="ar-SY"/>
        </w:rPr>
        <w:t>لا</w:t>
      </w:r>
      <w:r w:rsidR="002C7C1B" w:rsidRPr="003F3B94">
        <w:rPr>
          <w:rFonts w:hint="cs"/>
          <w:sz w:val="28"/>
          <w:rtl/>
          <w:lang w:bidi="ar-SY"/>
        </w:rPr>
        <w:t>م</w:t>
      </w:r>
      <w:r w:rsidR="00217AB4" w:rsidRPr="003F3B94">
        <w:rPr>
          <w:rFonts w:hint="cs"/>
          <w:sz w:val="28"/>
          <w:rtl/>
          <w:lang w:bidi="ar-SY"/>
        </w:rPr>
        <w:t>.</w:t>
      </w:r>
    </w:p>
    <w:p w:rsidR="002C7C1B" w:rsidRPr="003F3B94" w:rsidRDefault="002C7C1B" w:rsidP="003F3B94">
      <w:pPr>
        <w:pStyle w:val="a0"/>
        <w:rPr>
          <w:rFonts w:hint="cs"/>
          <w:rtl/>
          <w:lang w:bidi="ar-SY"/>
        </w:rPr>
      </w:pPr>
      <w:r w:rsidRPr="003F3B94">
        <w:rPr>
          <w:rFonts w:hint="cs"/>
          <w:sz w:val="28"/>
          <w:rtl/>
          <w:lang w:bidi="ar-SY"/>
        </w:rPr>
        <w:t>ف</w:t>
      </w:r>
      <w:r w:rsidR="00A70F6D" w:rsidRPr="003F3B94">
        <w:rPr>
          <w:rFonts w:hint="cs"/>
          <w:sz w:val="28"/>
          <w:rtl/>
          <w:lang w:bidi="ar-SY"/>
        </w:rPr>
        <w:t>ا</w:t>
      </w:r>
      <w:r w:rsidR="008A2A49" w:rsidRPr="003F3B94">
        <w:rPr>
          <w:rFonts w:hint="cs"/>
          <w:sz w:val="28"/>
          <w:rtl/>
          <w:lang w:bidi="ar-SY"/>
        </w:rPr>
        <w:t>لإ</w:t>
      </w:r>
      <w:r w:rsidR="00A70F6D" w:rsidRPr="003F3B94">
        <w:rPr>
          <w:rFonts w:hint="cs"/>
          <w:sz w:val="28"/>
          <w:rtl/>
          <w:lang w:bidi="ar-SY"/>
        </w:rPr>
        <w:t>نسان</w:t>
      </w:r>
      <w:r w:rsidR="00953581" w:rsidRPr="003F3B94">
        <w:rPr>
          <w:rFonts w:hint="cs"/>
          <w:sz w:val="28"/>
          <w:rtl/>
          <w:lang w:bidi="ar-SY"/>
        </w:rPr>
        <w:t xml:space="preserve"> </w:t>
      </w:r>
      <w:r w:rsidR="00DF79BC" w:rsidRPr="003F3B94">
        <w:rPr>
          <w:rFonts w:hint="cs"/>
          <w:sz w:val="28"/>
          <w:rtl/>
          <w:lang w:bidi="ar-SY"/>
        </w:rPr>
        <w:t>الذي</w:t>
      </w:r>
      <w:r w:rsidR="00953581" w:rsidRPr="003F3B94">
        <w:rPr>
          <w:rFonts w:hint="cs"/>
          <w:sz w:val="28"/>
          <w:rtl/>
          <w:lang w:bidi="ar-SY"/>
        </w:rPr>
        <w:t xml:space="preserve"> </w:t>
      </w:r>
      <w:r w:rsidR="00DF79BC" w:rsidRPr="003F3B94">
        <w:rPr>
          <w:rFonts w:hint="cs"/>
          <w:sz w:val="28"/>
          <w:rtl/>
          <w:lang w:bidi="ar-SY"/>
        </w:rPr>
        <w:t>يحركه</w:t>
      </w:r>
      <w:r w:rsidR="00953581" w:rsidRPr="003F3B94">
        <w:rPr>
          <w:rFonts w:hint="cs"/>
          <w:sz w:val="28"/>
          <w:rtl/>
          <w:lang w:bidi="ar-SY"/>
        </w:rPr>
        <w:t xml:space="preserve"> </w:t>
      </w:r>
      <w:r w:rsidR="00DF79BC" w:rsidRPr="003F3B94">
        <w:rPr>
          <w:rFonts w:hint="cs"/>
          <w:sz w:val="28"/>
          <w:rtl/>
          <w:lang w:bidi="ar-SY"/>
        </w:rPr>
        <w:t>دافع</w:t>
      </w:r>
      <w:r w:rsidR="00953581" w:rsidRPr="003F3B94">
        <w:rPr>
          <w:rFonts w:hint="cs"/>
          <w:sz w:val="28"/>
          <w:rtl/>
          <w:lang w:bidi="ar-SY"/>
        </w:rPr>
        <w:t xml:space="preserve"> </w:t>
      </w:r>
      <w:r w:rsidR="00A70F6D" w:rsidRPr="003F3B94">
        <w:rPr>
          <w:rFonts w:hint="cs"/>
          <w:sz w:val="28"/>
          <w:rtl/>
          <w:lang w:bidi="ar-SY"/>
        </w:rPr>
        <w:t>حب</w:t>
      </w:r>
      <w:r w:rsidR="00953581" w:rsidRPr="003F3B94">
        <w:rPr>
          <w:rFonts w:hint="cs"/>
          <w:sz w:val="28"/>
          <w:rtl/>
          <w:lang w:bidi="ar-SY"/>
        </w:rPr>
        <w:t xml:space="preserve"> </w:t>
      </w:r>
      <w:r w:rsidR="00A70F6D" w:rsidRPr="003F3B94">
        <w:rPr>
          <w:rFonts w:hint="cs"/>
          <w:sz w:val="28"/>
          <w:rtl/>
          <w:lang w:bidi="ar-SY"/>
        </w:rPr>
        <w:t>السيطرة</w:t>
      </w:r>
      <w:r w:rsidR="00953581" w:rsidRPr="003F3B94">
        <w:rPr>
          <w:rFonts w:hint="cs"/>
          <w:sz w:val="28"/>
          <w:rtl/>
          <w:lang w:bidi="ar-SY"/>
        </w:rPr>
        <w:t xml:space="preserve"> </w:t>
      </w:r>
      <w:r w:rsidR="00A70F6D" w:rsidRPr="003F3B94">
        <w:rPr>
          <w:rFonts w:hint="cs"/>
          <w:sz w:val="28"/>
          <w:rtl/>
          <w:lang w:bidi="ar-SY"/>
        </w:rPr>
        <w:t>على</w:t>
      </w:r>
      <w:r w:rsidR="00953581" w:rsidRPr="003F3B94">
        <w:rPr>
          <w:rFonts w:hint="cs"/>
          <w:sz w:val="28"/>
          <w:rtl/>
          <w:lang w:bidi="ar-SY"/>
        </w:rPr>
        <w:t xml:space="preserve"> </w:t>
      </w:r>
      <w:r w:rsidR="00A70F6D" w:rsidRPr="003F3B94">
        <w:rPr>
          <w:rFonts w:hint="cs"/>
          <w:sz w:val="28"/>
          <w:rtl/>
          <w:lang w:bidi="ar-SY"/>
        </w:rPr>
        <w:t>العالم</w:t>
      </w:r>
      <w:r w:rsidR="00953581" w:rsidRPr="003F3B94">
        <w:rPr>
          <w:rFonts w:hint="cs"/>
          <w:sz w:val="28"/>
          <w:rtl/>
          <w:lang w:bidi="ar-SY"/>
        </w:rPr>
        <w:t xml:space="preserve"> </w:t>
      </w:r>
      <w:r w:rsidR="00A70F6D" w:rsidRPr="003F3B94">
        <w:rPr>
          <w:rFonts w:hint="cs"/>
          <w:sz w:val="28"/>
          <w:rtl/>
          <w:lang w:bidi="ar-SY"/>
        </w:rPr>
        <w:t>والوقوف</w:t>
      </w:r>
      <w:r w:rsidR="00953581" w:rsidRPr="003F3B94">
        <w:rPr>
          <w:rFonts w:hint="cs"/>
          <w:sz w:val="28"/>
          <w:rtl/>
          <w:lang w:bidi="ar-SY"/>
        </w:rPr>
        <w:t xml:space="preserve"> </w:t>
      </w:r>
      <w:r w:rsidR="00A70F6D" w:rsidRPr="003F3B94">
        <w:rPr>
          <w:rFonts w:hint="cs"/>
          <w:sz w:val="28"/>
          <w:rtl/>
          <w:lang w:bidi="ar-SY"/>
        </w:rPr>
        <w:t>على</w:t>
      </w:r>
      <w:r w:rsidR="00953581" w:rsidRPr="003F3B94">
        <w:rPr>
          <w:rFonts w:hint="cs"/>
          <w:sz w:val="28"/>
          <w:rtl/>
          <w:lang w:bidi="ar-SY"/>
        </w:rPr>
        <w:t xml:space="preserve"> </w:t>
      </w:r>
      <w:r w:rsidR="00A70F6D" w:rsidRPr="003F3B94">
        <w:rPr>
          <w:rFonts w:hint="cs"/>
          <w:sz w:val="28"/>
          <w:rtl/>
          <w:lang w:bidi="ar-SY"/>
        </w:rPr>
        <w:t>جميع</w:t>
      </w:r>
      <w:r w:rsidR="00953581" w:rsidRPr="003F3B94">
        <w:rPr>
          <w:rFonts w:hint="cs"/>
          <w:sz w:val="28"/>
          <w:rtl/>
          <w:lang w:bidi="ar-SY"/>
        </w:rPr>
        <w:t xml:space="preserve"> </w:t>
      </w:r>
      <w:r w:rsidR="00A70F6D" w:rsidRPr="003F3B94">
        <w:rPr>
          <w:rFonts w:hint="cs"/>
          <w:sz w:val="28"/>
          <w:rtl/>
          <w:lang w:bidi="ar-SY"/>
        </w:rPr>
        <w:t>أسرار</w:t>
      </w:r>
      <w:r w:rsidR="00953581" w:rsidRPr="003F3B94">
        <w:rPr>
          <w:rFonts w:hint="cs"/>
          <w:sz w:val="28"/>
          <w:rtl/>
          <w:lang w:bidi="ar-SY"/>
        </w:rPr>
        <w:t xml:space="preserve"> </w:t>
      </w:r>
      <w:r w:rsidR="00A70F6D" w:rsidRPr="003F3B94">
        <w:rPr>
          <w:rFonts w:hint="cs"/>
          <w:sz w:val="28"/>
          <w:rtl/>
          <w:lang w:bidi="ar-SY"/>
        </w:rPr>
        <w:t>الكون</w:t>
      </w:r>
      <w:r w:rsidR="00217AB4" w:rsidRPr="003F3B94">
        <w:rPr>
          <w:rFonts w:hint="cs"/>
          <w:sz w:val="28"/>
          <w:rtl/>
          <w:lang w:bidi="ar-SY"/>
        </w:rPr>
        <w:t>،</w:t>
      </w:r>
      <w:r w:rsidR="00953581" w:rsidRPr="003F3B94">
        <w:rPr>
          <w:rFonts w:hint="cs"/>
          <w:sz w:val="28"/>
          <w:rtl/>
          <w:lang w:bidi="ar-SY"/>
        </w:rPr>
        <w:t xml:space="preserve"> </w:t>
      </w:r>
      <w:r w:rsidR="00A70F6D" w:rsidRPr="003F3B94">
        <w:rPr>
          <w:rFonts w:hint="cs"/>
          <w:sz w:val="28"/>
          <w:rtl/>
          <w:lang w:bidi="ar-SY"/>
        </w:rPr>
        <w:t>يجد</w:t>
      </w:r>
      <w:r w:rsidR="00953581" w:rsidRPr="003F3B94">
        <w:rPr>
          <w:rFonts w:hint="cs"/>
          <w:sz w:val="28"/>
          <w:rtl/>
          <w:lang w:bidi="ar-SY"/>
        </w:rPr>
        <w:t xml:space="preserve"> </w:t>
      </w:r>
      <w:r w:rsidR="00A70F6D" w:rsidRPr="003F3B94">
        <w:rPr>
          <w:rFonts w:hint="cs"/>
          <w:sz w:val="28"/>
          <w:rtl/>
          <w:lang w:bidi="ar-SY"/>
        </w:rPr>
        <w:t>نفسه</w:t>
      </w:r>
      <w:r w:rsidR="00953581" w:rsidRPr="003F3B94">
        <w:rPr>
          <w:rFonts w:hint="cs"/>
          <w:sz w:val="28"/>
          <w:rtl/>
          <w:lang w:bidi="ar-SY"/>
        </w:rPr>
        <w:t xml:space="preserve"> </w:t>
      </w:r>
      <w:r w:rsidR="00A70F6D" w:rsidRPr="003F3B94">
        <w:rPr>
          <w:rFonts w:hint="cs"/>
          <w:sz w:val="28"/>
          <w:rtl/>
          <w:lang w:bidi="ar-SY"/>
        </w:rPr>
        <w:t>بهذه</w:t>
      </w:r>
      <w:r w:rsidR="00953581" w:rsidRPr="003F3B94">
        <w:rPr>
          <w:rFonts w:hint="cs"/>
          <w:sz w:val="28"/>
          <w:rtl/>
          <w:lang w:bidi="ar-SY"/>
        </w:rPr>
        <w:t xml:space="preserve"> </w:t>
      </w:r>
      <w:r w:rsidR="00A70F6D" w:rsidRPr="003F3B94">
        <w:rPr>
          <w:rFonts w:hint="cs"/>
          <w:sz w:val="28"/>
          <w:rtl/>
          <w:lang w:bidi="ar-SY"/>
        </w:rPr>
        <w:t>الوسيلة</w:t>
      </w:r>
      <w:r w:rsidR="00953581" w:rsidRPr="003F3B94">
        <w:rPr>
          <w:rFonts w:hint="cs"/>
          <w:sz w:val="28"/>
          <w:rtl/>
          <w:lang w:bidi="ar-SY"/>
        </w:rPr>
        <w:t xml:space="preserve"> </w:t>
      </w:r>
      <w:r w:rsidR="00A70F6D" w:rsidRPr="003F3B94">
        <w:rPr>
          <w:rFonts w:hint="cs"/>
          <w:sz w:val="28"/>
          <w:rtl/>
          <w:lang w:bidi="ar-SY"/>
        </w:rPr>
        <w:t>الضعيفة</w:t>
      </w:r>
      <w:r w:rsidR="00953581" w:rsidRPr="003F3B94">
        <w:rPr>
          <w:rFonts w:hint="cs"/>
          <w:sz w:val="28"/>
          <w:rtl/>
          <w:lang w:bidi="ar-SY"/>
        </w:rPr>
        <w:t xml:space="preserve"> </w:t>
      </w:r>
      <w:r w:rsidR="00A70F6D" w:rsidRPr="003F3B94">
        <w:rPr>
          <w:rFonts w:hint="cs"/>
          <w:sz w:val="28"/>
          <w:rtl/>
          <w:lang w:bidi="ar-SY"/>
        </w:rPr>
        <w:t>التي</w:t>
      </w:r>
      <w:r w:rsidR="00953581" w:rsidRPr="003F3B94">
        <w:rPr>
          <w:rFonts w:hint="cs"/>
          <w:sz w:val="28"/>
          <w:rtl/>
          <w:lang w:bidi="ar-SY"/>
        </w:rPr>
        <w:t xml:space="preserve"> </w:t>
      </w:r>
      <w:r w:rsidR="00A70F6D" w:rsidRPr="003F3B94">
        <w:rPr>
          <w:rFonts w:hint="cs"/>
          <w:sz w:val="28"/>
          <w:rtl/>
          <w:lang w:bidi="ar-SY"/>
        </w:rPr>
        <w:t>مُن</w:t>
      </w:r>
      <w:r w:rsidR="00AB0818" w:rsidRPr="003F3B94">
        <w:rPr>
          <w:rFonts w:hint="cs"/>
          <w:sz w:val="28"/>
          <w:rtl/>
          <w:lang w:bidi="ar-SY"/>
        </w:rPr>
        <w:t>ِحت</w:t>
      </w:r>
      <w:r w:rsidR="00953581" w:rsidRPr="003F3B94">
        <w:rPr>
          <w:rFonts w:hint="cs"/>
          <w:sz w:val="28"/>
          <w:rtl/>
          <w:lang w:bidi="ar-SY"/>
        </w:rPr>
        <w:t xml:space="preserve"> </w:t>
      </w:r>
      <w:r w:rsidR="00AB0818" w:rsidRPr="003F3B94">
        <w:rPr>
          <w:rFonts w:hint="cs"/>
          <w:sz w:val="28"/>
          <w:rtl/>
          <w:lang w:bidi="ar-SY"/>
        </w:rPr>
        <w:t>له</w:t>
      </w:r>
      <w:r w:rsidR="00953581" w:rsidRPr="003F3B94">
        <w:rPr>
          <w:rFonts w:hint="cs"/>
          <w:sz w:val="28"/>
          <w:rtl/>
          <w:lang w:bidi="ar-SY"/>
        </w:rPr>
        <w:t xml:space="preserve"> </w:t>
      </w:r>
      <w:r w:rsidR="00AB0818" w:rsidRPr="003F3B94">
        <w:rPr>
          <w:rFonts w:hint="cs"/>
          <w:sz w:val="28"/>
          <w:rtl/>
          <w:lang w:bidi="ar-SY"/>
        </w:rPr>
        <w:t>غير</w:t>
      </w:r>
      <w:r w:rsidR="00953581" w:rsidRPr="003F3B94">
        <w:rPr>
          <w:rFonts w:hint="cs"/>
          <w:sz w:val="28"/>
          <w:rtl/>
          <w:lang w:bidi="ar-SY"/>
        </w:rPr>
        <w:t xml:space="preserve"> </w:t>
      </w:r>
      <w:r w:rsidR="00AB0818" w:rsidRPr="003F3B94">
        <w:rPr>
          <w:rFonts w:hint="cs"/>
          <w:sz w:val="28"/>
          <w:rtl/>
          <w:lang w:bidi="ar-SY"/>
        </w:rPr>
        <w:t>قادرٍ</w:t>
      </w:r>
      <w:r w:rsidR="00953581" w:rsidRPr="003F3B94">
        <w:rPr>
          <w:rFonts w:hint="cs"/>
          <w:sz w:val="28"/>
          <w:rtl/>
          <w:lang w:bidi="ar-SY"/>
        </w:rPr>
        <w:t xml:space="preserve"> </w:t>
      </w:r>
      <w:r w:rsidR="00AB0818" w:rsidRPr="003F3B94">
        <w:rPr>
          <w:rFonts w:hint="cs"/>
          <w:sz w:val="28"/>
          <w:rtl/>
          <w:lang w:bidi="ar-SY"/>
        </w:rPr>
        <w:t>على</w:t>
      </w:r>
      <w:r w:rsidR="00953581" w:rsidRPr="003F3B94">
        <w:rPr>
          <w:rFonts w:hint="cs"/>
          <w:sz w:val="28"/>
          <w:rtl/>
          <w:lang w:bidi="ar-SY"/>
        </w:rPr>
        <w:t xml:space="preserve"> </w:t>
      </w:r>
      <w:r w:rsidR="00AB0818" w:rsidRPr="003F3B94">
        <w:rPr>
          <w:rFonts w:hint="cs"/>
          <w:sz w:val="28"/>
          <w:rtl/>
          <w:lang w:bidi="ar-SY"/>
        </w:rPr>
        <w:t>تحقيق</w:t>
      </w:r>
      <w:r w:rsidR="00953581" w:rsidRPr="003F3B94">
        <w:rPr>
          <w:rFonts w:hint="cs"/>
          <w:sz w:val="28"/>
          <w:rtl/>
          <w:lang w:bidi="ar-SY"/>
        </w:rPr>
        <w:t xml:space="preserve"> </w:t>
      </w:r>
      <w:r w:rsidR="00AB0818" w:rsidRPr="003F3B94">
        <w:rPr>
          <w:rFonts w:hint="cs"/>
          <w:sz w:val="28"/>
          <w:rtl/>
          <w:lang w:bidi="ar-SY"/>
        </w:rPr>
        <w:t>مناه</w:t>
      </w:r>
      <w:r w:rsidR="00217AB4" w:rsidRPr="003F3B94">
        <w:rPr>
          <w:rFonts w:hint="cs"/>
          <w:sz w:val="28"/>
          <w:rtl/>
          <w:lang w:bidi="ar-SY"/>
        </w:rPr>
        <w:t>.</w:t>
      </w:r>
      <w:r w:rsidR="00953581" w:rsidRPr="003F3B94">
        <w:rPr>
          <w:rFonts w:hint="cs"/>
          <w:sz w:val="28"/>
          <w:rtl/>
          <w:lang w:bidi="ar-SY"/>
        </w:rPr>
        <w:t xml:space="preserve"> </w:t>
      </w:r>
      <w:r w:rsidR="008A2A49" w:rsidRPr="003F3B94">
        <w:rPr>
          <w:rFonts w:hint="cs"/>
          <w:sz w:val="28"/>
          <w:rtl/>
          <w:lang w:bidi="ar-SY"/>
        </w:rPr>
        <w:t>لأ</w:t>
      </w:r>
      <w:r w:rsidR="00AB0818" w:rsidRPr="003F3B94">
        <w:rPr>
          <w:rFonts w:hint="cs"/>
          <w:sz w:val="28"/>
          <w:rtl/>
          <w:lang w:bidi="ar-SY"/>
        </w:rPr>
        <w:t>ن</w:t>
      </w:r>
      <w:r w:rsidR="00953581" w:rsidRPr="003F3B94">
        <w:rPr>
          <w:rFonts w:hint="cs"/>
          <w:sz w:val="28"/>
          <w:rtl/>
          <w:lang w:bidi="ar-SY"/>
        </w:rPr>
        <w:t xml:space="preserve"> </w:t>
      </w:r>
      <w:r w:rsidR="00AB0818" w:rsidRPr="003F3B94">
        <w:rPr>
          <w:rFonts w:hint="cs"/>
          <w:sz w:val="28"/>
          <w:rtl/>
          <w:lang w:bidi="ar-SY"/>
        </w:rPr>
        <w:t>سعة</w:t>
      </w:r>
      <w:r w:rsidR="00953581" w:rsidRPr="003F3B94">
        <w:rPr>
          <w:rFonts w:hint="cs"/>
          <w:sz w:val="28"/>
          <w:rtl/>
          <w:lang w:bidi="ar-SY"/>
        </w:rPr>
        <w:t xml:space="preserve"> </w:t>
      </w:r>
      <w:r w:rsidR="00AB0818" w:rsidRPr="003F3B94">
        <w:rPr>
          <w:rFonts w:hint="cs"/>
          <w:sz w:val="28"/>
          <w:rtl/>
          <w:lang w:bidi="ar-SY"/>
        </w:rPr>
        <w:t>عالم</w:t>
      </w:r>
      <w:r w:rsidR="00953581" w:rsidRPr="003F3B94">
        <w:rPr>
          <w:rFonts w:hint="cs"/>
          <w:sz w:val="28"/>
          <w:rtl/>
          <w:lang w:bidi="ar-SY"/>
        </w:rPr>
        <w:t xml:space="preserve"> </w:t>
      </w:r>
      <w:r w:rsidR="00AB0818" w:rsidRPr="003F3B94">
        <w:rPr>
          <w:rFonts w:hint="cs"/>
          <w:sz w:val="28"/>
          <w:rtl/>
          <w:lang w:bidi="ar-SY"/>
        </w:rPr>
        <w:t>الوجود</w:t>
      </w:r>
      <w:r w:rsidR="00953581" w:rsidRPr="003F3B94">
        <w:rPr>
          <w:rFonts w:hint="cs"/>
          <w:sz w:val="28"/>
          <w:rtl/>
          <w:lang w:bidi="ar-SY"/>
        </w:rPr>
        <w:t xml:space="preserve"> </w:t>
      </w:r>
      <w:r w:rsidR="00AB0818" w:rsidRPr="003F3B94">
        <w:rPr>
          <w:rFonts w:hint="cs"/>
          <w:sz w:val="28"/>
          <w:rtl/>
          <w:lang w:bidi="ar-SY"/>
        </w:rPr>
        <w:t>وتعقيد</w:t>
      </w:r>
      <w:r w:rsidR="00953581" w:rsidRPr="003F3B94">
        <w:rPr>
          <w:rFonts w:hint="cs"/>
          <w:sz w:val="28"/>
          <w:rtl/>
          <w:lang w:bidi="ar-SY"/>
        </w:rPr>
        <w:t xml:space="preserve"> </w:t>
      </w:r>
      <w:r w:rsidR="00AB0818" w:rsidRPr="003F3B94">
        <w:rPr>
          <w:rFonts w:hint="cs"/>
          <w:sz w:val="28"/>
          <w:rtl/>
          <w:lang w:bidi="ar-SY"/>
        </w:rPr>
        <w:t>أسراره</w:t>
      </w:r>
      <w:r w:rsidR="00953581" w:rsidRPr="003F3B94">
        <w:rPr>
          <w:rFonts w:hint="cs"/>
          <w:sz w:val="28"/>
          <w:rtl/>
          <w:lang w:bidi="ar-SY"/>
        </w:rPr>
        <w:t xml:space="preserve"> </w:t>
      </w:r>
      <w:r w:rsidR="00AB0818" w:rsidRPr="003F3B94">
        <w:rPr>
          <w:rFonts w:hint="cs"/>
          <w:sz w:val="28"/>
          <w:rtl/>
          <w:lang w:bidi="ar-SY"/>
        </w:rPr>
        <w:t>أك</w:t>
      </w:r>
      <w:r w:rsidR="0083776F" w:rsidRPr="003F3B94">
        <w:rPr>
          <w:rFonts w:hint="cs"/>
          <w:sz w:val="28"/>
          <w:rtl/>
          <w:lang w:bidi="ar-SY"/>
        </w:rPr>
        <w:t>بر</w:t>
      </w:r>
      <w:r w:rsidR="00953581" w:rsidRPr="003F3B94">
        <w:rPr>
          <w:rFonts w:hint="cs"/>
          <w:sz w:val="28"/>
          <w:rtl/>
          <w:lang w:bidi="ar-SY"/>
        </w:rPr>
        <w:t xml:space="preserve"> </w:t>
      </w:r>
      <w:r w:rsidR="0083776F" w:rsidRPr="003F3B94">
        <w:rPr>
          <w:rFonts w:hint="cs"/>
          <w:sz w:val="28"/>
          <w:rtl/>
          <w:lang w:bidi="ar-SY"/>
        </w:rPr>
        <w:t>بكثير</w:t>
      </w:r>
      <w:r w:rsidR="00953581" w:rsidRPr="003F3B94">
        <w:rPr>
          <w:rFonts w:hint="cs"/>
          <w:sz w:val="28"/>
          <w:rtl/>
          <w:lang w:bidi="ar-SY"/>
        </w:rPr>
        <w:t xml:space="preserve"> </w:t>
      </w:r>
      <w:r w:rsidR="0083776F" w:rsidRPr="003F3B94">
        <w:rPr>
          <w:rFonts w:hint="cs"/>
          <w:sz w:val="28"/>
          <w:rtl/>
          <w:lang w:bidi="ar-SY"/>
        </w:rPr>
        <w:t>من</w:t>
      </w:r>
      <w:r w:rsidR="00953581" w:rsidRPr="003F3B94">
        <w:rPr>
          <w:rFonts w:hint="cs"/>
          <w:sz w:val="28"/>
          <w:rtl/>
          <w:lang w:bidi="ar-SY"/>
        </w:rPr>
        <w:t xml:space="preserve"> </w:t>
      </w:r>
      <w:r w:rsidRPr="003F3B94">
        <w:rPr>
          <w:rFonts w:hint="cs"/>
          <w:sz w:val="28"/>
          <w:rtl/>
          <w:lang w:bidi="ar-SY"/>
        </w:rPr>
        <w:t>أن</w:t>
      </w:r>
      <w:r w:rsidR="00953581" w:rsidRPr="003F3B94">
        <w:rPr>
          <w:rFonts w:hint="cs"/>
          <w:sz w:val="28"/>
          <w:rtl/>
          <w:lang w:bidi="ar-SY"/>
        </w:rPr>
        <w:t xml:space="preserve"> </w:t>
      </w:r>
      <w:r w:rsidR="0083776F" w:rsidRPr="003F3B94">
        <w:rPr>
          <w:rFonts w:hint="cs"/>
          <w:sz w:val="28"/>
          <w:rtl/>
          <w:lang w:bidi="ar-SY"/>
        </w:rPr>
        <w:t>يستطيع</w:t>
      </w:r>
      <w:r w:rsidR="00953581" w:rsidRPr="003F3B94">
        <w:rPr>
          <w:rFonts w:hint="cs"/>
          <w:sz w:val="28"/>
          <w:rtl/>
          <w:lang w:bidi="ar-SY"/>
        </w:rPr>
        <w:t xml:space="preserve"> </w:t>
      </w:r>
      <w:r w:rsidRPr="003F3B94">
        <w:rPr>
          <w:rFonts w:hint="cs"/>
          <w:sz w:val="28"/>
          <w:rtl/>
          <w:lang w:bidi="ar-SY"/>
        </w:rPr>
        <w:t>ا</w:t>
      </w:r>
      <w:r w:rsidR="008A2A49" w:rsidRPr="003F3B94">
        <w:rPr>
          <w:rFonts w:hint="cs"/>
          <w:sz w:val="28"/>
          <w:rtl/>
          <w:lang w:bidi="ar-SY"/>
        </w:rPr>
        <w:t>لإ</w:t>
      </w:r>
      <w:r w:rsidRPr="003F3B94">
        <w:rPr>
          <w:rFonts w:hint="cs"/>
          <w:sz w:val="28"/>
          <w:rtl/>
          <w:lang w:bidi="ar-SY"/>
        </w:rPr>
        <w:t>نسان</w:t>
      </w:r>
      <w:r w:rsidR="00953581" w:rsidRPr="003F3B94">
        <w:rPr>
          <w:rFonts w:hint="cs"/>
          <w:sz w:val="28"/>
          <w:rtl/>
          <w:lang w:bidi="ar-SY"/>
        </w:rPr>
        <w:t xml:space="preserve"> </w:t>
      </w:r>
      <w:r w:rsidRPr="003F3B94">
        <w:rPr>
          <w:rFonts w:hint="cs"/>
          <w:sz w:val="28"/>
          <w:rtl/>
          <w:lang w:bidi="ar-SY"/>
        </w:rPr>
        <w:t>بعقله</w:t>
      </w:r>
      <w:r w:rsidR="00953581" w:rsidRPr="003F3B94">
        <w:rPr>
          <w:rFonts w:hint="cs"/>
          <w:sz w:val="28"/>
          <w:rtl/>
          <w:lang w:bidi="ar-SY"/>
        </w:rPr>
        <w:t xml:space="preserve"> </w:t>
      </w:r>
      <w:r w:rsidRPr="003F3B94">
        <w:rPr>
          <w:rFonts w:hint="cs"/>
          <w:sz w:val="28"/>
          <w:rtl/>
          <w:lang w:bidi="ar-SY"/>
        </w:rPr>
        <w:t>المجرَّد</w:t>
      </w:r>
      <w:r w:rsidR="00953581" w:rsidRPr="003F3B94">
        <w:rPr>
          <w:rFonts w:hint="cs"/>
          <w:sz w:val="28"/>
          <w:rtl/>
          <w:lang w:bidi="ar-SY"/>
        </w:rPr>
        <w:t xml:space="preserve"> </w:t>
      </w:r>
      <w:r w:rsidR="0083776F" w:rsidRPr="003F3B94">
        <w:rPr>
          <w:rFonts w:hint="cs"/>
          <w:sz w:val="28"/>
          <w:rtl/>
          <w:lang w:bidi="ar-SY"/>
        </w:rPr>
        <w:t>وتفكيره</w:t>
      </w:r>
      <w:r w:rsidR="00953581" w:rsidRPr="003F3B94">
        <w:rPr>
          <w:rFonts w:hint="cs"/>
          <w:sz w:val="28"/>
          <w:rtl/>
          <w:lang w:bidi="ar-SY"/>
        </w:rPr>
        <w:t xml:space="preserve"> </w:t>
      </w:r>
      <w:r w:rsidRPr="003F3B94">
        <w:rPr>
          <w:rFonts w:hint="cs"/>
          <w:sz w:val="28"/>
          <w:rtl/>
          <w:lang w:bidi="ar-SY"/>
        </w:rPr>
        <w:t>الذي</w:t>
      </w:r>
      <w:r w:rsidR="00953581" w:rsidRPr="003F3B94">
        <w:rPr>
          <w:rFonts w:hint="cs"/>
          <w:sz w:val="28"/>
          <w:rtl/>
          <w:lang w:bidi="ar-SY"/>
        </w:rPr>
        <w:t xml:space="preserve"> </w:t>
      </w:r>
      <w:r w:rsidRPr="003F3B94">
        <w:rPr>
          <w:rFonts w:hint="cs"/>
          <w:sz w:val="28"/>
          <w:rtl/>
          <w:lang w:bidi="ar-SY"/>
        </w:rPr>
        <w:t>يشبه</w:t>
      </w:r>
      <w:r w:rsidR="00953581" w:rsidRPr="003F3B94">
        <w:rPr>
          <w:rFonts w:hint="cs"/>
          <w:sz w:val="28"/>
          <w:rtl/>
          <w:lang w:bidi="ar-SY"/>
        </w:rPr>
        <w:t xml:space="preserve"> </w:t>
      </w:r>
      <w:r w:rsidRPr="003F3B94">
        <w:rPr>
          <w:rFonts w:hint="cs"/>
          <w:sz w:val="28"/>
          <w:rtl/>
          <w:lang w:bidi="ar-SY"/>
        </w:rPr>
        <w:t>الساق</w:t>
      </w:r>
      <w:r w:rsidR="00953581" w:rsidRPr="003F3B94">
        <w:rPr>
          <w:rFonts w:hint="cs"/>
          <w:sz w:val="28"/>
          <w:rtl/>
          <w:lang w:bidi="ar-SY"/>
        </w:rPr>
        <w:t xml:space="preserve"> </w:t>
      </w:r>
      <w:r w:rsidRPr="003F3B94">
        <w:rPr>
          <w:rFonts w:hint="cs"/>
          <w:sz w:val="28"/>
          <w:rtl/>
          <w:lang w:bidi="ar-SY"/>
        </w:rPr>
        <w:t>الكسيرة</w:t>
      </w:r>
      <w:r w:rsidR="00953581" w:rsidRPr="003F3B94">
        <w:rPr>
          <w:rFonts w:hint="cs"/>
          <w:sz w:val="28"/>
          <w:rtl/>
          <w:lang w:bidi="ar-SY"/>
        </w:rPr>
        <w:t xml:space="preserve"> </w:t>
      </w:r>
      <w:r w:rsidR="00AB0818" w:rsidRPr="003F3B94">
        <w:rPr>
          <w:rFonts w:hint="cs"/>
          <w:sz w:val="28"/>
          <w:rtl/>
          <w:lang w:bidi="ar-SY"/>
        </w:rPr>
        <w:t>العرجاء</w:t>
      </w:r>
      <w:r w:rsidR="00953581" w:rsidRPr="003F3B94">
        <w:rPr>
          <w:rFonts w:hint="cs"/>
          <w:sz w:val="28"/>
          <w:rtl/>
          <w:lang w:bidi="ar-SY"/>
        </w:rPr>
        <w:t xml:space="preserve"> </w:t>
      </w:r>
      <w:r w:rsidR="0083776F" w:rsidRPr="003F3B94">
        <w:rPr>
          <w:rFonts w:hint="cs"/>
          <w:sz w:val="28"/>
          <w:rtl/>
          <w:lang w:bidi="ar-SY"/>
        </w:rPr>
        <w:t>أن</w:t>
      </w:r>
      <w:r w:rsidR="00953581" w:rsidRPr="003F3B94">
        <w:rPr>
          <w:rFonts w:hint="cs"/>
          <w:sz w:val="28"/>
          <w:rtl/>
          <w:lang w:bidi="ar-SY"/>
        </w:rPr>
        <w:t xml:space="preserve"> </w:t>
      </w:r>
      <w:r w:rsidR="0083776F" w:rsidRPr="003F3B94">
        <w:rPr>
          <w:rFonts w:hint="cs"/>
          <w:sz w:val="28"/>
          <w:rtl/>
          <w:lang w:bidi="ar-SY"/>
        </w:rPr>
        <w:t>يدركه</w:t>
      </w:r>
      <w:r w:rsidR="00DF79BC" w:rsidRPr="003F3B94">
        <w:rPr>
          <w:rFonts w:hint="cs"/>
          <w:sz w:val="28"/>
          <w:rtl/>
          <w:lang w:bidi="ar-SY"/>
        </w:rPr>
        <w:t>ا</w:t>
      </w:r>
      <w:r w:rsidR="00217AB4" w:rsidRPr="003F3B94">
        <w:rPr>
          <w:rFonts w:hint="cs"/>
          <w:sz w:val="28"/>
          <w:rtl/>
          <w:lang w:bidi="ar-SY"/>
        </w:rPr>
        <w:t>.</w:t>
      </w:r>
      <w:r w:rsidR="00953581" w:rsidRPr="003F3B94">
        <w:rPr>
          <w:rFonts w:hint="cs"/>
          <w:sz w:val="28"/>
          <w:rtl/>
          <w:lang w:bidi="ar-SY"/>
        </w:rPr>
        <w:t xml:space="preserve"> </w:t>
      </w:r>
      <w:r w:rsidR="0083776F" w:rsidRPr="003F3B94">
        <w:rPr>
          <w:rFonts w:hint="cs"/>
          <w:sz w:val="28"/>
          <w:rtl/>
          <w:lang w:bidi="ar-SY"/>
        </w:rPr>
        <w:t>رغم</w:t>
      </w:r>
      <w:r w:rsidR="00953581" w:rsidRPr="003F3B94">
        <w:rPr>
          <w:rFonts w:hint="cs"/>
          <w:sz w:val="28"/>
          <w:rtl/>
          <w:lang w:bidi="ar-SY"/>
        </w:rPr>
        <w:t xml:space="preserve"> </w:t>
      </w:r>
      <w:r w:rsidR="0083776F" w:rsidRPr="003F3B94">
        <w:rPr>
          <w:rFonts w:hint="cs"/>
          <w:sz w:val="28"/>
          <w:rtl/>
          <w:lang w:bidi="ar-SY"/>
        </w:rPr>
        <w:t>ذلك</w:t>
      </w:r>
      <w:r w:rsidR="00953581" w:rsidRPr="003F3B94">
        <w:rPr>
          <w:rFonts w:hint="cs"/>
          <w:sz w:val="28"/>
          <w:rtl/>
          <w:lang w:bidi="ar-SY"/>
        </w:rPr>
        <w:t xml:space="preserve"> </w:t>
      </w:r>
      <w:r w:rsidR="0083776F" w:rsidRPr="003F3B94">
        <w:rPr>
          <w:rFonts w:hint="cs"/>
          <w:sz w:val="28"/>
          <w:rtl/>
          <w:lang w:bidi="ar-SY"/>
        </w:rPr>
        <w:t>يبقى</w:t>
      </w:r>
      <w:r w:rsidR="00953581" w:rsidRPr="003F3B94">
        <w:rPr>
          <w:rFonts w:hint="cs"/>
          <w:sz w:val="28"/>
          <w:rtl/>
          <w:lang w:bidi="ar-SY"/>
        </w:rPr>
        <w:t xml:space="preserve"> </w:t>
      </w:r>
      <w:r w:rsidR="0083776F" w:rsidRPr="003F3B94">
        <w:rPr>
          <w:rFonts w:hint="cs"/>
          <w:sz w:val="28"/>
          <w:rtl/>
          <w:lang w:bidi="ar-SY"/>
        </w:rPr>
        <w:t>ا</w:t>
      </w:r>
      <w:r w:rsidR="008A2A49" w:rsidRPr="003F3B94">
        <w:rPr>
          <w:rFonts w:hint="cs"/>
          <w:sz w:val="28"/>
          <w:rtl/>
          <w:lang w:bidi="ar-SY"/>
        </w:rPr>
        <w:t>لإ</w:t>
      </w:r>
      <w:r w:rsidR="0083776F" w:rsidRPr="003F3B94">
        <w:rPr>
          <w:rFonts w:hint="cs"/>
          <w:sz w:val="28"/>
          <w:rtl/>
          <w:lang w:bidi="ar-SY"/>
        </w:rPr>
        <w:t>نسان</w:t>
      </w:r>
      <w:r w:rsidR="00953581" w:rsidRPr="003F3B94">
        <w:rPr>
          <w:rFonts w:hint="cs"/>
          <w:sz w:val="28"/>
          <w:rtl/>
          <w:lang w:bidi="ar-SY"/>
        </w:rPr>
        <w:t xml:space="preserve"> </w:t>
      </w:r>
      <w:r w:rsidR="0083776F" w:rsidRPr="003F3B94">
        <w:rPr>
          <w:rFonts w:hint="cs"/>
          <w:sz w:val="28"/>
          <w:rtl/>
          <w:lang w:bidi="ar-SY"/>
        </w:rPr>
        <w:t>دائماً</w:t>
      </w:r>
      <w:r w:rsidR="00953581" w:rsidRPr="003F3B94">
        <w:rPr>
          <w:rFonts w:hint="cs"/>
          <w:sz w:val="28"/>
          <w:rtl/>
          <w:lang w:bidi="ar-SY"/>
        </w:rPr>
        <w:t xml:space="preserve"> </w:t>
      </w:r>
      <w:r w:rsidR="0083776F" w:rsidRPr="003F3B94">
        <w:rPr>
          <w:rFonts w:hint="cs"/>
          <w:sz w:val="28"/>
          <w:rtl/>
          <w:lang w:bidi="ar-SY"/>
        </w:rPr>
        <w:t>في</w:t>
      </w:r>
      <w:r w:rsidR="00953581" w:rsidRPr="003F3B94">
        <w:rPr>
          <w:rFonts w:hint="cs"/>
          <w:sz w:val="28"/>
          <w:rtl/>
          <w:lang w:bidi="ar-SY"/>
        </w:rPr>
        <w:t xml:space="preserve"> </w:t>
      </w:r>
      <w:r w:rsidR="0083776F" w:rsidRPr="003F3B94">
        <w:rPr>
          <w:rFonts w:hint="cs"/>
          <w:sz w:val="28"/>
          <w:rtl/>
          <w:lang w:bidi="ar-SY"/>
        </w:rPr>
        <w:t>حالة</w:t>
      </w:r>
      <w:r w:rsidR="00953581" w:rsidRPr="003F3B94">
        <w:rPr>
          <w:rFonts w:hint="cs"/>
          <w:sz w:val="28"/>
          <w:rtl/>
          <w:lang w:bidi="ar-SY"/>
        </w:rPr>
        <w:t xml:space="preserve"> </w:t>
      </w:r>
      <w:r w:rsidR="0083776F" w:rsidRPr="003F3B94">
        <w:rPr>
          <w:rFonts w:hint="cs"/>
          <w:sz w:val="28"/>
          <w:rtl/>
          <w:lang w:bidi="ar-SY"/>
        </w:rPr>
        <w:t>سعي</w:t>
      </w:r>
      <w:r w:rsidR="00953581" w:rsidRPr="003F3B94">
        <w:rPr>
          <w:rFonts w:hint="cs"/>
          <w:sz w:val="28"/>
          <w:rtl/>
          <w:lang w:bidi="ar-SY"/>
        </w:rPr>
        <w:t xml:space="preserve"> </w:t>
      </w:r>
      <w:r w:rsidR="005D204A" w:rsidRPr="003F3B94">
        <w:rPr>
          <w:rFonts w:hint="cs"/>
          <w:sz w:val="28"/>
          <w:rtl/>
          <w:lang w:bidi="ar-SY"/>
        </w:rPr>
        <w:t>وت</w:t>
      </w:r>
      <w:r w:rsidR="008A2A49" w:rsidRPr="003F3B94">
        <w:rPr>
          <w:rFonts w:hint="cs"/>
          <w:sz w:val="28"/>
          <w:rtl/>
          <w:lang w:bidi="ar-SY"/>
        </w:rPr>
        <w:t>لا</w:t>
      </w:r>
      <w:r w:rsidR="005D204A" w:rsidRPr="003F3B94">
        <w:rPr>
          <w:rFonts w:hint="cs"/>
          <w:sz w:val="28"/>
          <w:rtl/>
          <w:lang w:bidi="ar-SY"/>
        </w:rPr>
        <w:t>طم</w:t>
      </w:r>
      <w:r w:rsidR="00953581" w:rsidRPr="003F3B94">
        <w:rPr>
          <w:rFonts w:hint="cs"/>
          <w:sz w:val="28"/>
          <w:rtl/>
          <w:lang w:bidi="ar-SY"/>
        </w:rPr>
        <w:t xml:space="preserve"> </w:t>
      </w:r>
      <w:r w:rsidR="005D204A" w:rsidRPr="003F3B94">
        <w:rPr>
          <w:rFonts w:hint="cs"/>
          <w:sz w:val="28"/>
          <w:rtl/>
          <w:lang w:bidi="ar-SY"/>
        </w:rPr>
        <w:t>وبحثٍ</w:t>
      </w:r>
      <w:r w:rsidR="00953581" w:rsidRPr="003F3B94">
        <w:rPr>
          <w:rFonts w:hint="cs"/>
          <w:sz w:val="28"/>
          <w:rtl/>
          <w:lang w:bidi="ar-SY"/>
        </w:rPr>
        <w:t xml:space="preserve"> </w:t>
      </w:r>
      <w:r w:rsidR="005D204A" w:rsidRPr="003F3B94">
        <w:rPr>
          <w:rFonts w:hint="cs"/>
          <w:sz w:val="28"/>
          <w:rtl/>
          <w:lang w:bidi="ar-SY"/>
        </w:rPr>
        <w:t>واستكشافٍ</w:t>
      </w:r>
      <w:r w:rsidR="00953581" w:rsidRPr="003F3B94">
        <w:rPr>
          <w:rFonts w:hint="cs"/>
          <w:sz w:val="28"/>
          <w:rtl/>
          <w:lang w:bidi="ar-SY"/>
        </w:rPr>
        <w:t xml:space="preserve"> </w:t>
      </w:r>
      <w:r w:rsidR="005D204A" w:rsidRPr="003F3B94">
        <w:rPr>
          <w:rFonts w:hint="cs"/>
          <w:sz w:val="28"/>
          <w:rtl/>
          <w:lang w:bidi="ar-SY"/>
        </w:rPr>
        <w:t>ل</w:t>
      </w:r>
      <w:r w:rsidR="008A2A49" w:rsidRPr="003F3B94">
        <w:rPr>
          <w:rFonts w:hint="cs"/>
          <w:sz w:val="28"/>
          <w:rtl/>
          <w:lang w:bidi="ar-SY"/>
        </w:rPr>
        <w:t>لأ</w:t>
      </w:r>
      <w:r w:rsidR="005D204A" w:rsidRPr="003F3B94">
        <w:rPr>
          <w:rFonts w:hint="cs"/>
          <w:sz w:val="28"/>
          <w:rtl/>
          <w:lang w:bidi="ar-SY"/>
        </w:rPr>
        <w:t>سرار</w:t>
      </w:r>
      <w:r w:rsidR="00217AB4" w:rsidRPr="003F3B94">
        <w:rPr>
          <w:rFonts w:hint="cs"/>
          <w:sz w:val="28"/>
          <w:rtl/>
          <w:lang w:bidi="ar-SY"/>
        </w:rPr>
        <w:t>.</w:t>
      </w:r>
      <w:r w:rsidR="00953581" w:rsidRPr="003F3B94">
        <w:rPr>
          <w:rFonts w:hint="cs"/>
          <w:sz w:val="28"/>
          <w:rtl/>
          <w:lang w:bidi="ar-SY"/>
        </w:rPr>
        <w:t xml:space="preserve"> </w:t>
      </w:r>
      <w:r w:rsidR="005D204A" w:rsidRPr="003F3B94">
        <w:rPr>
          <w:rFonts w:hint="cs"/>
          <w:sz w:val="28"/>
          <w:rtl/>
          <w:lang w:bidi="ar-SY"/>
        </w:rPr>
        <w:t>وهذه</w:t>
      </w:r>
      <w:r w:rsidR="00953581" w:rsidRPr="003F3B94">
        <w:rPr>
          <w:rFonts w:hint="cs"/>
          <w:sz w:val="28"/>
          <w:rtl/>
          <w:lang w:bidi="ar-SY"/>
        </w:rPr>
        <w:t xml:space="preserve"> </w:t>
      </w:r>
      <w:r w:rsidR="005D204A" w:rsidRPr="003F3B94">
        <w:rPr>
          <w:rFonts w:hint="cs"/>
          <w:sz w:val="28"/>
          <w:rtl/>
          <w:lang w:bidi="ar-SY"/>
        </w:rPr>
        <w:t>الحالة</w:t>
      </w:r>
      <w:r w:rsidR="00953581" w:rsidRPr="003F3B94">
        <w:rPr>
          <w:rFonts w:hint="cs"/>
          <w:sz w:val="28"/>
          <w:rtl/>
          <w:lang w:bidi="ar-SY"/>
        </w:rPr>
        <w:t xml:space="preserve"> </w:t>
      </w:r>
      <w:r w:rsidR="005D204A" w:rsidRPr="003F3B94">
        <w:rPr>
          <w:rFonts w:hint="cs"/>
          <w:sz w:val="28"/>
          <w:rtl/>
          <w:lang w:bidi="ar-SY"/>
        </w:rPr>
        <w:t>تسيطر</w:t>
      </w:r>
      <w:r w:rsidR="00953581" w:rsidRPr="003F3B94">
        <w:rPr>
          <w:rFonts w:hint="cs"/>
          <w:sz w:val="28"/>
          <w:rtl/>
          <w:lang w:bidi="ar-SY"/>
        </w:rPr>
        <w:t xml:space="preserve"> </w:t>
      </w:r>
      <w:r w:rsidR="005D204A" w:rsidRPr="003F3B94">
        <w:rPr>
          <w:rFonts w:hint="cs"/>
          <w:sz w:val="28"/>
          <w:rtl/>
          <w:lang w:bidi="ar-SY"/>
        </w:rPr>
        <w:t>أحياناً</w:t>
      </w:r>
      <w:r w:rsidR="00953581" w:rsidRPr="003F3B94">
        <w:rPr>
          <w:rFonts w:hint="cs"/>
          <w:sz w:val="28"/>
          <w:rtl/>
          <w:lang w:bidi="ar-SY"/>
        </w:rPr>
        <w:t xml:space="preserve"> </w:t>
      </w:r>
      <w:r w:rsidR="005D204A" w:rsidRPr="003F3B94">
        <w:rPr>
          <w:rFonts w:hint="cs"/>
          <w:sz w:val="28"/>
          <w:rtl/>
          <w:lang w:bidi="ar-SY"/>
        </w:rPr>
        <w:t>بشكل</w:t>
      </w:r>
      <w:r w:rsidR="00953581" w:rsidRPr="003F3B94">
        <w:rPr>
          <w:rFonts w:hint="cs"/>
          <w:sz w:val="28"/>
          <w:rtl/>
          <w:lang w:bidi="ar-SY"/>
        </w:rPr>
        <w:t xml:space="preserve"> </w:t>
      </w:r>
      <w:r w:rsidR="005D204A" w:rsidRPr="003F3B94">
        <w:rPr>
          <w:rFonts w:hint="cs"/>
          <w:sz w:val="28"/>
          <w:rtl/>
          <w:lang w:bidi="ar-SY"/>
        </w:rPr>
        <w:t>مفرط</w:t>
      </w:r>
      <w:r w:rsidR="00953581" w:rsidRPr="003F3B94">
        <w:rPr>
          <w:rFonts w:hint="cs"/>
          <w:sz w:val="28"/>
          <w:rtl/>
          <w:lang w:bidi="ar-SY"/>
        </w:rPr>
        <w:t xml:space="preserve"> </w:t>
      </w:r>
      <w:r w:rsidR="000D7AB3" w:rsidRPr="003F3B94">
        <w:rPr>
          <w:rFonts w:hint="cs"/>
          <w:sz w:val="28"/>
          <w:rtl/>
          <w:lang w:bidi="ar-SY"/>
        </w:rPr>
        <w:t>على</w:t>
      </w:r>
      <w:r w:rsidR="00953581" w:rsidRPr="003F3B94">
        <w:rPr>
          <w:rFonts w:hint="cs"/>
          <w:sz w:val="28"/>
          <w:rtl/>
          <w:lang w:bidi="ar-SY"/>
        </w:rPr>
        <w:t xml:space="preserve"> </w:t>
      </w:r>
      <w:r w:rsidR="000D7AB3" w:rsidRPr="003F3B94">
        <w:rPr>
          <w:rFonts w:hint="cs"/>
          <w:sz w:val="28"/>
          <w:rtl/>
          <w:lang w:bidi="ar-SY"/>
        </w:rPr>
        <w:t>بعض</w:t>
      </w:r>
      <w:r w:rsidR="00953581" w:rsidRPr="003F3B94">
        <w:rPr>
          <w:rFonts w:hint="cs"/>
          <w:sz w:val="28"/>
          <w:rtl/>
          <w:lang w:bidi="ar-SY"/>
        </w:rPr>
        <w:t xml:space="preserve"> </w:t>
      </w:r>
      <w:r w:rsidR="000D7AB3" w:rsidRPr="003F3B94">
        <w:rPr>
          <w:rFonts w:hint="cs"/>
          <w:sz w:val="28"/>
          <w:rtl/>
          <w:lang w:bidi="ar-SY"/>
        </w:rPr>
        <w:t>الناس</w:t>
      </w:r>
      <w:r w:rsidR="00953581" w:rsidRPr="003F3B94">
        <w:rPr>
          <w:rFonts w:hint="cs"/>
          <w:sz w:val="28"/>
          <w:rtl/>
          <w:lang w:bidi="ar-SY"/>
        </w:rPr>
        <w:t xml:space="preserve"> </w:t>
      </w:r>
      <w:r w:rsidR="000D7AB3" w:rsidRPr="003F3B94">
        <w:rPr>
          <w:rFonts w:hint="cs"/>
          <w:sz w:val="28"/>
          <w:rtl/>
          <w:lang w:bidi="ar-SY"/>
        </w:rPr>
        <w:t>فتجعلهم</w:t>
      </w:r>
      <w:r w:rsidR="00953581" w:rsidRPr="003F3B94">
        <w:rPr>
          <w:rFonts w:hint="cs"/>
          <w:sz w:val="28"/>
          <w:rtl/>
          <w:lang w:bidi="ar-SY"/>
        </w:rPr>
        <w:t xml:space="preserve"> </w:t>
      </w:r>
      <w:r w:rsidR="000D7AB3" w:rsidRPr="003F3B94">
        <w:rPr>
          <w:rFonts w:hint="cs"/>
          <w:sz w:val="28"/>
          <w:rtl/>
          <w:lang w:bidi="ar-SY"/>
        </w:rPr>
        <w:t>أسرى</w:t>
      </w:r>
      <w:r w:rsidR="00953581" w:rsidRPr="003F3B94">
        <w:rPr>
          <w:rFonts w:hint="cs"/>
          <w:sz w:val="28"/>
          <w:rtl/>
          <w:lang w:bidi="ar-SY"/>
        </w:rPr>
        <w:t xml:space="preserve"> </w:t>
      </w:r>
      <w:r w:rsidR="000D7AB3" w:rsidRPr="003F3B94">
        <w:rPr>
          <w:rFonts w:hint="cs"/>
          <w:sz w:val="28"/>
          <w:rtl/>
          <w:lang w:bidi="ar-SY"/>
        </w:rPr>
        <w:t>ل</w:t>
      </w:r>
      <w:r w:rsidR="008A2A49" w:rsidRPr="003F3B94">
        <w:rPr>
          <w:rFonts w:hint="cs"/>
          <w:sz w:val="28"/>
          <w:rtl/>
          <w:lang w:bidi="ar-SY"/>
        </w:rPr>
        <w:t>لأ</w:t>
      </w:r>
      <w:r w:rsidR="000D7AB3" w:rsidRPr="003F3B94">
        <w:rPr>
          <w:rFonts w:hint="cs"/>
          <w:sz w:val="28"/>
          <w:rtl/>
          <w:lang w:bidi="ar-SY"/>
        </w:rPr>
        <w:t>وهام</w:t>
      </w:r>
      <w:r w:rsidR="00953581" w:rsidRPr="003F3B94">
        <w:rPr>
          <w:rFonts w:hint="cs"/>
          <w:sz w:val="28"/>
          <w:rtl/>
          <w:lang w:bidi="ar-SY"/>
        </w:rPr>
        <w:t xml:space="preserve"> </w:t>
      </w:r>
      <w:r w:rsidR="000D7AB3" w:rsidRPr="003F3B94">
        <w:rPr>
          <w:rFonts w:hint="cs"/>
          <w:sz w:val="28"/>
          <w:rtl/>
          <w:lang w:bidi="ar-SY"/>
        </w:rPr>
        <w:t>والعواطف</w:t>
      </w:r>
      <w:r w:rsidR="00953581" w:rsidRPr="003F3B94">
        <w:rPr>
          <w:rFonts w:hint="cs"/>
          <w:sz w:val="28"/>
          <w:rtl/>
          <w:lang w:bidi="ar-SY"/>
        </w:rPr>
        <w:t xml:space="preserve"> </w:t>
      </w:r>
      <w:r w:rsidR="000D7AB3" w:rsidRPr="003F3B94">
        <w:rPr>
          <w:rFonts w:hint="cs"/>
          <w:sz w:val="28"/>
          <w:rtl/>
          <w:lang w:bidi="ar-SY"/>
        </w:rPr>
        <w:t>التي</w:t>
      </w:r>
      <w:r w:rsidR="00953581" w:rsidRPr="003F3B94">
        <w:rPr>
          <w:rFonts w:hint="cs"/>
          <w:sz w:val="28"/>
          <w:rtl/>
          <w:lang w:bidi="ar-SY"/>
        </w:rPr>
        <w:t xml:space="preserve"> </w:t>
      </w:r>
      <w:r w:rsidR="000D7AB3" w:rsidRPr="003F3B94">
        <w:rPr>
          <w:rFonts w:hint="cs"/>
          <w:sz w:val="28"/>
          <w:rtl/>
          <w:lang w:bidi="ar-SY"/>
        </w:rPr>
        <w:t>يعرف</w:t>
      </w:r>
      <w:r w:rsidR="00953581" w:rsidRPr="003F3B94">
        <w:rPr>
          <w:rFonts w:hint="cs"/>
          <w:sz w:val="28"/>
          <w:rtl/>
          <w:lang w:bidi="ar-SY"/>
        </w:rPr>
        <w:t xml:space="preserve"> </w:t>
      </w:r>
      <w:r w:rsidR="000D7AB3" w:rsidRPr="003F3B94">
        <w:rPr>
          <w:rFonts w:hint="cs"/>
          <w:sz w:val="28"/>
          <w:rtl/>
          <w:lang w:bidi="ar-SY"/>
        </w:rPr>
        <w:t>الجميع</w:t>
      </w:r>
      <w:r w:rsidR="00953581" w:rsidRPr="003F3B94">
        <w:rPr>
          <w:rFonts w:hint="cs"/>
          <w:sz w:val="28"/>
          <w:rtl/>
          <w:lang w:bidi="ar-SY"/>
        </w:rPr>
        <w:t xml:space="preserve"> </w:t>
      </w:r>
      <w:r w:rsidR="000D7AB3" w:rsidRPr="003F3B94">
        <w:rPr>
          <w:rFonts w:hint="cs"/>
          <w:sz w:val="28"/>
          <w:rtl/>
          <w:lang w:bidi="ar-SY"/>
        </w:rPr>
        <w:t>ما</w:t>
      </w:r>
      <w:r w:rsidR="00953581" w:rsidRPr="003F3B94">
        <w:rPr>
          <w:rFonts w:hint="cs"/>
          <w:sz w:val="28"/>
          <w:rtl/>
          <w:lang w:bidi="ar-SY"/>
        </w:rPr>
        <w:t xml:space="preserve"> </w:t>
      </w:r>
      <w:r w:rsidR="000D7AB3" w:rsidRPr="003F3B94">
        <w:rPr>
          <w:rFonts w:hint="cs"/>
          <w:sz w:val="28"/>
          <w:rtl/>
          <w:lang w:bidi="ar-SY"/>
        </w:rPr>
        <w:t>تؤدي</w:t>
      </w:r>
      <w:r w:rsidR="00953581" w:rsidRPr="003F3B94">
        <w:rPr>
          <w:rFonts w:hint="cs"/>
          <w:sz w:val="28"/>
          <w:rtl/>
          <w:lang w:bidi="ar-SY"/>
        </w:rPr>
        <w:t xml:space="preserve"> </w:t>
      </w:r>
      <w:r w:rsidR="000D7AB3" w:rsidRPr="003F3B94">
        <w:rPr>
          <w:rFonts w:hint="cs"/>
          <w:sz w:val="28"/>
          <w:rtl/>
          <w:lang w:bidi="ar-SY"/>
        </w:rPr>
        <w:t>إليه</w:t>
      </w:r>
      <w:r w:rsidR="00953581" w:rsidRPr="003F3B94">
        <w:rPr>
          <w:rFonts w:hint="cs"/>
          <w:sz w:val="28"/>
          <w:rtl/>
          <w:lang w:bidi="ar-SY"/>
        </w:rPr>
        <w:t xml:space="preserve"> </w:t>
      </w:r>
      <w:r w:rsidR="000D7AB3" w:rsidRPr="003F3B94">
        <w:rPr>
          <w:rFonts w:hint="cs"/>
          <w:sz w:val="28"/>
          <w:rtl/>
          <w:lang w:bidi="ar-SY"/>
        </w:rPr>
        <w:t>من</w:t>
      </w:r>
      <w:r w:rsidR="00953581" w:rsidRPr="003F3B94">
        <w:rPr>
          <w:rFonts w:hint="cs"/>
          <w:sz w:val="28"/>
          <w:rtl/>
          <w:lang w:bidi="ar-SY"/>
        </w:rPr>
        <w:t xml:space="preserve"> </w:t>
      </w:r>
      <w:r w:rsidR="000D7AB3" w:rsidRPr="003F3B94">
        <w:rPr>
          <w:rFonts w:hint="cs"/>
          <w:sz w:val="28"/>
          <w:rtl/>
          <w:lang w:bidi="ar-SY"/>
        </w:rPr>
        <w:t>جنون</w:t>
      </w:r>
      <w:r w:rsidR="00217AB4" w:rsidRPr="003F3B94">
        <w:rPr>
          <w:rFonts w:hint="cs"/>
          <w:sz w:val="28"/>
          <w:rtl/>
          <w:lang w:bidi="ar-SY"/>
        </w:rPr>
        <w:t>.</w:t>
      </w:r>
      <w:r w:rsidR="00953581" w:rsidRPr="003F3B94">
        <w:rPr>
          <w:rFonts w:hint="cs"/>
          <w:sz w:val="28"/>
          <w:rtl/>
          <w:lang w:bidi="ar-SY"/>
        </w:rPr>
        <w:t xml:space="preserve"> </w:t>
      </w:r>
      <w:r w:rsidR="00FF6B1A" w:rsidRPr="003F3B94">
        <w:rPr>
          <w:rFonts w:hint="cs"/>
          <w:sz w:val="28"/>
          <w:rtl/>
          <w:lang w:bidi="ar-SY"/>
        </w:rPr>
        <w:t>هذا</w:t>
      </w:r>
      <w:r w:rsidR="00953581" w:rsidRPr="003F3B94">
        <w:rPr>
          <w:rFonts w:hint="cs"/>
          <w:sz w:val="28"/>
          <w:rtl/>
          <w:lang w:bidi="ar-SY"/>
        </w:rPr>
        <w:t xml:space="preserve"> </w:t>
      </w:r>
      <w:r w:rsidR="00FF6B1A" w:rsidRPr="003F3B94">
        <w:rPr>
          <w:rFonts w:hint="cs"/>
          <w:sz w:val="28"/>
          <w:rtl/>
          <w:lang w:bidi="ar-SY"/>
        </w:rPr>
        <w:t>المد</w:t>
      </w:r>
      <w:r w:rsidR="00953581" w:rsidRPr="003F3B94">
        <w:rPr>
          <w:rFonts w:hint="cs"/>
          <w:sz w:val="28"/>
          <w:rtl/>
          <w:lang w:bidi="ar-SY"/>
        </w:rPr>
        <w:t xml:space="preserve"> </w:t>
      </w:r>
      <w:r w:rsidR="00FF6B1A" w:rsidRPr="003F3B94">
        <w:rPr>
          <w:rFonts w:hint="cs"/>
          <w:sz w:val="28"/>
          <w:rtl/>
          <w:lang w:bidi="ar-SY"/>
        </w:rPr>
        <w:t>والجزر</w:t>
      </w:r>
      <w:r w:rsidR="00953581" w:rsidRPr="003F3B94">
        <w:rPr>
          <w:rFonts w:hint="cs"/>
          <w:sz w:val="28"/>
          <w:rtl/>
          <w:lang w:bidi="ar-SY"/>
        </w:rPr>
        <w:t xml:space="preserve"> </w:t>
      </w:r>
      <w:r w:rsidR="00FF6B1A" w:rsidRPr="003F3B94">
        <w:rPr>
          <w:rFonts w:hint="cs"/>
          <w:sz w:val="28"/>
          <w:rtl/>
          <w:lang w:bidi="ar-SY"/>
        </w:rPr>
        <w:lastRenderedPageBreak/>
        <w:t>الروحي</w:t>
      </w:r>
      <w:r w:rsidR="00953581" w:rsidRPr="003F3B94">
        <w:rPr>
          <w:rFonts w:hint="cs"/>
          <w:sz w:val="28"/>
          <w:rtl/>
          <w:lang w:bidi="ar-SY"/>
        </w:rPr>
        <w:t xml:space="preserve"> </w:t>
      </w:r>
      <w:r w:rsidR="00FF6B1A" w:rsidRPr="003F3B94">
        <w:rPr>
          <w:rFonts w:hint="cs"/>
          <w:sz w:val="28"/>
          <w:rtl/>
          <w:lang w:bidi="ar-SY"/>
        </w:rPr>
        <w:t>والصعود</w:t>
      </w:r>
      <w:r w:rsidR="00953581" w:rsidRPr="003F3B94">
        <w:rPr>
          <w:rFonts w:hint="cs"/>
          <w:sz w:val="28"/>
          <w:rtl/>
          <w:lang w:bidi="ar-SY"/>
        </w:rPr>
        <w:t xml:space="preserve"> </w:t>
      </w:r>
      <w:r w:rsidR="00FF6B1A" w:rsidRPr="003F3B94">
        <w:rPr>
          <w:rFonts w:hint="cs"/>
          <w:sz w:val="28"/>
          <w:rtl/>
          <w:lang w:bidi="ar-SY"/>
        </w:rPr>
        <w:t>والهبوط</w:t>
      </w:r>
      <w:r w:rsidR="00953581" w:rsidRPr="003F3B94">
        <w:rPr>
          <w:rFonts w:hint="cs"/>
          <w:sz w:val="28"/>
          <w:rtl/>
          <w:lang w:bidi="ar-SY"/>
        </w:rPr>
        <w:t xml:space="preserve"> </w:t>
      </w:r>
      <w:r w:rsidR="00FF6B1A" w:rsidRPr="003F3B94">
        <w:rPr>
          <w:rFonts w:hint="cs"/>
          <w:sz w:val="28"/>
          <w:rtl/>
          <w:lang w:bidi="ar-SY"/>
        </w:rPr>
        <w:t>العقلي</w:t>
      </w:r>
      <w:r w:rsidR="00953581" w:rsidRPr="003F3B94">
        <w:rPr>
          <w:rFonts w:hint="cs"/>
          <w:sz w:val="28"/>
          <w:rtl/>
          <w:lang w:bidi="ar-SY"/>
        </w:rPr>
        <w:t xml:space="preserve"> </w:t>
      </w:r>
      <w:r w:rsidRPr="003F3B94">
        <w:rPr>
          <w:rFonts w:hint="cs"/>
          <w:sz w:val="28"/>
          <w:rtl/>
          <w:lang w:bidi="ar-SY"/>
        </w:rPr>
        <w:t>والبحث</w:t>
      </w:r>
      <w:r w:rsidR="00953581" w:rsidRPr="003F3B94">
        <w:rPr>
          <w:rFonts w:hint="cs"/>
          <w:sz w:val="28"/>
          <w:rtl/>
          <w:lang w:bidi="ar-SY"/>
        </w:rPr>
        <w:t xml:space="preserve"> </w:t>
      </w:r>
      <w:r w:rsidR="00FF6B1A" w:rsidRPr="003F3B94">
        <w:rPr>
          <w:rFonts w:hint="cs"/>
          <w:sz w:val="28"/>
          <w:rtl/>
          <w:lang w:bidi="ar-SY"/>
        </w:rPr>
        <w:t>يمنةً</w:t>
      </w:r>
      <w:r w:rsidR="00953581" w:rsidRPr="003F3B94">
        <w:rPr>
          <w:rFonts w:hint="cs"/>
          <w:sz w:val="28"/>
          <w:rtl/>
          <w:lang w:bidi="ar-SY"/>
        </w:rPr>
        <w:t xml:space="preserve"> </w:t>
      </w:r>
      <w:r w:rsidR="00FF6B1A" w:rsidRPr="003F3B94">
        <w:rPr>
          <w:rFonts w:hint="cs"/>
          <w:sz w:val="28"/>
          <w:rtl/>
          <w:lang w:bidi="ar-SY"/>
        </w:rPr>
        <w:t>ويسرةً</w:t>
      </w:r>
      <w:r w:rsidR="00953581" w:rsidRPr="003F3B94">
        <w:rPr>
          <w:rFonts w:hint="cs"/>
          <w:sz w:val="28"/>
          <w:rtl/>
          <w:lang w:bidi="ar-SY"/>
        </w:rPr>
        <w:t xml:space="preserve"> </w:t>
      </w:r>
      <w:r w:rsidR="00FF6B1A" w:rsidRPr="003F3B94">
        <w:rPr>
          <w:rFonts w:hint="cs"/>
          <w:sz w:val="28"/>
          <w:rtl/>
          <w:lang w:bidi="ar-SY"/>
        </w:rPr>
        <w:t>بالعاطفة</w:t>
      </w:r>
      <w:r w:rsidR="00953581" w:rsidRPr="003F3B94">
        <w:rPr>
          <w:rFonts w:hint="cs"/>
          <w:sz w:val="28"/>
          <w:rtl/>
          <w:lang w:bidi="ar-SY"/>
        </w:rPr>
        <w:t xml:space="preserve"> </w:t>
      </w:r>
      <w:r w:rsidR="00FF6B1A" w:rsidRPr="003F3B94">
        <w:rPr>
          <w:rFonts w:hint="cs"/>
          <w:sz w:val="28"/>
          <w:rtl/>
          <w:lang w:bidi="ar-SY"/>
        </w:rPr>
        <w:t>والمنطق</w:t>
      </w:r>
      <w:r w:rsidR="00953581" w:rsidRPr="003F3B94">
        <w:rPr>
          <w:rFonts w:hint="cs"/>
          <w:sz w:val="28"/>
          <w:rtl/>
          <w:lang w:bidi="ar-SY"/>
        </w:rPr>
        <w:t xml:space="preserve"> </w:t>
      </w:r>
      <w:r w:rsidR="00FF6B1A" w:rsidRPr="003F3B94">
        <w:rPr>
          <w:rFonts w:hint="cs"/>
          <w:sz w:val="28"/>
          <w:rtl/>
          <w:lang w:bidi="ar-SY"/>
        </w:rPr>
        <w:t>جعلت</w:t>
      </w:r>
      <w:r w:rsidR="00953581" w:rsidRPr="003F3B94">
        <w:rPr>
          <w:rFonts w:hint="cs"/>
          <w:sz w:val="28"/>
          <w:rtl/>
          <w:lang w:bidi="ar-SY"/>
        </w:rPr>
        <w:t xml:space="preserve"> </w:t>
      </w:r>
      <w:r w:rsidR="00FF6B1A" w:rsidRPr="003F3B94">
        <w:rPr>
          <w:rFonts w:hint="cs"/>
          <w:sz w:val="28"/>
          <w:rtl/>
          <w:lang w:bidi="ar-SY"/>
        </w:rPr>
        <w:t>ا</w:t>
      </w:r>
      <w:r w:rsidR="008A2A49" w:rsidRPr="003F3B94">
        <w:rPr>
          <w:rFonts w:hint="cs"/>
          <w:sz w:val="28"/>
          <w:rtl/>
          <w:lang w:bidi="ar-SY"/>
        </w:rPr>
        <w:t>لإ</w:t>
      </w:r>
      <w:r w:rsidR="00FF6B1A" w:rsidRPr="003F3B94">
        <w:rPr>
          <w:rFonts w:hint="cs"/>
          <w:sz w:val="28"/>
          <w:rtl/>
          <w:lang w:bidi="ar-SY"/>
        </w:rPr>
        <w:t>نسان</w:t>
      </w:r>
      <w:r w:rsidR="00953581" w:rsidRPr="003F3B94">
        <w:rPr>
          <w:rFonts w:hint="cs"/>
          <w:sz w:val="28"/>
          <w:rtl/>
          <w:lang w:bidi="ar-SY"/>
        </w:rPr>
        <w:t xml:space="preserve"> </w:t>
      </w:r>
      <w:r w:rsidR="00FF6B1A" w:rsidRPr="003F3B94">
        <w:rPr>
          <w:rFonts w:hint="cs"/>
          <w:sz w:val="28"/>
          <w:rtl/>
          <w:lang w:bidi="ar-SY"/>
        </w:rPr>
        <w:t>في</w:t>
      </w:r>
      <w:r w:rsidR="00953581" w:rsidRPr="003F3B94">
        <w:rPr>
          <w:rFonts w:hint="cs"/>
          <w:sz w:val="28"/>
          <w:rtl/>
          <w:lang w:bidi="ar-SY"/>
        </w:rPr>
        <w:t xml:space="preserve"> </w:t>
      </w:r>
      <w:r w:rsidR="00FF6B1A" w:rsidRPr="003F3B94">
        <w:rPr>
          <w:rFonts w:hint="cs"/>
          <w:sz w:val="28"/>
          <w:rtl/>
          <w:lang w:bidi="ar-SY"/>
        </w:rPr>
        <w:t>مسرح</w:t>
      </w:r>
      <w:r w:rsidR="00953581" w:rsidRPr="003F3B94">
        <w:rPr>
          <w:rFonts w:hint="cs"/>
          <w:sz w:val="28"/>
          <w:rtl/>
          <w:lang w:bidi="ar-SY"/>
        </w:rPr>
        <w:t xml:space="preserve"> </w:t>
      </w:r>
      <w:r w:rsidR="00FF6B1A" w:rsidRPr="003F3B94">
        <w:rPr>
          <w:rFonts w:hint="cs"/>
          <w:sz w:val="28"/>
          <w:rtl/>
          <w:lang w:bidi="ar-SY"/>
        </w:rPr>
        <w:t>الحياة</w:t>
      </w:r>
      <w:r w:rsidR="00953581" w:rsidRPr="003F3B94">
        <w:rPr>
          <w:rFonts w:hint="cs"/>
          <w:sz w:val="28"/>
          <w:rtl/>
          <w:lang w:bidi="ar-SY"/>
        </w:rPr>
        <w:t xml:space="preserve"> </w:t>
      </w:r>
      <w:r w:rsidR="00FF6B1A" w:rsidRPr="003F3B94">
        <w:rPr>
          <w:rFonts w:hint="cs"/>
          <w:sz w:val="28"/>
          <w:rtl/>
          <w:lang w:bidi="ar-SY"/>
        </w:rPr>
        <w:t>وفي</w:t>
      </w:r>
      <w:r w:rsidR="00953581" w:rsidRPr="003F3B94">
        <w:rPr>
          <w:rFonts w:hint="cs"/>
          <w:sz w:val="28"/>
          <w:rtl/>
          <w:lang w:bidi="ar-SY"/>
        </w:rPr>
        <w:t xml:space="preserve"> </w:t>
      </w:r>
      <w:r w:rsidR="00FF6B1A" w:rsidRPr="003F3B94">
        <w:rPr>
          <w:rFonts w:hint="cs"/>
          <w:sz w:val="28"/>
          <w:rtl/>
          <w:lang w:bidi="ar-SY"/>
        </w:rPr>
        <w:t>معمعة</w:t>
      </w:r>
      <w:r w:rsidR="00953581" w:rsidRPr="003F3B94">
        <w:rPr>
          <w:rFonts w:hint="cs"/>
          <w:sz w:val="28"/>
          <w:rtl/>
          <w:lang w:bidi="ar-SY"/>
        </w:rPr>
        <w:t xml:space="preserve"> </w:t>
      </w:r>
      <w:r w:rsidR="00FF6B1A" w:rsidRPr="003F3B94">
        <w:rPr>
          <w:rFonts w:hint="cs"/>
          <w:sz w:val="28"/>
          <w:rtl/>
          <w:lang w:bidi="ar-SY"/>
        </w:rPr>
        <w:t>أعمال</w:t>
      </w:r>
      <w:r w:rsidR="00953581" w:rsidRPr="003F3B94">
        <w:rPr>
          <w:rFonts w:hint="cs"/>
          <w:sz w:val="28"/>
          <w:rtl/>
          <w:lang w:bidi="ar-SY"/>
        </w:rPr>
        <w:t xml:space="preserve"> </w:t>
      </w:r>
      <w:r w:rsidRPr="003F3B94">
        <w:rPr>
          <w:rFonts w:hint="cs"/>
          <w:sz w:val="28"/>
          <w:rtl/>
          <w:lang w:bidi="ar-SY"/>
        </w:rPr>
        <w:t>معيشته</w:t>
      </w:r>
      <w:r w:rsidR="00953581" w:rsidRPr="003F3B94">
        <w:rPr>
          <w:rFonts w:hint="cs"/>
          <w:sz w:val="28"/>
          <w:rtl/>
          <w:lang w:bidi="ar-SY"/>
        </w:rPr>
        <w:t xml:space="preserve"> </w:t>
      </w:r>
      <w:r w:rsidR="00FF6B1A" w:rsidRPr="003F3B94">
        <w:rPr>
          <w:rFonts w:hint="cs"/>
          <w:sz w:val="28"/>
          <w:rtl/>
          <w:lang w:bidi="ar-SY"/>
        </w:rPr>
        <w:t>تختلط</w:t>
      </w:r>
      <w:r w:rsidR="00953581" w:rsidRPr="003F3B94">
        <w:rPr>
          <w:rFonts w:hint="cs"/>
          <w:sz w:val="28"/>
          <w:rtl/>
          <w:lang w:bidi="ar-SY"/>
        </w:rPr>
        <w:t xml:space="preserve"> </w:t>
      </w:r>
      <w:r w:rsidR="00FF6B1A" w:rsidRPr="003F3B94">
        <w:rPr>
          <w:rFonts w:hint="cs"/>
          <w:sz w:val="28"/>
          <w:rtl/>
          <w:lang w:bidi="ar-SY"/>
        </w:rPr>
        <w:t>أفعاله</w:t>
      </w:r>
      <w:r w:rsidR="00953581" w:rsidRPr="003F3B94">
        <w:rPr>
          <w:rFonts w:hint="cs"/>
          <w:sz w:val="28"/>
          <w:rtl/>
          <w:lang w:bidi="ar-SY"/>
        </w:rPr>
        <w:t xml:space="preserve"> </w:t>
      </w:r>
      <w:r w:rsidR="00FF6B1A" w:rsidRPr="003F3B94">
        <w:rPr>
          <w:rFonts w:hint="cs"/>
          <w:sz w:val="28"/>
          <w:rtl/>
          <w:lang w:bidi="ar-SY"/>
        </w:rPr>
        <w:t>الحكيمة</w:t>
      </w:r>
      <w:r w:rsidR="00953581" w:rsidRPr="003F3B94">
        <w:rPr>
          <w:rFonts w:hint="cs"/>
          <w:sz w:val="28"/>
          <w:rtl/>
          <w:lang w:bidi="ar-SY"/>
        </w:rPr>
        <w:t xml:space="preserve"> </w:t>
      </w:r>
      <w:r w:rsidR="00FF6B1A" w:rsidRPr="003F3B94">
        <w:rPr>
          <w:rFonts w:hint="cs"/>
          <w:sz w:val="28"/>
          <w:rtl/>
          <w:lang w:bidi="ar-SY"/>
        </w:rPr>
        <w:t>بأفعاله</w:t>
      </w:r>
      <w:r w:rsidR="00953581" w:rsidRPr="003F3B94">
        <w:rPr>
          <w:rFonts w:hint="cs"/>
          <w:sz w:val="28"/>
          <w:rtl/>
          <w:lang w:bidi="ar-SY"/>
        </w:rPr>
        <w:t xml:space="preserve"> </w:t>
      </w:r>
      <w:r w:rsidR="00FF6B1A" w:rsidRPr="003F3B94">
        <w:rPr>
          <w:rFonts w:hint="cs"/>
          <w:sz w:val="28"/>
          <w:rtl/>
          <w:lang w:bidi="ar-SY"/>
        </w:rPr>
        <w:t>الجنونية</w:t>
      </w:r>
      <w:r w:rsidR="00953581" w:rsidRPr="003F3B94">
        <w:rPr>
          <w:rFonts w:hint="cs"/>
          <w:sz w:val="28"/>
          <w:rtl/>
          <w:lang w:bidi="ar-SY"/>
        </w:rPr>
        <w:t xml:space="preserve"> </w:t>
      </w:r>
      <w:r w:rsidR="006A7BC0" w:rsidRPr="003F3B94">
        <w:rPr>
          <w:rFonts w:hint="cs"/>
          <w:sz w:val="28"/>
          <w:rtl/>
          <w:lang w:bidi="ar-SY"/>
        </w:rPr>
        <w:t>وتمتزج</w:t>
      </w:r>
      <w:r w:rsidR="00953581" w:rsidRPr="003F3B94">
        <w:rPr>
          <w:rFonts w:hint="cs"/>
          <w:sz w:val="28"/>
          <w:rtl/>
          <w:lang w:bidi="ar-SY"/>
        </w:rPr>
        <w:t xml:space="preserve"> </w:t>
      </w:r>
      <w:r w:rsidR="006A7BC0" w:rsidRPr="003F3B94">
        <w:rPr>
          <w:rFonts w:hint="cs"/>
          <w:sz w:val="28"/>
          <w:rtl/>
          <w:lang w:bidi="ar-SY"/>
        </w:rPr>
        <w:t>ببعضها</w:t>
      </w:r>
      <w:r w:rsidR="00953581" w:rsidRPr="003F3B94">
        <w:rPr>
          <w:rFonts w:hint="cs"/>
          <w:sz w:val="28"/>
          <w:rtl/>
          <w:lang w:bidi="ar-SY"/>
        </w:rPr>
        <w:t xml:space="preserve"> </w:t>
      </w:r>
      <w:r w:rsidR="006A7BC0" w:rsidRPr="003F3B94">
        <w:rPr>
          <w:rFonts w:hint="cs"/>
          <w:sz w:val="28"/>
          <w:rtl/>
          <w:lang w:bidi="ar-SY"/>
        </w:rPr>
        <w:t>حتى</w:t>
      </w:r>
      <w:r w:rsidR="00953581" w:rsidRPr="003F3B94">
        <w:rPr>
          <w:rFonts w:hint="cs"/>
          <w:sz w:val="28"/>
          <w:rtl/>
          <w:lang w:bidi="ar-SY"/>
        </w:rPr>
        <w:t xml:space="preserve"> </w:t>
      </w:r>
      <w:r w:rsidR="006A7BC0" w:rsidRPr="003F3B94">
        <w:rPr>
          <w:rFonts w:hint="cs"/>
          <w:sz w:val="28"/>
          <w:rtl/>
          <w:lang w:bidi="ar-SY"/>
        </w:rPr>
        <w:t>لكأن</w:t>
      </w:r>
      <w:r w:rsidR="00953581" w:rsidRPr="003F3B94">
        <w:rPr>
          <w:rFonts w:hint="cs"/>
          <w:sz w:val="28"/>
          <w:rtl/>
          <w:lang w:bidi="ar-SY"/>
        </w:rPr>
        <w:t xml:space="preserve"> </w:t>
      </w:r>
      <w:r w:rsidR="006A7BC0" w:rsidRPr="003F3B94">
        <w:rPr>
          <w:rFonts w:hint="cs"/>
          <w:sz w:val="28"/>
          <w:rtl/>
          <w:lang w:bidi="ar-SY"/>
        </w:rPr>
        <w:t>الطبيعة</w:t>
      </w:r>
      <w:r w:rsidR="00953581" w:rsidRPr="003F3B94">
        <w:rPr>
          <w:rFonts w:hint="cs"/>
          <w:sz w:val="28"/>
          <w:rtl/>
          <w:lang w:bidi="ar-SY"/>
        </w:rPr>
        <w:t xml:space="preserve"> </w:t>
      </w:r>
      <w:r w:rsidR="006A7BC0" w:rsidRPr="003F3B94">
        <w:rPr>
          <w:rFonts w:hint="cs"/>
          <w:sz w:val="28"/>
          <w:rtl/>
          <w:lang w:bidi="ar-SY"/>
        </w:rPr>
        <w:t>تسخر</w:t>
      </w:r>
      <w:r w:rsidR="00953581" w:rsidRPr="003F3B94">
        <w:rPr>
          <w:rFonts w:hint="cs"/>
          <w:sz w:val="28"/>
          <w:rtl/>
          <w:lang w:bidi="ar-SY"/>
        </w:rPr>
        <w:t xml:space="preserve"> </w:t>
      </w:r>
      <w:r w:rsidR="006A7BC0" w:rsidRPr="003F3B94">
        <w:rPr>
          <w:rFonts w:hint="cs"/>
          <w:sz w:val="28"/>
          <w:rtl/>
          <w:lang w:bidi="ar-SY"/>
        </w:rPr>
        <w:t>منه</w:t>
      </w:r>
      <w:r w:rsidR="00953581" w:rsidRPr="003F3B94">
        <w:rPr>
          <w:rFonts w:hint="cs"/>
          <w:sz w:val="28"/>
          <w:rtl/>
          <w:lang w:bidi="ar-SY"/>
        </w:rPr>
        <w:t xml:space="preserve"> </w:t>
      </w:r>
      <w:r w:rsidR="006A7BC0" w:rsidRPr="003F3B94">
        <w:rPr>
          <w:rFonts w:hint="cs"/>
          <w:sz w:val="28"/>
          <w:rtl/>
          <w:lang w:bidi="ar-SY"/>
        </w:rPr>
        <w:t>وتستهز</w:t>
      </w:r>
      <w:r w:rsidR="00795504" w:rsidRPr="003F3B94">
        <w:rPr>
          <w:rFonts w:hint="cs"/>
          <w:sz w:val="28"/>
          <w:rtl/>
          <w:lang w:bidi="ar-SY"/>
        </w:rPr>
        <w:t>ئ</w:t>
      </w:r>
      <w:r w:rsidR="00953581" w:rsidRPr="003F3B94">
        <w:rPr>
          <w:rFonts w:hint="cs"/>
          <w:sz w:val="28"/>
          <w:rtl/>
          <w:lang w:bidi="ar-SY"/>
        </w:rPr>
        <w:t xml:space="preserve"> </w:t>
      </w:r>
      <w:r w:rsidR="006A7BC0" w:rsidRPr="003F3B94">
        <w:rPr>
          <w:rFonts w:hint="cs"/>
          <w:sz w:val="28"/>
          <w:rtl/>
          <w:lang w:bidi="ar-SY"/>
        </w:rPr>
        <w:t>به</w:t>
      </w:r>
      <w:r w:rsidR="00953581" w:rsidRPr="003F3B94">
        <w:rPr>
          <w:rFonts w:hint="cs"/>
          <w:sz w:val="28"/>
          <w:rtl/>
          <w:lang w:bidi="ar-SY"/>
        </w:rPr>
        <w:t xml:space="preserve"> </w:t>
      </w:r>
      <w:r w:rsidR="006A7BC0" w:rsidRPr="003F3B94">
        <w:rPr>
          <w:rFonts w:hint="cs"/>
          <w:sz w:val="28"/>
          <w:rtl/>
          <w:lang w:bidi="ar-SY"/>
        </w:rPr>
        <w:t>أو</w:t>
      </w:r>
      <w:r w:rsidR="00953581" w:rsidRPr="003F3B94">
        <w:rPr>
          <w:rFonts w:hint="cs"/>
          <w:sz w:val="28"/>
          <w:rtl/>
          <w:lang w:bidi="ar-SY"/>
        </w:rPr>
        <w:t xml:space="preserve"> </w:t>
      </w:r>
      <w:r w:rsidR="006A7BC0" w:rsidRPr="003F3B94">
        <w:rPr>
          <w:rFonts w:hint="cs"/>
          <w:sz w:val="28"/>
          <w:rtl/>
          <w:lang w:bidi="ar-SY"/>
        </w:rPr>
        <w:t>تمزح</w:t>
      </w:r>
      <w:r w:rsidR="00953581" w:rsidRPr="003F3B94">
        <w:rPr>
          <w:rFonts w:hint="cs"/>
          <w:sz w:val="28"/>
          <w:rtl/>
          <w:lang w:bidi="ar-SY"/>
        </w:rPr>
        <w:t xml:space="preserve"> </w:t>
      </w:r>
      <w:r w:rsidR="006A7BC0" w:rsidRPr="003F3B94">
        <w:rPr>
          <w:rFonts w:hint="cs"/>
          <w:sz w:val="28"/>
          <w:rtl/>
          <w:lang w:bidi="ar-SY"/>
        </w:rPr>
        <w:t>معه</w:t>
      </w:r>
      <w:r w:rsidR="00217AB4" w:rsidRPr="003F3B94">
        <w:rPr>
          <w:rFonts w:hint="cs"/>
          <w:sz w:val="28"/>
          <w:rtl/>
          <w:lang w:bidi="ar-SY"/>
        </w:rPr>
        <w:t>.</w:t>
      </w:r>
      <w:r w:rsidR="00953581" w:rsidRPr="003F3B94">
        <w:rPr>
          <w:rFonts w:hint="cs"/>
          <w:sz w:val="28"/>
          <w:rtl/>
          <w:lang w:bidi="ar-SY"/>
        </w:rPr>
        <w:t xml:space="preserve"> </w:t>
      </w:r>
    </w:p>
    <w:p w:rsidR="00A70F6D" w:rsidRPr="003F3B94" w:rsidRDefault="006E0D7D" w:rsidP="003F3B94">
      <w:pPr>
        <w:pStyle w:val="a0"/>
        <w:rPr>
          <w:rFonts w:hint="cs"/>
          <w:rtl/>
          <w:lang w:bidi="ar-SY"/>
        </w:rPr>
      </w:pPr>
      <w:r w:rsidRPr="003F3B94">
        <w:rPr>
          <w:rFonts w:hint="cs"/>
          <w:sz w:val="28"/>
          <w:rtl/>
          <w:lang w:bidi="ar-SY"/>
        </w:rPr>
        <w:t>وأياً</w:t>
      </w:r>
      <w:r w:rsidR="00953581" w:rsidRPr="003F3B94">
        <w:rPr>
          <w:rFonts w:hint="cs"/>
          <w:sz w:val="28"/>
          <w:rtl/>
          <w:lang w:bidi="ar-SY"/>
        </w:rPr>
        <w:t xml:space="preserve"> </w:t>
      </w:r>
      <w:r w:rsidRPr="003F3B94">
        <w:rPr>
          <w:rFonts w:hint="cs"/>
          <w:sz w:val="28"/>
          <w:rtl/>
          <w:lang w:bidi="ar-SY"/>
        </w:rPr>
        <w:t>كان</w:t>
      </w:r>
      <w:r w:rsidR="00953581" w:rsidRPr="003F3B94">
        <w:rPr>
          <w:rFonts w:hint="cs"/>
          <w:sz w:val="28"/>
          <w:rtl/>
          <w:lang w:bidi="ar-SY"/>
        </w:rPr>
        <w:t xml:space="preserve"> </w:t>
      </w:r>
      <w:r w:rsidRPr="003F3B94">
        <w:rPr>
          <w:rFonts w:hint="cs"/>
          <w:sz w:val="28"/>
          <w:rtl/>
          <w:lang w:bidi="ar-SY"/>
        </w:rPr>
        <w:t>ا</w:t>
      </w:r>
      <w:r w:rsidR="008A2A49" w:rsidRPr="003F3B94">
        <w:rPr>
          <w:rFonts w:hint="cs"/>
          <w:sz w:val="28"/>
          <w:rtl/>
          <w:lang w:bidi="ar-SY"/>
        </w:rPr>
        <w:t>لأ</w:t>
      </w:r>
      <w:r w:rsidRPr="003F3B94">
        <w:rPr>
          <w:rFonts w:hint="cs"/>
          <w:sz w:val="28"/>
          <w:rtl/>
          <w:lang w:bidi="ar-SY"/>
        </w:rPr>
        <w:t>مر</w:t>
      </w:r>
      <w:r w:rsidR="00953581" w:rsidRPr="003F3B94">
        <w:rPr>
          <w:rFonts w:hint="cs"/>
          <w:sz w:val="28"/>
          <w:rtl/>
          <w:lang w:bidi="ar-SY"/>
        </w:rPr>
        <w:t xml:space="preserve"> </w:t>
      </w:r>
      <w:r w:rsidRPr="003F3B94">
        <w:rPr>
          <w:rFonts w:hint="cs"/>
          <w:sz w:val="28"/>
          <w:rtl/>
          <w:lang w:bidi="ar-SY"/>
        </w:rPr>
        <w:t>فإن</w:t>
      </w:r>
      <w:r w:rsidR="00953581" w:rsidRPr="003F3B94">
        <w:rPr>
          <w:rFonts w:hint="cs"/>
          <w:sz w:val="28"/>
          <w:rtl/>
          <w:lang w:bidi="ar-SY"/>
        </w:rPr>
        <w:t xml:space="preserve"> </w:t>
      </w:r>
      <w:r w:rsidRPr="003F3B94">
        <w:rPr>
          <w:rFonts w:hint="cs"/>
          <w:sz w:val="28"/>
          <w:rtl/>
          <w:lang w:bidi="ar-SY"/>
        </w:rPr>
        <w:t>هذا</w:t>
      </w:r>
      <w:r w:rsidR="00953581" w:rsidRPr="003F3B94">
        <w:rPr>
          <w:rFonts w:hint="cs"/>
          <w:sz w:val="28"/>
          <w:rtl/>
          <w:lang w:bidi="ar-SY"/>
        </w:rPr>
        <w:t xml:space="preserve"> </w:t>
      </w:r>
      <w:r w:rsidRPr="003F3B94">
        <w:rPr>
          <w:rFonts w:hint="cs"/>
          <w:sz w:val="28"/>
          <w:rtl/>
          <w:lang w:bidi="ar-SY"/>
        </w:rPr>
        <w:t>ا</w:t>
      </w:r>
      <w:r w:rsidR="008A2A49" w:rsidRPr="003F3B94">
        <w:rPr>
          <w:rFonts w:hint="cs"/>
          <w:sz w:val="28"/>
          <w:rtl/>
          <w:lang w:bidi="ar-SY"/>
        </w:rPr>
        <w:t>لإ</w:t>
      </w:r>
      <w:r w:rsidRPr="003F3B94">
        <w:rPr>
          <w:rFonts w:hint="cs"/>
          <w:sz w:val="28"/>
          <w:rtl/>
          <w:lang w:bidi="ar-SY"/>
        </w:rPr>
        <w:t>نسان</w:t>
      </w:r>
      <w:r w:rsidR="00953581" w:rsidRPr="003F3B94">
        <w:rPr>
          <w:rFonts w:hint="cs"/>
          <w:sz w:val="28"/>
          <w:rtl/>
          <w:lang w:bidi="ar-SY"/>
        </w:rPr>
        <w:t xml:space="preserve"> </w:t>
      </w:r>
      <w:r w:rsidRPr="003F3B94">
        <w:rPr>
          <w:rFonts w:hint="cs"/>
          <w:sz w:val="28"/>
          <w:rtl/>
          <w:lang w:bidi="ar-SY"/>
        </w:rPr>
        <w:t>يعيش</w:t>
      </w:r>
      <w:r w:rsidR="00953581" w:rsidRPr="003F3B94">
        <w:rPr>
          <w:rFonts w:hint="cs"/>
          <w:sz w:val="28"/>
          <w:rtl/>
          <w:lang w:bidi="ar-SY"/>
        </w:rPr>
        <w:t xml:space="preserve"> </w:t>
      </w:r>
      <w:r w:rsidRPr="003F3B94">
        <w:rPr>
          <w:rFonts w:hint="cs"/>
          <w:sz w:val="28"/>
          <w:rtl/>
          <w:lang w:bidi="ar-SY"/>
        </w:rPr>
        <w:t>في</w:t>
      </w:r>
      <w:r w:rsidR="00953581" w:rsidRPr="003F3B94">
        <w:rPr>
          <w:rFonts w:hint="cs"/>
          <w:sz w:val="28"/>
          <w:rtl/>
          <w:lang w:bidi="ar-SY"/>
        </w:rPr>
        <w:t xml:space="preserve"> </w:t>
      </w:r>
      <w:r w:rsidRPr="003F3B94">
        <w:rPr>
          <w:rFonts w:hint="cs"/>
          <w:sz w:val="28"/>
          <w:rtl/>
          <w:lang w:bidi="ar-SY"/>
        </w:rPr>
        <w:t>بحثٍ</w:t>
      </w:r>
      <w:r w:rsidR="00953581" w:rsidRPr="003F3B94">
        <w:rPr>
          <w:rFonts w:hint="cs"/>
          <w:sz w:val="28"/>
          <w:rtl/>
          <w:lang w:bidi="ar-SY"/>
        </w:rPr>
        <w:t xml:space="preserve"> </w:t>
      </w:r>
      <w:r w:rsidRPr="003F3B94">
        <w:rPr>
          <w:rFonts w:hint="cs"/>
          <w:sz w:val="28"/>
          <w:rtl/>
          <w:lang w:bidi="ar-SY"/>
        </w:rPr>
        <w:t>وسعيٍ</w:t>
      </w:r>
      <w:r w:rsidR="00953581" w:rsidRPr="003F3B94">
        <w:rPr>
          <w:rFonts w:hint="cs"/>
          <w:sz w:val="28"/>
          <w:rtl/>
          <w:lang w:bidi="ar-SY"/>
        </w:rPr>
        <w:t xml:space="preserve"> </w:t>
      </w:r>
      <w:r w:rsidRPr="003F3B94">
        <w:rPr>
          <w:rFonts w:hint="cs"/>
          <w:sz w:val="28"/>
          <w:rtl/>
          <w:lang w:bidi="ar-SY"/>
        </w:rPr>
        <w:t>دائ</w:t>
      </w:r>
      <w:r w:rsidR="002C7C1B" w:rsidRPr="003F3B94">
        <w:rPr>
          <w:rFonts w:hint="cs"/>
          <w:sz w:val="28"/>
          <w:rtl/>
          <w:lang w:bidi="ar-SY"/>
        </w:rPr>
        <w:t>ب</w:t>
      </w:r>
      <w:r w:rsidRPr="003F3B94">
        <w:rPr>
          <w:rFonts w:hint="cs"/>
          <w:sz w:val="28"/>
          <w:rtl/>
          <w:lang w:bidi="ar-SY"/>
        </w:rPr>
        <w:t>ين</w:t>
      </w:r>
      <w:r w:rsidR="00953581" w:rsidRPr="003F3B94">
        <w:rPr>
          <w:rFonts w:hint="cs"/>
          <w:sz w:val="28"/>
          <w:rtl/>
          <w:lang w:bidi="ar-SY"/>
        </w:rPr>
        <w:t xml:space="preserve"> </w:t>
      </w:r>
      <w:r w:rsidRPr="003F3B94">
        <w:rPr>
          <w:rFonts w:hint="cs"/>
          <w:sz w:val="28"/>
          <w:rtl/>
          <w:lang w:bidi="ar-SY"/>
        </w:rPr>
        <w:t>كي</w:t>
      </w:r>
      <w:r w:rsidR="00953581" w:rsidRPr="003F3B94">
        <w:rPr>
          <w:rFonts w:hint="cs"/>
          <w:sz w:val="28"/>
          <w:rtl/>
          <w:lang w:bidi="ar-SY"/>
        </w:rPr>
        <w:t xml:space="preserve"> </w:t>
      </w:r>
      <w:r w:rsidRPr="003F3B94">
        <w:rPr>
          <w:rFonts w:hint="cs"/>
          <w:sz w:val="28"/>
          <w:rtl/>
          <w:lang w:bidi="ar-SY"/>
        </w:rPr>
        <w:t>يصل</w:t>
      </w:r>
      <w:r w:rsidR="00953581" w:rsidRPr="003F3B94">
        <w:rPr>
          <w:rFonts w:hint="cs"/>
          <w:sz w:val="28"/>
          <w:rtl/>
          <w:lang w:bidi="ar-SY"/>
        </w:rPr>
        <w:t xml:space="preserve"> </w:t>
      </w:r>
      <w:r w:rsidRPr="003F3B94">
        <w:rPr>
          <w:rFonts w:hint="cs"/>
          <w:sz w:val="28"/>
          <w:rtl/>
          <w:lang w:bidi="ar-SY"/>
        </w:rPr>
        <w:t>إلى</w:t>
      </w:r>
      <w:r w:rsidR="00953581" w:rsidRPr="003F3B94">
        <w:rPr>
          <w:rFonts w:hint="cs"/>
          <w:sz w:val="28"/>
          <w:rtl/>
          <w:lang w:bidi="ar-SY"/>
        </w:rPr>
        <w:t xml:space="preserve"> </w:t>
      </w:r>
      <w:r w:rsidRPr="003F3B94">
        <w:rPr>
          <w:rFonts w:hint="cs"/>
          <w:sz w:val="28"/>
          <w:rtl/>
          <w:lang w:bidi="ar-SY"/>
        </w:rPr>
        <w:t>شيءٍ</w:t>
      </w:r>
      <w:r w:rsidR="00953581" w:rsidRPr="003F3B94">
        <w:rPr>
          <w:rFonts w:hint="cs"/>
          <w:sz w:val="28"/>
          <w:rtl/>
          <w:lang w:bidi="ar-SY"/>
        </w:rPr>
        <w:t xml:space="preserve"> </w:t>
      </w:r>
      <w:r w:rsidRPr="003F3B94">
        <w:rPr>
          <w:rFonts w:hint="cs"/>
          <w:sz w:val="28"/>
          <w:rtl/>
          <w:lang w:bidi="ar-SY"/>
        </w:rPr>
        <w:t>ي</w:t>
      </w:r>
      <w:r w:rsidR="002C7C1B" w:rsidRPr="003F3B94">
        <w:rPr>
          <w:rFonts w:hint="cs"/>
          <w:sz w:val="28"/>
          <w:rtl/>
          <w:lang w:bidi="ar-SY"/>
        </w:rPr>
        <w:t>ُ</w:t>
      </w:r>
      <w:r w:rsidRPr="003F3B94">
        <w:rPr>
          <w:rFonts w:hint="cs"/>
          <w:sz w:val="28"/>
          <w:rtl/>
          <w:lang w:bidi="ar-SY"/>
        </w:rPr>
        <w:t>س</w:t>
      </w:r>
      <w:r w:rsidR="002C7C1B" w:rsidRPr="003F3B94">
        <w:rPr>
          <w:rFonts w:hint="cs"/>
          <w:sz w:val="28"/>
          <w:rtl/>
          <w:lang w:bidi="ar-SY"/>
        </w:rPr>
        <w:t>َ</w:t>
      </w:r>
      <w:r w:rsidRPr="003F3B94">
        <w:rPr>
          <w:rFonts w:hint="cs"/>
          <w:sz w:val="28"/>
          <w:rtl/>
          <w:lang w:bidi="ar-SY"/>
        </w:rPr>
        <w:t>ك</w:t>
      </w:r>
      <w:r w:rsidR="002C7C1B" w:rsidRPr="003F3B94">
        <w:rPr>
          <w:rFonts w:hint="cs"/>
          <w:sz w:val="28"/>
          <w:rtl/>
          <w:lang w:bidi="ar-SY"/>
        </w:rPr>
        <w:t>ِّ</w:t>
      </w:r>
      <w:r w:rsidRPr="003F3B94">
        <w:rPr>
          <w:rFonts w:hint="cs"/>
          <w:sz w:val="28"/>
          <w:rtl/>
          <w:lang w:bidi="ar-SY"/>
        </w:rPr>
        <w:t>ن</w:t>
      </w:r>
      <w:r w:rsidR="00953581" w:rsidRPr="003F3B94">
        <w:rPr>
          <w:rFonts w:hint="cs"/>
          <w:sz w:val="28"/>
          <w:rtl/>
          <w:lang w:bidi="ar-SY"/>
        </w:rPr>
        <w:t xml:space="preserve"> </w:t>
      </w:r>
      <w:r w:rsidRPr="003F3B94">
        <w:rPr>
          <w:rFonts w:hint="cs"/>
          <w:sz w:val="28"/>
          <w:rtl/>
          <w:lang w:bidi="ar-SY"/>
        </w:rPr>
        <w:t>روحه</w:t>
      </w:r>
      <w:r w:rsidR="00953581" w:rsidRPr="003F3B94">
        <w:rPr>
          <w:rFonts w:hint="cs"/>
          <w:sz w:val="28"/>
          <w:rtl/>
          <w:lang w:bidi="ar-SY"/>
        </w:rPr>
        <w:t xml:space="preserve"> </w:t>
      </w:r>
      <w:r w:rsidRPr="003F3B94">
        <w:rPr>
          <w:rFonts w:hint="cs"/>
          <w:sz w:val="28"/>
          <w:rtl/>
          <w:lang w:bidi="ar-SY"/>
        </w:rPr>
        <w:t>الهائجة</w:t>
      </w:r>
      <w:r w:rsidR="00953581" w:rsidRPr="003F3B94">
        <w:rPr>
          <w:rFonts w:hint="cs"/>
          <w:sz w:val="28"/>
          <w:rtl/>
          <w:lang w:bidi="ar-SY"/>
        </w:rPr>
        <w:t xml:space="preserve"> </w:t>
      </w:r>
      <w:r w:rsidRPr="003F3B94">
        <w:rPr>
          <w:rFonts w:hint="cs"/>
          <w:sz w:val="28"/>
          <w:rtl/>
          <w:lang w:bidi="ar-SY"/>
        </w:rPr>
        <w:t>المضطربة</w:t>
      </w:r>
      <w:r w:rsidR="00953581" w:rsidRPr="003F3B94">
        <w:rPr>
          <w:rFonts w:hint="cs"/>
          <w:sz w:val="28"/>
          <w:rtl/>
          <w:lang w:bidi="ar-SY"/>
        </w:rPr>
        <w:t xml:space="preserve"> </w:t>
      </w:r>
      <w:r w:rsidRPr="003F3B94">
        <w:rPr>
          <w:rFonts w:hint="cs"/>
          <w:sz w:val="28"/>
          <w:rtl/>
          <w:lang w:bidi="ar-SY"/>
        </w:rPr>
        <w:t>ويهد</w:t>
      </w:r>
      <w:r w:rsidR="002C7C1B" w:rsidRPr="003F3B94">
        <w:rPr>
          <w:rFonts w:hint="cs"/>
          <w:sz w:val="28"/>
          <w:rtl/>
          <w:lang w:bidi="ar-SY"/>
        </w:rPr>
        <w:t>ِّئُ</w:t>
      </w:r>
      <w:r w:rsidR="00953581" w:rsidRPr="003F3B94">
        <w:rPr>
          <w:rFonts w:hint="cs"/>
          <w:sz w:val="28"/>
          <w:rtl/>
          <w:lang w:bidi="ar-SY"/>
        </w:rPr>
        <w:t xml:space="preserve"> </w:t>
      </w:r>
      <w:r w:rsidRPr="003F3B94">
        <w:rPr>
          <w:rFonts w:hint="cs"/>
          <w:sz w:val="28"/>
          <w:rtl/>
          <w:lang w:bidi="ar-SY"/>
        </w:rPr>
        <w:t>ذهنه</w:t>
      </w:r>
      <w:r w:rsidR="00953581" w:rsidRPr="003F3B94">
        <w:rPr>
          <w:rFonts w:hint="cs"/>
          <w:sz w:val="28"/>
          <w:rtl/>
          <w:lang w:bidi="ar-SY"/>
        </w:rPr>
        <w:t xml:space="preserve"> </w:t>
      </w:r>
      <w:r w:rsidRPr="003F3B94">
        <w:rPr>
          <w:rFonts w:hint="cs"/>
          <w:sz w:val="28"/>
          <w:rtl/>
          <w:lang w:bidi="ar-SY"/>
        </w:rPr>
        <w:t>المشوش</w:t>
      </w:r>
      <w:r w:rsidR="00953581" w:rsidRPr="003F3B94">
        <w:rPr>
          <w:rFonts w:hint="cs"/>
          <w:sz w:val="28"/>
          <w:rtl/>
          <w:lang w:bidi="ar-SY"/>
        </w:rPr>
        <w:t xml:space="preserve"> </w:t>
      </w:r>
      <w:r w:rsidRPr="003F3B94">
        <w:rPr>
          <w:rFonts w:hint="cs"/>
          <w:sz w:val="28"/>
          <w:rtl/>
          <w:lang w:bidi="ar-SY"/>
        </w:rPr>
        <w:t>المتزلزل</w:t>
      </w:r>
      <w:r w:rsidR="00217AB4" w:rsidRPr="003F3B94">
        <w:rPr>
          <w:rFonts w:hint="cs"/>
          <w:sz w:val="28"/>
          <w:rtl/>
          <w:lang w:bidi="ar-SY"/>
        </w:rPr>
        <w:t>.</w:t>
      </w:r>
      <w:r w:rsidR="00953581" w:rsidRPr="003F3B94">
        <w:rPr>
          <w:rFonts w:hint="cs"/>
          <w:sz w:val="28"/>
          <w:rtl/>
          <w:lang w:bidi="ar-SY"/>
        </w:rPr>
        <w:t xml:space="preserve"> </w:t>
      </w:r>
      <w:r w:rsidRPr="003F3B94">
        <w:rPr>
          <w:rFonts w:hint="cs"/>
          <w:sz w:val="28"/>
          <w:rtl/>
          <w:lang w:bidi="ar-SY"/>
        </w:rPr>
        <w:t>ويبدو</w:t>
      </w:r>
      <w:r w:rsidR="00953581" w:rsidRPr="003F3B94">
        <w:rPr>
          <w:rFonts w:hint="cs"/>
          <w:sz w:val="28"/>
          <w:rtl/>
          <w:lang w:bidi="ar-SY"/>
        </w:rPr>
        <w:t xml:space="preserve"> </w:t>
      </w:r>
      <w:r w:rsidRPr="003F3B94">
        <w:rPr>
          <w:rFonts w:hint="cs"/>
          <w:sz w:val="28"/>
          <w:rtl/>
          <w:lang w:bidi="ar-SY"/>
        </w:rPr>
        <w:t>أنه</w:t>
      </w:r>
      <w:r w:rsidR="00953581" w:rsidRPr="003F3B94">
        <w:rPr>
          <w:rFonts w:hint="cs"/>
          <w:sz w:val="28"/>
          <w:rtl/>
          <w:lang w:bidi="ar-SY"/>
        </w:rPr>
        <w:t xml:space="preserve"> </w:t>
      </w:r>
      <w:r w:rsidR="002C7C1B" w:rsidRPr="003F3B94">
        <w:rPr>
          <w:rFonts w:hint="cs"/>
          <w:sz w:val="28"/>
          <w:rtl/>
          <w:lang w:bidi="ar-SY"/>
        </w:rPr>
        <w:t>لو</w:t>
      </w:r>
      <w:r w:rsidR="00953581" w:rsidRPr="003F3B94">
        <w:rPr>
          <w:rFonts w:hint="cs"/>
          <w:sz w:val="28"/>
          <w:rtl/>
          <w:lang w:bidi="ar-SY"/>
        </w:rPr>
        <w:t xml:space="preserve"> </w:t>
      </w:r>
      <w:r w:rsidR="0093535C" w:rsidRPr="003F3B94">
        <w:rPr>
          <w:rFonts w:hint="cs"/>
          <w:sz w:val="28"/>
          <w:rtl/>
          <w:lang w:bidi="ar-SY"/>
        </w:rPr>
        <w:t>حقق</w:t>
      </w:r>
      <w:r w:rsidR="00953581" w:rsidRPr="003F3B94">
        <w:rPr>
          <w:rFonts w:hint="cs"/>
          <w:sz w:val="28"/>
          <w:rtl/>
          <w:lang w:bidi="ar-SY"/>
        </w:rPr>
        <w:t xml:space="preserve"> </w:t>
      </w:r>
      <w:r w:rsidRPr="003F3B94">
        <w:rPr>
          <w:rFonts w:hint="cs"/>
          <w:sz w:val="28"/>
          <w:rtl/>
          <w:lang w:bidi="ar-SY"/>
        </w:rPr>
        <w:t>أمله</w:t>
      </w:r>
      <w:r w:rsidR="00953581" w:rsidRPr="003F3B94">
        <w:rPr>
          <w:rFonts w:hint="cs"/>
          <w:sz w:val="28"/>
          <w:rtl/>
          <w:lang w:bidi="ar-SY"/>
        </w:rPr>
        <w:t xml:space="preserve"> </w:t>
      </w:r>
      <w:r w:rsidR="00EA29E0" w:rsidRPr="003F3B94">
        <w:rPr>
          <w:rFonts w:hint="cs"/>
          <w:sz w:val="28"/>
          <w:rtl/>
          <w:lang w:bidi="ar-SY"/>
        </w:rPr>
        <w:t>هذا</w:t>
      </w:r>
      <w:r w:rsidR="00953581" w:rsidRPr="003F3B94">
        <w:rPr>
          <w:rFonts w:hint="cs"/>
          <w:sz w:val="28"/>
          <w:rtl/>
          <w:lang w:bidi="ar-SY"/>
        </w:rPr>
        <w:t xml:space="preserve"> </w:t>
      </w:r>
      <w:r w:rsidRPr="003F3B94">
        <w:rPr>
          <w:rFonts w:hint="cs"/>
          <w:sz w:val="28"/>
          <w:rtl/>
          <w:lang w:bidi="ar-SY"/>
        </w:rPr>
        <w:t>فإن</w:t>
      </w:r>
      <w:r w:rsidR="00DF79BC" w:rsidRPr="003F3B94">
        <w:rPr>
          <w:rFonts w:hint="cs"/>
          <w:sz w:val="28"/>
          <w:rtl/>
          <w:lang w:bidi="ar-SY"/>
        </w:rPr>
        <w:t>ه</w:t>
      </w:r>
      <w:r w:rsidR="00953581" w:rsidRPr="003F3B94">
        <w:rPr>
          <w:rFonts w:hint="cs"/>
          <w:sz w:val="28"/>
          <w:rtl/>
          <w:lang w:bidi="ar-SY"/>
        </w:rPr>
        <w:t xml:space="preserve"> </w:t>
      </w:r>
      <w:r w:rsidR="00DF79BC" w:rsidRPr="003F3B94">
        <w:rPr>
          <w:rFonts w:hint="cs"/>
          <w:sz w:val="28"/>
          <w:rtl/>
          <w:lang w:bidi="ar-SY"/>
        </w:rPr>
        <w:t>سيؤمِّن</w:t>
      </w:r>
      <w:r w:rsidR="00953581" w:rsidRPr="003F3B94">
        <w:rPr>
          <w:rFonts w:hint="cs"/>
          <w:sz w:val="28"/>
          <w:rtl/>
          <w:lang w:bidi="ar-SY"/>
        </w:rPr>
        <w:t xml:space="preserve"> </w:t>
      </w:r>
      <w:r w:rsidR="00DF79BC" w:rsidRPr="003F3B94">
        <w:rPr>
          <w:rFonts w:hint="cs"/>
          <w:sz w:val="28"/>
          <w:rtl/>
          <w:lang w:bidi="ar-SY"/>
        </w:rPr>
        <w:t>أيضاً</w:t>
      </w:r>
      <w:r w:rsidR="00953581" w:rsidRPr="003F3B94">
        <w:rPr>
          <w:rFonts w:hint="cs"/>
          <w:sz w:val="28"/>
          <w:rtl/>
          <w:lang w:bidi="ar-SY"/>
        </w:rPr>
        <w:t xml:space="preserve"> </w:t>
      </w:r>
      <w:r w:rsidRPr="003F3B94">
        <w:rPr>
          <w:rFonts w:hint="cs"/>
          <w:sz w:val="28"/>
          <w:rtl/>
          <w:lang w:bidi="ar-SY"/>
        </w:rPr>
        <w:t>حاجاته</w:t>
      </w:r>
      <w:r w:rsidR="00953581" w:rsidRPr="003F3B94">
        <w:rPr>
          <w:rFonts w:hint="cs"/>
          <w:sz w:val="28"/>
          <w:rtl/>
          <w:lang w:bidi="ar-SY"/>
        </w:rPr>
        <w:t xml:space="preserve"> </w:t>
      </w:r>
      <w:r w:rsidRPr="003F3B94">
        <w:rPr>
          <w:rFonts w:hint="cs"/>
          <w:sz w:val="28"/>
          <w:rtl/>
          <w:lang w:bidi="ar-SY"/>
        </w:rPr>
        <w:t>الجسمية</w:t>
      </w:r>
      <w:r w:rsidR="00953581" w:rsidRPr="003F3B94">
        <w:rPr>
          <w:rFonts w:hint="cs"/>
          <w:sz w:val="28"/>
          <w:rtl/>
          <w:lang w:bidi="ar-SY"/>
        </w:rPr>
        <w:t xml:space="preserve"> </w:t>
      </w:r>
      <w:r w:rsidR="00EA29E0" w:rsidRPr="003F3B94">
        <w:rPr>
          <w:rFonts w:hint="cs"/>
          <w:sz w:val="28"/>
          <w:rtl/>
          <w:lang w:bidi="ar-SY"/>
        </w:rPr>
        <w:t>التي</w:t>
      </w:r>
      <w:r w:rsidR="00953581" w:rsidRPr="003F3B94">
        <w:rPr>
          <w:rFonts w:hint="cs"/>
          <w:sz w:val="28"/>
          <w:rtl/>
          <w:lang w:bidi="ar-SY"/>
        </w:rPr>
        <w:t xml:space="preserve"> </w:t>
      </w:r>
      <w:r w:rsidRPr="003F3B94">
        <w:rPr>
          <w:rFonts w:hint="cs"/>
          <w:sz w:val="28"/>
          <w:rtl/>
          <w:lang w:bidi="ar-SY"/>
        </w:rPr>
        <w:t>توقعه</w:t>
      </w:r>
      <w:r w:rsidR="00953581" w:rsidRPr="003F3B94">
        <w:rPr>
          <w:rFonts w:hint="cs"/>
          <w:sz w:val="28"/>
          <w:rtl/>
          <w:lang w:bidi="ar-SY"/>
        </w:rPr>
        <w:t xml:space="preserve"> </w:t>
      </w:r>
      <w:r w:rsidR="002C7C1B" w:rsidRPr="003F3B94">
        <w:rPr>
          <w:rFonts w:hint="cs"/>
          <w:sz w:val="28"/>
          <w:rtl/>
          <w:lang w:bidi="ar-SY"/>
        </w:rPr>
        <w:t>باستمرار</w:t>
      </w:r>
      <w:r w:rsidR="00953581" w:rsidRPr="003F3B94">
        <w:rPr>
          <w:rFonts w:hint="cs"/>
          <w:sz w:val="28"/>
          <w:rtl/>
          <w:lang w:bidi="ar-SY"/>
        </w:rPr>
        <w:t xml:space="preserve"> </w:t>
      </w:r>
      <w:r w:rsidR="00217AB4" w:rsidRPr="003F3B94">
        <w:rPr>
          <w:rFonts w:hint="cs"/>
          <w:sz w:val="28"/>
          <w:rtl/>
          <w:lang w:bidi="ar-SY"/>
        </w:rPr>
        <w:t>-</w:t>
      </w:r>
      <w:r w:rsidRPr="003F3B94">
        <w:rPr>
          <w:rFonts w:hint="cs"/>
          <w:sz w:val="28"/>
          <w:rtl/>
          <w:lang w:bidi="ar-SY"/>
        </w:rPr>
        <w:t>من</w:t>
      </w:r>
      <w:r w:rsidR="00953581" w:rsidRPr="003F3B94">
        <w:rPr>
          <w:rFonts w:hint="cs"/>
          <w:sz w:val="28"/>
          <w:rtl/>
          <w:lang w:bidi="ar-SY"/>
        </w:rPr>
        <w:t xml:space="preserve"> </w:t>
      </w:r>
      <w:r w:rsidRPr="003F3B94">
        <w:rPr>
          <w:rFonts w:hint="cs"/>
          <w:sz w:val="28"/>
          <w:rtl/>
          <w:lang w:bidi="ar-SY"/>
        </w:rPr>
        <w:t>بداية</w:t>
      </w:r>
      <w:r w:rsidR="00953581" w:rsidRPr="003F3B94">
        <w:rPr>
          <w:rFonts w:hint="cs"/>
          <w:sz w:val="28"/>
          <w:rtl/>
          <w:lang w:bidi="ar-SY"/>
        </w:rPr>
        <w:t xml:space="preserve"> </w:t>
      </w:r>
      <w:r w:rsidRPr="003F3B94">
        <w:rPr>
          <w:rFonts w:hint="cs"/>
          <w:sz w:val="28"/>
          <w:rtl/>
          <w:lang w:bidi="ar-SY"/>
        </w:rPr>
        <w:t>حياته</w:t>
      </w:r>
      <w:r w:rsidR="00953581" w:rsidRPr="003F3B94">
        <w:rPr>
          <w:rFonts w:hint="cs"/>
          <w:sz w:val="28"/>
          <w:rtl/>
          <w:lang w:bidi="ar-SY"/>
        </w:rPr>
        <w:t xml:space="preserve"> </w:t>
      </w:r>
      <w:r w:rsidRPr="003F3B94">
        <w:rPr>
          <w:rFonts w:hint="cs"/>
          <w:sz w:val="28"/>
          <w:rtl/>
          <w:lang w:bidi="ar-SY"/>
        </w:rPr>
        <w:t>وحتى</w:t>
      </w:r>
      <w:r w:rsidR="00953581" w:rsidRPr="003F3B94">
        <w:rPr>
          <w:rFonts w:hint="cs"/>
          <w:sz w:val="28"/>
          <w:rtl/>
          <w:lang w:bidi="ar-SY"/>
        </w:rPr>
        <w:t xml:space="preserve"> </w:t>
      </w:r>
      <w:r w:rsidRPr="003F3B94">
        <w:rPr>
          <w:rFonts w:hint="cs"/>
          <w:sz w:val="28"/>
          <w:rtl/>
          <w:lang w:bidi="ar-SY"/>
        </w:rPr>
        <w:t>نها</w:t>
      </w:r>
      <w:r w:rsidR="0093535C" w:rsidRPr="003F3B94">
        <w:rPr>
          <w:rFonts w:hint="cs"/>
          <w:sz w:val="28"/>
          <w:rtl/>
          <w:lang w:bidi="ar-SY"/>
        </w:rPr>
        <w:t>يتها</w:t>
      </w:r>
      <w:r w:rsidR="00217AB4" w:rsidRPr="003F3B94">
        <w:rPr>
          <w:rFonts w:hint="cs"/>
          <w:sz w:val="28"/>
          <w:rtl/>
          <w:lang w:bidi="ar-SY"/>
        </w:rPr>
        <w:t>-</w:t>
      </w:r>
      <w:r w:rsidR="00953581" w:rsidRPr="003F3B94">
        <w:rPr>
          <w:rFonts w:hint="cs"/>
          <w:sz w:val="28"/>
          <w:rtl/>
          <w:lang w:bidi="ar-SY"/>
        </w:rPr>
        <w:t xml:space="preserve"> </w:t>
      </w:r>
      <w:r w:rsidR="0093535C" w:rsidRPr="003F3B94">
        <w:rPr>
          <w:rFonts w:hint="cs"/>
          <w:sz w:val="28"/>
          <w:rtl/>
          <w:lang w:bidi="ar-SY"/>
        </w:rPr>
        <w:t>في</w:t>
      </w:r>
      <w:r w:rsidR="00953581" w:rsidRPr="003F3B94">
        <w:rPr>
          <w:rFonts w:hint="cs"/>
          <w:sz w:val="28"/>
          <w:rtl/>
          <w:lang w:bidi="ar-SY"/>
        </w:rPr>
        <w:t xml:space="preserve"> </w:t>
      </w:r>
      <w:r w:rsidR="0093535C" w:rsidRPr="003F3B94">
        <w:rPr>
          <w:rFonts w:hint="cs"/>
          <w:sz w:val="28"/>
          <w:rtl/>
          <w:lang w:bidi="ar-SY"/>
        </w:rPr>
        <w:t>متاعب</w:t>
      </w:r>
      <w:r w:rsidR="00953581" w:rsidRPr="003F3B94">
        <w:rPr>
          <w:rFonts w:hint="cs"/>
          <w:sz w:val="28"/>
          <w:rtl/>
          <w:lang w:bidi="ar-SY"/>
        </w:rPr>
        <w:t xml:space="preserve"> </w:t>
      </w:r>
      <w:r w:rsidR="0093535C" w:rsidRPr="003F3B94">
        <w:rPr>
          <w:rFonts w:hint="cs"/>
          <w:sz w:val="28"/>
          <w:rtl/>
          <w:lang w:bidi="ar-SY"/>
        </w:rPr>
        <w:t>ومشقات</w:t>
      </w:r>
      <w:r w:rsidR="00217AB4" w:rsidRPr="003F3B94">
        <w:rPr>
          <w:rFonts w:hint="cs"/>
          <w:sz w:val="28"/>
          <w:rtl/>
          <w:lang w:bidi="ar-SY"/>
        </w:rPr>
        <w:t>،</w:t>
      </w:r>
      <w:r w:rsidR="00953581" w:rsidRPr="003F3B94">
        <w:rPr>
          <w:rFonts w:hint="cs"/>
          <w:sz w:val="28"/>
          <w:rtl/>
          <w:lang w:bidi="ar-SY"/>
        </w:rPr>
        <w:t xml:space="preserve"> </w:t>
      </w:r>
      <w:r w:rsidR="0093535C" w:rsidRPr="003F3B94">
        <w:rPr>
          <w:rFonts w:hint="cs"/>
          <w:sz w:val="28"/>
          <w:rtl/>
          <w:lang w:bidi="ar-SY"/>
        </w:rPr>
        <w:t>أو</w:t>
      </w:r>
      <w:r w:rsidR="00953581" w:rsidRPr="003F3B94">
        <w:rPr>
          <w:rFonts w:hint="cs"/>
          <w:sz w:val="28"/>
          <w:rtl/>
          <w:lang w:bidi="ar-SY"/>
        </w:rPr>
        <w:t xml:space="preserve"> </w:t>
      </w:r>
      <w:r w:rsidR="0093535C" w:rsidRPr="003F3B94">
        <w:rPr>
          <w:rFonts w:hint="cs"/>
          <w:sz w:val="28"/>
          <w:rtl/>
          <w:lang w:bidi="ar-SY"/>
        </w:rPr>
        <w:t>على</w:t>
      </w:r>
      <w:r w:rsidR="00953581" w:rsidRPr="003F3B94">
        <w:rPr>
          <w:rFonts w:hint="cs"/>
          <w:sz w:val="28"/>
          <w:rtl/>
          <w:lang w:bidi="ar-SY"/>
        </w:rPr>
        <w:t xml:space="preserve"> </w:t>
      </w:r>
      <w:r w:rsidR="0093535C" w:rsidRPr="003F3B94">
        <w:rPr>
          <w:rFonts w:hint="cs"/>
          <w:sz w:val="28"/>
          <w:rtl/>
          <w:lang w:bidi="ar-SY"/>
        </w:rPr>
        <w:t>ا</w:t>
      </w:r>
      <w:r w:rsidR="008A2A49" w:rsidRPr="003F3B94">
        <w:rPr>
          <w:rFonts w:hint="cs"/>
          <w:sz w:val="28"/>
          <w:rtl/>
          <w:lang w:bidi="ar-SY"/>
        </w:rPr>
        <w:t>لأ</w:t>
      </w:r>
      <w:r w:rsidR="0093535C" w:rsidRPr="003F3B94">
        <w:rPr>
          <w:rFonts w:hint="cs"/>
          <w:sz w:val="28"/>
          <w:rtl/>
          <w:lang w:bidi="ar-SY"/>
        </w:rPr>
        <w:t>قل</w:t>
      </w:r>
      <w:r w:rsidR="00953581" w:rsidRPr="003F3B94">
        <w:rPr>
          <w:rFonts w:hint="cs"/>
          <w:sz w:val="28"/>
          <w:rtl/>
          <w:lang w:bidi="ar-SY"/>
        </w:rPr>
        <w:t xml:space="preserve"> </w:t>
      </w:r>
      <w:r w:rsidR="00EA29E0" w:rsidRPr="003F3B94">
        <w:rPr>
          <w:rFonts w:hint="cs"/>
          <w:sz w:val="28"/>
          <w:rtl/>
          <w:lang w:bidi="ar-SY"/>
        </w:rPr>
        <w:t>س</w:t>
      </w:r>
      <w:r w:rsidR="00415016" w:rsidRPr="003F3B94">
        <w:rPr>
          <w:rFonts w:hint="cs"/>
          <w:sz w:val="28"/>
          <w:rtl/>
          <w:lang w:bidi="ar-SY"/>
        </w:rPr>
        <w:t>تصبح</w:t>
      </w:r>
      <w:r w:rsidR="00953581" w:rsidRPr="003F3B94">
        <w:rPr>
          <w:rFonts w:hint="cs"/>
          <w:sz w:val="28"/>
          <w:rtl/>
          <w:lang w:bidi="ar-SY"/>
        </w:rPr>
        <w:t xml:space="preserve"> </w:t>
      </w:r>
      <w:r w:rsidR="00415016" w:rsidRPr="003F3B94">
        <w:rPr>
          <w:rFonts w:hint="cs"/>
          <w:sz w:val="28"/>
          <w:rtl/>
          <w:lang w:bidi="ar-SY"/>
        </w:rPr>
        <w:t>حياته</w:t>
      </w:r>
      <w:r w:rsidR="00953581" w:rsidRPr="003F3B94">
        <w:rPr>
          <w:rFonts w:hint="cs"/>
          <w:sz w:val="28"/>
          <w:rtl/>
          <w:lang w:bidi="ar-SY"/>
        </w:rPr>
        <w:t xml:space="preserve"> </w:t>
      </w:r>
      <w:r w:rsidR="00415016" w:rsidRPr="003F3B94">
        <w:rPr>
          <w:rFonts w:hint="cs"/>
          <w:sz w:val="28"/>
          <w:rtl/>
          <w:lang w:bidi="ar-SY"/>
        </w:rPr>
        <w:t>أسهل</w:t>
      </w:r>
      <w:r w:rsidR="00953581" w:rsidRPr="003F3B94">
        <w:rPr>
          <w:rFonts w:hint="cs"/>
          <w:sz w:val="28"/>
          <w:rtl/>
          <w:lang w:bidi="ar-SY"/>
        </w:rPr>
        <w:t xml:space="preserve"> </w:t>
      </w:r>
      <w:r w:rsidR="00415016" w:rsidRPr="003F3B94">
        <w:rPr>
          <w:rFonts w:hint="cs"/>
          <w:sz w:val="28"/>
          <w:rtl/>
          <w:lang w:bidi="ar-SY"/>
        </w:rPr>
        <w:t>إذ</w:t>
      </w:r>
      <w:r w:rsidR="00EA29E0" w:rsidRPr="003F3B94">
        <w:rPr>
          <w:rFonts w:hint="cs"/>
          <w:sz w:val="28"/>
          <w:rtl/>
          <w:lang w:bidi="ar-SY"/>
        </w:rPr>
        <w:t>ْ</w:t>
      </w:r>
      <w:r w:rsidR="00953581" w:rsidRPr="003F3B94">
        <w:rPr>
          <w:rFonts w:hint="cs"/>
          <w:sz w:val="28"/>
          <w:rtl/>
          <w:lang w:bidi="ar-SY"/>
        </w:rPr>
        <w:t xml:space="preserve"> </w:t>
      </w:r>
      <w:r w:rsidR="00415016" w:rsidRPr="003F3B94">
        <w:rPr>
          <w:rFonts w:hint="cs"/>
          <w:sz w:val="28"/>
          <w:rtl/>
          <w:lang w:bidi="ar-SY"/>
        </w:rPr>
        <w:t>من</w:t>
      </w:r>
      <w:r w:rsidR="00953581" w:rsidRPr="003F3B94">
        <w:rPr>
          <w:rFonts w:hint="cs"/>
          <w:sz w:val="28"/>
          <w:rtl/>
          <w:lang w:bidi="ar-SY"/>
        </w:rPr>
        <w:t xml:space="preserve"> </w:t>
      </w:r>
      <w:r w:rsidR="00415016" w:rsidRPr="003F3B94">
        <w:rPr>
          <w:rFonts w:hint="cs"/>
          <w:sz w:val="28"/>
          <w:rtl/>
          <w:lang w:bidi="ar-SY"/>
        </w:rPr>
        <w:t>البديهي</w:t>
      </w:r>
      <w:r w:rsidR="00953581" w:rsidRPr="003F3B94">
        <w:rPr>
          <w:rFonts w:hint="cs"/>
          <w:sz w:val="28"/>
          <w:rtl/>
          <w:lang w:bidi="ar-SY"/>
        </w:rPr>
        <w:t xml:space="preserve"> </w:t>
      </w:r>
      <w:r w:rsidR="00415016" w:rsidRPr="003F3B94">
        <w:rPr>
          <w:rFonts w:hint="cs"/>
          <w:sz w:val="28"/>
          <w:rtl/>
          <w:lang w:bidi="ar-SY"/>
        </w:rPr>
        <w:t>أن</w:t>
      </w:r>
      <w:r w:rsidR="00953581" w:rsidRPr="003F3B94">
        <w:rPr>
          <w:rFonts w:hint="cs"/>
          <w:sz w:val="28"/>
          <w:rtl/>
          <w:lang w:bidi="ar-SY"/>
        </w:rPr>
        <w:t xml:space="preserve"> </w:t>
      </w:r>
      <w:r w:rsidR="00415016" w:rsidRPr="003F3B94">
        <w:rPr>
          <w:rFonts w:hint="cs"/>
          <w:sz w:val="28"/>
          <w:rtl/>
          <w:lang w:bidi="ar-SY"/>
        </w:rPr>
        <w:t>راحة</w:t>
      </w:r>
      <w:r w:rsidR="00953581" w:rsidRPr="003F3B94">
        <w:rPr>
          <w:rFonts w:hint="cs"/>
          <w:sz w:val="28"/>
          <w:rtl/>
          <w:lang w:bidi="ar-SY"/>
        </w:rPr>
        <w:t xml:space="preserve"> </w:t>
      </w:r>
      <w:r w:rsidR="00415016" w:rsidRPr="003F3B94">
        <w:rPr>
          <w:rFonts w:hint="cs"/>
          <w:sz w:val="28"/>
          <w:rtl/>
          <w:lang w:bidi="ar-SY"/>
        </w:rPr>
        <w:t>الجسم</w:t>
      </w:r>
      <w:r w:rsidR="00953581" w:rsidRPr="003F3B94">
        <w:rPr>
          <w:rFonts w:hint="cs"/>
          <w:sz w:val="28"/>
          <w:rtl/>
          <w:lang w:bidi="ar-SY"/>
        </w:rPr>
        <w:t xml:space="preserve"> </w:t>
      </w:r>
      <w:r w:rsidR="00415016" w:rsidRPr="003F3B94">
        <w:rPr>
          <w:rFonts w:hint="cs"/>
          <w:sz w:val="28"/>
          <w:rtl/>
          <w:lang w:bidi="ar-SY"/>
        </w:rPr>
        <w:t>مرتبطةٌ</w:t>
      </w:r>
      <w:r w:rsidR="00953581" w:rsidRPr="003F3B94">
        <w:rPr>
          <w:rFonts w:hint="cs"/>
          <w:sz w:val="28"/>
          <w:rtl/>
          <w:lang w:bidi="ar-SY"/>
        </w:rPr>
        <w:t xml:space="preserve"> </w:t>
      </w:r>
      <w:r w:rsidR="00415016" w:rsidRPr="003F3B94">
        <w:rPr>
          <w:rFonts w:hint="cs"/>
          <w:sz w:val="28"/>
          <w:rtl/>
          <w:lang w:bidi="ar-SY"/>
        </w:rPr>
        <w:t>تماماً</w:t>
      </w:r>
      <w:r w:rsidR="00953581" w:rsidRPr="003F3B94">
        <w:rPr>
          <w:rFonts w:hint="cs"/>
          <w:sz w:val="28"/>
          <w:rtl/>
          <w:lang w:bidi="ar-SY"/>
        </w:rPr>
        <w:t xml:space="preserve"> </w:t>
      </w:r>
      <w:r w:rsidR="00415016" w:rsidRPr="003F3B94">
        <w:rPr>
          <w:rFonts w:hint="cs"/>
          <w:sz w:val="28"/>
          <w:rtl/>
          <w:lang w:bidi="ar-SY"/>
        </w:rPr>
        <w:t>براحة</w:t>
      </w:r>
      <w:r w:rsidR="00953581" w:rsidRPr="003F3B94">
        <w:rPr>
          <w:rFonts w:hint="cs"/>
          <w:sz w:val="28"/>
          <w:rtl/>
          <w:lang w:bidi="ar-SY"/>
        </w:rPr>
        <w:t xml:space="preserve"> </w:t>
      </w:r>
      <w:r w:rsidR="00415016" w:rsidRPr="003F3B94">
        <w:rPr>
          <w:rFonts w:hint="cs"/>
          <w:sz w:val="28"/>
          <w:rtl/>
          <w:lang w:bidi="ar-SY"/>
        </w:rPr>
        <w:t>الروح</w:t>
      </w:r>
      <w:r w:rsidR="00953581" w:rsidRPr="003F3B94">
        <w:rPr>
          <w:rFonts w:hint="cs"/>
          <w:sz w:val="28"/>
          <w:rtl/>
          <w:lang w:bidi="ar-SY"/>
        </w:rPr>
        <w:t xml:space="preserve"> </w:t>
      </w:r>
      <w:r w:rsidR="00415016" w:rsidRPr="003F3B94">
        <w:rPr>
          <w:rFonts w:hint="cs"/>
          <w:sz w:val="28"/>
          <w:rtl/>
          <w:lang w:bidi="ar-SY"/>
        </w:rPr>
        <w:t>وسكينتها</w:t>
      </w:r>
      <w:r w:rsidR="00217AB4" w:rsidRPr="003F3B94">
        <w:rPr>
          <w:rFonts w:hint="cs"/>
          <w:sz w:val="28"/>
          <w:rtl/>
          <w:lang w:bidi="ar-SY"/>
        </w:rPr>
        <w:t>.</w:t>
      </w:r>
      <w:r w:rsidR="00953581" w:rsidRPr="003F3B94">
        <w:rPr>
          <w:rFonts w:hint="cs"/>
          <w:sz w:val="28"/>
          <w:rtl/>
          <w:lang w:bidi="ar-SY"/>
        </w:rPr>
        <w:t xml:space="preserve"> </w:t>
      </w:r>
    </w:p>
    <w:p w:rsidR="00EA29E0" w:rsidRPr="00B300C9" w:rsidRDefault="001B581F" w:rsidP="003F3B94">
      <w:pPr>
        <w:pStyle w:val="a0"/>
        <w:rPr>
          <w:rFonts w:hint="cs"/>
          <w:spacing w:val="-2"/>
          <w:rtl/>
          <w:lang w:bidi="ar-SY"/>
        </w:rPr>
      </w:pPr>
      <w:r w:rsidRPr="00B300C9">
        <w:rPr>
          <w:rFonts w:hint="cs"/>
          <w:spacing w:val="-2"/>
          <w:sz w:val="28"/>
          <w:rtl/>
          <w:lang w:bidi="ar-SY"/>
        </w:rPr>
        <w:t>إن</w:t>
      </w:r>
      <w:r w:rsidR="00953581" w:rsidRPr="00B300C9">
        <w:rPr>
          <w:rFonts w:hint="cs"/>
          <w:spacing w:val="-2"/>
          <w:sz w:val="28"/>
          <w:rtl/>
          <w:lang w:bidi="ar-SY"/>
        </w:rPr>
        <w:t xml:space="preserve"> </w:t>
      </w:r>
      <w:r w:rsidRPr="00B300C9">
        <w:rPr>
          <w:rFonts w:hint="cs"/>
          <w:spacing w:val="-2"/>
          <w:sz w:val="28"/>
          <w:rtl/>
          <w:lang w:bidi="ar-SY"/>
        </w:rPr>
        <w:t>ما</w:t>
      </w:r>
      <w:r w:rsidR="00953581" w:rsidRPr="00B300C9">
        <w:rPr>
          <w:rFonts w:hint="cs"/>
          <w:spacing w:val="-2"/>
          <w:sz w:val="28"/>
          <w:rtl/>
          <w:lang w:bidi="ar-SY"/>
        </w:rPr>
        <w:t xml:space="preserve"> </w:t>
      </w:r>
      <w:r w:rsidR="00EA29E0" w:rsidRPr="00B300C9">
        <w:rPr>
          <w:rFonts w:hint="cs"/>
          <w:spacing w:val="-2"/>
          <w:sz w:val="28"/>
          <w:rtl/>
          <w:lang w:bidi="ar-SY"/>
        </w:rPr>
        <w:t>يطرحه</w:t>
      </w:r>
      <w:r w:rsidR="00953581" w:rsidRPr="00B300C9">
        <w:rPr>
          <w:rFonts w:hint="cs"/>
          <w:spacing w:val="-2"/>
          <w:sz w:val="28"/>
          <w:rtl/>
          <w:lang w:bidi="ar-SY"/>
        </w:rPr>
        <w:t xml:space="preserve"> </w:t>
      </w:r>
      <w:r w:rsidR="00EA29E0" w:rsidRPr="00B300C9">
        <w:rPr>
          <w:rFonts w:hint="cs"/>
          <w:spacing w:val="-2"/>
          <w:sz w:val="28"/>
          <w:rtl/>
          <w:lang w:bidi="ar-SY"/>
        </w:rPr>
        <w:t>تاريخ</w:t>
      </w:r>
      <w:r w:rsidR="00953581" w:rsidRPr="00B300C9">
        <w:rPr>
          <w:rFonts w:hint="cs"/>
          <w:spacing w:val="-2"/>
          <w:sz w:val="28"/>
          <w:rtl/>
          <w:lang w:bidi="ar-SY"/>
        </w:rPr>
        <w:t xml:space="preserve"> </w:t>
      </w:r>
      <w:r w:rsidR="00EA29E0" w:rsidRPr="00B300C9">
        <w:rPr>
          <w:rFonts w:hint="cs"/>
          <w:spacing w:val="-2"/>
          <w:sz w:val="28"/>
          <w:rtl/>
          <w:lang w:bidi="ar-SY"/>
        </w:rPr>
        <w:t>البشرية</w:t>
      </w:r>
      <w:r w:rsidR="00953581" w:rsidRPr="00B300C9">
        <w:rPr>
          <w:rFonts w:hint="cs"/>
          <w:spacing w:val="-2"/>
          <w:sz w:val="28"/>
          <w:rtl/>
          <w:lang w:bidi="ar-SY"/>
        </w:rPr>
        <w:t xml:space="preserve"> </w:t>
      </w:r>
      <w:r w:rsidR="00EA29E0" w:rsidRPr="00B300C9">
        <w:rPr>
          <w:rFonts w:hint="cs"/>
          <w:spacing w:val="-2"/>
          <w:sz w:val="28"/>
          <w:rtl/>
          <w:lang w:bidi="ar-SY"/>
        </w:rPr>
        <w:t>الطويل</w:t>
      </w:r>
      <w:r w:rsidR="00953581" w:rsidRPr="00B300C9">
        <w:rPr>
          <w:rFonts w:hint="cs"/>
          <w:spacing w:val="-2"/>
          <w:sz w:val="28"/>
          <w:rtl/>
          <w:lang w:bidi="ar-SY"/>
        </w:rPr>
        <w:t xml:space="preserve"> </w:t>
      </w:r>
      <w:r w:rsidRPr="00B300C9">
        <w:rPr>
          <w:rFonts w:hint="cs"/>
          <w:spacing w:val="-2"/>
          <w:sz w:val="28"/>
          <w:rtl/>
          <w:lang w:bidi="ar-SY"/>
        </w:rPr>
        <w:t>أمامنا</w:t>
      </w:r>
      <w:r w:rsidR="00953581" w:rsidRPr="00B300C9">
        <w:rPr>
          <w:rFonts w:hint="cs"/>
          <w:spacing w:val="-2"/>
          <w:sz w:val="28"/>
          <w:rtl/>
          <w:lang w:bidi="ar-SY"/>
        </w:rPr>
        <w:t xml:space="preserve"> </w:t>
      </w:r>
      <w:r w:rsidRPr="00B300C9">
        <w:rPr>
          <w:rFonts w:hint="cs"/>
          <w:spacing w:val="-2"/>
          <w:sz w:val="28"/>
          <w:rtl/>
          <w:lang w:bidi="ar-SY"/>
        </w:rPr>
        <w:t>بشأن</w:t>
      </w:r>
      <w:r w:rsidR="00953581" w:rsidRPr="00B300C9">
        <w:rPr>
          <w:rFonts w:hint="cs"/>
          <w:spacing w:val="-2"/>
          <w:sz w:val="28"/>
          <w:rtl/>
          <w:lang w:bidi="ar-SY"/>
        </w:rPr>
        <w:t xml:space="preserve"> </w:t>
      </w:r>
      <w:r w:rsidRPr="00B300C9">
        <w:rPr>
          <w:rFonts w:hint="cs"/>
          <w:spacing w:val="-2"/>
          <w:sz w:val="28"/>
          <w:rtl/>
          <w:lang w:bidi="ar-SY"/>
        </w:rPr>
        <w:t>هذه</w:t>
      </w:r>
      <w:r w:rsidR="00953581" w:rsidRPr="00B300C9">
        <w:rPr>
          <w:rFonts w:hint="cs"/>
          <w:spacing w:val="-2"/>
          <w:sz w:val="28"/>
          <w:rtl/>
          <w:lang w:bidi="ar-SY"/>
        </w:rPr>
        <w:t xml:space="preserve"> </w:t>
      </w:r>
      <w:r w:rsidR="00EA29E0" w:rsidRPr="00B300C9">
        <w:rPr>
          <w:rFonts w:hint="cs"/>
          <w:spacing w:val="-2"/>
          <w:sz w:val="28"/>
          <w:rtl/>
          <w:lang w:bidi="ar-SY"/>
        </w:rPr>
        <w:t>الحالة</w:t>
      </w:r>
      <w:r w:rsidR="00953581" w:rsidRPr="00B300C9">
        <w:rPr>
          <w:rFonts w:hint="cs"/>
          <w:spacing w:val="-2"/>
          <w:sz w:val="28"/>
          <w:rtl/>
          <w:lang w:bidi="ar-SY"/>
        </w:rPr>
        <w:t xml:space="preserve"> </w:t>
      </w:r>
      <w:r w:rsidR="00EA29E0" w:rsidRPr="00B300C9">
        <w:rPr>
          <w:rFonts w:hint="cs"/>
          <w:spacing w:val="-2"/>
          <w:sz w:val="28"/>
          <w:rtl/>
          <w:lang w:bidi="ar-SY"/>
        </w:rPr>
        <w:t>ا</w:t>
      </w:r>
      <w:r w:rsidR="008A2A49" w:rsidRPr="00B300C9">
        <w:rPr>
          <w:rFonts w:hint="cs"/>
          <w:spacing w:val="-2"/>
          <w:sz w:val="28"/>
          <w:rtl/>
          <w:lang w:bidi="ar-SY"/>
        </w:rPr>
        <w:t>لإ</w:t>
      </w:r>
      <w:r w:rsidR="00EA29E0" w:rsidRPr="00B300C9">
        <w:rPr>
          <w:rFonts w:hint="cs"/>
          <w:spacing w:val="-2"/>
          <w:sz w:val="28"/>
          <w:rtl/>
          <w:lang w:bidi="ar-SY"/>
        </w:rPr>
        <w:t>نسانية</w:t>
      </w:r>
      <w:r w:rsidR="00953581" w:rsidRPr="00B300C9">
        <w:rPr>
          <w:rFonts w:hint="cs"/>
          <w:spacing w:val="-2"/>
          <w:sz w:val="28"/>
          <w:rtl/>
          <w:lang w:bidi="ar-SY"/>
        </w:rPr>
        <w:t xml:space="preserve"> </w:t>
      </w:r>
      <w:r w:rsidR="00EA29E0" w:rsidRPr="00B300C9">
        <w:rPr>
          <w:rFonts w:hint="cs"/>
          <w:spacing w:val="-2"/>
          <w:sz w:val="28"/>
          <w:rtl/>
          <w:lang w:bidi="ar-SY"/>
        </w:rPr>
        <w:t>هو</w:t>
      </w:r>
      <w:r w:rsidR="00953581" w:rsidRPr="00B300C9">
        <w:rPr>
          <w:rFonts w:hint="cs"/>
          <w:spacing w:val="-2"/>
          <w:sz w:val="28"/>
          <w:rtl/>
          <w:lang w:bidi="ar-SY"/>
        </w:rPr>
        <w:t xml:space="preserve"> </w:t>
      </w:r>
      <w:r w:rsidRPr="00B300C9">
        <w:rPr>
          <w:rFonts w:hint="cs"/>
          <w:spacing w:val="-2"/>
          <w:sz w:val="28"/>
          <w:rtl/>
          <w:lang w:bidi="ar-SY"/>
        </w:rPr>
        <w:t>أن</w:t>
      </w:r>
      <w:r w:rsidR="00953581" w:rsidRPr="00B300C9">
        <w:rPr>
          <w:rFonts w:hint="cs"/>
          <w:spacing w:val="-2"/>
          <w:sz w:val="28"/>
          <w:rtl/>
          <w:lang w:bidi="ar-SY"/>
        </w:rPr>
        <w:t xml:space="preserve"> </w:t>
      </w:r>
      <w:r w:rsidRPr="00B300C9">
        <w:rPr>
          <w:rFonts w:hint="cs"/>
          <w:spacing w:val="-2"/>
          <w:sz w:val="28"/>
          <w:rtl/>
          <w:lang w:bidi="ar-SY"/>
        </w:rPr>
        <w:t>ا</w:t>
      </w:r>
      <w:r w:rsidR="008A2A49" w:rsidRPr="00B300C9">
        <w:rPr>
          <w:rFonts w:hint="cs"/>
          <w:spacing w:val="-2"/>
          <w:sz w:val="28"/>
          <w:rtl/>
          <w:lang w:bidi="ar-SY"/>
        </w:rPr>
        <w:t>لإ</w:t>
      </w:r>
      <w:r w:rsidRPr="00B300C9">
        <w:rPr>
          <w:rFonts w:hint="cs"/>
          <w:spacing w:val="-2"/>
          <w:sz w:val="28"/>
          <w:rtl/>
          <w:lang w:bidi="ar-SY"/>
        </w:rPr>
        <w:t>نسان</w:t>
      </w:r>
      <w:r w:rsidR="00953581" w:rsidRPr="00B300C9">
        <w:rPr>
          <w:rFonts w:hint="cs"/>
          <w:spacing w:val="-2"/>
          <w:sz w:val="28"/>
          <w:rtl/>
          <w:lang w:bidi="ar-SY"/>
        </w:rPr>
        <w:t xml:space="preserve"> </w:t>
      </w:r>
      <w:r w:rsidRPr="00B300C9">
        <w:rPr>
          <w:rFonts w:hint="cs"/>
          <w:spacing w:val="-2"/>
          <w:sz w:val="28"/>
          <w:rtl/>
          <w:lang w:bidi="ar-SY"/>
        </w:rPr>
        <w:t>خ</w:t>
      </w:r>
      <w:r w:rsidR="008A2A49" w:rsidRPr="00B300C9">
        <w:rPr>
          <w:rFonts w:hint="cs"/>
          <w:spacing w:val="-2"/>
          <w:sz w:val="28"/>
          <w:rtl/>
          <w:lang w:bidi="ar-SY"/>
        </w:rPr>
        <w:t>لا</w:t>
      </w:r>
      <w:r w:rsidRPr="00B300C9">
        <w:rPr>
          <w:rFonts w:hint="cs"/>
          <w:spacing w:val="-2"/>
          <w:sz w:val="28"/>
          <w:rtl/>
          <w:lang w:bidi="ar-SY"/>
        </w:rPr>
        <w:t>ل</w:t>
      </w:r>
      <w:r w:rsidR="00953581" w:rsidRPr="00B300C9">
        <w:rPr>
          <w:rFonts w:hint="cs"/>
          <w:spacing w:val="-2"/>
          <w:sz w:val="28"/>
          <w:rtl/>
          <w:lang w:bidi="ar-SY"/>
        </w:rPr>
        <w:t xml:space="preserve"> </w:t>
      </w:r>
      <w:r w:rsidRPr="00B300C9">
        <w:rPr>
          <w:rFonts w:hint="cs"/>
          <w:spacing w:val="-2"/>
          <w:sz w:val="28"/>
          <w:rtl/>
          <w:lang w:bidi="ar-SY"/>
        </w:rPr>
        <w:t>عمره</w:t>
      </w:r>
      <w:r w:rsidR="00953581" w:rsidRPr="00B300C9">
        <w:rPr>
          <w:rFonts w:hint="cs"/>
          <w:spacing w:val="-2"/>
          <w:sz w:val="28"/>
          <w:rtl/>
          <w:lang w:bidi="ar-SY"/>
        </w:rPr>
        <w:t xml:space="preserve"> </w:t>
      </w:r>
      <w:r w:rsidRPr="00B300C9">
        <w:rPr>
          <w:rFonts w:hint="cs"/>
          <w:spacing w:val="-2"/>
          <w:sz w:val="28"/>
          <w:rtl/>
          <w:lang w:bidi="ar-SY"/>
        </w:rPr>
        <w:t>الطويل</w:t>
      </w:r>
      <w:r w:rsidR="00953581" w:rsidRPr="00B300C9">
        <w:rPr>
          <w:rFonts w:hint="cs"/>
          <w:spacing w:val="-2"/>
          <w:sz w:val="28"/>
          <w:rtl/>
          <w:lang w:bidi="ar-SY"/>
        </w:rPr>
        <w:t xml:space="preserve"> </w:t>
      </w:r>
      <w:r w:rsidR="00EA29E0" w:rsidRPr="00B300C9">
        <w:rPr>
          <w:rFonts w:hint="cs"/>
          <w:spacing w:val="-2"/>
          <w:sz w:val="28"/>
          <w:rtl/>
          <w:lang w:bidi="ar-SY"/>
        </w:rPr>
        <w:t>قد</w:t>
      </w:r>
      <w:r w:rsidR="00953581" w:rsidRPr="00B300C9">
        <w:rPr>
          <w:rFonts w:hint="cs"/>
          <w:spacing w:val="-2"/>
          <w:sz w:val="28"/>
          <w:rtl/>
          <w:lang w:bidi="ar-SY"/>
        </w:rPr>
        <w:t xml:space="preserve"> </w:t>
      </w:r>
      <w:r w:rsidR="00EA29E0" w:rsidRPr="00B300C9">
        <w:rPr>
          <w:rFonts w:hint="cs"/>
          <w:spacing w:val="-2"/>
          <w:sz w:val="28"/>
          <w:rtl/>
          <w:lang w:bidi="ar-SY"/>
        </w:rPr>
        <w:t>وصل</w:t>
      </w:r>
      <w:r w:rsidR="00953581" w:rsidRPr="00B300C9">
        <w:rPr>
          <w:rFonts w:hint="cs"/>
          <w:spacing w:val="-2"/>
          <w:sz w:val="28"/>
          <w:rtl/>
          <w:lang w:bidi="ar-SY"/>
        </w:rPr>
        <w:t xml:space="preserve"> </w:t>
      </w:r>
      <w:r w:rsidR="00EA29E0" w:rsidRPr="00B300C9">
        <w:rPr>
          <w:rFonts w:hint="cs"/>
          <w:spacing w:val="-2"/>
          <w:sz w:val="28"/>
          <w:rtl/>
          <w:lang w:bidi="ar-SY"/>
        </w:rPr>
        <w:t>بعد</w:t>
      </w:r>
      <w:r w:rsidR="00953581" w:rsidRPr="00B300C9">
        <w:rPr>
          <w:rFonts w:hint="cs"/>
          <w:spacing w:val="-2"/>
          <w:sz w:val="28"/>
          <w:rtl/>
          <w:lang w:bidi="ar-SY"/>
        </w:rPr>
        <w:t xml:space="preserve"> </w:t>
      </w:r>
      <w:r w:rsidR="00EA29E0" w:rsidRPr="00B300C9">
        <w:rPr>
          <w:rFonts w:hint="cs"/>
          <w:spacing w:val="-2"/>
          <w:sz w:val="28"/>
          <w:rtl/>
          <w:lang w:bidi="ar-SY"/>
        </w:rPr>
        <w:t>سعيه</w:t>
      </w:r>
      <w:r w:rsidR="00953581" w:rsidRPr="00B300C9">
        <w:rPr>
          <w:rFonts w:hint="cs"/>
          <w:spacing w:val="-2"/>
          <w:sz w:val="28"/>
          <w:rtl/>
          <w:lang w:bidi="ar-SY"/>
        </w:rPr>
        <w:t xml:space="preserve"> </w:t>
      </w:r>
      <w:r w:rsidR="00EA29E0" w:rsidRPr="00B300C9">
        <w:rPr>
          <w:rFonts w:hint="cs"/>
          <w:spacing w:val="-2"/>
          <w:sz w:val="28"/>
          <w:rtl/>
          <w:lang w:bidi="ar-SY"/>
        </w:rPr>
        <w:t>الحثيث</w:t>
      </w:r>
      <w:r w:rsidR="00953581" w:rsidRPr="00B300C9">
        <w:rPr>
          <w:rFonts w:hint="cs"/>
          <w:spacing w:val="-2"/>
          <w:sz w:val="28"/>
          <w:rtl/>
          <w:lang w:bidi="ar-SY"/>
        </w:rPr>
        <w:t xml:space="preserve"> </w:t>
      </w:r>
      <w:r w:rsidRPr="00B300C9">
        <w:rPr>
          <w:rFonts w:hint="cs"/>
          <w:spacing w:val="-2"/>
          <w:sz w:val="28"/>
          <w:rtl/>
          <w:lang w:bidi="ar-SY"/>
        </w:rPr>
        <w:t>لتحقيق</w:t>
      </w:r>
      <w:r w:rsidR="00953581" w:rsidRPr="00B300C9">
        <w:rPr>
          <w:rFonts w:hint="cs"/>
          <w:spacing w:val="-2"/>
          <w:sz w:val="28"/>
          <w:rtl/>
          <w:lang w:bidi="ar-SY"/>
        </w:rPr>
        <w:t xml:space="preserve"> </w:t>
      </w:r>
      <w:r w:rsidRPr="00B300C9">
        <w:rPr>
          <w:rFonts w:hint="cs"/>
          <w:spacing w:val="-2"/>
          <w:sz w:val="28"/>
          <w:rtl/>
          <w:lang w:bidi="ar-SY"/>
        </w:rPr>
        <w:t>ذلك</w:t>
      </w:r>
      <w:r w:rsidR="00953581" w:rsidRPr="00B300C9">
        <w:rPr>
          <w:rFonts w:hint="cs"/>
          <w:spacing w:val="-2"/>
          <w:sz w:val="28"/>
          <w:rtl/>
          <w:lang w:bidi="ar-SY"/>
        </w:rPr>
        <w:t xml:space="preserve"> </w:t>
      </w:r>
      <w:r w:rsidRPr="00B300C9">
        <w:rPr>
          <w:rFonts w:hint="cs"/>
          <w:spacing w:val="-2"/>
          <w:sz w:val="28"/>
          <w:rtl/>
          <w:lang w:bidi="ar-SY"/>
        </w:rPr>
        <w:t>الهدف</w:t>
      </w:r>
      <w:r w:rsidR="00953581" w:rsidRPr="00B300C9">
        <w:rPr>
          <w:rFonts w:hint="cs"/>
          <w:spacing w:val="-2"/>
          <w:sz w:val="28"/>
          <w:rtl/>
          <w:lang w:bidi="ar-SY"/>
        </w:rPr>
        <w:t xml:space="preserve"> </w:t>
      </w:r>
      <w:r w:rsidR="00EA29E0" w:rsidRPr="00B300C9">
        <w:rPr>
          <w:rFonts w:hint="cs"/>
          <w:spacing w:val="-2"/>
          <w:sz w:val="28"/>
          <w:rtl/>
          <w:lang w:bidi="ar-SY"/>
        </w:rPr>
        <w:t>المنشود</w:t>
      </w:r>
      <w:r w:rsidR="00953581" w:rsidRPr="00B300C9">
        <w:rPr>
          <w:rFonts w:hint="cs"/>
          <w:spacing w:val="-2"/>
          <w:sz w:val="28"/>
          <w:rtl/>
          <w:lang w:bidi="ar-SY"/>
        </w:rPr>
        <w:t xml:space="preserve"> </w:t>
      </w:r>
      <w:r w:rsidR="00EA29E0" w:rsidRPr="00B300C9">
        <w:rPr>
          <w:rFonts w:hint="cs"/>
          <w:spacing w:val="-2"/>
          <w:sz w:val="28"/>
          <w:rtl/>
          <w:lang w:bidi="ar-SY"/>
        </w:rPr>
        <w:t>[سكينة</w:t>
      </w:r>
      <w:r w:rsidR="00953581" w:rsidRPr="00B300C9">
        <w:rPr>
          <w:rFonts w:hint="cs"/>
          <w:spacing w:val="-2"/>
          <w:sz w:val="28"/>
          <w:rtl/>
          <w:lang w:bidi="ar-SY"/>
        </w:rPr>
        <w:t xml:space="preserve"> </w:t>
      </w:r>
      <w:r w:rsidR="00EA29E0" w:rsidRPr="00B300C9">
        <w:rPr>
          <w:rFonts w:hint="cs"/>
          <w:spacing w:val="-2"/>
          <w:sz w:val="28"/>
          <w:rtl/>
          <w:lang w:bidi="ar-SY"/>
        </w:rPr>
        <w:t>الروح</w:t>
      </w:r>
      <w:r w:rsidR="00953581" w:rsidRPr="00B300C9">
        <w:rPr>
          <w:rFonts w:hint="cs"/>
          <w:spacing w:val="-2"/>
          <w:sz w:val="28"/>
          <w:rtl/>
          <w:lang w:bidi="ar-SY"/>
        </w:rPr>
        <w:t xml:space="preserve"> </w:t>
      </w:r>
      <w:r w:rsidR="00EA29E0" w:rsidRPr="00B300C9">
        <w:rPr>
          <w:rFonts w:hint="cs"/>
          <w:spacing w:val="-2"/>
          <w:sz w:val="28"/>
          <w:rtl/>
          <w:lang w:bidi="ar-SY"/>
        </w:rPr>
        <w:t>وطمأنينة</w:t>
      </w:r>
      <w:r w:rsidR="00953581" w:rsidRPr="00B300C9">
        <w:rPr>
          <w:rFonts w:hint="cs"/>
          <w:spacing w:val="-2"/>
          <w:sz w:val="28"/>
          <w:rtl/>
          <w:lang w:bidi="ar-SY"/>
        </w:rPr>
        <w:t xml:space="preserve"> </w:t>
      </w:r>
      <w:r w:rsidR="00EA29E0" w:rsidRPr="00B300C9">
        <w:rPr>
          <w:rFonts w:hint="cs"/>
          <w:spacing w:val="-2"/>
          <w:sz w:val="28"/>
          <w:rtl/>
          <w:lang w:bidi="ar-SY"/>
        </w:rPr>
        <w:t>النفس]</w:t>
      </w:r>
      <w:r w:rsidR="00953581" w:rsidRPr="00B300C9">
        <w:rPr>
          <w:rFonts w:hint="cs"/>
          <w:spacing w:val="-2"/>
          <w:sz w:val="28"/>
          <w:rtl/>
          <w:lang w:bidi="ar-SY"/>
        </w:rPr>
        <w:t xml:space="preserve"> </w:t>
      </w:r>
      <w:r w:rsidRPr="00B300C9">
        <w:rPr>
          <w:rFonts w:hint="cs"/>
          <w:spacing w:val="-2"/>
          <w:sz w:val="28"/>
          <w:rtl/>
          <w:lang w:bidi="ar-SY"/>
        </w:rPr>
        <w:t>إلى</w:t>
      </w:r>
      <w:r w:rsidR="00953581" w:rsidRPr="00B300C9">
        <w:rPr>
          <w:rFonts w:hint="cs"/>
          <w:spacing w:val="-2"/>
          <w:sz w:val="28"/>
          <w:rtl/>
          <w:lang w:bidi="ar-SY"/>
        </w:rPr>
        <w:t xml:space="preserve"> </w:t>
      </w:r>
      <w:r w:rsidRPr="00B300C9">
        <w:rPr>
          <w:rFonts w:hint="cs"/>
          <w:spacing w:val="-2"/>
          <w:sz w:val="28"/>
          <w:rtl/>
          <w:lang w:bidi="ar-SY"/>
        </w:rPr>
        <w:t>تلك</w:t>
      </w:r>
      <w:r w:rsidR="00953581" w:rsidRPr="00B300C9">
        <w:rPr>
          <w:rFonts w:hint="cs"/>
          <w:spacing w:val="-2"/>
          <w:sz w:val="28"/>
          <w:rtl/>
          <w:lang w:bidi="ar-SY"/>
        </w:rPr>
        <w:t xml:space="preserve"> </w:t>
      </w:r>
      <w:r w:rsidR="00EA29E0" w:rsidRPr="00B300C9">
        <w:rPr>
          <w:rFonts w:hint="cs"/>
          <w:spacing w:val="-2"/>
          <w:sz w:val="28"/>
          <w:rtl/>
          <w:lang w:bidi="ar-SY"/>
        </w:rPr>
        <w:t>الظواهر</w:t>
      </w:r>
      <w:r w:rsidR="00953581" w:rsidRPr="00B300C9">
        <w:rPr>
          <w:rFonts w:hint="cs"/>
          <w:spacing w:val="-2"/>
          <w:sz w:val="28"/>
          <w:rtl/>
          <w:lang w:bidi="ar-SY"/>
        </w:rPr>
        <w:t xml:space="preserve"> </w:t>
      </w:r>
      <w:r w:rsidRPr="00B300C9">
        <w:rPr>
          <w:rFonts w:hint="cs"/>
          <w:spacing w:val="-2"/>
          <w:sz w:val="28"/>
          <w:rtl/>
          <w:lang w:bidi="ar-SY"/>
        </w:rPr>
        <w:t>التي</w:t>
      </w:r>
      <w:r w:rsidR="00953581" w:rsidRPr="00B300C9">
        <w:rPr>
          <w:rFonts w:hint="cs"/>
          <w:spacing w:val="-2"/>
          <w:sz w:val="28"/>
          <w:rtl/>
          <w:lang w:bidi="ar-SY"/>
        </w:rPr>
        <w:t xml:space="preserve"> </w:t>
      </w:r>
      <w:r w:rsidRPr="00B300C9">
        <w:rPr>
          <w:rFonts w:hint="cs"/>
          <w:spacing w:val="-2"/>
          <w:sz w:val="28"/>
          <w:rtl/>
          <w:lang w:bidi="ar-SY"/>
        </w:rPr>
        <w:t>تُعرف</w:t>
      </w:r>
      <w:r w:rsidR="00953581" w:rsidRPr="00B300C9">
        <w:rPr>
          <w:rFonts w:hint="cs"/>
          <w:spacing w:val="-2"/>
          <w:sz w:val="28"/>
          <w:rtl/>
          <w:lang w:bidi="ar-SY"/>
        </w:rPr>
        <w:t xml:space="preserve"> </w:t>
      </w:r>
      <w:r w:rsidRPr="00B300C9">
        <w:rPr>
          <w:rFonts w:hint="cs"/>
          <w:spacing w:val="-2"/>
          <w:sz w:val="28"/>
          <w:rtl/>
          <w:lang w:bidi="ar-SY"/>
        </w:rPr>
        <w:t>باسم</w:t>
      </w:r>
      <w:r w:rsidR="00953581" w:rsidRPr="00B300C9">
        <w:rPr>
          <w:rFonts w:hint="cs"/>
          <w:spacing w:val="-2"/>
          <w:sz w:val="28"/>
          <w:rtl/>
          <w:lang w:bidi="ar-SY"/>
        </w:rPr>
        <w:t xml:space="preserve"> </w:t>
      </w:r>
      <w:r w:rsidRPr="00B300C9">
        <w:rPr>
          <w:rFonts w:hint="cs"/>
          <w:spacing w:val="-2"/>
          <w:sz w:val="28"/>
          <w:rtl/>
          <w:lang w:bidi="ar-SY"/>
        </w:rPr>
        <w:t>ا</w:t>
      </w:r>
      <w:r w:rsidR="008A2A49" w:rsidRPr="00B300C9">
        <w:rPr>
          <w:rFonts w:hint="cs"/>
          <w:spacing w:val="-2"/>
          <w:sz w:val="28"/>
          <w:rtl/>
          <w:lang w:bidi="ar-SY"/>
        </w:rPr>
        <w:t>لأ</w:t>
      </w:r>
      <w:r w:rsidRPr="00B300C9">
        <w:rPr>
          <w:rFonts w:hint="cs"/>
          <w:spacing w:val="-2"/>
          <w:sz w:val="28"/>
          <w:rtl/>
          <w:lang w:bidi="ar-SY"/>
        </w:rPr>
        <w:t>ديان</w:t>
      </w:r>
      <w:r w:rsidR="00953581" w:rsidRPr="00B300C9">
        <w:rPr>
          <w:rFonts w:hint="cs"/>
          <w:spacing w:val="-2"/>
          <w:sz w:val="28"/>
          <w:rtl/>
          <w:lang w:bidi="ar-SY"/>
        </w:rPr>
        <w:t xml:space="preserve"> </w:t>
      </w:r>
      <w:r w:rsidR="00194F02" w:rsidRPr="00B300C9">
        <w:rPr>
          <w:rFonts w:hint="cs"/>
          <w:spacing w:val="-2"/>
          <w:sz w:val="28"/>
          <w:rtl/>
          <w:lang w:bidi="ar-SY"/>
        </w:rPr>
        <w:t>وخلّفها</w:t>
      </w:r>
      <w:r w:rsidR="00953581" w:rsidRPr="00B300C9">
        <w:rPr>
          <w:rFonts w:hint="cs"/>
          <w:spacing w:val="-2"/>
          <w:sz w:val="28"/>
          <w:rtl/>
          <w:lang w:bidi="ar-SY"/>
        </w:rPr>
        <w:t xml:space="preserve"> </w:t>
      </w:r>
      <w:r w:rsidR="00194F02" w:rsidRPr="00B300C9">
        <w:rPr>
          <w:rFonts w:hint="cs"/>
          <w:spacing w:val="-2"/>
          <w:sz w:val="28"/>
          <w:rtl/>
          <w:lang w:bidi="ar-SY"/>
        </w:rPr>
        <w:t>لنا</w:t>
      </w:r>
      <w:r w:rsidR="00217AB4" w:rsidRPr="00B300C9">
        <w:rPr>
          <w:rFonts w:hint="cs"/>
          <w:spacing w:val="-2"/>
          <w:sz w:val="28"/>
          <w:rtl/>
          <w:lang w:bidi="ar-SY"/>
        </w:rPr>
        <w:t>.</w:t>
      </w:r>
      <w:r w:rsidR="00953581" w:rsidRPr="00B300C9">
        <w:rPr>
          <w:rFonts w:hint="cs"/>
          <w:spacing w:val="-2"/>
          <w:sz w:val="28"/>
          <w:rtl/>
          <w:lang w:bidi="ar-SY"/>
        </w:rPr>
        <w:t xml:space="preserve"> </w:t>
      </w:r>
      <w:r w:rsidR="00EA29E0" w:rsidRPr="00B300C9">
        <w:rPr>
          <w:rFonts w:hint="cs"/>
          <w:spacing w:val="-2"/>
          <w:sz w:val="28"/>
          <w:rtl/>
          <w:lang w:bidi="ar-SY"/>
        </w:rPr>
        <w:t>جميع</w:t>
      </w:r>
      <w:r w:rsidR="00953581" w:rsidRPr="00B300C9">
        <w:rPr>
          <w:rFonts w:hint="cs"/>
          <w:spacing w:val="-2"/>
          <w:sz w:val="28"/>
          <w:rtl/>
          <w:lang w:bidi="ar-SY"/>
        </w:rPr>
        <w:t xml:space="preserve"> </w:t>
      </w:r>
      <w:r w:rsidR="00EA29E0" w:rsidRPr="00B300C9">
        <w:rPr>
          <w:rFonts w:hint="cs"/>
          <w:spacing w:val="-2"/>
          <w:sz w:val="28"/>
          <w:rtl/>
          <w:lang w:bidi="ar-SY"/>
        </w:rPr>
        <w:t>أديان</w:t>
      </w:r>
      <w:r w:rsidR="00953581" w:rsidRPr="00B300C9">
        <w:rPr>
          <w:rFonts w:hint="cs"/>
          <w:spacing w:val="-2"/>
          <w:sz w:val="28"/>
          <w:rtl/>
          <w:lang w:bidi="ar-SY"/>
        </w:rPr>
        <w:t xml:space="preserve"> </w:t>
      </w:r>
      <w:r w:rsidR="00EA29E0" w:rsidRPr="00B300C9">
        <w:rPr>
          <w:rFonts w:hint="cs"/>
          <w:spacing w:val="-2"/>
          <w:sz w:val="28"/>
          <w:rtl/>
          <w:lang w:bidi="ar-SY"/>
        </w:rPr>
        <w:t>العالم</w:t>
      </w:r>
      <w:r w:rsidR="00953581" w:rsidRPr="00B300C9">
        <w:rPr>
          <w:rFonts w:hint="cs"/>
          <w:spacing w:val="-2"/>
          <w:sz w:val="28"/>
          <w:rtl/>
          <w:lang w:bidi="ar-SY"/>
        </w:rPr>
        <w:t xml:space="preserve"> </w:t>
      </w:r>
      <w:r w:rsidR="00194F02" w:rsidRPr="00B300C9">
        <w:rPr>
          <w:rFonts w:hint="cs"/>
          <w:spacing w:val="-2"/>
          <w:sz w:val="28"/>
          <w:rtl/>
          <w:lang w:bidi="ar-SY"/>
        </w:rPr>
        <w:t>بدءاً</w:t>
      </w:r>
      <w:r w:rsidR="00953581" w:rsidRPr="00B300C9">
        <w:rPr>
          <w:rFonts w:hint="cs"/>
          <w:spacing w:val="-2"/>
          <w:sz w:val="28"/>
          <w:rtl/>
          <w:lang w:bidi="ar-SY"/>
        </w:rPr>
        <w:t xml:space="preserve"> </w:t>
      </w:r>
      <w:r w:rsidR="00194F02" w:rsidRPr="00B300C9">
        <w:rPr>
          <w:rFonts w:hint="cs"/>
          <w:spacing w:val="-2"/>
          <w:sz w:val="28"/>
          <w:rtl/>
          <w:lang w:bidi="ar-SY"/>
        </w:rPr>
        <w:t>من</w:t>
      </w:r>
      <w:r w:rsidR="00953581" w:rsidRPr="00B300C9">
        <w:rPr>
          <w:rFonts w:hint="cs"/>
          <w:spacing w:val="-2"/>
          <w:sz w:val="28"/>
          <w:rtl/>
          <w:lang w:bidi="ar-SY"/>
        </w:rPr>
        <w:t xml:space="preserve"> </w:t>
      </w:r>
      <w:r w:rsidR="00194F02" w:rsidRPr="00B300C9">
        <w:rPr>
          <w:rFonts w:hint="cs"/>
          <w:spacing w:val="-2"/>
          <w:sz w:val="28"/>
          <w:rtl/>
          <w:lang w:bidi="ar-SY"/>
        </w:rPr>
        <w:t>المذاهب</w:t>
      </w:r>
      <w:r w:rsidR="00953581" w:rsidRPr="00B300C9">
        <w:rPr>
          <w:rFonts w:hint="cs"/>
          <w:spacing w:val="-2"/>
          <w:sz w:val="28"/>
          <w:rtl/>
          <w:lang w:bidi="ar-SY"/>
        </w:rPr>
        <w:t xml:space="preserve"> </w:t>
      </w:r>
      <w:r w:rsidR="00194F02" w:rsidRPr="00B300C9">
        <w:rPr>
          <w:rFonts w:hint="cs"/>
          <w:spacing w:val="-2"/>
          <w:sz w:val="28"/>
          <w:rtl/>
          <w:lang w:bidi="ar-SY"/>
        </w:rPr>
        <w:t>والنحل</w:t>
      </w:r>
      <w:r w:rsidR="00953581" w:rsidRPr="00B300C9">
        <w:rPr>
          <w:rFonts w:hint="cs"/>
          <w:spacing w:val="-2"/>
          <w:sz w:val="28"/>
          <w:rtl/>
          <w:lang w:bidi="ar-SY"/>
        </w:rPr>
        <w:t xml:space="preserve"> </w:t>
      </w:r>
      <w:r w:rsidR="00194F02" w:rsidRPr="00B300C9">
        <w:rPr>
          <w:rFonts w:hint="cs"/>
          <w:spacing w:val="-2"/>
          <w:sz w:val="28"/>
          <w:rtl/>
          <w:lang w:bidi="ar-SY"/>
        </w:rPr>
        <w:t>ا</w:t>
      </w:r>
      <w:r w:rsidR="008A2A49" w:rsidRPr="00B300C9">
        <w:rPr>
          <w:rFonts w:hint="cs"/>
          <w:spacing w:val="-2"/>
          <w:sz w:val="28"/>
          <w:rtl/>
          <w:lang w:bidi="ar-SY"/>
        </w:rPr>
        <w:t>لأ</w:t>
      </w:r>
      <w:r w:rsidR="00194F02" w:rsidRPr="00B300C9">
        <w:rPr>
          <w:rFonts w:hint="cs"/>
          <w:spacing w:val="-2"/>
          <w:sz w:val="28"/>
          <w:rtl/>
          <w:lang w:bidi="ar-SY"/>
        </w:rPr>
        <w:t>سطورية</w:t>
      </w:r>
      <w:r w:rsidR="00953581" w:rsidRPr="00B300C9">
        <w:rPr>
          <w:rFonts w:hint="cs"/>
          <w:spacing w:val="-2"/>
          <w:sz w:val="28"/>
          <w:rtl/>
          <w:lang w:bidi="ar-SY"/>
        </w:rPr>
        <w:t xml:space="preserve"> </w:t>
      </w:r>
      <w:r w:rsidR="00EA29E0" w:rsidRPr="00B300C9">
        <w:rPr>
          <w:rFonts w:hint="cs"/>
          <w:spacing w:val="-2"/>
          <w:sz w:val="28"/>
          <w:rtl/>
          <w:lang w:bidi="ar-SY"/>
        </w:rPr>
        <w:t>القديمة</w:t>
      </w:r>
      <w:r w:rsidR="00953581" w:rsidRPr="00B300C9">
        <w:rPr>
          <w:rFonts w:hint="cs"/>
          <w:spacing w:val="-2"/>
          <w:sz w:val="28"/>
          <w:rtl/>
          <w:lang w:bidi="ar-SY"/>
        </w:rPr>
        <w:t xml:space="preserve"> </w:t>
      </w:r>
      <w:r w:rsidR="00194F02" w:rsidRPr="00B300C9">
        <w:rPr>
          <w:rFonts w:hint="cs"/>
          <w:spacing w:val="-2"/>
          <w:sz w:val="28"/>
          <w:rtl/>
          <w:lang w:bidi="ar-SY"/>
        </w:rPr>
        <w:t>ومروراً</w:t>
      </w:r>
      <w:r w:rsidR="00953581" w:rsidRPr="00B300C9">
        <w:rPr>
          <w:rFonts w:hint="cs"/>
          <w:spacing w:val="-2"/>
          <w:sz w:val="28"/>
          <w:rtl/>
          <w:lang w:bidi="ar-SY"/>
        </w:rPr>
        <w:t xml:space="preserve"> </w:t>
      </w:r>
      <w:r w:rsidR="00194F02" w:rsidRPr="00B300C9">
        <w:rPr>
          <w:rFonts w:hint="cs"/>
          <w:spacing w:val="-2"/>
          <w:sz w:val="28"/>
          <w:rtl/>
          <w:lang w:bidi="ar-SY"/>
        </w:rPr>
        <w:t>با</w:t>
      </w:r>
      <w:r w:rsidR="008A2A49" w:rsidRPr="00B300C9">
        <w:rPr>
          <w:rFonts w:hint="cs"/>
          <w:spacing w:val="-2"/>
          <w:sz w:val="28"/>
          <w:rtl/>
          <w:lang w:bidi="ar-SY"/>
        </w:rPr>
        <w:t>لأ</w:t>
      </w:r>
      <w:r w:rsidR="00194F02" w:rsidRPr="00B300C9">
        <w:rPr>
          <w:rFonts w:hint="cs"/>
          <w:spacing w:val="-2"/>
          <w:sz w:val="28"/>
          <w:rtl/>
          <w:lang w:bidi="ar-SY"/>
        </w:rPr>
        <w:t>ديان</w:t>
      </w:r>
      <w:r w:rsidR="00953581" w:rsidRPr="00B300C9">
        <w:rPr>
          <w:rFonts w:hint="cs"/>
          <w:spacing w:val="-2"/>
          <w:sz w:val="28"/>
          <w:rtl/>
          <w:lang w:bidi="ar-SY"/>
        </w:rPr>
        <w:t xml:space="preserve"> </w:t>
      </w:r>
      <w:r w:rsidR="00194F02" w:rsidRPr="00B300C9">
        <w:rPr>
          <w:rFonts w:hint="cs"/>
          <w:spacing w:val="-2"/>
          <w:sz w:val="28"/>
          <w:rtl/>
          <w:lang w:bidi="ar-SY"/>
        </w:rPr>
        <w:t>الحي</w:t>
      </w:r>
      <w:r w:rsidR="00EA29E0" w:rsidRPr="00B300C9">
        <w:rPr>
          <w:rFonts w:hint="cs"/>
          <w:spacing w:val="-2"/>
          <w:sz w:val="28"/>
          <w:rtl/>
          <w:lang w:bidi="ar-SY"/>
        </w:rPr>
        <w:t>َّ</w:t>
      </w:r>
      <w:r w:rsidR="00194F02" w:rsidRPr="00B300C9">
        <w:rPr>
          <w:rFonts w:hint="cs"/>
          <w:spacing w:val="-2"/>
          <w:sz w:val="28"/>
          <w:rtl/>
          <w:lang w:bidi="ar-SY"/>
        </w:rPr>
        <w:t>ة</w:t>
      </w:r>
      <w:r w:rsidR="00953581" w:rsidRPr="00B300C9">
        <w:rPr>
          <w:rFonts w:hint="cs"/>
          <w:spacing w:val="-2"/>
          <w:sz w:val="28"/>
          <w:rtl/>
          <w:lang w:bidi="ar-SY"/>
        </w:rPr>
        <w:t xml:space="preserve"> </w:t>
      </w:r>
      <w:r w:rsidR="00466025" w:rsidRPr="00B300C9">
        <w:rPr>
          <w:rFonts w:hint="cs"/>
          <w:spacing w:val="-2"/>
          <w:sz w:val="28"/>
          <w:rtl/>
          <w:lang w:bidi="ar-SY"/>
        </w:rPr>
        <w:t>الموجودة</w:t>
      </w:r>
      <w:r w:rsidR="00953581" w:rsidRPr="00B300C9">
        <w:rPr>
          <w:rFonts w:hint="cs"/>
          <w:spacing w:val="-2"/>
          <w:sz w:val="28"/>
          <w:rtl/>
          <w:lang w:bidi="ar-SY"/>
        </w:rPr>
        <w:t xml:space="preserve"> </w:t>
      </w:r>
      <w:r w:rsidR="00EA29E0" w:rsidRPr="00B300C9">
        <w:rPr>
          <w:rFonts w:hint="cs"/>
          <w:spacing w:val="-2"/>
          <w:sz w:val="28"/>
          <w:rtl/>
          <w:lang w:bidi="ar-SY"/>
        </w:rPr>
        <w:t>ح</w:t>
      </w:r>
      <w:r w:rsidR="00F637A6" w:rsidRPr="00B300C9">
        <w:rPr>
          <w:rFonts w:hint="cs"/>
          <w:spacing w:val="-2"/>
          <w:sz w:val="28"/>
          <w:rtl/>
          <w:lang w:bidi="ar-SY"/>
        </w:rPr>
        <w:t>ا</w:t>
      </w:r>
      <w:r w:rsidR="00EA29E0" w:rsidRPr="00B300C9">
        <w:rPr>
          <w:rFonts w:hint="cs"/>
          <w:spacing w:val="-2"/>
          <w:sz w:val="28"/>
          <w:rtl/>
          <w:lang w:bidi="ar-SY"/>
        </w:rPr>
        <w:t>لياً</w:t>
      </w:r>
      <w:r w:rsidR="00953581" w:rsidRPr="00B300C9">
        <w:rPr>
          <w:rFonts w:hint="cs"/>
          <w:spacing w:val="-2"/>
          <w:sz w:val="28"/>
          <w:rtl/>
          <w:lang w:bidi="ar-SY"/>
        </w:rPr>
        <w:t xml:space="preserve"> </w:t>
      </w:r>
      <w:r w:rsidR="00466025" w:rsidRPr="00B300C9">
        <w:rPr>
          <w:rFonts w:hint="cs"/>
          <w:spacing w:val="-2"/>
          <w:sz w:val="28"/>
          <w:rtl/>
          <w:lang w:bidi="ar-SY"/>
        </w:rPr>
        <w:t>تعكس</w:t>
      </w:r>
      <w:r w:rsidR="00953581" w:rsidRPr="00B300C9">
        <w:rPr>
          <w:rFonts w:hint="cs"/>
          <w:spacing w:val="-2"/>
          <w:sz w:val="28"/>
          <w:rtl/>
          <w:lang w:bidi="ar-SY"/>
        </w:rPr>
        <w:t xml:space="preserve"> </w:t>
      </w:r>
      <w:r w:rsidR="00466025" w:rsidRPr="00B300C9">
        <w:rPr>
          <w:rFonts w:hint="cs"/>
          <w:spacing w:val="-2"/>
          <w:sz w:val="28"/>
          <w:rtl/>
          <w:lang w:bidi="ar-SY"/>
        </w:rPr>
        <w:t>هذه</w:t>
      </w:r>
      <w:r w:rsidR="00953581" w:rsidRPr="00B300C9">
        <w:rPr>
          <w:rFonts w:hint="cs"/>
          <w:spacing w:val="-2"/>
          <w:sz w:val="28"/>
          <w:rtl/>
          <w:lang w:bidi="ar-SY"/>
        </w:rPr>
        <w:t xml:space="preserve"> </w:t>
      </w:r>
      <w:r w:rsidR="00466025" w:rsidRPr="00B300C9">
        <w:rPr>
          <w:rFonts w:hint="cs"/>
          <w:spacing w:val="-2"/>
          <w:sz w:val="28"/>
          <w:rtl/>
          <w:lang w:bidi="ar-SY"/>
        </w:rPr>
        <w:t>الحقيقة</w:t>
      </w:r>
      <w:r w:rsidR="00217AB4" w:rsidRPr="00B300C9">
        <w:rPr>
          <w:rFonts w:hint="cs"/>
          <w:spacing w:val="-2"/>
          <w:sz w:val="28"/>
          <w:rtl/>
          <w:lang w:bidi="ar-SY"/>
        </w:rPr>
        <w:t>.</w:t>
      </w:r>
      <w:r w:rsidR="00953581" w:rsidRPr="00B300C9">
        <w:rPr>
          <w:rFonts w:hint="cs"/>
          <w:spacing w:val="-2"/>
          <w:sz w:val="28"/>
          <w:rtl/>
          <w:lang w:bidi="ar-SY"/>
        </w:rPr>
        <w:t xml:space="preserve"> </w:t>
      </w:r>
    </w:p>
    <w:p w:rsidR="00415016" w:rsidRPr="003F3B94" w:rsidRDefault="00466025" w:rsidP="003F3B94">
      <w:pPr>
        <w:pStyle w:val="a0"/>
        <w:rPr>
          <w:rFonts w:hint="cs"/>
          <w:rtl/>
          <w:lang w:bidi="ar-SY"/>
        </w:rPr>
      </w:pPr>
      <w:r w:rsidRPr="003F3B94">
        <w:rPr>
          <w:rFonts w:hint="cs"/>
          <w:sz w:val="28"/>
          <w:rtl/>
          <w:lang w:bidi="ar-SY"/>
        </w:rPr>
        <w:t>إن</w:t>
      </w:r>
      <w:r w:rsidR="00953581" w:rsidRPr="003F3B94">
        <w:rPr>
          <w:rFonts w:hint="cs"/>
          <w:sz w:val="28"/>
          <w:rtl/>
          <w:lang w:bidi="ar-SY"/>
        </w:rPr>
        <w:t xml:space="preserve"> </w:t>
      </w:r>
      <w:r w:rsidRPr="003F3B94">
        <w:rPr>
          <w:rFonts w:hint="cs"/>
          <w:sz w:val="28"/>
          <w:rtl/>
          <w:lang w:bidi="ar-SY"/>
        </w:rPr>
        <w:t>هذا</w:t>
      </w:r>
      <w:r w:rsidR="00953581" w:rsidRPr="003F3B94">
        <w:rPr>
          <w:rFonts w:hint="cs"/>
          <w:sz w:val="28"/>
          <w:rtl/>
          <w:lang w:bidi="ar-SY"/>
        </w:rPr>
        <w:t xml:space="preserve"> </w:t>
      </w:r>
      <w:r w:rsidRPr="003F3B94">
        <w:rPr>
          <w:rFonts w:hint="cs"/>
          <w:sz w:val="28"/>
          <w:rtl/>
          <w:lang w:bidi="ar-SY"/>
        </w:rPr>
        <w:t>ا</w:t>
      </w:r>
      <w:r w:rsidR="008A2A49" w:rsidRPr="003F3B94">
        <w:rPr>
          <w:rFonts w:hint="cs"/>
          <w:sz w:val="28"/>
          <w:rtl/>
          <w:lang w:bidi="ar-SY"/>
        </w:rPr>
        <w:t>لإ</w:t>
      </w:r>
      <w:r w:rsidRPr="003F3B94">
        <w:rPr>
          <w:rFonts w:hint="cs"/>
          <w:sz w:val="28"/>
          <w:rtl/>
          <w:lang w:bidi="ar-SY"/>
        </w:rPr>
        <w:t>نسان</w:t>
      </w:r>
      <w:r w:rsidR="00953581" w:rsidRPr="003F3B94">
        <w:rPr>
          <w:rFonts w:hint="cs"/>
          <w:sz w:val="28"/>
          <w:rtl/>
          <w:lang w:bidi="ar-SY"/>
        </w:rPr>
        <w:t xml:space="preserve"> </w:t>
      </w:r>
      <w:r w:rsidRPr="003F3B94">
        <w:rPr>
          <w:rFonts w:hint="cs"/>
          <w:sz w:val="28"/>
          <w:rtl/>
          <w:lang w:bidi="ar-SY"/>
        </w:rPr>
        <w:t>لم</w:t>
      </w:r>
      <w:r w:rsidR="00953581" w:rsidRPr="003F3B94">
        <w:rPr>
          <w:rFonts w:hint="cs"/>
          <w:sz w:val="28"/>
          <w:rtl/>
          <w:lang w:bidi="ar-SY"/>
        </w:rPr>
        <w:t xml:space="preserve"> </w:t>
      </w:r>
      <w:r w:rsidRPr="003F3B94">
        <w:rPr>
          <w:rFonts w:hint="cs"/>
          <w:sz w:val="28"/>
          <w:rtl/>
          <w:lang w:bidi="ar-SY"/>
        </w:rPr>
        <w:t>يستطع</w:t>
      </w:r>
      <w:r w:rsidR="00953581" w:rsidRPr="003F3B94">
        <w:rPr>
          <w:rFonts w:hint="cs"/>
          <w:sz w:val="28"/>
          <w:rtl/>
          <w:lang w:bidi="ar-SY"/>
        </w:rPr>
        <w:t xml:space="preserve"> </w:t>
      </w:r>
      <w:r w:rsidRPr="003F3B94">
        <w:rPr>
          <w:rFonts w:hint="cs"/>
          <w:sz w:val="28"/>
          <w:rtl/>
          <w:lang w:bidi="ar-SY"/>
        </w:rPr>
        <w:t>أن</w:t>
      </w:r>
      <w:r w:rsidR="00953581" w:rsidRPr="003F3B94">
        <w:rPr>
          <w:rFonts w:hint="cs"/>
          <w:sz w:val="28"/>
          <w:rtl/>
          <w:lang w:bidi="ar-SY"/>
        </w:rPr>
        <w:t xml:space="preserve"> </w:t>
      </w:r>
      <w:r w:rsidRPr="003F3B94">
        <w:rPr>
          <w:rFonts w:hint="cs"/>
          <w:sz w:val="28"/>
          <w:rtl/>
          <w:lang w:bidi="ar-SY"/>
        </w:rPr>
        <w:t>يعيش</w:t>
      </w:r>
      <w:r w:rsidR="00953581" w:rsidRPr="003F3B94">
        <w:rPr>
          <w:rFonts w:hint="cs"/>
          <w:sz w:val="28"/>
          <w:rtl/>
          <w:lang w:bidi="ar-SY"/>
        </w:rPr>
        <w:t xml:space="preserve"> </w:t>
      </w:r>
      <w:r w:rsidRPr="003F3B94">
        <w:rPr>
          <w:rFonts w:hint="cs"/>
          <w:sz w:val="28"/>
          <w:rtl/>
          <w:lang w:bidi="ar-SY"/>
        </w:rPr>
        <w:t>في</w:t>
      </w:r>
      <w:r w:rsidR="00953581" w:rsidRPr="003F3B94">
        <w:rPr>
          <w:rFonts w:hint="cs"/>
          <w:sz w:val="28"/>
          <w:rtl/>
          <w:lang w:bidi="ar-SY"/>
        </w:rPr>
        <w:t xml:space="preserve"> </w:t>
      </w:r>
      <w:r w:rsidRPr="003F3B94">
        <w:rPr>
          <w:rFonts w:hint="cs"/>
          <w:sz w:val="28"/>
          <w:rtl/>
          <w:lang w:bidi="ar-SY"/>
        </w:rPr>
        <w:t>هذه</w:t>
      </w:r>
      <w:r w:rsidR="00953581" w:rsidRPr="003F3B94">
        <w:rPr>
          <w:rFonts w:hint="cs"/>
          <w:sz w:val="28"/>
          <w:rtl/>
          <w:lang w:bidi="ar-SY"/>
        </w:rPr>
        <w:t xml:space="preserve"> </w:t>
      </w:r>
      <w:r w:rsidRPr="003F3B94">
        <w:rPr>
          <w:rFonts w:hint="cs"/>
          <w:sz w:val="28"/>
          <w:rtl/>
          <w:lang w:bidi="ar-SY"/>
        </w:rPr>
        <w:t>الدنيا</w:t>
      </w:r>
      <w:r w:rsidR="00953581" w:rsidRPr="003F3B94">
        <w:rPr>
          <w:rFonts w:hint="cs"/>
          <w:sz w:val="28"/>
          <w:rtl/>
          <w:lang w:bidi="ar-SY"/>
        </w:rPr>
        <w:t xml:space="preserve"> </w:t>
      </w:r>
      <w:r w:rsidRPr="003F3B94">
        <w:rPr>
          <w:rFonts w:hint="cs"/>
          <w:sz w:val="28"/>
          <w:rtl/>
          <w:lang w:bidi="ar-SY"/>
        </w:rPr>
        <w:t>لحظةً</w:t>
      </w:r>
      <w:r w:rsidR="00953581" w:rsidRPr="003F3B94">
        <w:rPr>
          <w:rFonts w:hint="cs"/>
          <w:sz w:val="28"/>
          <w:rtl/>
          <w:lang w:bidi="ar-SY"/>
        </w:rPr>
        <w:t xml:space="preserve"> </w:t>
      </w:r>
      <w:r w:rsidRPr="003F3B94">
        <w:rPr>
          <w:rFonts w:hint="cs"/>
          <w:sz w:val="28"/>
          <w:rtl/>
          <w:lang w:bidi="ar-SY"/>
        </w:rPr>
        <w:t>واحدةً</w:t>
      </w:r>
      <w:r w:rsidR="00953581" w:rsidRPr="003F3B94">
        <w:rPr>
          <w:rFonts w:hint="cs"/>
          <w:sz w:val="28"/>
          <w:rtl/>
          <w:lang w:bidi="ar-SY"/>
        </w:rPr>
        <w:t xml:space="preserve"> </w:t>
      </w:r>
      <w:r w:rsidR="006C67E1" w:rsidRPr="003F3B94">
        <w:rPr>
          <w:rFonts w:hint="cs"/>
          <w:sz w:val="28"/>
          <w:rtl/>
          <w:lang w:bidi="ar-SY"/>
        </w:rPr>
        <w:t>دون</w:t>
      </w:r>
      <w:r w:rsidR="00953581" w:rsidRPr="003F3B94">
        <w:rPr>
          <w:rFonts w:hint="cs"/>
          <w:sz w:val="28"/>
          <w:rtl/>
          <w:lang w:bidi="ar-SY"/>
        </w:rPr>
        <w:t xml:space="preserve"> </w:t>
      </w:r>
      <w:r w:rsidR="006C67E1" w:rsidRPr="003F3B94">
        <w:rPr>
          <w:rFonts w:hint="cs"/>
          <w:sz w:val="28"/>
          <w:rtl/>
          <w:lang w:bidi="ar-SY"/>
        </w:rPr>
        <w:t>دينٍ</w:t>
      </w:r>
      <w:r w:rsidR="00953581" w:rsidRPr="003F3B94">
        <w:rPr>
          <w:rFonts w:hint="cs"/>
          <w:sz w:val="28"/>
          <w:rtl/>
          <w:lang w:bidi="ar-SY"/>
        </w:rPr>
        <w:t xml:space="preserve"> </w:t>
      </w:r>
      <w:r w:rsidR="006C67E1" w:rsidRPr="003F3B94">
        <w:rPr>
          <w:rFonts w:hint="cs"/>
          <w:sz w:val="28"/>
          <w:rtl/>
          <w:lang w:bidi="ar-SY"/>
        </w:rPr>
        <w:t>وعقيدةٍ</w:t>
      </w:r>
      <w:r w:rsidR="00953581" w:rsidRPr="003F3B94">
        <w:rPr>
          <w:rFonts w:hint="cs"/>
          <w:sz w:val="28"/>
          <w:rtl/>
          <w:lang w:bidi="ar-SY"/>
        </w:rPr>
        <w:t xml:space="preserve"> </w:t>
      </w:r>
      <w:r w:rsidR="006C67E1" w:rsidRPr="003F3B94">
        <w:rPr>
          <w:rFonts w:hint="cs"/>
          <w:sz w:val="28"/>
          <w:rtl/>
          <w:lang w:bidi="ar-SY"/>
        </w:rPr>
        <w:t>وإذا</w:t>
      </w:r>
      <w:r w:rsidR="00953581" w:rsidRPr="003F3B94">
        <w:rPr>
          <w:rFonts w:hint="cs"/>
          <w:sz w:val="28"/>
          <w:rtl/>
          <w:lang w:bidi="ar-SY"/>
        </w:rPr>
        <w:t xml:space="preserve"> </w:t>
      </w:r>
      <w:r w:rsidR="006C67E1" w:rsidRPr="003F3B94">
        <w:rPr>
          <w:rFonts w:hint="cs"/>
          <w:sz w:val="28"/>
          <w:rtl/>
          <w:lang w:bidi="ar-SY"/>
        </w:rPr>
        <w:t>بحثنا</w:t>
      </w:r>
      <w:r w:rsidR="00953581" w:rsidRPr="003F3B94">
        <w:rPr>
          <w:rFonts w:hint="cs"/>
          <w:sz w:val="28"/>
          <w:rtl/>
          <w:lang w:bidi="ar-SY"/>
        </w:rPr>
        <w:t xml:space="preserve"> </w:t>
      </w:r>
      <w:r w:rsidR="006C67E1" w:rsidRPr="003F3B94">
        <w:rPr>
          <w:rFonts w:hint="cs"/>
          <w:sz w:val="28"/>
          <w:rtl/>
          <w:lang w:bidi="ar-SY"/>
        </w:rPr>
        <w:t>بدقةٍ</w:t>
      </w:r>
      <w:r w:rsidR="00953581" w:rsidRPr="003F3B94">
        <w:rPr>
          <w:rFonts w:hint="cs"/>
          <w:sz w:val="28"/>
          <w:rtl/>
          <w:lang w:bidi="ar-SY"/>
        </w:rPr>
        <w:t xml:space="preserve"> </w:t>
      </w:r>
      <w:r w:rsidR="006C67E1" w:rsidRPr="003F3B94">
        <w:rPr>
          <w:rFonts w:hint="cs"/>
          <w:sz w:val="28"/>
          <w:rtl/>
          <w:lang w:bidi="ar-SY"/>
        </w:rPr>
        <w:t>وجدنا</w:t>
      </w:r>
      <w:r w:rsidR="00953581" w:rsidRPr="003F3B94">
        <w:rPr>
          <w:rFonts w:hint="cs"/>
          <w:sz w:val="28"/>
          <w:rtl/>
          <w:lang w:bidi="ar-SY"/>
        </w:rPr>
        <w:t xml:space="preserve"> </w:t>
      </w:r>
      <w:r w:rsidR="006C67E1" w:rsidRPr="003F3B94">
        <w:rPr>
          <w:rFonts w:hint="cs"/>
          <w:sz w:val="28"/>
          <w:rtl/>
          <w:lang w:bidi="ar-SY"/>
        </w:rPr>
        <w:t>على</w:t>
      </w:r>
      <w:r w:rsidR="00953581" w:rsidRPr="003F3B94">
        <w:rPr>
          <w:rFonts w:hint="cs"/>
          <w:sz w:val="28"/>
          <w:rtl/>
          <w:lang w:bidi="ar-SY"/>
        </w:rPr>
        <w:t xml:space="preserve"> </w:t>
      </w:r>
      <w:r w:rsidR="006C67E1" w:rsidRPr="003F3B94">
        <w:rPr>
          <w:rFonts w:hint="cs"/>
          <w:sz w:val="28"/>
          <w:rtl/>
          <w:lang w:bidi="ar-SY"/>
        </w:rPr>
        <w:t>وجه</w:t>
      </w:r>
      <w:r w:rsidR="00953581" w:rsidRPr="003F3B94">
        <w:rPr>
          <w:rFonts w:hint="cs"/>
          <w:sz w:val="28"/>
          <w:rtl/>
          <w:lang w:bidi="ar-SY"/>
        </w:rPr>
        <w:t xml:space="preserve"> </w:t>
      </w:r>
      <w:r w:rsidR="006C67E1" w:rsidRPr="003F3B94">
        <w:rPr>
          <w:rFonts w:hint="cs"/>
          <w:sz w:val="28"/>
          <w:rtl/>
          <w:lang w:bidi="ar-SY"/>
        </w:rPr>
        <w:t>اليقين</w:t>
      </w:r>
      <w:r w:rsidR="00953581" w:rsidRPr="003F3B94">
        <w:rPr>
          <w:rFonts w:hint="cs"/>
          <w:sz w:val="28"/>
          <w:rtl/>
          <w:lang w:bidi="ar-SY"/>
        </w:rPr>
        <w:t xml:space="preserve"> </w:t>
      </w:r>
      <w:r w:rsidR="006C67E1" w:rsidRPr="003F3B94">
        <w:rPr>
          <w:rFonts w:hint="cs"/>
          <w:sz w:val="28"/>
          <w:rtl/>
          <w:lang w:bidi="ar-SY"/>
        </w:rPr>
        <w:t>أن</w:t>
      </w:r>
      <w:r w:rsidR="00953581" w:rsidRPr="003F3B94">
        <w:rPr>
          <w:rFonts w:hint="cs"/>
          <w:sz w:val="28"/>
          <w:rtl/>
          <w:lang w:bidi="ar-SY"/>
        </w:rPr>
        <w:t xml:space="preserve"> </w:t>
      </w:r>
      <w:r w:rsidR="006C67E1" w:rsidRPr="003F3B94">
        <w:rPr>
          <w:rFonts w:hint="cs"/>
          <w:sz w:val="28"/>
          <w:rtl/>
          <w:lang w:bidi="ar-SY"/>
        </w:rPr>
        <w:t>ارتقاء</w:t>
      </w:r>
      <w:r w:rsidR="00953581" w:rsidRPr="003F3B94">
        <w:rPr>
          <w:rFonts w:hint="cs"/>
          <w:sz w:val="28"/>
          <w:rtl/>
          <w:lang w:bidi="ar-SY"/>
        </w:rPr>
        <w:t xml:space="preserve"> </w:t>
      </w:r>
      <w:r w:rsidR="006C67E1" w:rsidRPr="003F3B94">
        <w:rPr>
          <w:rFonts w:hint="cs"/>
          <w:sz w:val="28"/>
          <w:rtl/>
          <w:lang w:bidi="ar-SY"/>
        </w:rPr>
        <w:t>وانحطاط</w:t>
      </w:r>
      <w:r w:rsidR="00953581" w:rsidRPr="003F3B94">
        <w:rPr>
          <w:rFonts w:hint="cs"/>
          <w:sz w:val="28"/>
          <w:rtl/>
          <w:lang w:bidi="ar-SY"/>
        </w:rPr>
        <w:t xml:space="preserve"> </w:t>
      </w:r>
      <w:r w:rsidR="006C67E1" w:rsidRPr="003F3B94">
        <w:rPr>
          <w:rFonts w:hint="cs"/>
          <w:sz w:val="28"/>
          <w:rtl/>
          <w:lang w:bidi="ar-SY"/>
        </w:rPr>
        <w:t>كل</w:t>
      </w:r>
      <w:r w:rsidR="00953581" w:rsidRPr="003F3B94">
        <w:rPr>
          <w:rFonts w:hint="cs"/>
          <w:sz w:val="28"/>
          <w:rtl/>
          <w:lang w:bidi="ar-SY"/>
        </w:rPr>
        <w:t xml:space="preserve"> </w:t>
      </w:r>
      <w:r w:rsidR="006C67E1" w:rsidRPr="003F3B94">
        <w:rPr>
          <w:rFonts w:hint="cs"/>
          <w:sz w:val="28"/>
          <w:rtl/>
          <w:lang w:bidi="ar-SY"/>
        </w:rPr>
        <w:t>أمة</w:t>
      </w:r>
      <w:r w:rsidR="00953581" w:rsidRPr="003F3B94">
        <w:rPr>
          <w:rFonts w:hint="cs"/>
          <w:sz w:val="28"/>
          <w:rtl/>
          <w:lang w:bidi="ar-SY"/>
        </w:rPr>
        <w:t xml:space="preserve"> </w:t>
      </w:r>
      <w:r w:rsidR="006C67E1" w:rsidRPr="003F3B94">
        <w:rPr>
          <w:rFonts w:hint="cs"/>
          <w:sz w:val="28"/>
          <w:rtl/>
          <w:lang w:bidi="ar-SY"/>
        </w:rPr>
        <w:t>وشعب</w:t>
      </w:r>
      <w:r w:rsidR="00953581" w:rsidRPr="003F3B94">
        <w:rPr>
          <w:rFonts w:hint="cs"/>
          <w:sz w:val="28"/>
          <w:rtl/>
          <w:lang w:bidi="ar-SY"/>
        </w:rPr>
        <w:t xml:space="preserve"> </w:t>
      </w:r>
      <w:r w:rsidR="006C67E1" w:rsidRPr="003F3B94">
        <w:rPr>
          <w:rFonts w:hint="cs"/>
          <w:sz w:val="28"/>
          <w:rtl/>
          <w:lang w:bidi="ar-SY"/>
        </w:rPr>
        <w:t>ناتج</w:t>
      </w:r>
      <w:r w:rsidR="00EA29E0" w:rsidRPr="003F3B94">
        <w:rPr>
          <w:rFonts w:hint="cs"/>
          <w:sz w:val="28"/>
          <w:rtl/>
          <w:lang w:bidi="ar-SY"/>
        </w:rPr>
        <w:t>ٌ</w:t>
      </w:r>
      <w:r w:rsidR="00953581" w:rsidRPr="003F3B94">
        <w:rPr>
          <w:rFonts w:hint="cs"/>
          <w:sz w:val="28"/>
          <w:rtl/>
          <w:lang w:bidi="ar-SY"/>
        </w:rPr>
        <w:t xml:space="preserve"> </w:t>
      </w:r>
      <w:r w:rsidR="006C67E1" w:rsidRPr="003F3B94">
        <w:rPr>
          <w:rFonts w:hint="cs"/>
          <w:sz w:val="28"/>
          <w:rtl/>
          <w:lang w:bidi="ar-SY"/>
        </w:rPr>
        <w:t>مباشرةً</w:t>
      </w:r>
      <w:r w:rsidR="00953581" w:rsidRPr="003F3B94">
        <w:rPr>
          <w:rFonts w:hint="cs"/>
          <w:sz w:val="28"/>
          <w:rtl/>
          <w:lang w:bidi="ar-SY"/>
        </w:rPr>
        <w:t xml:space="preserve"> </w:t>
      </w:r>
      <w:r w:rsidR="006C67E1" w:rsidRPr="003F3B94">
        <w:rPr>
          <w:rFonts w:hint="cs"/>
          <w:sz w:val="28"/>
          <w:rtl/>
          <w:lang w:bidi="ar-SY"/>
        </w:rPr>
        <w:t>عن</w:t>
      </w:r>
      <w:r w:rsidR="00953581" w:rsidRPr="003F3B94">
        <w:rPr>
          <w:rFonts w:hint="cs"/>
          <w:sz w:val="28"/>
          <w:rtl/>
          <w:lang w:bidi="ar-SY"/>
        </w:rPr>
        <w:t xml:space="preserve"> </w:t>
      </w:r>
      <w:r w:rsidR="006C67E1" w:rsidRPr="003F3B94">
        <w:rPr>
          <w:rFonts w:hint="cs"/>
          <w:sz w:val="28"/>
          <w:rtl/>
          <w:lang w:bidi="ar-SY"/>
        </w:rPr>
        <w:t>دينه</w:t>
      </w:r>
      <w:r w:rsidR="00953581" w:rsidRPr="003F3B94">
        <w:rPr>
          <w:rFonts w:hint="cs"/>
          <w:sz w:val="28"/>
          <w:rtl/>
          <w:lang w:bidi="ar-SY"/>
        </w:rPr>
        <w:t xml:space="preserve"> </w:t>
      </w:r>
      <w:r w:rsidR="006C67E1" w:rsidRPr="003F3B94">
        <w:rPr>
          <w:rFonts w:hint="cs"/>
          <w:sz w:val="28"/>
          <w:rtl/>
          <w:lang w:bidi="ar-SY"/>
        </w:rPr>
        <w:t>ونحلته</w:t>
      </w:r>
      <w:r w:rsidR="00953581" w:rsidRPr="003F3B94">
        <w:rPr>
          <w:rFonts w:hint="cs"/>
          <w:sz w:val="28"/>
          <w:rtl/>
          <w:lang w:bidi="ar-SY"/>
        </w:rPr>
        <w:t xml:space="preserve"> </w:t>
      </w:r>
      <w:r w:rsidR="006C67E1" w:rsidRPr="003F3B94">
        <w:rPr>
          <w:rFonts w:hint="cs"/>
          <w:sz w:val="28"/>
          <w:rtl/>
          <w:lang w:bidi="ar-SY"/>
        </w:rPr>
        <w:t>التي</w:t>
      </w:r>
      <w:r w:rsidR="00953581" w:rsidRPr="003F3B94">
        <w:rPr>
          <w:rFonts w:hint="cs"/>
          <w:sz w:val="28"/>
          <w:rtl/>
          <w:lang w:bidi="ar-SY"/>
        </w:rPr>
        <w:t xml:space="preserve"> </w:t>
      </w:r>
      <w:r w:rsidR="006C67E1" w:rsidRPr="003F3B94">
        <w:rPr>
          <w:rFonts w:hint="cs"/>
          <w:sz w:val="28"/>
          <w:rtl/>
          <w:lang w:bidi="ar-SY"/>
        </w:rPr>
        <w:t>يتبعها</w:t>
      </w:r>
      <w:r w:rsidR="00953581" w:rsidRPr="003F3B94">
        <w:rPr>
          <w:rFonts w:hint="cs"/>
          <w:sz w:val="28"/>
          <w:rtl/>
          <w:lang w:bidi="ar-SY"/>
        </w:rPr>
        <w:t xml:space="preserve"> </w:t>
      </w:r>
      <w:r w:rsidR="006C67E1" w:rsidRPr="003F3B94">
        <w:rPr>
          <w:rFonts w:hint="cs"/>
          <w:sz w:val="28"/>
          <w:rtl/>
          <w:lang w:bidi="ar-SY"/>
        </w:rPr>
        <w:t>في</w:t>
      </w:r>
      <w:r w:rsidR="00953581" w:rsidRPr="003F3B94">
        <w:rPr>
          <w:rFonts w:hint="cs"/>
          <w:sz w:val="28"/>
          <w:rtl/>
          <w:lang w:bidi="ar-SY"/>
        </w:rPr>
        <w:t xml:space="preserve"> </w:t>
      </w:r>
      <w:r w:rsidR="006C67E1" w:rsidRPr="003F3B94">
        <w:rPr>
          <w:rFonts w:hint="cs"/>
          <w:sz w:val="28"/>
          <w:rtl/>
          <w:lang w:bidi="ar-SY"/>
        </w:rPr>
        <w:t>حياته</w:t>
      </w:r>
      <w:r w:rsidR="00217AB4" w:rsidRPr="003F3B94">
        <w:rPr>
          <w:rFonts w:hint="cs"/>
          <w:sz w:val="28"/>
          <w:rtl/>
          <w:lang w:bidi="ar-SY"/>
        </w:rPr>
        <w:t>.</w:t>
      </w:r>
      <w:r w:rsidR="00953581" w:rsidRPr="003F3B94">
        <w:rPr>
          <w:rFonts w:hint="cs"/>
          <w:sz w:val="28"/>
          <w:rtl/>
          <w:lang w:bidi="ar-SY"/>
        </w:rPr>
        <w:t xml:space="preserve"> </w:t>
      </w:r>
      <w:r w:rsidR="001B11E7" w:rsidRPr="003F3B94">
        <w:rPr>
          <w:rFonts w:hint="cs"/>
          <w:sz w:val="28"/>
          <w:rtl/>
          <w:lang w:bidi="ar-SY"/>
        </w:rPr>
        <w:t>ذلك</w:t>
      </w:r>
      <w:r w:rsidR="00953581" w:rsidRPr="003F3B94">
        <w:rPr>
          <w:rFonts w:hint="cs"/>
          <w:sz w:val="28"/>
          <w:rtl/>
          <w:lang w:bidi="ar-SY"/>
        </w:rPr>
        <w:t xml:space="preserve"> </w:t>
      </w:r>
      <w:r w:rsidR="008A2A49" w:rsidRPr="003F3B94">
        <w:rPr>
          <w:rFonts w:hint="cs"/>
          <w:sz w:val="28"/>
          <w:rtl/>
          <w:lang w:bidi="ar-SY"/>
        </w:rPr>
        <w:t>لأ</w:t>
      </w:r>
      <w:r w:rsidR="001B11E7" w:rsidRPr="003F3B94">
        <w:rPr>
          <w:rFonts w:hint="cs"/>
          <w:sz w:val="28"/>
          <w:rtl/>
          <w:lang w:bidi="ar-SY"/>
        </w:rPr>
        <w:t>ن</w:t>
      </w:r>
      <w:r w:rsidR="00953581" w:rsidRPr="003F3B94">
        <w:rPr>
          <w:rFonts w:hint="cs"/>
          <w:sz w:val="28"/>
          <w:rtl/>
          <w:lang w:bidi="ar-SY"/>
        </w:rPr>
        <w:t xml:space="preserve"> </w:t>
      </w:r>
      <w:r w:rsidR="001B11E7" w:rsidRPr="003F3B94">
        <w:rPr>
          <w:rFonts w:hint="cs"/>
          <w:sz w:val="28"/>
          <w:rtl/>
          <w:lang w:bidi="ar-SY"/>
        </w:rPr>
        <w:t>ا</w:t>
      </w:r>
      <w:r w:rsidR="008A2A49" w:rsidRPr="003F3B94">
        <w:rPr>
          <w:rFonts w:hint="cs"/>
          <w:sz w:val="28"/>
          <w:rtl/>
          <w:lang w:bidi="ar-SY"/>
        </w:rPr>
        <w:t>لأ</w:t>
      </w:r>
      <w:r w:rsidR="001B11E7" w:rsidRPr="003F3B94">
        <w:rPr>
          <w:rFonts w:hint="cs"/>
          <w:sz w:val="28"/>
          <w:rtl/>
          <w:lang w:bidi="ar-SY"/>
        </w:rPr>
        <w:t>ديان</w:t>
      </w:r>
      <w:r w:rsidR="00953581" w:rsidRPr="003F3B94">
        <w:rPr>
          <w:rFonts w:hint="cs"/>
          <w:sz w:val="28"/>
          <w:rtl/>
          <w:lang w:bidi="ar-SY"/>
        </w:rPr>
        <w:t xml:space="preserve"> </w:t>
      </w:r>
      <w:r w:rsidR="001B11E7" w:rsidRPr="003F3B94">
        <w:rPr>
          <w:rFonts w:hint="cs"/>
          <w:sz w:val="28"/>
          <w:rtl/>
          <w:lang w:bidi="ar-SY"/>
        </w:rPr>
        <w:t>التي</w:t>
      </w:r>
      <w:r w:rsidR="00953581" w:rsidRPr="003F3B94">
        <w:rPr>
          <w:rFonts w:hint="cs"/>
          <w:sz w:val="28"/>
          <w:rtl/>
          <w:lang w:bidi="ar-SY"/>
        </w:rPr>
        <w:t xml:space="preserve"> </w:t>
      </w:r>
      <w:r w:rsidR="001C4E2E" w:rsidRPr="003F3B94">
        <w:rPr>
          <w:rFonts w:hint="cs"/>
          <w:sz w:val="28"/>
          <w:rtl/>
          <w:lang w:bidi="ar-SY"/>
        </w:rPr>
        <w:t>أخذت</w:t>
      </w:r>
      <w:r w:rsidR="00953581" w:rsidRPr="003F3B94">
        <w:rPr>
          <w:rFonts w:hint="cs"/>
          <w:sz w:val="28"/>
          <w:rtl/>
          <w:lang w:bidi="ar-SY"/>
        </w:rPr>
        <w:t xml:space="preserve"> </w:t>
      </w:r>
      <w:r w:rsidR="001C4E2E" w:rsidRPr="003F3B94">
        <w:rPr>
          <w:rFonts w:hint="cs"/>
          <w:sz w:val="28"/>
          <w:rtl/>
          <w:lang w:bidi="ar-SY"/>
        </w:rPr>
        <w:t>على</w:t>
      </w:r>
      <w:r w:rsidR="00953581" w:rsidRPr="003F3B94">
        <w:rPr>
          <w:rFonts w:hint="cs"/>
          <w:sz w:val="28"/>
          <w:rtl/>
          <w:lang w:bidi="ar-SY"/>
        </w:rPr>
        <w:t xml:space="preserve"> </w:t>
      </w:r>
      <w:r w:rsidR="001C4E2E" w:rsidRPr="003F3B94">
        <w:rPr>
          <w:rFonts w:hint="cs"/>
          <w:sz w:val="28"/>
          <w:rtl/>
          <w:lang w:bidi="ar-SY"/>
        </w:rPr>
        <w:t>عاتقها</w:t>
      </w:r>
      <w:r w:rsidR="00953581" w:rsidRPr="003F3B94">
        <w:rPr>
          <w:rFonts w:hint="cs"/>
          <w:sz w:val="28"/>
          <w:rtl/>
          <w:lang w:bidi="ar-SY"/>
        </w:rPr>
        <w:t xml:space="preserve"> </w:t>
      </w:r>
      <w:r w:rsidR="001C4E2E" w:rsidRPr="003F3B94">
        <w:rPr>
          <w:rFonts w:hint="cs"/>
          <w:sz w:val="28"/>
          <w:rtl/>
          <w:lang w:bidi="ar-SY"/>
        </w:rPr>
        <w:t>قيادة</w:t>
      </w:r>
      <w:r w:rsidR="00953581" w:rsidRPr="003F3B94">
        <w:rPr>
          <w:rFonts w:hint="cs"/>
          <w:sz w:val="28"/>
          <w:rtl/>
          <w:lang w:bidi="ar-SY"/>
        </w:rPr>
        <w:t xml:space="preserve"> </w:t>
      </w:r>
      <w:r w:rsidR="001B11E7" w:rsidRPr="003F3B94">
        <w:rPr>
          <w:rFonts w:hint="cs"/>
          <w:sz w:val="28"/>
          <w:rtl/>
          <w:lang w:bidi="ar-SY"/>
        </w:rPr>
        <w:t>المجتمعات</w:t>
      </w:r>
      <w:r w:rsidR="00953581" w:rsidRPr="003F3B94">
        <w:rPr>
          <w:rFonts w:hint="cs"/>
          <w:sz w:val="28"/>
          <w:rtl/>
          <w:lang w:bidi="ar-SY"/>
        </w:rPr>
        <w:t xml:space="preserve"> </w:t>
      </w:r>
      <w:r w:rsidR="001B11E7" w:rsidRPr="003F3B94">
        <w:rPr>
          <w:rFonts w:hint="cs"/>
          <w:sz w:val="28"/>
          <w:rtl/>
          <w:lang w:bidi="ar-SY"/>
        </w:rPr>
        <w:t>البشرية</w:t>
      </w:r>
      <w:r w:rsidR="00953581" w:rsidRPr="003F3B94">
        <w:rPr>
          <w:rFonts w:hint="cs"/>
          <w:sz w:val="28"/>
          <w:rtl/>
          <w:lang w:bidi="ar-SY"/>
        </w:rPr>
        <w:t xml:space="preserve"> </w:t>
      </w:r>
      <w:r w:rsidR="001B11E7" w:rsidRPr="003F3B94">
        <w:rPr>
          <w:rFonts w:hint="cs"/>
          <w:sz w:val="28"/>
          <w:rtl/>
          <w:lang w:bidi="ar-SY"/>
        </w:rPr>
        <w:t>المختلفة</w:t>
      </w:r>
      <w:r w:rsidR="00953581" w:rsidRPr="003F3B94">
        <w:rPr>
          <w:rFonts w:hint="cs"/>
          <w:sz w:val="28"/>
          <w:rtl/>
          <w:lang w:bidi="ar-SY"/>
        </w:rPr>
        <w:t xml:space="preserve"> </w:t>
      </w:r>
      <w:r w:rsidR="001B11E7" w:rsidRPr="003F3B94">
        <w:rPr>
          <w:rFonts w:hint="cs"/>
          <w:sz w:val="28"/>
          <w:rtl/>
          <w:lang w:bidi="ar-SY"/>
        </w:rPr>
        <w:t>في</w:t>
      </w:r>
      <w:r w:rsidR="00953581" w:rsidRPr="003F3B94">
        <w:rPr>
          <w:rFonts w:hint="cs"/>
          <w:sz w:val="28"/>
          <w:rtl/>
          <w:lang w:bidi="ar-SY"/>
        </w:rPr>
        <w:t xml:space="preserve"> </w:t>
      </w:r>
      <w:r w:rsidR="001B11E7" w:rsidRPr="003F3B94">
        <w:rPr>
          <w:rFonts w:hint="cs"/>
          <w:sz w:val="28"/>
          <w:rtl/>
          <w:lang w:bidi="ar-SY"/>
        </w:rPr>
        <w:t>العالم</w:t>
      </w:r>
      <w:r w:rsidR="00953581" w:rsidRPr="003F3B94">
        <w:rPr>
          <w:rFonts w:hint="cs"/>
          <w:sz w:val="28"/>
          <w:rtl/>
          <w:lang w:bidi="ar-SY"/>
        </w:rPr>
        <w:t xml:space="preserve"> </w:t>
      </w:r>
      <w:r w:rsidR="008A2A49" w:rsidRPr="003F3B94">
        <w:rPr>
          <w:rFonts w:hint="cs"/>
          <w:sz w:val="28"/>
          <w:rtl/>
          <w:lang w:bidi="ar-SY"/>
        </w:rPr>
        <w:t>لا</w:t>
      </w:r>
      <w:r w:rsidR="00953581" w:rsidRPr="003F3B94">
        <w:rPr>
          <w:rFonts w:hint="cs"/>
          <w:sz w:val="28"/>
          <w:rtl/>
          <w:lang w:bidi="ar-SY"/>
        </w:rPr>
        <w:t xml:space="preserve"> </w:t>
      </w:r>
      <w:r w:rsidR="001C4E2E" w:rsidRPr="003F3B94">
        <w:rPr>
          <w:rFonts w:hint="cs"/>
          <w:sz w:val="28"/>
          <w:rtl/>
          <w:lang w:bidi="ar-SY"/>
        </w:rPr>
        <w:t>تنبع</w:t>
      </w:r>
      <w:r w:rsidR="00953581" w:rsidRPr="003F3B94">
        <w:rPr>
          <w:rFonts w:hint="cs"/>
          <w:sz w:val="28"/>
          <w:rtl/>
          <w:lang w:bidi="ar-SY"/>
        </w:rPr>
        <w:t xml:space="preserve"> </w:t>
      </w:r>
      <w:r w:rsidR="001C4E2E" w:rsidRPr="003F3B94">
        <w:rPr>
          <w:rFonts w:hint="cs"/>
          <w:sz w:val="28"/>
          <w:rtl/>
          <w:lang w:bidi="ar-SY"/>
        </w:rPr>
        <w:t>جميعها</w:t>
      </w:r>
      <w:r w:rsidR="00953581" w:rsidRPr="003F3B94">
        <w:rPr>
          <w:rFonts w:hint="cs"/>
          <w:sz w:val="28"/>
          <w:rtl/>
          <w:lang w:bidi="ar-SY"/>
        </w:rPr>
        <w:t xml:space="preserve"> </w:t>
      </w:r>
      <w:r w:rsidR="001C4E2E" w:rsidRPr="003F3B94">
        <w:rPr>
          <w:rFonts w:hint="cs"/>
          <w:sz w:val="28"/>
          <w:rtl/>
          <w:lang w:bidi="ar-SY"/>
        </w:rPr>
        <w:t>من</w:t>
      </w:r>
      <w:r w:rsidR="00953581" w:rsidRPr="003F3B94">
        <w:rPr>
          <w:rFonts w:hint="cs"/>
          <w:sz w:val="28"/>
          <w:rtl/>
          <w:lang w:bidi="ar-SY"/>
        </w:rPr>
        <w:t xml:space="preserve"> </w:t>
      </w:r>
      <w:r w:rsidR="001C4E2E" w:rsidRPr="003F3B94">
        <w:rPr>
          <w:rFonts w:hint="cs"/>
          <w:sz w:val="28"/>
          <w:rtl/>
          <w:lang w:bidi="ar-SY"/>
        </w:rPr>
        <w:t>مصدرٍ</w:t>
      </w:r>
      <w:r w:rsidR="00953581" w:rsidRPr="003F3B94">
        <w:rPr>
          <w:rFonts w:hint="cs"/>
          <w:sz w:val="28"/>
          <w:rtl/>
          <w:lang w:bidi="ar-SY"/>
        </w:rPr>
        <w:t xml:space="preserve"> </w:t>
      </w:r>
      <w:r w:rsidR="001C4E2E" w:rsidRPr="003F3B94">
        <w:rPr>
          <w:rFonts w:hint="cs"/>
          <w:sz w:val="28"/>
          <w:rtl/>
          <w:lang w:bidi="ar-SY"/>
        </w:rPr>
        <w:t>واحد</w:t>
      </w:r>
      <w:r w:rsidR="00953581" w:rsidRPr="003F3B94">
        <w:rPr>
          <w:rFonts w:hint="cs"/>
          <w:sz w:val="28"/>
          <w:rtl/>
          <w:lang w:bidi="ar-SY"/>
        </w:rPr>
        <w:t xml:space="preserve"> </w:t>
      </w:r>
      <w:r w:rsidR="001C4E2E" w:rsidRPr="003F3B94">
        <w:rPr>
          <w:rFonts w:hint="cs"/>
          <w:sz w:val="28"/>
          <w:rtl/>
          <w:lang w:bidi="ar-SY"/>
        </w:rPr>
        <w:t>وحتى</w:t>
      </w:r>
      <w:r w:rsidR="00953581" w:rsidRPr="003F3B94">
        <w:rPr>
          <w:rFonts w:hint="cs"/>
          <w:sz w:val="28"/>
          <w:rtl/>
          <w:lang w:bidi="ar-SY"/>
        </w:rPr>
        <w:t xml:space="preserve"> </w:t>
      </w:r>
      <w:r w:rsidR="001C4E2E" w:rsidRPr="003F3B94">
        <w:rPr>
          <w:rFonts w:hint="cs"/>
          <w:sz w:val="28"/>
          <w:rtl/>
          <w:lang w:bidi="ar-SY"/>
        </w:rPr>
        <w:t>لو</w:t>
      </w:r>
      <w:r w:rsidR="00953581" w:rsidRPr="003F3B94">
        <w:rPr>
          <w:rFonts w:hint="cs"/>
          <w:sz w:val="28"/>
          <w:rtl/>
          <w:lang w:bidi="ar-SY"/>
        </w:rPr>
        <w:t xml:space="preserve"> </w:t>
      </w:r>
      <w:r w:rsidR="001C4E2E" w:rsidRPr="003F3B94">
        <w:rPr>
          <w:rFonts w:hint="cs"/>
          <w:sz w:val="28"/>
          <w:rtl/>
          <w:lang w:bidi="ar-SY"/>
        </w:rPr>
        <w:t>كان</w:t>
      </w:r>
      <w:r w:rsidR="00953581" w:rsidRPr="003F3B94">
        <w:rPr>
          <w:rFonts w:hint="cs"/>
          <w:sz w:val="28"/>
          <w:rtl/>
          <w:lang w:bidi="ar-SY"/>
        </w:rPr>
        <w:t xml:space="preserve"> </w:t>
      </w:r>
      <w:r w:rsidR="001C4E2E" w:rsidRPr="003F3B94">
        <w:rPr>
          <w:rFonts w:hint="cs"/>
          <w:sz w:val="28"/>
          <w:rtl/>
          <w:lang w:bidi="ar-SY"/>
        </w:rPr>
        <w:t>مصدرها</w:t>
      </w:r>
      <w:r w:rsidR="00953581" w:rsidRPr="003F3B94">
        <w:rPr>
          <w:rFonts w:hint="cs"/>
          <w:sz w:val="28"/>
          <w:rtl/>
          <w:lang w:bidi="ar-SY"/>
        </w:rPr>
        <w:t xml:space="preserve"> </w:t>
      </w:r>
      <w:r w:rsidR="001C4E2E" w:rsidRPr="003F3B94">
        <w:rPr>
          <w:rFonts w:hint="cs"/>
          <w:sz w:val="28"/>
          <w:rtl/>
          <w:lang w:bidi="ar-SY"/>
        </w:rPr>
        <w:t>واحداً</w:t>
      </w:r>
      <w:r w:rsidR="00953581" w:rsidRPr="003F3B94">
        <w:rPr>
          <w:rFonts w:hint="cs"/>
          <w:sz w:val="28"/>
          <w:rtl/>
          <w:lang w:bidi="ar-SY"/>
        </w:rPr>
        <w:t xml:space="preserve"> </w:t>
      </w:r>
      <w:r w:rsidR="001C4E2E" w:rsidRPr="003F3B94">
        <w:rPr>
          <w:rFonts w:hint="cs"/>
          <w:sz w:val="28"/>
          <w:rtl/>
          <w:lang w:bidi="ar-SY"/>
        </w:rPr>
        <w:t>فإن</w:t>
      </w:r>
      <w:r w:rsidR="00953581" w:rsidRPr="003F3B94">
        <w:rPr>
          <w:rFonts w:hint="cs"/>
          <w:sz w:val="28"/>
          <w:rtl/>
          <w:lang w:bidi="ar-SY"/>
        </w:rPr>
        <w:t xml:space="preserve"> </w:t>
      </w:r>
      <w:r w:rsidR="001C4E2E" w:rsidRPr="003F3B94">
        <w:rPr>
          <w:rFonts w:hint="cs"/>
          <w:sz w:val="28"/>
          <w:rtl/>
          <w:lang w:bidi="ar-SY"/>
        </w:rPr>
        <w:t>آراء</w:t>
      </w:r>
      <w:r w:rsidR="00953581" w:rsidRPr="003F3B94">
        <w:rPr>
          <w:rFonts w:hint="cs"/>
          <w:sz w:val="28"/>
          <w:rtl/>
          <w:lang w:bidi="ar-SY"/>
        </w:rPr>
        <w:t xml:space="preserve"> </w:t>
      </w:r>
      <w:r w:rsidR="001C4E2E" w:rsidRPr="003F3B94">
        <w:rPr>
          <w:rFonts w:hint="cs"/>
          <w:sz w:val="28"/>
          <w:rtl/>
          <w:lang w:bidi="ar-SY"/>
        </w:rPr>
        <w:t>وأهواء</w:t>
      </w:r>
      <w:r w:rsidR="00953581" w:rsidRPr="003F3B94">
        <w:rPr>
          <w:rFonts w:hint="cs"/>
          <w:sz w:val="28"/>
          <w:rtl/>
          <w:lang w:bidi="ar-SY"/>
        </w:rPr>
        <w:t xml:space="preserve"> </w:t>
      </w:r>
      <w:r w:rsidR="001C4E2E" w:rsidRPr="003F3B94">
        <w:rPr>
          <w:rFonts w:hint="cs"/>
          <w:sz w:val="28"/>
          <w:rtl/>
          <w:lang w:bidi="ar-SY"/>
        </w:rPr>
        <w:t>أتباعها</w:t>
      </w:r>
      <w:r w:rsidR="00953581" w:rsidRPr="003F3B94">
        <w:rPr>
          <w:rFonts w:hint="cs"/>
          <w:sz w:val="28"/>
          <w:rtl/>
          <w:lang w:bidi="ar-SY"/>
        </w:rPr>
        <w:t xml:space="preserve"> </w:t>
      </w:r>
      <w:r w:rsidR="001C4E2E" w:rsidRPr="003F3B94">
        <w:rPr>
          <w:rFonts w:hint="cs"/>
          <w:sz w:val="28"/>
          <w:rtl/>
          <w:lang w:bidi="ar-SY"/>
        </w:rPr>
        <w:t>أو</w:t>
      </w:r>
      <w:r w:rsidR="00953581" w:rsidRPr="003F3B94">
        <w:rPr>
          <w:rFonts w:hint="cs"/>
          <w:sz w:val="28"/>
          <w:rtl/>
          <w:lang w:bidi="ar-SY"/>
        </w:rPr>
        <w:t xml:space="preserve"> </w:t>
      </w:r>
      <w:r w:rsidR="001C4E2E" w:rsidRPr="003F3B94">
        <w:rPr>
          <w:rFonts w:hint="cs"/>
          <w:sz w:val="28"/>
          <w:rtl/>
          <w:lang w:bidi="ar-SY"/>
        </w:rPr>
        <w:t>أغراضهم</w:t>
      </w:r>
      <w:r w:rsidR="00953581" w:rsidRPr="003F3B94">
        <w:rPr>
          <w:rFonts w:hint="cs"/>
          <w:sz w:val="28"/>
          <w:rtl/>
          <w:lang w:bidi="ar-SY"/>
        </w:rPr>
        <w:t xml:space="preserve"> </w:t>
      </w:r>
      <w:r w:rsidR="00EA29E0" w:rsidRPr="003F3B94">
        <w:rPr>
          <w:rFonts w:hint="cs"/>
          <w:sz w:val="28"/>
          <w:rtl/>
          <w:lang w:bidi="ar-SY"/>
        </w:rPr>
        <w:t>تدخ</w:t>
      </w:r>
      <w:r w:rsidR="00DF79BC" w:rsidRPr="003F3B94">
        <w:rPr>
          <w:rFonts w:hint="cs"/>
          <w:sz w:val="28"/>
          <w:rtl/>
          <w:lang w:bidi="ar-SY"/>
        </w:rPr>
        <w:t>َّ</w:t>
      </w:r>
      <w:r w:rsidR="00EA29E0" w:rsidRPr="003F3B94">
        <w:rPr>
          <w:rFonts w:hint="cs"/>
          <w:sz w:val="28"/>
          <w:rtl/>
          <w:lang w:bidi="ar-SY"/>
        </w:rPr>
        <w:t>لت</w:t>
      </w:r>
      <w:r w:rsidR="00953581" w:rsidRPr="003F3B94">
        <w:rPr>
          <w:rFonts w:hint="cs"/>
          <w:sz w:val="28"/>
          <w:rtl/>
          <w:lang w:bidi="ar-SY"/>
        </w:rPr>
        <w:t xml:space="preserve"> </w:t>
      </w:r>
      <w:r w:rsidR="001C4E2E" w:rsidRPr="003F3B94">
        <w:rPr>
          <w:rFonts w:hint="cs"/>
          <w:sz w:val="28"/>
          <w:rtl/>
          <w:lang w:bidi="ar-SY"/>
        </w:rPr>
        <w:t>بشكل</w:t>
      </w:r>
      <w:r w:rsidR="00953581" w:rsidRPr="003F3B94">
        <w:rPr>
          <w:rFonts w:hint="cs"/>
          <w:sz w:val="28"/>
          <w:rtl/>
          <w:lang w:bidi="ar-SY"/>
        </w:rPr>
        <w:t xml:space="preserve"> </w:t>
      </w:r>
      <w:r w:rsidR="001C4E2E" w:rsidRPr="003F3B94">
        <w:rPr>
          <w:rFonts w:hint="cs"/>
          <w:sz w:val="28"/>
          <w:rtl/>
          <w:lang w:bidi="ar-SY"/>
        </w:rPr>
        <w:t>مباشر</w:t>
      </w:r>
      <w:r w:rsidR="00953581" w:rsidRPr="003F3B94">
        <w:rPr>
          <w:rFonts w:hint="cs"/>
          <w:sz w:val="28"/>
          <w:rtl/>
          <w:lang w:bidi="ar-SY"/>
        </w:rPr>
        <w:t xml:space="preserve"> </w:t>
      </w:r>
      <w:r w:rsidR="001C4E2E" w:rsidRPr="003F3B94">
        <w:rPr>
          <w:rFonts w:hint="cs"/>
          <w:sz w:val="28"/>
          <w:rtl/>
          <w:lang w:bidi="ar-SY"/>
        </w:rPr>
        <w:t>أو</w:t>
      </w:r>
      <w:r w:rsidR="00953581" w:rsidRPr="003F3B94">
        <w:rPr>
          <w:rFonts w:hint="cs"/>
          <w:sz w:val="28"/>
          <w:rtl/>
          <w:lang w:bidi="ar-SY"/>
        </w:rPr>
        <w:t xml:space="preserve"> </w:t>
      </w:r>
      <w:r w:rsidR="001C4E2E" w:rsidRPr="003F3B94">
        <w:rPr>
          <w:rFonts w:hint="cs"/>
          <w:sz w:val="28"/>
          <w:rtl/>
          <w:lang w:bidi="ar-SY"/>
        </w:rPr>
        <w:t>غير</w:t>
      </w:r>
      <w:r w:rsidR="00953581" w:rsidRPr="003F3B94">
        <w:rPr>
          <w:rFonts w:hint="cs"/>
          <w:sz w:val="28"/>
          <w:rtl/>
          <w:lang w:bidi="ar-SY"/>
        </w:rPr>
        <w:t xml:space="preserve"> </w:t>
      </w:r>
      <w:r w:rsidR="001C4E2E" w:rsidRPr="003F3B94">
        <w:rPr>
          <w:rFonts w:hint="cs"/>
          <w:sz w:val="28"/>
          <w:rtl/>
          <w:lang w:bidi="ar-SY"/>
        </w:rPr>
        <w:t>مباشر</w:t>
      </w:r>
      <w:r w:rsidR="00953581" w:rsidRPr="003F3B94">
        <w:rPr>
          <w:rFonts w:hint="cs"/>
          <w:sz w:val="28"/>
          <w:rtl/>
          <w:lang w:bidi="ar-SY"/>
        </w:rPr>
        <w:t xml:space="preserve"> </w:t>
      </w:r>
      <w:r w:rsidR="00EA29E0" w:rsidRPr="003F3B94">
        <w:rPr>
          <w:rFonts w:hint="cs"/>
          <w:sz w:val="28"/>
          <w:rtl/>
          <w:lang w:bidi="ar-SY"/>
        </w:rPr>
        <w:t>فقامت</w:t>
      </w:r>
      <w:r w:rsidR="00953581" w:rsidRPr="003F3B94">
        <w:rPr>
          <w:rFonts w:hint="cs"/>
          <w:sz w:val="28"/>
          <w:rtl/>
          <w:lang w:bidi="ar-SY"/>
        </w:rPr>
        <w:t xml:space="preserve"> </w:t>
      </w:r>
      <w:r w:rsidR="00B53068" w:rsidRPr="003F3B94">
        <w:rPr>
          <w:rFonts w:hint="cs"/>
          <w:sz w:val="28"/>
          <w:rtl/>
          <w:lang w:bidi="ar-SY"/>
        </w:rPr>
        <w:t>بتحريفها</w:t>
      </w:r>
      <w:r w:rsidR="00953581" w:rsidRPr="003F3B94">
        <w:rPr>
          <w:rFonts w:hint="cs"/>
          <w:sz w:val="28"/>
          <w:rtl/>
          <w:lang w:bidi="ar-SY"/>
        </w:rPr>
        <w:t xml:space="preserve"> </w:t>
      </w:r>
      <w:r w:rsidR="00EA29E0" w:rsidRPr="003F3B94">
        <w:rPr>
          <w:rFonts w:hint="cs"/>
          <w:sz w:val="28"/>
          <w:rtl/>
          <w:lang w:bidi="ar-SY"/>
        </w:rPr>
        <w:t>وحرفها</w:t>
      </w:r>
      <w:r w:rsidR="00953581" w:rsidRPr="003F3B94">
        <w:rPr>
          <w:rFonts w:hint="cs"/>
          <w:sz w:val="28"/>
          <w:rtl/>
          <w:lang w:bidi="ar-SY"/>
        </w:rPr>
        <w:t xml:space="preserve"> </w:t>
      </w:r>
      <w:r w:rsidR="00EA29E0" w:rsidRPr="003F3B94">
        <w:rPr>
          <w:rFonts w:hint="cs"/>
          <w:sz w:val="28"/>
          <w:rtl/>
          <w:lang w:bidi="ar-SY"/>
        </w:rPr>
        <w:t>عن</w:t>
      </w:r>
      <w:r w:rsidR="00953581" w:rsidRPr="003F3B94">
        <w:rPr>
          <w:rFonts w:hint="cs"/>
          <w:sz w:val="28"/>
          <w:rtl/>
          <w:lang w:bidi="ar-SY"/>
        </w:rPr>
        <w:t xml:space="preserve"> </w:t>
      </w:r>
      <w:r w:rsidR="00EA29E0" w:rsidRPr="003F3B94">
        <w:rPr>
          <w:rFonts w:hint="cs"/>
          <w:sz w:val="28"/>
          <w:rtl/>
          <w:lang w:bidi="ar-SY"/>
        </w:rPr>
        <w:t>مسارها</w:t>
      </w:r>
      <w:r w:rsidR="00953581" w:rsidRPr="003F3B94">
        <w:rPr>
          <w:rFonts w:hint="cs"/>
          <w:sz w:val="28"/>
          <w:rtl/>
          <w:lang w:bidi="ar-SY"/>
        </w:rPr>
        <w:t xml:space="preserve"> </w:t>
      </w:r>
      <w:r w:rsidR="00EA29E0" w:rsidRPr="003F3B94">
        <w:rPr>
          <w:rFonts w:hint="cs"/>
          <w:sz w:val="28"/>
          <w:rtl/>
          <w:lang w:bidi="ar-SY"/>
        </w:rPr>
        <w:t>وغالباً</w:t>
      </w:r>
      <w:r w:rsidR="00953581" w:rsidRPr="003F3B94">
        <w:rPr>
          <w:rFonts w:hint="cs"/>
          <w:sz w:val="28"/>
          <w:rtl/>
          <w:lang w:bidi="ar-SY"/>
        </w:rPr>
        <w:t xml:space="preserve"> </w:t>
      </w:r>
      <w:r w:rsidR="00EA29E0" w:rsidRPr="003F3B94">
        <w:rPr>
          <w:rFonts w:hint="cs"/>
          <w:sz w:val="28"/>
          <w:rtl/>
          <w:lang w:bidi="ar-SY"/>
        </w:rPr>
        <w:t>ما</w:t>
      </w:r>
      <w:r w:rsidR="00953581" w:rsidRPr="003F3B94">
        <w:rPr>
          <w:rFonts w:hint="cs"/>
          <w:sz w:val="28"/>
          <w:rtl/>
          <w:lang w:bidi="ar-SY"/>
        </w:rPr>
        <w:t xml:space="preserve"> </w:t>
      </w:r>
      <w:r w:rsidR="00EA29E0" w:rsidRPr="003F3B94">
        <w:rPr>
          <w:rFonts w:hint="cs"/>
          <w:sz w:val="28"/>
          <w:rtl/>
          <w:lang w:bidi="ar-SY"/>
        </w:rPr>
        <w:t>أد</w:t>
      </w:r>
      <w:r w:rsidR="00DF79BC" w:rsidRPr="003F3B94">
        <w:rPr>
          <w:rFonts w:hint="cs"/>
          <w:sz w:val="28"/>
          <w:rtl/>
          <w:lang w:bidi="ar-SY"/>
        </w:rPr>
        <w:t>ّ</w:t>
      </w:r>
      <w:r w:rsidR="00EA29E0" w:rsidRPr="003F3B94">
        <w:rPr>
          <w:rFonts w:hint="cs"/>
          <w:sz w:val="28"/>
          <w:rtl/>
          <w:lang w:bidi="ar-SY"/>
        </w:rPr>
        <w:t>ت</w:t>
      </w:r>
      <w:r w:rsidR="00953581" w:rsidRPr="003F3B94">
        <w:rPr>
          <w:rFonts w:hint="cs"/>
          <w:sz w:val="28"/>
          <w:rtl/>
          <w:lang w:bidi="ar-SY"/>
        </w:rPr>
        <w:t xml:space="preserve"> </w:t>
      </w:r>
      <w:r w:rsidR="00B53068" w:rsidRPr="003F3B94">
        <w:rPr>
          <w:rFonts w:hint="cs"/>
          <w:sz w:val="28"/>
          <w:rtl/>
          <w:lang w:bidi="ar-SY"/>
        </w:rPr>
        <w:t>هذه</w:t>
      </w:r>
      <w:r w:rsidR="00953581" w:rsidRPr="003F3B94">
        <w:rPr>
          <w:rFonts w:hint="cs"/>
          <w:sz w:val="28"/>
          <w:rtl/>
          <w:lang w:bidi="ar-SY"/>
        </w:rPr>
        <w:t xml:space="preserve"> </w:t>
      </w:r>
      <w:r w:rsidR="00B53068" w:rsidRPr="003F3B94">
        <w:rPr>
          <w:rFonts w:hint="cs"/>
          <w:sz w:val="28"/>
          <w:rtl/>
          <w:lang w:bidi="ar-SY"/>
        </w:rPr>
        <w:t>ا</w:t>
      </w:r>
      <w:r w:rsidR="008A2A49" w:rsidRPr="003F3B94">
        <w:rPr>
          <w:rFonts w:hint="cs"/>
          <w:sz w:val="28"/>
          <w:rtl/>
          <w:lang w:bidi="ar-SY"/>
        </w:rPr>
        <w:t>لأ</w:t>
      </w:r>
      <w:r w:rsidR="00B53068" w:rsidRPr="003F3B94">
        <w:rPr>
          <w:rFonts w:hint="cs"/>
          <w:sz w:val="28"/>
          <w:rtl/>
          <w:lang w:bidi="ar-SY"/>
        </w:rPr>
        <w:t>غراض</w:t>
      </w:r>
      <w:r w:rsidR="00953581" w:rsidRPr="003F3B94">
        <w:rPr>
          <w:rFonts w:hint="cs"/>
          <w:sz w:val="28"/>
          <w:rtl/>
          <w:lang w:bidi="ar-SY"/>
        </w:rPr>
        <w:t xml:space="preserve"> </w:t>
      </w:r>
      <w:r w:rsidR="00DF79BC" w:rsidRPr="003F3B94">
        <w:rPr>
          <w:rFonts w:hint="cs"/>
          <w:sz w:val="28"/>
          <w:rtl/>
          <w:lang w:bidi="ar-SY"/>
        </w:rPr>
        <w:t>والأهواء</w:t>
      </w:r>
      <w:r w:rsidR="00953581" w:rsidRPr="003F3B94">
        <w:rPr>
          <w:rFonts w:hint="cs"/>
          <w:sz w:val="28"/>
          <w:rtl/>
          <w:lang w:bidi="ar-SY"/>
        </w:rPr>
        <w:t xml:space="preserve"> </w:t>
      </w:r>
      <w:r w:rsidR="00B53068" w:rsidRPr="003F3B94">
        <w:rPr>
          <w:rFonts w:hint="cs"/>
          <w:sz w:val="28"/>
          <w:rtl/>
          <w:lang w:bidi="ar-SY"/>
        </w:rPr>
        <w:t>إلى</w:t>
      </w:r>
      <w:r w:rsidR="00953581" w:rsidRPr="003F3B94">
        <w:rPr>
          <w:rFonts w:hint="cs"/>
          <w:sz w:val="28"/>
          <w:rtl/>
          <w:lang w:bidi="ar-SY"/>
        </w:rPr>
        <w:t xml:space="preserve"> </w:t>
      </w:r>
      <w:r w:rsidR="00B53068" w:rsidRPr="003F3B94">
        <w:rPr>
          <w:rFonts w:hint="cs"/>
          <w:sz w:val="28"/>
          <w:rtl/>
          <w:lang w:bidi="ar-SY"/>
        </w:rPr>
        <w:t>نتائج</w:t>
      </w:r>
      <w:r w:rsidR="00953581" w:rsidRPr="003F3B94">
        <w:rPr>
          <w:rFonts w:hint="cs"/>
          <w:sz w:val="28"/>
          <w:rtl/>
          <w:lang w:bidi="ar-SY"/>
        </w:rPr>
        <w:t xml:space="preserve"> </w:t>
      </w:r>
      <w:r w:rsidR="00EA29E0" w:rsidRPr="003F3B94">
        <w:rPr>
          <w:rFonts w:hint="cs"/>
          <w:sz w:val="28"/>
          <w:rtl/>
          <w:lang w:bidi="ar-SY"/>
        </w:rPr>
        <w:t>عكسية</w:t>
      </w:r>
      <w:r w:rsidR="00953581" w:rsidRPr="003F3B94">
        <w:rPr>
          <w:rFonts w:hint="cs"/>
          <w:sz w:val="28"/>
          <w:rtl/>
          <w:lang w:bidi="ar-SY"/>
        </w:rPr>
        <w:t xml:space="preserve"> </w:t>
      </w:r>
      <w:r w:rsidR="00B53068" w:rsidRPr="003F3B94">
        <w:rPr>
          <w:rFonts w:hint="cs"/>
          <w:sz w:val="28"/>
          <w:rtl/>
          <w:lang w:bidi="ar-SY"/>
        </w:rPr>
        <w:t>ومضرة</w:t>
      </w:r>
      <w:r w:rsidR="00217AB4" w:rsidRPr="003F3B94">
        <w:rPr>
          <w:rFonts w:hint="cs"/>
          <w:sz w:val="28"/>
          <w:rtl/>
          <w:lang w:bidi="ar-SY"/>
        </w:rPr>
        <w:t>.</w:t>
      </w:r>
      <w:r w:rsidR="00953581" w:rsidRPr="003F3B94">
        <w:rPr>
          <w:rFonts w:hint="cs"/>
          <w:sz w:val="28"/>
          <w:rtl/>
          <w:lang w:bidi="ar-SY"/>
        </w:rPr>
        <w:t xml:space="preserve"> </w:t>
      </w:r>
    </w:p>
    <w:p w:rsidR="00AA682C" w:rsidRPr="003F3B94" w:rsidRDefault="006B6531" w:rsidP="003F3B94">
      <w:pPr>
        <w:pStyle w:val="a0"/>
        <w:rPr>
          <w:rFonts w:hint="cs"/>
          <w:rtl/>
          <w:lang w:bidi="ar-SY"/>
        </w:rPr>
      </w:pPr>
      <w:r w:rsidRPr="003F3B94">
        <w:rPr>
          <w:rFonts w:hint="cs"/>
          <w:sz w:val="28"/>
          <w:rtl/>
          <w:lang w:bidi="ar-SY"/>
        </w:rPr>
        <w:t>إذا</w:t>
      </w:r>
      <w:r w:rsidR="00953581" w:rsidRPr="003F3B94">
        <w:rPr>
          <w:rFonts w:hint="cs"/>
          <w:sz w:val="28"/>
          <w:rtl/>
          <w:lang w:bidi="ar-SY"/>
        </w:rPr>
        <w:t xml:space="preserve"> </w:t>
      </w:r>
      <w:r w:rsidRPr="003F3B94">
        <w:rPr>
          <w:rFonts w:hint="cs"/>
          <w:sz w:val="28"/>
          <w:rtl/>
          <w:lang w:bidi="ar-SY"/>
        </w:rPr>
        <w:t>نظرنا</w:t>
      </w:r>
      <w:r w:rsidR="00953581" w:rsidRPr="003F3B94">
        <w:rPr>
          <w:rFonts w:hint="cs"/>
          <w:sz w:val="28"/>
          <w:rtl/>
          <w:lang w:bidi="ar-SY"/>
        </w:rPr>
        <w:t xml:space="preserve"> </w:t>
      </w:r>
      <w:r w:rsidRPr="003F3B94">
        <w:rPr>
          <w:rFonts w:hint="cs"/>
          <w:sz w:val="28"/>
          <w:rtl/>
          <w:lang w:bidi="ar-SY"/>
        </w:rPr>
        <w:t>بعين</w:t>
      </w:r>
      <w:r w:rsidR="00953581" w:rsidRPr="003F3B94">
        <w:rPr>
          <w:rFonts w:hint="cs"/>
          <w:sz w:val="28"/>
          <w:rtl/>
          <w:lang w:bidi="ar-SY"/>
        </w:rPr>
        <w:t xml:space="preserve"> </w:t>
      </w:r>
      <w:r w:rsidRPr="003F3B94">
        <w:rPr>
          <w:rFonts w:hint="cs"/>
          <w:sz w:val="28"/>
          <w:rtl/>
          <w:lang w:bidi="ar-SY"/>
        </w:rPr>
        <w:t>ا</w:t>
      </w:r>
      <w:r w:rsidR="008A2A49" w:rsidRPr="003F3B94">
        <w:rPr>
          <w:rFonts w:hint="cs"/>
          <w:sz w:val="28"/>
          <w:rtl/>
          <w:lang w:bidi="ar-SY"/>
        </w:rPr>
        <w:t>لإ</w:t>
      </w:r>
      <w:r w:rsidRPr="003F3B94">
        <w:rPr>
          <w:rFonts w:hint="cs"/>
          <w:sz w:val="28"/>
          <w:rtl/>
          <w:lang w:bidi="ar-SY"/>
        </w:rPr>
        <w:t>نصاف</w:t>
      </w:r>
      <w:r w:rsidR="00953581" w:rsidRPr="003F3B94">
        <w:rPr>
          <w:rFonts w:hint="cs"/>
          <w:sz w:val="28"/>
          <w:rtl/>
          <w:lang w:bidi="ar-SY"/>
        </w:rPr>
        <w:t xml:space="preserve"> </w:t>
      </w:r>
      <w:r w:rsidRPr="003F3B94">
        <w:rPr>
          <w:rFonts w:hint="cs"/>
          <w:sz w:val="28"/>
          <w:rtl/>
          <w:lang w:bidi="ar-SY"/>
        </w:rPr>
        <w:t>والبحث</w:t>
      </w:r>
      <w:r w:rsidR="00953581" w:rsidRPr="003F3B94">
        <w:rPr>
          <w:rFonts w:hint="cs"/>
          <w:sz w:val="28"/>
          <w:rtl/>
          <w:lang w:bidi="ar-SY"/>
        </w:rPr>
        <w:t xml:space="preserve"> </w:t>
      </w:r>
      <w:r w:rsidRPr="003F3B94">
        <w:rPr>
          <w:rFonts w:hint="cs"/>
          <w:sz w:val="28"/>
          <w:rtl/>
          <w:lang w:bidi="ar-SY"/>
        </w:rPr>
        <w:t>والتفكير</w:t>
      </w:r>
      <w:r w:rsidR="00953581" w:rsidRPr="003F3B94">
        <w:rPr>
          <w:rFonts w:hint="cs"/>
          <w:sz w:val="28"/>
          <w:rtl/>
          <w:lang w:bidi="ar-SY"/>
        </w:rPr>
        <w:t xml:space="preserve"> </w:t>
      </w:r>
      <w:r w:rsidRPr="003F3B94">
        <w:rPr>
          <w:rFonts w:hint="cs"/>
          <w:sz w:val="28"/>
          <w:rtl/>
          <w:lang w:bidi="ar-SY"/>
        </w:rPr>
        <w:t>العميقين</w:t>
      </w:r>
      <w:r w:rsidR="00953581" w:rsidRPr="003F3B94">
        <w:rPr>
          <w:rFonts w:hint="cs"/>
          <w:sz w:val="28"/>
          <w:rtl/>
          <w:lang w:bidi="ar-SY"/>
        </w:rPr>
        <w:t xml:space="preserve"> </w:t>
      </w:r>
      <w:r w:rsidRPr="003F3B94">
        <w:rPr>
          <w:rFonts w:hint="cs"/>
          <w:sz w:val="28"/>
          <w:rtl/>
          <w:lang w:bidi="ar-SY"/>
        </w:rPr>
        <w:t>نجد</w:t>
      </w:r>
      <w:r w:rsidR="00953581" w:rsidRPr="003F3B94">
        <w:rPr>
          <w:rFonts w:hint="cs"/>
          <w:sz w:val="28"/>
          <w:rtl/>
          <w:lang w:bidi="ar-SY"/>
        </w:rPr>
        <w:t xml:space="preserve"> </w:t>
      </w:r>
      <w:r w:rsidRPr="003F3B94">
        <w:rPr>
          <w:rFonts w:hint="cs"/>
          <w:sz w:val="28"/>
          <w:rtl/>
          <w:lang w:bidi="ar-SY"/>
        </w:rPr>
        <w:t>أن</w:t>
      </w:r>
      <w:r w:rsidR="00953581" w:rsidRPr="003F3B94">
        <w:rPr>
          <w:rFonts w:hint="cs"/>
          <w:sz w:val="28"/>
          <w:rtl/>
          <w:lang w:bidi="ar-SY"/>
        </w:rPr>
        <w:t xml:space="preserve"> </w:t>
      </w:r>
      <w:r w:rsidRPr="003F3B94">
        <w:rPr>
          <w:rFonts w:hint="cs"/>
          <w:sz w:val="28"/>
          <w:rtl/>
          <w:lang w:bidi="ar-SY"/>
        </w:rPr>
        <w:t>دين</w:t>
      </w:r>
      <w:r w:rsidR="00953581" w:rsidRPr="003F3B94">
        <w:rPr>
          <w:rFonts w:hint="cs"/>
          <w:sz w:val="28"/>
          <w:rtl/>
          <w:lang w:bidi="ar-SY"/>
        </w:rPr>
        <w:t xml:space="preserve"> </w:t>
      </w:r>
      <w:r w:rsidRPr="003F3B94">
        <w:rPr>
          <w:rFonts w:hint="cs"/>
          <w:sz w:val="28"/>
          <w:rtl/>
          <w:lang w:bidi="ar-SY"/>
        </w:rPr>
        <w:t>ا</w:t>
      </w:r>
      <w:r w:rsidR="008A2A49" w:rsidRPr="003F3B94">
        <w:rPr>
          <w:rFonts w:hint="cs"/>
          <w:sz w:val="28"/>
          <w:rtl/>
          <w:lang w:bidi="ar-SY"/>
        </w:rPr>
        <w:t>لإ</w:t>
      </w:r>
      <w:r w:rsidRPr="003F3B94">
        <w:rPr>
          <w:rFonts w:hint="cs"/>
          <w:sz w:val="28"/>
          <w:rtl/>
          <w:lang w:bidi="ar-SY"/>
        </w:rPr>
        <w:t>س</w:t>
      </w:r>
      <w:r w:rsidR="008A2A49" w:rsidRPr="003F3B94">
        <w:rPr>
          <w:rFonts w:hint="cs"/>
          <w:sz w:val="28"/>
          <w:rtl/>
          <w:lang w:bidi="ar-SY"/>
        </w:rPr>
        <w:t>لا</w:t>
      </w:r>
      <w:r w:rsidRPr="003F3B94">
        <w:rPr>
          <w:rFonts w:hint="cs"/>
          <w:sz w:val="28"/>
          <w:rtl/>
          <w:lang w:bidi="ar-SY"/>
        </w:rPr>
        <w:t>م</w:t>
      </w:r>
      <w:r w:rsidR="00953581" w:rsidRPr="003F3B94">
        <w:rPr>
          <w:rFonts w:hint="cs"/>
          <w:sz w:val="28"/>
          <w:rtl/>
          <w:lang w:bidi="ar-SY"/>
        </w:rPr>
        <w:t xml:space="preserve"> </w:t>
      </w:r>
      <w:r w:rsidRPr="003F3B94">
        <w:rPr>
          <w:rFonts w:hint="cs"/>
          <w:sz w:val="28"/>
          <w:rtl/>
          <w:lang w:bidi="ar-SY"/>
        </w:rPr>
        <w:t>المقدس</w:t>
      </w:r>
      <w:r w:rsidR="00953581" w:rsidRPr="003F3B94">
        <w:rPr>
          <w:rFonts w:hint="cs"/>
          <w:sz w:val="28"/>
          <w:rtl/>
          <w:lang w:bidi="ar-SY"/>
        </w:rPr>
        <w:t xml:space="preserve"> </w:t>
      </w:r>
      <w:r w:rsidR="00EA29E0" w:rsidRPr="003F3B94">
        <w:rPr>
          <w:rFonts w:hint="cs"/>
          <w:sz w:val="28"/>
          <w:rtl/>
          <w:lang w:bidi="ar-SY"/>
        </w:rPr>
        <w:t>وحده</w:t>
      </w:r>
      <w:r w:rsidR="00953581" w:rsidRPr="003F3B94">
        <w:rPr>
          <w:rFonts w:hint="cs"/>
          <w:sz w:val="28"/>
          <w:rtl/>
          <w:lang w:bidi="ar-SY"/>
        </w:rPr>
        <w:t xml:space="preserve"> </w:t>
      </w:r>
      <w:r w:rsidR="00217AB4" w:rsidRPr="003F3B94">
        <w:rPr>
          <w:rFonts w:hint="cs"/>
          <w:sz w:val="28"/>
          <w:rtl/>
          <w:lang w:bidi="ar-SY"/>
        </w:rPr>
        <w:t>-</w:t>
      </w:r>
      <w:r w:rsidR="00953581" w:rsidRPr="003F3B94">
        <w:rPr>
          <w:rFonts w:hint="cs"/>
          <w:sz w:val="28"/>
          <w:rtl/>
          <w:lang w:bidi="ar-SY"/>
        </w:rPr>
        <w:t xml:space="preserve"> </w:t>
      </w:r>
      <w:r w:rsidR="00EA29E0" w:rsidRPr="003F3B94">
        <w:rPr>
          <w:rFonts w:hint="cs"/>
          <w:sz w:val="28"/>
          <w:rtl/>
          <w:lang w:bidi="ar-SY"/>
        </w:rPr>
        <w:t>من</w:t>
      </w:r>
      <w:r w:rsidR="00953581" w:rsidRPr="003F3B94">
        <w:rPr>
          <w:rFonts w:hint="cs"/>
          <w:sz w:val="28"/>
          <w:rtl/>
          <w:lang w:bidi="ar-SY"/>
        </w:rPr>
        <w:t xml:space="preserve"> </w:t>
      </w:r>
      <w:r w:rsidR="00EA29E0" w:rsidRPr="003F3B94">
        <w:rPr>
          <w:rFonts w:hint="cs"/>
          <w:sz w:val="28"/>
          <w:rtl/>
          <w:lang w:bidi="ar-SY"/>
        </w:rPr>
        <w:t>بين</w:t>
      </w:r>
      <w:r w:rsidR="00953581" w:rsidRPr="003F3B94">
        <w:rPr>
          <w:rFonts w:hint="cs"/>
          <w:sz w:val="28"/>
          <w:rtl/>
          <w:lang w:bidi="ar-SY"/>
        </w:rPr>
        <w:t xml:space="preserve"> </w:t>
      </w:r>
      <w:r w:rsidR="00EA29E0" w:rsidRPr="003F3B94">
        <w:rPr>
          <w:rFonts w:hint="cs"/>
          <w:sz w:val="28"/>
          <w:rtl/>
          <w:lang w:bidi="ar-SY"/>
        </w:rPr>
        <w:t>جميع</w:t>
      </w:r>
      <w:r w:rsidR="00953581" w:rsidRPr="003F3B94">
        <w:rPr>
          <w:rFonts w:hint="cs"/>
          <w:sz w:val="28"/>
          <w:rtl/>
          <w:lang w:bidi="ar-SY"/>
        </w:rPr>
        <w:t xml:space="preserve"> </w:t>
      </w:r>
      <w:r w:rsidR="00EA29E0" w:rsidRPr="003F3B94">
        <w:rPr>
          <w:rFonts w:hint="cs"/>
          <w:sz w:val="28"/>
          <w:rtl/>
          <w:lang w:bidi="ar-SY"/>
        </w:rPr>
        <w:t>أديان</w:t>
      </w:r>
      <w:r w:rsidR="00953581" w:rsidRPr="003F3B94">
        <w:rPr>
          <w:rFonts w:hint="cs"/>
          <w:sz w:val="28"/>
          <w:rtl/>
          <w:lang w:bidi="ar-SY"/>
        </w:rPr>
        <w:t xml:space="preserve"> </w:t>
      </w:r>
      <w:r w:rsidR="00EA29E0" w:rsidRPr="003F3B94">
        <w:rPr>
          <w:rFonts w:hint="cs"/>
          <w:sz w:val="28"/>
          <w:rtl/>
          <w:lang w:bidi="ar-SY"/>
        </w:rPr>
        <w:t>العالم</w:t>
      </w:r>
      <w:r w:rsidR="00953581" w:rsidRPr="003F3B94">
        <w:rPr>
          <w:rFonts w:hint="cs"/>
          <w:sz w:val="28"/>
          <w:rtl/>
          <w:lang w:bidi="ar-SY"/>
        </w:rPr>
        <w:t xml:space="preserve"> </w:t>
      </w:r>
      <w:r w:rsidR="00EA29E0" w:rsidRPr="003F3B94">
        <w:rPr>
          <w:rFonts w:hint="cs"/>
          <w:sz w:val="28"/>
          <w:rtl/>
          <w:lang w:bidi="ar-SY"/>
        </w:rPr>
        <w:t>الحية</w:t>
      </w:r>
      <w:r w:rsidR="00953581" w:rsidRPr="003F3B94">
        <w:rPr>
          <w:rFonts w:hint="cs"/>
          <w:sz w:val="28"/>
          <w:rtl/>
          <w:lang w:bidi="ar-SY"/>
        </w:rPr>
        <w:t xml:space="preserve"> </w:t>
      </w:r>
      <w:r w:rsidR="00EA29E0" w:rsidRPr="003F3B94">
        <w:rPr>
          <w:rFonts w:hint="cs"/>
          <w:sz w:val="28"/>
          <w:rtl/>
          <w:lang w:bidi="ar-SY"/>
        </w:rPr>
        <w:t>أو</w:t>
      </w:r>
      <w:r w:rsidR="00953581" w:rsidRPr="003F3B94">
        <w:rPr>
          <w:rFonts w:hint="cs"/>
          <w:sz w:val="28"/>
          <w:rtl/>
          <w:lang w:bidi="ar-SY"/>
        </w:rPr>
        <w:t xml:space="preserve"> </w:t>
      </w:r>
      <w:r w:rsidR="00EA29E0" w:rsidRPr="003F3B94">
        <w:rPr>
          <w:rFonts w:hint="cs"/>
          <w:sz w:val="28"/>
          <w:rtl/>
          <w:lang w:bidi="ar-SY"/>
        </w:rPr>
        <w:t>البائدة</w:t>
      </w:r>
      <w:r w:rsidR="00953581" w:rsidRPr="003F3B94">
        <w:rPr>
          <w:rFonts w:hint="cs"/>
          <w:sz w:val="28"/>
          <w:rtl/>
          <w:lang w:bidi="ar-SY"/>
        </w:rPr>
        <w:t xml:space="preserve"> </w:t>
      </w:r>
      <w:r w:rsidR="00EA29E0" w:rsidRPr="003F3B94">
        <w:rPr>
          <w:rFonts w:cs="Times New Roman" w:hint="cs"/>
          <w:sz w:val="28"/>
          <w:rtl/>
          <w:lang w:bidi="ar-SY"/>
        </w:rPr>
        <w:t>–</w:t>
      </w:r>
      <w:r w:rsidR="00953581" w:rsidRPr="003F3B94">
        <w:rPr>
          <w:rFonts w:hint="cs"/>
          <w:sz w:val="28"/>
          <w:rtl/>
          <w:lang w:bidi="ar-SY"/>
        </w:rPr>
        <w:t xml:space="preserve"> </w:t>
      </w:r>
      <w:r w:rsidR="00795504" w:rsidRPr="003F3B94">
        <w:rPr>
          <w:rFonts w:hint="cs"/>
          <w:sz w:val="28"/>
          <w:rtl/>
          <w:lang w:bidi="ar-SY"/>
        </w:rPr>
        <w:t>هو</w:t>
      </w:r>
      <w:r w:rsidR="00953581" w:rsidRPr="003F3B94">
        <w:rPr>
          <w:rFonts w:hint="cs"/>
          <w:sz w:val="28"/>
          <w:rtl/>
          <w:lang w:bidi="ar-SY"/>
        </w:rPr>
        <w:t xml:space="preserve"> </w:t>
      </w:r>
      <w:r w:rsidRPr="003F3B94">
        <w:rPr>
          <w:rFonts w:hint="cs"/>
          <w:sz w:val="28"/>
          <w:rtl/>
          <w:lang w:bidi="ar-SY"/>
        </w:rPr>
        <w:t>أوضح</w:t>
      </w:r>
      <w:r w:rsidR="00953581" w:rsidRPr="003F3B94">
        <w:rPr>
          <w:rFonts w:hint="cs"/>
          <w:sz w:val="28"/>
          <w:rtl/>
          <w:lang w:bidi="ar-SY"/>
        </w:rPr>
        <w:t xml:space="preserve"> </w:t>
      </w:r>
      <w:r w:rsidRPr="003F3B94">
        <w:rPr>
          <w:rFonts w:hint="cs"/>
          <w:sz w:val="28"/>
          <w:rtl/>
          <w:lang w:bidi="ar-SY"/>
        </w:rPr>
        <w:t>الطرق</w:t>
      </w:r>
      <w:r w:rsidR="00953581" w:rsidRPr="003F3B94">
        <w:rPr>
          <w:rFonts w:hint="cs"/>
          <w:sz w:val="28"/>
          <w:rtl/>
          <w:lang w:bidi="ar-SY"/>
        </w:rPr>
        <w:t xml:space="preserve"> </w:t>
      </w:r>
      <w:r w:rsidRPr="003F3B94">
        <w:rPr>
          <w:rFonts w:hint="cs"/>
          <w:sz w:val="28"/>
          <w:rtl/>
          <w:lang w:bidi="ar-SY"/>
        </w:rPr>
        <w:t>وأ</w:t>
      </w:r>
      <w:r w:rsidR="00EA29E0" w:rsidRPr="003F3B94">
        <w:rPr>
          <w:rFonts w:hint="cs"/>
          <w:sz w:val="28"/>
          <w:rtl/>
          <w:lang w:bidi="ar-SY"/>
        </w:rPr>
        <w:t>س</w:t>
      </w:r>
      <w:r w:rsidRPr="003F3B94">
        <w:rPr>
          <w:rFonts w:hint="cs"/>
          <w:sz w:val="28"/>
          <w:rtl/>
          <w:lang w:bidi="ar-SY"/>
        </w:rPr>
        <w:t>هلها</w:t>
      </w:r>
      <w:r w:rsidR="00953581" w:rsidRPr="003F3B94">
        <w:rPr>
          <w:rFonts w:hint="cs"/>
          <w:sz w:val="28"/>
          <w:rtl/>
          <w:lang w:bidi="ar-SY"/>
        </w:rPr>
        <w:t xml:space="preserve"> </w:t>
      </w:r>
      <w:r w:rsidRPr="003F3B94">
        <w:rPr>
          <w:rFonts w:hint="cs"/>
          <w:sz w:val="28"/>
          <w:rtl/>
          <w:lang w:bidi="ar-SY"/>
        </w:rPr>
        <w:t>وأكثرها</w:t>
      </w:r>
      <w:r w:rsidR="00953581" w:rsidRPr="003F3B94">
        <w:rPr>
          <w:rFonts w:hint="cs"/>
          <w:sz w:val="28"/>
          <w:rtl/>
          <w:lang w:bidi="ar-SY"/>
        </w:rPr>
        <w:t xml:space="preserve"> </w:t>
      </w:r>
      <w:r w:rsidRPr="003F3B94">
        <w:rPr>
          <w:rFonts w:hint="cs"/>
          <w:sz w:val="28"/>
          <w:rtl/>
          <w:lang w:bidi="ar-SY"/>
        </w:rPr>
        <w:t>منحاً</w:t>
      </w:r>
      <w:r w:rsidR="00953581" w:rsidRPr="003F3B94">
        <w:rPr>
          <w:rFonts w:hint="cs"/>
          <w:sz w:val="28"/>
          <w:rtl/>
          <w:lang w:bidi="ar-SY"/>
        </w:rPr>
        <w:t xml:space="preserve"> </w:t>
      </w:r>
      <w:r w:rsidRPr="003F3B94">
        <w:rPr>
          <w:rFonts w:hint="cs"/>
          <w:sz w:val="28"/>
          <w:rtl/>
          <w:lang w:bidi="ar-SY"/>
        </w:rPr>
        <w:t>للطمأنينة</w:t>
      </w:r>
      <w:r w:rsidR="00953581" w:rsidRPr="003F3B94">
        <w:rPr>
          <w:rFonts w:hint="cs"/>
          <w:sz w:val="28"/>
          <w:rtl/>
          <w:lang w:bidi="ar-SY"/>
        </w:rPr>
        <w:t xml:space="preserve"> </w:t>
      </w:r>
      <w:r w:rsidRPr="003F3B94">
        <w:rPr>
          <w:rFonts w:hint="cs"/>
          <w:sz w:val="28"/>
          <w:rtl/>
          <w:lang w:bidi="ar-SY"/>
        </w:rPr>
        <w:t>والسكينة</w:t>
      </w:r>
      <w:r w:rsidR="00953581" w:rsidRPr="003F3B94">
        <w:rPr>
          <w:rFonts w:hint="cs"/>
          <w:sz w:val="28"/>
          <w:rtl/>
          <w:lang w:bidi="ar-SY"/>
        </w:rPr>
        <w:t xml:space="preserve"> </w:t>
      </w:r>
      <w:r w:rsidR="00F538E6" w:rsidRPr="003F3B94">
        <w:rPr>
          <w:rFonts w:hint="cs"/>
          <w:sz w:val="28"/>
          <w:rtl/>
          <w:lang w:bidi="ar-SY"/>
        </w:rPr>
        <w:t>لهذه</w:t>
      </w:r>
      <w:r w:rsidR="00953581" w:rsidRPr="003F3B94">
        <w:rPr>
          <w:rFonts w:hint="cs"/>
          <w:sz w:val="28"/>
          <w:rtl/>
          <w:lang w:bidi="ar-SY"/>
        </w:rPr>
        <w:t xml:space="preserve"> </w:t>
      </w:r>
      <w:r w:rsidR="00F538E6" w:rsidRPr="003F3B94">
        <w:rPr>
          <w:rFonts w:hint="cs"/>
          <w:sz w:val="28"/>
          <w:rtl/>
          <w:lang w:bidi="ar-SY"/>
        </w:rPr>
        <w:t>البشرية</w:t>
      </w:r>
      <w:r w:rsidR="00953581" w:rsidRPr="003F3B94">
        <w:rPr>
          <w:rFonts w:hint="cs"/>
          <w:sz w:val="28"/>
          <w:rtl/>
          <w:lang w:bidi="ar-SY"/>
        </w:rPr>
        <w:t xml:space="preserve"> </w:t>
      </w:r>
      <w:r w:rsidR="00F538E6" w:rsidRPr="003F3B94">
        <w:rPr>
          <w:rFonts w:hint="cs"/>
          <w:sz w:val="28"/>
          <w:rtl/>
          <w:lang w:bidi="ar-SY"/>
        </w:rPr>
        <w:t>التي</w:t>
      </w:r>
      <w:r w:rsidR="00953581" w:rsidRPr="003F3B94">
        <w:rPr>
          <w:rFonts w:hint="cs"/>
          <w:sz w:val="28"/>
          <w:rtl/>
          <w:lang w:bidi="ar-SY"/>
        </w:rPr>
        <w:t xml:space="preserve"> </w:t>
      </w:r>
      <w:r w:rsidR="00F538E6" w:rsidRPr="003F3B94">
        <w:rPr>
          <w:rFonts w:hint="cs"/>
          <w:sz w:val="28"/>
          <w:rtl/>
          <w:lang w:bidi="ar-SY"/>
        </w:rPr>
        <w:t>تقف</w:t>
      </w:r>
      <w:r w:rsidR="00953581" w:rsidRPr="003F3B94">
        <w:rPr>
          <w:rFonts w:hint="cs"/>
          <w:sz w:val="28"/>
          <w:rtl/>
          <w:lang w:bidi="ar-SY"/>
        </w:rPr>
        <w:t xml:space="preserve"> </w:t>
      </w:r>
      <w:r w:rsidR="00F538E6" w:rsidRPr="003F3B94">
        <w:rPr>
          <w:rFonts w:hint="cs"/>
          <w:sz w:val="28"/>
          <w:rtl/>
          <w:lang w:bidi="ar-SY"/>
        </w:rPr>
        <w:t>اليوم</w:t>
      </w:r>
      <w:r w:rsidR="00953581" w:rsidRPr="003F3B94">
        <w:rPr>
          <w:rFonts w:hint="cs"/>
          <w:sz w:val="28"/>
          <w:rtl/>
          <w:lang w:bidi="ar-SY"/>
        </w:rPr>
        <w:t xml:space="preserve"> </w:t>
      </w:r>
      <w:r w:rsidR="00F538E6" w:rsidRPr="003F3B94">
        <w:rPr>
          <w:rFonts w:hint="cs"/>
          <w:sz w:val="28"/>
          <w:rtl/>
          <w:lang w:bidi="ar-SY"/>
        </w:rPr>
        <w:t>على</w:t>
      </w:r>
      <w:r w:rsidR="00953581" w:rsidRPr="003F3B94">
        <w:rPr>
          <w:rFonts w:hint="cs"/>
          <w:sz w:val="28"/>
          <w:rtl/>
          <w:lang w:bidi="ar-SY"/>
        </w:rPr>
        <w:t xml:space="preserve"> </w:t>
      </w:r>
      <w:r w:rsidR="00F538E6" w:rsidRPr="003F3B94">
        <w:rPr>
          <w:rFonts w:hint="cs"/>
          <w:sz w:val="28"/>
          <w:rtl/>
          <w:lang w:bidi="ar-SY"/>
        </w:rPr>
        <w:t>مفترق</w:t>
      </w:r>
      <w:r w:rsidR="00953581" w:rsidRPr="003F3B94">
        <w:rPr>
          <w:rFonts w:hint="cs"/>
          <w:sz w:val="28"/>
          <w:rtl/>
          <w:lang w:bidi="ar-SY"/>
        </w:rPr>
        <w:t xml:space="preserve"> </w:t>
      </w:r>
      <w:r w:rsidR="00F538E6" w:rsidRPr="003F3B94">
        <w:rPr>
          <w:rFonts w:hint="cs"/>
          <w:sz w:val="28"/>
          <w:rtl/>
          <w:lang w:bidi="ar-SY"/>
        </w:rPr>
        <w:t>طريقي</w:t>
      </w:r>
      <w:r w:rsidR="00953581" w:rsidRPr="003F3B94">
        <w:rPr>
          <w:rFonts w:hint="cs"/>
          <w:sz w:val="28"/>
          <w:rtl/>
          <w:lang w:bidi="ar-SY"/>
        </w:rPr>
        <w:t xml:space="preserve"> </w:t>
      </w:r>
      <w:r w:rsidR="00F538E6" w:rsidRPr="003F3B94">
        <w:rPr>
          <w:rFonts w:hint="cs"/>
          <w:sz w:val="28"/>
          <w:rtl/>
          <w:lang w:bidi="ar-SY"/>
        </w:rPr>
        <w:t>الفناء</w:t>
      </w:r>
      <w:r w:rsidR="00953581" w:rsidRPr="003F3B94">
        <w:rPr>
          <w:rFonts w:hint="cs"/>
          <w:sz w:val="28"/>
          <w:rtl/>
          <w:lang w:bidi="ar-SY"/>
        </w:rPr>
        <w:t xml:space="preserve"> </w:t>
      </w:r>
      <w:r w:rsidR="00F538E6" w:rsidRPr="003F3B94">
        <w:rPr>
          <w:rFonts w:hint="cs"/>
          <w:sz w:val="28"/>
          <w:rtl/>
          <w:lang w:bidi="ar-SY"/>
        </w:rPr>
        <w:t>والبقاء</w:t>
      </w:r>
      <w:r w:rsidR="00953581" w:rsidRPr="003F3B94">
        <w:rPr>
          <w:rFonts w:hint="cs"/>
          <w:sz w:val="28"/>
          <w:rtl/>
          <w:lang w:bidi="ar-SY"/>
        </w:rPr>
        <w:t xml:space="preserve"> </w:t>
      </w:r>
      <w:r w:rsidR="00F538E6" w:rsidRPr="003F3B94">
        <w:rPr>
          <w:rFonts w:hint="cs"/>
          <w:sz w:val="28"/>
          <w:rtl/>
          <w:lang w:bidi="ar-SY"/>
        </w:rPr>
        <w:t>بأرجلها</w:t>
      </w:r>
      <w:r w:rsidR="00953581" w:rsidRPr="003F3B94">
        <w:rPr>
          <w:rFonts w:hint="cs"/>
          <w:sz w:val="28"/>
          <w:rtl/>
          <w:lang w:bidi="ar-SY"/>
        </w:rPr>
        <w:t xml:space="preserve"> </w:t>
      </w:r>
      <w:r w:rsidR="00F538E6" w:rsidRPr="003F3B94">
        <w:rPr>
          <w:rFonts w:hint="cs"/>
          <w:sz w:val="28"/>
          <w:rtl/>
          <w:lang w:bidi="ar-SY"/>
        </w:rPr>
        <w:t>المرتجفة</w:t>
      </w:r>
      <w:r w:rsidR="00953581" w:rsidRPr="003F3B94">
        <w:rPr>
          <w:rFonts w:hint="cs"/>
          <w:sz w:val="28"/>
          <w:rtl/>
          <w:lang w:bidi="ar-SY"/>
        </w:rPr>
        <w:t xml:space="preserve"> </w:t>
      </w:r>
      <w:r w:rsidR="00F538E6" w:rsidRPr="003F3B94">
        <w:rPr>
          <w:rFonts w:hint="cs"/>
          <w:sz w:val="28"/>
          <w:rtl/>
          <w:lang w:bidi="ar-SY"/>
        </w:rPr>
        <w:t>وقلبها</w:t>
      </w:r>
      <w:r w:rsidR="00953581" w:rsidRPr="003F3B94">
        <w:rPr>
          <w:rFonts w:hint="cs"/>
          <w:sz w:val="28"/>
          <w:rtl/>
          <w:lang w:bidi="ar-SY"/>
        </w:rPr>
        <w:t xml:space="preserve"> </w:t>
      </w:r>
      <w:r w:rsidR="00F538E6" w:rsidRPr="003F3B94">
        <w:rPr>
          <w:rFonts w:hint="cs"/>
          <w:sz w:val="28"/>
          <w:rtl/>
          <w:lang w:bidi="ar-SY"/>
        </w:rPr>
        <w:t>الخائف</w:t>
      </w:r>
      <w:r w:rsidR="00953581" w:rsidRPr="003F3B94">
        <w:rPr>
          <w:rFonts w:hint="cs"/>
          <w:sz w:val="28"/>
          <w:rtl/>
          <w:lang w:bidi="ar-SY"/>
        </w:rPr>
        <w:t xml:space="preserve"> </w:t>
      </w:r>
      <w:r w:rsidR="00F538E6" w:rsidRPr="003F3B94">
        <w:rPr>
          <w:rFonts w:hint="cs"/>
          <w:sz w:val="28"/>
          <w:rtl/>
          <w:lang w:bidi="ar-SY"/>
        </w:rPr>
        <w:t>قلقةً</w:t>
      </w:r>
      <w:r w:rsidR="00953581" w:rsidRPr="003F3B94">
        <w:rPr>
          <w:rFonts w:hint="cs"/>
          <w:sz w:val="28"/>
          <w:rtl/>
          <w:lang w:bidi="ar-SY"/>
        </w:rPr>
        <w:t xml:space="preserve"> </w:t>
      </w:r>
      <w:r w:rsidR="00F538E6" w:rsidRPr="003F3B94">
        <w:rPr>
          <w:rFonts w:hint="cs"/>
          <w:sz w:val="28"/>
          <w:rtl/>
          <w:lang w:bidi="ar-SY"/>
        </w:rPr>
        <w:t>بشأن</w:t>
      </w:r>
      <w:r w:rsidR="00953581" w:rsidRPr="003F3B94">
        <w:rPr>
          <w:rFonts w:hint="cs"/>
          <w:sz w:val="28"/>
          <w:rtl/>
          <w:lang w:bidi="ar-SY"/>
        </w:rPr>
        <w:t xml:space="preserve"> </w:t>
      </w:r>
      <w:r w:rsidR="00F538E6" w:rsidRPr="003F3B94">
        <w:rPr>
          <w:rFonts w:hint="cs"/>
          <w:sz w:val="28"/>
          <w:rtl/>
          <w:lang w:bidi="ar-SY"/>
        </w:rPr>
        <w:t>مستقبلها</w:t>
      </w:r>
      <w:r w:rsidR="00953581" w:rsidRPr="003F3B94">
        <w:rPr>
          <w:rFonts w:hint="cs"/>
          <w:sz w:val="28"/>
          <w:rtl/>
          <w:lang w:bidi="ar-SY"/>
        </w:rPr>
        <w:t xml:space="preserve"> </w:t>
      </w:r>
      <w:r w:rsidR="00F538E6" w:rsidRPr="003F3B94">
        <w:rPr>
          <w:rFonts w:hint="cs"/>
          <w:sz w:val="28"/>
          <w:rtl/>
          <w:lang w:bidi="ar-SY"/>
        </w:rPr>
        <w:t>ومتحيرةً</w:t>
      </w:r>
      <w:r w:rsidR="00953581" w:rsidRPr="003F3B94">
        <w:rPr>
          <w:rFonts w:hint="cs"/>
          <w:sz w:val="28"/>
          <w:rtl/>
          <w:lang w:bidi="ar-SY"/>
        </w:rPr>
        <w:t xml:space="preserve"> </w:t>
      </w:r>
      <w:r w:rsidR="00F538E6" w:rsidRPr="003F3B94">
        <w:rPr>
          <w:rFonts w:hint="cs"/>
          <w:sz w:val="28"/>
          <w:rtl/>
          <w:lang w:bidi="ar-SY"/>
        </w:rPr>
        <w:t>في</w:t>
      </w:r>
      <w:r w:rsidR="00953581" w:rsidRPr="003F3B94">
        <w:rPr>
          <w:rFonts w:hint="cs"/>
          <w:sz w:val="28"/>
          <w:rtl/>
          <w:lang w:bidi="ar-SY"/>
        </w:rPr>
        <w:t xml:space="preserve"> </w:t>
      </w:r>
      <w:r w:rsidR="00F538E6" w:rsidRPr="003F3B94">
        <w:rPr>
          <w:rFonts w:hint="cs"/>
          <w:sz w:val="28"/>
          <w:rtl/>
          <w:lang w:bidi="ar-SY"/>
        </w:rPr>
        <w:t>طريقها</w:t>
      </w:r>
      <w:r w:rsidR="00217AB4" w:rsidRPr="003F3B94">
        <w:rPr>
          <w:rFonts w:hint="cs"/>
          <w:sz w:val="28"/>
          <w:rtl/>
          <w:lang w:bidi="ar-SY"/>
        </w:rPr>
        <w:t>،</w:t>
      </w:r>
      <w:r w:rsidR="00953581" w:rsidRPr="003F3B94">
        <w:rPr>
          <w:rFonts w:hint="cs"/>
          <w:sz w:val="28"/>
          <w:rtl/>
          <w:lang w:bidi="ar-SY"/>
        </w:rPr>
        <w:t xml:space="preserve"> </w:t>
      </w:r>
      <w:r w:rsidR="00EA29E0" w:rsidRPr="003F3B94">
        <w:rPr>
          <w:rFonts w:hint="cs"/>
          <w:sz w:val="28"/>
          <w:rtl/>
          <w:lang w:bidi="ar-SY"/>
        </w:rPr>
        <w:t>إذ</w:t>
      </w:r>
      <w:r w:rsidR="00953581" w:rsidRPr="003F3B94">
        <w:rPr>
          <w:rFonts w:hint="cs"/>
          <w:sz w:val="28"/>
          <w:rtl/>
          <w:lang w:bidi="ar-SY"/>
        </w:rPr>
        <w:t xml:space="preserve"> </w:t>
      </w:r>
      <w:r w:rsidR="00EA29E0" w:rsidRPr="003F3B94">
        <w:rPr>
          <w:rFonts w:hint="cs"/>
          <w:sz w:val="28"/>
          <w:rtl/>
          <w:lang w:bidi="ar-SY"/>
        </w:rPr>
        <w:t>يمكن</w:t>
      </w:r>
      <w:r w:rsidR="00953581" w:rsidRPr="003F3B94">
        <w:rPr>
          <w:rFonts w:hint="cs"/>
          <w:sz w:val="28"/>
          <w:rtl/>
          <w:lang w:bidi="ar-SY"/>
        </w:rPr>
        <w:t xml:space="preserve"> </w:t>
      </w:r>
      <w:r w:rsidR="00EA29E0" w:rsidRPr="003F3B94">
        <w:rPr>
          <w:rFonts w:hint="cs"/>
          <w:sz w:val="28"/>
          <w:rtl/>
          <w:lang w:bidi="ar-SY"/>
        </w:rPr>
        <w:t>ل</w:t>
      </w:r>
      <w:r w:rsidR="008A2A49" w:rsidRPr="003F3B94">
        <w:rPr>
          <w:rFonts w:hint="cs"/>
          <w:sz w:val="28"/>
          <w:rtl/>
          <w:lang w:bidi="ar-SY"/>
        </w:rPr>
        <w:t>لإ</w:t>
      </w:r>
      <w:r w:rsidR="00EA29E0" w:rsidRPr="003F3B94">
        <w:rPr>
          <w:rFonts w:hint="cs"/>
          <w:sz w:val="28"/>
          <w:rtl/>
          <w:lang w:bidi="ar-SY"/>
        </w:rPr>
        <w:t>س</w:t>
      </w:r>
      <w:r w:rsidR="008A2A49" w:rsidRPr="003F3B94">
        <w:rPr>
          <w:rFonts w:hint="cs"/>
          <w:sz w:val="28"/>
          <w:rtl/>
          <w:lang w:bidi="ar-SY"/>
        </w:rPr>
        <w:t>لا</w:t>
      </w:r>
      <w:r w:rsidR="00EA29E0" w:rsidRPr="003F3B94">
        <w:rPr>
          <w:rFonts w:hint="cs"/>
          <w:sz w:val="28"/>
          <w:rtl/>
          <w:lang w:bidi="ar-SY"/>
        </w:rPr>
        <w:t>م</w:t>
      </w:r>
      <w:r w:rsidR="00953581" w:rsidRPr="003F3B94">
        <w:rPr>
          <w:rFonts w:hint="cs"/>
          <w:sz w:val="28"/>
          <w:rtl/>
          <w:lang w:bidi="ar-SY"/>
        </w:rPr>
        <w:t xml:space="preserve"> </w:t>
      </w:r>
      <w:r w:rsidR="00F538E6" w:rsidRPr="003F3B94">
        <w:rPr>
          <w:rFonts w:hint="cs"/>
          <w:sz w:val="28"/>
          <w:rtl/>
          <w:lang w:bidi="ar-SY"/>
        </w:rPr>
        <w:t>أن</w:t>
      </w:r>
      <w:r w:rsidR="00953581" w:rsidRPr="003F3B94">
        <w:rPr>
          <w:rFonts w:hint="cs"/>
          <w:sz w:val="28"/>
          <w:rtl/>
          <w:lang w:bidi="ar-SY"/>
        </w:rPr>
        <w:t xml:space="preserve"> </w:t>
      </w:r>
      <w:r w:rsidR="00EA29E0" w:rsidRPr="003F3B94">
        <w:rPr>
          <w:rFonts w:hint="cs"/>
          <w:sz w:val="28"/>
          <w:rtl/>
          <w:lang w:bidi="ar-SY"/>
        </w:rPr>
        <w:t>يأخذ</w:t>
      </w:r>
      <w:r w:rsidR="00953581" w:rsidRPr="003F3B94">
        <w:rPr>
          <w:rFonts w:hint="cs"/>
          <w:sz w:val="28"/>
          <w:rtl/>
          <w:lang w:bidi="ar-SY"/>
        </w:rPr>
        <w:t xml:space="preserve"> </w:t>
      </w:r>
      <w:r w:rsidR="00EA29E0" w:rsidRPr="003F3B94">
        <w:rPr>
          <w:rFonts w:hint="cs"/>
          <w:sz w:val="28"/>
          <w:rtl/>
          <w:lang w:bidi="ar-SY"/>
        </w:rPr>
        <w:t>بيد</w:t>
      </w:r>
      <w:r w:rsidR="00953581" w:rsidRPr="003F3B94">
        <w:rPr>
          <w:rFonts w:hint="cs"/>
          <w:sz w:val="28"/>
          <w:rtl/>
          <w:lang w:bidi="ar-SY"/>
        </w:rPr>
        <w:t xml:space="preserve"> </w:t>
      </w:r>
      <w:r w:rsidR="00F538E6" w:rsidRPr="003F3B94">
        <w:rPr>
          <w:rFonts w:hint="cs"/>
          <w:sz w:val="28"/>
          <w:rtl/>
          <w:lang w:bidi="ar-SY"/>
        </w:rPr>
        <w:t>جميع</w:t>
      </w:r>
      <w:r w:rsidR="00953581" w:rsidRPr="003F3B94">
        <w:rPr>
          <w:rFonts w:hint="cs"/>
          <w:sz w:val="28"/>
          <w:rtl/>
          <w:lang w:bidi="ar-SY"/>
        </w:rPr>
        <w:t xml:space="preserve"> </w:t>
      </w:r>
      <w:r w:rsidR="00F538E6" w:rsidRPr="003F3B94">
        <w:rPr>
          <w:rFonts w:hint="cs"/>
          <w:sz w:val="28"/>
          <w:rtl/>
          <w:lang w:bidi="ar-SY"/>
        </w:rPr>
        <w:t>المجتمعات</w:t>
      </w:r>
      <w:r w:rsidR="00953581" w:rsidRPr="003F3B94">
        <w:rPr>
          <w:rFonts w:hint="cs"/>
          <w:sz w:val="28"/>
          <w:rtl/>
          <w:lang w:bidi="ar-SY"/>
        </w:rPr>
        <w:t xml:space="preserve"> </w:t>
      </w:r>
      <w:r w:rsidR="00F538E6" w:rsidRPr="003F3B94">
        <w:rPr>
          <w:rFonts w:hint="cs"/>
          <w:sz w:val="28"/>
          <w:rtl/>
          <w:lang w:bidi="ar-SY"/>
        </w:rPr>
        <w:t>البشرية</w:t>
      </w:r>
      <w:r w:rsidR="00953581" w:rsidRPr="003F3B94">
        <w:rPr>
          <w:rFonts w:hint="cs"/>
          <w:sz w:val="28"/>
          <w:rtl/>
          <w:lang w:bidi="ar-SY"/>
        </w:rPr>
        <w:t xml:space="preserve"> </w:t>
      </w:r>
      <w:r w:rsidR="00D16385" w:rsidRPr="003F3B94">
        <w:rPr>
          <w:rFonts w:hint="cs"/>
          <w:sz w:val="28"/>
          <w:rtl/>
          <w:lang w:bidi="ar-SY"/>
        </w:rPr>
        <w:t>إلى</w:t>
      </w:r>
      <w:r w:rsidR="00953581" w:rsidRPr="003F3B94">
        <w:rPr>
          <w:rFonts w:hint="cs"/>
          <w:sz w:val="28"/>
          <w:rtl/>
          <w:lang w:bidi="ar-SY"/>
        </w:rPr>
        <w:t xml:space="preserve"> </w:t>
      </w:r>
      <w:r w:rsidR="00D16385" w:rsidRPr="003F3B94">
        <w:rPr>
          <w:rFonts w:hint="cs"/>
          <w:sz w:val="28"/>
          <w:rtl/>
          <w:lang w:bidi="ar-SY"/>
        </w:rPr>
        <w:t>طريق</w:t>
      </w:r>
      <w:r w:rsidR="00953581" w:rsidRPr="003F3B94">
        <w:rPr>
          <w:rFonts w:hint="cs"/>
          <w:sz w:val="28"/>
          <w:rtl/>
          <w:lang w:bidi="ar-SY"/>
        </w:rPr>
        <w:t xml:space="preserve"> </w:t>
      </w:r>
      <w:r w:rsidR="00D16385" w:rsidRPr="003F3B94">
        <w:rPr>
          <w:rFonts w:hint="cs"/>
          <w:sz w:val="28"/>
          <w:rtl/>
          <w:lang w:bidi="ar-SY"/>
        </w:rPr>
        <w:t>النجاة</w:t>
      </w:r>
      <w:r w:rsidR="00953581" w:rsidRPr="003F3B94">
        <w:rPr>
          <w:rFonts w:hint="cs"/>
          <w:sz w:val="28"/>
          <w:rtl/>
          <w:lang w:bidi="ar-SY"/>
        </w:rPr>
        <w:t xml:space="preserve"> </w:t>
      </w:r>
      <w:r w:rsidR="00D16385" w:rsidRPr="003F3B94">
        <w:rPr>
          <w:rFonts w:hint="cs"/>
          <w:sz w:val="28"/>
          <w:rtl/>
          <w:lang w:bidi="ar-SY"/>
        </w:rPr>
        <w:t>الواسع</w:t>
      </w:r>
      <w:r w:rsidR="00953581" w:rsidRPr="003F3B94">
        <w:rPr>
          <w:rFonts w:hint="cs"/>
          <w:sz w:val="28"/>
          <w:rtl/>
          <w:lang w:bidi="ar-SY"/>
        </w:rPr>
        <w:t xml:space="preserve"> </w:t>
      </w:r>
      <w:r w:rsidR="00D16385" w:rsidRPr="003F3B94">
        <w:rPr>
          <w:rFonts w:hint="cs"/>
          <w:sz w:val="28"/>
          <w:rtl/>
          <w:lang w:bidi="ar-SY"/>
        </w:rPr>
        <w:t>والف</w:t>
      </w:r>
      <w:r w:rsidR="008A2A49" w:rsidRPr="003F3B94">
        <w:rPr>
          <w:rFonts w:hint="cs"/>
          <w:sz w:val="28"/>
          <w:rtl/>
          <w:lang w:bidi="ar-SY"/>
        </w:rPr>
        <w:t>لا</w:t>
      </w:r>
      <w:r w:rsidR="00D16385" w:rsidRPr="003F3B94">
        <w:rPr>
          <w:rFonts w:hint="cs"/>
          <w:sz w:val="28"/>
          <w:rtl/>
          <w:lang w:bidi="ar-SY"/>
        </w:rPr>
        <w:t>ح</w:t>
      </w:r>
      <w:r w:rsidR="00953581" w:rsidRPr="003F3B94">
        <w:rPr>
          <w:rFonts w:hint="cs"/>
          <w:sz w:val="28"/>
          <w:rtl/>
          <w:lang w:bidi="ar-SY"/>
        </w:rPr>
        <w:t xml:space="preserve"> </w:t>
      </w:r>
      <w:r w:rsidR="000F52B6" w:rsidRPr="003F3B94">
        <w:rPr>
          <w:rFonts w:hint="cs"/>
          <w:sz w:val="28"/>
          <w:rtl/>
          <w:lang w:bidi="ar-SY"/>
        </w:rPr>
        <w:t>الكامل</w:t>
      </w:r>
      <w:r w:rsidR="00217AB4" w:rsidRPr="003F3B94">
        <w:rPr>
          <w:rFonts w:hint="cs"/>
          <w:sz w:val="28"/>
          <w:rtl/>
          <w:lang w:bidi="ar-SY"/>
        </w:rPr>
        <w:t>،</w:t>
      </w:r>
      <w:r w:rsidR="00953581" w:rsidRPr="003F3B94">
        <w:rPr>
          <w:rFonts w:hint="cs"/>
          <w:sz w:val="28"/>
          <w:rtl/>
          <w:lang w:bidi="ar-SY"/>
        </w:rPr>
        <w:t xml:space="preserve"> </w:t>
      </w:r>
      <w:r w:rsidR="000F52B6" w:rsidRPr="003F3B94">
        <w:rPr>
          <w:rFonts w:hint="cs"/>
          <w:sz w:val="28"/>
          <w:rtl/>
          <w:lang w:bidi="ar-SY"/>
        </w:rPr>
        <w:t>وهذا</w:t>
      </w:r>
      <w:r w:rsidR="00953581" w:rsidRPr="003F3B94">
        <w:rPr>
          <w:rFonts w:hint="cs"/>
          <w:sz w:val="28"/>
          <w:rtl/>
          <w:lang w:bidi="ar-SY"/>
        </w:rPr>
        <w:t xml:space="preserve"> </w:t>
      </w:r>
      <w:r w:rsidR="000F52B6" w:rsidRPr="003F3B94">
        <w:rPr>
          <w:rFonts w:hint="cs"/>
          <w:sz w:val="28"/>
          <w:rtl/>
          <w:lang w:bidi="ar-SY"/>
        </w:rPr>
        <w:t>ا</w:t>
      </w:r>
      <w:r w:rsidR="008A2A49" w:rsidRPr="003F3B94">
        <w:rPr>
          <w:rFonts w:hint="cs"/>
          <w:sz w:val="28"/>
          <w:rtl/>
          <w:lang w:bidi="ar-SY"/>
        </w:rPr>
        <w:t>لا</w:t>
      </w:r>
      <w:r w:rsidR="000F52B6" w:rsidRPr="003F3B94">
        <w:rPr>
          <w:rFonts w:hint="cs"/>
          <w:sz w:val="28"/>
          <w:rtl/>
          <w:lang w:bidi="ar-SY"/>
        </w:rPr>
        <w:t>دعاء</w:t>
      </w:r>
      <w:r w:rsidR="00953581" w:rsidRPr="003F3B94">
        <w:rPr>
          <w:rFonts w:hint="cs"/>
          <w:sz w:val="28"/>
          <w:rtl/>
          <w:lang w:bidi="ar-SY"/>
        </w:rPr>
        <w:t xml:space="preserve"> </w:t>
      </w:r>
      <w:r w:rsidR="000F52B6" w:rsidRPr="003F3B94">
        <w:rPr>
          <w:rFonts w:hint="cs"/>
          <w:sz w:val="28"/>
          <w:rtl/>
          <w:lang w:bidi="ar-SY"/>
        </w:rPr>
        <w:t>إنما</w:t>
      </w:r>
      <w:r w:rsidR="00953581" w:rsidRPr="003F3B94">
        <w:rPr>
          <w:rFonts w:hint="cs"/>
          <w:sz w:val="28"/>
          <w:rtl/>
          <w:lang w:bidi="ar-SY"/>
        </w:rPr>
        <w:t xml:space="preserve"> </w:t>
      </w:r>
      <w:r w:rsidR="00EA29E0" w:rsidRPr="003F3B94">
        <w:rPr>
          <w:rFonts w:hint="cs"/>
          <w:sz w:val="28"/>
          <w:rtl/>
          <w:lang w:bidi="ar-SY"/>
        </w:rPr>
        <w:t>يمكن</w:t>
      </w:r>
      <w:r w:rsidR="00953581" w:rsidRPr="003F3B94">
        <w:rPr>
          <w:rFonts w:hint="cs"/>
          <w:sz w:val="28"/>
          <w:rtl/>
          <w:lang w:bidi="ar-SY"/>
        </w:rPr>
        <w:t xml:space="preserve"> </w:t>
      </w:r>
      <w:r w:rsidR="000F52B6" w:rsidRPr="003F3B94">
        <w:rPr>
          <w:rFonts w:hint="cs"/>
          <w:sz w:val="28"/>
          <w:rtl/>
          <w:lang w:bidi="ar-SY"/>
        </w:rPr>
        <w:t>تصديقه</w:t>
      </w:r>
      <w:r w:rsidR="00953581" w:rsidRPr="003F3B94">
        <w:rPr>
          <w:rFonts w:hint="cs"/>
          <w:sz w:val="28"/>
          <w:rtl/>
          <w:lang w:bidi="ar-SY"/>
        </w:rPr>
        <w:t xml:space="preserve"> </w:t>
      </w:r>
      <w:r w:rsidR="000F52B6" w:rsidRPr="003F3B94">
        <w:rPr>
          <w:rFonts w:hint="cs"/>
          <w:sz w:val="28"/>
          <w:rtl/>
          <w:lang w:bidi="ar-SY"/>
        </w:rPr>
        <w:lastRenderedPageBreak/>
        <w:t>إذا</w:t>
      </w:r>
      <w:r w:rsidR="00953581" w:rsidRPr="003F3B94">
        <w:rPr>
          <w:rFonts w:hint="cs"/>
          <w:sz w:val="28"/>
          <w:rtl/>
          <w:lang w:bidi="ar-SY"/>
        </w:rPr>
        <w:t xml:space="preserve"> </w:t>
      </w:r>
      <w:r w:rsidR="000F52B6" w:rsidRPr="003F3B94">
        <w:rPr>
          <w:rFonts w:hint="cs"/>
          <w:sz w:val="28"/>
          <w:rtl/>
          <w:lang w:bidi="ar-SY"/>
        </w:rPr>
        <w:t>درس</w:t>
      </w:r>
      <w:r w:rsidR="00953581" w:rsidRPr="003F3B94">
        <w:rPr>
          <w:rFonts w:hint="cs"/>
          <w:sz w:val="28"/>
          <w:rtl/>
          <w:lang w:bidi="ar-SY"/>
        </w:rPr>
        <w:t xml:space="preserve"> </w:t>
      </w:r>
      <w:r w:rsidR="000F52B6" w:rsidRPr="003F3B94">
        <w:rPr>
          <w:rFonts w:hint="cs"/>
          <w:sz w:val="28"/>
          <w:rtl/>
          <w:lang w:bidi="ar-SY"/>
        </w:rPr>
        <w:t>الباحث</w:t>
      </w:r>
      <w:r w:rsidR="00953581" w:rsidRPr="003F3B94">
        <w:rPr>
          <w:rFonts w:hint="cs"/>
          <w:sz w:val="28"/>
          <w:rtl/>
          <w:lang w:bidi="ar-SY"/>
        </w:rPr>
        <w:t xml:space="preserve"> </w:t>
      </w:r>
      <w:r w:rsidR="000F52B6" w:rsidRPr="003F3B94">
        <w:rPr>
          <w:rFonts w:hint="cs"/>
          <w:sz w:val="28"/>
          <w:rtl/>
          <w:lang w:bidi="ar-SY"/>
        </w:rPr>
        <w:t>سائر</w:t>
      </w:r>
      <w:r w:rsidR="00953581" w:rsidRPr="003F3B94">
        <w:rPr>
          <w:rFonts w:hint="cs"/>
          <w:sz w:val="28"/>
          <w:rtl/>
          <w:lang w:bidi="ar-SY"/>
        </w:rPr>
        <w:t xml:space="preserve"> </w:t>
      </w:r>
      <w:r w:rsidR="000F52B6" w:rsidRPr="003F3B94">
        <w:rPr>
          <w:rFonts w:hint="cs"/>
          <w:sz w:val="28"/>
          <w:rtl/>
          <w:lang w:bidi="ar-SY"/>
        </w:rPr>
        <w:t>أديان</w:t>
      </w:r>
      <w:r w:rsidR="00953581" w:rsidRPr="003F3B94">
        <w:rPr>
          <w:rFonts w:hint="cs"/>
          <w:sz w:val="28"/>
          <w:rtl/>
          <w:lang w:bidi="ar-SY"/>
        </w:rPr>
        <w:t xml:space="preserve"> </w:t>
      </w:r>
      <w:r w:rsidR="000F52B6" w:rsidRPr="003F3B94">
        <w:rPr>
          <w:rFonts w:hint="cs"/>
          <w:sz w:val="28"/>
          <w:rtl/>
          <w:lang w:bidi="ar-SY"/>
        </w:rPr>
        <w:t>العالم</w:t>
      </w:r>
      <w:r w:rsidR="00953581" w:rsidRPr="003F3B94">
        <w:rPr>
          <w:rFonts w:hint="cs"/>
          <w:sz w:val="28"/>
          <w:rtl/>
          <w:lang w:bidi="ar-SY"/>
        </w:rPr>
        <w:t xml:space="preserve"> </w:t>
      </w:r>
      <w:r w:rsidR="000F52B6" w:rsidRPr="003F3B94">
        <w:rPr>
          <w:rFonts w:hint="cs"/>
          <w:sz w:val="28"/>
          <w:rtl/>
          <w:lang w:bidi="ar-SY"/>
        </w:rPr>
        <w:t>دراسة</w:t>
      </w:r>
      <w:r w:rsidR="00EA29E0" w:rsidRPr="003F3B94">
        <w:rPr>
          <w:rFonts w:hint="cs"/>
          <w:sz w:val="28"/>
          <w:rtl/>
          <w:lang w:bidi="ar-SY"/>
        </w:rPr>
        <w:t>ً</w:t>
      </w:r>
      <w:r w:rsidR="00953581" w:rsidRPr="003F3B94">
        <w:rPr>
          <w:rFonts w:hint="cs"/>
          <w:sz w:val="28"/>
          <w:rtl/>
          <w:lang w:bidi="ar-SY"/>
        </w:rPr>
        <w:t xml:space="preserve"> </w:t>
      </w:r>
      <w:r w:rsidR="000F52B6" w:rsidRPr="003F3B94">
        <w:rPr>
          <w:rFonts w:hint="cs"/>
          <w:sz w:val="28"/>
          <w:rtl/>
          <w:lang w:bidi="ar-SY"/>
        </w:rPr>
        <w:t>معم</w:t>
      </w:r>
      <w:r w:rsidR="003B3DA1" w:rsidRPr="003F3B94">
        <w:rPr>
          <w:rFonts w:hint="cs"/>
          <w:sz w:val="28"/>
          <w:rtl/>
          <w:lang w:bidi="ar-SY"/>
        </w:rPr>
        <w:t>ّ</w:t>
      </w:r>
      <w:r w:rsidR="000F52B6" w:rsidRPr="003F3B94">
        <w:rPr>
          <w:rFonts w:hint="cs"/>
          <w:sz w:val="28"/>
          <w:rtl/>
          <w:lang w:bidi="ar-SY"/>
        </w:rPr>
        <w:t>قة</w:t>
      </w:r>
      <w:r w:rsidR="00EA29E0" w:rsidRPr="003F3B94">
        <w:rPr>
          <w:rFonts w:hint="cs"/>
          <w:sz w:val="28"/>
          <w:rtl/>
          <w:lang w:bidi="ar-SY"/>
        </w:rPr>
        <w:t>ً</w:t>
      </w:r>
      <w:r w:rsidR="00953581" w:rsidRPr="003F3B94">
        <w:rPr>
          <w:rFonts w:hint="cs"/>
          <w:sz w:val="28"/>
          <w:rtl/>
          <w:lang w:bidi="ar-SY"/>
        </w:rPr>
        <w:t xml:space="preserve"> </w:t>
      </w:r>
      <w:r w:rsidR="00BA7F62" w:rsidRPr="003F3B94">
        <w:rPr>
          <w:rFonts w:hint="cs"/>
          <w:sz w:val="28"/>
          <w:rtl/>
          <w:lang w:bidi="ar-SY"/>
        </w:rPr>
        <w:t>وقرأ</w:t>
      </w:r>
      <w:r w:rsidR="00953581" w:rsidRPr="003F3B94">
        <w:rPr>
          <w:rFonts w:hint="cs"/>
          <w:sz w:val="28"/>
          <w:rtl/>
          <w:lang w:bidi="ar-SY"/>
        </w:rPr>
        <w:t xml:space="preserve"> </w:t>
      </w:r>
      <w:r w:rsidR="00EA29E0" w:rsidRPr="003F3B94">
        <w:rPr>
          <w:rFonts w:hint="cs"/>
          <w:sz w:val="28"/>
          <w:rtl/>
          <w:lang w:bidi="ar-SY"/>
        </w:rPr>
        <w:t>بدقَّةٍ</w:t>
      </w:r>
      <w:r w:rsidR="00953581" w:rsidRPr="003F3B94">
        <w:rPr>
          <w:rFonts w:hint="cs"/>
          <w:sz w:val="28"/>
          <w:rtl/>
          <w:lang w:bidi="ar-SY"/>
        </w:rPr>
        <w:t xml:space="preserve"> </w:t>
      </w:r>
      <w:r w:rsidR="00BA7F62" w:rsidRPr="003F3B94">
        <w:rPr>
          <w:rFonts w:hint="cs"/>
          <w:sz w:val="28"/>
          <w:rtl/>
          <w:lang w:bidi="ar-SY"/>
        </w:rPr>
        <w:t>آراء</w:t>
      </w:r>
      <w:r w:rsidR="00953581" w:rsidRPr="003F3B94">
        <w:rPr>
          <w:rFonts w:hint="cs"/>
          <w:sz w:val="28"/>
          <w:rtl/>
          <w:lang w:bidi="ar-SY"/>
        </w:rPr>
        <w:t xml:space="preserve"> </w:t>
      </w:r>
      <w:r w:rsidR="00BA7F62" w:rsidRPr="003F3B94">
        <w:rPr>
          <w:rFonts w:hint="cs"/>
          <w:sz w:val="28"/>
          <w:rtl/>
          <w:lang w:bidi="ar-SY"/>
        </w:rPr>
        <w:t>العلماء</w:t>
      </w:r>
      <w:r w:rsidR="00953581" w:rsidRPr="003F3B94">
        <w:rPr>
          <w:rFonts w:hint="cs"/>
          <w:sz w:val="28"/>
          <w:rtl/>
          <w:lang w:bidi="ar-SY"/>
        </w:rPr>
        <w:t xml:space="preserve"> </w:t>
      </w:r>
      <w:r w:rsidR="00BA7F62" w:rsidRPr="003F3B94">
        <w:rPr>
          <w:rFonts w:hint="cs"/>
          <w:sz w:val="28"/>
          <w:rtl/>
          <w:lang w:bidi="ar-SY"/>
        </w:rPr>
        <w:t>المنصفين</w:t>
      </w:r>
      <w:r w:rsidR="00953581" w:rsidRPr="003F3B94">
        <w:rPr>
          <w:rFonts w:hint="cs"/>
          <w:sz w:val="28"/>
          <w:rtl/>
          <w:lang w:bidi="ar-SY"/>
        </w:rPr>
        <w:t xml:space="preserve"> </w:t>
      </w:r>
      <w:r w:rsidR="00570286" w:rsidRPr="003F3B94">
        <w:rPr>
          <w:rFonts w:hint="cs"/>
          <w:sz w:val="28"/>
          <w:rtl/>
          <w:lang w:bidi="ar-SY"/>
        </w:rPr>
        <w:t>المتعم</w:t>
      </w:r>
      <w:r w:rsidR="00EA29E0" w:rsidRPr="003F3B94">
        <w:rPr>
          <w:rFonts w:hint="cs"/>
          <w:sz w:val="28"/>
          <w:rtl/>
          <w:lang w:bidi="ar-SY"/>
        </w:rPr>
        <w:t>ِّ</w:t>
      </w:r>
      <w:r w:rsidR="00570286" w:rsidRPr="003F3B94">
        <w:rPr>
          <w:rFonts w:hint="cs"/>
          <w:sz w:val="28"/>
          <w:rtl/>
          <w:lang w:bidi="ar-SY"/>
        </w:rPr>
        <w:t>قين</w:t>
      </w:r>
      <w:r w:rsidR="00953581" w:rsidRPr="003F3B94">
        <w:rPr>
          <w:rFonts w:hint="cs"/>
          <w:sz w:val="28"/>
          <w:rtl/>
          <w:lang w:bidi="ar-SY"/>
        </w:rPr>
        <w:t xml:space="preserve"> </w:t>
      </w:r>
      <w:r w:rsidR="00570286" w:rsidRPr="003F3B94">
        <w:rPr>
          <w:rFonts w:hint="cs"/>
          <w:sz w:val="28"/>
          <w:rtl/>
          <w:lang w:bidi="ar-SY"/>
        </w:rPr>
        <w:t>في</w:t>
      </w:r>
      <w:r w:rsidR="00953581" w:rsidRPr="003F3B94">
        <w:rPr>
          <w:rFonts w:hint="cs"/>
          <w:sz w:val="28"/>
          <w:rtl/>
          <w:lang w:bidi="ar-SY"/>
        </w:rPr>
        <w:t xml:space="preserve"> </w:t>
      </w:r>
      <w:r w:rsidR="00570286" w:rsidRPr="003F3B94">
        <w:rPr>
          <w:rFonts w:hint="cs"/>
          <w:sz w:val="28"/>
          <w:rtl/>
          <w:lang w:bidi="ar-SY"/>
        </w:rPr>
        <w:t>أمور</w:t>
      </w:r>
      <w:r w:rsidR="00953581" w:rsidRPr="003F3B94">
        <w:rPr>
          <w:rFonts w:hint="cs"/>
          <w:sz w:val="28"/>
          <w:rtl/>
          <w:lang w:bidi="ar-SY"/>
        </w:rPr>
        <w:t xml:space="preserve"> </w:t>
      </w:r>
      <w:r w:rsidR="00570286" w:rsidRPr="003F3B94">
        <w:rPr>
          <w:rFonts w:hint="cs"/>
          <w:sz w:val="28"/>
          <w:rtl/>
          <w:lang w:bidi="ar-SY"/>
        </w:rPr>
        <w:t>الدنيا</w:t>
      </w:r>
      <w:r w:rsidR="00953581" w:rsidRPr="003F3B94">
        <w:rPr>
          <w:rFonts w:hint="cs"/>
          <w:sz w:val="28"/>
          <w:rtl/>
          <w:lang w:bidi="ar-SY"/>
        </w:rPr>
        <w:t xml:space="preserve"> </w:t>
      </w:r>
      <w:r w:rsidR="00570286" w:rsidRPr="003F3B94">
        <w:rPr>
          <w:rFonts w:hint="cs"/>
          <w:sz w:val="28"/>
          <w:rtl/>
          <w:lang w:bidi="ar-SY"/>
        </w:rPr>
        <w:t>من</w:t>
      </w:r>
      <w:r w:rsidR="00953581" w:rsidRPr="003F3B94">
        <w:rPr>
          <w:rFonts w:hint="cs"/>
          <w:sz w:val="28"/>
          <w:rtl/>
          <w:lang w:bidi="ar-SY"/>
        </w:rPr>
        <w:t xml:space="preserve"> </w:t>
      </w:r>
      <w:r w:rsidR="00570286" w:rsidRPr="003F3B94">
        <w:rPr>
          <w:rFonts w:hint="cs"/>
          <w:sz w:val="28"/>
          <w:rtl/>
          <w:lang w:bidi="ar-SY"/>
        </w:rPr>
        <w:t>كل</w:t>
      </w:r>
      <w:r w:rsidR="00953581" w:rsidRPr="003F3B94">
        <w:rPr>
          <w:rFonts w:hint="cs"/>
          <w:sz w:val="28"/>
          <w:rtl/>
          <w:lang w:bidi="ar-SY"/>
        </w:rPr>
        <w:t xml:space="preserve"> </w:t>
      </w:r>
      <w:r w:rsidR="00570286" w:rsidRPr="003F3B94">
        <w:rPr>
          <w:rFonts w:hint="cs"/>
          <w:sz w:val="28"/>
          <w:rtl/>
          <w:lang w:bidi="ar-SY"/>
        </w:rPr>
        <w:t>أمةٍ</w:t>
      </w:r>
      <w:r w:rsidR="00953581" w:rsidRPr="003F3B94">
        <w:rPr>
          <w:rFonts w:hint="cs"/>
          <w:sz w:val="28"/>
          <w:rtl/>
          <w:lang w:bidi="ar-SY"/>
        </w:rPr>
        <w:t xml:space="preserve"> </w:t>
      </w:r>
      <w:r w:rsidR="00570286" w:rsidRPr="003F3B94">
        <w:rPr>
          <w:rFonts w:hint="cs"/>
          <w:sz w:val="28"/>
          <w:rtl/>
          <w:lang w:bidi="ar-SY"/>
        </w:rPr>
        <w:t>وشعبٍ</w:t>
      </w:r>
      <w:r w:rsidR="00953581" w:rsidRPr="003F3B94">
        <w:rPr>
          <w:rFonts w:hint="cs"/>
          <w:sz w:val="28"/>
          <w:rtl/>
          <w:lang w:bidi="ar-SY"/>
        </w:rPr>
        <w:t xml:space="preserve"> </w:t>
      </w:r>
      <w:r w:rsidR="00570286" w:rsidRPr="003F3B94">
        <w:rPr>
          <w:rFonts w:hint="cs"/>
          <w:sz w:val="28"/>
          <w:rtl/>
          <w:lang w:bidi="ar-SY"/>
        </w:rPr>
        <w:t>حول</w:t>
      </w:r>
      <w:r w:rsidR="00953581" w:rsidRPr="003F3B94">
        <w:rPr>
          <w:rFonts w:hint="cs"/>
          <w:sz w:val="28"/>
          <w:rtl/>
          <w:lang w:bidi="ar-SY"/>
        </w:rPr>
        <w:t xml:space="preserve"> </w:t>
      </w:r>
      <w:r w:rsidR="00570286" w:rsidRPr="003F3B94">
        <w:rPr>
          <w:rFonts w:hint="cs"/>
          <w:sz w:val="28"/>
          <w:rtl/>
          <w:lang w:bidi="ar-SY"/>
        </w:rPr>
        <w:t>هذه</w:t>
      </w:r>
      <w:r w:rsidR="00953581" w:rsidRPr="003F3B94">
        <w:rPr>
          <w:rFonts w:hint="cs"/>
          <w:sz w:val="28"/>
          <w:rtl/>
          <w:lang w:bidi="ar-SY"/>
        </w:rPr>
        <w:t xml:space="preserve"> </w:t>
      </w:r>
      <w:r w:rsidR="00570286" w:rsidRPr="003F3B94">
        <w:rPr>
          <w:rFonts w:hint="cs"/>
          <w:sz w:val="28"/>
          <w:rtl/>
          <w:lang w:bidi="ar-SY"/>
        </w:rPr>
        <w:t>القضية</w:t>
      </w:r>
      <w:r w:rsidR="00953581" w:rsidRPr="003F3B94">
        <w:rPr>
          <w:rFonts w:hint="cs"/>
          <w:sz w:val="28"/>
          <w:rtl/>
          <w:lang w:bidi="ar-SY"/>
        </w:rPr>
        <w:t xml:space="preserve"> </w:t>
      </w:r>
      <w:r w:rsidR="00570286" w:rsidRPr="003F3B94">
        <w:rPr>
          <w:rFonts w:hint="cs"/>
          <w:sz w:val="28"/>
          <w:rtl/>
          <w:lang w:bidi="ar-SY"/>
        </w:rPr>
        <w:t>وحل</w:t>
      </w:r>
      <w:r w:rsidR="00027EEC" w:rsidRPr="003F3B94">
        <w:rPr>
          <w:rFonts w:hint="cs"/>
          <w:sz w:val="28"/>
          <w:rtl/>
          <w:lang w:bidi="ar-SY"/>
        </w:rPr>
        <w:t>َّ</w:t>
      </w:r>
      <w:r w:rsidR="00570286" w:rsidRPr="003F3B94">
        <w:rPr>
          <w:rFonts w:hint="cs"/>
          <w:sz w:val="28"/>
          <w:rtl/>
          <w:lang w:bidi="ar-SY"/>
        </w:rPr>
        <w:t>ل</w:t>
      </w:r>
      <w:r w:rsidR="00953581" w:rsidRPr="003F3B94">
        <w:rPr>
          <w:rFonts w:hint="cs"/>
          <w:sz w:val="28"/>
          <w:rtl/>
          <w:lang w:bidi="ar-SY"/>
        </w:rPr>
        <w:t xml:space="preserve"> </w:t>
      </w:r>
      <w:r w:rsidR="0063184B" w:rsidRPr="003F3B94">
        <w:rPr>
          <w:rFonts w:hint="cs"/>
          <w:sz w:val="28"/>
          <w:rtl/>
          <w:lang w:bidi="ar-SY"/>
        </w:rPr>
        <w:t>وجهات</w:t>
      </w:r>
      <w:r w:rsidR="00953581" w:rsidRPr="003F3B94">
        <w:rPr>
          <w:rFonts w:hint="cs"/>
          <w:sz w:val="28"/>
          <w:rtl/>
          <w:lang w:bidi="ar-SY"/>
        </w:rPr>
        <w:t xml:space="preserve"> </w:t>
      </w:r>
      <w:r w:rsidR="0063184B" w:rsidRPr="003F3B94">
        <w:rPr>
          <w:rFonts w:hint="cs"/>
          <w:sz w:val="28"/>
          <w:rtl/>
          <w:lang w:bidi="ar-SY"/>
        </w:rPr>
        <w:t>نظرهم</w:t>
      </w:r>
      <w:r w:rsidR="00953581" w:rsidRPr="003F3B94">
        <w:rPr>
          <w:rFonts w:hint="cs"/>
          <w:sz w:val="28"/>
          <w:rtl/>
          <w:lang w:bidi="ar-SY"/>
        </w:rPr>
        <w:t xml:space="preserve"> </w:t>
      </w:r>
      <w:r w:rsidR="00AA682C" w:rsidRPr="003F3B94">
        <w:rPr>
          <w:rFonts w:hint="cs"/>
          <w:sz w:val="28"/>
          <w:rtl/>
          <w:lang w:bidi="ar-SY"/>
        </w:rPr>
        <w:t>وألقى</w:t>
      </w:r>
      <w:r w:rsidR="00953581" w:rsidRPr="003F3B94">
        <w:rPr>
          <w:rFonts w:hint="cs"/>
          <w:sz w:val="28"/>
          <w:rtl/>
          <w:lang w:bidi="ar-SY"/>
        </w:rPr>
        <w:t xml:space="preserve"> </w:t>
      </w:r>
      <w:r w:rsidR="00AA682C" w:rsidRPr="003F3B94">
        <w:rPr>
          <w:rFonts w:hint="cs"/>
          <w:sz w:val="28"/>
          <w:rtl/>
          <w:lang w:bidi="ar-SY"/>
        </w:rPr>
        <w:t>نظرةً</w:t>
      </w:r>
      <w:r w:rsidR="00953581" w:rsidRPr="003F3B94">
        <w:rPr>
          <w:rFonts w:hint="cs"/>
          <w:sz w:val="28"/>
          <w:rtl/>
          <w:lang w:bidi="ar-SY"/>
        </w:rPr>
        <w:t xml:space="preserve"> </w:t>
      </w:r>
      <w:r w:rsidR="00AA682C" w:rsidRPr="003F3B94">
        <w:rPr>
          <w:rFonts w:hint="cs"/>
          <w:sz w:val="28"/>
          <w:rtl/>
          <w:lang w:bidi="ar-SY"/>
        </w:rPr>
        <w:t>أيضاً</w:t>
      </w:r>
      <w:r w:rsidR="00953581" w:rsidRPr="003F3B94">
        <w:rPr>
          <w:rFonts w:hint="cs"/>
          <w:sz w:val="28"/>
          <w:rtl/>
          <w:lang w:bidi="ar-SY"/>
        </w:rPr>
        <w:t xml:space="preserve"> </w:t>
      </w:r>
      <w:r w:rsidR="00AA682C" w:rsidRPr="003F3B94">
        <w:rPr>
          <w:rFonts w:hint="cs"/>
          <w:sz w:val="28"/>
          <w:rtl/>
          <w:lang w:bidi="ar-SY"/>
        </w:rPr>
        <w:t>على</w:t>
      </w:r>
      <w:r w:rsidR="00953581" w:rsidRPr="003F3B94">
        <w:rPr>
          <w:rFonts w:hint="cs"/>
          <w:sz w:val="28"/>
          <w:rtl/>
          <w:lang w:bidi="ar-SY"/>
        </w:rPr>
        <w:t xml:space="preserve"> </w:t>
      </w:r>
      <w:r w:rsidR="00AA682C" w:rsidRPr="003F3B94">
        <w:rPr>
          <w:rFonts w:hint="cs"/>
          <w:sz w:val="28"/>
          <w:rtl/>
          <w:lang w:bidi="ar-SY"/>
        </w:rPr>
        <w:t>المدارس</w:t>
      </w:r>
      <w:r w:rsidR="00953581" w:rsidRPr="003F3B94">
        <w:rPr>
          <w:rFonts w:hint="cs"/>
          <w:sz w:val="28"/>
          <w:rtl/>
          <w:lang w:bidi="ar-SY"/>
        </w:rPr>
        <w:t xml:space="preserve"> </w:t>
      </w:r>
      <w:r w:rsidR="00AA682C" w:rsidRPr="003F3B94">
        <w:rPr>
          <w:rFonts w:hint="cs"/>
          <w:sz w:val="28"/>
          <w:rtl/>
          <w:lang w:bidi="ar-SY"/>
        </w:rPr>
        <w:t>الفكرية</w:t>
      </w:r>
      <w:r w:rsidR="00953581" w:rsidRPr="003F3B94">
        <w:rPr>
          <w:rFonts w:hint="cs"/>
          <w:sz w:val="28"/>
          <w:rtl/>
          <w:lang w:bidi="ar-SY"/>
        </w:rPr>
        <w:t xml:space="preserve"> </w:t>
      </w:r>
      <w:r w:rsidR="00AA682C" w:rsidRPr="003F3B94">
        <w:rPr>
          <w:rFonts w:hint="cs"/>
          <w:sz w:val="28"/>
          <w:rtl/>
          <w:lang w:bidi="ar-SY"/>
        </w:rPr>
        <w:t>الموجودة</w:t>
      </w:r>
      <w:r w:rsidR="00953581" w:rsidRPr="003F3B94">
        <w:rPr>
          <w:rFonts w:hint="cs"/>
          <w:sz w:val="28"/>
          <w:rtl/>
          <w:lang w:bidi="ar-SY"/>
        </w:rPr>
        <w:t xml:space="preserve"> </w:t>
      </w:r>
      <w:r w:rsidR="00AA682C" w:rsidRPr="003F3B94">
        <w:rPr>
          <w:rFonts w:hint="cs"/>
          <w:sz w:val="28"/>
          <w:rtl/>
          <w:lang w:bidi="ar-SY"/>
        </w:rPr>
        <w:t>وا</w:t>
      </w:r>
      <w:r w:rsidR="008A2A49" w:rsidRPr="003F3B94">
        <w:rPr>
          <w:rFonts w:hint="cs"/>
          <w:sz w:val="28"/>
          <w:rtl/>
          <w:lang w:bidi="ar-SY"/>
        </w:rPr>
        <w:t>لأ</w:t>
      </w:r>
      <w:r w:rsidR="00AA682C" w:rsidRPr="003F3B94">
        <w:rPr>
          <w:rFonts w:hint="cs"/>
          <w:sz w:val="28"/>
          <w:rtl/>
          <w:lang w:bidi="ar-SY"/>
        </w:rPr>
        <w:t>نظمة</w:t>
      </w:r>
      <w:r w:rsidR="00953581" w:rsidRPr="003F3B94">
        <w:rPr>
          <w:rFonts w:hint="cs"/>
          <w:sz w:val="28"/>
          <w:rtl/>
          <w:lang w:bidi="ar-SY"/>
        </w:rPr>
        <w:t xml:space="preserve"> </w:t>
      </w:r>
      <w:r w:rsidR="00AA682C" w:rsidRPr="003F3B94">
        <w:rPr>
          <w:rFonts w:hint="cs"/>
          <w:sz w:val="28"/>
          <w:rtl/>
          <w:lang w:bidi="ar-SY"/>
        </w:rPr>
        <w:t>السياسية</w:t>
      </w:r>
      <w:r w:rsidR="00953581" w:rsidRPr="003F3B94">
        <w:rPr>
          <w:rFonts w:hint="cs"/>
          <w:sz w:val="28"/>
          <w:rtl/>
          <w:lang w:bidi="ar-SY"/>
        </w:rPr>
        <w:t xml:space="preserve"> </w:t>
      </w:r>
      <w:r w:rsidR="00AA682C" w:rsidRPr="003F3B94">
        <w:rPr>
          <w:rFonts w:hint="cs"/>
          <w:sz w:val="28"/>
          <w:rtl/>
          <w:lang w:bidi="ar-SY"/>
        </w:rPr>
        <w:t>لشعوب</w:t>
      </w:r>
      <w:r w:rsidR="00953581" w:rsidRPr="003F3B94">
        <w:rPr>
          <w:rFonts w:hint="cs"/>
          <w:sz w:val="28"/>
          <w:rtl/>
          <w:lang w:bidi="ar-SY"/>
        </w:rPr>
        <w:t xml:space="preserve"> </w:t>
      </w:r>
      <w:r w:rsidR="00AA682C" w:rsidRPr="003F3B94">
        <w:rPr>
          <w:rFonts w:hint="cs"/>
          <w:sz w:val="28"/>
          <w:rtl/>
          <w:lang w:bidi="ar-SY"/>
        </w:rPr>
        <w:t>العالم</w:t>
      </w:r>
      <w:r w:rsidR="00953581" w:rsidRPr="003F3B94">
        <w:rPr>
          <w:rFonts w:hint="cs"/>
          <w:sz w:val="28"/>
          <w:rtl/>
          <w:lang w:bidi="ar-SY"/>
        </w:rPr>
        <w:t xml:space="preserve"> </w:t>
      </w:r>
      <w:r w:rsidR="00AA682C" w:rsidRPr="003F3B94">
        <w:rPr>
          <w:rFonts w:hint="cs"/>
          <w:sz w:val="28"/>
          <w:rtl/>
          <w:lang w:bidi="ar-SY"/>
        </w:rPr>
        <w:t>المختلفة</w:t>
      </w:r>
      <w:r w:rsidR="00217AB4" w:rsidRPr="003F3B94">
        <w:rPr>
          <w:rFonts w:hint="cs"/>
          <w:sz w:val="28"/>
          <w:rtl/>
          <w:lang w:bidi="ar-SY"/>
        </w:rPr>
        <w:t>.</w:t>
      </w:r>
      <w:r w:rsidR="00953581" w:rsidRPr="003F3B94">
        <w:rPr>
          <w:rFonts w:hint="cs"/>
          <w:sz w:val="28"/>
          <w:rtl/>
          <w:lang w:bidi="ar-SY"/>
        </w:rPr>
        <w:t xml:space="preserve"> </w:t>
      </w:r>
      <w:r w:rsidR="00AA682C" w:rsidRPr="003F3B94">
        <w:rPr>
          <w:rFonts w:hint="cs"/>
          <w:sz w:val="28"/>
          <w:rtl/>
          <w:lang w:bidi="ar-SY"/>
        </w:rPr>
        <w:t>والشرط</w:t>
      </w:r>
      <w:r w:rsidR="00953581" w:rsidRPr="003F3B94">
        <w:rPr>
          <w:rFonts w:hint="cs"/>
          <w:sz w:val="28"/>
          <w:rtl/>
          <w:lang w:bidi="ar-SY"/>
        </w:rPr>
        <w:t xml:space="preserve"> </w:t>
      </w:r>
      <w:r w:rsidR="00AA682C" w:rsidRPr="003F3B94">
        <w:rPr>
          <w:rFonts w:hint="cs"/>
          <w:sz w:val="28"/>
          <w:rtl/>
          <w:lang w:bidi="ar-SY"/>
        </w:rPr>
        <w:t>الثاني</w:t>
      </w:r>
      <w:r w:rsidR="00953581" w:rsidRPr="003F3B94">
        <w:rPr>
          <w:rFonts w:hint="cs"/>
          <w:sz w:val="28"/>
          <w:rtl/>
          <w:lang w:bidi="ar-SY"/>
        </w:rPr>
        <w:t xml:space="preserve"> </w:t>
      </w:r>
      <w:r w:rsidR="00AA682C" w:rsidRPr="003F3B94">
        <w:rPr>
          <w:rFonts w:hint="cs"/>
          <w:sz w:val="28"/>
          <w:rtl/>
          <w:lang w:bidi="ar-SY"/>
        </w:rPr>
        <w:t>لتصديق</w:t>
      </w:r>
      <w:r w:rsidR="00953581" w:rsidRPr="003F3B94">
        <w:rPr>
          <w:rFonts w:hint="cs"/>
          <w:sz w:val="28"/>
          <w:rtl/>
          <w:lang w:bidi="ar-SY"/>
        </w:rPr>
        <w:t xml:space="preserve"> </w:t>
      </w:r>
      <w:r w:rsidR="00DF79BC" w:rsidRPr="003F3B94">
        <w:rPr>
          <w:rFonts w:hint="cs"/>
          <w:sz w:val="28"/>
          <w:rtl/>
          <w:lang w:bidi="ar-SY"/>
        </w:rPr>
        <w:t>هذا</w:t>
      </w:r>
      <w:r w:rsidR="00953581" w:rsidRPr="003F3B94">
        <w:rPr>
          <w:rFonts w:hint="cs"/>
          <w:sz w:val="28"/>
          <w:rtl/>
          <w:lang w:bidi="ar-SY"/>
        </w:rPr>
        <w:t xml:space="preserve"> </w:t>
      </w:r>
      <w:r w:rsidR="00AA682C" w:rsidRPr="003F3B94">
        <w:rPr>
          <w:rFonts w:hint="cs"/>
          <w:sz w:val="28"/>
          <w:rtl/>
          <w:lang w:bidi="ar-SY"/>
        </w:rPr>
        <w:t>ا</w:t>
      </w:r>
      <w:r w:rsidR="008A2A49" w:rsidRPr="003F3B94">
        <w:rPr>
          <w:rFonts w:hint="cs"/>
          <w:sz w:val="28"/>
          <w:rtl/>
          <w:lang w:bidi="ar-SY"/>
        </w:rPr>
        <w:t>لا</w:t>
      </w:r>
      <w:r w:rsidR="00AA682C" w:rsidRPr="003F3B94">
        <w:rPr>
          <w:rFonts w:hint="cs"/>
          <w:sz w:val="28"/>
          <w:rtl/>
          <w:lang w:bidi="ar-SY"/>
        </w:rPr>
        <w:t>دعاء</w:t>
      </w:r>
      <w:r w:rsidR="00953581" w:rsidRPr="003F3B94">
        <w:rPr>
          <w:rFonts w:hint="cs"/>
          <w:sz w:val="28"/>
          <w:rtl/>
          <w:lang w:bidi="ar-SY"/>
        </w:rPr>
        <w:t xml:space="preserve"> </w:t>
      </w:r>
      <w:r w:rsidR="00306973" w:rsidRPr="003F3B94">
        <w:rPr>
          <w:rFonts w:hint="cs"/>
          <w:sz w:val="28"/>
          <w:rtl/>
          <w:lang w:bidi="ar-SY"/>
        </w:rPr>
        <w:t>أن</w:t>
      </w:r>
      <w:r w:rsidR="00953581" w:rsidRPr="003F3B94">
        <w:rPr>
          <w:rFonts w:hint="cs"/>
          <w:sz w:val="28"/>
          <w:rtl/>
          <w:lang w:bidi="ar-SY"/>
        </w:rPr>
        <w:t xml:space="preserve"> </w:t>
      </w:r>
      <w:r w:rsidR="00306973" w:rsidRPr="003F3B94">
        <w:rPr>
          <w:rFonts w:hint="cs"/>
          <w:sz w:val="28"/>
          <w:rtl/>
          <w:lang w:bidi="ar-SY"/>
        </w:rPr>
        <w:t>يتعر</w:t>
      </w:r>
      <w:r w:rsidR="00DF79BC" w:rsidRPr="003F3B94">
        <w:rPr>
          <w:rFonts w:hint="cs"/>
          <w:sz w:val="28"/>
          <w:rtl/>
          <w:lang w:bidi="ar-SY"/>
        </w:rPr>
        <w:t>َّ</w:t>
      </w:r>
      <w:r w:rsidR="00306973" w:rsidRPr="003F3B94">
        <w:rPr>
          <w:rFonts w:hint="cs"/>
          <w:sz w:val="28"/>
          <w:rtl/>
          <w:lang w:bidi="ar-SY"/>
        </w:rPr>
        <w:t>ف</w:t>
      </w:r>
      <w:r w:rsidR="00953581" w:rsidRPr="003F3B94">
        <w:rPr>
          <w:rFonts w:hint="cs"/>
          <w:sz w:val="28"/>
          <w:rtl/>
          <w:lang w:bidi="ar-SY"/>
        </w:rPr>
        <w:t xml:space="preserve"> </w:t>
      </w:r>
      <w:r w:rsidR="00306973" w:rsidRPr="003F3B94">
        <w:rPr>
          <w:rFonts w:hint="cs"/>
          <w:sz w:val="28"/>
          <w:rtl/>
          <w:lang w:bidi="ar-SY"/>
        </w:rPr>
        <w:t>الباحث</w:t>
      </w:r>
      <w:r w:rsidR="00953581" w:rsidRPr="003F3B94">
        <w:rPr>
          <w:rFonts w:hint="cs"/>
          <w:sz w:val="28"/>
          <w:rtl/>
          <w:lang w:bidi="ar-SY"/>
        </w:rPr>
        <w:t xml:space="preserve"> </w:t>
      </w:r>
      <w:r w:rsidR="00306973" w:rsidRPr="003F3B94">
        <w:rPr>
          <w:rFonts w:hint="cs"/>
          <w:sz w:val="28"/>
          <w:rtl/>
          <w:lang w:bidi="ar-SY"/>
        </w:rPr>
        <w:t>على</w:t>
      </w:r>
      <w:r w:rsidR="00953581" w:rsidRPr="003F3B94">
        <w:rPr>
          <w:rFonts w:hint="cs"/>
          <w:sz w:val="28"/>
          <w:rtl/>
          <w:lang w:bidi="ar-SY"/>
        </w:rPr>
        <w:t xml:space="preserve"> </w:t>
      </w:r>
      <w:r w:rsidR="00306973" w:rsidRPr="003F3B94">
        <w:rPr>
          <w:rFonts w:hint="cs"/>
          <w:sz w:val="28"/>
          <w:rtl/>
          <w:lang w:bidi="ar-SY"/>
        </w:rPr>
        <w:t>دين</w:t>
      </w:r>
      <w:r w:rsidR="00953581" w:rsidRPr="003F3B94">
        <w:rPr>
          <w:rFonts w:hint="cs"/>
          <w:sz w:val="28"/>
          <w:rtl/>
          <w:lang w:bidi="ar-SY"/>
        </w:rPr>
        <w:t xml:space="preserve"> </w:t>
      </w:r>
      <w:r w:rsidR="00027EEC" w:rsidRPr="003F3B94">
        <w:rPr>
          <w:rFonts w:hint="cs"/>
          <w:sz w:val="28"/>
          <w:rtl/>
          <w:lang w:bidi="ar-SY"/>
        </w:rPr>
        <w:t>ا</w:t>
      </w:r>
      <w:r w:rsidR="008A2A49" w:rsidRPr="003F3B94">
        <w:rPr>
          <w:rFonts w:hint="cs"/>
          <w:sz w:val="28"/>
          <w:rtl/>
          <w:lang w:bidi="ar-SY"/>
        </w:rPr>
        <w:t>لإ</w:t>
      </w:r>
      <w:r w:rsidR="00027EEC" w:rsidRPr="003F3B94">
        <w:rPr>
          <w:rFonts w:hint="cs"/>
          <w:sz w:val="28"/>
          <w:rtl/>
          <w:lang w:bidi="ar-SY"/>
        </w:rPr>
        <w:t>س</w:t>
      </w:r>
      <w:r w:rsidR="008A2A49" w:rsidRPr="003F3B94">
        <w:rPr>
          <w:rFonts w:hint="cs"/>
          <w:sz w:val="28"/>
          <w:rtl/>
          <w:lang w:bidi="ar-SY"/>
        </w:rPr>
        <w:t>لا</w:t>
      </w:r>
      <w:r w:rsidR="00027EEC" w:rsidRPr="003F3B94">
        <w:rPr>
          <w:rFonts w:hint="cs"/>
          <w:sz w:val="28"/>
          <w:rtl/>
          <w:lang w:bidi="ar-SY"/>
        </w:rPr>
        <w:t>م</w:t>
      </w:r>
      <w:r w:rsidR="00953581" w:rsidRPr="003F3B94">
        <w:rPr>
          <w:rFonts w:hint="cs"/>
          <w:sz w:val="28"/>
          <w:rtl/>
          <w:lang w:bidi="ar-SY"/>
        </w:rPr>
        <w:t xml:space="preserve"> </w:t>
      </w:r>
      <w:r w:rsidR="00027EEC" w:rsidRPr="003F3B94">
        <w:rPr>
          <w:rFonts w:hint="cs"/>
          <w:sz w:val="28"/>
          <w:rtl/>
          <w:lang w:bidi="ar-SY"/>
        </w:rPr>
        <w:t>من</w:t>
      </w:r>
      <w:r w:rsidR="00953581" w:rsidRPr="003F3B94">
        <w:rPr>
          <w:rFonts w:hint="cs"/>
          <w:sz w:val="28"/>
          <w:rtl/>
          <w:lang w:bidi="ar-SY"/>
        </w:rPr>
        <w:t xml:space="preserve"> </w:t>
      </w:r>
      <w:r w:rsidR="00027EEC" w:rsidRPr="003F3B94">
        <w:rPr>
          <w:rFonts w:hint="cs"/>
          <w:sz w:val="28"/>
          <w:rtl/>
          <w:lang w:bidi="ar-SY"/>
        </w:rPr>
        <w:t>منابعه</w:t>
      </w:r>
      <w:r w:rsidR="00953581" w:rsidRPr="003F3B94">
        <w:rPr>
          <w:rFonts w:hint="cs"/>
          <w:sz w:val="28"/>
          <w:rtl/>
          <w:lang w:bidi="ar-SY"/>
        </w:rPr>
        <w:t xml:space="preserve"> </w:t>
      </w:r>
      <w:r w:rsidR="00027EEC" w:rsidRPr="003F3B94">
        <w:rPr>
          <w:rFonts w:hint="cs"/>
          <w:sz w:val="28"/>
          <w:rtl/>
          <w:lang w:bidi="ar-SY"/>
        </w:rPr>
        <w:t>ا</w:t>
      </w:r>
      <w:r w:rsidR="008A2A49" w:rsidRPr="003F3B94">
        <w:rPr>
          <w:rFonts w:hint="cs"/>
          <w:sz w:val="28"/>
          <w:rtl/>
          <w:lang w:bidi="ar-SY"/>
        </w:rPr>
        <w:t>لأ</w:t>
      </w:r>
      <w:r w:rsidR="00027EEC" w:rsidRPr="003F3B94">
        <w:rPr>
          <w:rFonts w:hint="cs"/>
          <w:sz w:val="28"/>
          <w:rtl/>
          <w:lang w:bidi="ar-SY"/>
        </w:rPr>
        <w:t>صلية</w:t>
      </w:r>
      <w:r w:rsidR="00953581" w:rsidRPr="003F3B94">
        <w:rPr>
          <w:rFonts w:hint="cs"/>
          <w:sz w:val="28"/>
          <w:rtl/>
          <w:lang w:bidi="ar-SY"/>
        </w:rPr>
        <w:t xml:space="preserve"> </w:t>
      </w:r>
      <w:r w:rsidR="00027EEC" w:rsidRPr="003F3B94">
        <w:rPr>
          <w:rFonts w:hint="cs"/>
          <w:sz w:val="28"/>
          <w:rtl/>
          <w:lang w:bidi="ar-SY"/>
        </w:rPr>
        <w:t>و</w:t>
      </w:r>
      <w:r w:rsidR="00306973" w:rsidRPr="003F3B94">
        <w:rPr>
          <w:rFonts w:hint="cs"/>
          <w:sz w:val="28"/>
          <w:rtl/>
          <w:lang w:bidi="ar-SY"/>
        </w:rPr>
        <w:t>على</w:t>
      </w:r>
      <w:r w:rsidR="00953581" w:rsidRPr="003F3B94">
        <w:rPr>
          <w:rFonts w:hint="cs"/>
          <w:sz w:val="28"/>
          <w:rtl/>
          <w:lang w:bidi="ar-SY"/>
        </w:rPr>
        <w:t xml:space="preserve"> </w:t>
      </w:r>
      <w:r w:rsidR="00306973" w:rsidRPr="003F3B94">
        <w:rPr>
          <w:rFonts w:hint="cs"/>
          <w:sz w:val="28"/>
          <w:rtl/>
          <w:lang w:bidi="ar-SY"/>
        </w:rPr>
        <w:t>رأسها</w:t>
      </w:r>
      <w:r w:rsidR="00953581" w:rsidRPr="003F3B94">
        <w:rPr>
          <w:rFonts w:hint="cs"/>
          <w:sz w:val="28"/>
          <w:rtl/>
          <w:lang w:bidi="ar-SY"/>
        </w:rPr>
        <w:t xml:space="preserve"> </w:t>
      </w:r>
      <w:r w:rsidR="00306973" w:rsidRPr="003F3B94">
        <w:rPr>
          <w:rFonts w:hint="cs"/>
          <w:sz w:val="28"/>
          <w:rtl/>
          <w:lang w:bidi="ar-SY"/>
        </w:rPr>
        <w:t>وأساسها</w:t>
      </w:r>
      <w:r w:rsidR="00953581" w:rsidRPr="003F3B94">
        <w:rPr>
          <w:rFonts w:hint="cs"/>
          <w:sz w:val="28"/>
          <w:rtl/>
          <w:lang w:bidi="ar-SY"/>
        </w:rPr>
        <w:t xml:space="preserve"> </w:t>
      </w:r>
      <w:r w:rsidR="00306973" w:rsidRPr="003F3B94">
        <w:rPr>
          <w:rFonts w:hint="cs"/>
          <w:sz w:val="28"/>
          <w:rtl/>
          <w:lang w:bidi="ar-SY"/>
        </w:rPr>
        <w:t>القرآن</w:t>
      </w:r>
      <w:r w:rsidR="00953581" w:rsidRPr="003F3B94">
        <w:rPr>
          <w:rFonts w:hint="cs"/>
          <w:sz w:val="28"/>
          <w:rtl/>
          <w:lang w:bidi="ar-SY"/>
        </w:rPr>
        <w:t xml:space="preserve"> </w:t>
      </w:r>
      <w:r w:rsidR="00306973" w:rsidRPr="003F3B94">
        <w:rPr>
          <w:rFonts w:hint="cs"/>
          <w:sz w:val="28"/>
          <w:rtl/>
          <w:lang w:bidi="ar-SY"/>
        </w:rPr>
        <w:t>الكريم</w:t>
      </w:r>
      <w:r w:rsidR="00953581" w:rsidRPr="003F3B94">
        <w:rPr>
          <w:rFonts w:hint="cs"/>
          <w:sz w:val="28"/>
          <w:rtl/>
          <w:lang w:bidi="ar-SY"/>
        </w:rPr>
        <w:t xml:space="preserve"> </w:t>
      </w:r>
      <w:r w:rsidR="00306973" w:rsidRPr="003F3B94">
        <w:rPr>
          <w:rFonts w:hint="cs"/>
          <w:sz w:val="28"/>
          <w:rtl/>
          <w:lang w:bidi="ar-SY"/>
        </w:rPr>
        <w:t>وسنة</w:t>
      </w:r>
      <w:r w:rsidR="00953581" w:rsidRPr="003F3B94">
        <w:rPr>
          <w:rFonts w:hint="cs"/>
          <w:sz w:val="28"/>
          <w:rtl/>
          <w:lang w:bidi="ar-SY"/>
        </w:rPr>
        <w:t xml:space="preserve"> </w:t>
      </w:r>
      <w:r w:rsidR="00306973" w:rsidRPr="003F3B94">
        <w:rPr>
          <w:rFonts w:hint="cs"/>
          <w:sz w:val="28"/>
          <w:rtl/>
          <w:lang w:bidi="ar-SY"/>
        </w:rPr>
        <w:t>الرسول</w:t>
      </w:r>
      <w:r w:rsidR="00953581" w:rsidRPr="003F3B94">
        <w:rPr>
          <w:rFonts w:hint="cs"/>
          <w:sz w:val="28"/>
          <w:rtl/>
          <w:lang w:bidi="ar-SY"/>
        </w:rPr>
        <w:t xml:space="preserve"> </w:t>
      </w:r>
      <w:r w:rsidR="00306973" w:rsidRPr="003F3B94">
        <w:rPr>
          <w:rFonts w:hint="cs"/>
          <w:sz w:val="28"/>
          <w:rtl/>
          <w:lang w:bidi="ar-SY"/>
        </w:rPr>
        <w:t>الكريم</w:t>
      </w:r>
      <w:r w:rsidR="00953581" w:rsidRPr="003F3B94">
        <w:rPr>
          <w:rFonts w:hint="cs"/>
          <w:sz w:val="28"/>
          <w:rtl/>
          <w:lang w:bidi="ar-SY"/>
        </w:rPr>
        <w:t xml:space="preserve"> </w:t>
      </w:r>
      <w:r w:rsidR="00306973" w:rsidRPr="003F3B94">
        <w:rPr>
          <w:rFonts w:hint="cs"/>
          <w:sz w:val="28"/>
          <w:rtl/>
          <w:lang w:bidi="ar-SY"/>
        </w:rPr>
        <w:t>المتواترة</w:t>
      </w:r>
      <w:r w:rsidR="00953581" w:rsidRPr="003F3B94">
        <w:rPr>
          <w:rFonts w:hint="cs"/>
          <w:sz w:val="28"/>
          <w:rtl/>
          <w:lang w:bidi="ar-SY"/>
        </w:rPr>
        <w:t xml:space="preserve"> </w:t>
      </w:r>
      <w:r w:rsidR="00306973" w:rsidRPr="003F3B94">
        <w:rPr>
          <w:rFonts w:hint="cs"/>
          <w:sz w:val="28"/>
          <w:rtl/>
          <w:lang w:bidi="ar-SY"/>
        </w:rPr>
        <w:t>التي</w:t>
      </w:r>
      <w:r w:rsidR="00953581" w:rsidRPr="003F3B94">
        <w:rPr>
          <w:rFonts w:hint="cs"/>
          <w:sz w:val="28"/>
          <w:rtl/>
          <w:lang w:bidi="ar-SY"/>
        </w:rPr>
        <w:t xml:space="preserve"> </w:t>
      </w:r>
      <w:r w:rsidR="00306973" w:rsidRPr="003F3B94">
        <w:rPr>
          <w:rFonts w:hint="cs"/>
          <w:sz w:val="28"/>
          <w:rtl/>
          <w:lang w:bidi="ar-SY"/>
        </w:rPr>
        <w:t>عاشها</w:t>
      </w:r>
      <w:r w:rsidR="00953581" w:rsidRPr="003F3B94">
        <w:rPr>
          <w:rFonts w:hint="cs"/>
          <w:sz w:val="28"/>
          <w:rtl/>
          <w:lang w:bidi="ar-SY"/>
        </w:rPr>
        <w:t xml:space="preserve"> </w:t>
      </w:r>
      <w:r w:rsidR="00027EEC" w:rsidRPr="003F3B94">
        <w:rPr>
          <w:rFonts w:hint="cs"/>
          <w:sz w:val="28"/>
          <w:rtl/>
          <w:lang w:bidi="ar-SY"/>
        </w:rPr>
        <w:t>نبي</w:t>
      </w:r>
      <w:r w:rsidR="00953581" w:rsidRPr="003F3B94">
        <w:rPr>
          <w:rFonts w:hint="cs"/>
          <w:sz w:val="28"/>
          <w:rtl/>
          <w:lang w:bidi="ar-SY"/>
        </w:rPr>
        <w:t xml:space="preserve"> </w:t>
      </w:r>
      <w:r w:rsidR="00027EEC" w:rsidRPr="003F3B94">
        <w:rPr>
          <w:rFonts w:hint="cs"/>
          <w:sz w:val="28"/>
          <w:rtl/>
          <w:lang w:bidi="ar-SY"/>
        </w:rPr>
        <w:t>ا</w:t>
      </w:r>
      <w:r w:rsidR="008A2A49" w:rsidRPr="003F3B94">
        <w:rPr>
          <w:rFonts w:hint="cs"/>
          <w:sz w:val="28"/>
          <w:rtl/>
          <w:lang w:bidi="ar-SY"/>
        </w:rPr>
        <w:t>لإ</w:t>
      </w:r>
      <w:r w:rsidR="00027EEC" w:rsidRPr="003F3B94">
        <w:rPr>
          <w:rFonts w:hint="cs"/>
          <w:sz w:val="28"/>
          <w:rtl/>
          <w:lang w:bidi="ar-SY"/>
        </w:rPr>
        <w:t>س</w:t>
      </w:r>
      <w:r w:rsidR="008A2A49" w:rsidRPr="003F3B94">
        <w:rPr>
          <w:rFonts w:hint="cs"/>
          <w:sz w:val="28"/>
          <w:rtl/>
          <w:lang w:bidi="ar-SY"/>
        </w:rPr>
        <w:t>لا</w:t>
      </w:r>
      <w:r w:rsidR="00027EEC" w:rsidRPr="003F3B94">
        <w:rPr>
          <w:rFonts w:hint="cs"/>
          <w:sz w:val="28"/>
          <w:rtl/>
          <w:lang w:bidi="ar-SY"/>
        </w:rPr>
        <w:t>م</w:t>
      </w:r>
      <w:r w:rsidR="00953581" w:rsidRPr="003F3B94">
        <w:rPr>
          <w:rFonts w:hint="cs"/>
          <w:sz w:val="28"/>
          <w:rtl/>
          <w:lang w:bidi="ar-SY"/>
        </w:rPr>
        <w:t xml:space="preserve"> </w:t>
      </w:r>
      <w:r w:rsidR="00027EEC" w:rsidRPr="003F3B94">
        <w:rPr>
          <w:rFonts w:hint="cs"/>
          <w:sz w:val="28"/>
          <w:rtl/>
          <w:lang w:bidi="ar-SY"/>
        </w:rPr>
        <w:t>الكريم</w:t>
      </w:r>
      <w:r w:rsidR="00953581" w:rsidRPr="003F3B94">
        <w:rPr>
          <w:rFonts w:hint="cs"/>
          <w:sz w:val="28"/>
          <w:rtl/>
          <w:lang w:bidi="ar-SY"/>
        </w:rPr>
        <w:t xml:space="preserve"> </w:t>
      </w:r>
      <w:r w:rsidR="00306973" w:rsidRPr="003F3B94">
        <w:rPr>
          <w:rFonts w:hint="cs"/>
          <w:sz w:val="28"/>
          <w:rtl/>
          <w:lang w:bidi="ar-SY"/>
        </w:rPr>
        <w:t>خ</w:t>
      </w:r>
      <w:r w:rsidR="008A2A49" w:rsidRPr="003F3B94">
        <w:rPr>
          <w:rFonts w:hint="cs"/>
          <w:sz w:val="28"/>
          <w:rtl/>
          <w:lang w:bidi="ar-SY"/>
        </w:rPr>
        <w:t>لا</w:t>
      </w:r>
      <w:r w:rsidR="00306973" w:rsidRPr="003F3B94">
        <w:rPr>
          <w:rFonts w:hint="cs"/>
          <w:sz w:val="28"/>
          <w:rtl/>
          <w:lang w:bidi="ar-SY"/>
        </w:rPr>
        <w:t>ل</w:t>
      </w:r>
      <w:r w:rsidR="00953581" w:rsidRPr="003F3B94">
        <w:rPr>
          <w:rFonts w:hint="cs"/>
          <w:sz w:val="28"/>
          <w:rtl/>
          <w:lang w:bidi="ar-SY"/>
        </w:rPr>
        <w:t xml:space="preserve"> </w:t>
      </w:r>
      <w:r w:rsidR="00306973" w:rsidRPr="003F3B94">
        <w:rPr>
          <w:rFonts w:hint="cs"/>
          <w:sz w:val="28"/>
          <w:rtl/>
          <w:lang w:bidi="ar-SY"/>
        </w:rPr>
        <w:t>ث</w:t>
      </w:r>
      <w:r w:rsidR="008A2A49" w:rsidRPr="003F3B94">
        <w:rPr>
          <w:rFonts w:hint="cs"/>
          <w:sz w:val="28"/>
          <w:rtl/>
          <w:lang w:bidi="ar-SY"/>
        </w:rPr>
        <w:t>لا</w:t>
      </w:r>
      <w:r w:rsidR="00306973" w:rsidRPr="003F3B94">
        <w:rPr>
          <w:rFonts w:hint="cs"/>
          <w:sz w:val="28"/>
          <w:rtl/>
          <w:lang w:bidi="ar-SY"/>
        </w:rPr>
        <w:t>ثة</w:t>
      </w:r>
      <w:r w:rsidR="00953581" w:rsidRPr="003F3B94">
        <w:rPr>
          <w:rFonts w:hint="cs"/>
          <w:sz w:val="28"/>
          <w:rtl/>
          <w:lang w:bidi="ar-SY"/>
        </w:rPr>
        <w:t xml:space="preserve"> </w:t>
      </w:r>
      <w:r w:rsidR="00306973" w:rsidRPr="003F3B94">
        <w:rPr>
          <w:rFonts w:hint="cs"/>
          <w:sz w:val="28"/>
          <w:rtl/>
          <w:lang w:bidi="ar-SY"/>
        </w:rPr>
        <w:t>وعشرين</w:t>
      </w:r>
      <w:r w:rsidR="00953581" w:rsidRPr="003F3B94">
        <w:rPr>
          <w:rFonts w:hint="cs"/>
          <w:sz w:val="28"/>
          <w:rtl/>
          <w:lang w:bidi="ar-SY"/>
        </w:rPr>
        <w:t xml:space="preserve"> </w:t>
      </w:r>
      <w:r w:rsidR="00306973" w:rsidRPr="003F3B94">
        <w:rPr>
          <w:rFonts w:hint="cs"/>
          <w:sz w:val="28"/>
          <w:rtl/>
          <w:lang w:bidi="ar-SY"/>
        </w:rPr>
        <w:t>عاماً</w:t>
      </w:r>
      <w:r w:rsidR="00953581" w:rsidRPr="003F3B94">
        <w:rPr>
          <w:rFonts w:hint="cs"/>
          <w:sz w:val="28"/>
          <w:rtl/>
          <w:lang w:bidi="ar-SY"/>
        </w:rPr>
        <w:t xml:space="preserve"> </w:t>
      </w:r>
      <w:r w:rsidR="00306973" w:rsidRPr="003F3B94">
        <w:rPr>
          <w:rFonts w:hint="cs"/>
          <w:sz w:val="28"/>
          <w:rtl/>
          <w:lang w:bidi="ar-SY"/>
        </w:rPr>
        <w:t>من</w:t>
      </w:r>
      <w:r w:rsidR="00953581" w:rsidRPr="003F3B94">
        <w:rPr>
          <w:rFonts w:hint="cs"/>
          <w:sz w:val="28"/>
          <w:rtl/>
          <w:lang w:bidi="ar-SY"/>
        </w:rPr>
        <w:t xml:space="preserve"> </w:t>
      </w:r>
      <w:r w:rsidR="00306973" w:rsidRPr="003F3B94">
        <w:rPr>
          <w:rFonts w:hint="cs"/>
          <w:sz w:val="28"/>
          <w:rtl/>
          <w:lang w:bidi="ar-SY"/>
        </w:rPr>
        <w:t>فترة</w:t>
      </w:r>
      <w:r w:rsidR="00953581" w:rsidRPr="003F3B94">
        <w:rPr>
          <w:rFonts w:hint="cs"/>
          <w:sz w:val="28"/>
          <w:rtl/>
          <w:lang w:bidi="ar-SY"/>
        </w:rPr>
        <w:t xml:space="preserve"> </w:t>
      </w:r>
      <w:r w:rsidR="00306973" w:rsidRPr="003F3B94">
        <w:rPr>
          <w:rFonts w:hint="cs"/>
          <w:sz w:val="28"/>
          <w:rtl/>
          <w:lang w:bidi="ar-SY"/>
        </w:rPr>
        <w:t>نبوته</w:t>
      </w:r>
      <w:r w:rsidR="00953581" w:rsidRPr="003F3B94">
        <w:rPr>
          <w:rFonts w:hint="cs"/>
          <w:sz w:val="28"/>
          <w:rtl/>
          <w:lang w:bidi="ar-SY"/>
        </w:rPr>
        <w:t xml:space="preserve"> </w:t>
      </w:r>
      <w:r w:rsidR="00306973" w:rsidRPr="003F3B94">
        <w:rPr>
          <w:rFonts w:hint="cs"/>
          <w:sz w:val="28"/>
          <w:rtl/>
          <w:lang w:bidi="ar-SY"/>
        </w:rPr>
        <w:t>المضيئة</w:t>
      </w:r>
      <w:r w:rsidR="00217AB4" w:rsidRPr="003F3B94">
        <w:rPr>
          <w:rFonts w:hint="cs"/>
          <w:sz w:val="28"/>
          <w:rtl/>
          <w:lang w:bidi="ar-SY"/>
        </w:rPr>
        <w:t>،</w:t>
      </w:r>
      <w:r w:rsidR="00953581" w:rsidRPr="003F3B94">
        <w:rPr>
          <w:rFonts w:hint="cs"/>
          <w:sz w:val="28"/>
          <w:rtl/>
          <w:lang w:bidi="ar-SY"/>
        </w:rPr>
        <w:t xml:space="preserve"> </w:t>
      </w:r>
      <w:r w:rsidR="00123857" w:rsidRPr="003F3B94">
        <w:rPr>
          <w:rFonts w:hint="cs"/>
          <w:sz w:val="28"/>
          <w:rtl/>
          <w:lang w:bidi="ar-SY"/>
        </w:rPr>
        <w:t>أي</w:t>
      </w:r>
      <w:r w:rsidR="00953581" w:rsidRPr="003F3B94">
        <w:rPr>
          <w:rFonts w:hint="cs"/>
          <w:sz w:val="28"/>
          <w:rtl/>
          <w:lang w:bidi="ar-SY"/>
        </w:rPr>
        <w:t xml:space="preserve"> </w:t>
      </w:r>
      <w:r w:rsidR="00123857" w:rsidRPr="003F3B94">
        <w:rPr>
          <w:rFonts w:hint="cs"/>
          <w:sz w:val="28"/>
          <w:rtl/>
          <w:lang w:bidi="ar-SY"/>
        </w:rPr>
        <w:t>أن</w:t>
      </w:r>
      <w:r w:rsidR="00953581" w:rsidRPr="003F3B94">
        <w:rPr>
          <w:rFonts w:hint="cs"/>
          <w:sz w:val="28"/>
          <w:rtl/>
          <w:lang w:bidi="ar-SY"/>
        </w:rPr>
        <w:t xml:space="preserve"> </w:t>
      </w:r>
      <w:r w:rsidR="00123857" w:rsidRPr="003F3B94">
        <w:rPr>
          <w:rFonts w:hint="cs"/>
          <w:sz w:val="28"/>
          <w:rtl/>
          <w:lang w:bidi="ar-SY"/>
        </w:rPr>
        <w:t>يتعر</w:t>
      </w:r>
      <w:r w:rsidR="00027EEC" w:rsidRPr="003F3B94">
        <w:rPr>
          <w:rFonts w:hint="cs"/>
          <w:sz w:val="28"/>
          <w:rtl/>
          <w:lang w:bidi="ar-SY"/>
        </w:rPr>
        <w:t>َّ</w:t>
      </w:r>
      <w:r w:rsidR="00123857" w:rsidRPr="003F3B94">
        <w:rPr>
          <w:rFonts w:hint="cs"/>
          <w:sz w:val="28"/>
          <w:rtl/>
          <w:lang w:bidi="ar-SY"/>
        </w:rPr>
        <w:t>ف</w:t>
      </w:r>
      <w:r w:rsidR="00953581" w:rsidRPr="003F3B94">
        <w:rPr>
          <w:rFonts w:hint="cs"/>
          <w:sz w:val="28"/>
          <w:rtl/>
          <w:lang w:bidi="ar-SY"/>
        </w:rPr>
        <w:t xml:space="preserve"> </w:t>
      </w:r>
      <w:r w:rsidR="00123857" w:rsidRPr="003F3B94">
        <w:rPr>
          <w:rFonts w:hint="cs"/>
          <w:sz w:val="28"/>
          <w:rtl/>
          <w:lang w:bidi="ar-SY"/>
        </w:rPr>
        <w:t>على</w:t>
      </w:r>
      <w:r w:rsidR="00953581" w:rsidRPr="003F3B94">
        <w:rPr>
          <w:rFonts w:hint="cs"/>
          <w:sz w:val="28"/>
          <w:rtl/>
          <w:lang w:bidi="ar-SY"/>
        </w:rPr>
        <w:t xml:space="preserve"> </w:t>
      </w:r>
      <w:r w:rsidR="00123857" w:rsidRPr="003F3B94">
        <w:rPr>
          <w:rFonts w:hint="cs"/>
          <w:sz w:val="28"/>
          <w:rtl/>
          <w:lang w:bidi="ar-SY"/>
        </w:rPr>
        <w:t>ا</w:t>
      </w:r>
      <w:r w:rsidR="008A2A49" w:rsidRPr="003F3B94">
        <w:rPr>
          <w:rFonts w:hint="cs"/>
          <w:sz w:val="28"/>
          <w:rtl/>
          <w:lang w:bidi="ar-SY"/>
        </w:rPr>
        <w:t>لإ</w:t>
      </w:r>
      <w:r w:rsidR="00123857" w:rsidRPr="003F3B94">
        <w:rPr>
          <w:rFonts w:hint="cs"/>
          <w:sz w:val="28"/>
          <w:rtl/>
          <w:lang w:bidi="ar-SY"/>
        </w:rPr>
        <w:t>س</w:t>
      </w:r>
      <w:r w:rsidR="008A2A49" w:rsidRPr="003F3B94">
        <w:rPr>
          <w:rFonts w:hint="cs"/>
          <w:sz w:val="28"/>
          <w:rtl/>
          <w:lang w:bidi="ar-SY"/>
        </w:rPr>
        <w:t>لا</w:t>
      </w:r>
      <w:r w:rsidR="00123857" w:rsidRPr="003F3B94">
        <w:rPr>
          <w:rFonts w:hint="cs"/>
          <w:sz w:val="28"/>
          <w:rtl/>
          <w:lang w:bidi="ar-SY"/>
        </w:rPr>
        <w:t>م</w:t>
      </w:r>
      <w:r w:rsidR="00953581" w:rsidRPr="003F3B94">
        <w:rPr>
          <w:rFonts w:hint="cs"/>
          <w:sz w:val="28"/>
          <w:rtl/>
          <w:lang w:bidi="ar-SY"/>
        </w:rPr>
        <w:t xml:space="preserve"> </w:t>
      </w:r>
      <w:r w:rsidR="00123857" w:rsidRPr="003F3B94">
        <w:rPr>
          <w:rFonts w:hint="cs"/>
          <w:sz w:val="28"/>
          <w:rtl/>
          <w:lang w:bidi="ar-SY"/>
        </w:rPr>
        <w:t>من</w:t>
      </w:r>
      <w:r w:rsidR="00953581" w:rsidRPr="003F3B94">
        <w:rPr>
          <w:rFonts w:hint="cs"/>
          <w:sz w:val="28"/>
          <w:rtl/>
          <w:lang w:bidi="ar-SY"/>
        </w:rPr>
        <w:t xml:space="preserve"> </w:t>
      </w:r>
      <w:r w:rsidR="00027EEC" w:rsidRPr="003F3B94">
        <w:rPr>
          <w:rFonts w:hint="cs"/>
          <w:sz w:val="28"/>
          <w:rtl/>
          <w:lang w:bidi="ar-SY"/>
        </w:rPr>
        <w:t>مصدريه</w:t>
      </w:r>
      <w:r w:rsidR="00953581" w:rsidRPr="003F3B94">
        <w:rPr>
          <w:rFonts w:hint="cs"/>
          <w:sz w:val="28"/>
          <w:rtl/>
          <w:lang w:bidi="ar-SY"/>
        </w:rPr>
        <w:t xml:space="preserve"> </w:t>
      </w:r>
      <w:r w:rsidR="00027EEC" w:rsidRPr="003F3B94">
        <w:rPr>
          <w:rFonts w:hint="cs"/>
          <w:sz w:val="28"/>
          <w:rtl/>
          <w:lang w:bidi="ar-SY"/>
        </w:rPr>
        <w:t>ا</w:t>
      </w:r>
      <w:r w:rsidR="008A2A49" w:rsidRPr="003F3B94">
        <w:rPr>
          <w:rFonts w:hint="cs"/>
          <w:sz w:val="28"/>
          <w:rtl/>
          <w:lang w:bidi="ar-SY"/>
        </w:rPr>
        <w:t>لأ</w:t>
      </w:r>
      <w:r w:rsidR="00027EEC" w:rsidRPr="003F3B94">
        <w:rPr>
          <w:rFonts w:hint="cs"/>
          <w:sz w:val="28"/>
          <w:rtl/>
          <w:lang w:bidi="ar-SY"/>
        </w:rPr>
        <w:t>صيلين</w:t>
      </w:r>
      <w:r w:rsidR="00953581" w:rsidRPr="003F3B94">
        <w:rPr>
          <w:rFonts w:hint="cs"/>
          <w:sz w:val="28"/>
          <w:rtl/>
          <w:lang w:bidi="ar-SY"/>
        </w:rPr>
        <w:t xml:space="preserve"> </w:t>
      </w:r>
      <w:r w:rsidR="00027EEC" w:rsidRPr="003F3B94">
        <w:rPr>
          <w:rFonts w:hint="cs"/>
          <w:sz w:val="28"/>
          <w:rtl/>
          <w:lang w:bidi="ar-SY"/>
        </w:rPr>
        <w:t>و</w:t>
      </w:r>
      <w:r w:rsidR="00123857" w:rsidRPr="003F3B94">
        <w:rPr>
          <w:rFonts w:hint="cs"/>
          <w:sz w:val="28"/>
          <w:rtl/>
          <w:lang w:bidi="ar-SY"/>
        </w:rPr>
        <w:t>منبعي</w:t>
      </w:r>
      <w:r w:rsidR="00027EEC" w:rsidRPr="003F3B94">
        <w:rPr>
          <w:rFonts w:hint="cs"/>
          <w:sz w:val="28"/>
          <w:rtl/>
          <w:lang w:bidi="ar-SY"/>
        </w:rPr>
        <w:t>ه</w:t>
      </w:r>
      <w:r w:rsidR="00953581" w:rsidRPr="003F3B94">
        <w:rPr>
          <w:rFonts w:hint="cs"/>
          <w:sz w:val="28"/>
          <w:rtl/>
          <w:lang w:bidi="ar-SY"/>
        </w:rPr>
        <w:t xml:space="preserve"> </w:t>
      </w:r>
      <w:r w:rsidR="00027EEC" w:rsidRPr="003F3B94">
        <w:rPr>
          <w:rFonts w:hint="cs"/>
          <w:sz w:val="28"/>
          <w:rtl/>
          <w:lang w:bidi="ar-SY"/>
        </w:rPr>
        <w:t>النقيين</w:t>
      </w:r>
      <w:r w:rsidR="00953581" w:rsidRPr="003F3B94">
        <w:rPr>
          <w:rFonts w:hint="cs"/>
          <w:sz w:val="28"/>
          <w:rtl/>
          <w:lang w:bidi="ar-SY"/>
        </w:rPr>
        <w:t xml:space="preserve"> </w:t>
      </w:r>
      <w:r w:rsidR="00123857" w:rsidRPr="003F3B94">
        <w:rPr>
          <w:rFonts w:hint="cs"/>
          <w:sz w:val="28"/>
          <w:rtl/>
          <w:lang w:bidi="ar-SY"/>
        </w:rPr>
        <w:t>قبل</w:t>
      </w:r>
      <w:r w:rsidR="00953581" w:rsidRPr="003F3B94">
        <w:rPr>
          <w:rFonts w:hint="cs"/>
          <w:sz w:val="28"/>
          <w:rtl/>
          <w:lang w:bidi="ar-SY"/>
        </w:rPr>
        <w:t xml:space="preserve"> </w:t>
      </w:r>
      <w:r w:rsidR="00123857" w:rsidRPr="003F3B94">
        <w:rPr>
          <w:rFonts w:hint="cs"/>
          <w:sz w:val="28"/>
          <w:rtl/>
          <w:lang w:bidi="ar-SY"/>
        </w:rPr>
        <w:t>أن</w:t>
      </w:r>
      <w:r w:rsidR="00953581" w:rsidRPr="003F3B94">
        <w:rPr>
          <w:rFonts w:hint="cs"/>
          <w:sz w:val="28"/>
          <w:rtl/>
          <w:lang w:bidi="ar-SY"/>
        </w:rPr>
        <w:t xml:space="preserve"> </w:t>
      </w:r>
      <w:r w:rsidR="00123857" w:rsidRPr="003F3B94">
        <w:rPr>
          <w:rFonts w:hint="cs"/>
          <w:sz w:val="28"/>
          <w:rtl/>
          <w:lang w:bidi="ar-SY"/>
        </w:rPr>
        <w:t>يختلط</w:t>
      </w:r>
      <w:r w:rsidR="00953581" w:rsidRPr="003F3B94">
        <w:rPr>
          <w:rFonts w:hint="cs"/>
          <w:sz w:val="28"/>
          <w:rtl/>
          <w:lang w:bidi="ar-SY"/>
        </w:rPr>
        <w:t xml:space="preserve"> </w:t>
      </w:r>
      <w:r w:rsidR="00123857" w:rsidRPr="003F3B94">
        <w:rPr>
          <w:rFonts w:hint="cs"/>
          <w:sz w:val="28"/>
          <w:rtl/>
          <w:lang w:bidi="ar-SY"/>
        </w:rPr>
        <w:t>هذا</w:t>
      </w:r>
      <w:r w:rsidR="00953581" w:rsidRPr="003F3B94">
        <w:rPr>
          <w:rFonts w:hint="cs"/>
          <w:sz w:val="28"/>
          <w:rtl/>
          <w:lang w:bidi="ar-SY"/>
        </w:rPr>
        <w:t xml:space="preserve"> </w:t>
      </w:r>
      <w:r w:rsidR="00123857" w:rsidRPr="003F3B94">
        <w:rPr>
          <w:rFonts w:hint="cs"/>
          <w:sz w:val="28"/>
          <w:rtl/>
          <w:lang w:bidi="ar-SY"/>
        </w:rPr>
        <w:t>الدين</w:t>
      </w:r>
      <w:r w:rsidR="00953581" w:rsidRPr="003F3B94">
        <w:rPr>
          <w:rFonts w:hint="cs"/>
          <w:sz w:val="28"/>
          <w:rtl/>
          <w:lang w:bidi="ar-SY"/>
        </w:rPr>
        <w:t xml:space="preserve"> </w:t>
      </w:r>
      <w:r w:rsidR="00EE14ED" w:rsidRPr="003F3B94">
        <w:rPr>
          <w:rFonts w:hint="cs"/>
          <w:sz w:val="28"/>
          <w:rtl/>
          <w:lang w:bidi="ar-SY"/>
        </w:rPr>
        <w:t>با</w:t>
      </w:r>
      <w:r w:rsidR="008A2A49" w:rsidRPr="003F3B94">
        <w:rPr>
          <w:rFonts w:hint="cs"/>
          <w:sz w:val="28"/>
          <w:rtl/>
          <w:lang w:bidi="ar-SY"/>
        </w:rPr>
        <w:t>لآ</w:t>
      </w:r>
      <w:r w:rsidR="00EE14ED" w:rsidRPr="003F3B94">
        <w:rPr>
          <w:rFonts w:hint="cs"/>
          <w:sz w:val="28"/>
          <w:rtl/>
          <w:lang w:bidi="ar-SY"/>
        </w:rPr>
        <w:t>راء</w:t>
      </w:r>
      <w:r w:rsidR="00953581" w:rsidRPr="003F3B94">
        <w:rPr>
          <w:rFonts w:hint="cs"/>
          <w:sz w:val="28"/>
          <w:rtl/>
          <w:lang w:bidi="ar-SY"/>
        </w:rPr>
        <w:t xml:space="preserve"> </w:t>
      </w:r>
      <w:r w:rsidR="00EE14ED" w:rsidRPr="003F3B94">
        <w:rPr>
          <w:rFonts w:hint="cs"/>
          <w:sz w:val="28"/>
          <w:rtl/>
          <w:lang w:bidi="ar-SY"/>
        </w:rPr>
        <w:t>وا</w:t>
      </w:r>
      <w:r w:rsidR="008A2A49" w:rsidRPr="003F3B94">
        <w:rPr>
          <w:rFonts w:hint="cs"/>
          <w:sz w:val="28"/>
          <w:rtl/>
          <w:lang w:bidi="ar-SY"/>
        </w:rPr>
        <w:t>لأ</w:t>
      </w:r>
      <w:r w:rsidR="00EE14ED" w:rsidRPr="003F3B94">
        <w:rPr>
          <w:rFonts w:hint="cs"/>
          <w:sz w:val="28"/>
          <w:rtl/>
          <w:lang w:bidi="ar-SY"/>
        </w:rPr>
        <w:t>هواء</w:t>
      </w:r>
      <w:r w:rsidR="00953581" w:rsidRPr="003F3B94">
        <w:rPr>
          <w:rFonts w:hint="cs"/>
          <w:sz w:val="28"/>
          <w:rtl/>
          <w:lang w:bidi="ar-SY"/>
        </w:rPr>
        <w:t xml:space="preserve"> </w:t>
      </w:r>
      <w:r w:rsidR="00EE14ED" w:rsidRPr="003F3B94">
        <w:rPr>
          <w:rFonts w:hint="cs"/>
          <w:sz w:val="28"/>
          <w:rtl/>
          <w:lang w:bidi="ar-SY"/>
        </w:rPr>
        <w:t>التي</w:t>
      </w:r>
      <w:r w:rsidR="00953581" w:rsidRPr="003F3B94">
        <w:rPr>
          <w:rFonts w:hint="cs"/>
          <w:sz w:val="28"/>
          <w:rtl/>
          <w:lang w:bidi="ar-SY"/>
        </w:rPr>
        <w:t xml:space="preserve"> </w:t>
      </w:r>
      <w:r w:rsidR="00EE14ED" w:rsidRPr="003F3B94">
        <w:rPr>
          <w:rFonts w:hint="cs"/>
          <w:sz w:val="28"/>
          <w:rtl/>
          <w:lang w:bidi="ar-SY"/>
        </w:rPr>
        <w:t>دخلته</w:t>
      </w:r>
      <w:r w:rsidR="00953581" w:rsidRPr="003F3B94">
        <w:rPr>
          <w:rFonts w:hint="cs"/>
          <w:sz w:val="28"/>
          <w:rtl/>
          <w:lang w:bidi="ar-SY"/>
        </w:rPr>
        <w:t xml:space="preserve"> </w:t>
      </w:r>
      <w:r w:rsidR="00EE14ED" w:rsidRPr="003F3B94">
        <w:rPr>
          <w:rFonts w:hint="cs"/>
          <w:sz w:val="28"/>
          <w:rtl/>
          <w:lang w:bidi="ar-SY"/>
        </w:rPr>
        <w:t>بعد</w:t>
      </w:r>
      <w:r w:rsidR="00953581" w:rsidRPr="003F3B94">
        <w:rPr>
          <w:rFonts w:hint="cs"/>
          <w:sz w:val="28"/>
          <w:rtl/>
          <w:lang w:bidi="ar-SY"/>
        </w:rPr>
        <w:t xml:space="preserve"> </w:t>
      </w:r>
      <w:r w:rsidR="00EE14ED" w:rsidRPr="003F3B94">
        <w:rPr>
          <w:rFonts w:hint="cs"/>
          <w:sz w:val="28"/>
          <w:rtl/>
          <w:lang w:bidi="ar-SY"/>
        </w:rPr>
        <w:t>نصف</w:t>
      </w:r>
      <w:r w:rsidR="00953581" w:rsidRPr="003F3B94">
        <w:rPr>
          <w:rFonts w:hint="cs"/>
          <w:sz w:val="28"/>
          <w:rtl/>
          <w:lang w:bidi="ar-SY"/>
        </w:rPr>
        <w:t xml:space="preserve"> </w:t>
      </w:r>
      <w:r w:rsidR="00EE14ED" w:rsidRPr="003F3B94">
        <w:rPr>
          <w:rFonts w:hint="cs"/>
          <w:sz w:val="28"/>
          <w:rtl/>
          <w:lang w:bidi="ar-SY"/>
        </w:rPr>
        <w:t>قرنٍ</w:t>
      </w:r>
      <w:r w:rsidR="00953581" w:rsidRPr="003F3B94">
        <w:rPr>
          <w:rFonts w:hint="cs"/>
          <w:sz w:val="28"/>
          <w:rtl/>
          <w:lang w:bidi="ar-SY"/>
        </w:rPr>
        <w:t xml:space="preserve"> </w:t>
      </w:r>
      <w:r w:rsidR="00EE14ED" w:rsidRPr="003F3B94">
        <w:rPr>
          <w:rFonts w:hint="cs"/>
          <w:sz w:val="28"/>
          <w:rtl/>
          <w:lang w:bidi="ar-SY"/>
        </w:rPr>
        <w:t>أو</w:t>
      </w:r>
      <w:r w:rsidR="00953581" w:rsidRPr="003F3B94">
        <w:rPr>
          <w:rFonts w:hint="cs"/>
          <w:sz w:val="28"/>
          <w:rtl/>
          <w:lang w:bidi="ar-SY"/>
        </w:rPr>
        <w:t xml:space="preserve"> </w:t>
      </w:r>
      <w:r w:rsidR="00EE14ED" w:rsidRPr="003F3B94">
        <w:rPr>
          <w:rFonts w:hint="cs"/>
          <w:sz w:val="28"/>
          <w:rtl/>
          <w:lang w:bidi="ar-SY"/>
        </w:rPr>
        <w:t>قرنٍ</w:t>
      </w:r>
      <w:r w:rsidR="00953581" w:rsidRPr="003F3B94">
        <w:rPr>
          <w:rFonts w:hint="cs"/>
          <w:sz w:val="28"/>
          <w:rtl/>
          <w:lang w:bidi="ar-SY"/>
        </w:rPr>
        <w:t xml:space="preserve"> </w:t>
      </w:r>
      <w:r w:rsidR="00EE14ED" w:rsidRPr="003F3B94">
        <w:rPr>
          <w:rFonts w:hint="cs"/>
          <w:sz w:val="28"/>
          <w:rtl/>
          <w:lang w:bidi="ar-SY"/>
        </w:rPr>
        <w:t>من</w:t>
      </w:r>
      <w:r w:rsidR="00953581" w:rsidRPr="003F3B94">
        <w:rPr>
          <w:rFonts w:hint="cs"/>
          <w:sz w:val="28"/>
          <w:rtl/>
          <w:lang w:bidi="ar-SY"/>
        </w:rPr>
        <w:t xml:space="preserve"> </w:t>
      </w:r>
      <w:r w:rsidR="00EE14ED" w:rsidRPr="003F3B94">
        <w:rPr>
          <w:rFonts w:hint="cs"/>
          <w:sz w:val="28"/>
          <w:rtl/>
          <w:lang w:bidi="ar-SY"/>
        </w:rPr>
        <w:t>غروب</w:t>
      </w:r>
      <w:r w:rsidR="00953581" w:rsidRPr="003F3B94">
        <w:rPr>
          <w:rFonts w:hint="cs"/>
          <w:sz w:val="28"/>
          <w:rtl/>
          <w:lang w:bidi="ar-SY"/>
        </w:rPr>
        <w:t xml:space="preserve"> </w:t>
      </w:r>
      <w:r w:rsidR="00EE14ED" w:rsidRPr="003F3B94">
        <w:rPr>
          <w:rFonts w:hint="cs"/>
          <w:sz w:val="28"/>
          <w:rtl/>
          <w:lang w:bidi="ar-SY"/>
        </w:rPr>
        <w:t>شمس</w:t>
      </w:r>
      <w:r w:rsidR="00953581" w:rsidRPr="003F3B94">
        <w:rPr>
          <w:rFonts w:hint="cs"/>
          <w:sz w:val="28"/>
          <w:rtl/>
          <w:lang w:bidi="ar-SY"/>
        </w:rPr>
        <w:t xml:space="preserve"> </w:t>
      </w:r>
      <w:r w:rsidR="00EE14ED" w:rsidRPr="003F3B94">
        <w:rPr>
          <w:rFonts w:hint="cs"/>
          <w:sz w:val="28"/>
          <w:rtl/>
          <w:lang w:bidi="ar-SY"/>
        </w:rPr>
        <w:t>الرسالة</w:t>
      </w:r>
      <w:r w:rsidR="00953581" w:rsidRPr="003F3B94">
        <w:rPr>
          <w:rFonts w:hint="cs"/>
          <w:sz w:val="28"/>
          <w:rtl/>
          <w:lang w:bidi="ar-SY"/>
        </w:rPr>
        <w:t xml:space="preserve"> </w:t>
      </w:r>
      <w:r w:rsidR="00EE14ED" w:rsidRPr="003F3B94">
        <w:rPr>
          <w:rFonts w:hint="cs"/>
          <w:sz w:val="28"/>
          <w:rtl/>
          <w:lang w:bidi="ar-SY"/>
        </w:rPr>
        <w:t>المحمدية</w:t>
      </w:r>
      <w:r w:rsidR="00953581" w:rsidRPr="003F3B94">
        <w:rPr>
          <w:rFonts w:hint="cs"/>
          <w:sz w:val="28"/>
          <w:rtl/>
          <w:lang w:bidi="ar-SY"/>
        </w:rPr>
        <w:t xml:space="preserve"> </w:t>
      </w:r>
      <w:r w:rsidR="00681D13" w:rsidRPr="003F3B94">
        <w:rPr>
          <w:rFonts w:hint="cs"/>
          <w:sz w:val="28"/>
          <w:rtl/>
          <w:lang w:bidi="ar-SY"/>
        </w:rPr>
        <w:t>حتى</w:t>
      </w:r>
      <w:r w:rsidR="00953581" w:rsidRPr="003F3B94">
        <w:rPr>
          <w:rFonts w:hint="cs"/>
          <w:sz w:val="28"/>
          <w:rtl/>
          <w:lang w:bidi="ar-SY"/>
        </w:rPr>
        <w:t xml:space="preserve"> </w:t>
      </w:r>
      <w:r w:rsidR="00681D13" w:rsidRPr="003F3B94">
        <w:rPr>
          <w:rFonts w:hint="cs"/>
          <w:sz w:val="28"/>
          <w:rtl/>
          <w:lang w:bidi="ar-SY"/>
        </w:rPr>
        <w:t>أصبحت</w:t>
      </w:r>
      <w:r w:rsidR="00953581" w:rsidRPr="003F3B94">
        <w:rPr>
          <w:rFonts w:hint="cs"/>
          <w:sz w:val="28"/>
          <w:rtl/>
          <w:lang w:bidi="ar-SY"/>
        </w:rPr>
        <w:t xml:space="preserve"> </w:t>
      </w:r>
      <w:r w:rsidR="00681D13" w:rsidRPr="003F3B94">
        <w:rPr>
          <w:rFonts w:hint="cs"/>
          <w:sz w:val="28"/>
          <w:rtl/>
          <w:lang w:bidi="ar-SY"/>
        </w:rPr>
        <w:t>الرسالة</w:t>
      </w:r>
      <w:r w:rsidR="00953581" w:rsidRPr="003F3B94">
        <w:rPr>
          <w:rFonts w:hint="cs"/>
          <w:sz w:val="28"/>
          <w:rtl/>
          <w:lang w:bidi="ar-SY"/>
        </w:rPr>
        <w:t xml:space="preserve"> </w:t>
      </w:r>
      <w:r w:rsidR="00681D13" w:rsidRPr="003F3B94">
        <w:rPr>
          <w:rFonts w:hint="cs"/>
          <w:sz w:val="28"/>
          <w:rtl/>
          <w:lang w:bidi="ar-SY"/>
        </w:rPr>
        <w:t>ميداناً</w:t>
      </w:r>
      <w:r w:rsidR="00953581" w:rsidRPr="003F3B94">
        <w:rPr>
          <w:rFonts w:hint="cs"/>
          <w:sz w:val="28"/>
          <w:rtl/>
          <w:lang w:bidi="ar-SY"/>
        </w:rPr>
        <w:t xml:space="preserve"> </w:t>
      </w:r>
      <w:r w:rsidR="00681D13" w:rsidRPr="003F3B94">
        <w:rPr>
          <w:rFonts w:hint="cs"/>
          <w:sz w:val="28"/>
          <w:rtl/>
          <w:lang w:bidi="ar-SY"/>
        </w:rPr>
        <w:t>واسعاً</w:t>
      </w:r>
      <w:r w:rsidR="00953581" w:rsidRPr="003F3B94">
        <w:rPr>
          <w:rFonts w:hint="cs"/>
          <w:sz w:val="28"/>
          <w:rtl/>
          <w:lang w:bidi="ar-SY"/>
        </w:rPr>
        <w:t xml:space="preserve"> </w:t>
      </w:r>
      <w:r w:rsidR="006E7B3A" w:rsidRPr="003F3B94">
        <w:rPr>
          <w:rFonts w:hint="cs"/>
          <w:sz w:val="28"/>
          <w:rtl/>
          <w:lang w:bidi="ar-SY"/>
        </w:rPr>
        <w:t>لحم</w:t>
      </w:r>
      <w:r w:rsidR="008A2A49" w:rsidRPr="003F3B94">
        <w:rPr>
          <w:rFonts w:hint="cs"/>
          <w:sz w:val="28"/>
          <w:rtl/>
          <w:lang w:bidi="ar-SY"/>
        </w:rPr>
        <w:t>لا</w:t>
      </w:r>
      <w:r w:rsidR="006E7B3A" w:rsidRPr="003F3B94">
        <w:rPr>
          <w:rFonts w:hint="cs"/>
          <w:sz w:val="28"/>
          <w:rtl/>
          <w:lang w:bidi="ar-SY"/>
        </w:rPr>
        <w:t>ت</w:t>
      </w:r>
      <w:r w:rsidR="00953581" w:rsidRPr="003F3B94">
        <w:rPr>
          <w:rFonts w:hint="cs"/>
          <w:sz w:val="28"/>
          <w:rtl/>
          <w:lang w:bidi="ar-SY"/>
        </w:rPr>
        <w:t xml:space="preserve"> </w:t>
      </w:r>
      <w:r w:rsidR="006E7B3A" w:rsidRPr="003F3B94">
        <w:rPr>
          <w:rFonts w:hint="cs"/>
          <w:sz w:val="28"/>
          <w:rtl/>
          <w:lang w:bidi="ar-SY"/>
        </w:rPr>
        <w:t>كل</w:t>
      </w:r>
      <w:r w:rsidR="00953581" w:rsidRPr="003F3B94">
        <w:rPr>
          <w:rFonts w:hint="cs"/>
          <w:sz w:val="28"/>
          <w:rtl/>
          <w:lang w:bidi="ar-SY"/>
        </w:rPr>
        <w:t xml:space="preserve"> </w:t>
      </w:r>
      <w:r w:rsidR="006E7B3A" w:rsidRPr="003F3B94">
        <w:rPr>
          <w:rFonts w:hint="cs"/>
          <w:sz w:val="28"/>
          <w:rtl/>
          <w:lang w:bidi="ar-SY"/>
        </w:rPr>
        <w:t>مغرضٍ</w:t>
      </w:r>
      <w:r w:rsidR="00953581" w:rsidRPr="003F3B94">
        <w:rPr>
          <w:rFonts w:hint="cs"/>
          <w:sz w:val="28"/>
          <w:rtl/>
          <w:lang w:bidi="ar-SY"/>
        </w:rPr>
        <w:t xml:space="preserve"> </w:t>
      </w:r>
      <w:r w:rsidR="006E7B3A" w:rsidRPr="003F3B94">
        <w:rPr>
          <w:rFonts w:hint="cs"/>
          <w:sz w:val="28"/>
          <w:rtl/>
          <w:lang w:bidi="ar-SY"/>
        </w:rPr>
        <w:t>وبدع</w:t>
      </w:r>
      <w:r w:rsidR="00953581" w:rsidRPr="003F3B94">
        <w:rPr>
          <w:rFonts w:hint="cs"/>
          <w:sz w:val="28"/>
          <w:rtl/>
          <w:lang w:bidi="ar-SY"/>
        </w:rPr>
        <w:t xml:space="preserve"> </w:t>
      </w:r>
      <w:r w:rsidR="006E7B3A" w:rsidRPr="003F3B94">
        <w:rPr>
          <w:rFonts w:hint="cs"/>
          <w:sz w:val="28"/>
          <w:rtl/>
          <w:lang w:bidi="ar-SY"/>
        </w:rPr>
        <w:t>وأمراض</w:t>
      </w:r>
      <w:r w:rsidR="00953581" w:rsidRPr="003F3B94">
        <w:rPr>
          <w:rFonts w:hint="cs"/>
          <w:sz w:val="28"/>
          <w:rtl/>
          <w:lang w:bidi="ar-SY"/>
        </w:rPr>
        <w:t xml:space="preserve"> </w:t>
      </w:r>
      <w:r w:rsidR="006E7B3A" w:rsidRPr="003F3B94">
        <w:rPr>
          <w:rFonts w:hint="cs"/>
          <w:sz w:val="28"/>
          <w:rtl/>
          <w:lang w:bidi="ar-SY"/>
        </w:rPr>
        <w:t>أرباب</w:t>
      </w:r>
      <w:r w:rsidR="00953581" w:rsidRPr="003F3B94">
        <w:rPr>
          <w:rFonts w:hint="cs"/>
          <w:sz w:val="28"/>
          <w:rtl/>
          <w:lang w:bidi="ar-SY"/>
        </w:rPr>
        <w:t xml:space="preserve"> </w:t>
      </w:r>
      <w:r w:rsidR="006E7B3A" w:rsidRPr="003F3B94">
        <w:rPr>
          <w:rFonts w:hint="cs"/>
          <w:sz w:val="28"/>
          <w:rtl/>
          <w:lang w:bidi="ar-SY"/>
        </w:rPr>
        <w:t>ا</w:t>
      </w:r>
      <w:r w:rsidR="008A2A49" w:rsidRPr="003F3B94">
        <w:rPr>
          <w:rFonts w:hint="cs"/>
          <w:sz w:val="28"/>
          <w:rtl/>
          <w:lang w:bidi="ar-SY"/>
        </w:rPr>
        <w:t>لأ</w:t>
      </w:r>
      <w:r w:rsidR="006E7B3A" w:rsidRPr="003F3B94">
        <w:rPr>
          <w:rFonts w:hint="cs"/>
          <w:sz w:val="28"/>
          <w:rtl/>
          <w:lang w:bidi="ar-SY"/>
        </w:rPr>
        <w:t>هواء</w:t>
      </w:r>
      <w:r w:rsidR="00953581" w:rsidRPr="003F3B94">
        <w:rPr>
          <w:rFonts w:hint="cs"/>
          <w:sz w:val="28"/>
          <w:rtl/>
          <w:lang w:bidi="ar-SY"/>
        </w:rPr>
        <w:t xml:space="preserve"> </w:t>
      </w:r>
      <w:r w:rsidR="006E7B3A" w:rsidRPr="003F3B94">
        <w:rPr>
          <w:rFonts w:hint="cs"/>
          <w:sz w:val="28"/>
          <w:rtl/>
          <w:lang w:bidi="ar-SY"/>
        </w:rPr>
        <w:t>والنزعات</w:t>
      </w:r>
      <w:r w:rsidR="00217AB4" w:rsidRPr="003F3B94">
        <w:rPr>
          <w:rFonts w:hint="cs"/>
          <w:sz w:val="28"/>
          <w:rtl/>
          <w:lang w:bidi="ar-SY"/>
        </w:rPr>
        <w:t>.</w:t>
      </w:r>
      <w:r w:rsidR="00953581" w:rsidRPr="003F3B94">
        <w:rPr>
          <w:rFonts w:hint="cs"/>
          <w:sz w:val="28"/>
          <w:rtl/>
          <w:lang w:bidi="ar-SY"/>
        </w:rPr>
        <w:t xml:space="preserve"> </w:t>
      </w:r>
    </w:p>
    <w:p w:rsidR="00A76EDD" w:rsidRPr="003F3B94" w:rsidRDefault="00156D34" w:rsidP="003F3B94">
      <w:pPr>
        <w:pStyle w:val="a0"/>
        <w:rPr>
          <w:rFonts w:hint="cs"/>
          <w:rtl/>
          <w:lang w:bidi="ar-SY"/>
        </w:rPr>
      </w:pPr>
      <w:r w:rsidRPr="003F3B94">
        <w:rPr>
          <w:rFonts w:hint="cs"/>
          <w:sz w:val="28"/>
          <w:rtl/>
          <w:lang w:bidi="ar-SY"/>
        </w:rPr>
        <w:t>إن</w:t>
      </w:r>
      <w:r w:rsidR="00953581" w:rsidRPr="003F3B94">
        <w:rPr>
          <w:rFonts w:hint="cs"/>
          <w:sz w:val="28"/>
          <w:rtl/>
          <w:lang w:bidi="ar-SY"/>
        </w:rPr>
        <w:t xml:space="preserve"> </w:t>
      </w:r>
      <w:r w:rsidRPr="003F3B94">
        <w:rPr>
          <w:rFonts w:hint="cs"/>
          <w:sz w:val="28"/>
          <w:rtl/>
          <w:lang w:bidi="ar-SY"/>
        </w:rPr>
        <w:t>دراسةً</w:t>
      </w:r>
      <w:r w:rsidR="00953581" w:rsidRPr="003F3B94">
        <w:rPr>
          <w:rFonts w:hint="cs"/>
          <w:sz w:val="28"/>
          <w:rtl/>
          <w:lang w:bidi="ar-SY"/>
        </w:rPr>
        <w:t xml:space="preserve"> </w:t>
      </w:r>
      <w:r w:rsidRPr="003F3B94">
        <w:rPr>
          <w:rFonts w:hint="cs"/>
          <w:sz w:val="28"/>
          <w:rtl/>
          <w:lang w:bidi="ar-SY"/>
        </w:rPr>
        <w:t>ولو</w:t>
      </w:r>
      <w:r w:rsidR="00953581" w:rsidRPr="003F3B94">
        <w:rPr>
          <w:rFonts w:hint="cs"/>
          <w:sz w:val="28"/>
          <w:rtl/>
          <w:lang w:bidi="ar-SY"/>
        </w:rPr>
        <w:t xml:space="preserve"> </w:t>
      </w:r>
      <w:r w:rsidRPr="003F3B94">
        <w:rPr>
          <w:rFonts w:hint="cs"/>
          <w:sz w:val="28"/>
          <w:rtl/>
          <w:lang w:bidi="ar-SY"/>
        </w:rPr>
        <w:t>مختصرة</w:t>
      </w:r>
      <w:r w:rsidR="00953581" w:rsidRPr="003F3B94">
        <w:rPr>
          <w:rFonts w:hint="cs"/>
          <w:sz w:val="28"/>
          <w:rtl/>
          <w:lang w:bidi="ar-SY"/>
        </w:rPr>
        <w:t xml:space="preserve"> </w:t>
      </w:r>
      <w:r w:rsidRPr="003F3B94">
        <w:rPr>
          <w:rFonts w:hint="cs"/>
          <w:sz w:val="28"/>
          <w:rtl/>
          <w:lang w:bidi="ar-SY"/>
        </w:rPr>
        <w:t>لتاريخ</w:t>
      </w:r>
      <w:r w:rsidR="00953581" w:rsidRPr="003F3B94">
        <w:rPr>
          <w:rFonts w:hint="cs"/>
          <w:sz w:val="28"/>
          <w:rtl/>
          <w:lang w:bidi="ar-SY"/>
        </w:rPr>
        <w:t xml:space="preserve"> </w:t>
      </w:r>
      <w:r w:rsidR="00027EEC" w:rsidRPr="003F3B94">
        <w:rPr>
          <w:rFonts w:hint="cs"/>
          <w:sz w:val="28"/>
          <w:rtl/>
          <w:lang w:bidi="ar-SY"/>
        </w:rPr>
        <w:t>العالم</w:t>
      </w:r>
      <w:r w:rsidR="00953581" w:rsidRPr="003F3B94">
        <w:rPr>
          <w:rFonts w:hint="cs"/>
          <w:sz w:val="28"/>
          <w:rtl/>
          <w:lang w:bidi="ar-SY"/>
        </w:rPr>
        <w:t xml:space="preserve"> </w:t>
      </w:r>
      <w:r w:rsidR="00027EEC" w:rsidRPr="003F3B94">
        <w:rPr>
          <w:rFonts w:hint="cs"/>
          <w:sz w:val="28"/>
          <w:rtl/>
          <w:lang w:bidi="ar-SY"/>
        </w:rPr>
        <w:t>تظهر</w:t>
      </w:r>
      <w:r w:rsidR="00953581" w:rsidRPr="003F3B94">
        <w:rPr>
          <w:rFonts w:hint="cs"/>
          <w:sz w:val="28"/>
          <w:rtl/>
          <w:lang w:bidi="ar-SY"/>
        </w:rPr>
        <w:t xml:space="preserve"> </w:t>
      </w:r>
      <w:r w:rsidR="00027EEC" w:rsidRPr="003F3B94">
        <w:rPr>
          <w:rFonts w:hint="cs"/>
          <w:sz w:val="28"/>
          <w:rtl/>
          <w:lang w:bidi="ar-SY"/>
        </w:rPr>
        <w:t>بشكلٍ</w:t>
      </w:r>
      <w:r w:rsidR="00953581" w:rsidRPr="003F3B94">
        <w:rPr>
          <w:rFonts w:hint="cs"/>
          <w:sz w:val="28"/>
          <w:rtl/>
          <w:lang w:bidi="ar-SY"/>
        </w:rPr>
        <w:t xml:space="preserve"> </w:t>
      </w:r>
      <w:r w:rsidR="008A2A49" w:rsidRPr="003F3B94">
        <w:rPr>
          <w:rFonts w:hint="cs"/>
          <w:sz w:val="28"/>
          <w:rtl/>
          <w:lang w:bidi="ar-SY"/>
        </w:rPr>
        <w:t>لا</w:t>
      </w:r>
      <w:r w:rsidR="00953581" w:rsidRPr="003F3B94">
        <w:rPr>
          <w:rFonts w:hint="cs"/>
          <w:sz w:val="28"/>
          <w:rtl/>
          <w:lang w:bidi="ar-SY"/>
        </w:rPr>
        <w:t xml:space="preserve"> </w:t>
      </w:r>
      <w:r w:rsidR="00027EEC" w:rsidRPr="003F3B94">
        <w:rPr>
          <w:rFonts w:hint="cs"/>
          <w:sz w:val="28"/>
          <w:rtl/>
          <w:lang w:bidi="ar-SY"/>
        </w:rPr>
        <w:t>يقبل</w:t>
      </w:r>
      <w:r w:rsidR="00953581" w:rsidRPr="003F3B94">
        <w:rPr>
          <w:rFonts w:hint="cs"/>
          <w:sz w:val="28"/>
          <w:rtl/>
          <w:lang w:bidi="ar-SY"/>
        </w:rPr>
        <w:t xml:space="preserve"> </w:t>
      </w:r>
      <w:r w:rsidR="00027EEC" w:rsidRPr="003F3B94">
        <w:rPr>
          <w:rFonts w:hint="cs"/>
          <w:sz w:val="28"/>
          <w:rtl/>
          <w:lang w:bidi="ar-SY"/>
        </w:rPr>
        <w:t>الجدل</w:t>
      </w:r>
      <w:r w:rsidR="00953581" w:rsidRPr="003F3B94">
        <w:rPr>
          <w:rFonts w:hint="cs"/>
          <w:sz w:val="28"/>
          <w:rtl/>
          <w:lang w:bidi="ar-SY"/>
        </w:rPr>
        <w:t xml:space="preserve"> </w:t>
      </w:r>
      <w:r w:rsidRPr="003F3B94">
        <w:rPr>
          <w:rFonts w:hint="cs"/>
          <w:sz w:val="28"/>
          <w:rtl/>
          <w:lang w:bidi="ar-SY"/>
        </w:rPr>
        <w:t>أن</w:t>
      </w:r>
      <w:r w:rsidR="00953581" w:rsidRPr="003F3B94">
        <w:rPr>
          <w:rFonts w:hint="cs"/>
          <w:sz w:val="28"/>
          <w:rtl/>
          <w:lang w:bidi="ar-SY"/>
        </w:rPr>
        <w:t xml:space="preserve"> </w:t>
      </w:r>
      <w:r w:rsidRPr="003F3B94">
        <w:rPr>
          <w:rFonts w:hint="cs"/>
          <w:sz w:val="28"/>
          <w:rtl/>
          <w:lang w:bidi="ar-SY"/>
        </w:rPr>
        <w:t>ظهور</w:t>
      </w:r>
      <w:r w:rsidR="00953581" w:rsidRPr="003F3B94">
        <w:rPr>
          <w:rFonts w:hint="cs"/>
          <w:sz w:val="28"/>
          <w:rtl/>
          <w:lang w:bidi="ar-SY"/>
        </w:rPr>
        <w:t xml:space="preserve"> </w:t>
      </w:r>
      <w:r w:rsidRPr="003F3B94">
        <w:rPr>
          <w:rFonts w:hint="cs"/>
          <w:sz w:val="28"/>
          <w:rtl/>
          <w:lang w:bidi="ar-SY"/>
        </w:rPr>
        <w:t>ا</w:t>
      </w:r>
      <w:r w:rsidR="008A2A49" w:rsidRPr="003F3B94">
        <w:rPr>
          <w:rFonts w:hint="cs"/>
          <w:sz w:val="28"/>
          <w:rtl/>
          <w:lang w:bidi="ar-SY"/>
        </w:rPr>
        <w:t>لإ</w:t>
      </w:r>
      <w:r w:rsidRPr="003F3B94">
        <w:rPr>
          <w:rFonts w:hint="cs"/>
          <w:sz w:val="28"/>
          <w:rtl/>
          <w:lang w:bidi="ar-SY"/>
        </w:rPr>
        <w:t>س</w:t>
      </w:r>
      <w:r w:rsidR="008A2A49" w:rsidRPr="003F3B94">
        <w:rPr>
          <w:rFonts w:hint="cs"/>
          <w:sz w:val="28"/>
          <w:rtl/>
          <w:lang w:bidi="ar-SY"/>
        </w:rPr>
        <w:t>لا</w:t>
      </w:r>
      <w:r w:rsidRPr="003F3B94">
        <w:rPr>
          <w:rFonts w:hint="cs"/>
          <w:sz w:val="28"/>
          <w:rtl/>
          <w:lang w:bidi="ar-SY"/>
        </w:rPr>
        <w:t>م</w:t>
      </w:r>
      <w:r w:rsidR="00953581" w:rsidRPr="003F3B94">
        <w:rPr>
          <w:rFonts w:hint="cs"/>
          <w:sz w:val="28"/>
          <w:rtl/>
          <w:lang w:bidi="ar-SY"/>
        </w:rPr>
        <w:t xml:space="preserve"> </w:t>
      </w:r>
      <w:r w:rsidRPr="003F3B94">
        <w:rPr>
          <w:rFonts w:hint="cs"/>
          <w:sz w:val="28"/>
          <w:rtl/>
          <w:lang w:bidi="ar-SY"/>
        </w:rPr>
        <w:t>كان</w:t>
      </w:r>
      <w:r w:rsidR="00953581" w:rsidRPr="003F3B94">
        <w:rPr>
          <w:rFonts w:hint="cs"/>
          <w:sz w:val="28"/>
          <w:rtl/>
          <w:lang w:bidi="ar-SY"/>
        </w:rPr>
        <w:t xml:space="preserve"> </w:t>
      </w:r>
      <w:r w:rsidRPr="003F3B94">
        <w:rPr>
          <w:rFonts w:hint="cs"/>
          <w:sz w:val="28"/>
          <w:rtl/>
          <w:lang w:bidi="ar-SY"/>
        </w:rPr>
        <w:t>أعظم</w:t>
      </w:r>
      <w:r w:rsidR="00953581" w:rsidRPr="003F3B94">
        <w:rPr>
          <w:rFonts w:hint="cs"/>
          <w:sz w:val="28"/>
          <w:rtl/>
          <w:lang w:bidi="ar-SY"/>
        </w:rPr>
        <w:t xml:space="preserve"> </w:t>
      </w:r>
      <w:r w:rsidRPr="003F3B94">
        <w:rPr>
          <w:rFonts w:hint="cs"/>
          <w:sz w:val="28"/>
          <w:rtl/>
          <w:lang w:bidi="ar-SY"/>
        </w:rPr>
        <w:t>حادثةٍ</w:t>
      </w:r>
      <w:r w:rsidR="00953581" w:rsidRPr="003F3B94">
        <w:rPr>
          <w:rFonts w:hint="cs"/>
          <w:sz w:val="28"/>
          <w:rtl/>
          <w:lang w:bidi="ar-SY"/>
        </w:rPr>
        <w:t xml:space="preserve"> </w:t>
      </w:r>
      <w:r w:rsidR="000B3628" w:rsidRPr="003F3B94">
        <w:rPr>
          <w:rFonts w:hint="cs"/>
          <w:sz w:val="28"/>
          <w:rtl/>
          <w:lang w:bidi="ar-SY"/>
        </w:rPr>
        <w:t>مرت</w:t>
      </w:r>
      <w:r w:rsidR="00953581" w:rsidRPr="003F3B94">
        <w:rPr>
          <w:rFonts w:hint="cs"/>
          <w:sz w:val="28"/>
          <w:rtl/>
          <w:lang w:bidi="ar-SY"/>
        </w:rPr>
        <w:t xml:space="preserve"> </w:t>
      </w:r>
      <w:r w:rsidR="000B3628" w:rsidRPr="003F3B94">
        <w:rPr>
          <w:rFonts w:hint="cs"/>
          <w:sz w:val="28"/>
          <w:rtl/>
          <w:lang w:bidi="ar-SY"/>
        </w:rPr>
        <w:t>على</w:t>
      </w:r>
      <w:r w:rsidR="00953581" w:rsidRPr="003F3B94">
        <w:rPr>
          <w:rFonts w:hint="cs"/>
          <w:sz w:val="28"/>
          <w:rtl/>
          <w:lang w:bidi="ar-SY"/>
        </w:rPr>
        <w:t xml:space="preserve"> </w:t>
      </w:r>
      <w:r w:rsidR="000B3628" w:rsidRPr="003F3B94">
        <w:rPr>
          <w:rFonts w:hint="cs"/>
          <w:sz w:val="28"/>
          <w:rtl/>
          <w:lang w:bidi="ar-SY"/>
        </w:rPr>
        <w:t>حياة</w:t>
      </w:r>
      <w:r w:rsidR="00953581" w:rsidRPr="003F3B94">
        <w:rPr>
          <w:rFonts w:hint="cs"/>
          <w:sz w:val="28"/>
          <w:rtl/>
          <w:lang w:bidi="ar-SY"/>
        </w:rPr>
        <w:t xml:space="preserve"> </w:t>
      </w:r>
      <w:r w:rsidR="000B3628" w:rsidRPr="003F3B94">
        <w:rPr>
          <w:rFonts w:hint="cs"/>
          <w:sz w:val="28"/>
          <w:rtl/>
          <w:lang w:bidi="ar-SY"/>
        </w:rPr>
        <w:t>البشرية</w:t>
      </w:r>
      <w:r w:rsidR="00953581" w:rsidRPr="003F3B94">
        <w:rPr>
          <w:rFonts w:hint="cs"/>
          <w:sz w:val="28"/>
          <w:rtl/>
          <w:lang w:bidi="ar-SY"/>
        </w:rPr>
        <w:t xml:space="preserve"> </w:t>
      </w:r>
      <w:r w:rsidR="000B3628" w:rsidRPr="003F3B94">
        <w:rPr>
          <w:rFonts w:hint="cs"/>
          <w:sz w:val="28"/>
          <w:rtl/>
          <w:lang w:bidi="ar-SY"/>
        </w:rPr>
        <w:t>وغي</w:t>
      </w:r>
      <w:r w:rsidR="00027EEC" w:rsidRPr="003F3B94">
        <w:rPr>
          <w:rFonts w:hint="cs"/>
          <w:sz w:val="28"/>
          <w:rtl/>
          <w:lang w:bidi="ar-SY"/>
        </w:rPr>
        <w:t>َّ</w:t>
      </w:r>
      <w:r w:rsidR="000B3628" w:rsidRPr="003F3B94">
        <w:rPr>
          <w:rFonts w:hint="cs"/>
          <w:sz w:val="28"/>
          <w:rtl/>
          <w:lang w:bidi="ar-SY"/>
        </w:rPr>
        <w:t>رت</w:t>
      </w:r>
      <w:r w:rsidR="00953581" w:rsidRPr="003F3B94">
        <w:rPr>
          <w:rFonts w:hint="cs"/>
          <w:sz w:val="28"/>
          <w:rtl/>
          <w:lang w:bidi="ar-SY"/>
        </w:rPr>
        <w:t xml:space="preserve"> </w:t>
      </w:r>
      <w:r w:rsidR="000B3628" w:rsidRPr="003F3B94">
        <w:rPr>
          <w:rFonts w:hint="cs"/>
          <w:sz w:val="28"/>
          <w:rtl/>
          <w:lang w:bidi="ar-SY"/>
        </w:rPr>
        <w:t>مسيرها</w:t>
      </w:r>
      <w:r w:rsidR="00953581" w:rsidRPr="003F3B94">
        <w:rPr>
          <w:rFonts w:hint="cs"/>
          <w:sz w:val="28"/>
          <w:rtl/>
          <w:lang w:bidi="ar-SY"/>
        </w:rPr>
        <w:t xml:space="preserve"> </w:t>
      </w:r>
      <w:r w:rsidR="000B3628" w:rsidRPr="003F3B94">
        <w:rPr>
          <w:rFonts w:hint="cs"/>
          <w:sz w:val="28"/>
          <w:rtl/>
          <w:lang w:bidi="ar-SY"/>
        </w:rPr>
        <w:t>واتجهت</w:t>
      </w:r>
      <w:r w:rsidR="00953581" w:rsidRPr="003F3B94">
        <w:rPr>
          <w:rFonts w:hint="cs"/>
          <w:sz w:val="28"/>
          <w:rtl/>
          <w:lang w:bidi="ar-SY"/>
        </w:rPr>
        <w:t xml:space="preserve"> </w:t>
      </w:r>
      <w:r w:rsidR="000B3628" w:rsidRPr="003F3B94">
        <w:rPr>
          <w:rFonts w:hint="cs"/>
          <w:sz w:val="28"/>
          <w:rtl/>
          <w:lang w:bidi="ar-SY"/>
        </w:rPr>
        <w:t>بها</w:t>
      </w:r>
      <w:r w:rsidR="00953581" w:rsidRPr="003F3B94">
        <w:rPr>
          <w:rFonts w:hint="cs"/>
          <w:sz w:val="28"/>
          <w:rtl/>
          <w:lang w:bidi="ar-SY"/>
        </w:rPr>
        <w:t xml:space="preserve"> </w:t>
      </w:r>
      <w:r w:rsidR="000B3628" w:rsidRPr="003F3B94">
        <w:rPr>
          <w:rFonts w:hint="cs"/>
          <w:sz w:val="28"/>
          <w:rtl/>
          <w:lang w:bidi="ar-SY"/>
        </w:rPr>
        <w:t>نحو</w:t>
      </w:r>
      <w:r w:rsidR="00953581" w:rsidRPr="003F3B94">
        <w:rPr>
          <w:rFonts w:hint="cs"/>
          <w:sz w:val="28"/>
          <w:rtl/>
          <w:lang w:bidi="ar-SY"/>
        </w:rPr>
        <w:t xml:space="preserve"> </w:t>
      </w:r>
      <w:r w:rsidR="000B3628" w:rsidRPr="003F3B94">
        <w:rPr>
          <w:rFonts w:hint="cs"/>
          <w:sz w:val="28"/>
          <w:rtl/>
          <w:lang w:bidi="ar-SY"/>
        </w:rPr>
        <w:t>الرقي</w:t>
      </w:r>
      <w:r w:rsidR="00953581" w:rsidRPr="003F3B94">
        <w:rPr>
          <w:rFonts w:hint="cs"/>
          <w:sz w:val="28"/>
          <w:rtl/>
          <w:lang w:bidi="ar-SY"/>
        </w:rPr>
        <w:t xml:space="preserve"> </w:t>
      </w:r>
      <w:r w:rsidR="000B3628" w:rsidRPr="003F3B94">
        <w:rPr>
          <w:rFonts w:hint="cs"/>
          <w:sz w:val="28"/>
          <w:rtl/>
          <w:lang w:bidi="ar-SY"/>
        </w:rPr>
        <w:t>والتعالي</w:t>
      </w:r>
      <w:r w:rsidR="00953581" w:rsidRPr="003F3B94">
        <w:rPr>
          <w:rFonts w:hint="cs"/>
          <w:sz w:val="28"/>
          <w:rtl/>
          <w:lang w:bidi="ar-SY"/>
        </w:rPr>
        <w:t xml:space="preserve"> </w:t>
      </w:r>
      <w:r w:rsidR="00FE71E7" w:rsidRPr="003F3B94">
        <w:rPr>
          <w:rFonts w:hint="cs"/>
          <w:sz w:val="28"/>
          <w:rtl/>
          <w:lang w:bidi="ar-SY"/>
        </w:rPr>
        <w:t>فانتشلتها</w:t>
      </w:r>
      <w:r w:rsidR="00953581" w:rsidRPr="003F3B94">
        <w:rPr>
          <w:rFonts w:hint="cs"/>
          <w:sz w:val="28"/>
          <w:rtl/>
          <w:lang w:bidi="ar-SY"/>
        </w:rPr>
        <w:t xml:space="preserve"> </w:t>
      </w:r>
      <w:r w:rsidR="00FE71E7" w:rsidRPr="003F3B94">
        <w:rPr>
          <w:rFonts w:hint="cs"/>
          <w:sz w:val="28"/>
          <w:rtl/>
          <w:lang w:bidi="ar-SY"/>
        </w:rPr>
        <w:t>من</w:t>
      </w:r>
      <w:r w:rsidR="00953581" w:rsidRPr="003F3B94">
        <w:rPr>
          <w:rFonts w:hint="cs"/>
          <w:sz w:val="28"/>
          <w:rtl/>
          <w:lang w:bidi="ar-SY"/>
        </w:rPr>
        <w:t xml:space="preserve"> </w:t>
      </w:r>
      <w:r w:rsidR="00FE71E7" w:rsidRPr="003F3B94">
        <w:rPr>
          <w:rFonts w:hint="cs"/>
          <w:sz w:val="28"/>
          <w:rtl/>
          <w:lang w:bidi="ar-SY"/>
        </w:rPr>
        <w:t>مستنقع</w:t>
      </w:r>
      <w:r w:rsidR="00953581" w:rsidRPr="003F3B94">
        <w:rPr>
          <w:rFonts w:hint="cs"/>
          <w:sz w:val="28"/>
          <w:rtl/>
          <w:lang w:bidi="ar-SY"/>
        </w:rPr>
        <w:t xml:space="preserve"> </w:t>
      </w:r>
      <w:r w:rsidR="00FE71E7" w:rsidRPr="003F3B94">
        <w:rPr>
          <w:rFonts w:hint="cs"/>
          <w:sz w:val="28"/>
          <w:rtl/>
          <w:lang w:bidi="ar-SY"/>
        </w:rPr>
        <w:t>اله</w:t>
      </w:r>
      <w:r w:rsidR="008A2A49" w:rsidRPr="003F3B94">
        <w:rPr>
          <w:rFonts w:hint="cs"/>
          <w:sz w:val="28"/>
          <w:rtl/>
          <w:lang w:bidi="ar-SY"/>
        </w:rPr>
        <w:t>لا</w:t>
      </w:r>
      <w:r w:rsidR="00FE71E7" w:rsidRPr="003F3B94">
        <w:rPr>
          <w:rFonts w:hint="cs"/>
          <w:sz w:val="28"/>
          <w:rtl/>
          <w:lang w:bidi="ar-SY"/>
        </w:rPr>
        <w:t>ك</w:t>
      </w:r>
      <w:r w:rsidR="00953581" w:rsidRPr="003F3B94">
        <w:rPr>
          <w:rFonts w:hint="cs"/>
          <w:sz w:val="28"/>
          <w:rtl/>
          <w:lang w:bidi="ar-SY"/>
        </w:rPr>
        <w:t xml:space="preserve"> </w:t>
      </w:r>
      <w:r w:rsidR="00567F50" w:rsidRPr="003F3B94">
        <w:rPr>
          <w:rFonts w:hint="cs"/>
          <w:sz w:val="28"/>
          <w:rtl/>
          <w:lang w:bidi="ar-SY"/>
        </w:rPr>
        <w:t>إلى</w:t>
      </w:r>
      <w:r w:rsidR="00953581" w:rsidRPr="003F3B94">
        <w:rPr>
          <w:rFonts w:hint="cs"/>
          <w:sz w:val="28"/>
          <w:rtl/>
          <w:lang w:bidi="ar-SY"/>
        </w:rPr>
        <w:t xml:space="preserve"> </w:t>
      </w:r>
      <w:r w:rsidR="00567F50" w:rsidRPr="003F3B94">
        <w:rPr>
          <w:rFonts w:hint="cs"/>
          <w:sz w:val="28"/>
          <w:rtl/>
          <w:lang w:bidi="ar-SY"/>
        </w:rPr>
        <w:t>أرفع</w:t>
      </w:r>
      <w:r w:rsidR="00953581" w:rsidRPr="003F3B94">
        <w:rPr>
          <w:rFonts w:hint="cs"/>
          <w:sz w:val="28"/>
          <w:rtl/>
          <w:lang w:bidi="ar-SY"/>
        </w:rPr>
        <w:t xml:space="preserve"> </w:t>
      </w:r>
      <w:r w:rsidR="00567F50" w:rsidRPr="003F3B94">
        <w:rPr>
          <w:rFonts w:hint="cs"/>
          <w:sz w:val="28"/>
          <w:rtl/>
          <w:lang w:bidi="ar-SY"/>
        </w:rPr>
        <w:t>مقامٍ</w:t>
      </w:r>
      <w:r w:rsidR="00953581" w:rsidRPr="003F3B94">
        <w:rPr>
          <w:rFonts w:hint="cs"/>
          <w:sz w:val="28"/>
          <w:rtl/>
          <w:lang w:bidi="ar-SY"/>
        </w:rPr>
        <w:t xml:space="preserve"> </w:t>
      </w:r>
      <w:r w:rsidR="00A76EDD" w:rsidRPr="003F3B94">
        <w:rPr>
          <w:rFonts w:hint="cs"/>
          <w:sz w:val="28"/>
          <w:rtl/>
          <w:lang w:bidi="ar-SY"/>
        </w:rPr>
        <w:t>من</w:t>
      </w:r>
      <w:r w:rsidR="00953581" w:rsidRPr="003F3B94">
        <w:rPr>
          <w:rFonts w:hint="cs"/>
          <w:sz w:val="28"/>
          <w:rtl/>
          <w:lang w:bidi="ar-SY"/>
        </w:rPr>
        <w:t xml:space="preserve"> </w:t>
      </w:r>
      <w:r w:rsidR="00A76EDD" w:rsidRPr="003F3B94">
        <w:rPr>
          <w:rFonts w:hint="cs"/>
          <w:sz w:val="28"/>
          <w:rtl/>
          <w:lang w:bidi="ar-SY"/>
        </w:rPr>
        <w:t>ا</w:t>
      </w:r>
      <w:r w:rsidR="00567F50" w:rsidRPr="003F3B94">
        <w:rPr>
          <w:rFonts w:hint="cs"/>
          <w:sz w:val="28"/>
          <w:rtl/>
          <w:lang w:bidi="ar-SY"/>
        </w:rPr>
        <w:t>لحضارة</w:t>
      </w:r>
      <w:r w:rsidR="00953581" w:rsidRPr="003F3B94">
        <w:rPr>
          <w:rFonts w:hint="cs"/>
          <w:sz w:val="28"/>
          <w:rtl/>
          <w:lang w:bidi="ar-SY"/>
        </w:rPr>
        <w:t xml:space="preserve"> </w:t>
      </w:r>
      <w:r w:rsidR="00567F50" w:rsidRPr="003F3B94">
        <w:rPr>
          <w:rFonts w:hint="cs"/>
          <w:sz w:val="28"/>
          <w:rtl/>
          <w:lang w:bidi="ar-SY"/>
        </w:rPr>
        <w:t>وا</w:t>
      </w:r>
      <w:r w:rsidR="008A2A49" w:rsidRPr="003F3B94">
        <w:rPr>
          <w:rFonts w:hint="cs"/>
          <w:sz w:val="28"/>
          <w:rtl/>
          <w:lang w:bidi="ar-SY"/>
        </w:rPr>
        <w:t>لإ</w:t>
      </w:r>
      <w:r w:rsidR="00567F50" w:rsidRPr="003F3B94">
        <w:rPr>
          <w:rFonts w:hint="cs"/>
          <w:sz w:val="28"/>
          <w:rtl/>
          <w:lang w:bidi="ar-SY"/>
        </w:rPr>
        <w:t>نسانية</w:t>
      </w:r>
      <w:r w:rsidR="00953581" w:rsidRPr="003F3B94">
        <w:rPr>
          <w:rFonts w:hint="cs"/>
          <w:sz w:val="28"/>
          <w:rtl/>
          <w:lang w:bidi="ar-SY"/>
        </w:rPr>
        <w:t xml:space="preserve"> </w:t>
      </w:r>
      <w:r w:rsidR="00A76EDD" w:rsidRPr="003F3B94">
        <w:rPr>
          <w:rFonts w:hint="cs"/>
          <w:sz w:val="28"/>
          <w:rtl/>
          <w:lang w:bidi="ar-SY"/>
        </w:rPr>
        <w:t>وارتقت</w:t>
      </w:r>
      <w:r w:rsidR="00953581" w:rsidRPr="003F3B94">
        <w:rPr>
          <w:rFonts w:hint="cs"/>
          <w:sz w:val="28"/>
          <w:rtl/>
          <w:lang w:bidi="ar-SY"/>
        </w:rPr>
        <w:t xml:space="preserve"> </w:t>
      </w:r>
      <w:r w:rsidR="00A76EDD" w:rsidRPr="003F3B94">
        <w:rPr>
          <w:rFonts w:hint="cs"/>
          <w:sz w:val="28"/>
          <w:rtl/>
          <w:lang w:bidi="ar-SY"/>
        </w:rPr>
        <w:t>بجسمه</w:t>
      </w:r>
      <w:r w:rsidR="00027EEC" w:rsidRPr="003F3B94">
        <w:rPr>
          <w:rFonts w:hint="cs"/>
          <w:sz w:val="28"/>
          <w:rtl/>
          <w:lang w:bidi="ar-SY"/>
        </w:rPr>
        <w:t>ا</w:t>
      </w:r>
      <w:r w:rsidR="00953581" w:rsidRPr="003F3B94">
        <w:rPr>
          <w:rFonts w:hint="cs"/>
          <w:sz w:val="28"/>
          <w:rtl/>
          <w:lang w:bidi="ar-SY"/>
        </w:rPr>
        <w:t xml:space="preserve"> </w:t>
      </w:r>
      <w:r w:rsidR="00A76EDD" w:rsidRPr="003F3B94">
        <w:rPr>
          <w:rFonts w:hint="cs"/>
          <w:sz w:val="28"/>
          <w:rtl/>
          <w:lang w:bidi="ar-SY"/>
        </w:rPr>
        <w:t>وروحه</w:t>
      </w:r>
      <w:r w:rsidR="00027EEC" w:rsidRPr="003F3B94">
        <w:rPr>
          <w:rFonts w:hint="cs"/>
          <w:sz w:val="28"/>
          <w:rtl/>
          <w:lang w:bidi="ar-SY"/>
        </w:rPr>
        <w:t>ا</w:t>
      </w:r>
      <w:r w:rsidR="00953581" w:rsidRPr="003F3B94">
        <w:rPr>
          <w:rFonts w:hint="cs"/>
          <w:sz w:val="28"/>
          <w:rtl/>
          <w:lang w:bidi="ar-SY"/>
        </w:rPr>
        <w:t xml:space="preserve"> </w:t>
      </w:r>
      <w:r w:rsidR="00A76EDD" w:rsidRPr="003F3B94">
        <w:rPr>
          <w:rFonts w:hint="cs"/>
          <w:sz w:val="28"/>
          <w:rtl/>
          <w:lang w:bidi="ar-SY"/>
        </w:rPr>
        <w:t>إلى</w:t>
      </w:r>
      <w:r w:rsidR="00953581" w:rsidRPr="003F3B94">
        <w:rPr>
          <w:rFonts w:hint="cs"/>
          <w:sz w:val="28"/>
          <w:rtl/>
          <w:lang w:bidi="ar-SY"/>
        </w:rPr>
        <w:t xml:space="preserve"> </w:t>
      </w:r>
      <w:r w:rsidR="00A76EDD" w:rsidRPr="003F3B94">
        <w:rPr>
          <w:rFonts w:hint="cs"/>
          <w:sz w:val="28"/>
          <w:rtl/>
          <w:lang w:bidi="ar-SY"/>
        </w:rPr>
        <w:t>أعلى</w:t>
      </w:r>
      <w:r w:rsidR="00953581" w:rsidRPr="003F3B94">
        <w:rPr>
          <w:rFonts w:hint="cs"/>
          <w:sz w:val="28"/>
          <w:rtl/>
          <w:lang w:bidi="ar-SY"/>
        </w:rPr>
        <w:t xml:space="preserve"> </w:t>
      </w:r>
      <w:r w:rsidR="00A76EDD" w:rsidRPr="003F3B94">
        <w:rPr>
          <w:rFonts w:hint="cs"/>
          <w:sz w:val="28"/>
          <w:rtl/>
          <w:lang w:bidi="ar-SY"/>
        </w:rPr>
        <w:t>مقامٍ</w:t>
      </w:r>
      <w:r w:rsidR="00953581" w:rsidRPr="003F3B94">
        <w:rPr>
          <w:rFonts w:hint="cs"/>
          <w:sz w:val="28"/>
          <w:rtl/>
          <w:lang w:bidi="ar-SY"/>
        </w:rPr>
        <w:t xml:space="preserve"> </w:t>
      </w:r>
      <w:r w:rsidR="00A76EDD" w:rsidRPr="003F3B94">
        <w:rPr>
          <w:rFonts w:hint="cs"/>
          <w:sz w:val="28"/>
          <w:rtl/>
          <w:lang w:bidi="ar-SY"/>
        </w:rPr>
        <w:t>يليق</w:t>
      </w:r>
      <w:r w:rsidR="00953581" w:rsidRPr="003F3B94">
        <w:rPr>
          <w:rFonts w:hint="cs"/>
          <w:sz w:val="28"/>
          <w:rtl/>
          <w:lang w:bidi="ar-SY"/>
        </w:rPr>
        <w:t xml:space="preserve"> </w:t>
      </w:r>
      <w:r w:rsidR="00A76EDD" w:rsidRPr="003F3B94">
        <w:rPr>
          <w:rFonts w:hint="cs"/>
          <w:sz w:val="28"/>
          <w:rtl/>
          <w:lang w:bidi="ar-SY"/>
        </w:rPr>
        <w:t>بهذا</w:t>
      </w:r>
      <w:r w:rsidR="00953581" w:rsidRPr="003F3B94">
        <w:rPr>
          <w:rFonts w:hint="cs"/>
          <w:sz w:val="28"/>
          <w:rtl/>
          <w:lang w:bidi="ar-SY"/>
        </w:rPr>
        <w:t xml:space="preserve"> </w:t>
      </w:r>
      <w:r w:rsidR="00A76EDD" w:rsidRPr="003F3B94">
        <w:rPr>
          <w:rFonts w:hint="cs"/>
          <w:sz w:val="28"/>
          <w:rtl/>
          <w:lang w:bidi="ar-SY"/>
        </w:rPr>
        <w:t>ا</w:t>
      </w:r>
      <w:r w:rsidR="008A2A49" w:rsidRPr="003F3B94">
        <w:rPr>
          <w:rFonts w:hint="cs"/>
          <w:sz w:val="28"/>
          <w:rtl/>
          <w:lang w:bidi="ar-SY"/>
        </w:rPr>
        <w:t>لإ</w:t>
      </w:r>
      <w:r w:rsidR="00A76EDD" w:rsidRPr="003F3B94">
        <w:rPr>
          <w:rFonts w:hint="cs"/>
          <w:sz w:val="28"/>
          <w:rtl/>
          <w:lang w:bidi="ar-SY"/>
        </w:rPr>
        <w:t>نسان</w:t>
      </w:r>
      <w:r w:rsidR="00953581" w:rsidRPr="003F3B94">
        <w:rPr>
          <w:rFonts w:hint="cs"/>
          <w:sz w:val="28"/>
          <w:rtl/>
          <w:lang w:bidi="ar-SY"/>
        </w:rPr>
        <w:t xml:space="preserve"> </w:t>
      </w:r>
      <w:r w:rsidR="00A76EDD" w:rsidRPr="003F3B94">
        <w:rPr>
          <w:rFonts w:hint="cs"/>
          <w:sz w:val="28"/>
          <w:rtl/>
          <w:lang w:bidi="ar-SY"/>
        </w:rPr>
        <w:t>وأرفعه</w:t>
      </w:r>
      <w:r w:rsidR="00217AB4" w:rsidRPr="003F3B94">
        <w:rPr>
          <w:rFonts w:hint="cs"/>
          <w:sz w:val="28"/>
          <w:rtl/>
          <w:lang w:bidi="ar-SY"/>
        </w:rPr>
        <w:t>.</w:t>
      </w:r>
      <w:r w:rsidR="00953581" w:rsidRPr="003F3B94">
        <w:rPr>
          <w:rFonts w:hint="cs"/>
          <w:sz w:val="28"/>
          <w:rtl/>
          <w:lang w:bidi="ar-SY"/>
        </w:rPr>
        <w:t xml:space="preserve"> </w:t>
      </w:r>
    </w:p>
    <w:p w:rsidR="006E7B3A" w:rsidRPr="00995B26" w:rsidRDefault="001D43FE" w:rsidP="003F3B94">
      <w:pPr>
        <w:pStyle w:val="a0"/>
        <w:rPr>
          <w:rFonts w:hint="cs"/>
          <w:rtl/>
          <w:lang w:bidi="ar-SY"/>
        </w:rPr>
      </w:pPr>
      <w:r w:rsidRPr="003F3B94">
        <w:rPr>
          <w:rFonts w:hint="cs"/>
          <w:sz w:val="28"/>
          <w:rtl/>
          <w:lang w:bidi="ar-SY"/>
        </w:rPr>
        <w:t>لقد</w:t>
      </w:r>
      <w:r w:rsidR="00953581" w:rsidRPr="003F3B94">
        <w:rPr>
          <w:rFonts w:hint="cs"/>
          <w:sz w:val="28"/>
          <w:rtl/>
          <w:lang w:bidi="ar-SY"/>
        </w:rPr>
        <w:t xml:space="preserve"> </w:t>
      </w:r>
      <w:r w:rsidRPr="003F3B94">
        <w:rPr>
          <w:rFonts w:hint="cs"/>
          <w:sz w:val="28"/>
          <w:rtl/>
          <w:lang w:bidi="ar-SY"/>
        </w:rPr>
        <w:t>أنقذ</w:t>
      </w:r>
      <w:r w:rsidR="00953581" w:rsidRPr="003F3B94">
        <w:rPr>
          <w:rFonts w:hint="cs"/>
          <w:sz w:val="28"/>
          <w:rtl/>
          <w:lang w:bidi="ar-SY"/>
        </w:rPr>
        <w:t xml:space="preserve"> </w:t>
      </w:r>
      <w:r w:rsidRPr="003F3B94">
        <w:rPr>
          <w:rFonts w:hint="cs"/>
          <w:sz w:val="28"/>
          <w:rtl/>
          <w:lang w:bidi="ar-SY"/>
        </w:rPr>
        <w:t>ا</w:t>
      </w:r>
      <w:r w:rsidR="008A2A49" w:rsidRPr="003F3B94">
        <w:rPr>
          <w:rFonts w:hint="cs"/>
          <w:sz w:val="28"/>
          <w:rtl/>
          <w:lang w:bidi="ar-SY"/>
        </w:rPr>
        <w:t>لإ</w:t>
      </w:r>
      <w:r w:rsidRPr="003F3B94">
        <w:rPr>
          <w:rFonts w:hint="cs"/>
          <w:sz w:val="28"/>
          <w:rtl/>
          <w:lang w:bidi="ar-SY"/>
        </w:rPr>
        <w:t>س</w:t>
      </w:r>
      <w:r w:rsidR="008A2A49" w:rsidRPr="003F3B94">
        <w:rPr>
          <w:rFonts w:hint="cs"/>
          <w:sz w:val="28"/>
          <w:rtl/>
          <w:lang w:bidi="ar-SY"/>
        </w:rPr>
        <w:t>لا</w:t>
      </w:r>
      <w:r w:rsidRPr="003F3B94">
        <w:rPr>
          <w:rFonts w:hint="cs"/>
          <w:sz w:val="28"/>
          <w:rtl/>
          <w:lang w:bidi="ar-SY"/>
        </w:rPr>
        <w:t>م</w:t>
      </w:r>
      <w:r w:rsidR="00953581" w:rsidRPr="003F3B94">
        <w:rPr>
          <w:rFonts w:hint="cs"/>
          <w:sz w:val="28"/>
          <w:rtl/>
          <w:lang w:bidi="ar-SY"/>
        </w:rPr>
        <w:t xml:space="preserve"> </w:t>
      </w:r>
      <w:r w:rsidRPr="003F3B94">
        <w:rPr>
          <w:rFonts w:hint="cs"/>
          <w:sz w:val="28"/>
          <w:rtl/>
          <w:lang w:bidi="ar-SY"/>
        </w:rPr>
        <w:t>جسم</w:t>
      </w:r>
      <w:r w:rsidR="00953581" w:rsidRPr="003F3B94">
        <w:rPr>
          <w:rFonts w:hint="cs"/>
          <w:sz w:val="28"/>
          <w:rtl/>
          <w:lang w:bidi="ar-SY"/>
        </w:rPr>
        <w:t xml:space="preserve"> </w:t>
      </w:r>
      <w:r w:rsidRPr="003F3B94">
        <w:rPr>
          <w:rFonts w:hint="cs"/>
          <w:sz w:val="28"/>
          <w:rtl/>
          <w:lang w:bidi="ar-SY"/>
        </w:rPr>
        <w:t>ا</w:t>
      </w:r>
      <w:r w:rsidR="008A2A49" w:rsidRPr="003F3B94">
        <w:rPr>
          <w:rFonts w:hint="cs"/>
          <w:sz w:val="28"/>
          <w:rtl/>
          <w:lang w:bidi="ar-SY"/>
        </w:rPr>
        <w:t>لإ</w:t>
      </w:r>
      <w:r w:rsidRPr="003F3B94">
        <w:rPr>
          <w:rFonts w:hint="cs"/>
          <w:sz w:val="28"/>
          <w:rtl/>
          <w:lang w:bidi="ar-SY"/>
        </w:rPr>
        <w:t>نسان</w:t>
      </w:r>
      <w:r w:rsidR="00953581" w:rsidRPr="003F3B94">
        <w:rPr>
          <w:rFonts w:hint="cs"/>
          <w:sz w:val="28"/>
          <w:rtl/>
          <w:lang w:bidi="ar-SY"/>
        </w:rPr>
        <w:t xml:space="preserve"> </w:t>
      </w:r>
      <w:r w:rsidRPr="003F3B94">
        <w:rPr>
          <w:rFonts w:hint="cs"/>
          <w:sz w:val="28"/>
          <w:rtl/>
          <w:lang w:bidi="ar-SY"/>
        </w:rPr>
        <w:t>بتخليصه</w:t>
      </w:r>
      <w:r w:rsidR="00953581" w:rsidRPr="003F3B94">
        <w:rPr>
          <w:rFonts w:hint="cs"/>
          <w:sz w:val="28"/>
          <w:rtl/>
          <w:lang w:bidi="ar-SY"/>
        </w:rPr>
        <w:t xml:space="preserve"> </w:t>
      </w:r>
      <w:r w:rsidRPr="003F3B94">
        <w:rPr>
          <w:rFonts w:hint="cs"/>
          <w:sz w:val="28"/>
          <w:rtl/>
          <w:lang w:bidi="ar-SY"/>
        </w:rPr>
        <w:t>من</w:t>
      </w:r>
      <w:r w:rsidR="00953581" w:rsidRPr="003F3B94">
        <w:rPr>
          <w:rFonts w:hint="cs"/>
          <w:sz w:val="28"/>
          <w:rtl/>
          <w:lang w:bidi="ar-SY"/>
        </w:rPr>
        <w:t xml:space="preserve"> </w:t>
      </w:r>
      <w:r w:rsidRPr="003F3B94">
        <w:rPr>
          <w:rFonts w:hint="cs"/>
          <w:sz w:val="28"/>
          <w:rtl/>
          <w:lang w:bidi="ar-SY"/>
        </w:rPr>
        <w:t>ا</w:t>
      </w:r>
      <w:r w:rsidR="008A2A49" w:rsidRPr="003F3B94">
        <w:rPr>
          <w:rFonts w:hint="cs"/>
          <w:sz w:val="28"/>
          <w:rtl/>
          <w:lang w:bidi="ar-SY"/>
        </w:rPr>
        <w:t>لأ</w:t>
      </w:r>
      <w:r w:rsidRPr="003F3B94">
        <w:rPr>
          <w:rFonts w:hint="cs"/>
          <w:sz w:val="28"/>
          <w:rtl/>
          <w:lang w:bidi="ar-SY"/>
        </w:rPr>
        <w:t>عمال</w:t>
      </w:r>
      <w:r w:rsidR="00953581" w:rsidRPr="003F3B94">
        <w:rPr>
          <w:rFonts w:hint="cs"/>
          <w:sz w:val="28"/>
          <w:rtl/>
          <w:lang w:bidi="ar-SY"/>
        </w:rPr>
        <w:t xml:space="preserve"> </w:t>
      </w:r>
      <w:r w:rsidRPr="003F3B94">
        <w:rPr>
          <w:rFonts w:hint="cs"/>
          <w:sz w:val="28"/>
          <w:rtl/>
          <w:lang w:bidi="ar-SY"/>
        </w:rPr>
        <w:t>الشاقة</w:t>
      </w:r>
      <w:r w:rsidR="00953581" w:rsidRPr="003F3B94">
        <w:rPr>
          <w:rFonts w:hint="cs"/>
          <w:sz w:val="28"/>
          <w:rtl/>
          <w:lang w:bidi="ar-SY"/>
        </w:rPr>
        <w:t xml:space="preserve"> </w:t>
      </w:r>
      <w:r w:rsidRPr="003F3B94">
        <w:rPr>
          <w:rFonts w:hint="cs"/>
          <w:sz w:val="28"/>
          <w:rtl/>
          <w:lang w:bidi="ar-SY"/>
        </w:rPr>
        <w:t>لحمل</w:t>
      </w:r>
      <w:r w:rsidR="00953581" w:rsidRPr="003F3B94">
        <w:rPr>
          <w:rFonts w:hint="cs"/>
          <w:sz w:val="28"/>
          <w:rtl/>
          <w:lang w:bidi="ar-SY"/>
        </w:rPr>
        <w:t xml:space="preserve"> </w:t>
      </w:r>
      <w:r w:rsidRPr="003F3B94">
        <w:rPr>
          <w:rFonts w:hint="cs"/>
          <w:sz w:val="28"/>
          <w:rtl/>
          <w:lang w:bidi="ar-SY"/>
        </w:rPr>
        <w:t>أثقال</w:t>
      </w:r>
      <w:r w:rsidR="00953581" w:rsidRPr="003F3B94">
        <w:rPr>
          <w:rFonts w:hint="cs"/>
          <w:sz w:val="28"/>
          <w:rtl/>
          <w:lang w:bidi="ar-SY"/>
        </w:rPr>
        <w:t xml:space="preserve"> </w:t>
      </w:r>
      <w:r w:rsidRPr="003F3B94">
        <w:rPr>
          <w:rFonts w:hint="cs"/>
          <w:sz w:val="28"/>
          <w:rtl/>
          <w:lang w:bidi="ar-SY"/>
        </w:rPr>
        <w:t>طاعة</w:t>
      </w:r>
      <w:r w:rsidR="00953581" w:rsidRPr="003F3B94">
        <w:rPr>
          <w:rFonts w:hint="cs"/>
          <w:sz w:val="28"/>
          <w:rtl/>
          <w:lang w:bidi="ar-SY"/>
        </w:rPr>
        <w:t xml:space="preserve"> </w:t>
      </w:r>
      <w:r w:rsidRPr="003F3B94">
        <w:rPr>
          <w:rFonts w:hint="cs"/>
          <w:sz w:val="28"/>
          <w:rtl/>
          <w:lang w:bidi="ar-SY"/>
        </w:rPr>
        <w:t>الجبابرة</w:t>
      </w:r>
      <w:r w:rsidR="00953581" w:rsidRPr="003F3B94">
        <w:rPr>
          <w:rFonts w:hint="cs"/>
          <w:sz w:val="28"/>
          <w:rtl/>
          <w:lang w:bidi="ar-SY"/>
        </w:rPr>
        <w:t xml:space="preserve"> </w:t>
      </w:r>
      <w:r w:rsidRPr="003F3B94">
        <w:rPr>
          <w:rFonts w:hint="cs"/>
          <w:sz w:val="28"/>
          <w:rtl/>
          <w:lang w:bidi="ar-SY"/>
        </w:rPr>
        <w:t>أو</w:t>
      </w:r>
      <w:r w:rsidR="00953581" w:rsidRPr="003F3B94">
        <w:rPr>
          <w:rFonts w:hint="cs"/>
          <w:sz w:val="28"/>
          <w:rtl/>
          <w:lang w:bidi="ar-SY"/>
        </w:rPr>
        <w:t xml:space="preserve"> </w:t>
      </w:r>
      <w:r w:rsidRPr="003F3B94">
        <w:rPr>
          <w:rFonts w:hint="cs"/>
          <w:sz w:val="28"/>
          <w:rtl/>
          <w:lang w:bidi="ar-SY"/>
        </w:rPr>
        <w:t>مشقات</w:t>
      </w:r>
      <w:r w:rsidR="00953581" w:rsidRPr="003F3B94">
        <w:rPr>
          <w:rFonts w:hint="cs"/>
          <w:sz w:val="28"/>
          <w:rtl/>
          <w:lang w:bidi="ar-SY"/>
        </w:rPr>
        <w:t xml:space="preserve"> </w:t>
      </w:r>
      <w:r w:rsidRPr="003F3B94">
        <w:rPr>
          <w:rFonts w:hint="cs"/>
          <w:sz w:val="28"/>
          <w:rtl/>
          <w:lang w:bidi="ar-SY"/>
        </w:rPr>
        <w:t>الرياضات</w:t>
      </w:r>
      <w:r w:rsidR="00953581" w:rsidRPr="003F3B94">
        <w:rPr>
          <w:rFonts w:hint="cs"/>
          <w:sz w:val="28"/>
          <w:rtl/>
          <w:lang w:bidi="ar-SY"/>
        </w:rPr>
        <w:t xml:space="preserve"> </w:t>
      </w:r>
      <w:r w:rsidRPr="003F3B94">
        <w:rPr>
          <w:rFonts w:hint="cs"/>
          <w:sz w:val="28"/>
          <w:rtl/>
          <w:lang w:bidi="ar-SY"/>
        </w:rPr>
        <w:t>الروحية</w:t>
      </w:r>
      <w:r w:rsidR="00953581" w:rsidRPr="003F3B94">
        <w:rPr>
          <w:rFonts w:hint="cs"/>
          <w:sz w:val="28"/>
          <w:rtl/>
          <w:lang w:bidi="ar-SY"/>
        </w:rPr>
        <w:t xml:space="preserve"> </w:t>
      </w:r>
      <w:r w:rsidRPr="003F3B94">
        <w:rPr>
          <w:rFonts w:hint="cs"/>
          <w:sz w:val="28"/>
          <w:rtl/>
          <w:lang w:bidi="ar-SY"/>
        </w:rPr>
        <w:t>القاسية</w:t>
      </w:r>
      <w:r w:rsidR="00953581" w:rsidRPr="003F3B94">
        <w:rPr>
          <w:rFonts w:hint="cs"/>
          <w:sz w:val="28"/>
          <w:rtl/>
          <w:lang w:bidi="ar-SY"/>
        </w:rPr>
        <w:t xml:space="preserve"> </w:t>
      </w:r>
      <w:r w:rsidRPr="003F3B94">
        <w:rPr>
          <w:rFonts w:hint="cs"/>
          <w:sz w:val="28"/>
          <w:rtl/>
          <w:lang w:bidi="ar-SY"/>
        </w:rPr>
        <w:t>لت</w:t>
      </w:r>
      <w:r w:rsidR="00027EEC" w:rsidRPr="003F3B94">
        <w:rPr>
          <w:rFonts w:hint="cs"/>
          <w:sz w:val="28"/>
          <w:rtl/>
          <w:lang w:bidi="ar-SY"/>
        </w:rPr>
        <w:t>عاليم</w:t>
      </w:r>
      <w:r w:rsidR="00953581" w:rsidRPr="003F3B94">
        <w:rPr>
          <w:rFonts w:hint="cs"/>
          <w:sz w:val="28"/>
          <w:rtl/>
          <w:lang w:bidi="ar-SY"/>
        </w:rPr>
        <w:t xml:space="preserve"> </w:t>
      </w:r>
      <w:r w:rsidR="00027EEC" w:rsidRPr="003F3B94">
        <w:rPr>
          <w:rFonts w:hint="cs"/>
          <w:sz w:val="28"/>
          <w:rtl/>
          <w:lang w:bidi="ar-SY"/>
        </w:rPr>
        <w:t>ا</w:t>
      </w:r>
      <w:r w:rsidR="008A2A49" w:rsidRPr="003F3B94">
        <w:rPr>
          <w:rFonts w:hint="cs"/>
          <w:sz w:val="28"/>
          <w:rtl/>
          <w:lang w:bidi="ar-SY"/>
        </w:rPr>
        <w:t>لأ</w:t>
      </w:r>
      <w:r w:rsidR="00027EEC" w:rsidRPr="003F3B94">
        <w:rPr>
          <w:rFonts w:hint="cs"/>
          <w:sz w:val="28"/>
          <w:rtl/>
          <w:lang w:bidi="ar-SY"/>
        </w:rPr>
        <w:t>حبار</w:t>
      </w:r>
      <w:r w:rsidR="00953581" w:rsidRPr="003F3B94">
        <w:rPr>
          <w:rFonts w:hint="cs"/>
          <w:sz w:val="28"/>
          <w:rtl/>
          <w:lang w:bidi="ar-SY"/>
        </w:rPr>
        <w:t xml:space="preserve"> </w:t>
      </w:r>
      <w:r w:rsidR="00027EEC" w:rsidRPr="003F3B94">
        <w:rPr>
          <w:rFonts w:hint="cs"/>
          <w:sz w:val="28"/>
          <w:rtl/>
          <w:lang w:bidi="ar-SY"/>
        </w:rPr>
        <w:t>والرهبان</w:t>
      </w:r>
      <w:r w:rsidR="00953581" w:rsidRPr="003F3B94">
        <w:rPr>
          <w:rFonts w:hint="cs"/>
          <w:sz w:val="28"/>
          <w:rtl/>
          <w:lang w:bidi="ar-SY"/>
        </w:rPr>
        <w:t xml:space="preserve"> </w:t>
      </w:r>
      <w:r w:rsidR="00027EEC" w:rsidRPr="003F3B94">
        <w:rPr>
          <w:rFonts w:hint="cs"/>
          <w:sz w:val="28"/>
          <w:rtl/>
          <w:lang w:bidi="ar-SY"/>
        </w:rPr>
        <w:t>كما</w:t>
      </w:r>
      <w:r w:rsidR="00953581" w:rsidRPr="003F3B94">
        <w:rPr>
          <w:rFonts w:hint="cs"/>
          <w:sz w:val="28"/>
          <w:rtl/>
          <w:lang w:bidi="ar-SY"/>
        </w:rPr>
        <w:t xml:space="preserve"> </w:t>
      </w:r>
      <w:r w:rsidR="00027EEC" w:rsidRPr="003F3B94">
        <w:rPr>
          <w:rFonts w:hint="cs"/>
          <w:sz w:val="28"/>
          <w:rtl/>
          <w:lang w:bidi="ar-SY"/>
        </w:rPr>
        <w:t>أنقذ</w:t>
      </w:r>
      <w:r w:rsidRPr="003F3B94">
        <w:rPr>
          <w:rFonts w:hint="cs"/>
          <w:sz w:val="28"/>
          <w:rtl/>
          <w:lang w:bidi="ar-SY"/>
        </w:rPr>
        <w:t>ه</w:t>
      </w:r>
      <w:r w:rsidR="00953581" w:rsidRPr="003F3B94">
        <w:rPr>
          <w:rFonts w:hint="cs"/>
          <w:sz w:val="28"/>
          <w:rtl/>
          <w:lang w:bidi="ar-SY"/>
        </w:rPr>
        <w:t xml:space="preserve"> </w:t>
      </w:r>
      <w:r w:rsidRPr="003F3B94">
        <w:rPr>
          <w:rFonts w:hint="cs"/>
          <w:sz w:val="28"/>
          <w:rtl/>
          <w:lang w:bidi="ar-SY"/>
        </w:rPr>
        <w:t>من</w:t>
      </w:r>
      <w:r w:rsidR="00953581" w:rsidRPr="003F3B94">
        <w:rPr>
          <w:rFonts w:hint="cs"/>
          <w:sz w:val="28"/>
          <w:rtl/>
          <w:lang w:bidi="ar-SY"/>
        </w:rPr>
        <w:t xml:space="preserve"> </w:t>
      </w:r>
      <w:r w:rsidRPr="003F3B94">
        <w:rPr>
          <w:rFonts w:hint="cs"/>
          <w:sz w:val="28"/>
          <w:rtl/>
          <w:lang w:bidi="ar-SY"/>
        </w:rPr>
        <w:t>رجس</w:t>
      </w:r>
      <w:r w:rsidR="00953581" w:rsidRPr="003F3B94">
        <w:rPr>
          <w:rFonts w:hint="cs"/>
          <w:sz w:val="28"/>
          <w:rtl/>
          <w:lang w:bidi="ar-SY"/>
        </w:rPr>
        <w:t xml:space="preserve"> </w:t>
      </w:r>
      <w:r w:rsidRPr="003F3B94">
        <w:rPr>
          <w:rFonts w:hint="cs"/>
          <w:sz w:val="28"/>
          <w:rtl/>
          <w:lang w:bidi="ar-SY"/>
        </w:rPr>
        <w:t>وخبائث</w:t>
      </w:r>
      <w:r w:rsidR="00953581" w:rsidRPr="003F3B94">
        <w:rPr>
          <w:rFonts w:hint="cs"/>
          <w:sz w:val="28"/>
          <w:rtl/>
          <w:lang w:bidi="ar-SY"/>
        </w:rPr>
        <w:t xml:space="preserve"> </w:t>
      </w:r>
      <w:r w:rsidRPr="003F3B94">
        <w:rPr>
          <w:rFonts w:hint="cs"/>
          <w:sz w:val="28"/>
          <w:rtl/>
          <w:lang w:bidi="ar-SY"/>
        </w:rPr>
        <w:t>ا</w:t>
      </w:r>
      <w:r w:rsidR="008A2A49" w:rsidRPr="003F3B94">
        <w:rPr>
          <w:rFonts w:hint="cs"/>
          <w:sz w:val="28"/>
          <w:rtl/>
          <w:lang w:bidi="ar-SY"/>
        </w:rPr>
        <w:t>لأ</w:t>
      </w:r>
      <w:r w:rsidRPr="003F3B94">
        <w:rPr>
          <w:rFonts w:hint="cs"/>
          <w:sz w:val="28"/>
          <w:rtl/>
          <w:lang w:bidi="ar-SY"/>
        </w:rPr>
        <w:t>طعمة</w:t>
      </w:r>
      <w:r w:rsidR="00953581" w:rsidRPr="003F3B94">
        <w:rPr>
          <w:rFonts w:hint="cs"/>
          <w:sz w:val="28"/>
          <w:rtl/>
          <w:lang w:bidi="ar-SY"/>
        </w:rPr>
        <w:t xml:space="preserve"> </w:t>
      </w:r>
      <w:r w:rsidRPr="003F3B94">
        <w:rPr>
          <w:rFonts w:hint="cs"/>
          <w:sz w:val="28"/>
          <w:rtl/>
          <w:lang w:bidi="ar-SY"/>
        </w:rPr>
        <w:t>وا</w:t>
      </w:r>
      <w:r w:rsidR="008A2A49" w:rsidRPr="003F3B94">
        <w:rPr>
          <w:rFonts w:hint="cs"/>
          <w:sz w:val="28"/>
          <w:rtl/>
          <w:lang w:bidi="ar-SY"/>
        </w:rPr>
        <w:t>لأ</w:t>
      </w:r>
      <w:r w:rsidRPr="003F3B94">
        <w:rPr>
          <w:rFonts w:hint="cs"/>
          <w:sz w:val="28"/>
          <w:rtl/>
          <w:lang w:bidi="ar-SY"/>
        </w:rPr>
        <w:t>شربة</w:t>
      </w:r>
      <w:r w:rsidR="00953581" w:rsidRPr="003F3B94">
        <w:rPr>
          <w:rFonts w:hint="cs"/>
          <w:sz w:val="28"/>
          <w:rtl/>
          <w:lang w:bidi="ar-SY"/>
        </w:rPr>
        <w:t xml:space="preserve"> </w:t>
      </w:r>
      <w:r w:rsidR="007449E0" w:rsidRPr="003F3B94">
        <w:rPr>
          <w:rFonts w:hint="cs"/>
          <w:sz w:val="28"/>
          <w:rtl/>
          <w:lang w:bidi="ar-SY"/>
        </w:rPr>
        <w:t>وهد</w:t>
      </w:r>
      <w:r w:rsidR="00027EEC" w:rsidRPr="003F3B94">
        <w:rPr>
          <w:rFonts w:hint="cs"/>
          <w:sz w:val="28"/>
          <w:rtl/>
          <w:lang w:bidi="ar-SY"/>
        </w:rPr>
        <w:t>ا</w:t>
      </w:r>
      <w:r w:rsidR="007449E0" w:rsidRPr="003F3B94">
        <w:rPr>
          <w:rFonts w:hint="cs"/>
          <w:sz w:val="28"/>
          <w:rtl/>
          <w:lang w:bidi="ar-SY"/>
        </w:rPr>
        <w:t>ه</w:t>
      </w:r>
      <w:r w:rsidR="00953581" w:rsidRPr="003F3B94">
        <w:rPr>
          <w:rFonts w:hint="cs"/>
          <w:sz w:val="28"/>
          <w:rtl/>
          <w:lang w:bidi="ar-SY"/>
        </w:rPr>
        <w:t xml:space="preserve"> </w:t>
      </w:r>
      <w:r w:rsidR="007449E0" w:rsidRPr="003F3B94">
        <w:rPr>
          <w:rFonts w:hint="cs"/>
          <w:sz w:val="28"/>
          <w:rtl/>
          <w:lang w:bidi="ar-SY"/>
        </w:rPr>
        <w:t>إلى</w:t>
      </w:r>
      <w:r w:rsidR="00953581" w:rsidRPr="003F3B94">
        <w:rPr>
          <w:rFonts w:hint="cs"/>
          <w:sz w:val="28"/>
          <w:rtl/>
          <w:lang w:bidi="ar-SY"/>
        </w:rPr>
        <w:t xml:space="preserve"> </w:t>
      </w:r>
      <w:r w:rsidR="007449E0" w:rsidRPr="003F3B94">
        <w:rPr>
          <w:rFonts w:hint="cs"/>
          <w:sz w:val="28"/>
          <w:rtl/>
          <w:lang w:bidi="ar-SY"/>
        </w:rPr>
        <w:t>الراحة</w:t>
      </w:r>
      <w:r w:rsidR="00953581" w:rsidRPr="003F3B94">
        <w:rPr>
          <w:rFonts w:hint="cs"/>
          <w:sz w:val="28"/>
          <w:rtl/>
          <w:lang w:bidi="ar-SY"/>
        </w:rPr>
        <w:t xml:space="preserve"> </w:t>
      </w:r>
      <w:r w:rsidR="007449E0" w:rsidRPr="003F3B94">
        <w:rPr>
          <w:rFonts w:hint="cs"/>
          <w:sz w:val="28"/>
          <w:rtl/>
          <w:lang w:bidi="ar-SY"/>
        </w:rPr>
        <w:t>والرفاه</w:t>
      </w:r>
      <w:r w:rsidR="00953581" w:rsidRPr="003F3B94">
        <w:rPr>
          <w:rFonts w:hint="cs"/>
          <w:sz w:val="28"/>
          <w:rtl/>
          <w:lang w:bidi="ar-SY"/>
        </w:rPr>
        <w:t xml:space="preserve"> </w:t>
      </w:r>
      <w:r w:rsidR="009A438E" w:rsidRPr="003F3B94">
        <w:rPr>
          <w:rFonts w:hint="cs"/>
          <w:sz w:val="28"/>
          <w:rtl/>
          <w:lang w:bidi="ar-SY"/>
        </w:rPr>
        <w:t>بطيبات</w:t>
      </w:r>
      <w:r w:rsidR="00953581" w:rsidRPr="003F3B94">
        <w:rPr>
          <w:rFonts w:hint="cs"/>
          <w:sz w:val="28"/>
          <w:rtl/>
          <w:lang w:bidi="ar-SY"/>
        </w:rPr>
        <w:t xml:space="preserve"> </w:t>
      </w:r>
      <w:r w:rsidR="009A438E" w:rsidRPr="003F3B94">
        <w:rPr>
          <w:rFonts w:hint="cs"/>
          <w:sz w:val="28"/>
          <w:rtl/>
          <w:lang w:bidi="ar-SY"/>
        </w:rPr>
        <w:t>ملذات</w:t>
      </w:r>
      <w:r w:rsidR="00953581" w:rsidRPr="003F3B94">
        <w:rPr>
          <w:rFonts w:hint="cs"/>
          <w:sz w:val="28"/>
          <w:rtl/>
          <w:lang w:bidi="ar-SY"/>
        </w:rPr>
        <w:t xml:space="preserve"> </w:t>
      </w:r>
      <w:r w:rsidR="009A438E" w:rsidRPr="003F3B94">
        <w:rPr>
          <w:rFonts w:hint="cs"/>
          <w:sz w:val="28"/>
          <w:rtl/>
          <w:lang w:bidi="ar-SY"/>
        </w:rPr>
        <w:t>الحياة</w:t>
      </w:r>
      <w:r w:rsidR="00953581" w:rsidRPr="003F3B94">
        <w:rPr>
          <w:rFonts w:hint="cs"/>
          <w:sz w:val="28"/>
          <w:rtl/>
          <w:lang w:bidi="ar-SY"/>
        </w:rPr>
        <w:t xml:space="preserve"> </w:t>
      </w:r>
      <w:r w:rsidR="009A438E" w:rsidRPr="003F3B94">
        <w:rPr>
          <w:rFonts w:hint="cs"/>
          <w:sz w:val="28"/>
          <w:rtl/>
          <w:lang w:bidi="ar-SY"/>
        </w:rPr>
        <w:t>من</w:t>
      </w:r>
      <w:r w:rsidR="00953581" w:rsidRPr="003F3B94">
        <w:rPr>
          <w:rFonts w:hint="cs"/>
          <w:sz w:val="28"/>
          <w:rtl/>
          <w:lang w:bidi="ar-SY"/>
        </w:rPr>
        <w:t xml:space="preserve"> </w:t>
      </w:r>
      <w:r w:rsidR="009A438E" w:rsidRPr="003F3B94">
        <w:rPr>
          <w:rFonts w:hint="cs"/>
          <w:sz w:val="28"/>
          <w:rtl/>
          <w:lang w:bidi="ar-SY"/>
        </w:rPr>
        <w:t>طعام</w:t>
      </w:r>
      <w:r w:rsidR="00953581" w:rsidRPr="003F3B94">
        <w:rPr>
          <w:rFonts w:hint="cs"/>
          <w:sz w:val="28"/>
          <w:rtl/>
          <w:lang w:bidi="ar-SY"/>
        </w:rPr>
        <w:t xml:space="preserve"> </w:t>
      </w:r>
      <w:r w:rsidR="009A438E" w:rsidRPr="003F3B94">
        <w:rPr>
          <w:rFonts w:hint="cs"/>
          <w:sz w:val="28"/>
          <w:rtl/>
          <w:lang w:bidi="ar-SY"/>
        </w:rPr>
        <w:t>ونكاح</w:t>
      </w:r>
      <w:r w:rsidR="00217AB4" w:rsidRPr="003F3B94">
        <w:rPr>
          <w:rFonts w:hint="cs"/>
          <w:sz w:val="28"/>
          <w:rtl/>
          <w:lang w:bidi="ar-SY"/>
        </w:rPr>
        <w:t>،</w:t>
      </w:r>
      <w:r w:rsidR="00953581" w:rsidRPr="003F3B94">
        <w:rPr>
          <w:rFonts w:hint="cs"/>
          <w:sz w:val="28"/>
          <w:rtl/>
          <w:lang w:bidi="ar-SY"/>
        </w:rPr>
        <w:t xml:space="preserve"> </w:t>
      </w:r>
      <w:r w:rsidR="00027EEC" w:rsidRPr="003F3B94">
        <w:rPr>
          <w:rFonts w:hint="cs"/>
          <w:sz w:val="28"/>
          <w:rtl/>
          <w:lang w:bidi="ar-SY"/>
        </w:rPr>
        <w:t>كما</w:t>
      </w:r>
      <w:r w:rsidR="00953581" w:rsidRPr="003F3B94">
        <w:rPr>
          <w:rFonts w:hint="cs"/>
          <w:sz w:val="28"/>
          <w:rtl/>
          <w:lang w:bidi="ar-SY"/>
        </w:rPr>
        <w:t xml:space="preserve"> </w:t>
      </w:r>
      <w:r w:rsidR="00027EEC" w:rsidRPr="003F3B94">
        <w:rPr>
          <w:rFonts w:hint="cs"/>
          <w:sz w:val="28"/>
          <w:rtl/>
          <w:lang w:bidi="ar-SY"/>
        </w:rPr>
        <w:t>أنقذ</w:t>
      </w:r>
      <w:r w:rsidR="00953581" w:rsidRPr="003F3B94">
        <w:rPr>
          <w:rFonts w:hint="cs"/>
          <w:sz w:val="28"/>
          <w:rtl/>
          <w:lang w:bidi="ar-SY"/>
        </w:rPr>
        <w:t xml:space="preserve"> </w:t>
      </w:r>
      <w:r w:rsidR="00027EEC" w:rsidRPr="003F3B94">
        <w:rPr>
          <w:rFonts w:hint="cs"/>
          <w:sz w:val="28"/>
          <w:rtl/>
          <w:lang w:bidi="ar-SY"/>
        </w:rPr>
        <w:t>ا</w:t>
      </w:r>
      <w:r w:rsidR="008A2A49" w:rsidRPr="003F3B94">
        <w:rPr>
          <w:rFonts w:hint="cs"/>
          <w:sz w:val="28"/>
          <w:rtl/>
          <w:lang w:bidi="ar-SY"/>
        </w:rPr>
        <w:t>لإ</w:t>
      </w:r>
      <w:r w:rsidR="00027EEC" w:rsidRPr="003F3B94">
        <w:rPr>
          <w:rFonts w:hint="cs"/>
          <w:sz w:val="28"/>
          <w:rtl/>
          <w:lang w:bidi="ar-SY"/>
        </w:rPr>
        <w:t>س</w:t>
      </w:r>
      <w:r w:rsidR="008A2A49" w:rsidRPr="003F3B94">
        <w:rPr>
          <w:rFonts w:hint="cs"/>
          <w:sz w:val="28"/>
          <w:rtl/>
          <w:lang w:bidi="ar-SY"/>
        </w:rPr>
        <w:t>لا</w:t>
      </w:r>
      <w:r w:rsidR="00027EEC" w:rsidRPr="003F3B94">
        <w:rPr>
          <w:rFonts w:hint="cs"/>
          <w:sz w:val="28"/>
          <w:rtl/>
          <w:lang w:bidi="ar-SY"/>
        </w:rPr>
        <w:t>م</w:t>
      </w:r>
      <w:r w:rsidR="00953581" w:rsidRPr="003F3B94">
        <w:rPr>
          <w:rFonts w:hint="cs"/>
          <w:sz w:val="28"/>
          <w:rtl/>
          <w:lang w:bidi="ar-SY"/>
        </w:rPr>
        <w:t xml:space="preserve"> </w:t>
      </w:r>
      <w:r w:rsidR="00027EEC" w:rsidRPr="003F3B94">
        <w:rPr>
          <w:rFonts w:hint="cs"/>
          <w:sz w:val="28"/>
          <w:rtl/>
          <w:lang w:bidi="ar-SY"/>
        </w:rPr>
        <w:t>روح</w:t>
      </w:r>
      <w:r w:rsidR="00953581" w:rsidRPr="003F3B94">
        <w:rPr>
          <w:rFonts w:hint="cs"/>
          <w:sz w:val="28"/>
          <w:rtl/>
          <w:lang w:bidi="ar-SY"/>
        </w:rPr>
        <w:t xml:space="preserve"> </w:t>
      </w:r>
      <w:r w:rsidR="00027EEC" w:rsidRPr="003F3B94">
        <w:rPr>
          <w:rFonts w:hint="cs"/>
          <w:sz w:val="28"/>
          <w:rtl/>
          <w:lang w:bidi="ar-SY"/>
        </w:rPr>
        <w:t>ا</w:t>
      </w:r>
      <w:r w:rsidR="008A2A49" w:rsidRPr="003F3B94">
        <w:rPr>
          <w:rFonts w:hint="cs"/>
          <w:sz w:val="28"/>
          <w:rtl/>
          <w:lang w:bidi="ar-SY"/>
        </w:rPr>
        <w:t>لإ</w:t>
      </w:r>
      <w:r w:rsidR="00027EEC" w:rsidRPr="003F3B94">
        <w:rPr>
          <w:rFonts w:hint="cs"/>
          <w:sz w:val="28"/>
          <w:rtl/>
          <w:lang w:bidi="ar-SY"/>
        </w:rPr>
        <w:t>نسان</w:t>
      </w:r>
      <w:r w:rsidR="00953581" w:rsidRPr="003F3B94">
        <w:rPr>
          <w:rFonts w:hint="cs"/>
          <w:sz w:val="28"/>
          <w:rtl/>
          <w:lang w:bidi="ar-SY"/>
        </w:rPr>
        <w:t xml:space="preserve"> </w:t>
      </w:r>
      <w:r w:rsidR="00A502C1" w:rsidRPr="003F3B94">
        <w:rPr>
          <w:rFonts w:hint="cs"/>
          <w:sz w:val="28"/>
          <w:rtl/>
          <w:lang w:bidi="ar-SY"/>
        </w:rPr>
        <w:t>التي</w:t>
      </w:r>
      <w:r w:rsidR="00953581" w:rsidRPr="003F3B94">
        <w:rPr>
          <w:rFonts w:hint="cs"/>
          <w:sz w:val="28"/>
          <w:rtl/>
          <w:lang w:bidi="ar-SY"/>
        </w:rPr>
        <w:t xml:space="preserve"> </w:t>
      </w:r>
      <w:r w:rsidR="00A502C1" w:rsidRPr="003F3B94">
        <w:rPr>
          <w:rFonts w:hint="cs"/>
          <w:sz w:val="28"/>
          <w:rtl/>
          <w:lang w:bidi="ar-SY"/>
        </w:rPr>
        <w:t>كانت</w:t>
      </w:r>
      <w:r w:rsidR="00953581" w:rsidRPr="003F3B94">
        <w:rPr>
          <w:rFonts w:hint="cs"/>
          <w:sz w:val="28"/>
          <w:rtl/>
          <w:lang w:bidi="ar-SY"/>
        </w:rPr>
        <w:t xml:space="preserve"> </w:t>
      </w:r>
      <w:r w:rsidR="00A502C1" w:rsidRPr="003F3B94">
        <w:rPr>
          <w:rFonts w:hint="cs"/>
          <w:sz w:val="28"/>
          <w:rtl/>
          <w:lang w:bidi="ar-SY"/>
        </w:rPr>
        <w:t>مكبلة</w:t>
      </w:r>
      <w:r w:rsidR="00953581" w:rsidRPr="003F3B94">
        <w:rPr>
          <w:rFonts w:hint="cs"/>
          <w:sz w:val="28"/>
          <w:rtl/>
          <w:lang w:bidi="ar-SY"/>
        </w:rPr>
        <w:t xml:space="preserve"> </w:t>
      </w:r>
      <w:r w:rsidR="00A502C1" w:rsidRPr="003F3B94">
        <w:rPr>
          <w:rFonts w:hint="cs"/>
          <w:sz w:val="28"/>
          <w:rtl/>
          <w:lang w:bidi="ar-SY"/>
        </w:rPr>
        <w:t>بقيود</w:t>
      </w:r>
      <w:r w:rsidR="00953581" w:rsidRPr="003F3B94">
        <w:rPr>
          <w:rFonts w:hint="cs"/>
          <w:sz w:val="28"/>
          <w:rtl/>
          <w:lang w:bidi="ar-SY"/>
        </w:rPr>
        <w:t xml:space="preserve"> </w:t>
      </w:r>
      <w:r w:rsidR="00A502C1" w:rsidRPr="003F3B94">
        <w:rPr>
          <w:rFonts w:hint="cs"/>
          <w:sz w:val="28"/>
          <w:rtl/>
          <w:lang w:bidi="ar-SY"/>
        </w:rPr>
        <w:t>الشرك</w:t>
      </w:r>
      <w:r w:rsidR="00953581" w:rsidRPr="003F3B94">
        <w:rPr>
          <w:rFonts w:hint="cs"/>
          <w:sz w:val="28"/>
          <w:rtl/>
          <w:lang w:bidi="ar-SY"/>
        </w:rPr>
        <w:t xml:space="preserve"> </w:t>
      </w:r>
      <w:r w:rsidR="00A502C1" w:rsidRPr="003F3B94">
        <w:rPr>
          <w:rFonts w:hint="cs"/>
          <w:sz w:val="28"/>
          <w:rtl/>
          <w:lang w:bidi="ar-SY"/>
        </w:rPr>
        <w:t>والوثنية</w:t>
      </w:r>
      <w:r w:rsidR="00953581" w:rsidRPr="003F3B94">
        <w:rPr>
          <w:rFonts w:hint="cs"/>
          <w:sz w:val="28"/>
          <w:rtl/>
          <w:lang w:bidi="ar-SY"/>
        </w:rPr>
        <w:t xml:space="preserve"> </w:t>
      </w:r>
      <w:r w:rsidR="00A502C1" w:rsidRPr="003F3B94">
        <w:rPr>
          <w:rFonts w:hint="cs"/>
          <w:sz w:val="28"/>
          <w:rtl/>
          <w:lang w:bidi="ar-SY"/>
        </w:rPr>
        <w:t>وأسيرةً</w:t>
      </w:r>
      <w:r w:rsidR="00953581" w:rsidRPr="003F3B94">
        <w:rPr>
          <w:rFonts w:hint="cs"/>
          <w:sz w:val="28"/>
          <w:rtl/>
          <w:lang w:bidi="ar-SY"/>
        </w:rPr>
        <w:t xml:space="preserve"> </w:t>
      </w:r>
      <w:r w:rsidR="00A502C1" w:rsidRPr="003F3B94">
        <w:rPr>
          <w:rFonts w:hint="cs"/>
          <w:sz w:val="28"/>
          <w:rtl/>
          <w:lang w:bidi="ar-SY"/>
        </w:rPr>
        <w:t>للخضوع</w:t>
      </w:r>
      <w:r w:rsidR="00953581" w:rsidRPr="003F3B94">
        <w:rPr>
          <w:rFonts w:hint="cs"/>
          <w:sz w:val="28"/>
          <w:rtl/>
          <w:lang w:bidi="ar-SY"/>
        </w:rPr>
        <w:t xml:space="preserve"> </w:t>
      </w:r>
      <w:r w:rsidR="00A502C1" w:rsidRPr="003F3B94">
        <w:rPr>
          <w:rFonts w:hint="cs"/>
          <w:sz w:val="28"/>
          <w:rtl/>
          <w:lang w:bidi="ar-SY"/>
        </w:rPr>
        <w:t>لكائنات</w:t>
      </w:r>
      <w:r w:rsidR="00953581" w:rsidRPr="003F3B94">
        <w:rPr>
          <w:rFonts w:hint="cs"/>
          <w:sz w:val="28"/>
          <w:rtl/>
          <w:lang w:bidi="ar-SY"/>
        </w:rPr>
        <w:t xml:space="preserve"> </w:t>
      </w:r>
      <w:r w:rsidR="00A502C1" w:rsidRPr="003F3B94">
        <w:rPr>
          <w:rFonts w:hint="cs"/>
          <w:sz w:val="28"/>
          <w:rtl/>
          <w:lang w:bidi="ar-SY"/>
        </w:rPr>
        <w:t>حية</w:t>
      </w:r>
      <w:r w:rsidR="00953581" w:rsidRPr="003F3B94">
        <w:rPr>
          <w:rFonts w:hint="cs"/>
          <w:sz w:val="28"/>
          <w:rtl/>
          <w:lang w:bidi="ar-SY"/>
        </w:rPr>
        <w:t xml:space="preserve"> </w:t>
      </w:r>
      <w:r w:rsidR="00A502C1" w:rsidRPr="003F3B94">
        <w:rPr>
          <w:rFonts w:hint="cs"/>
          <w:sz w:val="28"/>
          <w:rtl/>
          <w:lang w:bidi="ar-SY"/>
        </w:rPr>
        <w:t>من</w:t>
      </w:r>
      <w:r w:rsidR="00953581" w:rsidRPr="003F3B94">
        <w:rPr>
          <w:rFonts w:hint="cs"/>
          <w:sz w:val="28"/>
          <w:rtl/>
          <w:lang w:bidi="ar-SY"/>
        </w:rPr>
        <w:t xml:space="preserve"> </w:t>
      </w:r>
      <w:r w:rsidR="00A502C1" w:rsidRPr="003F3B94">
        <w:rPr>
          <w:rFonts w:hint="cs"/>
          <w:sz w:val="28"/>
          <w:rtl/>
          <w:lang w:bidi="ar-SY"/>
        </w:rPr>
        <w:t>أمثاله</w:t>
      </w:r>
      <w:r w:rsidR="00953581" w:rsidRPr="003F3B94">
        <w:rPr>
          <w:rFonts w:hint="cs"/>
          <w:sz w:val="28"/>
          <w:rtl/>
          <w:lang w:bidi="ar-SY"/>
        </w:rPr>
        <w:t xml:space="preserve"> </w:t>
      </w:r>
      <w:r w:rsidR="00027EEC" w:rsidRPr="003F3B94">
        <w:rPr>
          <w:rFonts w:hint="cs"/>
          <w:sz w:val="28"/>
          <w:rtl/>
          <w:lang w:bidi="ar-SY"/>
        </w:rPr>
        <w:t>أو</w:t>
      </w:r>
      <w:r w:rsidR="00953581" w:rsidRPr="003F3B94">
        <w:rPr>
          <w:rFonts w:hint="cs"/>
          <w:sz w:val="28"/>
          <w:rtl/>
          <w:lang w:bidi="ar-SY"/>
        </w:rPr>
        <w:t xml:space="preserve"> </w:t>
      </w:r>
      <w:r w:rsidR="00027EEC" w:rsidRPr="003F3B94">
        <w:rPr>
          <w:rFonts w:hint="cs"/>
          <w:sz w:val="28"/>
          <w:rtl/>
          <w:lang w:bidi="ar-SY"/>
        </w:rPr>
        <w:t>للفراعنة</w:t>
      </w:r>
      <w:r w:rsidR="00953581" w:rsidRPr="003F3B94">
        <w:rPr>
          <w:rFonts w:hint="cs"/>
          <w:sz w:val="28"/>
          <w:rtl/>
          <w:lang w:bidi="ar-SY"/>
        </w:rPr>
        <w:t xml:space="preserve"> </w:t>
      </w:r>
      <w:r w:rsidR="00027EEC" w:rsidRPr="003F3B94">
        <w:rPr>
          <w:rFonts w:hint="cs"/>
          <w:sz w:val="28"/>
          <w:rtl/>
          <w:lang w:bidi="ar-SY"/>
        </w:rPr>
        <w:t>والجبابرة</w:t>
      </w:r>
      <w:r w:rsidR="00953581" w:rsidRPr="003F3B94">
        <w:rPr>
          <w:rFonts w:hint="cs"/>
          <w:sz w:val="28"/>
          <w:rtl/>
          <w:lang w:bidi="ar-SY"/>
        </w:rPr>
        <w:t xml:space="preserve"> </w:t>
      </w:r>
      <w:r w:rsidR="00027EEC" w:rsidRPr="003F3B94">
        <w:rPr>
          <w:rFonts w:hint="cs"/>
          <w:sz w:val="28"/>
          <w:rtl/>
          <w:lang w:bidi="ar-SY"/>
        </w:rPr>
        <w:t>وعبادتها</w:t>
      </w:r>
      <w:r w:rsidR="00953581" w:rsidRPr="003F3B94">
        <w:rPr>
          <w:rFonts w:hint="cs"/>
          <w:sz w:val="28"/>
          <w:rtl/>
          <w:lang w:bidi="ar-SY"/>
        </w:rPr>
        <w:t xml:space="preserve"> </w:t>
      </w:r>
      <w:r w:rsidR="00A502C1" w:rsidRPr="003F3B94">
        <w:rPr>
          <w:rFonts w:hint="cs"/>
          <w:sz w:val="28"/>
          <w:rtl/>
          <w:lang w:bidi="ar-SY"/>
        </w:rPr>
        <w:t>فحر</w:t>
      </w:r>
      <w:r w:rsidR="00922817" w:rsidRPr="003F3B94">
        <w:rPr>
          <w:rFonts w:hint="cs"/>
          <w:sz w:val="28"/>
          <w:rtl/>
          <w:lang w:bidi="ar-SY"/>
        </w:rPr>
        <w:t>َّ</w:t>
      </w:r>
      <w:r w:rsidR="00A502C1" w:rsidRPr="003F3B94">
        <w:rPr>
          <w:rFonts w:hint="cs"/>
          <w:sz w:val="28"/>
          <w:rtl/>
          <w:lang w:bidi="ar-SY"/>
        </w:rPr>
        <w:t>ر</w:t>
      </w:r>
      <w:r w:rsidR="00027EEC" w:rsidRPr="003F3B94">
        <w:rPr>
          <w:rFonts w:hint="cs"/>
          <w:sz w:val="28"/>
          <w:rtl/>
          <w:lang w:bidi="ar-SY"/>
        </w:rPr>
        <w:t>ها</w:t>
      </w:r>
      <w:r w:rsidR="00953581" w:rsidRPr="003F3B94">
        <w:rPr>
          <w:rFonts w:hint="cs"/>
          <w:sz w:val="28"/>
          <w:rtl/>
          <w:lang w:bidi="ar-SY"/>
        </w:rPr>
        <w:t xml:space="preserve"> </w:t>
      </w:r>
      <w:r w:rsidR="00027EEC" w:rsidRPr="003F3B94">
        <w:rPr>
          <w:rFonts w:hint="cs"/>
          <w:sz w:val="28"/>
          <w:rtl/>
          <w:lang w:bidi="ar-SY"/>
        </w:rPr>
        <w:t>من</w:t>
      </w:r>
      <w:r w:rsidR="00953581" w:rsidRPr="003F3B94">
        <w:rPr>
          <w:rFonts w:hint="cs"/>
          <w:sz w:val="28"/>
          <w:rtl/>
          <w:lang w:bidi="ar-SY"/>
        </w:rPr>
        <w:t xml:space="preserve"> </w:t>
      </w:r>
      <w:r w:rsidR="00027EEC" w:rsidRPr="003F3B94">
        <w:rPr>
          <w:rFonts w:hint="cs"/>
          <w:sz w:val="28"/>
          <w:rtl/>
          <w:lang w:bidi="ar-SY"/>
        </w:rPr>
        <w:t>تلك</w:t>
      </w:r>
      <w:r w:rsidR="00953581" w:rsidRPr="003F3B94">
        <w:rPr>
          <w:rFonts w:hint="cs"/>
          <w:sz w:val="28"/>
          <w:rtl/>
          <w:lang w:bidi="ar-SY"/>
        </w:rPr>
        <w:t xml:space="preserve"> </w:t>
      </w:r>
      <w:r w:rsidR="00027EEC" w:rsidRPr="003F3B94">
        <w:rPr>
          <w:rFonts w:hint="cs"/>
          <w:sz w:val="28"/>
          <w:rtl/>
          <w:lang w:bidi="ar-SY"/>
        </w:rPr>
        <w:t>العبوديات</w:t>
      </w:r>
      <w:r w:rsidR="00953581" w:rsidRPr="003F3B94">
        <w:rPr>
          <w:rFonts w:hint="cs"/>
          <w:sz w:val="28"/>
          <w:rtl/>
          <w:lang w:bidi="ar-SY"/>
        </w:rPr>
        <w:t xml:space="preserve"> </w:t>
      </w:r>
      <w:r w:rsidR="00027EEC" w:rsidRPr="003F3B94">
        <w:rPr>
          <w:rFonts w:hint="cs"/>
          <w:sz w:val="28"/>
          <w:rtl/>
          <w:lang w:bidi="ar-SY"/>
        </w:rPr>
        <w:t>وعرج</w:t>
      </w:r>
      <w:r w:rsidR="00953581" w:rsidRPr="003F3B94">
        <w:rPr>
          <w:rFonts w:hint="cs"/>
          <w:sz w:val="28"/>
          <w:rtl/>
          <w:lang w:bidi="ar-SY"/>
        </w:rPr>
        <w:t xml:space="preserve"> </w:t>
      </w:r>
      <w:r w:rsidR="00A502C1" w:rsidRPr="003F3B94">
        <w:rPr>
          <w:rFonts w:hint="cs"/>
          <w:sz w:val="28"/>
          <w:rtl/>
          <w:lang w:bidi="ar-SY"/>
        </w:rPr>
        <w:t>به</w:t>
      </w:r>
      <w:r w:rsidR="00027EEC" w:rsidRPr="003F3B94">
        <w:rPr>
          <w:rFonts w:hint="cs"/>
          <w:sz w:val="28"/>
          <w:rtl/>
          <w:lang w:bidi="ar-SY"/>
        </w:rPr>
        <w:t>ا</w:t>
      </w:r>
      <w:r w:rsidR="00953581" w:rsidRPr="003F3B94">
        <w:rPr>
          <w:rFonts w:hint="cs"/>
          <w:sz w:val="28"/>
          <w:rtl/>
          <w:lang w:bidi="ar-SY"/>
        </w:rPr>
        <w:t xml:space="preserve"> </w:t>
      </w:r>
      <w:r w:rsidR="00E61D70" w:rsidRPr="003F3B94">
        <w:rPr>
          <w:rFonts w:hint="cs"/>
          <w:sz w:val="28"/>
          <w:rtl/>
          <w:lang w:bidi="ar-SY"/>
        </w:rPr>
        <w:t>إلى</w:t>
      </w:r>
      <w:r w:rsidR="00953581" w:rsidRPr="003F3B94">
        <w:rPr>
          <w:rFonts w:hint="cs"/>
          <w:sz w:val="28"/>
          <w:rtl/>
          <w:lang w:bidi="ar-SY"/>
        </w:rPr>
        <w:t xml:space="preserve"> </w:t>
      </w:r>
      <w:r w:rsidR="00E61D70" w:rsidRPr="003F3B94">
        <w:rPr>
          <w:rFonts w:hint="cs"/>
          <w:sz w:val="28"/>
          <w:rtl/>
          <w:lang w:bidi="ar-SY"/>
        </w:rPr>
        <w:t>مجالسة</w:t>
      </w:r>
      <w:r w:rsidR="00953581" w:rsidRPr="003F3B94">
        <w:rPr>
          <w:rFonts w:hint="cs"/>
          <w:sz w:val="28"/>
          <w:rtl/>
          <w:lang w:bidi="ar-SY"/>
        </w:rPr>
        <w:t xml:space="preserve"> </w:t>
      </w:r>
      <w:r w:rsidR="00E61D70" w:rsidRPr="003F3B94">
        <w:rPr>
          <w:rFonts w:hint="cs"/>
          <w:sz w:val="28"/>
          <w:rtl/>
          <w:lang w:bidi="ar-SY"/>
        </w:rPr>
        <w:t>الم</w:t>
      </w:r>
      <w:r w:rsidR="008A2A49" w:rsidRPr="003F3B94">
        <w:rPr>
          <w:rFonts w:hint="cs"/>
          <w:sz w:val="28"/>
          <w:rtl/>
          <w:lang w:bidi="ar-SY"/>
        </w:rPr>
        <w:t>لا</w:t>
      </w:r>
      <w:r w:rsidR="00E61D70" w:rsidRPr="003F3B94">
        <w:rPr>
          <w:rFonts w:hint="cs"/>
          <w:sz w:val="28"/>
          <w:rtl/>
          <w:lang w:bidi="ar-SY"/>
        </w:rPr>
        <w:t>ئكة</w:t>
      </w:r>
      <w:r w:rsidR="00953581" w:rsidRPr="003F3B94">
        <w:rPr>
          <w:rFonts w:hint="cs"/>
          <w:sz w:val="28"/>
          <w:rtl/>
          <w:lang w:bidi="ar-SY"/>
        </w:rPr>
        <w:t xml:space="preserve"> </w:t>
      </w:r>
      <w:r w:rsidR="00E61D70" w:rsidRPr="003F3B94">
        <w:rPr>
          <w:rFonts w:hint="cs"/>
          <w:sz w:val="28"/>
          <w:rtl/>
          <w:lang w:bidi="ar-SY"/>
        </w:rPr>
        <w:t>الكروبيين</w:t>
      </w:r>
      <w:r w:rsidR="00953581" w:rsidRPr="003F3B94">
        <w:rPr>
          <w:rFonts w:hint="cs"/>
          <w:sz w:val="28"/>
          <w:rtl/>
          <w:lang w:bidi="ar-SY"/>
        </w:rPr>
        <w:t xml:space="preserve"> </w:t>
      </w:r>
      <w:r w:rsidR="00E61D70" w:rsidRPr="003F3B94">
        <w:rPr>
          <w:rFonts w:hint="cs"/>
          <w:sz w:val="28"/>
          <w:rtl/>
          <w:lang w:bidi="ar-SY"/>
        </w:rPr>
        <w:t>في</w:t>
      </w:r>
      <w:r w:rsidR="00953581" w:rsidRPr="003F3B94">
        <w:rPr>
          <w:rFonts w:hint="cs"/>
          <w:sz w:val="28"/>
          <w:rtl/>
          <w:lang w:bidi="ar-SY"/>
        </w:rPr>
        <w:t xml:space="preserve"> </w:t>
      </w:r>
      <w:r w:rsidR="00891045" w:rsidRPr="003F3B94">
        <w:rPr>
          <w:rFonts w:hint="cs"/>
          <w:sz w:val="28"/>
          <w:rtl/>
          <w:lang w:bidi="ar-SY"/>
        </w:rPr>
        <w:t>الم</w:t>
      </w:r>
      <w:r w:rsidR="008A2A49" w:rsidRPr="003F3B94">
        <w:rPr>
          <w:rFonts w:hint="cs"/>
          <w:sz w:val="28"/>
          <w:rtl/>
          <w:lang w:bidi="ar-SY"/>
        </w:rPr>
        <w:t>لأ</w:t>
      </w:r>
      <w:r w:rsidR="00953581" w:rsidRPr="003F3B94">
        <w:rPr>
          <w:rFonts w:hint="cs"/>
          <w:sz w:val="28"/>
          <w:rtl/>
          <w:lang w:bidi="ar-SY"/>
        </w:rPr>
        <w:t xml:space="preserve"> </w:t>
      </w:r>
      <w:r w:rsidR="00E61D70" w:rsidRPr="003F3B94">
        <w:rPr>
          <w:rFonts w:hint="cs"/>
          <w:sz w:val="28"/>
          <w:rtl/>
          <w:lang w:bidi="ar-SY"/>
        </w:rPr>
        <w:t>ا</w:t>
      </w:r>
      <w:r w:rsidR="008A2A49" w:rsidRPr="003F3B94">
        <w:rPr>
          <w:rFonts w:hint="cs"/>
          <w:sz w:val="28"/>
          <w:rtl/>
          <w:lang w:bidi="ar-SY"/>
        </w:rPr>
        <w:t>لأ</w:t>
      </w:r>
      <w:r w:rsidR="00E61D70" w:rsidRPr="003F3B94">
        <w:rPr>
          <w:rFonts w:hint="cs"/>
          <w:sz w:val="28"/>
          <w:rtl/>
          <w:lang w:bidi="ar-SY"/>
        </w:rPr>
        <w:t>على</w:t>
      </w:r>
      <w:r w:rsidR="00217AB4" w:rsidRPr="003F3B94">
        <w:rPr>
          <w:rFonts w:hint="cs"/>
          <w:sz w:val="28"/>
          <w:rtl/>
          <w:lang w:bidi="ar-SY"/>
        </w:rPr>
        <w:t>،</w:t>
      </w:r>
      <w:r w:rsidR="00953581" w:rsidRPr="003F3B94">
        <w:rPr>
          <w:rFonts w:hint="cs"/>
          <w:sz w:val="28"/>
          <w:rtl/>
          <w:lang w:bidi="ar-SY"/>
        </w:rPr>
        <w:t xml:space="preserve"> </w:t>
      </w:r>
      <w:r w:rsidR="00027EEC" w:rsidRPr="003F3B94">
        <w:rPr>
          <w:rFonts w:hint="cs"/>
          <w:sz w:val="28"/>
          <w:rtl/>
          <w:lang w:bidi="ar-SY"/>
        </w:rPr>
        <w:t>وأوصل</w:t>
      </w:r>
      <w:r w:rsidR="00953581" w:rsidRPr="003F3B94">
        <w:rPr>
          <w:rFonts w:hint="cs"/>
          <w:sz w:val="28"/>
          <w:rtl/>
          <w:lang w:bidi="ar-SY"/>
        </w:rPr>
        <w:t xml:space="preserve"> </w:t>
      </w:r>
      <w:r w:rsidR="00027EEC" w:rsidRPr="003F3B94">
        <w:rPr>
          <w:rFonts w:hint="cs"/>
          <w:sz w:val="28"/>
          <w:rtl/>
          <w:lang w:bidi="ar-SY"/>
        </w:rPr>
        <w:t>كرامة</w:t>
      </w:r>
      <w:r w:rsidR="00953581" w:rsidRPr="003F3B94">
        <w:rPr>
          <w:rFonts w:hint="cs"/>
          <w:sz w:val="28"/>
          <w:rtl/>
          <w:lang w:bidi="ar-SY"/>
        </w:rPr>
        <w:t xml:space="preserve"> </w:t>
      </w:r>
      <w:r w:rsidR="00027EEC" w:rsidRPr="003F3B94">
        <w:rPr>
          <w:rFonts w:hint="cs"/>
          <w:sz w:val="28"/>
          <w:rtl/>
          <w:lang w:bidi="ar-SY"/>
        </w:rPr>
        <w:t>ا</w:t>
      </w:r>
      <w:r w:rsidR="008A2A49" w:rsidRPr="003F3B94">
        <w:rPr>
          <w:rFonts w:hint="cs"/>
          <w:sz w:val="28"/>
          <w:rtl/>
          <w:lang w:bidi="ar-SY"/>
        </w:rPr>
        <w:t>لإ</w:t>
      </w:r>
      <w:r w:rsidR="00027EEC" w:rsidRPr="003F3B94">
        <w:rPr>
          <w:rFonts w:hint="cs"/>
          <w:sz w:val="28"/>
          <w:rtl/>
          <w:lang w:bidi="ar-SY"/>
        </w:rPr>
        <w:t>نسان</w:t>
      </w:r>
      <w:r w:rsidR="00953581" w:rsidRPr="003F3B94">
        <w:rPr>
          <w:rFonts w:hint="cs"/>
          <w:sz w:val="28"/>
          <w:rtl/>
          <w:lang w:bidi="ar-SY"/>
        </w:rPr>
        <w:t xml:space="preserve"> </w:t>
      </w:r>
      <w:r w:rsidR="00027EEC" w:rsidRPr="003F3B94">
        <w:rPr>
          <w:rFonts w:hint="cs"/>
          <w:sz w:val="28"/>
          <w:rtl/>
          <w:lang w:bidi="ar-SY"/>
        </w:rPr>
        <w:t>وشرفه</w:t>
      </w:r>
      <w:r w:rsidR="00953581" w:rsidRPr="003F3B94">
        <w:rPr>
          <w:rFonts w:hint="cs"/>
          <w:sz w:val="28"/>
          <w:rtl/>
          <w:lang w:bidi="ar-SY"/>
        </w:rPr>
        <w:t xml:space="preserve"> </w:t>
      </w:r>
      <w:r w:rsidR="00027EEC" w:rsidRPr="003F3B94">
        <w:rPr>
          <w:rFonts w:hint="cs"/>
          <w:sz w:val="28"/>
          <w:rtl/>
          <w:lang w:bidi="ar-SY"/>
        </w:rPr>
        <w:t>إلى</w:t>
      </w:r>
      <w:r w:rsidR="00953581" w:rsidRPr="003F3B94">
        <w:rPr>
          <w:rFonts w:hint="cs"/>
          <w:sz w:val="28"/>
          <w:rtl/>
          <w:lang w:bidi="ar-SY"/>
        </w:rPr>
        <w:t xml:space="preserve"> </w:t>
      </w:r>
      <w:r w:rsidR="00027EEC" w:rsidRPr="003F3B94">
        <w:rPr>
          <w:rFonts w:hint="cs"/>
          <w:sz w:val="28"/>
          <w:rtl/>
          <w:lang w:bidi="ar-SY"/>
        </w:rPr>
        <w:t>مقام</w:t>
      </w:r>
      <w:r w:rsidR="00953581" w:rsidRPr="003F3B94">
        <w:rPr>
          <w:rFonts w:hint="cs"/>
          <w:sz w:val="28"/>
          <w:rtl/>
          <w:lang w:bidi="ar-SY"/>
        </w:rPr>
        <w:t xml:space="preserve"> </w:t>
      </w:r>
      <w:r w:rsidR="00027EEC" w:rsidRPr="003F3B94">
        <w:rPr>
          <w:rFonts w:hint="cs"/>
          <w:sz w:val="28"/>
          <w:rtl/>
          <w:lang w:bidi="ar-SY"/>
        </w:rPr>
        <w:t>مسجود</w:t>
      </w:r>
      <w:r w:rsidR="00953581" w:rsidRPr="003F3B94">
        <w:rPr>
          <w:rFonts w:hint="cs"/>
          <w:sz w:val="28"/>
          <w:rtl/>
          <w:lang w:bidi="ar-SY"/>
        </w:rPr>
        <w:t xml:space="preserve"> </w:t>
      </w:r>
      <w:r w:rsidR="00027EEC" w:rsidRPr="003F3B94">
        <w:rPr>
          <w:rFonts w:hint="cs"/>
          <w:sz w:val="28"/>
          <w:rtl/>
          <w:lang w:bidi="ar-SY"/>
        </w:rPr>
        <w:t>الم</w:t>
      </w:r>
      <w:r w:rsidR="008A2A49" w:rsidRPr="003F3B94">
        <w:rPr>
          <w:rFonts w:hint="cs"/>
          <w:sz w:val="28"/>
          <w:rtl/>
          <w:lang w:bidi="ar-SY"/>
        </w:rPr>
        <w:t>لا</w:t>
      </w:r>
      <w:r w:rsidR="00027EEC" w:rsidRPr="003F3B94">
        <w:rPr>
          <w:rFonts w:hint="cs"/>
          <w:sz w:val="28"/>
          <w:rtl/>
          <w:lang w:bidi="ar-SY"/>
        </w:rPr>
        <w:t>ئكة</w:t>
      </w:r>
      <w:r w:rsidR="00953581" w:rsidRPr="003F3B94">
        <w:rPr>
          <w:rFonts w:hint="cs"/>
          <w:sz w:val="28"/>
          <w:rtl/>
          <w:lang w:bidi="ar-SY"/>
        </w:rPr>
        <w:t xml:space="preserve"> </w:t>
      </w:r>
      <w:r w:rsidR="00891045" w:rsidRPr="003F3B94">
        <w:rPr>
          <w:rFonts w:hint="cs"/>
          <w:sz w:val="28"/>
          <w:rtl/>
          <w:lang w:bidi="ar-SY"/>
        </w:rPr>
        <w:t>الذي</w:t>
      </w:r>
      <w:r w:rsidR="00953581" w:rsidRPr="003F3B94">
        <w:rPr>
          <w:rFonts w:hint="cs"/>
          <w:sz w:val="28"/>
          <w:rtl/>
          <w:lang w:bidi="ar-SY"/>
        </w:rPr>
        <w:t xml:space="preserve"> </w:t>
      </w:r>
      <w:r w:rsidR="00891045" w:rsidRPr="003F3B94">
        <w:rPr>
          <w:rFonts w:hint="cs"/>
          <w:sz w:val="28"/>
          <w:rtl/>
          <w:lang w:bidi="ar-SY"/>
        </w:rPr>
        <w:t>سُخِرت</w:t>
      </w:r>
      <w:r w:rsidR="00953581" w:rsidRPr="003F3B94">
        <w:rPr>
          <w:rFonts w:hint="cs"/>
          <w:sz w:val="28"/>
          <w:rtl/>
          <w:lang w:bidi="ar-SY"/>
        </w:rPr>
        <w:t xml:space="preserve"> </w:t>
      </w:r>
      <w:r w:rsidR="00891045" w:rsidRPr="003F3B94">
        <w:rPr>
          <w:rFonts w:hint="cs"/>
          <w:sz w:val="28"/>
          <w:rtl/>
          <w:lang w:bidi="ar-SY"/>
        </w:rPr>
        <w:t>له</w:t>
      </w:r>
      <w:r w:rsidR="00953581" w:rsidRPr="003F3B94">
        <w:rPr>
          <w:rFonts w:hint="cs"/>
          <w:sz w:val="28"/>
          <w:rtl/>
          <w:lang w:bidi="ar-SY"/>
        </w:rPr>
        <w:t xml:space="preserve"> </w:t>
      </w:r>
      <w:r w:rsidR="00891045" w:rsidRPr="003F3B94">
        <w:rPr>
          <w:rFonts w:hint="cs"/>
          <w:sz w:val="28"/>
          <w:rtl/>
          <w:lang w:bidi="ar-SY"/>
        </w:rPr>
        <w:t>الكواكب</w:t>
      </w:r>
      <w:r w:rsidR="00953581" w:rsidRPr="003F3B94">
        <w:rPr>
          <w:rFonts w:hint="cs"/>
          <w:sz w:val="28"/>
          <w:rtl/>
          <w:lang w:bidi="ar-SY"/>
        </w:rPr>
        <w:t xml:space="preserve"> </w:t>
      </w:r>
      <w:r w:rsidR="00891045" w:rsidRPr="003F3B94">
        <w:rPr>
          <w:rFonts w:hint="cs"/>
          <w:sz w:val="28"/>
          <w:rtl/>
          <w:lang w:bidi="ar-SY"/>
        </w:rPr>
        <w:t>السماوية</w:t>
      </w:r>
      <w:r w:rsidR="00953581" w:rsidRPr="003F3B94">
        <w:rPr>
          <w:rFonts w:hint="cs"/>
          <w:sz w:val="28"/>
          <w:rtl/>
          <w:lang w:bidi="ar-SY"/>
        </w:rPr>
        <w:t xml:space="preserve"> </w:t>
      </w:r>
      <w:r w:rsidR="005F439E" w:rsidRPr="003F3B94">
        <w:rPr>
          <w:rFonts w:hint="cs"/>
          <w:sz w:val="28"/>
          <w:rtl/>
          <w:lang w:bidi="ar-SY"/>
        </w:rPr>
        <w:t>وكائنات</w:t>
      </w:r>
      <w:r w:rsidR="00953581" w:rsidRPr="003F3B94">
        <w:rPr>
          <w:rFonts w:hint="cs"/>
          <w:sz w:val="28"/>
          <w:rtl/>
          <w:lang w:bidi="ar-SY"/>
        </w:rPr>
        <w:t xml:space="preserve"> </w:t>
      </w:r>
      <w:r w:rsidR="005F439E" w:rsidRPr="003F3B94">
        <w:rPr>
          <w:rFonts w:hint="cs"/>
          <w:sz w:val="28"/>
          <w:rtl/>
          <w:lang w:bidi="ar-SY"/>
        </w:rPr>
        <w:t>عالم</w:t>
      </w:r>
      <w:r w:rsidR="00953581" w:rsidRPr="003F3B94">
        <w:rPr>
          <w:rFonts w:hint="cs"/>
          <w:sz w:val="28"/>
          <w:rtl/>
          <w:lang w:bidi="ar-SY"/>
        </w:rPr>
        <w:t xml:space="preserve"> </w:t>
      </w:r>
      <w:r w:rsidR="005F439E" w:rsidRPr="003F3B94">
        <w:rPr>
          <w:rFonts w:hint="cs"/>
          <w:sz w:val="28"/>
          <w:rtl/>
          <w:lang w:bidi="ar-SY"/>
        </w:rPr>
        <w:t>الوجود</w:t>
      </w:r>
      <w:r w:rsidR="00953581" w:rsidRPr="003F3B94">
        <w:rPr>
          <w:rFonts w:hint="cs"/>
          <w:sz w:val="28"/>
          <w:rtl/>
          <w:lang w:bidi="ar-SY"/>
        </w:rPr>
        <w:t xml:space="preserve"> </w:t>
      </w:r>
      <w:r w:rsidR="00027EEC" w:rsidRPr="003F3B94">
        <w:rPr>
          <w:rFonts w:hint="cs"/>
          <w:sz w:val="28"/>
          <w:rtl/>
          <w:lang w:bidi="ar-SY"/>
        </w:rPr>
        <w:t>كلها</w:t>
      </w:r>
      <w:r w:rsidR="00217AB4" w:rsidRPr="0021507A">
        <w:rPr>
          <w:rFonts w:cs="Arabic11 BT"/>
          <w:b/>
          <w:sz w:val="28"/>
          <w:vertAlign w:val="superscript"/>
          <w:rtl/>
          <w:lang w:bidi="ar-SY"/>
        </w:rPr>
        <w:t>(</w:t>
      </w:r>
      <w:r w:rsidR="00D2093A" w:rsidRPr="0021507A">
        <w:rPr>
          <w:rStyle w:val="FootnoteReference"/>
          <w:rFonts w:cs="Arabic11 BT"/>
          <w:b/>
          <w:sz w:val="28"/>
          <w:rtl/>
          <w:lang w:bidi="ar-SY"/>
        </w:rPr>
        <w:footnoteReference w:id="4"/>
      </w:r>
      <w:r w:rsidR="00217AB4" w:rsidRPr="0021507A">
        <w:rPr>
          <w:rFonts w:cs="Arabic11 BT"/>
          <w:b/>
          <w:sz w:val="28"/>
          <w:vertAlign w:val="superscript"/>
          <w:rtl/>
          <w:lang w:bidi="ar-SY"/>
        </w:rPr>
        <w:t>)</w:t>
      </w:r>
      <w:r w:rsidR="00953581" w:rsidRPr="003F3B94">
        <w:rPr>
          <w:sz w:val="28"/>
          <w:rtl/>
          <w:lang w:bidi="ar-SY"/>
        </w:rPr>
        <w:t xml:space="preserve"> </w:t>
      </w:r>
      <w:r w:rsidR="006947A3" w:rsidRPr="003F3B94">
        <w:rPr>
          <w:rFonts w:hint="cs"/>
          <w:sz w:val="28"/>
          <w:rtl/>
          <w:lang w:bidi="ar-SY"/>
        </w:rPr>
        <w:t>فعليه</w:t>
      </w:r>
      <w:r w:rsidR="00953581" w:rsidRPr="003F3B94">
        <w:rPr>
          <w:rFonts w:hint="cs"/>
          <w:sz w:val="28"/>
          <w:rtl/>
          <w:lang w:bidi="ar-SY"/>
        </w:rPr>
        <w:t xml:space="preserve"> </w:t>
      </w:r>
      <w:r w:rsidR="006947A3" w:rsidRPr="003F3B94">
        <w:rPr>
          <w:rFonts w:hint="cs"/>
          <w:sz w:val="28"/>
          <w:rtl/>
          <w:lang w:bidi="ar-SY"/>
        </w:rPr>
        <w:t>أن</w:t>
      </w:r>
      <w:r w:rsidR="00953581" w:rsidRPr="003F3B94">
        <w:rPr>
          <w:rFonts w:hint="cs"/>
          <w:sz w:val="28"/>
          <w:rtl/>
          <w:lang w:bidi="ar-SY"/>
        </w:rPr>
        <w:t xml:space="preserve"> </w:t>
      </w:r>
      <w:r w:rsidR="006947A3" w:rsidRPr="003F3B94">
        <w:rPr>
          <w:rFonts w:hint="cs"/>
          <w:sz w:val="28"/>
          <w:rtl/>
          <w:lang w:bidi="ar-SY"/>
        </w:rPr>
        <w:t>يعرف</w:t>
      </w:r>
      <w:r w:rsidR="00953581" w:rsidRPr="003F3B94">
        <w:rPr>
          <w:rFonts w:hint="cs"/>
          <w:sz w:val="28"/>
          <w:rtl/>
          <w:lang w:bidi="ar-SY"/>
        </w:rPr>
        <w:t xml:space="preserve"> </w:t>
      </w:r>
      <w:r w:rsidR="006947A3" w:rsidRPr="003F3B94">
        <w:rPr>
          <w:rFonts w:hint="cs"/>
          <w:sz w:val="28"/>
          <w:rtl/>
          <w:lang w:bidi="ar-SY"/>
        </w:rPr>
        <w:t>قدر</w:t>
      </w:r>
      <w:r w:rsidR="00953581" w:rsidRPr="003F3B94">
        <w:rPr>
          <w:rFonts w:hint="cs"/>
          <w:sz w:val="28"/>
          <w:rtl/>
          <w:lang w:bidi="ar-SY"/>
        </w:rPr>
        <w:t xml:space="preserve"> </w:t>
      </w:r>
      <w:r w:rsidR="006947A3" w:rsidRPr="003F3B94">
        <w:rPr>
          <w:rFonts w:hint="cs"/>
          <w:sz w:val="28"/>
          <w:rtl/>
          <w:lang w:bidi="ar-SY"/>
        </w:rPr>
        <w:t>نفسه</w:t>
      </w:r>
      <w:r w:rsidR="00953581" w:rsidRPr="003F3B94">
        <w:rPr>
          <w:rFonts w:hint="cs"/>
          <w:sz w:val="28"/>
          <w:rtl/>
          <w:lang w:bidi="ar-SY"/>
        </w:rPr>
        <w:t xml:space="preserve"> </w:t>
      </w:r>
      <w:r w:rsidR="00E24AEB" w:rsidRPr="003F3B94">
        <w:rPr>
          <w:rFonts w:hint="cs"/>
          <w:sz w:val="28"/>
          <w:rtl/>
          <w:lang w:bidi="ar-SY"/>
        </w:rPr>
        <w:t>وأن</w:t>
      </w:r>
      <w:r w:rsidR="00953581" w:rsidRPr="003F3B94">
        <w:rPr>
          <w:rFonts w:hint="cs"/>
          <w:sz w:val="28"/>
          <w:rtl/>
          <w:lang w:bidi="ar-SY"/>
        </w:rPr>
        <w:t xml:space="preserve"> </w:t>
      </w:r>
      <w:r w:rsidR="00E24AEB" w:rsidRPr="003F3B94">
        <w:rPr>
          <w:rFonts w:hint="cs"/>
          <w:sz w:val="28"/>
          <w:rtl/>
          <w:lang w:bidi="ar-SY"/>
        </w:rPr>
        <w:t>يطوي</w:t>
      </w:r>
      <w:r w:rsidR="00953581" w:rsidRPr="003F3B94">
        <w:rPr>
          <w:rFonts w:hint="cs"/>
          <w:sz w:val="28"/>
          <w:rtl/>
          <w:lang w:bidi="ar-SY"/>
        </w:rPr>
        <w:t xml:space="preserve"> </w:t>
      </w:r>
      <w:r w:rsidR="00E24AEB" w:rsidRPr="003F3B94">
        <w:rPr>
          <w:rFonts w:hint="cs"/>
          <w:sz w:val="28"/>
          <w:rtl/>
          <w:lang w:bidi="ar-SY"/>
        </w:rPr>
        <w:t>سير</w:t>
      </w:r>
      <w:r w:rsidR="00953581" w:rsidRPr="003F3B94">
        <w:rPr>
          <w:rFonts w:hint="cs"/>
          <w:sz w:val="28"/>
          <w:rtl/>
          <w:lang w:bidi="ar-SY"/>
        </w:rPr>
        <w:t xml:space="preserve"> </w:t>
      </w:r>
      <w:r w:rsidR="00E24AEB" w:rsidRPr="003F3B94">
        <w:rPr>
          <w:rFonts w:hint="cs"/>
          <w:sz w:val="28"/>
          <w:rtl/>
          <w:lang w:bidi="ar-SY"/>
        </w:rPr>
        <w:t>كماله</w:t>
      </w:r>
      <w:r w:rsidR="00953581" w:rsidRPr="003F3B94">
        <w:rPr>
          <w:rFonts w:hint="cs"/>
          <w:sz w:val="28"/>
          <w:rtl/>
          <w:lang w:bidi="ar-SY"/>
        </w:rPr>
        <w:t xml:space="preserve"> </w:t>
      </w:r>
      <w:r w:rsidR="00E24AEB" w:rsidRPr="003F3B94">
        <w:rPr>
          <w:rFonts w:hint="cs"/>
          <w:sz w:val="28"/>
          <w:rtl/>
          <w:lang w:bidi="ar-SY"/>
        </w:rPr>
        <w:t>بالتوجه</w:t>
      </w:r>
      <w:r w:rsidR="00953581" w:rsidRPr="003F3B94">
        <w:rPr>
          <w:rFonts w:hint="cs"/>
          <w:sz w:val="28"/>
          <w:rtl/>
          <w:lang w:bidi="ar-SY"/>
        </w:rPr>
        <w:t xml:space="preserve"> </w:t>
      </w:r>
      <w:r w:rsidR="00E24AEB" w:rsidRPr="003F3B94">
        <w:rPr>
          <w:rFonts w:hint="cs"/>
          <w:sz w:val="28"/>
          <w:rtl/>
          <w:lang w:bidi="ar-SY"/>
        </w:rPr>
        <w:t>إلى</w:t>
      </w:r>
      <w:r w:rsidR="00953581" w:rsidRPr="003F3B94">
        <w:rPr>
          <w:rFonts w:hint="cs"/>
          <w:sz w:val="28"/>
          <w:rtl/>
          <w:lang w:bidi="ar-SY"/>
        </w:rPr>
        <w:t xml:space="preserve"> </w:t>
      </w:r>
      <w:r w:rsidR="00E24AEB" w:rsidRPr="003F3B94">
        <w:rPr>
          <w:rFonts w:hint="cs"/>
          <w:sz w:val="28"/>
          <w:rtl/>
          <w:lang w:bidi="ar-SY"/>
        </w:rPr>
        <w:t>ذات</w:t>
      </w:r>
      <w:r w:rsidR="00953581" w:rsidRPr="003F3B94">
        <w:rPr>
          <w:rFonts w:hint="cs"/>
          <w:sz w:val="28"/>
          <w:rtl/>
          <w:lang w:bidi="ar-SY"/>
        </w:rPr>
        <w:t xml:space="preserve"> </w:t>
      </w:r>
      <w:r w:rsidR="00E24AEB" w:rsidRPr="003F3B94">
        <w:rPr>
          <w:rFonts w:hint="cs"/>
          <w:sz w:val="28"/>
          <w:rtl/>
          <w:lang w:bidi="ar-SY"/>
        </w:rPr>
        <w:t>خالق</w:t>
      </w:r>
      <w:r w:rsidR="00953581" w:rsidRPr="003F3B94">
        <w:rPr>
          <w:rFonts w:hint="cs"/>
          <w:sz w:val="28"/>
          <w:rtl/>
          <w:lang w:bidi="ar-SY"/>
        </w:rPr>
        <w:t xml:space="preserve"> </w:t>
      </w:r>
      <w:r w:rsidR="00E24AEB" w:rsidRPr="003F3B94">
        <w:rPr>
          <w:rFonts w:hint="cs"/>
          <w:sz w:val="28"/>
          <w:rtl/>
          <w:lang w:bidi="ar-SY"/>
        </w:rPr>
        <w:t>العالم</w:t>
      </w:r>
      <w:r w:rsidR="00953581" w:rsidRPr="003F3B94">
        <w:rPr>
          <w:rFonts w:hint="cs"/>
          <w:sz w:val="28"/>
          <w:rtl/>
          <w:lang w:bidi="ar-SY"/>
        </w:rPr>
        <w:t xml:space="preserve"> </w:t>
      </w:r>
      <w:r w:rsidR="00E24AEB" w:rsidRPr="003F3B94">
        <w:rPr>
          <w:rFonts w:hint="cs"/>
          <w:sz w:val="28"/>
          <w:rtl/>
          <w:lang w:bidi="ar-SY"/>
        </w:rPr>
        <w:t>ويسعى</w:t>
      </w:r>
      <w:r w:rsidR="00953581" w:rsidRPr="003F3B94">
        <w:rPr>
          <w:rFonts w:hint="cs"/>
          <w:sz w:val="28"/>
          <w:rtl/>
          <w:lang w:bidi="ar-SY"/>
        </w:rPr>
        <w:t xml:space="preserve"> </w:t>
      </w:r>
      <w:r w:rsidR="00E24AEB" w:rsidRPr="003F3B94">
        <w:rPr>
          <w:rFonts w:hint="cs"/>
          <w:sz w:val="28"/>
          <w:rtl/>
          <w:lang w:bidi="ar-SY"/>
        </w:rPr>
        <w:t>إلى</w:t>
      </w:r>
      <w:r w:rsidR="00953581" w:rsidRPr="003F3B94">
        <w:rPr>
          <w:rFonts w:hint="cs"/>
          <w:sz w:val="28"/>
          <w:rtl/>
          <w:lang w:bidi="ar-SY"/>
        </w:rPr>
        <w:t xml:space="preserve"> </w:t>
      </w:r>
      <w:r w:rsidR="00E24AEB" w:rsidRPr="003F3B94">
        <w:rPr>
          <w:rFonts w:hint="cs"/>
          <w:sz w:val="28"/>
          <w:rtl/>
          <w:lang w:bidi="ar-SY"/>
        </w:rPr>
        <w:t>لقاء</w:t>
      </w:r>
      <w:r w:rsidR="00953581" w:rsidRPr="003F3B94">
        <w:rPr>
          <w:rFonts w:hint="cs"/>
          <w:sz w:val="28"/>
          <w:rtl/>
          <w:lang w:bidi="ar-SY"/>
        </w:rPr>
        <w:t xml:space="preserve"> </w:t>
      </w:r>
      <w:r w:rsidR="00E24AEB" w:rsidRPr="003F3B94">
        <w:rPr>
          <w:rFonts w:hint="cs"/>
          <w:sz w:val="28"/>
          <w:rtl/>
          <w:lang w:bidi="ar-SY"/>
        </w:rPr>
        <w:t>رب</w:t>
      </w:r>
      <w:r w:rsidR="00953581" w:rsidRPr="003F3B94">
        <w:rPr>
          <w:rFonts w:hint="cs"/>
          <w:sz w:val="28"/>
          <w:rtl/>
          <w:lang w:bidi="ar-SY"/>
        </w:rPr>
        <w:t xml:space="preserve"> </w:t>
      </w:r>
      <w:r w:rsidR="00E24AEB" w:rsidRPr="003F3B94">
        <w:rPr>
          <w:rFonts w:hint="cs"/>
          <w:sz w:val="28"/>
          <w:rtl/>
          <w:lang w:bidi="ar-SY"/>
        </w:rPr>
        <w:t>الوجود</w:t>
      </w:r>
      <w:r w:rsidR="00953581" w:rsidRPr="003F3B94">
        <w:rPr>
          <w:rFonts w:hint="cs"/>
          <w:sz w:val="28"/>
          <w:rtl/>
          <w:lang w:bidi="ar-SY"/>
        </w:rPr>
        <w:t xml:space="preserve"> </w:t>
      </w:r>
      <w:r w:rsidR="00E24AEB" w:rsidRPr="003F3B94">
        <w:rPr>
          <w:rFonts w:hint="cs"/>
          <w:sz w:val="28"/>
          <w:rtl/>
          <w:lang w:bidi="ar-SY"/>
        </w:rPr>
        <w:t>جاع</w:t>
      </w:r>
      <w:r w:rsidR="008A2A49" w:rsidRPr="003F3B94">
        <w:rPr>
          <w:rFonts w:hint="cs"/>
          <w:sz w:val="28"/>
          <w:rtl/>
          <w:lang w:bidi="ar-SY"/>
        </w:rPr>
        <w:t>لا</w:t>
      </w:r>
      <w:r w:rsidR="00922817" w:rsidRPr="003F3B94">
        <w:rPr>
          <w:rFonts w:hint="cs"/>
          <w:sz w:val="28"/>
          <w:rtl/>
          <w:lang w:bidi="ar-SY"/>
        </w:rPr>
        <w:t>ً</w:t>
      </w:r>
      <w:r w:rsidR="00953581" w:rsidRPr="003F3B94">
        <w:rPr>
          <w:rFonts w:hint="cs"/>
          <w:sz w:val="28"/>
          <w:rtl/>
          <w:lang w:bidi="ar-SY"/>
        </w:rPr>
        <w:t xml:space="preserve"> </w:t>
      </w:r>
      <w:r w:rsidR="00E24AEB" w:rsidRPr="003F3B94">
        <w:rPr>
          <w:rFonts w:hint="cs"/>
          <w:sz w:val="28"/>
          <w:rtl/>
          <w:lang w:bidi="ar-SY"/>
        </w:rPr>
        <w:t>هذا</w:t>
      </w:r>
      <w:r w:rsidR="00953581" w:rsidRPr="003F3B94">
        <w:rPr>
          <w:rFonts w:hint="cs"/>
          <w:sz w:val="28"/>
          <w:rtl/>
          <w:lang w:bidi="ar-SY"/>
        </w:rPr>
        <w:t xml:space="preserve"> </w:t>
      </w:r>
      <w:r w:rsidR="00E24AEB" w:rsidRPr="003F3B94">
        <w:rPr>
          <w:rFonts w:hint="cs"/>
          <w:sz w:val="28"/>
          <w:rtl/>
          <w:lang w:bidi="ar-SY"/>
        </w:rPr>
        <w:t>الهدف</w:t>
      </w:r>
      <w:r w:rsidR="00953581" w:rsidRPr="003F3B94">
        <w:rPr>
          <w:rFonts w:hint="cs"/>
          <w:sz w:val="28"/>
          <w:rtl/>
          <w:lang w:bidi="ar-SY"/>
        </w:rPr>
        <w:t xml:space="preserve"> </w:t>
      </w:r>
      <w:r w:rsidR="00E24AEB" w:rsidRPr="003F3B94">
        <w:rPr>
          <w:rFonts w:hint="cs"/>
          <w:sz w:val="28"/>
          <w:rtl/>
          <w:lang w:bidi="ar-SY"/>
        </w:rPr>
        <w:t>نصب</w:t>
      </w:r>
      <w:r w:rsidR="00953581" w:rsidRPr="003F3B94">
        <w:rPr>
          <w:rFonts w:hint="cs"/>
          <w:sz w:val="28"/>
          <w:rtl/>
          <w:lang w:bidi="ar-SY"/>
        </w:rPr>
        <w:t xml:space="preserve"> </w:t>
      </w:r>
      <w:r w:rsidR="00E24AEB" w:rsidRPr="003F3B94">
        <w:rPr>
          <w:rFonts w:hint="cs"/>
          <w:sz w:val="28"/>
          <w:rtl/>
          <w:lang w:bidi="ar-SY"/>
        </w:rPr>
        <w:t>عينيه</w:t>
      </w:r>
      <w:r w:rsidR="00953581" w:rsidRPr="003F3B94">
        <w:rPr>
          <w:rFonts w:hint="cs"/>
          <w:sz w:val="28"/>
          <w:rtl/>
          <w:lang w:bidi="ar-SY"/>
        </w:rPr>
        <w:t xml:space="preserve"> </w:t>
      </w:r>
      <w:r w:rsidR="00E24AEB" w:rsidRPr="003F3B94">
        <w:rPr>
          <w:rFonts w:hint="cs"/>
          <w:sz w:val="28"/>
          <w:rtl/>
          <w:lang w:bidi="ar-SY"/>
        </w:rPr>
        <w:t>حيث</w:t>
      </w:r>
      <w:r w:rsidR="00953581" w:rsidRPr="003F3B94">
        <w:rPr>
          <w:rFonts w:hint="cs"/>
          <w:sz w:val="28"/>
          <w:rtl/>
          <w:lang w:bidi="ar-SY"/>
        </w:rPr>
        <w:t xml:space="preserve"> </w:t>
      </w:r>
      <w:r w:rsidR="008A48FF" w:rsidRPr="003F3B94">
        <w:rPr>
          <w:rFonts w:hint="cs"/>
          <w:sz w:val="28"/>
          <w:rtl/>
          <w:lang w:bidi="ar-SY"/>
        </w:rPr>
        <w:t>بُشِّ</w:t>
      </w:r>
      <w:r w:rsidR="00A45CF9" w:rsidRPr="003F3B94">
        <w:rPr>
          <w:rFonts w:hint="cs"/>
          <w:sz w:val="28"/>
          <w:rtl/>
          <w:lang w:bidi="ar-SY"/>
        </w:rPr>
        <w:t>ر</w:t>
      </w:r>
      <w:r w:rsidR="00953581" w:rsidRPr="003F3B94">
        <w:rPr>
          <w:rFonts w:hint="cs"/>
          <w:sz w:val="28"/>
          <w:rtl/>
          <w:lang w:bidi="ar-SY"/>
        </w:rPr>
        <w:t xml:space="preserve"> </w:t>
      </w:r>
      <w:r w:rsidR="00E24AEB" w:rsidRPr="003F3B94">
        <w:rPr>
          <w:rFonts w:hint="cs"/>
          <w:sz w:val="28"/>
          <w:rtl/>
          <w:lang w:bidi="ar-SY"/>
        </w:rPr>
        <w:t>بلذ</w:t>
      </w:r>
      <w:r w:rsidR="008A48FF" w:rsidRPr="003F3B94">
        <w:rPr>
          <w:rFonts w:hint="cs"/>
          <w:sz w:val="28"/>
          <w:rtl/>
          <w:lang w:bidi="ar-SY"/>
        </w:rPr>
        <w:t>َّ</w:t>
      </w:r>
      <w:r w:rsidR="00E24AEB" w:rsidRPr="003F3B94">
        <w:rPr>
          <w:rFonts w:hint="cs"/>
          <w:sz w:val="28"/>
          <w:rtl/>
          <w:lang w:bidi="ar-SY"/>
        </w:rPr>
        <w:t>ات</w:t>
      </w:r>
      <w:r w:rsidR="00953581" w:rsidRPr="003F3B94">
        <w:rPr>
          <w:rFonts w:hint="cs"/>
          <w:sz w:val="28"/>
          <w:rtl/>
          <w:lang w:bidi="ar-SY"/>
        </w:rPr>
        <w:t xml:space="preserve"> </w:t>
      </w:r>
      <w:r w:rsidR="00E24AEB" w:rsidRPr="003F3B94">
        <w:rPr>
          <w:rFonts w:hint="cs"/>
          <w:sz w:val="28"/>
          <w:rtl/>
          <w:lang w:bidi="ar-SY"/>
        </w:rPr>
        <w:t>النفس</w:t>
      </w:r>
      <w:r w:rsidR="00953581" w:rsidRPr="003F3B94">
        <w:rPr>
          <w:rFonts w:hint="cs"/>
          <w:sz w:val="28"/>
          <w:rtl/>
          <w:lang w:bidi="ar-SY"/>
        </w:rPr>
        <w:t xml:space="preserve"> </w:t>
      </w:r>
      <w:r w:rsidR="00E24AEB" w:rsidRPr="003F3B94">
        <w:rPr>
          <w:rFonts w:hint="cs"/>
          <w:sz w:val="28"/>
          <w:rtl/>
          <w:lang w:bidi="ar-SY"/>
        </w:rPr>
        <w:t>والروح</w:t>
      </w:r>
      <w:r w:rsidR="00953581" w:rsidRPr="003F3B94">
        <w:rPr>
          <w:rFonts w:hint="cs"/>
          <w:sz w:val="28"/>
          <w:rtl/>
          <w:lang w:bidi="ar-SY"/>
        </w:rPr>
        <w:t xml:space="preserve"> </w:t>
      </w:r>
      <w:r w:rsidR="00E24AEB" w:rsidRPr="003F3B94">
        <w:rPr>
          <w:rFonts w:hint="cs"/>
          <w:sz w:val="28"/>
          <w:rtl/>
          <w:lang w:bidi="ar-SY"/>
        </w:rPr>
        <w:t>إلى</w:t>
      </w:r>
      <w:r w:rsidR="00953581" w:rsidRPr="003F3B94">
        <w:rPr>
          <w:rFonts w:hint="cs"/>
          <w:sz w:val="28"/>
          <w:rtl/>
          <w:lang w:bidi="ar-SY"/>
        </w:rPr>
        <w:t xml:space="preserve"> </w:t>
      </w:r>
      <w:r w:rsidR="00E24AEB" w:rsidRPr="003F3B94">
        <w:rPr>
          <w:rFonts w:hint="cs"/>
          <w:sz w:val="28"/>
          <w:rtl/>
          <w:lang w:bidi="ar-SY"/>
        </w:rPr>
        <w:t>ما</w:t>
      </w:r>
      <w:r w:rsidR="00953581" w:rsidRPr="003F3B94">
        <w:rPr>
          <w:rFonts w:hint="cs"/>
          <w:sz w:val="28"/>
          <w:rtl/>
          <w:lang w:bidi="ar-SY"/>
        </w:rPr>
        <w:t xml:space="preserve"> </w:t>
      </w:r>
      <w:r w:rsidR="008A2A49" w:rsidRPr="003F3B94">
        <w:rPr>
          <w:rFonts w:hint="cs"/>
          <w:sz w:val="28"/>
          <w:rtl/>
          <w:lang w:bidi="ar-SY"/>
        </w:rPr>
        <w:t>لا</w:t>
      </w:r>
      <w:r w:rsidR="00953581" w:rsidRPr="003F3B94">
        <w:rPr>
          <w:rFonts w:hint="eastAsia"/>
          <w:sz w:val="28"/>
          <w:rtl/>
          <w:lang w:bidi="ar-SY"/>
        </w:rPr>
        <w:t xml:space="preserve"> </w:t>
      </w:r>
      <w:r w:rsidR="00E24AEB" w:rsidRPr="003F3B94">
        <w:rPr>
          <w:rFonts w:hint="cs"/>
          <w:sz w:val="28"/>
          <w:rtl/>
          <w:lang w:bidi="ar-SY"/>
        </w:rPr>
        <w:t>يمكن</w:t>
      </w:r>
      <w:r w:rsidR="00953581" w:rsidRPr="003F3B94">
        <w:rPr>
          <w:rFonts w:hint="cs"/>
          <w:sz w:val="28"/>
          <w:rtl/>
          <w:lang w:bidi="ar-SY"/>
        </w:rPr>
        <w:t xml:space="preserve"> </w:t>
      </w:r>
      <w:r w:rsidR="00E24AEB" w:rsidRPr="003F3B94">
        <w:rPr>
          <w:rFonts w:hint="cs"/>
          <w:sz w:val="28"/>
          <w:rtl/>
          <w:lang w:bidi="ar-SY"/>
        </w:rPr>
        <w:t>تصوره</w:t>
      </w:r>
      <w:r w:rsidR="00953581" w:rsidRPr="003F3B94">
        <w:rPr>
          <w:rFonts w:hint="cs"/>
          <w:sz w:val="28"/>
          <w:rtl/>
          <w:lang w:bidi="ar-SY"/>
        </w:rPr>
        <w:t xml:space="preserve"> </w:t>
      </w:r>
      <w:r w:rsidR="00A45CF9" w:rsidRPr="003F3B94">
        <w:rPr>
          <w:rFonts w:hint="cs"/>
          <w:sz w:val="28"/>
          <w:rtl/>
          <w:lang w:bidi="ar-SY"/>
        </w:rPr>
        <w:t>وبالرضوان</w:t>
      </w:r>
      <w:r w:rsidR="00953581" w:rsidRPr="003F3B94">
        <w:rPr>
          <w:rFonts w:hint="cs"/>
          <w:sz w:val="28"/>
          <w:rtl/>
          <w:lang w:bidi="ar-SY"/>
        </w:rPr>
        <w:t xml:space="preserve"> </w:t>
      </w:r>
      <w:r w:rsidR="00A45CF9" w:rsidRPr="003F3B94">
        <w:rPr>
          <w:rFonts w:hint="cs"/>
          <w:sz w:val="28"/>
          <w:rtl/>
          <w:lang w:bidi="ar-SY"/>
        </w:rPr>
        <w:t>ا</w:t>
      </w:r>
      <w:r w:rsidR="008A2A49" w:rsidRPr="003F3B94">
        <w:rPr>
          <w:rFonts w:hint="cs"/>
          <w:sz w:val="28"/>
          <w:rtl/>
          <w:lang w:bidi="ar-SY"/>
        </w:rPr>
        <w:t>لإ</w:t>
      </w:r>
      <w:r w:rsidR="00A45CF9" w:rsidRPr="003F3B94">
        <w:rPr>
          <w:rFonts w:hint="cs"/>
          <w:sz w:val="28"/>
          <w:rtl/>
          <w:lang w:bidi="ar-SY"/>
        </w:rPr>
        <w:t>لهي</w:t>
      </w:r>
      <w:r w:rsidR="00953581" w:rsidRPr="003F3B94">
        <w:rPr>
          <w:rFonts w:hint="cs"/>
          <w:sz w:val="28"/>
          <w:rtl/>
          <w:lang w:bidi="ar-SY"/>
        </w:rPr>
        <w:t xml:space="preserve"> </w:t>
      </w:r>
      <w:r w:rsidR="00A45CF9" w:rsidRPr="003F3B94">
        <w:rPr>
          <w:rFonts w:hint="cs"/>
          <w:sz w:val="28"/>
          <w:rtl/>
          <w:lang w:bidi="ar-SY"/>
        </w:rPr>
        <w:t>الذي</w:t>
      </w:r>
      <w:r w:rsidR="00953581" w:rsidRPr="003F3B94">
        <w:rPr>
          <w:rFonts w:hint="cs"/>
          <w:sz w:val="28"/>
          <w:rtl/>
          <w:lang w:bidi="ar-SY"/>
        </w:rPr>
        <w:t xml:space="preserve"> </w:t>
      </w:r>
      <w:r w:rsidR="00A45CF9" w:rsidRPr="003F3B94">
        <w:rPr>
          <w:rFonts w:hint="cs"/>
          <w:sz w:val="28"/>
          <w:rtl/>
          <w:lang w:bidi="ar-SY"/>
        </w:rPr>
        <w:t>ي</w:t>
      </w:r>
      <w:r w:rsidR="008A48FF" w:rsidRPr="003F3B94">
        <w:rPr>
          <w:rFonts w:hint="cs"/>
          <w:sz w:val="28"/>
          <w:rtl/>
          <w:lang w:bidi="ar-SY"/>
        </w:rPr>
        <w:t>و</w:t>
      </w:r>
      <w:r w:rsidR="00A45CF9" w:rsidRPr="003F3B94">
        <w:rPr>
          <w:rFonts w:hint="cs"/>
          <w:sz w:val="28"/>
          <w:rtl/>
          <w:lang w:bidi="ar-SY"/>
        </w:rPr>
        <w:t>صله</w:t>
      </w:r>
      <w:r w:rsidR="00953581" w:rsidRPr="003F3B94">
        <w:rPr>
          <w:rFonts w:hint="cs"/>
          <w:sz w:val="28"/>
          <w:rtl/>
          <w:lang w:bidi="ar-SY"/>
        </w:rPr>
        <w:t xml:space="preserve"> </w:t>
      </w:r>
      <w:r w:rsidR="00A45CF9" w:rsidRPr="003F3B94">
        <w:rPr>
          <w:rFonts w:hint="cs"/>
          <w:sz w:val="28"/>
          <w:rtl/>
          <w:lang w:bidi="ar-SY"/>
        </w:rPr>
        <w:t>إلى</w:t>
      </w:r>
      <w:r w:rsidR="00953581" w:rsidRPr="003F3B94">
        <w:rPr>
          <w:rFonts w:hint="cs"/>
          <w:sz w:val="28"/>
          <w:rtl/>
          <w:lang w:bidi="ar-SY"/>
        </w:rPr>
        <w:t xml:space="preserve"> </w:t>
      </w:r>
      <w:r w:rsidR="00A45CF9" w:rsidRPr="003F3B94">
        <w:rPr>
          <w:rFonts w:hint="cs"/>
          <w:sz w:val="28"/>
          <w:rtl/>
          <w:lang w:bidi="ar-SY"/>
        </w:rPr>
        <w:t>عندية</w:t>
      </w:r>
      <w:r w:rsidR="00953581" w:rsidRPr="003F3B94">
        <w:rPr>
          <w:rFonts w:hint="cs"/>
          <w:sz w:val="28"/>
          <w:rtl/>
          <w:lang w:bidi="ar-SY"/>
        </w:rPr>
        <w:t xml:space="preserve"> </w:t>
      </w:r>
      <w:r w:rsidR="00A45CF9" w:rsidRPr="003F3B94">
        <w:rPr>
          <w:rFonts w:hint="cs"/>
          <w:sz w:val="28"/>
          <w:rtl/>
          <w:lang w:bidi="ar-SY"/>
        </w:rPr>
        <w:t>الذات</w:t>
      </w:r>
      <w:r w:rsidR="00953581" w:rsidRPr="003F3B94">
        <w:rPr>
          <w:rFonts w:hint="cs"/>
          <w:sz w:val="28"/>
          <w:rtl/>
          <w:lang w:bidi="ar-SY"/>
        </w:rPr>
        <w:t xml:space="preserve"> </w:t>
      </w:r>
      <w:r w:rsidR="00A45CF9" w:rsidRPr="003F3B94">
        <w:rPr>
          <w:rFonts w:hint="cs"/>
          <w:sz w:val="28"/>
          <w:rtl/>
          <w:lang w:bidi="ar-SY"/>
        </w:rPr>
        <w:t>ال</w:t>
      </w:r>
      <w:r w:rsidR="008A2A49" w:rsidRPr="003F3B94">
        <w:rPr>
          <w:rFonts w:hint="cs"/>
          <w:sz w:val="28"/>
          <w:rtl/>
          <w:lang w:bidi="ar-SY"/>
        </w:rPr>
        <w:t>لا</w:t>
      </w:r>
      <w:r w:rsidR="00A45CF9" w:rsidRPr="003F3B94">
        <w:rPr>
          <w:rFonts w:hint="cs"/>
          <w:sz w:val="28"/>
          <w:rtl/>
          <w:lang w:bidi="ar-SY"/>
        </w:rPr>
        <w:t>متناهية</w:t>
      </w:r>
      <w:r w:rsidR="00953581" w:rsidRPr="003F3B94">
        <w:rPr>
          <w:rFonts w:hint="cs"/>
          <w:sz w:val="28"/>
          <w:rtl/>
          <w:lang w:bidi="ar-SY"/>
        </w:rPr>
        <w:t xml:space="preserve"> </w:t>
      </w:r>
      <w:r w:rsidR="00A45CF9" w:rsidRPr="003F3B94">
        <w:rPr>
          <w:rFonts w:hint="cs"/>
          <w:sz w:val="28"/>
          <w:rtl/>
          <w:lang w:bidi="ar-SY"/>
        </w:rPr>
        <w:t>التي</w:t>
      </w:r>
      <w:r w:rsidR="00953581" w:rsidRPr="003F3B94">
        <w:rPr>
          <w:rFonts w:hint="cs"/>
          <w:sz w:val="28"/>
          <w:rtl/>
          <w:lang w:bidi="ar-SY"/>
        </w:rPr>
        <w:t xml:space="preserve"> </w:t>
      </w:r>
      <w:r w:rsidR="00A45CF9" w:rsidRPr="003F3B94">
        <w:rPr>
          <w:rFonts w:hint="cs"/>
          <w:sz w:val="28"/>
          <w:rtl/>
          <w:lang w:bidi="ar-SY"/>
        </w:rPr>
        <w:t>هي</w:t>
      </w:r>
      <w:r w:rsidR="00953581" w:rsidRPr="003F3B94">
        <w:rPr>
          <w:rFonts w:hint="cs"/>
          <w:sz w:val="28"/>
          <w:rtl/>
          <w:lang w:bidi="ar-SY"/>
        </w:rPr>
        <w:t xml:space="preserve"> </w:t>
      </w:r>
      <w:r w:rsidR="00A45CF9" w:rsidRPr="003F3B94">
        <w:rPr>
          <w:rFonts w:hint="cs"/>
          <w:sz w:val="28"/>
          <w:rtl/>
          <w:lang w:bidi="ar-SY"/>
        </w:rPr>
        <w:t>غيب</w:t>
      </w:r>
      <w:r w:rsidR="00953581" w:rsidRPr="003F3B94">
        <w:rPr>
          <w:rFonts w:hint="cs"/>
          <w:sz w:val="28"/>
          <w:rtl/>
          <w:lang w:bidi="ar-SY"/>
        </w:rPr>
        <w:t xml:space="preserve"> </w:t>
      </w:r>
      <w:r w:rsidR="00A45CF9" w:rsidRPr="003F3B94">
        <w:rPr>
          <w:rFonts w:hint="cs"/>
          <w:sz w:val="28"/>
          <w:rtl/>
          <w:lang w:bidi="ar-SY"/>
        </w:rPr>
        <w:t>الكمال</w:t>
      </w:r>
      <w:r w:rsidR="00953581" w:rsidRPr="003F3B94">
        <w:rPr>
          <w:rFonts w:hint="cs"/>
          <w:sz w:val="28"/>
          <w:rtl/>
          <w:lang w:bidi="ar-SY"/>
        </w:rPr>
        <w:t xml:space="preserve"> </w:t>
      </w:r>
      <w:r w:rsidR="00A45CF9" w:rsidRPr="003F3B94">
        <w:rPr>
          <w:rFonts w:hint="cs"/>
          <w:sz w:val="28"/>
          <w:rtl/>
          <w:lang w:bidi="ar-SY"/>
        </w:rPr>
        <w:t>و</w:t>
      </w:r>
      <w:r w:rsidR="008A48FF" w:rsidRPr="003F3B94">
        <w:rPr>
          <w:rFonts w:hint="cs"/>
          <w:sz w:val="28"/>
          <w:rtl/>
          <w:lang w:bidi="ar-SY"/>
        </w:rPr>
        <w:t>ي</w:t>
      </w:r>
      <w:r w:rsidR="00A45CF9" w:rsidRPr="003F3B94">
        <w:rPr>
          <w:rFonts w:hint="cs"/>
          <w:sz w:val="28"/>
          <w:rtl/>
          <w:lang w:bidi="ar-SY"/>
        </w:rPr>
        <w:t>منحه</w:t>
      </w:r>
      <w:r w:rsidR="00953581" w:rsidRPr="003F3B94">
        <w:rPr>
          <w:rFonts w:hint="cs"/>
          <w:sz w:val="28"/>
          <w:rtl/>
          <w:lang w:bidi="ar-SY"/>
        </w:rPr>
        <w:t xml:space="preserve"> </w:t>
      </w:r>
      <w:r w:rsidR="00A45CF9" w:rsidRPr="003F3B94">
        <w:rPr>
          <w:rFonts w:hint="cs"/>
          <w:sz w:val="28"/>
          <w:rtl/>
          <w:lang w:bidi="ar-SY"/>
        </w:rPr>
        <w:t>نعماً</w:t>
      </w:r>
      <w:r w:rsidR="00953581" w:rsidRPr="003F3B94">
        <w:rPr>
          <w:rFonts w:hint="cs"/>
          <w:sz w:val="28"/>
          <w:rtl/>
          <w:lang w:bidi="ar-SY"/>
        </w:rPr>
        <w:t xml:space="preserve"> </w:t>
      </w:r>
      <w:r w:rsidR="00A45CF9" w:rsidRPr="003F3B94">
        <w:rPr>
          <w:rFonts w:hint="cs"/>
          <w:sz w:val="28"/>
          <w:rtl/>
          <w:lang w:bidi="ar-SY"/>
        </w:rPr>
        <w:t>وبركاتٍ</w:t>
      </w:r>
      <w:r w:rsidR="00953581" w:rsidRPr="003F3B94">
        <w:rPr>
          <w:rFonts w:hint="cs"/>
          <w:sz w:val="28"/>
          <w:rtl/>
          <w:lang w:bidi="ar-SY"/>
        </w:rPr>
        <w:t xml:space="preserve"> </w:t>
      </w:r>
      <w:r w:rsidR="00A45CF9" w:rsidRPr="003F3B94">
        <w:rPr>
          <w:rFonts w:hint="cs"/>
          <w:sz w:val="28"/>
          <w:rtl/>
          <w:lang w:bidi="ar-SY"/>
        </w:rPr>
        <w:t>أخرى</w:t>
      </w:r>
      <w:r w:rsidR="00953581" w:rsidRPr="003F3B94">
        <w:rPr>
          <w:rFonts w:hint="cs"/>
          <w:sz w:val="28"/>
          <w:rtl/>
          <w:lang w:bidi="ar-SY"/>
        </w:rPr>
        <w:t xml:space="preserve"> </w:t>
      </w:r>
      <w:r w:rsidR="008A2A49" w:rsidRPr="003F3B94">
        <w:rPr>
          <w:rFonts w:hint="cs"/>
          <w:sz w:val="28"/>
          <w:rtl/>
          <w:lang w:bidi="ar-SY"/>
        </w:rPr>
        <w:t>لا</w:t>
      </w:r>
      <w:r w:rsidR="00953581" w:rsidRPr="003F3B94">
        <w:rPr>
          <w:rFonts w:hint="cs"/>
          <w:sz w:val="28"/>
          <w:rtl/>
          <w:lang w:bidi="ar-SY"/>
        </w:rPr>
        <w:t xml:space="preserve"> </w:t>
      </w:r>
      <w:r w:rsidR="00A45CF9" w:rsidRPr="003F3B94">
        <w:rPr>
          <w:rFonts w:hint="cs"/>
          <w:sz w:val="28"/>
          <w:rtl/>
          <w:lang w:bidi="ar-SY"/>
        </w:rPr>
        <w:t>تُحصى</w:t>
      </w:r>
      <w:r w:rsidR="00DD7D67" w:rsidRPr="003F3B94">
        <w:rPr>
          <w:rFonts w:hint="cs"/>
          <w:sz w:val="28"/>
          <w:rtl/>
          <w:lang w:bidi="ar-SY"/>
        </w:rPr>
        <w:t xml:space="preserve"> </w:t>
      </w:r>
      <w:r w:rsidR="00DD7D67" w:rsidRPr="00995B26">
        <w:rPr>
          <w:rFonts w:cs="Traditional Arabic" w:hint="cs"/>
          <w:sz w:val="28"/>
          <w:rtl/>
          <w:lang w:bidi="ar-SY"/>
        </w:rPr>
        <w:t>﴿</w:t>
      </w:r>
      <w:r w:rsidR="00DD7D67" w:rsidRPr="00995B26">
        <w:rPr>
          <w:rFonts w:ascii="KFGQPC Uthmanic Script HAFS" w:cs="KFGQPC Uthmanic Script HAFS" w:hint="eastAsia"/>
          <w:sz w:val="29"/>
          <w:szCs w:val="29"/>
          <w:rtl/>
        </w:rPr>
        <w:t>وَإِن</w:t>
      </w:r>
      <w:r w:rsidR="00DD7D67" w:rsidRPr="00995B26">
        <w:rPr>
          <w:rFonts w:ascii="KFGQPC Uthmanic Script HAFS" w:cs="KFGQPC Uthmanic Script HAFS"/>
          <w:sz w:val="29"/>
          <w:szCs w:val="29"/>
          <w:rtl/>
        </w:rPr>
        <w:t xml:space="preserve"> </w:t>
      </w:r>
      <w:r w:rsidR="00DD7D67" w:rsidRPr="00995B26">
        <w:rPr>
          <w:rFonts w:ascii="KFGQPC Uthmanic Script HAFS" w:cs="KFGQPC Uthmanic Script HAFS" w:hint="eastAsia"/>
          <w:sz w:val="29"/>
          <w:szCs w:val="29"/>
          <w:rtl/>
        </w:rPr>
        <w:t>تَعُدُّواْ</w:t>
      </w:r>
      <w:r w:rsidR="00DD7D67" w:rsidRPr="00995B26">
        <w:rPr>
          <w:rFonts w:ascii="KFGQPC Uthmanic Script HAFS" w:cs="KFGQPC Uthmanic Script HAFS"/>
          <w:sz w:val="29"/>
          <w:szCs w:val="29"/>
          <w:rtl/>
        </w:rPr>
        <w:t xml:space="preserve"> </w:t>
      </w:r>
      <w:r w:rsidR="00DD7D67" w:rsidRPr="00995B26">
        <w:rPr>
          <w:rFonts w:ascii="KFGQPC Uthmanic Script HAFS" w:cs="KFGQPC Uthmanic Script HAFS" w:hint="eastAsia"/>
          <w:sz w:val="29"/>
          <w:szCs w:val="29"/>
          <w:rtl/>
        </w:rPr>
        <w:t>نِع</w:t>
      </w:r>
      <w:r w:rsidR="00DD7D67" w:rsidRPr="00995B26">
        <w:rPr>
          <w:rFonts w:ascii="KFGQPC Uthmanic Script HAFS" w:cs="KFGQPC Uthmanic Script HAFS" w:hint="cs"/>
          <w:sz w:val="29"/>
          <w:szCs w:val="29"/>
          <w:rtl/>
        </w:rPr>
        <w:t>ۡ</w:t>
      </w:r>
      <w:r w:rsidR="00DD7D67" w:rsidRPr="00995B26">
        <w:rPr>
          <w:rFonts w:ascii="KFGQPC Uthmanic Script HAFS" w:cs="KFGQPC Uthmanic Script HAFS" w:hint="eastAsia"/>
          <w:sz w:val="29"/>
          <w:szCs w:val="29"/>
          <w:rtl/>
        </w:rPr>
        <w:t>مَتَ</w:t>
      </w:r>
      <w:r w:rsidR="00DD7D67" w:rsidRPr="00995B26">
        <w:rPr>
          <w:rFonts w:ascii="KFGQPC Uthmanic Script HAFS" w:cs="KFGQPC Uthmanic Script HAFS"/>
          <w:sz w:val="29"/>
          <w:szCs w:val="29"/>
          <w:rtl/>
        </w:rPr>
        <w:t xml:space="preserve"> </w:t>
      </w:r>
      <w:r w:rsidR="00DD7D67" w:rsidRPr="00995B26">
        <w:rPr>
          <w:rFonts w:ascii="KFGQPC Uthmanic Script HAFS" w:cs="KFGQPC Uthmanic Script HAFS" w:hint="cs"/>
          <w:sz w:val="29"/>
          <w:szCs w:val="29"/>
          <w:rtl/>
        </w:rPr>
        <w:t>ٱ</w:t>
      </w:r>
      <w:r w:rsidR="00DD7D67" w:rsidRPr="00995B26">
        <w:rPr>
          <w:rFonts w:ascii="KFGQPC Uthmanic Script HAFS" w:cs="KFGQPC Uthmanic Script HAFS" w:hint="eastAsia"/>
          <w:sz w:val="29"/>
          <w:szCs w:val="29"/>
          <w:rtl/>
        </w:rPr>
        <w:t>للَّهِ</w:t>
      </w:r>
      <w:r w:rsidR="00DD7D67" w:rsidRPr="00995B26">
        <w:rPr>
          <w:rFonts w:ascii="KFGQPC Uthmanic Script HAFS" w:cs="KFGQPC Uthmanic Script HAFS"/>
          <w:sz w:val="29"/>
          <w:szCs w:val="29"/>
          <w:rtl/>
        </w:rPr>
        <w:t xml:space="preserve"> </w:t>
      </w:r>
      <w:r w:rsidR="00DD7D67" w:rsidRPr="00995B26">
        <w:rPr>
          <w:rFonts w:ascii="KFGQPC Uthmanic Script HAFS" w:cs="KFGQPC Uthmanic Script HAFS" w:hint="eastAsia"/>
          <w:sz w:val="29"/>
          <w:szCs w:val="29"/>
          <w:rtl/>
        </w:rPr>
        <w:t>لَا</w:t>
      </w:r>
      <w:r w:rsidR="00DD7D67" w:rsidRPr="00995B26">
        <w:rPr>
          <w:rFonts w:ascii="KFGQPC Uthmanic Script HAFS" w:cs="KFGQPC Uthmanic Script HAFS"/>
          <w:sz w:val="29"/>
          <w:szCs w:val="29"/>
          <w:rtl/>
        </w:rPr>
        <w:t xml:space="preserve"> </w:t>
      </w:r>
      <w:r w:rsidR="00DD7D67" w:rsidRPr="00995B26">
        <w:rPr>
          <w:rFonts w:ascii="KFGQPC Uthmanic Script HAFS" w:cs="KFGQPC Uthmanic Script HAFS" w:hint="eastAsia"/>
          <w:sz w:val="29"/>
          <w:szCs w:val="29"/>
          <w:rtl/>
        </w:rPr>
        <w:t>تُح</w:t>
      </w:r>
      <w:r w:rsidR="00DD7D67" w:rsidRPr="00995B26">
        <w:rPr>
          <w:rFonts w:ascii="KFGQPC Uthmanic Script HAFS" w:cs="KFGQPC Uthmanic Script HAFS" w:hint="cs"/>
          <w:sz w:val="29"/>
          <w:szCs w:val="29"/>
          <w:rtl/>
        </w:rPr>
        <w:t>ۡ</w:t>
      </w:r>
      <w:r w:rsidR="00DD7D67" w:rsidRPr="00995B26">
        <w:rPr>
          <w:rFonts w:ascii="KFGQPC Uthmanic Script HAFS" w:cs="KFGQPC Uthmanic Script HAFS" w:hint="eastAsia"/>
          <w:sz w:val="29"/>
          <w:szCs w:val="29"/>
          <w:rtl/>
        </w:rPr>
        <w:t>صُوهَا</w:t>
      </w:r>
      <w:r w:rsidR="00DD7D67" w:rsidRPr="00995B26">
        <w:rPr>
          <w:rFonts w:ascii="KFGQPC Uthmanic Script HAFS" w:cs="KFGQPC Uthmanic Script HAFS" w:hint="cs"/>
          <w:sz w:val="29"/>
          <w:szCs w:val="29"/>
          <w:rtl/>
        </w:rPr>
        <w:t>ٓ</w:t>
      </w:r>
      <w:r w:rsidR="00DD7D67" w:rsidRPr="00995B26">
        <w:rPr>
          <w:rFonts w:ascii="KFGQPC Uthmanic Script HAFS" w:cs="Times New Roman" w:hint="cs"/>
          <w:sz w:val="29"/>
          <w:szCs w:val="29"/>
          <w:rtl/>
        </w:rPr>
        <w:t>...</w:t>
      </w:r>
      <w:r w:rsidR="00DD7D67" w:rsidRPr="00995B26">
        <w:rPr>
          <w:rFonts w:cs="Traditional Arabic" w:hint="cs"/>
          <w:sz w:val="28"/>
          <w:rtl/>
          <w:lang w:bidi="ar-SY"/>
        </w:rPr>
        <w:t>﴾</w:t>
      </w:r>
      <w:r w:rsidR="00953581" w:rsidRPr="00995B26">
        <w:rPr>
          <w:rFonts w:hint="cs"/>
          <w:sz w:val="28"/>
          <w:rtl/>
          <w:lang w:bidi="ar-SY"/>
        </w:rPr>
        <w:t xml:space="preserve"> </w:t>
      </w:r>
      <w:r w:rsidR="00DD7D67" w:rsidRPr="009E1401">
        <w:rPr>
          <w:rStyle w:val="Char2"/>
          <w:rFonts w:hint="cs"/>
          <w:rtl/>
        </w:rPr>
        <w:t>[</w:t>
      </w:r>
      <w:r w:rsidR="00A45CF9" w:rsidRPr="009E1401">
        <w:rPr>
          <w:rStyle w:val="Char2"/>
          <w:rFonts w:hint="cs"/>
          <w:rtl/>
        </w:rPr>
        <w:t>إبراهيم</w:t>
      </w:r>
      <w:r w:rsidR="00DD7D67" w:rsidRPr="009E1401">
        <w:rPr>
          <w:rStyle w:val="Char2"/>
          <w:rFonts w:hint="cs"/>
          <w:rtl/>
        </w:rPr>
        <w:t xml:space="preserve">: </w:t>
      </w:r>
      <w:r w:rsidR="00A45CF9" w:rsidRPr="009E1401">
        <w:rPr>
          <w:rStyle w:val="Char2"/>
          <w:rFonts w:hint="cs"/>
          <w:rtl/>
        </w:rPr>
        <w:t>34</w:t>
      </w:r>
      <w:r w:rsidR="00DD7D67" w:rsidRPr="009E1401">
        <w:rPr>
          <w:rStyle w:val="Char2"/>
          <w:rFonts w:hint="cs"/>
          <w:rtl/>
        </w:rPr>
        <w:t>]</w:t>
      </w:r>
      <w:r w:rsidR="00217AB4" w:rsidRPr="00995B26">
        <w:rPr>
          <w:rFonts w:hint="cs"/>
          <w:sz w:val="28"/>
          <w:rtl/>
          <w:lang w:bidi="ar-SY"/>
        </w:rPr>
        <w:t>.</w:t>
      </w:r>
    </w:p>
    <w:p w:rsidR="00A45CF9" w:rsidRPr="003F3B94" w:rsidRDefault="00A45CF9" w:rsidP="003F3B94">
      <w:pPr>
        <w:pStyle w:val="a0"/>
        <w:rPr>
          <w:rFonts w:hint="cs"/>
          <w:rtl/>
          <w:lang w:bidi="ar-SY"/>
        </w:rPr>
      </w:pPr>
      <w:r w:rsidRPr="003F3B94">
        <w:rPr>
          <w:rFonts w:hint="cs"/>
          <w:sz w:val="28"/>
          <w:rtl/>
          <w:lang w:bidi="ar-SY"/>
        </w:rPr>
        <w:t>ولكن</w:t>
      </w:r>
      <w:r w:rsidR="00953581" w:rsidRPr="003F3B94">
        <w:rPr>
          <w:rFonts w:hint="cs"/>
          <w:sz w:val="28"/>
          <w:rtl/>
          <w:lang w:bidi="ar-SY"/>
        </w:rPr>
        <w:t xml:space="preserve"> </w:t>
      </w:r>
      <w:r w:rsidR="004B414A" w:rsidRPr="003F3B94">
        <w:rPr>
          <w:rFonts w:hint="cs"/>
          <w:sz w:val="28"/>
          <w:rtl/>
          <w:lang w:bidi="ar-SY"/>
        </w:rPr>
        <w:t>واحسرتاه</w:t>
      </w:r>
      <w:r w:rsidR="00217AB4" w:rsidRPr="003F3B94">
        <w:rPr>
          <w:rFonts w:hint="cs"/>
          <w:sz w:val="28"/>
          <w:rtl/>
          <w:lang w:bidi="ar-SY"/>
        </w:rPr>
        <w:t>،</w:t>
      </w:r>
      <w:r w:rsidR="00953581" w:rsidRPr="003F3B94">
        <w:rPr>
          <w:rFonts w:hint="cs"/>
          <w:sz w:val="28"/>
          <w:rtl/>
          <w:lang w:bidi="ar-SY"/>
        </w:rPr>
        <w:t xml:space="preserve"> </w:t>
      </w:r>
      <w:r w:rsidR="004B414A" w:rsidRPr="003F3B94">
        <w:rPr>
          <w:rFonts w:hint="cs"/>
          <w:sz w:val="28"/>
          <w:rtl/>
          <w:lang w:bidi="ar-SY"/>
        </w:rPr>
        <w:t>وو</w:t>
      </w:r>
      <w:r w:rsidR="00D26D5F" w:rsidRPr="003F3B94">
        <w:rPr>
          <w:rFonts w:hint="cs"/>
          <w:sz w:val="28"/>
          <w:rtl/>
          <w:lang w:bidi="ar-SY"/>
        </w:rPr>
        <w:t>ا</w:t>
      </w:r>
      <w:r w:rsidR="004B414A" w:rsidRPr="003F3B94">
        <w:rPr>
          <w:rFonts w:hint="cs"/>
          <w:sz w:val="28"/>
          <w:rtl/>
          <w:lang w:bidi="ar-SY"/>
        </w:rPr>
        <w:t>أسفاه</w:t>
      </w:r>
      <w:r w:rsidR="00217AB4" w:rsidRPr="003F3B94">
        <w:rPr>
          <w:rFonts w:hint="cs"/>
          <w:sz w:val="28"/>
          <w:rtl/>
          <w:lang w:bidi="ar-SY"/>
        </w:rPr>
        <w:t>،</w:t>
      </w:r>
      <w:r w:rsidR="00953581" w:rsidRPr="003F3B94">
        <w:rPr>
          <w:rFonts w:hint="cs"/>
          <w:sz w:val="28"/>
          <w:rtl/>
          <w:lang w:bidi="ar-SY"/>
        </w:rPr>
        <w:t xml:space="preserve"> </w:t>
      </w:r>
      <w:r w:rsidR="0029655B" w:rsidRPr="003F3B94">
        <w:rPr>
          <w:rFonts w:hint="cs"/>
          <w:sz w:val="28"/>
          <w:rtl/>
          <w:lang w:bidi="ar-SY"/>
        </w:rPr>
        <w:t>لم</w:t>
      </w:r>
      <w:r w:rsidR="00953581" w:rsidRPr="003F3B94">
        <w:rPr>
          <w:rFonts w:hint="cs"/>
          <w:sz w:val="28"/>
          <w:rtl/>
          <w:lang w:bidi="ar-SY"/>
        </w:rPr>
        <w:t xml:space="preserve"> </w:t>
      </w:r>
      <w:r w:rsidR="0029655B" w:rsidRPr="003F3B94">
        <w:rPr>
          <w:rFonts w:hint="cs"/>
          <w:sz w:val="28"/>
          <w:rtl/>
          <w:lang w:bidi="ar-SY"/>
        </w:rPr>
        <w:t>تمضِ</w:t>
      </w:r>
      <w:r w:rsidR="00953581" w:rsidRPr="003F3B94">
        <w:rPr>
          <w:rFonts w:hint="cs"/>
          <w:sz w:val="28"/>
          <w:rtl/>
          <w:lang w:bidi="ar-SY"/>
        </w:rPr>
        <w:t xml:space="preserve"> </w:t>
      </w:r>
      <w:r w:rsidR="0029655B" w:rsidRPr="003F3B94">
        <w:rPr>
          <w:rFonts w:hint="cs"/>
          <w:sz w:val="28"/>
          <w:rtl/>
          <w:lang w:bidi="ar-SY"/>
        </w:rPr>
        <w:t>عدة</w:t>
      </w:r>
      <w:r w:rsidR="00953581" w:rsidRPr="003F3B94">
        <w:rPr>
          <w:rFonts w:hint="cs"/>
          <w:sz w:val="28"/>
          <w:rtl/>
          <w:lang w:bidi="ar-SY"/>
        </w:rPr>
        <w:t xml:space="preserve"> </w:t>
      </w:r>
      <w:r w:rsidR="0029655B" w:rsidRPr="003F3B94">
        <w:rPr>
          <w:rFonts w:hint="cs"/>
          <w:sz w:val="28"/>
          <w:rtl/>
          <w:lang w:bidi="ar-SY"/>
        </w:rPr>
        <w:t>سنوات</w:t>
      </w:r>
      <w:r w:rsidR="00953581" w:rsidRPr="003F3B94">
        <w:rPr>
          <w:rFonts w:hint="cs"/>
          <w:sz w:val="28"/>
          <w:rtl/>
          <w:lang w:bidi="ar-SY"/>
        </w:rPr>
        <w:t xml:space="preserve"> </w:t>
      </w:r>
      <w:r w:rsidR="0029655B" w:rsidRPr="003F3B94">
        <w:rPr>
          <w:rFonts w:hint="cs"/>
          <w:sz w:val="28"/>
          <w:rtl/>
          <w:lang w:bidi="ar-SY"/>
        </w:rPr>
        <w:t>على</w:t>
      </w:r>
      <w:r w:rsidR="00953581" w:rsidRPr="003F3B94">
        <w:rPr>
          <w:rFonts w:hint="cs"/>
          <w:sz w:val="28"/>
          <w:rtl/>
          <w:lang w:bidi="ar-SY"/>
        </w:rPr>
        <w:t xml:space="preserve"> </w:t>
      </w:r>
      <w:r w:rsidR="0029655B" w:rsidRPr="003F3B94">
        <w:rPr>
          <w:rFonts w:hint="cs"/>
          <w:sz w:val="28"/>
          <w:rtl/>
          <w:lang w:bidi="ar-SY"/>
        </w:rPr>
        <w:t>غروب</w:t>
      </w:r>
      <w:r w:rsidR="00953581" w:rsidRPr="003F3B94">
        <w:rPr>
          <w:rFonts w:hint="cs"/>
          <w:sz w:val="28"/>
          <w:rtl/>
          <w:lang w:bidi="ar-SY"/>
        </w:rPr>
        <w:t xml:space="preserve"> </w:t>
      </w:r>
      <w:r w:rsidR="0029655B" w:rsidRPr="003F3B94">
        <w:rPr>
          <w:rFonts w:hint="cs"/>
          <w:sz w:val="28"/>
          <w:rtl/>
          <w:lang w:bidi="ar-SY"/>
        </w:rPr>
        <w:t>شمس</w:t>
      </w:r>
      <w:r w:rsidR="00953581" w:rsidRPr="003F3B94">
        <w:rPr>
          <w:rFonts w:hint="cs"/>
          <w:sz w:val="28"/>
          <w:rtl/>
          <w:lang w:bidi="ar-SY"/>
        </w:rPr>
        <w:t xml:space="preserve"> </w:t>
      </w:r>
      <w:r w:rsidR="0029655B" w:rsidRPr="003F3B94">
        <w:rPr>
          <w:rFonts w:hint="cs"/>
          <w:sz w:val="28"/>
          <w:rtl/>
          <w:lang w:bidi="ar-SY"/>
        </w:rPr>
        <w:t>النبو</w:t>
      </w:r>
      <w:r w:rsidR="008A48FF" w:rsidRPr="003F3B94">
        <w:rPr>
          <w:rFonts w:hint="cs"/>
          <w:sz w:val="28"/>
          <w:rtl/>
          <w:lang w:bidi="ar-SY"/>
        </w:rPr>
        <w:t>َّ</w:t>
      </w:r>
      <w:r w:rsidR="0029655B" w:rsidRPr="003F3B94">
        <w:rPr>
          <w:rFonts w:hint="cs"/>
          <w:sz w:val="28"/>
          <w:rtl/>
          <w:lang w:bidi="ar-SY"/>
        </w:rPr>
        <w:t>ة</w:t>
      </w:r>
      <w:r w:rsidR="00953581" w:rsidRPr="003F3B94">
        <w:rPr>
          <w:rFonts w:hint="cs"/>
          <w:sz w:val="28"/>
          <w:rtl/>
          <w:lang w:bidi="ar-SY"/>
        </w:rPr>
        <w:t xml:space="preserve"> </w:t>
      </w:r>
      <w:r w:rsidR="0029655B" w:rsidRPr="003F3B94">
        <w:rPr>
          <w:rFonts w:hint="cs"/>
          <w:sz w:val="28"/>
          <w:rtl/>
          <w:lang w:bidi="ar-SY"/>
        </w:rPr>
        <w:t>حتى</w:t>
      </w:r>
      <w:r w:rsidR="00953581" w:rsidRPr="003F3B94">
        <w:rPr>
          <w:rFonts w:hint="cs"/>
          <w:sz w:val="28"/>
          <w:rtl/>
          <w:lang w:bidi="ar-SY"/>
        </w:rPr>
        <w:t xml:space="preserve"> </w:t>
      </w:r>
      <w:r w:rsidR="0029655B" w:rsidRPr="003F3B94">
        <w:rPr>
          <w:rFonts w:hint="cs"/>
          <w:sz w:val="28"/>
          <w:rtl/>
          <w:lang w:bidi="ar-SY"/>
        </w:rPr>
        <w:t>انبعثت</w:t>
      </w:r>
      <w:r w:rsidR="00953581" w:rsidRPr="003F3B94">
        <w:rPr>
          <w:rFonts w:hint="cs"/>
          <w:sz w:val="28"/>
          <w:rtl/>
          <w:lang w:bidi="ar-SY"/>
        </w:rPr>
        <w:t xml:space="preserve"> </w:t>
      </w:r>
      <w:r w:rsidR="0029655B" w:rsidRPr="003F3B94">
        <w:rPr>
          <w:rFonts w:hint="cs"/>
          <w:sz w:val="28"/>
          <w:rtl/>
          <w:lang w:bidi="ar-SY"/>
        </w:rPr>
        <w:t>من</w:t>
      </w:r>
      <w:r w:rsidR="00953581" w:rsidRPr="003F3B94">
        <w:rPr>
          <w:rFonts w:hint="cs"/>
          <w:sz w:val="28"/>
          <w:rtl/>
          <w:lang w:bidi="ar-SY"/>
        </w:rPr>
        <w:t xml:space="preserve"> </w:t>
      </w:r>
      <w:r w:rsidR="0029655B" w:rsidRPr="003F3B94">
        <w:rPr>
          <w:rFonts w:hint="cs"/>
          <w:sz w:val="28"/>
          <w:rtl/>
          <w:lang w:bidi="ar-SY"/>
        </w:rPr>
        <w:t>جديد</w:t>
      </w:r>
      <w:r w:rsidR="00953581" w:rsidRPr="003F3B94">
        <w:rPr>
          <w:rFonts w:hint="cs"/>
          <w:sz w:val="28"/>
          <w:rtl/>
          <w:lang w:bidi="ar-SY"/>
        </w:rPr>
        <w:t xml:space="preserve"> </w:t>
      </w:r>
      <w:r w:rsidR="0029655B" w:rsidRPr="003F3B94">
        <w:rPr>
          <w:rFonts w:hint="cs"/>
          <w:sz w:val="28"/>
          <w:rtl/>
          <w:lang w:bidi="ar-SY"/>
        </w:rPr>
        <w:t>تلك</w:t>
      </w:r>
      <w:r w:rsidR="00953581" w:rsidRPr="003F3B94">
        <w:rPr>
          <w:rFonts w:hint="cs"/>
          <w:sz w:val="28"/>
          <w:rtl/>
          <w:lang w:bidi="ar-SY"/>
        </w:rPr>
        <w:t xml:space="preserve"> </w:t>
      </w:r>
      <w:r w:rsidR="0029655B" w:rsidRPr="003F3B94">
        <w:rPr>
          <w:rFonts w:hint="cs"/>
          <w:sz w:val="28"/>
          <w:rtl/>
          <w:lang w:bidi="ar-SY"/>
        </w:rPr>
        <w:t>ا</w:t>
      </w:r>
      <w:r w:rsidR="008A2A49" w:rsidRPr="003F3B94">
        <w:rPr>
          <w:rFonts w:hint="cs"/>
          <w:sz w:val="28"/>
          <w:rtl/>
          <w:lang w:bidi="ar-SY"/>
        </w:rPr>
        <w:t>لآ</w:t>
      </w:r>
      <w:r w:rsidR="0029655B" w:rsidRPr="003F3B94">
        <w:rPr>
          <w:rFonts w:hint="cs"/>
          <w:sz w:val="28"/>
          <w:rtl/>
          <w:lang w:bidi="ar-SY"/>
        </w:rPr>
        <w:t>فات</w:t>
      </w:r>
      <w:r w:rsidR="00953581" w:rsidRPr="003F3B94">
        <w:rPr>
          <w:rFonts w:hint="cs"/>
          <w:sz w:val="28"/>
          <w:rtl/>
          <w:lang w:bidi="ar-SY"/>
        </w:rPr>
        <w:t xml:space="preserve"> </w:t>
      </w:r>
      <w:r w:rsidR="0029655B" w:rsidRPr="003F3B94">
        <w:rPr>
          <w:rFonts w:hint="cs"/>
          <w:sz w:val="28"/>
          <w:rtl/>
          <w:lang w:bidi="ar-SY"/>
        </w:rPr>
        <w:t>ذاتها</w:t>
      </w:r>
      <w:r w:rsidR="00953581" w:rsidRPr="003F3B94">
        <w:rPr>
          <w:rFonts w:hint="cs"/>
          <w:sz w:val="28"/>
          <w:rtl/>
          <w:lang w:bidi="ar-SY"/>
        </w:rPr>
        <w:t xml:space="preserve"> </w:t>
      </w:r>
      <w:r w:rsidR="0029655B" w:rsidRPr="003F3B94">
        <w:rPr>
          <w:rFonts w:hint="cs"/>
          <w:sz w:val="28"/>
          <w:rtl/>
          <w:lang w:bidi="ar-SY"/>
        </w:rPr>
        <w:t>التي</w:t>
      </w:r>
      <w:r w:rsidR="00953581" w:rsidRPr="003F3B94">
        <w:rPr>
          <w:rFonts w:hint="cs"/>
          <w:sz w:val="28"/>
          <w:rtl/>
          <w:lang w:bidi="ar-SY"/>
        </w:rPr>
        <w:t xml:space="preserve"> </w:t>
      </w:r>
      <w:r w:rsidR="0029655B" w:rsidRPr="003F3B94">
        <w:rPr>
          <w:rFonts w:hint="cs"/>
          <w:sz w:val="28"/>
          <w:rtl/>
          <w:lang w:bidi="ar-SY"/>
        </w:rPr>
        <w:t>كانت</w:t>
      </w:r>
      <w:r w:rsidR="00953581" w:rsidRPr="003F3B94">
        <w:rPr>
          <w:rFonts w:hint="cs"/>
          <w:sz w:val="28"/>
          <w:rtl/>
          <w:lang w:bidi="ar-SY"/>
        </w:rPr>
        <w:t xml:space="preserve"> </w:t>
      </w:r>
      <w:r w:rsidR="0029655B" w:rsidRPr="003F3B94">
        <w:rPr>
          <w:rFonts w:hint="cs"/>
          <w:sz w:val="28"/>
          <w:rtl/>
          <w:lang w:bidi="ar-SY"/>
        </w:rPr>
        <w:t>تتع</w:t>
      </w:r>
      <w:r w:rsidR="007826C4" w:rsidRPr="003F3B94">
        <w:rPr>
          <w:rFonts w:hint="cs"/>
          <w:sz w:val="28"/>
          <w:rtl/>
          <w:lang w:bidi="ar-SY"/>
        </w:rPr>
        <w:t>قب</w:t>
      </w:r>
      <w:r w:rsidR="00953581" w:rsidRPr="003F3B94">
        <w:rPr>
          <w:rFonts w:hint="cs"/>
          <w:sz w:val="28"/>
          <w:rtl/>
          <w:lang w:bidi="ar-SY"/>
        </w:rPr>
        <w:t xml:space="preserve"> </w:t>
      </w:r>
      <w:r w:rsidR="007826C4" w:rsidRPr="003F3B94">
        <w:rPr>
          <w:rFonts w:hint="cs"/>
          <w:sz w:val="28"/>
          <w:rtl/>
          <w:lang w:bidi="ar-SY"/>
        </w:rPr>
        <w:t>هذه</w:t>
      </w:r>
      <w:r w:rsidR="00953581" w:rsidRPr="003F3B94">
        <w:rPr>
          <w:rFonts w:hint="cs"/>
          <w:sz w:val="28"/>
          <w:rtl/>
          <w:lang w:bidi="ar-SY"/>
        </w:rPr>
        <w:t xml:space="preserve"> </w:t>
      </w:r>
      <w:r w:rsidR="007826C4" w:rsidRPr="003F3B94">
        <w:rPr>
          <w:rFonts w:hint="cs"/>
          <w:sz w:val="28"/>
          <w:rtl/>
          <w:lang w:bidi="ar-SY"/>
        </w:rPr>
        <w:t>البركات</w:t>
      </w:r>
      <w:r w:rsidR="00953581" w:rsidRPr="003F3B94">
        <w:rPr>
          <w:rFonts w:hint="cs"/>
          <w:sz w:val="28"/>
          <w:rtl/>
          <w:lang w:bidi="ar-SY"/>
        </w:rPr>
        <w:t xml:space="preserve"> </w:t>
      </w:r>
      <w:r w:rsidR="007826C4" w:rsidRPr="003F3B94">
        <w:rPr>
          <w:rFonts w:hint="cs"/>
          <w:sz w:val="28"/>
          <w:rtl/>
          <w:lang w:bidi="ar-SY"/>
        </w:rPr>
        <w:t>على</w:t>
      </w:r>
      <w:r w:rsidR="00953581" w:rsidRPr="003F3B94">
        <w:rPr>
          <w:rFonts w:hint="cs"/>
          <w:sz w:val="28"/>
          <w:rtl/>
          <w:lang w:bidi="ar-SY"/>
        </w:rPr>
        <w:t xml:space="preserve"> </w:t>
      </w:r>
      <w:r w:rsidR="007826C4" w:rsidRPr="003F3B94">
        <w:rPr>
          <w:rFonts w:hint="cs"/>
          <w:sz w:val="28"/>
          <w:rtl/>
          <w:lang w:bidi="ar-SY"/>
        </w:rPr>
        <w:t>الدوام</w:t>
      </w:r>
      <w:r w:rsidR="00217AB4" w:rsidRPr="003F3B94">
        <w:rPr>
          <w:rFonts w:hint="cs"/>
          <w:sz w:val="28"/>
          <w:rtl/>
          <w:lang w:bidi="ar-SY"/>
        </w:rPr>
        <w:t>،</w:t>
      </w:r>
      <w:r w:rsidR="00953581" w:rsidRPr="003F3B94">
        <w:rPr>
          <w:rFonts w:hint="cs"/>
          <w:sz w:val="28"/>
          <w:rtl/>
          <w:lang w:bidi="ar-SY"/>
        </w:rPr>
        <w:t xml:space="preserve"> </w:t>
      </w:r>
      <w:r w:rsidR="007826C4" w:rsidRPr="003F3B94">
        <w:rPr>
          <w:rFonts w:hint="cs"/>
          <w:sz w:val="28"/>
          <w:rtl/>
          <w:lang w:bidi="ar-SY"/>
        </w:rPr>
        <w:t>ونبت</w:t>
      </w:r>
      <w:r w:rsidR="00953581" w:rsidRPr="003F3B94">
        <w:rPr>
          <w:rFonts w:hint="cs"/>
          <w:sz w:val="28"/>
          <w:rtl/>
          <w:lang w:bidi="ar-SY"/>
        </w:rPr>
        <w:t xml:space="preserve"> </w:t>
      </w:r>
      <w:r w:rsidR="0029655B" w:rsidRPr="003F3B94">
        <w:rPr>
          <w:rFonts w:hint="cs"/>
          <w:sz w:val="28"/>
          <w:rtl/>
          <w:lang w:bidi="ar-SY"/>
        </w:rPr>
        <w:t>التقليد</w:t>
      </w:r>
      <w:r w:rsidR="00953581" w:rsidRPr="003F3B94">
        <w:rPr>
          <w:rFonts w:hint="cs"/>
          <w:sz w:val="28"/>
          <w:rtl/>
          <w:lang w:bidi="ar-SY"/>
        </w:rPr>
        <w:t xml:space="preserve"> </w:t>
      </w:r>
      <w:r w:rsidR="0029655B" w:rsidRPr="003F3B94">
        <w:rPr>
          <w:rFonts w:hint="cs"/>
          <w:sz w:val="28"/>
          <w:rtl/>
          <w:lang w:bidi="ar-SY"/>
        </w:rPr>
        <w:t>والتعصب</w:t>
      </w:r>
      <w:r w:rsidR="00953581" w:rsidRPr="003F3B94">
        <w:rPr>
          <w:rFonts w:hint="cs"/>
          <w:sz w:val="28"/>
          <w:rtl/>
          <w:lang w:bidi="ar-SY"/>
        </w:rPr>
        <w:t xml:space="preserve"> </w:t>
      </w:r>
      <w:r w:rsidR="0029655B" w:rsidRPr="003F3B94">
        <w:rPr>
          <w:rFonts w:hint="cs"/>
          <w:sz w:val="28"/>
          <w:rtl/>
          <w:lang w:bidi="ar-SY"/>
        </w:rPr>
        <w:t>لنحلة</w:t>
      </w:r>
      <w:r w:rsidR="00953581" w:rsidRPr="003F3B94">
        <w:rPr>
          <w:rFonts w:hint="cs"/>
          <w:sz w:val="28"/>
          <w:rtl/>
          <w:lang w:bidi="ar-SY"/>
        </w:rPr>
        <w:t xml:space="preserve"> </w:t>
      </w:r>
      <w:r w:rsidR="0029655B" w:rsidRPr="003F3B94">
        <w:rPr>
          <w:rFonts w:hint="cs"/>
          <w:sz w:val="28"/>
          <w:rtl/>
          <w:lang w:bidi="ar-SY"/>
        </w:rPr>
        <w:t>ا</w:t>
      </w:r>
      <w:r w:rsidR="008A2A49" w:rsidRPr="003F3B94">
        <w:rPr>
          <w:rFonts w:hint="cs"/>
          <w:sz w:val="28"/>
          <w:rtl/>
          <w:lang w:bidi="ar-SY"/>
        </w:rPr>
        <w:t>لآ</w:t>
      </w:r>
      <w:r w:rsidR="0029655B" w:rsidRPr="003F3B94">
        <w:rPr>
          <w:rFonts w:hint="cs"/>
          <w:sz w:val="28"/>
          <w:rtl/>
          <w:lang w:bidi="ar-SY"/>
        </w:rPr>
        <w:t>باء</w:t>
      </w:r>
      <w:r w:rsidR="00953581" w:rsidRPr="003F3B94">
        <w:rPr>
          <w:rFonts w:hint="cs"/>
          <w:sz w:val="28"/>
          <w:rtl/>
          <w:lang w:bidi="ar-SY"/>
        </w:rPr>
        <w:t xml:space="preserve"> </w:t>
      </w:r>
      <w:r w:rsidR="0029655B" w:rsidRPr="003F3B94">
        <w:rPr>
          <w:rFonts w:hint="cs"/>
          <w:sz w:val="28"/>
          <w:rtl/>
          <w:lang w:bidi="ar-SY"/>
        </w:rPr>
        <w:t>وا</w:t>
      </w:r>
      <w:r w:rsidR="008A2A49" w:rsidRPr="003F3B94">
        <w:rPr>
          <w:rFonts w:hint="cs"/>
          <w:sz w:val="28"/>
          <w:rtl/>
          <w:lang w:bidi="ar-SY"/>
        </w:rPr>
        <w:t>لأ</w:t>
      </w:r>
      <w:r w:rsidR="0029655B" w:rsidRPr="003F3B94">
        <w:rPr>
          <w:rFonts w:hint="cs"/>
          <w:sz w:val="28"/>
          <w:rtl/>
          <w:lang w:bidi="ar-SY"/>
        </w:rPr>
        <w:t>جداد</w:t>
      </w:r>
      <w:r w:rsidR="00953581" w:rsidRPr="003F3B94">
        <w:rPr>
          <w:rFonts w:hint="cs"/>
          <w:sz w:val="28"/>
          <w:rtl/>
          <w:lang w:bidi="ar-SY"/>
        </w:rPr>
        <w:t xml:space="preserve"> </w:t>
      </w:r>
      <w:r w:rsidR="007826C4" w:rsidRPr="003F3B94">
        <w:rPr>
          <w:rFonts w:hint="cs"/>
          <w:sz w:val="28"/>
          <w:rtl/>
          <w:lang w:bidi="ar-SY"/>
        </w:rPr>
        <w:t>من</w:t>
      </w:r>
      <w:r w:rsidR="00953581" w:rsidRPr="003F3B94">
        <w:rPr>
          <w:rFonts w:hint="cs"/>
          <w:sz w:val="28"/>
          <w:rtl/>
          <w:lang w:bidi="ar-SY"/>
        </w:rPr>
        <w:t xml:space="preserve"> </w:t>
      </w:r>
      <w:r w:rsidR="007826C4" w:rsidRPr="003F3B94">
        <w:rPr>
          <w:rFonts w:hint="cs"/>
          <w:sz w:val="28"/>
          <w:rtl/>
          <w:lang w:bidi="ar-SY"/>
        </w:rPr>
        <w:t>سبخة</w:t>
      </w:r>
      <w:r w:rsidR="00953581" w:rsidRPr="003F3B94">
        <w:rPr>
          <w:rFonts w:hint="cs"/>
          <w:sz w:val="28"/>
          <w:rtl/>
          <w:lang w:bidi="ar-SY"/>
        </w:rPr>
        <w:t xml:space="preserve"> </w:t>
      </w:r>
      <w:r w:rsidR="007826C4" w:rsidRPr="003F3B94">
        <w:rPr>
          <w:rFonts w:hint="cs"/>
          <w:sz w:val="28"/>
          <w:rtl/>
          <w:lang w:bidi="ar-SY"/>
        </w:rPr>
        <w:t>الجاهلية</w:t>
      </w:r>
      <w:r w:rsidR="00953581" w:rsidRPr="003F3B94">
        <w:rPr>
          <w:rFonts w:hint="cs"/>
          <w:sz w:val="28"/>
          <w:rtl/>
          <w:lang w:bidi="ar-SY"/>
        </w:rPr>
        <w:t xml:space="preserve"> </w:t>
      </w:r>
      <w:r w:rsidR="007826C4" w:rsidRPr="003F3B94">
        <w:rPr>
          <w:rFonts w:hint="cs"/>
          <w:sz w:val="28"/>
          <w:rtl/>
          <w:lang w:bidi="ar-SY"/>
        </w:rPr>
        <w:t>المالحة</w:t>
      </w:r>
      <w:r w:rsidR="00953581" w:rsidRPr="003F3B94">
        <w:rPr>
          <w:rFonts w:hint="cs"/>
          <w:sz w:val="28"/>
          <w:rtl/>
          <w:lang w:bidi="ar-SY"/>
        </w:rPr>
        <w:t xml:space="preserve"> </w:t>
      </w:r>
      <w:r w:rsidR="008A48FF" w:rsidRPr="003F3B94">
        <w:rPr>
          <w:rFonts w:hint="cs"/>
          <w:sz w:val="28"/>
          <w:rtl/>
          <w:lang w:bidi="ar-SY"/>
        </w:rPr>
        <w:t>ف</w:t>
      </w:r>
      <w:r w:rsidR="007826C4" w:rsidRPr="003F3B94">
        <w:rPr>
          <w:rFonts w:hint="cs"/>
          <w:sz w:val="28"/>
          <w:rtl/>
          <w:lang w:bidi="ar-SY"/>
        </w:rPr>
        <w:t>صار</w:t>
      </w:r>
      <w:r w:rsidR="00953581" w:rsidRPr="003F3B94">
        <w:rPr>
          <w:rFonts w:hint="cs"/>
          <w:sz w:val="28"/>
          <w:rtl/>
          <w:lang w:bidi="ar-SY"/>
        </w:rPr>
        <w:t xml:space="preserve"> </w:t>
      </w:r>
      <w:r w:rsidR="007826C4" w:rsidRPr="003F3B94">
        <w:rPr>
          <w:rFonts w:hint="cs"/>
          <w:sz w:val="28"/>
          <w:rtl/>
          <w:lang w:bidi="ar-SY"/>
        </w:rPr>
        <w:t>كا</w:t>
      </w:r>
      <w:r w:rsidR="008A2A49" w:rsidRPr="003F3B94">
        <w:rPr>
          <w:rFonts w:hint="cs"/>
          <w:sz w:val="28"/>
          <w:rtl/>
          <w:lang w:bidi="ar-SY"/>
        </w:rPr>
        <w:t>لأ</w:t>
      </w:r>
      <w:r w:rsidR="007826C4" w:rsidRPr="003F3B94">
        <w:rPr>
          <w:rFonts w:hint="cs"/>
          <w:sz w:val="28"/>
          <w:rtl/>
          <w:lang w:bidi="ar-SY"/>
        </w:rPr>
        <w:t>عشاب</w:t>
      </w:r>
      <w:r w:rsidR="00953581" w:rsidRPr="003F3B94">
        <w:rPr>
          <w:rFonts w:hint="cs"/>
          <w:sz w:val="28"/>
          <w:rtl/>
          <w:lang w:bidi="ar-SY"/>
        </w:rPr>
        <w:t xml:space="preserve"> </w:t>
      </w:r>
      <w:r w:rsidR="007826C4" w:rsidRPr="003F3B94">
        <w:rPr>
          <w:rFonts w:hint="cs"/>
          <w:sz w:val="28"/>
          <w:rtl/>
          <w:lang w:bidi="ar-SY"/>
        </w:rPr>
        <w:t>الضارةِ</w:t>
      </w:r>
      <w:r w:rsidR="00953581" w:rsidRPr="003F3B94">
        <w:rPr>
          <w:rFonts w:hint="cs"/>
          <w:sz w:val="28"/>
          <w:rtl/>
          <w:lang w:bidi="ar-SY"/>
        </w:rPr>
        <w:t xml:space="preserve"> </w:t>
      </w:r>
      <w:r w:rsidR="007826C4" w:rsidRPr="003F3B94">
        <w:rPr>
          <w:rFonts w:hint="cs"/>
          <w:sz w:val="28"/>
          <w:rtl/>
          <w:lang w:bidi="ar-SY"/>
        </w:rPr>
        <w:t>التي</w:t>
      </w:r>
      <w:r w:rsidR="00953581" w:rsidRPr="003F3B94">
        <w:rPr>
          <w:rFonts w:hint="cs"/>
          <w:sz w:val="28"/>
          <w:rtl/>
          <w:lang w:bidi="ar-SY"/>
        </w:rPr>
        <w:t xml:space="preserve"> </w:t>
      </w:r>
      <w:r w:rsidR="007826C4" w:rsidRPr="003F3B94">
        <w:rPr>
          <w:rFonts w:hint="cs"/>
          <w:sz w:val="28"/>
          <w:rtl/>
          <w:lang w:bidi="ar-SY"/>
        </w:rPr>
        <w:t>تحيط</w:t>
      </w:r>
      <w:r w:rsidR="00953581" w:rsidRPr="003F3B94">
        <w:rPr>
          <w:rFonts w:hint="cs"/>
          <w:sz w:val="28"/>
          <w:rtl/>
          <w:lang w:bidi="ar-SY"/>
        </w:rPr>
        <w:t xml:space="preserve"> </w:t>
      </w:r>
      <w:r w:rsidR="007826C4" w:rsidRPr="003F3B94">
        <w:rPr>
          <w:rFonts w:hint="cs"/>
          <w:sz w:val="28"/>
          <w:rtl/>
          <w:lang w:bidi="ar-SY"/>
        </w:rPr>
        <w:t>بورود</w:t>
      </w:r>
      <w:r w:rsidR="00953581" w:rsidRPr="003F3B94">
        <w:rPr>
          <w:rFonts w:hint="cs"/>
          <w:sz w:val="28"/>
          <w:rtl/>
          <w:lang w:bidi="ar-SY"/>
        </w:rPr>
        <w:t xml:space="preserve"> </w:t>
      </w:r>
      <w:r w:rsidR="007826C4" w:rsidRPr="003F3B94">
        <w:rPr>
          <w:rFonts w:hint="cs"/>
          <w:sz w:val="28"/>
          <w:rtl/>
          <w:lang w:bidi="ar-SY"/>
        </w:rPr>
        <w:t>روضة</w:t>
      </w:r>
      <w:r w:rsidR="00953581" w:rsidRPr="003F3B94">
        <w:rPr>
          <w:rFonts w:hint="cs"/>
          <w:sz w:val="28"/>
          <w:rtl/>
          <w:lang w:bidi="ar-SY"/>
        </w:rPr>
        <w:t xml:space="preserve"> </w:t>
      </w:r>
      <w:r w:rsidR="007826C4" w:rsidRPr="003F3B94">
        <w:rPr>
          <w:rFonts w:hint="cs"/>
          <w:sz w:val="28"/>
          <w:rtl/>
          <w:lang w:bidi="ar-SY"/>
        </w:rPr>
        <w:t>أزهار</w:t>
      </w:r>
      <w:r w:rsidR="00953581" w:rsidRPr="003F3B94">
        <w:rPr>
          <w:rFonts w:hint="cs"/>
          <w:sz w:val="28"/>
          <w:rtl/>
          <w:lang w:bidi="ar-SY"/>
        </w:rPr>
        <w:t xml:space="preserve"> </w:t>
      </w:r>
      <w:r w:rsidR="007826C4" w:rsidRPr="003F3B94">
        <w:rPr>
          <w:rFonts w:hint="cs"/>
          <w:sz w:val="28"/>
          <w:rtl/>
          <w:lang w:bidi="ar-SY"/>
        </w:rPr>
        <w:t>الشريعة</w:t>
      </w:r>
      <w:r w:rsidR="00953581" w:rsidRPr="003F3B94">
        <w:rPr>
          <w:rFonts w:hint="cs"/>
          <w:sz w:val="28"/>
          <w:rtl/>
          <w:lang w:bidi="ar-SY"/>
        </w:rPr>
        <w:t xml:space="preserve"> </w:t>
      </w:r>
      <w:r w:rsidR="007826C4" w:rsidRPr="003F3B94">
        <w:rPr>
          <w:rFonts w:hint="cs"/>
          <w:sz w:val="28"/>
          <w:rtl/>
          <w:lang w:bidi="ar-SY"/>
        </w:rPr>
        <w:t>ا</w:t>
      </w:r>
      <w:r w:rsidR="008A2A49" w:rsidRPr="003F3B94">
        <w:rPr>
          <w:rFonts w:hint="cs"/>
          <w:sz w:val="28"/>
          <w:rtl/>
          <w:lang w:bidi="ar-SY"/>
        </w:rPr>
        <w:t>لأ</w:t>
      </w:r>
      <w:r w:rsidR="007826C4" w:rsidRPr="003F3B94">
        <w:rPr>
          <w:rFonts w:hint="cs"/>
          <w:sz w:val="28"/>
          <w:rtl/>
          <w:lang w:bidi="ar-SY"/>
        </w:rPr>
        <w:t>حمدية</w:t>
      </w:r>
      <w:r w:rsidR="00953581" w:rsidRPr="003F3B94">
        <w:rPr>
          <w:rFonts w:hint="cs"/>
          <w:sz w:val="28"/>
          <w:rtl/>
          <w:lang w:bidi="ar-SY"/>
        </w:rPr>
        <w:t xml:space="preserve"> </w:t>
      </w:r>
      <w:r w:rsidR="00D26D5F" w:rsidRPr="003F3B94">
        <w:rPr>
          <w:rFonts w:hint="cs"/>
          <w:sz w:val="28"/>
          <w:rtl/>
          <w:lang w:bidi="ar-SY"/>
        </w:rPr>
        <w:t>لتخنقها</w:t>
      </w:r>
      <w:r w:rsidR="00953581" w:rsidRPr="003F3B94">
        <w:rPr>
          <w:rFonts w:hint="cs"/>
          <w:sz w:val="28"/>
          <w:rtl/>
          <w:lang w:bidi="ar-SY"/>
        </w:rPr>
        <w:t xml:space="preserve"> </w:t>
      </w:r>
      <w:r w:rsidR="00D26D5F" w:rsidRPr="003F3B94">
        <w:rPr>
          <w:rFonts w:hint="cs"/>
          <w:sz w:val="28"/>
          <w:rtl/>
          <w:lang w:bidi="ar-SY"/>
        </w:rPr>
        <w:t>من</w:t>
      </w:r>
      <w:r w:rsidR="00953581" w:rsidRPr="003F3B94">
        <w:rPr>
          <w:rFonts w:hint="cs"/>
          <w:sz w:val="28"/>
          <w:rtl/>
          <w:lang w:bidi="ar-SY"/>
        </w:rPr>
        <w:t xml:space="preserve"> </w:t>
      </w:r>
      <w:r w:rsidR="00D26D5F" w:rsidRPr="003F3B94">
        <w:rPr>
          <w:rFonts w:hint="cs"/>
          <w:sz w:val="28"/>
          <w:rtl/>
          <w:lang w:bidi="ar-SY"/>
        </w:rPr>
        <w:t>كل</w:t>
      </w:r>
      <w:r w:rsidR="00953581" w:rsidRPr="003F3B94">
        <w:rPr>
          <w:rFonts w:hint="cs"/>
          <w:sz w:val="28"/>
          <w:rtl/>
          <w:lang w:bidi="ar-SY"/>
        </w:rPr>
        <w:t xml:space="preserve"> </w:t>
      </w:r>
      <w:r w:rsidR="00D26D5F" w:rsidRPr="003F3B94">
        <w:rPr>
          <w:rFonts w:hint="cs"/>
          <w:sz w:val="28"/>
          <w:rtl/>
          <w:lang w:bidi="ar-SY"/>
        </w:rPr>
        <w:t>حدبٍ</w:t>
      </w:r>
      <w:r w:rsidR="00953581" w:rsidRPr="003F3B94">
        <w:rPr>
          <w:rFonts w:hint="cs"/>
          <w:sz w:val="28"/>
          <w:rtl/>
          <w:lang w:bidi="ar-SY"/>
        </w:rPr>
        <w:t xml:space="preserve"> </w:t>
      </w:r>
      <w:r w:rsidR="00D26D5F" w:rsidRPr="003F3B94">
        <w:rPr>
          <w:rFonts w:hint="cs"/>
          <w:sz w:val="28"/>
          <w:rtl/>
          <w:lang w:bidi="ar-SY"/>
        </w:rPr>
        <w:t>وصوب</w:t>
      </w:r>
      <w:r w:rsidR="00953581" w:rsidRPr="003F3B94">
        <w:rPr>
          <w:rFonts w:hint="cs"/>
          <w:sz w:val="28"/>
          <w:rtl/>
          <w:lang w:bidi="ar-SY"/>
        </w:rPr>
        <w:t xml:space="preserve"> </w:t>
      </w:r>
      <w:r w:rsidR="00D26D5F" w:rsidRPr="003F3B94">
        <w:rPr>
          <w:rFonts w:hint="cs"/>
          <w:sz w:val="28"/>
          <w:rtl/>
          <w:lang w:bidi="ar-SY"/>
        </w:rPr>
        <w:t>و</w:t>
      </w:r>
      <w:r w:rsidR="00F33E91" w:rsidRPr="003F3B94">
        <w:rPr>
          <w:rFonts w:hint="cs"/>
          <w:sz w:val="28"/>
          <w:rtl/>
          <w:lang w:bidi="ar-SY"/>
        </w:rPr>
        <w:t>تضي</w:t>
      </w:r>
      <w:r w:rsidR="00D26D5F" w:rsidRPr="003F3B94">
        <w:rPr>
          <w:rFonts w:hint="cs"/>
          <w:sz w:val="28"/>
          <w:rtl/>
          <w:lang w:bidi="ar-SY"/>
        </w:rPr>
        <w:t>ّ</w:t>
      </w:r>
      <w:r w:rsidR="00F33E91" w:rsidRPr="003F3B94">
        <w:rPr>
          <w:rFonts w:hint="cs"/>
          <w:sz w:val="28"/>
          <w:rtl/>
          <w:lang w:bidi="ar-SY"/>
        </w:rPr>
        <w:t>ق</w:t>
      </w:r>
      <w:r w:rsidR="00953581" w:rsidRPr="003F3B94">
        <w:rPr>
          <w:rFonts w:hint="cs"/>
          <w:sz w:val="28"/>
          <w:rtl/>
          <w:lang w:bidi="ar-SY"/>
        </w:rPr>
        <w:t xml:space="preserve"> </w:t>
      </w:r>
      <w:r w:rsidR="00F33E91" w:rsidRPr="003F3B94">
        <w:rPr>
          <w:rFonts w:hint="cs"/>
          <w:sz w:val="28"/>
          <w:rtl/>
          <w:lang w:bidi="ar-SY"/>
        </w:rPr>
        <w:t>عل</w:t>
      </w:r>
      <w:r w:rsidR="00D26D5F" w:rsidRPr="003F3B94">
        <w:rPr>
          <w:rFonts w:hint="cs"/>
          <w:sz w:val="28"/>
          <w:rtl/>
          <w:lang w:bidi="ar-SY"/>
        </w:rPr>
        <w:t>ى</w:t>
      </w:r>
      <w:r w:rsidR="00953581" w:rsidRPr="003F3B94">
        <w:rPr>
          <w:rFonts w:hint="cs"/>
          <w:sz w:val="28"/>
          <w:rtl/>
          <w:lang w:bidi="ar-SY"/>
        </w:rPr>
        <w:t xml:space="preserve"> </w:t>
      </w:r>
      <w:r w:rsidR="008A48FF" w:rsidRPr="003F3B94">
        <w:rPr>
          <w:rFonts w:hint="cs"/>
          <w:sz w:val="28"/>
          <w:rtl/>
          <w:lang w:bidi="ar-SY"/>
        </w:rPr>
        <w:t>أزهار</w:t>
      </w:r>
      <w:r w:rsidR="00953581" w:rsidRPr="003F3B94">
        <w:rPr>
          <w:rFonts w:hint="cs"/>
          <w:sz w:val="28"/>
          <w:rtl/>
          <w:lang w:bidi="ar-SY"/>
        </w:rPr>
        <w:t xml:space="preserve"> </w:t>
      </w:r>
      <w:r w:rsidR="00D26D5F" w:rsidRPr="003F3B94">
        <w:rPr>
          <w:rFonts w:hint="cs"/>
          <w:sz w:val="28"/>
          <w:rtl/>
          <w:lang w:bidi="ar-SY"/>
        </w:rPr>
        <w:t>التعاليم</w:t>
      </w:r>
      <w:r w:rsidR="00953581" w:rsidRPr="003F3B94">
        <w:rPr>
          <w:rFonts w:hint="cs"/>
          <w:sz w:val="28"/>
          <w:rtl/>
          <w:lang w:bidi="ar-SY"/>
        </w:rPr>
        <w:t xml:space="preserve"> </w:t>
      </w:r>
      <w:r w:rsidR="00D26D5F" w:rsidRPr="003F3B94">
        <w:rPr>
          <w:rFonts w:hint="cs"/>
          <w:sz w:val="28"/>
          <w:rtl/>
          <w:lang w:bidi="ar-SY"/>
        </w:rPr>
        <w:t>ا</w:t>
      </w:r>
      <w:r w:rsidR="008A2A49" w:rsidRPr="003F3B94">
        <w:rPr>
          <w:rFonts w:hint="cs"/>
          <w:sz w:val="28"/>
          <w:rtl/>
          <w:lang w:bidi="ar-SY"/>
        </w:rPr>
        <w:t>لإ</w:t>
      </w:r>
      <w:r w:rsidR="00D26D5F" w:rsidRPr="003F3B94">
        <w:rPr>
          <w:rFonts w:hint="cs"/>
          <w:sz w:val="28"/>
          <w:rtl/>
          <w:lang w:bidi="ar-SY"/>
        </w:rPr>
        <w:t>س</w:t>
      </w:r>
      <w:r w:rsidR="008A2A49" w:rsidRPr="003F3B94">
        <w:rPr>
          <w:rFonts w:hint="cs"/>
          <w:sz w:val="28"/>
          <w:rtl/>
          <w:lang w:bidi="ar-SY"/>
        </w:rPr>
        <w:t>لا</w:t>
      </w:r>
      <w:r w:rsidR="00D26D5F" w:rsidRPr="003F3B94">
        <w:rPr>
          <w:rFonts w:hint="cs"/>
          <w:sz w:val="28"/>
          <w:rtl/>
          <w:lang w:bidi="ar-SY"/>
        </w:rPr>
        <w:t>مية</w:t>
      </w:r>
      <w:r w:rsidR="00953581" w:rsidRPr="003F3B94">
        <w:rPr>
          <w:rFonts w:hint="cs"/>
          <w:sz w:val="28"/>
          <w:rtl/>
          <w:lang w:bidi="ar-SY"/>
        </w:rPr>
        <w:t xml:space="preserve"> </w:t>
      </w:r>
      <w:r w:rsidR="00D26D5F" w:rsidRPr="003F3B94">
        <w:rPr>
          <w:rFonts w:hint="cs"/>
          <w:sz w:val="28"/>
          <w:rtl/>
          <w:lang w:bidi="ar-SY"/>
        </w:rPr>
        <w:t>وتعكّر</w:t>
      </w:r>
      <w:r w:rsidR="00953581" w:rsidRPr="003F3B94">
        <w:rPr>
          <w:rFonts w:hint="cs"/>
          <w:sz w:val="28"/>
          <w:rtl/>
          <w:lang w:bidi="ar-SY"/>
        </w:rPr>
        <w:t xml:space="preserve"> </w:t>
      </w:r>
      <w:r w:rsidR="00F33E91" w:rsidRPr="003F3B94">
        <w:rPr>
          <w:rFonts w:hint="cs"/>
          <w:sz w:val="28"/>
          <w:rtl/>
          <w:lang w:bidi="ar-SY"/>
        </w:rPr>
        <w:t>أنظار</w:t>
      </w:r>
      <w:r w:rsidR="00953581" w:rsidRPr="003F3B94">
        <w:rPr>
          <w:rFonts w:hint="cs"/>
          <w:sz w:val="28"/>
          <w:rtl/>
          <w:lang w:bidi="ar-SY"/>
        </w:rPr>
        <w:t xml:space="preserve"> </w:t>
      </w:r>
      <w:r w:rsidR="00F33E91" w:rsidRPr="003F3B94">
        <w:rPr>
          <w:rFonts w:hint="cs"/>
          <w:sz w:val="28"/>
          <w:rtl/>
          <w:lang w:bidi="ar-SY"/>
        </w:rPr>
        <w:t>عق</w:t>
      </w:r>
      <w:r w:rsidR="008A2A49" w:rsidRPr="003F3B94">
        <w:rPr>
          <w:rFonts w:hint="cs"/>
          <w:sz w:val="28"/>
          <w:rtl/>
          <w:lang w:bidi="ar-SY"/>
        </w:rPr>
        <w:t>لا</w:t>
      </w:r>
      <w:r w:rsidR="00F33E91" w:rsidRPr="003F3B94">
        <w:rPr>
          <w:rFonts w:hint="cs"/>
          <w:sz w:val="28"/>
          <w:rtl/>
          <w:lang w:bidi="ar-SY"/>
        </w:rPr>
        <w:t>ء</w:t>
      </w:r>
      <w:r w:rsidR="00953581" w:rsidRPr="003F3B94">
        <w:rPr>
          <w:rFonts w:hint="cs"/>
          <w:sz w:val="28"/>
          <w:rtl/>
          <w:lang w:bidi="ar-SY"/>
        </w:rPr>
        <w:t xml:space="preserve"> </w:t>
      </w:r>
      <w:r w:rsidR="00F33E91" w:rsidRPr="003F3B94">
        <w:rPr>
          <w:rFonts w:hint="cs"/>
          <w:sz w:val="28"/>
          <w:rtl/>
          <w:lang w:bidi="ar-SY"/>
        </w:rPr>
        <w:t>العالم</w:t>
      </w:r>
      <w:r w:rsidR="00953581" w:rsidRPr="003F3B94">
        <w:rPr>
          <w:rFonts w:hint="cs"/>
          <w:sz w:val="28"/>
          <w:rtl/>
          <w:lang w:bidi="ar-SY"/>
        </w:rPr>
        <w:t xml:space="preserve"> </w:t>
      </w:r>
      <w:r w:rsidR="00D26D5F" w:rsidRPr="003F3B94">
        <w:rPr>
          <w:rFonts w:hint="cs"/>
          <w:sz w:val="28"/>
          <w:rtl/>
          <w:lang w:bidi="ar-SY"/>
        </w:rPr>
        <w:t>الذين</w:t>
      </w:r>
      <w:r w:rsidR="00953581" w:rsidRPr="003F3B94">
        <w:rPr>
          <w:rFonts w:hint="cs"/>
          <w:sz w:val="28"/>
          <w:rtl/>
          <w:lang w:bidi="ar-SY"/>
        </w:rPr>
        <w:t xml:space="preserve"> </w:t>
      </w:r>
      <w:r w:rsidR="00D26D5F" w:rsidRPr="003F3B94">
        <w:rPr>
          <w:rFonts w:hint="cs"/>
          <w:sz w:val="28"/>
          <w:rtl/>
          <w:lang w:bidi="ar-SY"/>
        </w:rPr>
        <w:t>كانوا</w:t>
      </w:r>
      <w:r w:rsidR="00953581" w:rsidRPr="003F3B94">
        <w:rPr>
          <w:rFonts w:hint="cs"/>
          <w:sz w:val="28"/>
          <w:rtl/>
          <w:lang w:bidi="ar-SY"/>
        </w:rPr>
        <w:t xml:space="preserve"> </w:t>
      </w:r>
      <w:r w:rsidR="00D26D5F" w:rsidRPr="003F3B94">
        <w:rPr>
          <w:rFonts w:hint="cs"/>
          <w:sz w:val="28"/>
          <w:rtl/>
          <w:lang w:bidi="ar-SY"/>
        </w:rPr>
        <w:t>مبهوتين</w:t>
      </w:r>
      <w:r w:rsidR="00953581" w:rsidRPr="003F3B94">
        <w:rPr>
          <w:rFonts w:hint="cs"/>
          <w:sz w:val="28"/>
          <w:rtl/>
          <w:lang w:bidi="ar-SY"/>
        </w:rPr>
        <w:t xml:space="preserve"> </w:t>
      </w:r>
      <w:r w:rsidR="00F33E91" w:rsidRPr="003F3B94">
        <w:rPr>
          <w:rFonts w:hint="cs"/>
          <w:sz w:val="28"/>
          <w:rtl/>
          <w:lang w:bidi="ar-SY"/>
        </w:rPr>
        <w:t>من</w:t>
      </w:r>
      <w:r w:rsidR="00953581" w:rsidRPr="003F3B94">
        <w:rPr>
          <w:rFonts w:hint="cs"/>
          <w:sz w:val="28"/>
          <w:rtl/>
          <w:lang w:bidi="ar-SY"/>
        </w:rPr>
        <w:t xml:space="preserve"> </w:t>
      </w:r>
      <w:r w:rsidR="00F33E91" w:rsidRPr="003F3B94">
        <w:rPr>
          <w:rFonts w:hint="cs"/>
          <w:sz w:val="28"/>
          <w:rtl/>
          <w:lang w:bidi="ar-SY"/>
        </w:rPr>
        <w:t>عظمة</w:t>
      </w:r>
      <w:r w:rsidR="00953581" w:rsidRPr="003F3B94">
        <w:rPr>
          <w:rFonts w:hint="cs"/>
          <w:sz w:val="28"/>
          <w:rtl/>
          <w:lang w:bidi="ar-SY"/>
        </w:rPr>
        <w:t xml:space="preserve"> </w:t>
      </w:r>
      <w:r w:rsidR="00F33E91" w:rsidRPr="003F3B94">
        <w:rPr>
          <w:rFonts w:hint="cs"/>
          <w:sz w:val="28"/>
          <w:rtl/>
          <w:lang w:bidi="ar-SY"/>
        </w:rPr>
        <w:t>ا</w:t>
      </w:r>
      <w:r w:rsidR="008A2A49" w:rsidRPr="003F3B94">
        <w:rPr>
          <w:rFonts w:hint="cs"/>
          <w:sz w:val="28"/>
          <w:rtl/>
          <w:lang w:bidi="ar-SY"/>
        </w:rPr>
        <w:t>لإ</w:t>
      </w:r>
      <w:r w:rsidR="00F33E91" w:rsidRPr="003F3B94">
        <w:rPr>
          <w:rFonts w:hint="cs"/>
          <w:sz w:val="28"/>
          <w:rtl/>
          <w:lang w:bidi="ar-SY"/>
        </w:rPr>
        <w:t>س</w:t>
      </w:r>
      <w:r w:rsidR="008A2A49" w:rsidRPr="003F3B94">
        <w:rPr>
          <w:rFonts w:hint="cs"/>
          <w:sz w:val="28"/>
          <w:rtl/>
          <w:lang w:bidi="ar-SY"/>
        </w:rPr>
        <w:t>لا</w:t>
      </w:r>
      <w:r w:rsidR="00F33E91" w:rsidRPr="003F3B94">
        <w:rPr>
          <w:rFonts w:hint="cs"/>
          <w:sz w:val="28"/>
          <w:rtl/>
          <w:lang w:bidi="ar-SY"/>
        </w:rPr>
        <w:t>م</w:t>
      </w:r>
      <w:r w:rsidR="00217AB4" w:rsidRPr="003F3B94">
        <w:rPr>
          <w:rFonts w:hint="cs"/>
          <w:sz w:val="28"/>
          <w:rtl/>
          <w:lang w:bidi="ar-SY"/>
        </w:rPr>
        <w:t>،</w:t>
      </w:r>
      <w:r w:rsidR="00953581" w:rsidRPr="003F3B94">
        <w:rPr>
          <w:rFonts w:hint="cs"/>
          <w:sz w:val="28"/>
          <w:rtl/>
          <w:lang w:bidi="ar-SY"/>
        </w:rPr>
        <w:t xml:space="preserve"> </w:t>
      </w:r>
      <w:r w:rsidR="008A48FF" w:rsidRPr="003F3B94">
        <w:rPr>
          <w:rFonts w:hint="cs"/>
          <w:sz w:val="28"/>
          <w:rtl/>
          <w:lang w:bidi="ar-SY"/>
        </w:rPr>
        <w:t>فتسحب</w:t>
      </w:r>
      <w:r w:rsidR="00953581" w:rsidRPr="003F3B94">
        <w:rPr>
          <w:rFonts w:hint="cs"/>
          <w:sz w:val="28"/>
          <w:rtl/>
          <w:lang w:bidi="ar-SY"/>
        </w:rPr>
        <w:t xml:space="preserve"> </w:t>
      </w:r>
      <w:r w:rsidR="00D26D5F" w:rsidRPr="003F3B94">
        <w:rPr>
          <w:rFonts w:hint="cs"/>
          <w:sz w:val="28"/>
          <w:rtl/>
          <w:lang w:bidi="ar-SY"/>
        </w:rPr>
        <w:t>أنظارهم</w:t>
      </w:r>
      <w:r w:rsidR="00953581" w:rsidRPr="003F3B94">
        <w:rPr>
          <w:rFonts w:hint="cs"/>
          <w:sz w:val="28"/>
          <w:rtl/>
          <w:lang w:bidi="ar-SY"/>
        </w:rPr>
        <w:t xml:space="preserve"> </w:t>
      </w:r>
      <w:r w:rsidR="00D26D5F" w:rsidRPr="003F3B94">
        <w:rPr>
          <w:rFonts w:hint="cs"/>
          <w:sz w:val="28"/>
          <w:rtl/>
          <w:lang w:bidi="ar-SY"/>
        </w:rPr>
        <w:t>تلك</w:t>
      </w:r>
      <w:r w:rsidR="00953581" w:rsidRPr="003F3B94">
        <w:rPr>
          <w:rFonts w:hint="cs"/>
          <w:sz w:val="28"/>
          <w:rtl/>
          <w:lang w:bidi="ar-SY"/>
        </w:rPr>
        <w:t xml:space="preserve"> </w:t>
      </w:r>
      <w:r w:rsidR="008A48FF" w:rsidRPr="003F3B94">
        <w:rPr>
          <w:rFonts w:hint="cs"/>
          <w:sz w:val="28"/>
          <w:rtl/>
          <w:lang w:bidi="ar-SY"/>
        </w:rPr>
        <w:t>نحو</w:t>
      </w:r>
      <w:r w:rsidR="00953581" w:rsidRPr="003F3B94">
        <w:rPr>
          <w:rFonts w:hint="cs"/>
          <w:sz w:val="28"/>
          <w:rtl/>
          <w:lang w:bidi="ar-SY"/>
        </w:rPr>
        <w:t xml:space="preserve"> </w:t>
      </w:r>
      <w:r w:rsidR="00D26D5F" w:rsidRPr="003F3B94">
        <w:rPr>
          <w:rFonts w:hint="cs"/>
          <w:sz w:val="28"/>
          <w:rtl/>
          <w:lang w:bidi="ar-SY"/>
        </w:rPr>
        <w:t>أوهامها</w:t>
      </w:r>
      <w:r w:rsidR="00953581" w:rsidRPr="003F3B94">
        <w:rPr>
          <w:rFonts w:hint="cs"/>
          <w:sz w:val="28"/>
          <w:rtl/>
          <w:lang w:bidi="ar-SY"/>
        </w:rPr>
        <w:t xml:space="preserve"> </w:t>
      </w:r>
      <w:r w:rsidR="00B71D19" w:rsidRPr="003F3B94">
        <w:rPr>
          <w:rFonts w:hint="cs"/>
          <w:sz w:val="28"/>
          <w:rtl/>
          <w:lang w:bidi="ar-SY"/>
        </w:rPr>
        <w:t>المظلمة</w:t>
      </w:r>
      <w:r w:rsidR="00217AB4" w:rsidRPr="003F3B94">
        <w:rPr>
          <w:rFonts w:hint="cs"/>
          <w:sz w:val="28"/>
          <w:rtl/>
          <w:lang w:bidi="ar-SY"/>
        </w:rPr>
        <w:t>...</w:t>
      </w:r>
      <w:r w:rsidR="00953581" w:rsidRPr="003F3B94">
        <w:rPr>
          <w:rFonts w:hint="cs"/>
          <w:sz w:val="28"/>
          <w:rtl/>
          <w:lang w:bidi="ar-SY"/>
        </w:rPr>
        <w:t xml:space="preserve"> </w:t>
      </w:r>
      <w:r w:rsidR="0021343A" w:rsidRPr="003F3B94">
        <w:rPr>
          <w:rFonts w:hint="cs"/>
          <w:sz w:val="28"/>
          <w:rtl/>
          <w:lang w:bidi="ar-SY"/>
        </w:rPr>
        <w:t>وهكذا</w:t>
      </w:r>
      <w:r w:rsidR="00953581" w:rsidRPr="003F3B94">
        <w:rPr>
          <w:rFonts w:hint="cs"/>
          <w:sz w:val="28"/>
          <w:rtl/>
          <w:lang w:bidi="ar-SY"/>
        </w:rPr>
        <w:t xml:space="preserve"> </w:t>
      </w:r>
      <w:r w:rsidR="0021343A" w:rsidRPr="003F3B94">
        <w:rPr>
          <w:rFonts w:hint="cs"/>
          <w:sz w:val="28"/>
          <w:rtl/>
          <w:lang w:bidi="ar-SY"/>
        </w:rPr>
        <w:t>بدأت</w:t>
      </w:r>
      <w:r w:rsidR="00953581" w:rsidRPr="003F3B94">
        <w:rPr>
          <w:rFonts w:hint="cs"/>
          <w:sz w:val="28"/>
          <w:rtl/>
          <w:lang w:bidi="ar-SY"/>
        </w:rPr>
        <w:t xml:space="preserve"> </w:t>
      </w:r>
      <w:r w:rsidR="0021343A" w:rsidRPr="003F3B94">
        <w:rPr>
          <w:rFonts w:hint="cs"/>
          <w:sz w:val="28"/>
          <w:rtl/>
          <w:lang w:bidi="ar-SY"/>
        </w:rPr>
        <w:t>تصعد</w:t>
      </w:r>
      <w:r w:rsidR="00953581" w:rsidRPr="003F3B94">
        <w:rPr>
          <w:rFonts w:hint="cs"/>
          <w:sz w:val="28"/>
          <w:rtl/>
          <w:lang w:bidi="ar-SY"/>
        </w:rPr>
        <w:t xml:space="preserve"> </w:t>
      </w:r>
      <w:r w:rsidR="0021343A" w:rsidRPr="003F3B94">
        <w:rPr>
          <w:rFonts w:hint="cs"/>
          <w:sz w:val="28"/>
          <w:rtl/>
          <w:lang w:bidi="ar-SY"/>
        </w:rPr>
        <w:t>غصون</w:t>
      </w:r>
      <w:r w:rsidR="00953581" w:rsidRPr="003F3B94">
        <w:rPr>
          <w:rFonts w:hint="cs"/>
          <w:sz w:val="28"/>
          <w:rtl/>
          <w:lang w:bidi="ar-SY"/>
        </w:rPr>
        <w:t xml:space="preserve"> </w:t>
      </w:r>
      <w:r w:rsidR="0021343A" w:rsidRPr="003F3B94">
        <w:rPr>
          <w:rFonts w:hint="cs"/>
          <w:sz w:val="28"/>
          <w:rtl/>
          <w:lang w:bidi="ar-SY"/>
        </w:rPr>
        <w:t>وأوراق</w:t>
      </w:r>
      <w:r w:rsidR="00953581" w:rsidRPr="003F3B94">
        <w:rPr>
          <w:rFonts w:hint="cs"/>
          <w:sz w:val="28"/>
          <w:rtl/>
          <w:lang w:bidi="ar-SY"/>
        </w:rPr>
        <w:t xml:space="preserve"> </w:t>
      </w:r>
      <w:r w:rsidR="0021343A" w:rsidRPr="003F3B94">
        <w:rPr>
          <w:rFonts w:hint="cs"/>
          <w:sz w:val="28"/>
          <w:rtl/>
          <w:lang w:bidi="ar-SY"/>
        </w:rPr>
        <w:t>تلك</w:t>
      </w:r>
      <w:r w:rsidR="00953581" w:rsidRPr="003F3B94">
        <w:rPr>
          <w:rFonts w:hint="cs"/>
          <w:sz w:val="28"/>
          <w:rtl/>
          <w:lang w:bidi="ar-SY"/>
        </w:rPr>
        <w:t xml:space="preserve"> </w:t>
      </w:r>
      <w:r w:rsidR="0021343A" w:rsidRPr="003F3B94">
        <w:rPr>
          <w:rFonts w:hint="cs"/>
          <w:sz w:val="28"/>
          <w:rtl/>
          <w:lang w:bidi="ar-SY"/>
        </w:rPr>
        <w:t>ا</w:t>
      </w:r>
      <w:r w:rsidR="008A2A49" w:rsidRPr="003F3B94">
        <w:rPr>
          <w:rFonts w:hint="cs"/>
          <w:sz w:val="28"/>
          <w:rtl/>
          <w:lang w:bidi="ar-SY"/>
        </w:rPr>
        <w:t>لأ</w:t>
      </w:r>
      <w:r w:rsidR="0021343A" w:rsidRPr="003F3B94">
        <w:rPr>
          <w:rFonts w:hint="cs"/>
          <w:sz w:val="28"/>
          <w:rtl/>
          <w:lang w:bidi="ar-SY"/>
        </w:rPr>
        <w:t>عشاب</w:t>
      </w:r>
      <w:r w:rsidR="00953581" w:rsidRPr="003F3B94">
        <w:rPr>
          <w:rFonts w:hint="cs"/>
          <w:sz w:val="28"/>
          <w:rtl/>
          <w:lang w:bidi="ar-SY"/>
        </w:rPr>
        <w:t xml:space="preserve"> </w:t>
      </w:r>
      <w:r w:rsidR="0021343A" w:rsidRPr="003F3B94">
        <w:rPr>
          <w:rFonts w:hint="cs"/>
          <w:sz w:val="28"/>
          <w:rtl/>
          <w:lang w:bidi="ar-SY"/>
        </w:rPr>
        <w:t>والنباتات</w:t>
      </w:r>
      <w:r w:rsidR="00953581" w:rsidRPr="003F3B94">
        <w:rPr>
          <w:rFonts w:hint="cs"/>
          <w:sz w:val="28"/>
          <w:rtl/>
          <w:lang w:bidi="ar-SY"/>
        </w:rPr>
        <w:t xml:space="preserve"> </w:t>
      </w:r>
      <w:r w:rsidR="0021343A" w:rsidRPr="003F3B94">
        <w:rPr>
          <w:rFonts w:hint="cs"/>
          <w:sz w:val="28"/>
          <w:rtl/>
          <w:lang w:bidi="ar-SY"/>
        </w:rPr>
        <w:t>المُرّة</w:t>
      </w:r>
      <w:r w:rsidR="00953581" w:rsidRPr="003F3B94">
        <w:rPr>
          <w:rFonts w:hint="cs"/>
          <w:sz w:val="28"/>
          <w:rtl/>
          <w:lang w:bidi="ar-SY"/>
        </w:rPr>
        <w:t xml:space="preserve"> </w:t>
      </w:r>
      <w:r w:rsidR="0021343A" w:rsidRPr="003F3B94">
        <w:rPr>
          <w:rFonts w:hint="cs"/>
          <w:sz w:val="28"/>
          <w:rtl/>
          <w:lang w:bidi="ar-SY"/>
        </w:rPr>
        <w:t>الضارة</w:t>
      </w:r>
      <w:r w:rsidR="00953581" w:rsidRPr="003F3B94">
        <w:rPr>
          <w:rFonts w:hint="cs"/>
          <w:sz w:val="28"/>
          <w:rtl/>
          <w:lang w:bidi="ar-SY"/>
        </w:rPr>
        <w:t xml:space="preserve"> </w:t>
      </w:r>
      <w:r w:rsidR="0021343A" w:rsidRPr="003F3B94">
        <w:rPr>
          <w:rFonts w:hint="cs"/>
          <w:sz w:val="28"/>
          <w:rtl/>
          <w:lang w:bidi="ar-SY"/>
        </w:rPr>
        <w:t>وتغطي</w:t>
      </w:r>
      <w:r w:rsidR="00953581" w:rsidRPr="003F3B94">
        <w:rPr>
          <w:rFonts w:hint="cs"/>
          <w:sz w:val="28"/>
          <w:rtl/>
          <w:lang w:bidi="ar-SY"/>
        </w:rPr>
        <w:t xml:space="preserve"> </w:t>
      </w:r>
      <w:r w:rsidR="0021343A" w:rsidRPr="003F3B94">
        <w:rPr>
          <w:rFonts w:hint="cs"/>
          <w:sz w:val="28"/>
          <w:rtl/>
          <w:lang w:bidi="ar-SY"/>
        </w:rPr>
        <w:t>بأوراقها</w:t>
      </w:r>
      <w:r w:rsidR="00953581" w:rsidRPr="003F3B94">
        <w:rPr>
          <w:rFonts w:hint="cs"/>
          <w:sz w:val="28"/>
          <w:rtl/>
          <w:lang w:bidi="ar-SY"/>
        </w:rPr>
        <w:t xml:space="preserve"> </w:t>
      </w:r>
      <w:r w:rsidR="0021343A" w:rsidRPr="003F3B94">
        <w:rPr>
          <w:rFonts w:hint="cs"/>
          <w:sz w:val="28"/>
          <w:rtl/>
          <w:lang w:bidi="ar-SY"/>
        </w:rPr>
        <w:t>شجرة</w:t>
      </w:r>
      <w:r w:rsidR="00953581" w:rsidRPr="003F3B94">
        <w:rPr>
          <w:rFonts w:hint="cs"/>
          <w:sz w:val="28"/>
          <w:rtl/>
          <w:lang w:bidi="ar-SY"/>
        </w:rPr>
        <w:t xml:space="preserve"> </w:t>
      </w:r>
      <w:r w:rsidR="0021343A" w:rsidRPr="003F3B94">
        <w:rPr>
          <w:rFonts w:hint="cs"/>
          <w:sz w:val="28"/>
          <w:rtl/>
          <w:lang w:bidi="ar-SY"/>
        </w:rPr>
        <w:t>الدين</w:t>
      </w:r>
      <w:r w:rsidR="00953581" w:rsidRPr="003F3B94">
        <w:rPr>
          <w:rFonts w:hint="cs"/>
          <w:sz w:val="28"/>
          <w:rtl/>
          <w:lang w:bidi="ar-SY"/>
        </w:rPr>
        <w:t xml:space="preserve"> </w:t>
      </w:r>
      <w:r w:rsidR="0021343A" w:rsidRPr="003F3B94">
        <w:rPr>
          <w:rFonts w:hint="cs"/>
          <w:sz w:val="28"/>
          <w:rtl/>
          <w:lang w:bidi="ar-SY"/>
        </w:rPr>
        <w:t>المبين</w:t>
      </w:r>
      <w:r w:rsidR="00953581" w:rsidRPr="003F3B94">
        <w:rPr>
          <w:rFonts w:hint="cs"/>
          <w:sz w:val="28"/>
          <w:rtl/>
          <w:lang w:bidi="ar-SY"/>
        </w:rPr>
        <w:t xml:space="preserve"> </w:t>
      </w:r>
      <w:r w:rsidR="0021343A" w:rsidRPr="003F3B94">
        <w:rPr>
          <w:rFonts w:hint="cs"/>
          <w:sz w:val="28"/>
          <w:rtl/>
          <w:lang w:bidi="ar-SY"/>
        </w:rPr>
        <w:t>الطيبة</w:t>
      </w:r>
      <w:r w:rsidR="00953581" w:rsidRPr="003F3B94">
        <w:rPr>
          <w:rFonts w:hint="cs"/>
          <w:sz w:val="28"/>
          <w:rtl/>
          <w:lang w:bidi="ar-SY"/>
        </w:rPr>
        <w:t xml:space="preserve"> </w:t>
      </w:r>
      <w:r w:rsidR="0021343A" w:rsidRPr="003F3B94">
        <w:rPr>
          <w:rFonts w:hint="cs"/>
          <w:sz w:val="28"/>
          <w:rtl/>
          <w:lang w:bidi="ar-SY"/>
        </w:rPr>
        <w:t>وتلتف</w:t>
      </w:r>
      <w:r w:rsidR="00953581" w:rsidRPr="003F3B94">
        <w:rPr>
          <w:rFonts w:hint="cs"/>
          <w:sz w:val="28"/>
          <w:rtl/>
          <w:lang w:bidi="ar-SY"/>
        </w:rPr>
        <w:t xml:space="preserve"> </w:t>
      </w:r>
      <w:r w:rsidR="0021343A" w:rsidRPr="003F3B94">
        <w:rPr>
          <w:rFonts w:hint="cs"/>
          <w:sz w:val="28"/>
          <w:rtl/>
          <w:lang w:bidi="ar-SY"/>
        </w:rPr>
        <w:t>حولها</w:t>
      </w:r>
      <w:r w:rsidR="00953581" w:rsidRPr="003F3B94">
        <w:rPr>
          <w:rFonts w:hint="cs"/>
          <w:sz w:val="28"/>
          <w:rtl/>
          <w:lang w:bidi="ar-SY"/>
        </w:rPr>
        <w:t xml:space="preserve"> </w:t>
      </w:r>
      <w:r w:rsidR="0021343A" w:rsidRPr="003F3B94">
        <w:rPr>
          <w:rFonts w:hint="cs"/>
          <w:sz w:val="28"/>
          <w:rtl/>
          <w:lang w:bidi="ar-SY"/>
        </w:rPr>
        <w:t>فتكاد</w:t>
      </w:r>
      <w:r w:rsidR="00953581" w:rsidRPr="003F3B94">
        <w:rPr>
          <w:rFonts w:hint="cs"/>
          <w:sz w:val="28"/>
          <w:rtl/>
          <w:lang w:bidi="ar-SY"/>
        </w:rPr>
        <w:t xml:space="preserve"> </w:t>
      </w:r>
      <w:r w:rsidR="0021343A" w:rsidRPr="003F3B94">
        <w:rPr>
          <w:rFonts w:hint="cs"/>
          <w:sz w:val="28"/>
          <w:rtl/>
          <w:lang w:bidi="ar-SY"/>
        </w:rPr>
        <w:t>تخنقها</w:t>
      </w:r>
      <w:r w:rsidR="00217AB4" w:rsidRPr="003F3B94">
        <w:rPr>
          <w:rFonts w:hint="cs"/>
          <w:sz w:val="28"/>
          <w:rtl/>
          <w:lang w:bidi="ar-SY"/>
        </w:rPr>
        <w:t>.</w:t>
      </w:r>
      <w:r w:rsidR="00953581" w:rsidRPr="003F3B94">
        <w:rPr>
          <w:rFonts w:hint="cs"/>
          <w:sz w:val="28"/>
          <w:rtl/>
          <w:lang w:bidi="ar-SY"/>
        </w:rPr>
        <w:t xml:space="preserve"> </w:t>
      </w:r>
    </w:p>
    <w:p w:rsidR="0021343A" w:rsidRPr="003F3B94" w:rsidRDefault="0021343A" w:rsidP="003F3B94">
      <w:pPr>
        <w:pStyle w:val="a0"/>
        <w:rPr>
          <w:rFonts w:hint="cs"/>
          <w:rtl/>
          <w:lang w:bidi="ar-SY"/>
        </w:rPr>
      </w:pPr>
      <w:r w:rsidRPr="003F3B94">
        <w:rPr>
          <w:rFonts w:hint="cs"/>
          <w:sz w:val="28"/>
          <w:rtl/>
          <w:lang w:bidi="ar-SY"/>
        </w:rPr>
        <w:t>حتى</w:t>
      </w:r>
      <w:r w:rsidR="00953581" w:rsidRPr="003F3B94">
        <w:rPr>
          <w:rFonts w:hint="cs"/>
          <w:sz w:val="28"/>
          <w:rtl/>
          <w:lang w:bidi="ar-SY"/>
        </w:rPr>
        <w:t xml:space="preserve"> </w:t>
      </w:r>
      <w:r w:rsidRPr="003F3B94">
        <w:rPr>
          <w:rFonts w:hint="cs"/>
          <w:sz w:val="28"/>
          <w:rtl/>
          <w:lang w:bidi="ar-SY"/>
        </w:rPr>
        <w:t>أصبح</w:t>
      </w:r>
      <w:r w:rsidR="00953581" w:rsidRPr="003F3B94">
        <w:rPr>
          <w:rFonts w:hint="cs"/>
          <w:sz w:val="28"/>
          <w:rtl/>
          <w:lang w:bidi="ar-SY"/>
        </w:rPr>
        <w:t xml:space="preserve"> </w:t>
      </w:r>
      <w:r w:rsidR="008A48FF" w:rsidRPr="003F3B94">
        <w:rPr>
          <w:rFonts w:hint="cs"/>
          <w:sz w:val="28"/>
          <w:rtl/>
          <w:lang w:bidi="ar-SY"/>
        </w:rPr>
        <w:t>من</w:t>
      </w:r>
      <w:r w:rsidR="00953581" w:rsidRPr="003F3B94">
        <w:rPr>
          <w:rFonts w:hint="cs"/>
          <w:sz w:val="28"/>
          <w:rtl/>
          <w:lang w:bidi="ar-SY"/>
        </w:rPr>
        <w:t xml:space="preserve"> </w:t>
      </w:r>
      <w:r w:rsidR="008A48FF" w:rsidRPr="003F3B94">
        <w:rPr>
          <w:rFonts w:hint="cs"/>
          <w:sz w:val="28"/>
          <w:rtl/>
          <w:lang w:bidi="ar-SY"/>
        </w:rPr>
        <w:t>الصعب</w:t>
      </w:r>
      <w:r w:rsidR="00953581" w:rsidRPr="003F3B94">
        <w:rPr>
          <w:rFonts w:hint="cs"/>
          <w:sz w:val="28"/>
          <w:rtl/>
          <w:lang w:bidi="ar-SY"/>
        </w:rPr>
        <w:t xml:space="preserve"> </w:t>
      </w:r>
      <w:r w:rsidR="008A48FF" w:rsidRPr="003F3B94">
        <w:rPr>
          <w:rFonts w:hint="cs"/>
          <w:sz w:val="28"/>
          <w:rtl/>
          <w:lang w:bidi="ar-SY"/>
        </w:rPr>
        <w:t>بمكان</w:t>
      </w:r>
      <w:r w:rsidR="00953581" w:rsidRPr="003F3B94">
        <w:rPr>
          <w:rFonts w:hint="cs"/>
          <w:sz w:val="28"/>
          <w:rtl/>
          <w:lang w:bidi="ar-SY"/>
        </w:rPr>
        <w:t xml:space="preserve"> </w:t>
      </w:r>
      <w:r w:rsidR="008A48FF" w:rsidRPr="003F3B94">
        <w:rPr>
          <w:rFonts w:hint="cs"/>
          <w:sz w:val="28"/>
          <w:rtl/>
          <w:lang w:bidi="ar-SY"/>
        </w:rPr>
        <w:t>على</w:t>
      </w:r>
      <w:r w:rsidR="00953581" w:rsidRPr="003F3B94">
        <w:rPr>
          <w:rFonts w:hint="cs"/>
          <w:sz w:val="28"/>
          <w:rtl/>
          <w:lang w:bidi="ar-SY"/>
        </w:rPr>
        <w:t xml:space="preserve"> </w:t>
      </w:r>
      <w:r w:rsidR="008A48FF" w:rsidRPr="003F3B94">
        <w:rPr>
          <w:rFonts w:hint="cs"/>
          <w:sz w:val="28"/>
          <w:rtl/>
          <w:lang w:bidi="ar-SY"/>
        </w:rPr>
        <w:t>كثيرٍ</w:t>
      </w:r>
      <w:r w:rsidR="00953581" w:rsidRPr="003F3B94">
        <w:rPr>
          <w:rFonts w:hint="cs"/>
          <w:sz w:val="28"/>
          <w:rtl/>
          <w:lang w:bidi="ar-SY"/>
        </w:rPr>
        <w:t xml:space="preserve"> </w:t>
      </w:r>
      <w:r w:rsidR="008A48FF" w:rsidRPr="003F3B94">
        <w:rPr>
          <w:rFonts w:hint="cs"/>
          <w:sz w:val="28"/>
          <w:rtl/>
          <w:lang w:bidi="ar-SY"/>
        </w:rPr>
        <w:t>من</w:t>
      </w:r>
      <w:r w:rsidR="00953581" w:rsidRPr="003F3B94">
        <w:rPr>
          <w:rFonts w:hint="cs"/>
          <w:sz w:val="28"/>
          <w:rtl/>
          <w:lang w:bidi="ar-SY"/>
        </w:rPr>
        <w:t xml:space="preserve"> </w:t>
      </w:r>
      <w:r w:rsidR="008A48FF" w:rsidRPr="003F3B94">
        <w:rPr>
          <w:rFonts w:hint="cs"/>
          <w:sz w:val="28"/>
          <w:rtl/>
          <w:lang w:bidi="ar-SY"/>
        </w:rPr>
        <w:t>الخبراء</w:t>
      </w:r>
      <w:r w:rsidR="00953581" w:rsidRPr="003F3B94">
        <w:rPr>
          <w:rFonts w:hint="cs"/>
          <w:sz w:val="28"/>
          <w:rtl/>
          <w:lang w:bidi="ar-SY"/>
        </w:rPr>
        <w:t xml:space="preserve"> </w:t>
      </w:r>
      <w:r w:rsidR="008A48FF" w:rsidRPr="003F3B94">
        <w:rPr>
          <w:rFonts w:hint="cs"/>
          <w:sz w:val="28"/>
          <w:rtl/>
          <w:lang w:bidi="ar-SY"/>
        </w:rPr>
        <w:t>والمتخصصين</w:t>
      </w:r>
      <w:r w:rsidR="00953581" w:rsidRPr="003F3B94">
        <w:rPr>
          <w:rFonts w:hint="cs"/>
          <w:sz w:val="28"/>
          <w:rtl/>
          <w:lang w:bidi="ar-SY"/>
        </w:rPr>
        <w:t xml:space="preserve"> </w:t>
      </w:r>
      <w:r w:rsidR="008A48FF" w:rsidRPr="003F3B94">
        <w:rPr>
          <w:rFonts w:hint="cs"/>
          <w:sz w:val="28"/>
          <w:rtl/>
          <w:lang w:bidi="ar-SY"/>
        </w:rPr>
        <w:t>اليوم</w:t>
      </w:r>
      <w:r w:rsidR="00953581" w:rsidRPr="003F3B94">
        <w:rPr>
          <w:rFonts w:hint="cs"/>
          <w:sz w:val="28"/>
          <w:rtl/>
          <w:lang w:bidi="ar-SY"/>
        </w:rPr>
        <w:t xml:space="preserve"> </w:t>
      </w:r>
      <w:r w:rsidR="008A48FF" w:rsidRPr="003F3B94">
        <w:rPr>
          <w:rFonts w:hint="cs"/>
          <w:sz w:val="28"/>
          <w:rtl/>
          <w:lang w:bidi="ar-SY"/>
        </w:rPr>
        <w:t>أن</w:t>
      </w:r>
      <w:r w:rsidR="00953581" w:rsidRPr="003F3B94">
        <w:rPr>
          <w:rFonts w:hint="cs"/>
          <w:sz w:val="28"/>
          <w:rtl/>
          <w:lang w:bidi="ar-SY"/>
        </w:rPr>
        <w:t xml:space="preserve"> </w:t>
      </w:r>
      <w:r w:rsidR="008A48FF" w:rsidRPr="003F3B94">
        <w:rPr>
          <w:rFonts w:hint="cs"/>
          <w:sz w:val="28"/>
          <w:rtl/>
          <w:lang w:bidi="ar-SY"/>
        </w:rPr>
        <w:t>يميزوا</w:t>
      </w:r>
      <w:r w:rsidR="00953581" w:rsidRPr="003F3B94">
        <w:rPr>
          <w:rFonts w:hint="cs"/>
          <w:sz w:val="28"/>
          <w:rtl/>
          <w:lang w:bidi="ar-SY"/>
        </w:rPr>
        <w:t xml:space="preserve"> </w:t>
      </w:r>
      <w:r w:rsidRPr="003F3B94">
        <w:rPr>
          <w:rFonts w:hint="cs"/>
          <w:sz w:val="28"/>
          <w:rtl/>
          <w:lang w:bidi="ar-SY"/>
        </w:rPr>
        <w:t>الحق</w:t>
      </w:r>
      <w:r w:rsidR="00953581" w:rsidRPr="003F3B94">
        <w:rPr>
          <w:rFonts w:hint="cs"/>
          <w:sz w:val="28"/>
          <w:rtl/>
          <w:lang w:bidi="ar-SY"/>
        </w:rPr>
        <w:t xml:space="preserve"> </w:t>
      </w:r>
      <w:r w:rsidRPr="003F3B94">
        <w:rPr>
          <w:rFonts w:hint="cs"/>
          <w:sz w:val="28"/>
          <w:rtl/>
          <w:lang w:bidi="ar-SY"/>
        </w:rPr>
        <w:t>من</w:t>
      </w:r>
      <w:r w:rsidR="00953581" w:rsidRPr="003F3B94">
        <w:rPr>
          <w:rFonts w:hint="cs"/>
          <w:sz w:val="28"/>
          <w:rtl/>
          <w:lang w:bidi="ar-SY"/>
        </w:rPr>
        <w:t xml:space="preserve"> </w:t>
      </w:r>
      <w:r w:rsidRPr="003F3B94">
        <w:rPr>
          <w:rFonts w:hint="cs"/>
          <w:sz w:val="28"/>
          <w:rtl/>
          <w:lang w:bidi="ar-SY"/>
        </w:rPr>
        <w:t>الباطل</w:t>
      </w:r>
      <w:r w:rsidR="00953581" w:rsidRPr="003F3B94">
        <w:rPr>
          <w:rFonts w:hint="cs"/>
          <w:sz w:val="28"/>
          <w:rtl/>
          <w:lang w:bidi="ar-SY"/>
        </w:rPr>
        <w:t xml:space="preserve"> </w:t>
      </w:r>
      <w:r w:rsidRPr="003F3B94">
        <w:rPr>
          <w:rFonts w:hint="cs"/>
          <w:sz w:val="28"/>
          <w:rtl/>
          <w:lang w:bidi="ar-SY"/>
        </w:rPr>
        <w:t>والصالح</w:t>
      </w:r>
      <w:r w:rsidR="00953581" w:rsidRPr="003F3B94">
        <w:rPr>
          <w:rFonts w:hint="cs"/>
          <w:sz w:val="28"/>
          <w:rtl/>
          <w:lang w:bidi="ar-SY"/>
        </w:rPr>
        <w:t xml:space="preserve"> </w:t>
      </w:r>
      <w:r w:rsidRPr="003F3B94">
        <w:rPr>
          <w:rFonts w:hint="cs"/>
          <w:sz w:val="28"/>
          <w:rtl/>
          <w:lang w:bidi="ar-SY"/>
        </w:rPr>
        <w:t>من</w:t>
      </w:r>
      <w:r w:rsidR="00953581" w:rsidRPr="003F3B94">
        <w:rPr>
          <w:rFonts w:hint="cs"/>
          <w:sz w:val="28"/>
          <w:rtl/>
          <w:lang w:bidi="ar-SY"/>
        </w:rPr>
        <w:t xml:space="preserve"> </w:t>
      </w:r>
      <w:r w:rsidRPr="003F3B94">
        <w:rPr>
          <w:rFonts w:hint="cs"/>
          <w:sz w:val="28"/>
          <w:rtl/>
          <w:lang w:bidi="ar-SY"/>
        </w:rPr>
        <w:t>الطالح</w:t>
      </w:r>
      <w:r w:rsidR="00953581" w:rsidRPr="003F3B94">
        <w:rPr>
          <w:rFonts w:hint="cs"/>
          <w:sz w:val="28"/>
          <w:rtl/>
          <w:lang w:bidi="ar-SY"/>
        </w:rPr>
        <w:t xml:space="preserve"> </w:t>
      </w:r>
      <w:r w:rsidR="00D5616A" w:rsidRPr="003F3B94">
        <w:rPr>
          <w:rFonts w:hint="cs"/>
          <w:sz w:val="28"/>
          <w:rtl/>
          <w:lang w:bidi="ar-SY"/>
        </w:rPr>
        <w:t>وابن</w:t>
      </w:r>
      <w:r w:rsidR="00953581" w:rsidRPr="003F3B94">
        <w:rPr>
          <w:rFonts w:hint="cs"/>
          <w:sz w:val="28"/>
          <w:rtl/>
          <w:lang w:bidi="ar-SY"/>
        </w:rPr>
        <w:t xml:space="preserve"> </w:t>
      </w:r>
      <w:r w:rsidR="00D5616A" w:rsidRPr="003F3B94">
        <w:rPr>
          <w:rFonts w:hint="cs"/>
          <w:sz w:val="28"/>
          <w:rtl/>
          <w:lang w:bidi="ar-SY"/>
        </w:rPr>
        <w:t>الح</w:t>
      </w:r>
      <w:r w:rsidR="008A2A49" w:rsidRPr="003F3B94">
        <w:rPr>
          <w:rFonts w:hint="cs"/>
          <w:sz w:val="28"/>
          <w:rtl/>
          <w:lang w:bidi="ar-SY"/>
        </w:rPr>
        <w:t>لا</w:t>
      </w:r>
      <w:r w:rsidR="00D5616A" w:rsidRPr="003F3B94">
        <w:rPr>
          <w:rFonts w:hint="cs"/>
          <w:sz w:val="28"/>
          <w:rtl/>
          <w:lang w:bidi="ar-SY"/>
        </w:rPr>
        <w:t>ل</w:t>
      </w:r>
      <w:r w:rsidR="00953581" w:rsidRPr="003F3B94">
        <w:rPr>
          <w:rFonts w:hint="cs"/>
          <w:sz w:val="28"/>
          <w:rtl/>
          <w:lang w:bidi="ar-SY"/>
        </w:rPr>
        <w:t xml:space="preserve"> </w:t>
      </w:r>
      <w:r w:rsidR="00D5616A" w:rsidRPr="003F3B94">
        <w:rPr>
          <w:rFonts w:hint="cs"/>
          <w:sz w:val="28"/>
          <w:rtl/>
          <w:lang w:bidi="ar-SY"/>
        </w:rPr>
        <w:t>من</w:t>
      </w:r>
      <w:r w:rsidR="00953581" w:rsidRPr="003F3B94">
        <w:rPr>
          <w:rFonts w:hint="cs"/>
          <w:sz w:val="28"/>
          <w:rtl/>
          <w:lang w:bidi="ar-SY"/>
        </w:rPr>
        <w:t xml:space="preserve"> </w:t>
      </w:r>
      <w:r w:rsidR="00D5616A" w:rsidRPr="003F3B94">
        <w:rPr>
          <w:rFonts w:hint="cs"/>
          <w:sz w:val="28"/>
          <w:rtl/>
          <w:lang w:bidi="ar-SY"/>
        </w:rPr>
        <w:t>ابن</w:t>
      </w:r>
      <w:r w:rsidR="00953581" w:rsidRPr="003F3B94">
        <w:rPr>
          <w:rFonts w:hint="cs"/>
          <w:sz w:val="28"/>
          <w:rtl/>
          <w:lang w:bidi="ar-SY"/>
        </w:rPr>
        <w:t xml:space="preserve"> </w:t>
      </w:r>
      <w:r w:rsidR="00D5616A" w:rsidRPr="003F3B94">
        <w:rPr>
          <w:rFonts w:hint="cs"/>
          <w:sz w:val="28"/>
          <w:rtl/>
          <w:lang w:bidi="ar-SY"/>
        </w:rPr>
        <w:t>الحرام</w:t>
      </w:r>
      <w:r w:rsidR="00953581" w:rsidRPr="003F3B94">
        <w:rPr>
          <w:rFonts w:hint="cs"/>
          <w:sz w:val="28"/>
          <w:rtl/>
          <w:lang w:bidi="ar-SY"/>
        </w:rPr>
        <w:t xml:space="preserve"> </w:t>
      </w:r>
      <w:r w:rsidR="00546908" w:rsidRPr="003F3B94">
        <w:rPr>
          <w:rFonts w:hint="cs"/>
          <w:sz w:val="28"/>
          <w:rtl/>
          <w:lang w:bidi="ar-SY"/>
        </w:rPr>
        <w:t>بل</w:t>
      </w:r>
      <w:r w:rsidR="00953581" w:rsidRPr="003F3B94">
        <w:rPr>
          <w:rFonts w:hint="cs"/>
          <w:sz w:val="28"/>
          <w:rtl/>
          <w:lang w:bidi="ar-SY"/>
        </w:rPr>
        <w:t xml:space="preserve"> </w:t>
      </w:r>
      <w:r w:rsidR="008A48FF" w:rsidRPr="003F3B94">
        <w:rPr>
          <w:rFonts w:hint="cs"/>
          <w:sz w:val="28"/>
          <w:rtl/>
          <w:lang w:bidi="ar-SY"/>
        </w:rPr>
        <w:t>حتى</w:t>
      </w:r>
      <w:r w:rsidR="00953581" w:rsidRPr="003F3B94">
        <w:rPr>
          <w:rFonts w:hint="cs"/>
          <w:sz w:val="28"/>
          <w:rtl/>
          <w:lang w:bidi="ar-SY"/>
        </w:rPr>
        <w:t xml:space="preserve"> </w:t>
      </w:r>
      <w:r w:rsidR="00546908" w:rsidRPr="003F3B94">
        <w:rPr>
          <w:rFonts w:hint="cs"/>
          <w:sz w:val="28"/>
          <w:rtl/>
          <w:lang w:bidi="ar-SY"/>
        </w:rPr>
        <w:t>تمييز</w:t>
      </w:r>
      <w:r w:rsidR="00953581" w:rsidRPr="003F3B94">
        <w:rPr>
          <w:rFonts w:hint="cs"/>
          <w:sz w:val="28"/>
          <w:rtl/>
          <w:lang w:bidi="ar-SY"/>
        </w:rPr>
        <w:t xml:space="preserve"> </w:t>
      </w:r>
      <w:r w:rsidR="00546908" w:rsidRPr="003F3B94">
        <w:rPr>
          <w:rFonts w:hint="cs"/>
          <w:sz w:val="28"/>
          <w:rtl/>
          <w:lang w:bidi="ar-SY"/>
        </w:rPr>
        <w:t>ا</w:t>
      </w:r>
      <w:r w:rsidR="002E169E" w:rsidRPr="003F3B94">
        <w:rPr>
          <w:rFonts w:hint="cs"/>
          <w:sz w:val="28"/>
          <w:rtl/>
          <w:lang w:bidi="ar-SY"/>
        </w:rPr>
        <w:t>لكفر</w:t>
      </w:r>
      <w:r w:rsidR="00953581" w:rsidRPr="003F3B94">
        <w:rPr>
          <w:rFonts w:hint="cs"/>
          <w:sz w:val="28"/>
          <w:rtl/>
          <w:lang w:bidi="ar-SY"/>
        </w:rPr>
        <w:t xml:space="preserve"> </w:t>
      </w:r>
      <w:r w:rsidR="008A48FF" w:rsidRPr="003F3B94">
        <w:rPr>
          <w:rFonts w:hint="cs"/>
          <w:sz w:val="28"/>
          <w:rtl/>
          <w:lang w:bidi="ar-SY"/>
        </w:rPr>
        <w:t>من</w:t>
      </w:r>
      <w:r w:rsidR="00953581" w:rsidRPr="003F3B94">
        <w:rPr>
          <w:rFonts w:hint="cs"/>
          <w:sz w:val="28"/>
          <w:rtl/>
          <w:lang w:bidi="ar-SY"/>
        </w:rPr>
        <w:t xml:space="preserve"> </w:t>
      </w:r>
      <w:r w:rsidR="002E169E" w:rsidRPr="003F3B94">
        <w:rPr>
          <w:rFonts w:hint="cs"/>
          <w:sz w:val="28"/>
          <w:rtl/>
          <w:lang w:bidi="ar-SY"/>
        </w:rPr>
        <w:t>ا</w:t>
      </w:r>
      <w:r w:rsidR="008A2A49" w:rsidRPr="003F3B94">
        <w:rPr>
          <w:rFonts w:hint="cs"/>
          <w:sz w:val="28"/>
          <w:rtl/>
          <w:lang w:bidi="ar-SY"/>
        </w:rPr>
        <w:t>لإ</w:t>
      </w:r>
      <w:r w:rsidR="002E169E" w:rsidRPr="003F3B94">
        <w:rPr>
          <w:rFonts w:hint="cs"/>
          <w:sz w:val="28"/>
          <w:rtl/>
          <w:lang w:bidi="ar-SY"/>
        </w:rPr>
        <w:t>يمان</w:t>
      </w:r>
      <w:r w:rsidR="00953581" w:rsidRPr="003F3B94">
        <w:rPr>
          <w:rFonts w:hint="cs"/>
          <w:sz w:val="28"/>
          <w:rtl/>
          <w:lang w:bidi="ar-SY"/>
        </w:rPr>
        <w:t xml:space="preserve"> </w:t>
      </w:r>
      <w:r w:rsidR="008A48FF" w:rsidRPr="003F3B94">
        <w:rPr>
          <w:rFonts w:hint="cs"/>
          <w:sz w:val="28"/>
          <w:rtl/>
          <w:lang w:bidi="ar-SY"/>
        </w:rPr>
        <w:t>أصبح</w:t>
      </w:r>
      <w:r w:rsidR="00953581" w:rsidRPr="003F3B94">
        <w:rPr>
          <w:rFonts w:hint="cs"/>
          <w:sz w:val="28"/>
          <w:rtl/>
          <w:lang w:bidi="ar-SY"/>
        </w:rPr>
        <w:t xml:space="preserve"> </w:t>
      </w:r>
      <w:r w:rsidR="002E169E" w:rsidRPr="003F3B94">
        <w:rPr>
          <w:rFonts w:hint="cs"/>
          <w:sz w:val="28"/>
          <w:rtl/>
          <w:lang w:bidi="ar-SY"/>
        </w:rPr>
        <w:t>صعباً</w:t>
      </w:r>
      <w:r w:rsidR="00953581" w:rsidRPr="003F3B94">
        <w:rPr>
          <w:rFonts w:hint="cs"/>
          <w:sz w:val="28"/>
          <w:rtl/>
          <w:lang w:bidi="ar-SY"/>
        </w:rPr>
        <w:t xml:space="preserve"> </w:t>
      </w:r>
      <w:r w:rsidR="008A48FF" w:rsidRPr="003F3B94">
        <w:rPr>
          <w:rFonts w:hint="cs"/>
          <w:sz w:val="28"/>
          <w:rtl/>
          <w:lang w:bidi="ar-SY"/>
        </w:rPr>
        <w:t>أيضا</w:t>
      </w:r>
      <w:r w:rsidR="00953581" w:rsidRPr="003F3B94">
        <w:rPr>
          <w:rFonts w:hint="cs"/>
          <w:sz w:val="28"/>
          <w:rtl/>
          <w:lang w:bidi="ar-SY"/>
        </w:rPr>
        <w:t xml:space="preserve"> </w:t>
      </w:r>
      <w:r w:rsidR="002E169E" w:rsidRPr="003F3B94">
        <w:rPr>
          <w:rFonts w:hint="cs"/>
          <w:sz w:val="28"/>
          <w:rtl/>
          <w:lang w:bidi="ar-SY"/>
        </w:rPr>
        <w:t>وغير</w:t>
      </w:r>
      <w:r w:rsidR="00953581" w:rsidRPr="003F3B94">
        <w:rPr>
          <w:rFonts w:hint="cs"/>
          <w:sz w:val="28"/>
          <w:rtl/>
          <w:lang w:bidi="ar-SY"/>
        </w:rPr>
        <w:t xml:space="preserve"> </w:t>
      </w:r>
      <w:r w:rsidR="002E169E" w:rsidRPr="003F3B94">
        <w:rPr>
          <w:rFonts w:hint="cs"/>
          <w:sz w:val="28"/>
          <w:rtl/>
          <w:lang w:bidi="ar-SY"/>
        </w:rPr>
        <w:t>ي</w:t>
      </w:r>
      <w:r w:rsidR="008A48FF" w:rsidRPr="003F3B94">
        <w:rPr>
          <w:rFonts w:hint="cs"/>
          <w:sz w:val="28"/>
          <w:rtl/>
          <w:lang w:bidi="ar-SY"/>
        </w:rPr>
        <w:t>سير</w:t>
      </w:r>
      <w:r w:rsidR="00217AB4" w:rsidRPr="003F3B94">
        <w:rPr>
          <w:rFonts w:hint="cs"/>
          <w:sz w:val="28"/>
          <w:rtl/>
          <w:lang w:bidi="ar-SY"/>
        </w:rPr>
        <w:t>!</w:t>
      </w:r>
      <w:r w:rsidR="00953581" w:rsidRPr="003F3B94">
        <w:rPr>
          <w:rFonts w:hint="cs"/>
          <w:sz w:val="28"/>
          <w:rtl/>
          <w:lang w:bidi="ar-SY"/>
        </w:rPr>
        <w:t xml:space="preserve"> </w:t>
      </w:r>
      <w:r w:rsidR="002E169E" w:rsidRPr="003F3B94">
        <w:rPr>
          <w:rFonts w:hint="cs"/>
          <w:sz w:val="28"/>
          <w:rtl/>
          <w:lang w:bidi="ar-SY"/>
        </w:rPr>
        <w:t>وإذا</w:t>
      </w:r>
      <w:r w:rsidR="00953581" w:rsidRPr="003F3B94">
        <w:rPr>
          <w:rFonts w:hint="cs"/>
          <w:sz w:val="28"/>
          <w:rtl/>
          <w:lang w:bidi="ar-SY"/>
        </w:rPr>
        <w:t xml:space="preserve"> </w:t>
      </w:r>
      <w:r w:rsidR="002E169E" w:rsidRPr="003F3B94">
        <w:rPr>
          <w:rFonts w:hint="cs"/>
          <w:sz w:val="28"/>
          <w:rtl/>
          <w:lang w:bidi="ar-SY"/>
        </w:rPr>
        <w:t>صرفنا</w:t>
      </w:r>
      <w:r w:rsidR="00953581" w:rsidRPr="003F3B94">
        <w:rPr>
          <w:rFonts w:hint="cs"/>
          <w:sz w:val="28"/>
          <w:rtl/>
          <w:lang w:bidi="ar-SY"/>
        </w:rPr>
        <w:t xml:space="preserve"> </w:t>
      </w:r>
      <w:r w:rsidR="002E169E" w:rsidRPr="003F3B94">
        <w:rPr>
          <w:rFonts w:hint="cs"/>
          <w:sz w:val="28"/>
          <w:rtl/>
          <w:lang w:bidi="ar-SY"/>
        </w:rPr>
        <w:t>النظر</w:t>
      </w:r>
      <w:r w:rsidR="00953581" w:rsidRPr="003F3B94">
        <w:rPr>
          <w:rFonts w:hint="cs"/>
          <w:sz w:val="28"/>
          <w:rtl/>
          <w:lang w:bidi="ar-SY"/>
        </w:rPr>
        <w:t xml:space="preserve"> </w:t>
      </w:r>
      <w:r w:rsidR="002E169E" w:rsidRPr="003F3B94">
        <w:rPr>
          <w:rFonts w:hint="cs"/>
          <w:sz w:val="28"/>
          <w:rtl/>
          <w:lang w:bidi="ar-SY"/>
        </w:rPr>
        <w:t>عن</w:t>
      </w:r>
      <w:r w:rsidR="00953581" w:rsidRPr="003F3B94">
        <w:rPr>
          <w:rFonts w:hint="cs"/>
          <w:sz w:val="28"/>
          <w:rtl/>
          <w:lang w:bidi="ar-SY"/>
        </w:rPr>
        <w:t xml:space="preserve"> </w:t>
      </w:r>
      <w:r w:rsidR="002E169E" w:rsidRPr="003F3B94">
        <w:rPr>
          <w:rFonts w:hint="cs"/>
          <w:sz w:val="28"/>
          <w:rtl/>
          <w:lang w:bidi="ar-SY"/>
        </w:rPr>
        <w:t>المسائل</w:t>
      </w:r>
      <w:r w:rsidR="00953581" w:rsidRPr="003F3B94">
        <w:rPr>
          <w:rFonts w:hint="cs"/>
          <w:sz w:val="28"/>
          <w:rtl/>
          <w:lang w:bidi="ar-SY"/>
        </w:rPr>
        <w:t xml:space="preserve"> </w:t>
      </w:r>
      <w:r w:rsidR="002E169E" w:rsidRPr="003F3B94">
        <w:rPr>
          <w:rFonts w:hint="cs"/>
          <w:sz w:val="28"/>
          <w:rtl/>
          <w:lang w:bidi="ar-SY"/>
        </w:rPr>
        <w:t>العقائدية</w:t>
      </w:r>
      <w:r w:rsidR="00953581" w:rsidRPr="003F3B94">
        <w:rPr>
          <w:rFonts w:hint="cs"/>
          <w:sz w:val="28"/>
          <w:rtl/>
          <w:lang w:bidi="ar-SY"/>
        </w:rPr>
        <w:t xml:space="preserve"> </w:t>
      </w:r>
      <w:r w:rsidR="002E169E" w:rsidRPr="003F3B94">
        <w:rPr>
          <w:rFonts w:hint="cs"/>
          <w:sz w:val="28"/>
          <w:rtl/>
          <w:lang w:bidi="ar-SY"/>
        </w:rPr>
        <w:t>وا</w:t>
      </w:r>
      <w:r w:rsidR="008A2A49" w:rsidRPr="003F3B94">
        <w:rPr>
          <w:rFonts w:hint="cs"/>
          <w:sz w:val="28"/>
          <w:rtl/>
          <w:lang w:bidi="ar-SY"/>
        </w:rPr>
        <w:t>لإ</w:t>
      </w:r>
      <w:r w:rsidR="002E169E" w:rsidRPr="003F3B94">
        <w:rPr>
          <w:rFonts w:hint="cs"/>
          <w:sz w:val="28"/>
          <w:rtl/>
          <w:lang w:bidi="ar-SY"/>
        </w:rPr>
        <w:t>يمانية</w:t>
      </w:r>
      <w:r w:rsidR="00953581" w:rsidRPr="003F3B94">
        <w:rPr>
          <w:rFonts w:hint="cs"/>
          <w:sz w:val="28"/>
          <w:rtl/>
          <w:lang w:bidi="ar-SY"/>
        </w:rPr>
        <w:t xml:space="preserve"> </w:t>
      </w:r>
      <w:r w:rsidR="00217AB4" w:rsidRPr="003F3B94">
        <w:rPr>
          <w:rFonts w:hint="cs"/>
          <w:sz w:val="28"/>
          <w:rtl/>
          <w:lang w:bidi="ar-SY"/>
        </w:rPr>
        <w:t>-</w:t>
      </w:r>
      <w:r w:rsidR="00953581" w:rsidRPr="003F3B94">
        <w:rPr>
          <w:rFonts w:hint="cs"/>
          <w:sz w:val="28"/>
          <w:rtl/>
          <w:lang w:bidi="ar-SY"/>
        </w:rPr>
        <w:t xml:space="preserve"> </w:t>
      </w:r>
      <w:r w:rsidR="00897B1B" w:rsidRPr="003F3B94">
        <w:rPr>
          <w:rFonts w:hint="cs"/>
          <w:sz w:val="28"/>
          <w:rtl/>
          <w:lang w:bidi="ar-SY"/>
        </w:rPr>
        <w:t>حيث</w:t>
      </w:r>
      <w:r w:rsidR="00953581" w:rsidRPr="003F3B94">
        <w:rPr>
          <w:rFonts w:hint="cs"/>
          <w:sz w:val="28"/>
          <w:rtl/>
          <w:lang w:bidi="ar-SY"/>
        </w:rPr>
        <w:t xml:space="preserve"> </w:t>
      </w:r>
      <w:r w:rsidR="00897B1B" w:rsidRPr="003F3B94">
        <w:rPr>
          <w:rFonts w:hint="cs"/>
          <w:sz w:val="28"/>
          <w:rtl/>
          <w:lang w:bidi="ar-SY"/>
        </w:rPr>
        <w:t>يشكل</w:t>
      </w:r>
      <w:r w:rsidR="00953581" w:rsidRPr="003F3B94">
        <w:rPr>
          <w:rFonts w:hint="cs"/>
          <w:sz w:val="28"/>
          <w:rtl/>
          <w:lang w:bidi="ar-SY"/>
        </w:rPr>
        <w:t xml:space="preserve"> </w:t>
      </w:r>
      <w:r w:rsidR="00897B1B" w:rsidRPr="003F3B94">
        <w:rPr>
          <w:rFonts w:hint="cs"/>
          <w:sz w:val="28"/>
          <w:rtl/>
          <w:lang w:bidi="ar-SY"/>
        </w:rPr>
        <w:t>التوحيد</w:t>
      </w:r>
      <w:r w:rsidR="00953581" w:rsidRPr="003F3B94">
        <w:rPr>
          <w:rFonts w:hint="cs"/>
          <w:sz w:val="28"/>
          <w:rtl/>
          <w:lang w:bidi="ar-SY"/>
        </w:rPr>
        <w:t xml:space="preserve"> </w:t>
      </w:r>
      <w:r w:rsidR="00897B1B" w:rsidRPr="003F3B94">
        <w:rPr>
          <w:rFonts w:hint="cs"/>
          <w:sz w:val="28"/>
          <w:rtl/>
          <w:lang w:bidi="ar-SY"/>
        </w:rPr>
        <w:t>قاعدة</w:t>
      </w:r>
      <w:r w:rsidR="00953581" w:rsidRPr="003F3B94">
        <w:rPr>
          <w:rFonts w:hint="cs"/>
          <w:sz w:val="28"/>
          <w:rtl/>
          <w:lang w:bidi="ar-SY"/>
        </w:rPr>
        <w:t xml:space="preserve"> </w:t>
      </w:r>
      <w:r w:rsidR="00897B1B" w:rsidRPr="003F3B94">
        <w:rPr>
          <w:rFonts w:hint="cs"/>
          <w:sz w:val="28"/>
          <w:rtl/>
          <w:lang w:bidi="ar-SY"/>
        </w:rPr>
        <w:t>ا</w:t>
      </w:r>
      <w:r w:rsidR="008A2A49" w:rsidRPr="003F3B94">
        <w:rPr>
          <w:rFonts w:hint="cs"/>
          <w:sz w:val="28"/>
          <w:rtl/>
          <w:lang w:bidi="ar-SY"/>
        </w:rPr>
        <w:t>لإ</w:t>
      </w:r>
      <w:r w:rsidR="00897B1B" w:rsidRPr="003F3B94">
        <w:rPr>
          <w:rFonts w:hint="cs"/>
          <w:sz w:val="28"/>
          <w:rtl/>
          <w:lang w:bidi="ar-SY"/>
        </w:rPr>
        <w:t>س</w:t>
      </w:r>
      <w:r w:rsidR="008A2A49" w:rsidRPr="003F3B94">
        <w:rPr>
          <w:rFonts w:hint="cs"/>
          <w:sz w:val="28"/>
          <w:rtl/>
          <w:lang w:bidi="ar-SY"/>
        </w:rPr>
        <w:t>لا</w:t>
      </w:r>
      <w:r w:rsidR="00897B1B" w:rsidRPr="003F3B94">
        <w:rPr>
          <w:rFonts w:hint="cs"/>
          <w:sz w:val="28"/>
          <w:rtl/>
          <w:lang w:bidi="ar-SY"/>
        </w:rPr>
        <w:t>م</w:t>
      </w:r>
      <w:r w:rsidR="00953581" w:rsidRPr="003F3B94">
        <w:rPr>
          <w:rFonts w:hint="cs"/>
          <w:sz w:val="28"/>
          <w:rtl/>
          <w:lang w:bidi="ar-SY"/>
        </w:rPr>
        <w:t xml:space="preserve"> </w:t>
      </w:r>
      <w:r w:rsidR="00897B1B" w:rsidRPr="003F3B94">
        <w:rPr>
          <w:rFonts w:hint="cs"/>
          <w:sz w:val="28"/>
          <w:rtl/>
          <w:lang w:bidi="ar-SY"/>
        </w:rPr>
        <w:t>وحقيقته</w:t>
      </w:r>
      <w:r w:rsidR="00953581" w:rsidRPr="003F3B94">
        <w:rPr>
          <w:rFonts w:hint="cs"/>
          <w:sz w:val="28"/>
          <w:rtl/>
          <w:lang w:bidi="ar-SY"/>
        </w:rPr>
        <w:t xml:space="preserve"> </w:t>
      </w:r>
      <w:r w:rsidR="008A48FF" w:rsidRPr="003F3B94">
        <w:rPr>
          <w:rFonts w:hint="cs"/>
          <w:sz w:val="28"/>
          <w:rtl/>
          <w:lang w:bidi="ar-SY"/>
        </w:rPr>
        <w:t>التي</w:t>
      </w:r>
      <w:r w:rsidR="00953581" w:rsidRPr="003F3B94">
        <w:rPr>
          <w:rFonts w:hint="cs"/>
          <w:sz w:val="28"/>
          <w:rtl/>
          <w:lang w:bidi="ar-SY"/>
        </w:rPr>
        <w:t xml:space="preserve"> </w:t>
      </w:r>
      <w:r w:rsidR="008A48FF" w:rsidRPr="003F3B94">
        <w:rPr>
          <w:rFonts w:hint="cs"/>
          <w:sz w:val="28"/>
          <w:rtl/>
          <w:lang w:bidi="ar-SY"/>
        </w:rPr>
        <w:t>لوثتها</w:t>
      </w:r>
      <w:r w:rsidR="00953581" w:rsidRPr="003F3B94">
        <w:rPr>
          <w:rFonts w:hint="cs"/>
          <w:sz w:val="28"/>
          <w:rtl/>
          <w:lang w:bidi="ar-SY"/>
        </w:rPr>
        <w:t xml:space="preserve"> </w:t>
      </w:r>
      <w:r w:rsidR="008A48FF" w:rsidRPr="003F3B94">
        <w:rPr>
          <w:rFonts w:hint="cs"/>
          <w:sz w:val="28"/>
          <w:rtl/>
          <w:lang w:bidi="ar-SY"/>
        </w:rPr>
        <w:t>مع</w:t>
      </w:r>
      <w:r w:rsidR="00953581" w:rsidRPr="003F3B94">
        <w:rPr>
          <w:rFonts w:hint="cs"/>
          <w:sz w:val="28"/>
          <w:rtl/>
          <w:lang w:bidi="ar-SY"/>
        </w:rPr>
        <w:t xml:space="preserve"> </w:t>
      </w:r>
      <w:r w:rsidR="008A48FF" w:rsidRPr="003F3B94">
        <w:rPr>
          <w:rFonts w:hint="cs"/>
          <w:sz w:val="28"/>
          <w:rtl/>
          <w:lang w:bidi="ar-SY"/>
        </w:rPr>
        <w:t>ا</w:t>
      </w:r>
      <w:r w:rsidR="008A2A49" w:rsidRPr="003F3B94">
        <w:rPr>
          <w:rFonts w:hint="cs"/>
          <w:sz w:val="28"/>
          <w:rtl/>
          <w:lang w:bidi="ar-SY"/>
        </w:rPr>
        <w:t>لأ</w:t>
      </w:r>
      <w:r w:rsidR="008A48FF" w:rsidRPr="003F3B94">
        <w:rPr>
          <w:rFonts w:hint="cs"/>
          <w:sz w:val="28"/>
          <w:rtl/>
          <w:lang w:bidi="ar-SY"/>
        </w:rPr>
        <w:t>سف</w:t>
      </w:r>
      <w:r w:rsidR="00953581" w:rsidRPr="003F3B94">
        <w:rPr>
          <w:rFonts w:hint="cs"/>
          <w:sz w:val="28"/>
          <w:rtl/>
          <w:lang w:bidi="ar-SY"/>
        </w:rPr>
        <w:t xml:space="preserve"> </w:t>
      </w:r>
      <w:r w:rsidR="008A48FF" w:rsidRPr="003F3B94">
        <w:rPr>
          <w:rFonts w:hint="cs"/>
          <w:sz w:val="28"/>
          <w:rtl/>
          <w:lang w:bidi="ar-SY"/>
        </w:rPr>
        <w:t>الشديد</w:t>
      </w:r>
      <w:r w:rsidR="00953581" w:rsidRPr="003F3B94">
        <w:rPr>
          <w:rFonts w:hint="cs"/>
          <w:sz w:val="28"/>
          <w:rtl/>
          <w:lang w:bidi="ar-SY"/>
        </w:rPr>
        <w:t xml:space="preserve"> </w:t>
      </w:r>
      <w:r w:rsidR="008A48FF" w:rsidRPr="003F3B94">
        <w:rPr>
          <w:rFonts w:hint="cs"/>
          <w:sz w:val="28"/>
          <w:rtl/>
          <w:lang w:bidi="ar-SY"/>
        </w:rPr>
        <w:t>[</w:t>
      </w:r>
      <w:r w:rsidR="00897B1B" w:rsidRPr="003F3B94">
        <w:rPr>
          <w:rFonts w:hint="cs"/>
          <w:sz w:val="28"/>
          <w:rtl/>
          <w:lang w:bidi="ar-SY"/>
        </w:rPr>
        <w:t>ا</w:t>
      </w:r>
      <w:r w:rsidR="008A2A49" w:rsidRPr="003F3B94">
        <w:rPr>
          <w:rFonts w:hint="cs"/>
          <w:sz w:val="28"/>
          <w:rtl/>
          <w:lang w:bidi="ar-SY"/>
        </w:rPr>
        <w:t>لأ</w:t>
      </w:r>
      <w:r w:rsidR="00897B1B" w:rsidRPr="003F3B94">
        <w:rPr>
          <w:rFonts w:hint="cs"/>
          <w:sz w:val="28"/>
          <w:rtl/>
          <w:lang w:bidi="ar-SY"/>
        </w:rPr>
        <w:t>عمال</w:t>
      </w:r>
      <w:r w:rsidR="00953581" w:rsidRPr="003F3B94">
        <w:rPr>
          <w:rFonts w:hint="cs"/>
          <w:sz w:val="28"/>
          <w:rtl/>
          <w:lang w:bidi="ar-SY"/>
        </w:rPr>
        <w:t xml:space="preserve"> </w:t>
      </w:r>
      <w:r w:rsidR="00897B1B" w:rsidRPr="003F3B94">
        <w:rPr>
          <w:rFonts w:hint="cs"/>
          <w:sz w:val="28"/>
          <w:rtl/>
          <w:lang w:bidi="ar-SY"/>
        </w:rPr>
        <w:t>والعقائد</w:t>
      </w:r>
      <w:r w:rsidR="00953581" w:rsidRPr="003F3B94">
        <w:rPr>
          <w:rFonts w:hint="cs"/>
          <w:sz w:val="28"/>
          <w:rtl/>
          <w:lang w:bidi="ar-SY"/>
        </w:rPr>
        <w:t xml:space="preserve"> </w:t>
      </w:r>
      <w:r w:rsidR="00897B1B" w:rsidRPr="003F3B94">
        <w:rPr>
          <w:rFonts w:hint="cs"/>
          <w:sz w:val="28"/>
          <w:rtl/>
          <w:lang w:bidi="ar-SY"/>
        </w:rPr>
        <w:t>الشركية]</w:t>
      </w:r>
      <w:r w:rsidR="00953581" w:rsidRPr="003F3B94">
        <w:rPr>
          <w:rFonts w:hint="cs"/>
          <w:sz w:val="28"/>
          <w:rtl/>
          <w:lang w:bidi="ar-SY"/>
        </w:rPr>
        <w:t xml:space="preserve"> </w:t>
      </w:r>
      <w:r w:rsidR="00217AB4" w:rsidRPr="003F3B94">
        <w:rPr>
          <w:rFonts w:hint="cs"/>
          <w:sz w:val="28"/>
          <w:rtl/>
          <w:lang w:bidi="ar-SY"/>
        </w:rPr>
        <w:t>-</w:t>
      </w:r>
      <w:r w:rsidR="00953581" w:rsidRPr="003F3B94">
        <w:rPr>
          <w:rFonts w:hint="cs"/>
          <w:sz w:val="28"/>
          <w:rtl/>
          <w:lang w:bidi="ar-SY"/>
        </w:rPr>
        <w:t xml:space="preserve"> </w:t>
      </w:r>
      <w:r w:rsidR="00F21913" w:rsidRPr="003F3B94">
        <w:rPr>
          <w:rFonts w:hint="cs"/>
          <w:sz w:val="28"/>
          <w:rtl/>
          <w:lang w:bidi="ar-SY"/>
        </w:rPr>
        <w:t>ونظرنا</w:t>
      </w:r>
      <w:r w:rsidR="00953581" w:rsidRPr="003F3B94">
        <w:rPr>
          <w:rFonts w:hint="cs"/>
          <w:sz w:val="28"/>
          <w:rtl/>
          <w:lang w:bidi="ar-SY"/>
        </w:rPr>
        <w:t xml:space="preserve"> </w:t>
      </w:r>
      <w:r w:rsidR="008A48FF" w:rsidRPr="003F3B94">
        <w:rPr>
          <w:rFonts w:hint="cs"/>
          <w:sz w:val="28"/>
          <w:rtl/>
          <w:lang w:bidi="ar-SY"/>
        </w:rPr>
        <w:t>فقط</w:t>
      </w:r>
      <w:r w:rsidR="00953581" w:rsidRPr="003F3B94">
        <w:rPr>
          <w:rFonts w:hint="cs"/>
          <w:sz w:val="28"/>
          <w:rtl/>
          <w:lang w:bidi="ar-SY"/>
        </w:rPr>
        <w:t xml:space="preserve"> </w:t>
      </w:r>
      <w:r w:rsidR="00F21913" w:rsidRPr="003F3B94">
        <w:rPr>
          <w:rFonts w:hint="cs"/>
          <w:sz w:val="28"/>
          <w:rtl/>
          <w:lang w:bidi="ar-SY"/>
        </w:rPr>
        <w:t>إ</w:t>
      </w:r>
      <w:r w:rsidR="006B5685" w:rsidRPr="003F3B94">
        <w:rPr>
          <w:rFonts w:hint="cs"/>
          <w:sz w:val="28"/>
          <w:rtl/>
          <w:lang w:bidi="ar-SY"/>
        </w:rPr>
        <w:t>لى</w:t>
      </w:r>
      <w:r w:rsidR="00953581" w:rsidRPr="003F3B94">
        <w:rPr>
          <w:rFonts w:hint="cs"/>
          <w:sz w:val="28"/>
          <w:rtl/>
          <w:lang w:bidi="ar-SY"/>
        </w:rPr>
        <w:t xml:space="preserve"> </w:t>
      </w:r>
      <w:r w:rsidR="006B5685" w:rsidRPr="003F3B94">
        <w:rPr>
          <w:rFonts w:hint="cs"/>
          <w:sz w:val="28"/>
          <w:rtl/>
          <w:lang w:bidi="ar-SY"/>
        </w:rPr>
        <w:t>فروع</w:t>
      </w:r>
      <w:r w:rsidR="00953581" w:rsidRPr="003F3B94">
        <w:rPr>
          <w:rFonts w:hint="cs"/>
          <w:sz w:val="28"/>
          <w:rtl/>
          <w:lang w:bidi="ar-SY"/>
        </w:rPr>
        <w:t xml:space="preserve"> </w:t>
      </w:r>
      <w:r w:rsidR="006B5685" w:rsidRPr="003F3B94">
        <w:rPr>
          <w:rFonts w:hint="cs"/>
          <w:sz w:val="28"/>
          <w:rtl/>
          <w:lang w:bidi="ar-SY"/>
        </w:rPr>
        <w:t>ا</w:t>
      </w:r>
      <w:r w:rsidR="008A2A49" w:rsidRPr="003F3B94">
        <w:rPr>
          <w:rFonts w:hint="cs"/>
          <w:sz w:val="28"/>
          <w:rtl/>
          <w:lang w:bidi="ar-SY"/>
        </w:rPr>
        <w:t>لإ</w:t>
      </w:r>
      <w:r w:rsidR="006B5685" w:rsidRPr="003F3B94">
        <w:rPr>
          <w:rFonts w:hint="cs"/>
          <w:sz w:val="28"/>
          <w:rtl/>
          <w:lang w:bidi="ar-SY"/>
        </w:rPr>
        <w:t>س</w:t>
      </w:r>
      <w:r w:rsidR="008A2A49" w:rsidRPr="003F3B94">
        <w:rPr>
          <w:rFonts w:hint="cs"/>
          <w:sz w:val="28"/>
          <w:rtl/>
          <w:lang w:bidi="ar-SY"/>
        </w:rPr>
        <w:t>لا</w:t>
      </w:r>
      <w:r w:rsidR="006B5685" w:rsidRPr="003F3B94">
        <w:rPr>
          <w:rFonts w:hint="cs"/>
          <w:sz w:val="28"/>
          <w:rtl/>
          <w:lang w:bidi="ar-SY"/>
        </w:rPr>
        <w:t>م</w:t>
      </w:r>
      <w:r w:rsidR="00953581" w:rsidRPr="003F3B94">
        <w:rPr>
          <w:rFonts w:hint="cs"/>
          <w:sz w:val="28"/>
          <w:rtl/>
          <w:lang w:bidi="ar-SY"/>
        </w:rPr>
        <w:t xml:space="preserve"> </w:t>
      </w:r>
      <w:r w:rsidR="006B5685" w:rsidRPr="003F3B94">
        <w:rPr>
          <w:rFonts w:hint="cs"/>
          <w:sz w:val="28"/>
          <w:rtl/>
          <w:lang w:bidi="ar-SY"/>
        </w:rPr>
        <w:t>وأحكامه</w:t>
      </w:r>
      <w:r w:rsidR="00953581" w:rsidRPr="003F3B94">
        <w:rPr>
          <w:rFonts w:hint="cs"/>
          <w:sz w:val="28"/>
          <w:rtl/>
          <w:lang w:bidi="ar-SY"/>
        </w:rPr>
        <w:t xml:space="preserve"> </w:t>
      </w:r>
      <w:r w:rsidR="006B5685" w:rsidRPr="003F3B94">
        <w:rPr>
          <w:rFonts w:hint="cs"/>
          <w:sz w:val="28"/>
          <w:rtl/>
          <w:lang w:bidi="ar-SY"/>
        </w:rPr>
        <w:t>العملية</w:t>
      </w:r>
      <w:r w:rsidR="00217AB4" w:rsidRPr="003F3B94">
        <w:rPr>
          <w:rFonts w:hint="cs"/>
          <w:sz w:val="28"/>
          <w:rtl/>
          <w:lang w:bidi="ar-SY"/>
        </w:rPr>
        <w:t>:</w:t>
      </w:r>
      <w:r w:rsidR="00953581" w:rsidRPr="003F3B94">
        <w:rPr>
          <w:rFonts w:hint="cs"/>
          <w:sz w:val="28"/>
          <w:rtl/>
          <w:lang w:bidi="ar-SY"/>
        </w:rPr>
        <w:t xml:space="preserve"> </w:t>
      </w:r>
      <w:r w:rsidR="008A48FF" w:rsidRPr="003F3B94">
        <w:rPr>
          <w:rFonts w:hint="cs"/>
          <w:sz w:val="28"/>
          <w:rtl/>
          <w:lang w:bidi="ar-SY"/>
        </w:rPr>
        <w:t>نجد</w:t>
      </w:r>
      <w:r w:rsidR="00953581" w:rsidRPr="003F3B94">
        <w:rPr>
          <w:rFonts w:hint="cs"/>
          <w:sz w:val="28"/>
          <w:rtl/>
          <w:lang w:bidi="ar-SY"/>
        </w:rPr>
        <w:t xml:space="preserve"> </w:t>
      </w:r>
      <w:r w:rsidR="008A48FF" w:rsidRPr="003F3B94">
        <w:rPr>
          <w:rFonts w:hint="cs"/>
          <w:sz w:val="28"/>
          <w:rtl/>
          <w:lang w:bidi="ar-SY"/>
        </w:rPr>
        <w:t>كثيراً</w:t>
      </w:r>
      <w:r w:rsidR="00953581" w:rsidRPr="003F3B94">
        <w:rPr>
          <w:rFonts w:hint="cs"/>
          <w:sz w:val="28"/>
          <w:rtl/>
          <w:lang w:bidi="ar-SY"/>
        </w:rPr>
        <w:t xml:space="preserve"> </w:t>
      </w:r>
      <w:r w:rsidR="008A48FF" w:rsidRPr="003F3B94">
        <w:rPr>
          <w:rFonts w:hint="cs"/>
          <w:sz w:val="28"/>
          <w:rtl/>
          <w:lang w:bidi="ar-SY"/>
        </w:rPr>
        <w:t>منها</w:t>
      </w:r>
      <w:r w:rsidR="00953581" w:rsidRPr="003F3B94">
        <w:rPr>
          <w:rFonts w:hint="cs"/>
          <w:sz w:val="28"/>
          <w:rtl/>
          <w:lang w:bidi="ar-SY"/>
        </w:rPr>
        <w:t xml:space="preserve"> </w:t>
      </w:r>
      <w:r w:rsidR="008A48FF" w:rsidRPr="003F3B94">
        <w:rPr>
          <w:rFonts w:hint="cs"/>
          <w:sz w:val="28"/>
          <w:rtl/>
          <w:lang w:bidi="ar-SY"/>
        </w:rPr>
        <w:t>قد</w:t>
      </w:r>
      <w:r w:rsidR="00953581" w:rsidRPr="003F3B94">
        <w:rPr>
          <w:rFonts w:hint="cs"/>
          <w:sz w:val="28"/>
          <w:rtl/>
          <w:lang w:bidi="ar-SY"/>
        </w:rPr>
        <w:t xml:space="preserve"> </w:t>
      </w:r>
      <w:r w:rsidR="008A48FF" w:rsidRPr="003F3B94">
        <w:rPr>
          <w:rFonts w:hint="cs"/>
          <w:sz w:val="28"/>
          <w:rtl/>
          <w:lang w:bidi="ar-SY"/>
        </w:rPr>
        <w:t>طُمِسَت</w:t>
      </w:r>
      <w:r w:rsidR="00953581" w:rsidRPr="003F3B94">
        <w:rPr>
          <w:rFonts w:hint="cs"/>
          <w:sz w:val="28"/>
          <w:rtl/>
          <w:lang w:bidi="ar-SY"/>
        </w:rPr>
        <w:t xml:space="preserve"> </w:t>
      </w:r>
      <w:r w:rsidR="008A48FF" w:rsidRPr="003F3B94">
        <w:rPr>
          <w:rFonts w:hint="cs"/>
          <w:sz w:val="28"/>
          <w:rtl/>
          <w:lang w:bidi="ar-SY"/>
        </w:rPr>
        <w:t>حقيقته</w:t>
      </w:r>
      <w:r w:rsidR="00953581" w:rsidRPr="003F3B94">
        <w:rPr>
          <w:rFonts w:hint="cs"/>
          <w:sz w:val="28"/>
          <w:rtl/>
          <w:lang w:bidi="ar-SY"/>
        </w:rPr>
        <w:t xml:space="preserve"> </w:t>
      </w:r>
      <w:r w:rsidR="006B5685" w:rsidRPr="003F3B94">
        <w:rPr>
          <w:rFonts w:hint="cs"/>
          <w:sz w:val="28"/>
          <w:rtl/>
          <w:lang w:bidi="ar-SY"/>
        </w:rPr>
        <w:t>فمث</w:t>
      </w:r>
      <w:r w:rsidR="008A2A49" w:rsidRPr="003F3B94">
        <w:rPr>
          <w:rFonts w:hint="cs"/>
          <w:sz w:val="28"/>
          <w:rtl/>
          <w:lang w:bidi="ar-SY"/>
        </w:rPr>
        <w:t>لا</w:t>
      </w:r>
      <w:r w:rsidR="00922817" w:rsidRPr="003F3B94">
        <w:rPr>
          <w:rFonts w:hint="cs"/>
          <w:sz w:val="28"/>
          <w:rtl/>
          <w:lang w:bidi="ar-SY"/>
        </w:rPr>
        <w:t>ً</w:t>
      </w:r>
      <w:r w:rsidR="00217AB4" w:rsidRPr="003F3B94">
        <w:rPr>
          <w:rFonts w:hint="cs"/>
          <w:sz w:val="28"/>
          <w:rtl/>
          <w:lang w:bidi="ar-SY"/>
        </w:rPr>
        <w:t>:</w:t>
      </w:r>
      <w:r w:rsidR="00953581" w:rsidRPr="003F3B94">
        <w:rPr>
          <w:rFonts w:hint="cs"/>
          <w:sz w:val="28"/>
          <w:rtl/>
          <w:lang w:bidi="ar-SY"/>
        </w:rPr>
        <w:t xml:space="preserve"> </w:t>
      </w:r>
    </w:p>
    <w:p w:rsidR="006B5685" w:rsidRPr="003F3B94" w:rsidRDefault="003F65EB" w:rsidP="003F3B94">
      <w:pPr>
        <w:pStyle w:val="a0"/>
        <w:rPr>
          <w:rFonts w:hint="cs"/>
          <w:rtl/>
          <w:lang w:bidi="ar-SY"/>
        </w:rPr>
      </w:pPr>
      <w:r w:rsidRPr="003F3B94">
        <w:rPr>
          <w:rFonts w:hint="cs"/>
          <w:sz w:val="28"/>
          <w:rtl/>
          <w:lang w:bidi="ar-SY"/>
        </w:rPr>
        <w:t>إحدى</w:t>
      </w:r>
      <w:r w:rsidR="00953581" w:rsidRPr="003F3B94">
        <w:rPr>
          <w:rFonts w:hint="cs"/>
          <w:sz w:val="28"/>
          <w:rtl/>
          <w:lang w:bidi="ar-SY"/>
        </w:rPr>
        <w:t xml:space="preserve"> </w:t>
      </w:r>
      <w:r w:rsidRPr="003F3B94">
        <w:rPr>
          <w:rFonts w:hint="cs"/>
          <w:sz w:val="28"/>
          <w:rtl/>
          <w:lang w:bidi="ar-SY"/>
        </w:rPr>
        <w:t>تعاليم</w:t>
      </w:r>
      <w:r w:rsidR="00953581" w:rsidRPr="003F3B94">
        <w:rPr>
          <w:rFonts w:hint="cs"/>
          <w:sz w:val="28"/>
          <w:rtl/>
          <w:lang w:bidi="ar-SY"/>
        </w:rPr>
        <w:t xml:space="preserve"> </w:t>
      </w:r>
      <w:r w:rsidRPr="003F3B94">
        <w:rPr>
          <w:rFonts w:hint="cs"/>
          <w:sz w:val="28"/>
          <w:rtl/>
          <w:lang w:bidi="ar-SY"/>
        </w:rPr>
        <w:t>ا</w:t>
      </w:r>
      <w:r w:rsidR="008A2A49" w:rsidRPr="003F3B94">
        <w:rPr>
          <w:rFonts w:hint="cs"/>
          <w:sz w:val="28"/>
          <w:rtl/>
          <w:lang w:bidi="ar-SY"/>
        </w:rPr>
        <w:t>لإ</w:t>
      </w:r>
      <w:r w:rsidRPr="003F3B94">
        <w:rPr>
          <w:rFonts w:hint="cs"/>
          <w:sz w:val="28"/>
          <w:rtl/>
          <w:lang w:bidi="ar-SY"/>
        </w:rPr>
        <w:t>س</w:t>
      </w:r>
      <w:r w:rsidR="008A2A49" w:rsidRPr="003F3B94">
        <w:rPr>
          <w:rFonts w:hint="cs"/>
          <w:sz w:val="28"/>
          <w:rtl/>
          <w:lang w:bidi="ar-SY"/>
        </w:rPr>
        <w:t>لا</w:t>
      </w:r>
      <w:r w:rsidRPr="003F3B94">
        <w:rPr>
          <w:rFonts w:hint="cs"/>
          <w:sz w:val="28"/>
          <w:rtl/>
          <w:lang w:bidi="ar-SY"/>
        </w:rPr>
        <w:t>م</w:t>
      </w:r>
      <w:r w:rsidR="00953581" w:rsidRPr="003F3B94">
        <w:rPr>
          <w:rFonts w:hint="cs"/>
          <w:sz w:val="28"/>
          <w:rtl/>
          <w:lang w:bidi="ar-SY"/>
        </w:rPr>
        <w:t xml:space="preserve"> </w:t>
      </w:r>
      <w:r w:rsidRPr="003F3B94">
        <w:rPr>
          <w:rFonts w:hint="cs"/>
          <w:sz w:val="28"/>
          <w:rtl/>
          <w:lang w:bidi="ar-SY"/>
        </w:rPr>
        <w:t>ا</w:t>
      </w:r>
      <w:r w:rsidR="008A2A49" w:rsidRPr="003F3B94">
        <w:rPr>
          <w:rFonts w:hint="cs"/>
          <w:sz w:val="28"/>
          <w:rtl/>
          <w:lang w:bidi="ar-SY"/>
        </w:rPr>
        <w:t>لأ</w:t>
      </w:r>
      <w:r w:rsidRPr="003F3B94">
        <w:rPr>
          <w:rFonts w:hint="cs"/>
          <w:sz w:val="28"/>
          <w:rtl/>
          <w:lang w:bidi="ar-SY"/>
        </w:rPr>
        <w:t>صيلة</w:t>
      </w:r>
      <w:r w:rsidR="00953581" w:rsidRPr="003F3B94">
        <w:rPr>
          <w:rFonts w:hint="cs"/>
          <w:sz w:val="28"/>
          <w:rtl/>
          <w:lang w:bidi="ar-SY"/>
        </w:rPr>
        <w:t xml:space="preserve"> </w:t>
      </w:r>
      <w:r w:rsidRPr="003F3B94">
        <w:rPr>
          <w:rFonts w:hint="cs"/>
          <w:sz w:val="28"/>
          <w:rtl/>
          <w:lang w:bidi="ar-SY"/>
        </w:rPr>
        <w:t>والعظيمة</w:t>
      </w:r>
      <w:r w:rsidR="00953581" w:rsidRPr="003F3B94">
        <w:rPr>
          <w:rFonts w:hint="cs"/>
          <w:sz w:val="28"/>
          <w:rtl/>
          <w:lang w:bidi="ar-SY"/>
        </w:rPr>
        <w:t xml:space="preserve"> </w:t>
      </w:r>
      <w:r w:rsidRPr="003F3B94">
        <w:rPr>
          <w:rFonts w:hint="cs"/>
          <w:sz w:val="28"/>
          <w:rtl/>
          <w:lang w:bidi="ar-SY"/>
        </w:rPr>
        <w:t>والرفيعة</w:t>
      </w:r>
      <w:r w:rsidR="00953581" w:rsidRPr="003F3B94">
        <w:rPr>
          <w:rFonts w:hint="cs"/>
          <w:sz w:val="28"/>
          <w:rtl/>
          <w:lang w:bidi="ar-SY"/>
        </w:rPr>
        <w:t xml:space="preserve"> </w:t>
      </w:r>
      <w:r w:rsidRPr="003F3B94">
        <w:rPr>
          <w:rFonts w:hint="cs"/>
          <w:sz w:val="28"/>
          <w:rtl/>
          <w:lang w:bidi="ar-SY"/>
        </w:rPr>
        <w:t>فريضة</w:t>
      </w:r>
      <w:r w:rsidR="00953581" w:rsidRPr="003F3B94">
        <w:rPr>
          <w:rFonts w:hint="cs"/>
          <w:sz w:val="28"/>
          <w:rtl/>
          <w:lang w:bidi="ar-SY"/>
        </w:rPr>
        <w:t xml:space="preserve"> </w:t>
      </w:r>
      <w:r w:rsidR="002E4893" w:rsidRPr="003F3B94">
        <w:rPr>
          <w:rFonts w:hint="eastAsia"/>
          <w:sz w:val="28"/>
          <w:rtl/>
          <w:lang w:bidi="ar-SY"/>
        </w:rPr>
        <w:t>«</w:t>
      </w:r>
      <w:r w:rsidR="002E4893" w:rsidRPr="003F3B94">
        <w:rPr>
          <w:rFonts w:hint="cs"/>
          <w:b/>
          <w:bCs/>
          <w:sz w:val="28"/>
          <w:rtl/>
          <w:lang w:bidi="ar-SY"/>
        </w:rPr>
        <w:t>الزكاة</w:t>
      </w:r>
      <w:r w:rsidR="002E4893" w:rsidRPr="003F3B94">
        <w:rPr>
          <w:rFonts w:hint="eastAsia"/>
          <w:sz w:val="28"/>
          <w:rtl/>
          <w:lang w:bidi="ar-SY"/>
        </w:rPr>
        <w:t>»</w:t>
      </w:r>
      <w:r w:rsidR="00217AB4" w:rsidRPr="003F3B94">
        <w:rPr>
          <w:rFonts w:hint="cs"/>
          <w:sz w:val="28"/>
          <w:rtl/>
          <w:lang w:bidi="ar-SY"/>
        </w:rPr>
        <w:t>،</w:t>
      </w:r>
      <w:r w:rsidR="00953581" w:rsidRPr="003F3B94">
        <w:rPr>
          <w:rFonts w:hint="cs"/>
          <w:sz w:val="28"/>
          <w:rtl/>
          <w:lang w:bidi="ar-SY"/>
        </w:rPr>
        <w:t xml:space="preserve"> </w:t>
      </w:r>
      <w:r w:rsidR="005A6AFC" w:rsidRPr="003F3B94">
        <w:rPr>
          <w:rFonts w:hint="cs"/>
          <w:sz w:val="28"/>
          <w:rtl/>
          <w:lang w:bidi="ar-SY"/>
        </w:rPr>
        <w:t>حيث</w:t>
      </w:r>
      <w:r w:rsidR="00953581" w:rsidRPr="003F3B94">
        <w:rPr>
          <w:rFonts w:hint="cs"/>
          <w:sz w:val="28"/>
          <w:rtl/>
          <w:lang w:bidi="ar-SY"/>
        </w:rPr>
        <w:t xml:space="preserve"> </w:t>
      </w:r>
      <w:r w:rsidR="00907755" w:rsidRPr="003F3B94">
        <w:rPr>
          <w:rFonts w:hint="cs"/>
          <w:sz w:val="28"/>
          <w:rtl/>
          <w:lang w:bidi="ar-SY"/>
        </w:rPr>
        <w:t>أن</w:t>
      </w:r>
      <w:r w:rsidR="00953581" w:rsidRPr="003F3B94">
        <w:rPr>
          <w:rFonts w:hint="cs"/>
          <w:sz w:val="28"/>
          <w:rtl/>
          <w:lang w:bidi="ar-SY"/>
        </w:rPr>
        <w:t xml:space="preserve"> </w:t>
      </w:r>
      <w:r w:rsidR="00907755" w:rsidRPr="003F3B94">
        <w:rPr>
          <w:rFonts w:hint="cs"/>
          <w:sz w:val="28"/>
          <w:rtl/>
          <w:lang w:bidi="ar-SY"/>
        </w:rPr>
        <w:t>العمل</w:t>
      </w:r>
      <w:r w:rsidR="00953581" w:rsidRPr="003F3B94">
        <w:rPr>
          <w:rFonts w:hint="cs"/>
          <w:sz w:val="28"/>
          <w:rtl/>
          <w:lang w:bidi="ar-SY"/>
        </w:rPr>
        <w:t xml:space="preserve"> </w:t>
      </w:r>
      <w:r w:rsidR="00907755" w:rsidRPr="003F3B94">
        <w:rPr>
          <w:rFonts w:hint="cs"/>
          <w:sz w:val="28"/>
          <w:rtl/>
          <w:lang w:bidi="ar-SY"/>
        </w:rPr>
        <w:t>بهذه</w:t>
      </w:r>
      <w:r w:rsidR="00953581" w:rsidRPr="003F3B94">
        <w:rPr>
          <w:rFonts w:hint="cs"/>
          <w:sz w:val="28"/>
          <w:rtl/>
          <w:lang w:bidi="ar-SY"/>
        </w:rPr>
        <w:t xml:space="preserve"> </w:t>
      </w:r>
      <w:r w:rsidR="00907755" w:rsidRPr="003F3B94">
        <w:rPr>
          <w:rFonts w:hint="cs"/>
          <w:sz w:val="28"/>
          <w:rtl/>
          <w:lang w:bidi="ar-SY"/>
        </w:rPr>
        <w:t>الفريضة</w:t>
      </w:r>
      <w:r w:rsidR="00953581" w:rsidRPr="003F3B94">
        <w:rPr>
          <w:rFonts w:hint="cs"/>
          <w:sz w:val="28"/>
          <w:rtl/>
          <w:lang w:bidi="ar-SY"/>
        </w:rPr>
        <w:t xml:space="preserve"> </w:t>
      </w:r>
      <w:r w:rsidR="00907755" w:rsidRPr="003F3B94">
        <w:rPr>
          <w:rFonts w:hint="cs"/>
          <w:sz w:val="28"/>
          <w:rtl/>
          <w:lang w:bidi="ar-SY"/>
        </w:rPr>
        <w:t>ا</w:t>
      </w:r>
      <w:r w:rsidR="008A2A49" w:rsidRPr="003F3B94">
        <w:rPr>
          <w:rFonts w:hint="cs"/>
          <w:sz w:val="28"/>
          <w:rtl/>
          <w:lang w:bidi="ar-SY"/>
        </w:rPr>
        <w:t>لإ</w:t>
      </w:r>
      <w:r w:rsidR="00907755" w:rsidRPr="003F3B94">
        <w:rPr>
          <w:rFonts w:hint="cs"/>
          <w:sz w:val="28"/>
          <w:rtl/>
          <w:lang w:bidi="ar-SY"/>
        </w:rPr>
        <w:t>لهية</w:t>
      </w:r>
      <w:r w:rsidR="00953581" w:rsidRPr="003F3B94">
        <w:rPr>
          <w:rFonts w:hint="cs"/>
          <w:sz w:val="28"/>
          <w:rtl/>
          <w:lang w:bidi="ar-SY"/>
        </w:rPr>
        <w:t xml:space="preserve"> </w:t>
      </w:r>
      <w:r w:rsidR="00907755" w:rsidRPr="003F3B94">
        <w:rPr>
          <w:rFonts w:hint="cs"/>
          <w:sz w:val="28"/>
          <w:rtl/>
          <w:lang w:bidi="ar-SY"/>
        </w:rPr>
        <w:t>كفيلٌ</w:t>
      </w:r>
      <w:r w:rsidR="00953581" w:rsidRPr="003F3B94">
        <w:rPr>
          <w:rFonts w:hint="cs"/>
          <w:sz w:val="28"/>
          <w:rtl/>
          <w:lang w:bidi="ar-SY"/>
        </w:rPr>
        <w:t xml:space="preserve"> </w:t>
      </w:r>
      <w:r w:rsidR="00907755" w:rsidRPr="003F3B94">
        <w:rPr>
          <w:rFonts w:hint="cs"/>
          <w:sz w:val="28"/>
          <w:rtl/>
          <w:lang w:bidi="ar-SY"/>
        </w:rPr>
        <w:t>بحل</w:t>
      </w:r>
      <w:r w:rsidR="00953581" w:rsidRPr="003F3B94">
        <w:rPr>
          <w:rFonts w:hint="cs"/>
          <w:sz w:val="28"/>
          <w:rtl/>
          <w:lang w:bidi="ar-SY"/>
        </w:rPr>
        <w:t xml:space="preserve"> </w:t>
      </w:r>
      <w:r w:rsidR="00907755" w:rsidRPr="003F3B94">
        <w:rPr>
          <w:rFonts w:hint="cs"/>
          <w:sz w:val="28"/>
          <w:rtl/>
          <w:lang w:bidi="ar-SY"/>
        </w:rPr>
        <w:t>مشاكل</w:t>
      </w:r>
      <w:r w:rsidR="00953581" w:rsidRPr="003F3B94">
        <w:rPr>
          <w:rFonts w:hint="cs"/>
          <w:sz w:val="28"/>
          <w:rtl/>
          <w:lang w:bidi="ar-SY"/>
        </w:rPr>
        <w:t xml:space="preserve"> </w:t>
      </w:r>
      <w:r w:rsidR="00907755" w:rsidRPr="003F3B94">
        <w:rPr>
          <w:rFonts w:hint="cs"/>
          <w:sz w:val="28"/>
          <w:rtl/>
          <w:lang w:bidi="ar-SY"/>
        </w:rPr>
        <w:t>الحرمان</w:t>
      </w:r>
      <w:r w:rsidR="00953581" w:rsidRPr="003F3B94">
        <w:rPr>
          <w:rFonts w:hint="cs"/>
          <w:sz w:val="28"/>
          <w:rtl/>
          <w:lang w:bidi="ar-SY"/>
        </w:rPr>
        <w:t xml:space="preserve"> </w:t>
      </w:r>
      <w:r w:rsidR="00907755" w:rsidRPr="003F3B94">
        <w:rPr>
          <w:rFonts w:hint="cs"/>
          <w:sz w:val="28"/>
          <w:rtl/>
          <w:lang w:bidi="ar-SY"/>
        </w:rPr>
        <w:t>والحاجة</w:t>
      </w:r>
      <w:r w:rsidR="00953581" w:rsidRPr="003F3B94">
        <w:rPr>
          <w:rFonts w:hint="cs"/>
          <w:sz w:val="28"/>
          <w:rtl/>
          <w:lang w:bidi="ar-SY"/>
        </w:rPr>
        <w:t xml:space="preserve"> </w:t>
      </w:r>
      <w:r w:rsidR="00907755" w:rsidRPr="003F3B94">
        <w:rPr>
          <w:rFonts w:hint="cs"/>
          <w:sz w:val="28"/>
          <w:rtl/>
          <w:lang w:bidi="ar-SY"/>
        </w:rPr>
        <w:t>ا</w:t>
      </w:r>
      <w:r w:rsidR="008A2A49" w:rsidRPr="003F3B94">
        <w:rPr>
          <w:rFonts w:hint="cs"/>
          <w:sz w:val="28"/>
          <w:rtl/>
          <w:lang w:bidi="ar-SY"/>
        </w:rPr>
        <w:t>لا</w:t>
      </w:r>
      <w:r w:rsidR="00907755" w:rsidRPr="003F3B94">
        <w:rPr>
          <w:rFonts w:hint="cs"/>
          <w:sz w:val="28"/>
          <w:rtl/>
          <w:lang w:bidi="ar-SY"/>
        </w:rPr>
        <w:t>جتماعية</w:t>
      </w:r>
      <w:r w:rsidR="00953581" w:rsidRPr="003F3B94">
        <w:rPr>
          <w:rFonts w:hint="cs"/>
          <w:sz w:val="28"/>
          <w:rtl/>
          <w:lang w:bidi="ar-SY"/>
        </w:rPr>
        <w:t xml:space="preserve"> </w:t>
      </w:r>
      <w:r w:rsidR="00907755" w:rsidRPr="003F3B94">
        <w:rPr>
          <w:rFonts w:hint="cs"/>
          <w:sz w:val="28"/>
          <w:rtl/>
          <w:lang w:bidi="ar-SY"/>
        </w:rPr>
        <w:t>وا</w:t>
      </w:r>
      <w:r w:rsidR="008A2A49" w:rsidRPr="003F3B94">
        <w:rPr>
          <w:rFonts w:hint="cs"/>
          <w:sz w:val="28"/>
          <w:rtl/>
          <w:lang w:bidi="ar-SY"/>
        </w:rPr>
        <w:t>لإ</w:t>
      </w:r>
      <w:r w:rsidR="00907755" w:rsidRPr="003F3B94">
        <w:rPr>
          <w:rFonts w:hint="cs"/>
          <w:sz w:val="28"/>
          <w:rtl/>
          <w:lang w:bidi="ar-SY"/>
        </w:rPr>
        <w:t>نسانية</w:t>
      </w:r>
      <w:r w:rsidR="00953581" w:rsidRPr="003F3B94">
        <w:rPr>
          <w:rFonts w:hint="cs"/>
          <w:sz w:val="28"/>
          <w:rtl/>
          <w:lang w:bidi="ar-SY"/>
        </w:rPr>
        <w:t xml:space="preserve"> </w:t>
      </w:r>
      <w:r w:rsidR="008A48FF" w:rsidRPr="003F3B94">
        <w:rPr>
          <w:rFonts w:hint="cs"/>
          <w:sz w:val="28"/>
          <w:rtl/>
          <w:lang w:bidi="ar-SY"/>
        </w:rPr>
        <w:t>التي</w:t>
      </w:r>
      <w:r w:rsidR="00953581" w:rsidRPr="003F3B94">
        <w:rPr>
          <w:rFonts w:hint="cs"/>
          <w:sz w:val="28"/>
          <w:rtl/>
          <w:lang w:bidi="ar-SY"/>
        </w:rPr>
        <w:t xml:space="preserve"> </w:t>
      </w:r>
      <w:r w:rsidR="008A2A49" w:rsidRPr="003F3B94">
        <w:rPr>
          <w:rFonts w:hint="cs"/>
          <w:sz w:val="28"/>
          <w:rtl/>
          <w:lang w:bidi="ar-SY"/>
        </w:rPr>
        <w:t>لا</w:t>
      </w:r>
      <w:r w:rsidR="00953581" w:rsidRPr="003F3B94">
        <w:rPr>
          <w:rFonts w:hint="cs"/>
          <w:sz w:val="28"/>
          <w:rtl/>
          <w:lang w:bidi="ar-SY"/>
        </w:rPr>
        <w:t xml:space="preserve"> </w:t>
      </w:r>
      <w:r w:rsidR="008A48FF" w:rsidRPr="003F3B94">
        <w:rPr>
          <w:rFonts w:hint="cs"/>
          <w:sz w:val="28"/>
          <w:rtl/>
          <w:lang w:bidi="ar-SY"/>
        </w:rPr>
        <w:t>مفر</w:t>
      </w:r>
      <w:r w:rsidR="00953581" w:rsidRPr="003F3B94">
        <w:rPr>
          <w:rFonts w:hint="cs"/>
          <w:sz w:val="28"/>
          <w:rtl/>
          <w:lang w:bidi="ar-SY"/>
        </w:rPr>
        <w:t xml:space="preserve"> </w:t>
      </w:r>
      <w:r w:rsidR="008A48FF" w:rsidRPr="003F3B94">
        <w:rPr>
          <w:rFonts w:hint="cs"/>
          <w:sz w:val="28"/>
          <w:rtl/>
          <w:lang w:bidi="ar-SY"/>
        </w:rPr>
        <w:t>منها</w:t>
      </w:r>
      <w:r w:rsidR="00953581" w:rsidRPr="003F3B94">
        <w:rPr>
          <w:rFonts w:hint="cs"/>
          <w:sz w:val="28"/>
          <w:rtl/>
          <w:lang w:bidi="ar-SY"/>
        </w:rPr>
        <w:t xml:space="preserve"> </w:t>
      </w:r>
      <w:r w:rsidR="00907755" w:rsidRPr="003F3B94">
        <w:rPr>
          <w:rFonts w:hint="cs"/>
          <w:sz w:val="28"/>
          <w:rtl/>
          <w:lang w:bidi="ar-SY"/>
        </w:rPr>
        <w:t>في</w:t>
      </w:r>
      <w:r w:rsidR="00953581" w:rsidRPr="003F3B94">
        <w:rPr>
          <w:rFonts w:hint="cs"/>
          <w:sz w:val="28"/>
          <w:rtl/>
          <w:lang w:bidi="ar-SY"/>
        </w:rPr>
        <w:t xml:space="preserve"> </w:t>
      </w:r>
      <w:r w:rsidR="00907755" w:rsidRPr="003F3B94">
        <w:rPr>
          <w:rFonts w:hint="cs"/>
          <w:sz w:val="28"/>
          <w:rtl/>
          <w:lang w:bidi="ar-SY"/>
        </w:rPr>
        <w:t>الحياة</w:t>
      </w:r>
      <w:r w:rsidR="00953581" w:rsidRPr="003F3B94">
        <w:rPr>
          <w:rFonts w:hint="cs"/>
          <w:sz w:val="28"/>
          <w:rtl/>
          <w:lang w:bidi="ar-SY"/>
        </w:rPr>
        <w:t xml:space="preserve"> </w:t>
      </w:r>
      <w:r w:rsidR="00907755" w:rsidRPr="003F3B94">
        <w:rPr>
          <w:rFonts w:hint="cs"/>
          <w:sz w:val="28"/>
          <w:rtl/>
          <w:lang w:bidi="ar-SY"/>
        </w:rPr>
        <w:t>في</w:t>
      </w:r>
      <w:r w:rsidR="00953581" w:rsidRPr="003F3B94">
        <w:rPr>
          <w:rFonts w:hint="cs"/>
          <w:sz w:val="28"/>
          <w:rtl/>
          <w:lang w:bidi="ar-SY"/>
        </w:rPr>
        <w:t xml:space="preserve"> </w:t>
      </w:r>
      <w:r w:rsidR="00907755" w:rsidRPr="003F3B94">
        <w:rPr>
          <w:rFonts w:hint="cs"/>
          <w:sz w:val="28"/>
          <w:rtl/>
          <w:lang w:bidi="ar-SY"/>
        </w:rPr>
        <w:t>هذا</w:t>
      </w:r>
      <w:r w:rsidR="00953581" w:rsidRPr="003F3B94">
        <w:rPr>
          <w:rFonts w:hint="cs"/>
          <w:sz w:val="28"/>
          <w:rtl/>
          <w:lang w:bidi="ar-SY"/>
        </w:rPr>
        <w:t xml:space="preserve"> </w:t>
      </w:r>
      <w:r w:rsidR="00907755" w:rsidRPr="003F3B94">
        <w:rPr>
          <w:rFonts w:hint="cs"/>
          <w:sz w:val="28"/>
          <w:rtl/>
          <w:lang w:bidi="ar-SY"/>
        </w:rPr>
        <w:t>العالم</w:t>
      </w:r>
      <w:r w:rsidR="00217AB4" w:rsidRPr="003F3B94">
        <w:rPr>
          <w:rFonts w:hint="cs"/>
          <w:sz w:val="28"/>
          <w:rtl/>
          <w:lang w:bidi="ar-SY"/>
        </w:rPr>
        <w:t>.</w:t>
      </w:r>
      <w:r w:rsidR="00953581" w:rsidRPr="003F3B94">
        <w:rPr>
          <w:rFonts w:hint="cs"/>
          <w:sz w:val="28"/>
          <w:rtl/>
          <w:lang w:bidi="ar-SY"/>
        </w:rPr>
        <w:t xml:space="preserve"> </w:t>
      </w:r>
    </w:p>
    <w:p w:rsidR="0026666D" w:rsidRPr="00995B26" w:rsidRDefault="008A48FF" w:rsidP="00DF7CAE">
      <w:pPr>
        <w:pStyle w:val="a0"/>
        <w:rPr>
          <w:rFonts w:hint="cs"/>
          <w:rtl/>
          <w:lang w:bidi="ar-SY"/>
        </w:rPr>
      </w:pPr>
      <w:r w:rsidRPr="003F3B94">
        <w:rPr>
          <w:rFonts w:hint="cs"/>
          <w:sz w:val="28"/>
          <w:rtl/>
          <w:lang w:bidi="ar-SY"/>
        </w:rPr>
        <w:t>فقد</w:t>
      </w:r>
      <w:r w:rsidR="00953581" w:rsidRPr="003F3B94">
        <w:rPr>
          <w:rFonts w:hint="cs"/>
          <w:sz w:val="28"/>
          <w:rtl/>
          <w:lang w:bidi="ar-SY"/>
        </w:rPr>
        <w:t xml:space="preserve"> </w:t>
      </w:r>
      <w:r w:rsidRPr="003F3B94">
        <w:rPr>
          <w:rFonts w:hint="cs"/>
          <w:sz w:val="28"/>
          <w:rtl/>
          <w:lang w:bidi="ar-SY"/>
        </w:rPr>
        <w:t>حدَّد</w:t>
      </w:r>
      <w:r w:rsidR="00953581" w:rsidRPr="003F3B94">
        <w:rPr>
          <w:rFonts w:hint="cs"/>
          <w:sz w:val="28"/>
          <w:rtl/>
          <w:lang w:bidi="ar-SY"/>
        </w:rPr>
        <w:t xml:space="preserve"> </w:t>
      </w:r>
      <w:r w:rsidRPr="003F3B94">
        <w:rPr>
          <w:rFonts w:hint="cs"/>
          <w:sz w:val="28"/>
          <w:rtl/>
          <w:lang w:bidi="ar-SY"/>
        </w:rPr>
        <w:t>الله</w:t>
      </w:r>
      <w:r w:rsidR="00953581" w:rsidRPr="003F3B94">
        <w:rPr>
          <w:rFonts w:hint="cs"/>
          <w:sz w:val="28"/>
          <w:rtl/>
          <w:lang w:bidi="ar-SY"/>
        </w:rPr>
        <w:t xml:space="preserve"> </w:t>
      </w:r>
      <w:r w:rsidRPr="003F3B94">
        <w:rPr>
          <w:rFonts w:hint="cs"/>
          <w:sz w:val="28"/>
          <w:rtl/>
          <w:lang w:bidi="ar-SY"/>
        </w:rPr>
        <w:t>تعالى</w:t>
      </w:r>
      <w:r w:rsidR="00953581" w:rsidRPr="003F3B94">
        <w:rPr>
          <w:rFonts w:hint="cs"/>
          <w:sz w:val="28"/>
          <w:rtl/>
          <w:lang w:bidi="ar-SY"/>
        </w:rPr>
        <w:t xml:space="preserve"> </w:t>
      </w:r>
      <w:r w:rsidRPr="003F3B94">
        <w:rPr>
          <w:rFonts w:hint="cs"/>
          <w:sz w:val="28"/>
          <w:rtl/>
          <w:lang w:bidi="ar-SY"/>
        </w:rPr>
        <w:t>للمسلمين</w:t>
      </w:r>
      <w:r w:rsidR="00953581" w:rsidRPr="003F3B94">
        <w:rPr>
          <w:rFonts w:hint="cs"/>
          <w:sz w:val="28"/>
          <w:rtl/>
          <w:lang w:bidi="ar-SY"/>
        </w:rPr>
        <w:t xml:space="preserve"> </w:t>
      </w:r>
      <w:r w:rsidR="00983912" w:rsidRPr="003F3B94">
        <w:rPr>
          <w:rFonts w:hint="cs"/>
          <w:sz w:val="28"/>
          <w:rtl/>
          <w:lang w:bidi="ar-SY"/>
        </w:rPr>
        <w:t>في</w:t>
      </w:r>
      <w:r w:rsidR="00953581" w:rsidRPr="003F3B94">
        <w:rPr>
          <w:rFonts w:hint="cs"/>
          <w:sz w:val="28"/>
          <w:rtl/>
          <w:lang w:bidi="ar-SY"/>
        </w:rPr>
        <w:t xml:space="preserve"> </w:t>
      </w:r>
      <w:r w:rsidR="00983912" w:rsidRPr="003F3B94">
        <w:rPr>
          <w:rFonts w:hint="cs"/>
          <w:sz w:val="28"/>
          <w:rtl/>
          <w:lang w:bidi="ar-SY"/>
        </w:rPr>
        <w:t>كتابه</w:t>
      </w:r>
      <w:r w:rsidR="00953581" w:rsidRPr="003F3B94">
        <w:rPr>
          <w:rFonts w:hint="cs"/>
          <w:sz w:val="28"/>
          <w:rtl/>
          <w:lang w:bidi="ar-SY"/>
        </w:rPr>
        <w:t xml:space="preserve"> </w:t>
      </w:r>
      <w:r w:rsidR="00983912" w:rsidRPr="003F3B94">
        <w:rPr>
          <w:rFonts w:hint="cs"/>
          <w:sz w:val="28"/>
          <w:rtl/>
          <w:lang w:bidi="ar-SY"/>
        </w:rPr>
        <w:t>السماوي</w:t>
      </w:r>
      <w:r w:rsidR="00953581" w:rsidRPr="003F3B94">
        <w:rPr>
          <w:rFonts w:hint="cs"/>
          <w:sz w:val="28"/>
          <w:rtl/>
          <w:lang w:bidi="ar-SY"/>
        </w:rPr>
        <w:t xml:space="preserve"> </w:t>
      </w:r>
      <w:r w:rsidR="00983912" w:rsidRPr="003F3B94">
        <w:rPr>
          <w:rFonts w:hint="cs"/>
          <w:sz w:val="28"/>
          <w:rtl/>
          <w:lang w:bidi="ar-SY"/>
        </w:rPr>
        <w:t>المجيد</w:t>
      </w:r>
      <w:r w:rsidR="00953581" w:rsidRPr="003F3B94">
        <w:rPr>
          <w:rFonts w:hint="cs"/>
          <w:sz w:val="28"/>
          <w:rtl/>
          <w:lang w:bidi="ar-SY"/>
        </w:rPr>
        <w:t xml:space="preserve"> </w:t>
      </w:r>
      <w:r w:rsidR="006B03EB" w:rsidRPr="003F3B94">
        <w:rPr>
          <w:rFonts w:hint="cs"/>
          <w:sz w:val="28"/>
          <w:rtl/>
          <w:lang w:bidi="ar-SY"/>
        </w:rPr>
        <w:t>ميزانية</w:t>
      </w:r>
      <w:r w:rsidRPr="003F3B94">
        <w:rPr>
          <w:rFonts w:hint="cs"/>
          <w:sz w:val="28"/>
          <w:rtl/>
          <w:lang w:bidi="ar-SY"/>
        </w:rPr>
        <w:t>َ</w:t>
      </w:r>
      <w:r w:rsidR="00953581" w:rsidRPr="003F3B94">
        <w:rPr>
          <w:rFonts w:hint="cs"/>
          <w:sz w:val="28"/>
          <w:rtl/>
          <w:lang w:bidi="ar-SY"/>
        </w:rPr>
        <w:t xml:space="preserve"> </w:t>
      </w:r>
      <w:r w:rsidR="006B03EB" w:rsidRPr="003F3B94">
        <w:rPr>
          <w:rFonts w:hint="cs"/>
          <w:sz w:val="28"/>
          <w:rtl/>
          <w:lang w:bidi="ar-SY"/>
        </w:rPr>
        <w:t>الزكاة</w:t>
      </w:r>
      <w:r w:rsidR="00953581" w:rsidRPr="003F3B94">
        <w:rPr>
          <w:rFonts w:hint="cs"/>
          <w:sz w:val="28"/>
          <w:rtl/>
          <w:lang w:bidi="ar-SY"/>
        </w:rPr>
        <w:t xml:space="preserve"> </w:t>
      </w:r>
      <w:r w:rsidR="006B03EB" w:rsidRPr="003F3B94">
        <w:rPr>
          <w:rFonts w:hint="cs"/>
          <w:sz w:val="28"/>
          <w:rtl/>
          <w:lang w:bidi="ar-SY"/>
        </w:rPr>
        <w:t>لتأمين</w:t>
      </w:r>
      <w:r w:rsidR="00953581" w:rsidRPr="003F3B94">
        <w:rPr>
          <w:rFonts w:hint="cs"/>
          <w:sz w:val="28"/>
          <w:rtl/>
          <w:lang w:bidi="ar-SY"/>
        </w:rPr>
        <w:t xml:space="preserve"> </w:t>
      </w:r>
      <w:r w:rsidR="006B03EB" w:rsidRPr="003F3B94">
        <w:rPr>
          <w:rFonts w:hint="cs"/>
          <w:sz w:val="28"/>
          <w:rtl/>
          <w:lang w:bidi="ar-SY"/>
        </w:rPr>
        <w:t>مصاريف</w:t>
      </w:r>
      <w:r w:rsidR="00953581" w:rsidRPr="003F3B94">
        <w:rPr>
          <w:rFonts w:hint="cs"/>
          <w:sz w:val="28"/>
          <w:rtl/>
          <w:lang w:bidi="ar-SY"/>
        </w:rPr>
        <w:t xml:space="preserve"> </w:t>
      </w:r>
      <w:r w:rsidR="006B03EB" w:rsidRPr="003F3B94">
        <w:rPr>
          <w:rFonts w:hint="cs"/>
          <w:sz w:val="28"/>
          <w:rtl/>
          <w:lang w:bidi="ar-SY"/>
        </w:rPr>
        <w:t>ثمانية</w:t>
      </w:r>
      <w:r w:rsidR="00953581" w:rsidRPr="003F3B94">
        <w:rPr>
          <w:rFonts w:hint="cs"/>
          <w:sz w:val="28"/>
          <w:rtl/>
          <w:lang w:bidi="ar-SY"/>
        </w:rPr>
        <w:t xml:space="preserve"> </w:t>
      </w:r>
      <w:r w:rsidR="006654D0" w:rsidRPr="003F3B94">
        <w:rPr>
          <w:rFonts w:hint="cs"/>
          <w:sz w:val="28"/>
          <w:rtl/>
          <w:lang w:bidi="ar-SY"/>
        </w:rPr>
        <w:t>أقسامٍ</w:t>
      </w:r>
      <w:r w:rsidR="00953581" w:rsidRPr="003F3B94">
        <w:rPr>
          <w:rFonts w:hint="cs"/>
          <w:sz w:val="28"/>
          <w:rtl/>
          <w:lang w:bidi="ar-SY"/>
        </w:rPr>
        <w:t xml:space="preserve"> </w:t>
      </w:r>
      <w:r w:rsidR="006654D0" w:rsidRPr="003F3B94">
        <w:rPr>
          <w:rFonts w:hint="cs"/>
          <w:sz w:val="28"/>
          <w:rtl/>
          <w:lang w:bidi="ar-SY"/>
        </w:rPr>
        <w:t>من</w:t>
      </w:r>
      <w:r w:rsidR="00953581" w:rsidRPr="003F3B94">
        <w:rPr>
          <w:rFonts w:hint="cs"/>
          <w:sz w:val="28"/>
          <w:rtl/>
          <w:lang w:bidi="ar-SY"/>
        </w:rPr>
        <w:t xml:space="preserve"> </w:t>
      </w:r>
      <w:r w:rsidR="006654D0" w:rsidRPr="003F3B94">
        <w:rPr>
          <w:rFonts w:hint="cs"/>
          <w:sz w:val="28"/>
          <w:rtl/>
          <w:lang w:bidi="ar-SY"/>
        </w:rPr>
        <w:t>حاجات</w:t>
      </w:r>
      <w:r w:rsidR="00953581" w:rsidRPr="003F3B94">
        <w:rPr>
          <w:rFonts w:hint="cs"/>
          <w:sz w:val="28"/>
          <w:rtl/>
          <w:lang w:bidi="ar-SY"/>
        </w:rPr>
        <w:t xml:space="preserve"> </w:t>
      </w:r>
      <w:r w:rsidR="006654D0" w:rsidRPr="003F3B94">
        <w:rPr>
          <w:rFonts w:hint="cs"/>
          <w:sz w:val="28"/>
          <w:rtl/>
          <w:lang w:bidi="ar-SY"/>
        </w:rPr>
        <w:t>المجتمع</w:t>
      </w:r>
      <w:r w:rsidR="00953581" w:rsidRPr="003F3B94">
        <w:rPr>
          <w:rFonts w:hint="cs"/>
          <w:sz w:val="28"/>
          <w:rtl/>
          <w:lang w:bidi="ar-SY"/>
        </w:rPr>
        <w:t xml:space="preserve"> </w:t>
      </w:r>
      <w:r w:rsidRPr="003F3B94">
        <w:rPr>
          <w:rFonts w:hint="cs"/>
          <w:sz w:val="28"/>
          <w:rtl/>
          <w:lang w:bidi="ar-SY"/>
        </w:rPr>
        <w:t>ف</w:t>
      </w:r>
      <w:r w:rsidR="00E03DF1" w:rsidRPr="003F3B94">
        <w:rPr>
          <w:rFonts w:hint="cs"/>
          <w:sz w:val="28"/>
          <w:rtl/>
          <w:lang w:bidi="ar-SY"/>
        </w:rPr>
        <w:t>أمر</w:t>
      </w:r>
      <w:r w:rsidR="00953581" w:rsidRPr="003F3B94">
        <w:rPr>
          <w:rFonts w:hint="cs"/>
          <w:sz w:val="28"/>
          <w:rtl/>
          <w:lang w:bidi="ar-SY"/>
        </w:rPr>
        <w:t xml:space="preserve"> </w:t>
      </w:r>
      <w:r w:rsidR="00E03DF1" w:rsidRPr="003F3B94">
        <w:rPr>
          <w:rFonts w:hint="cs"/>
          <w:sz w:val="28"/>
          <w:rtl/>
          <w:lang w:bidi="ar-SY"/>
        </w:rPr>
        <w:t>بصرفها</w:t>
      </w:r>
      <w:r w:rsidR="00953581" w:rsidRPr="003F3B94">
        <w:rPr>
          <w:rFonts w:hint="cs"/>
          <w:sz w:val="28"/>
          <w:rtl/>
          <w:lang w:bidi="ar-SY"/>
        </w:rPr>
        <w:t xml:space="preserve"> </w:t>
      </w:r>
      <w:r w:rsidR="00E03DF1" w:rsidRPr="003F3B94">
        <w:rPr>
          <w:rFonts w:hint="cs"/>
          <w:sz w:val="28"/>
          <w:rtl/>
          <w:lang w:bidi="ar-SY"/>
        </w:rPr>
        <w:t>للفقراء</w:t>
      </w:r>
      <w:r w:rsidR="00953581" w:rsidRPr="003F3B94">
        <w:rPr>
          <w:rFonts w:hint="cs"/>
          <w:sz w:val="28"/>
          <w:rtl/>
          <w:lang w:bidi="ar-SY"/>
        </w:rPr>
        <w:t xml:space="preserve"> </w:t>
      </w:r>
      <w:r w:rsidR="00E03DF1" w:rsidRPr="003F3B94">
        <w:rPr>
          <w:rFonts w:hint="cs"/>
          <w:sz w:val="28"/>
          <w:rtl/>
          <w:lang w:bidi="ar-SY"/>
        </w:rPr>
        <w:t>والمساكين</w:t>
      </w:r>
      <w:r w:rsidR="00953581" w:rsidRPr="003F3B94">
        <w:rPr>
          <w:rFonts w:hint="cs"/>
          <w:sz w:val="28"/>
          <w:rtl/>
          <w:lang w:bidi="ar-SY"/>
        </w:rPr>
        <w:t xml:space="preserve"> </w:t>
      </w:r>
      <w:r w:rsidR="00E03DF1" w:rsidRPr="003F3B94">
        <w:rPr>
          <w:rFonts w:hint="cs"/>
          <w:sz w:val="28"/>
          <w:rtl/>
          <w:lang w:bidi="ar-SY"/>
        </w:rPr>
        <w:t>كي</w:t>
      </w:r>
      <w:r w:rsidR="00953581" w:rsidRPr="003F3B94">
        <w:rPr>
          <w:rFonts w:hint="cs"/>
          <w:sz w:val="28"/>
          <w:rtl/>
          <w:lang w:bidi="ar-SY"/>
        </w:rPr>
        <w:t xml:space="preserve"> </w:t>
      </w:r>
      <w:r w:rsidR="00E03DF1" w:rsidRPr="003F3B94">
        <w:rPr>
          <w:rFonts w:hint="cs"/>
          <w:sz w:val="28"/>
          <w:rtl/>
          <w:lang w:bidi="ar-SY"/>
        </w:rPr>
        <w:t>يستطيع</w:t>
      </w:r>
      <w:r w:rsidRPr="003F3B94">
        <w:rPr>
          <w:rFonts w:hint="cs"/>
          <w:sz w:val="28"/>
          <w:rtl/>
          <w:lang w:bidi="ar-SY"/>
        </w:rPr>
        <w:t>وا</w:t>
      </w:r>
      <w:r w:rsidR="00953581" w:rsidRPr="003F3B94">
        <w:rPr>
          <w:rFonts w:hint="cs"/>
          <w:sz w:val="28"/>
          <w:rtl/>
          <w:lang w:bidi="ar-SY"/>
        </w:rPr>
        <w:t xml:space="preserve"> </w:t>
      </w:r>
      <w:r w:rsidR="00E03DF1" w:rsidRPr="003F3B94">
        <w:rPr>
          <w:rFonts w:hint="cs"/>
          <w:sz w:val="28"/>
          <w:rtl/>
          <w:lang w:bidi="ar-SY"/>
        </w:rPr>
        <w:t>العيش</w:t>
      </w:r>
      <w:r w:rsidR="00953581" w:rsidRPr="003F3B94">
        <w:rPr>
          <w:rFonts w:hint="cs"/>
          <w:sz w:val="28"/>
          <w:rtl/>
          <w:lang w:bidi="ar-SY"/>
        </w:rPr>
        <w:t xml:space="preserve"> </w:t>
      </w:r>
      <w:r w:rsidR="00E03DF1" w:rsidRPr="003F3B94">
        <w:rPr>
          <w:rFonts w:hint="cs"/>
          <w:sz w:val="28"/>
          <w:rtl/>
          <w:lang w:bidi="ar-SY"/>
        </w:rPr>
        <w:t>بكرامته</w:t>
      </w:r>
      <w:r w:rsidR="00217AB4" w:rsidRPr="003F3B94">
        <w:rPr>
          <w:rFonts w:hint="cs"/>
          <w:sz w:val="28"/>
          <w:rtl/>
          <w:lang w:bidi="ar-SY"/>
        </w:rPr>
        <w:t>،</w:t>
      </w:r>
      <w:r w:rsidR="00953581" w:rsidRPr="003F3B94">
        <w:rPr>
          <w:rFonts w:hint="cs"/>
          <w:sz w:val="28"/>
          <w:rtl/>
          <w:lang w:bidi="ar-SY"/>
        </w:rPr>
        <w:t xml:space="preserve"> </w:t>
      </w:r>
      <w:r w:rsidR="0025707D" w:rsidRPr="003F3B94">
        <w:rPr>
          <w:rFonts w:hint="cs"/>
          <w:sz w:val="28"/>
          <w:rtl/>
          <w:lang w:bidi="ar-SY"/>
        </w:rPr>
        <w:t>ثم</w:t>
      </w:r>
      <w:r w:rsidR="00953581" w:rsidRPr="003F3B94">
        <w:rPr>
          <w:rFonts w:hint="cs"/>
          <w:sz w:val="28"/>
          <w:rtl/>
          <w:lang w:bidi="ar-SY"/>
        </w:rPr>
        <w:t xml:space="preserve"> </w:t>
      </w:r>
      <w:r w:rsidR="00175349" w:rsidRPr="003F3B94">
        <w:rPr>
          <w:rFonts w:hint="cs"/>
          <w:sz w:val="28"/>
          <w:rtl/>
          <w:lang w:bidi="ar-SY"/>
        </w:rPr>
        <w:t>للعاملين</w:t>
      </w:r>
      <w:r w:rsidR="00953581" w:rsidRPr="003F3B94">
        <w:rPr>
          <w:rFonts w:hint="cs"/>
          <w:sz w:val="28"/>
          <w:rtl/>
          <w:lang w:bidi="ar-SY"/>
        </w:rPr>
        <w:t xml:space="preserve"> </w:t>
      </w:r>
      <w:r w:rsidR="00175349" w:rsidRPr="003F3B94">
        <w:rPr>
          <w:rFonts w:hint="cs"/>
          <w:sz w:val="28"/>
          <w:rtl/>
          <w:lang w:bidi="ar-SY"/>
        </w:rPr>
        <w:t>على</w:t>
      </w:r>
      <w:r w:rsidR="00953581" w:rsidRPr="003F3B94">
        <w:rPr>
          <w:rFonts w:hint="cs"/>
          <w:sz w:val="28"/>
          <w:rtl/>
          <w:lang w:bidi="ar-SY"/>
        </w:rPr>
        <w:t xml:space="preserve"> </w:t>
      </w:r>
      <w:r w:rsidR="00175349" w:rsidRPr="003F3B94">
        <w:rPr>
          <w:rFonts w:hint="cs"/>
          <w:sz w:val="28"/>
          <w:rtl/>
          <w:lang w:bidi="ar-SY"/>
        </w:rPr>
        <w:t>جمعها</w:t>
      </w:r>
      <w:r w:rsidR="00953581" w:rsidRPr="003F3B94">
        <w:rPr>
          <w:rFonts w:hint="cs"/>
          <w:sz w:val="28"/>
          <w:rtl/>
          <w:lang w:bidi="ar-SY"/>
        </w:rPr>
        <w:t xml:space="preserve"> </w:t>
      </w:r>
      <w:r w:rsidR="00175349" w:rsidRPr="003F3B94">
        <w:rPr>
          <w:rFonts w:hint="cs"/>
          <w:sz w:val="28"/>
          <w:rtl/>
          <w:lang w:bidi="ar-SY"/>
        </w:rPr>
        <w:t>ثم</w:t>
      </w:r>
      <w:r w:rsidR="00953581" w:rsidRPr="003F3B94">
        <w:rPr>
          <w:rFonts w:hint="cs"/>
          <w:sz w:val="28"/>
          <w:rtl/>
          <w:lang w:bidi="ar-SY"/>
        </w:rPr>
        <w:t xml:space="preserve"> </w:t>
      </w:r>
      <w:r w:rsidR="00175349" w:rsidRPr="003F3B94">
        <w:rPr>
          <w:rFonts w:hint="cs"/>
          <w:sz w:val="28"/>
          <w:rtl/>
          <w:lang w:bidi="ar-SY"/>
        </w:rPr>
        <w:t>للمؤلفة</w:t>
      </w:r>
      <w:r w:rsidR="00953581" w:rsidRPr="003F3B94">
        <w:rPr>
          <w:rFonts w:hint="cs"/>
          <w:sz w:val="28"/>
          <w:rtl/>
          <w:lang w:bidi="ar-SY"/>
        </w:rPr>
        <w:t xml:space="preserve"> </w:t>
      </w:r>
      <w:r w:rsidR="00175349" w:rsidRPr="003F3B94">
        <w:rPr>
          <w:rFonts w:hint="cs"/>
          <w:sz w:val="28"/>
          <w:rtl/>
          <w:lang w:bidi="ar-SY"/>
        </w:rPr>
        <w:t>قلوبهم</w:t>
      </w:r>
      <w:r w:rsidR="00953581" w:rsidRPr="003F3B94">
        <w:rPr>
          <w:rFonts w:hint="cs"/>
          <w:sz w:val="28"/>
          <w:rtl/>
          <w:lang w:bidi="ar-SY"/>
        </w:rPr>
        <w:t xml:space="preserve"> </w:t>
      </w:r>
      <w:r w:rsidR="00175349" w:rsidRPr="003F3B94">
        <w:rPr>
          <w:rFonts w:hint="cs"/>
          <w:sz w:val="28"/>
          <w:rtl/>
          <w:lang w:bidi="ar-SY"/>
        </w:rPr>
        <w:t>الذين</w:t>
      </w:r>
      <w:r w:rsidR="00953581" w:rsidRPr="003F3B94">
        <w:rPr>
          <w:rFonts w:hint="cs"/>
          <w:sz w:val="28"/>
          <w:rtl/>
          <w:lang w:bidi="ar-SY"/>
        </w:rPr>
        <w:t xml:space="preserve"> </w:t>
      </w:r>
      <w:r w:rsidR="00175349" w:rsidRPr="003F3B94">
        <w:rPr>
          <w:rFonts w:hint="cs"/>
          <w:sz w:val="28"/>
          <w:rtl/>
          <w:lang w:bidi="ar-SY"/>
        </w:rPr>
        <w:t>يميلون</w:t>
      </w:r>
      <w:r w:rsidR="00953581" w:rsidRPr="003F3B94">
        <w:rPr>
          <w:rFonts w:hint="cs"/>
          <w:sz w:val="28"/>
          <w:rtl/>
          <w:lang w:bidi="ar-SY"/>
        </w:rPr>
        <w:t xml:space="preserve"> </w:t>
      </w:r>
      <w:r w:rsidR="00175349" w:rsidRPr="003F3B94">
        <w:rPr>
          <w:rFonts w:hint="cs"/>
          <w:sz w:val="28"/>
          <w:rtl/>
          <w:lang w:bidi="ar-SY"/>
        </w:rPr>
        <w:t>نحو</w:t>
      </w:r>
      <w:r w:rsidR="00953581" w:rsidRPr="003F3B94">
        <w:rPr>
          <w:rFonts w:hint="cs"/>
          <w:sz w:val="28"/>
          <w:rtl/>
          <w:lang w:bidi="ar-SY"/>
        </w:rPr>
        <w:t xml:space="preserve"> </w:t>
      </w:r>
      <w:r w:rsidR="00175349" w:rsidRPr="003F3B94">
        <w:rPr>
          <w:rFonts w:hint="cs"/>
          <w:sz w:val="28"/>
          <w:rtl/>
          <w:lang w:bidi="ar-SY"/>
        </w:rPr>
        <w:t>حقيقة</w:t>
      </w:r>
      <w:r w:rsidR="00953581" w:rsidRPr="003F3B94">
        <w:rPr>
          <w:rFonts w:hint="cs"/>
          <w:sz w:val="28"/>
          <w:rtl/>
          <w:lang w:bidi="ar-SY"/>
        </w:rPr>
        <w:t xml:space="preserve"> </w:t>
      </w:r>
      <w:r w:rsidR="00175349" w:rsidRPr="003F3B94">
        <w:rPr>
          <w:rFonts w:hint="cs"/>
          <w:sz w:val="28"/>
          <w:rtl/>
          <w:lang w:bidi="ar-SY"/>
        </w:rPr>
        <w:t>ا</w:t>
      </w:r>
      <w:r w:rsidR="008A2A49" w:rsidRPr="003F3B94">
        <w:rPr>
          <w:rFonts w:hint="cs"/>
          <w:sz w:val="28"/>
          <w:rtl/>
          <w:lang w:bidi="ar-SY"/>
        </w:rPr>
        <w:t>لإ</w:t>
      </w:r>
      <w:r w:rsidR="00175349" w:rsidRPr="003F3B94">
        <w:rPr>
          <w:rFonts w:hint="cs"/>
          <w:sz w:val="28"/>
          <w:rtl/>
          <w:lang w:bidi="ar-SY"/>
        </w:rPr>
        <w:t>س</w:t>
      </w:r>
      <w:r w:rsidR="008A2A49" w:rsidRPr="003F3B94">
        <w:rPr>
          <w:rFonts w:hint="cs"/>
          <w:sz w:val="28"/>
          <w:rtl/>
          <w:lang w:bidi="ar-SY"/>
        </w:rPr>
        <w:t>لا</w:t>
      </w:r>
      <w:r w:rsidR="00175349" w:rsidRPr="003F3B94">
        <w:rPr>
          <w:rFonts w:hint="cs"/>
          <w:sz w:val="28"/>
          <w:rtl/>
          <w:lang w:bidi="ar-SY"/>
        </w:rPr>
        <w:t>م</w:t>
      </w:r>
      <w:r w:rsidR="00953581" w:rsidRPr="003F3B94">
        <w:rPr>
          <w:rFonts w:hint="cs"/>
          <w:sz w:val="28"/>
          <w:rtl/>
          <w:lang w:bidi="ar-SY"/>
        </w:rPr>
        <w:t xml:space="preserve"> </w:t>
      </w:r>
      <w:r w:rsidR="00175349" w:rsidRPr="003F3B94">
        <w:rPr>
          <w:rFonts w:hint="cs"/>
          <w:sz w:val="28"/>
          <w:rtl/>
          <w:lang w:bidi="ar-SY"/>
        </w:rPr>
        <w:t>ثم</w:t>
      </w:r>
      <w:r w:rsidR="00953581" w:rsidRPr="003F3B94">
        <w:rPr>
          <w:rFonts w:hint="cs"/>
          <w:sz w:val="28"/>
          <w:rtl/>
          <w:lang w:bidi="ar-SY"/>
        </w:rPr>
        <w:t xml:space="preserve"> </w:t>
      </w:r>
      <w:r w:rsidR="00175349" w:rsidRPr="003F3B94">
        <w:rPr>
          <w:rFonts w:hint="cs"/>
          <w:sz w:val="28"/>
          <w:rtl/>
          <w:lang w:bidi="ar-SY"/>
        </w:rPr>
        <w:t>للمفلسين</w:t>
      </w:r>
      <w:r w:rsidR="00953581" w:rsidRPr="003F3B94">
        <w:rPr>
          <w:rFonts w:hint="cs"/>
          <w:sz w:val="28"/>
          <w:rtl/>
          <w:lang w:bidi="ar-SY"/>
        </w:rPr>
        <w:t xml:space="preserve"> </w:t>
      </w:r>
      <w:r w:rsidR="00175349" w:rsidRPr="003F3B94">
        <w:rPr>
          <w:rFonts w:hint="cs"/>
          <w:sz w:val="28"/>
          <w:rtl/>
          <w:lang w:bidi="ar-SY"/>
        </w:rPr>
        <w:t>الذين</w:t>
      </w:r>
      <w:r w:rsidR="00953581" w:rsidRPr="003F3B94">
        <w:rPr>
          <w:rFonts w:hint="cs"/>
          <w:sz w:val="28"/>
          <w:rtl/>
          <w:lang w:bidi="ar-SY"/>
        </w:rPr>
        <w:t xml:space="preserve"> </w:t>
      </w:r>
      <w:r w:rsidR="00175349" w:rsidRPr="003F3B94">
        <w:rPr>
          <w:rFonts w:hint="cs"/>
          <w:sz w:val="28"/>
          <w:rtl/>
          <w:lang w:bidi="ar-SY"/>
        </w:rPr>
        <w:t>ركبتهم</w:t>
      </w:r>
      <w:r w:rsidR="00953581" w:rsidRPr="003F3B94">
        <w:rPr>
          <w:rFonts w:hint="cs"/>
          <w:sz w:val="28"/>
          <w:rtl/>
          <w:lang w:bidi="ar-SY"/>
        </w:rPr>
        <w:t xml:space="preserve"> </w:t>
      </w:r>
      <w:r w:rsidR="00175349" w:rsidRPr="003F3B94">
        <w:rPr>
          <w:rFonts w:hint="cs"/>
          <w:sz w:val="28"/>
          <w:rtl/>
          <w:lang w:bidi="ar-SY"/>
        </w:rPr>
        <w:t>الديون</w:t>
      </w:r>
      <w:r w:rsidR="00953581" w:rsidRPr="003F3B94">
        <w:rPr>
          <w:rFonts w:hint="cs"/>
          <w:sz w:val="28"/>
          <w:rtl/>
          <w:lang w:bidi="ar-SY"/>
        </w:rPr>
        <w:t xml:space="preserve"> </w:t>
      </w:r>
      <w:r w:rsidR="00D81E23" w:rsidRPr="003F3B94">
        <w:rPr>
          <w:rFonts w:hint="cs"/>
          <w:sz w:val="28"/>
          <w:rtl/>
          <w:lang w:bidi="ar-SY"/>
        </w:rPr>
        <w:t>كي</w:t>
      </w:r>
      <w:r w:rsidR="00953581" w:rsidRPr="003F3B94">
        <w:rPr>
          <w:rFonts w:hint="cs"/>
          <w:sz w:val="28"/>
          <w:rtl/>
          <w:lang w:bidi="ar-SY"/>
        </w:rPr>
        <w:t xml:space="preserve"> </w:t>
      </w:r>
      <w:r w:rsidR="00D81E23" w:rsidRPr="003F3B94">
        <w:rPr>
          <w:rFonts w:hint="cs"/>
          <w:sz w:val="28"/>
          <w:rtl/>
          <w:lang w:bidi="ar-SY"/>
        </w:rPr>
        <w:t>ينجو</w:t>
      </w:r>
      <w:r w:rsidRPr="003F3B94">
        <w:rPr>
          <w:rFonts w:hint="cs"/>
          <w:sz w:val="28"/>
          <w:rtl/>
          <w:lang w:bidi="ar-SY"/>
        </w:rPr>
        <w:t>ا</w:t>
      </w:r>
      <w:r w:rsidR="00953581" w:rsidRPr="003F3B94">
        <w:rPr>
          <w:rFonts w:hint="cs"/>
          <w:sz w:val="28"/>
          <w:rtl/>
          <w:lang w:bidi="ar-SY"/>
        </w:rPr>
        <w:t xml:space="preserve"> </w:t>
      </w:r>
      <w:r w:rsidR="00D81E23" w:rsidRPr="003F3B94">
        <w:rPr>
          <w:rFonts w:hint="cs"/>
          <w:sz w:val="28"/>
          <w:rtl/>
          <w:lang w:bidi="ar-SY"/>
        </w:rPr>
        <w:t>من</w:t>
      </w:r>
      <w:r w:rsidR="00953581" w:rsidRPr="003F3B94">
        <w:rPr>
          <w:rFonts w:hint="cs"/>
          <w:sz w:val="28"/>
          <w:rtl/>
          <w:lang w:bidi="ar-SY"/>
        </w:rPr>
        <w:t xml:space="preserve"> </w:t>
      </w:r>
      <w:r w:rsidR="00D81E23" w:rsidRPr="003F3B94">
        <w:rPr>
          <w:rFonts w:hint="cs"/>
          <w:sz w:val="28"/>
          <w:rtl/>
          <w:lang w:bidi="ar-SY"/>
        </w:rPr>
        <w:t>ذلك</w:t>
      </w:r>
      <w:r w:rsidR="00953581" w:rsidRPr="003F3B94">
        <w:rPr>
          <w:rFonts w:hint="cs"/>
          <w:sz w:val="28"/>
          <w:rtl/>
          <w:lang w:bidi="ar-SY"/>
        </w:rPr>
        <w:t xml:space="preserve"> </w:t>
      </w:r>
      <w:r w:rsidR="000A565B" w:rsidRPr="003F3B94">
        <w:rPr>
          <w:rFonts w:hint="cs"/>
          <w:sz w:val="28"/>
          <w:rtl/>
          <w:lang w:bidi="ar-SY"/>
        </w:rPr>
        <w:t>الوضع</w:t>
      </w:r>
      <w:r w:rsidR="00953581" w:rsidRPr="003F3B94">
        <w:rPr>
          <w:rFonts w:hint="cs"/>
          <w:sz w:val="28"/>
          <w:rtl/>
          <w:lang w:bidi="ar-SY"/>
        </w:rPr>
        <w:t xml:space="preserve"> </w:t>
      </w:r>
      <w:r w:rsidR="000A565B" w:rsidRPr="003F3B94">
        <w:rPr>
          <w:rFonts w:hint="cs"/>
          <w:sz w:val="28"/>
          <w:rtl/>
          <w:lang w:bidi="ar-SY"/>
        </w:rPr>
        <w:t>الذي</w:t>
      </w:r>
      <w:r w:rsidR="00953581" w:rsidRPr="003F3B94">
        <w:rPr>
          <w:rFonts w:hint="cs"/>
          <w:sz w:val="28"/>
          <w:rtl/>
          <w:lang w:bidi="ar-SY"/>
        </w:rPr>
        <w:t xml:space="preserve"> </w:t>
      </w:r>
      <w:r w:rsidR="000A565B" w:rsidRPr="003F3B94">
        <w:rPr>
          <w:rFonts w:hint="cs"/>
          <w:sz w:val="28"/>
          <w:rtl/>
          <w:lang w:bidi="ar-SY"/>
        </w:rPr>
        <w:t>وقعوا</w:t>
      </w:r>
      <w:r w:rsidR="00953581" w:rsidRPr="003F3B94">
        <w:rPr>
          <w:rFonts w:hint="cs"/>
          <w:sz w:val="28"/>
          <w:rtl/>
          <w:lang w:bidi="ar-SY"/>
        </w:rPr>
        <w:t xml:space="preserve"> </w:t>
      </w:r>
      <w:r w:rsidR="000A565B" w:rsidRPr="003F3B94">
        <w:rPr>
          <w:rFonts w:hint="cs"/>
          <w:sz w:val="28"/>
          <w:rtl/>
          <w:lang w:bidi="ar-SY"/>
        </w:rPr>
        <w:t>فيه</w:t>
      </w:r>
      <w:r w:rsidR="00217AB4" w:rsidRPr="003F3B94">
        <w:rPr>
          <w:rFonts w:hint="cs"/>
          <w:sz w:val="28"/>
          <w:rtl/>
          <w:lang w:bidi="ar-SY"/>
        </w:rPr>
        <w:t>،</w:t>
      </w:r>
      <w:r w:rsidR="00953581" w:rsidRPr="003F3B94">
        <w:rPr>
          <w:rFonts w:hint="cs"/>
          <w:sz w:val="28"/>
          <w:rtl/>
          <w:lang w:bidi="ar-SY"/>
        </w:rPr>
        <w:t xml:space="preserve"> </w:t>
      </w:r>
      <w:r w:rsidR="000A565B" w:rsidRPr="003F3B94">
        <w:rPr>
          <w:rFonts w:hint="cs"/>
          <w:sz w:val="28"/>
          <w:rtl/>
          <w:lang w:bidi="ar-SY"/>
        </w:rPr>
        <w:t>ثم</w:t>
      </w:r>
      <w:r w:rsidR="00953581" w:rsidRPr="003F3B94">
        <w:rPr>
          <w:rFonts w:hint="cs"/>
          <w:sz w:val="28"/>
          <w:rtl/>
          <w:lang w:bidi="ar-SY"/>
        </w:rPr>
        <w:t xml:space="preserve"> </w:t>
      </w:r>
      <w:r w:rsidR="000A565B" w:rsidRPr="003F3B94">
        <w:rPr>
          <w:rFonts w:hint="cs"/>
          <w:sz w:val="28"/>
          <w:rtl/>
          <w:lang w:bidi="ar-SY"/>
        </w:rPr>
        <w:t>للعبيد</w:t>
      </w:r>
      <w:r w:rsidR="00953581" w:rsidRPr="003F3B94">
        <w:rPr>
          <w:rFonts w:hint="cs"/>
          <w:sz w:val="28"/>
          <w:rtl/>
          <w:lang w:bidi="ar-SY"/>
        </w:rPr>
        <w:t xml:space="preserve"> </w:t>
      </w:r>
      <w:r w:rsidR="000A565B" w:rsidRPr="003F3B94">
        <w:rPr>
          <w:rFonts w:hint="cs"/>
          <w:sz w:val="28"/>
          <w:rtl/>
          <w:lang w:bidi="ar-SY"/>
        </w:rPr>
        <w:t xml:space="preserve">حيث أن العبودية كانت عاراً حلّ بالبشرية </w:t>
      </w:r>
      <w:r w:rsidRPr="003F3B94">
        <w:rPr>
          <w:rFonts w:hint="cs"/>
          <w:sz w:val="28"/>
          <w:rtl/>
          <w:lang w:bidi="ar-SY"/>
        </w:rPr>
        <w:t>فأراد ا</w:t>
      </w:r>
      <w:r w:rsidR="008A2A49" w:rsidRPr="003F3B94">
        <w:rPr>
          <w:rFonts w:hint="cs"/>
          <w:sz w:val="28"/>
          <w:rtl/>
          <w:lang w:bidi="ar-SY"/>
        </w:rPr>
        <w:t>لإ</w:t>
      </w:r>
      <w:r w:rsidRPr="003F3B94">
        <w:rPr>
          <w:rFonts w:hint="cs"/>
          <w:sz w:val="28"/>
          <w:rtl/>
          <w:lang w:bidi="ar-SY"/>
        </w:rPr>
        <w:t>س</w:t>
      </w:r>
      <w:r w:rsidR="008A2A49" w:rsidRPr="003F3B94">
        <w:rPr>
          <w:rFonts w:hint="cs"/>
          <w:sz w:val="28"/>
          <w:rtl/>
          <w:lang w:bidi="ar-SY"/>
        </w:rPr>
        <w:t>لا</w:t>
      </w:r>
      <w:r w:rsidRPr="003F3B94">
        <w:rPr>
          <w:rFonts w:hint="cs"/>
          <w:sz w:val="28"/>
          <w:rtl/>
          <w:lang w:bidi="ar-SY"/>
        </w:rPr>
        <w:t xml:space="preserve">م </w:t>
      </w:r>
      <w:r w:rsidR="000A565B" w:rsidRPr="003F3B94">
        <w:rPr>
          <w:rFonts w:hint="cs"/>
          <w:sz w:val="28"/>
          <w:rtl/>
          <w:lang w:bidi="ar-SY"/>
        </w:rPr>
        <w:t xml:space="preserve">بهذه الوسيلة أن يرفع هذا العار </w:t>
      </w:r>
      <w:r w:rsidR="00D840E4" w:rsidRPr="003F3B94">
        <w:rPr>
          <w:rFonts w:hint="cs"/>
          <w:sz w:val="28"/>
          <w:rtl/>
          <w:lang w:bidi="ar-SY"/>
        </w:rPr>
        <w:t>تدريجياً</w:t>
      </w:r>
      <w:r w:rsidR="00217AB4" w:rsidRPr="003F3B94">
        <w:rPr>
          <w:rFonts w:hint="cs"/>
          <w:sz w:val="28"/>
          <w:rtl/>
          <w:lang w:bidi="ar-SY"/>
        </w:rPr>
        <w:t>،</w:t>
      </w:r>
      <w:r w:rsidR="00D840E4" w:rsidRPr="003F3B94">
        <w:rPr>
          <w:rFonts w:hint="cs"/>
          <w:sz w:val="28"/>
          <w:rtl/>
          <w:lang w:bidi="ar-SY"/>
        </w:rPr>
        <w:t xml:space="preserve"> ثم </w:t>
      </w:r>
      <w:r w:rsidRPr="003F3B94">
        <w:rPr>
          <w:rFonts w:hint="cs"/>
          <w:sz w:val="28"/>
          <w:rtl/>
          <w:lang w:bidi="ar-SY"/>
        </w:rPr>
        <w:t xml:space="preserve">أمر بصرفها </w:t>
      </w:r>
      <w:r w:rsidR="00D840E4" w:rsidRPr="003F3B94">
        <w:rPr>
          <w:rFonts w:hint="cs"/>
          <w:sz w:val="28"/>
          <w:rtl/>
          <w:lang w:bidi="ar-SY"/>
        </w:rPr>
        <w:t>في قضاء جميع الحاجات ا</w:t>
      </w:r>
      <w:r w:rsidR="008A2A49" w:rsidRPr="003F3B94">
        <w:rPr>
          <w:rFonts w:hint="cs"/>
          <w:sz w:val="28"/>
          <w:rtl/>
          <w:lang w:bidi="ar-SY"/>
        </w:rPr>
        <w:t>لا</w:t>
      </w:r>
      <w:r w:rsidR="00D840E4" w:rsidRPr="003F3B94">
        <w:rPr>
          <w:rFonts w:hint="cs"/>
          <w:sz w:val="28"/>
          <w:rtl/>
          <w:lang w:bidi="ar-SY"/>
        </w:rPr>
        <w:t xml:space="preserve">جتماعية </w:t>
      </w:r>
      <w:r w:rsidR="0062303C" w:rsidRPr="003F3B94">
        <w:rPr>
          <w:rFonts w:hint="cs"/>
          <w:sz w:val="28"/>
          <w:rtl/>
          <w:lang w:bidi="ar-SY"/>
        </w:rPr>
        <w:t>للبلدان ا</w:t>
      </w:r>
      <w:r w:rsidR="008A2A49" w:rsidRPr="003F3B94">
        <w:rPr>
          <w:rFonts w:hint="cs"/>
          <w:sz w:val="28"/>
          <w:rtl/>
          <w:lang w:bidi="ar-SY"/>
        </w:rPr>
        <w:t>لإ</w:t>
      </w:r>
      <w:r w:rsidR="0062303C" w:rsidRPr="003F3B94">
        <w:rPr>
          <w:rFonts w:hint="cs"/>
          <w:sz w:val="28"/>
          <w:rtl/>
          <w:lang w:bidi="ar-SY"/>
        </w:rPr>
        <w:t>س</w:t>
      </w:r>
      <w:r w:rsidR="008A2A49" w:rsidRPr="003F3B94">
        <w:rPr>
          <w:rFonts w:hint="cs"/>
          <w:sz w:val="28"/>
          <w:rtl/>
          <w:lang w:bidi="ar-SY"/>
        </w:rPr>
        <w:t>لا</w:t>
      </w:r>
      <w:r w:rsidR="0062303C" w:rsidRPr="003F3B94">
        <w:rPr>
          <w:rFonts w:hint="cs"/>
          <w:sz w:val="28"/>
          <w:rtl/>
          <w:lang w:bidi="ar-SY"/>
        </w:rPr>
        <w:t>مية و</w:t>
      </w:r>
      <w:r w:rsidRPr="003F3B94">
        <w:rPr>
          <w:rFonts w:hint="cs"/>
          <w:sz w:val="28"/>
          <w:rtl/>
          <w:lang w:bidi="ar-SY"/>
        </w:rPr>
        <w:t xml:space="preserve">في </w:t>
      </w:r>
      <w:r w:rsidR="0062303C" w:rsidRPr="003F3B94">
        <w:rPr>
          <w:rFonts w:hint="cs"/>
          <w:sz w:val="28"/>
          <w:rtl/>
          <w:lang w:bidi="ar-SY"/>
        </w:rPr>
        <w:t xml:space="preserve">الجهاد </w:t>
      </w:r>
      <w:r w:rsidRPr="003F3B94">
        <w:rPr>
          <w:rFonts w:hint="cs"/>
          <w:sz w:val="28"/>
          <w:rtl/>
          <w:lang w:bidi="ar-SY"/>
        </w:rPr>
        <w:t>و</w:t>
      </w:r>
      <w:r w:rsidR="0062303C" w:rsidRPr="003F3B94">
        <w:rPr>
          <w:rFonts w:hint="cs"/>
          <w:sz w:val="28"/>
          <w:rtl/>
          <w:lang w:bidi="ar-SY"/>
        </w:rPr>
        <w:t>في كل ما فيه قوة وص</w:t>
      </w:r>
      <w:r w:rsidR="008A2A49" w:rsidRPr="003F3B94">
        <w:rPr>
          <w:rFonts w:hint="cs"/>
          <w:sz w:val="28"/>
          <w:rtl/>
          <w:lang w:bidi="ar-SY"/>
        </w:rPr>
        <w:t>لا</w:t>
      </w:r>
      <w:r w:rsidR="0062303C" w:rsidRPr="003F3B94">
        <w:rPr>
          <w:rFonts w:hint="cs"/>
          <w:sz w:val="28"/>
          <w:rtl/>
          <w:lang w:bidi="ar-SY"/>
        </w:rPr>
        <w:t xml:space="preserve">ح لمجتمع المسلمين حسب مقتضيات الزمان </w:t>
      </w:r>
      <w:r w:rsidR="00104536" w:rsidRPr="003F3B94">
        <w:rPr>
          <w:rFonts w:hint="cs"/>
          <w:sz w:val="28"/>
          <w:rtl/>
          <w:lang w:bidi="ar-SY"/>
        </w:rPr>
        <w:t xml:space="preserve">من تعبيد للطرق وتعميم وتسهيل للتربية والتعليم </w:t>
      </w:r>
      <w:r w:rsidR="004B6262" w:rsidRPr="003F3B94">
        <w:rPr>
          <w:rFonts w:hint="cs"/>
          <w:sz w:val="28"/>
          <w:rtl/>
          <w:lang w:bidi="ar-SY"/>
        </w:rPr>
        <w:t>وإعداد وسائل الصحة والع</w:t>
      </w:r>
      <w:r w:rsidR="008A2A49" w:rsidRPr="003F3B94">
        <w:rPr>
          <w:rFonts w:hint="cs"/>
          <w:sz w:val="28"/>
          <w:rtl/>
          <w:lang w:bidi="ar-SY"/>
        </w:rPr>
        <w:t>لا</w:t>
      </w:r>
      <w:r w:rsidR="004B6262" w:rsidRPr="003F3B94">
        <w:rPr>
          <w:rFonts w:hint="cs"/>
          <w:sz w:val="28"/>
          <w:rtl/>
          <w:lang w:bidi="ar-SY"/>
        </w:rPr>
        <w:t>ج وبناء السدود والجسور وسائر ا</w:t>
      </w:r>
      <w:r w:rsidR="008A2A49" w:rsidRPr="003F3B94">
        <w:rPr>
          <w:rFonts w:hint="cs"/>
          <w:sz w:val="28"/>
          <w:rtl/>
          <w:lang w:bidi="ar-SY"/>
        </w:rPr>
        <w:t>لإ</w:t>
      </w:r>
      <w:r w:rsidR="004B6262" w:rsidRPr="003F3B94">
        <w:rPr>
          <w:rFonts w:hint="cs"/>
          <w:sz w:val="28"/>
          <w:rtl/>
          <w:lang w:bidi="ar-SY"/>
        </w:rPr>
        <w:t>ص</w:t>
      </w:r>
      <w:r w:rsidR="008A2A49" w:rsidRPr="003F3B94">
        <w:rPr>
          <w:rFonts w:hint="cs"/>
          <w:sz w:val="28"/>
          <w:rtl/>
          <w:lang w:bidi="ar-SY"/>
        </w:rPr>
        <w:t>لا</w:t>
      </w:r>
      <w:r w:rsidR="004B6262" w:rsidRPr="003F3B94">
        <w:rPr>
          <w:rFonts w:hint="cs"/>
          <w:sz w:val="28"/>
          <w:rtl/>
          <w:lang w:bidi="ar-SY"/>
        </w:rPr>
        <w:t>حات ا</w:t>
      </w:r>
      <w:r w:rsidR="008A2A49" w:rsidRPr="003F3B94">
        <w:rPr>
          <w:rFonts w:hint="cs"/>
          <w:sz w:val="28"/>
          <w:rtl/>
          <w:lang w:bidi="ar-SY"/>
        </w:rPr>
        <w:t>لا</w:t>
      </w:r>
      <w:r w:rsidR="004B6262" w:rsidRPr="003F3B94">
        <w:rPr>
          <w:rFonts w:hint="cs"/>
          <w:sz w:val="28"/>
          <w:rtl/>
          <w:lang w:bidi="ar-SY"/>
        </w:rPr>
        <w:t>جتماعية من هذا القبيل</w:t>
      </w:r>
      <w:r w:rsidR="00217AB4" w:rsidRPr="003F3B94">
        <w:rPr>
          <w:rFonts w:hint="cs"/>
          <w:sz w:val="28"/>
          <w:rtl/>
          <w:lang w:bidi="ar-SY"/>
        </w:rPr>
        <w:t>،</w:t>
      </w:r>
      <w:r w:rsidR="004B6262" w:rsidRPr="003F3B94">
        <w:rPr>
          <w:rFonts w:hint="cs"/>
          <w:sz w:val="28"/>
          <w:rtl/>
          <w:lang w:bidi="ar-SY"/>
        </w:rPr>
        <w:t xml:space="preserve"> وفي النهاية </w:t>
      </w:r>
      <w:r w:rsidRPr="003F3B94">
        <w:rPr>
          <w:rFonts w:hint="cs"/>
          <w:sz w:val="28"/>
          <w:rtl/>
          <w:lang w:bidi="ar-SY"/>
        </w:rPr>
        <w:t>أمر بصرفها ل</w:t>
      </w:r>
      <w:r w:rsidR="004B6262" w:rsidRPr="003F3B94">
        <w:rPr>
          <w:rFonts w:hint="cs"/>
          <w:sz w:val="28"/>
          <w:rtl/>
          <w:lang w:bidi="ar-SY"/>
        </w:rPr>
        <w:t xml:space="preserve">تأمين خاطر </w:t>
      </w:r>
      <w:r w:rsidRPr="003F3B94">
        <w:rPr>
          <w:rFonts w:hint="cs"/>
          <w:sz w:val="28"/>
          <w:rtl/>
          <w:lang w:bidi="ar-SY"/>
        </w:rPr>
        <w:t xml:space="preserve">أبناء </w:t>
      </w:r>
      <w:r w:rsidR="004B6262" w:rsidRPr="003F3B94">
        <w:rPr>
          <w:rFonts w:hint="cs"/>
          <w:sz w:val="28"/>
          <w:rtl/>
          <w:lang w:bidi="ar-SY"/>
        </w:rPr>
        <w:t>السبيل المسافرين الذين تقط</w:t>
      </w:r>
      <w:r w:rsidR="002E4893" w:rsidRPr="003F3B94">
        <w:rPr>
          <w:rFonts w:hint="cs"/>
          <w:sz w:val="28"/>
          <w:rtl/>
          <w:lang w:bidi="ar-SY"/>
        </w:rPr>
        <w:t>َّ</w:t>
      </w:r>
      <w:r w:rsidR="004B6262" w:rsidRPr="003F3B94">
        <w:rPr>
          <w:rFonts w:hint="cs"/>
          <w:sz w:val="28"/>
          <w:rtl/>
          <w:lang w:bidi="ar-SY"/>
        </w:rPr>
        <w:t xml:space="preserve">عت بهم السبل </w:t>
      </w:r>
      <w:r w:rsidR="0026666D" w:rsidRPr="003F3B94">
        <w:rPr>
          <w:rFonts w:hint="cs"/>
          <w:sz w:val="28"/>
          <w:rtl/>
          <w:lang w:bidi="ar-SY"/>
        </w:rPr>
        <w:t>لمساعدتهم في العودة إلى بلدانهم</w:t>
      </w:r>
      <w:r w:rsidR="00217AB4" w:rsidRPr="003F3B94">
        <w:rPr>
          <w:rFonts w:hint="cs"/>
          <w:sz w:val="28"/>
          <w:rtl/>
          <w:lang w:bidi="ar-SY"/>
        </w:rPr>
        <w:t>.</w:t>
      </w:r>
      <w:r w:rsidR="0026666D" w:rsidRPr="003F3B94">
        <w:rPr>
          <w:rFonts w:hint="cs"/>
          <w:sz w:val="28"/>
          <w:rtl/>
          <w:lang w:bidi="ar-SY"/>
        </w:rPr>
        <w:t xml:space="preserve"> وقد جاء في أكثر من مائة آية من آيات القرآن المجيد ا</w:t>
      </w:r>
      <w:r w:rsidR="008A2A49" w:rsidRPr="003F3B94">
        <w:rPr>
          <w:rFonts w:hint="cs"/>
          <w:sz w:val="28"/>
          <w:rtl/>
          <w:lang w:bidi="ar-SY"/>
        </w:rPr>
        <w:t>لأ</w:t>
      </w:r>
      <w:r w:rsidR="0026666D" w:rsidRPr="003F3B94">
        <w:rPr>
          <w:rFonts w:hint="cs"/>
          <w:sz w:val="28"/>
          <w:rtl/>
          <w:lang w:bidi="ar-SY"/>
        </w:rPr>
        <w:t>مر با</w:t>
      </w:r>
      <w:r w:rsidR="008A2A49" w:rsidRPr="003F3B94">
        <w:rPr>
          <w:rFonts w:hint="cs"/>
          <w:sz w:val="28"/>
          <w:rtl/>
          <w:lang w:bidi="ar-SY"/>
        </w:rPr>
        <w:t>لإ</w:t>
      </w:r>
      <w:r w:rsidR="0026666D" w:rsidRPr="003F3B94">
        <w:rPr>
          <w:rFonts w:hint="cs"/>
          <w:sz w:val="28"/>
          <w:rtl/>
          <w:lang w:bidi="ar-SY"/>
        </w:rPr>
        <w:t>نفاق مما رُزِقه ا</w:t>
      </w:r>
      <w:r w:rsidR="008A2A49" w:rsidRPr="003F3B94">
        <w:rPr>
          <w:rFonts w:hint="cs"/>
          <w:sz w:val="28"/>
          <w:rtl/>
          <w:lang w:bidi="ar-SY"/>
        </w:rPr>
        <w:t>لإ</w:t>
      </w:r>
      <w:r w:rsidR="0026666D" w:rsidRPr="003F3B94">
        <w:rPr>
          <w:rFonts w:hint="cs"/>
          <w:sz w:val="28"/>
          <w:rtl/>
          <w:lang w:bidi="ar-SY"/>
        </w:rPr>
        <w:t xml:space="preserve">نسان </w:t>
      </w:r>
      <w:r w:rsidR="00664323" w:rsidRPr="003F3B94">
        <w:rPr>
          <w:rFonts w:hint="cs"/>
          <w:sz w:val="28"/>
          <w:rtl/>
          <w:lang w:bidi="ar-SY"/>
        </w:rPr>
        <w:t>أي مما كسبه من عمله وتجارته وغ</w:t>
      </w:r>
      <w:r w:rsidR="008A2A49" w:rsidRPr="003F3B94">
        <w:rPr>
          <w:rFonts w:hint="cs"/>
          <w:sz w:val="28"/>
          <w:rtl/>
          <w:lang w:bidi="ar-SY"/>
        </w:rPr>
        <w:t>لا</w:t>
      </w:r>
      <w:r w:rsidR="00664323" w:rsidRPr="003F3B94">
        <w:rPr>
          <w:rFonts w:hint="cs"/>
          <w:sz w:val="28"/>
          <w:rtl/>
          <w:lang w:bidi="ar-SY"/>
        </w:rPr>
        <w:t>ت أرضه ومواشي</w:t>
      </w:r>
      <w:r w:rsidR="00C631AE" w:rsidRPr="003F3B94">
        <w:rPr>
          <w:rFonts w:hint="cs"/>
          <w:sz w:val="28"/>
          <w:rtl/>
          <w:lang w:bidi="ar-SY"/>
        </w:rPr>
        <w:t>ه والمعادن وغيرها</w:t>
      </w:r>
      <w:r w:rsidR="00217AB4" w:rsidRPr="003F3B94">
        <w:rPr>
          <w:rFonts w:hint="cs"/>
          <w:sz w:val="28"/>
          <w:rtl/>
          <w:lang w:bidi="ar-SY"/>
        </w:rPr>
        <w:t>.</w:t>
      </w:r>
      <w:r w:rsidR="00C631AE" w:rsidRPr="003F3B94">
        <w:rPr>
          <w:rFonts w:hint="cs"/>
          <w:sz w:val="28"/>
          <w:rtl/>
          <w:lang w:bidi="ar-SY"/>
        </w:rPr>
        <w:t xml:space="preserve"> قال تعالى</w:t>
      </w:r>
      <w:r w:rsidR="00217AB4" w:rsidRPr="003F3B94">
        <w:rPr>
          <w:rFonts w:hint="cs"/>
          <w:sz w:val="28"/>
          <w:rtl/>
          <w:lang w:bidi="ar-SY"/>
        </w:rPr>
        <w:t>:</w:t>
      </w:r>
      <w:r w:rsidR="00374D1F" w:rsidRPr="003F3B94">
        <w:rPr>
          <w:rFonts w:hint="cs"/>
          <w:sz w:val="28"/>
          <w:rtl/>
          <w:lang w:bidi="ar-SY"/>
        </w:rPr>
        <w:t xml:space="preserve"> </w:t>
      </w:r>
      <w:r w:rsidR="00DD7D67" w:rsidRPr="00995B26">
        <w:rPr>
          <w:rFonts w:cs="Traditional Arabic" w:hint="cs"/>
          <w:sz w:val="28"/>
          <w:rtl/>
          <w:lang w:bidi="ar-SY"/>
        </w:rPr>
        <w:t>﴿</w:t>
      </w:r>
      <w:r w:rsidR="00DD7D67" w:rsidRPr="00DF7CAE">
        <w:rPr>
          <w:rStyle w:val="Char3"/>
          <w:rFonts w:hint="eastAsia"/>
          <w:rtl/>
        </w:rPr>
        <w:t>أَنفِقُواْ</w:t>
      </w:r>
      <w:r w:rsidR="00DD7D67" w:rsidRPr="00DF7CAE">
        <w:rPr>
          <w:rStyle w:val="Char3"/>
          <w:rtl/>
        </w:rPr>
        <w:t xml:space="preserve"> </w:t>
      </w:r>
      <w:r w:rsidR="00DD7D67" w:rsidRPr="00DF7CAE">
        <w:rPr>
          <w:rStyle w:val="Char3"/>
          <w:rFonts w:hint="eastAsia"/>
          <w:rtl/>
        </w:rPr>
        <w:t>مِمَّا</w:t>
      </w:r>
      <w:r w:rsidR="00DD7D67" w:rsidRPr="00DF7CAE">
        <w:rPr>
          <w:rStyle w:val="Char3"/>
          <w:rtl/>
        </w:rPr>
        <w:t xml:space="preserve"> </w:t>
      </w:r>
      <w:r w:rsidR="00DD7D67" w:rsidRPr="00DF7CAE">
        <w:rPr>
          <w:rStyle w:val="Char3"/>
          <w:rFonts w:hint="eastAsia"/>
          <w:rtl/>
        </w:rPr>
        <w:t>رَزَق</w:t>
      </w:r>
      <w:r w:rsidR="00DD7D67" w:rsidRPr="00DF7CAE">
        <w:rPr>
          <w:rStyle w:val="Char3"/>
          <w:rFonts w:hint="cs"/>
          <w:rtl/>
        </w:rPr>
        <w:t>ۡ</w:t>
      </w:r>
      <w:r w:rsidR="00DD7D67" w:rsidRPr="00DF7CAE">
        <w:rPr>
          <w:rStyle w:val="Char3"/>
          <w:rFonts w:hint="eastAsia"/>
          <w:rtl/>
        </w:rPr>
        <w:t>نَ</w:t>
      </w:r>
      <w:r w:rsidR="00DD7D67" w:rsidRPr="00DF7CAE">
        <w:rPr>
          <w:rStyle w:val="Char3"/>
          <w:rFonts w:hint="cs"/>
          <w:rtl/>
        </w:rPr>
        <w:t>ٰ</w:t>
      </w:r>
      <w:r w:rsidR="00DD7D67" w:rsidRPr="00DF7CAE">
        <w:rPr>
          <w:rStyle w:val="Char3"/>
          <w:rFonts w:hint="eastAsia"/>
          <w:rtl/>
        </w:rPr>
        <w:t>كُم</w:t>
      </w:r>
      <w:r w:rsidR="00DD7D67" w:rsidRPr="00995B26">
        <w:rPr>
          <w:rFonts w:ascii="KFGQPC Uthmanic Script HAFS" w:cs="Times New Roman" w:hint="cs"/>
          <w:sz w:val="28"/>
          <w:rtl/>
        </w:rPr>
        <w:t>...</w:t>
      </w:r>
      <w:r w:rsidR="00DD7D67" w:rsidRPr="00995B26">
        <w:rPr>
          <w:rFonts w:cs="Traditional Arabic" w:hint="cs"/>
          <w:sz w:val="28"/>
          <w:rtl/>
          <w:lang w:bidi="ar-SY"/>
        </w:rPr>
        <w:t>﴾</w:t>
      </w:r>
      <w:r w:rsidR="00C631AE" w:rsidRPr="00995B26">
        <w:rPr>
          <w:rFonts w:hint="cs"/>
          <w:sz w:val="28"/>
          <w:rtl/>
          <w:lang w:bidi="ar-SY"/>
        </w:rPr>
        <w:t xml:space="preserve"> </w:t>
      </w:r>
      <w:r w:rsidR="00DD7D67" w:rsidRPr="00FC12FD">
        <w:rPr>
          <w:rStyle w:val="Char2"/>
          <w:rFonts w:hint="cs"/>
          <w:rtl/>
        </w:rPr>
        <w:t>[</w:t>
      </w:r>
      <w:r w:rsidR="00C631AE" w:rsidRPr="00FC12FD">
        <w:rPr>
          <w:rStyle w:val="Char2"/>
          <w:rFonts w:hint="cs"/>
          <w:rtl/>
        </w:rPr>
        <w:t>البقرة</w:t>
      </w:r>
      <w:r w:rsidR="00DD7D67" w:rsidRPr="00FC12FD">
        <w:rPr>
          <w:rStyle w:val="Char2"/>
          <w:rFonts w:hint="cs"/>
          <w:rtl/>
        </w:rPr>
        <w:t xml:space="preserve">: </w:t>
      </w:r>
      <w:r w:rsidR="00C631AE" w:rsidRPr="00FC12FD">
        <w:rPr>
          <w:rStyle w:val="Char2"/>
          <w:rFonts w:hint="cs"/>
          <w:rtl/>
        </w:rPr>
        <w:t>254</w:t>
      </w:r>
      <w:r w:rsidR="00DD7D67" w:rsidRPr="00FC12FD">
        <w:rPr>
          <w:rStyle w:val="Char2"/>
          <w:rFonts w:hint="cs"/>
          <w:rtl/>
        </w:rPr>
        <w:t>]</w:t>
      </w:r>
      <w:r w:rsidR="00DD7D67" w:rsidRPr="00995B26">
        <w:rPr>
          <w:rFonts w:hint="cs"/>
          <w:sz w:val="28"/>
          <w:rtl/>
          <w:lang w:bidi="ar-SY"/>
        </w:rPr>
        <w:t>.</w:t>
      </w:r>
      <w:r w:rsidR="00C631AE" w:rsidRPr="00995B26">
        <w:rPr>
          <w:rFonts w:hint="cs"/>
          <w:sz w:val="28"/>
          <w:rtl/>
          <w:lang w:bidi="ar-SY"/>
        </w:rPr>
        <w:t xml:space="preserve"> </w:t>
      </w:r>
      <w:r w:rsidR="000928C7" w:rsidRPr="00995B26">
        <w:rPr>
          <w:rFonts w:hint="cs"/>
          <w:sz w:val="28"/>
          <w:rtl/>
          <w:lang w:bidi="ar-SY"/>
        </w:rPr>
        <w:t>و</w:t>
      </w:r>
      <w:r w:rsidR="00DD7D67" w:rsidRPr="00995B26">
        <w:rPr>
          <w:rFonts w:hint="cs"/>
          <w:sz w:val="28"/>
          <w:rtl/>
          <w:lang w:bidi="ar-SY"/>
        </w:rPr>
        <w:t xml:space="preserve"> </w:t>
      </w:r>
      <w:r w:rsidR="00DD7D67" w:rsidRPr="00995B26">
        <w:rPr>
          <w:rFonts w:cs="Traditional Arabic" w:hint="cs"/>
          <w:sz w:val="28"/>
          <w:rtl/>
          <w:lang w:bidi="ar-SY"/>
        </w:rPr>
        <w:t>﴿</w:t>
      </w:r>
      <w:r w:rsidR="00DD7D67" w:rsidRPr="00DF7CAE">
        <w:rPr>
          <w:rStyle w:val="Char3"/>
          <w:rFonts w:hint="eastAsia"/>
          <w:rtl/>
        </w:rPr>
        <w:t>أَنفِقُواْ</w:t>
      </w:r>
      <w:r w:rsidR="00DD7D67" w:rsidRPr="00DF7CAE">
        <w:rPr>
          <w:rStyle w:val="Char3"/>
          <w:rtl/>
        </w:rPr>
        <w:t xml:space="preserve"> </w:t>
      </w:r>
      <w:r w:rsidR="00DD7D67" w:rsidRPr="00DF7CAE">
        <w:rPr>
          <w:rStyle w:val="Char3"/>
          <w:rFonts w:hint="eastAsia"/>
          <w:rtl/>
        </w:rPr>
        <w:t>مِن</w:t>
      </w:r>
      <w:r w:rsidR="00DD7D67" w:rsidRPr="00DF7CAE">
        <w:rPr>
          <w:rStyle w:val="Char3"/>
          <w:rtl/>
        </w:rPr>
        <w:t xml:space="preserve"> </w:t>
      </w:r>
      <w:r w:rsidR="00DD7D67" w:rsidRPr="00DF7CAE">
        <w:rPr>
          <w:rStyle w:val="Char3"/>
          <w:rFonts w:hint="eastAsia"/>
          <w:rtl/>
        </w:rPr>
        <w:t>طَيِّبَ</w:t>
      </w:r>
      <w:r w:rsidR="00DD7D67" w:rsidRPr="00DF7CAE">
        <w:rPr>
          <w:rStyle w:val="Char3"/>
          <w:rFonts w:hint="cs"/>
          <w:rtl/>
        </w:rPr>
        <w:t>ٰ</w:t>
      </w:r>
      <w:r w:rsidR="00DD7D67" w:rsidRPr="00DF7CAE">
        <w:rPr>
          <w:rStyle w:val="Char3"/>
          <w:rFonts w:hint="eastAsia"/>
          <w:rtl/>
        </w:rPr>
        <w:t>تِ</w:t>
      </w:r>
      <w:r w:rsidR="00DD7D67" w:rsidRPr="00DF7CAE">
        <w:rPr>
          <w:rStyle w:val="Char3"/>
          <w:rtl/>
        </w:rPr>
        <w:t xml:space="preserve"> </w:t>
      </w:r>
      <w:r w:rsidR="00DD7D67" w:rsidRPr="00DF7CAE">
        <w:rPr>
          <w:rStyle w:val="Char3"/>
          <w:rFonts w:hint="eastAsia"/>
          <w:rtl/>
        </w:rPr>
        <w:t>مَا</w:t>
      </w:r>
      <w:r w:rsidR="00DD7D67" w:rsidRPr="00DF7CAE">
        <w:rPr>
          <w:rStyle w:val="Char3"/>
          <w:rtl/>
        </w:rPr>
        <w:t xml:space="preserve"> </w:t>
      </w:r>
      <w:r w:rsidR="00DD7D67" w:rsidRPr="00DF7CAE">
        <w:rPr>
          <w:rStyle w:val="Char3"/>
          <w:rFonts w:hint="eastAsia"/>
          <w:rtl/>
        </w:rPr>
        <w:t>كَسَب</w:t>
      </w:r>
      <w:r w:rsidR="00DD7D67" w:rsidRPr="00DF7CAE">
        <w:rPr>
          <w:rStyle w:val="Char3"/>
          <w:rFonts w:hint="cs"/>
          <w:rtl/>
        </w:rPr>
        <w:t>ۡ</w:t>
      </w:r>
      <w:r w:rsidR="00DD7D67" w:rsidRPr="00DF7CAE">
        <w:rPr>
          <w:rStyle w:val="Char3"/>
          <w:rFonts w:hint="eastAsia"/>
          <w:rtl/>
        </w:rPr>
        <w:t>تُم</w:t>
      </w:r>
      <w:r w:rsidR="00DD7D67" w:rsidRPr="00DF7CAE">
        <w:rPr>
          <w:rStyle w:val="Char3"/>
          <w:rFonts w:hint="cs"/>
          <w:rtl/>
        </w:rPr>
        <w:t>ۡ</w:t>
      </w:r>
      <w:r w:rsidR="00DD7D67" w:rsidRPr="00DF7CAE">
        <w:rPr>
          <w:rStyle w:val="Char3"/>
          <w:rtl/>
        </w:rPr>
        <w:t xml:space="preserve"> </w:t>
      </w:r>
      <w:r w:rsidR="00DD7D67" w:rsidRPr="00DF7CAE">
        <w:rPr>
          <w:rStyle w:val="Char3"/>
          <w:rFonts w:hint="eastAsia"/>
          <w:rtl/>
        </w:rPr>
        <w:t>وَمِمَّا</w:t>
      </w:r>
      <w:r w:rsidR="00DD7D67" w:rsidRPr="00DF7CAE">
        <w:rPr>
          <w:rStyle w:val="Char3"/>
          <w:rFonts w:hint="cs"/>
          <w:rtl/>
        </w:rPr>
        <w:t>ٓ</w:t>
      </w:r>
      <w:r w:rsidR="00DD7D67" w:rsidRPr="00DF7CAE">
        <w:rPr>
          <w:rStyle w:val="Char3"/>
          <w:rtl/>
        </w:rPr>
        <w:t xml:space="preserve"> </w:t>
      </w:r>
      <w:r w:rsidR="00DD7D67" w:rsidRPr="00DF7CAE">
        <w:rPr>
          <w:rStyle w:val="Char3"/>
          <w:rFonts w:hint="eastAsia"/>
          <w:rtl/>
        </w:rPr>
        <w:t>أَخ</w:t>
      </w:r>
      <w:r w:rsidR="00DD7D67" w:rsidRPr="00DF7CAE">
        <w:rPr>
          <w:rStyle w:val="Char3"/>
          <w:rFonts w:hint="cs"/>
          <w:rtl/>
        </w:rPr>
        <w:t>ۡ</w:t>
      </w:r>
      <w:r w:rsidR="00DD7D67" w:rsidRPr="00DF7CAE">
        <w:rPr>
          <w:rStyle w:val="Char3"/>
          <w:rFonts w:hint="eastAsia"/>
          <w:rtl/>
        </w:rPr>
        <w:t>رَج</w:t>
      </w:r>
      <w:r w:rsidR="00DD7D67" w:rsidRPr="00DF7CAE">
        <w:rPr>
          <w:rStyle w:val="Char3"/>
          <w:rFonts w:hint="cs"/>
          <w:rtl/>
        </w:rPr>
        <w:t>ۡ</w:t>
      </w:r>
      <w:r w:rsidR="00DD7D67" w:rsidRPr="00DF7CAE">
        <w:rPr>
          <w:rStyle w:val="Char3"/>
          <w:rFonts w:hint="eastAsia"/>
          <w:rtl/>
        </w:rPr>
        <w:t>نَا</w:t>
      </w:r>
      <w:r w:rsidR="00DD7D67" w:rsidRPr="00DF7CAE">
        <w:rPr>
          <w:rStyle w:val="Char3"/>
          <w:rtl/>
        </w:rPr>
        <w:t xml:space="preserve"> </w:t>
      </w:r>
      <w:r w:rsidR="00DD7D67" w:rsidRPr="00DF7CAE">
        <w:rPr>
          <w:rStyle w:val="Char3"/>
          <w:rFonts w:hint="eastAsia"/>
          <w:rtl/>
        </w:rPr>
        <w:t>لَكُم</w:t>
      </w:r>
      <w:r w:rsidR="00DD7D67" w:rsidRPr="00DF7CAE">
        <w:rPr>
          <w:rStyle w:val="Char3"/>
          <w:rtl/>
        </w:rPr>
        <w:t xml:space="preserve"> </w:t>
      </w:r>
      <w:r w:rsidR="00DD7D67" w:rsidRPr="00DF7CAE">
        <w:rPr>
          <w:rStyle w:val="Char3"/>
          <w:rFonts w:hint="eastAsia"/>
          <w:rtl/>
        </w:rPr>
        <w:t>مِّنَ</w:t>
      </w:r>
      <w:r w:rsidR="00DD7D67" w:rsidRPr="00DF7CAE">
        <w:rPr>
          <w:rStyle w:val="Char3"/>
          <w:rtl/>
        </w:rPr>
        <w:t xml:space="preserve"> </w:t>
      </w:r>
      <w:r w:rsidR="00DD7D67" w:rsidRPr="00DF7CAE">
        <w:rPr>
          <w:rStyle w:val="Char3"/>
          <w:rFonts w:hint="cs"/>
          <w:rtl/>
        </w:rPr>
        <w:t>ٱ</w:t>
      </w:r>
      <w:r w:rsidR="00DD7D67" w:rsidRPr="00DF7CAE">
        <w:rPr>
          <w:rStyle w:val="Char3"/>
          <w:rFonts w:hint="eastAsia"/>
          <w:rtl/>
        </w:rPr>
        <w:t>ل</w:t>
      </w:r>
      <w:r w:rsidR="00DD7D67" w:rsidRPr="00DF7CAE">
        <w:rPr>
          <w:rStyle w:val="Char3"/>
          <w:rFonts w:hint="cs"/>
          <w:rtl/>
        </w:rPr>
        <w:t>ۡ</w:t>
      </w:r>
      <w:r w:rsidR="00DD7D67" w:rsidRPr="00DF7CAE">
        <w:rPr>
          <w:rStyle w:val="Char3"/>
          <w:rFonts w:hint="eastAsia"/>
          <w:rtl/>
        </w:rPr>
        <w:t>أَر</w:t>
      </w:r>
      <w:r w:rsidR="00DD7D67" w:rsidRPr="00DF7CAE">
        <w:rPr>
          <w:rStyle w:val="Char3"/>
          <w:rFonts w:hint="cs"/>
          <w:rtl/>
        </w:rPr>
        <w:t>ۡ</w:t>
      </w:r>
      <w:r w:rsidR="00DD7D67" w:rsidRPr="00DF7CAE">
        <w:rPr>
          <w:rStyle w:val="Char3"/>
          <w:rFonts w:hint="eastAsia"/>
          <w:rtl/>
        </w:rPr>
        <w:t>ضِ</w:t>
      </w:r>
      <w:r w:rsidR="00DD7D67" w:rsidRPr="00DF7CAE">
        <w:rPr>
          <w:rStyle w:val="Char3"/>
          <w:rFonts w:hint="cs"/>
          <w:rtl/>
        </w:rPr>
        <w:t>...</w:t>
      </w:r>
      <w:r w:rsidR="00DD7D67" w:rsidRPr="00995B26">
        <w:rPr>
          <w:rFonts w:cs="Traditional Arabic" w:hint="cs"/>
          <w:sz w:val="28"/>
          <w:rtl/>
          <w:lang w:bidi="ar-SY"/>
        </w:rPr>
        <w:t>﴾</w:t>
      </w:r>
      <w:r w:rsidR="00DD7D67" w:rsidRPr="00995B26">
        <w:rPr>
          <w:rFonts w:hint="cs"/>
          <w:sz w:val="28"/>
          <w:rtl/>
          <w:lang w:bidi="ar-SY"/>
        </w:rPr>
        <w:t xml:space="preserve"> </w:t>
      </w:r>
      <w:r w:rsidR="00DD7D67" w:rsidRPr="00FC12FD">
        <w:rPr>
          <w:rStyle w:val="Char2"/>
          <w:rFonts w:hint="cs"/>
          <w:rtl/>
        </w:rPr>
        <w:t>[</w:t>
      </w:r>
      <w:r w:rsidR="000928C7" w:rsidRPr="00FC12FD">
        <w:rPr>
          <w:rStyle w:val="Char2"/>
          <w:rFonts w:hint="cs"/>
          <w:rtl/>
        </w:rPr>
        <w:t>البقرة</w:t>
      </w:r>
      <w:r w:rsidR="00DD7D67" w:rsidRPr="00FC12FD">
        <w:rPr>
          <w:rStyle w:val="Char2"/>
          <w:rFonts w:hint="cs"/>
          <w:rtl/>
        </w:rPr>
        <w:t xml:space="preserve">: </w:t>
      </w:r>
      <w:r w:rsidR="000928C7" w:rsidRPr="00FC12FD">
        <w:rPr>
          <w:rStyle w:val="Char2"/>
          <w:rFonts w:hint="cs"/>
          <w:rtl/>
        </w:rPr>
        <w:t>267</w:t>
      </w:r>
      <w:r w:rsidR="00DD7D67" w:rsidRPr="00FC12FD">
        <w:rPr>
          <w:rStyle w:val="Char2"/>
          <w:rFonts w:hint="cs"/>
          <w:rtl/>
        </w:rPr>
        <w:t>]</w:t>
      </w:r>
      <w:r w:rsidR="000928C7" w:rsidRPr="00995B26">
        <w:rPr>
          <w:rFonts w:hint="cs"/>
          <w:sz w:val="28"/>
          <w:rtl/>
          <w:lang w:bidi="ar-SY"/>
        </w:rPr>
        <w:t xml:space="preserve"> </w:t>
      </w:r>
      <w:r w:rsidR="00B00BD5" w:rsidRPr="00995B26">
        <w:rPr>
          <w:rFonts w:hint="cs"/>
          <w:sz w:val="28"/>
          <w:rtl/>
          <w:lang w:bidi="ar-SY"/>
        </w:rPr>
        <w:t>و</w:t>
      </w:r>
      <w:r w:rsidR="00DD7D67" w:rsidRPr="00995B26">
        <w:rPr>
          <w:rFonts w:hint="cs"/>
          <w:sz w:val="28"/>
          <w:rtl/>
          <w:lang w:bidi="ar-SY"/>
        </w:rPr>
        <w:t xml:space="preserve"> </w:t>
      </w:r>
      <w:r w:rsidR="00DD7D67" w:rsidRPr="00995B26">
        <w:rPr>
          <w:rFonts w:cs="Traditional Arabic" w:hint="cs"/>
          <w:sz w:val="28"/>
          <w:rtl/>
          <w:lang w:bidi="ar-SY"/>
        </w:rPr>
        <w:t>﴿</w:t>
      </w:r>
      <w:r w:rsidR="00DD7D67" w:rsidRPr="00DF7CAE">
        <w:rPr>
          <w:rStyle w:val="Char3"/>
          <w:rFonts w:hint="eastAsia"/>
          <w:rtl/>
        </w:rPr>
        <w:t>وَمِمَّا</w:t>
      </w:r>
      <w:r w:rsidR="00DD7D67" w:rsidRPr="00DF7CAE">
        <w:rPr>
          <w:rStyle w:val="Char3"/>
          <w:rtl/>
        </w:rPr>
        <w:t xml:space="preserve"> </w:t>
      </w:r>
      <w:r w:rsidR="00DD7D67" w:rsidRPr="00DF7CAE">
        <w:rPr>
          <w:rStyle w:val="Char3"/>
          <w:rFonts w:hint="eastAsia"/>
          <w:rtl/>
        </w:rPr>
        <w:t>رَزَق</w:t>
      </w:r>
      <w:r w:rsidR="00DD7D67" w:rsidRPr="00DF7CAE">
        <w:rPr>
          <w:rStyle w:val="Char3"/>
          <w:rFonts w:hint="cs"/>
          <w:rtl/>
        </w:rPr>
        <w:t>ۡ</w:t>
      </w:r>
      <w:r w:rsidR="00DD7D67" w:rsidRPr="00DF7CAE">
        <w:rPr>
          <w:rStyle w:val="Char3"/>
          <w:rFonts w:hint="eastAsia"/>
          <w:rtl/>
        </w:rPr>
        <w:t>نَ</w:t>
      </w:r>
      <w:r w:rsidR="00DD7D67" w:rsidRPr="00DF7CAE">
        <w:rPr>
          <w:rStyle w:val="Char3"/>
          <w:rFonts w:hint="cs"/>
          <w:rtl/>
        </w:rPr>
        <w:t>ٰ</w:t>
      </w:r>
      <w:r w:rsidR="00DD7D67" w:rsidRPr="00DF7CAE">
        <w:rPr>
          <w:rStyle w:val="Char3"/>
          <w:rFonts w:hint="eastAsia"/>
          <w:rtl/>
        </w:rPr>
        <w:t>هُم</w:t>
      </w:r>
      <w:r w:rsidR="00DD7D67" w:rsidRPr="00DF7CAE">
        <w:rPr>
          <w:rStyle w:val="Char3"/>
          <w:rFonts w:hint="cs"/>
          <w:rtl/>
        </w:rPr>
        <w:t>ۡ</w:t>
      </w:r>
      <w:r w:rsidR="00DD7D67" w:rsidRPr="00DF7CAE">
        <w:rPr>
          <w:rStyle w:val="Char3"/>
          <w:rtl/>
        </w:rPr>
        <w:t xml:space="preserve"> </w:t>
      </w:r>
      <w:r w:rsidR="00DD7D67" w:rsidRPr="00DF7CAE">
        <w:rPr>
          <w:rStyle w:val="Char3"/>
          <w:rFonts w:hint="eastAsia"/>
          <w:rtl/>
        </w:rPr>
        <w:t>يُنفِقُونَ</w:t>
      </w:r>
      <w:r w:rsidR="00DD7D67" w:rsidRPr="00DF7CAE">
        <w:rPr>
          <w:rStyle w:val="Char3"/>
          <w:rFonts w:hint="cs"/>
          <w:rtl/>
        </w:rPr>
        <w:t>...</w:t>
      </w:r>
      <w:r w:rsidR="00DD7D67" w:rsidRPr="00995B26">
        <w:rPr>
          <w:rFonts w:cs="Traditional Arabic" w:hint="cs"/>
          <w:sz w:val="28"/>
          <w:rtl/>
          <w:lang w:bidi="ar-SY"/>
        </w:rPr>
        <w:t>﴾</w:t>
      </w:r>
      <w:r w:rsidR="00B00BD5" w:rsidRPr="00995B26">
        <w:rPr>
          <w:rFonts w:hint="cs"/>
          <w:sz w:val="28"/>
          <w:rtl/>
          <w:lang w:bidi="ar-SY"/>
        </w:rPr>
        <w:t xml:space="preserve"> </w:t>
      </w:r>
      <w:r w:rsidR="00DD7D67" w:rsidRPr="00FC12FD">
        <w:rPr>
          <w:rStyle w:val="Char2"/>
          <w:rFonts w:hint="cs"/>
          <w:rtl/>
        </w:rPr>
        <w:t>[</w:t>
      </w:r>
      <w:r w:rsidR="00B00BD5" w:rsidRPr="00FC12FD">
        <w:rPr>
          <w:rStyle w:val="Char2"/>
          <w:rFonts w:hint="cs"/>
          <w:rtl/>
        </w:rPr>
        <w:t>البقرة</w:t>
      </w:r>
      <w:r w:rsidR="00DD7D67" w:rsidRPr="00FC12FD">
        <w:rPr>
          <w:rStyle w:val="Char2"/>
          <w:rFonts w:hint="cs"/>
          <w:rtl/>
        </w:rPr>
        <w:t xml:space="preserve">: </w:t>
      </w:r>
      <w:r w:rsidR="00B00BD5" w:rsidRPr="00FC12FD">
        <w:rPr>
          <w:rStyle w:val="Char2"/>
          <w:rFonts w:hint="cs"/>
          <w:rtl/>
        </w:rPr>
        <w:t>3</w:t>
      </w:r>
      <w:r w:rsidR="00DD7D67" w:rsidRPr="00FC12FD">
        <w:rPr>
          <w:rStyle w:val="Char2"/>
          <w:rFonts w:hint="cs"/>
          <w:rtl/>
        </w:rPr>
        <w:t>]</w:t>
      </w:r>
      <w:r w:rsidR="00B00BD5" w:rsidRPr="00995B26">
        <w:rPr>
          <w:rFonts w:hint="cs"/>
          <w:sz w:val="28"/>
          <w:rtl/>
          <w:lang w:bidi="ar-SY"/>
        </w:rPr>
        <w:t xml:space="preserve"> وأمثالها</w:t>
      </w:r>
      <w:r w:rsidR="00217AB4" w:rsidRPr="00995B26">
        <w:rPr>
          <w:rFonts w:hint="cs"/>
          <w:sz w:val="28"/>
          <w:rtl/>
          <w:lang w:bidi="ar-SY"/>
        </w:rPr>
        <w:t>.</w:t>
      </w:r>
      <w:r w:rsidR="00B00BD5" w:rsidRPr="00995B26">
        <w:rPr>
          <w:rFonts w:hint="cs"/>
          <w:sz w:val="28"/>
          <w:rtl/>
          <w:lang w:bidi="ar-SY"/>
        </w:rPr>
        <w:t xml:space="preserve"> </w:t>
      </w:r>
      <w:r w:rsidR="0039368A" w:rsidRPr="00995B26">
        <w:rPr>
          <w:rFonts w:hint="cs"/>
          <w:sz w:val="28"/>
          <w:rtl/>
          <w:lang w:bidi="ar-SY"/>
        </w:rPr>
        <w:t xml:space="preserve">ولكن يد الفضول والجهل والهوى والغرض لعبت بهذه الميزانية العظيمة فحصرتها في تسعة أشياءٍ </w:t>
      </w:r>
      <w:r w:rsidR="001D4A35" w:rsidRPr="00995B26">
        <w:rPr>
          <w:rFonts w:hint="cs"/>
          <w:sz w:val="28"/>
          <w:rtl/>
          <w:lang w:bidi="ar-SY"/>
        </w:rPr>
        <w:t>أكثرها لم يعد رائجاً بين أبناء البشر في زماننا</w:t>
      </w:r>
      <w:r w:rsidR="00217AB4" w:rsidRPr="00995B26">
        <w:rPr>
          <w:rFonts w:hint="cs"/>
          <w:sz w:val="28"/>
          <w:rtl/>
          <w:lang w:bidi="ar-SY"/>
        </w:rPr>
        <w:t>.</w:t>
      </w:r>
      <w:r w:rsidR="001D4A35" w:rsidRPr="00995B26">
        <w:rPr>
          <w:rFonts w:hint="cs"/>
          <w:sz w:val="28"/>
          <w:rtl/>
          <w:lang w:bidi="ar-SY"/>
        </w:rPr>
        <w:t xml:space="preserve"> </w:t>
      </w:r>
    </w:p>
    <w:p w:rsidR="00BB7C63" w:rsidRPr="003F3B94" w:rsidRDefault="002E4893" w:rsidP="003F3B94">
      <w:pPr>
        <w:pStyle w:val="a0"/>
        <w:rPr>
          <w:rFonts w:hint="cs"/>
          <w:rtl/>
          <w:lang w:bidi="ar-SY"/>
        </w:rPr>
      </w:pPr>
      <w:r w:rsidRPr="003F3B94">
        <w:rPr>
          <w:rFonts w:hint="cs"/>
          <w:sz w:val="28"/>
          <w:rtl/>
          <w:lang w:bidi="ar-SY"/>
        </w:rPr>
        <w:t xml:space="preserve">لم يبقَ </w:t>
      </w:r>
      <w:r w:rsidR="001D4A35" w:rsidRPr="003F3B94">
        <w:rPr>
          <w:rFonts w:hint="cs"/>
          <w:sz w:val="28"/>
          <w:rtl/>
          <w:lang w:bidi="ar-SY"/>
        </w:rPr>
        <w:t>من هذه ا</w:t>
      </w:r>
      <w:r w:rsidR="008A2A49" w:rsidRPr="003F3B94">
        <w:rPr>
          <w:rFonts w:hint="cs"/>
          <w:sz w:val="28"/>
          <w:rtl/>
          <w:lang w:bidi="ar-SY"/>
        </w:rPr>
        <w:t>لأ</w:t>
      </w:r>
      <w:r w:rsidR="001D4A35" w:rsidRPr="003F3B94">
        <w:rPr>
          <w:rFonts w:hint="cs"/>
          <w:sz w:val="28"/>
          <w:rtl/>
          <w:lang w:bidi="ar-SY"/>
        </w:rPr>
        <w:t xml:space="preserve">شياء التسعة </w:t>
      </w:r>
      <w:r w:rsidR="00C77534" w:rsidRPr="003F3B94">
        <w:rPr>
          <w:rFonts w:hint="cs"/>
          <w:sz w:val="28"/>
          <w:rtl/>
          <w:lang w:bidi="ar-SY"/>
        </w:rPr>
        <w:t xml:space="preserve">سوى الحنطة والشعير والزبيب والتمر </w:t>
      </w:r>
      <w:r w:rsidRPr="003F3B94">
        <w:rPr>
          <w:rFonts w:hint="cs"/>
          <w:sz w:val="28"/>
          <w:rtl/>
          <w:lang w:bidi="ar-SY"/>
        </w:rPr>
        <w:t xml:space="preserve">تُزرع بكميات كبيرة </w:t>
      </w:r>
      <w:r w:rsidR="00C77534" w:rsidRPr="003F3B94">
        <w:rPr>
          <w:rFonts w:hint="cs"/>
          <w:sz w:val="28"/>
          <w:rtl/>
          <w:lang w:bidi="ar-SY"/>
        </w:rPr>
        <w:t xml:space="preserve">في مناطق من الدنيا </w:t>
      </w:r>
      <w:r w:rsidR="00196328" w:rsidRPr="003F3B94">
        <w:rPr>
          <w:rFonts w:hint="cs"/>
          <w:sz w:val="28"/>
          <w:rtl/>
          <w:lang w:bidi="ar-SY"/>
        </w:rPr>
        <w:t>ونصابها أيضاً يصل إلى</w:t>
      </w:r>
      <w:r w:rsidR="00374D1F" w:rsidRPr="003F3B94">
        <w:rPr>
          <w:rFonts w:hint="cs"/>
          <w:sz w:val="28"/>
          <w:rtl/>
          <w:lang w:bidi="ar-SY"/>
        </w:rPr>
        <w:t xml:space="preserve"> قرابة</w:t>
      </w:r>
      <w:r w:rsidR="00196328" w:rsidRPr="003F3B94">
        <w:rPr>
          <w:rFonts w:hint="cs"/>
          <w:sz w:val="28"/>
          <w:rtl/>
          <w:lang w:bidi="ar-SY"/>
        </w:rPr>
        <w:t xml:space="preserve"> </w:t>
      </w:r>
      <w:r w:rsidR="00BC150F" w:rsidRPr="003F3B94">
        <w:rPr>
          <w:rFonts w:hint="cs"/>
          <w:sz w:val="28"/>
          <w:rtl/>
          <w:lang w:bidi="ar-SY"/>
        </w:rPr>
        <w:t>/</w:t>
      </w:r>
      <w:r w:rsidR="00196328" w:rsidRPr="003F3B94">
        <w:rPr>
          <w:rFonts w:hint="cs"/>
          <w:sz w:val="28"/>
          <w:rtl/>
          <w:lang w:bidi="ar-SY"/>
        </w:rPr>
        <w:t>1000</w:t>
      </w:r>
      <w:r w:rsidR="00BC150F" w:rsidRPr="003F3B94">
        <w:rPr>
          <w:rFonts w:hint="cs"/>
          <w:sz w:val="28"/>
          <w:rtl/>
          <w:lang w:bidi="ar-SY"/>
        </w:rPr>
        <w:t>/</w:t>
      </w:r>
      <w:r w:rsidR="00196328" w:rsidRPr="003F3B94">
        <w:rPr>
          <w:rFonts w:hint="cs"/>
          <w:sz w:val="28"/>
          <w:rtl/>
          <w:lang w:bidi="ar-SY"/>
        </w:rPr>
        <w:t xml:space="preserve"> </w:t>
      </w:r>
      <w:r w:rsidR="00374D1F" w:rsidRPr="003F3B94">
        <w:rPr>
          <w:rFonts w:hint="cs"/>
          <w:sz w:val="28"/>
          <w:rtl/>
          <w:lang w:bidi="ar-SY"/>
        </w:rPr>
        <w:t>كيلوغرام</w:t>
      </w:r>
      <w:r w:rsidR="00217AB4" w:rsidRPr="003F3B94">
        <w:rPr>
          <w:rFonts w:hint="cs"/>
          <w:sz w:val="28"/>
          <w:rtl/>
          <w:lang w:bidi="ar-SY"/>
        </w:rPr>
        <w:t>،</w:t>
      </w:r>
      <w:r w:rsidR="00196328" w:rsidRPr="003F3B94">
        <w:rPr>
          <w:rFonts w:hint="cs"/>
          <w:sz w:val="28"/>
          <w:rtl/>
          <w:lang w:bidi="ar-SY"/>
        </w:rPr>
        <w:t xml:space="preserve"> </w:t>
      </w:r>
      <w:r w:rsidR="005411EC" w:rsidRPr="003F3B94">
        <w:rPr>
          <w:rFonts w:hint="cs"/>
          <w:sz w:val="28"/>
          <w:rtl/>
          <w:lang w:bidi="ar-SY"/>
        </w:rPr>
        <w:t>فإذا أخذنا تكاليف الزراعة بعين ا</w:t>
      </w:r>
      <w:r w:rsidR="008A2A49" w:rsidRPr="003F3B94">
        <w:rPr>
          <w:rFonts w:hint="cs"/>
          <w:sz w:val="28"/>
          <w:rtl/>
          <w:lang w:bidi="ar-SY"/>
        </w:rPr>
        <w:t>لا</w:t>
      </w:r>
      <w:r w:rsidR="005411EC" w:rsidRPr="003F3B94">
        <w:rPr>
          <w:rFonts w:hint="cs"/>
          <w:sz w:val="28"/>
          <w:rtl/>
          <w:lang w:bidi="ar-SY"/>
        </w:rPr>
        <w:t xml:space="preserve">عتبار </w:t>
      </w:r>
      <w:r w:rsidRPr="003F3B94">
        <w:rPr>
          <w:rFonts w:hint="cs"/>
          <w:sz w:val="28"/>
          <w:rtl/>
          <w:lang w:bidi="ar-SY"/>
        </w:rPr>
        <w:t xml:space="preserve">ثم قمنا بحساب ما سيدفعه </w:t>
      </w:r>
      <w:r w:rsidR="00BC150F" w:rsidRPr="003F3B94">
        <w:rPr>
          <w:rFonts w:hint="cs"/>
          <w:sz w:val="28"/>
          <w:rtl/>
          <w:lang w:bidi="ar-SY"/>
        </w:rPr>
        <w:t>الذين ي</w:t>
      </w:r>
      <w:r w:rsidR="00257C2A" w:rsidRPr="003F3B94">
        <w:rPr>
          <w:rFonts w:hint="cs"/>
          <w:sz w:val="28"/>
          <w:rtl/>
          <w:lang w:bidi="ar-SY"/>
        </w:rPr>
        <w:t>شملهم وجوب أدائها</w:t>
      </w:r>
      <w:r w:rsidR="00217AB4" w:rsidRPr="003F3B94">
        <w:rPr>
          <w:rFonts w:hint="cs"/>
          <w:sz w:val="28"/>
          <w:rtl/>
          <w:lang w:bidi="ar-SY"/>
        </w:rPr>
        <w:t>،</w:t>
      </w:r>
      <w:r w:rsidR="00257C2A" w:rsidRPr="003F3B94">
        <w:rPr>
          <w:rFonts w:hint="cs"/>
          <w:sz w:val="28"/>
          <w:rtl/>
          <w:lang w:bidi="ar-SY"/>
        </w:rPr>
        <w:t xml:space="preserve"> </w:t>
      </w:r>
      <w:r w:rsidRPr="003F3B94">
        <w:rPr>
          <w:rFonts w:hint="cs"/>
          <w:sz w:val="28"/>
          <w:rtl/>
          <w:lang w:bidi="ar-SY"/>
        </w:rPr>
        <w:t>وحسبنا ذلك</w:t>
      </w:r>
      <w:r w:rsidR="001553C4" w:rsidRPr="003F3B94">
        <w:rPr>
          <w:rFonts w:hint="cs"/>
          <w:sz w:val="28"/>
          <w:rtl/>
          <w:lang w:bidi="ar-SY"/>
        </w:rPr>
        <w:t xml:space="preserve"> طبقاً للوثائق والمستندات الحكومية كما ذكرنا</w:t>
      </w:r>
      <w:r w:rsidRPr="003F3B94">
        <w:rPr>
          <w:rFonts w:hint="cs"/>
          <w:sz w:val="28"/>
          <w:rtl/>
          <w:lang w:bidi="ar-SY"/>
        </w:rPr>
        <w:t>ه</w:t>
      </w:r>
      <w:r w:rsidR="001553C4" w:rsidRPr="003F3B94">
        <w:rPr>
          <w:rFonts w:hint="cs"/>
          <w:sz w:val="28"/>
          <w:rtl/>
          <w:lang w:bidi="ar-SY"/>
        </w:rPr>
        <w:t xml:space="preserve"> ف</w:t>
      </w:r>
      <w:r w:rsidRPr="003F3B94">
        <w:rPr>
          <w:rFonts w:hint="cs"/>
          <w:sz w:val="28"/>
          <w:rtl/>
          <w:lang w:bidi="ar-SY"/>
        </w:rPr>
        <w:t>ي كتابنا عن الزكاة حيث بيّنا أننا</w:t>
      </w:r>
      <w:r w:rsidR="001553C4" w:rsidRPr="003F3B94">
        <w:rPr>
          <w:rFonts w:hint="cs"/>
          <w:sz w:val="28"/>
          <w:rtl/>
          <w:lang w:bidi="ar-SY"/>
        </w:rPr>
        <w:t xml:space="preserve"> [طبقاً لما يذكره هؤ</w:t>
      </w:r>
      <w:r w:rsidR="008A2A49" w:rsidRPr="003F3B94">
        <w:rPr>
          <w:rFonts w:hint="cs"/>
          <w:sz w:val="28"/>
          <w:rtl/>
          <w:lang w:bidi="ar-SY"/>
        </w:rPr>
        <w:t>لا</w:t>
      </w:r>
      <w:r w:rsidRPr="003F3B94">
        <w:rPr>
          <w:rFonts w:hint="cs"/>
          <w:sz w:val="28"/>
          <w:rtl/>
          <w:lang w:bidi="ar-SY"/>
        </w:rPr>
        <w:t>ء الفقهاء]</w:t>
      </w:r>
      <w:r w:rsidR="001553C4" w:rsidRPr="003F3B94">
        <w:rPr>
          <w:rFonts w:hint="cs"/>
          <w:sz w:val="28"/>
          <w:rtl/>
          <w:lang w:bidi="ar-SY"/>
        </w:rPr>
        <w:t xml:space="preserve"> </w:t>
      </w:r>
      <w:r w:rsidR="002911BC" w:rsidRPr="003F3B94">
        <w:rPr>
          <w:rFonts w:hint="cs"/>
          <w:sz w:val="28"/>
          <w:rtl/>
          <w:lang w:bidi="ar-SY"/>
        </w:rPr>
        <w:t>لو طبقنا زكاة الغ</w:t>
      </w:r>
      <w:r w:rsidR="008A2A49" w:rsidRPr="003F3B94">
        <w:rPr>
          <w:rFonts w:hint="cs"/>
          <w:sz w:val="28"/>
          <w:rtl/>
          <w:lang w:bidi="ar-SY"/>
        </w:rPr>
        <w:t>لا</w:t>
      </w:r>
      <w:r w:rsidR="002911BC" w:rsidRPr="003F3B94">
        <w:rPr>
          <w:rFonts w:hint="cs"/>
          <w:sz w:val="28"/>
          <w:rtl/>
          <w:lang w:bidi="ar-SY"/>
        </w:rPr>
        <w:t>ت الزراعية ا</w:t>
      </w:r>
      <w:r w:rsidR="008A2A49" w:rsidRPr="003F3B94">
        <w:rPr>
          <w:rFonts w:hint="cs"/>
          <w:sz w:val="28"/>
          <w:rtl/>
          <w:lang w:bidi="ar-SY"/>
        </w:rPr>
        <w:t>لأ</w:t>
      </w:r>
      <w:r w:rsidR="002911BC" w:rsidRPr="003F3B94">
        <w:rPr>
          <w:rFonts w:hint="cs"/>
          <w:sz w:val="28"/>
          <w:rtl/>
          <w:lang w:bidi="ar-SY"/>
        </w:rPr>
        <w:t>ربعة في إيران وافترضنا أن جميع الغ</w:t>
      </w:r>
      <w:r w:rsidR="008A2A49" w:rsidRPr="003F3B94">
        <w:rPr>
          <w:rFonts w:hint="cs"/>
          <w:sz w:val="28"/>
          <w:rtl/>
          <w:lang w:bidi="ar-SY"/>
        </w:rPr>
        <w:t>لا</w:t>
      </w:r>
      <w:r w:rsidR="002911BC" w:rsidRPr="003F3B94">
        <w:rPr>
          <w:rFonts w:hint="cs"/>
          <w:sz w:val="28"/>
          <w:rtl/>
          <w:lang w:bidi="ar-SY"/>
        </w:rPr>
        <w:t xml:space="preserve">ت كانت لشخصٍ واحدٍ وأنه أدى زكاته بشكل كامل </w:t>
      </w:r>
      <w:r w:rsidR="00BB7C63" w:rsidRPr="003F3B94">
        <w:rPr>
          <w:rFonts w:hint="cs"/>
          <w:sz w:val="28"/>
          <w:rtl/>
          <w:lang w:bidi="ar-SY"/>
        </w:rPr>
        <w:t xml:space="preserve">وافترضنا أنه </w:t>
      </w:r>
      <w:r w:rsidR="008A2A49" w:rsidRPr="003F3B94">
        <w:rPr>
          <w:rFonts w:hint="cs"/>
          <w:sz w:val="28"/>
          <w:rtl/>
          <w:lang w:bidi="ar-SY"/>
        </w:rPr>
        <w:t>لا</w:t>
      </w:r>
      <w:r w:rsidR="00BB7C63" w:rsidRPr="003F3B94">
        <w:rPr>
          <w:rFonts w:hint="cs"/>
          <w:sz w:val="28"/>
          <w:rtl/>
          <w:lang w:bidi="ar-SY"/>
        </w:rPr>
        <w:t xml:space="preserve"> يوجد من</w:t>
      </w:r>
      <w:r w:rsidR="00016677" w:rsidRPr="003F3B94">
        <w:rPr>
          <w:rFonts w:hint="cs"/>
          <w:sz w:val="28"/>
          <w:rtl/>
          <w:lang w:bidi="ar-SY"/>
        </w:rPr>
        <w:t xml:space="preserve"> بين كل ألف شخص من المسلمين سوى /25/ فقيراً فقط</w:t>
      </w:r>
      <w:r w:rsidR="00217AB4" w:rsidRPr="003F3B94">
        <w:rPr>
          <w:rFonts w:hint="cs"/>
          <w:sz w:val="28"/>
          <w:rtl/>
          <w:lang w:bidi="ar-SY"/>
        </w:rPr>
        <w:t>،</w:t>
      </w:r>
      <w:r w:rsidR="00016677" w:rsidRPr="003F3B94">
        <w:rPr>
          <w:rFonts w:hint="cs"/>
          <w:sz w:val="28"/>
          <w:rtl/>
          <w:lang w:bidi="ar-SY"/>
        </w:rPr>
        <w:t xml:space="preserve"> </w:t>
      </w:r>
      <w:r w:rsidR="00BB7C63" w:rsidRPr="003F3B94">
        <w:rPr>
          <w:rFonts w:hint="cs"/>
          <w:sz w:val="28"/>
          <w:rtl/>
          <w:lang w:bidi="ar-SY"/>
        </w:rPr>
        <w:t>فإن</w:t>
      </w:r>
      <w:r w:rsidR="00016677" w:rsidRPr="003F3B94">
        <w:rPr>
          <w:rFonts w:hint="cs"/>
          <w:sz w:val="28"/>
          <w:rtl/>
          <w:lang w:bidi="ar-SY"/>
        </w:rPr>
        <w:t xml:space="preserve"> هذه الزكاة التي يذكر</w:t>
      </w:r>
      <w:r w:rsidR="00374D1F" w:rsidRPr="003F3B94">
        <w:rPr>
          <w:rFonts w:hint="cs"/>
          <w:sz w:val="28"/>
          <w:rtl/>
          <w:lang w:bidi="ar-SY"/>
        </w:rPr>
        <w:t>ون</w:t>
      </w:r>
      <w:r w:rsidR="00BB7C63" w:rsidRPr="003F3B94">
        <w:rPr>
          <w:rFonts w:hint="cs"/>
          <w:sz w:val="28"/>
          <w:rtl/>
          <w:lang w:bidi="ar-SY"/>
        </w:rPr>
        <w:t>ها لو</w:t>
      </w:r>
      <w:r w:rsidR="00016677" w:rsidRPr="003F3B94">
        <w:rPr>
          <w:rFonts w:hint="cs"/>
          <w:sz w:val="28"/>
          <w:rtl/>
          <w:lang w:bidi="ar-SY"/>
        </w:rPr>
        <w:t xml:space="preserve"> أعطيت </w:t>
      </w:r>
      <w:r w:rsidR="00BB7C63" w:rsidRPr="003F3B94">
        <w:rPr>
          <w:rFonts w:hint="cs"/>
          <w:sz w:val="28"/>
          <w:rtl/>
          <w:lang w:bidi="ar-SY"/>
        </w:rPr>
        <w:t>ل</w:t>
      </w:r>
      <w:r w:rsidR="00016677" w:rsidRPr="003F3B94">
        <w:rPr>
          <w:rFonts w:hint="cs"/>
          <w:sz w:val="28"/>
          <w:rtl/>
          <w:lang w:bidi="ar-SY"/>
        </w:rPr>
        <w:t>هؤ</w:t>
      </w:r>
      <w:r w:rsidR="008A2A49" w:rsidRPr="003F3B94">
        <w:rPr>
          <w:rFonts w:hint="cs"/>
          <w:sz w:val="28"/>
          <w:rtl/>
          <w:lang w:bidi="ar-SY"/>
        </w:rPr>
        <w:t>لا</w:t>
      </w:r>
      <w:r w:rsidR="00016677" w:rsidRPr="003F3B94">
        <w:rPr>
          <w:rFonts w:hint="cs"/>
          <w:sz w:val="28"/>
          <w:rtl/>
          <w:lang w:bidi="ar-SY"/>
        </w:rPr>
        <w:t>ء الفقراء وقُسمت بينهم تقسيماً عاد</w:t>
      </w:r>
      <w:r w:rsidR="008A2A49" w:rsidRPr="003F3B94">
        <w:rPr>
          <w:rFonts w:hint="cs"/>
          <w:sz w:val="28"/>
          <w:rtl/>
          <w:lang w:bidi="ar-SY"/>
        </w:rPr>
        <w:t>لا</w:t>
      </w:r>
      <w:r w:rsidR="00016677" w:rsidRPr="003F3B94">
        <w:rPr>
          <w:rFonts w:hint="cs"/>
          <w:sz w:val="28"/>
          <w:rtl/>
          <w:lang w:bidi="ar-SY"/>
        </w:rPr>
        <w:t xml:space="preserve"> </w:t>
      </w:r>
      <w:r w:rsidR="00374D1F" w:rsidRPr="003F3B94">
        <w:rPr>
          <w:rFonts w:hint="cs"/>
          <w:sz w:val="28"/>
          <w:rtl/>
          <w:lang w:bidi="ar-SY"/>
        </w:rPr>
        <w:t xml:space="preserve">لما نال </w:t>
      </w:r>
      <w:r w:rsidR="00016677" w:rsidRPr="003F3B94">
        <w:rPr>
          <w:rFonts w:hint="cs"/>
          <w:sz w:val="28"/>
          <w:rtl/>
          <w:lang w:bidi="ar-SY"/>
        </w:rPr>
        <w:t xml:space="preserve">كل </w:t>
      </w:r>
      <w:r w:rsidR="00374D1F" w:rsidRPr="003F3B94">
        <w:rPr>
          <w:rFonts w:hint="cs"/>
          <w:sz w:val="28"/>
          <w:rtl/>
          <w:lang w:bidi="ar-SY"/>
        </w:rPr>
        <w:t>واحد</w:t>
      </w:r>
      <w:r w:rsidR="00016677" w:rsidRPr="003F3B94">
        <w:rPr>
          <w:rFonts w:hint="cs"/>
          <w:sz w:val="28"/>
          <w:rtl/>
          <w:lang w:bidi="ar-SY"/>
        </w:rPr>
        <w:t xml:space="preserve"> </w:t>
      </w:r>
      <w:r w:rsidR="00BB7C63" w:rsidRPr="003F3B94">
        <w:rPr>
          <w:rFonts w:hint="cs"/>
          <w:sz w:val="28"/>
          <w:rtl/>
          <w:lang w:bidi="ar-SY"/>
        </w:rPr>
        <w:t xml:space="preserve">منهم </w:t>
      </w:r>
      <w:r w:rsidR="00016677" w:rsidRPr="003F3B94">
        <w:rPr>
          <w:rFonts w:hint="cs"/>
          <w:sz w:val="28"/>
          <w:rtl/>
          <w:lang w:bidi="ar-SY"/>
        </w:rPr>
        <w:t>سوى نصف ريال أو ريال واحد</w:t>
      </w:r>
      <w:r w:rsidR="00217AB4" w:rsidRPr="003F3B94">
        <w:rPr>
          <w:rFonts w:hint="cs"/>
          <w:sz w:val="28"/>
          <w:rtl/>
          <w:lang w:bidi="ar-SY"/>
        </w:rPr>
        <w:t>!!</w:t>
      </w:r>
      <w:r w:rsidR="00016677" w:rsidRPr="003F3B94">
        <w:rPr>
          <w:rFonts w:hint="cs"/>
          <w:sz w:val="28"/>
          <w:rtl/>
          <w:lang w:bidi="ar-SY"/>
        </w:rPr>
        <w:t xml:space="preserve"> نعم ريالٌ </w:t>
      </w:r>
      <w:r w:rsidR="00CC3988" w:rsidRPr="003F3B94">
        <w:rPr>
          <w:rFonts w:hint="cs"/>
          <w:sz w:val="28"/>
          <w:rtl/>
          <w:lang w:bidi="ar-SY"/>
        </w:rPr>
        <w:t>واحد في اليوم</w:t>
      </w:r>
      <w:r w:rsidR="00217AB4" w:rsidRPr="0021507A">
        <w:rPr>
          <w:rStyle w:val="FootnoteReference"/>
          <w:rFonts w:cs="Arabic11 BT"/>
          <w:b/>
          <w:sz w:val="28"/>
          <w:rtl/>
          <w:lang w:bidi="ar-SY"/>
        </w:rPr>
        <w:t>(</w:t>
      </w:r>
      <w:r w:rsidR="00374D1F" w:rsidRPr="0021507A">
        <w:rPr>
          <w:rStyle w:val="FootnoteReference"/>
          <w:rFonts w:cs="Arabic11 BT"/>
          <w:b/>
          <w:sz w:val="28"/>
          <w:rtl/>
          <w:lang w:bidi="ar-SY"/>
        </w:rPr>
        <w:footnoteReference w:id="5"/>
      </w:r>
      <w:r w:rsidR="00217AB4" w:rsidRPr="0021507A">
        <w:rPr>
          <w:rStyle w:val="FootnoteReference"/>
          <w:rFonts w:cs="Arabic11 BT"/>
          <w:b/>
          <w:sz w:val="28"/>
          <w:rtl/>
          <w:lang w:bidi="ar-SY"/>
        </w:rPr>
        <w:t>)</w:t>
      </w:r>
      <w:r w:rsidR="00217AB4" w:rsidRPr="003F3B94">
        <w:rPr>
          <w:sz w:val="28"/>
          <w:rtl/>
          <w:lang w:bidi="ar-SY"/>
        </w:rPr>
        <w:t>!</w:t>
      </w:r>
      <w:r w:rsidR="00217AB4" w:rsidRPr="003F3B94">
        <w:rPr>
          <w:rFonts w:hint="cs"/>
          <w:sz w:val="28"/>
          <w:rtl/>
          <w:lang w:bidi="ar-SY"/>
        </w:rPr>
        <w:t>!</w:t>
      </w:r>
    </w:p>
    <w:p w:rsidR="001D4A35" w:rsidRPr="003F3B94" w:rsidRDefault="00E6421B" w:rsidP="003F3B94">
      <w:pPr>
        <w:pStyle w:val="a0"/>
        <w:rPr>
          <w:rFonts w:hint="cs"/>
          <w:rtl/>
          <w:lang w:bidi="ar-SY"/>
        </w:rPr>
      </w:pPr>
      <w:r w:rsidRPr="003F3B94">
        <w:rPr>
          <w:rFonts w:hint="cs"/>
          <w:sz w:val="28"/>
          <w:rtl/>
          <w:lang w:bidi="ar-SY"/>
        </w:rPr>
        <w:t xml:space="preserve">هل </w:t>
      </w:r>
      <w:r w:rsidR="002F3548" w:rsidRPr="003F3B94">
        <w:rPr>
          <w:rFonts w:hint="cs"/>
          <w:sz w:val="28"/>
          <w:rtl/>
          <w:lang w:bidi="ar-SY"/>
        </w:rPr>
        <w:t>يُصَدَّق</w:t>
      </w:r>
      <w:r w:rsidRPr="003F3B94">
        <w:rPr>
          <w:rFonts w:hint="cs"/>
          <w:sz w:val="28"/>
          <w:rtl/>
          <w:lang w:bidi="ar-SY"/>
        </w:rPr>
        <w:t xml:space="preserve"> أن رب</w:t>
      </w:r>
      <w:r w:rsidR="002D4CEC" w:rsidRPr="003F3B94">
        <w:rPr>
          <w:rFonts w:hint="cs"/>
          <w:sz w:val="28"/>
          <w:rtl/>
          <w:lang w:bidi="ar-SY"/>
        </w:rPr>
        <w:t>َّ</w:t>
      </w:r>
      <w:r w:rsidRPr="003F3B94">
        <w:rPr>
          <w:rFonts w:hint="cs"/>
          <w:sz w:val="28"/>
          <w:rtl/>
          <w:lang w:bidi="ar-SY"/>
        </w:rPr>
        <w:t xml:space="preserve"> العالمين قر</w:t>
      </w:r>
      <w:r w:rsidR="002F3548" w:rsidRPr="003F3B94">
        <w:rPr>
          <w:rFonts w:hint="cs"/>
          <w:sz w:val="28"/>
          <w:rtl/>
          <w:lang w:bidi="ar-SY"/>
        </w:rPr>
        <w:t>َّ</w:t>
      </w:r>
      <w:r w:rsidRPr="003F3B94">
        <w:rPr>
          <w:rFonts w:hint="cs"/>
          <w:sz w:val="28"/>
          <w:rtl/>
          <w:lang w:bidi="ar-SY"/>
        </w:rPr>
        <w:t>ر مثل هذ</w:t>
      </w:r>
      <w:r w:rsidR="00374D1F" w:rsidRPr="003F3B94">
        <w:rPr>
          <w:rFonts w:hint="cs"/>
          <w:sz w:val="28"/>
          <w:rtl/>
          <w:lang w:bidi="ar-SY"/>
        </w:rPr>
        <w:t>ه</w:t>
      </w:r>
      <w:r w:rsidRPr="003F3B94">
        <w:rPr>
          <w:rFonts w:hint="cs"/>
          <w:sz w:val="28"/>
          <w:rtl/>
          <w:lang w:bidi="ar-SY"/>
        </w:rPr>
        <w:t xml:space="preserve"> الزكاة </w:t>
      </w:r>
      <w:r w:rsidR="002E4893" w:rsidRPr="003F3B94">
        <w:rPr>
          <w:rFonts w:hint="cs"/>
          <w:sz w:val="28"/>
          <w:rtl/>
          <w:lang w:bidi="ar-SY"/>
        </w:rPr>
        <w:t>ل</w:t>
      </w:r>
      <w:r w:rsidRPr="003F3B94">
        <w:rPr>
          <w:rFonts w:hint="cs"/>
          <w:sz w:val="28"/>
          <w:rtl/>
          <w:lang w:bidi="ar-SY"/>
        </w:rPr>
        <w:t xml:space="preserve">تأمين </w:t>
      </w:r>
      <w:r w:rsidR="00374D1F" w:rsidRPr="003F3B94">
        <w:rPr>
          <w:rFonts w:hint="cs"/>
          <w:sz w:val="28"/>
          <w:rtl/>
          <w:lang w:bidi="ar-SY"/>
        </w:rPr>
        <w:t>حاجات</w:t>
      </w:r>
      <w:r w:rsidRPr="003F3B94">
        <w:rPr>
          <w:rFonts w:hint="cs"/>
          <w:sz w:val="28"/>
          <w:rtl/>
          <w:lang w:bidi="ar-SY"/>
        </w:rPr>
        <w:t xml:space="preserve"> الفقراء وسائر أص</w:t>
      </w:r>
      <w:r w:rsidR="00374D1F" w:rsidRPr="003F3B94">
        <w:rPr>
          <w:rFonts w:hint="cs"/>
          <w:sz w:val="28"/>
          <w:rtl/>
          <w:lang w:bidi="ar-SY"/>
        </w:rPr>
        <w:t>ن</w:t>
      </w:r>
      <w:r w:rsidRPr="003F3B94">
        <w:rPr>
          <w:rFonts w:hint="cs"/>
          <w:sz w:val="28"/>
          <w:rtl/>
          <w:lang w:bidi="ar-SY"/>
        </w:rPr>
        <w:t>اف المحتاجين</w:t>
      </w:r>
      <w:r w:rsidR="00217AB4" w:rsidRPr="003F3B94">
        <w:rPr>
          <w:rFonts w:hint="cs"/>
          <w:sz w:val="28"/>
          <w:rtl/>
          <w:lang w:bidi="ar-SY"/>
        </w:rPr>
        <w:t>؟!</w:t>
      </w:r>
      <w:r w:rsidRPr="003F3B94">
        <w:rPr>
          <w:rFonts w:hint="cs"/>
          <w:sz w:val="28"/>
          <w:rtl/>
          <w:lang w:bidi="ar-SY"/>
        </w:rPr>
        <w:t xml:space="preserve"> </w:t>
      </w:r>
      <w:r w:rsidR="00064BA8" w:rsidRPr="003F3B94">
        <w:rPr>
          <w:rFonts w:hint="cs"/>
          <w:sz w:val="28"/>
          <w:rtl/>
          <w:lang w:bidi="ar-SY"/>
        </w:rPr>
        <w:t xml:space="preserve">هل تعلمون ما هو مستند الفقهاء الذين أفتوا بمثل هذه الزكاة </w:t>
      </w:r>
      <w:r w:rsidR="00107A17" w:rsidRPr="003F3B94">
        <w:rPr>
          <w:rFonts w:hint="cs"/>
          <w:sz w:val="28"/>
          <w:rtl/>
          <w:lang w:bidi="ar-SY"/>
        </w:rPr>
        <w:t>ودعوا الناس إليها</w:t>
      </w:r>
      <w:r w:rsidR="00217AB4" w:rsidRPr="003F3B94">
        <w:rPr>
          <w:rFonts w:hint="cs"/>
          <w:sz w:val="28"/>
          <w:rtl/>
          <w:lang w:bidi="ar-SY"/>
        </w:rPr>
        <w:t>؟</w:t>
      </w:r>
      <w:r w:rsidR="00107A17" w:rsidRPr="003F3B94">
        <w:rPr>
          <w:rFonts w:hint="cs"/>
          <w:sz w:val="28"/>
          <w:rtl/>
          <w:lang w:bidi="ar-SY"/>
        </w:rPr>
        <w:t xml:space="preserve"> إنهم صرفوا النظر عن جميع آيات كتاب الله وسنة رسوله</w:t>
      </w:r>
      <w:r w:rsidR="00147857" w:rsidRPr="003F3B94">
        <w:rPr>
          <w:rFonts w:hint="cs"/>
          <w:sz w:val="28"/>
          <w:rtl/>
          <w:lang w:bidi="ar-SY"/>
        </w:rPr>
        <w:t xml:space="preserve"> </w:t>
      </w:r>
      <w:r w:rsidR="003C7AEB" w:rsidRPr="003C7AEB">
        <w:rPr>
          <w:rFonts w:cs="CTraditional Arabic" w:hint="cs"/>
          <w:sz w:val="28"/>
          <w:rtl/>
          <w:lang w:bidi="ar-SY"/>
        </w:rPr>
        <w:t>ص</w:t>
      </w:r>
      <w:r w:rsidR="00147857" w:rsidRPr="003F3B94">
        <w:rPr>
          <w:rFonts w:hint="cs"/>
          <w:sz w:val="28"/>
          <w:rtl/>
          <w:lang w:bidi="ar-SY"/>
        </w:rPr>
        <w:t xml:space="preserve"> </w:t>
      </w:r>
      <w:r w:rsidR="00107A17" w:rsidRPr="003F3B94">
        <w:rPr>
          <w:rFonts w:hint="cs"/>
          <w:sz w:val="28"/>
          <w:rtl/>
          <w:lang w:bidi="ar-SY"/>
        </w:rPr>
        <w:t>وسيرة مسلمي صدر ا</w:t>
      </w:r>
      <w:r w:rsidR="008A2A49" w:rsidRPr="003F3B94">
        <w:rPr>
          <w:rFonts w:hint="cs"/>
          <w:sz w:val="28"/>
          <w:rtl/>
          <w:lang w:bidi="ar-SY"/>
        </w:rPr>
        <w:t>لإ</w:t>
      </w:r>
      <w:r w:rsidR="00107A17" w:rsidRPr="003F3B94">
        <w:rPr>
          <w:rFonts w:hint="cs"/>
          <w:sz w:val="28"/>
          <w:rtl/>
          <w:lang w:bidi="ar-SY"/>
        </w:rPr>
        <w:t>س</w:t>
      </w:r>
      <w:r w:rsidR="008A2A49" w:rsidRPr="003F3B94">
        <w:rPr>
          <w:rFonts w:hint="cs"/>
          <w:sz w:val="28"/>
          <w:rtl/>
          <w:lang w:bidi="ar-SY"/>
        </w:rPr>
        <w:t>لا</w:t>
      </w:r>
      <w:r w:rsidR="00107A17" w:rsidRPr="003F3B94">
        <w:rPr>
          <w:rFonts w:hint="cs"/>
          <w:sz w:val="28"/>
          <w:rtl/>
          <w:lang w:bidi="ar-SY"/>
        </w:rPr>
        <w:t xml:space="preserve">م التي تبيّن بوضوح أن الزكاة كانت تؤخذ من جميع </w:t>
      </w:r>
      <w:r w:rsidR="009F52C8" w:rsidRPr="003F3B94">
        <w:rPr>
          <w:rFonts w:hint="cs"/>
          <w:sz w:val="28"/>
          <w:rtl/>
          <w:lang w:bidi="ar-SY"/>
        </w:rPr>
        <w:t>المحاصيل والمداخيل وا</w:t>
      </w:r>
      <w:r w:rsidR="008A2A49" w:rsidRPr="003F3B94">
        <w:rPr>
          <w:rFonts w:hint="cs"/>
          <w:sz w:val="28"/>
          <w:rtl/>
          <w:lang w:bidi="ar-SY"/>
        </w:rPr>
        <w:t>لإ</w:t>
      </w:r>
      <w:r w:rsidR="009F52C8" w:rsidRPr="003F3B94">
        <w:rPr>
          <w:rFonts w:hint="cs"/>
          <w:sz w:val="28"/>
          <w:rtl/>
          <w:lang w:bidi="ar-SY"/>
        </w:rPr>
        <w:t xml:space="preserve">يرادات </w:t>
      </w:r>
      <w:r w:rsidR="00E86400" w:rsidRPr="003F3B94">
        <w:rPr>
          <w:rFonts w:hint="cs"/>
          <w:sz w:val="28"/>
          <w:rtl/>
          <w:lang w:bidi="ar-SY"/>
        </w:rPr>
        <w:t>الناتجة عن غ</w:t>
      </w:r>
      <w:r w:rsidR="008A2A49" w:rsidRPr="003F3B94">
        <w:rPr>
          <w:rFonts w:hint="cs"/>
          <w:sz w:val="28"/>
          <w:rtl/>
          <w:lang w:bidi="ar-SY"/>
        </w:rPr>
        <w:t>لا</w:t>
      </w:r>
      <w:r w:rsidR="00E86400" w:rsidRPr="003F3B94">
        <w:rPr>
          <w:rFonts w:hint="cs"/>
          <w:sz w:val="28"/>
          <w:rtl/>
          <w:lang w:bidi="ar-SY"/>
        </w:rPr>
        <w:t>ت ا</w:t>
      </w:r>
      <w:r w:rsidR="008A2A49" w:rsidRPr="003F3B94">
        <w:rPr>
          <w:rFonts w:hint="cs"/>
          <w:sz w:val="28"/>
          <w:rtl/>
          <w:lang w:bidi="ar-SY"/>
        </w:rPr>
        <w:t>لأ</w:t>
      </w:r>
      <w:r w:rsidR="00E86400" w:rsidRPr="003F3B94">
        <w:rPr>
          <w:rFonts w:hint="cs"/>
          <w:sz w:val="28"/>
          <w:rtl/>
          <w:lang w:bidi="ar-SY"/>
        </w:rPr>
        <w:t xml:space="preserve">راضي الزراعية والبساتين والحقول وعن المواشي </w:t>
      </w:r>
      <w:r w:rsidR="0098684B" w:rsidRPr="003F3B94">
        <w:rPr>
          <w:rFonts w:hint="cs"/>
          <w:sz w:val="28"/>
          <w:rtl/>
          <w:lang w:bidi="ar-SY"/>
        </w:rPr>
        <w:t xml:space="preserve">وأرباح </w:t>
      </w:r>
      <w:r w:rsidR="00E86400" w:rsidRPr="003F3B94">
        <w:rPr>
          <w:rFonts w:hint="cs"/>
          <w:sz w:val="28"/>
          <w:rtl/>
          <w:lang w:bidi="ar-SY"/>
        </w:rPr>
        <w:t>التجارة والكسب وا</w:t>
      </w:r>
      <w:r w:rsidR="008A2A49" w:rsidRPr="003F3B94">
        <w:rPr>
          <w:rFonts w:hint="cs"/>
          <w:sz w:val="28"/>
          <w:rtl/>
          <w:lang w:bidi="ar-SY"/>
        </w:rPr>
        <w:t>لإ</w:t>
      </w:r>
      <w:r w:rsidR="00E86400" w:rsidRPr="003F3B94">
        <w:rPr>
          <w:rFonts w:hint="cs"/>
          <w:sz w:val="28"/>
          <w:rtl/>
          <w:lang w:bidi="ar-SY"/>
        </w:rPr>
        <w:t xml:space="preserve">يرادات </w:t>
      </w:r>
      <w:r w:rsidR="00A35F50" w:rsidRPr="003F3B94">
        <w:rPr>
          <w:rFonts w:hint="cs"/>
          <w:sz w:val="28"/>
          <w:rtl/>
          <w:lang w:bidi="ar-SY"/>
        </w:rPr>
        <w:t>الناجمة عن استغ</w:t>
      </w:r>
      <w:r w:rsidR="008A2A49" w:rsidRPr="003F3B94">
        <w:rPr>
          <w:rFonts w:hint="cs"/>
          <w:sz w:val="28"/>
          <w:rtl/>
          <w:lang w:bidi="ar-SY"/>
        </w:rPr>
        <w:t>لا</w:t>
      </w:r>
      <w:r w:rsidR="00A35F50" w:rsidRPr="003F3B94">
        <w:rPr>
          <w:rFonts w:hint="cs"/>
          <w:sz w:val="28"/>
          <w:rtl/>
          <w:lang w:bidi="ar-SY"/>
        </w:rPr>
        <w:t xml:space="preserve">ل المعادن والمراتع </w:t>
      </w:r>
      <w:r w:rsidR="004C4127" w:rsidRPr="003F3B94">
        <w:rPr>
          <w:rFonts w:hint="cs"/>
          <w:sz w:val="28"/>
          <w:rtl/>
          <w:lang w:bidi="ar-SY"/>
        </w:rPr>
        <w:t>وا</w:t>
      </w:r>
      <w:r w:rsidR="008A2A49" w:rsidRPr="003F3B94">
        <w:rPr>
          <w:rFonts w:hint="cs"/>
          <w:sz w:val="28"/>
          <w:rtl/>
          <w:lang w:bidi="ar-SY"/>
        </w:rPr>
        <w:t>لأ</w:t>
      </w:r>
      <w:r w:rsidR="004C4127" w:rsidRPr="003F3B94">
        <w:rPr>
          <w:rFonts w:hint="cs"/>
          <w:sz w:val="28"/>
          <w:rtl/>
          <w:lang w:bidi="ar-SY"/>
        </w:rPr>
        <w:t>موال المخلوطة بالحرام والكنوز</w:t>
      </w:r>
      <w:r w:rsidR="00217AB4" w:rsidRPr="003F3B94">
        <w:rPr>
          <w:rFonts w:hint="cs"/>
          <w:sz w:val="28"/>
          <w:rtl/>
          <w:lang w:bidi="ar-SY"/>
        </w:rPr>
        <w:t>،</w:t>
      </w:r>
      <w:r w:rsidR="004C4127" w:rsidRPr="003F3B94">
        <w:rPr>
          <w:rFonts w:hint="cs"/>
          <w:sz w:val="28"/>
          <w:rtl/>
          <w:lang w:bidi="ar-SY"/>
        </w:rPr>
        <w:t xml:space="preserve"> </w:t>
      </w:r>
      <w:r w:rsidR="00B15FDF" w:rsidRPr="003F3B94">
        <w:rPr>
          <w:rFonts w:hint="cs"/>
          <w:sz w:val="28"/>
          <w:rtl/>
          <w:lang w:bidi="ar-SY"/>
        </w:rPr>
        <w:t>وتعلقوا بعدد من ا</w:t>
      </w:r>
      <w:r w:rsidR="008A2A49" w:rsidRPr="003F3B94">
        <w:rPr>
          <w:rFonts w:hint="cs"/>
          <w:sz w:val="28"/>
          <w:rtl/>
          <w:lang w:bidi="ar-SY"/>
        </w:rPr>
        <w:t>لأ</w:t>
      </w:r>
      <w:r w:rsidR="00B15FDF" w:rsidRPr="003F3B94">
        <w:rPr>
          <w:rFonts w:hint="cs"/>
          <w:sz w:val="28"/>
          <w:rtl/>
          <w:lang w:bidi="ar-SY"/>
        </w:rPr>
        <w:t xml:space="preserve">حاديث والروايات الضعيفة المذكورة </w:t>
      </w:r>
      <w:r w:rsidR="00FE0B7B" w:rsidRPr="003F3B94">
        <w:rPr>
          <w:rFonts w:hint="cs"/>
          <w:sz w:val="28"/>
          <w:rtl/>
          <w:lang w:bidi="ar-SY"/>
        </w:rPr>
        <w:t>في كتب ا</w:t>
      </w:r>
      <w:r w:rsidR="008A2A49" w:rsidRPr="003F3B94">
        <w:rPr>
          <w:rFonts w:hint="cs"/>
          <w:sz w:val="28"/>
          <w:rtl/>
          <w:lang w:bidi="ar-SY"/>
        </w:rPr>
        <w:t>لأ</w:t>
      </w:r>
      <w:r w:rsidR="00FE0B7B" w:rsidRPr="003F3B94">
        <w:rPr>
          <w:rFonts w:hint="cs"/>
          <w:sz w:val="28"/>
          <w:rtl/>
          <w:lang w:bidi="ar-SY"/>
        </w:rPr>
        <w:t>حاديث وا</w:t>
      </w:r>
      <w:r w:rsidR="008A2A49" w:rsidRPr="003F3B94">
        <w:rPr>
          <w:rFonts w:hint="cs"/>
          <w:sz w:val="28"/>
          <w:rtl/>
          <w:lang w:bidi="ar-SY"/>
        </w:rPr>
        <w:t>لأ</w:t>
      </w:r>
      <w:r w:rsidR="00FE0B7B" w:rsidRPr="003F3B94">
        <w:rPr>
          <w:rFonts w:hint="cs"/>
          <w:sz w:val="28"/>
          <w:rtl/>
          <w:lang w:bidi="ar-SY"/>
        </w:rPr>
        <w:t>خبار</w:t>
      </w:r>
      <w:r w:rsidR="00217AB4" w:rsidRPr="003F3B94">
        <w:rPr>
          <w:rFonts w:hint="cs"/>
          <w:sz w:val="28"/>
          <w:rtl/>
          <w:lang w:bidi="ar-SY"/>
        </w:rPr>
        <w:t>،</w:t>
      </w:r>
      <w:r w:rsidR="00FE0B7B" w:rsidRPr="003F3B94">
        <w:rPr>
          <w:rFonts w:hint="cs"/>
          <w:sz w:val="28"/>
          <w:rtl/>
          <w:lang w:bidi="ar-SY"/>
        </w:rPr>
        <w:t xml:space="preserve"> </w:t>
      </w:r>
      <w:r w:rsidR="00374D1F" w:rsidRPr="003F3B94">
        <w:rPr>
          <w:rFonts w:hint="cs"/>
          <w:sz w:val="28"/>
          <w:rtl/>
          <w:lang w:bidi="ar-SY"/>
        </w:rPr>
        <w:t>والتي يرويها</w:t>
      </w:r>
      <w:r w:rsidR="00217AB4" w:rsidRPr="003F3B94">
        <w:rPr>
          <w:rFonts w:hint="cs"/>
          <w:sz w:val="28"/>
          <w:rtl/>
          <w:lang w:bidi="ar-SY"/>
        </w:rPr>
        <w:t>،</w:t>
      </w:r>
      <w:r w:rsidR="00374D1F" w:rsidRPr="003F3B94">
        <w:rPr>
          <w:rFonts w:hint="cs"/>
          <w:sz w:val="28"/>
          <w:rtl/>
          <w:lang w:bidi="ar-SY"/>
        </w:rPr>
        <w:t xml:space="preserve"> </w:t>
      </w:r>
      <w:r w:rsidR="00FE0B7B" w:rsidRPr="003F3B94">
        <w:rPr>
          <w:rFonts w:hint="cs"/>
          <w:sz w:val="28"/>
          <w:rtl/>
          <w:lang w:bidi="ar-SY"/>
        </w:rPr>
        <w:t>لحسن ا</w:t>
      </w:r>
      <w:r w:rsidR="00AA5B32" w:rsidRPr="003F3B94">
        <w:rPr>
          <w:rFonts w:hint="cs"/>
          <w:sz w:val="28"/>
          <w:rtl/>
          <w:lang w:bidi="ar-SY"/>
        </w:rPr>
        <w:t xml:space="preserve">لحظ </w:t>
      </w:r>
      <w:r w:rsidR="00374D1F" w:rsidRPr="003F3B94">
        <w:rPr>
          <w:rFonts w:hint="cs"/>
          <w:sz w:val="28"/>
          <w:rtl/>
          <w:lang w:bidi="ar-SY"/>
        </w:rPr>
        <w:t>أ</w:t>
      </w:r>
      <w:r w:rsidR="00AA5B32" w:rsidRPr="003F3B94">
        <w:rPr>
          <w:rFonts w:hint="cs"/>
          <w:sz w:val="28"/>
          <w:rtl/>
          <w:lang w:bidi="ar-SY"/>
        </w:rPr>
        <w:t>و</w:t>
      </w:r>
      <w:r w:rsidR="00374D1F" w:rsidRPr="003F3B94">
        <w:rPr>
          <w:rFonts w:hint="cs"/>
          <w:sz w:val="28"/>
          <w:rtl/>
          <w:lang w:bidi="ar-SY"/>
        </w:rPr>
        <w:t xml:space="preserve"> </w:t>
      </w:r>
      <w:r w:rsidR="00AA5B32" w:rsidRPr="003F3B94">
        <w:rPr>
          <w:rFonts w:hint="cs"/>
          <w:sz w:val="28"/>
          <w:rtl/>
          <w:lang w:bidi="ar-SY"/>
        </w:rPr>
        <w:t>لسوئه</w:t>
      </w:r>
      <w:r w:rsidR="00217AB4" w:rsidRPr="003F3B94">
        <w:rPr>
          <w:rFonts w:hint="cs"/>
          <w:sz w:val="28"/>
          <w:rtl/>
          <w:lang w:bidi="ar-SY"/>
        </w:rPr>
        <w:t>،</w:t>
      </w:r>
      <w:r w:rsidR="00AA5B32" w:rsidRPr="003F3B94">
        <w:rPr>
          <w:rFonts w:hint="cs"/>
          <w:sz w:val="28"/>
          <w:rtl/>
          <w:lang w:bidi="ar-SY"/>
        </w:rPr>
        <w:t xml:space="preserve"> </w:t>
      </w:r>
      <w:r w:rsidR="00374D1F" w:rsidRPr="003F3B94">
        <w:rPr>
          <w:rFonts w:hint="cs"/>
          <w:sz w:val="28"/>
          <w:rtl/>
          <w:lang w:bidi="ar-SY"/>
        </w:rPr>
        <w:t>أسوأ الرواة سمعةً</w:t>
      </w:r>
      <w:r w:rsidR="00217AB4" w:rsidRPr="003F3B94">
        <w:rPr>
          <w:rFonts w:hint="cs"/>
          <w:sz w:val="28"/>
          <w:rtl/>
          <w:lang w:bidi="ar-SY"/>
        </w:rPr>
        <w:t>...</w:t>
      </w:r>
      <w:r w:rsidR="009E7A95" w:rsidRPr="003F3B94">
        <w:rPr>
          <w:rFonts w:hint="cs"/>
          <w:sz w:val="28"/>
          <w:rtl/>
          <w:lang w:bidi="ar-SY"/>
        </w:rPr>
        <w:t xml:space="preserve"> فمث</w:t>
      </w:r>
      <w:r w:rsidR="008A2A49" w:rsidRPr="003F3B94">
        <w:rPr>
          <w:rFonts w:hint="cs"/>
          <w:sz w:val="28"/>
          <w:rtl/>
          <w:lang w:bidi="ar-SY"/>
        </w:rPr>
        <w:t>لا</w:t>
      </w:r>
      <w:r w:rsidR="009E7A95" w:rsidRPr="003F3B94">
        <w:rPr>
          <w:rFonts w:hint="cs"/>
          <w:sz w:val="28"/>
          <w:rtl/>
          <w:lang w:bidi="ar-SY"/>
        </w:rPr>
        <w:t xml:space="preserve"> </w:t>
      </w:r>
      <w:r w:rsidR="00374D1F" w:rsidRPr="003F3B94">
        <w:rPr>
          <w:rFonts w:hint="cs"/>
          <w:sz w:val="28"/>
          <w:rtl/>
          <w:lang w:bidi="ar-SY"/>
        </w:rPr>
        <w:t>يستند القول ب</w:t>
      </w:r>
      <w:r w:rsidR="009E7A95" w:rsidRPr="003F3B94">
        <w:rPr>
          <w:rFonts w:hint="cs"/>
          <w:sz w:val="28"/>
          <w:rtl/>
          <w:lang w:bidi="ar-SY"/>
        </w:rPr>
        <w:t>انحصار الزكاة في ا</w:t>
      </w:r>
      <w:r w:rsidR="008A2A49" w:rsidRPr="003F3B94">
        <w:rPr>
          <w:rFonts w:hint="cs"/>
          <w:sz w:val="28"/>
          <w:rtl/>
          <w:lang w:bidi="ar-SY"/>
        </w:rPr>
        <w:t>لأ</w:t>
      </w:r>
      <w:r w:rsidR="009E7A95" w:rsidRPr="003F3B94">
        <w:rPr>
          <w:rFonts w:hint="cs"/>
          <w:sz w:val="28"/>
          <w:rtl/>
          <w:lang w:bidi="ar-SY"/>
        </w:rPr>
        <w:t xml:space="preserve">شياء التسعة في كتب حديث الشيعة إلى ستة أحاديث خمسة منها مروية عن أحد أسوء </w:t>
      </w:r>
      <w:r w:rsidR="00374D1F" w:rsidRPr="003F3B94">
        <w:rPr>
          <w:rFonts w:hint="cs"/>
          <w:sz w:val="28"/>
          <w:rtl/>
          <w:lang w:bidi="ar-SY"/>
        </w:rPr>
        <w:t>رواة ا</w:t>
      </w:r>
      <w:r w:rsidR="008A2A49" w:rsidRPr="003F3B94">
        <w:rPr>
          <w:rFonts w:hint="cs"/>
          <w:sz w:val="28"/>
          <w:rtl/>
          <w:lang w:bidi="ar-SY"/>
        </w:rPr>
        <w:t>لأ</w:t>
      </w:r>
      <w:r w:rsidR="00374D1F" w:rsidRPr="003F3B94">
        <w:rPr>
          <w:rFonts w:hint="cs"/>
          <w:sz w:val="28"/>
          <w:rtl/>
          <w:lang w:bidi="ar-SY"/>
        </w:rPr>
        <w:t xml:space="preserve">خبار </w:t>
      </w:r>
      <w:r w:rsidR="009E7A95" w:rsidRPr="003F3B94">
        <w:rPr>
          <w:rFonts w:hint="cs"/>
          <w:sz w:val="28"/>
          <w:rtl/>
          <w:lang w:bidi="ar-SY"/>
        </w:rPr>
        <w:t xml:space="preserve">سمعةً </w:t>
      </w:r>
      <w:r w:rsidR="0075797A" w:rsidRPr="003F3B94">
        <w:rPr>
          <w:rFonts w:hint="cs"/>
          <w:sz w:val="28"/>
          <w:rtl/>
          <w:lang w:bidi="ar-SY"/>
        </w:rPr>
        <w:t xml:space="preserve">وهو </w:t>
      </w:r>
      <w:r w:rsidR="0075797A" w:rsidRPr="003F3B94">
        <w:rPr>
          <w:rFonts w:hint="eastAsia"/>
          <w:sz w:val="28"/>
          <w:rtl/>
          <w:lang w:bidi="ar-SY"/>
        </w:rPr>
        <w:t>«</w:t>
      </w:r>
      <w:r w:rsidR="0075797A" w:rsidRPr="003F3B94">
        <w:rPr>
          <w:rFonts w:hint="cs"/>
          <w:sz w:val="28"/>
          <w:rtl/>
          <w:lang w:bidi="ar-SY"/>
        </w:rPr>
        <w:t>علي بن فضال</w:t>
      </w:r>
      <w:r w:rsidR="0075797A" w:rsidRPr="003F3B94">
        <w:rPr>
          <w:rFonts w:hint="eastAsia"/>
          <w:sz w:val="28"/>
          <w:rtl/>
          <w:lang w:bidi="ar-SY"/>
        </w:rPr>
        <w:t>»</w:t>
      </w:r>
      <w:r w:rsidR="0075797A" w:rsidRPr="003F3B94">
        <w:rPr>
          <w:rFonts w:hint="cs"/>
          <w:sz w:val="28"/>
          <w:rtl/>
          <w:lang w:bidi="ar-SY"/>
        </w:rPr>
        <w:t xml:space="preserve"> الذي قال عنه صاحب السرائر</w:t>
      </w:r>
      <w:r w:rsidR="00217AB4" w:rsidRPr="0021507A">
        <w:rPr>
          <w:rStyle w:val="FootnoteReference"/>
          <w:rFonts w:cs="Arabic11 BT"/>
          <w:b/>
          <w:sz w:val="28"/>
          <w:rtl/>
          <w:lang w:bidi="ar-SY"/>
        </w:rPr>
        <w:t>(</w:t>
      </w:r>
      <w:r w:rsidR="007E1026" w:rsidRPr="0021507A">
        <w:rPr>
          <w:rStyle w:val="FootnoteReference"/>
          <w:rFonts w:cs="Arabic11 BT"/>
          <w:b/>
          <w:sz w:val="28"/>
          <w:rtl/>
          <w:lang w:bidi="ar-SY"/>
        </w:rPr>
        <w:footnoteReference w:id="6"/>
      </w:r>
      <w:r w:rsidR="00217AB4" w:rsidRPr="0021507A">
        <w:rPr>
          <w:rStyle w:val="FootnoteReference"/>
          <w:rFonts w:cs="Arabic11 BT"/>
          <w:b/>
          <w:sz w:val="28"/>
          <w:rtl/>
          <w:lang w:bidi="ar-SY"/>
        </w:rPr>
        <w:t>)</w:t>
      </w:r>
      <w:r w:rsidR="00217AB4" w:rsidRPr="003F3B94">
        <w:rPr>
          <w:rStyle w:val="FootnoteReference"/>
          <w:sz w:val="28"/>
          <w:rtl/>
          <w:lang w:bidi="ar-SY"/>
        </w:rPr>
        <w:t>:</w:t>
      </w:r>
      <w:r w:rsidR="00374D1F" w:rsidRPr="003F3B94">
        <w:rPr>
          <w:rFonts w:hint="cs"/>
          <w:sz w:val="28"/>
          <w:rtl/>
          <w:lang w:bidi="ar-SY"/>
        </w:rPr>
        <w:t xml:space="preserve"> </w:t>
      </w:r>
      <w:r w:rsidR="00EF2588" w:rsidRPr="003F3B94">
        <w:rPr>
          <w:rFonts w:hint="cs"/>
          <w:sz w:val="28"/>
          <w:rtl/>
          <w:lang w:bidi="ar-SY"/>
        </w:rPr>
        <w:t>«</w:t>
      </w:r>
      <w:r w:rsidR="00374D1F" w:rsidRPr="003F3B94">
        <w:rPr>
          <w:b/>
          <w:bCs/>
          <w:sz w:val="28"/>
          <w:rtl/>
          <w:lang w:bidi="ar-SY"/>
        </w:rPr>
        <w:t>علي</w:t>
      </w:r>
      <w:r w:rsidR="008F0AB4" w:rsidRPr="003F3B94">
        <w:rPr>
          <w:rFonts w:hint="cs"/>
          <w:b/>
          <w:bCs/>
          <w:sz w:val="28"/>
          <w:rtl/>
          <w:lang w:bidi="ar-SY"/>
        </w:rPr>
        <w:t>ُّ</w:t>
      </w:r>
      <w:r w:rsidR="00374D1F" w:rsidRPr="003F3B94">
        <w:rPr>
          <w:b/>
          <w:bCs/>
          <w:sz w:val="28"/>
          <w:rtl/>
          <w:lang w:bidi="ar-SY"/>
        </w:rPr>
        <w:t xml:space="preserve"> بن فضّال ملعونٌ ورأس كل ض</w:t>
      </w:r>
      <w:r w:rsidR="008A2A49" w:rsidRPr="003F3B94">
        <w:rPr>
          <w:b/>
          <w:bCs/>
          <w:sz w:val="28"/>
          <w:rtl/>
          <w:lang w:bidi="ar-SY"/>
        </w:rPr>
        <w:t>لا</w:t>
      </w:r>
      <w:r w:rsidR="00374D1F" w:rsidRPr="003F3B94">
        <w:rPr>
          <w:b/>
          <w:bCs/>
          <w:sz w:val="28"/>
          <w:rtl/>
          <w:lang w:bidi="ar-SY"/>
        </w:rPr>
        <w:t>ل هو وأبوه</w:t>
      </w:r>
      <w:r w:rsidR="00EF2588" w:rsidRPr="003F3B94">
        <w:rPr>
          <w:rFonts w:hint="cs"/>
          <w:sz w:val="28"/>
          <w:rtl/>
          <w:lang w:bidi="ar-SY"/>
        </w:rPr>
        <w:t>»</w:t>
      </w:r>
      <w:r w:rsidR="00217AB4" w:rsidRPr="0021507A">
        <w:rPr>
          <w:rStyle w:val="FootnoteReference"/>
          <w:rFonts w:cs="Arabic11 BT"/>
          <w:b/>
          <w:sz w:val="28"/>
          <w:rtl/>
          <w:lang w:bidi="ar-SY"/>
        </w:rPr>
        <w:t>(</w:t>
      </w:r>
      <w:r w:rsidR="007E1026" w:rsidRPr="0021507A">
        <w:rPr>
          <w:rStyle w:val="FootnoteReference"/>
          <w:rFonts w:cs="Arabic11 BT"/>
          <w:b/>
          <w:sz w:val="28"/>
          <w:rtl/>
          <w:lang w:bidi="ar-SY"/>
        </w:rPr>
        <w:footnoteReference w:id="7"/>
      </w:r>
      <w:r w:rsidR="00217AB4" w:rsidRPr="0021507A">
        <w:rPr>
          <w:rStyle w:val="FootnoteReference"/>
          <w:rFonts w:cs="Arabic11 BT"/>
          <w:b/>
          <w:sz w:val="28"/>
          <w:rtl/>
          <w:lang w:bidi="ar-SY"/>
        </w:rPr>
        <w:t>)</w:t>
      </w:r>
      <w:r w:rsidR="00217AB4" w:rsidRPr="003F3B94">
        <w:rPr>
          <w:rFonts w:hint="cs"/>
          <w:sz w:val="28"/>
          <w:rtl/>
          <w:lang w:bidi="ar-SY"/>
        </w:rPr>
        <w:t>.</w:t>
      </w:r>
      <w:r w:rsidR="000B3D87" w:rsidRPr="003F3B94">
        <w:rPr>
          <w:rFonts w:hint="cs"/>
          <w:sz w:val="28"/>
          <w:rtl/>
          <w:lang w:bidi="ar-SY"/>
        </w:rPr>
        <w:t xml:space="preserve"> وقد بيّنا حال </w:t>
      </w:r>
      <w:r w:rsidR="000B3D87" w:rsidRPr="003F3B94">
        <w:rPr>
          <w:rFonts w:hint="eastAsia"/>
          <w:sz w:val="28"/>
          <w:rtl/>
          <w:lang w:bidi="ar-SY"/>
        </w:rPr>
        <w:t>«</w:t>
      </w:r>
      <w:r w:rsidR="000B3D87" w:rsidRPr="003F3B94">
        <w:rPr>
          <w:rFonts w:hint="cs"/>
          <w:b/>
          <w:bCs/>
          <w:sz w:val="28"/>
          <w:rtl/>
          <w:lang w:bidi="ar-SY"/>
        </w:rPr>
        <w:t>علي بن فضال</w:t>
      </w:r>
      <w:r w:rsidR="000B3D87" w:rsidRPr="003F3B94">
        <w:rPr>
          <w:rFonts w:hint="eastAsia"/>
          <w:sz w:val="28"/>
          <w:rtl/>
          <w:lang w:bidi="ar-SY"/>
        </w:rPr>
        <w:t>»</w:t>
      </w:r>
      <w:r w:rsidR="000B3D87" w:rsidRPr="003F3B94">
        <w:rPr>
          <w:rFonts w:hint="cs"/>
          <w:sz w:val="28"/>
          <w:rtl/>
          <w:lang w:bidi="ar-SY"/>
        </w:rPr>
        <w:t xml:space="preserve"> في كتابنا </w:t>
      </w:r>
      <w:r w:rsidR="00217AB4" w:rsidRPr="003F3B94">
        <w:rPr>
          <w:rFonts w:hint="cs"/>
          <w:sz w:val="28"/>
          <w:rtl/>
          <w:lang w:bidi="ar-SY"/>
        </w:rPr>
        <w:t>(</w:t>
      </w:r>
      <w:r w:rsidR="000B3D87" w:rsidRPr="003F3B94">
        <w:rPr>
          <w:rFonts w:hint="cs"/>
          <w:sz w:val="28"/>
          <w:rtl/>
          <w:lang w:bidi="ar-SY"/>
        </w:rPr>
        <w:t>الزكاة</w:t>
      </w:r>
      <w:r w:rsidR="00217AB4" w:rsidRPr="003F3B94">
        <w:rPr>
          <w:rFonts w:hint="cs"/>
          <w:sz w:val="28"/>
          <w:rtl/>
          <w:lang w:bidi="ar-SY"/>
        </w:rPr>
        <w:t>)</w:t>
      </w:r>
      <w:r w:rsidR="000B3D87" w:rsidRPr="003F3B94">
        <w:rPr>
          <w:rFonts w:hint="cs"/>
          <w:sz w:val="28"/>
          <w:rtl/>
          <w:lang w:bidi="ar-SY"/>
        </w:rPr>
        <w:t xml:space="preserve"> بشكلٍ مفصل </w:t>
      </w:r>
      <w:r w:rsidR="0065347C" w:rsidRPr="003F3B94">
        <w:rPr>
          <w:rFonts w:hint="cs"/>
          <w:sz w:val="28"/>
          <w:rtl/>
          <w:lang w:bidi="ar-SY"/>
        </w:rPr>
        <w:t>وسنذك</w:t>
      </w:r>
      <w:r w:rsidR="00C9054F" w:rsidRPr="003F3B94">
        <w:rPr>
          <w:rFonts w:hint="cs"/>
          <w:sz w:val="28"/>
          <w:rtl/>
          <w:lang w:bidi="ar-SY"/>
        </w:rPr>
        <w:t>ر مختصراً عن حاله في هذا الكتاب</w:t>
      </w:r>
      <w:r w:rsidR="00217AB4" w:rsidRPr="003F3B94">
        <w:rPr>
          <w:rFonts w:hint="cs"/>
          <w:sz w:val="28"/>
          <w:rtl/>
          <w:lang w:bidi="ar-SY"/>
        </w:rPr>
        <w:t>،</w:t>
      </w:r>
      <w:r w:rsidR="00C9054F" w:rsidRPr="003F3B94">
        <w:rPr>
          <w:rFonts w:hint="cs"/>
          <w:sz w:val="28"/>
          <w:rtl/>
          <w:lang w:bidi="ar-SY"/>
        </w:rPr>
        <w:t xml:space="preserve"> وهو لم يكن شيعياً إمامياً بل كان في بداية أمره فطحي</w:t>
      </w:r>
      <w:r w:rsidR="007E1026" w:rsidRPr="003F3B94">
        <w:rPr>
          <w:rFonts w:hint="cs"/>
          <w:sz w:val="28"/>
          <w:rtl/>
          <w:lang w:bidi="ar-SY"/>
        </w:rPr>
        <w:t>َّ</w:t>
      </w:r>
      <w:r w:rsidR="00C9054F" w:rsidRPr="003F3B94">
        <w:rPr>
          <w:rFonts w:hint="cs"/>
          <w:sz w:val="28"/>
          <w:rtl/>
          <w:lang w:bidi="ar-SY"/>
        </w:rPr>
        <w:t xml:space="preserve"> المذهب </w:t>
      </w:r>
      <w:r w:rsidR="00AF1B2B" w:rsidRPr="003F3B94">
        <w:rPr>
          <w:rFonts w:hint="cs"/>
          <w:sz w:val="28"/>
          <w:rtl/>
          <w:lang w:bidi="ar-SY"/>
        </w:rPr>
        <w:t xml:space="preserve">ثم انتقل إلى القول بإمامة جعفر الكذاب وكان من الضالين وهو من </w:t>
      </w:r>
      <w:r w:rsidR="005215E2" w:rsidRPr="003F3B94">
        <w:rPr>
          <w:rFonts w:hint="cs"/>
          <w:sz w:val="28"/>
          <w:rtl/>
          <w:lang w:bidi="ar-SY"/>
        </w:rPr>
        <w:t>قادة الفقهاء القائلين بانحصار الزكاة في ا</w:t>
      </w:r>
      <w:r w:rsidR="008A2A49" w:rsidRPr="003F3B94">
        <w:rPr>
          <w:rFonts w:hint="cs"/>
          <w:sz w:val="28"/>
          <w:rtl/>
          <w:lang w:bidi="ar-SY"/>
        </w:rPr>
        <w:t>لأ</w:t>
      </w:r>
      <w:r w:rsidR="005215E2" w:rsidRPr="003F3B94">
        <w:rPr>
          <w:rFonts w:hint="cs"/>
          <w:sz w:val="28"/>
          <w:rtl/>
          <w:lang w:bidi="ar-SY"/>
        </w:rPr>
        <w:t>شياء التسعة</w:t>
      </w:r>
      <w:r w:rsidR="00217AB4" w:rsidRPr="003F3B94">
        <w:rPr>
          <w:rFonts w:hint="cs"/>
          <w:sz w:val="28"/>
          <w:rtl/>
          <w:lang w:bidi="ar-SY"/>
        </w:rPr>
        <w:t>.</w:t>
      </w:r>
      <w:r w:rsidR="005215E2" w:rsidRPr="003F3B94">
        <w:rPr>
          <w:rFonts w:hint="cs"/>
          <w:sz w:val="28"/>
          <w:rtl/>
          <w:lang w:bidi="ar-SY"/>
        </w:rPr>
        <w:t xml:space="preserve"> </w:t>
      </w:r>
    </w:p>
    <w:p w:rsidR="008F0AB4" w:rsidRPr="003F3B94" w:rsidRDefault="005215E2" w:rsidP="003F3B94">
      <w:pPr>
        <w:pStyle w:val="a0"/>
        <w:rPr>
          <w:rFonts w:hint="cs"/>
          <w:rtl/>
          <w:lang w:bidi="ar-SY"/>
        </w:rPr>
      </w:pPr>
      <w:r w:rsidRPr="003F3B94">
        <w:rPr>
          <w:rFonts w:hint="cs"/>
          <w:sz w:val="28"/>
          <w:rtl/>
          <w:lang w:bidi="ar-SY"/>
        </w:rPr>
        <w:t>هذه هي إحدى الفرائض ا</w:t>
      </w:r>
      <w:r w:rsidR="008A2A49" w:rsidRPr="003F3B94">
        <w:rPr>
          <w:rFonts w:hint="cs"/>
          <w:sz w:val="28"/>
          <w:rtl/>
          <w:lang w:bidi="ar-SY"/>
        </w:rPr>
        <w:t>لإ</w:t>
      </w:r>
      <w:r w:rsidRPr="003F3B94">
        <w:rPr>
          <w:rFonts w:hint="cs"/>
          <w:sz w:val="28"/>
          <w:rtl/>
          <w:lang w:bidi="ar-SY"/>
        </w:rPr>
        <w:t>س</w:t>
      </w:r>
      <w:r w:rsidR="008A2A49" w:rsidRPr="003F3B94">
        <w:rPr>
          <w:rFonts w:hint="cs"/>
          <w:sz w:val="28"/>
          <w:rtl/>
          <w:lang w:bidi="ar-SY"/>
        </w:rPr>
        <w:t>لا</w:t>
      </w:r>
      <w:r w:rsidRPr="003F3B94">
        <w:rPr>
          <w:rFonts w:hint="cs"/>
          <w:sz w:val="28"/>
          <w:rtl/>
          <w:lang w:bidi="ar-SY"/>
        </w:rPr>
        <w:t xml:space="preserve">مية العظيمة </w:t>
      </w:r>
      <w:r w:rsidR="002E4893" w:rsidRPr="003F3B94">
        <w:rPr>
          <w:rFonts w:hint="cs"/>
          <w:sz w:val="28"/>
          <w:rtl/>
          <w:lang w:bidi="ar-SY"/>
        </w:rPr>
        <w:t xml:space="preserve">التي شُوِّهت حقيقتها وصارت </w:t>
      </w:r>
      <w:r w:rsidRPr="003F3B94">
        <w:rPr>
          <w:rFonts w:hint="cs"/>
          <w:sz w:val="28"/>
          <w:rtl/>
          <w:lang w:bidi="ar-SY"/>
        </w:rPr>
        <w:t xml:space="preserve">تُعرض بهذه الصورة </w:t>
      </w:r>
      <w:r w:rsidR="00E4481D" w:rsidRPr="003F3B94">
        <w:rPr>
          <w:rFonts w:hint="cs"/>
          <w:sz w:val="28"/>
          <w:rtl/>
          <w:lang w:bidi="ar-SY"/>
        </w:rPr>
        <w:t>في دنيا اليوم المتعطشة إلى صيغة اقتصادية صحيحة</w:t>
      </w:r>
      <w:r w:rsidR="00217AB4" w:rsidRPr="003F3B94">
        <w:rPr>
          <w:rFonts w:hint="cs"/>
          <w:sz w:val="28"/>
          <w:rtl/>
          <w:lang w:bidi="ar-SY"/>
        </w:rPr>
        <w:t>.</w:t>
      </w:r>
      <w:r w:rsidR="00E4481D" w:rsidRPr="003F3B94">
        <w:rPr>
          <w:rFonts w:hint="cs"/>
          <w:sz w:val="28"/>
          <w:rtl/>
          <w:lang w:bidi="ar-SY"/>
        </w:rPr>
        <w:t xml:space="preserve"> </w:t>
      </w:r>
    </w:p>
    <w:p w:rsidR="008F0AB4" w:rsidRPr="003F3B94" w:rsidRDefault="00710C2B" w:rsidP="003F3B94">
      <w:pPr>
        <w:pStyle w:val="a0"/>
        <w:rPr>
          <w:rFonts w:hint="cs"/>
          <w:rtl/>
          <w:lang w:bidi="ar-SY"/>
        </w:rPr>
      </w:pPr>
      <w:r w:rsidRPr="003F3B94">
        <w:rPr>
          <w:rFonts w:hint="cs"/>
          <w:sz w:val="28"/>
          <w:rtl/>
          <w:lang w:bidi="ar-SY"/>
        </w:rPr>
        <w:t>هكذا لعبوا بسائر الفرائض والقوانين وا</w:t>
      </w:r>
      <w:r w:rsidR="008A2A49" w:rsidRPr="003F3B94">
        <w:rPr>
          <w:rFonts w:hint="cs"/>
          <w:sz w:val="28"/>
          <w:rtl/>
          <w:lang w:bidi="ar-SY"/>
        </w:rPr>
        <w:t>لأ</w:t>
      </w:r>
      <w:r w:rsidRPr="003F3B94">
        <w:rPr>
          <w:rFonts w:hint="cs"/>
          <w:sz w:val="28"/>
          <w:rtl/>
          <w:lang w:bidi="ar-SY"/>
        </w:rPr>
        <w:t>حكام ا</w:t>
      </w:r>
      <w:r w:rsidR="008A2A49" w:rsidRPr="003F3B94">
        <w:rPr>
          <w:rFonts w:hint="cs"/>
          <w:sz w:val="28"/>
          <w:rtl/>
          <w:lang w:bidi="ar-SY"/>
        </w:rPr>
        <w:t>لإ</w:t>
      </w:r>
      <w:r w:rsidRPr="003F3B94">
        <w:rPr>
          <w:rFonts w:hint="cs"/>
          <w:sz w:val="28"/>
          <w:rtl/>
          <w:lang w:bidi="ar-SY"/>
        </w:rPr>
        <w:t>س</w:t>
      </w:r>
      <w:r w:rsidR="008A2A49" w:rsidRPr="003F3B94">
        <w:rPr>
          <w:rFonts w:hint="cs"/>
          <w:sz w:val="28"/>
          <w:rtl/>
          <w:lang w:bidi="ar-SY"/>
        </w:rPr>
        <w:t>لا</w:t>
      </w:r>
      <w:r w:rsidRPr="003F3B94">
        <w:rPr>
          <w:rFonts w:hint="cs"/>
          <w:sz w:val="28"/>
          <w:rtl/>
          <w:lang w:bidi="ar-SY"/>
        </w:rPr>
        <w:t xml:space="preserve">مية حتى </w:t>
      </w:r>
      <w:r w:rsidR="00F92592" w:rsidRPr="003F3B94">
        <w:rPr>
          <w:rFonts w:hint="cs"/>
          <w:sz w:val="28"/>
          <w:rtl/>
          <w:lang w:bidi="ar-SY"/>
        </w:rPr>
        <w:t>خرجت</w:t>
      </w:r>
      <w:r w:rsidR="007F2364" w:rsidRPr="003F3B94">
        <w:rPr>
          <w:rFonts w:hint="cs"/>
          <w:sz w:val="28"/>
          <w:rtl/>
          <w:lang w:bidi="ar-SY"/>
        </w:rPr>
        <w:t xml:space="preserve"> جميع أحكام </w:t>
      </w:r>
      <w:r w:rsidR="002A1B23" w:rsidRPr="003F3B94">
        <w:rPr>
          <w:rFonts w:hint="cs"/>
          <w:sz w:val="28"/>
          <w:rtl/>
          <w:lang w:bidi="ar-SY"/>
        </w:rPr>
        <w:t>ا</w:t>
      </w:r>
      <w:r w:rsidR="008A2A49" w:rsidRPr="003F3B94">
        <w:rPr>
          <w:rFonts w:hint="cs"/>
          <w:sz w:val="28"/>
          <w:rtl/>
          <w:lang w:bidi="ar-SY"/>
        </w:rPr>
        <w:t>لإ</w:t>
      </w:r>
      <w:r w:rsidR="002A1B23" w:rsidRPr="003F3B94">
        <w:rPr>
          <w:rFonts w:hint="cs"/>
          <w:sz w:val="28"/>
          <w:rtl/>
          <w:lang w:bidi="ar-SY"/>
        </w:rPr>
        <w:t>س</w:t>
      </w:r>
      <w:r w:rsidR="008A2A49" w:rsidRPr="003F3B94">
        <w:rPr>
          <w:rFonts w:hint="cs"/>
          <w:sz w:val="28"/>
          <w:rtl/>
          <w:lang w:bidi="ar-SY"/>
        </w:rPr>
        <w:t>لا</w:t>
      </w:r>
      <w:r w:rsidR="002A1B23" w:rsidRPr="003F3B94">
        <w:rPr>
          <w:rFonts w:hint="cs"/>
          <w:sz w:val="28"/>
          <w:rtl/>
          <w:lang w:bidi="ar-SY"/>
        </w:rPr>
        <w:t xml:space="preserve">م </w:t>
      </w:r>
      <w:r w:rsidR="00F92592" w:rsidRPr="003F3B94">
        <w:rPr>
          <w:rFonts w:hint="cs"/>
          <w:sz w:val="28"/>
          <w:rtl/>
          <w:lang w:bidi="ar-SY"/>
        </w:rPr>
        <w:t xml:space="preserve">المحيية للمجتمعات والكفيلة بتأمين سعادتها من </w:t>
      </w:r>
      <w:r w:rsidR="008F0AB4" w:rsidRPr="003F3B94">
        <w:rPr>
          <w:rFonts w:hint="cs"/>
          <w:sz w:val="28"/>
          <w:rtl/>
          <w:lang w:bidi="ar-SY"/>
        </w:rPr>
        <w:t>دائرة العمل وأصبحت نسياً منسياً</w:t>
      </w:r>
      <w:r w:rsidR="00217AB4" w:rsidRPr="003F3B94">
        <w:rPr>
          <w:rFonts w:hint="cs"/>
          <w:sz w:val="28"/>
          <w:rtl/>
          <w:lang w:bidi="ar-SY"/>
        </w:rPr>
        <w:t>،</w:t>
      </w:r>
      <w:r w:rsidR="00F92592" w:rsidRPr="003F3B94">
        <w:rPr>
          <w:rFonts w:hint="cs"/>
          <w:sz w:val="28"/>
          <w:rtl/>
          <w:lang w:bidi="ar-SY"/>
        </w:rPr>
        <w:t xml:space="preserve"> إلى الحد الذي وصل ا</w:t>
      </w:r>
      <w:r w:rsidR="008A2A49" w:rsidRPr="003F3B94">
        <w:rPr>
          <w:rFonts w:hint="cs"/>
          <w:sz w:val="28"/>
          <w:rtl/>
          <w:lang w:bidi="ar-SY"/>
        </w:rPr>
        <w:t>لأ</w:t>
      </w:r>
      <w:r w:rsidR="00F92592" w:rsidRPr="003F3B94">
        <w:rPr>
          <w:rFonts w:hint="cs"/>
          <w:sz w:val="28"/>
          <w:rtl/>
          <w:lang w:bidi="ar-SY"/>
        </w:rPr>
        <w:t xml:space="preserve">مر </w:t>
      </w:r>
      <w:r w:rsidR="002E4893" w:rsidRPr="003F3B94">
        <w:rPr>
          <w:rFonts w:hint="cs"/>
          <w:sz w:val="28"/>
          <w:rtl/>
          <w:lang w:bidi="ar-SY"/>
        </w:rPr>
        <w:t xml:space="preserve">فيه </w:t>
      </w:r>
      <w:r w:rsidR="00F92592" w:rsidRPr="003F3B94">
        <w:rPr>
          <w:rFonts w:hint="cs"/>
          <w:sz w:val="28"/>
          <w:rtl/>
          <w:lang w:bidi="ar-SY"/>
        </w:rPr>
        <w:t>إلى أننا إذا أردنا اليوم أن نطبق تلك ا</w:t>
      </w:r>
      <w:r w:rsidR="008A2A49" w:rsidRPr="003F3B94">
        <w:rPr>
          <w:rFonts w:hint="cs"/>
          <w:sz w:val="28"/>
          <w:rtl/>
          <w:lang w:bidi="ar-SY"/>
        </w:rPr>
        <w:t>لأ</w:t>
      </w:r>
      <w:r w:rsidR="00F92592" w:rsidRPr="003F3B94">
        <w:rPr>
          <w:rFonts w:hint="cs"/>
          <w:sz w:val="28"/>
          <w:rtl/>
          <w:lang w:bidi="ar-SY"/>
        </w:rPr>
        <w:t xml:space="preserve">حكام </w:t>
      </w:r>
      <w:r w:rsidR="00D13412" w:rsidRPr="003F3B94">
        <w:rPr>
          <w:rFonts w:hint="cs"/>
          <w:sz w:val="28"/>
          <w:rtl/>
          <w:lang w:bidi="ar-SY"/>
        </w:rPr>
        <w:t>بل حتى إذا تكلمنا بشأنها ح</w:t>
      </w:r>
      <w:r w:rsidR="008F0AB4" w:rsidRPr="003F3B94">
        <w:rPr>
          <w:rFonts w:hint="cs"/>
          <w:sz w:val="28"/>
          <w:rtl/>
          <w:lang w:bidi="ar-SY"/>
        </w:rPr>
        <w:t>َ</w:t>
      </w:r>
      <w:r w:rsidR="00D13412" w:rsidRPr="003F3B94">
        <w:rPr>
          <w:rFonts w:hint="cs"/>
          <w:sz w:val="28"/>
          <w:rtl/>
          <w:lang w:bidi="ar-SY"/>
        </w:rPr>
        <w:t>ك</w:t>
      </w:r>
      <w:r w:rsidR="008F0AB4" w:rsidRPr="003F3B94">
        <w:rPr>
          <w:rFonts w:hint="cs"/>
          <w:sz w:val="28"/>
          <w:rtl/>
          <w:lang w:bidi="ar-SY"/>
        </w:rPr>
        <w:t>َ</w:t>
      </w:r>
      <w:r w:rsidR="00D13412" w:rsidRPr="003F3B94">
        <w:rPr>
          <w:rFonts w:hint="cs"/>
          <w:sz w:val="28"/>
          <w:rtl/>
          <w:lang w:bidi="ar-SY"/>
        </w:rPr>
        <w:t>م</w:t>
      </w:r>
      <w:r w:rsidR="008F0AB4" w:rsidRPr="003F3B94">
        <w:rPr>
          <w:rFonts w:hint="cs"/>
          <w:sz w:val="28"/>
          <w:rtl/>
          <w:lang w:bidi="ar-SY"/>
        </w:rPr>
        <w:t>َ</w:t>
      </w:r>
      <w:r w:rsidR="00D13412" w:rsidRPr="003F3B94">
        <w:rPr>
          <w:rFonts w:hint="cs"/>
          <w:sz w:val="28"/>
          <w:rtl/>
          <w:lang w:bidi="ar-SY"/>
        </w:rPr>
        <w:t xml:space="preserve"> علينا الم</w:t>
      </w:r>
      <w:r w:rsidR="008F0AB4" w:rsidRPr="003F3B94">
        <w:rPr>
          <w:rFonts w:hint="cs"/>
          <w:sz w:val="28"/>
          <w:rtl/>
          <w:lang w:bidi="ar-SY"/>
        </w:rPr>
        <w:t>ُ</w:t>
      </w:r>
      <w:r w:rsidR="00D13412" w:rsidRPr="003F3B94">
        <w:rPr>
          <w:rFonts w:hint="cs"/>
          <w:sz w:val="28"/>
          <w:rtl/>
          <w:lang w:bidi="ar-SY"/>
        </w:rPr>
        <w:t>ت</w:t>
      </w:r>
      <w:r w:rsidR="008F0AB4" w:rsidRPr="003F3B94">
        <w:rPr>
          <w:rFonts w:hint="cs"/>
          <w:sz w:val="28"/>
          <w:rtl/>
          <w:lang w:bidi="ar-SY"/>
        </w:rPr>
        <w:t>َ</w:t>
      </w:r>
      <w:r w:rsidR="00D13412" w:rsidRPr="003F3B94">
        <w:rPr>
          <w:rFonts w:hint="cs"/>
          <w:sz w:val="28"/>
          <w:rtl/>
          <w:lang w:bidi="ar-SY"/>
        </w:rPr>
        <w:t>س</w:t>
      </w:r>
      <w:r w:rsidR="008F0AB4" w:rsidRPr="003F3B94">
        <w:rPr>
          <w:rFonts w:hint="cs"/>
          <w:sz w:val="28"/>
          <w:rtl/>
          <w:lang w:bidi="ar-SY"/>
        </w:rPr>
        <w:t>َ</w:t>
      </w:r>
      <w:r w:rsidR="00D13412" w:rsidRPr="003F3B94">
        <w:rPr>
          <w:rFonts w:hint="cs"/>
          <w:sz w:val="28"/>
          <w:rtl/>
          <w:lang w:bidi="ar-SY"/>
        </w:rPr>
        <w:t>م</w:t>
      </w:r>
      <w:r w:rsidR="008F0AB4" w:rsidRPr="003F3B94">
        <w:rPr>
          <w:rFonts w:hint="cs"/>
          <w:sz w:val="28"/>
          <w:rtl/>
          <w:lang w:bidi="ar-SY"/>
        </w:rPr>
        <w:t>ُّ</w:t>
      </w:r>
      <w:r w:rsidR="00D13412" w:rsidRPr="003F3B94">
        <w:rPr>
          <w:rFonts w:hint="cs"/>
          <w:sz w:val="28"/>
          <w:rtl/>
          <w:lang w:bidi="ar-SY"/>
        </w:rPr>
        <w:t xml:space="preserve">ون </w:t>
      </w:r>
      <w:r w:rsidR="00605785" w:rsidRPr="003F3B94">
        <w:rPr>
          <w:rFonts w:hint="cs"/>
          <w:sz w:val="28"/>
          <w:rtl/>
          <w:lang w:bidi="ar-SY"/>
        </w:rPr>
        <w:t>بالمسلمين المنتسبون إلى ا</w:t>
      </w:r>
      <w:r w:rsidR="008A2A49" w:rsidRPr="003F3B94">
        <w:rPr>
          <w:rFonts w:hint="cs"/>
          <w:sz w:val="28"/>
          <w:rtl/>
          <w:lang w:bidi="ar-SY"/>
        </w:rPr>
        <w:t>لإ</w:t>
      </w:r>
      <w:r w:rsidR="00605785" w:rsidRPr="003F3B94">
        <w:rPr>
          <w:rFonts w:hint="cs"/>
          <w:sz w:val="28"/>
          <w:rtl/>
          <w:lang w:bidi="ar-SY"/>
        </w:rPr>
        <w:t>س</w:t>
      </w:r>
      <w:r w:rsidR="008A2A49" w:rsidRPr="003F3B94">
        <w:rPr>
          <w:rFonts w:hint="cs"/>
          <w:sz w:val="28"/>
          <w:rtl/>
          <w:lang w:bidi="ar-SY"/>
        </w:rPr>
        <w:t>لا</w:t>
      </w:r>
      <w:r w:rsidR="00605785" w:rsidRPr="003F3B94">
        <w:rPr>
          <w:rFonts w:hint="cs"/>
          <w:sz w:val="28"/>
          <w:rtl/>
          <w:lang w:bidi="ar-SY"/>
        </w:rPr>
        <w:t>م بالزندقة وا</w:t>
      </w:r>
      <w:r w:rsidR="008A2A49" w:rsidRPr="003F3B94">
        <w:rPr>
          <w:rFonts w:hint="cs"/>
          <w:sz w:val="28"/>
          <w:rtl/>
          <w:lang w:bidi="ar-SY"/>
        </w:rPr>
        <w:t>لا</w:t>
      </w:r>
      <w:r w:rsidR="00605785" w:rsidRPr="003F3B94">
        <w:rPr>
          <w:rFonts w:hint="cs"/>
          <w:sz w:val="28"/>
          <w:rtl/>
          <w:lang w:bidi="ar-SY"/>
        </w:rPr>
        <w:t>بتداع في الدين</w:t>
      </w:r>
      <w:r w:rsidR="00217AB4" w:rsidRPr="003F3B94">
        <w:rPr>
          <w:rFonts w:hint="cs"/>
          <w:sz w:val="28"/>
          <w:rtl/>
          <w:lang w:bidi="ar-SY"/>
        </w:rPr>
        <w:t>!</w:t>
      </w:r>
      <w:r w:rsidR="00605785" w:rsidRPr="003F3B94">
        <w:rPr>
          <w:rFonts w:hint="cs"/>
          <w:sz w:val="28"/>
          <w:rtl/>
          <w:lang w:bidi="ar-SY"/>
        </w:rPr>
        <w:t xml:space="preserve"> </w:t>
      </w:r>
    </w:p>
    <w:p w:rsidR="001D7F30" w:rsidRPr="003F3B94" w:rsidRDefault="00832FB2" w:rsidP="003F3B94">
      <w:pPr>
        <w:pStyle w:val="a0"/>
        <w:rPr>
          <w:rFonts w:hint="cs"/>
          <w:rtl/>
          <w:lang w:bidi="ar-SY"/>
        </w:rPr>
      </w:pPr>
      <w:r w:rsidRPr="003F3B94">
        <w:rPr>
          <w:rFonts w:hint="cs"/>
          <w:sz w:val="28"/>
          <w:rtl/>
          <w:lang w:bidi="ar-SY"/>
        </w:rPr>
        <w:t>و</w:t>
      </w:r>
      <w:r w:rsidR="00D96B29" w:rsidRPr="003F3B94">
        <w:rPr>
          <w:rFonts w:hint="cs"/>
          <w:sz w:val="28"/>
          <w:rtl/>
          <w:lang w:bidi="ar-SY"/>
        </w:rPr>
        <w:t>ا</w:t>
      </w:r>
      <w:r w:rsidR="008A2A49" w:rsidRPr="003F3B94">
        <w:rPr>
          <w:rFonts w:hint="cs"/>
          <w:sz w:val="28"/>
          <w:rtl/>
          <w:lang w:bidi="ar-SY"/>
        </w:rPr>
        <w:t>لأ</w:t>
      </w:r>
      <w:r w:rsidR="00D96B29" w:rsidRPr="003F3B94">
        <w:rPr>
          <w:rFonts w:hint="cs"/>
          <w:sz w:val="28"/>
          <w:rtl/>
          <w:lang w:bidi="ar-SY"/>
        </w:rPr>
        <w:t xml:space="preserve">مر ذاته وقع </w:t>
      </w:r>
      <w:r w:rsidRPr="003F3B94">
        <w:rPr>
          <w:rFonts w:hint="cs"/>
          <w:sz w:val="28"/>
          <w:rtl/>
          <w:lang w:bidi="ar-SY"/>
        </w:rPr>
        <w:t>مث</w:t>
      </w:r>
      <w:r w:rsidR="008A2A49" w:rsidRPr="003F3B94">
        <w:rPr>
          <w:rFonts w:hint="cs"/>
          <w:sz w:val="28"/>
          <w:rtl/>
          <w:lang w:bidi="ar-SY"/>
        </w:rPr>
        <w:t>لا</w:t>
      </w:r>
      <w:r w:rsidR="002E4893" w:rsidRPr="003F3B94">
        <w:rPr>
          <w:rFonts w:hint="cs"/>
          <w:sz w:val="28"/>
          <w:rtl/>
          <w:lang w:bidi="ar-SY"/>
        </w:rPr>
        <w:t>ً</w:t>
      </w:r>
      <w:r w:rsidRPr="003F3B94">
        <w:rPr>
          <w:rFonts w:hint="cs"/>
          <w:sz w:val="28"/>
          <w:rtl/>
          <w:lang w:bidi="ar-SY"/>
        </w:rPr>
        <w:t xml:space="preserve"> </w:t>
      </w:r>
      <w:r w:rsidR="00D96B29" w:rsidRPr="003F3B94">
        <w:rPr>
          <w:rFonts w:hint="cs"/>
          <w:sz w:val="28"/>
          <w:rtl/>
          <w:lang w:bidi="ar-SY"/>
        </w:rPr>
        <w:t xml:space="preserve">على </w:t>
      </w:r>
      <w:r w:rsidR="008F0AB4" w:rsidRPr="003F3B94">
        <w:rPr>
          <w:rFonts w:hint="cs"/>
          <w:sz w:val="28"/>
          <w:rtl/>
          <w:lang w:bidi="ar-SY"/>
        </w:rPr>
        <w:t>«</w:t>
      </w:r>
      <w:r w:rsidRPr="003F3B94">
        <w:rPr>
          <w:rFonts w:hint="cs"/>
          <w:b/>
          <w:bCs/>
          <w:sz w:val="28"/>
          <w:rtl/>
          <w:lang w:bidi="ar-SY"/>
        </w:rPr>
        <w:t>ص</w:t>
      </w:r>
      <w:r w:rsidR="008A2A49" w:rsidRPr="003F3B94">
        <w:rPr>
          <w:rFonts w:hint="cs"/>
          <w:b/>
          <w:bCs/>
          <w:sz w:val="28"/>
          <w:rtl/>
          <w:lang w:bidi="ar-SY"/>
        </w:rPr>
        <w:t>لا</w:t>
      </w:r>
      <w:r w:rsidRPr="003F3B94">
        <w:rPr>
          <w:rFonts w:hint="cs"/>
          <w:b/>
          <w:bCs/>
          <w:sz w:val="28"/>
          <w:rtl/>
          <w:lang w:bidi="ar-SY"/>
        </w:rPr>
        <w:t>ة الجمعة</w:t>
      </w:r>
      <w:r w:rsidRPr="003F3B94">
        <w:rPr>
          <w:rFonts w:hint="cs"/>
          <w:sz w:val="28"/>
          <w:rtl/>
          <w:lang w:bidi="ar-SY"/>
        </w:rPr>
        <w:t xml:space="preserve"> </w:t>
      </w:r>
      <w:r w:rsidR="002F3548" w:rsidRPr="003F3B94">
        <w:rPr>
          <w:rFonts w:hint="cs"/>
          <w:sz w:val="28"/>
          <w:rtl/>
          <w:lang w:bidi="ar-SY"/>
        </w:rPr>
        <w:t>والجماعة</w:t>
      </w:r>
      <w:r w:rsidR="006A114F" w:rsidRPr="003F3B94">
        <w:rPr>
          <w:rFonts w:hint="cs"/>
          <w:sz w:val="28"/>
          <w:rtl/>
          <w:lang w:bidi="ar-SY"/>
        </w:rPr>
        <w:t>»</w:t>
      </w:r>
      <w:r w:rsidR="002F3548" w:rsidRPr="003F3B94">
        <w:rPr>
          <w:rFonts w:hint="cs"/>
          <w:sz w:val="28"/>
          <w:rtl/>
          <w:lang w:bidi="ar-SY"/>
        </w:rPr>
        <w:t xml:space="preserve"> </w:t>
      </w:r>
      <w:r w:rsidR="00D96B29" w:rsidRPr="003F3B94">
        <w:rPr>
          <w:rFonts w:hint="cs"/>
          <w:sz w:val="28"/>
          <w:rtl/>
          <w:lang w:bidi="ar-SY"/>
        </w:rPr>
        <w:t>حسبما أرادها صاحب الشريعة</w:t>
      </w:r>
      <w:r w:rsidR="00217AB4" w:rsidRPr="003F3B94">
        <w:rPr>
          <w:rFonts w:hint="cs"/>
          <w:sz w:val="28"/>
          <w:rtl/>
          <w:lang w:bidi="ar-SY"/>
        </w:rPr>
        <w:t>،</w:t>
      </w:r>
      <w:r w:rsidR="00D96B29" w:rsidRPr="003F3B94">
        <w:rPr>
          <w:rFonts w:hint="cs"/>
          <w:sz w:val="28"/>
          <w:rtl/>
          <w:lang w:bidi="ar-SY"/>
        </w:rPr>
        <w:t xml:space="preserve"> وعلى </w:t>
      </w:r>
      <w:r w:rsidR="008F0AB4" w:rsidRPr="003F3B94">
        <w:rPr>
          <w:rFonts w:hint="cs"/>
          <w:sz w:val="28"/>
          <w:rtl/>
          <w:lang w:bidi="ar-SY"/>
        </w:rPr>
        <w:t>«</w:t>
      </w:r>
      <w:r w:rsidR="00D96B29" w:rsidRPr="003F3B94">
        <w:rPr>
          <w:rFonts w:hint="cs"/>
          <w:b/>
          <w:bCs/>
          <w:sz w:val="28"/>
          <w:rtl/>
          <w:lang w:bidi="ar-SY"/>
        </w:rPr>
        <w:t>الحج</w:t>
      </w:r>
      <w:r w:rsidR="008F0AB4" w:rsidRPr="003F3B94">
        <w:rPr>
          <w:rFonts w:hint="cs"/>
          <w:sz w:val="28"/>
          <w:rtl/>
          <w:lang w:bidi="ar-SY"/>
        </w:rPr>
        <w:t>»</w:t>
      </w:r>
      <w:r w:rsidR="00D96B29" w:rsidRPr="003F3B94">
        <w:rPr>
          <w:rFonts w:hint="cs"/>
          <w:sz w:val="28"/>
          <w:rtl/>
          <w:lang w:bidi="ar-SY"/>
        </w:rPr>
        <w:t xml:space="preserve"> واجتماع عموم أغنياء المسلمين </w:t>
      </w:r>
      <w:r w:rsidR="00C140CF" w:rsidRPr="003F3B94">
        <w:rPr>
          <w:rFonts w:hint="cs"/>
          <w:sz w:val="28"/>
          <w:rtl/>
          <w:lang w:bidi="ar-SY"/>
        </w:rPr>
        <w:t>ولو مرةً في العمر لتحقيق ذلك المؤتمر ا</w:t>
      </w:r>
      <w:r w:rsidR="008A2A49" w:rsidRPr="003F3B94">
        <w:rPr>
          <w:rFonts w:hint="cs"/>
          <w:sz w:val="28"/>
          <w:rtl/>
          <w:lang w:bidi="ar-SY"/>
        </w:rPr>
        <w:t>لإ</w:t>
      </w:r>
      <w:r w:rsidR="00C140CF" w:rsidRPr="003F3B94">
        <w:rPr>
          <w:rFonts w:hint="cs"/>
          <w:sz w:val="28"/>
          <w:rtl/>
          <w:lang w:bidi="ar-SY"/>
        </w:rPr>
        <w:t>س</w:t>
      </w:r>
      <w:r w:rsidR="008A2A49" w:rsidRPr="003F3B94">
        <w:rPr>
          <w:rFonts w:hint="cs"/>
          <w:sz w:val="28"/>
          <w:rtl/>
          <w:lang w:bidi="ar-SY"/>
        </w:rPr>
        <w:t>لا</w:t>
      </w:r>
      <w:r w:rsidR="00C140CF" w:rsidRPr="003F3B94">
        <w:rPr>
          <w:rFonts w:hint="cs"/>
          <w:sz w:val="28"/>
          <w:rtl/>
          <w:lang w:bidi="ar-SY"/>
        </w:rPr>
        <w:t>مي</w:t>
      </w:r>
      <w:r w:rsidR="00217AB4" w:rsidRPr="003F3B94">
        <w:rPr>
          <w:rFonts w:hint="cs"/>
          <w:sz w:val="28"/>
          <w:rtl/>
          <w:lang w:bidi="ar-SY"/>
        </w:rPr>
        <w:t>،</w:t>
      </w:r>
      <w:r w:rsidR="00C140CF" w:rsidRPr="003F3B94">
        <w:rPr>
          <w:rFonts w:hint="cs"/>
          <w:sz w:val="28"/>
          <w:rtl/>
          <w:lang w:bidi="ar-SY"/>
        </w:rPr>
        <w:t xml:space="preserve"> وعلى </w:t>
      </w:r>
      <w:r w:rsidR="008F0AB4" w:rsidRPr="003F3B94">
        <w:rPr>
          <w:rFonts w:hint="cs"/>
          <w:sz w:val="28"/>
          <w:rtl/>
          <w:lang w:bidi="ar-SY"/>
        </w:rPr>
        <w:t>«</w:t>
      </w:r>
      <w:r w:rsidR="00C140CF" w:rsidRPr="003F3B94">
        <w:rPr>
          <w:rFonts w:hint="cs"/>
          <w:b/>
          <w:bCs/>
          <w:sz w:val="28"/>
          <w:rtl/>
          <w:lang w:bidi="ar-SY"/>
        </w:rPr>
        <w:t>الجهاد</w:t>
      </w:r>
      <w:r w:rsidR="008F0AB4" w:rsidRPr="003F3B94">
        <w:rPr>
          <w:rFonts w:hint="cs"/>
          <w:sz w:val="28"/>
          <w:rtl/>
          <w:lang w:bidi="ar-SY"/>
        </w:rPr>
        <w:t>»</w:t>
      </w:r>
      <w:r w:rsidR="00C140CF" w:rsidRPr="003F3B94">
        <w:rPr>
          <w:rFonts w:hint="cs"/>
          <w:sz w:val="28"/>
          <w:rtl/>
          <w:lang w:bidi="ar-SY"/>
        </w:rPr>
        <w:t xml:space="preserve"> وإعداد مقدم</w:t>
      </w:r>
      <w:r w:rsidR="008F0AB4" w:rsidRPr="003F3B94">
        <w:rPr>
          <w:rFonts w:hint="cs"/>
          <w:sz w:val="28"/>
          <w:rtl/>
          <w:lang w:bidi="ar-SY"/>
        </w:rPr>
        <w:t>ا</w:t>
      </w:r>
      <w:r w:rsidR="00C140CF" w:rsidRPr="003F3B94">
        <w:rPr>
          <w:rFonts w:hint="cs"/>
          <w:sz w:val="28"/>
          <w:rtl/>
          <w:lang w:bidi="ar-SY"/>
        </w:rPr>
        <w:t>ته من أسلحةٍ وآ</w:t>
      </w:r>
      <w:r w:rsidR="008A2A49" w:rsidRPr="003F3B94">
        <w:rPr>
          <w:rFonts w:hint="cs"/>
          <w:sz w:val="28"/>
          <w:rtl/>
          <w:lang w:bidi="ar-SY"/>
        </w:rPr>
        <w:t>لا</w:t>
      </w:r>
      <w:r w:rsidR="00C140CF" w:rsidRPr="003F3B94">
        <w:rPr>
          <w:rFonts w:hint="cs"/>
          <w:sz w:val="28"/>
          <w:rtl/>
          <w:lang w:bidi="ar-SY"/>
        </w:rPr>
        <w:t>ت عصرية وسائر ا</w:t>
      </w:r>
      <w:r w:rsidR="008A2A49" w:rsidRPr="003F3B94">
        <w:rPr>
          <w:rFonts w:hint="cs"/>
          <w:sz w:val="28"/>
          <w:rtl/>
          <w:lang w:bidi="ar-SY"/>
        </w:rPr>
        <w:t>لأ</w:t>
      </w:r>
      <w:r w:rsidR="00C140CF" w:rsidRPr="003F3B94">
        <w:rPr>
          <w:rFonts w:hint="cs"/>
          <w:sz w:val="28"/>
          <w:rtl/>
          <w:lang w:bidi="ar-SY"/>
        </w:rPr>
        <w:t xml:space="preserve">مور وإعداد القوى النظامية </w:t>
      </w:r>
      <w:r w:rsidR="000175A0" w:rsidRPr="003F3B94">
        <w:rPr>
          <w:rFonts w:hint="cs"/>
          <w:sz w:val="28"/>
          <w:rtl/>
          <w:lang w:bidi="ar-SY"/>
        </w:rPr>
        <w:t>وتعليم ا</w:t>
      </w:r>
      <w:r w:rsidR="008A2A49" w:rsidRPr="003F3B94">
        <w:rPr>
          <w:rFonts w:hint="cs"/>
          <w:sz w:val="28"/>
          <w:rtl/>
          <w:lang w:bidi="ar-SY"/>
        </w:rPr>
        <w:t>لأ</w:t>
      </w:r>
      <w:r w:rsidR="000175A0" w:rsidRPr="003F3B94">
        <w:rPr>
          <w:rFonts w:hint="cs"/>
          <w:sz w:val="28"/>
          <w:rtl/>
          <w:lang w:bidi="ar-SY"/>
        </w:rPr>
        <w:t>تباع وا</w:t>
      </w:r>
      <w:r w:rsidR="008A2A49" w:rsidRPr="003F3B94">
        <w:rPr>
          <w:rFonts w:hint="cs"/>
          <w:sz w:val="28"/>
          <w:rtl/>
          <w:lang w:bidi="ar-SY"/>
        </w:rPr>
        <w:t>لأ</w:t>
      </w:r>
      <w:r w:rsidR="000175A0" w:rsidRPr="003F3B94">
        <w:rPr>
          <w:rFonts w:hint="cs"/>
          <w:sz w:val="28"/>
          <w:rtl/>
          <w:lang w:bidi="ar-SY"/>
        </w:rPr>
        <w:t>طفال والنساء فنون الدفاع وحفظ ب</w:t>
      </w:r>
      <w:r w:rsidR="008A2A49" w:rsidRPr="003F3B94">
        <w:rPr>
          <w:rFonts w:hint="cs"/>
          <w:sz w:val="28"/>
          <w:rtl/>
          <w:lang w:bidi="ar-SY"/>
        </w:rPr>
        <w:t>لا</w:t>
      </w:r>
      <w:r w:rsidR="000175A0" w:rsidRPr="003F3B94">
        <w:rPr>
          <w:rFonts w:hint="cs"/>
          <w:sz w:val="28"/>
          <w:rtl/>
          <w:lang w:bidi="ar-SY"/>
        </w:rPr>
        <w:t>د ا</w:t>
      </w:r>
      <w:r w:rsidR="008A2A49" w:rsidRPr="003F3B94">
        <w:rPr>
          <w:rFonts w:hint="cs"/>
          <w:sz w:val="28"/>
          <w:rtl/>
          <w:lang w:bidi="ar-SY"/>
        </w:rPr>
        <w:t>لإ</w:t>
      </w:r>
      <w:r w:rsidR="000175A0" w:rsidRPr="003F3B94">
        <w:rPr>
          <w:rFonts w:hint="cs"/>
          <w:sz w:val="28"/>
          <w:rtl/>
          <w:lang w:bidi="ar-SY"/>
        </w:rPr>
        <w:t>س</w:t>
      </w:r>
      <w:r w:rsidR="008A2A49" w:rsidRPr="003F3B94">
        <w:rPr>
          <w:rFonts w:hint="cs"/>
          <w:sz w:val="28"/>
          <w:rtl/>
          <w:lang w:bidi="ar-SY"/>
        </w:rPr>
        <w:t>لا</w:t>
      </w:r>
      <w:r w:rsidR="000175A0" w:rsidRPr="003F3B94">
        <w:rPr>
          <w:rFonts w:hint="cs"/>
          <w:sz w:val="28"/>
          <w:rtl/>
          <w:lang w:bidi="ar-SY"/>
        </w:rPr>
        <w:t xml:space="preserve">م </w:t>
      </w:r>
      <w:r w:rsidR="005100B6" w:rsidRPr="003F3B94">
        <w:rPr>
          <w:rFonts w:hint="cs"/>
          <w:sz w:val="28"/>
          <w:rtl/>
          <w:lang w:bidi="ar-SY"/>
        </w:rPr>
        <w:t>ونصرة ا</w:t>
      </w:r>
      <w:r w:rsidR="008A2A49" w:rsidRPr="003F3B94">
        <w:rPr>
          <w:rFonts w:hint="cs"/>
          <w:sz w:val="28"/>
          <w:rtl/>
          <w:lang w:bidi="ar-SY"/>
        </w:rPr>
        <w:t>لأ</w:t>
      </w:r>
      <w:r w:rsidR="005100B6" w:rsidRPr="003F3B94">
        <w:rPr>
          <w:rFonts w:hint="cs"/>
          <w:sz w:val="28"/>
          <w:rtl/>
          <w:lang w:bidi="ar-SY"/>
        </w:rPr>
        <w:t xml:space="preserve">خوة في الدين </w:t>
      </w:r>
      <w:r w:rsidR="00792928" w:rsidRPr="003F3B94">
        <w:rPr>
          <w:rFonts w:hint="cs"/>
          <w:sz w:val="28"/>
          <w:rtl/>
          <w:lang w:bidi="ar-SY"/>
        </w:rPr>
        <w:t xml:space="preserve">والقيام </w:t>
      </w:r>
      <w:r w:rsidR="002E4893" w:rsidRPr="003F3B94">
        <w:rPr>
          <w:rFonts w:hint="cs"/>
          <w:sz w:val="28"/>
          <w:rtl/>
          <w:lang w:bidi="ar-SY"/>
        </w:rPr>
        <w:t xml:space="preserve">بالفريضة الهامة </w:t>
      </w:r>
      <w:r w:rsidR="002E4893" w:rsidRPr="003F3B94">
        <w:rPr>
          <w:rFonts w:hint="eastAsia"/>
          <w:sz w:val="28"/>
          <w:rtl/>
          <w:lang w:bidi="ar-SY"/>
        </w:rPr>
        <w:t>«</w:t>
      </w:r>
      <w:r w:rsidR="002E4893" w:rsidRPr="003F3B94">
        <w:rPr>
          <w:rFonts w:hint="cs"/>
          <w:b/>
          <w:bCs/>
          <w:sz w:val="28"/>
          <w:rtl/>
          <w:lang w:bidi="ar-SY"/>
        </w:rPr>
        <w:t>ا</w:t>
      </w:r>
      <w:r w:rsidR="008A2A49" w:rsidRPr="003F3B94">
        <w:rPr>
          <w:rFonts w:hint="cs"/>
          <w:b/>
          <w:bCs/>
          <w:sz w:val="28"/>
          <w:rtl/>
          <w:lang w:bidi="ar-SY"/>
        </w:rPr>
        <w:t>لأ</w:t>
      </w:r>
      <w:r w:rsidR="00792928" w:rsidRPr="003F3B94">
        <w:rPr>
          <w:rFonts w:hint="cs"/>
          <w:b/>
          <w:bCs/>
          <w:sz w:val="28"/>
          <w:rtl/>
          <w:lang w:bidi="ar-SY"/>
        </w:rPr>
        <w:t>مر بالمعروف والنهي عن المنكر</w:t>
      </w:r>
      <w:r w:rsidR="002E4893" w:rsidRPr="003F3B94">
        <w:rPr>
          <w:rFonts w:hint="eastAsia"/>
          <w:sz w:val="28"/>
          <w:rtl/>
          <w:lang w:bidi="ar-SY"/>
        </w:rPr>
        <w:t>»</w:t>
      </w:r>
      <w:r w:rsidR="00792928" w:rsidRPr="003F3B94">
        <w:rPr>
          <w:rFonts w:hint="cs"/>
          <w:sz w:val="28"/>
          <w:rtl/>
          <w:lang w:bidi="ar-SY"/>
        </w:rPr>
        <w:t xml:space="preserve"> ومنع البدع وإحياء السنن المتروكة </w:t>
      </w:r>
      <w:r w:rsidR="00F4443F" w:rsidRPr="003F3B94">
        <w:rPr>
          <w:rFonts w:hint="cs"/>
          <w:sz w:val="28"/>
          <w:rtl/>
          <w:lang w:bidi="ar-SY"/>
        </w:rPr>
        <w:t>وتسليم ا</w:t>
      </w:r>
      <w:r w:rsidR="008A2A49" w:rsidRPr="003F3B94">
        <w:rPr>
          <w:rFonts w:hint="cs"/>
          <w:sz w:val="28"/>
          <w:rtl/>
          <w:lang w:bidi="ar-SY"/>
        </w:rPr>
        <w:t>لأ</w:t>
      </w:r>
      <w:r w:rsidR="00F4443F" w:rsidRPr="003F3B94">
        <w:rPr>
          <w:rFonts w:hint="cs"/>
          <w:sz w:val="28"/>
          <w:rtl/>
          <w:lang w:bidi="ar-SY"/>
        </w:rPr>
        <w:t xml:space="preserve">راضي المفتوحة عنوةً إلى </w:t>
      </w:r>
      <w:r w:rsidR="002B5DC8" w:rsidRPr="003F3B94">
        <w:rPr>
          <w:rFonts w:hint="cs"/>
          <w:sz w:val="28"/>
          <w:rtl/>
          <w:lang w:bidi="ar-SY"/>
        </w:rPr>
        <w:t xml:space="preserve">مال </w:t>
      </w:r>
      <w:r w:rsidR="006A114F" w:rsidRPr="003F3B94">
        <w:rPr>
          <w:rFonts w:hint="eastAsia"/>
          <w:sz w:val="28"/>
          <w:rtl/>
          <w:lang w:bidi="ar-SY"/>
        </w:rPr>
        <w:t>«</w:t>
      </w:r>
      <w:r w:rsidR="006A114F" w:rsidRPr="003F3B94">
        <w:rPr>
          <w:rFonts w:hint="cs"/>
          <w:sz w:val="28"/>
          <w:rtl/>
          <w:lang w:bidi="ar-SY"/>
        </w:rPr>
        <w:t>سندات التمليك</w:t>
      </w:r>
      <w:r w:rsidR="006A114F" w:rsidRPr="003F3B94">
        <w:rPr>
          <w:rFonts w:hint="eastAsia"/>
          <w:sz w:val="28"/>
          <w:rtl/>
          <w:lang w:bidi="ar-SY"/>
        </w:rPr>
        <w:t>»</w:t>
      </w:r>
      <w:r w:rsidR="002B5DC8" w:rsidRPr="003F3B94">
        <w:rPr>
          <w:rFonts w:hint="cs"/>
          <w:sz w:val="28"/>
          <w:rtl/>
          <w:lang w:bidi="ar-SY"/>
        </w:rPr>
        <w:t xml:space="preserve"> </w:t>
      </w:r>
      <w:r w:rsidR="001D7F30" w:rsidRPr="003F3B94">
        <w:rPr>
          <w:rFonts w:hint="cs"/>
          <w:sz w:val="28"/>
          <w:rtl/>
          <w:lang w:bidi="ar-SY"/>
        </w:rPr>
        <w:t>وأخذ الخراج وإعطاء ا</w:t>
      </w:r>
      <w:r w:rsidR="008A2A49" w:rsidRPr="003F3B94">
        <w:rPr>
          <w:rFonts w:hint="cs"/>
          <w:sz w:val="28"/>
          <w:rtl/>
          <w:lang w:bidi="ar-SY"/>
        </w:rPr>
        <w:t>لأ</w:t>
      </w:r>
      <w:r w:rsidR="001D7F30" w:rsidRPr="003F3B94">
        <w:rPr>
          <w:rFonts w:hint="cs"/>
          <w:sz w:val="28"/>
          <w:rtl/>
          <w:lang w:bidi="ar-SY"/>
        </w:rPr>
        <w:t>راضي لمن يمتلكون ا</w:t>
      </w:r>
      <w:r w:rsidR="008A2A49" w:rsidRPr="003F3B94">
        <w:rPr>
          <w:rFonts w:hint="cs"/>
          <w:sz w:val="28"/>
          <w:rtl/>
          <w:lang w:bidi="ar-SY"/>
        </w:rPr>
        <w:t>لأ</w:t>
      </w:r>
      <w:r w:rsidR="001D7F30" w:rsidRPr="003F3B94">
        <w:rPr>
          <w:rFonts w:hint="cs"/>
          <w:sz w:val="28"/>
          <w:rtl/>
          <w:lang w:bidi="ar-SY"/>
        </w:rPr>
        <w:t>هلية وا</w:t>
      </w:r>
      <w:r w:rsidR="008A2A49" w:rsidRPr="003F3B94">
        <w:rPr>
          <w:rFonts w:hint="cs"/>
          <w:sz w:val="28"/>
          <w:rtl/>
          <w:lang w:bidi="ar-SY"/>
        </w:rPr>
        <w:t>لا</w:t>
      </w:r>
      <w:r w:rsidR="001D7F30" w:rsidRPr="003F3B94">
        <w:rPr>
          <w:rFonts w:hint="cs"/>
          <w:sz w:val="28"/>
          <w:rtl/>
          <w:lang w:bidi="ar-SY"/>
        </w:rPr>
        <w:t xml:space="preserve">ستعداد لعمارتها واستثمارها وأخذ </w:t>
      </w:r>
      <w:r w:rsidR="006A114F" w:rsidRPr="003F3B94">
        <w:rPr>
          <w:rFonts w:hint="cs"/>
          <w:sz w:val="28"/>
          <w:rtl/>
          <w:lang w:bidi="ar-SY"/>
        </w:rPr>
        <w:t>ريعها</w:t>
      </w:r>
      <w:r w:rsidR="001D7F30" w:rsidRPr="003F3B94">
        <w:rPr>
          <w:rFonts w:hint="cs"/>
          <w:sz w:val="28"/>
          <w:rtl/>
          <w:lang w:bidi="ar-SY"/>
        </w:rPr>
        <w:t xml:space="preserve"> </w:t>
      </w:r>
      <w:r w:rsidR="006A114F" w:rsidRPr="003F3B94">
        <w:rPr>
          <w:rFonts w:hint="cs"/>
          <w:sz w:val="28"/>
          <w:rtl/>
          <w:lang w:bidi="ar-SY"/>
        </w:rPr>
        <w:t>لصالح</w:t>
      </w:r>
      <w:r w:rsidR="001D7F30" w:rsidRPr="003F3B94">
        <w:rPr>
          <w:rFonts w:hint="cs"/>
          <w:sz w:val="28"/>
          <w:rtl/>
          <w:lang w:bidi="ar-SY"/>
        </w:rPr>
        <w:t xml:space="preserve"> بيت مال المسلمين و</w:t>
      </w:r>
      <w:r w:rsidR="00217AB4" w:rsidRPr="003F3B94">
        <w:rPr>
          <w:rFonts w:hint="cs"/>
          <w:sz w:val="28"/>
          <w:rtl/>
          <w:lang w:bidi="ar-SY"/>
        </w:rPr>
        <w:t>...</w:t>
      </w:r>
      <w:r w:rsidR="001D7F30" w:rsidRPr="003F3B94">
        <w:rPr>
          <w:rFonts w:hint="cs"/>
          <w:sz w:val="28"/>
          <w:rtl/>
          <w:lang w:bidi="ar-SY"/>
        </w:rPr>
        <w:t xml:space="preserve"> و</w:t>
      </w:r>
      <w:r w:rsidR="00217AB4" w:rsidRPr="003F3B94">
        <w:rPr>
          <w:rFonts w:hint="cs"/>
          <w:sz w:val="28"/>
          <w:rtl/>
          <w:lang w:bidi="ar-SY"/>
        </w:rPr>
        <w:t>...</w:t>
      </w:r>
      <w:r w:rsidR="001D7F30" w:rsidRPr="003F3B94">
        <w:rPr>
          <w:rFonts w:hint="cs"/>
          <w:sz w:val="28"/>
          <w:rtl/>
          <w:lang w:bidi="ar-SY"/>
        </w:rPr>
        <w:t xml:space="preserve"> و</w:t>
      </w:r>
      <w:r w:rsidR="00217AB4" w:rsidRPr="003F3B94">
        <w:rPr>
          <w:rFonts w:hint="cs"/>
          <w:sz w:val="28"/>
          <w:rtl/>
          <w:lang w:bidi="ar-SY"/>
        </w:rPr>
        <w:t>...</w:t>
      </w:r>
      <w:r w:rsidR="001D7F30" w:rsidRPr="003F3B94">
        <w:rPr>
          <w:rFonts w:hint="cs"/>
          <w:sz w:val="28"/>
          <w:rtl/>
          <w:lang w:bidi="ar-SY"/>
        </w:rPr>
        <w:t xml:space="preserve"> </w:t>
      </w:r>
    </w:p>
    <w:p w:rsidR="001D7F30" w:rsidRPr="003F3B94" w:rsidRDefault="001D7F30" w:rsidP="003F3B94">
      <w:pPr>
        <w:pStyle w:val="a0"/>
        <w:rPr>
          <w:rFonts w:hint="cs"/>
          <w:rtl/>
          <w:lang w:bidi="ar-SY"/>
        </w:rPr>
      </w:pPr>
      <w:r w:rsidRPr="003F3B94">
        <w:rPr>
          <w:rFonts w:hint="cs"/>
          <w:sz w:val="28"/>
          <w:rtl/>
          <w:lang w:bidi="ar-SY"/>
        </w:rPr>
        <w:t>وا</w:t>
      </w:r>
      <w:r w:rsidR="008A2A49" w:rsidRPr="003F3B94">
        <w:rPr>
          <w:rFonts w:hint="cs"/>
          <w:sz w:val="28"/>
          <w:rtl/>
          <w:lang w:bidi="ar-SY"/>
        </w:rPr>
        <w:t>لأ</w:t>
      </w:r>
      <w:r w:rsidRPr="003F3B94">
        <w:rPr>
          <w:rFonts w:hint="cs"/>
          <w:sz w:val="28"/>
          <w:rtl/>
          <w:lang w:bidi="ar-SY"/>
        </w:rPr>
        <w:t>هم وا</w:t>
      </w:r>
      <w:r w:rsidR="008A2A49" w:rsidRPr="003F3B94">
        <w:rPr>
          <w:rFonts w:hint="cs"/>
          <w:sz w:val="28"/>
          <w:rtl/>
          <w:lang w:bidi="ar-SY"/>
        </w:rPr>
        <w:t>لأ</w:t>
      </w:r>
      <w:r w:rsidRPr="003F3B94">
        <w:rPr>
          <w:rFonts w:hint="cs"/>
          <w:sz w:val="28"/>
          <w:rtl/>
          <w:lang w:bidi="ar-SY"/>
        </w:rPr>
        <w:t xml:space="preserve">عظم من كل ذلك هو أمر </w:t>
      </w:r>
      <w:r w:rsidR="008F0AB4" w:rsidRPr="003F3B94">
        <w:rPr>
          <w:rFonts w:hint="cs"/>
          <w:sz w:val="28"/>
          <w:rtl/>
          <w:lang w:bidi="ar-SY"/>
        </w:rPr>
        <w:t>«</w:t>
      </w:r>
      <w:r w:rsidRPr="003F3B94">
        <w:rPr>
          <w:rFonts w:hint="cs"/>
          <w:b/>
          <w:bCs/>
          <w:sz w:val="28"/>
          <w:rtl/>
          <w:lang w:bidi="ar-SY"/>
        </w:rPr>
        <w:t>الحكومة ا</w:t>
      </w:r>
      <w:r w:rsidR="008A2A49" w:rsidRPr="003F3B94">
        <w:rPr>
          <w:rFonts w:hint="cs"/>
          <w:b/>
          <w:bCs/>
          <w:sz w:val="28"/>
          <w:rtl/>
          <w:lang w:bidi="ar-SY"/>
        </w:rPr>
        <w:t>لإ</w:t>
      </w:r>
      <w:r w:rsidRPr="003F3B94">
        <w:rPr>
          <w:rFonts w:hint="cs"/>
          <w:b/>
          <w:bCs/>
          <w:sz w:val="28"/>
          <w:rtl/>
          <w:lang w:bidi="ar-SY"/>
        </w:rPr>
        <w:t>س</w:t>
      </w:r>
      <w:r w:rsidR="008A2A49" w:rsidRPr="003F3B94">
        <w:rPr>
          <w:rFonts w:hint="cs"/>
          <w:b/>
          <w:bCs/>
          <w:sz w:val="28"/>
          <w:rtl/>
          <w:lang w:bidi="ar-SY"/>
        </w:rPr>
        <w:t>لا</w:t>
      </w:r>
      <w:r w:rsidRPr="003F3B94">
        <w:rPr>
          <w:rFonts w:hint="cs"/>
          <w:b/>
          <w:bCs/>
          <w:sz w:val="28"/>
          <w:rtl/>
          <w:lang w:bidi="ar-SY"/>
        </w:rPr>
        <w:t>مية</w:t>
      </w:r>
      <w:r w:rsidR="008F0AB4" w:rsidRPr="003F3B94">
        <w:rPr>
          <w:rFonts w:hint="cs"/>
          <w:sz w:val="28"/>
          <w:rtl/>
          <w:lang w:bidi="ar-SY"/>
        </w:rPr>
        <w:t>»</w:t>
      </w:r>
      <w:r w:rsidRPr="003F3B94">
        <w:rPr>
          <w:rFonts w:hint="cs"/>
          <w:sz w:val="28"/>
          <w:rtl/>
          <w:lang w:bidi="ar-SY"/>
        </w:rPr>
        <w:t xml:space="preserve"> وانتخاب وتعيين القائد السياسي ل</w:t>
      </w:r>
      <w:r w:rsidR="008A2A49" w:rsidRPr="003F3B94">
        <w:rPr>
          <w:rFonts w:hint="cs"/>
          <w:sz w:val="28"/>
          <w:rtl/>
          <w:lang w:bidi="ar-SY"/>
        </w:rPr>
        <w:t>لإ</w:t>
      </w:r>
      <w:r w:rsidRPr="003F3B94">
        <w:rPr>
          <w:rFonts w:hint="cs"/>
          <w:sz w:val="28"/>
          <w:rtl/>
          <w:lang w:bidi="ar-SY"/>
        </w:rPr>
        <w:t>س</w:t>
      </w:r>
      <w:r w:rsidR="008A2A49" w:rsidRPr="003F3B94">
        <w:rPr>
          <w:rFonts w:hint="cs"/>
          <w:sz w:val="28"/>
          <w:rtl/>
          <w:lang w:bidi="ar-SY"/>
        </w:rPr>
        <w:t>لا</w:t>
      </w:r>
      <w:r w:rsidRPr="003F3B94">
        <w:rPr>
          <w:rFonts w:hint="cs"/>
          <w:sz w:val="28"/>
          <w:rtl/>
          <w:lang w:bidi="ar-SY"/>
        </w:rPr>
        <w:t>م الذي يُسم</w:t>
      </w:r>
      <w:r w:rsidR="008F0AB4" w:rsidRPr="003F3B94">
        <w:rPr>
          <w:rFonts w:hint="cs"/>
          <w:sz w:val="28"/>
          <w:rtl/>
          <w:lang w:bidi="ar-SY"/>
        </w:rPr>
        <w:t>َّ</w:t>
      </w:r>
      <w:r w:rsidRPr="003F3B94">
        <w:rPr>
          <w:rFonts w:hint="cs"/>
          <w:sz w:val="28"/>
          <w:rtl/>
          <w:lang w:bidi="ar-SY"/>
        </w:rPr>
        <w:t>ى بلغة الفقهاء ا</w:t>
      </w:r>
      <w:r w:rsidR="008A2A49" w:rsidRPr="003F3B94">
        <w:rPr>
          <w:rFonts w:hint="cs"/>
          <w:sz w:val="28"/>
          <w:rtl/>
          <w:lang w:bidi="ar-SY"/>
        </w:rPr>
        <w:t>لإ</w:t>
      </w:r>
      <w:r w:rsidRPr="003F3B94">
        <w:rPr>
          <w:rFonts w:hint="cs"/>
          <w:sz w:val="28"/>
          <w:rtl/>
          <w:lang w:bidi="ar-SY"/>
        </w:rPr>
        <w:t xml:space="preserve">مام كي يقوم بتطبيق أحكام القرآن </w:t>
      </w:r>
      <w:r w:rsidR="00E815D0" w:rsidRPr="003F3B94">
        <w:rPr>
          <w:rFonts w:hint="cs"/>
          <w:sz w:val="28"/>
          <w:rtl/>
          <w:lang w:bidi="ar-SY"/>
        </w:rPr>
        <w:t>وتنفيذها</w:t>
      </w:r>
      <w:r w:rsidR="00217AB4" w:rsidRPr="003F3B94">
        <w:rPr>
          <w:rFonts w:hint="cs"/>
          <w:sz w:val="28"/>
          <w:rtl/>
          <w:lang w:bidi="ar-SY"/>
        </w:rPr>
        <w:t>.</w:t>
      </w:r>
      <w:r w:rsidR="00E815D0" w:rsidRPr="003F3B94">
        <w:rPr>
          <w:rFonts w:hint="cs"/>
          <w:sz w:val="28"/>
          <w:rtl/>
          <w:lang w:bidi="ar-SY"/>
        </w:rPr>
        <w:t xml:space="preserve"> </w:t>
      </w:r>
    </w:p>
    <w:p w:rsidR="00E815D0" w:rsidRPr="003F3B94" w:rsidRDefault="00E815D0" w:rsidP="003F3B94">
      <w:pPr>
        <w:pStyle w:val="a0"/>
        <w:rPr>
          <w:rFonts w:hint="cs"/>
          <w:rtl/>
          <w:lang w:bidi="ar-SY"/>
        </w:rPr>
      </w:pPr>
      <w:r w:rsidRPr="003F3B94">
        <w:rPr>
          <w:rFonts w:hint="cs"/>
          <w:sz w:val="28"/>
          <w:rtl/>
          <w:lang w:bidi="ar-SY"/>
        </w:rPr>
        <w:t xml:space="preserve">إذا أراد المسلمون </w:t>
      </w:r>
      <w:r w:rsidR="008F0AB4" w:rsidRPr="003F3B94">
        <w:rPr>
          <w:rFonts w:hint="cs"/>
          <w:sz w:val="28"/>
          <w:rtl/>
          <w:lang w:bidi="ar-SY"/>
        </w:rPr>
        <w:t xml:space="preserve">اليوم </w:t>
      </w:r>
      <w:r w:rsidR="00DC4865" w:rsidRPr="003F3B94">
        <w:rPr>
          <w:rFonts w:hint="cs"/>
          <w:sz w:val="28"/>
          <w:rtl/>
          <w:lang w:bidi="ar-SY"/>
        </w:rPr>
        <w:t xml:space="preserve">أن </w:t>
      </w:r>
      <w:r w:rsidR="008F0AB4" w:rsidRPr="003F3B94">
        <w:rPr>
          <w:rFonts w:hint="cs"/>
          <w:sz w:val="28"/>
          <w:rtl/>
          <w:lang w:bidi="ar-SY"/>
        </w:rPr>
        <w:t>يس</w:t>
      </w:r>
      <w:r w:rsidR="00CB4908" w:rsidRPr="003F3B94">
        <w:rPr>
          <w:rFonts w:hint="cs"/>
          <w:sz w:val="28"/>
          <w:rtl/>
          <w:lang w:bidi="ar-SY"/>
        </w:rPr>
        <w:t>ع</w:t>
      </w:r>
      <w:r w:rsidR="008F0AB4" w:rsidRPr="003F3B94">
        <w:rPr>
          <w:rFonts w:hint="cs"/>
          <w:sz w:val="28"/>
          <w:rtl/>
          <w:lang w:bidi="ar-SY"/>
        </w:rPr>
        <w:t xml:space="preserve">وا إلى تطبيق أيٍّ </w:t>
      </w:r>
      <w:r w:rsidR="00CB4908" w:rsidRPr="003F3B94">
        <w:rPr>
          <w:rFonts w:hint="cs"/>
          <w:sz w:val="28"/>
          <w:rtl/>
          <w:lang w:bidi="ar-SY"/>
        </w:rPr>
        <w:t>من تلك</w:t>
      </w:r>
      <w:r w:rsidR="008F0AB4" w:rsidRPr="003F3B94">
        <w:rPr>
          <w:rFonts w:hint="cs"/>
          <w:sz w:val="28"/>
          <w:rtl/>
          <w:lang w:bidi="ar-SY"/>
        </w:rPr>
        <w:t xml:space="preserve"> ا</w:t>
      </w:r>
      <w:r w:rsidR="008A2A49" w:rsidRPr="003F3B94">
        <w:rPr>
          <w:rFonts w:hint="cs"/>
          <w:sz w:val="28"/>
          <w:rtl/>
          <w:lang w:bidi="ar-SY"/>
        </w:rPr>
        <w:t>لأ</w:t>
      </w:r>
      <w:r w:rsidR="008F0AB4" w:rsidRPr="003F3B94">
        <w:rPr>
          <w:rFonts w:hint="cs"/>
          <w:sz w:val="28"/>
          <w:rtl/>
          <w:lang w:bidi="ar-SY"/>
        </w:rPr>
        <w:t>مور وا</w:t>
      </w:r>
      <w:r w:rsidR="008A2A49" w:rsidRPr="003F3B94">
        <w:rPr>
          <w:rFonts w:hint="cs"/>
          <w:sz w:val="28"/>
          <w:rtl/>
          <w:lang w:bidi="ar-SY"/>
        </w:rPr>
        <w:t>لأ</w:t>
      </w:r>
      <w:r w:rsidR="008F0AB4" w:rsidRPr="003F3B94">
        <w:rPr>
          <w:rFonts w:hint="cs"/>
          <w:sz w:val="28"/>
          <w:rtl/>
          <w:lang w:bidi="ar-SY"/>
        </w:rPr>
        <w:t xml:space="preserve">حكام </w:t>
      </w:r>
      <w:r w:rsidR="00DC4865" w:rsidRPr="003F3B94">
        <w:rPr>
          <w:rFonts w:hint="cs"/>
          <w:sz w:val="28"/>
          <w:rtl/>
          <w:lang w:bidi="ar-SY"/>
        </w:rPr>
        <w:t>بصورتها الحقيقي</w:t>
      </w:r>
      <w:r w:rsidR="00087AF8" w:rsidRPr="003F3B94">
        <w:rPr>
          <w:rFonts w:hint="cs"/>
          <w:sz w:val="28"/>
          <w:rtl/>
          <w:lang w:bidi="ar-SY"/>
        </w:rPr>
        <w:t>َّ</w:t>
      </w:r>
      <w:r w:rsidR="00DC4865" w:rsidRPr="003F3B94">
        <w:rPr>
          <w:rFonts w:hint="cs"/>
          <w:sz w:val="28"/>
          <w:rtl/>
          <w:lang w:bidi="ar-SY"/>
        </w:rPr>
        <w:t>ة سارع</w:t>
      </w:r>
      <w:r w:rsidR="001C03CC" w:rsidRPr="003F3B94">
        <w:rPr>
          <w:rFonts w:hint="cs"/>
          <w:sz w:val="28"/>
          <w:rtl/>
          <w:lang w:bidi="ar-SY"/>
        </w:rPr>
        <w:t xml:space="preserve"> أعداء شريعة سيد المرسلين الحقيقيون الذين يتسمى بعضهم لسوء الحظ باسم العلماء والمراجع إلى الحكم على من يريد تطبيق تلك ا</w:t>
      </w:r>
      <w:r w:rsidR="008A2A49" w:rsidRPr="003F3B94">
        <w:rPr>
          <w:rFonts w:hint="cs"/>
          <w:sz w:val="28"/>
          <w:rtl/>
          <w:lang w:bidi="ar-SY"/>
        </w:rPr>
        <w:t>لأ</w:t>
      </w:r>
      <w:r w:rsidR="001C03CC" w:rsidRPr="003F3B94">
        <w:rPr>
          <w:rFonts w:hint="cs"/>
          <w:sz w:val="28"/>
          <w:rtl/>
          <w:lang w:bidi="ar-SY"/>
        </w:rPr>
        <w:t>حكام بالكفر والزندقة والخروج من الدين</w:t>
      </w:r>
      <w:r w:rsidR="00217AB4" w:rsidRPr="003F3B94">
        <w:rPr>
          <w:rFonts w:hint="cs"/>
          <w:sz w:val="28"/>
          <w:rtl/>
          <w:lang w:bidi="ar-SY"/>
        </w:rPr>
        <w:t>!</w:t>
      </w:r>
      <w:r w:rsidR="001E758D" w:rsidRPr="003F3B94">
        <w:rPr>
          <w:rFonts w:hint="cs"/>
          <w:sz w:val="28"/>
          <w:rtl/>
          <w:lang w:bidi="ar-SY"/>
        </w:rPr>
        <w:t xml:space="preserve"> و</w:t>
      </w:r>
      <w:r w:rsidR="008A2A49" w:rsidRPr="003F3B94">
        <w:rPr>
          <w:rFonts w:hint="cs"/>
          <w:sz w:val="28"/>
          <w:rtl/>
          <w:lang w:bidi="ar-SY"/>
        </w:rPr>
        <w:t>لا</w:t>
      </w:r>
      <w:r w:rsidR="001E758D" w:rsidRPr="003F3B94">
        <w:rPr>
          <w:rFonts w:hint="cs"/>
          <w:sz w:val="28"/>
          <w:rtl/>
          <w:lang w:bidi="ar-SY"/>
        </w:rPr>
        <w:t xml:space="preserve"> يقتصر ا</w:t>
      </w:r>
      <w:r w:rsidR="008A2A49" w:rsidRPr="003F3B94">
        <w:rPr>
          <w:rFonts w:hint="cs"/>
          <w:sz w:val="28"/>
          <w:rtl/>
          <w:lang w:bidi="ar-SY"/>
        </w:rPr>
        <w:t>لأ</w:t>
      </w:r>
      <w:r w:rsidR="001E758D" w:rsidRPr="003F3B94">
        <w:rPr>
          <w:rFonts w:hint="cs"/>
          <w:sz w:val="28"/>
          <w:rtl/>
          <w:lang w:bidi="ar-SY"/>
        </w:rPr>
        <w:t>مر على إدانة من يريد تطبيق تلك ا</w:t>
      </w:r>
      <w:r w:rsidR="008A2A49" w:rsidRPr="003F3B94">
        <w:rPr>
          <w:rFonts w:hint="cs"/>
          <w:sz w:val="28"/>
          <w:rtl/>
          <w:lang w:bidi="ar-SY"/>
        </w:rPr>
        <w:t>لأ</w:t>
      </w:r>
      <w:r w:rsidR="001E758D" w:rsidRPr="003F3B94">
        <w:rPr>
          <w:rFonts w:hint="cs"/>
          <w:sz w:val="28"/>
          <w:rtl/>
          <w:lang w:bidi="ar-SY"/>
        </w:rPr>
        <w:t>مور بل يتعد</w:t>
      </w:r>
      <w:r w:rsidR="00F13110" w:rsidRPr="003F3B94">
        <w:rPr>
          <w:rFonts w:hint="cs"/>
          <w:sz w:val="28"/>
          <w:rtl/>
          <w:lang w:bidi="ar-SY"/>
        </w:rPr>
        <w:t>ّ</w:t>
      </w:r>
      <w:r w:rsidR="001E758D" w:rsidRPr="003F3B94">
        <w:rPr>
          <w:rFonts w:hint="cs"/>
          <w:sz w:val="28"/>
          <w:rtl/>
          <w:lang w:bidi="ar-SY"/>
        </w:rPr>
        <w:t>اه إلى إدانة من يتكل</w:t>
      </w:r>
      <w:r w:rsidR="00F13110" w:rsidRPr="003F3B94">
        <w:rPr>
          <w:rFonts w:hint="cs"/>
          <w:sz w:val="28"/>
          <w:rtl/>
          <w:lang w:bidi="ar-SY"/>
        </w:rPr>
        <w:t>ّ</w:t>
      </w:r>
      <w:r w:rsidR="001E758D" w:rsidRPr="003F3B94">
        <w:rPr>
          <w:rFonts w:hint="cs"/>
          <w:sz w:val="28"/>
          <w:rtl/>
          <w:lang w:bidi="ar-SY"/>
        </w:rPr>
        <w:t xml:space="preserve">م بوجوبها </w:t>
      </w:r>
      <w:r w:rsidR="00CB4908" w:rsidRPr="003F3B94">
        <w:rPr>
          <w:rFonts w:hint="cs"/>
          <w:sz w:val="28"/>
          <w:rtl/>
          <w:lang w:bidi="ar-SY"/>
        </w:rPr>
        <w:t>و</w:t>
      </w:r>
      <w:r w:rsidR="000064AE" w:rsidRPr="003F3B94">
        <w:rPr>
          <w:rFonts w:hint="cs"/>
          <w:sz w:val="28"/>
          <w:rtl/>
          <w:lang w:bidi="ar-SY"/>
        </w:rPr>
        <w:t>رب</w:t>
      </w:r>
      <w:r w:rsidR="00F13110" w:rsidRPr="003F3B94">
        <w:rPr>
          <w:rFonts w:hint="cs"/>
          <w:sz w:val="28"/>
          <w:rtl/>
          <w:lang w:bidi="ar-SY"/>
        </w:rPr>
        <w:t>ّ</w:t>
      </w:r>
      <w:r w:rsidR="000064AE" w:rsidRPr="003F3B94">
        <w:rPr>
          <w:rFonts w:hint="cs"/>
          <w:sz w:val="28"/>
          <w:rtl/>
          <w:lang w:bidi="ar-SY"/>
        </w:rPr>
        <w:t xml:space="preserve">ما </w:t>
      </w:r>
      <w:r w:rsidR="00CB4908" w:rsidRPr="003F3B94">
        <w:rPr>
          <w:rFonts w:hint="cs"/>
          <w:sz w:val="28"/>
          <w:rtl/>
          <w:lang w:bidi="ar-SY"/>
        </w:rPr>
        <w:t>حكموا</w:t>
      </w:r>
      <w:r w:rsidR="000064AE" w:rsidRPr="003F3B94">
        <w:rPr>
          <w:rFonts w:hint="cs"/>
          <w:sz w:val="28"/>
          <w:rtl/>
          <w:lang w:bidi="ar-SY"/>
        </w:rPr>
        <w:t xml:space="preserve"> بقطع لسانه وحرقه في النار</w:t>
      </w:r>
      <w:r w:rsidR="00217AB4" w:rsidRPr="003F3B94">
        <w:rPr>
          <w:rFonts w:hint="cs"/>
          <w:sz w:val="28"/>
          <w:rtl/>
          <w:lang w:bidi="ar-SY"/>
        </w:rPr>
        <w:t>!!</w:t>
      </w:r>
      <w:r w:rsidR="000064AE" w:rsidRPr="003F3B94">
        <w:rPr>
          <w:rFonts w:hint="cs"/>
          <w:sz w:val="28"/>
          <w:rtl/>
          <w:lang w:bidi="ar-SY"/>
        </w:rPr>
        <w:t xml:space="preserve"> </w:t>
      </w:r>
    </w:p>
    <w:p w:rsidR="000064AE" w:rsidRPr="003F3B94" w:rsidRDefault="000064AE" w:rsidP="003F3B94">
      <w:pPr>
        <w:pStyle w:val="a0"/>
        <w:rPr>
          <w:rFonts w:hint="cs"/>
          <w:rtl/>
          <w:lang w:bidi="ar-SY"/>
        </w:rPr>
      </w:pPr>
      <w:r w:rsidRPr="003F3B94">
        <w:rPr>
          <w:rFonts w:hint="cs"/>
          <w:sz w:val="28"/>
          <w:rtl/>
          <w:lang w:bidi="ar-SY"/>
        </w:rPr>
        <w:t>ومن الناحية ا</w:t>
      </w:r>
      <w:r w:rsidR="008A2A49" w:rsidRPr="003F3B94">
        <w:rPr>
          <w:rFonts w:hint="cs"/>
          <w:sz w:val="28"/>
          <w:rtl/>
          <w:lang w:bidi="ar-SY"/>
        </w:rPr>
        <w:t>لأ</w:t>
      </w:r>
      <w:r w:rsidRPr="003F3B94">
        <w:rPr>
          <w:rFonts w:hint="cs"/>
          <w:sz w:val="28"/>
          <w:rtl/>
          <w:lang w:bidi="ar-SY"/>
        </w:rPr>
        <w:t xml:space="preserve">خرى </w:t>
      </w:r>
      <w:r w:rsidR="00CB4908" w:rsidRPr="003F3B94">
        <w:rPr>
          <w:rFonts w:hint="cs"/>
          <w:sz w:val="28"/>
          <w:rtl/>
          <w:lang w:bidi="ar-SY"/>
        </w:rPr>
        <w:t xml:space="preserve">تم إحداث </w:t>
      </w:r>
      <w:r w:rsidR="000B6527" w:rsidRPr="003F3B94">
        <w:rPr>
          <w:rFonts w:hint="cs"/>
          <w:sz w:val="28"/>
          <w:rtl/>
          <w:lang w:bidi="ar-SY"/>
        </w:rPr>
        <w:t>وتقوية البدع</w:t>
      </w:r>
      <w:r w:rsidRPr="003F3B94">
        <w:rPr>
          <w:rFonts w:hint="cs"/>
          <w:sz w:val="28"/>
          <w:rtl/>
          <w:lang w:bidi="ar-SY"/>
        </w:rPr>
        <w:t xml:space="preserve"> </w:t>
      </w:r>
      <w:r w:rsidR="000B6527" w:rsidRPr="003F3B94">
        <w:rPr>
          <w:rFonts w:hint="cs"/>
          <w:sz w:val="28"/>
          <w:rtl/>
          <w:lang w:bidi="ar-SY"/>
        </w:rPr>
        <w:t>الرائجة والض</w:t>
      </w:r>
      <w:r w:rsidR="008A2A49" w:rsidRPr="003F3B94">
        <w:rPr>
          <w:rFonts w:hint="cs"/>
          <w:sz w:val="28"/>
          <w:rtl/>
          <w:lang w:bidi="ar-SY"/>
        </w:rPr>
        <w:t>لالا</w:t>
      </w:r>
      <w:r w:rsidR="000B6527" w:rsidRPr="003F3B94">
        <w:rPr>
          <w:rFonts w:hint="cs"/>
          <w:sz w:val="28"/>
          <w:rtl/>
          <w:lang w:bidi="ar-SY"/>
        </w:rPr>
        <w:t>ت الموجودة والخرافات الشائعة وا</w:t>
      </w:r>
      <w:r w:rsidR="008A2A49" w:rsidRPr="003F3B94">
        <w:rPr>
          <w:rFonts w:hint="cs"/>
          <w:sz w:val="28"/>
          <w:rtl/>
          <w:lang w:bidi="ar-SY"/>
        </w:rPr>
        <w:t>لأ</w:t>
      </w:r>
      <w:r w:rsidR="000B6527" w:rsidRPr="003F3B94">
        <w:rPr>
          <w:rFonts w:hint="cs"/>
          <w:sz w:val="28"/>
          <w:rtl/>
          <w:lang w:bidi="ar-SY"/>
        </w:rPr>
        <w:t>وهام المتبعة مثل عبادة ا</w:t>
      </w:r>
      <w:r w:rsidR="008A2A49" w:rsidRPr="003F3B94">
        <w:rPr>
          <w:rFonts w:hint="cs"/>
          <w:sz w:val="28"/>
          <w:rtl/>
          <w:lang w:bidi="ar-SY"/>
        </w:rPr>
        <w:t>لأ</w:t>
      </w:r>
      <w:r w:rsidR="000B6527" w:rsidRPr="003F3B94">
        <w:rPr>
          <w:rFonts w:hint="cs"/>
          <w:sz w:val="28"/>
          <w:rtl/>
          <w:lang w:bidi="ar-SY"/>
        </w:rPr>
        <w:t xml:space="preserve">شخاص </w:t>
      </w:r>
      <w:r w:rsidR="00CB4908" w:rsidRPr="003F3B94">
        <w:rPr>
          <w:rFonts w:hint="cs"/>
          <w:sz w:val="28"/>
          <w:rtl/>
          <w:lang w:bidi="ar-SY"/>
        </w:rPr>
        <w:t>ورفع</w:t>
      </w:r>
      <w:r w:rsidR="000B6527" w:rsidRPr="003F3B94">
        <w:rPr>
          <w:rFonts w:hint="cs"/>
          <w:sz w:val="28"/>
          <w:rtl/>
          <w:lang w:bidi="ar-SY"/>
        </w:rPr>
        <w:t xml:space="preserve"> بعض مشاهير رجال ا</w:t>
      </w:r>
      <w:r w:rsidR="008A2A49" w:rsidRPr="003F3B94">
        <w:rPr>
          <w:rFonts w:hint="cs"/>
          <w:sz w:val="28"/>
          <w:rtl/>
          <w:lang w:bidi="ar-SY"/>
        </w:rPr>
        <w:t>لإ</w:t>
      </w:r>
      <w:r w:rsidR="000B6527" w:rsidRPr="003F3B94">
        <w:rPr>
          <w:rFonts w:hint="cs"/>
          <w:sz w:val="28"/>
          <w:rtl/>
          <w:lang w:bidi="ar-SY"/>
        </w:rPr>
        <w:t>س</w:t>
      </w:r>
      <w:r w:rsidR="008A2A49" w:rsidRPr="003F3B94">
        <w:rPr>
          <w:rFonts w:hint="cs"/>
          <w:sz w:val="28"/>
          <w:rtl/>
          <w:lang w:bidi="ar-SY"/>
        </w:rPr>
        <w:t>لا</w:t>
      </w:r>
      <w:r w:rsidR="000B6527" w:rsidRPr="003F3B94">
        <w:rPr>
          <w:rFonts w:hint="cs"/>
          <w:sz w:val="28"/>
          <w:rtl/>
          <w:lang w:bidi="ar-SY"/>
        </w:rPr>
        <w:t xml:space="preserve">م </w:t>
      </w:r>
      <w:r w:rsidR="00CB4908" w:rsidRPr="003F3B94">
        <w:rPr>
          <w:rFonts w:hint="cs"/>
          <w:sz w:val="28"/>
          <w:rtl/>
          <w:lang w:bidi="ar-SY"/>
        </w:rPr>
        <w:t>إلى مصاف ا</w:t>
      </w:r>
      <w:r w:rsidR="008A2A49" w:rsidRPr="003F3B94">
        <w:rPr>
          <w:rFonts w:hint="cs"/>
          <w:sz w:val="28"/>
          <w:rtl/>
          <w:lang w:bidi="ar-SY"/>
        </w:rPr>
        <w:t>لآ</w:t>
      </w:r>
      <w:r w:rsidR="00CB4908" w:rsidRPr="003F3B94">
        <w:rPr>
          <w:rFonts w:hint="cs"/>
          <w:sz w:val="28"/>
          <w:rtl/>
          <w:lang w:bidi="ar-SY"/>
        </w:rPr>
        <w:t>لهة</w:t>
      </w:r>
      <w:r w:rsidR="00030CFE" w:rsidRPr="003F3B94">
        <w:rPr>
          <w:rFonts w:hint="cs"/>
          <w:sz w:val="28"/>
          <w:rtl/>
          <w:lang w:bidi="ar-SY"/>
        </w:rPr>
        <w:t xml:space="preserve"> أو أبناء </w:t>
      </w:r>
      <w:r w:rsidR="00CB4908" w:rsidRPr="003F3B94">
        <w:rPr>
          <w:rFonts w:hint="cs"/>
          <w:sz w:val="28"/>
          <w:rtl/>
          <w:lang w:bidi="ar-SY"/>
        </w:rPr>
        <w:t>الله</w:t>
      </w:r>
      <w:r w:rsidR="00030CFE" w:rsidRPr="003F3B94">
        <w:rPr>
          <w:rFonts w:hint="cs"/>
          <w:sz w:val="28"/>
          <w:rtl/>
          <w:lang w:bidi="ar-SY"/>
        </w:rPr>
        <w:t xml:space="preserve"> </w:t>
      </w:r>
      <w:r w:rsidR="00CB4908" w:rsidRPr="003F3B94">
        <w:rPr>
          <w:rFonts w:hint="cs"/>
          <w:sz w:val="28"/>
          <w:rtl/>
          <w:lang w:bidi="ar-SY"/>
        </w:rPr>
        <w:t xml:space="preserve">مما </w:t>
      </w:r>
      <w:r w:rsidR="00087AF8" w:rsidRPr="003F3B94">
        <w:rPr>
          <w:rFonts w:hint="cs"/>
          <w:sz w:val="28"/>
          <w:rtl/>
          <w:lang w:bidi="ar-SY"/>
        </w:rPr>
        <w:t>ي</w:t>
      </w:r>
      <w:r w:rsidR="00CB4908" w:rsidRPr="003F3B94">
        <w:rPr>
          <w:rFonts w:hint="cs"/>
          <w:sz w:val="28"/>
          <w:rtl/>
          <w:lang w:bidi="ar-SY"/>
        </w:rPr>
        <w:t>فوق</w:t>
      </w:r>
      <w:r w:rsidR="00F20AB6" w:rsidRPr="003F3B94">
        <w:rPr>
          <w:rFonts w:hint="cs"/>
          <w:sz w:val="28"/>
          <w:rtl/>
          <w:lang w:bidi="ar-SY"/>
        </w:rPr>
        <w:t xml:space="preserve"> شرك الجاهلية</w:t>
      </w:r>
      <w:r w:rsidR="00217AB4" w:rsidRPr="003F3B94">
        <w:rPr>
          <w:rFonts w:hint="cs"/>
          <w:sz w:val="28"/>
          <w:rtl/>
          <w:lang w:bidi="ar-SY"/>
        </w:rPr>
        <w:t>،</w:t>
      </w:r>
      <w:r w:rsidR="00F20AB6" w:rsidRPr="003F3B94">
        <w:rPr>
          <w:rFonts w:hint="cs"/>
          <w:sz w:val="28"/>
          <w:rtl/>
          <w:lang w:bidi="ar-SY"/>
        </w:rPr>
        <w:t xml:space="preserve"> و</w:t>
      </w:r>
      <w:r w:rsidR="00CB4908" w:rsidRPr="003F3B94">
        <w:rPr>
          <w:rFonts w:hint="cs"/>
          <w:sz w:val="28"/>
          <w:rtl/>
          <w:lang w:bidi="ar-SY"/>
        </w:rPr>
        <w:t>ابتداع مراسم وطقوس عزاء غير مشروعة وتوس</w:t>
      </w:r>
      <w:r w:rsidR="008A2A49" w:rsidRPr="003F3B94">
        <w:rPr>
          <w:rFonts w:hint="cs"/>
          <w:sz w:val="28"/>
          <w:rtl/>
          <w:lang w:bidi="ar-SY"/>
        </w:rPr>
        <w:t>لا</w:t>
      </w:r>
      <w:r w:rsidR="00CB4908" w:rsidRPr="003F3B94">
        <w:rPr>
          <w:rFonts w:hint="cs"/>
          <w:sz w:val="28"/>
          <w:rtl/>
          <w:lang w:bidi="ar-SY"/>
        </w:rPr>
        <w:t xml:space="preserve">ت شركية وزيارات </w:t>
      </w:r>
      <w:r w:rsidR="00087AF8" w:rsidRPr="003F3B94">
        <w:rPr>
          <w:rFonts w:hint="cs"/>
          <w:sz w:val="28"/>
          <w:rtl/>
          <w:lang w:bidi="ar-SY"/>
        </w:rPr>
        <w:t xml:space="preserve">للمراقد </w:t>
      </w:r>
      <w:r w:rsidR="00F20AB6" w:rsidRPr="003F3B94">
        <w:rPr>
          <w:rFonts w:hint="cs"/>
          <w:sz w:val="28"/>
          <w:rtl/>
          <w:lang w:bidi="ar-SY"/>
        </w:rPr>
        <w:t xml:space="preserve">خاطئة تشبه </w:t>
      </w:r>
      <w:r w:rsidR="00CB4908" w:rsidRPr="003F3B94">
        <w:rPr>
          <w:rFonts w:hint="cs"/>
          <w:sz w:val="28"/>
          <w:rtl/>
          <w:lang w:bidi="ar-SY"/>
        </w:rPr>
        <w:t>تردُّد</w:t>
      </w:r>
      <w:r w:rsidR="00F20AB6" w:rsidRPr="003F3B94">
        <w:rPr>
          <w:rFonts w:hint="cs"/>
          <w:sz w:val="28"/>
          <w:rtl/>
          <w:lang w:bidi="ar-SY"/>
        </w:rPr>
        <w:t xml:space="preserve"> المجوس وأهل الجاهلية إلى معابد النيران وا</w:t>
      </w:r>
      <w:r w:rsidR="008A2A49" w:rsidRPr="003F3B94">
        <w:rPr>
          <w:rFonts w:hint="cs"/>
          <w:sz w:val="28"/>
          <w:rtl/>
          <w:lang w:bidi="ar-SY"/>
        </w:rPr>
        <w:t>لأ</w:t>
      </w:r>
      <w:r w:rsidR="00F20AB6" w:rsidRPr="003F3B94">
        <w:rPr>
          <w:rFonts w:hint="cs"/>
          <w:sz w:val="28"/>
          <w:rtl/>
          <w:lang w:bidi="ar-SY"/>
        </w:rPr>
        <w:t>صنام</w:t>
      </w:r>
      <w:r w:rsidR="00217AB4" w:rsidRPr="003F3B94">
        <w:rPr>
          <w:rFonts w:hint="cs"/>
          <w:sz w:val="28"/>
          <w:rtl/>
          <w:lang w:bidi="ar-SY"/>
        </w:rPr>
        <w:t>،</w:t>
      </w:r>
      <w:r w:rsidR="00F20AB6" w:rsidRPr="003F3B94">
        <w:rPr>
          <w:rFonts w:hint="cs"/>
          <w:sz w:val="28"/>
          <w:rtl/>
          <w:lang w:bidi="ar-SY"/>
        </w:rPr>
        <w:t xml:space="preserve"> </w:t>
      </w:r>
      <w:r w:rsidR="00A81DA5" w:rsidRPr="003F3B94">
        <w:rPr>
          <w:rFonts w:hint="cs"/>
          <w:sz w:val="28"/>
          <w:rtl/>
          <w:lang w:bidi="ar-SY"/>
        </w:rPr>
        <w:t>وتعمير المشاهد على القبور وتزيين ا</w:t>
      </w:r>
      <w:r w:rsidR="008A2A49" w:rsidRPr="003F3B94">
        <w:rPr>
          <w:rFonts w:hint="cs"/>
          <w:sz w:val="28"/>
          <w:rtl/>
          <w:lang w:bidi="ar-SY"/>
        </w:rPr>
        <w:t>لأ</w:t>
      </w:r>
      <w:r w:rsidR="00A81DA5" w:rsidRPr="003F3B94">
        <w:rPr>
          <w:rFonts w:hint="cs"/>
          <w:sz w:val="28"/>
          <w:rtl/>
          <w:lang w:bidi="ar-SY"/>
        </w:rPr>
        <w:t xml:space="preserve">ضرحة </w:t>
      </w:r>
      <w:r w:rsidR="00C940D0" w:rsidRPr="003F3B94">
        <w:rPr>
          <w:rFonts w:hint="cs"/>
          <w:sz w:val="28"/>
          <w:rtl/>
          <w:lang w:bidi="ar-SY"/>
        </w:rPr>
        <w:t>وترغيب الناس با</w:t>
      </w:r>
      <w:r w:rsidR="008A2A49" w:rsidRPr="003F3B94">
        <w:rPr>
          <w:rFonts w:hint="cs"/>
          <w:sz w:val="28"/>
          <w:rtl/>
          <w:lang w:bidi="ar-SY"/>
        </w:rPr>
        <w:t>لا</w:t>
      </w:r>
      <w:r w:rsidR="00C940D0" w:rsidRPr="003F3B94">
        <w:rPr>
          <w:rFonts w:hint="cs"/>
          <w:sz w:val="28"/>
          <w:rtl/>
          <w:lang w:bidi="ar-SY"/>
        </w:rPr>
        <w:t>عتكاف بها وا</w:t>
      </w:r>
      <w:r w:rsidR="008A2A49" w:rsidRPr="003F3B94">
        <w:rPr>
          <w:rFonts w:hint="cs"/>
          <w:sz w:val="28"/>
          <w:rtl/>
          <w:lang w:bidi="ar-SY"/>
        </w:rPr>
        <w:t>لإ</w:t>
      </w:r>
      <w:r w:rsidR="00C940D0" w:rsidRPr="003F3B94">
        <w:rPr>
          <w:rFonts w:hint="cs"/>
          <w:sz w:val="28"/>
          <w:rtl/>
          <w:lang w:bidi="ar-SY"/>
        </w:rPr>
        <w:t>قامة عندها وكله مما نهى عنه العقل والشرع</w:t>
      </w:r>
      <w:r w:rsidR="00217AB4" w:rsidRPr="003F3B94">
        <w:rPr>
          <w:rFonts w:hint="cs"/>
          <w:sz w:val="28"/>
          <w:rtl/>
          <w:lang w:bidi="ar-SY"/>
        </w:rPr>
        <w:t>،</w:t>
      </w:r>
      <w:r w:rsidR="00C940D0" w:rsidRPr="003F3B94">
        <w:rPr>
          <w:rFonts w:hint="cs"/>
          <w:sz w:val="28"/>
          <w:rtl/>
          <w:lang w:bidi="ar-SY"/>
        </w:rPr>
        <w:t xml:space="preserve"> ووقف ا</w:t>
      </w:r>
      <w:r w:rsidR="008A2A49" w:rsidRPr="003F3B94">
        <w:rPr>
          <w:rFonts w:hint="cs"/>
          <w:sz w:val="28"/>
          <w:rtl/>
          <w:lang w:bidi="ar-SY"/>
        </w:rPr>
        <w:t>لأ</w:t>
      </w:r>
      <w:r w:rsidR="00C940D0" w:rsidRPr="003F3B94">
        <w:rPr>
          <w:rFonts w:hint="cs"/>
          <w:sz w:val="28"/>
          <w:rtl/>
          <w:lang w:bidi="ar-SY"/>
        </w:rPr>
        <w:t>رضي على مثل تلك ا</w:t>
      </w:r>
      <w:r w:rsidR="008A2A49" w:rsidRPr="003F3B94">
        <w:rPr>
          <w:rFonts w:hint="cs"/>
          <w:sz w:val="28"/>
          <w:rtl/>
          <w:lang w:bidi="ar-SY"/>
        </w:rPr>
        <w:t>لأ</w:t>
      </w:r>
      <w:r w:rsidR="00C940D0" w:rsidRPr="003F3B94">
        <w:rPr>
          <w:rFonts w:hint="cs"/>
          <w:sz w:val="28"/>
          <w:rtl/>
          <w:lang w:bidi="ar-SY"/>
        </w:rPr>
        <w:t xml:space="preserve">مكنة والبقاع لتقوية تلك </w:t>
      </w:r>
      <w:r w:rsidR="00E53436" w:rsidRPr="003F3B94">
        <w:rPr>
          <w:rFonts w:hint="cs"/>
          <w:sz w:val="28"/>
          <w:rtl/>
          <w:lang w:bidi="ar-SY"/>
        </w:rPr>
        <w:t>المزارات وتزيينها</w:t>
      </w:r>
      <w:r w:rsidR="00217AB4" w:rsidRPr="003F3B94">
        <w:rPr>
          <w:rFonts w:hint="cs"/>
          <w:sz w:val="28"/>
          <w:rtl/>
          <w:lang w:bidi="ar-SY"/>
        </w:rPr>
        <w:t>،</w:t>
      </w:r>
      <w:r w:rsidR="00E53436" w:rsidRPr="003F3B94">
        <w:rPr>
          <w:rFonts w:hint="cs"/>
          <w:sz w:val="28"/>
          <w:rtl/>
          <w:lang w:bidi="ar-SY"/>
        </w:rPr>
        <w:t xml:space="preserve"> وإحياء </w:t>
      </w:r>
      <w:r w:rsidR="00CB4908" w:rsidRPr="003F3B94">
        <w:rPr>
          <w:rFonts w:hint="cs"/>
          <w:sz w:val="28"/>
          <w:rtl/>
          <w:lang w:bidi="ar-SY"/>
        </w:rPr>
        <w:t>التفاخر</w:t>
      </w:r>
      <w:r w:rsidR="00E53436" w:rsidRPr="003F3B94">
        <w:rPr>
          <w:rFonts w:hint="cs"/>
          <w:sz w:val="28"/>
          <w:rtl/>
          <w:lang w:bidi="ar-SY"/>
        </w:rPr>
        <w:t xml:space="preserve"> بالنسب والعرق وا</w:t>
      </w:r>
      <w:r w:rsidR="00CB4908" w:rsidRPr="003F3B94">
        <w:rPr>
          <w:rFonts w:hint="cs"/>
          <w:sz w:val="28"/>
          <w:rtl/>
          <w:lang w:bidi="ar-SY"/>
        </w:rPr>
        <w:t>لقومية التي حاربها ا</w:t>
      </w:r>
      <w:r w:rsidR="008A2A49" w:rsidRPr="003F3B94">
        <w:rPr>
          <w:rFonts w:hint="cs"/>
          <w:sz w:val="28"/>
          <w:rtl/>
          <w:lang w:bidi="ar-SY"/>
        </w:rPr>
        <w:t>لإ</w:t>
      </w:r>
      <w:r w:rsidR="00CB4908" w:rsidRPr="003F3B94">
        <w:rPr>
          <w:rFonts w:hint="cs"/>
          <w:sz w:val="28"/>
          <w:rtl/>
          <w:lang w:bidi="ar-SY"/>
        </w:rPr>
        <w:t>س</w:t>
      </w:r>
      <w:r w:rsidR="008A2A49" w:rsidRPr="003F3B94">
        <w:rPr>
          <w:rFonts w:hint="cs"/>
          <w:sz w:val="28"/>
          <w:rtl/>
          <w:lang w:bidi="ar-SY"/>
        </w:rPr>
        <w:t>لا</w:t>
      </w:r>
      <w:r w:rsidR="00CB4908" w:rsidRPr="003F3B94">
        <w:rPr>
          <w:rFonts w:hint="cs"/>
          <w:sz w:val="28"/>
          <w:rtl/>
          <w:lang w:bidi="ar-SY"/>
        </w:rPr>
        <w:t>م بكل قوَّة وشدَّة</w:t>
      </w:r>
      <w:r w:rsidR="00217AB4" w:rsidRPr="003F3B94">
        <w:rPr>
          <w:rFonts w:hint="cs"/>
          <w:sz w:val="28"/>
          <w:rtl/>
          <w:lang w:bidi="ar-SY"/>
        </w:rPr>
        <w:t>،</w:t>
      </w:r>
      <w:r w:rsidR="00CB4908" w:rsidRPr="003F3B94">
        <w:rPr>
          <w:rFonts w:hint="cs"/>
          <w:sz w:val="28"/>
          <w:rtl/>
          <w:lang w:bidi="ar-SY"/>
        </w:rPr>
        <w:t xml:space="preserve"> </w:t>
      </w:r>
      <w:r w:rsidR="00E53436" w:rsidRPr="003F3B94">
        <w:rPr>
          <w:rFonts w:hint="cs"/>
          <w:sz w:val="28"/>
          <w:rtl/>
          <w:lang w:bidi="ar-SY"/>
        </w:rPr>
        <w:t xml:space="preserve">وتعيين حقوق ومزايا خاصة </w:t>
      </w:r>
      <w:r w:rsidR="00CB4908" w:rsidRPr="003F3B94">
        <w:rPr>
          <w:rFonts w:hint="cs"/>
          <w:sz w:val="28"/>
          <w:rtl/>
          <w:lang w:bidi="ar-SY"/>
        </w:rPr>
        <w:t xml:space="preserve">لِنَسَبٍ خاص </w:t>
      </w:r>
      <w:r w:rsidR="00217AB4" w:rsidRPr="003F3B94">
        <w:rPr>
          <w:rFonts w:hint="cs"/>
          <w:sz w:val="28"/>
          <w:rtl/>
          <w:lang w:bidi="ar-SY"/>
        </w:rPr>
        <w:t>(</w:t>
      </w:r>
      <w:r w:rsidR="00CB4908" w:rsidRPr="003F3B94">
        <w:rPr>
          <w:rFonts w:hint="cs"/>
          <w:sz w:val="28"/>
          <w:rtl/>
          <w:lang w:bidi="ar-SY"/>
        </w:rPr>
        <w:t>بنو هاشم</w:t>
      </w:r>
      <w:r w:rsidR="00217AB4" w:rsidRPr="003F3B94">
        <w:rPr>
          <w:rFonts w:hint="cs"/>
          <w:sz w:val="28"/>
          <w:rtl/>
          <w:lang w:bidi="ar-SY"/>
        </w:rPr>
        <w:t>)</w:t>
      </w:r>
      <w:r w:rsidR="00CB4908" w:rsidRPr="003F3B94">
        <w:rPr>
          <w:rFonts w:hint="cs"/>
          <w:sz w:val="28"/>
          <w:rtl/>
          <w:lang w:bidi="ar-SY"/>
        </w:rPr>
        <w:t xml:space="preserve"> ومن جملة ذل</w:t>
      </w:r>
      <w:r w:rsidR="00E53436" w:rsidRPr="003F3B94">
        <w:rPr>
          <w:rFonts w:hint="cs"/>
          <w:sz w:val="28"/>
          <w:rtl/>
          <w:lang w:bidi="ar-SY"/>
        </w:rPr>
        <w:t xml:space="preserve">ك </w:t>
      </w:r>
      <w:r w:rsidR="00CB4908" w:rsidRPr="003F3B94">
        <w:rPr>
          <w:rFonts w:hint="cs"/>
          <w:sz w:val="28"/>
          <w:rtl/>
          <w:lang w:bidi="ar-SY"/>
        </w:rPr>
        <w:t>«</w:t>
      </w:r>
      <w:r w:rsidR="00E53436" w:rsidRPr="003F3B94">
        <w:rPr>
          <w:rFonts w:hint="cs"/>
          <w:b/>
          <w:bCs/>
          <w:sz w:val="28"/>
          <w:rtl/>
          <w:lang w:bidi="ar-SY"/>
        </w:rPr>
        <w:t>الخمس</w:t>
      </w:r>
      <w:r w:rsidR="00CB4908" w:rsidRPr="003F3B94">
        <w:rPr>
          <w:rFonts w:hint="cs"/>
          <w:sz w:val="28"/>
          <w:rtl/>
          <w:lang w:bidi="ar-SY"/>
        </w:rPr>
        <w:t>»</w:t>
      </w:r>
      <w:r w:rsidR="00E53436" w:rsidRPr="003F3B94">
        <w:rPr>
          <w:rFonts w:hint="cs"/>
          <w:sz w:val="28"/>
          <w:rtl/>
          <w:lang w:bidi="ar-SY"/>
        </w:rPr>
        <w:t xml:space="preserve"> الذي شاع </w:t>
      </w:r>
      <w:r w:rsidR="00CB4908" w:rsidRPr="003F3B94">
        <w:rPr>
          <w:rFonts w:hint="cs"/>
          <w:sz w:val="28"/>
          <w:rtl/>
          <w:lang w:bidi="ar-SY"/>
        </w:rPr>
        <w:t>بين الشيعة ا</w:t>
      </w:r>
      <w:r w:rsidR="008A2A49" w:rsidRPr="003F3B94">
        <w:rPr>
          <w:rFonts w:hint="cs"/>
          <w:sz w:val="28"/>
          <w:rtl/>
          <w:lang w:bidi="ar-SY"/>
        </w:rPr>
        <w:t>لإ</w:t>
      </w:r>
      <w:r w:rsidR="00CB4908" w:rsidRPr="003F3B94">
        <w:rPr>
          <w:rFonts w:hint="cs"/>
          <w:sz w:val="28"/>
          <w:rtl/>
          <w:lang w:bidi="ar-SY"/>
        </w:rPr>
        <w:t xml:space="preserve">مامية </w:t>
      </w:r>
      <w:r w:rsidR="00E53436" w:rsidRPr="003F3B94">
        <w:rPr>
          <w:rFonts w:hint="cs"/>
          <w:sz w:val="28"/>
          <w:rtl/>
          <w:lang w:bidi="ar-SY"/>
        </w:rPr>
        <w:t>بنفس القوة والشدة التي شاعت بها البدع ا</w:t>
      </w:r>
      <w:r w:rsidR="008A2A49" w:rsidRPr="003F3B94">
        <w:rPr>
          <w:rFonts w:hint="cs"/>
          <w:sz w:val="28"/>
          <w:rtl/>
          <w:lang w:bidi="ar-SY"/>
        </w:rPr>
        <w:t>لأ</w:t>
      </w:r>
      <w:r w:rsidR="00E53436" w:rsidRPr="003F3B94">
        <w:rPr>
          <w:rFonts w:hint="cs"/>
          <w:sz w:val="28"/>
          <w:rtl/>
          <w:lang w:bidi="ar-SY"/>
        </w:rPr>
        <w:t xml:space="preserve">خرى </w:t>
      </w:r>
      <w:r w:rsidR="00CB4908" w:rsidRPr="003F3B94">
        <w:rPr>
          <w:rFonts w:hint="cs"/>
          <w:sz w:val="28"/>
          <w:rtl/>
          <w:lang w:bidi="ar-SY"/>
        </w:rPr>
        <w:t>بل بقو</w:t>
      </w:r>
      <w:r w:rsidR="00087AF8" w:rsidRPr="003F3B94">
        <w:rPr>
          <w:rFonts w:hint="cs"/>
          <w:sz w:val="28"/>
          <w:rtl/>
          <w:lang w:bidi="ar-SY"/>
        </w:rPr>
        <w:t>َّةٍ</w:t>
      </w:r>
      <w:r w:rsidR="00CB4908" w:rsidRPr="003F3B94">
        <w:rPr>
          <w:rFonts w:hint="cs"/>
          <w:sz w:val="28"/>
          <w:rtl/>
          <w:lang w:bidi="ar-SY"/>
        </w:rPr>
        <w:t xml:space="preserve"> أشد</w:t>
      </w:r>
      <w:r w:rsidR="00217AB4" w:rsidRPr="003F3B94">
        <w:rPr>
          <w:rFonts w:hint="cs"/>
          <w:sz w:val="28"/>
          <w:rtl/>
          <w:lang w:bidi="ar-SY"/>
        </w:rPr>
        <w:t>...</w:t>
      </w:r>
      <w:r w:rsidR="00E53436" w:rsidRPr="003F3B94">
        <w:rPr>
          <w:rFonts w:hint="cs"/>
          <w:sz w:val="28"/>
          <w:rtl/>
          <w:lang w:bidi="ar-SY"/>
        </w:rPr>
        <w:t xml:space="preserve"> </w:t>
      </w:r>
    </w:p>
    <w:p w:rsidR="00E06DD3" w:rsidRPr="003F3B94" w:rsidRDefault="00DC34EA" w:rsidP="003F3B94">
      <w:pPr>
        <w:pStyle w:val="a0"/>
        <w:rPr>
          <w:rFonts w:hint="cs"/>
          <w:rtl/>
          <w:lang w:bidi="ar-SY"/>
        </w:rPr>
      </w:pPr>
      <w:r w:rsidRPr="003F3B94">
        <w:rPr>
          <w:rFonts w:hint="cs"/>
          <w:sz w:val="28"/>
          <w:rtl/>
          <w:lang w:bidi="ar-SY"/>
        </w:rPr>
        <w:t xml:space="preserve">إن </w:t>
      </w:r>
      <w:r w:rsidR="00CB4908" w:rsidRPr="003F3B94">
        <w:rPr>
          <w:rFonts w:hint="cs"/>
          <w:sz w:val="28"/>
          <w:rtl/>
          <w:lang w:bidi="ar-SY"/>
        </w:rPr>
        <w:t>«</w:t>
      </w:r>
      <w:r w:rsidR="00CB4908" w:rsidRPr="003F3B94">
        <w:rPr>
          <w:rFonts w:hint="cs"/>
          <w:b/>
          <w:bCs/>
          <w:sz w:val="28"/>
          <w:rtl/>
          <w:lang w:bidi="ar-SY"/>
        </w:rPr>
        <w:t>الخمس</w:t>
      </w:r>
      <w:r w:rsidR="00CB4908" w:rsidRPr="003F3B94">
        <w:rPr>
          <w:rFonts w:hint="cs"/>
          <w:sz w:val="28"/>
          <w:rtl/>
          <w:lang w:bidi="ar-SY"/>
        </w:rPr>
        <w:t xml:space="preserve">» </w:t>
      </w:r>
      <w:r w:rsidRPr="003F3B94">
        <w:rPr>
          <w:rFonts w:hint="cs"/>
          <w:sz w:val="28"/>
          <w:rtl/>
          <w:lang w:bidi="ar-SY"/>
        </w:rPr>
        <w:t>بنص القرآن الصريح وطبقاً لسنة نبي آخر الزمان الواضحة ولسيرة عامة المسلمين اسم</w:t>
      </w:r>
      <w:r w:rsidR="00CB4908" w:rsidRPr="003F3B94">
        <w:rPr>
          <w:rFonts w:hint="cs"/>
          <w:sz w:val="28"/>
          <w:rtl/>
          <w:lang w:bidi="ar-SY"/>
        </w:rPr>
        <w:t>ٌ</w:t>
      </w:r>
      <w:r w:rsidRPr="003F3B94">
        <w:rPr>
          <w:rFonts w:hint="cs"/>
          <w:sz w:val="28"/>
          <w:rtl/>
          <w:lang w:bidi="ar-SY"/>
        </w:rPr>
        <w:t xml:space="preserve"> للخمس الذي </w:t>
      </w:r>
      <w:r w:rsidR="004B0CC2" w:rsidRPr="003F3B94">
        <w:rPr>
          <w:rFonts w:hint="cs"/>
          <w:sz w:val="28"/>
          <w:rtl/>
          <w:lang w:bidi="ar-SY"/>
        </w:rPr>
        <w:t xml:space="preserve">يؤخذ من </w:t>
      </w:r>
      <w:r w:rsidR="00CB4908" w:rsidRPr="003F3B94">
        <w:rPr>
          <w:rFonts w:hint="cs"/>
          <w:sz w:val="28"/>
          <w:rtl/>
          <w:lang w:bidi="ar-SY"/>
        </w:rPr>
        <w:t>غنائم</w:t>
      </w:r>
      <w:r w:rsidR="004B0CC2" w:rsidRPr="003F3B94">
        <w:rPr>
          <w:rFonts w:hint="cs"/>
          <w:sz w:val="28"/>
          <w:rtl/>
          <w:lang w:bidi="ar-SY"/>
        </w:rPr>
        <w:t xml:space="preserve"> الحرب </w:t>
      </w:r>
      <w:r w:rsidR="00CB4908" w:rsidRPr="003F3B94">
        <w:rPr>
          <w:rFonts w:hint="cs"/>
          <w:sz w:val="28"/>
          <w:rtl/>
          <w:lang w:bidi="ar-SY"/>
        </w:rPr>
        <w:t xml:space="preserve">التي تقع </w:t>
      </w:r>
      <w:r w:rsidR="004B0CC2" w:rsidRPr="003F3B94">
        <w:rPr>
          <w:rFonts w:hint="cs"/>
          <w:sz w:val="28"/>
          <w:rtl/>
          <w:lang w:bidi="ar-SY"/>
        </w:rPr>
        <w:t xml:space="preserve">بين المسلمين والمشركين </w:t>
      </w:r>
      <w:r w:rsidR="00CB4908" w:rsidRPr="003F3B94">
        <w:rPr>
          <w:rFonts w:hint="cs"/>
          <w:sz w:val="28"/>
          <w:rtl/>
          <w:lang w:bidi="ar-SY"/>
        </w:rPr>
        <w:t>و</w:t>
      </w:r>
      <w:r w:rsidR="004B0CC2" w:rsidRPr="003F3B94">
        <w:rPr>
          <w:rFonts w:hint="cs"/>
          <w:sz w:val="28"/>
          <w:rtl/>
          <w:lang w:bidi="ar-SY"/>
        </w:rPr>
        <w:t>تعود لجيش المسلمين المجاهد</w:t>
      </w:r>
      <w:r w:rsidR="00217AB4" w:rsidRPr="003F3B94">
        <w:rPr>
          <w:rFonts w:hint="cs"/>
          <w:sz w:val="28"/>
          <w:rtl/>
          <w:lang w:bidi="ar-SY"/>
        </w:rPr>
        <w:t>،</w:t>
      </w:r>
      <w:r w:rsidR="004B0CC2" w:rsidRPr="003F3B94">
        <w:rPr>
          <w:rFonts w:hint="cs"/>
          <w:sz w:val="28"/>
          <w:rtl/>
          <w:lang w:bidi="ar-SY"/>
        </w:rPr>
        <w:t xml:space="preserve"> </w:t>
      </w:r>
      <w:r w:rsidR="00CB4908" w:rsidRPr="003F3B94">
        <w:rPr>
          <w:rFonts w:hint="cs"/>
          <w:sz w:val="28"/>
          <w:rtl/>
          <w:lang w:bidi="ar-SY"/>
        </w:rPr>
        <w:t>ف</w:t>
      </w:r>
      <w:r w:rsidR="004B0CC2" w:rsidRPr="003F3B94">
        <w:rPr>
          <w:rFonts w:hint="cs"/>
          <w:sz w:val="28"/>
          <w:rtl/>
          <w:lang w:bidi="ar-SY"/>
        </w:rPr>
        <w:t xml:space="preserve">للحاكم وقائد تلك الحرب أن يأخذ خمس الغنائم </w:t>
      </w:r>
      <w:r w:rsidR="00CB4908" w:rsidRPr="003F3B94">
        <w:rPr>
          <w:rFonts w:hint="cs"/>
          <w:sz w:val="28"/>
          <w:rtl/>
          <w:lang w:bidi="ar-SY"/>
        </w:rPr>
        <w:t xml:space="preserve">ثم </w:t>
      </w:r>
      <w:r w:rsidR="004B0CC2" w:rsidRPr="003F3B94">
        <w:rPr>
          <w:rFonts w:hint="cs"/>
          <w:sz w:val="28"/>
          <w:rtl/>
          <w:lang w:bidi="ar-SY"/>
        </w:rPr>
        <w:t xml:space="preserve">يوزع أربعة أخماسها </w:t>
      </w:r>
      <w:r w:rsidR="00CB4908" w:rsidRPr="003F3B94">
        <w:rPr>
          <w:rFonts w:hint="cs"/>
          <w:sz w:val="28"/>
          <w:rtl/>
          <w:lang w:bidi="ar-SY"/>
        </w:rPr>
        <w:t xml:space="preserve">الباقية </w:t>
      </w:r>
      <w:r w:rsidR="004B0CC2" w:rsidRPr="003F3B94">
        <w:rPr>
          <w:rFonts w:hint="cs"/>
          <w:sz w:val="28"/>
          <w:rtl/>
          <w:lang w:bidi="ar-SY"/>
        </w:rPr>
        <w:t>طبقاً لشريعة ا</w:t>
      </w:r>
      <w:r w:rsidR="008A2A49" w:rsidRPr="003F3B94">
        <w:rPr>
          <w:rFonts w:hint="cs"/>
          <w:sz w:val="28"/>
          <w:rtl/>
          <w:lang w:bidi="ar-SY"/>
        </w:rPr>
        <w:t>لإ</w:t>
      </w:r>
      <w:r w:rsidR="004B0CC2" w:rsidRPr="003F3B94">
        <w:rPr>
          <w:rFonts w:hint="cs"/>
          <w:sz w:val="28"/>
          <w:rtl/>
          <w:lang w:bidi="ar-SY"/>
        </w:rPr>
        <w:t>س</w:t>
      </w:r>
      <w:r w:rsidR="008A2A49" w:rsidRPr="003F3B94">
        <w:rPr>
          <w:rFonts w:hint="cs"/>
          <w:sz w:val="28"/>
          <w:rtl/>
          <w:lang w:bidi="ar-SY"/>
        </w:rPr>
        <w:t>لا</w:t>
      </w:r>
      <w:r w:rsidR="004B0CC2" w:rsidRPr="003F3B94">
        <w:rPr>
          <w:rFonts w:hint="cs"/>
          <w:sz w:val="28"/>
          <w:rtl/>
          <w:lang w:bidi="ar-SY"/>
        </w:rPr>
        <w:t>م على المجاهدين</w:t>
      </w:r>
      <w:r w:rsidR="00217AB4" w:rsidRPr="003F3B94">
        <w:rPr>
          <w:rFonts w:hint="cs"/>
          <w:sz w:val="28"/>
          <w:rtl/>
          <w:lang w:bidi="ar-SY"/>
        </w:rPr>
        <w:t>.</w:t>
      </w:r>
      <w:r w:rsidR="004B0CC2" w:rsidRPr="003F3B94">
        <w:rPr>
          <w:rFonts w:hint="cs"/>
          <w:sz w:val="28"/>
          <w:rtl/>
          <w:lang w:bidi="ar-SY"/>
        </w:rPr>
        <w:t xml:space="preserve"> </w:t>
      </w:r>
      <w:r w:rsidR="006C10DC" w:rsidRPr="003F3B94">
        <w:rPr>
          <w:rFonts w:hint="cs"/>
          <w:sz w:val="28"/>
          <w:rtl/>
          <w:lang w:bidi="ar-SY"/>
        </w:rPr>
        <w:t xml:space="preserve">هذا </w:t>
      </w:r>
      <w:r w:rsidR="00CB4908" w:rsidRPr="003F3B94">
        <w:rPr>
          <w:rFonts w:hint="cs"/>
          <w:sz w:val="28"/>
          <w:rtl/>
          <w:lang w:bidi="ar-SY"/>
        </w:rPr>
        <w:t>«</w:t>
      </w:r>
      <w:r w:rsidR="00CB4908" w:rsidRPr="003F3B94">
        <w:rPr>
          <w:rFonts w:hint="cs"/>
          <w:b/>
          <w:bCs/>
          <w:sz w:val="28"/>
          <w:rtl/>
          <w:lang w:bidi="ar-SY"/>
        </w:rPr>
        <w:t>الخمس</w:t>
      </w:r>
      <w:r w:rsidR="00CB4908" w:rsidRPr="003F3B94">
        <w:rPr>
          <w:rFonts w:hint="cs"/>
          <w:sz w:val="28"/>
          <w:rtl/>
          <w:lang w:bidi="ar-SY"/>
        </w:rPr>
        <w:t xml:space="preserve">» </w:t>
      </w:r>
      <w:r w:rsidR="006C10DC" w:rsidRPr="003F3B94">
        <w:rPr>
          <w:rFonts w:hint="cs"/>
          <w:sz w:val="28"/>
          <w:rtl/>
          <w:lang w:bidi="ar-SY"/>
        </w:rPr>
        <w:t xml:space="preserve">تحول إلى ضريبة ظالمةٍ تؤخذ </w:t>
      </w:r>
      <w:r w:rsidR="008A2A49" w:rsidRPr="003F3B94">
        <w:rPr>
          <w:rFonts w:hint="cs"/>
          <w:sz w:val="28"/>
          <w:rtl/>
          <w:lang w:bidi="ar-SY"/>
        </w:rPr>
        <w:t>لا</w:t>
      </w:r>
      <w:r w:rsidR="006126D1" w:rsidRPr="003F3B94">
        <w:rPr>
          <w:rFonts w:hint="cs"/>
          <w:sz w:val="28"/>
          <w:rtl/>
          <w:lang w:bidi="ar-SY"/>
        </w:rPr>
        <w:t xml:space="preserve"> من أموال المشركين بل من عرق جبين الشرائح </w:t>
      </w:r>
      <w:r w:rsidR="007B4B60" w:rsidRPr="003F3B94">
        <w:rPr>
          <w:rFonts w:hint="cs"/>
          <w:sz w:val="28"/>
          <w:rtl/>
          <w:lang w:bidi="ar-SY"/>
        </w:rPr>
        <w:t>الغنية والفقيرة</w:t>
      </w:r>
      <w:r w:rsidR="003F484E" w:rsidRPr="003F3B94">
        <w:rPr>
          <w:rFonts w:hint="cs"/>
          <w:sz w:val="28"/>
          <w:rtl/>
          <w:lang w:bidi="ar-SY"/>
        </w:rPr>
        <w:t xml:space="preserve"> من شيعة أمير المؤمنين المخلصين </w:t>
      </w:r>
      <w:r w:rsidR="00CB4908" w:rsidRPr="003F3B94">
        <w:rPr>
          <w:rFonts w:hint="cs"/>
          <w:sz w:val="28"/>
          <w:rtl/>
          <w:lang w:bidi="ar-SY"/>
        </w:rPr>
        <w:t>ا</w:t>
      </w:r>
      <w:r w:rsidR="008A2A49" w:rsidRPr="003F3B94">
        <w:rPr>
          <w:rFonts w:hint="cs"/>
          <w:sz w:val="28"/>
          <w:rtl/>
          <w:lang w:bidi="ar-SY"/>
        </w:rPr>
        <w:t>لأ</w:t>
      </w:r>
      <w:r w:rsidR="00CB4908" w:rsidRPr="003F3B94">
        <w:rPr>
          <w:rFonts w:hint="cs"/>
          <w:sz w:val="28"/>
          <w:rtl/>
          <w:lang w:bidi="ar-SY"/>
        </w:rPr>
        <w:t>وفياء</w:t>
      </w:r>
      <w:r w:rsidR="00087AF8" w:rsidRPr="003F3B94">
        <w:rPr>
          <w:rFonts w:hint="cs"/>
          <w:sz w:val="28"/>
          <w:rtl/>
          <w:lang w:bidi="ar-SY"/>
        </w:rPr>
        <w:t xml:space="preserve"> وكدِّ يمينهم</w:t>
      </w:r>
      <w:r w:rsidR="00217AB4" w:rsidRPr="003F3B94">
        <w:rPr>
          <w:rFonts w:hint="cs"/>
          <w:sz w:val="28"/>
          <w:rtl/>
          <w:lang w:bidi="ar-SY"/>
        </w:rPr>
        <w:t>،</w:t>
      </w:r>
      <w:r w:rsidR="00CB4908" w:rsidRPr="003F3B94">
        <w:rPr>
          <w:rFonts w:hint="cs"/>
          <w:sz w:val="28"/>
          <w:rtl/>
          <w:lang w:bidi="ar-SY"/>
        </w:rPr>
        <w:t xml:space="preserve"> </w:t>
      </w:r>
      <w:r w:rsidR="003F484E" w:rsidRPr="003F3B94">
        <w:rPr>
          <w:rFonts w:hint="cs"/>
          <w:sz w:val="28"/>
          <w:rtl/>
          <w:lang w:bidi="ar-SY"/>
        </w:rPr>
        <w:t>تأخذها طبقة من ال</w:t>
      </w:r>
      <w:r w:rsidR="00593FE7" w:rsidRPr="003F3B94">
        <w:rPr>
          <w:rFonts w:hint="cs"/>
          <w:sz w:val="28"/>
          <w:rtl/>
          <w:lang w:bidi="ar-SY"/>
        </w:rPr>
        <w:t xml:space="preserve">طفيليين الذين </w:t>
      </w:r>
      <w:r w:rsidR="008A2A49" w:rsidRPr="003F3B94">
        <w:rPr>
          <w:rFonts w:hint="cs"/>
          <w:sz w:val="28"/>
          <w:rtl/>
          <w:lang w:bidi="ar-SY"/>
        </w:rPr>
        <w:t>لا</w:t>
      </w:r>
      <w:r w:rsidR="00593FE7" w:rsidRPr="003F3B94">
        <w:rPr>
          <w:rFonts w:hint="cs"/>
          <w:sz w:val="28"/>
          <w:rtl/>
          <w:lang w:bidi="ar-SY"/>
        </w:rPr>
        <w:t xml:space="preserve"> يرحمون حتى الضعفاء من أمثال الحم</w:t>
      </w:r>
      <w:r w:rsidR="00F13110" w:rsidRPr="003F3B94">
        <w:rPr>
          <w:rFonts w:hint="cs"/>
          <w:sz w:val="28"/>
          <w:rtl/>
          <w:lang w:bidi="ar-SY"/>
        </w:rPr>
        <w:t>ّ</w:t>
      </w:r>
      <w:r w:rsidR="00593FE7" w:rsidRPr="003F3B94">
        <w:rPr>
          <w:rFonts w:hint="cs"/>
          <w:sz w:val="28"/>
          <w:rtl/>
          <w:lang w:bidi="ar-SY"/>
        </w:rPr>
        <w:t>الين ونج</w:t>
      </w:r>
      <w:r w:rsidR="00F13110" w:rsidRPr="003F3B94">
        <w:rPr>
          <w:rFonts w:hint="cs"/>
          <w:sz w:val="28"/>
          <w:rtl/>
          <w:lang w:bidi="ar-SY"/>
        </w:rPr>
        <w:t>ّ</w:t>
      </w:r>
      <w:r w:rsidR="00593FE7" w:rsidRPr="003F3B94">
        <w:rPr>
          <w:rFonts w:hint="cs"/>
          <w:sz w:val="28"/>
          <w:rtl/>
          <w:lang w:bidi="ar-SY"/>
        </w:rPr>
        <w:t xml:space="preserve">اري الحطب </w:t>
      </w:r>
      <w:r w:rsidR="00087AF8" w:rsidRPr="003F3B94">
        <w:rPr>
          <w:rFonts w:hint="cs"/>
          <w:sz w:val="28"/>
          <w:rtl/>
          <w:lang w:bidi="ar-SY"/>
        </w:rPr>
        <w:t>أ</w:t>
      </w:r>
      <w:r w:rsidR="00593FE7" w:rsidRPr="003F3B94">
        <w:rPr>
          <w:rFonts w:hint="cs"/>
          <w:sz w:val="28"/>
          <w:rtl/>
          <w:lang w:bidi="ar-SY"/>
        </w:rPr>
        <w:t>و</w:t>
      </w:r>
      <w:r w:rsidR="00087AF8" w:rsidRPr="003F3B94">
        <w:rPr>
          <w:rFonts w:hint="cs"/>
          <w:sz w:val="28"/>
          <w:rtl/>
          <w:lang w:bidi="ar-SY"/>
        </w:rPr>
        <w:t xml:space="preserve"> </w:t>
      </w:r>
      <w:r w:rsidR="00593FE7" w:rsidRPr="003F3B94">
        <w:rPr>
          <w:rFonts w:hint="cs"/>
          <w:sz w:val="28"/>
          <w:rtl/>
          <w:lang w:bidi="ar-SY"/>
        </w:rPr>
        <w:t xml:space="preserve">الذين يعملون بغزل الخيوط </w:t>
      </w:r>
      <w:r w:rsidR="00A81F54" w:rsidRPr="003F3B94">
        <w:rPr>
          <w:rFonts w:hint="cs"/>
          <w:sz w:val="28"/>
          <w:rtl/>
          <w:lang w:bidi="ar-SY"/>
        </w:rPr>
        <w:t xml:space="preserve">فيأخذون منهم </w:t>
      </w:r>
      <w:r w:rsidR="00CB4908" w:rsidRPr="003F3B94">
        <w:rPr>
          <w:rFonts w:hint="cs"/>
          <w:sz w:val="28"/>
          <w:rtl/>
          <w:lang w:bidi="ar-SY"/>
        </w:rPr>
        <w:t xml:space="preserve">هذه الضريبة </w:t>
      </w:r>
      <w:r w:rsidR="00A81F54" w:rsidRPr="003F3B94">
        <w:rPr>
          <w:rFonts w:hint="cs"/>
          <w:sz w:val="28"/>
          <w:rtl/>
          <w:lang w:bidi="ar-SY"/>
        </w:rPr>
        <w:t>بعد أن يخو</w:t>
      </w:r>
      <w:r w:rsidR="00087AF8" w:rsidRPr="003F3B94">
        <w:rPr>
          <w:rFonts w:hint="cs"/>
          <w:sz w:val="28"/>
          <w:rtl/>
          <w:lang w:bidi="ar-SY"/>
        </w:rPr>
        <w:t>ِّ</w:t>
      </w:r>
      <w:r w:rsidR="00A81F54" w:rsidRPr="003F3B94">
        <w:rPr>
          <w:rFonts w:hint="cs"/>
          <w:sz w:val="28"/>
          <w:rtl/>
          <w:lang w:bidi="ar-SY"/>
        </w:rPr>
        <w:t xml:space="preserve">فوهم من عذاب </w:t>
      </w:r>
      <w:r w:rsidR="00CB4908" w:rsidRPr="003F3B94">
        <w:rPr>
          <w:rFonts w:hint="cs"/>
          <w:sz w:val="28"/>
          <w:rtl/>
          <w:lang w:bidi="ar-SY"/>
        </w:rPr>
        <w:t>الله إن لم يؤدوها لهم</w:t>
      </w:r>
      <w:r w:rsidR="00217AB4" w:rsidRPr="003F3B94">
        <w:rPr>
          <w:rFonts w:hint="cs"/>
          <w:sz w:val="28"/>
          <w:rtl/>
          <w:lang w:bidi="ar-SY"/>
        </w:rPr>
        <w:t>،</w:t>
      </w:r>
      <w:r w:rsidR="00CB4908" w:rsidRPr="003F3B94">
        <w:rPr>
          <w:rFonts w:hint="cs"/>
          <w:sz w:val="28"/>
          <w:rtl/>
          <w:lang w:bidi="ar-SY"/>
        </w:rPr>
        <w:t xml:space="preserve"> ليديروا بها </w:t>
      </w:r>
      <w:r w:rsidR="0010643B" w:rsidRPr="003F3B94">
        <w:rPr>
          <w:rFonts w:hint="cs"/>
          <w:sz w:val="28"/>
          <w:rtl/>
          <w:lang w:bidi="ar-SY"/>
        </w:rPr>
        <w:t xml:space="preserve">مجالس السرور </w:t>
      </w:r>
      <w:r w:rsidR="00127049" w:rsidRPr="003F3B94">
        <w:rPr>
          <w:rFonts w:hint="cs"/>
          <w:sz w:val="28"/>
          <w:rtl/>
          <w:lang w:bidi="ar-SY"/>
        </w:rPr>
        <w:t>وا</w:t>
      </w:r>
      <w:r w:rsidR="008A2A49" w:rsidRPr="003F3B94">
        <w:rPr>
          <w:rFonts w:hint="cs"/>
          <w:sz w:val="28"/>
          <w:rtl/>
          <w:lang w:bidi="ar-SY"/>
        </w:rPr>
        <w:t>لا</w:t>
      </w:r>
      <w:r w:rsidR="00127049" w:rsidRPr="003F3B94">
        <w:rPr>
          <w:rFonts w:hint="cs"/>
          <w:sz w:val="28"/>
          <w:rtl/>
          <w:lang w:bidi="ar-SY"/>
        </w:rPr>
        <w:t xml:space="preserve">نبساط لعدد </w:t>
      </w:r>
      <w:r w:rsidR="00E06DD3" w:rsidRPr="003F3B94">
        <w:rPr>
          <w:rFonts w:hint="cs"/>
          <w:sz w:val="28"/>
          <w:rtl/>
          <w:lang w:bidi="ar-SY"/>
        </w:rPr>
        <w:t>معين</w:t>
      </w:r>
      <w:r w:rsidR="00127049" w:rsidRPr="003F3B94">
        <w:rPr>
          <w:rFonts w:hint="cs"/>
          <w:sz w:val="28"/>
          <w:rtl/>
          <w:lang w:bidi="ar-SY"/>
        </w:rPr>
        <w:t xml:space="preserve"> من الناس</w:t>
      </w:r>
      <w:r w:rsidR="00217AB4" w:rsidRPr="003F3B94">
        <w:rPr>
          <w:rFonts w:hint="cs"/>
          <w:sz w:val="28"/>
          <w:rtl/>
          <w:lang w:bidi="ar-SY"/>
        </w:rPr>
        <w:t>.</w:t>
      </w:r>
      <w:r w:rsidR="00147857" w:rsidRPr="003F3B94">
        <w:rPr>
          <w:rFonts w:hint="cs"/>
          <w:sz w:val="28"/>
          <w:rtl/>
          <w:lang w:bidi="ar-SY"/>
        </w:rPr>
        <w:t xml:space="preserve"> </w:t>
      </w:r>
      <w:r w:rsidR="00ED56A5" w:rsidRPr="003F3B94">
        <w:rPr>
          <w:rFonts w:hint="cs"/>
          <w:sz w:val="28"/>
          <w:rtl/>
          <w:lang w:bidi="ar-SY"/>
        </w:rPr>
        <w:t>وي</w:t>
      </w:r>
      <w:r w:rsidR="00CB4908" w:rsidRPr="003F3B94">
        <w:rPr>
          <w:rFonts w:hint="cs"/>
          <w:sz w:val="28"/>
          <w:rtl/>
          <w:lang w:bidi="ar-SY"/>
        </w:rPr>
        <w:t>تشـ</w:t>
      </w:r>
      <w:r w:rsidR="00ED56A5" w:rsidRPr="003F3B94">
        <w:rPr>
          <w:rFonts w:hint="cs"/>
          <w:sz w:val="28"/>
          <w:rtl/>
          <w:lang w:bidi="ar-SY"/>
        </w:rPr>
        <w:t>بثو</w:t>
      </w:r>
      <w:r w:rsidR="00CB4908" w:rsidRPr="003F3B94">
        <w:rPr>
          <w:rFonts w:hint="cs"/>
          <w:sz w:val="28"/>
          <w:rtl/>
          <w:lang w:bidi="ar-SY"/>
        </w:rPr>
        <w:t xml:space="preserve">ن </w:t>
      </w:r>
      <w:r w:rsidR="006F4DD6" w:rsidRPr="003F3B94">
        <w:rPr>
          <w:rFonts w:hint="cs"/>
          <w:sz w:val="28"/>
          <w:rtl/>
          <w:lang w:bidi="ar-SY"/>
        </w:rPr>
        <w:t>بأن زكاة ا</w:t>
      </w:r>
      <w:r w:rsidR="008A2A49" w:rsidRPr="003F3B94">
        <w:rPr>
          <w:rFonts w:hint="cs"/>
          <w:sz w:val="28"/>
          <w:rtl/>
          <w:lang w:bidi="ar-SY"/>
        </w:rPr>
        <w:t>لأ</w:t>
      </w:r>
      <w:r w:rsidR="006F4DD6" w:rsidRPr="003F3B94">
        <w:rPr>
          <w:rFonts w:hint="cs"/>
          <w:sz w:val="28"/>
          <w:rtl/>
          <w:lang w:bidi="ar-SY"/>
        </w:rPr>
        <w:t xml:space="preserve">غنياء </w:t>
      </w:r>
      <w:r w:rsidR="00217AB4" w:rsidRPr="003F3B94">
        <w:rPr>
          <w:rFonts w:hint="cs"/>
          <w:sz w:val="28"/>
          <w:rtl/>
          <w:lang w:bidi="ar-SY"/>
        </w:rPr>
        <w:t>-</w:t>
      </w:r>
      <w:r w:rsidR="00ED56A5" w:rsidRPr="003F3B94">
        <w:rPr>
          <w:rFonts w:hint="cs"/>
          <w:sz w:val="28"/>
          <w:rtl/>
          <w:lang w:bidi="ar-SY"/>
        </w:rPr>
        <w:t xml:space="preserve"> </w:t>
      </w:r>
      <w:r w:rsidR="006F4DD6" w:rsidRPr="003F3B94">
        <w:rPr>
          <w:rFonts w:hint="cs"/>
          <w:sz w:val="28"/>
          <w:rtl/>
          <w:lang w:bidi="ar-SY"/>
        </w:rPr>
        <w:t xml:space="preserve">التي هي عبارة عن عشر الغلة الزراعية الخالصة للقمح والشعير والزبيب والتمر أو واحد </w:t>
      </w:r>
      <w:r w:rsidR="00FB52E0" w:rsidRPr="003F3B94">
        <w:rPr>
          <w:rFonts w:hint="cs"/>
          <w:sz w:val="28"/>
          <w:rtl/>
          <w:lang w:bidi="ar-SY"/>
        </w:rPr>
        <w:t xml:space="preserve">من </w:t>
      </w:r>
      <w:r w:rsidR="006F4DD6" w:rsidRPr="003F3B94">
        <w:rPr>
          <w:rFonts w:hint="cs"/>
          <w:sz w:val="28"/>
          <w:rtl/>
          <w:lang w:bidi="ar-SY"/>
        </w:rPr>
        <w:t xml:space="preserve">أربعين جزء </w:t>
      </w:r>
      <w:r w:rsidR="00FB52E0" w:rsidRPr="003F3B94">
        <w:rPr>
          <w:rFonts w:hint="cs"/>
          <w:sz w:val="28"/>
          <w:rtl/>
          <w:lang w:bidi="ar-SY"/>
        </w:rPr>
        <w:t>من البقر وا</w:t>
      </w:r>
      <w:r w:rsidR="008A2A49" w:rsidRPr="003F3B94">
        <w:rPr>
          <w:rFonts w:hint="cs"/>
          <w:sz w:val="28"/>
          <w:rtl/>
          <w:lang w:bidi="ar-SY"/>
        </w:rPr>
        <w:t>لأ</w:t>
      </w:r>
      <w:r w:rsidR="00FB52E0" w:rsidRPr="003F3B94">
        <w:rPr>
          <w:rFonts w:hint="cs"/>
          <w:sz w:val="28"/>
          <w:rtl/>
          <w:lang w:bidi="ar-SY"/>
        </w:rPr>
        <w:t xml:space="preserve">غنام السائمة </w:t>
      </w:r>
      <w:r w:rsidR="00217AB4" w:rsidRPr="003F3B94">
        <w:rPr>
          <w:rFonts w:hint="cs"/>
          <w:sz w:val="28"/>
          <w:rtl/>
          <w:lang w:bidi="ar-SY"/>
        </w:rPr>
        <w:t>(</w:t>
      </w:r>
      <w:r w:rsidR="004A5E36" w:rsidRPr="003F3B94">
        <w:rPr>
          <w:rFonts w:hint="cs"/>
          <w:sz w:val="28"/>
          <w:rtl/>
          <w:lang w:bidi="ar-SY"/>
        </w:rPr>
        <w:t>غير المعلوفة</w:t>
      </w:r>
      <w:r w:rsidR="00217AB4" w:rsidRPr="003F3B94">
        <w:rPr>
          <w:rFonts w:hint="cs"/>
          <w:sz w:val="28"/>
          <w:rtl/>
          <w:lang w:bidi="ar-SY"/>
        </w:rPr>
        <w:t>)</w:t>
      </w:r>
      <w:r w:rsidR="004A5E36" w:rsidRPr="003F3B94">
        <w:rPr>
          <w:rFonts w:hint="cs"/>
          <w:sz w:val="28"/>
          <w:rtl/>
          <w:lang w:bidi="ar-SY"/>
        </w:rPr>
        <w:t xml:space="preserve"> </w:t>
      </w:r>
      <w:r w:rsidR="00ED56A5" w:rsidRPr="003F3B94">
        <w:rPr>
          <w:rFonts w:hint="cs"/>
          <w:sz w:val="28"/>
          <w:rtl/>
          <w:lang w:bidi="ar-SY"/>
        </w:rPr>
        <w:t>و</w:t>
      </w:r>
      <w:r w:rsidR="00087AF8" w:rsidRPr="003F3B94">
        <w:rPr>
          <w:rFonts w:hint="cs"/>
          <w:sz w:val="28"/>
          <w:rtl/>
          <w:lang w:bidi="ar-SY"/>
        </w:rPr>
        <w:t>التي ينبغي القول إنه لم يعد لها وجود اليوم [لأن كل الأنعام والمواشي صارت تُعْلَف]</w:t>
      </w:r>
      <w:r w:rsidR="00217AB4" w:rsidRPr="003F3B94">
        <w:rPr>
          <w:rFonts w:hint="cs"/>
          <w:sz w:val="28"/>
          <w:rtl/>
          <w:lang w:bidi="ar-SY"/>
        </w:rPr>
        <w:t>،</w:t>
      </w:r>
      <w:r w:rsidR="00DC5F75" w:rsidRPr="003F3B94">
        <w:rPr>
          <w:rFonts w:hint="cs"/>
          <w:sz w:val="28"/>
          <w:rtl/>
          <w:lang w:bidi="ar-SY"/>
        </w:rPr>
        <w:t xml:space="preserve"> ومن الذهب والفضة المسبوكة </w:t>
      </w:r>
      <w:r w:rsidR="00ED56A5" w:rsidRPr="003F3B94">
        <w:rPr>
          <w:rFonts w:hint="cs"/>
          <w:sz w:val="28"/>
          <w:rtl/>
          <w:lang w:bidi="ar-SY"/>
        </w:rPr>
        <w:t xml:space="preserve">المسكوكة </w:t>
      </w:r>
      <w:r w:rsidR="00DC5F75" w:rsidRPr="003F3B94">
        <w:rPr>
          <w:rFonts w:hint="cs"/>
          <w:sz w:val="28"/>
          <w:rtl/>
          <w:lang w:bidi="ar-SY"/>
        </w:rPr>
        <w:t xml:space="preserve">التي لم يعد </w:t>
      </w:r>
      <w:r w:rsidR="00ED56A5" w:rsidRPr="003F3B94">
        <w:rPr>
          <w:rFonts w:hint="cs"/>
          <w:sz w:val="28"/>
          <w:rtl/>
          <w:lang w:bidi="ar-SY"/>
        </w:rPr>
        <w:t xml:space="preserve">أحد يتعامل بها اليوم </w:t>
      </w:r>
      <w:r w:rsidR="00217AB4" w:rsidRPr="003F3B94">
        <w:rPr>
          <w:rFonts w:hint="cs"/>
          <w:sz w:val="28"/>
          <w:rtl/>
          <w:lang w:bidi="ar-SY"/>
        </w:rPr>
        <w:t>-،</w:t>
      </w:r>
      <w:r w:rsidR="00DC5F75" w:rsidRPr="003F3B94">
        <w:rPr>
          <w:rFonts w:hint="cs"/>
          <w:sz w:val="28"/>
          <w:rtl/>
          <w:lang w:bidi="ar-SY"/>
        </w:rPr>
        <w:t xml:space="preserve"> محرمةٌ على السادات </w:t>
      </w:r>
      <w:r w:rsidR="00217AB4" w:rsidRPr="003F3B94">
        <w:rPr>
          <w:rFonts w:hint="cs"/>
          <w:sz w:val="28"/>
          <w:rtl/>
          <w:lang w:bidi="ar-SY"/>
        </w:rPr>
        <w:t>(</w:t>
      </w:r>
      <w:r w:rsidR="00DC5F75" w:rsidRPr="003F3B94">
        <w:rPr>
          <w:rFonts w:hint="cs"/>
          <w:sz w:val="28"/>
          <w:rtl/>
          <w:lang w:bidi="ar-SY"/>
        </w:rPr>
        <w:t>عنوان لم يكن له وجود في ا</w:t>
      </w:r>
      <w:r w:rsidR="008A2A49" w:rsidRPr="003F3B94">
        <w:rPr>
          <w:rFonts w:hint="cs"/>
          <w:sz w:val="28"/>
          <w:rtl/>
          <w:lang w:bidi="ar-SY"/>
        </w:rPr>
        <w:t>لإ</w:t>
      </w:r>
      <w:r w:rsidR="00DC5F75" w:rsidRPr="003F3B94">
        <w:rPr>
          <w:rFonts w:hint="cs"/>
          <w:sz w:val="28"/>
          <w:rtl/>
          <w:lang w:bidi="ar-SY"/>
        </w:rPr>
        <w:t>س</w:t>
      </w:r>
      <w:r w:rsidR="008A2A49" w:rsidRPr="003F3B94">
        <w:rPr>
          <w:rFonts w:hint="cs"/>
          <w:sz w:val="28"/>
          <w:rtl/>
          <w:lang w:bidi="ar-SY"/>
        </w:rPr>
        <w:t>لا</w:t>
      </w:r>
      <w:r w:rsidR="00DC5F75" w:rsidRPr="003F3B94">
        <w:rPr>
          <w:rFonts w:hint="cs"/>
          <w:sz w:val="28"/>
          <w:rtl/>
          <w:lang w:bidi="ar-SY"/>
        </w:rPr>
        <w:t>م أص</w:t>
      </w:r>
      <w:r w:rsidR="008A2A49" w:rsidRPr="003F3B94">
        <w:rPr>
          <w:rFonts w:hint="cs"/>
          <w:sz w:val="28"/>
          <w:rtl/>
          <w:lang w:bidi="ar-SY"/>
        </w:rPr>
        <w:t>لا</w:t>
      </w:r>
      <w:r w:rsidR="00087AF8" w:rsidRPr="003F3B94">
        <w:rPr>
          <w:rFonts w:hint="cs"/>
          <w:sz w:val="28"/>
          <w:rtl/>
          <w:lang w:bidi="ar-SY"/>
        </w:rPr>
        <w:t>ً</w:t>
      </w:r>
      <w:r w:rsidR="00217AB4" w:rsidRPr="003F3B94">
        <w:rPr>
          <w:rFonts w:hint="cs"/>
          <w:sz w:val="28"/>
          <w:rtl/>
          <w:lang w:bidi="ar-SY"/>
        </w:rPr>
        <w:t>)</w:t>
      </w:r>
      <w:r w:rsidR="00DC5F75" w:rsidRPr="003F3B94">
        <w:rPr>
          <w:rFonts w:hint="cs"/>
          <w:sz w:val="28"/>
          <w:rtl/>
          <w:lang w:bidi="ar-SY"/>
        </w:rPr>
        <w:t xml:space="preserve"> </w:t>
      </w:r>
      <w:r w:rsidR="004238AA" w:rsidRPr="003F3B94">
        <w:rPr>
          <w:rFonts w:hint="cs"/>
          <w:sz w:val="28"/>
          <w:rtl/>
          <w:lang w:bidi="ar-SY"/>
        </w:rPr>
        <w:t>و</w:t>
      </w:r>
      <w:r w:rsidR="008A2A49" w:rsidRPr="003F3B94">
        <w:rPr>
          <w:rFonts w:hint="cs"/>
          <w:sz w:val="28"/>
          <w:rtl/>
          <w:lang w:bidi="ar-SY"/>
        </w:rPr>
        <w:t>لا</w:t>
      </w:r>
      <w:r w:rsidR="004238AA" w:rsidRPr="003F3B94">
        <w:rPr>
          <w:rFonts w:hint="cs"/>
          <w:sz w:val="28"/>
          <w:rtl/>
          <w:lang w:bidi="ar-SY"/>
        </w:rPr>
        <w:t xml:space="preserve"> يصد</w:t>
      </w:r>
      <w:r w:rsidR="00ED56A5" w:rsidRPr="003F3B94">
        <w:rPr>
          <w:rFonts w:hint="cs"/>
          <w:sz w:val="28"/>
          <w:rtl/>
          <w:lang w:bidi="ar-SY"/>
        </w:rPr>
        <w:t>ِّ</w:t>
      </w:r>
      <w:r w:rsidR="004238AA" w:rsidRPr="003F3B94">
        <w:rPr>
          <w:rFonts w:hint="cs"/>
          <w:sz w:val="28"/>
          <w:rtl/>
          <w:lang w:bidi="ar-SY"/>
        </w:rPr>
        <w:t>ق القرآن مثل هذا ا</w:t>
      </w:r>
      <w:r w:rsidR="008A2A49" w:rsidRPr="003F3B94">
        <w:rPr>
          <w:rFonts w:hint="cs"/>
          <w:sz w:val="28"/>
          <w:rtl/>
          <w:lang w:bidi="ar-SY"/>
        </w:rPr>
        <w:t>لا</w:t>
      </w:r>
      <w:r w:rsidR="004238AA" w:rsidRPr="003F3B94">
        <w:rPr>
          <w:rFonts w:hint="cs"/>
          <w:sz w:val="28"/>
          <w:rtl/>
          <w:lang w:bidi="ar-SY"/>
        </w:rPr>
        <w:t>دعاء</w:t>
      </w:r>
      <w:r w:rsidR="00217AB4" w:rsidRPr="003F3B94">
        <w:rPr>
          <w:rFonts w:hint="cs"/>
          <w:sz w:val="28"/>
          <w:rtl/>
          <w:lang w:bidi="ar-SY"/>
        </w:rPr>
        <w:t>.</w:t>
      </w:r>
    </w:p>
    <w:p w:rsidR="00340070" w:rsidRPr="003F3B94" w:rsidRDefault="00ED56A5" w:rsidP="003F3B94">
      <w:pPr>
        <w:pStyle w:val="a0"/>
        <w:rPr>
          <w:rFonts w:hint="cs"/>
          <w:rtl/>
          <w:lang w:bidi="ar-SY"/>
        </w:rPr>
      </w:pPr>
      <w:r w:rsidRPr="003F3B94">
        <w:rPr>
          <w:rFonts w:hint="cs"/>
          <w:sz w:val="28"/>
          <w:rtl/>
          <w:lang w:bidi="ar-SY"/>
        </w:rPr>
        <w:t>و</w:t>
      </w:r>
      <w:r w:rsidR="004238AA" w:rsidRPr="003F3B94">
        <w:rPr>
          <w:rFonts w:hint="cs"/>
          <w:sz w:val="28"/>
          <w:rtl/>
          <w:lang w:bidi="ar-SY"/>
        </w:rPr>
        <w:t>لما كان دين ا</w:t>
      </w:r>
      <w:r w:rsidR="008A2A49" w:rsidRPr="003F3B94">
        <w:rPr>
          <w:rFonts w:hint="cs"/>
          <w:sz w:val="28"/>
          <w:rtl/>
          <w:lang w:bidi="ar-SY"/>
        </w:rPr>
        <w:t>لإ</w:t>
      </w:r>
      <w:r w:rsidR="004238AA" w:rsidRPr="003F3B94">
        <w:rPr>
          <w:rFonts w:hint="cs"/>
          <w:sz w:val="28"/>
          <w:rtl/>
          <w:lang w:bidi="ar-SY"/>
        </w:rPr>
        <w:t>س</w:t>
      </w:r>
      <w:r w:rsidR="008A2A49" w:rsidRPr="003F3B94">
        <w:rPr>
          <w:rFonts w:hint="cs"/>
          <w:sz w:val="28"/>
          <w:rtl/>
          <w:lang w:bidi="ar-SY"/>
        </w:rPr>
        <w:t>لا</w:t>
      </w:r>
      <w:r w:rsidR="004238AA" w:rsidRPr="003F3B94">
        <w:rPr>
          <w:rFonts w:hint="cs"/>
          <w:sz w:val="28"/>
          <w:rtl/>
          <w:lang w:bidi="ar-SY"/>
        </w:rPr>
        <w:t xml:space="preserve">م وأحكامه </w:t>
      </w:r>
      <w:r w:rsidR="005E29C9" w:rsidRPr="003F3B94">
        <w:rPr>
          <w:rFonts w:hint="cs"/>
          <w:sz w:val="28"/>
          <w:rtl/>
          <w:lang w:bidi="ar-SY"/>
        </w:rPr>
        <w:t xml:space="preserve">لجميع أهل الدنيا فإن </w:t>
      </w:r>
      <w:r w:rsidRPr="003F3B94">
        <w:rPr>
          <w:rFonts w:hint="cs"/>
          <w:sz w:val="28"/>
          <w:rtl/>
          <w:lang w:bidi="ar-SY"/>
        </w:rPr>
        <w:t xml:space="preserve">حكم الخمس يشمل </w:t>
      </w:r>
      <w:r w:rsidR="005E29C9" w:rsidRPr="003F3B94">
        <w:rPr>
          <w:rFonts w:hint="cs"/>
          <w:sz w:val="28"/>
          <w:rtl/>
          <w:lang w:bidi="ar-SY"/>
        </w:rPr>
        <w:t>جميع ا</w:t>
      </w:r>
      <w:r w:rsidR="008A2A49" w:rsidRPr="003F3B94">
        <w:rPr>
          <w:rFonts w:hint="cs"/>
          <w:sz w:val="28"/>
          <w:rtl/>
          <w:lang w:bidi="ar-SY"/>
        </w:rPr>
        <w:t>لأ</w:t>
      </w:r>
      <w:r w:rsidR="005E29C9" w:rsidRPr="003F3B94">
        <w:rPr>
          <w:rFonts w:hint="cs"/>
          <w:sz w:val="28"/>
          <w:rtl/>
          <w:lang w:bidi="ar-SY"/>
        </w:rPr>
        <w:t xml:space="preserve">موال ومكاسب المسلمين بل جميع مكاسب وإيرادات جميع أهل الدنيا </w:t>
      </w:r>
      <w:r w:rsidR="003D0290" w:rsidRPr="003F3B94">
        <w:rPr>
          <w:rFonts w:hint="cs"/>
          <w:sz w:val="28"/>
          <w:rtl/>
          <w:lang w:bidi="ar-SY"/>
        </w:rPr>
        <w:t>وجميع الم</w:t>
      </w:r>
      <w:r w:rsidR="00BB408F" w:rsidRPr="003F3B94">
        <w:rPr>
          <w:rFonts w:hint="cs"/>
          <w:sz w:val="28"/>
          <w:rtl/>
          <w:lang w:bidi="ar-SY"/>
        </w:rPr>
        <w:t>عادن والثروات الطبيعية في ا</w:t>
      </w:r>
      <w:r w:rsidR="008A2A49" w:rsidRPr="003F3B94">
        <w:rPr>
          <w:rFonts w:hint="cs"/>
          <w:sz w:val="28"/>
          <w:rtl/>
          <w:lang w:bidi="ar-SY"/>
        </w:rPr>
        <w:t>لأ</w:t>
      </w:r>
      <w:r w:rsidR="00BB408F" w:rsidRPr="003F3B94">
        <w:rPr>
          <w:rFonts w:hint="cs"/>
          <w:sz w:val="28"/>
          <w:rtl/>
          <w:lang w:bidi="ar-SY"/>
        </w:rPr>
        <w:t xml:space="preserve">رض بما في ذلك النفط </w:t>
      </w:r>
      <w:r w:rsidR="00217AB4" w:rsidRPr="003F3B94">
        <w:rPr>
          <w:rFonts w:hint="cs"/>
          <w:sz w:val="28"/>
          <w:rtl/>
          <w:lang w:bidi="ar-SY"/>
        </w:rPr>
        <w:t>(</w:t>
      </w:r>
      <w:r w:rsidR="00BB408F" w:rsidRPr="003F3B94">
        <w:rPr>
          <w:rFonts w:hint="cs"/>
          <w:sz w:val="28"/>
          <w:rtl/>
          <w:lang w:bidi="ar-SY"/>
        </w:rPr>
        <w:t>البترول</w:t>
      </w:r>
      <w:r w:rsidR="00217AB4" w:rsidRPr="003F3B94">
        <w:rPr>
          <w:rFonts w:hint="cs"/>
          <w:sz w:val="28"/>
          <w:rtl/>
          <w:lang w:bidi="ar-SY"/>
        </w:rPr>
        <w:t>)</w:t>
      </w:r>
      <w:r w:rsidR="00BB408F" w:rsidRPr="003F3B94">
        <w:rPr>
          <w:rFonts w:hint="cs"/>
          <w:sz w:val="28"/>
          <w:rtl/>
          <w:lang w:bidi="ar-SY"/>
        </w:rPr>
        <w:t xml:space="preserve"> </w:t>
      </w:r>
      <w:r w:rsidRPr="003F3B94">
        <w:rPr>
          <w:rFonts w:hint="cs"/>
          <w:sz w:val="28"/>
          <w:rtl/>
          <w:lang w:bidi="ar-SY"/>
        </w:rPr>
        <w:t>وجميع الكنوز والدفائن في العالم</w:t>
      </w:r>
      <w:r w:rsidR="00217AB4" w:rsidRPr="003F3B94">
        <w:rPr>
          <w:rFonts w:hint="cs"/>
          <w:sz w:val="28"/>
          <w:rtl/>
          <w:lang w:bidi="ar-SY"/>
        </w:rPr>
        <w:t>،</w:t>
      </w:r>
      <w:r w:rsidRPr="003F3B94">
        <w:rPr>
          <w:rFonts w:hint="cs"/>
          <w:sz w:val="28"/>
          <w:rtl/>
          <w:lang w:bidi="ar-SY"/>
        </w:rPr>
        <w:t xml:space="preserve"> وباختصار</w:t>
      </w:r>
      <w:r w:rsidR="00015718" w:rsidRPr="003F3B94">
        <w:rPr>
          <w:rFonts w:hint="cs"/>
          <w:sz w:val="28"/>
          <w:rtl/>
          <w:lang w:bidi="ar-SY"/>
        </w:rPr>
        <w:t xml:space="preserve"> جميع ما له عنوان المال والقيمة</w:t>
      </w:r>
      <w:r w:rsidR="00217AB4" w:rsidRPr="003F3B94">
        <w:rPr>
          <w:rFonts w:hint="cs"/>
          <w:sz w:val="28"/>
          <w:rtl/>
          <w:lang w:bidi="ar-SY"/>
        </w:rPr>
        <w:t>،</w:t>
      </w:r>
      <w:r w:rsidR="00015718" w:rsidRPr="003F3B94">
        <w:rPr>
          <w:rFonts w:hint="cs"/>
          <w:sz w:val="28"/>
          <w:rtl/>
          <w:lang w:bidi="ar-SY"/>
        </w:rPr>
        <w:t xml:space="preserve"> </w:t>
      </w:r>
      <w:r w:rsidRPr="003F3B94">
        <w:rPr>
          <w:rFonts w:hint="cs"/>
          <w:sz w:val="28"/>
          <w:rtl/>
          <w:lang w:bidi="ar-SY"/>
        </w:rPr>
        <w:t>فكل ذلك</w:t>
      </w:r>
      <w:r w:rsidR="00015718" w:rsidRPr="003F3B94">
        <w:rPr>
          <w:rFonts w:hint="cs"/>
          <w:sz w:val="28"/>
          <w:rtl/>
          <w:lang w:bidi="ar-SY"/>
        </w:rPr>
        <w:t xml:space="preserve"> يجب أن يؤدى خمسه من أي نوع كان </w:t>
      </w:r>
      <w:r w:rsidRPr="003F3B94">
        <w:rPr>
          <w:rFonts w:hint="cs"/>
          <w:sz w:val="28"/>
          <w:rtl/>
          <w:lang w:bidi="ar-SY"/>
        </w:rPr>
        <w:t xml:space="preserve">ليُعطى لطبقة خاصة ذات امتياز </w:t>
      </w:r>
      <w:r w:rsidR="00015718" w:rsidRPr="003F3B94">
        <w:rPr>
          <w:rFonts w:hint="cs"/>
          <w:sz w:val="28"/>
          <w:rtl/>
          <w:lang w:bidi="ar-SY"/>
        </w:rPr>
        <w:t>كي يقوم الشيخ أو ما ي</w:t>
      </w:r>
      <w:r w:rsidRPr="003F3B94">
        <w:rPr>
          <w:rFonts w:hint="cs"/>
          <w:sz w:val="28"/>
          <w:rtl/>
          <w:lang w:bidi="ar-SY"/>
        </w:rPr>
        <w:t>ُ</w:t>
      </w:r>
      <w:r w:rsidR="00015718" w:rsidRPr="003F3B94">
        <w:rPr>
          <w:rFonts w:hint="cs"/>
          <w:sz w:val="28"/>
          <w:rtl/>
          <w:lang w:bidi="ar-SY"/>
        </w:rPr>
        <w:t>سم</w:t>
      </w:r>
      <w:r w:rsidRPr="003F3B94">
        <w:rPr>
          <w:rFonts w:hint="cs"/>
          <w:sz w:val="28"/>
          <w:rtl/>
          <w:lang w:bidi="ar-SY"/>
        </w:rPr>
        <w:t>َّ</w:t>
      </w:r>
      <w:r w:rsidR="00015718" w:rsidRPr="003F3B94">
        <w:rPr>
          <w:rFonts w:hint="cs"/>
          <w:sz w:val="28"/>
          <w:rtl/>
          <w:lang w:bidi="ar-SY"/>
        </w:rPr>
        <w:t xml:space="preserve">ى بالمرجع بصرف نصفها في أمور </w:t>
      </w:r>
      <w:r w:rsidR="008A2A49" w:rsidRPr="003F3B94">
        <w:rPr>
          <w:rFonts w:hint="cs"/>
          <w:sz w:val="28"/>
          <w:rtl/>
          <w:lang w:bidi="ar-SY"/>
        </w:rPr>
        <w:t>لا</w:t>
      </w:r>
      <w:r w:rsidR="00015718" w:rsidRPr="003F3B94">
        <w:rPr>
          <w:rFonts w:hint="cs"/>
          <w:sz w:val="28"/>
          <w:rtl/>
          <w:lang w:bidi="ar-SY"/>
        </w:rPr>
        <w:t xml:space="preserve"> يسأل عنها ويعطي النصف ا</w:t>
      </w:r>
      <w:r w:rsidR="008A2A49" w:rsidRPr="003F3B94">
        <w:rPr>
          <w:rFonts w:hint="cs"/>
          <w:sz w:val="28"/>
          <w:rtl/>
          <w:lang w:bidi="ar-SY"/>
        </w:rPr>
        <w:t>لآ</w:t>
      </w:r>
      <w:r w:rsidR="00015718" w:rsidRPr="003F3B94">
        <w:rPr>
          <w:rFonts w:hint="cs"/>
          <w:sz w:val="28"/>
          <w:rtl/>
          <w:lang w:bidi="ar-SY"/>
        </w:rPr>
        <w:t xml:space="preserve">خر إلى مساكين السادة </w:t>
      </w:r>
      <w:r w:rsidR="00087AF8" w:rsidRPr="003F3B94">
        <w:rPr>
          <w:rFonts w:hint="cs"/>
          <w:sz w:val="28"/>
          <w:rtl/>
          <w:lang w:bidi="ar-SY"/>
        </w:rPr>
        <w:t>[</w:t>
      </w:r>
      <w:r w:rsidR="00015718" w:rsidRPr="003F3B94">
        <w:rPr>
          <w:rFonts w:hint="cs"/>
          <w:sz w:val="28"/>
          <w:rtl/>
          <w:lang w:bidi="ar-SY"/>
        </w:rPr>
        <w:t>أي ا</w:t>
      </w:r>
      <w:r w:rsidR="008A2A49" w:rsidRPr="003F3B94">
        <w:rPr>
          <w:rFonts w:hint="cs"/>
          <w:sz w:val="28"/>
          <w:rtl/>
          <w:lang w:bidi="ar-SY"/>
        </w:rPr>
        <w:t>لأ</w:t>
      </w:r>
      <w:r w:rsidR="00015718" w:rsidRPr="003F3B94">
        <w:rPr>
          <w:rFonts w:hint="cs"/>
          <w:sz w:val="28"/>
          <w:rtl/>
          <w:lang w:bidi="ar-SY"/>
        </w:rPr>
        <w:t>شراف من بني هاشم</w:t>
      </w:r>
      <w:r w:rsidR="00087AF8" w:rsidRPr="003F3B94">
        <w:rPr>
          <w:rFonts w:hint="cs"/>
          <w:sz w:val="28"/>
          <w:rtl/>
          <w:lang w:bidi="ar-SY"/>
        </w:rPr>
        <w:t>]</w:t>
      </w:r>
      <w:r w:rsidR="00015718" w:rsidRPr="003F3B94">
        <w:rPr>
          <w:rFonts w:hint="cs"/>
          <w:sz w:val="28"/>
          <w:rtl/>
          <w:lang w:bidi="ar-SY"/>
        </w:rPr>
        <w:t xml:space="preserve"> </w:t>
      </w:r>
      <w:r w:rsidR="00A8039F" w:rsidRPr="003F3B94">
        <w:rPr>
          <w:rFonts w:hint="cs"/>
          <w:sz w:val="28"/>
          <w:rtl/>
          <w:lang w:bidi="ar-SY"/>
        </w:rPr>
        <w:t xml:space="preserve">وأيتامهم وأبناء السبيل منهم </w:t>
      </w:r>
      <w:r w:rsidR="00217AB4" w:rsidRPr="003F3B94">
        <w:rPr>
          <w:rFonts w:hint="cs"/>
          <w:sz w:val="28"/>
          <w:rtl/>
          <w:lang w:bidi="ar-SY"/>
        </w:rPr>
        <w:t>(</w:t>
      </w:r>
      <w:r w:rsidR="00A8039F" w:rsidRPr="003F3B94">
        <w:rPr>
          <w:rFonts w:hint="cs"/>
          <w:sz w:val="28"/>
          <w:rtl/>
          <w:lang w:bidi="ar-SY"/>
        </w:rPr>
        <w:t>مع أن هؤ</w:t>
      </w:r>
      <w:r w:rsidR="008A2A49" w:rsidRPr="003F3B94">
        <w:rPr>
          <w:rFonts w:hint="cs"/>
          <w:sz w:val="28"/>
          <w:rtl/>
          <w:lang w:bidi="ar-SY"/>
        </w:rPr>
        <w:t>لا</w:t>
      </w:r>
      <w:r w:rsidR="00A8039F" w:rsidRPr="003F3B94">
        <w:rPr>
          <w:rFonts w:hint="cs"/>
          <w:sz w:val="28"/>
          <w:rtl/>
          <w:lang w:bidi="ar-SY"/>
        </w:rPr>
        <w:t>ء يمكنهم أن يستفيدوا م</w:t>
      </w:r>
      <w:r w:rsidR="00CC4D80" w:rsidRPr="003F3B94">
        <w:rPr>
          <w:rFonts w:hint="cs"/>
          <w:sz w:val="28"/>
          <w:rtl/>
          <w:lang w:bidi="ar-SY"/>
        </w:rPr>
        <w:t>ن الزكوات والصدقات من أمثالهم من ا</w:t>
      </w:r>
      <w:r w:rsidR="008A2A49" w:rsidRPr="003F3B94">
        <w:rPr>
          <w:rFonts w:hint="cs"/>
          <w:sz w:val="28"/>
          <w:rtl/>
          <w:lang w:bidi="ar-SY"/>
        </w:rPr>
        <w:t>لأ</w:t>
      </w:r>
      <w:r w:rsidR="00CC4D80" w:rsidRPr="003F3B94">
        <w:rPr>
          <w:rFonts w:hint="cs"/>
          <w:sz w:val="28"/>
          <w:rtl/>
          <w:lang w:bidi="ar-SY"/>
        </w:rPr>
        <w:t xml:space="preserve">شراف </w:t>
      </w:r>
      <w:r w:rsidR="00A8039F" w:rsidRPr="003F3B94">
        <w:rPr>
          <w:rFonts w:hint="cs"/>
          <w:sz w:val="28"/>
          <w:rtl/>
          <w:lang w:bidi="ar-SY"/>
        </w:rPr>
        <w:t xml:space="preserve">وأحياناً من غيرهم </w:t>
      </w:r>
      <w:r w:rsidR="00340070" w:rsidRPr="003F3B94">
        <w:rPr>
          <w:rFonts w:hint="cs"/>
          <w:sz w:val="28"/>
          <w:rtl/>
          <w:lang w:bidi="ar-SY"/>
        </w:rPr>
        <w:t>أيضاً</w:t>
      </w:r>
      <w:r w:rsidR="00217AB4" w:rsidRPr="003F3B94">
        <w:rPr>
          <w:rFonts w:hint="cs"/>
          <w:sz w:val="28"/>
          <w:rtl/>
          <w:lang w:bidi="ar-SY"/>
        </w:rPr>
        <w:t>).</w:t>
      </w:r>
      <w:r w:rsidRPr="003F3B94">
        <w:rPr>
          <w:rFonts w:hint="cs"/>
          <w:sz w:val="28"/>
          <w:rtl/>
          <w:lang w:bidi="ar-SY"/>
        </w:rPr>
        <w:t xml:space="preserve"> </w:t>
      </w:r>
      <w:r w:rsidR="00087AF8" w:rsidRPr="003F3B94">
        <w:rPr>
          <w:rFonts w:hint="cs"/>
          <w:sz w:val="28"/>
          <w:rtl/>
          <w:lang w:bidi="ar-SY"/>
        </w:rPr>
        <w:t>وَيُعْطَوْنَ منه حتى لو كانوا أغنياء</w:t>
      </w:r>
      <w:r w:rsidR="00217AB4" w:rsidRPr="003F3B94">
        <w:rPr>
          <w:rFonts w:hint="cs"/>
          <w:sz w:val="28"/>
          <w:rtl/>
          <w:lang w:bidi="ar-SY"/>
        </w:rPr>
        <w:t>،</w:t>
      </w:r>
      <w:r w:rsidR="00340070" w:rsidRPr="003F3B94">
        <w:rPr>
          <w:rFonts w:hint="cs"/>
          <w:sz w:val="28"/>
          <w:rtl/>
          <w:lang w:bidi="ar-SY"/>
        </w:rPr>
        <w:t xml:space="preserve"> وفي الواقع </w:t>
      </w:r>
      <w:r w:rsidRPr="003F3B94">
        <w:rPr>
          <w:rFonts w:hint="cs"/>
          <w:sz w:val="28"/>
          <w:rtl/>
          <w:lang w:bidi="ar-SY"/>
        </w:rPr>
        <w:t xml:space="preserve">يبقى </w:t>
      </w:r>
      <w:r w:rsidR="00340070" w:rsidRPr="003F3B94">
        <w:rPr>
          <w:rFonts w:hint="cs"/>
          <w:sz w:val="28"/>
          <w:rtl/>
          <w:lang w:bidi="ar-SY"/>
        </w:rPr>
        <w:t xml:space="preserve">المساكين والفقراء </w:t>
      </w:r>
      <w:r w:rsidRPr="003F3B94">
        <w:rPr>
          <w:rFonts w:hint="cs"/>
          <w:sz w:val="28"/>
          <w:rtl/>
          <w:lang w:bidi="ar-SY"/>
        </w:rPr>
        <w:t>من أصحاب هذا النسب</w:t>
      </w:r>
      <w:r w:rsidR="00340070" w:rsidRPr="003F3B94">
        <w:rPr>
          <w:rFonts w:hint="cs"/>
          <w:sz w:val="28"/>
          <w:rtl/>
          <w:lang w:bidi="ar-SY"/>
        </w:rPr>
        <w:t xml:space="preserve"> </w:t>
      </w:r>
      <w:r w:rsidR="00087AF8" w:rsidRPr="003F3B94">
        <w:rPr>
          <w:rFonts w:hint="cs"/>
          <w:sz w:val="28"/>
          <w:rtl/>
          <w:lang w:bidi="ar-SY"/>
        </w:rPr>
        <w:t>في مأمن</w:t>
      </w:r>
      <w:r w:rsidR="00473885" w:rsidRPr="003F3B94">
        <w:rPr>
          <w:rFonts w:hint="cs"/>
          <w:sz w:val="28"/>
          <w:rtl/>
          <w:lang w:bidi="ar-SY"/>
        </w:rPr>
        <w:t xml:space="preserve"> من الفقر والعوز</w:t>
      </w:r>
      <w:r w:rsidRPr="003F3B94">
        <w:rPr>
          <w:rFonts w:hint="cs"/>
          <w:sz w:val="28"/>
          <w:rtl/>
          <w:lang w:bidi="ar-SY"/>
        </w:rPr>
        <w:t xml:space="preserve"> جميع حياتهم</w:t>
      </w:r>
      <w:r w:rsidR="00217AB4" w:rsidRPr="003F3B94">
        <w:rPr>
          <w:rFonts w:hint="cs"/>
          <w:sz w:val="28"/>
          <w:rtl/>
          <w:lang w:bidi="ar-SY"/>
        </w:rPr>
        <w:t>!!</w:t>
      </w:r>
      <w:r w:rsidR="00421FDD" w:rsidRPr="003F3B94">
        <w:rPr>
          <w:rFonts w:hint="cs"/>
          <w:sz w:val="28"/>
          <w:rtl/>
          <w:lang w:bidi="ar-SY"/>
        </w:rPr>
        <w:t xml:space="preserve"> </w:t>
      </w:r>
      <w:r w:rsidRPr="003F3B94">
        <w:rPr>
          <w:rFonts w:hint="cs"/>
          <w:sz w:val="28"/>
          <w:rtl/>
          <w:lang w:bidi="ar-SY"/>
        </w:rPr>
        <w:t xml:space="preserve">حيث </w:t>
      </w:r>
      <w:r w:rsidR="00421FDD" w:rsidRPr="003F3B94">
        <w:rPr>
          <w:rFonts w:hint="cs"/>
          <w:sz w:val="28"/>
          <w:rtl/>
          <w:lang w:bidi="ar-SY"/>
        </w:rPr>
        <w:t xml:space="preserve">يقوم السيد </w:t>
      </w:r>
      <w:r w:rsidR="00DC30E5" w:rsidRPr="003F3B94">
        <w:rPr>
          <w:rFonts w:hint="cs"/>
          <w:sz w:val="28"/>
          <w:rtl/>
          <w:lang w:bidi="ar-SY"/>
        </w:rPr>
        <w:t>[أي الهاشمي أو علوي النسب]</w:t>
      </w:r>
      <w:r w:rsidR="00421FDD" w:rsidRPr="003F3B94">
        <w:rPr>
          <w:rFonts w:hint="cs"/>
          <w:sz w:val="28"/>
          <w:rtl/>
          <w:lang w:bidi="ar-SY"/>
        </w:rPr>
        <w:t xml:space="preserve"> بأ</w:t>
      </w:r>
      <w:r w:rsidRPr="003F3B94">
        <w:rPr>
          <w:rFonts w:hint="cs"/>
          <w:sz w:val="28"/>
          <w:rtl/>
          <w:lang w:bidi="ar-SY"/>
        </w:rPr>
        <w:t xml:space="preserve">خذ المال سنةً بعد سنة حسب حاله </w:t>
      </w:r>
      <w:r w:rsidR="00421FDD" w:rsidRPr="003F3B94">
        <w:rPr>
          <w:rFonts w:hint="cs"/>
          <w:sz w:val="28"/>
          <w:rtl/>
          <w:lang w:bidi="ar-SY"/>
        </w:rPr>
        <w:t>كي يعيش كل سنته مرتاح البال وينشغل بتكثير نسل الكسالى و</w:t>
      </w:r>
      <w:r w:rsidR="00AA403C" w:rsidRPr="003F3B94">
        <w:rPr>
          <w:rFonts w:hint="cs"/>
          <w:sz w:val="28"/>
          <w:rtl/>
          <w:lang w:bidi="ar-SY"/>
        </w:rPr>
        <w:t>المتواكلين</w:t>
      </w:r>
      <w:r w:rsidR="00421FDD" w:rsidRPr="003F3B94">
        <w:rPr>
          <w:rFonts w:hint="cs"/>
          <w:sz w:val="28"/>
          <w:rtl/>
          <w:lang w:bidi="ar-SY"/>
        </w:rPr>
        <w:t xml:space="preserve"> أمثاله</w:t>
      </w:r>
      <w:r w:rsidR="00217AB4" w:rsidRPr="003F3B94">
        <w:rPr>
          <w:rFonts w:hint="cs"/>
          <w:sz w:val="28"/>
          <w:rtl/>
          <w:lang w:bidi="ar-SY"/>
        </w:rPr>
        <w:t>!</w:t>
      </w:r>
    </w:p>
    <w:p w:rsidR="001D7F30" w:rsidRPr="003F3B94" w:rsidRDefault="00ED56A5" w:rsidP="003F3B94">
      <w:pPr>
        <w:pStyle w:val="a0"/>
        <w:rPr>
          <w:rFonts w:hint="cs"/>
          <w:rtl/>
          <w:lang w:bidi="ar-SY"/>
        </w:rPr>
      </w:pPr>
      <w:r w:rsidRPr="003F3B94">
        <w:rPr>
          <w:rFonts w:hint="cs"/>
          <w:sz w:val="28"/>
          <w:rtl/>
          <w:lang w:bidi="ar-SY"/>
        </w:rPr>
        <w:t>لو أدِّيت هذه الضريبة الباهظة والعجيبة</w:t>
      </w:r>
      <w:r w:rsidR="00421FDD" w:rsidRPr="003F3B94">
        <w:rPr>
          <w:rFonts w:hint="cs"/>
          <w:sz w:val="28"/>
          <w:rtl/>
          <w:lang w:bidi="ar-SY"/>
        </w:rPr>
        <w:t xml:space="preserve"> </w:t>
      </w:r>
      <w:r w:rsidR="008A2A49" w:rsidRPr="003F3B94">
        <w:rPr>
          <w:rFonts w:hint="cs"/>
          <w:sz w:val="28"/>
          <w:rtl/>
          <w:lang w:bidi="ar-SY"/>
        </w:rPr>
        <w:t>لأ</w:t>
      </w:r>
      <w:r w:rsidR="00421FDD" w:rsidRPr="003F3B94">
        <w:rPr>
          <w:rFonts w:hint="cs"/>
          <w:sz w:val="28"/>
          <w:rtl/>
          <w:lang w:bidi="ar-SY"/>
        </w:rPr>
        <w:t>مكن أن توفر دخ</w:t>
      </w:r>
      <w:r w:rsidR="008A2A49" w:rsidRPr="003F3B94">
        <w:rPr>
          <w:rFonts w:hint="cs"/>
          <w:sz w:val="28"/>
          <w:rtl/>
          <w:lang w:bidi="ar-SY"/>
        </w:rPr>
        <w:t>لا</w:t>
      </w:r>
      <w:r w:rsidR="00087AF8" w:rsidRPr="003F3B94">
        <w:rPr>
          <w:rFonts w:hint="cs"/>
          <w:sz w:val="28"/>
          <w:rtl/>
          <w:lang w:bidi="ar-SY"/>
        </w:rPr>
        <w:t>ً</w:t>
      </w:r>
      <w:r w:rsidR="00421FDD" w:rsidRPr="003F3B94">
        <w:rPr>
          <w:rFonts w:hint="cs"/>
          <w:sz w:val="28"/>
          <w:rtl/>
          <w:lang w:bidi="ar-SY"/>
        </w:rPr>
        <w:t xml:space="preserve"> عظيماً وموائد متنوعة دسمة وفرشاً </w:t>
      </w:r>
      <w:r w:rsidR="000A166F" w:rsidRPr="003F3B94">
        <w:rPr>
          <w:rFonts w:hint="cs"/>
          <w:sz w:val="28"/>
          <w:rtl/>
          <w:lang w:bidi="ar-SY"/>
        </w:rPr>
        <w:t xml:space="preserve">فاضحة ومخزية </w:t>
      </w:r>
      <w:r w:rsidR="00A056DD" w:rsidRPr="003F3B94">
        <w:rPr>
          <w:rFonts w:hint="cs"/>
          <w:sz w:val="28"/>
          <w:rtl/>
          <w:lang w:bidi="ar-SY"/>
        </w:rPr>
        <w:t>لطبقة معينة معدودة</w:t>
      </w:r>
      <w:r w:rsidR="00217AB4" w:rsidRPr="003F3B94">
        <w:rPr>
          <w:rFonts w:hint="cs"/>
          <w:sz w:val="28"/>
          <w:rtl/>
          <w:lang w:bidi="ar-SY"/>
        </w:rPr>
        <w:t>!</w:t>
      </w:r>
      <w:r w:rsidR="00A056DD" w:rsidRPr="003F3B94">
        <w:rPr>
          <w:rFonts w:hint="cs"/>
          <w:sz w:val="28"/>
          <w:rtl/>
          <w:lang w:bidi="ar-SY"/>
        </w:rPr>
        <w:t xml:space="preserve"> </w:t>
      </w:r>
      <w:r w:rsidRPr="003F3B94">
        <w:rPr>
          <w:rFonts w:hint="cs"/>
          <w:sz w:val="28"/>
          <w:rtl/>
          <w:lang w:bidi="ar-SY"/>
        </w:rPr>
        <w:t>و</w:t>
      </w:r>
      <w:r w:rsidR="00785C24" w:rsidRPr="003F3B94">
        <w:rPr>
          <w:rFonts w:hint="cs"/>
          <w:sz w:val="28"/>
          <w:rtl/>
          <w:lang w:bidi="ar-SY"/>
        </w:rPr>
        <w:t xml:space="preserve">لو تم دفع الخمس من </w:t>
      </w:r>
      <w:r w:rsidRPr="003F3B94">
        <w:rPr>
          <w:rFonts w:hint="cs"/>
          <w:sz w:val="28"/>
          <w:rtl/>
          <w:lang w:bidi="ar-SY"/>
        </w:rPr>
        <w:t xml:space="preserve">جميع </w:t>
      </w:r>
      <w:r w:rsidR="00785C24" w:rsidRPr="003F3B94">
        <w:rPr>
          <w:rFonts w:hint="cs"/>
          <w:sz w:val="28"/>
          <w:rtl/>
          <w:lang w:bidi="ar-SY"/>
        </w:rPr>
        <w:t>ا</w:t>
      </w:r>
      <w:r w:rsidR="008A2A49" w:rsidRPr="003F3B94">
        <w:rPr>
          <w:rFonts w:hint="cs"/>
          <w:sz w:val="28"/>
          <w:rtl/>
          <w:lang w:bidi="ar-SY"/>
        </w:rPr>
        <w:t>لأ</w:t>
      </w:r>
      <w:r w:rsidR="00785C24" w:rsidRPr="003F3B94">
        <w:rPr>
          <w:rFonts w:hint="cs"/>
          <w:sz w:val="28"/>
          <w:rtl/>
          <w:lang w:bidi="ar-SY"/>
        </w:rPr>
        <w:t xml:space="preserve">موال في بلد مثل إيران </w:t>
      </w:r>
      <w:r w:rsidR="008A2A49" w:rsidRPr="003F3B94">
        <w:rPr>
          <w:rFonts w:hint="cs"/>
          <w:sz w:val="28"/>
          <w:rtl/>
          <w:lang w:bidi="ar-SY"/>
        </w:rPr>
        <w:t>لا</w:t>
      </w:r>
      <w:r w:rsidR="00785C24" w:rsidRPr="003F3B94">
        <w:rPr>
          <w:rFonts w:hint="cs"/>
          <w:sz w:val="28"/>
          <w:rtl/>
          <w:lang w:bidi="ar-SY"/>
        </w:rPr>
        <w:t xml:space="preserve"> ي</w:t>
      </w:r>
      <w:r w:rsidR="00087AF8" w:rsidRPr="003F3B94">
        <w:rPr>
          <w:rFonts w:hint="cs"/>
          <w:sz w:val="28"/>
          <w:rtl/>
          <w:lang w:bidi="ar-SY"/>
        </w:rPr>
        <w:t>ُ</w:t>
      </w:r>
      <w:r w:rsidR="00785C24" w:rsidRPr="003F3B94">
        <w:rPr>
          <w:rFonts w:hint="cs"/>
          <w:sz w:val="28"/>
          <w:rtl/>
          <w:lang w:bidi="ar-SY"/>
        </w:rPr>
        <w:t>ع</w:t>
      </w:r>
      <w:r w:rsidR="00087AF8" w:rsidRPr="003F3B94">
        <w:rPr>
          <w:rFonts w:hint="cs"/>
          <w:sz w:val="28"/>
          <w:rtl/>
          <w:lang w:bidi="ar-SY"/>
        </w:rPr>
        <w:t>َ</w:t>
      </w:r>
      <w:r w:rsidR="00785C24" w:rsidRPr="003F3B94">
        <w:rPr>
          <w:rFonts w:hint="cs"/>
          <w:sz w:val="28"/>
          <w:rtl/>
          <w:lang w:bidi="ar-SY"/>
        </w:rPr>
        <w:t>د</w:t>
      </w:r>
      <w:r w:rsidR="00087AF8" w:rsidRPr="003F3B94">
        <w:rPr>
          <w:rFonts w:hint="cs"/>
          <w:sz w:val="28"/>
          <w:rtl/>
          <w:lang w:bidi="ar-SY"/>
        </w:rPr>
        <w:t>ُّ</w:t>
      </w:r>
      <w:r w:rsidR="00785C24" w:rsidRPr="003F3B94">
        <w:rPr>
          <w:rFonts w:hint="cs"/>
          <w:sz w:val="28"/>
          <w:rtl/>
          <w:lang w:bidi="ar-SY"/>
        </w:rPr>
        <w:t xml:space="preserve"> غنياً جداً من حيث </w:t>
      </w:r>
      <w:r w:rsidR="00967025" w:rsidRPr="003F3B94">
        <w:rPr>
          <w:rFonts w:hint="cs"/>
          <w:sz w:val="28"/>
          <w:rtl/>
          <w:lang w:bidi="ar-SY"/>
        </w:rPr>
        <w:t>مداخيله وي</w:t>
      </w:r>
      <w:r w:rsidR="00087AF8" w:rsidRPr="003F3B94">
        <w:rPr>
          <w:rFonts w:hint="cs"/>
          <w:sz w:val="28"/>
          <w:rtl/>
          <w:lang w:bidi="ar-SY"/>
        </w:rPr>
        <w:t>ُ</w:t>
      </w:r>
      <w:r w:rsidR="00967025" w:rsidRPr="003F3B94">
        <w:rPr>
          <w:rFonts w:hint="cs"/>
          <w:sz w:val="28"/>
          <w:rtl/>
          <w:lang w:bidi="ar-SY"/>
        </w:rPr>
        <w:t>ع</w:t>
      </w:r>
      <w:r w:rsidR="00087AF8" w:rsidRPr="003F3B94">
        <w:rPr>
          <w:rFonts w:hint="cs"/>
          <w:sz w:val="28"/>
          <w:rtl/>
          <w:lang w:bidi="ar-SY"/>
        </w:rPr>
        <w:t>َ</w:t>
      </w:r>
      <w:r w:rsidR="00967025" w:rsidRPr="003F3B94">
        <w:rPr>
          <w:rFonts w:hint="cs"/>
          <w:sz w:val="28"/>
          <w:rtl/>
          <w:lang w:bidi="ar-SY"/>
        </w:rPr>
        <w:t>د</w:t>
      </w:r>
      <w:r w:rsidR="00087AF8" w:rsidRPr="003F3B94">
        <w:rPr>
          <w:rFonts w:hint="cs"/>
          <w:sz w:val="28"/>
          <w:rtl/>
          <w:lang w:bidi="ar-SY"/>
        </w:rPr>
        <w:t>ُّ</w:t>
      </w:r>
      <w:r w:rsidR="00967025" w:rsidRPr="003F3B94">
        <w:rPr>
          <w:rFonts w:hint="cs"/>
          <w:sz w:val="28"/>
          <w:rtl/>
          <w:lang w:bidi="ar-SY"/>
        </w:rPr>
        <w:t xml:space="preserve"> من أغنى الب</w:t>
      </w:r>
      <w:r w:rsidR="008A2A49" w:rsidRPr="003F3B94">
        <w:rPr>
          <w:rFonts w:hint="cs"/>
          <w:sz w:val="28"/>
          <w:rtl/>
          <w:lang w:bidi="ar-SY"/>
        </w:rPr>
        <w:t>لا</w:t>
      </w:r>
      <w:r w:rsidR="00967025" w:rsidRPr="003F3B94">
        <w:rPr>
          <w:rFonts w:hint="cs"/>
          <w:sz w:val="28"/>
          <w:rtl/>
          <w:lang w:bidi="ar-SY"/>
        </w:rPr>
        <w:t xml:space="preserve">د من ناحية وجود السادات </w:t>
      </w:r>
      <w:r w:rsidR="00F854FB" w:rsidRPr="003F3B94">
        <w:rPr>
          <w:rFonts w:hint="cs"/>
          <w:sz w:val="28"/>
          <w:rtl/>
          <w:lang w:bidi="ar-SY"/>
        </w:rPr>
        <w:t>فيه</w:t>
      </w:r>
      <w:r w:rsidR="00217AB4" w:rsidRPr="003F3B94">
        <w:rPr>
          <w:rFonts w:hint="cs"/>
          <w:sz w:val="28"/>
          <w:rtl/>
          <w:lang w:bidi="ar-SY"/>
        </w:rPr>
        <w:t>،</w:t>
      </w:r>
      <w:r w:rsidR="00F854FB" w:rsidRPr="003F3B94">
        <w:rPr>
          <w:rFonts w:hint="cs"/>
          <w:sz w:val="28"/>
          <w:rtl/>
          <w:lang w:bidi="ar-SY"/>
        </w:rPr>
        <w:t xml:space="preserve"> بل لو لم يؤد</w:t>
      </w:r>
      <w:r w:rsidRPr="003F3B94">
        <w:rPr>
          <w:rFonts w:hint="cs"/>
          <w:sz w:val="28"/>
          <w:rtl/>
          <w:lang w:bidi="ar-SY"/>
        </w:rPr>
        <w:t>َّ</w:t>
      </w:r>
      <w:r w:rsidR="00F854FB" w:rsidRPr="003F3B94">
        <w:rPr>
          <w:rFonts w:hint="cs"/>
          <w:sz w:val="28"/>
          <w:rtl/>
          <w:lang w:bidi="ar-SY"/>
        </w:rPr>
        <w:t xml:space="preserve"> فيه إ</w:t>
      </w:r>
      <w:r w:rsidR="008A2A49" w:rsidRPr="003F3B94">
        <w:rPr>
          <w:rFonts w:hint="cs"/>
          <w:sz w:val="28"/>
          <w:rtl/>
          <w:lang w:bidi="ar-SY"/>
        </w:rPr>
        <w:t>لا</w:t>
      </w:r>
      <w:r w:rsidR="00F854FB" w:rsidRPr="003F3B94">
        <w:rPr>
          <w:rFonts w:hint="cs"/>
          <w:sz w:val="28"/>
          <w:rtl/>
          <w:lang w:bidi="ar-SY"/>
        </w:rPr>
        <w:t xml:space="preserve"> خمس المعادن فقط</w:t>
      </w:r>
      <w:r w:rsidR="00217AB4" w:rsidRPr="003F3B94">
        <w:rPr>
          <w:rFonts w:hint="cs"/>
          <w:sz w:val="28"/>
          <w:rtl/>
          <w:lang w:bidi="ar-SY"/>
        </w:rPr>
        <w:t>،</w:t>
      </w:r>
      <w:r w:rsidR="00F854FB" w:rsidRPr="003F3B94">
        <w:rPr>
          <w:rFonts w:hint="cs"/>
          <w:sz w:val="28"/>
          <w:rtl/>
          <w:lang w:bidi="ar-SY"/>
        </w:rPr>
        <w:t xml:space="preserve"> لنال كل سيد </w:t>
      </w:r>
      <w:r w:rsidR="00DC30E5" w:rsidRPr="003F3B94">
        <w:rPr>
          <w:rFonts w:hint="cs"/>
          <w:sz w:val="28"/>
          <w:rtl/>
          <w:lang w:bidi="ar-SY"/>
        </w:rPr>
        <w:t xml:space="preserve">[أي الهاشمي أو علوي النسب] </w:t>
      </w:r>
      <w:r w:rsidR="00F854FB" w:rsidRPr="003F3B94">
        <w:rPr>
          <w:rFonts w:hint="cs"/>
          <w:sz w:val="28"/>
          <w:rtl/>
          <w:lang w:bidi="ar-SY"/>
        </w:rPr>
        <w:t>ألف تومانٍ</w:t>
      </w:r>
      <w:r w:rsidR="00217AB4" w:rsidRPr="0021507A">
        <w:rPr>
          <w:rStyle w:val="FootnoteReference"/>
          <w:rFonts w:cs="Arabic11 BT"/>
          <w:b/>
          <w:sz w:val="28"/>
          <w:rtl/>
          <w:lang w:bidi="ar-SY"/>
        </w:rPr>
        <w:t>(</w:t>
      </w:r>
      <w:r w:rsidR="00F854FB" w:rsidRPr="0021507A">
        <w:rPr>
          <w:rStyle w:val="FootnoteReference"/>
          <w:rFonts w:cs="Arabic11 BT"/>
          <w:b/>
          <w:sz w:val="28"/>
          <w:rtl/>
          <w:lang w:bidi="ar-SY"/>
        </w:rPr>
        <w:footnoteReference w:id="8"/>
      </w:r>
      <w:r w:rsidR="00217AB4" w:rsidRPr="0021507A">
        <w:rPr>
          <w:rStyle w:val="FootnoteReference"/>
          <w:rFonts w:cs="Arabic11 BT"/>
          <w:b/>
          <w:sz w:val="28"/>
          <w:rtl/>
          <w:lang w:bidi="ar-SY"/>
        </w:rPr>
        <w:t>)</w:t>
      </w:r>
      <w:r w:rsidRPr="003F3B94">
        <w:rPr>
          <w:rFonts w:hint="cs"/>
          <w:sz w:val="28"/>
          <w:rtl/>
          <w:lang w:bidi="ar-SY"/>
        </w:rPr>
        <w:t xml:space="preserve"> يومياً</w:t>
      </w:r>
      <w:r w:rsidR="00217AB4" w:rsidRPr="003F3B94">
        <w:rPr>
          <w:rFonts w:hint="cs"/>
          <w:sz w:val="28"/>
          <w:rtl/>
          <w:lang w:bidi="ar-SY"/>
        </w:rPr>
        <w:t>.</w:t>
      </w:r>
      <w:r w:rsidRPr="003F3B94">
        <w:rPr>
          <w:rFonts w:hint="cs"/>
          <w:sz w:val="28"/>
          <w:rtl/>
          <w:lang w:bidi="ar-SY"/>
        </w:rPr>
        <w:t xml:space="preserve"> </w:t>
      </w:r>
      <w:r w:rsidR="00795504" w:rsidRPr="003F3B94">
        <w:rPr>
          <w:rFonts w:hint="cs"/>
          <w:sz w:val="28"/>
          <w:rtl/>
          <w:lang w:bidi="ar-SY"/>
        </w:rPr>
        <w:t>وقد يُقال</w:t>
      </w:r>
      <w:r w:rsidRPr="003F3B94">
        <w:rPr>
          <w:rFonts w:hint="cs"/>
          <w:sz w:val="28"/>
          <w:rtl/>
          <w:lang w:bidi="ar-SY"/>
        </w:rPr>
        <w:t xml:space="preserve"> إ</w:t>
      </w:r>
      <w:r w:rsidR="00F854FB" w:rsidRPr="003F3B94">
        <w:rPr>
          <w:rFonts w:hint="cs"/>
          <w:sz w:val="28"/>
          <w:rtl/>
          <w:lang w:bidi="ar-SY"/>
        </w:rPr>
        <w:t xml:space="preserve">نه كلما زاد </w:t>
      </w:r>
      <w:r w:rsidRPr="003F3B94">
        <w:rPr>
          <w:rFonts w:hint="cs"/>
          <w:sz w:val="28"/>
          <w:rtl/>
          <w:lang w:bidi="ar-SY"/>
        </w:rPr>
        <w:t>ا</w:t>
      </w:r>
      <w:r w:rsidR="008A2A49" w:rsidRPr="003F3B94">
        <w:rPr>
          <w:rFonts w:hint="cs"/>
          <w:sz w:val="28"/>
          <w:rtl/>
          <w:lang w:bidi="ar-SY"/>
        </w:rPr>
        <w:t>لإ</w:t>
      </w:r>
      <w:r w:rsidR="00F854FB" w:rsidRPr="003F3B94">
        <w:rPr>
          <w:rFonts w:hint="cs"/>
          <w:sz w:val="28"/>
          <w:rtl/>
          <w:lang w:bidi="ar-SY"/>
        </w:rPr>
        <w:t xml:space="preserve">نفاق </w:t>
      </w:r>
      <w:r w:rsidRPr="003F3B94">
        <w:rPr>
          <w:rFonts w:hint="cs"/>
          <w:sz w:val="28"/>
          <w:rtl/>
          <w:lang w:bidi="ar-SY"/>
        </w:rPr>
        <w:t xml:space="preserve">على </w:t>
      </w:r>
      <w:r w:rsidR="00F854FB" w:rsidRPr="003F3B94">
        <w:rPr>
          <w:rFonts w:hint="cs"/>
          <w:sz w:val="28"/>
          <w:rtl/>
          <w:lang w:bidi="ar-SY"/>
        </w:rPr>
        <w:t xml:space="preserve">هذه </w:t>
      </w:r>
      <w:r w:rsidRPr="003F3B94">
        <w:rPr>
          <w:rFonts w:hint="cs"/>
          <w:sz w:val="28"/>
          <w:rtl/>
          <w:lang w:bidi="ar-SY"/>
        </w:rPr>
        <w:t>الشريحة في المجتمع</w:t>
      </w:r>
      <w:r w:rsidR="00F854FB" w:rsidRPr="003F3B94">
        <w:rPr>
          <w:rFonts w:hint="cs"/>
          <w:sz w:val="28"/>
          <w:rtl/>
          <w:lang w:bidi="ar-SY"/>
        </w:rPr>
        <w:t xml:space="preserve"> فإنهم سيصرفونها في ا</w:t>
      </w:r>
      <w:r w:rsidR="008A2A49" w:rsidRPr="003F3B94">
        <w:rPr>
          <w:rFonts w:hint="cs"/>
          <w:sz w:val="28"/>
          <w:rtl/>
          <w:lang w:bidi="ar-SY"/>
        </w:rPr>
        <w:t>لأ</w:t>
      </w:r>
      <w:r w:rsidR="00F854FB" w:rsidRPr="003F3B94">
        <w:rPr>
          <w:rFonts w:hint="cs"/>
          <w:sz w:val="28"/>
          <w:rtl/>
          <w:lang w:bidi="ar-SY"/>
        </w:rPr>
        <w:t>مور ا</w:t>
      </w:r>
      <w:r w:rsidR="008A2A49" w:rsidRPr="003F3B94">
        <w:rPr>
          <w:rFonts w:hint="cs"/>
          <w:sz w:val="28"/>
          <w:rtl/>
          <w:lang w:bidi="ar-SY"/>
        </w:rPr>
        <w:t>لا</w:t>
      </w:r>
      <w:r w:rsidR="00F854FB" w:rsidRPr="003F3B94">
        <w:rPr>
          <w:rFonts w:hint="cs"/>
          <w:sz w:val="28"/>
          <w:rtl/>
          <w:lang w:bidi="ar-SY"/>
        </w:rPr>
        <w:t>جتماعية ذات النفع العام</w:t>
      </w:r>
      <w:r w:rsidR="00217AB4" w:rsidRPr="003F3B94">
        <w:rPr>
          <w:rFonts w:hint="cs"/>
          <w:sz w:val="28"/>
          <w:rtl/>
          <w:lang w:bidi="ar-SY"/>
        </w:rPr>
        <w:t>،</w:t>
      </w:r>
      <w:r w:rsidR="00795504" w:rsidRPr="003F3B94">
        <w:rPr>
          <w:rFonts w:hint="cs"/>
          <w:sz w:val="28"/>
          <w:rtl/>
          <w:lang w:bidi="ar-SY"/>
        </w:rPr>
        <w:t xml:space="preserve"> </w:t>
      </w:r>
      <w:r w:rsidR="00F854FB" w:rsidRPr="003F3B94">
        <w:rPr>
          <w:rFonts w:hint="cs"/>
          <w:sz w:val="28"/>
          <w:rtl/>
          <w:lang w:bidi="ar-SY"/>
        </w:rPr>
        <w:t xml:space="preserve">لكن فتوى فقهاء الشيعة الكبار </w:t>
      </w:r>
      <w:r w:rsidR="00795504" w:rsidRPr="003F3B94">
        <w:rPr>
          <w:rFonts w:hint="cs"/>
          <w:sz w:val="28"/>
          <w:rtl/>
          <w:lang w:bidi="ar-SY"/>
        </w:rPr>
        <w:t xml:space="preserve">صريحة في تحريم </w:t>
      </w:r>
      <w:r w:rsidR="00F854FB" w:rsidRPr="003F3B94">
        <w:rPr>
          <w:rFonts w:hint="cs"/>
          <w:sz w:val="28"/>
          <w:rtl/>
          <w:lang w:bidi="ar-SY"/>
        </w:rPr>
        <w:t>إعطاء أحد من هذا المال إ</w:t>
      </w:r>
      <w:r w:rsidR="008A2A49" w:rsidRPr="003F3B94">
        <w:rPr>
          <w:rFonts w:hint="cs"/>
          <w:sz w:val="28"/>
          <w:rtl/>
          <w:lang w:bidi="ar-SY"/>
        </w:rPr>
        <w:t>لا</w:t>
      </w:r>
      <w:r w:rsidR="00F854FB" w:rsidRPr="003F3B94">
        <w:rPr>
          <w:rFonts w:hint="cs"/>
          <w:sz w:val="28"/>
          <w:rtl/>
          <w:lang w:bidi="ar-SY"/>
        </w:rPr>
        <w:t xml:space="preserve"> لهذه </w:t>
      </w:r>
      <w:r w:rsidRPr="003F3B94">
        <w:rPr>
          <w:rFonts w:hint="cs"/>
          <w:sz w:val="28"/>
          <w:rtl/>
          <w:lang w:bidi="ar-SY"/>
        </w:rPr>
        <w:t>الشريحة</w:t>
      </w:r>
      <w:r w:rsidR="00F854FB" w:rsidRPr="003F3B94">
        <w:rPr>
          <w:rFonts w:hint="cs"/>
          <w:sz w:val="28"/>
          <w:rtl/>
          <w:lang w:bidi="ar-SY"/>
        </w:rPr>
        <w:t xml:space="preserve"> فقط </w:t>
      </w:r>
      <w:r w:rsidR="00DC30E5" w:rsidRPr="003F3B94">
        <w:rPr>
          <w:rFonts w:hint="cs"/>
          <w:sz w:val="28"/>
          <w:rtl/>
          <w:lang w:bidi="ar-SY"/>
        </w:rPr>
        <w:t>[أي الهاشميين]</w:t>
      </w:r>
      <w:r w:rsidRPr="003F3B94">
        <w:rPr>
          <w:rFonts w:hint="cs"/>
          <w:sz w:val="28"/>
          <w:rtl/>
          <w:lang w:bidi="ar-SY"/>
        </w:rPr>
        <w:t xml:space="preserve"> </w:t>
      </w:r>
      <w:r w:rsidR="00F854FB" w:rsidRPr="003F3B94">
        <w:rPr>
          <w:rFonts w:hint="cs"/>
          <w:sz w:val="28"/>
          <w:rtl/>
          <w:lang w:bidi="ar-SY"/>
        </w:rPr>
        <w:t>و</w:t>
      </w:r>
      <w:r w:rsidR="008A2A49" w:rsidRPr="003F3B94">
        <w:rPr>
          <w:rFonts w:hint="cs"/>
          <w:sz w:val="28"/>
          <w:rtl/>
          <w:lang w:bidi="ar-SY"/>
        </w:rPr>
        <w:t>لا</w:t>
      </w:r>
      <w:r w:rsidR="00F854FB" w:rsidRPr="003F3B94">
        <w:rPr>
          <w:rFonts w:hint="cs"/>
          <w:sz w:val="28"/>
          <w:rtl/>
          <w:lang w:bidi="ar-SY"/>
        </w:rPr>
        <w:t xml:space="preserve"> يمكن صرفه في أي أمر آخر</w:t>
      </w:r>
      <w:r w:rsidR="00217AB4" w:rsidRPr="003F3B94">
        <w:rPr>
          <w:rFonts w:hint="cs"/>
          <w:sz w:val="28"/>
          <w:rtl/>
          <w:lang w:bidi="ar-SY"/>
        </w:rPr>
        <w:t>،</w:t>
      </w:r>
      <w:r w:rsidR="00F854FB" w:rsidRPr="003F3B94">
        <w:rPr>
          <w:rFonts w:hint="cs"/>
          <w:sz w:val="28"/>
          <w:rtl/>
          <w:lang w:bidi="ar-SY"/>
        </w:rPr>
        <w:t xml:space="preserve"> كما سنبين </w:t>
      </w:r>
      <w:r w:rsidR="00795504" w:rsidRPr="003F3B94">
        <w:rPr>
          <w:rFonts w:hint="cs"/>
          <w:sz w:val="28"/>
          <w:rtl/>
          <w:lang w:bidi="ar-SY"/>
        </w:rPr>
        <w:t>فتاواهم في هذا ا</w:t>
      </w:r>
      <w:r w:rsidR="008A2A49" w:rsidRPr="003F3B94">
        <w:rPr>
          <w:rFonts w:hint="cs"/>
          <w:sz w:val="28"/>
          <w:rtl/>
          <w:lang w:bidi="ar-SY"/>
        </w:rPr>
        <w:t>لأ</w:t>
      </w:r>
      <w:r w:rsidR="00795504" w:rsidRPr="003F3B94">
        <w:rPr>
          <w:rFonts w:hint="cs"/>
          <w:sz w:val="28"/>
          <w:rtl/>
          <w:lang w:bidi="ar-SY"/>
        </w:rPr>
        <w:t xml:space="preserve">مر </w:t>
      </w:r>
      <w:r w:rsidR="00F854FB" w:rsidRPr="003F3B94">
        <w:rPr>
          <w:rFonts w:hint="cs"/>
          <w:sz w:val="28"/>
          <w:rtl/>
          <w:lang w:bidi="ar-SY"/>
        </w:rPr>
        <w:t>في كتابنا هذا عن قريب</w:t>
      </w:r>
      <w:r w:rsidR="00217AB4" w:rsidRPr="003F3B94">
        <w:rPr>
          <w:rFonts w:hint="cs"/>
          <w:sz w:val="28"/>
          <w:rtl/>
          <w:lang w:bidi="ar-SY"/>
        </w:rPr>
        <w:t>.</w:t>
      </w:r>
    </w:p>
    <w:p w:rsidR="00F854FB" w:rsidRPr="003F3B94" w:rsidRDefault="00F854FB" w:rsidP="003F3B94">
      <w:pPr>
        <w:pStyle w:val="a0"/>
        <w:rPr>
          <w:rFonts w:hint="cs"/>
          <w:rtl/>
          <w:lang w:bidi="ar-SY"/>
        </w:rPr>
      </w:pPr>
      <w:r w:rsidRPr="003F3B94">
        <w:rPr>
          <w:rFonts w:hint="cs"/>
          <w:sz w:val="28"/>
          <w:rtl/>
          <w:lang w:bidi="ar-SY"/>
        </w:rPr>
        <w:t xml:space="preserve">وأما إنفاق النصف الثاني الذي يؤخذ باسم سهم </w:t>
      </w:r>
      <w:r w:rsidR="00795504" w:rsidRPr="003F3B94">
        <w:rPr>
          <w:rFonts w:hint="cs"/>
          <w:sz w:val="28"/>
          <w:rtl/>
          <w:lang w:bidi="ar-SY"/>
        </w:rPr>
        <w:t>ا</w:t>
      </w:r>
      <w:r w:rsidR="008A2A49" w:rsidRPr="003F3B94">
        <w:rPr>
          <w:rFonts w:hint="cs"/>
          <w:sz w:val="28"/>
          <w:rtl/>
          <w:lang w:bidi="ar-SY"/>
        </w:rPr>
        <w:t>لإ</w:t>
      </w:r>
      <w:r w:rsidR="00795504" w:rsidRPr="003F3B94">
        <w:rPr>
          <w:rFonts w:hint="cs"/>
          <w:sz w:val="28"/>
          <w:rtl/>
          <w:lang w:bidi="ar-SY"/>
        </w:rPr>
        <w:t>مام</w:t>
      </w:r>
      <w:r w:rsidR="00217AB4" w:rsidRPr="003F3B94">
        <w:rPr>
          <w:rFonts w:hint="cs"/>
          <w:sz w:val="28"/>
          <w:rtl/>
          <w:lang w:bidi="ar-SY"/>
        </w:rPr>
        <w:t>،</w:t>
      </w:r>
      <w:r w:rsidRPr="003F3B94">
        <w:rPr>
          <w:rFonts w:hint="cs"/>
          <w:sz w:val="28"/>
          <w:rtl/>
          <w:lang w:bidi="ar-SY"/>
        </w:rPr>
        <w:t xml:space="preserve"> فبغض النظر عن عدم وجود شيء تحت هذا العنوان في شريعة ا</w:t>
      </w:r>
      <w:r w:rsidR="008A2A49" w:rsidRPr="003F3B94">
        <w:rPr>
          <w:rFonts w:hint="cs"/>
          <w:sz w:val="28"/>
          <w:rtl/>
          <w:lang w:bidi="ar-SY"/>
        </w:rPr>
        <w:t>لإ</w:t>
      </w:r>
      <w:r w:rsidRPr="003F3B94">
        <w:rPr>
          <w:rFonts w:hint="cs"/>
          <w:sz w:val="28"/>
          <w:rtl/>
          <w:lang w:bidi="ar-SY"/>
        </w:rPr>
        <w:t>س</w:t>
      </w:r>
      <w:r w:rsidR="008A2A49" w:rsidRPr="003F3B94">
        <w:rPr>
          <w:rFonts w:hint="cs"/>
          <w:sz w:val="28"/>
          <w:rtl/>
          <w:lang w:bidi="ar-SY"/>
        </w:rPr>
        <w:t>لا</w:t>
      </w:r>
      <w:r w:rsidRPr="003F3B94">
        <w:rPr>
          <w:rFonts w:hint="cs"/>
          <w:sz w:val="28"/>
          <w:rtl/>
          <w:lang w:bidi="ar-SY"/>
        </w:rPr>
        <w:t xml:space="preserve">م الحقة </w:t>
      </w:r>
      <w:r w:rsidR="0031714A" w:rsidRPr="003F3B94">
        <w:rPr>
          <w:rFonts w:hint="cs"/>
          <w:sz w:val="28"/>
          <w:rtl/>
          <w:lang w:bidi="ar-SY"/>
        </w:rPr>
        <w:t>وأنه في صدر ا</w:t>
      </w:r>
      <w:r w:rsidR="008A2A49" w:rsidRPr="003F3B94">
        <w:rPr>
          <w:rFonts w:hint="cs"/>
          <w:sz w:val="28"/>
          <w:rtl/>
          <w:lang w:bidi="ar-SY"/>
        </w:rPr>
        <w:t>لإ</w:t>
      </w:r>
      <w:r w:rsidR="0031714A" w:rsidRPr="003F3B94">
        <w:rPr>
          <w:rFonts w:hint="cs"/>
          <w:sz w:val="28"/>
          <w:rtl/>
          <w:lang w:bidi="ar-SY"/>
        </w:rPr>
        <w:t>س</w:t>
      </w:r>
      <w:r w:rsidR="008A2A49" w:rsidRPr="003F3B94">
        <w:rPr>
          <w:rFonts w:hint="cs"/>
          <w:sz w:val="28"/>
          <w:rtl/>
          <w:lang w:bidi="ar-SY"/>
        </w:rPr>
        <w:t>لا</w:t>
      </w:r>
      <w:r w:rsidR="0031714A" w:rsidRPr="003F3B94">
        <w:rPr>
          <w:rFonts w:hint="cs"/>
          <w:sz w:val="28"/>
          <w:rtl/>
          <w:lang w:bidi="ar-SY"/>
        </w:rPr>
        <w:t>م لم يكن أي مسلم يعطي أحداً من أئم</w:t>
      </w:r>
      <w:r w:rsidR="00F13110" w:rsidRPr="003F3B94">
        <w:rPr>
          <w:rFonts w:hint="cs"/>
          <w:sz w:val="28"/>
          <w:rtl/>
          <w:lang w:bidi="ar-SY"/>
        </w:rPr>
        <w:t>ّ</w:t>
      </w:r>
      <w:r w:rsidR="0031714A" w:rsidRPr="003F3B94">
        <w:rPr>
          <w:rFonts w:hint="cs"/>
          <w:sz w:val="28"/>
          <w:rtl/>
          <w:lang w:bidi="ar-SY"/>
        </w:rPr>
        <w:t>ة ا</w:t>
      </w:r>
      <w:r w:rsidR="008A2A49" w:rsidRPr="003F3B94">
        <w:rPr>
          <w:rFonts w:hint="cs"/>
          <w:sz w:val="28"/>
          <w:rtl/>
          <w:lang w:bidi="ar-SY"/>
        </w:rPr>
        <w:t>لإ</w:t>
      </w:r>
      <w:r w:rsidR="0031714A" w:rsidRPr="003F3B94">
        <w:rPr>
          <w:rFonts w:hint="cs"/>
          <w:sz w:val="28"/>
          <w:rtl/>
          <w:lang w:bidi="ar-SY"/>
        </w:rPr>
        <w:t>س</w:t>
      </w:r>
      <w:r w:rsidR="008A2A49" w:rsidRPr="003F3B94">
        <w:rPr>
          <w:rFonts w:hint="cs"/>
          <w:sz w:val="28"/>
          <w:rtl/>
          <w:lang w:bidi="ar-SY"/>
        </w:rPr>
        <w:t>لا</w:t>
      </w:r>
      <w:r w:rsidR="0031714A" w:rsidRPr="003F3B94">
        <w:rPr>
          <w:rFonts w:hint="cs"/>
          <w:sz w:val="28"/>
          <w:rtl/>
          <w:lang w:bidi="ar-SY"/>
        </w:rPr>
        <w:t xml:space="preserve">م </w:t>
      </w:r>
      <w:r w:rsidR="00217AB4" w:rsidRPr="003F3B94">
        <w:rPr>
          <w:rFonts w:hint="cs"/>
          <w:sz w:val="28"/>
          <w:rtl/>
          <w:lang w:bidi="ar-SY"/>
        </w:rPr>
        <w:t>-</w:t>
      </w:r>
      <w:r w:rsidR="00E748E0" w:rsidRPr="003F3B94">
        <w:rPr>
          <w:rFonts w:hint="cs"/>
          <w:sz w:val="28"/>
          <w:rtl/>
          <w:lang w:bidi="ar-SY"/>
        </w:rPr>
        <w:t xml:space="preserve"> </w:t>
      </w:r>
      <w:r w:rsidR="006A114F" w:rsidRPr="003F3B94">
        <w:rPr>
          <w:rFonts w:hint="cs"/>
          <w:sz w:val="28"/>
          <w:rtl/>
          <w:lang w:bidi="ar-SY"/>
        </w:rPr>
        <w:t xml:space="preserve">سواء كان إمامتهم حقة أم </w:t>
      </w:r>
      <w:r w:rsidR="00E748E0" w:rsidRPr="003F3B94">
        <w:rPr>
          <w:rFonts w:hint="cs"/>
          <w:sz w:val="28"/>
          <w:rtl/>
          <w:lang w:bidi="ar-SY"/>
        </w:rPr>
        <w:t>باطل</w:t>
      </w:r>
      <w:r w:rsidR="006A114F" w:rsidRPr="003F3B94">
        <w:rPr>
          <w:rFonts w:hint="cs"/>
          <w:sz w:val="28"/>
          <w:rtl/>
          <w:lang w:bidi="ar-SY"/>
        </w:rPr>
        <w:t>ة</w:t>
      </w:r>
      <w:r w:rsidR="00E748E0" w:rsidRPr="003F3B94">
        <w:rPr>
          <w:rFonts w:hint="cs"/>
          <w:sz w:val="28"/>
          <w:rtl/>
          <w:lang w:bidi="ar-SY"/>
        </w:rPr>
        <w:t xml:space="preserve"> </w:t>
      </w:r>
      <w:r w:rsidR="00217AB4" w:rsidRPr="003F3B94">
        <w:rPr>
          <w:rFonts w:hint="cs"/>
          <w:sz w:val="28"/>
          <w:rtl/>
          <w:lang w:bidi="ar-SY"/>
        </w:rPr>
        <w:t>-</w:t>
      </w:r>
      <w:r w:rsidR="00E748E0" w:rsidRPr="003F3B94">
        <w:rPr>
          <w:rFonts w:hint="cs"/>
          <w:sz w:val="28"/>
          <w:rtl/>
          <w:lang w:bidi="ar-SY"/>
        </w:rPr>
        <w:t xml:space="preserve"> </w:t>
      </w:r>
      <w:r w:rsidR="0031714A" w:rsidRPr="003F3B94">
        <w:rPr>
          <w:rFonts w:hint="cs"/>
          <w:sz w:val="28"/>
          <w:rtl/>
          <w:lang w:bidi="ar-SY"/>
        </w:rPr>
        <w:t xml:space="preserve">ديناراً واحداً باسم سهم </w:t>
      </w:r>
      <w:r w:rsidR="002F3548" w:rsidRPr="003F3B94">
        <w:rPr>
          <w:rFonts w:hint="cs"/>
          <w:sz w:val="28"/>
          <w:rtl/>
          <w:lang w:bidi="ar-SY"/>
        </w:rPr>
        <w:t>ا</w:t>
      </w:r>
      <w:r w:rsidR="008A2A49" w:rsidRPr="003F3B94">
        <w:rPr>
          <w:rFonts w:hint="cs"/>
          <w:sz w:val="28"/>
          <w:rtl/>
          <w:lang w:bidi="ar-SY"/>
        </w:rPr>
        <w:t>لإ</w:t>
      </w:r>
      <w:r w:rsidR="002F3548" w:rsidRPr="003F3B94">
        <w:rPr>
          <w:rFonts w:hint="cs"/>
          <w:sz w:val="28"/>
          <w:rtl/>
          <w:lang w:bidi="ar-SY"/>
        </w:rPr>
        <w:t>مام</w:t>
      </w:r>
      <w:r w:rsidR="00217AB4" w:rsidRPr="003F3B94">
        <w:rPr>
          <w:rFonts w:hint="cs"/>
          <w:sz w:val="28"/>
          <w:rtl/>
          <w:lang w:bidi="ar-SY"/>
        </w:rPr>
        <w:t>،</w:t>
      </w:r>
      <w:r w:rsidR="002F3548" w:rsidRPr="003F3B94">
        <w:rPr>
          <w:rFonts w:hint="cs"/>
          <w:sz w:val="28"/>
          <w:rtl/>
          <w:lang w:bidi="ar-SY"/>
        </w:rPr>
        <w:t xml:space="preserve"> ولم يكن يصرفه في ذلك</w:t>
      </w:r>
      <w:r w:rsidR="00217AB4" w:rsidRPr="003F3B94">
        <w:rPr>
          <w:rFonts w:hint="cs"/>
          <w:sz w:val="28"/>
          <w:rtl/>
          <w:lang w:bidi="ar-SY"/>
        </w:rPr>
        <w:t>،</w:t>
      </w:r>
      <w:r w:rsidR="003763AD" w:rsidRPr="003F3B94">
        <w:rPr>
          <w:rFonts w:hint="cs"/>
          <w:sz w:val="28"/>
          <w:rtl/>
          <w:lang w:bidi="ar-SY"/>
        </w:rPr>
        <w:t xml:space="preserve"> </w:t>
      </w:r>
      <w:r w:rsidR="006A114F" w:rsidRPr="003F3B94">
        <w:rPr>
          <w:rFonts w:hint="cs"/>
          <w:sz w:val="28"/>
          <w:rtl/>
          <w:lang w:bidi="ar-SY"/>
        </w:rPr>
        <w:t>و</w:t>
      </w:r>
      <w:r w:rsidR="002F3548" w:rsidRPr="003F3B94">
        <w:rPr>
          <w:rFonts w:hint="cs"/>
          <w:sz w:val="28"/>
          <w:rtl/>
          <w:lang w:bidi="ar-SY"/>
        </w:rPr>
        <w:t xml:space="preserve">لسوء </w:t>
      </w:r>
      <w:r w:rsidR="003763AD" w:rsidRPr="003F3B94">
        <w:rPr>
          <w:rFonts w:hint="cs"/>
          <w:sz w:val="28"/>
          <w:rtl/>
          <w:lang w:bidi="ar-SY"/>
        </w:rPr>
        <w:t>حظ هذا ا</w:t>
      </w:r>
      <w:r w:rsidR="008A2A49" w:rsidRPr="003F3B94">
        <w:rPr>
          <w:rFonts w:hint="cs"/>
          <w:sz w:val="28"/>
          <w:rtl/>
          <w:lang w:bidi="ar-SY"/>
        </w:rPr>
        <w:t>لإ</w:t>
      </w:r>
      <w:r w:rsidR="003763AD" w:rsidRPr="003F3B94">
        <w:rPr>
          <w:rFonts w:hint="cs"/>
          <w:sz w:val="28"/>
          <w:rtl/>
          <w:lang w:bidi="ar-SY"/>
        </w:rPr>
        <w:t>مام</w:t>
      </w:r>
      <w:r w:rsidR="00217AB4" w:rsidRPr="003F3B94">
        <w:rPr>
          <w:rFonts w:hint="cs"/>
          <w:sz w:val="28"/>
          <w:rtl/>
          <w:lang w:bidi="ar-SY"/>
        </w:rPr>
        <w:t>،</w:t>
      </w:r>
      <w:r w:rsidR="003763AD" w:rsidRPr="003F3B94">
        <w:rPr>
          <w:rFonts w:hint="cs"/>
          <w:sz w:val="28"/>
          <w:rtl/>
          <w:lang w:bidi="ar-SY"/>
        </w:rPr>
        <w:t xml:space="preserve"> </w:t>
      </w:r>
      <w:r w:rsidR="006A114F" w:rsidRPr="003F3B94">
        <w:rPr>
          <w:rFonts w:hint="cs"/>
          <w:sz w:val="28"/>
          <w:rtl/>
          <w:lang w:bidi="ar-SY"/>
        </w:rPr>
        <w:t xml:space="preserve">إنه </w:t>
      </w:r>
      <w:r w:rsidR="008A2A49" w:rsidRPr="003F3B94">
        <w:rPr>
          <w:rFonts w:hint="cs"/>
          <w:sz w:val="28"/>
          <w:rtl/>
          <w:lang w:bidi="ar-SY"/>
        </w:rPr>
        <w:t>لا</w:t>
      </w:r>
      <w:r w:rsidR="000B468F" w:rsidRPr="003F3B94">
        <w:rPr>
          <w:rFonts w:cs="Times New Roman" w:hint="cs"/>
          <w:sz w:val="28"/>
          <w:rtl/>
          <w:lang w:bidi="ar-SY"/>
        </w:rPr>
        <w:t> </w:t>
      </w:r>
      <w:r w:rsidR="007341C4" w:rsidRPr="003F3B94">
        <w:rPr>
          <w:rFonts w:hint="cs"/>
          <w:sz w:val="28"/>
          <w:rtl/>
          <w:lang w:bidi="ar-SY"/>
        </w:rPr>
        <w:t>يستفيد شيئاً</w:t>
      </w:r>
      <w:r w:rsidR="00DB492D" w:rsidRPr="003F3B94">
        <w:rPr>
          <w:rFonts w:hint="cs"/>
          <w:sz w:val="28"/>
          <w:rtl/>
          <w:lang w:bidi="ar-SY"/>
        </w:rPr>
        <w:t xml:space="preserve"> من هذا الخمس</w:t>
      </w:r>
      <w:r w:rsidR="002F3548" w:rsidRPr="003F3B94">
        <w:rPr>
          <w:rFonts w:hint="cs"/>
          <w:sz w:val="28"/>
          <w:rtl/>
          <w:lang w:bidi="ar-SY"/>
        </w:rPr>
        <w:t xml:space="preserve"> المأخوذ باسمه</w:t>
      </w:r>
      <w:r w:rsidR="00217AB4" w:rsidRPr="003F3B94">
        <w:rPr>
          <w:rFonts w:hint="cs"/>
          <w:sz w:val="28"/>
          <w:rtl/>
          <w:lang w:bidi="ar-SY"/>
        </w:rPr>
        <w:t>:</w:t>
      </w:r>
      <w:r w:rsidR="00DB492D" w:rsidRPr="003F3B94">
        <w:rPr>
          <w:rFonts w:hint="cs"/>
          <w:sz w:val="28"/>
          <w:rtl/>
          <w:lang w:bidi="ar-SY"/>
        </w:rPr>
        <w:t xml:space="preserve"> أي أنه </w:t>
      </w:r>
      <w:r w:rsidR="008A2A49" w:rsidRPr="003F3B94">
        <w:rPr>
          <w:rFonts w:hint="cs"/>
          <w:sz w:val="28"/>
          <w:rtl/>
          <w:lang w:bidi="ar-SY"/>
        </w:rPr>
        <w:t>لا</w:t>
      </w:r>
      <w:r w:rsidR="00DB492D" w:rsidRPr="003F3B94">
        <w:rPr>
          <w:rFonts w:hint="cs"/>
          <w:sz w:val="28"/>
          <w:rtl/>
          <w:lang w:bidi="ar-SY"/>
        </w:rPr>
        <w:t xml:space="preserve"> وجود </w:t>
      </w:r>
      <w:r w:rsidR="008A2A49" w:rsidRPr="003F3B94">
        <w:rPr>
          <w:rFonts w:hint="cs"/>
          <w:sz w:val="28"/>
          <w:rtl/>
          <w:lang w:bidi="ar-SY"/>
        </w:rPr>
        <w:t>لإ</w:t>
      </w:r>
      <w:r w:rsidR="007341C4" w:rsidRPr="003F3B94">
        <w:rPr>
          <w:rFonts w:hint="cs"/>
          <w:sz w:val="28"/>
          <w:rtl/>
          <w:lang w:bidi="ar-SY"/>
        </w:rPr>
        <w:t xml:space="preserve">مام </w:t>
      </w:r>
      <w:r w:rsidR="00DB492D" w:rsidRPr="003F3B94">
        <w:rPr>
          <w:rFonts w:hint="cs"/>
          <w:sz w:val="28"/>
          <w:rtl/>
          <w:lang w:bidi="ar-SY"/>
        </w:rPr>
        <w:t xml:space="preserve">ظاهر حتى يستفيد منه </w:t>
      </w:r>
      <w:r w:rsidR="008A2A49" w:rsidRPr="003F3B94">
        <w:rPr>
          <w:rFonts w:hint="cs"/>
          <w:sz w:val="28"/>
          <w:rtl/>
          <w:lang w:bidi="ar-SY"/>
        </w:rPr>
        <w:t>لأ</w:t>
      </w:r>
      <w:r w:rsidR="00DB492D" w:rsidRPr="003F3B94">
        <w:rPr>
          <w:rFonts w:hint="cs"/>
          <w:sz w:val="28"/>
          <w:rtl/>
          <w:lang w:bidi="ar-SY"/>
        </w:rPr>
        <w:t xml:space="preserve">ن مال الشخص هو </w:t>
      </w:r>
      <w:r w:rsidR="008A2A49" w:rsidRPr="003F3B94">
        <w:rPr>
          <w:rFonts w:hint="cs"/>
          <w:sz w:val="28"/>
          <w:rtl/>
          <w:lang w:bidi="ar-SY"/>
        </w:rPr>
        <w:t>لأ</w:t>
      </w:r>
      <w:r w:rsidR="00DB492D" w:rsidRPr="003F3B94">
        <w:rPr>
          <w:rFonts w:hint="cs"/>
          <w:sz w:val="28"/>
          <w:rtl/>
          <w:lang w:bidi="ar-SY"/>
        </w:rPr>
        <w:t>جل مصاريفه</w:t>
      </w:r>
      <w:r w:rsidR="002F3548" w:rsidRPr="003F3B94">
        <w:rPr>
          <w:rFonts w:hint="cs"/>
          <w:sz w:val="28"/>
          <w:rtl/>
          <w:lang w:bidi="ar-SY"/>
        </w:rPr>
        <w:t xml:space="preserve"> الخاصة به</w:t>
      </w:r>
      <w:r w:rsidR="00217AB4" w:rsidRPr="003F3B94">
        <w:rPr>
          <w:rFonts w:hint="cs"/>
          <w:sz w:val="28"/>
          <w:rtl/>
          <w:lang w:bidi="ar-SY"/>
        </w:rPr>
        <w:t>.</w:t>
      </w:r>
      <w:r w:rsidR="00DB492D" w:rsidRPr="003F3B94">
        <w:rPr>
          <w:rFonts w:hint="cs"/>
          <w:sz w:val="28"/>
          <w:rtl/>
          <w:lang w:bidi="ar-SY"/>
        </w:rPr>
        <w:t xml:space="preserve"> </w:t>
      </w:r>
    </w:p>
    <w:p w:rsidR="00921C77" w:rsidRPr="003F3B94" w:rsidRDefault="00DB492D" w:rsidP="003F3B94">
      <w:pPr>
        <w:pStyle w:val="a0"/>
        <w:rPr>
          <w:rFonts w:hint="cs"/>
          <w:rtl/>
          <w:lang w:bidi="ar-SY"/>
        </w:rPr>
      </w:pPr>
      <w:r w:rsidRPr="003F3B94">
        <w:rPr>
          <w:rFonts w:hint="cs"/>
          <w:sz w:val="28"/>
          <w:rtl/>
          <w:lang w:bidi="ar-SY"/>
        </w:rPr>
        <w:t xml:space="preserve">بمعزل عن أن أكثر فقهاء </w:t>
      </w:r>
      <w:r w:rsidR="00DB4941" w:rsidRPr="003F3B94">
        <w:rPr>
          <w:rFonts w:hint="cs"/>
          <w:sz w:val="28"/>
          <w:rtl/>
          <w:lang w:bidi="ar-SY"/>
        </w:rPr>
        <w:t xml:space="preserve">الشيعة القدماء لم يوجبوا دفع مثل هذا المال بل </w:t>
      </w:r>
      <w:r w:rsidR="006A114F" w:rsidRPr="003F3B94">
        <w:rPr>
          <w:rFonts w:hint="cs"/>
          <w:sz w:val="28"/>
          <w:rtl/>
          <w:lang w:bidi="ar-SY"/>
        </w:rPr>
        <w:t>لم يوجبوا دفع</w:t>
      </w:r>
      <w:r w:rsidR="00DB4941" w:rsidRPr="003F3B94">
        <w:rPr>
          <w:rFonts w:hint="cs"/>
          <w:sz w:val="28"/>
          <w:rtl/>
          <w:lang w:bidi="ar-SY"/>
        </w:rPr>
        <w:t xml:space="preserve"> الخمس </w:t>
      </w:r>
      <w:r w:rsidR="006A114F" w:rsidRPr="003F3B94">
        <w:rPr>
          <w:rFonts w:hint="cs"/>
          <w:sz w:val="28"/>
          <w:rtl/>
          <w:lang w:bidi="ar-SY"/>
        </w:rPr>
        <w:t xml:space="preserve">كله </w:t>
      </w:r>
      <w:r w:rsidR="002F3548" w:rsidRPr="003F3B94">
        <w:rPr>
          <w:rFonts w:hint="cs"/>
          <w:sz w:val="28"/>
          <w:rtl/>
          <w:lang w:bidi="ar-SY"/>
        </w:rPr>
        <w:t>إذْ اعتبروا أن الخمس</w:t>
      </w:r>
      <w:r w:rsidR="001054A2" w:rsidRPr="003F3B94">
        <w:rPr>
          <w:rFonts w:hint="cs"/>
          <w:sz w:val="28"/>
          <w:rtl/>
          <w:lang w:bidi="ar-SY"/>
        </w:rPr>
        <w:t xml:space="preserve"> أصبح</w:t>
      </w:r>
      <w:r w:rsidR="00ED2605" w:rsidRPr="003F3B94">
        <w:rPr>
          <w:rFonts w:hint="cs"/>
          <w:sz w:val="28"/>
          <w:rtl/>
          <w:lang w:bidi="ar-SY"/>
        </w:rPr>
        <w:t xml:space="preserve"> ز</w:t>
      </w:r>
      <w:r w:rsidR="0019514D" w:rsidRPr="003F3B94">
        <w:rPr>
          <w:rFonts w:hint="cs"/>
          <w:sz w:val="28"/>
          <w:rtl/>
          <w:lang w:bidi="ar-SY"/>
        </w:rPr>
        <w:t>من الغيبة مباحاً للشيعة</w:t>
      </w:r>
      <w:r w:rsidR="002F3548" w:rsidRPr="003F3B94">
        <w:rPr>
          <w:rFonts w:hint="cs"/>
          <w:sz w:val="28"/>
          <w:rtl/>
          <w:lang w:bidi="ar-SY"/>
        </w:rPr>
        <w:t xml:space="preserve"> وح</w:t>
      </w:r>
      <w:r w:rsidR="008A2A49" w:rsidRPr="003F3B94">
        <w:rPr>
          <w:rFonts w:hint="cs"/>
          <w:sz w:val="28"/>
          <w:rtl/>
          <w:lang w:bidi="ar-SY"/>
        </w:rPr>
        <w:t>لالا</w:t>
      </w:r>
      <w:r w:rsidR="006A114F" w:rsidRPr="003F3B94">
        <w:rPr>
          <w:rFonts w:hint="cs"/>
          <w:sz w:val="28"/>
          <w:rtl/>
          <w:lang w:bidi="ar-SY"/>
        </w:rPr>
        <w:t>ً</w:t>
      </w:r>
      <w:r w:rsidR="002F3548" w:rsidRPr="003F3B94">
        <w:rPr>
          <w:rFonts w:hint="cs"/>
          <w:sz w:val="28"/>
          <w:rtl/>
          <w:lang w:bidi="ar-SY"/>
        </w:rPr>
        <w:t xml:space="preserve"> لهم</w:t>
      </w:r>
      <w:r w:rsidR="00217AB4" w:rsidRPr="003F3B94">
        <w:rPr>
          <w:rFonts w:hint="cs"/>
          <w:sz w:val="28"/>
          <w:rtl/>
          <w:lang w:bidi="ar-SY"/>
        </w:rPr>
        <w:t>،</w:t>
      </w:r>
      <w:r w:rsidR="0019514D" w:rsidRPr="003F3B94">
        <w:rPr>
          <w:rFonts w:hint="cs"/>
          <w:sz w:val="28"/>
          <w:rtl/>
          <w:lang w:bidi="ar-SY"/>
        </w:rPr>
        <w:t xml:space="preserve"> إ</w:t>
      </w:r>
      <w:r w:rsidR="008A2A49" w:rsidRPr="003F3B94">
        <w:rPr>
          <w:rFonts w:hint="cs"/>
          <w:sz w:val="28"/>
          <w:rtl/>
          <w:lang w:bidi="ar-SY"/>
        </w:rPr>
        <w:t>لا</w:t>
      </w:r>
      <w:r w:rsidR="0019514D" w:rsidRPr="003F3B94">
        <w:rPr>
          <w:rFonts w:hint="cs"/>
          <w:sz w:val="28"/>
          <w:rtl/>
          <w:lang w:bidi="ar-SY"/>
        </w:rPr>
        <w:t xml:space="preserve"> أنه طبقاً لفتوى بعضهم يجب دفعه احتياطاً</w:t>
      </w:r>
      <w:r w:rsidR="00217AB4" w:rsidRPr="003F3B94">
        <w:rPr>
          <w:rFonts w:hint="cs"/>
          <w:sz w:val="28"/>
          <w:rtl/>
          <w:lang w:bidi="ar-SY"/>
        </w:rPr>
        <w:t>،</w:t>
      </w:r>
      <w:r w:rsidR="0019514D" w:rsidRPr="003F3B94">
        <w:rPr>
          <w:rFonts w:hint="cs"/>
          <w:sz w:val="28"/>
          <w:rtl/>
          <w:lang w:bidi="ar-SY"/>
        </w:rPr>
        <w:t xml:space="preserve"> </w:t>
      </w:r>
      <w:r w:rsidR="0044375D" w:rsidRPr="003F3B94">
        <w:rPr>
          <w:rFonts w:hint="cs"/>
          <w:sz w:val="28"/>
          <w:rtl/>
          <w:lang w:bidi="ar-SY"/>
        </w:rPr>
        <w:t xml:space="preserve">أي أنهم أعملوا </w:t>
      </w:r>
      <w:r w:rsidR="001D6FA5" w:rsidRPr="003F3B94">
        <w:rPr>
          <w:rFonts w:hint="cs"/>
          <w:sz w:val="28"/>
          <w:rtl/>
          <w:lang w:bidi="ar-SY"/>
        </w:rPr>
        <w:t xml:space="preserve">عقلهم وفكرهم وخرجوا </w:t>
      </w:r>
      <w:r w:rsidR="006A114F" w:rsidRPr="003F3B94">
        <w:rPr>
          <w:rFonts w:hint="cs"/>
          <w:sz w:val="28"/>
          <w:rtl/>
          <w:lang w:bidi="ar-SY"/>
        </w:rPr>
        <w:t>ب</w:t>
      </w:r>
      <w:r w:rsidR="002F3548" w:rsidRPr="003F3B94">
        <w:rPr>
          <w:rFonts w:hint="cs"/>
          <w:sz w:val="28"/>
          <w:rtl/>
          <w:lang w:bidi="ar-SY"/>
        </w:rPr>
        <w:t>فتوى تقول إنه</w:t>
      </w:r>
      <w:r w:rsidR="001D6FA5" w:rsidRPr="003F3B94">
        <w:rPr>
          <w:rFonts w:hint="cs"/>
          <w:sz w:val="28"/>
          <w:rtl/>
          <w:lang w:bidi="ar-SY"/>
        </w:rPr>
        <w:t xml:space="preserve"> </w:t>
      </w:r>
      <w:r w:rsidR="008A2A49" w:rsidRPr="003F3B94">
        <w:rPr>
          <w:rFonts w:hint="cs"/>
          <w:sz w:val="28"/>
          <w:rtl/>
          <w:lang w:bidi="ar-SY"/>
        </w:rPr>
        <w:t>لا</w:t>
      </w:r>
      <w:r w:rsidR="001D6FA5" w:rsidRPr="003F3B94">
        <w:rPr>
          <w:rFonts w:hint="cs"/>
          <w:sz w:val="28"/>
          <w:rtl/>
          <w:lang w:bidi="ar-SY"/>
        </w:rPr>
        <w:t xml:space="preserve"> بد من أن </w:t>
      </w:r>
      <w:r w:rsidR="00675A30" w:rsidRPr="003F3B94">
        <w:rPr>
          <w:rFonts w:hint="cs"/>
          <w:sz w:val="28"/>
          <w:rtl/>
          <w:lang w:bidi="ar-SY"/>
        </w:rPr>
        <w:t>يعزل</w:t>
      </w:r>
      <w:r w:rsidR="001D6FA5" w:rsidRPr="003F3B94">
        <w:rPr>
          <w:rFonts w:hint="cs"/>
          <w:sz w:val="28"/>
          <w:rtl/>
          <w:lang w:bidi="ar-SY"/>
        </w:rPr>
        <w:t xml:space="preserve"> </w:t>
      </w:r>
      <w:r w:rsidR="002F3548" w:rsidRPr="003F3B94">
        <w:rPr>
          <w:rFonts w:hint="cs"/>
          <w:sz w:val="28"/>
          <w:rtl/>
          <w:lang w:bidi="ar-SY"/>
        </w:rPr>
        <w:t>المسلم</w:t>
      </w:r>
      <w:r w:rsidR="001D6FA5" w:rsidRPr="003F3B94">
        <w:rPr>
          <w:rFonts w:hint="cs"/>
          <w:sz w:val="28"/>
          <w:rtl/>
          <w:lang w:bidi="ar-SY"/>
        </w:rPr>
        <w:t xml:space="preserve"> سهم ا</w:t>
      </w:r>
      <w:r w:rsidR="008A2A49" w:rsidRPr="003F3B94">
        <w:rPr>
          <w:rFonts w:hint="cs"/>
          <w:sz w:val="28"/>
          <w:rtl/>
          <w:lang w:bidi="ar-SY"/>
        </w:rPr>
        <w:t>لإ</w:t>
      </w:r>
      <w:r w:rsidR="001D6FA5" w:rsidRPr="003F3B94">
        <w:rPr>
          <w:rFonts w:hint="cs"/>
          <w:sz w:val="28"/>
          <w:rtl/>
          <w:lang w:bidi="ar-SY"/>
        </w:rPr>
        <w:t xml:space="preserve">مام عن ماله ويضعه </w:t>
      </w:r>
      <w:r w:rsidR="002F3548" w:rsidRPr="003F3B94">
        <w:rPr>
          <w:rFonts w:hint="cs"/>
          <w:sz w:val="28"/>
          <w:rtl/>
          <w:lang w:bidi="ar-SY"/>
        </w:rPr>
        <w:t xml:space="preserve">جانباً وينتظر ظهور حضرة القائم </w:t>
      </w:r>
      <w:r w:rsidR="001D6FA5" w:rsidRPr="003F3B94">
        <w:rPr>
          <w:rFonts w:hint="cs"/>
          <w:sz w:val="28"/>
          <w:rtl/>
          <w:lang w:bidi="ar-SY"/>
        </w:rPr>
        <w:t>كي يقد</w:t>
      </w:r>
      <w:r w:rsidR="006A114F" w:rsidRPr="003F3B94">
        <w:rPr>
          <w:rFonts w:hint="cs"/>
          <w:sz w:val="28"/>
          <w:rtl/>
          <w:lang w:bidi="ar-SY"/>
        </w:rPr>
        <w:t>ّ</w:t>
      </w:r>
      <w:r w:rsidR="001D6FA5" w:rsidRPr="003F3B94">
        <w:rPr>
          <w:rFonts w:hint="cs"/>
          <w:sz w:val="28"/>
          <w:rtl/>
          <w:lang w:bidi="ar-SY"/>
        </w:rPr>
        <w:t xml:space="preserve">مه </w:t>
      </w:r>
      <w:r w:rsidR="002F3548" w:rsidRPr="003F3B94">
        <w:rPr>
          <w:rFonts w:hint="cs"/>
          <w:sz w:val="28"/>
          <w:rtl/>
          <w:lang w:bidi="ar-SY"/>
        </w:rPr>
        <w:t>له</w:t>
      </w:r>
      <w:r w:rsidR="001D6FA5" w:rsidRPr="003F3B94">
        <w:rPr>
          <w:rFonts w:hint="cs"/>
          <w:sz w:val="28"/>
          <w:rtl/>
          <w:lang w:bidi="ar-SY"/>
        </w:rPr>
        <w:t xml:space="preserve"> </w:t>
      </w:r>
      <w:r w:rsidR="002F3548" w:rsidRPr="003F3B94">
        <w:rPr>
          <w:rFonts w:hint="cs"/>
          <w:sz w:val="28"/>
          <w:rtl/>
          <w:lang w:bidi="ar-SY"/>
        </w:rPr>
        <w:t>فور</w:t>
      </w:r>
      <w:r w:rsidR="001D6FA5" w:rsidRPr="003F3B94">
        <w:rPr>
          <w:rFonts w:hint="cs"/>
          <w:sz w:val="28"/>
          <w:rtl/>
          <w:lang w:bidi="ar-SY"/>
        </w:rPr>
        <w:t xml:space="preserve"> ظهوره</w:t>
      </w:r>
      <w:r w:rsidR="00217AB4" w:rsidRPr="003F3B94">
        <w:rPr>
          <w:rFonts w:hint="cs"/>
          <w:sz w:val="28"/>
          <w:rtl/>
          <w:lang w:bidi="ar-SY"/>
        </w:rPr>
        <w:t>!</w:t>
      </w:r>
      <w:r w:rsidR="001D6FA5" w:rsidRPr="003F3B94">
        <w:rPr>
          <w:rFonts w:hint="cs"/>
          <w:sz w:val="28"/>
          <w:rtl/>
          <w:lang w:bidi="ar-SY"/>
        </w:rPr>
        <w:t xml:space="preserve"> </w:t>
      </w:r>
      <w:r w:rsidR="002F3548" w:rsidRPr="003F3B94">
        <w:rPr>
          <w:rFonts w:hint="cs"/>
          <w:sz w:val="28"/>
          <w:rtl/>
          <w:lang w:bidi="ar-SY"/>
        </w:rPr>
        <w:t>فإن لم يظهر ا</w:t>
      </w:r>
      <w:r w:rsidR="008A2A49" w:rsidRPr="003F3B94">
        <w:rPr>
          <w:rFonts w:hint="cs"/>
          <w:sz w:val="28"/>
          <w:rtl/>
          <w:lang w:bidi="ar-SY"/>
        </w:rPr>
        <w:t>لإ</w:t>
      </w:r>
      <w:r w:rsidR="002F3548" w:rsidRPr="003F3B94">
        <w:rPr>
          <w:rFonts w:hint="cs"/>
          <w:sz w:val="28"/>
          <w:rtl/>
          <w:lang w:bidi="ar-SY"/>
        </w:rPr>
        <w:t>مام الغائب حال حياة المسلم</w:t>
      </w:r>
      <w:r w:rsidR="00AC26BE" w:rsidRPr="003F3B94">
        <w:rPr>
          <w:rFonts w:hint="cs"/>
          <w:sz w:val="28"/>
          <w:rtl/>
          <w:lang w:bidi="ar-SY"/>
        </w:rPr>
        <w:t xml:space="preserve"> </w:t>
      </w:r>
      <w:r w:rsidR="002F3548" w:rsidRPr="003F3B94">
        <w:rPr>
          <w:rFonts w:hint="cs"/>
          <w:sz w:val="28"/>
          <w:rtl/>
          <w:lang w:bidi="ar-SY"/>
        </w:rPr>
        <w:t>وجب عليه أن يوصي عند ا</w:t>
      </w:r>
      <w:r w:rsidR="00AC26BE" w:rsidRPr="003F3B94">
        <w:rPr>
          <w:rFonts w:hint="cs"/>
          <w:sz w:val="28"/>
          <w:rtl/>
          <w:lang w:bidi="ar-SY"/>
        </w:rPr>
        <w:t>حتض</w:t>
      </w:r>
      <w:r w:rsidR="002F3548" w:rsidRPr="003F3B94">
        <w:rPr>
          <w:rFonts w:hint="cs"/>
          <w:sz w:val="28"/>
          <w:rtl/>
          <w:lang w:bidi="ar-SY"/>
        </w:rPr>
        <w:t>ا</w:t>
      </w:r>
      <w:r w:rsidR="00AC26BE" w:rsidRPr="003F3B94">
        <w:rPr>
          <w:rFonts w:hint="cs"/>
          <w:sz w:val="28"/>
          <w:rtl/>
          <w:lang w:bidi="ar-SY"/>
        </w:rPr>
        <w:t>ر</w:t>
      </w:r>
      <w:r w:rsidR="002F3548" w:rsidRPr="003F3B94">
        <w:rPr>
          <w:rFonts w:hint="cs"/>
          <w:sz w:val="28"/>
          <w:rtl/>
          <w:lang w:bidi="ar-SY"/>
        </w:rPr>
        <w:t>ه</w:t>
      </w:r>
      <w:r w:rsidR="00AC26BE" w:rsidRPr="003F3B94">
        <w:rPr>
          <w:rFonts w:hint="cs"/>
          <w:sz w:val="28"/>
          <w:rtl/>
          <w:lang w:bidi="ar-SY"/>
        </w:rPr>
        <w:t xml:space="preserve"> بتلك المبالغ التي حفظها إلى وصيه ا</w:t>
      </w:r>
      <w:r w:rsidR="008A2A49" w:rsidRPr="003F3B94">
        <w:rPr>
          <w:rFonts w:hint="cs"/>
          <w:sz w:val="28"/>
          <w:rtl/>
          <w:lang w:bidi="ar-SY"/>
        </w:rPr>
        <w:t>لأ</w:t>
      </w:r>
      <w:r w:rsidR="00AC26BE" w:rsidRPr="003F3B94">
        <w:rPr>
          <w:rFonts w:hint="cs"/>
          <w:sz w:val="28"/>
          <w:rtl/>
          <w:lang w:bidi="ar-SY"/>
        </w:rPr>
        <w:t>مين</w:t>
      </w:r>
      <w:r w:rsidR="00DD75E8" w:rsidRPr="003F3B94">
        <w:rPr>
          <w:rFonts w:hint="cs"/>
          <w:sz w:val="28"/>
          <w:rtl/>
          <w:lang w:bidi="ar-SY"/>
        </w:rPr>
        <w:t xml:space="preserve"> </w:t>
      </w:r>
      <w:r w:rsidR="0089346B" w:rsidRPr="003F3B94">
        <w:rPr>
          <w:rFonts w:hint="cs"/>
          <w:sz w:val="28"/>
          <w:rtl/>
          <w:lang w:bidi="ar-SY"/>
        </w:rPr>
        <w:t>كي يقوم بدفعها ل</w:t>
      </w:r>
      <w:r w:rsidR="008A2A49" w:rsidRPr="003F3B94">
        <w:rPr>
          <w:rFonts w:hint="cs"/>
          <w:sz w:val="28"/>
          <w:rtl/>
          <w:lang w:bidi="ar-SY"/>
        </w:rPr>
        <w:t>لإ</w:t>
      </w:r>
      <w:r w:rsidR="0089346B" w:rsidRPr="003F3B94">
        <w:rPr>
          <w:rFonts w:hint="cs"/>
          <w:sz w:val="28"/>
          <w:rtl/>
          <w:lang w:bidi="ar-SY"/>
        </w:rPr>
        <w:t>مام الغائب إذا تمك</w:t>
      </w:r>
      <w:r w:rsidR="00F13110" w:rsidRPr="003F3B94">
        <w:rPr>
          <w:rFonts w:hint="cs"/>
          <w:sz w:val="28"/>
          <w:rtl/>
          <w:lang w:bidi="ar-SY"/>
        </w:rPr>
        <w:t>َّ</w:t>
      </w:r>
      <w:r w:rsidR="0089346B" w:rsidRPr="003F3B94">
        <w:rPr>
          <w:rFonts w:hint="cs"/>
          <w:sz w:val="28"/>
          <w:rtl/>
          <w:lang w:bidi="ar-SY"/>
        </w:rPr>
        <w:t>ن من لقا</w:t>
      </w:r>
      <w:r w:rsidR="002F3548" w:rsidRPr="003F3B94">
        <w:rPr>
          <w:rFonts w:hint="cs"/>
          <w:sz w:val="28"/>
          <w:rtl/>
          <w:lang w:bidi="ar-SY"/>
        </w:rPr>
        <w:t>ئ</w:t>
      </w:r>
      <w:r w:rsidR="0089346B" w:rsidRPr="003F3B94">
        <w:rPr>
          <w:rFonts w:hint="cs"/>
          <w:sz w:val="28"/>
          <w:rtl/>
          <w:lang w:bidi="ar-SY"/>
        </w:rPr>
        <w:t>ه</w:t>
      </w:r>
      <w:r w:rsidR="00217AB4" w:rsidRPr="003F3B94">
        <w:rPr>
          <w:rFonts w:hint="cs"/>
          <w:sz w:val="28"/>
          <w:rtl/>
          <w:lang w:bidi="ar-SY"/>
        </w:rPr>
        <w:t>،</w:t>
      </w:r>
      <w:r w:rsidR="0089346B" w:rsidRPr="003F3B94">
        <w:rPr>
          <w:rFonts w:hint="cs"/>
          <w:sz w:val="28"/>
          <w:rtl/>
          <w:lang w:bidi="ar-SY"/>
        </w:rPr>
        <w:t xml:space="preserve"> وإ</w:t>
      </w:r>
      <w:r w:rsidR="008A2A49" w:rsidRPr="003F3B94">
        <w:rPr>
          <w:rFonts w:hint="cs"/>
          <w:sz w:val="28"/>
          <w:rtl/>
          <w:lang w:bidi="ar-SY"/>
        </w:rPr>
        <w:t>لا</w:t>
      </w:r>
      <w:r w:rsidR="0089346B" w:rsidRPr="003F3B94">
        <w:rPr>
          <w:rFonts w:hint="cs"/>
          <w:sz w:val="28"/>
          <w:rtl/>
          <w:lang w:bidi="ar-SY"/>
        </w:rPr>
        <w:t xml:space="preserve"> </w:t>
      </w:r>
      <w:r w:rsidR="002F3548" w:rsidRPr="003F3B94">
        <w:rPr>
          <w:rFonts w:hint="cs"/>
          <w:sz w:val="28"/>
          <w:rtl/>
          <w:lang w:bidi="ar-SY"/>
        </w:rPr>
        <w:t xml:space="preserve">وجب </w:t>
      </w:r>
      <w:r w:rsidR="0089346B" w:rsidRPr="003F3B94">
        <w:rPr>
          <w:rFonts w:hint="cs"/>
          <w:sz w:val="28"/>
          <w:rtl/>
          <w:lang w:bidi="ar-SY"/>
        </w:rPr>
        <w:t>على الوصي</w:t>
      </w:r>
      <w:r w:rsidR="00F13110" w:rsidRPr="003F3B94">
        <w:rPr>
          <w:rFonts w:hint="cs"/>
          <w:sz w:val="28"/>
          <w:rtl/>
          <w:lang w:bidi="ar-SY"/>
        </w:rPr>
        <w:t>ِّ</w:t>
      </w:r>
      <w:r w:rsidR="0089346B" w:rsidRPr="003F3B94">
        <w:rPr>
          <w:rFonts w:hint="cs"/>
          <w:sz w:val="28"/>
          <w:rtl/>
          <w:lang w:bidi="ar-SY"/>
        </w:rPr>
        <w:t xml:space="preserve"> </w:t>
      </w:r>
      <w:r w:rsidR="002F3548" w:rsidRPr="003F3B94">
        <w:rPr>
          <w:rFonts w:hint="cs"/>
          <w:sz w:val="28"/>
          <w:rtl/>
          <w:lang w:bidi="ar-SY"/>
        </w:rPr>
        <w:t xml:space="preserve">أن يفعل مثل ذلك </w:t>
      </w:r>
      <w:r w:rsidR="0089346B" w:rsidRPr="003F3B94">
        <w:rPr>
          <w:rFonts w:hint="cs"/>
          <w:sz w:val="28"/>
          <w:rtl/>
          <w:lang w:bidi="ar-SY"/>
        </w:rPr>
        <w:t xml:space="preserve">أيضاً </w:t>
      </w:r>
      <w:r w:rsidR="002F3548" w:rsidRPr="003F3B94">
        <w:rPr>
          <w:rFonts w:hint="cs"/>
          <w:sz w:val="28"/>
          <w:rtl/>
          <w:lang w:bidi="ar-SY"/>
        </w:rPr>
        <w:t>عند</w:t>
      </w:r>
      <w:r w:rsidR="0089346B" w:rsidRPr="003F3B94">
        <w:rPr>
          <w:rFonts w:hint="cs"/>
          <w:sz w:val="28"/>
          <w:rtl/>
          <w:lang w:bidi="ar-SY"/>
        </w:rPr>
        <w:t xml:space="preserve"> احتضاره </w:t>
      </w:r>
      <w:r w:rsidR="002F3548" w:rsidRPr="003F3B94">
        <w:rPr>
          <w:rFonts w:hint="cs"/>
          <w:sz w:val="28"/>
          <w:rtl/>
          <w:lang w:bidi="ar-SY"/>
        </w:rPr>
        <w:t>ب</w:t>
      </w:r>
      <w:r w:rsidR="0089346B" w:rsidRPr="003F3B94">
        <w:rPr>
          <w:rFonts w:hint="cs"/>
          <w:sz w:val="28"/>
          <w:rtl/>
          <w:lang w:bidi="ar-SY"/>
        </w:rPr>
        <w:t>أن يوصي بهذه ا</w:t>
      </w:r>
      <w:r w:rsidR="008A2A49" w:rsidRPr="003F3B94">
        <w:rPr>
          <w:rFonts w:hint="cs"/>
          <w:sz w:val="28"/>
          <w:rtl/>
          <w:lang w:bidi="ar-SY"/>
        </w:rPr>
        <w:t>لأ</w:t>
      </w:r>
      <w:r w:rsidR="0089346B" w:rsidRPr="003F3B94">
        <w:rPr>
          <w:rFonts w:hint="cs"/>
          <w:sz w:val="28"/>
          <w:rtl/>
          <w:lang w:bidi="ar-SY"/>
        </w:rPr>
        <w:t>موال لوصيه ا</w:t>
      </w:r>
      <w:r w:rsidR="008A2A49" w:rsidRPr="003F3B94">
        <w:rPr>
          <w:rFonts w:hint="cs"/>
          <w:sz w:val="28"/>
          <w:rtl/>
          <w:lang w:bidi="ar-SY"/>
        </w:rPr>
        <w:t>لأ</w:t>
      </w:r>
      <w:r w:rsidR="0089346B" w:rsidRPr="003F3B94">
        <w:rPr>
          <w:rFonts w:hint="cs"/>
          <w:sz w:val="28"/>
          <w:rtl/>
          <w:lang w:bidi="ar-SY"/>
        </w:rPr>
        <w:t>مين وهكذا تتوالى الوصية بهذا المال جي</w:t>
      </w:r>
      <w:r w:rsidR="008A2A49" w:rsidRPr="003F3B94">
        <w:rPr>
          <w:rFonts w:hint="cs"/>
          <w:sz w:val="28"/>
          <w:rtl/>
          <w:lang w:bidi="ar-SY"/>
        </w:rPr>
        <w:t>لا</w:t>
      </w:r>
      <w:r w:rsidR="00F13110" w:rsidRPr="003F3B94">
        <w:rPr>
          <w:rFonts w:hint="cs"/>
          <w:sz w:val="28"/>
          <w:rtl/>
          <w:lang w:bidi="ar-SY"/>
        </w:rPr>
        <w:t>ً</w:t>
      </w:r>
      <w:r w:rsidR="0089346B" w:rsidRPr="003F3B94">
        <w:rPr>
          <w:rFonts w:hint="cs"/>
          <w:sz w:val="28"/>
          <w:rtl/>
          <w:lang w:bidi="ar-SY"/>
        </w:rPr>
        <w:t xml:space="preserve"> بعد جيل لعل</w:t>
      </w:r>
      <w:r w:rsidR="00F13110" w:rsidRPr="003F3B94">
        <w:rPr>
          <w:rFonts w:hint="cs"/>
          <w:sz w:val="28"/>
          <w:rtl/>
          <w:lang w:bidi="ar-SY"/>
        </w:rPr>
        <w:t>َّ</w:t>
      </w:r>
      <w:r w:rsidR="0089346B" w:rsidRPr="003F3B94">
        <w:rPr>
          <w:rFonts w:hint="cs"/>
          <w:sz w:val="28"/>
          <w:rtl/>
          <w:lang w:bidi="ar-SY"/>
        </w:rPr>
        <w:t xml:space="preserve"> أحد </w:t>
      </w:r>
      <w:r w:rsidR="002F3548" w:rsidRPr="003F3B94">
        <w:rPr>
          <w:rFonts w:hint="cs"/>
          <w:sz w:val="28"/>
          <w:rtl/>
          <w:lang w:bidi="ar-SY"/>
        </w:rPr>
        <w:t>ا</w:t>
      </w:r>
      <w:r w:rsidR="008A2A49" w:rsidRPr="003F3B94">
        <w:rPr>
          <w:rFonts w:hint="cs"/>
          <w:sz w:val="28"/>
          <w:rtl/>
          <w:lang w:bidi="ar-SY"/>
        </w:rPr>
        <w:t>لأ</w:t>
      </w:r>
      <w:r w:rsidR="002F3548" w:rsidRPr="003F3B94">
        <w:rPr>
          <w:rFonts w:hint="cs"/>
          <w:sz w:val="28"/>
          <w:rtl/>
          <w:lang w:bidi="ar-SY"/>
        </w:rPr>
        <w:t>وصياء</w:t>
      </w:r>
      <w:r w:rsidR="0089346B" w:rsidRPr="003F3B94">
        <w:rPr>
          <w:rFonts w:hint="cs"/>
          <w:sz w:val="28"/>
          <w:rtl/>
          <w:lang w:bidi="ar-SY"/>
        </w:rPr>
        <w:t xml:space="preserve"> ينال ذلك الفضل العظيم بتمك</w:t>
      </w:r>
      <w:r w:rsidR="00F13110" w:rsidRPr="003F3B94">
        <w:rPr>
          <w:rFonts w:hint="cs"/>
          <w:sz w:val="28"/>
          <w:rtl/>
          <w:lang w:bidi="ar-SY"/>
        </w:rPr>
        <w:t>ُّ</w:t>
      </w:r>
      <w:r w:rsidR="0089346B" w:rsidRPr="003F3B94">
        <w:rPr>
          <w:rFonts w:hint="cs"/>
          <w:sz w:val="28"/>
          <w:rtl/>
          <w:lang w:bidi="ar-SY"/>
        </w:rPr>
        <w:t>نه من دفع مال ا</w:t>
      </w:r>
      <w:r w:rsidR="008A2A49" w:rsidRPr="003F3B94">
        <w:rPr>
          <w:rFonts w:hint="cs"/>
          <w:sz w:val="28"/>
          <w:rtl/>
          <w:lang w:bidi="ar-SY"/>
        </w:rPr>
        <w:t>لإ</w:t>
      </w:r>
      <w:r w:rsidR="0089346B" w:rsidRPr="003F3B94">
        <w:rPr>
          <w:rFonts w:hint="cs"/>
          <w:sz w:val="28"/>
          <w:rtl/>
          <w:lang w:bidi="ar-SY"/>
        </w:rPr>
        <w:t>مامة الذي تم</w:t>
      </w:r>
      <w:r w:rsidR="00F13110" w:rsidRPr="003F3B94">
        <w:rPr>
          <w:rFonts w:hint="cs"/>
          <w:sz w:val="28"/>
          <w:rtl/>
          <w:lang w:bidi="ar-SY"/>
        </w:rPr>
        <w:t>َّ</w:t>
      </w:r>
      <w:r w:rsidR="0089346B" w:rsidRPr="003F3B94">
        <w:rPr>
          <w:rFonts w:hint="cs"/>
          <w:sz w:val="28"/>
          <w:rtl/>
          <w:lang w:bidi="ar-SY"/>
        </w:rPr>
        <w:t xml:space="preserve"> حفظه خ</w:t>
      </w:r>
      <w:r w:rsidR="008A2A49" w:rsidRPr="003F3B94">
        <w:rPr>
          <w:rFonts w:hint="cs"/>
          <w:sz w:val="28"/>
          <w:rtl/>
          <w:lang w:bidi="ar-SY"/>
        </w:rPr>
        <w:t>لا</w:t>
      </w:r>
      <w:r w:rsidR="0089346B" w:rsidRPr="003F3B94">
        <w:rPr>
          <w:rFonts w:hint="cs"/>
          <w:sz w:val="28"/>
          <w:rtl/>
          <w:lang w:bidi="ar-SY"/>
        </w:rPr>
        <w:t>ل مئات السنوات بل رب</w:t>
      </w:r>
      <w:r w:rsidR="00F13110" w:rsidRPr="003F3B94">
        <w:rPr>
          <w:rFonts w:hint="cs"/>
          <w:sz w:val="28"/>
          <w:rtl/>
          <w:lang w:bidi="ar-SY"/>
        </w:rPr>
        <w:t>ّ</w:t>
      </w:r>
      <w:r w:rsidR="0089346B" w:rsidRPr="003F3B94">
        <w:rPr>
          <w:rFonts w:hint="cs"/>
          <w:sz w:val="28"/>
          <w:rtl/>
          <w:lang w:bidi="ar-SY"/>
        </w:rPr>
        <w:t>ما آ</w:t>
      </w:r>
      <w:r w:rsidR="008A2A49" w:rsidRPr="003F3B94">
        <w:rPr>
          <w:rFonts w:hint="cs"/>
          <w:sz w:val="28"/>
          <w:rtl/>
          <w:lang w:bidi="ar-SY"/>
        </w:rPr>
        <w:t>لا</w:t>
      </w:r>
      <w:r w:rsidR="0089346B" w:rsidRPr="003F3B94">
        <w:rPr>
          <w:rFonts w:hint="cs"/>
          <w:sz w:val="28"/>
          <w:rtl/>
          <w:lang w:bidi="ar-SY"/>
        </w:rPr>
        <w:t>ف السنوات إلى صاحبه ا</w:t>
      </w:r>
      <w:r w:rsidR="008A2A49" w:rsidRPr="003F3B94">
        <w:rPr>
          <w:rFonts w:hint="cs"/>
          <w:sz w:val="28"/>
          <w:rtl/>
          <w:lang w:bidi="ar-SY"/>
        </w:rPr>
        <w:t>لأ</w:t>
      </w:r>
      <w:r w:rsidR="0089346B" w:rsidRPr="003F3B94">
        <w:rPr>
          <w:rFonts w:hint="cs"/>
          <w:sz w:val="28"/>
          <w:rtl/>
          <w:lang w:bidi="ar-SY"/>
        </w:rPr>
        <w:t>صلي و</w:t>
      </w:r>
      <w:r w:rsidR="002F3548" w:rsidRPr="003F3B94">
        <w:rPr>
          <w:rFonts w:hint="cs"/>
          <w:sz w:val="28"/>
          <w:rtl/>
          <w:lang w:bidi="ar-SY"/>
        </w:rPr>
        <w:t>إيصا</w:t>
      </w:r>
      <w:r w:rsidR="0089346B" w:rsidRPr="003F3B94">
        <w:rPr>
          <w:rFonts w:hint="cs"/>
          <w:sz w:val="28"/>
          <w:rtl/>
          <w:lang w:bidi="ar-SY"/>
        </w:rPr>
        <w:t>ل الحق لمن له الحق</w:t>
      </w:r>
      <w:r w:rsidR="00217AB4" w:rsidRPr="003F3B94">
        <w:rPr>
          <w:rFonts w:hint="cs"/>
          <w:sz w:val="28"/>
          <w:rtl/>
          <w:lang w:bidi="ar-SY"/>
        </w:rPr>
        <w:t>؟</w:t>
      </w:r>
      <w:r w:rsidR="00147857" w:rsidRPr="003F3B94">
        <w:rPr>
          <w:rFonts w:hint="cs"/>
          <w:sz w:val="28"/>
          <w:rtl/>
          <w:lang w:bidi="ar-SY"/>
        </w:rPr>
        <w:t xml:space="preserve"> </w:t>
      </w:r>
      <w:r w:rsidR="00921C77" w:rsidRPr="003F3B94">
        <w:rPr>
          <w:rFonts w:hint="cs"/>
          <w:sz w:val="28"/>
          <w:rtl/>
          <w:lang w:bidi="ar-SY"/>
        </w:rPr>
        <w:t>هذا أحد الطرق</w:t>
      </w:r>
      <w:r w:rsidR="00217AB4" w:rsidRPr="003F3B94">
        <w:rPr>
          <w:rFonts w:hint="cs"/>
          <w:sz w:val="28"/>
          <w:rtl/>
          <w:lang w:bidi="ar-SY"/>
        </w:rPr>
        <w:t>!</w:t>
      </w:r>
      <w:r w:rsidR="00921C77" w:rsidRPr="003F3B94">
        <w:rPr>
          <w:rFonts w:hint="cs"/>
          <w:sz w:val="28"/>
          <w:rtl/>
          <w:lang w:bidi="ar-SY"/>
        </w:rPr>
        <w:t xml:space="preserve"> </w:t>
      </w:r>
    </w:p>
    <w:p w:rsidR="00C42213" w:rsidRPr="003F3B94" w:rsidRDefault="00921C77" w:rsidP="003F3B94">
      <w:pPr>
        <w:pStyle w:val="a0"/>
        <w:rPr>
          <w:rFonts w:hint="cs"/>
          <w:rtl/>
          <w:lang w:bidi="ar-SY"/>
        </w:rPr>
      </w:pPr>
      <w:r w:rsidRPr="003F3B94">
        <w:rPr>
          <w:rFonts w:hint="cs"/>
          <w:sz w:val="28"/>
          <w:rtl/>
          <w:lang w:bidi="ar-SY"/>
        </w:rPr>
        <w:t xml:space="preserve">وأما الطريق الثاني فهو أسهل وهو أن يقوم </w:t>
      </w:r>
      <w:r w:rsidR="002F3548" w:rsidRPr="003F3B94">
        <w:rPr>
          <w:rFonts w:hint="cs"/>
          <w:sz w:val="28"/>
          <w:rtl/>
          <w:lang w:bidi="ar-SY"/>
        </w:rPr>
        <w:t xml:space="preserve">المسلم </w:t>
      </w:r>
      <w:r w:rsidRPr="003F3B94">
        <w:rPr>
          <w:rFonts w:hint="cs"/>
          <w:sz w:val="28"/>
          <w:rtl/>
          <w:lang w:bidi="ar-SY"/>
        </w:rPr>
        <w:t>بدفن سهم ا</w:t>
      </w:r>
      <w:r w:rsidR="008A2A49" w:rsidRPr="003F3B94">
        <w:rPr>
          <w:rFonts w:hint="cs"/>
          <w:sz w:val="28"/>
          <w:rtl/>
          <w:lang w:bidi="ar-SY"/>
        </w:rPr>
        <w:t>لإ</w:t>
      </w:r>
      <w:r w:rsidRPr="003F3B94">
        <w:rPr>
          <w:rFonts w:hint="cs"/>
          <w:sz w:val="28"/>
          <w:rtl/>
          <w:lang w:bidi="ar-SY"/>
        </w:rPr>
        <w:t xml:space="preserve">مام </w:t>
      </w:r>
      <w:r w:rsidR="00FC0A88" w:rsidRPr="003F3B94">
        <w:rPr>
          <w:rFonts w:hint="cs"/>
          <w:sz w:val="28"/>
          <w:rtl/>
          <w:lang w:bidi="ar-SY"/>
        </w:rPr>
        <w:t>في صحراء أو بادية ما حتى يظهر ا</w:t>
      </w:r>
      <w:r w:rsidR="008A2A49" w:rsidRPr="003F3B94">
        <w:rPr>
          <w:rFonts w:hint="cs"/>
          <w:sz w:val="28"/>
          <w:rtl/>
          <w:lang w:bidi="ar-SY"/>
        </w:rPr>
        <w:t>لإ</w:t>
      </w:r>
      <w:r w:rsidR="00FC0A88" w:rsidRPr="003F3B94">
        <w:rPr>
          <w:rFonts w:hint="cs"/>
          <w:sz w:val="28"/>
          <w:rtl/>
          <w:lang w:bidi="ar-SY"/>
        </w:rPr>
        <w:t xml:space="preserve">مام </w:t>
      </w:r>
      <w:r w:rsidR="00DC30E5" w:rsidRPr="003F3B94">
        <w:rPr>
          <w:rFonts w:hint="cs"/>
          <w:sz w:val="28"/>
          <w:rtl/>
          <w:lang w:bidi="ar-SY"/>
        </w:rPr>
        <w:t xml:space="preserve">الغائب </w:t>
      </w:r>
      <w:r w:rsidR="00FC0A88" w:rsidRPr="003F3B94">
        <w:rPr>
          <w:rFonts w:hint="cs"/>
          <w:sz w:val="28"/>
          <w:rtl/>
          <w:lang w:bidi="ar-SY"/>
        </w:rPr>
        <w:t xml:space="preserve">فيستدعي تلك الدفينة ويأتي بها </w:t>
      </w:r>
      <w:r w:rsidR="003120F3" w:rsidRPr="003F3B94">
        <w:rPr>
          <w:rFonts w:hint="cs"/>
          <w:sz w:val="28"/>
          <w:rtl/>
          <w:lang w:bidi="ar-SY"/>
        </w:rPr>
        <w:t xml:space="preserve">كي يصرفها في </w:t>
      </w:r>
      <w:r w:rsidR="00002FB8" w:rsidRPr="003F3B94">
        <w:rPr>
          <w:rFonts w:hint="cs"/>
          <w:sz w:val="28"/>
          <w:rtl/>
          <w:lang w:bidi="ar-SY"/>
        </w:rPr>
        <w:t xml:space="preserve">مصارف </w:t>
      </w:r>
      <w:r w:rsidR="002F3548" w:rsidRPr="003F3B94">
        <w:rPr>
          <w:rFonts w:hint="cs"/>
          <w:sz w:val="28"/>
          <w:rtl/>
          <w:lang w:bidi="ar-SY"/>
        </w:rPr>
        <w:t>فترة</w:t>
      </w:r>
      <w:r w:rsidR="00002FB8" w:rsidRPr="003F3B94">
        <w:rPr>
          <w:rFonts w:hint="cs"/>
          <w:sz w:val="28"/>
          <w:rtl/>
          <w:lang w:bidi="ar-SY"/>
        </w:rPr>
        <w:t xml:space="preserve"> ا</w:t>
      </w:r>
      <w:r w:rsidR="008A2A49" w:rsidRPr="003F3B94">
        <w:rPr>
          <w:rFonts w:hint="cs"/>
          <w:sz w:val="28"/>
          <w:rtl/>
          <w:lang w:bidi="ar-SY"/>
        </w:rPr>
        <w:t>لإ</w:t>
      </w:r>
      <w:r w:rsidR="00002FB8" w:rsidRPr="003F3B94">
        <w:rPr>
          <w:rFonts w:hint="cs"/>
          <w:sz w:val="28"/>
          <w:rtl/>
          <w:lang w:bidi="ar-SY"/>
        </w:rPr>
        <w:t>مامة ال</w:t>
      </w:r>
      <w:r w:rsidR="003120F3" w:rsidRPr="003F3B94">
        <w:rPr>
          <w:rFonts w:hint="cs"/>
          <w:sz w:val="28"/>
          <w:rtl/>
          <w:lang w:bidi="ar-SY"/>
        </w:rPr>
        <w:t>تي ت</w:t>
      </w:r>
      <w:r w:rsidR="00002FB8" w:rsidRPr="003F3B94">
        <w:rPr>
          <w:rFonts w:hint="cs"/>
          <w:sz w:val="28"/>
          <w:rtl/>
          <w:lang w:bidi="ar-SY"/>
        </w:rPr>
        <w:t xml:space="preserve">صل إلى سبع سنوات أو على أكثر </w:t>
      </w:r>
      <w:r w:rsidR="00D740C0" w:rsidRPr="003F3B94">
        <w:rPr>
          <w:rFonts w:hint="cs"/>
          <w:sz w:val="28"/>
          <w:rtl/>
          <w:lang w:bidi="ar-SY"/>
        </w:rPr>
        <w:t xml:space="preserve">تقدير أربعين سنة </w:t>
      </w:r>
      <w:r w:rsidR="00217AB4" w:rsidRPr="003F3B94">
        <w:rPr>
          <w:rFonts w:hint="cs"/>
          <w:sz w:val="28"/>
          <w:rtl/>
          <w:lang w:bidi="ar-SY"/>
        </w:rPr>
        <w:t>(</w:t>
      </w:r>
      <w:r w:rsidR="002F3548" w:rsidRPr="003F3B94">
        <w:rPr>
          <w:rFonts w:hint="cs"/>
          <w:sz w:val="28"/>
          <w:rtl/>
          <w:lang w:bidi="ar-SY"/>
        </w:rPr>
        <w:t>مدة</w:t>
      </w:r>
      <w:r w:rsidR="00D740C0" w:rsidRPr="003F3B94">
        <w:rPr>
          <w:rFonts w:hint="cs"/>
          <w:sz w:val="28"/>
          <w:rtl/>
          <w:lang w:bidi="ar-SY"/>
        </w:rPr>
        <w:t xml:space="preserve"> إمامة حضرة المهدي حسب الروايات وا</w:t>
      </w:r>
      <w:r w:rsidR="008A2A49" w:rsidRPr="003F3B94">
        <w:rPr>
          <w:rFonts w:hint="cs"/>
          <w:sz w:val="28"/>
          <w:rtl/>
          <w:lang w:bidi="ar-SY"/>
        </w:rPr>
        <w:t>لأ</w:t>
      </w:r>
      <w:r w:rsidR="00D740C0" w:rsidRPr="003F3B94">
        <w:rPr>
          <w:rFonts w:hint="cs"/>
          <w:sz w:val="28"/>
          <w:rtl/>
          <w:lang w:bidi="ar-SY"/>
        </w:rPr>
        <w:t>خبار سبع سنوات وبعضها ذكر أنه أربعين سنة</w:t>
      </w:r>
      <w:r w:rsidR="00217AB4" w:rsidRPr="003F3B94">
        <w:rPr>
          <w:rFonts w:hint="cs"/>
          <w:sz w:val="28"/>
          <w:rtl/>
          <w:lang w:bidi="ar-SY"/>
        </w:rPr>
        <w:t>).</w:t>
      </w:r>
      <w:r w:rsidR="00D740C0" w:rsidRPr="003F3B94">
        <w:rPr>
          <w:rFonts w:hint="cs"/>
          <w:sz w:val="28"/>
          <w:rtl/>
          <w:lang w:bidi="ar-SY"/>
        </w:rPr>
        <w:t xml:space="preserve"> </w:t>
      </w:r>
    </w:p>
    <w:p w:rsidR="00FB6BDC" w:rsidRPr="003F3B94" w:rsidRDefault="00C42213" w:rsidP="003F3B94">
      <w:pPr>
        <w:pStyle w:val="a0"/>
        <w:rPr>
          <w:rFonts w:hint="cs"/>
          <w:rtl/>
          <w:lang w:bidi="ar-SY"/>
        </w:rPr>
      </w:pPr>
      <w:r w:rsidRPr="003F3B94">
        <w:rPr>
          <w:rFonts w:hint="cs"/>
          <w:sz w:val="28"/>
          <w:rtl/>
          <w:lang w:bidi="ar-SY"/>
        </w:rPr>
        <w:t>والطريق ا</w:t>
      </w:r>
      <w:r w:rsidR="008A2A49" w:rsidRPr="003F3B94">
        <w:rPr>
          <w:rFonts w:hint="cs"/>
          <w:sz w:val="28"/>
          <w:rtl/>
          <w:lang w:bidi="ar-SY"/>
        </w:rPr>
        <w:t>لأ</w:t>
      </w:r>
      <w:r w:rsidRPr="003F3B94">
        <w:rPr>
          <w:rFonts w:hint="cs"/>
          <w:sz w:val="28"/>
          <w:rtl/>
          <w:lang w:bidi="ar-SY"/>
        </w:rPr>
        <w:t>فضل وا</w:t>
      </w:r>
      <w:r w:rsidR="008A2A49" w:rsidRPr="003F3B94">
        <w:rPr>
          <w:rFonts w:hint="cs"/>
          <w:sz w:val="28"/>
          <w:rtl/>
          <w:lang w:bidi="ar-SY"/>
        </w:rPr>
        <w:t>لأ</w:t>
      </w:r>
      <w:r w:rsidRPr="003F3B94">
        <w:rPr>
          <w:rFonts w:hint="cs"/>
          <w:sz w:val="28"/>
          <w:rtl/>
          <w:lang w:bidi="ar-SY"/>
        </w:rPr>
        <w:t>سهل وا</w:t>
      </w:r>
      <w:r w:rsidR="008A2A49" w:rsidRPr="003F3B94">
        <w:rPr>
          <w:rFonts w:hint="cs"/>
          <w:sz w:val="28"/>
          <w:rtl/>
          <w:lang w:bidi="ar-SY"/>
        </w:rPr>
        <w:t>لأ</w:t>
      </w:r>
      <w:r w:rsidRPr="003F3B94">
        <w:rPr>
          <w:rFonts w:hint="cs"/>
          <w:sz w:val="28"/>
          <w:rtl/>
          <w:lang w:bidi="ar-SY"/>
        </w:rPr>
        <w:t xml:space="preserve">كثر </w:t>
      </w:r>
      <w:r w:rsidR="003120F3" w:rsidRPr="003F3B94">
        <w:rPr>
          <w:rFonts w:hint="cs"/>
          <w:sz w:val="28"/>
          <w:rtl/>
          <w:lang w:bidi="ar-SY"/>
        </w:rPr>
        <w:t>اطمئناناً</w:t>
      </w:r>
      <w:r w:rsidRPr="003F3B94">
        <w:rPr>
          <w:rFonts w:hint="cs"/>
          <w:sz w:val="28"/>
          <w:rtl/>
          <w:lang w:bidi="ar-SY"/>
        </w:rPr>
        <w:t xml:space="preserve"> أن</w:t>
      </w:r>
      <w:r w:rsidR="003120F3" w:rsidRPr="003F3B94">
        <w:rPr>
          <w:rFonts w:hint="cs"/>
          <w:sz w:val="28"/>
          <w:rtl/>
          <w:lang w:bidi="ar-SY"/>
        </w:rPr>
        <w:t xml:space="preserve"> يرمي بتلك ا</w:t>
      </w:r>
      <w:r w:rsidR="008A2A49" w:rsidRPr="003F3B94">
        <w:rPr>
          <w:rFonts w:hint="cs"/>
          <w:sz w:val="28"/>
          <w:rtl/>
          <w:lang w:bidi="ar-SY"/>
        </w:rPr>
        <w:t>لأ</w:t>
      </w:r>
      <w:r w:rsidR="003120F3" w:rsidRPr="003F3B94">
        <w:rPr>
          <w:rFonts w:hint="cs"/>
          <w:sz w:val="28"/>
          <w:rtl/>
          <w:lang w:bidi="ar-SY"/>
        </w:rPr>
        <w:t xml:space="preserve">موال في البحر إذ يُخشى </w:t>
      </w:r>
      <w:r w:rsidR="00DC30E5" w:rsidRPr="003F3B94">
        <w:rPr>
          <w:rFonts w:hint="cs"/>
          <w:sz w:val="28"/>
          <w:rtl/>
          <w:lang w:bidi="ar-SY"/>
        </w:rPr>
        <w:t>إذا</w:t>
      </w:r>
      <w:r w:rsidR="003120F3" w:rsidRPr="003F3B94">
        <w:rPr>
          <w:rFonts w:hint="cs"/>
          <w:sz w:val="28"/>
          <w:rtl/>
          <w:lang w:bidi="ar-SY"/>
        </w:rPr>
        <w:t xml:space="preserve"> </w:t>
      </w:r>
      <w:r w:rsidRPr="003F3B94">
        <w:rPr>
          <w:rFonts w:hint="cs"/>
          <w:sz w:val="28"/>
          <w:rtl/>
          <w:lang w:bidi="ar-SY"/>
        </w:rPr>
        <w:t xml:space="preserve">دفنها في الصحراء </w:t>
      </w:r>
      <w:r w:rsidR="008F74A3" w:rsidRPr="003F3B94">
        <w:rPr>
          <w:rFonts w:hint="cs"/>
          <w:sz w:val="28"/>
          <w:rtl/>
          <w:lang w:bidi="ar-SY"/>
        </w:rPr>
        <w:t>أن يكتشفها أحد ا</w:t>
      </w:r>
      <w:r w:rsidR="008A2A49" w:rsidRPr="003F3B94">
        <w:rPr>
          <w:rFonts w:hint="cs"/>
          <w:sz w:val="28"/>
          <w:rtl/>
          <w:lang w:bidi="ar-SY"/>
        </w:rPr>
        <w:t>لأ</w:t>
      </w:r>
      <w:r w:rsidR="008F74A3" w:rsidRPr="003F3B94">
        <w:rPr>
          <w:rFonts w:hint="cs"/>
          <w:sz w:val="28"/>
          <w:rtl/>
          <w:lang w:bidi="ar-SY"/>
        </w:rPr>
        <w:t xml:space="preserve">حياء </w:t>
      </w:r>
      <w:r w:rsidR="003120F3" w:rsidRPr="003F3B94">
        <w:rPr>
          <w:rFonts w:hint="cs"/>
          <w:sz w:val="28"/>
          <w:rtl/>
          <w:lang w:bidi="ar-SY"/>
        </w:rPr>
        <w:t>فيأخذها</w:t>
      </w:r>
      <w:r w:rsidR="00217AB4" w:rsidRPr="003F3B94">
        <w:rPr>
          <w:rFonts w:hint="cs"/>
          <w:sz w:val="28"/>
          <w:rtl/>
          <w:lang w:bidi="ar-SY"/>
        </w:rPr>
        <w:t>،</w:t>
      </w:r>
      <w:r w:rsidR="003120F3" w:rsidRPr="003F3B94">
        <w:rPr>
          <w:rFonts w:hint="cs"/>
          <w:sz w:val="28"/>
          <w:rtl/>
          <w:lang w:bidi="ar-SY"/>
        </w:rPr>
        <w:t xml:space="preserve"> أما عندما ترمى في البحر فإنها تصبح </w:t>
      </w:r>
      <w:r w:rsidR="00DC30E5" w:rsidRPr="003F3B94">
        <w:rPr>
          <w:rFonts w:hint="cs"/>
          <w:sz w:val="28"/>
          <w:rtl/>
          <w:lang w:bidi="ar-SY"/>
        </w:rPr>
        <w:t>باستقرارها في قاعه ب</w:t>
      </w:r>
      <w:r w:rsidR="003120F3" w:rsidRPr="003F3B94">
        <w:rPr>
          <w:rFonts w:hint="cs"/>
          <w:sz w:val="28"/>
          <w:rtl/>
          <w:lang w:bidi="ar-SY"/>
        </w:rPr>
        <w:t xml:space="preserve">مأمنٍ </w:t>
      </w:r>
      <w:r w:rsidR="00DC30E5" w:rsidRPr="003F3B94">
        <w:rPr>
          <w:rFonts w:hint="cs"/>
          <w:sz w:val="28"/>
          <w:rtl/>
          <w:lang w:bidi="ar-SY"/>
        </w:rPr>
        <w:t xml:space="preserve">السرقة </w:t>
      </w:r>
      <w:r w:rsidR="008F74A3" w:rsidRPr="003F3B94">
        <w:rPr>
          <w:rFonts w:hint="cs"/>
          <w:sz w:val="28"/>
          <w:rtl/>
          <w:lang w:bidi="ar-SY"/>
        </w:rPr>
        <w:t>ف</w:t>
      </w:r>
      <w:r w:rsidR="003120F3" w:rsidRPr="003F3B94">
        <w:rPr>
          <w:rFonts w:hint="cs"/>
          <w:sz w:val="28"/>
          <w:rtl/>
          <w:lang w:bidi="ar-SY"/>
        </w:rPr>
        <w:t>ت</w:t>
      </w:r>
      <w:r w:rsidR="008F74A3" w:rsidRPr="003F3B94">
        <w:rPr>
          <w:rFonts w:hint="cs"/>
          <w:sz w:val="28"/>
          <w:rtl/>
          <w:lang w:bidi="ar-SY"/>
        </w:rPr>
        <w:t>بقى في قعر</w:t>
      </w:r>
      <w:r w:rsidR="00DC30E5" w:rsidRPr="003F3B94">
        <w:rPr>
          <w:rFonts w:hint="cs"/>
          <w:sz w:val="28"/>
          <w:rtl/>
          <w:lang w:bidi="ar-SY"/>
        </w:rPr>
        <w:t xml:space="preserve"> البحر</w:t>
      </w:r>
      <w:r w:rsidR="003C3BA9" w:rsidRPr="003F3B94">
        <w:rPr>
          <w:rFonts w:hint="cs"/>
          <w:sz w:val="28"/>
          <w:rtl/>
          <w:lang w:bidi="ar-SY"/>
        </w:rPr>
        <w:t xml:space="preserve"> إلى أن يظهر ا</w:t>
      </w:r>
      <w:r w:rsidR="008A2A49" w:rsidRPr="003F3B94">
        <w:rPr>
          <w:rFonts w:hint="cs"/>
          <w:sz w:val="28"/>
          <w:rtl/>
          <w:lang w:bidi="ar-SY"/>
        </w:rPr>
        <w:t>لإ</w:t>
      </w:r>
      <w:r w:rsidR="003C3BA9" w:rsidRPr="003F3B94">
        <w:rPr>
          <w:rFonts w:hint="cs"/>
          <w:sz w:val="28"/>
          <w:rtl/>
          <w:lang w:bidi="ar-SY"/>
        </w:rPr>
        <w:t>مام فيصرفه</w:t>
      </w:r>
      <w:r w:rsidR="003120F3" w:rsidRPr="003F3B94">
        <w:rPr>
          <w:rFonts w:hint="cs"/>
          <w:sz w:val="28"/>
          <w:rtl/>
          <w:lang w:bidi="ar-SY"/>
        </w:rPr>
        <w:t>ا</w:t>
      </w:r>
      <w:r w:rsidR="00217AB4" w:rsidRPr="003F3B94">
        <w:rPr>
          <w:rFonts w:hint="cs"/>
          <w:sz w:val="28"/>
          <w:rtl/>
          <w:lang w:bidi="ar-SY"/>
        </w:rPr>
        <w:t>!.</w:t>
      </w:r>
      <w:r w:rsidR="003C3BA9" w:rsidRPr="003F3B94">
        <w:rPr>
          <w:rFonts w:hint="cs"/>
          <w:sz w:val="28"/>
          <w:rtl/>
          <w:lang w:bidi="ar-SY"/>
        </w:rPr>
        <w:t xml:space="preserve"> </w:t>
      </w:r>
    </w:p>
    <w:p w:rsidR="000011BC" w:rsidRPr="003F3B94" w:rsidRDefault="00FB6BDC" w:rsidP="003F3B94">
      <w:pPr>
        <w:pStyle w:val="a0"/>
        <w:rPr>
          <w:rFonts w:hint="cs"/>
          <w:rtl/>
          <w:lang w:bidi="ar-SY"/>
        </w:rPr>
      </w:pPr>
      <w:r w:rsidRPr="003F3B94">
        <w:rPr>
          <w:rFonts w:hint="cs"/>
          <w:sz w:val="28"/>
          <w:rtl/>
          <w:lang w:bidi="ar-SY"/>
        </w:rPr>
        <w:t>هل تدركون ما هي نتيجة هذا الحكم العظيم الذي تفتقت عنه عقول مروجي الدين المبين ونسبوه ظلماً لشريعة السماء ا</w:t>
      </w:r>
      <w:r w:rsidR="008A2A49" w:rsidRPr="003F3B94">
        <w:rPr>
          <w:rFonts w:hint="cs"/>
          <w:sz w:val="28"/>
          <w:rtl/>
          <w:lang w:bidi="ar-SY"/>
        </w:rPr>
        <w:t>لإ</w:t>
      </w:r>
      <w:r w:rsidRPr="003F3B94">
        <w:rPr>
          <w:rFonts w:hint="cs"/>
          <w:sz w:val="28"/>
          <w:rtl/>
          <w:lang w:bidi="ar-SY"/>
        </w:rPr>
        <w:t>لهية التي جاء بها سيد المرسلين</w:t>
      </w:r>
      <w:r w:rsidR="00217AB4" w:rsidRPr="003F3B94">
        <w:rPr>
          <w:rFonts w:hint="cs"/>
          <w:sz w:val="28"/>
          <w:rtl/>
          <w:lang w:bidi="ar-SY"/>
        </w:rPr>
        <w:t>؟</w:t>
      </w:r>
      <w:r w:rsidRPr="003F3B94">
        <w:rPr>
          <w:rFonts w:hint="cs"/>
          <w:sz w:val="28"/>
          <w:rtl/>
          <w:lang w:bidi="ar-SY"/>
        </w:rPr>
        <w:t xml:space="preserve"> </w:t>
      </w:r>
    </w:p>
    <w:p w:rsidR="00C71B62" w:rsidRPr="003F3B94" w:rsidRDefault="000011BC" w:rsidP="003F3B94">
      <w:pPr>
        <w:pStyle w:val="a0"/>
        <w:rPr>
          <w:rFonts w:hint="cs"/>
          <w:rtl/>
          <w:lang w:bidi="ar-SY"/>
        </w:rPr>
      </w:pPr>
      <w:r w:rsidRPr="003F3B94">
        <w:rPr>
          <w:rFonts w:hint="cs"/>
          <w:sz w:val="28"/>
          <w:rtl/>
          <w:lang w:bidi="ar-SY"/>
        </w:rPr>
        <w:t>إن</w:t>
      </w:r>
      <w:r w:rsidR="007C614E" w:rsidRPr="003F3B94">
        <w:rPr>
          <w:rFonts w:hint="cs"/>
          <w:sz w:val="28"/>
          <w:rtl/>
          <w:lang w:bidi="ar-SY"/>
        </w:rPr>
        <w:t xml:space="preserve"> معنى هذا الحكم أن</w:t>
      </w:r>
      <w:r w:rsidRPr="003F3B94">
        <w:rPr>
          <w:rFonts w:hint="cs"/>
          <w:sz w:val="28"/>
          <w:rtl/>
          <w:lang w:bidi="ar-SY"/>
        </w:rPr>
        <w:t xml:space="preserve"> كل سنة </w:t>
      </w:r>
      <w:r w:rsidR="008A2A49" w:rsidRPr="003F3B94">
        <w:rPr>
          <w:rFonts w:hint="cs"/>
          <w:sz w:val="28"/>
          <w:rtl/>
          <w:lang w:bidi="ar-SY"/>
        </w:rPr>
        <w:t>لا</w:t>
      </w:r>
      <w:r w:rsidRPr="003F3B94">
        <w:rPr>
          <w:rFonts w:hint="cs"/>
          <w:sz w:val="28"/>
          <w:rtl/>
          <w:lang w:bidi="ar-SY"/>
        </w:rPr>
        <w:t xml:space="preserve"> بد من إلقاء </w:t>
      </w:r>
      <w:r w:rsidR="007C614E" w:rsidRPr="003F3B94">
        <w:rPr>
          <w:rFonts w:hint="cs"/>
          <w:sz w:val="28"/>
          <w:rtl/>
          <w:lang w:bidi="ar-SY"/>
        </w:rPr>
        <w:t xml:space="preserve">خمس كل </w:t>
      </w:r>
      <w:r w:rsidRPr="003F3B94">
        <w:rPr>
          <w:rFonts w:hint="cs"/>
          <w:sz w:val="28"/>
          <w:rtl/>
          <w:lang w:bidi="ar-SY"/>
        </w:rPr>
        <w:t xml:space="preserve">درهم من الثروة الموجودة على </w:t>
      </w:r>
      <w:r w:rsidR="007C614E" w:rsidRPr="003F3B94">
        <w:rPr>
          <w:rFonts w:hint="cs"/>
          <w:sz w:val="28"/>
          <w:rtl/>
          <w:lang w:bidi="ar-SY"/>
        </w:rPr>
        <w:t xml:space="preserve">سطح </w:t>
      </w:r>
      <w:r w:rsidRPr="003F3B94">
        <w:rPr>
          <w:rFonts w:hint="cs"/>
          <w:sz w:val="28"/>
          <w:rtl/>
          <w:lang w:bidi="ar-SY"/>
        </w:rPr>
        <w:t>ا</w:t>
      </w:r>
      <w:r w:rsidR="008A2A49" w:rsidRPr="003F3B94">
        <w:rPr>
          <w:rFonts w:hint="cs"/>
          <w:sz w:val="28"/>
          <w:rtl/>
          <w:lang w:bidi="ar-SY"/>
        </w:rPr>
        <w:t>لأ</w:t>
      </w:r>
      <w:r w:rsidRPr="003F3B94">
        <w:rPr>
          <w:rFonts w:hint="cs"/>
          <w:sz w:val="28"/>
          <w:rtl/>
          <w:lang w:bidi="ar-SY"/>
        </w:rPr>
        <w:t xml:space="preserve">رض في البحر </w:t>
      </w:r>
      <w:r w:rsidR="008237D5" w:rsidRPr="003F3B94">
        <w:rPr>
          <w:rFonts w:hint="cs"/>
          <w:sz w:val="28"/>
          <w:rtl/>
          <w:lang w:bidi="ar-SY"/>
        </w:rPr>
        <w:t>كي يأتي ا</w:t>
      </w:r>
      <w:r w:rsidR="008A2A49" w:rsidRPr="003F3B94">
        <w:rPr>
          <w:rFonts w:hint="cs"/>
          <w:sz w:val="28"/>
          <w:rtl/>
          <w:lang w:bidi="ar-SY"/>
        </w:rPr>
        <w:t>لإ</w:t>
      </w:r>
      <w:r w:rsidR="008237D5" w:rsidRPr="003F3B94">
        <w:rPr>
          <w:rFonts w:hint="cs"/>
          <w:sz w:val="28"/>
          <w:rtl/>
          <w:lang w:bidi="ar-SY"/>
        </w:rPr>
        <w:t>مام الغائب بعد عدة آ</w:t>
      </w:r>
      <w:r w:rsidR="008A2A49" w:rsidRPr="003F3B94">
        <w:rPr>
          <w:rFonts w:hint="cs"/>
          <w:sz w:val="28"/>
          <w:rtl/>
          <w:lang w:bidi="ar-SY"/>
        </w:rPr>
        <w:t>لا</w:t>
      </w:r>
      <w:r w:rsidR="008237D5" w:rsidRPr="003F3B94">
        <w:rPr>
          <w:rFonts w:hint="cs"/>
          <w:sz w:val="28"/>
          <w:rtl/>
          <w:lang w:bidi="ar-SY"/>
        </w:rPr>
        <w:t xml:space="preserve">ف من </w:t>
      </w:r>
      <w:r w:rsidR="007C614E" w:rsidRPr="003F3B94">
        <w:rPr>
          <w:rFonts w:hint="cs"/>
          <w:sz w:val="28"/>
          <w:rtl/>
          <w:lang w:bidi="ar-SY"/>
        </w:rPr>
        <w:t>السنين فيأخذ هذه الثروة</w:t>
      </w:r>
      <w:r w:rsidR="008237D5" w:rsidRPr="003F3B94">
        <w:rPr>
          <w:rFonts w:hint="cs"/>
          <w:sz w:val="28"/>
          <w:rtl/>
          <w:lang w:bidi="ar-SY"/>
        </w:rPr>
        <w:t xml:space="preserve"> </w:t>
      </w:r>
      <w:r w:rsidR="007C614E" w:rsidRPr="003F3B94">
        <w:rPr>
          <w:rFonts w:hint="cs"/>
          <w:sz w:val="28"/>
          <w:rtl/>
          <w:lang w:bidi="ar-SY"/>
        </w:rPr>
        <w:t xml:space="preserve">الهائلة </w:t>
      </w:r>
      <w:r w:rsidR="008237D5" w:rsidRPr="003F3B94">
        <w:rPr>
          <w:rFonts w:hint="cs"/>
          <w:sz w:val="28"/>
          <w:rtl/>
          <w:lang w:bidi="ar-SY"/>
        </w:rPr>
        <w:t xml:space="preserve">من </w:t>
      </w:r>
      <w:r w:rsidR="007C614E" w:rsidRPr="003F3B94">
        <w:rPr>
          <w:rFonts w:hint="cs"/>
          <w:sz w:val="28"/>
          <w:rtl/>
          <w:lang w:bidi="ar-SY"/>
        </w:rPr>
        <w:t xml:space="preserve">قعر </w:t>
      </w:r>
      <w:r w:rsidR="008237D5" w:rsidRPr="003F3B94">
        <w:rPr>
          <w:rFonts w:hint="cs"/>
          <w:sz w:val="28"/>
          <w:rtl/>
          <w:lang w:bidi="ar-SY"/>
        </w:rPr>
        <w:t xml:space="preserve">البحر </w:t>
      </w:r>
      <w:r w:rsidR="00217AB4" w:rsidRPr="003F3B94">
        <w:rPr>
          <w:rFonts w:hint="cs"/>
          <w:sz w:val="28"/>
          <w:rtl/>
          <w:lang w:bidi="ar-SY"/>
        </w:rPr>
        <w:t>(</w:t>
      </w:r>
      <w:r w:rsidR="007C614E" w:rsidRPr="003F3B94">
        <w:rPr>
          <w:rFonts w:hint="cs"/>
          <w:sz w:val="28"/>
          <w:rtl/>
          <w:lang w:bidi="ar-SY"/>
        </w:rPr>
        <w:t>ليصرفها فترة إمامته التي</w:t>
      </w:r>
      <w:r w:rsidR="003120F3" w:rsidRPr="003F3B94">
        <w:rPr>
          <w:rFonts w:hint="cs"/>
          <w:sz w:val="28"/>
          <w:rtl/>
          <w:lang w:bidi="ar-SY"/>
        </w:rPr>
        <w:t xml:space="preserve"> يُقال إ</w:t>
      </w:r>
      <w:r w:rsidR="005E1F9B" w:rsidRPr="003F3B94">
        <w:rPr>
          <w:rFonts w:hint="cs"/>
          <w:sz w:val="28"/>
          <w:rtl/>
          <w:lang w:bidi="ar-SY"/>
        </w:rPr>
        <w:t>ن المعام</w:t>
      </w:r>
      <w:r w:rsidR="008A2A49" w:rsidRPr="003F3B94">
        <w:rPr>
          <w:rFonts w:hint="cs"/>
          <w:sz w:val="28"/>
          <w:rtl/>
          <w:lang w:bidi="ar-SY"/>
        </w:rPr>
        <w:t>لا</w:t>
      </w:r>
      <w:r w:rsidR="005E1F9B" w:rsidRPr="003F3B94">
        <w:rPr>
          <w:rFonts w:hint="cs"/>
          <w:sz w:val="28"/>
          <w:rtl/>
          <w:lang w:bidi="ar-SY"/>
        </w:rPr>
        <w:t xml:space="preserve">ت فيها </w:t>
      </w:r>
      <w:r w:rsidR="007C614E" w:rsidRPr="003F3B94">
        <w:rPr>
          <w:rFonts w:hint="cs"/>
          <w:sz w:val="28"/>
          <w:rtl/>
          <w:lang w:bidi="ar-SY"/>
        </w:rPr>
        <w:t>س</w:t>
      </w:r>
      <w:r w:rsidR="005E1F9B" w:rsidRPr="003F3B94">
        <w:rPr>
          <w:rFonts w:hint="cs"/>
          <w:sz w:val="28"/>
          <w:rtl/>
          <w:lang w:bidi="ar-SY"/>
        </w:rPr>
        <w:t>تكون بالصلوات و</w:t>
      </w:r>
      <w:r w:rsidR="007C614E" w:rsidRPr="003F3B94">
        <w:rPr>
          <w:rFonts w:hint="cs"/>
          <w:sz w:val="28"/>
          <w:rtl/>
          <w:lang w:bidi="ar-SY"/>
        </w:rPr>
        <w:t>لن</w:t>
      </w:r>
      <w:r w:rsidR="005E1F9B" w:rsidRPr="003F3B94">
        <w:rPr>
          <w:rFonts w:hint="cs"/>
          <w:sz w:val="28"/>
          <w:rtl/>
          <w:lang w:bidi="ar-SY"/>
        </w:rPr>
        <w:t xml:space="preserve"> يحتاج أحدٌ فيها لدرهم و</w:t>
      </w:r>
      <w:r w:rsidR="008A2A49" w:rsidRPr="003F3B94">
        <w:rPr>
          <w:rFonts w:hint="cs"/>
          <w:sz w:val="28"/>
          <w:rtl/>
          <w:lang w:bidi="ar-SY"/>
        </w:rPr>
        <w:t>لا</w:t>
      </w:r>
      <w:r w:rsidR="005E1F9B" w:rsidRPr="003F3B94">
        <w:rPr>
          <w:rFonts w:hint="cs"/>
          <w:sz w:val="28"/>
          <w:rtl/>
          <w:lang w:bidi="ar-SY"/>
        </w:rPr>
        <w:t xml:space="preserve"> دينار</w:t>
      </w:r>
      <w:r w:rsidR="00217AB4" w:rsidRPr="003F3B94">
        <w:rPr>
          <w:rFonts w:hint="cs"/>
          <w:sz w:val="28"/>
          <w:rtl/>
          <w:lang w:bidi="ar-SY"/>
        </w:rPr>
        <w:t>)</w:t>
      </w:r>
      <w:r w:rsidR="005E1F9B" w:rsidRPr="003F3B94">
        <w:rPr>
          <w:rFonts w:hint="cs"/>
          <w:sz w:val="28"/>
          <w:rtl/>
          <w:lang w:bidi="ar-SY"/>
        </w:rPr>
        <w:t xml:space="preserve"> </w:t>
      </w:r>
      <w:r w:rsidR="007C614E" w:rsidRPr="003F3B94">
        <w:rPr>
          <w:rFonts w:hint="cs"/>
          <w:sz w:val="28"/>
          <w:rtl/>
          <w:lang w:bidi="ar-SY"/>
        </w:rPr>
        <w:t>ربما ليبني بها ناطحات سحاب من ذهب و</w:t>
      </w:r>
      <w:r w:rsidR="00CF3E33" w:rsidRPr="003F3B94">
        <w:rPr>
          <w:rFonts w:hint="cs"/>
          <w:sz w:val="28"/>
          <w:rtl/>
          <w:lang w:bidi="ar-SY"/>
        </w:rPr>
        <w:t>فضة</w:t>
      </w:r>
      <w:r w:rsidR="00217AB4" w:rsidRPr="003F3B94">
        <w:rPr>
          <w:rFonts w:hint="cs"/>
          <w:sz w:val="28"/>
          <w:rtl/>
          <w:lang w:bidi="ar-SY"/>
        </w:rPr>
        <w:t>!!</w:t>
      </w:r>
      <w:r w:rsidR="00CF3E33" w:rsidRPr="003F3B94">
        <w:rPr>
          <w:rFonts w:hint="cs"/>
          <w:sz w:val="28"/>
          <w:rtl/>
          <w:lang w:bidi="ar-SY"/>
        </w:rPr>
        <w:t xml:space="preserve"> </w:t>
      </w:r>
    </w:p>
    <w:p w:rsidR="007C614E" w:rsidRPr="003F3B94" w:rsidRDefault="007C614E" w:rsidP="003F3B94">
      <w:pPr>
        <w:pStyle w:val="a0"/>
        <w:rPr>
          <w:rFonts w:hint="cs"/>
          <w:rtl/>
          <w:lang w:bidi="ar-SY"/>
        </w:rPr>
      </w:pPr>
      <w:r w:rsidRPr="003F3B94">
        <w:rPr>
          <w:rFonts w:hint="cs"/>
          <w:sz w:val="28"/>
          <w:rtl/>
          <w:lang w:bidi="ar-SY"/>
        </w:rPr>
        <w:t xml:space="preserve">لذلك </w:t>
      </w:r>
      <w:r w:rsidR="00C71B62" w:rsidRPr="003F3B94">
        <w:rPr>
          <w:rFonts w:hint="cs"/>
          <w:sz w:val="28"/>
          <w:rtl/>
          <w:lang w:bidi="ar-SY"/>
        </w:rPr>
        <w:t>جز</w:t>
      </w:r>
      <w:r w:rsidR="00AA403C" w:rsidRPr="003F3B94">
        <w:rPr>
          <w:rFonts w:hint="cs"/>
          <w:sz w:val="28"/>
          <w:rtl/>
          <w:lang w:bidi="ar-SY"/>
        </w:rPr>
        <w:t>ى</w:t>
      </w:r>
      <w:r w:rsidR="00C71B62" w:rsidRPr="003F3B94">
        <w:rPr>
          <w:rFonts w:hint="cs"/>
          <w:sz w:val="28"/>
          <w:rtl/>
          <w:lang w:bidi="ar-SY"/>
        </w:rPr>
        <w:t xml:space="preserve"> الله خيراً المشايخ ومراجع التقليد في عصرنا </w:t>
      </w:r>
      <w:r w:rsidRPr="003F3B94">
        <w:rPr>
          <w:rFonts w:hint="cs"/>
          <w:sz w:val="28"/>
          <w:rtl/>
          <w:lang w:bidi="ar-SY"/>
        </w:rPr>
        <w:t>الذين قدموا</w:t>
      </w:r>
      <w:r w:rsidR="001358B7" w:rsidRPr="003F3B94">
        <w:rPr>
          <w:rFonts w:hint="cs"/>
          <w:sz w:val="28"/>
          <w:rtl/>
          <w:lang w:bidi="ar-SY"/>
        </w:rPr>
        <w:t xml:space="preserve"> </w:t>
      </w:r>
      <w:r w:rsidR="008A2A49" w:rsidRPr="003F3B94">
        <w:rPr>
          <w:rFonts w:hint="cs"/>
          <w:sz w:val="28"/>
          <w:rtl/>
          <w:lang w:bidi="ar-SY"/>
        </w:rPr>
        <w:t>لإ</w:t>
      </w:r>
      <w:r w:rsidR="001358B7" w:rsidRPr="003F3B94">
        <w:rPr>
          <w:rFonts w:hint="cs"/>
          <w:sz w:val="28"/>
          <w:rtl/>
          <w:lang w:bidi="ar-SY"/>
        </w:rPr>
        <w:t xml:space="preserve">نفاق هذه الميزانية العظيمة </w:t>
      </w:r>
      <w:r w:rsidRPr="003F3B94">
        <w:rPr>
          <w:rFonts w:hint="cs"/>
          <w:sz w:val="28"/>
          <w:rtl/>
          <w:lang w:bidi="ar-SY"/>
        </w:rPr>
        <w:t>ح</w:t>
      </w:r>
      <w:r w:rsidR="008A2A49" w:rsidRPr="003F3B94">
        <w:rPr>
          <w:rFonts w:hint="cs"/>
          <w:sz w:val="28"/>
          <w:rtl/>
          <w:lang w:bidi="ar-SY"/>
        </w:rPr>
        <w:t>لا</w:t>
      </w:r>
      <w:r w:rsidRPr="003F3B94">
        <w:rPr>
          <w:rFonts w:hint="cs"/>
          <w:sz w:val="28"/>
          <w:rtl/>
          <w:lang w:bidi="ar-SY"/>
        </w:rPr>
        <w:t xml:space="preserve"> آخر </w:t>
      </w:r>
      <w:r w:rsidR="001358B7" w:rsidRPr="003F3B94">
        <w:rPr>
          <w:rFonts w:cs="Times New Roman" w:hint="cs"/>
          <w:sz w:val="28"/>
          <w:rtl/>
          <w:lang w:bidi="ar-SY"/>
        </w:rPr>
        <w:t>–</w:t>
      </w:r>
      <w:r w:rsidR="001358B7" w:rsidRPr="003F3B94">
        <w:rPr>
          <w:rFonts w:hint="cs"/>
          <w:sz w:val="28"/>
          <w:rtl/>
          <w:lang w:bidi="ar-SY"/>
        </w:rPr>
        <w:t xml:space="preserve"> ر</w:t>
      </w:r>
      <w:r w:rsidR="00F529BC" w:rsidRPr="003F3B94">
        <w:rPr>
          <w:rFonts w:hint="cs"/>
          <w:sz w:val="28"/>
          <w:rtl/>
          <w:lang w:bidi="ar-SY"/>
        </w:rPr>
        <w:t>غم أن</w:t>
      </w:r>
      <w:r w:rsidRPr="003F3B94">
        <w:rPr>
          <w:rFonts w:hint="cs"/>
          <w:sz w:val="28"/>
          <w:rtl/>
          <w:lang w:bidi="ar-SY"/>
        </w:rPr>
        <w:t xml:space="preserve"> الخمس </w:t>
      </w:r>
      <w:r w:rsidR="008A2A49" w:rsidRPr="003F3B94">
        <w:rPr>
          <w:rFonts w:hint="cs"/>
          <w:sz w:val="28"/>
          <w:rtl/>
          <w:lang w:bidi="ar-SY"/>
        </w:rPr>
        <w:t>لا</w:t>
      </w:r>
      <w:r w:rsidRPr="003F3B94">
        <w:rPr>
          <w:rFonts w:hint="cs"/>
          <w:sz w:val="28"/>
          <w:rtl/>
          <w:lang w:bidi="ar-SY"/>
        </w:rPr>
        <w:t xml:space="preserve"> يُ</w:t>
      </w:r>
      <w:r w:rsidR="00F529BC" w:rsidRPr="003F3B94">
        <w:rPr>
          <w:rFonts w:hint="cs"/>
          <w:sz w:val="28"/>
          <w:rtl/>
          <w:lang w:bidi="ar-SY"/>
        </w:rPr>
        <w:t>ؤد</w:t>
      </w:r>
      <w:r w:rsidRPr="003F3B94">
        <w:rPr>
          <w:rFonts w:hint="cs"/>
          <w:sz w:val="28"/>
          <w:rtl/>
          <w:lang w:bidi="ar-SY"/>
        </w:rPr>
        <w:t>َّ</w:t>
      </w:r>
      <w:r w:rsidR="00F529BC" w:rsidRPr="003F3B94">
        <w:rPr>
          <w:rFonts w:hint="cs"/>
          <w:sz w:val="28"/>
          <w:rtl/>
          <w:lang w:bidi="ar-SY"/>
        </w:rPr>
        <w:t xml:space="preserve">ى </w:t>
      </w:r>
      <w:r w:rsidRPr="003F3B94">
        <w:rPr>
          <w:rFonts w:hint="cs"/>
          <w:sz w:val="28"/>
          <w:rtl/>
          <w:lang w:bidi="ar-SY"/>
        </w:rPr>
        <w:t>بشكل</w:t>
      </w:r>
      <w:r w:rsidR="00F529BC" w:rsidRPr="003F3B94">
        <w:rPr>
          <w:rFonts w:hint="cs"/>
          <w:sz w:val="28"/>
          <w:rtl/>
          <w:lang w:bidi="ar-SY"/>
        </w:rPr>
        <w:t xml:space="preserve"> كامل </w:t>
      </w:r>
      <w:r w:rsidR="008A2A49" w:rsidRPr="003F3B94">
        <w:rPr>
          <w:rFonts w:hint="cs"/>
          <w:sz w:val="28"/>
          <w:rtl/>
          <w:lang w:bidi="ar-SY"/>
        </w:rPr>
        <w:t>لأ</w:t>
      </w:r>
      <w:r w:rsidR="00F529BC" w:rsidRPr="003F3B94">
        <w:rPr>
          <w:rFonts w:hint="cs"/>
          <w:sz w:val="28"/>
          <w:rtl/>
          <w:lang w:bidi="ar-SY"/>
        </w:rPr>
        <w:t>نه</w:t>
      </w:r>
      <w:r w:rsidRPr="003F3B94">
        <w:rPr>
          <w:rFonts w:hint="cs"/>
          <w:sz w:val="28"/>
          <w:rtl/>
          <w:lang w:bidi="ar-SY"/>
        </w:rPr>
        <w:t xml:space="preserve"> </w:t>
      </w:r>
      <w:r w:rsidR="00DC30E5" w:rsidRPr="003F3B94">
        <w:rPr>
          <w:rFonts w:hint="cs"/>
          <w:sz w:val="28"/>
          <w:rtl/>
          <w:lang w:bidi="ar-SY"/>
        </w:rPr>
        <w:t>يستند</w:t>
      </w:r>
      <w:r w:rsidR="00F529BC" w:rsidRPr="003F3B94">
        <w:rPr>
          <w:rFonts w:hint="cs"/>
          <w:sz w:val="28"/>
          <w:rtl/>
          <w:lang w:bidi="ar-SY"/>
        </w:rPr>
        <w:t xml:space="preserve"> </w:t>
      </w:r>
      <w:r w:rsidR="00DC30E5" w:rsidRPr="003F3B94">
        <w:rPr>
          <w:rFonts w:hint="cs"/>
          <w:sz w:val="28"/>
          <w:rtl/>
          <w:lang w:bidi="ar-SY"/>
        </w:rPr>
        <w:t>إ</w:t>
      </w:r>
      <w:r w:rsidR="00F529BC" w:rsidRPr="003F3B94">
        <w:rPr>
          <w:rFonts w:hint="cs"/>
          <w:sz w:val="28"/>
          <w:rtl/>
          <w:lang w:bidi="ar-SY"/>
        </w:rPr>
        <w:t>لى خطأ يدرك بط</w:t>
      </w:r>
      <w:r w:rsidR="008A2A49" w:rsidRPr="003F3B94">
        <w:rPr>
          <w:rFonts w:hint="cs"/>
          <w:sz w:val="28"/>
          <w:rtl/>
          <w:lang w:bidi="ar-SY"/>
        </w:rPr>
        <w:t>لا</w:t>
      </w:r>
      <w:r w:rsidRPr="003F3B94">
        <w:rPr>
          <w:rFonts w:hint="cs"/>
          <w:sz w:val="28"/>
          <w:rtl/>
          <w:lang w:bidi="ar-SY"/>
        </w:rPr>
        <w:t>نه من له أدنى شعور</w:t>
      </w:r>
      <w:r w:rsidR="00F529BC" w:rsidRPr="003F3B94">
        <w:rPr>
          <w:rFonts w:hint="cs"/>
          <w:sz w:val="28"/>
          <w:rtl/>
          <w:lang w:bidi="ar-SY"/>
        </w:rPr>
        <w:t xml:space="preserve"> </w:t>
      </w:r>
      <w:r w:rsidR="002334B4" w:rsidRPr="003F3B94">
        <w:rPr>
          <w:rFonts w:cs="Times New Roman" w:hint="cs"/>
          <w:sz w:val="28"/>
          <w:rtl/>
          <w:lang w:bidi="ar-SY"/>
        </w:rPr>
        <w:t>–</w:t>
      </w:r>
      <w:r w:rsidR="002334B4" w:rsidRPr="003F3B94">
        <w:rPr>
          <w:rFonts w:hint="cs"/>
          <w:sz w:val="28"/>
          <w:rtl/>
          <w:lang w:bidi="ar-SY"/>
        </w:rPr>
        <w:t xml:space="preserve"> </w:t>
      </w:r>
      <w:r w:rsidRPr="003F3B94">
        <w:rPr>
          <w:rFonts w:hint="cs"/>
          <w:sz w:val="28"/>
          <w:rtl/>
          <w:lang w:bidi="ar-SY"/>
        </w:rPr>
        <w:t>إذ يعطيه أكثرهم لط</w:t>
      </w:r>
      <w:r w:rsidR="008A2A49" w:rsidRPr="003F3B94">
        <w:rPr>
          <w:rFonts w:hint="cs"/>
          <w:sz w:val="28"/>
          <w:rtl/>
          <w:lang w:bidi="ar-SY"/>
        </w:rPr>
        <w:t>لا</w:t>
      </w:r>
      <w:r w:rsidRPr="003F3B94">
        <w:rPr>
          <w:rFonts w:hint="cs"/>
          <w:sz w:val="28"/>
          <w:rtl/>
          <w:lang w:bidi="ar-SY"/>
        </w:rPr>
        <w:t>ب العلوم الدينية</w:t>
      </w:r>
      <w:r w:rsidR="002334B4" w:rsidRPr="003F3B94">
        <w:rPr>
          <w:rFonts w:hint="cs"/>
          <w:sz w:val="28"/>
          <w:rtl/>
          <w:lang w:bidi="ar-SY"/>
        </w:rPr>
        <w:t xml:space="preserve"> رغم أن أكثرهم من العاطلين الباطلين الذين يعملون على ترويج </w:t>
      </w:r>
      <w:r w:rsidR="009F6275" w:rsidRPr="003F3B94">
        <w:rPr>
          <w:rFonts w:hint="cs"/>
          <w:sz w:val="28"/>
          <w:rtl/>
          <w:lang w:bidi="ar-SY"/>
        </w:rPr>
        <w:t xml:space="preserve">تلك </w:t>
      </w:r>
      <w:r w:rsidR="00250CE5" w:rsidRPr="003F3B94">
        <w:rPr>
          <w:rFonts w:hint="cs"/>
          <w:sz w:val="28"/>
          <w:rtl/>
          <w:lang w:bidi="ar-SY"/>
        </w:rPr>
        <w:t>ا</w:t>
      </w:r>
      <w:r w:rsidR="008A2A49" w:rsidRPr="003F3B94">
        <w:rPr>
          <w:rFonts w:hint="cs"/>
          <w:sz w:val="28"/>
          <w:rtl/>
          <w:lang w:bidi="ar-SY"/>
        </w:rPr>
        <w:t>لأ</w:t>
      </w:r>
      <w:r w:rsidR="00250CE5" w:rsidRPr="003F3B94">
        <w:rPr>
          <w:rFonts w:hint="cs"/>
          <w:sz w:val="28"/>
          <w:rtl/>
          <w:lang w:bidi="ar-SY"/>
        </w:rPr>
        <w:t xml:space="preserve">باطيل والبدع </w:t>
      </w:r>
      <w:r w:rsidR="000B0A0C" w:rsidRPr="003F3B94">
        <w:rPr>
          <w:rFonts w:hint="cs"/>
          <w:sz w:val="28"/>
          <w:rtl/>
          <w:lang w:bidi="ar-SY"/>
        </w:rPr>
        <w:t>ذاتها التي سبق ذكرها</w:t>
      </w:r>
      <w:r w:rsidR="00217AB4" w:rsidRPr="003F3B94">
        <w:rPr>
          <w:rFonts w:hint="cs"/>
          <w:sz w:val="28"/>
          <w:rtl/>
          <w:lang w:bidi="ar-SY"/>
        </w:rPr>
        <w:t>.</w:t>
      </w:r>
      <w:r w:rsidR="00147857" w:rsidRPr="003F3B94">
        <w:rPr>
          <w:rFonts w:hint="cs"/>
          <w:sz w:val="28"/>
          <w:rtl/>
          <w:lang w:bidi="ar-SY"/>
        </w:rPr>
        <w:t xml:space="preserve"> </w:t>
      </w:r>
      <w:r w:rsidRPr="003F3B94">
        <w:rPr>
          <w:rFonts w:hint="cs"/>
          <w:sz w:val="28"/>
          <w:rtl/>
          <w:lang w:bidi="ar-SY"/>
        </w:rPr>
        <w:t>أما</w:t>
      </w:r>
      <w:r w:rsidR="003129D6" w:rsidRPr="003F3B94">
        <w:rPr>
          <w:rFonts w:hint="cs"/>
          <w:sz w:val="28"/>
          <w:rtl/>
          <w:lang w:bidi="ar-SY"/>
        </w:rPr>
        <w:t xml:space="preserve"> لو </w:t>
      </w:r>
      <w:r w:rsidRPr="003F3B94">
        <w:rPr>
          <w:rFonts w:hint="cs"/>
          <w:sz w:val="28"/>
          <w:rtl/>
          <w:lang w:bidi="ar-SY"/>
        </w:rPr>
        <w:t xml:space="preserve">عمل </w:t>
      </w:r>
      <w:r w:rsidR="003129D6" w:rsidRPr="003F3B94">
        <w:rPr>
          <w:rFonts w:hint="cs"/>
          <w:sz w:val="28"/>
          <w:rtl/>
          <w:lang w:bidi="ar-SY"/>
        </w:rPr>
        <w:t xml:space="preserve">الناس </w:t>
      </w:r>
      <w:r w:rsidRPr="003F3B94">
        <w:rPr>
          <w:rFonts w:hint="cs"/>
          <w:sz w:val="28"/>
          <w:rtl/>
          <w:lang w:bidi="ar-SY"/>
        </w:rPr>
        <w:t>ب</w:t>
      </w:r>
      <w:r w:rsidR="003129D6" w:rsidRPr="003F3B94">
        <w:rPr>
          <w:rFonts w:hint="cs"/>
          <w:sz w:val="28"/>
          <w:rtl/>
          <w:lang w:bidi="ar-SY"/>
        </w:rPr>
        <w:t xml:space="preserve">فتوى </w:t>
      </w:r>
      <w:r w:rsidRPr="003F3B94">
        <w:rPr>
          <w:rFonts w:hint="cs"/>
          <w:sz w:val="28"/>
          <w:rtl/>
          <w:lang w:bidi="ar-SY"/>
        </w:rPr>
        <w:t>ذلك الفريق من الفقهاء القدامى الذين اقترحوا</w:t>
      </w:r>
      <w:r w:rsidR="003129D6" w:rsidRPr="003F3B94">
        <w:rPr>
          <w:rFonts w:hint="cs"/>
          <w:sz w:val="28"/>
          <w:rtl/>
          <w:lang w:bidi="ar-SY"/>
        </w:rPr>
        <w:t xml:space="preserve"> </w:t>
      </w:r>
      <w:r w:rsidRPr="003F3B94">
        <w:rPr>
          <w:rFonts w:hint="cs"/>
          <w:sz w:val="28"/>
          <w:rtl/>
          <w:lang w:bidi="ar-SY"/>
        </w:rPr>
        <w:t xml:space="preserve">رمي ذلك السهم من المال في البحر </w:t>
      </w:r>
      <w:r w:rsidR="008A2A49" w:rsidRPr="003F3B94">
        <w:rPr>
          <w:rFonts w:hint="cs"/>
          <w:sz w:val="28"/>
          <w:rtl/>
          <w:lang w:bidi="ar-SY"/>
        </w:rPr>
        <w:t>لأ</w:t>
      </w:r>
      <w:r w:rsidR="003129D6" w:rsidRPr="003F3B94">
        <w:rPr>
          <w:rFonts w:hint="cs"/>
          <w:sz w:val="28"/>
          <w:rtl/>
          <w:lang w:bidi="ar-SY"/>
        </w:rPr>
        <w:t>صيبت أسماك البحر ب</w:t>
      </w:r>
      <w:r w:rsidR="001D56EF" w:rsidRPr="003F3B94">
        <w:rPr>
          <w:rFonts w:hint="cs"/>
          <w:sz w:val="28"/>
          <w:rtl/>
          <w:lang w:bidi="ar-SY"/>
        </w:rPr>
        <w:t>الشقاء و</w:t>
      </w:r>
      <w:r w:rsidRPr="003F3B94">
        <w:rPr>
          <w:rFonts w:hint="cs"/>
          <w:sz w:val="28"/>
          <w:rtl/>
          <w:lang w:bidi="ar-SY"/>
        </w:rPr>
        <w:t>ل</w:t>
      </w:r>
      <w:r w:rsidR="003129D6" w:rsidRPr="003F3B94">
        <w:rPr>
          <w:rFonts w:hint="cs"/>
          <w:sz w:val="28"/>
          <w:rtl/>
          <w:lang w:bidi="ar-SY"/>
        </w:rPr>
        <w:t>زكم</w:t>
      </w:r>
      <w:r w:rsidR="00DC30E5" w:rsidRPr="003F3B94">
        <w:rPr>
          <w:rFonts w:hint="cs"/>
          <w:sz w:val="28"/>
          <w:rtl/>
          <w:lang w:bidi="ar-SY"/>
        </w:rPr>
        <w:t>ت</w:t>
      </w:r>
      <w:r w:rsidRPr="003F3B94">
        <w:rPr>
          <w:rFonts w:hint="cs"/>
          <w:sz w:val="28"/>
          <w:rtl/>
          <w:lang w:bidi="ar-SY"/>
        </w:rPr>
        <w:t xml:space="preserve"> غ</w:t>
      </w:r>
      <w:r w:rsidR="008A2A49" w:rsidRPr="003F3B94">
        <w:rPr>
          <w:rFonts w:hint="cs"/>
          <w:sz w:val="28"/>
          <w:rtl/>
          <w:lang w:bidi="ar-SY"/>
        </w:rPr>
        <w:t>لا</w:t>
      </w:r>
      <w:r w:rsidRPr="003F3B94">
        <w:rPr>
          <w:rFonts w:hint="cs"/>
          <w:sz w:val="28"/>
          <w:rtl/>
          <w:lang w:bidi="ar-SY"/>
        </w:rPr>
        <w:t>صمَها</w:t>
      </w:r>
      <w:r w:rsidR="003129D6" w:rsidRPr="003F3B94">
        <w:rPr>
          <w:rFonts w:hint="cs"/>
          <w:sz w:val="28"/>
          <w:rtl/>
          <w:lang w:bidi="ar-SY"/>
        </w:rPr>
        <w:t xml:space="preserve"> </w:t>
      </w:r>
      <w:r w:rsidR="00DC30E5" w:rsidRPr="003F3B94">
        <w:rPr>
          <w:rFonts w:hint="cs"/>
          <w:sz w:val="28"/>
          <w:rtl/>
          <w:lang w:bidi="ar-SY"/>
        </w:rPr>
        <w:t>ب</w:t>
      </w:r>
      <w:r w:rsidR="00B925FA" w:rsidRPr="003F3B94">
        <w:rPr>
          <w:rFonts w:hint="cs"/>
          <w:sz w:val="28"/>
          <w:rtl/>
          <w:lang w:bidi="ar-SY"/>
        </w:rPr>
        <w:t>ت</w:t>
      </w:r>
      <w:r w:rsidR="001D56EF" w:rsidRPr="003F3B94">
        <w:rPr>
          <w:rFonts w:hint="cs"/>
          <w:sz w:val="28"/>
          <w:rtl/>
          <w:lang w:bidi="ar-SY"/>
        </w:rPr>
        <w:t>راكم الفضة والذهب من سهم ا</w:t>
      </w:r>
      <w:r w:rsidR="008A2A49" w:rsidRPr="003F3B94">
        <w:rPr>
          <w:rFonts w:hint="cs"/>
          <w:sz w:val="28"/>
          <w:rtl/>
          <w:lang w:bidi="ar-SY"/>
        </w:rPr>
        <w:t>لإ</w:t>
      </w:r>
      <w:r w:rsidR="001D56EF" w:rsidRPr="003F3B94">
        <w:rPr>
          <w:rFonts w:hint="cs"/>
          <w:sz w:val="28"/>
          <w:rtl/>
          <w:lang w:bidi="ar-SY"/>
        </w:rPr>
        <w:t>مام</w:t>
      </w:r>
      <w:r w:rsidR="00217AB4" w:rsidRPr="003F3B94">
        <w:rPr>
          <w:rFonts w:hint="cs"/>
          <w:sz w:val="28"/>
          <w:rtl/>
          <w:lang w:bidi="ar-SY"/>
        </w:rPr>
        <w:t>!</w:t>
      </w:r>
      <w:r w:rsidR="003B5F28" w:rsidRPr="003F3B94">
        <w:rPr>
          <w:rFonts w:hint="cs"/>
          <w:sz w:val="28"/>
          <w:rtl/>
          <w:lang w:bidi="ar-SY"/>
        </w:rPr>
        <w:t xml:space="preserve"> </w:t>
      </w:r>
    </w:p>
    <w:p w:rsidR="00114667" w:rsidRPr="003F3B94" w:rsidRDefault="003B5F28" w:rsidP="003F3B94">
      <w:pPr>
        <w:pStyle w:val="a0"/>
        <w:rPr>
          <w:rFonts w:hint="cs"/>
          <w:rtl/>
          <w:lang w:bidi="ar-SY"/>
        </w:rPr>
      </w:pPr>
      <w:r w:rsidRPr="003F3B94">
        <w:rPr>
          <w:rFonts w:hint="cs"/>
          <w:sz w:val="28"/>
          <w:rtl/>
          <w:lang w:bidi="ar-SY"/>
        </w:rPr>
        <w:t xml:space="preserve">إذا كان تحمل كل </w:t>
      </w:r>
      <w:r w:rsidR="007C614E" w:rsidRPr="003F3B94">
        <w:rPr>
          <w:rFonts w:hint="cs"/>
          <w:sz w:val="28"/>
          <w:rtl/>
          <w:lang w:bidi="ar-SY"/>
        </w:rPr>
        <w:t>تلك</w:t>
      </w:r>
      <w:r w:rsidRPr="003F3B94">
        <w:rPr>
          <w:rFonts w:hint="cs"/>
          <w:sz w:val="28"/>
          <w:rtl/>
          <w:lang w:bidi="ar-SY"/>
        </w:rPr>
        <w:t xml:space="preserve"> الفضائح الناجمة عن قلة العقل وشدة الجهل وتلوث المذهب </w:t>
      </w:r>
      <w:r w:rsidR="00163510" w:rsidRPr="003F3B94">
        <w:rPr>
          <w:rFonts w:hint="cs"/>
          <w:sz w:val="28"/>
          <w:rtl/>
          <w:lang w:bidi="ar-SY"/>
        </w:rPr>
        <w:t>الذي ابتلي به المسلم الشيعي ممكناً</w:t>
      </w:r>
      <w:r w:rsidR="00217AB4" w:rsidRPr="003F3B94">
        <w:rPr>
          <w:rFonts w:hint="cs"/>
          <w:sz w:val="28"/>
          <w:rtl/>
          <w:lang w:bidi="ar-SY"/>
        </w:rPr>
        <w:t>،</w:t>
      </w:r>
      <w:r w:rsidR="00163510" w:rsidRPr="003F3B94">
        <w:rPr>
          <w:rFonts w:hint="cs"/>
          <w:sz w:val="28"/>
          <w:rtl/>
          <w:lang w:bidi="ar-SY"/>
        </w:rPr>
        <w:t xml:space="preserve"> فإن ما </w:t>
      </w:r>
      <w:r w:rsidR="007C614E" w:rsidRPr="003F3B94">
        <w:rPr>
          <w:rFonts w:hint="cs"/>
          <w:sz w:val="28"/>
          <w:rtl/>
          <w:lang w:bidi="ar-SY"/>
        </w:rPr>
        <w:t>لم يُطِقْ</w:t>
      </w:r>
      <w:r w:rsidR="00163510" w:rsidRPr="003F3B94">
        <w:rPr>
          <w:rFonts w:hint="cs"/>
          <w:sz w:val="28"/>
          <w:rtl/>
          <w:lang w:bidi="ar-SY"/>
        </w:rPr>
        <w:t xml:space="preserve"> وجدان</w:t>
      </w:r>
      <w:r w:rsidR="007C614E" w:rsidRPr="003F3B94">
        <w:rPr>
          <w:rFonts w:hint="cs"/>
          <w:sz w:val="28"/>
          <w:rtl/>
          <w:lang w:bidi="ar-SY"/>
        </w:rPr>
        <w:t>ُ</w:t>
      </w:r>
      <w:r w:rsidR="00163510" w:rsidRPr="003F3B94">
        <w:rPr>
          <w:rFonts w:hint="cs"/>
          <w:sz w:val="28"/>
          <w:rtl/>
          <w:lang w:bidi="ar-SY"/>
        </w:rPr>
        <w:t xml:space="preserve">نا </w:t>
      </w:r>
      <w:r w:rsidR="007C614E" w:rsidRPr="003F3B94">
        <w:rPr>
          <w:rFonts w:hint="cs"/>
          <w:sz w:val="28"/>
          <w:rtl/>
          <w:lang w:bidi="ar-SY"/>
        </w:rPr>
        <w:t xml:space="preserve">تحمُّلَه </w:t>
      </w:r>
      <w:r w:rsidR="00163510" w:rsidRPr="003F3B94">
        <w:rPr>
          <w:rFonts w:hint="cs"/>
          <w:sz w:val="28"/>
          <w:rtl/>
          <w:lang w:bidi="ar-SY"/>
        </w:rPr>
        <w:t xml:space="preserve">وما </w:t>
      </w:r>
      <w:r w:rsidR="007C614E" w:rsidRPr="003F3B94">
        <w:rPr>
          <w:rFonts w:hint="cs"/>
          <w:sz w:val="28"/>
          <w:rtl/>
          <w:lang w:bidi="ar-SY"/>
        </w:rPr>
        <w:t>نراه</w:t>
      </w:r>
      <w:r w:rsidR="00163510" w:rsidRPr="003F3B94">
        <w:rPr>
          <w:rFonts w:hint="cs"/>
          <w:sz w:val="28"/>
          <w:rtl/>
          <w:lang w:bidi="ar-SY"/>
        </w:rPr>
        <w:t xml:space="preserve"> فضيحة</w:t>
      </w:r>
      <w:r w:rsidR="007C614E" w:rsidRPr="003F3B94">
        <w:rPr>
          <w:rFonts w:hint="cs"/>
          <w:sz w:val="28"/>
          <w:rtl/>
          <w:lang w:bidi="ar-SY"/>
        </w:rPr>
        <w:t>ً</w:t>
      </w:r>
      <w:r w:rsidR="00163510" w:rsidRPr="003F3B94">
        <w:rPr>
          <w:rFonts w:hint="cs"/>
          <w:sz w:val="28"/>
          <w:rtl/>
          <w:lang w:bidi="ar-SY"/>
        </w:rPr>
        <w:t xml:space="preserve"> وعاراً كبيراً هو أن ننسب وضع </w:t>
      </w:r>
      <w:r w:rsidR="007C614E" w:rsidRPr="003F3B94">
        <w:rPr>
          <w:rFonts w:hint="cs"/>
          <w:sz w:val="28"/>
          <w:rtl/>
          <w:lang w:bidi="ar-SY"/>
        </w:rPr>
        <w:t>تلك</w:t>
      </w:r>
      <w:r w:rsidR="00163510" w:rsidRPr="003F3B94">
        <w:rPr>
          <w:rFonts w:hint="cs"/>
          <w:sz w:val="28"/>
          <w:rtl/>
          <w:lang w:bidi="ar-SY"/>
        </w:rPr>
        <w:t xml:space="preserve"> الفتوى أو الحكم </w:t>
      </w:r>
      <w:r w:rsidR="00114667" w:rsidRPr="003F3B94">
        <w:rPr>
          <w:rFonts w:hint="cs"/>
          <w:sz w:val="28"/>
          <w:rtl/>
          <w:lang w:bidi="ar-SY"/>
        </w:rPr>
        <w:t>لِـلَّهِ</w:t>
      </w:r>
      <w:r w:rsidR="00163510" w:rsidRPr="003F3B94">
        <w:rPr>
          <w:rFonts w:hint="cs"/>
          <w:sz w:val="28"/>
          <w:rtl/>
          <w:lang w:bidi="ar-SY"/>
        </w:rPr>
        <w:t xml:space="preserve"> الحكيم</w:t>
      </w:r>
      <w:r w:rsidR="00217AB4" w:rsidRPr="003F3B94">
        <w:rPr>
          <w:rFonts w:hint="cs"/>
          <w:sz w:val="28"/>
          <w:rtl/>
          <w:lang w:bidi="ar-SY"/>
        </w:rPr>
        <w:t>،</w:t>
      </w:r>
      <w:r w:rsidR="00163510" w:rsidRPr="003F3B94">
        <w:rPr>
          <w:rFonts w:hint="cs"/>
          <w:sz w:val="28"/>
          <w:rtl/>
          <w:lang w:bidi="ar-SY"/>
        </w:rPr>
        <w:t xml:space="preserve"> وننسب تبليغه للنبي ا</w:t>
      </w:r>
      <w:r w:rsidR="008A2A49" w:rsidRPr="003F3B94">
        <w:rPr>
          <w:rFonts w:hint="cs"/>
          <w:sz w:val="28"/>
          <w:rtl/>
          <w:lang w:bidi="ar-SY"/>
        </w:rPr>
        <w:t>لأ</w:t>
      </w:r>
      <w:r w:rsidR="00163510" w:rsidRPr="003F3B94">
        <w:rPr>
          <w:rFonts w:hint="cs"/>
          <w:sz w:val="28"/>
          <w:rtl/>
          <w:lang w:bidi="ar-SY"/>
        </w:rPr>
        <w:t>كرم</w:t>
      </w:r>
      <w:r w:rsidR="00147857" w:rsidRPr="003F3B94">
        <w:rPr>
          <w:rFonts w:hint="cs"/>
          <w:sz w:val="28"/>
          <w:rtl/>
          <w:lang w:bidi="ar-SY"/>
        </w:rPr>
        <w:t xml:space="preserve"> </w:t>
      </w:r>
      <w:r w:rsidR="003C7AEB" w:rsidRPr="003C7AEB">
        <w:rPr>
          <w:rFonts w:ascii="Abo-thar" w:hAnsi="Abo-thar" w:cs="CTraditional Arabic" w:hint="cs"/>
          <w:sz w:val="28"/>
          <w:rtl/>
          <w:lang w:bidi="ar-SY"/>
        </w:rPr>
        <w:t>ص</w:t>
      </w:r>
      <w:r w:rsidR="00147857" w:rsidRPr="003F3B94">
        <w:rPr>
          <w:rFonts w:ascii="Abo-thar" w:hAnsi="Abo-thar" w:hint="cs"/>
          <w:sz w:val="28"/>
          <w:rtl/>
          <w:lang w:bidi="ar-SY"/>
        </w:rPr>
        <w:t xml:space="preserve"> </w:t>
      </w:r>
      <w:r w:rsidR="00114667" w:rsidRPr="003F3B94">
        <w:rPr>
          <w:rFonts w:hint="cs"/>
          <w:sz w:val="28"/>
          <w:rtl/>
          <w:lang w:bidi="ar-SY"/>
        </w:rPr>
        <w:t xml:space="preserve">الذي هو </w:t>
      </w:r>
      <w:r w:rsidR="0012304A" w:rsidRPr="003F3B94">
        <w:rPr>
          <w:rFonts w:hint="cs"/>
          <w:sz w:val="28"/>
          <w:rtl/>
          <w:lang w:bidi="ar-SY"/>
        </w:rPr>
        <w:t>رحمة للعالمين</w:t>
      </w:r>
      <w:r w:rsidR="00217AB4" w:rsidRPr="003F3B94">
        <w:rPr>
          <w:rFonts w:hint="cs"/>
          <w:sz w:val="28"/>
          <w:rtl/>
          <w:lang w:bidi="ar-SY"/>
        </w:rPr>
        <w:t>.</w:t>
      </w:r>
      <w:r w:rsidR="0012304A" w:rsidRPr="003F3B94">
        <w:rPr>
          <w:rFonts w:hint="cs"/>
          <w:sz w:val="28"/>
          <w:rtl/>
          <w:lang w:bidi="ar-SY"/>
        </w:rPr>
        <w:t xml:space="preserve"> </w:t>
      </w:r>
    </w:p>
    <w:p w:rsidR="00C17696" w:rsidRPr="00995B26" w:rsidRDefault="0012304A" w:rsidP="00DF7B0D">
      <w:pPr>
        <w:pStyle w:val="a0"/>
        <w:rPr>
          <w:rFonts w:hint="cs"/>
          <w:rtl/>
          <w:lang w:bidi="ar-SY"/>
        </w:rPr>
      </w:pPr>
      <w:r w:rsidRPr="003F3B94">
        <w:rPr>
          <w:rFonts w:hint="cs"/>
          <w:sz w:val="28"/>
          <w:rtl/>
          <w:lang w:bidi="ar-SY"/>
        </w:rPr>
        <w:t xml:space="preserve">هذا </w:t>
      </w:r>
      <w:r w:rsidR="00114667" w:rsidRPr="003F3B94">
        <w:rPr>
          <w:rFonts w:hint="cs"/>
          <w:sz w:val="28"/>
          <w:rtl/>
          <w:lang w:bidi="ar-SY"/>
        </w:rPr>
        <w:t>في حين</w:t>
      </w:r>
      <w:r w:rsidRPr="003F3B94">
        <w:rPr>
          <w:rFonts w:hint="cs"/>
          <w:sz w:val="28"/>
          <w:rtl/>
          <w:lang w:bidi="ar-SY"/>
        </w:rPr>
        <w:t xml:space="preserve"> أن ذلك النبي الكريم</w:t>
      </w:r>
      <w:r w:rsidR="00147857" w:rsidRPr="003F3B94">
        <w:rPr>
          <w:rFonts w:hint="cs"/>
          <w:sz w:val="28"/>
          <w:rtl/>
          <w:lang w:bidi="ar-SY"/>
        </w:rPr>
        <w:t xml:space="preserve"> </w:t>
      </w:r>
      <w:r w:rsidR="003C7AEB" w:rsidRPr="003C7AEB">
        <w:rPr>
          <w:rFonts w:ascii="Abo-thar" w:hAnsi="Abo-thar" w:cs="CTraditional Arabic"/>
          <w:sz w:val="28"/>
          <w:rtl/>
          <w:lang w:bidi="ar-SY"/>
        </w:rPr>
        <w:t>ص</w:t>
      </w:r>
      <w:r w:rsidR="00147857" w:rsidRPr="003F3B94">
        <w:rPr>
          <w:rFonts w:ascii="Abo-thar" w:hAnsi="Abo-thar"/>
          <w:sz w:val="28"/>
          <w:rtl/>
          <w:lang w:bidi="ar-SY"/>
        </w:rPr>
        <w:t xml:space="preserve"> </w:t>
      </w:r>
      <w:r w:rsidR="00114667" w:rsidRPr="003F3B94">
        <w:rPr>
          <w:rFonts w:ascii="Abo-thar" w:hAnsi="Abo-thar" w:hint="cs"/>
          <w:sz w:val="28"/>
          <w:rtl/>
          <w:lang w:bidi="ar-SY"/>
        </w:rPr>
        <w:t xml:space="preserve">قد </w:t>
      </w:r>
      <w:r w:rsidRPr="003F3B94">
        <w:rPr>
          <w:rFonts w:hint="cs"/>
          <w:sz w:val="28"/>
          <w:rtl/>
          <w:lang w:bidi="ar-SY"/>
        </w:rPr>
        <w:t>أمر</w:t>
      </w:r>
      <w:r w:rsidR="00114667" w:rsidRPr="003F3B94">
        <w:rPr>
          <w:rFonts w:hint="cs"/>
          <w:sz w:val="28"/>
          <w:rtl/>
          <w:lang w:bidi="ar-SY"/>
        </w:rPr>
        <w:t>ه ربُّه</w:t>
      </w:r>
      <w:r w:rsidRPr="003F3B94">
        <w:rPr>
          <w:rFonts w:hint="cs"/>
          <w:sz w:val="28"/>
          <w:rtl/>
          <w:lang w:bidi="ar-SY"/>
        </w:rPr>
        <w:t xml:space="preserve"> بنص آيات القرآن الكريمة وتبعاً </w:t>
      </w:r>
      <w:r w:rsidR="00114667" w:rsidRPr="003F3B94">
        <w:rPr>
          <w:rFonts w:hint="cs"/>
          <w:sz w:val="28"/>
          <w:rtl/>
          <w:lang w:bidi="ar-SY"/>
        </w:rPr>
        <w:t>لنهج</w:t>
      </w:r>
      <w:r w:rsidRPr="003F3B94">
        <w:rPr>
          <w:rFonts w:hint="cs"/>
          <w:sz w:val="28"/>
          <w:rtl/>
          <w:lang w:bidi="ar-SY"/>
        </w:rPr>
        <w:t xml:space="preserve"> </w:t>
      </w:r>
      <w:r w:rsidR="00114667" w:rsidRPr="003F3B94">
        <w:rPr>
          <w:rFonts w:hint="cs"/>
          <w:sz w:val="28"/>
          <w:rtl/>
          <w:lang w:bidi="ar-SY"/>
        </w:rPr>
        <w:t>جميع</w:t>
      </w:r>
      <w:r w:rsidRPr="003F3B94">
        <w:rPr>
          <w:rFonts w:hint="cs"/>
          <w:sz w:val="28"/>
          <w:rtl/>
          <w:lang w:bidi="ar-SY"/>
        </w:rPr>
        <w:t xml:space="preserve"> ا</w:t>
      </w:r>
      <w:r w:rsidR="008A2A49" w:rsidRPr="003F3B94">
        <w:rPr>
          <w:rFonts w:hint="cs"/>
          <w:sz w:val="28"/>
          <w:rtl/>
          <w:lang w:bidi="ar-SY"/>
        </w:rPr>
        <w:t>لأ</w:t>
      </w:r>
      <w:r w:rsidRPr="003F3B94">
        <w:rPr>
          <w:rFonts w:hint="cs"/>
          <w:sz w:val="28"/>
          <w:rtl/>
          <w:lang w:bidi="ar-SY"/>
        </w:rPr>
        <w:t xml:space="preserve">نبياء أن </w:t>
      </w:r>
      <w:r w:rsidR="008A2A49" w:rsidRPr="003F3B94">
        <w:rPr>
          <w:rFonts w:hint="cs"/>
          <w:sz w:val="28"/>
          <w:rtl/>
          <w:lang w:bidi="ar-SY"/>
        </w:rPr>
        <w:t>لا</w:t>
      </w:r>
      <w:r w:rsidRPr="003F3B94">
        <w:rPr>
          <w:rFonts w:hint="cs"/>
          <w:sz w:val="28"/>
          <w:rtl/>
          <w:lang w:bidi="ar-SY"/>
        </w:rPr>
        <w:t xml:space="preserve"> </w:t>
      </w:r>
      <w:r w:rsidR="00114667" w:rsidRPr="003F3B94">
        <w:rPr>
          <w:rFonts w:hint="cs"/>
          <w:sz w:val="28"/>
          <w:rtl/>
          <w:lang w:bidi="ar-SY"/>
        </w:rPr>
        <w:t xml:space="preserve">يسأل على رسالته أجراً من </w:t>
      </w:r>
      <w:r w:rsidR="00DC30E5" w:rsidRPr="003F3B94">
        <w:rPr>
          <w:rFonts w:hint="cs"/>
          <w:sz w:val="28"/>
          <w:rtl/>
          <w:lang w:bidi="ar-SY"/>
        </w:rPr>
        <w:t xml:space="preserve">أحد </w:t>
      </w:r>
      <w:r w:rsidR="00C8294E" w:rsidRPr="003F3B94">
        <w:rPr>
          <w:rFonts w:hint="cs"/>
          <w:sz w:val="28"/>
          <w:rtl/>
          <w:lang w:bidi="ar-SY"/>
        </w:rPr>
        <w:t xml:space="preserve">وأن </w:t>
      </w:r>
      <w:r w:rsidR="008A2A49" w:rsidRPr="003F3B94">
        <w:rPr>
          <w:rFonts w:hint="cs"/>
          <w:sz w:val="28"/>
          <w:rtl/>
          <w:lang w:bidi="ar-SY"/>
        </w:rPr>
        <w:t>لا</w:t>
      </w:r>
      <w:r w:rsidR="00DC30E5" w:rsidRPr="003F3B94">
        <w:rPr>
          <w:rFonts w:cs="Times New Roman" w:hint="cs"/>
          <w:sz w:val="28"/>
          <w:rtl/>
          <w:lang w:bidi="ar-SY"/>
        </w:rPr>
        <w:t> </w:t>
      </w:r>
      <w:r w:rsidR="00C8294E" w:rsidRPr="003F3B94">
        <w:rPr>
          <w:rFonts w:hint="cs"/>
          <w:sz w:val="28"/>
          <w:rtl/>
          <w:lang w:bidi="ar-SY"/>
        </w:rPr>
        <w:t xml:space="preserve">يأخذ </w:t>
      </w:r>
      <w:r w:rsidR="00217AB4" w:rsidRPr="003F3B94">
        <w:rPr>
          <w:rFonts w:hint="cs"/>
          <w:sz w:val="28"/>
          <w:rtl/>
          <w:lang w:bidi="ar-SY"/>
        </w:rPr>
        <w:t>-</w:t>
      </w:r>
      <w:r w:rsidR="00F01DAA" w:rsidRPr="003F3B94">
        <w:rPr>
          <w:rFonts w:hint="cs"/>
          <w:sz w:val="28"/>
          <w:rtl/>
          <w:lang w:bidi="ar-SY"/>
        </w:rPr>
        <w:t xml:space="preserve"> احترازاً ومن باب ا</w:t>
      </w:r>
      <w:r w:rsidR="008A2A49" w:rsidRPr="003F3B94">
        <w:rPr>
          <w:rFonts w:hint="cs"/>
          <w:sz w:val="28"/>
          <w:rtl/>
          <w:lang w:bidi="ar-SY"/>
        </w:rPr>
        <w:t>لا</w:t>
      </w:r>
      <w:r w:rsidR="00DF7B0D">
        <w:rPr>
          <w:rFonts w:hint="cs"/>
          <w:sz w:val="28"/>
          <w:rtl/>
          <w:lang w:bidi="ar-SY"/>
        </w:rPr>
        <w:t>حتياط-</w:t>
      </w:r>
      <w:r w:rsidR="00F01DAA" w:rsidRPr="003F3B94">
        <w:rPr>
          <w:rFonts w:hint="cs"/>
          <w:sz w:val="28"/>
          <w:rtl/>
          <w:lang w:bidi="ar-SY"/>
        </w:rPr>
        <w:t xml:space="preserve"> </w:t>
      </w:r>
      <w:r w:rsidR="009E3F5C" w:rsidRPr="003F3B94">
        <w:rPr>
          <w:rFonts w:hint="cs"/>
          <w:sz w:val="28"/>
          <w:rtl/>
          <w:lang w:bidi="ar-SY"/>
        </w:rPr>
        <w:t xml:space="preserve">ديناراً من </w:t>
      </w:r>
      <w:r w:rsidR="00C8294E" w:rsidRPr="003F3B94">
        <w:rPr>
          <w:rFonts w:hint="cs"/>
          <w:sz w:val="28"/>
          <w:rtl/>
          <w:lang w:bidi="ar-SY"/>
        </w:rPr>
        <w:t>مال مسلم</w:t>
      </w:r>
      <w:r w:rsidR="00915FA9" w:rsidRPr="003F3B94">
        <w:rPr>
          <w:rFonts w:hint="cs"/>
          <w:sz w:val="28"/>
          <w:rtl/>
          <w:lang w:bidi="ar-SY"/>
        </w:rPr>
        <w:t xml:space="preserve"> ليصرفه على حاجاته وحاجات عائلته</w:t>
      </w:r>
      <w:r w:rsidR="00217AB4" w:rsidRPr="003F3B94">
        <w:rPr>
          <w:rFonts w:hint="cs"/>
          <w:sz w:val="28"/>
          <w:rtl/>
          <w:lang w:bidi="ar-SY"/>
        </w:rPr>
        <w:t>،</w:t>
      </w:r>
      <w:r w:rsidR="00F01DAA" w:rsidRPr="003F3B94">
        <w:rPr>
          <w:rFonts w:hint="cs"/>
          <w:sz w:val="28"/>
          <w:rtl/>
          <w:lang w:bidi="ar-SY"/>
        </w:rPr>
        <w:t xml:space="preserve"> وقد </w:t>
      </w:r>
      <w:r w:rsidR="00114667" w:rsidRPr="003F3B94">
        <w:rPr>
          <w:rFonts w:hint="cs"/>
          <w:sz w:val="28"/>
          <w:rtl/>
          <w:lang w:bidi="ar-SY"/>
        </w:rPr>
        <w:t>قامت</w:t>
      </w:r>
      <w:r w:rsidR="00F01DAA" w:rsidRPr="003F3B94">
        <w:rPr>
          <w:rFonts w:hint="cs"/>
          <w:sz w:val="28"/>
          <w:rtl/>
          <w:lang w:bidi="ar-SY"/>
        </w:rPr>
        <w:t xml:space="preserve"> </w:t>
      </w:r>
      <w:r w:rsidR="00114667" w:rsidRPr="003F3B94">
        <w:rPr>
          <w:rFonts w:hint="cs"/>
          <w:sz w:val="28"/>
          <w:rtl/>
          <w:lang w:bidi="ar-SY"/>
        </w:rPr>
        <w:t xml:space="preserve">سيرته العطرة في جميع مراحلها </w:t>
      </w:r>
      <w:r w:rsidR="00F01DAA" w:rsidRPr="003F3B94">
        <w:rPr>
          <w:rFonts w:hint="cs"/>
          <w:sz w:val="28"/>
          <w:rtl/>
          <w:lang w:bidi="ar-SY"/>
        </w:rPr>
        <w:t xml:space="preserve">على ذلك </w:t>
      </w:r>
      <w:r w:rsidR="00900F79" w:rsidRPr="003F3B94">
        <w:rPr>
          <w:rFonts w:hint="cs"/>
          <w:sz w:val="28"/>
          <w:rtl/>
          <w:lang w:bidi="ar-SY"/>
        </w:rPr>
        <w:t>النهج والطريقة الحكيمة الرفيعة</w:t>
      </w:r>
      <w:r w:rsidR="00217AB4" w:rsidRPr="003F3B94">
        <w:rPr>
          <w:rFonts w:hint="cs"/>
          <w:sz w:val="28"/>
          <w:rtl/>
          <w:lang w:bidi="ar-SY"/>
        </w:rPr>
        <w:t>.</w:t>
      </w:r>
      <w:r w:rsidR="00900F79" w:rsidRPr="003F3B94">
        <w:rPr>
          <w:rFonts w:hint="cs"/>
          <w:sz w:val="28"/>
          <w:rtl/>
          <w:lang w:bidi="ar-SY"/>
        </w:rPr>
        <w:t xml:space="preserve"> </w:t>
      </w:r>
      <w:r w:rsidR="00114667" w:rsidRPr="003F3B94">
        <w:rPr>
          <w:rFonts w:hint="cs"/>
          <w:sz w:val="28"/>
          <w:rtl/>
          <w:lang w:bidi="ar-SY"/>
        </w:rPr>
        <w:t>هذا بعكس ما يدعيه هؤ</w:t>
      </w:r>
      <w:r w:rsidR="008A2A49" w:rsidRPr="003F3B94">
        <w:rPr>
          <w:rFonts w:hint="cs"/>
          <w:sz w:val="28"/>
          <w:rtl/>
          <w:lang w:bidi="ar-SY"/>
        </w:rPr>
        <w:t>لا</w:t>
      </w:r>
      <w:r w:rsidR="00114667" w:rsidRPr="003F3B94">
        <w:rPr>
          <w:rFonts w:hint="cs"/>
          <w:sz w:val="28"/>
          <w:rtl/>
          <w:lang w:bidi="ar-SY"/>
        </w:rPr>
        <w:t>ء الذين ينسبون إليه أن</w:t>
      </w:r>
      <w:r w:rsidR="00DC30E5" w:rsidRPr="003F3B94">
        <w:rPr>
          <w:rFonts w:hint="cs"/>
          <w:sz w:val="28"/>
          <w:rtl/>
          <w:lang w:bidi="ar-SY"/>
        </w:rPr>
        <w:t>ّه</w:t>
      </w:r>
      <w:r w:rsidR="00114667" w:rsidRPr="003F3B94">
        <w:rPr>
          <w:rFonts w:hint="cs"/>
          <w:sz w:val="28"/>
          <w:rtl/>
          <w:lang w:bidi="ar-SY"/>
        </w:rPr>
        <w:t xml:space="preserve"> أعدَّ</w:t>
      </w:r>
      <w:r w:rsidR="00900F79" w:rsidRPr="003F3B94">
        <w:rPr>
          <w:rFonts w:hint="cs"/>
          <w:sz w:val="28"/>
          <w:rtl/>
          <w:lang w:bidi="ar-SY"/>
        </w:rPr>
        <w:t xml:space="preserve"> </w:t>
      </w:r>
      <w:r w:rsidR="00114667" w:rsidRPr="003F3B94">
        <w:rPr>
          <w:rFonts w:hint="cs"/>
          <w:sz w:val="28"/>
          <w:rtl/>
          <w:lang w:bidi="ar-SY"/>
        </w:rPr>
        <w:t xml:space="preserve">لورثته ميراثاً أبدياً وافياً </w:t>
      </w:r>
      <w:r w:rsidR="00900F79" w:rsidRPr="003F3B94">
        <w:rPr>
          <w:rFonts w:hint="cs"/>
          <w:sz w:val="28"/>
          <w:rtl/>
          <w:lang w:bidi="ar-SY"/>
        </w:rPr>
        <w:t xml:space="preserve">من مال المسلمين </w:t>
      </w:r>
      <w:r w:rsidR="00114667" w:rsidRPr="003F3B94">
        <w:rPr>
          <w:rFonts w:hint="cs"/>
          <w:sz w:val="28"/>
          <w:rtl/>
          <w:lang w:bidi="ar-SY"/>
        </w:rPr>
        <w:t xml:space="preserve">ترثه منه </w:t>
      </w:r>
      <w:r w:rsidR="00900F79" w:rsidRPr="003F3B94">
        <w:rPr>
          <w:rFonts w:hint="cs"/>
          <w:sz w:val="28"/>
          <w:rtl/>
          <w:lang w:bidi="ar-SY"/>
        </w:rPr>
        <w:t xml:space="preserve">ذريته وعشيرته وأقربائه </w:t>
      </w:r>
      <w:r w:rsidR="00114667" w:rsidRPr="003F3B94">
        <w:rPr>
          <w:rFonts w:hint="cs"/>
          <w:sz w:val="28"/>
          <w:rtl/>
          <w:lang w:bidi="ar-SY"/>
        </w:rPr>
        <w:t>من بعده إلى يوم القيامة</w:t>
      </w:r>
      <w:r w:rsidR="00217AB4" w:rsidRPr="003F3B94">
        <w:rPr>
          <w:rFonts w:hint="cs"/>
          <w:sz w:val="28"/>
          <w:rtl/>
          <w:lang w:bidi="ar-SY"/>
        </w:rPr>
        <w:t>،</w:t>
      </w:r>
      <w:r w:rsidR="00114667" w:rsidRPr="003F3B94">
        <w:rPr>
          <w:rFonts w:hint="cs"/>
          <w:sz w:val="28"/>
          <w:rtl/>
          <w:lang w:bidi="ar-SY"/>
        </w:rPr>
        <w:t xml:space="preserve"> مما </w:t>
      </w:r>
      <w:r w:rsidR="00B760A4" w:rsidRPr="003F3B94">
        <w:rPr>
          <w:rFonts w:hint="cs"/>
          <w:sz w:val="28"/>
          <w:rtl/>
          <w:lang w:bidi="ar-SY"/>
        </w:rPr>
        <w:t xml:space="preserve">لم يقم بمثله أي سلطان جبار أو فرعونٍ </w:t>
      </w:r>
      <w:r w:rsidR="00C17696" w:rsidRPr="003F3B94">
        <w:rPr>
          <w:rFonts w:hint="cs"/>
          <w:sz w:val="28"/>
          <w:rtl/>
          <w:lang w:bidi="ar-SY"/>
        </w:rPr>
        <w:t>جائر في كل التاريخ</w:t>
      </w:r>
      <w:r w:rsidR="00DD7D67" w:rsidRPr="003F3B94">
        <w:rPr>
          <w:rFonts w:hint="cs"/>
          <w:sz w:val="28"/>
          <w:rtl/>
          <w:lang w:bidi="ar-SY"/>
        </w:rPr>
        <w:t xml:space="preserve"> </w:t>
      </w:r>
      <w:r w:rsidR="00DD7D67" w:rsidRPr="00995B26">
        <w:rPr>
          <w:rFonts w:cs="Traditional Arabic" w:hint="cs"/>
          <w:sz w:val="28"/>
          <w:rtl/>
          <w:lang w:bidi="ar-SY"/>
        </w:rPr>
        <w:t>﴿</w:t>
      </w:r>
      <w:r w:rsidR="00DD7D67" w:rsidRPr="00DF7CAE">
        <w:rPr>
          <w:rStyle w:val="Char3"/>
          <w:rFonts w:hint="eastAsia"/>
          <w:rtl/>
        </w:rPr>
        <w:t>سُب</w:t>
      </w:r>
      <w:r w:rsidR="00DD7D67" w:rsidRPr="00DF7CAE">
        <w:rPr>
          <w:rStyle w:val="Char3"/>
          <w:rFonts w:hint="cs"/>
          <w:rtl/>
        </w:rPr>
        <w:t>ۡ</w:t>
      </w:r>
      <w:r w:rsidR="00DD7D67" w:rsidRPr="00DF7CAE">
        <w:rPr>
          <w:rStyle w:val="Char3"/>
          <w:rFonts w:hint="eastAsia"/>
          <w:rtl/>
        </w:rPr>
        <w:t>حَ</w:t>
      </w:r>
      <w:r w:rsidR="00DD7D67" w:rsidRPr="00DF7CAE">
        <w:rPr>
          <w:rStyle w:val="Char3"/>
          <w:rFonts w:hint="cs"/>
          <w:rtl/>
        </w:rPr>
        <w:t>ٰ</w:t>
      </w:r>
      <w:r w:rsidR="00DD7D67" w:rsidRPr="00DF7CAE">
        <w:rPr>
          <w:rStyle w:val="Char3"/>
          <w:rFonts w:hint="eastAsia"/>
          <w:rtl/>
        </w:rPr>
        <w:t>نَكَ</w:t>
      </w:r>
      <w:r w:rsidR="00DD7D67" w:rsidRPr="00DF7CAE">
        <w:rPr>
          <w:rStyle w:val="Char3"/>
          <w:rtl/>
        </w:rPr>
        <w:t xml:space="preserve"> </w:t>
      </w:r>
      <w:r w:rsidR="00DD7D67" w:rsidRPr="00DF7CAE">
        <w:rPr>
          <w:rStyle w:val="Char3"/>
          <w:rFonts w:hint="eastAsia"/>
          <w:rtl/>
        </w:rPr>
        <w:t>هَ</w:t>
      </w:r>
      <w:r w:rsidR="00DD7D67" w:rsidRPr="00DF7CAE">
        <w:rPr>
          <w:rStyle w:val="Char3"/>
          <w:rFonts w:hint="cs"/>
          <w:rtl/>
        </w:rPr>
        <w:t>ٰ</w:t>
      </w:r>
      <w:r w:rsidR="00DD7D67" w:rsidRPr="00DF7CAE">
        <w:rPr>
          <w:rStyle w:val="Char3"/>
          <w:rFonts w:hint="eastAsia"/>
          <w:rtl/>
        </w:rPr>
        <w:t>ذَا</w:t>
      </w:r>
      <w:r w:rsidR="00DD7D67" w:rsidRPr="00DF7CAE">
        <w:rPr>
          <w:rStyle w:val="Char3"/>
          <w:rtl/>
        </w:rPr>
        <w:t xml:space="preserve"> </w:t>
      </w:r>
      <w:r w:rsidR="00DD7D67" w:rsidRPr="00DF7CAE">
        <w:rPr>
          <w:rStyle w:val="Char3"/>
          <w:rFonts w:hint="eastAsia"/>
          <w:rtl/>
        </w:rPr>
        <w:t>بُه</w:t>
      </w:r>
      <w:r w:rsidR="00DD7D67" w:rsidRPr="00DF7CAE">
        <w:rPr>
          <w:rStyle w:val="Char3"/>
          <w:rFonts w:hint="cs"/>
          <w:rtl/>
        </w:rPr>
        <w:t>ۡ</w:t>
      </w:r>
      <w:r w:rsidR="00DD7D67" w:rsidRPr="00DF7CAE">
        <w:rPr>
          <w:rStyle w:val="Char3"/>
          <w:rFonts w:hint="eastAsia"/>
          <w:rtl/>
        </w:rPr>
        <w:t>تَ</w:t>
      </w:r>
      <w:r w:rsidR="00DD7D67" w:rsidRPr="00DF7CAE">
        <w:rPr>
          <w:rStyle w:val="Char3"/>
          <w:rFonts w:hint="cs"/>
          <w:rtl/>
        </w:rPr>
        <w:t>ٰ</w:t>
      </w:r>
      <w:r w:rsidR="00DD7D67" w:rsidRPr="00DF7CAE">
        <w:rPr>
          <w:rStyle w:val="Char3"/>
          <w:rFonts w:hint="eastAsia"/>
          <w:rtl/>
        </w:rPr>
        <w:t>نٌ</w:t>
      </w:r>
      <w:r w:rsidR="00DD7D67" w:rsidRPr="00DF7CAE">
        <w:rPr>
          <w:rStyle w:val="Char3"/>
          <w:rtl/>
        </w:rPr>
        <w:t xml:space="preserve"> </w:t>
      </w:r>
      <w:r w:rsidR="00DD7D67" w:rsidRPr="00DF7CAE">
        <w:rPr>
          <w:rStyle w:val="Char3"/>
          <w:rFonts w:hint="eastAsia"/>
          <w:rtl/>
        </w:rPr>
        <w:t>عَظِيم</w:t>
      </w:r>
      <w:r w:rsidR="00DD7D67" w:rsidRPr="00DF7CAE">
        <w:rPr>
          <w:rStyle w:val="Char3"/>
          <w:rFonts w:hint="cs"/>
          <w:rtl/>
        </w:rPr>
        <w:t>ٞ</w:t>
      </w:r>
      <w:r w:rsidR="00DD7D67" w:rsidRPr="00995B26">
        <w:rPr>
          <w:rFonts w:cs="Traditional Arabic" w:hint="cs"/>
          <w:sz w:val="28"/>
          <w:rtl/>
          <w:lang w:bidi="ar-SY"/>
        </w:rPr>
        <w:t>﴾</w:t>
      </w:r>
      <w:r w:rsidR="00C17696" w:rsidRPr="00995B26">
        <w:rPr>
          <w:rFonts w:hint="cs"/>
          <w:sz w:val="28"/>
          <w:rtl/>
          <w:lang w:bidi="ar-SY"/>
        </w:rPr>
        <w:t xml:space="preserve"> </w:t>
      </w:r>
      <w:r w:rsidR="00DD7D67" w:rsidRPr="00FC12FD">
        <w:rPr>
          <w:rStyle w:val="Char2"/>
          <w:rFonts w:hint="cs"/>
          <w:rtl/>
        </w:rPr>
        <w:t>[</w:t>
      </w:r>
      <w:r w:rsidR="00C17696" w:rsidRPr="00FC12FD">
        <w:rPr>
          <w:rStyle w:val="Char2"/>
          <w:rFonts w:hint="cs"/>
          <w:rtl/>
        </w:rPr>
        <w:t>النور</w:t>
      </w:r>
      <w:r w:rsidR="00DD7D67" w:rsidRPr="00FC12FD">
        <w:rPr>
          <w:rStyle w:val="Char2"/>
          <w:rFonts w:hint="cs"/>
          <w:rtl/>
        </w:rPr>
        <w:t xml:space="preserve">: </w:t>
      </w:r>
      <w:r w:rsidR="00C17696" w:rsidRPr="00FC12FD">
        <w:rPr>
          <w:rStyle w:val="Char2"/>
          <w:rFonts w:hint="cs"/>
          <w:rtl/>
        </w:rPr>
        <w:t>16</w:t>
      </w:r>
      <w:r w:rsidR="00DD7D67" w:rsidRPr="00FC12FD">
        <w:rPr>
          <w:rStyle w:val="Char2"/>
          <w:rFonts w:hint="cs"/>
          <w:rtl/>
        </w:rPr>
        <w:t>]</w:t>
      </w:r>
      <w:r w:rsidR="00217AB4" w:rsidRPr="00995B26">
        <w:rPr>
          <w:rFonts w:hint="cs"/>
          <w:sz w:val="28"/>
          <w:rtl/>
          <w:lang w:bidi="ar-SY"/>
        </w:rPr>
        <w:t>.</w:t>
      </w:r>
      <w:r w:rsidR="00C17696" w:rsidRPr="00995B26">
        <w:rPr>
          <w:rFonts w:hint="cs"/>
          <w:sz w:val="28"/>
          <w:rtl/>
          <w:lang w:bidi="ar-SY"/>
        </w:rPr>
        <w:t xml:space="preserve"> </w:t>
      </w:r>
    </w:p>
    <w:p w:rsidR="00B00BD5" w:rsidRPr="003F3B94" w:rsidRDefault="007D721D" w:rsidP="00DF7B0D">
      <w:pPr>
        <w:pStyle w:val="a0"/>
        <w:rPr>
          <w:rFonts w:hint="cs"/>
          <w:rtl/>
          <w:lang w:bidi="ar-SY"/>
        </w:rPr>
      </w:pPr>
      <w:r w:rsidRPr="003F3B94">
        <w:rPr>
          <w:rFonts w:hint="cs"/>
          <w:sz w:val="28"/>
          <w:rtl/>
          <w:lang w:bidi="ar-SY"/>
        </w:rPr>
        <w:t>إن ضجرنا ونفو</w:t>
      </w:r>
      <w:r w:rsidR="00795504" w:rsidRPr="003F3B94">
        <w:rPr>
          <w:rFonts w:hint="cs"/>
          <w:sz w:val="28"/>
          <w:rtl/>
          <w:lang w:bidi="ar-SY"/>
        </w:rPr>
        <w:t>ر</w:t>
      </w:r>
      <w:r w:rsidRPr="003F3B94">
        <w:rPr>
          <w:rFonts w:hint="cs"/>
          <w:sz w:val="28"/>
          <w:rtl/>
          <w:lang w:bidi="ar-SY"/>
        </w:rPr>
        <w:t>نا من أن ينسب مثل هذا ا</w:t>
      </w:r>
      <w:r w:rsidR="008A2A49" w:rsidRPr="003F3B94">
        <w:rPr>
          <w:rFonts w:hint="cs"/>
          <w:sz w:val="28"/>
          <w:rtl/>
          <w:lang w:bidi="ar-SY"/>
        </w:rPr>
        <w:t>لأ</w:t>
      </w:r>
      <w:r w:rsidRPr="003F3B94">
        <w:rPr>
          <w:rFonts w:hint="cs"/>
          <w:sz w:val="28"/>
          <w:rtl/>
          <w:lang w:bidi="ar-SY"/>
        </w:rPr>
        <w:t xml:space="preserve">مر </w:t>
      </w:r>
      <w:r w:rsidR="00F13110" w:rsidRPr="003F3B94">
        <w:rPr>
          <w:rFonts w:hint="cs"/>
          <w:sz w:val="28"/>
          <w:rtl/>
          <w:lang w:bidi="ar-SY"/>
        </w:rPr>
        <w:t xml:space="preserve">لِـلَّهِ </w:t>
      </w:r>
      <w:r w:rsidRPr="003F3B94">
        <w:rPr>
          <w:rFonts w:hint="cs"/>
          <w:sz w:val="28"/>
          <w:rtl/>
          <w:lang w:bidi="ar-SY"/>
        </w:rPr>
        <w:t xml:space="preserve">ورسوله </w:t>
      </w:r>
      <w:r w:rsidR="00032375" w:rsidRPr="003F3B94">
        <w:rPr>
          <w:rFonts w:hint="cs"/>
          <w:sz w:val="28"/>
          <w:rtl/>
          <w:lang w:bidi="ar-SY"/>
        </w:rPr>
        <w:t>وأن توصم حقيقة الدين بمثل هذا ا</w:t>
      </w:r>
      <w:r w:rsidR="008A2A49" w:rsidRPr="003F3B94">
        <w:rPr>
          <w:rFonts w:hint="cs"/>
          <w:sz w:val="28"/>
          <w:rtl/>
          <w:lang w:bidi="ar-SY"/>
        </w:rPr>
        <w:t>لأ</w:t>
      </w:r>
      <w:r w:rsidR="00032375" w:rsidRPr="003F3B94">
        <w:rPr>
          <w:rFonts w:hint="cs"/>
          <w:sz w:val="28"/>
          <w:rtl/>
          <w:lang w:bidi="ar-SY"/>
        </w:rPr>
        <w:t xml:space="preserve">مر هو الذي حفزنا على أن </w:t>
      </w:r>
      <w:r w:rsidR="00D20C65" w:rsidRPr="003F3B94">
        <w:rPr>
          <w:rFonts w:hint="cs"/>
          <w:sz w:val="28"/>
          <w:rtl/>
          <w:lang w:bidi="ar-SY"/>
        </w:rPr>
        <w:t xml:space="preserve">نخوض غمار هذا البحث رغم معرفتنا بالمخاطر التي سيجلبها </w:t>
      </w:r>
      <w:r w:rsidR="00114667" w:rsidRPr="003F3B94">
        <w:rPr>
          <w:rFonts w:hint="cs"/>
          <w:sz w:val="28"/>
          <w:rtl/>
          <w:lang w:bidi="ar-SY"/>
        </w:rPr>
        <w:t xml:space="preserve">علينا ذلك </w:t>
      </w:r>
      <w:r w:rsidR="00D20C65" w:rsidRPr="003F3B94">
        <w:rPr>
          <w:rFonts w:hint="cs"/>
          <w:sz w:val="28"/>
          <w:rtl/>
          <w:lang w:bidi="ar-SY"/>
        </w:rPr>
        <w:t xml:space="preserve">وبآثاره الوخيمة </w:t>
      </w:r>
      <w:r w:rsidR="00114667" w:rsidRPr="003F3B94">
        <w:rPr>
          <w:rFonts w:hint="cs"/>
          <w:sz w:val="28"/>
          <w:rtl/>
          <w:lang w:bidi="ar-SY"/>
        </w:rPr>
        <w:t xml:space="preserve">التي ستصيبنا </w:t>
      </w:r>
      <w:r w:rsidR="00D20C65" w:rsidRPr="003F3B94">
        <w:rPr>
          <w:rFonts w:hint="cs"/>
          <w:sz w:val="28"/>
          <w:rtl/>
          <w:lang w:bidi="ar-SY"/>
        </w:rPr>
        <w:t>من قبل المغرضين والجاهلين</w:t>
      </w:r>
      <w:r w:rsidR="00217AB4" w:rsidRPr="003F3B94">
        <w:rPr>
          <w:rFonts w:hint="cs"/>
          <w:sz w:val="28"/>
          <w:rtl/>
          <w:lang w:bidi="ar-SY"/>
        </w:rPr>
        <w:t>،</w:t>
      </w:r>
      <w:r w:rsidR="00114667" w:rsidRPr="003F3B94">
        <w:rPr>
          <w:rFonts w:hint="cs"/>
          <w:sz w:val="28"/>
          <w:rtl/>
          <w:lang w:bidi="ar-SY"/>
        </w:rPr>
        <w:t xml:space="preserve"> </w:t>
      </w:r>
      <w:r w:rsidR="00DC30E5" w:rsidRPr="003F3B94">
        <w:rPr>
          <w:rFonts w:hint="cs"/>
          <w:sz w:val="28"/>
          <w:rtl/>
          <w:lang w:bidi="ar-SY"/>
        </w:rPr>
        <w:t>لكننا لم</w:t>
      </w:r>
      <w:r w:rsidR="002948EC" w:rsidRPr="003F3B94">
        <w:rPr>
          <w:rFonts w:hint="cs"/>
          <w:sz w:val="28"/>
          <w:rtl/>
          <w:lang w:bidi="ar-SY"/>
        </w:rPr>
        <w:t xml:space="preserve"> نستطع أن </w:t>
      </w:r>
      <w:r w:rsidR="00DC30E5" w:rsidRPr="003F3B94">
        <w:rPr>
          <w:rFonts w:hint="cs"/>
          <w:sz w:val="28"/>
          <w:rtl/>
          <w:lang w:bidi="ar-SY"/>
        </w:rPr>
        <w:t>نسكت</w:t>
      </w:r>
      <w:r w:rsidR="000534B5" w:rsidRPr="003F3B94">
        <w:rPr>
          <w:rFonts w:hint="cs"/>
          <w:sz w:val="28"/>
          <w:rtl/>
          <w:lang w:bidi="ar-SY"/>
        </w:rPr>
        <w:t xml:space="preserve"> </w:t>
      </w:r>
      <w:r w:rsidR="00DC30E5" w:rsidRPr="003F3B94">
        <w:rPr>
          <w:rFonts w:hint="cs"/>
          <w:sz w:val="28"/>
          <w:rtl/>
          <w:lang w:bidi="ar-SY"/>
        </w:rPr>
        <w:t>و</w:t>
      </w:r>
      <w:r w:rsidR="000534B5" w:rsidRPr="003F3B94">
        <w:rPr>
          <w:rFonts w:hint="cs"/>
          <w:sz w:val="28"/>
          <w:rtl/>
          <w:lang w:bidi="ar-SY"/>
        </w:rPr>
        <w:t xml:space="preserve">نضغط على أسناننا </w:t>
      </w:r>
      <w:r w:rsidR="00114667" w:rsidRPr="003F3B94">
        <w:rPr>
          <w:rFonts w:hint="cs"/>
          <w:sz w:val="28"/>
          <w:rtl/>
          <w:lang w:bidi="ar-SY"/>
        </w:rPr>
        <w:t>ونكظم غيظنا ونحبس ألمنا في صدورنا ونحن نرى</w:t>
      </w:r>
      <w:r w:rsidR="00FF55D6" w:rsidRPr="003F3B94">
        <w:rPr>
          <w:rFonts w:hint="cs"/>
          <w:sz w:val="28"/>
          <w:rtl/>
          <w:lang w:bidi="ar-SY"/>
        </w:rPr>
        <w:t xml:space="preserve"> بأم أعيننا هذه الجريمة </w:t>
      </w:r>
      <w:r w:rsidR="00114667" w:rsidRPr="003F3B94">
        <w:rPr>
          <w:rFonts w:hint="cs"/>
          <w:sz w:val="28"/>
          <w:rtl/>
          <w:lang w:bidi="ar-SY"/>
        </w:rPr>
        <w:t xml:space="preserve">ترتكب أمام ناظرينا </w:t>
      </w:r>
      <w:r w:rsidR="00DC30E5" w:rsidRPr="003F3B94">
        <w:rPr>
          <w:rFonts w:hint="cs"/>
          <w:sz w:val="28"/>
          <w:rtl/>
          <w:lang w:bidi="ar-SY"/>
        </w:rPr>
        <w:t>ف</w:t>
      </w:r>
      <w:r w:rsidR="00F12BD4" w:rsidRPr="003F3B94">
        <w:rPr>
          <w:rFonts w:hint="cs"/>
          <w:sz w:val="28"/>
          <w:rtl/>
          <w:lang w:bidi="ar-SY"/>
        </w:rPr>
        <w:t xml:space="preserve">نقف صامتين </w:t>
      </w:r>
      <w:r w:rsidR="00114667" w:rsidRPr="003F3B94">
        <w:rPr>
          <w:rFonts w:hint="cs"/>
          <w:sz w:val="28"/>
          <w:rtl/>
          <w:lang w:bidi="ar-SY"/>
        </w:rPr>
        <w:t xml:space="preserve">متفرجين </w:t>
      </w:r>
      <w:r w:rsidR="00F12BD4" w:rsidRPr="003F3B94">
        <w:rPr>
          <w:rFonts w:hint="cs"/>
          <w:sz w:val="28"/>
          <w:rtl/>
          <w:lang w:bidi="ar-SY"/>
        </w:rPr>
        <w:t xml:space="preserve">بل </w:t>
      </w:r>
      <w:r w:rsidR="00114667" w:rsidRPr="003F3B94">
        <w:rPr>
          <w:rFonts w:hint="cs"/>
          <w:sz w:val="28"/>
          <w:rtl/>
          <w:lang w:bidi="ar-SY"/>
        </w:rPr>
        <w:t>نهضنا</w:t>
      </w:r>
      <w:r w:rsidR="00F12BD4" w:rsidRPr="003F3B94">
        <w:rPr>
          <w:rFonts w:hint="cs"/>
          <w:sz w:val="28"/>
          <w:rtl/>
          <w:lang w:bidi="ar-SY"/>
        </w:rPr>
        <w:t xml:space="preserve"> لبحث هذا الموضوع </w:t>
      </w:r>
      <w:r w:rsidR="00DC30E5" w:rsidRPr="003F3B94">
        <w:rPr>
          <w:rFonts w:hint="cs"/>
          <w:sz w:val="28"/>
          <w:rtl/>
          <w:lang w:bidi="ar-SY"/>
        </w:rPr>
        <w:t xml:space="preserve">كما جاء </w:t>
      </w:r>
      <w:r w:rsidR="00114667" w:rsidRPr="003F3B94">
        <w:rPr>
          <w:rFonts w:hint="cs"/>
          <w:sz w:val="28"/>
          <w:rtl/>
          <w:lang w:bidi="ar-SY"/>
        </w:rPr>
        <w:t>في</w:t>
      </w:r>
      <w:r w:rsidR="00F12BD4" w:rsidRPr="003F3B94">
        <w:rPr>
          <w:rFonts w:hint="cs"/>
          <w:sz w:val="28"/>
          <w:rtl/>
          <w:lang w:bidi="ar-SY"/>
        </w:rPr>
        <w:t xml:space="preserve"> كتاب الله وسنة رسوله</w:t>
      </w:r>
      <w:r w:rsidR="00147857" w:rsidRPr="003F3B94">
        <w:rPr>
          <w:rFonts w:hint="cs"/>
          <w:sz w:val="28"/>
          <w:rtl/>
          <w:lang w:bidi="ar-SY"/>
        </w:rPr>
        <w:t xml:space="preserve"> </w:t>
      </w:r>
      <w:r w:rsidR="003C7AEB" w:rsidRPr="003C7AEB">
        <w:rPr>
          <w:rFonts w:cs="CTraditional Arabic" w:hint="cs"/>
          <w:sz w:val="28"/>
          <w:rtl/>
          <w:lang w:bidi="ar-SY"/>
        </w:rPr>
        <w:t>ص</w:t>
      </w:r>
      <w:r w:rsidR="00147857" w:rsidRPr="003F3B94">
        <w:rPr>
          <w:rFonts w:hint="cs"/>
          <w:sz w:val="28"/>
          <w:rtl/>
          <w:lang w:bidi="ar-SY"/>
        </w:rPr>
        <w:t xml:space="preserve"> </w:t>
      </w:r>
      <w:r w:rsidR="00F12BD4" w:rsidRPr="003F3B94">
        <w:rPr>
          <w:rFonts w:hint="cs"/>
          <w:sz w:val="28"/>
          <w:rtl/>
          <w:lang w:bidi="ar-SY"/>
        </w:rPr>
        <w:t xml:space="preserve">وسيرة المسلمين </w:t>
      </w:r>
      <w:r w:rsidR="00114667" w:rsidRPr="003F3B94">
        <w:rPr>
          <w:rFonts w:hint="cs"/>
          <w:sz w:val="28"/>
          <w:rtl/>
          <w:lang w:bidi="ar-SY"/>
        </w:rPr>
        <w:t>ل</w:t>
      </w:r>
      <w:r w:rsidR="00F12BD4" w:rsidRPr="003F3B94">
        <w:rPr>
          <w:rFonts w:hint="cs"/>
          <w:sz w:val="28"/>
          <w:rtl/>
          <w:lang w:bidi="ar-SY"/>
        </w:rPr>
        <w:t xml:space="preserve">نضع أمامك أيها القارئ العزيز هذا البحث المختصر إن كنت طالباً للحق وباحثاً عن الحقيقة كي ترى </w:t>
      </w:r>
      <w:r w:rsidR="00A84CD7" w:rsidRPr="003F3B94">
        <w:rPr>
          <w:rFonts w:hint="cs"/>
          <w:sz w:val="28"/>
          <w:rtl/>
          <w:lang w:bidi="ar-SY"/>
        </w:rPr>
        <w:t>منصفاً ماذا فعلوا بشريعتك التي هي عين حياة سعادتك في الدارين</w:t>
      </w:r>
      <w:r w:rsidR="00217AB4" w:rsidRPr="003F3B94">
        <w:rPr>
          <w:rFonts w:hint="cs"/>
          <w:sz w:val="28"/>
          <w:rtl/>
          <w:lang w:bidi="ar-SY"/>
        </w:rPr>
        <w:t>؟!</w:t>
      </w:r>
      <w:r w:rsidR="00A84CD7" w:rsidRPr="003F3B94">
        <w:rPr>
          <w:rFonts w:hint="cs"/>
          <w:sz w:val="28"/>
          <w:rtl/>
          <w:lang w:bidi="ar-SY"/>
        </w:rPr>
        <w:t xml:space="preserve"> </w:t>
      </w:r>
      <w:r w:rsidR="00DC30E5" w:rsidRPr="003F3B94">
        <w:rPr>
          <w:rFonts w:hint="cs"/>
          <w:sz w:val="28"/>
          <w:rtl/>
          <w:lang w:bidi="ar-SY"/>
        </w:rPr>
        <w:t>و</w:t>
      </w:r>
      <w:r w:rsidR="00620ADE" w:rsidRPr="003F3B94">
        <w:rPr>
          <w:rFonts w:hint="cs"/>
          <w:sz w:val="28"/>
          <w:rtl/>
          <w:lang w:bidi="ar-SY"/>
        </w:rPr>
        <w:t xml:space="preserve">من هذا </w:t>
      </w:r>
      <w:r w:rsidR="00114667" w:rsidRPr="003F3B94">
        <w:rPr>
          <w:rFonts w:hint="cs"/>
          <w:sz w:val="28"/>
          <w:rtl/>
          <w:lang w:bidi="ar-SY"/>
        </w:rPr>
        <w:t>النموذج</w:t>
      </w:r>
      <w:r w:rsidR="00620ADE" w:rsidRPr="003F3B94">
        <w:rPr>
          <w:rFonts w:hint="cs"/>
          <w:sz w:val="28"/>
          <w:rtl/>
          <w:lang w:bidi="ar-SY"/>
        </w:rPr>
        <w:t xml:space="preserve"> </w:t>
      </w:r>
      <w:r w:rsidR="00DC30E5" w:rsidRPr="003F3B94">
        <w:rPr>
          <w:rFonts w:hint="cs"/>
          <w:sz w:val="28"/>
          <w:rtl/>
          <w:lang w:bidi="ar-SY"/>
        </w:rPr>
        <w:t>س</w:t>
      </w:r>
      <w:r w:rsidR="00620ADE" w:rsidRPr="003F3B94">
        <w:rPr>
          <w:rFonts w:hint="cs"/>
          <w:sz w:val="28"/>
          <w:rtl/>
          <w:lang w:bidi="ar-SY"/>
        </w:rPr>
        <w:t>تدرك أي مصائب وكوارث أوقعوها بهذه الشريعة</w:t>
      </w:r>
      <w:r w:rsidR="00217AB4" w:rsidRPr="003F3B94">
        <w:rPr>
          <w:rFonts w:hint="cs"/>
          <w:sz w:val="28"/>
          <w:rtl/>
          <w:lang w:bidi="ar-SY"/>
        </w:rPr>
        <w:t>!</w:t>
      </w:r>
      <w:r w:rsidR="00A84CD7" w:rsidRPr="003F3B94">
        <w:rPr>
          <w:rFonts w:hint="cs"/>
          <w:sz w:val="28"/>
          <w:rtl/>
          <w:lang w:bidi="ar-SY"/>
        </w:rPr>
        <w:t xml:space="preserve"> </w:t>
      </w:r>
      <w:r w:rsidR="00EA352F" w:rsidRPr="003F3B94">
        <w:rPr>
          <w:rFonts w:hint="cs"/>
          <w:sz w:val="28"/>
          <w:rtl/>
          <w:lang w:bidi="ar-SY"/>
        </w:rPr>
        <w:t xml:space="preserve">عسى أن تنهض أنت أيضاً وتقوم بالبحث والتحقيق بقدر وسعك في دينك العزيز </w:t>
      </w:r>
      <w:r w:rsidR="004F1998" w:rsidRPr="003F3B94">
        <w:rPr>
          <w:rFonts w:hint="cs"/>
          <w:sz w:val="28"/>
          <w:rtl/>
          <w:lang w:bidi="ar-SY"/>
        </w:rPr>
        <w:t>لتنقذه من مخالب حراس الط</w:t>
      </w:r>
      <w:r w:rsidR="008A2A49" w:rsidRPr="003F3B94">
        <w:rPr>
          <w:rFonts w:hint="cs"/>
          <w:sz w:val="28"/>
          <w:rtl/>
          <w:lang w:bidi="ar-SY"/>
        </w:rPr>
        <w:t>لا</w:t>
      </w:r>
      <w:r w:rsidR="004F1998" w:rsidRPr="003F3B94">
        <w:rPr>
          <w:rFonts w:hint="cs"/>
          <w:sz w:val="28"/>
          <w:rtl/>
          <w:lang w:bidi="ar-SY"/>
        </w:rPr>
        <w:t xml:space="preserve">سم </w:t>
      </w:r>
      <w:r w:rsidR="006C1E7A" w:rsidRPr="003F3B94">
        <w:rPr>
          <w:rFonts w:hint="cs"/>
          <w:sz w:val="28"/>
          <w:rtl/>
          <w:lang w:bidi="ar-SY"/>
        </w:rPr>
        <w:t xml:space="preserve">والسحر والخرافات </w:t>
      </w:r>
      <w:r w:rsidR="00990D76" w:rsidRPr="003F3B94">
        <w:rPr>
          <w:rFonts w:hint="cs"/>
          <w:sz w:val="28"/>
          <w:rtl/>
          <w:lang w:bidi="ar-SY"/>
        </w:rPr>
        <w:t>كي تصل قبل حلول أجلك لمنبع الحقيقة فترحل عن هذه الدنيا إلى الحياة ا</w:t>
      </w:r>
      <w:r w:rsidR="008A2A49" w:rsidRPr="003F3B94">
        <w:rPr>
          <w:rFonts w:hint="cs"/>
          <w:sz w:val="28"/>
          <w:rtl/>
          <w:lang w:bidi="ar-SY"/>
        </w:rPr>
        <w:t>لأ</w:t>
      </w:r>
      <w:r w:rsidR="00990D76" w:rsidRPr="003F3B94">
        <w:rPr>
          <w:rFonts w:hint="cs"/>
          <w:sz w:val="28"/>
          <w:rtl/>
          <w:lang w:bidi="ar-SY"/>
        </w:rPr>
        <w:t xml:space="preserve">بدية </w:t>
      </w:r>
      <w:r w:rsidR="00DF7B0D">
        <w:rPr>
          <w:rFonts w:hint="cs"/>
          <w:sz w:val="28"/>
          <w:rtl/>
          <w:lang w:bidi="ar-SY"/>
        </w:rPr>
        <w:t>برفقة كتاب الله وسنة رسول</w:t>
      </w:r>
      <w:r w:rsidR="00DF7B0D">
        <w:rPr>
          <w:rFonts w:cs="Times New Roman" w:hint="eastAsia"/>
          <w:sz w:val="28"/>
          <w:rtl/>
          <w:lang w:bidi="ar-SY"/>
        </w:rPr>
        <w:t>‌</w:t>
      </w:r>
      <w:r w:rsidR="006544D3" w:rsidRPr="003F3B94">
        <w:rPr>
          <w:rFonts w:hint="cs"/>
          <w:sz w:val="28"/>
          <w:rtl/>
          <w:lang w:bidi="ar-SY"/>
        </w:rPr>
        <w:t>الله</w:t>
      </w:r>
      <w:r w:rsidR="003C7AEB" w:rsidRPr="003C7AEB">
        <w:rPr>
          <w:rFonts w:cs="CTraditional Arabic" w:hint="cs"/>
          <w:sz w:val="28"/>
          <w:rtl/>
          <w:lang w:bidi="ar-SY"/>
        </w:rPr>
        <w:t>ص</w:t>
      </w:r>
      <w:r w:rsidR="00147857" w:rsidRPr="003F3B94">
        <w:rPr>
          <w:rFonts w:hint="cs"/>
          <w:sz w:val="28"/>
          <w:rtl/>
          <w:lang w:bidi="ar-SY"/>
        </w:rPr>
        <w:t xml:space="preserve"> </w:t>
      </w:r>
      <w:r w:rsidR="006544D3" w:rsidRPr="003F3B94">
        <w:rPr>
          <w:rFonts w:hint="cs"/>
          <w:sz w:val="28"/>
          <w:rtl/>
          <w:lang w:bidi="ar-SY"/>
        </w:rPr>
        <w:t>وإجماع جميع مسلمي العالم</w:t>
      </w:r>
      <w:r w:rsidR="00217AB4" w:rsidRPr="003F3B94">
        <w:rPr>
          <w:rFonts w:hint="cs"/>
          <w:sz w:val="28"/>
          <w:rtl/>
          <w:lang w:bidi="ar-SY"/>
        </w:rPr>
        <w:t>.</w:t>
      </w:r>
      <w:r w:rsidR="006544D3" w:rsidRPr="003F3B94">
        <w:rPr>
          <w:rFonts w:hint="cs"/>
          <w:sz w:val="28"/>
          <w:rtl/>
          <w:lang w:bidi="ar-SY"/>
        </w:rPr>
        <w:t xml:space="preserve"> فرسول الله</w:t>
      </w:r>
      <w:r w:rsidR="00147857" w:rsidRPr="003F3B94">
        <w:rPr>
          <w:rFonts w:hint="cs"/>
          <w:sz w:val="28"/>
          <w:rtl/>
          <w:lang w:bidi="ar-SY"/>
        </w:rPr>
        <w:t xml:space="preserve"> </w:t>
      </w:r>
      <w:r w:rsidR="003C7AEB" w:rsidRPr="003C7AEB">
        <w:rPr>
          <w:rFonts w:ascii="Abo-thar" w:hAnsi="Abo-thar" w:cs="CTraditional Arabic"/>
          <w:sz w:val="28"/>
          <w:rtl/>
          <w:lang w:bidi="ar-SY"/>
        </w:rPr>
        <w:t>ص</w:t>
      </w:r>
      <w:r w:rsidR="00147857" w:rsidRPr="003F3B94">
        <w:rPr>
          <w:rFonts w:ascii="Abo-thar" w:hAnsi="Abo-thar"/>
          <w:sz w:val="28"/>
          <w:rtl/>
          <w:lang w:bidi="ar-SY"/>
        </w:rPr>
        <w:t xml:space="preserve"> </w:t>
      </w:r>
      <w:r w:rsidR="006544D3" w:rsidRPr="003F3B94">
        <w:rPr>
          <w:rFonts w:hint="cs"/>
          <w:sz w:val="28"/>
          <w:rtl/>
          <w:lang w:bidi="ar-SY"/>
        </w:rPr>
        <w:t>الذي هو مؤسس شريعة ا</w:t>
      </w:r>
      <w:r w:rsidR="008A2A49" w:rsidRPr="003F3B94">
        <w:rPr>
          <w:rFonts w:hint="cs"/>
          <w:sz w:val="28"/>
          <w:rtl/>
          <w:lang w:bidi="ar-SY"/>
        </w:rPr>
        <w:t>لإ</w:t>
      </w:r>
      <w:r w:rsidR="006544D3" w:rsidRPr="003F3B94">
        <w:rPr>
          <w:rFonts w:hint="cs"/>
          <w:sz w:val="28"/>
          <w:rtl/>
          <w:lang w:bidi="ar-SY"/>
        </w:rPr>
        <w:t>س</w:t>
      </w:r>
      <w:r w:rsidR="008A2A49" w:rsidRPr="003F3B94">
        <w:rPr>
          <w:rFonts w:hint="cs"/>
          <w:sz w:val="28"/>
          <w:rtl/>
          <w:lang w:bidi="ar-SY"/>
        </w:rPr>
        <w:t>لا</w:t>
      </w:r>
      <w:r w:rsidR="006544D3" w:rsidRPr="003F3B94">
        <w:rPr>
          <w:rFonts w:hint="cs"/>
          <w:sz w:val="28"/>
          <w:rtl/>
          <w:lang w:bidi="ar-SY"/>
        </w:rPr>
        <w:t xml:space="preserve">م المقدسة </w:t>
      </w:r>
      <w:r w:rsidR="00A02E21" w:rsidRPr="003F3B94">
        <w:rPr>
          <w:rFonts w:hint="cs"/>
          <w:sz w:val="28"/>
          <w:rtl/>
          <w:lang w:bidi="ar-SY"/>
        </w:rPr>
        <w:t xml:space="preserve">لم يجمع في جميع مدة حياته ديناراً </w:t>
      </w:r>
      <w:r w:rsidR="00DC30E5" w:rsidRPr="003F3B94">
        <w:rPr>
          <w:rFonts w:hint="cs"/>
          <w:sz w:val="28"/>
          <w:rtl/>
          <w:lang w:bidi="ar-SY"/>
        </w:rPr>
        <w:t>ولا درهماً و</w:t>
      </w:r>
      <w:r w:rsidR="00114667" w:rsidRPr="003F3B94">
        <w:rPr>
          <w:rFonts w:hint="cs"/>
          <w:sz w:val="28"/>
          <w:rtl/>
          <w:lang w:bidi="ar-SY"/>
        </w:rPr>
        <w:t xml:space="preserve">لم يأخذ لنفسه من أحدٍ </w:t>
      </w:r>
      <w:r w:rsidR="00A02E21" w:rsidRPr="003F3B94">
        <w:rPr>
          <w:rFonts w:hint="cs"/>
          <w:sz w:val="28"/>
          <w:rtl/>
          <w:lang w:bidi="ar-SY"/>
        </w:rPr>
        <w:t>حبةً أو فلساً باسم خمس ا</w:t>
      </w:r>
      <w:r w:rsidR="008A2A49" w:rsidRPr="003F3B94">
        <w:rPr>
          <w:rFonts w:hint="cs"/>
          <w:sz w:val="28"/>
          <w:rtl/>
          <w:lang w:bidi="ar-SY"/>
        </w:rPr>
        <w:t>لأ</w:t>
      </w:r>
      <w:r w:rsidR="00A02E21" w:rsidRPr="003F3B94">
        <w:rPr>
          <w:rFonts w:hint="cs"/>
          <w:sz w:val="28"/>
          <w:rtl/>
          <w:lang w:bidi="ar-SY"/>
        </w:rPr>
        <w:t xml:space="preserve">رباح </w:t>
      </w:r>
      <w:r w:rsidR="00B83ED2" w:rsidRPr="003F3B94">
        <w:rPr>
          <w:rFonts w:hint="cs"/>
          <w:sz w:val="28"/>
          <w:rtl/>
          <w:lang w:bidi="ar-SY"/>
        </w:rPr>
        <w:t xml:space="preserve">أو يختصها لنفسه بوصفه إمام المسلمين </w:t>
      </w:r>
      <w:r w:rsidR="0081582B" w:rsidRPr="003F3B94">
        <w:rPr>
          <w:rFonts w:hint="cs"/>
          <w:sz w:val="28"/>
          <w:rtl/>
          <w:lang w:bidi="ar-SY"/>
        </w:rPr>
        <w:t xml:space="preserve">أو يعطيها </w:t>
      </w:r>
      <w:r w:rsidR="008A2A49" w:rsidRPr="003F3B94">
        <w:rPr>
          <w:rFonts w:hint="cs"/>
          <w:sz w:val="28"/>
          <w:rtl/>
          <w:lang w:bidi="ar-SY"/>
        </w:rPr>
        <w:t>لأ</w:t>
      </w:r>
      <w:r w:rsidR="0081582B" w:rsidRPr="003F3B94">
        <w:rPr>
          <w:rFonts w:hint="cs"/>
          <w:sz w:val="28"/>
          <w:rtl/>
          <w:lang w:bidi="ar-SY"/>
        </w:rPr>
        <w:t>هل بيته الطاهرين</w:t>
      </w:r>
      <w:r w:rsidR="001E0DB7" w:rsidRPr="003F3B94">
        <w:rPr>
          <w:rFonts w:hint="cs"/>
          <w:sz w:val="28"/>
          <w:rtl/>
          <w:lang w:bidi="ar-SY"/>
        </w:rPr>
        <w:t>،</w:t>
      </w:r>
      <w:r w:rsidR="0081582B" w:rsidRPr="003F3B94">
        <w:rPr>
          <w:rFonts w:hint="cs"/>
          <w:sz w:val="28"/>
          <w:rtl/>
          <w:lang w:bidi="ar-SY"/>
        </w:rPr>
        <w:t xml:space="preserve"> </w:t>
      </w:r>
      <w:r w:rsidR="0081582B" w:rsidRPr="00DF7B0D">
        <w:rPr>
          <w:rFonts w:hint="cs"/>
          <w:sz w:val="28"/>
          <w:highlight w:val="yellow"/>
          <w:rtl/>
          <w:lang w:bidi="ar-SY"/>
        </w:rPr>
        <w:t xml:space="preserve">ورغم أن </w:t>
      </w:r>
      <w:r w:rsidR="004A6635" w:rsidRPr="00DF7B0D">
        <w:rPr>
          <w:rFonts w:hint="cs"/>
          <w:sz w:val="28"/>
          <w:highlight w:val="yellow"/>
          <w:rtl/>
          <w:lang w:bidi="ar-SY"/>
        </w:rPr>
        <w:t>الوضاعين نسبوا إليه كثيراً من ا</w:t>
      </w:r>
      <w:r w:rsidR="008A2A49" w:rsidRPr="00DF7B0D">
        <w:rPr>
          <w:rFonts w:hint="cs"/>
          <w:sz w:val="28"/>
          <w:highlight w:val="yellow"/>
          <w:rtl/>
          <w:lang w:bidi="ar-SY"/>
        </w:rPr>
        <w:t>لأ</w:t>
      </w:r>
      <w:r w:rsidR="004A6635" w:rsidRPr="00DF7B0D">
        <w:rPr>
          <w:rFonts w:hint="cs"/>
          <w:sz w:val="28"/>
          <w:highlight w:val="yellow"/>
          <w:rtl/>
          <w:lang w:bidi="ar-SY"/>
        </w:rPr>
        <w:t>كاذيب حتى قام في زمن حياته فقال</w:t>
      </w:r>
      <w:r w:rsidR="00217AB4" w:rsidRPr="00DF7B0D">
        <w:rPr>
          <w:rFonts w:hint="cs"/>
          <w:sz w:val="28"/>
          <w:highlight w:val="yellow"/>
          <w:rtl/>
          <w:lang w:bidi="ar-SY"/>
        </w:rPr>
        <w:t>:</w:t>
      </w:r>
      <w:r w:rsidR="004A6635" w:rsidRPr="00DF7B0D">
        <w:rPr>
          <w:rFonts w:hint="cs"/>
          <w:sz w:val="28"/>
          <w:highlight w:val="yellow"/>
          <w:rtl/>
          <w:lang w:bidi="ar-SY"/>
        </w:rPr>
        <w:t xml:space="preserve"> </w:t>
      </w:r>
      <w:r w:rsidR="00EF2588" w:rsidRPr="00DF7B0D">
        <w:rPr>
          <w:rFonts w:cs="KFGQPC Uthman Taha Naskh" w:hint="cs"/>
          <w:sz w:val="28"/>
          <w:highlight w:val="yellow"/>
          <w:rtl/>
          <w:lang w:bidi="ar-SY"/>
        </w:rPr>
        <w:t>«</w:t>
      </w:r>
      <w:r w:rsidR="0081582B" w:rsidRPr="00DF7B0D">
        <w:rPr>
          <w:rFonts w:cs="KFGQPC Uthman Taha Naskh"/>
          <w:b/>
          <w:bCs/>
          <w:sz w:val="28"/>
          <w:highlight w:val="yellow"/>
          <w:rtl/>
          <w:lang w:bidi="ar-SY"/>
        </w:rPr>
        <w:t>قَدْ كَثُرَتْ عَلَيَّ الْكَذَّابَةُ فَمَنْ كَذَبَ عَلَيَّ مُتَعَمِّداً فَلْيَتَبَوَّأْ مَقْعَدَهُ مِنَ النَّارِ</w:t>
      </w:r>
      <w:r w:rsidR="00EF2588" w:rsidRPr="00DF7B0D">
        <w:rPr>
          <w:rFonts w:cs="KFGQPC Uthman Taha Naskh" w:hint="cs"/>
          <w:sz w:val="28"/>
          <w:highlight w:val="yellow"/>
          <w:rtl/>
          <w:lang w:bidi="ar-SY"/>
        </w:rPr>
        <w:t>»</w:t>
      </w:r>
      <w:r w:rsidR="00217AB4" w:rsidRPr="00DF7B0D">
        <w:rPr>
          <w:rStyle w:val="FootnoteReference"/>
          <w:rFonts w:cs="Arabic11 BT"/>
          <w:b/>
          <w:sz w:val="28"/>
          <w:highlight w:val="yellow"/>
          <w:rtl/>
          <w:lang w:bidi="ar-SY"/>
        </w:rPr>
        <w:t>(</w:t>
      </w:r>
      <w:r w:rsidR="0081582B" w:rsidRPr="00DF7B0D">
        <w:rPr>
          <w:rStyle w:val="FootnoteReference"/>
          <w:rFonts w:cs="Arabic11 BT"/>
          <w:b/>
          <w:sz w:val="28"/>
          <w:highlight w:val="yellow"/>
          <w:rtl/>
          <w:lang w:bidi="ar-SY"/>
        </w:rPr>
        <w:footnoteReference w:id="9"/>
      </w:r>
      <w:r w:rsidR="00217AB4" w:rsidRPr="00DF7B0D">
        <w:rPr>
          <w:rStyle w:val="FootnoteReference"/>
          <w:rFonts w:cs="Arabic11 BT"/>
          <w:b/>
          <w:sz w:val="28"/>
          <w:highlight w:val="yellow"/>
          <w:rtl/>
          <w:lang w:bidi="ar-SY"/>
        </w:rPr>
        <w:t>)</w:t>
      </w:r>
      <w:r w:rsidR="0081582B" w:rsidRPr="00DF7B0D">
        <w:rPr>
          <w:sz w:val="28"/>
          <w:highlight w:val="yellow"/>
          <w:rtl/>
          <w:lang w:bidi="ar-SY"/>
        </w:rPr>
        <w:t xml:space="preserve"> </w:t>
      </w:r>
      <w:r w:rsidR="00DC30E5" w:rsidRPr="00DF7B0D">
        <w:rPr>
          <w:rFonts w:hint="cs"/>
          <w:sz w:val="28"/>
          <w:highlight w:val="yellow"/>
          <w:rtl/>
          <w:lang w:bidi="ar-SY"/>
        </w:rPr>
        <w:t xml:space="preserve">رغم ذلك </w:t>
      </w:r>
      <w:r w:rsidR="0081582B" w:rsidRPr="00DF7B0D">
        <w:rPr>
          <w:rFonts w:hint="cs"/>
          <w:sz w:val="28"/>
          <w:highlight w:val="yellow"/>
          <w:rtl/>
          <w:lang w:bidi="ar-SY"/>
        </w:rPr>
        <w:t>لم نجد</w:t>
      </w:r>
      <w:r w:rsidR="00217AB4" w:rsidRPr="00DF7B0D">
        <w:rPr>
          <w:rFonts w:hint="cs"/>
          <w:sz w:val="28"/>
          <w:highlight w:val="yellow"/>
          <w:rtl/>
          <w:lang w:bidi="ar-SY"/>
        </w:rPr>
        <w:t>،</w:t>
      </w:r>
      <w:r w:rsidR="0081582B" w:rsidRPr="00DF7B0D">
        <w:rPr>
          <w:rFonts w:hint="cs"/>
          <w:sz w:val="28"/>
          <w:highlight w:val="yellow"/>
          <w:rtl/>
          <w:lang w:bidi="ar-SY"/>
        </w:rPr>
        <w:t xml:space="preserve"> </w:t>
      </w:r>
      <w:r w:rsidR="004A6635" w:rsidRPr="00DF7B0D">
        <w:rPr>
          <w:rFonts w:hint="cs"/>
          <w:sz w:val="28"/>
          <w:highlight w:val="yellow"/>
          <w:rtl/>
          <w:lang w:bidi="ar-SY"/>
        </w:rPr>
        <w:t>لحسن الحظ</w:t>
      </w:r>
      <w:r w:rsidR="00217AB4" w:rsidRPr="00DF7B0D">
        <w:rPr>
          <w:rFonts w:hint="cs"/>
          <w:sz w:val="28"/>
          <w:highlight w:val="yellow"/>
          <w:rtl/>
          <w:lang w:bidi="ar-SY"/>
        </w:rPr>
        <w:t>،</w:t>
      </w:r>
      <w:r w:rsidR="004A6635" w:rsidRPr="00DF7B0D">
        <w:rPr>
          <w:rFonts w:hint="cs"/>
          <w:sz w:val="28"/>
          <w:highlight w:val="yellow"/>
          <w:rtl/>
          <w:lang w:bidi="ar-SY"/>
        </w:rPr>
        <w:t xml:space="preserve"> </w:t>
      </w:r>
      <w:r w:rsidR="0081582B" w:rsidRPr="00DF7B0D">
        <w:rPr>
          <w:rFonts w:hint="cs"/>
          <w:sz w:val="28"/>
          <w:highlight w:val="yellow"/>
          <w:rtl/>
          <w:lang w:bidi="ar-SY"/>
        </w:rPr>
        <w:t>حديثا</w:t>
      </w:r>
      <w:r w:rsidR="00401DB4" w:rsidRPr="00DF7B0D">
        <w:rPr>
          <w:rFonts w:hint="cs"/>
          <w:sz w:val="28"/>
          <w:highlight w:val="yellow"/>
          <w:rtl/>
          <w:lang w:bidi="ar-SY"/>
        </w:rPr>
        <w:t>ً</w:t>
      </w:r>
      <w:r w:rsidR="0081582B" w:rsidRPr="00DF7B0D">
        <w:rPr>
          <w:rFonts w:hint="cs"/>
          <w:sz w:val="28"/>
          <w:highlight w:val="yellow"/>
          <w:rtl/>
          <w:lang w:bidi="ar-SY"/>
        </w:rPr>
        <w:t xml:space="preserve"> واحداً بل </w:t>
      </w:r>
      <w:r w:rsidR="004A6635" w:rsidRPr="00DF7B0D">
        <w:rPr>
          <w:rFonts w:hint="cs"/>
          <w:sz w:val="28"/>
          <w:highlight w:val="yellow"/>
          <w:rtl/>
          <w:lang w:bidi="ar-SY"/>
        </w:rPr>
        <w:t xml:space="preserve">نصف حديث ولو موضوعاً ومكذوباً لدى جميع المسلمين </w:t>
      </w:r>
      <w:r w:rsidR="0081582B" w:rsidRPr="00DF7B0D">
        <w:rPr>
          <w:rFonts w:hint="cs"/>
          <w:sz w:val="28"/>
          <w:highlight w:val="yellow"/>
          <w:rtl/>
          <w:lang w:bidi="ar-SY"/>
        </w:rPr>
        <w:t xml:space="preserve">يفيد </w:t>
      </w:r>
      <w:r w:rsidR="004A6635" w:rsidRPr="00DF7B0D">
        <w:rPr>
          <w:rFonts w:hint="cs"/>
          <w:sz w:val="28"/>
          <w:highlight w:val="yellow"/>
          <w:rtl/>
          <w:lang w:bidi="ar-SY"/>
        </w:rPr>
        <w:t>أخذ النبي</w:t>
      </w:r>
      <w:r w:rsidR="00147857" w:rsidRPr="00DF7B0D">
        <w:rPr>
          <w:rFonts w:hint="cs"/>
          <w:sz w:val="28"/>
          <w:highlight w:val="yellow"/>
          <w:rtl/>
          <w:lang w:bidi="ar-SY"/>
        </w:rPr>
        <w:t xml:space="preserve"> </w:t>
      </w:r>
      <w:r w:rsidR="003C7AEB" w:rsidRPr="00DF7B0D">
        <w:rPr>
          <w:rFonts w:ascii="Abo-thar" w:hAnsi="Abo-thar" w:cs="CTraditional Arabic"/>
          <w:sz w:val="28"/>
          <w:highlight w:val="yellow"/>
          <w:rtl/>
          <w:lang w:bidi="ar-SY"/>
        </w:rPr>
        <w:t>ص</w:t>
      </w:r>
      <w:r w:rsidR="00147857" w:rsidRPr="00DF7B0D">
        <w:rPr>
          <w:rFonts w:ascii="Abo-thar" w:hAnsi="Abo-thar"/>
          <w:sz w:val="28"/>
          <w:highlight w:val="yellow"/>
          <w:rtl/>
          <w:lang w:bidi="ar-SY"/>
        </w:rPr>
        <w:t xml:space="preserve"> </w:t>
      </w:r>
      <w:r w:rsidR="004A6635" w:rsidRPr="00DF7B0D">
        <w:rPr>
          <w:rFonts w:hint="cs"/>
          <w:sz w:val="28"/>
          <w:highlight w:val="yellow"/>
          <w:rtl/>
          <w:lang w:bidi="ar-SY"/>
        </w:rPr>
        <w:t>لمثل هذا الخمس</w:t>
      </w:r>
      <w:r w:rsidR="0081582B" w:rsidRPr="00DF7B0D">
        <w:rPr>
          <w:rFonts w:hint="cs"/>
          <w:sz w:val="28"/>
          <w:highlight w:val="yellow"/>
          <w:rtl/>
          <w:lang w:bidi="ar-SY"/>
        </w:rPr>
        <w:t xml:space="preserve"> من مكاسب الناس</w:t>
      </w:r>
      <w:r w:rsidR="00401DB4" w:rsidRPr="00DF7B0D">
        <w:rPr>
          <w:rFonts w:hint="cs"/>
          <w:sz w:val="28"/>
          <w:highlight w:val="yellow"/>
          <w:rtl/>
          <w:lang w:bidi="ar-SY"/>
        </w:rPr>
        <w:t xml:space="preserve"> وأرباحهم</w:t>
      </w:r>
      <w:r w:rsidR="00217AB4" w:rsidRPr="00DF7B0D">
        <w:rPr>
          <w:rFonts w:hint="cs"/>
          <w:sz w:val="28"/>
          <w:highlight w:val="yellow"/>
          <w:rtl/>
          <w:lang w:bidi="ar-SY"/>
        </w:rPr>
        <w:t>!</w:t>
      </w:r>
      <w:r w:rsidR="00AF6A36" w:rsidRPr="003F3B94">
        <w:rPr>
          <w:rFonts w:hint="cs"/>
          <w:sz w:val="28"/>
          <w:rtl/>
          <w:lang w:bidi="ar-SY"/>
        </w:rPr>
        <w:t xml:space="preserve"> </w:t>
      </w:r>
    </w:p>
    <w:p w:rsidR="00AF6A36" w:rsidRPr="003F3B94" w:rsidRDefault="00A35AF5" w:rsidP="003F3B94">
      <w:pPr>
        <w:pStyle w:val="a0"/>
        <w:rPr>
          <w:rFonts w:hint="cs"/>
          <w:rtl/>
          <w:lang w:bidi="ar-SY"/>
        </w:rPr>
      </w:pPr>
      <w:r w:rsidRPr="003F3B94">
        <w:rPr>
          <w:rFonts w:hint="cs"/>
          <w:sz w:val="28"/>
          <w:rtl/>
          <w:lang w:bidi="ar-SY"/>
        </w:rPr>
        <w:t>والواقع أن ظهور هذه البدعة يعود إلى قرنٍ ونصف بعد هجرة النبي</w:t>
      </w:r>
      <w:r w:rsidR="00147857" w:rsidRPr="003F3B94">
        <w:rPr>
          <w:rFonts w:hint="cs"/>
          <w:sz w:val="28"/>
          <w:rtl/>
          <w:lang w:bidi="ar-SY"/>
        </w:rPr>
        <w:t xml:space="preserve"> </w:t>
      </w:r>
      <w:r w:rsidR="003C7AEB" w:rsidRPr="003C7AEB">
        <w:rPr>
          <w:rFonts w:ascii="Abo-thar" w:hAnsi="Abo-thar" w:cs="CTraditional Arabic"/>
          <w:sz w:val="28"/>
          <w:rtl/>
          <w:lang w:bidi="ar-SY"/>
        </w:rPr>
        <w:t>ص</w:t>
      </w:r>
      <w:r w:rsidR="00147857" w:rsidRPr="003F3B94">
        <w:rPr>
          <w:rFonts w:ascii="Abo-thar" w:hAnsi="Abo-thar"/>
          <w:sz w:val="28"/>
          <w:rtl/>
          <w:lang w:bidi="ar-SY"/>
        </w:rPr>
        <w:t xml:space="preserve"> </w:t>
      </w:r>
      <w:r w:rsidRPr="003F3B94">
        <w:rPr>
          <w:rFonts w:hint="cs"/>
          <w:sz w:val="28"/>
          <w:rtl/>
          <w:lang w:bidi="ar-SY"/>
        </w:rPr>
        <w:t>حيث وضعها الغ</w:t>
      </w:r>
      <w:r w:rsidR="008A2A49" w:rsidRPr="003F3B94">
        <w:rPr>
          <w:rFonts w:hint="cs"/>
          <w:sz w:val="28"/>
          <w:rtl/>
          <w:lang w:bidi="ar-SY"/>
        </w:rPr>
        <w:t>لا</w:t>
      </w:r>
      <w:r w:rsidRPr="003F3B94">
        <w:rPr>
          <w:rFonts w:hint="cs"/>
          <w:sz w:val="28"/>
          <w:rtl/>
          <w:lang w:bidi="ar-SY"/>
        </w:rPr>
        <w:t xml:space="preserve">ة والكذابون من أمثال </w:t>
      </w:r>
      <w:r w:rsidRPr="003F3B94">
        <w:rPr>
          <w:rFonts w:hint="eastAsia"/>
          <w:sz w:val="28"/>
          <w:rtl/>
          <w:lang w:bidi="ar-SY"/>
        </w:rPr>
        <w:t>«</w:t>
      </w:r>
      <w:r w:rsidRPr="003F3B94">
        <w:rPr>
          <w:rFonts w:hint="cs"/>
          <w:sz w:val="28"/>
          <w:rtl/>
          <w:lang w:bidi="ar-SY"/>
        </w:rPr>
        <w:t>علي بن أبي حمزة البطائني</w:t>
      </w:r>
      <w:r w:rsidRPr="003F3B94">
        <w:rPr>
          <w:rFonts w:hint="eastAsia"/>
          <w:sz w:val="28"/>
          <w:rtl/>
          <w:lang w:bidi="ar-SY"/>
        </w:rPr>
        <w:t>»</w:t>
      </w:r>
      <w:r w:rsidRPr="003F3B94">
        <w:rPr>
          <w:rFonts w:hint="cs"/>
          <w:sz w:val="28"/>
          <w:rtl/>
          <w:lang w:bidi="ar-SY"/>
        </w:rPr>
        <w:t xml:space="preserve"> و</w:t>
      </w:r>
      <w:r w:rsidRPr="003F3B94">
        <w:rPr>
          <w:rFonts w:hint="eastAsia"/>
          <w:sz w:val="28"/>
          <w:rtl/>
          <w:lang w:bidi="ar-SY"/>
        </w:rPr>
        <w:t>«</w:t>
      </w:r>
      <w:r w:rsidRPr="003F3B94">
        <w:rPr>
          <w:rFonts w:hint="cs"/>
          <w:sz w:val="28"/>
          <w:rtl/>
          <w:lang w:bidi="ar-SY"/>
        </w:rPr>
        <w:t>علي بن فضال</w:t>
      </w:r>
      <w:r w:rsidRPr="003F3B94">
        <w:rPr>
          <w:rFonts w:hint="eastAsia"/>
          <w:sz w:val="28"/>
          <w:rtl/>
          <w:lang w:bidi="ar-SY"/>
        </w:rPr>
        <w:t>»</w:t>
      </w:r>
      <w:r w:rsidRPr="003F3B94">
        <w:rPr>
          <w:rFonts w:hint="cs"/>
          <w:sz w:val="28"/>
          <w:rtl/>
          <w:lang w:bidi="ar-SY"/>
        </w:rPr>
        <w:t xml:space="preserve"> الضال المضل و</w:t>
      </w:r>
      <w:r w:rsidRPr="003F3B94">
        <w:rPr>
          <w:rFonts w:hint="eastAsia"/>
          <w:sz w:val="28"/>
          <w:rtl/>
          <w:lang w:bidi="ar-SY"/>
        </w:rPr>
        <w:t>«</w:t>
      </w:r>
      <w:r w:rsidRPr="003F3B94">
        <w:rPr>
          <w:rFonts w:hint="cs"/>
          <w:sz w:val="28"/>
          <w:rtl/>
          <w:lang w:bidi="ar-SY"/>
        </w:rPr>
        <w:t>أحمد بن ه</w:t>
      </w:r>
      <w:r w:rsidR="008A2A49" w:rsidRPr="003F3B94">
        <w:rPr>
          <w:rFonts w:hint="cs"/>
          <w:sz w:val="28"/>
          <w:rtl/>
          <w:lang w:bidi="ar-SY"/>
        </w:rPr>
        <w:t>لا</w:t>
      </w:r>
      <w:r w:rsidRPr="003F3B94">
        <w:rPr>
          <w:rFonts w:hint="cs"/>
          <w:sz w:val="28"/>
          <w:rtl/>
          <w:lang w:bidi="ar-SY"/>
        </w:rPr>
        <w:t>ل</w:t>
      </w:r>
      <w:r w:rsidRPr="003F3B94">
        <w:rPr>
          <w:rFonts w:hint="eastAsia"/>
          <w:sz w:val="28"/>
          <w:rtl/>
          <w:lang w:bidi="ar-SY"/>
        </w:rPr>
        <w:t>»</w:t>
      </w:r>
      <w:r w:rsidRPr="003F3B94">
        <w:rPr>
          <w:rFonts w:hint="cs"/>
          <w:sz w:val="28"/>
          <w:rtl/>
          <w:lang w:bidi="ar-SY"/>
        </w:rPr>
        <w:t xml:space="preserve"> و</w:t>
      </w:r>
      <w:r w:rsidRPr="003F3B94">
        <w:rPr>
          <w:rFonts w:hint="eastAsia"/>
          <w:sz w:val="28"/>
          <w:rtl/>
          <w:lang w:bidi="ar-SY"/>
        </w:rPr>
        <w:t>«</w:t>
      </w:r>
      <w:r w:rsidRPr="003F3B94">
        <w:rPr>
          <w:rFonts w:hint="cs"/>
          <w:sz w:val="28"/>
          <w:rtl/>
          <w:lang w:bidi="ar-SY"/>
        </w:rPr>
        <w:t>سهل بن زياد</w:t>
      </w:r>
      <w:r w:rsidRPr="003F3B94">
        <w:rPr>
          <w:rFonts w:hint="eastAsia"/>
          <w:sz w:val="28"/>
          <w:rtl/>
          <w:lang w:bidi="ar-SY"/>
        </w:rPr>
        <w:t>»</w:t>
      </w:r>
      <w:r w:rsidRPr="003F3B94">
        <w:rPr>
          <w:rFonts w:hint="cs"/>
          <w:sz w:val="28"/>
          <w:rtl/>
          <w:lang w:bidi="ar-SY"/>
        </w:rPr>
        <w:t xml:space="preserve"> و</w:t>
      </w:r>
      <w:r w:rsidRPr="003F3B94">
        <w:rPr>
          <w:rFonts w:hint="eastAsia"/>
          <w:sz w:val="28"/>
          <w:rtl/>
          <w:lang w:bidi="ar-SY"/>
        </w:rPr>
        <w:t>«</w:t>
      </w:r>
      <w:r w:rsidRPr="003F3B94">
        <w:rPr>
          <w:rFonts w:hint="cs"/>
          <w:sz w:val="28"/>
          <w:rtl/>
          <w:lang w:bidi="ar-SY"/>
        </w:rPr>
        <w:t>سماعة بن مهران</w:t>
      </w:r>
      <w:r w:rsidRPr="003F3B94">
        <w:rPr>
          <w:rFonts w:hint="eastAsia"/>
          <w:sz w:val="28"/>
          <w:rtl/>
          <w:lang w:bidi="ar-SY"/>
        </w:rPr>
        <w:t>»</w:t>
      </w:r>
      <w:r w:rsidRPr="003F3B94">
        <w:rPr>
          <w:rFonts w:hint="cs"/>
          <w:sz w:val="28"/>
          <w:rtl/>
          <w:lang w:bidi="ar-SY"/>
        </w:rPr>
        <w:t xml:space="preserve"> و</w:t>
      </w:r>
      <w:r w:rsidRPr="003F3B94">
        <w:rPr>
          <w:rFonts w:hint="eastAsia"/>
          <w:sz w:val="28"/>
          <w:rtl/>
          <w:lang w:bidi="ar-SY"/>
        </w:rPr>
        <w:t>«</w:t>
      </w:r>
      <w:r w:rsidRPr="003F3B94">
        <w:rPr>
          <w:rFonts w:hint="cs"/>
          <w:sz w:val="28"/>
          <w:rtl/>
          <w:lang w:bidi="ar-SY"/>
        </w:rPr>
        <w:t>علي بن مهزيار</w:t>
      </w:r>
      <w:r w:rsidRPr="003F3B94">
        <w:rPr>
          <w:rFonts w:hint="eastAsia"/>
          <w:sz w:val="28"/>
          <w:rtl/>
          <w:lang w:bidi="ar-SY"/>
        </w:rPr>
        <w:t>»</w:t>
      </w:r>
      <w:r w:rsidRPr="003F3B94">
        <w:rPr>
          <w:rFonts w:hint="cs"/>
          <w:sz w:val="28"/>
          <w:rtl/>
          <w:lang w:bidi="ar-SY"/>
        </w:rPr>
        <w:t xml:space="preserve"> الذين كانوا يعدون أنفسهم ممثلين ونواب</w:t>
      </w:r>
      <w:r w:rsidR="0081582B" w:rsidRPr="003F3B94">
        <w:rPr>
          <w:rFonts w:hint="cs"/>
          <w:sz w:val="28"/>
          <w:rtl/>
          <w:lang w:bidi="ar-SY"/>
        </w:rPr>
        <w:t>اً ل</w:t>
      </w:r>
      <w:r w:rsidR="008A2A49" w:rsidRPr="003F3B94">
        <w:rPr>
          <w:rFonts w:hint="cs"/>
          <w:sz w:val="28"/>
          <w:rtl/>
          <w:lang w:bidi="ar-SY"/>
        </w:rPr>
        <w:t>لأ</w:t>
      </w:r>
      <w:r w:rsidRPr="003F3B94">
        <w:rPr>
          <w:rFonts w:hint="cs"/>
          <w:sz w:val="28"/>
          <w:rtl/>
          <w:lang w:bidi="ar-SY"/>
        </w:rPr>
        <w:t xml:space="preserve">ئمة المعصومين </w:t>
      </w:r>
      <w:r w:rsidR="0081582B" w:rsidRPr="003F3B94">
        <w:rPr>
          <w:rFonts w:hint="cs"/>
          <w:sz w:val="28"/>
          <w:rtl/>
          <w:lang w:bidi="ar-SY"/>
        </w:rPr>
        <w:t>فكانوا يأخذون ذلك الخمس بهذه الحجة</w:t>
      </w:r>
      <w:r w:rsidR="00141C74" w:rsidRPr="003F3B94">
        <w:rPr>
          <w:rFonts w:hint="cs"/>
          <w:sz w:val="28"/>
          <w:rtl/>
          <w:lang w:bidi="ar-SY"/>
        </w:rPr>
        <w:t xml:space="preserve"> من شيعة ا</w:t>
      </w:r>
      <w:r w:rsidR="008A2A49" w:rsidRPr="003F3B94">
        <w:rPr>
          <w:rFonts w:hint="cs"/>
          <w:sz w:val="28"/>
          <w:rtl/>
          <w:lang w:bidi="ar-SY"/>
        </w:rPr>
        <w:t>لأ</w:t>
      </w:r>
      <w:r w:rsidR="00141C74" w:rsidRPr="003F3B94">
        <w:rPr>
          <w:rFonts w:hint="cs"/>
          <w:sz w:val="28"/>
          <w:rtl/>
          <w:lang w:bidi="ar-SY"/>
        </w:rPr>
        <w:t>ئمة</w:t>
      </w:r>
      <w:r w:rsidR="00217AB4" w:rsidRPr="003F3B94">
        <w:rPr>
          <w:rFonts w:hint="cs"/>
          <w:sz w:val="28"/>
          <w:rtl/>
          <w:lang w:bidi="ar-SY"/>
        </w:rPr>
        <w:t>.</w:t>
      </w:r>
      <w:r w:rsidR="00141C74" w:rsidRPr="003F3B94">
        <w:rPr>
          <w:rFonts w:hint="cs"/>
          <w:sz w:val="28"/>
          <w:rtl/>
          <w:lang w:bidi="ar-SY"/>
        </w:rPr>
        <w:t xml:space="preserve"> </w:t>
      </w:r>
      <w:r w:rsidR="0081582B" w:rsidRPr="003F3B94">
        <w:rPr>
          <w:rFonts w:hint="cs"/>
          <w:sz w:val="28"/>
          <w:rtl/>
          <w:lang w:bidi="ar-SY"/>
        </w:rPr>
        <w:t>و</w:t>
      </w:r>
      <w:r w:rsidR="00141C74" w:rsidRPr="003F3B94">
        <w:rPr>
          <w:rFonts w:hint="cs"/>
          <w:sz w:val="28"/>
          <w:rtl/>
          <w:lang w:bidi="ar-SY"/>
        </w:rPr>
        <w:t xml:space="preserve">سنطلع في هذا الكتاب على الهوية الحقيقية </w:t>
      </w:r>
      <w:r w:rsidR="008A2A49" w:rsidRPr="003F3B94">
        <w:rPr>
          <w:rFonts w:hint="cs"/>
          <w:sz w:val="28"/>
          <w:rtl/>
          <w:lang w:bidi="ar-SY"/>
        </w:rPr>
        <w:t>لأ</w:t>
      </w:r>
      <w:r w:rsidR="00141C74" w:rsidRPr="003F3B94">
        <w:rPr>
          <w:rFonts w:hint="cs"/>
          <w:sz w:val="28"/>
          <w:rtl/>
          <w:lang w:bidi="ar-SY"/>
        </w:rPr>
        <w:t>ولئك الرواة</w:t>
      </w:r>
      <w:r w:rsidR="00217AB4" w:rsidRPr="003F3B94">
        <w:rPr>
          <w:rFonts w:hint="cs"/>
          <w:sz w:val="28"/>
          <w:rtl/>
          <w:lang w:bidi="ar-SY"/>
        </w:rPr>
        <w:t>.</w:t>
      </w:r>
      <w:r w:rsidR="00141C74" w:rsidRPr="003F3B94">
        <w:rPr>
          <w:rFonts w:hint="cs"/>
          <w:sz w:val="28"/>
          <w:rtl/>
          <w:lang w:bidi="ar-SY"/>
        </w:rPr>
        <w:t xml:space="preserve"> </w:t>
      </w:r>
    </w:p>
    <w:p w:rsidR="00141C74" w:rsidRPr="003F3B94" w:rsidRDefault="00141C74" w:rsidP="003F3B94">
      <w:pPr>
        <w:pStyle w:val="a0"/>
        <w:rPr>
          <w:rFonts w:hint="cs"/>
          <w:rtl/>
          <w:lang w:bidi="ar-SY"/>
        </w:rPr>
      </w:pPr>
      <w:r w:rsidRPr="003F3B94">
        <w:rPr>
          <w:rFonts w:hint="cs"/>
          <w:sz w:val="28"/>
          <w:rtl/>
          <w:lang w:bidi="ar-SY"/>
        </w:rPr>
        <w:t xml:space="preserve">لكن الذي أدى إلى حيرة فقهاء الشيعة هو أن </w:t>
      </w:r>
      <w:r w:rsidR="0081582B" w:rsidRPr="003F3B94">
        <w:rPr>
          <w:rFonts w:hint="cs"/>
          <w:sz w:val="28"/>
          <w:rtl/>
          <w:lang w:bidi="ar-SY"/>
        </w:rPr>
        <w:t xml:space="preserve">هناك </w:t>
      </w:r>
      <w:r w:rsidRPr="003F3B94">
        <w:rPr>
          <w:rFonts w:hint="cs"/>
          <w:sz w:val="28"/>
          <w:rtl/>
          <w:lang w:bidi="ar-SY"/>
        </w:rPr>
        <w:t>أحاديث</w:t>
      </w:r>
      <w:r w:rsidR="0081582B" w:rsidRPr="003F3B94">
        <w:rPr>
          <w:rFonts w:hint="cs"/>
          <w:sz w:val="28"/>
          <w:rtl/>
          <w:lang w:bidi="ar-SY"/>
        </w:rPr>
        <w:t>َ</w:t>
      </w:r>
      <w:r w:rsidRPr="003F3B94">
        <w:rPr>
          <w:rFonts w:hint="cs"/>
          <w:sz w:val="28"/>
          <w:rtl/>
          <w:lang w:bidi="ar-SY"/>
        </w:rPr>
        <w:t xml:space="preserve"> عن خمس غنائم الحرب وهذا </w:t>
      </w:r>
      <w:r w:rsidR="00E65FCC" w:rsidRPr="003F3B94">
        <w:rPr>
          <w:rFonts w:hint="eastAsia"/>
          <w:sz w:val="28"/>
          <w:rtl/>
          <w:lang w:bidi="ar-SY"/>
        </w:rPr>
        <w:t>«</w:t>
      </w:r>
      <w:r w:rsidR="00E65FCC" w:rsidRPr="003F3B94">
        <w:rPr>
          <w:rFonts w:hint="cs"/>
          <w:b/>
          <w:bCs/>
          <w:sz w:val="28"/>
          <w:rtl/>
          <w:lang w:bidi="ar-SY"/>
        </w:rPr>
        <w:t>الخُمْس</w:t>
      </w:r>
      <w:r w:rsidR="00E65FCC" w:rsidRPr="003F3B94">
        <w:rPr>
          <w:rFonts w:hint="eastAsia"/>
          <w:sz w:val="28"/>
          <w:rtl/>
          <w:lang w:bidi="ar-SY"/>
        </w:rPr>
        <w:t>»</w:t>
      </w:r>
      <w:r w:rsidR="00E65FCC" w:rsidRPr="003F3B94">
        <w:rPr>
          <w:rFonts w:hint="cs"/>
          <w:sz w:val="28"/>
          <w:rtl/>
          <w:lang w:bidi="ar-SY"/>
        </w:rPr>
        <w:t xml:space="preserve"> </w:t>
      </w:r>
      <w:r w:rsidRPr="003F3B94">
        <w:rPr>
          <w:rFonts w:hint="cs"/>
          <w:sz w:val="28"/>
          <w:rtl/>
          <w:lang w:bidi="ar-SY"/>
        </w:rPr>
        <w:t xml:space="preserve">كان </w:t>
      </w:r>
      <w:r w:rsidR="0081582B" w:rsidRPr="003F3B94">
        <w:rPr>
          <w:rFonts w:hint="cs"/>
          <w:sz w:val="28"/>
          <w:rtl/>
          <w:lang w:bidi="ar-SY"/>
        </w:rPr>
        <w:t xml:space="preserve">يؤخذ </w:t>
      </w:r>
      <w:r w:rsidRPr="003F3B94">
        <w:rPr>
          <w:rFonts w:hint="cs"/>
          <w:sz w:val="28"/>
          <w:rtl/>
          <w:lang w:bidi="ar-SY"/>
        </w:rPr>
        <w:t>زمن رسول الله</w:t>
      </w:r>
      <w:r w:rsidR="00147857" w:rsidRPr="003F3B94">
        <w:rPr>
          <w:rFonts w:hint="cs"/>
          <w:sz w:val="28"/>
          <w:rtl/>
          <w:lang w:bidi="ar-SY"/>
        </w:rPr>
        <w:t xml:space="preserve"> </w:t>
      </w:r>
      <w:r w:rsidR="003C7AEB" w:rsidRPr="003C7AEB">
        <w:rPr>
          <w:rFonts w:ascii="Abo-thar" w:hAnsi="Abo-thar" w:cs="CTraditional Arabic"/>
          <w:sz w:val="28"/>
          <w:rtl/>
          <w:lang w:bidi="ar-SY"/>
        </w:rPr>
        <w:t>ص</w:t>
      </w:r>
      <w:r w:rsidR="00147857" w:rsidRPr="003F3B94">
        <w:rPr>
          <w:rFonts w:ascii="Abo-thar" w:hAnsi="Abo-thar"/>
          <w:sz w:val="28"/>
          <w:rtl/>
          <w:lang w:bidi="ar-SY"/>
        </w:rPr>
        <w:t xml:space="preserve"> </w:t>
      </w:r>
      <w:r w:rsidRPr="003F3B94">
        <w:rPr>
          <w:rFonts w:hint="cs"/>
          <w:sz w:val="28"/>
          <w:rtl/>
          <w:lang w:bidi="ar-SY"/>
        </w:rPr>
        <w:t xml:space="preserve">من أموال المشركين </w:t>
      </w:r>
      <w:r w:rsidR="0081582B" w:rsidRPr="003F3B94">
        <w:rPr>
          <w:rFonts w:hint="cs"/>
          <w:sz w:val="28"/>
          <w:rtl/>
          <w:lang w:bidi="ar-SY"/>
        </w:rPr>
        <w:t>التي يتم غنيمتها</w:t>
      </w:r>
      <w:r w:rsidRPr="003F3B94">
        <w:rPr>
          <w:rFonts w:hint="cs"/>
          <w:sz w:val="28"/>
          <w:rtl/>
          <w:lang w:bidi="ar-SY"/>
        </w:rPr>
        <w:t xml:space="preserve"> في الحرب وربما كانت عائلة رسول الله</w:t>
      </w:r>
      <w:r w:rsidR="00147857" w:rsidRPr="003F3B94">
        <w:rPr>
          <w:rFonts w:hint="cs"/>
          <w:sz w:val="28"/>
          <w:rtl/>
          <w:lang w:bidi="ar-SY"/>
        </w:rPr>
        <w:t xml:space="preserve"> </w:t>
      </w:r>
      <w:r w:rsidR="003C7AEB" w:rsidRPr="003C7AEB">
        <w:rPr>
          <w:rFonts w:ascii="Abo-thar" w:hAnsi="Abo-thar" w:cs="CTraditional Arabic"/>
          <w:sz w:val="28"/>
          <w:rtl/>
          <w:lang w:bidi="ar-SY"/>
        </w:rPr>
        <w:t>ص</w:t>
      </w:r>
      <w:r w:rsidR="00147857" w:rsidRPr="003F3B94">
        <w:rPr>
          <w:rFonts w:ascii="Abo-thar" w:hAnsi="Abo-thar"/>
          <w:sz w:val="28"/>
          <w:rtl/>
          <w:lang w:bidi="ar-SY"/>
        </w:rPr>
        <w:t xml:space="preserve"> </w:t>
      </w:r>
      <w:r w:rsidRPr="003F3B94">
        <w:rPr>
          <w:rFonts w:hint="cs"/>
          <w:sz w:val="28"/>
          <w:rtl/>
          <w:lang w:bidi="ar-SY"/>
        </w:rPr>
        <w:t>تستفيد من ذلك المال حال حياته الشريفة</w:t>
      </w:r>
      <w:r w:rsidR="00217AB4" w:rsidRPr="003F3B94">
        <w:rPr>
          <w:rFonts w:hint="cs"/>
          <w:sz w:val="28"/>
          <w:rtl/>
          <w:lang w:bidi="ar-SY"/>
        </w:rPr>
        <w:t>،</w:t>
      </w:r>
      <w:r w:rsidRPr="003F3B94">
        <w:rPr>
          <w:rFonts w:hint="cs"/>
          <w:sz w:val="28"/>
          <w:rtl/>
          <w:lang w:bidi="ar-SY"/>
        </w:rPr>
        <w:t xml:space="preserve"> </w:t>
      </w:r>
      <w:r w:rsidR="0042548A" w:rsidRPr="003F3B94">
        <w:rPr>
          <w:rFonts w:hint="cs"/>
          <w:sz w:val="28"/>
          <w:rtl/>
          <w:lang w:bidi="ar-SY"/>
        </w:rPr>
        <w:t xml:space="preserve">واستناداً إلى </w:t>
      </w:r>
      <w:r w:rsidR="0081582B" w:rsidRPr="003F3B94">
        <w:rPr>
          <w:rFonts w:hint="cs"/>
          <w:sz w:val="28"/>
          <w:rtl/>
          <w:lang w:bidi="ar-SY"/>
        </w:rPr>
        <w:t xml:space="preserve">تحوُّل </w:t>
      </w:r>
      <w:r w:rsidR="0042548A" w:rsidRPr="003F3B94">
        <w:rPr>
          <w:rFonts w:hint="cs"/>
          <w:sz w:val="28"/>
          <w:rtl/>
          <w:lang w:bidi="ar-SY"/>
        </w:rPr>
        <w:t xml:space="preserve">كلمة </w:t>
      </w:r>
      <w:r w:rsidR="0042548A" w:rsidRPr="003F3B94">
        <w:rPr>
          <w:rFonts w:hint="eastAsia"/>
          <w:sz w:val="28"/>
          <w:rtl/>
          <w:lang w:bidi="ar-SY"/>
        </w:rPr>
        <w:t>«</w:t>
      </w:r>
      <w:r w:rsidR="0042548A" w:rsidRPr="003F3B94">
        <w:rPr>
          <w:rFonts w:hint="cs"/>
          <w:b/>
          <w:bCs/>
          <w:sz w:val="28"/>
          <w:rtl/>
          <w:lang w:bidi="ar-SY"/>
        </w:rPr>
        <w:t>الخ</w:t>
      </w:r>
      <w:r w:rsidR="00E65FCC" w:rsidRPr="003F3B94">
        <w:rPr>
          <w:rFonts w:hint="cs"/>
          <w:b/>
          <w:bCs/>
          <w:sz w:val="28"/>
          <w:rtl/>
          <w:lang w:bidi="ar-SY"/>
        </w:rPr>
        <w:t>ُمْ</w:t>
      </w:r>
      <w:r w:rsidR="0042548A" w:rsidRPr="003F3B94">
        <w:rPr>
          <w:rFonts w:hint="cs"/>
          <w:b/>
          <w:bCs/>
          <w:sz w:val="28"/>
          <w:rtl/>
          <w:lang w:bidi="ar-SY"/>
        </w:rPr>
        <w:t>س</w:t>
      </w:r>
      <w:r w:rsidR="0042548A" w:rsidRPr="003F3B94">
        <w:rPr>
          <w:rFonts w:hint="eastAsia"/>
          <w:sz w:val="28"/>
          <w:rtl/>
          <w:lang w:bidi="ar-SY"/>
        </w:rPr>
        <w:t>»</w:t>
      </w:r>
      <w:r w:rsidR="0042548A" w:rsidRPr="003F3B94">
        <w:rPr>
          <w:rFonts w:hint="cs"/>
          <w:sz w:val="28"/>
          <w:rtl/>
          <w:lang w:bidi="ar-SY"/>
        </w:rPr>
        <w:t xml:space="preserve"> </w:t>
      </w:r>
      <w:r w:rsidR="006A62BC" w:rsidRPr="003F3B94">
        <w:rPr>
          <w:rFonts w:hint="cs"/>
          <w:sz w:val="28"/>
          <w:rtl/>
          <w:lang w:bidi="ar-SY"/>
        </w:rPr>
        <w:t>التي هي رقمٌ كسري معروف</w:t>
      </w:r>
      <w:r w:rsidR="00217AB4" w:rsidRPr="003F3B94">
        <w:rPr>
          <w:rFonts w:hint="cs"/>
          <w:sz w:val="28"/>
          <w:rtl/>
          <w:lang w:bidi="ar-SY"/>
        </w:rPr>
        <w:t>،</w:t>
      </w:r>
      <w:r w:rsidR="006A62BC" w:rsidRPr="003F3B94">
        <w:rPr>
          <w:rFonts w:hint="cs"/>
          <w:sz w:val="28"/>
          <w:rtl/>
          <w:lang w:bidi="ar-SY"/>
        </w:rPr>
        <w:t xml:space="preserve"> إلى حقيقة شرعية </w:t>
      </w:r>
      <w:r w:rsidR="00E65FCC" w:rsidRPr="003F3B94">
        <w:rPr>
          <w:rFonts w:hint="cs"/>
          <w:sz w:val="28"/>
          <w:rtl/>
          <w:lang w:bidi="ar-SY"/>
        </w:rPr>
        <w:t xml:space="preserve">معناها ذلك </w:t>
      </w:r>
      <w:r w:rsidR="00E65FCC" w:rsidRPr="003F3B94">
        <w:rPr>
          <w:rFonts w:hint="eastAsia"/>
          <w:sz w:val="28"/>
          <w:rtl/>
          <w:lang w:bidi="ar-SY"/>
        </w:rPr>
        <w:t>«</w:t>
      </w:r>
      <w:r w:rsidR="00E65FCC" w:rsidRPr="003F3B94">
        <w:rPr>
          <w:rFonts w:hint="cs"/>
          <w:b/>
          <w:bCs/>
          <w:sz w:val="28"/>
          <w:rtl/>
          <w:lang w:bidi="ar-SY"/>
        </w:rPr>
        <w:t>الخُمْس</w:t>
      </w:r>
      <w:r w:rsidR="00E65FCC" w:rsidRPr="003F3B94">
        <w:rPr>
          <w:rFonts w:hint="eastAsia"/>
          <w:sz w:val="28"/>
          <w:rtl/>
          <w:lang w:bidi="ar-SY"/>
        </w:rPr>
        <w:t>»</w:t>
      </w:r>
      <w:r w:rsidR="00E65FCC" w:rsidRPr="003F3B94">
        <w:rPr>
          <w:rFonts w:hint="cs"/>
          <w:sz w:val="28"/>
          <w:rtl/>
          <w:lang w:bidi="ar-SY"/>
        </w:rPr>
        <w:t xml:space="preserve"> </w:t>
      </w:r>
      <w:r w:rsidR="006A62BC" w:rsidRPr="003F3B94">
        <w:rPr>
          <w:rFonts w:hint="cs"/>
          <w:sz w:val="28"/>
          <w:rtl/>
          <w:lang w:bidi="ar-SY"/>
        </w:rPr>
        <w:t>الذي كان رسول الله</w:t>
      </w:r>
      <w:r w:rsidR="00147857" w:rsidRPr="003F3B94">
        <w:rPr>
          <w:rFonts w:hint="cs"/>
          <w:sz w:val="28"/>
          <w:rtl/>
          <w:lang w:bidi="ar-SY"/>
        </w:rPr>
        <w:t xml:space="preserve"> </w:t>
      </w:r>
      <w:r w:rsidR="003C7AEB" w:rsidRPr="003C7AEB">
        <w:rPr>
          <w:rFonts w:ascii="Abo-thar" w:hAnsi="Abo-thar" w:cs="CTraditional Arabic"/>
          <w:sz w:val="28"/>
          <w:rtl/>
          <w:lang w:bidi="ar-SY"/>
        </w:rPr>
        <w:t>ص</w:t>
      </w:r>
      <w:r w:rsidR="00147857" w:rsidRPr="003F3B94">
        <w:rPr>
          <w:rFonts w:ascii="Abo-thar" w:hAnsi="Abo-thar"/>
          <w:sz w:val="28"/>
          <w:rtl/>
          <w:lang w:bidi="ar-SY"/>
        </w:rPr>
        <w:t xml:space="preserve"> </w:t>
      </w:r>
      <w:r w:rsidR="006A62BC" w:rsidRPr="003F3B94">
        <w:rPr>
          <w:rFonts w:hint="cs"/>
          <w:sz w:val="28"/>
          <w:rtl/>
          <w:lang w:bidi="ar-SY"/>
        </w:rPr>
        <w:t xml:space="preserve">وخلفاؤه يأخذونه </w:t>
      </w:r>
      <w:r w:rsidR="00E65FCC" w:rsidRPr="003F3B94">
        <w:rPr>
          <w:rFonts w:hint="cs"/>
          <w:sz w:val="28"/>
          <w:rtl/>
          <w:lang w:bidi="ar-SY"/>
        </w:rPr>
        <w:t xml:space="preserve">من المسلمين </w:t>
      </w:r>
      <w:r w:rsidR="006A62BC" w:rsidRPr="003F3B94">
        <w:rPr>
          <w:rFonts w:hint="cs"/>
          <w:sz w:val="28"/>
          <w:rtl/>
          <w:lang w:bidi="ar-SY"/>
        </w:rPr>
        <w:t xml:space="preserve">من </w:t>
      </w:r>
      <w:r w:rsidR="00E65FCC" w:rsidRPr="003F3B94">
        <w:rPr>
          <w:rFonts w:hint="cs"/>
          <w:sz w:val="28"/>
          <w:rtl/>
          <w:lang w:bidi="ar-SY"/>
        </w:rPr>
        <w:t xml:space="preserve">قيمة </w:t>
      </w:r>
      <w:r w:rsidR="006A62BC" w:rsidRPr="003F3B94">
        <w:rPr>
          <w:rFonts w:hint="cs"/>
          <w:sz w:val="28"/>
          <w:rtl/>
          <w:lang w:bidi="ar-SY"/>
        </w:rPr>
        <w:t xml:space="preserve">بعض المعادن والكنوز وأمثالها </w:t>
      </w:r>
      <w:r w:rsidR="00E65FCC" w:rsidRPr="003F3B94">
        <w:rPr>
          <w:rFonts w:hint="cs"/>
          <w:sz w:val="28"/>
          <w:rtl/>
          <w:lang w:bidi="ar-SY"/>
        </w:rPr>
        <w:t>من باب الزكاة</w:t>
      </w:r>
      <w:r w:rsidR="00217AB4" w:rsidRPr="003F3B94">
        <w:rPr>
          <w:rFonts w:hint="cs"/>
          <w:sz w:val="28"/>
          <w:rtl/>
          <w:lang w:bidi="ar-SY"/>
        </w:rPr>
        <w:t>،</w:t>
      </w:r>
      <w:r w:rsidR="00E65FCC" w:rsidRPr="003F3B94">
        <w:rPr>
          <w:rFonts w:hint="cs"/>
          <w:sz w:val="28"/>
          <w:rtl/>
          <w:lang w:bidi="ar-SY"/>
        </w:rPr>
        <w:t xml:space="preserve"> ثم </w:t>
      </w:r>
      <w:r w:rsidR="007978B7" w:rsidRPr="003F3B94">
        <w:rPr>
          <w:rFonts w:hint="cs"/>
          <w:sz w:val="28"/>
          <w:rtl/>
          <w:lang w:bidi="ar-SY"/>
        </w:rPr>
        <w:t>أصبحت مثل هذه المسائل من المسائل التي ابتلي بها المسل</w:t>
      </w:r>
      <w:r w:rsidR="008A2A49" w:rsidRPr="003F3B94">
        <w:rPr>
          <w:rFonts w:hint="cs"/>
          <w:sz w:val="28"/>
          <w:rtl/>
          <w:lang w:bidi="ar-SY"/>
        </w:rPr>
        <w:t>مون فكانوا يسألون فقهاء زمانهم</w:t>
      </w:r>
      <w:r w:rsidR="007978B7" w:rsidRPr="003F3B94">
        <w:rPr>
          <w:rFonts w:hint="cs"/>
          <w:sz w:val="28"/>
          <w:rtl/>
          <w:lang w:bidi="ar-SY"/>
        </w:rPr>
        <w:t xml:space="preserve"> مث</w:t>
      </w:r>
      <w:r w:rsidR="008A2A49" w:rsidRPr="003F3B94">
        <w:rPr>
          <w:rFonts w:hint="cs"/>
          <w:sz w:val="28"/>
          <w:rtl/>
          <w:lang w:bidi="ar-SY"/>
        </w:rPr>
        <w:t>لا</w:t>
      </w:r>
      <w:r w:rsidR="00217AB4" w:rsidRPr="003F3B94">
        <w:rPr>
          <w:rFonts w:hint="cs"/>
          <w:sz w:val="28"/>
          <w:rtl/>
          <w:lang w:bidi="ar-SY"/>
        </w:rPr>
        <w:t>:</w:t>
      </w:r>
      <w:r w:rsidR="007978B7" w:rsidRPr="003F3B94">
        <w:rPr>
          <w:rFonts w:hint="cs"/>
          <w:sz w:val="28"/>
          <w:rtl/>
          <w:lang w:bidi="ar-SY"/>
        </w:rPr>
        <w:t xml:space="preserve"> كم يجب أن ندفع زكاة المعادن </w:t>
      </w:r>
      <w:r w:rsidR="00EF6565" w:rsidRPr="003F3B94">
        <w:rPr>
          <w:rFonts w:hint="cs"/>
          <w:sz w:val="28"/>
          <w:rtl/>
          <w:lang w:bidi="ar-SY"/>
        </w:rPr>
        <w:t>كالنفط والكبريت</w:t>
      </w:r>
      <w:r w:rsidR="008A2A49" w:rsidRPr="003F3B94">
        <w:rPr>
          <w:rFonts w:hint="cs"/>
          <w:sz w:val="28"/>
          <w:rtl/>
          <w:lang w:bidi="ar-SY"/>
        </w:rPr>
        <w:t xml:space="preserve"> والنحاس والحديد</w:t>
      </w:r>
      <w:r w:rsidR="00217AB4" w:rsidRPr="003F3B94">
        <w:rPr>
          <w:rFonts w:hint="cs"/>
          <w:sz w:val="28"/>
          <w:rtl/>
          <w:lang w:bidi="ar-SY"/>
        </w:rPr>
        <w:t>؟</w:t>
      </w:r>
      <w:r w:rsidR="008139A9" w:rsidRPr="003F3B94">
        <w:rPr>
          <w:rFonts w:hint="cs"/>
          <w:sz w:val="28"/>
          <w:rtl/>
          <w:lang w:bidi="ar-SY"/>
        </w:rPr>
        <w:t xml:space="preserve"> فكان </w:t>
      </w:r>
      <w:r w:rsidR="008A2A49" w:rsidRPr="003F3B94">
        <w:rPr>
          <w:rFonts w:hint="cs"/>
          <w:sz w:val="28"/>
          <w:rtl/>
          <w:lang w:bidi="ar-SY"/>
        </w:rPr>
        <w:t xml:space="preserve">كلُّ واحدٍ من </w:t>
      </w:r>
      <w:r w:rsidR="008139A9" w:rsidRPr="003F3B94">
        <w:rPr>
          <w:rFonts w:hint="cs"/>
          <w:sz w:val="28"/>
          <w:rtl/>
          <w:lang w:bidi="ar-SY"/>
        </w:rPr>
        <w:t xml:space="preserve">الفقهاء يجيب </w:t>
      </w:r>
      <w:r w:rsidR="008A2A49" w:rsidRPr="003F3B94">
        <w:rPr>
          <w:rFonts w:hint="cs"/>
          <w:sz w:val="28"/>
          <w:rtl/>
          <w:lang w:bidi="ar-SY"/>
        </w:rPr>
        <w:t>سائليه</w:t>
      </w:r>
      <w:r w:rsidR="008139A9" w:rsidRPr="003F3B94">
        <w:rPr>
          <w:rFonts w:hint="cs"/>
          <w:sz w:val="28"/>
          <w:rtl/>
          <w:lang w:bidi="ar-SY"/>
        </w:rPr>
        <w:t xml:space="preserve"> في ذلك الزمن </w:t>
      </w:r>
      <w:r w:rsidR="008A2A49" w:rsidRPr="003F3B94">
        <w:rPr>
          <w:rFonts w:hint="cs"/>
          <w:sz w:val="28"/>
          <w:rtl/>
          <w:lang w:bidi="ar-SY"/>
        </w:rPr>
        <w:t>ب</w:t>
      </w:r>
      <w:r w:rsidR="008139A9" w:rsidRPr="003F3B94">
        <w:rPr>
          <w:rFonts w:hint="cs"/>
          <w:sz w:val="28"/>
          <w:rtl/>
          <w:lang w:bidi="ar-SY"/>
        </w:rPr>
        <w:t>فتوى حسب رأيه</w:t>
      </w:r>
      <w:r w:rsidR="00217AB4" w:rsidRPr="003F3B94">
        <w:rPr>
          <w:rFonts w:hint="cs"/>
          <w:sz w:val="28"/>
          <w:rtl/>
          <w:lang w:bidi="ar-SY"/>
        </w:rPr>
        <w:t>،</w:t>
      </w:r>
      <w:r w:rsidR="008139A9" w:rsidRPr="003F3B94">
        <w:rPr>
          <w:rFonts w:hint="cs"/>
          <w:sz w:val="28"/>
          <w:rtl/>
          <w:lang w:bidi="ar-SY"/>
        </w:rPr>
        <w:t xml:space="preserve"> فاشتبه ا</w:t>
      </w:r>
      <w:r w:rsidR="008A2A49" w:rsidRPr="003F3B94">
        <w:rPr>
          <w:rFonts w:hint="cs"/>
          <w:sz w:val="28"/>
          <w:rtl/>
          <w:lang w:bidi="ar-SY"/>
        </w:rPr>
        <w:t>لأ</w:t>
      </w:r>
      <w:r w:rsidR="008139A9" w:rsidRPr="003F3B94">
        <w:rPr>
          <w:rFonts w:hint="cs"/>
          <w:sz w:val="28"/>
          <w:rtl/>
          <w:lang w:bidi="ar-SY"/>
        </w:rPr>
        <w:t>مر</w:t>
      </w:r>
      <w:r w:rsidR="008A2A49" w:rsidRPr="003F3B94">
        <w:rPr>
          <w:rFonts w:hint="cs"/>
          <w:sz w:val="28"/>
          <w:rtl/>
          <w:lang w:bidi="ar-SY"/>
        </w:rPr>
        <w:t xml:space="preserve"> على الفقهاء</w:t>
      </w:r>
      <w:r w:rsidR="00217AB4" w:rsidRPr="003F3B94">
        <w:rPr>
          <w:rFonts w:hint="cs"/>
          <w:sz w:val="28"/>
          <w:rtl/>
          <w:lang w:bidi="ar-SY"/>
        </w:rPr>
        <w:t>،</w:t>
      </w:r>
      <w:r w:rsidR="008139A9" w:rsidRPr="003F3B94">
        <w:rPr>
          <w:rFonts w:hint="cs"/>
          <w:sz w:val="28"/>
          <w:rtl/>
          <w:lang w:bidi="ar-SY"/>
        </w:rPr>
        <w:t xml:space="preserve"> حيث أن ا</w:t>
      </w:r>
      <w:r w:rsidR="008A2A49" w:rsidRPr="003F3B94">
        <w:rPr>
          <w:rFonts w:hint="cs"/>
          <w:sz w:val="28"/>
          <w:rtl/>
          <w:lang w:bidi="ar-SY"/>
        </w:rPr>
        <w:t>لإ</w:t>
      </w:r>
      <w:r w:rsidR="008139A9" w:rsidRPr="003F3B94">
        <w:rPr>
          <w:rFonts w:hint="cs"/>
          <w:sz w:val="28"/>
          <w:rtl/>
          <w:lang w:bidi="ar-SY"/>
        </w:rPr>
        <w:t>مام مالك يقول أن زكاة المعادن وا</w:t>
      </w:r>
      <w:r w:rsidR="001035F4" w:rsidRPr="003F3B94">
        <w:rPr>
          <w:rFonts w:hint="cs"/>
          <w:sz w:val="28"/>
          <w:rtl/>
          <w:lang w:bidi="ar-SY"/>
        </w:rPr>
        <w:t>لركاز هي العشر والشافعي يقول إنها الخمس</w:t>
      </w:r>
      <w:r w:rsidR="00217AB4" w:rsidRPr="003F3B94">
        <w:rPr>
          <w:rFonts w:hint="cs"/>
          <w:sz w:val="28"/>
          <w:rtl/>
          <w:lang w:bidi="ar-SY"/>
        </w:rPr>
        <w:t>.</w:t>
      </w:r>
      <w:r w:rsidR="001035F4" w:rsidRPr="003F3B94">
        <w:rPr>
          <w:rFonts w:hint="cs"/>
          <w:sz w:val="28"/>
          <w:rtl/>
          <w:lang w:bidi="ar-SY"/>
        </w:rPr>
        <w:t xml:space="preserve"> </w:t>
      </w:r>
    </w:p>
    <w:p w:rsidR="00347964" w:rsidRPr="003F3B94" w:rsidRDefault="00347964" w:rsidP="003F3B94">
      <w:pPr>
        <w:pStyle w:val="a0"/>
        <w:rPr>
          <w:rFonts w:hint="cs"/>
          <w:rtl/>
          <w:lang w:bidi="ar-SY"/>
        </w:rPr>
      </w:pPr>
      <w:r w:rsidRPr="003F3B94">
        <w:rPr>
          <w:rFonts w:hint="cs"/>
          <w:sz w:val="28"/>
          <w:rtl/>
          <w:lang w:bidi="ar-SY"/>
        </w:rPr>
        <w:t xml:space="preserve">وكذلك سأل بعض الشيعة من الأئمة المعصومين سلام الله عليهم عن هذه المسائل </w:t>
      </w:r>
      <w:r w:rsidR="004B5C73" w:rsidRPr="003F3B94">
        <w:rPr>
          <w:rFonts w:hint="cs"/>
          <w:sz w:val="28"/>
          <w:rtl/>
          <w:lang w:bidi="ar-SY"/>
        </w:rPr>
        <w:t>وأجاب أولئك الكرام بأنه الخمس</w:t>
      </w:r>
      <w:r w:rsidR="00217AB4" w:rsidRPr="003F3B94">
        <w:rPr>
          <w:rFonts w:hint="cs"/>
          <w:sz w:val="28"/>
          <w:rtl/>
          <w:lang w:bidi="ar-SY"/>
        </w:rPr>
        <w:t>.</w:t>
      </w:r>
      <w:r w:rsidR="004B5C73" w:rsidRPr="003F3B94">
        <w:rPr>
          <w:rFonts w:hint="cs"/>
          <w:sz w:val="28"/>
          <w:rtl/>
          <w:lang w:bidi="ar-SY"/>
        </w:rPr>
        <w:t xml:space="preserve"> مثل </w:t>
      </w:r>
      <w:r w:rsidR="00A8339E" w:rsidRPr="003F3B94">
        <w:rPr>
          <w:rFonts w:hint="cs"/>
          <w:sz w:val="28"/>
          <w:rtl/>
          <w:lang w:bidi="ar-SY"/>
        </w:rPr>
        <w:t xml:space="preserve">هذه </w:t>
      </w:r>
      <w:r w:rsidR="004B5C73" w:rsidRPr="003F3B94">
        <w:rPr>
          <w:rFonts w:hint="cs"/>
          <w:sz w:val="28"/>
          <w:rtl/>
          <w:lang w:bidi="ar-SY"/>
        </w:rPr>
        <w:t xml:space="preserve">الأحاديث أدت إلى أن </w:t>
      </w:r>
      <w:r w:rsidR="00401DB4" w:rsidRPr="003F3B94">
        <w:rPr>
          <w:rFonts w:hint="cs"/>
          <w:sz w:val="28"/>
          <w:rtl/>
          <w:lang w:bidi="ar-SY"/>
        </w:rPr>
        <w:t>يخلط</w:t>
      </w:r>
      <w:r w:rsidR="004B5C73" w:rsidRPr="003F3B94">
        <w:rPr>
          <w:rFonts w:hint="cs"/>
          <w:sz w:val="28"/>
          <w:rtl/>
          <w:lang w:bidi="ar-SY"/>
        </w:rPr>
        <w:t xml:space="preserve"> بعض الناس زكاة المعادن التي مقدارها الخمس ومصارفها هي مصارف الزكاة عينها </w:t>
      </w:r>
      <w:r w:rsidR="006A1A1F" w:rsidRPr="003F3B94">
        <w:rPr>
          <w:rFonts w:hint="cs"/>
          <w:sz w:val="28"/>
          <w:rtl/>
          <w:lang w:bidi="ar-SY"/>
        </w:rPr>
        <w:t xml:space="preserve">بالخمس الذي مصارفه </w:t>
      </w:r>
      <w:r w:rsidR="00AD411D" w:rsidRPr="003F3B94">
        <w:rPr>
          <w:rFonts w:hint="cs"/>
          <w:sz w:val="28"/>
          <w:rtl/>
          <w:lang w:bidi="ar-SY"/>
        </w:rPr>
        <w:t>مصارف خمس غنائم الحرب</w:t>
      </w:r>
      <w:r w:rsidR="00217AB4" w:rsidRPr="003F3B94">
        <w:rPr>
          <w:rFonts w:hint="cs"/>
          <w:sz w:val="28"/>
          <w:rtl/>
          <w:lang w:bidi="ar-SY"/>
        </w:rPr>
        <w:t>،</w:t>
      </w:r>
      <w:r w:rsidR="00AD411D" w:rsidRPr="003F3B94">
        <w:rPr>
          <w:rFonts w:hint="cs"/>
          <w:sz w:val="28"/>
          <w:rtl/>
          <w:lang w:bidi="ar-SY"/>
        </w:rPr>
        <w:t xml:space="preserve"> وإلا فإن الأئمة لم يخترعوا شريعة في مقابل شريعة سيد المرسلين </w:t>
      </w:r>
      <w:r w:rsidR="00E030F6" w:rsidRPr="003F3B94">
        <w:rPr>
          <w:rFonts w:hint="cs"/>
          <w:sz w:val="28"/>
          <w:rtl/>
          <w:lang w:bidi="ar-SY"/>
        </w:rPr>
        <w:t xml:space="preserve">ولم يقولوا بأي حكم سوى </w:t>
      </w:r>
      <w:r w:rsidR="00FE6D84" w:rsidRPr="003F3B94">
        <w:rPr>
          <w:rFonts w:hint="cs"/>
          <w:sz w:val="28"/>
          <w:rtl/>
          <w:lang w:bidi="ar-SY"/>
        </w:rPr>
        <w:t xml:space="preserve">ما بيّنه </w:t>
      </w:r>
      <w:r w:rsidR="00E030F6" w:rsidRPr="003F3B94">
        <w:rPr>
          <w:rFonts w:hint="cs"/>
          <w:sz w:val="28"/>
          <w:rtl/>
          <w:lang w:bidi="ar-SY"/>
        </w:rPr>
        <w:t>القرآن المجيد وسنة الرسول</w:t>
      </w:r>
      <w:r w:rsidR="00147857" w:rsidRPr="003F3B94">
        <w:rPr>
          <w:rFonts w:hint="cs"/>
          <w:sz w:val="28"/>
          <w:rtl/>
          <w:lang w:bidi="ar-SY"/>
        </w:rPr>
        <w:t xml:space="preserve"> </w:t>
      </w:r>
      <w:r w:rsidR="003C7AEB" w:rsidRPr="003C7AEB">
        <w:rPr>
          <w:rFonts w:cs="CTraditional Arabic" w:hint="cs"/>
          <w:sz w:val="28"/>
          <w:rtl/>
          <w:lang w:bidi="ar-SY"/>
        </w:rPr>
        <w:t>ص</w:t>
      </w:r>
      <w:r w:rsidR="00147857" w:rsidRPr="003F3B94">
        <w:rPr>
          <w:rFonts w:hint="cs"/>
          <w:sz w:val="28"/>
          <w:rtl/>
          <w:lang w:bidi="ar-SY"/>
        </w:rPr>
        <w:t xml:space="preserve"> </w:t>
      </w:r>
      <w:r w:rsidR="006C4991" w:rsidRPr="003F3B94">
        <w:rPr>
          <w:rFonts w:hint="cs"/>
          <w:sz w:val="28"/>
          <w:rtl/>
          <w:lang w:bidi="ar-SY"/>
        </w:rPr>
        <w:t xml:space="preserve">ونسبة مثل هذا الأمر والعياذ بالله إلى </w:t>
      </w:r>
      <w:r w:rsidR="00401DB4" w:rsidRPr="003F3B94">
        <w:rPr>
          <w:rFonts w:hint="cs"/>
          <w:sz w:val="28"/>
          <w:rtl/>
          <w:lang w:bidi="ar-SY"/>
        </w:rPr>
        <w:t>الأئمة</w:t>
      </w:r>
      <w:r w:rsidR="006C4991" w:rsidRPr="003F3B94">
        <w:rPr>
          <w:rFonts w:hint="cs"/>
          <w:sz w:val="28"/>
          <w:rtl/>
          <w:lang w:bidi="ar-SY"/>
        </w:rPr>
        <w:t xml:space="preserve"> الكرام أسوأ ألف مرة من قتلهم بالسيف والسنان </w:t>
      </w:r>
      <w:r w:rsidR="00321930" w:rsidRPr="003F3B94">
        <w:rPr>
          <w:rFonts w:hint="cs"/>
          <w:sz w:val="28"/>
          <w:rtl/>
          <w:lang w:bidi="ar-SY"/>
        </w:rPr>
        <w:t>لأنه في مثل هذه الصورة يجب اعتبارهم مد</w:t>
      </w:r>
      <w:r w:rsidR="00401DB4" w:rsidRPr="003F3B94">
        <w:rPr>
          <w:rFonts w:hint="cs"/>
          <w:sz w:val="28"/>
          <w:rtl/>
          <w:lang w:bidi="ar-SY"/>
        </w:rPr>
        <w:t>ّ</w:t>
      </w:r>
      <w:r w:rsidR="00321930" w:rsidRPr="003F3B94">
        <w:rPr>
          <w:rFonts w:hint="cs"/>
          <w:sz w:val="28"/>
          <w:rtl/>
          <w:lang w:bidi="ar-SY"/>
        </w:rPr>
        <w:t xml:space="preserve">عين </w:t>
      </w:r>
      <w:r w:rsidR="00401DB4" w:rsidRPr="003F3B94">
        <w:rPr>
          <w:rFonts w:hint="cs"/>
          <w:sz w:val="28"/>
          <w:rtl/>
          <w:lang w:bidi="ar-SY"/>
        </w:rPr>
        <w:t>لنبوة جديدة</w:t>
      </w:r>
      <w:r w:rsidR="00321930" w:rsidRPr="003F3B94">
        <w:rPr>
          <w:rFonts w:hint="cs"/>
          <w:sz w:val="28"/>
          <w:rtl/>
          <w:lang w:bidi="ar-SY"/>
        </w:rPr>
        <w:t xml:space="preserve"> بعد خاتم الأنبياء والعياذ بالله أو محرفين لكتاب الله ومثل هذه العقيدة والقول كفر صريح</w:t>
      </w:r>
      <w:r w:rsidR="00217AB4" w:rsidRPr="003F3B94">
        <w:rPr>
          <w:rFonts w:hint="cs"/>
          <w:sz w:val="28"/>
          <w:rtl/>
          <w:lang w:bidi="ar-SY"/>
        </w:rPr>
        <w:t>.</w:t>
      </w:r>
      <w:r w:rsidR="00321930" w:rsidRPr="003F3B94">
        <w:rPr>
          <w:rFonts w:hint="cs"/>
          <w:sz w:val="28"/>
          <w:rtl/>
          <w:lang w:bidi="ar-SY"/>
        </w:rPr>
        <w:t xml:space="preserve"> </w:t>
      </w:r>
    </w:p>
    <w:p w:rsidR="00321930" w:rsidRPr="003F3B94" w:rsidRDefault="00464EA3" w:rsidP="003F3B94">
      <w:pPr>
        <w:pStyle w:val="a0"/>
        <w:rPr>
          <w:rFonts w:hint="cs"/>
          <w:rtl/>
          <w:lang w:bidi="ar-SY"/>
        </w:rPr>
      </w:pPr>
      <w:r w:rsidRPr="003F3B94">
        <w:rPr>
          <w:rFonts w:hint="cs"/>
          <w:sz w:val="28"/>
          <w:rtl/>
          <w:lang w:bidi="ar-SY"/>
        </w:rPr>
        <w:t xml:space="preserve">إذا كان </w:t>
      </w:r>
      <w:r w:rsidR="00150B71" w:rsidRPr="003F3B94">
        <w:rPr>
          <w:rFonts w:hint="cs"/>
          <w:sz w:val="28"/>
          <w:rtl/>
          <w:lang w:bidi="ar-SY"/>
        </w:rPr>
        <w:t>أساس الدين كتاب الله وسنة رسول الله</w:t>
      </w:r>
      <w:r w:rsidR="00147857" w:rsidRPr="003F3B94">
        <w:rPr>
          <w:rFonts w:hint="cs"/>
          <w:sz w:val="28"/>
          <w:rtl/>
          <w:lang w:bidi="ar-SY"/>
        </w:rPr>
        <w:t xml:space="preserve"> </w:t>
      </w:r>
      <w:r w:rsidR="003C7AEB" w:rsidRPr="003C7AEB">
        <w:rPr>
          <w:rFonts w:cs="CTraditional Arabic" w:hint="cs"/>
          <w:sz w:val="28"/>
          <w:rtl/>
          <w:lang w:bidi="ar-SY"/>
        </w:rPr>
        <w:t>ص</w:t>
      </w:r>
      <w:r w:rsidR="00147857" w:rsidRPr="003F3B94">
        <w:rPr>
          <w:rFonts w:hint="cs"/>
          <w:sz w:val="28"/>
          <w:rtl/>
          <w:lang w:bidi="ar-SY"/>
        </w:rPr>
        <w:t xml:space="preserve"> </w:t>
      </w:r>
      <w:r w:rsidR="00150B71" w:rsidRPr="003F3B94">
        <w:rPr>
          <w:rFonts w:hint="cs"/>
          <w:sz w:val="28"/>
          <w:rtl/>
          <w:lang w:bidi="ar-SY"/>
        </w:rPr>
        <w:t xml:space="preserve">فإن كتاب الله وسنة رسول الله لا يعرفان شيئاً </w:t>
      </w:r>
      <w:r w:rsidR="00401DB4" w:rsidRPr="003F3B94">
        <w:rPr>
          <w:rFonts w:hint="cs"/>
          <w:sz w:val="28"/>
          <w:rtl/>
          <w:lang w:bidi="ar-SY"/>
        </w:rPr>
        <w:t xml:space="preserve">من </w:t>
      </w:r>
      <w:r w:rsidR="00150B71" w:rsidRPr="003F3B94">
        <w:rPr>
          <w:rFonts w:hint="cs"/>
          <w:sz w:val="28"/>
          <w:rtl/>
          <w:lang w:bidi="ar-SY"/>
        </w:rPr>
        <w:t xml:space="preserve">مثل هذا الخمس </w:t>
      </w:r>
      <w:r w:rsidR="00F74433" w:rsidRPr="003F3B94">
        <w:rPr>
          <w:rFonts w:hint="cs"/>
          <w:sz w:val="28"/>
          <w:rtl/>
          <w:lang w:bidi="ar-SY"/>
        </w:rPr>
        <w:t xml:space="preserve">الذي يتكلمون عنه </w:t>
      </w:r>
      <w:r w:rsidR="00036042" w:rsidRPr="003F3B94">
        <w:rPr>
          <w:rFonts w:hint="cs"/>
          <w:sz w:val="28"/>
          <w:rtl/>
          <w:lang w:bidi="ar-SY"/>
        </w:rPr>
        <w:t>وإلا فإن طريق الضلال واسعٌ</w:t>
      </w:r>
      <w:r w:rsidR="00217AB4" w:rsidRPr="003F3B94">
        <w:rPr>
          <w:rFonts w:hint="cs"/>
          <w:sz w:val="28"/>
          <w:rtl/>
          <w:lang w:bidi="ar-SY"/>
        </w:rPr>
        <w:t>!</w:t>
      </w:r>
    </w:p>
    <w:p w:rsidR="00795504" w:rsidRPr="003F3B94" w:rsidRDefault="00036042" w:rsidP="008E6B97">
      <w:pPr>
        <w:pStyle w:val="a0"/>
        <w:rPr>
          <w:rFonts w:hint="cs"/>
          <w:rtl/>
          <w:lang w:bidi="ar-SY"/>
        </w:rPr>
      </w:pPr>
      <w:r w:rsidRPr="003F3B94">
        <w:rPr>
          <w:rFonts w:hint="cs"/>
          <w:sz w:val="28"/>
          <w:rtl/>
          <w:lang w:bidi="ar-SY"/>
        </w:rPr>
        <w:t xml:space="preserve">ومن عجائب الأمور </w:t>
      </w:r>
      <w:r w:rsidR="00E87818" w:rsidRPr="003F3B94">
        <w:rPr>
          <w:rFonts w:hint="cs"/>
          <w:sz w:val="28"/>
          <w:rtl/>
          <w:lang w:bidi="ar-SY"/>
        </w:rPr>
        <w:t>أنه عندما قمت بإظهار هذه الحقيقة في إحدى مدن إيران الكبيرة احتج</w:t>
      </w:r>
      <w:r w:rsidR="00F13110" w:rsidRPr="003F3B94">
        <w:rPr>
          <w:rFonts w:hint="cs"/>
          <w:sz w:val="28"/>
          <w:rtl/>
          <w:lang w:bidi="ar-SY"/>
        </w:rPr>
        <w:t>َّ</w:t>
      </w:r>
      <w:r w:rsidR="00E87818" w:rsidRPr="003F3B94">
        <w:rPr>
          <w:rFonts w:hint="cs"/>
          <w:sz w:val="28"/>
          <w:rtl/>
          <w:lang w:bidi="ar-SY"/>
        </w:rPr>
        <w:t xml:space="preserve"> أحد علماء هذه الديار </w:t>
      </w:r>
      <w:r w:rsidR="00A33608" w:rsidRPr="003F3B94">
        <w:rPr>
          <w:rFonts w:hint="cs"/>
          <w:sz w:val="28"/>
          <w:rtl/>
          <w:lang w:bidi="ar-SY"/>
        </w:rPr>
        <w:t xml:space="preserve">ممن يرتدي العمامة </w:t>
      </w:r>
      <w:r w:rsidR="001A46DC" w:rsidRPr="003F3B94">
        <w:rPr>
          <w:rFonts w:hint="cs"/>
          <w:sz w:val="28"/>
          <w:rtl/>
          <w:lang w:bidi="ar-SY"/>
        </w:rPr>
        <w:t xml:space="preserve">والعباءة </w:t>
      </w:r>
      <w:r w:rsidR="009D3797" w:rsidRPr="003F3B94">
        <w:rPr>
          <w:rFonts w:hint="cs"/>
          <w:sz w:val="28"/>
          <w:rtl/>
          <w:lang w:bidi="ar-SY"/>
        </w:rPr>
        <w:t>وله أصحاب وأنصار بأنه إذا كان رسول</w:t>
      </w:r>
      <w:r w:rsidR="008E6B97">
        <w:rPr>
          <w:rFonts w:cs="Times New Roman" w:hint="cs"/>
          <w:sz w:val="28"/>
          <w:rtl/>
          <w:lang w:bidi="ar-SY"/>
        </w:rPr>
        <w:t>‌</w:t>
      </w:r>
      <w:r w:rsidR="009D3797" w:rsidRPr="003F3B94">
        <w:rPr>
          <w:rFonts w:hint="cs"/>
          <w:sz w:val="28"/>
          <w:rtl/>
          <w:lang w:bidi="ar-SY"/>
        </w:rPr>
        <w:t>الله</w:t>
      </w:r>
      <w:r w:rsidR="003C7AEB" w:rsidRPr="003C7AEB">
        <w:rPr>
          <w:rFonts w:cs="CTraditional Arabic" w:hint="cs"/>
          <w:sz w:val="28"/>
          <w:rtl/>
          <w:lang w:bidi="ar-SY"/>
        </w:rPr>
        <w:t>ص</w:t>
      </w:r>
      <w:r w:rsidR="00147857" w:rsidRPr="003F3B94">
        <w:rPr>
          <w:rFonts w:hint="cs"/>
          <w:sz w:val="28"/>
          <w:rtl/>
          <w:lang w:bidi="ar-SY"/>
        </w:rPr>
        <w:t xml:space="preserve"> </w:t>
      </w:r>
      <w:r w:rsidR="009D3797" w:rsidRPr="003F3B94">
        <w:rPr>
          <w:rFonts w:hint="cs"/>
          <w:sz w:val="28"/>
          <w:rtl/>
          <w:lang w:bidi="ar-SY"/>
        </w:rPr>
        <w:t>لم يأخذ من المسلمين في زمنه خمس أرباح المكاسب فعل</w:t>
      </w:r>
      <w:r w:rsidR="00F13110" w:rsidRPr="003F3B94">
        <w:rPr>
          <w:rFonts w:hint="cs"/>
          <w:sz w:val="28"/>
          <w:rtl/>
          <w:lang w:bidi="ar-SY"/>
        </w:rPr>
        <w:t>َّ</w:t>
      </w:r>
      <w:r w:rsidR="009D3797" w:rsidRPr="003F3B94">
        <w:rPr>
          <w:rFonts w:hint="cs"/>
          <w:sz w:val="28"/>
          <w:rtl/>
          <w:lang w:bidi="ar-SY"/>
        </w:rPr>
        <w:t>ة ذلك أن</w:t>
      </w:r>
      <w:r w:rsidR="00F13110" w:rsidRPr="003F3B94">
        <w:rPr>
          <w:rFonts w:hint="cs"/>
          <w:sz w:val="28"/>
          <w:rtl/>
          <w:lang w:bidi="ar-SY"/>
        </w:rPr>
        <w:t>َّ</w:t>
      </w:r>
      <w:r w:rsidR="009D3797" w:rsidRPr="003F3B94">
        <w:rPr>
          <w:rFonts w:hint="cs"/>
          <w:sz w:val="28"/>
          <w:rtl/>
          <w:lang w:bidi="ar-SY"/>
        </w:rPr>
        <w:t xml:space="preserve"> المسلمين كانوا </w:t>
      </w:r>
      <w:r w:rsidR="00401DB4" w:rsidRPr="003F3B94">
        <w:rPr>
          <w:rFonts w:hint="cs"/>
          <w:sz w:val="28"/>
          <w:rtl/>
          <w:lang w:bidi="ar-SY"/>
        </w:rPr>
        <w:t xml:space="preserve">حينها </w:t>
      </w:r>
      <w:r w:rsidR="009D3797" w:rsidRPr="003F3B94">
        <w:rPr>
          <w:rFonts w:hint="cs"/>
          <w:sz w:val="28"/>
          <w:rtl/>
          <w:lang w:bidi="ar-SY"/>
        </w:rPr>
        <w:t>في غاية الفقر والحرمان ولذلك لم يكن بينهم أي شخص يشمله حكم وجوب أداء الخمس</w:t>
      </w:r>
      <w:r w:rsidR="00217AB4" w:rsidRPr="003F3B94">
        <w:rPr>
          <w:rFonts w:hint="cs"/>
          <w:sz w:val="28"/>
          <w:rtl/>
          <w:lang w:bidi="ar-SY"/>
        </w:rPr>
        <w:t>!</w:t>
      </w:r>
      <w:r w:rsidR="009D3797" w:rsidRPr="003F3B94">
        <w:rPr>
          <w:rFonts w:hint="cs"/>
          <w:sz w:val="28"/>
          <w:rtl/>
          <w:lang w:bidi="ar-SY"/>
        </w:rPr>
        <w:t xml:space="preserve"> </w:t>
      </w:r>
    </w:p>
    <w:p w:rsidR="0040630F" w:rsidRPr="003F3B94" w:rsidRDefault="009D3797" w:rsidP="003F3B94">
      <w:pPr>
        <w:pStyle w:val="a0"/>
        <w:rPr>
          <w:rFonts w:hint="cs"/>
          <w:rtl/>
          <w:lang w:bidi="ar-SY"/>
        </w:rPr>
      </w:pPr>
      <w:r w:rsidRPr="003F3B94">
        <w:rPr>
          <w:rFonts w:hint="cs"/>
          <w:sz w:val="28"/>
          <w:rtl/>
          <w:lang w:bidi="ar-SY"/>
        </w:rPr>
        <w:t xml:space="preserve">وهذا القول أشبه بالهذيان </w:t>
      </w:r>
      <w:r w:rsidR="0085334F" w:rsidRPr="003F3B94">
        <w:rPr>
          <w:rFonts w:hint="cs"/>
          <w:sz w:val="28"/>
          <w:rtl/>
          <w:lang w:bidi="ar-SY"/>
        </w:rPr>
        <w:t>منه بالبرهان</w:t>
      </w:r>
      <w:r w:rsidR="00217AB4" w:rsidRPr="003F3B94">
        <w:rPr>
          <w:rFonts w:hint="cs"/>
          <w:sz w:val="28"/>
          <w:rtl/>
          <w:lang w:bidi="ar-SY"/>
        </w:rPr>
        <w:t>،</w:t>
      </w:r>
      <w:r w:rsidR="0085334F" w:rsidRPr="003F3B94">
        <w:rPr>
          <w:rFonts w:hint="cs"/>
          <w:sz w:val="28"/>
          <w:rtl/>
          <w:lang w:bidi="ar-SY"/>
        </w:rPr>
        <w:t xml:space="preserve"> والتفو</w:t>
      </w:r>
      <w:r w:rsidR="00401DB4" w:rsidRPr="003F3B94">
        <w:rPr>
          <w:rFonts w:hint="cs"/>
          <w:sz w:val="28"/>
          <w:rtl/>
          <w:lang w:bidi="ar-SY"/>
        </w:rPr>
        <w:t>ُّ</w:t>
      </w:r>
      <w:r w:rsidR="0085334F" w:rsidRPr="003F3B94">
        <w:rPr>
          <w:rFonts w:hint="cs"/>
          <w:sz w:val="28"/>
          <w:rtl/>
          <w:lang w:bidi="ar-SY"/>
        </w:rPr>
        <w:t>ه به من قبل شخص عالمٍ يتطل</w:t>
      </w:r>
      <w:r w:rsidR="00401DB4" w:rsidRPr="003F3B94">
        <w:rPr>
          <w:rFonts w:hint="cs"/>
          <w:sz w:val="28"/>
          <w:rtl/>
          <w:lang w:bidi="ar-SY"/>
        </w:rPr>
        <w:t>َّ</w:t>
      </w:r>
      <w:r w:rsidR="0085334F" w:rsidRPr="003F3B94">
        <w:rPr>
          <w:rFonts w:hint="cs"/>
          <w:sz w:val="28"/>
          <w:rtl/>
          <w:lang w:bidi="ar-SY"/>
        </w:rPr>
        <w:t>ب جرأة</w:t>
      </w:r>
      <w:r w:rsidR="00401DB4" w:rsidRPr="003F3B94">
        <w:rPr>
          <w:rFonts w:hint="cs"/>
          <w:sz w:val="28"/>
          <w:rtl/>
          <w:lang w:bidi="ar-SY"/>
        </w:rPr>
        <w:t>ً</w:t>
      </w:r>
      <w:r w:rsidR="0085334F" w:rsidRPr="003F3B94">
        <w:rPr>
          <w:rFonts w:hint="cs"/>
          <w:sz w:val="28"/>
          <w:rtl/>
          <w:lang w:bidi="ar-SY"/>
        </w:rPr>
        <w:t xml:space="preserve"> وجسارةً</w:t>
      </w:r>
      <w:r w:rsidR="00217AB4" w:rsidRPr="003F3B94">
        <w:rPr>
          <w:rFonts w:hint="cs"/>
          <w:sz w:val="28"/>
          <w:rtl/>
          <w:lang w:bidi="ar-SY"/>
        </w:rPr>
        <w:t>،</w:t>
      </w:r>
      <w:r w:rsidR="0085334F" w:rsidRPr="003F3B94">
        <w:rPr>
          <w:rFonts w:hint="cs"/>
          <w:sz w:val="28"/>
          <w:rtl/>
          <w:lang w:bidi="ar-SY"/>
        </w:rPr>
        <w:t xml:space="preserve"> </w:t>
      </w:r>
      <w:r w:rsidR="00401DB4" w:rsidRPr="003F3B94">
        <w:rPr>
          <w:rFonts w:hint="cs"/>
          <w:sz w:val="28"/>
          <w:rtl/>
          <w:lang w:bidi="ar-SY"/>
        </w:rPr>
        <w:t>ل</w:t>
      </w:r>
      <w:r w:rsidR="0085334F" w:rsidRPr="003F3B94">
        <w:rPr>
          <w:rFonts w:hint="cs"/>
          <w:sz w:val="28"/>
          <w:rtl/>
          <w:lang w:bidi="ar-SY"/>
        </w:rPr>
        <w:t>أن هذا الشخص يعلم تمام العلم بحكم القرآن وآياته الصريحة وسنة رسول الله المتواترة أن سيد الكائنات عظيم البركات</w:t>
      </w:r>
      <w:r w:rsidR="00147857" w:rsidRPr="003F3B94">
        <w:rPr>
          <w:rFonts w:hint="cs"/>
          <w:sz w:val="28"/>
          <w:rtl/>
          <w:lang w:bidi="ar-SY"/>
        </w:rPr>
        <w:t xml:space="preserve"> </w:t>
      </w:r>
      <w:r w:rsidR="003C7AEB" w:rsidRPr="003C7AEB">
        <w:rPr>
          <w:rFonts w:cs="CTraditional Arabic" w:hint="cs"/>
          <w:sz w:val="28"/>
          <w:rtl/>
          <w:lang w:bidi="ar-SY"/>
        </w:rPr>
        <w:t>ص</w:t>
      </w:r>
      <w:r w:rsidR="00147857" w:rsidRPr="003F3B94">
        <w:rPr>
          <w:rFonts w:hint="cs"/>
          <w:sz w:val="28"/>
          <w:rtl/>
          <w:lang w:bidi="ar-SY"/>
        </w:rPr>
        <w:t xml:space="preserve"> </w:t>
      </w:r>
      <w:r w:rsidR="0085334F" w:rsidRPr="003F3B94">
        <w:rPr>
          <w:rFonts w:hint="cs"/>
          <w:sz w:val="28"/>
          <w:rtl/>
          <w:lang w:bidi="ar-SY"/>
        </w:rPr>
        <w:t xml:space="preserve">كان يأخذ الزكاة والصدقات زمن حياته من المسلمين </w:t>
      </w:r>
      <w:r w:rsidR="00401DB4" w:rsidRPr="003F3B94">
        <w:rPr>
          <w:rFonts w:hint="cs"/>
          <w:sz w:val="28"/>
          <w:rtl/>
          <w:lang w:bidi="ar-SY"/>
        </w:rPr>
        <w:t>رغم أن للزكاة نصاب محدد فهي لا</w:t>
      </w:r>
      <w:r w:rsidR="00401DB4" w:rsidRPr="003F3B94">
        <w:rPr>
          <w:rFonts w:cs="Times New Roman" w:hint="cs"/>
          <w:sz w:val="28"/>
          <w:rtl/>
          <w:lang w:bidi="ar-SY"/>
        </w:rPr>
        <w:t> </w:t>
      </w:r>
      <w:r w:rsidR="0085334F" w:rsidRPr="003F3B94">
        <w:rPr>
          <w:rFonts w:hint="cs"/>
          <w:sz w:val="28"/>
          <w:rtl/>
          <w:lang w:bidi="ar-SY"/>
        </w:rPr>
        <w:t>تشمل إلا أغنياء الأمة</w:t>
      </w:r>
      <w:r w:rsidR="00217AB4" w:rsidRPr="003F3B94">
        <w:rPr>
          <w:rFonts w:hint="cs"/>
          <w:sz w:val="28"/>
          <w:rtl/>
          <w:lang w:bidi="ar-SY"/>
        </w:rPr>
        <w:t>،</w:t>
      </w:r>
      <w:r w:rsidR="0085334F" w:rsidRPr="003F3B94">
        <w:rPr>
          <w:rFonts w:hint="cs"/>
          <w:sz w:val="28"/>
          <w:rtl/>
          <w:lang w:bidi="ar-SY"/>
        </w:rPr>
        <w:t xml:space="preserve"> </w:t>
      </w:r>
      <w:r w:rsidR="00A0058D" w:rsidRPr="003F3B94">
        <w:rPr>
          <w:rFonts w:hint="cs"/>
          <w:sz w:val="28"/>
          <w:rtl/>
          <w:lang w:bidi="ar-SY"/>
        </w:rPr>
        <w:t xml:space="preserve">فمثلاً لا بد أن يكون مقدار المحاصيل الزراعية زائداً عن قرابة طن من الغلة </w:t>
      </w:r>
      <w:r w:rsidR="00F82DC8" w:rsidRPr="003F3B94">
        <w:rPr>
          <w:rFonts w:hint="cs"/>
          <w:sz w:val="28"/>
          <w:rtl/>
          <w:lang w:bidi="ar-SY"/>
        </w:rPr>
        <w:t xml:space="preserve">حتى تجب على صاحبه الزكاة وكذلك من يملك أقل </w:t>
      </w:r>
      <w:r w:rsidR="00401DB4" w:rsidRPr="003F3B94">
        <w:rPr>
          <w:rFonts w:hint="cs"/>
          <w:sz w:val="28"/>
          <w:rtl/>
          <w:lang w:bidi="ar-SY"/>
        </w:rPr>
        <w:t xml:space="preserve">من </w:t>
      </w:r>
      <w:r w:rsidR="00F82DC8" w:rsidRPr="003F3B94">
        <w:rPr>
          <w:rFonts w:hint="cs"/>
          <w:sz w:val="28"/>
          <w:rtl/>
          <w:lang w:bidi="ar-SY"/>
        </w:rPr>
        <w:t xml:space="preserve">أربعين رأساً من الغنم لا تجب عليه الزكاة وكذلك من يملك أقل </w:t>
      </w:r>
      <w:r w:rsidR="00401DB4" w:rsidRPr="003F3B94">
        <w:rPr>
          <w:rFonts w:hint="cs"/>
          <w:sz w:val="28"/>
          <w:rtl/>
          <w:lang w:bidi="ar-SY"/>
        </w:rPr>
        <w:t xml:space="preserve">من </w:t>
      </w:r>
      <w:r w:rsidR="00F82DC8" w:rsidRPr="003F3B94">
        <w:rPr>
          <w:rFonts w:hint="cs"/>
          <w:sz w:val="28"/>
          <w:rtl/>
          <w:lang w:bidi="ar-SY"/>
        </w:rPr>
        <w:t>عشرين مثقالاً من الذهب المسكوك أ</w:t>
      </w:r>
      <w:r w:rsidR="00AD2E72" w:rsidRPr="003F3B94">
        <w:rPr>
          <w:rFonts w:hint="cs"/>
          <w:sz w:val="28"/>
          <w:rtl/>
          <w:lang w:bidi="ar-SY"/>
        </w:rPr>
        <w:t>و مائتي مثقال من ال</w:t>
      </w:r>
      <w:r w:rsidR="005227CB" w:rsidRPr="003F3B94">
        <w:rPr>
          <w:rFonts w:hint="cs"/>
          <w:sz w:val="28"/>
          <w:rtl/>
          <w:lang w:bidi="ar-SY"/>
        </w:rPr>
        <w:t>فضة المسكوكة لا تجب عليه زكاتها</w:t>
      </w:r>
      <w:r w:rsidR="00217AB4" w:rsidRPr="003F3B94">
        <w:rPr>
          <w:rFonts w:hint="cs"/>
          <w:sz w:val="28"/>
          <w:rtl/>
          <w:lang w:bidi="ar-SY"/>
        </w:rPr>
        <w:t>،</w:t>
      </w:r>
      <w:r w:rsidR="005227CB" w:rsidRPr="003F3B94">
        <w:rPr>
          <w:rFonts w:hint="cs"/>
          <w:sz w:val="28"/>
          <w:rtl/>
          <w:lang w:bidi="ar-SY"/>
        </w:rPr>
        <w:t xml:space="preserve"> </w:t>
      </w:r>
      <w:r w:rsidR="00401DB4" w:rsidRPr="003F3B94">
        <w:rPr>
          <w:rFonts w:hint="cs"/>
          <w:sz w:val="28"/>
          <w:rtl/>
          <w:lang w:bidi="ar-SY"/>
        </w:rPr>
        <w:t xml:space="preserve">وهذا كله </w:t>
      </w:r>
      <w:r w:rsidR="005227CB" w:rsidRPr="003F3B94">
        <w:rPr>
          <w:rFonts w:hint="cs"/>
          <w:sz w:val="28"/>
          <w:rtl/>
          <w:lang w:bidi="ar-SY"/>
        </w:rPr>
        <w:t>بعد مضي الحول</w:t>
      </w:r>
      <w:r w:rsidR="00217AB4" w:rsidRPr="003F3B94">
        <w:rPr>
          <w:rFonts w:hint="cs"/>
          <w:sz w:val="28"/>
          <w:rtl/>
          <w:lang w:bidi="ar-SY"/>
        </w:rPr>
        <w:t>.</w:t>
      </w:r>
      <w:r w:rsidR="005227CB" w:rsidRPr="003F3B94">
        <w:rPr>
          <w:rFonts w:hint="cs"/>
          <w:sz w:val="28"/>
          <w:rtl/>
          <w:lang w:bidi="ar-SY"/>
        </w:rPr>
        <w:t xml:space="preserve"> هذا في حين أن الخمس الذي يتكلمون عنه </w:t>
      </w:r>
      <w:r w:rsidR="009D7502" w:rsidRPr="003F3B94">
        <w:rPr>
          <w:rFonts w:hint="cs"/>
          <w:sz w:val="28"/>
          <w:rtl/>
          <w:lang w:bidi="ar-SY"/>
        </w:rPr>
        <w:t xml:space="preserve">يشمل كل حمال وبقالٍ وجامع حطب وامرأة تغزل الخيوط على نولها </w:t>
      </w:r>
      <w:r w:rsidR="002F5FDB" w:rsidRPr="003F3B94">
        <w:rPr>
          <w:rFonts w:hint="cs"/>
          <w:sz w:val="28"/>
          <w:rtl/>
          <w:lang w:bidi="ar-SY"/>
        </w:rPr>
        <w:t xml:space="preserve">ولو كان ما يزيد على مصروفها اليومي نصف ريال فقط ولا يشترط فيه مضي الحول بل يجب أداء الخمس بمجرد </w:t>
      </w:r>
      <w:r w:rsidR="00AA4A18" w:rsidRPr="003F3B94">
        <w:rPr>
          <w:rFonts w:hint="cs"/>
          <w:sz w:val="28"/>
          <w:rtl/>
          <w:lang w:bidi="ar-SY"/>
        </w:rPr>
        <w:t xml:space="preserve">الحصول على </w:t>
      </w:r>
      <w:r w:rsidR="006650FB" w:rsidRPr="003F3B94">
        <w:rPr>
          <w:rFonts w:hint="cs"/>
          <w:sz w:val="28"/>
          <w:rtl/>
          <w:lang w:bidi="ar-SY"/>
        </w:rPr>
        <w:t xml:space="preserve">نصف </w:t>
      </w:r>
      <w:r w:rsidR="00401DB4" w:rsidRPr="003F3B94">
        <w:rPr>
          <w:rFonts w:hint="cs"/>
          <w:sz w:val="28"/>
          <w:rtl/>
          <w:lang w:bidi="ar-SY"/>
        </w:rPr>
        <w:t>ال</w:t>
      </w:r>
      <w:r w:rsidR="006650FB" w:rsidRPr="003F3B94">
        <w:rPr>
          <w:rFonts w:hint="cs"/>
          <w:sz w:val="28"/>
          <w:rtl/>
          <w:lang w:bidi="ar-SY"/>
        </w:rPr>
        <w:t>ريال الفائض عن الحاجة</w:t>
      </w:r>
      <w:r w:rsidR="00217AB4" w:rsidRPr="003F3B94">
        <w:rPr>
          <w:rFonts w:hint="cs"/>
          <w:sz w:val="28"/>
          <w:rtl/>
          <w:lang w:bidi="ar-SY"/>
        </w:rPr>
        <w:t>،</w:t>
      </w:r>
      <w:r w:rsidR="006650FB" w:rsidRPr="003F3B94">
        <w:rPr>
          <w:rFonts w:hint="cs"/>
          <w:sz w:val="28"/>
          <w:rtl/>
          <w:lang w:bidi="ar-SY"/>
        </w:rPr>
        <w:t xml:space="preserve"> غاية ما في الأمر أنه يحق لمالكه أن يدفعه بعد المؤونة</w:t>
      </w:r>
      <w:r w:rsidR="00217AB4" w:rsidRPr="003F3B94">
        <w:rPr>
          <w:rFonts w:hint="cs"/>
          <w:sz w:val="28"/>
          <w:rtl/>
          <w:lang w:bidi="ar-SY"/>
        </w:rPr>
        <w:t>.</w:t>
      </w:r>
      <w:r w:rsidR="00401DB4" w:rsidRPr="003F3B94">
        <w:rPr>
          <w:rFonts w:hint="cs"/>
          <w:sz w:val="28"/>
          <w:rtl/>
          <w:lang w:bidi="ar-SY"/>
        </w:rPr>
        <w:t xml:space="preserve"> </w:t>
      </w:r>
      <w:r w:rsidR="006650FB" w:rsidRPr="003F3B94">
        <w:rPr>
          <w:rFonts w:hint="cs"/>
          <w:sz w:val="28"/>
          <w:rtl/>
          <w:lang w:bidi="ar-SY"/>
        </w:rPr>
        <w:t>فهل أولئك المسلمين الذين كانت تشملهم الزكاة زمن النبي</w:t>
      </w:r>
      <w:r w:rsidR="00147857" w:rsidRPr="003F3B94">
        <w:rPr>
          <w:rFonts w:hint="cs"/>
          <w:sz w:val="28"/>
          <w:rtl/>
          <w:lang w:bidi="ar-SY"/>
        </w:rPr>
        <w:t xml:space="preserve"> </w:t>
      </w:r>
      <w:r w:rsidR="003C7AEB" w:rsidRPr="003C7AEB">
        <w:rPr>
          <w:rFonts w:cs="CTraditional Arabic" w:hint="cs"/>
          <w:sz w:val="28"/>
          <w:rtl/>
          <w:lang w:bidi="ar-SY"/>
        </w:rPr>
        <w:t>ص</w:t>
      </w:r>
      <w:r w:rsidR="00147857" w:rsidRPr="003F3B94">
        <w:rPr>
          <w:rFonts w:hint="cs"/>
          <w:sz w:val="28"/>
          <w:rtl/>
          <w:lang w:bidi="ar-SY"/>
        </w:rPr>
        <w:t xml:space="preserve"> </w:t>
      </w:r>
      <w:r w:rsidR="006650FB" w:rsidRPr="003F3B94">
        <w:rPr>
          <w:rFonts w:hint="cs"/>
          <w:sz w:val="28"/>
          <w:rtl/>
          <w:lang w:bidi="ar-SY"/>
        </w:rPr>
        <w:t>لم يكن منهم شخصٌ واحد</w:t>
      </w:r>
      <w:r w:rsidR="00B92B59" w:rsidRPr="003F3B94">
        <w:rPr>
          <w:rFonts w:hint="cs"/>
          <w:sz w:val="28"/>
          <w:rtl/>
          <w:lang w:bidi="ar-SY"/>
        </w:rPr>
        <w:t>ٌ</w:t>
      </w:r>
      <w:r w:rsidR="006650FB" w:rsidRPr="003F3B94">
        <w:rPr>
          <w:rFonts w:hint="cs"/>
          <w:sz w:val="28"/>
          <w:rtl/>
          <w:lang w:bidi="ar-SY"/>
        </w:rPr>
        <w:t xml:space="preserve"> يشمله مثل هذا الخمس الذي يتحدثون عنه</w:t>
      </w:r>
      <w:r w:rsidR="00217AB4" w:rsidRPr="003F3B94">
        <w:rPr>
          <w:rFonts w:hint="cs"/>
          <w:sz w:val="28"/>
          <w:rtl/>
          <w:lang w:bidi="ar-SY"/>
        </w:rPr>
        <w:t>؟!</w:t>
      </w:r>
      <w:r w:rsidR="006650FB" w:rsidRPr="003F3B94">
        <w:rPr>
          <w:rFonts w:hint="cs"/>
          <w:sz w:val="28"/>
          <w:rtl/>
          <w:lang w:bidi="ar-SY"/>
        </w:rPr>
        <w:t xml:space="preserve"> </w:t>
      </w:r>
      <w:r w:rsidR="00965192" w:rsidRPr="003F3B94">
        <w:rPr>
          <w:rFonts w:hint="cs"/>
          <w:sz w:val="28"/>
          <w:rtl/>
          <w:lang w:bidi="ar-SY"/>
        </w:rPr>
        <w:t>أجل هذه هي حج</w:t>
      </w:r>
      <w:r w:rsidR="00F13110" w:rsidRPr="003F3B94">
        <w:rPr>
          <w:rFonts w:hint="cs"/>
          <w:sz w:val="28"/>
          <w:rtl/>
          <w:lang w:bidi="ar-SY"/>
        </w:rPr>
        <w:t>ّ</w:t>
      </w:r>
      <w:r w:rsidR="00965192" w:rsidRPr="003F3B94">
        <w:rPr>
          <w:rFonts w:hint="cs"/>
          <w:sz w:val="28"/>
          <w:rtl/>
          <w:lang w:bidi="ar-SY"/>
        </w:rPr>
        <w:t xml:space="preserve">ة أولئك الذين يهربون من الحق </w:t>
      </w:r>
      <w:r w:rsidR="0090607B" w:rsidRPr="003F3B94">
        <w:rPr>
          <w:rFonts w:hint="cs"/>
          <w:sz w:val="28"/>
          <w:rtl/>
          <w:lang w:bidi="ar-SY"/>
        </w:rPr>
        <w:t xml:space="preserve">ويضطرون للتوسل بمثل </w:t>
      </w:r>
      <w:r w:rsidR="00401DB4" w:rsidRPr="003F3B94">
        <w:rPr>
          <w:rFonts w:hint="cs"/>
          <w:sz w:val="28"/>
          <w:rtl/>
          <w:lang w:bidi="ar-SY"/>
        </w:rPr>
        <w:t>هذا</w:t>
      </w:r>
      <w:r w:rsidR="0090607B" w:rsidRPr="003F3B94">
        <w:rPr>
          <w:rFonts w:hint="cs"/>
          <w:sz w:val="28"/>
          <w:rtl/>
          <w:lang w:bidi="ar-SY"/>
        </w:rPr>
        <w:t xml:space="preserve"> الهذيان</w:t>
      </w:r>
      <w:r w:rsidR="00217AB4" w:rsidRPr="003F3B94">
        <w:rPr>
          <w:rFonts w:hint="cs"/>
          <w:sz w:val="28"/>
          <w:rtl/>
          <w:lang w:bidi="ar-SY"/>
        </w:rPr>
        <w:t>.</w:t>
      </w:r>
    </w:p>
    <w:p w:rsidR="0040630F" w:rsidRPr="003F3B94" w:rsidRDefault="0090607B" w:rsidP="003F3B94">
      <w:pPr>
        <w:pStyle w:val="a0"/>
        <w:rPr>
          <w:rFonts w:hint="cs"/>
          <w:rtl/>
          <w:lang w:bidi="ar-SY"/>
        </w:rPr>
      </w:pPr>
      <w:r w:rsidRPr="003F3B94">
        <w:rPr>
          <w:rFonts w:hint="cs"/>
          <w:sz w:val="28"/>
          <w:rtl/>
          <w:lang w:bidi="ar-SY"/>
        </w:rPr>
        <w:t>نسأل الله تعالى أن ينقذ الإسلام من تلك المفتريات</w:t>
      </w:r>
      <w:r w:rsidR="00217AB4" w:rsidRPr="003F3B94">
        <w:rPr>
          <w:rFonts w:hint="cs"/>
          <w:sz w:val="28"/>
          <w:rtl/>
          <w:lang w:bidi="ar-SY"/>
        </w:rPr>
        <w:t>.</w:t>
      </w:r>
      <w:r w:rsidR="0040630F" w:rsidRPr="003F3B94">
        <w:rPr>
          <w:rFonts w:hint="cs"/>
          <w:sz w:val="28"/>
          <w:rtl/>
          <w:lang w:bidi="ar-SY"/>
        </w:rPr>
        <w:t xml:space="preserve"> </w:t>
      </w:r>
      <w:r w:rsidR="00654478" w:rsidRPr="003F3B94">
        <w:rPr>
          <w:rFonts w:hint="cs"/>
          <w:sz w:val="28"/>
          <w:rtl/>
          <w:lang w:bidi="ar-SY"/>
        </w:rPr>
        <w:t>وآمل أن ت</w:t>
      </w:r>
      <w:r w:rsidR="009D74CD" w:rsidRPr="003F3B94">
        <w:rPr>
          <w:rFonts w:hint="cs"/>
          <w:sz w:val="28"/>
          <w:rtl/>
          <w:lang w:bidi="ar-SY"/>
        </w:rPr>
        <w:t>ُ</w:t>
      </w:r>
      <w:r w:rsidR="00654478" w:rsidRPr="003F3B94">
        <w:rPr>
          <w:rFonts w:hint="cs"/>
          <w:sz w:val="28"/>
          <w:rtl/>
          <w:lang w:bidi="ar-SY"/>
        </w:rPr>
        <w:t>ظهر</w:t>
      </w:r>
      <w:r w:rsidR="009D74CD" w:rsidRPr="003F3B94">
        <w:rPr>
          <w:rFonts w:hint="cs"/>
          <w:sz w:val="28"/>
          <w:rtl/>
          <w:lang w:bidi="ar-SY"/>
        </w:rPr>
        <w:t>َ</w:t>
      </w:r>
      <w:r w:rsidR="00654478" w:rsidRPr="003F3B94">
        <w:rPr>
          <w:rFonts w:hint="cs"/>
          <w:sz w:val="28"/>
          <w:rtl/>
          <w:lang w:bidi="ar-SY"/>
        </w:rPr>
        <w:t xml:space="preserve"> </w:t>
      </w:r>
      <w:r w:rsidR="009D74CD" w:rsidRPr="003F3B94">
        <w:rPr>
          <w:rFonts w:hint="cs"/>
          <w:sz w:val="28"/>
          <w:rtl/>
          <w:lang w:bidi="ar-SY"/>
        </w:rPr>
        <w:t xml:space="preserve">مطالعة هذا الكتاب </w:t>
      </w:r>
      <w:r w:rsidR="00654478" w:rsidRPr="003F3B94">
        <w:rPr>
          <w:rFonts w:hint="cs"/>
          <w:sz w:val="28"/>
          <w:rtl/>
          <w:lang w:bidi="ar-SY"/>
        </w:rPr>
        <w:t>الح</w:t>
      </w:r>
      <w:r w:rsidR="009D74CD" w:rsidRPr="003F3B94">
        <w:rPr>
          <w:rFonts w:hint="cs"/>
          <w:sz w:val="28"/>
          <w:rtl/>
          <w:lang w:bidi="ar-SY"/>
        </w:rPr>
        <w:t>قيقة كما هي لأنظار أولي الألباب</w:t>
      </w:r>
      <w:r w:rsidR="00217AB4" w:rsidRPr="003F3B94">
        <w:rPr>
          <w:rFonts w:hint="cs"/>
          <w:sz w:val="28"/>
          <w:rtl/>
          <w:lang w:bidi="ar-SY"/>
        </w:rPr>
        <w:t>.</w:t>
      </w:r>
      <w:r w:rsidR="0040630F" w:rsidRPr="003F3B94">
        <w:rPr>
          <w:rFonts w:hint="cs"/>
          <w:sz w:val="28"/>
          <w:rtl/>
          <w:lang w:bidi="ar-SY"/>
        </w:rPr>
        <w:t xml:space="preserve"> </w:t>
      </w:r>
      <w:r w:rsidR="00795504" w:rsidRPr="003F3B94">
        <w:rPr>
          <w:b/>
          <w:bCs/>
          <w:sz w:val="28"/>
          <w:rtl/>
          <w:lang w:bidi="ar-SY"/>
        </w:rPr>
        <w:t>إِنْ أُرِيدُ إِ</w:t>
      </w:r>
      <w:r w:rsidR="008A2A49" w:rsidRPr="003F3B94">
        <w:rPr>
          <w:b/>
          <w:bCs/>
          <w:sz w:val="28"/>
          <w:rtl/>
          <w:lang w:bidi="ar-SY"/>
        </w:rPr>
        <w:t>لا</w:t>
      </w:r>
      <w:r w:rsidR="00795504" w:rsidRPr="003F3B94">
        <w:rPr>
          <w:b/>
          <w:bCs/>
          <w:sz w:val="28"/>
          <w:rtl/>
          <w:lang w:bidi="ar-SY"/>
        </w:rPr>
        <w:t xml:space="preserve"> ا</w:t>
      </w:r>
      <w:r w:rsidR="008A2A49" w:rsidRPr="003F3B94">
        <w:rPr>
          <w:b/>
          <w:bCs/>
          <w:sz w:val="28"/>
          <w:rtl/>
          <w:lang w:bidi="ar-SY"/>
        </w:rPr>
        <w:t>لإ</w:t>
      </w:r>
      <w:r w:rsidR="00795504" w:rsidRPr="003F3B94">
        <w:rPr>
          <w:b/>
          <w:bCs/>
          <w:sz w:val="28"/>
          <w:rtl/>
          <w:lang w:bidi="ar-SY"/>
        </w:rPr>
        <w:t>صْ</w:t>
      </w:r>
      <w:r w:rsidR="008A2A49" w:rsidRPr="003F3B94">
        <w:rPr>
          <w:b/>
          <w:bCs/>
          <w:sz w:val="28"/>
          <w:rtl/>
          <w:lang w:bidi="ar-SY"/>
        </w:rPr>
        <w:t>لا</w:t>
      </w:r>
      <w:r w:rsidR="00795504" w:rsidRPr="003F3B94">
        <w:rPr>
          <w:b/>
          <w:bCs/>
          <w:sz w:val="28"/>
          <w:rtl/>
          <w:lang w:bidi="ar-SY"/>
        </w:rPr>
        <w:t>حَ مَا اسْتَطَعْتُ وَمَا تَوْفِيقِي إِ</w:t>
      </w:r>
      <w:r w:rsidR="008A2A49" w:rsidRPr="003F3B94">
        <w:rPr>
          <w:b/>
          <w:bCs/>
          <w:sz w:val="28"/>
          <w:rtl/>
          <w:lang w:bidi="ar-SY"/>
        </w:rPr>
        <w:t>لا</w:t>
      </w:r>
      <w:r w:rsidR="00795504" w:rsidRPr="003F3B94">
        <w:rPr>
          <w:b/>
          <w:bCs/>
          <w:sz w:val="28"/>
          <w:rtl/>
          <w:lang w:bidi="ar-SY"/>
        </w:rPr>
        <w:t xml:space="preserve"> </w:t>
      </w:r>
      <w:r w:rsidR="00AA403C" w:rsidRPr="003F3B94">
        <w:rPr>
          <w:rFonts w:hint="cs"/>
          <w:b/>
          <w:bCs/>
          <w:sz w:val="28"/>
          <w:rtl/>
          <w:lang w:bidi="ar-SY"/>
        </w:rPr>
        <w:t xml:space="preserve">بِاللهِ </w:t>
      </w:r>
      <w:r w:rsidR="00795504" w:rsidRPr="003F3B94">
        <w:rPr>
          <w:b/>
          <w:bCs/>
          <w:sz w:val="28"/>
          <w:rtl/>
          <w:lang w:bidi="ar-SY"/>
        </w:rPr>
        <w:t>عَلَيْهِ تَوَكَّلْتُ وَإِلَيْهِ أُنِيبُ</w:t>
      </w:r>
      <w:r w:rsidR="0040630F" w:rsidRPr="003F3B94">
        <w:rPr>
          <w:rFonts w:hint="cs"/>
          <w:b/>
          <w:bCs/>
          <w:sz w:val="28"/>
          <w:rtl/>
          <w:lang w:bidi="ar-SY"/>
        </w:rPr>
        <w:t>.</w:t>
      </w:r>
    </w:p>
    <w:p w:rsidR="0040630F" w:rsidRPr="003F3B94" w:rsidRDefault="00795504" w:rsidP="003F3B94">
      <w:pPr>
        <w:pStyle w:val="a0"/>
        <w:ind w:firstLine="0"/>
        <w:jc w:val="center"/>
        <w:rPr>
          <w:rFonts w:hint="cs"/>
          <w:rtl/>
          <w:lang w:bidi="ar-SY"/>
        </w:rPr>
      </w:pPr>
      <w:r w:rsidRPr="003F3B94">
        <w:rPr>
          <w:b/>
          <w:bCs/>
          <w:sz w:val="28"/>
          <w:rtl/>
          <w:lang w:bidi="ar-SY"/>
        </w:rPr>
        <w:t>وصلى الله على محمد وآله الطاهرين</w:t>
      </w:r>
      <w:r w:rsidR="0040630F" w:rsidRPr="003F3B94">
        <w:rPr>
          <w:rFonts w:hint="cs"/>
          <w:b/>
          <w:bCs/>
          <w:sz w:val="28"/>
          <w:rtl/>
          <w:lang w:bidi="ar-SY"/>
        </w:rPr>
        <w:t>.</w:t>
      </w:r>
    </w:p>
    <w:p w:rsidR="0040630F" w:rsidRPr="003F3B94" w:rsidRDefault="00401DB4" w:rsidP="003F3B94">
      <w:pPr>
        <w:widowControl w:val="0"/>
        <w:ind w:firstLine="4139"/>
        <w:jc w:val="center"/>
        <w:rPr>
          <w:rFonts w:ascii="Simplified Arabic" w:hAnsi="Simplified Arabic" w:cs="KFGQPC Uthman Taha Naskh"/>
          <w:b/>
          <w:bCs/>
          <w:sz w:val="28"/>
          <w:rtl/>
          <w:lang w:bidi="ar-SY"/>
        </w:rPr>
      </w:pPr>
      <w:r w:rsidRPr="003F3B94">
        <w:rPr>
          <w:rFonts w:ascii="Simplified Arabic" w:hAnsi="Simplified Arabic" w:cs="KFGQPC Uthman Taha Naskh"/>
          <w:b/>
          <w:bCs/>
          <w:sz w:val="28"/>
          <w:rtl/>
          <w:lang w:bidi="ar-SY"/>
        </w:rPr>
        <w:t>حيدر علي قلمداران</w:t>
      </w:r>
    </w:p>
    <w:p w:rsidR="0040630F" w:rsidRPr="008E6B97" w:rsidRDefault="00E00122" w:rsidP="003F3B94">
      <w:pPr>
        <w:widowControl w:val="0"/>
        <w:ind w:firstLine="4139"/>
        <w:jc w:val="center"/>
        <w:rPr>
          <w:rFonts w:ascii="Simplified Arabic" w:hAnsi="Simplified Arabic" w:cs="KFGQPC Uthman Taha Naskh"/>
          <w:sz w:val="28"/>
          <w:rtl/>
          <w:lang w:bidi="fa-IR"/>
        </w:rPr>
      </w:pPr>
      <w:r w:rsidRPr="008E6B97">
        <w:rPr>
          <w:rFonts w:ascii="Simplified Arabic" w:hAnsi="Simplified Arabic" w:cs="KFGQPC Uthman Taha Naskh"/>
          <w:sz w:val="28"/>
          <w:rtl/>
          <w:lang w:bidi="fa-IR"/>
        </w:rPr>
        <w:t xml:space="preserve">قم- </w:t>
      </w:r>
      <w:r w:rsidRPr="008E6B97">
        <w:rPr>
          <w:rFonts w:ascii="Simplified Arabic" w:hAnsi="Simplified Arabic" w:cs="KFGQPC Uthman Taha Naskh"/>
          <w:sz w:val="28"/>
          <w:rtl/>
        </w:rPr>
        <w:t>قرية ديزيجان</w:t>
      </w:r>
    </w:p>
    <w:p w:rsidR="0040630F" w:rsidRPr="008E6B97" w:rsidRDefault="00E00122" w:rsidP="003F3B94">
      <w:pPr>
        <w:widowControl w:val="0"/>
        <w:ind w:firstLine="4139"/>
        <w:jc w:val="center"/>
        <w:rPr>
          <w:rFonts w:ascii="Simplified Arabic" w:hAnsi="Simplified Arabic" w:cs="KFGQPC Uthman Taha Naskh"/>
          <w:sz w:val="28"/>
          <w:rtl/>
          <w:lang w:bidi="fa-IR"/>
        </w:rPr>
      </w:pPr>
      <w:r w:rsidRPr="008E6B97">
        <w:rPr>
          <w:rFonts w:ascii="Simplified Arabic" w:hAnsi="Simplified Arabic" w:cs="KFGQPC Uthman Taha Naskh"/>
          <w:sz w:val="28"/>
          <w:rtl/>
          <w:lang w:bidi="fa-IR"/>
        </w:rPr>
        <w:t>3 رمضان المبار</w:t>
      </w:r>
      <w:r w:rsidR="00D326AD" w:rsidRPr="008E6B97">
        <w:rPr>
          <w:rFonts w:ascii="Simplified Arabic" w:hAnsi="Simplified Arabic" w:cs="KFGQPC Uthman Taha Naskh"/>
          <w:sz w:val="28"/>
          <w:rtl/>
          <w:lang w:bidi="fa-IR"/>
        </w:rPr>
        <w:t>ك</w:t>
      </w:r>
      <w:r w:rsidRPr="008E6B97">
        <w:rPr>
          <w:rFonts w:ascii="Simplified Arabic" w:hAnsi="Simplified Arabic" w:cs="KFGQPC Uthman Taha Naskh"/>
          <w:sz w:val="28"/>
          <w:rtl/>
          <w:lang w:bidi="fa-IR"/>
        </w:rPr>
        <w:t xml:space="preserve"> 1396هـ. ق</w:t>
      </w:r>
    </w:p>
    <w:p w:rsidR="00E00122" w:rsidRPr="008E6B97" w:rsidRDefault="00E00122" w:rsidP="003F3B94">
      <w:pPr>
        <w:widowControl w:val="0"/>
        <w:ind w:firstLine="4139"/>
        <w:jc w:val="center"/>
        <w:rPr>
          <w:rFonts w:ascii="Simplified Arabic" w:hAnsi="Simplified Arabic" w:cs="KFGQPC Uthman Taha Naskh"/>
          <w:sz w:val="28"/>
          <w:rtl/>
          <w:lang w:bidi="fa-IR"/>
        </w:rPr>
      </w:pPr>
      <w:r w:rsidRPr="008E6B97">
        <w:rPr>
          <w:rFonts w:ascii="Simplified Arabic" w:hAnsi="Simplified Arabic" w:cs="KFGQPC Uthman Taha Naskh"/>
          <w:sz w:val="28"/>
          <w:rtl/>
          <w:lang w:bidi="fa-IR"/>
        </w:rPr>
        <w:t>3 شهر</w:t>
      </w:r>
      <w:r w:rsidR="00D326AD" w:rsidRPr="008E6B97">
        <w:rPr>
          <w:rFonts w:ascii="Simplified Arabic" w:hAnsi="Simplified Arabic" w:cs="KFGQPC Uthman Taha Naskh"/>
          <w:sz w:val="28"/>
          <w:rtl/>
          <w:lang w:bidi="fa-IR"/>
        </w:rPr>
        <w:t>ي</w:t>
      </w:r>
      <w:r w:rsidRPr="008E6B97">
        <w:rPr>
          <w:rFonts w:ascii="Simplified Arabic" w:hAnsi="Simplified Arabic" w:cs="KFGQPC Uthman Taha Naskh"/>
          <w:sz w:val="28"/>
          <w:rtl/>
          <w:lang w:bidi="fa-IR"/>
        </w:rPr>
        <w:t>ور 1355 هـ.</w:t>
      </w:r>
      <w:r w:rsidR="0040630F" w:rsidRPr="008E6B97">
        <w:rPr>
          <w:rFonts w:ascii="Simplified Arabic" w:hAnsi="Simplified Arabic" w:cs="KFGQPC Uthman Taha Naskh"/>
          <w:sz w:val="28"/>
          <w:rtl/>
          <w:lang w:bidi="fa-IR"/>
        </w:rPr>
        <w:t xml:space="preserve"> </w:t>
      </w:r>
      <w:r w:rsidRPr="008E6B97">
        <w:rPr>
          <w:rFonts w:ascii="Simplified Arabic" w:hAnsi="Simplified Arabic" w:cs="KFGQPC Uthman Taha Naskh"/>
          <w:sz w:val="28"/>
          <w:rtl/>
          <w:lang w:bidi="fa-IR"/>
        </w:rPr>
        <w:t>ش</w:t>
      </w:r>
    </w:p>
    <w:p w:rsidR="0040630F" w:rsidRPr="003F3B94" w:rsidRDefault="0040630F" w:rsidP="003F3B94">
      <w:pPr>
        <w:pStyle w:val="a0"/>
        <w:rPr>
          <w:rFonts w:hint="cs"/>
          <w:rtl/>
        </w:rPr>
      </w:pPr>
    </w:p>
    <w:p w:rsidR="00BD5322" w:rsidRPr="008E6B97" w:rsidRDefault="00BD5322" w:rsidP="008E6B97">
      <w:pPr>
        <w:widowControl w:val="0"/>
        <w:spacing w:before="240" w:after="240"/>
        <w:jc w:val="center"/>
        <w:rPr>
          <w:rFonts w:ascii="mylotus" w:hAnsi="mylotus" w:cs="mylotus"/>
          <w:sz w:val="28"/>
          <w:szCs w:val="22"/>
          <w:rtl/>
        </w:rPr>
      </w:pPr>
      <w:r w:rsidRPr="008E6B97">
        <w:rPr>
          <w:rFonts w:ascii="mylotus" w:hAnsi="mylotus" w:cs="mylotus"/>
          <w:sz w:val="28"/>
          <w:szCs w:val="22"/>
        </w:rPr>
        <w:sym w:font="AGA Arabesque" w:char="F02B"/>
      </w:r>
      <w:r w:rsidRPr="008E6B97">
        <w:rPr>
          <w:rFonts w:ascii="mylotus" w:hAnsi="mylotus" w:cs="mylotus"/>
          <w:sz w:val="28"/>
          <w:szCs w:val="22"/>
          <w:rtl/>
        </w:rPr>
        <w:t xml:space="preserve"> </w:t>
      </w:r>
      <w:r w:rsidRPr="008E6B97">
        <w:rPr>
          <w:rFonts w:ascii="mylotus" w:hAnsi="mylotus" w:cs="mylotus"/>
          <w:sz w:val="28"/>
          <w:szCs w:val="22"/>
        </w:rPr>
        <w:sym w:font="AGA Arabesque" w:char="F02B"/>
      </w:r>
      <w:r w:rsidRPr="008E6B97">
        <w:rPr>
          <w:rFonts w:ascii="mylotus" w:hAnsi="mylotus" w:cs="mylotus"/>
          <w:sz w:val="28"/>
          <w:szCs w:val="22"/>
          <w:rtl/>
        </w:rPr>
        <w:t xml:space="preserve"> </w:t>
      </w:r>
      <w:r w:rsidRPr="008E6B97">
        <w:rPr>
          <w:rFonts w:ascii="mylotus" w:hAnsi="mylotus" w:cs="mylotus"/>
          <w:sz w:val="28"/>
          <w:szCs w:val="22"/>
        </w:rPr>
        <w:sym w:font="AGA Arabesque" w:char="F02B"/>
      </w:r>
    </w:p>
    <w:p w:rsidR="002F3502" w:rsidRPr="008E6B97" w:rsidRDefault="002F3502" w:rsidP="00C3556F">
      <w:pPr>
        <w:pStyle w:val="a0"/>
        <w:rPr>
          <w:sz w:val="20"/>
          <w:szCs w:val="22"/>
          <w:rtl/>
        </w:rPr>
        <w:sectPr w:rsidR="002F3502" w:rsidRPr="008E6B97" w:rsidSect="00010AE3">
          <w:headerReference w:type="default" r:id="rId25"/>
          <w:footnotePr>
            <w:numRestart w:val="eachPage"/>
          </w:footnotePr>
          <w:type w:val="oddPage"/>
          <w:pgSz w:w="9356" w:h="13608" w:code="34"/>
          <w:pgMar w:top="964" w:right="1134" w:bottom="1134" w:left="964" w:header="0" w:footer="851" w:gutter="0"/>
          <w:cols w:space="708"/>
          <w:titlePg/>
          <w:bidi/>
          <w:rtlGutter/>
          <w:docGrid w:linePitch="360"/>
        </w:sectPr>
      </w:pPr>
    </w:p>
    <w:p w:rsidR="005C664D" w:rsidRPr="00995B26" w:rsidRDefault="00DA1FC2" w:rsidP="002F3502">
      <w:pPr>
        <w:pStyle w:val="Heading1"/>
        <w:rPr>
          <w:rFonts w:hint="cs"/>
          <w:rtl/>
        </w:rPr>
      </w:pPr>
      <w:bookmarkStart w:id="72" w:name="_Toc215489644"/>
      <w:bookmarkStart w:id="73" w:name="_Toc387843053"/>
      <w:r w:rsidRPr="00995B26">
        <w:rPr>
          <w:rFonts w:hint="cs"/>
          <w:rtl/>
        </w:rPr>
        <w:t>الفصل الأول</w:t>
      </w:r>
      <w:r w:rsidR="002F3502">
        <w:rPr>
          <w:rtl/>
        </w:rPr>
        <w:br/>
      </w:r>
      <w:r w:rsidRPr="00995B26">
        <w:rPr>
          <w:rFonts w:hint="cs"/>
          <w:rtl/>
        </w:rPr>
        <w:t xml:space="preserve">حقيقة الخمس </w:t>
      </w:r>
      <w:bookmarkEnd w:id="72"/>
      <w:r w:rsidRPr="00995B26">
        <w:rPr>
          <w:rFonts w:hint="cs"/>
          <w:rtl/>
        </w:rPr>
        <w:t>في الإسلام</w:t>
      </w:r>
      <w:bookmarkEnd w:id="73"/>
    </w:p>
    <w:p w:rsidR="00DA1FC2" w:rsidRPr="00995B26" w:rsidRDefault="00DA1FC2" w:rsidP="007D2B8A">
      <w:pPr>
        <w:pStyle w:val="a5"/>
        <w:rPr>
          <w:rFonts w:hint="cs"/>
          <w:rtl/>
          <w:lang w:bidi="ar-SY"/>
        </w:rPr>
      </w:pPr>
      <w:bookmarkStart w:id="74" w:name="_Toc387843054"/>
      <w:r w:rsidRPr="00995B26">
        <w:rPr>
          <w:rFonts w:hint="cs"/>
          <w:rtl/>
          <w:lang w:bidi="ar-SY"/>
        </w:rPr>
        <w:t>1- الخمس في القرآن وتفسير الأئمة لآية الخمس</w:t>
      </w:r>
      <w:bookmarkEnd w:id="74"/>
    </w:p>
    <w:p w:rsidR="005C664D" w:rsidRPr="003F3B94" w:rsidRDefault="005C664D" w:rsidP="003F3B94">
      <w:pPr>
        <w:pStyle w:val="a0"/>
        <w:rPr>
          <w:rFonts w:hint="cs"/>
          <w:rtl/>
          <w:lang w:bidi="fa-IR"/>
        </w:rPr>
      </w:pPr>
      <w:r w:rsidRPr="003F3B94">
        <w:rPr>
          <w:rFonts w:ascii="Abo-thar" w:hAnsi="Abo-thar" w:hint="cs"/>
          <w:sz w:val="28"/>
          <w:rtl/>
          <w:lang w:bidi="ar-SY"/>
        </w:rPr>
        <w:t>إن دليل حكم «</w:t>
      </w:r>
      <w:r w:rsidRPr="003F3B94">
        <w:rPr>
          <w:rFonts w:ascii="Abo-thar" w:hAnsi="Abo-thar" w:hint="cs"/>
          <w:b/>
          <w:bCs/>
          <w:sz w:val="28"/>
          <w:rtl/>
          <w:lang w:bidi="ar-SY"/>
        </w:rPr>
        <w:t>الخُمْس</w:t>
      </w:r>
      <w:r w:rsidRPr="003F3B94">
        <w:rPr>
          <w:rFonts w:ascii="Abo-thar" w:hAnsi="Abo-thar" w:hint="cs"/>
          <w:sz w:val="28"/>
          <w:rtl/>
          <w:lang w:bidi="ar-SY"/>
        </w:rPr>
        <w:t xml:space="preserve">» ومستنده من كتاب الله </w:t>
      </w:r>
      <w:r w:rsidR="00217AB4" w:rsidRPr="003F3B94">
        <w:rPr>
          <w:rFonts w:ascii="Abo-thar" w:hAnsi="Abo-thar" w:hint="cs"/>
          <w:sz w:val="28"/>
          <w:rtl/>
          <w:lang w:bidi="ar-SY"/>
        </w:rPr>
        <w:t>(</w:t>
      </w:r>
      <w:r w:rsidRPr="003F3B94">
        <w:rPr>
          <w:rFonts w:ascii="Abo-thar" w:hAnsi="Abo-thar" w:hint="cs"/>
          <w:sz w:val="28"/>
          <w:rtl/>
          <w:lang w:bidi="ar-SY"/>
        </w:rPr>
        <w:t>القرآن الكريم</w:t>
      </w:r>
      <w:r w:rsidR="00217AB4" w:rsidRPr="003F3B94">
        <w:rPr>
          <w:rFonts w:ascii="Abo-thar" w:hAnsi="Abo-thar" w:hint="cs"/>
          <w:sz w:val="28"/>
          <w:rtl/>
          <w:lang w:bidi="ar-SY"/>
        </w:rPr>
        <w:t>)</w:t>
      </w:r>
      <w:r w:rsidRPr="003F3B94">
        <w:rPr>
          <w:rFonts w:ascii="Abo-thar" w:hAnsi="Abo-thar" w:hint="cs"/>
          <w:sz w:val="28"/>
          <w:rtl/>
          <w:lang w:bidi="ar-SY"/>
        </w:rPr>
        <w:t xml:space="preserve"> هو الآية الكريمة 41 من سورة الأنفال التي تقول</w:t>
      </w:r>
      <w:r w:rsidR="00217AB4" w:rsidRPr="003F3B94">
        <w:rPr>
          <w:rFonts w:ascii="Abo-thar" w:hAnsi="Abo-thar" w:hint="cs"/>
          <w:sz w:val="28"/>
          <w:rtl/>
          <w:lang w:bidi="ar-SY"/>
        </w:rPr>
        <w:t>:</w:t>
      </w:r>
    </w:p>
    <w:p w:rsidR="005C664D" w:rsidRPr="003F3B94" w:rsidRDefault="00DD7D67" w:rsidP="00DF7CAE">
      <w:pPr>
        <w:pStyle w:val="a0"/>
        <w:spacing w:line="240" w:lineRule="auto"/>
        <w:ind w:left="284" w:firstLine="0"/>
        <w:rPr>
          <w:rFonts w:hint="cs"/>
          <w:rtl/>
          <w:lang w:bidi="ar-SY"/>
        </w:rPr>
      </w:pPr>
      <w:r w:rsidRPr="00995B26">
        <w:rPr>
          <w:rFonts w:ascii="Abo-thar" w:hAnsi="Abo-thar" w:cs="Traditional Arabic" w:hint="cs"/>
          <w:sz w:val="28"/>
          <w:rtl/>
          <w:lang w:bidi="ar-SY"/>
        </w:rPr>
        <w:t>﴿</w:t>
      </w:r>
      <w:r w:rsidRPr="00DF7CAE">
        <w:rPr>
          <w:rStyle w:val="Char3"/>
          <w:rFonts w:hint="eastAsia"/>
          <w:rtl/>
        </w:rPr>
        <w:t>وَ</w:t>
      </w:r>
      <w:r w:rsidRPr="00DF7CAE">
        <w:rPr>
          <w:rStyle w:val="Char3"/>
          <w:rFonts w:hint="cs"/>
          <w:rtl/>
        </w:rPr>
        <w:t>ٱ</w:t>
      </w:r>
      <w:r w:rsidRPr="00DF7CAE">
        <w:rPr>
          <w:rStyle w:val="Char3"/>
          <w:rFonts w:hint="eastAsia"/>
          <w:rtl/>
        </w:rPr>
        <w:t>ع</w:t>
      </w:r>
      <w:r w:rsidRPr="00DF7CAE">
        <w:rPr>
          <w:rStyle w:val="Char3"/>
          <w:rFonts w:hint="cs"/>
          <w:rtl/>
        </w:rPr>
        <w:t>ۡ</w:t>
      </w:r>
      <w:r w:rsidRPr="00DF7CAE">
        <w:rPr>
          <w:rStyle w:val="Char3"/>
          <w:rFonts w:hint="eastAsia"/>
          <w:rtl/>
        </w:rPr>
        <w:t>لَمُو</w:t>
      </w:r>
      <w:r w:rsidRPr="00DF7CAE">
        <w:rPr>
          <w:rStyle w:val="Char3"/>
          <w:rFonts w:hint="cs"/>
          <w:rtl/>
        </w:rPr>
        <w:t>ٓ</w:t>
      </w:r>
      <w:r w:rsidRPr="00DF7CAE">
        <w:rPr>
          <w:rStyle w:val="Char3"/>
          <w:rFonts w:hint="eastAsia"/>
          <w:rtl/>
        </w:rPr>
        <w:t>اْ</w:t>
      </w:r>
      <w:r w:rsidRPr="00DF7CAE">
        <w:rPr>
          <w:rStyle w:val="Char3"/>
          <w:rtl/>
        </w:rPr>
        <w:t xml:space="preserve"> </w:t>
      </w:r>
      <w:r w:rsidRPr="00DF7CAE">
        <w:rPr>
          <w:rStyle w:val="Char3"/>
          <w:rFonts w:hint="eastAsia"/>
          <w:rtl/>
        </w:rPr>
        <w:t>أَنَّمَا</w:t>
      </w:r>
      <w:r w:rsidRPr="00DF7CAE">
        <w:rPr>
          <w:rStyle w:val="Char3"/>
          <w:rtl/>
        </w:rPr>
        <w:t xml:space="preserve"> </w:t>
      </w:r>
      <w:r w:rsidRPr="00DF7CAE">
        <w:rPr>
          <w:rStyle w:val="Char3"/>
          <w:rFonts w:hint="eastAsia"/>
          <w:rtl/>
        </w:rPr>
        <w:t>غَنِم</w:t>
      </w:r>
      <w:r w:rsidRPr="00DF7CAE">
        <w:rPr>
          <w:rStyle w:val="Char3"/>
          <w:rFonts w:hint="cs"/>
          <w:rtl/>
        </w:rPr>
        <w:t>ۡ</w:t>
      </w:r>
      <w:r w:rsidRPr="00DF7CAE">
        <w:rPr>
          <w:rStyle w:val="Char3"/>
          <w:rFonts w:hint="eastAsia"/>
          <w:rtl/>
        </w:rPr>
        <w:t>تُم</w:t>
      </w:r>
      <w:r w:rsidRPr="00DF7CAE">
        <w:rPr>
          <w:rStyle w:val="Char3"/>
          <w:rtl/>
        </w:rPr>
        <w:t xml:space="preserve"> </w:t>
      </w:r>
      <w:r w:rsidRPr="00DF7CAE">
        <w:rPr>
          <w:rStyle w:val="Char3"/>
          <w:rFonts w:hint="eastAsia"/>
          <w:rtl/>
        </w:rPr>
        <w:t>مِّن</w:t>
      </w:r>
      <w:r w:rsidRPr="00DF7CAE">
        <w:rPr>
          <w:rStyle w:val="Char3"/>
          <w:rtl/>
        </w:rPr>
        <w:t xml:space="preserve"> </w:t>
      </w:r>
      <w:r w:rsidRPr="00DF7CAE">
        <w:rPr>
          <w:rStyle w:val="Char3"/>
          <w:rFonts w:hint="eastAsia"/>
          <w:rtl/>
        </w:rPr>
        <w:t>شَي</w:t>
      </w:r>
      <w:r w:rsidRPr="00DF7CAE">
        <w:rPr>
          <w:rStyle w:val="Char3"/>
          <w:rFonts w:hint="cs"/>
          <w:rtl/>
        </w:rPr>
        <w:t>ۡ</w:t>
      </w:r>
      <w:r w:rsidRPr="00DF7CAE">
        <w:rPr>
          <w:rStyle w:val="Char3"/>
          <w:rFonts w:hint="eastAsia"/>
          <w:rtl/>
        </w:rPr>
        <w:t>ء</w:t>
      </w:r>
      <w:r w:rsidRPr="00DF7CAE">
        <w:rPr>
          <w:rStyle w:val="Char3"/>
          <w:rFonts w:hint="cs"/>
          <w:rtl/>
        </w:rPr>
        <w:t>ٖ</w:t>
      </w:r>
      <w:r w:rsidRPr="00DF7CAE">
        <w:rPr>
          <w:rStyle w:val="Char3"/>
          <w:rtl/>
        </w:rPr>
        <w:t xml:space="preserve"> </w:t>
      </w:r>
      <w:r w:rsidRPr="00DF7CAE">
        <w:rPr>
          <w:rStyle w:val="Char3"/>
          <w:rFonts w:hint="eastAsia"/>
          <w:rtl/>
        </w:rPr>
        <w:t>فَأَنَّ</w:t>
      </w:r>
      <w:r w:rsidRPr="00DF7CAE">
        <w:rPr>
          <w:rStyle w:val="Char3"/>
          <w:rtl/>
        </w:rPr>
        <w:t xml:space="preserve"> </w:t>
      </w:r>
      <w:r w:rsidR="00F0518B" w:rsidRPr="00DF7CAE">
        <w:rPr>
          <w:rStyle w:val="Char3"/>
          <w:rFonts w:hint="cs"/>
          <w:rtl/>
        </w:rPr>
        <w:t>لِـلَّهِ</w:t>
      </w:r>
      <w:r w:rsidRPr="00DF7CAE">
        <w:rPr>
          <w:rStyle w:val="Char3"/>
          <w:rtl/>
        </w:rPr>
        <w:t xml:space="preserve"> </w:t>
      </w:r>
      <w:r w:rsidRPr="00DF7CAE">
        <w:rPr>
          <w:rStyle w:val="Char3"/>
          <w:rFonts w:hint="eastAsia"/>
          <w:rtl/>
        </w:rPr>
        <w:t>خُمُسَهُ</w:t>
      </w:r>
      <w:r w:rsidRPr="00DF7CAE">
        <w:rPr>
          <w:rStyle w:val="Char3"/>
          <w:rFonts w:hint="cs"/>
          <w:rtl/>
        </w:rPr>
        <w:t>ۥ</w:t>
      </w:r>
      <w:r w:rsidRPr="00DF7CAE">
        <w:rPr>
          <w:rStyle w:val="Char3"/>
          <w:rtl/>
        </w:rPr>
        <w:t xml:space="preserve"> </w:t>
      </w:r>
      <w:r w:rsidRPr="00DF7CAE">
        <w:rPr>
          <w:rStyle w:val="Char3"/>
          <w:rFonts w:hint="eastAsia"/>
          <w:rtl/>
        </w:rPr>
        <w:t>وَلِلرَّسُولِ</w:t>
      </w:r>
      <w:r w:rsidRPr="00DF7CAE">
        <w:rPr>
          <w:rStyle w:val="Char3"/>
          <w:rtl/>
        </w:rPr>
        <w:t xml:space="preserve"> </w:t>
      </w:r>
      <w:r w:rsidRPr="00DF7CAE">
        <w:rPr>
          <w:rStyle w:val="Char3"/>
          <w:rFonts w:hint="eastAsia"/>
          <w:rtl/>
        </w:rPr>
        <w:t>وَلِذِي</w:t>
      </w:r>
      <w:r w:rsidRPr="00DF7CAE">
        <w:rPr>
          <w:rStyle w:val="Char3"/>
          <w:rtl/>
        </w:rPr>
        <w:t xml:space="preserve"> </w:t>
      </w:r>
      <w:r w:rsidRPr="00DF7CAE">
        <w:rPr>
          <w:rStyle w:val="Char3"/>
          <w:rFonts w:hint="cs"/>
          <w:rtl/>
        </w:rPr>
        <w:t>ٱ</w:t>
      </w:r>
      <w:r w:rsidRPr="00DF7CAE">
        <w:rPr>
          <w:rStyle w:val="Char3"/>
          <w:rFonts w:hint="eastAsia"/>
          <w:rtl/>
        </w:rPr>
        <w:t>ل</w:t>
      </w:r>
      <w:r w:rsidRPr="00DF7CAE">
        <w:rPr>
          <w:rStyle w:val="Char3"/>
          <w:rFonts w:hint="cs"/>
          <w:rtl/>
        </w:rPr>
        <w:t>ۡ</w:t>
      </w:r>
      <w:r w:rsidRPr="00DF7CAE">
        <w:rPr>
          <w:rStyle w:val="Char3"/>
          <w:rFonts w:hint="eastAsia"/>
          <w:rtl/>
        </w:rPr>
        <w:t>قُر</w:t>
      </w:r>
      <w:r w:rsidRPr="00DF7CAE">
        <w:rPr>
          <w:rStyle w:val="Char3"/>
          <w:rFonts w:hint="cs"/>
          <w:rtl/>
        </w:rPr>
        <w:t>ۡ</w:t>
      </w:r>
      <w:r w:rsidRPr="00DF7CAE">
        <w:rPr>
          <w:rStyle w:val="Char3"/>
          <w:rFonts w:hint="eastAsia"/>
          <w:rtl/>
        </w:rPr>
        <w:t>بَى</w:t>
      </w:r>
      <w:r w:rsidRPr="00DF7CAE">
        <w:rPr>
          <w:rStyle w:val="Char3"/>
          <w:rFonts w:hint="cs"/>
          <w:rtl/>
        </w:rPr>
        <w:t>ٰ</w:t>
      </w:r>
      <w:r w:rsidRPr="00DF7CAE">
        <w:rPr>
          <w:rStyle w:val="Char3"/>
          <w:rtl/>
        </w:rPr>
        <w:t xml:space="preserve"> </w:t>
      </w:r>
      <w:r w:rsidRPr="00DF7CAE">
        <w:rPr>
          <w:rStyle w:val="Char3"/>
          <w:rFonts w:hint="eastAsia"/>
          <w:rtl/>
        </w:rPr>
        <w:t>وَ</w:t>
      </w:r>
      <w:r w:rsidRPr="00DF7CAE">
        <w:rPr>
          <w:rStyle w:val="Char3"/>
          <w:rFonts w:hint="cs"/>
          <w:rtl/>
        </w:rPr>
        <w:t>ٱ</w:t>
      </w:r>
      <w:r w:rsidRPr="00DF7CAE">
        <w:rPr>
          <w:rStyle w:val="Char3"/>
          <w:rFonts w:hint="eastAsia"/>
          <w:rtl/>
        </w:rPr>
        <w:t>ل</w:t>
      </w:r>
      <w:r w:rsidRPr="00DF7CAE">
        <w:rPr>
          <w:rStyle w:val="Char3"/>
          <w:rFonts w:hint="cs"/>
          <w:rtl/>
        </w:rPr>
        <w:t>ۡ</w:t>
      </w:r>
      <w:r w:rsidRPr="00DF7CAE">
        <w:rPr>
          <w:rStyle w:val="Char3"/>
          <w:rFonts w:hint="eastAsia"/>
          <w:rtl/>
        </w:rPr>
        <w:t>يَتَ</w:t>
      </w:r>
      <w:r w:rsidRPr="00DF7CAE">
        <w:rPr>
          <w:rStyle w:val="Char3"/>
          <w:rFonts w:hint="cs"/>
          <w:rtl/>
        </w:rPr>
        <w:t>ٰ</w:t>
      </w:r>
      <w:r w:rsidRPr="00DF7CAE">
        <w:rPr>
          <w:rStyle w:val="Char3"/>
          <w:rFonts w:hint="eastAsia"/>
          <w:rtl/>
        </w:rPr>
        <w:t>مَى</w:t>
      </w:r>
      <w:r w:rsidRPr="00DF7CAE">
        <w:rPr>
          <w:rStyle w:val="Char3"/>
          <w:rFonts w:hint="cs"/>
          <w:rtl/>
        </w:rPr>
        <w:t>ٰ</w:t>
      </w:r>
      <w:r w:rsidRPr="00DF7CAE">
        <w:rPr>
          <w:rStyle w:val="Char3"/>
          <w:rtl/>
        </w:rPr>
        <w:t xml:space="preserve"> </w:t>
      </w:r>
      <w:r w:rsidRPr="00DF7CAE">
        <w:rPr>
          <w:rStyle w:val="Char3"/>
          <w:rFonts w:hint="eastAsia"/>
          <w:rtl/>
        </w:rPr>
        <w:t>وَ</w:t>
      </w:r>
      <w:r w:rsidRPr="00DF7CAE">
        <w:rPr>
          <w:rStyle w:val="Char3"/>
          <w:rFonts w:hint="cs"/>
          <w:rtl/>
        </w:rPr>
        <w:t>ٱ</w:t>
      </w:r>
      <w:r w:rsidRPr="00DF7CAE">
        <w:rPr>
          <w:rStyle w:val="Char3"/>
          <w:rFonts w:hint="eastAsia"/>
          <w:rtl/>
        </w:rPr>
        <w:t>ل</w:t>
      </w:r>
      <w:r w:rsidRPr="00DF7CAE">
        <w:rPr>
          <w:rStyle w:val="Char3"/>
          <w:rFonts w:hint="cs"/>
          <w:rtl/>
        </w:rPr>
        <w:t>ۡ</w:t>
      </w:r>
      <w:r w:rsidRPr="00DF7CAE">
        <w:rPr>
          <w:rStyle w:val="Char3"/>
          <w:rFonts w:hint="eastAsia"/>
          <w:rtl/>
        </w:rPr>
        <w:t>مَسَ</w:t>
      </w:r>
      <w:r w:rsidRPr="00DF7CAE">
        <w:rPr>
          <w:rStyle w:val="Char3"/>
          <w:rFonts w:hint="cs"/>
          <w:rtl/>
        </w:rPr>
        <w:t>ٰ</w:t>
      </w:r>
      <w:r w:rsidRPr="00DF7CAE">
        <w:rPr>
          <w:rStyle w:val="Char3"/>
          <w:rFonts w:hint="eastAsia"/>
          <w:rtl/>
        </w:rPr>
        <w:t>كِينِ</w:t>
      </w:r>
      <w:r w:rsidRPr="00DF7CAE">
        <w:rPr>
          <w:rStyle w:val="Char3"/>
          <w:rtl/>
        </w:rPr>
        <w:t xml:space="preserve"> </w:t>
      </w:r>
      <w:r w:rsidRPr="00DF7CAE">
        <w:rPr>
          <w:rStyle w:val="Char3"/>
          <w:rFonts w:hint="eastAsia"/>
          <w:rtl/>
        </w:rPr>
        <w:t>وَ</w:t>
      </w:r>
      <w:r w:rsidRPr="00DF7CAE">
        <w:rPr>
          <w:rStyle w:val="Char3"/>
          <w:rFonts w:hint="cs"/>
          <w:rtl/>
        </w:rPr>
        <w:t>ٱ</w:t>
      </w:r>
      <w:r w:rsidRPr="00DF7CAE">
        <w:rPr>
          <w:rStyle w:val="Char3"/>
          <w:rFonts w:hint="eastAsia"/>
          <w:rtl/>
        </w:rPr>
        <w:t>ب</w:t>
      </w:r>
      <w:r w:rsidRPr="00DF7CAE">
        <w:rPr>
          <w:rStyle w:val="Char3"/>
          <w:rFonts w:hint="cs"/>
          <w:rtl/>
        </w:rPr>
        <w:t>ۡ</w:t>
      </w:r>
      <w:r w:rsidRPr="00DF7CAE">
        <w:rPr>
          <w:rStyle w:val="Char3"/>
          <w:rFonts w:hint="eastAsia"/>
          <w:rtl/>
        </w:rPr>
        <w:t>نِ</w:t>
      </w:r>
      <w:r w:rsidRPr="00DF7CAE">
        <w:rPr>
          <w:rStyle w:val="Char3"/>
          <w:rtl/>
        </w:rPr>
        <w:t xml:space="preserve"> </w:t>
      </w:r>
      <w:r w:rsidRPr="00DF7CAE">
        <w:rPr>
          <w:rStyle w:val="Char3"/>
          <w:rFonts w:hint="cs"/>
          <w:rtl/>
        </w:rPr>
        <w:t>ٱ</w:t>
      </w:r>
      <w:r w:rsidRPr="00DF7CAE">
        <w:rPr>
          <w:rStyle w:val="Char3"/>
          <w:rFonts w:hint="eastAsia"/>
          <w:rtl/>
        </w:rPr>
        <w:t>لسَّبِيلِ</w:t>
      </w:r>
      <w:r w:rsidRPr="00DF7CAE">
        <w:rPr>
          <w:rStyle w:val="Char3"/>
          <w:rtl/>
        </w:rPr>
        <w:t xml:space="preserve"> </w:t>
      </w:r>
      <w:r w:rsidRPr="00DF7CAE">
        <w:rPr>
          <w:rStyle w:val="Char3"/>
          <w:rFonts w:hint="eastAsia"/>
          <w:rtl/>
        </w:rPr>
        <w:t>إِن</w:t>
      </w:r>
      <w:r w:rsidRPr="00DF7CAE">
        <w:rPr>
          <w:rStyle w:val="Char3"/>
          <w:rtl/>
        </w:rPr>
        <w:t xml:space="preserve"> </w:t>
      </w:r>
      <w:r w:rsidRPr="00DF7CAE">
        <w:rPr>
          <w:rStyle w:val="Char3"/>
          <w:rFonts w:hint="eastAsia"/>
          <w:rtl/>
        </w:rPr>
        <w:t>كُنتُم</w:t>
      </w:r>
      <w:r w:rsidRPr="00DF7CAE">
        <w:rPr>
          <w:rStyle w:val="Char3"/>
          <w:rFonts w:hint="cs"/>
          <w:rtl/>
        </w:rPr>
        <w:t>ۡ</w:t>
      </w:r>
      <w:r w:rsidRPr="00DF7CAE">
        <w:rPr>
          <w:rStyle w:val="Char3"/>
          <w:rtl/>
        </w:rPr>
        <w:t xml:space="preserve"> </w:t>
      </w:r>
      <w:r w:rsidRPr="00DF7CAE">
        <w:rPr>
          <w:rStyle w:val="Char3"/>
          <w:rFonts w:hint="eastAsia"/>
          <w:rtl/>
        </w:rPr>
        <w:t>ءَامَنتُم</w:t>
      </w:r>
      <w:r w:rsidRPr="00DF7CAE">
        <w:rPr>
          <w:rStyle w:val="Char3"/>
          <w:rtl/>
        </w:rPr>
        <w:t xml:space="preserve"> </w:t>
      </w:r>
      <w:r w:rsidRPr="00DF7CAE">
        <w:rPr>
          <w:rStyle w:val="Char3"/>
          <w:rFonts w:hint="eastAsia"/>
          <w:rtl/>
        </w:rPr>
        <w:t>بِ</w:t>
      </w:r>
      <w:r w:rsidRPr="00DF7CAE">
        <w:rPr>
          <w:rStyle w:val="Char3"/>
          <w:rFonts w:hint="cs"/>
          <w:rtl/>
        </w:rPr>
        <w:t>ٱ</w:t>
      </w:r>
      <w:r w:rsidR="00F0518B" w:rsidRPr="00DF7CAE">
        <w:rPr>
          <w:rStyle w:val="Char3"/>
          <w:rFonts w:hint="eastAsia"/>
          <w:rtl/>
        </w:rPr>
        <w:t>ل</w:t>
      </w:r>
      <w:r w:rsidR="00F0518B" w:rsidRPr="00DF7CAE">
        <w:rPr>
          <w:rStyle w:val="Char3"/>
          <w:rFonts w:hint="cs"/>
          <w:rtl/>
        </w:rPr>
        <w:t>لهِ</w:t>
      </w:r>
      <w:r w:rsidRPr="00DF7CAE">
        <w:rPr>
          <w:rStyle w:val="Char3"/>
          <w:rtl/>
        </w:rPr>
        <w:t xml:space="preserve"> </w:t>
      </w:r>
      <w:r w:rsidRPr="00DF7CAE">
        <w:rPr>
          <w:rStyle w:val="Char3"/>
          <w:rFonts w:hint="eastAsia"/>
          <w:rtl/>
        </w:rPr>
        <w:t>وَمَا</w:t>
      </w:r>
      <w:r w:rsidRPr="00DF7CAE">
        <w:rPr>
          <w:rStyle w:val="Char3"/>
          <w:rFonts w:hint="cs"/>
          <w:rtl/>
        </w:rPr>
        <w:t>ٓ</w:t>
      </w:r>
      <w:r w:rsidRPr="00DF7CAE">
        <w:rPr>
          <w:rStyle w:val="Char3"/>
          <w:rtl/>
        </w:rPr>
        <w:t xml:space="preserve"> </w:t>
      </w:r>
      <w:r w:rsidRPr="00DF7CAE">
        <w:rPr>
          <w:rStyle w:val="Char3"/>
          <w:rFonts w:hint="eastAsia"/>
          <w:rtl/>
        </w:rPr>
        <w:t>أَنزَل</w:t>
      </w:r>
      <w:r w:rsidRPr="00DF7CAE">
        <w:rPr>
          <w:rStyle w:val="Char3"/>
          <w:rFonts w:hint="cs"/>
          <w:rtl/>
        </w:rPr>
        <w:t>ۡ</w:t>
      </w:r>
      <w:r w:rsidRPr="00DF7CAE">
        <w:rPr>
          <w:rStyle w:val="Char3"/>
          <w:rFonts w:hint="eastAsia"/>
          <w:rtl/>
        </w:rPr>
        <w:t>نَا</w:t>
      </w:r>
      <w:r w:rsidRPr="00DF7CAE">
        <w:rPr>
          <w:rStyle w:val="Char3"/>
          <w:rtl/>
        </w:rPr>
        <w:t xml:space="preserve"> </w:t>
      </w:r>
      <w:r w:rsidRPr="00DF7CAE">
        <w:rPr>
          <w:rStyle w:val="Char3"/>
          <w:rFonts w:hint="eastAsia"/>
          <w:rtl/>
        </w:rPr>
        <w:t>عَلَى</w:t>
      </w:r>
      <w:r w:rsidRPr="00DF7CAE">
        <w:rPr>
          <w:rStyle w:val="Char3"/>
          <w:rFonts w:hint="cs"/>
          <w:rtl/>
        </w:rPr>
        <w:t>ٰ</w:t>
      </w:r>
      <w:r w:rsidRPr="00DF7CAE">
        <w:rPr>
          <w:rStyle w:val="Char3"/>
          <w:rtl/>
        </w:rPr>
        <w:t xml:space="preserve"> </w:t>
      </w:r>
      <w:r w:rsidRPr="00DF7CAE">
        <w:rPr>
          <w:rStyle w:val="Char3"/>
          <w:rFonts w:hint="eastAsia"/>
          <w:rtl/>
        </w:rPr>
        <w:t>عَب</w:t>
      </w:r>
      <w:r w:rsidRPr="00DF7CAE">
        <w:rPr>
          <w:rStyle w:val="Char3"/>
          <w:rFonts w:hint="cs"/>
          <w:rtl/>
        </w:rPr>
        <w:t>ۡ</w:t>
      </w:r>
      <w:r w:rsidRPr="00DF7CAE">
        <w:rPr>
          <w:rStyle w:val="Char3"/>
          <w:rFonts w:hint="eastAsia"/>
          <w:rtl/>
        </w:rPr>
        <w:t>دِنَا</w:t>
      </w:r>
      <w:r w:rsidRPr="00DF7CAE">
        <w:rPr>
          <w:rStyle w:val="Char3"/>
          <w:rtl/>
        </w:rPr>
        <w:t xml:space="preserve"> </w:t>
      </w:r>
      <w:r w:rsidRPr="00DF7CAE">
        <w:rPr>
          <w:rStyle w:val="Char3"/>
          <w:rFonts w:hint="eastAsia"/>
          <w:rtl/>
        </w:rPr>
        <w:t>يَو</w:t>
      </w:r>
      <w:r w:rsidRPr="00DF7CAE">
        <w:rPr>
          <w:rStyle w:val="Char3"/>
          <w:rFonts w:hint="cs"/>
          <w:rtl/>
        </w:rPr>
        <w:t>ۡ</w:t>
      </w:r>
      <w:r w:rsidRPr="00DF7CAE">
        <w:rPr>
          <w:rStyle w:val="Char3"/>
          <w:rFonts w:hint="eastAsia"/>
          <w:rtl/>
        </w:rPr>
        <w:t>مَ</w:t>
      </w:r>
      <w:r w:rsidRPr="00DF7CAE">
        <w:rPr>
          <w:rStyle w:val="Char3"/>
          <w:rtl/>
        </w:rPr>
        <w:t xml:space="preserve"> </w:t>
      </w:r>
      <w:r w:rsidRPr="00DF7CAE">
        <w:rPr>
          <w:rStyle w:val="Char3"/>
          <w:rFonts w:hint="cs"/>
          <w:rtl/>
        </w:rPr>
        <w:t>ٱ</w:t>
      </w:r>
      <w:r w:rsidRPr="00DF7CAE">
        <w:rPr>
          <w:rStyle w:val="Char3"/>
          <w:rFonts w:hint="eastAsia"/>
          <w:rtl/>
        </w:rPr>
        <w:t>ل</w:t>
      </w:r>
      <w:r w:rsidRPr="00DF7CAE">
        <w:rPr>
          <w:rStyle w:val="Char3"/>
          <w:rFonts w:hint="cs"/>
          <w:rtl/>
        </w:rPr>
        <w:t>ۡ</w:t>
      </w:r>
      <w:r w:rsidRPr="00DF7CAE">
        <w:rPr>
          <w:rStyle w:val="Char3"/>
          <w:rFonts w:hint="eastAsia"/>
          <w:rtl/>
        </w:rPr>
        <w:t>فُر</w:t>
      </w:r>
      <w:r w:rsidRPr="00DF7CAE">
        <w:rPr>
          <w:rStyle w:val="Char3"/>
          <w:rFonts w:hint="cs"/>
          <w:rtl/>
        </w:rPr>
        <w:t>ۡ</w:t>
      </w:r>
      <w:r w:rsidRPr="00DF7CAE">
        <w:rPr>
          <w:rStyle w:val="Char3"/>
          <w:rFonts w:hint="eastAsia"/>
          <w:rtl/>
        </w:rPr>
        <w:t>قَانِ</w:t>
      </w:r>
      <w:r w:rsidRPr="00DF7CAE">
        <w:rPr>
          <w:rStyle w:val="Char3"/>
          <w:rtl/>
        </w:rPr>
        <w:t xml:space="preserve"> </w:t>
      </w:r>
      <w:r w:rsidRPr="00DF7CAE">
        <w:rPr>
          <w:rStyle w:val="Char3"/>
          <w:rFonts w:hint="eastAsia"/>
          <w:rtl/>
        </w:rPr>
        <w:t>يَو</w:t>
      </w:r>
      <w:r w:rsidRPr="00DF7CAE">
        <w:rPr>
          <w:rStyle w:val="Char3"/>
          <w:rFonts w:hint="cs"/>
          <w:rtl/>
        </w:rPr>
        <w:t>ۡ</w:t>
      </w:r>
      <w:r w:rsidRPr="00DF7CAE">
        <w:rPr>
          <w:rStyle w:val="Char3"/>
          <w:rFonts w:hint="eastAsia"/>
          <w:rtl/>
        </w:rPr>
        <w:t>مَ</w:t>
      </w:r>
      <w:r w:rsidRPr="00DF7CAE">
        <w:rPr>
          <w:rStyle w:val="Char3"/>
          <w:rtl/>
        </w:rPr>
        <w:t xml:space="preserve"> </w:t>
      </w:r>
      <w:r w:rsidRPr="00DF7CAE">
        <w:rPr>
          <w:rStyle w:val="Char3"/>
          <w:rFonts w:hint="cs"/>
          <w:rtl/>
        </w:rPr>
        <w:t>ٱ</w:t>
      </w:r>
      <w:r w:rsidRPr="00DF7CAE">
        <w:rPr>
          <w:rStyle w:val="Char3"/>
          <w:rFonts w:hint="eastAsia"/>
          <w:rtl/>
        </w:rPr>
        <w:t>ل</w:t>
      </w:r>
      <w:r w:rsidRPr="00DF7CAE">
        <w:rPr>
          <w:rStyle w:val="Char3"/>
          <w:rFonts w:hint="cs"/>
          <w:rtl/>
        </w:rPr>
        <w:t>ۡ</w:t>
      </w:r>
      <w:r w:rsidRPr="00DF7CAE">
        <w:rPr>
          <w:rStyle w:val="Char3"/>
          <w:rFonts w:hint="eastAsia"/>
          <w:rtl/>
        </w:rPr>
        <w:t>تَقَى</w:t>
      </w:r>
      <w:r w:rsidRPr="00DF7CAE">
        <w:rPr>
          <w:rStyle w:val="Char3"/>
          <w:rtl/>
        </w:rPr>
        <w:t xml:space="preserve"> </w:t>
      </w:r>
      <w:r w:rsidRPr="00DF7CAE">
        <w:rPr>
          <w:rStyle w:val="Char3"/>
          <w:rFonts w:hint="cs"/>
          <w:rtl/>
        </w:rPr>
        <w:t>ٱ</w:t>
      </w:r>
      <w:r w:rsidRPr="00DF7CAE">
        <w:rPr>
          <w:rStyle w:val="Char3"/>
          <w:rFonts w:hint="eastAsia"/>
          <w:rtl/>
        </w:rPr>
        <w:t>ل</w:t>
      </w:r>
      <w:r w:rsidRPr="00DF7CAE">
        <w:rPr>
          <w:rStyle w:val="Char3"/>
          <w:rFonts w:hint="cs"/>
          <w:rtl/>
        </w:rPr>
        <w:t>ۡ</w:t>
      </w:r>
      <w:r w:rsidRPr="00DF7CAE">
        <w:rPr>
          <w:rStyle w:val="Char3"/>
          <w:rFonts w:hint="eastAsia"/>
          <w:rtl/>
        </w:rPr>
        <w:t>جَم</w:t>
      </w:r>
      <w:r w:rsidRPr="00DF7CAE">
        <w:rPr>
          <w:rStyle w:val="Char3"/>
          <w:rFonts w:hint="cs"/>
          <w:rtl/>
        </w:rPr>
        <w:t>ۡ</w:t>
      </w:r>
      <w:r w:rsidRPr="00DF7CAE">
        <w:rPr>
          <w:rStyle w:val="Char3"/>
          <w:rFonts w:hint="eastAsia"/>
          <w:rtl/>
        </w:rPr>
        <w:t>عَانِ</w:t>
      </w:r>
      <w:r w:rsidRPr="00DF7CAE">
        <w:rPr>
          <w:rStyle w:val="Char3"/>
          <w:rFonts w:hint="cs"/>
          <w:rtl/>
        </w:rPr>
        <w:t>ۗ</w:t>
      </w:r>
      <w:r w:rsidRPr="00DF7CAE">
        <w:rPr>
          <w:rStyle w:val="Char3"/>
          <w:rtl/>
        </w:rPr>
        <w:t xml:space="preserve"> </w:t>
      </w:r>
      <w:r w:rsidRPr="00DF7CAE">
        <w:rPr>
          <w:rStyle w:val="Char3"/>
          <w:rFonts w:hint="eastAsia"/>
          <w:rtl/>
        </w:rPr>
        <w:t>وَ</w:t>
      </w:r>
      <w:r w:rsidRPr="00DF7CAE">
        <w:rPr>
          <w:rStyle w:val="Char3"/>
          <w:rFonts w:hint="cs"/>
          <w:rtl/>
        </w:rPr>
        <w:t>ٱ</w:t>
      </w:r>
      <w:r w:rsidRPr="00DF7CAE">
        <w:rPr>
          <w:rStyle w:val="Char3"/>
          <w:rFonts w:hint="eastAsia"/>
          <w:rtl/>
        </w:rPr>
        <w:t>للَّهُ</w:t>
      </w:r>
      <w:r w:rsidRPr="00DF7CAE">
        <w:rPr>
          <w:rStyle w:val="Char3"/>
          <w:rtl/>
        </w:rPr>
        <w:t xml:space="preserve"> </w:t>
      </w:r>
      <w:r w:rsidRPr="00DF7CAE">
        <w:rPr>
          <w:rStyle w:val="Char3"/>
          <w:rFonts w:hint="eastAsia"/>
          <w:rtl/>
        </w:rPr>
        <w:t>عَلَى</w:t>
      </w:r>
      <w:r w:rsidRPr="00DF7CAE">
        <w:rPr>
          <w:rStyle w:val="Char3"/>
          <w:rFonts w:hint="cs"/>
          <w:rtl/>
        </w:rPr>
        <w:t>ٰ</w:t>
      </w:r>
      <w:r w:rsidRPr="00DF7CAE">
        <w:rPr>
          <w:rStyle w:val="Char3"/>
          <w:rtl/>
        </w:rPr>
        <w:t xml:space="preserve"> </w:t>
      </w:r>
      <w:r w:rsidRPr="00DF7CAE">
        <w:rPr>
          <w:rStyle w:val="Char3"/>
          <w:rFonts w:hint="eastAsia"/>
          <w:rtl/>
        </w:rPr>
        <w:t>كُلِّ</w:t>
      </w:r>
      <w:r w:rsidRPr="00DF7CAE">
        <w:rPr>
          <w:rStyle w:val="Char3"/>
          <w:rtl/>
        </w:rPr>
        <w:t xml:space="preserve"> </w:t>
      </w:r>
      <w:r w:rsidRPr="00DF7CAE">
        <w:rPr>
          <w:rStyle w:val="Char3"/>
          <w:rFonts w:hint="eastAsia"/>
          <w:rtl/>
        </w:rPr>
        <w:t>شَي</w:t>
      </w:r>
      <w:r w:rsidRPr="00DF7CAE">
        <w:rPr>
          <w:rStyle w:val="Char3"/>
          <w:rFonts w:hint="cs"/>
          <w:rtl/>
        </w:rPr>
        <w:t>ۡ</w:t>
      </w:r>
      <w:r w:rsidRPr="00DF7CAE">
        <w:rPr>
          <w:rStyle w:val="Char3"/>
          <w:rFonts w:hint="eastAsia"/>
          <w:rtl/>
        </w:rPr>
        <w:t>ء</w:t>
      </w:r>
      <w:r w:rsidRPr="00DF7CAE">
        <w:rPr>
          <w:rStyle w:val="Char3"/>
          <w:rFonts w:hint="cs"/>
          <w:rtl/>
        </w:rPr>
        <w:t>ٖ</w:t>
      </w:r>
      <w:r w:rsidRPr="00DF7CAE">
        <w:rPr>
          <w:rStyle w:val="Char3"/>
          <w:rtl/>
        </w:rPr>
        <w:t xml:space="preserve"> </w:t>
      </w:r>
      <w:r w:rsidRPr="00DF7CAE">
        <w:rPr>
          <w:rStyle w:val="Char3"/>
          <w:rFonts w:hint="eastAsia"/>
          <w:rtl/>
        </w:rPr>
        <w:t>قَدِيرٌ</w:t>
      </w:r>
      <w:r w:rsidRPr="00995B26">
        <w:rPr>
          <w:rFonts w:ascii="Abo-thar" w:hAnsi="Abo-thar" w:cs="Traditional Arabic" w:hint="cs"/>
          <w:sz w:val="28"/>
          <w:rtl/>
          <w:lang w:bidi="ar-SY"/>
        </w:rPr>
        <w:t>﴾</w:t>
      </w:r>
      <w:r w:rsidR="005C664D" w:rsidRPr="003F3B94">
        <w:rPr>
          <w:rFonts w:ascii="Abo-thar" w:hAnsi="Abo-thar"/>
          <w:sz w:val="28"/>
          <w:rtl/>
          <w:lang w:bidi="ar-SY"/>
        </w:rPr>
        <w:t xml:space="preserve"> </w:t>
      </w:r>
      <w:r w:rsidR="005C664D" w:rsidRPr="00FC12FD">
        <w:rPr>
          <w:rStyle w:val="Char2"/>
          <w:rtl/>
        </w:rPr>
        <w:t>[الأنفال</w:t>
      </w:r>
      <w:r w:rsidRPr="00FC12FD">
        <w:rPr>
          <w:rStyle w:val="Char2"/>
          <w:rFonts w:hint="cs"/>
          <w:rtl/>
        </w:rPr>
        <w:t xml:space="preserve">: </w:t>
      </w:r>
      <w:r w:rsidR="005C664D" w:rsidRPr="00FC12FD">
        <w:rPr>
          <w:rStyle w:val="Char2"/>
          <w:rtl/>
        </w:rPr>
        <w:t>41]</w:t>
      </w:r>
      <w:r w:rsidR="005C664D" w:rsidRPr="003F3B94">
        <w:rPr>
          <w:rFonts w:ascii="Abo-thar" w:hAnsi="Abo-thar" w:hint="cs"/>
          <w:sz w:val="28"/>
          <w:rtl/>
          <w:lang w:bidi="ar-SY"/>
        </w:rPr>
        <w:t xml:space="preserve"> </w:t>
      </w:r>
    </w:p>
    <w:p w:rsidR="005C664D" w:rsidRPr="003F3B94" w:rsidRDefault="005C664D" w:rsidP="003F3B94">
      <w:pPr>
        <w:pStyle w:val="a0"/>
        <w:rPr>
          <w:rFonts w:hint="cs"/>
          <w:rtl/>
          <w:lang w:bidi="ar-SY"/>
        </w:rPr>
      </w:pPr>
      <w:r w:rsidRPr="003F3B94">
        <w:rPr>
          <w:rFonts w:ascii="Abo-thar" w:hAnsi="Abo-thar" w:hint="cs"/>
          <w:sz w:val="28"/>
          <w:rtl/>
          <w:lang w:bidi="ar-SY"/>
        </w:rPr>
        <w:t xml:space="preserve">وقد بيَّنَتْ الآيات التي تلت هذه الآية تلك الأمور التي حدثت في ذلك اليوم الذي أشارت إليه </w:t>
      </w:r>
      <w:r w:rsidRPr="003F3B94">
        <w:rPr>
          <w:rFonts w:cs="Times New Roman" w:hint="cs"/>
          <w:sz w:val="28"/>
          <w:rtl/>
          <w:lang w:bidi="ar-SY"/>
        </w:rPr>
        <w:t>–</w:t>
      </w:r>
      <w:r w:rsidRPr="003F3B94">
        <w:rPr>
          <w:rFonts w:ascii="Abo-thar" w:hAnsi="Abo-thar" w:hint="cs"/>
          <w:sz w:val="28"/>
          <w:rtl/>
          <w:lang w:bidi="ar-SY"/>
        </w:rPr>
        <w:t xml:space="preserve"> أي يوم الفرقان </w:t>
      </w:r>
      <w:r w:rsidRPr="003F3B94">
        <w:rPr>
          <w:rFonts w:cs="Times New Roman" w:hint="cs"/>
          <w:sz w:val="28"/>
          <w:rtl/>
          <w:lang w:bidi="ar-SY"/>
        </w:rPr>
        <w:t>–</w:t>
      </w:r>
      <w:r w:rsidR="00147857" w:rsidRPr="003F3B94">
        <w:rPr>
          <w:rFonts w:ascii="Abo-thar" w:hAnsi="Abo-thar" w:hint="cs"/>
          <w:sz w:val="28"/>
          <w:rtl/>
          <w:lang w:bidi="ar-SY"/>
        </w:rPr>
        <w:t xml:space="preserve"> </w:t>
      </w:r>
      <w:r w:rsidRPr="003F3B94">
        <w:rPr>
          <w:rFonts w:ascii="Abo-thar" w:hAnsi="Abo-thar" w:hint="cs"/>
          <w:sz w:val="28"/>
          <w:rtl/>
          <w:lang w:bidi="ar-SY"/>
        </w:rPr>
        <w:t>والتي كانت أحداث معركة بدر</w:t>
      </w:r>
      <w:r w:rsidR="00217AB4" w:rsidRPr="003F3B94">
        <w:rPr>
          <w:rFonts w:ascii="Abo-thar" w:hAnsi="Abo-thar" w:hint="cs"/>
          <w:sz w:val="28"/>
          <w:rtl/>
          <w:lang w:bidi="ar-SY"/>
        </w:rPr>
        <w:t>.</w:t>
      </w:r>
      <w:r w:rsidRPr="003F3B94">
        <w:rPr>
          <w:rFonts w:ascii="Abo-thar" w:hAnsi="Abo-thar" w:hint="cs"/>
          <w:sz w:val="28"/>
          <w:rtl/>
          <w:lang w:bidi="ar-SY"/>
        </w:rPr>
        <w:t xml:space="preserve"> كما أن الآيات التي تسبق الآية المذكورة تتعلق أيضاً بالحرب والجهاد وهو ما سنشرحه عن قريب إنشاء الله خلال بياننا لآيات الغنائم</w:t>
      </w:r>
      <w:r w:rsidR="00217AB4" w:rsidRPr="003F3B94">
        <w:rPr>
          <w:rFonts w:ascii="Abo-thar" w:hAnsi="Abo-thar" w:hint="cs"/>
          <w:sz w:val="28"/>
          <w:rtl/>
          <w:lang w:bidi="ar-SY"/>
        </w:rPr>
        <w:t>.</w:t>
      </w:r>
      <w:r w:rsidRPr="003F3B94">
        <w:rPr>
          <w:rFonts w:ascii="Abo-thar" w:hAnsi="Abo-thar" w:hint="cs"/>
          <w:sz w:val="28"/>
          <w:rtl/>
          <w:lang w:bidi="ar-SY"/>
        </w:rPr>
        <w:t xml:space="preserve"> </w:t>
      </w:r>
    </w:p>
    <w:p w:rsidR="005C664D" w:rsidRPr="003F3B94" w:rsidRDefault="00316335" w:rsidP="003F3B94">
      <w:pPr>
        <w:pStyle w:val="a0"/>
        <w:rPr>
          <w:rFonts w:hint="cs"/>
          <w:rtl/>
        </w:rPr>
      </w:pPr>
      <w:r>
        <w:rPr>
          <w:rFonts w:ascii="Abo-thar" w:hAnsi="Abo-thar" w:hint="cs"/>
          <w:sz w:val="28"/>
          <w:rtl/>
        </w:rPr>
        <w:t>يرى</w:t>
      </w:r>
      <w:r>
        <w:rPr>
          <w:rFonts w:ascii="Abo-thar" w:hAnsi="Abo-thar" w:hint="cs"/>
          <w:sz w:val="28"/>
          <w:rtl/>
          <w:lang w:bidi="ar-SY"/>
        </w:rPr>
        <w:t xml:space="preserve"> أكثر</w:t>
      </w:r>
      <w:r w:rsidR="005C664D" w:rsidRPr="003F3B94">
        <w:rPr>
          <w:rFonts w:ascii="Abo-thar" w:hAnsi="Abo-thar" w:hint="cs"/>
          <w:sz w:val="28"/>
          <w:rtl/>
          <w:lang w:bidi="ar-SY"/>
        </w:rPr>
        <w:t xml:space="preserve"> المفسرين والمؤرخين وأرباب السير على أن نزول هذه الآية كان</w:t>
      </w:r>
      <w:r w:rsidR="00F0518B" w:rsidRPr="003F3B94">
        <w:rPr>
          <w:rFonts w:ascii="Abo-thar" w:hAnsi="Abo-thar" w:hint="cs"/>
          <w:sz w:val="28"/>
          <w:rtl/>
          <w:lang w:bidi="ar-SY"/>
        </w:rPr>
        <w:t xml:space="preserve"> عقب معركة بدر التي يتفق المؤرخو</w:t>
      </w:r>
      <w:r w:rsidR="005C664D" w:rsidRPr="003F3B94">
        <w:rPr>
          <w:rFonts w:ascii="Abo-thar" w:hAnsi="Abo-thar" w:hint="cs"/>
          <w:sz w:val="28"/>
          <w:rtl/>
          <w:lang w:bidi="ar-SY"/>
        </w:rPr>
        <w:t>ن على أنها وقعت في السنة الثانية للهجرة</w:t>
      </w:r>
      <w:r w:rsidR="00217AB4" w:rsidRPr="003F3B94">
        <w:rPr>
          <w:rFonts w:ascii="Abo-thar" w:hAnsi="Abo-thar" w:hint="cs"/>
          <w:sz w:val="28"/>
          <w:rtl/>
          <w:lang w:bidi="ar-SY"/>
        </w:rPr>
        <w:t>،</w:t>
      </w:r>
      <w:r w:rsidR="005C664D" w:rsidRPr="003F3B94">
        <w:rPr>
          <w:rFonts w:ascii="Abo-thar" w:hAnsi="Abo-thar" w:hint="cs"/>
          <w:sz w:val="28"/>
          <w:rtl/>
          <w:lang w:bidi="ar-SY"/>
        </w:rPr>
        <w:t xml:space="preserve"> وأن الآية الكريمة نزلت لرفع الاختلاف وإنهاء النزاع الذي وقع بين المجاهدين حول تقسيم الغنائم التي وقعت بأيدي المسلمين إِثْر تلك المعركة</w:t>
      </w:r>
      <w:r w:rsidR="00217AB4" w:rsidRPr="003F3B94">
        <w:rPr>
          <w:rFonts w:ascii="Abo-thar" w:hAnsi="Abo-thar" w:hint="cs"/>
          <w:sz w:val="28"/>
          <w:rtl/>
          <w:lang w:bidi="ar-SY"/>
        </w:rPr>
        <w:t>.</w:t>
      </w:r>
      <w:r w:rsidR="005C664D" w:rsidRPr="003F3B94">
        <w:rPr>
          <w:rFonts w:ascii="Abo-thar" w:hAnsi="Abo-thar" w:hint="cs"/>
          <w:sz w:val="28"/>
          <w:rtl/>
          <w:lang w:bidi="ar-SY"/>
        </w:rPr>
        <w:t xml:space="preserve"> وقد عمل رسول الله</w:t>
      </w:r>
      <w:r w:rsidR="00147857" w:rsidRPr="003F3B94">
        <w:rPr>
          <w:rFonts w:ascii="Abo-thar" w:hAnsi="Abo-thar" w:hint="cs"/>
          <w:sz w:val="28"/>
          <w:rtl/>
          <w:lang w:bidi="ar-SY"/>
        </w:rPr>
        <w:t xml:space="preserve"> </w:t>
      </w:r>
      <w:r w:rsidR="003C7AEB" w:rsidRPr="003C7AEB">
        <w:rPr>
          <w:rFonts w:ascii="Abo-thar" w:hAnsi="Abo-thar" w:cs="CTraditional Arabic" w:hint="cs"/>
          <w:sz w:val="28"/>
          <w:rtl/>
          <w:lang w:bidi="ar-SY"/>
        </w:rPr>
        <w:t>ص</w:t>
      </w:r>
      <w:r w:rsidR="00147857" w:rsidRPr="003F3B94">
        <w:rPr>
          <w:rFonts w:ascii="Abo-thar" w:hAnsi="Abo-thar" w:hint="cs"/>
          <w:sz w:val="28"/>
          <w:rtl/>
          <w:lang w:bidi="ar-SY"/>
        </w:rPr>
        <w:t xml:space="preserve"> </w:t>
      </w:r>
      <w:r w:rsidR="005C664D" w:rsidRPr="003F3B94">
        <w:rPr>
          <w:rFonts w:ascii="Abo-thar" w:hAnsi="Abo-thar" w:hint="cs"/>
          <w:sz w:val="28"/>
          <w:rtl/>
          <w:lang w:bidi="ar-SY"/>
        </w:rPr>
        <w:t>بمقتضى هذه الآية</w:t>
      </w:r>
      <w:r w:rsidR="00217AB4" w:rsidRPr="003F3B94">
        <w:rPr>
          <w:rFonts w:ascii="Abo-thar" w:hAnsi="Abo-thar" w:hint="cs"/>
          <w:sz w:val="28"/>
          <w:rtl/>
          <w:lang w:bidi="ar-SY"/>
        </w:rPr>
        <w:t>.</w:t>
      </w:r>
      <w:r w:rsidR="005C664D" w:rsidRPr="003F3B94">
        <w:rPr>
          <w:rFonts w:ascii="Abo-thar" w:hAnsi="Abo-thar" w:hint="cs"/>
          <w:sz w:val="28"/>
          <w:rtl/>
          <w:lang w:bidi="ar-SY"/>
        </w:rPr>
        <w:t xml:space="preserve"> وهناك أقوال أخرى أيضاً ترى أن المراد من غنيمة الحرب في هذه الآية ليس غنائم معركة بدر فقط بل غنائم الغزوات الأخرى قبلها أو بعدها</w:t>
      </w:r>
      <w:r w:rsidR="00217AB4" w:rsidRPr="003F3B94">
        <w:rPr>
          <w:rFonts w:ascii="Abo-thar" w:hAnsi="Abo-thar" w:hint="cs"/>
          <w:sz w:val="28"/>
          <w:rtl/>
          <w:lang w:bidi="ar-SY"/>
        </w:rPr>
        <w:t>،</w:t>
      </w:r>
      <w:r w:rsidR="005C664D" w:rsidRPr="003F3B94">
        <w:rPr>
          <w:rFonts w:ascii="Abo-thar" w:hAnsi="Abo-thar" w:hint="cs"/>
          <w:sz w:val="28"/>
          <w:rtl/>
          <w:lang w:bidi="ar-SY"/>
        </w:rPr>
        <w:t xml:space="preserve"> ولكن لما كان هذا الخلاف غير مؤثر في موضوعنا لذا لن نتعر</w:t>
      </w:r>
      <w:r w:rsidR="00F0518B" w:rsidRPr="003F3B94">
        <w:rPr>
          <w:rFonts w:ascii="Abo-thar" w:hAnsi="Abo-thar" w:hint="cs"/>
          <w:sz w:val="28"/>
          <w:rtl/>
          <w:lang w:bidi="ar-SY"/>
        </w:rPr>
        <w:t>َّ</w:t>
      </w:r>
      <w:r w:rsidR="005C664D" w:rsidRPr="003F3B94">
        <w:rPr>
          <w:rFonts w:ascii="Abo-thar" w:hAnsi="Abo-thar" w:hint="cs"/>
          <w:sz w:val="28"/>
          <w:rtl/>
          <w:lang w:bidi="ar-SY"/>
        </w:rPr>
        <w:t>ض له</w:t>
      </w:r>
      <w:r w:rsidR="00217AB4" w:rsidRPr="003F3B94">
        <w:rPr>
          <w:rFonts w:ascii="Abo-thar" w:hAnsi="Abo-thar" w:hint="cs"/>
          <w:sz w:val="28"/>
          <w:rtl/>
          <w:lang w:bidi="ar-SY"/>
        </w:rPr>
        <w:t>.</w:t>
      </w:r>
      <w:r w:rsidR="005C664D" w:rsidRPr="003F3B94">
        <w:rPr>
          <w:rFonts w:ascii="Abo-thar" w:hAnsi="Abo-thar" w:hint="cs"/>
          <w:sz w:val="28"/>
          <w:rtl/>
          <w:lang w:bidi="ar-SY"/>
        </w:rPr>
        <w:t xml:space="preserve"> </w:t>
      </w:r>
    </w:p>
    <w:p w:rsidR="005C664D" w:rsidRPr="003F3B94" w:rsidRDefault="005C664D" w:rsidP="003F3B94">
      <w:pPr>
        <w:pStyle w:val="a0"/>
        <w:rPr>
          <w:rFonts w:hint="cs"/>
          <w:rtl/>
          <w:lang w:bidi="ar-SY"/>
        </w:rPr>
      </w:pPr>
      <w:r w:rsidRPr="003F3B94">
        <w:rPr>
          <w:rFonts w:ascii="Abo-thar" w:hAnsi="Abo-thar" w:hint="cs"/>
          <w:sz w:val="28"/>
          <w:rtl/>
          <w:lang w:bidi="ar-SY"/>
        </w:rPr>
        <w:t>هنا نرى من الضروري</w:t>
      </w:r>
      <w:r w:rsidR="007B6963" w:rsidRPr="003F3B94">
        <w:rPr>
          <w:rFonts w:ascii="Abo-thar" w:hAnsi="Abo-thar" w:hint="cs"/>
          <w:sz w:val="28"/>
          <w:rtl/>
          <w:lang w:bidi="ar-SY"/>
        </w:rPr>
        <w:t>،</w:t>
      </w:r>
      <w:r w:rsidRPr="003F3B94">
        <w:rPr>
          <w:rFonts w:ascii="Abo-thar" w:hAnsi="Abo-thar" w:hint="cs"/>
          <w:sz w:val="28"/>
          <w:rtl/>
          <w:lang w:bidi="ar-SY"/>
        </w:rPr>
        <w:t xml:space="preserve"> لأجل توضيح الموضوع والوصول إلى الحقيقة بشأن مسألة الخمس</w:t>
      </w:r>
      <w:r w:rsidR="007B6963" w:rsidRPr="003F3B94">
        <w:rPr>
          <w:rFonts w:ascii="Abo-thar" w:hAnsi="Abo-thar" w:hint="cs"/>
          <w:sz w:val="28"/>
          <w:rtl/>
          <w:lang w:bidi="ar-SY"/>
        </w:rPr>
        <w:t>،</w:t>
      </w:r>
      <w:r w:rsidRPr="003F3B94">
        <w:rPr>
          <w:rFonts w:ascii="Abo-thar" w:hAnsi="Abo-thar" w:hint="cs"/>
          <w:sz w:val="28"/>
          <w:rtl/>
          <w:lang w:bidi="ar-SY"/>
        </w:rPr>
        <w:t xml:space="preserve"> أن نقدم له بذكر عدَّة نقاط</w:t>
      </w:r>
      <w:r w:rsidR="00217AB4" w:rsidRPr="003F3B94">
        <w:rPr>
          <w:rFonts w:ascii="Abo-thar" w:hAnsi="Abo-thar" w:hint="cs"/>
          <w:sz w:val="28"/>
          <w:rtl/>
          <w:lang w:bidi="ar-SY"/>
        </w:rPr>
        <w:t>:</w:t>
      </w:r>
      <w:r w:rsidRPr="003F3B94">
        <w:rPr>
          <w:rFonts w:ascii="Abo-thar" w:hAnsi="Abo-thar" w:hint="cs"/>
          <w:sz w:val="28"/>
          <w:rtl/>
          <w:lang w:bidi="ar-SY"/>
        </w:rPr>
        <w:t xml:space="preserve"> </w:t>
      </w:r>
    </w:p>
    <w:p w:rsidR="005C664D" w:rsidRPr="00995B26" w:rsidRDefault="005C664D" w:rsidP="003F3B94">
      <w:pPr>
        <w:pStyle w:val="a0"/>
        <w:rPr>
          <w:rFonts w:hint="cs"/>
          <w:rtl/>
          <w:lang w:bidi="ar-SY"/>
        </w:rPr>
      </w:pPr>
      <w:r w:rsidRPr="003F3B94">
        <w:rPr>
          <w:rFonts w:ascii="Abo-thar" w:hAnsi="Abo-thar" w:hint="cs"/>
          <w:b/>
          <w:bCs/>
          <w:sz w:val="28"/>
          <w:rtl/>
          <w:lang w:bidi="ar-SY"/>
        </w:rPr>
        <w:t>1</w:t>
      </w:r>
      <w:r w:rsidR="00217AB4" w:rsidRPr="003F3B94">
        <w:rPr>
          <w:rFonts w:ascii="Abo-thar" w:hAnsi="Abo-thar" w:hint="cs"/>
          <w:b/>
          <w:bCs/>
          <w:sz w:val="28"/>
          <w:rtl/>
          <w:lang w:bidi="ar-SY"/>
        </w:rPr>
        <w:t>-</w:t>
      </w:r>
      <w:r w:rsidRPr="003F3B94">
        <w:rPr>
          <w:rFonts w:ascii="Abo-thar" w:hAnsi="Abo-thar" w:hint="cs"/>
          <w:b/>
          <w:bCs/>
          <w:sz w:val="28"/>
          <w:rtl/>
          <w:lang w:bidi="ar-SY"/>
        </w:rPr>
        <w:t xml:space="preserve"> النقطة الأولى</w:t>
      </w:r>
      <w:r w:rsidR="00217AB4" w:rsidRPr="003F3B94">
        <w:rPr>
          <w:rFonts w:ascii="Abo-thar" w:hAnsi="Abo-thar" w:hint="cs"/>
          <w:b/>
          <w:bCs/>
          <w:sz w:val="28"/>
          <w:rtl/>
          <w:lang w:bidi="ar-SY"/>
        </w:rPr>
        <w:t>:</w:t>
      </w:r>
      <w:r w:rsidRPr="003F3B94">
        <w:rPr>
          <w:rFonts w:ascii="Abo-thar" w:hAnsi="Abo-thar" w:hint="cs"/>
          <w:sz w:val="28"/>
          <w:rtl/>
          <w:lang w:bidi="ar-SY"/>
        </w:rPr>
        <w:t xml:space="preserve"> كانت الآية المذكورة أول حكم يتعلق بموضوع الأموال وحقوق الله ورسوله بشأن تقسيمها</w:t>
      </w:r>
      <w:r w:rsidR="00217AB4" w:rsidRPr="003F3B94">
        <w:rPr>
          <w:rFonts w:ascii="Abo-thar" w:hAnsi="Abo-thar" w:hint="cs"/>
          <w:sz w:val="28"/>
          <w:rtl/>
          <w:lang w:bidi="ar-SY"/>
        </w:rPr>
        <w:t>،</w:t>
      </w:r>
      <w:r w:rsidRPr="003F3B94">
        <w:rPr>
          <w:rFonts w:ascii="Abo-thar" w:hAnsi="Abo-thar" w:hint="cs"/>
          <w:sz w:val="28"/>
          <w:rtl/>
          <w:lang w:bidi="ar-SY"/>
        </w:rPr>
        <w:t xml:space="preserve"> كما كانت أول ما تم تنفيذه في هذا المجال</w:t>
      </w:r>
      <w:r w:rsidR="00217AB4" w:rsidRPr="003F3B94">
        <w:rPr>
          <w:rFonts w:ascii="Abo-thar" w:hAnsi="Abo-thar" w:hint="cs"/>
          <w:sz w:val="28"/>
          <w:rtl/>
          <w:lang w:bidi="ar-SY"/>
        </w:rPr>
        <w:t>.</w:t>
      </w:r>
      <w:r w:rsidRPr="003F3B94">
        <w:rPr>
          <w:rFonts w:ascii="Abo-thar" w:hAnsi="Abo-thar" w:hint="cs"/>
          <w:sz w:val="28"/>
          <w:rtl/>
          <w:lang w:bidi="ar-SY"/>
        </w:rPr>
        <w:t xml:space="preserve"> فرغم أن الآيات المتعلقة بالزكاة قد نزلت في عدد من السور المكية في مكة المكرمة أي قبل الهجرة إلى المدينة إلا أنها كانت دون بيانٍ لكيفية تقسيمها أو تحديدٍ لمصارفها أو لمقدار نصابها</w:t>
      </w:r>
      <w:r w:rsidR="00217AB4" w:rsidRPr="003F3B94">
        <w:rPr>
          <w:rFonts w:ascii="Abo-thar" w:hAnsi="Abo-thar" w:hint="cs"/>
          <w:sz w:val="28"/>
          <w:rtl/>
          <w:lang w:bidi="ar-SY"/>
        </w:rPr>
        <w:t>،</w:t>
      </w:r>
      <w:r w:rsidRPr="003F3B94">
        <w:rPr>
          <w:rFonts w:ascii="Abo-thar" w:hAnsi="Abo-thar" w:hint="cs"/>
          <w:sz w:val="28"/>
          <w:rtl/>
          <w:lang w:bidi="ar-SY"/>
        </w:rPr>
        <w:t xml:space="preserve"> وذلك لأن آيات الزكاة لم تأخذ طريقها إلى العمل في ذلك الوقت [حيث لم تقم دولة الإسلام بعد] ولم يكن لها ملاك محدد</w:t>
      </w:r>
      <w:r w:rsidR="00217AB4" w:rsidRPr="003F3B94">
        <w:rPr>
          <w:rFonts w:ascii="Abo-thar" w:hAnsi="Abo-thar" w:hint="cs"/>
          <w:sz w:val="28"/>
          <w:rtl/>
          <w:lang w:bidi="ar-SY"/>
        </w:rPr>
        <w:t>.</w:t>
      </w:r>
      <w:r w:rsidRPr="003F3B94">
        <w:rPr>
          <w:rFonts w:ascii="Abo-thar" w:hAnsi="Abo-thar" w:hint="cs"/>
          <w:sz w:val="28"/>
          <w:rtl/>
          <w:lang w:bidi="ar-SY"/>
        </w:rPr>
        <w:t xml:space="preserve"> واستمر ذلك حتى السنة التاسعة أو العاشرة بعد هجرة رسول الله</w:t>
      </w:r>
      <w:r w:rsidR="00147857" w:rsidRPr="003F3B94">
        <w:rPr>
          <w:rFonts w:ascii="Abo-thar" w:hAnsi="Abo-thar" w:hint="cs"/>
          <w:sz w:val="28"/>
          <w:rtl/>
          <w:lang w:bidi="ar-SY"/>
        </w:rPr>
        <w:t xml:space="preserve"> </w:t>
      </w:r>
      <w:r w:rsidR="003C7AEB" w:rsidRPr="003C7AEB">
        <w:rPr>
          <w:rFonts w:ascii="Abo-thar" w:hAnsi="Abo-thar" w:cs="CTraditional Arabic"/>
          <w:sz w:val="28"/>
          <w:rtl/>
          <w:lang w:bidi="ar-SY"/>
        </w:rPr>
        <w:t>ص</w:t>
      </w:r>
      <w:r w:rsidR="00147857" w:rsidRPr="003F3B94">
        <w:rPr>
          <w:rFonts w:ascii="Abo-thar" w:hAnsi="Abo-thar"/>
          <w:sz w:val="28"/>
          <w:rtl/>
          <w:lang w:bidi="ar-SY"/>
        </w:rPr>
        <w:t xml:space="preserve"> </w:t>
      </w:r>
      <w:r w:rsidRPr="003F3B94">
        <w:rPr>
          <w:rFonts w:ascii="Abo-thar" w:hAnsi="Abo-thar" w:hint="cs"/>
          <w:sz w:val="28"/>
          <w:rtl/>
          <w:lang w:bidi="ar-SY"/>
        </w:rPr>
        <w:t>عندما نزل أمر الله سبحانه وتعالى الذي يقول</w:t>
      </w:r>
      <w:r w:rsidR="00217AB4" w:rsidRPr="003F3B94">
        <w:rPr>
          <w:rFonts w:ascii="Abo-thar" w:hAnsi="Abo-thar" w:hint="cs"/>
          <w:sz w:val="28"/>
          <w:rtl/>
          <w:lang w:bidi="ar-SY"/>
        </w:rPr>
        <w:t>:</w:t>
      </w:r>
      <w:r w:rsidR="00DD7D67" w:rsidRPr="003F3B94">
        <w:rPr>
          <w:rFonts w:ascii="Abo-thar" w:hAnsi="Abo-thar" w:hint="cs"/>
          <w:sz w:val="28"/>
          <w:rtl/>
          <w:lang w:bidi="ar-SY"/>
        </w:rPr>
        <w:t xml:space="preserve"> </w:t>
      </w:r>
      <w:r w:rsidR="00DD7D67" w:rsidRPr="00995B26">
        <w:rPr>
          <w:rFonts w:ascii="Abo-thar" w:hAnsi="Abo-thar" w:cs="Traditional Arabic" w:hint="cs"/>
          <w:sz w:val="28"/>
          <w:rtl/>
          <w:lang w:bidi="ar-SY"/>
        </w:rPr>
        <w:t>﴿</w:t>
      </w:r>
      <w:r w:rsidR="00DD7D67" w:rsidRPr="00DF7CAE">
        <w:rPr>
          <w:rStyle w:val="Char3"/>
          <w:rFonts w:hint="eastAsia"/>
          <w:rtl/>
        </w:rPr>
        <w:t>خُذ</w:t>
      </w:r>
      <w:r w:rsidR="00DD7D67" w:rsidRPr="00DF7CAE">
        <w:rPr>
          <w:rStyle w:val="Char3"/>
          <w:rFonts w:hint="cs"/>
          <w:rtl/>
        </w:rPr>
        <w:t xml:space="preserve"> </w:t>
      </w:r>
      <w:r w:rsidR="00DD7D67" w:rsidRPr="00DF7CAE">
        <w:rPr>
          <w:rStyle w:val="Char3"/>
          <w:rFonts w:hint="eastAsia"/>
          <w:rtl/>
        </w:rPr>
        <w:t>مِن</w:t>
      </w:r>
      <w:r w:rsidR="00DD7D67" w:rsidRPr="00DF7CAE">
        <w:rPr>
          <w:rStyle w:val="Char3"/>
          <w:rFonts w:hint="cs"/>
          <w:rtl/>
        </w:rPr>
        <w:t>ۡ</w:t>
      </w:r>
      <w:r w:rsidR="00DD7D67" w:rsidRPr="00DF7CAE">
        <w:rPr>
          <w:rStyle w:val="Char3"/>
          <w:rtl/>
        </w:rPr>
        <w:t xml:space="preserve"> </w:t>
      </w:r>
      <w:r w:rsidR="00DD7D67" w:rsidRPr="00DF7CAE">
        <w:rPr>
          <w:rStyle w:val="Char3"/>
          <w:rFonts w:hint="eastAsia"/>
          <w:rtl/>
        </w:rPr>
        <w:t>أَم</w:t>
      </w:r>
      <w:r w:rsidR="00DD7D67" w:rsidRPr="00DF7CAE">
        <w:rPr>
          <w:rStyle w:val="Char3"/>
          <w:rFonts w:hint="cs"/>
          <w:rtl/>
        </w:rPr>
        <w:t>ۡ</w:t>
      </w:r>
      <w:r w:rsidR="00DD7D67" w:rsidRPr="00DF7CAE">
        <w:rPr>
          <w:rStyle w:val="Char3"/>
          <w:rFonts w:hint="eastAsia"/>
          <w:rtl/>
        </w:rPr>
        <w:t>وَ</w:t>
      </w:r>
      <w:r w:rsidR="00DD7D67" w:rsidRPr="00DF7CAE">
        <w:rPr>
          <w:rStyle w:val="Char3"/>
          <w:rFonts w:hint="cs"/>
          <w:rtl/>
        </w:rPr>
        <w:t>ٰ</w:t>
      </w:r>
      <w:r w:rsidR="00DD7D67" w:rsidRPr="00DF7CAE">
        <w:rPr>
          <w:rStyle w:val="Char3"/>
          <w:rFonts w:hint="eastAsia"/>
          <w:rtl/>
        </w:rPr>
        <w:t>لِهِم</w:t>
      </w:r>
      <w:r w:rsidR="00DD7D67" w:rsidRPr="00DF7CAE">
        <w:rPr>
          <w:rStyle w:val="Char3"/>
          <w:rFonts w:hint="cs"/>
          <w:rtl/>
        </w:rPr>
        <w:t>ۡ</w:t>
      </w:r>
      <w:r w:rsidR="00DD7D67" w:rsidRPr="00DF7CAE">
        <w:rPr>
          <w:rStyle w:val="Char3"/>
          <w:rtl/>
        </w:rPr>
        <w:t xml:space="preserve"> </w:t>
      </w:r>
      <w:r w:rsidR="00DD7D67" w:rsidRPr="00DF7CAE">
        <w:rPr>
          <w:rStyle w:val="Char3"/>
          <w:rFonts w:hint="eastAsia"/>
          <w:rtl/>
        </w:rPr>
        <w:t>صَدَقَة</w:t>
      </w:r>
      <w:r w:rsidR="00DD7D67" w:rsidRPr="00DF7CAE">
        <w:rPr>
          <w:rStyle w:val="Char3"/>
          <w:rFonts w:hint="cs"/>
          <w:rtl/>
        </w:rPr>
        <w:t>ٗ</w:t>
      </w:r>
      <w:r w:rsidR="00DD7D67" w:rsidRPr="00DF7CAE">
        <w:rPr>
          <w:rStyle w:val="Char3"/>
          <w:rtl/>
        </w:rPr>
        <w:t xml:space="preserve"> </w:t>
      </w:r>
      <w:r w:rsidR="00DD7D67" w:rsidRPr="00DF7CAE">
        <w:rPr>
          <w:rStyle w:val="Char3"/>
          <w:rFonts w:hint="eastAsia"/>
          <w:rtl/>
        </w:rPr>
        <w:t>تُطَهِّرُهُم</w:t>
      </w:r>
      <w:r w:rsidR="00DD7D67" w:rsidRPr="00DF7CAE">
        <w:rPr>
          <w:rStyle w:val="Char3"/>
          <w:rFonts w:hint="cs"/>
          <w:rtl/>
        </w:rPr>
        <w:t>ۡ</w:t>
      </w:r>
      <w:r w:rsidR="00DD7D67" w:rsidRPr="00DF7CAE">
        <w:rPr>
          <w:rStyle w:val="Char3"/>
          <w:rtl/>
        </w:rPr>
        <w:t xml:space="preserve"> </w:t>
      </w:r>
      <w:r w:rsidR="00DD7D67" w:rsidRPr="00DF7CAE">
        <w:rPr>
          <w:rStyle w:val="Char3"/>
          <w:rFonts w:hint="eastAsia"/>
          <w:rtl/>
        </w:rPr>
        <w:t>وَتُزَكِّيهِم</w:t>
      </w:r>
      <w:r w:rsidR="00DD7D67" w:rsidRPr="00DF7CAE">
        <w:rPr>
          <w:rStyle w:val="Char3"/>
          <w:rtl/>
        </w:rPr>
        <w:t xml:space="preserve"> </w:t>
      </w:r>
      <w:r w:rsidR="00DD7D67" w:rsidRPr="00DF7CAE">
        <w:rPr>
          <w:rStyle w:val="Char3"/>
          <w:rFonts w:hint="eastAsia"/>
          <w:rtl/>
        </w:rPr>
        <w:t>بِهَا</w:t>
      </w:r>
      <w:r w:rsidR="00DD7D67" w:rsidRPr="00DF7CAE">
        <w:rPr>
          <w:rStyle w:val="Char3"/>
          <w:rFonts w:hint="cs"/>
          <w:rtl/>
        </w:rPr>
        <w:t>...</w:t>
      </w:r>
      <w:r w:rsidR="00DD7D67" w:rsidRPr="00995B26">
        <w:rPr>
          <w:rFonts w:ascii="Abo-thar" w:hAnsi="Abo-thar" w:cs="Traditional Arabic" w:hint="cs"/>
          <w:sz w:val="28"/>
          <w:rtl/>
          <w:lang w:bidi="ar-SY"/>
        </w:rPr>
        <w:t>﴾</w:t>
      </w:r>
      <w:r w:rsidRPr="00995B26">
        <w:rPr>
          <w:rFonts w:ascii="Abo-thar" w:hAnsi="Abo-thar" w:hint="cs"/>
          <w:sz w:val="28"/>
          <w:rtl/>
          <w:lang w:bidi="ar-SY"/>
        </w:rPr>
        <w:t xml:space="preserve"> </w:t>
      </w:r>
      <w:r w:rsidR="00DD7D67" w:rsidRPr="00FC12FD">
        <w:rPr>
          <w:rStyle w:val="Char2"/>
          <w:rFonts w:hint="cs"/>
          <w:rtl/>
        </w:rPr>
        <w:t>[</w:t>
      </w:r>
      <w:r w:rsidRPr="00FC12FD">
        <w:rPr>
          <w:rStyle w:val="Char2"/>
          <w:rFonts w:hint="cs"/>
          <w:rtl/>
        </w:rPr>
        <w:t>التوبة</w:t>
      </w:r>
      <w:r w:rsidR="00DD7D67" w:rsidRPr="00FC12FD">
        <w:rPr>
          <w:rStyle w:val="Char2"/>
          <w:rFonts w:hint="cs"/>
          <w:rtl/>
        </w:rPr>
        <w:t xml:space="preserve">: </w:t>
      </w:r>
      <w:r w:rsidRPr="00FC12FD">
        <w:rPr>
          <w:rStyle w:val="Char2"/>
          <w:rFonts w:hint="cs"/>
          <w:rtl/>
        </w:rPr>
        <w:t>103</w:t>
      </w:r>
      <w:r w:rsidR="00DD7D67" w:rsidRPr="00FC12FD">
        <w:rPr>
          <w:rStyle w:val="Char2"/>
          <w:rFonts w:hint="cs"/>
          <w:rtl/>
        </w:rPr>
        <w:t>]</w:t>
      </w:r>
      <w:r w:rsidRPr="00995B26">
        <w:rPr>
          <w:rFonts w:ascii="Abo-thar" w:hAnsi="Abo-thar" w:hint="cs"/>
          <w:sz w:val="28"/>
          <w:rtl/>
          <w:lang w:bidi="ar-SY"/>
        </w:rPr>
        <w:t xml:space="preserve"> ونزلت الآية التي تحدد مصارفها وهي قوله تعالى</w:t>
      </w:r>
      <w:r w:rsidR="00217AB4" w:rsidRPr="00995B26">
        <w:rPr>
          <w:rFonts w:ascii="Abo-thar" w:hAnsi="Abo-thar" w:hint="cs"/>
          <w:sz w:val="28"/>
          <w:rtl/>
          <w:lang w:bidi="ar-SY"/>
        </w:rPr>
        <w:t>:</w:t>
      </w:r>
    </w:p>
    <w:p w:rsidR="005C664D" w:rsidRPr="008E6B97" w:rsidRDefault="00DD7D67" w:rsidP="00DF7CAE">
      <w:pPr>
        <w:pStyle w:val="a0"/>
        <w:ind w:left="284" w:firstLine="0"/>
        <w:rPr>
          <w:rFonts w:hint="cs"/>
          <w:spacing w:val="-6"/>
          <w:rtl/>
          <w:lang w:bidi="ar-SY"/>
        </w:rPr>
      </w:pPr>
      <w:r w:rsidRPr="008E6B97">
        <w:rPr>
          <w:rFonts w:ascii="Abo-thar" w:hAnsi="Abo-thar" w:cs="Traditional Arabic" w:hint="cs"/>
          <w:spacing w:val="-6"/>
          <w:sz w:val="28"/>
          <w:rtl/>
          <w:lang w:bidi="ar-SY"/>
        </w:rPr>
        <w:t>﴿</w:t>
      </w:r>
      <w:r w:rsidRPr="008E6B97">
        <w:rPr>
          <w:rStyle w:val="Char3"/>
          <w:rFonts w:hint="eastAsia"/>
          <w:spacing w:val="-6"/>
          <w:rtl/>
        </w:rPr>
        <w:t>إِنَّمَا</w:t>
      </w:r>
      <w:r w:rsidRPr="008E6B97">
        <w:rPr>
          <w:rStyle w:val="Char3"/>
          <w:spacing w:val="-6"/>
          <w:rtl/>
        </w:rPr>
        <w:t xml:space="preserve"> </w:t>
      </w:r>
      <w:r w:rsidRPr="008E6B97">
        <w:rPr>
          <w:rStyle w:val="Char3"/>
          <w:rFonts w:hint="cs"/>
          <w:spacing w:val="-6"/>
          <w:rtl/>
        </w:rPr>
        <w:t>ٱ</w:t>
      </w:r>
      <w:r w:rsidRPr="008E6B97">
        <w:rPr>
          <w:rStyle w:val="Char3"/>
          <w:rFonts w:hint="eastAsia"/>
          <w:spacing w:val="-6"/>
          <w:rtl/>
        </w:rPr>
        <w:t>لصَّدَقَ</w:t>
      </w:r>
      <w:r w:rsidRPr="008E6B97">
        <w:rPr>
          <w:rStyle w:val="Char3"/>
          <w:rFonts w:hint="cs"/>
          <w:spacing w:val="-6"/>
          <w:rtl/>
        </w:rPr>
        <w:t>ٰ</w:t>
      </w:r>
      <w:r w:rsidRPr="008E6B97">
        <w:rPr>
          <w:rStyle w:val="Char3"/>
          <w:rFonts w:hint="eastAsia"/>
          <w:spacing w:val="-6"/>
          <w:rtl/>
        </w:rPr>
        <w:t>تُ</w:t>
      </w:r>
      <w:r w:rsidRPr="008E6B97">
        <w:rPr>
          <w:rStyle w:val="Char3"/>
          <w:spacing w:val="-6"/>
          <w:rtl/>
        </w:rPr>
        <w:t xml:space="preserve"> </w:t>
      </w:r>
      <w:r w:rsidRPr="008E6B97">
        <w:rPr>
          <w:rStyle w:val="Char3"/>
          <w:rFonts w:hint="eastAsia"/>
          <w:spacing w:val="-6"/>
          <w:rtl/>
        </w:rPr>
        <w:t>لِل</w:t>
      </w:r>
      <w:r w:rsidRPr="008E6B97">
        <w:rPr>
          <w:rStyle w:val="Char3"/>
          <w:rFonts w:hint="cs"/>
          <w:spacing w:val="-6"/>
          <w:rtl/>
        </w:rPr>
        <w:t>ۡ</w:t>
      </w:r>
      <w:r w:rsidRPr="008E6B97">
        <w:rPr>
          <w:rStyle w:val="Char3"/>
          <w:rFonts w:hint="eastAsia"/>
          <w:spacing w:val="-6"/>
          <w:rtl/>
        </w:rPr>
        <w:t>فُقَرَا</w:t>
      </w:r>
      <w:r w:rsidRPr="008E6B97">
        <w:rPr>
          <w:rStyle w:val="Char3"/>
          <w:rFonts w:hint="cs"/>
          <w:spacing w:val="-6"/>
          <w:rtl/>
        </w:rPr>
        <w:t>ٓ</w:t>
      </w:r>
      <w:r w:rsidRPr="008E6B97">
        <w:rPr>
          <w:rStyle w:val="Char3"/>
          <w:rFonts w:hint="eastAsia"/>
          <w:spacing w:val="-6"/>
          <w:rtl/>
        </w:rPr>
        <w:t>ءِ</w:t>
      </w:r>
      <w:r w:rsidRPr="008E6B97">
        <w:rPr>
          <w:rStyle w:val="Char3"/>
          <w:spacing w:val="-6"/>
          <w:rtl/>
        </w:rPr>
        <w:t xml:space="preserve"> </w:t>
      </w:r>
      <w:r w:rsidRPr="008E6B97">
        <w:rPr>
          <w:rStyle w:val="Char3"/>
          <w:rFonts w:hint="eastAsia"/>
          <w:spacing w:val="-6"/>
          <w:rtl/>
        </w:rPr>
        <w:t>وَ</w:t>
      </w:r>
      <w:r w:rsidRPr="008E6B97">
        <w:rPr>
          <w:rStyle w:val="Char3"/>
          <w:rFonts w:hint="cs"/>
          <w:spacing w:val="-6"/>
          <w:rtl/>
        </w:rPr>
        <w:t>ٱ</w:t>
      </w:r>
      <w:r w:rsidRPr="008E6B97">
        <w:rPr>
          <w:rStyle w:val="Char3"/>
          <w:rFonts w:hint="eastAsia"/>
          <w:spacing w:val="-6"/>
          <w:rtl/>
        </w:rPr>
        <w:t>ل</w:t>
      </w:r>
      <w:r w:rsidRPr="008E6B97">
        <w:rPr>
          <w:rStyle w:val="Char3"/>
          <w:rFonts w:hint="cs"/>
          <w:spacing w:val="-6"/>
          <w:rtl/>
        </w:rPr>
        <w:t>ۡ</w:t>
      </w:r>
      <w:r w:rsidRPr="008E6B97">
        <w:rPr>
          <w:rStyle w:val="Char3"/>
          <w:rFonts w:hint="eastAsia"/>
          <w:spacing w:val="-6"/>
          <w:rtl/>
        </w:rPr>
        <w:t>مَسَ</w:t>
      </w:r>
      <w:r w:rsidRPr="008E6B97">
        <w:rPr>
          <w:rStyle w:val="Char3"/>
          <w:rFonts w:hint="cs"/>
          <w:spacing w:val="-6"/>
          <w:rtl/>
        </w:rPr>
        <w:t>ٰ</w:t>
      </w:r>
      <w:r w:rsidRPr="008E6B97">
        <w:rPr>
          <w:rStyle w:val="Char3"/>
          <w:rFonts w:hint="eastAsia"/>
          <w:spacing w:val="-6"/>
          <w:rtl/>
        </w:rPr>
        <w:t>كِينِ</w:t>
      </w:r>
      <w:r w:rsidRPr="008E6B97">
        <w:rPr>
          <w:rStyle w:val="Char3"/>
          <w:spacing w:val="-6"/>
          <w:rtl/>
        </w:rPr>
        <w:t xml:space="preserve"> </w:t>
      </w:r>
      <w:r w:rsidRPr="008E6B97">
        <w:rPr>
          <w:rStyle w:val="Char3"/>
          <w:rFonts w:hint="eastAsia"/>
          <w:spacing w:val="-6"/>
          <w:rtl/>
        </w:rPr>
        <w:t>وَ</w:t>
      </w:r>
      <w:r w:rsidRPr="008E6B97">
        <w:rPr>
          <w:rStyle w:val="Char3"/>
          <w:rFonts w:hint="cs"/>
          <w:spacing w:val="-6"/>
          <w:rtl/>
        </w:rPr>
        <w:t>ٱ</w:t>
      </w:r>
      <w:r w:rsidRPr="008E6B97">
        <w:rPr>
          <w:rStyle w:val="Char3"/>
          <w:rFonts w:hint="eastAsia"/>
          <w:spacing w:val="-6"/>
          <w:rtl/>
        </w:rPr>
        <w:t>ل</w:t>
      </w:r>
      <w:r w:rsidRPr="008E6B97">
        <w:rPr>
          <w:rStyle w:val="Char3"/>
          <w:rFonts w:hint="cs"/>
          <w:spacing w:val="-6"/>
          <w:rtl/>
        </w:rPr>
        <w:t>ۡ</w:t>
      </w:r>
      <w:r w:rsidRPr="008E6B97">
        <w:rPr>
          <w:rStyle w:val="Char3"/>
          <w:rFonts w:hint="eastAsia"/>
          <w:spacing w:val="-6"/>
          <w:rtl/>
        </w:rPr>
        <w:t>عَ</w:t>
      </w:r>
      <w:r w:rsidRPr="008E6B97">
        <w:rPr>
          <w:rStyle w:val="Char3"/>
          <w:rFonts w:hint="cs"/>
          <w:spacing w:val="-6"/>
          <w:rtl/>
        </w:rPr>
        <w:t>ٰ</w:t>
      </w:r>
      <w:r w:rsidRPr="008E6B97">
        <w:rPr>
          <w:rStyle w:val="Char3"/>
          <w:rFonts w:hint="eastAsia"/>
          <w:spacing w:val="-6"/>
          <w:rtl/>
        </w:rPr>
        <w:t>مِلِينَ</w:t>
      </w:r>
      <w:r w:rsidRPr="008E6B97">
        <w:rPr>
          <w:rStyle w:val="Char3"/>
          <w:spacing w:val="-6"/>
          <w:rtl/>
        </w:rPr>
        <w:t xml:space="preserve"> </w:t>
      </w:r>
      <w:r w:rsidRPr="008E6B97">
        <w:rPr>
          <w:rStyle w:val="Char3"/>
          <w:rFonts w:hint="eastAsia"/>
          <w:spacing w:val="-6"/>
          <w:rtl/>
        </w:rPr>
        <w:t>عَلَي</w:t>
      </w:r>
      <w:r w:rsidRPr="008E6B97">
        <w:rPr>
          <w:rStyle w:val="Char3"/>
          <w:rFonts w:hint="cs"/>
          <w:spacing w:val="-6"/>
          <w:rtl/>
        </w:rPr>
        <w:t>ۡ</w:t>
      </w:r>
      <w:r w:rsidRPr="008E6B97">
        <w:rPr>
          <w:rStyle w:val="Char3"/>
          <w:rFonts w:hint="eastAsia"/>
          <w:spacing w:val="-6"/>
          <w:rtl/>
        </w:rPr>
        <w:t>هَا</w:t>
      </w:r>
      <w:r w:rsidRPr="008E6B97">
        <w:rPr>
          <w:rStyle w:val="Char3"/>
          <w:spacing w:val="-6"/>
          <w:rtl/>
        </w:rPr>
        <w:t xml:space="preserve"> </w:t>
      </w:r>
      <w:r w:rsidRPr="008E6B97">
        <w:rPr>
          <w:rStyle w:val="Char3"/>
          <w:rFonts w:hint="eastAsia"/>
          <w:spacing w:val="-6"/>
          <w:rtl/>
        </w:rPr>
        <w:t>وَ</w:t>
      </w:r>
      <w:r w:rsidRPr="008E6B97">
        <w:rPr>
          <w:rStyle w:val="Char3"/>
          <w:rFonts w:hint="cs"/>
          <w:spacing w:val="-6"/>
          <w:rtl/>
        </w:rPr>
        <w:t>ٱ</w:t>
      </w:r>
      <w:r w:rsidRPr="008E6B97">
        <w:rPr>
          <w:rStyle w:val="Char3"/>
          <w:rFonts w:hint="eastAsia"/>
          <w:spacing w:val="-6"/>
          <w:rtl/>
        </w:rPr>
        <w:t>ل</w:t>
      </w:r>
      <w:r w:rsidRPr="008E6B97">
        <w:rPr>
          <w:rStyle w:val="Char3"/>
          <w:rFonts w:hint="cs"/>
          <w:spacing w:val="-6"/>
          <w:rtl/>
        </w:rPr>
        <w:t>ۡ</w:t>
      </w:r>
      <w:r w:rsidRPr="008E6B97">
        <w:rPr>
          <w:rStyle w:val="Char3"/>
          <w:rFonts w:hint="eastAsia"/>
          <w:spacing w:val="-6"/>
          <w:rtl/>
        </w:rPr>
        <w:t>مُؤَلَّفَةِ</w:t>
      </w:r>
      <w:r w:rsidRPr="008E6B97">
        <w:rPr>
          <w:rStyle w:val="Char3"/>
          <w:spacing w:val="-6"/>
          <w:rtl/>
        </w:rPr>
        <w:t xml:space="preserve"> </w:t>
      </w:r>
      <w:r w:rsidRPr="008E6B97">
        <w:rPr>
          <w:rStyle w:val="Char3"/>
          <w:rFonts w:hint="eastAsia"/>
          <w:spacing w:val="-6"/>
          <w:rtl/>
        </w:rPr>
        <w:t>قُلُوبُهُم</w:t>
      </w:r>
      <w:r w:rsidRPr="008E6B97">
        <w:rPr>
          <w:rStyle w:val="Char3"/>
          <w:rFonts w:hint="cs"/>
          <w:spacing w:val="-6"/>
          <w:rtl/>
        </w:rPr>
        <w:t>ۡ</w:t>
      </w:r>
      <w:r w:rsidRPr="008E6B97">
        <w:rPr>
          <w:rStyle w:val="Char3"/>
          <w:spacing w:val="-6"/>
          <w:rtl/>
        </w:rPr>
        <w:t xml:space="preserve"> </w:t>
      </w:r>
      <w:r w:rsidRPr="008E6B97">
        <w:rPr>
          <w:rStyle w:val="Char3"/>
          <w:rFonts w:hint="eastAsia"/>
          <w:spacing w:val="-6"/>
          <w:rtl/>
        </w:rPr>
        <w:t>وَفِي</w:t>
      </w:r>
      <w:r w:rsidRPr="008E6B97">
        <w:rPr>
          <w:rStyle w:val="Char3"/>
          <w:spacing w:val="-6"/>
          <w:rtl/>
        </w:rPr>
        <w:t xml:space="preserve"> </w:t>
      </w:r>
      <w:r w:rsidRPr="008E6B97">
        <w:rPr>
          <w:rStyle w:val="Char3"/>
          <w:rFonts w:hint="cs"/>
          <w:spacing w:val="-6"/>
          <w:rtl/>
        </w:rPr>
        <w:t>ٱ</w:t>
      </w:r>
      <w:r w:rsidRPr="008E6B97">
        <w:rPr>
          <w:rStyle w:val="Char3"/>
          <w:rFonts w:hint="eastAsia"/>
          <w:spacing w:val="-6"/>
          <w:rtl/>
        </w:rPr>
        <w:t>لرِّقَابِ</w:t>
      </w:r>
      <w:r w:rsidRPr="008E6B97">
        <w:rPr>
          <w:rStyle w:val="Char3"/>
          <w:spacing w:val="-6"/>
          <w:rtl/>
        </w:rPr>
        <w:t xml:space="preserve"> </w:t>
      </w:r>
      <w:r w:rsidRPr="008E6B97">
        <w:rPr>
          <w:rStyle w:val="Char3"/>
          <w:rFonts w:hint="eastAsia"/>
          <w:spacing w:val="-6"/>
          <w:rtl/>
        </w:rPr>
        <w:t>وَ</w:t>
      </w:r>
      <w:r w:rsidRPr="008E6B97">
        <w:rPr>
          <w:rStyle w:val="Char3"/>
          <w:rFonts w:hint="cs"/>
          <w:spacing w:val="-6"/>
          <w:rtl/>
        </w:rPr>
        <w:t>ٱ</w:t>
      </w:r>
      <w:r w:rsidRPr="008E6B97">
        <w:rPr>
          <w:rStyle w:val="Char3"/>
          <w:rFonts w:hint="eastAsia"/>
          <w:spacing w:val="-6"/>
          <w:rtl/>
        </w:rPr>
        <w:t>ل</w:t>
      </w:r>
      <w:r w:rsidRPr="008E6B97">
        <w:rPr>
          <w:rStyle w:val="Char3"/>
          <w:rFonts w:hint="cs"/>
          <w:spacing w:val="-6"/>
          <w:rtl/>
        </w:rPr>
        <w:t>ۡ</w:t>
      </w:r>
      <w:r w:rsidRPr="008E6B97">
        <w:rPr>
          <w:rStyle w:val="Char3"/>
          <w:rFonts w:hint="eastAsia"/>
          <w:spacing w:val="-6"/>
          <w:rtl/>
        </w:rPr>
        <w:t>غَ</w:t>
      </w:r>
      <w:r w:rsidRPr="008E6B97">
        <w:rPr>
          <w:rStyle w:val="Char3"/>
          <w:rFonts w:hint="cs"/>
          <w:spacing w:val="-6"/>
          <w:rtl/>
        </w:rPr>
        <w:t>ٰ</w:t>
      </w:r>
      <w:r w:rsidRPr="008E6B97">
        <w:rPr>
          <w:rStyle w:val="Char3"/>
          <w:rFonts w:hint="eastAsia"/>
          <w:spacing w:val="-6"/>
          <w:rtl/>
        </w:rPr>
        <w:t>رِمِينَ</w:t>
      </w:r>
      <w:r w:rsidRPr="008E6B97">
        <w:rPr>
          <w:rStyle w:val="Char3"/>
          <w:spacing w:val="-6"/>
          <w:rtl/>
        </w:rPr>
        <w:t xml:space="preserve"> </w:t>
      </w:r>
      <w:r w:rsidRPr="008E6B97">
        <w:rPr>
          <w:rStyle w:val="Char3"/>
          <w:rFonts w:hint="eastAsia"/>
          <w:spacing w:val="-6"/>
          <w:rtl/>
        </w:rPr>
        <w:t>وَفِي</w:t>
      </w:r>
      <w:r w:rsidRPr="008E6B97">
        <w:rPr>
          <w:rStyle w:val="Char3"/>
          <w:spacing w:val="-6"/>
          <w:rtl/>
        </w:rPr>
        <w:t xml:space="preserve"> </w:t>
      </w:r>
      <w:r w:rsidRPr="008E6B97">
        <w:rPr>
          <w:rStyle w:val="Char3"/>
          <w:rFonts w:hint="eastAsia"/>
          <w:spacing w:val="-6"/>
          <w:rtl/>
        </w:rPr>
        <w:t>سَبِيلِ</w:t>
      </w:r>
      <w:r w:rsidRPr="008E6B97">
        <w:rPr>
          <w:rStyle w:val="Char3"/>
          <w:spacing w:val="-6"/>
          <w:rtl/>
        </w:rPr>
        <w:t xml:space="preserve"> </w:t>
      </w:r>
      <w:r w:rsidRPr="008E6B97">
        <w:rPr>
          <w:rStyle w:val="Char3"/>
          <w:rFonts w:hint="cs"/>
          <w:spacing w:val="-6"/>
          <w:rtl/>
        </w:rPr>
        <w:t>ٱ</w:t>
      </w:r>
      <w:r w:rsidRPr="008E6B97">
        <w:rPr>
          <w:rStyle w:val="Char3"/>
          <w:rFonts w:hint="eastAsia"/>
          <w:spacing w:val="-6"/>
          <w:rtl/>
        </w:rPr>
        <w:t>للَّهِ</w:t>
      </w:r>
      <w:r w:rsidRPr="008E6B97">
        <w:rPr>
          <w:rStyle w:val="Char3"/>
          <w:spacing w:val="-6"/>
          <w:rtl/>
        </w:rPr>
        <w:t xml:space="preserve"> </w:t>
      </w:r>
      <w:r w:rsidRPr="008E6B97">
        <w:rPr>
          <w:rStyle w:val="Char3"/>
          <w:rFonts w:hint="eastAsia"/>
          <w:spacing w:val="-6"/>
          <w:rtl/>
        </w:rPr>
        <w:t>وَ</w:t>
      </w:r>
      <w:r w:rsidRPr="008E6B97">
        <w:rPr>
          <w:rStyle w:val="Char3"/>
          <w:rFonts w:hint="cs"/>
          <w:spacing w:val="-6"/>
          <w:rtl/>
        </w:rPr>
        <w:t>ٱ</w:t>
      </w:r>
      <w:r w:rsidRPr="008E6B97">
        <w:rPr>
          <w:rStyle w:val="Char3"/>
          <w:rFonts w:hint="eastAsia"/>
          <w:spacing w:val="-6"/>
          <w:rtl/>
        </w:rPr>
        <w:t>ب</w:t>
      </w:r>
      <w:r w:rsidRPr="008E6B97">
        <w:rPr>
          <w:rStyle w:val="Char3"/>
          <w:rFonts w:hint="cs"/>
          <w:spacing w:val="-6"/>
          <w:rtl/>
        </w:rPr>
        <w:t>ۡ</w:t>
      </w:r>
      <w:r w:rsidRPr="008E6B97">
        <w:rPr>
          <w:rStyle w:val="Char3"/>
          <w:rFonts w:hint="eastAsia"/>
          <w:spacing w:val="-6"/>
          <w:rtl/>
        </w:rPr>
        <w:t>نِ</w:t>
      </w:r>
      <w:r w:rsidRPr="008E6B97">
        <w:rPr>
          <w:rStyle w:val="Char3"/>
          <w:spacing w:val="-6"/>
          <w:rtl/>
        </w:rPr>
        <w:t xml:space="preserve"> </w:t>
      </w:r>
      <w:r w:rsidRPr="008E6B97">
        <w:rPr>
          <w:rStyle w:val="Char3"/>
          <w:rFonts w:hint="cs"/>
          <w:spacing w:val="-6"/>
          <w:rtl/>
        </w:rPr>
        <w:t>ٱ</w:t>
      </w:r>
      <w:r w:rsidRPr="008E6B97">
        <w:rPr>
          <w:rStyle w:val="Char3"/>
          <w:rFonts w:hint="eastAsia"/>
          <w:spacing w:val="-6"/>
          <w:rtl/>
        </w:rPr>
        <w:t>لسَّبِيلِ</w:t>
      </w:r>
      <w:r w:rsidRPr="008E6B97">
        <w:rPr>
          <w:rStyle w:val="Char3"/>
          <w:rFonts w:hint="cs"/>
          <w:spacing w:val="-6"/>
          <w:rtl/>
        </w:rPr>
        <w:t>ۖ</w:t>
      </w:r>
      <w:r w:rsidRPr="008E6B97">
        <w:rPr>
          <w:rStyle w:val="Char3"/>
          <w:spacing w:val="-6"/>
          <w:rtl/>
        </w:rPr>
        <w:t xml:space="preserve"> </w:t>
      </w:r>
      <w:r w:rsidRPr="008E6B97">
        <w:rPr>
          <w:rStyle w:val="Char3"/>
          <w:rFonts w:hint="eastAsia"/>
          <w:spacing w:val="-6"/>
          <w:rtl/>
        </w:rPr>
        <w:t>فَرِيضَة</w:t>
      </w:r>
      <w:r w:rsidRPr="008E6B97">
        <w:rPr>
          <w:rStyle w:val="Char3"/>
          <w:rFonts w:hint="cs"/>
          <w:spacing w:val="-6"/>
          <w:rtl/>
        </w:rPr>
        <w:t>ٗ</w:t>
      </w:r>
      <w:r w:rsidRPr="008E6B97">
        <w:rPr>
          <w:rStyle w:val="Char3"/>
          <w:spacing w:val="-6"/>
          <w:rtl/>
        </w:rPr>
        <w:t xml:space="preserve"> </w:t>
      </w:r>
      <w:r w:rsidRPr="008E6B97">
        <w:rPr>
          <w:rStyle w:val="Char3"/>
          <w:rFonts w:hint="eastAsia"/>
          <w:spacing w:val="-6"/>
          <w:rtl/>
        </w:rPr>
        <w:t>مِّنَ</w:t>
      </w:r>
      <w:r w:rsidRPr="008E6B97">
        <w:rPr>
          <w:rStyle w:val="Char3"/>
          <w:spacing w:val="-6"/>
          <w:rtl/>
        </w:rPr>
        <w:t xml:space="preserve"> </w:t>
      </w:r>
      <w:r w:rsidRPr="008E6B97">
        <w:rPr>
          <w:rStyle w:val="Char3"/>
          <w:rFonts w:hint="cs"/>
          <w:spacing w:val="-6"/>
          <w:rtl/>
        </w:rPr>
        <w:t>ٱ</w:t>
      </w:r>
      <w:r w:rsidRPr="008E6B97">
        <w:rPr>
          <w:rStyle w:val="Char3"/>
          <w:rFonts w:hint="eastAsia"/>
          <w:spacing w:val="-6"/>
          <w:rtl/>
        </w:rPr>
        <w:t>للَّهِ</w:t>
      </w:r>
      <w:r w:rsidRPr="008E6B97">
        <w:rPr>
          <w:rStyle w:val="Char3"/>
          <w:rFonts w:hint="cs"/>
          <w:spacing w:val="-6"/>
          <w:rtl/>
        </w:rPr>
        <w:t>ۗ</w:t>
      </w:r>
      <w:r w:rsidRPr="008E6B97">
        <w:rPr>
          <w:rStyle w:val="Char3"/>
          <w:spacing w:val="-6"/>
          <w:rtl/>
        </w:rPr>
        <w:t xml:space="preserve"> </w:t>
      </w:r>
      <w:r w:rsidRPr="008E6B97">
        <w:rPr>
          <w:rStyle w:val="Char3"/>
          <w:rFonts w:hint="eastAsia"/>
          <w:spacing w:val="-6"/>
          <w:rtl/>
        </w:rPr>
        <w:t>وَ</w:t>
      </w:r>
      <w:r w:rsidRPr="008E6B97">
        <w:rPr>
          <w:rStyle w:val="Char3"/>
          <w:rFonts w:hint="cs"/>
          <w:spacing w:val="-6"/>
          <w:rtl/>
        </w:rPr>
        <w:t>ٱ</w:t>
      </w:r>
      <w:r w:rsidRPr="008E6B97">
        <w:rPr>
          <w:rStyle w:val="Char3"/>
          <w:rFonts w:hint="eastAsia"/>
          <w:spacing w:val="-6"/>
          <w:rtl/>
        </w:rPr>
        <w:t>للَّهُ</w:t>
      </w:r>
      <w:r w:rsidRPr="008E6B97">
        <w:rPr>
          <w:rStyle w:val="Char3"/>
          <w:spacing w:val="-6"/>
          <w:rtl/>
        </w:rPr>
        <w:t xml:space="preserve"> </w:t>
      </w:r>
      <w:r w:rsidRPr="008E6B97">
        <w:rPr>
          <w:rStyle w:val="Char3"/>
          <w:rFonts w:hint="eastAsia"/>
          <w:spacing w:val="-6"/>
          <w:rtl/>
        </w:rPr>
        <w:t>عَلِيمٌ</w:t>
      </w:r>
      <w:r w:rsidRPr="008E6B97">
        <w:rPr>
          <w:rStyle w:val="Char3"/>
          <w:spacing w:val="-6"/>
          <w:rtl/>
        </w:rPr>
        <w:t xml:space="preserve"> </w:t>
      </w:r>
      <w:r w:rsidRPr="008E6B97">
        <w:rPr>
          <w:rStyle w:val="Char3"/>
          <w:rFonts w:hint="eastAsia"/>
          <w:spacing w:val="-6"/>
          <w:rtl/>
        </w:rPr>
        <w:t>حَكِيم</w:t>
      </w:r>
      <w:r w:rsidRPr="008E6B97">
        <w:rPr>
          <w:rStyle w:val="Char3"/>
          <w:rFonts w:hint="cs"/>
          <w:spacing w:val="-6"/>
          <w:rtl/>
        </w:rPr>
        <w:t>ٞ</w:t>
      </w:r>
      <w:r w:rsidRPr="008E6B97">
        <w:rPr>
          <w:rStyle w:val="Char3"/>
          <w:spacing w:val="-6"/>
          <w:rtl/>
        </w:rPr>
        <w:t xml:space="preserve"> </w:t>
      </w:r>
      <w:r w:rsidRPr="008E6B97">
        <w:rPr>
          <w:rStyle w:val="Char3"/>
          <w:rFonts w:hint="cs"/>
          <w:spacing w:val="-6"/>
          <w:rtl/>
        </w:rPr>
        <w:t>٦٠</w:t>
      </w:r>
      <w:r w:rsidRPr="008E6B97">
        <w:rPr>
          <w:rFonts w:ascii="Abo-thar" w:hAnsi="Abo-thar" w:cs="Traditional Arabic" w:hint="cs"/>
          <w:spacing w:val="-6"/>
          <w:sz w:val="28"/>
          <w:rtl/>
          <w:lang w:bidi="ar-SY"/>
        </w:rPr>
        <w:t>﴾</w:t>
      </w:r>
      <w:r w:rsidR="005C664D" w:rsidRPr="008E6B97">
        <w:rPr>
          <w:rFonts w:ascii="Abo-thar" w:hAnsi="Abo-thar"/>
          <w:spacing w:val="-6"/>
          <w:sz w:val="28"/>
          <w:rtl/>
          <w:lang w:bidi="ar-SY"/>
        </w:rPr>
        <w:t xml:space="preserve"> </w:t>
      </w:r>
      <w:r w:rsidRPr="008E6B97">
        <w:rPr>
          <w:rStyle w:val="Char2"/>
          <w:rFonts w:hint="cs"/>
          <w:spacing w:val="-6"/>
          <w:rtl/>
        </w:rPr>
        <w:t>[</w:t>
      </w:r>
      <w:r w:rsidR="005C664D" w:rsidRPr="008E6B97">
        <w:rPr>
          <w:rStyle w:val="Char2"/>
          <w:spacing w:val="-6"/>
          <w:rtl/>
        </w:rPr>
        <w:t>التوبة</w:t>
      </w:r>
      <w:r w:rsidRPr="008E6B97">
        <w:rPr>
          <w:rStyle w:val="Char2"/>
          <w:rFonts w:hint="cs"/>
          <w:spacing w:val="-6"/>
          <w:rtl/>
        </w:rPr>
        <w:t xml:space="preserve">: </w:t>
      </w:r>
      <w:r w:rsidR="005C664D" w:rsidRPr="008E6B97">
        <w:rPr>
          <w:rStyle w:val="Char2"/>
          <w:spacing w:val="-6"/>
          <w:rtl/>
        </w:rPr>
        <w:t>60</w:t>
      </w:r>
      <w:r w:rsidRPr="008E6B97">
        <w:rPr>
          <w:rStyle w:val="Char2"/>
          <w:rFonts w:hint="cs"/>
          <w:spacing w:val="-6"/>
          <w:rtl/>
        </w:rPr>
        <w:t>]</w:t>
      </w:r>
      <w:r w:rsidR="00217AB4" w:rsidRPr="008E6B97">
        <w:rPr>
          <w:rFonts w:ascii="Abo-thar" w:hAnsi="Abo-thar" w:hint="cs"/>
          <w:spacing w:val="-6"/>
          <w:sz w:val="28"/>
          <w:rtl/>
          <w:lang w:bidi="ar-SY"/>
        </w:rPr>
        <w:t>.</w:t>
      </w:r>
    </w:p>
    <w:p w:rsidR="005C664D" w:rsidRPr="003F3B94" w:rsidRDefault="005C664D" w:rsidP="003F3B94">
      <w:pPr>
        <w:pStyle w:val="a0"/>
        <w:rPr>
          <w:rFonts w:hint="cs"/>
          <w:rtl/>
          <w:lang w:bidi="ar-SY"/>
        </w:rPr>
      </w:pPr>
      <w:r w:rsidRPr="003F3B94">
        <w:rPr>
          <w:rFonts w:ascii="Abo-thar" w:hAnsi="Abo-thar" w:hint="cs"/>
          <w:sz w:val="28"/>
          <w:rtl/>
          <w:lang w:bidi="ar-SY"/>
        </w:rPr>
        <w:t>بعد نزول هذه الآيات نفذ رسول الله</w:t>
      </w:r>
      <w:r w:rsidR="00147857" w:rsidRPr="003F3B94">
        <w:rPr>
          <w:rFonts w:ascii="Abo-thar" w:hAnsi="Abo-thar" w:hint="cs"/>
          <w:sz w:val="28"/>
          <w:rtl/>
          <w:lang w:bidi="ar-SY"/>
        </w:rPr>
        <w:t xml:space="preserve"> </w:t>
      </w:r>
      <w:r w:rsidR="003C7AEB" w:rsidRPr="003C7AEB">
        <w:rPr>
          <w:rFonts w:ascii="Abo-thar" w:hAnsi="Abo-thar" w:cs="CTraditional Arabic" w:hint="cs"/>
          <w:sz w:val="28"/>
          <w:rtl/>
          <w:lang w:bidi="ar-SY"/>
        </w:rPr>
        <w:t>ص</w:t>
      </w:r>
      <w:r w:rsidR="00147857" w:rsidRPr="003F3B94">
        <w:rPr>
          <w:rFonts w:ascii="Abo-thar" w:hAnsi="Abo-thar" w:hint="cs"/>
          <w:sz w:val="28"/>
          <w:rtl/>
          <w:lang w:bidi="ar-SY"/>
        </w:rPr>
        <w:t xml:space="preserve"> </w:t>
      </w:r>
      <w:r w:rsidRPr="003F3B94">
        <w:rPr>
          <w:rFonts w:ascii="Abo-thar" w:hAnsi="Abo-thar" w:hint="cs"/>
          <w:sz w:val="28"/>
          <w:rtl/>
          <w:lang w:bidi="ar-SY"/>
        </w:rPr>
        <w:t>ما أمره به ربه وأرسل العمال لأخذ الزكاة إلى القبائل والبلاد</w:t>
      </w:r>
      <w:r w:rsidR="00217AB4" w:rsidRPr="003F3B94">
        <w:rPr>
          <w:rFonts w:ascii="Abo-thar" w:hAnsi="Abo-thar" w:hint="cs"/>
          <w:sz w:val="28"/>
          <w:rtl/>
          <w:lang w:bidi="ar-SY"/>
        </w:rPr>
        <w:t>.</w:t>
      </w:r>
      <w:r w:rsidRPr="003F3B94">
        <w:rPr>
          <w:rFonts w:ascii="Abo-thar" w:hAnsi="Abo-thar" w:hint="cs"/>
          <w:sz w:val="28"/>
          <w:rtl/>
          <w:lang w:bidi="ar-SY"/>
        </w:rPr>
        <w:t xml:space="preserve"> هذا في حين أن خمس الغنائم بدأ العمل به منذ السنة الثانية للهجرة</w:t>
      </w:r>
      <w:r w:rsidR="00217AB4" w:rsidRPr="003F3B94">
        <w:rPr>
          <w:rFonts w:ascii="Abo-thar" w:hAnsi="Abo-thar" w:hint="cs"/>
          <w:sz w:val="28"/>
          <w:rtl/>
          <w:lang w:bidi="ar-SY"/>
        </w:rPr>
        <w:t>.</w:t>
      </w:r>
      <w:r w:rsidRPr="003F3B94">
        <w:rPr>
          <w:rFonts w:ascii="Abo-thar" w:hAnsi="Abo-thar" w:hint="cs"/>
          <w:sz w:val="28"/>
          <w:rtl/>
          <w:lang w:bidi="ar-SY"/>
        </w:rPr>
        <w:t xml:space="preserve"> </w:t>
      </w:r>
    </w:p>
    <w:p w:rsidR="005C664D" w:rsidRPr="003F3B94" w:rsidRDefault="005C664D" w:rsidP="00BC4BA9">
      <w:pPr>
        <w:pStyle w:val="a0"/>
        <w:rPr>
          <w:rFonts w:hint="cs"/>
          <w:rtl/>
          <w:lang w:bidi="ar-SY"/>
        </w:rPr>
      </w:pPr>
      <w:r w:rsidRPr="003F3B94">
        <w:rPr>
          <w:rFonts w:ascii="Abo-thar" w:hAnsi="Abo-thar" w:hint="cs"/>
          <w:b/>
          <w:bCs/>
          <w:sz w:val="28"/>
          <w:rtl/>
          <w:lang w:bidi="ar-SY"/>
        </w:rPr>
        <w:t>2</w:t>
      </w:r>
      <w:r w:rsidR="00217AB4" w:rsidRPr="003F3B94">
        <w:rPr>
          <w:rFonts w:ascii="Abo-thar" w:hAnsi="Abo-thar" w:hint="cs"/>
          <w:b/>
          <w:bCs/>
          <w:sz w:val="28"/>
          <w:rtl/>
          <w:lang w:bidi="ar-SY"/>
        </w:rPr>
        <w:t>-</w:t>
      </w:r>
      <w:r w:rsidRPr="003F3B94">
        <w:rPr>
          <w:rFonts w:ascii="Abo-thar" w:hAnsi="Abo-thar" w:hint="cs"/>
          <w:b/>
          <w:bCs/>
          <w:sz w:val="28"/>
          <w:rtl/>
          <w:lang w:bidi="ar-SY"/>
        </w:rPr>
        <w:t xml:space="preserve"> النقطة الثانية</w:t>
      </w:r>
      <w:r w:rsidR="00217AB4" w:rsidRPr="003F3B94">
        <w:rPr>
          <w:rFonts w:ascii="Abo-thar" w:hAnsi="Abo-thar" w:hint="cs"/>
          <w:b/>
          <w:bCs/>
          <w:sz w:val="28"/>
          <w:rtl/>
          <w:lang w:bidi="ar-SY"/>
        </w:rPr>
        <w:t>:</w:t>
      </w:r>
      <w:r w:rsidRPr="003F3B94">
        <w:rPr>
          <w:rFonts w:ascii="Abo-thar" w:hAnsi="Abo-thar" w:hint="cs"/>
          <w:sz w:val="28"/>
          <w:rtl/>
          <w:lang w:bidi="ar-SY"/>
        </w:rPr>
        <w:t xml:space="preserve"> لكي نعرف لماذا تأخر العمل بحكم الزكاة رغم نزول الأمر بها في الآيات المكية </w:t>
      </w:r>
      <w:r w:rsidR="00217AB4" w:rsidRPr="003F3B94">
        <w:rPr>
          <w:rFonts w:ascii="Abo-thar" w:hAnsi="Abo-thar" w:hint="cs"/>
          <w:sz w:val="28"/>
          <w:rtl/>
          <w:lang w:bidi="ar-SY"/>
        </w:rPr>
        <w:t>(</w:t>
      </w:r>
      <w:r w:rsidRPr="003F3B94">
        <w:rPr>
          <w:rFonts w:ascii="Abo-thar" w:hAnsi="Abo-thar" w:hint="cs"/>
          <w:sz w:val="28"/>
          <w:rtl/>
          <w:lang w:bidi="ar-SY"/>
        </w:rPr>
        <w:t>قبل الهجرة</w:t>
      </w:r>
      <w:r w:rsidR="00217AB4" w:rsidRPr="003F3B94">
        <w:rPr>
          <w:rFonts w:ascii="Abo-thar" w:hAnsi="Abo-thar" w:hint="cs"/>
          <w:sz w:val="28"/>
          <w:rtl/>
          <w:lang w:bidi="ar-SY"/>
        </w:rPr>
        <w:t>)،</w:t>
      </w:r>
      <w:r w:rsidR="00147857" w:rsidRPr="003F3B94">
        <w:rPr>
          <w:rFonts w:ascii="Abo-thar" w:hAnsi="Abo-thar" w:hint="cs"/>
          <w:sz w:val="28"/>
          <w:rtl/>
          <w:lang w:bidi="ar-SY"/>
        </w:rPr>
        <w:t xml:space="preserve"> </w:t>
      </w:r>
      <w:r w:rsidRPr="003F3B94">
        <w:rPr>
          <w:rFonts w:ascii="Abo-thar" w:hAnsi="Abo-thar" w:hint="cs"/>
          <w:sz w:val="28"/>
          <w:rtl/>
          <w:lang w:bidi="ar-SY"/>
        </w:rPr>
        <w:t>في حين تمَّ العمل فوراً بآية الخمس</w:t>
      </w:r>
      <w:r w:rsidR="00217AB4" w:rsidRPr="003F3B94">
        <w:rPr>
          <w:rFonts w:ascii="Abo-thar" w:hAnsi="Abo-thar" w:hint="cs"/>
          <w:sz w:val="28"/>
          <w:rtl/>
          <w:lang w:bidi="ar-SY"/>
        </w:rPr>
        <w:t>،</w:t>
      </w:r>
      <w:r w:rsidRPr="003F3B94">
        <w:rPr>
          <w:rFonts w:ascii="Abo-thar" w:hAnsi="Abo-thar" w:hint="cs"/>
          <w:sz w:val="28"/>
          <w:rtl/>
          <w:lang w:bidi="ar-SY"/>
        </w:rPr>
        <w:t xml:space="preserve"> لا بد أن نلاحظ وضع المسلمين المالي في تلك الأيام</w:t>
      </w:r>
      <w:r w:rsidR="00217AB4" w:rsidRPr="003F3B94">
        <w:rPr>
          <w:rFonts w:ascii="Abo-thar" w:hAnsi="Abo-thar" w:hint="cs"/>
          <w:sz w:val="28"/>
          <w:rtl/>
          <w:lang w:bidi="ar-SY"/>
        </w:rPr>
        <w:t>،</w:t>
      </w:r>
      <w:r w:rsidRPr="003F3B94">
        <w:rPr>
          <w:rFonts w:ascii="Abo-thar" w:hAnsi="Abo-thar" w:hint="cs"/>
          <w:sz w:val="28"/>
          <w:rtl/>
          <w:lang w:bidi="ar-SY"/>
        </w:rPr>
        <w:t xml:space="preserve"> حيث كان أكثر المسلمين في تلك الفترة فقراء مساكين</w:t>
      </w:r>
      <w:r w:rsidR="00217AB4" w:rsidRPr="003F3B94">
        <w:rPr>
          <w:rFonts w:ascii="Abo-thar" w:hAnsi="Abo-thar" w:hint="cs"/>
          <w:sz w:val="28"/>
          <w:rtl/>
          <w:lang w:bidi="ar-SY"/>
        </w:rPr>
        <w:t>،</w:t>
      </w:r>
      <w:r w:rsidRPr="003F3B94">
        <w:rPr>
          <w:rFonts w:ascii="Abo-thar" w:hAnsi="Abo-thar" w:hint="cs"/>
          <w:sz w:val="28"/>
          <w:rtl/>
          <w:lang w:bidi="ar-SY"/>
        </w:rPr>
        <w:t xml:space="preserve"> لأن جميع المهاجرين الذين تركوا مكة خائفين فارِّين بدينهم خلَّفوا وراءهم كل ما كانوا يملكونه من مال وأرض ومتاع وخرجوا لينجوا بأنفسهم فقط إلى المدينة أو إلى بلاد أخرى </w:t>
      </w:r>
      <w:r w:rsidR="00217AB4" w:rsidRPr="003F3B94">
        <w:rPr>
          <w:rFonts w:ascii="Abo-thar" w:hAnsi="Abo-thar" w:hint="cs"/>
          <w:sz w:val="28"/>
          <w:rtl/>
          <w:lang w:bidi="ar-SY"/>
        </w:rPr>
        <w:t>(</w:t>
      </w:r>
      <w:r w:rsidRPr="003F3B94">
        <w:rPr>
          <w:rFonts w:ascii="Abo-thar" w:hAnsi="Abo-thar" w:hint="cs"/>
          <w:sz w:val="28"/>
          <w:rtl/>
          <w:lang w:bidi="ar-SY"/>
        </w:rPr>
        <w:t>الحبشة وغيرها</w:t>
      </w:r>
      <w:r w:rsidR="00217AB4" w:rsidRPr="003F3B94">
        <w:rPr>
          <w:rFonts w:ascii="Abo-thar" w:hAnsi="Abo-thar" w:hint="cs"/>
          <w:sz w:val="28"/>
          <w:rtl/>
          <w:lang w:bidi="ar-SY"/>
        </w:rPr>
        <w:t>)،</w:t>
      </w:r>
      <w:r w:rsidRPr="003F3B94">
        <w:rPr>
          <w:rFonts w:ascii="Abo-thar" w:hAnsi="Abo-thar" w:hint="cs"/>
          <w:sz w:val="28"/>
          <w:rtl/>
          <w:lang w:bidi="ar-SY"/>
        </w:rPr>
        <w:t xml:space="preserve"> فصار المهاجرون ضيوفاً على إخوانهم في الدين </w:t>
      </w:r>
      <w:r w:rsidRPr="003F3B94">
        <w:rPr>
          <w:rFonts w:ascii="Abo-thar" w:hAnsi="Abo-thar" w:hint="eastAsia"/>
          <w:sz w:val="28"/>
          <w:rtl/>
          <w:lang w:bidi="ar-SY"/>
        </w:rPr>
        <w:t>«</w:t>
      </w:r>
      <w:r w:rsidRPr="003F3B94">
        <w:rPr>
          <w:rFonts w:ascii="Abo-thar" w:hAnsi="Abo-thar" w:hint="cs"/>
          <w:sz w:val="28"/>
          <w:rtl/>
          <w:lang w:bidi="ar-SY"/>
        </w:rPr>
        <w:t>الأنصار</w:t>
      </w:r>
      <w:r w:rsidRPr="003F3B94">
        <w:rPr>
          <w:rFonts w:ascii="Abo-thar" w:hAnsi="Abo-thar" w:hint="eastAsia"/>
          <w:sz w:val="28"/>
          <w:rtl/>
          <w:lang w:bidi="ar-SY"/>
        </w:rPr>
        <w:t>»</w:t>
      </w:r>
      <w:r w:rsidR="00217AB4" w:rsidRPr="003F3B94">
        <w:rPr>
          <w:rFonts w:ascii="Abo-thar" w:hAnsi="Abo-thar" w:hint="cs"/>
          <w:sz w:val="28"/>
          <w:rtl/>
          <w:lang w:bidi="ar-SY"/>
        </w:rPr>
        <w:t>.</w:t>
      </w:r>
      <w:r w:rsidR="00147857" w:rsidRPr="003F3B94">
        <w:rPr>
          <w:rFonts w:ascii="Abo-thar" w:hAnsi="Abo-thar" w:hint="cs"/>
          <w:sz w:val="28"/>
          <w:rtl/>
          <w:lang w:bidi="ar-SY"/>
        </w:rPr>
        <w:t xml:space="preserve"> </w:t>
      </w:r>
      <w:r w:rsidRPr="003F3B94">
        <w:rPr>
          <w:rFonts w:ascii="Abo-thar" w:hAnsi="Abo-thar" w:hint="cs"/>
          <w:sz w:val="28"/>
          <w:rtl/>
          <w:lang w:bidi="ar-SY"/>
        </w:rPr>
        <w:t>كما كان أكثر الذين آمنوا من أهل المدينة من الفقراء فمثلاً</w:t>
      </w:r>
      <w:r w:rsidR="00217AB4" w:rsidRPr="003F3B94">
        <w:rPr>
          <w:rFonts w:ascii="Abo-thar" w:hAnsi="Abo-thar" w:hint="cs"/>
          <w:sz w:val="28"/>
          <w:rtl/>
          <w:lang w:bidi="ar-SY"/>
        </w:rPr>
        <w:t>:</w:t>
      </w:r>
      <w:r w:rsidRPr="003F3B94">
        <w:rPr>
          <w:rFonts w:ascii="Abo-thar" w:hAnsi="Abo-thar" w:hint="cs"/>
          <w:sz w:val="28"/>
          <w:rtl/>
          <w:lang w:bidi="ar-SY"/>
        </w:rPr>
        <w:t xml:space="preserve"> كانت ثروة أبي أيوب الأنصاري مضيف رسول الله</w:t>
      </w:r>
      <w:r w:rsidR="00147857" w:rsidRPr="003F3B94">
        <w:rPr>
          <w:rFonts w:ascii="Abo-thar" w:hAnsi="Abo-thar" w:hint="cs"/>
          <w:sz w:val="28"/>
          <w:rtl/>
          <w:lang w:bidi="ar-SY"/>
        </w:rPr>
        <w:t xml:space="preserve"> </w:t>
      </w:r>
      <w:r w:rsidR="003C7AEB" w:rsidRPr="003C7AEB">
        <w:rPr>
          <w:rFonts w:ascii="Abo-thar" w:hAnsi="Abo-thar" w:cs="CTraditional Arabic" w:hint="cs"/>
          <w:sz w:val="28"/>
          <w:rtl/>
          <w:lang w:bidi="ar-SY"/>
        </w:rPr>
        <w:t>ص</w:t>
      </w:r>
      <w:r w:rsidR="00147857" w:rsidRPr="003F3B94">
        <w:rPr>
          <w:rFonts w:ascii="Abo-thar" w:hAnsi="Abo-thar" w:hint="cs"/>
          <w:sz w:val="28"/>
          <w:rtl/>
          <w:lang w:bidi="ar-SY"/>
        </w:rPr>
        <w:t xml:space="preserve"> </w:t>
      </w:r>
      <w:r w:rsidR="007B6963" w:rsidRPr="003F3B94">
        <w:rPr>
          <w:rFonts w:ascii="Abo-thar" w:hAnsi="Abo-thar" w:hint="cs"/>
          <w:sz w:val="28"/>
          <w:rtl/>
          <w:lang w:bidi="ar-SY"/>
        </w:rPr>
        <w:t xml:space="preserve">كلَّها </w:t>
      </w:r>
      <w:r w:rsidRPr="003F3B94">
        <w:rPr>
          <w:rFonts w:ascii="Abo-thar" w:hAnsi="Abo-thar" w:hint="cs"/>
          <w:sz w:val="28"/>
          <w:rtl/>
          <w:lang w:bidi="ar-SY"/>
        </w:rPr>
        <w:t>عبارة عن منزل صغير مؤلف من غرفتين إحداهما فوق الأخرى حيث أعطى الغرفة العلوية لرسول الله واختار هو البقاء في الغرفة السفلية مع أمه</w:t>
      </w:r>
      <w:r w:rsidR="00217AB4" w:rsidRPr="003F3B94">
        <w:rPr>
          <w:rFonts w:ascii="Abo-thar" w:hAnsi="Abo-thar" w:hint="cs"/>
          <w:sz w:val="28"/>
          <w:rtl/>
          <w:lang w:bidi="ar-SY"/>
        </w:rPr>
        <w:t>.</w:t>
      </w:r>
      <w:r w:rsidRPr="003F3B94">
        <w:rPr>
          <w:rFonts w:ascii="Abo-thar" w:hAnsi="Abo-thar" w:hint="cs"/>
          <w:sz w:val="28"/>
          <w:rtl/>
          <w:lang w:bidi="ar-SY"/>
        </w:rPr>
        <w:t xml:space="preserve"> ولم يكن حا</w:t>
      </w:r>
      <w:r w:rsidR="008A4E41">
        <w:rPr>
          <w:rFonts w:ascii="Abo-thar" w:hAnsi="Abo-thar" w:hint="cs"/>
          <w:sz w:val="28"/>
          <w:rtl/>
          <w:lang w:bidi="ar-SY"/>
        </w:rPr>
        <w:t>ل بقية المسلمين أفضل من حال أبي</w:t>
      </w:r>
      <w:r w:rsidR="008A4E41">
        <w:rPr>
          <w:rFonts w:ascii="Abo-thar" w:hAnsi="Abo-thar" w:cs="Times New Roman" w:hint="eastAsia"/>
          <w:sz w:val="28"/>
          <w:rtl/>
          <w:lang w:bidi="ar-SY"/>
        </w:rPr>
        <w:t>‌</w:t>
      </w:r>
      <w:r w:rsidRPr="003F3B94">
        <w:rPr>
          <w:rFonts w:ascii="Abo-thar" w:hAnsi="Abo-thar" w:hint="cs"/>
          <w:sz w:val="28"/>
          <w:rtl/>
          <w:lang w:bidi="ar-SY"/>
        </w:rPr>
        <w:t>أيوب بكثير</w:t>
      </w:r>
      <w:r w:rsidR="00217AB4" w:rsidRPr="003F3B94">
        <w:rPr>
          <w:rFonts w:ascii="Abo-thar" w:hAnsi="Abo-thar" w:hint="cs"/>
          <w:sz w:val="28"/>
          <w:rtl/>
          <w:lang w:bidi="ar-SY"/>
        </w:rPr>
        <w:t>.</w:t>
      </w:r>
      <w:r w:rsidRPr="003F3B94">
        <w:rPr>
          <w:rFonts w:ascii="Abo-thar" w:hAnsi="Abo-thar" w:hint="cs"/>
          <w:sz w:val="28"/>
          <w:rtl/>
          <w:lang w:bidi="ar-SY"/>
        </w:rPr>
        <w:t xml:space="preserve"> وإذا ألقينا نظرة على عدة المسلمين في معركة بدر والتي كانت كما ذكر المؤرخون فرس</w:t>
      </w:r>
      <w:r w:rsidR="007B6963" w:rsidRPr="003F3B94">
        <w:rPr>
          <w:rFonts w:ascii="Abo-thar" w:hAnsi="Abo-thar" w:hint="cs"/>
          <w:sz w:val="28"/>
          <w:rtl/>
          <w:lang w:bidi="ar-SY"/>
        </w:rPr>
        <w:t>ي</w:t>
      </w:r>
      <w:r w:rsidRPr="003F3B94">
        <w:rPr>
          <w:rFonts w:ascii="Abo-thar" w:hAnsi="Abo-thar" w:hint="cs"/>
          <w:sz w:val="28"/>
          <w:rtl/>
          <w:lang w:bidi="ar-SY"/>
        </w:rPr>
        <w:t>ن وسبعة سيوف وسبع</w:t>
      </w:r>
      <w:r w:rsidR="007B6963" w:rsidRPr="003F3B94">
        <w:rPr>
          <w:rFonts w:ascii="Abo-thar" w:hAnsi="Abo-thar" w:hint="cs"/>
          <w:sz w:val="28"/>
          <w:rtl/>
          <w:lang w:bidi="ar-SY"/>
        </w:rPr>
        <w:t>ي</w:t>
      </w:r>
      <w:r w:rsidRPr="003F3B94">
        <w:rPr>
          <w:rFonts w:ascii="Abo-thar" w:hAnsi="Abo-thar" w:hint="cs"/>
          <w:sz w:val="28"/>
          <w:rtl/>
          <w:lang w:bidi="ar-SY"/>
        </w:rPr>
        <w:t>ن جملاً فقط</w:t>
      </w:r>
      <w:r w:rsidR="007B6963" w:rsidRPr="003F3B94">
        <w:rPr>
          <w:rFonts w:ascii="Abo-thar" w:hAnsi="Abo-thar" w:hint="cs"/>
          <w:sz w:val="28"/>
          <w:rtl/>
          <w:lang w:bidi="ar-SY"/>
        </w:rPr>
        <w:t>،</w:t>
      </w:r>
      <w:r w:rsidRPr="003F3B94">
        <w:rPr>
          <w:rFonts w:ascii="Abo-thar" w:hAnsi="Abo-thar" w:hint="cs"/>
          <w:sz w:val="28"/>
          <w:rtl/>
          <w:lang w:bidi="ar-SY"/>
        </w:rPr>
        <w:t xml:space="preserve"> أدركنا جيِّداً </w:t>
      </w:r>
      <w:r w:rsidR="007B6963" w:rsidRPr="003F3B94">
        <w:rPr>
          <w:rFonts w:ascii="Abo-thar" w:hAnsi="Abo-thar" w:hint="cs"/>
          <w:sz w:val="28"/>
          <w:rtl/>
          <w:lang w:bidi="ar-SY"/>
        </w:rPr>
        <w:t>حالة</w:t>
      </w:r>
      <w:r w:rsidRPr="003F3B94">
        <w:rPr>
          <w:rFonts w:ascii="Abo-thar" w:hAnsi="Abo-thar" w:hint="cs"/>
          <w:sz w:val="28"/>
          <w:rtl/>
          <w:lang w:bidi="ar-SY"/>
        </w:rPr>
        <w:t xml:space="preserve"> الفقر والعوز ال</w:t>
      </w:r>
      <w:r w:rsidR="007B6963" w:rsidRPr="003F3B94">
        <w:rPr>
          <w:rFonts w:ascii="Abo-thar" w:hAnsi="Abo-thar" w:hint="cs"/>
          <w:sz w:val="28"/>
          <w:rtl/>
          <w:lang w:bidi="ar-SY"/>
        </w:rPr>
        <w:t>ت</w:t>
      </w:r>
      <w:r w:rsidRPr="003F3B94">
        <w:rPr>
          <w:rFonts w:ascii="Abo-thar" w:hAnsi="Abo-thar" w:hint="cs"/>
          <w:sz w:val="28"/>
          <w:rtl/>
          <w:lang w:bidi="ar-SY"/>
        </w:rPr>
        <w:t>ي كانوا يعيشون فيه</w:t>
      </w:r>
      <w:r w:rsidR="007B6963" w:rsidRPr="003F3B94">
        <w:rPr>
          <w:rFonts w:ascii="Abo-thar" w:hAnsi="Abo-thar" w:hint="cs"/>
          <w:sz w:val="28"/>
          <w:rtl/>
          <w:lang w:bidi="ar-SY"/>
        </w:rPr>
        <w:t>ا</w:t>
      </w:r>
      <w:r w:rsidR="00217AB4" w:rsidRPr="003F3B94">
        <w:rPr>
          <w:rFonts w:ascii="Abo-thar" w:hAnsi="Abo-thar" w:hint="cs"/>
          <w:sz w:val="28"/>
          <w:rtl/>
          <w:lang w:bidi="ar-SY"/>
        </w:rPr>
        <w:t>.</w:t>
      </w:r>
      <w:r w:rsidRPr="003F3B94">
        <w:rPr>
          <w:rFonts w:ascii="Abo-thar" w:hAnsi="Abo-thar" w:hint="cs"/>
          <w:sz w:val="28"/>
          <w:rtl/>
          <w:lang w:bidi="ar-SY"/>
        </w:rPr>
        <w:t xml:space="preserve"> والأكثر دلالة من كل ذلك</w:t>
      </w:r>
      <w:r w:rsidR="00217AB4" w:rsidRPr="003F3B94">
        <w:rPr>
          <w:rFonts w:ascii="Abo-thar" w:hAnsi="Abo-thar" w:hint="cs"/>
          <w:sz w:val="28"/>
          <w:rtl/>
          <w:lang w:bidi="ar-SY"/>
        </w:rPr>
        <w:t>،</w:t>
      </w:r>
      <w:r w:rsidRPr="003F3B94">
        <w:rPr>
          <w:rFonts w:ascii="Abo-thar" w:hAnsi="Abo-thar" w:hint="cs"/>
          <w:sz w:val="28"/>
          <w:rtl/>
          <w:lang w:bidi="ar-SY"/>
        </w:rPr>
        <w:t xml:space="preserve"> الدعاء الذي دعا به نبيّ الله للمسلمين لدى خروجه بهم إلى «بدر» كما ذكره الواقدي في </w:t>
      </w:r>
      <w:r w:rsidRPr="003F3B94">
        <w:rPr>
          <w:rFonts w:ascii="Abo-thar" w:hAnsi="Abo-thar" w:hint="eastAsia"/>
          <w:sz w:val="28"/>
          <w:rtl/>
          <w:lang w:bidi="ar-SY"/>
        </w:rPr>
        <w:t>«</w:t>
      </w:r>
      <w:r w:rsidRPr="003F3B94">
        <w:rPr>
          <w:rFonts w:ascii="Abo-thar" w:hAnsi="Abo-thar" w:hint="cs"/>
          <w:sz w:val="28"/>
          <w:rtl/>
          <w:lang w:bidi="ar-SY"/>
        </w:rPr>
        <w:t>المغازي</w:t>
      </w:r>
      <w:r w:rsidRPr="003F3B94">
        <w:rPr>
          <w:rFonts w:ascii="Abo-thar" w:hAnsi="Abo-thar" w:hint="eastAsia"/>
          <w:sz w:val="28"/>
          <w:rtl/>
          <w:lang w:bidi="ar-SY"/>
        </w:rPr>
        <w:t>»</w:t>
      </w:r>
      <w:r w:rsidRPr="003F3B94">
        <w:rPr>
          <w:rFonts w:ascii="Abo-thar" w:hAnsi="Abo-thar" w:hint="cs"/>
          <w:sz w:val="28"/>
          <w:rtl/>
          <w:lang w:bidi="ar-SY"/>
        </w:rPr>
        <w:t xml:space="preserve"> </w:t>
      </w:r>
      <w:r w:rsidR="00217AB4" w:rsidRPr="003F3B94">
        <w:rPr>
          <w:rFonts w:ascii="Abo-thar" w:hAnsi="Abo-thar" w:hint="cs"/>
          <w:sz w:val="28"/>
          <w:rtl/>
          <w:lang w:bidi="ar-SY"/>
        </w:rPr>
        <w:t>(</w:t>
      </w:r>
      <w:r w:rsidRPr="003F3B94">
        <w:rPr>
          <w:rFonts w:ascii="Abo-thar" w:hAnsi="Abo-thar" w:hint="cs"/>
          <w:sz w:val="28"/>
          <w:rtl/>
          <w:lang w:bidi="ar-SY"/>
        </w:rPr>
        <w:t>1/26</w:t>
      </w:r>
      <w:r w:rsidR="00217AB4" w:rsidRPr="003F3B94">
        <w:rPr>
          <w:rFonts w:ascii="Abo-thar" w:hAnsi="Abo-thar" w:hint="cs"/>
          <w:sz w:val="28"/>
          <w:rtl/>
          <w:lang w:bidi="ar-SY"/>
        </w:rPr>
        <w:t>)</w:t>
      </w:r>
      <w:r w:rsidRPr="003F3B94">
        <w:rPr>
          <w:rFonts w:ascii="Abo-thar" w:hAnsi="Abo-thar" w:hint="cs"/>
          <w:sz w:val="28"/>
          <w:rtl/>
          <w:lang w:bidi="ar-SY"/>
        </w:rPr>
        <w:t xml:space="preserve"> ورُوِيَ في السنن الكبرى للبيهقي </w:t>
      </w:r>
      <w:r w:rsidR="00217AB4" w:rsidRPr="003F3B94">
        <w:rPr>
          <w:rFonts w:ascii="Abo-thar" w:hAnsi="Abo-thar" w:hint="cs"/>
          <w:sz w:val="28"/>
          <w:rtl/>
          <w:lang w:bidi="ar-SY"/>
        </w:rPr>
        <w:t>(</w:t>
      </w:r>
      <w:r w:rsidRPr="003F3B94">
        <w:rPr>
          <w:rFonts w:ascii="Abo-thar" w:hAnsi="Abo-thar" w:hint="cs"/>
          <w:sz w:val="28"/>
          <w:rtl/>
          <w:lang w:bidi="ar-SY"/>
        </w:rPr>
        <w:t>6/305</w:t>
      </w:r>
      <w:r w:rsidR="00217AB4" w:rsidRPr="003F3B94">
        <w:rPr>
          <w:rFonts w:ascii="Abo-thar" w:hAnsi="Abo-thar" w:hint="cs"/>
          <w:sz w:val="28"/>
          <w:rtl/>
          <w:lang w:bidi="ar-SY"/>
        </w:rPr>
        <w:t>):</w:t>
      </w:r>
      <w:r w:rsidRPr="003F3B94">
        <w:rPr>
          <w:rFonts w:ascii="Abo-thar" w:hAnsi="Abo-thar" w:hint="cs"/>
          <w:sz w:val="28"/>
          <w:rtl/>
          <w:lang w:bidi="ar-SY"/>
        </w:rPr>
        <w:t xml:space="preserve"> </w:t>
      </w:r>
      <w:r w:rsidR="00EF2588" w:rsidRPr="005A568E">
        <w:rPr>
          <w:rFonts w:ascii="Abo-thar" w:hAnsi="Abo-thar" w:cs="KFGQPC Uthman Taha Naskh" w:hint="cs"/>
          <w:sz w:val="28"/>
          <w:rtl/>
          <w:lang w:bidi="ar-SY"/>
        </w:rPr>
        <w:t>«</w:t>
      </w:r>
      <w:r w:rsidRPr="005A568E">
        <w:rPr>
          <w:rFonts w:ascii="Abo-thar" w:hAnsi="Abo-thar" w:cs="KFGQPC Uthman Taha Naskh"/>
          <w:sz w:val="28"/>
          <w:rtl/>
          <w:lang w:bidi="ar-SY"/>
        </w:rPr>
        <w:t>عَنْ عَبْدِ اللهِ بْنِ عَمْرٍو</w:t>
      </w:r>
      <w:r w:rsidR="00217AB4" w:rsidRPr="005A568E">
        <w:rPr>
          <w:rFonts w:ascii="Abo-thar" w:hAnsi="Abo-thar" w:cs="KFGQPC Uthman Taha Naskh"/>
          <w:sz w:val="28"/>
          <w:rtl/>
          <w:lang w:bidi="ar-SY"/>
        </w:rPr>
        <w:t>:</w:t>
      </w:r>
      <w:r w:rsidRPr="005A568E">
        <w:rPr>
          <w:rFonts w:ascii="Abo-thar" w:hAnsi="Abo-thar" w:cs="KFGQPC Uthman Taha Naskh"/>
          <w:sz w:val="28"/>
          <w:rtl/>
          <w:lang w:bidi="ar-SY"/>
        </w:rPr>
        <w:t xml:space="preserve"> أَنَّ رَسُولَ اللهِ </w:t>
      </w:r>
      <w:r w:rsidR="00217AB4" w:rsidRPr="005A568E">
        <w:rPr>
          <w:rFonts w:ascii="Abo-thar" w:hAnsi="Abo-thar" w:cs="KFGQPC Uthman Taha Naskh"/>
          <w:sz w:val="28"/>
          <w:rtl/>
          <w:lang w:bidi="ar-SY"/>
        </w:rPr>
        <w:t>-</w:t>
      </w:r>
      <w:r w:rsidR="007B6963" w:rsidRPr="005A568E">
        <w:rPr>
          <w:rFonts w:ascii="Abo-thar" w:hAnsi="Abo-thar" w:cs="KFGQPC Uthman Taha Naskh" w:hint="cs"/>
          <w:sz w:val="28"/>
          <w:rtl/>
          <w:lang w:bidi="ar-SY"/>
        </w:rPr>
        <w:t xml:space="preserve"> </w:t>
      </w:r>
      <w:r w:rsidR="00BC4BA9" w:rsidRPr="00BC4BA9">
        <w:rPr>
          <w:rFonts w:ascii="Lotus Linotype" w:hAnsi="Lotus Linotype" w:cs="CTraditional Arabic"/>
          <w:sz w:val="28"/>
          <w:rtl/>
          <w:lang w:bidi="ar-SY"/>
        </w:rPr>
        <w:t>ص</w:t>
      </w:r>
      <w:r w:rsidR="007B6963" w:rsidRPr="005A568E">
        <w:rPr>
          <w:rFonts w:ascii="Abo-thar" w:hAnsi="Abo-thar" w:cs="KFGQPC Uthman Taha Naskh" w:hint="cs"/>
          <w:sz w:val="28"/>
          <w:rtl/>
          <w:lang w:bidi="ar-SY"/>
        </w:rPr>
        <w:t xml:space="preserve"> </w:t>
      </w:r>
      <w:r w:rsidR="00217AB4" w:rsidRPr="005A568E">
        <w:rPr>
          <w:rFonts w:ascii="Abo-thar" w:hAnsi="Abo-thar" w:cs="KFGQPC Uthman Taha Naskh"/>
          <w:sz w:val="28"/>
          <w:rtl/>
          <w:lang w:bidi="ar-SY"/>
        </w:rPr>
        <w:t>-</w:t>
      </w:r>
      <w:r w:rsidRPr="005A568E">
        <w:rPr>
          <w:rFonts w:ascii="Abo-thar" w:hAnsi="Abo-thar" w:cs="KFGQPC Uthman Taha Naskh"/>
          <w:sz w:val="28"/>
          <w:rtl/>
          <w:lang w:bidi="ar-SY"/>
        </w:rPr>
        <w:t xml:space="preserve"> خَرَجَ يَوْمَ بَدْرٍ ف</w:t>
      </w:r>
      <w:r w:rsidRPr="005A568E">
        <w:rPr>
          <w:rFonts w:ascii="Abo-thar" w:hAnsi="Abo-thar" w:cs="KFGQPC Uthman Taha Naskh" w:hint="cs"/>
          <w:sz w:val="28"/>
          <w:rtl/>
          <w:lang w:bidi="ar-SY"/>
        </w:rPr>
        <w:t>ي</w:t>
      </w:r>
      <w:r w:rsidRPr="005A568E">
        <w:rPr>
          <w:rFonts w:ascii="Abo-thar" w:hAnsi="Abo-thar" w:cs="KFGQPC Uthman Taha Naskh"/>
          <w:sz w:val="28"/>
          <w:rtl/>
          <w:lang w:bidi="ar-SY"/>
        </w:rPr>
        <w:t xml:space="preserve"> ثَلاَثِمِائَةٍ وَخَمْسَةَ عَشَرَ فَقَالَ رَسُولُ اللهِ </w:t>
      </w:r>
      <w:r w:rsidR="00217AB4" w:rsidRPr="005A568E">
        <w:rPr>
          <w:rFonts w:ascii="Abo-thar" w:hAnsi="Abo-thar" w:cs="KFGQPC Uthman Taha Naskh"/>
          <w:sz w:val="28"/>
          <w:rtl/>
          <w:lang w:bidi="ar-SY"/>
        </w:rPr>
        <w:t>-</w:t>
      </w:r>
      <w:r w:rsidR="003C7AEB" w:rsidRPr="003C7AEB">
        <w:rPr>
          <w:rFonts w:ascii="Abo-thar" w:hAnsi="Abo-thar" w:cs="CTraditional Arabic"/>
          <w:sz w:val="28"/>
          <w:rtl/>
          <w:lang w:bidi="ar-SY"/>
        </w:rPr>
        <w:t>ص</w:t>
      </w:r>
      <w:r w:rsidR="007B6963" w:rsidRPr="005A568E">
        <w:rPr>
          <w:rFonts w:ascii="Abo-thar" w:hAnsi="Abo-thar" w:cs="KFGQPC Uthman Taha Naskh" w:hint="cs"/>
          <w:sz w:val="28"/>
          <w:rtl/>
          <w:lang w:bidi="ar-SY"/>
        </w:rPr>
        <w:t xml:space="preserve"> </w:t>
      </w:r>
      <w:r w:rsidR="00217AB4" w:rsidRPr="005A568E">
        <w:rPr>
          <w:rFonts w:ascii="Abo-thar" w:hAnsi="Abo-thar" w:cs="KFGQPC Uthman Taha Naskh"/>
          <w:sz w:val="28"/>
          <w:rtl/>
          <w:lang w:bidi="ar-SY"/>
        </w:rPr>
        <w:t>-:</w:t>
      </w:r>
      <w:r w:rsidRPr="005A568E">
        <w:rPr>
          <w:rFonts w:ascii="Abo-thar" w:hAnsi="Abo-thar" w:cs="KFGQPC Uthman Taha Naskh" w:hint="cs"/>
          <w:sz w:val="28"/>
          <w:rtl/>
          <w:lang w:bidi="ar-SY"/>
        </w:rPr>
        <w:t xml:space="preserve"> </w:t>
      </w:r>
      <w:r w:rsidRPr="005A568E">
        <w:rPr>
          <w:rFonts w:ascii="Abo-thar" w:hAnsi="Abo-thar" w:cs="KFGQPC Uthman Taha Naskh"/>
          <w:sz w:val="28"/>
          <w:rtl/>
          <w:lang w:bidi="ar-SY"/>
        </w:rPr>
        <w:t>«</w:t>
      </w:r>
      <w:r w:rsidRPr="005A568E">
        <w:rPr>
          <w:rFonts w:ascii="Abo-thar" w:hAnsi="Abo-thar" w:cs="KFGQPC Uthman Taha Naskh"/>
          <w:bCs/>
          <w:sz w:val="28"/>
          <w:rtl/>
          <w:lang w:bidi="ar-SY"/>
        </w:rPr>
        <w:t>اللَّهُمَّ إِنَّهُمْ حُفَاةٌ فَاحْمِلْهُمُ</w:t>
      </w:r>
      <w:r w:rsidR="007B6963" w:rsidRPr="005A568E">
        <w:rPr>
          <w:rFonts w:ascii="Abo-thar" w:hAnsi="Abo-thar" w:cs="KFGQPC Uthman Taha Naskh" w:hint="cs"/>
          <w:bCs/>
          <w:sz w:val="28"/>
          <w:rtl/>
          <w:lang w:bidi="ar-SY"/>
        </w:rPr>
        <w:t>.</w:t>
      </w:r>
      <w:r w:rsidRPr="005A568E">
        <w:rPr>
          <w:rFonts w:ascii="Abo-thar" w:hAnsi="Abo-thar" w:cs="KFGQPC Uthman Taha Naskh"/>
          <w:bCs/>
          <w:sz w:val="28"/>
          <w:rtl/>
          <w:lang w:bidi="ar-SY"/>
        </w:rPr>
        <w:t xml:space="preserve"> اللَّهُمَّ إِنَّهُمْ عُرَاةٌ فَاكْسُهُمُ</w:t>
      </w:r>
      <w:r w:rsidR="007B6963" w:rsidRPr="005A568E">
        <w:rPr>
          <w:rFonts w:ascii="Abo-thar" w:hAnsi="Abo-thar" w:cs="KFGQPC Uthman Taha Naskh" w:hint="cs"/>
          <w:bCs/>
          <w:sz w:val="28"/>
          <w:rtl/>
          <w:lang w:bidi="ar-SY"/>
        </w:rPr>
        <w:t>.</w:t>
      </w:r>
      <w:r w:rsidRPr="005A568E">
        <w:rPr>
          <w:rFonts w:ascii="Abo-thar" w:hAnsi="Abo-thar" w:cs="KFGQPC Uthman Taha Naskh"/>
          <w:bCs/>
          <w:sz w:val="28"/>
          <w:rtl/>
          <w:lang w:bidi="ar-SY"/>
        </w:rPr>
        <w:t xml:space="preserve"> اللَّهِمَّ إِنَّهُمْ جِيَاعٌ فَأَشْبِعْهُمْ</w:t>
      </w:r>
      <w:r w:rsidR="00EF2588" w:rsidRPr="005A568E">
        <w:rPr>
          <w:rFonts w:ascii="Abo-thar" w:hAnsi="Abo-thar" w:cs="KFGQPC Uthman Taha Naskh"/>
          <w:sz w:val="28"/>
          <w:rtl/>
          <w:lang w:bidi="ar-SY"/>
        </w:rPr>
        <w:t>»</w:t>
      </w:r>
      <w:r w:rsidR="00217AB4" w:rsidRPr="003F3B94">
        <w:rPr>
          <w:rFonts w:ascii="Abo-thar" w:hAnsi="Abo-thar" w:hint="cs"/>
          <w:sz w:val="28"/>
          <w:rtl/>
          <w:lang w:bidi="ar-SY"/>
        </w:rPr>
        <w:t>.</w:t>
      </w:r>
      <w:r w:rsidRPr="003F3B94">
        <w:rPr>
          <w:rFonts w:ascii="Abo-thar" w:hAnsi="Abo-thar" w:hint="cs"/>
          <w:sz w:val="28"/>
          <w:rtl/>
          <w:lang w:bidi="ar-SY"/>
        </w:rPr>
        <w:t xml:space="preserve"> </w:t>
      </w:r>
    </w:p>
    <w:p w:rsidR="005C664D" w:rsidRPr="003F3B94" w:rsidRDefault="005C664D" w:rsidP="008A4E41">
      <w:pPr>
        <w:pStyle w:val="a0"/>
        <w:rPr>
          <w:rFonts w:hint="cs"/>
          <w:rtl/>
          <w:lang w:bidi="ar-SY"/>
        </w:rPr>
      </w:pPr>
      <w:r w:rsidRPr="003F3B94">
        <w:rPr>
          <w:rFonts w:ascii="Abo-thar" w:hAnsi="Abo-thar" w:hint="cs"/>
          <w:sz w:val="28"/>
          <w:rtl/>
          <w:lang w:bidi="ar-SY"/>
        </w:rPr>
        <w:t xml:space="preserve">وكذلك جاء في كتاب </w:t>
      </w:r>
      <w:r w:rsidRPr="003F3B94">
        <w:rPr>
          <w:rFonts w:ascii="Abo-thar" w:hAnsi="Abo-thar" w:hint="eastAsia"/>
          <w:sz w:val="28"/>
          <w:rtl/>
          <w:lang w:bidi="ar-SY"/>
        </w:rPr>
        <w:t>«</w:t>
      </w:r>
      <w:r w:rsidRPr="003F3B94">
        <w:rPr>
          <w:rFonts w:ascii="Abo-thar" w:hAnsi="Abo-thar" w:hint="cs"/>
          <w:sz w:val="28"/>
          <w:rtl/>
          <w:lang w:bidi="ar-SY"/>
        </w:rPr>
        <w:t>المصنَّف</w:t>
      </w:r>
      <w:r w:rsidRPr="003F3B94">
        <w:rPr>
          <w:rFonts w:ascii="Abo-thar" w:hAnsi="Abo-thar" w:hint="eastAsia"/>
          <w:sz w:val="28"/>
          <w:rtl/>
          <w:lang w:bidi="ar-SY"/>
        </w:rPr>
        <w:t>»</w:t>
      </w:r>
      <w:r w:rsidRPr="003F3B94">
        <w:rPr>
          <w:rFonts w:ascii="Abo-thar" w:hAnsi="Abo-thar" w:hint="cs"/>
          <w:sz w:val="28"/>
          <w:rtl/>
          <w:lang w:bidi="ar-SY"/>
        </w:rPr>
        <w:t xml:space="preserve"> القيِّم لعبد الرزاق الصنعاني </w:t>
      </w:r>
      <w:r w:rsidR="00217AB4" w:rsidRPr="003F3B94">
        <w:rPr>
          <w:rFonts w:ascii="Abo-thar" w:hAnsi="Abo-thar"/>
          <w:sz w:val="28"/>
          <w:rtl/>
          <w:lang w:bidi="ar-SY"/>
        </w:rPr>
        <w:t>(</w:t>
      </w:r>
      <w:r w:rsidRPr="003F3B94">
        <w:rPr>
          <w:rFonts w:ascii="Abo-thar" w:hAnsi="Abo-thar"/>
          <w:sz w:val="28"/>
          <w:rtl/>
          <w:lang w:bidi="ar-SY"/>
        </w:rPr>
        <w:t>ج5</w:t>
      </w:r>
      <w:r w:rsidRPr="003F3B94">
        <w:rPr>
          <w:rFonts w:ascii="Abo-thar" w:hAnsi="Abo-thar" w:hint="cs"/>
          <w:sz w:val="28"/>
          <w:rtl/>
          <w:lang w:bidi="ar-SY"/>
        </w:rPr>
        <w:t xml:space="preserve">/ </w:t>
      </w:r>
      <w:r w:rsidRPr="003F3B94">
        <w:rPr>
          <w:rFonts w:ascii="Abo-thar" w:hAnsi="Abo-thar"/>
          <w:sz w:val="28"/>
          <w:rtl/>
          <w:lang w:bidi="ar-SY"/>
        </w:rPr>
        <w:t>ص209</w:t>
      </w:r>
      <w:r w:rsidR="00217AB4" w:rsidRPr="003F3B94">
        <w:rPr>
          <w:rFonts w:ascii="Abo-thar" w:hAnsi="Abo-thar" w:hint="cs"/>
          <w:sz w:val="28"/>
          <w:rtl/>
          <w:lang w:bidi="ar-SY"/>
        </w:rPr>
        <w:t>،</w:t>
      </w:r>
      <w:r w:rsidRPr="003F3B94">
        <w:rPr>
          <w:rFonts w:ascii="Abo-thar" w:hAnsi="Abo-thar" w:hint="cs"/>
          <w:sz w:val="28"/>
          <w:rtl/>
          <w:lang w:bidi="ar-SY"/>
        </w:rPr>
        <w:t xml:space="preserve"> ح</w:t>
      </w:r>
      <w:r w:rsidRPr="003F3B94">
        <w:rPr>
          <w:rFonts w:ascii="Abo-thar" w:hAnsi="Abo-thar"/>
          <w:sz w:val="28"/>
          <w:rtl/>
          <w:lang w:bidi="ar-SY"/>
        </w:rPr>
        <w:t>9402</w:t>
      </w:r>
      <w:r w:rsidR="00217AB4" w:rsidRPr="003F3B94">
        <w:rPr>
          <w:rFonts w:ascii="Abo-thar" w:hAnsi="Abo-thar"/>
          <w:sz w:val="28"/>
          <w:rtl/>
          <w:lang w:bidi="ar-SY"/>
        </w:rPr>
        <w:t>)</w:t>
      </w:r>
      <w:r w:rsidRPr="003F3B94">
        <w:rPr>
          <w:rFonts w:ascii="Abo-thar" w:hAnsi="Abo-thar"/>
          <w:sz w:val="28"/>
          <w:rtl/>
          <w:lang w:bidi="ar-SY"/>
        </w:rPr>
        <w:t xml:space="preserve"> </w:t>
      </w:r>
      <w:r w:rsidRPr="003F3B94">
        <w:rPr>
          <w:rFonts w:ascii="Abo-thar" w:hAnsi="Abo-thar" w:hint="cs"/>
          <w:sz w:val="28"/>
          <w:rtl/>
          <w:lang w:bidi="ar-SY"/>
        </w:rPr>
        <w:t>ما نصُّه</w:t>
      </w:r>
      <w:r w:rsidR="00217AB4" w:rsidRPr="003F3B94">
        <w:rPr>
          <w:rFonts w:ascii="Abo-thar" w:hAnsi="Abo-thar" w:hint="cs"/>
          <w:sz w:val="28"/>
          <w:rtl/>
          <w:lang w:bidi="ar-SY"/>
        </w:rPr>
        <w:t>:</w:t>
      </w:r>
      <w:r w:rsidRPr="003F3B94">
        <w:rPr>
          <w:rFonts w:ascii="Abo-thar" w:hAnsi="Abo-thar" w:hint="cs"/>
          <w:sz w:val="28"/>
          <w:rtl/>
          <w:lang w:bidi="ar-SY"/>
        </w:rPr>
        <w:t xml:space="preserve"> </w:t>
      </w:r>
      <w:r w:rsidRPr="005A568E">
        <w:rPr>
          <w:rFonts w:ascii="Abo-thar" w:hAnsi="Abo-thar" w:cs="KFGQPC Uthman Taha Naskh"/>
          <w:sz w:val="28"/>
          <w:rtl/>
          <w:lang w:bidi="ar-SY"/>
        </w:rPr>
        <w:t>«</w:t>
      </w:r>
      <w:r w:rsidR="008A4E41" w:rsidRPr="008A4E41">
        <w:rPr>
          <w:rFonts w:ascii="Abo-thar" w:hAnsi="Abo-thar" w:cs="KFGQPC Uthman Taha Naskh"/>
          <w:bCs/>
          <w:sz w:val="28"/>
          <w:rtl/>
          <w:lang w:bidi="ar-SY"/>
        </w:rPr>
        <w:t>عَبْدُ الرَّزَّاقِ، عَنْ مَعْمَرٍ، يَعْنِي عَنْ أَيُّوبَ، عَنِ ابْنِ سِ</w:t>
      </w:r>
      <w:r w:rsidR="008A4E41">
        <w:rPr>
          <w:rFonts w:ascii="Abo-thar" w:hAnsi="Abo-thar" w:cs="KFGQPC Uthman Taha Naskh"/>
          <w:bCs/>
          <w:sz w:val="28"/>
          <w:rtl/>
          <w:lang w:bidi="ar-SY"/>
        </w:rPr>
        <w:t xml:space="preserve">يرِينَ، عَنْ عَبِيدَةَ قَالَ: </w:t>
      </w:r>
      <w:r w:rsidR="008A4E41" w:rsidRPr="008A4E41">
        <w:rPr>
          <w:rFonts w:ascii="Abo-thar" w:hAnsi="Abo-thar" w:cs="KFGQPC Uthman Taha Naskh"/>
          <w:bCs/>
          <w:sz w:val="28"/>
          <w:rtl/>
          <w:lang w:bidi="ar-SY"/>
        </w:rPr>
        <w:t>نَزَلَ جِبْرِيلُ عَلَيْهِ السَّلَامُ عَلَى النَّبِيِّ صَلَّى اللهُ عَلَيْهِ وَسَلَّمَ يَوْمَ بَدْرٍ، فَقَالَ: إِنَّ رَبَّكَ يُخَيِّرُكَ إِنْ شِئْتَ أَنْ تَقْتُلَ هَؤُلَاءِ الْأُسَارَى، وَإِنْ شِئْتَ أَنْ تُفَادِي بِهِمْ، وَتُقْتَلُ مِنْ أَصَحَابِكَ مِثْلَهُمْ</w:t>
      </w:r>
      <w:r w:rsidR="008A4E41" w:rsidRPr="008E6B97">
        <w:rPr>
          <w:rFonts w:cs="Arabic11 BT"/>
          <w:b/>
          <w:sz w:val="28"/>
          <w:vertAlign w:val="superscript"/>
          <w:rtl/>
          <w:lang w:bidi="ar-SY"/>
        </w:rPr>
        <w:t>(</w:t>
      </w:r>
      <w:r w:rsidR="008A4E41" w:rsidRPr="008E6B97">
        <w:rPr>
          <w:rStyle w:val="FootnoteReference"/>
          <w:rFonts w:cs="Arabic11 BT"/>
          <w:b/>
          <w:sz w:val="28"/>
          <w:rtl/>
          <w:lang w:bidi="ar-SY"/>
        </w:rPr>
        <w:footnoteReference w:id="10"/>
      </w:r>
      <w:r w:rsidR="008A4E41" w:rsidRPr="008E6B97">
        <w:rPr>
          <w:rFonts w:cs="Arabic11 BT"/>
          <w:b/>
          <w:sz w:val="28"/>
          <w:vertAlign w:val="superscript"/>
          <w:rtl/>
          <w:lang w:bidi="ar-SY"/>
        </w:rPr>
        <w:t>)</w:t>
      </w:r>
      <w:r w:rsidR="008A4E41" w:rsidRPr="008A4E41">
        <w:rPr>
          <w:rFonts w:ascii="Abo-thar" w:hAnsi="Abo-thar" w:cs="KFGQPC Uthman Taha Naskh"/>
          <w:bCs/>
          <w:sz w:val="28"/>
          <w:rtl/>
          <w:lang w:bidi="ar-SY"/>
        </w:rPr>
        <w:t xml:space="preserve">، فَاسْتَشَارَ أَصْحَابَهُ فَقَالُوا: نُفَادِيهِمْ، </w:t>
      </w:r>
      <w:r w:rsidR="008A4E41" w:rsidRPr="008A4E41">
        <w:rPr>
          <w:rFonts w:ascii="Abo-thar" w:hAnsi="Abo-thar" w:cs="KFGQPC Uthman Taha Naskh"/>
          <w:bCs/>
          <w:sz w:val="28"/>
          <w:u w:val="single"/>
          <w:rtl/>
          <w:lang w:bidi="ar-SY"/>
        </w:rPr>
        <w:t>وَنَتَقَوَّى بِهِمْ،</w:t>
      </w:r>
      <w:r w:rsidR="008A4E41" w:rsidRPr="008A4E41">
        <w:rPr>
          <w:rFonts w:ascii="Abo-thar" w:hAnsi="Abo-thar" w:cs="KFGQPC Uthman Taha Naskh"/>
          <w:bCs/>
          <w:sz w:val="28"/>
          <w:rtl/>
          <w:lang w:bidi="ar-SY"/>
        </w:rPr>
        <w:t xml:space="preserve"> وَيُكْرِمُ اللَّهُ بِالشَّهَادَةِ مَنْ يَشَاءُ</w:t>
      </w:r>
      <w:r w:rsidRPr="005A568E">
        <w:rPr>
          <w:rFonts w:ascii="Abo-thar" w:hAnsi="Abo-thar" w:cs="KFGQPC Uthman Taha Naskh"/>
          <w:sz w:val="28"/>
          <w:rtl/>
          <w:lang w:bidi="ar-SY"/>
        </w:rPr>
        <w:t>»</w:t>
      </w:r>
      <w:r w:rsidR="00217AB4" w:rsidRPr="003F3B94">
        <w:rPr>
          <w:rFonts w:ascii="Abo-thar" w:hAnsi="Abo-thar"/>
          <w:sz w:val="28"/>
          <w:rtl/>
          <w:lang w:bidi="ar-SY"/>
        </w:rPr>
        <w:t>.</w:t>
      </w:r>
    </w:p>
    <w:p w:rsidR="005C664D" w:rsidRPr="003F3B94" w:rsidRDefault="005C664D" w:rsidP="003F3B94">
      <w:pPr>
        <w:pStyle w:val="a0"/>
        <w:rPr>
          <w:rFonts w:hint="cs"/>
          <w:rtl/>
          <w:lang w:bidi="ar-SY"/>
        </w:rPr>
      </w:pPr>
      <w:r w:rsidRPr="003F3B94">
        <w:rPr>
          <w:rFonts w:ascii="Abo-thar" w:hAnsi="Abo-thar" w:hint="cs"/>
          <w:b/>
          <w:bCs/>
          <w:sz w:val="28"/>
          <w:rtl/>
          <w:lang w:bidi="ar-SY"/>
        </w:rPr>
        <w:t>3</w:t>
      </w:r>
      <w:r w:rsidR="00217AB4" w:rsidRPr="003F3B94">
        <w:rPr>
          <w:rFonts w:ascii="Abo-thar" w:hAnsi="Abo-thar" w:hint="cs"/>
          <w:b/>
          <w:bCs/>
          <w:sz w:val="28"/>
          <w:rtl/>
          <w:lang w:bidi="ar-SY"/>
        </w:rPr>
        <w:t>-</w:t>
      </w:r>
      <w:r w:rsidRPr="003F3B94">
        <w:rPr>
          <w:rFonts w:ascii="Abo-thar" w:hAnsi="Abo-thar" w:hint="cs"/>
          <w:b/>
          <w:bCs/>
          <w:sz w:val="28"/>
          <w:rtl/>
          <w:lang w:bidi="ar-SY"/>
        </w:rPr>
        <w:t xml:space="preserve"> النقطة الثالثة</w:t>
      </w:r>
      <w:r w:rsidR="00217AB4" w:rsidRPr="003F3B94">
        <w:rPr>
          <w:rFonts w:ascii="Abo-thar" w:hAnsi="Abo-thar" w:hint="cs"/>
          <w:b/>
          <w:bCs/>
          <w:sz w:val="28"/>
          <w:rtl/>
          <w:lang w:bidi="ar-SY"/>
        </w:rPr>
        <w:t>:</w:t>
      </w:r>
      <w:r w:rsidRPr="003F3B94">
        <w:rPr>
          <w:rFonts w:ascii="Abo-thar" w:hAnsi="Abo-thar" w:hint="cs"/>
          <w:b/>
          <w:bCs/>
          <w:sz w:val="28"/>
          <w:rtl/>
          <w:lang w:bidi="ar-SY"/>
        </w:rPr>
        <w:t xml:space="preserve"> </w:t>
      </w:r>
      <w:r w:rsidRPr="003F3B94">
        <w:rPr>
          <w:rFonts w:ascii="Abo-thar" w:hAnsi="Abo-thar" w:hint="cs"/>
          <w:sz w:val="28"/>
          <w:rtl/>
          <w:lang w:bidi="ar-SY"/>
        </w:rPr>
        <w:t>كان أخذ الخمس من غنائم الحرب أمراً معمولاً به ورائجاً قبل الإسلام</w:t>
      </w:r>
      <w:r w:rsidR="00217AB4" w:rsidRPr="003F3B94">
        <w:rPr>
          <w:rFonts w:ascii="Abo-thar" w:hAnsi="Abo-thar" w:hint="cs"/>
          <w:sz w:val="28"/>
          <w:rtl/>
          <w:lang w:bidi="ar-SY"/>
        </w:rPr>
        <w:t>،</w:t>
      </w:r>
      <w:r w:rsidRPr="003F3B94">
        <w:rPr>
          <w:rFonts w:ascii="Abo-thar" w:hAnsi="Abo-thar" w:hint="cs"/>
          <w:sz w:val="28"/>
          <w:rtl/>
          <w:lang w:bidi="ar-SY"/>
        </w:rPr>
        <w:t xml:space="preserve"> ولذا فإن بعض أصحاب رسول الله</w:t>
      </w:r>
      <w:r w:rsidR="00147857" w:rsidRPr="003F3B94">
        <w:rPr>
          <w:rFonts w:ascii="Abo-thar" w:hAnsi="Abo-thar" w:hint="cs"/>
          <w:sz w:val="28"/>
          <w:rtl/>
          <w:lang w:bidi="ar-SY"/>
        </w:rPr>
        <w:t xml:space="preserve"> </w:t>
      </w:r>
      <w:r w:rsidR="003C7AEB" w:rsidRPr="003C7AEB">
        <w:rPr>
          <w:rFonts w:ascii="Abo-thar" w:hAnsi="Abo-thar" w:cs="CTraditional Arabic" w:hint="cs"/>
          <w:sz w:val="28"/>
          <w:rtl/>
          <w:lang w:bidi="ar-SY"/>
        </w:rPr>
        <w:t>ص</w:t>
      </w:r>
      <w:r w:rsidR="00147857" w:rsidRPr="003F3B94">
        <w:rPr>
          <w:rFonts w:ascii="Abo-thar" w:hAnsi="Abo-thar" w:hint="cs"/>
          <w:sz w:val="28"/>
          <w:rtl/>
          <w:lang w:bidi="ar-SY"/>
        </w:rPr>
        <w:t xml:space="preserve"> </w:t>
      </w:r>
      <w:r w:rsidRPr="003F3B94">
        <w:rPr>
          <w:rFonts w:ascii="Abo-thar" w:hAnsi="Abo-thar" w:hint="cs"/>
          <w:sz w:val="28"/>
          <w:rtl/>
          <w:lang w:bidi="ar-SY"/>
        </w:rPr>
        <w:t>قام في السرايا التي وقعت قبل معركة بدر وغنم المجاهدون فيها بعض الغنائم بإخراج الخمس منها والإتيان به إلى رسول الله</w:t>
      </w:r>
      <w:r w:rsidR="00147857" w:rsidRPr="003F3B94">
        <w:rPr>
          <w:rFonts w:ascii="Abo-thar" w:hAnsi="Abo-thar" w:hint="cs"/>
          <w:sz w:val="28"/>
          <w:rtl/>
          <w:lang w:bidi="ar-SY"/>
        </w:rPr>
        <w:t xml:space="preserve"> </w:t>
      </w:r>
      <w:r w:rsidR="003C7AEB" w:rsidRPr="003C7AEB">
        <w:rPr>
          <w:rFonts w:ascii="Abo-thar" w:hAnsi="Abo-thar" w:cs="CTraditional Arabic" w:hint="cs"/>
          <w:sz w:val="28"/>
          <w:rtl/>
          <w:lang w:bidi="ar-SY"/>
        </w:rPr>
        <w:t>ص</w:t>
      </w:r>
      <w:r w:rsidR="00217AB4" w:rsidRPr="0021507A">
        <w:rPr>
          <w:rFonts w:cs="Arabic11 BT"/>
          <w:b/>
          <w:sz w:val="28"/>
          <w:vertAlign w:val="superscript"/>
          <w:rtl/>
          <w:lang w:bidi="ar-SY"/>
        </w:rPr>
        <w:t>(</w:t>
      </w:r>
      <w:r w:rsidRPr="0021507A">
        <w:rPr>
          <w:rStyle w:val="FootnoteReference"/>
          <w:rFonts w:cs="Arabic11 BT"/>
          <w:b/>
          <w:sz w:val="28"/>
          <w:rtl/>
          <w:lang w:bidi="ar-SY"/>
        </w:rPr>
        <w:footnoteReference w:id="11"/>
      </w:r>
      <w:r w:rsidR="00217AB4" w:rsidRPr="0021507A">
        <w:rPr>
          <w:rFonts w:cs="Arabic11 BT"/>
          <w:b/>
          <w:sz w:val="28"/>
          <w:vertAlign w:val="superscript"/>
          <w:rtl/>
          <w:lang w:bidi="ar-SY"/>
        </w:rPr>
        <w:t>)</w:t>
      </w:r>
      <w:r w:rsidRPr="003F3B94">
        <w:rPr>
          <w:rFonts w:ascii="Abo-thar" w:hAnsi="Abo-thar" w:hint="cs"/>
          <w:sz w:val="28"/>
          <w:rtl/>
          <w:lang w:bidi="ar-SY"/>
        </w:rPr>
        <w:t xml:space="preserve"> [رغم عدم نزول حكم خمس الغنائم بعد]</w:t>
      </w:r>
      <w:r w:rsidR="00217AB4" w:rsidRPr="003F3B94">
        <w:rPr>
          <w:rFonts w:ascii="Abo-thar" w:hAnsi="Abo-thar" w:hint="cs"/>
          <w:sz w:val="28"/>
          <w:rtl/>
          <w:lang w:bidi="ar-SY"/>
        </w:rPr>
        <w:t>.</w:t>
      </w:r>
    </w:p>
    <w:p w:rsidR="005C664D" w:rsidRPr="003F3B94" w:rsidRDefault="005C664D" w:rsidP="003F3B94">
      <w:pPr>
        <w:pStyle w:val="a0"/>
        <w:rPr>
          <w:rFonts w:hint="cs"/>
          <w:rtl/>
          <w:lang w:bidi="ar-SY"/>
        </w:rPr>
      </w:pPr>
      <w:r w:rsidRPr="003F3B94">
        <w:rPr>
          <w:rFonts w:ascii="Abo-thar" w:hAnsi="Abo-thar" w:hint="cs"/>
          <w:sz w:val="28"/>
          <w:rtl/>
          <w:lang w:bidi="ar-SY"/>
        </w:rPr>
        <w:t>فحكم الخمس لم يكن حكماً جديداً مختص</w:t>
      </w:r>
      <w:r w:rsidR="00C53756" w:rsidRPr="003F3B94">
        <w:rPr>
          <w:rFonts w:ascii="Abo-thar" w:hAnsi="Abo-thar" w:hint="cs"/>
          <w:sz w:val="28"/>
          <w:rtl/>
          <w:lang w:bidi="ar-SY"/>
        </w:rPr>
        <w:t>ّ</w:t>
      </w:r>
      <w:r w:rsidRPr="003F3B94">
        <w:rPr>
          <w:rFonts w:ascii="Abo-thar" w:hAnsi="Abo-thar" w:hint="cs"/>
          <w:sz w:val="28"/>
          <w:rtl/>
          <w:lang w:bidi="ar-SY"/>
        </w:rPr>
        <w:t>اً بدين الإسلام بل كان أخذ خمس غنائم الحرب وحتى ربعها رائجاً ومعمولاً به في الأمم السالفة وفي الجاهلية كذلك</w:t>
      </w:r>
      <w:r w:rsidR="00217AB4" w:rsidRPr="003F3B94">
        <w:rPr>
          <w:rFonts w:ascii="Abo-thar" w:hAnsi="Abo-thar" w:hint="cs"/>
          <w:sz w:val="28"/>
          <w:rtl/>
          <w:lang w:bidi="ar-SY"/>
        </w:rPr>
        <w:t>،</w:t>
      </w:r>
      <w:r w:rsidRPr="003F3B94">
        <w:rPr>
          <w:rFonts w:ascii="Abo-thar" w:hAnsi="Abo-thar" w:hint="cs"/>
          <w:sz w:val="28"/>
          <w:rtl/>
          <w:lang w:bidi="ar-SY"/>
        </w:rPr>
        <w:t xml:space="preserve"> وكان رؤساء القبائل وقادة المعارك يختصون أنفسهم بمقدارٍ من غنائم الحرب إما الخمس أو الربع</w:t>
      </w:r>
      <w:r w:rsidR="00217AB4" w:rsidRPr="003F3B94">
        <w:rPr>
          <w:rFonts w:ascii="Abo-thar" w:hAnsi="Abo-thar" w:hint="cs"/>
          <w:sz w:val="28"/>
          <w:rtl/>
          <w:lang w:bidi="ar-SY"/>
        </w:rPr>
        <w:t>،</w:t>
      </w:r>
      <w:r w:rsidRPr="003F3B94">
        <w:rPr>
          <w:rFonts w:ascii="Abo-thar" w:hAnsi="Abo-thar" w:hint="cs"/>
          <w:sz w:val="28"/>
          <w:rtl/>
          <w:lang w:bidi="ar-SY"/>
        </w:rPr>
        <w:t xml:space="preserve"> ولكن دين الإسلام لم يشرع مثل هذا الاستئثار والاختصاص</w:t>
      </w:r>
      <w:r w:rsidR="00217AB4" w:rsidRPr="0021507A">
        <w:rPr>
          <w:rStyle w:val="FootnoteReference"/>
          <w:rFonts w:cs="Arabic11 BT"/>
          <w:b/>
          <w:sz w:val="28"/>
          <w:rtl/>
          <w:lang w:bidi="ar-SY"/>
        </w:rPr>
        <w:t>(</w:t>
      </w:r>
      <w:r w:rsidRPr="0021507A">
        <w:rPr>
          <w:rStyle w:val="FootnoteReference"/>
          <w:rFonts w:cs="Arabic11 BT"/>
          <w:b/>
          <w:sz w:val="28"/>
          <w:rtl/>
          <w:lang w:bidi="ar-SY"/>
        </w:rPr>
        <w:footnoteReference w:id="12"/>
      </w:r>
      <w:r w:rsidR="00217AB4" w:rsidRPr="0021507A">
        <w:rPr>
          <w:rStyle w:val="FootnoteReference"/>
          <w:rFonts w:cs="Arabic11 BT"/>
          <w:b/>
          <w:sz w:val="28"/>
          <w:rtl/>
          <w:lang w:bidi="ar-SY"/>
        </w:rPr>
        <w:t>)</w:t>
      </w:r>
      <w:r w:rsidR="00217AB4" w:rsidRPr="003F3B94">
        <w:rPr>
          <w:rFonts w:ascii="Abo-thar" w:hAnsi="Abo-thar" w:hint="cs"/>
          <w:sz w:val="28"/>
          <w:rtl/>
          <w:lang w:bidi="ar-SY"/>
        </w:rPr>
        <w:t>.</w:t>
      </w:r>
      <w:r w:rsidR="00147857" w:rsidRPr="003F3B94">
        <w:rPr>
          <w:rFonts w:ascii="Abo-thar" w:hAnsi="Abo-thar" w:hint="cs"/>
          <w:sz w:val="28"/>
          <w:rtl/>
          <w:lang w:bidi="ar-SY"/>
        </w:rPr>
        <w:t xml:space="preserve"> </w:t>
      </w:r>
    </w:p>
    <w:p w:rsidR="00713EB9" w:rsidRPr="003F3B94" w:rsidRDefault="00713EB9" w:rsidP="003F3B94">
      <w:pPr>
        <w:pStyle w:val="a0"/>
        <w:rPr>
          <w:rFonts w:hint="cs"/>
          <w:rtl/>
        </w:rPr>
      </w:pPr>
      <w:r w:rsidRPr="003F3B94">
        <w:rPr>
          <w:rFonts w:ascii="Abo-thar" w:hAnsi="Abo-thar" w:hint="cs"/>
          <w:sz w:val="28"/>
          <w:rtl/>
        </w:rPr>
        <w:t xml:space="preserve">وقبل أن ننتقل إلى نقاط أخرى من المفيد أن نستعرض بعض الروايات التاريخية والتفسيرية في هذا الصدد: </w:t>
      </w:r>
    </w:p>
    <w:p w:rsidR="00713EB9" w:rsidRPr="003F3B94" w:rsidRDefault="00713EB9" w:rsidP="003F3B94">
      <w:pPr>
        <w:pStyle w:val="a0"/>
        <w:rPr>
          <w:rFonts w:hint="cs"/>
          <w:rtl/>
        </w:rPr>
      </w:pPr>
      <w:r w:rsidRPr="003F3B94">
        <w:rPr>
          <w:rFonts w:ascii="Abo-thar" w:hAnsi="Abo-thar"/>
          <w:sz w:val="28"/>
          <w:rtl/>
        </w:rPr>
        <w:t xml:space="preserve">جاء في سيرة ابن هشام ضمن ذكر قُدُومُ وَفْدِ بَنِي تَمِيمٍ على رسول </w:t>
      </w:r>
      <w:r w:rsidRPr="003F3B94">
        <w:rPr>
          <w:rFonts w:ascii="Abo-thar" w:hAnsi="Abo-thar" w:hint="cs"/>
          <w:sz w:val="28"/>
          <w:rtl/>
        </w:rPr>
        <w:t xml:space="preserve">الله.. </w:t>
      </w:r>
      <w:r w:rsidRPr="003F3B94">
        <w:rPr>
          <w:rFonts w:ascii="Abo-thar" w:hAnsi="Abo-thar"/>
          <w:sz w:val="28"/>
          <w:rtl/>
        </w:rPr>
        <w:t xml:space="preserve">والخطبة التي ألقاها خطيبهم </w:t>
      </w:r>
      <w:r w:rsidRPr="003F3B94">
        <w:rPr>
          <w:rFonts w:ascii="Abo-thar" w:hAnsi="Abo-thar" w:hint="cs"/>
          <w:sz w:val="28"/>
          <w:rtl/>
        </w:rPr>
        <w:t>وشاعرهم</w:t>
      </w:r>
      <w:r w:rsidRPr="003F3B94">
        <w:rPr>
          <w:rFonts w:ascii="Abo-thar" w:hAnsi="Abo-thar"/>
          <w:sz w:val="28"/>
          <w:rtl/>
        </w:rPr>
        <w:t xml:space="preserve"> «عُطَارِدُ بْنُ حَاجِبِ» وما أجابه « ثَابِتُ بْنُ قَيْسِ بْنِ الشّمّاسِ» ثم قيام شاعر بني تميم «الزّبْرِقَانَ بْنَ بَدْرٍ» بإلقاء قصيدة يعدد فيها مفاخر قومه في أيام الجاهلية فكان فيما قاله:</w:t>
      </w:r>
    </w:p>
    <w:p w:rsidR="00713EB9" w:rsidRPr="003F3B94" w:rsidRDefault="00713EB9" w:rsidP="003F3B94">
      <w:pPr>
        <w:pStyle w:val="a0"/>
        <w:rPr>
          <w:rFonts w:hint="cs"/>
          <w:rtl/>
        </w:rPr>
      </w:pPr>
      <w:r w:rsidRPr="003F3B94">
        <w:rPr>
          <w:rFonts w:ascii="Abo-thar" w:hAnsi="Abo-thar"/>
          <w:sz w:val="28"/>
          <w:rtl/>
        </w:rPr>
        <w:t>«مِنّا المُلُوكُ وَفِينَا تُقْسَمُ الرّبَعُ».</w:t>
      </w:r>
      <w:r w:rsidRPr="0021507A">
        <w:rPr>
          <w:rStyle w:val="FootnoteReference"/>
          <w:rFonts w:cs="Arabic11 BT"/>
          <w:b/>
          <w:sz w:val="28"/>
          <w:rtl/>
        </w:rPr>
        <w:t>(</w:t>
      </w:r>
      <w:r w:rsidRPr="0021507A">
        <w:rPr>
          <w:rStyle w:val="FootnoteReference"/>
          <w:rFonts w:cs="Arabic11 BT"/>
          <w:b/>
          <w:sz w:val="28"/>
          <w:rtl/>
        </w:rPr>
        <w:footnoteReference w:id="13"/>
      </w:r>
      <w:r w:rsidRPr="0021507A">
        <w:rPr>
          <w:rStyle w:val="FootnoteReference"/>
          <w:rFonts w:cs="Arabic11 BT"/>
          <w:b/>
          <w:sz w:val="28"/>
          <w:rtl/>
        </w:rPr>
        <w:t>)</w:t>
      </w:r>
      <w:r w:rsidRPr="003F3B94">
        <w:rPr>
          <w:rFonts w:ascii="Abo-thar" w:hAnsi="Abo-thar"/>
          <w:sz w:val="28"/>
          <w:rtl/>
        </w:rPr>
        <w:t xml:space="preserve"> </w:t>
      </w:r>
      <w:r w:rsidRPr="003F3B94">
        <w:rPr>
          <w:rFonts w:ascii="Abo-thar" w:hAnsi="Abo-thar" w:hint="cs"/>
          <w:sz w:val="28"/>
          <w:rtl/>
        </w:rPr>
        <w:t>ومنها أيضًا البيت القائل:</w:t>
      </w:r>
    </w:p>
    <w:p w:rsidR="00713EB9" w:rsidRPr="003F3B94" w:rsidRDefault="00713EB9" w:rsidP="003F3B94">
      <w:pPr>
        <w:pStyle w:val="a0"/>
        <w:rPr>
          <w:rFonts w:hint="cs"/>
          <w:rtl/>
          <w:lang w:bidi="ar-SY"/>
        </w:rPr>
      </w:pPr>
      <w:r w:rsidRPr="00995B26">
        <w:rPr>
          <w:rFonts w:ascii="Abo-thar" w:hAnsi="Abo-thar" w:cs="KFGQPC Uthman Taha Naskh" w:hint="cs"/>
          <w:sz w:val="28"/>
          <w:rtl/>
          <w:lang w:bidi="ar-SY"/>
        </w:rPr>
        <w:t>«أنا ابن الرابعين من آل عمروٍ»</w:t>
      </w:r>
    </w:p>
    <w:p w:rsidR="00713EB9" w:rsidRPr="003F3B94" w:rsidRDefault="00713EB9" w:rsidP="003F3B94">
      <w:pPr>
        <w:pStyle w:val="a0"/>
        <w:rPr>
          <w:rFonts w:hint="cs"/>
          <w:rtl/>
        </w:rPr>
      </w:pPr>
      <w:r w:rsidRPr="003F3B94">
        <w:rPr>
          <w:rFonts w:ascii="Abo-thar" w:hAnsi="Abo-thar"/>
          <w:sz w:val="28"/>
          <w:rtl/>
        </w:rPr>
        <w:t xml:space="preserve">وهنا أوضح ابن هشام هذا المدعى بقوله: </w:t>
      </w:r>
    </w:p>
    <w:p w:rsidR="00713EB9" w:rsidRPr="003F3B94" w:rsidRDefault="00713EB9" w:rsidP="003F3B94">
      <w:pPr>
        <w:pStyle w:val="a0"/>
        <w:rPr>
          <w:rFonts w:hint="cs"/>
          <w:rtl/>
        </w:rPr>
      </w:pPr>
      <w:r w:rsidRPr="003F3B94">
        <w:rPr>
          <w:rFonts w:ascii="Abo-thar" w:hAnsi="Abo-thar"/>
          <w:sz w:val="28"/>
          <w:rtl/>
        </w:rPr>
        <w:t>«كان من</w:t>
      </w:r>
      <w:r w:rsidRPr="003F3B94">
        <w:rPr>
          <w:rFonts w:ascii="Abo-thar" w:hAnsi="Abo-thar" w:hint="cs"/>
          <w:sz w:val="28"/>
          <w:rtl/>
        </w:rPr>
        <w:t xml:space="preserve"> </w:t>
      </w:r>
      <w:r w:rsidRPr="003F3B94">
        <w:rPr>
          <w:rFonts w:ascii="Abo-thar" w:hAnsi="Abo-thar"/>
          <w:sz w:val="28"/>
          <w:rtl/>
        </w:rPr>
        <w:t xml:space="preserve">عاداتهم إذا غنموا أن يعطوا الرئيس ربع الغنيمة ويُسمَّى المرباع». </w:t>
      </w:r>
    </w:p>
    <w:p w:rsidR="00713EB9" w:rsidRPr="003F3B94" w:rsidRDefault="00713EB9" w:rsidP="003F3B94">
      <w:pPr>
        <w:pStyle w:val="a0"/>
        <w:rPr>
          <w:rFonts w:hint="cs"/>
          <w:rtl/>
        </w:rPr>
      </w:pPr>
      <w:r w:rsidRPr="003F3B94">
        <w:rPr>
          <w:rFonts w:ascii="Abo-thar" w:hAnsi="Abo-thar" w:hint="cs"/>
          <w:sz w:val="28"/>
          <w:rtl/>
        </w:rPr>
        <w:t xml:space="preserve">كما </w:t>
      </w:r>
      <w:r w:rsidRPr="003F3B94">
        <w:rPr>
          <w:rFonts w:ascii="Abo-thar" w:hAnsi="Abo-thar"/>
          <w:sz w:val="28"/>
          <w:rtl/>
        </w:rPr>
        <w:t>جاء في الكتاب ذات</w:t>
      </w:r>
      <w:r w:rsidRPr="003F3B94">
        <w:rPr>
          <w:rFonts w:ascii="Abo-thar" w:hAnsi="Abo-thar" w:hint="cs"/>
          <w:sz w:val="28"/>
          <w:rtl/>
        </w:rPr>
        <w:t>ه</w:t>
      </w:r>
      <w:r w:rsidRPr="003F3B94">
        <w:rPr>
          <w:rFonts w:ascii="Abo-thar" w:hAnsi="Abo-thar"/>
          <w:sz w:val="28"/>
          <w:rtl/>
        </w:rPr>
        <w:t xml:space="preserve"> </w:t>
      </w:r>
      <w:r w:rsidRPr="003F3B94">
        <w:rPr>
          <w:rFonts w:cs="Times New Roman" w:hint="cs"/>
          <w:sz w:val="28"/>
          <w:rtl/>
        </w:rPr>
        <w:t>–</w:t>
      </w:r>
      <w:r w:rsidRPr="003F3B94">
        <w:rPr>
          <w:rFonts w:ascii="Abo-thar" w:hAnsi="Abo-thar"/>
          <w:sz w:val="28"/>
          <w:rtl/>
        </w:rPr>
        <w:t xml:space="preserve"> </w:t>
      </w:r>
      <w:r w:rsidRPr="003F3B94">
        <w:rPr>
          <w:rFonts w:ascii="mylotus" w:hAnsi="mylotus" w:hint="cs"/>
          <w:sz w:val="28"/>
          <w:rtl/>
        </w:rPr>
        <w:t>أي</w:t>
      </w:r>
      <w:r w:rsidRPr="003F3B94">
        <w:rPr>
          <w:rFonts w:ascii="Abo-thar" w:hAnsi="Abo-thar"/>
          <w:sz w:val="28"/>
          <w:rtl/>
        </w:rPr>
        <w:t xml:space="preserve"> </w:t>
      </w:r>
      <w:r w:rsidRPr="003F3B94">
        <w:rPr>
          <w:rFonts w:ascii="mylotus" w:hAnsi="mylotus" w:hint="cs"/>
          <w:sz w:val="28"/>
          <w:rtl/>
        </w:rPr>
        <w:t>سيرة</w:t>
      </w:r>
      <w:r w:rsidRPr="003F3B94">
        <w:rPr>
          <w:rFonts w:ascii="Abo-thar" w:hAnsi="Abo-thar"/>
          <w:sz w:val="28"/>
          <w:rtl/>
        </w:rPr>
        <w:t xml:space="preserve"> </w:t>
      </w:r>
      <w:r w:rsidRPr="003F3B94">
        <w:rPr>
          <w:rFonts w:ascii="mylotus" w:hAnsi="mylotus" w:hint="cs"/>
          <w:sz w:val="28"/>
          <w:rtl/>
        </w:rPr>
        <w:t>ابن</w:t>
      </w:r>
      <w:r w:rsidRPr="003F3B94">
        <w:rPr>
          <w:rFonts w:ascii="Abo-thar" w:hAnsi="Abo-thar"/>
          <w:sz w:val="28"/>
          <w:rtl/>
        </w:rPr>
        <w:t xml:space="preserve"> </w:t>
      </w:r>
      <w:r w:rsidRPr="003F3B94">
        <w:rPr>
          <w:rFonts w:ascii="mylotus" w:hAnsi="mylotus" w:hint="cs"/>
          <w:sz w:val="28"/>
          <w:rtl/>
        </w:rPr>
        <w:t>هشام</w:t>
      </w:r>
      <w:r w:rsidRPr="003F3B94">
        <w:rPr>
          <w:rFonts w:ascii="Abo-thar" w:hAnsi="Abo-thar"/>
          <w:sz w:val="28"/>
          <w:rtl/>
        </w:rPr>
        <w:t xml:space="preserve"> (</w:t>
      </w:r>
      <w:r w:rsidRPr="003F3B94">
        <w:rPr>
          <w:rFonts w:ascii="Abo-thar" w:hAnsi="Abo-thar" w:hint="cs"/>
          <w:sz w:val="28"/>
          <w:rtl/>
        </w:rPr>
        <w:t xml:space="preserve">ج </w:t>
      </w:r>
      <w:r w:rsidRPr="003F3B94">
        <w:rPr>
          <w:rFonts w:ascii="Abo-thar" w:hAnsi="Abo-thar"/>
          <w:sz w:val="28"/>
          <w:rtl/>
        </w:rPr>
        <w:t>2</w:t>
      </w:r>
      <w:r w:rsidRPr="003F3B94">
        <w:rPr>
          <w:rFonts w:ascii="Abo-thar" w:hAnsi="Abo-thar" w:hint="cs"/>
          <w:sz w:val="28"/>
          <w:rtl/>
        </w:rPr>
        <w:t>، ص</w:t>
      </w:r>
      <w:r w:rsidRPr="003F3B94">
        <w:rPr>
          <w:rFonts w:ascii="Abo-thar" w:hAnsi="Abo-thar"/>
          <w:sz w:val="28"/>
          <w:rtl/>
        </w:rPr>
        <w:t>565) - أن «الزّبْرِقَانَ» قال ضمن قصيدة ف</w:t>
      </w:r>
      <w:r w:rsidRPr="003F3B94">
        <w:rPr>
          <w:rFonts w:ascii="Abo-thar" w:hAnsi="Abo-thar" w:hint="cs"/>
          <w:sz w:val="28"/>
          <w:rtl/>
        </w:rPr>
        <w:t>َ</w:t>
      </w:r>
      <w:r w:rsidRPr="003F3B94">
        <w:rPr>
          <w:rFonts w:ascii="Abo-thar" w:hAnsi="Abo-thar"/>
          <w:sz w:val="28"/>
          <w:rtl/>
        </w:rPr>
        <w:t>خ</w:t>
      </w:r>
      <w:r w:rsidRPr="003F3B94">
        <w:rPr>
          <w:rFonts w:ascii="Abo-thar" w:hAnsi="Abo-thar" w:hint="cs"/>
          <w:sz w:val="28"/>
          <w:rtl/>
        </w:rPr>
        <w:t>ْ</w:t>
      </w:r>
      <w:r w:rsidRPr="003F3B94">
        <w:rPr>
          <w:rFonts w:ascii="Abo-thar" w:hAnsi="Abo-thar"/>
          <w:sz w:val="28"/>
          <w:rtl/>
        </w:rPr>
        <w:t>ر</w:t>
      </w:r>
      <w:r w:rsidRPr="003F3B94">
        <w:rPr>
          <w:rFonts w:ascii="Abo-thar" w:hAnsi="Abo-thar" w:hint="cs"/>
          <w:sz w:val="28"/>
          <w:rtl/>
        </w:rPr>
        <w:t>ٍ</w:t>
      </w:r>
      <w:r w:rsidRPr="003F3B94">
        <w:rPr>
          <w:rFonts w:ascii="Abo-thar" w:hAnsi="Abo-thar"/>
          <w:sz w:val="28"/>
          <w:rtl/>
        </w:rPr>
        <w:t xml:space="preserve"> ألقاها أمام رسول ال</w:t>
      </w:r>
      <w:r w:rsidRPr="003F3B94">
        <w:rPr>
          <w:rFonts w:ascii="Abo-thar" w:hAnsi="Abo-thar" w:hint="cs"/>
          <w:sz w:val="28"/>
          <w:rtl/>
        </w:rPr>
        <w:t>له:</w:t>
      </w:r>
    </w:p>
    <w:p w:rsidR="00713EB9" w:rsidRPr="003F3B94" w:rsidRDefault="00713EB9" w:rsidP="00445175">
      <w:pPr>
        <w:pStyle w:val="a0"/>
        <w:ind w:firstLine="0"/>
        <w:jc w:val="center"/>
        <w:rPr>
          <w:rtl/>
        </w:rPr>
      </w:pPr>
      <w:r w:rsidRPr="003F3B94">
        <w:rPr>
          <w:rFonts w:ascii="Abo-thar" w:hAnsi="Abo-thar" w:hint="eastAsia"/>
          <w:sz w:val="28"/>
          <w:rtl/>
        </w:rPr>
        <w:t>«</w:t>
      </w:r>
      <w:r w:rsidRPr="003F3B94">
        <w:rPr>
          <w:rFonts w:ascii="Abo-thar" w:hAnsi="Abo-thar"/>
          <w:sz w:val="28"/>
          <w:rtl/>
        </w:rPr>
        <w:t>وَأَنّ لَنَا الْمِرْبَاعَ فِي كُلّ غَارَةٍ</w:t>
      </w:r>
      <w:r w:rsidRPr="003F3B94">
        <w:rPr>
          <w:rFonts w:ascii="Abo-thar" w:hAnsi="Abo-thar" w:hint="cs"/>
          <w:sz w:val="28"/>
          <w:rtl/>
        </w:rPr>
        <w:t xml:space="preserve">  </w:t>
      </w:r>
      <w:r w:rsidR="00445175">
        <w:rPr>
          <w:rFonts w:ascii="Abo-thar" w:hAnsi="Abo-thar" w:hint="cs"/>
          <w:sz w:val="28"/>
          <w:rtl/>
        </w:rPr>
        <w:tab/>
      </w:r>
      <w:r w:rsidR="00445175">
        <w:rPr>
          <w:rFonts w:ascii="Abo-thar" w:hAnsi="Abo-thar" w:hint="cs"/>
          <w:sz w:val="28"/>
          <w:rtl/>
        </w:rPr>
        <w:tab/>
      </w:r>
      <w:r w:rsidRPr="003F3B94">
        <w:rPr>
          <w:rFonts w:ascii="Abo-thar" w:hAnsi="Abo-thar"/>
          <w:sz w:val="28"/>
          <w:rtl/>
        </w:rPr>
        <w:t>نُغِيرُ بِنَجْدٍ أَوْ بِأَرْضِ الْأَعَاجِمِ</w:t>
      </w:r>
      <w:r w:rsidRPr="003F3B94">
        <w:rPr>
          <w:rFonts w:ascii="Abo-thar" w:hAnsi="Abo-thar" w:hint="eastAsia"/>
          <w:sz w:val="28"/>
          <w:rtl/>
        </w:rPr>
        <w:t>»</w:t>
      </w:r>
      <w:r w:rsidRPr="003F3B94">
        <w:rPr>
          <w:rFonts w:ascii="Abo-thar" w:hAnsi="Abo-thar" w:hint="cs"/>
          <w:sz w:val="28"/>
          <w:rtl/>
        </w:rPr>
        <w:t>»</w:t>
      </w:r>
      <w:r w:rsidR="00BD6DDB" w:rsidRPr="0021507A">
        <w:rPr>
          <w:rStyle w:val="FootnoteReference"/>
          <w:rFonts w:cs="Arabic11 BT"/>
          <w:b/>
          <w:sz w:val="28"/>
          <w:rtl/>
        </w:rPr>
        <w:t>(</w:t>
      </w:r>
      <w:r w:rsidR="00BD6DDB" w:rsidRPr="0021507A">
        <w:rPr>
          <w:rStyle w:val="FootnoteReference"/>
          <w:rFonts w:cs="Arabic11 BT"/>
          <w:b/>
          <w:sz w:val="28"/>
          <w:rtl/>
        </w:rPr>
        <w:footnoteReference w:id="14"/>
      </w:r>
      <w:r w:rsidR="00BD6DDB" w:rsidRPr="0021507A">
        <w:rPr>
          <w:rStyle w:val="FootnoteReference"/>
          <w:rFonts w:cs="Arabic11 BT"/>
          <w:b/>
          <w:sz w:val="28"/>
          <w:rtl/>
        </w:rPr>
        <w:t>)</w:t>
      </w:r>
      <w:r w:rsidRPr="003F3B94">
        <w:rPr>
          <w:rFonts w:ascii="Abo-thar" w:hAnsi="Abo-thar" w:hint="cs"/>
          <w:sz w:val="28"/>
          <w:rtl/>
        </w:rPr>
        <w:t>.</w:t>
      </w:r>
    </w:p>
    <w:p w:rsidR="00713EB9" w:rsidRPr="003F3B94" w:rsidRDefault="00713EB9" w:rsidP="003F3B94">
      <w:pPr>
        <w:pStyle w:val="a0"/>
        <w:rPr>
          <w:rFonts w:hint="cs"/>
          <w:rtl/>
        </w:rPr>
      </w:pPr>
      <w:r w:rsidRPr="003F3B94">
        <w:rPr>
          <w:rFonts w:ascii="Abo-thar" w:hAnsi="Abo-thar"/>
          <w:sz w:val="28"/>
          <w:rtl/>
        </w:rPr>
        <w:t>من هذا يتبين بوضوح أن هذا الربع كان خاصاً بالغنائم التي تُغْنَم بالغارات والحرو</w:t>
      </w:r>
      <w:r w:rsidRPr="003F3B94">
        <w:rPr>
          <w:rFonts w:ascii="Abo-thar" w:hAnsi="Abo-thar" w:hint="cs"/>
          <w:sz w:val="28"/>
          <w:rtl/>
        </w:rPr>
        <w:t>ب.</w:t>
      </w:r>
      <w:r w:rsidRPr="003F3B94">
        <w:rPr>
          <w:rFonts w:ascii="Abo-thar" w:hAnsi="Abo-thar"/>
          <w:sz w:val="28"/>
          <w:lang w:bidi="ar-SY"/>
        </w:rPr>
        <w:t></w:t>
      </w:r>
    </w:p>
    <w:p w:rsidR="00713EB9" w:rsidRPr="003F3B94" w:rsidRDefault="00713EB9" w:rsidP="003F3B94">
      <w:pPr>
        <w:pStyle w:val="a0"/>
        <w:rPr>
          <w:rFonts w:hint="cs"/>
          <w:rtl/>
        </w:rPr>
      </w:pPr>
      <w:r w:rsidRPr="003F3B94">
        <w:rPr>
          <w:rFonts w:ascii="Abo-thar" w:hAnsi="Abo-thar"/>
          <w:sz w:val="28"/>
          <w:rtl/>
        </w:rPr>
        <w:t>وأيضاً في الكتاب ذاته - سيرة ابن هشام (2 /578) نقرأ قصة وفود «عَدِيّ بن حاتم» على رسول ال</w:t>
      </w:r>
      <w:r w:rsidRPr="003F3B94">
        <w:rPr>
          <w:rFonts w:ascii="Abo-thar" w:hAnsi="Abo-thar" w:hint="cs"/>
          <w:sz w:val="28"/>
          <w:rtl/>
        </w:rPr>
        <w:t xml:space="preserve">له </w:t>
      </w:r>
      <w:r w:rsidRPr="003F3B94">
        <w:rPr>
          <w:rFonts w:ascii="Abo-thar" w:hAnsi="Abo-thar"/>
          <w:sz w:val="28"/>
          <w:rtl/>
        </w:rPr>
        <w:t xml:space="preserve">وقوله عن نفسه: </w:t>
      </w:r>
    </w:p>
    <w:p w:rsidR="00713EB9" w:rsidRPr="003F3B94" w:rsidRDefault="00713EB9" w:rsidP="003F3B94">
      <w:pPr>
        <w:pStyle w:val="a0"/>
        <w:rPr>
          <w:rFonts w:hint="cs"/>
          <w:rtl/>
        </w:rPr>
      </w:pPr>
      <w:r w:rsidRPr="005A568E">
        <w:rPr>
          <w:rFonts w:ascii="Abo-thar" w:hAnsi="Abo-thar" w:cs="KFGQPC Uthman Taha Naskh"/>
          <w:sz w:val="28"/>
          <w:rtl/>
        </w:rPr>
        <w:t>«وَكُنْت</w:t>
      </w:r>
      <w:r w:rsidR="00A42653">
        <w:rPr>
          <w:rFonts w:ascii="Abo-thar" w:hAnsi="Abo-thar" w:cs="KFGQPC Uthman Taha Naskh" w:hint="cs"/>
          <w:sz w:val="28"/>
          <w:rtl/>
        </w:rPr>
        <w:t>ُ</w:t>
      </w:r>
      <w:r w:rsidRPr="005A568E">
        <w:rPr>
          <w:rFonts w:ascii="Abo-thar" w:hAnsi="Abo-thar" w:cs="KFGQPC Uthman Taha Naskh"/>
          <w:sz w:val="28"/>
          <w:rtl/>
        </w:rPr>
        <w:t xml:space="preserve"> نَصْرَانِيّ</w:t>
      </w:r>
      <w:r w:rsidR="00A42653">
        <w:rPr>
          <w:rFonts w:ascii="Abo-thar" w:hAnsi="Abo-thar" w:cs="KFGQPC Uthman Taha Naskh" w:hint="cs"/>
          <w:sz w:val="28"/>
          <w:rtl/>
        </w:rPr>
        <w:t>ً</w:t>
      </w:r>
      <w:r w:rsidRPr="005A568E">
        <w:rPr>
          <w:rFonts w:ascii="Abo-thar" w:hAnsi="Abo-thar" w:cs="KFGQPC Uthman Taha Naskh"/>
          <w:sz w:val="28"/>
          <w:rtl/>
        </w:rPr>
        <w:t>ا، وَكُنْت</w:t>
      </w:r>
      <w:r w:rsidR="00A42653">
        <w:rPr>
          <w:rFonts w:ascii="Abo-thar" w:hAnsi="Abo-thar" w:cs="KFGQPC Uthman Taha Naskh" w:hint="cs"/>
          <w:sz w:val="28"/>
          <w:rtl/>
        </w:rPr>
        <w:t>ُ</w:t>
      </w:r>
      <w:r w:rsidRPr="005A568E">
        <w:rPr>
          <w:rFonts w:ascii="Abo-thar" w:hAnsi="Abo-thar" w:cs="KFGQPC Uthman Taha Naskh"/>
          <w:sz w:val="28"/>
          <w:rtl/>
        </w:rPr>
        <w:t xml:space="preserve"> أَسِيرُ فِي قَوْمِي بِالْمِرْبَاعِ</w:t>
      </w:r>
      <w:r w:rsidR="00FB6445" w:rsidRPr="005A568E">
        <w:rPr>
          <w:rFonts w:ascii="Abo-thar" w:hAnsi="Abo-thar" w:cs="KFGQPC Uthman Taha Naskh"/>
          <w:sz w:val="28"/>
          <w:rtl/>
        </w:rPr>
        <w:t>»</w:t>
      </w:r>
      <w:r w:rsidR="00BD6DDB" w:rsidRPr="0021507A">
        <w:rPr>
          <w:rStyle w:val="FootnoteReference"/>
          <w:rFonts w:cs="Arabic11 BT"/>
          <w:b/>
          <w:sz w:val="28"/>
          <w:rtl/>
        </w:rPr>
        <w:t>(</w:t>
      </w:r>
      <w:r w:rsidR="00BD6DDB" w:rsidRPr="0021507A">
        <w:rPr>
          <w:rStyle w:val="FootnoteReference"/>
          <w:rFonts w:cs="Arabic11 BT"/>
          <w:b/>
          <w:sz w:val="28"/>
          <w:rtl/>
        </w:rPr>
        <w:footnoteReference w:id="15"/>
      </w:r>
      <w:r w:rsidR="00BD6DDB" w:rsidRPr="0021507A">
        <w:rPr>
          <w:rStyle w:val="FootnoteReference"/>
          <w:rFonts w:cs="Arabic11 BT"/>
          <w:b/>
          <w:sz w:val="28"/>
          <w:rtl/>
        </w:rPr>
        <w:t>)</w:t>
      </w:r>
      <w:r w:rsidR="00307174" w:rsidRPr="003F3B94">
        <w:rPr>
          <w:rFonts w:ascii="Abo-thar" w:hAnsi="Abo-thar" w:hint="cs"/>
          <w:sz w:val="28"/>
          <w:rtl/>
        </w:rPr>
        <w:t>.</w:t>
      </w:r>
      <w:r w:rsidRPr="003F3B94">
        <w:rPr>
          <w:rFonts w:ascii="Abo-thar" w:hAnsi="Abo-thar"/>
          <w:sz w:val="28"/>
          <w:rtl/>
        </w:rPr>
        <w:t xml:space="preserve"> </w:t>
      </w:r>
    </w:p>
    <w:p w:rsidR="00713EB9" w:rsidRPr="003F3B94" w:rsidRDefault="00713EB9" w:rsidP="003F3B94">
      <w:pPr>
        <w:pStyle w:val="a0"/>
        <w:rPr>
          <w:rtl/>
        </w:rPr>
      </w:pPr>
      <w:r w:rsidRPr="003F3B94">
        <w:rPr>
          <w:rFonts w:ascii="Abo-thar" w:hAnsi="Abo-thar"/>
          <w:sz w:val="28"/>
          <w:rtl/>
        </w:rPr>
        <w:t>وقد لامه على ذلك رسول ال</w:t>
      </w:r>
      <w:r w:rsidRPr="003F3B94">
        <w:rPr>
          <w:rFonts w:ascii="Abo-thar" w:hAnsi="Abo-thar" w:hint="cs"/>
          <w:sz w:val="28"/>
          <w:rtl/>
        </w:rPr>
        <w:t xml:space="preserve">له </w:t>
      </w:r>
      <w:r w:rsidRPr="003F3B94">
        <w:rPr>
          <w:rFonts w:ascii="Abo-thar" w:hAnsi="Abo-thar"/>
          <w:sz w:val="28"/>
          <w:lang w:bidi="fa-IR"/>
        </w:rPr>
        <w:t></w:t>
      </w:r>
      <w:r w:rsidRPr="003F3B94">
        <w:rPr>
          <w:rFonts w:ascii="Abo-thar" w:hAnsi="Abo-thar" w:hint="cs"/>
          <w:sz w:val="28"/>
          <w:rtl/>
        </w:rPr>
        <w:t xml:space="preserve"> و</w:t>
      </w:r>
      <w:r w:rsidRPr="003F3B94">
        <w:rPr>
          <w:rFonts w:ascii="Abo-thar" w:hAnsi="Abo-thar"/>
          <w:sz w:val="28"/>
          <w:rtl/>
        </w:rPr>
        <w:t xml:space="preserve">قال له: </w:t>
      </w:r>
      <w:r w:rsidRPr="005A568E">
        <w:rPr>
          <w:rFonts w:ascii="Abo-thar" w:hAnsi="Abo-thar" w:cs="KFGQPC Uthman Taha Naskh"/>
          <w:sz w:val="28"/>
          <w:rtl/>
        </w:rPr>
        <w:t>«قَالَ: أَوَلَسْت تَأْخُذُ الْمِرْبَاعَ؟ قال: بَلَى، قَالَ: ذَلِكَ لاَ يَحِلُّ لَك فِي دِينِك»</w:t>
      </w:r>
      <w:r w:rsidRPr="003F3B94">
        <w:rPr>
          <w:rFonts w:ascii="Abo-thar" w:hAnsi="Abo-thar"/>
          <w:sz w:val="28"/>
          <w:rtl/>
        </w:rPr>
        <w:t>. وقال الأصمعي أيضاً: ربع في الجاهلية وخمس في الإسلام، وكان ي</w:t>
      </w:r>
      <w:r w:rsidR="00BD6DDB" w:rsidRPr="003F3B94">
        <w:rPr>
          <w:rFonts w:ascii="Abo-thar" w:hAnsi="Abo-thar"/>
          <w:sz w:val="28"/>
          <w:rtl/>
        </w:rPr>
        <w:t>أخذ بغير شرع ولا دين ربع الغنيم</w:t>
      </w:r>
      <w:r w:rsidR="00BD6DDB" w:rsidRPr="003F3B94">
        <w:rPr>
          <w:rFonts w:ascii="Abo-thar" w:hAnsi="Abo-thar" w:hint="cs"/>
          <w:sz w:val="28"/>
          <w:rtl/>
        </w:rPr>
        <w:t>ة.</w:t>
      </w:r>
      <w:r w:rsidRPr="003F3B94">
        <w:rPr>
          <w:rFonts w:ascii="Abo-thar" w:hAnsi="Abo-thar"/>
          <w:sz w:val="28"/>
          <w:lang w:bidi="ar-SY"/>
        </w:rPr>
        <w:t></w:t>
      </w:r>
    </w:p>
    <w:p w:rsidR="00BD6DDB" w:rsidRPr="003F3B94" w:rsidRDefault="00713EB9" w:rsidP="003F3B94">
      <w:pPr>
        <w:pStyle w:val="a0"/>
        <w:rPr>
          <w:rFonts w:hint="cs"/>
          <w:rtl/>
        </w:rPr>
      </w:pPr>
      <w:r w:rsidRPr="003F3B94">
        <w:rPr>
          <w:rFonts w:ascii="Abo-thar" w:hAnsi="Abo-thar"/>
          <w:sz w:val="28"/>
          <w:rtl/>
        </w:rPr>
        <w:t>وجاء هذا المضمون ذاته في تفسير مجمع البيان للطبرسي حيث قال: «ربع الجيش يربعه رباعه رباعه إذا أخذ الغنيمة</w:t>
      </w:r>
      <w:r w:rsidRPr="003F3B94">
        <w:rPr>
          <w:rFonts w:ascii="Abo-thar" w:hAnsi="Abo-thar" w:hint="cs"/>
          <w:sz w:val="28"/>
          <w:rtl/>
        </w:rPr>
        <w:t>»</w:t>
      </w:r>
      <w:r w:rsidRPr="003F3B94">
        <w:rPr>
          <w:rFonts w:ascii="Abo-thar" w:hAnsi="Abo-thar"/>
          <w:sz w:val="28"/>
          <w:rtl/>
        </w:rPr>
        <w:t>.</w:t>
      </w:r>
      <w:r w:rsidR="00BD6DDB" w:rsidRPr="0021507A">
        <w:rPr>
          <w:rStyle w:val="FootnoteReference"/>
          <w:rFonts w:cs="Arabic11 BT"/>
          <w:b/>
          <w:sz w:val="28"/>
          <w:rtl/>
        </w:rPr>
        <w:t>(</w:t>
      </w:r>
      <w:r w:rsidR="00BD6DDB" w:rsidRPr="0021507A">
        <w:rPr>
          <w:rStyle w:val="FootnoteReference"/>
          <w:rFonts w:cs="Arabic11 BT"/>
          <w:b/>
          <w:sz w:val="28"/>
          <w:rtl/>
        </w:rPr>
        <w:footnoteReference w:id="16"/>
      </w:r>
      <w:r w:rsidR="00BD6DDB" w:rsidRPr="0021507A">
        <w:rPr>
          <w:rStyle w:val="FootnoteReference"/>
          <w:rFonts w:cs="Arabic11 BT"/>
          <w:b/>
          <w:sz w:val="28"/>
          <w:rtl/>
        </w:rPr>
        <w:t>)</w:t>
      </w:r>
      <w:r w:rsidRPr="003F3B94">
        <w:rPr>
          <w:rFonts w:ascii="Abo-thar" w:hAnsi="Abo-thar"/>
          <w:sz w:val="28"/>
          <w:rtl/>
        </w:rPr>
        <w:t xml:space="preserve"> وفي تفسير التبيان للشيخ الطوسي (1/234): «والمرباع كانت العرب إذا غزت أخذ رئيس القوم ربع الغنيمة، والباقي بينهم</w:t>
      </w:r>
      <w:r w:rsidR="00FB6445" w:rsidRPr="003F3B94">
        <w:rPr>
          <w:rFonts w:ascii="Abo-thar" w:hAnsi="Abo-thar"/>
          <w:sz w:val="28"/>
          <w:rtl/>
        </w:rPr>
        <w:t>»</w:t>
      </w:r>
      <w:r w:rsidRPr="003F3B94">
        <w:rPr>
          <w:rFonts w:ascii="Abo-thar" w:hAnsi="Abo-thar"/>
          <w:sz w:val="28"/>
          <w:rtl/>
        </w:rPr>
        <w:t xml:space="preserve">. </w:t>
      </w:r>
    </w:p>
    <w:p w:rsidR="00BD6DDB" w:rsidRPr="003F3B94" w:rsidRDefault="00713EB9" w:rsidP="003F3B94">
      <w:pPr>
        <w:pStyle w:val="a0"/>
        <w:rPr>
          <w:rFonts w:hint="cs"/>
          <w:rtl/>
        </w:rPr>
      </w:pPr>
      <w:r w:rsidRPr="003F3B94">
        <w:rPr>
          <w:rFonts w:ascii="Abo-thar" w:hAnsi="Abo-thar"/>
          <w:sz w:val="28"/>
          <w:rtl/>
        </w:rPr>
        <w:t>وقال «الفاضل الجواد</w:t>
      </w:r>
      <w:r w:rsidRPr="003F3B94">
        <w:rPr>
          <w:rFonts w:ascii="Abo-thar" w:hAnsi="Abo-thar" w:hint="cs"/>
          <w:sz w:val="28"/>
          <w:rtl/>
        </w:rPr>
        <w:t xml:space="preserve"> الكاظمي</w:t>
      </w:r>
      <w:r w:rsidR="00BD6DDB" w:rsidRPr="003F3B94">
        <w:rPr>
          <w:rFonts w:ascii="Abo-thar" w:hAnsi="Abo-thar"/>
          <w:sz w:val="28"/>
          <w:rtl/>
        </w:rPr>
        <w:t>» عليه الرحمة</w:t>
      </w:r>
      <w:r w:rsidRPr="003F3B94">
        <w:rPr>
          <w:rFonts w:ascii="Abo-thar" w:hAnsi="Abo-thar"/>
          <w:sz w:val="28"/>
          <w:rtl/>
        </w:rPr>
        <w:t>:</w:t>
      </w:r>
    </w:p>
    <w:p w:rsidR="00713EB9" w:rsidRPr="00995B26" w:rsidRDefault="00713EB9" w:rsidP="003F3B94">
      <w:pPr>
        <w:pStyle w:val="a0"/>
        <w:rPr>
          <w:rFonts w:hint="cs"/>
          <w:rtl/>
        </w:rPr>
      </w:pPr>
      <w:r w:rsidRPr="003F3B94">
        <w:rPr>
          <w:rFonts w:ascii="Abo-thar" w:hAnsi="Abo-thar"/>
          <w:sz w:val="28"/>
          <w:rtl/>
        </w:rPr>
        <w:t xml:space="preserve">«كان في الجاهلية أن الرؤساء منهم كانوا يستأثرون </w:t>
      </w:r>
      <w:r w:rsidRPr="003F3B94">
        <w:rPr>
          <w:rFonts w:ascii="Abo-thar" w:hAnsi="Abo-thar" w:hint="cs"/>
          <w:sz w:val="28"/>
          <w:rtl/>
        </w:rPr>
        <w:t>ب</w:t>
      </w:r>
      <w:r w:rsidRPr="003F3B94">
        <w:rPr>
          <w:rFonts w:ascii="Abo-thar" w:hAnsi="Abo-thar"/>
          <w:sz w:val="28"/>
          <w:rtl/>
        </w:rPr>
        <w:t>الغنيمة لأنهم أهل الرياسة والدولة والغلبة». وفي هذا المعنى نزل</w:t>
      </w:r>
      <w:r w:rsidRPr="003F3B94">
        <w:rPr>
          <w:rFonts w:ascii="Abo-thar" w:hAnsi="Abo-thar" w:hint="cs"/>
          <w:sz w:val="28"/>
          <w:rtl/>
        </w:rPr>
        <w:t>ت</w:t>
      </w:r>
      <w:r w:rsidRPr="003F3B94">
        <w:rPr>
          <w:rFonts w:ascii="Abo-thar" w:hAnsi="Abo-thar"/>
          <w:sz w:val="28"/>
          <w:rtl/>
        </w:rPr>
        <w:t xml:space="preserve"> الآية الكريمة بشأن تقسيم الفيء:</w:t>
      </w:r>
      <w:r w:rsidRPr="003F3B94">
        <w:rPr>
          <w:rFonts w:ascii="Abo-thar" w:hAnsi="Abo-thar" w:hint="cs"/>
          <w:sz w:val="28"/>
          <w:rtl/>
        </w:rPr>
        <w:t xml:space="preserve"> ﴿</w:t>
      </w:r>
      <w:r w:rsidR="00307174" w:rsidRPr="00995B26">
        <w:rPr>
          <w:rFonts w:ascii="KFGQPC Uthmanic Script HAFS" w:cs="KFGQPC Uthmanic Script HAFS" w:hint="eastAsia"/>
          <w:sz w:val="29"/>
          <w:szCs w:val="29"/>
          <w:rtl/>
        </w:rPr>
        <w:t>كَي</w:t>
      </w:r>
      <w:r w:rsidR="00307174" w:rsidRPr="00995B26">
        <w:rPr>
          <w:rFonts w:ascii="KFGQPC Uthmanic Script HAFS" w:cs="KFGQPC Uthmanic Script HAFS" w:hint="cs"/>
          <w:sz w:val="29"/>
          <w:szCs w:val="29"/>
          <w:rtl/>
        </w:rPr>
        <w:t>ۡ</w:t>
      </w:r>
      <w:r w:rsidR="00307174" w:rsidRPr="00995B26">
        <w:rPr>
          <w:rFonts w:ascii="KFGQPC Uthmanic Script HAFS" w:cs="KFGQPC Uthmanic Script HAFS"/>
          <w:sz w:val="29"/>
          <w:szCs w:val="29"/>
          <w:rtl/>
        </w:rPr>
        <w:t xml:space="preserve"> </w:t>
      </w:r>
      <w:r w:rsidR="00307174" w:rsidRPr="00995B26">
        <w:rPr>
          <w:rFonts w:ascii="KFGQPC Uthmanic Script HAFS" w:cs="KFGQPC Uthmanic Script HAFS" w:hint="eastAsia"/>
          <w:sz w:val="29"/>
          <w:szCs w:val="29"/>
          <w:rtl/>
        </w:rPr>
        <w:t>لَا</w:t>
      </w:r>
      <w:r w:rsidR="00307174" w:rsidRPr="00995B26">
        <w:rPr>
          <w:rFonts w:ascii="KFGQPC Uthmanic Script HAFS" w:cs="KFGQPC Uthmanic Script HAFS"/>
          <w:sz w:val="29"/>
          <w:szCs w:val="29"/>
          <w:rtl/>
        </w:rPr>
        <w:t xml:space="preserve"> </w:t>
      </w:r>
      <w:r w:rsidR="00307174" w:rsidRPr="00995B26">
        <w:rPr>
          <w:rFonts w:ascii="KFGQPC Uthmanic Script HAFS" w:cs="KFGQPC Uthmanic Script HAFS" w:hint="eastAsia"/>
          <w:sz w:val="29"/>
          <w:szCs w:val="29"/>
          <w:rtl/>
        </w:rPr>
        <w:t>يَكُونَ</w:t>
      </w:r>
      <w:r w:rsidR="00307174" w:rsidRPr="00995B26">
        <w:rPr>
          <w:rFonts w:ascii="KFGQPC Uthmanic Script HAFS" w:cs="KFGQPC Uthmanic Script HAFS"/>
          <w:sz w:val="29"/>
          <w:szCs w:val="29"/>
          <w:rtl/>
        </w:rPr>
        <w:t xml:space="preserve"> </w:t>
      </w:r>
      <w:r w:rsidR="00307174" w:rsidRPr="00995B26">
        <w:rPr>
          <w:rFonts w:ascii="KFGQPC Uthmanic Script HAFS" w:cs="KFGQPC Uthmanic Script HAFS" w:hint="eastAsia"/>
          <w:sz w:val="29"/>
          <w:szCs w:val="29"/>
          <w:rtl/>
        </w:rPr>
        <w:t>دُولَةَ</w:t>
      </w:r>
      <w:r w:rsidR="00307174" w:rsidRPr="00995B26">
        <w:rPr>
          <w:rFonts w:ascii="KFGQPC Uthmanic Script HAFS" w:cs="KFGQPC Uthmanic Script HAFS" w:hint="cs"/>
          <w:sz w:val="29"/>
          <w:szCs w:val="29"/>
          <w:rtl/>
        </w:rPr>
        <w:t>ۢ</w:t>
      </w:r>
      <w:r w:rsidR="00307174" w:rsidRPr="00995B26">
        <w:rPr>
          <w:rFonts w:ascii="KFGQPC Uthmanic Script HAFS" w:cs="KFGQPC Uthmanic Script HAFS"/>
          <w:sz w:val="29"/>
          <w:szCs w:val="29"/>
          <w:rtl/>
        </w:rPr>
        <w:t xml:space="preserve"> </w:t>
      </w:r>
      <w:r w:rsidR="00307174" w:rsidRPr="00995B26">
        <w:rPr>
          <w:rFonts w:ascii="KFGQPC Uthmanic Script HAFS" w:cs="KFGQPC Uthmanic Script HAFS" w:hint="eastAsia"/>
          <w:sz w:val="29"/>
          <w:szCs w:val="29"/>
          <w:rtl/>
        </w:rPr>
        <w:t>بَي</w:t>
      </w:r>
      <w:r w:rsidR="00307174" w:rsidRPr="00995B26">
        <w:rPr>
          <w:rFonts w:ascii="KFGQPC Uthmanic Script HAFS" w:cs="KFGQPC Uthmanic Script HAFS" w:hint="cs"/>
          <w:sz w:val="29"/>
          <w:szCs w:val="29"/>
          <w:rtl/>
        </w:rPr>
        <w:t>ۡ</w:t>
      </w:r>
      <w:r w:rsidR="00307174" w:rsidRPr="00995B26">
        <w:rPr>
          <w:rFonts w:ascii="KFGQPC Uthmanic Script HAFS" w:cs="KFGQPC Uthmanic Script HAFS" w:hint="eastAsia"/>
          <w:sz w:val="29"/>
          <w:szCs w:val="29"/>
          <w:rtl/>
        </w:rPr>
        <w:t>نَ</w:t>
      </w:r>
      <w:r w:rsidR="00307174" w:rsidRPr="00995B26">
        <w:rPr>
          <w:rFonts w:ascii="KFGQPC Uthmanic Script HAFS" w:cs="KFGQPC Uthmanic Script HAFS"/>
          <w:sz w:val="29"/>
          <w:szCs w:val="29"/>
          <w:rtl/>
        </w:rPr>
        <w:t xml:space="preserve"> </w:t>
      </w:r>
      <w:r w:rsidR="00307174" w:rsidRPr="00995B26">
        <w:rPr>
          <w:rFonts w:ascii="KFGQPC Uthmanic Script HAFS" w:cs="KFGQPC Uthmanic Script HAFS" w:hint="cs"/>
          <w:sz w:val="29"/>
          <w:szCs w:val="29"/>
          <w:rtl/>
        </w:rPr>
        <w:t>ٱ</w:t>
      </w:r>
      <w:r w:rsidR="00307174" w:rsidRPr="00995B26">
        <w:rPr>
          <w:rFonts w:ascii="KFGQPC Uthmanic Script HAFS" w:cs="KFGQPC Uthmanic Script HAFS" w:hint="eastAsia"/>
          <w:sz w:val="29"/>
          <w:szCs w:val="29"/>
          <w:rtl/>
        </w:rPr>
        <w:t>ل</w:t>
      </w:r>
      <w:r w:rsidR="00307174" w:rsidRPr="00995B26">
        <w:rPr>
          <w:rFonts w:ascii="KFGQPC Uthmanic Script HAFS" w:cs="KFGQPC Uthmanic Script HAFS" w:hint="cs"/>
          <w:sz w:val="29"/>
          <w:szCs w:val="29"/>
          <w:rtl/>
        </w:rPr>
        <w:t>ۡ</w:t>
      </w:r>
      <w:r w:rsidR="00307174" w:rsidRPr="00995B26">
        <w:rPr>
          <w:rFonts w:ascii="KFGQPC Uthmanic Script HAFS" w:cs="KFGQPC Uthmanic Script HAFS" w:hint="eastAsia"/>
          <w:sz w:val="29"/>
          <w:szCs w:val="29"/>
          <w:rtl/>
        </w:rPr>
        <w:t>أَغ</w:t>
      </w:r>
      <w:r w:rsidR="00307174" w:rsidRPr="00995B26">
        <w:rPr>
          <w:rFonts w:ascii="KFGQPC Uthmanic Script HAFS" w:cs="KFGQPC Uthmanic Script HAFS" w:hint="cs"/>
          <w:sz w:val="29"/>
          <w:szCs w:val="29"/>
          <w:rtl/>
        </w:rPr>
        <w:t>ۡ</w:t>
      </w:r>
      <w:r w:rsidR="00307174" w:rsidRPr="00995B26">
        <w:rPr>
          <w:rFonts w:ascii="KFGQPC Uthmanic Script HAFS" w:cs="KFGQPC Uthmanic Script HAFS" w:hint="eastAsia"/>
          <w:sz w:val="29"/>
          <w:szCs w:val="29"/>
          <w:rtl/>
        </w:rPr>
        <w:t>نِيَا</w:t>
      </w:r>
      <w:r w:rsidR="00307174" w:rsidRPr="00995B26">
        <w:rPr>
          <w:rFonts w:ascii="KFGQPC Uthmanic Script HAFS" w:cs="KFGQPC Uthmanic Script HAFS" w:hint="cs"/>
          <w:sz w:val="29"/>
          <w:szCs w:val="29"/>
          <w:rtl/>
        </w:rPr>
        <w:t>ٓ</w:t>
      </w:r>
      <w:r w:rsidR="00307174" w:rsidRPr="00995B26">
        <w:rPr>
          <w:rFonts w:ascii="KFGQPC Uthmanic Script HAFS" w:cs="KFGQPC Uthmanic Script HAFS" w:hint="eastAsia"/>
          <w:sz w:val="29"/>
          <w:szCs w:val="29"/>
          <w:rtl/>
        </w:rPr>
        <w:t>ءِ</w:t>
      </w:r>
      <w:r w:rsidR="00307174" w:rsidRPr="00995B26">
        <w:rPr>
          <w:rFonts w:ascii="KFGQPC Uthmanic Script HAFS" w:cs="KFGQPC Uthmanic Script HAFS"/>
          <w:sz w:val="29"/>
          <w:szCs w:val="29"/>
          <w:rtl/>
        </w:rPr>
        <w:t xml:space="preserve"> </w:t>
      </w:r>
      <w:r w:rsidR="00307174" w:rsidRPr="00995B26">
        <w:rPr>
          <w:rFonts w:ascii="KFGQPC Uthmanic Script HAFS" w:cs="KFGQPC Uthmanic Script HAFS" w:hint="eastAsia"/>
          <w:sz w:val="29"/>
          <w:szCs w:val="29"/>
          <w:rtl/>
        </w:rPr>
        <w:t>مِنكُم</w:t>
      </w:r>
      <w:r w:rsidR="00307174" w:rsidRPr="00995B26">
        <w:rPr>
          <w:rFonts w:ascii="KFGQPC Uthmanic Script HAFS" w:cs="KFGQPC Uthmanic Script HAFS" w:hint="cs"/>
          <w:sz w:val="29"/>
          <w:szCs w:val="29"/>
          <w:rtl/>
        </w:rPr>
        <w:t>ۡ</w:t>
      </w:r>
      <w:r w:rsidRPr="00995B26">
        <w:rPr>
          <w:rFonts w:ascii="Abo-thar" w:hAnsi="Abo-thar" w:hint="cs"/>
          <w:sz w:val="28"/>
          <w:rtl/>
        </w:rPr>
        <w:t xml:space="preserve">﴾ </w:t>
      </w:r>
      <w:r w:rsidRPr="00FC12FD">
        <w:rPr>
          <w:rStyle w:val="Char2"/>
          <w:rFonts w:hint="cs"/>
          <w:rtl/>
        </w:rPr>
        <w:t>[</w:t>
      </w:r>
      <w:r w:rsidRPr="00FC12FD">
        <w:rPr>
          <w:rStyle w:val="Char2"/>
          <w:rtl/>
        </w:rPr>
        <w:t>الحشر</w:t>
      </w:r>
      <w:r w:rsidRPr="00FC12FD">
        <w:rPr>
          <w:rStyle w:val="Char2"/>
          <w:rFonts w:hint="cs"/>
          <w:rtl/>
        </w:rPr>
        <w:t xml:space="preserve">: </w:t>
      </w:r>
      <w:r w:rsidRPr="00FC12FD">
        <w:rPr>
          <w:rStyle w:val="Char2"/>
          <w:rtl/>
        </w:rPr>
        <w:t>7</w:t>
      </w:r>
      <w:r w:rsidRPr="00FC12FD">
        <w:rPr>
          <w:rStyle w:val="Char2"/>
          <w:rFonts w:hint="cs"/>
          <w:rtl/>
        </w:rPr>
        <w:t>]</w:t>
      </w:r>
      <w:r w:rsidRPr="00995B26">
        <w:rPr>
          <w:rFonts w:ascii="Abo-thar" w:hAnsi="Abo-thar" w:hint="cs"/>
          <w:sz w:val="28"/>
          <w:rtl/>
        </w:rPr>
        <w:t>.</w:t>
      </w:r>
      <w:r w:rsidRPr="00995B26">
        <w:rPr>
          <w:rFonts w:ascii="Abo-thar" w:hAnsi="Abo-thar"/>
          <w:sz w:val="28"/>
          <w:rtl/>
        </w:rPr>
        <w:t xml:space="preserve"> ومعناه</w:t>
      </w:r>
      <w:r w:rsidRPr="00995B26">
        <w:rPr>
          <w:rFonts w:ascii="Abo-thar" w:hAnsi="Abo-thar" w:hint="cs"/>
          <w:sz w:val="28"/>
          <w:rtl/>
        </w:rPr>
        <w:t>:</w:t>
      </w:r>
      <w:r w:rsidRPr="00995B26">
        <w:rPr>
          <w:rFonts w:ascii="Abo-thar" w:hAnsi="Abo-thar"/>
          <w:sz w:val="28"/>
          <w:rtl/>
        </w:rPr>
        <w:t xml:space="preserve"> «</w:t>
      </w:r>
      <w:r w:rsidRPr="00995B26">
        <w:rPr>
          <w:rFonts w:ascii="Abo-thar" w:hAnsi="Abo-thar" w:hint="cs"/>
          <w:sz w:val="28"/>
          <w:rtl/>
        </w:rPr>
        <w:t xml:space="preserve">كي </w:t>
      </w:r>
      <w:r w:rsidRPr="00995B26">
        <w:rPr>
          <w:rFonts w:ascii="Abo-thar" w:hAnsi="Abo-thar"/>
          <w:sz w:val="28"/>
          <w:rtl/>
        </w:rPr>
        <w:t>لا يكون أخذه غلبةً وأثرةً جاهليةً</w:t>
      </w:r>
      <w:r w:rsidRPr="00995B26">
        <w:rPr>
          <w:rFonts w:ascii="Abo-thar" w:hAnsi="Abo-thar" w:hint="cs"/>
          <w:sz w:val="28"/>
          <w:rtl/>
        </w:rPr>
        <w:t>»</w:t>
      </w:r>
      <w:r w:rsidR="00BD6DDB" w:rsidRPr="0021507A">
        <w:rPr>
          <w:rStyle w:val="FootnoteReference"/>
          <w:rFonts w:cs="Arabic11 BT"/>
          <w:b/>
          <w:sz w:val="28"/>
          <w:rtl/>
        </w:rPr>
        <w:t>(</w:t>
      </w:r>
      <w:r w:rsidR="00BD6DDB" w:rsidRPr="0021507A">
        <w:rPr>
          <w:rStyle w:val="FootnoteReference"/>
          <w:rFonts w:cs="Arabic11 BT"/>
          <w:b/>
          <w:sz w:val="28"/>
          <w:rtl/>
        </w:rPr>
        <w:footnoteReference w:id="17"/>
      </w:r>
      <w:r w:rsidR="00BD6DDB" w:rsidRPr="0021507A">
        <w:rPr>
          <w:rStyle w:val="FootnoteReference"/>
          <w:rFonts w:cs="Arabic11 BT"/>
          <w:b/>
          <w:sz w:val="28"/>
          <w:rtl/>
        </w:rPr>
        <w:t>)</w:t>
      </w:r>
      <w:r w:rsidR="00307174" w:rsidRPr="00995B26">
        <w:rPr>
          <w:rFonts w:ascii="Abo-thar" w:hAnsi="Abo-thar" w:hint="cs"/>
          <w:sz w:val="28"/>
          <w:rtl/>
        </w:rPr>
        <w:t>.</w:t>
      </w:r>
    </w:p>
    <w:p w:rsidR="00713EB9" w:rsidRPr="003F3B94" w:rsidRDefault="00713EB9" w:rsidP="003F3B94">
      <w:pPr>
        <w:pStyle w:val="a0"/>
        <w:rPr>
          <w:rFonts w:hint="cs"/>
          <w:rtl/>
        </w:rPr>
      </w:pPr>
      <w:r w:rsidRPr="003F3B94">
        <w:rPr>
          <w:rFonts w:ascii="Abo-thar" w:hAnsi="Abo-thar" w:hint="cs"/>
          <w:sz w:val="28"/>
          <w:rtl/>
        </w:rPr>
        <w:t xml:space="preserve">والحاصل </w:t>
      </w:r>
      <w:r w:rsidRPr="003F3B94">
        <w:rPr>
          <w:rFonts w:ascii="Abo-thar" w:hAnsi="Abo-thar"/>
          <w:sz w:val="28"/>
          <w:rtl/>
        </w:rPr>
        <w:t xml:space="preserve">أن العادة والعرف الرائج زمن الجاهلية </w:t>
      </w:r>
      <w:r w:rsidRPr="003F3B94">
        <w:rPr>
          <w:rFonts w:ascii="Abo-thar" w:hAnsi="Abo-thar" w:hint="cs"/>
          <w:sz w:val="28"/>
          <w:rtl/>
        </w:rPr>
        <w:t xml:space="preserve">كان </w:t>
      </w:r>
      <w:r w:rsidRPr="003F3B94">
        <w:rPr>
          <w:rFonts w:ascii="Abo-thar" w:hAnsi="Abo-thar"/>
          <w:sz w:val="28"/>
          <w:rtl/>
        </w:rPr>
        <w:t xml:space="preserve">أن يُعطى رئيس القبيلة </w:t>
      </w:r>
      <w:r w:rsidRPr="003F3B94">
        <w:rPr>
          <w:rFonts w:ascii="Abo-thar" w:hAnsi="Abo-thar" w:hint="cs"/>
          <w:sz w:val="28"/>
          <w:rtl/>
        </w:rPr>
        <w:t>مقداراً</w:t>
      </w:r>
      <w:r w:rsidRPr="003F3B94">
        <w:rPr>
          <w:rFonts w:ascii="Abo-thar" w:hAnsi="Abo-thar"/>
          <w:sz w:val="28"/>
          <w:rtl/>
        </w:rPr>
        <w:t xml:space="preserve"> خاصا</w:t>
      </w:r>
      <w:r w:rsidRPr="003F3B94">
        <w:rPr>
          <w:rFonts w:ascii="Abo-thar" w:hAnsi="Abo-thar" w:hint="cs"/>
          <w:sz w:val="28"/>
          <w:rtl/>
        </w:rPr>
        <w:t>ً</w:t>
      </w:r>
      <w:r w:rsidRPr="003F3B94">
        <w:rPr>
          <w:rFonts w:ascii="Abo-thar" w:hAnsi="Abo-thar"/>
          <w:sz w:val="28"/>
          <w:rtl/>
        </w:rPr>
        <w:t xml:space="preserve"> به من غنائم الحرب</w:t>
      </w:r>
      <w:r w:rsidRPr="003F3B94">
        <w:rPr>
          <w:rFonts w:ascii="Abo-thar" w:hAnsi="Abo-thar" w:hint="cs"/>
          <w:sz w:val="28"/>
          <w:rtl/>
        </w:rPr>
        <w:t>.</w:t>
      </w:r>
    </w:p>
    <w:p w:rsidR="00BD6DDB" w:rsidRPr="00995B26" w:rsidRDefault="00713EB9" w:rsidP="003F3B94">
      <w:pPr>
        <w:pStyle w:val="a0"/>
        <w:rPr>
          <w:rFonts w:hint="cs"/>
          <w:rtl/>
        </w:rPr>
      </w:pPr>
      <w:r w:rsidRPr="003F3B94">
        <w:rPr>
          <w:rFonts w:ascii="Abo-thar" w:hAnsi="Abo-thar"/>
          <w:sz w:val="28"/>
          <w:rtl/>
        </w:rPr>
        <w:t xml:space="preserve">أما في الإسلام فلم يكن الأمر كذلك، فقد </w:t>
      </w:r>
      <w:r w:rsidR="00BD6DDB" w:rsidRPr="003F3B94">
        <w:rPr>
          <w:rFonts w:ascii="Abo-thar" w:hAnsi="Abo-thar" w:hint="cs"/>
          <w:sz w:val="28"/>
          <w:rtl/>
        </w:rPr>
        <w:t>قال</w:t>
      </w:r>
      <w:r w:rsidRPr="003F3B94">
        <w:rPr>
          <w:rFonts w:ascii="Abo-thar" w:hAnsi="Abo-thar"/>
          <w:sz w:val="28"/>
          <w:rtl/>
        </w:rPr>
        <w:t xml:space="preserve"> العلامة الحلي «..</w:t>
      </w:r>
      <w:r w:rsidR="00A42653">
        <w:rPr>
          <w:rFonts w:ascii="Abo-thar" w:hAnsi="Abo-thar" w:hint="cs"/>
          <w:sz w:val="28"/>
          <w:rtl/>
        </w:rPr>
        <w:t>.</w:t>
      </w:r>
      <w:r w:rsidRPr="003F3B94">
        <w:rPr>
          <w:rFonts w:ascii="Abo-thar" w:hAnsi="Abo-thar"/>
          <w:sz w:val="28"/>
          <w:rtl/>
        </w:rPr>
        <w:t xml:space="preserve"> فإن الغنيمة كانت محر</w:t>
      </w:r>
      <w:r w:rsidRPr="003F3B94">
        <w:rPr>
          <w:rFonts w:ascii="Abo-thar" w:hAnsi="Abo-thar" w:hint="cs"/>
          <w:sz w:val="28"/>
          <w:rtl/>
        </w:rPr>
        <w:t>َّ</w:t>
      </w:r>
      <w:r w:rsidRPr="003F3B94">
        <w:rPr>
          <w:rFonts w:ascii="Abo-thar" w:hAnsi="Abo-thar"/>
          <w:sz w:val="28"/>
          <w:rtl/>
        </w:rPr>
        <w:t>مة فيما تقدم من الأديان وكانوا يجمعون الغنيمة ف</w:t>
      </w:r>
      <w:r w:rsidRPr="003F3B94">
        <w:rPr>
          <w:rFonts w:ascii="Abo-thar" w:hAnsi="Abo-thar" w:hint="cs"/>
          <w:sz w:val="28"/>
          <w:rtl/>
        </w:rPr>
        <w:t>ت</w:t>
      </w:r>
      <w:r w:rsidRPr="003F3B94">
        <w:rPr>
          <w:rFonts w:ascii="Abo-thar" w:hAnsi="Abo-thar"/>
          <w:sz w:val="28"/>
          <w:rtl/>
        </w:rPr>
        <w:t>ن</w:t>
      </w:r>
      <w:r w:rsidRPr="003F3B94">
        <w:rPr>
          <w:rFonts w:ascii="Abo-thar" w:hAnsi="Abo-thar" w:hint="cs"/>
          <w:sz w:val="28"/>
          <w:rtl/>
        </w:rPr>
        <w:t>ـ</w:t>
      </w:r>
      <w:r w:rsidRPr="003F3B94">
        <w:rPr>
          <w:rFonts w:ascii="Abo-thar" w:hAnsi="Abo-thar"/>
          <w:sz w:val="28"/>
          <w:rtl/>
        </w:rPr>
        <w:t>زل نار من السماء ف</w:t>
      </w:r>
      <w:r w:rsidRPr="003F3B94">
        <w:rPr>
          <w:rFonts w:ascii="Abo-thar" w:hAnsi="Abo-thar" w:hint="cs"/>
          <w:sz w:val="28"/>
          <w:rtl/>
        </w:rPr>
        <w:t>ت</w:t>
      </w:r>
      <w:r w:rsidRPr="003F3B94">
        <w:rPr>
          <w:rFonts w:ascii="Abo-thar" w:hAnsi="Abo-thar"/>
          <w:sz w:val="28"/>
          <w:rtl/>
        </w:rPr>
        <w:t>أكلها فلما أرسل الله تعالى محمدا</w:t>
      </w:r>
      <w:r w:rsidRPr="003F3B94">
        <w:rPr>
          <w:rFonts w:ascii="Abo-thar" w:hAnsi="Abo-thar" w:hint="cs"/>
          <w:sz w:val="28"/>
          <w:rtl/>
        </w:rPr>
        <w:t>ً</w:t>
      </w:r>
      <w:r w:rsidRPr="003F3B94">
        <w:rPr>
          <w:rFonts w:ascii="Abo-thar" w:hAnsi="Abo-thar"/>
          <w:sz w:val="28"/>
          <w:rtl/>
        </w:rPr>
        <w:t xml:space="preserve"> صلى الله عليه وآله أنعم عليه فجعل ماله خاصة. قال الله تعالى:</w:t>
      </w:r>
      <w:r w:rsidRPr="003F3B94">
        <w:rPr>
          <w:rFonts w:ascii="Abo-thar" w:hAnsi="Abo-thar" w:hint="cs"/>
          <w:sz w:val="28"/>
          <w:rtl/>
        </w:rPr>
        <w:t xml:space="preserve"> ﴿</w:t>
      </w:r>
      <w:r w:rsidR="00307174" w:rsidRPr="00995B26">
        <w:rPr>
          <w:rFonts w:ascii="KFGQPC Uthmanic Script HAFS" w:cs="KFGQPC Uthmanic Script HAFS" w:hint="eastAsia"/>
          <w:sz w:val="29"/>
          <w:szCs w:val="29"/>
          <w:rtl/>
        </w:rPr>
        <w:t>يَس</w:t>
      </w:r>
      <w:r w:rsidR="00307174" w:rsidRPr="00995B26">
        <w:rPr>
          <w:rFonts w:ascii="KFGQPC Uthmanic Script HAFS" w:cs="KFGQPC Uthmanic Script HAFS" w:hint="cs"/>
          <w:sz w:val="29"/>
          <w:szCs w:val="29"/>
          <w:rtl/>
        </w:rPr>
        <w:t>ۡ</w:t>
      </w:r>
      <w:r w:rsidR="00307174" w:rsidRPr="00995B26">
        <w:rPr>
          <w:rFonts w:ascii="KFGQPC Uthmanic Script HAFS" w:cs="KFGQPC Uthmanic Script HAFS" w:hint="eastAsia"/>
          <w:sz w:val="29"/>
          <w:szCs w:val="29"/>
          <w:rtl/>
        </w:rPr>
        <w:t>‍</w:t>
      </w:r>
      <w:r w:rsidR="00307174" w:rsidRPr="00995B26">
        <w:rPr>
          <w:rFonts w:ascii="KFGQPC Uthmanic Script HAFS" w:cs="KFGQPC Uthmanic Script HAFS" w:hint="cs"/>
          <w:sz w:val="29"/>
          <w:szCs w:val="29"/>
          <w:rtl/>
        </w:rPr>
        <w:t>ٔ</w:t>
      </w:r>
      <w:r w:rsidR="00307174" w:rsidRPr="00995B26">
        <w:rPr>
          <w:rFonts w:ascii="KFGQPC Uthmanic Script HAFS" w:cs="KFGQPC Uthmanic Script HAFS" w:hint="eastAsia"/>
          <w:sz w:val="29"/>
          <w:szCs w:val="29"/>
          <w:rtl/>
        </w:rPr>
        <w:t>َلُونَكَ</w:t>
      </w:r>
      <w:r w:rsidR="00307174" w:rsidRPr="00995B26">
        <w:rPr>
          <w:rFonts w:ascii="KFGQPC Uthmanic Script HAFS" w:cs="KFGQPC Uthmanic Script HAFS"/>
          <w:sz w:val="29"/>
          <w:szCs w:val="29"/>
          <w:rtl/>
        </w:rPr>
        <w:t xml:space="preserve"> </w:t>
      </w:r>
      <w:r w:rsidR="00307174" w:rsidRPr="00995B26">
        <w:rPr>
          <w:rFonts w:ascii="KFGQPC Uthmanic Script HAFS" w:cs="KFGQPC Uthmanic Script HAFS" w:hint="eastAsia"/>
          <w:sz w:val="29"/>
          <w:szCs w:val="29"/>
          <w:rtl/>
        </w:rPr>
        <w:t>عَنِ</w:t>
      </w:r>
      <w:r w:rsidR="00307174" w:rsidRPr="00995B26">
        <w:rPr>
          <w:rFonts w:ascii="KFGQPC Uthmanic Script HAFS" w:cs="KFGQPC Uthmanic Script HAFS"/>
          <w:sz w:val="29"/>
          <w:szCs w:val="29"/>
          <w:rtl/>
        </w:rPr>
        <w:t xml:space="preserve"> </w:t>
      </w:r>
      <w:r w:rsidR="00307174" w:rsidRPr="00995B26">
        <w:rPr>
          <w:rFonts w:ascii="KFGQPC Uthmanic Script HAFS" w:cs="KFGQPC Uthmanic Script HAFS" w:hint="cs"/>
          <w:sz w:val="29"/>
          <w:szCs w:val="29"/>
          <w:rtl/>
        </w:rPr>
        <w:t>ٱ</w:t>
      </w:r>
      <w:r w:rsidR="00307174" w:rsidRPr="00995B26">
        <w:rPr>
          <w:rFonts w:ascii="KFGQPC Uthmanic Script HAFS" w:cs="KFGQPC Uthmanic Script HAFS" w:hint="eastAsia"/>
          <w:sz w:val="29"/>
          <w:szCs w:val="29"/>
          <w:rtl/>
        </w:rPr>
        <w:t>ل</w:t>
      </w:r>
      <w:r w:rsidR="00307174" w:rsidRPr="00995B26">
        <w:rPr>
          <w:rFonts w:ascii="KFGQPC Uthmanic Script HAFS" w:cs="KFGQPC Uthmanic Script HAFS" w:hint="cs"/>
          <w:sz w:val="29"/>
          <w:szCs w:val="29"/>
          <w:rtl/>
        </w:rPr>
        <w:t>ۡ</w:t>
      </w:r>
      <w:r w:rsidR="00307174" w:rsidRPr="00995B26">
        <w:rPr>
          <w:rFonts w:ascii="KFGQPC Uthmanic Script HAFS" w:cs="KFGQPC Uthmanic Script HAFS" w:hint="eastAsia"/>
          <w:sz w:val="29"/>
          <w:szCs w:val="29"/>
          <w:rtl/>
        </w:rPr>
        <w:t>أَنفَالِ</w:t>
      </w:r>
      <w:r w:rsidR="00307174" w:rsidRPr="00995B26">
        <w:rPr>
          <w:rFonts w:ascii="KFGQPC Uthmanic Script HAFS" w:cs="KFGQPC Uthmanic Script HAFS" w:hint="cs"/>
          <w:sz w:val="29"/>
          <w:szCs w:val="29"/>
          <w:rtl/>
        </w:rPr>
        <w:t>ۖ</w:t>
      </w:r>
      <w:r w:rsidR="00307174" w:rsidRPr="00995B26">
        <w:rPr>
          <w:rFonts w:ascii="KFGQPC Uthmanic Script HAFS" w:cs="KFGQPC Uthmanic Script HAFS"/>
          <w:sz w:val="29"/>
          <w:szCs w:val="29"/>
          <w:rtl/>
        </w:rPr>
        <w:t xml:space="preserve"> </w:t>
      </w:r>
      <w:r w:rsidR="00307174" w:rsidRPr="00995B26">
        <w:rPr>
          <w:rFonts w:ascii="KFGQPC Uthmanic Script HAFS" w:cs="KFGQPC Uthmanic Script HAFS" w:hint="eastAsia"/>
          <w:sz w:val="29"/>
          <w:szCs w:val="29"/>
          <w:rtl/>
        </w:rPr>
        <w:t>قُلِ</w:t>
      </w:r>
      <w:r w:rsidR="00307174" w:rsidRPr="00995B26">
        <w:rPr>
          <w:rFonts w:ascii="KFGQPC Uthmanic Script HAFS" w:cs="KFGQPC Uthmanic Script HAFS"/>
          <w:sz w:val="29"/>
          <w:szCs w:val="29"/>
          <w:rtl/>
        </w:rPr>
        <w:t xml:space="preserve"> </w:t>
      </w:r>
      <w:r w:rsidR="00307174" w:rsidRPr="00995B26">
        <w:rPr>
          <w:rFonts w:ascii="KFGQPC Uthmanic Script HAFS" w:cs="KFGQPC Uthmanic Script HAFS" w:hint="cs"/>
          <w:sz w:val="29"/>
          <w:szCs w:val="29"/>
          <w:rtl/>
        </w:rPr>
        <w:t>ٱ</w:t>
      </w:r>
      <w:r w:rsidR="00307174" w:rsidRPr="00995B26">
        <w:rPr>
          <w:rFonts w:ascii="KFGQPC Uthmanic Script HAFS" w:cs="KFGQPC Uthmanic Script HAFS" w:hint="eastAsia"/>
          <w:sz w:val="29"/>
          <w:szCs w:val="29"/>
          <w:rtl/>
        </w:rPr>
        <w:t>ل</w:t>
      </w:r>
      <w:r w:rsidR="00307174" w:rsidRPr="00995B26">
        <w:rPr>
          <w:rFonts w:ascii="KFGQPC Uthmanic Script HAFS" w:cs="KFGQPC Uthmanic Script HAFS" w:hint="cs"/>
          <w:sz w:val="29"/>
          <w:szCs w:val="29"/>
          <w:rtl/>
        </w:rPr>
        <w:t>ۡ</w:t>
      </w:r>
      <w:r w:rsidR="00307174" w:rsidRPr="00995B26">
        <w:rPr>
          <w:rFonts w:ascii="KFGQPC Uthmanic Script HAFS" w:cs="KFGQPC Uthmanic Script HAFS" w:hint="eastAsia"/>
          <w:sz w:val="29"/>
          <w:szCs w:val="29"/>
          <w:rtl/>
        </w:rPr>
        <w:t>أَنفَالُ</w:t>
      </w:r>
      <w:r w:rsidR="00307174" w:rsidRPr="00995B26">
        <w:rPr>
          <w:rFonts w:ascii="KFGQPC Uthmanic Script HAFS" w:cs="KFGQPC Uthmanic Script HAFS"/>
          <w:sz w:val="29"/>
          <w:szCs w:val="29"/>
          <w:rtl/>
        </w:rPr>
        <w:t xml:space="preserve"> </w:t>
      </w:r>
      <w:r w:rsidR="00307174" w:rsidRPr="00995B26">
        <w:rPr>
          <w:rFonts w:ascii="KFGQPC Uthmanic Script HAFS" w:cs="KFGQPC Uthmanic Script HAFS" w:hint="eastAsia"/>
          <w:sz w:val="29"/>
          <w:szCs w:val="29"/>
          <w:rtl/>
        </w:rPr>
        <w:t>لِلَّهِ</w:t>
      </w:r>
      <w:r w:rsidR="00307174" w:rsidRPr="00995B26">
        <w:rPr>
          <w:rFonts w:ascii="KFGQPC Uthmanic Script HAFS" w:cs="KFGQPC Uthmanic Script HAFS"/>
          <w:sz w:val="29"/>
          <w:szCs w:val="29"/>
          <w:rtl/>
        </w:rPr>
        <w:t xml:space="preserve"> </w:t>
      </w:r>
      <w:r w:rsidR="00307174" w:rsidRPr="00995B26">
        <w:rPr>
          <w:rFonts w:ascii="KFGQPC Uthmanic Script HAFS" w:cs="KFGQPC Uthmanic Script HAFS" w:hint="eastAsia"/>
          <w:sz w:val="29"/>
          <w:szCs w:val="29"/>
          <w:rtl/>
        </w:rPr>
        <w:t>وَ</w:t>
      </w:r>
      <w:r w:rsidR="00307174" w:rsidRPr="00995B26">
        <w:rPr>
          <w:rFonts w:ascii="KFGQPC Uthmanic Script HAFS" w:cs="KFGQPC Uthmanic Script HAFS" w:hint="cs"/>
          <w:sz w:val="29"/>
          <w:szCs w:val="29"/>
          <w:rtl/>
        </w:rPr>
        <w:t>ٱ</w:t>
      </w:r>
      <w:r w:rsidR="00307174" w:rsidRPr="00995B26">
        <w:rPr>
          <w:rFonts w:ascii="KFGQPC Uthmanic Script HAFS" w:cs="KFGQPC Uthmanic Script HAFS" w:hint="eastAsia"/>
          <w:sz w:val="29"/>
          <w:szCs w:val="29"/>
          <w:rtl/>
        </w:rPr>
        <w:t>لرَّسُولِ</w:t>
      </w:r>
      <w:r w:rsidRPr="00995B26">
        <w:rPr>
          <w:rFonts w:ascii="Abo-thar" w:hAnsi="Abo-thar" w:hint="cs"/>
          <w:sz w:val="28"/>
          <w:rtl/>
        </w:rPr>
        <w:t>﴾</w:t>
      </w:r>
      <w:r w:rsidRPr="00995B26">
        <w:rPr>
          <w:rFonts w:ascii="Abo-thar" w:hAnsi="Abo-thar"/>
          <w:sz w:val="28"/>
          <w:rtl/>
        </w:rPr>
        <w:t xml:space="preserve"> وقد ر</w:t>
      </w:r>
      <w:r w:rsidRPr="00995B26">
        <w:rPr>
          <w:rFonts w:ascii="Abo-thar" w:hAnsi="Abo-thar" w:hint="cs"/>
          <w:sz w:val="28"/>
          <w:rtl/>
        </w:rPr>
        <w:t>ُ</w:t>
      </w:r>
      <w:r w:rsidRPr="00995B26">
        <w:rPr>
          <w:rFonts w:ascii="Abo-thar" w:hAnsi="Abo-thar"/>
          <w:sz w:val="28"/>
          <w:rtl/>
        </w:rPr>
        <w:t>و</w:t>
      </w:r>
      <w:r w:rsidRPr="00995B26">
        <w:rPr>
          <w:rFonts w:ascii="Abo-thar" w:hAnsi="Abo-thar" w:hint="cs"/>
          <w:sz w:val="28"/>
          <w:rtl/>
        </w:rPr>
        <w:t>يَ</w:t>
      </w:r>
      <w:r w:rsidRPr="00995B26">
        <w:rPr>
          <w:rFonts w:ascii="Abo-thar" w:hAnsi="Abo-thar"/>
          <w:sz w:val="28"/>
          <w:rtl/>
        </w:rPr>
        <w:t xml:space="preserve"> عن النبي صلى الله عليه وآله أنه قال: </w:t>
      </w:r>
      <w:r w:rsidRPr="005A568E">
        <w:rPr>
          <w:rFonts w:ascii="Abo-thar" w:hAnsi="Abo-thar" w:cs="KFGQPC Uthman Taha Naskh"/>
          <w:sz w:val="28"/>
          <w:rtl/>
        </w:rPr>
        <w:t>«أجراني الخمس ولم يحل ل</w:t>
      </w:r>
      <w:r w:rsidRPr="005A568E">
        <w:rPr>
          <w:rFonts w:ascii="Abo-thar" w:hAnsi="Abo-thar" w:cs="KFGQPC Uthman Taha Naskh" w:hint="cs"/>
          <w:sz w:val="28"/>
          <w:rtl/>
        </w:rPr>
        <w:t>أ</w:t>
      </w:r>
      <w:r w:rsidRPr="005A568E">
        <w:rPr>
          <w:rFonts w:ascii="Abo-thar" w:hAnsi="Abo-thar" w:cs="KFGQPC Uthman Taha Naskh"/>
          <w:sz w:val="28"/>
          <w:rtl/>
        </w:rPr>
        <w:t>حد قبلي و</w:t>
      </w:r>
      <w:r w:rsidRPr="005A568E">
        <w:rPr>
          <w:rFonts w:ascii="Abo-thar" w:hAnsi="Abo-thar" w:cs="KFGQPC Uthman Taha Naskh" w:hint="cs"/>
          <w:sz w:val="28"/>
          <w:rtl/>
        </w:rPr>
        <w:t>َأُ</w:t>
      </w:r>
      <w:r w:rsidRPr="005A568E">
        <w:rPr>
          <w:rFonts w:ascii="Abo-thar" w:hAnsi="Abo-thar" w:cs="KFGQPC Uthman Taha Naskh"/>
          <w:sz w:val="28"/>
          <w:rtl/>
        </w:rPr>
        <w:t>ح</w:t>
      </w:r>
      <w:r w:rsidRPr="005A568E">
        <w:rPr>
          <w:rFonts w:ascii="Abo-thar" w:hAnsi="Abo-thar" w:cs="KFGQPC Uthman Taha Naskh" w:hint="cs"/>
          <w:sz w:val="28"/>
          <w:rtl/>
        </w:rPr>
        <w:t>ِ</w:t>
      </w:r>
      <w:r w:rsidRPr="005A568E">
        <w:rPr>
          <w:rFonts w:ascii="Abo-thar" w:hAnsi="Abo-thar" w:cs="KFGQPC Uthman Taha Naskh"/>
          <w:sz w:val="28"/>
          <w:rtl/>
        </w:rPr>
        <w:t>ل</w:t>
      </w:r>
      <w:r w:rsidRPr="005A568E">
        <w:rPr>
          <w:rFonts w:ascii="Abo-thar" w:hAnsi="Abo-thar" w:cs="KFGQPC Uthman Taha Naskh" w:hint="cs"/>
          <w:sz w:val="28"/>
          <w:rtl/>
        </w:rPr>
        <w:t>َّ</w:t>
      </w:r>
      <w:r w:rsidRPr="005A568E">
        <w:rPr>
          <w:rFonts w:ascii="Abo-thar" w:hAnsi="Abo-thar" w:cs="KFGQPC Uthman Taha Naskh"/>
          <w:sz w:val="28"/>
          <w:rtl/>
        </w:rPr>
        <w:t>ت لي</w:t>
      </w:r>
      <w:r w:rsidRPr="005A568E">
        <w:rPr>
          <w:rFonts w:ascii="Abo-thar" w:hAnsi="Abo-thar" w:cs="KFGQPC Uthman Taha Naskh" w:hint="cs"/>
          <w:sz w:val="28"/>
          <w:rtl/>
        </w:rPr>
        <w:t>َ</w:t>
      </w:r>
      <w:r w:rsidRPr="005A568E">
        <w:rPr>
          <w:rFonts w:ascii="Abo-thar" w:hAnsi="Abo-thar" w:cs="KFGQPC Uthman Taha Naskh"/>
          <w:sz w:val="28"/>
          <w:rtl/>
        </w:rPr>
        <w:t xml:space="preserve"> الغنائم»</w:t>
      </w:r>
      <w:r w:rsidRPr="00995B26">
        <w:rPr>
          <w:rFonts w:ascii="Abo-thar" w:hAnsi="Abo-thar"/>
          <w:sz w:val="28"/>
          <w:rtl/>
        </w:rPr>
        <w:t xml:space="preserve"> وقال </w:t>
      </w:r>
      <w:r w:rsidR="003C7AEB" w:rsidRPr="003C7AEB">
        <w:rPr>
          <w:rFonts w:ascii="Abo-thar" w:hAnsi="Abo-thar" w:cs="CTraditional Arabic"/>
          <w:sz w:val="28"/>
          <w:rtl/>
        </w:rPr>
        <w:t>÷</w:t>
      </w:r>
      <w:r w:rsidRPr="00995B26">
        <w:rPr>
          <w:rFonts w:ascii="Abo-thar" w:hAnsi="Abo-thar"/>
          <w:sz w:val="28"/>
          <w:rtl/>
        </w:rPr>
        <w:t xml:space="preserve">: </w:t>
      </w:r>
      <w:r w:rsidRPr="005A568E">
        <w:rPr>
          <w:rFonts w:ascii="Abo-thar" w:hAnsi="Abo-thar" w:cs="KFGQPC Uthman Taha Naskh"/>
          <w:sz w:val="28"/>
          <w:rtl/>
        </w:rPr>
        <w:t>«أُعْطِيْتُ خَمْسَاً لم يُعْطَهُنَّ أحدٌ قبلي</w:t>
      </w:r>
      <w:r w:rsidRPr="005A568E">
        <w:rPr>
          <w:rFonts w:ascii="Abo-thar" w:hAnsi="Abo-thar" w:cs="KFGQPC Uthman Taha Naskh" w:hint="cs"/>
          <w:sz w:val="28"/>
          <w:rtl/>
        </w:rPr>
        <w:t>..</w:t>
      </w:r>
      <w:r w:rsidRPr="005A568E">
        <w:rPr>
          <w:rFonts w:ascii="Abo-thar" w:hAnsi="Abo-thar" w:cs="KFGQPC Uthman Taha Naskh"/>
          <w:sz w:val="28"/>
          <w:rtl/>
        </w:rPr>
        <w:t xml:space="preserve"> وذكر فيها</w:t>
      </w:r>
      <w:r w:rsidRPr="005A568E">
        <w:rPr>
          <w:rFonts w:ascii="Abo-thar" w:hAnsi="Abo-thar" w:cs="KFGQPC Uthman Taha Naskh" w:hint="cs"/>
          <w:sz w:val="28"/>
          <w:rtl/>
        </w:rPr>
        <w:t>:</w:t>
      </w:r>
      <w:r w:rsidRPr="005A568E">
        <w:rPr>
          <w:rFonts w:ascii="Abo-thar" w:hAnsi="Abo-thar" w:cs="KFGQPC Uthman Taha Naskh"/>
          <w:sz w:val="28"/>
          <w:rtl/>
        </w:rPr>
        <w:t xml:space="preserve"> أُحِلَّت له الغنائم»</w:t>
      </w:r>
      <w:r w:rsidRPr="00995B26">
        <w:rPr>
          <w:rFonts w:ascii="Abo-thar" w:hAnsi="Abo-thar"/>
          <w:sz w:val="28"/>
          <w:rtl/>
        </w:rPr>
        <w:t xml:space="preserve"> إذا ثبت هذا ف</w:t>
      </w:r>
      <w:r w:rsidRPr="00995B26">
        <w:rPr>
          <w:rFonts w:ascii="Abo-thar" w:hAnsi="Abo-thar" w:hint="cs"/>
          <w:sz w:val="28"/>
          <w:rtl/>
        </w:rPr>
        <w:t>إ</w:t>
      </w:r>
      <w:r w:rsidRPr="00995B26">
        <w:rPr>
          <w:rFonts w:ascii="Abo-thar" w:hAnsi="Abo-thar"/>
          <w:sz w:val="28"/>
          <w:rtl/>
        </w:rPr>
        <w:t>ن</w:t>
      </w:r>
      <w:r w:rsidRPr="00995B26">
        <w:rPr>
          <w:rFonts w:ascii="Abo-thar" w:hAnsi="Abo-thar" w:hint="cs"/>
          <w:sz w:val="28"/>
          <w:rtl/>
        </w:rPr>
        <w:t>َّ</w:t>
      </w:r>
      <w:r w:rsidRPr="00995B26">
        <w:rPr>
          <w:rFonts w:ascii="Abo-thar" w:hAnsi="Abo-thar"/>
          <w:sz w:val="28"/>
          <w:rtl/>
        </w:rPr>
        <w:t xml:space="preserve"> النبي</w:t>
      </w:r>
      <w:r w:rsidRPr="00995B26">
        <w:rPr>
          <w:rFonts w:ascii="Abo-thar" w:hAnsi="Abo-thar" w:hint="cs"/>
          <w:sz w:val="28"/>
          <w:rtl/>
        </w:rPr>
        <w:t>َّ</w:t>
      </w:r>
      <w:r w:rsidRPr="00995B26">
        <w:rPr>
          <w:rFonts w:ascii="Abo-thar" w:hAnsi="Abo-thar"/>
          <w:sz w:val="28"/>
          <w:rtl/>
        </w:rPr>
        <w:t xml:space="preserve"> كان مختص</w:t>
      </w:r>
      <w:r w:rsidRPr="00995B26">
        <w:rPr>
          <w:rFonts w:ascii="Abo-thar" w:hAnsi="Abo-thar" w:hint="cs"/>
          <w:sz w:val="28"/>
          <w:rtl/>
        </w:rPr>
        <w:t>َّ</w:t>
      </w:r>
      <w:r w:rsidRPr="00995B26">
        <w:rPr>
          <w:rFonts w:ascii="Abo-thar" w:hAnsi="Abo-thar"/>
          <w:sz w:val="28"/>
          <w:rtl/>
        </w:rPr>
        <w:t>ا</w:t>
      </w:r>
      <w:r w:rsidRPr="00995B26">
        <w:rPr>
          <w:rFonts w:ascii="Abo-thar" w:hAnsi="Abo-thar" w:hint="cs"/>
          <w:sz w:val="28"/>
          <w:rtl/>
        </w:rPr>
        <w:t>ً</w:t>
      </w:r>
      <w:r w:rsidRPr="00995B26">
        <w:rPr>
          <w:rFonts w:ascii="Abo-thar" w:hAnsi="Abo-thar"/>
          <w:sz w:val="28"/>
          <w:rtl/>
        </w:rPr>
        <w:t xml:space="preserve"> بالغنائم»</w:t>
      </w:r>
      <w:r w:rsidR="00BD6DDB" w:rsidRPr="0021507A">
        <w:rPr>
          <w:rStyle w:val="FootnoteReference"/>
          <w:rFonts w:cs="Arabic11 BT"/>
          <w:b/>
          <w:sz w:val="28"/>
          <w:rtl/>
        </w:rPr>
        <w:t>(</w:t>
      </w:r>
      <w:r w:rsidR="00BD6DDB" w:rsidRPr="0021507A">
        <w:rPr>
          <w:rStyle w:val="FootnoteReference"/>
          <w:rFonts w:cs="Arabic11 BT"/>
          <w:b/>
          <w:sz w:val="28"/>
          <w:rtl/>
        </w:rPr>
        <w:footnoteReference w:id="18"/>
      </w:r>
      <w:r w:rsidR="00BD6DDB" w:rsidRPr="0021507A">
        <w:rPr>
          <w:rStyle w:val="FootnoteReference"/>
          <w:rFonts w:cs="Arabic11 BT"/>
          <w:b/>
          <w:sz w:val="28"/>
          <w:rtl/>
        </w:rPr>
        <w:t>)</w:t>
      </w:r>
      <w:r w:rsidRPr="00995B26">
        <w:rPr>
          <w:rFonts w:ascii="Abo-thar" w:hAnsi="Abo-thar"/>
          <w:sz w:val="28"/>
          <w:rtl/>
        </w:rPr>
        <w:t>.</w:t>
      </w:r>
    </w:p>
    <w:p w:rsidR="00713EB9" w:rsidRPr="003F3B94" w:rsidRDefault="00713EB9" w:rsidP="003F3B94">
      <w:pPr>
        <w:pStyle w:val="a0"/>
        <w:rPr>
          <w:rtl/>
        </w:rPr>
      </w:pPr>
      <w:r w:rsidRPr="003F3B94">
        <w:rPr>
          <w:rFonts w:ascii="Abo-thar" w:hAnsi="Abo-thar"/>
          <w:sz w:val="28"/>
          <w:rtl/>
        </w:rPr>
        <w:t>وذكر العلامة أيضا</w:t>
      </w:r>
      <w:r w:rsidRPr="003F3B94">
        <w:rPr>
          <w:rFonts w:ascii="Abo-thar" w:hAnsi="Abo-thar" w:hint="cs"/>
          <w:sz w:val="28"/>
          <w:rtl/>
        </w:rPr>
        <w:t>ً</w:t>
      </w:r>
      <w:r w:rsidRPr="003F3B94">
        <w:rPr>
          <w:rFonts w:ascii="Abo-thar" w:hAnsi="Abo-thar"/>
          <w:sz w:val="28"/>
          <w:rtl/>
        </w:rPr>
        <w:t xml:space="preserve"> نحو هذا الأمر في كتابه «تذكرة الفقهاء»</w:t>
      </w:r>
      <w:r w:rsidR="00BD6DDB" w:rsidRPr="0021507A">
        <w:rPr>
          <w:rStyle w:val="FootnoteReference"/>
          <w:rFonts w:cs="Arabic11 BT"/>
          <w:b/>
          <w:sz w:val="28"/>
          <w:rtl/>
        </w:rPr>
        <w:t>(</w:t>
      </w:r>
      <w:r w:rsidR="00BD6DDB" w:rsidRPr="0021507A">
        <w:rPr>
          <w:rStyle w:val="FootnoteReference"/>
          <w:rFonts w:cs="Arabic11 BT"/>
          <w:b/>
          <w:sz w:val="28"/>
          <w:rtl/>
        </w:rPr>
        <w:footnoteReference w:id="19"/>
      </w:r>
      <w:r w:rsidR="00BD6DDB" w:rsidRPr="0021507A">
        <w:rPr>
          <w:rStyle w:val="FootnoteReference"/>
          <w:rFonts w:cs="Arabic11 BT"/>
          <w:b/>
          <w:sz w:val="28"/>
          <w:rtl/>
        </w:rPr>
        <w:t>)</w:t>
      </w:r>
      <w:r w:rsidRPr="003F3B94">
        <w:rPr>
          <w:rFonts w:ascii="Abo-thar" w:hAnsi="Abo-thar"/>
          <w:sz w:val="28"/>
          <w:rtl/>
        </w:rPr>
        <w:t xml:space="preserve"> فقال: «وقد كانت الغنيمة محرمة فيما تقدم من الشرائع، وكانوا يجمعون الغنيمة فتن</w:t>
      </w:r>
      <w:r w:rsidRPr="003F3B94">
        <w:rPr>
          <w:rFonts w:ascii="Abo-thar" w:hAnsi="Abo-thar" w:hint="cs"/>
          <w:sz w:val="28"/>
          <w:rtl/>
        </w:rPr>
        <w:t>ـ</w:t>
      </w:r>
      <w:r w:rsidRPr="003F3B94">
        <w:rPr>
          <w:rFonts w:ascii="Abo-thar" w:hAnsi="Abo-thar"/>
          <w:sz w:val="28"/>
          <w:rtl/>
        </w:rPr>
        <w:t>زل النار من السماء فتأكلها، فلما أرسل الله محمدا</w:t>
      </w:r>
      <w:r w:rsidRPr="003F3B94">
        <w:rPr>
          <w:rFonts w:ascii="Abo-thar" w:hAnsi="Abo-thar" w:hint="cs"/>
          <w:sz w:val="28"/>
          <w:rtl/>
        </w:rPr>
        <w:t>ً</w:t>
      </w:r>
      <w:r w:rsidRPr="003F3B94">
        <w:rPr>
          <w:rFonts w:ascii="Abo-thar" w:hAnsi="Abo-thar"/>
          <w:sz w:val="28"/>
          <w:rtl/>
        </w:rPr>
        <w:t xml:space="preserve"> (صلى الله عليه وآله) أنعم بها عليه، فجعلها له خاص</w:t>
      </w:r>
      <w:r w:rsidRPr="003F3B94">
        <w:rPr>
          <w:rFonts w:ascii="Abo-thar" w:hAnsi="Abo-thar" w:hint="cs"/>
          <w:sz w:val="28"/>
          <w:rtl/>
        </w:rPr>
        <w:t>َّ</w:t>
      </w:r>
      <w:r w:rsidRPr="003F3B94">
        <w:rPr>
          <w:rFonts w:ascii="Abo-thar" w:hAnsi="Abo-thar"/>
          <w:sz w:val="28"/>
          <w:rtl/>
        </w:rPr>
        <w:t>ة</w:t>
      </w:r>
      <w:r w:rsidR="00FB6445" w:rsidRPr="003F3B94">
        <w:rPr>
          <w:rFonts w:ascii="Abo-thar" w:hAnsi="Abo-thar" w:hint="cs"/>
          <w:sz w:val="28"/>
          <w:rtl/>
        </w:rPr>
        <w:t>»</w:t>
      </w:r>
      <w:r w:rsidRPr="003F3B94">
        <w:rPr>
          <w:rFonts w:ascii="Abo-thar" w:hAnsi="Abo-thar" w:hint="cs"/>
          <w:sz w:val="28"/>
          <w:rtl/>
        </w:rPr>
        <w:t>.</w:t>
      </w:r>
    </w:p>
    <w:p w:rsidR="00713EB9" w:rsidRPr="003F3B94" w:rsidRDefault="00713EB9" w:rsidP="003F3B94">
      <w:pPr>
        <w:pStyle w:val="a0"/>
        <w:rPr>
          <w:rFonts w:hint="cs"/>
          <w:rtl/>
        </w:rPr>
      </w:pPr>
      <w:r w:rsidRPr="003F3B94">
        <w:rPr>
          <w:rFonts w:ascii="Abo-thar" w:hAnsi="Abo-thar"/>
          <w:sz w:val="28"/>
          <w:rtl/>
        </w:rPr>
        <w:t>ونقل المجلسي في «مرآ</w:t>
      </w:r>
      <w:r w:rsidRPr="003F3B94">
        <w:rPr>
          <w:rFonts w:ascii="Abo-thar" w:hAnsi="Abo-thar" w:hint="cs"/>
          <w:sz w:val="28"/>
          <w:rtl/>
        </w:rPr>
        <w:t>ة</w:t>
      </w:r>
      <w:r w:rsidRPr="003F3B94">
        <w:rPr>
          <w:rFonts w:ascii="Abo-thar" w:hAnsi="Abo-thar"/>
          <w:sz w:val="28"/>
          <w:rtl/>
        </w:rPr>
        <w:t xml:space="preserve"> العقول»</w:t>
      </w:r>
      <w:r w:rsidR="00BD6DDB" w:rsidRPr="0021507A">
        <w:rPr>
          <w:rStyle w:val="FootnoteReference"/>
          <w:rFonts w:cs="Arabic11 BT"/>
          <w:b/>
          <w:sz w:val="28"/>
          <w:rtl/>
        </w:rPr>
        <w:t>(</w:t>
      </w:r>
      <w:r w:rsidR="00BD6DDB" w:rsidRPr="0021507A">
        <w:rPr>
          <w:rStyle w:val="FootnoteReference"/>
          <w:rFonts w:cs="Arabic11 BT"/>
          <w:b/>
          <w:sz w:val="28"/>
          <w:rtl/>
        </w:rPr>
        <w:footnoteReference w:id="20"/>
      </w:r>
      <w:r w:rsidR="00BD6DDB" w:rsidRPr="0021507A">
        <w:rPr>
          <w:rStyle w:val="FootnoteReference"/>
          <w:rFonts w:cs="Arabic11 BT"/>
          <w:b/>
          <w:sz w:val="28"/>
          <w:rtl/>
        </w:rPr>
        <w:t>)</w:t>
      </w:r>
      <w:r w:rsidRPr="003F3B94">
        <w:rPr>
          <w:rFonts w:ascii="Abo-thar" w:hAnsi="Abo-thar"/>
          <w:sz w:val="28"/>
          <w:rtl/>
        </w:rPr>
        <w:t xml:space="preserve"> عين هذه العبارة أيضاً</w:t>
      </w:r>
      <w:r w:rsidR="00BD6DDB" w:rsidRPr="003F3B94">
        <w:rPr>
          <w:rFonts w:ascii="Abo-thar" w:hAnsi="Abo-thar" w:hint="cs"/>
          <w:sz w:val="28"/>
          <w:rtl/>
        </w:rPr>
        <w:t xml:space="preserve">، </w:t>
      </w:r>
      <w:r w:rsidRPr="003F3B94">
        <w:rPr>
          <w:rFonts w:ascii="Abo-thar" w:hAnsi="Abo-thar" w:hint="cs"/>
          <w:sz w:val="28"/>
          <w:rtl/>
        </w:rPr>
        <w:t>بيد أننا</w:t>
      </w:r>
      <w:r w:rsidRPr="003F3B94">
        <w:rPr>
          <w:rFonts w:ascii="Abo-thar" w:hAnsi="Abo-thar"/>
          <w:sz w:val="28"/>
          <w:rtl/>
        </w:rPr>
        <w:t xml:space="preserve"> لدى التتبع والتحقيق فيما جاء في الكتب السماوية السابقة الموجودة </w:t>
      </w:r>
      <w:r w:rsidRPr="003F3B94">
        <w:rPr>
          <w:rFonts w:ascii="Abo-thar" w:hAnsi="Abo-thar" w:hint="cs"/>
          <w:sz w:val="28"/>
          <w:rtl/>
        </w:rPr>
        <w:t xml:space="preserve">بين أيدينا </w:t>
      </w:r>
      <w:r w:rsidRPr="003F3B94">
        <w:rPr>
          <w:rFonts w:ascii="Abo-thar" w:hAnsi="Abo-thar"/>
          <w:sz w:val="28"/>
          <w:rtl/>
        </w:rPr>
        <w:t>تبي</w:t>
      </w:r>
      <w:r w:rsidRPr="003F3B94">
        <w:rPr>
          <w:rFonts w:ascii="Abo-thar" w:hAnsi="Abo-thar" w:hint="cs"/>
          <w:sz w:val="28"/>
          <w:rtl/>
        </w:rPr>
        <w:t>َّ</w:t>
      </w:r>
      <w:r w:rsidRPr="003F3B94">
        <w:rPr>
          <w:rFonts w:ascii="Abo-thar" w:hAnsi="Abo-thar"/>
          <w:sz w:val="28"/>
          <w:rtl/>
        </w:rPr>
        <w:t>ن</w:t>
      </w:r>
      <w:r w:rsidRPr="003F3B94">
        <w:rPr>
          <w:rFonts w:ascii="Abo-thar" w:hAnsi="Abo-thar" w:hint="cs"/>
          <w:sz w:val="28"/>
          <w:rtl/>
        </w:rPr>
        <w:t xml:space="preserve"> </w:t>
      </w:r>
      <w:r w:rsidRPr="003F3B94">
        <w:rPr>
          <w:rFonts w:ascii="Abo-thar" w:hAnsi="Abo-thar"/>
          <w:sz w:val="28"/>
          <w:rtl/>
        </w:rPr>
        <w:t>لنا أن هذا الادعاء عار عن الحقيقة ولا أساس له من الص</w:t>
      </w:r>
      <w:r w:rsidRPr="003F3B94">
        <w:rPr>
          <w:rFonts w:ascii="Abo-thar" w:hAnsi="Abo-thar" w:hint="cs"/>
          <w:sz w:val="28"/>
          <w:rtl/>
        </w:rPr>
        <w:t xml:space="preserve">حة. </w:t>
      </w:r>
    </w:p>
    <w:p w:rsidR="00713EB9" w:rsidRPr="003F3B94" w:rsidRDefault="00713EB9" w:rsidP="003F3B94">
      <w:pPr>
        <w:pStyle w:val="a0"/>
        <w:rPr>
          <w:rFonts w:hint="cs"/>
          <w:rtl/>
        </w:rPr>
      </w:pPr>
      <w:r w:rsidRPr="003F3B94">
        <w:rPr>
          <w:rFonts w:ascii="Abo-thar" w:hAnsi="Abo-thar"/>
          <w:sz w:val="28"/>
          <w:rtl/>
        </w:rPr>
        <w:t xml:space="preserve">ويظهر أن مستند السادة </w:t>
      </w:r>
      <w:r w:rsidRPr="003F3B94">
        <w:rPr>
          <w:rFonts w:ascii="Abo-thar" w:hAnsi="Abo-thar" w:hint="cs"/>
          <w:sz w:val="28"/>
          <w:rtl/>
        </w:rPr>
        <w:t xml:space="preserve">العلماء </w:t>
      </w:r>
      <w:r w:rsidRPr="003F3B94">
        <w:rPr>
          <w:rFonts w:ascii="Abo-thar" w:hAnsi="Abo-thar"/>
          <w:sz w:val="28"/>
          <w:rtl/>
        </w:rPr>
        <w:t>هو حديث</w:t>
      </w:r>
      <w:r w:rsidR="00BD6DDB" w:rsidRPr="003F3B94">
        <w:rPr>
          <w:rFonts w:ascii="Abo-thar" w:hAnsi="Abo-thar" w:hint="cs"/>
          <w:sz w:val="28"/>
          <w:rtl/>
        </w:rPr>
        <w:t>ٌ</w:t>
      </w:r>
      <w:r w:rsidRPr="003F3B94">
        <w:rPr>
          <w:rFonts w:ascii="Abo-thar" w:hAnsi="Abo-thar"/>
          <w:sz w:val="28"/>
          <w:rtl/>
        </w:rPr>
        <w:t xml:space="preserve"> روته العامة عن «جابر بن عبد الله الأنصاري» وفي معناه حديث رواه عبد الرزاق الصنعاني في «المصنَّف»</w:t>
      </w:r>
      <w:r w:rsidR="00BD6DDB" w:rsidRPr="0021507A">
        <w:rPr>
          <w:rStyle w:val="FootnoteReference"/>
          <w:rFonts w:cs="Arabic11 BT"/>
          <w:b/>
          <w:sz w:val="28"/>
          <w:rtl/>
        </w:rPr>
        <w:t>(</w:t>
      </w:r>
      <w:r w:rsidR="00BD6DDB" w:rsidRPr="0021507A">
        <w:rPr>
          <w:rStyle w:val="FootnoteReference"/>
          <w:rFonts w:cs="Arabic11 BT"/>
          <w:b/>
          <w:sz w:val="28"/>
          <w:rtl/>
        </w:rPr>
        <w:footnoteReference w:id="21"/>
      </w:r>
      <w:r w:rsidR="00BD6DDB" w:rsidRPr="0021507A">
        <w:rPr>
          <w:rStyle w:val="FootnoteReference"/>
          <w:rFonts w:cs="Arabic11 BT"/>
          <w:b/>
          <w:sz w:val="28"/>
          <w:rtl/>
        </w:rPr>
        <w:t>)</w:t>
      </w:r>
      <w:r w:rsidRPr="003F3B94">
        <w:rPr>
          <w:rFonts w:ascii="Abo-thar" w:hAnsi="Abo-thar"/>
          <w:sz w:val="28"/>
          <w:rtl/>
        </w:rPr>
        <w:t xml:space="preserve"> عن أبي هريرة عن النبيّ</w:t>
      </w:r>
      <w:r w:rsidRPr="003F3B94">
        <w:rPr>
          <w:rFonts w:ascii="Abo-thar" w:hAnsi="Abo-thar" w:hint="cs"/>
          <w:sz w:val="28"/>
          <w:rtl/>
        </w:rPr>
        <w:t xml:space="preserve"> </w:t>
      </w:r>
      <w:r w:rsidR="00BD6DDB" w:rsidRPr="003F3B94">
        <w:rPr>
          <w:rFonts w:ascii="Abo-thar" w:hAnsi="Abo-thar"/>
          <w:sz w:val="28"/>
          <w:lang w:bidi="fa-IR"/>
        </w:rPr>
        <w:t></w:t>
      </w:r>
      <w:r w:rsidRPr="003F3B94">
        <w:rPr>
          <w:rFonts w:ascii="Abo-thar" w:hAnsi="Abo-thar" w:hint="cs"/>
          <w:sz w:val="28"/>
          <w:rtl/>
        </w:rPr>
        <w:t xml:space="preserve"> </w:t>
      </w:r>
      <w:r w:rsidRPr="003F3B94">
        <w:rPr>
          <w:rFonts w:ascii="Abo-thar" w:hAnsi="Abo-thar"/>
          <w:sz w:val="28"/>
          <w:rtl/>
        </w:rPr>
        <w:t>ورواه مسلم في صحيحه (كتاب الجهاد والسير/باب تحليل الغنائم لهذه الأمة، ح 1747)، والبخاري في صحيحه من طريق ابْنِ المُبَارَكِ عَنْ مَعْمَرٍ عَنْ هَمَّامِ بْنِ مُنَبِّهٍ عَنْ أَبِى هُرَيْرَةَ أن رسول الله</w:t>
      </w:r>
      <w:r w:rsidRPr="003F3B94">
        <w:rPr>
          <w:rFonts w:ascii="Abo-thar" w:hAnsi="Abo-thar" w:hint="cs"/>
          <w:sz w:val="28"/>
          <w:rtl/>
        </w:rPr>
        <w:t xml:space="preserve"> </w:t>
      </w:r>
      <w:r w:rsidR="003D1558" w:rsidRPr="003F3B94">
        <w:rPr>
          <w:rFonts w:ascii="Abo-thar" w:hAnsi="Abo-thar"/>
          <w:sz w:val="28"/>
          <w:lang w:bidi="fa-IR"/>
        </w:rPr>
        <w:t></w:t>
      </w:r>
      <w:r w:rsidRPr="003F3B94">
        <w:rPr>
          <w:rFonts w:ascii="Abo-thar" w:hAnsi="Abo-thar" w:hint="cs"/>
          <w:sz w:val="28"/>
          <w:rtl/>
        </w:rPr>
        <w:t xml:space="preserve"> </w:t>
      </w:r>
      <w:r w:rsidRPr="003F3B94">
        <w:rPr>
          <w:rFonts w:ascii="Abo-thar" w:hAnsi="Abo-thar"/>
          <w:sz w:val="28"/>
          <w:rtl/>
        </w:rPr>
        <w:t xml:space="preserve">قال: </w:t>
      </w:r>
      <w:r w:rsidRPr="005A568E">
        <w:rPr>
          <w:rFonts w:ascii="Abo-thar" w:hAnsi="Abo-thar" w:cs="KFGQPC Uthman Taha Naskh"/>
          <w:sz w:val="28"/>
          <w:rtl/>
        </w:rPr>
        <w:t>«...فَجَمَعَ الْغَنَائِمَ، فَجَاءَتْ - يَعْنِى النَّارَ - لِتَأْكُلَهَا، فَلَمْ تَطْعَمْهَا، فَقَالَ</w:t>
      </w:r>
      <w:r w:rsidR="00A42653">
        <w:rPr>
          <w:rFonts w:ascii="Abo-thar" w:hAnsi="Abo-thar" w:cs="KFGQPC Uthman Taha Naskh" w:hint="cs"/>
          <w:sz w:val="28"/>
          <w:rtl/>
        </w:rPr>
        <w:t>:</w:t>
      </w:r>
      <w:r w:rsidRPr="005A568E">
        <w:rPr>
          <w:rFonts w:ascii="Abo-thar" w:hAnsi="Abo-thar" w:cs="KFGQPC Uthman Taha Naskh"/>
          <w:sz w:val="28"/>
          <w:rtl/>
        </w:rPr>
        <w:t xml:space="preserve"> إِنَّ فِيكُمْ غُلُولاً... [إلى قوله] فَجَاءُوا بِرَأْسٍ مِثْلِ رَأْسِ بَقَرَةٍ مِنَ الذَّهَبِ فَوَضَعُوهَا، فَجَاءَتِ النَّارُ فَأَكَلَتْهَا، ثُمَّ أَحَلَّ اللهُ لَنَا الْغَنَائِمَ، رَأَى ضَعْفَنَا وَعَجْزَنَا فَأَحَلَّهَا لَنَا»</w:t>
      </w:r>
      <w:r w:rsidR="003D1558" w:rsidRPr="0021507A">
        <w:rPr>
          <w:rStyle w:val="FootnoteReference"/>
          <w:rFonts w:cs="Arabic11 BT"/>
          <w:b/>
          <w:sz w:val="28"/>
          <w:rtl/>
        </w:rPr>
        <w:t>(</w:t>
      </w:r>
      <w:r w:rsidR="003D1558" w:rsidRPr="0021507A">
        <w:rPr>
          <w:rStyle w:val="FootnoteReference"/>
          <w:rFonts w:cs="Arabic11 BT"/>
          <w:b/>
          <w:sz w:val="28"/>
          <w:rtl/>
        </w:rPr>
        <w:footnoteReference w:id="22"/>
      </w:r>
      <w:r w:rsidR="003D1558" w:rsidRPr="0021507A">
        <w:rPr>
          <w:rStyle w:val="FootnoteReference"/>
          <w:rFonts w:cs="Arabic11 BT"/>
          <w:b/>
          <w:sz w:val="28"/>
          <w:rtl/>
        </w:rPr>
        <w:t>)</w:t>
      </w:r>
      <w:r w:rsidRPr="003F3B94">
        <w:rPr>
          <w:rFonts w:ascii="Abo-thar" w:hAnsi="Abo-thar"/>
          <w:sz w:val="28"/>
          <w:rtl/>
        </w:rPr>
        <w:t xml:space="preserve">، أما الرواية المشهورة عن </w:t>
      </w:r>
      <w:r w:rsidRPr="003F3B94">
        <w:rPr>
          <w:rFonts w:ascii="Abo-thar" w:hAnsi="Abo-thar" w:hint="cs"/>
          <w:sz w:val="28"/>
          <w:rtl/>
        </w:rPr>
        <w:t>«</w:t>
      </w:r>
      <w:r w:rsidRPr="003F3B94">
        <w:rPr>
          <w:rFonts w:ascii="Abo-thar" w:hAnsi="Abo-thar"/>
          <w:sz w:val="28"/>
          <w:rtl/>
        </w:rPr>
        <w:t xml:space="preserve">جابر </w:t>
      </w:r>
      <w:r w:rsidRPr="003F3B94">
        <w:rPr>
          <w:rFonts w:ascii="Abo-thar" w:hAnsi="Abo-thar" w:hint="cs"/>
          <w:sz w:val="28"/>
          <w:rtl/>
        </w:rPr>
        <w:t xml:space="preserve">بن عبد الله» </w:t>
      </w:r>
      <w:r w:rsidRPr="003F3B94">
        <w:rPr>
          <w:rFonts w:ascii="Abo-thar" w:hAnsi="Abo-thar"/>
          <w:sz w:val="28"/>
          <w:rtl/>
        </w:rPr>
        <w:t>عن النبيّ</w:t>
      </w:r>
      <w:r w:rsidR="003D1558" w:rsidRPr="003F3B94">
        <w:rPr>
          <w:rFonts w:ascii="Abo-thar" w:hAnsi="Abo-thar" w:hint="cs"/>
          <w:sz w:val="28"/>
          <w:rtl/>
        </w:rPr>
        <w:t xml:space="preserve"> </w:t>
      </w:r>
      <w:r w:rsidR="003D1558" w:rsidRPr="003F3B94">
        <w:rPr>
          <w:rFonts w:ascii="Abo-thar" w:hAnsi="Abo-thar"/>
          <w:sz w:val="28"/>
          <w:lang w:bidi="fa-IR"/>
        </w:rPr>
        <w:t></w:t>
      </w:r>
      <w:r w:rsidR="003D1558" w:rsidRPr="003F3B94">
        <w:rPr>
          <w:rFonts w:ascii="Abo-thar" w:hAnsi="Abo-thar"/>
          <w:sz w:val="28"/>
          <w:lang w:bidi="fa-IR"/>
        </w:rPr>
        <w:t></w:t>
      </w:r>
      <w:r w:rsidRPr="003F3B94">
        <w:rPr>
          <w:rFonts w:ascii="Abo-thar" w:hAnsi="Abo-thar"/>
          <w:sz w:val="28"/>
          <w:rtl/>
        </w:rPr>
        <w:t xml:space="preserve">فهي: </w:t>
      </w:r>
      <w:r w:rsidRPr="005A568E">
        <w:rPr>
          <w:rFonts w:ascii="Abo-thar" w:hAnsi="Abo-thar" w:cs="KFGQPC Uthman Taha Naskh"/>
          <w:sz w:val="28"/>
          <w:rtl/>
        </w:rPr>
        <w:t>«أُعْطِيتُ خَمْسًا لَمْ يُعْطَهُنَّ أَحَدٌ قَبْلِى... وَأُحِلَّتْ لِىَ الْغَنَائِمُ [وفي رواية البخاري: وَأُحِلَّتْ لِىَ المَغَانِمُ] وَلَمْ تُحَلَّ لأَحَدٍ قَبْلِى.. الحديث»</w:t>
      </w:r>
      <w:r w:rsidR="003D1558" w:rsidRPr="0021507A">
        <w:rPr>
          <w:rStyle w:val="FootnoteReference"/>
          <w:rFonts w:cs="Arabic11 BT"/>
          <w:b/>
          <w:sz w:val="28"/>
          <w:rtl/>
        </w:rPr>
        <w:t>(</w:t>
      </w:r>
      <w:r w:rsidR="003D1558" w:rsidRPr="0021507A">
        <w:rPr>
          <w:rStyle w:val="FootnoteReference"/>
          <w:rFonts w:cs="Arabic11 BT"/>
          <w:b/>
          <w:sz w:val="28"/>
          <w:rtl/>
        </w:rPr>
        <w:footnoteReference w:id="23"/>
      </w:r>
      <w:r w:rsidR="003D1558" w:rsidRPr="0021507A">
        <w:rPr>
          <w:rStyle w:val="FootnoteReference"/>
          <w:rFonts w:cs="Arabic11 BT"/>
          <w:b/>
          <w:sz w:val="28"/>
          <w:rtl/>
        </w:rPr>
        <w:t>)</w:t>
      </w:r>
      <w:r w:rsidRPr="003F3B94">
        <w:rPr>
          <w:rFonts w:ascii="Abo-thar" w:hAnsi="Abo-thar" w:hint="cs"/>
          <w:sz w:val="28"/>
          <w:rtl/>
        </w:rPr>
        <w:t>.</w:t>
      </w:r>
    </w:p>
    <w:p w:rsidR="00713EB9" w:rsidRPr="005A568E" w:rsidRDefault="00713EB9" w:rsidP="005A568E">
      <w:pPr>
        <w:pStyle w:val="a0"/>
        <w:rPr>
          <w:rFonts w:cs="B Lotus"/>
          <w:rtl/>
        </w:rPr>
      </w:pPr>
      <w:r w:rsidRPr="003F3B94">
        <w:rPr>
          <w:rFonts w:ascii="Abo-thar" w:hAnsi="Abo-thar"/>
          <w:sz w:val="28"/>
          <w:rtl/>
        </w:rPr>
        <w:t>فأقول: أولاً: هذا الحديث مشكوك في صحته، أولاً</w:t>
      </w:r>
      <w:r w:rsidRPr="003F3B94">
        <w:rPr>
          <w:rFonts w:ascii="Abo-thar" w:hAnsi="Abo-thar" w:hint="cs"/>
          <w:sz w:val="28"/>
          <w:rtl/>
        </w:rPr>
        <w:t xml:space="preserve"> </w:t>
      </w:r>
      <w:r w:rsidRPr="003F3B94">
        <w:rPr>
          <w:rFonts w:ascii="Abo-thar" w:hAnsi="Abo-thar"/>
          <w:sz w:val="28"/>
          <w:rtl/>
        </w:rPr>
        <w:t xml:space="preserve">لأنه يخالف آيات الكتاب المجيد، وثانياً: </w:t>
      </w:r>
      <w:r w:rsidRPr="003F3B94">
        <w:rPr>
          <w:rFonts w:ascii="Abo-thar" w:hAnsi="Abo-thar" w:hint="cs"/>
          <w:sz w:val="28"/>
          <w:rtl/>
        </w:rPr>
        <w:t xml:space="preserve">لأننا </w:t>
      </w:r>
      <w:r w:rsidRPr="003F3B94">
        <w:rPr>
          <w:rFonts w:ascii="Abo-thar" w:hAnsi="Abo-thar"/>
          <w:sz w:val="28"/>
          <w:rtl/>
        </w:rPr>
        <w:t>نجد في كثير من نصوص العَهْدَيْن القديم والجديد آيات تبين أن غنائم الحرب كانت حلالاً للأنبياء السابقين صلوات الله عليهم، وفيما يلي بعض الأمثلة على ذل</w:t>
      </w:r>
      <w:r w:rsidRPr="005A568E">
        <w:rPr>
          <w:rFonts w:ascii="mylotus" w:hAnsi="mylotus"/>
          <w:sz w:val="28"/>
          <w:rtl/>
        </w:rPr>
        <w:t>ك</w:t>
      </w:r>
      <w:r w:rsidR="005A568E" w:rsidRPr="005A568E">
        <w:rPr>
          <w:rFonts w:ascii="mylotus" w:hAnsi="mylotus"/>
          <w:rtl/>
        </w:rPr>
        <w:t>:</w:t>
      </w:r>
    </w:p>
    <w:p w:rsidR="00713EB9" w:rsidRPr="003F3B94" w:rsidRDefault="00713EB9" w:rsidP="00445175">
      <w:pPr>
        <w:pStyle w:val="a0"/>
        <w:ind w:left="624" w:hanging="340"/>
        <w:rPr>
          <w:rtl/>
        </w:rPr>
      </w:pPr>
      <w:r w:rsidRPr="003F3B94">
        <w:rPr>
          <w:rFonts w:ascii="Abo-thar" w:hAnsi="Abo-thar" w:hint="cs"/>
          <w:sz w:val="28"/>
          <w:rtl/>
        </w:rPr>
        <w:t xml:space="preserve">1- </w:t>
      </w:r>
      <w:r w:rsidRPr="003F3B94">
        <w:rPr>
          <w:rFonts w:ascii="Abo-thar" w:hAnsi="Abo-thar"/>
          <w:sz w:val="28"/>
          <w:rtl/>
        </w:rPr>
        <w:t xml:space="preserve">في سفر التثنية من التوراة، الإصحاح 20/ الآية 10 فما بعد: </w:t>
      </w:r>
      <w:r w:rsidRPr="005A568E">
        <w:rPr>
          <w:rFonts w:ascii="Abo-thar" w:hAnsi="Abo-thar" w:cs="KFGQPC Uthman Taha Naskh"/>
          <w:sz w:val="28"/>
          <w:rtl/>
        </w:rPr>
        <w:t>«10 وَحِينَ تَتَقَدَّمُونَ لِمُحَارَبَةِ مَدِينَةٍ فَادْعُوهَا لِلصُّلْحِ أَوَّلاً. 11 فَإِنْ أَجَابَتْكُمْ إِلَى الصُّلْحِ وَاسْتَسْلَمَتْ لَكُمْ، فَكُلُّ الشَّعْبِ السَّاكِنِ فِيهَا يُصْبِحُ عَبِيداً لَكُمْ. 12 وَإِنْ أَبَتِ الصُّلْحَ وَحَارَبَتْكُمْ فَحَاصِرُوهَا 13 فَإِذَا أَسْقَطَهَا الرَّبُّ إِلَهُكُمْ فِي أَيْدِيكُمْ، فَاقْتُلُوا جَمِيعَ ذُكُورِهَا بِحَدِّ السَّيْفِ. 14 وَأَمَّا النِّسَاءُ وَالأَطْفَالُ وَالْبَهَائِمُ، وَكُلُّ مَا فِي المَدِينَةِ مِنْ أَسْلاَبٍ، فَاغْنَمُوهَا لأَنْفُسِكُمْ، وَتَمَتَّعُوا بِغَنَائِمِ أَعْدَائِكُمُ الَّتِي وَهَبَهَا الرَّبُّ إِلَهُكُمْ لَكُمْ. 15 هَكَذَا تَفْعَلُونَ بِكُلِّ المُدُنِ النَّائِيَةِ عَنْكُمُ الَّتِي لَيْسَتْ مِنْ مُدُنِ الأُمَمِ الْقَاطِنَةِ هُنَا</w:t>
      </w:r>
      <w:r w:rsidR="00FB6445" w:rsidRPr="005A568E">
        <w:rPr>
          <w:rFonts w:ascii="Abo-thar" w:hAnsi="Abo-thar" w:cs="KFGQPC Uthman Taha Naskh" w:hint="cs"/>
          <w:sz w:val="28"/>
          <w:rtl/>
        </w:rPr>
        <w:t>»</w:t>
      </w:r>
      <w:r w:rsidRPr="003F3B94">
        <w:rPr>
          <w:rFonts w:ascii="Abo-thar" w:hAnsi="Abo-thar" w:hint="cs"/>
          <w:sz w:val="28"/>
          <w:rtl/>
        </w:rPr>
        <w:t>.</w:t>
      </w:r>
    </w:p>
    <w:p w:rsidR="00713EB9" w:rsidRPr="003F3B94" w:rsidRDefault="00713EB9" w:rsidP="00445175">
      <w:pPr>
        <w:pStyle w:val="a0"/>
        <w:ind w:left="624" w:hanging="340"/>
        <w:rPr>
          <w:rtl/>
        </w:rPr>
      </w:pPr>
      <w:r w:rsidRPr="003F3B94">
        <w:rPr>
          <w:rFonts w:ascii="Abo-thar" w:hAnsi="Abo-thar" w:hint="cs"/>
          <w:sz w:val="28"/>
          <w:rtl/>
        </w:rPr>
        <w:t xml:space="preserve">2- </w:t>
      </w:r>
      <w:r w:rsidRPr="003F3B94">
        <w:rPr>
          <w:rFonts w:ascii="Abo-thar" w:hAnsi="Abo-thar"/>
          <w:sz w:val="28"/>
          <w:rtl/>
        </w:rPr>
        <w:t xml:space="preserve">وفي سفر التكوين، الإصحاح 14/ بعد بيان محاربة إبراهيم مَلِكِ عِيلاَمَ لإنقاذ ابن أخيه لوط من الأسر قال في الآية 20: </w:t>
      </w:r>
      <w:r w:rsidRPr="005A568E">
        <w:rPr>
          <w:rFonts w:ascii="Abo-thar" w:hAnsi="Abo-thar" w:cs="KFGQPC Uthman Taha Naskh"/>
          <w:sz w:val="28"/>
          <w:rtl/>
        </w:rPr>
        <w:t>«وَتَبَارَكَ اللهُ الْعَلِيُّ الَّذِي دَفَعَ أَعْدَاءَكَ إِلَى يَدَيْكَ. فَأَعْطَاهُ أَبْرَامُ عُشْ</w:t>
      </w:r>
      <w:r w:rsidRPr="005A568E">
        <w:rPr>
          <w:rFonts w:ascii="Abo-thar" w:hAnsi="Abo-thar" w:cs="KFGQPC Uthman Taha Naskh" w:hint="cs"/>
          <w:sz w:val="28"/>
          <w:rtl/>
        </w:rPr>
        <w:t>ـ</w:t>
      </w:r>
      <w:r w:rsidRPr="005A568E">
        <w:rPr>
          <w:rFonts w:ascii="Abo-thar" w:hAnsi="Abo-thar" w:cs="KFGQPC Uthman Taha Naskh"/>
          <w:sz w:val="28"/>
          <w:rtl/>
        </w:rPr>
        <w:t>رَ الْغَنَائِمِ كُلِّهَا</w:t>
      </w:r>
      <w:r w:rsidRPr="005A568E">
        <w:rPr>
          <w:rFonts w:ascii="Abo-thar" w:hAnsi="Abo-thar" w:cs="KFGQPC Uthman Taha Naskh" w:hint="cs"/>
          <w:sz w:val="28"/>
          <w:rtl/>
        </w:rPr>
        <w:t>»</w:t>
      </w:r>
      <w:r w:rsidRPr="003F3B94">
        <w:rPr>
          <w:rFonts w:ascii="Abo-thar" w:hAnsi="Abo-thar" w:hint="cs"/>
          <w:sz w:val="28"/>
          <w:rtl/>
        </w:rPr>
        <w:t>.</w:t>
      </w:r>
    </w:p>
    <w:p w:rsidR="00713EB9" w:rsidRPr="003F3B94" w:rsidRDefault="00713EB9" w:rsidP="00445175">
      <w:pPr>
        <w:pStyle w:val="a0"/>
        <w:ind w:left="624" w:hanging="340"/>
        <w:rPr>
          <w:rtl/>
        </w:rPr>
      </w:pPr>
      <w:r w:rsidRPr="003F3B94">
        <w:rPr>
          <w:rFonts w:ascii="Abo-thar" w:hAnsi="Abo-thar" w:hint="cs"/>
          <w:sz w:val="28"/>
          <w:rtl/>
        </w:rPr>
        <w:t xml:space="preserve">3- </w:t>
      </w:r>
      <w:r w:rsidRPr="003F3B94">
        <w:rPr>
          <w:rFonts w:ascii="Abo-thar" w:hAnsi="Abo-thar"/>
          <w:sz w:val="28"/>
          <w:rtl/>
        </w:rPr>
        <w:t xml:space="preserve">وفي هذا المعنى جاء في كتاب «العهد الجديد» ضمن رسالة بولس إلى العبرانيين، الإصحاح 7/الآية 4: </w:t>
      </w:r>
      <w:r w:rsidRPr="005A568E">
        <w:rPr>
          <w:rFonts w:ascii="Abo-thar" w:hAnsi="Abo-thar" w:cs="KFGQPC Uthman Taha Naskh"/>
          <w:sz w:val="28"/>
          <w:rtl/>
        </w:rPr>
        <w:t>«4 لِنَتَأَمَّلِ الآنَ كَمْ كَانَ هَذَا الشَّخْصُ عَظِيماً. فَحَتَّى إِبْرَاهِيمُ، جَدُّنَا الأَكْبَرُ، أَدَّى لَهُ عُش</w:t>
      </w:r>
      <w:r w:rsidRPr="005A568E">
        <w:rPr>
          <w:rFonts w:ascii="Abo-thar" w:hAnsi="Abo-thar" w:cs="KFGQPC Uthman Taha Naskh" w:hint="cs"/>
          <w:sz w:val="28"/>
          <w:rtl/>
        </w:rPr>
        <w:t>ـ</w:t>
      </w:r>
      <w:r w:rsidRPr="005A568E">
        <w:rPr>
          <w:rFonts w:ascii="Abo-thar" w:hAnsi="Abo-thar" w:cs="KFGQPC Uthman Taha Naskh"/>
          <w:sz w:val="28"/>
          <w:rtl/>
        </w:rPr>
        <w:t>ْراً مِنْ غَنَائِمِه</w:t>
      </w:r>
      <w:r w:rsidR="00FB6445" w:rsidRPr="005A568E">
        <w:rPr>
          <w:rFonts w:ascii="Abo-thar" w:hAnsi="Abo-thar" w:cs="KFGQPC Uthman Taha Naskh" w:hint="cs"/>
          <w:sz w:val="28"/>
          <w:rtl/>
        </w:rPr>
        <w:t>»</w:t>
      </w:r>
      <w:r w:rsidRPr="003F3B94">
        <w:rPr>
          <w:rFonts w:ascii="Abo-thar" w:hAnsi="Abo-thar" w:hint="cs"/>
          <w:sz w:val="28"/>
          <w:rtl/>
        </w:rPr>
        <w:t>.</w:t>
      </w:r>
      <w:r w:rsidRPr="003F3B94">
        <w:rPr>
          <w:rFonts w:ascii="Abo-thar" w:hAnsi="Abo-thar"/>
          <w:sz w:val="28"/>
          <w:lang w:bidi="ar-SY"/>
        </w:rPr>
        <w:t></w:t>
      </w:r>
    </w:p>
    <w:p w:rsidR="00713EB9" w:rsidRPr="003F3B94" w:rsidRDefault="00713EB9" w:rsidP="00755AAC">
      <w:pPr>
        <w:pStyle w:val="a0"/>
        <w:ind w:left="624" w:hanging="340"/>
        <w:rPr>
          <w:rtl/>
        </w:rPr>
      </w:pPr>
      <w:r w:rsidRPr="003F3B94">
        <w:rPr>
          <w:rFonts w:ascii="Abo-thar" w:hAnsi="Abo-thar" w:hint="cs"/>
          <w:sz w:val="28"/>
          <w:rtl/>
        </w:rPr>
        <w:t>4- و</w:t>
      </w:r>
      <w:r w:rsidRPr="003F3B94">
        <w:rPr>
          <w:rFonts w:ascii="Abo-thar" w:hAnsi="Abo-thar"/>
          <w:sz w:val="28"/>
          <w:rtl/>
        </w:rPr>
        <w:t xml:space="preserve">في سفر العدد من التوراة، في الإصحاح 31، ذِكْرٌ لمحاربة موسى للمديانيين وبيانٌ لما غنمه موسى وجنوده منهم فجاء في الآية 9 فما بعد: </w:t>
      </w:r>
      <w:r w:rsidRPr="005A568E">
        <w:rPr>
          <w:rFonts w:ascii="Abo-thar" w:hAnsi="Abo-thar" w:cs="KFGQPC Uthman Taha Naskh"/>
          <w:sz w:val="28"/>
          <w:rtl/>
        </w:rPr>
        <w:t>«9 وَأَسَرَ بَنُو إِسْرَائِيلَ نِسَاءَ الْمِدْيَانِيِّينَ وَأَطْفَالَهُمْ، وَغَنِمُوا جَمِيعَ بَهَائِمِهِمْ وَمَوَاشِيهِمْ وَسَائِرَ أَمْلاَكِهِمْ، 10 وَأَحْرَقُوا مُدُنَهُمْ كُلَّهَا بِمَسَاكِنِهَا وَحُصُونِهَا، 11 وَاسْتَوْلَوْا عَلَى كُلِّ الْغَنَائِمِ وَالأَسْلاَبِ مِنَ النَّاسِ وَالْحَيَوَانِ..»</w:t>
      </w:r>
      <w:r w:rsidRPr="003F3B94">
        <w:rPr>
          <w:rFonts w:ascii="Abo-thar" w:hAnsi="Abo-thar"/>
          <w:sz w:val="28"/>
          <w:rtl/>
        </w:rPr>
        <w:t xml:space="preserve">. إلى قوله: </w:t>
      </w:r>
      <w:r w:rsidRPr="005A568E">
        <w:rPr>
          <w:rFonts w:ascii="Abo-thar" w:hAnsi="Abo-thar" w:cs="KFGQPC Uthman Taha Naskh"/>
          <w:sz w:val="28"/>
          <w:rtl/>
        </w:rPr>
        <w:t>«17فَالآنَ اقْتُلُوا كُلَّ ذَكَرٍ مِنَ الأَطْفَالِ، وَاقْتُلُوا أَيْضاً كُلَّ امْرَأَةٍ ضَاجَعَتْ رَجُلاً، 18</w:t>
      </w:r>
      <w:r w:rsidR="00FB6445" w:rsidRPr="005A568E">
        <w:rPr>
          <w:rFonts w:ascii="Abo-thar" w:hAnsi="Abo-thar" w:cs="KFGQPC Uthman Taha Naskh" w:hint="cs"/>
          <w:sz w:val="28"/>
          <w:rtl/>
        </w:rPr>
        <w:t xml:space="preserve"> </w:t>
      </w:r>
      <w:r w:rsidRPr="005A568E">
        <w:rPr>
          <w:rFonts w:ascii="Abo-thar" w:hAnsi="Abo-thar" w:cs="KFGQPC Uthman Taha Naskh"/>
          <w:sz w:val="28"/>
          <w:rtl/>
        </w:rPr>
        <w:t>وَلَكِنِ اسْتَحْيَوْا لَكُمْ كُلَّ ع</w:t>
      </w:r>
      <w:r w:rsidR="00FB6445" w:rsidRPr="005A568E">
        <w:rPr>
          <w:rFonts w:ascii="Abo-thar" w:hAnsi="Abo-thar" w:cs="KFGQPC Uthman Taha Naskh"/>
          <w:sz w:val="28"/>
          <w:rtl/>
        </w:rPr>
        <w:t>َذْرَاءَ لَمْ تُضَاجِعْ رَجُلاً</w:t>
      </w:r>
      <w:r w:rsidRPr="005A568E">
        <w:rPr>
          <w:rFonts w:ascii="Abo-thar" w:hAnsi="Abo-thar" w:cs="KFGQPC Uthman Taha Naskh"/>
          <w:sz w:val="28"/>
          <w:rtl/>
        </w:rPr>
        <w:t>»</w:t>
      </w:r>
      <w:r w:rsidR="00FB6445" w:rsidRPr="003F3B94">
        <w:rPr>
          <w:rFonts w:ascii="Abo-thar" w:hAnsi="Abo-thar" w:hint="cs"/>
          <w:sz w:val="28"/>
          <w:rtl/>
        </w:rPr>
        <w:t>.</w:t>
      </w:r>
      <w:r w:rsidRPr="003F3B94">
        <w:rPr>
          <w:rFonts w:ascii="Abo-thar" w:hAnsi="Abo-thar"/>
          <w:sz w:val="28"/>
          <w:rtl/>
        </w:rPr>
        <w:t xml:space="preserve"> إلى أن يصل إلى فقرة توزيع الغنائم فيقول في الآيات 25 فما بعد: </w:t>
      </w:r>
      <w:r w:rsidRPr="005A568E">
        <w:rPr>
          <w:rFonts w:ascii="Abo-thar" w:hAnsi="Abo-thar" w:cs="KFGQPC Uthman Taha Naskh"/>
          <w:sz w:val="28"/>
          <w:rtl/>
        </w:rPr>
        <w:t>«توزيع الغنائم: 25</w:t>
      </w:r>
      <w:r w:rsidR="00FB6445" w:rsidRPr="005A568E">
        <w:rPr>
          <w:rFonts w:ascii="Abo-thar" w:hAnsi="Abo-thar" w:cs="KFGQPC Uthman Taha Naskh" w:hint="cs"/>
          <w:sz w:val="28"/>
          <w:rtl/>
        </w:rPr>
        <w:t xml:space="preserve"> </w:t>
      </w:r>
      <w:r w:rsidRPr="005A568E">
        <w:rPr>
          <w:rFonts w:ascii="Abo-thar" w:hAnsi="Abo-thar" w:cs="KFGQPC Uthman Taha Naskh"/>
          <w:sz w:val="28"/>
          <w:rtl/>
        </w:rPr>
        <w:t>وَقَالَ الرَّبُّ لِمُوسَى: 26</w:t>
      </w:r>
      <w:r w:rsidR="00FB6445" w:rsidRPr="005A568E">
        <w:rPr>
          <w:rFonts w:ascii="Abo-thar" w:hAnsi="Abo-thar" w:cs="KFGQPC Uthman Taha Naskh" w:hint="cs"/>
          <w:sz w:val="28"/>
          <w:rtl/>
        </w:rPr>
        <w:t xml:space="preserve"> </w:t>
      </w:r>
      <w:r w:rsidRPr="005A568E">
        <w:rPr>
          <w:rFonts w:ascii="Abo-thar" w:hAnsi="Abo-thar" w:cs="KFGQPC Uthman Taha Naskh"/>
          <w:sz w:val="28"/>
          <w:rtl/>
        </w:rPr>
        <w:t>«أَحْصِ أَنْتَ وَأَلِعَازَارُ الْكَاهِنُ وَرُؤَسَاءُ الْعَشَائِرِ الْغَنَائِمَ وَالسَّبْيَ مِنَ النَّاسِ وَالْحَيَوَانِ، 27</w:t>
      </w:r>
      <w:r w:rsidR="00FB6445" w:rsidRPr="005A568E">
        <w:rPr>
          <w:rFonts w:ascii="Abo-thar" w:hAnsi="Abo-thar" w:cs="KFGQPC Uthman Taha Naskh" w:hint="cs"/>
          <w:sz w:val="28"/>
          <w:rtl/>
        </w:rPr>
        <w:t xml:space="preserve"> </w:t>
      </w:r>
      <w:r w:rsidRPr="005A568E">
        <w:rPr>
          <w:rFonts w:ascii="Abo-thar" w:hAnsi="Abo-thar" w:cs="KFGQPC Uthman Taha Naskh"/>
          <w:sz w:val="28"/>
          <w:rtl/>
        </w:rPr>
        <w:t>وَقَسِّمِ الْغَنَائِمَ مُنَاصَفَةً بَيْنَ الْجُنْدِ الْمُشْتَرِكِينَ فِي الْحَرْبِ وَبَيْنَ كُلِّ الْجَمَاعَةِ</w:t>
      </w:r>
      <w:r w:rsidR="00FB6445" w:rsidRPr="005A568E">
        <w:rPr>
          <w:rFonts w:ascii="Abo-thar" w:hAnsi="Abo-thar" w:cs="KFGQPC Uthman Taha Naskh"/>
          <w:sz w:val="28"/>
          <w:rtl/>
        </w:rPr>
        <w:t>»</w:t>
      </w:r>
      <w:r w:rsidR="00FB6445" w:rsidRPr="003F3B94">
        <w:rPr>
          <w:rFonts w:ascii="Abo-thar" w:hAnsi="Abo-thar" w:hint="cs"/>
          <w:sz w:val="28"/>
          <w:rtl/>
        </w:rPr>
        <w:t>.</w:t>
      </w:r>
      <w:r w:rsidRPr="003F3B94">
        <w:rPr>
          <w:rFonts w:ascii="Abo-thar" w:hAnsi="Abo-thar"/>
          <w:sz w:val="28"/>
          <w:rtl/>
        </w:rPr>
        <w:t xml:space="preserve"> ثم بين الزكاة الواجب أداؤها من الغنائم فقال: </w:t>
      </w:r>
      <w:r w:rsidRPr="005A568E">
        <w:rPr>
          <w:rFonts w:ascii="Abo-thar" w:hAnsi="Abo-thar" w:cs="KFGQPC Uthman Taha Naskh"/>
          <w:sz w:val="28"/>
          <w:rtl/>
        </w:rPr>
        <w:t>«28وَخُذْ نَصِيباً لِلرَّبِّ مِنْ غَنَائِمِ أَهْلِ الْحَرْبِ، وَاحِداً مِنْ كُلِّ</w:t>
      </w:r>
      <w:r w:rsidR="00755AAC">
        <w:rPr>
          <w:rFonts w:ascii="Abo-thar" w:hAnsi="Abo-thar" w:cs="KFGQPC Uthman Taha Naskh"/>
          <w:sz w:val="28"/>
          <w:rtl/>
        </w:rPr>
        <w:t xml:space="preserve"> خَمْسِم</w:t>
      </w:r>
      <w:r w:rsidR="00755AAC">
        <w:rPr>
          <w:rFonts w:ascii="Abo-thar" w:hAnsi="Abo-thar" w:cs="KFGQPC Uthman Taha Naskh" w:hint="cs"/>
          <w:sz w:val="28"/>
          <w:rtl/>
        </w:rPr>
        <w:t>ِا</w:t>
      </w:r>
      <w:r w:rsidRPr="005A568E">
        <w:rPr>
          <w:rFonts w:ascii="Abo-thar" w:hAnsi="Abo-thar" w:cs="KFGQPC Uthman Taha Naskh"/>
          <w:sz w:val="28"/>
          <w:rtl/>
        </w:rPr>
        <w:t>ئَةٍ مِنَ النَّاسِ وَالْبَقَرِ وَالْحَمِيرِ وَالْغَنَمِ. 29 مِنْ نِصْفِ أَهْلِ الْحَرْبِ تَأْخُذُهَا وَتُعْطِيهَا لأَلِعَازَارَ الْكَاهِنِ تَقْدِمَةً لِلرَّبِّ. 30وَتَأْخُذُ مِنْ نِصْفِ بَنِي إِسْرَائِيلَ وَاحِداً مِنْ كُلِّ خَمْسِينَ مِنَ النَّاسِ وَالْبَقَرِ وَالْحَمِيرِ وَالْغَنَمِ وَسَائِرِ الْبَهَائِمِ، وَتُعْطِيهَا لِلاَّوِيِّينَ الْقَائِمِينَ عَلَى خِدْمَةِ خَيْمَةِ الاجْتِمَاعِ»</w:t>
      </w:r>
      <w:r w:rsidRPr="003F3B94">
        <w:rPr>
          <w:rFonts w:ascii="Abo-thar" w:hAnsi="Abo-thar"/>
          <w:sz w:val="28"/>
          <w:rtl/>
        </w:rPr>
        <w:t xml:space="preserve">. ثم قال: </w:t>
      </w:r>
      <w:r w:rsidRPr="005A568E">
        <w:rPr>
          <w:rFonts w:ascii="Abo-thar" w:hAnsi="Abo-thar" w:cs="KFGQPC Uthman Taha Naskh"/>
          <w:sz w:val="28"/>
          <w:rtl/>
        </w:rPr>
        <w:t>«31فَنَفَّذَ مُوسَى وَأَلِعَازَارُ الْكَاهِنُ كَمَا أَمَرَ الرَّبُّ مُوسَى. 32وَكَانَ النَّهْبُ الْمُتَبَقِّي مِنْ غَنَائِمِ رِجَالِ الْحَرْبِ مِنَ الْغَنَمِ سِتَّمِ</w:t>
      </w:r>
      <w:r w:rsidR="00755AAC">
        <w:rPr>
          <w:rFonts w:ascii="Abo-thar" w:hAnsi="Abo-thar" w:cs="KFGQPC Uthman Taha Naskh" w:hint="cs"/>
          <w:sz w:val="28"/>
          <w:rtl/>
        </w:rPr>
        <w:t>ا</w:t>
      </w:r>
      <w:r w:rsidRPr="005A568E">
        <w:rPr>
          <w:rFonts w:ascii="Abo-thar" w:hAnsi="Abo-thar" w:cs="KFGQPC Uthman Taha Naskh"/>
          <w:sz w:val="28"/>
          <w:rtl/>
        </w:rPr>
        <w:t>ئَةٍ وَخَمْسَةً وَسَبْعِينَ أَلْفاً...»</w:t>
      </w:r>
      <w:r w:rsidRPr="003F3B94">
        <w:rPr>
          <w:rFonts w:ascii="Abo-thar" w:hAnsi="Abo-thar"/>
          <w:sz w:val="28"/>
          <w:rtl/>
        </w:rPr>
        <w:t xml:space="preserve"> ويأخذ في بيان الغنائم بالتفصيل</w:t>
      </w:r>
      <w:r w:rsidRPr="003F3B94">
        <w:rPr>
          <w:rFonts w:ascii="Abo-thar" w:hAnsi="Abo-thar" w:hint="cs"/>
          <w:sz w:val="28"/>
          <w:rtl/>
        </w:rPr>
        <w:t>.</w:t>
      </w:r>
    </w:p>
    <w:p w:rsidR="00713EB9" w:rsidRPr="003F3B94" w:rsidRDefault="00713EB9" w:rsidP="00445175">
      <w:pPr>
        <w:pStyle w:val="a0"/>
        <w:ind w:left="624" w:hanging="340"/>
        <w:rPr>
          <w:rtl/>
        </w:rPr>
      </w:pPr>
      <w:r w:rsidRPr="003F3B94">
        <w:rPr>
          <w:rFonts w:ascii="Abo-thar" w:hAnsi="Abo-thar" w:hint="cs"/>
          <w:sz w:val="28"/>
          <w:rtl/>
        </w:rPr>
        <w:t>5-</w:t>
      </w:r>
      <w:r w:rsidRPr="003F3B94">
        <w:rPr>
          <w:rFonts w:ascii="Abo-thar" w:hAnsi="Abo-thar"/>
          <w:sz w:val="28"/>
          <w:lang w:bidi="ar-SY"/>
        </w:rPr>
        <w:t></w:t>
      </w:r>
      <w:r w:rsidRPr="003F3B94">
        <w:rPr>
          <w:rFonts w:ascii="Abo-thar" w:hAnsi="Abo-thar"/>
          <w:sz w:val="28"/>
          <w:rtl/>
        </w:rPr>
        <w:t xml:space="preserve">وفي سفر صموئيل الأول بيان لمحاربة داود للعمالقة وفيه (في الإصحاح 17) إشارة لأخذ داود الغنائم ونصه: </w:t>
      </w:r>
      <w:r w:rsidRPr="005A568E">
        <w:rPr>
          <w:rFonts w:ascii="Abo-thar" w:hAnsi="Abo-thar" w:cs="KFGQPC Uthman Taha Naskh"/>
          <w:sz w:val="28"/>
          <w:rtl/>
        </w:rPr>
        <w:t>«53وَعِنْدَمَا رَجَعَ الإِسْرَائِيلِيُّونَ مِنْ مُطَارَدَةِ الْفِلِسْطِينِيِّينَ هَجَمُوا عَلَى مُعَسْكَرِهِمْ وَنَهَبُوهُ. 54وَحَمَلَ دَاوُدُ رَأْسَ جُلْيَاتَ إِلَى أُورُشَلِيمَ، وَلَكِنَّهُ احْتَفَظَ بِعُدَّةِ حَرْبِهِ فِي خَيْمَتِهِ</w:t>
      </w:r>
      <w:r w:rsidR="00FB6445" w:rsidRPr="005A568E">
        <w:rPr>
          <w:rFonts w:ascii="Abo-thar" w:hAnsi="Abo-thar" w:cs="KFGQPC Uthman Taha Naskh" w:hint="cs"/>
          <w:sz w:val="28"/>
          <w:rtl/>
        </w:rPr>
        <w:t>»</w:t>
      </w:r>
      <w:r w:rsidRPr="003F3B94">
        <w:rPr>
          <w:rFonts w:ascii="Abo-thar" w:hAnsi="Abo-thar" w:hint="cs"/>
          <w:sz w:val="28"/>
          <w:rtl/>
        </w:rPr>
        <w:t>.</w:t>
      </w:r>
    </w:p>
    <w:p w:rsidR="00713EB9" w:rsidRPr="003F3B94" w:rsidRDefault="00713EB9" w:rsidP="00445175">
      <w:pPr>
        <w:pStyle w:val="a0"/>
        <w:ind w:left="624" w:hanging="340"/>
        <w:rPr>
          <w:rtl/>
        </w:rPr>
      </w:pPr>
      <w:r w:rsidRPr="003F3B94">
        <w:rPr>
          <w:rFonts w:ascii="Abo-thar" w:hAnsi="Abo-thar" w:hint="cs"/>
          <w:sz w:val="28"/>
          <w:rtl/>
        </w:rPr>
        <w:t>6- و</w:t>
      </w:r>
      <w:r w:rsidRPr="003F3B94">
        <w:rPr>
          <w:rFonts w:ascii="Abo-thar" w:hAnsi="Abo-thar"/>
          <w:sz w:val="28"/>
          <w:rtl/>
        </w:rPr>
        <w:t xml:space="preserve">في سفر صموئيل الثاني، في الإصحاح 8 إشارة (في الآية 12) إلى </w:t>
      </w:r>
      <w:r w:rsidRPr="00CE7623">
        <w:rPr>
          <w:rFonts w:ascii="Abo-thar" w:hAnsi="Abo-thar" w:cs="KFGQPC Uthman Taha Naskh"/>
          <w:sz w:val="28"/>
          <w:rtl/>
        </w:rPr>
        <w:t>«مَا غَنِمَهُ [داود] مِنْ أَسْلاَبِ هَدَدَ عَزَرَ مَلِكِ صُوبَة</w:t>
      </w:r>
      <w:r w:rsidR="00FB6445" w:rsidRPr="00CE7623">
        <w:rPr>
          <w:rFonts w:ascii="Abo-thar" w:hAnsi="Abo-thar" w:cs="KFGQPC Uthman Taha Naskh" w:hint="cs"/>
          <w:sz w:val="28"/>
          <w:rtl/>
        </w:rPr>
        <w:t>»</w:t>
      </w:r>
      <w:r w:rsidRPr="003F3B94">
        <w:rPr>
          <w:rFonts w:ascii="Abo-thar" w:hAnsi="Abo-thar" w:hint="cs"/>
          <w:sz w:val="28"/>
          <w:rtl/>
        </w:rPr>
        <w:t>.</w:t>
      </w:r>
    </w:p>
    <w:p w:rsidR="00713EB9" w:rsidRPr="003F3B94" w:rsidRDefault="00713EB9" w:rsidP="00445175">
      <w:pPr>
        <w:pStyle w:val="a0"/>
        <w:ind w:left="624" w:hanging="340"/>
        <w:rPr>
          <w:rtl/>
        </w:rPr>
      </w:pPr>
      <w:r w:rsidRPr="003F3B94">
        <w:rPr>
          <w:rFonts w:ascii="Abo-thar" w:hAnsi="Abo-thar" w:hint="cs"/>
          <w:sz w:val="28"/>
          <w:rtl/>
        </w:rPr>
        <w:t xml:space="preserve">7- </w:t>
      </w:r>
      <w:r w:rsidRPr="003F3B94">
        <w:rPr>
          <w:rFonts w:ascii="Abo-thar" w:hAnsi="Abo-thar"/>
          <w:sz w:val="28"/>
          <w:rtl/>
        </w:rPr>
        <w:t xml:space="preserve">وفي سفر «أَخْبَارِ الأَيَّامِ الأَوَّلُ» وهو من الأسفار الملحقة بالتوراة، جاء في الإصحاح 26، في الآيتين 26-27 إشارة إلى الغنائم والأوقاف التي أوقفت لبناء بيت الله ونصهما: </w:t>
      </w:r>
      <w:r w:rsidRPr="00CE7623">
        <w:rPr>
          <w:rFonts w:ascii="Abo-thar" w:hAnsi="Abo-thar" w:cs="KFGQPC Uthman Taha Naskh"/>
          <w:sz w:val="28"/>
          <w:rtl/>
        </w:rPr>
        <w:t>«26وَأَصْبَحَ شَلُومِيثُ هَذَا وَأَقْرِبَاؤُهُ مَسْئُولِينَ عَنْ جَمِيعِ خَزَائِنِ الأَقْدَاسِ الَّتِي خَصَّصَهَا الْمَلِكُ دَاوُدُ وَزُعَمَاءُ الْعَائِلاَتِ وَقَادَةُ الأُلُوفِ وَالْمِئَاتِ، وَرُؤَسَاءُ الْجَيْشِ، 27مِمَّا غَنِمُوهُ مِنْ أَسْلاَبِ الْحَرْبِ، فَخَصَّصُوهَا لِنَفَقَاتِ هَيْكَلِ الرَّبِّ</w:t>
      </w:r>
      <w:r w:rsidR="00FB6445" w:rsidRPr="00CE7623">
        <w:rPr>
          <w:rFonts w:ascii="Abo-thar" w:hAnsi="Abo-thar" w:cs="KFGQPC Uthman Taha Naskh" w:hint="cs"/>
          <w:sz w:val="28"/>
          <w:rtl/>
        </w:rPr>
        <w:t>»</w:t>
      </w:r>
      <w:r w:rsidRPr="003F3B94">
        <w:rPr>
          <w:rFonts w:ascii="Abo-thar" w:hAnsi="Abo-thar" w:hint="cs"/>
          <w:sz w:val="28"/>
          <w:rtl/>
        </w:rPr>
        <w:t>.</w:t>
      </w:r>
    </w:p>
    <w:p w:rsidR="00713EB9" w:rsidRPr="003F3B94" w:rsidRDefault="00713EB9" w:rsidP="003F3B94">
      <w:pPr>
        <w:pStyle w:val="a0"/>
        <w:rPr>
          <w:rFonts w:hint="cs"/>
          <w:rtl/>
        </w:rPr>
      </w:pPr>
      <w:r w:rsidRPr="003F3B94">
        <w:rPr>
          <w:rFonts w:ascii="Abo-thar" w:hAnsi="Abo-thar"/>
          <w:sz w:val="28"/>
          <w:rtl/>
        </w:rPr>
        <w:t>أما موضوع إحراق الغنائم، فبمعزل عن أنه مخالف للعقل ولشريعة الله، فإننا لا نجد له ذكراً في أسفار التوراة والإنجيل، كل ما في الأمر أننا نجد في سفر العدد من الت</w:t>
      </w:r>
      <w:r w:rsidRPr="003F3B94">
        <w:rPr>
          <w:rFonts w:ascii="Abo-thar" w:hAnsi="Abo-thar" w:hint="cs"/>
          <w:sz w:val="28"/>
          <w:rtl/>
        </w:rPr>
        <w:t>ـ</w:t>
      </w:r>
      <w:r w:rsidRPr="003F3B94">
        <w:rPr>
          <w:rFonts w:ascii="Abo-thar" w:hAnsi="Abo-thar"/>
          <w:sz w:val="28"/>
          <w:rtl/>
        </w:rPr>
        <w:t>وراة</w:t>
      </w:r>
      <w:r w:rsidR="00AB28A0" w:rsidRPr="003F3B94">
        <w:rPr>
          <w:rFonts w:ascii="Abo-thar" w:hAnsi="Abo-thar"/>
          <w:sz w:val="28"/>
          <w:rtl/>
        </w:rPr>
        <w:t>:</w:t>
      </w:r>
      <w:r w:rsidRPr="003F3B94">
        <w:rPr>
          <w:rFonts w:ascii="Abo-thar" w:hAnsi="Abo-thar"/>
          <w:sz w:val="28"/>
          <w:rtl/>
        </w:rPr>
        <w:t xml:space="preserve"> </w:t>
      </w:r>
      <w:r w:rsidRPr="003F3B94">
        <w:rPr>
          <w:rFonts w:ascii="Abo-thar" w:hAnsi="Abo-thar" w:hint="cs"/>
          <w:sz w:val="28"/>
          <w:rtl/>
        </w:rPr>
        <w:t>(</w:t>
      </w:r>
      <w:r w:rsidRPr="003F3B94">
        <w:rPr>
          <w:rFonts w:ascii="Abo-thar" w:hAnsi="Abo-thar"/>
          <w:sz w:val="28"/>
          <w:rtl/>
        </w:rPr>
        <w:t xml:space="preserve">الإصحاح 31/الآيتان 22-23) </w:t>
      </w:r>
      <w:r w:rsidRPr="003F3B94">
        <w:rPr>
          <w:rFonts w:ascii="Abo-thar" w:hAnsi="Abo-thar" w:hint="cs"/>
          <w:sz w:val="28"/>
          <w:rtl/>
        </w:rPr>
        <w:t xml:space="preserve">- </w:t>
      </w:r>
      <w:r w:rsidRPr="003F3B94">
        <w:rPr>
          <w:rFonts w:ascii="Abo-thar" w:hAnsi="Abo-thar"/>
          <w:sz w:val="28"/>
          <w:rtl/>
        </w:rPr>
        <w:t xml:space="preserve">ما نصه: </w:t>
      </w:r>
      <w:r w:rsidRPr="00CE7623">
        <w:rPr>
          <w:rFonts w:ascii="Abo-thar" w:hAnsi="Abo-thar" w:cs="KFGQPC Uthman Taha Naskh"/>
          <w:sz w:val="28"/>
          <w:rtl/>
        </w:rPr>
        <w:t>«22الذَّهَبُ وَالْفِضَّةُ وَالنُّحَاسُ وَالْحَدِيدُ وَالْقَصْدِيرُ وَالرَّصَاصُ، 23وَكُلُّ مَا يَتَحَمَّلُ حَرَارَةَ النَّارِ، أَجِيزُوهُ فِيهَا فَيُصْبِحَ طَاهِراً. وَلَكِنْ عَلَيْكُمْ أَيْضاً أَنْ تُطَهِّرُوهُ بِمَاءِ التَّطْهِيرِ، وَمَا لاَ يَحْتَمِلُ النَّارَ طَهِّرُوهُ بِمَاءِ التَّطّهِيرِ فَقَطْ»</w:t>
      </w:r>
      <w:r w:rsidRPr="003F3B94">
        <w:rPr>
          <w:rFonts w:ascii="Abo-thar" w:hAnsi="Abo-thar"/>
          <w:sz w:val="28"/>
          <w:rtl/>
        </w:rPr>
        <w:t>. فهذا الأمر كان لأجل تطهير أشياء [من الغنائم] من التي تتحمل النار</w:t>
      </w:r>
      <w:r w:rsidRPr="003F3B94">
        <w:rPr>
          <w:rFonts w:ascii="Abo-thar" w:hAnsi="Abo-thar" w:hint="cs"/>
          <w:sz w:val="28"/>
          <w:rtl/>
        </w:rPr>
        <w:t>.</w:t>
      </w:r>
    </w:p>
    <w:p w:rsidR="00713EB9" w:rsidRPr="003F3B94" w:rsidRDefault="00713EB9" w:rsidP="003F3B94">
      <w:pPr>
        <w:pStyle w:val="a0"/>
        <w:rPr>
          <w:rFonts w:hint="cs"/>
          <w:rtl/>
        </w:rPr>
      </w:pPr>
      <w:r w:rsidRPr="003F3B94">
        <w:rPr>
          <w:rFonts w:ascii="Abo-thar" w:hAnsi="Abo-thar"/>
          <w:sz w:val="28"/>
          <w:rtl/>
        </w:rPr>
        <w:t>وأما عن موضوع تحريم الغنائم فلا نجد في الكتاب المقدس كل</w:t>
      </w:r>
      <w:r w:rsidRPr="003F3B94">
        <w:rPr>
          <w:rFonts w:ascii="Abo-thar" w:hAnsi="Abo-thar" w:hint="cs"/>
          <w:sz w:val="28"/>
          <w:rtl/>
        </w:rPr>
        <w:t>ّه</w:t>
      </w:r>
      <w:r w:rsidRPr="003F3B94">
        <w:rPr>
          <w:rFonts w:ascii="Abo-thar" w:hAnsi="Abo-thar"/>
          <w:sz w:val="28"/>
          <w:rtl/>
        </w:rPr>
        <w:t xml:space="preserve"> أي إشارة </w:t>
      </w:r>
      <w:r w:rsidRPr="003F3B94">
        <w:rPr>
          <w:rFonts w:ascii="Abo-thar" w:hAnsi="Abo-thar" w:hint="cs"/>
          <w:sz w:val="28"/>
          <w:rtl/>
        </w:rPr>
        <w:t xml:space="preserve">إلى </w:t>
      </w:r>
      <w:r w:rsidRPr="003F3B94">
        <w:rPr>
          <w:rFonts w:ascii="Abo-thar" w:hAnsi="Abo-thar"/>
          <w:sz w:val="28"/>
          <w:rtl/>
        </w:rPr>
        <w:t xml:space="preserve">ذلك، كل ما في الأمر أننا نجد في سفر صموئيل الأول ما نصه: </w:t>
      </w:r>
    </w:p>
    <w:p w:rsidR="00713EB9" w:rsidRPr="00CE7623" w:rsidRDefault="00713EB9" w:rsidP="003F3B94">
      <w:pPr>
        <w:pStyle w:val="a0"/>
        <w:rPr>
          <w:rFonts w:cs="KFGQPC Uthman Taha Naskh"/>
          <w:rtl/>
        </w:rPr>
      </w:pPr>
      <w:r w:rsidRPr="00CE7623">
        <w:rPr>
          <w:rFonts w:ascii="Abo-thar" w:hAnsi="Abo-thar" w:cs="KFGQPC Uthman Taha Naskh"/>
          <w:sz w:val="28"/>
          <w:rtl/>
        </w:rPr>
        <w:t>«توزيع الغنائم: 21وَعَادَ دَاوُدُ إِلَى الْمِئَتَيْ رَجُلٍ الَّذِينَ أَعْيَوْا عَنِ الْمَسِيرِ وَرَاءَهُ فَخَلَّفُوهُمْ عِنْدَ وَادِي الْبَسُورِ، فَخَرَجُوا لاِسْتِقْبَالِ دَاوُدَ وَمَنْ مَعَهُ مِنَ الشَّعْبِ، فَتَقَدَّمَ دَاوُدُ إِلَيْهِمْ لِيَطْمَئِنَّ عَلَى سَلاَمَتِهِمْ. 22غَيْرَ أَنَّ فِئَةً مِنَ المُشَاغِبِينَ مِنْ رِجَالِ دَاوُدَ مِمَّنِ اشْتَرَكُوا مَعَهُ فِي الْحَرْبِ اعْتَرَضُوا قَائِلِينَ: «لِيَأْخُذْ كُلُّ رَجُلٍ مِنْهُمُ امْرَأَتَهُ وَأَبْنَاءَهُ وَيَمْضِ، أَمَّا الْغَنِيمَةُ الَّتِي اسْتَرْدَدْنَاهَا، فَلاَ نُعْطِيهُمْ مِنْهَا لأَنَّهُمْ لَمْ يَذْهَبُوا مَعَنَا». 23فَقَالَ دَاوُدُ: «لاَ تَفْعَلُوا هَكَذَا يَا إِخْوَتِي، لأَنَّ الرَّبَّ قَدْ أَنْعَمَ عَلَيْنَا وَحَفِظَنَا وَنَصَرَنَا عَلَى الْغُزَاةِ الَّذِينَ أَغَارُوا عَلَيْنَا. 24وَمَنْ يُوَافِقُكُمْ عَلَى هَذَا الأَمْرِ؟ لأَنَّ نَصِيبَ المُقِيمِ عِنْدَ الأَمْتِعَةِ لِحِرَاسَتِهَا كَنَصِيبِ مَنْ خَاضَ الْحَرْبَ، إِذْ تُقْسَمُ الْغَنِيمَةُ بَيْنَهُمْ بِالسَّوِيَّةِ». 25وَمُنْذُ ذَلِكَ الْحِينِ جَعَلَ دَاوُدُ هَذِهِ الْفَرِيضَةَ سُنَّةً تَسْرِي عَلَى إِسْرَائِيلَ إِلَى هَذَا الْيَوْمِ</w:t>
      </w:r>
      <w:r w:rsidR="00FB6445" w:rsidRPr="00CE7623">
        <w:rPr>
          <w:rFonts w:ascii="Abo-thar" w:hAnsi="Abo-thar" w:cs="KFGQPC Uthman Taha Naskh" w:hint="cs"/>
          <w:sz w:val="28"/>
          <w:rtl/>
        </w:rPr>
        <w:t>»</w:t>
      </w:r>
      <w:r w:rsidRPr="00CE7623">
        <w:rPr>
          <w:rFonts w:ascii="Abo-thar" w:hAnsi="Abo-thar" w:cs="KFGQPC Uthman Taha Naskh" w:hint="cs"/>
          <w:sz w:val="28"/>
          <w:rtl/>
        </w:rPr>
        <w:t>.</w:t>
      </w:r>
    </w:p>
    <w:p w:rsidR="00445175" w:rsidRDefault="00445175" w:rsidP="003F3B94">
      <w:pPr>
        <w:pStyle w:val="a0"/>
        <w:rPr>
          <w:rFonts w:ascii="Abo-thar" w:hAnsi="Abo-thar" w:hint="cs"/>
          <w:sz w:val="28"/>
          <w:rtl/>
        </w:rPr>
      </w:pPr>
    </w:p>
    <w:p w:rsidR="00713EB9" w:rsidRPr="00CE7623" w:rsidRDefault="00713EB9" w:rsidP="00445175">
      <w:pPr>
        <w:pStyle w:val="a0"/>
        <w:rPr>
          <w:rFonts w:cs="KFGQPC Uthman Taha Naskh"/>
          <w:lang w:bidi="ar-SY"/>
        </w:rPr>
      </w:pPr>
      <w:r w:rsidRPr="003F3B94">
        <w:rPr>
          <w:rFonts w:ascii="Abo-thar" w:hAnsi="Abo-thar"/>
          <w:sz w:val="28"/>
          <w:rtl/>
        </w:rPr>
        <w:t>نعم نجد في سفر يَشُوعَ، الإصحاح السادس (الآيات 17 فما بعد) في قصة فتح أريحا</w:t>
      </w:r>
      <w:r w:rsidR="00445175">
        <w:rPr>
          <w:rFonts w:ascii="Abo-thar" w:hAnsi="Abo-thar" w:hint="cs"/>
          <w:sz w:val="28"/>
          <w:rtl/>
        </w:rPr>
        <w:t xml:space="preserve">: </w:t>
      </w:r>
      <w:r w:rsidRPr="00CE7623">
        <w:rPr>
          <w:rFonts w:ascii="Abo-thar" w:hAnsi="Abo-thar" w:cs="KFGQPC Uthman Taha Naskh" w:hint="cs"/>
          <w:sz w:val="28"/>
          <w:rtl/>
        </w:rPr>
        <w:t>«17</w:t>
      </w:r>
      <w:r w:rsidRPr="00CE7623">
        <w:rPr>
          <w:rFonts w:ascii="Abo-thar" w:hAnsi="Abo-thar" w:cs="KFGQPC Uthman Taha Naskh"/>
          <w:sz w:val="28"/>
          <w:rtl/>
        </w:rPr>
        <w:t>فَتَكُونُ الْمَدِينَةُ وَكُلُّ مَا فِيهَا مُحَرَّماً لِلرَّبِّ. رَاحَابُ الزَّانِيَةُ فَقَطْ تَحْيَا هِيَ وَكُلُّ مَنْ مَعَهَا فِي الْبَيْتِ، لأَنَّهَا قَدْ خَبَّأَتِ الْمُرْسَلَيْنِ اللَّذَيْنِ أَرْسَلْنَاهُمَا. 18وَأَمَّا أَنْتُمْ فَاحْتَرِزُوا مِنَ الْحَرَامِ لِئَلاَّ تُحَرَّمُوا وَتَأْخُذُوا مِنَ الْحَرَامِ وَتَجْعَلُوا مَحَلَّةَ إِسْرَائِيلَ مُحَرَّمَةً وَتُكَدِّرُوهَا. 19وَكُلُّ الْفِضَّةِ وَالذَّهَبِ وَآنِيَةِ النُّحَاسِ وَالْحَدِيدِ تَكُونُ قُدْساً لِلرَّبِّ وَتَدْخُلُ فِي خِزَانَةِ الرَّبِّ». 20فَهَتَفَ الشَّعْبُ وَضَرَبُوا بِالأَبْوَاقِ. وَكَانَ حِينَ سَمِعَ الشَّعْبُ صَوْتَ الْبُوقِ أَنَّ الشَّعْبَ هَتَفَ هُتَافاً عَظِيماً، فَسَقَطَ السُّورُ فِي مَكَانِهِ، وَصَعِدَ الشَّعْبُ إِلَى الْمَدِينَةِ كُلُّ رَجُلٍ مَعَ وَجْهِهِ، وَأَخَذُوا الْمَدِينَةَ. 21وَحَرَّمُوا كُلَّ مَا فِي الْمَدِينَةِ مِنْ رَجُلٍ وَامْرَأَةٍ، مِنْ طِفْلٍ وَشَيْخٍ - حَتَّى الْبَقَرَ وَالْغَنَمَ وَالْحَمِيرَ بِحَدِّ السَّيْفِ. 22وَقَالَ يَشُوعُ لِلرَّجُلَيْنِ اللَّذَيْنِ تَجَسَّسَا الأَرْضَ: «ادْخُلاَ بَيْتَ الْمَرْأَةِ الزَّانِيَةِ وَأَخْرِجَا مِنْ هُنَاكَ الْمَرْأَةَ وَكُلَّ مَا لَهَا كَمَا حَلَفْتُمَا لَهَا». 23فَدَخَلَ الْجَاسُوسَانِ وَأَخْرَجَا رَاحَابَ وَأَبَاهَا وَأُمَّهَا وَإِخْوَتَهَا وَكُلَّ مَا لَهَا، وَكُلَّ عَشَائِرِهَا وَتَرَكَاهُمْ خَارِجَ مَحَلَّةِ إِسْرَائِيلَ. 24وَأَحْرَقُوا الْمَدِينَةَ بِالنَّارِ مَعَ كُلِّ مَا بِهَا. إِنَّمَا الْفِضَّةُ وَالذَّهَبُ وَآنِيَةُ النُّحَاسِ وَالْحَدِيدِ جَعَلُوهَا فِي خِزَانَةِ بَيْتِ الرَّبِّ. 25وَاسْتَحْيَا يَشُوعُ رَاحَابَ الزَّانِيَةَ وَبَيْتَ أَبِيهَا وَكُلَّ مَا لَهَا. وَسَكَنَتْ فِي وَسَطِ إِسْرَائِيلَ إِلَى هَذَا الْيَوْمِ، لأَنَّهَا خَبَّأَتِ الْمُرْسَلَيْنِ اللَّذَيْنِ أَرْسَلَهُمَا يَشُوعُ لِيَتَجَسَّسَا أَرِيحَا. 26وَحَلَفَ يَشُوعُ فِي ذَلِكَ الْوَقْتِ قَائِلاً: «مَلْعُونٌ قُدَّامَ الرَّبِّ الرَّجُلُ الَّذِي يَقُومُ وَيَبْنِي هَذِهِ الْمَدِينَةَ أَرِيحَا. بِبِكْرِهِ يُؤَسِّسُهَا وَبِصَغِيرِهِ يَنْصِبُ أَبْوَابَهَ</w:t>
      </w:r>
      <w:r w:rsidRPr="00CE7623">
        <w:rPr>
          <w:rFonts w:ascii="Abo-thar" w:hAnsi="Abo-thar" w:cs="KFGQPC Uthman Taha Naskh" w:hint="cs"/>
          <w:sz w:val="28"/>
          <w:rtl/>
        </w:rPr>
        <w:t>ا»».</w:t>
      </w:r>
    </w:p>
    <w:p w:rsidR="00713EB9" w:rsidRPr="00CE7623" w:rsidRDefault="00713EB9" w:rsidP="003F3B94">
      <w:pPr>
        <w:pStyle w:val="a0"/>
        <w:rPr>
          <w:rtl/>
        </w:rPr>
      </w:pPr>
      <w:r w:rsidRPr="003F3B94">
        <w:rPr>
          <w:rFonts w:ascii="Abo-thar" w:hAnsi="Abo-thar"/>
          <w:sz w:val="28"/>
          <w:rtl/>
        </w:rPr>
        <w:t>فتحريم الغنائم وحرقها كان أمراً خاص</w:t>
      </w:r>
      <w:r w:rsidRPr="003F3B94">
        <w:rPr>
          <w:rFonts w:ascii="Abo-thar" w:hAnsi="Abo-thar" w:hint="cs"/>
          <w:sz w:val="28"/>
          <w:rtl/>
        </w:rPr>
        <w:t>ّ</w:t>
      </w:r>
      <w:r w:rsidRPr="003F3B94">
        <w:rPr>
          <w:rFonts w:ascii="Abo-thar" w:hAnsi="Abo-thar"/>
          <w:sz w:val="28"/>
          <w:rtl/>
        </w:rPr>
        <w:t>اً بفتح أريحا وإلا فإن غنائم الحرب كانت مباحةً وحلالاً للأنبياء ولأتباعهم في الأديان السابقة على الإسلام كما أُحِلَّت في الإسلام</w:t>
      </w:r>
      <w:r w:rsidR="00CE7623">
        <w:rPr>
          <w:rFonts w:ascii="Abo-thar" w:hAnsi="Abo-thar" w:hint="cs"/>
          <w:sz w:val="28"/>
          <w:rtl/>
        </w:rPr>
        <w:t>.</w:t>
      </w:r>
    </w:p>
    <w:p w:rsidR="00713EB9" w:rsidRPr="003F3B94" w:rsidRDefault="00713EB9" w:rsidP="003F3B94">
      <w:pPr>
        <w:pStyle w:val="a0"/>
        <w:rPr>
          <w:rFonts w:hint="cs"/>
          <w:rtl/>
        </w:rPr>
      </w:pPr>
      <w:r w:rsidRPr="003F3B94">
        <w:rPr>
          <w:rFonts w:ascii="Abo-thar" w:hAnsi="Abo-thar"/>
          <w:sz w:val="28"/>
          <w:rtl/>
        </w:rPr>
        <w:t>إذن لم يكن هناك في الأمم الماضية حرق للغنائم بنار تنـزل من السماء، وفي تلك الواقعة الخاصة (فتح أريحا) قام الغانمون أنفسهم بحرق المدينة، لا أن ناراً نزلت من السماء فحرقتها</w:t>
      </w:r>
      <w:r w:rsidRPr="003F3B94">
        <w:rPr>
          <w:rFonts w:ascii="Abo-thar" w:hAnsi="Abo-thar" w:hint="cs"/>
          <w:sz w:val="28"/>
          <w:rtl/>
        </w:rPr>
        <w:t>.</w:t>
      </w:r>
    </w:p>
    <w:p w:rsidR="005C664D" w:rsidRPr="00995B26" w:rsidRDefault="005C664D" w:rsidP="003F3B94">
      <w:pPr>
        <w:pStyle w:val="a0"/>
        <w:rPr>
          <w:rFonts w:hint="cs"/>
          <w:rtl/>
          <w:lang w:bidi="fa-IR"/>
        </w:rPr>
      </w:pPr>
      <w:r w:rsidRPr="003F3B94">
        <w:rPr>
          <w:rFonts w:ascii="Abo-thar" w:hAnsi="Abo-thar" w:hint="cs"/>
          <w:sz w:val="28"/>
          <w:rtl/>
          <w:lang w:bidi="ar-SY"/>
        </w:rPr>
        <w:t>4</w:t>
      </w:r>
      <w:r w:rsidR="00217AB4" w:rsidRPr="003F3B94">
        <w:rPr>
          <w:rFonts w:ascii="Abo-thar" w:hAnsi="Abo-thar" w:hint="cs"/>
          <w:sz w:val="28"/>
          <w:rtl/>
          <w:lang w:bidi="ar-SY"/>
        </w:rPr>
        <w:t>-</w:t>
      </w:r>
      <w:r w:rsidRPr="003F3B94">
        <w:rPr>
          <w:rFonts w:ascii="Abo-thar" w:hAnsi="Abo-thar" w:hint="cs"/>
          <w:sz w:val="28"/>
          <w:rtl/>
          <w:lang w:bidi="ar-SY"/>
        </w:rPr>
        <w:t xml:space="preserve"> </w:t>
      </w:r>
      <w:r w:rsidRPr="00445175">
        <w:rPr>
          <w:rFonts w:ascii="Abo-thar" w:hAnsi="Abo-thar" w:hint="cs"/>
          <w:b/>
          <w:bCs/>
          <w:sz w:val="28"/>
          <w:rtl/>
          <w:lang w:bidi="ar-SY"/>
        </w:rPr>
        <w:t>النقطة الرابعة</w:t>
      </w:r>
      <w:r w:rsidRPr="003F3B94">
        <w:rPr>
          <w:rFonts w:ascii="Abo-thar" w:hAnsi="Abo-thar" w:hint="cs"/>
          <w:sz w:val="28"/>
          <w:rtl/>
          <w:lang w:bidi="ar-SY"/>
        </w:rPr>
        <w:t xml:space="preserve"> التي يجب أن ننتبه إليها في مسألة الخمس هي أن آية الخمس الكريمة </w:t>
      </w:r>
      <w:r w:rsidR="00217AB4" w:rsidRPr="003F3B94">
        <w:rPr>
          <w:rFonts w:ascii="Abo-thar" w:hAnsi="Abo-thar" w:hint="cs"/>
          <w:sz w:val="28"/>
          <w:rtl/>
          <w:lang w:bidi="ar-SY"/>
        </w:rPr>
        <w:t>(</w:t>
      </w:r>
      <w:r w:rsidRPr="003F3B94">
        <w:rPr>
          <w:rFonts w:ascii="Abo-thar" w:hAnsi="Abo-thar" w:hint="cs"/>
          <w:sz w:val="28"/>
          <w:rtl/>
          <w:lang w:bidi="ar-SY"/>
        </w:rPr>
        <w:t>في سورة الأنفال</w:t>
      </w:r>
      <w:r w:rsidR="00217AB4" w:rsidRPr="003F3B94">
        <w:rPr>
          <w:rFonts w:ascii="Abo-thar" w:hAnsi="Abo-thar" w:hint="cs"/>
          <w:sz w:val="28"/>
          <w:rtl/>
          <w:lang w:bidi="ar-SY"/>
        </w:rPr>
        <w:t>)</w:t>
      </w:r>
      <w:r w:rsidRPr="003F3B94">
        <w:rPr>
          <w:rFonts w:ascii="Abo-thar" w:hAnsi="Abo-thar" w:hint="cs"/>
          <w:sz w:val="28"/>
          <w:rtl/>
          <w:lang w:bidi="ar-SY"/>
        </w:rPr>
        <w:t xml:space="preserve"> التي ذكرناها أول الفصل صُدِّرَت بقوله تعالى </w:t>
      </w:r>
      <w:r w:rsidR="00DD7D67" w:rsidRPr="00995B26">
        <w:rPr>
          <w:rFonts w:ascii="Abo-thar" w:hAnsi="Abo-thar" w:cs="Traditional Arabic" w:hint="cs"/>
          <w:sz w:val="28"/>
          <w:rtl/>
          <w:lang w:bidi="ar-SY"/>
        </w:rPr>
        <w:t>﴿</w:t>
      </w:r>
      <w:r w:rsidR="00DD7D67" w:rsidRPr="00DF7CAE">
        <w:rPr>
          <w:rStyle w:val="Char3"/>
          <w:rFonts w:hint="eastAsia"/>
          <w:rtl/>
        </w:rPr>
        <w:t>وَ</w:t>
      </w:r>
      <w:r w:rsidR="00DD7D67" w:rsidRPr="00DF7CAE">
        <w:rPr>
          <w:rStyle w:val="Char3"/>
          <w:rFonts w:hint="cs"/>
          <w:rtl/>
        </w:rPr>
        <w:t>ٱ</w:t>
      </w:r>
      <w:r w:rsidR="00DD7D67" w:rsidRPr="00DF7CAE">
        <w:rPr>
          <w:rStyle w:val="Char3"/>
          <w:rFonts w:hint="eastAsia"/>
          <w:rtl/>
        </w:rPr>
        <w:t>ع</w:t>
      </w:r>
      <w:r w:rsidR="00DD7D67" w:rsidRPr="00DF7CAE">
        <w:rPr>
          <w:rStyle w:val="Char3"/>
          <w:rFonts w:hint="cs"/>
          <w:rtl/>
        </w:rPr>
        <w:t>ۡ</w:t>
      </w:r>
      <w:r w:rsidR="00DD7D67" w:rsidRPr="00DF7CAE">
        <w:rPr>
          <w:rStyle w:val="Char3"/>
          <w:rFonts w:hint="eastAsia"/>
          <w:rtl/>
        </w:rPr>
        <w:t>لَمُو</w:t>
      </w:r>
      <w:r w:rsidR="00DD7D67" w:rsidRPr="00DF7CAE">
        <w:rPr>
          <w:rStyle w:val="Char3"/>
          <w:rFonts w:hint="cs"/>
          <w:rtl/>
        </w:rPr>
        <w:t>ٓ</w:t>
      </w:r>
      <w:r w:rsidR="00DD7D67" w:rsidRPr="00DF7CAE">
        <w:rPr>
          <w:rStyle w:val="Char3"/>
          <w:rFonts w:hint="eastAsia"/>
          <w:rtl/>
        </w:rPr>
        <w:t>اْ</w:t>
      </w:r>
      <w:r w:rsidR="00DD7D67" w:rsidRPr="00995B26">
        <w:rPr>
          <w:rFonts w:ascii="KFGQPC Uthmanic Script HAFS" w:cs="Times New Roman" w:hint="cs"/>
          <w:sz w:val="28"/>
          <w:rtl/>
        </w:rPr>
        <w:t>...</w:t>
      </w:r>
      <w:r w:rsidR="00DD7D67" w:rsidRPr="00995B26">
        <w:rPr>
          <w:rFonts w:ascii="Abo-thar" w:hAnsi="Abo-thar" w:cs="Traditional Arabic" w:hint="cs"/>
          <w:sz w:val="28"/>
          <w:rtl/>
          <w:lang w:bidi="ar-SY"/>
        </w:rPr>
        <w:t>﴾</w:t>
      </w:r>
      <w:r w:rsidR="00DD7D67" w:rsidRPr="00995B26">
        <w:rPr>
          <w:rFonts w:ascii="Abo-thar" w:hAnsi="Abo-thar" w:hint="cs"/>
          <w:sz w:val="28"/>
          <w:rtl/>
          <w:lang w:bidi="ar-SY"/>
        </w:rPr>
        <w:t xml:space="preserve"> </w:t>
      </w:r>
      <w:r w:rsidRPr="00995B26">
        <w:rPr>
          <w:rFonts w:ascii="Abo-thar" w:hAnsi="Abo-thar" w:hint="cs"/>
          <w:sz w:val="28"/>
          <w:rtl/>
          <w:lang w:bidi="ar-SY"/>
        </w:rPr>
        <w:t>وهذه الكلمة إذا تأملناها بدقة لاحظنا أن لحنها ولهجتها ليست لهجة أمرٍ أو مطالبة بأخذٍ بل ل</w:t>
      </w:r>
      <w:r w:rsidR="00C53756" w:rsidRPr="00995B26">
        <w:rPr>
          <w:rFonts w:ascii="Abo-thar" w:hAnsi="Abo-thar" w:hint="cs"/>
          <w:sz w:val="28"/>
          <w:rtl/>
          <w:lang w:bidi="ar-SY"/>
        </w:rPr>
        <w:t>ه</w:t>
      </w:r>
      <w:r w:rsidRPr="00995B26">
        <w:rPr>
          <w:rFonts w:ascii="Abo-thar" w:hAnsi="Abo-thar" w:hint="cs"/>
          <w:sz w:val="28"/>
          <w:rtl/>
          <w:lang w:bidi="ar-SY"/>
        </w:rPr>
        <w:t>جتها لهجة إعلام وإرشاد أي أنها لم تأتِ على النحو الذي جاءت به آيات الأمر بالصلاة والزكاة والتي جاءت بصيغة الأمر الواضح</w:t>
      </w:r>
      <w:r w:rsidR="00217AB4" w:rsidRPr="00995B26">
        <w:rPr>
          <w:rFonts w:ascii="Abo-thar" w:hAnsi="Abo-thar" w:hint="cs"/>
          <w:sz w:val="28"/>
          <w:rtl/>
          <w:lang w:bidi="ar-SY"/>
        </w:rPr>
        <w:t>.</w:t>
      </w:r>
      <w:r w:rsidRPr="00995B26">
        <w:rPr>
          <w:rFonts w:ascii="Abo-thar" w:hAnsi="Abo-thar" w:hint="cs"/>
          <w:sz w:val="28"/>
          <w:rtl/>
          <w:lang w:bidi="ar-SY"/>
        </w:rPr>
        <w:t xml:space="preserve"> والسبب هو أن غانم الغنيمة ليس مالكاً لها قبل تقسيمها حتى يتوجه إليه وجوب دفعها</w:t>
      </w:r>
      <w:r w:rsidR="00217AB4" w:rsidRPr="00995B26">
        <w:rPr>
          <w:rFonts w:ascii="Abo-thar" w:hAnsi="Abo-thar" w:hint="cs"/>
          <w:sz w:val="28"/>
          <w:rtl/>
          <w:lang w:bidi="ar-SY"/>
        </w:rPr>
        <w:t>.</w:t>
      </w:r>
      <w:r w:rsidRPr="00995B26">
        <w:rPr>
          <w:rFonts w:ascii="Abo-thar" w:hAnsi="Abo-thar" w:hint="cs"/>
          <w:sz w:val="28"/>
          <w:rtl/>
          <w:lang w:bidi="ar-SY"/>
        </w:rPr>
        <w:t xml:space="preserve"> وهذه النقطة تفطَّن إليها كثير من فقهاء الشيعة الكبار في مسألة خمس الغنائم واعترف بها وأشار إليها</w:t>
      </w:r>
      <w:r w:rsidR="00217AB4" w:rsidRPr="0021507A">
        <w:rPr>
          <w:rStyle w:val="FootnoteReference"/>
          <w:rFonts w:cs="Arabic11 BT"/>
          <w:b/>
          <w:sz w:val="28"/>
          <w:rtl/>
        </w:rPr>
        <w:t>(</w:t>
      </w:r>
      <w:r w:rsidRPr="0021507A">
        <w:rPr>
          <w:rStyle w:val="FootnoteReference"/>
          <w:rFonts w:cs="Arabic11 BT"/>
          <w:b/>
          <w:sz w:val="28"/>
          <w:rtl/>
        </w:rPr>
        <w:footnoteReference w:id="24"/>
      </w:r>
      <w:r w:rsidR="00217AB4" w:rsidRPr="0021507A">
        <w:rPr>
          <w:rStyle w:val="FootnoteReference"/>
          <w:rFonts w:cs="Arabic11 BT"/>
          <w:b/>
          <w:sz w:val="28"/>
          <w:rtl/>
        </w:rPr>
        <w:t>)</w:t>
      </w:r>
      <w:r w:rsidR="00217AB4" w:rsidRPr="00995B26">
        <w:rPr>
          <w:rFonts w:ascii="Abo-thar" w:hAnsi="Abo-thar" w:hint="cs"/>
          <w:sz w:val="28"/>
          <w:rtl/>
          <w:lang w:bidi="ar-SY"/>
        </w:rPr>
        <w:t>.</w:t>
      </w:r>
      <w:r w:rsidRPr="00995B26">
        <w:rPr>
          <w:rFonts w:ascii="Abo-thar" w:hAnsi="Abo-thar" w:hint="cs"/>
          <w:sz w:val="28"/>
          <w:rtl/>
          <w:lang w:bidi="ar-SY"/>
        </w:rPr>
        <w:t xml:space="preserve"> ولذلك نلاحظ الفرق بين هذه الآية وبين آيات الزكاة التي تتصدر بصيغة الأمر كقوله تعالى</w:t>
      </w:r>
      <w:r w:rsidR="00217AB4" w:rsidRPr="00995B26">
        <w:rPr>
          <w:rFonts w:ascii="Abo-thar" w:hAnsi="Abo-thar" w:hint="cs"/>
          <w:sz w:val="28"/>
          <w:rtl/>
          <w:lang w:bidi="ar-SY"/>
        </w:rPr>
        <w:t>:</w:t>
      </w:r>
      <w:r w:rsidRPr="00995B26">
        <w:rPr>
          <w:rFonts w:ascii="Abo-thar" w:hAnsi="Abo-thar" w:hint="cs"/>
          <w:sz w:val="28"/>
          <w:rtl/>
          <w:lang w:bidi="ar-SY"/>
        </w:rPr>
        <w:t xml:space="preserve"> </w:t>
      </w:r>
    </w:p>
    <w:p w:rsidR="005C664D" w:rsidRPr="00995B26" w:rsidRDefault="00E77B3F" w:rsidP="003F3B94">
      <w:pPr>
        <w:pStyle w:val="a0"/>
        <w:rPr>
          <w:rFonts w:hint="cs"/>
          <w:rtl/>
        </w:rPr>
      </w:pPr>
      <w:r w:rsidRPr="00995B26">
        <w:rPr>
          <w:rFonts w:ascii="KFGQPC Uthmanic Script HAFS" w:cs="Traditional Arabic" w:hint="cs"/>
          <w:rtl/>
        </w:rPr>
        <w:t>﴿</w:t>
      </w:r>
      <w:r w:rsidRPr="00DF7CAE">
        <w:rPr>
          <w:rStyle w:val="Char3"/>
          <w:rFonts w:hint="eastAsia"/>
          <w:rtl/>
        </w:rPr>
        <w:t>وَءَاتُواْ</w:t>
      </w:r>
      <w:r w:rsidRPr="00DF7CAE">
        <w:rPr>
          <w:rStyle w:val="Char3"/>
          <w:rtl/>
        </w:rPr>
        <w:t xml:space="preserve"> </w:t>
      </w:r>
      <w:r w:rsidRPr="00DF7CAE">
        <w:rPr>
          <w:rStyle w:val="Char3"/>
          <w:rFonts w:hint="cs"/>
          <w:rtl/>
        </w:rPr>
        <w:t>ٱ</w:t>
      </w:r>
      <w:r w:rsidRPr="00DF7CAE">
        <w:rPr>
          <w:rStyle w:val="Char3"/>
          <w:rFonts w:hint="eastAsia"/>
          <w:rtl/>
        </w:rPr>
        <w:t>لزَّكَو</w:t>
      </w:r>
      <w:r w:rsidRPr="00DF7CAE">
        <w:rPr>
          <w:rStyle w:val="Char3"/>
          <w:rFonts w:hint="cs"/>
          <w:rtl/>
        </w:rPr>
        <w:t>ٰ</w:t>
      </w:r>
      <w:r w:rsidRPr="00DF7CAE">
        <w:rPr>
          <w:rStyle w:val="Char3"/>
          <w:rFonts w:hint="eastAsia"/>
          <w:rtl/>
        </w:rPr>
        <w:t>ةَ</w:t>
      </w:r>
      <w:r w:rsidRPr="00995B26">
        <w:rPr>
          <w:rFonts w:ascii="Abo-thar" w:hAnsi="Abo-thar" w:cs="Traditional Arabic" w:hint="cs"/>
          <w:sz w:val="28"/>
          <w:rtl/>
        </w:rPr>
        <w:t>﴾</w:t>
      </w:r>
      <w:r w:rsidRPr="003F3B94">
        <w:rPr>
          <w:rFonts w:ascii="Abo-thar" w:hAnsi="Abo-thar"/>
          <w:sz w:val="28"/>
          <w:rtl/>
        </w:rPr>
        <w:t xml:space="preserve"> </w:t>
      </w:r>
      <w:r w:rsidR="005C664D" w:rsidRPr="00FC12FD">
        <w:rPr>
          <w:rStyle w:val="Char2"/>
          <w:rtl/>
        </w:rPr>
        <w:t>[البقرة</w:t>
      </w:r>
      <w:r w:rsidRPr="00FC12FD">
        <w:rPr>
          <w:rStyle w:val="Char2"/>
          <w:rFonts w:hint="cs"/>
          <w:rtl/>
        </w:rPr>
        <w:t xml:space="preserve">: </w:t>
      </w:r>
      <w:r w:rsidR="005C664D" w:rsidRPr="00FC12FD">
        <w:rPr>
          <w:rStyle w:val="Char2"/>
          <w:rtl/>
        </w:rPr>
        <w:t>43]</w:t>
      </w:r>
      <w:r w:rsidR="005C664D" w:rsidRPr="003F3B94">
        <w:rPr>
          <w:rFonts w:ascii="Abo-thar" w:hAnsi="Abo-thar"/>
          <w:sz w:val="28"/>
          <w:rtl/>
        </w:rPr>
        <w:t xml:space="preserve"> </w:t>
      </w:r>
      <w:r w:rsidRPr="00995B26">
        <w:rPr>
          <w:rFonts w:ascii="Abo-thar" w:hAnsi="Abo-thar" w:cs="Traditional Arabic" w:hint="cs"/>
          <w:sz w:val="28"/>
          <w:rtl/>
        </w:rPr>
        <w:t>﴿</w:t>
      </w:r>
      <w:r w:rsidRPr="00DF7CAE">
        <w:rPr>
          <w:rStyle w:val="Char3"/>
          <w:rFonts w:hint="eastAsia"/>
          <w:rtl/>
        </w:rPr>
        <w:t>وَءَاتُواْ</w:t>
      </w:r>
      <w:r w:rsidRPr="00DF7CAE">
        <w:rPr>
          <w:rStyle w:val="Char3"/>
          <w:rtl/>
        </w:rPr>
        <w:t xml:space="preserve"> </w:t>
      </w:r>
      <w:r w:rsidRPr="00DF7CAE">
        <w:rPr>
          <w:rStyle w:val="Char3"/>
          <w:rFonts w:hint="eastAsia"/>
          <w:rtl/>
        </w:rPr>
        <w:t>حَقَّهُ</w:t>
      </w:r>
      <w:r w:rsidRPr="00995B26">
        <w:rPr>
          <w:rFonts w:ascii="Abo-thar" w:hAnsi="Abo-thar" w:cs="Traditional Arabic" w:hint="cs"/>
          <w:sz w:val="28"/>
          <w:rtl/>
        </w:rPr>
        <w:t>﴾</w:t>
      </w:r>
      <w:r w:rsidRPr="00995B26">
        <w:rPr>
          <w:rFonts w:ascii="Abo-thar" w:hAnsi="Abo-thar" w:hint="cs"/>
          <w:sz w:val="28"/>
          <w:rtl/>
        </w:rPr>
        <w:t xml:space="preserve"> </w:t>
      </w:r>
      <w:r w:rsidR="005C664D" w:rsidRPr="00FC12FD">
        <w:rPr>
          <w:rStyle w:val="Char2"/>
          <w:rtl/>
        </w:rPr>
        <w:t>[الأنعام</w:t>
      </w:r>
      <w:r w:rsidR="00713EB9" w:rsidRPr="00FC12FD">
        <w:rPr>
          <w:rStyle w:val="Char2"/>
          <w:rFonts w:hint="cs"/>
          <w:rtl/>
        </w:rPr>
        <w:t xml:space="preserve">: </w:t>
      </w:r>
      <w:r w:rsidR="005C664D" w:rsidRPr="00FC12FD">
        <w:rPr>
          <w:rStyle w:val="Char2"/>
          <w:rtl/>
        </w:rPr>
        <w:t>141]</w:t>
      </w:r>
      <w:r w:rsidRPr="00995B26">
        <w:rPr>
          <w:rFonts w:ascii="Abo-thar" w:hAnsi="Abo-thar" w:hint="cs"/>
          <w:sz w:val="28"/>
          <w:rtl/>
        </w:rPr>
        <w:t xml:space="preserve"> </w:t>
      </w:r>
      <w:r w:rsidRPr="00995B26">
        <w:rPr>
          <w:rFonts w:ascii="Abo-thar" w:hAnsi="Abo-thar" w:cs="Traditional Arabic" w:hint="cs"/>
          <w:sz w:val="28"/>
          <w:rtl/>
        </w:rPr>
        <w:t>﴿</w:t>
      </w:r>
      <w:r w:rsidRPr="00DF7CAE">
        <w:rPr>
          <w:rStyle w:val="Char3"/>
          <w:rFonts w:hint="eastAsia"/>
          <w:rtl/>
        </w:rPr>
        <w:t>أَنفِقُواْ</w:t>
      </w:r>
      <w:r w:rsidRPr="00DF7CAE">
        <w:rPr>
          <w:rStyle w:val="Char3"/>
          <w:rtl/>
        </w:rPr>
        <w:t xml:space="preserve"> </w:t>
      </w:r>
      <w:r w:rsidRPr="00DF7CAE">
        <w:rPr>
          <w:rStyle w:val="Char3"/>
          <w:rFonts w:hint="eastAsia"/>
          <w:rtl/>
        </w:rPr>
        <w:t>مِمَّا</w:t>
      </w:r>
      <w:r w:rsidRPr="00DF7CAE">
        <w:rPr>
          <w:rStyle w:val="Char3"/>
          <w:rtl/>
        </w:rPr>
        <w:t xml:space="preserve"> </w:t>
      </w:r>
      <w:r w:rsidRPr="00DF7CAE">
        <w:rPr>
          <w:rStyle w:val="Char3"/>
          <w:rFonts w:hint="eastAsia"/>
          <w:rtl/>
        </w:rPr>
        <w:t>رَزَق</w:t>
      </w:r>
      <w:r w:rsidRPr="00DF7CAE">
        <w:rPr>
          <w:rStyle w:val="Char3"/>
          <w:rFonts w:hint="cs"/>
          <w:rtl/>
        </w:rPr>
        <w:t>ۡ</w:t>
      </w:r>
      <w:r w:rsidRPr="00DF7CAE">
        <w:rPr>
          <w:rStyle w:val="Char3"/>
          <w:rFonts w:hint="eastAsia"/>
          <w:rtl/>
        </w:rPr>
        <w:t>نَ</w:t>
      </w:r>
      <w:r w:rsidRPr="00DF7CAE">
        <w:rPr>
          <w:rStyle w:val="Char3"/>
          <w:rFonts w:hint="cs"/>
          <w:rtl/>
        </w:rPr>
        <w:t>ٰ</w:t>
      </w:r>
      <w:r w:rsidRPr="00DF7CAE">
        <w:rPr>
          <w:rStyle w:val="Char3"/>
          <w:rFonts w:hint="eastAsia"/>
          <w:rtl/>
        </w:rPr>
        <w:t>كُم</w:t>
      </w:r>
      <w:r w:rsidRPr="00995B26">
        <w:rPr>
          <w:rFonts w:ascii="Abo-thar" w:hAnsi="Abo-thar" w:cs="Traditional Arabic" w:hint="cs"/>
          <w:sz w:val="28"/>
          <w:rtl/>
        </w:rPr>
        <w:t>﴾</w:t>
      </w:r>
      <w:r w:rsidRPr="00995B26">
        <w:rPr>
          <w:rFonts w:ascii="Abo-thar" w:hAnsi="Abo-thar" w:hint="cs"/>
          <w:sz w:val="28"/>
          <w:rtl/>
        </w:rPr>
        <w:t xml:space="preserve"> </w:t>
      </w:r>
      <w:r w:rsidR="005C664D" w:rsidRPr="00FC12FD">
        <w:rPr>
          <w:rStyle w:val="Char2"/>
          <w:rtl/>
        </w:rPr>
        <w:t>[البقرة</w:t>
      </w:r>
      <w:r w:rsidRPr="00FC12FD">
        <w:rPr>
          <w:rStyle w:val="Char2"/>
          <w:rFonts w:hint="cs"/>
          <w:rtl/>
        </w:rPr>
        <w:t>:</w:t>
      </w:r>
      <w:r w:rsidR="00713EB9" w:rsidRPr="00FC12FD">
        <w:rPr>
          <w:rStyle w:val="Char2"/>
          <w:rFonts w:hint="cs"/>
          <w:rtl/>
        </w:rPr>
        <w:t xml:space="preserve"> </w:t>
      </w:r>
      <w:r w:rsidR="005C664D" w:rsidRPr="00FC12FD">
        <w:rPr>
          <w:rStyle w:val="Char2"/>
          <w:rtl/>
        </w:rPr>
        <w:t>254]</w:t>
      </w:r>
      <w:r w:rsidRPr="00995B26">
        <w:rPr>
          <w:rFonts w:ascii="Abo-thar" w:hAnsi="Abo-thar" w:hint="cs"/>
          <w:sz w:val="28"/>
          <w:rtl/>
        </w:rPr>
        <w:t xml:space="preserve">. </w:t>
      </w:r>
      <w:r w:rsidRPr="00995B26">
        <w:rPr>
          <w:rFonts w:ascii="Abo-thar" w:hAnsi="Abo-thar" w:cs="Traditional Arabic" w:hint="cs"/>
          <w:sz w:val="28"/>
          <w:rtl/>
        </w:rPr>
        <w:t>﴿</w:t>
      </w:r>
      <w:r w:rsidRPr="00DF7CAE">
        <w:rPr>
          <w:rStyle w:val="Char3"/>
          <w:rFonts w:hint="eastAsia"/>
          <w:rtl/>
        </w:rPr>
        <w:t>أَنفِقُواْ</w:t>
      </w:r>
      <w:r w:rsidRPr="00DF7CAE">
        <w:rPr>
          <w:rStyle w:val="Char3"/>
          <w:rtl/>
        </w:rPr>
        <w:t xml:space="preserve"> </w:t>
      </w:r>
      <w:r w:rsidRPr="00DF7CAE">
        <w:rPr>
          <w:rStyle w:val="Char3"/>
          <w:rFonts w:hint="eastAsia"/>
          <w:rtl/>
        </w:rPr>
        <w:t>مِن</w:t>
      </w:r>
      <w:r w:rsidRPr="00DF7CAE">
        <w:rPr>
          <w:rStyle w:val="Char3"/>
          <w:rtl/>
        </w:rPr>
        <w:t xml:space="preserve"> </w:t>
      </w:r>
      <w:r w:rsidRPr="00DF7CAE">
        <w:rPr>
          <w:rStyle w:val="Char3"/>
          <w:rFonts w:hint="eastAsia"/>
          <w:rtl/>
        </w:rPr>
        <w:t>طَيِّبَ</w:t>
      </w:r>
      <w:r w:rsidRPr="00DF7CAE">
        <w:rPr>
          <w:rStyle w:val="Char3"/>
          <w:rFonts w:hint="cs"/>
          <w:rtl/>
        </w:rPr>
        <w:t>ٰ</w:t>
      </w:r>
      <w:r w:rsidRPr="00DF7CAE">
        <w:rPr>
          <w:rStyle w:val="Char3"/>
          <w:rFonts w:hint="eastAsia"/>
          <w:rtl/>
        </w:rPr>
        <w:t>تِ</w:t>
      </w:r>
      <w:r w:rsidRPr="00DF7CAE">
        <w:rPr>
          <w:rStyle w:val="Char3"/>
          <w:rtl/>
        </w:rPr>
        <w:t xml:space="preserve"> </w:t>
      </w:r>
      <w:r w:rsidRPr="00DF7CAE">
        <w:rPr>
          <w:rStyle w:val="Char3"/>
          <w:rFonts w:hint="eastAsia"/>
          <w:rtl/>
        </w:rPr>
        <w:t>مَا</w:t>
      </w:r>
      <w:r w:rsidRPr="00DF7CAE">
        <w:rPr>
          <w:rStyle w:val="Char3"/>
          <w:rtl/>
        </w:rPr>
        <w:t xml:space="preserve"> </w:t>
      </w:r>
      <w:r w:rsidRPr="00DF7CAE">
        <w:rPr>
          <w:rStyle w:val="Char3"/>
          <w:rFonts w:hint="eastAsia"/>
          <w:rtl/>
        </w:rPr>
        <w:t>كَسَب</w:t>
      </w:r>
      <w:r w:rsidRPr="00DF7CAE">
        <w:rPr>
          <w:rStyle w:val="Char3"/>
          <w:rFonts w:hint="cs"/>
          <w:rtl/>
        </w:rPr>
        <w:t>ۡ</w:t>
      </w:r>
      <w:r w:rsidRPr="00DF7CAE">
        <w:rPr>
          <w:rStyle w:val="Char3"/>
          <w:rFonts w:hint="eastAsia"/>
          <w:rtl/>
        </w:rPr>
        <w:t>تُم</w:t>
      </w:r>
      <w:r w:rsidRPr="00DF7CAE">
        <w:rPr>
          <w:rStyle w:val="Char3"/>
          <w:rFonts w:hint="cs"/>
          <w:rtl/>
        </w:rPr>
        <w:t>ۡ</w:t>
      </w:r>
      <w:r w:rsidRPr="00DF7CAE">
        <w:rPr>
          <w:rStyle w:val="Char3"/>
          <w:rtl/>
        </w:rPr>
        <w:t xml:space="preserve"> </w:t>
      </w:r>
      <w:r w:rsidRPr="00DF7CAE">
        <w:rPr>
          <w:rStyle w:val="Char3"/>
          <w:rFonts w:hint="eastAsia"/>
          <w:rtl/>
        </w:rPr>
        <w:t>وَمِمَّا</w:t>
      </w:r>
      <w:r w:rsidRPr="00DF7CAE">
        <w:rPr>
          <w:rStyle w:val="Char3"/>
          <w:rFonts w:hint="cs"/>
          <w:rtl/>
        </w:rPr>
        <w:t>ٓ</w:t>
      </w:r>
      <w:r w:rsidRPr="00DF7CAE">
        <w:rPr>
          <w:rStyle w:val="Char3"/>
          <w:rtl/>
        </w:rPr>
        <w:t xml:space="preserve"> </w:t>
      </w:r>
      <w:r w:rsidRPr="00DF7CAE">
        <w:rPr>
          <w:rStyle w:val="Char3"/>
          <w:rFonts w:hint="eastAsia"/>
          <w:rtl/>
        </w:rPr>
        <w:t>أَخ</w:t>
      </w:r>
      <w:r w:rsidRPr="00DF7CAE">
        <w:rPr>
          <w:rStyle w:val="Char3"/>
          <w:rFonts w:hint="cs"/>
          <w:rtl/>
        </w:rPr>
        <w:t>ۡ</w:t>
      </w:r>
      <w:r w:rsidRPr="00DF7CAE">
        <w:rPr>
          <w:rStyle w:val="Char3"/>
          <w:rFonts w:hint="eastAsia"/>
          <w:rtl/>
        </w:rPr>
        <w:t>رَج</w:t>
      </w:r>
      <w:r w:rsidRPr="00DF7CAE">
        <w:rPr>
          <w:rStyle w:val="Char3"/>
          <w:rFonts w:hint="cs"/>
          <w:rtl/>
        </w:rPr>
        <w:t>ۡ</w:t>
      </w:r>
      <w:r w:rsidRPr="00DF7CAE">
        <w:rPr>
          <w:rStyle w:val="Char3"/>
          <w:rFonts w:hint="eastAsia"/>
          <w:rtl/>
        </w:rPr>
        <w:t>نَا</w:t>
      </w:r>
      <w:r w:rsidRPr="00DF7CAE">
        <w:rPr>
          <w:rStyle w:val="Char3"/>
          <w:rtl/>
        </w:rPr>
        <w:t xml:space="preserve"> </w:t>
      </w:r>
      <w:r w:rsidRPr="00DF7CAE">
        <w:rPr>
          <w:rStyle w:val="Char3"/>
          <w:rFonts w:hint="eastAsia"/>
          <w:rtl/>
        </w:rPr>
        <w:t>لَكُم</w:t>
      </w:r>
      <w:r w:rsidRPr="00DF7CAE">
        <w:rPr>
          <w:rStyle w:val="Char3"/>
          <w:rtl/>
        </w:rPr>
        <w:t xml:space="preserve"> </w:t>
      </w:r>
      <w:r w:rsidRPr="00DF7CAE">
        <w:rPr>
          <w:rStyle w:val="Char3"/>
          <w:rFonts w:hint="eastAsia"/>
          <w:rtl/>
        </w:rPr>
        <w:t>مِّنَ</w:t>
      </w:r>
      <w:r w:rsidRPr="00DF7CAE">
        <w:rPr>
          <w:rStyle w:val="Char3"/>
          <w:rtl/>
        </w:rPr>
        <w:t xml:space="preserve"> </w:t>
      </w:r>
      <w:r w:rsidRPr="00DF7CAE">
        <w:rPr>
          <w:rStyle w:val="Char3"/>
          <w:rFonts w:hint="cs"/>
          <w:rtl/>
        </w:rPr>
        <w:t>ٱ</w:t>
      </w:r>
      <w:r w:rsidRPr="00DF7CAE">
        <w:rPr>
          <w:rStyle w:val="Char3"/>
          <w:rFonts w:hint="eastAsia"/>
          <w:rtl/>
        </w:rPr>
        <w:t>ل</w:t>
      </w:r>
      <w:r w:rsidRPr="00DF7CAE">
        <w:rPr>
          <w:rStyle w:val="Char3"/>
          <w:rFonts w:hint="cs"/>
          <w:rtl/>
        </w:rPr>
        <w:t>ۡ</w:t>
      </w:r>
      <w:r w:rsidRPr="00DF7CAE">
        <w:rPr>
          <w:rStyle w:val="Char3"/>
          <w:rFonts w:hint="eastAsia"/>
          <w:rtl/>
        </w:rPr>
        <w:t>أَر</w:t>
      </w:r>
      <w:r w:rsidRPr="00DF7CAE">
        <w:rPr>
          <w:rStyle w:val="Char3"/>
          <w:rFonts w:hint="cs"/>
          <w:rtl/>
        </w:rPr>
        <w:t>ۡ</w:t>
      </w:r>
      <w:r w:rsidRPr="00DF7CAE">
        <w:rPr>
          <w:rStyle w:val="Char3"/>
          <w:rFonts w:hint="eastAsia"/>
          <w:rtl/>
        </w:rPr>
        <w:t>ضِ</w:t>
      </w:r>
      <w:r w:rsidRPr="00995B26">
        <w:rPr>
          <w:rFonts w:ascii="Abo-thar" w:hAnsi="Abo-thar" w:cs="Traditional Arabic" w:hint="cs"/>
          <w:sz w:val="28"/>
          <w:rtl/>
        </w:rPr>
        <w:t>﴾</w:t>
      </w:r>
      <w:r w:rsidR="005C664D" w:rsidRPr="00995B26">
        <w:rPr>
          <w:rFonts w:ascii="Abo-thar" w:hAnsi="Abo-thar"/>
          <w:sz w:val="28"/>
          <w:rtl/>
        </w:rPr>
        <w:t xml:space="preserve"> </w:t>
      </w:r>
      <w:r w:rsidR="005C664D" w:rsidRPr="00FC12FD">
        <w:rPr>
          <w:rStyle w:val="Char2"/>
          <w:rtl/>
        </w:rPr>
        <w:t>[البقرة</w:t>
      </w:r>
      <w:r w:rsidR="00713EB9" w:rsidRPr="00FC12FD">
        <w:rPr>
          <w:rStyle w:val="Char2"/>
          <w:rFonts w:hint="cs"/>
          <w:rtl/>
        </w:rPr>
        <w:t xml:space="preserve">: </w:t>
      </w:r>
      <w:r w:rsidR="005C664D" w:rsidRPr="00FC12FD">
        <w:rPr>
          <w:rStyle w:val="Char2"/>
          <w:rtl/>
        </w:rPr>
        <w:t>267]</w:t>
      </w:r>
      <w:r w:rsidR="00147857" w:rsidRPr="00995B26">
        <w:rPr>
          <w:rFonts w:ascii="Abo-thar" w:hAnsi="Abo-thar"/>
          <w:sz w:val="28"/>
          <w:rtl/>
        </w:rPr>
        <w:t xml:space="preserve"> </w:t>
      </w:r>
      <w:r w:rsidRPr="00995B26">
        <w:rPr>
          <w:rFonts w:ascii="Abo-thar" w:hAnsi="Abo-thar" w:cs="Traditional Arabic" w:hint="cs"/>
          <w:sz w:val="28"/>
          <w:rtl/>
        </w:rPr>
        <w:t>﴿</w:t>
      </w:r>
      <w:r w:rsidRPr="00DF7CAE">
        <w:rPr>
          <w:rStyle w:val="Char3"/>
          <w:rFonts w:hint="eastAsia"/>
          <w:rtl/>
        </w:rPr>
        <w:t>وَءَاتُوهُم</w:t>
      </w:r>
      <w:r w:rsidRPr="00DF7CAE">
        <w:rPr>
          <w:rStyle w:val="Char3"/>
          <w:rtl/>
        </w:rPr>
        <w:t xml:space="preserve"> </w:t>
      </w:r>
      <w:r w:rsidRPr="00DF7CAE">
        <w:rPr>
          <w:rStyle w:val="Char3"/>
          <w:rFonts w:hint="eastAsia"/>
          <w:rtl/>
        </w:rPr>
        <w:t>مِّن</w:t>
      </w:r>
      <w:r w:rsidRPr="00DF7CAE">
        <w:rPr>
          <w:rStyle w:val="Char3"/>
          <w:rtl/>
        </w:rPr>
        <w:t xml:space="preserve"> </w:t>
      </w:r>
      <w:r w:rsidRPr="00DF7CAE">
        <w:rPr>
          <w:rStyle w:val="Char3"/>
          <w:rFonts w:hint="eastAsia"/>
          <w:rtl/>
        </w:rPr>
        <w:t>مَّالِ</w:t>
      </w:r>
      <w:r w:rsidRPr="00DF7CAE">
        <w:rPr>
          <w:rStyle w:val="Char3"/>
          <w:rtl/>
        </w:rPr>
        <w:t xml:space="preserve"> </w:t>
      </w:r>
      <w:r w:rsidRPr="00DF7CAE">
        <w:rPr>
          <w:rStyle w:val="Char3"/>
          <w:rFonts w:hint="cs"/>
          <w:rtl/>
        </w:rPr>
        <w:t>ٱ</w:t>
      </w:r>
      <w:r w:rsidRPr="00DF7CAE">
        <w:rPr>
          <w:rStyle w:val="Char3"/>
          <w:rFonts w:hint="eastAsia"/>
          <w:rtl/>
        </w:rPr>
        <w:t>للَّهِ</w:t>
      </w:r>
      <w:r w:rsidRPr="00DF7CAE">
        <w:rPr>
          <w:rStyle w:val="Char3"/>
          <w:rtl/>
        </w:rPr>
        <w:t xml:space="preserve"> </w:t>
      </w:r>
      <w:r w:rsidRPr="00DF7CAE">
        <w:rPr>
          <w:rStyle w:val="Char3"/>
          <w:rFonts w:hint="cs"/>
          <w:rtl/>
        </w:rPr>
        <w:t>ٱ</w:t>
      </w:r>
      <w:r w:rsidRPr="00DF7CAE">
        <w:rPr>
          <w:rStyle w:val="Char3"/>
          <w:rFonts w:hint="eastAsia"/>
          <w:rtl/>
        </w:rPr>
        <w:t>لَّذِي</w:t>
      </w:r>
      <w:r w:rsidRPr="00DF7CAE">
        <w:rPr>
          <w:rStyle w:val="Char3"/>
          <w:rFonts w:hint="cs"/>
          <w:rtl/>
        </w:rPr>
        <w:t>ٓ</w:t>
      </w:r>
      <w:r w:rsidRPr="00DF7CAE">
        <w:rPr>
          <w:rStyle w:val="Char3"/>
          <w:rtl/>
        </w:rPr>
        <w:t xml:space="preserve"> </w:t>
      </w:r>
      <w:r w:rsidRPr="00DF7CAE">
        <w:rPr>
          <w:rStyle w:val="Char3"/>
          <w:rFonts w:hint="eastAsia"/>
          <w:rtl/>
        </w:rPr>
        <w:t>ءَاتَى</w:t>
      </w:r>
      <w:r w:rsidRPr="00DF7CAE">
        <w:rPr>
          <w:rStyle w:val="Char3"/>
          <w:rFonts w:hint="cs"/>
          <w:rtl/>
        </w:rPr>
        <w:t>ٰ</w:t>
      </w:r>
      <w:r w:rsidRPr="00DF7CAE">
        <w:rPr>
          <w:rStyle w:val="Char3"/>
          <w:rFonts w:hint="eastAsia"/>
          <w:rtl/>
        </w:rPr>
        <w:t>كُم</w:t>
      </w:r>
      <w:r w:rsidRPr="00DF7CAE">
        <w:rPr>
          <w:rStyle w:val="Char3"/>
          <w:rFonts w:hint="cs"/>
          <w:rtl/>
        </w:rPr>
        <w:t>ۡ</w:t>
      </w:r>
      <w:r w:rsidRPr="00995B26">
        <w:rPr>
          <w:rFonts w:ascii="Abo-thar" w:hAnsi="Abo-thar" w:cs="Traditional Arabic" w:hint="cs"/>
          <w:sz w:val="28"/>
          <w:rtl/>
        </w:rPr>
        <w:t>﴾</w:t>
      </w:r>
      <w:r w:rsidR="005C664D" w:rsidRPr="00995B26">
        <w:rPr>
          <w:rFonts w:ascii="Abo-thar" w:hAnsi="Abo-thar"/>
          <w:sz w:val="28"/>
          <w:rtl/>
        </w:rPr>
        <w:t xml:space="preserve"> </w:t>
      </w:r>
      <w:r w:rsidR="005C664D" w:rsidRPr="00FC12FD">
        <w:rPr>
          <w:rStyle w:val="Char2"/>
          <w:rtl/>
        </w:rPr>
        <w:t>[النور</w:t>
      </w:r>
      <w:r w:rsidR="00713EB9" w:rsidRPr="00FC12FD">
        <w:rPr>
          <w:rStyle w:val="Char2"/>
          <w:rFonts w:hint="cs"/>
          <w:rtl/>
        </w:rPr>
        <w:t xml:space="preserve">: </w:t>
      </w:r>
      <w:r w:rsidR="005C664D" w:rsidRPr="00FC12FD">
        <w:rPr>
          <w:rStyle w:val="Char2"/>
          <w:rtl/>
        </w:rPr>
        <w:t>33]</w:t>
      </w:r>
      <w:r w:rsidRPr="00995B26">
        <w:rPr>
          <w:rFonts w:ascii="Abo-thar" w:hAnsi="Abo-thar" w:hint="cs"/>
          <w:sz w:val="28"/>
          <w:rtl/>
        </w:rPr>
        <w:t>.</w:t>
      </w:r>
    </w:p>
    <w:p w:rsidR="005C664D" w:rsidRPr="003F3B94" w:rsidRDefault="005C664D" w:rsidP="003F3B94">
      <w:pPr>
        <w:pStyle w:val="a0"/>
        <w:rPr>
          <w:rFonts w:hint="cs"/>
          <w:rtl/>
        </w:rPr>
      </w:pPr>
      <w:r w:rsidRPr="003F3B94">
        <w:rPr>
          <w:rFonts w:ascii="Abo-thar" w:hAnsi="Abo-thar" w:hint="cs"/>
          <w:sz w:val="28"/>
          <w:rtl/>
        </w:rPr>
        <w:t>وقد جاء عقب أكثر آيات الزكاة التهديد المنكرين والمخالفين بالعذاب الشديد</w:t>
      </w:r>
      <w:r w:rsidR="00E41494" w:rsidRPr="003F3B94">
        <w:rPr>
          <w:rFonts w:ascii="Abo-thar" w:hAnsi="Abo-thar" w:hint="cs"/>
          <w:sz w:val="28"/>
          <w:rtl/>
        </w:rPr>
        <w:t>،</w:t>
      </w:r>
      <w:r w:rsidRPr="003F3B94">
        <w:rPr>
          <w:rFonts w:ascii="Abo-thar" w:hAnsi="Abo-thar" w:hint="cs"/>
          <w:sz w:val="28"/>
          <w:rtl/>
        </w:rPr>
        <w:t xml:space="preserve"> وأمثالها من الآيات التي تهدِّد بعذاب الله في نار جهنم</w:t>
      </w:r>
      <w:r w:rsidR="00217AB4" w:rsidRPr="003F3B94">
        <w:rPr>
          <w:rFonts w:ascii="Abo-thar" w:hAnsi="Abo-thar" w:hint="cs"/>
          <w:sz w:val="28"/>
          <w:rtl/>
        </w:rPr>
        <w:t>.</w:t>
      </w:r>
      <w:r w:rsidRPr="003F3B94">
        <w:rPr>
          <w:rFonts w:ascii="Abo-thar" w:hAnsi="Abo-thar" w:hint="cs"/>
          <w:sz w:val="28"/>
          <w:rtl/>
        </w:rPr>
        <w:t xml:space="preserve"> </w:t>
      </w:r>
    </w:p>
    <w:p w:rsidR="005C664D" w:rsidRPr="00995B26" w:rsidRDefault="005C664D" w:rsidP="003F3B94">
      <w:pPr>
        <w:pStyle w:val="a0"/>
        <w:rPr>
          <w:rFonts w:hint="cs"/>
          <w:rtl/>
        </w:rPr>
      </w:pPr>
      <w:r w:rsidRPr="003F3B94">
        <w:rPr>
          <w:rFonts w:ascii="Abo-thar" w:hAnsi="Abo-thar" w:hint="cs"/>
          <w:sz w:val="28"/>
          <w:rtl/>
        </w:rPr>
        <w:t>أما في الآية الكريمة المتعلِّقة بالخمس فقد جاء الكلام بلهجةٍ وصيغةٍ إعلامية وإرشادية فابتدأ بقوله</w:t>
      </w:r>
      <w:r w:rsidR="00217AB4" w:rsidRPr="003F3B94">
        <w:rPr>
          <w:rFonts w:ascii="Abo-thar" w:hAnsi="Abo-thar" w:hint="cs"/>
          <w:sz w:val="28"/>
          <w:rtl/>
        </w:rPr>
        <w:t>:</w:t>
      </w:r>
      <w:r w:rsidRPr="003F3B94">
        <w:rPr>
          <w:rFonts w:ascii="Abo-thar" w:hAnsi="Abo-thar" w:hint="cs"/>
          <w:sz w:val="28"/>
          <w:rtl/>
        </w:rPr>
        <w:t xml:space="preserve"> </w:t>
      </w:r>
      <w:r w:rsidR="00E77B3F" w:rsidRPr="00995B26">
        <w:rPr>
          <w:rFonts w:ascii="Abo-thar" w:hAnsi="Abo-thar" w:cs="Traditional Arabic" w:hint="cs"/>
          <w:sz w:val="28"/>
          <w:rtl/>
        </w:rPr>
        <w:t>﴿</w:t>
      </w:r>
      <w:r w:rsidR="00E77B3F" w:rsidRPr="00DF7CAE">
        <w:rPr>
          <w:rStyle w:val="Char3"/>
          <w:rFonts w:hint="eastAsia"/>
          <w:rtl/>
        </w:rPr>
        <w:t>وَ</w:t>
      </w:r>
      <w:r w:rsidR="00E77B3F" w:rsidRPr="00DF7CAE">
        <w:rPr>
          <w:rStyle w:val="Char3"/>
          <w:rFonts w:hint="cs"/>
          <w:rtl/>
        </w:rPr>
        <w:t>ٱ</w:t>
      </w:r>
      <w:r w:rsidR="00E77B3F" w:rsidRPr="00DF7CAE">
        <w:rPr>
          <w:rStyle w:val="Char3"/>
          <w:rFonts w:hint="eastAsia"/>
          <w:rtl/>
        </w:rPr>
        <w:t>ع</w:t>
      </w:r>
      <w:r w:rsidR="00E77B3F" w:rsidRPr="00DF7CAE">
        <w:rPr>
          <w:rStyle w:val="Char3"/>
          <w:rFonts w:hint="cs"/>
          <w:rtl/>
        </w:rPr>
        <w:t>ۡ</w:t>
      </w:r>
      <w:r w:rsidR="00E77B3F" w:rsidRPr="00DF7CAE">
        <w:rPr>
          <w:rStyle w:val="Char3"/>
          <w:rFonts w:hint="eastAsia"/>
          <w:rtl/>
        </w:rPr>
        <w:t>لَمُو</w:t>
      </w:r>
      <w:r w:rsidR="00E77B3F" w:rsidRPr="00DF7CAE">
        <w:rPr>
          <w:rStyle w:val="Char3"/>
          <w:rFonts w:hint="cs"/>
          <w:rtl/>
        </w:rPr>
        <w:t>ٓ</w:t>
      </w:r>
      <w:r w:rsidR="00E77B3F" w:rsidRPr="00DF7CAE">
        <w:rPr>
          <w:rStyle w:val="Char3"/>
          <w:rFonts w:hint="eastAsia"/>
          <w:rtl/>
        </w:rPr>
        <w:t>اْ</w:t>
      </w:r>
      <w:r w:rsidR="00E77B3F" w:rsidRPr="00995B26">
        <w:rPr>
          <w:rFonts w:ascii="KFGQPC Uthmanic Script HAFS" w:cs="Times New Roman" w:hint="cs"/>
          <w:sz w:val="28"/>
          <w:rtl/>
        </w:rPr>
        <w:t>...</w:t>
      </w:r>
      <w:r w:rsidR="00E77B3F" w:rsidRPr="00995B26">
        <w:rPr>
          <w:rFonts w:ascii="Abo-thar" w:hAnsi="Abo-thar" w:cs="Traditional Arabic" w:hint="cs"/>
          <w:sz w:val="28"/>
          <w:rtl/>
        </w:rPr>
        <w:t>﴾</w:t>
      </w:r>
      <w:r w:rsidR="00E77B3F" w:rsidRPr="00995B26">
        <w:rPr>
          <w:rFonts w:ascii="Abo-thar" w:hAnsi="Abo-thar" w:hint="cs"/>
          <w:sz w:val="28"/>
          <w:rtl/>
        </w:rPr>
        <w:t xml:space="preserve"> </w:t>
      </w:r>
      <w:r w:rsidRPr="00995B26">
        <w:rPr>
          <w:rFonts w:ascii="Abo-thar" w:hAnsi="Abo-thar" w:hint="cs"/>
          <w:sz w:val="28"/>
          <w:rtl/>
        </w:rPr>
        <w:t>والتي لا يخفى على أهل الأدب والعارفين بلغة العرب ما فيها من لطف واختلاف عن تلك الأوامر</w:t>
      </w:r>
      <w:r w:rsidR="00217AB4" w:rsidRPr="00995B26">
        <w:rPr>
          <w:rFonts w:ascii="Abo-thar" w:hAnsi="Abo-thar" w:hint="cs"/>
          <w:sz w:val="28"/>
          <w:rtl/>
        </w:rPr>
        <w:t>،</w:t>
      </w:r>
      <w:r w:rsidRPr="00995B26">
        <w:rPr>
          <w:rFonts w:ascii="Abo-thar" w:hAnsi="Abo-thar" w:hint="cs"/>
          <w:sz w:val="28"/>
          <w:rtl/>
        </w:rPr>
        <w:t xml:space="preserve"> وذلك لأن المسألة هنا مسألة علمية وليست عمليةً</w:t>
      </w:r>
      <w:r w:rsidR="00217AB4" w:rsidRPr="00995B26">
        <w:rPr>
          <w:rFonts w:ascii="Abo-thar" w:hAnsi="Abo-thar" w:hint="cs"/>
          <w:sz w:val="28"/>
          <w:rtl/>
        </w:rPr>
        <w:t>،</w:t>
      </w:r>
      <w:r w:rsidRPr="00995B26">
        <w:rPr>
          <w:rFonts w:ascii="Abo-thar" w:hAnsi="Abo-thar" w:hint="cs"/>
          <w:sz w:val="28"/>
          <w:rtl/>
        </w:rPr>
        <w:t xml:space="preserve"> ومسألة اعتقادية وليست اكتسابية ومعرفية لا مسألة أمر بإعطاء وإيجاب لدفع</w:t>
      </w:r>
      <w:r w:rsidR="00217AB4" w:rsidRPr="00995B26">
        <w:rPr>
          <w:rFonts w:ascii="Abo-thar" w:hAnsi="Abo-thar" w:hint="cs"/>
          <w:sz w:val="28"/>
          <w:rtl/>
        </w:rPr>
        <w:t>؛</w:t>
      </w:r>
      <w:r w:rsidRPr="00995B26">
        <w:rPr>
          <w:rFonts w:ascii="Abo-thar" w:hAnsi="Abo-thar" w:hint="cs"/>
          <w:sz w:val="28"/>
          <w:rtl/>
        </w:rPr>
        <w:t xml:space="preserve"> لذا بدأت بعبارة </w:t>
      </w:r>
      <w:r w:rsidR="00E77B3F" w:rsidRPr="00995B26">
        <w:rPr>
          <w:rFonts w:ascii="Abo-thar" w:hAnsi="Abo-thar" w:cs="Traditional Arabic" w:hint="cs"/>
          <w:sz w:val="28"/>
          <w:rtl/>
        </w:rPr>
        <w:t>﴿</w:t>
      </w:r>
      <w:r w:rsidR="00E77B3F" w:rsidRPr="00DF7CAE">
        <w:rPr>
          <w:rStyle w:val="Char3"/>
          <w:rFonts w:hint="eastAsia"/>
          <w:rtl/>
        </w:rPr>
        <w:t>وَ</w:t>
      </w:r>
      <w:r w:rsidR="00E77B3F" w:rsidRPr="00DF7CAE">
        <w:rPr>
          <w:rStyle w:val="Char3"/>
          <w:rFonts w:hint="cs"/>
          <w:rtl/>
        </w:rPr>
        <w:t>ٱ</w:t>
      </w:r>
      <w:r w:rsidR="00E77B3F" w:rsidRPr="00DF7CAE">
        <w:rPr>
          <w:rStyle w:val="Char3"/>
          <w:rFonts w:hint="eastAsia"/>
          <w:rtl/>
        </w:rPr>
        <w:t>ع</w:t>
      </w:r>
      <w:r w:rsidR="00E77B3F" w:rsidRPr="00DF7CAE">
        <w:rPr>
          <w:rStyle w:val="Char3"/>
          <w:rFonts w:hint="cs"/>
          <w:rtl/>
        </w:rPr>
        <w:t>ۡ</w:t>
      </w:r>
      <w:r w:rsidR="00E77B3F" w:rsidRPr="00DF7CAE">
        <w:rPr>
          <w:rStyle w:val="Char3"/>
          <w:rFonts w:hint="eastAsia"/>
          <w:rtl/>
        </w:rPr>
        <w:t>لَمُو</w:t>
      </w:r>
      <w:r w:rsidR="00E77B3F" w:rsidRPr="00DF7CAE">
        <w:rPr>
          <w:rStyle w:val="Char3"/>
          <w:rFonts w:hint="cs"/>
          <w:rtl/>
        </w:rPr>
        <w:t>ٓ</w:t>
      </w:r>
      <w:r w:rsidR="00E77B3F" w:rsidRPr="00DF7CAE">
        <w:rPr>
          <w:rStyle w:val="Char3"/>
          <w:rFonts w:hint="eastAsia"/>
          <w:rtl/>
        </w:rPr>
        <w:t>اْ</w:t>
      </w:r>
      <w:r w:rsidR="00E77B3F" w:rsidRPr="00995B26">
        <w:rPr>
          <w:rFonts w:ascii="KFGQPC Uthmanic Script HAFS" w:cs="Times New Roman" w:hint="cs"/>
          <w:sz w:val="28"/>
          <w:rtl/>
        </w:rPr>
        <w:t>...</w:t>
      </w:r>
      <w:r w:rsidR="00E77B3F" w:rsidRPr="00995B26">
        <w:rPr>
          <w:rFonts w:ascii="Abo-thar" w:hAnsi="Abo-thar" w:cs="Traditional Arabic" w:hint="cs"/>
          <w:sz w:val="28"/>
          <w:rtl/>
        </w:rPr>
        <w:t>﴾</w:t>
      </w:r>
      <w:r w:rsidRPr="00995B26">
        <w:rPr>
          <w:rFonts w:ascii="Abo-thar" w:hAnsi="Abo-thar" w:hint="cs"/>
          <w:sz w:val="28"/>
          <w:rtl/>
        </w:rPr>
        <w:t xml:space="preserve"> وليس بعبارة "وآتُوا أو وأدُّوا" واختتمت بعبارة</w:t>
      </w:r>
      <w:r w:rsidR="00E77B3F" w:rsidRPr="00995B26">
        <w:rPr>
          <w:rFonts w:ascii="Abo-thar" w:hAnsi="Abo-thar" w:hint="cs"/>
          <w:sz w:val="28"/>
          <w:rtl/>
        </w:rPr>
        <w:t xml:space="preserve">: </w:t>
      </w:r>
      <w:r w:rsidR="00E77B3F" w:rsidRPr="00995B26">
        <w:rPr>
          <w:rFonts w:ascii="Abo-thar" w:hAnsi="Abo-thar" w:cs="Traditional Arabic" w:hint="cs"/>
          <w:sz w:val="28"/>
          <w:rtl/>
        </w:rPr>
        <w:t>﴿</w:t>
      </w:r>
      <w:r w:rsidR="00E77B3F" w:rsidRPr="00DF7CAE">
        <w:rPr>
          <w:rStyle w:val="Char3"/>
          <w:rFonts w:hint="eastAsia"/>
          <w:rtl/>
        </w:rPr>
        <w:t>إِن</w:t>
      </w:r>
      <w:r w:rsidR="00E77B3F" w:rsidRPr="00DF7CAE">
        <w:rPr>
          <w:rStyle w:val="Char3"/>
          <w:rtl/>
        </w:rPr>
        <w:t xml:space="preserve"> </w:t>
      </w:r>
      <w:r w:rsidR="00E77B3F" w:rsidRPr="00DF7CAE">
        <w:rPr>
          <w:rStyle w:val="Char3"/>
          <w:rFonts w:hint="eastAsia"/>
          <w:rtl/>
        </w:rPr>
        <w:t>كُنتُم</w:t>
      </w:r>
      <w:r w:rsidR="00E77B3F" w:rsidRPr="00DF7CAE">
        <w:rPr>
          <w:rStyle w:val="Char3"/>
          <w:rFonts w:hint="cs"/>
          <w:rtl/>
        </w:rPr>
        <w:t>ۡ</w:t>
      </w:r>
      <w:r w:rsidR="00E77B3F" w:rsidRPr="00DF7CAE">
        <w:rPr>
          <w:rStyle w:val="Char3"/>
          <w:rtl/>
        </w:rPr>
        <w:t xml:space="preserve"> </w:t>
      </w:r>
      <w:r w:rsidR="00E77B3F" w:rsidRPr="00DF7CAE">
        <w:rPr>
          <w:rStyle w:val="Char3"/>
          <w:rFonts w:hint="eastAsia"/>
          <w:rtl/>
        </w:rPr>
        <w:t>ءَامَنتُم</w:t>
      </w:r>
      <w:r w:rsidR="00E77B3F" w:rsidRPr="00DF7CAE">
        <w:rPr>
          <w:rStyle w:val="Char3"/>
          <w:rtl/>
        </w:rPr>
        <w:t xml:space="preserve"> </w:t>
      </w:r>
      <w:r w:rsidR="00E77B3F" w:rsidRPr="00DF7CAE">
        <w:rPr>
          <w:rStyle w:val="Char3"/>
          <w:rFonts w:hint="eastAsia"/>
          <w:rtl/>
        </w:rPr>
        <w:t>بِ</w:t>
      </w:r>
      <w:r w:rsidR="00E77B3F" w:rsidRPr="00DF7CAE">
        <w:rPr>
          <w:rStyle w:val="Char3"/>
          <w:rFonts w:hint="cs"/>
          <w:rtl/>
        </w:rPr>
        <w:t>ٱ</w:t>
      </w:r>
      <w:r w:rsidR="00E77B3F" w:rsidRPr="00DF7CAE">
        <w:rPr>
          <w:rStyle w:val="Char3"/>
          <w:rFonts w:hint="eastAsia"/>
          <w:rtl/>
        </w:rPr>
        <w:t>للَّهِ</w:t>
      </w:r>
      <w:r w:rsidR="00E77B3F" w:rsidRPr="00DF7CAE">
        <w:rPr>
          <w:rStyle w:val="Char3"/>
          <w:rtl/>
        </w:rPr>
        <w:t xml:space="preserve"> </w:t>
      </w:r>
      <w:r w:rsidR="00E77B3F" w:rsidRPr="00DF7CAE">
        <w:rPr>
          <w:rStyle w:val="Char3"/>
          <w:rFonts w:hint="eastAsia"/>
          <w:rtl/>
        </w:rPr>
        <w:t>وَمَا</w:t>
      </w:r>
      <w:r w:rsidR="00E77B3F" w:rsidRPr="00DF7CAE">
        <w:rPr>
          <w:rStyle w:val="Char3"/>
          <w:rFonts w:hint="cs"/>
          <w:rtl/>
        </w:rPr>
        <w:t>ٓ</w:t>
      </w:r>
      <w:r w:rsidR="00E77B3F" w:rsidRPr="00DF7CAE">
        <w:rPr>
          <w:rStyle w:val="Char3"/>
          <w:rtl/>
        </w:rPr>
        <w:t xml:space="preserve"> </w:t>
      </w:r>
      <w:r w:rsidR="00E77B3F" w:rsidRPr="00DF7CAE">
        <w:rPr>
          <w:rStyle w:val="Char3"/>
          <w:rFonts w:hint="eastAsia"/>
          <w:rtl/>
        </w:rPr>
        <w:t>أَنزَل</w:t>
      </w:r>
      <w:r w:rsidR="00E77B3F" w:rsidRPr="00DF7CAE">
        <w:rPr>
          <w:rStyle w:val="Char3"/>
          <w:rFonts w:hint="cs"/>
          <w:rtl/>
        </w:rPr>
        <w:t>ۡ</w:t>
      </w:r>
      <w:r w:rsidR="00E77B3F" w:rsidRPr="00DF7CAE">
        <w:rPr>
          <w:rStyle w:val="Char3"/>
          <w:rFonts w:hint="eastAsia"/>
          <w:rtl/>
        </w:rPr>
        <w:t>نَا</w:t>
      </w:r>
      <w:r w:rsidR="00E77B3F" w:rsidRPr="00DF7CAE">
        <w:rPr>
          <w:rStyle w:val="Char3"/>
          <w:rtl/>
        </w:rPr>
        <w:t xml:space="preserve"> </w:t>
      </w:r>
      <w:r w:rsidR="00E77B3F" w:rsidRPr="00DF7CAE">
        <w:rPr>
          <w:rStyle w:val="Char3"/>
          <w:rFonts w:hint="eastAsia"/>
          <w:rtl/>
        </w:rPr>
        <w:t>عَلَى</w:t>
      </w:r>
      <w:r w:rsidR="00E77B3F" w:rsidRPr="00DF7CAE">
        <w:rPr>
          <w:rStyle w:val="Char3"/>
          <w:rFonts w:hint="cs"/>
          <w:rtl/>
        </w:rPr>
        <w:t>ٰ</w:t>
      </w:r>
      <w:r w:rsidR="00E77B3F" w:rsidRPr="00DF7CAE">
        <w:rPr>
          <w:rStyle w:val="Char3"/>
          <w:rtl/>
        </w:rPr>
        <w:t xml:space="preserve"> </w:t>
      </w:r>
      <w:r w:rsidR="00E77B3F" w:rsidRPr="00DF7CAE">
        <w:rPr>
          <w:rStyle w:val="Char3"/>
          <w:rFonts w:hint="eastAsia"/>
          <w:rtl/>
        </w:rPr>
        <w:t>عَب</w:t>
      </w:r>
      <w:r w:rsidR="00E77B3F" w:rsidRPr="00DF7CAE">
        <w:rPr>
          <w:rStyle w:val="Char3"/>
          <w:rFonts w:hint="cs"/>
          <w:rtl/>
        </w:rPr>
        <w:t>ۡ</w:t>
      </w:r>
      <w:r w:rsidR="00E77B3F" w:rsidRPr="00DF7CAE">
        <w:rPr>
          <w:rStyle w:val="Char3"/>
          <w:rFonts w:hint="eastAsia"/>
          <w:rtl/>
        </w:rPr>
        <w:t>دِنَا</w:t>
      </w:r>
      <w:r w:rsidR="00E77B3F" w:rsidRPr="00DF7CAE">
        <w:rPr>
          <w:rStyle w:val="Char3"/>
          <w:rtl/>
        </w:rPr>
        <w:t xml:space="preserve"> </w:t>
      </w:r>
      <w:r w:rsidR="00E77B3F" w:rsidRPr="00DF7CAE">
        <w:rPr>
          <w:rStyle w:val="Char3"/>
          <w:rFonts w:hint="eastAsia"/>
          <w:rtl/>
        </w:rPr>
        <w:t>يَو</w:t>
      </w:r>
      <w:r w:rsidR="00E77B3F" w:rsidRPr="00DF7CAE">
        <w:rPr>
          <w:rStyle w:val="Char3"/>
          <w:rFonts w:hint="cs"/>
          <w:rtl/>
        </w:rPr>
        <w:t>ۡ</w:t>
      </w:r>
      <w:r w:rsidR="00E77B3F" w:rsidRPr="00DF7CAE">
        <w:rPr>
          <w:rStyle w:val="Char3"/>
          <w:rFonts w:hint="eastAsia"/>
          <w:rtl/>
        </w:rPr>
        <w:t>مَ</w:t>
      </w:r>
      <w:r w:rsidR="00E77B3F" w:rsidRPr="00DF7CAE">
        <w:rPr>
          <w:rStyle w:val="Char3"/>
          <w:rtl/>
        </w:rPr>
        <w:t xml:space="preserve"> </w:t>
      </w:r>
      <w:r w:rsidR="00E77B3F" w:rsidRPr="00DF7CAE">
        <w:rPr>
          <w:rStyle w:val="Char3"/>
          <w:rFonts w:hint="cs"/>
          <w:rtl/>
        </w:rPr>
        <w:t>ٱ</w:t>
      </w:r>
      <w:r w:rsidR="00E77B3F" w:rsidRPr="00DF7CAE">
        <w:rPr>
          <w:rStyle w:val="Char3"/>
          <w:rFonts w:hint="eastAsia"/>
          <w:rtl/>
        </w:rPr>
        <w:t>ل</w:t>
      </w:r>
      <w:r w:rsidR="00E77B3F" w:rsidRPr="00DF7CAE">
        <w:rPr>
          <w:rStyle w:val="Char3"/>
          <w:rFonts w:hint="cs"/>
          <w:rtl/>
        </w:rPr>
        <w:t>ۡ</w:t>
      </w:r>
      <w:r w:rsidR="00E77B3F" w:rsidRPr="00DF7CAE">
        <w:rPr>
          <w:rStyle w:val="Char3"/>
          <w:rFonts w:hint="eastAsia"/>
          <w:rtl/>
        </w:rPr>
        <w:t>فُر</w:t>
      </w:r>
      <w:r w:rsidR="00E77B3F" w:rsidRPr="00DF7CAE">
        <w:rPr>
          <w:rStyle w:val="Char3"/>
          <w:rFonts w:hint="cs"/>
          <w:rtl/>
        </w:rPr>
        <w:t>ۡ</w:t>
      </w:r>
      <w:r w:rsidR="00E77B3F" w:rsidRPr="00DF7CAE">
        <w:rPr>
          <w:rStyle w:val="Char3"/>
          <w:rFonts w:hint="eastAsia"/>
          <w:rtl/>
        </w:rPr>
        <w:t>قَانِ</w:t>
      </w:r>
      <w:r w:rsidR="00E77B3F" w:rsidRPr="00995B26">
        <w:rPr>
          <w:rFonts w:ascii="Abo-thar" w:hAnsi="Abo-thar" w:cs="Traditional Arabic" w:hint="cs"/>
          <w:sz w:val="28"/>
          <w:rtl/>
        </w:rPr>
        <w:t>﴾</w:t>
      </w:r>
      <w:r w:rsidRPr="00995B26">
        <w:rPr>
          <w:rFonts w:ascii="Abo-thar" w:hAnsi="Abo-thar"/>
          <w:sz w:val="28"/>
          <w:rtl/>
        </w:rPr>
        <w:t xml:space="preserve"> </w:t>
      </w:r>
      <w:r w:rsidRPr="00FC12FD">
        <w:rPr>
          <w:rStyle w:val="Char2"/>
          <w:rtl/>
        </w:rPr>
        <w:t>[الأنفال/41]</w:t>
      </w:r>
      <w:r w:rsidR="00217AB4" w:rsidRPr="00995B26">
        <w:rPr>
          <w:rFonts w:ascii="Abo-thar" w:hAnsi="Abo-thar"/>
          <w:sz w:val="28"/>
          <w:rtl/>
        </w:rPr>
        <w:t>.</w:t>
      </w:r>
      <w:r w:rsidRPr="00995B26">
        <w:rPr>
          <w:rFonts w:ascii="Abo-thar" w:hAnsi="Abo-thar" w:hint="cs"/>
          <w:sz w:val="28"/>
          <w:rtl/>
        </w:rPr>
        <w:t xml:space="preserve"> حيث تستدعي الآية قوة الإيمان وعقيدة المجاهدين والغانمين لتدعوهم إلى التسليم بتقسيم الغنائم</w:t>
      </w:r>
      <w:r w:rsidR="00217AB4" w:rsidRPr="00995B26">
        <w:rPr>
          <w:rFonts w:ascii="Abo-thar" w:hAnsi="Abo-thar" w:hint="cs"/>
          <w:sz w:val="28"/>
          <w:rtl/>
        </w:rPr>
        <w:t>!</w:t>
      </w:r>
      <w:r w:rsidRPr="00995B26">
        <w:rPr>
          <w:rFonts w:ascii="Abo-thar" w:hAnsi="Abo-thar" w:hint="cs"/>
          <w:sz w:val="28"/>
          <w:rtl/>
        </w:rPr>
        <w:t xml:space="preserve"> وإذا لاحظنا جميع الآيات التي ذُكرت فيها كلمة </w:t>
      </w:r>
      <w:r w:rsidR="00E77B3F" w:rsidRPr="00995B26">
        <w:rPr>
          <w:rFonts w:ascii="Abo-thar" w:hAnsi="Abo-thar" w:cs="Traditional Arabic" w:hint="cs"/>
          <w:sz w:val="28"/>
          <w:rtl/>
        </w:rPr>
        <w:t>﴿</w:t>
      </w:r>
      <w:r w:rsidR="00E77B3F" w:rsidRPr="00DF7CAE">
        <w:rPr>
          <w:rStyle w:val="Char3"/>
          <w:rFonts w:hint="eastAsia"/>
          <w:rtl/>
        </w:rPr>
        <w:t>وَ</w:t>
      </w:r>
      <w:r w:rsidR="00E77B3F" w:rsidRPr="00DF7CAE">
        <w:rPr>
          <w:rStyle w:val="Char3"/>
          <w:rFonts w:hint="cs"/>
          <w:rtl/>
        </w:rPr>
        <w:t>ٱ</w:t>
      </w:r>
      <w:r w:rsidR="00E77B3F" w:rsidRPr="00DF7CAE">
        <w:rPr>
          <w:rStyle w:val="Char3"/>
          <w:rFonts w:hint="eastAsia"/>
          <w:rtl/>
        </w:rPr>
        <w:t>ع</w:t>
      </w:r>
      <w:r w:rsidR="00E77B3F" w:rsidRPr="00DF7CAE">
        <w:rPr>
          <w:rStyle w:val="Char3"/>
          <w:rFonts w:hint="cs"/>
          <w:rtl/>
        </w:rPr>
        <w:t>ۡ</w:t>
      </w:r>
      <w:r w:rsidR="00E77B3F" w:rsidRPr="00DF7CAE">
        <w:rPr>
          <w:rStyle w:val="Char3"/>
          <w:rFonts w:hint="eastAsia"/>
          <w:rtl/>
        </w:rPr>
        <w:t>لَمُو</w:t>
      </w:r>
      <w:r w:rsidR="00E77B3F" w:rsidRPr="00DF7CAE">
        <w:rPr>
          <w:rStyle w:val="Char3"/>
          <w:rFonts w:hint="cs"/>
          <w:rtl/>
        </w:rPr>
        <w:t>ٓ</w:t>
      </w:r>
      <w:r w:rsidR="00E77B3F" w:rsidRPr="00DF7CAE">
        <w:rPr>
          <w:rStyle w:val="Char3"/>
          <w:rFonts w:hint="eastAsia"/>
          <w:rtl/>
        </w:rPr>
        <w:t>اْ</w:t>
      </w:r>
      <w:r w:rsidR="00E77B3F" w:rsidRPr="00995B26">
        <w:rPr>
          <w:rFonts w:ascii="KFGQPC Uthmanic Script HAFS" w:cs="Times New Roman" w:hint="cs"/>
          <w:sz w:val="28"/>
          <w:rtl/>
        </w:rPr>
        <w:t>...</w:t>
      </w:r>
      <w:r w:rsidR="00E77B3F" w:rsidRPr="00995B26">
        <w:rPr>
          <w:rFonts w:ascii="Abo-thar" w:hAnsi="Abo-thar" w:cs="Traditional Arabic" w:hint="cs"/>
          <w:sz w:val="28"/>
          <w:rtl/>
        </w:rPr>
        <w:t>﴾</w:t>
      </w:r>
      <w:r w:rsidR="00E77B3F" w:rsidRPr="00995B26">
        <w:rPr>
          <w:rFonts w:ascii="Abo-thar" w:hAnsi="Abo-thar" w:hint="cs"/>
          <w:sz w:val="28"/>
          <w:rtl/>
        </w:rPr>
        <w:t xml:space="preserve"> </w:t>
      </w:r>
      <w:r w:rsidRPr="00995B26">
        <w:rPr>
          <w:rFonts w:ascii="Abo-thar" w:hAnsi="Abo-thar" w:hint="cs"/>
          <w:sz w:val="28"/>
          <w:rtl/>
        </w:rPr>
        <w:t>لرأينا أن جميعها ذا جانب إرشادي وخاصية وعظية إرشادية تدعو مخاطبيها إلى الإيمان والتقوى</w:t>
      </w:r>
      <w:r w:rsidR="00217AB4" w:rsidRPr="00995B26">
        <w:rPr>
          <w:rFonts w:ascii="Abo-thar" w:hAnsi="Abo-thar" w:hint="cs"/>
          <w:sz w:val="28"/>
          <w:rtl/>
        </w:rPr>
        <w:t>،</w:t>
      </w:r>
      <w:r w:rsidRPr="00995B26">
        <w:rPr>
          <w:rFonts w:ascii="Abo-thar" w:hAnsi="Abo-thar" w:hint="cs"/>
          <w:sz w:val="28"/>
          <w:rtl/>
        </w:rPr>
        <w:t xml:space="preserve"> كما نلاحظ ذلك في الآيات التالية</w:t>
      </w:r>
      <w:r w:rsidR="00217AB4" w:rsidRPr="00995B26">
        <w:rPr>
          <w:rFonts w:ascii="Abo-thar" w:hAnsi="Abo-thar" w:hint="cs"/>
          <w:sz w:val="28"/>
          <w:rtl/>
        </w:rPr>
        <w:t>:</w:t>
      </w:r>
    </w:p>
    <w:p w:rsidR="005C664D" w:rsidRPr="003F3B94" w:rsidRDefault="00E77B3F" w:rsidP="00DF7CAE">
      <w:pPr>
        <w:pStyle w:val="a0"/>
        <w:ind w:left="284" w:firstLine="0"/>
        <w:rPr>
          <w:rFonts w:hint="cs"/>
          <w:rtl/>
        </w:rPr>
      </w:pPr>
      <w:r w:rsidRPr="00995B26">
        <w:rPr>
          <w:rFonts w:ascii="Abo-thar" w:hAnsi="Abo-thar" w:cs="Traditional Arabic" w:hint="cs"/>
          <w:sz w:val="28"/>
          <w:rtl/>
        </w:rPr>
        <w:t>﴿</w:t>
      </w:r>
      <w:r w:rsidRPr="00DF7CAE">
        <w:rPr>
          <w:rStyle w:val="Char3"/>
          <w:rFonts w:hint="eastAsia"/>
          <w:rtl/>
        </w:rPr>
        <w:t>وَ</w:t>
      </w:r>
      <w:r w:rsidRPr="00DF7CAE">
        <w:rPr>
          <w:rStyle w:val="Char3"/>
          <w:rFonts w:hint="cs"/>
          <w:rtl/>
        </w:rPr>
        <w:t>ٱ</w:t>
      </w:r>
      <w:r w:rsidRPr="00DF7CAE">
        <w:rPr>
          <w:rStyle w:val="Char3"/>
          <w:rFonts w:hint="eastAsia"/>
          <w:rtl/>
        </w:rPr>
        <w:t>تَّقُواْ</w:t>
      </w:r>
      <w:r w:rsidRPr="00DF7CAE">
        <w:rPr>
          <w:rStyle w:val="Char3"/>
          <w:rtl/>
        </w:rPr>
        <w:t xml:space="preserve"> </w:t>
      </w:r>
      <w:r w:rsidRPr="00DF7CAE">
        <w:rPr>
          <w:rStyle w:val="Char3"/>
          <w:rFonts w:hint="cs"/>
          <w:rtl/>
        </w:rPr>
        <w:t>ٱ</w:t>
      </w:r>
      <w:r w:rsidRPr="00DF7CAE">
        <w:rPr>
          <w:rStyle w:val="Char3"/>
          <w:rFonts w:hint="eastAsia"/>
          <w:rtl/>
        </w:rPr>
        <w:t>للَّهَ</w:t>
      </w:r>
      <w:r w:rsidRPr="00DF7CAE">
        <w:rPr>
          <w:rStyle w:val="Char3"/>
          <w:rtl/>
        </w:rPr>
        <w:t xml:space="preserve"> </w:t>
      </w:r>
      <w:r w:rsidRPr="00DF7CAE">
        <w:rPr>
          <w:rStyle w:val="Char3"/>
          <w:rFonts w:hint="eastAsia"/>
          <w:rtl/>
        </w:rPr>
        <w:t>وَ</w:t>
      </w:r>
      <w:r w:rsidRPr="00DF7CAE">
        <w:rPr>
          <w:rStyle w:val="Char3"/>
          <w:rFonts w:hint="cs"/>
          <w:rtl/>
        </w:rPr>
        <w:t>ٱ</w:t>
      </w:r>
      <w:r w:rsidRPr="00DF7CAE">
        <w:rPr>
          <w:rStyle w:val="Char3"/>
          <w:rFonts w:hint="eastAsia"/>
          <w:rtl/>
        </w:rPr>
        <w:t>ع</w:t>
      </w:r>
      <w:r w:rsidRPr="00DF7CAE">
        <w:rPr>
          <w:rStyle w:val="Char3"/>
          <w:rFonts w:hint="cs"/>
          <w:rtl/>
        </w:rPr>
        <w:t>ۡ</w:t>
      </w:r>
      <w:r w:rsidRPr="00DF7CAE">
        <w:rPr>
          <w:rStyle w:val="Char3"/>
          <w:rFonts w:hint="eastAsia"/>
          <w:rtl/>
        </w:rPr>
        <w:t>لَمُو</w:t>
      </w:r>
      <w:r w:rsidRPr="00DF7CAE">
        <w:rPr>
          <w:rStyle w:val="Char3"/>
          <w:rFonts w:hint="cs"/>
          <w:rtl/>
        </w:rPr>
        <w:t>ٓ</w:t>
      </w:r>
      <w:r w:rsidRPr="00DF7CAE">
        <w:rPr>
          <w:rStyle w:val="Char3"/>
          <w:rFonts w:hint="eastAsia"/>
          <w:rtl/>
        </w:rPr>
        <w:t>اْ</w:t>
      </w:r>
      <w:r w:rsidRPr="00DF7CAE">
        <w:rPr>
          <w:rStyle w:val="Char3"/>
          <w:rtl/>
        </w:rPr>
        <w:t xml:space="preserve"> </w:t>
      </w:r>
      <w:r w:rsidRPr="00DF7CAE">
        <w:rPr>
          <w:rStyle w:val="Char3"/>
          <w:rFonts w:hint="eastAsia"/>
          <w:rtl/>
        </w:rPr>
        <w:t>أَنَّ</w:t>
      </w:r>
      <w:r w:rsidRPr="00DF7CAE">
        <w:rPr>
          <w:rStyle w:val="Char3"/>
          <w:rtl/>
        </w:rPr>
        <w:t xml:space="preserve"> </w:t>
      </w:r>
      <w:r w:rsidRPr="00DF7CAE">
        <w:rPr>
          <w:rStyle w:val="Char3"/>
          <w:rFonts w:hint="cs"/>
          <w:rtl/>
        </w:rPr>
        <w:t>ٱ</w:t>
      </w:r>
      <w:r w:rsidRPr="00DF7CAE">
        <w:rPr>
          <w:rStyle w:val="Char3"/>
          <w:rFonts w:hint="eastAsia"/>
          <w:rtl/>
        </w:rPr>
        <w:t>للَّهَ</w:t>
      </w:r>
      <w:r w:rsidRPr="00DF7CAE">
        <w:rPr>
          <w:rStyle w:val="Char3"/>
          <w:rtl/>
        </w:rPr>
        <w:t xml:space="preserve"> </w:t>
      </w:r>
      <w:r w:rsidRPr="00DF7CAE">
        <w:rPr>
          <w:rStyle w:val="Char3"/>
          <w:rFonts w:hint="eastAsia"/>
          <w:rtl/>
        </w:rPr>
        <w:t>مَعَ</w:t>
      </w:r>
      <w:r w:rsidRPr="00DF7CAE">
        <w:rPr>
          <w:rStyle w:val="Char3"/>
          <w:rtl/>
        </w:rPr>
        <w:t xml:space="preserve"> </w:t>
      </w:r>
      <w:r w:rsidRPr="00DF7CAE">
        <w:rPr>
          <w:rStyle w:val="Char3"/>
          <w:rFonts w:hint="cs"/>
          <w:rtl/>
        </w:rPr>
        <w:t>ٱ</w:t>
      </w:r>
      <w:r w:rsidRPr="00DF7CAE">
        <w:rPr>
          <w:rStyle w:val="Char3"/>
          <w:rFonts w:hint="eastAsia"/>
          <w:rtl/>
        </w:rPr>
        <w:t>ل</w:t>
      </w:r>
      <w:r w:rsidRPr="00DF7CAE">
        <w:rPr>
          <w:rStyle w:val="Char3"/>
          <w:rFonts w:hint="cs"/>
          <w:rtl/>
        </w:rPr>
        <w:t>ۡ</w:t>
      </w:r>
      <w:r w:rsidRPr="00DF7CAE">
        <w:rPr>
          <w:rStyle w:val="Char3"/>
          <w:rFonts w:hint="eastAsia"/>
          <w:rtl/>
        </w:rPr>
        <w:t>مُتَّقِينَ</w:t>
      </w:r>
      <w:r w:rsidRPr="00995B26">
        <w:rPr>
          <w:rFonts w:ascii="Abo-thar" w:hAnsi="Abo-thar" w:cs="Traditional Arabic" w:hint="cs"/>
          <w:sz w:val="28"/>
          <w:rtl/>
        </w:rPr>
        <w:t>﴾</w:t>
      </w:r>
      <w:r w:rsidR="00147857" w:rsidRPr="003F3B94">
        <w:rPr>
          <w:rFonts w:ascii="Abo-thar" w:hAnsi="Abo-thar"/>
          <w:sz w:val="28"/>
          <w:rtl/>
        </w:rPr>
        <w:t xml:space="preserve"> </w:t>
      </w:r>
      <w:r w:rsidR="005C664D" w:rsidRPr="00FC12FD">
        <w:rPr>
          <w:rStyle w:val="Char2"/>
          <w:rtl/>
        </w:rPr>
        <w:t>[البقرة/194]</w:t>
      </w:r>
    </w:p>
    <w:p w:rsidR="005C664D" w:rsidRPr="003F3B94" w:rsidRDefault="00E77B3F" w:rsidP="00DF7CAE">
      <w:pPr>
        <w:pStyle w:val="a0"/>
        <w:ind w:left="284" w:firstLine="0"/>
        <w:rPr>
          <w:rFonts w:hint="cs"/>
          <w:rtl/>
        </w:rPr>
      </w:pPr>
      <w:r w:rsidRPr="00995B26">
        <w:rPr>
          <w:rFonts w:ascii="Abo-thar" w:hAnsi="Abo-thar" w:cs="Traditional Arabic" w:hint="cs"/>
          <w:sz w:val="28"/>
          <w:rtl/>
        </w:rPr>
        <w:t>﴿</w:t>
      </w:r>
      <w:r w:rsidRPr="00DF7CAE">
        <w:rPr>
          <w:rStyle w:val="Char3"/>
          <w:rFonts w:hint="eastAsia"/>
          <w:rtl/>
        </w:rPr>
        <w:t>وَ</w:t>
      </w:r>
      <w:r w:rsidRPr="00DF7CAE">
        <w:rPr>
          <w:rStyle w:val="Char3"/>
          <w:rFonts w:hint="cs"/>
          <w:rtl/>
        </w:rPr>
        <w:t>ٱ</w:t>
      </w:r>
      <w:r w:rsidRPr="00DF7CAE">
        <w:rPr>
          <w:rStyle w:val="Char3"/>
          <w:rFonts w:hint="eastAsia"/>
          <w:rtl/>
        </w:rPr>
        <w:t>تَّقُواْ</w:t>
      </w:r>
      <w:r w:rsidRPr="00DF7CAE">
        <w:rPr>
          <w:rStyle w:val="Char3"/>
          <w:rtl/>
        </w:rPr>
        <w:t xml:space="preserve"> </w:t>
      </w:r>
      <w:r w:rsidRPr="00DF7CAE">
        <w:rPr>
          <w:rStyle w:val="Char3"/>
          <w:rFonts w:hint="cs"/>
          <w:rtl/>
        </w:rPr>
        <w:t>ٱ</w:t>
      </w:r>
      <w:r w:rsidRPr="00DF7CAE">
        <w:rPr>
          <w:rStyle w:val="Char3"/>
          <w:rFonts w:hint="eastAsia"/>
          <w:rtl/>
        </w:rPr>
        <w:t>للَّهَ</w:t>
      </w:r>
      <w:r w:rsidRPr="00DF7CAE">
        <w:rPr>
          <w:rStyle w:val="Char3"/>
          <w:rtl/>
        </w:rPr>
        <w:t xml:space="preserve"> </w:t>
      </w:r>
      <w:r w:rsidRPr="00DF7CAE">
        <w:rPr>
          <w:rStyle w:val="Char3"/>
          <w:rFonts w:hint="eastAsia"/>
          <w:rtl/>
        </w:rPr>
        <w:t>وَ</w:t>
      </w:r>
      <w:r w:rsidRPr="00DF7CAE">
        <w:rPr>
          <w:rStyle w:val="Char3"/>
          <w:rFonts w:hint="cs"/>
          <w:rtl/>
        </w:rPr>
        <w:t>ٱ</w:t>
      </w:r>
      <w:r w:rsidRPr="00DF7CAE">
        <w:rPr>
          <w:rStyle w:val="Char3"/>
          <w:rFonts w:hint="eastAsia"/>
          <w:rtl/>
        </w:rPr>
        <w:t>ع</w:t>
      </w:r>
      <w:r w:rsidRPr="00DF7CAE">
        <w:rPr>
          <w:rStyle w:val="Char3"/>
          <w:rFonts w:hint="cs"/>
          <w:rtl/>
        </w:rPr>
        <w:t>ۡ</w:t>
      </w:r>
      <w:r w:rsidRPr="00DF7CAE">
        <w:rPr>
          <w:rStyle w:val="Char3"/>
          <w:rFonts w:hint="eastAsia"/>
          <w:rtl/>
        </w:rPr>
        <w:t>لَمُو</w:t>
      </w:r>
      <w:r w:rsidRPr="00DF7CAE">
        <w:rPr>
          <w:rStyle w:val="Char3"/>
          <w:rFonts w:hint="cs"/>
          <w:rtl/>
        </w:rPr>
        <w:t>ٓ</w:t>
      </w:r>
      <w:r w:rsidRPr="00DF7CAE">
        <w:rPr>
          <w:rStyle w:val="Char3"/>
          <w:rFonts w:hint="eastAsia"/>
          <w:rtl/>
        </w:rPr>
        <w:t>اْ</w:t>
      </w:r>
      <w:r w:rsidRPr="00DF7CAE">
        <w:rPr>
          <w:rStyle w:val="Char3"/>
          <w:rtl/>
        </w:rPr>
        <w:t xml:space="preserve"> </w:t>
      </w:r>
      <w:r w:rsidRPr="00DF7CAE">
        <w:rPr>
          <w:rStyle w:val="Char3"/>
          <w:rFonts w:hint="eastAsia"/>
          <w:rtl/>
        </w:rPr>
        <w:t>أَنَّ</w:t>
      </w:r>
      <w:r w:rsidRPr="00DF7CAE">
        <w:rPr>
          <w:rStyle w:val="Char3"/>
          <w:rtl/>
        </w:rPr>
        <w:t xml:space="preserve"> </w:t>
      </w:r>
      <w:r w:rsidRPr="00DF7CAE">
        <w:rPr>
          <w:rStyle w:val="Char3"/>
          <w:rFonts w:hint="cs"/>
          <w:rtl/>
        </w:rPr>
        <w:t>ٱ</w:t>
      </w:r>
      <w:r w:rsidRPr="00DF7CAE">
        <w:rPr>
          <w:rStyle w:val="Char3"/>
          <w:rFonts w:hint="eastAsia"/>
          <w:rtl/>
        </w:rPr>
        <w:t>للَّهَ</w:t>
      </w:r>
      <w:r w:rsidRPr="00DF7CAE">
        <w:rPr>
          <w:rStyle w:val="Char3"/>
          <w:rtl/>
        </w:rPr>
        <w:t xml:space="preserve"> </w:t>
      </w:r>
      <w:r w:rsidRPr="00DF7CAE">
        <w:rPr>
          <w:rStyle w:val="Char3"/>
          <w:rFonts w:hint="eastAsia"/>
          <w:rtl/>
        </w:rPr>
        <w:t>شَدِيدُ</w:t>
      </w:r>
      <w:r w:rsidRPr="00DF7CAE">
        <w:rPr>
          <w:rStyle w:val="Char3"/>
          <w:rtl/>
        </w:rPr>
        <w:t xml:space="preserve"> </w:t>
      </w:r>
      <w:r w:rsidRPr="00DF7CAE">
        <w:rPr>
          <w:rStyle w:val="Char3"/>
          <w:rFonts w:hint="cs"/>
          <w:rtl/>
        </w:rPr>
        <w:t>ٱ</w:t>
      </w:r>
      <w:r w:rsidRPr="00DF7CAE">
        <w:rPr>
          <w:rStyle w:val="Char3"/>
          <w:rFonts w:hint="eastAsia"/>
          <w:rtl/>
        </w:rPr>
        <w:t>ل</w:t>
      </w:r>
      <w:r w:rsidRPr="00DF7CAE">
        <w:rPr>
          <w:rStyle w:val="Char3"/>
          <w:rFonts w:hint="cs"/>
          <w:rtl/>
        </w:rPr>
        <w:t>ۡ</w:t>
      </w:r>
      <w:r w:rsidRPr="00DF7CAE">
        <w:rPr>
          <w:rStyle w:val="Char3"/>
          <w:rFonts w:hint="eastAsia"/>
          <w:rtl/>
        </w:rPr>
        <w:t>عِقَابِ</w:t>
      </w:r>
      <w:r w:rsidRPr="00995B26">
        <w:rPr>
          <w:rFonts w:ascii="Abo-thar" w:hAnsi="Abo-thar" w:cs="Traditional Arabic" w:hint="cs"/>
          <w:sz w:val="28"/>
          <w:rtl/>
        </w:rPr>
        <w:t>﴾</w:t>
      </w:r>
      <w:r w:rsidRPr="003F3B94">
        <w:rPr>
          <w:rFonts w:ascii="Abo-thar" w:hAnsi="Abo-thar" w:hint="cs"/>
          <w:sz w:val="28"/>
          <w:rtl/>
        </w:rPr>
        <w:t xml:space="preserve"> </w:t>
      </w:r>
      <w:r w:rsidR="00147857" w:rsidRPr="003F3B94">
        <w:rPr>
          <w:rFonts w:ascii="Abo-thar" w:hAnsi="Abo-thar"/>
          <w:sz w:val="28"/>
          <w:rtl/>
        </w:rPr>
        <w:t xml:space="preserve"> </w:t>
      </w:r>
      <w:r w:rsidR="005C664D" w:rsidRPr="00FC12FD">
        <w:rPr>
          <w:rStyle w:val="Char2"/>
          <w:rtl/>
        </w:rPr>
        <w:t>[البقرة/196]</w:t>
      </w:r>
    </w:p>
    <w:p w:rsidR="005C664D" w:rsidRPr="003F3B94" w:rsidRDefault="00DD7D67" w:rsidP="00DF7CAE">
      <w:pPr>
        <w:pStyle w:val="a0"/>
        <w:ind w:left="284" w:firstLine="0"/>
        <w:rPr>
          <w:rFonts w:hint="cs"/>
          <w:rtl/>
        </w:rPr>
      </w:pPr>
      <w:r w:rsidRPr="00995B26">
        <w:rPr>
          <w:rFonts w:ascii="Abo-thar" w:hAnsi="Abo-thar" w:cs="Traditional Arabic" w:hint="cs"/>
          <w:sz w:val="28"/>
          <w:rtl/>
        </w:rPr>
        <w:t>﴿</w:t>
      </w:r>
      <w:r w:rsidRPr="00DF7CAE">
        <w:rPr>
          <w:rStyle w:val="Char3"/>
          <w:rFonts w:hint="eastAsia"/>
          <w:rtl/>
        </w:rPr>
        <w:t>وَ</w:t>
      </w:r>
      <w:r w:rsidRPr="00DF7CAE">
        <w:rPr>
          <w:rStyle w:val="Char3"/>
          <w:rFonts w:hint="cs"/>
          <w:rtl/>
        </w:rPr>
        <w:t>ٱ</w:t>
      </w:r>
      <w:r w:rsidRPr="00DF7CAE">
        <w:rPr>
          <w:rStyle w:val="Char3"/>
          <w:rFonts w:hint="eastAsia"/>
          <w:rtl/>
        </w:rPr>
        <w:t>تَّقُواْ</w:t>
      </w:r>
      <w:r w:rsidRPr="00DF7CAE">
        <w:rPr>
          <w:rStyle w:val="Char3"/>
          <w:rtl/>
        </w:rPr>
        <w:t xml:space="preserve"> </w:t>
      </w:r>
      <w:r w:rsidRPr="00DF7CAE">
        <w:rPr>
          <w:rStyle w:val="Char3"/>
          <w:rFonts w:hint="cs"/>
          <w:rtl/>
        </w:rPr>
        <w:t>ٱ</w:t>
      </w:r>
      <w:r w:rsidRPr="00DF7CAE">
        <w:rPr>
          <w:rStyle w:val="Char3"/>
          <w:rFonts w:hint="eastAsia"/>
          <w:rtl/>
        </w:rPr>
        <w:t>للَّهَ</w:t>
      </w:r>
      <w:r w:rsidRPr="00DF7CAE">
        <w:rPr>
          <w:rStyle w:val="Char3"/>
          <w:rtl/>
        </w:rPr>
        <w:t xml:space="preserve"> </w:t>
      </w:r>
      <w:r w:rsidRPr="00DF7CAE">
        <w:rPr>
          <w:rStyle w:val="Char3"/>
          <w:rFonts w:hint="eastAsia"/>
          <w:rtl/>
        </w:rPr>
        <w:t>وَ</w:t>
      </w:r>
      <w:r w:rsidRPr="00DF7CAE">
        <w:rPr>
          <w:rStyle w:val="Char3"/>
          <w:rFonts w:hint="cs"/>
          <w:rtl/>
        </w:rPr>
        <w:t>ٱ</w:t>
      </w:r>
      <w:r w:rsidRPr="00DF7CAE">
        <w:rPr>
          <w:rStyle w:val="Char3"/>
          <w:rFonts w:hint="eastAsia"/>
          <w:rtl/>
        </w:rPr>
        <w:t>ع</w:t>
      </w:r>
      <w:r w:rsidRPr="00DF7CAE">
        <w:rPr>
          <w:rStyle w:val="Char3"/>
          <w:rFonts w:hint="cs"/>
          <w:rtl/>
        </w:rPr>
        <w:t>ۡ</w:t>
      </w:r>
      <w:r w:rsidRPr="00DF7CAE">
        <w:rPr>
          <w:rStyle w:val="Char3"/>
          <w:rFonts w:hint="eastAsia"/>
          <w:rtl/>
        </w:rPr>
        <w:t>لَمُو</w:t>
      </w:r>
      <w:r w:rsidRPr="00DF7CAE">
        <w:rPr>
          <w:rStyle w:val="Char3"/>
          <w:rFonts w:hint="cs"/>
          <w:rtl/>
        </w:rPr>
        <w:t>ٓ</w:t>
      </w:r>
      <w:r w:rsidRPr="00DF7CAE">
        <w:rPr>
          <w:rStyle w:val="Char3"/>
          <w:rFonts w:hint="eastAsia"/>
          <w:rtl/>
        </w:rPr>
        <w:t>اْ</w:t>
      </w:r>
      <w:r w:rsidRPr="00DF7CAE">
        <w:rPr>
          <w:rStyle w:val="Char3"/>
          <w:rtl/>
        </w:rPr>
        <w:t xml:space="preserve"> </w:t>
      </w:r>
      <w:r w:rsidRPr="00DF7CAE">
        <w:rPr>
          <w:rStyle w:val="Char3"/>
          <w:rFonts w:hint="eastAsia"/>
          <w:rtl/>
        </w:rPr>
        <w:t>أَنَّ</w:t>
      </w:r>
      <w:r w:rsidRPr="00DF7CAE">
        <w:rPr>
          <w:rStyle w:val="Char3"/>
          <w:rtl/>
        </w:rPr>
        <w:t xml:space="preserve"> </w:t>
      </w:r>
      <w:r w:rsidRPr="00DF7CAE">
        <w:rPr>
          <w:rStyle w:val="Char3"/>
          <w:rFonts w:hint="cs"/>
          <w:rtl/>
        </w:rPr>
        <w:t>ٱ</w:t>
      </w:r>
      <w:r w:rsidRPr="00DF7CAE">
        <w:rPr>
          <w:rStyle w:val="Char3"/>
          <w:rFonts w:hint="eastAsia"/>
          <w:rtl/>
        </w:rPr>
        <w:t>للَّهَ</w:t>
      </w:r>
      <w:r w:rsidRPr="00DF7CAE">
        <w:rPr>
          <w:rStyle w:val="Char3"/>
          <w:rtl/>
        </w:rPr>
        <w:t xml:space="preserve"> </w:t>
      </w:r>
      <w:r w:rsidRPr="00DF7CAE">
        <w:rPr>
          <w:rStyle w:val="Char3"/>
          <w:rFonts w:hint="eastAsia"/>
          <w:rtl/>
        </w:rPr>
        <w:t>بِكُلِّ</w:t>
      </w:r>
      <w:r w:rsidRPr="00DF7CAE">
        <w:rPr>
          <w:rStyle w:val="Char3"/>
          <w:rtl/>
        </w:rPr>
        <w:t xml:space="preserve"> </w:t>
      </w:r>
      <w:r w:rsidRPr="00DF7CAE">
        <w:rPr>
          <w:rStyle w:val="Char3"/>
          <w:rFonts w:hint="eastAsia"/>
          <w:rtl/>
        </w:rPr>
        <w:t>شَي</w:t>
      </w:r>
      <w:r w:rsidRPr="00DF7CAE">
        <w:rPr>
          <w:rStyle w:val="Char3"/>
          <w:rFonts w:hint="cs"/>
          <w:rtl/>
        </w:rPr>
        <w:t>ۡ</w:t>
      </w:r>
      <w:r w:rsidRPr="00DF7CAE">
        <w:rPr>
          <w:rStyle w:val="Char3"/>
          <w:rFonts w:hint="eastAsia"/>
          <w:rtl/>
        </w:rPr>
        <w:t>ءٍ</w:t>
      </w:r>
      <w:r w:rsidRPr="00DF7CAE">
        <w:rPr>
          <w:rStyle w:val="Char3"/>
          <w:rtl/>
        </w:rPr>
        <w:t xml:space="preserve"> </w:t>
      </w:r>
      <w:r w:rsidRPr="00DF7CAE">
        <w:rPr>
          <w:rStyle w:val="Char3"/>
          <w:rFonts w:hint="eastAsia"/>
          <w:rtl/>
        </w:rPr>
        <w:t>عَلِيم</w:t>
      </w:r>
      <w:r w:rsidRPr="00DF7CAE">
        <w:rPr>
          <w:rStyle w:val="Char3"/>
          <w:rFonts w:hint="cs"/>
          <w:rtl/>
        </w:rPr>
        <w:t>ٞ</w:t>
      </w:r>
      <w:r w:rsidRPr="00995B26">
        <w:rPr>
          <w:rFonts w:ascii="Abo-thar" w:hAnsi="Abo-thar" w:cs="Traditional Arabic" w:hint="cs"/>
          <w:sz w:val="28"/>
          <w:rtl/>
        </w:rPr>
        <w:t>﴾</w:t>
      </w:r>
      <w:r w:rsidR="00147857" w:rsidRPr="00FC12FD">
        <w:rPr>
          <w:rStyle w:val="Char2"/>
          <w:rtl/>
        </w:rPr>
        <w:t xml:space="preserve"> </w:t>
      </w:r>
      <w:r w:rsidR="005C664D" w:rsidRPr="00FC12FD">
        <w:rPr>
          <w:rStyle w:val="Char2"/>
          <w:rtl/>
        </w:rPr>
        <w:t>[البقرة</w:t>
      </w:r>
      <w:r w:rsidRPr="00FC12FD">
        <w:rPr>
          <w:rStyle w:val="Char2"/>
          <w:rFonts w:hint="cs"/>
          <w:rtl/>
        </w:rPr>
        <w:t xml:space="preserve">: </w:t>
      </w:r>
      <w:r w:rsidR="005C664D" w:rsidRPr="00FC12FD">
        <w:rPr>
          <w:rStyle w:val="Char2"/>
          <w:rtl/>
        </w:rPr>
        <w:t>231]</w:t>
      </w:r>
    </w:p>
    <w:p w:rsidR="005C664D" w:rsidRPr="003F3B94" w:rsidRDefault="00DD7D67" w:rsidP="00DF7CAE">
      <w:pPr>
        <w:pStyle w:val="a0"/>
        <w:ind w:left="284" w:firstLine="0"/>
        <w:rPr>
          <w:rFonts w:hint="cs"/>
          <w:rtl/>
        </w:rPr>
      </w:pPr>
      <w:r w:rsidRPr="00995B26">
        <w:rPr>
          <w:rFonts w:ascii="Abo-thar" w:hAnsi="Abo-thar" w:cs="Traditional Arabic" w:hint="cs"/>
          <w:sz w:val="28"/>
          <w:rtl/>
        </w:rPr>
        <w:t>﴿</w:t>
      </w:r>
      <w:r w:rsidRPr="00DF7CAE">
        <w:rPr>
          <w:rStyle w:val="Char3"/>
          <w:rFonts w:hint="eastAsia"/>
          <w:rtl/>
        </w:rPr>
        <w:t>وَ</w:t>
      </w:r>
      <w:r w:rsidRPr="00DF7CAE">
        <w:rPr>
          <w:rStyle w:val="Char3"/>
          <w:rFonts w:hint="cs"/>
          <w:rtl/>
        </w:rPr>
        <w:t>ٱ</w:t>
      </w:r>
      <w:r w:rsidRPr="00DF7CAE">
        <w:rPr>
          <w:rStyle w:val="Char3"/>
          <w:rFonts w:hint="eastAsia"/>
          <w:rtl/>
        </w:rPr>
        <w:t>تَّقُواْ</w:t>
      </w:r>
      <w:r w:rsidRPr="00DF7CAE">
        <w:rPr>
          <w:rStyle w:val="Char3"/>
          <w:rtl/>
        </w:rPr>
        <w:t xml:space="preserve"> </w:t>
      </w:r>
      <w:r w:rsidRPr="00DF7CAE">
        <w:rPr>
          <w:rStyle w:val="Char3"/>
          <w:rFonts w:hint="cs"/>
          <w:rtl/>
        </w:rPr>
        <w:t>ٱ</w:t>
      </w:r>
      <w:r w:rsidRPr="00DF7CAE">
        <w:rPr>
          <w:rStyle w:val="Char3"/>
          <w:rFonts w:hint="eastAsia"/>
          <w:rtl/>
        </w:rPr>
        <w:t>للَّهَ</w:t>
      </w:r>
      <w:r w:rsidRPr="00DF7CAE">
        <w:rPr>
          <w:rStyle w:val="Char3"/>
          <w:rtl/>
        </w:rPr>
        <w:t xml:space="preserve"> </w:t>
      </w:r>
      <w:r w:rsidRPr="00DF7CAE">
        <w:rPr>
          <w:rStyle w:val="Char3"/>
          <w:rFonts w:hint="eastAsia"/>
          <w:rtl/>
        </w:rPr>
        <w:t>وَ</w:t>
      </w:r>
      <w:r w:rsidRPr="00DF7CAE">
        <w:rPr>
          <w:rStyle w:val="Char3"/>
          <w:rFonts w:hint="cs"/>
          <w:rtl/>
        </w:rPr>
        <w:t>ٱ</w:t>
      </w:r>
      <w:r w:rsidRPr="00DF7CAE">
        <w:rPr>
          <w:rStyle w:val="Char3"/>
          <w:rFonts w:hint="eastAsia"/>
          <w:rtl/>
        </w:rPr>
        <w:t>ع</w:t>
      </w:r>
      <w:r w:rsidRPr="00DF7CAE">
        <w:rPr>
          <w:rStyle w:val="Char3"/>
          <w:rFonts w:hint="cs"/>
          <w:rtl/>
        </w:rPr>
        <w:t>ۡ</w:t>
      </w:r>
      <w:r w:rsidRPr="00DF7CAE">
        <w:rPr>
          <w:rStyle w:val="Char3"/>
          <w:rFonts w:hint="eastAsia"/>
          <w:rtl/>
        </w:rPr>
        <w:t>لَمُو</w:t>
      </w:r>
      <w:r w:rsidRPr="00DF7CAE">
        <w:rPr>
          <w:rStyle w:val="Char3"/>
          <w:rFonts w:hint="cs"/>
          <w:rtl/>
        </w:rPr>
        <w:t>ٓ</w:t>
      </w:r>
      <w:r w:rsidRPr="00DF7CAE">
        <w:rPr>
          <w:rStyle w:val="Char3"/>
          <w:rFonts w:hint="eastAsia"/>
          <w:rtl/>
        </w:rPr>
        <w:t>اْ</w:t>
      </w:r>
      <w:r w:rsidRPr="00DF7CAE">
        <w:rPr>
          <w:rStyle w:val="Char3"/>
          <w:rtl/>
        </w:rPr>
        <w:t xml:space="preserve"> </w:t>
      </w:r>
      <w:r w:rsidRPr="00DF7CAE">
        <w:rPr>
          <w:rStyle w:val="Char3"/>
          <w:rFonts w:hint="eastAsia"/>
          <w:rtl/>
        </w:rPr>
        <w:t>أَنَّكُم</w:t>
      </w:r>
      <w:r w:rsidRPr="00DF7CAE">
        <w:rPr>
          <w:rStyle w:val="Char3"/>
          <w:rFonts w:hint="cs"/>
          <w:rtl/>
        </w:rPr>
        <w:t>ۡ</w:t>
      </w:r>
      <w:r w:rsidRPr="00DF7CAE">
        <w:rPr>
          <w:rStyle w:val="Char3"/>
          <w:rtl/>
        </w:rPr>
        <w:t xml:space="preserve"> </w:t>
      </w:r>
      <w:r w:rsidRPr="00DF7CAE">
        <w:rPr>
          <w:rStyle w:val="Char3"/>
          <w:rFonts w:hint="eastAsia"/>
          <w:rtl/>
        </w:rPr>
        <w:t>إِلَي</w:t>
      </w:r>
      <w:r w:rsidRPr="00DF7CAE">
        <w:rPr>
          <w:rStyle w:val="Char3"/>
          <w:rFonts w:hint="cs"/>
          <w:rtl/>
        </w:rPr>
        <w:t>ۡ</w:t>
      </w:r>
      <w:r w:rsidRPr="00DF7CAE">
        <w:rPr>
          <w:rStyle w:val="Char3"/>
          <w:rFonts w:hint="eastAsia"/>
          <w:rtl/>
        </w:rPr>
        <w:t>هِ</w:t>
      </w:r>
      <w:r w:rsidRPr="00DF7CAE">
        <w:rPr>
          <w:rStyle w:val="Char3"/>
          <w:rtl/>
        </w:rPr>
        <w:t xml:space="preserve"> </w:t>
      </w:r>
      <w:r w:rsidRPr="00DF7CAE">
        <w:rPr>
          <w:rStyle w:val="Char3"/>
          <w:rFonts w:hint="eastAsia"/>
          <w:rtl/>
        </w:rPr>
        <w:t>تُح</w:t>
      </w:r>
      <w:r w:rsidRPr="00DF7CAE">
        <w:rPr>
          <w:rStyle w:val="Char3"/>
          <w:rFonts w:hint="cs"/>
          <w:rtl/>
        </w:rPr>
        <w:t>ۡ</w:t>
      </w:r>
      <w:r w:rsidRPr="00DF7CAE">
        <w:rPr>
          <w:rStyle w:val="Char3"/>
          <w:rFonts w:hint="eastAsia"/>
          <w:rtl/>
        </w:rPr>
        <w:t>شَرُونَ</w:t>
      </w:r>
      <w:r w:rsidRPr="00995B26">
        <w:rPr>
          <w:rFonts w:ascii="Abo-thar" w:hAnsi="Abo-thar" w:cs="Traditional Arabic" w:hint="cs"/>
          <w:sz w:val="28"/>
          <w:rtl/>
        </w:rPr>
        <w:t>﴾</w:t>
      </w:r>
      <w:r w:rsidR="005C664D" w:rsidRPr="00FC12FD">
        <w:rPr>
          <w:rStyle w:val="Char2"/>
          <w:rtl/>
        </w:rPr>
        <w:t xml:space="preserve"> [البقرة</w:t>
      </w:r>
      <w:r w:rsidRPr="00FC12FD">
        <w:rPr>
          <w:rStyle w:val="Char2"/>
          <w:rFonts w:hint="cs"/>
          <w:rtl/>
        </w:rPr>
        <w:t xml:space="preserve">: </w:t>
      </w:r>
      <w:r w:rsidR="005C664D" w:rsidRPr="00FC12FD">
        <w:rPr>
          <w:rStyle w:val="Char2"/>
          <w:rtl/>
        </w:rPr>
        <w:t>203]</w:t>
      </w:r>
    </w:p>
    <w:p w:rsidR="005C664D" w:rsidRPr="003F3B94" w:rsidRDefault="00DD7D67" w:rsidP="00DF7CAE">
      <w:pPr>
        <w:pStyle w:val="a0"/>
        <w:ind w:left="284" w:firstLine="0"/>
        <w:rPr>
          <w:rFonts w:hint="cs"/>
          <w:rtl/>
        </w:rPr>
      </w:pPr>
      <w:r w:rsidRPr="00995B26">
        <w:rPr>
          <w:rFonts w:ascii="Abo-thar" w:hAnsi="Abo-thar" w:cs="Traditional Arabic" w:hint="cs"/>
          <w:sz w:val="28"/>
          <w:rtl/>
        </w:rPr>
        <w:t>﴿</w:t>
      </w:r>
      <w:r w:rsidRPr="00DF7CAE">
        <w:rPr>
          <w:rStyle w:val="Char3"/>
          <w:rFonts w:hint="eastAsia"/>
          <w:rtl/>
        </w:rPr>
        <w:t>وَ</w:t>
      </w:r>
      <w:r w:rsidRPr="00DF7CAE">
        <w:rPr>
          <w:rStyle w:val="Char3"/>
          <w:rFonts w:hint="cs"/>
          <w:rtl/>
        </w:rPr>
        <w:t>ٱ</w:t>
      </w:r>
      <w:r w:rsidRPr="00DF7CAE">
        <w:rPr>
          <w:rStyle w:val="Char3"/>
          <w:rFonts w:hint="eastAsia"/>
          <w:rtl/>
        </w:rPr>
        <w:t>ع</w:t>
      </w:r>
      <w:r w:rsidRPr="00DF7CAE">
        <w:rPr>
          <w:rStyle w:val="Char3"/>
          <w:rFonts w:hint="cs"/>
          <w:rtl/>
        </w:rPr>
        <w:t>ۡ</w:t>
      </w:r>
      <w:r w:rsidRPr="00DF7CAE">
        <w:rPr>
          <w:rStyle w:val="Char3"/>
          <w:rFonts w:hint="eastAsia"/>
          <w:rtl/>
        </w:rPr>
        <w:t>لَمُو</w:t>
      </w:r>
      <w:r w:rsidRPr="00DF7CAE">
        <w:rPr>
          <w:rStyle w:val="Char3"/>
          <w:rFonts w:hint="cs"/>
          <w:rtl/>
        </w:rPr>
        <w:t>ٓ</w:t>
      </w:r>
      <w:r w:rsidRPr="00DF7CAE">
        <w:rPr>
          <w:rStyle w:val="Char3"/>
          <w:rFonts w:hint="eastAsia"/>
          <w:rtl/>
        </w:rPr>
        <w:t>اْ</w:t>
      </w:r>
      <w:r w:rsidRPr="00DF7CAE">
        <w:rPr>
          <w:rStyle w:val="Char3"/>
          <w:rtl/>
        </w:rPr>
        <w:t xml:space="preserve"> </w:t>
      </w:r>
      <w:r w:rsidRPr="00DF7CAE">
        <w:rPr>
          <w:rStyle w:val="Char3"/>
          <w:rFonts w:hint="eastAsia"/>
          <w:rtl/>
        </w:rPr>
        <w:t>أَنَّكُم</w:t>
      </w:r>
      <w:r w:rsidRPr="00DF7CAE">
        <w:rPr>
          <w:rStyle w:val="Char3"/>
          <w:rtl/>
        </w:rPr>
        <w:t xml:space="preserve"> </w:t>
      </w:r>
      <w:r w:rsidRPr="00DF7CAE">
        <w:rPr>
          <w:rStyle w:val="Char3"/>
          <w:rFonts w:hint="eastAsia"/>
          <w:rtl/>
        </w:rPr>
        <w:t>مُّلَ</w:t>
      </w:r>
      <w:r w:rsidRPr="00DF7CAE">
        <w:rPr>
          <w:rStyle w:val="Char3"/>
          <w:rFonts w:hint="cs"/>
          <w:rtl/>
        </w:rPr>
        <w:t>ٰ</w:t>
      </w:r>
      <w:r w:rsidRPr="00DF7CAE">
        <w:rPr>
          <w:rStyle w:val="Char3"/>
          <w:rFonts w:hint="eastAsia"/>
          <w:rtl/>
        </w:rPr>
        <w:t>قُوهُ</w:t>
      </w:r>
      <w:r w:rsidRPr="00DF7CAE">
        <w:rPr>
          <w:rStyle w:val="Char3"/>
          <w:rFonts w:hint="cs"/>
          <w:rtl/>
        </w:rPr>
        <w:t>ۗ</w:t>
      </w:r>
      <w:r w:rsidRPr="00DF7CAE">
        <w:rPr>
          <w:rStyle w:val="Char3"/>
          <w:rtl/>
        </w:rPr>
        <w:t xml:space="preserve"> </w:t>
      </w:r>
      <w:r w:rsidRPr="00DF7CAE">
        <w:rPr>
          <w:rStyle w:val="Char3"/>
          <w:rFonts w:hint="eastAsia"/>
          <w:rtl/>
        </w:rPr>
        <w:t>وَبَشِّرِ</w:t>
      </w:r>
      <w:r w:rsidRPr="00DF7CAE">
        <w:rPr>
          <w:rStyle w:val="Char3"/>
          <w:rtl/>
        </w:rPr>
        <w:t xml:space="preserve"> </w:t>
      </w:r>
      <w:r w:rsidRPr="00DF7CAE">
        <w:rPr>
          <w:rStyle w:val="Char3"/>
          <w:rFonts w:hint="cs"/>
          <w:rtl/>
        </w:rPr>
        <w:t>ٱ</w:t>
      </w:r>
      <w:r w:rsidRPr="00DF7CAE">
        <w:rPr>
          <w:rStyle w:val="Char3"/>
          <w:rFonts w:hint="eastAsia"/>
          <w:rtl/>
        </w:rPr>
        <w:t>ل</w:t>
      </w:r>
      <w:r w:rsidRPr="00DF7CAE">
        <w:rPr>
          <w:rStyle w:val="Char3"/>
          <w:rFonts w:hint="cs"/>
          <w:rtl/>
        </w:rPr>
        <w:t>ۡ</w:t>
      </w:r>
      <w:r w:rsidRPr="00DF7CAE">
        <w:rPr>
          <w:rStyle w:val="Char3"/>
          <w:rFonts w:hint="eastAsia"/>
          <w:rtl/>
        </w:rPr>
        <w:t>مُؤ</w:t>
      </w:r>
      <w:r w:rsidRPr="00DF7CAE">
        <w:rPr>
          <w:rStyle w:val="Char3"/>
          <w:rFonts w:hint="cs"/>
          <w:rtl/>
        </w:rPr>
        <w:t>ۡ</w:t>
      </w:r>
      <w:r w:rsidRPr="00DF7CAE">
        <w:rPr>
          <w:rStyle w:val="Char3"/>
          <w:rFonts w:hint="eastAsia"/>
          <w:rtl/>
        </w:rPr>
        <w:t>مِنِينَ</w:t>
      </w:r>
      <w:r w:rsidRPr="00995B26">
        <w:rPr>
          <w:rFonts w:ascii="Abo-thar" w:hAnsi="Abo-thar" w:cs="Traditional Arabic" w:hint="cs"/>
          <w:sz w:val="28"/>
          <w:rtl/>
        </w:rPr>
        <w:t>﴾</w:t>
      </w:r>
      <w:r w:rsidR="005C664D" w:rsidRPr="00FC12FD">
        <w:rPr>
          <w:rStyle w:val="Char2"/>
          <w:rtl/>
        </w:rPr>
        <w:t xml:space="preserve"> [البقرة</w:t>
      </w:r>
      <w:r w:rsidRPr="00FC12FD">
        <w:rPr>
          <w:rStyle w:val="Char2"/>
          <w:rFonts w:hint="cs"/>
          <w:rtl/>
        </w:rPr>
        <w:t xml:space="preserve">: </w:t>
      </w:r>
      <w:r w:rsidR="005C664D" w:rsidRPr="00FC12FD">
        <w:rPr>
          <w:rStyle w:val="Char2"/>
          <w:rtl/>
        </w:rPr>
        <w:t>223]</w:t>
      </w:r>
    </w:p>
    <w:p w:rsidR="005C664D" w:rsidRPr="003F3B94" w:rsidRDefault="00DD7D67" w:rsidP="00DF7CAE">
      <w:pPr>
        <w:pStyle w:val="a0"/>
        <w:ind w:left="284" w:firstLine="0"/>
        <w:rPr>
          <w:rFonts w:hint="cs"/>
          <w:rtl/>
        </w:rPr>
      </w:pPr>
      <w:r w:rsidRPr="00995B26">
        <w:rPr>
          <w:rFonts w:ascii="Abo-thar" w:hAnsi="Abo-thar" w:cs="Traditional Arabic" w:hint="cs"/>
          <w:sz w:val="28"/>
          <w:rtl/>
        </w:rPr>
        <w:t>﴿</w:t>
      </w:r>
      <w:r w:rsidRPr="00DF7CAE">
        <w:rPr>
          <w:rStyle w:val="Char3"/>
          <w:rFonts w:hint="eastAsia"/>
          <w:rtl/>
        </w:rPr>
        <w:t>وَ</w:t>
      </w:r>
      <w:r w:rsidRPr="00DF7CAE">
        <w:rPr>
          <w:rStyle w:val="Char3"/>
          <w:rFonts w:hint="cs"/>
          <w:rtl/>
        </w:rPr>
        <w:t>ٱ</w:t>
      </w:r>
      <w:r w:rsidRPr="00DF7CAE">
        <w:rPr>
          <w:rStyle w:val="Char3"/>
          <w:rFonts w:hint="eastAsia"/>
          <w:rtl/>
        </w:rPr>
        <w:t>تَّقُواْ</w:t>
      </w:r>
      <w:r w:rsidRPr="00DF7CAE">
        <w:rPr>
          <w:rStyle w:val="Char3"/>
          <w:rtl/>
        </w:rPr>
        <w:t xml:space="preserve"> </w:t>
      </w:r>
      <w:r w:rsidRPr="00DF7CAE">
        <w:rPr>
          <w:rStyle w:val="Char3"/>
          <w:rFonts w:hint="cs"/>
          <w:rtl/>
        </w:rPr>
        <w:t>ٱ</w:t>
      </w:r>
      <w:r w:rsidRPr="00DF7CAE">
        <w:rPr>
          <w:rStyle w:val="Char3"/>
          <w:rFonts w:hint="eastAsia"/>
          <w:rtl/>
        </w:rPr>
        <w:t>للَّهَ</w:t>
      </w:r>
      <w:r w:rsidRPr="00DF7CAE">
        <w:rPr>
          <w:rStyle w:val="Char3"/>
          <w:rtl/>
        </w:rPr>
        <w:t xml:space="preserve"> </w:t>
      </w:r>
      <w:r w:rsidRPr="00DF7CAE">
        <w:rPr>
          <w:rStyle w:val="Char3"/>
          <w:rFonts w:hint="eastAsia"/>
          <w:rtl/>
        </w:rPr>
        <w:t>وَ</w:t>
      </w:r>
      <w:r w:rsidRPr="00DF7CAE">
        <w:rPr>
          <w:rStyle w:val="Char3"/>
          <w:rFonts w:hint="cs"/>
          <w:rtl/>
        </w:rPr>
        <w:t>ٱ</w:t>
      </w:r>
      <w:r w:rsidRPr="00DF7CAE">
        <w:rPr>
          <w:rStyle w:val="Char3"/>
          <w:rFonts w:hint="eastAsia"/>
          <w:rtl/>
        </w:rPr>
        <w:t>ع</w:t>
      </w:r>
      <w:r w:rsidRPr="00DF7CAE">
        <w:rPr>
          <w:rStyle w:val="Char3"/>
          <w:rFonts w:hint="cs"/>
          <w:rtl/>
        </w:rPr>
        <w:t>ۡ</w:t>
      </w:r>
      <w:r w:rsidRPr="00DF7CAE">
        <w:rPr>
          <w:rStyle w:val="Char3"/>
          <w:rFonts w:hint="eastAsia"/>
          <w:rtl/>
        </w:rPr>
        <w:t>لَمُو</w:t>
      </w:r>
      <w:r w:rsidRPr="00DF7CAE">
        <w:rPr>
          <w:rStyle w:val="Char3"/>
          <w:rFonts w:hint="cs"/>
          <w:rtl/>
        </w:rPr>
        <w:t>ٓ</w:t>
      </w:r>
      <w:r w:rsidRPr="00DF7CAE">
        <w:rPr>
          <w:rStyle w:val="Char3"/>
          <w:rFonts w:hint="eastAsia"/>
          <w:rtl/>
        </w:rPr>
        <w:t>اْ</w:t>
      </w:r>
      <w:r w:rsidRPr="00DF7CAE">
        <w:rPr>
          <w:rStyle w:val="Char3"/>
          <w:rtl/>
        </w:rPr>
        <w:t xml:space="preserve"> </w:t>
      </w:r>
      <w:r w:rsidRPr="00DF7CAE">
        <w:rPr>
          <w:rStyle w:val="Char3"/>
          <w:rFonts w:hint="eastAsia"/>
          <w:rtl/>
        </w:rPr>
        <w:t>أَنَّ</w:t>
      </w:r>
      <w:r w:rsidRPr="00DF7CAE">
        <w:rPr>
          <w:rStyle w:val="Char3"/>
          <w:rtl/>
        </w:rPr>
        <w:t xml:space="preserve"> </w:t>
      </w:r>
      <w:r w:rsidRPr="00DF7CAE">
        <w:rPr>
          <w:rStyle w:val="Char3"/>
          <w:rFonts w:hint="cs"/>
          <w:rtl/>
        </w:rPr>
        <w:t>ٱ</w:t>
      </w:r>
      <w:r w:rsidRPr="00DF7CAE">
        <w:rPr>
          <w:rStyle w:val="Char3"/>
          <w:rFonts w:hint="eastAsia"/>
          <w:rtl/>
        </w:rPr>
        <w:t>للَّهَ</w:t>
      </w:r>
      <w:r w:rsidRPr="00DF7CAE">
        <w:rPr>
          <w:rStyle w:val="Char3"/>
          <w:rtl/>
        </w:rPr>
        <w:t xml:space="preserve"> </w:t>
      </w:r>
      <w:r w:rsidRPr="00DF7CAE">
        <w:rPr>
          <w:rStyle w:val="Char3"/>
          <w:rFonts w:hint="eastAsia"/>
          <w:rtl/>
        </w:rPr>
        <w:t>بِمَا</w:t>
      </w:r>
      <w:r w:rsidRPr="00DF7CAE">
        <w:rPr>
          <w:rStyle w:val="Char3"/>
          <w:rtl/>
        </w:rPr>
        <w:t xml:space="preserve"> </w:t>
      </w:r>
      <w:r w:rsidRPr="00DF7CAE">
        <w:rPr>
          <w:rStyle w:val="Char3"/>
          <w:rFonts w:hint="eastAsia"/>
          <w:rtl/>
        </w:rPr>
        <w:t>تَع</w:t>
      </w:r>
      <w:r w:rsidRPr="00DF7CAE">
        <w:rPr>
          <w:rStyle w:val="Char3"/>
          <w:rFonts w:hint="cs"/>
          <w:rtl/>
        </w:rPr>
        <w:t>ۡ</w:t>
      </w:r>
      <w:r w:rsidRPr="00DF7CAE">
        <w:rPr>
          <w:rStyle w:val="Char3"/>
          <w:rFonts w:hint="eastAsia"/>
          <w:rtl/>
        </w:rPr>
        <w:t>مَلُونَ</w:t>
      </w:r>
      <w:r w:rsidRPr="00DF7CAE">
        <w:rPr>
          <w:rStyle w:val="Char3"/>
          <w:rtl/>
        </w:rPr>
        <w:t xml:space="preserve"> </w:t>
      </w:r>
      <w:r w:rsidRPr="00DF7CAE">
        <w:rPr>
          <w:rStyle w:val="Char3"/>
          <w:rFonts w:hint="eastAsia"/>
          <w:rtl/>
        </w:rPr>
        <w:t>بَصِير</w:t>
      </w:r>
      <w:r w:rsidRPr="00DF7CAE">
        <w:rPr>
          <w:rStyle w:val="Char3"/>
          <w:rFonts w:hint="cs"/>
          <w:rtl/>
        </w:rPr>
        <w:t>ٞ</w:t>
      </w:r>
      <w:r w:rsidRPr="00995B26">
        <w:rPr>
          <w:rFonts w:ascii="Abo-thar" w:hAnsi="Abo-thar" w:cs="Traditional Arabic" w:hint="cs"/>
          <w:sz w:val="28"/>
          <w:rtl/>
        </w:rPr>
        <w:t>﴾</w:t>
      </w:r>
      <w:r w:rsidRPr="003F3B94">
        <w:rPr>
          <w:rFonts w:ascii="Abo-thar" w:hAnsi="Abo-thar" w:hint="cs"/>
          <w:sz w:val="28"/>
          <w:rtl/>
        </w:rPr>
        <w:t xml:space="preserve"> </w:t>
      </w:r>
      <w:r w:rsidR="005C664D" w:rsidRPr="00FC12FD">
        <w:rPr>
          <w:rStyle w:val="Char2"/>
          <w:rtl/>
        </w:rPr>
        <w:t>[البقرة</w:t>
      </w:r>
      <w:r w:rsidRPr="00FC12FD">
        <w:rPr>
          <w:rStyle w:val="Char2"/>
          <w:rFonts w:hint="cs"/>
          <w:rtl/>
        </w:rPr>
        <w:t xml:space="preserve">: </w:t>
      </w:r>
      <w:r w:rsidR="005C664D" w:rsidRPr="00FC12FD">
        <w:rPr>
          <w:rStyle w:val="Char2"/>
          <w:rtl/>
        </w:rPr>
        <w:t>233]</w:t>
      </w:r>
    </w:p>
    <w:p w:rsidR="005C664D" w:rsidRPr="003F3B94" w:rsidRDefault="00DD7D67" w:rsidP="00DF7CAE">
      <w:pPr>
        <w:pStyle w:val="a0"/>
        <w:ind w:left="284" w:firstLine="0"/>
        <w:rPr>
          <w:rFonts w:hint="cs"/>
          <w:rtl/>
        </w:rPr>
      </w:pPr>
      <w:r w:rsidRPr="00995B26">
        <w:rPr>
          <w:rFonts w:ascii="Abo-thar" w:hAnsi="Abo-thar" w:cs="Traditional Arabic" w:hint="cs"/>
          <w:sz w:val="28"/>
          <w:rtl/>
        </w:rPr>
        <w:t>﴿</w:t>
      </w:r>
      <w:r w:rsidRPr="00DF7CAE">
        <w:rPr>
          <w:rStyle w:val="Char3"/>
          <w:rFonts w:hint="eastAsia"/>
          <w:rtl/>
        </w:rPr>
        <w:t>وَ</w:t>
      </w:r>
      <w:r w:rsidRPr="00DF7CAE">
        <w:rPr>
          <w:rStyle w:val="Char3"/>
          <w:rFonts w:hint="cs"/>
          <w:rtl/>
        </w:rPr>
        <w:t>ٱ</w:t>
      </w:r>
      <w:r w:rsidRPr="00DF7CAE">
        <w:rPr>
          <w:rStyle w:val="Char3"/>
          <w:rFonts w:hint="eastAsia"/>
          <w:rtl/>
        </w:rPr>
        <w:t>ع</w:t>
      </w:r>
      <w:r w:rsidRPr="00DF7CAE">
        <w:rPr>
          <w:rStyle w:val="Char3"/>
          <w:rFonts w:hint="cs"/>
          <w:rtl/>
        </w:rPr>
        <w:t>ۡ</w:t>
      </w:r>
      <w:r w:rsidRPr="00DF7CAE">
        <w:rPr>
          <w:rStyle w:val="Char3"/>
          <w:rFonts w:hint="eastAsia"/>
          <w:rtl/>
        </w:rPr>
        <w:t>لَمُو</w:t>
      </w:r>
      <w:r w:rsidRPr="00DF7CAE">
        <w:rPr>
          <w:rStyle w:val="Char3"/>
          <w:rFonts w:hint="cs"/>
          <w:rtl/>
        </w:rPr>
        <w:t>ٓ</w:t>
      </w:r>
      <w:r w:rsidRPr="00DF7CAE">
        <w:rPr>
          <w:rStyle w:val="Char3"/>
          <w:rFonts w:hint="eastAsia"/>
          <w:rtl/>
        </w:rPr>
        <w:t>اْ</w:t>
      </w:r>
      <w:r w:rsidRPr="00DF7CAE">
        <w:rPr>
          <w:rStyle w:val="Char3"/>
          <w:rtl/>
        </w:rPr>
        <w:t xml:space="preserve"> </w:t>
      </w:r>
      <w:r w:rsidRPr="00DF7CAE">
        <w:rPr>
          <w:rStyle w:val="Char3"/>
          <w:rFonts w:hint="eastAsia"/>
          <w:rtl/>
        </w:rPr>
        <w:t>أَنَّ</w:t>
      </w:r>
      <w:r w:rsidRPr="00DF7CAE">
        <w:rPr>
          <w:rStyle w:val="Char3"/>
          <w:rtl/>
        </w:rPr>
        <w:t xml:space="preserve"> </w:t>
      </w:r>
      <w:r w:rsidRPr="00DF7CAE">
        <w:rPr>
          <w:rStyle w:val="Char3"/>
          <w:rFonts w:hint="cs"/>
          <w:rtl/>
        </w:rPr>
        <w:t>ٱ</w:t>
      </w:r>
      <w:r w:rsidRPr="00DF7CAE">
        <w:rPr>
          <w:rStyle w:val="Char3"/>
          <w:rFonts w:hint="eastAsia"/>
          <w:rtl/>
        </w:rPr>
        <w:t>للَّهَ</w:t>
      </w:r>
      <w:r w:rsidRPr="00DF7CAE">
        <w:rPr>
          <w:rStyle w:val="Char3"/>
          <w:rtl/>
        </w:rPr>
        <w:t xml:space="preserve"> </w:t>
      </w:r>
      <w:r w:rsidRPr="00DF7CAE">
        <w:rPr>
          <w:rStyle w:val="Char3"/>
          <w:rFonts w:hint="eastAsia"/>
          <w:rtl/>
        </w:rPr>
        <w:t>يَع</w:t>
      </w:r>
      <w:r w:rsidRPr="00DF7CAE">
        <w:rPr>
          <w:rStyle w:val="Char3"/>
          <w:rFonts w:hint="cs"/>
          <w:rtl/>
        </w:rPr>
        <w:t>ۡ</w:t>
      </w:r>
      <w:r w:rsidRPr="00DF7CAE">
        <w:rPr>
          <w:rStyle w:val="Char3"/>
          <w:rFonts w:hint="eastAsia"/>
          <w:rtl/>
        </w:rPr>
        <w:t>لَمُ</w:t>
      </w:r>
      <w:r w:rsidRPr="00DF7CAE">
        <w:rPr>
          <w:rStyle w:val="Char3"/>
          <w:rtl/>
        </w:rPr>
        <w:t xml:space="preserve"> </w:t>
      </w:r>
      <w:r w:rsidRPr="00DF7CAE">
        <w:rPr>
          <w:rStyle w:val="Char3"/>
          <w:rFonts w:hint="eastAsia"/>
          <w:rtl/>
        </w:rPr>
        <w:t>مَا</w:t>
      </w:r>
      <w:r w:rsidRPr="00DF7CAE">
        <w:rPr>
          <w:rStyle w:val="Char3"/>
          <w:rtl/>
        </w:rPr>
        <w:t xml:space="preserve"> </w:t>
      </w:r>
      <w:r w:rsidRPr="00DF7CAE">
        <w:rPr>
          <w:rStyle w:val="Char3"/>
          <w:rFonts w:hint="eastAsia"/>
          <w:rtl/>
        </w:rPr>
        <w:t>فِي</w:t>
      </w:r>
      <w:r w:rsidRPr="00DF7CAE">
        <w:rPr>
          <w:rStyle w:val="Char3"/>
          <w:rFonts w:hint="cs"/>
          <w:rtl/>
        </w:rPr>
        <w:t>ٓ</w:t>
      </w:r>
      <w:r w:rsidRPr="00DF7CAE">
        <w:rPr>
          <w:rStyle w:val="Char3"/>
          <w:rtl/>
        </w:rPr>
        <w:t xml:space="preserve"> </w:t>
      </w:r>
      <w:r w:rsidRPr="00DF7CAE">
        <w:rPr>
          <w:rStyle w:val="Char3"/>
          <w:rFonts w:hint="eastAsia"/>
          <w:rtl/>
        </w:rPr>
        <w:t>أَنفُسِكُم</w:t>
      </w:r>
      <w:r w:rsidRPr="00DF7CAE">
        <w:rPr>
          <w:rStyle w:val="Char3"/>
          <w:rFonts w:hint="cs"/>
          <w:rtl/>
        </w:rPr>
        <w:t>ۡ</w:t>
      </w:r>
      <w:r w:rsidRPr="00DF7CAE">
        <w:rPr>
          <w:rStyle w:val="Char3"/>
          <w:rtl/>
        </w:rPr>
        <w:t xml:space="preserve"> </w:t>
      </w:r>
      <w:r w:rsidRPr="00DF7CAE">
        <w:rPr>
          <w:rStyle w:val="Char3"/>
          <w:rFonts w:hint="eastAsia"/>
          <w:rtl/>
        </w:rPr>
        <w:t>فَ</w:t>
      </w:r>
      <w:r w:rsidRPr="00DF7CAE">
        <w:rPr>
          <w:rStyle w:val="Char3"/>
          <w:rFonts w:hint="cs"/>
          <w:rtl/>
        </w:rPr>
        <w:t>ٱ</w:t>
      </w:r>
      <w:r w:rsidRPr="00DF7CAE">
        <w:rPr>
          <w:rStyle w:val="Char3"/>
          <w:rFonts w:hint="eastAsia"/>
          <w:rtl/>
        </w:rPr>
        <w:t>ح</w:t>
      </w:r>
      <w:r w:rsidRPr="00DF7CAE">
        <w:rPr>
          <w:rStyle w:val="Char3"/>
          <w:rFonts w:hint="cs"/>
          <w:rtl/>
        </w:rPr>
        <w:t>ۡ</w:t>
      </w:r>
      <w:r w:rsidRPr="00DF7CAE">
        <w:rPr>
          <w:rStyle w:val="Char3"/>
          <w:rFonts w:hint="eastAsia"/>
          <w:rtl/>
        </w:rPr>
        <w:t>ذَرُوهُ</w:t>
      </w:r>
      <w:r w:rsidRPr="00DF7CAE">
        <w:rPr>
          <w:rStyle w:val="Char3"/>
          <w:rFonts w:hint="cs"/>
          <w:rtl/>
        </w:rPr>
        <w:t>ۚ</w:t>
      </w:r>
      <w:r w:rsidRPr="00DF7CAE">
        <w:rPr>
          <w:rStyle w:val="Char3"/>
          <w:rtl/>
        </w:rPr>
        <w:t xml:space="preserve"> </w:t>
      </w:r>
      <w:r w:rsidRPr="00DF7CAE">
        <w:rPr>
          <w:rStyle w:val="Char3"/>
          <w:rFonts w:hint="eastAsia"/>
          <w:rtl/>
        </w:rPr>
        <w:t>وَ</w:t>
      </w:r>
      <w:r w:rsidRPr="00DF7CAE">
        <w:rPr>
          <w:rStyle w:val="Char3"/>
          <w:rFonts w:hint="cs"/>
          <w:rtl/>
        </w:rPr>
        <w:t>ٱ</w:t>
      </w:r>
      <w:r w:rsidRPr="00DF7CAE">
        <w:rPr>
          <w:rStyle w:val="Char3"/>
          <w:rFonts w:hint="eastAsia"/>
          <w:rtl/>
        </w:rPr>
        <w:t>ع</w:t>
      </w:r>
      <w:r w:rsidRPr="00DF7CAE">
        <w:rPr>
          <w:rStyle w:val="Char3"/>
          <w:rFonts w:hint="cs"/>
          <w:rtl/>
        </w:rPr>
        <w:t>ۡ</w:t>
      </w:r>
      <w:r w:rsidRPr="00DF7CAE">
        <w:rPr>
          <w:rStyle w:val="Char3"/>
          <w:rFonts w:hint="eastAsia"/>
          <w:rtl/>
        </w:rPr>
        <w:t>لَمُو</w:t>
      </w:r>
      <w:r w:rsidRPr="00DF7CAE">
        <w:rPr>
          <w:rStyle w:val="Char3"/>
          <w:rFonts w:hint="cs"/>
          <w:rtl/>
        </w:rPr>
        <w:t>ٓ</w:t>
      </w:r>
      <w:r w:rsidRPr="00DF7CAE">
        <w:rPr>
          <w:rStyle w:val="Char3"/>
          <w:rFonts w:hint="eastAsia"/>
          <w:rtl/>
        </w:rPr>
        <w:t>اْ</w:t>
      </w:r>
      <w:r w:rsidRPr="00DF7CAE">
        <w:rPr>
          <w:rStyle w:val="Char3"/>
          <w:rtl/>
        </w:rPr>
        <w:t xml:space="preserve"> </w:t>
      </w:r>
      <w:r w:rsidRPr="00DF7CAE">
        <w:rPr>
          <w:rStyle w:val="Char3"/>
          <w:rFonts w:hint="eastAsia"/>
          <w:rtl/>
        </w:rPr>
        <w:t>أَنَّ</w:t>
      </w:r>
      <w:r w:rsidRPr="00DF7CAE">
        <w:rPr>
          <w:rStyle w:val="Char3"/>
          <w:rtl/>
        </w:rPr>
        <w:t xml:space="preserve"> </w:t>
      </w:r>
      <w:r w:rsidRPr="00DF7CAE">
        <w:rPr>
          <w:rStyle w:val="Char3"/>
          <w:rFonts w:hint="cs"/>
          <w:rtl/>
        </w:rPr>
        <w:t>ٱ</w:t>
      </w:r>
      <w:r w:rsidRPr="00DF7CAE">
        <w:rPr>
          <w:rStyle w:val="Char3"/>
          <w:rFonts w:hint="eastAsia"/>
          <w:rtl/>
        </w:rPr>
        <w:t>للَّهَ</w:t>
      </w:r>
      <w:r w:rsidRPr="00DF7CAE">
        <w:rPr>
          <w:rStyle w:val="Char3"/>
          <w:rtl/>
        </w:rPr>
        <w:t xml:space="preserve"> </w:t>
      </w:r>
      <w:r w:rsidRPr="00DF7CAE">
        <w:rPr>
          <w:rStyle w:val="Char3"/>
          <w:rFonts w:hint="eastAsia"/>
          <w:rtl/>
        </w:rPr>
        <w:t>غَفُورٌ</w:t>
      </w:r>
      <w:r w:rsidRPr="00DF7CAE">
        <w:rPr>
          <w:rStyle w:val="Char3"/>
          <w:rtl/>
        </w:rPr>
        <w:t xml:space="preserve"> </w:t>
      </w:r>
      <w:r w:rsidRPr="00DF7CAE">
        <w:rPr>
          <w:rStyle w:val="Char3"/>
          <w:rFonts w:hint="eastAsia"/>
          <w:rtl/>
        </w:rPr>
        <w:t>حَلِيم</w:t>
      </w:r>
      <w:r w:rsidRPr="00DF7CAE">
        <w:rPr>
          <w:rStyle w:val="Char3"/>
          <w:rFonts w:hint="cs"/>
          <w:rtl/>
        </w:rPr>
        <w:t>ٞ</w:t>
      </w:r>
      <w:r w:rsidRPr="00995B26">
        <w:rPr>
          <w:rFonts w:ascii="Abo-thar" w:hAnsi="Abo-thar" w:cs="Traditional Arabic" w:hint="cs"/>
          <w:sz w:val="28"/>
          <w:rtl/>
        </w:rPr>
        <w:t>﴾</w:t>
      </w:r>
      <w:r w:rsidRPr="003F3B94">
        <w:rPr>
          <w:rFonts w:ascii="Abo-thar" w:hAnsi="Abo-thar" w:hint="cs"/>
          <w:sz w:val="28"/>
          <w:rtl/>
        </w:rPr>
        <w:t xml:space="preserve"> </w:t>
      </w:r>
      <w:r w:rsidR="005C664D" w:rsidRPr="00FC12FD">
        <w:rPr>
          <w:rStyle w:val="Char2"/>
          <w:rtl/>
        </w:rPr>
        <w:t>[البقرة</w:t>
      </w:r>
      <w:r w:rsidRPr="00FC12FD">
        <w:rPr>
          <w:rStyle w:val="Char2"/>
          <w:rFonts w:hint="cs"/>
          <w:rtl/>
        </w:rPr>
        <w:t xml:space="preserve">: </w:t>
      </w:r>
      <w:r w:rsidR="005C664D" w:rsidRPr="00FC12FD">
        <w:rPr>
          <w:rStyle w:val="Char2"/>
          <w:rtl/>
        </w:rPr>
        <w:t>235]</w:t>
      </w:r>
    </w:p>
    <w:p w:rsidR="005C664D" w:rsidRPr="00995B26" w:rsidRDefault="005C664D" w:rsidP="003F3B94">
      <w:pPr>
        <w:pStyle w:val="a0"/>
        <w:rPr>
          <w:rFonts w:hint="cs"/>
          <w:rtl/>
        </w:rPr>
      </w:pPr>
      <w:r w:rsidRPr="003F3B94">
        <w:rPr>
          <w:rFonts w:ascii="Abo-thar" w:hAnsi="Abo-thar" w:hint="cs"/>
          <w:sz w:val="28"/>
          <w:rtl/>
        </w:rPr>
        <w:t>حيث أنه بعد الأمر بالتقوى يأتي الإعلام بطريقة الوعظ والإرشاد بحقيقة إيمانية اعتقادية</w:t>
      </w:r>
      <w:r w:rsidR="00217AB4" w:rsidRPr="003F3B94">
        <w:rPr>
          <w:rFonts w:ascii="Abo-thar" w:hAnsi="Abo-thar" w:hint="cs"/>
          <w:sz w:val="28"/>
          <w:rtl/>
        </w:rPr>
        <w:t>،</w:t>
      </w:r>
      <w:r w:rsidRPr="003F3B94">
        <w:rPr>
          <w:rFonts w:ascii="Abo-thar" w:hAnsi="Abo-thar" w:hint="cs"/>
          <w:sz w:val="28"/>
          <w:rtl/>
        </w:rPr>
        <w:t xml:space="preserve"> كما نجد ذلك في الآية التالية من سورة الأنفال التي تبتدئ بقوله تعالى</w:t>
      </w:r>
      <w:r w:rsidR="00217AB4" w:rsidRPr="003F3B94">
        <w:rPr>
          <w:rFonts w:ascii="Abo-thar" w:hAnsi="Abo-thar" w:hint="cs"/>
          <w:sz w:val="28"/>
          <w:rtl/>
        </w:rPr>
        <w:t>:</w:t>
      </w:r>
      <w:r w:rsidR="00E77B3F" w:rsidRPr="003F3B94">
        <w:rPr>
          <w:rFonts w:ascii="Abo-thar" w:hAnsi="Abo-thar" w:hint="cs"/>
          <w:sz w:val="28"/>
          <w:rtl/>
        </w:rPr>
        <w:t xml:space="preserve"> </w:t>
      </w:r>
      <w:r w:rsidR="00E77B3F" w:rsidRPr="00995B26">
        <w:rPr>
          <w:rFonts w:cs="Traditional Arabic"/>
          <w:rtl/>
          <w:lang w:bidi="fa-IR"/>
        </w:rPr>
        <w:t>﴿</w:t>
      </w:r>
      <w:r w:rsidR="00E77B3F" w:rsidRPr="00DF7CAE">
        <w:rPr>
          <w:rStyle w:val="Char3"/>
          <w:rFonts w:hint="eastAsia"/>
          <w:rtl/>
        </w:rPr>
        <w:t>يَ</w:t>
      </w:r>
      <w:r w:rsidR="00E77B3F" w:rsidRPr="00DF7CAE">
        <w:rPr>
          <w:rStyle w:val="Char3"/>
          <w:rFonts w:hint="cs"/>
          <w:rtl/>
        </w:rPr>
        <w:t>ٰٓ</w:t>
      </w:r>
      <w:r w:rsidR="00E77B3F" w:rsidRPr="00DF7CAE">
        <w:rPr>
          <w:rStyle w:val="Char3"/>
          <w:rFonts w:hint="eastAsia"/>
          <w:rtl/>
        </w:rPr>
        <w:t>أَيُّهَا</w:t>
      </w:r>
      <w:r w:rsidR="00E77B3F" w:rsidRPr="00DF7CAE">
        <w:rPr>
          <w:rStyle w:val="Char3"/>
          <w:rtl/>
        </w:rPr>
        <w:t xml:space="preserve"> </w:t>
      </w:r>
      <w:r w:rsidR="00E77B3F" w:rsidRPr="00DF7CAE">
        <w:rPr>
          <w:rStyle w:val="Char3"/>
          <w:rFonts w:hint="cs"/>
          <w:rtl/>
        </w:rPr>
        <w:t>ٱ</w:t>
      </w:r>
      <w:r w:rsidR="00E77B3F" w:rsidRPr="00DF7CAE">
        <w:rPr>
          <w:rStyle w:val="Char3"/>
          <w:rFonts w:hint="eastAsia"/>
          <w:rtl/>
        </w:rPr>
        <w:t>لَّذِينَ</w:t>
      </w:r>
      <w:r w:rsidR="00E77B3F" w:rsidRPr="00DF7CAE">
        <w:rPr>
          <w:rStyle w:val="Char3"/>
          <w:rtl/>
        </w:rPr>
        <w:t xml:space="preserve"> </w:t>
      </w:r>
      <w:r w:rsidR="00E77B3F" w:rsidRPr="00DF7CAE">
        <w:rPr>
          <w:rStyle w:val="Char3"/>
          <w:rFonts w:hint="eastAsia"/>
          <w:rtl/>
        </w:rPr>
        <w:t>ءَامَنُواْ</w:t>
      </w:r>
      <w:r w:rsidR="00E77B3F" w:rsidRPr="00DF7CAE">
        <w:rPr>
          <w:rStyle w:val="Char3"/>
          <w:rtl/>
        </w:rPr>
        <w:t xml:space="preserve"> </w:t>
      </w:r>
      <w:r w:rsidR="00E77B3F" w:rsidRPr="00DF7CAE">
        <w:rPr>
          <w:rStyle w:val="Char3"/>
          <w:rFonts w:hint="cs"/>
          <w:rtl/>
        </w:rPr>
        <w:t>ٱ</w:t>
      </w:r>
      <w:r w:rsidR="00E77B3F" w:rsidRPr="00DF7CAE">
        <w:rPr>
          <w:rStyle w:val="Char3"/>
          <w:rFonts w:hint="eastAsia"/>
          <w:rtl/>
        </w:rPr>
        <w:t>س</w:t>
      </w:r>
      <w:r w:rsidR="00E77B3F" w:rsidRPr="00DF7CAE">
        <w:rPr>
          <w:rStyle w:val="Char3"/>
          <w:rFonts w:hint="cs"/>
          <w:rtl/>
        </w:rPr>
        <w:t>ۡ</w:t>
      </w:r>
      <w:r w:rsidR="00E77B3F" w:rsidRPr="00DF7CAE">
        <w:rPr>
          <w:rStyle w:val="Char3"/>
          <w:rFonts w:hint="eastAsia"/>
          <w:rtl/>
        </w:rPr>
        <w:t>تَجِيبُواْ</w:t>
      </w:r>
      <w:r w:rsidR="00E77B3F" w:rsidRPr="00DF7CAE">
        <w:rPr>
          <w:rStyle w:val="Char3"/>
          <w:rtl/>
        </w:rPr>
        <w:t xml:space="preserve"> </w:t>
      </w:r>
      <w:r w:rsidR="00E77B3F" w:rsidRPr="00DF7CAE">
        <w:rPr>
          <w:rStyle w:val="Char3"/>
          <w:rFonts w:hint="eastAsia"/>
          <w:rtl/>
        </w:rPr>
        <w:t>لِلَّهِ</w:t>
      </w:r>
      <w:r w:rsidR="00E77B3F" w:rsidRPr="00DF7CAE">
        <w:rPr>
          <w:rStyle w:val="Char3"/>
          <w:rtl/>
        </w:rPr>
        <w:t xml:space="preserve"> </w:t>
      </w:r>
      <w:r w:rsidR="00E77B3F" w:rsidRPr="00DF7CAE">
        <w:rPr>
          <w:rStyle w:val="Char3"/>
          <w:rFonts w:hint="eastAsia"/>
          <w:rtl/>
        </w:rPr>
        <w:t>وَلِلرَّسُولِ</w:t>
      </w:r>
      <w:r w:rsidR="00E77B3F" w:rsidRPr="00DF7CAE">
        <w:rPr>
          <w:rStyle w:val="Char3"/>
          <w:rtl/>
        </w:rPr>
        <w:t xml:space="preserve"> </w:t>
      </w:r>
      <w:r w:rsidR="00E77B3F" w:rsidRPr="00DF7CAE">
        <w:rPr>
          <w:rStyle w:val="Char3"/>
          <w:rFonts w:hint="eastAsia"/>
          <w:rtl/>
        </w:rPr>
        <w:t>إِذَا</w:t>
      </w:r>
      <w:r w:rsidR="00E77B3F" w:rsidRPr="00DF7CAE">
        <w:rPr>
          <w:rStyle w:val="Char3"/>
          <w:rtl/>
        </w:rPr>
        <w:t xml:space="preserve"> </w:t>
      </w:r>
      <w:r w:rsidR="00E77B3F" w:rsidRPr="00DF7CAE">
        <w:rPr>
          <w:rStyle w:val="Char3"/>
          <w:rFonts w:hint="eastAsia"/>
          <w:rtl/>
        </w:rPr>
        <w:t>دَعَاكُم</w:t>
      </w:r>
      <w:r w:rsidR="00E77B3F" w:rsidRPr="00DF7CAE">
        <w:rPr>
          <w:rStyle w:val="Char3"/>
          <w:rFonts w:hint="cs"/>
          <w:rtl/>
        </w:rPr>
        <w:t>ۡ</w:t>
      </w:r>
      <w:r w:rsidR="00E77B3F" w:rsidRPr="00DF7CAE">
        <w:rPr>
          <w:rStyle w:val="Char3"/>
          <w:rtl/>
        </w:rPr>
        <w:t xml:space="preserve"> </w:t>
      </w:r>
      <w:r w:rsidR="00E77B3F" w:rsidRPr="00DF7CAE">
        <w:rPr>
          <w:rStyle w:val="Char3"/>
          <w:rFonts w:hint="eastAsia"/>
          <w:rtl/>
        </w:rPr>
        <w:t>لِمَا</w:t>
      </w:r>
      <w:r w:rsidR="00E77B3F" w:rsidRPr="00DF7CAE">
        <w:rPr>
          <w:rStyle w:val="Char3"/>
          <w:rtl/>
        </w:rPr>
        <w:t xml:space="preserve"> </w:t>
      </w:r>
      <w:r w:rsidR="00E77B3F" w:rsidRPr="00DF7CAE">
        <w:rPr>
          <w:rStyle w:val="Char3"/>
          <w:rFonts w:hint="eastAsia"/>
          <w:rtl/>
        </w:rPr>
        <w:t>يُح</w:t>
      </w:r>
      <w:r w:rsidR="00E77B3F" w:rsidRPr="00DF7CAE">
        <w:rPr>
          <w:rStyle w:val="Char3"/>
          <w:rFonts w:hint="cs"/>
          <w:rtl/>
        </w:rPr>
        <w:t>ۡ</w:t>
      </w:r>
      <w:r w:rsidR="00E77B3F" w:rsidRPr="00DF7CAE">
        <w:rPr>
          <w:rStyle w:val="Char3"/>
          <w:rFonts w:hint="eastAsia"/>
          <w:rtl/>
        </w:rPr>
        <w:t>يِيكُم</w:t>
      </w:r>
      <w:r w:rsidR="00E77B3F" w:rsidRPr="00DF7CAE">
        <w:rPr>
          <w:rStyle w:val="Char3"/>
          <w:rFonts w:hint="cs"/>
          <w:rtl/>
        </w:rPr>
        <w:t>ۡ</w:t>
      </w:r>
      <w:r w:rsidR="00E77B3F" w:rsidRPr="00995B26">
        <w:rPr>
          <w:rFonts w:cs="KFGQPC Uthman Taha Naskh" w:hint="cs"/>
          <w:rtl/>
          <w:lang w:bidi="fa-IR"/>
        </w:rPr>
        <w:t>...</w:t>
      </w:r>
      <w:r w:rsidR="00E77B3F" w:rsidRPr="00995B26">
        <w:rPr>
          <w:rFonts w:cs="Traditional Arabic"/>
          <w:rtl/>
          <w:lang w:bidi="fa-IR"/>
        </w:rPr>
        <w:t>﴾</w:t>
      </w:r>
      <w:r w:rsidR="00E77B3F" w:rsidRPr="00995B26">
        <w:rPr>
          <w:rFonts w:cs="B Lotus" w:hint="cs"/>
          <w:rtl/>
          <w:lang w:bidi="fa-IR"/>
        </w:rPr>
        <w:t xml:space="preserve"> </w:t>
      </w:r>
      <w:r w:rsidR="00E77B3F" w:rsidRPr="00FC12FD">
        <w:rPr>
          <w:rStyle w:val="Char2"/>
          <w:rFonts w:hint="cs"/>
          <w:rtl/>
        </w:rPr>
        <w:t>[الأنفال: 24].</w:t>
      </w:r>
      <w:r w:rsidRPr="00995B26">
        <w:rPr>
          <w:rFonts w:ascii="Abo-thar" w:hAnsi="Abo-thar" w:hint="cs"/>
          <w:sz w:val="28"/>
          <w:rtl/>
        </w:rPr>
        <w:t xml:space="preserve"> </w:t>
      </w:r>
    </w:p>
    <w:p w:rsidR="005C664D" w:rsidRPr="00995B26" w:rsidRDefault="005C664D" w:rsidP="003F3B94">
      <w:pPr>
        <w:pStyle w:val="a0"/>
        <w:rPr>
          <w:rFonts w:hint="cs"/>
          <w:rtl/>
        </w:rPr>
      </w:pPr>
      <w:r w:rsidRPr="003F3B94">
        <w:rPr>
          <w:rFonts w:ascii="Abo-thar" w:hAnsi="Abo-thar" w:hint="cs"/>
          <w:sz w:val="28"/>
          <w:rtl/>
        </w:rPr>
        <w:t>ليأتي بعدها مباشرةً قوله تعالى</w:t>
      </w:r>
      <w:r w:rsidR="00217AB4" w:rsidRPr="003F3B94">
        <w:rPr>
          <w:rFonts w:ascii="Abo-thar" w:hAnsi="Abo-thar" w:hint="cs"/>
          <w:sz w:val="28"/>
          <w:rtl/>
        </w:rPr>
        <w:t>:</w:t>
      </w:r>
      <w:r w:rsidRPr="003F3B94">
        <w:rPr>
          <w:rFonts w:ascii="Abo-thar" w:hAnsi="Abo-thar" w:hint="cs"/>
          <w:sz w:val="28"/>
          <w:rtl/>
        </w:rPr>
        <w:t xml:space="preserve"> </w:t>
      </w:r>
      <w:r w:rsidR="00E77B3F" w:rsidRPr="00995B26">
        <w:rPr>
          <w:rFonts w:cs="Traditional Arabic"/>
          <w:rtl/>
          <w:lang w:bidi="fa-IR"/>
        </w:rPr>
        <w:t>﴿</w:t>
      </w:r>
      <w:r w:rsidR="00E77B3F" w:rsidRPr="00995B26">
        <w:rPr>
          <w:rFonts w:cs="KFGQPC Uthman Taha Naskh"/>
          <w:rtl/>
          <w:lang w:bidi="fa-IR"/>
        </w:rPr>
        <w:t>...</w:t>
      </w:r>
      <w:r w:rsidR="00E77B3F" w:rsidRPr="00995B26">
        <w:rPr>
          <w:rFonts w:cs="KFGQPC Uthman Taha Naskh" w:hint="cs"/>
          <w:rtl/>
          <w:lang w:bidi="fa-IR"/>
        </w:rPr>
        <w:t xml:space="preserve"> </w:t>
      </w:r>
      <w:r w:rsidR="00E77B3F" w:rsidRPr="00DF7CAE">
        <w:rPr>
          <w:rStyle w:val="Char3"/>
          <w:rFonts w:hint="eastAsia"/>
          <w:rtl/>
        </w:rPr>
        <w:t>وَ</w:t>
      </w:r>
      <w:r w:rsidR="00E77B3F" w:rsidRPr="00DF7CAE">
        <w:rPr>
          <w:rStyle w:val="Char3"/>
          <w:rFonts w:hint="cs"/>
          <w:rtl/>
        </w:rPr>
        <w:t>ٱ</w:t>
      </w:r>
      <w:r w:rsidR="00E77B3F" w:rsidRPr="00DF7CAE">
        <w:rPr>
          <w:rStyle w:val="Char3"/>
          <w:rFonts w:hint="eastAsia"/>
          <w:rtl/>
        </w:rPr>
        <w:t>ع</w:t>
      </w:r>
      <w:r w:rsidR="00E77B3F" w:rsidRPr="00DF7CAE">
        <w:rPr>
          <w:rStyle w:val="Char3"/>
          <w:rFonts w:hint="cs"/>
          <w:rtl/>
        </w:rPr>
        <w:t>ۡ</w:t>
      </w:r>
      <w:r w:rsidR="00E77B3F" w:rsidRPr="00DF7CAE">
        <w:rPr>
          <w:rStyle w:val="Char3"/>
          <w:rFonts w:hint="eastAsia"/>
          <w:rtl/>
        </w:rPr>
        <w:t>لَمُو</w:t>
      </w:r>
      <w:r w:rsidR="00E77B3F" w:rsidRPr="00DF7CAE">
        <w:rPr>
          <w:rStyle w:val="Char3"/>
          <w:rFonts w:hint="cs"/>
          <w:rtl/>
        </w:rPr>
        <w:t>ٓ</w:t>
      </w:r>
      <w:r w:rsidR="00E77B3F" w:rsidRPr="00DF7CAE">
        <w:rPr>
          <w:rStyle w:val="Char3"/>
          <w:rFonts w:hint="eastAsia"/>
          <w:rtl/>
        </w:rPr>
        <w:t>اْ</w:t>
      </w:r>
      <w:r w:rsidR="00E77B3F" w:rsidRPr="00DF7CAE">
        <w:rPr>
          <w:rStyle w:val="Char3"/>
          <w:rtl/>
        </w:rPr>
        <w:t xml:space="preserve"> </w:t>
      </w:r>
      <w:r w:rsidR="00E77B3F" w:rsidRPr="00DF7CAE">
        <w:rPr>
          <w:rStyle w:val="Char3"/>
          <w:rFonts w:hint="eastAsia"/>
          <w:rtl/>
        </w:rPr>
        <w:t>أَنَّ</w:t>
      </w:r>
      <w:r w:rsidR="00E77B3F" w:rsidRPr="00DF7CAE">
        <w:rPr>
          <w:rStyle w:val="Char3"/>
          <w:rtl/>
        </w:rPr>
        <w:t xml:space="preserve"> </w:t>
      </w:r>
      <w:r w:rsidR="00E77B3F" w:rsidRPr="00DF7CAE">
        <w:rPr>
          <w:rStyle w:val="Char3"/>
          <w:rFonts w:hint="cs"/>
          <w:rtl/>
        </w:rPr>
        <w:t>ٱ</w:t>
      </w:r>
      <w:r w:rsidR="00E77B3F" w:rsidRPr="00DF7CAE">
        <w:rPr>
          <w:rStyle w:val="Char3"/>
          <w:rFonts w:hint="eastAsia"/>
          <w:rtl/>
        </w:rPr>
        <w:t>للَّهَ</w:t>
      </w:r>
      <w:r w:rsidR="00E77B3F" w:rsidRPr="00DF7CAE">
        <w:rPr>
          <w:rStyle w:val="Char3"/>
          <w:rtl/>
        </w:rPr>
        <w:t xml:space="preserve"> </w:t>
      </w:r>
      <w:r w:rsidR="00E77B3F" w:rsidRPr="00DF7CAE">
        <w:rPr>
          <w:rStyle w:val="Char3"/>
          <w:rFonts w:hint="eastAsia"/>
          <w:rtl/>
        </w:rPr>
        <w:t>يَحُولُ</w:t>
      </w:r>
      <w:r w:rsidR="00E77B3F" w:rsidRPr="00DF7CAE">
        <w:rPr>
          <w:rStyle w:val="Char3"/>
          <w:rtl/>
        </w:rPr>
        <w:t xml:space="preserve"> </w:t>
      </w:r>
      <w:r w:rsidR="00E77B3F" w:rsidRPr="00DF7CAE">
        <w:rPr>
          <w:rStyle w:val="Char3"/>
          <w:rFonts w:hint="eastAsia"/>
          <w:rtl/>
        </w:rPr>
        <w:t>بَي</w:t>
      </w:r>
      <w:r w:rsidR="00E77B3F" w:rsidRPr="00DF7CAE">
        <w:rPr>
          <w:rStyle w:val="Char3"/>
          <w:rFonts w:hint="cs"/>
          <w:rtl/>
        </w:rPr>
        <w:t>ۡ</w:t>
      </w:r>
      <w:r w:rsidR="00E77B3F" w:rsidRPr="00DF7CAE">
        <w:rPr>
          <w:rStyle w:val="Char3"/>
          <w:rFonts w:hint="eastAsia"/>
          <w:rtl/>
        </w:rPr>
        <w:t>نَ</w:t>
      </w:r>
      <w:r w:rsidR="00E77B3F" w:rsidRPr="00DF7CAE">
        <w:rPr>
          <w:rStyle w:val="Char3"/>
          <w:rtl/>
        </w:rPr>
        <w:t xml:space="preserve"> </w:t>
      </w:r>
      <w:r w:rsidR="00E77B3F" w:rsidRPr="00DF7CAE">
        <w:rPr>
          <w:rStyle w:val="Char3"/>
          <w:rFonts w:hint="cs"/>
          <w:rtl/>
        </w:rPr>
        <w:t>ٱ</w:t>
      </w:r>
      <w:r w:rsidR="00E77B3F" w:rsidRPr="00DF7CAE">
        <w:rPr>
          <w:rStyle w:val="Char3"/>
          <w:rFonts w:hint="eastAsia"/>
          <w:rtl/>
        </w:rPr>
        <w:t>ل</w:t>
      </w:r>
      <w:r w:rsidR="00E77B3F" w:rsidRPr="00DF7CAE">
        <w:rPr>
          <w:rStyle w:val="Char3"/>
          <w:rFonts w:hint="cs"/>
          <w:rtl/>
        </w:rPr>
        <w:t>ۡ</w:t>
      </w:r>
      <w:r w:rsidR="00E77B3F" w:rsidRPr="00DF7CAE">
        <w:rPr>
          <w:rStyle w:val="Char3"/>
          <w:rFonts w:hint="eastAsia"/>
          <w:rtl/>
        </w:rPr>
        <w:t>مَر</w:t>
      </w:r>
      <w:r w:rsidR="00E77B3F" w:rsidRPr="00DF7CAE">
        <w:rPr>
          <w:rStyle w:val="Char3"/>
          <w:rFonts w:hint="cs"/>
          <w:rtl/>
        </w:rPr>
        <w:t>ۡ</w:t>
      </w:r>
      <w:r w:rsidR="00E77B3F" w:rsidRPr="00DF7CAE">
        <w:rPr>
          <w:rStyle w:val="Char3"/>
          <w:rFonts w:hint="eastAsia"/>
          <w:rtl/>
        </w:rPr>
        <w:t>ءِ</w:t>
      </w:r>
      <w:r w:rsidR="00E77B3F" w:rsidRPr="00DF7CAE">
        <w:rPr>
          <w:rStyle w:val="Char3"/>
          <w:rtl/>
        </w:rPr>
        <w:t xml:space="preserve"> </w:t>
      </w:r>
      <w:r w:rsidR="00E77B3F" w:rsidRPr="00DF7CAE">
        <w:rPr>
          <w:rStyle w:val="Char3"/>
          <w:rFonts w:hint="eastAsia"/>
          <w:rtl/>
        </w:rPr>
        <w:t>وَقَل</w:t>
      </w:r>
      <w:r w:rsidR="00E77B3F" w:rsidRPr="00DF7CAE">
        <w:rPr>
          <w:rStyle w:val="Char3"/>
          <w:rFonts w:hint="cs"/>
          <w:rtl/>
        </w:rPr>
        <w:t>ۡ</w:t>
      </w:r>
      <w:r w:rsidR="00E77B3F" w:rsidRPr="00DF7CAE">
        <w:rPr>
          <w:rStyle w:val="Char3"/>
          <w:rFonts w:hint="eastAsia"/>
          <w:rtl/>
        </w:rPr>
        <w:t>بِهِ</w:t>
      </w:r>
      <w:r w:rsidR="00E77B3F" w:rsidRPr="00DF7CAE">
        <w:rPr>
          <w:rStyle w:val="Char3"/>
          <w:rFonts w:hint="cs"/>
          <w:rtl/>
        </w:rPr>
        <w:t>ۦ</w:t>
      </w:r>
      <w:r w:rsidR="00E77B3F" w:rsidRPr="00DF7CAE">
        <w:rPr>
          <w:rStyle w:val="Char3"/>
          <w:rtl/>
        </w:rPr>
        <w:t xml:space="preserve"> </w:t>
      </w:r>
      <w:r w:rsidR="00E77B3F" w:rsidRPr="00DF7CAE">
        <w:rPr>
          <w:rStyle w:val="Char3"/>
          <w:rFonts w:hint="eastAsia"/>
          <w:rtl/>
        </w:rPr>
        <w:t>وَأَنَّهُ</w:t>
      </w:r>
      <w:r w:rsidR="00E77B3F" w:rsidRPr="00DF7CAE">
        <w:rPr>
          <w:rStyle w:val="Char3"/>
          <w:rFonts w:hint="cs"/>
          <w:rtl/>
        </w:rPr>
        <w:t>ۥٓ</w:t>
      </w:r>
      <w:r w:rsidR="00E77B3F" w:rsidRPr="00DF7CAE">
        <w:rPr>
          <w:rStyle w:val="Char3"/>
          <w:rtl/>
        </w:rPr>
        <w:t xml:space="preserve"> </w:t>
      </w:r>
      <w:r w:rsidR="00E77B3F" w:rsidRPr="00DF7CAE">
        <w:rPr>
          <w:rStyle w:val="Char3"/>
          <w:rFonts w:hint="eastAsia"/>
          <w:rtl/>
        </w:rPr>
        <w:t>إِلَي</w:t>
      </w:r>
      <w:r w:rsidR="00E77B3F" w:rsidRPr="00DF7CAE">
        <w:rPr>
          <w:rStyle w:val="Char3"/>
          <w:rFonts w:hint="cs"/>
          <w:rtl/>
        </w:rPr>
        <w:t>ۡ</w:t>
      </w:r>
      <w:r w:rsidR="00E77B3F" w:rsidRPr="00DF7CAE">
        <w:rPr>
          <w:rStyle w:val="Char3"/>
          <w:rFonts w:hint="eastAsia"/>
          <w:rtl/>
        </w:rPr>
        <w:t>هِ</w:t>
      </w:r>
      <w:r w:rsidR="00E77B3F" w:rsidRPr="00DF7CAE">
        <w:rPr>
          <w:rStyle w:val="Char3"/>
          <w:rtl/>
        </w:rPr>
        <w:t xml:space="preserve"> </w:t>
      </w:r>
      <w:r w:rsidR="00E77B3F" w:rsidRPr="00DF7CAE">
        <w:rPr>
          <w:rStyle w:val="Char3"/>
          <w:rFonts w:hint="eastAsia"/>
          <w:rtl/>
        </w:rPr>
        <w:t>تُح</w:t>
      </w:r>
      <w:r w:rsidR="00E77B3F" w:rsidRPr="00DF7CAE">
        <w:rPr>
          <w:rStyle w:val="Char3"/>
          <w:rFonts w:hint="cs"/>
          <w:rtl/>
        </w:rPr>
        <w:t>ۡ</w:t>
      </w:r>
      <w:r w:rsidR="00E77B3F" w:rsidRPr="00DF7CAE">
        <w:rPr>
          <w:rStyle w:val="Char3"/>
          <w:rFonts w:hint="eastAsia"/>
          <w:rtl/>
        </w:rPr>
        <w:t>شَرُونَ</w:t>
      </w:r>
      <w:r w:rsidR="00E77B3F" w:rsidRPr="00995B26">
        <w:rPr>
          <w:rFonts w:cs="Traditional Arabic"/>
          <w:rtl/>
          <w:lang w:bidi="fa-IR"/>
        </w:rPr>
        <w:t>﴾</w:t>
      </w:r>
      <w:r w:rsidR="00E77B3F" w:rsidRPr="00995B26">
        <w:rPr>
          <w:rFonts w:cs="B Badr" w:hint="cs"/>
          <w:b/>
          <w:bCs/>
          <w:spacing w:val="-6"/>
          <w:sz w:val="26"/>
          <w:szCs w:val="26"/>
          <w:rtl/>
          <w:lang w:bidi="fa-IR"/>
        </w:rPr>
        <w:t>.</w:t>
      </w:r>
      <w:r w:rsidR="00E77B3F" w:rsidRPr="00995B26">
        <w:rPr>
          <w:rFonts w:cs="B Badr"/>
          <w:b/>
          <w:bCs/>
          <w:spacing w:val="-6"/>
          <w:sz w:val="26"/>
          <w:szCs w:val="26"/>
          <w:rtl/>
          <w:lang w:bidi="fa-IR"/>
        </w:rPr>
        <w:t xml:space="preserve"> </w:t>
      </w:r>
      <w:r w:rsidR="00E77B3F" w:rsidRPr="00995B26">
        <w:rPr>
          <w:rFonts w:cs="2  Badr"/>
          <w:rtl/>
          <w:lang w:bidi="fa-IR"/>
        </w:rPr>
        <w:t xml:space="preserve"> </w:t>
      </w:r>
      <w:r w:rsidR="00E77B3F" w:rsidRPr="00FC12FD">
        <w:rPr>
          <w:rStyle w:val="Char2"/>
          <w:rFonts w:hint="cs"/>
          <w:rtl/>
        </w:rPr>
        <w:t>[الأنفال: 24].</w:t>
      </w:r>
      <w:r w:rsidR="00147857" w:rsidRPr="00995B26">
        <w:rPr>
          <w:rFonts w:ascii="Abo-thar" w:hAnsi="Abo-thar" w:hint="cs"/>
          <w:sz w:val="28"/>
          <w:rtl/>
        </w:rPr>
        <w:t xml:space="preserve"> </w:t>
      </w:r>
      <w:r w:rsidRPr="00995B26">
        <w:rPr>
          <w:rFonts w:ascii="Abo-thar" w:hAnsi="Abo-thar" w:hint="cs"/>
          <w:sz w:val="28"/>
          <w:rtl/>
        </w:rPr>
        <w:t>حيث جاء الإعلام بمسألة اعتقادية</w:t>
      </w:r>
      <w:r w:rsidR="00217AB4" w:rsidRPr="00995B26">
        <w:rPr>
          <w:rFonts w:ascii="Abo-thar" w:hAnsi="Abo-thar" w:hint="cs"/>
          <w:sz w:val="28"/>
          <w:rtl/>
        </w:rPr>
        <w:t>.</w:t>
      </w:r>
      <w:r w:rsidRPr="00995B26">
        <w:rPr>
          <w:rFonts w:ascii="Abo-thar" w:hAnsi="Abo-thar" w:hint="cs"/>
          <w:sz w:val="28"/>
          <w:rtl/>
        </w:rPr>
        <w:t xml:space="preserve"> </w:t>
      </w:r>
    </w:p>
    <w:p w:rsidR="005C664D" w:rsidRPr="00995B26" w:rsidRDefault="005C664D" w:rsidP="003F3B94">
      <w:pPr>
        <w:pStyle w:val="a0"/>
        <w:rPr>
          <w:rFonts w:hint="cs"/>
          <w:rtl/>
        </w:rPr>
      </w:pPr>
      <w:r w:rsidRPr="003F3B94">
        <w:rPr>
          <w:rFonts w:ascii="Abo-thar" w:hAnsi="Abo-thar" w:hint="cs"/>
          <w:sz w:val="28"/>
          <w:rtl/>
        </w:rPr>
        <w:t xml:space="preserve">واللطيفة في هذه النقطة هي أنه في الآيات الكريمة التي استعملت فيها كلمة </w:t>
      </w:r>
      <w:r w:rsidR="00E77B3F" w:rsidRPr="00995B26">
        <w:rPr>
          <w:rFonts w:ascii="Abo-thar" w:hAnsi="Abo-thar" w:cs="Traditional Arabic" w:hint="cs"/>
          <w:sz w:val="28"/>
          <w:rtl/>
        </w:rPr>
        <w:t>﴿</w:t>
      </w:r>
      <w:r w:rsidR="00E77B3F" w:rsidRPr="00DF7CAE">
        <w:rPr>
          <w:rStyle w:val="Char3"/>
          <w:rFonts w:hint="eastAsia"/>
          <w:rtl/>
        </w:rPr>
        <w:t>وَ</w:t>
      </w:r>
      <w:r w:rsidR="00E77B3F" w:rsidRPr="00DF7CAE">
        <w:rPr>
          <w:rStyle w:val="Char3"/>
          <w:rFonts w:hint="cs"/>
          <w:rtl/>
        </w:rPr>
        <w:t>ٱ</w:t>
      </w:r>
      <w:r w:rsidR="00E77B3F" w:rsidRPr="00DF7CAE">
        <w:rPr>
          <w:rStyle w:val="Char3"/>
          <w:rFonts w:hint="eastAsia"/>
          <w:rtl/>
        </w:rPr>
        <w:t>ع</w:t>
      </w:r>
      <w:r w:rsidR="00E77B3F" w:rsidRPr="00DF7CAE">
        <w:rPr>
          <w:rStyle w:val="Char3"/>
          <w:rFonts w:hint="cs"/>
          <w:rtl/>
        </w:rPr>
        <w:t>ۡ</w:t>
      </w:r>
      <w:r w:rsidR="00E77B3F" w:rsidRPr="00DF7CAE">
        <w:rPr>
          <w:rStyle w:val="Char3"/>
          <w:rFonts w:hint="eastAsia"/>
          <w:rtl/>
        </w:rPr>
        <w:t>لَمُو</w:t>
      </w:r>
      <w:r w:rsidR="00E77B3F" w:rsidRPr="00DF7CAE">
        <w:rPr>
          <w:rStyle w:val="Char3"/>
          <w:rFonts w:hint="cs"/>
          <w:rtl/>
        </w:rPr>
        <w:t>ٓ</w:t>
      </w:r>
      <w:r w:rsidR="00E77B3F" w:rsidRPr="00DF7CAE">
        <w:rPr>
          <w:rStyle w:val="Char3"/>
          <w:rFonts w:hint="eastAsia"/>
          <w:rtl/>
        </w:rPr>
        <w:t>اْ</w:t>
      </w:r>
      <w:r w:rsidR="00E77B3F" w:rsidRPr="00995B26">
        <w:rPr>
          <w:rFonts w:ascii="KFGQPC Uthmanic Script HAFS" w:cs="Times New Roman" w:hint="cs"/>
          <w:sz w:val="28"/>
          <w:rtl/>
        </w:rPr>
        <w:t>...</w:t>
      </w:r>
      <w:r w:rsidR="00E77B3F" w:rsidRPr="00995B26">
        <w:rPr>
          <w:rFonts w:ascii="Abo-thar" w:hAnsi="Abo-thar" w:cs="Traditional Arabic" w:hint="cs"/>
          <w:sz w:val="28"/>
          <w:rtl/>
        </w:rPr>
        <w:t>﴾</w:t>
      </w:r>
      <w:r w:rsidR="00E77B3F" w:rsidRPr="00995B26">
        <w:rPr>
          <w:rFonts w:ascii="Abo-thar" w:hAnsi="Abo-thar" w:hint="cs"/>
          <w:sz w:val="28"/>
          <w:rtl/>
        </w:rPr>
        <w:t xml:space="preserve"> </w:t>
      </w:r>
      <w:r w:rsidRPr="00995B26">
        <w:rPr>
          <w:rFonts w:ascii="Abo-thar" w:hAnsi="Abo-thar" w:hint="cs"/>
          <w:sz w:val="28"/>
          <w:rtl/>
        </w:rPr>
        <w:t>جاء قبلها أو بعدها أمرٌ بالتقوى كما نجد ذلك الأمر مباشرة في الآية التي تلت الآية الأخيرة من سورة الأنفال أي قوله تعالى</w:t>
      </w:r>
      <w:r w:rsidR="00217AB4" w:rsidRPr="00995B26">
        <w:rPr>
          <w:rFonts w:ascii="Abo-thar" w:hAnsi="Abo-thar" w:hint="cs"/>
          <w:sz w:val="28"/>
          <w:rtl/>
        </w:rPr>
        <w:t>:</w:t>
      </w:r>
      <w:r w:rsidR="00E77B3F" w:rsidRPr="00995B26">
        <w:rPr>
          <w:rFonts w:ascii="Abo-thar" w:hAnsi="Abo-thar" w:hint="cs"/>
          <w:sz w:val="28"/>
          <w:rtl/>
        </w:rPr>
        <w:t xml:space="preserve"> </w:t>
      </w:r>
      <w:r w:rsidR="00E77B3F" w:rsidRPr="00995B26">
        <w:rPr>
          <w:rFonts w:ascii="Abo-thar" w:hAnsi="Abo-thar" w:cs="Traditional Arabic" w:hint="cs"/>
          <w:sz w:val="28"/>
          <w:rtl/>
        </w:rPr>
        <w:t>﴿</w:t>
      </w:r>
      <w:r w:rsidR="00E77B3F" w:rsidRPr="00DF7CAE">
        <w:rPr>
          <w:rStyle w:val="Char3"/>
          <w:rFonts w:hint="eastAsia"/>
          <w:rtl/>
        </w:rPr>
        <w:t>وَ</w:t>
      </w:r>
      <w:r w:rsidR="00E77B3F" w:rsidRPr="00DF7CAE">
        <w:rPr>
          <w:rStyle w:val="Char3"/>
          <w:rFonts w:hint="cs"/>
          <w:rtl/>
        </w:rPr>
        <w:t>ٱ</w:t>
      </w:r>
      <w:r w:rsidR="00E77B3F" w:rsidRPr="00DF7CAE">
        <w:rPr>
          <w:rStyle w:val="Char3"/>
          <w:rFonts w:hint="eastAsia"/>
          <w:rtl/>
        </w:rPr>
        <w:t>تَّقُواْ</w:t>
      </w:r>
      <w:r w:rsidR="00E77B3F" w:rsidRPr="00DF7CAE">
        <w:rPr>
          <w:rStyle w:val="Char3"/>
          <w:rtl/>
        </w:rPr>
        <w:t xml:space="preserve"> </w:t>
      </w:r>
      <w:r w:rsidR="00E77B3F" w:rsidRPr="00DF7CAE">
        <w:rPr>
          <w:rStyle w:val="Char3"/>
          <w:rFonts w:hint="eastAsia"/>
          <w:rtl/>
        </w:rPr>
        <w:t>فِت</w:t>
      </w:r>
      <w:r w:rsidR="00E77B3F" w:rsidRPr="00DF7CAE">
        <w:rPr>
          <w:rStyle w:val="Char3"/>
          <w:rFonts w:hint="cs"/>
          <w:rtl/>
        </w:rPr>
        <w:t>ۡ</w:t>
      </w:r>
      <w:r w:rsidR="00E77B3F" w:rsidRPr="00DF7CAE">
        <w:rPr>
          <w:rStyle w:val="Char3"/>
          <w:rFonts w:hint="eastAsia"/>
          <w:rtl/>
        </w:rPr>
        <w:t>نَة</w:t>
      </w:r>
      <w:r w:rsidR="00E77B3F" w:rsidRPr="00DF7CAE">
        <w:rPr>
          <w:rStyle w:val="Char3"/>
          <w:rFonts w:hint="cs"/>
          <w:rtl/>
        </w:rPr>
        <w:t>ٗ</w:t>
      </w:r>
      <w:r w:rsidR="00E77B3F" w:rsidRPr="00DF7CAE">
        <w:rPr>
          <w:rStyle w:val="Char3"/>
          <w:rtl/>
        </w:rPr>
        <w:t xml:space="preserve"> </w:t>
      </w:r>
      <w:r w:rsidR="00E77B3F" w:rsidRPr="00DF7CAE">
        <w:rPr>
          <w:rStyle w:val="Char3"/>
          <w:rFonts w:hint="eastAsia"/>
          <w:rtl/>
        </w:rPr>
        <w:t>لَّا</w:t>
      </w:r>
      <w:r w:rsidR="00E77B3F" w:rsidRPr="00DF7CAE">
        <w:rPr>
          <w:rStyle w:val="Char3"/>
          <w:rtl/>
        </w:rPr>
        <w:t xml:space="preserve"> </w:t>
      </w:r>
      <w:r w:rsidR="00E77B3F" w:rsidRPr="00DF7CAE">
        <w:rPr>
          <w:rStyle w:val="Char3"/>
          <w:rFonts w:hint="eastAsia"/>
          <w:rtl/>
        </w:rPr>
        <w:t>تُصِيبَنَّ</w:t>
      </w:r>
      <w:r w:rsidR="00E77B3F" w:rsidRPr="00DF7CAE">
        <w:rPr>
          <w:rStyle w:val="Char3"/>
          <w:rtl/>
        </w:rPr>
        <w:t xml:space="preserve"> </w:t>
      </w:r>
      <w:r w:rsidR="00E77B3F" w:rsidRPr="00DF7CAE">
        <w:rPr>
          <w:rStyle w:val="Char3"/>
          <w:rFonts w:hint="cs"/>
          <w:rtl/>
        </w:rPr>
        <w:t>ٱ</w:t>
      </w:r>
      <w:r w:rsidR="00E77B3F" w:rsidRPr="00DF7CAE">
        <w:rPr>
          <w:rStyle w:val="Char3"/>
          <w:rFonts w:hint="eastAsia"/>
          <w:rtl/>
        </w:rPr>
        <w:t>لَّذِينَ</w:t>
      </w:r>
      <w:r w:rsidR="00E77B3F" w:rsidRPr="00DF7CAE">
        <w:rPr>
          <w:rStyle w:val="Char3"/>
          <w:rtl/>
        </w:rPr>
        <w:t xml:space="preserve"> </w:t>
      </w:r>
      <w:r w:rsidR="00E77B3F" w:rsidRPr="00DF7CAE">
        <w:rPr>
          <w:rStyle w:val="Char3"/>
          <w:rFonts w:hint="eastAsia"/>
          <w:rtl/>
        </w:rPr>
        <w:t>ظَلَمُواْ</w:t>
      </w:r>
      <w:r w:rsidR="00E77B3F" w:rsidRPr="00DF7CAE">
        <w:rPr>
          <w:rStyle w:val="Char3"/>
          <w:rtl/>
        </w:rPr>
        <w:t xml:space="preserve"> </w:t>
      </w:r>
      <w:r w:rsidR="00E77B3F" w:rsidRPr="00DF7CAE">
        <w:rPr>
          <w:rStyle w:val="Char3"/>
          <w:rFonts w:hint="eastAsia"/>
          <w:rtl/>
        </w:rPr>
        <w:t>مِنكُم</w:t>
      </w:r>
      <w:r w:rsidR="00E77B3F" w:rsidRPr="00DF7CAE">
        <w:rPr>
          <w:rStyle w:val="Char3"/>
          <w:rFonts w:hint="cs"/>
          <w:rtl/>
        </w:rPr>
        <w:t>ۡ</w:t>
      </w:r>
      <w:r w:rsidR="00E77B3F" w:rsidRPr="00DF7CAE">
        <w:rPr>
          <w:rStyle w:val="Char3"/>
          <w:rtl/>
        </w:rPr>
        <w:t xml:space="preserve"> </w:t>
      </w:r>
      <w:r w:rsidR="00E77B3F" w:rsidRPr="00DF7CAE">
        <w:rPr>
          <w:rStyle w:val="Char3"/>
          <w:rFonts w:hint="eastAsia"/>
          <w:rtl/>
        </w:rPr>
        <w:t>خَا</w:t>
      </w:r>
      <w:r w:rsidR="00E77B3F" w:rsidRPr="00DF7CAE">
        <w:rPr>
          <w:rStyle w:val="Char3"/>
          <w:rFonts w:hint="cs"/>
          <w:rtl/>
        </w:rPr>
        <w:t>ٓ</w:t>
      </w:r>
      <w:r w:rsidR="00E77B3F" w:rsidRPr="00DF7CAE">
        <w:rPr>
          <w:rStyle w:val="Char3"/>
          <w:rFonts w:hint="eastAsia"/>
          <w:rtl/>
        </w:rPr>
        <w:t>صَّة</w:t>
      </w:r>
      <w:r w:rsidR="00E77B3F" w:rsidRPr="00DF7CAE">
        <w:rPr>
          <w:rStyle w:val="Char3"/>
          <w:rFonts w:hint="cs"/>
          <w:rtl/>
        </w:rPr>
        <w:t>ٗۖ</w:t>
      </w:r>
      <w:r w:rsidR="00E77B3F" w:rsidRPr="00DF7CAE">
        <w:rPr>
          <w:rStyle w:val="Char3"/>
          <w:rtl/>
        </w:rPr>
        <w:t xml:space="preserve"> </w:t>
      </w:r>
      <w:r w:rsidR="00E77B3F" w:rsidRPr="00DF7CAE">
        <w:rPr>
          <w:rStyle w:val="Char3"/>
          <w:rFonts w:hint="eastAsia"/>
          <w:rtl/>
        </w:rPr>
        <w:t>وَ</w:t>
      </w:r>
      <w:r w:rsidR="00E77B3F" w:rsidRPr="00DF7CAE">
        <w:rPr>
          <w:rStyle w:val="Char3"/>
          <w:rFonts w:hint="cs"/>
          <w:rtl/>
        </w:rPr>
        <w:t>ٱ</w:t>
      </w:r>
      <w:r w:rsidR="00E77B3F" w:rsidRPr="00DF7CAE">
        <w:rPr>
          <w:rStyle w:val="Char3"/>
          <w:rFonts w:hint="eastAsia"/>
          <w:rtl/>
        </w:rPr>
        <w:t>ع</w:t>
      </w:r>
      <w:r w:rsidR="00E77B3F" w:rsidRPr="00DF7CAE">
        <w:rPr>
          <w:rStyle w:val="Char3"/>
          <w:rFonts w:hint="cs"/>
          <w:rtl/>
        </w:rPr>
        <w:t>ۡ</w:t>
      </w:r>
      <w:r w:rsidR="00E77B3F" w:rsidRPr="00DF7CAE">
        <w:rPr>
          <w:rStyle w:val="Char3"/>
          <w:rFonts w:hint="eastAsia"/>
          <w:rtl/>
        </w:rPr>
        <w:t>لَمُو</w:t>
      </w:r>
      <w:r w:rsidR="00E77B3F" w:rsidRPr="00DF7CAE">
        <w:rPr>
          <w:rStyle w:val="Char3"/>
          <w:rFonts w:hint="cs"/>
          <w:rtl/>
        </w:rPr>
        <w:t>ٓ</w:t>
      </w:r>
      <w:r w:rsidR="00E77B3F" w:rsidRPr="00DF7CAE">
        <w:rPr>
          <w:rStyle w:val="Char3"/>
          <w:rFonts w:hint="eastAsia"/>
          <w:rtl/>
        </w:rPr>
        <w:t>اْ</w:t>
      </w:r>
      <w:r w:rsidR="00E77B3F" w:rsidRPr="00DF7CAE">
        <w:rPr>
          <w:rStyle w:val="Char3"/>
          <w:rtl/>
        </w:rPr>
        <w:t xml:space="preserve"> </w:t>
      </w:r>
      <w:r w:rsidR="00E77B3F" w:rsidRPr="00DF7CAE">
        <w:rPr>
          <w:rStyle w:val="Char3"/>
          <w:rFonts w:hint="eastAsia"/>
          <w:rtl/>
        </w:rPr>
        <w:t>أَنَّ</w:t>
      </w:r>
      <w:r w:rsidR="00E77B3F" w:rsidRPr="00DF7CAE">
        <w:rPr>
          <w:rStyle w:val="Char3"/>
          <w:rtl/>
        </w:rPr>
        <w:t xml:space="preserve"> </w:t>
      </w:r>
      <w:r w:rsidR="00E77B3F" w:rsidRPr="00DF7CAE">
        <w:rPr>
          <w:rStyle w:val="Char3"/>
          <w:rFonts w:hint="cs"/>
          <w:rtl/>
        </w:rPr>
        <w:t>ٱ</w:t>
      </w:r>
      <w:r w:rsidR="00E77B3F" w:rsidRPr="00DF7CAE">
        <w:rPr>
          <w:rStyle w:val="Char3"/>
          <w:rFonts w:hint="eastAsia"/>
          <w:rtl/>
        </w:rPr>
        <w:t>للَّهَ</w:t>
      </w:r>
      <w:r w:rsidR="00E77B3F" w:rsidRPr="00DF7CAE">
        <w:rPr>
          <w:rStyle w:val="Char3"/>
          <w:rtl/>
        </w:rPr>
        <w:t xml:space="preserve"> </w:t>
      </w:r>
      <w:r w:rsidR="00E77B3F" w:rsidRPr="00DF7CAE">
        <w:rPr>
          <w:rStyle w:val="Char3"/>
          <w:rFonts w:hint="eastAsia"/>
          <w:rtl/>
        </w:rPr>
        <w:t>شَدِيدُ</w:t>
      </w:r>
      <w:r w:rsidR="00E77B3F" w:rsidRPr="00DF7CAE">
        <w:rPr>
          <w:rStyle w:val="Char3"/>
          <w:rtl/>
        </w:rPr>
        <w:t xml:space="preserve"> </w:t>
      </w:r>
      <w:r w:rsidR="00E77B3F" w:rsidRPr="00DF7CAE">
        <w:rPr>
          <w:rStyle w:val="Char3"/>
          <w:rFonts w:hint="cs"/>
          <w:rtl/>
        </w:rPr>
        <w:t>ٱ</w:t>
      </w:r>
      <w:r w:rsidR="00E77B3F" w:rsidRPr="00DF7CAE">
        <w:rPr>
          <w:rStyle w:val="Char3"/>
          <w:rFonts w:hint="eastAsia"/>
          <w:rtl/>
        </w:rPr>
        <w:t>ل</w:t>
      </w:r>
      <w:r w:rsidR="00E77B3F" w:rsidRPr="00DF7CAE">
        <w:rPr>
          <w:rStyle w:val="Char3"/>
          <w:rFonts w:hint="cs"/>
          <w:rtl/>
        </w:rPr>
        <w:t>ۡ</w:t>
      </w:r>
      <w:r w:rsidR="00E77B3F" w:rsidRPr="00DF7CAE">
        <w:rPr>
          <w:rStyle w:val="Char3"/>
          <w:rFonts w:hint="eastAsia"/>
          <w:rtl/>
        </w:rPr>
        <w:t>عِقَابِ</w:t>
      </w:r>
      <w:r w:rsidR="00E77B3F" w:rsidRPr="00DF7CAE">
        <w:rPr>
          <w:rStyle w:val="Char3"/>
          <w:rtl/>
        </w:rPr>
        <w:t xml:space="preserve"> </w:t>
      </w:r>
      <w:r w:rsidR="00E77B3F" w:rsidRPr="00DF7CAE">
        <w:rPr>
          <w:rStyle w:val="Char3"/>
          <w:rFonts w:hint="cs"/>
          <w:rtl/>
        </w:rPr>
        <w:t>٢٥</w:t>
      </w:r>
      <w:r w:rsidR="00E77B3F" w:rsidRPr="00995B26">
        <w:rPr>
          <w:rFonts w:ascii="Abo-thar" w:hAnsi="Abo-thar" w:cs="Traditional Arabic" w:hint="cs"/>
          <w:sz w:val="28"/>
          <w:rtl/>
        </w:rPr>
        <w:t>﴾</w:t>
      </w:r>
      <w:r w:rsidRPr="00995B26">
        <w:rPr>
          <w:rFonts w:ascii="Abo-thar" w:hAnsi="Abo-thar"/>
          <w:sz w:val="28"/>
          <w:rtl/>
        </w:rPr>
        <w:t xml:space="preserve"> </w:t>
      </w:r>
      <w:r w:rsidRPr="00FC12FD">
        <w:rPr>
          <w:rStyle w:val="Char2"/>
          <w:rtl/>
        </w:rPr>
        <w:t>[الأنفال</w:t>
      </w:r>
      <w:r w:rsidR="00E77B3F" w:rsidRPr="00FC12FD">
        <w:rPr>
          <w:rStyle w:val="Char2"/>
          <w:rFonts w:hint="cs"/>
          <w:rtl/>
        </w:rPr>
        <w:t xml:space="preserve">: </w:t>
      </w:r>
      <w:r w:rsidRPr="00FC12FD">
        <w:rPr>
          <w:rStyle w:val="Char2"/>
          <w:rtl/>
        </w:rPr>
        <w:t>25]</w:t>
      </w:r>
      <w:r w:rsidR="00217AB4" w:rsidRPr="00995B26">
        <w:rPr>
          <w:rFonts w:ascii="Abo-thar" w:hAnsi="Abo-thar" w:hint="cs"/>
          <w:sz w:val="28"/>
          <w:rtl/>
        </w:rPr>
        <w:t>.</w:t>
      </w:r>
    </w:p>
    <w:p w:rsidR="005C664D" w:rsidRPr="00995B26" w:rsidRDefault="005C664D" w:rsidP="003F3B94">
      <w:pPr>
        <w:pStyle w:val="a0"/>
        <w:rPr>
          <w:rFonts w:hint="cs"/>
          <w:rtl/>
        </w:rPr>
      </w:pPr>
      <w:r w:rsidRPr="003F3B94">
        <w:rPr>
          <w:rFonts w:ascii="Abo-thar" w:hAnsi="Abo-thar" w:hint="cs"/>
          <w:sz w:val="28"/>
          <w:rtl/>
        </w:rPr>
        <w:t>ثم نجد قوله تعالى في السورة ذاتها بعد آيتين</w:t>
      </w:r>
      <w:r w:rsidR="00217AB4" w:rsidRPr="003F3B94">
        <w:rPr>
          <w:rFonts w:ascii="Abo-thar" w:hAnsi="Abo-thar" w:hint="cs"/>
          <w:sz w:val="28"/>
          <w:rtl/>
        </w:rPr>
        <w:t>:</w:t>
      </w:r>
      <w:r w:rsidR="00E77B3F" w:rsidRPr="003F3B94">
        <w:rPr>
          <w:rFonts w:ascii="Abo-thar" w:hAnsi="Abo-thar" w:hint="cs"/>
          <w:sz w:val="28"/>
          <w:rtl/>
        </w:rPr>
        <w:t xml:space="preserve"> </w:t>
      </w:r>
      <w:r w:rsidR="00E77B3F" w:rsidRPr="00995B26">
        <w:rPr>
          <w:rFonts w:ascii="Abo-thar" w:hAnsi="Abo-thar" w:cs="Traditional Arabic" w:hint="cs"/>
          <w:sz w:val="28"/>
          <w:rtl/>
        </w:rPr>
        <w:t>﴿</w:t>
      </w:r>
      <w:r w:rsidR="00E77B3F" w:rsidRPr="00DF7CAE">
        <w:rPr>
          <w:rStyle w:val="Char3"/>
          <w:rFonts w:hint="eastAsia"/>
          <w:rtl/>
        </w:rPr>
        <w:t>وَ</w:t>
      </w:r>
      <w:r w:rsidR="00E77B3F" w:rsidRPr="00DF7CAE">
        <w:rPr>
          <w:rStyle w:val="Char3"/>
          <w:rFonts w:hint="cs"/>
          <w:rtl/>
        </w:rPr>
        <w:t>ٱ</w:t>
      </w:r>
      <w:r w:rsidR="00E77B3F" w:rsidRPr="00DF7CAE">
        <w:rPr>
          <w:rStyle w:val="Char3"/>
          <w:rFonts w:hint="eastAsia"/>
          <w:rtl/>
        </w:rPr>
        <w:t>ع</w:t>
      </w:r>
      <w:r w:rsidR="00E77B3F" w:rsidRPr="00DF7CAE">
        <w:rPr>
          <w:rStyle w:val="Char3"/>
          <w:rFonts w:hint="cs"/>
          <w:rtl/>
        </w:rPr>
        <w:t>ۡ</w:t>
      </w:r>
      <w:r w:rsidR="00E77B3F" w:rsidRPr="00DF7CAE">
        <w:rPr>
          <w:rStyle w:val="Char3"/>
          <w:rFonts w:hint="eastAsia"/>
          <w:rtl/>
        </w:rPr>
        <w:t>لَمُو</w:t>
      </w:r>
      <w:r w:rsidR="00E77B3F" w:rsidRPr="00DF7CAE">
        <w:rPr>
          <w:rStyle w:val="Char3"/>
          <w:rFonts w:hint="cs"/>
          <w:rtl/>
        </w:rPr>
        <w:t>ٓ</w:t>
      </w:r>
      <w:r w:rsidR="00E77B3F" w:rsidRPr="00DF7CAE">
        <w:rPr>
          <w:rStyle w:val="Char3"/>
          <w:rFonts w:hint="eastAsia"/>
          <w:rtl/>
        </w:rPr>
        <w:t>اْ</w:t>
      </w:r>
      <w:r w:rsidR="00E77B3F" w:rsidRPr="00DF7CAE">
        <w:rPr>
          <w:rStyle w:val="Char3"/>
          <w:rtl/>
        </w:rPr>
        <w:t xml:space="preserve"> </w:t>
      </w:r>
      <w:r w:rsidR="00E77B3F" w:rsidRPr="00DF7CAE">
        <w:rPr>
          <w:rStyle w:val="Char3"/>
          <w:rFonts w:hint="eastAsia"/>
          <w:rtl/>
        </w:rPr>
        <w:t>أَنَّمَا</w:t>
      </w:r>
      <w:r w:rsidR="00E77B3F" w:rsidRPr="00DF7CAE">
        <w:rPr>
          <w:rStyle w:val="Char3"/>
          <w:rFonts w:hint="cs"/>
          <w:rtl/>
        </w:rPr>
        <w:t>ٓ</w:t>
      </w:r>
      <w:r w:rsidR="00E77B3F" w:rsidRPr="00DF7CAE">
        <w:rPr>
          <w:rStyle w:val="Char3"/>
          <w:rtl/>
        </w:rPr>
        <w:t xml:space="preserve"> </w:t>
      </w:r>
      <w:r w:rsidR="00E77B3F" w:rsidRPr="00DF7CAE">
        <w:rPr>
          <w:rStyle w:val="Char3"/>
          <w:rFonts w:hint="eastAsia"/>
          <w:rtl/>
        </w:rPr>
        <w:t>أَم</w:t>
      </w:r>
      <w:r w:rsidR="00E77B3F" w:rsidRPr="00DF7CAE">
        <w:rPr>
          <w:rStyle w:val="Char3"/>
          <w:rFonts w:hint="cs"/>
          <w:rtl/>
        </w:rPr>
        <w:t>ۡ</w:t>
      </w:r>
      <w:r w:rsidR="00E77B3F" w:rsidRPr="00DF7CAE">
        <w:rPr>
          <w:rStyle w:val="Char3"/>
          <w:rFonts w:hint="eastAsia"/>
          <w:rtl/>
        </w:rPr>
        <w:t>وَ</w:t>
      </w:r>
      <w:r w:rsidR="00E77B3F" w:rsidRPr="00DF7CAE">
        <w:rPr>
          <w:rStyle w:val="Char3"/>
          <w:rFonts w:hint="cs"/>
          <w:rtl/>
        </w:rPr>
        <w:t>ٰ</w:t>
      </w:r>
      <w:r w:rsidR="00E77B3F" w:rsidRPr="00DF7CAE">
        <w:rPr>
          <w:rStyle w:val="Char3"/>
          <w:rFonts w:hint="eastAsia"/>
          <w:rtl/>
        </w:rPr>
        <w:t>لُكُم</w:t>
      </w:r>
      <w:r w:rsidR="00E77B3F" w:rsidRPr="00DF7CAE">
        <w:rPr>
          <w:rStyle w:val="Char3"/>
          <w:rFonts w:hint="cs"/>
          <w:rtl/>
        </w:rPr>
        <w:t>ۡ</w:t>
      </w:r>
      <w:r w:rsidR="00E77B3F" w:rsidRPr="00DF7CAE">
        <w:rPr>
          <w:rStyle w:val="Char3"/>
          <w:rtl/>
        </w:rPr>
        <w:t xml:space="preserve"> </w:t>
      </w:r>
      <w:r w:rsidR="00E77B3F" w:rsidRPr="00DF7CAE">
        <w:rPr>
          <w:rStyle w:val="Char3"/>
          <w:rFonts w:hint="eastAsia"/>
          <w:rtl/>
        </w:rPr>
        <w:t>وَأَو</w:t>
      </w:r>
      <w:r w:rsidR="00E77B3F" w:rsidRPr="00DF7CAE">
        <w:rPr>
          <w:rStyle w:val="Char3"/>
          <w:rFonts w:hint="cs"/>
          <w:rtl/>
        </w:rPr>
        <w:t>ۡ</w:t>
      </w:r>
      <w:r w:rsidR="00E77B3F" w:rsidRPr="00DF7CAE">
        <w:rPr>
          <w:rStyle w:val="Char3"/>
          <w:rFonts w:hint="eastAsia"/>
          <w:rtl/>
        </w:rPr>
        <w:t>لَ</w:t>
      </w:r>
      <w:r w:rsidR="00E77B3F" w:rsidRPr="00DF7CAE">
        <w:rPr>
          <w:rStyle w:val="Char3"/>
          <w:rFonts w:hint="cs"/>
          <w:rtl/>
        </w:rPr>
        <w:t>ٰ</w:t>
      </w:r>
      <w:r w:rsidR="00E77B3F" w:rsidRPr="00DF7CAE">
        <w:rPr>
          <w:rStyle w:val="Char3"/>
          <w:rFonts w:hint="eastAsia"/>
          <w:rtl/>
        </w:rPr>
        <w:t>دُكُم</w:t>
      </w:r>
      <w:r w:rsidR="00E77B3F" w:rsidRPr="00DF7CAE">
        <w:rPr>
          <w:rStyle w:val="Char3"/>
          <w:rFonts w:hint="cs"/>
          <w:rtl/>
        </w:rPr>
        <w:t>ۡ</w:t>
      </w:r>
      <w:r w:rsidR="00E77B3F" w:rsidRPr="00DF7CAE">
        <w:rPr>
          <w:rStyle w:val="Char3"/>
          <w:rtl/>
        </w:rPr>
        <w:t xml:space="preserve"> </w:t>
      </w:r>
      <w:r w:rsidR="00E77B3F" w:rsidRPr="00DF7CAE">
        <w:rPr>
          <w:rStyle w:val="Char3"/>
          <w:rFonts w:hint="eastAsia"/>
          <w:rtl/>
        </w:rPr>
        <w:t>فِت</w:t>
      </w:r>
      <w:r w:rsidR="00E77B3F" w:rsidRPr="00DF7CAE">
        <w:rPr>
          <w:rStyle w:val="Char3"/>
          <w:rFonts w:hint="cs"/>
          <w:rtl/>
        </w:rPr>
        <w:t>ۡ</w:t>
      </w:r>
      <w:r w:rsidR="00E77B3F" w:rsidRPr="00DF7CAE">
        <w:rPr>
          <w:rStyle w:val="Char3"/>
          <w:rFonts w:hint="eastAsia"/>
          <w:rtl/>
        </w:rPr>
        <w:t>نَة</w:t>
      </w:r>
      <w:r w:rsidR="00E77B3F" w:rsidRPr="00DF7CAE">
        <w:rPr>
          <w:rStyle w:val="Char3"/>
          <w:rFonts w:hint="cs"/>
          <w:rtl/>
        </w:rPr>
        <w:t>ٞ</w:t>
      </w:r>
      <w:r w:rsidR="00E77B3F" w:rsidRPr="00DF7CAE">
        <w:rPr>
          <w:rStyle w:val="Char3"/>
          <w:rtl/>
        </w:rPr>
        <w:t xml:space="preserve"> </w:t>
      </w:r>
      <w:r w:rsidR="00E77B3F" w:rsidRPr="00DF7CAE">
        <w:rPr>
          <w:rStyle w:val="Char3"/>
          <w:rFonts w:hint="eastAsia"/>
          <w:rtl/>
        </w:rPr>
        <w:t>وَأَنَّ</w:t>
      </w:r>
      <w:r w:rsidR="00E77B3F" w:rsidRPr="00DF7CAE">
        <w:rPr>
          <w:rStyle w:val="Char3"/>
          <w:rtl/>
        </w:rPr>
        <w:t xml:space="preserve"> </w:t>
      </w:r>
      <w:r w:rsidR="00E77B3F" w:rsidRPr="00DF7CAE">
        <w:rPr>
          <w:rStyle w:val="Char3"/>
          <w:rFonts w:hint="cs"/>
          <w:rtl/>
        </w:rPr>
        <w:t>ٱ</w:t>
      </w:r>
      <w:r w:rsidR="00E77B3F" w:rsidRPr="00DF7CAE">
        <w:rPr>
          <w:rStyle w:val="Char3"/>
          <w:rFonts w:hint="eastAsia"/>
          <w:rtl/>
        </w:rPr>
        <w:t>للَّهَ</w:t>
      </w:r>
      <w:r w:rsidR="00E77B3F" w:rsidRPr="00DF7CAE">
        <w:rPr>
          <w:rStyle w:val="Char3"/>
          <w:rtl/>
        </w:rPr>
        <w:t xml:space="preserve"> </w:t>
      </w:r>
      <w:r w:rsidR="00E77B3F" w:rsidRPr="00DF7CAE">
        <w:rPr>
          <w:rStyle w:val="Char3"/>
          <w:rFonts w:hint="eastAsia"/>
          <w:rtl/>
        </w:rPr>
        <w:t>عِندَهُ</w:t>
      </w:r>
      <w:r w:rsidR="00E77B3F" w:rsidRPr="00DF7CAE">
        <w:rPr>
          <w:rStyle w:val="Char3"/>
          <w:rFonts w:hint="cs"/>
          <w:rtl/>
        </w:rPr>
        <w:t>ۥٓ</w:t>
      </w:r>
      <w:r w:rsidR="00E77B3F" w:rsidRPr="00DF7CAE">
        <w:rPr>
          <w:rStyle w:val="Char3"/>
          <w:rtl/>
        </w:rPr>
        <w:t xml:space="preserve"> </w:t>
      </w:r>
      <w:r w:rsidR="00E77B3F" w:rsidRPr="00DF7CAE">
        <w:rPr>
          <w:rStyle w:val="Char3"/>
          <w:rFonts w:hint="eastAsia"/>
          <w:rtl/>
        </w:rPr>
        <w:t>أَج</w:t>
      </w:r>
      <w:r w:rsidR="00E77B3F" w:rsidRPr="00DF7CAE">
        <w:rPr>
          <w:rStyle w:val="Char3"/>
          <w:rFonts w:hint="cs"/>
          <w:rtl/>
        </w:rPr>
        <w:t>ۡ</w:t>
      </w:r>
      <w:r w:rsidR="00E77B3F" w:rsidRPr="00DF7CAE">
        <w:rPr>
          <w:rStyle w:val="Char3"/>
          <w:rFonts w:hint="eastAsia"/>
          <w:rtl/>
        </w:rPr>
        <w:t>رٌ</w:t>
      </w:r>
      <w:r w:rsidR="00E77B3F" w:rsidRPr="00DF7CAE">
        <w:rPr>
          <w:rStyle w:val="Char3"/>
          <w:rtl/>
        </w:rPr>
        <w:t xml:space="preserve"> </w:t>
      </w:r>
      <w:r w:rsidR="00E77B3F" w:rsidRPr="00DF7CAE">
        <w:rPr>
          <w:rStyle w:val="Char3"/>
          <w:rFonts w:hint="eastAsia"/>
          <w:rtl/>
        </w:rPr>
        <w:t>عَظِيم</w:t>
      </w:r>
      <w:r w:rsidR="00E77B3F" w:rsidRPr="00DF7CAE">
        <w:rPr>
          <w:rStyle w:val="Char3"/>
          <w:rFonts w:hint="cs"/>
          <w:rtl/>
        </w:rPr>
        <w:t>ٞ</w:t>
      </w:r>
      <w:r w:rsidR="00E77B3F" w:rsidRPr="00DF7CAE">
        <w:rPr>
          <w:rStyle w:val="Char3"/>
          <w:rtl/>
        </w:rPr>
        <w:t xml:space="preserve"> </w:t>
      </w:r>
      <w:r w:rsidR="00E77B3F" w:rsidRPr="00DF7CAE">
        <w:rPr>
          <w:rStyle w:val="Char3"/>
          <w:rFonts w:hint="cs"/>
          <w:rtl/>
        </w:rPr>
        <w:t>٢٨</w:t>
      </w:r>
      <w:r w:rsidR="00E77B3F" w:rsidRPr="00995B26">
        <w:rPr>
          <w:rFonts w:ascii="Abo-thar" w:hAnsi="Abo-thar" w:cs="Traditional Arabic" w:hint="cs"/>
          <w:sz w:val="28"/>
          <w:rtl/>
        </w:rPr>
        <w:t>﴾</w:t>
      </w:r>
      <w:r w:rsidR="00E77B3F" w:rsidRPr="00995B26">
        <w:rPr>
          <w:rFonts w:ascii="Abo-thar" w:hAnsi="Abo-thar" w:hint="cs"/>
          <w:sz w:val="28"/>
          <w:rtl/>
        </w:rPr>
        <w:t xml:space="preserve"> </w:t>
      </w:r>
      <w:r w:rsidRPr="00FC12FD">
        <w:rPr>
          <w:rStyle w:val="Char2"/>
          <w:rtl/>
        </w:rPr>
        <w:t>[الأنفال/28]</w:t>
      </w:r>
      <w:r w:rsidR="00217AB4" w:rsidRPr="00995B26">
        <w:rPr>
          <w:rFonts w:ascii="Abo-thar" w:hAnsi="Abo-thar" w:hint="cs"/>
          <w:sz w:val="28"/>
          <w:rtl/>
        </w:rPr>
        <w:t>.</w:t>
      </w:r>
    </w:p>
    <w:p w:rsidR="005C664D" w:rsidRPr="00995B26" w:rsidRDefault="005C664D" w:rsidP="003F3B94">
      <w:pPr>
        <w:pStyle w:val="a0"/>
        <w:rPr>
          <w:rFonts w:hint="cs"/>
          <w:rtl/>
        </w:rPr>
      </w:pPr>
      <w:r w:rsidRPr="003F3B94">
        <w:rPr>
          <w:rFonts w:ascii="Abo-thar" w:hAnsi="Abo-thar" w:hint="cs"/>
          <w:sz w:val="28"/>
          <w:rtl/>
        </w:rPr>
        <w:t>ونقرأ بعدها</w:t>
      </w:r>
      <w:r w:rsidR="00217AB4" w:rsidRPr="003F3B94">
        <w:rPr>
          <w:rFonts w:ascii="Abo-thar" w:hAnsi="Abo-thar" w:hint="cs"/>
          <w:sz w:val="28"/>
          <w:rtl/>
        </w:rPr>
        <w:t>:</w:t>
      </w:r>
      <w:r w:rsidR="00E77B3F" w:rsidRPr="003F3B94">
        <w:rPr>
          <w:rFonts w:ascii="Abo-thar" w:hAnsi="Abo-thar" w:hint="cs"/>
          <w:sz w:val="28"/>
          <w:rtl/>
        </w:rPr>
        <w:t xml:space="preserve"> </w:t>
      </w:r>
      <w:r w:rsidR="00E77B3F" w:rsidRPr="00995B26">
        <w:rPr>
          <w:rFonts w:ascii="Abo-thar" w:hAnsi="Abo-thar" w:cs="Traditional Arabic" w:hint="cs"/>
          <w:sz w:val="28"/>
          <w:rtl/>
        </w:rPr>
        <w:t>﴿</w:t>
      </w:r>
      <w:r w:rsidR="00E77B3F" w:rsidRPr="00DF7CAE">
        <w:rPr>
          <w:rStyle w:val="Char3"/>
          <w:rFonts w:hint="eastAsia"/>
          <w:rtl/>
        </w:rPr>
        <w:t>يَ</w:t>
      </w:r>
      <w:r w:rsidR="00E77B3F" w:rsidRPr="00DF7CAE">
        <w:rPr>
          <w:rStyle w:val="Char3"/>
          <w:rFonts w:hint="cs"/>
          <w:rtl/>
        </w:rPr>
        <w:t>ٰٓ</w:t>
      </w:r>
      <w:r w:rsidR="00E77B3F" w:rsidRPr="00DF7CAE">
        <w:rPr>
          <w:rStyle w:val="Char3"/>
          <w:rFonts w:hint="eastAsia"/>
          <w:rtl/>
        </w:rPr>
        <w:t>أَيُّهَا</w:t>
      </w:r>
      <w:r w:rsidR="00E77B3F" w:rsidRPr="00DF7CAE">
        <w:rPr>
          <w:rStyle w:val="Char3"/>
          <w:rtl/>
        </w:rPr>
        <w:t xml:space="preserve"> </w:t>
      </w:r>
      <w:r w:rsidR="00E77B3F" w:rsidRPr="00DF7CAE">
        <w:rPr>
          <w:rStyle w:val="Char3"/>
          <w:rFonts w:hint="cs"/>
          <w:rtl/>
        </w:rPr>
        <w:t>ٱ</w:t>
      </w:r>
      <w:r w:rsidR="00E77B3F" w:rsidRPr="00DF7CAE">
        <w:rPr>
          <w:rStyle w:val="Char3"/>
          <w:rFonts w:hint="eastAsia"/>
          <w:rtl/>
        </w:rPr>
        <w:t>لَّذِينَ</w:t>
      </w:r>
      <w:r w:rsidR="00E77B3F" w:rsidRPr="00DF7CAE">
        <w:rPr>
          <w:rStyle w:val="Char3"/>
          <w:rtl/>
        </w:rPr>
        <w:t xml:space="preserve"> </w:t>
      </w:r>
      <w:r w:rsidR="00E77B3F" w:rsidRPr="00DF7CAE">
        <w:rPr>
          <w:rStyle w:val="Char3"/>
          <w:rFonts w:hint="eastAsia"/>
          <w:rtl/>
        </w:rPr>
        <w:t>ءَامَنُو</w:t>
      </w:r>
      <w:r w:rsidR="00E77B3F" w:rsidRPr="00DF7CAE">
        <w:rPr>
          <w:rStyle w:val="Char3"/>
          <w:rFonts w:hint="cs"/>
          <w:rtl/>
        </w:rPr>
        <w:t>ٓ</w:t>
      </w:r>
      <w:r w:rsidR="00E77B3F" w:rsidRPr="00DF7CAE">
        <w:rPr>
          <w:rStyle w:val="Char3"/>
          <w:rFonts w:hint="eastAsia"/>
          <w:rtl/>
        </w:rPr>
        <w:t>اْ</w:t>
      </w:r>
      <w:r w:rsidR="00E77B3F" w:rsidRPr="00DF7CAE">
        <w:rPr>
          <w:rStyle w:val="Char3"/>
          <w:rtl/>
        </w:rPr>
        <w:t xml:space="preserve"> </w:t>
      </w:r>
      <w:r w:rsidR="00E77B3F" w:rsidRPr="00DF7CAE">
        <w:rPr>
          <w:rStyle w:val="Char3"/>
          <w:rFonts w:hint="eastAsia"/>
          <w:rtl/>
        </w:rPr>
        <w:t>إِن</w:t>
      </w:r>
      <w:r w:rsidR="00E77B3F" w:rsidRPr="00DF7CAE">
        <w:rPr>
          <w:rStyle w:val="Char3"/>
          <w:rtl/>
        </w:rPr>
        <w:t xml:space="preserve"> </w:t>
      </w:r>
      <w:r w:rsidR="00E77B3F" w:rsidRPr="00DF7CAE">
        <w:rPr>
          <w:rStyle w:val="Char3"/>
          <w:rFonts w:hint="eastAsia"/>
          <w:rtl/>
        </w:rPr>
        <w:t>تَتَّقُواْ</w:t>
      </w:r>
      <w:r w:rsidR="00E77B3F" w:rsidRPr="00DF7CAE">
        <w:rPr>
          <w:rStyle w:val="Char3"/>
          <w:rtl/>
        </w:rPr>
        <w:t xml:space="preserve"> </w:t>
      </w:r>
      <w:r w:rsidR="00E77B3F" w:rsidRPr="00DF7CAE">
        <w:rPr>
          <w:rStyle w:val="Char3"/>
          <w:rFonts w:hint="cs"/>
          <w:rtl/>
        </w:rPr>
        <w:t>ٱ</w:t>
      </w:r>
      <w:r w:rsidR="00E77B3F" w:rsidRPr="00DF7CAE">
        <w:rPr>
          <w:rStyle w:val="Char3"/>
          <w:rFonts w:hint="eastAsia"/>
          <w:rtl/>
        </w:rPr>
        <w:t>للَّهَ</w:t>
      </w:r>
      <w:r w:rsidR="00E77B3F" w:rsidRPr="00DF7CAE">
        <w:rPr>
          <w:rStyle w:val="Char3"/>
          <w:rtl/>
        </w:rPr>
        <w:t xml:space="preserve"> </w:t>
      </w:r>
      <w:r w:rsidR="00E77B3F" w:rsidRPr="00DF7CAE">
        <w:rPr>
          <w:rStyle w:val="Char3"/>
          <w:rFonts w:hint="eastAsia"/>
          <w:rtl/>
        </w:rPr>
        <w:t>يَج</w:t>
      </w:r>
      <w:r w:rsidR="00E77B3F" w:rsidRPr="00DF7CAE">
        <w:rPr>
          <w:rStyle w:val="Char3"/>
          <w:rFonts w:hint="cs"/>
          <w:rtl/>
        </w:rPr>
        <w:t>ۡ</w:t>
      </w:r>
      <w:r w:rsidR="00E77B3F" w:rsidRPr="00DF7CAE">
        <w:rPr>
          <w:rStyle w:val="Char3"/>
          <w:rFonts w:hint="eastAsia"/>
          <w:rtl/>
        </w:rPr>
        <w:t>عَل</w:t>
      </w:r>
      <w:r w:rsidR="00E77B3F" w:rsidRPr="00DF7CAE">
        <w:rPr>
          <w:rStyle w:val="Char3"/>
          <w:rtl/>
        </w:rPr>
        <w:t xml:space="preserve"> </w:t>
      </w:r>
      <w:r w:rsidR="00E77B3F" w:rsidRPr="00DF7CAE">
        <w:rPr>
          <w:rStyle w:val="Char3"/>
          <w:rFonts w:hint="eastAsia"/>
          <w:rtl/>
        </w:rPr>
        <w:t>لَّكُم</w:t>
      </w:r>
      <w:r w:rsidR="00E77B3F" w:rsidRPr="00DF7CAE">
        <w:rPr>
          <w:rStyle w:val="Char3"/>
          <w:rFonts w:hint="cs"/>
          <w:rtl/>
        </w:rPr>
        <w:t>ۡ</w:t>
      </w:r>
      <w:r w:rsidR="00E77B3F" w:rsidRPr="00DF7CAE">
        <w:rPr>
          <w:rStyle w:val="Char3"/>
          <w:rtl/>
        </w:rPr>
        <w:t xml:space="preserve"> </w:t>
      </w:r>
      <w:r w:rsidR="00E77B3F" w:rsidRPr="00DF7CAE">
        <w:rPr>
          <w:rStyle w:val="Char3"/>
          <w:rFonts w:hint="eastAsia"/>
          <w:rtl/>
        </w:rPr>
        <w:t>فُر</w:t>
      </w:r>
      <w:r w:rsidR="00E77B3F" w:rsidRPr="00DF7CAE">
        <w:rPr>
          <w:rStyle w:val="Char3"/>
          <w:rFonts w:hint="cs"/>
          <w:rtl/>
        </w:rPr>
        <w:t>ۡ</w:t>
      </w:r>
      <w:r w:rsidR="00E77B3F" w:rsidRPr="00DF7CAE">
        <w:rPr>
          <w:rStyle w:val="Char3"/>
          <w:rFonts w:hint="eastAsia"/>
          <w:rtl/>
        </w:rPr>
        <w:t>قَان</w:t>
      </w:r>
      <w:r w:rsidR="00E77B3F" w:rsidRPr="00DF7CAE">
        <w:rPr>
          <w:rStyle w:val="Char3"/>
          <w:rFonts w:hint="cs"/>
          <w:rtl/>
        </w:rPr>
        <w:t>ٗ</w:t>
      </w:r>
      <w:r w:rsidR="00E77B3F" w:rsidRPr="00DF7CAE">
        <w:rPr>
          <w:rStyle w:val="Char3"/>
          <w:rFonts w:hint="eastAsia"/>
          <w:rtl/>
        </w:rPr>
        <w:t>ا</w:t>
      </w:r>
      <w:r w:rsidR="00E77B3F" w:rsidRPr="00DF7CAE">
        <w:rPr>
          <w:rStyle w:val="Char3"/>
          <w:rtl/>
        </w:rPr>
        <w:t xml:space="preserve"> </w:t>
      </w:r>
      <w:r w:rsidR="00E77B3F" w:rsidRPr="00DF7CAE">
        <w:rPr>
          <w:rStyle w:val="Char3"/>
          <w:rFonts w:hint="eastAsia"/>
          <w:rtl/>
        </w:rPr>
        <w:t>وَيُكَفِّر</w:t>
      </w:r>
      <w:r w:rsidR="00E77B3F" w:rsidRPr="00DF7CAE">
        <w:rPr>
          <w:rStyle w:val="Char3"/>
          <w:rFonts w:hint="cs"/>
          <w:rtl/>
        </w:rPr>
        <w:t>ۡ</w:t>
      </w:r>
      <w:r w:rsidR="00E77B3F" w:rsidRPr="00DF7CAE">
        <w:rPr>
          <w:rStyle w:val="Char3"/>
          <w:rtl/>
        </w:rPr>
        <w:t xml:space="preserve"> </w:t>
      </w:r>
      <w:r w:rsidR="00E77B3F" w:rsidRPr="00DF7CAE">
        <w:rPr>
          <w:rStyle w:val="Char3"/>
          <w:rFonts w:hint="eastAsia"/>
          <w:rtl/>
        </w:rPr>
        <w:t>عَنكُم</w:t>
      </w:r>
      <w:r w:rsidR="00E77B3F" w:rsidRPr="00DF7CAE">
        <w:rPr>
          <w:rStyle w:val="Char3"/>
          <w:rFonts w:hint="cs"/>
          <w:rtl/>
        </w:rPr>
        <w:t>ۡ</w:t>
      </w:r>
      <w:r w:rsidR="00E77B3F" w:rsidRPr="00DF7CAE">
        <w:rPr>
          <w:rStyle w:val="Char3"/>
          <w:rtl/>
        </w:rPr>
        <w:t xml:space="preserve"> </w:t>
      </w:r>
      <w:r w:rsidR="00E77B3F" w:rsidRPr="00DF7CAE">
        <w:rPr>
          <w:rStyle w:val="Char3"/>
          <w:rFonts w:hint="eastAsia"/>
          <w:rtl/>
        </w:rPr>
        <w:t>سَيِّ‍</w:t>
      </w:r>
      <w:r w:rsidR="00E77B3F" w:rsidRPr="00DF7CAE">
        <w:rPr>
          <w:rStyle w:val="Char3"/>
          <w:rFonts w:hint="cs"/>
          <w:rtl/>
        </w:rPr>
        <w:t>ٔ</w:t>
      </w:r>
      <w:r w:rsidR="00E77B3F" w:rsidRPr="00DF7CAE">
        <w:rPr>
          <w:rStyle w:val="Char3"/>
          <w:rFonts w:hint="eastAsia"/>
          <w:rtl/>
        </w:rPr>
        <w:t>َاتِكُم</w:t>
      </w:r>
      <w:r w:rsidR="00E77B3F" w:rsidRPr="00DF7CAE">
        <w:rPr>
          <w:rStyle w:val="Char3"/>
          <w:rFonts w:hint="cs"/>
          <w:rtl/>
        </w:rPr>
        <w:t>ۡ</w:t>
      </w:r>
      <w:r w:rsidR="00E77B3F" w:rsidRPr="00DF7CAE">
        <w:rPr>
          <w:rStyle w:val="Char3"/>
          <w:rtl/>
        </w:rPr>
        <w:t xml:space="preserve"> </w:t>
      </w:r>
      <w:r w:rsidR="00E77B3F" w:rsidRPr="00DF7CAE">
        <w:rPr>
          <w:rStyle w:val="Char3"/>
          <w:rFonts w:hint="eastAsia"/>
          <w:rtl/>
        </w:rPr>
        <w:t>وَيَغ</w:t>
      </w:r>
      <w:r w:rsidR="00E77B3F" w:rsidRPr="00DF7CAE">
        <w:rPr>
          <w:rStyle w:val="Char3"/>
          <w:rFonts w:hint="cs"/>
          <w:rtl/>
        </w:rPr>
        <w:t>ۡ</w:t>
      </w:r>
      <w:r w:rsidR="00E77B3F" w:rsidRPr="00DF7CAE">
        <w:rPr>
          <w:rStyle w:val="Char3"/>
          <w:rFonts w:hint="eastAsia"/>
          <w:rtl/>
        </w:rPr>
        <w:t>فِر</w:t>
      </w:r>
      <w:r w:rsidR="00E77B3F" w:rsidRPr="00DF7CAE">
        <w:rPr>
          <w:rStyle w:val="Char3"/>
          <w:rFonts w:hint="cs"/>
          <w:rtl/>
        </w:rPr>
        <w:t>ۡ</w:t>
      </w:r>
      <w:r w:rsidR="00E77B3F" w:rsidRPr="00DF7CAE">
        <w:rPr>
          <w:rStyle w:val="Char3"/>
          <w:rtl/>
        </w:rPr>
        <w:t xml:space="preserve"> </w:t>
      </w:r>
      <w:r w:rsidR="00E77B3F" w:rsidRPr="00DF7CAE">
        <w:rPr>
          <w:rStyle w:val="Char3"/>
          <w:rFonts w:hint="eastAsia"/>
          <w:rtl/>
        </w:rPr>
        <w:t>لَكُم</w:t>
      </w:r>
      <w:r w:rsidR="00E77B3F" w:rsidRPr="00DF7CAE">
        <w:rPr>
          <w:rStyle w:val="Char3"/>
          <w:rFonts w:hint="cs"/>
          <w:rtl/>
        </w:rPr>
        <w:t>ۡۗ</w:t>
      </w:r>
      <w:r w:rsidR="00E77B3F" w:rsidRPr="00DF7CAE">
        <w:rPr>
          <w:rStyle w:val="Char3"/>
          <w:rtl/>
        </w:rPr>
        <w:t xml:space="preserve"> </w:t>
      </w:r>
      <w:r w:rsidR="00E77B3F" w:rsidRPr="00DF7CAE">
        <w:rPr>
          <w:rStyle w:val="Char3"/>
          <w:rFonts w:hint="eastAsia"/>
          <w:rtl/>
        </w:rPr>
        <w:t>وَ</w:t>
      </w:r>
      <w:r w:rsidR="00E77B3F" w:rsidRPr="00DF7CAE">
        <w:rPr>
          <w:rStyle w:val="Char3"/>
          <w:rFonts w:hint="cs"/>
          <w:rtl/>
        </w:rPr>
        <w:t>ٱ</w:t>
      </w:r>
      <w:r w:rsidR="00E77B3F" w:rsidRPr="00DF7CAE">
        <w:rPr>
          <w:rStyle w:val="Char3"/>
          <w:rFonts w:hint="eastAsia"/>
          <w:rtl/>
        </w:rPr>
        <w:t>للَّهُ</w:t>
      </w:r>
      <w:r w:rsidR="00E77B3F" w:rsidRPr="00DF7CAE">
        <w:rPr>
          <w:rStyle w:val="Char3"/>
          <w:rtl/>
        </w:rPr>
        <w:t xml:space="preserve"> </w:t>
      </w:r>
      <w:r w:rsidR="00E77B3F" w:rsidRPr="00DF7CAE">
        <w:rPr>
          <w:rStyle w:val="Char3"/>
          <w:rFonts w:hint="eastAsia"/>
          <w:rtl/>
        </w:rPr>
        <w:t>ذُو</w:t>
      </w:r>
      <w:r w:rsidR="00E77B3F" w:rsidRPr="00DF7CAE">
        <w:rPr>
          <w:rStyle w:val="Char3"/>
          <w:rtl/>
        </w:rPr>
        <w:t xml:space="preserve"> </w:t>
      </w:r>
      <w:r w:rsidR="00E77B3F" w:rsidRPr="00DF7CAE">
        <w:rPr>
          <w:rStyle w:val="Char3"/>
          <w:rFonts w:hint="cs"/>
          <w:rtl/>
        </w:rPr>
        <w:t>ٱ</w:t>
      </w:r>
      <w:r w:rsidR="00E77B3F" w:rsidRPr="00DF7CAE">
        <w:rPr>
          <w:rStyle w:val="Char3"/>
          <w:rFonts w:hint="eastAsia"/>
          <w:rtl/>
        </w:rPr>
        <w:t>ل</w:t>
      </w:r>
      <w:r w:rsidR="00E77B3F" w:rsidRPr="00DF7CAE">
        <w:rPr>
          <w:rStyle w:val="Char3"/>
          <w:rFonts w:hint="cs"/>
          <w:rtl/>
        </w:rPr>
        <w:t>ۡ</w:t>
      </w:r>
      <w:r w:rsidR="00E77B3F" w:rsidRPr="00DF7CAE">
        <w:rPr>
          <w:rStyle w:val="Char3"/>
          <w:rFonts w:hint="eastAsia"/>
          <w:rtl/>
        </w:rPr>
        <w:t>فَض</w:t>
      </w:r>
      <w:r w:rsidR="00E77B3F" w:rsidRPr="00DF7CAE">
        <w:rPr>
          <w:rStyle w:val="Char3"/>
          <w:rFonts w:hint="cs"/>
          <w:rtl/>
        </w:rPr>
        <w:t>ۡ</w:t>
      </w:r>
      <w:r w:rsidR="00E77B3F" w:rsidRPr="00DF7CAE">
        <w:rPr>
          <w:rStyle w:val="Char3"/>
          <w:rFonts w:hint="eastAsia"/>
          <w:rtl/>
        </w:rPr>
        <w:t>لِ</w:t>
      </w:r>
      <w:r w:rsidR="00E77B3F" w:rsidRPr="00DF7CAE">
        <w:rPr>
          <w:rStyle w:val="Char3"/>
          <w:rtl/>
        </w:rPr>
        <w:t xml:space="preserve"> </w:t>
      </w:r>
      <w:r w:rsidR="00E77B3F" w:rsidRPr="00DF7CAE">
        <w:rPr>
          <w:rStyle w:val="Char3"/>
          <w:rFonts w:hint="cs"/>
          <w:rtl/>
        </w:rPr>
        <w:t>ٱ</w:t>
      </w:r>
      <w:r w:rsidR="00E77B3F" w:rsidRPr="00DF7CAE">
        <w:rPr>
          <w:rStyle w:val="Char3"/>
          <w:rFonts w:hint="eastAsia"/>
          <w:rtl/>
        </w:rPr>
        <w:t>ل</w:t>
      </w:r>
      <w:r w:rsidR="00E77B3F" w:rsidRPr="00DF7CAE">
        <w:rPr>
          <w:rStyle w:val="Char3"/>
          <w:rFonts w:hint="cs"/>
          <w:rtl/>
        </w:rPr>
        <w:t>ۡ</w:t>
      </w:r>
      <w:r w:rsidR="00E77B3F" w:rsidRPr="00DF7CAE">
        <w:rPr>
          <w:rStyle w:val="Char3"/>
          <w:rFonts w:hint="eastAsia"/>
          <w:rtl/>
        </w:rPr>
        <w:t>عَظِيمِ</w:t>
      </w:r>
      <w:r w:rsidR="00E77B3F" w:rsidRPr="00DF7CAE">
        <w:rPr>
          <w:rStyle w:val="Char3"/>
          <w:rtl/>
        </w:rPr>
        <w:t xml:space="preserve"> </w:t>
      </w:r>
      <w:r w:rsidR="00E77B3F" w:rsidRPr="00DF7CAE">
        <w:rPr>
          <w:rStyle w:val="Char3"/>
          <w:rFonts w:hint="cs"/>
          <w:rtl/>
        </w:rPr>
        <w:t>٢٩</w:t>
      </w:r>
      <w:r w:rsidR="00E77B3F" w:rsidRPr="00995B26">
        <w:rPr>
          <w:rFonts w:ascii="Abo-thar" w:hAnsi="Abo-thar" w:cs="Traditional Arabic" w:hint="cs"/>
          <w:sz w:val="28"/>
          <w:rtl/>
        </w:rPr>
        <w:t>﴾</w:t>
      </w:r>
      <w:r w:rsidR="00E77B3F" w:rsidRPr="00995B26">
        <w:rPr>
          <w:rFonts w:ascii="Abo-thar" w:hAnsi="Abo-thar" w:hint="cs"/>
          <w:sz w:val="28"/>
          <w:rtl/>
        </w:rPr>
        <w:t xml:space="preserve"> </w:t>
      </w:r>
      <w:r w:rsidRPr="00FC12FD">
        <w:rPr>
          <w:rStyle w:val="Char2"/>
          <w:rtl/>
        </w:rPr>
        <w:t>[الأنفال</w:t>
      </w:r>
      <w:r w:rsidR="00E77B3F" w:rsidRPr="00FC12FD">
        <w:rPr>
          <w:rStyle w:val="Char2"/>
          <w:rFonts w:hint="cs"/>
          <w:rtl/>
        </w:rPr>
        <w:t xml:space="preserve">: </w:t>
      </w:r>
      <w:r w:rsidRPr="00FC12FD">
        <w:rPr>
          <w:rStyle w:val="Char2"/>
          <w:rtl/>
        </w:rPr>
        <w:t>29]</w:t>
      </w:r>
      <w:r w:rsidR="00217AB4" w:rsidRPr="00995B26">
        <w:rPr>
          <w:rFonts w:ascii="Abo-thar" w:hAnsi="Abo-thar" w:hint="cs"/>
          <w:sz w:val="28"/>
          <w:rtl/>
        </w:rPr>
        <w:t>.</w:t>
      </w:r>
    </w:p>
    <w:p w:rsidR="005C664D" w:rsidRPr="00995B26" w:rsidRDefault="005C664D" w:rsidP="003F3B94">
      <w:pPr>
        <w:pStyle w:val="a0"/>
        <w:rPr>
          <w:rFonts w:hint="cs"/>
          <w:rtl/>
        </w:rPr>
      </w:pPr>
      <w:r w:rsidRPr="003F3B94">
        <w:rPr>
          <w:rFonts w:ascii="Abo-thar" w:hAnsi="Abo-thar" w:hint="cs"/>
          <w:sz w:val="28"/>
          <w:rtl/>
        </w:rPr>
        <w:t>ونقرأ في سورة الحديد</w:t>
      </w:r>
      <w:r w:rsidR="00217AB4" w:rsidRPr="003F3B94">
        <w:rPr>
          <w:rFonts w:ascii="Abo-thar" w:hAnsi="Abo-thar" w:hint="cs"/>
          <w:sz w:val="28"/>
          <w:rtl/>
        </w:rPr>
        <w:t>:</w:t>
      </w:r>
      <w:r w:rsidR="00E77B3F" w:rsidRPr="003F3B94">
        <w:rPr>
          <w:rFonts w:ascii="Abo-thar" w:hAnsi="Abo-thar" w:hint="cs"/>
          <w:sz w:val="28"/>
          <w:rtl/>
        </w:rPr>
        <w:t xml:space="preserve"> </w:t>
      </w:r>
      <w:r w:rsidR="00E77B3F" w:rsidRPr="00995B26">
        <w:rPr>
          <w:rFonts w:ascii="Abo-thar" w:hAnsi="Abo-thar" w:cs="Traditional Arabic" w:hint="cs"/>
          <w:sz w:val="28"/>
          <w:rtl/>
        </w:rPr>
        <w:t>﴿</w:t>
      </w:r>
      <w:r w:rsidR="00E77B3F" w:rsidRPr="00DF7CAE">
        <w:rPr>
          <w:rStyle w:val="Char3"/>
          <w:rFonts w:hint="cs"/>
          <w:rtl/>
        </w:rPr>
        <w:t>ٱ</w:t>
      </w:r>
      <w:r w:rsidR="00E77B3F" w:rsidRPr="00DF7CAE">
        <w:rPr>
          <w:rStyle w:val="Char3"/>
          <w:rFonts w:hint="eastAsia"/>
          <w:rtl/>
        </w:rPr>
        <w:t>ع</w:t>
      </w:r>
      <w:r w:rsidR="00E77B3F" w:rsidRPr="00DF7CAE">
        <w:rPr>
          <w:rStyle w:val="Char3"/>
          <w:rFonts w:hint="cs"/>
          <w:rtl/>
        </w:rPr>
        <w:t>ۡ</w:t>
      </w:r>
      <w:r w:rsidR="00E77B3F" w:rsidRPr="00DF7CAE">
        <w:rPr>
          <w:rStyle w:val="Char3"/>
          <w:rFonts w:hint="eastAsia"/>
          <w:rtl/>
        </w:rPr>
        <w:t>لَمُو</w:t>
      </w:r>
      <w:r w:rsidR="00E77B3F" w:rsidRPr="00DF7CAE">
        <w:rPr>
          <w:rStyle w:val="Char3"/>
          <w:rFonts w:hint="cs"/>
          <w:rtl/>
        </w:rPr>
        <w:t>ٓ</w:t>
      </w:r>
      <w:r w:rsidR="00E77B3F" w:rsidRPr="00DF7CAE">
        <w:rPr>
          <w:rStyle w:val="Char3"/>
          <w:rFonts w:hint="eastAsia"/>
          <w:rtl/>
        </w:rPr>
        <w:t>اْ</w:t>
      </w:r>
      <w:r w:rsidR="00E77B3F" w:rsidRPr="00DF7CAE">
        <w:rPr>
          <w:rStyle w:val="Char3"/>
          <w:rtl/>
        </w:rPr>
        <w:t xml:space="preserve"> </w:t>
      </w:r>
      <w:r w:rsidR="00E77B3F" w:rsidRPr="00DF7CAE">
        <w:rPr>
          <w:rStyle w:val="Char3"/>
          <w:rFonts w:hint="eastAsia"/>
          <w:rtl/>
        </w:rPr>
        <w:t>أَنَّ</w:t>
      </w:r>
      <w:r w:rsidR="00E77B3F" w:rsidRPr="00DF7CAE">
        <w:rPr>
          <w:rStyle w:val="Char3"/>
          <w:rtl/>
        </w:rPr>
        <w:t xml:space="preserve"> </w:t>
      </w:r>
      <w:r w:rsidR="00E77B3F" w:rsidRPr="00DF7CAE">
        <w:rPr>
          <w:rStyle w:val="Char3"/>
          <w:rFonts w:hint="cs"/>
          <w:rtl/>
        </w:rPr>
        <w:t>ٱ</w:t>
      </w:r>
      <w:r w:rsidR="00E77B3F" w:rsidRPr="00DF7CAE">
        <w:rPr>
          <w:rStyle w:val="Char3"/>
          <w:rFonts w:hint="eastAsia"/>
          <w:rtl/>
        </w:rPr>
        <w:t>للَّهَ</w:t>
      </w:r>
      <w:r w:rsidR="00E77B3F" w:rsidRPr="00DF7CAE">
        <w:rPr>
          <w:rStyle w:val="Char3"/>
          <w:rtl/>
        </w:rPr>
        <w:t xml:space="preserve"> </w:t>
      </w:r>
      <w:r w:rsidR="00E77B3F" w:rsidRPr="00DF7CAE">
        <w:rPr>
          <w:rStyle w:val="Char3"/>
          <w:rFonts w:hint="eastAsia"/>
          <w:rtl/>
        </w:rPr>
        <w:t>يُح</w:t>
      </w:r>
      <w:r w:rsidR="00E77B3F" w:rsidRPr="00DF7CAE">
        <w:rPr>
          <w:rStyle w:val="Char3"/>
          <w:rFonts w:hint="cs"/>
          <w:rtl/>
        </w:rPr>
        <w:t>ۡ</w:t>
      </w:r>
      <w:r w:rsidR="00E77B3F" w:rsidRPr="00DF7CAE">
        <w:rPr>
          <w:rStyle w:val="Char3"/>
          <w:rFonts w:hint="eastAsia"/>
          <w:rtl/>
        </w:rPr>
        <w:t>يِ</w:t>
      </w:r>
      <w:r w:rsidR="00E77B3F" w:rsidRPr="00DF7CAE">
        <w:rPr>
          <w:rStyle w:val="Char3"/>
          <w:rtl/>
        </w:rPr>
        <w:t xml:space="preserve"> </w:t>
      </w:r>
      <w:r w:rsidR="00E77B3F" w:rsidRPr="00DF7CAE">
        <w:rPr>
          <w:rStyle w:val="Char3"/>
          <w:rFonts w:hint="cs"/>
          <w:rtl/>
        </w:rPr>
        <w:t>ٱ</w:t>
      </w:r>
      <w:r w:rsidR="00E77B3F" w:rsidRPr="00DF7CAE">
        <w:rPr>
          <w:rStyle w:val="Char3"/>
          <w:rFonts w:hint="eastAsia"/>
          <w:rtl/>
        </w:rPr>
        <w:t>ل</w:t>
      </w:r>
      <w:r w:rsidR="00E77B3F" w:rsidRPr="00DF7CAE">
        <w:rPr>
          <w:rStyle w:val="Char3"/>
          <w:rFonts w:hint="cs"/>
          <w:rtl/>
        </w:rPr>
        <w:t>ۡ</w:t>
      </w:r>
      <w:r w:rsidR="00E77B3F" w:rsidRPr="00DF7CAE">
        <w:rPr>
          <w:rStyle w:val="Char3"/>
          <w:rFonts w:hint="eastAsia"/>
          <w:rtl/>
        </w:rPr>
        <w:t>أَر</w:t>
      </w:r>
      <w:r w:rsidR="00E77B3F" w:rsidRPr="00DF7CAE">
        <w:rPr>
          <w:rStyle w:val="Char3"/>
          <w:rFonts w:hint="cs"/>
          <w:rtl/>
        </w:rPr>
        <w:t>ۡ</w:t>
      </w:r>
      <w:r w:rsidR="00E77B3F" w:rsidRPr="00DF7CAE">
        <w:rPr>
          <w:rStyle w:val="Char3"/>
          <w:rFonts w:hint="eastAsia"/>
          <w:rtl/>
        </w:rPr>
        <w:t>ضَ</w:t>
      </w:r>
      <w:r w:rsidR="00E77B3F" w:rsidRPr="00DF7CAE">
        <w:rPr>
          <w:rStyle w:val="Char3"/>
          <w:rtl/>
        </w:rPr>
        <w:t xml:space="preserve"> </w:t>
      </w:r>
      <w:r w:rsidR="00E77B3F" w:rsidRPr="00DF7CAE">
        <w:rPr>
          <w:rStyle w:val="Char3"/>
          <w:rFonts w:hint="eastAsia"/>
          <w:rtl/>
        </w:rPr>
        <w:t>بَع</w:t>
      </w:r>
      <w:r w:rsidR="00E77B3F" w:rsidRPr="00DF7CAE">
        <w:rPr>
          <w:rStyle w:val="Char3"/>
          <w:rFonts w:hint="cs"/>
          <w:rtl/>
        </w:rPr>
        <w:t>ۡ</w:t>
      </w:r>
      <w:r w:rsidR="00E77B3F" w:rsidRPr="00DF7CAE">
        <w:rPr>
          <w:rStyle w:val="Char3"/>
          <w:rFonts w:hint="eastAsia"/>
          <w:rtl/>
        </w:rPr>
        <w:t>دَ</w:t>
      </w:r>
      <w:r w:rsidR="00E77B3F" w:rsidRPr="00DF7CAE">
        <w:rPr>
          <w:rStyle w:val="Char3"/>
          <w:rtl/>
        </w:rPr>
        <w:t xml:space="preserve"> </w:t>
      </w:r>
      <w:r w:rsidR="00E77B3F" w:rsidRPr="00DF7CAE">
        <w:rPr>
          <w:rStyle w:val="Char3"/>
          <w:rFonts w:hint="eastAsia"/>
          <w:rtl/>
        </w:rPr>
        <w:t>مَو</w:t>
      </w:r>
      <w:r w:rsidR="00E77B3F" w:rsidRPr="00DF7CAE">
        <w:rPr>
          <w:rStyle w:val="Char3"/>
          <w:rFonts w:hint="cs"/>
          <w:rtl/>
        </w:rPr>
        <w:t>ۡ</w:t>
      </w:r>
      <w:r w:rsidR="00E77B3F" w:rsidRPr="00DF7CAE">
        <w:rPr>
          <w:rStyle w:val="Char3"/>
          <w:rFonts w:hint="eastAsia"/>
          <w:rtl/>
        </w:rPr>
        <w:t>تِهَا</w:t>
      </w:r>
      <w:r w:rsidR="00E77B3F" w:rsidRPr="00DF7CAE">
        <w:rPr>
          <w:rStyle w:val="Char3"/>
          <w:rFonts w:hint="cs"/>
          <w:rtl/>
        </w:rPr>
        <w:t>...</w:t>
      </w:r>
      <w:r w:rsidR="00E77B3F" w:rsidRPr="00995B26">
        <w:rPr>
          <w:rFonts w:ascii="Abo-thar" w:hAnsi="Abo-thar" w:cs="Traditional Arabic" w:hint="cs"/>
          <w:sz w:val="28"/>
          <w:rtl/>
        </w:rPr>
        <w:t>﴾</w:t>
      </w:r>
      <w:r w:rsidR="00E77B3F" w:rsidRPr="00995B26">
        <w:rPr>
          <w:rFonts w:ascii="Abo-thar" w:hAnsi="Abo-thar" w:hint="cs"/>
          <w:sz w:val="28"/>
          <w:rtl/>
        </w:rPr>
        <w:t xml:space="preserve"> </w:t>
      </w:r>
      <w:r w:rsidRPr="00FC12FD">
        <w:rPr>
          <w:rStyle w:val="Char2"/>
          <w:rtl/>
        </w:rPr>
        <w:t>[الحديد</w:t>
      </w:r>
      <w:r w:rsidR="00E77B3F" w:rsidRPr="00FC12FD">
        <w:rPr>
          <w:rStyle w:val="Char2"/>
          <w:rFonts w:hint="cs"/>
          <w:rtl/>
        </w:rPr>
        <w:t xml:space="preserve">: </w:t>
      </w:r>
      <w:r w:rsidRPr="00FC12FD">
        <w:rPr>
          <w:rStyle w:val="Char2"/>
          <w:rtl/>
        </w:rPr>
        <w:t>17]</w:t>
      </w:r>
      <w:r w:rsidR="00217AB4" w:rsidRPr="00995B26">
        <w:rPr>
          <w:rFonts w:ascii="Abo-thar" w:hAnsi="Abo-thar" w:hint="cs"/>
          <w:sz w:val="28"/>
          <w:rtl/>
        </w:rPr>
        <w:t>.</w:t>
      </w:r>
    </w:p>
    <w:p w:rsidR="005C664D" w:rsidRPr="00995B26" w:rsidRDefault="005C664D" w:rsidP="003F3B94">
      <w:pPr>
        <w:pStyle w:val="a0"/>
        <w:rPr>
          <w:rFonts w:hint="cs"/>
          <w:rtl/>
        </w:rPr>
      </w:pPr>
      <w:r w:rsidRPr="003F3B94">
        <w:rPr>
          <w:rFonts w:ascii="Abo-thar" w:hAnsi="Abo-thar" w:hint="cs"/>
          <w:sz w:val="28"/>
          <w:rtl/>
        </w:rPr>
        <w:t xml:space="preserve">فنلاحظ أنه في جميع هذه الآيات كانت كلمة </w:t>
      </w:r>
      <w:r w:rsidR="00E77B3F" w:rsidRPr="00995B26">
        <w:rPr>
          <w:rFonts w:ascii="Abo-thar" w:hAnsi="Abo-thar" w:cs="Traditional Arabic" w:hint="cs"/>
          <w:sz w:val="28"/>
          <w:rtl/>
        </w:rPr>
        <w:t>﴿</w:t>
      </w:r>
      <w:r w:rsidR="00E77B3F" w:rsidRPr="00DF7CAE">
        <w:rPr>
          <w:rStyle w:val="Char3"/>
          <w:rFonts w:hint="eastAsia"/>
          <w:rtl/>
        </w:rPr>
        <w:t>وَ</w:t>
      </w:r>
      <w:r w:rsidR="00E77B3F" w:rsidRPr="00DF7CAE">
        <w:rPr>
          <w:rStyle w:val="Char3"/>
          <w:rFonts w:hint="cs"/>
          <w:rtl/>
        </w:rPr>
        <w:t>ٱ</w:t>
      </w:r>
      <w:r w:rsidR="00E77B3F" w:rsidRPr="00DF7CAE">
        <w:rPr>
          <w:rStyle w:val="Char3"/>
          <w:rFonts w:hint="eastAsia"/>
          <w:rtl/>
        </w:rPr>
        <w:t>ع</w:t>
      </w:r>
      <w:r w:rsidR="00E77B3F" w:rsidRPr="00DF7CAE">
        <w:rPr>
          <w:rStyle w:val="Char3"/>
          <w:rFonts w:hint="cs"/>
          <w:rtl/>
        </w:rPr>
        <w:t>ۡ</w:t>
      </w:r>
      <w:r w:rsidR="00E77B3F" w:rsidRPr="00DF7CAE">
        <w:rPr>
          <w:rStyle w:val="Char3"/>
          <w:rFonts w:hint="eastAsia"/>
          <w:rtl/>
        </w:rPr>
        <w:t>لَمُو</w:t>
      </w:r>
      <w:r w:rsidR="00E77B3F" w:rsidRPr="00DF7CAE">
        <w:rPr>
          <w:rStyle w:val="Char3"/>
          <w:rFonts w:hint="cs"/>
          <w:rtl/>
        </w:rPr>
        <w:t>ٓ</w:t>
      </w:r>
      <w:r w:rsidR="00E77B3F" w:rsidRPr="00DF7CAE">
        <w:rPr>
          <w:rStyle w:val="Char3"/>
          <w:rFonts w:hint="eastAsia"/>
          <w:rtl/>
        </w:rPr>
        <w:t>اْ</w:t>
      </w:r>
      <w:r w:rsidR="00E77B3F" w:rsidRPr="00995B26">
        <w:rPr>
          <w:rFonts w:ascii="KFGQPC Uthmanic Script HAFS" w:cs="Times New Roman" w:hint="cs"/>
          <w:sz w:val="28"/>
          <w:rtl/>
        </w:rPr>
        <w:t>...</w:t>
      </w:r>
      <w:r w:rsidR="00E77B3F" w:rsidRPr="00995B26">
        <w:rPr>
          <w:rFonts w:ascii="Abo-thar" w:hAnsi="Abo-thar" w:cs="Traditional Arabic" w:hint="cs"/>
          <w:sz w:val="28"/>
          <w:rtl/>
        </w:rPr>
        <w:t>﴾</w:t>
      </w:r>
      <w:r w:rsidRPr="00995B26">
        <w:rPr>
          <w:rFonts w:ascii="Abo-thar" w:hAnsi="Abo-thar" w:hint="cs"/>
          <w:sz w:val="28"/>
          <w:rtl/>
        </w:rPr>
        <w:t xml:space="preserve"> ذات جانب وعظي وإرشادي وإعلامٍ بمسألة اعتقادية ولم يأتِ في أي منها أمرٌ بحكم عبادي</w:t>
      </w:r>
      <w:r w:rsidR="00217AB4" w:rsidRPr="00995B26">
        <w:rPr>
          <w:rFonts w:ascii="Abo-thar" w:hAnsi="Abo-thar" w:hint="cs"/>
          <w:sz w:val="28"/>
          <w:rtl/>
        </w:rPr>
        <w:t>.</w:t>
      </w:r>
      <w:r w:rsidRPr="00995B26">
        <w:rPr>
          <w:rFonts w:ascii="Abo-thar" w:hAnsi="Abo-thar" w:hint="cs"/>
          <w:sz w:val="28"/>
          <w:rtl/>
        </w:rPr>
        <w:t xml:space="preserve"> </w:t>
      </w:r>
    </w:p>
    <w:p w:rsidR="005C664D" w:rsidRPr="00995B26" w:rsidRDefault="005C664D" w:rsidP="003F3B94">
      <w:pPr>
        <w:pStyle w:val="a0"/>
        <w:rPr>
          <w:rFonts w:hint="cs"/>
          <w:rtl/>
        </w:rPr>
      </w:pPr>
      <w:r w:rsidRPr="003F3B94">
        <w:rPr>
          <w:rFonts w:ascii="Abo-thar" w:hAnsi="Abo-thar" w:hint="cs"/>
          <w:sz w:val="28"/>
          <w:rtl/>
        </w:rPr>
        <w:t>وعلى هذا الأساس نجد أن الآية الكريمة</w:t>
      </w:r>
      <w:r w:rsidR="00217AB4" w:rsidRPr="003F3B94">
        <w:rPr>
          <w:rFonts w:ascii="Abo-thar" w:hAnsi="Abo-thar" w:hint="cs"/>
          <w:sz w:val="28"/>
          <w:rtl/>
        </w:rPr>
        <w:t>:</w:t>
      </w:r>
      <w:r w:rsidR="00E77B3F" w:rsidRPr="003F3B94">
        <w:rPr>
          <w:rFonts w:ascii="Abo-thar" w:hAnsi="Abo-thar" w:hint="cs"/>
          <w:sz w:val="28"/>
          <w:rtl/>
        </w:rPr>
        <w:t xml:space="preserve"> </w:t>
      </w:r>
      <w:r w:rsidR="00E77B3F" w:rsidRPr="00995B26">
        <w:rPr>
          <w:rFonts w:ascii="Abo-thar" w:hAnsi="Abo-thar" w:cs="Traditional Arabic" w:hint="cs"/>
          <w:sz w:val="28"/>
          <w:rtl/>
        </w:rPr>
        <w:t>﴿</w:t>
      </w:r>
      <w:r w:rsidR="00E77B3F" w:rsidRPr="00DF7CAE">
        <w:rPr>
          <w:rStyle w:val="Char3"/>
          <w:rFonts w:hint="eastAsia"/>
          <w:rtl/>
        </w:rPr>
        <w:t>وَ</w:t>
      </w:r>
      <w:r w:rsidR="00E77B3F" w:rsidRPr="00DF7CAE">
        <w:rPr>
          <w:rStyle w:val="Char3"/>
          <w:rFonts w:hint="cs"/>
          <w:rtl/>
        </w:rPr>
        <w:t>ٱ</w:t>
      </w:r>
      <w:r w:rsidR="00E77B3F" w:rsidRPr="00DF7CAE">
        <w:rPr>
          <w:rStyle w:val="Char3"/>
          <w:rFonts w:hint="eastAsia"/>
          <w:rtl/>
        </w:rPr>
        <w:t>ع</w:t>
      </w:r>
      <w:r w:rsidR="00E77B3F" w:rsidRPr="00DF7CAE">
        <w:rPr>
          <w:rStyle w:val="Char3"/>
          <w:rFonts w:hint="cs"/>
          <w:rtl/>
        </w:rPr>
        <w:t>ۡ</w:t>
      </w:r>
      <w:r w:rsidR="00E77B3F" w:rsidRPr="00DF7CAE">
        <w:rPr>
          <w:rStyle w:val="Char3"/>
          <w:rFonts w:hint="eastAsia"/>
          <w:rtl/>
        </w:rPr>
        <w:t>لَمُو</w:t>
      </w:r>
      <w:r w:rsidR="00E77B3F" w:rsidRPr="00DF7CAE">
        <w:rPr>
          <w:rStyle w:val="Char3"/>
          <w:rFonts w:hint="cs"/>
          <w:rtl/>
        </w:rPr>
        <w:t>ٓ</w:t>
      </w:r>
      <w:r w:rsidR="00E77B3F" w:rsidRPr="00DF7CAE">
        <w:rPr>
          <w:rStyle w:val="Char3"/>
          <w:rFonts w:hint="eastAsia"/>
          <w:rtl/>
        </w:rPr>
        <w:t>اْ</w:t>
      </w:r>
      <w:r w:rsidR="00E77B3F" w:rsidRPr="00DF7CAE">
        <w:rPr>
          <w:rStyle w:val="Char3"/>
          <w:rtl/>
        </w:rPr>
        <w:t xml:space="preserve"> </w:t>
      </w:r>
      <w:r w:rsidR="00E77B3F" w:rsidRPr="00DF7CAE">
        <w:rPr>
          <w:rStyle w:val="Char3"/>
          <w:rFonts w:hint="eastAsia"/>
          <w:rtl/>
        </w:rPr>
        <w:t>أَنَّمَا</w:t>
      </w:r>
      <w:r w:rsidR="00E77B3F" w:rsidRPr="00DF7CAE">
        <w:rPr>
          <w:rStyle w:val="Char3"/>
          <w:rtl/>
        </w:rPr>
        <w:t xml:space="preserve"> </w:t>
      </w:r>
      <w:r w:rsidR="00E77B3F" w:rsidRPr="00DF7CAE">
        <w:rPr>
          <w:rStyle w:val="Char3"/>
          <w:rFonts w:hint="eastAsia"/>
          <w:rtl/>
        </w:rPr>
        <w:t>غَنِم</w:t>
      </w:r>
      <w:r w:rsidR="00E77B3F" w:rsidRPr="00DF7CAE">
        <w:rPr>
          <w:rStyle w:val="Char3"/>
          <w:rFonts w:hint="cs"/>
          <w:rtl/>
        </w:rPr>
        <w:t>ۡ</w:t>
      </w:r>
      <w:r w:rsidR="00E77B3F" w:rsidRPr="00DF7CAE">
        <w:rPr>
          <w:rStyle w:val="Char3"/>
          <w:rFonts w:hint="eastAsia"/>
          <w:rtl/>
        </w:rPr>
        <w:t>تُم</w:t>
      </w:r>
      <w:r w:rsidR="00E77B3F" w:rsidRPr="00DF7CAE">
        <w:rPr>
          <w:rStyle w:val="Char3"/>
          <w:rtl/>
        </w:rPr>
        <w:t xml:space="preserve"> </w:t>
      </w:r>
      <w:r w:rsidR="00E77B3F" w:rsidRPr="00DF7CAE">
        <w:rPr>
          <w:rStyle w:val="Char3"/>
          <w:rFonts w:hint="eastAsia"/>
          <w:rtl/>
        </w:rPr>
        <w:t>مِّن</w:t>
      </w:r>
      <w:r w:rsidR="00E77B3F" w:rsidRPr="00DF7CAE">
        <w:rPr>
          <w:rStyle w:val="Char3"/>
          <w:rtl/>
        </w:rPr>
        <w:t xml:space="preserve"> </w:t>
      </w:r>
      <w:r w:rsidR="00E77B3F" w:rsidRPr="00DF7CAE">
        <w:rPr>
          <w:rStyle w:val="Char3"/>
          <w:rFonts w:hint="eastAsia"/>
          <w:rtl/>
        </w:rPr>
        <w:t>شَي</w:t>
      </w:r>
      <w:r w:rsidR="00E77B3F" w:rsidRPr="00DF7CAE">
        <w:rPr>
          <w:rStyle w:val="Char3"/>
          <w:rFonts w:hint="cs"/>
          <w:rtl/>
        </w:rPr>
        <w:t>ۡ</w:t>
      </w:r>
      <w:r w:rsidR="00E77B3F" w:rsidRPr="00DF7CAE">
        <w:rPr>
          <w:rStyle w:val="Char3"/>
          <w:rFonts w:hint="eastAsia"/>
          <w:rtl/>
        </w:rPr>
        <w:t>ء</w:t>
      </w:r>
      <w:r w:rsidR="00E77B3F" w:rsidRPr="00DF7CAE">
        <w:rPr>
          <w:rStyle w:val="Char3"/>
          <w:rFonts w:hint="cs"/>
          <w:rtl/>
        </w:rPr>
        <w:t>ٖ</w:t>
      </w:r>
      <w:r w:rsidR="00E77B3F" w:rsidRPr="00DF7CAE">
        <w:rPr>
          <w:rStyle w:val="Char3"/>
          <w:rtl/>
        </w:rPr>
        <w:t xml:space="preserve"> </w:t>
      </w:r>
      <w:r w:rsidR="00E77B3F" w:rsidRPr="00DF7CAE">
        <w:rPr>
          <w:rStyle w:val="Char3"/>
          <w:rFonts w:hint="eastAsia"/>
          <w:rtl/>
        </w:rPr>
        <w:t>فَأَنَّ</w:t>
      </w:r>
      <w:r w:rsidR="00E77B3F" w:rsidRPr="00DF7CAE">
        <w:rPr>
          <w:rStyle w:val="Char3"/>
          <w:rtl/>
        </w:rPr>
        <w:t xml:space="preserve"> </w:t>
      </w:r>
      <w:r w:rsidR="00E77B3F" w:rsidRPr="00DF7CAE">
        <w:rPr>
          <w:rStyle w:val="Char3"/>
          <w:rFonts w:hint="eastAsia"/>
          <w:rtl/>
        </w:rPr>
        <w:t>لِلَّهِ</w:t>
      </w:r>
      <w:r w:rsidR="00E77B3F" w:rsidRPr="00DF7CAE">
        <w:rPr>
          <w:rStyle w:val="Char3"/>
          <w:rtl/>
        </w:rPr>
        <w:t xml:space="preserve"> </w:t>
      </w:r>
      <w:r w:rsidR="00E77B3F" w:rsidRPr="00DF7CAE">
        <w:rPr>
          <w:rStyle w:val="Char3"/>
          <w:rFonts w:hint="eastAsia"/>
          <w:rtl/>
        </w:rPr>
        <w:t>خُمُسَهُ</w:t>
      </w:r>
      <w:r w:rsidR="00E77B3F" w:rsidRPr="00DF7CAE">
        <w:rPr>
          <w:rStyle w:val="Char3"/>
          <w:rFonts w:hint="cs"/>
          <w:rtl/>
        </w:rPr>
        <w:t>ۥ</w:t>
      </w:r>
      <w:r w:rsidR="00E77B3F" w:rsidRPr="00995B26">
        <w:rPr>
          <w:rFonts w:ascii="KFGQPC Uthmanic Script HAFS" w:cs="Times New Roman" w:hint="cs"/>
          <w:sz w:val="28"/>
          <w:rtl/>
        </w:rPr>
        <w:t>...</w:t>
      </w:r>
      <w:r w:rsidR="00E77B3F" w:rsidRPr="00995B26">
        <w:rPr>
          <w:rFonts w:ascii="Abo-thar" w:hAnsi="Abo-thar" w:cs="Traditional Arabic" w:hint="cs"/>
          <w:sz w:val="28"/>
          <w:rtl/>
        </w:rPr>
        <w:t>﴾</w:t>
      </w:r>
      <w:r w:rsidRPr="00995B26">
        <w:rPr>
          <w:rFonts w:ascii="Abo-thar" w:hAnsi="Abo-thar" w:hint="cs"/>
          <w:sz w:val="28"/>
          <w:rtl/>
        </w:rPr>
        <w:t xml:space="preserve"> </w:t>
      </w:r>
      <w:r w:rsidRPr="00FC12FD">
        <w:rPr>
          <w:rStyle w:val="Char2"/>
          <w:rtl/>
        </w:rPr>
        <w:t>[الأنفال</w:t>
      </w:r>
      <w:r w:rsidR="00E77B3F" w:rsidRPr="00FC12FD">
        <w:rPr>
          <w:rStyle w:val="Char2"/>
          <w:rFonts w:hint="cs"/>
          <w:rtl/>
        </w:rPr>
        <w:t xml:space="preserve">: </w:t>
      </w:r>
      <w:r w:rsidRPr="00FC12FD">
        <w:rPr>
          <w:rStyle w:val="Char2"/>
          <w:rtl/>
        </w:rPr>
        <w:t>41]</w:t>
      </w:r>
      <w:r w:rsidRPr="00995B26">
        <w:rPr>
          <w:rFonts w:ascii="Abo-thar" w:hAnsi="Abo-thar" w:hint="cs"/>
          <w:sz w:val="28"/>
          <w:rtl/>
        </w:rPr>
        <w:t xml:space="preserve"> إنما تُعْلِمُ بحقيقة اعتقادية ولا تبيِّن وجوب الإتيان بأمرٍ</w:t>
      </w:r>
      <w:r w:rsidR="00217AB4" w:rsidRPr="00995B26">
        <w:rPr>
          <w:rFonts w:ascii="Abo-thar" w:hAnsi="Abo-thar" w:hint="cs"/>
          <w:sz w:val="28"/>
          <w:rtl/>
        </w:rPr>
        <w:t>،</w:t>
      </w:r>
      <w:r w:rsidRPr="00995B26">
        <w:rPr>
          <w:rFonts w:ascii="Abo-thar" w:hAnsi="Abo-thar" w:hint="cs"/>
          <w:sz w:val="28"/>
          <w:rtl/>
        </w:rPr>
        <w:t xml:space="preserve"> أي أنه إذا عَزَل رسول الله</w:t>
      </w:r>
      <w:r w:rsidR="00147857" w:rsidRPr="00995B26">
        <w:rPr>
          <w:rFonts w:ascii="Abo-thar" w:hAnsi="Abo-thar" w:hint="cs"/>
          <w:sz w:val="28"/>
          <w:rtl/>
        </w:rPr>
        <w:t xml:space="preserve"> </w:t>
      </w:r>
      <w:r w:rsidR="003C7AEB" w:rsidRPr="003C7AEB">
        <w:rPr>
          <w:rFonts w:ascii="Abo-thar" w:hAnsi="Abo-thar" w:cs="CTraditional Arabic" w:hint="cs"/>
          <w:sz w:val="28"/>
          <w:rtl/>
        </w:rPr>
        <w:t>ص</w:t>
      </w:r>
      <w:r w:rsidR="00147857" w:rsidRPr="00995B26">
        <w:rPr>
          <w:rFonts w:ascii="Abo-thar" w:hAnsi="Abo-thar" w:hint="cs"/>
          <w:sz w:val="28"/>
          <w:rtl/>
        </w:rPr>
        <w:t xml:space="preserve"> </w:t>
      </w:r>
      <w:r w:rsidRPr="00995B26">
        <w:rPr>
          <w:rFonts w:ascii="Abo-thar" w:hAnsi="Abo-thar" w:hint="cs"/>
          <w:sz w:val="28"/>
          <w:rtl/>
        </w:rPr>
        <w:t>الخمس من غنائم الحرب ليعطيه لأرباب الخمس فإن على المجاهدين وغانمي الغنائم أن يعلموا أن هذا حق خاصٌّ بالله وليس لأحد الحقُّ في الاعتراض عليه</w:t>
      </w:r>
      <w:r w:rsidR="00217AB4" w:rsidRPr="00995B26">
        <w:rPr>
          <w:rFonts w:ascii="Abo-thar" w:hAnsi="Abo-thar" w:hint="cs"/>
          <w:sz w:val="28"/>
          <w:rtl/>
        </w:rPr>
        <w:t>.</w:t>
      </w:r>
      <w:r w:rsidRPr="00995B26">
        <w:rPr>
          <w:rFonts w:ascii="Abo-thar" w:hAnsi="Abo-thar" w:hint="cs"/>
          <w:sz w:val="28"/>
          <w:rtl/>
        </w:rPr>
        <w:t xml:space="preserve"> ولم يؤمر المسلمون أبداً بدفعه لأن خمس الغنائم بل جميعها هو ملكٌ لرسول الله أو قادة المعركة قبل التقسيم فلا يملك الآخرون شيئاً حتى يؤمروا بدفعه</w:t>
      </w:r>
      <w:r w:rsidR="00217AB4" w:rsidRPr="00995B26">
        <w:rPr>
          <w:rFonts w:ascii="Abo-thar" w:hAnsi="Abo-thar" w:hint="cs"/>
          <w:sz w:val="28"/>
          <w:rtl/>
        </w:rPr>
        <w:t>!</w:t>
      </w:r>
    </w:p>
    <w:p w:rsidR="005C664D" w:rsidRPr="003F3B94" w:rsidRDefault="005C664D" w:rsidP="003F3B94">
      <w:pPr>
        <w:pStyle w:val="a0"/>
        <w:rPr>
          <w:rFonts w:hint="cs"/>
          <w:rtl/>
        </w:rPr>
      </w:pPr>
      <w:r w:rsidRPr="003F3B94">
        <w:rPr>
          <w:rFonts w:ascii="Abo-thar" w:hAnsi="Abo-thar" w:hint="cs"/>
          <w:sz w:val="28"/>
          <w:rtl/>
        </w:rPr>
        <w:t>وكان من عادة رسول الله</w:t>
      </w:r>
      <w:r w:rsidR="00147857" w:rsidRPr="003F3B94">
        <w:rPr>
          <w:rFonts w:ascii="Abo-thar" w:hAnsi="Abo-thar" w:hint="cs"/>
          <w:sz w:val="28"/>
          <w:rtl/>
        </w:rPr>
        <w:t xml:space="preserve"> </w:t>
      </w:r>
      <w:r w:rsidR="003C7AEB" w:rsidRPr="003C7AEB">
        <w:rPr>
          <w:rFonts w:ascii="Abo-thar" w:hAnsi="Abo-thar" w:cs="CTraditional Arabic" w:hint="cs"/>
          <w:sz w:val="28"/>
          <w:rtl/>
        </w:rPr>
        <w:t>ص</w:t>
      </w:r>
      <w:r w:rsidR="00147857" w:rsidRPr="003F3B94">
        <w:rPr>
          <w:rFonts w:ascii="Abo-thar" w:hAnsi="Abo-thar" w:hint="cs"/>
          <w:sz w:val="28"/>
          <w:rtl/>
        </w:rPr>
        <w:t xml:space="preserve"> </w:t>
      </w:r>
      <w:r w:rsidRPr="003F3B94">
        <w:rPr>
          <w:rFonts w:ascii="Abo-thar" w:hAnsi="Abo-thar" w:hint="cs"/>
          <w:sz w:val="28"/>
          <w:rtl/>
        </w:rPr>
        <w:t>أو قادة المعارك [النائبين عنه] أن يجمعوا الغنائم ثم يُخرجوا منها الخمس ويقسِّموا البقيةَ بين المجاهدين ولذلك فإن هذا العمل لم يكن بحاجة لصيغة أمرٍ بالأداء والدفع</w:t>
      </w:r>
      <w:r w:rsidR="00217AB4" w:rsidRPr="003F3B94">
        <w:rPr>
          <w:rFonts w:ascii="Abo-thar" w:hAnsi="Abo-thar" w:hint="cs"/>
          <w:sz w:val="28"/>
          <w:rtl/>
        </w:rPr>
        <w:t>،</w:t>
      </w:r>
      <w:r w:rsidRPr="003F3B94">
        <w:rPr>
          <w:rFonts w:ascii="Abo-thar" w:hAnsi="Abo-thar" w:hint="cs"/>
          <w:sz w:val="28"/>
          <w:rtl/>
        </w:rPr>
        <w:t xml:space="preserve"> وكل ما كان مطلوباً هو أن يعلم المسلمون أن خمس الغنائم ملكٌ لِـلَّهِ تعالى</w:t>
      </w:r>
      <w:r w:rsidR="00217AB4" w:rsidRPr="003F3B94">
        <w:rPr>
          <w:rFonts w:ascii="Abo-thar" w:hAnsi="Abo-thar" w:hint="cs"/>
          <w:sz w:val="28"/>
          <w:rtl/>
        </w:rPr>
        <w:t>.</w:t>
      </w:r>
      <w:r w:rsidRPr="003F3B94">
        <w:rPr>
          <w:rFonts w:ascii="Abo-thar" w:hAnsi="Abo-thar" w:hint="cs"/>
          <w:sz w:val="28"/>
          <w:rtl/>
        </w:rPr>
        <w:t xml:space="preserve"> ولا توجد أيَّة آيةٍ في القرآن تأمر المسلمين بأداء خمس الغنائم ودفعها أو أداء الأنفال لأنه لم يكن شيءٌ منها ملكٌ لهم</w:t>
      </w:r>
      <w:r w:rsidR="00217AB4" w:rsidRPr="003F3B94">
        <w:rPr>
          <w:rFonts w:ascii="Abo-thar" w:hAnsi="Abo-thar" w:hint="cs"/>
          <w:sz w:val="28"/>
          <w:rtl/>
        </w:rPr>
        <w:t>،</w:t>
      </w:r>
      <w:r w:rsidRPr="003F3B94">
        <w:rPr>
          <w:rFonts w:ascii="Abo-thar" w:hAnsi="Abo-thar" w:hint="cs"/>
          <w:sz w:val="28"/>
          <w:rtl/>
        </w:rPr>
        <w:t xml:space="preserve"> كما نلاحظ أن سيرة رسول الله</w:t>
      </w:r>
      <w:r w:rsidR="00147857" w:rsidRPr="003F3B94">
        <w:rPr>
          <w:rFonts w:ascii="Abo-thar" w:hAnsi="Abo-thar" w:hint="cs"/>
          <w:sz w:val="28"/>
          <w:rtl/>
        </w:rPr>
        <w:t xml:space="preserve"> </w:t>
      </w:r>
      <w:r w:rsidR="003C7AEB" w:rsidRPr="003C7AEB">
        <w:rPr>
          <w:rFonts w:ascii="Abo-thar" w:hAnsi="Abo-thar" w:cs="CTraditional Arabic"/>
          <w:sz w:val="28"/>
          <w:rtl/>
        </w:rPr>
        <w:t>ص</w:t>
      </w:r>
      <w:r w:rsidR="00147857" w:rsidRPr="003F3B94">
        <w:rPr>
          <w:rFonts w:ascii="Abo-thar" w:hAnsi="Abo-thar"/>
          <w:sz w:val="28"/>
          <w:rtl/>
        </w:rPr>
        <w:t xml:space="preserve"> </w:t>
      </w:r>
      <w:r w:rsidRPr="003F3B94">
        <w:rPr>
          <w:rFonts w:ascii="Abo-thar" w:hAnsi="Abo-thar" w:hint="cs"/>
          <w:sz w:val="28"/>
          <w:rtl/>
        </w:rPr>
        <w:t>وخلفائه تعكس هذه الحقيقة وتبينها بوضوح</w:t>
      </w:r>
      <w:r w:rsidR="00217AB4" w:rsidRPr="003F3B94">
        <w:rPr>
          <w:rFonts w:ascii="Abo-thar" w:hAnsi="Abo-thar" w:hint="cs"/>
          <w:sz w:val="28"/>
          <w:rtl/>
        </w:rPr>
        <w:t>.</w:t>
      </w:r>
    </w:p>
    <w:p w:rsidR="005C664D" w:rsidRPr="003F3B94" w:rsidRDefault="005C664D" w:rsidP="003F3B94">
      <w:pPr>
        <w:pStyle w:val="a0"/>
        <w:rPr>
          <w:rFonts w:hint="cs"/>
          <w:rtl/>
        </w:rPr>
      </w:pPr>
      <w:r w:rsidRPr="003F3B94">
        <w:rPr>
          <w:rFonts w:ascii="Abo-thar" w:hAnsi="Abo-thar" w:hint="cs"/>
          <w:sz w:val="28"/>
          <w:rtl/>
        </w:rPr>
        <w:t>في صدر الإسلام لم يقم أي مسلم بدفع الخمس بالصورة التي أصبحت رائجةً الآن</w:t>
      </w:r>
      <w:r w:rsidR="00217AB4" w:rsidRPr="003F3B94">
        <w:rPr>
          <w:rFonts w:ascii="Abo-thar" w:hAnsi="Abo-thar" w:hint="cs"/>
          <w:sz w:val="28"/>
          <w:rtl/>
        </w:rPr>
        <w:t>!</w:t>
      </w:r>
      <w:r w:rsidRPr="003F3B94">
        <w:rPr>
          <w:rFonts w:ascii="Abo-thar" w:hAnsi="Abo-thar" w:hint="cs"/>
          <w:sz w:val="28"/>
          <w:rtl/>
        </w:rPr>
        <w:t xml:space="preserve"> في زمن رسول الله</w:t>
      </w:r>
      <w:r w:rsidR="00147857" w:rsidRPr="003F3B94">
        <w:rPr>
          <w:rFonts w:ascii="Abo-thar" w:hAnsi="Abo-thar" w:hint="cs"/>
          <w:sz w:val="28"/>
          <w:rtl/>
        </w:rPr>
        <w:t xml:space="preserve"> </w:t>
      </w:r>
      <w:r w:rsidR="003C7AEB" w:rsidRPr="003C7AEB">
        <w:rPr>
          <w:rFonts w:ascii="Abo-thar" w:hAnsi="Abo-thar" w:cs="CTraditional Arabic"/>
          <w:sz w:val="28"/>
          <w:rtl/>
        </w:rPr>
        <w:t>ص</w:t>
      </w:r>
      <w:r w:rsidR="00147857" w:rsidRPr="003F3B94">
        <w:rPr>
          <w:rFonts w:ascii="Abo-thar" w:hAnsi="Abo-thar"/>
          <w:sz w:val="28"/>
          <w:rtl/>
        </w:rPr>
        <w:t xml:space="preserve"> </w:t>
      </w:r>
      <w:r w:rsidRPr="003F3B94">
        <w:rPr>
          <w:rFonts w:ascii="Abo-thar" w:hAnsi="Abo-thar" w:hint="cs"/>
          <w:sz w:val="28"/>
          <w:rtl/>
        </w:rPr>
        <w:t>وفي زمن خلفائه</w:t>
      </w:r>
      <w:r w:rsidR="00217AB4" w:rsidRPr="003F3B94">
        <w:rPr>
          <w:rFonts w:ascii="Abo-thar" w:hAnsi="Abo-thar" w:hint="cs"/>
          <w:sz w:val="28"/>
          <w:rtl/>
        </w:rPr>
        <w:t>،</w:t>
      </w:r>
      <w:r w:rsidRPr="003F3B94">
        <w:rPr>
          <w:rFonts w:ascii="Abo-thar" w:hAnsi="Abo-thar" w:hint="cs"/>
          <w:sz w:val="28"/>
          <w:rtl/>
        </w:rPr>
        <w:t xml:space="preserve"> كان الرسول وخلفاؤه</w:t>
      </w:r>
      <w:r w:rsidR="00147857" w:rsidRPr="003F3B94">
        <w:rPr>
          <w:rFonts w:ascii="Abo-thar" w:hAnsi="Abo-thar" w:hint="cs"/>
          <w:sz w:val="28"/>
          <w:rtl/>
        </w:rPr>
        <w:t xml:space="preserve"> </w:t>
      </w:r>
      <w:r w:rsidRPr="003F3B94">
        <w:rPr>
          <w:rFonts w:ascii="Abo-thar" w:hAnsi="Abo-thar" w:hint="cs"/>
          <w:sz w:val="28"/>
          <w:rtl/>
        </w:rPr>
        <w:t>إذا اعتبروا أن مالاً ما يشمله حكم الخمس يقومون بأنفسهم بحجز ذلك المال ليكون تحت تصـرفهم [لعزل الخمس منه ثم تقسيمه] قبل أن يملك الآخرون منه شيئاً</w:t>
      </w:r>
      <w:r w:rsidR="00217AB4" w:rsidRPr="003F3B94">
        <w:rPr>
          <w:rFonts w:ascii="Abo-thar" w:hAnsi="Abo-thar" w:hint="cs"/>
          <w:sz w:val="28"/>
          <w:rtl/>
        </w:rPr>
        <w:t>.</w:t>
      </w:r>
      <w:r w:rsidRPr="003F3B94">
        <w:rPr>
          <w:rFonts w:ascii="Abo-thar" w:hAnsi="Abo-thar" w:hint="cs"/>
          <w:sz w:val="28"/>
          <w:rtl/>
        </w:rPr>
        <w:t xml:space="preserve"> وهذا خلاف لأمر الزكاة التي كان المسلمون مأمورين بدفعها فوراً وإذا أهملوا دفعها أو غفلوا عنه طولبوا بذلك بكل شدة</w:t>
      </w:r>
      <w:r w:rsidR="00217AB4" w:rsidRPr="003F3B94">
        <w:rPr>
          <w:rFonts w:ascii="Abo-thar" w:hAnsi="Abo-thar" w:hint="cs"/>
          <w:sz w:val="28"/>
          <w:rtl/>
        </w:rPr>
        <w:t>،</w:t>
      </w:r>
      <w:r w:rsidRPr="003F3B94">
        <w:rPr>
          <w:rFonts w:ascii="Abo-thar" w:hAnsi="Abo-thar" w:hint="cs"/>
          <w:sz w:val="28"/>
          <w:rtl/>
        </w:rPr>
        <w:t xml:space="preserve"> فإذا تأخروا عن أدائها أو توقفوا عنه هُدِّدوا بإعلان الحرب وأخذها منهم بكل شدة</w:t>
      </w:r>
      <w:r w:rsidR="00217AB4" w:rsidRPr="003F3B94">
        <w:rPr>
          <w:rFonts w:ascii="Abo-thar" w:hAnsi="Abo-thar" w:hint="cs"/>
          <w:sz w:val="28"/>
          <w:rtl/>
        </w:rPr>
        <w:t>.</w:t>
      </w:r>
      <w:r w:rsidRPr="003F3B94">
        <w:rPr>
          <w:rFonts w:ascii="Abo-thar" w:hAnsi="Abo-thar" w:hint="cs"/>
          <w:sz w:val="28"/>
          <w:rtl/>
        </w:rPr>
        <w:t xml:space="preserve"> </w:t>
      </w:r>
    </w:p>
    <w:p w:rsidR="005C664D" w:rsidRPr="003F3B94" w:rsidRDefault="005C664D" w:rsidP="003F3B94">
      <w:pPr>
        <w:pStyle w:val="a0"/>
        <w:rPr>
          <w:rFonts w:hint="cs"/>
          <w:rtl/>
        </w:rPr>
      </w:pPr>
      <w:r w:rsidRPr="003F3B94">
        <w:rPr>
          <w:rFonts w:ascii="Abo-thar" w:hAnsi="Abo-thar" w:hint="cs"/>
          <w:sz w:val="28"/>
          <w:rtl/>
        </w:rPr>
        <w:t>في الخمس وتوزيع الغنائم كان رسول الله</w:t>
      </w:r>
      <w:r w:rsidR="00147857" w:rsidRPr="003F3B94">
        <w:rPr>
          <w:rFonts w:ascii="Abo-thar" w:hAnsi="Abo-thar" w:hint="cs"/>
          <w:sz w:val="28"/>
          <w:rtl/>
        </w:rPr>
        <w:t xml:space="preserve"> </w:t>
      </w:r>
      <w:r w:rsidR="003C7AEB" w:rsidRPr="003C7AEB">
        <w:rPr>
          <w:rFonts w:ascii="Abo-thar" w:hAnsi="Abo-thar" w:cs="CTraditional Arabic"/>
          <w:sz w:val="28"/>
          <w:rtl/>
        </w:rPr>
        <w:t>ص</w:t>
      </w:r>
      <w:r w:rsidR="00147857" w:rsidRPr="003F3B94">
        <w:rPr>
          <w:rFonts w:ascii="Abo-thar" w:hAnsi="Abo-thar"/>
          <w:sz w:val="28"/>
          <w:rtl/>
        </w:rPr>
        <w:t xml:space="preserve"> </w:t>
      </w:r>
      <w:r w:rsidRPr="003F3B94">
        <w:rPr>
          <w:rFonts w:ascii="Abo-thar" w:hAnsi="Abo-thar" w:hint="cs"/>
          <w:sz w:val="28"/>
          <w:rtl/>
        </w:rPr>
        <w:t>هو المعطي والمسلمون المجاهدون هم الآخذون</w:t>
      </w:r>
      <w:r w:rsidR="00217AB4" w:rsidRPr="003F3B94">
        <w:rPr>
          <w:rFonts w:ascii="Abo-thar" w:hAnsi="Abo-thar" w:hint="cs"/>
          <w:sz w:val="28"/>
          <w:rtl/>
        </w:rPr>
        <w:t>،</w:t>
      </w:r>
      <w:r w:rsidRPr="003F3B94">
        <w:rPr>
          <w:rFonts w:ascii="Abo-thar" w:hAnsi="Abo-thar" w:hint="cs"/>
          <w:sz w:val="28"/>
          <w:rtl/>
        </w:rPr>
        <w:t xml:space="preserve"> كما تدل على ذلك الآية الكريمة</w:t>
      </w:r>
      <w:r w:rsidR="00217AB4" w:rsidRPr="003F3B94">
        <w:rPr>
          <w:rFonts w:ascii="Abo-thar" w:hAnsi="Abo-thar" w:hint="cs"/>
          <w:sz w:val="28"/>
          <w:rtl/>
        </w:rPr>
        <w:t>:</w:t>
      </w:r>
      <w:r w:rsidRPr="003F3B94">
        <w:rPr>
          <w:rFonts w:ascii="Abo-thar" w:hAnsi="Abo-thar" w:hint="cs"/>
          <w:sz w:val="28"/>
          <w:rtl/>
        </w:rPr>
        <w:t xml:space="preserve"> </w:t>
      </w:r>
    </w:p>
    <w:p w:rsidR="005C664D" w:rsidRPr="003F3B94" w:rsidRDefault="00E77B3F" w:rsidP="003F3B94">
      <w:pPr>
        <w:pStyle w:val="a0"/>
        <w:rPr>
          <w:rFonts w:hint="cs"/>
          <w:rtl/>
        </w:rPr>
      </w:pPr>
      <w:r w:rsidRPr="00995B26">
        <w:rPr>
          <w:rFonts w:ascii="Abo-thar" w:hAnsi="Abo-thar" w:cs="Traditional Arabic" w:hint="cs"/>
          <w:sz w:val="28"/>
          <w:rtl/>
        </w:rPr>
        <w:t>﴿</w:t>
      </w:r>
      <w:r w:rsidRPr="00DF7CAE">
        <w:rPr>
          <w:rStyle w:val="Char3"/>
          <w:rFonts w:hint="eastAsia"/>
          <w:rtl/>
        </w:rPr>
        <w:t>وَمَا</w:t>
      </w:r>
      <w:r w:rsidRPr="00DF7CAE">
        <w:rPr>
          <w:rStyle w:val="Char3"/>
          <w:rFonts w:hint="cs"/>
          <w:rtl/>
        </w:rPr>
        <w:t>ٓ</w:t>
      </w:r>
      <w:r w:rsidRPr="00DF7CAE">
        <w:rPr>
          <w:rStyle w:val="Char3"/>
          <w:rtl/>
        </w:rPr>
        <w:t xml:space="preserve"> </w:t>
      </w:r>
      <w:r w:rsidRPr="00DF7CAE">
        <w:rPr>
          <w:rStyle w:val="Char3"/>
          <w:rFonts w:hint="eastAsia"/>
          <w:rtl/>
        </w:rPr>
        <w:t>ءَاتَى</w:t>
      </w:r>
      <w:r w:rsidRPr="00DF7CAE">
        <w:rPr>
          <w:rStyle w:val="Char3"/>
          <w:rFonts w:hint="cs"/>
          <w:rtl/>
        </w:rPr>
        <w:t>ٰ</w:t>
      </w:r>
      <w:r w:rsidRPr="00DF7CAE">
        <w:rPr>
          <w:rStyle w:val="Char3"/>
          <w:rFonts w:hint="eastAsia"/>
          <w:rtl/>
        </w:rPr>
        <w:t>كُمُ</w:t>
      </w:r>
      <w:r w:rsidRPr="00DF7CAE">
        <w:rPr>
          <w:rStyle w:val="Char3"/>
          <w:rtl/>
        </w:rPr>
        <w:t xml:space="preserve"> </w:t>
      </w:r>
      <w:r w:rsidRPr="00DF7CAE">
        <w:rPr>
          <w:rStyle w:val="Char3"/>
          <w:rFonts w:hint="cs"/>
          <w:rtl/>
        </w:rPr>
        <w:t>ٱ</w:t>
      </w:r>
      <w:r w:rsidRPr="00DF7CAE">
        <w:rPr>
          <w:rStyle w:val="Char3"/>
          <w:rFonts w:hint="eastAsia"/>
          <w:rtl/>
        </w:rPr>
        <w:t>لرَّسُولُ</w:t>
      </w:r>
      <w:r w:rsidRPr="00DF7CAE">
        <w:rPr>
          <w:rStyle w:val="Char3"/>
          <w:rtl/>
        </w:rPr>
        <w:t xml:space="preserve"> </w:t>
      </w:r>
      <w:r w:rsidRPr="00DF7CAE">
        <w:rPr>
          <w:rStyle w:val="Char3"/>
          <w:rFonts w:hint="eastAsia"/>
          <w:rtl/>
        </w:rPr>
        <w:t>فَخُذُوهُ</w:t>
      </w:r>
      <w:r w:rsidRPr="00995B26">
        <w:rPr>
          <w:rFonts w:ascii="Abo-thar" w:hAnsi="Abo-thar" w:cs="Traditional Arabic" w:hint="cs"/>
          <w:sz w:val="28"/>
          <w:rtl/>
        </w:rPr>
        <w:t>﴾</w:t>
      </w:r>
      <w:r w:rsidR="005C664D" w:rsidRPr="003F3B94">
        <w:rPr>
          <w:rFonts w:ascii="Abo-thar" w:hAnsi="Abo-thar"/>
          <w:sz w:val="28"/>
          <w:rtl/>
        </w:rPr>
        <w:t xml:space="preserve"> </w:t>
      </w:r>
      <w:r w:rsidR="005C664D" w:rsidRPr="00FC12FD">
        <w:rPr>
          <w:rStyle w:val="Char2"/>
          <w:rtl/>
        </w:rPr>
        <w:t>[الحشر</w:t>
      </w:r>
      <w:r w:rsidRPr="00FC12FD">
        <w:rPr>
          <w:rStyle w:val="Char2"/>
          <w:rFonts w:hint="cs"/>
          <w:rtl/>
        </w:rPr>
        <w:t xml:space="preserve">: </w:t>
      </w:r>
      <w:r w:rsidR="005C664D" w:rsidRPr="00FC12FD">
        <w:rPr>
          <w:rStyle w:val="Char2"/>
          <w:rtl/>
        </w:rPr>
        <w:t>7]</w:t>
      </w:r>
      <w:r w:rsidR="00217AB4" w:rsidRPr="0021507A">
        <w:rPr>
          <w:rStyle w:val="FootnoteReference"/>
          <w:rFonts w:cs="Arabic11 BT"/>
          <w:b/>
          <w:sz w:val="28"/>
          <w:rtl/>
        </w:rPr>
        <w:t>(</w:t>
      </w:r>
      <w:r w:rsidR="005C664D" w:rsidRPr="0021507A">
        <w:rPr>
          <w:rStyle w:val="FootnoteReference"/>
          <w:rFonts w:cs="Arabic11 BT"/>
          <w:b/>
          <w:sz w:val="28"/>
          <w:rtl/>
        </w:rPr>
        <w:footnoteReference w:id="25"/>
      </w:r>
      <w:r w:rsidR="00217AB4" w:rsidRPr="0021507A">
        <w:rPr>
          <w:rStyle w:val="FootnoteReference"/>
          <w:rFonts w:cs="Arabic11 BT"/>
          <w:b/>
          <w:sz w:val="28"/>
          <w:rtl/>
        </w:rPr>
        <w:t>)</w:t>
      </w:r>
      <w:r w:rsidR="00147857" w:rsidRPr="003F3B94">
        <w:rPr>
          <w:rFonts w:ascii="Abo-thar" w:hAnsi="Abo-thar"/>
          <w:sz w:val="28"/>
          <w:rtl/>
        </w:rPr>
        <w:t xml:space="preserve"> </w:t>
      </w:r>
      <w:r w:rsidR="005C664D" w:rsidRPr="003F3B94">
        <w:rPr>
          <w:rFonts w:ascii="Abo-thar" w:hAnsi="Abo-thar" w:hint="cs"/>
          <w:sz w:val="28"/>
          <w:rtl/>
        </w:rPr>
        <w:t>أي ما أعطاكم إياه الرسول</w:t>
      </w:r>
      <w:r w:rsidR="00147857" w:rsidRPr="003F3B94">
        <w:rPr>
          <w:rFonts w:ascii="Abo-thar" w:hAnsi="Abo-thar" w:hint="cs"/>
          <w:sz w:val="28"/>
          <w:rtl/>
        </w:rPr>
        <w:t xml:space="preserve"> </w:t>
      </w:r>
      <w:r w:rsidR="003C7AEB" w:rsidRPr="003C7AEB">
        <w:rPr>
          <w:rFonts w:ascii="Abo-thar" w:hAnsi="Abo-thar" w:cs="CTraditional Arabic"/>
          <w:sz w:val="28"/>
          <w:rtl/>
        </w:rPr>
        <w:t>ص</w:t>
      </w:r>
      <w:r w:rsidR="00147857" w:rsidRPr="003F3B94">
        <w:rPr>
          <w:rFonts w:ascii="Abo-thar" w:hAnsi="Abo-thar"/>
          <w:sz w:val="28"/>
          <w:rtl/>
        </w:rPr>
        <w:t xml:space="preserve"> </w:t>
      </w:r>
      <w:r w:rsidR="00217AB4" w:rsidRPr="003F3B94">
        <w:rPr>
          <w:rFonts w:ascii="Abo-thar" w:hAnsi="Abo-thar" w:hint="cs"/>
          <w:sz w:val="28"/>
          <w:rtl/>
        </w:rPr>
        <w:t>(</w:t>
      </w:r>
      <w:r w:rsidR="005C664D" w:rsidRPr="003F3B94">
        <w:rPr>
          <w:rFonts w:ascii="Abo-thar" w:hAnsi="Abo-thar" w:hint="cs"/>
          <w:sz w:val="28"/>
          <w:rtl/>
        </w:rPr>
        <w:t>من الغنائم</w:t>
      </w:r>
      <w:r w:rsidR="00217AB4" w:rsidRPr="003F3B94">
        <w:rPr>
          <w:rFonts w:ascii="Abo-thar" w:hAnsi="Abo-thar" w:hint="cs"/>
          <w:sz w:val="28"/>
          <w:rtl/>
        </w:rPr>
        <w:t>)</w:t>
      </w:r>
      <w:r w:rsidR="005C664D" w:rsidRPr="003F3B94">
        <w:rPr>
          <w:rFonts w:ascii="Abo-thar" w:hAnsi="Abo-thar" w:hint="cs"/>
          <w:sz w:val="28"/>
          <w:rtl/>
        </w:rPr>
        <w:t xml:space="preserve"> فخذوه</w:t>
      </w:r>
      <w:r w:rsidR="00217AB4" w:rsidRPr="003F3B94">
        <w:rPr>
          <w:rFonts w:ascii="Abo-thar" w:hAnsi="Abo-thar" w:hint="cs"/>
          <w:sz w:val="28"/>
          <w:rtl/>
        </w:rPr>
        <w:t>.</w:t>
      </w:r>
      <w:r w:rsidR="005C664D" w:rsidRPr="003F3B94">
        <w:rPr>
          <w:rFonts w:ascii="Abo-thar" w:hAnsi="Abo-thar" w:hint="cs"/>
          <w:sz w:val="28"/>
          <w:rtl/>
        </w:rPr>
        <w:t xml:space="preserve"> </w:t>
      </w:r>
    </w:p>
    <w:p w:rsidR="005C664D" w:rsidRPr="003F3B94" w:rsidRDefault="005C664D" w:rsidP="003F3B94">
      <w:pPr>
        <w:pStyle w:val="a0"/>
        <w:rPr>
          <w:rFonts w:hint="cs"/>
          <w:rtl/>
        </w:rPr>
      </w:pPr>
      <w:r w:rsidRPr="003F3B94">
        <w:rPr>
          <w:rFonts w:ascii="Abo-thar" w:hAnsi="Abo-thar" w:hint="cs"/>
          <w:sz w:val="28"/>
          <w:rtl/>
        </w:rPr>
        <w:t>أما في الزكاة فكان المسلمون هم المعطون</w:t>
      </w:r>
      <w:r w:rsidR="00217AB4" w:rsidRPr="003F3B94">
        <w:rPr>
          <w:rFonts w:ascii="Abo-thar" w:hAnsi="Abo-thar" w:hint="cs"/>
          <w:sz w:val="28"/>
          <w:rtl/>
        </w:rPr>
        <w:t>،</w:t>
      </w:r>
      <w:r w:rsidRPr="003F3B94">
        <w:rPr>
          <w:rFonts w:ascii="Abo-thar" w:hAnsi="Abo-thar" w:hint="cs"/>
          <w:sz w:val="28"/>
          <w:rtl/>
        </w:rPr>
        <w:t xml:space="preserve"> لذلك نجد قوله تعالى</w:t>
      </w:r>
      <w:r w:rsidR="00217AB4" w:rsidRPr="003F3B94">
        <w:rPr>
          <w:rFonts w:ascii="Abo-thar" w:hAnsi="Abo-thar" w:hint="cs"/>
          <w:sz w:val="28"/>
          <w:rtl/>
        </w:rPr>
        <w:t>:</w:t>
      </w:r>
      <w:r w:rsidRPr="003F3B94">
        <w:rPr>
          <w:rFonts w:ascii="Abo-thar" w:hAnsi="Abo-thar" w:hint="cs"/>
          <w:sz w:val="28"/>
          <w:rtl/>
        </w:rPr>
        <w:t xml:space="preserve"> </w:t>
      </w:r>
    </w:p>
    <w:p w:rsidR="005C664D" w:rsidRPr="00995B26" w:rsidRDefault="00E77B3F" w:rsidP="003F3B94">
      <w:pPr>
        <w:pStyle w:val="a0"/>
        <w:rPr>
          <w:rFonts w:hint="cs"/>
          <w:rtl/>
        </w:rPr>
      </w:pPr>
      <w:r w:rsidRPr="00995B26">
        <w:rPr>
          <w:rFonts w:cs="Traditional Arabic"/>
          <w:rtl/>
          <w:lang w:bidi="fa-IR"/>
        </w:rPr>
        <w:t>﴿</w:t>
      </w:r>
      <w:r w:rsidRPr="00995B26">
        <w:rPr>
          <w:rFonts w:cs="KFGQPC Uthman Taha Naskh" w:hint="cs"/>
          <w:rtl/>
          <w:lang w:bidi="fa-IR"/>
        </w:rPr>
        <w:t>...</w:t>
      </w:r>
      <w:r w:rsidRPr="00DF7CAE">
        <w:rPr>
          <w:rStyle w:val="Char3"/>
          <w:rFonts w:hint="eastAsia"/>
          <w:rtl/>
        </w:rPr>
        <w:t>وَءَاتُواْ</w:t>
      </w:r>
      <w:r w:rsidRPr="00DF7CAE">
        <w:rPr>
          <w:rStyle w:val="Char3"/>
          <w:rtl/>
        </w:rPr>
        <w:t xml:space="preserve"> </w:t>
      </w:r>
      <w:r w:rsidRPr="00DF7CAE">
        <w:rPr>
          <w:rStyle w:val="Char3"/>
          <w:rFonts w:hint="cs"/>
          <w:rtl/>
        </w:rPr>
        <w:t>ٱ</w:t>
      </w:r>
      <w:r w:rsidRPr="00DF7CAE">
        <w:rPr>
          <w:rStyle w:val="Char3"/>
          <w:rFonts w:hint="eastAsia"/>
          <w:rtl/>
        </w:rPr>
        <w:t>لزَّكَو</w:t>
      </w:r>
      <w:r w:rsidRPr="00DF7CAE">
        <w:rPr>
          <w:rStyle w:val="Char3"/>
          <w:rFonts w:hint="cs"/>
          <w:rtl/>
        </w:rPr>
        <w:t>ٰ</w:t>
      </w:r>
      <w:r w:rsidRPr="00DF7CAE">
        <w:rPr>
          <w:rStyle w:val="Char3"/>
          <w:rFonts w:hint="eastAsia"/>
          <w:rtl/>
        </w:rPr>
        <w:t>ةَ</w:t>
      </w:r>
      <w:r w:rsidRPr="00995B26">
        <w:rPr>
          <w:rFonts w:cs="KFGQPC Uthman Taha Naskh" w:hint="cs"/>
          <w:rtl/>
          <w:lang w:bidi="fa-IR"/>
        </w:rPr>
        <w:t>...</w:t>
      </w:r>
      <w:r w:rsidRPr="00995B26">
        <w:rPr>
          <w:rFonts w:cs="Traditional Arabic"/>
          <w:rtl/>
          <w:lang w:bidi="fa-IR"/>
        </w:rPr>
        <w:t>﴾</w:t>
      </w:r>
      <w:r w:rsidRPr="003F3B94">
        <w:rPr>
          <w:rFonts w:ascii="Abo-thar" w:hAnsi="Abo-thar"/>
          <w:sz w:val="28"/>
          <w:rtl/>
        </w:rPr>
        <w:t xml:space="preserve"> </w:t>
      </w:r>
      <w:r w:rsidR="005C664D" w:rsidRPr="00FC12FD">
        <w:rPr>
          <w:rStyle w:val="Char2"/>
          <w:rtl/>
        </w:rPr>
        <w:t>[البقرة/43]</w:t>
      </w:r>
      <w:r w:rsidRPr="003F3B94">
        <w:rPr>
          <w:rFonts w:ascii="Abo-thar" w:hAnsi="Abo-thar" w:hint="cs"/>
          <w:sz w:val="28"/>
          <w:rtl/>
        </w:rPr>
        <w:t xml:space="preserve"> </w:t>
      </w:r>
      <w:r w:rsidRPr="00995B26">
        <w:rPr>
          <w:rFonts w:ascii="Abo-thar" w:hAnsi="Abo-thar" w:cs="Traditional Arabic" w:hint="cs"/>
          <w:sz w:val="28"/>
          <w:rtl/>
        </w:rPr>
        <w:t>﴿</w:t>
      </w:r>
      <w:r w:rsidRPr="00DF7CAE">
        <w:rPr>
          <w:rStyle w:val="Char3"/>
          <w:rFonts w:hint="eastAsia"/>
          <w:rtl/>
        </w:rPr>
        <w:t>وَءَاتُواْ</w:t>
      </w:r>
      <w:r w:rsidRPr="00DF7CAE">
        <w:rPr>
          <w:rStyle w:val="Char3"/>
          <w:rtl/>
        </w:rPr>
        <w:t xml:space="preserve"> </w:t>
      </w:r>
      <w:r w:rsidRPr="00DF7CAE">
        <w:rPr>
          <w:rStyle w:val="Char3"/>
          <w:rFonts w:hint="eastAsia"/>
          <w:rtl/>
        </w:rPr>
        <w:t>حَقَّهُ</w:t>
      </w:r>
      <w:r w:rsidRPr="00DF7CAE">
        <w:rPr>
          <w:rStyle w:val="Char3"/>
          <w:rFonts w:hint="cs"/>
          <w:rtl/>
        </w:rPr>
        <w:t>ۥ</w:t>
      </w:r>
      <w:r w:rsidRPr="00995B26">
        <w:rPr>
          <w:rFonts w:ascii="Abo-thar" w:hAnsi="Abo-thar" w:cs="Traditional Arabic" w:hint="cs"/>
          <w:sz w:val="28"/>
          <w:rtl/>
        </w:rPr>
        <w:t>﴾</w:t>
      </w:r>
      <w:r w:rsidR="005C664D" w:rsidRPr="00995B26">
        <w:rPr>
          <w:rFonts w:ascii="Abo-thar" w:hAnsi="Abo-thar"/>
          <w:sz w:val="28"/>
          <w:rtl/>
        </w:rPr>
        <w:t xml:space="preserve"> </w:t>
      </w:r>
      <w:r w:rsidR="005C664D" w:rsidRPr="00FC12FD">
        <w:rPr>
          <w:rStyle w:val="Char2"/>
          <w:rtl/>
        </w:rPr>
        <w:t>[الأنعام/141]</w:t>
      </w:r>
      <w:r w:rsidR="005C664D" w:rsidRPr="00995B26">
        <w:rPr>
          <w:rFonts w:ascii="Abo-thar" w:hAnsi="Abo-thar" w:hint="cs"/>
          <w:sz w:val="28"/>
          <w:rtl/>
        </w:rPr>
        <w:t xml:space="preserve"> </w:t>
      </w:r>
      <w:r w:rsidRPr="00995B26">
        <w:rPr>
          <w:rFonts w:ascii="Abo-thar" w:hAnsi="Abo-thar" w:cs="Traditional Arabic" w:hint="cs"/>
          <w:sz w:val="28"/>
          <w:rtl/>
        </w:rPr>
        <w:t>﴿</w:t>
      </w:r>
      <w:r w:rsidRPr="00DF7CAE">
        <w:rPr>
          <w:rStyle w:val="Char3"/>
          <w:rFonts w:hint="eastAsia"/>
          <w:rtl/>
        </w:rPr>
        <w:t>أَنفِقُواْ</w:t>
      </w:r>
      <w:r w:rsidRPr="00DF7CAE">
        <w:rPr>
          <w:rStyle w:val="Char3"/>
          <w:rtl/>
        </w:rPr>
        <w:t xml:space="preserve"> </w:t>
      </w:r>
      <w:r w:rsidRPr="00DF7CAE">
        <w:rPr>
          <w:rStyle w:val="Char3"/>
          <w:rFonts w:hint="eastAsia"/>
          <w:rtl/>
        </w:rPr>
        <w:t>مِمَّا</w:t>
      </w:r>
      <w:r w:rsidRPr="00DF7CAE">
        <w:rPr>
          <w:rStyle w:val="Char3"/>
          <w:rtl/>
        </w:rPr>
        <w:t xml:space="preserve"> </w:t>
      </w:r>
      <w:r w:rsidRPr="00DF7CAE">
        <w:rPr>
          <w:rStyle w:val="Char3"/>
          <w:rFonts w:hint="eastAsia"/>
          <w:rtl/>
        </w:rPr>
        <w:t>رَزَق</w:t>
      </w:r>
      <w:r w:rsidRPr="00DF7CAE">
        <w:rPr>
          <w:rStyle w:val="Char3"/>
          <w:rFonts w:hint="cs"/>
          <w:rtl/>
        </w:rPr>
        <w:t>ۡ</w:t>
      </w:r>
      <w:r w:rsidRPr="00DF7CAE">
        <w:rPr>
          <w:rStyle w:val="Char3"/>
          <w:rFonts w:hint="eastAsia"/>
          <w:rtl/>
        </w:rPr>
        <w:t>نَ</w:t>
      </w:r>
      <w:r w:rsidRPr="00DF7CAE">
        <w:rPr>
          <w:rStyle w:val="Char3"/>
          <w:rFonts w:hint="cs"/>
          <w:rtl/>
        </w:rPr>
        <w:t>ٰ</w:t>
      </w:r>
      <w:r w:rsidRPr="00DF7CAE">
        <w:rPr>
          <w:rStyle w:val="Char3"/>
          <w:rFonts w:hint="eastAsia"/>
          <w:rtl/>
        </w:rPr>
        <w:t>كُم</w:t>
      </w:r>
      <w:r w:rsidRPr="00995B26">
        <w:rPr>
          <w:rFonts w:ascii="Abo-thar" w:hAnsi="Abo-thar" w:cs="Traditional Arabic" w:hint="cs"/>
          <w:sz w:val="28"/>
          <w:rtl/>
        </w:rPr>
        <w:t>﴾</w:t>
      </w:r>
      <w:r w:rsidRPr="00995B26">
        <w:rPr>
          <w:rFonts w:ascii="Abo-thar" w:hAnsi="Abo-thar" w:hint="cs"/>
          <w:sz w:val="28"/>
          <w:rtl/>
        </w:rPr>
        <w:t xml:space="preserve"> </w:t>
      </w:r>
      <w:r w:rsidR="005C664D" w:rsidRPr="00FC12FD">
        <w:rPr>
          <w:rStyle w:val="Char2"/>
          <w:rtl/>
        </w:rPr>
        <w:t>[البقرة/254]</w:t>
      </w:r>
      <w:r w:rsidR="005C664D" w:rsidRPr="00995B26">
        <w:rPr>
          <w:rFonts w:ascii="Abo-thar" w:hAnsi="Abo-thar" w:hint="cs"/>
          <w:sz w:val="28"/>
          <w:rtl/>
        </w:rPr>
        <w:t xml:space="preserve"> </w:t>
      </w:r>
      <w:r w:rsidRPr="00995B26">
        <w:rPr>
          <w:rFonts w:ascii="Abo-thar" w:hAnsi="Abo-thar" w:cs="Traditional Arabic" w:hint="cs"/>
          <w:sz w:val="28"/>
          <w:rtl/>
        </w:rPr>
        <w:t>﴿</w:t>
      </w:r>
      <w:r w:rsidRPr="00DF7CAE">
        <w:rPr>
          <w:rStyle w:val="Char3"/>
          <w:rFonts w:hint="eastAsia"/>
          <w:rtl/>
        </w:rPr>
        <w:t>أَنفِقُواْ</w:t>
      </w:r>
      <w:r w:rsidRPr="00DF7CAE">
        <w:rPr>
          <w:rStyle w:val="Char3"/>
          <w:rtl/>
        </w:rPr>
        <w:t xml:space="preserve"> </w:t>
      </w:r>
      <w:r w:rsidRPr="00DF7CAE">
        <w:rPr>
          <w:rStyle w:val="Char3"/>
          <w:rFonts w:hint="eastAsia"/>
          <w:rtl/>
        </w:rPr>
        <w:t>مِن</w:t>
      </w:r>
      <w:r w:rsidRPr="00DF7CAE">
        <w:rPr>
          <w:rStyle w:val="Char3"/>
          <w:rtl/>
        </w:rPr>
        <w:t xml:space="preserve"> </w:t>
      </w:r>
      <w:r w:rsidRPr="00DF7CAE">
        <w:rPr>
          <w:rStyle w:val="Char3"/>
          <w:rFonts w:hint="eastAsia"/>
          <w:rtl/>
        </w:rPr>
        <w:t>طَيِّبَ</w:t>
      </w:r>
      <w:r w:rsidRPr="00DF7CAE">
        <w:rPr>
          <w:rStyle w:val="Char3"/>
          <w:rFonts w:hint="cs"/>
          <w:rtl/>
        </w:rPr>
        <w:t>ٰ</w:t>
      </w:r>
      <w:r w:rsidRPr="00DF7CAE">
        <w:rPr>
          <w:rStyle w:val="Char3"/>
          <w:rFonts w:hint="eastAsia"/>
          <w:rtl/>
        </w:rPr>
        <w:t>تِ</w:t>
      </w:r>
      <w:r w:rsidRPr="00DF7CAE">
        <w:rPr>
          <w:rStyle w:val="Char3"/>
          <w:rtl/>
        </w:rPr>
        <w:t xml:space="preserve"> </w:t>
      </w:r>
      <w:r w:rsidRPr="00DF7CAE">
        <w:rPr>
          <w:rStyle w:val="Char3"/>
          <w:rFonts w:hint="eastAsia"/>
          <w:rtl/>
        </w:rPr>
        <w:t>مَا</w:t>
      </w:r>
      <w:r w:rsidRPr="00DF7CAE">
        <w:rPr>
          <w:rStyle w:val="Char3"/>
          <w:rtl/>
        </w:rPr>
        <w:t xml:space="preserve"> </w:t>
      </w:r>
      <w:r w:rsidRPr="00DF7CAE">
        <w:rPr>
          <w:rStyle w:val="Char3"/>
          <w:rFonts w:hint="eastAsia"/>
          <w:rtl/>
        </w:rPr>
        <w:t>كَسَب</w:t>
      </w:r>
      <w:r w:rsidRPr="00DF7CAE">
        <w:rPr>
          <w:rStyle w:val="Char3"/>
          <w:rFonts w:hint="cs"/>
          <w:rtl/>
        </w:rPr>
        <w:t>ۡ</w:t>
      </w:r>
      <w:r w:rsidRPr="00DF7CAE">
        <w:rPr>
          <w:rStyle w:val="Char3"/>
          <w:rFonts w:hint="eastAsia"/>
          <w:rtl/>
        </w:rPr>
        <w:t>تُم</w:t>
      </w:r>
      <w:r w:rsidRPr="00DF7CAE">
        <w:rPr>
          <w:rStyle w:val="Char3"/>
          <w:rFonts w:hint="cs"/>
          <w:rtl/>
        </w:rPr>
        <w:t>ۡ</w:t>
      </w:r>
      <w:r w:rsidRPr="00DF7CAE">
        <w:rPr>
          <w:rStyle w:val="Char3"/>
          <w:rtl/>
        </w:rPr>
        <w:t xml:space="preserve"> </w:t>
      </w:r>
      <w:r w:rsidRPr="00DF7CAE">
        <w:rPr>
          <w:rStyle w:val="Char3"/>
          <w:rFonts w:hint="eastAsia"/>
          <w:rtl/>
        </w:rPr>
        <w:t>وَمِمَّا</w:t>
      </w:r>
      <w:r w:rsidRPr="00DF7CAE">
        <w:rPr>
          <w:rStyle w:val="Char3"/>
          <w:rFonts w:hint="cs"/>
          <w:rtl/>
        </w:rPr>
        <w:t>ٓ</w:t>
      </w:r>
      <w:r w:rsidRPr="00DF7CAE">
        <w:rPr>
          <w:rStyle w:val="Char3"/>
          <w:rtl/>
        </w:rPr>
        <w:t xml:space="preserve"> </w:t>
      </w:r>
      <w:r w:rsidRPr="00DF7CAE">
        <w:rPr>
          <w:rStyle w:val="Char3"/>
          <w:rFonts w:hint="eastAsia"/>
          <w:rtl/>
        </w:rPr>
        <w:t>أَخ</w:t>
      </w:r>
      <w:r w:rsidRPr="00DF7CAE">
        <w:rPr>
          <w:rStyle w:val="Char3"/>
          <w:rFonts w:hint="cs"/>
          <w:rtl/>
        </w:rPr>
        <w:t>ۡ</w:t>
      </w:r>
      <w:r w:rsidRPr="00DF7CAE">
        <w:rPr>
          <w:rStyle w:val="Char3"/>
          <w:rFonts w:hint="eastAsia"/>
          <w:rtl/>
        </w:rPr>
        <w:t>رَج</w:t>
      </w:r>
      <w:r w:rsidRPr="00DF7CAE">
        <w:rPr>
          <w:rStyle w:val="Char3"/>
          <w:rFonts w:hint="cs"/>
          <w:rtl/>
        </w:rPr>
        <w:t>ۡ</w:t>
      </w:r>
      <w:r w:rsidRPr="00DF7CAE">
        <w:rPr>
          <w:rStyle w:val="Char3"/>
          <w:rFonts w:hint="eastAsia"/>
          <w:rtl/>
        </w:rPr>
        <w:t>نَا</w:t>
      </w:r>
      <w:r w:rsidRPr="00DF7CAE">
        <w:rPr>
          <w:rStyle w:val="Char3"/>
          <w:rtl/>
        </w:rPr>
        <w:t xml:space="preserve"> </w:t>
      </w:r>
      <w:r w:rsidRPr="00DF7CAE">
        <w:rPr>
          <w:rStyle w:val="Char3"/>
          <w:rFonts w:hint="eastAsia"/>
          <w:rtl/>
        </w:rPr>
        <w:t>لَكُم</w:t>
      </w:r>
      <w:r w:rsidRPr="00DF7CAE">
        <w:rPr>
          <w:rStyle w:val="Char3"/>
          <w:rtl/>
        </w:rPr>
        <w:t xml:space="preserve"> </w:t>
      </w:r>
      <w:r w:rsidRPr="00DF7CAE">
        <w:rPr>
          <w:rStyle w:val="Char3"/>
          <w:rFonts w:hint="eastAsia"/>
          <w:rtl/>
        </w:rPr>
        <w:t>مِّنَ</w:t>
      </w:r>
      <w:r w:rsidRPr="00DF7CAE">
        <w:rPr>
          <w:rStyle w:val="Char3"/>
          <w:rtl/>
        </w:rPr>
        <w:t xml:space="preserve"> </w:t>
      </w:r>
      <w:r w:rsidRPr="00DF7CAE">
        <w:rPr>
          <w:rStyle w:val="Char3"/>
          <w:rFonts w:hint="cs"/>
          <w:rtl/>
        </w:rPr>
        <w:t>ٱ</w:t>
      </w:r>
      <w:r w:rsidRPr="00DF7CAE">
        <w:rPr>
          <w:rStyle w:val="Char3"/>
          <w:rFonts w:hint="eastAsia"/>
          <w:rtl/>
        </w:rPr>
        <w:t>ل</w:t>
      </w:r>
      <w:r w:rsidRPr="00DF7CAE">
        <w:rPr>
          <w:rStyle w:val="Char3"/>
          <w:rFonts w:hint="cs"/>
          <w:rtl/>
        </w:rPr>
        <w:t>ۡ</w:t>
      </w:r>
      <w:r w:rsidRPr="00DF7CAE">
        <w:rPr>
          <w:rStyle w:val="Char3"/>
          <w:rFonts w:hint="eastAsia"/>
          <w:rtl/>
        </w:rPr>
        <w:t>أَر</w:t>
      </w:r>
      <w:r w:rsidRPr="00DF7CAE">
        <w:rPr>
          <w:rStyle w:val="Char3"/>
          <w:rFonts w:hint="cs"/>
          <w:rtl/>
        </w:rPr>
        <w:t>ۡ</w:t>
      </w:r>
      <w:r w:rsidRPr="00DF7CAE">
        <w:rPr>
          <w:rStyle w:val="Char3"/>
          <w:rFonts w:hint="eastAsia"/>
          <w:rtl/>
        </w:rPr>
        <w:t>ضِ</w:t>
      </w:r>
      <w:r w:rsidRPr="00995B26">
        <w:rPr>
          <w:rFonts w:ascii="Abo-thar" w:hAnsi="Abo-thar" w:cs="Traditional Arabic" w:hint="cs"/>
          <w:sz w:val="28"/>
          <w:rtl/>
        </w:rPr>
        <w:t>﴾</w:t>
      </w:r>
      <w:r w:rsidRPr="00995B26">
        <w:rPr>
          <w:rFonts w:ascii="Abo-thar" w:hAnsi="Abo-thar" w:hint="cs"/>
          <w:sz w:val="28"/>
          <w:rtl/>
        </w:rPr>
        <w:t xml:space="preserve"> </w:t>
      </w:r>
      <w:r w:rsidR="005C664D" w:rsidRPr="00FC12FD">
        <w:rPr>
          <w:rStyle w:val="Char2"/>
          <w:rtl/>
        </w:rPr>
        <w:t xml:space="preserve"> [البقرة/267]</w:t>
      </w:r>
      <w:r w:rsidR="00147857" w:rsidRPr="00995B26">
        <w:rPr>
          <w:rFonts w:ascii="Abo-thar" w:hAnsi="Abo-thar"/>
          <w:sz w:val="28"/>
          <w:rtl/>
        </w:rPr>
        <w:t xml:space="preserve"> </w:t>
      </w:r>
      <w:r w:rsidRPr="00995B26">
        <w:rPr>
          <w:rFonts w:ascii="Abo-thar" w:hAnsi="Abo-thar" w:cs="Traditional Arabic" w:hint="cs"/>
          <w:sz w:val="28"/>
          <w:rtl/>
        </w:rPr>
        <w:t>﴿</w:t>
      </w:r>
      <w:r w:rsidRPr="00DF7CAE">
        <w:rPr>
          <w:rStyle w:val="Char3"/>
          <w:rFonts w:hint="eastAsia"/>
          <w:rtl/>
        </w:rPr>
        <w:t>وَءَاتُوهُم</w:t>
      </w:r>
      <w:r w:rsidRPr="00DF7CAE">
        <w:rPr>
          <w:rStyle w:val="Char3"/>
          <w:rtl/>
        </w:rPr>
        <w:t xml:space="preserve"> </w:t>
      </w:r>
      <w:r w:rsidRPr="00DF7CAE">
        <w:rPr>
          <w:rStyle w:val="Char3"/>
          <w:rFonts w:hint="eastAsia"/>
          <w:rtl/>
        </w:rPr>
        <w:t>مِّن</w:t>
      </w:r>
      <w:r w:rsidRPr="00DF7CAE">
        <w:rPr>
          <w:rStyle w:val="Char3"/>
          <w:rtl/>
        </w:rPr>
        <w:t xml:space="preserve"> </w:t>
      </w:r>
      <w:r w:rsidRPr="00DF7CAE">
        <w:rPr>
          <w:rStyle w:val="Char3"/>
          <w:rFonts w:hint="eastAsia"/>
          <w:rtl/>
        </w:rPr>
        <w:t>مَّالِ</w:t>
      </w:r>
      <w:r w:rsidRPr="00DF7CAE">
        <w:rPr>
          <w:rStyle w:val="Char3"/>
          <w:rtl/>
        </w:rPr>
        <w:t xml:space="preserve"> </w:t>
      </w:r>
      <w:r w:rsidRPr="00DF7CAE">
        <w:rPr>
          <w:rStyle w:val="Char3"/>
          <w:rFonts w:hint="cs"/>
          <w:rtl/>
        </w:rPr>
        <w:t>ٱ</w:t>
      </w:r>
      <w:r w:rsidRPr="00DF7CAE">
        <w:rPr>
          <w:rStyle w:val="Char3"/>
          <w:rFonts w:hint="eastAsia"/>
          <w:rtl/>
        </w:rPr>
        <w:t>للَّهِ</w:t>
      </w:r>
      <w:r w:rsidRPr="00DF7CAE">
        <w:rPr>
          <w:rStyle w:val="Char3"/>
          <w:rtl/>
        </w:rPr>
        <w:t xml:space="preserve"> </w:t>
      </w:r>
      <w:r w:rsidRPr="00DF7CAE">
        <w:rPr>
          <w:rStyle w:val="Char3"/>
          <w:rFonts w:hint="cs"/>
          <w:rtl/>
        </w:rPr>
        <w:t>ٱ</w:t>
      </w:r>
      <w:r w:rsidRPr="00DF7CAE">
        <w:rPr>
          <w:rStyle w:val="Char3"/>
          <w:rFonts w:hint="eastAsia"/>
          <w:rtl/>
        </w:rPr>
        <w:t>لَّذِي</w:t>
      </w:r>
      <w:r w:rsidRPr="00DF7CAE">
        <w:rPr>
          <w:rStyle w:val="Char3"/>
          <w:rFonts w:hint="cs"/>
          <w:rtl/>
        </w:rPr>
        <w:t>ٓ</w:t>
      </w:r>
      <w:r w:rsidRPr="00DF7CAE">
        <w:rPr>
          <w:rStyle w:val="Char3"/>
          <w:rtl/>
        </w:rPr>
        <w:t xml:space="preserve"> </w:t>
      </w:r>
      <w:r w:rsidRPr="00DF7CAE">
        <w:rPr>
          <w:rStyle w:val="Char3"/>
          <w:rFonts w:hint="eastAsia"/>
          <w:rtl/>
        </w:rPr>
        <w:t>ءَاتَى</w:t>
      </w:r>
      <w:r w:rsidRPr="00DF7CAE">
        <w:rPr>
          <w:rStyle w:val="Char3"/>
          <w:rFonts w:hint="cs"/>
          <w:rtl/>
        </w:rPr>
        <w:t>ٰ</w:t>
      </w:r>
      <w:r w:rsidRPr="00DF7CAE">
        <w:rPr>
          <w:rStyle w:val="Char3"/>
          <w:rFonts w:hint="eastAsia"/>
          <w:rtl/>
        </w:rPr>
        <w:t>كُم</w:t>
      </w:r>
      <w:r w:rsidRPr="00DF7CAE">
        <w:rPr>
          <w:rStyle w:val="Char3"/>
          <w:rFonts w:hint="cs"/>
          <w:rtl/>
        </w:rPr>
        <w:t>ۡ</w:t>
      </w:r>
      <w:r w:rsidRPr="00995B26">
        <w:rPr>
          <w:rFonts w:ascii="Abo-thar" w:hAnsi="Abo-thar" w:cs="Traditional Arabic" w:hint="cs"/>
          <w:sz w:val="28"/>
          <w:rtl/>
        </w:rPr>
        <w:t>﴾</w:t>
      </w:r>
      <w:r w:rsidR="005C664D" w:rsidRPr="00995B26">
        <w:rPr>
          <w:rFonts w:ascii="Abo-thar" w:hAnsi="Abo-thar"/>
          <w:sz w:val="28"/>
          <w:rtl/>
        </w:rPr>
        <w:t xml:space="preserve"> </w:t>
      </w:r>
      <w:r w:rsidR="005C664D" w:rsidRPr="00FC12FD">
        <w:rPr>
          <w:rStyle w:val="Char2"/>
          <w:rtl/>
        </w:rPr>
        <w:t>[النور/33]</w:t>
      </w:r>
      <w:r w:rsidR="00217AB4" w:rsidRPr="00995B26">
        <w:rPr>
          <w:rFonts w:ascii="Abo-thar" w:hAnsi="Abo-thar"/>
          <w:sz w:val="28"/>
          <w:rtl/>
        </w:rPr>
        <w:t>.</w:t>
      </w:r>
    </w:p>
    <w:p w:rsidR="005C664D" w:rsidRPr="00995B26" w:rsidRDefault="005C664D" w:rsidP="003F3B94">
      <w:pPr>
        <w:pStyle w:val="a0"/>
        <w:rPr>
          <w:rFonts w:hint="cs"/>
          <w:rtl/>
        </w:rPr>
      </w:pPr>
      <w:r w:rsidRPr="003F3B94">
        <w:rPr>
          <w:rFonts w:ascii="Abo-thar" w:hAnsi="Abo-thar" w:hint="cs"/>
          <w:sz w:val="28"/>
          <w:rtl/>
        </w:rPr>
        <w:t>وكان الله ورسوله هما الآخذان كما يقول سبحانه</w:t>
      </w:r>
      <w:r w:rsidR="00217AB4" w:rsidRPr="003F3B94">
        <w:rPr>
          <w:rFonts w:ascii="Abo-thar" w:hAnsi="Abo-thar" w:hint="cs"/>
          <w:sz w:val="28"/>
          <w:rtl/>
        </w:rPr>
        <w:t>:</w:t>
      </w:r>
      <w:r w:rsidR="00E77B3F" w:rsidRPr="003F3B94">
        <w:rPr>
          <w:rFonts w:ascii="Abo-thar" w:hAnsi="Abo-thar" w:hint="cs"/>
          <w:sz w:val="28"/>
          <w:rtl/>
        </w:rPr>
        <w:t xml:space="preserve"> </w:t>
      </w:r>
      <w:r w:rsidR="00E77B3F" w:rsidRPr="00995B26">
        <w:rPr>
          <w:rFonts w:ascii="Abo-thar" w:hAnsi="Abo-thar" w:cs="Traditional Arabic" w:hint="cs"/>
          <w:sz w:val="28"/>
          <w:rtl/>
        </w:rPr>
        <w:t>﴿</w:t>
      </w:r>
      <w:r w:rsidR="00E77B3F" w:rsidRPr="00DF7CAE">
        <w:rPr>
          <w:rStyle w:val="Char3"/>
          <w:rFonts w:hint="eastAsia"/>
          <w:rtl/>
        </w:rPr>
        <w:t>يَق</w:t>
      </w:r>
      <w:r w:rsidR="00E77B3F" w:rsidRPr="00DF7CAE">
        <w:rPr>
          <w:rStyle w:val="Char3"/>
          <w:rFonts w:hint="cs"/>
          <w:rtl/>
        </w:rPr>
        <w:t>ۡ</w:t>
      </w:r>
      <w:r w:rsidR="00E77B3F" w:rsidRPr="00DF7CAE">
        <w:rPr>
          <w:rStyle w:val="Char3"/>
          <w:rFonts w:hint="eastAsia"/>
          <w:rtl/>
        </w:rPr>
        <w:t>بَلُ</w:t>
      </w:r>
      <w:r w:rsidR="00E77B3F" w:rsidRPr="00DF7CAE">
        <w:rPr>
          <w:rStyle w:val="Char3"/>
          <w:rtl/>
        </w:rPr>
        <w:t xml:space="preserve"> </w:t>
      </w:r>
      <w:r w:rsidR="00E77B3F" w:rsidRPr="00DF7CAE">
        <w:rPr>
          <w:rStyle w:val="Char3"/>
          <w:rFonts w:hint="cs"/>
          <w:rtl/>
        </w:rPr>
        <w:t>ٱ</w:t>
      </w:r>
      <w:r w:rsidR="00E77B3F" w:rsidRPr="00DF7CAE">
        <w:rPr>
          <w:rStyle w:val="Char3"/>
          <w:rFonts w:hint="eastAsia"/>
          <w:rtl/>
        </w:rPr>
        <w:t>لتَّو</w:t>
      </w:r>
      <w:r w:rsidR="00E77B3F" w:rsidRPr="00DF7CAE">
        <w:rPr>
          <w:rStyle w:val="Char3"/>
          <w:rFonts w:hint="cs"/>
          <w:rtl/>
        </w:rPr>
        <w:t>ۡ</w:t>
      </w:r>
      <w:r w:rsidR="00E77B3F" w:rsidRPr="00DF7CAE">
        <w:rPr>
          <w:rStyle w:val="Char3"/>
          <w:rFonts w:hint="eastAsia"/>
          <w:rtl/>
        </w:rPr>
        <w:t>بَةَ</w:t>
      </w:r>
      <w:r w:rsidR="00E77B3F" w:rsidRPr="00DF7CAE">
        <w:rPr>
          <w:rStyle w:val="Char3"/>
          <w:rtl/>
        </w:rPr>
        <w:t xml:space="preserve"> </w:t>
      </w:r>
      <w:r w:rsidR="00E77B3F" w:rsidRPr="00DF7CAE">
        <w:rPr>
          <w:rStyle w:val="Char3"/>
          <w:rFonts w:hint="eastAsia"/>
          <w:rtl/>
        </w:rPr>
        <w:t>عَن</w:t>
      </w:r>
      <w:r w:rsidR="00E77B3F" w:rsidRPr="00DF7CAE">
        <w:rPr>
          <w:rStyle w:val="Char3"/>
          <w:rFonts w:hint="cs"/>
          <w:rtl/>
        </w:rPr>
        <w:t>ۡ</w:t>
      </w:r>
      <w:r w:rsidR="00E77B3F" w:rsidRPr="00DF7CAE">
        <w:rPr>
          <w:rStyle w:val="Char3"/>
          <w:rtl/>
        </w:rPr>
        <w:t xml:space="preserve"> </w:t>
      </w:r>
      <w:r w:rsidR="00E77B3F" w:rsidRPr="00DF7CAE">
        <w:rPr>
          <w:rStyle w:val="Char3"/>
          <w:rFonts w:hint="eastAsia"/>
          <w:rtl/>
        </w:rPr>
        <w:t>عِبَادِهِ</w:t>
      </w:r>
      <w:r w:rsidR="00E77B3F" w:rsidRPr="00DF7CAE">
        <w:rPr>
          <w:rStyle w:val="Char3"/>
          <w:rFonts w:hint="cs"/>
          <w:rtl/>
        </w:rPr>
        <w:t>ۦ</w:t>
      </w:r>
      <w:r w:rsidR="00E77B3F" w:rsidRPr="00DF7CAE">
        <w:rPr>
          <w:rStyle w:val="Char3"/>
          <w:rtl/>
        </w:rPr>
        <w:t xml:space="preserve"> </w:t>
      </w:r>
      <w:r w:rsidR="00E77B3F" w:rsidRPr="00DF7CAE">
        <w:rPr>
          <w:rStyle w:val="Char3"/>
          <w:rFonts w:hint="eastAsia"/>
          <w:rtl/>
        </w:rPr>
        <w:t>وَيَأ</w:t>
      </w:r>
      <w:r w:rsidR="00E77B3F" w:rsidRPr="00DF7CAE">
        <w:rPr>
          <w:rStyle w:val="Char3"/>
          <w:rFonts w:hint="cs"/>
          <w:rtl/>
        </w:rPr>
        <w:t>ۡ</w:t>
      </w:r>
      <w:r w:rsidR="00E77B3F" w:rsidRPr="00DF7CAE">
        <w:rPr>
          <w:rStyle w:val="Char3"/>
          <w:rFonts w:hint="eastAsia"/>
          <w:rtl/>
        </w:rPr>
        <w:t>خُذُ</w:t>
      </w:r>
      <w:r w:rsidR="00E77B3F" w:rsidRPr="00DF7CAE">
        <w:rPr>
          <w:rStyle w:val="Char3"/>
          <w:rtl/>
        </w:rPr>
        <w:t xml:space="preserve"> </w:t>
      </w:r>
      <w:r w:rsidR="00E77B3F" w:rsidRPr="00DF7CAE">
        <w:rPr>
          <w:rStyle w:val="Char3"/>
          <w:rFonts w:hint="cs"/>
          <w:rtl/>
        </w:rPr>
        <w:t>ٱ</w:t>
      </w:r>
      <w:r w:rsidR="00E77B3F" w:rsidRPr="00DF7CAE">
        <w:rPr>
          <w:rStyle w:val="Char3"/>
          <w:rFonts w:hint="eastAsia"/>
          <w:rtl/>
        </w:rPr>
        <w:t>لصَّدَقَ</w:t>
      </w:r>
      <w:r w:rsidR="00E77B3F" w:rsidRPr="00DF7CAE">
        <w:rPr>
          <w:rStyle w:val="Char3"/>
          <w:rFonts w:hint="cs"/>
          <w:rtl/>
        </w:rPr>
        <w:t>ٰ</w:t>
      </w:r>
      <w:r w:rsidR="00E77B3F" w:rsidRPr="00DF7CAE">
        <w:rPr>
          <w:rStyle w:val="Char3"/>
          <w:rFonts w:hint="eastAsia"/>
          <w:rtl/>
        </w:rPr>
        <w:t>تِ</w:t>
      </w:r>
      <w:r w:rsidR="00E77B3F" w:rsidRPr="00995B26">
        <w:rPr>
          <w:rFonts w:ascii="Abo-thar" w:hAnsi="Abo-thar" w:cs="Traditional Arabic" w:hint="cs"/>
          <w:sz w:val="28"/>
          <w:rtl/>
        </w:rPr>
        <w:t>﴾</w:t>
      </w:r>
      <w:r w:rsidRPr="00995B26">
        <w:rPr>
          <w:rFonts w:ascii="Abo-thar" w:hAnsi="Abo-thar"/>
          <w:sz w:val="28"/>
          <w:rtl/>
        </w:rPr>
        <w:t xml:space="preserve"> </w:t>
      </w:r>
      <w:r w:rsidRPr="00FC12FD">
        <w:rPr>
          <w:rStyle w:val="Char2"/>
          <w:rtl/>
        </w:rPr>
        <w:t>[التوبة/104]</w:t>
      </w:r>
      <w:r w:rsidRPr="00995B26">
        <w:rPr>
          <w:rFonts w:ascii="Abo-thar" w:hAnsi="Abo-thar"/>
          <w:sz w:val="28"/>
          <w:rtl/>
        </w:rPr>
        <w:t xml:space="preserve"> </w:t>
      </w:r>
      <w:r w:rsidRPr="00995B26">
        <w:rPr>
          <w:rFonts w:ascii="Abo-thar" w:hAnsi="Abo-thar" w:hint="cs"/>
          <w:sz w:val="28"/>
          <w:rtl/>
        </w:rPr>
        <w:t>ويقول</w:t>
      </w:r>
      <w:r w:rsidR="00217AB4" w:rsidRPr="00995B26">
        <w:rPr>
          <w:rFonts w:ascii="Abo-thar" w:hAnsi="Abo-thar" w:hint="cs"/>
          <w:sz w:val="28"/>
          <w:rtl/>
        </w:rPr>
        <w:t>:</w:t>
      </w:r>
      <w:r w:rsidR="00E77B3F" w:rsidRPr="00995B26">
        <w:rPr>
          <w:rFonts w:ascii="Abo-thar" w:hAnsi="Abo-thar" w:hint="cs"/>
          <w:sz w:val="28"/>
          <w:rtl/>
        </w:rPr>
        <w:t xml:space="preserve"> </w:t>
      </w:r>
      <w:r w:rsidR="00E77B3F" w:rsidRPr="00995B26">
        <w:rPr>
          <w:rFonts w:ascii="Abo-thar" w:hAnsi="Abo-thar" w:cs="Traditional Arabic" w:hint="cs"/>
          <w:sz w:val="28"/>
          <w:rtl/>
        </w:rPr>
        <w:t>﴿</w:t>
      </w:r>
      <w:r w:rsidR="00E77B3F" w:rsidRPr="00DF7CAE">
        <w:rPr>
          <w:rStyle w:val="Char3"/>
          <w:rFonts w:hint="eastAsia"/>
          <w:rtl/>
        </w:rPr>
        <w:t>خُذ</w:t>
      </w:r>
      <w:r w:rsidR="00E77B3F" w:rsidRPr="00DF7CAE">
        <w:rPr>
          <w:rStyle w:val="Char3"/>
          <w:rFonts w:hint="cs"/>
          <w:rtl/>
        </w:rPr>
        <w:t>ۡ</w:t>
      </w:r>
      <w:r w:rsidR="00E77B3F" w:rsidRPr="00DF7CAE">
        <w:rPr>
          <w:rStyle w:val="Char3"/>
          <w:rtl/>
        </w:rPr>
        <w:t xml:space="preserve"> </w:t>
      </w:r>
      <w:r w:rsidR="00E77B3F" w:rsidRPr="00DF7CAE">
        <w:rPr>
          <w:rStyle w:val="Char3"/>
          <w:rFonts w:hint="eastAsia"/>
          <w:rtl/>
        </w:rPr>
        <w:t>مِن</w:t>
      </w:r>
      <w:r w:rsidR="00E77B3F" w:rsidRPr="00DF7CAE">
        <w:rPr>
          <w:rStyle w:val="Char3"/>
          <w:rFonts w:hint="cs"/>
          <w:rtl/>
        </w:rPr>
        <w:t>ۡ</w:t>
      </w:r>
      <w:r w:rsidR="00E77B3F" w:rsidRPr="00DF7CAE">
        <w:rPr>
          <w:rStyle w:val="Char3"/>
          <w:rtl/>
        </w:rPr>
        <w:t xml:space="preserve"> </w:t>
      </w:r>
      <w:r w:rsidR="00E77B3F" w:rsidRPr="00DF7CAE">
        <w:rPr>
          <w:rStyle w:val="Char3"/>
          <w:rFonts w:hint="eastAsia"/>
          <w:rtl/>
        </w:rPr>
        <w:t>أَم</w:t>
      </w:r>
      <w:r w:rsidR="00E77B3F" w:rsidRPr="00DF7CAE">
        <w:rPr>
          <w:rStyle w:val="Char3"/>
          <w:rFonts w:hint="cs"/>
          <w:rtl/>
        </w:rPr>
        <w:t>ۡ</w:t>
      </w:r>
      <w:r w:rsidR="00E77B3F" w:rsidRPr="00DF7CAE">
        <w:rPr>
          <w:rStyle w:val="Char3"/>
          <w:rFonts w:hint="eastAsia"/>
          <w:rtl/>
        </w:rPr>
        <w:t>وَ</w:t>
      </w:r>
      <w:r w:rsidR="00E77B3F" w:rsidRPr="00DF7CAE">
        <w:rPr>
          <w:rStyle w:val="Char3"/>
          <w:rFonts w:hint="cs"/>
          <w:rtl/>
        </w:rPr>
        <w:t>ٰ</w:t>
      </w:r>
      <w:r w:rsidR="00E77B3F" w:rsidRPr="00DF7CAE">
        <w:rPr>
          <w:rStyle w:val="Char3"/>
          <w:rFonts w:hint="eastAsia"/>
          <w:rtl/>
        </w:rPr>
        <w:t>لِهِم</w:t>
      </w:r>
      <w:r w:rsidR="00E77B3F" w:rsidRPr="00DF7CAE">
        <w:rPr>
          <w:rStyle w:val="Char3"/>
          <w:rFonts w:hint="cs"/>
          <w:rtl/>
        </w:rPr>
        <w:t>ۡ</w:t>
      </w:r>
      <w:r w:rsidR="00E77B3F" w:rsidRPr="00DF7CAE">
        <w:rPr>
          <w:rStyle w:val="Char3"/>
          <w:rtl/>
        </w:rPr>
        <w:t xml:space="preserve"> </w:t>
      </w:r>
      <w:r w:rsidR="00E77B3F" w:rsidRPr="00DF7CAE">
        <w:rPr>
          <w:rStyle w:val="Char3"/>
          <w:rFonts w:hint="eastAsia"/>
          <w:rtl/>
        </w:rPr>
        <w:t>صَدَقَة</w:t>
      </w:r>
      <w:r w:rsidR="00E77B3F" w:rsidRPr="00DF7CAE">
        <w:rPr>
          <w:rStyle w:val="Char3"/>
          <w:rFonts w:hint="cs"/>
          <w:rtl/>
        </w:rPr>
        <w:t>ٗ</w:t>
      </w:r>
      <w:r w:rsidR="00E77B3F" w:rsidRPr="00995B26">
        <w:rPr>
          <w:rFonts w:ascii="Abo-thar" w:hAnsi="Abo-thar" w:cs="Traditional Arabic" w:hint="cs"/>
          <w:sz w:val="28"/>
          <w:rtl/>
        </w:rPr>
        <w:t>﴾</w:t>
      </w:r>
      <w:r w:rsidRPr="00995B26">
        <w:rPr>
          <w:rFonts w:ascii="Abo-thar" w:hAnsi="Abo-thar"/>
          <w:sz w:val="28"/>
          <w:rtl/>
        </w:rPr>
        <w:t xml:space="preserve"> </w:t>
      </w:r>
      <w:r w:rsidRPr="00FC12FD">
        <w:rPr>
          <w:rStyle w:val="Char2"/>
          <w:rtl/>
        </w:rPr>
        <w:t>[التوبة/103]</w:t>
      </w:r>
      <w:r w:rsidR="00217AB4" w:rsidRPr="00FC12FD">
        <w:rPr>
          <w:rStyle w:val="Char2"/>
          <w:rFonts w:hint="cs"/>
          <w:rtl/>
        </w:rPr>
        <w:t>.</w:t>
      </w:r>
    </w:p>
    <w:p w:rsidR="005C664D" w:rsidRPr="003F3B94" w:rsidRDefault="005C664D" w:rsidP="003F3B94">
      <w:pPr>
        <w:pStyle w:val="a0"/>
        <w:rPr>
          <w:rFonts w:hint="cs"/>
          <w:rtl/>
        </w:rPr>
      </w:pPr>
      <w:r w:rsidRPr="003F3B94">
        <w:rPr>
          <w:rFonts w:ascii="Abo-thar" w:hAnsi="Abo-thar" w:hint="cs"/>
          <w:sz w:val="28"/>
          <w:rtl/>
        </w:rPr>
        <w:t>أما إذا رأينا عبارات فيها الأمر بأداء الخمس في بعض رسائل رسول الله</w:t>
      </w:r>
      <w:r w:rsidR="00147857" w:rsidRPr="003F3B94">
        <w:rPr>
          <w:rFonts w:ascii="Abo-thar" w:hAnsi="Abo-thar" w:hint="cs"/>
          <w:sz w:val="28"/>
          <w:rtl/>
        </w:rPr>
        <w:t xml:space="preserve"> </w:t>
      </w:r>
      <w:r w:rsidR="003C7AEB" w:rsidRPr="003C7AEB">
        <w:rPr>
          <w:rFonts w:ascii="Abo-thar" w:hAnsi="Abo-thar" w:cs="CTraditional Arabic"/>
          <w:sz w:val="28"/>
          <w:rtl/>
        </w:rPr>
        <w:t>ص</w:t>
      </w:r>
      <w:r w:rsidR="00147857" w:rsidRPr="003F3B94">
        <w:rPr>
          <w:rFonts w:ascii="Abo-thar" w:hAnsi="Abo-thar"/>
          <w:sz w:val="28"/>
          <w:rtl/>
        </w:rPr>
        <w:t xml:space="preserve"> </w:t>
      </w:r>
      <w:r w:rsidRPr="003F3B94">
        <w:rPr>
          <w:rFonts w:ascii="Abo-thar" w:hAnsi="Abo-thar" w:hint="cs"/>
          <w:sz w:val="28"/>
          <w:rtl/>
        </w:rPr>
        <w:t xml:space="preserve">التي كتبها إلى رؤساء القبائل وشيوخ العشائر أو الولاة كما نجد ذلك مثلاً في رسالته إلى شرحبيل بن عبد </w:t>
      </w:r>
      <w:r w:rsidR="00D326AD" w:rsidRPr="003F3B94">
        <w:rPr>
          <w:rFonts w:ascii="Abo-thar" w:hAnsi="Abo-thar" w:hint="cs"/>
          <w:sz w:val="28"/>
          <w:rtl/>
        </w:rPr>
        <w:t>ك</w:t>
      </w:r>
      <w:r w:rsidRPr="003F3B94">
        <w:rPr>
          <w:rFonts w:ascii="Abo-thar" w:hAnsi="Abo-thar" w:hint="cs"/>
          <w:sz w:val="28"/>
          <w:rtl/>
        </w:rPr>
        <w:t>لال التي جاءت فيها هذه الجملة</w:t>
      </w:r>
      <w:r w:rsidR="00217AB4" w:rsidRPr="003F3B94">
        <w:rPr>
          <w:rFonts w:ascii="Abo-thar" w:hAnsi="Abo-thar" w:hint="cs"/>
          <w:sz w:val="28"/>
          <w:rtl/>
        </w:rPr>
        <w:t>:</w:t>
      </w:r>
      <w:r w:rsidRPr="003F3B94">
        <w:rPr>
          <w:rFonts w:ascii="Abo-thar" w:hAnsi="Abo-thar" w:hint="cs"/>
          <w:sz w:val="28"/>
          <w:rtl/>
        </w:rPr>
        <w:t xml:space="preserve"> </w:t>
      </w:r>
      <w:r w:rsidR="00850FE5" w:rsidRPr="003F3B94">
        <w:rPr>
          <w:rFonts w:ascii="Abo-thar" w:hAnsi="Abo-thar" w:hint="cs"/>
          <w:sz w:val="28"/>
          <w:rtl/>
        </w:rPr>
        <w:t>«</w:t>
      </w:r>
      <w:r w:rsidRPr="003F3B94">
        <w:rPr>
          <w:rFonts w:ascii="Abo-thar" w:hAnsi="Abo-thar" w:hint="cs"/>
          <w:sz w:val="28"/>
          <w:rtl/>
        </w:rPr>
        <w:t>وأعطيتم</w:t>
      </w:r>
      <w:r w:rsidRPr="003F3B94">
        <w:rPr>
          <w:rFonts w:ascii="Abo-thar" w:hAnsi="Abo-thar"/>
          <w:sz w:val="28"/>
          <w:rtl/>
        </w:rPr>
        <w:t xml:space="preserve"> من</w:t>
      </w:r>
      <w:r w:rsidRPr="003F3B94">
        <w:rPr>
          <w:rFonts w:cs="Times New Roman" w:hint="cs"/>
          <w:sz w:val="28"/>
          <w:rtl/>
        </w:rPr>
        <w:t>‌</w:t>
      </w:r>
      <w:r w:rsidRPr="003F3B94">
        <w:rPr>
          <w:rFonts w:ascii="Abo-thar" w:hAnsi="Abo-thar" w:hint="cs"/>
          <w:sz w:val="28"/>
          <w:rtl/>
        </w:rPr>
        <w:t xml:space="preserve"> </w:t>
      </w:r>
      <w:r w:rsidRPr="003F3B94">
        <w:rPr>
          <w:rFonts w:ascii="Abo-thar" w:hAnsi="Abo-thar"/>
          <w:sz w:val="28"/>
          <w:rtl/>
        </w:rPr>
        <w:t>المغانم خمس</w:t>
      </w:r>
      <w:r w:rsidRPr="003F3B94">
        <w:rPr>
          <w:rFonts w:ascii="Abo-thar" w:hAnsi="Abo-thar" w:hint="cs"/>
          <w:sz w:val="28"/>
          <w:rtl/>
        </w:rPr>
        <w:t xml:space="preserve"> </w:t>
      </w:r>
      <w:r w:rsidRPr="003F3B94">
        <w:rPr>
          <w:rFonts w:cs="Times New Roman" w:hint="cs"/>
          <w:sz w:val="28"/>
          <w:rtl/>
        </w:rPr>
        <w:t>‌</w:t>
      </w:r>
      <w:r w:rsidRPr="003F3B94">
        <w:rPr>
          <w:rFonts w:ascii="mylotus" w:hAnsi="mylotus" w:hint="cs"/>
          <w:sz w:val="28"/>
          <w:rtl/>
        </w:rPr>
        <w:t>الله</w:t>
      </w:r>
      <w:r w:rsidR="00850FE5" w:rsidRPr="003F3B94">
        <w:rPr>
          <w:rFonts w:ascii="Abo-thar" w:hAnsi="Abo-thar" w:hint="cs"/>
          <w:sz w:val="28"/>
          <w:rtl/>
        </w:rPr>
        <w:t>»</w:t>
      </w:r>
      <w:r w:rsidRPr="003F3B94">
        <w:rPr>
          <w:rFonts w:ascii="Abo-thar" w:hAnsi="Abo-thar" w:hint="cs"/>
          <w:sz w:val="28"/>
          <w:rtl/>
        </w:rPr>
        <w:t xml:space="preserve"> أو في رسالته إلى عمرو بن معبد </w:t>
      </w:r>
      <w:r w:rsidRPr="003F3B94">
        <w:rPr>
          <w:rFonts w:cs="Times New Roman" w:hint="cs"/>
          <w:sz w:val="28"/>
          <w:rtl/>
        </w:rPr>
        <w:t>‌</w:t>
      </w:r>
      <w:r w:rsidRPr="003F3B94">
        <w:rPr>
          <w:rFonts w:ascii="mylotus" w:hAnsi="mylotus" w:hint="cs"/>
          <w:sz w:val="28"/>
          <w:rtl/>
        </w:rPr>
        <w:t>الجهن</w:t>
      </w:r>
      <w:r w:rsidR="00D326AD" w:rsidRPr="003F3B94">
        <w:rPr>
          <w:rFonts w:ascii="Abo-thar" w:hAnsi="Abo-thar" w:hint="cs"/>
          <w:sz w:val="28"/>
          <w:rtl/>
        </w:rPr>
        <w:t>ي</w:t>
      </w:r>
      <w:r w:rsidRPr="003F3B94">
        <w:rPr>
          <w:rFonts w:ascii="Abo-thar" w:hAnsi="Abo-thar" w:hint="cs"/>
          <w:sz w:val="28"/>
          <w:rtl/>
        </w:rPr>
        <w:t xml:space="preserve"> التي كتب إليه فيها يقول</w:t>
      </w:r>
      <w:r w:rsidR="00217AB4" w:rsidRPr="003F3B94">
        <w:rPr>
          <w:rFonts w:ascii="Abo-thar" w:hAnsi="Abo-thar" w:hint="cs"/>
          <w:sz w:val="28"/>
          <w:rtl/>
        </w:rPr>
        <w:t>:</w:t>
      </w:r>
      <w:r w:rsidRPr="003F3B94">
        <w:rPr>
          <w:rFonts w:ascii="Abo-thar" w:hAnsi="Abo-thar" w:hint="cs"/>
          <w:sz w:val="28"/>
          <w:rtl/>
        </w:rPr>
        <w:t xml:space="preserve"> وأعطي من</w:t>
      </w:r>
      <w:r w:rsidRPr="003F3B94">
        <w:rPr>
          <w:rFonts w:cs="Times New Roman" w:hint="cs"/>
          <w:sz w:val="28"/>
          <w:rtl/>
        </w:rPr>
        <w:t>‌</w:t>
      </w:r>
      <w:r w:rsidRPr="003F3B94">
        <w:rPr>
          <w:rFonts w:ascii="Abo-thar" w:hAnsi="Abo-thar" w:hint="cs"/>
          <w:sz w:val="28"/>
          <w:rtl/>
        </w:rPr>
        <w:t xml:space="preserve"> </w:t>
      </w:r>
      <w:r w:rsidRPr="003F3B94">
        <w:rPr>
          <w:rFonts w:ascii="mylotus" w:hAnsi="mylotus" w:hint="cs"/>
          <w:sz w:val="28"/>
          <w:rtl/>
        </w:rPr>
        <w:t>المغانم</w:t>
      </w:r>
      <w:r w:rsidRPr="003F3B94">
        <w:rPr>
          <w:rFonts w:cs="Times New Roman" w:hint="cs"/>
          <w:sz w:val="28"/>
          <w:rtl/>
        </w:rPr>
        <w:t>‌</w:t>
      </w:r>
      <w:r w:rsidRPr="003F3B94">
        <w:rPr>
          <w:rFonts w:ascii="Abo-thar" w:hAnsi="Abo-thar" w:hint="cs"/>
          <w:sz w:val="28"/>
          <w:rtl/>
        </w:rPr>
        <w:t xml:space="preserve"> </w:t>
      </w:r>
      <w:r w:rsidRPr="003F3B94">
        <w:rPr>
          <w:rFonts w:ascii="mylotus" w:hAnsi="mylotus" w:hint="cs"/>
          <w:sz w:val="28"/>
          <w:rtl/>
        </w:rPr>
        <w:t>الخمس</w:t>
      </w:r>
      <w:r w:rsidR="00217AB4" w:rsidRPr="003F3B94">
        <w:rPr>
          <w:rFonts w:ascii="Abo-thar" w:hAnsi="Abo-thar" w:hint="cs"/>
          <w:sz w:val="28"/>
          <w:rtl/>
        </w:rPr>
        <w:t>.</w:t>
      </w:r>
      <w:r w:rsidRPr="003F3B94">
        <w:rPr>
          <w:rFonts w:ascii="Abo-thar" w:hAnsi="Abo-thar" w:hint="cs"/>
          <w:sz w:val="28"/>
          <w:rtl/>
        </w:rPr>
        <w:t xml:space="preserve"> ومثلها قوله لمال</w:t>
      </w:r>
      <w:r w:rsidR="00D326AD" w:rsidRPr="003F3B94">
        <w:rPr>
          <w:rFonts w:ascii="Abo-thar" w:hAnsi="Abo-thar" w:hint="cs"/>
          <w:sz w:val="28"/>
          <w:rtl/>
        </w:rPr>
        <w:t>ك</w:t>
      </w:r>
      <w:r w:rsidRPr="003F3B94">
        <w:rPr>
          <w:rFonts w:ascii="Abo-thar" w:hAnsi="Abo-thar" w:hint="cs"/>
          <w:sz w:val="28"/>
          <w:rtl/>
        </w:rPr>
        <w:t xml:space="preserve"> بن الأحمر</w:t>
      </w:r>
      <w:r w:rsidR="00217AB4" w:rsidRPr="003F3B94">
        <w:rPr>
          <w:rFonts w:ascii="Abo-thar" w:hAnsi="Abo-thar" w:hint="cs"/>
          <w:sz w:val="28"/>
          <w:rtl/>
        </w:rPr>
        <w:t>:</w:t>
      </w:r>
      <w:r w:rsidRPr="003F3B94">
        <w:rPr>
          <w:rFonts w:ascii="Abo-thar" w:hAnsi="Abo-thar" w:hint="cs"/>
          <w:sz w:val="28"/>
          <w:rtl/>
        </w:rPr>
        <w:t xml:space="preserve"> وأدوا الخمس من </w:t>
      </w:r>
      <w:r w:rsidRPr="003F3B94">
        <w:rPr>
          <w:rFonts w:cs="Times New Roman" w:hint="cs"/>
          <w:sz w:val="28"/>
          <w:rtl/>
        </w:rPr>
        <w:t>‌</w:t>
      </w:r>
      <w:r w:rsidRPr="003F3B94">
        <w:rPr>
          <w:rFonts w:ascii="mylotus" w:hAnsi="mylotus" w:hint="cs"/>
          <w:sz w:val="28"/>
          <w:rtl/>
        </w:rPr>
        <w:t>المغنم</w:t>
      </w:r>
      <w:r w:rsidR="00217AB4" w:rsidRPr="003F3B94">
        <w:rPr>
          <w:rFonts w:ascii="Abo-thar" w:hAnsi="Abo-thar" w:hint="cs"/>
          <w:sz w:val="28"/>
          <w:rtl/>
        </w:rPr>
        <w:t>.</w:t>
      </w:r>
      <w:r w:rsidRPr="003F3B94">
        <w:rPr>
          <w:rFonts w:ascii="Abo-thar" w:hAnsi="Abo-thar" w:hint="cs"/>
          <w:sz w:val="28"/>
          <w:rtl/>
        </w:rPr>
        <w:t xml:space="preserve"> وفي رسالة النبيِّ لعبد يغوث</w:t>
      </w:r>
      <w:r w:rsidR="00217AB4" w:rsidRPr="003F3B94">
        <w:rPr>
          <w:rFonts w:ascii="Abo-thar" w:hAnsi="Abo-thar" w:hint="cs"/>
          <w:sz w:val="28"/>
          <w:rtl/>
        </w:rPr>
        <w:t>:</w:t>
      </w:r>
      <w:r w:rsidR="00147857" w:rsidRPr="003F3B94">
        <w:rPr>
          <w:rFonts w:ascii="Abo-thar" w:hAnsi="Abo-thar" w:hint="cs"/>
          <w:sz w:val="28"/>
          <w:rtl/>
        </w:rPr>
        <w:t xml:space="preserve"> </w:t>
      </w:r>
      <w:r w:rsidRPr="003F3B94">
        <w:rPr>
          <w:rFonts w:ascii="Abo-thar" w:hAnsi="Abo-thar" w:hint="cs"/>
          <w:sz w:val="28"/>
          <w:rtl/>
        </w:rPr>
        <w:t xml:space="preserve">وأعطي خمس </w:t>
      </w:r>
      <w:r w:rsidRPr="003F3B94">
        <w:rPr>
          <w:rFonts w:cs="Times New Roman" w:hint="cs"/>
          <w:sz w:val="28"/>
          <w:rtl/>
        </w:rPr>
        <w:t>‌</w:t>
      </w:r>
      <w:r w:rsidRPr="003F3B94">
        <w:rPr>
          <w:rFonts w:ascii="mylotus" w:hAnsi="mylotus" w:hint="cs"/>
          <w:sz w:val="28"/>
          <w:rtl/>
        </w:rPr>
        <w:t>المغا</w:t>
      </w:r>
      <w:r w:rsidRPr="003F3B94">
        <w:rPr>
          <w:rFonts w:ascii="Abo-thar" w:hAnsi="Abo-thar" w:hint="cs"/>
          <w:sz w:val="28"/>
          <w:rtl/>
        </w:rPr>
        <w:t>نم ف</w:t>
      </w:r>
      <w:r w:rsidR="00D326AD" w:rsidRPr="003F3B94">
        <w:rPr>
          <w:rFonts w:ascii="Abo-thar" w:hAnsi="Abo-thar" w:hint="cs"/>
          <w:sz w:val="28"/>
          <w:rtl/>
        </w:rPr>
        <w:t>ي</w:t>
      </w:r>
      <w:r w:rsidRPr="003F3B94">
        <w:rPr>
          <w:rFonts w:ascii="Abo-thar" w:hAnsi="Abo-thar" w:hint="cs"/>
          <w:sz w:val="28"/>
          <w:rtl/>
        </w:rPr>
        <w:t xml:space="preserve"> </w:t>
      </w:r>
      <w:r w:rsidRPr="003F3B94">
        <w:rPr>
          <w:rFonts w:cs="Times New Roman" w:hint="cs"/>
          <w:sz w:val="28"/>
          <w:rtl/>
        </w:rPr>
        <w:t>‌</w:t>
      </w:r>
      <w:r w:rsidRPr="003F3B94">
        <w:rPr>
          <w:rFonts w:ascii="mylotus" w:hAnsi="mylotus" w:hint="cs"/>
          <w:sz w:val="28"/>
          <w:rtl/>
        </w:rPr>
        <w:t>الغزو</w:t>
      </w:r>
      <w:r w:rsidR="00217AB4" w:rsidRPr="003F3B94">
        <w:rPr>
          <w:rFonts w:ascii="Abo-thar" w:hAnsi="Abo-thar" w:hint="cs"/>
          <w:sz w:val="28"/>
          <w:rtl/>
        </w:rPr>
        <w:t>،</w:t>
      </w:r>
      <w:r w:rsidRPr="003F3B94">
        <w:rPr>
          <w:rFonts w:ascii="Abo-thar" w:hAnsi="Abo-thar" w:hint="cs"/>
          <w:sz w:val="28"/>
          <w:rtl/>
        </w:rPr>
        <w:t xml:space="preserve"> وفي رسالة النبيِّ لجنادة وقومه</w:t>
      </w:r>
      <w:r w:rsidR="00217AB4" w:rsidRPr="003F3B94">
        <w:rPr>
          <w:rFonts w:ascii="Abo-thar" w:hAnsi="Abo-thar" w:hint="cs"/>
          <w:sz w:val="28"/>
          <w:rtl/>
        </w:rPr>
        <w:t>:</w:t>
      </w:r>
      <w:r w:rsidRPr="003F3B94">
        <w:rPr>
          <w:rFonts w:ascii="Abo-thar" w:hAnsi="Abo-thar" w:hint="cs"/>
          <w:sz w:val="28"/>
          <w:rtl/>
        </w:rPr>
        <w:t xml:space="preserve"> وأعطي الخمس من </w:t>
      </w:r>
      <w:r w:rsidRPr="003F3B94">
        <w:rPr>
          <w:rFonts w:cs="Times New Roman" w:hint="cs"/>
          <w:sz w:val="28"/>
          <w:rtl/>
        </w:rPr>
        <w:t>‌</w:t>
      </w:r>
      <w:r w:rsidRPr="003F3B94">
        <w:rPr>
          <w:rFonts w:ascii="mylotus" w:hAnsi="mylotus" w:hint="cs"/>
          <w:sz w:val="28"/>
          <w:rtl/>
        </w:rPr>
        <w:t>المغانم</w:t>
      </w:r>
      <w:r w:rsidR="00147857" w:rsidRPr="003F3B94">
        <w:rPr>
          <w:rFonts w:ascii="Abo-thar" w:hAnsi="Abo-thar" w:hint="cs"/>
          <w:sz w:val="28"/>
          <w:rtl/>
        </w:rPr>
        <w:t xml:space="preserve"> </w:t>
      </w:r>
      <w:r w:rsidRPr="003F3B94">
        <w:rPr>
          <w:rFonts w:ascii="Abo-thar" w:hAnsi="Abo-thar" w:hint="cs"/>
          <w:sz w:val="28"/>
          <w:rtl/>
        </w:rPr>
        <w:t xml:space="preserve">خمسَ </w:t>
      </w:r>
      <w:r w:rsidRPr="003F3B94">
        <w:rPr>
          <w:rFonts w:cs="Times New Roman" w:hint="cs"/>
          <w:sz w:val="28"/>
          <w:rtl/>
        </w:rPr>
        <w:t>‌</w:t>
      </w:r>
      <w:r w:rsidRPr="003F3B94">
        <w:rPr>
          <w:rFonts w:ascii="mylotus" w:hAnsi="mylotus" w:hint="cs"/>
          <w:sz w:val="28"/>
          <w:rtl/>
        </w:rPr>
        <w:t>الله</w:t>
      </w:r>
      <w:r w:rsidR="00217AB4" w:rsidRPr="003F3B94">
        <w:rPr>
          <w:rFonts w:ascii="Abo-thar" w:hAnsi="Abo-thar" w:hint="cs"/>
          <w:sz w:val="28"/>
          <w:rtl/>
        </w:rPr>
        <w:t>،</w:t>
      </w:r>
      <w:r w:rsidRPr="003F3B94">
        <w:rPr>
          <w:rFonts w:ascii="Abo-thar" w:hAnsi="Abo-thar" w:hint="cs"/>
          <w:sz w:val="28"/>
          <w:rtl/>
        </w:rPr>
        <w:t xml:space="preserve"> فالسبب في ذلك أن النبي الأكرم</w:t>
      </w:r>
      <w:r w:rsidR="00147857" w:rsidRPr="003F3B94">
        <w:rPr>
          <w:rFonts w:ascii="Abo-thar" w:hAnsi="Abo-thar" w:hint="cs"/>
          <w:sz w:val="28"/>
          <w:rtl/>
        </w:rPr>
        <w:t xml:space="preserve"> </w:t>
      </w:r>
      <w:r w:rsidR="003C7AEB" w:rsidRPr="003C7AEB">
        <w:rPr>
          <w:rFonts w:ascii="Abo-thar" w:hAnsi="Abo-thar" w:cs="CTraditional Arabic"/>
          <w:sz w:val="28"/>
          <w:rtl/>
        </w:rPr>
        <w:t>ص</w:t>
      </w:r>
      <w:r w:rsidR="00147857" w:rsidRPr="003F3B94">
        <w:rPr>
          <w:rFonts w:ascii="Abo-thar" w:hAnsi="Abo-thar"/>
          <w:sz w:val="28"/>
          <w:rtl/>
        </w:rPr>
        <w:t xml:space="preserve"> </w:t>
      </w:r>
      <w:r w:rsidRPr="003F3B94">
        <w:rPr>
          <w:rFonts w:ascii="Abo-thar" w:hAnsi="Abo-thar" w:hint="cs"/>
          <w:sz w:val="28"/>
          <w:rtl/>
        </w:rPr>
        <w:t>لم يحضر تلك المعارك بنفسه لذا كان يطالب أولئك القادة الذين كانوا نواباً عنه بأن يؤدوا خمس غنائمها</w:t>
      </w:r>
      <w:r w:rsidR="00217AB4" w:rsidRPr="003F3B94">
        <w:rPr>
          <w:rFonts w:ascii="Abo-thar" w:hAnsi="Abo-thar" w:hint="cs"/>
          <w:sz w:val="28"/>
          <w:rtl/>
        </w:rPr>
        <w:t>،</w:t>
      </w:r>
      <w:r w:rsidRPr="003F3B94">
        <w:rPr>
          <w:rFonts w:ascii="Abo-thar" w:hAnsi="Abo-thar" w:hint="cs"/>
          <w:sz w:val="28"/>
          <w:rtl/>
        </w:rPr>
        <w:t xml:space="preserve"> وإلا فإن حضرة النبي</w:t>
      </w:r>
      <w:r w:rsidR="00147857" w:rsidRPr="003F3B94">
        <w:rPr>
          <w:rFonts w:ascii="Abo-thar" w:hAnsi="Abo-thar" w:hint="cs"/>
          <w:sz w:val="28"/>
          <w:rtl/>
        </w:rPr>
        <w:t xml:space="preserve"> </w:t>
      </w:r>
      <w:r w:rsidR="003C7AEB" w:rsidRPr="003C7AEB">
        <w:rPr>
          <w:rFonts w:ascii="Abo-thar" w:hAnsi="Abo-thar" w:cs="CTraditional Arabic"/>
          <w:sz w:val="28"/>
          <w:rtl/>
        </w:rPr>
        <w:t>ص</w:t>
      </w:r>
      <w:r w:rsidR="00147857" w:rsidRPr="003F3B94">
        <w:rPr>
          <w:rFonts w:ascii="Abo-thar" w:hAnsi="Abo-thar"/>
          <w:sz w:val="28"/>
          <w:rtl/>
        </w:rPr>
        <w:t xml:space="preserve"> </w:t>
      </w:r>
      <w:r w:rsidRPr="003F3B94">
        <w:rPr>
          <w:rFonts w:ascii="Abo-thar" w:hAnsi="Abo-thar" w:hint="cs"/>
          <w:sz w:val="28"/>
          <w:rtl/>
        </w:rPr>
        <w:t>ذاته كان يأخذ خمس غنائم الحروب بذاته الشريفة عندما يكون حاضراً في المعركة</w:t>
      </w:r>
      <w:r w:rsidR="00217AB4" w:rsidRPr="003F3B94">
        <w:rPr>
          <w:rFonts w:ascii="Abo-thar" w:hAnsi="Abo-thar" w:hint="cs"/>
          <w:sz w:val="28"/>
          <w:rtl/>
        </w:rPr>
        <w:t>.</w:t>
      </w:r>
      <w:r w:rsidRPr="003F3B94">
        <w:rPr>
          <w:rFonts w:ascii="Abo-thar" w:hAnsi="Abo-thar" w:hint="cs"/>
          <w:sz w:val="28"/>
          <w:rtl/>
        </w:rPr>
        <w:t xml:space="preserve"> </w:t>
      </w:r>
    </w:p>
    <w:p w:rsidR="005C664D" w:rsidRPr="003F3B94" w:rsidRDefault="005C664D" w:rsidP="003F3B94">
      <w:pPr>
        <w:pStyle w:val="a0"/>
        <w:rPr>
          <w:rtl/>
        </w:rPr>
      </w:pPr>
      <w:r w:rsidRPr="003F3B94">
        <w:rPr>
          <w:rFonts w:ascii="Abo-thar" w:hAnsi="Abo-thar"/>
          <w:sz w:val="28"/>
          <w:rtl/>
        </w:rPr>
        <w:t xml:space="preserve">كما جاء في كتاب «التهذيب» </w:t>
      </w:r>
      <w:r w:rsidRPr="003F3B94">
        <w:rPr>
          <w:rFonts w:ascii="Abo-thar" w:hAnsi="Abo-thar" w:hint="cs"/>
          <w:sz w:val="28"/>
          <w:rtl/>
        </w:rPr>
        <w:t xml:space="preserve">[للشيخ الطوسي] </w:t>
      </w:r>
      <w:r w:rsidRPr="003F3B94">
        <w:rPr>
          <w:rFonts w:ascii="Abo-thar" w:hAnsi="Abo-thar"/>
          <w:sz w:val="28"/>
          <w:rtl/>
        </w:rPr>
        <w:t xml:space="preserve">بسنده عَنْ رِبْعِيِّ بْنِ عَبْدِ اللهِ بْنِ الْجَارُودِ عَنْ أَبِي عَبْدِ اللهِ حضرة الصادق </w:t>
      </w:r>
      <w:r w:rsidR="003C7AEB" w:rsidRPr="003C7AEB">
        <w:rPr>
          <w:rFonts w:ascii="Abo-thar" w:hAnsi="Abo-thar" w:cs="CTraditional Arabic"/>
          <w:sz w:val="28"/>
          <w:rtl/>
        </w:rPr>
        <w:t>÷</w:t>
      </w:r>
      <w:r w:rsidRPr="003F3B94">
        <w:rPr>
          <w:rFonts w:ascii="Abo-thar" w:hAnsi="Abo-thar"/>
          <w:sz w:val="28"/>
          <w:rtl/>
        </w:rPr>
        <w:t xml:space="preserve"> قَالَ</w:t>
      </w:r>
      <w:r w:rsidR="00217AB4" w:rsidRPr="003F3B94">
        <w:rPr>
          <w:rFonts w:ascii="Abo-thar" w:hAnsi="Abo-thar"/>
          <w:sz w:val="28"/>
          <w:rtl/>
        </w:rPr>
        <w:t>:</w:t>
      </w:r>
      <w:r w:rsidRPr="003F3B94">
        <w:rPr>
          <w:rFonts w:ascii="Abo-thar" w:hAnsi="Abo-thar"/>
          <w:sz w:val="28"/>
          <w:rtl/>
        </w:rPr>
        <w:t xml:space="preserve"> </w:t>
      </w:r>
      <w:r w:rsidR="00EF2588" w:rsidRPr="00CE7623">
        <w:rPr>
          <w:rFonts w:ascii="Abo-thar" w:hAnsi="Abo-thar" w:cs="KFGQPC Uthman Taha Naskh"/>
          <w:bCs/>
          <w:sz w:val="28"/>
          <w:rtl/>
        </w:rPr>
        <w:t>«</w:t>
      </w:r>
      <w:r w:rsidRPr="00CE7623">
        <w:rPr>
          <w:rFonts w:ascii="Abo-thar" w:hAnsi="Abo-thar" w:cs="KFGQPC Uthman Taha Naskh"/>
          <w:bCs/>
          <w:sz w:val="28"/>
          <w:rtl/>
        </w:rPr>
        <w:t>كَانَ رَسُولُ اللهِ صلى الله عليه وآله إِذَا أَتَاهُ المَغْنَمُ أَخَذَ صَفْوَهُ وَكَانَ ذَلِكَ لَهُ ثُمَّ يَقْسِمُ مَا بَقِيَ خَمْسَةَ أَخْمَاسٍ وَيَأْخُذُ خُمُسَهُ ثُمَّ يَقْسِمُ أَرْبَعَةَ أَخْمَاسٍ بَيْنَ النَّاسِ الَّذِينَ قَاتَلُوا عَلَيْهِ</w:t>
      </w:r>
      <w:r w:rsidR="00850FE5" w:rsidRPr="00CE7623">
        <w:rPr>
          <w:rFonts w:ascii="Abo-thar" w:hAnsi="Abo-thar" w:cs="KFGQPC Uthman Taha Naskh" w:hint="cs"/>
          <w:bCs/>
          <w:sz w:val="28"/>
          <w:rtl/>
        </w:rPr>
        <w:t>.......</w:t>
      </w:r>
      <w:r w:rsidR="00FB6445" w:rsidRPr="00CE7623">
        <w:rPr>
          <w:rFonts w:ascii="Abo-thar" w:hAnsi="Abo-thar" w:cs="KFGQPC Uthman Taha Naskh" w:hint="cs"/>
          <w:bCs/>
          <w:sz w:val="28"/>
          <w:rtl/>
        </w:rPr>
        <w:t>»</w:t>
      </w:r>
      <w:r w:rsidR="00850FE5" w:rsidRPr="0021507A">
        <w:rPr>
          <w:rStyle w:val="FootnoteReference"/>
          <w:rFonts w:cs="Arabic11 BT"/>
          <w:b/>
          <w:sz w:val="28"/>
          <w:rtl/>
        </w:rPr>
        <w:t>(</w:t>
      </w:r>
      <w:r w:rsidR="00850FE5" w:rsidRPr="0021507A">
        <w:rPr>
          <w:rStyle w:val="FootnoteReference"/>
          <w:rFonts w:cs="Arabic11 BT"/>
          <w:b/>
          <w:sz w:val="28"/>
          <w:rtl/>
        </w:rPr>
        <w:footnoteReference w:id="26"/>
      </w:r>
      <w:r w:rsidR="00850FE5" w:rsidRPr="0021507A">
        <w:rPr>
          <w:rStyle w:val="FootnoteReference"/>
          <w:rFonts w:cs="Arabic11 BT"/>
          <w:b/>
          <w:sz w:val="28"/>
          <w:rtl/>
        </w:rPr>
        <w:t>)</w:t>
      </w:r>
      <w:r w:rsidR="00217AB4" w:rsidRPr="003F3B94">
        <w:rPr>
          <w:rFonts w:ascii="Abo-thar" w:hAnsi="Abo-thar"/>
          <w:sz w:val="28"/>
          <w:rtl/>
        </w:rPr>
        <w:t>.</w:t>
      </w:r>
      <w:r w:rsidRPr="003F3B94">
        <w:rPr>
          <w:rFonts w:ascii="Abo-thar" w:hAnsi="Abo-thar"/>
          <w:sz w:val="28"/>
          <w:rtl/>
        </w:rPr>
        <w:t xml:space="preserve"> </w:t>
      </w:r>
    </w:p>
    <w:p w:rsidR="005C664D" w:rsidRPr="00995B26" w:rsidRDefault="005C664D" w:rsidP="003F3B94">
      <w:pPr>
        <w:pStyle w:val="a0"/>
        <w:rPr>
          <w:rFonts w:hint="cs"/>
          <w:rtl/>
        </w:rPr>
      </w:pPr>
      <w:r w:rsidRPr="003F3B94">
        <w:rPr>
          <w:rFonts w:ascii="Abo-thar" w:hAnsi="Abo-thar" w:hint="cs"/>
          <w:sz w:val="28"/>
          <w:rtl/>
        </w:rPr>
        <w:t>5</w:t>
      </w:r>
      <w:r w:rsidR="00217AB4" w:rsidRPr="003F3B94">
        <w:rPr>
          <w:rFonts w:ascii="Abo-thar" w:hAnsi="Abo-thar" w:hint="cs"/>
          <w:sz w:val="28"/>
          <w:rtl/>
        </w:rPr>
        <w:t>-</w:t>
      </w:r>
      <w:r w:rsidRPr="003F3B94">
        <w:rPr>
          <w:rFonts w:ascii="Abo-thar" w:hAnsi="Abo-thar" w:hint="cs"/>
          <w:sz w:val="28"/>
          <w:rtl/>
        </w:rPr>
        <w:t xml:space="preserve"> </w:t>
      </w:r>
      <w:r w:rsidRPr="00445175">
        <w:rPr>
          <w:rFonts w:ascii="Abo-thar" w:hAnsi="Abo-thar" w:hint="cs"/>
          <w:b/>
          <w:bCs/>
          <w:sz w:val="28"/>
          <w:rtl/>
        </w:rPr>
        <w:t>النقطة الخامسة</w:t>
      </w:r>
      <w:r w:rsidR="00217AB4" w:rsidRPr="003F3B94">
        <w:rPr>
          <w:rFonts w:ascii="Abo-thar" w:hAnsi="Abo-thar" w:hint="cs"/>
          <w:sz w:val="28"/>
          <w:rtl/>
        </w:rPr>
        <w:t>:</w:t>
      </w:r>
      <w:r w:rsidRPr="003F3B94">
        <w:rPr>
          <w:rFonts w:ascii="Abo-thar" w:hAnsi="Abo-thar" w:hint="cs"/>
          <w:sz w:val="28"/>
          <w:rtl/>
        </w:rPr>
        <w:t xml:space="preserve"> </w:t>
      </w:r>
      <w:r w:rsidRPr="003F3B94">
        <w:rPr>
          <w:rFonts w:ascii="Abo-thar" w:hAnsi="Abo-thar"/>
          <w:sz w:val="28"/>
          <w:rtl/>
        </w:rPr>
        <w:t xml:space="preserve">جاءت في الآية الكريمة </w:t>
      </w:r>
      <w:r w:rsidR="00D326AD" w:rsidRPr="003F3B94">
        <w:rPr>
          <w:rFonts w:ascii="Abo-thar" w:hAnsi="Abo-thar"/>
          <w:sz w:val="28"/>
          <w:rtl/>
        </w:rPr>
        <w:t>ك</w:t>
      </w:r>
      <w:r w:rsidRPr="003F3B94">
        <w:rPr>
          <w:rFonts w:ascii="Abo-thar" w:hAnsi="Abo-thar"/>
          <w:sz w:val="28"/>
          <w:rtl/>
        </w:rPr>
        <w:t>لمة</w:t>
      </w:r>
      <w:r w:rsidR="00217AB4" w:rsidRPr="003F3B94">
        <w:rPr>
          <w:rFonts w:ascii="Abo-thar" w:hAnsi="Abo-thar"/>
          <w:sz w:val="28"/>
          <w:rtl/>
        </w:rPr>
        <w:t>:</w:t>
      </w:r>
      <w:r w:rsidR="00E77B3F" w:rsidRPr="003F3B94">
        <w:rPr>
          <w:rFonts w:ascii="Abo-thar" w:hAnsi="Abo-thar" w:hint="cs"/>
          <w:sz w:val="28"/>
          <w:rtl/>
        </w:rPr>
        <w:t xml:space="preserve"> </w:t>
      </w:r>
      <w:r w:rsidR="00E77B3F" w:rsidRPr="00995B26">
        <w:rPr>
          <w:rFonts w:ascii="Abo-thar" w:hAnsi="Abo-thar" w:cs="Traditional Arabic" w:hint="cs"/>
          <w:sz w:val="28"/>
          <w:rtl/>
        </w:rPr>
        <w:t>﴿</w:t>
      </w:r>
      <w:r w:rsidR="00E77B3F" w:rsidRPr="00DF7CAE">
        <w:rPr>
          <w:rStyle w:val="Char3"/>
          <w:rFonts w:hint="eastAsia"/>
          <w:rtl/>
        </w:rPr>
        <w:t>غَنِم</w:t>
      </w:r>
      <w:r w:rsidR="00E77B3F" w:rsidRPr="00DF7CAE">
        <w:rPr>
          <w:rStyle w:val="Char3"/>
          <w:rFonts w:hint="cs"/>
          <w:rtl/>
        </w:rPr>
        <w:t>ۡ</w:t>
      </w:r>
      <w:r w:rsidR="00E77B3F" w:rsidRPr="00DF7CAE">
        <w:rPr>
          <w:rStyle w:val="Char3"/>
          <w:rFonts w:hint="eastAsia"/>
          <w:rtl/>
        </w:rPr>
        <w:t>تُم</w:t>
      </w:r>
      <w:r w:rsidR="00E77B3F" w:rsidRPr="00995B26">
        <w:rPr>
          <w:rFonts w:ascii="KFGQPC Uthmanic Script HAFS" w:cs="Times New Roman" w:hint="cs"/>
          <w:rtl/>
        </w:rPr>
        <w:t>...</w:t>
      </w:r>
      <w:r w:rsidR="00E77B3F" w:rsidRPr="00995B26">
        <w:rPr>
          <w:rFonts w:ascii="Abo-thar" w:hAnsi="Abo-thar" w:cs="Traditional Arabic" w:hint="cs"/>
          <w:sz w:val="28"/>
          <w:rtl/>
        </w:rPr>
        <w:t>﴾</w:t>
      </w:r>
      <w:r w:rsidRPr="00995B26">
        <w:rPr>
          <w:rFonts w:ascii="Abo-thar" w:hAnsi="Abo-thar"/>
          <w:sz w:val="28"/>
          <w:rtl/>
        </w:rPr>
        <w:t xml:space="preserve"> </w:t>
      </w:r>
      <w:r w:rsidRPr="00FC12FD">
        <w:rPr>
          <w:rStyle w:val="Char2"/>
          <w:rtl/>
        </w:rPr>
        <w:t>[الأنفال</w:t>
      </w:r>
      <w:r w:rsidR="00217AB4" w:rsidRPr="00FC12FD">
        <w:rPr>
          <w:rStyle w:val="Char2"/>
          <w:rtl/>
        </w:rPr>
        <w:t>:</w:t>
      </w:r>
      <w:r w:rsidRPr="00FC12FD">
        <w:rPr>
          <w:rStyle w:val="Char2"/>
          <w:rtl/>
        </w:rPr>
        <w:t>41]</w:t>
      </w:r>
      <w:r w:rsidRPr="00995B26">
        <w:rPr>
          <w:rFonts w:ascii="Abo-thar" w:hAnsi="Abo-thar"/>
          <w:sz w:val="28"/>
          <w:rtl/>
        </w:rPr>
        <w:t xml:space="preserve"> </w:t>
      </w:r>
      <w:r w:rsidRPr="00995B26">
        <w:rPr>
          <w:rFonts w:ascii="Abo-thar" w:hAnsi="Abo-thar" w:hint="cs"/>
          <w:sz w:val="28"/>
          <w:rtl/>
        </w:rPr>
        <w:t>فتشبَّث بها بعضهم واعتبرها مستنداً ومستمسكاً به فيما يذهب إليه [من شمول الخمس لكل ما يكتسبه الإنسان]</w:t>
      </w:r>
      <w:r w:rsidR="00217AB4" w:rsidRPr="00995B26">
        <w:rPr>
          <w:rFonts w:ascii="Abo-thar" w:hAnsi="Abo-thar" w:hint="cs"/>
          <w:sz w:val="28"/>
          <w:rtl/>
        </w:rPr>
        <w:t>،</w:t>
      </w:r>
      <w:r w:rsidRPr="00995B26">
        <w:rPr>
          <w:rFonts w:ascii="Abo-thar" w:hAnsi="Abo-thar" w:hint="cs"/>
          <w:sz w:val="28"/>
          <w:rtl/>
        </w:rPr>
        <w:t xml:space="preserve"> في حين أن كلمة الغنيمة في اللغة إنما تُستعمل في الشيء الذي يحصل عليه الإنسان دون مشقةٍ كما جاء </w:t>
      </w:r>
      <w:r w:rsidRPr="00995B26">
        <w:rPr>
          <w:rFonts w:ascii="Abo-thar" w:hAnsi="Abo-thar"/>
          <w:sz w:val="28"/>
          <w:rtl/>
        </w:rPr>
        <w:t>في القاموس</w:t>
      </w:r>
      <w:r w:rsidR="00217AB4" w:rsidRPr="00995B26">
        <w:rPr>
          <w:rFonts w:ascii="Abo-thar" w:hAnsi="Abo-thar"/>
          <w:sz w:val="28"/>
          <w:rtl/>
        </w:rPr>
        <w:t>:</w:t>
      </w:r>
      <w:r w:rsidRPr="00995B26">
        <w:rPr>
          <w:rFonts w:ascii="Abo-thar" w:hAnsi="Abo-thar"/>
          <w:sz w:val="28"/>
          <w:rtl/>
        </w:rPr>
        <w:t xml:space="preserve"> </w:t>
      </w:r>
      <w:r w:rsidR="00EF2588" w:rsidRPr="00CE7623">
        <w:rPr>
          <w:rFonts w:ascii="Abo-thar" w:hAnsi="Abo-thar" w:cs="KFGQPC Uthman Taha Naskh"/>
          <w:sz w:val="28"/>
          <w:rtl/>
        </w:rPr>
        <w:t>«</w:t>
      </w:r>
      <w:r w:rsidRPr="00CE7623">
        <w:rPr>
          <w:rFonts w:ascii="Abo-thar" w:hAnsi="Abo-thar" w:cs="KFGQPC Uthman Taha Naskh"/>
          <w:sz w:val="28"/>
          <w:rtl/>
        </w:rPr>
        <w:t>والمَغْنَمُ والغَنيمَةُ والغُنْمُ</w:t>
      </w:r>
      <w:r w:rsidR="00217AB4" w:rsidRPr="00CE7623">
        <w:rPr>
          <w:rFonts w:ascii="Abo-thar" w:hAnsi="Abo-thar" w:cs="KFGQPC Uthman Taha Naskh" w:hint="cs"/>
          <w:sz w:val="28"/>
          <w:rtl/>
        </w:rPr>
        <w:t>:</w:t>
      </w:r>
      <w:r w:rsidRPr="00CE7623">
        <w:rPr>
          <w:rFonts w:ascii="Abo-thar" w:hAnsi="Abo-thar" w:cs="KFGQPC Uthman Taha Naskh" w:hint="cs"/>
          <w:sz w:val="28"/>
          <w:rtl/>
        </w:rPr>
        <w:t xml:space="preserve"> </w:t>
      </w:r>
      <w:r w:rsidRPr="00CE7623">
        <w:rPr>
          <w:rFonts w:ascii="Abo-thar" w:hAnsi="Abo-thar" w:cs="KFGQPC Uthman Taha Naskh"/>
          <w:sz w:val="28"/>
          <w:rtl/>
        </w:rPr>
        <w:t>الفَيءُ</w:t>
      </w:r>
      <w:r w:rsidR="00217AB4" w:rsidRPr="00CE7623">
        <w:rPr>
          <w:rFonts w:ascii="Abo-thar" w:hAnsi="Abo-thar" w:cs="KFGQPC Uthman Taha Naskh"/>
          <w:sz w:val="28"/>
          <w:rtl/>
        </w:rPr>
        <w:t>،</w:t>
      </w:r>
      <w:r w:rsidRPr="00CE7623">
        <w:rPr>
          <w:rFonts w:ascii="Abo-thar" w:hAnsi="Abo-thar" w:cs="KFGQPC Uthman Taha Naskh"/>
          <w:sz w:val="28"/>
          <w:rtl/>
        </w:rPr>
        <w:t xml:space="preserve"> غَنِمَ</w:t>
      </w:r>
      <w:r w:rsidR="00147857" w:rsidRPr="00CE7623">
        <w:rPr>
          <w:rFonts w:ascii="Abo-thar" w:hAnsi="Abo-thar" w:cs="KFGQPC Uthman Taha Naskh"/>
          <w:sz w:val="28"/>
          <w:rtl/>
        </w:rPr>
        <w:t xml:space="preserve"> </w:t>
      </w:r>
      <w:r w:rsidRPr="00CE7623">
        <w:rPr>
          <w:rFonts w:ascii="Abo-thar" w:hAnsi="Abo-thar" w:cs="KFGQPC Uthman Taha Naskh"/>
          <w:sz w:val="28"/>
          <w:rtl/>
        </w:rPr>
        <w:t>غُنْماً وغَنيمَةً</w:t>
      </w:r>
      <w:r w:rsidR="00217AB4" w:rsidRPr="00CE7623">
        <w:rPr>
          <w:rFonts w:ascii="Abo-thar" w:hAnsi="Abo-thar" w:cs="KFGQPC Uthman Taha Naskh" w:hint="cs"/>
          <w:sz w:val="28"/>
          <w:rtl/>
        </w:rPr>
        <w:t>:</w:t>
      </w:r>
      <w:r w:rsidRPr="00CE7623">
        <w:rPr>
          <w:rFonts w:ascii="Abo-thar" w:hAnsi="Abo-thar" w:cs="KFGQPC Uthman Taha Naskh" w:hint="cs"/>
          <w:sz w:val="28"/>
          <w:rtl/>
        </w:rPr>
        <w:t xml:space="preserve"> </w:t>
      </w:r>
      <w:r w:rsidRPr="00CE7623">
        <w:rPr>
          <w:rFonts w:ascii="Abo-thar" w:hAnsi="Abo-thar" w:cs="KFGQPC Uthman Taha Naskh"/>
          <w:b/>
          <w:bCs/>
          <w:sz w:val="28"/>
          <w:rtl/>
        </w:rPr>
        <w:t>الفَوْزُ بالشّ</w:t>
      </w:r>
      <w:r w:rsidRPr="00CE7623">
        <w:rPr>
          <w:rFonts w:ascii="Abo-thar" w:hAnsi="Abo-thar" w:cs="KFGQPC Uthman Taha Naskh" w:hint="cs"/>
          <w:b/>
          <w:bCs/>
          <w:sz w:val="28"/>
          <w:rtl/>
        </w:rPr>
        <w:t>ـ</w:t>
      </w:r>
      <w:r w:rsidRPr="00CE7623">
        <w:rPr>
          <w:rFonts w:ascii="Abo-thar" w:hAnsi="Abo-thar" w:cs="KFGQPC Uthman Taha Naskh"/>
          <w:b/>
          <w:bCs/>
          <w:sz w:val="28"/>
          <w:rtl/>
        </w:rPr>
        <w:t>َيْءِ بلا مَشَقَّةٍ</w:t>
      </w:r>
      <w:r w:rsidR="00EF2588" w:rsidRPr="00CE7623">
        <w:rPr>
          <w:rFonts w:ascii="Abo-thar" w:hAnsi="Abo-thar" w:cs="KFGQPC Uthman Taha Naskh"/>
          <w:sz w:val="28"/>
          <w:rtl/>
        </w:rPr>
        <w:t>»</w:t>
      </w:r>
      <w:r w:rsidRPr="00995B26">
        <w:rPr>
          <w:rFonts w:ascii="Abo-thar" w:hAnsi="Abo-thar"/>
          <w:sz w:val="28"/>
          <w:rtl/>
        </w:rPr>
        <w:t xml:space="preserve"> </w:t>
      </w:r>
      <w:r w:rsidRPr="00995B26">
        <w:rPr>
          <w:rFonts w:ascii="Abo-thar" w:hAnsi="Abo-thar" w:hint="cs"/>
          <w:sz w:val="28"/>
          <w:rtl/>
        </w:rPr>
        <w:t>أما</w:t>
      </w:r>
      <w:r w:rsidRPr="00995B26">
        <w:rPr>
          <w:rFonts w:ascii="Abo-thar" w:hAnsi="Abo-thar"/>
          <w:sz w:val="28"/>
          <w:rtl/>
        </w:rPr>
        <w:t xml:space="preserve"> في اصطلاح الشرع فتُطْلَق «الغنيمة» على الأموال التي ينالها المسلمون من المش</w:t>
      </w:r>
      <w:r w:rsidRPr="00995B26">
        <w:rPr>
          <w:rFonts w:ascii="Abo-thar" w:hAnsi="Abo-thar" w:hint="cs"/>
          <w:sz w:val="28"/>
          <w:rtl/>
        </w:rPr>
        <w:t>ـ</w:t>
      </w:r>
      <w:r w:rsidRPr="00995B26">
        <w:rPr>
          <w:rFonts w:ascii="Abo-thar" w:hAnsi="Abo-thar"/>
          <w:sz w:val="28"/>
          <w:rtl/>
        </w:rPr>
        <w:t>ركين بقهرهم والتغلب عليهم في القتال</w:t>
      </w:r>
      <w:r w:rsidR="00217AB4" w:rsidRPr="00995B26">
        <w:rPr>
          <w:rFonts w:ascii="Abo-thar" w:hAnsi="Abo-thar" w:hint="cs"/>
          <w:sz w:val="28"/>
          <w:rtl/>
        </w:rPr>
        <w:t>.</w:t>
      </w:r>
      <w:r w:rsidRPr="00995B26">
        <w:rPr>
          <w:rFonts w:ascii="Abo-thar" w:hAnsi="Abo-thar" w:hint="cs"/>
          <w:sz w:val="28"/>
          <w:rtl/>
        </w:rPr>
        <w:t xml:space="preserve"> وفيما يلي بعض النصوص الفقهية في ذلك</w:t>
      </w:r>
      <w:r w:rsidR="00217AB4" w:rsidRPr="00995B26">
        <w:rPr>
          <w:rFonts w:ascii="Abo-thar" w:hAnsi="Abo-thar" w:hint="cs"/>
          <w:sz w:val="28"/>
          <w:rtl/>
        </w:rPr>
        <w:t>:</w:t>
      </w:r>
      <w:r w:rsidRPr="00995B26">
        <w:rPr>
          <w:rFonts w:ascii="Abo-thar" w:hAnsi="Abo-thar" w:hint="cs"/>
          <w:sz w:val="28"/>
          <w:rtl/>
        </w:rPr>
        <w:t xml:space="preserve"> </w:t>
      </w:r>
    </w:p>
    <w:p w:rsidR="005C664D" w:rsidRPr="003F3B94" w:rsidRDefault="005C664D" w:rsidP="00445175">
      <w:pPr>
        <w:pStyle w:val="a0"/>
        <w:ind w:left="624" w:hanging="340"/>
        <w:rPr>
          <w:rtl/>
        </w:rPr>
      </w:pPr>
      <w:r w:rsidRPr="003F3B94">
        <w:rPr>
          <w:rFonts w:ascii="Abo-thar" w:hAnsi="Abo-thar" w:hint="cs"/>
          <w:sz w:val="28"/>
          <w:rtl/>
        </w:rPr>
        <w:t>ألف</w:t>
      </w:r>
      <w:r w:rsidR="00217AB4" w:rsidRPr="003F3B94">
        <w:rPr>
          <w:rFonts w:ascii="Abo-thar" w:hAnsi="Abo-thar"/>
          <w:sz w:val="28"/>
          <w:rtl/>
        </w:rPr>
        <w:t>-</w:t>
      </w:r>
      <w:r w:rsidR="00147857" w:rsidRPr="003F3B94">
        <w:rPr>
          <w:rFonts w:ascii="Abo-thar" w:hAnsi="Abo-thar"/>
          <w:sz w:val="28"/>
          <w:rtl/>
        </w:rPr>
        <w:t xml:space="preserve"> </w:t>
      </w:r>
      <w:r w:rsidRPr="003F3B94">
        <w:rPr>
          <w:rFonts w:ascii="Abo-thar" w:hAnsi="Abo-thar"/>
          <w:sz w:val="28"/>
          <w:rtl/>
        </w:rPr>
        <w:t>قال الشافعي</w:t>
      </w:r>
      <w:r w:rsidR="00217AB4" w:rsidRPr="003F3B94">
        <w:rPr>
          <w:rFonts w:ascii="Abo-thar" w:hAnsi="Abo-thar"/>
          <w:sz w:val="28"/>
          <w:rtl/>
        </w:rPr>
        <w:t>:</w:t>
      </w:r>
      <w:r w:rsidRPr="003F3B94">
        <w:rPr>
          <w:rFonts w:ascii="Abo-thar" w:hAnsi="Abo-thar"/>
          <w:sz w:val="28"/>
          <w:rtl/>
        </w:rPr>
        <w:t xml:space="preserve"> </w:t>
      </w:r>
      <w:r w:rsidR="00EF2588" w:rsidRPr="003F3B94">
        <w:rPr>
          <w:rFonts w:ascii="Abo-thar" w:hAnsi="Abo-thar" w:hint="cs"/>
          <w:sz w:val="28"/>
          <w:rtl/>
        </w:rPr>
        <w:t>«</w:t>
      </w:r>
      <w:r w:rsidRPr="003F3B94">
        <w:rPr>
          <w:rFonts w:ascii="Abo-thar" w:hAnsi="Abo-thar" w:hint="cs"/>
          <w:b/>
          <w:bCs/>
          <w:sz w:val="28"/>
          <w:rtl/>
        </w:rPr>
        <w:t>والغنيمة</w:t>
      </w:r>
      <w:r w:rsidRPr="003F3B94">
        <w:rPr>
          <w:rFonts w:ascii="Abo-thar" w:hAnsi="Abo-thar"/>
          <w:b/>
          <w:bCs/>
          <w:sz w:val="28"/>
          <w:rtl/>
        </w:rPr>
        <w:t xml:space="preserve"> ه</w:t>
      </w:r>
      <w:r w:rsidR="00D326AD" w:rsidRPr="003F3B94">
        <w:rPr>
          <w:rFonts w:ascii="Abo-thar" w:hAnsi="Abo-thar" w:hint="cs"/>
          <w:b/>
          <w:bCs/>
          <w:sz w:val="28"/>
          <w:rtl/>
        </w:rPr>
        <w:t>ي</w:t>
      </w:r>
      <w:r w:rsidRPr="003F3B94">
        <w:rPr>
          <w:rFonts w:ascii="Abo-thar" w:hAnsi="Abo-thar"/>
          <w:b/>
          <w:bCs/>
          <w:sz w:val="28"/>
          <w:rtl/>
        </w:rPr>
        <w:t xml:space="preserve"> الموج</w:t>
      </w:r>
      <w:r w:rsidRPr="003F3B94">
        <w:rPr>
          <w:rFonts w:ascii="Abo-thar" w:hAnsi="Abo-thar" w:hint="cs"/>
          <w:b/>
          <w:bCs/>
          <w:sz w:val="28"/>
          <w:rtl/>
        </w:rPr>
        <w:t>َ</w:t>
      </w:r>
      <w:r w:rsidRPr="003F3B94">
        <w:rPr>
          <w:rFonts w:ascii="Abo-thar" w:hAnsi="Abo-thar"/>
          <w:b/>
          <w:bCs/>
          <w:sz w:val="28"/>
          <w:rtl/>
        </w:rPr>
        <w:t>ف عل</w:t>
      </w:r>
      <w:r w:rsidRPr="003F3B94">
        <w:rPr>
          <w:rFonts w:ascii="Abo-thar" w:hAnsi="Abo-thar" w:hint="cs"/>
          <w:b/>
          <w:bCs/>
          <w:sz w:val="28"/>
          <w:rtl/>
        </w:rPr>
        <w:t>ي</w:t>
      </w:r>
      <w:r w:rsidRPr="003F3B94">
        <w:rPr>
          <w:rFonts w:ascii="Abo-thar" w:hAnsi="Abo-thar" w:hint="eastAsia"/>
          <w:b/>
          <w:bCs/>
          <w:sz w:val="28"/>
          <w:rtl/>
        </w:rPr>
        <w:t>ها</w:t>
      </w:r>
      <w:r w:rsidRPr="003F3B94">
        <w:rPr>
          <w:rFonts w:ascii="Abo-thar" w:hAnsi="Abo-thar"/>
          <w:b/>
          <w:bCs/>
          <w:sz w:val="28"/>
          <w:rtl/>
        </w:rPr>
        <w:t xml:space="preserve"> بالخ</w:t>
      </w:r>
      <w:r w:rsidRPr="003F3B94">
        <w:rPr>
          <w:rFonts w:ascii="Abo-thar" w:hAnsi="Abo-thar" w:hint="cs"/>
          <w:b/>
          <w:bCs/>
          <w:sz w:val="28"/>
          <w:rtl/>
        </w:rPr>
        <w:t>ي</w:t>
      </w:r>
      <w:r w:rsidRPr="003F3B94">
        <w:rPr>
          <w:rFonts w:ascii="Abo-thar" w:hAnsi="Abo-thar" w:hint="eastAsia"/>
          <w:b/>
          <w:bCs/>
          <w:sz w:val="28"/>
          <w:rtl/>
        </w:rPr>
        <w:t>ل</w:t>
      </w:r>
      <w:r w:rsidRPr="003F3B94">
        <w:rPr>
          <w:rFonts w:ascii="Abo-thar" w:hAnsi="Abo-thar"/>
          <w:b/>
          <w:bCs/>
          <w:sz w:val="28"/>
          <w:rtl/>
        </w:rPr>
        <w:t xml:space="preserve"> والر</w:t>
      </w:r>
      <w:r w:rsidR="00D326AD" w:rsidRPr="003F3B94">
        <w:rPr>
          <w:rFonts w:ascii="Abo-thar" w:hAnsi="Abo-thar"/>
          <w:b/>
          <w:bCs/>
          <w:sz w:val="28"/>
          <w:rtl/>
        </w:rPr>
        <w:t>ك</w:t>
      </w:r>
      <w:r w:rsidRPr="003F3B94">
        <w:rPr>
          <w:rFonts w:ascii="Abo-thar" w:hAnsi="Abo-thar"/>
          <w:b/>
          <w:bCs/>
          <w:sz w:val="28"/>
          <w:rtl/>
        </w:rPr>
        <w:t>اب</w:t>
      </w:r>
      <w:r w:rsidR="00217AB4" w:rsidRPr="003F3B94">
        <w:rPr>
          <w:rFonts w:ascii="Abo-thar" w:hAnsi="Abo-thar" w:hint="cs"/>
          <w:b/>
          <w:bCs/>
          <w:sz w:val="28"/>
          <w:rtl/>
        </w:rPr>
        <w:t>،</w:t>
      </w:r>
      <w:r w:rsidRPr="003F3B94">
        <w:rPr>
          <w:rFonts w:ascii="Abo-thar" w:hAnsi="Abo-thar"/>
          <w:b/>
          <w:bCs/>
          <w:sz w:val="28"/>
          <w:rtl/>
        </w:rPr>
        <w:t xml:space="preserve"> والف</w:t>
      </w:r>
      <w:r w:rsidRPr="003F3B94">
        <w:rPr>
          <w:rFonts w:ascii="Abo-thar" w:hAnsi="Abo-thar" w:hint="cs"/>
          <w:b/>
          <w:bCs/>
          <w:sz w:val="28"/>
          <w:rtl/>
        </w:rPr>
        <w:t>ي</w:t>
      </w:r>
      <w:r w:rsidRPr="003F3B94">
        <w:rPr>
          <w:rFonts w:ascii="Abo-thar" w:hAnsi="Abo-thar" w:hint="eastAsia"/>
          <w:b/>
          <w:bCs/>
          <w:sz w:val="28"/>
          <w:rtl/>
        </w:rPr>
        <w:t>ء</w:t>
      </w:r>
      <w:r w:rsidRPr="003F3B94">
        <w:rPr>
          <w:rFonts w:ascii="Abo-thar" w:hAnsi="Abo-thar"/>
          <w:b/>
          <w:bCs/>
          <w:sz w:val="28"/>
          <w:rtl/>
        </w:rPr>
        <w:t xml:space="preserve"> هو ما</w:t>
      </w:r>
      <w:r w:rsidRPr="003F3B94">
        <w:rPr>
          <w:rFonts w:ascii="Abo-thar" w:hAnsi="Abo-thar" w:hint="cs"/>
          <w:b/>
          <w:bCs/>
          <w:sz w:val="28"/>
          <w:rtl/>
        </w:rPr>
        <w:t xml:space="preserve"> </w:t>
      </w:r>
      <w:r w:rsidRPr="003F3B94">
        <w:rPr>
          <w:rFonts w:ascii="Abo-thar" w:hAnsi="Abo-thar"/>
          <w:b/>
          <w:bCs/>
          <w:sz w:val="28"/>
          <w:rtl/>
        </w:rPr>
        <w:t xml:space="preserve">لم </w:t>
      </w:r>
      <w:r w:rsidRPr="003F3B94">
        <w:rPr>
          <w:rFonts w:ascii="Abo-thar" w:hAnsi="Abo-thar" w:hint="cs"/>
          <w:b/>
          <w:bCs/>
          <w:sz w:val="28"/>
          <w:rtl/>
        </w:rPr>
        <w:t>ي</w:t>
      </w:r>
      <w:r w:rsidRPr="003F3B94">
        <w:rPr>
          <w:rFonts w:ascii="Abo-thar" w:hAnsi="Abo-thar" w:hint="eastAsia"/>
          <w:b/>
          <w:bCs/>
          <w:sz w:val="28"/>
          <w:rtl/>
        </w:rPr>
        <w:t>وجف</w:t>
      </w:r>
      <w:r w:rsidRPr="003F3B94">
        <w:rPr>
          <w:rFonts w:ascii="Abo-thar" w:hAnsi="Abo-thar"/>
          <w:b/>
          <w:bCs/>
          <w:sz w:val="28"/>
          <w:rtl/>
        </w:rPr>
        <w:t xml:space="preserve"> عل</w:t>
      </w:r>
      <w:r w:rsidRPr="003F3B94">
        <w:rPr>
          <w:rFonts w:ascii="Abo-thar" w:hAnsi="Abo-thar" w:hint="cs"/>
          <w:b/>
          <w:bCs/>
          <w:sz w:val="28"/>
          <w:rtl/>
        </w:rPr>
        <w:t>ي</w:t>
      </w:r>
      <w:r w:rsidRPr="003F3B94">
        <w:rPr>
          <w:rFonts w:ascii="Abo-thar" w:hAnsi="Abo-thar" w:hint="eastAsia"/>
          <w:b/>
          <w:bCs/>
          <w:sz w:val="28"/>
          <w:rtl/>
        </w:rPr>
        <w:t>ه</w:t>
      </w:r>
      <w:r w:rsidRPr="003F3B94">
        <w:rPr>
          <w:rFonts w:ascii="Abo-thar" w:hAnsi="Abo-thar"/>
          <w:b/>
          <w:bCs/>
          <w:sz w:val="28"/>
          <w:rtl/>
        </w:rPr>
        <w:t xml:space="preserve"> بخ</w:t>
      </w:r>
      <w:r w:rsidRPr="003F3B94">
        <w:rPr>
          <w:rFonts w:ascii="Abo-thar" w:hAnsi="Abo-thar" w:hint="cs"/>
          <w:b/>
          <w:bCs/>
          <w:sz w:val="28"/>
          <w:rtl/>
        </w:rPr>
        <w:t>ي</w:t>
      </w:r>
      <w:r w:rsidRPr="003F3B94">
        <w:rPr>
          <w:rFonts w:ascii="Abo-thar" w:hAnsi="Abo-thar" w:hint="eastAsia"/>
          <w:b/>
          <w:bCs/>
          <w:sz w:val="28"/>
          <w:rtl/>
        </w:rPr>
        <w:t>ل</w:t>
      </w:r>
      <w:r w:rsidRPr="003F3B94">
        <w:rPr>
          <w:rFonts w:ascii="Abo-thar" w:hAnsi="Abo-thar"/>
          <w:b/>
          <w:bCs/>
          <w:sz w:val="28"/>
          <w:rtl/>
        </w:rPr>
        <w:t xml:space="preserve"> ولا ر</w:t>
      </w:r>
      <w:r w:rsidR="00D326AD" w:rsidRPr="003F3B94">
        <w:rPr>
          <w:rFonts w:ascii="Abo-thar" w:hAnsi="Abo-thar"/>
          <w:b/>
          <w:bCs/>
          <w:sz w:val="28"/>
          <w:rtl/>
        </w:rPr>
        <w:t>ك</w:t>
      </w:r>
      <w:r w:rsidRPr="003F3B94">
        <w:rPr>
          <w:rFonts w:ascii="Abo-thar" w:hAnsi="Abo-thar"/>
          <w:b/>
          <w:bCs/>
          <w:sz w:val="28"/>
          <w:rtl/>
        </w:rPr>
        <w:t>اب</w:t>
      </w:r>
      <w:r w:rsidR="00217AB4" w:rsidRPr="003F3B94">
        <w:rPr>
          <w:rFonts w:ascii="Abo-thar" w:hAnsi="Abo-thar"/>
          <w:b/>
          <w:bCs/>
          <w:sz w:val="28"/>
          <w:rtl/>
        </w:rPr>
        <w:t>!</w:t>
      </w:r>
      <w:r w:rsidR="00EF2588" w:rsidRPr="003F3B94">
        <w:rPr>
          <w:rFonts w:ascii="Abo-thar" w:hAnsi="Abo-thar" w:hint="cs"/>
          <w:sz w:val="28"/>
          <w:rtl/>
        </w:rPr>
        <w:t>»</w:t>
      </w:r>
      <w:r w:rsidR="00850FE5" w:rsidRPr="0021507A">
        <w:rPr>
          <w:rFonts w:cs="Arabic11 BT"/>
          <w:b/>
          <w:sz w:val="28"/>
          <w:vertAlign w:val="superscript"/>
          <w:rtl/>
        </w:rPr>
        <w:t>(</w:t>
      </w:r>
      <w:r w:rsidR="00850FE5" w:rsidRPr="0021507A">
        <w:rPr>
          <w:rStyle w:val="FootnoteReference"/>
          <w:rFonts w:cs="Arabic11 BT"/>
          <w:b/>
          <w:sz w:val="28"/>
          <w:rtl/>
        </w:rPr>
        <w:footnoteReference w:id="27"/>
      </w:r>
      <w:r w:rsidR="00850FE5" w:rsidRPr="0021507A">
        <w:rPr>
          <w:rFonts w:cs="Arabic11 BT"/>
          <w:b/>
          <w:sz w:val="28"/>
          <w:vertAlign w:val="superscript"/>
          <w:rtl/>
        </w:rPr>
        <w:t>)</w:t>
      </w:r>
      <w:r w:rsidR="00217AB4" w:rsidRPr="003F3B94">
        <w:rPr>
          <w:rFonts w:ascii="Abo-thar" w:hAnsi="Abo-thar" w:hint="cs"/>
          <w:sz w:val="28"/>
          <w:rtl/>
        </w:rPr>
        <w:t>.</w:t>
      </w:r>
      <w:r w:rsidRPr="003F3B94">
        <w:rPr>
          <w:rFonts w:ascii="Abo-thar" w:hAnsi="Abo-thar"/>
          <w:sz w:val="28"/>
          <w:rtl/>
        </w:rPr>
        <w:t xml:space="preserve"> </w:t>
      </w:r>
    </w:p>
    <w:p w:rsidR="005C664D" w:rsidRPr="003F3B94" w:rsidRDefault="005C664D" w:rsidP="00445175">
      <w:pPr>
        <w:pStyle w:val="a0"/>
        <w:ind w:left="624" w:hanging="340"/>
        <w:rPr>
          <w:rtl/>
        </w:rPr>
      </w:pPr>
      <w:r w:rsidRPr="003F3B94">
        <w:rPr>
          <w:rFonts w:ascii="Abo-thar" w:hAnsi="Abo-thar" w:hint="eastAsia"/>
          <w:sz w:val="28"/>
          <w:rtl/>
        </w:rPr>
        <w:t>ب</w:t>
      </w:r>
      <w:r w:rsidR="00217AB4" w:rsidRPr="003F3B94">
        <w:rPr>
          <w:rFonts w:ascii="Abo-thar" w:hAnsi="Abo-thar"/>
          <w:sz w:val="28"/>
          <w:rtl/>
        </w:rPr>
        <w:t>-</w:t>
      </w:r>
      <w:r w:rsidR="00147857" w:rsidRPr="003F3B94">
        <w:rPr>
          <w:rFonts w:ascii="Abo-thar" w:hAnsi="Abo-thar"/>
          <w:sz w:val="28"/>
          <w:rtl/>
        </w:rPr>
        <w:t xml:space="preserve"> </w:t>
      </w:r>
      <w:r w:rsidRPr="003F3B94">
        <w:rPr>
          <w:rFonts w:ascii="Abo-thar" w:hAnsi="Abo-thar"/>
          <w:sz w:val="28"/>
          <w:rtl/>
        </w:rPr>
        <w:t xml:space="preserve">وقال يحيى بن آدم في </w:t>
      </w:r>
      <w:r w:rsidR="00D326AD" w:rsidRPr="003F3B94">
        <w:rPr>
          <w:rFonts w:ascii="Abo-thar" w:hAnsi="Abo-thar"/>
          <w:sz w:val="28"/>
          <w:rtl/>
        </w:rPr>
        <w:t>ك</w:t>
      </w:r>
      <w:r w:rsidRPr="003F3B94">
        <w:rPr>
          <w:rFonts w:ascii="Abo-thar" w:hAnsi="Abo-thar"/>
          <w:sz w:val="28"/>
          <w:rtl/>
        </w:rPr>
        <w:t xml:space="preserve">تاب </w:t>
      </w:r>
      <w:r w:rsidRPr="003F3B94">
        <w:rPr>
          <w:rFonts w:ascii="Abo-thar" w:hAnsi="Abo-thar" w:hint="eastAsia"/>
          <w:sz w:val="28"/>
          <w:rtl/>
        </w:rPr>
        <w:t>«</w:t>
      </w:r>
      <w:r w:rsidRPr="003F3B94">
        <w:rPr>
          <w:rFonts w:ascii="Abo-thar" w:hAnsi="Abo-thar" w:hint="cs"/>
          <w:sz w:val="28"/>
          <w:rtl/>
        </w:rPr>
        <w:t>الخراج</w:t>
      </w:r>
      <w:r w:rsidRPr="003F3B94">
        <w:rPr>
          <w:rFonts w:ascii="Abo-thar" w:hAnsi="Abo-thar" w:hint="eastAsia"/>
          <w:sz w:val="28"/>
          <w:rtl/>
        </w:rPr>
        <w:t>»</w:t>
      </w:r>
      <w:r w:rsidR="00217AB4" w:rsidRPr="003F3B94">
        <w:rPr>
          <w:rFonts w:ascii="Abo-thar" w:hAnsi="Abo-thar"/>
          <w:sz w:val="28"/>
          <w:rtl/>
        </w:rPr>
        <w:t>:</w:t>
      </w:r>
      <w:r w:rsidRPr="003F3B94">
        <w:rPr>
          <w:rFonts w:ascii="Abo-thar" w:hAnsi="Abo-thar"/>
          <w:sz w:val="28"/>
          <w:rtl/>
        </w:rPr>
        <w:t xml:space="preserve"> </w:t>
      </w:r>
      <w:r w:rsidR="00EF2588" w:rsidRPr="003F3B94">
        <w:rPr>
          <w:rFonts w:ascii="Abo-thar" w:hAnsi="Abo-thar" w:hint="cs"/>
          <w:sz w:val="28"/>
          <w:rtl/>
        </w:rPr>
        <w:t>«</w:t>
      </w:r>
      <w:r w:rsidRPr="003F3B94">
        <w:rPr>
          <w:rFonts w:ascii="Abo-thar" w:hAnsi="Abo-thar"/>
          <w:b/>
          <w:bCs/>
          <w:sz w:val="28"/>
          <w:rtl/>
        </w:rPr>
        <w:t>سمعنا أن الغنيمة ما غلب عليه المسلمون بالقتال حتى يأخذوه عنوة</w:t>
      </w:r>
      <w:r w:rsidR="00217AB4" w:rsidRPr="0021507A">
        <w:rPr>
          <w:rFonts w:cs="Arabic11 BT"/>
          <w:b/>
          <w:sz w:val="28"/>
          <w:vertAlign w:val="superscript"/>
          <w:rtl/>
        </w:rPr>
        <w:t>(</w:t>
      </w:r>
      <w:r w:rsidRPr="0021507A">
        <w:rPr>
          <w:rStyle w:val="FootnoteReference"/>
          <w:rFonts w:cs="Arabic11 BT"/>
          <w:b/>
          <w:sz w:val="28"/>
          <w:rtl/>
        </w:rPr>
        <w:footnoteReference w:id="28"/>
      </w:r>
      <w:r w:rsidR="00217AB4" w:rsidRPr="0021507A">
        <w:rPr>
          <w:rFonts w:cs="Arabic11 BT"/>
          <w:b/>
          <w:sz w:val="28"/>
          <w:vertAlign w:val="superscript"/>
          <w:rtl/>
        </w:rPr>
        <w:t>)</w:t>
      </w:r>
      <w:r w:rsidR="00217AB4" w:rsidRPr="003F3B94">
        <w:rPr>
          <w:rFonts w:ascii="Abo-thar" w:hAnsi="Abo-thar"/>
          <w:b/>
          <w:bCs/>
          <w:sz w:val="28"/>
          <w:rtl/>
        </w:rPr>
        <w:t>،</w:t>
      </w:r>
      <w:r w:rsidRPr="003F3B94">
        <w:rPr>
          <w:rFonts w:ascii="Abo-thar" w:hAnsi="Abo-thar"/>
          <w:b/>
          <w:bCs/>
          <w:sz w:val="28"/>
          <w:rtl/>
        </w:rPr>
        <w:t xml:space="preserve"> وأن الف</w:t>
      </w:r>
      <w:r w:rsidRPr="003F3B94">
        <w:rPr>
          <w:rFonts w:ascii="Abo-thar" w:hAnsi="Abo-thar" w:hint="cs"/>
          <w:b/>
          <w:bCs/>
          <w:sz w:val="28"/>
          <w:rtl/>
        </w:rPr>
        <w:t>يء</w:t>
      </w:r>
      <w:r w:rsidRPr="003F3B94">
        <w:rPr>
          <w:rFonts w:ascii="Abo-thar" w:hAnsi="Abo-thar"/>
          <w:b/>
          <w:bCs/>
          <w:sz w:val="28"/>
          <w:rtl/>
        </w:rPr>
        <w:t xml:space="preserve"> ما صولحوا عليه</w:t>
      </w:r>
      <w:r w:rsidR="00EF2588" w:rsidRPr="003F3B94">
        <w:rPr>
          <w:rFonts w:ascii="Abo-thar" w:hAnsi="Abo-thar" w:hint="cs"/>
          <w:sz w:val="28"/>
          <w:rtl/>
        </w:rPr>
        <w:t>»</w:t>
      </w:r>
      <w:r w:rsidR="00495F41" w:rsidRPr="0021507A">
        <w:rPr>
          <w:rFonts w:cs="Arabic11 BT"/>
          <w:b/>
          <w:sz w:val="28"/>
          <w:vertAlign w:val="superscript"/>
          <w:rtl/>
        </w:rPr>
        <w:t>(</w:t>
      </w:r>
      <w:r w:rsidR="00495F41" w:rsidRPr="0021507A">
        <w:rPr>
          <w:rStyle w:val="FootnoteReference"/>
          <w:rFonts w:cs="Arabic11 BT"/>
          <w:b/>
          <w:sz w:val="28"/>
          <w:rtl/>
        </w:rPr>
        <w:footnoteReference w:id="29"/>
      </w:r>
      <w:r w:rsidR="00495F41" w:rsidRPr="0021507A">
        <w:rPr>
          <w:rFonts w:cs="Arabic11 BT"/>
          <w:b/>
          <w:sz w:val="28"/>
          <w:vertAlign w:val="superscript"/>
          <w:rtl/>
        </w:rPr>
        <w:t>)</w:t>
      </w:r>
      <w:r w:rsidR="00217AB4" w:rsidRPr="003F3B94">
        <w:rPr>
          <w:rFonts w:ascii="Abo-thar" w:hAnsi="Abo-thar"/>
          <w:sz w:val="28"/>
          <w:rtl/>
        </w:rPr>
        <w:t>.</w:t>
      </w:r>
      <w:r w:rsidRPr="003F3B94">
        <w:rPr>
          <w:rFonts w:ascii="Abo-thar" w:hAnsi="Abo-thar"/>
          <w:sz w:val="28"/>
          <w:rtl/>
        </w:rPr>
        <w:t xml:space="preserve"> </w:t>
      </w:r>
    </w:p>
    <w:p w:rsidR="00FA103E" w:rsidRPr="00995B26" w:rsidRDefault="005C664D" w:rsidP="00445175">
      <w:pPr>
        <w:pStyle w:val="a0"/>
        <w:ind w:left="624" w:hanging="340"/>
        <w:rPr>
          <w:rFonts w:hint="cs"/>
        </w:rPr>
      </w:pPr>
      <w:r w:rsidRPr="003F3B94">
        <w:rPr>
          <w:rFonts w:ascii="Abo-thar" w:hAnsi="Abo-thar" w:hint="eastAsia"/>
          <w:sz w:val="28"/>
          <w:rtl/>
        </w:rPr>
        <w:t>ج</w:t>
      </w:r>
      <w:r w:rsidR="00217AB4" w:rsidRPr="003F3B94">
        <w:rPr>
          <w:rFonts w:ascii="Abo-thar" w:hAnsi="Abo-thar"/>
          <w:sz w:val="28"/>
          <w:rtl/>
        </w:rPr>
        <w:t>-</w:t>
      </w:r>
      <w:r w:rsidR="00147857" w:rsidRPr="003F3B94">
        <w:rPr>
          <w:rFonts w:ascii="Abo-thar" w:hAnsi="Abo-thar"/>
          <w:sz w:val="28"/>
          <w:rtl/>
        </w:rPr>
        <w:t xml:space="preserve"> </w:t>
      </w:r>
      <w:r w:rsidRPr="003F3B94">
        <w:rPr>
          <w:rFonts w:ascii="Abo-thar" w:hAnsi="Abo-thar"/>
          <w:sz w:val="28"/>
          <w:rtl/>
        </w:rPr>
        <w:t>وقال الماورد</w:t>
      </w:r>
      <w:r w:rsidRPr="003F3B94">
        <w:rPr>
          <w:rFonts w:ascii="Abo-thar" w:hAnsi="Abo-thar" w:hint="cs"/>
          <w:sz w:val="28"/>
          <w:rtl/>
        </w:rPr>
        <w:t>يُّ</w:t>
      </w:r>
      <w:r w:rsidRPr="003F3B94">
        <w:rPr>
          <w:rFonts w:ascii="Abo-thar" w:hAnsi="Abo-thar"/>
          <w:sz w:val="28"/>
          <w:rtl/>
        </w:rPr>
        <w:t xml:space="preserve"> في </w:t>
      </w:r>
      <w:r w:rsidRPr="003F3B94">
        <w:rPr>
          <w:rFonts w:ascii="Abo-thar" w:hAnsi="Abo-thar" w:hint="eastAsia"/>
          <w:sz w:val="28"/>
          <w:rtl/>
        </w:rPr>
        <w:t>«</w:t>
      </w:r>
      <w:r w:rsidRPr="003F3B94">
        <w:rPr>
          <w:rFonts w:ascii="Abo-thar" w:hAnsi="Abo-thar" w:hint="cs"/>
          <w:sz w:val="28"/>
          <w:rtl/>
        </w:rPr>
        <w:t>الأحكام السلطانية</w:t>
      </w:r>
      <w:r w:rsidRPr="003F3B94">
        <w:rPr>
          <w:rFonts w:ascii="Abo-thar" w:hAnsi="Abo-thar" w:hint="eastAsia"/>
          <w:sz w:val="28"/>
          <w:rtl/>
        </w:rPr>
        <w:t>»</w:t>
      </w:r>
      <w:r w:rsidR="00217AB4" w:rsidRPr="003F3B94">
        <w:rPr>
          <w:rFonts w:ascii="Abo-thar" w:hAnsi="Abo-thar"/>
          <w:sz w:val="28"/>
          <w:rtl/>
        </w:rPr>
        <w:t>:</w:t>
      </w:r>
      <w:r w:rsidRPr="003F3B94">
        <w:rPr>
          <w:rFonts w:ascii="Abo-thar" w:hAnsi="Abo-thar"/>
          <w:sz w:val="28"/>
          <w:rtl/>
        </w:rPr>
        <w:t xml:space="preserve"> </w:t>
      </w:r>
      <w:r w:rsidR="00EF2588" w:rsidRPr="003F3B94">
        <w:rPr>
          <w:rFonts w:ascii="Abo-thar" w:hAnsi="Abo-thar" w:hint="cs"/>
          <w:sz w:val="28"/>
          <w:rtl/>
        </w:rPr>
        <w:t>«</w:t>
      </w:r>
      <w:r w:rsidRPr="003F3B94">
        <w:rPr>
          <w:rFonts w:ascii="Abo-thar" w:hAnsi="Abo-thar" w:hint="cs"/>
          <w:b/>
          <w:bCs/>
          <w:sz w:val="28"/>
          <w:rtl/>
        </w:rPr>
        <w:t>الغنيمة</w:t>
      </w:r>
      <w:r w:rsidRPr="003F3B94">
        <w:rPr>
          <w:rFonts w:ascii="Abo-thar" w:hAnsi="Abo-thar"/>
          <w:b/>
          <w:bCs/>
          <w:sz w:val="28"/>
          <w:rtl/>
        </w:rPr>
        <w:t xml:space="preserve"> </w:t>
      </w:r>
      <w:r w:rsidRPr="003F3B94">
        <w:rPr>
          <w:rFonts w:ascii="Abo-thar" w:hAnsi="Abo-thar" w:hint="cs"/>
          <w:b/>
          <w:bCs/>
          <w:sz w:val="28"/>
          <w:rtl/>
        </w:rPr>
        <w:t>والفيء</w:t>
      </w:r>
      <w:r w:rsidRPr="003F3B94">
        <w:rPr>
          <w:rFonts w:ascii="Abo-thar" w:hAnsi="Abo-thar"/>
          <w:b/>
          <w:bCs/>
          <w:sz w:val="28"/>
          <w:rtl/>
        </w:rPr>
        <w:t xml:space="preserve"> </w:t>
      </w:r>
      <w:r w:rsidRPr="003F3B94">
        <w:rPr>
          <w:rFonts w:ascii="Abo-thar" w:hAnsi="Abo-thar" w:hint="cs"/>
          <w:b/>
          <w:bCs/>
          <w:sz w:val="28"/>
          <w:rtl/>
        </w:rPr>
        <w:t>ي</w:t>
      </w:r>
      <w:r w:rsidRPr="003F3B94">
        <w:rPr>
          <w:rFonts w:ascii="Abo-thar" w:hAnsi="Abo-thar" w:hint="eastAsia"/>
          <w:b/>
          <w:bCs/>
          <w:sz w:val="28"/>
          <w:rtl/>
        </w:rPr>
        <w:t>فترقان</w:t>
      </w:r>
      <w:r w:rsidRPr="003F3B94">
        <w:rPr>
          <w:rFonts w:ascii="Abo-thar" w:hAnsi="Abo-thar"/>
          <w:b/>
          <w:bCs/>
          <w:sz w:val="28"/>
          <w:rtl/>
        </w:rPr>
        <w:t xml:space="preserve"> ف</w:t>
      </w:r>
      <w:r w:rsidR="00D326AD" w:rsidRPr="003F3B94">
        <w:rPr>
          <w:rFonts w:ascii="Abo-thar" w:hAnsi="Abo-thar" w:hint="cs"/>
          <w:b/>
          <w:bCs/>
          <w:sz w:val="28"/>
          <w:rtl/>
        </w:rPr>
        <w:t>ي</w:t>
      </w:r>
      <w:r w:rsidRPr="003F3B94">
        <w:rPr>
          <w:rFonts w:ascii="Abo-thar" w:hAnsi="Abo-thar"/>
          <w:b/>
          <w:bCs/>
          <w:sz w:val="28"/>
          <w:rtl/>
        </w:rPr>
        <w:t xml:space="preserve"> </w:t>
      </w:r>
      <w:r w:rsidRPr="003F3B94">
        <w:rPr>
          <w:rFonts w:ascii="Abo-thar" w:hAnsi="Abo-thar" w:hint="cs"/>
          <w:b/>
          <w:bCs/>
          <w:sz w:val="28"/>
          <w:rtl/>
        </w:rPr>
        <w:t>أن</w:t>
      </w:r>
      <w:r w:rsidRPr="003F3B94">
        <w:rPr>
          <w:rFonts w:ascii="Abo-thar" w:hAnsi="Abo-thar"/>
          <w:b/>
          <w:bCs/>
          <w:sz w:val="28"/>
          <w:rtl/>
        </w:rPr>
        <w:t xml:space="preserve"> الف</w:t>
      </w:r>
      <w:r w:rsidRPr="003F3B94">
        <w:rPr>
          <w:rFonts w:ascii="Abo-thar" w:hAnsi="Abo-thar" w:hint="cs"/>
          <w:b/>
          <w:bCs/>
          <w:sz w:val="28"/>
          <w:rtl/>
        </w:rPr>
        <w:t>ي</w:t>
      </w:r>
      <w:r w:rsidRPr="003F3B94">
        <w:rPr>
          <w:rFonts w:ascii="Abo-thar" w:hAnsi="Abo-thar" w:hint="eastAsia"/>
          <w:b/>
          <w:bCs/>
          <w:sz w:val="28"/>
          <w:rtl/>
        </w:rPr>
        <w:t>ء</w:t>
      </w:r>
      <w:r w:rsidRPr="003F3B94">
        <w:rPr>
          <w:rFonts w:ascii="Abo-thar" w:hAnsi="Abo-thar"/>
          <w:b/>
          <w:bCs/>
          <w:sz w:val="28"/>
          <w:rtl/>
        </w:rPr>
        <w:t xml:space="preserve"> مأخوذ</w:t>
      </w:r>
      <w:r w:rsidRPr="003F3B94">
        <w:rPr>
          <w:rFonts w:ascii="Abo-thar" w:hAnsi="Abo-thar" w:hint="cs"/>
          <w:b/>
          <w:bCs/>
          <w:sz w:val="28"/>
          <w:rtl/>
        </w:rPr>
        <w:t>ٌ</w:t>
      </w:r>
      <w:r w:rsidRPr="003F3B94">
        <w:rPr>
          <w:rFonts w:ascii="Abo-thar" w:hAnsi="Abo-thar"/>
          <w:b/>
          <w:bCs/>
          <w:sz w:val="28"/>
          <w:rtl/>
        </w:rPr>
        <w:t xml:space="preserve"> عفواً</w:t>
      </w:r>
      <w:r w:rsidR="00147857" w:rsidRPr="003F3B94">
        <w:rPr>
          <w:rFonts w:ascii="Abo-thar" w:hAnsi="Abo-thar"/>
          <w:b/>
          <w:bCs/>
          <w:sz w:val="28"/>
          <w:rtl/>
        </w:rPr>
        <w:t xml:space="preserve"> و</w:t>
      </w:r>
      <w:r w:rsidRPr="003F3B94">
        <w:rPr>
          <w:rFonts w:ascii="Abo-thar" w:hAnsi="Abo-thar"/>
          <w:b/>
          <w:bCs/>
          <w:sz w:val="28"/>
          <w:rtl/>
        </w:rPr>
        <w:t>مال</w:t>
      </w:r>
      <w:r w:rsidRPr="003F3B94">
        <w:rPr>
          <w:rFonts w:cs="Times New Roman" w:hint="cs"/>
          <w:b/>
          <w:bCs/>
          <w:sz w:val="28"/>
          <w:rtl/>
        </w:rPr>
        <w:t>‌</w:t>
      </w:r>
      <w:r w:rsidRPr="003F3B94">
        <w:rPr>
          <w:rFonts w:ascii="Abo-thar" w:hAnsi="Abo-thar" w:hint="cs"/>
          <w:b/>
          <w:bCs/>
          <w:sz w:val="28"/>
          <w:rtl/>
        </w:rPr>
        <w:t xml:space="preserve"> الغنيمة</w:t>
      </w:r>
      <w:r w:rsidRPr="003F3B94">
        <w:rPr>
          <w:rFonts w:ascii="Abo-thar" w:hAnsi="Abo-thar"/>
          <w:b/>
          <w:bCs/>
          <w:sz w:val="28"/>
          <w:rtl/>
        </w:rPr>
        <w:t xml:space="preserve"> مأخوذ</w:t>
      </w:r>
      <w:r w:rsidRPr="003F3B94">
        <w:rPr>
          <w:rFonts w:ascii="Abo-thar" w:hAnsi="Abo-thar" w:hint="cs"/>
          <w:b/>
          <w:bCs/>
          <w:sz w:val="28"/>
          <w:rtl/>
        </w:rPr>
        <w:t>ٌ</w:t>
      </w:r>
      <w:r w:rsidRPr="003F3B94">
        <w:rPr>
          <w:rFonts w:ascii="Abo-thar" w:hAnsi="Abo-thar"/>
          <w:b/>
          <w:bCs/>
          <w:sz w:val="28"/>
          <w:rtl/>
        </w:rPr>
        <w:t xml:space="preserve"> قهراً</w:t>
      </w:r>
      <w:r w:rsidR="00EF2588" w:rsidRPr="003F3B94">
        <w:rPr>
          <w:rFonts w:ascii="Abo-thar" w:hAnsi="Abo-thar" w:hint="cs"/>
          <w:sz w:val="28"/>
          <w:rtl/>
        </w:rPr>
        <w:t>»</w:t>
      </w:r>
      <w:r w:rsidR="00FA103E" w:rsidRPr="0021507A">
        <w:rPr>
          <w:rStyle w:val="FootnoteReference"/>
          <w:rFonts w:cs="Arabic11 BT"/>
          <w:b/>
          <w:rtl/>
        </w:rPr>
        <w:t>(</w:t>
      </w:r>
      <w:r w:rsidR="00FA103E" w:rsidRPr="0021507A">
        <w:rPr>
          <w:rStyle w:val="FootnoteReference"/>
          <w:rFonts w:cs="Arabic11 BT"/>
          <w:b/>
          <w:rtl/>
        </w:rPr>
        <w:footnoteReference w:id="30"/>
      </w:r>
      <w:r w:rsidR="00FA103E" w:rsidRPr="0021507A">
        <w:rPr>
          <w:rStyle w:val="FootnoteReference"/>
          <w:rFonts w:cs="Arabic11 BT"/>
          <w:b/>
          <w:rtl/>
        </w:rPr>
        <w:t>)</w:t>
      </w:r>
      <w:r w:rsidR="00FA103E" w:rsidRPr="00995B26">
        <w:rPr>
          <w:rFonts w:cs="Times New Roman" w:hint="cs"/>
          <w:szCs w:val="24"/>
          <w:rtl/>
        </w:rPr>
        <w:t>.</w:t>
      </w:r>
    </w:p>
    <w:p w:rsidR="005C664D" w:rsidRPr="003F3B94" w:rsidRDefault="005C664D" w:rsidP="00445175">
      <w:pPr>
        <w:pStyle w:val="a0"/>
        <w:ind w:left="624" w:firstLine="0"/>
        <w:rPr>
          <w:rFonts w:hint="cs"/>
          <w:rtl/>
        </w:rPr>
      </w:pPr>
      <w:r w:rsidRPr="003F3B94">
        <w:rPr>
          <w:rFonts w:ascii="Abo-thar" w:hAnsi="Abo-thar" w:hint="cs"/>
          <w:sz w:val="28"/>
          <w:rtl/>
        </w:rPr>
        <w:t>هذا رغم أن هناك خلاف بين الفقهاء في معنى «الفيء» إذْ اعتبره بعضهم بمعنى الغنيمة أيضاً</w:t>
      </w:r>
      <w:r w:rsidR="00217AB4" w:rsidRPr="003F3B94">
        <w:rPr>
          <w:rFonts w:ascii="Abo-thar" w:hAnsi="Abo-thar" w:hint="cs"/>
          <w:sz w:val="28"/>
          <w:rtl/>
        </w:rPr>
        <w:t>.</w:t>
      </w:r>
    </w:p>
    <w:p w:rsidR="005C664D" w:rsidRPr="00995B26" w:rsidRDefault="005C664D" w:rsidP="00445175">
      <w:pPr>
        <w:pStyle w:val="a0"/>
        <w:ind w:left="624" w:hanging="340"/>
        <w:rPr>
          <w:rFonts w:hint="cs"/>
          <w:rtl/>
        </w:rPr>
      </w:pPr>
      <w:r w:rsidRPr="003F3B94">
        <w:rPr>
          <w:rFonts w:ascii="Abo-thar" w:hAnsi="Abo-thar" w:hint="eastAsia"/>
          <w:sz w:val="28"/>
          <w:rtl/>
        </w:rPr>
        <w:t>د</w:t>
      </w:r>
      <w:r w:rsidR="00217AB4" w:rsidRPr="003F3B94">
        <w:rPr>
          <w:rFonts w:ascii="Abo-thar" w:hAnsi="Abo-thar"/>
          <w:sz w:val="28"/>
          <w:rtl/>
        </w:rPr>
        <w:t>-</w:t>
      </w:r>
      <w:r w:rsidR="00147857" w:rsidRPr="003F3B94">
        <w:rPr>
          <w:rFonts w:ascii="Abo-thar" w:hAnsi="Abo-thar"/>
          <w:sz w:val="28"/>
          <w:rtl/>
        </w:rPr>
        <w:t xml:space="preserve"> </w:t>
      </w:r>
      <w:r w:rsidRPr="003F3B94">
        <w:rPr>
          <w:rFonts w:ascii="Abo-thar" w:hAnsi="Abo-thar" w:hint="cs"/>
          <w:sz w:val="28"/>
          <w:rtl/>
        </w:rPr>
        <w:t xml:space="preserve">وكتب أبو </w:t>
      </w:r>
      <w:r w:rsidR="00495F41" w:rsidRPr="003F3B94">
        <w:rPr>
          <w:rFonts w:ascii="Abo-thar" w:hAnsi="Abo-thar" w:hint="cs"/>
          <w:sz w:val="28"/>
          <w:rtl/>
        </w:rPr>
        <w:t>ي</w:t>
      </w:r>
      <w:r w:rsidRPr="003F3B94">
        <w:rPr>
          <w:rFonts w:ascii="Abo-thar" w:hAnsi="Abo-thar" w:hint="cs"/>
          <w:sz w:val="28"/>
          <w:rtl/>
        </w:rPr>
        <w:t>وسف القاضي</w:t>
      </w:r>
      <w:r w:rsidRPr="003F3B94">
        <w:rPr>
          <w:rFonts w:ascii="Abo-thar" w:hAnsi="Abo-thar"/>
          <w:sz w:val="28"/>
          <w:rtl/>
        </w:rPr>
        <w:t xml:space="preserve"> </w:t>
      </w:r>
      <w:r w:rsidRPr="003F3B94">
        <w:rPr>
          <w:rFonts w:ascii="Abo-thar" w:hAnsi="Abo-thar" w:hint="cs"/>
          <w:sz w:val="28"/>
          <w:rtl/>
        </w:rPr>
        <w:t>في كتابه «الخراج»</w:t>
      </w:r>
      <w:r w:rsidRPr="003F3B94">
        <w:rPr>
          <w:rFonts w:ascii="Abo-thar" w:hAnsi="Abo-thar"/>
          <w:sz w:val="28"/>
          <w:rtl/>
        </w:rPr>
        <w:t xml:space="preserve"> </w:t>
      </w:r>
      <w:r w:rsidRPr="003F3B94">
        <w:rPr>
          <w:rFonts w:ascii="Abo-thar" w:hAnsi="Abo-thar" w:hint="cs"/>
          <w:sz w:val="28"/>
          <w:rtl/>
        </w:rPr>
        <w:t>في بيان معنى «الغنيمة»</w:t>
      </w:r>
      <w:r w:rsidR="00217AB4" w:rsidRPr="003F3B94">
        <w:rPr>
          <w:rFonts w:ascii="Abo-thar" w:hAnsi="Abo-thar"/>
          <w:sz w:val="28"/>
          <w:rtl/>
        </w:rPr>
        <w:t>:</w:t>
      </w:r>
      <w:r w:rsidRPr="003F3B94">
        <w:rPr>
          <w:rFonts w:ascii="Abo-thar" w:hAnsi="Abo-thar"/>
          <w:sz w:val="28"/>
          <w:rtl/>
        </w:rPr>
        <w:t xml:space="preserve"> </w:t>
      </w:r>
      <w:r w:rsidR="00EF2588" w:rsidRPr="003F3B94">
        <w:rPr>
          <w:rFonts w:ascii="Abo-thar" w:hAnsi="Abo-thar" w:hint="cs"/>
          <w:sz w:val="28"/>
          <w:rtl/>
        </w:rPr>
        <w:t>«</w:t>
      </w:r>
      <w:r w:rsidRPr="003F3B94">
        <w:rPr>
          <w:rFonts w:ascii="Abo-thar" w:hAnsi="Abo-thar"/>
          <w:b/>
          <w:bCs/>
          <w:sz w:val="28"/>
          <w:rtl/>
        </w:rPr>
        <w:t>أما ما سألت عنه يا أمير المؤمنين من قسمت الغنائم إذا أصيبت من العدو</w:t>
      </w:r>
      <w:r w:rsidR="00217AB4" w:rsidRPr="003F3B94">
        <w:rPr>
          <w:rFonts w:ascii="Abo-thar" w:hAnsi="Abo-thar"/>
          <w:b/>
          <w:bCs/>
          <w:sz w:val="28"/>
          <w:rtl/>
        </w:rPr>
        <w:t>.</w:t>
      </w:r>
      <w:r w:rsidR="00217AB4" w:rsidRPr="003F3B94">
        <w:rPr>
          <w:rFonts w:ascii="Abo-thar" w:hAnsi="Abo-thar" w:hint="cs"/>
          <w:b/>
          <w:bCs/>
          <w:sz w:val="28"/>
          <w:rtl/>
        </w:rPr>
        <w:t>.</w:t>
      </w:r>
      <w:r w:rsidR="00217AB4" w:rsidRPr="003F3B94">
        <w:rPr>
          <w:rFonts w:ascii="Abo-thar" w:hAnsi="Abo-thar"/>
          <w:b/>
          <w:bCs/>
          <w:sz w:val="28"/>
          <w:rtl/>
        </w:rPr>
        <w:t>،</w:t>
      </w:r>
      <w:r w:rsidRPr="003F3B94">
        <w:rPr>
          <w:rFonts w:ascii="Abo-thar" w:hAnsi="Abo-thar"/>
          <w:b/>
          <w:bCs/>
          <w:sz w:val="28"/>
          <w:rtl/>
        </w:rPr>
        <w:t xml:space="preserve"> فإن الله تبارك وتعالى قد أنزل بيان ذلك في كتابه فقال</w:t>
      </w:r>
      <w:r w:rsidR="00217AB4" w:rsidRPr="003F3B94">
        <w:rPr>
          <w:rFonts w:ascii="Abo-thar" w:hAnsi="Abo-thar" w:hint="cs"/>
          <w:b/>
          <w:bCs/>
          <w:sz w:val="28"/>
          <w:rtl/>
        </w:rPr>
        <w:t>..</w:t>
      </w:r>
      <w:r w:rsidRPr="003F3B94">
        <w:rPr>
          <w:rFonts w:ascii="Abo-thar" w:hAnsi="Abo-thar"/>
          <w:b/>
          <w:bCs/>
          <w:sz w:val="28"/>
          <w:rtl/>
        </w:rPr>
        <w:t xml:space="preserve"> </w:t>
      </w:r>
      <w:r w:rsidR="00E77B3F" w:rsidRPr="00995B26">
        <w:rPr>
          <w:rFonts w:ascii="Abo-thar" w:hAnsi="Abo-thar" w:cs="Traditional Arabic" w:hint="cs"/>
          <w:sz w:val="28"/>
          <w:rtl/>
        </w:rPr>
        <w:t>﴿</w:t>
      </w:r>
      <w:r w:rsidR="00E77B3F" w:rsidRPr="00DF7CAE">
        <w:rPr>
          <w:rStyle w:val="Char3"/>
          <w:rFonts w:hint="eastAsia"/>
          <w:rtl/>
        </w:rPr>
        <w:t xml:space="preserve"> وَ</w:t>
      </w:r>
      <w:r w:rsidR="00E77B3F" w:rsidRPr="00DF7CAE">
        <w:rPr>
          <w:rStyle w:val="Char3"/>
          <w:rFonts w:hint="cs"/>
          <w:rtl/>
        </w:rPr>
        <w:t>ٱ</w:t>
      </w:r>
      <w:r w:rsidR="00E77B3F" w:rsidRPr="00DF7CAE">
        <w:rPr>
          <w:rStyle w:val="Char3"/>
          <w:rFonts w:hint="eastAsia"/>
          <w:rtl/>
        </w:rPr>
        <w:t>ع</w:t>
      </w:r>
      <w:r w:rsidR="00E77B3F" w:rsidRPr="00DF7CAE">
        <w:rPr>
          <w:rStyle w:val="Char3"/>
          <w:rFonts w:hint="cs"/>
          <w:rtl/>
        </w:rPr>
        <w:t>ۡ</w:t>
      </w:r>
      <w:r w:rsidR="00E77B3F" w:rsidRPr="00DF7CAE">
        <w:rPr>
          <w:rStyle w:val="Char3"/>
          <w:rFonts w:hint="eastAsia"/>
          <w:rtl/>
        </w:rPr>
        <w:t>لَمُو</w:t>
      </w:r>
      <w:r w:rsidR="00E77B3F" w:rsidRPr="00DF7CAE">
        <w:rPr>
          <w:rStyle w:val="Char3"/>
          <w:rFonts w:hint="cs"/>
          <w:rtl/>
        </w:rPr>
        <w:t>ٓ</w:t>
      </w:r>
      <w:r w:rsidR="00E77B3F" w:rsidRPr="00DF7CAE">
        <w:rPr>
          <w:rStyle w:val="Char3"/>
          <w:rFonts w:hint="eastAsia"/>
          <w:rtl/>
        </w:rPr>
        <w:t>اْ</w:t>
      </w:r>
      <w:r w:rsidR="00E77B3F" w:rsidRPr="00DF7CAE">
        <w:rPr>
          <w:rStyle w:val="Char3"/>
          <w:rtl/>
        </w:rPr>
        <w:t xml:space="preserve"> </w:t>
      </w:r>
      <w:r w:rsidR="00E77B3F" w:rsidRPr="00DF7CAE">
        <w:rPr>
          <w:rStyle w:val="Char3"/>
          <w:rFonts w:hint="eastAsia"/>
          <w:rtl/>
        </w:rPr>
        <w:t>أَنَّمَا</w:t>
      </w:r>
      <w:r w:rsidR="00E77B3F" w:rsidRPr="00DF7CAE">
        <w:rPr>
          <w:rStyle w:val="Char3"/>
          <w:rtl/>
        </w:rPr>
        <w:t xml:space="preserve"> </w:t>
      </w:r>
      <w:r w:rsidR="00E77B3F" w:rsidRPr="00DF7CAE">
        <w:rPr>
          <w:rStyle w:val="Char3"/>
          <w:rFonts w:hint="eastAsia"/>
          <w:rtl/>
        </w:rPr>
        <w:t>غَنِم</w:t>
      </w:r>
      <w:r w:rsidR="00E77B3F" w:rsidRPr="00DF7CAE">
        <w:rPr>
          <w:rStyle w:val="Char3"/>
          <w:rFonts w:hint="cs"/>
          <w:rtl/>
        </w:rPr>
        <w:t>ۡ</w:t>
      </w:r>
      <w:r w:rsidR="00E77B3F" w:rsidRPr="00DF7CAE">
        <w:rPr>
          <w:rStyle w:val="Char3"/>
          <w:rFonts w:hint="eastAsia"/>
          <w:rtl/>
        </w:rPr>
        <w:t>تُم</w:t>
      </w:r>
      <w:r w:rsidR="00E77B3F" w:rsidRPr="00DF7CAE">
        <w:rPr>
          <w:rStyle w:val="Char3"/>
          <w:rtl/>
        </w:rPr>
        <w:t xml:space="preserve"> </w:t>
      </w:r>
      <w:r w:rsidR="00E77B3F" w:rsidRPr="00DF7CAE">
        <w:rPr>
          <w:rStyle w:val="Char3"/>
          <w:rFonts w:hint="eastAsia"/>
          <w:rtl/>
        </w:rPr>
        <w:t>مِّن</w:t>
      </w:r>
      <w:r w:rsidR="00E77B3F" w:rsidRPr="00DF7CAE">
        <w:rPr>
          <w:rStyle w:val="Char3"/>
          <w:rtl/>
        </w:rPr>
        <w:t xml:space="preserve"> </w:t>
      </w:r>
      <w:r w:rsidR="00E77B3F" w:rsidRPr="00DF7CAE">
        <w:rPr>
          <w:rStyle w:val="Char3"/>
          <w:rFonts w:hint="eastAsia"/>
          <w:rtl/>
        </w:rPr>
        <w:t>شَي</w:t>
      </w:r>
      <w:r w:rsidR="00E77B3F" w:rsidRPr="00DF7CAE">
        <w:rPr>
          <w:rStyle w:val="Char3"/>
          <w:rFonts w:hint="cs"/>
          <w:rtl/>
        </w:rPr>
        <w:t>ۡ</w:t>
      </w:r>
      <w:r w:rsidR="00E77B3F" w:rsidRPr="00DF7CAE">
        <w:rPr>
          <w:rStyle w:val="Char3"/>
          <w:rFonts w:hint="eastAsia"/>
          <w:rtl/>
        </w:rPr>
        <w:t>ء</w:t>
      </w:r>
      <w:r w:rsidR="00E77B3F" w:rsidRPr="00DF7CAE">
        <w:rPr>
          <w:rStyle w:val="Char3"/>
          <w:rFonts w:hint="cs"/>
          <w:rtl/>
        </w:rPr>
        <w:t>ٖ</w:t>
      </w:r>
      <w:r w:rsidR="00E77B3F" w:rsidRPr="00DF7CAE">
        <w:rPr>
          <w:rStyle w:val="Char3"/>
          <w:rtl/>
        </w:rPr>
        <w:t xml:space="preserve"> </w:t>
      </w:r>
      <w:r w:rsidR="00E77B3F" w:rsidRPr="00DF7CAE">
        <w:rPr>
          <w:rStyle w:val="Char3"/>
          <w:rFonts w:hint="eastAsia"/>
          <w:rtl/>
        </w:rPr>
        <w:t>فَأَنَّ</w:t>
      </w:r>
      <w:r w:rsidR="00E77B3F" w:rsidRPr="00DF7CAE">
        <w:rPr>
          <w:rStyle w:val="Char3"/>
          <w:rtl/>
        </w:rPr>
        <w:t xml:space="preserve"> </w:t>
      </w:r>
      <w:r w:rsidR="00E77B3F" w:rsidRPr="00DF7CAE">
        <w:rPr>
          <w:rStyle w:val="Char3"/>
          <w:rFonts w:hint="eastAsia"/>
          <w:rtl/>
        </w:rPr>
        <w:t>لِلَّهِ</w:t>
      </w:r>
      <w:r w:rsidR="00E77B3F" w:rsidRPr="00DF7CAE">
        <w:rPr>
          <w:rStyle w:val="Char3"/>
          <w:rtl/>
        </w:rPr>
        <w:t xml:space="preserve"> </w:t>
      </w:r>
      <w:r w:rsidR="00E77B3F" w:rsidRPr="00DF7CAE">
        <w:rPr>
          <w:rStyle w:val="Char3"/>
          <w:rFonts w:hint="eastAsia"/>
          <w:rtl/>
        </w:rPr>
        <w:t>خُمُسَهُ</w:t>
      </w:r>
      <w:r w:rsidR="00E77B3F" w:rsidRPr="00DF7CAE">
        <w:rPr>
          <w:rStyle w:val="Char3"/>
          <w:rFonts w:hint="cs"/>
          <w:rtl/>
        </w:rPr>
        <w:t>ۥ</w:t>
      </w:r>
      <w:r w:rsidR="00E77B3F" w:rsidRPr="00DF7CAE">
        <w:rPr>
          <w:rStyle w:val="Char3"/>
          <w:rtl/>
        </w:rPr>
        <w:t xml:space="preserve"> </w:t>
      </w:r>
      <w:r w:rsidR="00E77B3F" w:rsidRPr="00DF7CAE">
        <w:rPr>
          <w:rStyle w:val="Char3"/>
          <w:rFonts w:hint="eastAsia"/>
          <w:rtl/>
        </w:rPr>
        <w:t>وَلِلرَّسُولِ</w:t>
      </w:r>
      <w:r w:rsidR="00E77B3F" w:rsidRPr="00995B26">
        <w:rPr>
          <w:rFonts w:ascii="KFGQPC Uthmanic Script HAFS" w:cs="Times New Roman" w:hint="cs"/>
          <w:rtl/>
        </w:rPr>
        <w:t>...</w:t>
      </w:r>
      <w:r w:rsidR="00E77B3F" w:rsidRPr="00995B26">
        <w:rPr>
          <w:rFonts w:ascii="Abo-thar" w:hAnsi="Abo-thar" w:cs="Traditional Arabic" w:hint="cs"/>
          <w:sz w:val="28"/>
          <w:rtl/>
        </w:rPr>
        <w:t>﴾</w:t>
      </w:r>
      <w:r w:rsidR="00E77B3F" w:rsidRPr="00995B26">
        <w:rPr>
          <w:rFonts w:ascii="Abo-thar" w:hAnsi="Abo-thar" w:hint="cs"/>
          <w:b/>
          <w:bCs/>
          <w:sz w:val="28"/>
          <w:rtl/>
        </w:rPr>
        <w:t xml:space="preserve"> </w:t>
      </w:r>
      <w:r w:rsidRPr="00995B26">
        <w:rPr>
          <w:rFonts w:ascii="Abo-thar" w:hAnsi="Abo-thar"/>
          <w:b/>
          <w:bCs/>
          <w:sz w:val="28"/>
          <w:rtl/>
        </w:rPr>
        <w:t xml:space="preserve">فهذا </w:t>
      </w:r>
      <w:r w:rsidR="00217AB4" w:rsidRPr="00995B26">
        <w:rPr>
          <w:rFonts w:ascii="Abo-thar" w:hAnsi="Abo-thar"/>
          <w:b/>
          <w:bCs/>
          <w:sz w:val="28"/>
          <w:rtl/>
        </w:rPr>
        <w:t>-</w:t>
      </w:r>
      <w:r w:rsidRPr="00995B26">
        <w:rPr>
          <w:rFonts w:ascii="Abo-thar" w:hAnsi="Abo-thar"/>
          <w:b/>
          <w:bCs/>
          <w:sz w:val="28"/>
          <w:rtl/>
        </w:rPr>
        <w:t xml:space="preserve"> والله أعلم </w:t>
      </w:r>
      <w:r w:rsidR="00217AB4" w:rsidRPr="00995B26">
        <w:rPr>
          <w:rFonts w:ascii="Abo-thar" w:hAnsi="Abo-thar"/>
          <w:b/>
          <w:bCs/>
          <w:sz w:val="28"/>
          <w:rtl/>
        </w:rPr>
        <w:t>-</w:t>
      </w:r>
      <w:r w:rsidRPr="00995B26">
        <w:rPr>
          <w:rFonts w:ascii="Abo-thar" w:hAnsi="Abo-thar"/>
          <w:b/>
          <w:bCs/>
          <w:sz w:val="28"/>
          <w:rtl/>
        </w:rPr>
        <w:t xml:space="preserve"> فيما يصيب المسلم</w:t>
      </w:r>
      <w:r w:rsidRPr="00995B26">
        <w:rPr>
          <w:rFonts w:ascii="Abo-thar" w:hAnsi="Abo-thar" w:hint="cs"/>
          <w:b/>
          <w:bCs/>
          <w:sz w:val="28"/>
          <w:rtl/>
        </w:rPr>
        <w:t>و</w:t>
      </w:r>
      <w:r w:rsidRPr="00995B26">
        <w:rPr>
          <w:rFonts w:ascii="Abo-thar" w:hAnsi="Abo-thar"/>
          <w:b/>
          <w:bCs/>
          <w:sz w:val="28"/>
          <w:rtl/>
        </w:rPr>
        <w:t>ن من عساكر أهل الشرك</w:t>
      </w:r>
      <w:r w:rsidR="001E0DB7" w:rsidRPr="00995B26">
        <w:rPr>
          <w:rFonts w:ascii="Abo-thar" w:hAnsi="Abo-thar"/>
          <w:b/>
          <w:bCs/>
          <w:sz w:val="28"/>
          <w:rtl/>
        </w:rPr>
        <w:t>،</w:t>
      </w:r>
      <w:r w:rsidRPr="00995B26">
        <w:rPr>
          <w:rFonts w:ascii="Abo-thar" w:hAnsi="Abo-thar"/>
          <w:b/>
          <w:bCs/>
          <w:sz w:val="28"/>
          <w:rtl/>
        </w:rPr>
        <w:t xml:space="preserve"> وما أجلبوا به من المتاع والسلاح والكراع</w:t>
      </w:r>
      <w:r w:rsidR="00147857" w:rsidRPr="00995B26">
        <w:rPr>
          <w:rFonts w:ascii="Abo-thar" w:hAnsi="Abo-thar"/>
          <w:b/>
          <w:bCs/>
          <w:sz w:val="28"/>
          <w:rtl/>
        </w:rPr>
        <w:t xml:space="preserve"> </w:t>
      </w:r>
      <w:r w:rsidRPr="00995B26">
        <w:rPr>
          <w:rFonts w:ascii="Abo-thar" w:hAnsi="Abo-thar"/>
          <w:b/>
          <w:bCs/>
          <w:sz w:val="28"/>
          <w:rtl/>
        </w:rPr>
        <w:t>فإن في ذلك الخمس لمن سمى الله عز وجل في كتابه العزيز</w:t>
      </w:r>
      <w:r w:rsidR="00217AB4" w:rsidRPr="00995B26">
        <w:rPr>
          <w:rFonts w:ascii="Abo-thar" w:hAnsi="Abo-thar"/>
          <w:b/>
          <w:bCs/>
          <w:sz w:val="28"/>
          <w:rtl/>
        </w:rPr>
        <w:t>،</w:t>
      </w:r>
      <w:r w:rsidRPr="00995B26">
        <w:rPr>
          <w:rFonts w:ascii="Abo-thar" w:hAnsi="Abo-thar" w:hint="cs"/>
          <w:b/>
          <w:bCs/>
          <w:sz w:val="28"/>
          <w:rtl/>
        </w:rPr>
        <w:t>أربعة</w:t>
      </w:r>
      <w:r w:rsidRPr="00995B26">
        <w:rPr>
          <w:rFonts w:ascii="Abo-thar" w:hAnsi="Abo-thar"/>
          <w:b/>
          <w:bCs/>
          <w:sz w:val="28"/>
          <w:rtl/>
        </w:rPr>
        <w:t xml:space="preserve"> </w:t>
      </w:r>
      <w:r w:rsidRPr="00995B26">
        <w:rPr>
          <w:rFonts w:ascii="Abo-thar" w:hAnsi="Abo-thar" w:hint="cs"/>
          <w:b/>
          <w:bCs/>
          <w:sz w:val="28"/>
          <w:rtl/>
        </w:rPr>
        <w:t>أخماس</w:t>
      </w:r>
      <w:r w:rsidRPr="00995B26">
        <w:rPr>
          <w:rFonts w:ascii="Abo-thar" w:hAnsi="Abo-thar"/>
          <w:b/>
          <w:bCs/>
          <w:sz w:val="28"/>
          <w:rtl/>
        </w:rPr>
        <w:t xml:space="preserve"> </w:t>
      </w:r>
      <w:r w:rsidRPr="00995B26">
        <w:rPr>
          <w:rFonts w:ascii="Abo-thar" w:hAnsi="Abo-thar" w:hint="cs"/>
          <w:b/>
          <w:bCs/>
          <w:sz w:val="28"/>
          <w:rtl/>
        </w:rPr>
        <w:t>بين</w:t>
      </w:r>
      <w:r w:rsidRPr="00995B26">
        <w:rPr>
          <w:rFonts w:ascii="Abo-thar" w:hAnsi="Abo-thar"/>
          <w:b/>
          <w:bCs/>
          <w:sz w:val="28"/>
          <w:rtl/>
        </w:rPr>
        <w:t xml:space="preserve"> </w:t>
      </w:r>
      <w:r w:rsidRPr="00995B26">
        <w:rPr>
          <w:rFonts w:ascii="Abo-thar" w:hAnsi="Abo-thar" w:hint="cs"/>
          <w:b/>
          <w:bCs/>
          <w:sz w:val="28"/>
          <w:rtl/>
        </w:rPr>
        <w:t>ا</w:t>
      </w:r>
      <w:r w:rsidRPr="00995B26">
        <w:rPr>
          <w:rFonts w:ascii="Abo-thar" w:hAnsi="Abo-thar"/>
          <w:b/>
          <w:bCs/>
          <w:sz w:val="28"/>
          <w:rtl/>
        </w:rPr>
        <w:t>لجند</w:t>
      </w:r>
      <w:r w:rsidRPr="00995B26">
        <w:rPr>
          <w:rFonts w:ascii="Abo-thar" w:hAnsi="Abo-thar" w:hint="cs"/>
          <w:b/>
          <w:bCs/>
          <w:sz w:val="28"/>
          <w:rtl/>
        </w:rPr>
        <w:t xml:space="preserve"> الذين أصابوا ذلك</w:t>
      </w:r>
      <w:r w:rsidR="00217AB4" w:rsidRPr="00995B26">
        <w:rPr>
          <w:rFonts w:ascii="Abo-thar" w:hAnsi="Abo-thar" w:hint="cs"/>
          <w:b/>
          <w:bCs/>
          <w:sz w:val="28"/>
          <w:rtl/>
        </w:rPr>
        <w:t>..</w:t>
      </w:r>
      <w:r w:rsidR="00217AB4" w:rsidRPr="00995B26">
        <w:rPr>
          <w:rFonts w:ascii="Abo-thar" w:hAnsi="Abo-thar"/>
          <w:b/>
          <w:bCs/>
          <w:sz w:val="28"/>
          <w:rtl/>
        </w:rPr>
        <w:t>.</w:t>
      </w:r>
      <w:r w:rsidR="00EF2588" w:rsidRPr="00995B26">
        <w:rPr>
          <w:rFonts w:ascii="Abo-thar" w:hAnsi="Abo-thar" w:hint="cs"/>
          <w:sz w:val="28"/>
          <w:rtl/>
        </w:rPr>
        <w:t>»</w:t>
      </w:r>
      <w:r w:rsidR="00495F41" w:rsidRPr="0021507A">
        <w:rPr>
          <w:rFonts w:cs="Arabic11 BT"/>
          <w:b/>
          <w:sz w:val="28"/>
          <w:vertAlign w:val="superscript"/>
          <w:rtl/>
        </w:rPr>
        <w:t>(</w:t>
      </w:r>
      <w:r w:rsidR="00495F41" w:rsidRPr="0021507A">
        <w:rPr>
          <w:rStyle w:val="FootnoteReference"/>
          <w:rFonts w:cs="Arabic11 BT"/>
          <w:b/>
          <w:sz w:val="28"/>
          <w:rtl/>
        </w:rPr>
        <w:footnoteReference w:id="31"/>
      </w:r>
      <w:r w:rsidR="00495F41" w:rsidRPr="0021507A">
        <w:rPr>
          <w:rFonts w:cs="Arabic11 BT"/>
          <w:b/>
          <w:sz w:val="28"/>
          <w:vertAlign w:val="superscript"/>
          <w:rtl/>
        </w:rPr>
        <w:t>)</w:t>
      </w:r>
      <w:r w:rsidR="00217AB4" w:rsidRPr="00995B26">
        <w:rPr>
          <w:rFonts w:ascii="Abo-thar" w:hAnsi="Abo-thar" w:hint="cs"/>
          <w:sz w:val="28"/>
          <w:rtl/>
        </w:rPr>
        <w:t>.</w:t>
      </w:r>
    </w:p>
    <w:p w:rsidR="005C664D" w:rsidRPr="003F3B94" w:rsidRDefault="005C664D" w:rsidP="00445175">
      <w:pPr>
        <w:pStyle w:val="a0"/>
        <w:ind w:left="624" w:hanging="340"/>
        <w:rPr>
          <w:rFonts w:hint="cs"/>
          <w:rtl/>
        </w:rPr>
      </w:pPr>
      <w:r w:rsidRPr="003F3B94">
        <w:rPr>
          <w:rFonts w:ascii="Abo-thar" w:hAnsi="Abo-thar" w:hint="eastAsia"/>
          <w:sz w:val="28"/>
          <w:rtl/>
        </w:rPr>
        <w:t>ه‍</w:t>
      </w:r>
      <w:r w:rsidR="00147857" w:rsidRPr="003F3B94">
        <w:rPr>
          <w:rFonts w:ascii="Abo-thar" w:hAnsi="Abo-thar"/>
          <w:sz w:val="28"/>
          <w:rtl/>
        </w:rPr>
        <w:t xml:space="preserve"> </w:t>
      </w:r>
      <w:r w:rsidR="00217AB4" w:rsidRPr="003F3B94">
        <w:rPr>
          <w:rFonts w:ascii="Abo-thar" w:hAnsi="Abo-thar"/>
          <w:sz w:val="28"/>
          <w:rtl/>
        </w:rPr>
        <w:t>-</w:t>
      </w:r>
      <w:r w:rsidR="00147857" w:rsidRPr="003F3B94">
        <w:rPr>
          <w:rFonts w:ascii="Abo-thar" w:hAnsi="Abo-thar"/>
          <w:sz w:val="28"/>
          <w:rtl/>
        </w:rPr>
        <w:t xml:space="preserve"> </w:t>
      </w:r>
      <w:r w:rsidRPr="003F3B94">
        <w:rPr>
          <w:rFonts w:ascii="Abo-thar" w:hAnsi="Abo-thar" w:hint="cs"/>
          <w:sz w:val="28"/>
          <w:rtl/>
        </w:rPr>
        <w:t>ويقول ال</w:t>
      </w:r>
      <w:r w:rsidRPr="003F3B94">
        <w:rPr>
          <w:rFonts w:ascii="Abo-thar" w:hAnsi="Abo-thar"/>
          <w:sz w:val="28"/>
          <w:rtl/>
        </w:rPr>
        <w:t xml:space="preserve">مرحوم </w:t>
      </w:r>
      <w:r w:rsidRPr="003F3B94">
        <w:rPr>
          <w:rFonts w:ascii="Abo-thar" w:hAnsi="Abo-thar" w:hint="cs"/>
          <w:sz w:val="28"/>
          <w:rtl/>
        </w:rPr>
        <w:t>ال</w:t>
      </w:r>
      <w:r w:rsidRPr="003F3B94">
        <w:rPr>
          <w:rFonts w:ascii="Abo-thar" w:hAnsi="Abo-thar"/>
          <w:sz w:val="28"/>
          <w:rtl/>
        </w:rPr>
        <w:t>ش</w:t>
      </w:r>
      <w:r w:rsidRPr="003F3B94">
        <w:rPr>
          <w:rFonts w:ascii="Abo-thar" w:hAnsi="Abo-thar" w:hint="cs"/>
          <w:sz w:val="28"/>
          <w:rtl/>
        </w:rPr>
        <w:t>ي</w:t>
      </w:r>
      <w:r w:rsidRPr="003F3B94">
        <w:rPr>
          <w:rFonts w:ascii="Abo-thar" w:hAnsi="Abo-thar" w:hint="eastAsia"/>
          <w:sz w:val="28"/>
          <w:rtl/>
        </w:rPr>
        <w:t>خ</w:t>
      </w:r>
      <w:r w:rsidRPr="003F3B94">
        <w:rPr>
          <w:rFonts w:ascii="Abo-thar" w:hAnsi="Abo-thar"/>
          <w:sz w:val="28"/>
          <w:rtl/>
        </w:rPr>
        <w:t xml:space="preserve"> </w:t>
      </w:r>
      <w:r w:rsidRPr="003F3B94">
        <w:rPr>
          <w:rFonts w:ascii="Abo-thar" w:hAnsi="Abo-thar" w:hint="cs"/>
          <w:sz w:val="28"/>
          <w:rtl/>
        </w:rPr>
        <w:t>ال</w:t>
      </w:r>
      <w:r w:rsidRPr="003F3B94">
        <w:rPr>
          <w:rFonts w:ascii="Abo-thar" w:hAnsi="Abo-thar"/>
          <w:sz w:val="28"/>
          <w:rtl/>
        </w:rPr>
        <w:t>طوس</w:t>
      </w:r>
      <w:r w:rsidRPr="003F3B94">
        <w:rPr>
          <w:rFonts w:ascii="Abo-thar" w:hAnsi="Abo-thar" w:hint="cs"/>
          <w:sz w:val="28"/>
          <w:rtl/>
        </w:rPr>
        <w:t>ي</w:t>
      </w:r>
      <w:r w:rsidRPr="003F3B94">
        <w:rPr>
          <w:rFonts w:ascii="Abo-thar" w:hAnsi="Abo-thar"/>
          <w:sz w:val="28"/>
          <w:rtl/>
        </w:rPr>
        <w:t xml:space="preserve"> </w:t>
      </w:r>
      <w:r w:rsidR="00217AB4" w:rsidRPr="003F3B94">
        <w:rPr>
          <w:rFonts w:ascii="Abo-thar" w:hAnsi="Abo-thar"/>
          <w:sz w:val="28"/>
          <w:rtl/>
        </w:rPr>
        <w:t>(</w:t>
      </w:r>
      <w:r w:rsidRPr="003F3B94">
        <w:rPr>
          <w:rFonts w:ascii="Abo-thar" w:hAnsi="Abo-thar"/>
          <w:sz w:val="28"/>
          <w:rtl/>
        </w:rPr>
        <w:t>ره</w:t>
      </w:r>
      <w:r w:rsidR="00217AB4" w:rsidRPr="003F3B94">
        <w:rPr>
          <w:rFonts w:ascii="Abo-thar" w:hAnsi="Abo-thar"/>
          <w:sz w:val="28"/>
          <w:rtl/>
        </w:rPr>
        <w:t>)</w:t>
      </w:r>
      <w:r w:rsidRPr="003F3B94">
        <w:rPr>
          <w:rFonts w:ascii="Abo-thar" w:hAnsi="Abo-thar"/>
          <w:sz w:val="28"/>
          <w:rtl/>
        </w:rPr>
        <w:t xml:space="preserve"> </w:t>
      </w:r>
      <w:r w:rsidRPr="003F3B94">
        <w:rPr>
          <w:rFonts w:ascii="Abo-thar" w:hAnsi="Abo-thar" w:hint="cs"/>
          <w:sz w:val="28"/>
          <w:rtl/>
        </w:rPr>
        <w:t xml:space="preserve">في </w:t>
      </w:r>
      <w:r w:rsidRPr="003F3B94">
        <w:rPr>
          <w:rFonts w:ascii="Abo-thar" w:hAnsi="Abo-thar"/>
          <w:sz w:val="28"/>
          <w:rtl/>
        </w:rPr>
        <w:t>تفس</w:t>
      </w:r>
      <w:r w:rsidRPr="003F3B94">
        <w:rPr>
          <w:rFonts w:ascii="Abo-thar" w:hAnsi="Abo-thar" w:hint="cs"/>
          <w:sz w:val="28"/>
          <w:rtl/>
        </w:rPr>
        <w:t>ي</w:t>
      </w:r>
      <w:r w:rsidRPr="003F3B94">
        <w:rPr>
          <w:rFonts w:ascii="Abo-thar" w:hAnsi="Abo-thar" w:hint="eastAsia"/>
          <w:sz w:val="28"/>
          <w:rtl/>
        </w:rPr>
        <w:t>ر</w:t>
      </w:r>
      <w:r w:rsidRPr="003F3B94">
        <w:rPr>
          <w:rFonts w:ascii="Abo-thar" w:hAnsi="Abo-thar"/>
          <w:sz w:val="28"/>
          <w:rtl/>
        </w:rPr>
        <w:t xml:space="preserve"> </w:t>
      </w:r>
      <w:r w:rsidR="00217AB4" w:rsidRPr="003F3B94">
        <w:rPr>
          <w:rFonts w:ascii="Abo-thar" w:hAnsi="Abo-thar"/>
          <w:sz w:val="28"/>
          <w:rtl/>
        </w:rPr>
        <w:t>(</w:t>
      </w:r>
      <w:r w:rsidRPr="003F3B94">
        <w:rPr>
          <w:rFonts w:ascii="Abo-thar" w:hAnsi="Abo-thar"/>
          <w:sz w:val="28"/>
          <w:rtl/>
        </w:rPr>
        <w:t>التب</w:t>
      </w:r>
      <w:r w:rsidRPr="003F3B94">
        <w:rPr>
          <w:rFonts w:ascii="Abo-thar" w:hAnsi="Abo-thar" w:hint="cs"/>
          <w:sz w:val="28"/>
          <w:rtl/>
        </w:rPr>
        <w:t>ي</w:t>
      </w:r>
      <w:r w:rsidRPr="003F3B94">
        <w:rPr>
          <w:rFonts w:ascii="Abo-thar" w:hAnsi="Abo-thar" w:hint="eastAsia"/>
          <w:sz w:val="28"/>
          <w:rtl/>
        </w:rPr>
        <w:t>ان</w:t>
      </w:r>
      <w:r w:rsidR="00217AB4" w:rsidRPr="003F3B94">
        <w:rPr>
          <w:rFonts w:ascii="Abo-thar" w:hAnsi="Abo-thar"/>
          <w:sz w:val="28"/>
          <w:rtl/>
        </w:rPr>
        <w:t>)</w:t>
      </w:r>
      <w:r w:rsidRPr="003F3B94">
        <w:rPr>
          <w:rFonts w:ascii="Abo-thar" w:hAnsi="Abo-thar"/>
          <w:sz w:val="28"/>
          <w:rtl/>
        </w:rPr>
        <w:t xml:space="preserve"> </w:t>
      </w:r>
      <w:r w:rsidRPr="003F3B94">
        <w:rPr>
          <w:rFonts w:ascii="Abo-thar" w:hAnsi="Abo-thar" w:hint="cs"/>
          <w:sz w:val="28"/>
          <w:rtl/>
        </w:rPr>
        <w:t>بعد ذكره لآية الخمس الكريمة من سورة الأنفال</w:t>
      </w:r>
      <w:r w:rsidR="00217AB4" w:rsidRPr="003F3B94">
        <w:rPr>
          <w:rFonts w:ascii="Abo-thar" w:hAnsi="Abo-thar" w:hint="cs"/>
          <w:sz w:val="28"/>
          <w:rtl/>
        </w:rPr>
        <w:t>:</w:t>
      </w:r>
      <w:r w:rsidR="00147857" w:rsidRPr="003F3B94">
        <w:rPr>
          <w:rFonts w:ascii="Abo-thar" w:hAnsi="Abo-thar" w:hint="cs"/>
          <w:sz w:val="28"/>
          <w:rtl/>
        </w:rPr>
        <w:t xml:space="preserve"> </w:t>
      </w:r>
      <w:r w:rsidR="00EF2588" w:rsidRPr="003F3B94">
        <w:rPr>
          <w:rFonts w:ascii="Abo-thar" w:hAnsi="Abo-thar" w:hint="cs"/>
          <w:sz w:val="28"/>
          <w:rtl/>
        </w:rPr>
        <w:t>«</w:t>
      </w:r>
      <w:r w:rsidRPr="003F3B94">
        <w:rPr>
          <w:rFonts w:ascii="Abo-thar" w:hAnsi="Abo-thar" w:hint="cs"/>
          <w:bCs/>
          <w:sz w:val="28"/>
          <w:rtl/>
        </w:rPr>
        <w:t>الغنيمة</w:t>
      </w:r>
      <w:r w:rsidRPr="003F3B94">
        <w:rPr>
          <w:rFonts w:ascii="Abo-thar" w:hAnsi="Abo-thar"/>
          <w:bCs/>
          <w:sz w:val="28"/>
          <w:rtl/>
        </w:rPr>
        <w:t xml:space="preserve"> ما </w:t>
      </w:r>
      <w:r w:rsidRPr="003F3B94">
        <w:rPr>
          <w:rFonts w:ascii="Abo-thar" w:hAnsi="Abo-thar" w:hint="cs"/>
          <w:bCs/>
          <w:sz w:val="28"/>
          <w:rtl/>
        </w:rPr>
        <w:t>أ</w:t>
      </w:r>
      <w:r w:rsidRPr="003F3B94">
        <w:rPr>
          <w:rFonts w:ascii="Abo-thar" w:hAnsi="Abo-thar"/>
          <w:bCs/>
          <w:sz w:val="28"/>
          <w:rtl/>
        </w:rPr>
        <w:t xml:space="preserve">خذ من </w:t>
      </w:r>
      <w:r w:rsidRPr="003F3B94">
        <w:rPr>
          <w:rFonts w:ascii="Abo-thar" w:hAnsi="Abo-thar" w:hint="cs"/>
          <w:bCs/>
          <w:sz w:val="28"/>
          <w:rtl/>
        </w:rPr>
        <w:t>أموال</w:t>
      </w:r>
      <w:r w:rsidRPr="003F3B94">
        <w:rPr>
          <w:rFonts w:ascii="Abo-thar" w:hAnsi="Abo-thar"/>
          <w:bCs/>
          <w:sz w:val="28"/>
          <w:rtl/>
        </w:rPr>
        <w:t xml:space="preserve"> </w:t>
      </w:r>
      <w:r w:rsidRPr="003F3B94">
        <w:rPr>
          <w:rFonts w:ascii="Abo-thar" w:hAnsi="Abo-thar" w:hint="cs"/>
          <w:bCs/>
          <w:sz w:val="28"/>
          <w:rtl/>
        </w:rPr>
        <w:t xml:space="preserve">أهل </w:t>
      </w:r>
      <w:r w:rsidRPr="003F3B94">
        <w:rPr>
          <w:rFonts w:cs="Times New Roman" w:hint="cs"/>
          <w:bCs/>
          <w:sz w:val="28"/>
          <w:rtl/>
        </w:rPr>
        <w:t>‌</w:t>
      </w:r>
      <w:r w:rsidRPr="003F3B94">
        <w:rPr>
          <w:rFonts w:ascii="mylotus" w:hAnsi="mylotus" w:hint="cs"/>
          <w:bCs/>
          <w:sz w:val="28"/>
          <w:rtl/>
        </w:rPr>
        <w:t>الحرب</w:t>
      </w:r>
      <w:r w:rsidRPr="003F3B94">
        <w:rPr>
          <w:rFonts w:ascii="Abo-thar" w:hAnsi="Abo-thar"/>
          <w:bCs/>
          <w:sz w:val="28"/>
          <w:rtl/>
        </w:rPr>
        <w:t xml:space="preserve"> </w:t>
      </w:r>
      <w:r w:rsidRPr="003F3B94">
        <w:rPr>
          <w:rFonts w:ascii="mylotus" w:hAnsi="mylotus" w:hint="cs"/>
          <w:bCs/>
          <w:sz w:val="28"/>
          <w:rtl/>
        </w:rPr>
        <w:t>من</w:t>
      </w:r>
      <w:r w:rsidRPr="003F3B94">
        <w:rPr>
          <w:rFonts w:ascii="Abo-thar" w:hAnsi="Abo-thar" w:hint="cs"/>
          <w:bCs/>
          <w:sz w:val="28"/>
          <w:rtl/>
        </w:rPr>
        <w:t xml:space="preserve"> </w:t>
      </w:r>
      <w:r w:rsidRPr="003F3B94">
        <w:rPr>
          <w:rFonts w:cs="Times New Roman" w:hint="cs"/>
          <w:bCs/>
          <w:sz w:val="28"/>
          <w:rtl/>
        </w:rPr>
        <w:t>‌</w:t>
      </w:r>
      <w:r w:rsidRPr="003F3B94">
        <w:rPr>
          <w:rFonts w:ascii="mylotus" w:hAnsi="mylotus" w:hint="cs"/>
          <w:bCs/>
          <w:sz w:val="28"/>
          <w:rtl/>
        </w:rPr>
        <w:t>ال</w:t>
      </w:r>
      <w:r w:rsidR="00D326AD" w:rsidRPr="003F3B94">
        <w:rPr>
          <w:rFonts w:ascii="Abo-thar" w:hAnsi="Abo-thar"/>
          <w:bCs/>
          <w:sz w:val="28"/>
          <w:rtl/>
        </w:rPr>
        <w:t>ك</w:t>
      </w:r>
      <w:r w:rsidRPr="003F3B94">
        <w:rPr>
          <w:rFonts w:ascii="Abo-thar" w:hAnsi="Abo-thar"/>
          <w:bCs/>
          <w:sz w:val="28"/>
          <w:rtl/>
        </w:rPr>
        <w:t>فار بقتال وه</w:t>
      </w:r>
      <w:r w:rsidRPr="003F3B94">
        <w:rPr>
          <w:rFonts w:ascii="Abo-thar" w:hAnsi="Abo-thar" w:hint="cs"/>
          <w:bCs/>
          <w:sz w:val="28"/>
          <w:rtl/>
        </w:rPr>
        <w:t>ي</w:t>
      </w:r>
      <w:r w:rsidRPr="003F3B94">
        <w:rPr>
          <w:rFonts w:ascii="Abo-thar" w:hAnsi="Abo-thar"/>
          <w:bCs/>
          <w:sz w:val="28"/>
          <w:rtl/>
        </w:rPr>
        <w:t xml:space="preserve"> هب</w:t>
      </w:r>
      <w:r w:rsidRPr="003F3B94">
        <w:rPr>
          <w:rFonts w:ascii="Abo-thar" w:hAnsi="Abo-thar" w:hint="cs"/>
          <w:bCs/>
          <w:sz w:val="28"/>
          <w:rtl/>
        </w:rPr>
        <w:t>ة</w:t>
      </w:r>
      <w:r w:rsidRPr="003F3B94">
        <w:rPr>
          <w:rFonts w:ascii="Abo-thar" w:hAnsi="Abo-thar"/>
          <w:bCs/>
          <w:sz w:val="28"/>
          <w:rtl/>
        </w:rPr>
        <w:t xml:space="preserve"> من</w:t>
      </w:r>
      <w:r w:rsidRPr="003F3B94">
        <w:rPr>
          <w:rFonts w:ascii="Abo-thar" w:hAnsi="Abo-thar" w:hint="cs"/>
          <w:bCs/>
          <w:sz w:val="28"/>
          <w:rtl/>
        </w:rPr>
        <w:t xml:space="preserve"> </w:t>
      </w:r>
      <w:r w:rsidRPr="003F3B94">
        <w:rPr>
          <w:rFonts w:cs="Times New Roman" w:hint="cs"/>
          <w:bCs/>
          <w:sz w:val="28"/>
          <w:rtl/>
        </w:rPr>
        <w:t>‌</w:t>
      </w:r>
      <w:r w:rsidRPr="003F3B94">
        <w:rPr>
          <w:rFonts w:ascii="mylotus" w:hAnsi="mylotus" w:hint="cs"/>
          <w:bCs/>
          <w:sz w:val="28"/>
          <w:rtl/>
        </w:rPr>
        <w:t>الله</w:t>
      </w:r>
      <w:r w:rsidRPr="003F3B94">
        <w:rPr>
          <w:rFonts w:ascii="Abo-thar" w:hAnsi="Abo-thar"/>
          <w:bCs/>
          <w:sz w:val="28"/>
          <w:rtl/>
        </w:rPr>
        <w:t xml:space="preserve"> </w:t>
      </w:r>
      <w:r w:rsidRPr="003F3B94">
        <w:rPr>
          <w:rFonts w:ascii="mylotus" w:hAnsi="mylotus" w:hint="cs"/>
          <w:bCs/>
          <w:sz w:val="28"/>
          <w:rtl/>
        </w:rPr>
        <w:t>للمسلم</w:t>
      </w:r>
      <w:r w:rsidRPr="003F3B94">
        <w:rPr>
          <w:rFonts w:ascii="Abo-thar" w:hAnsi="Abo-thar" w:hint="cs"/>
          <w:bCs/>
          <w:sz w:val="28"/>
          <w:rtl/>
        </w:rPr>
        <w:t>ي</w:t>
      </w:r>
      <w:r w:rsidRPr="003F3B94">
        <w:rPr>
          <w:rFonts w:ascii="Abo-thar" w:hAnsi="Abo-thar" w:hint="eastAsia"/>
          <w:bCs/>
          <w:sz w:val="28"/>
          <w:rtl/>
        </w:rPr>
        <w:t>ن</w:t>
      </w:r>
      <w:r w:rsidR="00217AB4" w:rsidRPr="003F3B94">
        <w:rPr>
          <w:rFonts w:ascii="Abo-thar" w:hAnsi="Abo-thar"/>
          <w:bCs/>
          <w:sz w:val="28"/>
          <w:rtl/>
        </w:rPr>
        <w:t>.</w:t>
      </w:r>
      <w:r w:rsidRPr="003F3B94">
        <w:rPr>
          <w:rFonts w:ascii="Abo-thar" w:hAnsi="Abo-thar" w:hint="cs"/>
          <w:bCs/>
          <w:sz w:val="28"/>
          <w:rtl/>
        </w:rPr>
        <w:t xml:space="preserve"> </w:t>
      </w:r>
      <w:r w:rsidRPr="003F3B94">
        <w:rPr>
          <w:rFonts w:ascii="Abo-thar" w:hAnsi="Abo-thar" w:hint="eastAsia"/>
          <w:bCs/>
          <w:sz w:val="28"/>
          <w:rtl/>
        </w:rPr>
        <w:t>والف</w:t>
      </w:r>
      <w:r w:rsidRPr="003F3B94">
        <w:rPr>
          <w:rFonts w:ascii="Abo-thar" w:hAnsi="Abo-thar" w:hint="cs"/>
          <w:bCs/>
          <w:sz w:val="28"/>
          <w:rtl/>
        </w:rPr>
        <w:t>يء</w:t>
      </w:r>
      <w:r w:rsidRPr="003F3B94">
        <w:rPr>
          <w:rFonts w:ascii="Abo-thar" w:hAnsi="Abo-thar"/>
          <w:bCs/>
          <w:sz w:val="28"/>
          <w:rtl/>
        </w:rPr>
        <w:t xml:space="preserve"> </w:t>
      </w:r>
      <w:r w:rsidRPr="003F3B94">
        <w:rPr>
          <w:rFonts w:ascii="Abo-thar" w:hAnsi="Abo-thar" w:hint="eastAsia"/>
          <w:bCs/>
          <w:sz w:val="28"/>
          <w:rtl/>
        </w:rPr>
        <w:t>ما</w:t>
      </w:r>
      <w:r w:rsidRPr="003F3B94">
        <w:rPr>
          <w:rFonts w:ascii="Abo-thar" w:hAnsi="Abo-thar"/>
          <w:bCs/>
          <w:sz w:val="28"/>
          <w:rtl/>
        </w:rPr>
        <w:t xml:space="preserve"> </w:t>
      </w:r>
      <w:r w:rsidRPr="003F3B94">
        <w:rPr>
          <w:rFonts w:ascii="Abo-thar" w:hAnsi="Abo-thar" w:hint="cs"/>
          <w:bCs/>
          <w:sz w:val="28"/>
          <w:rtl/>
        </w:rPr>
        <w:t>أ</w:t>
      </w:r>
      <w:r w:rsidRPr="003F3B94">
        <w:rPr>
          <w:rFonts w:ascii="Abo-thar" w:hAnsi="Abo-thar" w:hint="eastAsia"/>
          <w:bCs/>
          <w:sz w:val="28"/>
          <w:rtl/>
        </w:rPr>
        <w:t>خذ</w:t>
      </w:r>
      <w:r w:rsidRPr="003F3B94">
        <w:rPr>
          <w:rFonts w:ascii="Abo-thar" w:hAnsi="Abo-thar"/>
          <w:bCs/>
          <w:sz w:val="28"/>
          <w:rtl/>
        </w:rPr>
        <w:t xml:space="preserve"> </w:t>
      </w:r>
      <w:r w:rsidRPr="003F3B94">
        <w:rPr>
          <w:rFonts w:ascii="Abo-thar" w:hAnsi="Abo-thar" w:hint="eastAsia"/>
          <w:bCs/>
          <w:sz w:val="28"/>
          <w:rtl/>
        </w:rPr>
        <w:t>بغير</w:t>
      </w:r>
      <w:r w:rsidRPr="003F3B94">
        <w:rPr>
          <w:rFonts w:ascii="Abo-thar" w:hAnsi="Abo-thar"/>
          <w:bCs/>
          <w:sz w:val="28"/>
          <w:rtl/>
        </w:rPr>
        <w:t xml:space="preserve"> </w:t>
      </w:r>
      <w:r w:rsidRPr="003F3B94">
        <w:rPr>
          <w:rFonts w:ascii="Abo-thar" w:hAnsi="Abo-thar" w:hint="eastAsia"/>
          <w:bCs/>
          <w:sz w:val="28"/>
          <w:rtl/>
        </w:rPr>
        <w:t>قتال</w:t>
      </w:r>
      <w:r w:rsidRPr="003F3B94">
        <w:rPr>
          <w:rFonts w:ascii="Abo-thar" w:hAnsi="Abo-thar"/>
          <w:bCs/>
          <w:sz w:val="28"/>
          <w:rtl/>
        </w:rPr>
        <w:t xml:space="preserve"> </w:t>
      </w:r>
      <w:r w:rsidRPr="003F3B94">
        <w:rPr>
          <w:rFonts w:ascii="Abo-thar" w:hAnsi="Abo-thar" w:hint="eastAsia"/>
          <w:bCs/>
          <w:sz w:val="28"/>
          <w:rtl/>
        </w:rPr>
        <w:t>في</w:t>
      </w:r>
      <w:r w:rsidRPr="003F3B94">
        <w:rPr>
          <w:rFonts w:ascii="Abo-thar" w:hAnsi="Abo-thar"/>
          <w:bCs/>
          <w:sz w:val="28"/>
          <w:rtl/>
        </w:rPr>
        <w:t xml:space="preserve"> </w:t>
      </w:r>
      <w:r w:rsidRPr="003F3B94">
        <w:rPr>
          <w:rFonts w:ascii="Abo-thar" w:hAnsi="Abo-thar" w:hint="eastAsia"/>
          <w:bCs/>
          <w:sz w:val="28"/>
          <w:rtl/>
        </w:rPr>
        <w:t>قول</w:t>
      </w:r>
      <w:r w:rsidRPr="003F3B94">
        <w:rPr>
          <w:rFonts w:ascii="Abo-thar" w:hAnsi="Abo-thar"/>
          <w:bCs/>
          <w:sz w:val="28"/>
          <w:rtl/>
        </w:rPr>
        <w:t xml:space="preserve"> </w:t>
      </w:r>
      <w:r w:rsidRPr="003F3B94">
        <w:rPr>
          <w:rFonts w:ascii="Abo-thar" w:hAnsi="Abo-thar" w:hint="eastAsia"/>
          <w:bCs/>
          <w:sz w:val="28"/>
          <w:rtl/>
        </w:rPr>
        <w:t>عطا</w:t>
      </w:r>
      <w:r w:rsidRPr="003F3B94">
        <w:rPr>
          <w:rFonts w:ascii="Abo-thar" w:hAnsi="Abo-thar" w:hint="cs"/>
          <w:bCs/>
          <w:sz w:val="28"/>
          <w:rtl/>
        </w:rPr>
        <w:t>ء</w:t>
      </w:r>
      <w:r w:rsidRPr="003F3B94">
        <w:rPr>
          <w:rFonts w:ascii="Abo-thar" w:hAnsi="Abo-thar"/>
          <w:bCs/>
          <w:sz w:val="28"/>
          <w:rtl/>
        </w:rPr>
        <w:t xml:space="preserve"> </w:t>
      </w:r>
      <w:r w:rsidRPr="003F3B94">
        <w:rPr>
          <w:rFonts w:ascii="Abo-thar" w:hAnsi="Abo-thar" w:hint="eastAsia"/>
          <w:bCs/>
          <w:sz w:val="28"/>
          <w:rtl/>
        </w:rPr>
        <w:t>بن</w:t>
      </w:r>
      <w:r w:rsidRPr="003F3B94">
        <w:rPr>
          <w:rFonts w:ascii="Abo-thar" w:hAnsi="Abo-thar"/>
          <w:bCs/>
          <w:sz w:val="28"/>
          <w:rtl/>
        </w:rPr>
        <w:t xml:space="preserve"> </w:t>
      </w:r>
      <w:r w:rsidRPr="003F3B94">
        <w:rPr>
          <w:rFonts w:ascii="Abo-thar" w:hAnsi="Abo-thar" w:hint="eastAsia"/>
          <w:bCs/>
          <w:sz w:val="28"/>
          <w:rtl/>
        </w:rPr>
        <w:t>السائب</w:t>
      </w:r>
      <w:r w:rsidR="00217AB4" w:rsidRPr="003F3B94">
        <w:rPr>
          <w:rFonts w:ascii="Abo-thar" w:hAnsi="Abo-thar" w:hint="eastAsia"/>
          <w:bCs/>
          <w:sz w:val="28"/>
          <w:rtl/>
        </w:rPr>
        <w:t>،</w:t>
      </w:r>
      <w:r w:rsidRPr="003F3B94">
        <w:rPr>
          <w:rFonts w:ascii="Abo-thar" w:hAnsi="Abo-thar"/>
          <w:bCs/>
          <w:sz w:val="28"/>
          <w:rtl/>
        </w:rPr>
        <w:t xml:space="preserve"> </w:t>
      </w:r>
      <w:r w:rsidRPr="003F3B94">
        <w:rPr>
          <w:rFonts w:ascii="Abo-thar" w:hAnsi="Abo-thar" w:hint="eastAsia"/>
          <w:bCs/>
          <w:sz w:val="28"/>
          <w:rtl/>
        </w:rPr>
        <w:t>وسفيان</w:t>
      </w:r>
      <w:r w:rsidRPr="003F3B94">
        <w:rPr>
          <w:rFonts w:ascii="Abo-thar" w:hAnsi="Abo-thar"/>
          <w:bCs/>
          <w:sz w:val="28"/>
          <w:rtl/>
        </w:rPr>
        <w:t xml:space="preserve"> </w:t>
      </w:r>
      <w:r w:rsidRPr="003F3B94">
        <w:rPr>
          <w:rFonts w:ascii="Abo-thar" w:hAnsi="Abo-thar" w:hint="eastAsia"/>
          <w:bCs/>
          <w:sz w:val="28"/>
          <w:rtl/>
        </w:rPr>
        <w:t>الثوري</w:t>
      </w:r>
      <w:r w:rsidRPr="003F3B94">
        <w:rPr>
          <w:rFonts w:ascii="Abo-thar" w:hAnsi="Abo-thar"/>
          <w:bCs/>
          <w:sz w:val="28"/>
          <w:rtl/>
        </w:rPr>
        <w:t xml:space="preserve"> </w:t>
      </w:r>
      <w:r w:rsidRPr="003F3B94">
        <w:rPr>
          <w:rFonts w:ascii="Abo-thar" w:hAnsi="Abo-thar" w:hint="eastAsia"/>
          <w:bCs/>
          <w:sz w:val="28"/>
          <w:rtl/>
        </w:rPr>
        <w:t>وهو</w:t>
      </w:r>
      <w:r w:rsidRPr="003F3B94">
        <w:rPr>
          <w:rFonts w:ascii="Abo-thar" w:hAnsi="Abo-thar"/>
          <w:bCs/>
          <w:sz w:val="28"/>
          <w:rtl/>
        </w:rPr>
        <w:t xml:space="preserve"> </w:t>
      </w:r>
      <w:r w:rsidRPr="003F3B94">
        <w:rPr>
          <w:rFonts w:ascii="Abo-thar" w:hAnsi="Abo-thar" w:hint="eastAsia"/>
          <w:bCs/>
          <w:sz w:val="28"/>
          <w:rtl/>
        </w:rPr>
        <w:t>قول</w:t>
      </w:r>
      <w:r w:rsidRPr="003F3B94">
        <w:rPr>
          <w:rFonts w:ascii="Abo-thar" w:hAnsi="Abo-thar"/>
          <w:bCs/>
          <w:sz w:val="28"/>
          <w:rtl/>
        </w:rPr>
        <w:t xml:space="preserve"> </w:t>
      </w:r>
      <w:r w:rsidRPr="003F3B94">
        <w:rPr>
          <w:rFonts w:ascii="Abo-thar" w:hAnsi="Abo-thar" w:hint="eastAsia"/>
          <w:bCs/>
          <w:sz w:val="28"/>
          <w:rtl/>
        </w:rPr>
        <w:t>الشافعي</w:t>
      </w:r>
      <w:r w:rsidR="00217AB4" w:rsidRPr="003F3B94">
        <w:rPr>
          <w:rFonts w:ascii="Abo-thar" w:hAnsi="Abo-thar" w:hint="eastAsia"/>
          <w:bCs/>
          <w:sz w:val="28"/>
          <w:rtl/>
        </w:rPr>
        <w:t>،</w:t>
      </w:r>
      <w:r w:rsidRPr="003F3B94">
        <w:rPr>
          <w:rFonts w:ascii="Abo-thar" w:hAnsi="Abo-thar"/>
          <w:bCs/>
          <w:sz w:val="28"/>
          <w:rtl/>
        </w:rPr>
        <w:t xml:space="preserve"> </w:t>
      </w:r>
      <w:r w:rsidRPr="003F3B94">
        <w:rPr>
          <w:rFonts w:ascii="Abo-thar" w:hAnsi="Abo-thar" w:hint="eastAsia"/>
          <w:bCs/>
          <w:sz w:val="28"/>
          <w:rtl/>
        </w:rPr>
        <w:t>وهو</w:t>
      </w:r>
      <w:r w:rsidRPr="003F3B94">
        <w:rPr>
          <w:rFonts w:ascii="Abo-thar" w:hAnsi="Abo-thar"/>
          <w:bCs/>
          <w:sz w:val="28"/>
          <w:rtl/>
        </w:rPr>
        <w:t xml:space="preserve"> </w:t>
      </w:r>
      <w:r w:rsidRPr="003F3B94">
        <w:rPr>
          <w:rFonts w:ascii="Abo-thar" w:hAnsi="Abo-thar" w:hint="eastAsia"/>
          <w:bCs/>
          <w:sz w:val="28"/>
          <w:rtl/>
        </w:rPr>
        <w:t>المروي</w:t>
      </w:r>
      <w:r w:rsidRPr="003F3B94">
        <w:rPr>
          <w:rFonts w:ascii="Abo-thar" w:hAnsi="Abo-thar"/>
          <w:bCs/>
          <w:sz w:val="28"/>
          <w:rtl/>
        </w:rPr>
        <w:t xml:space="preserve"> </w:t>
      </w:r>
      <w:r w:rsidRPr="003F3B94">
        <w:rPr>
          <w:rFonts w:ascii="Abo-thar" w:hAnsi="Abo-thar" w:hint="eastAsia"/>
          <w:bCs/>
          <w:sz w:val="28"/>
          <w:rtl/>
        </w:rPr>
        <w:t>في</w:t>
      </w:r>
      <w:r w:rsidRPr="003F3B94">
        <w:rPr>
          <w:rFonts w:ascii="Abo-thar" w:hAnsi="Abo-thar"/>
          <w:bCs/>
          <w:sz w:val="28"/>
          <w:rtl/>
        </w:rPr>
        <w:t xml:space="preserve"> </w:t>
      </w:r>
      <w:r w:rsidRPr="003F3B94">
        <w:rPr>
          <w:rFonts w:ascii="Abo-thar" w:hAnsi="Abo-thar" w:hint="cs"/>
          <w:bCs/>
          <w:sz w:val="28"/>
          <w:rtl/>
        </w:rPr>
        <w:t>أ</w:t>
      </w:r>
      <w:r w:rsidRPr="003F3B94">
        <w:rPr>
          <w:rFonts w:ascii="Abo-thar" w:hAnsi="Abo-thar" w:hint="eastAsia"/>
          <w:bCs/>
          <w:sz w:val="28"/>
          <w:rtl/>
        </w:rPr>
        <w:t>خبارنا</w:t>
      </w:r>
      <w:r w:rsidR="00EF2588" w:rsidRPr="003F3B94">
        <w:rPr>
          <w:rFonts w:ascii="Abo-thar" w:hAnsi="Abo-thar" w:hint="cs"/>
          <w:sz w:val="28"/>
          <w:rtl/>
        </w:rPr>
        <w:t>»</w:t>
      </w:r>
      <w:r w:rsidR="00FA103E" w:rsidRPr="0021507A">
        <w:rPr>
          <w:rFonts w:cs="Arabic11 BT"/>
          <w:b/>
          <w:sz w:val="28"/>
          <w:vertAlign w:val="superscript"/>
          <w:rtl/>
        </w:rPr>
        <w:t>(</w:t>
      </w:r>
      <w:r w:rsidR="00FA103E" w:rsidRPr="0021507A">
        <w:rPr>
          <w:rStyle w:val="FootnoteReference"/>
          <w:rFonts w:cs="Arabic11 BT"/>
          <w:b/>
          <w:sz w:val="28"/>
          <w:rtl/>
        </w:rPr>
        <w:footnoteReference w:id="32"/>
      </w:r>
      <w:r w:rsidR="00FA103E" w:rsidRPr="0021507A">
        <w:rPr>
          <w:rFonts w:cs="Arabic11 BT"/>
          <w:b/>
          <w:sz w:val="28"/>
          <w:vertAlign w:val="superscript"/>
          <w:rtl/>
        </w:rPr>
        <w:t>)</w:t>
      </w:r>
      <w:r w:rsidR="00217AB4" w:rsidRPr="003F3B94">
        <w:rPr>
          <w:rFonts w:ascii="Abo-thar" w:hAnsi="Abo-thar" w:hint="cs"/>
          <w:sz w:val="28"/>
          <w:rtl/>
        </w:rPr>
        <w:t>.</w:t>
      </w:r>
      <w:r w:rsidRPr="003F3B94">
        <w:rPr>
          <w:rFonts w:ascii="Abo-thar" w:hAnsi="Abo-thar"/>
          <w:sz w:val="28"/>
          <w:rtl/>
        </w:rPr>
        <w:t xml:space="preserve"> </w:t>
      </w:r>
    </w:p>
    <w:p w:rsidR="005C664D" w:rsidRPr="003F3B94" w:rsidRDefault="005C664D" w:rsidP="00445175">
      <w:pPr>
        <w:pStyle w:val="a0"/>
        <w:ind w:left="624" w:hanging="340"/>
        <w:rPr>
          <w:rFonts w:hint="cs"/>
          <w:rtl/>
        </w:rPr>
      </w:pPr>
      <w:r w:rsidRPr="003F3B94">
        <w:rPr>
          <w:rFonts w:ascii="Abo-thar" w:hAnsi="Abo-thar" w:hint="eastAsia"/>
          <w:sz w:val="28"/>
          <w:rtl/>
        </w:rPr>
        <w:t>و</w:t>
      </w:r>
      <w:r w:rsidR="00217AB4" w:rsidRPr="003F3B94">
        <w:rPr>
          <w:rFonts w:ascii="Abo-thar" w:hAnsi="Abo-thar"/>
          <w:sz w:val="28"/>
          <w:rtl/>
        </w:rPr>
        <w:t>-</w:t>
      </w:r>
      <w:r w:rsidR="00147857" w:rsidRPr="003F3B94">
        <w:rPr>
          <w:rFonts w:ascii="Abo-thar" w:hAnsi="Abo-thar"/>
          <w:sz w:val="28"/>
          <w:rtl/>
        </w:rPr>
        <w:t xml:space="preserve"> </w:t>
      </w:r>
      <w:r w:rsidRPr="003F3B94">
        <w:rPr>
          <w:rFonts w:ascii="Abo-thar" w:hAnsi="Abo-thar" w:hint="cs"/>
          <w:sz w:val="28"/>
          <w:rtl/>
        </w:rPr>
        <w:t>وقال الطوسي في الكتاب ذاته</w:t>
      </w:r>
      <w:r w:rsidR="00217AB4" w:rsidRPr="003F3B94">
        <w:rPr>
          <w:rFonts w:ascii="Abo-thar" w:hAnsi="Abo-thar" w:hint="cs"/>
          <w:sz w:val="28"/>
          <w:rtl/>
        </w:rPr>
        <w:t>:</w:t>
      </w:r>
      <w:r w:rsidR="00445175">
        <w:rPr>
          <w:rFonts w:ascii="Abo-thar" w:hAnsi="Abo-thar" w:hint="cs"/>
          <w:sz w:val="28"/>
          <w:rtl/>
        </w:rPr>
        <w:t xml:space="preserve"> </w:t>
      </w:r>
      <w:r w:rsidR="00EF2588" w:rsidRPr="003F3B94">
        <w:rPr>
          <w:rFonts w:ascii="Abo-thar" w:hAnsi="Abo-thar" w:hint="cs"/>
          <w:sz w:val="28"/>
          <w:rtl/>
        </w:rPr>
        <w:t>«</w:t>
      </w:r>
      <w:r w:rsidRPr="003F3B94">
        <w:rPr>
          <w:rFonts w:ascii="Abo-thar" w:hAnsi="Abo-thar"/>
          <w:bCs/>
          <w:sz w:val="28"/>
          <w:rtl/>
        </w:rPr>
        <w:t xml:space="preserve">والذي نذهب </w:t>
      </w:r>
      <w:r w:rsidRPr="003F3B94">
        <w:rPr>
          <w:rFonts w:ascii="Abo-thar" w:hAnsi="Abo-thar" w:hint="cs"/>
          <w:bCs/>
          <w:sz w:val="28"/>
          <w:rtl/>
        </w:rPr>
        <w:t>إليه</w:t>
      </w:r>
      <w:r w:rsidRPr="003F3B94">
        <w:rPr>
          <w:rFonts w:ascii="Abo-thar" w:hAnsi="Abo-thar"/>
          <w:bCs/>
          <w:sz w:val="28"/>
          <w:rtl/>
        </w:rPr>
        <w:t xml:space="preserve"> أن مال الف</w:t>
      </w:r>
      <w:r w:rsidRPr="003F3B94">
        <w:rPr>
          <w:rFonts w:ascii="Abo-thar" w:hAnsi="Abo-thar" w:hint="cs"/>
          <w:bCs/>
          <w:sz w:val="28"/>
          <w:rtl/>
        </w:rPr>
        <w:t>يء</w:t>
      </w:r>
      <w:r w:rsidRPr="003F3B94">
        <w:rPr>
          <w:rFonts w:ascii="Abo-thar" w:hAnsi="Abo-thar"/>
          <w:bCs/>
          <w:sz w:val="28"/>
          <w:rtl/>
        </w:rPr>
        <w:t xml:space="preserve"> غير مال الغنيمة</w:t>
      </w:r>
      <w:r w:rsidR="00217AB4" w:rsidRPr="003F3B94">
        <w:rPr>
          <w:rFonts w:ascii="Abo-thar" w:hAnsi="Abo-thar"/>
          <w:bCs/>
          <w:sz w:val="28"/>
          <w:rtl/>
        </w:rPr>
        <w:t>،</w:t>
      </w:r>
      <w:r w:rsidRPr="003F3B94">
        <w:rPr>
          <w:rFonts w:ascii="Abo-thar" w:hAnsi="Abo-thar"/>
          <w:bCs/>
          <w:sz w:val="28"/>
          <w:rtl/>
        </w:rPr>
        <w:t xml:space="preserve"> فالغنيمة كل ما </w:t>
      </w:r>
      <w:r w:rsidRPr="003F3B94">
        <w:rPr>
          <w:rFonts w:ascii="Abo-thar" w:hAnsi="Abo-thar" w:hint="cs"/>
          <w:bCs/>
          <w:sz w:val="28"/>
          <w:rtl/>
        </w:rPr>
        <w:t>أ</w:t>
      </w:r>
      <w:r w:rsidRPr="003F3B94">
        <w:rPr>
          <w:rFonts w:ascii="Abo-thar" w:hAnsi="Abo-thar"/>
          <w:bCs/>
          <w:sz w:val="28"/>
          <w:rtl/>
        </w:rPr>
        <w:t>خذ من دار الحرب بالسيف عنوة</w:t>
      </w:r>
      <w:r w:rsidRPr="003F3B94">
        <w:rPr>
          <w:rFonts w:ascii="Abo-thar" w:hAnsi="Abo-thar" w:hint="cs"/>
          <w:bCs/>
          <w:sz w:val="28"/>
          <w:rtl/>
        </w:rPr>
        <w:t>ً</w:t>
      </w:r>
      <w:r w:rsidRPr="003F3B94">
        <w:rPr>
          <w:rFonts w:ascii="Abo-thar" w:hAnsi="Abo-thar"/>
          <w:bCs/>
          <w:sz w:val="28"/>
          <w:rtl/>
        </w:rPr>
        <w:t xml:space="preserve"> مما يمكن نقله إلى دار </w:t>
      </w:r>
      <w:r w:rsidRPr="003F3B94">
        <w:rPr>
          <w:rFonts w:ascii="Abo-thar" w:hAnsi="Abo-thar" w:hint="cs"/>
          <w:bCs/>
          <w:sz w:val="28"/>
          <w:rtl/>
        </w:rPr>
        <w:t>الإسلام</w:t>
      </w:r>
      <w:r w:rsidR="00217AB4" w:rsidRPr="003F3B94">
        <w:rPr>
          <w:rFonts w:ascii="Abo-thar" w:hAnsi="Abo-thar"/>
          <w:bCs/>
          <w:sz w:val="28"/>
          <w:rtl/>
        </w:rPr>
        <w:t>،</w:t>
      </w:r>
      <w:r w:rsidRPr="003F3B94">
        <w:rPr>
          <w:rFonts w:ascii="Abo-thar" w:hAnsi="Abo-thar"/>
          <w:bCs/>
          <w:sz w:val="28"/>
          <w:rtl/>
        </w:rPr>
        <w:t xml:space="preserve"> وما لا يمكن نقله إلى دار </w:t>
      </w:r>
      <w:r w:rsidRPr="003F3B94">
        <w:rPr>
          <w:rFonts w:ascii="Abo-thar" w:hAnsi="Abo-thar" w:hint="cs"/>
          <w:bCs/>
          <w:sz w:val="28"/>
          <w:rtl/>
        </w:rPr>
        <w:t>الإسلام</w:t>
      </w:r>
      <w:r w:rsidR="00217AB4" w:rsidRPr="003F3B94">
        <w:rPr>
          <w:rFonts w:ascii="Abo-thar" w:hAnsi="Abo-thar"/>
          <w:bCs/>
          <w:sz w:val="28"/>
          <w:rtl/>
        </w:rPr>
        <w:t>،</w:t>
      </w:r>
      <w:r w:rsidRPr="003F3B94">
        <w:rPr>
          <w:rFonts w:ascii="Abo-thar" w:hAnsi="Abo-thar"/>
          <w:bCs/>
          <w:sz w:val="28"/>
          <w:rtl/>
        </w:rPr>
        <w:t xml:space="preserve"> فهو لجميع المسلمين ينظر فيه </w:t>
      </w:r>
      <w:r w:rsidRPr="003F3B94">
        <w:rPr>
          <w:rFonts w:ascii="Abo-thar" w:hAnsi="Abo-thar" w:hint="cs"/>
          <w:bCs/>
          <w:sz w:val="28"/>
          <w:rtl/>
        </w:rPr>
        <w:t>الإمام</w:t>
      </w:r>
      <w:r w:rsidRPr="003F3B94">
        <w:rPr>
          <w:rFonts w:ascii="Abo-thar" w:hAnsi="Abo-thar"/>
          <w:bCs/>
          <w:sz w:val="28"/>
          <w:rtl/>
        </w:rPr>
        <w:t xml:space="preserve"> ويصرف انتفاعه إلى بيت المال لمصالح المسلمين</w:t>
      </w:r>
      <w:r w:rsidR="00EF2588" w:rsidRPr="003F3B94">
        <w:rPr>
          <w:rFonts w:ascii="Abo-thar" w:hAnsi="Abo-thar" w:hint="cs"/>
          <w:sz w:val="28"/>
          <w:rtl/>
        </w:rPr>
        <w:t>»</w:t>
      </w:r>
      <w:r w:rsidR="00FA103E" w:rsidRPr="0021507A">
        <w:rPr>
          <w:rFonts w:cs="Arabic11 BT"/>
          <w:b/>
          <w:sz w:val="28"/>
          <w:vertAlign w:val="superscript"/>
          <w:rtl/>
        </w:rPr>
        <w:t>(</w:t>
      </w:r>
      <w:r w:rsidR="00FA103E" w:rsidRPr="0021507A">
        <w:rPr>
          <w:rStyle w:val="FootnoteReference"/>
          <w:rFonts w:cs="Arabic11 BT"/>
          <w:b/>
          <w:sz w:val="28"/>
          <w:rtl/>
        </w:rPr>
        <w:footnoteReference w:id="33"/>
      </w:r>
      <w:r w:rsidR="00FA103E" w:rsidRPr="0021507A">
        <w:rPr>
          <w:rFonts w:cs="Arabic11 BT"/>
          <w:b/>
          <w:sz w:val="28"/>
          <w:vertAlign w:val="superscript"/>
          <w:rtl/>
        </w:rPr>
        <w:t>)</w:t>
      </w:r>
      <w:r w:rsidR="00217AB4" w:rsidRPr="003F3B94">
        <w:rPr>
          <w:rFonts w:ascii="Abo-thar" w:hAnsi="Abo-thar" w:hint="cs"/>
          <w:sz w:val="28"/>
          <w:rtl/>
        </w:rPr>
        <w:t>.</w:t>
      </w:r>
    </w:p>
    <w:p w:rsidR="005C664D" w:rsidRPr="003F3B94" w:rsidRDefault="005C664D" w:rsidP="00445175">
      <w:pPr>
        <w:pStyle w:val="a0"/>
        <w:ind w:left="624" w:hanging="340"/>
        <w:rPr>
          <w:rFonts w:hint="cs"/>
          <w:rtl/>
        </w:rPr>
      </w:pPr>
      <w:r w:rsidRPr="003F3B94">
        <w:rPr>
          <w:rFonts w:ascii="Abo-thar" w:hAnsi="Abo-thar" w:hint="eastAsia"/>
          <w:sz w:val="28"/>
          <w:rtl/>
        </w:rPr>
        <w:t>ز</w:t>
      </w:r>
      <w:r w:rsidR="00217AB4" w:rsidRPr="003F3B94">
        <w:rPr>
          <w:rFonts w:ascii="Abo-thar" w:hAnsi="Abo-thar"/>
          <w:sz w:val="28"/>
          <w:rtl/>
        </w:rPr>
        <w:t>-</w:t>
      </w:r>
      <w:r w:rsidR="00147857" w:rsidRPr="003F3B94">
        <w:rPr>
          <w:rFonts w:ascii="Abo-thar" w:hAnsi="Abo-thar"/>
          <w:sz w:val="28"/>
          <w:rtl/>
        </w:rPr>
        <w:t xml:space="preserve"> </w:t>
      </w:r>
      <w:r w:rsidRPr="003F3B94">
        <w:rPr>
          <w:rFonts w:ascii="Abo-thar" w:hAnsi="Abo-thar" w:hint="cs"/>
          <w:sz w:val="28"/>
          <w:rtl/>
        </w:rPr>
        <w:t>ويقول الشيخ الطبرسي في تفسيره مجمع البيان</w:t>
      </w:r>
      <w:r w:rsidRPr="003F3B94">
        <w:rPr>
          <w:rFonts w:ascii="Abo-thar" w:hAnsi="Abo-thar"/>
          <w:sz w:val="28"/>
          <w:rtl/>
        </w:rPr>
        <w:t xml:space="preserve"> </w:t>
      </w:r>
      <w:r w:rsidRPr="003F3B94">
        <w:rPr>
          <w:rFonts w:ascii="Abo-thar" w:hAnsi="Abo-thar" w:hint="cs"/>
          <w:sz w:val="28"/>
          <w:rtl/>
        </w:rPr>
        <w:t>ذيل تفسيره لآية الخمس من سورة الأنفال</w:t>
      </w:r>
      <w:r w:rsidR="00217AB4" w:rsidRPr="003F3B94">
        <w:rPr>
          <w:rFonts w:ascii="Abo-thar" w:hAnsi="Abo-thar"/>
          <w:sz w:val="28"/>
          <w:rtl/>
        </w:rPr>
        <w:t>:</w:t>
      </w:r>
      <w:r w:rsidRPr="003F3B94">
        <w:rPr>
          <w:rFonts w:ascii="Abo-thar" w:hAnsi="Abo-thar"/>
          <w:sz w:val="28"/>
          <w:rtl/>
        </w:rPr>
        <w:t xml:space="preserve"> </w:t>
      </w:r>
      <w:r w:rsidR="00EF2588" w:rsidRPr="003F3B94">
        <w:rPr>
          <w:rFonts w:ascii="Abo-thar" w:hAnsi="Abo-thar" w:hint="cs"/>
          <w:sz w:val="28"/>
          <w:rtl/>
        </w:rPr>
        <w:t>«</w:t>
      </w:r>
      <w:r w:rsidRPr="003F3B94">
        <w:rPr>
          <w:rFonts w:ascii="Abo-thar" w:hAnsi="Abo-thar"/>
          <w:bCs/>
          <w:sz w:val="28"/>
          <w:rtl/>
        </w:rPr>
        <w:t>الغنيمة ما أخذ من أموال أهل الحرب من الكفار بقتال</w:t>
      </w:r>
      <w:r w:rsidR="00147857" w:rsidRPr="003F3B94">
        <w:rPr>
          <w:rFonts w:ascii="Abo-thar" w:hAnsi="Abo-thar"/>
          <w:bCs/>
          <w:sz w:val="28"/>
          <w:rtl/>
        </w:rPr>
        <w:t xml:space="preserve"> و</w:t>
      </w:r>
      <w:r w:rsidRPr="003F3B94">
        <w:rPr>
          <w:rFonts w:ascii="Abo-thar" w:hAnsi="Abo-thar"/>
          <w:bCs/>
          <w:sz w:val="28"/>
          <w:rtl/>
        </w:rPr>
        <w:t>ه</w:t>
      </w:r>
      <w:r w:rsidRPr="003F3B94">
        <w:rPr>
          <w:rFonts w:ascii="Abo-thar" w:hAnsi="Abo-thar" w:hint="cs"/>
          <w:bCs/>
          <w:sz w:val="28"/>
          <w:rtl/>
        </w:rPr>
        <w:t>ي</w:t>
      </w:r>
      <w:r w:rsidRPr="003F3B94">
        <w:rPr>
          <w:rFonts w:ascii="Abo-thar" w:hAnsi="Abo-thar"/>
          <w:bCs/>
          <w:sz w:val="28"/>
          <w:rtl/>
        </w:rPr>
        <w:t xml:space="preserve"> هبة من الله تعالى للمسلمين</w:t>
      </w:r>
      <w:r w:rsidR="00147857" w:rsidRPr="003F3B94">
        <w:rPr>
          <w:rFonts w:ascii="Abo-thar" w:hAnsi="Abo-thar"/>
          <w:bCs/>
          <w:sz w:val="28"/>
          <w:rtl/>
        </w:rPr>
        <w:t xml:space="preserve"> و</w:t>
      </w:r>
      <w:r w:rsidRPr="003F3B94">
        <w:rPr>
          <w:rFonts w:ascii="Abo-thar" w:hAnsi="Abo-thar"/>
          <w:bCs/>
          <w:sz w:val="28"/>
          <w:rtl/>
        </w:rPr>
        <w:t>الفيء ما أخذ بغير قتال وهو قول عطاء ومذهب الشافعي وسفيان وهو المروي</w:t>
      </w:r>
      <w:r w:rsidRPr="003F3B94">
        <w:rPr>
          <w:rFonts w:ascii="Abo-thar" w:hAnsi="Abo-thar" w:hint="cs"/>
          <w:bCs/>
          <w:sz w:val="28"/>
          <w:rtl/>
        </w:rPr>
        <w:t>ُّ</w:t>
      </w:r>
      <w:r w:rsidRPr="003F3B94">
        <w:rPr>
          <w:rFonts w:ascii="Abo-thar" w:hAnsi="Abo-thar"/>
          <w:bCs/>
          <w:sz w:val="28"/>
          <w:rtl/>
        </w:rPr>
        <w:t xml:space="preserve"> عن أئمتنا</w:t>
      </w:r>
      <w:r w:rsidRPr="003F3B94">
        <w:rPr>
          <w:rFonts w:ascii="Abo-thar" w:hAnsi="Abo-thar" w:hint="cs"/>
          <w:bCs/>
          <w:sz w:val="28"/>
          <w:rtl/>
        </w:rPr>
        <w:t xml:space="preserve"> </w:t>
      </w:r>
      <w:r w:rsidR="00963EFD" w:rsidRPr="00963EFD">
        <w:rPr>
          <w:rFonts w:ascii="Abo-thar" w:hAnsi="Abo-thar" w:cs="CTraditional Arabic"/>
          <w:sz w:val="28"/>
          <w:rtl/>
        </w:rPr>
        <w:t>‡</w:t>
      </w:r>
      <w:r w:rsidR="00EF2588" w:rsidRPr="003F3B94">
        <w:rPr>
          <w:rFonts w:ascii="Abo-thar" w:hAnsi="Abo-thar" w:hint="cs"/>
          <w:sz w:val="28"/>
          <w:rtl/>
        </w:rPr>
        <w:t>»</w:t>
      </w:r>
      <w:r w:rsidR="00FA103E" w:rsidRPr="0021507A">
        <w:rPr>
          <w:rFonts w:cs="Arabic11 BT"/>
          <w:b/>
          <w:sz w:val="28"/>
          <w:vertAlign w:val="superscript"/>
          <w:rtl/>
        </w:rPr>
        <w:t>(</w:t>
      </w:r>
      <w:r w:rsidR="00FA103E" w:rsidRPr="0021507A">
        <w:rPr>
          <w:rStyle w:val="FootnoteReference"/>
          <w:rFonts w:cs="Arabic11 BT"/>
          <w:b/>
          <w:sz w:val="28"/>
          <w:rtl/>
        </w:rPr>
        <w:footnoteReference w:id="34"/>
      </w:r>
      <w:r w:rsidR="00FA103E" w:rsidRPr="0021507A">
        <w:rPr>
          <w:rFonts w:cs="Arabic11 BT"/>
          <w:b/>
          <w:sz w:val="28"/>
          <w:vertAlign w:val="superscript"/>
          <w:rtl/>
        </w:rPr>
        <w:t>)</w:t>
      </w:r>
      <w:r w:rsidR="00217AB4" w:rsidRPr="003F3B94">
        <w:rPr>
          <w:rFonts w:ascii="Abo-thar" w:hAnsi="Abo-thar" w:hint="cs"/>
          <w:sz w:val="28"/>
          <w:rtl/>
        </w:rPr>
        <w:t>.</w:t>
      </w:r>
      <w:r w:rsidRPr="003F3B94">
        <w:rPr>
          <w:rFonts w:ascii="Abo-thar" w:hAnsi="Abo-thar" w:hint="cs"/>
          <w:sz w:val="28"/>
          <w:rtl/>
        </w:rPr>
        <w:t xml:space="preserve"> </w:t>
      </w:r>
    </w:p>
    <w:p w:rsidR="005C664D" w:rsidRPr="003F3B94" w:rsidRDefault="005C664D" w:rsidP="00445175">
      <w:pPr>
        <w:pStyle w:val="a0"/>
        <w:ind w:left="624" w:hanging="340"/>
        <w:rPr>
          <w:rFonts w:hint="cs"/>
          <w:rtl/>
        </w:rPr>
      </w:pPr>
      <w:r w:rsidRPr="003F3B94">
        <w:rPr>
          <w:rFonts w:ascii="Abo-thar" w:hAnsi="Abo-thar" w:hint="eastAsia"/>
          <w:sz w:val="28"/>
          <w:rtl/>
        </w:rPr>
        <w:t>ح</w:t>
      </w:r>
      <w:r w:rsidR="00217AB4" w:rsidRPr="003F3B94">
        <w:rPr>
          <w:rFonts w:ascii="Abo-thar" w:hAnsi="Abo-thar"/>
          <w:sz w:val="28"/>
          <w:rtl/>
        </w:rPr>
        <w:t>-</w:t>
      </w:r>
      <w:r w:rsidR="00147857" w:rsidRPr="003F3B94">
        <w:rPr>
          <w:rFonts w:ascii="Abo-thar" w:hAnsi="Abo-thar"/>
          <w:sz w:val="28"/>
          <w:rtl/>
        </w:rPr>
        <w:t xml:space="preserve"> </w:t>
      </w:r>
      <w:r w:rsidRPr="003F3B94">
        <w:rPr>
          <w:rFonts w:ascii="Abo-thar" w:hAnsi="Abo-thar" w:hint="cs"/>
          <w:sz w:val="28"/>
          <w:rtl/>
        </w:rPr>
        <w:t>ونقل المرحوم ال</w:t>
      </w:r>
      <w:r w:rsidRPr="003F3B94">
        <w:rPr>
          <w:rFonts w:ascii="Abo-thar" w:hAnsi="Abo-thar"/>
          <w:sz w:val="28"/>
          <w:rtl/>
        </w:rPr>
        <w:t>مقد</w:t>
      </w:r>
      <w:r w:rsidRPr="003F3B94">
        <w:rPr>
          <w:rFonts w:ascii="Abo-thar" w:hAnsi="Abo-thar" w:hint="cs"/>
          <w:sz w:val="28"/>
          <w:rtl/>
        </w:rPr>
        <w:t>ّ</w:t>
      </w:r>
      <w:r w:rsidRPr="003F3B94">
        <w:rPr>
          <w:rFonts w:ascii="Abo-thar" w:hAnsi="Abo-thar"/>
          <w:sz w:val="28"/>
          <w:rtl/>
        </w:rPr>
        <w:t xml:space="preserve">س </w:t>
      </w:r>
      <w:r w:rsidRPr="003F3B94">
        <w:rPr>
          <w:rFonts w:ascii="Abo-thar" w:hAnsi="Abo-thar" w:hint="cs"/>
          <w:sz w:val="28"/>
          <w:rtl/>
        </w:rPr>
        <w:t>الأردبيلي في كتابه «زبدة البيان» ع</w:t>
      </w:r>
      <w:r w:rsidR="00FA103E" w:rsidRPr="003F3B94">
        <w:rPr>
          <w:rFonts w:ascii="Abo-thar" w:hAnsi="Abo-thar" w:hint="cs"/>
          <w:sz w:val="28"/>
          <w:rtl/>
        </w:rPr>
        <w:t>ـ</w:t>
      </w:r>
      <w:r w:rsidRPr="003F3B94">
        <w:rPr>
          <w:rFonts w:ascii="Abo-thar" w:hAnsi="Abo-thar" w:hint="cs"/>
          <w:sz w:val="28"/>
          <w:rtl/>
        </w:rPr>
        <w:t>ين هذه العبارة عن تفسير «مجمع البيان» وارتضاها وقَبِلَ بها</w:t>
      </w:r>
      <w:r w:rsidR="00217AB4" w:rsidRPr="003F3B94">
        <w:rPr>
          <w:rFonts w:ascii="Abo-thar" w:hAnsi="Abo-thar" w:hint="cs"/>
          <w:sz w:val="28"/>
          <w:rtl/>
        </w:rPr>
        <w:t>.</w:t>
      </w:r>
      <w:r w:rsidRPr="003F3B94">
        <w:rPr>
          <w:rFonts w:ascii="Abo-thar" w:hAnsi="Abo-thar"/>
          <w:sz w:val="28"/>
          <w:rtl/>
        </w:rPr>
        <w:t xml:space="preserve"> </w:t>
      </w:r>
    </w:p>
    <w:p w:rsidR="005C664D" w:rsidRPr="003F3B94" w:rsidRDefault="005C664D" w:rsidP="00445175">
      <w:pPr>
        <w:pStyle w:val="a0"/>
        <w:ind w:left="624" w:hanging="340"/>
        <w:rPr>
          <w:rFonts w:hint="cs"/>
          <w:rtl/>
        </w:rPr>
      </w:pPr>
      <w:r w:rsidRPr="003F3B94">
        <w:rPr>
          <w:rFonts w:ascii="Abo-thar" w:hAnsi="Abo-thar" w:hint="eastAsia"/>
          <w:sz w:val="28"/>
          <w:rtl/>
        </w:rPr>
        <w:t>ط</w:t>
      </w:r>
      <w:r w:rsidR="00217AB4" w:rsidRPr="003F3B94">
        <w:rPr>
          <w:rFonts w:ascii="Abo-thar" w:hAnsi="Abo-thar"/>
          <w:sz w:val="28"/>
          <w:rtl/>
        </w:rPr>
        <w:t>-</w:t>
      </w:r>
      <w:r w:rsidR="00147857" w:rsidRPr="003F3B94">
        <w:rPr>
          <w:rFonts w:ascii="Abo-thar" w:hAnsi="Abo-thar"/>
          <w:sz w:val="28"/>
          <w:rtl/>
        </w:rPr>
        <w:t xml:space="preserve"> </w:t>
      </w:r>
      <w:r w:rsidRPr="003F3B94">
        <w:rPr>
          <w:rFonts w:ascii="Abo-thar" w:hAnsi="Abo-thar"/>
          <w:sz w:val="28"/>
          <w:rtl/>
        </w:rPr>
        <w:t xml:space="preserve">وقال </w:t>
      </w:r>
      <w:r w:rsidRPr="003F3B94">
        <w:rPr>
          <w:rFonts w:ascii="Abo-thar" w:hAnsi="Abo-thar" w:hint="cs"/>
          <w:sz w:val="28"/>
          <w:rtl/>
        </w:rPr>
        <w:t xml:space="preserve">المرحوم </w:t>
      </w:r>
      <w:r w:rsidRPr="003F3B94">
        <w:rPr>
          <w:rFonts w:ascii="Abo-thar" w:hAnsi="Abo-thar"/>
          <w:sz w:val="28"/>
          <w:rtl/>
        </w:rPr>
        <w:t>«الفاضل الجواد</w:t>
      </w:r>
      <w:r w:rsidRPr="003F3B94">
        <w:rPr>
          <w:rFonts w:ascii="Abo-thar" w:hAnsi="Abo-thar" w:hint="cs"/>
          <w:sz w:val="28"/>
          <w:rtl/>
        </w:rPr>
        <w:t xml:space="preserve"> الكاظمي</w:t>
      </w:r>
      <w:r w:rsidRPr="003F3B94">
        <w:rPr>
          <w:rFonts w:ascii="Abo-thar" w:hAnsi="Abo-thar"/>
          <w:sz w:val="28"/>
          <w:rtl/>
        </w:rPr>
        <w:t xml:space="preserve">» في </w:t>
      </w:r>
      <w:r w:rsidRPr="003F3B94">
        <w:rPr>
          <w:rFonts w:ascii="Abo-thar" w:hAnsi="Abo-thar" w:hint="cs"/>
          <w:sz w:val="28"/>
          <w:rtl/>
        </w:rPr>
        <w:t>«</w:t>
      </w:r>
      <w:r w:rsidRPr="003F3B94">
        <w:rPr>
          <w:rFonts w:ascii="Abo-thar" w:hAnsi="Abo-thar"/>
          <w:sz w:val="28"/>
          <w:rtl/>
        </w:rPr>
        <w:t>مسالك الأفهام</w:t>
      </w:r>
      <w:r w:rsidRPr="003F3B94">
        <w:rPr>
          <w:rFonts w:ascii="Abo-thar" w:hAnsi="Abo-thar" w:hint="cs"/>
          <w:sz w:val="28"/>
          <w:rtl/>
        </w:rPr>
        <w:t xml:space="preserve"> إلى آيات الأحكام» لدى تفسيره لآية الخمس من سورة الأنفال</w:t>
      </w:r>
      <w:r w:rsidR="00217AB4" w:rsidRPr="003F3B94">
        <w:rPr>
          <w:rFonts w:ascii="Abo-thar" w:hAnsi="Abo-thar"/>
          <w:sz w:val="28"/>
          <w:rtl/>
        </w:rPr>
        <w:t>:</w:t>
      </w:r>
      <w:r w:rsidRPr="003F3B94">
        <w:rPr>
          <w:rFonts w:ascii="Abo-thar" w:hAnsi="Abo-thar"/>
          <w:sz w:val="28"/>
          <w:rtl/>
        </w:rPr>
        <w:t xml:space="preserve"> </w:t>
      </w:r>
    </w:p>
    <w:p w:rsidR="005C664D" w:rsidRPr="003F3B94" w:rsidRDefault="00EF2588" w:rsidP="00445175">
      <w:pPr>
        <w:pStyle w:val="a0"/>
        <w:ind w:left="624" w:firstLine="0"/>
        <w:rPr>
          <w:rFonts w:hint="cs"/>
          <w:rtl/>
        </w:rPr>
      </w:pPr>
      <w:r w:rsidRPr="003F3B94">
        <w:rPr>
          <w:rFonts w:ascii="Abo-thar" w:hAnsi="Abo-thar" w:hint="cs"/>
          <w:sz w:val="28"/>
          <w:rtl/>
        </w:rPr>
        <w:t>«</w:t>
      </w:r>
      <w:r w:rsidR="005C664D" w:rsidRPr="003F3B94">
        <w:rPr>
          <w:rFonts w:ascii="Abo-thar" w:hAnsi="Abo-thar"/>
          <w:b/>
          <w:bCs/>
          <w:sz w:val="28"/>
          <w:rtl/>
        </w:rPr>
        <w:t xml:space="preserve">ظاهر </w:t>
      </w:r>
      <w:r w:rsidR="005C664D" w:rsidRPr="003F3B94">
        <w:rPr>
          <w:rFonts w:ascii="Abo-thar" w:hAnsi="Abo-thar" w:hint="cs"/>
          <w:b/>
          <w:bCs/>
          <w:sz w:val="28"/>
          <w:rtl/>
        </w:rPr>
        <w:t>«</w:t>
      </w:r>
      <w:r w:rsidR="005C664D" w:rsidRPr="003F3B94">
        <w:rPr>
          <w:rFonts w:ascii="Abo-thar" w:hAnsi="Abo-thar"/>
          <w:b/>
          <w:bCs/>
          <w:sz w:val="28"/>
          <w:rtl/>
        </w:rPr>
        <w:t>الغنيمة</w:t>
      </w:r>
      <w:r w:rsidR="005C664D" w:rsidRPr="003F3B94">
        <w:rPr>
          <w:rFonts w:ascii="Abo-thar" w:hAnsi="Abo-thar" w:hint="cs"/>
          <w:b/>
          <w:bCs/>
          <w:sz w:val="28"/>
          <w:rtl/>
        </w:rPr>
        <w:t>»</w:t>
      </w:r>
      <w:r w:rsidR="00217AB4" w:rsidRPr="003F3B94">
        <w:rPr>
          <w:rFonts w:ascii="Abo-thar" w:hAnsi="Abo-thar" w:hint="cs"/>
          <w:b/>
          <w:bCs/>
          <w:sz w:val="28"/>
          <w:rtl/>
        </w:rPr>
        <w:t>:</w:t>
      </w:r>
      <w:r w:rsidR="005C664D" w:rsidRPr="003F3B94">
        <w:rPr>
          <w:rFonts w:ascii="Abo-thar" w:hAnsi="Abo-thar"/>
          <w:b/>
          <w:bCs/>
          <w:sz w:val="28"/>
          <w:rtl/>
        </w:rPr>
        <w:t xml:space="preserve"> ما أخذت من دار الحرب</w:t>
      </w:r>
      <w:r w:rsidR="00217AB4" w:rsidRPr="003F3B94">
        <w:rPr>
          <w:rFonts w:ascii="Abo-thar" w:hAnsi="Abo-thar"/>
          <w:b/>
          <w:bCs/>
          <w:sz w:val="28"/>
          <w:rtl/>
        </w:rPr>
        <w:t>،</w:t>
      </w:r>
      <w:r w:rsidR="005C664D" w:rsidRPr="003F3B94">
        <w:rPr>
          <w:rFonts w:ascii="Abo-thar" w:hAnsi="Abo-thar"/>
          <w:b/>
          <w:bCs/>
          <w:sz w:val="28"/>
          <w:rtl/>
        </w:rPr>
        <w:t xml:space="preserve"> ويؤيّده الآيات السابقة واللاحقة</w:t>
      </w:r>
      <w:r w:rsidR="00217AB4" w:rsidRPr="003F3B94">
        <w:rPr>
          <w:rFonts w:ascii="Abo-thar" w:hAnsi="Abo-thar"/>
          <w:b/>
          <w:bCs/>
          <w:sz w:val="28"/>
          <w:rtl/>
        </w:rPr>
        <w:t>،</w:t>
      </w:r>
      <w:r w:rsidR="005C664D" w:rsidRPr="003F3B94">
        <w:rPr>
          <w:rFonts w:ascii="Abo-thar" w:hAnsi="Abo-thar"/>
          <w:b/>
          <w:bCs/>
          <w:sz w:val="28"/>
          <w:rtl/>
        </w:rPr>
        <w:t xml:space="preserve"> وعلى ذلك حملها أكثر المفسّرين</w:t>
      </w:r>
      <w:r w:rsidR="00217AB4" w:rsidRPr="003F3B94">
        <w:rPr>
          <w:rFonts w:ascii="Abo-thar" w:hAnsi="Abo-thar"/>
          <w:b/>
          <w:bCs/>
          <w:sz w:val="28"/>
          <w:rtl/>
        </w:rPr>
        <w:t>،</w:t>
      </w:r>
      <w:r w:rsidR="005C664D" w:rsidRPr="003F3B94">
        <w:rPr>
          <w:rFonts w:ascii="Abo-thar" w:hAnsi="Abo-thar"/>
          <w:b/>
          <w:bCs/>
          <w:sz w:val="28"/>
          <w:rtl/>
        </w:rPr>
        <w:t xml:space="preserve"> والظاهر من أصحابنا أنّهم يحملونها على الفائدة مطلقا</w:t>
      </w:r>
      <w:r w:rsidR="00217AB4" w:rsidRPr="003F3B94">
        <w:rPr>
          <w:rFonts w:ascii="Abo-thar" w:hAnsi="Abo-thar"/>
          <w:b/>
          <w:bCs/>
          <w:sz w:val="28"/>
          <w:rtl/>
        </w:rPr>
        <w:t>،</w:t>
      </w:r>
      <w:r w:rsidR="005C664D" w:rsidRPr="003F3B94">
        <w:rPr>
          <w:rFonts w:ascii="Abo-thar" w:hAnsi="Abo-thar"/>
          <w:b/>
          <w:bCs/>
          <w:sz w:val="28"/>
          <w:rtl/>
        </w:rPr>
        <w:t xml:space="preserve"> وإن لم يكن من دار الحرب</w:t>
      </w:r>
      <w:r w:rsidR="00217AB4" w:rsidRPr="003F3B94">
        <w:rPr>
          <w:rFonts w:ascii="Abo-thar" w:hAnsi="Abo-thar" w:hint="cs"/>
          <w:b/>
          <w:bCs/>
          <w:sz w:val="28"/>
          <w:rtl/>
        </w:rPr>
        <w:t>.</w:t>
      </w:r>
      <w:r w:rsidR="00217AB4" w:rsidRPr="003F3B94">
        <w:rPr>
          <w:rFonts w:ascii="Abo-thar" w:hAnsi="Abo-thar" w:hint="cs"/>
          <w:sz w:val="28"/>
          <w:rtl/>
        </w:rPr>
        <w:t>....</w:t>
      </w:r>
      <w:r w:rsidR="005C664D" w:rsidRPr="003F3B94">
        <w:rPr>
          <w:rFonts w:ascii="Abo-thar" w:hAnsi="Abo-thar" w:hint="cs"/>
          <w:sz w:val="28"/>
          <w:rtl/>
        </w:rPr>
        <w:t xml:space="preserve"> [إلى قوله</w:t>
      </w:r>
      <w:r w:rsidR="00217AB4" w:rsidRPr="003F3B94">
        <w:rPr>
          <w:rFonts w:ascii="Abo-thar" w:hAnsi="Abo-thar" w:hint="cs"/>
          <w:sz w:val="28"/>
          <w:rtl/>
        </w:rPr>
        <w:t>:</w:t>
      </w:r>
      <w:r w:rsidR="005C664D" w:rsidRPr="003F3B94">
        <w:rPr>
          <w:rFonts w:ascii="Abo-thar" w:hAnsi="Abo-thar" w:hint="cs"/>
          <w:sz w:val="28"/>
          <w:rtl/>
        </w:rPr>
        <w:t>]</w:t>
      </w:r>
      <w:r w:rsidR="00147857" w:rsidRPr="003F3B94">
        <w:rPr>
          <w:rFonts w:ascii="Abo-thar" w:hAnsi="Abo-thar" w:hint="cs"/>
          <w:sz w:val="28"/>
          <w:rtl/>
        </w:rPr>
        <w:t xml:space="preserve"> </w:t>
      </w:r>
      <w:r w:rsidR="005C664D" w:rsidRPr="003F3B94">
        <w:rPr>
          <w:rFonts w:ascii="Abo-thar" w:hAnsi="Abo-thar" w:hint="cs"/>
          <w:b/>
          <w:bCs/>
          <w:sz w:val="28"/>
          <w:rtl/>
        </w:rPr>
        <w:t xml:space="preserve">والحقّ أنّ استفادة ذلك من ظاهر الآية بعيدة بل الظاهر منها كون </w:t>
      </w:r>
      <w:r w:rsidR="005C664D" w:rsidRPr="003F3B94">
        <w:rPr>
          <w:rFonts w:ascii="Abo-thar" w:hAnsi="Abo-thar" w:hint="cs"/>
          <w:b/>
          <w:bCs/>
          <w:sz w:val="28"/>
          <w:u w:val="single"/>
          <w:rtl/>
        </w:rPr>
        <w:t>الغنيمة غنيمة دار الحرب</w:t>
      </w:r>
      <w:r w:rsidRPr="003F3B94">
        <w:rPr>
          <w:rFonts w:ascii="Abo-thar" w:hAnsi="Abo-thar" w:hint="cs"/>
          <w:sz w:val="28"/>
          <w:rtl/>
        </w:rPr>
        <w:t>»</w:t>
      </w:r>
      <w:r w:rsidR="00FA103E" w:rsidRPr="0021507A">
        <w:rPr>
          <w:rFonts w:cs="Arabic11 BT"/>
          <w:b/>
          <w:sz w:val="28"/>
          <w:vertAlign w:val="superscript"/>
          <w:rtl/>
        </w:rPr>
        <w:t>(</w:t>
      </w:r>
      <w:r w:rsidR="00FA103E" w:rsidRPr="0021507A">
        <w:rPr>
          <w:rStyle w:val="FootnoteReference"/>
          <w:rFonts w:cs="Arabic11 BT"/>
          <w:b/>
          <w:sz w:val="28"/>
          <w:rtl/>
        </w:rPr>
        <w:footnoteReference w:id="35"/>
      </w:r>
      <w:r w:rsidR="00FA103E" w:rsidRPr="0021507A">
        <w:rPr>
          <w:rFonts w:cs="Arabic11 BT"/>
          <w:b/>
          <w:sz w:val="28"/>
          <w:vertAlign w:val="superscript"/>
          <w:rtl/>
        </w:rPr>
        <w:t>)</w:t>
      </w:r>
      <w:r w:rsidR="00217AB4" w:rsidRPr="003F3B94">
        <w:rPr>
          <w:rFonts w:ascii="Abo-thar" w:hAnsi="Abo-thar"/>
          <w:sz w:val="28"/>
          <w:rtl/>
        </w:rPr>
        <w:t>.</w:t>
      </w:r>
    </w:p>
    <w:p w:rsidR="005C664D" w:rsidRPr="003F3B94" w:rsidRDefault="005C664D" w:rsidP="00445175">
      <w:pPr>
        <w:pStyle w:val="a0"/>
        <w:ind w:left="624" w:hanging="340"/>
        <w:rPr>
          <w:rFonts w:hint="cs"/>
          <w:rtl/>
        </w:rPr>
      </w:pPr>
      <w:r w:rsidRPr="003F3B94">
        <w:rPr>
          <w:rFonts w:ascii="Abo-thar" w:hAnsi="Abo-thar" w:hint="cs"/>
          <w:sz w:val="28"/>
          <w:rtl/>
        </w:rPr>
        <w:t>ي</w:t>
      </w:r>
      <w:r w:rsidR="00217AB4" w:rsidRPr="003F3B94">
        <w:rPr>
          <w:rFonts w:ascii="Abo-thar" w:hAnsi="Abo-thar" w:hint="cs"/>
          <w:sz w:val="28"/>
          <w:rtl/>
        </w:rPr>
        <w:t>-</w:t>
      </w:r>
      <w:r w:rsidRPr="003F3B94">
        <w:rPr>
          <w:rFonts w:ascii="Abo-thar" w:hAnsi="Abo-thar" w:hint="cs"/>
          <w:sz w:val="28"/>
          <w:rtl/>
        </w:rPr>
        <w:t xml:space="preserve"> ونقل العلامة المجلسي في «مرآة العقول</w:t>
      </w:r>
      <w:r w:rsidR="00147857" w:rsidRPr="003F3B94">
        <w:rPr>
          <w:rFonts w:ascii="Abo-thar" w:hAnsi="Abo-thar"/>
          <w:sz w:val="28"/>
          <w:rtl/>
        </w:rPr>
        <w:t>»</w:t>
      </w:r>
      <w:r w:rsidR="000868AA" w:rsidRPr="003F3B94">
        <w:rPr>
          <w:rFonts w:ascii="Abo-thar" w:hAnsi="Abo-thar" w:hint="cs"/>
          <w:sz w:val="28"/>
          <w:rtl/>
        </w:rPr>
        <w:t xml:space="preserve"> </w:t>
      </w:r>
      <w:r w:rsidRPr="003F3B94">
        <w:rPr>
          <w:rFonts w:ascii="Abo-thar" w:hAnsi="Abo-thar" w:hint="cs"/>
          <w:sz w:val="28"/>
          <w:rtl/>
        </w:rPr>
        <w:t>عن «المقدس الأردبيلي» قوله</w:t>
      </w:r>
      <w:r w:rsidR="00217AB4" w:rsidRPr="003F3B94">
        <w:rPr>
          <w:rFonts w:ascii="Abo-thar" w:hAnsi="Abo-thar" w:hint="cs"/>
          <w:sz w:val="28"/>
          <w:rtl/>
        </w:rPr>
        <w:t>:</w:t>
      </w:r>
      <w:r w:rsidRPr="003F3B94">
        <w:rPr>
          <w:rFonts w:ascii="Abo-thar" w:hAnsi="Abo-thar" w:hint="cs"/>
          <w:sz w:val="28"/>
          <w:rtl/>
        </w:rPr>
        <w:t xml:space="preserve"> </w:t>
      </w:r>
      <w:r w:rsidR="00EF2588" w:rsidRPr="003F3B94">
        <w:rPr>
          <w:rFonts w:ascii="Abo-thar" w:hAnsi="Abo-thar" w:hint="cs"/>
          <w:sz w:val="28"/>
          <w:rtl/>
        </w:rPr>
        <w:t>«</w:t>
      </w:r>
      <w:r w:rsidRPr="003F3B94">
        <w:rPr>
          <w:rFonts w:ascii="Abo-thar" w:hAnsi="Abo-thar"/>
          <w:b/>
          <w:bCs/>
          <w:sz w:val="28"/>
          <w:rtl/>
        </w:rPr>
        <w:t>و الذي ينبغي أن يذكر هنا مضمون الآية فهي تدل على وجوبه في غنائم دار الحرب مما يصدق عليه شيء أي شيء كان منقولا وغير منقول</w:t>
      </w:r>
      <w:r w:rsidR="00217AB4" w:rsidRPr="003F3B94">
        <w:rPr>
          <w:rFonts w:ascii="Abo-thar" w:hAnsi="Abo-thar" w:hint="cs"/>
          <w:b/>
          <w:bCs/>
          <w:sz w:val="28"/>
          <w:rtl/>
        </w:rPr>
        <w:t>..</w:t>
      </w:r>
      <w:r w:rsidRPr="003F3B94">
        <w:rPr>
          <w:rFonts w:ascii="Abo-thar" w:hAnsi="Abo-thar"/>
          <w:b/>
          <w:bCs/>
          <w:sz w:val="28"/>
          <w:rtl/>
        </w:rPr>
        <w:t xml:space="preserve"> فإن </w:t>
      </w:r>
      <w:r w:rsidRPr="003F3B94">
        <w:rPr>
          <w:rFonts w:ascii="Abo-thar" w:hAnsi="Abo-thar"/>
          <w:b/>
          <w:bCs/>
          <w:sz w:val="28"/>
          <w:u w:val="single"/>
          <w:rtl/>
        </w:rPr>
        <w:t>المتبادر من الغنيمة هنا هي ذلك</w:t>
      </w:r>
      <w:r w:rsidR="00217AB4" w:rsidRPr="003F3B94">
        <w:rPr>
          <w:rFonts w:ascii="Abo-thar" w:hAnsi="Abo-thar"/>
          <w:b/>
          <w:bCs/>
          <w:sz w:val="28"/>
          <w:rtl/>
        </w:rPr>
        <w:t>.</w:t>
      </w:r>
      <w:r w:rsidRPr="003F3B94">
        <w:rPr>
          <w:rFonts w:ascii="Abo-thar" w:hAnsi="Abo-thar" w:hint="cs"/>
          <w:b/>
          <w:bCs/>
          <w:sz w:val="28"/>
          <w:rtl/>
        </w:rPr>
        <w:t xml:space="preserve"> </w:t>
      </w:r>
      <w:r w:rsidRPr="003F3B94">
        <w:rPr>
          <w:rFonts w:ascii="Abo-thar" w:hAnsi="Abo-thar"/>
          <w:b/>
          <w:bCs/>
          <w:sz w:val="28"/>
          <w:rtl/>
        </w:rPr>
        <w:t>ويؤيده تفسير المفسرين به</w:t>
      </w:r>
      <w:r w:rsidR="00217AB4" w:rsidRPr="003F3B94">
        <w:rPr>
          <w:rFonts w:ascii="Abo-thar" w:hAnsi="Abo-thar"/>
          <w:b/>
          <w:bCs/>
          <w:sz w:val="28"/>
          <w:rtl/>
        </w:rPr>
        <w:t>،</w:t>
      </w:r>
      <w:r w:rsidRPr="003F3B94">
        <w:rPr>
          <w:rFonts w:ascii="Abo-thar" w:hAnsi="Abo-thar"/>
          <w:b/>
          <w:bCs/>
          <w:sz w:val="28"/>
          <w:rtl/>
        </w:rPr>
        <w:t xml:space="preserve"> وكون ما قبل الآية وما بعدها في الحرب</w:t>
      </w:r>
      <w:r w:rsidR="00FB6445" w:rsidRPr="003F3B94">
        <w:rPr>
          <w:rFonts w:ascii="Abo-thar" w:hAnsi="Abo-thar" w:hint="cs"/>
          <w:b/>
          <w:bCs/>
          <w:sz w:val="28"/>
          <w:rtl/>
        </w:rPr>
        <w:t>»</w:t>
      </w:r>
      <w:r w:rsidR="000868AA" w:rsidRPr="0021507A">
        <w:rPr>
          <w:rFonts w:cs="Arabic11 BT"/>
          <w:b/>
          <w:sz w:val="28"/>
          <w:vertAlign w:val="superscript"/>
          <w:rtl/>
        </w:rPr>
        <w:t>(</w:t>
      </w:r>
      <w:r w:rsidR="000868AA" w:rsidRPr="0021507A">
        <w:rPr>
          <w:rStyle w:val="FootnoteReference"/>
          <w:rFonts w:cs="Arabic11 BT"/>
          <w:b/>
          <w:sz w:val="28"/>
          <w:rtl/>
        </w:rPr>
        <w:footnoteReference w:id="36"/>
      </w:r>
      <w:r w:rsidR="000868AA" w:rsidRPr="0021507A">
        <w:rPr>
          <w:rFonts w:cs="Arabic11 BT"/>
          <w:b/>
          <w:sz w:val="28"/>
          <w:vertAlign w:val="superscript"/>
          <w:rtl/>
        </w:rPr>
        <w:t>)</w:t>
      </w:r>
      <w:r w:rsidR="00217AB4" w:rsidRPr="003F3B94">
        <w:rPr>
          <w:rFonts w:ascii="Abo-thar" w:hAnsi="Abo-thar" w:hint="cs"/>
          <w:sz w:val="28"/>
          <w:rtl/>
        </w:rPr>
        <w:t>.</w:t>
      </w:r>
    </w:p>
    <w:p w:rsidR="005C664D" w:rsidRPr="003F3B94" w:rsidRDefault="005C664D" w:rsidP="003F3B94">
      <w:pPr>
        <w:pStyle w:val="a0"/>
        <w:rPr>
          <w:rFonts w:hint="cs"/>
          <w:rtl/>
        </w:rPr>
      </w:pPr>
      <w:r w:rsidRPr="003F3B94">
        <w:rPr>
          <w:rFonts w:ascii="Abo-thar" w:hAnsi="Abo-thar" w:hint="cs"/>
          <w:sz w:val="28"/>
          <w:rtl/>
        </w:rPr>
        <w:t>هذا هو المعنى الذي ذكره فقهاء الإسلام من العامة والخاصة لكلمة «</w:t>
      </w:r>
      <w:r w:rsidRPr="003F3B94">
        <w:rPr>
          <w:rFonts w:ascii="Abo-thar" w:hAnsi="Abo-thar" w:hint="cs"/>
          <w:b/>
          <w:bCs/>
          <w:sz w:val="28"/>
          <w:rtl/>
        </w:rPr>
        <w:t>الغنيمة</w:t>
      </w:r>
      <w:r w:rsidRPr="003F3B94">
        <w:rPr>
          <w:rFonts w:ascii="Abo-thar" w:hAnsi="Abo-thar" w:hint="cs"/>
          <w:sz w:val="28"/>
          <w:rtl/>
        </w:rPr>
        <w:t>» وكما لاحظنا ليس بينهم خلاف في حقيقة معناها ولا ينبغي أن يكون هناك خلاف</w:t>
      </w:r>
      <w:r w:rsidR="00217AB4" w:rsidRPr="003F3B94">
        <w:rPr>
          <w:rFonts w:ascii="Abo-thar" w:hAnsi="Abo-thar" w:hint="cs"/>
          <w:sz w:val="28"/>
          <w:rtl/>
        </w:rPr>
        <w:t>،</w:t>
      </w:r>
      <w:r w:rsidRPr="003F3B94">
        <w:rPr>
          <w:rFonts w:ascii="Abo-thar" w:hAnsi="Abo-thar" w:hint="cs"/>
          <w:sz w:val="28"/>
          <w:rtl/>
        </w:rPr>
        <w:t xml:space="preserve"> لأن جميع الآيات القرآنية المباركة التي وردت فيها هذه الكلمة</w:t>
      </w:r>
      <w:r w:rsidR="00217AB4" w:rsidRPr="003F3B94">
        <w:rPr>
          <w:rFonts w:ascii="Abo-thar" w:hAnsi="Abo-thar" w:hint="cs"/>
          <w:sz w:val="28"/>
          <w:rtl/>
        </w:rPr>
        <w:t>،</w:t>
      </w:r>
      <w:r w:rsidRPr="003F3B94">
        <w:rPr>
          <w:rFonts w:ascii="Abo-thar" w:hAnsi="Abo-thar" w:hint="cs"/>
          <w:sz w:val="28"/>
          <w:rtl/>
        </w:rPr>
        <w:t xml:space="preserve"> يُفهم من سياقها وما جاء قبلها وبعدها من آيات أنها </w:t>
      </w:r>
      <w:r w:rsidRPr="003F3B94">
        <w:rPr>
          <w:rFonts w:ascii="Abo-thar" w:hAnsi="Abo-thar" w:hint="cs"/>
          <w:b/>
          <w:bCs/>
          <w:sz w:val="28"/>
          <w:rtl/>
        </w:rPr>
        <w:t>غنيمة دار الحرب</w:t>
      </w:r>
      <w:r w:rsidR="00217AB4" w:rsidRPr="003F3B94">
        <w:rPr>
          <w:rFonts w:ascii="Abo-thar" w:hAnsi="Abo-thar" w:hint="cs"/>
          <w:sz w:val="28"/>
          <w:rtl/>
        </w:rPr>
        <w:t>:</w:t>
      </w:r>
    </w:p>
    <w:p w:rsidR="005C664D" w:rsidRPr="00995B26" w:rsidRDefault="005C664D" w:rsidP="003F3B94">
      <w:pPr>
        <w:pStyle w:val="a0"/>
        <w:rPr>
          <w:rFonts w:hint="cs"/>
          <w:rtl/>
        </w:rPr>
      </w:pPr>
      <w:r w:rsidRPr="003F3B94">
        <w:rPr>
          <w:rFonts w:ascii="Abo-thar" w:hAnsi="Abo-thar" w:hint="cs"/>
          <w:sz w:val="28"/>
          <w:rtl/>
        </w:rPr>
        <w:t>ألف</w:t>
      </w:r>
      <w:r w:rsidR="00217AB4" w:rsidRPr="003F3B94">
        <w:rPr>
          <w:rFonts w:ascii="Abo-thar" w:hAnsi="Abo-thar" w:hint="cs"/>
          <w:sz w:val="28"/>
          <w:rtl/>
        </w:rPr>
        <w:t>-</w:t>
      </w:r>
      <w:r w:rsidR="00147857" w:rsidRPr="003F3B94">
        <w:rPr>
          <w:rFonts w:ascii="Abo-thar" w:hAnsi="Abo-thar" w:hint="cs"/>
          <w:sz w:val="28"/>
          <w:rtl/>
        </w:rPr>
        <w:t xml:space="preserve"> </w:t>
      </w:r>
      <w:r w:rsidRPr="003F3B94">
        <w:rPr>
          <w:rFonts w:ascii="Abo-thar" w:hAnsi="Abo-thar" w:hint="cs"/>
          <w:sz w:val="28"/>
          <w:rtl/>
        </w:rPr>
        <w:t>في الآية الكريمة ذاتها</w:t>
      </w:r>
      <w:r w:rsidR="00217AB4" w:rsidRPr="003F3B94">
        <w:rPr>
          <w:rFonts w:ascii="Abo-thar" w:hAnsi="Abo-thar" w:hint="cs"/>
          <w:sz w:val="28"/>
          <w:rtl/>
        </w:rPr>
        <w:t>:</w:t>
      </w:r>
      <w:r w:rsidR="00E77B3F" w:rsidRPr="003F3B94">
        <w:rPr>
          <w:rFonts w:ascii="Abo-thar" w:hAnsi="Abo-thar" w:hint="cs"/>
          <w:sz w:val="28"/>
          <w:rtl/>
        </w:rPr>
        <w:t xml:space="preserve"> </w:t>
      </w:r>
      <w:r w:rsidR="00E77B3F" w:rsidRPr="00995B26">
        <w:rPr>
          <w:rFonts w:ascii="Abo-thar" w:hAnsi="Abo-thar" w:cs="Traditional Arabic" w:hint="cs"/>
          <w:sz w:val="28"/>
          <w:rtl/>
        </w:rPr>
        <w:t>﴿</w:t>
      </w:r>
      <w:r w:rsidR="00E77B3F" w:rsidRPr="00DF7CAE">
        <w:rPr>
          <w:rStyle w:val="Char3"/>
          <w:rFonts w:hint="eastAsia"/>
          <w:rtl/>
        </w:rPr>
        <w:t>وَ</w:t>
      </w:r>
      <w:r w:rsidR="00E77B3F" w:rsidRPr="00DF7CAE">
        <w:rPr>
          <w:rStyle w:val="Char3"/>
          <w:rFonts w:hint="cs"/>
          <w:rtl/>
        </w:rPr>
        <w:t>ٱ</w:t>
      </w:r>
      <w:r w:rsidR="00E77B3F" w:rsidRPr="00DF7CAE">
        <w:rPr>
          <w:rStyle w:val="Char3"/>
          <w:rFonts w:hint="eastAsia"/>
          <w:rtl/>
        </w:rPr>
        <w:t>ع</w:t>
      </w:r>
      <w:r w:rsidR="00E77B3F" w:rsidRPr="00DF7CAE">
        <w:rPr>
          <w:rStyle w:val="Char3"/>
          <w:rFonts w:hint="cs"/>
          <w:rtl/>
        </w:rPr>
        <w:t>ۡ</w:t>
      </w:r>
      <w:r w:rsidR="00E77B3F" w:rsidRPr="00DF7CAE">
        <w:rPr>
          <w:rStyle w:val="Char3"/>
          <w:rFonts w:hint="eastAsia"/>
          <w:rtl/>
        </w:rPr>
        <w:t>لَمُو</w:t>
      </w:r>
      <w:r w:rsidR="00E77B3F" w:rsidRPr="00DF7CAE">
        <w:rPr>
          <w:rStyle w:val="Char3"/>
          <w:rFonts w:hint="cs"/>
          <w:rtl/>
        </w:rPr>
        <w:t>ٓ</w:t>
      </w:r>
      <w:r w:rsidR="00E77B3F" w:rsidRPr="00DF7CAE">
        <w:rPr>
          <w:rStyle w:val="Char3"/>
          <w:rFonts w:hint="eastAsia"/>
          <w:rtl/>
        </w:rPr>
        <w:t>اْ</w:t>
      </w:r>
      <w:r w:rsidR="00E77B3F" w:rsidRPr="00DF7CAE">
        <w:rPr>
          <w:rStyle w:val="Char3"/>
          <w:rtl/>
        </w:rPr>
        <w:t xml:space="preserve"> </w:t>
      </w:r>
      <w:r w:rsidR="00E77B3F" w:rsidRPr="00DF7CAE">
        <w:rPr>
          <w:rStyle w:val="Char3"/>
          <w:rFonts w:hint="eastAsia"/>
          <w:rtl/>
        </w:rPr>
        <w:t>أَنَّمَا</w:t>
      </w:r>
      <w:r w:rsidR="00E77B3F" w:rsidRPr="00DF7CAE">
        <w:rPr>
          <w:rStyle w:val="Char3"/>
          <w:rtl/>
        </w:rPr>
        <w:t xml:space="preserve"> </w:t>
      </w:r>
      <w:r w:rsidR="00E77B3F" w:rsidRPr="00DF7CAE">
        <w:rPr>
          <w:rStyle w:val="Char3"/>
          <w:rFonts w:hint="eastAsia"/>
          <w:rtl/>
        </w:rPr>
        <w:t>غَنِم</w:t>
      </w:r>
      <w:r w:rsidR="00E77B3F" w:rsidRPr="00DF7CAE">
        <w:rPr>
          <w:rStyle w:val="Char3"/>
          <w:rFonts w:hint="cs"/>
          <w:rtl/>
        </w:rPr>
        <w:t>ۡ</w:t>
      </w:r>
      <w:r w:rsidR="00E77B3F" w:rsidRPr="00DF7CAE">
        <w:rPr>
          <w:rStyle w:val="Char3"/>
          <w:rFonts w:hint="eastAsia"/>
          <w:rtl/>
        </w:rPr>
        <w:t>تُم</w:t>
      </w:r>
      <w:r w:rsidR="00E77B3F" w:rsidRPr="00DF7CAE">
        <w:rPr>
          <w:rStyle w:val="Char3"/>
          <w:rtl/>
        </w:rPr>
        <w:t xml:space="preserve"> </w:t>
      </w:r>
      <w:r w:rsidR="00E77B3F" w:rsidRPr="00DF7CAE">
        <w:rPr>
          <w:rStyle w:val="Char3"/>
          <w:rFonts w:hint="eastAsia"/>
          <w:rtl/>
        </w:rPr>
        <w:t>مِّن</w:t>
      </w:r>
      <w:r w:rsidR="00E77B3F" w:rsidRPr="00DF7CAE">
        <w:rPr>
          <w:rStyle w:val="Char3"/>
          <w:rtl/>
        </w:rPr>
        <w:t xml:space="preserve"> </w:t>
      </w:r>
      <w:r w:rsidR="00E77B3F" w:rsidRPr="00DF7CAE">
        <w:rPr>
          <w:rStyle w:val="Char3"/>
          <w:rFonts w:hint="eastAsia"/>
          <w:rtl/>
        </w:rPr>
        <w:t>شَي</w:t>
      </w:r>
      <w:r w:rsidR="00E77B3F" w:rsidRPr="00DF7CAE">
        <w:rPr>
          <w:rStyle w:val="Char3"/>
          <w:rFonts w:hint="cs"/>
          <w:rtl/>
        </w:rPr>
        <w:t>ۡ</w:t>
      </w:r>
      <w:r w:rsidR="00E77B3F" w:rsidRPr="00DF7CAE">
        <w:rPr>
          <w:rStyle w:val="Char3"/>
          <w:rFonts w:hint="eastAsia"/>
          <w:rtl/>
        </w:rPr>
        <w:t>ء</w:t>
      </w:r>
      <w:r w:rsidR="00E77B3F" w:rsidRPr="00DF7CAE">
        <w:rPr>
          <w:rStyle w:val="Char3"/>
          <w:rFonts w:hint="cs"/>
          <w:rtl/>
        </w:rPr>
        <w:t>ٖ</w:t>
      </w:r>
      <w:r w:rsidR="00E77B3F" w:rsidRPr="00995B26">
        <w:rPr>
          <w:rFonts w:ascii="KFGQPC Uthmanic Script HAFS" w:cs="Times New Roman" w:hint="cs"/>
          <w:rtl/>
        </w:rPr>
        <w:t>...</w:t>
      </w:r>
      <w:r w:rsidR="00E77B3F" w:rsidRPr="00995B26">
        <w:rPr>
          <w:rFonts w:ascii="Abo-thar" w:hAnsi="Abo-thar" w:cs="Traditional Arabic" w:hint="cs"/>
          <w:sz w:val="28"/>
          <w:rtl/>
        </w:rPr>
        <w:t>﴾</w:t>
      </w:r>
      <w:r w:rsidRPr="00995B26">
        <w:rPr>
          <w:rFonts w:ascii="Abo-thar" w:hAnsi="Abo-thar" w:hint="cs"/>
          <w:sz w:val="28"/>
          <w:rtl/>
        </w:rPr>
        <w:t xml:space="preserve"> </w:t>
      </w:r>
      <w:r w:rsidRPr="00FC12FD">
        <w:rPr>
          <w:rStyle w:val="Char2"/>
          <w:rtl/>
        </w:rPr>
        <w:t>[الأنفال</w:t>
      </w:r>
      <w:r w:rsidR="00E77B3F" w:rsidRPr="00FC12FD">
        <w:rPr>
          <w:rStyle w:val="Char2"/>
          <w:rFonts w:hint="cs"/>
          <w:rtl/>
        </w:rPr>
        <w:t xml:space="preserve">: </w:t>
      </w:r>
      <w:r w:rsidRPr="00FC12FD">
        <w:rPr>
          <w:rStyle w:val="Char2"/>
          <w:rtl/>
        </w:rPr>
        <w:t>41]</w:t>
      </w:r>
    </w:p>
    <w:p w:rsidR="005C664D" w:rsidRPr="00995B26" w:rsidRDefault="005C664D" w:rsidP="003F3B94">
      <w:pPr>
        <w:pStyle w:val="a0"/>
        <w:rPr>
          <w:rFonts w:hint="cs"/>
          <w:rtl/>
        </w:rPr>
      </w:pPr>
      <w:r w:rsidRPr="003F3B94">
        <w:rPr>
          <w:rFonts w:ascii="Abo-thar" w:hAnsi="Abo-thar" w:hint="cs"/>
          <w:sz w:val="28"/>
          <w:rtl/>
        </w:rPr>
        <w:t>نجد أن الآيتين اللتين سبقتاها مباشرةً هما</w:t>
      </w:r>
      <w:r w:rsidR="00217AB4" w:rsidRPr="003F3B94">
        <w:rPr>
          <w:rFonts w:ascii="Abo-thar" w:hAnsi="Abo-thar" w:hint="cs"/>
          <w:sz w:val="28"/>
          <w:rtl/>
        </w:rPr>
        <w:t>:</w:t>
      </w:r>
      <w:r w:rsidR="00E77B3F" w:rsidRPr="003F3B94">
        <w:rPr>
          <w:rFonts w:ascii="Abo-thar" w:hAnsi="Abo-thar" w:hint="cs"/>
          <w:sz w:val="28"/>
          <w:rtl/>
        </w:rPr>
        <w:t xml:space="preserve"> </w:t>
      </w:r>
      <w:r w:rsidR="00E77B3F" w:rsidRPr="00995B26">
        <w:rPr>
          <w:rFonts w:cs="Traditional Arabic"/>
          <w:rtl/>
          <w:lang w:bidi="fa-IR"/>
        </w:rPr>
        <w:t>﴿</w:t>
      </w:r>
      <w:r w:rsidR="00E77B3F" w:rsidRPr="00DF7CAE">
        <w:rPr>
          <w:rStyle w:val="Char3"/>
          <w:rFonts w:hint="eastAsia"/>
          <w:rtl/>
        </w:rPr>
        <w:t>وَقَ</w:t>
      </w:r>
      <w:r w:rsidR="00E77B3F" w:rsidRPr="00DF7CAE">
        <w:rPr>
          <w:rStyle w:val="Char3"/>
          <w:rFonts w:hint="cs"/>
          <w:rtl/>
        </w:rPr>
        <w:t>ٰ</w:t>
      </w:r>
      <w:r w:rsidR="00E77B3F" w:rsidRPr="00DF7CAE">
        <w:rPr>
          <w:rStyle w:val="Char3"/>
          <w:rFonts w:hint="eastAsia"/>
          <w:rtl/>
        </w:rPr>
        <w:t>تِلُوهُم</w:t>
      </w:r>
      <w:r w:rsidR="00E77B3F" w:rsidRPr="00DF7CAE">
        <w:rPr>
          <w:rStyle w:val="Char3"/>
          <w:rFonts w:hint="cs"/>
          <w:rtl/>
        </w:rPr>
        <w:t>ۡ</w:t>
      </w:r>
      <w:r w:rsidR="00E77B3F" w:rsidRPr="00DF7CAE">
        <w:rPr>
          <w:rStyle w:val="Char3"/>
          <w:rtl/>
        </w:rPr>
        <w:t xml:space="preserve"> </w:t>
      </w:r>
      <w:r w:rsidR="00E77B3F" w:rsidRPr="00DF7CAE">
        <w:rPr>
          <w:rStyle w:val="Char3"/>
          <w:rFonts w:hint="eastAsia"/>
          <w:rtl/>
        </w:rPr>
        <w:t>حَتَّى</w:t>
      </w:r>
      <w:r w:rsidR="00E77B3F" w:rsidRPr="00DF7CAE">
        <w:rPr>
          <w:rStyle w:val="Char3"/>
          <w:rFonts w:hint="cs"/>
          <w:rtl/>
        </w:rPr>
        <w:t>ٰ</w:t>
      </w:r>
      <w:r w:rsidR="00E77B3F" w:rsidRPr="00DF7CAE">
        <w:rPr>
          <w:rStyle w:val="Char3"/>
          <w:rtl/>
        </w:rPr>
        <w:t xml:space="preserve"> </w:t>
      </w:r>
      <w:r w:rsidR="00E77B3F" w:rsidRPr="00DF7CAE">
        <w:rPr>
          <w:rStyle w:val="Char3"/>
          <w:rFonts w:hint="eastAsia"/>
          <w:rtl/>
        </w:rPr>
        <w:t>لَا</w:t>
      </w:r>
      <w:r w:rsidR="00E77B3F" w:rsidRPr="00DF7CAE">
        <w:rPr>
          <w:rStyle w:val="Char3"/>
          <w:rtl/>
        </w:rPr>
        <w:t xml:space="preserve"> </w:t>
      </w:r>
      <w:r w:rsidR="00E77B3F" w:rsidRPr="00DF7CAE">
        <w:rPr>
          <w:rStyle w:val="Char3"/>
          <w:rFonts w:hint="eastAsia"/>
          <w:rtl/>
        </w:rPr>
        <w:t>تَكُونَ</w:t>
      </w:r>
      <w:r w:rsidR="00E77B3F" w:rsidRPr="00DF7CAE">
        <w:rPr>
          <w:rStyle w:val="Char3"/>
          <w:rtl/>
        </w:rPr>
        <w:t xml:space="preserve"> </w:t>
      </w:r>
      <w:r w:rsidR="00E77B3F" w:rsidRPr="00DF7CAE">
        <w:rPr>
          <w:rStyle w:val="Char3"/>
          <w:rFonts w:hint="eastAsia"/>
          <w:rtl/>
        </w:rPr>
        <w:t>فِت</w:t>
      </w:r>
      <w:r w:rsidR="00E77B3F" w:rsidRPr="00DF7CAE">
        <w:rPr>
          <w:rStyle w:val="Char3"/>
          <w:rFonts w:hint="cs"/>
          <w:rtl/>
        </w:rPr>
        <w:t>ۡ</w:t>
      </w:r>
      <w:r w:rsidR="00E77B3F" w:rsidRPr="00DF7CAE">
        <w:rPr>
          <w:rStyle w:val="Char3"/>
          <w:rFonts w:hint="eastAsia"/>
          <w:rtl/>
        </w:rPr>
        <w:t>نَة</w:t>
      </w:r>
      <w:r w:rsidR="00E77B3F" w:rsidRPr="00DF7CAE">
        <w:rPr>
          <w:rStyle w:val="Char3"/>
          <w:rFonts w:hint="cs"/>
          <w:rtl/>
        </w:rPr>
        <w:t>ٞ</w:t>
      </w:r>
      <w:r w:rsidR="00E77B3F" w:rsidRPr="00DF7CAE">
        <w:rPr>
          <w:rStyle w:val="Char3"/>
          <w:rtl/>
        </w:rPr>
        <w:t xml:space="preserve"> </w:t>
      </w:r>
      <w:r w:rsidR="00E77B3F" w:rsidRPr="00DF7CAE">
        <w:rPr>
          <w:rStyle w:val="Char3"/>
          <w:rFonts w:hint="eastAsia"/>
          <w:rtl/>
        </w:rPr>
        <w:t>وَيَكُونَ</w:t>
      </w:r>
      <w:r w:rsidR="00E77B3F" w:rsidRPr="00DF7CAE">
        <w:rPr>
          <w:rStyle w:val="Char3"/>
          <w:rtl/>
        </w:rPr>
        <w:t xml:space="preserve"> </w:t>
      </w:r>
      <w:r w:rsidR="00E77B3F" w:rsidRPr="00DF7CAE">
        <w:rPr>
          <w:rStyle w:val="Char3"/>
          <w:rFonts w:hint="cs"/>
          <w:rtl/>
        </w:rPr>
        <w:t>ٱ</w:t>
      </w:r>
      <w:r w:rsidR="00E77B3F" w:rsidRPr="00DF7CAE">
        <w:rPr>
          <w:rStyle w:val="Char3"/>
          <w:rFonts w:hint="eastAsia"/>
          <w:rtl/>
        </w:rPr>
        <w:t>لدِّينُ</w:t>
      </w:r>
      <w:r w:rsidR="00E77B3F" w:rsidRPr="00DF7CAE">
        <w:rPr>
          <w:rStyle w:val="Char3"/>
          <w:rtl/>
        </w:rPr>
        <w:t xml:space="preserve"> </w:t>
      </w:r>
      <w:r w:rsidR="00E77B3F" w:rsidRPr="00DF7CAE">
        <w:rPr>
          <w:rStyle w:val="Char3"/>
          <w:rFonts w:hint="eastAsia"/>
          <w:rtl/>
        </w:rPr>
        <w:t>كُلُّهُ</w:t>
      </w:r>
      <w:r w:rsidR="00E77B3F" w:rsidRPr="00DF7CAE">
        <w:rPr>
          <w:rStyle w:val="Char3"/>
          <w:rFonts w:hint="cs"/>
          <w:rtl/>
        </w:rPr>
        <w:t>ۥ</w:t>
      </w:r>
      <w:r w:rsidR="00E77B3F" w:rsidRPr="00DF7CAE">
        <w:rPr>
          <w:rStyle w:val="Char3"/>
          <w:rtl/>
        </w:rPr>
        <w:t xml:space="preserve"> </w:t>
      </w:r>
      <w:r w:rsidR="00E77B3F" w:rsidRPr="00DF7CAE">
        <w:rPr>
          <w:rStyle w:val="Char3"/>
          <w:rFonts w:hint="eastAsia"/>
          <w:rtl/>
        </w:rPr>
        <w:t>لِلَّهِ</w:t>
      </w:r>
      <w:r w:rsidR="00E77B3F" w:rsidRPr="00DF7CAE">
        <w:rPr>
          <w:rStyle w:val="Char3"/>
          <w:rFonts w:hint="cs"/>
          <w:rtl/>
        </w:rPr>
        <w:t>ۚ</w:t>
      </w:r>
      <w:r w:rsidR="00E77B3F" w:rsidRPr="00DF7CAE">
        <w:rPr>
          <w:rStyle w:val="Char3"/>
          <w:rtl/>
        </w:rPr>
        <w:t xml:space="preserve"> </w:t>
      </w:r>
      <w:r w:rsidR="00E77B3F" w:rsidRPr="00DF7CAE">
        <w:rPr>
          <w:rStyle w:val="Char3"/>
          <w:rFonts w:hint="eastAsia"/>
          <w:rtl/>
        </w:rPr>
        <w:t>فَإِنِ</w:t>
      </w:r>
      <w:r w:rsidR="00E77B3F" w:rsidRPr="00DF7CAE">
        <w:rPr>
          <w:rStyle w:val="Char3"/>
          <w:rtl/>
        </w:rPr>
        <w:t xml:space="preserve"> </w:t>
      </w:r>
      <w:r w:rsidR="00E77B3F" w:rsidRPr="00DF7CAE">
        <w:rPr>
          <w:rStyle w:val="Char3"/>
          <w:rFonts w:hint="cs"/>
          <w:rtl/>
        </w:rPr>
        <w:t>ٱ</w:t>
      </w:r>
      <w:r w:rsidR="00E77B3F" w:rsidRPr="00DF7CAE">
        <w:rPr>
          <w:rStyle w:val="Char3"/>
          <w:rFonts w:hint="eastAsia"/>
          <w:rtl/>
        </w:rPr>
        <w:t>نتَهَو</w:t>
      </w:r>
      <w:r w:rsidR="00E77B3F" w:rsidRPr="00DF7CAE">
        <w:rPr>
          <w:rStyle w:val="Char3"/>
          <w:rFonts w:hint="cs"/>
          <w:rtl/>
        </w:rPr>
        <w:t>ۡ</w:t>
      </w:r>
      <w:r w:rsidR="00E77B3F" w:rsidRPr="00DF7CAE">
        <w:rPr>
          <w:rStyle w:val="Char3"/>
          <w:rFonts w:hint="eastAsia"/>
          <w:rtl/>
        </w:rPr>
        <w:t>اْ</w:t>
      </w:r>
      <w:r w:rsidR="00E77B3F" w:rsidRPr="00DF7CAE">
        <w:rPr>
          <w:rStyle w:val="Char3"/>
          <w:rtl/>
        </w:rPr>
        <w:t xml:space="preserve"> </w:t>
      </w:r>
      <w:r w:rsidR="00E77B3F" w:rsidRPr="00DF7CAE">
        <w:rPr>
          <w:rStyle w:val="Char3"/>
          <w:rFonts w:hint="eastAsia"/>
          <w:rtl/>
        </w:rPr>
        <w:t>فَإِنَّ</w:t>
      </w:r>
      <w:r w:rsidR="00E77B3F" w:rsidRPr="00DF7CAE">
        <w:rPr>
          <w:rStyle w:val="Char3"/>
          <w:rtl/>
        </w:rPr>
        <w:t xml:space="preserve"> </w:t>
      </w:r>
      <w:r w:rsidR="00E77B3F" w:rsidRPr="00DF7CAE">
        <w:rPr>
          <w:rStyle w:val="Char3"/>
          <w:rFonts w:hint="cs"/>
          <w:rtl/>
        </w:rPr>
        <w:t>ٱ</w:t>
      </w:r>
      <w:r w:rsidR="00E77B3F" w:rsidRPr="00DF7CAE">
        <w:rPr>
          <w:rStyle w:val="Char3"/>
          <w:rFonts w:hint="eastAsia"/>
          <w:rtl/>
        </w:rPr>
        <w:t>للَّهَ</w:t>
      </w:r>
      <w:r w:rsidR="00E77B3F" w:rsidRPr="00DF7CAE">
        <w:rPr>
          <w:rStyle w:val="Char3"/>
          <w:rtl/>
        </w:rPr>
        <w:t xml:space="preserve"> </w:t>
      </w:r>
      <w:r w:rsidR="00E77B3F" w:rsidRPr="00DF7CAE">
        <w:rPr>
          <w:rStyle w:val="Char3"/>
          <w:rFonts w:hint="eastAsia"/>
          <w:rtl/>
        </w:rPr>
        <w:t>بِمَا</w:t>
      </w:r>
      <w:r w:rsidR="00E77B3F" w:rsidRPr="00DF7CAE">
        <w:rPr>
          <w:rStyle w:val="Char3"/>
          <w:rtl/>
        </w:rPr>
        <w:t xml:space="preserve"> </w:t>
      </w:r>
      <w:r w:rsidR="00E77B3F" w:rsidRPr="00DF7CAE">
        <w:rPr>
          <w:rStyle w:val="Char3"/>
          <w:rFonts w:hint="eastAsia"/>
          <w:rtl/>
        </w:rPr>
        <w:t>يَع</w:t>
      </w:r>
      <w:r w:rsidR="00E77B3F" w:rsidRPr="00DF7CAE">
        <w:rPr>
          <w:rStyle w:val="Char3"/>
          <w:rFonts w:hint="cs"/>
          <w:rtl/>
        </w:rPr>
        <w:t>ۡ</w:t>
      </w:r>
      <w:r w:rsidR="00E77B3F" w:rsidRPr="00DF7CAE">
        <w:rPr>
          <w:rStyle w:val="Char3"/>
          <w:rFonts w:hint="eastAsia"/>
          <w:rtl/>
        </w:rPr>
        <w:t>مَلُونَ</w:t>
      </w:r>
      <w:r w:rsidR="00E77B3F" w:rsidRPr="00DF7CAE">
        <w:rPr>
          <w:rStyle w:val="Char3"/>
          <w:rtl/>
        </w:rPr>
        <w:t xml:space="preserve"> </w:t>
      </w:r>
      <w:r w:rsidR="00E77B3F" w:rsidRPr="00DF7CAE">
        <w:rPr>
          <w:rStyle w:val="Char3"/>
          <w:rFonts w:hint="eastAsia"/>
          <w:rtl/>
        </w:rPr>
        <w:t>بَصِير</w:t>
      </w:r>
      <w:r w:rsidR="00E77B3F" w:rsidRPr="00DF7CAE">
        <w:rPr>
          <w:rStyle w:val="Char3"/>
          <w:rFonts w:hint="cs"/>
          <w:rtl/>
        </w:rPr>
        <w:t>ٞ</w:t>
      </w:r>
      <w:r w:rsidR="000868AA" w:rsidRPr="00DF7CAE">
        <w:rPr>
          <w:rStyle w:val="Char3"/>
          <w:rFonts w:hint="cs"/>
          <w:rtl/>
        </w:rPr>
        <w:t>.</w:t>
      </w:r>
      <w:r w:rsidR="00E77B3F" w:rsidRPr="00DF7CAE">
        <w:rPr>
          <w:rStyle w:val="Char3"/>
          <w:rtl/>
        </w:rPr>
        <w:t xml:space="preserve"> </w:t>
      </w:r>
      <w:r w:rsidR="00E77B3F" w:rsidRPr="00DF7CAE">
        <w:rPr>
          <w:rStyle w:val="Char3"/>
          <w:rFonts w:hint="eastAsia"/>
          <w:rtl/>
        </w:rPr>
        <w:t>وَإِن</w:t>
      </w:r>
      <w:r w:rsidR="00E77B3F" w:rsidRPr="00DF7CAE">
        <w:rPr>
          <w:rStyle w:val="Char3"/>
          <w:rtl/>
        </w:rPr>
        <w:t xml:space="preserve"> </w:t>
      </w:r>
      <w:r w:rsidR="00E77B3F" w:rsidRPr="00DF7CAE">
        <w:rPr>
          <w:rStyle w:val="Char3"/>
          <w:rFonts w:hint="eastAsia"/>
          <w:rtl/>
        </w:rPr>
        <w:t>تَوَلَّو</w:t>
      </w:r>
      <w:r w:rsidR="00E77B3F" w:rsidRPr="00DF7CAE">
        <w:rPr>
          <w:rStyle w:val="Char3"/>
          <w:rFonts w:hint="cs"/>
          <w:rtl/>
        </w:rPr>
        <w:t>ۡ</w:t>
      </w:r>
      <w:r w:rsidR="00E77B3F" w:rsidRPr="00DF7CAE">
        <w:rPr>
          <w:rStyle w:val="Char3"/>
          <w:rFonts w:hint="eastAsia"/>
          <w:rtl/>
        </w:rPr>
        <w:t>اْ</w:t>
      </w:r>
      <w:r w:rsidR="00E77B3F" w:rsidRPr="00DF7CAE">
        <w:rPr>
          <w:rStyle w:val="Char3"/>
          <w:rtl/>
        </w:rPr>
        <w:t xml:space="preserve"> </w:t>
      </w:r>
      <w:r w:rsidR="00E77B3F" w:rsidRPr="00DF7CAE">
        <w:rPr>
          <w:rStyle w:val="Char3"/>
          <w:rFonts w:hint="eastAsia"/>
          <w:rtl/>
        </w:rPr>
        <w:t>فَ</w:t>
      </w:r>
      <w:r w:rsidR="00E77B3F" w:rsidRPr="00DF7CAE">
        <w:rPr>
          <w:rStyle w:val="Char3"/>
          <w:rFonts w:hint="cs"/>
          <w:rtl/>
        </w:rPr>
        <w:t>ٱ</w:t>
      </w:r>
      <w:r w:rsidR="00E77B3F" w:rsidRPr="00DF7CAE">
        <w:rPr>
          <w:rStyle w:val="Char3"/>
          <w:rFonts w:hint="eastAsia"/>
          <w:rtl/>
        </w:rPr>
        <w:t>ع</w:t>
      </w:r>
      <w:r w:rsidR="00E77B3F" w:rsidRPr="00DF7CAE">
        <w:rPr>
          <w:rStyle w:val="Char3"/>
          <w:rFonts w:hint="cs"/>
          <w:rtl/>
        </w:rPr>
        <w:t>ۡ</w:t>
      </w:r>
      <w:r w:rsidR="00E77B3F" w:rsidRPr="00DF7CAE">
        <w:rPr>
          <w:rStyle w:val="Char3"/>
          <w:rFonts w:hint="eastAsia"/>
          <w:rtl/>
        </w:rPr>
        <w:t>لَمُو</w:t>
      </w:r>
      <w:r w:rsidR="00E77B3F" w:rsidRPr="00DF7CAE">
        <w:rPr>
          <w:rStyle w:val="Char3"/>
          <w:rFonts w:hint="cs"/>
          <w:rtl/>
        </w:rPr>
        <w:t>ٓ</w:t>
      </w:r>
      <w:r w:rsidR="00E77B3F" w:rsidRPr="00DF7CAE">
        <w:rPr>
          <w:rStyle w:val="Char3"/>
          <w:rFonts w:hint="eastAsia"/>
          <w:rtl/>
        </w:rPr>
        <w:t>اْ</w:t>
      </w:r>
      <w:r w:rsidR="00E77B3F" w:rsidRPr="00DF7CAE">
        <w:rPr>
          <w:rStyle w:val="Char3"/>
          <w:rtl/>
        </w:rPr>
        <w:t xml:space="preserve"> </w:t>
      </w:r>
      <w:r w:rsidR="00E77B3F" w:rsidRPr="00DF7CAE">
        <w:rPr>
          <w:rStyle w:val="Char3"/>
          <w:rFonts w:hint="eastAsia"/>
          <w:rtl/>
        </w:rPr>
        <w:t>أَنَّ</w:t>
      </w:r>
      <w:r w:rsidR="00E77B3F" w:rsidRPr="00DF7CAE">
        <w:rPr>
          <w:rStyle w:val="Char3"/>
          <w:rtl/>
        </w:rPr>
        <w:t xml:space="preserve"> </w:t>
      </w:r>
      <w:r w:rsidR="00E77B3F" w:rsidRPr="00DF7CAE">
        <w:rPr>
          <w:rStyle w:val="Char3"/>
          <w:rFonts w:hint="cs"/>
          <w:rtl/>
        </w:rPr>
        <w:t>ٱ</w:t>
      </w:r>
      <w:r w:rsidR="00E77B3F" w:rsidRPr="00DF7CAE">
        <w:rPr>
          <w:rStyle w:val="Char3"/>
          <w:rFonts w:hint="eastAsia"/>
          <w:rtl/>
        </w:rPr>
        <w:t>للَّهَ</w:t>
      </w:r>
      <w:r w:rsidR="00E77B3F" w:rsidRPr="00DF7CAE">
        <w:rPr>
          <w:rStyle w:val="Char3"/>
          <w:rtl/>
        </w:rPr>
        <w:t xml:space="preserve"> </w:t>
      </w:r>
      <w:r w:rsidR="00E77B3F" w:rsidRPr="00DF7CAE">
        <w:rPr>
          <w:rStyle w:val="Char3"/>
          <w:rFonts w:hint="eastAsia"/>
          <w:rtl/>
        </w:rPr>
        <w:t>مَو</w:t>
      </w:r>
      <w:r w:rsidR="00E77B3F" w:rsidRPr="00DF7CAE">
        <w:rPr>
          <w:rStyle w:val="Char3"/>
          <w:rFonts w:hint="cs"/>
          <w:rtl/>
        </w:rPr>
        <w:t>ۡ</w:t>
      </w:r>
      <w:r w:rsidR="00E77B3F" w:rsidRPr="00DF7CAE">
        <w:rPr>
          <w:rStyle w:val="Char3"/>
          <w:rFonts w:hint="eastAsia"/>
          <w:rtl/>
        </w:rPr>
        <w:t>لَى</w:t>
      </w:r>
      <w:r w:rsidR="00E77B3F" w:rsidRPr="00DF7CAE">
        <w:rPr>
          <w:rStyle w:val="Char3"/>
          <w:rFonts w:hint="cs"/>
          <w:rtl/>
        </w:rPr>
        <w:t>ٰ</w:t>
      </w:r>
      <w:r w:rsidR="00E77B3F" w:rsidRPr="00DF7CAE">
        <w:rPr>
          <w:rStyle w:val="Char3"/>
          <w:rFonts w:hint="eastAsia"/>
          <w:rtl/>
        </w:rPr>
        <w:t>كُم</w:t>
      </w:r>
      <w:r w:rsidR="00E77B3F" w:rsidRPr="00DF7CAE">
        <w:rPr>
          <w:rStyle w:val="Char3"/>
          <w:rFonts w:hint="cs"/>
          <w:rtl/>
        </w:rPr>
        <w:t>ۡۚ</w:t>
      </w:r>
      <w:r w:rsidR="00E77B3F" w:rsidRPr="00DF7CAE">
        <w:rPr>
          <w:rStyle w:val="Char3"/>
          <w:rtl/>
        </w:rPr>
        <w:t xml:space="preserve"> </w:t>
      </w:r>
      <w:r w:rsidR="00E77B3F" w:rsidRPr="00DF7CAE">
        <w:rPr>
          <w:rStyle w:val="Char3"/>
          <w:rFonts w:hint="eastAsia"/>
          <w:rtl/>
        </w:rPr>
        <w:t>نِع</w:t>
      </w:r>
      <w:r w:rsidR="00E77B3F" w:rsidRPr="00DF7CAE">
        <w:rPr>
          <w:rStyle w:val="Char3"/>
          <w:rFonts w:hint="cs"/>
          <w:rtl/>
        </w:rPr>
        <w:t>ۡ</w:t>
      </w:r>
      <w:r w:rsidR="00E77B3F" w:rsidRPr="00DF7CAE">
        <w:rPr>
          <w:rStyle w:val="Char3"/>
          <w:rFonts w:hint="eastAsia"/>
          <w:rtl/>
        </w:rPr>
        <w:t>مَ</w:t>
      </w:r>
      <w:r w:rsidR="00E77B3F" w:rsidRPr="00DF7CAE">
        <w:rPr>
          <w:rStyle w:val="Char3"/>
          <w:rtl/>
        </w:rPr>
        <w:t xml:space="preserve"> </w:t>
      </w:r>
      <w:r w:rsidR="00E77B3F" w:rsidRPr="00DF7CAE">
        <w:rPr>
          <w:rStyle w:val="Char3"/>
          <w:rFonts w:hint="cs"/>
          <w:rtl/>
        </w:rPr>
        <w:t>ٱ</w:t>
      </w:r>
      <w:r w:rsidR="00E77B3F" w:rsidRPr="00DF7CAE">
        <w:rPr>
          <w:rStyle w:val="Char3"/>
          <w:rFonts w:hint="eastAsia"/>
          <w:rtl/>
        </w:rPr>
        <w:t>ل</w:t>
      </w:r>
      <w:r w:rsidR="00E77B3F" w:rsidRPr="00DF7CAE">
        <w:rPr>
          <w:rStyle w:val="Char3"/>
          <w:rFonts w:hint="cs"/>
          <w:rtl/>
        </w:rPr>
        <w:t>ۡ</w:t>
      </w:r>
      <w:r w:rsidR="00E77B3F" w:rsidRPr="00DF7CAE">
        <w:rPr>
          <w:rStyle w:val="Char3"/>
          <w:rFonts w:hint="eastAsia"/>
          <w:rtl/>
        </w:rPr>
        <w:t>مَو</w:t>
      </w:r>
      <w:r w:rsidR="00E77B3F" w:rsidRPr="00DF7CAE">
        <w:rPr>
          <w:rStyle w:val="Char3"/>
          <w:rFonts w:hint="cs"/>
          <w:rtl/>
        </w:rPr>
        <w:t>ۡ</w:t>
      </w:r>
      <w:r w:rsidR="00E77B3F" w:rsidRPr="00DF7CAE">
        <w:rPr>
          <w:rStyle w:val="Char3"/>
          <w:rFonts w:hint="eastAsia"/>
          <w:rtl/>
        </w:rPr>
        <w:t>لَى</w:t>
      </w:r>
      <w:r w:rsidR="00E77B3F" w:rsidRPr="00DF7CAE">
        <w:rPr>
          <w:rStyle w:val="Char3"/>
          <w:rFonts w:hint="cs"/>
          <w:rtl/>
        </w:rPr>
        <w:t>ٰ</w:t>
      </w:r>
      <w:r w:rsidR="00E77B3F" w:rsidRPr="00DF7CAE">
        <w:rPr>
          <w:rStyle w:val="Char3"/>
          <w:rtl/>
        </w:rPr>
        <w:t xml:space="preserve"> </w:t>
      </w:r>
      <w:r w:rsidR="00E77B3F" w:rsidRPr="00DF7CAE">
        <w:rPr>
          <w:rStyle w:val="Char3"/>
          <w:rFonts w:hint="eastAsia"/>
          <w:rtl/>
        </w:rPr>
        <w:t>وَنِع</w:t>
      </w:r>
      <w:r w:rsidR="00E77B3F" w:rsidRPr="00DF7CAE">
        <w:rPr>
          <w:rStyle w:val="Char3"/>
          <w:rFonts w:hint="cs"/>
          <w:rtl/>
        </w:rPr>
        <w:t>ۡ</w:t>
      </w:r>
      <w:r w:rsidR="00E77B3F" w:rsidRPr="00DF7CAE">
        <w:rPr>
          <w:rStyle w:val="Char3"/>
          <w:rFonts w:hint="eastAsia"/>
          <w:rtl/>
        </w:rPr>
        <w:t>مَ</w:t>
      </w:r>
      <w:r w:rsidR="00E77B3F" w:rsidRPr="00DF7CAE">
        <w:rPr>
          <w:rStyle w:val="Char3"/>
          <w:rtl/>
        </w:rPr>
        <w:t xml:space="preserve"> </w:t>
      </w:r>
      <w:r w:rsidR="00E77B3F" w:rsidRPr="00DF7CAE">
        <w:rPr>
          <w:rStyle w:val="Char3"/>
          <w:rFonts w:hint="cs"/>
          <w:rtl/>
        </w:rPr>
        <w:t>ٱ</w:t>
      </w:r>
      <w:r w:rsidR="00E77B3F" w:rsidRPr="00DF7CAE">
        <w:rPr>
          <w:rStyle w:val="Char3"/>
          <w:rFonts w:hint="eastAsia"/>
          <w:rtl/>
        </w:rPr>
        <w:t>لنَّصِيرُ</w:t>
      </w:r>
      <w:r w:rsidR="00E77B3F" w:rsidRPr="00995B26">
        <w:rPr>
          <w:rFonts w:ascii="Abo-thar" w:hAnsi="Abo-thar" w:cs="Traditional Arabic" w:hint="cs"/>
          <w:sz w:val="28"/>
          <w:rtl/>
        </w:rPr>
        <w:t>﴾</w:t>
      </w:r>
      <w:r w:rsidRPr="00995B26">
        <w:rPr>
          <w:rFonts w:ascii="Abo-thar" w:hAnsi="Abo-thar"/>
          <w:sz w:val="28"/>
          <w:rtl/>
        </w:rPr>
        <w:t xml:space="preserve"> </w:t>
      </w:r>
      <w:r w:rsidRPr="00FC12FD">
        <w:rPr>
          <w:rStyle w:val="Char2"/>
          <w:rFonts w:hint="cs"/>
          <w:rtl/>
        </w:rPr>
        <w:t>[الأنفال/39</w:t>
      </w:r>
      <w:r w:rsidR="00217AB4" w:rsidRPr="00FC12FD">
        <w:rPr>
          <w:rStyle w:val="Char2"/>
          <w:rFonts w:hint="cs"/>
          <w:rtl/>
        </w:rPr>
        <w:t>-</w:t>
      </w:r>
      <w:r w:rsidRPr="00FC12FD">
        <w:rPr>
          <w:rStyle w:val="Char2"/>
          <w:rFonts w:hint="cs"/>
          <w:rtl/>
        </w:rPr>
        <w:t>40]</w:t>
      </w:r>
      <w:r w:rsidR="00217AB4" w:rsidRPr="00995B26">
        <w:rPr>
          <w:rFonts w:ascii="Abo-thar" w:hAnsi="Abo-thar" w:hint="cs"/>
          <w:sz w:val="28"/>
          <w:rtl/>
        </w:rPr>
        <w:t>،</w:t>
      </w:r>
      <w:r w:rsidRPr="00995B26">
        <w:rPr>
          <w:rFonts w:ascii="Abo-thar" w:hAnsi="Abo-thar" w:hint="cs"/>
          <w:sz w:val="28"/>
          <w:rtl/>
        </w:rPr>
        <w:t xml:space="preserve"> ثم عُطِف عليهما بواو العطف قوله</w:t>
      </w:r>
      <w:r w:rsidR="00217AB4" w:rsidRPr="00995B26">
        <w:rPr>
          <w:rFonts w:ascii="Abo-thar" w:hAnsi="Abo-thar" w:hint="cs"/>
          <w:sz w:val="28"/>
          <w:rtl/>
        </w:rPr>
        <w:t>:</w:t>
      </w:r>
      <w:r w:rsidRPr="00995B26">
        <w:rPr>
          <w:rFonts w:ascii="Abo-thar" w:hAnsi="Abo-thar"/>
          <w:sz w:val="28"/>
          <w:rtl/>
        </w:rPr>
        <w:t xml:space="preserve"> </w:t>
      </w:r>
      <w:r w:rsidR="00E77B3F" w:rsidRPr="00995B26">
        <w:rPr>
          <w:rFonts w:ascii="Abo-thar" w:hAnsi="Abo-thar" w:cs="Traditional Arabic" w:hint="cs"/>
          <w:sz w:val="28"/>
          <w:rtl/>
        </w:rPr>
        <w:t>﴿</w:t>
      </w:r>
      <w:r w:rsidR="00E77B3F" w:rsidRPr="00DF7CAE">
        <w:rPr>
          <w:rStyle w:val="Char3"/>
          <w:rFonts w:hint="eastAsia"/>
          <w:rtl/>
        </w:rPr>
        <w:t>وَ</w:t>
      </w:r>
      <w:r w:rsidR="00E77B3F" w:rsidRPr="00DF7CAE">
        <w:rPr>
          <w:rStyle w:val="Char3"/>
          <w:rFonts w:hint="cs"/>
          <w:rtl/>
        </w:rPr>
        <w:t>ٱ</w:t>
      </w:r>
      <w:r w:rsidR="00E77B3F" w:rsidRPr="00DF7CAE">
        <w:rPr>
          <w:rStyle w:val="Char3"/>
          <w:rFonts w:hint="eastAsia"/>
          <w:rtl/>
        </w:rPr>
        <w:t>ع</w:t>
      </w:r>
      <w:r w:rsidR="00E77B3F" w:rsidRPr="00DF7CAE">
        <w:rPr>
          <w:rStyle w:val="Char3"/>
          <w:rFonts w:hint="cs"/>
          <w:rtl/>
        </w:rPr>
        <w:t>ۡ</w:t>
      </w:r>
      <w:r w:rsidR="00E77B3F" w:rsidRPr="00DF7CAE">
        <w:rPr>
          <w:rStyle w:val="Char3"/>
          <w:rFonts w:hint="eastAsia"/>
          <w:rtl/>
        </w:rPr>
        <w:t>لَمُو</w:t>
      </w:r>
      <w:r w:rsidR="00E77B3F" w:rsidRPr="00DF7CAE">
        <w:rPr>
          <w:rStyle w:val="Char3"/>
          <w:rFonts w:hint="cs"/>
          <w:rtl/>
        </w:rPr>
        <w:t>ٓ</w:t>
      </w:r>
      <w:r w:rsidR="00E77B3F" w:rsidRPr="00DF7CAE">
        <w:rPr>
          <w:rStyle w:val="Char3"/>
          <w:rFonts w:hint="eastAsia"/>
          <w:rtl/>
        </w:rPr>
        <w:t>اْ</w:t>
      </w:r>
      <w:r w:rsidR="00E77B3F" w:rsidRPr="00995B26">
        <w:rPr>
          <w:rFonts w:ascii="KFGQPC Uthmanic Script HAFS" w:cs="Times New Roman" w:hint="cs"/>
          <w:rtl/>
        </w:rPr>
        <w:t>...</w:t>
      </w:r>
      <w:r w:rsidR="00E77B3F" w:rsidRPr="00995B26">
        <w:rPr>
          <w:rFonts w:ascii="Abo-thar" w:hAnsi="Abo-thar" w:cs="Traditional Arabic" w:hint="cs"/>
          <w:sz w:val="28"/>
          <w:rtl/>
        </w:rPr>
        <w:t>﴾</w:t>
      </w:r>
      <w:r w:rsidR="00E77B3F" w:rsidRPr="00995B26">
        <w:rPr>
          <w:rFonts w:ascii="Abo-thar" w:hAnsi="Abo-thar" w:hint="cs"/>
          <w:sz w:val="28"/>
          <w:rtl/>
        </w:rPr>
        <w:t xml:space="preserve"> </w:t>
      </w:r>
      <w:r w:rsidRPr="00995B26">
        <w:rPr>
          <w:rFonts w:ascii="Abo-thar" w:hAnsi="Abo-thar" w:hint="cs"/>
          <w:sz w:val="28"/>
          <w:rtl/>
        </w:rPr>
        <w:t>مما يدل بوضوح على أن الغنيمة المذكورة تتعلق بدار الحرب</w:t>
      </w:r>
      <w:r w:rsidR="00217AB4" w:rsidRPr="00995B26">
        <w:rPr>
          <w:rFonts w:ascii="Abo-thar" w:hAnsi="Abo-thar" w:hint="cs"/>
          <w:sz w:val="28"/>
          <w:rtl/>
        </w:rPr>
        <w:t>،</w:t>
      </w:r>
      <w:r w:rsidRPr="00995B26">
        <w:rPr>
          <w:rFonts w:ascii="Abo-thar" w:hAnsi="Abo-thar" w:hint="cs"/>
          <w:sz w:val="28"/>
          <w:rtl/>
        </w:rPr>
        <w:t xml:space="preserve"> هذا إضافة إلى أنه في الآية الكريمة ذاتها ذكر يوم </w:t>
      </w:r>
      <w:r w:rsidRPr="00995B26">
        <w:rPr>
          <w:rFonts w:ascii="Abo-thar" w:hAnsi="Abo-thar" w:hint="eastAsia"/>
          <w:sz w:val="28"/>
          <w:rtl/>
        </w:rPr>
        <w:t>‌الفرقان</w:t>
      </w:r>
      <w:r w:rsidRPr="00995B26">
        <w:rPr>
          <w:rFonts w:ascii="Abo-thar" w:hAnsi="Abo-thar"/>
          <w:sz w:val="28"/>
          <w:rtl/>
        </w:rPr>
        <w:t xml:space="preserve"> </w:t>
      </w:r>
      <w:r w:rsidR="00E77B3F" w:rsidRPr="00995B26">
        <w:rPr>
          <w:rFonts w:ascii="Abo-thar" w:hAnsi="Abo-thar" w:cs="Traditional Arabic" w:hint="cs"/>
          <w:sz w:val="28"/>
          <w:rtl/>
        </w:rPr>
        <w:t>﴿</w:t>
      </w:r>
      <w:r w:rsidR="00E77B3F" w:rsidRPr="00DF7CAE">
        <w:rPr>
          <w:rStyle w:val="Char3"/>
          <w:rFonts w:hint="eastAsia"/>
          <w:rtl/>
        </w:rPr>
        <w:t>يَو</w:t>
      </w:r>
      <w:r w:rsidR="00E77B3F" w:rsidRPr="00DF7CAE">
        <w:rPr>
          <w:rStyle w:val="Char3"/>
          <w:rFonts w:hint="cs"/>
          <w:rtl/>
        </w:rPr>
        <w:t>ۡ</w:t>
      </w:r>
      <w:r w:rsidR="00E77B3F" w:rsidRPr="00DF7CAE">
        <w:rPr>
          <w:rStyle w:val="Char3"/>
          <w:rFonts w:hint="eastAsia"/>
          <w:rtl/>
        </w:rPr>
        <w:t>مَ</w:t>
      </w:r>
      <w:r w:rsidR="00E77B3F" w:rsidRPr="00DF7CAE">
        <w:rPr>
          <w:rStyle w:val="Char3"/>
          <w:rtl/>
        </w:rPr>
        <w:t xml:space="preserve"> </w:t>
      </w:r>
      <w:r w:rsidR="00E77B3F" w:rsidRPr="00DF7CAE">
        <w:rPr>
          <w:rStyle w:val="Char3"/>
          <w:rFonts w:hint="cs"/>
          <w:rtl/>
        </w:rPr>
        <w:t>ٱ</w:t>
      </w:r>
      <w:r w:rsidR="00E77B3F" w:rsidRPr="00DF7CAE">
        <w:rPr>
          <w:rStyle w:val="Char3"/>
          <w:rFonts w:hint="eastAsia"/>
          <w:rtl/>
        </w:rPr>
        <w:t>ل</w:t>
      </w:r>
      <w:r w:rsidR="00E77B3F" w:rsidRPr="00DF7CAE">
        <w:rPr>
          <w:rStyle w:val="Char3"/>
          <w:rFonts w:hint="cs"/>
          <w:rtl/>
        </w:rPr>
        <w:t>ۡ</w:t>
      </w:r>
      <w:r w:rsidR="00E77B3F" w:rsidRPr="00DF7CAE">
        <w:rPr>
          <w:rStyle w:val="Char3"/>
          <w:rFonts w:hint="eastAsia"/>
          <w:rtl/>
        </w:rPr>
        <w:t>فُر</w:t>
      </w:r>
      <w:r w:rsidR="00E77B3F" w:rsidRPr="00DF7CAE">
        <w:rPr>
          <w:rStyle w:val="Char3"/>
          <w:rFonts w:hint="cs"/>
          <w:rtl/>
        </w:rPr>
        <w:t>ۡ</w:t>
      </w:r>
      <w:r w:rsidR="00E77B3F" w:rsidRPr="00DF7CAE">
        <w:rPr>
          <w:rStyle w:val="Char3"/>
          <w:rFonts w:hint="eastAsia"/>
          <w:rtl/>
        </w:rPr>
        <w:t>قَانِ</w:t>
      </w:r>
      <w:r w:rsidR="00E77B3F" w:rsidRPr="00DF7CAE">
        <w:rPr>
          <w:rStyle w:val="Char3"/>
          <w:rtl/>
        </w:rPr>
        <w:t xml:space="preserve"> </w:t>
      </w:r>
      <w:r w:rsidR="00E77B3F" w:rsidRPr="00DF7CAE">
        <w:rPr>
          <w:rStyle w:val="Char3"/>
          <w:rFonts w:hint="eastAsia"/>
          <w:rtl/>
        </w:rPr>
        <w:t>يَو</w:t>
      </w:r>
      <w:r w:rsidR="00E77B3F" w:rsidRPr="00DF7CAE">
        <w:rPr>
          <w:rStyle w:val="Char3"/>
          <w:rFonts w:hint="cs"/>
          <w:rtl/>
        </w:rPr>
        <w:t>ۡ</w:t>
      </w:r>
      <w:r w:rsidR="00E77B3F" w:rsidRPr="00DF7CAE">
        <w:rPr>
          <w:rStyle w:val="Char3"/>
          <w:rFonts w:hint="eastAsia"/>
          <w:rtl/>
        </w:rPr>
        <w:t>مَ</w:t>
      </w:r>
      <w:r w:rsidR="00E77B3F" w:rsidRPr="00DF7CAE">
        <w:rPr>
          <w:rStyle w:val="Char3"/>
          <w:rtl/>
        </w:rPr>
        <w:t xml:space="preserve"> </w:t>
      </w:r>
      <w:r w:rsidR="00E77B3F" w:rsidRPr="00DF7CAE">
        <w:rPr>
          <w:rStyle w:val="Char3"/>
          <w:rFonts w:hint="cs"/>
          <w:rtl/>
        </w:rPr>
        <w:t>ٱ</w:t>
      </w:r>
      <w:r w:rsidR="00E77B3F" w:rsidRPr="00DF7CAE">
        <w:rPr>
          <w:rStyle w:val="Char3"/>
          <w:rFonts w:hint="eastAsia"/>
          <w:rtl/>
        </w:rPr>
        <w:t>ل</w:t>
      </w:r>
      <w:r w:rsidR="00E77B3F" w:rsidRPr="00DF7CAE">
        <w:rPr>
          <w:rStyle w:val="Char3"/>
          <w:rFonts w:hint="cs"/>
          <w:rtl/>
        </w:rPr>
        <w:t>ۡ</w:t>
      </w:r>
      <w:r w:rsidR="00E77B3F" w:rsidRPr="00DF7CAE">
        <w:rPr>
          <w:rStyle w:val="Char3"/>
          <w:rFonts w:hint="eastAsia"/>
          <w:rtl/>
        </w:rPr>
        <w:t>تَقَى</w:t>
      </w:r>
      <w:r w:rsidR="00E77B3F" w:rsidRPr="00DF7CAE">
        <w:rPr>
          <w:rStyle w:val="Char3"/>
          <w:rtl/>
        </w:rPr>
        <w:t xml:space="preserve"> </w:t>
      </w:r>
      <w:r w:rsidR="00E77B3F" w:rsidRPr="00DF7CAE">
        <w:rPr>
          <w:rStyle w:val="Char3"/>
          <w:rFonts w:hint="cs"/>
          <w:rtl/>
        </w:rPr>
        <w:t>ٱ</w:t>
      </w:r>
      <w:r w:rsidR="00E77B3F" w:rsidRPr="00DF7CAE">
        <w:rPr>
          <w:rStyle w:val="Char3"/>
          <w:rFonts w:hint="eastAsia"/>
          <w:rtl/>
        </w:rPr>
        <w:t>ل</w:t>
      </w:r>
      <w:r w:rsidR="00E77B3F" w:rsidRPr="00DF7CAE">
        <w:rPr>
          <w:rStyle w:val="Char3"/>
          <w:rFonts w:hint="cs"/>
          <w:rtl/>
        </w:rPr>
        <w:t>ۡ</w:t>
      </w:r>
      <w:r w:rsidR="00E77B3F" w:rsidRPr="00DF7CAE">
        <w:rPr>
          <w:rStyle w:val="Char3"/>
          <w:rFonts w:hint="eastAsia"/>
          <w:rtl/>
        </w:rPr>
        <w:t>جَم</w:t>
      </w:r>
      <w:r w:rsidR="00E77B3F" w:rsidRPr="00DF7CAE">
        <w:rPr>
          <w:rStyle w:val="Char3"/>
          <w:rFonts w:hint="cs"/>
          <w:rtl/>
        </w:rPr>
        <w:t>ۡ</w:t>
      </w:r>
      <w:r w:rsidR="00E77B3F" w:rsidRPr="00DF7CAE">
        <w:rPr>
          <w:rStyle w:val="Char3"/>
          <w:rFonts w:hint="eastAsia"/>
          <w:rtl/>
        </w:rPr>
        <w:t>عَانِ</w:t>
      </w:r>
      <w:r w:rsidR="00E77B3F" w:rsidRPr="00995B26">
        <w:rPr>
          <w:rFonts w:ascii="Abo-thar" w:hAnsi="Abo-thar" w:cs="Traditional Arabic" w:hint="cs"/>
          <w:sz w:val="28"/>
          <w:rtl/>
        </w:rPr>
        <w:t>﴾</w:t>
      </w:r>
      <w:r w:rsidR="00E77B3F" w:rsidRPr="00995B26">
        <w:rPr>
          <w:rFonts w:ascii="Abo-thar" w:hAnsi="Abo-thar" w:hint="cs"/>
          <w:sz w:val="28"/>
          <w:rtl/>
        </w:rPr>
        <w:t xml:space="preserve"> </w:t>
      </w:r>
      <w:r w:rsidRPr="00FC12FD">
        <w:rPr>
          <w:rStyle w:val="Char2"/>
          <w:rFonts w:hint="cs"/>
          <w:rtl/>
        </w:rPr>
        <w:t>[</w:t>
      </w:r>
      <w:r w:rsidRPr="00FC12FD">
        <w:rPr>
          <w:rStyle w:val="Char2"/>
          <w:rtl/>
        </w:rPr>
        <w:t>الأنفال</w:t>
      </w:r>
      <w:r w:rsidRPr="00FC12FD">
        <w:rPr>
          <w:rStyle w:val="Char2"/>
          <w:rFonts w:hint="cs"/>
          <w:rtl/>
        </w:rPr>
        <w:t>/</w:t>
      </w:r>
      <w:r w:rsidRPr="00FC12FD">
        <w:rPr>
          <w:rStyle w:val="Char2"/>
          <w:rtl/>
        </w:rPr>
        <w:t>41]</w:t>
      </w:r>
      <w:r w:rsidR="00147857" w:rsidRPr="00995B26">
        <w:rPr>
          <w:rFonts w:ascii="Abo-thar" w:hAnsi="Abo-thar"/>
          <w:sz w:val="28"/>
          <w:rtl/>
        </w:rPr>
        <w:t xml:space="preserve"> </w:t>
      </w:r>
      <w:r w:rsidRPr="00995B26">
        <w:rPr>
          <w:rFonts w:ascii="Abo-thar" w:hAnsi="Abo-thar" w:hint="cs"/>
          <w:sz w:val="28"/>
          <w:rtl/>
        </w:rPr>
        <w:t>أي اليوم الذي تميز فيه الحق من الباطل</w:t>
      </w:r>
      <w:r w:rsidR="00217AB4" w:rsidRPr="00995B26">
        <w:rPr>
          <w:rFonts w:ascii="Abo-thar" w:hAnsi="Abo-thar" w:hint="cs"/>
          <w:sz w:val="28"/>
          <w:rtl/>
        </w:rPr>
        <w:t>،</w:t>
      </w:r>
      <w:r w:rsidRPr="00995B26">
        <w:rPr>
          <w:rFonts w:ascii="Abo-thar" w:hAnsi="Abo-thar" w:hint="cs"/>
          <w:sz w:val="28"/>
          <w:rtl/>
        </w:rPr>
        <w:t xml:space="preserve"> وهو اليوم الذي التقى فيه المسلمون بالكفار في وقعة بدر</w:t>
      </w:r>
      <w:r w:rsidR="00217AB4" w:rsidRPr="00995B26">
        <w:rPr>
          <w:rFonts w:ascii="Abo-thar" w:hAnsi="Abo-thar" w:hint="cs"/>
          <w:sz w:val="28"/>
          <w:rtl/>
        </w:rPr>
        <w:t>.</w:t>
      </w:r>
      <w:r w:rsidRPr="00995B26">
        <w:rPr>
          <w:rFonts w:ascii="Abo-thar" w:hAnsi="Abo-thar" w:hint="cs"/>
          <w:sz w:val="28"/>
          <w:rtl/>
        </w:rPr>
        <w:t xml:space="preserve"> ونجد في الآية التالية مباشرة قوله تعالى</w:t>
      </w:r>
      <w:r w:rsidR="00217AB4" w:rsidRPr="00995B26">
        <w:rPr>
          <w:rFonts w:ascii="Abo-thar" w:hAnsi="Abo-thar" w:hint="cs"/>
          <w:sz w:val="28"/>
          <w:rtl/>
        </w:rPr>
        <w:t>:</w:t>
      </w:r>
      <w:r w:rsidR="00E77B3F" w:rsidRPr="00995B26">
        <w:rPr>
          <w:rFonts w:ascii="Abo-thar" w:hAnsi="Abo-thar" w:hint="cs"/>
          <w:sz w:val="28"/>
          <w:rtl/>
        </w:rPr>
        <w:t xml:space="preserve"> </w:t>
      </w:r>
      <w:r w:rsidR="00E77B3F" w:rsidRPr="00995B26">
        <w:rPr>
          <w:rFonts w:ascii="Abo-thar" w:hAnsi="Abo-thar" w:cs="Traditional Arabic" w:hint="cs"/>
          <w:sz w:val="28"/>
          <w:rtl/>
        </w:rPr>
        <w:t>﴿</w:t>
      </w:r>
      <w:r w:rsidR="00E77B3F" w:rsidRPr="00DF7CAE">
        <w:rPr>
          <w:rStyle w:val="Char3"/>
          <w:rFonts w:hint="eastAsia"/>
          <w:rtl/>
        </w:rPr>
        <w:t>إِذ</w:t>
      </w:r>
      <w:r w:rsidR="00E77B3F" w:rsidRPr="00DF7CAE">
        <w:rPr>
          <w:rStyle w:val="Char3"/>
          <w:rFonts w:hint="cs"/>
          <w:rtl/>
        </w:rPr>
        <w:t>ۡ</w:t>
      </w:r>
      <w:r w:rsidR="00E77B3F" w:rsidRPr="00DF7CAE">
        <w:rPr>
          <w:rStyle w:val="Char3"/>
          <w:rtl/>
        </w:rPr>
        <w:t xml:space="preserve"> </w:t>
      </w:r>
      <w:r w:rsidR="00E77B3F" w:rsidRPr="00DF7CAE">
        <w:rPr>
          <w:rStyle w:val="Char3"/>
          <w:rFonts w:hint="eastAsia"/>
          <w:rtl/>
        </w:rPr>
        <w:t>أَنتُم</w:t>
      </w:r>
      <w:r w:rsidR="00E77B3F" w:rsidRPr="00DF7CAE">
        <w:rPr>
          <w:rStyle w:val="Char3"/>
          <w:rtl/>
        </w:rPr>
        <w:t xml:space="preserve"> </w:t>
      </w:r>
      <w:r w:rsidR="00E77B3F" w:rsidRPr="00DF7CAE">
        <w:rPr>
          <w:rStyle w:val="Char3"/>
          <w:rFonts w:hint="eastAsia"/>
          <w:rtl/>
        </w:rPr>
        <w:t>بِ</w:t>
      </w:r>
      <w:r w:rsidR="00E77B3F" w:rsidRPr="00DF7CAE">
        <w:rPr>
          <w:rStyle w:val="Char3"/>
          <w:rFonts w:hint="cs"/>
          <w:rtl/>
        </w:rPr>
        <w:t>ٱ</w:t>
      </w:r>
      <w:r w:rsidR="00E77B3F" w:rsidRPr="00DF7CAE">
        <w:rPr>
          <w:rStyle w:val="Char3"/>
          <w:rFonts w:hint="eastAsia"/>
          <w:rtl/>
        </w:rPr>
        <w:t>ل</w:t>
      </w:r>
      <w:r w:rsidR="00E77B3F" w:rsidRPr="00DF7CAE">
        <w:rPr>
          <w:rStyle w:val="Char3"/>
          <w:rFonts w:hint="cs"/>
          <w:rtl/>
        </w:rPr>
        <w:t>ۡ</w:t>
      </w:r>
      <w:r w:rsidR="00E77B3F" w:rsidRPr="00DF7CAE">
        <w:rPr>
          <w:rStyle w:val="Char3"/>
          <w:rFonts w:hint="eastAsia"/>
          <w:rtl/>
        </w:rPr>
        <w:t>عُد</w:t>
      </w:r>
      <w:r w:rsidR="00E77B3F" w:rsidRPr="00DF7CAE">
        <w:rPr>
          <w:rStyle w:val="Char3"/>
          <w:rFonts w:hint="cs"/>
          <w:rtl/>
        </w:rPr>
        <w:t>ۡ</w:t>
      </w:r>
      <w:r w:rsidR="00E77B3F" w:rsidRPr="00DF7CAE">
        <w:rPr>
          <w:rStyle w:val="Char3"/>
          <w:rFonts w:hint="eastAsia"/>
          <w:rtl/>
        </w:rPr>
        <w:t>وَةِ</w:t>
      </w:r>
      <w:r w:rsidR="00E77B3F" w:rsidRPr="00DF7CAE">
        <w:rPr>
          <w:rStyle w:val="Char3"/>
          <w:rtl/>
        </w:rPr>
        <w:t xml:space="preserve"> </w:t>
      </w:r>
      <w:r w:rsidR="00E77B3F" w:rsidRPr="00DF7CAE">
        <w:rPr>
          <w:rStyle w:val="Char3"/>
          <w:rFonts w:hint="cs"/>
          <w:rtl/>
        </w:rPr>
        <w:t>ٱ</w:t>
      </w:r>
      <w:r w:rsidR="00E77B3F" w:rsidRPr="00DF7CAE">
        <w:rPr>
          <w:rStyle w:val="Char3"/>
          <w:rFonts w:hint="eastAsia"/>
          <w:rtl/>
        </w:rPr>
        <w:t>لدُّن</w:t>
      </w:r>
      <w:r w:rsidR="00E77B3F" w:rsidRPr="00DF7CAE">
        <w:rPr>
          <w:rStyle w:val="Char3"/>
          <w:rFonts w:hint="cs"/>
          <w:rtl/>
        </w:rPr>
        <w:t>ۡ</w:t>
      </w:r>
      <w:r w:rsidR="00E77B3F" w:rsidRPr="00DF7CAE">
        <w:rPr>
          <w:rStyle w:val="Char3"/>
          <w:rFonts w:hint="eastAsia"/>
          <w:rtl/>
        </w:rPr>
        <w:t>يَا</w:t>
      </w:r>
      <w:r w:rsidR="00E77B3F" w:rsidRPr="00DF7CAE">
        <w:rPr>
          <w:rStyle w:val="Char3"/>
          <w:rtl/>
        </w:rPr>
        <w:t xml:space="preserve"> </w:t>
      </w:r>
      <w:r w:rsidR="00E77B3F" w:rsidRPr="00DF7CAE">
        <w:rPr>
          <w:rStyle w:val="Char3"/>
          <w:rFonts w:hint="eastAsia"/>
          <w:rtl/>
        </w:rPr>
        <w:t>وَهُم</w:t>
      </w:r>
      <w:r w:rsidR="00E77B3F" w:rsidRPr="00DF7CAE">
        <w:rPr>
          <w:rStyle w:val="Char3"/>
          <w:rtl/>
        </w:rPr>
        <w:t xml:space="preserve"> </w:t>
      </w:r>
      <w:r w:rsidR="00E77B3F" w:rsidRPr="00DF7CAE">
        <w:rPr>
          <w:rStyle w:val="Char3"/>
          <w:rFonts w:hint="eastAsia"/>
          <w:rtl/>
        </w:rPr>
        <w:t>بِ</w:t>
      </w:r>
      <w:r w:rsidR="00E77B3F" w:rsidRPr="00DF7CAE">
        <w:rPr>
          <w:rStyle w:val="Char3"/>
          <w:rFonts w:hint="cs"/>
          <w:rtl/>
        </w:rPr>
        <w:t>ٱ</w:t>
      </w:r>
      <w:r w:rsidR="00E77B3F" w:rsidRPr="00DF7CAE">
        <w:rPr>
          <w:rStyle w:val="Char3"/>
          <w:rFonts w:hint="eastAsia"/>
          <w:rtl/>
        </w:rPr>
        <w:t>ل</w:t>
      </w:r>
      <w:r w:rsidR="00E77B3F" w:rsidRPr="00DF7CAE">
        <w:rPr>
          <w:rStyle w:val="Char3"/>
          <w:rFonts w:hint="cs"/>
          <w:rtl/>
        </w:rPr>
        <w:t>ۡ</w:t>
      </w:r>
      <w:r w:rsidR="00E77B3F" w:rsidRPr="00DF7CAE">
        <w:rPr>
          <w:rStyle w:val="Char3"/>
          <w:rFonts w:hint="eastAsia"/>
          <w:rtl/>
        </w:rPr>
        <w:t>عُد</w:t>
      </w:r>
      <w:r w:rsidR="00E77B3F" w:rsidRPr="00DF7CAE">
        <w:rPr>
          <w:rStyle w:val="Char3"/>
          <w:rFonts w:hint="cs"/>
          <w:rtl/>
        </w:rPr>
        <w:t>ۡ</w:t>
      </w:r>
      <w:r w:rsidR="00E77B3F" w:rsidRPr="00DF7CAE">
        <w:rPr>
          <w:rStyle w:val="Char3"/>
          <w:rFonts w:hint="eastAsia"/>
          <w:rtl/>
        </w:rPr>
        <w:t>وَةِ</w:t>
      </w:r>
      <w:r w:rsidR="00E77B3F" w:rsidRPr="00DF7CAE">
        <w:rPr>
          <w:rStyle w:val="Char3"/>
          <w:rtl/>
        </w:rPr>
        <w:t xml:space="preserve"> </w:t>
      </w:r>
      <w:r w:rsidR="00E77B3F" w:rsidRPr="00DF7CAE">
        <w:rPr>
          <w:rStyle w:val="Char3"/>
          <w:rFonts w:hint="cs"/>
          <w:rtl/>
        </w:rPr>
        <w:t>ٱ</w:t>
      </w:r>
      <w:r w:rsidR="00E77B3F" w:rsidRPr="00DF7CAE">
        <w:rPr>
          <w:rStyle w:val="Char3"/>
          <w:rFonts w:hint="eastAsia"/>
          <w:rtl/>
        </w:rPr>
        <w:t>ل</w:t>
      </w:r>
      <w:r w:rsidR="00E77B3F" w:rsidRPr="00DF7CAE">
        <w:rPr>
          <w:rStyle w:val="Char3"/>
          <w:rFonts w:hint="cs"/>
          <w:rtl/>
        </w:rPr>
        <w:t>ۡ</w:t>
      </w:r>
      <w:r w:rsidR="00E77B3F" w:rsidRPr="00DF7CAE">
        <w:rPr>
          <w:rStyle w:val="Char3"/>
          <w:rFonts w:hint="eastAsia"/>
          <w:rtl/>
        </w:rPr>
        <w:t>قُص</w:t>
      </w:r>
      <w:r w:rsidR="00E77B3F" w:rsidRPr="00DF7CAE">
        <w:rPr>
          <w:rStyle w:val="Char3"/>
          <w:rFonts w:hint="cs"/>
          <w:rtl/>
        </w:rPr>
        <w:t>ۡ</w:t>
      </w:r>
      <w:r w:rsidR="00E77B3F" w:rsidRPr="00DF7CAE">
        <w:rPr>
          <w:rStyle w:val="Char3"/>
          <w:rFonts w:hint="eastAsia"/>
          <w:rtl/>
        </w:rPr>
        <w:t>وَى</w:t>
      </w:r>
      <w:r w:rsidR="00E77B3F" w:rsidRPr="00DF7CAE">
        <w:rPr>
          <w:rStyle w:val="Char3"/>
          <w:rFonts w:hint="cs"/>
          <w:rtl/>
        </w:rPr>
        <w:t>ٰ</w:t>
      </w:r>
      <w:r w:rsidR="00E77B3F" w:rsidRPr="00DF7CAE">
        <w:rPr>
          <w:rStyle w:val="Char3"/>
          <w:rtl/>
        </w:rPr>
        <w:t xml:space="preserve"> </w:t>
      </w:r>
      <w:r w:rsidR="00E77B3F" w:rsidRPr="00DF7CAE">
        <w:rPr>
          <w:rStyle w:val="Char3"/>
          <w:rFonts w:hint="eastAsia"/>
          <w:rtl/>
        </w:rPr>
        <w:t>وَ</w:t>
      </w:r>
      <w:r w:rsidR="00E77B3F" w:rsidRPr="00DF7CAE">
        <w:rPr>
          <w:rStyle w:val="Char3"/>
          <w:rFonts w:hint="cs"/>
          <w:rtl/>
        </w:rPr>
        <w:t>ٱ</w:t>
      </w:r>
      <w:r w:rsidR="00E77B3F" w:rsidRPr="00DF7CAE">
        <w:rPr>
          <w:rStyle w:val="Char3"/>
          <w:rFonts w:hint="eastAsia"/>
          <w:rtl/>
        </w:rPr>
        <w:t>لرَّك</w:t>
      </w:r>
      <w:r w:rsidR="00E77B3F" w:rsidRPr="00DF7CAE">
        <w:rPr>
          <w:rStyle w:val="Char3"/>
          <w:rFonts w:hint="cs"/>
          <w:rtl/>
        </w:rPr>
        <w:t>ۡ</w:t>
      </w:r>
      <w:r w:rsidR="00E77B3F" w:rsidRPr="00DF7CAE">
        <w:rPr>
          <w:rStyle w:val="Char3"/>
          <w:rFonts w:hint="eastAsia"/>
          <w:rtl/>
        </w:rPr>
        <w:t>بُ</w:t>
      </w:r>
      <w:r w:rsidR="00E77B3F" w:rsidRPr="00DF7CAE">
        <w:rPr>
          <w:rStyle w:val="Char3"/>
          <w:rtl/>
        </w:rPr>
        <w:t xml:space="preserve"> </w:t>
      </w:r>
      <w:r w:rsidR="00E77B3F" w:rsidRPr="00DF7CAE">
        <w:rPr>
          <w:rStyle w:val="Char3"/>
          <w:rFonts w:hint="eastAsia"/>
          <w:rtl/>
        </w:rPr>
        <w:t>أَس</w:t>
      </w:r>
      <w:r w:rsidR="00E77B3F" w:rsidRPr="00DF7CAE">
        <w:rPr>
          <w:rStyle w:val="Char3"/>
          <w:rFonts w:hint="cs"/>
          <w:rtl/>
        </w:rPr>
        <w:t>ۡ</w:t>
      </w:r>
      <w:r w:rsidR="00E77B3F" w:rsidRPr="00DF7CAE">
        <w:rPr>
          <w:rStyle w:val="Char3"/>
          <w:rFonts w:hint="eastAsia"/>
          <w:rtl/>
        </w:rPr>
        <w:t>فَلَ</w:t>
      </w:r>
      <w:r w:rsidR="00E77B3F" w:rsidRPr="00DF7CAE">
        <w:rPr>
          <w:rStyle w:val="Char3"/>
          <w:rtl/>
        </w:rPr>
        <w:t xml:space="preserve"> </w:t>
      </w:r>
      <w:r w:rsidR="00E77B3F" w:rsidRPr="00DF7CAE">
        <w:rPr>
          <w:rStyle w:val="Char3"/>
          <w:rFonts w:hint="eastAsia"/>
          <w:rtl/>
        </w:rPr>
        <w:t>مِنكُم</w:t>
      </w:r>
      <w:r w:rsidR="00E77B3F" w:rsidRPr="00DF7CAE">
        <w:rPr>
          <w:rStyle w:val="Char3"/>
          <w:rFonts w:hint="cs"/>
          <w:rtl/>
        </w:rPr>
        <w:t>ۡ</w:t>
      </w:r>
      <w:r w:rsidR="00E77B3F" w:rsidRPr="00995B26">
        <w:rPr>
          <w:rFonts w:ascii="Abo-thar" w:hAnsi="Abo-thar" w:cs="Traditional Arabic" w:hint="cs"/>
          <w:sz w:val="28"/>
          <w:rtl/>
        </w:rPr>
        <w:t>...﴾</w:t>
      </w:r>
      <w:r w:rsidRPr="00995B26">
        <w:rPr>
          <w:rFonts w:ascii="Abo-thar" w:hAnsi="Abo-thar" w:hint="cs"/>
          <w:sz w:val="28"/>
          <w:rtl/>
        </w:rPr>
        <w:t xml:space="preserve"> </w:t>
      </w:r>
      <w:r w:rsidRPr="00FC12FD">
        <w:rPr>
          <w:rStyle w:val="Char2"/>
          <w:rFonts w:hint="cs"/>
          <w:rtl/>
        </w:rPr>
        <w:t>[الأنفال/</w:t>
      </w:r>
      <w:r w:rsidRPr="00FC12FD">
        <w:rPr>
          <w:rStyle w:val="Char2"/>
          <w:rtl/>
        </w:rPr>
        <w:t>42</w:t>
      </w:r>
      <w:r w:rsidRPr="00FC12FD">
        <w:rPr>
          <w:rStyle w:val="Char2"/>
          <w:rFonts w:hint="cs"/>
          <w:rtl/>
        </w:rPr>
        <w:t>]</w:t>
      </w:r>
      <w:r w:rsidRPr="00995B26">
        <w:rPr>
          <w:rFonts w:ascii="Abo-thar" w:hAnsi="Abo-thar" w:hint="cs"/>
          <w:sz w:val="28"/>
          <w:rtl/>
        </w:rPr>
        <w:t xml:space="preserve"> والتي تصور لنا صورة اصطفاف المؤمنين أمام الكفار في ذلك اليوم المشهود</w:t>
      </w:r>
      <w:r w:rsidR="00217AB4" w:rsidRPr="00995B26">
        <w:rPr>
          <w:rFonts w:ascii="Abo-thar" w:hAnsi="Abo-thar" w:hint="cs"/>
          <w:sz w:val="28"/>
          <w:rtl/>
        </w:rPr>
        <w:t>.</w:t>
      </w:r>
    </w:p>
    <w:p w:rsidR="005C664D" w:rsidRPr="00995B26" w:rsidRDefault="005C664D" w:rsidP="003F3B94">
      <w:pPr>
        <w:pStyle w:val="a0"/>
        <w:rPr>
          <w:rFonts w:hint="cs"/>
          <w:rtl/>
        </w:rPr>
      </w:pPr>
      <w:r w:rsidRPr="003F3B94">
        <w:rPr>
          <w:rFonts w:ascii="Abo-thar" w:hAnsi="Abo-thar" w:hint="cs"/>
          <w:sz w:val="28"/>
          <w:rtl/>
        </w:rPr>
        <w:t>ب</w:t>
      </w:r>
      <w:r w:rsidR="00217AB4" w:rsidRPr="003F3B94">
        <w:rPr>
          <w:rFonts w:ascii="Abo-thar" w:hAnsi="Abo-thar" w:hint="cs"/>
          <w:sz w:val="28"/>
          <w:rtl/>
        </w:rPr>
        <w:t>-</w:t>
      </w:r>
      <w:r w:rsidRPr="003F3B94">
        <w:rPr>
          <w:rFonts w:ascii="Abo-thar" w:hAnsi="Abo-thar" w:hint="cs"/>
          <w:sz w:val="28"/>
          <w:rtl/>
        </w:rPr>
        <w:t xml:space="preserve"> في الآية 69 من ذات السورة المباركة يذكر الله تعالى أحد مشتقات «الغنيمة» فيقول</w:t>
      </w:r>
      <w:r w:rsidR="00217AB4" w:rsidRPr="003F3B94">
        <w:rPr>
          <w:rFonts w:ascii="Abo-thar" w:hAnsi="Abo-thar" w:hint="cs"/>
          <w:sz w:val="28"/>
          <w:rtl/>
        </w:rPr>
        <w:t>:</w:t>
      </w:r>
      <w:r w:rsidR="00E77B3F" w:rsidRPr="003F3B94">
        <w:rPr>
          <w:rFonts w:ascii="Abo-thar" w:hAnsi="Abo-thar" w:hint="cs"/>
          <w:sz w:val="28"/>
          <w:rtl/>
        </w:rPr>
        <w:t xml:space="preserve"> </w:t>
      </w:r>
      <w:r w:rsidR="00E77B3F" w:rsidRPr="00995B26">
        <w:rPr>
          <w:rFonts w:ascii="Abo-thar" w:hAnsi="Abo-thar" w:cs="Traditional Arabic" w:hint="cs"/>
          <w:sz w:val="28"/>
          <w:rtl/>
        </w:rPr>
        <w:t>﴿</w:t>
      </w:r>
      <w:r w:rsidR="00E77B3F" w:rsidRPr="00DF7CAE">
        <w:rPr>
          <w:rStyle w:val="Char3"/>
          <w:rFonts w:hint="eastAsia"/>
          <w:rtl/>
        </w:rPr>
        <w:t>فَكُلُواْ</w:t>
      </w:r>
      <w:r w:rsidR="00E77B3F" w:rsidRPr="00DF7CAE">
        <w:rPr>
          <w:rStyle w:val="Char3"/>
          <w:rtl/>
        </w:rPr>
        <w:t xml:space="preserve"> </w:t>
      </w:r>
      <w:r w:rsidR="00E77B3F" w:rsidRPr="00DF7CAE">
        <w:rPr>
          <w:rStyle w:val="Char3"/>
          <w:rFonts w:hint="eastAsia"/>
          <w:rtl/>
        </w:rPr>
        <w:t>مِمَّا</w:t>
      </w:r>
      <w:r w:rsidR="00E77B3F" w:rsidRPr="00DF7CAE">
        <w:rPr>
          <w:rStyle w:val="Char3"/>
          <w:rtl/>
        </w:rPr>
        <w:t xml:space="preserve"> </w:t>
      </w:r>
      <w:r w:rsidR="00E77B3F" w:rsidRPr="00DF7CAE">
        <w:rPr>
          <w:rStyle w:val="Char3"/>
          <w:rFonts w:hint="eastAsia"/>
          <w:rtl/>
        </w:rPr>
        <w:t>غَنِم</w:t>
      </w:r>
      <w:r w:rsidR="00E77B3F" w:rsidRPr="00DF7CAE">
        <w:rPr>
          <w:rStyle w:val="Char3"/>
          <w:rFonts w:hint="cs"/>
          <w:rtl/>
        </w:rPr>
        <w:t>ۡ</w:t>
      </w:r>
      <w:r w:rsidR="00E77B3F" w:rsidRPr="00DF7CAE">
        <w:rPr>
          <w:rStyle w:val="Char3"/>
          <w:rFonts w:hint="eastAsia"/>
          <w:rtl/>
        </w:rPr>
        <w:t>تُم</w:t>
      </w:r>
      <w:r w:rsidR="00E77B3F" w:rsidRPr="00DF7CAE">
        <w:rPr>
          <w:rStyle w:val="Char3"/>
          <w:rFonts w:hint="cs"/>
          <w:rtl/>
        </w:rPr>
        <w:t>ۡ</w:t>
      </w:r>
      <w:r w:rsidR="00E77B3F" w:rsidRPr="00DF7CAE">
        <w:rPr>
          <w:rStyle w:val="Char3"/>
          <w:rtl/>
        </w:rPr>
        <w:t xml:space="preserve"> </w:t>
      </w:r>
      <w:r w:rsidR="00E77B3F" w:rsidRPr="00DF7CAE">
        <w:rPr>
          <w:rStyle w:val="Char3"/>
          <w:rFonts w:hint="eastAsia"/>
          <w:rtl/>
        </w:rPr>
        <w:t>حَلَ</w:t>
      </w:r>
      <w:r w:rsidR="00E77B3F" w:rsidRPr="00DF7CAE">
        <w:rPr>
          <w:rStyle w:val="Char3"/>
          <w:rFonts w:hint="cs"/>
          <w:rtl/>
        </w:rPr>
        <w:t>ٰ</w:t>
      </w:r>
      <w:r w:rsidR="00E77B3F" w:rsidRPr="00DF7CAE">
        <w:rPr>
          <w:rStyle w:val="Char3"/>
          <w:rFonts w:hint="eastAsia"/>
          <w:rtl/>
        </w:rPr>
        <w:t>ل</w:t>
      </w:r>
      <w:r w:rsidR="00E77B3F" w:rsidRPr="00DF7CAE">
        <w:rPr>
          <w:rStyle w:val="Char3"/>
          <w:rFonts w:hint="cs"/>
          <w:rtl/>
        </w:rPr>
        <w:t>ٗ</w:t>
      </w:r>
      <w:r w:rsidR="00E77B3F" w:rsidRPr="00DF7CAE">
        <w:rPr>
          <w:rStyle w:val="Char3"/>
          <w:rFonts w:hint="eastAsia"/>
          <w:rtl/>
        </w:rPr>
        <w:t>ا</w:t>
      </w:r>
      <w:r w:rsidR="00E77B3F" w:rsidRPr="00DF7CAE">
        <w:rPr>
          <w:rStyle w:val="Char3"/>
          <w:rtl/>
        </w:rPr>
        <w:t xml:space="preserve"> </w:t>
      </w:r>
      <w:r w:rsidR="00E77B3F" w:rsidRPr="00DF7CAE">
        <w:rPr>
          <w:rStyle w:val="Char3"/>
          <w:rFonts w:hint="eastAsia"/>
          <w:rtl/>
        </w:rPr>
        <w:t>طَيِّب</w:t>
      </w:r>
      <w:r w:rsidR="00E77B3F" w:rsidRPr="00DF7CAE">
        <w:rPr>
          <w:rStyle w:val="Char3"/>
          <w:rFonts w:hint="cs"/>
          <w:rtl/>
        </w:rPr>
        <w:t>ٗ</w:t>
      </w:r>
      <w:r w:rsidR="00E77B3F" w:rsidRPr="00DF7CAE">
        <w:rPr>
          <w:rStyle w:val="Char3"/>
          <w:rFonts w:hint="eastAsia"/>
          <w:rtl/>
        </w:rPr>
        <w:t>ا</w:t>
      </w:r>
      <w:r w:rsidR="00E77B3F" w:rsidRPr="00995B26">
        <w:rPr>
          <w:rFonts w:ascii="KFGQPC Uthmanic Script HAFS" w:cs="Times New Roman" w:hint="cs"/>
          <w:sz w:val="28"/>
          <w:rtl/>
        </w:rPr>
        <w:t>...</w:t>
      </w:r>
      <w:r w:rsidR="00E77B3F" w:rsidRPr="00995B26">
        <w:rPr>
          <w:rFonts w:ascii="Abo-thar" w:hAnsi="Abo-thar" w:cs="Traditional Arabic" w:hint="cs"/>
          <w:sz w:val="28"/>
          <w:rtl/>
        </w:rPr>
        <w:t>﴾</w:t>
      </w:r>
      <w:r w:rsidR="00E77B3F" w:rsidRPr="00995B26">
        <w:rPr>
          <w:rFonts w:ascii="Abo-thar" w:hAnsi="Abo-thar" w:hint="cs"/>
          <w:sz w:val="28"/>
          <w:rtl/>
        </w:rPr>
        <w:t xml:space="preserve"> </w:t>
      </w:r>
      <w:r w:rsidRPr="00FC12FD">
        <w:rPr>
          <w:rStyle w:val="Char2"/>
          <w:rtl/>
        </w:rPr>
        <w:t>[الأنفال/69]</w:t>
      </w:r>
      <w:r w:rsidRPr="00995B26">
        <w:rPr>
          <w:rFonts w:ascii="Abo-thar" w:hAnsi="Abo-thar" w:hint="cs"/>
          <w:sz w:val="28"/>
          <w:rtl/>
        </w:rPr>
        <w:t xml:space="preserve"> والآيات التي قبلها متعلقة بشكل كامل وواضح بأحكام دار الحرب</w:t>
      </w:r>
      <w:r w:rsidR="00217AB4" w:rsidRPr="00995B26">
        <w:rPr>
          <w:rFonts w:ascii="Abo-thar" w:hAnsi="Abo-thar" w:hint="cs"/>
          <w:sz w:val="28"/>
          <w:rtl/>
        </w:rPr>
        <w:t>،</w:t>
      </w:r>
      <w:r w:rsidRPr="00995B26">
        <w:rPr>
          <w:rFonts w:ascii="Abo-thar" w:hAnsi="Abo-thar" w:hint="cs"/>
          <w:sz w:val="28"/>
          <w:rtl/>
        </w:rPr>
        <w:t xml:space="preserve"> بدءاً من الآية 55 من سورة الأنفال وحتى يصل تعالى إلى قوله</w:t>
      </w:r>
      <w:r w:rsidR="00217AB4" w:rsidRPr="00995B26">
        <w:rPr>
          <w:rFonts w:ascii="Abo-thar" w:hAnsi="Abo-thar" w:hint="cs"/>
          <w:sz w:val="28"/>
          <w:rtl/>
        </w:rPr>
        <w:t>:</w:t>
      </w:r>
      <w:r w:rsidR="00E77B3F" w:rsidRPr="00995B26">
        <w:rPr>
          <w:rFonts w:ascii="Abo-thar" w:hAnsi="Abo-thar" w:hint="cs"/>
          <w:sz w:val="28"/>
          <w:rtl/>
        </w:rPr>
        <w:t xml:space="preserve"> </w:t>
      </w:r>
      <w:r w:rsidR="00E77B3F" w:rsidRPr="00995B26">
        <w:rPr>
          <w:rFonts w:ascii="Abo-thar" w:hAnsi="Abo-thar" w:cs="Traditional Arabic" w:hint="cs"/>
          <w:sz w:val="28"/>
          <w:rtl/>
        </w:rPr>
        <w:t>﴿</w:t>
      </w:r>
      <w:r w:rsidR="00E77B3F" w:rsidRPr="00DF7CAE">
        <w:rPr>
          <w:rStyle w:val="Char3"/>
          <w:rFonts w:hint="eastAsia"/>
          <w:rtl/>
        </w:rPr>
        <w:t>يَ</w:t>
      </w:r>
      <w:r w:rsidR="00E77B3F" w:rsidRPr="00DF7CAE">
        <w:rPr>
          <w:rStyle w:val="Char3"/>
          <w:rFonts w:hint="cs"/>
          <w:rtl/>
        </w:rPr>
        <w:t>ٰٓ</w:t>
      </w:r>
      <w:r w:rsidR="00E77B3F" w:rsidRPr="00DF7CAE">
        <w:rPr>
          <w:rStyle w:val="Char3"/>
          <w:rFonts w:hint="eastAsia"/>
          <w:rtl/>
        </w:rPr>
        <w:t>أَيُّهَا</w:t>
      </w:r>
      <w:r w:rsidR="00E77B3F" w:rsidRPr="00DF7CAE">
        <w:rPr>
          <w:rStyle w:val="Char3"/>
          <w:rtl/>
        </w:rPr>
        <w:t xml:space="preserve"> </w:t>
      </w:r>
      <w:r w:rsidR="00E77B3F" w:rsidRPr="00DF7CAE">
        <w:rPr>
          <w:rStyle w:val="Char3"/>
          <w:rFonts w:hint="cs"/>
          <w:rtl/>
        </w:rPr>
        <w:t>ٱ</w:t>
      </w:r>
      <w:r w:rsidR="00E77B3F" w:rsidRPr="00DF7CAE">
        <w:rPr>
          <w:rStyle w:val="Char3"/>
          <w:rFonts w:hint="eastAsia"/>
          <w:rtl/>
        </w:rPr>
        <w:t>لنَّبِيُّ</w:t>
      </w:r>
      <w:r w:rsidR="00E77B3F" w:rsidRPr="00DF7CAE">
        <w:rPr>
          <w:rStyle w:val="Char3"/>
          <w:rtl/>
        </w:rPr>
        <w:t xml:space="preserve"> </w:t>
      </w:r>
      <w:r w:rsidR="00E77B3F" w:rsidRPr="00DF7CAE">
        <w:rPr>
          <w:rStyle w:val="Char3"/>
          <w:rFonts w:hint="eastAsia"/>
          <w:rtl/>
        </w:rPr>
        <w:t>حَرِّضِ</w:t>
      </w:r>
      <w:r w:rsidR="00E77B3F" w:rsidRPr="00DF7CAE">
        <w:rPr>
          <w:rStyle w:val="Char3"/>
          <w:rtl/>
        </w:rPr>
        <w:t xml:space="preserve"> </w:t>
      </w:r>
      <w:r w:rsidR="00E77B3F" w:rsidRPr="00DF7CAE">
        <w:rPr>
          <w:rStyle w:val="Char3"/>
          <w:rFonts w:hint="cs"/>
          <w:rtl/>
        </w:rPr>
        <w:t>ٱ</w:t>
      </w:r>
      <w:r w:rsidR="00E77B3F" w:rsidRPr="00DF7CAE">
        <w:rPr>
          <w:rStyle w:val="Char3"/>
          <w:rFonts w:hint="eastAsia"/>
          <w:rtl/>
        </w:rPr>
        <w:t>ل</w:t>
      </w:r>
      <w:r w:rsidR="00E77B3F" w:rsidRPr="00DF7CAE">
        <w:rPr>
          <w:rStyle w:val="Char3"/>
          <w:rFonts w:hint="cs"/>
          <w:rtl/>
        </w:rPr>
        <w:t>ۡ</w:t>
      </w:r>
      <w:r w:rsidR="00E77B3F" w:rsidRPr="00DF7CAE">
        <w:rPr>
          <w:rStyle w:val="Char3"/>
          <w:rFonts w:hint="eastAsia"/>
          <w:rtl/>
        </w:rPr>
        <w:t>مُؤ</w:t>
      </w:r>
      <w:r w:rsidR="00E77B3F" w:rsidRPr="00DF7CAE">
        <w:rPr>
          <w:rStyle w:val="Char3"/>
          <w:rFonts w:hint="cs"/>
          <w:rtl/>
        </w:rPr>
        <w:t>ۡ</w:t>
      </w:r>
      <w:r w:rsidR="00E77B3F" w:rsidRPr="00DF7CAE">
        <w:rPr>
          <w:rStyle w:val="Char3"/>
          <w:rFonts w:hint="eastAsia"/>
          <w:rtl/>
        </w:rPr>
        <w:t>مِنِينَ</w:t>
      </w:r>
      <w:r w:rsidR="00E77B3F" w:rsidRPr="00DF7CAE">
        <w:rPr>
          <w:rStyle w:val="Char3"/>
          <w:rtl/>
        </w:rPr>
        <w:t xml:space="preserve"> </w:t>
      </w:r>
      <w:r w:rsidR="00E77B3F" w:rsidRPr="00DF7CAE">
        <w:rPr>
          <w:rStyle w:val="Char3"/>
          <w:rFonts w:hint="eastAsia"/>
          <w:rtl/>
        </w:rPr>
        <w:t>عَلَى</w:t>
      </w:r>
      <w:r w:rsidR="00E77B3F" w:rsidRPr="00DF7CAE">
        <w:rPr>
          <w:rStyle w:val="Char3"/>
          <w:rtl/>
        </w:rPr>
        <w:t xml:space="preserve"> </w:t>
      </w:r>
      <w:r w:rsidR="00E77B3F" w:rsidRPr="00DF7CAE">
        <w:rPr>
          <w:rStyle w:val="Char3"/>
          <w:rFonts w:hint="cs"/>
          <w:rtl/>
        </w:rPr>
        <w:t>ٱ</w:t>
      </w:r>
      <w:r w:rsidR="00E77B3F" w:rsidRPr="00DF7CAE">
        <w:rPr>
          <w:rStyle w:val="Char3"/>
          <w:rFonts w:hint="eastAsia"/>
          <w:rtl/>
        </w:rPr>
        <w:t>ل</w:t>
      </w:r>
      <w:r w:rsidR="00E77B3F" w:rsidRPr="00DF7CAE">
        <w:rPr>
          <w:rStyle w:val="Char3"/>
          <w:rFonts w:hint="cs"/>
          <w:rtl/>
        </w:rPr>
        <w:t>ۡ</w:t>
      </w:r>
      <w:r w:rsidR="00E77B3F" w:rsidRPr="00DF7CAE">
        <w:rPr>
          <w:rStyle w:val="Char3"/>
          <w:rFonts w:hint="eastAsia"/>
          <w:rtl/>
        </w:rPr>
        <w:t>قِتَالِ</w:t>
      </w:r>
      <w:r w:rsidR="00E77B3F" w:rsidRPr="00995B26">
        <w:rPr>
          <w:rFonts w:ascii="KFGQPC Uthmanic Script HAFS" w:cs="Times New Roman" w:hint="cs"/>
          <w:sz w:val="28"/>
          <w:rtl/>
        </w:rPr>
        <w:t>...</w:t>
      </w:r>
      <w:r w:rsidR="00E77B3F" w:rsidRPr="00995B26">
        <w:rPr>
          <w:rFonts w:ascii="Abo-thar" w:hAnsi="Abo-thar" w:cs="Traditional Arabic" w:hint="cs"/>
          <w:sz w:val="28"/>
          <w:rtl/>
        </w:rPr>
        <w:t>﴾</w:t>
      </w:r>
      <w:r w:rsidRPr="00995B26">
        <w:rPr>
          <w:rFonts w:ascii="Abo-thar" w:hAnsi="Abo-thar"/>
          <w:sz w:val="28"/>
          <w:rtl/>
        </w:rPr>
        <w:t xml:space="preserve"> </w:t>
      </w:r>
      <w:r w:rsidRPr="00FC12FD">
        <w:rPr>
          <w:rStyle w:val="Char2"/>
          <w:rtl/>
        </w:rPr>
        <w:t>[الأنفال</w:t>
      </w:r>
      <w:r w:rsidR="00E77B3F" w:rsidRPr="00FC12FD">
        <w:rPr>
          <w:rStyle w:val="Char2"/>
          <w:rFonts w:hint="cs"/>
          <w:rtl/>
        </w:rPr>
        <w:t xml:space="preserve">: </w:t>
      </w:r>
      <w:r w:rsidRPr="00FC12FD">
        <w:rPr>
          <w:rStyle w:val="Char2"/>
          <w:rtl/>
        </w:rPr>
        <w:t>65]</w:t>
      </w:r>
      <w:r w:rsidR="00217AB4" w:rsidRPr="00995B26">
        <w:rPr>
          <w:rFonts w:ascii="Abo-thar" w:hAnsi="Abo-thar" w:hint="cs"/>
          <w:sz w:val="28"/>
          <w:rtl/>
        </w:rPr>
        <w:t>،</w:t>
      </w:r>
      <w:r w:rsidRPr="00995B26">
        <w:rPr>
          <w:rFonts w:ascii="Abo-thar" w:hAnsi="Abo-thar" w:hint="cs"/>
          <w:sz w:val="28"/>
          <w:rtl/>
        </w:rPr>
        <w:t xml:space="preserve"> ثم إلى قوله</w:t>
      </w:r>
      <w:r w:rsidR="00217AB4" w:rsidRPr="00995B26">
        <w:rPr>
          <w:rFonts w:ascii="Abo-thar" w:hAnsi="Abo-thar" w:hint="cs"/>
          <w:sz w:val="28"/>
          <w:rtl/>
        </w:rPr>
        <w:t>:</w:t>
      </w:r>
      <w:r w:rsidR="00E77B3F" w:rsidRPr="00995B26">
        <w:rPr>
          <w:rFonts w:ascii="Abo-thar" w:hAnsi="Abo-thar" w:hint="cs"/>
          <w:sz w:val="28"/>
          <w:rtl/>
        </w:rPr>
        <w:t xml:space="preserve"> </w:t>
      </w:r>
      <w:r w:rsidR="00E77B3F" w:rsidRPr="00995B26">
        <w:rPr>
          <w:rFonts w:ascii="Abo-thar" w:hAnsi="Abo-thar" w:cs="Traditional Arabic" w:hint="cs"/>
          <w:sz w:val="28"/>
          <w:rtl/>
        </w:rPr>
        <w:t>﴿</w:t>
      </w:r>
      <w:r w:rsidR="00E77B3F" w:rsidRPr="00DF7CAE">
        <w:rPr>
          <w:rStyle w:val="Char3"/>
          <w:rFonts w:hint="eastAsia"/>
          <w:rtl/>
        </w:rPr>
        <w:t>مَا</w:t>
      </w:r>
      <w:r w:rsidR="00E77B3F" w:rsidRPr="00DF7CAE">
        <w:rPr>
          <w:rStyle w:val="Char3"/>
          <w:rtl/>
        </w:rPr>
        <w:t xml:space="preserve"> </w:t>
      </w:r>
      <w:r w:rsidR="00E77B3F" w:rsidRPr="00DF7CAE">
        <w:rPr>
          <w:rStyle w:val="Char3"/>
          <w:rFonts w:hint="eastAsia"/>
          <w:rtl/>
        </w:rPr>
        <w:t>كَانَ</w:t>
      </w:r>
      <w:r w:rsidR="00E77B3F" w:rsidRPr="00DF7CAE">
        <w:rPr>
          <w:rStyle w:val="Char3"/>
          <w:rtl/>
        </w:rPr>
        <w:t xml:space="preserve"> </w:t>
      </w:r>
      <w:r w:rsidR="00E77B3F" w:rsidRPr="00DF7CAE">
        <w:rPr>
          <w:rStyle w:val="Char3"/>
          <w:rFonts w:hint="eastAsia"/>
          <w:rtl/>
        </w:rPr>
        <w:t>لِنَبِيٍّ</w:t>
      </w:r>
      <w:r w:rsidR="00E77B3F" w:rsidRPr="00DF7CAE">
        <w:rPr>
          <w:rStyle w:val="Char3"/>
          <w:rtl/>
        </w:rPr>
        <w:t xml:space="preserve"> </w:t>
      </w:r>
      <w:r w:rsidR="00E77B3F" w:rsidRPr="00DF7CAE">
        <w:rPr>
          <w:rStyle w:val="Char3"/>
          <w:rFonts w:hint="eastAsia"/>
          <w:rtl/>
        </w:rPr>
        <w:t>أَن</w:t>
      </w:r>
      <w:r w:rsidR="00E77B3F" w:rsidRPr="00DF7CAE">
        <w:rPr>
          <w:rStyle w:val="Char3"/>
          <w:rtl/>
        </w:rPr>
        <w:t xml:space="preserve"> </w:t>
      </w:r>
      <w:r w:rsidR="00E77B3F" w:rsidRPr="00DF7CAE">
        <w:rPr>
          <w:rStyle w:val="Char3"/>
          <w:rFonts w:hint="eastAsia"/>
          <w:rtl/>
        </w:rPr>
        <w:t>يَكُونَ</w:t>
      </w:r>
      <w:r w:rsidR="00E77B3F" w:rsidRPr="00DF7CAE">
        <w:rPr>
          <w:rStyle w:val="Char3"/>
          <w:rtl/>
        </w:rPr>
        <w:t xml:space="preserve"> </w:t>
      </w:r>
      <w:r w:rsidR="00E77B3F" w:rsidRPr="00DF7CAE">
        <w:rPr>
          <w:rStyle w:val="Char3"/>
          <w:rFonts w:hint="eastAsia"/>
          <w:rtl/>
        </w:rPr>
        <w:t>لَهُ</w:t>
      </w:r>
      <w:r w:rsidR="00E77B3F" w:rsidRPr="00DF7CAE">
        <w:rPr>
          <w:rStyle w:val="Char3"/>
          <w:rFonts w:hint="cs"/>
          <w:rtl/>
        </w:rPr>
        <w:t>ۥٓ</w:t>
      </w:r>
      <w:r w:rsidR="00E77B3F" w:rsidRPr="00DF7CAE">
        <w:rPr>
          <w:rStyle w:val="Char3"/>
          <w:rtl/>
        </w:rPr>
        <w:t xml:space="preserve"> </w:t>
      </w:r>
      <w:r w:rsidR="00E77B3F" w:rsidRPr="00DF7CAE">
        <w:rPr>
          <w:rStyle w:val="Char3"/>
          <w:rFonts w:hint="eastAsia"/>
          <w:rtl/>
        </w:rPr>
        <w:t>أَس</w:t>
      </w:r>
      <w:r w:rsidR="00E77B3F" w:rsidRPr="00DF7CAE">
        <w:rPr>
          <w:rStyle w:val="Char3"/>
          <w:rFonts w:hint="cs"/>
          <w:rtl/>
        </w:rPr>
        <w:t>ۡ</w:t>
      </w:r>
      <w:r w:rsidR="00E77B3F" w:rsidRPr="00DF7CAE">
        <w:rPr>
          <w:rStyle w:val="Char3"/>
          <w:rFonts w:hint="eastAsia"/>
          <w:rtl/>
        </w:rPr>
        <w:t>رَى</w:t>
      </w:r>
      <w:r w:rsidR="00E77B3F" w:rsidRPr="00DF7CAE">
        <w:rPr>
          <w:rStyle w:val="Char3"/>
          <w:rFonts w:hint="cs"/>
          <w:rtl/>
        </w:rPr>
        <w:t>ٰ</w:t>
      </w:r>
      <w:r w:rsidR="00E77B3F" w:rsidRPr="00DF7CAE">
        <w:rPr>
          <w:rStyle w:val="Char3"/>
          <w:rtl/>
        </w:rPr>
        <w:t xml:space="preserve"> </w:t>
      </w:r>
      <w:r w:rsidR="00E77B3F" w:rsidRPr="00DF7CAE">
        <w:rPr>
          <w:rStyle w:val="Char3"/>
          <w:rFonts w:hint="eastAsia"/>
          <w:rtl/>
        </w:rPr>
        <w:t>حَتَّى</w:t>
      </w:r>
      <w:r w:rsidR="00E77B3F" w:rsidRPr="00DF7CAE">
        <w:rPr>
          <w:rStyle w:val="Char3"/>
          <w:rFonts w:hint="cs"/>
          <w:rtl/>
        </w:rPr>
        <w:t>ٰ</w:t>
      </w:r>
      <w:r w:rsidR="00E77B3F" w:rsidRPr="00DF7CAE">
        <w:rPr>
          <w:rStyle w:val="Char3"/>
          <w:rtl/>
        </w:rPr>
        <w:t xml:space="preserve"> </w:t>
      </w:r>
      <w:r w:rsidR="00E77B3F" w:rsidRPr="00DF7CAE">
        <w:rPr>
          <w:rStyle w:val="Char3"/>
          <w:rFonts w:hint="eastAsia"/>
          <w:rtl/>
        </w:rPr>
        <w:t>يُث</w:t>
      </w:r>
      <w:r w:rsidR="00E77B3F" w:rsidRPr="00DF7CAE">
        <w:rPr>
          <w:rStyle w:val="Char3"/>
          <w:rFonts w:hint="cs"/>
          <w:rtl/>
        </w:rPr>
        <w:t>ۡ</w:t>
      </w:r>
      <w:r w:rsidR="00E77B3F" w:rsidRPr="00DF7CAE">
        <w:rPr>
          <w:rStyle w:val="Char3"/>
          <w:rFonts w:hint="eastAsia"/>
          <w:rtl/>
        </w:rPr>
        <w:t>خِنَ</w:t>
      </w:r>
      <w:r w:rsidR="00E77B3F" w:rsidRPr="00DF7CAE">
        <w:rPr>
          <w:rStyle w:val="Char3"/>
          <w:rtl/>
        </w:rPr>
        <w:t xml:space="preserve"> </w:t>
      </w:r>
      <w:r w:rsidR="00E77B3F" w:rsidRPr="00DF7CAE">
        <w:rPr>
          <w:rStyle w:val="Char3"/>
          <w:rFonts w:hint="eastAsia"/>
          <w:rtl/>
        </w:rPr>
        <w:t>فِي</w:t>
      </w:r>
      <w:r w:rsidR="00E77B3F" w:rsidRPr="00DF7CAE">
        <w:rPr>
          <w:rStyle w:val="Char3"/>
          <w:rtl/>
        </w:rPr>
        <w:t xml:space="preserve"> </w:t>
      </w:r>
      <w:r w:rsidR="00E77B3F" w:rsidRPr="00DF7CAE">
        <w:rPr>
          <w:rStyle w:val="Char3"/>
          <w:rFonts w:hint="cs"/>
          <w:rtl/>
        </w:rPr>
        <w:t>ٱ</w:t>
      </w:r>
      <w:r w:rsidR="00E77B3F" w:rsidRPr="00DF7CAE">
        <w:rPr>
          <w:rStyle w:val="Char3"/>
          <w:rFonts w:hint="eastAsia"/>
          <w:rtl/>
        </w:rPr>
        <w:t>ل</w:t>
      </w:r>
      <w:r w:rsidR="00E77B3F" w:rsidRPr="00DF7CAE">
        <w:rPr>
          <w:rStyle w:val="Char3"/>
          <w:rFonts w:hint="cs"/>
          <w:rtl/>
        </w:rPr>
        <w:t>ۡ</w:t>
      </w:r>
      <w:r w:rsidR="00E77B3F" w:rsidRPr="00DF7CAE">
        <w:rPr>
          <w:rStyle w:val="Char3"/>
          <w:rFonts w:hint="eastAsia"/>
          <w:rtl/>
        </w:rPr>
        <w:t>أَر</w:t>
      </w:r>
      <w:r w:rsidR="00E77B3F" w:rsidRPr="00DF7CAE">
        <w:rPr>
          <w:rStyle w:val="Char3"/>
          <w:rFonts w:hint="cs"/>
          <w:rtl/>
        </w:rPr>
        <w:t>ۡ</w:t>
      </w:r>
      <w:r w:rsidR="00E77B3F" w:rsidRPr="00DF7CAE">
        <w:rPr>
          <w:rStyle w:val="Char3"/>
          <w:rFonts w:hint="eastAsia"/>
          <w:rtl/>
        </w:rPr>
        <w:t>ضِ</w:t>
      </w:r>
      <w:r w:rsidR="00E77B3F" w:rsidRPr="00995B26">
        <w:rPr>
          <w:rFonts w:ascii="KFGQPC Uthmanic Script HAFS" w:cs="Times New Roman" w:hint="cs"/>
          <w:sz w:val="28"/>
          <w:rtl/>
          <w:lang w:bidi="fa-IR"/>
        </w:rPr>
        <w:t>...</w:t>
      </w:r>
      <w:r w:rsidR="00E77B3F" w:rsidRPr="00995B26">
        <w:rPr>
          <w:rFonts w:ascii="Abo-thar" w:hAnsi="Abo-thar" w:cs="Traditional Arabic" w:hint="cs"/>
          <w:sz w:val="28"/>
          <w:rtl/>
        </w:rPr>
        <w:t>﴾</w:t>
      </w:r>
      <w:r w:rsidRPr="00995B26">
        <w:rPr>
          <w:rFonts w:ascii="Abo-thar" w:hAnsi="Abo-thar" w:hint="cs"/>
          <w:sz w:val="28"/>
          <w:rtl/>
        </w:rPr>
        <w:t xml:space="preserve"> </w:t>
      </w:r>
      <w:r w:rsidRPr="00FC12FD">
        <w:rPr>
          <w:rStyle w:val="Char2"/>
          <w:rtl/>
        </w:rPr>
        <w:t>[الأنفال</w:t>
      </w:r>
      <w:r w:rsidR="00E77B3F" w:rsidRPr="00FC12FD">
        <w:rPr>
          <w:rStyle w:val="Char2"/>
          <w:rFonts w:hint="cs"/>
          <w:rtl/>
        </w:rPr>
        <w:t xml:space="preserve">: </w:t>
      </w:r>
      <w:r w:rsidRPr="00FC12FD">
        <w:rPr>
          <w:rStyle w:val="Char2"/>
          <w:rFonts w:hint="cs"/>
          <w:rtl/>
        </w:rPr>
        <w:t>67</w:t>
      </w:r>
      <w:r w:rsidRPr="00FC12FD">
        <w:rPr>
          <w:rStyle w:val="Char2"/>
          <w:rtl/>
        </w:rPr>
        <w:t>]</w:t>
      </w:r>
      <w:r w:rsidR="00217AB4" w:rsidRPr="00995B26">
        <w:rPr>
          <w:rFonts w:ascii="Abo-thar" w:hAnsi="Abo-thar" w:hint="cs"/>
          <w:sz w:val="28"/>
          <w:rtl/>
        </w:rPr>
        <w:t>.</w:t>
      </w:r>
    </w:p>
    <w:p w:rsidR="005C664D" w:rsidRPr="003F3B94" w:rsidRDefault="005C664D" w:rsidP="003F3B94">
      <w:pPr>
        <w:pStyle w:val="a0"/>
        <w:rPr>
          <w:rFonts w:hint="cs"/>
          <w:rtl/>
        </w:rPr>
      </w:pPr>
      <w:r w:rsidRPr="003F3B94">
        <w:rPr>
          <w:rFonts w:ascii="Abo-thar" w:hAnsi="Abo-thar" w:hint="cs"/>
          <w:sz w:val="28"/>
          <w:rtl/>
        </w:rPr>
        <w:t>ج</w:t>
      </w:r>
      <w:r w:rsidR="00217AB4" w:rsidRPr="003F3B94">
        <w:rPr>
          <w:rFonts w:ascii="Abo-thar" w:hAnsi="Abo-thar" w:hint="cs"/>
          <w:sz w:val="28"/>
          <w:rtl/>
        </w:rPr>
        <w:t>-</w:t>
      </w:r>
      <w:r w:rsidR="00147857" w:rsidRPr="003F3B94">
        <w:rPr>
          <w:rFonts w:ascii="Abo-thar" w:hAnsi="Abo-thar" w:hint="cs"/>
          <w:sz w:val="28"/>
          <w:rtl/>
        </w:rPr>
        <w:t xml:space="preserve"> </w:t>
      </w:r>
      <w:r w:rsidRPr="003F3B94">
        <w:rPr>
          <w:rFonts w:ascii="Abo-thar" w:hAnsi="Abo-thar" w:hint="cs"/>
          <w:sz w:val="28"/>
          <w:rtl/>
        </w:rPr>
        <w:t>وذكرت كلمة «الغنائم» في سورة الفتح أيضاً في قوله عز من قائل</w:t>
      </w:r>
      <w:r w:rsidR="00217AB4" w:rsidRPr="003F3B94">
        <w:rPr>
          <w:rFonts w:ascii="Abo-thar" w:hAnsi="Abo-thar" w:hint="cs"/>
          <w:sz w:val="28"/>
          <w:rtl/>
        </w:rPr>
        <w:t>:</w:t>
      </w:r>
      <w:r w:rsidRPr="003F3B94">
        <w:rPr>
          <w:rFonts w:ascii="Abo-thar" w:hAnsi="Abo-thar" w:hint="cs"/>
          <w:sz w:val="28"/>
          <w:rtl/>
        </w:rPr>
        <w:t xml:space="preserve"> </w:t>
      </w:r>
    </w:p>
    <w:p w:rsidR="005C664D" w:rsidRPr="003F3B94" w:rsidRDefault="00E77B3F" w:rsidP="001C4E46">
      <w:pPr>
        <w:pStyle w:val="a0"/>
        <w:rPr>
          <w:rFonts w:hint="cs"/>
          <w:rtl/>
        </w:rPr>
      </w:pPr>
      <w:r w:rsidRPr="00995B26">
        <w:rPr>
          <w:rFonts w:ascii="Abo-thar" w:hAnsi="Abo-thar" w:cs="Traditional Arabic" w:hint="cs"/>
          <w:sz w:val="28"/>
          <w:rtl/>
        </w:rPr>
        <w:t>﴿</w:t>
      </w:r>
      <w:r w:rsidRPr="001C4E46">
        <w:rPr>
          <w:rFonts w:ascii="KFGQPC Uthmanic Script HAFS" w:cs="KFGQPC Uthmanic Script HAFS" w:hint="eastAsia"/>
          <w:sz w:val="28"/>
          <w:szCs w:val="28"/>
          <w:rtl/>
        </w:rPr>
        <w:t>سَيَقُولُ</w:t>
      </w:r>
      <w:r w:rsidRPr="001C4E46">
        <w:rPr>
          <w:rFonts w:ascii="KFGQPC Uthmanic Script HAFS" w:cs="KFGQPC Uthmanic Script HAFS"/>
          <w:sz w:val="28"/>
          <w:szCs w:val="28"/>
          <w:rtl/>
        </w:rPr>
        <w:t xml:space="preserve"> </w:t>
      </w:r>
      <w:r w:rsidRPr="001C4E46">
        <w:rPr>
          <w:rFonts w:ascii="KFGQPC Uthmanic Script HAFS" w:cs="KFGQPC Uthmanic Script HAFS" w:hint="cs"/>
          <w:sz w:val="28"/>
          <w:szCs w:val="28"/>
          <w:rtl/>
        </w:rPr>
        <w:t>ٱ</w:t>
      </w:r>
      <w:r w:rsidRPr="001C4E46">
        <w:rPr>
          <w:rFonts w:ascii="KFGQPC Uthmanic Script HAFS" w:cs="KFGQPC Uthmanic Script HAFS" w:hint="eastAsia"/>
          <w:sz w:val="28"/>
          <w:szCs w:val="28"/>
          <w:rtl/>
        </w:rPr>
        <w:t>ل</w:t>
      </w:r>
      <w:r w:rsidRPr="001C4E46">
        <w:rPr>
          <w:rFonts w:ascii="KFGQPC Uthmanic Script HAFS" w:cs="KFGQPC Uthmanic Script HAFS" w:hint="cs"/>
          <w:sz w:val="28"/>
          <w:szCs w:val="28"/>
          <w:rtl/>
        </w:rPr>
        <w:t>ۡ</w:t>
      </w:r>
      <w:r w:rsidRPr="001C4E46">
        <w:rPr>
          <w:rFonts w:ascii="KFGQPC Uthmanic Script HAFS" w:cs="KFGQPC Uthmanic Script HAFS" w:hint="eastAsia"/>
          <w:sz w:val="28"/>
          <w:szCs w:val="28"/>
          <w:rtl/>
        </w:rPr>
        <w:t>مُخَلَّفُونَ</w:t>
      </w:r>
      <w:r w:rsidRPr="001C4E46">
        <w:rPr>
          <w:rFonts w:ascii="KFGQPC Uthmanic Script HAFS" w:cs="KFGQPC Uthmanic Script HAFS"/>
          <w:sz w:val="28"/>
          <w:szCs w:val="28"/>
          <w:rtl/>
        </w:rPr>
        <w:t xml:space="preserve"> </w:t>
      </w:r>
      <w:r w:rsidRPr="001C4E46">
        <w:rPr>
          <w:rFonts w:ascii="KFGQPC Uthmanic Script HAFS" w:cs="KFGQPC Uthmanic Script HAFS" w:hint="eastAsia"/>
          <w:sz w:val="28"/>
          <w:szCs w:val="28"/>
          <w:rtl/>
        </w:rPr>
        <w:t>إِذَا</w:t>
      </w:r>
      <w:r w:rsidRPr="001C4E46">
        <w:rPr>
          <w:rFonts w:ascii="KFGQPC Uthmanic Script HAFS" w:cs="KFGQPC Uthmanic Script HAFS"/>
          <w:sz w:val="28"/>
          <w:szCs w:val="28"/>
          <w:rtl/>
        </w:rPr>
        <w:t xml:space="preserve"> </w:t>
      </w:r>
      <w:r w:rsidRPr="001C4E46">
        <w:rPr>
          <w:rFonts w:ascii="KFGQPC Uthmanic Script HAFS" w:cs="KFGQPC Uthmanic Script HAFS" w:hint="cs"/>
          <w:sz w:val="28"/>
          <w:szCs w:val="28"/>
          <w:rtl/>
        </w:rPr>
        <w:t>ٱ</w:t>
      </w:r>
      <w:r w:rsidRPr="001C4E46">
        <w:rPr>
          <w:rFonts w:ascii="KFGQPC Uthmanic Script HAFS" w:cs="KFGQPC Uthmanic Script HAFS" w:hint="eastAsia"/>
          <w:sz w:val="28"/>
          <w:szCs w:val="28"/>
          <w:rtl/>
        </w:rPr>
        <w:t>نطَلَق</w:t>
      </w:r>
      <w:r w:rsidRPr="001C4E46">
        <w:rPr>
          <w:rFonts w:ascii="KFGQPC Uthmanic Script HAFS" w:cs="KFGQPC Uthmanic Script HAFS" w:hint="cs"/>
          <w:sz w:val="28"/>
          <w:szCs w:val="28"/>
          <w:rtl/>
        </w:rPr>
        <w:t>ۡ</w:t>
      </w:r>
      <w:r w:rsidRPr="001C4E46">
        <w:rPr>
          <w:rFonts w:ascii="KFGQPC Uthmanic Script HAFS" w:cs="KFGQPC Uthmanic Script HAFS" w:hint="eastAsia"/>
          <w:sz w:val="28"/>
          <w:szCs w:val="28"/>
          <w:rtl/>
        </w:rPr>
        <w:t>تُم</w:t>
      </w:r>
      <w:r w:rsidRPr="001C4E46">
        <w:rPr>
          <w:rFonts w:ascii="KFGQPC Uthmanic Script HAFS" w:cs="KFGQPC Uthmanic Script HAFS" w:hint="cs"/>
          <w:sz w:val="28"/>
          <w:szCs w:val="28"/>
          <w:rtl/>
        </w:rPr>
        <w:t>ۡ</w:t>
      </w:r>
      <w:r w:rsidRPr="001C4E46">
        <w:rPr>
          <w:rFonts w:ascii="KFGQPC Uthmanic Script HAFS" w:cs="KFGQPC Uthmanic Script HAFS"/>
          <w:sz w:val="28"/>
          <w:szCs w:val="28"/>
          <w:rtl/>
        </w:rPr>
        <w:t xml:space="preserve"> </w:t>
      </w:r>
      <w:r w:rsidRPr="001C4E46">
        <w:rPr>
          <w:rFonts w:ascii="KFGQPC Uthmanic Script HAFS" w:cs="KFGQPC Uthmanic Script HAFS" w:hint="eastAsia"/>
          <w:sz w:val="28"/>
          <w:szCs w:val="28"/>
          <w:rtl/>
        </w:rPr>
        <w:t>إِلَى</w:t>
      </w:r>
      <w:r w:rsidRPr="001C4E46">
        <w:rPr>
          <w:rFonts w:ascii="KFGQPC Uthmanic Script HAFS" w:cs="KFGQPC Uthmanic Script HAFS" w:hint="cs"/>
          <w:sz w:val="28"/>
          <w:szCs w:val="28"/>
          <w:rtl/>
        </w:rPr>
        <w:t>ٰ</w:t>
      </w:r>
      <w:r w:rsidRPr="001C4E46">
        <w:rPr>
          <w:rFonts w:ascii="KFGQPC Uthmanic Script HAFS" w:cs="KFGQPC Uthmanic Script HAFS"/>
          <w:sz w:val="28"/>
          <w:szCs w:val="28"/>
          <w:rtl/>
        </w:rPr>
        <w:t xml:space="preserve"> </w:t>
      </w:r>
      <w:r w:rsidRPr="001C4E46">
        <w:rPr>
          <w:rFonts w:ascii="KFGQPC Uthmanic Script HAFS" w:cs="KFGQPC Uthmanic Script HAFS" w:hint="eastAsia"/>
          <w:sz w:val="28"/>
          <w:szCs w:val="28"/>
          <w:rtl/>
        </w:rPr>
        <w:t>مَغَانِمَ</w:t>
      </w:r>
      <w:r w:rsidRPr="001C4E46">
        <w:rPr>
          <w:rFonts w:ascii="KFGQPC Uthmanic Script HAFS" w:cs="KFGQPC Uthmanic Script HAFS"/>
          <w:sz w:val="28"/>
          <w:szCs w:val="28"/>
          <w:rtl/>
        </w:rPr>
        <w:t xml:space="preserve"> </w:t>
      </w:r>
      <w:r w:rsidRPr="001C4E46">
        <w:rPr>
          <w:rFonts w:ascii="KFGQPC Uthmanic Script HAFS" w:cs="KFGQPC Uthmanic Script HAFS" w:hint="eastAsia"/>
          <w:sz w:val="28"/>
          <w:szCs w:val="28"/>
          <w:rtl/>
        </w:rPr>
        <w:t>لِتَأ</w:t>
      </w:r>
      <w:r w:rsidRPr="001C4E46">
        <w:rPr>
          <w:rFonts w:ascii="KFGQPC Uthmanic Script HAFS" w:cs="KFGQPC Uthmanic Script HAFS" w:hint="cs"/>
          <w:sz w:val="28"/>
          <w:szCs w:val="28"/>
          <w:rtl/>
        </w:rPr>
        <w:t>ۡ</w:t>
      </w:r>
      <w:r w:rsidRPr="001C4E46">
        <w:rPr>
          <w:rFonts w:ascii="KFGQPC Uthmanic Script HAFS" w:cs="KFGQPC Uthmanic Script HAFS" w:hint="eastAsia"/>
          <w:sz w:val="28"/>
          <w:szCs w:val="28"/>
          <w:rtl/>
        </w:rPr>
        <w:t>خُذُوهَا</w:t>
      </w:r>
      <w:r w:rsidRPr="001C4E46">
        <w:rPr>
          <w:rFonts w:ascii="KFGQPC Uthmanic Script HAFS" w:cs="KFGQPC Uthmanic Script HAFS"/>
          <w:sz w:val="28"/>
          <w:szCs w:val="28"/>
          <w:rtl/>
        </w:rPr>
        <w:t xml:space="preserve"> </w:t>
      </w:r>
      <w:r w:rsidRPr="001C4E46">
        <w:rPr>
          <w:rFonts w:ascii="KFGQPC Uthmanic Script HAFS" w:cs="KFGQPC Uthmanic Script HAFS" w:hint="eastAsia"/>
          <w:sz w:val="28"/>
          <w:szCs w:val="28"/>
          <w:rtl/>
        </w:rPr>
        <w:t>ذَرُونَا</w:t>
      </w:r>
      <w:r w:rsidRPr="001C4E46">
        <w:rPr>
          <w:rFonts w:ascii="KFGQPC Uthmanic Script HAFS" w:cs="KFGQPC Uthmanic Script HAFS"/>
          <w:sz w:val="28"/>
          <w:szCs w:val="28"/>
          <w:rtl/>
        </w:rPr>
        <w:t xml:space="preserve"> </w:t>
      </w:r>
      <w:r w:rsidRPr="001C4E46">
        <w:rPr>
          <w:rFonts w:ascii="KFGQPC Uthmanic Script HAFS" w:cs="KFGQPC Uthmanic Script HAFS" w:hint="eastAsia"/>
          <w:sz w:val="28"/>
          <w:szCs w:val="28"/>
          <w:rtl/>
        </w:rPr>
        <w:t>نَتَّبِع</w:t>
      </w:r>
      <w:r w:rsidRPr="001C4E46">
        <w:rPr>
          <w:rFonts w:ascii="KFGQPC Uthmanic Script HAFS" w:cs="KFGQPC Uthmanic Script HAFS" w:hint="cs"/>
          <w:sz w:val="28"/>
          <w:szCs w:val="28"/>
          <w:rtl/>
        </w:rPr>
        <w:t>ۡ</w:t>
      </w:r>
      <w:r w:rsidRPr="001C4E46">
        <w:rPr>
          <w:rFonts w:ascii="KFGQPC Uthmanic Script HAFS" w:cs="KFGQPC Uthmanic Script HAFS" w:hint="eastAsia"/>
          <w:sz w:val="28"/>
          <w:szCs w:val="28"/>
          <w:rtl/>
        </w:rPr>
        <w:t>كُم</w:t>
      </w:r>
      <w:r w:rsidRPr="001C4E46">
        <w:rPr>
          <w:rFonts w:ascii="KFGQPC Uthmanic Script HAFS" w:cs="KFGQPC Uthmanic Script HAFS" w:hint="cs"/>
          <w:sz w:val="28"/>
          <w:szCs w:val="28"/>
          <w:rtl/>
        </w:rPr>
        <w:t>ۡ</w:t>
      </w:r>
      <w:r w:rsidR="001C4E46">
        <w:rPr>
          <w:rFonts w:ascii="Abo-thar" w:hAnsi="Abo-thar" w:cs="Traditional Arabic" w:hint="cs"/>
          <w:sz w:val="28"/>
          <w:rtl/>
        </w:rPr>
        <w:t>...</w:t>
      </w:r>
      <w:r w:rsidRPr="00995B26">
        <w:rPr>
          <w:rFonts w:ascii="Abo-thar" w:hAnsi="Abo-thar" w:cs="Traditional Arabic" w:hint="cs"/>
          <w:sz w:val="28"/>
          <w:rtl/>
        </w:rPr>
        <w:t>﴾</w:t>
      </w:r>
      <w:r w:rsidR="005C664D" w:rsidRPr="003F3B94">
        <w:rPr>
          <w:rFonts w:ascii="Abo-thar" w:hAnsi="Abo-thar" w:hint="cs"/>
          <w:sz w:val="28"/>
          <w:rtl/>
        </w:rPr>
        <w:t xml:space="preserve"> </w:t>
      </w:r>
      <w:r w:rsidR="005C664D" w:rsidRPr="00FC12FD">
        <w:rPr>
          <w:rStyle w:val="Char2"/>
          <w:rtl/>
        </w:rPr>
        <w:t>[الفتح</w:t>
      </w:r>
      <w:r w:rsidRPr="00FC12FD">
        <w:rPr>
          <w:rStyle w:val="Char2"/>
          <w:rFonts w:hint="cs"/>
          <w:rtl/>
        </w:rPr>
        <w:t>:</w:t>
      </w:r>
      <w:r w:rsidR="005C664D" w:rsidRPr="00FC12FD">
        <w:rPr>
          <w:rStyle w:val="Char2"/>
          <w:rtl/>
        </w:rPr>
        <w:t>15]</w:t>
      </w:r>
      <w:r w:rsidRPr="003F3B94">
        <w:rPr>
          <w:rFonts w:ascii="Abo-thar" w:hAnsi="Abo-thar" w:hint="cs"/>
          <w:sz w:val="28"/>
          <w:rtl/>
        </w:rPr>
        <w:t>.</w:t>
      </w:r>
    </w:p>
    <w:p w:rsidR="005C664D" w:rsidRPr="003F3B94" w:rsidRDefault="005C664D" w:rsidP="003F3B94">
      <w:pPr>
        <w:pStyle w:val="a0"/>
        <w:rPr>
          <w:rFonts w:hint="cs"/>
          <w:rtl/>
        </w:rPr>
      </w:pPr>
      <w:r w:rsidRPr="003F3B94">
        <w:rPr>
          <w:rFonts w:ascii="Abo-thar" w:hAnsi="Abo-thar" w:hint="cs"/>
          <w:sz w:val="28"/>
          <w:rtl/>
        </w:rPr>
        <w:t>وجميع الآيات السابقة على هذه الآية من سورة الفتح تتكلم بشكل عام عن واقعة الحديبية والبشارة بفتح مكة</w:t>
      </w:r>
      <w:r w:rsidR="00147857" w:rsidRPr="003F3B94">
        <w:rPr>
          <w:rFonts w:ascii="Abo-thar" w:hAnsi="Abo-thar" w:hint="cs"/>
          <w:sz w:val="28"/>
          <w:rtl/>
        </w:rPr>
        <w:t xml:space="preserve"> و</w:t>
      </w:r>
      <w:r w:rsidRPr="003F3B94">
        <w:rPr>
          <w:rFonts w:ascii="Abo-thar" w:hAnsi="Abo-thar" w:hint="cs"/>
          <w:sz w:val="28"/>
          <w:rtl/>
        </w:rPr>
        <w:t>إشارة إلى ما سيمنحه الله للمسلمين من مغانم في معركة حُنَيْن وأمثال ذلك</w:t>
      </w:r>
      <w:r w:rsidR="00217AB4" w:rsidRPr="003F3B94">
        <w:rPr>
          <w:rFonts w:ascii="Abo-thar" w:hAnsi="Abo-thar" w:hint="cs"/>
          <w:sz w:val="28"/>
          <w:rtl/>
        </w:rPr>
        <w:t>.</w:t>
      </w:r>
      <w:r w:rsidRPr="003F3B94">
        <w:rPr>
          <w:rFonts w:ascii="Abo-thar" w:hAnsi="Abo-thar" w:hint="cs"/>
          <w:sz w:val="28"/>
          <w:rtl/>
        </w:rPr>
        <w:t xml:space="preserve"> والآيات التالية للآية المذكورة تتعلق أيضاً بموضوعات الحرب والمتخلفين عن القتال وعن الأنصار والمجاهدين في سبيل الله</w:t>
      </w:r>
      <w:r w:rsidR="00217AB4" w:rsidRPr="003F3B94">
        <w:rPr>
          <w:rFonts w:ascii="Abo-thar" w:hAnsi="Abo-thar" w:hint="cs"/>
          <w:sz w:val="28"/>
          <w:rtl/>
        </w:rPr>
        <w:t>.</w:t>
      </w:r>
    </w:p>
    <w:p w:rsidR="00E77B3F" w:rsidRPr="003F3B94" w:rsidRDefault="005C664D" w:rsidP="003F3B94">
      <w:pPr>
        <w:pStyle w:val="a0"/>
        <w:rPr>
          <w:rFonts w:hint="cs"/>
          <w:rtl/>
        </w:rPr>
      </w:pPr>
      <w:r w:rsidRPr="003F3B94">
        <w:rPr>
          <w:rFonts w:ascii="Abo-thar" w:hAnsi="Abo-thar" w:hint="cs"/>
          <w:sz w:val="28"/>
          <w:rtl/>
        </w:rPr>
        <w:t>د</w:t>
      </w:r>
      <w:r w:rsidR="00147857" w:rsidRPr="003F3B94">
        <w:rPr>
          <w:rFonts w:ascii="Abo-thar" w:hAnsi="Abo-thar" w:hint="cs"/>
          <w:sz w:val="28"/>
          <w:rtl/>
        </w:rPr>
        <w:t xml:space="preserve"> </w:t>
      </w:r>
      <w:r w:rsidR="00217AB4" w:rsidRPr="003F3B94">
        <w:rPr>
          <w:rFonts w:ascii="Abo-thar" w:hAnsi="Abo-thar" w:hint="cs"/>
          <w:sz w:val="28"/>
          <w:rtl/>
        </w:rPr>
        <w:t>-</w:t>
      </w:r>
      <w:r w:rsidR="00147857" w:rsidRPr="003F3B94">
        <w:rPr>
          <w:rFonts w:ascii="Abo-thar" w:hAnsi="Abo-thar" w:hint="cs"/>
          <w:sz w:val="28"/>
          <w:rtl/>
        </w:rPr>
        <w:t xml:space="preserve"> </w:t>
      </w:r>
      <w:r w:rsidRPr="003F3B94">
        <w:rPr>
          <w:rFonts w:ascii="Abo-thar" w:hAnsi="Abo-thar" w:hint="cs"/>
          <w:sz w:val="28"/>
          <w:rtl/>
        </w:rPr>
        <w:t>وجاءت كلمة «مغانم» في سورة النساء أيضاً في قوله تعالى</w:t>
      </w:r>
      <w:r w:rsidR="00217AB4" w:rsidRPr="003F3B94">
        <w:rPr>
          <w:rFonts w:ascii="Abo-thar" w:hAnsi="Abo-thar" w:hint="cs"/>
          <w:sz w:val="28"/>
          <w:rtl/>
        </w:rPr>
        <w:t>:</w:t>
      </w:r>
    </w:p>
    <w:p w:rsidR="005C664D" w:rsidRPr="003F3B94" w:rsidRDefault="00E77B3F" w:rsidP="003F3B94">
      <w:pPr>
        <w:pStyle w:val="a0"/>
        <w:rPr>
          <w:rFonts w:hint="cs"/>
          <w:rtl/>
        </w:rPr>
      </w:pPr>
      <w:r w:rsidRPr="00995B26">
        <w:rPr>
          <w:rFonts w:ascii="Abo-thar" w:hAnsi="Abo-thar" w:cs="Traditional Arabic" w:hint="cs"/>
          <w:sz w:val="28"/>
          <w:rtl/>
        </w:rPr>
        <w:t>﴿</w:t>
      </w:r>
      <w:r w:rsidRPr="00DF7CAE">
        <w:rPr>
          <w:rStyle w:val="Char3"/>
          <w:rFonts w:hint="eastAsia"/>
          <w:rtl/>
        </w:rPr>
        <w:t>يَ</w:t>
      </w:r>
      <w:r w:rsidRPr="00DF7CAE">
        <w:rPr>
          <w:rStyle w:val="Char3"/>
          <w:rFonts w:hint="cs"/>
          <w:rtl/>
        </w:rPr>
        <w:t>ٰٓ</w:t>
      </w:r>
      <w:r w:rsidRPr="00DF7CAE">
        <w:rPr>
          <w:rStyle w:val="Char3"/>
          <w:rFonts w:hint="eastAsia"/>
          <w:rtl/>
        </w:rPr>
        <w:t>أَيُّهَا</w:t>
      </w:r>
      <w:r w:rsidRPr="00DF7CAE">
        <w:rPr>
          <w:rStyle w:val="Char3"/>
          <w:rtl/>
        </w:rPr>
        <w:t xml:space="preserve"> </w:t>
      </w:r>
      <w:r w:rsidRPr="00DF7CAE">
        <w:rPr>
          <w:rStyle w:val="Char3"/>
          <w:rFonts w:hint="cs"/>
          <w:rtl/>
        </w:rPr>
        <w:t>ٱ</w:t>
      </w:r>
      <w:r w:rsidRPr="00DF7CAE">
        <w:rPr>
          <w:rStyle w:val="Char3"/>
          <w:rFonts w:hint="eastAsia"/>
          <w:rtl/>
        </w:rPr>
        <w:t>لَّذِينَ</w:t>
      </w:r>
      <w:r w:rsidRPr="00DF7CAE">
        <w:rPr>
          <w:rStyle w:val="Char3"/>
          <w:rtl/>
        </w:rPr>
        <w:t xml:space="preserve"> </w:t>
      </w:r>
      <w:r w:rsidRPr="00DF7CAE">
        <w:rPr>
          <w:rStyle w:val="Char3"/>
          <w:rFonts w:hint="eastAsia"/>
          <w:rtl/>
        </w:rPr>
        <w:t>ءَامَنُو</w:t>
      </w:r>
      <w:r w:rsidRPr="00DF7CAE">
        <w:rPr>
          <w:rStyle w:val="Char3"/>
          <w:rFonts w:hint="cs"/>
          <w:rtl/>
        </w:rPr>
        <w:t>ٓ</w:t>
      </w:r>
      <w:r w:rsidRPr="00DF7CAE">
        <w:rPr>
          <w:rStyle w:val="Char3"/>
          <w:rFonts w:hint="eastAsia"/>
          <w:rtl/>
        </w:rPr>
        <w:t>اْ</w:t>
      </w:r>
      <w:r w:rsidRPr="00DF7CAE">
        <w:rPr>
          <w:rStyle w:val="Char3"/>
          <w:rtl/>
        </w:rPr>
        <w:t xml:space="preserve"> </w:t>
      </w:r>
      <w:r w:rsidRPr="00DF7CAE">
        <w:rPr>
          <w:rStyle w:val="Char3"/>
          <w:rFonts w:hint="eastAsia"/>
          <w:rtl/>
        </w:rPr>
        <w:t>إِذَا</w:t>
      </w:r>
      <w:r w:rsidRPr="00DF7CAE">
        <w:rPr>
          <w:rStyle w:val="Char3"/>
          <w:rtl/>
        </w:rPr>
        <w:t xml:space="preserve"> </w:t>
      </w:r>
      <w:r w:rsidRPr="00DF7CAE">
        <w:rPr>
          <w:rStyle w:val="Char3"/>
          <w:rFonts w:hint="eastAsia"/>
          <w:rtl/>
        </w:rPr>
        <w:t>ضَرَب</w:t>
      </w:r>
      <w:r w:rsidRPr="00DF7CAE">
        <w:rPr>
          <w:rStyle w:val="Char3"/>
          <w:rFonts w:hint="cs"/>
          <w:rtl/>
        </w:rPr>
        <w:t>ۡ</w:t>
      </w:r>
      <w:r w:rsidRPr="00DF7CAE">
        <w:rPr>
          <w:rStyle w:val="Char3"/>
          <w:rFonts w:hint="eastAsia"/>
          <w:rtl/>
        </w:rPr>
        <w:t>تُم</w:t>
      </w:r>
      <w:r w:rsidRPr="00DF7CAE">
        <w:rPr>
          <w:rStyle w:val="Char3"/>
          <w:rFonts w:hint="cs"/>
          <w:rtl/>
        </w:rPr>
        <w:t>ۡ</w:t>
      </w:r>
      <w:r w:rsidRPr="00DF7CAE">
        <w:rPr>
          <w:rStyle w:val="Char3"/>
          <w:rtl/>
        </w:rPr>
        <w:t xml:space="preserve"> </w:t>
      </w:r>
      <w:r w:rsidRPr="00DF7CAE">
        <w:rPr>
          <w:rStyle w:val="Char3"/>
          <w:rFonts w:hint="eastAsia"/>
          <w:rtl/>
        </w:rPr>
        <w:t>فِي</w:t>
      </w:r>
      <w:r w:rsidRPr="00DF7CAE">
        <w:rPr>
          <w:rStyle w:val="Char3"/>
          <w:rtl/>
        </w:rPr>
        <w:t xml:space="preserve"> </w:t>
      </w:r>
      <w:r w:rsidRPr="00DF7CAE">
        <w:rPr>
          <w:rStyle w:val="Char3"/>
          <w:rFonts w:hint="eastAsia"/>
          <w:rtl/>
        </w:rPr>
        <w:t>سَبِيلِ</w:t>
      </w:r>
      <w:r w:rsidRPr="00DF7CAE">
        <w:rPr>
          <w:rStyle w:val="Char3"/>
          <w:rtl/>
        </w:rPr>
        <w:t xml:space="preserve"> </w:t>
      </w:r>
      <w:r w:rsidRPr="00DF7CAE">
        <w:rPr>
          <w:rStyle w:val="Char3"/>
          <w:rFonts w:hint="cs"/>
          <w:rtl/>
        </w:rPr>
        <w:t>ٱ</w:t>
      </w:r>
      <w:r w:rsidRPr="00DF7CAE">
        <w:rPr>
          <w:rStyle w:val="Char3"/>
          <w:rFonts w:hint="eastAsia"/>
          <w:rtl/>
        </w:rPr>
        <w:t>للَّهِ</w:t>
      </w:r>
      <w:r w:rsidRPr="00DF7CAE">
        <w:rPr>
          <w:rStyle w:val="Char3"/>
          <w:rtl/>
        </w:rPr>
        <w:t xml:space="preserve"> </w:t>
      </w:r>
      <w:r w:rsidRPr="00DF7CAE">
        <w:rPr>
          <w:rStyle w:val="Char3"/>
          <w:rFonts w:hint="eastAsia"/>
          <w:rtl/>
        </w:rPr>
        <w:t>فَتَبَيَّنُواْ</w:t>
      </w:r>
      <w:r w:rsidRPr="00DF7CAE">
        <w:rPr>
          <w:rStyle w:val="Char3"/>
          <w:rtl/>
        </w:rPr>
        <w:t xml:space="preserve"> </w:t>
      </w:r>
      <w:r w:rsidRPr="00DF7CAE">
        <w:rPr>
          <w:rStyle w:val="Char3"/>
          <w:rFonts w:hint="eastAsia"/>
          <w:rtl/>
        </w:rPr>
        <w:t>وَلَا</w:t>
      </w:r>
      <w:r w:rsidRPr="00DF7CAE">
        <w:rPr>
          <w:rStyle w:val="Char3"/>
          <w:rtl/>
        </w:rPr>
        <w:t xml:space="preserve"> </w:t>
      </w:r>
      <w:r w:rsidRPr="00DF7CAE">
        <w:rPr>
          <w:rStyle w:val="Char3"/>
          <w:rFonts w:hint="eastAsia"/>
          <w:rtl/>
        </w:rPr>
        <w:t>تَقُولُواْ</w:t>
      </w:r>
      <w:r w:rsidRPr="00DF7CAE">
        <w:rPr>
          <w:rStyle w:val="Char3"/>
          <w:rtl/>
        </w:rPr>
        <w:t xml:space="preserve"> </w:t>
      </w:r>
      <w:r w:rsidRPr="00DF7CAE">
        <w:rPr>
          <w:rStyle w:val="Char3"/>
          <w:rFonts w:hint="eastAsia"/>
          <w:rtl/>
        </w:rPr>
        <w:t>لِمَن</w:t>
      </w:r>
      <w:r w:rsidRPr="00DF7CAE">
        <w:rPr>
          <w:rStyle w:val="Char3"/>
          <w:rFonts w:hint="cs"/>
          <w:rtl/>
        </w:rPr>
        <w:t>ۡ</w:t>
      </w:r>
      <w:r w:rsidRPr="00DF7CAE">
        <w:rPr>
          <w:rStyle w:val="Char3"/>
          <w:rtl/>
        </w:rPr>
        <w:t xml:space="preserve"> </w:t>
      </w:r>
      <w:r w:rsidRPr="00DF7CAE">
        <w:rPr>
          <w:rStyle w:val="Char3"/>
          <w:rFonts w:hint="eastAsia"/>
          <w:rtl/>
        </w:rPr>
        <w:t>أَل</w:t>
      </w:r>
      <w:r w:rsidRPr="00DF7CAE">
        <w:rPr>
          <w:rStyle w:val="Char3"/>
          <w:rFonts w:hint="cs"/>
          <w:rtl/>
        </w:rPr>
        <w:t>ۡ</w:t>
      </w:r>
      <w:r w:rsidRPr="00DF7CAE">
        <w:rPr>
          <w:rStyle w:val="Char3"/>
          <w:rFonts w:hint="eastAsia"/>
          <w:rtl/>
        </w:rPr>
        <w:t>قَى</w:t>
      </w:r>
      <w:r w:rsidRPr="00DF7CAE">
        <w:rPr>
          <w:rStyle w:val="Char3"/>
          <w:rFonts w:hint="cs"/>
          <w:rtl/>
        </w:rPr>
        <w:t>ٰٓ</w:t>
      </w:r>
      <w:r w:rsidRPr="00DF7CAE">
        <w:rPr>
          <w:rStyle w:val="Char3"/>
          <w:rtl/>
        </w:rPr>
        <w:t xml:space="preserve"> </w:t>
      </w:r>
      <w:r w:rsidRPr="00DF7CAE">
        <w:rPr>
          <w:rStyle w:val="Char3"/>
          <w:rFonts w:hint="eastAsia"/>
          <w:rtl/>
        </w:rPr>
        <w:t>إِلَي</w:t>
      </w:r>
      <w:r w:rsidRPr="00DF7CAE">
        <w:rPr>
          <w:rStyle w:val="Char3"/>
          <w:rFonts w:hint="cs"/>
          <w:rtl/>
        </w:rPr>
        <w:t>ۡ</w:t>
      </w:r>
      <w:r w:rsidRPr="00DF7CAE">
        <w:rPr>
          <w:rStyle w:val="Char3"/>
          <w:rFonts w:hint="eastAsia"/>
          <w:rtl/>
        </w:rPr>
        <w:t>كُمُ</w:t>
      </w:r>
      <w:r w:rsidRPr="00DF7CAE">
        <w:rPr>
          <w:rStyle w:val="Char3"/>
          <w:rtl/>
        </w:rPr>
        <w:t xml:space="preserve"> </w:t>
      </w:r>
      <w:r w:rsidRPr="00DF7CAE">
        <w:rPr>
          <w:rStyle w:val="Char3"/>
          <w:rFonts w:hint="cs"/>
          <w:rtl/>
        </w:rPr>
        <w:t>ٱ</w:t>
      </w:r>
      <w:r w:rsidRPr="00DF7CAE">
        <w:rPr>
          <w:rStyle w:val="Char3"/>
          <w:rFonts w:hint="eastAsia"/>
          <w:rtl/>
        </w:rPr>
        <w:t>لسَّلَ</w:t>
      </w:r>
      <w:r w:rsidRPr="00DF7CAE">
        <w:rPr>
          <w:rStyle w:val="Char3"/>
          <w:rFonts w:hint="cs"/>
          <w:rtl/>
        </w:rPr>
        <w:t>ٰ</w:t>
      </w:r>
      <w:r w:rsidRPr="00DF7CAE">
        <w:rPr>
          <w:rStyle w:val="Char3"/>
          <w:rFonts w:hint="eastAsia"/>
          <w:rtl/>
        </w:rPr>
        <w:t>مَ</w:t>
      </w:r>
      <w:r w:rsidRPr="00DF7CAE">
        <w:rPr>
          <w:rStyle w:val="Char3"/>
          <w:rtl/>
        </w:rPr>
        <w:t xml:space="preserve"> </w:t>
      </w:r>
      <w:r w:rsidRPr="00DF7CAE">
        <w:rPr>
          <w:rStyle w:val="Char3"/>
          <w:rFonts w:hint="eastAsia"/>
          <w:rtl/>
        </w:rPr>
        <w:t>لَس</w:t>
      </w:r>
      <w:r w:rsidRPr="00DF7CAE">
        <w:rPr>
          <w:rStyle w:val="Char3"/>
          <w:rFonts w:hint="cs"/>
          <w:rtl/>
        </w:rPr>
        <w:t>ۡ</w:t>
      </w:r>
      <w:r w:rsidRPr="00DF7CAE">
        <w:rPr>
          <w:rStyle w:val="Char3"/>
          <w:rFonts w:hint="eastAsia"/>
          <w:rtl/>
        </w:rPr>
        <w:t>تَ</w:t>
      </w:r>
      <w:r w:rsidRPr="00DF7CAE">
        <w:rPr>
          <w:rStyle w:val="Char3"/>
          <w:rtl/>
        </w:rPr>
        <w:t xml:space="preserve"> </w:t>
      </w:r>
      <w:r w:rsidRPr="00DF7CAE">
        <w:rPr>
          <w:rStyle w:val="Char3"/>
          <w:rFonts w:hint="eastAsia"/>
          <w:rtl/>
        </w:rPr>
        <w:t>مُؤ</w:t>
      </w:r>
      <w:r w:rsidRPr="00DF7CAE">
        <w:rPr>
          <w:rStyle w:val="Char3"/>
          <w:rFonts w:hint="cs"/>
          <w:rtl/>
        </w:rPr>
        <w:t>ۡ</w:t>
      </w:r>
      <w:r w:rsidRPr="00DF7CAE">
        <w:rPr>
          <w:rStyle w:val="Char3"/>
          <w:rFonts w:hint="eastAsia"/>
          <w:rtl/>
        </w:rPr>
        <w:t>مِن</w:t>
      </w:r>
      <w:r w:rsidRPr="00DF7CAE">
        <w:rPr>
          <w:rStyle w:val="Char3"/>
          <w:rFonts w:hint="cs"/>
          <w:rtl/>
        </w:rPr>
        <w:t>ٗ</w:t>
      </w:r>
      <w:r w:rsidRPr="00DF7CAE">
        <w:rPr>
          <w:rStyle w:val="Char3"/>
          <w:rFonts w:hint="eastAsia"/>
          <w:rtl/>
        </w:rPr>
        <w:t>ا</w:t>
      </w:r>
      <w:r w:rsidRPr="00DF7CAE">
        <w:rPr>
          <w:rStyle w:val="Char3"/>
          <w:rtl/>
        </w:rPr>
        <w:t xml:space="preserve"> </w:t>
      </w:r>
      <w:r w:rsidRPr="00DF7CAE">
        <w:rPr>
          <w:rStyle w:val="Char3"/>
          <w:rFonts w:hint="eastAsia"/>
          <w:rtl/>
        </w:rPr>
        <w:t>تَب</w:t>
      </w:r>
      <w:r w:rsidRPr="00DF7CAE">
        <w:rPr>
          <w:rStyle w:val="Char3"/>
          <w:rFonts w:hint="cs"/>
          <w:rtl/>
        </w:rPr>
        <w:t>ۡ</w:t>
      </w:r>
      <w:r w:rsidRPr="00DF7CAE">
        <w:rPr>
          <w:rStyle w:val="Char3"/>
          <w:rFonts w:hint="eastAsia"/>
          <w:rtl/>
        </w:rPr>
        <w:t>تَغُونَ</w:t>
      </w:r>
      <w:r w:rsidRPr="00DF7CAE">
        <w:rPr>
          <w:rStyle w:val="Char3"/>
          <w:rtl/>
        </w:rPr>
        <w:t xml:space="preserve"> </w:t>
      </w:r>
      <w:r w:rsidRPr="00DF7CAE">
        <w:rPr>
          <w:rStyle w:val="Char3"/>
          <w:rFonts w:hint="eastAsia"/>
          <w:rtl/>
        </w:rPr>
        <w:t>عَرَضَ</w:t>
      </w:r>
      <w:r w:rsidRPr="00DF7CAE">
        <w:rPr>
          <w:rStyle w:val="Char3"/>
          <w:rtl/>
        </w:rPr>
        <w:t xml:space="preserve"> </w:t>
      </w:r>
      <w:r w:rsidRPr="00DF7CAE">
        <w:rPr>
          <w:rStyle w:val="Char3"/>
          <w:rFonts w:hint="cs"/>
          <w:rtl/>
        </w:rPr>
        <w:t>ٱ</w:t>
      </w:r>
      <w:r w:rsidRPr="00DF7CAE">
        <w:rPr>
          <w:rStyle w:val="Char3"/>
          <w:rFonts w:hint="eastAsia"/>
          <w:rtl/>
        </w:rPr>
        <w:t>ل</w:t>
      </w:r>
      <w:r w:rsidRPr="00DF7CAE">
        <w:rPr>
          <w:rStyle w:val="Char3"/>
          <w:rFonts w:hint="cs"/>
          <w:rtl/>
        </w:rPr>
        <w:t>ۡ</w:t>
      </w:r>
      <w:r w:rsidRPr="00DF7CAE">
        <w:rPr>
          <w:rStyle w:val="Char3"/>
          <w:rFonts w:hint="eastAsia"/>
          <w:rtl/>
        </w:rPr>
        <w:t>حَيَو</w:t>
      </w:r>
      <w:r w:rsidRPr="00DF7CAE">
        <w:rPr>
          <w:rStyle w:val="Char3"/>
          <w:rFonts w:hint="cs"/>
          <w:rtl/>
        </w:rPr>
        <w:t>ٰ</w:t>
      </w:r>
      <w:r w:rsidRPr="00DF7CAE">
        <w:rPr>
          <w:rStyle w:val="Char3"/>
          <w:rFonts w:hint="eastAsia"/>
          <w:rtl/>
        </w:rPr>
        <w:t>ةِ</w:t>
      </w:r>
      <w:r w:rsidRPr="00DF7CAE">
        <w:rPr>
          <w:rStyle w:val="Char3"/>
          <w:rtl/>
        </w:rPr>
        <w:t xml:space="preserve"> </w:t>
      </w:r>
      <w:r w:rsidRPr="00DF7CAE">
        <w:rPr>
          <w:rStyle w:val="Char3"/>
          <w:rFonts w:hint="cs"/>
          <w:rtl/>
        </w:rPr>
        <w:t>ٱ</w:t>
      </w:r>
      <w:r w:rsidRPr="00DF7CAE">
        <w:rPr>
          <w:rStyle w:val="Char3"/>
          <w:rFonts w:hint="eastAsia"/>
          <w:rtl/>
        </w:rPr>
        <w:t>لدُّن</w:t>
      </w:r>
      <w:r w:rsidRPr="00DF7CAE">
        <w:rPr>
          <w:rStyle w:val="Char3"/>
          <w:rFonts w:hint="cs"/>
          <w:rtl/>
        </w:rPr>
        <w:t>ۡ</w:t>
      </w:r>
      <w:r w:rsidRPr="00DF7CAE">
        <w:rPr>
          <w:rStyle w:val="Char3"/>
          <w:rFonts w:hint="eastAsia"/>
          <w:rtl/>
        </w:rPr>
        <w:t>يَا</w:t>
      </w:r>
      <w:r w:rsidRPr="00DF7CAE">
        <w:rPr>
          <w:rStyle w:val="Char3"/>
          <w:rtl/>
        </w:rPr>
        <w:t xml:space="preserve"> </w:t>
      </w:r>
      <w:r w:rsidRPr="00DF7CAE">
        <w:rPr>
          <w:rStyle w:val="Char3"/>
          <w:rFonts w:hint="eastAsia"/>
          <w:rtl/>
        </w:rPr>
        <w:t>فَعِندَ</w:t>
      </w:r>
      <w:r w:rsidRPr="00DF7CAE">
        <w:rPr>
          <w:rStyle w:val="Char3"/>
          <w:rtl/>
        </w:rPr>
        <w:t xml:space="preserve"> </w:t>
      </w:r>
      <w:r w:rsidRPr="00DF7CAE">
        <w:rPr>
          <w:rStyle w:val="Char3"/>
          <w:rFonts w:hint="cs"/>
          <w:rtl/>
        </w:rPr>
        <w:t>ٱ</w:t>
      </w:r>
      <w:r w:rsidRPr="00DF7CAE">
        <w:rPr>
          <w:rStyle w:val="Char3"/>
          <w:rFonts w:hint="eastAsia"/>
          <w:rtl/>
        </w:rPr>
        <w:t>للَّهِ</w:t>
      </w:r>
      <w:r w:rsidRPr="00DF7CAE">
        <w:rPr>
          <w:rStyle w:val="Char3"/>
          <w:rtl/>
        </w:rPr>
        <w:t xml:space="preserve"> </w:t>
      </w:r>
      <w:r w:rsidRPr="00DF7CAE">
        <w:rPr>
          <w:rStyle w:val="Char3"/>
          <w:rFonts w:hint="eastAsia"/>
          <w:rtl/>
        </w:rPr>
        <w:t>مَغَانِمُ</w:t>
      </w:r>
      <w:r w:rsidRPr="00DF7CAE">
        <w:rPr>
          <w:rStyle w:val="Char3"/>
          <w:rtl/>
        </w:rPr>
        <w:t xml:space="preserve"> </w:t>
      </w:r>
      <w:r w:rsidRPr="00DF7CAE">
        <w:rPr>
          <w:rStyle w:val="Char3"/>
          <w:rFonts w:hint="eastAsia"/>
          <w:rtl/>
        </w:rPr>
        <w:t>كَثِيرَة</w:t>
      </w:r>
      <w:r w:rsidRPr="00DF7CAE">
        <w:rPr>
          <w:rStyle w:val="Char3"/>
          <w:rFonts w:hint="cs"/>
          <w:rtl/>
        </w:rPr>
        <w:t>ٞ</w:t>
      </w:r>
      <w:r w:rsidRPr="00995B26">
        <w:rPr>
          <w:rFonts w:ascii="KFGQPC Uthmanic Script HAFS" w:cs="Times New Roman" w:hint="cs"/>
          <w:rtl/>
        </w:rPr>
        <w:t>...</w:t>
      </w:r>
      <w:r w:rsidRPr="00995B26">
        <w:rPr>
          <w:rFonts w:ascii="Abo-thar" w:hAnsi="Abo-thar" w:cs="Traditional Arabic" w:hint="cs"/>
          <w:sz w:val="28"/>
          <w:rtl/>
        </w:rPr>
        <w:t>﴾</w:t>
      </w:r>
      <w:r w:rsidR="005C664D" w:rsidRPr="003F3B94">
        <w:rPr>
          <w:rFonts w:ascii="Abo-thar" w:hAnsi="Abo-thar" w:hint="cs"/>
          <w:sz w:val="28"/>
          <w:rtl/>
        </w:rPr>
        <w:t xml:space="preserve"> </w:t>
      </w:r>
      <w:r w:rsidR="005C664D" w:rsidRPr="00FC12FD">
        <w:rPr>
          <w:rStyle w:val="Char2"/>
          <w:rtl/>
        </w:rPr>
        <w:t>[النساء</w:t>
      </w:r>
      <w:r w:rsidR="001E728D" w:rsidRPr="00FC12FD">
        <w:rPr>
          <w:rStyle w:val="Char2"/>
          <w:rFonts w:hint="cs"/>
          <w:rtl/>
        </w:rPr>
        <w:t>:</w:t>
      </w:r>
      <w:r w:rsidR="005C664D" w:rsidRPr="00FC12FD">
        <w:rPr>
          <w:rStyle w:val="Char2"/>
          <w:rtl/>
        </w:rPr>
        <w:t>94]</w:t>
      </w:r>
      <w:r w:rsidR="00217AB4" w:rsidRPr="003F3B94">
        <w:rPr>
          <w:rFonts w:ascii="Abo-thar" w:hAnsi="Abo-thar" w:hint="cs"/>
          <w:sz w:val="28"/>
          <w:rtl/>
        </w:rPr>
        <w:t>.</w:t>
      </w:r>
      <w:r w:rsidR="005C664D" w:rsidRPr="003F3B94">
        <w:rPr>
          <w:rFonts w:ascii="Abo-thar" w:hAnsi="Abo-thar" w:hint="cs"/>
          <w:sz w:val="28"/>
          <w:rtl/>
        </w:rPr>
        <w:t xml:space="preserve"> </w:t>
      </w:r>
    </w:p>
    <w:p w:rsidR="005C664D" w:rsidRPr="00995B26" w:rsidRDefault="005C664D" w:rsidP="003F3B94">
      <w:pPr>
        <w:pStyle w:val="a0"/>
        <w:rPr>
          <w:rFonts w:hint="cs"/>
          <w:rtl/>
        </w:rPr>
      </w:pPr>
      <w:r w:rsidRPr="003F3B94">
        <w:rPr>
          <w:rFonts w:ascii="Abo-thar" w:hAnsi="Abo-thar" w:hint="cs"/>
          <w:sz w:val="28"/>
          <w:rtl/>
        </w:rPr>
        <w:t>هنا إضافة لكون نص الآية ذاته شاهد على أن هذا الحكم متعلق بالحرب والقتال</w:t>
      </w:r>
      <w:r w:rsidR="00217AB4" w:rsidRPr="003F3B94">
        <w:rPr>
          <w:rFonts w:ascii="Abo-thar" w:hAnsi="Abo-thar" w:hint="cs"/>
          <w:sz w:val="28"/>
          <w:rtl/>
        </w:rPr>
        <w:t>،</w:t>
      </w:r>
      <w:r w:rsidRPr="003F3B94">
        <w:rPr>
          <w:rFonts w:ascii="Abo-thar" w:hAnsi="Abo-thar" w:hint="cs"/>
          <w:sz w:val="28"/>
          <w:rtl/>
        </w:rPr>
        <w:t xml:space="preserve"> فإن الآيات التي تسبق هذه الآية المباركة بدءاً من الآية 71 فما بعد بل حتى ما قبل ذلك تتعلق جميعاً بأحكام الحرب والدفاع</w:t>
      </w:r>
      <w:r w:rsidR="00147857" w:rsidRPr="003F3B94">
        <w:rPr>
          <w:rFonts w:ascii="Abo-thar" w:hAnsi="Abo-thar" w:hint="cs"/>
          <w:sz w:val="28"/>
          <w:rtl/>
        </w:rPr>
        <w:t xml:space="preserve"> و</w:t>
      </w:r>
      <w:r w:rsidRPr="003F3B94">
        <w:rPr>
          <w:rFonts w:ascii="Abo-thar" w:hAnsi="Abo-thar" w:hint="cs"/>
          <w:sz w:val="28"/>
          <w:rtl/>
        </w:rPr>
        <w:t>قتل العمد</w:t>
      </w:r>
      <w:r w:rsidR="00147857" w:rsidRPr="003F3B94">
        <w:rPr>
          <w:rFonts w:ascii="Abo-thar" w:hAnsi="Abo-thar" w:hint="cs"/>
          <w:sz w:val="28"/>
          <w:rtl/>
        </w:rPr>
        <w:t xml:space="preserve"> و</w:t>
      </w:r>
      <w:r w:rsidRPr="003F3B94">
        <w:rPr>
          <w:rFonts w:ascii="Abo-thar" w:hAnsi="Abo-thar" w:hint="cs"/>
          <w:sz w:val="28"/>
          <w:rtl/>
        </w:rPr>
        <w:t>قتل الخطأ</w:t>
      </w:r>
      <w:r w:rsidR="00217AB4" w:rsidRPr="003F3B94">
        <w:rPr>
          <w:rFonts w:ascii="Abo-thar" w:hAnsi="Abo-thar" w:hint="cs"/>
          <w:sz w:val="28"/>
          <w:rtl/>
        </w:rPr>
        <w:t>.</w:t>
      </w:r>
      <w:r w:rsidRPr="003F3B94">
        <w:rPr>
          <w:rFonts w:ascii="Abo-thar" w:hAnsi="Abo-thar" w:hint="cs"/>
          <w:sz w:val="28"/>
          <w:rtl/>
        </w:rPr>
        <w:t xml:space="preserve"> ثم الآيات التي تتلو الآية المذكورة مباشرةً تتكلم أيضاً عن أحكام الحرب والقتال</w:t>
      </w:r>
      <w:r w:rsidR="00217AB4" w:rsidRPr="003F3B94">
        <w:rPr>
          <w:rFonts w:ascii="Abo-thar" w:hAnsi="Abo-thar" w:hint="cs"/>
          <w:sz w:val="28"/>
          <w:rtl/>
        </w:rPr>
        <w:t>،</w:t>
      </w:r>
      <w:r w:rsidRPr="003F3B94">
        <w:rPr>
          <w:rFonts w:ascii="Abo-thar" w:hAnsi="Abo-thar" w:hint="cs"/>
          <w:sz w:val="28"/>
          <w:rtl/>
        </w:rPr>
        <w:t xml:space="preserve"> كما يقول تعالى</w:t>
      </w:r>
      <w:r w:rsidR="00217AB4" w:rsidRPr="003F3B94">
        <w:rPr>
          <w:rFonts w:ascii="Abo-thar" w:hAnsi="Abo-thar" w:hint="cs"/>
          <w:sz w:val="28"/>
          <w:rtl/>
        </w:rPr>
        <w:t>:</w:t>
      </w:r>
      <w:r w:rsidR="00E77B3F" w:rsidRPr="003F3B94">
        <w:rPr>
          <w:rFonts w:ascii="Abo-thar" w:hAnsi="Abo-thar" w:hint="cs"/>
          <w:sz w:val="28"/>
          <w:rtl/>
        </w:rPr>
        <w:t xml:space="preserve"> </w:t>
      </w:r>
      <w:r w:rsidR="00E77B3F" w:rsidRPr="00995B26">
        <w:rPr>
          <w:rFonts w:cs="Traditional Arabic"/>
          <w:w w:val="99"/>
          <w:rtl/>
          <w:lang w:bidi="fa-IR"/>
        </w:rPr>
        <w:t>﴿</w:t>
      </w:r>
      <w:r w:rsidR="00E77B3F" w:rsidRPr="00DF7CAE">
        <w:rPr>
          <w:rStyle w:val="Char3"/>
          <w:rFonts w:hint="eastAsia"/>
          <w:rtl/>
        </w:rPr>
        <w:t>لَّا</w:t>
      </w:r>
      <w:r w:rsidR="00E77B3F" w:rsidRPr="00DF7CAE">
        <w:rPr>
          <w:rStyle w:val="Char3"/>
          <w:rFonts w:hint="cs"/>
          <w:rtl/>
        </w:rPr>
        <w:t xml:space="preserve"> </w:t>
      </w:r>
      <w:r w:rsidR="00E77B3F" w:rsidRPr="00DF7CAE">
        <w:rPr>
          <w:rStyle w:val="Char3"/>
          <w:rFonts w:hint="eastAsia"/>
          <w:rtl/>
        </w:rPr>
        <w:t>يَس</w:t>
      </w:r>
      <w:r w:rsidR="00E77B3F" w:rsidRPr="00DF7CAE">
        <w:rPr>
          <w:rStyle w:val="Char3"/>
          <w:rFonts w:hint="cs"/>
          <w:rtl/>
        </w:rPr>
        <w:t>ۡ</w:t>
      </w:r>
      <w:r w:rsidR="00E77B3F" w:rsidRPr="00DF7CAE">
        <w:rPr>
          <w:rStyle w:val="Char3"/>
          <w:rFonts w:hint="eastAsia"/>
          <w:rtl/>
        </w:rPr>
        <w:t>تَوِي</w:t>
      </w:r>
      <w:r w:rsidR="00E77B3F" w:rsidRPr="00DF7CAE">
        <w:rPr>
          <w:rStyle w:val="Char3"/>
          <w:rtl/>
        </w:rPr>
        <w:t xml:space="preserve"> </w:t>
      </w:r>
      <w:r w:rsidR="00E77B3F" w:rsidRPr="00DF7CAE">
        <w:rPr>
          <w:rStyle w:val="Char3"/>
          <w:rFonts w:hint="cs"/>
          <w:rtl/>
        </w:rPr>
        <w:t>ٱ</w:t>
      </w:r>
      <w:r w:rsidR="00E77B3F" w:rsidRPr="00DF7CAE">
        <w:rPr>
          <w:rStyle w:val="Char3"/>
          <w:rFonts w:hint="eastAsia"/>
          <w:rtl/>
        </w:rPr>
        <w:t>ل</w:t>
      </w:r>
      <w:r w:rsidR="00E77B3F" w:rsidRPr="00DF7CAE">
        <w:rPr>
          <w:rStyle w:val="Char3"/>
          <w:rFonts w:hint="cs"/>
          <w:rtl/>
        </w:rPr>
        <w:t>ۡ</w:t>
      </w:r>
      <w:r w:rsidR="00E77B3F" w:rsidRPr="00DF7CAE">
        <w:rPr>
          <w:rStyle w:val="Char3"/>
          <w:rFonts w:hint="eastAsia"/>
          <w:rtl/>
        </w:rPr>
        <w:t>قَ</w:t>
      </w:r>
      <w:r w:rsidR="00E77B3F" w:rsidRPr="00DF7CAE">
        <w:rPr>
          <w:rStyle w:val="Char3"/>
          <w:rFonts w:hint="cs"/>
          <w:rtl/>
        </w:rPr>
        <w:t>ٰ</w:t>
      </w:r>
      <w:r w:rsidR="00E77B3F" w:rsidRPr="00DF7CAE">
        <w:rPr>
          <w:rStyle w:val="Char3"/>
          <w:rFonts w:hint="eastAsia"/>
          <w:rtl/>
        </w:rPr>
        <w:t>عِدُونَ</w:t>
      </w:r>
      <w:r w:rsidR="00E77B3F" w:rsidRPr="00DF7CAE">
        <w:rPr>
          <w:rStyle w:val="Char3"/>
          <w:rtl/>
        </w:rPr>
        <w:t xml:space="preserve"> </w:t>
      </w:r>
      <w:r w:rsidR="00E77B3F" w:rsidRPr="00DF7CAE">
        <w:rPr>
          <w:rStyle w:val="Char3"/>
          <w:rFonts w:hint="eastAsia"/>
          <w:rtl/>
        </w:rPr>
        <w:t>مِنَ</w:t>
      </w:r>
      <w:r w:rsidR="00E77B3F" w:rsidRPr="00DF7CAE">
        <w:rPr>
          <w:rStyle w:val="Char3"/>
          <w:rtl/>
        </w:rPr>
        <w:t xml:space="preserve"> </w:t>
      </w:r>
      <w:r w:rsidR="00E77B3F" w:rsidRPr="00DF7CAE">
        <w:rPr>
          <w:rStyle w:val="Char3"/>
          <w:rFonts w:hint="cs"/>
          <w:rtl/>
        </w:rPr>
        <w:t>ٱ</w:t>
      </w:r>
      <w:r w:rsidR="00E77B3F" w:rsidRPr="00DF7CAE">
        <w:rPr>
          <w:rStyle w:val="Char3"/>
          <w:rFonts w:hint="eastAsia"/>
          <w:rtl/>
        </w:rPr>
        <w:t>ل</w:t>
      </w:r>
      <w:r w:rsidR="00E77B3F" w:rsidRPr="00DF7CAE">
        <w:rPr>
          <w:rStyle w:val="Char3"/>
          <w:rFonts w:hint="cs"/>
          <w:rtl/>
        </w:rPr>
        <w:t>ۡ</w:t>
      </w:r>
      <w:r w:rsidR="00E77B3F" w:rsidRPr="00DF7CAE">
        <w:rPr>
          <w:rStyle w:val="Char3"/>
          <w:rFonts w:hint="eastAsia"/>
          <w:rtl/>
        </w:rPr>
        <w:t>مُؤ</w:t>
      </w:r>
      <w:r w:rsidR="00E77B3F" w:rsidRPr="00DF7CAE">
        <w:rPr>
          <w:rStyle w:val="Char3"/>
          <w:rFonts w:hint="cs"/>
          <w:rtl/>
        </w:rPr>
        <w:t>ۡ</w:t>
      </w:r>
      <w:r w:rsidR="00E77B3F" w:rsidRPr="00DF7CAE">
        <w:rPr>
          <w:rStyle w:val="Char3"/>
          <w:rFonts w:hint="eastAsia"/>
          <w:rtl/>
        </w:rPr>
        <w:t>مِنِينَ</w:t>
      </w:r>
      <w:r w:rsidR="00E77B3F" w:rsidRPr="00DF7CAE">
        <w:rPr>
          <w:rStyle w:val="Char3"/>
          <w:rtl/>
        </w:rPr>
        <w:t xml:space="preserve"> </w:t>
      </w:r>
      <w:r w:rsidR="00E77B3F" w:rsidRPr="00DF7CAE">
        <w:rPr>
          <w:rStyle w:val="Char3"/>
          <w:rFonts w:hint="eastAsia"/>
          <w:rtl/>
        </w:rPr>
        <w:t>غَي</w:t>
      </w:r>
      <w:r w:rsidR="00E77B3F" w:rsidRPr="00DF7CAE">
        <w:rPr>
          <w:rStyle w:val="Char3"/>
          <w:rFonts w:hint="cs"/>
          <w:rtl/>
        </w:rPr>
        <w:t>ۡ</w:t>
      </w:r>
      <w:r w:rsidR="00E77B3F" w:rsidRPr="00DF7CAE">
        <w:rPr>
          <w:rStyle w:val="Char3"/>
          <w:rFonts w:hint="eastAsia"/>
          <w:rtl/>
        </w:rPr>
        <w:t>رُ</w:t>
      </w:r>
      <w:r w:rsidR="00E77B3F" w:rsidRPr="00DF7CAE">
        <w:rPr>
          <w:rStyle w:val="Char3"/>
          <w:rtl/>
        </w:rPr>
        <w:t xml:space="preserve"> </w:t>
      </w:r>
      <w:r w:rsidR="00E77B3F" w:rsidRPr="00DF7CAE">
        <w:rPr>
          <w:rStyle w:val="Char3"/>
          <w:rFonts w:hint="eastAsia"/>
          <w:rtl/>
        </w:rPr>
        <w:t>أُوْلِي</w:t>
      </w:r>
      <w:r w:rsidR="00E77B3F" w:rsidRPr="00DF7CAE">
        <w:rPr>
          <w:rStyle w:val="Char3"/>
          <w:rtl/>
        </w:rPr>
        <w:t xml:space="preserve"> </w:t>
      </w:r>
      <w:r w:rsidR="00E77B3F" w:rsidRPr="00DF7CAE">
        <w:rPr>
          <w:rStyle w:val="Char3"/>
          <w:rFonts w:hint="cs"/>
          <w:rtl/>
        </w:rPr>
        <w:t>ٱ</w:t>
      </w:r>
      <w:r w:rsidR="00E77B3F" w:rsidRPr="00DF7CAE">
        <w:rPr>
          <w:rStyle w:val="Char3"/>
          <w:rFonts w:hint="eastAsia"/>
          <w:rtl/>
        </w:rPr>
        <w:t>لضَّرَرِ</w:t>
      </w:r>
      <w:r w:rsidR="00E77B3F" w:rsidRPr="00DF7CAE">
        <w:rPr>
          <w:rStyle w:val="Char3"/>
          <w:rtl/>
        </w:rPr>
        <w:t xml:space="preserve"> </w:t>
      </w:r>
      <w:r w:rsidR="00E77B3F" w:rsidRPr="00DF7CAE">
        <w:rPr>
          <w:rStyle w:val="Char3"/>
          <w:rFonts w:hint="eastAsia"/>
          <w:rtl/>
        </w:rPr>
        <w:t>وَ</w:t>
      </w:r>
      <w:r w:rsidR="00E77B3F" w:rsidRPr="00DF7CAE">
        <w:rPr>
          <w:rStyle w:val="Char3"/>
          <w:rFonts w:hint="cs"/>
          <w:rtl/>
        </w:rPr>
        <w:t>ٱ</w:t>
      </w:r>
      <w:r w:rsidR="00E77B3F" w:rsidRPr="00DF7CAE">
        <w:rPr>
          <w:rStyle w:val="Char3"/>
          <w:rFonts w:hint="eastAsia"/>
          <w:rtl/>
        </w:rPr>
        <w:t>ل</w:t>
      </w:r>
      <w:r w:rsidR="00E77B3F" w:rsidRPr="00DF7CAE">
        <w:rPr>
          <w:rStyle w:val="Char3"/>
          <w:rFonts w:hint="cs"/>
          <w:rtl/>
        </w:rPr>
        <w:t>ۡ</w:t>
      </w:r>
      <w:r w:rsidR="00E77B3F" w:rsidRPr="00DF7CAE">
        <w:rPr>
          <w:rStyle w:val="Char3"/>
          <w:rFonts w:hint="eastAsia"/>
          <w:rtl/>
        </w:rPr>
        <w:t>مُجَ</w:t>
      </w:r>
      <w:r w:rsidR="00E77B3F" w:rsidRPr="00DF7CAE">
        <w:rPr>
          <w:rStyle w:val="Char3"/>
          <w:rFonts w:hint="cs"/>
          <w:rtl/>
        </w:rPr>
        <w:t>ٰ</w:t>
      </w:r>
      <w:r w:rsidR="00E77B3F" w:rsidRPr="00DF7CAE">
        <w:rPr>
          <w:rStyle w:val="Char3"/>
          <w:rFonts w:hint="eastAsia"/>
          <w:rtl/>
        </w:rPr>
        <w:t>هِدُونَ</w:t>
      </w:r>
      <w:r w:rsidR="00E77B3F" w:rsidRPr="00DF7CAE">
        <w:rPr>
          <w:rStyle w:val="Char3"/>
          <w:rtl/>
        </w:rPr>
        <w:t xml:space="preserve"> </w:t>
      </w:r>
      <w:r w:rsidR="00E77B3F" w:rsidRPr="00DF7CAE">
        <w:rPr>
          <w:rStyle w:val="Char3"/>
          <w:rFonts w:hint="eastAsia"/>
          <w:rtl/>
        </w:rPr>
        <w:t>فِي</w:t>
      </w:r>
      <w:r w:rsidR="00E77B3F" w:rsidRPr="00DF7CAE">
        <w:rPr>
          <w:rStyle w:val="Char3"/>
          <w:rtl/>
        </w:rPr>
        <w:t xml:space="preserve"> </w:t>
      </w:r>
      <w:r w:rsidR="00E77B3F" w:rsidRPr="00DF7CAE">
        <w:rPr>
          <w:rStyle w:val="Char3"/>
          <w:rFonts w:hint="eastAsia"/>
          <w:rtl/>
        </w:rPr>
        <w:t>سَبِيلِ</w:t>
      </w:r>
      <w:r w:rsidR="00E77B3F" w:rsidRPr="00DF7CAE">
        <w:rPr>
          <w:rStyle w:val="Char3"/>
          <w:rtl/>
        </w:rPr>
        <w:t xml:space="preserve"> </w:t>
      </w:r>
      <w:r w:rsidR="00E77B3F" w:rsidRPr="00DF7CAE">
        <w:rPr>
          <w:rStyle w:val="Char3"/>
          <w:rFonts w:hint="cs"/>
          <w:rtl/>
        </w:rPr>
        <w:t>ٱ</w:t>
      </w:r>
      <w:r w:rsidR="00E77B3F" w:rsidRPr="00DF7CAE">
        <w:rPr>
          <w:rStyle w:val="Char3"/>
          <w:rFonts w:hint="eastAsia"/>
          <w:rtl/>
        </w:rPr>
        <w:t>للَّهِ</w:t>
      </w:r>
      <w:r w:rsidR="00E77B3F" w:rsidRPr="00DF7CAE">
        <w:rPr>
          <w:rStyle w:val="Char3"/>
          <w:rtl/>
        </w:rPr>
        <w:t xml:space="preserve"> </w:t>
      </w:r>
      <w:r w:rsidR="00E77B3F" w:rsidRPr="00DF7CAE">
        <w:rPr>
          <w:rStyle w:val="Char3"/>
          <w:rFonts w:hint="eastAsia"/>
          <w:rtl/>
        </w:rPr>
        <w:t>بِأَم</w:t>
      </w:r>
      <w:r w:rsidR="00E77B3F" w:rsidRPr="00DF7CAE">
        <w:rPr>
          <w:rStyle w:val="Char3"/>
          <w:rFonts w:hint="cs"/>
          <w:rtl/>
        </w:rPr>
        <w:t>ۡ</w:t>
      </w:r>
      <w:r w:rsidR="00E77B3F" w:rsidRPr="00DF7CAE">
        <w:rPr>
          <w:rStyle w:val="Char3"/>
          <w:rFonts w:hint="eastAsia"/>
          <w:rtl/>
        </w:rPr>
        <w:t>وَ</w:t>
      </w:r>
      <w:r w:rsidR="00E77B3F" w:rsidRPr="00DF7CAE">
        <w:rPr>
          <w:rStyle w:val="Char3"/>
          <w:rFonts w:hint="cs"/>
          <w:rtl/>
        </w:rPr>
        <w:t>ٰ</w:t>
      </w:r>
      <w:r w:rsidR="00E77B3F" w:rsidRPr="00DF7CAE">
        <w:rPr>
          <w:rStyle w:val="Char3"/>
          <w:rFonts w:hint="eastAsia"/>
          <w:rtl/>
        </w:rPr>
        <w:t>لِهِم</w:t>
      </w:r>
      <w:r w:rsidR="00E77B3F" w:rsidRPr="00DF7CAE">
        <w:rPr>
          <w:rStyle w:val="Char3"/>
          <w:rFonts w:hint="cs"/>
          <w:rtl/>
        </w:rPr>
        <w:t>ۡ</w:t>
      </w:r>
      <w:r w:rsidR="00E77B3F" w:rsidRPr="00DF7CAE">
        <w:rPr>
          <w:rStyle w:val="Char3"/>
          <w:rtl/>
        </w:rPr>
        <w:t xml:space="preserve"> </w:t>
      </w:r>
      <w:r w:rsidR="00E77B3F" w:rsidRPr="00DF7CAE">
        <w:rPr>
          <w:rStyle w:val="Char3"/>
          <w:rFonts w:hint="eastAsia"/>
          <w:rtl/>
        </w:rPr>
        <w:t>وَأَنفُسِهِم</w:t>
      </w:r>
      <w:r w:rsidR="00E77B3F" w:rsidRPr="00DF7CAE">
        <w:rPr>
          <w:rStyle w:val="Char3"/>
          <w:rFonts w:hint="cs"/>
          <w:rtl/>
        </w:rPr>
        <w:t>ۡۚ</w:t>
      </w:r>
      <w:r w:rsidR="00E77B3F" w:rsidRPr="00DF7CAE">
        <w:rPr>
          <w:rStyle w:val="Char3"/>
          <w:rtl/>
        </w:rPr>
        <w:t xml:space="preserve"> </w:t>
      </w:r>
      <w:r w:rsidR="00E77B3F" w:rsidRPr="00DF7CAE">
        <w:rPr>
          <w:rStyle w:val="Char3"/>
          <w:rFonts w:hint="eastAsia"/>
          <w:rtl/>
        </w:rPr>
        <w:t>فَضَّلَ</w:t>
      </w:r>
      <w:r w:rsidR="00E77B3F" w:rsidRPr="00DF7CAE">
        <w:rPr>
          <w:rStyle w:val="Char3"/>
          <w:rtl/>
        </w:rPr>
        <w:t xml:space="preserve"> </w:t>
      </w:r>
      <w:r w:rsidR="00E77B3F" w:rsidRPr="00DF7CAE">
        <w:rPr>
          <w:rStyle w:val="Char3"/>
          <w:rFonts w:hint="cs"/>
          <w:rtl/>
        </w:rPr>
        <w:t>ٱ</w:t>
      </w:r>
      <w:r w:rsidR="00E77B3F" w:rsidRPr="00DF7CAE">
        <w:rPr>
          <w:rStyle w:val="Char3"/>
          <w:rFonts w:hint="eastAsia"/>
          <w:rtl/>
        </w:rPr>
        <w:t>للَّهُ</w:t>
      </w:r>
      <w:r w:rsidR="00E77B3F" w:rsidRPr="00DF7CAE">
        <w:rPr>
          <w:rStyle w:val="Char3"/>
          <w:rtl/>
        </w:rPr>
        <w:t xml:space="preserve"> </w:t>
      </w:r>
      <w:r w:rsidR="00E77B3F" w:rsidRPr="00DF7CAE">
        <w:rPr>
          <w:rStyle w:val="Char3"/>
          <w:rFonts w:hint="cs"/>
          <w:rtl/>
        </w:rPr>
        <w:t>ٱ</w:t>
      </w:r>
      <w:r w:rsidR="00E77B3F" w:rsidRPr="00DF7CAE">
        <w:rPr>
          <w:rStyle w:val="Char3"/>
          <w:rFonts w:hint="eastAsia"/>
          <w:rtl/>
        </w:rPr>
        <w:t>ل</w:t>
      </w:r>
      <w:r w:rsidR="00E77B3F" w:rsidRPr="00DF7CAE">
        <w:rPr>
          <w:rStyle w:val="Char3"/>
          <w:rFonts w:hint="cs"/>
          <w:rtl/>
        </w:rPr>
        <w:t>ۡ</w:t>
      </w:r>
      <w:r w:rsidR="00E77B3F" w:rsidRPr="00DF7CAE">
        <w:rPr>
          <w:rStyle w:val="Char3"/>
          <w:rFonts w:hint="eastAsia"/>
          <w:rtl/>
        </w:rPr>
        <w:t>مُجَ</w:t>
      </w:r>
      <w:r w:rsidR="00E77B3F" w:rsidRPr="00DF7CAE">
        <w:rPr>
          <w:rStyle w:val="Char3"/>
          <w:rFonts w:hint="cs"/>
          <w:rtl/>
        </w:rPr>
        <w:t>ٰ</w:t>
      </w:r>
      <w:r w:rsidR="00E77B3F" w:rsidRPr="00DF7CAE">
        <w:rPr>
          <w:rStyle w:val="Char3"/>
          <w:rFonts w:hint="eastAsia"/>
          <w:rtl/>
        </w:rPr>
        <w:t>هِدِينَ</w:t>
      </w:r>
      <w:r w:rsidR="00E77B3F" w:rsidRPr="00DF7CAE">
        <w:rPr>
          <w:rStyle w:val="Char3"/>
          <w:rtl/>
        </w:rPr>
        <w:t xml:space="preserve"> </w:t>
      </w:r>
      <w:r w:rsidR="00E77B3F" w:rsidRPr="00DF7CAE">
        <w:rPr>
          <w:rStyle w:val="Char3"/>
          <w:rFonts w:hint="eastAsia"/>
          <w:rtl/>
        </w:rPr>
        <w:t>بِأَم</w:t>
      </w:r>
      <w:r w:rsidR="00E77B3F" w:rsidRPr="00DF7CAE">
        <w:rPr>
          <w:rStyle w:val="Char3"/>
          <w:rFonts w:hint="cs"/>
          <w:rtl/>
        </w:rPr>
        <w:t>ۡ</w:t>
      </w:r>
      <w:r w:rsidR="00E77B3F" w:rsidRPr="00DF7CAE">
        <w:rPr>
          <w:rStyle w:val="Char3"/>
          <w:rFonts w:hint="eastAsia"/>
          <w:rtl/>
        </w:rPr>
        <w:t>وَ</w:t>
      </w:r>
      <w:r w:rsidR="00E77B3F" w:rsidRPr="00DF7CAE">
        <w:rPr>
          <w:rStyle w:val="Char3"/>
          <w:rFonts w:hint="cs"/>
          <w:rtl/>
        </w:rPr>
        <w:t>ٰ</w:t>
      </w:r>
      <w:r w:rsidR="00E77B3F" w:rsidRPr="00DF7CAE">
        <w:rPr>
          <w:rStyle w:val="Char3"/>
          <w:rFonts w:hint="eastAsia"/>
          <w:rtl/>
        </w:rPr>
        <w:t>لِهِم</w:t>
      </w:r>
      <w:r w:rsidR="00E77B3F" w:rsidRPr="00DF7CAE">
        <w:rPr>
          <w:rStyle w:val="Char3"/>
          <w:rFonts w:hint="cs"/>
          <w:rtl/>
        </w:rPr>
        <w:t>ۡ</w:t>
      </w:r>
      <w:r w:rsidR="00E77B3F" w:rsidRPr="00DF7CAE">
        <w:rPr>
          <w:rStyle w:val="Char3"/>
          <w:rtl/>
        </w:rPr>
        <w:t xml:space="preserve"> </w:t>
      </w:r>
      <w:r w:rsidR="00E77B3F" w:rsidRPr="00DF7CAE">
        <w:rPr>
          <w:rStyle w:val="Char3"/>
          <w:rFonts w:hint="eastAsia"/>
          <w:rtl/>
        </w:rPr>
        <w:t>وَأَنفُسِهِم</w:t>
      </w:r>
      <w:r w:rsidR="00E77B3F" w:rsidRPr="00DF7CAE">
        <w:rPr>
          <w:rStyle w:val="Char3"/>
          <w:rFonts w:hint="cs"/>
          <w:rtl/>
        </w:rPr>
        <w:t>ۡ</w:t>
      </w:r>
      <w:r w:rsidR="00E77B3F" w:rsidRPr="00DF7CAE">
        <w:rPr>
          <w:rStyle w:val="Char3"/>
          <w:rtl/>
        </w:rPr>
        <w:t xml:space="preserve"> </w:t>
      </w:r>
      <w:r w:rsidR="00E77B3F" w:rsidRPr="00DF7CAE">
        <w:rPr>
          <w:rStyle w:val="Char3"/>
          <w:rFonts w:hint="eastAsia"/>
          <w:rtl/>
        </w:rPr>
        <w:t>عَلَى</w:t>
      </w:r>
      <w:r w:rsidR="00E77B3F" w:rsidRPr="00DF7CAE">
        <w:rPr>
          <w:rStyle w:val="Char3"/>
          <w:rtl/>
        </w:rPr>
        <w:t xml:space="preserve"> </w:t>
      </w:r>
      <w:r w:rsidR="00E77B3F" w:rsidRPr="00DF7CAE">
        <w:rPr>
          <w:rStyle w:val="Char3"/>
          <w:rFonts w:hint="cs"/>
          <w:rtl/>
        </w:rPr>
        <w:t>ٱ</w:t>
      </w:r>
      <w:r w:rsidR="00E77B3F" w:rsidRPr="00DF7CAE">
        <w:rPr>
          <w:rStyle w:val="Char3"/>
          <w:rFonts w:hint="eastAsia"/>
          <w:rtl/>
        </w:rPr>
        <w:t>ل</w:t>
      </w:r>
      <w:r w:rsidR="00E77B3F" w:rsidRPr="00DF7CAE">
        <w:rPr>
          <w:rStyle w:val="Char3"/>
          <w:rFonts w:hint="cs"/>
          <w:rtl/>
        </w:rPr>
        <w:t>ۡ</w:t>
      </w:r>
      <w:r w:rsidR="00E77B3F" w:rsidRPr="00DF7CAE">
        <w:rPr>
          <w:rStyle w:val="Char3"/>
          <w:rFonts w:hint="eastAsia"/>
          <w:rtl/>
        </w:rPr>
        <w:t>قَ</w:t>
      </w:r>
      <w:r w:rsidR="00E77B3F" w:rsidRPr="00DF7CAE">
        <w:rPr>
          <w:rStyle w:val="Char3"/>
          <w:rFonts w:hint="cs"/>
          <w:rtl/>
        </w:rPr>
        <w:t>ٰ</w:t>
      </w:r>
      <w:r w:rsidR="00E77B3F" w:rsidRPr="00DF7CAE">
        <w:rPr>
          <w:rStyle w:val="Char3"/>
          <w:rFonts w:hint="eastAsia"/>
          <w:rtl/>
        </w:rPr>
        <w:t>عِدِينَ</w:t>
      </w:r>
      <w:r w:rsidR="00E77B3F" w:rsidRPr="00DF7CAE">
        <w:rPr>
          <w:rStyle w:val="Char3"/>
          <w:rtl/>
        </w:rPr>
        <w:t xml:space="preserve"> </w:t>
      </w:r>
      <w:r w:rsidR="00E77B3F" w:rsidRPr="00DF7CAE">
        <w:rPr>
          <w:rStyle w:val="Char3"/>
          <w:rFonts w:hint="eastAsia"/>
          <w:rtl/>
        </w:rPr>
        <w:t>دَرَجَة</w:t>
      </w:r>
      <w:r w:rsidR="00E77B3F" w:rsidRPr="00DF7CAE">
        <w:rPr>
          <w:rStyle w:val="Char3"/>
          <w:rFonts w:hint="cs"/>
          <w:rtl/>
        </w:rPr>
        <w:t>ٗ</w:t>
      </w:r>
      <w:r w:rsidR="00E77B3F" w:rsidRPr="00995B26">
        <w:rPr>
          <w:rFonts w:cs="KFGQPC Uthman Taha Naskh" w:hint="cs"/>
          <w:w w:val="99"/>
          <w:rtl/>
          <w:lang w:bidi="fa-IR"/>
        </w:rPr>
        <w:t>...</w:t>
      </w:r>
      <w:r w:rsidR="00E77B3F" w:rsidRPr="00995B26">
        <w:rPr>
          <w:rFonts w:cs="Traditional Arabic"/>
          <w:w w:val="99"/>
          <w:rtl/>
          <w:lang w:bidi="fa-IR"/>
        </w:rPr>
        <w:t>﴾</w:t>
      </w:r>
      <w:r w:rsidRPr="00995B26">
        <w:rPr>
          <w:rFonts w:ascii="Abo-thar" w:hAnsi="Abo-thar"/>
          <w:sz w:val="28"/>
          <w:rtl/>
        </w:rPr>
        <w:t xml:space="preserve"> </w:t>
      </w:r>
      <w:r w:rsidRPr="00FC12FD">
        <w:rPr>
          <w:rStyle w:val="Char2"/>
          <w:rtl/>
        </w:rPr>
        <w:t>[النساء</w:t>
      </w:r>
      <w:r w:rsidR="00E77B3F" w:rsidRPr="00FC12FD">
        <w:rPr>
          <w:rStyle w:val="Char2"/>
          <w:rFonts w:hint="cs"/>
          <w:rtl/>
        </w:rPr>
        <w:t xml:space="preserve">: </w:t>
      </w:r>
      <w:r w:rsidRPr="00FC12FD">
        <w:rPr>
          <w:rStyle w:val="Char2"/>
          <w:rtl/>
        </w:rPr>
        <w:t>95]</w:t>
      </w:r>
      <w:r w:rsidR="00E77B3F" w:rsidRPr="00995B26">
        <w:rPr>
          <w:rFonts w:ascii="Abo-thar" w:hAnsi="Abo-thar" w:hint="cs"/>
          <w:sz w:val="28"/>
          <w:rtl/>
        </w:rPr>
        <w:t>.</w:t>
      </w:r>
    </w:p>
    <w:p w:rsidR="005C664D" w:rsidRPr="003F3B94" w:rsidRDefault="005C664D" w:rsidP="003F3B94">
      <w:pPr>
        <w:pStyle w:val="a0"/>
        <w:rPr>
          <w:rFonts w:hint="cs"/>
          <w:rtl/>
        </w:rPr>
      </w:pPr>
      <w:r w:rsidRPr="003F3B94">
        <w:rPr>
          <w:rFonts w:ascii="Abo-thar" w:hAnsi="Abo-thar" w:hint="cs"/>
          <w:sz w:val="28"/>
          <w:rtl/>
        </w:rPr>
        <w:t>وهكذا يستمر الكلام عن أحكام الجهاد والقتال في سبيل الله بشكل عام حتى الآية 104 من السورة المباركة</w:t>
      </w:r>
      <w:r w:rsidR="00217AB4" w:rsidRPr="003F3B94">
        <w:rPr>
          <w:rFonts w:ascii="Abo-thar" w:hAnsi="Abo-thar" w:hint="cs"/>
          <w:sz w:val="28"/>
          <w:rtl/>
        </w:rPr>
        <w:t>.</w:t>
      </w:r>
    </w:p>
    <w:p w:rsidR="000868AA" w:rsidRPr="003F3B94" w:rsidRDefault="000868AA" w:rsidP="00A33EB8">
      <w:pPr>
        <w:widowControl w:val="0"/>
        <w:jc w:val="center"/>
        <w:rPr>
          <w:rFonts w:ascii="mylotus" w:hAnsi="mylotus" w:cs="mylotus"/>
          <w:b/>
          <w:bCs/>
          <w:sz w:val="28"/>
          <w:rtl/>
        </w:rPr>
      </w:pPr>
      <w:r w:rsidRPr="00A33EB8">
        <w:rPr>
          <w:rFonts w:ascii="mylotus" w:hAnsi="mylotus" w:cs="B Lotus"/>
          <w:b/>
          <w:bCs/>
          <w:sz w:val="28"/>
          <w:rtl/>
        </w:rPr>
        <w:t>***</w:t>
      </w:r>
    </w:p>
    <w:p w:rsidR="005C664D" w:rsidRPr="00445175" w:rsidRDefault="005C664D" w:rsidP="00445175">
      <w:pPr>
        <w:pStyle w:val="a0"/>
        <w:rPr>
          <w:rFonts w:hint="cs"/>
          <w:spacing w:val="-2"/>
          <w:rtl/>
        </w:rPr>
      </w:pPr>
      <w:r w:rsidRPr="00445175">
        <w:rPr>
          <w:rFonts w:ascii="Abo-thar" w:hAnsi="Abo-thar" w:hint="cs"/>
          <w:spacing w:val="-2"/>
          <w:sz w:val="28"/>
          <w:rtl/>
        </w:rPr>
        <w:t xml:space="preserve">إذن تعميم كلمة </w:t>
      </w:r>
      <w:r w:rsidRPr="00445175">
        <w:rPr>
          <w:rFonts w:ascii="Abo-thar" w:hAnsi="Abo-thar" w:hint="eastAsia"/>
          <w:spacing w:val="-2"/>
          <w:sz w:val="28"/>
          <w:rtl/>
        </w:rPr>
        <w:t>«</w:t>
      </w:r>
      <w:r w:rsidRPr="00445175">
        <w:rPr>
          <w:rFonts w:ascii="Abo-thar" w:hAnsi="Abo-thar" w:hint="cs"/>
          <w:b/>
          <w:bCs/>
          <w:spacing w:val="-2"/>
          <w:sz w:val="28"/>
          <w:rtl/>
        </w:rPr>
        <w:t>غنمتم</w:t>
      </w:r>
      <w:r w:rsidRPr="00445175">
        <w:rPr>
          <w:rFonts w:ascii="Abo-thar" w:hAnsi="Abo-thar" w:hint="eastAsia"/>
          <w:spacing w:val="-2"/>
          <w:sz w:val="28"/>
          <w:rtl/>
        </w:rPr>
        <w:t>»</w:t>
      </w:r>
      <w:r w:rsidRPr="00445175">
        <w:rPr>
          <w:rFonts w:ascii="Abo-thar" w:hAnsi="Abo-thar" w:hint="cs"/>
          <w:spacing w:val="-2"/>
          <w:sz w:val="28"/>
          <w:rtl/>
        </w:rPr>
        <w:t xml:space="preserve"> لتشمل كل دخل وإيراد مالي يكسبه الإنسان من أرباح المكاسب وغيرها حتى الكسب الناجم عن حمل الحطب وتقطيعه والعمل </w:t>
      </w:r>
      <w:r w:rsidR="000868AA" w:rsidRPr="00445175">
        <w:rPr>
          <w:rFonts w:ascii="Abo-thar" w:hAnsi="Abo-thar" w:hint="cs"/>
          <w:spacing w:val="-2"/>
          <w:sz w:val="28"/>
          <w:rtl/>
        </w:rPr>
        <w:t xml:space="preserve">في </w:t>
      </w:r>
      <w:r w:rsidRPr="00445175">
        <w:rPr>
          <w:rFonts w:ascii="Abo-thar" w:hAnsi="Abo-thar" w:hint="cs"/>
          <w:spacing w:val="-2"/>
          <w:sz w:val="28"/>
          <w:rtl/>
        </w:rPr>
        <w:t>كنس الطرق وغزل الخيوط</w:t>
      </w:r>
      <w:r w:rsidR="00217AB4" w:rsidRPr="00445175">
        <w:rPr>
          <w:rFonts w:ascii="Abo-thar" w:hAnsi="Abo-thar" w:hint="cs"/>
          <w:spacing w:val="-2"/>
          <w:sz w:val="28"/>
          <w:rtl/>
        </w:rPr>
        <w:t>!</w:t>
      </w:r>
      <w:r w:rsidR="000868AA" w:rsidRPr="00445175">
        <w:rPr>
          <w:rFonts w:ascii="Abo-thar" w:hAnsi="Abo-thar" w:hint="cs"/>
          <w:spacing w:val="-2"/>
          <w:sz w:val="28"/>
          <w:rtl/>
        </w:rPr>
        <w:t xml:space="preserve"> ليس سوى سفسطة وفرارٍ</w:t>
      </w:r>
      <w:r w:rsidRPr="00445175">
        <w:rPr>
          <w:rFonts w:ascii="Abo-thar" w:hAnsi="Abo-thar" w:hint="cs"/>
          <w:spacing w:val="-2"/>
          <w:sz w:val="28"/>
          <w:rtl/>
        </w:rPr>
        <w:t xml:space="preserve"> من الحقيقة</w:t>
      </w:r>
      <w:r w:rsidR="00217AB4" w:rsidRPr="00445175">
        <w:rPr>
          <w:rFonts w:ascii="Abo-thar" w:hAnsi="Abo-thar" w:hint="cs"/>
          <w:spacing w:val="-2"/>
          <w:sz w:val="28"/>
          <w:rtl/>
        </w:rPr>
        <w:t>،</w:t>
      </w:r>
      <w:r w:rsidRPr="00445175">
        <w:rPr>
          <w:rFonts w:ascii="Abo-thar" w:hAnsi="Abo-thar" w:hint="cs"/>
          <w:spacing w:val="-2"/>
          <w:sz w:val="28"/>
          <w:rtl/>
        </w:rPr>
        <w:t xml:space="preserve"> </w:t>
      </w:r>
      <w:r w:rsidR="000868AA" w:rsidRPr="00445175">
        <w:rPr>
          <w:rFonts w:ascii="Abo-thar" w:hAnsi="Abo-thar" w:hint="cs"/>
          <w:spacing w:val="-2"/>
          <w:sz w:val="28"/>
          <w:rtl/>
        </w:rPr>
        <w:t>وليس هناك من هدف ل</w:t>
      </w:r>
      <w:r w:rsidRPr="00445175">
        <w:rPr>
          <w:rFonts w:ascii="Abo-thar" w:hAnsi="Abo-thar" w:hint="cs"/>
          <w:spacing w:val="-2"/>
          <w:sz w:val="28"/>
          <w:rtl/>
        </w:rPr>
        <w:t>سو</w:t>
      </w:r>
      <w:r w:rsidR="000868AA" w:rsidRPr="00445175">
        <w:rPr>
          <w:rFonts w:ascii="Abo-thar" w:hAnsi="Abo-thar" w:hint="cs"/>
          <w:spacing w:val="-2"/>
          <w:sz w:val="28"/>
          <w:rtl/>
        </w:rPr>
        <w:t xml:space="preserve">ء استخدام هذه الكلمة المباركة </w:t>
      </w:r>
      <w:r w:rsidRPr="00445175">
        <w:rPr>
          <w:rFonts w:ascii="Abo-thar" w:hAnsi="Abo-thar" w:hint="cs"/>
          <w:spacing w:val="-2"/>
          <w:sz w:val="28"/>
          <w:rtl/>
        </w:rPr>
        <w:t>سوى المطالبة الظالمة بالخمس</w:t>
      </w:r>
      <w:r w:rsidR="000868AA" w:rsidRPr="00445175">
        <w:rPr>
          <w:rFonts w:ascii="Abo-thar" w:hAnsi="Abo-thar" w:hint="cs"/>
          <w:spacing w:val="-2"/>
          <w:sz w:val="28"/>
          <w:rtl/>
        </w:rPr>
        <w:t>؛</w:t>
      </w:r>
      <w:r w:rsidRPr="00445175">
        <w:rPr>
          <w:rFonts w:ascii="Abo-thar" w:hAnsi="Abo-thar" w:hint="cs"/>
          <w:spacing w:val="-2"/>
          <w:sz w:val="28"/>
          <w:rtl/>
        </w:rPr>
        <w:t xml:space="preserve"> وذلك لأننا لا</w:t>
      </w:r>
      <w:r w:rsidRPr="00445175">
        <w:rPr>
          <w:rFonts w:cs="Times New Roman" w:hint="cs"/>
          <w:spacing w:val="-2"/>
          <w:sz w:val="28"/>
          <w:rtl/>
        </w:rPr>
        <w:t> </w:t>
      </w:r>
      <w:r w:rsidRPr="00445175">
        <w:rPr>
          <w:rFonts w:ascii="Abo-thar" w:hAnsi="Abo-thar" w:hint="cs"/>
          <w:spacing w:val="-2"/>
          <w:sz w:val="28"/>
          <w:rtl/>
        </w:rPr>
        <w:t>نشاهد لا في كتاب الله ولا في سنة رسول</w:t>
      </w:r>
      <w:r w:rsidR="00445175" w:rsidRPr="00445175">
        <w:rPr>
          <w:rFonts w:ascii="Abo-thar" w:hAnsi="Abo-thar" w:cs="Times New Roman" w:hint="cs"/>
          <w:spacing w:val="-2"/>
          <w:sz w:val="28"/>
          <w:rtl/>
          <w:lang w:bidi="fa-IR"/>
        </w:rPr>
        <w:t>‌</w:t>
      </w:r>
      <w:r w:rsidRPr="00445175">
        <w:rPr>
          <w:rFonts w:ascii="Abo-thar" w:hAnsi="Abo-thar" w:hint="cs"/>
          <w:spacing w:val="-2"/>
          <w:sz w:val="28"/>
          <w:rtl/>
        </w:rPr>
        <w:t>الله</w:t>
      </w:r>
      <w:r w:rsidR="00147857" w:rsidRPr="00445175">
        <w:rPr>
          <w:rFonts w:ascii="Abo-thar" w:hAnsi="Abo-thar" w:hint="cs"/>
          <w:spacing w:val="-2"/>
          <w:sz w:val="28"/>
          <w:rtl/>
        </w:rPr>
        <w:t xml:space="preserve"> </w:t>
      </w:r>
      <w:r w:rsidR="003C7AEB" w:rsidRPr="00445175">
        <w:rPr>
          <w:rFonts w:ascii="Abo-thar" w:hAnsi="Abo-thar" w:cs="CTraditional Arabic"/>
          <w:spacing w:val="-2"/>
          <w:sz w:val="28"/>
          <w:rtl/>
        </w:rPr>
        <w:t>ص</w:t>
      </w:r>
      <w:r w:rsidR="00147857" w:rsidRPr="00445175">
        <w:rPr>
          <w:rFonts w:ascii="Abo-thar" w:hAnsi="Abo-thar"/>
          <w:spacing w:val="-2"/>
          <w:sz w:val="28"/>
          <w:rtl/>
        </w:rPr>
        <w:t xml:space="preserve"> </w:t>
      </w:r>
      <w:r w:rsidRPr="00445175">
        <w:rPr>
          <w:rFonts w:ascii="Abo-thar" w:hAnsi="Abo-thar" w:hint="cs"/>
          <w:spacing w:val="-2"/>
          <w:sz w:val="28"/>
          <w:rtl/>
        </w:rPr>
        <w:t>ولا في سيرة من خلفوه بحق أو بباطل ولا في عمل مسلمي صدر الإسلام شيئاً من مثل هذه المطالبة</w:t>
      </w:r>
      <w:r w:rsidR="00217AB4" w:rsidRPr="00445175">
        <w:rPr>
          <w:rFonts w:ascii="Abo-thar" w:hAnsi="Abo-thar" w:hint="cs"/>
          <w:spacing w:val="-2"/>
          <w:sz w:val="28"/>
          <w:rtl/>
        </w:rPr>
        <w:t>.</w:t>
      </w:r>
      <w:r w:rsidRPr="00445175">
        <w:rPr>
          <w:rFonts w:ascii="Abo-thar" w:hAnsi="Abo-thar" w:hint="cs"/>
          <w:spacing w:val="-2"/>
          <w:sz w:val="28"/>
          <w:rtl/>
        </w:rPr>
        <w:t xml:space="preserve"> وبمعزلٍ عن سيرة رسول الله</w:t>
      </w:r>
      <w:r w:rsidR="00147857" w:rsidRPr="00445175">
        <w:rPr>
          <w:rFonts w:ascii="Abo-thar" w:hAnsi="Abo-thar" w:hint="cs"/>
          <w:spacing w:val="-2"/>
          <w:sz w:val="28"/>
          <w:rtl/>
        </w:rPr>
        <w:t xml:space="preserve"> </w:t>
      </w:r>
      <w:r w:rsidR="003C7AEB" w:rsidRPr="00445175">
        <w:rPr>
          <w:rFonts w:ascii="Abo-thar" w:hAnsi="Abo-thar" w:cs="CTraditional Arabic"/>
          <w:spacing w:val="-2"/>
          <w:sz w:val="28"/>
          <w:rtl/>
        </w:rPr>
        <w:t>ص</w:t>
      </w:r>
      <w:r w:rsidR="00147857" w:rsidRPr="00445175">
        <w:rPr>
          <w:rFonts w:ascii="Abo-thar" w:hAnsi="Abo-thar"/>
          <w:spacing w:val="-2"/>
          <w:sz w:val="28"/>
          <w:rtl/>
        </w:rPr>
        <w:t xml:space="preserve"> </w:t>
      </w:r>
      <w:r w:rsidRPr="00445175">
        <w:rPr>
          <w:rFonts w:ascii="Abo-thar" w:hAnsi="Abo-thar" w:hint="cs"/>
          <w:spacing w:val="-2"/>
          <w:sz w:val="28"/>
          <w:rtl/>
        </w:rPr>
        <w:t>وخلفائه الراشدين لا نجد ذلك حتى في سيرة سلاطين الجور من ملوك بني أمية وبني العباس أنهم كانوا يأخذون الخمس من أموال المسلمين خاصة من أرباح مكاسبهم وتجاراتهم</w:t>
      </w:r>
      <w:r w:rsidR="00217AB4" w:rsidRPr="00445175">
        <w:rPr>
          <w:rFonts w:ascii="Abo-thar" w:hAnsi="Abo-thar" w:hint="cs"/>
          <w:spacing w:val="-2"/>
          <w:sz w:val="28"/>
          <w:rtl/>
        </w:rPr>
        <w:t>،</w:t>
      </w:r>
      <w:r w:rsidRPr="00445175">
        <w:rPr>
          <w:rFonts w:ascii="Abo-thar" w:hAnsi="Abo-thar" w:hint="cs"/>
          <w:spacing w:val="-2"/>
          <w:sz w:val="28"/>
          <w:rtl/>
        </w:rPr>
        <w:t xml:space="preserve"> هذا في حين أنه لو وجد أولئك الخلفاء أدنى مستند ودليل وحجة على ذلك لسارعوا للتمسك به وطالبوا المسلمين بخمس مكاسبهم بكل شدة</w:t>
      </w:r>
      <w:r w:rsidR="00217AB4" w:rsidRPr="00445175">
        <w:rPr>
          <w:rFonts w:ascii="Abo-thar" w:hAnsi="Abo-thar" w:hint="cs"/>
          <w:spacing w:val="-2"/>
          <w:sz w:val="28"/>
          <w:rtl/>
        </w:rPr>
        <w:t>،</w:t>
      </w:r>
      <w:r w:rsidRPr="00445175">
        <w:rPr>
          <w:rFonts w:ascii="Abo-thar" w:hAnsi="Abo-thar" w:hint="cs"/>
          <w:spacing w:val="-2"/>
          <w:sz w:val="28"/>
          <w:rtl/>
        </w:rPr>
        <w:t xml:space="preserve"> ولبين التاريخ لنا ذلك بكل وضوح</w:t>
      </w:r>
      <w:r w:rsidR="00217AB4" w:rsidRPr="00445175">
        <w:rPr>
          <w:rFonts w:ascii="Abo-thar" w:hAnsi="Abo-thar" w:hint="cs"/>
          <w:spacing w:val="-2"/>
          <w:sz w:val="28"/>
          <w:rtl/>
        </w:rPr>
        <w:t>،</w:t>
      </w:r>
      <w:r w:rsidRPr="00445175">
        <w:rPr>
          <w:rFonts w:ascii="Abo-thar" w:hAnsi="Abo-thar" w:hint="cs"/>
          <w:spacing w:val="-2"/>
          <w:sz w:val="28"/>
          <w:rtl/>
        </w:rPr>
        <w:t xml:space="preserve"> كما نقل لنا التاريخ حال أخذ الزكاة وجباية الخلفاء للخراج</w:t>
      </w:r>
      <w:r w:rsidR="00217AB4" w:rsidRPr="00445175">
        <w:rPr>
          <w:rStyle w:val="FootnoteReference"/>
          <w:rFonts w:cs="Arabic11 BT"/>
          <w:b/>
          <w:spacing w:val="-2"/>
          <w:sz w:val="28"/>
          <w:rtl/>
        </w:rPr>
        <w:t>(</w:t>
      </w:r>
      <w:r w:rsidRPr="00445175">
        <w:rPr>
          <w:rStyle w:val="FootnoteReference"/>
          <w:rFonts w:cs="Arabic11 BT"/>
          <w:b/>
          <w:spacing w:val="-2"/>
          <w:sz w:val="28"/>
          <w:rtl/>
        </w:rPr>
        <w:footnoteReference w:id="37"/>
      </w:r>
      <w:r w:rsidR="00217AB4" w:rsidRPr="00445175">
        <w:rPr>
          <w:rStyle w:val="FootnoteReference"/>
          <w:rFonts w:cs="Arabic11 BT"/>
          <w:b/>
          <w:spacing w:val="-2"/>
          <w:sz w:val="28"/>
          <w:rtl/>
        </w:rPr>
        <w:t>)</w:t>
      </w:r>
      <w:r w:rsidR="00217AB4" w:rsidRPr="00445175">
        <w:rPr>
          <w:rFonts w:ascii="Abo-thar" w:hAnsi="Abo-thar" w:hint="cs"/>
          <w:spacing w:val="-2"/>
          <w:sz w:val="28"/>
          <w:rtl/>
        </w:rPr>
        <w:t>.</w:t>
      </w:r>
      <w:r w:rsidRPr="00445175">
        <w:rPr>
          <w:rFonts w:ascii="Abo-thar" w:hAnsi="Abo-thar" w:hint="cs"/>
          <w:spacing w:val="-2"/>
          <w:sz w:val="28"/>
          <w:rtl/>
        </w:rPr>
        <w:t xml:space="preserve"> </w:t>
      </w:r>
    </w:p>
    <w:p w:rsidR="005C664D" w:rsidRPr="003F3B94" w:rsidRDefault="005C664D" w:rsidP="003F3B94">
      <w:pPr>
        <w:pStyle w:val="a0"/>
        <w:rPr>
          <w:rFonts w:hint="cs"/>
          <w:rtl/>
        </w:rPr>
      </w:pPr>
      <w:r w:rsidRPr="003F3B94">
        <w:rPr>
          <w:rFonts w:ascii="Abo-thar" w:hAnsi="Abo-thar" w:hint="cs"/>
          <w:sz w:val="28"/>
          <w:rtl/>
        </w:rPr>
        <w:t>أما خمس غنائم دار الحرب فقد كان رسول الله</w:t>
      </w:r>
      <w:r w:rsidR="00147857" w:rsidRPr="003F3B94">
        <w:rPr>
          <w:rFonts w:ascii="Abo-thar" w:hAnsi="Abo-thar" w:hint="cs"/>
          <w:sz w:val="28"/>
          <w:rtl/>
        </w:rPr>
        <w:t xml:space="preserve"> </w:t>
      </w:r>
      <w:r w:rsidR="003C7AEB" w:rsidRPr="003C7AEB">
        <w:rPr>
          <w:rFonts w:ascii="Abo-thar" w:hAnsi="Abo-thar" w:cs="CTraditional Arabic"/>
          <w:sz w:val="28"/>
          <w:rtl/>
        </w:rPr>
        <w:t>ص</w:t>
      </w:r>
      <w:r w:rsidR="00147857" w:rsidRPr="003F3B94">
        <w:rPr>
          <w:rFonts w:ascii="Abo-thar" w:hAnsi="Abo-thar"/>
          <w:sz w:val="28"/>
          <w:rtl/>
        </w:rPr>
        <w:t xml:space="preserve"> </w:t>
      </w:r>
      <w:r w:rsidRPr="003F3B94">
        <w:rPr>
          <w:rFonts w:ascii="Abo-thar" w:hAnsi="Abo-thar" w:hint="cs"/>
          <w:sz w:val="28"/>
          <w:rtl/>
        </w:rPr>
        <w:t>ذاته يأخذها زمن حياته كان خلفاؤه بعد رحيله يأخذونها بأنفسهم</w:t>
      </w:r>
      <w:r w:rsidR="00217AB4" w:rsidRPr="003F3B94">
        <w:rPr>
          <w:rFonts w:ascii="Abo-thar" w:hAnsi="Abo-thar" w:hint="cs"/>
          <w:sz w:val="28"/>
          <w:rtl/>
        </w:rPr>
        <w:t>؛</w:t>
      </w:r>
      <w:r w:rsidRPr="003F3B94">
        <w:rPr>
          <w:rFonts w:ascii="Abo-thar" w:hAnsi="Abo-thar" w:hint="cs"/>
          <w:sz w:val="28"/>
          <w:rtl/>
        </w:rPr>
        <w:t xml:space="preserve"> فوجوبه </w:t>
      </w:r>
      <w:r w:rsidRPr="003F3B94">
        <w:rPr>
          <w:rFonts w:cs="Times New Roman" w:hint="cs"/>
          <w:sz w:val="28"/>
          <w:rtl/>
        </w:rPr>
        <w:t>–</w:t>
      </w:r>
      <w:r w:rsidRPr="003F3B94">
        <w:rPr>
          <w:rFonts w:ascii="Abo-thar" w:hAnsi="Abo-thar" w:hint="cs"/>
          <w:sz w:val="28"/>
          <w:rtl/>
        </w:rPr>
        <w:t xml:space="preserve"> هذا إن صح أن نستخدم هنا كلمة الوجوب </w:t>
      </w:r>
      <w:r w:rsidRPr="003F3B94">
        <w:rPr>
          <w:rFonts w:cs="Times New Roman" w:hint="cs"/>
          <w:sz w:val="28"/>
          <w:rtl/>
        </w:rPr>
        <w:t>–</w:t>
      </w:r>
      <w:r w:rsidRPr="003F3B94">
        <w:rPr>
          <w:rFonts w:ascii="Abo-thar" w:hAnsi="Abo-thar" w:hint="cs"/>
          <w:sz w:val="28"/>
          <w:rtl/>
        </w:rPr>
        <w:t xml:space="preserve"> كان مختصاً بغنائم دار الحرب</w:t>
      </w:r>
      <w:r w:rsidR="00217AB4" w:rsidRPr="0021507A">
        <w:rPr>
          <w:rStyle w:val="FootnoteReference"/>
          <w:rFonts w:cs="Arabic11 BT"/>
          <w:b/>
          <w:sz w:val="28"/>
          <w:rtl/>
        </w:rPr>
        <w:t>(</w:t>
      </w:r>
      <w:r w:rsidRPr="0021507A">
        <w:rPr>
          <w:rStyle w:val="FootnoteReference"/>
          <w:rFonts w:cs="Arabic11 BT"/>
          <w:b/>
          <w:sz w:val="28"/>
          <w:rtl/>
        </w:rPr>
        <w:footnoteReference w:id="38"/>
      </w:r>
      <w:r w:rsidR="00217AB4" w:rsidRPr="0021507A">
        <w:rPr>
          <w:rStyle w:val="FootnoteReference"/>
          <w:rFonts w:cs="Arabic11 BT"/>
          <w:b/>
          <w:sz w:val="28"/>
          <w:rtl/>
        </w:rPr>
        <w:t>)</w:t>
      </w:r>
      <w:r w:rsidR="00217AB4" w:rsidRPr="003F3B94">
        <w:rPr>
          <w:rFonts w:ascii="Abo-thar" w:hAnsi="Abo-thar" w:hint="cs"/>
          <w:sz w:val="28"/>
          <w:rtl/>
        </w:rPr>
        <w:t>.</w:t>
      </w:r>
    </w:p>
    <w:p w:rsidR="000868AA" w:rsidRPr="00BC4BA9" w:rsidRDefault="005C664D" w:rsidP="00BC4BA9">
      <w:pPr>
        <w:pStyle w:val="a0"/>
        <w:rPr>
          <w:rFonts w:hint="cs"/>
          <w:spacing w:val="-2"/>
          <w:rtl/>
        </w:rPr>
      </w:pPr>
      <w:r w:rsidRPr="00BC4BA9">
        <w:rPr>
          <w:rFonts w:ascii="Abo-thar" w:hAnsi="Abo-thar" w:hint="cs"/>
          <w:spacing w:val="-2"/>
          <w:sz w:val="28"/>
          <w:rtl/>
        </w:rPr>
        <w:t>والأحاديث الواردة عن أهل البيت تؤيد هذه الحقيقة بأن الخمس يشمل فقط غنائم دار الحرب</w:t>
      </w:r>
      <w:r w:rsidR="00217AB4" w:rsidRPr="00BC4BA9">
        <w:rPr>
          <w:rFonts w:ascii="Abo-thar" w:hAnsi="Abo-thar" w:hint="cs"/>
          <w:spacing w:val="-2"/>
          <w:sz w:val="28"/>
          <w:rtl/>
        </w:rPr>
        <w:t>،</w:t>
      </w:r>
      <w:r w:rsidRPr="00BC4BA9">
        <w:rPr>
          <w:rFonts w:ascii="Abo-thar" w:hAnsi="Abo-thar" w:hint="cs"/>
          <w:spacing w:val="-2"/>
          <w:sz w:val="28"/>
          <w:rtl/>
        </w:rPr>
        <w:t xml:space="preserve"> فمن ذلك ما رواه المرحوم الصدوق في كتاب </w:t>
      </w:r>
      <w:r w:rsidRPr="00BC4BA9">
        <w:rPr>
          <w:rFonts w:ascii="Abo-thar" w:hAnsi="Abo-thar" w:hint="eastAsia"/>
          <w:spacing w:val="-2"/>
          <w:sz w:val="28"/>
          <w:rtl/>
        </w:rPr>
        <w:t>«</w:t>
      </w:r>
      <w:r w:rsidRPr="00BC4BA9">
        <w:rPr>
          <w:rFonts w:ascii="Abo-thar" w:hAnsi="Abo-thar" w:hint="cs"/>
          <w:spacing w:val="-2"/>
          <w:sz w:val="28"/>
          <w:rtl/>
        </w:rPr>
        <w:t>من لا يحضره الفقيه</w:t>
      </w:r>
      <w:r w:rsidRPr="00BC4BA9">
        <w:rPr>
          <w:rFonts w:ascii="Abo-thar" w:hAnsi="Abo-thar" w:hint="eastAsia"/>
          <w:spacing w:val="-2"/>
          <w:sz w:val="28"/>
          <w:rtl/>
        </w:rPr>
        <w:t>»</w:t>
      </w:r>
      <w:r w:rsidRPr="00BC4BA9">
        <w:rPr>
          <w:rFonts w:ascii="Abo-thar" w:hAnsi="Abo-thar" w:hint="cs"/>
          <w:spacing w:val="-2"/>
          <w:sz w:val="28"/>
          <w:rtl/>
        </w:rPr>
        <w:t xml:space="preserve"> </w:t>
      </w:r>
      <w:r w:rsidR="00217AB4" w:rsidRPr="00BC4BA9">
        <w:rPr>
          <w:rFonts w:ascii="Abo-thar" w:hAnsi="Abo-thar" w:hint="cs"/>
          <w:spacing w:val="-2"/>
          <w:sz w:val="28"/>
          <w:rtl/>
        </w:rPr>
        <w:t>(</w:t>
      </w:r>
      <w:r w:rsidRPr="00BC4BA9">
        <w:rPr>
          <w:rFonts w:ascii="Abo-thar" w:hAnsi="Abo-thar" w:hint="cs"/>
          <w:spacing w:val="-2"/>
          <w:sz w:val="28"/>
          <w:rtl/>
        </w:rPr>
        <w:t>ج1/ص21</w:t>
      </w:r>
      <w:r w:rsidR="00217AB4" w:rsidRPr="00BC4BA9">
        <w:rPr>
          <w:rFonts w:ascii="Abo-thar" w:hAnsi="Abo-thar" w:hint="cs"/>
          <w:spacing w:val="-2"/>
          <w:sz w:val="28"/>
          <w:rtl/>
        </w:rPr>
        <w:t>)</w:t>
      </w:r>
      <w:r w:rsidRPr="00BC4BA9">
        <w:rPr>
          <w:rFonts w:ascii="Abo-thar" w:hAnsi="Abo-thar" w:hint="cs"/>
          <w:spacing w:val="-2"/>
          <w:sz w:val="28"/>
          <w:rtl/>
        </w:rPr>
        <w:t xml:space="preserve"> طبع النجف</w:t>
      </w:r>
      <w:r w:rsidR="00217AB4" w:rsidRPr="00BC4BA9">
        <w:rPr>
          <w:rFonts w:ascii="Abo-thar" w:hAnsi="Abo-thar" w:hint="cs"/>
          <w:spacing w:val="-2"/>
          <w:sz w:val="28"/>
          <w:rtl/>
        </w:rPr>
        <w:t>،</w:t>
      </w:r>
      <w:r w:rsidRPr="00BC4BA9">
        <w:rPr>
          <w:rFonts w:ascii="Abo-thar" w:hAnsi="Abo-thar" w:hint="cs"/>
          <w:spacing w:val="-2"/>
          <w:sz w:val="28"/>
          <w:rtl/>
        </w:rPr>
        <w:t xml:space="preserve"> ورواه الشيخ الطوسي في كتابيه التهذيب </w:t>
      </w:r>
      <w:r w:rsidR="00217AB4" w:rsidRPr="00BC4BA9">
        <w:rPr>
          <w:rFonts w:ascii="Abo-thar" w:hAnsi="Abo-thar" w:hint="cs"/>
          <w:spacing w:val="-2"/>
          <w:sz w:val="28"/>
          <w:rtl/>
        </w:rPr>
        <w:t>(</w:t>
      </w:r>
      <w:r w:rsidRPr="00BC4BA9">
        <w:rPr>
          <w:rFonts w:ascii="Abo-thar" w:hAnsi="Abo-thar" w:hint="cs"/>
          <w:spacing w:val="-2"/>
          <w:sz w:val="28"/>
          <w:rtl/>
        </w:rPr>
        <w:t>ج4/ص124</w:t>
      </w:r>
      <w:r w:rsidR="00217AB4" w:rsidRPr="00BC4BA9">
        <w:rPr>
          <w:rFonts w:ascii="Abo-thar" w:hAnsi="Abo-thar" w:hint="cs"/>
          <w:spacing w:val="-2"/>
          <w:sz w:val="28"/>
          <w:rtl/>
        </w:rPr>
        <w:t>)</w:t>
      </w:r>
      <w:r w:rsidRPr="00BC4BA9">
        <w:rPr>
          <w:rFonts w:ascii="Abo-thar" w:hAnsi="Abo-thar" w:hint="cs"/>
          <w:spacing w:val="-2"/>
          <w:sz w:val="28"/>
          <w:rtl/>
        </w:rPr>
        <w:t xml:space="preserve"> طبع النجف</w:t>
      </w:r>
      <w:r w:rsidR="00217AB4" w:rsidRPr="00BC4BA9">
        <w:rPr>
          <w:rFonts w:ascii="Abo-thar" w:hAnsi="Abo-thar" w:hint="cs"/>
          <w:spacing w:val="-2"/>
          <w:sz w:val="28"/>
          <w:rtl/>
        </w:rPr>
        <w:t>،</w:t>
      </w:r>
      <w:r w:rsidRPr="00BC4BA9">
        <w:rPr>
          <w:rFonts w:ascii="Abo-thar" w:hAnsi="Abo-thar" w:hint="cs"/>
          <w:spacing w:val="-2"/>
          <w:sz w:val="28"/>
          <w:rtl/>
        </w:rPr>
        <w:t xml:space="preserve"> والاستبصار </w:t>
      </w:r>
      <w:r w:rsidR="00217AB4" w:rsidRPr="00BC4BA9">
        <w:rPr>
          <w:rFonts w:ascii="Abo-thar" w:hAnsi="Abo-thar" w:hint="cs"/>
          <w:spacing w:val="-2"/>
          <w:sz w:val="28"/>
          <w:rtl/>
        </w:rPr>
        <w:t>(</w:t>
      </w:r>
      <w:r w:rsidRPr="00BC4BA9">
        <w:rPr>
          <w:rFonts w:ascii="Abo-thar" w:hAnsi="Abo-thar" w:hint="cs"/>
          <w:spacing w:val="-2"/>
          <w:sz w:val="28"/>
          <w:rtl/>
        </w:rPr>
        <w:t>ج2/ص56</w:t>
      </w:r>
      <w:r w:rsidR="00217AB4" w:rsidRPr="00BC4BA9">
        <w:rPr>
          <w:rFonts w:ascii="Abo-thar" w:hAnsi="Abo-thar" w:hint="cs"/>
          <w:spacing w:val="-2"/>
          <w:sz w:val="28"/>
          <w:rtl/>
        </w:rPr>
        <w:t>)</w:t>
      </w:r>
      <w:r w:rsidRPr="00BC4BA9">
        <w:rPr>
          <w:rFonts w:ascii="Abo-thar" w:hAnsi="Abo-thar" w:hint="cs"/>
          <w:spacing w:val="-2"/>
          <w:sz w:val="28"/>
          <w:rtl/>
        </w:rPr>
        <w:t xml:space="preserve"> طبع النجف </w:t>
      </w:r>
      <w:r w:rsidR="00EF2588" w:rsidRPr="00BC4BA9">
        <w:rPr>
          <w:rFonts w:ascii="Abo-thar" w:hAnsi="Abo-thar" w:cs="KFGQPC Uthman Taha Naskh" w:hint="cs"/>
          <w:spacing w:val="-2"/>
          <w:sz w:val="28"/>
          <w:rtl/>
        </w:rPr>
        <w:t>«</w:t>
      </w:r>
      <w:r w:rsidRPr="00BC4BA9">
        <w:rPr>
          <w:rFonts w:ascii="Abo-thar" w:hAnsi="Abo-thar" w:cs="KFGQPC Uthman Taha Naskh"/>
          <w:spacing w:val="-2"/>
          <w:sz w:val="28"/>
          <w:rtl/>
        </w:rPr>
        <w:t>عَنْ عَبْدِ اللهِ بْنِ سِنَانٍ قَالَ</w:t>
      </w:r>
      <w:r w:rsidR="007D1547" w:rsidRPr="00BC4BA9">
        <w:rPr>
          <w:rFonts w:ascii="Abo-thar" w:hAnsi="Abo-thar" w:cs="KFGQPC Uthman Taha Naskh" w:hint="cs"/>
          <w:spacing w:val="-2"/>
          <w:sz w:val="28"/>
          <w:rtl/>
        </w:rPr>
        <w:t>:</w:t>
      </w:r>
      <w:r w:rsidRPr="00BC4BA9">
        <w:rPr>
          <w:rFonts w:ascii="Abo-thar" w:hAnsi="Abo-thar" w:cs="KFGQPC Uthman Taha Naskh"/>
          <w:spacing w:val="-2"/>
          <w:sz w:val="28"/>
          <w:rtl/>
        </w:rPr>
        <w:t xml:space="preserve"> سَمِعْتُ أَبَا عَبْدِ</w:t>
      </w:r>
      <w:r w:rsidR="00BC4BA9">
        <w:rPr>
          <w:rFonts w:ascii="Abo-thar" w:hAnsi="Abo-thar" w:cs="KFGQPC Uthman Taha Naskh" w:hint="cs"/>
          <w:spacing w:val="-2"/>
          <w:sz w:val="28"/>
          <w:rtl/>
        </w:rPr>
        <w:t xml:space="preserve"> </w:t>
      </w:r>
      <w:r w:rsidRPr="00BC4BA9">
        <w:rPr>
          <w:rFonts w:ascii="Abo-thar" w:hAnsi="Abo-thar" w:cs="KFGQPC Uthman Taha Naskh"/>
          <w:spacing w:val="-2"/>
          <w:sz w:val="28"/>
          <w:rtl/>
        </w:rPr>
        <w:t>اللهِ</w:t>
      </w:r>
      <w:r w:rsidR="00BC4BA9" w:rsidRPr="00BC4BA9">
        <w:rPr>
          <w:rFonts w:ascii="Abo-thar" w:hAnsi="Abo-thar" w:cs="CTraditional Arabic" w:hint="cs"/>
          <w:spacing w:val="-2"/>
          <w:sz w:val="28"/>
          <w:rtl/>
        </w:rPr>
        <w:t>÷</w:t>
      </w:r>
      <w:r w:rsidRPr="00BC4BA9">
        <w:rPr>
          <w:rFonts w:ascii="Abo-thar" w:hAnsi="Abo-thar" w:cs="KFGQPC Uthman Taha Naskh"/>
          <w:spacing w:val="-2"/>
          <w:sz w:val="28"/>
          <w:rtl/>
        </w:rPr>
        <w:t xml:space="preserve"> يَقُولُ</w:t>
      </w:r>
      <w:r w:rsidR="007D1547" w:rsidRPr="00BC4BA9">
        <w:rPr>
          <w:rFonts w:ascii="Abo-thar" w:hAnsi="Abo-thar" w:cs="KFGQPC Uthman Taha Naskh" w:hint="cs"/>
          <w:spacing w:val="-2"/>
          <w:sz w:val="28"/>
          <w:rtl/>
        </w:rPr>
        <w:t>:</w:t>
      </w:r>
      <w:r w:rsidRPr="00BC4BA9">
        <w:rPr>
          <w:rFonts w:ascii="Abo-thar" w:hAnsi="Abo-thar" w:cs="KFGQPC Uthman Taha Naskh"/>
          <w:spacing w:val="-2"/>
          <w:sz w:val="28"/>
          <w:rtl/>
        </w:rPr>
        <w:t xml:space="preserve"> </w:t>
      </w:r>
      <w:r w:rsidRPr="00BC4BA9">
        <w:rPr>
          <w:rFonts w:ascii="Abo-thar" w:hAnsi="Abo-thar" w:cs="KFGQPC Uthman Taha Naskh"/>
          <w:b/>
          <w:bCs/>
          <w:spacing w:val="-2"/>
          <w:sz w:val="28"/>
          <w:rtl/>
        </w:rPr>
        <w:t>لَيْسَ الخُمُسُ إِلَّا فِي الْغَنَائِمِ خَاصَّةً</w:t>
      </w:r>
      <w:r w:rsidR="00EF2588" w:rsidRPr="00BC4BA9">
        <w:rPr>
          <w:rFonts w:ascii="Abo-thar" w:hAnsi="Abo-thar" w:cs="KFGQPC Uthman Taha Naskh" w:hint="cs"/>
          <w:spacing w:val="-2"/>
          <w:sz w:val="28"/>
          <w:rtl/>
        </w:rPr>
        <w:t>»</w:t>
      </w:r>
      <w:r w:rsidR="00217AB4" w:rsidRPr="00BC4BA9">
        <w:rPr>
          <w:rStyle w:val="FootnoteReference"/>
          <w:rFonts w:cs="Arabic11 BT"/>
          <w:b/>
          <w:spacing w:val="-2"/>
          <w:sz w:val="28"/>
          <w:rtl/>
        </w:rPr>
        <w:t>(</w:t>
      </w:r>
      <w:r w:rsidRPr="00BC4BA9">
        <w:rPr>
          <w:rStyle w:val="FootnoteReference"/>
          <w:rFonts w:cs="Arabic11 BT"/>
          <w:b/>
          <w:spacing w:val="-2"/>
          <w:sz w:val="28"/>
          <w:rtl/>
        </w:rPr>
        <w:footnoteReference w:id="39"/>
      </w:r>
      <w:r w:rsidR="00217AB4" w:rsidRPr="00BC4BA9">
        <w:rPr>
          <w:rStyle w:val="FootnoteReference"/>
          <w:rFonts w:cs="Arabic11 BT"/>
          <w:b/>
          <w:spacing w:val="-2"/>
          <w:sz w:val="28"/>
          <w:rtl/>
        </w:rPr>
        <w:t>)</w:t>
      </w:r>
      <w:r w:rsidR="00217AB4" w:rsidRPr="00BC4BA9">
        <w:rPr>
          <w:rFonts w:ascii="Abo-thar" w:hAnsi="Abo-thar"/>
          <w:spacing w:val="-2"/>
          <w:sz w:val="28"/>
          <w:rtl/>
        </w:rPr>
        <w:t>.</w:t>
      </w:r>
    </w:p>
    <w:p w:rsidR="005C664D" w:rsidRPr="003F3B94" w:rsidRDefault="000868AA" w:rsidP="00A33EB8">
      <w:pPr>
        <w:widowControl w:val="0"/>
        <w:jc w:val="center"/>
        <w:rPr>
          <w:rFonts w:ascii="mylotus" w:hAnsi="mylotus" w:cs="mylotus"/>
          <w:b/>
          <w:bCs/>
          <w:sz w:val="28"/>
          <w:rtl/>
        </w:rPr>
      </w:pPr>
      <w:r w:rsidRPr="00A33EB8">
        <w:rPr>
          <w:rFonts w:ascii="mylotus" w:hAnsi="mylotus" w:cs="B Lotus"/>
          <w:b/>
          <w:bCs/>
          <w:sz w:val="28"/>
          <w:rtl/>
        </w:rPr>
        <w:t>***</w:t>
      </w:r>
    </w:p>
    <w:p w:rsidR="005C664D" w:rsidRPr="00995B26" w:rsidRDefault="005C664D" w:rsidP="003F3B94">
      <w:pPr>
        <w:pStyle w:val="a0"/>
        <w:rPr>
          <w:rFonts w:hint="cs"/>
          <w:rtl/>
        </w:rPr>
      </w:pPr>
      <w:r w:rsidRPr="003F3B94">
        <w:rPr>
          <w:rFonts w:ascii="Abo-thar" w:hAnsi="Abo-thar" w:hint="cs"/>
          <w:sz w:val="28"/>
          <w:rtl/>
        </w:rPr>
        <w:t>6</w:t>
      </w:r>
      <w:r w:rsidR="00217AB4" w:rsidRPr="003F3B94">
        <w:rPr>
          <w:rFonts w:ascii="Abo-thar" w:hAnsi="Abo-thar" w:hint="cs"/>
          <w:sz w:val="28"/>
          <w:rtl/>
        </w:rPr>
        <w:t>-</w:t>
      </w:r>
      <w:r w:rsidRPr="003F3B94">
        <w:rPr>
          <w:rFonts w:ascii="Abo-thar" w:hAnsi="Abo-thar" w:hint="cs"/>
          <w:sz w:val="28"/>
          <w:rtl/>
        </w:rPr>
        <w:t xml:space="preserve"> </w:t>
      </w:r>
      <w:r w:rsidRPr="00445175">
        <w:rPr>
          <w:rFonts w:ascii="Abo-thar" w:hAnsi="Abo-thar" w:hint="cs"/>
          <w:b/>
          <w:bCs/>
          <w:sz w:val="28"/>
          <w:rtl/>
        </w:rPr>
        <w:t>النقطة السادسة</w:t>
      </w:r>
      <w:r w:rsidRPr="003F3B94">
        <w:rPr>
          <w:rFonts w:ascii="Abo-thar" w:hAnsi="Abo-thar" w:hint="cs"/>
          <w:sz w:val="28"/>
          <w:rtl/>
        </w:rPr>
        <w:t xml:space="preserve"> التي يجب أن ننتبه إليها في فهمنا للآية الكريمة هي أن كلمة</w:t>
      </w:r>
      <w:r w:rsidR="00E77B3F" w:rsidRPr="003F3B94">
        <w:rPr>
          <w:rFonts w:ascii="Abo-thar" w:hAnsi="Abo-thar" w:hint="cs"/>
          <w:sz w:val="28"/>
          <w:rtl/>
        </w:rPr>
        <w:t xml:space="preserve">: </w:t>
      </w:r>
      <w:r w:rsidR="00E77B3F" w:rsidRPr="00995B26">
        <w:rPr>
          <w:rFonts w:ascii="Abo-thar" w:hAnsi="Abo-thar" w:cs="Traditional Arabic" w:hint="cs"/>
          <w:sz w:val="28"/>
          <w:rtl/>
        </w:rPr>
        <w:t>﴿</w:t>
      </w:r>
      <w:r w:rsidR="00E77B3F" w:rsidRPr="00DF7CAE">
        <w:rPr>
          <w:rStyle w:val="Char3"/>
          <w:rFonts w:hint="eastAsia"/>
          <w:rtl/>
        </w:rPr>
        <w:t>غَنِم</w:t>
      </w:r>
      <w:r w:rsidR="00E77B3F" w:rsidRPr="00DF7CAE">
        <w:rPr>
          <w:rStyle w:val="Char3"/>
          <w:rFonts w:hint="cs"/>
          <w:rtl/>
        </w:rPr>
        <w:t>ۡ</w:t>
      </w:r>
      <w:r w:rsidR="00E77B3F" w:rsidRPr="00DF7CAE">
        <w:rPr>
          <w:rStyle w:val="Char3"/>
          <w:rFonts w:hint="eastAsia"/>
          <w:rtl/>
        </w:rPr>
        <w:t>تُم</w:t>
      </w:r>
      <w:r w:rsidR="00E77B3F" w:rsidRPr="00995B26">
        <w:rPr>
          <w:rFonts w:ascii="Abo-thar" w:hAnsi="Abo-thar" w:cs="Traditional Arabic" w:hint="cs"/>
          <w:sz w:val="28"/>
          <w:rtl/>
        </w:rPr>
        <w:t>﴾</w:t>
      </w:r>
      <w:r w:rsidRPr="00995B26">
        <w:rPr>
          <w:rFonts w:ascii="Abo-thar" w:hAnsi="Abo-thar" w:hint="cs"/>
          <w:sz w:val="28"/>
          <w:rtl/>
        </w:rPr>
        <w:t xml:space="preserve"> جاءت بصيغة المخاطب الماضي مما يدل على عدة أمور</w:t>
      </w:r>
      <w:r w:rsidR="00217AB4" w:rsidRPr="00995B26">
        <w:rPr>
          <w:rFonts w:ascii="Abo-thar" w:hAnsi="Abo-thar" w:hint="cs"/>
          <w:sz w:val="28"/>
          <w:rtl/>
        </w:rPr>
        <w:t>:</w:t>
      </w:r>
      <w:r w:rsidRPr="00995B26">
        <w:rPr>
          <w:rFonts w:ascii="Abo-thar" w:hAnsi="Abo-thar" w:hint="cs"/>
          <w:sz w:val="28"/>
          <w:rtl/>
        </w:rPr>
        <w:t xml:space="preserve"> </w:t>
      </w:r>
    </w:p>
    <w:p w:rsidR="005C664D" w:rsidRPr="003F3B94" w:rsidRDefault="005C664D" w:rsidP="00445175">
      <w:pPr>
        <w:pStyle w:val="a0"/>
        <w:ind w:left="624" w:hanging="340"/>
        <w:rPr>
          <w:rFonts w:hint="cs"/>
          <w:rtl/>
        </w:rPr>
      </w:pPr>
      <w:r w:rsidRPr="003F3B94">
        <w:rPr>
          <w:rFonts w:ascii="Abo-thar" w:hAnsi="Abo-thar" w:hint="cs"/>
          <w:sz w:val="28"/>
          <w:rtl/>
        </w:rPr>
        <w:t>أ</w:t>
      </w:r>
      <w:r w:rsidR="00217AB4" w:rsidRPr="003F3B94">
        <w:rPr>
          <w:rFonts w:ascii="Abo-thar" w:hAnsi="Abo-thar" w:hint="cs"/>
          <w:sz w:val="28"/>
          <w:rtl/>
        </w:rPr>
        <w:t>-</w:t>
      </w:r>
      <w:r w:rsidRPr="003F3B94">
        <w:rPr>
          <w:rFonts w:ascii="Abo-thar" w:hAnsi="Abo-thar" w:hint="cs"/>
          <w:sz w:val="28"/>
          <w:rtl/>
        </w:rPr>
        <w:t xml:space="preserve"> أن الكلام عن أمر قد وقع وعن شيءٍ كان حاضراً في حينها</w:t>
      </w:r>
      <w:r w:rsidR="00217AB4" w:rsidRPr="003F3B94">
        <w:rPr>
          <w:rFonts w:ascii="Abo-thar" w:hAnsi="Abo-thar" w:hint="cs"/>
          <w:sz w:val="28"/>
          <w:rtl/>
        </w:rPr>
        <w:t>،</w:t>
      </w:r>
      <w:r w:rsidRPr="003F3B94">
        <w:rPr>
          <w:rFonts w:ascii="Abo-thar" w:hAnsi="Abo-thar" w:hint="cs"/>
          <w:sz w:val="28"/>
          <w:rtl/>
        </w:rPr>
        <w:t xml:space="preserve"> فلا يصح إذن أن يقصد بها غنائم لم يتم الحصول عليها بعد وأنها ستختص برسول الله وبآله فيما بعد </w:t>
      </w:r>
      <w:r w:rsidR="00217AB4" w:rsidRPr="003F3B94">
        <w:rPr>
          <w:rFonts w:ascii="Abo-thar" w:hAnsi="Abo-thar" w:hint="cs"/>
          <w:sz w:val="28"/>
          <w:rtl/>
        </w:rPr>
        <w:t>(</w:t>
      </w:r>
      <w:r w:rsidRPr="003F3B94">
        <w:rPr>
          <w:rFonts w:ascii="Abo-thar" w:hAnsi="Abo-thar" w:hint="cs"/>
          <w:sz w:val="28"/>
          <w:rtl/>
        </w:rPr>
        <w:t xml:space="preserve">هذا إذا اعتبرنا أن </w:t>
      </w:r>
      <w:r w:rsidRPr="003F3B94">
        <w:rPr>
          <w:rFonts w:ascii="Abo-thar" w:hAnsi="Abo-thar" w:hint="eastAsia"/>
          <w:sz w:val="28"/>
          <w:rtl/>
        </w:rPr>
        <w:t>«</w:t>
      </w:r>
      <w:r w:rsidRPr="003F3B94">
        <w:rPr>
          <w:rFonts w:ascii="Abo-thar" w:hAnsi="Abo-thar" w:hint="cs"/>
          <w:sz w:val="28"/>
          <w:rtl/>
        </w:rPr>
        <w:t>ذي القربى</w:t>
      </w:r>
      <w:r w:rsidRPr="003F3B94">
        <w:rPr>
          <w:rFonts w:ascii="Abo-thar" w:hAnsi="Abo-thar" w:hint="eastAsia"/>
          <w:sz w:val="28"/>
          <w:rtl/>
        </w:rPr>
        <w:t>»</w:t>
      </w:r>
      <w:r w:rsidRPr="003F3B94">
        <w:rPr>
          <w:rFonts w:ascii="Abo-thar" w:hAnsi="Abo-thar" w:hint="cs"/>
          <w:sz w:val="28"/>
          <w:rtl/>
        </w:rPr>
        <w:t xml:space="preserve"> أقرباء رسول الله</w:t>
      </w:r>
      <w:r w:rsidR="00147857" w:rsidRPr="003F3B94">
        <w:rPr>
          <w:rFonts w:ascii="Abo-thar" w:hAnsi="Abo-thar" w:hint="cs"/>
          <w:sz w:val="28"/>
          <w:rtl/>
        </w:rPr>
        <w:t xml:space="preserve"> </w:t>
      </w:r>
      <w:r w:rsidR="003C7AEB" w:rsidRPr="003C7AEB">
        <w:rPr>
          <w:rFonts w:ascii="Abo-thar" w:hAnsi="Abo-thar" w:cs="CTraditional Arabic"/>
          <w:sz w:val="28"/>
          <w:rtl/>
        </w:rPr>
        <w:t>ص</w:t>
      </w:r>
      <w:r w:rsidR="00217AB4" w:rsidRPr="003F3B94">
        <w:rPr>
          <w:rFonts w:ascii="Abo-thar" w:hAnsi="Abo-thar"/>
          <w:sz w:val="28"/>
          <w:rtl/>
        </w:rPr>
        <w:t>)</w:t>
      </w:r>
      <w:r w:rsidR="00217AB4" w:rsidRPr="003F3B94">
        <w:rPr>
          <w:rFonts w:ascii="Abo-thar" w:hAnsi="Abo-thar" w:hint="cs"/>
          <w:sz w:val="28"/>
          <w:rtl/>
        </w:rPr>
        <w:t>،</w:t>
      </w:r>
      <w:r w:rsidRPr="003F3B94">
        <w:rPr>
          <w:rFonts w:ascii="Abo-thar" w:hAnsi="Abo-thar" w:hint="cs"/>
          <w:sz w:val="28"/>
          <w:rtl/>
        </w:rPr>
        <w:t xml:space="preserve"> وذلك لأنه لا يمكن تقسيم الشيء المعدوم على الأشخاص الموجودين كما أنه لا يمكن تقسيم الشـيء الموجود على أشخاص معدومين</w:t>
      </w:r>
      <w:r w:rsidR="00217AB4" w:rsidRPr="003F3B94">
        <w:rPr>
          <w:rFonts w:ascii="Abo-thar" w:hAnsi="Abo-thar" w:hint="cs"/>
          <w:sz w:val="28"/>
          <w:rtl/>
        </w:rPr>
        <w:t>،</w:t>
      </w:r>
      <w:r w:rsidRPr="003F3B94">
        <w:rPr>
          <w:rFonts w:ascii="Abo-thar" w:hAnsi="Abo-thar" w:hint="cs"/>
          <w:sz w:val="28"/>
          <w:rtl/>
        </w:rPr>
        <w:t xml:space="preserve"> ولم يأتِ الأمر في تلك الآية على النحو الذي جاءت به الآيات الآمرة بالزكاة التي أتت بصيغ مختلفة </w:t>
      </w:r>
      <w:r w:rsidR="00217AB4" w:rsidRPr="003F3B94">
        <w:rPr>
          <w:rFonts w:ascii="Abo-thar" w:hAnsi="Abo-thar" w:hint="cs"/>
          <w:sz w:val="28"/>
          <w:rtl/>
        </w:rPr>
        <w:t>(</w:t>
      </w:r>
      <w:r w:rsidRPr="003F3B94">
        <w:rPr>
          <w:rFonts w:ascii="Abo-thar" w:hAnsi="Abo-thar" w:hint="cs"/>
          <w:sz w:val="28"/>
          <w:rtl/>
        </w:rPr>
        <w:t>الماضي والحاضر والمستقبل</w:t>
      </w:r>
      <w:r w:rsidR="00217AB4" w:rsidRPr="003F3B94">
        <w:rPr>
          <w:rFonts w:ascii="Abo-thar" w:hAnsi="Abo-thar" w:hint="cs"/>
          <w:sz w:val="28"/>
          <w:rtl/>
        </w:rPr>
        <w:t>)</w:t>
      </w:r>
      <w:r w:rsidRPr="003F3B94">
        <w:rPr>
          <w:rFonts w:ascii="Abo-thar" w:hAnsi="Abo-thar" w:hint="cs"/>
          <w:sz w:val="28"/>
          <w:rtl/>
        </w:rPr>
        <w:t xml:space="preserve"> وشملت بذلك عامة الحاضرين والغائبين</w:t>
      </w:r>
      <w:r w:rsidR="00217AB4" w:rsidRPr="0021507A">
        <w:rPr>
          <w:rStyle w:val="FootnoteReference"/>
          <w:rFonts w:cs="Arabic11 BT"/>
          <w:sz w:val="28"/>
          <w:rtl/>
        </w:rPr>
        <w:t>(</w:t>
      </w:r>
      <w:r w:rsidRPr="0021507A">
        <w:rPr>
          <w:rStyle w:val="FootnoteReference"/>
          <w:rFonts w:cs="Arabic11 BT"/>
          <w:sz w:val="28"/>
          <w:rtl/>
        </w:rPr>
        <w:footnoteReference w:id="40"/>
      </w:r>
      <w:r w:rsidR="00217AB4" w:rsidRPr="0021507A">
        <w:rPr>
          <w:rStyle w:val="FootnoteReference"/>
          <w:rFonts w:cs="Arabic11 BT"/>
          <w:sz w:val="28"/>
          <w:rtl/>
        </w:rPr>
        <w:t>)</w:t>
      </w:r>
      <w:r w:rsidR="00217AB4" w:rsidRPr="003F3B94">
        <w:rPr>
          <w:rFonts w:ascii="Abo-thar" w:hAnsi="Abo-thar" w:hint="cs"/>
          <w:sz w:val="28"/>
          <w:rtl/>
        </w:rPr>
        <w:t>.</w:t>
      </w:r>
      <w:r w:rsidRPr="003F3B94">
        <w:rPr>
          <w:rFonts w:ascii="Abo-thar" w:hAnsi="Abo-thar" w:hint="cs"/>
          <w:sz w:val="28"/>
          <w:rtl/>
        </w:rPr>
        <w:t xml:space="preserve"> </w:t>
      </w:r>
    </w:p>
    <w:p w:rsidR="005C664D" w:rsidRPr="00995B26" w:rsidRDefault="005C664D" w:rsidP="00445175">
      <w:pPr>
        <w:pStyle w:val="a0"/>
        <w:ind w:left="624" w:hanging="340"/>
        <w:rPr>
          <w:rFonts w:hint="cs"/>
          <w:rtl/>
        </w:rPr>
      </w:pPr>
      <w:r w:rsidRPr="003F3B94">
        <w:rPr>
          <w:rFonts w:ascii="Abo-thar" w:hAnsi="Abo-thar" w:hint="cs"/>
          <w:sz w:val="28"/>
          <w:rtl/>
        </w:rPr>
        <w:t>ب</w:t>
      </w:r>
      <w:r w:rsidR="00217AB4" w:rsidRPr="003F3B94">
        <w:rPr>
          <w:rFonts w:ascii="Abo-thar" w:hAnsi="Abo-thar" w:hint="cs"/>
          <w:sz w:val="28"/>
          <w:rtl/>
        </w:rPr>
        <w:t>-</w:t>
      </w:r>
      <w:r w:rsidRPr="003F3B94">
        <w:rPr>
          <w:rFonts w:ascii="Abo-thar" w:hAnsi="Abo-thar" w:hint="cs"/>
          <w:sz w:val="28"/>
          <w:rtl/>
        </w:rPr>
        <w:t xml:space="preserve"> إن الخطاب في تلك الآية موجه لأفراد موجودين ومعلومين في ذلك الزمن</w:t>
      </w:r>
      <w:r w:rsidR="00217AB4" w:rsidRPr="003F3B94">
        <w:rPr>
          <w:rFonts w:ascii="Abo-thar" w:hAnsi="Abo-thar" w:hint="cs"/>
          <w:sz w:val="28"/>
          <w:rtl/>
        </w:rPr>
        <w:t>،</w:t>
      </w:r>
      <w:r w:rsidRPr="003F3B94">
        <w:rPr>
          <w:rFonts w:ascii="Abo-thar" w:hAnsi="Abo-thar" w:hint="cs"/>
          <w:sz w:val="28"/>
          <w:rtl/>
        </w:rPr>
        <w:t xml:space="preserve"> كما نشاهد في الآيات السابقة واللاحقة لها تصويراً لكيفية المعركة ثم خطاباً لأفراد معينين خاصين بقوله تعالى</w:t>
      </w:r>
      <w:r w:rsidR="00217AB4" w:rsidRPr="003F3B94">
        <w:rPr>
          <w:rFonts w:ascii="Abo-thar" w:hAnsi="Abo-thar" w:hint="cs"/>
          <w:sz w:val="28"/>
          <w:rtl/>
        </w:rPr>
        <w:t>:</w:t>
      </w:r>
      <w:r w:rsidR="00E77B3F" w:rsidRPr="003F3B94">
        <w:rPr>
          <w:rFonts w:ascii="Abo-thar" w:hAnsi="Abo-thar" w:hint="cs"/>
          <w:sz w:val="28"/>
          <w:rtl/>
        </w:rPr>
        <w:t xml:space="preserve"> </w:t>
      </w:r>
      <w:r w:rsidR="00E77B3F" w:rsidRPr="00995B26">
        <w:rPr>
          <w:rFonts w:ascii="Abo-thar" w:hAnsi="Abo-thar" w:cs="Traditional Arabic" w:hint="cs"/>
          <w:sz w:val="28"/>
          <w:rtl/>
        </w:rPr>
        <w:t>﴿</w:t>
      </w:r>
      <w:r w:rsidR="00E77B3F" w:rsidRPr="00DF7CAE">
        <w:rPr>
          <w:rStyle w:val="Char3"/>
          <w:rFonts w:hint="eastAsia"/>
          <w:rtl/>
        </w:rPr>
        <w:t>إِن</w:t>
      </w:r>
      <w:r w:rsidR="00E77B3F" w:rsidRPr="00DF7CAE">
        <w:rPr>
          <w:rStyle w:val="Char3"/>
          <w:rtl/>
        </w:rPr>
        <w:t xml:space="preserve"> </w:t>
      </w:r>
      <w:r w:rsidR="00E77B3F" w:rsidRPr="00DF7CAE">
        <w:rPr>
          <w:rStyle w:val="Char3"/>
          <w:rFonts w:hint="eastAsia"/>
          <w:rtl/>
        </w:rPr>
        <w:t>كُنتُم</w:t>
      </w:r>
      <w:r w:rsidR="00E77B3F" w:rsidRPr="00DF7CAE">
        <w:rPr>
          <w:rStyle w:val="Char3"/>
          <w:rFonts w:hint="cs"/>
          <w:rtl/>
        </w:rPr>
        <w:t>ۡ</w:t>
      </w:r>
      <w:r w:rsidR="00E77B3F" w:rsidRPr="00DF7CAE">
        <w:rPr>
          <w:rStyle w:val="Char3"/>
          <w:rtl/>
        </w:rPr>
        <w:t xml:space="preserve"> </w:t>
      </w:r>
      <w:r w:rsidR="00E77B3F" w:rsidRPr="00DF7CAE">
        <w:rPr>
          <w:rStyle w:val="Char3"/>
          <w:rFonts w:hint="eastAsia"/>
          <w:rtl/>
        </w:rPr>
        <w:t>ءَامَنتُم</w:t>
      </w:r>
      <w:r w:rsidR="00E77B3F" w:rsidRPr="00DF7CAE">
        <w:rPr>
          <w:rStyle w:val="Char3"/>
          <w:rtl/>
        </w:rPr>
        <w:t xml:space="preserve"> </w:t>
      </w:r>
      <w:r w:rsidR="00E77B3F" w:rsidRPr="00DF7CAE">
        <w:rPr>
          <w:rStyle w:val="Char3"/>
          <w:rFonts w:hint="eastAsia"/>
          <w:rtl/>
        </w:rPr>
        <w:t>بِ</w:t>
      </w:r>
      <w:r w:rsidR="00E77B3F" w:rsidRPr="00DF7CAE">
        <w:rPr>
          <w:rStyle w:val="Char3"/>
          <w:rFonts w:hint="cs"/>
          <w:rtl/>
        </w:rPr>
        <w:t>ٱ</w:t>
      </w:r>
      <w:r w:rsidR="00E77B3F" w:rsidRPr="00DF7CAE">
        <w:rPr>
          <w:rStyle w:val="Char3"/>
          <w:rFonts w:hint="eastAsia"/>
          <w:rtl/>
        </w:rPr>
        <w:t>للَّهِ</w:t>
      </w:r>
      <w:r w:rsidR="00E77B3F" w:rsidRPr="00DF7CAE">
        <w:rPr>
          <w:rStyle w:val="Char3"/>
          <w:rtl/>
        </w:rPr>
        <w:t xml:space="preserve"> </w:t>
      </w:r>
      <w:r w:rsidR="00E77B3F" w:rsidRPr="00DF7CAE">
        <w:rPr>
          <w:rStyle w:val="Char3"/>
          <w:rFonts w:hint="eastAsia"/>
          <w:rtl/>
        </w:rPr>
        <w:t>وَمَا</w:t>
      </w:r>
      <w:r w:rsidR="00E77B3F" w:rsidRPr="00DF7CAE">
        <w:rPr>
          <w:rStyle w:val="Char3"/>
          <w:rFonts w:hint="cs"/>
          <w:rtl/>
        </w:rPr>
        <w:t>ٓ</w:t>
      </w:r>
      <w:r w:rsidR="00E77B3F" w:rsidRPr="00DF7CAE">
        <w:rPr>
          <w:rStyle w:val="Char3"/>
          <w:rtl/>
        </w:rPr>
        <w:t xml:space="preserve"> </w:t>
      </w:r>
      <w:r w:rsidR="00E77B3F" w:rsidRPr="00DF7CAE">
        <w:rPr>
          <w:rStyle w:val="Char3"/>
          <w:rFonts w:hint="eastAsia"/>
          <w:rtl/>
        </w:rPr>
        <w:t>أَنزَل</w:t>
      </w:r>
      <w:r w:rsidR="00E77B3F" w:rsidRPr="00DF7CAE">
        <w:rPr>
          <w:rStyle w:val="Char3"/>
          <w:rFonts w:hint="cs"/>
          <w:rtl/>
        </w:rPr>
        <w:t>ۡ</w:t>
      </w:r>
      <w:r w:rsidR="00E77B3F" w:rsidRPr="00DF7CAE">
        <w:rPr>
          <w:rStyle w:val="Char3"/>
          <w:rFonts w:hint="eastAsia"/>
          <w:rtl/>
        </w:rPr>
        <w:t>نَا</w:t>
      </w:r>
      <w:r w:rsidR="00E77B3F" w:rsidRPr="00DF7CAE">
        <w:rPr>
          <w:rStyle w:val="Char3"/>
          <w:rtl/>
        </w:rPr>
        <w:t xml:space="preserve"> </w:t>
      </w:r>
      <w:r w:rsidR="00E77B3F" w:rsidRPr="00DF7CAE">
        <w:rPr>
          <w:rStyle w:val="Char3"/>
          <w:rFonts w:hint="eastAsia"/>
          <w:rtl/>
        </w:rPr>
        <w:t>عَلَى</w:t>
      </w:r>
      <w:r w:rsidR="00E77B3F" w:rsidRPr="00DF7CAE">
        <w:rPr>
          <w:rStyle w:val="Char3"/>
          <w:rFonts w:hint="cs"/>
          <w:rtl/>
        </w:rPr>
        <w:t>ٰ</w:t>
      </w:r>
      <w:r w:rsidR="00E77B3F" w:rsidRPr="00DF7CAE">
        <w:rPr>
          <w:rStyle w:val="Char3"/>
          <w:rtl/>
        </w:rPr>
        <w:t xml:space="preserve"> </w:t>
      </w:r>
      <w:r w:rsidR="00E77B3F" w:rsidRPr="00DF7CAE">
        <w:rPr>
          <w:rStyle w:val="Char3"/>
          <w:rFonts w:hint="eastAsia"/>
          <w:rtl/>
        </w:rPr>
        <w:t>عَب</w:t>
      </w:r>
      <w:r w:rsidR="00E77B3F" w:rsidRPr="00DF7CAE">
        <w:rPr>
          <w:rStyle w:val="Char3"/>
          <w:rFonts w:hint="cs"/>
          <w:rtl/>
        </w:rPr>
        <w:t>ۡ</w:t>
      </w:r>
      <w:r w:rsidR="00E77B3F" w:rsidRPr="00DF7CAE">
        <w:rPr>
          <w:rStyle w:val="Char3"/>
          <w:rFonts w:hint="eastAsia"/>
          <w:rtl/>
        </w:rPr>
        <w:t>دِنَا</w:t>
      </w:r>
      <w:r w:rsidR="00E77B3F" w:rsidRPr="00DF7CAE">
        <w:rPr>
          <w:rStyle w:val="Char3"/>
          <w:rtl/>
        </w:rPr>
        <w:t xml:space="preserve"> </w:t>
      </w:r>
      <w:r w:rsidR="00E77B3F" w:rsidRPr="00DF7CAE">
        <w:rPr>
          <w:rStyle w:val="Char3"/>
          <w:rFonts w:hint="eastAsia"/>
          <w:rtl/>
        </w:rPr>
        <w:t>يَو</w:t>
      </w:r>
      <w:r w:rsidR="00E77B3F" w:rsidRPr="00DF7CAE">
        <w:rPr>
          <w:rStyle w:val="Char3"/>
          <w:rFonts w:hint="cs"/>
          <w:rtl/>
        </w:rPr>
        <w:t>ۡ</w:t>
      </w:r>
      <w:r w:rsidR="00E77B3F" w:rsidRPr="00DF7CAE">
        <w:rPr>
          <w:rStyle w:val="Char3"/>
          <w:rFonts w:hint="eastAsia"/>
          <w:rtl/>
        </w:rPr>
        <w:t>مَ</w:t>
      </w:r>
      <w:r w:rsidR="00E77B3F" w:rsidRPr="00DF7CAE">
        <w:rPr>
          <w:rStyle w:val="Char3"/>
          <w:rtl/>
        </w:rPr>
        <w:t xml:space="preserve"> </w:t>
      </w:r>
      <w:r w:rsidR="00E77B3F" w:rsidRPr="00DF7CAE">
        <w:rPr>
          <w:rStyle w:val="Char3"/>
          <w:rFonts w:hint="cs"/>
          <w:rtl/>
        </w:rPr>
        <w:t>ٱ</w:t>
      </w:r>
      <w:r w:rsidR="00E77B3F" w:rsidRPr="00DF7CAE">
        <w:rPr>
          <w:rStyle w:val="Char3"/>
          <w:rFonts w:hint="eastAsia"/>
          <w:rtl/>
        </w:rPr>
        <w:t>ل</w:t>
      </w:r>
      <w:r w:rsidR="00E77B3F" w:rsidRPr="00DF7CAE">
        <w:rPr>
          <w:rStyle w:val="Char3"/>
          <w:rFonts w:hint="cs"/>
          <w:rtl/>
        </w:rPr>
        <w:t>ۡ</w:t>
      </w:r>
      <w:r w:rsidR="00E77B3F" w:rsidRPr="00DF7CAE">
        <w:rPr>
          <w:rStyle w:val="Char3"/>
          <w:rFonts w:hint="eastAsia"/>
          <w:rtl/>
        </w:rPr>
        <w:t>فُر</w:t>
      </w:r>
      <w:r w:rsidR="00E77B3F" w:rsidRPr="00DF7CAE">
        <w:rPr>
          <w:rStyle w:val="Char3"/>
          <w:rFonts w:hint="cs"/>
          <w:rtl/>
        </w:rPr>
        <w:t>ۡ</w:t>
      </w:r>
      <w:r w:rsidR="00E77B3F" w:rsidRPr="00DF7CAE">
        <w:rPr>
          <w:rStyle w:val="Char3"/>
          <w:rFonts w:hint="eastAsia"/>
          <w:rtl/>
        </w:rPr>
        <w:t>قَانِ</w:t>
      </w:r>
      <w:r w:rsidR="00E77B3F" w:rsidRPr="00DF7CAE">
        <w:rPr>
          <w:rStyle w:val="Char3"/>
          <w:rtl/>
        </w:rPr>
        <w:t xml:space="preserve"> </w:t>
      </w:r>
      <w:r w:rsidR="00E77B3F" w:rsidRPr="00DF7CAE">
        <w:rPr>
          <w:rStyle w:val="Char3"/>
          <w:rFonts w:hint="eastAsia"/>
          <w:rtl/>
        </w:rPr>
        <w:t>يَو</w:t>
      </w:r>
      <w:r w:rsidR="00E77B3F" w:rsidRPr="00DF7CAE">
        <w:rPr>
          <w:rStyle w:val="Char3"/>
          <w:rFonts w:hint="cs"/>
          <w:rtl/>
        </w:rPr>
        <w:t>ۡ</w:t>
      </w:r>
      <w:r w:rsidR="00E77B3F" w:rsidRPr="00DF7CAE">
        <w:rPr>
          <w:rStyle w:val="Char3"/>
          <w:rFonts w:hint="eastAsia"/>
          <w:rtl/>
        </w:rPr>
        <w:t>مَ</w:t>
      </w:r>
      <w:r w:rsidR="00E77B3F" w:rsidRPr="00DF7CAE">
        <w:rPr>
          <w:rStyle w:val="Char3"/>
          <w:rtl/>
        </w:rPr>
        <w:t xml:space="preserve"> </w:t>
      </w:r>
      <w:r w:rsidR="00E77B3F" w:rsidRPr="00DF7CAE">
        <w:rPr>
          <w:rStyle w:val="Char3"/>
          <w:rFonts w:hint="cs"/>
          <w:rtl/>
        </w:rPr>
        <w:t>ٱ</w:t>
      </w:r>
      <w:r w:rsidR="00E77B3F" w:rsidRPr="00DF7CAE">
        <w:rPr>
          <w:rStyle w:val="Char3"/>
          <w:rFonts w:hint="eastAsia"/>
          <w:rtl/>
        </w:rPr>
        <w:t>ل</w:t>
      </w:r>
      <w:r w:rsidR="00E77B3F" w:rsidRPr="00DF7CAE">
        <w:rPr>
          <w:rStyle w:val="Char3"/>
          <w:rFonts w:hint="cs"/>
          <w:rtl/>
        </w:rPr>
        <w:t>ۡ</w:t>
      </w:r>
      <w:r w:rsidR="00E77B3F" w:rsidRPr="00DF7CAE">
        <w:rPr>
          <w:rStyle w:val="Char3"/>
          <w:rFonts w:hint="eastAsia"/>
          <w:rtl/>
        </w:rPr>
        <w:t>تَقَى</w:t>
      </w:r>
      <w:r w:rsidR="00E77B3F" w:rsidRPr="00DF7CAE">
        <w:rPr>
          <w:rStyle w:val="Char3"/>
          <w:rtl/>
        </w:rPr>
        <w:t xml:space="preserve"> </w:t>
      </w:r>
      <w:r w:rsidR="00E77B3F" w:rsidRPr="00DF7CAE">
        <w:rPr>
          <w:rStyle w:val="Char3"/>
          <w:rFonts w:hint="cs"/>
          <w:rtl/>
        </w:rPr>
        <w:t>ٱ</w:t>
      </w:r>
      <w:r w:rsidR="00E77B3F" w:rsidRPr="00DF7CAE">
        <w:rPr>
          <w:rStyle w:val="Char3"/>
          <w:rFonts w:hint="eastAsia"/>
          <w:rtl/>
        </w:rPr>
        <w:t>ل</w:t>
      </w:r>
      <w:r w:rsidR="00E77B3F" w:rsidRPr="00DF7CAE">
        <w:rPr>
          <w:rStyle w:val="Char3"/>
          <w:rFonts w:hint="cs"/>
          <w:rtl/>
        </w:rPr>
        <w:t>ۡ</w:t>
      </w:r>
      <w:r w:rsidR="00E77B3F" w:rsidRPr="00DF7CAE">
        <w:rPr>
          <w:rStyle w:val="Char3"/>
          <w:rFonts w:hint="eastAsia"/>
          <w:rtl/>
        </w:rPr>
        <w:t>جَم</w:t>
      </w:r>
      <w:r w:rsidR="00E77B3F" w:rsidRPr="00DF7CAE">
        <w:rPr>
          <w:rStyle w:val="Char3"/>
          <w:rFonts w:hint="cs"/>
          <w:rtl/>
        </w:rPr>
        <w:t>ۡ</w:t>
      </w:r>
      <w:r w:rsidR="00E77B3F" w:rsidRPr="00DF7CAE">
        <w:rPr>
          <w:rStyle w:val="Char3"/>
          <w:rFonts w:hint="eastAsia"/>
          <w:rtl/>
        </w:rPr>
        <w:t>عَانِ</w:t>
      </w:r>
      <w:r w:rsidR="00E77B3F" w:rsidRPr="00995B26">
        <w:rPr>
          <w:rFonts w:ascii="Abo-thar" w:hAnsi="Abo-thar" w:cs="Traditional Arabic" w:hint="cs"/>
          <w:sz w:val="28"/>
          <w:rtl/>
        </w:rPr>
        <w:t>﴾</w:t>
      </w:r>
      <w:r w:rsidRPr="00995B26">
        <w:rPr>
          <w:rFonts w:ascii="Abo-thar" w:hAnsi="Abo-thar" w:hint="cs"/>
          <w:sz w:val="28"/>
          <w:rtl/>
        </w:rPr>
        <w:t xml:space="preserve"> </w:t>
      </w:r>
      <w:r w:rsidR="00E77B3F" w:rsidRPr="00FC12FD">
        <w:rPr>
          <w:rStyle w:val="Char2"/>
          <w:rFonts w:hint="cs"/>
          <w:rtl/>
        </w:rPr>
        <w:t>[</w:t>
      </w:r>
      <w:r w:rsidRPr="00FC12FD">
        <w:rPr>
          <w:rStyle w:val="Char2"/>
          <w:rFonts w:hint="cs"/>
          <w:rtl/>
        </w:rPr>
        <w:t>الأنفال</w:t>
      </w:r>
      <w:r w:rsidR="00E77B3F" w:rsidRPr="00FC12FD">
        <w:rPr>
          <w:rStyle w:val="Char2"/>
          <w:rFonts w:hint="cs"/>
          <w:rtl/>
        </w:rPr>
        <w:t>:</w:t>
      </w:r>
      <w:r w:rsidRPr="00FC12FD">
        <w:rPr>
          <w:rStyle w:val="Char2"/>
          <w:rFonts w:hint="cs"/>
          <w:rtl/>
        </w:rPr>
        <w:t>41</w:t>
      </w:r>
      <w:r w:rsidR="00E77B3F" w:rsidRPr="00FC12FD">
        <w:rPr>
          <w:rStyle w:val="Char2"/>
          <w:rFonts w:hint="cs"/>
          <w:rtl/>
        </w:rPr>
        <w:t>]</w:t>
      </w:r>
      <w:r w:rsidR="00217AB4" w:rsidRPr="00995B26">
        <w:rPr>
          <w:rFonts w:ascii="Abo-thar" w:hAnsi="Abo-thar" w:hint="cs"/>
          <w:sz w:val="28"/>
          <w:rtl/>
        </w:rPr>
        <w:t>،</w:t>
      </w:r>
      <w:r w:rsidRPr="00995B26">
        <w:rPr>
          <w:rFonts w:ascii="Abo-thar" w:hAnsi="Abo-thar" w:hint="cs"/>
          <w:sz w:val="28"/>
          <w:rtl/>
        </w:rPr>
        <w:t xml:space="preserve"> ثم قال بعدها</w:t>
      </w:r>
      <w:r w:rsidR="00E77B3F" w:rsidRPr="00995B26">
        <w:rPr>
          <w:rFonts w:ascii="Abo-thar" w:hAnsi="Abo-thar" w:hint="cs"/>
          <w:sz w:val="28"/>
          <w:rtl/>
        </w:rPr>
        <w:t xml:space="preserve"> </w:t>
      </w:r>
      <w:r w:rsidR="00E77B3F" w:rsidRPr="00995B26">
        <w:rPr>
          <w:rFonts w:ascii="Abo-thar" w:hAnsi="Abo-thar" w:cs="Traditional Arabic" w:hint="cs"/>
          <w:sz w:val="28"/>
          <w:rtl/>
        </w:rPr>
        <w:t>﴿</w:t>
      </w:r>
      <w:r w:rsidR="00E77B3F" w:rsidRPr="00DF7CAE">
        <w:rPr>
          <w:rStyle w:val="Char3"/>
          <w:rFonts w:hint="eastAsia"/>
          <w:rtl/>
        </w:rPr>
        <w:t>إِذ</w:t>
      </w:r>
      <w:r w:rsidR="00E77B3F" w:rsidRPr="00DF7CAE">
        <w:rPr>
          <w:rStyle w:val="Char3"/>
          <w:rFonts w:hint="cs"/>
          <w:rtl/>
        </w:rPr>
        <w:t>ۡ</w:t>
      </w:r>
      <w:r w:rsidR="00E77B3F" w:rsidRPr="00DF7CAE">
        <w:rPr>
          <w:rStyle w:val="Char3"/>
          <w:rtl/>
        </w:rPr>
        <w:t xml:space="preserve"> </w:t>
      </w:r>
      <w:r w:rsidR="00E77B3F" w:rsidRPr="00DF7CAE">
        <w:rPr>
          <w:rStyle w:val="Char3"/>
          <w:rFonts w:hint="eastAsia"/>
          <w:rtl/>
        </w:rPr>
        <w:t>أَنتُم</w:t>
      </w:r>
      <w:r w:rsidR="00E77B3F" w:rsidRPr="00DF7CAE">
        <w:rPr>
          <w:rStyle w:val="Char3"/>
          <w:rtl/>
        </w:rPr>
        <w:t xml:space="preserve"> </w:t>
      </w:r>
      <w:r w:rsidR="00E77B3F" w:rsidRPr="00DF7CAE">
        <w:rPr>
          <w:rStyle w:val="Char3"/>
          <w:rFonts w:hint="eastAsia"/>
          <w:rtl/>
        </w:rPr>
        <w:t>بِ</w:t>
      </w:r>
      <w:r w:rsidR="00E77B3F" w:rsidRPr="00DF7CAE">
        <w:rPr>
          <w:rStyle w:val="Char3"/>
          <w:rFonts w:hint="cs"/>
          <w:rtl/>
        </w:rPr>
        <w:t>ٱ</w:t>
      </w:r>
      <w:r w:rsidR="00E77B3F" w:rsidRPr="00DF7CAE">
        <w:rPr>
          <w:rStyle w:val="Char3"/>
          <w:rFonts w:hint="eastAsia"/>
          <w:rtl/>
        </w:rPr>
        <w:t>ل</w:t>
      </w:r>
      <w:r w:rsidR="00E77B3F" w:rsidRPr="00DF7CAE">
        <w:rPr>
          <w:rStyle w:val="Char3"/>
          <w:rFonts w:hint="cs"/>
          <w:rtl/>
        </w:rPr>
        <w:t>ۡ</w:t>
      </w:r>
      <w:r w:rsidR="00E77B3F" w:rsidRPr="00DF7CAE">
        <w:rPr>
          <w:rStyle w:val="Char3"/>
          <w:rFonts w:hint="eastAsia"/>
          <w:rtl/>
        </w:rPr>
        <w:t>عُد</w:t>
      </w:r>
      <w:r w:rsidR="00E77B3F" w:rsidRPr="00DF7CAE">
        <w:rPr>
          <w:rStyle w:val="Char3"/>
          <w:rFonts w:hint="cs"/>
          <w:rtl/>
        </w:rPr>
        <w:t>ۡ</w:t>
      </w:r>
      <w:r w:rsidR="00E77B3F" w:rsidRPr="00DF7CAE">
        <w:rPr>
          <w:rStyle w:val="Char3"/>
          <w:rFonts w:hint="eastAsia"/>
          <w:rtl/>
        </w:rPr>
        <w:t>وَةِ</w:t>
      </w:r>
      <w:r w:rsidR="00E77B3F" w:rsidRPr="00DF7CAE">
        <w:rPr>
          <w:rStyle w:val="Char3"/>
          <w:rtl/>
        </w:rPr>
        <w:t xml:space="preserve"> </w:t>
      </w:r>
      <w:r w:rsidR="00E77B3F" w:rsidRPr="00DF7CAE">
        <w:rPr>
          <w:rStyle w:val="Char3"/>
          <w:rFonts w:hint="cs"/>
          <w:rtl/>
        </w:rPr>
        <w:t>ٱ</w:t>
      </w:r>
      <w:r w:rsidR="00E77B3F" w:rsidRPr="00DF7CAE">
        <w:rPr>
          <w:rStyle w:val="Char3"/>
          <w:rFonts w:hint="eastAsia"/>
          <w:rtl/>
        </w:rPr>
        <w:t>لدُّن</w:t>
      </w:r>
      <w:r w:rsidR="00E77B3F" w:rsidRPr="00DF7CAE">
        <w:rPr>
          <w:rStyle w:val="Char3"/>
          <w:rFonts w:hint="cs"/>
          <w:rtl/>
        </w:rPr>
        <w:t>ۡ</w:t>
      </w:r>
      <w:r w:rsidR="00E77B3F" w:rsidRPr="00DF7CAE">
        <w:rPr>
          <w:rStyle w:val="Char3"/>
          <w:rFonts w:hint="eastAsia"/>
          <w:rtl/>
        </w:rPr>
        <w:t>يَا</w:t>
      </w:r>
      <w:r w:rsidR="00E77B3F" w:rsidRPr="00DF7CAE">
        <w:rPr>
          <w:rStyle w:val="Char3"/>
          <w:rtl/>
        </w:rPr>
        <w:t xml:space="preserve"> </w:t>
      </w:r>
      <w:r w:rsidR="00E77B3F" w:rsidRPr="00DF7CAE">
        <w:rPr>
          <w:rStyle w:val="Char3"/>
          <w:rFonts w:hint="eastAsia"/>
          <w:rtl/>
        </w:rPr>
        <w:t>وَهُم</w:t>
      </w:r>
      <w:r w:rsidR="00E77B3F" w:rsidRPr="00DF7CAE">
        <w:rPr>
          <w:rStyle w:val="Char3"/>
          <w:rtl/>
        </w:rPr>
        <w:t xml:space="preserve"> </w:t>
      </w:r>
      <w:r w:rsidR="00E77B3F" w:rsidRPr="00DF7CAE">
        <w:rPr>
          <w:rStyle w:val="Char3"/>
          <w:rFonts w:hint="eastAsia"/>
          <w:rtl/>
        </w:rPr>
        <w:t>بِ</w:t>
      </w:r>
      <w:r w:rsidR="00E77B3F" w:rsidRPr="00DF7CAE">
        <w:rPr>
          <w:rStyle w:val="Char3"/>
          <w:rFonts w:hint="cs"/>
          <w:rtl/>
        </w:rPr>
        <w:t>ٱ</w:t>
      </w:r>
      <w:r w:rsidR="00E77B3F" w:rsidRPr="00DF7CAE">
        <w:rPr>
          <w:rStyle w:val="Char3"/>
          <w:rFonts w:hint="eastAsia"/>
          <w:rtl/>
        </w:rPr>
        <w:t>ل</w:t>
      </w:r>
      <w:r w:rsidR="00E77B3F" w:rsidRPr="00DF7CAE">
        <w:rPr>
          <w:rStyle w:val="Char3"/>
          <w:rFonts w:hint="cs"/>
          <w:rtl/>
        </w:rPr>
        <w:t>ۡ</w:t>
      </w:r>
      <w:r w:rsidR="00E77B3F" w:rsidRPr="00DF7CAE">
        <w:rPr>
          <w:rStyle w:val="Char3"/>
          <w:rFonts w:hint="eastAsia"/>
          <w:rtl/>
        </w:rPr>
        <w:t>عُد</w:t>
      </w:r>
      <w:r w:rsidR="00E77B3F" w:rsidRPr="00DF7CAE">
        <w:rPr>
          <w:rStyle w:val="Char3"/>
          <w:rFonts w:hint="cs"/>
          <w:rtl/>
        </w:rPr>
        <w:t>ۡ</w:t>
      </w:r>
      <w:r w:rsidR="00E77B3F" w:rsidRPr="00DF7CAE">
        <w:rPr>
          <w:rStyle w:val="Char3"/>
          <w:rFonts w:hint="eastAsia"/>
          <w:rtl/>
        </w:rPr>
        <w:t>وَةِ</w:t>
      </w:r>
      <w:r w:rsidR="00E77B3F" w:rsidRPr="00DF7CAE">
        <w:rPr>
          <w:rStyle w:val="Char3"/>
          <w:rtl/>
        </w:rPr>
        <w:t xml:space="preserve"> </w:t>
      </w:r>
      <w:r w:rsidR="00E77B3F" w:rsidRPr="00DF7CAE">
        <w:rPr>
          <w:rStyle w:val="Char3"/>
          <w:rFonts w:hint="cs"/>
          <w:rtl/>
        </w:rPr>
        <w:t>ٱ</w:t>
      </w:r>
      <w:r w:rsidR="00E77B3F" w:rsidRPr="00DF7CAE">
        <w:rPr>
          <w:rStyle w:val="Char3"/>
          <w:rFonts w:hint="eastAsia"/>
          <w:rtl/>
        </w:rPr>
        <w:t>ل</w:t>
      </w:r>
      <w:r w:rsidR="00E77B3F" w:rsidRPr="00DF7CAE">
        <w:rPr>
          <w:rStyle w:val="Char3"/>
          <w:rFonts w:hint="cs"/>
          <w:rtl/>
        </w:rPr>
        <w:t>ۡ</w:t>
      </w:r>
      <w:r w:rsidR="00E77B3F" w:rsidRPr="00DF7CAE">
        <w:rPr>
          <w:rStyle w:val="Char3"/>
          <w:rFonts w:hint="eastAsia"/>
          <w:rtl/>
        </w:rPr>
        <w:t>قُص</w:t>
      </w:r>
      <w:r w:rsidR="00E77B3F" w:rsidRPr="00DF7CAE">
        <w:rPr>
          <w:rStyle w:val="Char3"/>
          <w:rFonts w:hint="cs"/>
          <w:rtl/>
        </w:rPr>
        <w:t>ۡ</w:t>
      </w:r>
      <w:r w:rsidR="00E77B3F" w:rsidRPr="00DF7CAE">
        <w:rPr>
          <w:rStyle w:val="Char3"/>
          <w:rFonts w:hint="eastAsia"/>
          <w:rtl/>
        </w:rPr>
        <w:t>وَى</w:t>
      </w:r>
      <w:r w:rsidR="00E77B3F" w:rsidRPr="00DF7CAE">
        <w:rPr>
          <w:rStyle w:val="Char3"/>
          <w:rFonts w:hint="cs"/>
          <w:rtl/>
        </w:rPr>
        <w:t>ٰ</w:t>
      </w:r>
      <w:r w:rsidR="00E77B3F" w:rsidRPr="00DF7CAE">
        <w:rPr>
          <w:rStyle w:val="Char3"/>
          <w:rtl/>
        </w:rPr>
        <w:t xml:space="preserve"> </w:t>
      </w:r>
      <w:r w:rsidR="00E77B3F" w:rsidRPr="00DF7CAE">
        <w:rPr>
          <w:rStyle w:val="Char3"/>
          <w:rFonts w:hint="eastAsia"/>
          <w:rtl/>
        </w:rPr>
        <w:t>وَ</w:t>
      </w:r>
      <w:r w:rsidR="00E77B3F" w:rsidRPr="00DF7CAE">
        <w:rPr>
          <w:rStyle w:val="Char3"/>
          <w:rFonts w:hint="cs"/>
          <w:rtl/>
        </w:rPr>
        <w:t>ٱ</w:t>
      </w:r>
      <w:r w:rsidR="00E77B3F" w:rsidRPr="00DF7CAE">
        <w:rPr>
          <w:rStyle w:val="Char3"/>
          <w:rFonts w:hint="eastAsia"/>
          <w:rtl/>
        </w:rPr>
        <w:t>لرَّك</w:t>
      </w:r>
      <w:r w:rsidR="00E77B3F" w:rsidRPr="00DF7CAE">
        <w:rPr>
          <w:rStyle w:val="Char3"/>
          <w:rFonts w:hint="cs"/>
          <w:rtl/>
        </w:rPr>
        <w:t>ۡ</w:t>
      </w:r>
      <w:r w:rsidR="00E77B3F" w:rsidRPr="00DF7CAE">
        <w:rPr>
          <w:rStyle w:val="Char3"/>
          <w:rFonts w:hint="eastAsia"/>
          <w:rtl/>
        </w:rPr>
        <w:t>بُ</w:t>
      </w:r>
      <w:r w:rsidR="00E77B3F" w:rsidRPr="00DF7CAE">
        <w:rPr>
          <w:rStyle w:val="Char3"/>
          <w:rtl/>
        </w:rPr>
        <w:t xml:space="preserve"> </w:t>
      </w:r>
      <w:r w:rsidR="00E77B3F" w:rsidRPr="00DF7CAE">
        <w:rPr>
          <w:rStyle w:val="Char3"/>
          <w:rFonts w:hint="eastAsia"/>
          <w:rtl/>
        </w:rPr>
        <w:t>أَس</w:t>
      </w:r>
      <w:r w:rsidR="00E77B3F" w:rsidRPr="00DF7CAE">
        <w:rPr>
          <w:rStyle w:val="Char3"/>
          <w:rFonts w:hint="cs"/>
          <w:rtl/>
        </w:rPr>
        <w:t>ۡ</w:t>
      </w:r>
      <w:r w:rsidR="00E77B3F" w:rsidRPr="00DF7CAE">
        <w:rPr>
          <w:rStyle w:val="Char3"/>
          <w:rFonts w:hint="eastAsia"/>
          <w:rtl/>
        </w:rPr>
        <w:t>فَلَ</w:t>
      </w:r>
      <w:r w:rsidR="00E77B3F" w:rsidRPr="00DF7CAE">
        <w:rPr>
          <w:rStyle w:val="Char3"/>
          <w:rtl/>
        </w:rPr>
        <w:t xml:space="preserve"> </w:t>
      </w:r>
      <w:r w:rsidR="00E77B3F" w:rsidRPr="00DF7CAE">
        <w:rPr>
          <w:rStyle w:val="Char3"/>
          <w:rFonts w:hint="eastAsia"/>
          <w:rtl/>
        </w:rPr>
        <w:t>مِنكُم</w:t>
      </w:r>
      <w:r w:rsidR="00E77B3F" w:rsidRPr="00DF7CAE">
        <w:rPr>
          <w:rStyle w:val="Char3"/>
          <w:rFonts w:hint="cs"/>
          <w:rtl/>
        </w:rPr>
        <w:t>ۡ</w:t>
      </w:r>
      <w:r w:rsidR="00E77B3F" w:rsidRPr="00995B26">
        <w:rPr>
          <w:rFonts w:ascii="Abo-thar" w:hAnsi="Abo-thar" w:cs="Traditional Arabic" w:hint="cs"/>
          <w:sz w:val="28"/>
          <w:rtl/>
        </w:rPr>
        <w:t>﴾</w:t>
      </w:r>
      <w:r w:rsidRPr="00995B26">
        <w:rPr>
          <w:rFonts w:ascii="Abo-thar" w:hAnsi="Abo-thar" w:hint="cs"/>
          <w:sz w:val="28"/>
          <w:rtl/>
        </w:rPr>
        <w:t xml:space="preserve"> </w:t>
      </w:r>
      <w:r w:rsidR="00E77B3F" w:rsidRPr="00FC12FD">
        <w:rPr>
          <w:rStyle w:val="Char2"/>
          <w:rFonts w:hint="cs"/>
          <w:rtl/>
        </w:rPr>
        <w:t>[</w:t>
      </w:r>
      <w:r w:rsidRPr="00FC12FD">
        <w:rPr>
          <w:rStyle w:val="Char2"/>
          <w:rFonts w:hint="cs"/>
          <w:rtl/>
        </w:rPr>
        <w:t>الأنفال</w:t>
      </w:r>
      <w:r w:rsidR="00E77B3F" w:rsidRPr="00FC12FD">
        <w:rPr>
          <w:rStyle w:val="Char2"/>
          <w:rFonts w:hint="cs"/>
          <w:rtl/>
        </w:rPr>
        <w:t xml:space="preserve">: </w:t>
      </w:r>
      <w:r w:rsidRPr="00FC12FD">
        <w:rPr>
          <w:rStyle w:val="Char2"/>
          <w:rFonts w:hint="cs"/>
          <w:rtl/>
        </w:rPr>
        <w:t>42</w:t>
      </w:r>
      <w:r w:rsidR="00E77B3F" w:rsidRPr="00FC12FD">
        <w:rPr>
          <w:rStyle w:val="Char2"/>
          <w:rFonts w:hint="cs"/>
          <w:rtl/>
        </w:rPr>
        <w:t>]</w:t>
      </w:r>
      <w:r w:rsidR="00217AB4" w:rsidRPr="00995B26">
        <w:rPr>
          <w:rFonts w:ascii="Abo-thar" w:hAnsi="Abo-thar" w:hint="cs"/>
          <w:sz w:val="28"/>
          <w:rtl/>
        </w:rPr>
        <w:t>.</w:t>
      </w:r>
      <w:r w:rsidRPr="00995B26">
        <w:rPr>
          <w:rFonts w:ascii="Abo-thar" w:hAnsi="Abo-thar" w:hint="cs"/>
          <w:sz w:val="28"/>
          <w:rtl/>
        </w:rPr>
        <w:t xml:space="preserve"> </w:t>
      </w:r>
    </w:p>
    <w:p w:rsidR="005C664D" w:rsidRPr="003F3B94" w:rsidRDefault="005C664D" w:rsidP="003F3B94">
      <w:pPr>
        <w:pStyle w:val="a0"/>
        <w:rPr>
          <w:rFonts w:hint="cs"/>
          <w:rtl/>
        </w:rPr>
      </w:pPr>
      <w:r w:rsidRPr="003F3B94">
        <w:rPr>
          <w:rFonts w:ascii="Abo-thar" w:hAnsi="Abo-thar" w:hint="cs"/>
          <w:sz w:val="28"/>
          <w:rtl/>
        </w:rPr>
        <w:t>وانسحاب الحكم من الحاضرين إلى غير الحاضرين يستند إلى الإجماع</w:t>
      </w:r>
      <w:r w:rsidR="00217AB4" w:rsidRPr="003F3B94">
        <w:rPr>
          <w:rFonts w:ascii="Abo-thar" w:hAnsi="Abo-thar" w:hint="cs"/>
          <w:sz w:val="28"/>
          <w:rtl/>
        </w:rPr>
        <w:t>،</w:t>
      </w:r>
      <w:r w:rsidRPr="003F3B94">
        <w:rPr>
          <w:rFonts w:ascii="Abo-thar" w:hAnsi="Abo-thar" w:hint="cs"/>
          <w:sz w:val="28"/>
          <w:rtl/>
        </w:rPr>
        <w:t xml:space="preserve"> ولا</w:t>
      </w:r>
      <w:r w:rsidRPr="003F3B94">
        <w:rPr>
          <w:rFonts w:cs="Times New Roman" w:hint="cs"/>
          <w:sz w:val="28"/>
          <w:rtl/>
        </w:rPr>
        <w:t> </w:t>
      </w:r>
      <w:r w:rsidRPr="003F3B94">
        <w:rPr>
          <w:rFonts w:ascii="Abo-thar" w:hAnsi="Abo-thar" w:hint="cs"/>
          <w:sz w:val="28"/>
          <w:rtl/>
        </w:rPr>
        <w:t>إجماع هنا بين عامة المسلمين بل لا إجماع بين علماء الشيعة أنفسهم</w:t>
      </w:r>
      <w:r w:rsidR="00217AB4" w:rsidRPr="003F3B94">
        <w:rPr>
          <w:rFonts w:ascii="Abo-thar" w:hAnsi="Abo-thar" w:hint="cs"/>
          <w:sz w:val="28"/>
          <w:rtl/>
        </w:rPr>
        <w:t>!</w:t>
      </w:r>
      <w:r w:rsidRPr="003F3B94">
        <w:rPr>
          <w:rFonts w:ascii="Abo-thar" w:hAnsi="Abo-thar" w:hint="cs"/>
          <w:sz w:val="28"/>
          <w:rtl/>
        </w:rPr>
        <w:t xml:space="preserve"> وبناءً على ذلك فإن سهم رسول الله وسهم ذي القربى منحصران بزمن رسول الله وزمن حياة ذي القربى وأما شمولها للأموال التي لم يتم الحصول عليها بَعْدُ</w:t>
      </w:r>
      <w:r w:rsidR="00217AB4" w:rsidRPr="003F3B94">
        <w:rPr>
          <w:rFonts w:ascii="Abo-thar" w:hAnsi="Abo-thar" w:hint="cs"/>
          <w:sz w:val="28"/>
          <w:rtl/>
        </w:rPr>
        <w:t>،</w:t>
      </w:r>
      <w:r w:rsidRPr="003F3B94">
        <w:rPr>
          <w:rFonts w:ascii="Abo-thar" w:hAnsi="Abo-thar" w:hint="cs"/>
          <w:sz w:val="28"/>
          <w:rtl/>
        </w:rPr>
        <w:t xml:space="preserve"> بَعْدَ حياة رسول الله</w:t>
      </w:r>
      <w:r w:rsidR="00147857" w:rsidRPr="003F3B94">
        <w:rPr>
          <w:rFonts w:ascii="Abo-thar" w:hAnsi="Abo-thar" w:hint="cs"/>
          <w:sz w:val="28"/>
          <w:rtl/>
        </w:rPr>
        <w:t xml:space="preserve"> </w:t>
      </w:r>
      <w:r w:rsidR="003C7AEB" w:rsidRPr="003C7AEB">
        <w:rPr>
          <w:rFonts w:ascii="Abo-thar" w:hAnsi="Abo-thar" w:cs="CTraditional Arabic" w:hint="cs"/>
          <w:sz w:val="28"/>
          <w:rtl/>
        </w:rPr>
        <w:t>ص</w:t>
      </w:r>
      <w:r w:rsidR="00147857" w:rsidRPr="003F3B94">
        <w:rPr>
          <w:rFonts w:ascii="Abo-thar" w:hAnsi="Abo-thar" w:hint="cs"/>
          <w:sz w:val="28"/>
          <w:rtl/>
        </w:rPr>
        <w:t xml:space="preserve"> </w:t>
      </w:r>
      <w:r w:rsidRPr="003F3B94">
        <w:rPr>
          <w:rFonts w:ascii="Abo-thar" w:hAnsi="Abo-thar" w:hint="cs"/>
          <w:sz w:val="28"/>
          <w:rtl/>
        </w:rPr>
        <w:t>وكذلك شمولها لما بعد حياة ذي القربى يحتاج إلى دليل آخر ولا يوجد مثل هذا الدليل لا عقلاً ولا نقلاً</w:t>
      </w:r>
      <w:r w:rsidR="00217AB4" w:rsidRPr="003F3B94">
        <w:rPr>
          <w:rFonts w:ascii="Abo-thar" w:hAnsi="Abo-thar" w:hint="cs"/>
          <w:sz w:val="28"/>
          <w:rtl/>
        </w:rPr>
        <w:t>!</w:t>
      </w:r>
      <w:r w:rsidRPr="003F3B94">
        <w:rPr>
          <w:rFonts w:ascii="Abo-thar" w:hAnsi="Abo-thar" w:hint="cs"/>
          <w:sz w:val="28"/>
          <w:rtl/>
        </w:rPr>
        <w:t xml:space="preserve"> وهذا مثله مثل الأحكام الخاصة برسول الله وأزواجه المطهرات والتي لا مصداق لها بعد حياتهم الشريفة</w:t>
      </w:r>
      <w:r w:rsidR="00217AB4" w:rsidRPr="003F3B94">
        <w:rPr>
          <w:rFonts w:ascii="Abo-thar" w:hAnsi="Abo-thar" w:hint="cs"/>
          <w:sz w:val="28"/>
          <w:rtl/>
        </w:rPr>
        <w:t>.</w:t>
      </w:r>
      <w:r w:rsidRPr="003F3B94">
        <w:rPr>
          <w:rFonts w:ascii="Abo-thar" w:hAnsi="Abo-thar" w:hint="cs"/>
          <w:sz w:val="28"/>
          <w:rtl/>
        </w:rPr>
        <w:t xml:space="preserve"> فمثلاً الأحكام المتعلقة بحلية أو حرمة النساء على رسول الله وكيفية تردد الناس ودخولهم إلى بيت رسول الله وكيفية تكلمهم وندائهم ومخاطبتهم لحضرته وكيفية سلوكه وسلوك الناس مع أزواجه المطهرات والأحكام المتعلقة بزواج رسول الله وأمثالها وكثيراً من الآيات في القرآن المجيد التي تتعلق بمثل هذه الأحكام والأحوال</w:t>
      </w:r>
      <w:r w:rsidR="00217AB4" w:rsidRPr="003F3B94">
        <w:rPr>
          <w:rFonts w:ascii="Abo-thar" w:hAnsi="Abo-thar" w:hint="cs"/>
          <w:sz w:val="28"/>
          <w:rtl/>
        </w:rPr>
        <w:t>،</w:t>
      </w:r>
      <w:r w:rsidRPr="003F3B94">
        <w:rPr>
          <w:rFonts w:ascii="Abo-thar" w:hAnsi="Abo-thar" w:hint="cs"/>
          <w:sz w:val="28"/>
          <w:rtl/>
        </w:rPr>
        <w:t xml:space="preserve"> كلها تختصُّ بذلك الزمن وليس لها مصداق بعد وفاة رسول الله ووفاة زوجاته</w:t>
      </w:r>
      <w:r w:rsidR="00217AB4" w:rsidRPr="003F3B94">
        <w:rPr>
          <w:rFonts w:ascii="Abo-thar" w:hAnsi="Abo-thar" w:hint="cs"/>
          <w:sz w:val="28"/>
          <w:rtl/>
        </w:rPr>
        <w:t>،</w:t>
      </w:r>
      <w:r w:rsidRPr="003F3B94">
        <w:rPr>
          <w:rFonts w:ascii="Abo-thar" w:hAnsi="Abo-thar" w:hint="cs"/>
          <w:sz w:val="28"/>
          <w:rtl/>
        </w:rPr>
        <w:t xml:space="preserve"> بل حكمها ينقطع بعدهم</w:t>
      </w:r>
      <w:r w:rsidR="00217AB4" w:rsidRPr="003F3B94">
        <w:rPr>
          <w:rFonts w:ascii="Abo-thar" w:hAnsi="Abo-thar" w:hint="cs"/>
          <w:sz w:val="28"/>
          <w:rtl/>
        </w:rPr>
        <w:t>،</w:t>
      </w:r>
      <w:r w:rsidRPr="003F3B94">
        <w:rPr>
          <w:rFonts w:ascii="Abo-thar" w:hAnsi="Abo-thar" w:hint="cs"/>
          <w:sz w:val="28"/>
          <w:rtl/>
        </w:rPr>
        <w:t xml:space="preserve"> اللهم إلا من باب الأسوة الحسنة</w:t>
      </w:r>
      <w:r w:rsidR="00217AB4" w:rsidRPr="003F3B94">
        <w:rPr>
          <w:rFonts w:ascii="Abo-thar" w:hAnsi="Abo-thar" w:hint="cs"/>
          <w:sz w:val="28"/>
          <w:rtl/>
        </w:rPr>
        <w:t>.</w:t>
      </w:r>
      <w:r w:rsidRPr="003F3B94">
        <w:rPr>
          <w:rFonts w:ascii="Abo-thar" w:hAnsi="Abo-thar" w:hint="cs"/>
          <w:sz w:val="28"/>
          <w:rtl/>
        </w:rPr>
        <w:t xml:space="preserve"> فمن البديهي أن ما يتعلق بمنامه ومأكله وملبسه ومعشـره حكمه منقطع بعده</w:t>
      </w:r>
      <w:r w:rsidR="00217AB4" w:rsidRPr="003F3B94">
        <w:rPr>
          <w:rFonts w:ascii="Abo-thar" w:hAnsi="Abo-thar" w:hint="cs"/>
          <w:sz w:val="28"/>
          <w:rtl/>
        </w:rPr>
        <w:t>.</w:t>
      </w:r>
      <w:r w:rsidRPr="003F3B94">
        <w:rPr>
          <w:rFonts w:ascii="Abo-thar" w:hAnsi="Abo-thar" w:hint="cs"/>
          <w:sz w:val="28"/>
          <w:rtl/>
        </w:rPr>
        <w:t xml:space="preserve"> وبالتالي فإن حكم خمس الغنيمة الذي يتعلق سهمٌ منه برسول الله وسهمٌ آخر بذي قرباه حكمه منقطع بعد رحيل الجميع</w:t>
      </w:r>
      <w:r w:rsidR="00217AB4" w:rsidRPr="003F3B94">
        <w:rPr>
          <w:rFonts w:ascii="Abo-thar" w:hAnsi="Abo-thar" w:hint="cs"/>
          <w:sz w:val="28"/>
          <w:rtl/>
        </w:rPr>
        <w:t>.</w:t>
      </w:r>
      <w:r w:rsidRPr="003F3B94">
        <w:rPr>
          <w:rFonts w:ascii="Abo-thar" w:hAnsi="Abo-thar" w:hint="cs"/>
          <w:sz w:val="28"/>
          <w:rtl/>
        </w:rPr>
        <w:t xml:space="preserve"> لأن الاستفادة من أموال الغنيمة إنما كان لأجل الأكل واللبس وتلبية حاجات المعيشة</w:t>
      </w:r>
      <w:r w:rsidR="00217AB4" w:rsidRPr="003F3B94">
        <w:rPr>
          <w:rFonts w:ascii="Abo-thar" w:hAnsi="Abo-thar" w:hint="cs"/>
          <w:sz w:val="28"/>
          <w:rtl/>
        </w:rPr>
        <w:t>،</w:t>
      </w:r>
      <w:r w:rsidRPr="003F3B94">
        <w:rPr>
          <w:rFonts w:ascii="Abo-thar" w:hAnsi="Abo-thar" w:hint="cs"/>
          <w:sz w:val="28"/>
          <w:rtl/>
        </w:rPr>
        <w:t xml:space="preserve"> فالاستفادة منها منوطة وموقوفة ومشـروطة بوجود حياة المستفيد منها</w:t>
      </w:r>
      <w:r w:rsidR="00217AB4" w:rsidRPr="003F3B94">
        <w:rPr>
          <w:rFonts w:ascii="Abo-thar" w:hAnsi="Abo-thar" w:hint="cs"/>
          <w:sz w:val="28"/>
          <w:rtl/>
        </w:rPr>
        <w:t>،</w:t>
      </w:r>
      <w:r w:rsidRPr="003F3B94">
        <w:rPr>
          <w:rFonts w:ascii="Abo-thar" w:hAnsi="Abo-thar" w:hint="cs"/>
          <w:sz w:val="28"/>
          <w:rtl/>
        </w:rPr>
        <w:t xml:space="preserve"> أما بعد وفاته فجميع الخواص والأحكام تنتفي</w:t>
      </w:r>
      <w:r w:rsidR="00217AB4" w:rsidRPr="003F3B94">
        <w:rPr>
          <w:rFonts w:ascii="Abo-thar" w:hAnsi="Abo-thar" w:hint="cs"/>
          <w:sz w:val="28"/>
          <w:rtl/>
        </w:rPr>
        <w:t>.</w:t>
      </w:r>
      <w:r w:rsidRPr="003F3B94">
        <w:rPr>
          <w:rFonts w:ascii="Abo-thar" w:hAnsi="Abo-thar" w:hint="cs"/>
          <w:sz w:val="28"/>
          <w:rtl/>
        </w:rPr>
        <w:t xml:space="preserve"> </w:t>
      </w:r>
    </w:p>
    <w:p w:rsidR="005C664D" w:rsidRPr="00995B26" w:rsidRDefault="005C664D" w:rsidP="003F3B94">
      <w:pPr>
        <w:pStyle w:val="a0"/>
        <w:rPr>
          <w:rFonts w:hint="cs"/>
          <w:rtl/>
        </w:rPr>
      </w:pPr>
      <w:r w:rsidRPr="003F3B94">
        <w:rPr>
          <w:rFonts w:ascii="Abo-thar" w:hAnsi="Abo-thar" w:hint="cs"/>
          <w:sz w:val="28"/>
          <w:rtl/>
        </w:rPr>
        <w:t xml:space="preserve">ويؤكد ذلك أن عبارة </w:t>
      </w:r>
      <w:r w:rsidR="00E77B3F" w:rsidRPr="00995B26">
        <w:rPr>
          <w:rFonts w:ascii="Abo-thar" w:hAnsi="Abo-thar" w:cs="Traditional Arabic" w:hint="cs"/>
          <w:sz w:val="28"/>
          <w:rtl/>
        </w:rPr>
        <w:t>﴿</w:t>
      </w:r>
      <w:r w:rsidR="00685363" w:rsidRPr="00DF7CAE">
        <w:rPr>
          <w:rStyle w:val="Char3"/>
          <w:rFonts w:hint="eastAsia"/>
          <w:rtl/>
        </w:rPr>
        <w:t>وَلِذِي</w:t>
      </w:r>
      <w:r w:rsidR="00685363" w:rsidRPr="00DF7CAE">
        <w:rPr>
          <w:rStyle w:val="Char3"/>
          <w:rtl/>
        </w:rPr>
        <w:t xml:space="preserve"> </w:t>
      </w:r>
      <w:r w:rsidR="00685363" w:rsidRPr="00DF7CAE">
        <w:rPr>
          <w:rStyle w:val="Char3"/>
          <w:rFonts w:hint="cs"/>
          <w:rtl/>
        </w:rPr>
        <w:t>ٱ</w:t>
      </w:r>
      <w:r w:rsidR="00685363" w:rsidRPr="00DF7CAE">
        <w:rPr>
          <w:rStyle w:val="Char3"/>
          <w:rFonts w:hint="eastAsia"/>
          <w:rtl/>
        </w:rPr>
        <w:t>ل</w:t>
      </w:r>
      <w:r w:rsidR="00685363" w:rsidRPr="00DF7CAE">
        <w:rPr>
          <w:rStyle w:val="Char3"/>
          <w:rFonts w:hint="cs"/>
          <w:rtl/>
        </w:rPr>
        <w:t>ۡ</w:t>
      </w:r>
      <w:r w:rsidR="00685363" w:rsidRPr="00DF7CAE">
        <w:rPr>
          <w:rStyle w:val="Char3"/>
          <w:rFonts w:hint="eastAsia"/>
          <w:rtl/>
        </w:rPr>
        <w:t>قُر</w:t>
      </w:r>
      <w:r w:rsidR="00685363" w:rsidRPr="00DF7CAE">
        <w:rPr>
          <w:rStyle w:val="Char3"/>
          <w:rFonts w:hint="cs"/>
          <w:rtl/>
        </w:rPr>
        <w:t>ۡ</w:t>
      </w:r>
      <w:r w:rsidR="00685363" w:rsidRPr="00DF7CAE">
        <w:rPr>
          <w:rStyle w:val="Char3"/>
          <w:rFonts w:hint="eastAsia"/>
          <w:rtl/>
        </w:rPr>
        <w:t>بَى</w:t>
      </w:r>
      <w:r w:rsidR="00685363" w:rsidRPr="00DF7CAE">
        <w:rPr>
          <w:rStyle w:val="Char3"/>
          <w:rFonts w:hint="cs"/>
          <w:rtl/>
        </w:rPr>
        <w:t>ٰ</w:t>
      </w:r>
      <w:r w:rsidR="00E77B3F" w:rsidRPr="00995B26">
        <w:rPr>
          <w:rFonts w:ascii="Abo-thar" w:hAnsi="Abo-thar" w:cs="Traditional Arabic" w:hint="cs"/>
          <w:sz w:val="28"/>
          <w:rtl/>
        </w:rPr>
        <w:t>﴾</w:t>
      </w:r>
      <w:r w:rsidR="00E77B3F" w:rsidRPr="00995B26">
        <w:rPr>
          <w:rFonts w:ascii="Abo-thar" w:hAnsi="Abo-thar" w:hint="cs"/>
          <w:sz w:val="28"/>
          <w:rtl/>
        </w:rPr>
        <w:t xml:space="preserve"> </w:t>
      </w:r>
      <w:r w:rsidRPr="00995B26">
        <w:rPr>
          <w:rFonts w:ascii="Abo-thar" w:hAnsi="Abo-thar" w:hint="cs"/>
          <w:sz w:val="28"/>
          <w:rtl/>
        </w:rPr>
        <w:t>التي تتحدث عن أقرباء رسول الله القريبين منه بشكل خاص</w:t>
      </w:r>
      <w:r w:rsidR="00217AB4" w:rsidRPr="00995B26">
        <w:rPr>
          <w:rFonts w:ascii="Abo-thar" w:hAnsi="Abo-thar" w:hint="cs"/>
          <w:sz w:val="28"/>
          <w:rtl/>
        </w:rPr>
        <w:t>،</w:t>
      </w:r>
      <w:r w:rsidRPr="00995B26">
        <w:rPr>
          <w:rFonts w:ascii="Abo-thar" w:hAnsi="Abo-thar" w:hint="cs"/>
          <w:sz w:val="28"/>
          <w:rtl/>
        </w:rPr>
        <w:t xml:space="preserve"> جاءت بصيغة المفرد</w:t>
      </w:r>
      <w:r w:rsidR="00217AB4" w:rsidRPr="00995B26">
        <w:rPr>
          <w:rFonts w:ascii="Abo-thar" w:hAnsi="Abo-thar" w:hint="cs"/>
          <w:sz w:val="28"/>
          <w:rtl/>
        </w:rPr>
        <w:t>،</w:t>
      </w:r>
      <w:r w:rsidRPr="00995B26">
        <w:rPr>
          <w:rFonts w:ascii="Abo-thar" w:hAnsi="Abo-thar" w:hint="cs"/>
          <w:sz w:val="28"/>
          <w:rtl/>
        </w:rPr>
        <w:t xml:space="preserve"> فلم يقل «</w:t>
      </w:r>
      <w:r w:rsidRPr="00995B26">
        <w:rPr>
          <w:rFonts w:ascii="Abo-thar" w:hAnsi="Abo-thar" w:hint="cs"/>
          <w:b/>
          <w:bCs/>
          <w:sz w:val="28"/>
          <w:rtl/>
        </w:rPr>
        <w:t>ولذَوِي القُرْبَى</w:t>
      </w:r>
      <w:r w:rsidRPr="00995B26">
        <w:rPr>
          <w:rFonts w:ascii="Abo-thar" w:hAnsi="Abo-thar" w:hint="cs"/>
          <w:sz w:val="28"/>
          <w:rtl/>
        </w:rPr>
        <w:t>»</w:t>
      </w:r>
      <w:r w:rsidR="00217AB4" w:rsidRPr="00995B26">
        <w:rPr>
          <w:rFonts w:ascii="Abo-thar" w:hAnsi="Abo-thar" w:hint="cs"/>
          <w:sz w:val="28"/>
          <w:rtl/>
        </w:rPr>
        <w:t>،</w:t>
      </w:r>
      <w:r w:rsidRPr="00995B26">
        <w:rPr>
          <w:rFonts w:ascii="Abo-thar" w:hAnsi="Abo-thar" w:hint="cs"/>
          <w:sz w:val="28"/>
          <w:rtl/>
        </w:rPr>
        <w:t xml:space="preserve"> مما يدل على أنها منحصرة بشخص واحد</w:t>
      </w:r>
      <w:r w:rsidR="00217AB4" w:rsidRPr="00995B26">
        <w:rPr>
          <w:rFonts w:ascii="Abo-thar" w:hAnsi="Abo-thar" w:hint="cs"/>
          <w:sz w:val="28"/>
          <w:rtl/>
        </w:rPr>
        <w:t>.</w:t>
      </w:r>
      <w:r w:rsidRPr="00995B26">
        <w:rPr>
          <w:rFonts w:ascii="Abo-thar" w:hAnsi="Abo-thar" w:hint="cs"/>
          <w:sz w:val="28"/>
          <w:rtl/>
        </w:rPr>
        <w:t xml:space="preserve"> والأحاديث أيضاً تبين أن المراد من </w:t>
      </w:r>
      <w:r w:rsidRPr="00995B26">
        <w:rPr>
          <w:rFonts w:ascii="Abo-thar" w:hAnsi="Abo-thar" w:hint="eastAsia"/>
          <w:sz w:val="28"/>
          <w:rtl/>
        </w:rPr>
        <w:t>«</w:t>
      </w:r>
      <w:r w:rsidRPr="00995B26">
        <w:rPr>
          <w:rFonts w:ascii="Abo-thar" w:hAnsi="Abo-thar" w:hint="cs"/>
          <w:sz w:val="28"/>
          <w:rtl/>
        </w:rPr>
        <w:t xml:space="preserve">ذِي </w:t>
      </w:r>
      <w:r w:rsidRPr="00995B26">
        <w:rPr>
          <w:rFonts w:ascii="Abo-thar" w:hAnsi="Abo-thar" w:hint="eastAsia"/>
          <w:sz w:val="28"/>
          <w:rtl/>
        </w:rPr>
        <w:t>الْقُرْبَى»</w:t>
      </w:r>
      <w:r w:rsidRPr="00995B26">
        <w:rPr>
          <w:rFonts w:ascii="Abo-thar" w:hAnsi="Abo-thar" w:hint="cs"/>
          <w:sz w:val="28"/>
          <w:rtl/>
        </w:rPr>
        <w:t xml:space="preserve"> في الآية الكريمة الأخرى</w:t>
      </w:r>
      <w:r w:rsidR="00217AB4" w:rsidRPr="00995B26">
        <w:rPr>
          <w:rFonts w:ascii="Abo-thar" w:hAnsi="Abo-thar" w:hint="cs"/>
          <w:sz w:val="28"/>
          <w:rtl/>
        </w:rPr>
        <w:t>:</w:t>
      </w:r>
      <w:r w:rsidR="00685363" w:rsidRPr="00995B26">
        <w:rPr>
          <w:rFonts w:ascii="Abo-thar" w:hAnsi="Abo-thar" w:hint="cs"/>
          <w:sz w:val="28"/>
          <w:rtl/>
        </w:rPr>
        <w:t xml:space="preserve"> </w:t>
      </w:r>
      <w:r w:rsidR="00685363" w:rsidRPr="00995B26">
        <w:rPr>
          <w:rFonts w:ascii="Abo-thar" w:hAnsi="Abo-thar" w:cs="Traditional Arabic" w:hint="cs"/>
          <w:sz w:val="28"/>
          <w:rtl/>
        </w:rPr>
        <w:t>﴿</w:t>
      </w:r>
      <w:r w:rsidR="00685363" w:rsidRPr="00DF7CAE">
        <w:rPr>
          <w:rStyle w:val="Char3"/>
          <w:rFonts w:hint="eastAsia"/>
          <w:rtl/>
        </w:rPr>
        <w:t>وَءَاتِ</w:t>
      </w:r>
      <w:r w:rsidR="00685363" w:rsidRPr="00DF7CAE">
        <w:rPr>
          <w:rStyle w:val="Char3"/>
          <w:rtl/>
        </w:rPr>
        <w:t xml:space="preserve"> </w:t>
      </w:r>
      <w:r w:rsidR="00685363" w:rsidRPr="00DF7CAE">
        <w:rPr>
          <w:rStyle w:val="Char3"/>
          <w:rFonts w:hint="eastAsia"/>
          <w:rtl/>
        </w:rPr>
        <w:t>ذَا</w:t>
      </w:r>
      <w:r w:rsidR="00685363" w:rsidRPr="00DF7CAE">
        <w:rPr>
          <w:rStyle w:val="Char3"/>
          <w:rtl/>
        </w:rPr>
        <w:t xml:space="preserve"> </w:t>
      </w:r>
      <w:r w:rsidR="00685363" w:rsidRPr="00DF7CAE">
        <w:rPr>
          <w:rStyle w:val="Char3"/>
          <w:rFonts w:hint="cs"/>
          <w:rtl/>
        </w:rPr>
        <w:t>ٱ</w:t>
      </w:r>
      <w:r w:rsidR="00685363" w:rsidRPr="00DF7CAE">
        <w:rPr>
          <w:rStyle w:val="Char3"/>
          <w:rFonts w:hint="eastAsia"/>
          <w:rtl/>
        </w:rPr>
        <w:t>ل</w:t>
      </w:r>
      <w:r w:rsidR="00685363" w:rsidRPr="00DF7CAE">
        <w:rPr>
          <w:rStyle w:val="Char3"/>
          <w:rFonts w:hint="cs"/>
          <w:rtl/>
        </w:rPr>
        <w:t>ۡ</w:t>
      </w:r>
      <w:r w:rsidR="00685363" w:rsidRPr="00DF7CAE">
        <w:rPr>
          <w:rStyle w:val="Char3"/>
          <w:rFonts w:hint="eastAsia"/>
          <w:rtl/>
        </w:rPr>
        <w:t>قُر</w:t>
      </w:r>
      <w:r w:rsidR="00685363" w:rsidRPr="00DF7CAE">
        <w:rPr>
          <w:rStyle w:val="Char3"/>
          <w:rFonts w:hint="cs"/>
          <w:rtl/>
        </w:rPr>
        <w:t>ۡ</w:t>
      </w:r>
      <w:r w:rsidR="00685363" w:rsidRPr="00DF7CAE">
        <w:rPr>
          <w:rStyle w:val="Char3"/>
          <w:rFonts w:hint="eastAsia"/>
          <w:rtl/>
        </w:rPr>
        <w:t>بَى</w:t>
      </w:r>
      <w:r w:rsidR="00685363" w:rsidRPr="00DF7CAE">
        <w:rPr>
          <w:rStyle w:val="Char3"/>
          <w:rFonts w:hint="cs"/>
          <w:rtl/>
        </w:rPr>
        <w:t>ٰ</w:t>
      </w:r>
      <w:r w:rsidR="00685363" w:rsidRPr="00DF7CAE">
        <w:rPr>
          <w:rStyle w:val="Char3"/>
          <w:rtl/>
        </w:rPr>
        <w:t xml:space="preserve"> </w:t>
      </w:r>
      <w:r w:rsidR="00685363" w:rsidRPr="00DF7CAE">
        <w:rPr>
          <w:rStyle w:val="Char3"/>
          <w:rFonts w:hint="eastAsia"/>
          <w:rtl/>
        </w:rPr>
        <w:t>حَقَّهُ</w:t>
      </w:r>
      <w:r w:rsidR="00685363" w:rsidRPr="00DF7CAE">
        <w:rPr>
          <w:rStyle w:val="Char3"/>
          <w:rFonts w:hint="cs"/>
          <w:rtl/>
        </w:rPr>
        <w:t>ۥ</w:t>
      </w:r>
      <w:r w:rsidR="00685363" w:rsidRPr="00995B26">
        <w:rPr>
          <w:rFonts w:ascii="Abo-thar" w:hAnsi="Abo-thar" w:cs="Traditional Arabic" w:hint="cs"/>
          <w:sz w:val="28"/>
          <w:rtl/>
        </w:rPr>
        <w:t xml:space="preserve">﴾ </w:t>
      </w:r>
      <w:r w:rsidR="00685363" w:rsidRPr="00FC12FD">
        <w:rPr>
          <w:rStyle w:val="Char2"/>
          <w:rFonts w:hint="cs"/>
          <w:rtl/>
        </w:rPr>
        <w:t>[</w:t>
      </w:r>
      <w:r w:rsidRPr="00FC12FD">
        <w:rPr>
          <w:rStyle w:val="Char2"/>
          <w:rFonts w:hint="cs"/>
          <w:rtl/>
        </w:rPr>
        <w:t>الإسراء</w:t>
      </w:r>
      <w:r w:rsidR="00685363" w:rsidRPr="00FC12FD">
        <w:rPr>
          <w:rStyle w:val="Char2"/>
          <w:rFonts w:hint="cs"/>
          <w:rtl/>
        </w:rPr>
        <w:t xml:space="preserve">: </w:t>
      </w:r>
      <w:r w:rsidRPr="00FC12FD">
        <w:rPr>
          <w:rStyle w:val="Char2"/>
          <w:rFonts w:hint="cs"/>
          <w:rtl/>
        </w:rPr>
        <w:t>26</w:t>
      </w:r>
      <w:r w:rsidR="00685363" w:rsidRPr="00FC12FD">
        <w:rPr>
          <w:rStyle w:val="Char2"/>
          <w:rFonts w:hint="cs"/>
          <w:rtl/>
        </w:rPr>
        <w:t>]</w:t>
      </w:r>
      <w:r w:rsidRPr="00995B26">
        <w:rPr>
          <w:rFonts w:ascii="Abo-thar" w:hAnsi="Abo-thar" w:hint="cs"/>
          <w:sz w:val="28"/>
          <w:rtl/>
        </w:rPr>
        <w:t xml:space="preserve"> منحصرٌ بحضرة الزهراء </w:t>
      </w:r>
      <w:r w:rsidR="00791AC0">
        <w:rPr>
          <w:rFonts w:ascii="Abo-thar" w:hAnsi="Abo-thar" w:hint="cs"/>
          <w:sz w:val="28"/>
          <w:rtl/>
        </w:rPr>
        <w:t>-</w:t>
      </w:r>
      <w:r w:rsidRPr="00995B26">
        <w:rPr>
          <w:rFonts w:ascii="Abo-thar" w:hAnsi="Abo-thar" w:hint="cs"/>
          <w:sz w:val="28"/>
          <w:rtl/>
        </w:rPr>
        <w:t>سلام الله عليها</w:t>
      </w:r>
      <w:r w:rsidR="00791AC0">
        <w:rPr>
          <w:rFonts w:ascii="Abo-thar" w:hAnsi="Abo-thar" w:hint="cs"/>
          <w:sz w:val="28"/>
          <w:rtl/>
        </w:rPr>
        <w:t>-</w:t>
      </w:r>
      <w:r w:rsidRPr="00995B26">
        <w:rPr>
          <w:rFonts w:ascii="Abo-thar" w:hAnsi="Abo-thar" w:hint="cs"/>
          <w:sz w:val="28"/>
          <w:rtl/>
        </w:rPr>
        <w:t xml:space="preserve"> كما جاء في المجلد الثامن من </w:t>
      </w:r>
      <w:r w:rsidRPr="00995B26">
        <w:rPr>
          <w:rFonts w:ascii="Abo-thar" w:hAnsi="Abo-thar" w:hint="eastAsia"/>
          <w:sz w:val="28"/>
          <w:rtl/>
        </w:rPr>
        <w:t>«</w:t>
      </w:r>
      <w:r w:rsidRPr="00995B26">
        <w:rPr>
          <w:rFonts w:ascii="Abo-thar" w:hAnsi="Abo-thar" w:hint="cs"/>
          <w:sz w:val="28"/>
          <w:rtl/>
        </w:rPr>
        <w:t>بحار الأنوار</w:t>
      </w:r>
      <w:r w:rsidRPr="00995B26">
        <w:rPr>
          <w:rFonts w:ascii="Abo-thar" w:hAnsi="Abo-thar" w:hint="eastAsia"/>
          <w:sz w:val="28"/>
          <w:rtl/>
        </w:rPr>
        <w:t>»</w:t>
      </w:r>
      <w:r w:rsidRPr="00995B26">
        <w:rPr>
          <w:rFonts w:ascii="Abo-thar" w:hAnsi="Abo-thar" w:hint="cs"/>
          <w:sz w:val="28"/>
          <w:rtl/>
        </w:rPr>
        <w:t xml:space="preserve"> </w:t>
      </w:r>
      <w:r w:rsidR="00217AB4" w:rsidRPr="00995B26">
        <w:rPr>
          <w:rFonts w:ascii="Abo-thar" w:hAnsi="Abo-thar" w:hint="cs"/>
          <w:sz w:val="28"/>
          <w:rtl/>
        </w:rPr>
        <w:t>(</w:t>
      </w:r>
      <w:r w:rsidRPr="00995B26">
        <w:rPr>
          <w:rFonts w:ascii="Abo-thar" w:hAnsi="Abo-thar" w:hint="cs"/>
          <w:sz w:val="28"/>
          <w:rtl/>
        </w:rPr>
        <w:t>ص91 من طبعة تبريز القديمة الحجرية</w:t>
      </w:r>
      <w:r w:rsidR="00217AB4" w:rsidRPr="00995B26">
        <w:rPr>
          <w:rFonts w:ascii="Abo-thar" w:hAnsi="Abo-thar" w:hint="cs"/>
          <w:sz w:val="28"/>
          <w:rtl/>
        </w:rPr>
        <w:t>)</w:t>
      </w:r>
      <w:r w:rsidRPr="00995B26">
        <w:rPr>
          <w:rFonts w:ascii="Abo-thar" w:hAnsi="Abo-thar" w:hint="cs"/>
          <w:sz w:val="28"/>
          <w:rtl/>
        </w:rPr>
        <w:t xml:space="preserve"> نقلاً عن مناقب ابن شهرآشوب في باب نزول رسول الله إلى فدك</w:t>
      </w:r>
      <w:r w:rsidR="00217AB4" w:rsidRPr="00995B26">
        <w:rPr>
          <w:rFonts w:ascii="Abo-thar" w:hAnsi="Abo-thar" w:hint="cs"/>
          <w:sz w:val="28"/>
          <w:rtl/>
        </w:rPr>
        <w:t>:</w:t>
      </w:r>
      <w:r w:rsidRPr="00995B26">
        <w:rPr>
          <w:rFonts w:ascii="Abo-thar" w:hAnsi="Abo-thar" w:hint="cs"/>
          <w:sz w:val="28"/>
          <w:rtl/>
        </w:rPr>
        <w:t xml:space="preserve"> </w:t>
      </w:r>
      <w:r w:rsidR="00EF2588" w:rsidRPr="00CE7623">
        <w:rPr>
          <w:rFonts w:ascii="Abo-thar" w:hAnsi="Abo-thar" w:cs="KFGQPC Uthman Taha Naskh" w:hint="cs"/>
          <w:sz w:val="28"/>
          <w:rtl/>
        </w:rPr>
        <w:t>«</w:t>
      </w:r>
      <w:r w:rsidRPr="00CE7623">
        <w:rPr>
          <w:rFonts w:ascii="Abo-thar" w:hAnsi="Abo-thar" w:cs="KFGQPC Uthman Taha Naskh"/>
          <w:b/>
          <w:bCs/>
          <w:sz w:val="28"/>
          <w:rtl/>
        </w:rPr>
        <w:t>وَأَسْلَمَ مَنْ أَسْلَمَ مِنْهُمْ</w:t>
      </w:r>
      <w:r w:rsidR="00217AB4" w:rsidRPr="00CE7623">
        <w:rPr>
          <w:rFonts w:ascii="Abo-thar" w:hAnsi="Abo-thar" w:cs="KFGQPC Uthman Taha Naskh"/>
          <w:b/>
          <w:bCs/>
          <w:sz w:val="28"/>
          <w:rtl/>
        </w:rPr>
        <w:t>،</w:t>
      </w:r>
      <w:r w:rsidRPr="00CE7623">
        <w:rPr>
          <w:rFonts w:ascii="Abo-thar" w:hAnsi="Abo-thar" w:cs="KFGQPC Uthman Taha Naskh"/>
          <w:b/>
          <w:bCs/>
          <w:sz w:val="28"/>
          <w:rtl/>
        </w:rPr>
        <w:t xml:space="preserve"> فَأَقَرَّهُمْ فِي بُيُوتِهِمْ</w:t>
      </w:r>
      <w:r w:rsidR="00147857" w:rsidRPr="00CE7623">
        <w:rPr>
          <w:rFonts w:ascii="Abo-thar" w:hAnsi="Abo-thar" w:cs="KFGQPC Uthman Taha Naskh"/>
          <w:b/>
          <w:bCs/>
          <w:sz w:val="28"/>
          <w:rtl/>
        </w:rPr>
        <w:t xml:space="preserve"> و</w:t>
      </w:r>
      <w:r w:rsidRPr="00CE7623">
        <w:rPr>
          <w:rFonts w:ascii="Abo-thar" w:hAnsi="Abo-thar" w:cs="KFGQPC Uthman Taha Naskh"/>
          <w:b/>
          <w:bCs/>
          <w:sz w:val="28"/>
          <w:rtl/>
        </w:rPr>
        <w:t>أَخَذَ مِنْهُمْ أَخْمَاسَهُمْ</w:t>
      </w:r>
      <w:r w:rsidR="00217AB4" w:rsidRPr="00CE7623">
        <w:rPr>
          <w:rFonts w:ascii="Abo-thar" w:hAnsi="Abo-thar" w:cs="KFGQPC Uthman Taha Naskh"/>
          <w:b/>
          <w:bCs/>
          <w:sz w:val="28"/>
          <w:rtl/>
        </w:rPr>
        <w:t>.</w:t>
      </w:r>
      <w:r w:rsidRPr="00CE7623">
        <w:rPr>
          <w:rFonts w:ascii="Abo-thar" w:hAnsi="Abo-thar" w:cs="KFGQPC Uthman Taha Naskh"/>
          <w:b/>
          <w:bCs/>
          <w:sz w:val="28"/>
          <w:rtl/>
        </w:rPr>
        <w:t xml:space="preserve"> فَنَزَلَ</w:t>
      </w:r>
      <w:r w:rsidR="00217AB4" w:rsidRPr="00CE7623">
        <w:rPr>
          <w:rFonts w:ascii="Abo-thar" w:hAnsi="Abo-thar" w:cs="KFGQPC Uthman Taha Naskh" w:hint="cs"/>
          <w:b/>
          <w:bCs/>
          <w:sz w:val="28"/>
          <w:rtl/>
        </w:rPr>
        <w:t>:</w:t>
      </w:r>
      <w:r w:rsidRPr="00CE7623">
        <w:rPr>
          <w:rFonts w:ascii="Abo-thar" w:hAnsi="Abo-thar" w:cs="KFGQPC Uthman Taha Naskh"/>
          <w:b/>
          <w:bCs/>
          <w:sz w:val="28"/>
          <w:rtl/>
        </w:rPr>
        <w:t xml:space="preserve"> </w:t>
      </w:r>
      <w:r w:rsidR="00685363" w:rsidRPr="00CE7623">
        <w:rPr>
          <w:rFonts w:ascii="Abo-thar" w:hAnsi="Abo-thar" w:cs="KFGQPC Uthman Taha Naskh" w:hint="cs"/>
          <w:sz w:val="28"/>
          <w:rtl/>
        </w:rPr>
        <w:t>﴿</w:t>
      </w:r>
      <w:r w:rsidR="00685363" w:rsidRPr="00791AC0">
        <w:rPr>
          <w:rStyle w:val="Char3"/>
          <w:rFonts w:hint="eastAsia"/>
          <w:b/>
          <w:bCs/>
          <w:rtl/>
        </w:rPr>
        <w:t>وَءَاتِ</w:t>
      </w:r>
      <w:r w:rsidR="00685363" w:rsidRPr="00791AC0">
        <w:rPr>
          <w:rStyle w:val="Char3"/>
          <w:b/>
          <w:bCs/>
          <w:rtl/>
        </w:rPr>
        <w:t xml:space="preserve"> </w:t>
      </w:r>
      <w:r w:rsidR="00685363" w:rsidRPr="00791AC0">
        <w:rPr>
          <w:rStyle w:val="Char3"/>
          <w:rFonts w:hint="eastAsia"/>
          <w:b/>
          <w:bCs/>
          <w:rtl/>
        </w:rPr>
        <w:t>ذَا</w:t>
      </w:r>
      <w:r w:rsidR="00685363" w:rsidRPr="00791AC0">
        <w:rPr>
          <w:rStyle w:val="Char3"/>
          <w:b/>
          <w:bCs/>
          <w:rtl/>
        </w:rPr>
        <w:t xml:space="preserve"> </w:t>
      </w:r>
      <w:r w:rsidR="00685363" w:rsidRPr="00791AC0">
        <w:rPr>
          <w:rStyle w:val="Char3"/>
          <w:rFonts w:hint="cs"/>
          <w:b/>
          <w:bCs/>
          <w:rtl/>
        </w:rPr>
        <w:t>ٱ</w:t>
      </w:r>
      <w:r w:rsidR="00685363" w:rsidRPr="00791AC0">
        <w:rPr>
          <w:rStyle w:val="Char3"/>
          <w:rFonts w:hint="eastAsia"/>
          <w:b/>
          <w:bCs/>
          <w:rtl/>
        </w:rPr>
        <w:t>ل</w:t>
      </w:r>
      <w:r w:rsidR="00685363" w:rsidRPr="00791AC0">
        <w:rPr>
          <w:rStyle w:val="Char3"/>
          <w:rFonts w:hint="cs"/>
          <w:b/>
          <w:bCs/>
          <w:rtl/>
        </w:rPr>
        <w:t>ۡ</w:t>
      </w:r>
      <w:r w:rsidR="00685363" w:rsidRPr="00791AC0">
        <w:rPr>
          <w:rStyle w:val="Char3"/>
          <w:rFonts w:hint="eastAsia"/>
          <w:b/>
          <w:bCs/>
          <w:rtl/>
        </w:rPr>
        <w:t>قُر</w:t>
      </w:r>
      <w:r w:rsidR="00685363" w:rsidRPr="00791AC0">
        <w:rPr>
          <w:rStyle w:val="Char3"/>
          <w:rFonts w:hint="cs"/>
          <w:b/>
          <w:bCs/>
          <w:rtl/>
        </w:rPr>
        <w:t>ۡ</w:t>
      </w:r>
      <w:r w:rsidR="00685363" w:rsidRPr="00791AC0">
        <w:rPr>
          <w:rStyle w:val="Char3"/>
          <w:rFonts w:hint="eastAsia"/>
          <w:b/>
          <w:bCs/>
          <w:rtl/>
        </w:rPr>
        <w:t>بَى</w:t>
      </w:r>
      <w:r w:rsidR="00685363" w:rsidRPr="00791AC0">
        <w:rPr>
          <w:rStyle w:val="Char3"/>
          <w:rFonts w:hint="cs"/>
          <w:b/>
          <w:bCs/>
          <w:rtl/>
        </w:rPr>
        <w:t>ٰ</w:t>
      </w:r>
      <w:r w:rsidR="00685363" w:rsidRPr="00791AC0">
        <w:rPr>
          <w:rStyle w:val="Char3"/>
          <w:b/>
          <w:bCs/>
          <w:rtl/>
        </w:rPr>
        <w:t xml:space="preserve"> </w:t>
      </w:r>
      <w:r w:rsidR="00685363" w:rsidRPr="00791AC0">
        <w:rPr>
          <w:rStyle w:val="Char3"/>
          <w:rFonts w:hint="eastAsia"/>
          <w:b/>
          <w:bCs/>
          <w:rtl/>
        </w:rPr>
        <w:t>حَقَّهُ</w:t>
      </w:r>
      <w:r w:rsidR="00685363" w:rsidRPr="00791AC0">
        <w:rPr>
          <w:rStyle w:val="Char3"/>
          <w:rFonts w:hint="cs"/>
          <w:b/>
          <w:bCs/>
          <w:rtl/>
        </w:rPr>
        <w:t>ۥ</w:t>
      </w:r>
      <w:r w:rsidR="00685363" w:rsidRPr="00CE7623">
        <w:rPr>
          <w:rFonts w:ascii="Abo-thar" w:hAnsi="Abo-thar" w:cs="KFGQPC Uthman Taha Naskh" w:hint="cs"/>
          <w:sz w:val="28"/>
          <w:rtl/>
        </w:rPr>
        <w:t>﴾</w:t>
      </w:r>
      <w:r w:rsidR="00685363" w:rsidRPr="00CE7623">
        <w:rPr>
          <w:rFonts w:ascii="Abo-thar" w:hAnsi="Abo-thar" w:cs="KFGQPC Uthman Taha Naskh" w:hint="cs"/>
          <w:b/>
          <w:bCs/>
          <w:sz w:val="28"/>
          <w:rtl/>
        </w:rPr>
        <w:t xml:space="preserve"> </w:t>
      </w:r>
      <w:r w:rsidRPr="00CE7623">
        <w:rPr>
          <w:rFonts w:ascii="Abo-thar" w:hAnsi="Abo-thar" w:cs="KFGQPC Uthman Taha Naskh"/>
          <w:b/>
          <w:bCs/>
          <w:sz w:val="28"/>
          <w:rtl/>
        </w:rPr>
        <w:t>قَالَ</w:t>
      </w:r>
      <w:r w:rsidR="00217AB4" w:rsidRPr="00CE7623">
        <w:rPr>
          <w:rFonts w:ascii="Abo-thar" w:hAnsi="Abo-thar" w:cs="KFGQPC Uthman Taha Naskh" w:hint="cs"/>
          <w:b/>
          <w:bCs/>
          <w:sz w:val="28"/>
          <w:rtl/>
        </w:rPr>
        <w:t>:</w:t>
      </w:r>
      <w:r w:rsidRPr="00CE7623">
        <w:rPr>
          <w:rFonts w:ascii="Abo-thar" w:hAnsi="Abo-thar" w:cs="KFGQPC Uthman Taha Naskh"/>
          <w:b/>
          <w:bCs/>
          <w:sz w:val="28"/>
          <w:rtl/>
        </w:rPr>
        <w:t xml:space="preserve"> وَمَا هُوَ</w:t>
      </w:r>
      <w:r w:rsidR="00217AB4" w:rsidRPr="00CE7623">
        <w:rPr>
          <w:rFonts w:ascii="Abo-thar" w:hAnsi="Abo-thar" w:cs="KFGQPC Uthman Taha Naskh" w:hint="cs"/>
          <w:b/>
          <w:bCs/>
          <w:sz w:val="28"/>
          <w:rtl/>
        </w:rPr>
        <w:t>؟</w:t>
      </w:r>
      <w:r w:rsidRPr="00CE7623">
        <w:rPr>
          <w:rFonts w:ascii="Abo-thar" w:hAnsi="Abo-thar" w:cs="KFGQPC Uthman Taha Naskh"/>
          <w:b/>
          <w:bCs/>
          <w:sz w:val="28"/>
          <w:rtl/>
        </w:rPr>
        <w:t xml:space="preserve"> قَالَ</w:t>
      </w:r>
      <w:r w:rsidR="00217AB4" w:rsidRPr="00CE7623">
        <w:rPr>
          <w:rFonts w:ascii="Abo-thar" w:hAnsi="Abo-thar" w:cs="KFGQPC Uthman Taha Naskh" w:hint="cs"/>
          <w:b/>
          <w:bCs/>
          <w:sz w:val="28"/>
          <w:rtl/>
        </w:rPr>
        <w:t>:</w:t>
      </w:r>
      <w:r w:rsidRPr="00CE7623">
        <w:rPr>
          <w:rFonts w:ascii="Abo-thar" w:hAnsi="Abo-thar" w:cs="KFGQPC Uthman Taha Naskh"/>
          <w:b/>
          <w:bCs/>
          <w:sz w:val="28"/>
          <w:rtl/>
        </w:rPr>
        <w:t xml:space="preserve"> أَعْطِ فَاطِمَةَ فَدَكاً</w:t>
      </w:r>
      <w:r w:rsidR="00217AB4" w:rsidRPr="00CE7623">
        <w:rPr>
          <w:rFonts w:ascii="Abo-thar" w:hAnsi="Abo-thar" w:cs="KFGQPC Uthman Taha Naskh"/>
          <w:b/>
          <w:bCs/>
          <w:sz w:val="28"/>
          <w:rtl/>
        </w:rPr>
        <w:t>،</w:t>
      </w:r>
      <w:r w:rsidRPr="00CE7623">
        <w:rPr>
          <w:rFonts w:ascii="Abo-thar" w:hAnsi="Abo-thar" w:cs="KFGQPC Uthman Taha Naskh"/>
          <w:b/>
          <w:bCs/>
          <w:sz w:val="28"/>
          <w:rtl/>
        </w:rPr>
        <w:t xml:space="preserve"> وَهِيَ مِنْ مِيرَاثِهَا مِنْ أُمِّهَا خَدِيجَةَ</w:t>
      </w:r>
      <w:r w:rsidR="00217AB4" w:rsidRPr="00CE7623">
        <w:rPr>
          <w:rFonts w:ascii="Abo-thar" w:hAnsi="Abo-thar" w:cs="KFGQPC Uthman Taha Naskh"/>
          <w:b/>
          <w:bCs/>
          <w:sz w:val="28"/>
          <w:rtl/>
        </w:rPr>
        <w:t>،</w:t>
      </w:r>
      <w:r w:rsidRPr="00CE7623">
        <w:rPr>
          <w:rFonts w:ascii="Abo-thar" w:hAnsi="Abo-thar" w:cs="KFGQPC Uthman Taha Naskh"/>
          <w:b/>
          <w:bCs/>
          <w:sz w:val="28"/>
          <w:rtl/>
        </w:rPr>
        <w:t xml:space="preserve"> وَمِنْ أُخْتِهَا هِنْدٍ بِنْتِ أَبِي هَالَةَ</w:t>
      </w:r>
      <w:r w:rsidR="00217AB4" w:rsidRPr="00CE7623">
        <w:rPr>
          <w:rFonts w:ascii="Abo-thar" w:hAnsi="Abo-thar" w:cs="KFGQPC Uthman Taha Naskh"/>
          <w:b/>
          <w:bCs/>
          <w:sz w:val="28"/>
          <w:rtl/>
        </w:rPr>
        <w:t>،</w:t>
      </w:r>
      <w:r w:rsidRPr="00CE7623">
        <w:rPr>
          <w:rFonts w:ascii="Abo-thar" w:hAnsi="Abo-thar" w:cs="KFGQPC Uthman Taha Naskh"/>
          <w:b/>
          <w:bCs/>
          <w:sz w:val="28"/>
          <w:rtl/>
        </w:rPr>
        <w:t xml:space="preserve"> فَحَمَلَ إِلَيْهَا النَّبِيُّ صَلَّى اللهُ عَلَيْهِ وَآلِهِ مَا أَخَذَ مِنْهُ</w:t>
      </w:r>
      <w:r w:rsidR="00217AB4" w:rsidRPr="00CE7623">
        <w:rPr>
          <w:rFonts w:ascii="Abo-thar" w:hAnsi="Abo-thar" w:cs="KFGQPC Uthman Taha Naskh"/>
          <w:b/>
          <w:bCs/>
          <w:sz w:val="28"/>
          <w:rtl/>
        </w:rPr>
        <w:t>،</w:t>
      </w:r>
      <w:r w:rsidRPr="00CE7623">
        <w:rPr>
          <w:rFonts w:ascii="Abo-thar" w:hAnsi="Abo-thar" w:cs="KFGQPC Uthman Taha Naskh"/>
          <w:b/>
          <w:bCs/>
          <w:sz w:val="28"/>
          <w:rtl/>
        </w:rPr>
        <w:t xml:space="preserve"> وَأَخْبَرَهَا بِالْآيَةِ</w:t>
      </w:r>
      <w:r w:rsidR="00FB6445" w:rsidRPr="00CE7623">
        <w:rPr>
          <w:rFonts w:ascii="Abo-thar" w:hAnsi="Abo-thar" w:cs="KFGQPC Uthman Taha Naskh"/>
          <w:sz w:val="28"/>
          <w:rtl/>
        </w:rPr>
        <w:t>»</w:t>
      </w:r>
      <w:r w:rsidRPr="00995B26">
        <w:rPr>
          <w:rFonts w:ascii="Abo-thar" w:hAnsi="Abo-thar" w:hint="cs"/>
          <w:sz w:val="28"/>
          <w:rtl/>
        </w:rPr>
        <w:t xml:space="preserve"> والذي يتبين منه أن المراد من ذي القربى إذا اعتبرناهم أقرباء الرسول</w:t>
      </w:r>
      <w:r w:rsidR="00147857" w:rsidRPr="00995B26">
        <w:rPr>
          <w:rFonts w:ascii="Abo-thar" w:hAnsi="Abo-thar" w:hint="cs"/>
          <w:sz w:val="28"/>
          <w:rtl/>
        </w:rPr>
        <w:t xml:space="preserve"> </w:t>
      </w:r>
      <w:r w:rsidR="003C7AEB" w:rsidRPr="003C7AEB">
        <w:rPr>
          <w:rFonts w:ascii="Abo-thar" w:hAnsi="Abo-thar" w:cs="CTraditional Arabic"/>
          <w:sz w:val="28"/>
          <w:rtl/>
          <w:lang w:bidi="ar-SY"/>
        </w:rPr>
        <w:t>ص</w:t>
      </w:r>
      <w:r w:rsidR="00147857" w:rsidRPr="00995B26">
        <w:rPr>
          <w:rFonts w:ascii="Abo-thar" w:hAnsi="Abo-thar"/>
          <w:sz w:val="28"/>
          <w:rtl/>
          <w:lang w:bidi="ar-SY"/>
        </w:rPr>
        <w:t xml:space="preserve"> </w:t>
      </w:r>
      <w:r w:rsidRPr="00995B26">
        <w:rPr>
          <w:rFonts w:ascii="Abo-thar" w:hAnsi="Abo-thar" w:hint="cs"/>
          <w:sz w:val="28"/>
          <w:rtl/>
        </w:rPr>
        <w:t>لن يكون سوى فاطمة سلام الله عليها</w:t>
      </w:r>
      <w:r w:rsidR="00217AB4" w:rsidRPr="00995B26">
        <w:rPr>
          <w:rFonts w:ascii="Abo-thar" w:hAnsi="Abo-thar" w:hint="cs"/>
          <w:sz w:val="28"/>
          <w:rtl/>
        </w:rPr>
        <w:t>.</w:t>
      </w:r>
    </w:p>
    <w:p w:rsidR="005C664D" w:rsidRPr="00995B26" w:rsidRDefault="005C664D" w:rsidP="003F3B94">
      <w:pPr>
        <w:pStyle w:val="a0"/>
        <w:rPr>
          <w:rFonts w:hint="cs"/>
          <w:rtl/>
        </w:rPr>
      </w:pPr>
      <w:r w:rsidRPr="003F3B94">
        <w:rPr>
          <w:rFonts w:ascii="Abo-thar" w:hAnsi="Abo-thar" w:hint="cs"/>
          <w:sz w:val="28"/>
          <w:rtl/>
        </w:rPr>
        <w:t>والتاريخ يشهد أنه عندما نزلت آية</w:t>
      </w:r>
      <w:r w:rsidR="00685363" w:rsidRPr="003F3B94">
        <w:rPr>
          <w:rFonts w:ascii="Abo-thar" w:hAnsi="Abo-thar" w:hint="cs"/>
          <w:sz w:val="28"/>
          <w:rtl/>
        </w:rPr>
        <w:t xml:space="preserve">: </w:t>
      </w:r>
      <w:r w:rsidR="00685363" w:rsidRPr="003F3B94">
        <w:rPr>
          <w:rFonts w:ascii="Abo-thar" w:hAnsi="Abo-thar"/>
          <w:sz w:val="28"/>
          <w:rtl/>
        </w:rPr>
        <w:softHyphen/>
      </w:r>
      <w:r w:rsidR="00685363" w:rsidRPr="00995B26">
        <w:rPr>
          <w:rFonts w:ascii="Abo-thar" w:hAnsi="Abo-thar" w:cs="Traditional Arabic" w:hint="cs"/>
          <w:sz w:val="28"/>
          <w:rtl/>
        </w:rPr>
        <w:t>﴿</w:t>
      </w:r>
      <w:r w:rsidR="00685363" w:rsidRPr="00DF7CAE">
        <w:rPr>
          <w:rStyle w:val="Char3"/>
          <w:rFonts w:hint="eastAsia"/>
          <w:rtl/>
        </w:rPr>
        <w:t>وَ</w:t>
      </w:r>
      <w:r w:rsidR="00685363" w:rsidRPr="00DF7CAE">
        <w:rPr>
          <w:rStyle w:val="Char3"/>
          <w:rFonts w:hint="cs"/>
          <w:rtl/>
        </w:rPr>
        <w:t>ٱ</w:t>
      </w:r>
      <w:r w:rsidR="00685363" w:rsidRPr="00DF7CAE">
        <w:rPr>
          <w:rStyle w:val="Char3"/>
          <w:rFonts w:hint="eastAsia"/>
          <w:rtl/>
        </w:rPr>
        <w:t>ع</w:t>
      </w:r>
      <w:r w:rsidR="00685363" w:rsidRPr="00DF7CAE">
        <w:rPr>
          <w:rStyle w:val="Char3"/>
          <w:rFonts w:hint="cs"/>
          <w:rtl/>
        </w:rPr>
        <w:t>ۡ</w:t>
      </w:r>
      <w:r w:rsidR="00685363" w:rsidRPr="00DF7CAE">
        <w:rPr>
          <w:rStyle w:val="Char3"/>
          <w:rFonts w:hint="eastAsia"/>
          <w:rtl/>
        </w:rPr>
        <w:t>لَمُو</w:t>
      </w:r>
      <w:r w:rsidR="00685363" w:rsidRPr="00DF7CAE">
        <w:rPr>
          <w:rStyle w:val="Char3"/>
          <w:rFonts w:hint="cs"/>
          <w:rtl/>
        </w:rPr>
        <w:t>ٓ</w:t>
      </w:r>
      <w:r w:rsidR="00685363" w:rsidRPr="00DF7CAE">
        <w:rPr>
          <w:rStyle w:val="Char3"/>
          <w:rFonts w:hint="eastAsia"/>
          <w:rtl/>
        </w:rPr>
        <w:t>اْ</w:t>
      </w:r>
      <w:r w:rsidR="00685363" w:rsidRPr="00DF7CAE">
        <w:rPr>
          <w:rStyle w:val="Char3"/>
          <w:rtl/>
        </w:rPr>
        <w:t xml:space="preserve"> </w:t>
      </w:r>
      <w:r w:rsidR="00685363" w:rsidRPr="00DF7CAE">
        <w:rPr>
          <w:rStyle w:val="Char3"/>
          <w:rFonts w:hint="eastAsia"/>
          <w:rtl/>
        </w:rPr>
        <w:t>أَنَّمَا</w:t>
      </w:r>
      <w:r w:rsidR="00685363" w:rsidRPr="00DF7CAE">
        <w:rPr>
          <w:rStyle w:val="Char3"/>
          <w:rtl/>
        </w:rPr>
        <w:t xml:space="preserve"> </w:t>
      </w:r>
      <w:r w:rsidR="00685363" w:rsidRPr="00DF7CAE">
        <w:rPr>
          <w:rStyle w:val="Char3"/>
          <w:rFonts w:hint="eastAsia"/>
          <w:rtl/>
        </w:rPr>
        <w:t>غَنِم</w:t>
      </w:r>
      <w:r w:rsidR="00685363" w:rsidRPr="00DF7CAE">
        <w:rPr>
          <w:rStyle w:val="Char3"/>
          <w:rFonts w:hint="cs"/>
          <w:rtl/>
        </w:rPr>
        <w:t>ۡ</w:t>
      </w:r>
      <w:r w:rsidR="00685363" w:rsidRPr="00DF7CAE">
        <w:rPr>
          <w:rStyle w:val="Char3"/>
          <w:rFonts w:hint="eastAsia"/>
          <w:rtl/>
        </w:rPr>
        <w:t>تُم</w:t>
      </w:r>
      <w:r w:rsidR="00685363" w:rsidRPr="00DF7CAE">
        <w:rPr>
          <w:rStyle w:val="Char3"/>
          <w:rtl/>
        </w:rPr>
        <w:t xml:space="preserve"> </w:t>
      </w:r>
      <w:r w:rsidR="00685363" w:rsidRPr="00DF7CAE">
        <w:rPr>
          <w:rStyle w:val="Char3"/>
          <w:rFonts w:hint="eastAsia"/>
          <w:rtl/>
        </w:rPr>
        <w:t>مِّن</w:t>
      </w:r>
      <w:r w:rsidR="00685363" w:rsidRPr="00DF7CAE">
        <w:rPr>
          <w:rStyle w:val="Char3"/>
          <w:rtl/>
        </w:rPr>
        <w:t xml:space="preserve"> </w:t>
      </w:r>
      <w:r w:rsidR="00685363" w:rsidRPr="00DF7CAE">
        <w:rPr>
          <w:rStyle w:val="Char3"/>
          <w:rFonts w:hint="eastAsia"/>
          <w:rtl/>
        </w:rPr>
        <w:t>شَي</w:t>
      </w:r>
      <w:r w:rsidR="00685363" w:rsidRPr="00DF7CAE">
        <w:rPr>
          <w:rStyle w:val="Char3"/>
          <w:rFonts w:hint="cs"/>
          <w:rtl/>
        </w:rPr>
        <w:t>ۡ</w:t>
      </w:r>
      <w:r w:rsidR="00685363" w:rsidRPr="00DF7CAE">
        <w:rPr>
          <w:rStyle w:val="Char3"/>
          <w:rFonts w:hint="eastAsia"/>
          <w:rtl/>
        </w:rPr>
        <w:t>ء</w:t>
      </w:r>
      <w:r w:rsidR="00685363" w:rsidRPr="00DF7CAE">
        <w:rPr>
          <w:rStyle w:val="Char3"/>
          <w:rFonts w:hint="cs"/>
          <w:rtl/>
        </w:rPr>
        <w:t>ٖ</w:t>
      </w:r>
      <w:r w:rsidR="00685363" w:rsidRPr="00DF7CAE">
        <w:rPr>
          <w:rStyle w:val="Char3"/>
          <w:rtl/>
        </w:rPr>
        <w:t xml:space="preserve"> </w:t>
      </w:r>
      <w:r w:rsidR="00685363" w:rsidRPr="00DF7CAE">
        <w:rPr>
          <w:rStyle w:val="Char3"/>
          <w:rFonts w:hint="eastAsia"/>
          <w:rtl/>
        </w:rPr>
        <w:t>فَأَنَّ</w:t>
      </w:r>
      <w:r w:rsidR="00685363" w:rsidRPr="00DF7CAE">
        <w:rPr>
          <w:rStyle w:val="Char3"/>
          <w:rtl/>
        </w:rPr>
        <w:t xml:space="preserve"> </w:t>
      </w:r>
      <w:r w:rsidR="00685363" w:rsidRPr="00DF7CAE">
        <w:rPr>
          <w:rStyle w:val="Char3"/>
          <w:rFonts w:hint="eastAsia"/>
          <w:rtl/>
        </w:rPr>
        <w:t>لِلَّهِ</w:t>
      </w:r>
      <w:r w:rsidR="00685363" w:rsidRPr="00DF7CAE">
        <w:rPr>
          <w:rStyle w:val="Char3"/>
          <w:rtl/>
        </w:rPr>
        <w:t xml:space="preserve"> </w:t>
      </w:r>
      <w:r w:rsidR="00685363" w:rsidRPr="00DF7CAE">
        <w:rPr>
          <w:rStyle w:val="Char3"/>
          <w:rFonts w:hint="eastAsia"/>
          <w:rtl/>
        </w:rPr>
        <w:t>خُمُسَهُ</w:t>
      </w:r>
      <w:r w:rsidR="00685363" w:rsidRPr="00DF7CAE">
        <w:rPr>
          <w:rStyle w:val="Char3"/>
          <w:rFonts w:hint="cs"/>
          <w:rtl/>
        </w:rPr>
        <w:t>ۥ</w:t>
      </w:r>
      <w:r w:rsidR="00685363" w:rsidRPr="00DF7CAE">
        <w:rPr>
          <w:rStyle w:val="Char3"/>
          <w:rtl/>
        </w:rPr>
        <w:t xml:space="preserve"> </w:t>
      </w:r>
      <w:r w:rsidR="00685363" w:rsidRPr="00DF7CAE">
        <w:rPr>
          <w:rStyle w:val="Char3"/>
          <w:rFonts w:hint="eastAsia"/>
          <w:rtl/>
        </w:rPr>
        <w:t>وَلِلرَّسُولِ</w:t>
      </w:r>
      <w:r w:rsidR="00685363" w:rsidRPr="00DF7CAE">
        <w:rPr>
          <w:rStyle w:val="Char3"/>
          <w:rtl/>
        </w:rPr>
        <w:t xml:space="preserve"> </w:t>
      </w:r>
      <w:r w:rsidR="00685363" w:rsidRPr="00DF7CAE">
        <w:rPr>
          <w:rStyle w:val="Char3"/>
          <w:rFonts w:hint="eastAsia"/>
          <w:rtl/>
        </w:rPr>
        <w:t>وَلِذِي</w:t>
      </w:r>
      <w:r w:rsidR="00685363" w:rsidRPr="00DF7CAE">
        <w:rPr>
          <w:rStyle w:val="Char3"/>
          <w:rtl/>
        </w:rPr>
        <w:t xml:space="preserve"> </w:t>
      </w:r>
      <w:r w:rsidR="00685363" w:rsidRPr="00DF7CAE">
        <w:rPr>
          <w:rStyle w:val="Char3"/>
          <w:rFonts w:hint="cs"/>
          <w:rtl/>
        </w:rPr>
        <w:t>ٱ</w:t>
      </w:r>
      <w:r w:rsidR="00685363" w:rsidRPr="00DF7CAE">
        <w:rPr>
          <w:rStyle w:val="Char3"/>
          <w:rFonts w:hint="eastAsia"/>
          <w:rtl/>
        </w:rPr>
        <w:t>ل</w:t>
      </w:r>
      <w:r w:rsidR="00685363" w:rsidRPr="00DF7CAE">
        <w:rPr>
          <w:rStyle w:val="Char3"/>
          <w:rFonts w:hint="cs"/>
          <w:rtl/>
        </w:rPr>
        <w:t>ۡ</w:t>
      </w:r>
      <w:r w:rsidR="00685363" w:rsidRPr="00DF7CAE">
        <w:rPr>
          <w:rStyle w:val="Char3"/>
          <w:rFonts w:hint="eastAsia"/>
          <w:rtl/>
        </w:rPr>
        <w:t>قُر</w:t>
      </w:r>
      <w:r w:rsidR="00685363" w:rsidRPr="00DF7CAE">
        <w:rPr>
          <w:rStyle w:val="Char3"/>
          <w:rFonts w:hint="cs"/>
          <w:rtl/>
        </w:rPr>
        <w:t>ۡ</w:t>
      </w:r>
      <w:r w:rsidR="00685363" w:rsidRPr="00DF7CAE">
        <w:rPr>
          <w:rStyle w:val="Char3"/>
          <w:rFonts w:hint="eastAsia"/>
          <w:rtl/>
        </w:rPr>
        <w:t>بَى</w:t>
      </w:r>
      <w:r w:rsidR="00685363" w:rsidRPr="00DF7CAE">
        <w:rPr>
          <w:rStyle w:val="Char3"/>
          <w:rFonts w:hint="cs"/>
          <w:rtl/>
        </w:rPr>
        <w:t>ٰ</w:t>
      </w:r>
      <w:r w:rsidR="00685363" w:rsidRPr="00995B26">
        <w:rPr>
          <w:rFonts w:ascii="KFGQPC Uthmanic Script HAFS" w:cs="Times New Roman" w:hint="cs"/>
          <w:sz w:val="28"/>
          <w:rtl/>
        </w:rPr>
        <w:t>...</w:t>
      </w:r>
      <w:r w:rsidR="00685363" w:rsidRPr="00995B26">
        <w:rPr>
          <w:rFonts w:ascii="Abo-thar" w:hAnsi="Abo-thar" w:cs="Traditional Arabic" w:hint="cs"/>
          <w:sz w:val="28"/>
          <w:rtl/>
        </w:rPr>
        <w:t>﴾</w:t>
      </w:r>
      <w:r w:rsidRPr="00995B26">
        <w:rPr>
          <w:rFonts w:ascii="Abo-thar" w:hAnsi="Abo-thar" w:hint="cs"/>
          <w:sz w:val="28"/>
          <w:rtl/>
        </w:rPr>
        <w:t xml:space="preserve"> والتي كان نزولها مقارناً أو لاحقاً لمعركة بدر أي في الشهر الخامس عشر أو السادس عشر لهجرة رسول الله</w:t>
      </w:r>
      <w:r w:rsidR="00147857" w:rsidRPr="00995B26">
        <w:rPr>
          <w:rFonts w:ascii="Abo-thar" w:hAnsi="Abo-thar" w:hint="cs"/>
          <w:sz w:val="28"/>
          <w:rtl/>
        </w:rPr>
        <w:t xml:space="preserve"> </w:t>
      </w:r>
      <w:r w:rsidR="003C7AEB" w:rsidRPr="003C7AEB">
        <w:rPr>
          <w:rFonts w:ascii="Abo-thar" w:hAnsi="Abo-thar" w:cs="CTraditional Arabic"/>
          <w:sz w:val="28"/>
          <w:rtl/>
          <w:lang w:bidi="ar-SY"/>
        </w:rPr>
        <w:t>ص</w:t>
      </w:r>
      <w:r w:rsidR="00147857" w:rsidRPr="00995B26">
        <w:rPr>
          <w:rFonts w:ascii="Abo-thar" w:hAnsi="Abo-thar"/>
          <w:sz w:val="28"/>
          <w:rtl/>
          <w:lang w:bidi="ar-SY"/>
        </w:rPr>
        <w:t xml:space="preserve"> </w:t>
      </w:r>
      <w:r w:rsidRPr="00995B26">
        <w:rPr>
          <w:rFonts w:ascii="Abo-thar" w:hAnsi="Abo-thar" w:hint="cs"/>
          <w:sz w:val="28"/>
          <w:rtl/>
        </w:rPr>
        <w:t xml:space="preserve">إلى المدينة لم يكن لرسول الله أقرباء يمكن أن نسميهم </w:t>
      </w:r>
      <w:r w:rsidRPr="00995B26">
        <w:rPr>
          <w:rFonts w:ascii="Abo-thar" w:hAnsi="Abo-thar" w:hint="eastAsia"/>
          <w:sz w:val="28"/>
          <w:rtl/>
        </w:rPr>
        <w:t>«</w:t>
      </w:r>
      <w:r w:rsidRPr="00995B26">
        <w:rPr>
          <w:rFonts w:ascii="Abo-thar" w:hAnsi="Abo-thar" w:hint="cs"/>
          <w:b/>
          <w:bCs/>
          <w:sz w:val="28"/>
          <w:rtl/>
        </w:rPr>
        <w:t>ذي القربى</w:t>
      </w:r>
      <w:r w:rsidRPr="00995B26">
        <w:rPr>
          <w:rFonts w:ascii="Abo-thar" w:hAnsi="Abo-thar" w:hint="eastAsia"/>
          <w:sz w:val="28"/>
          <w:rtl/>
        </w:rPr>
        <w:t>»</w:t>
      </w:r>
      <w:r w:rsidRPr="00995B26">
        <w:rPr>
          <w:rFonts w:ascii="Abo-thar" w:hAnsi="Abo-thar" w:hint="cs"/>
          <w:sz w:val="28"/>
          <w:rtl/>
        </w:rPr>
        <w:t xml:space="preserve"> سوى حضـرة الزهراء </w:t>
      </w:r>
      <w:r w:rsidR="008B3243" w:rsidRPr="008B3243">
        <w:rPr>
          <w:rFonts w:ascii="Abo-thar" w:hAnsi="Abo-thar" w:cs="CTraditional Arabic" w:hint="cs"/>
          <w:sz w:val="28"/>
          <w:rtl/>
        </w:rPr>
        <w:t>‘</w:t>
      </w:r>
      <w:r w:rsidRPr="00995B26">
        <w:rPr>
          <w:rFonts w:ascii="Abo-thar" w:hAnsi="Abo-thar" w:hint="cs"/>
          <w:sz w:val="28"/>
          <w:rtl/>
        </w:rPr>
        <w:t xml:space="preserve"> والتي كانت أيضاً في بيت رسول الله</w:t>
      </w:r>
      <w:r w:rsidR="00147857" w:rsidRPr="00995B26">
        <w:rPr>
          <w:rFonts w:ascii="Abo-thar" w:hAnsi="Abo-thar" w:hint="cs"/>
          <w:sz w:val="28"/>
          <w:rtl/>
        </w:rPr>
        <w:t xml:space="preserve"> </w:t>
      </w:r>
      <w:r w:rsidR="003C7AEB" w:rsidRPr="003C7AEB">
        <w:rPr>
          <w:rFonts w:ascii="Abo-thar" w:hAnsi="Abo-thar" w:cs="CTraditional Arabic" w:hint="cs"/>
          <w:sz w:val="28"/>
          <w:rtl/>
        </w:rPr>
        <w:t>ص</w:t>
      </w:r>
      <w:r w:rsidR="00147857" w:rsidRPr="00995B26">
        <w:rPr>
          <w:rFonts w:ascii="Abo-thar" w:hAnsi="Abo-thar" w:hint="cs"/>
          <w:sz w:val="28"/>
          <w:rtl/>
        </w:rPr>
        <w:t xml:space="preserve"> </w:t>
      </w:r>
      <w:r w:rsidRPr="00995B26">
        <w:rPr>
          <w:rFonts w:ascii="Abo-thar" w:hAnsi="Abo-thar" w:hint="cs"/>
          <w:sz w:val="28"/>
          <w:rtl/>
        </w:rPr>
        <w:t>وتحت كفالته</w:t>
      </w:r>
      <w:r w:rsidR="00217AB4" w:rsidRPr="00995B26">
        <w:rPr>
          <w:rFonts w:ascii="Abo-thar" w:hAnsi="Abo-thar" w:hint="cs"/>
          <w:sz w:val="28"/>
          <w:rtl/>
        </w:rPr>
        <w:t>،</w:t>
      </w:r>
      <w:r w:rsidRPr="00995B26">
        <w:rPr>
          <w:rFonts w:ascii="Abo-thar" w:hAnsi="Abo-thar" w:hint="cs"/>
          <w:sz w:val="28"/>
          <w:rtl/>
        </w:rPr>
        <w:t xml:space="preserve"> لأنه لم يكن هنالك</w:t>
      </w:r>
      <w:r w:rsidR="00147857" w:rsidRPr="00995B26">
        <w:rPr>
          <w:rFonts w:ascii="Abo-thar" w:hAnsi="Abo-thar" w:hint="cs"/>
          <w:sz w:val="28"/>
          <w:rtl/>
        </w:rPr>
        <w:t xml:space="preserve"> </w:t>
      </w:r>
      <w:r w:rsidRPr="00995B26">
        <w:rPr>
          <w:rFonts w:ascii="Abo-thar" w:hAnsi="Abo-thar" w:hint="cs"/>
          <w:sz w:val="28"/>
          <w:rtl/>
        </w:rPr>
        <w:t>في ذلك الزمن أحدٌ من أولاد رسول الله سوى زينب التي كانت زوجة أبي العاص ورقية التي كانت زوجة عثمان فتوفيت وتزوج عثمان بأختها أم كلثوم ابنة رسول الله الأخرى</w:t>
      </w:r>
      <w:r w:rsidR="00217AB4" w:rsidRPr="00995B26">
        <w:rPr>
          <w:rFonts w:ascii="Abo-thar" w:hAnsi="Abo-thar" w:hint="cs"/>
          <w:sz w:val="28"/>
          <w:rtl/>
        </w:rPr>
        <w:t>،</w:t>
      </w:r>
      <w:r w:rsidRPr="00995B26">
        <w:rPr>
          <w:rFonts w:ascii="Abo-thar" w:hAnsi="Abo-thar" w:hint="cs"/>
          <w:sz w:val="28"/>
          <w:rtl/>
        </w:rPr>
        <w:t xml:space="preserve"> وفاطمة الزهراء التي لم تكن قد تزوجت بعد من أم</w:t>
      </w:r>
      <w:r w:rsidR="000868AA" w:rsidRPr="00995B26">
        <w:rPr>
          <w:rFonts w:ascii="Abo-thar" w:hAnsi="Abo-thar" w:hint="cs"/>
          <w:sz w:val="28"/>
          <w:rtl/>
        </w:rPr>
        <w:t xml:space="preserve">ير المؤمنين علي </w:t>
      </w:r>
      <w:r w:rsidR="003C7AEB" w:rsidRPr="003C7AEB">
        <w:rPr>
          <w:rFonts w:ascii="Abo-thar" w:hAnsi="Abo-thar" w:cs="CTraditional Arabic" w:hint="cs"/>
          <w:sz w:val="28"/>
          <w:rtl/>
        </w:rPr>
        <w:t>÷</w:t>
      </w:r>
      <w:r w:rsidR="000868AA" w:rsidRPr="00995B26">
        <w:rPr>
          <w:rFonts w:ascii="Abo-thar" w:hAnsi="Abo-thar" w:hint="cs"/>
          <w:sz w:val="28"/>
          <w:rtl/>
        </w:rPr>
        <w:t xml:space="preserve"> بل ما</w:t>
      </w:r>
      <w:r w:rsidRPr="00995B26">
        <w:rPr>
          <w:rFonts w:ascii="Abo-thar" w:hAnsi="Abo-thar" w:hint="eastAsia"/>
          <w:sz w:val="28"/>
          <w:rtl/>
        </w:rPr>
        <w:t> </w:t>
      </w:r>
      <w:r w:rsidRPr="00995B26">
        <w:rPr>
          <w:rFonts w:ascii="Abo-thar" w:hAnsi="Abo-thar" w:hint="cs"/>
          <w:sz w:val="28"/>
          <w:rtl/>
        </w:rPr>
        <w:t>تزال تعيش في كنف أبيها</w:t>
      </w:r>
      <w:r w:rsidR="00147857" w:rsidRPr="00995B26">
        <w:rPr>
          <w:rFonts w:ascii="Abo-thar" w:hAnsi="Abo-thar" w:hint="cs"/>
          <w:sz w:val="28"/>
          <w:rtl/>
        </w:rPr>
        <w:t xml:space="preserve"> </w:t>
      </w:r>
      <w:r w:rsidR="003C7AEB" w:rsidRPr="003C7AEB">
        <w:rPr>
          <w:rFonts w:ascii="Abo-thar" w:hAnsi="Abo-thar" w:cs="CTraditional Arabic" w:hint="cs"/>
          <w:sz w:val="28"/>
          <w:rtl/>
        </w:rPr>
        <w:t>ص</w:t>
      </w:r>
      <w:r w:rsidR="00217AB4" w:rsidRPr="00995B26">
        <w:rPr>
          <w:rFonts w:ascii="Abo-thar" w:hAnsi="Abo-thar" w:hint="cs"/>
          <w:sz w:val="28"/>
          <w:rtl/>
        </w:rPr>
        <w:t>.</w:t>
      </w:r>
      <w:r w:rsidRPr="00995B26">
        <w:rPr>
          <w:rFonts w:ascii="Abo-thar" w:hAnsi="Abo-thar" w:hint="cs"/>
          <w:sz w:val="28"/>
          <w:rtl/>
        </w:rPr>
        <w:t xml:space="preserve"> ولم يكن من أزواج حضرته </w:t>
      </w:r>
      <w:r w:rsidR="00217AB4" w:rsidRPr="00995B26">
        <w:rPr>
          <w:rFonts w:ascii="Abo-thar" w:hAnsi="Abo-thar" w:hint="cs"/>
          <w:sz w:val="28"/>
          <w:rtl/>
        </w:rPr>
        <w:t>(</w:t>
      </w:r>
      <w:r w:rsidRPr="00995B26">
        <w:rPr>
          <w:rFonts w:ascii="Abo-thar" w:hAnsi="Abo-thar" w:hint="cs"/>
          <w:sz w:val="28"/>
          <w:rtl/>
        </w:rPr>
        <w:t>هذا رغم أنه لا</w:t>
      </w:r>
      <w:r w:rsidRPr="00995B26">
        <w:rPr>
          <w:rFonts w:ascii="Abo-thar" w:hAnsi="Abo-thar" w:hint="eastAsia"/>
          <w:sz w:val="28"/>
          <w:rtl/>
        </w:rPr>
        <w:t> </w:t>
      </w:r>
      <w:r w:rsidRPr="00995B26">
        <w:rPr>
          <w:rFonts w:ascii="Abo-thar" w:hAnsi="Abo-thar" w:hint="cs"/>
          <w:sz w:val="28"/>
          <w:rtl/>
        </w:rPr>
        <w:t>يمكن تسمية الزوجة بذي القربى</w:t>
      </w:r>
      <w:r w:rsidR="00217AB4" w:rsidRPr="00995B26">
        <w:rPr>
          <w:rFonts w:ascii="Abo-thar" w:hAnsi="Abo-thar" w:hint="cs"/>
          <w:sz w:val="28"/>
          <w:rtl/>
        </w:rPr>
        <w:t>)</w:t>
      </w:r>
      <w:r w:rsidRPr="00995B26">
        <w:rPr>
          <w:rFonts w:ascii="Abo-thar" w:hAnsi="Abo-thar" w:hint="cs"/>
          <w:sz w:val="28"/>
          <w:rtl/>
        </w:rPr>
        <w:t xml:space="preserve"> سوى سودة بنت زمعة ولم يكن من أعمامه من هو مسلمٌ سوى «حمزة» وكذلك من بني أعمامه لم يكن هناك مسلم سوى «عليّ»</w:t>
      </w:r>
      <w:r w:rsidR="00217AB4" w:rsidRPr="00995B26">
        <w:rPr>
          <w:rFonts w:ascii="Abo-thar" w:hAnsi="Abo-thar" w:hint="cs"/>
          <w:sz w:val="28"/>
          <w:rtl/>
        </w:rPr>
        <w:t>،</w:t>
      </w:r>
      <w:r w:rsidRPr="00995B26">
        <w:rPr>
          <w:rFonts w:ascii="Abo-thar" w:hAnsi="Abo-thar" w:hint="cs"/>
          <w:sz w:val="28"/>
          <w:rtl/>
        </w:rPr>
        <w:t xml:space="preserve"> لأن العبّاس عمّ النبيّ الآخر وأولاده وعقيل بن أبي طالب ونوفل بن الحارث بن عبد المطلب أولاد عمّ النبيّ كانوا لا يزالون على الكفر</w:t>
      </w:r>
      <w:r w:rsidR="00217AB4" w:rsidRPr="00995B26">
        <w:rPr>
          <w:rFonts w:ascii="Abo-thar" w:hAnsi="Abo-thar" w:hint="cs"/>
          <w:sz w:val="28"/>
          <w:rtl/>
        </w:rPr>
        <w:t>،</w:t>
      </w:r>
      <w:r w:rsidRPr="00995B26">
        <w:rPr>
          <w:rFonts w:ascii="Abo-thar" w:hAnsi="Abo-thar" w:hint="cs"/>
          <w:sz w:val="28"/>
          <w:rtl/>
        </w:rPr>
        <w:t xml:space="preserve"> ولما كان حمزة وعلي أنفسهما من المجاهدين والغانمين لم يكن يشملهم سهم خمس الله</w:t>
      </w:r>
      <w:r w:rsidR="00217AB4" w:rsidRPr="00995B26">
        <w:rPr>
          <w:rFonts w:ascii="Abo-thar" w:hAnsi="Abo-thar" w:hint="cs"/>
          <w:sz w:val="28"/>
          <w:rtl/>
        </w:rPr>
        <w:t>،</w:t>
      </w:r>
      <w:r w:rsidRPr="00995B26">
        <w:rPr>
          <w:rFonts w:ascii="Abo-thar" w:hAnsi="Abo-thar" w:hint="cs"/>
          <w:sz w:val="28"/>
          <w:rtl/>
        </w:rPr>
        <w:t xml:space="preserve"> ولم يكن هناك مسلم آخر من أقرباء النبيّ</w:t>
      </w:r>
      <w:r w:rsidR="00147857" w:rsidRPr="00995B26">
        <w:rPr>
          <w:rFonts w:ascii="Abo-thar" w:hAnsi="Abo-thar" w:hint="cs"/>
          <w:sz w:val="28"/>
          <w:rtl/>
        </w:rPr>
        <w:t xml:space="preserve"> </w:t>
      </w:r>
      <w:r w:rsidR="003C7AEB" w:rsidRPr="003C7AEB">
        <w:rPr>
          <w:rFonts w:ascii="Abo-thar" w:hAnsi="Abo-thar" w:cs="CTraditional Arabic"/>
          <w:sz w:val="28"/>
          <w:rtl/>
          <w:lang w:bidi="ar-SY"/>
        </w:rPr>
        <w:t>ص</w:t>
      </w:r>
      <w:r w:rsidR="00147857" w:rsidRPr="00995B26">
        <w:rPr>
          <w:rFonts w:ascii="Abo-thar" w:hAnsi="Abo-thar"/>
          <w:sz w:val="28"/>
          <w:rtl/>
          <w:lang w:bidi="ar-SY"/>
        </w:rPr>
        <w:t xml:space="preserve"> </w:t>
      </w:r>
      <w:r w:rsidRPr="00995B26">
        <w:rPr>
          <w:rFonts w:ascii="Abo-thar" w:hAnsi="Abo-thar" w:hint="cs"/>
          <w:sz w:val="28"/>
          <w:rtl/>
        </w:rPr>
        <w:t xml:space="preserve">حتى يمكن اعتباره من </w:t>
      </w:r>
      <w:r w:rsidRPr="00995B26">
        <w:rPr>
          <w:rFonts w:ascii="Abo-thar" w:hAnsi="Abo-thar" w:hint="eastAsia"/>
          <w:sz w:val="28"/>
          <w:rtl/>
        </w:rPr>
        <w:t>«</w:t>
      </w:r>
      <w:r w:rsidRPr="00995B26">
        <w:rPr>
          <w:rFonts w:ascii="Abo-thar" w:hAnsi="Abo-thar" w:hint="cs"/>
          <w:sz w:val="28"/>
          <w:rtl/>
        </w:rPr>
        <w:t>ذي القربى</w:t>
      </w:r>
      <w:r w:rsidRPr="00995B26">
        <w:rPr>
          <w:rFonts w:ascii="Abo-thar" w:hAnsi="Abo-thar" w:hint="eastAsia"/>
          <w:sz w:val="28"/>
          <w:rtl/>
        </w:rPr>
        <w:t>»</w:t>
      </w:r>
      <w:r w:rsidRPr="00995B26">
        <w:rPr>
          <w:rFonts w:ascii="Abo-thar" w:hAnsi="Abo-thar" w:hint="cs"/>
          <w:sz w:val="28"/>
          <w:rtl/>
        </w:rPr>
        <w:t xml:space="preserve"> وإعطائه من خمس الغنائم</w:t>
      </w:r>
      <w:r w:rsidR="00217AB4" w:rsidRPr="00995B26">
        <w:rPr>
          <w:rFonts w:ascii="Abo-thar" w:hAnsi="Abo-thar" w:hint="cs"/>
          <w:sz w:val="28"/>
          <w:rtl/>
        </w:rPr>
        <w:t>.</w:t>
      </w:r>
      <w:r w:rsidRPr="00995B26">
        <w:rPr>
          <w:rFonts w:ascii="Abo-thar" w:hAnsi="Abo-thar" w:hint="cs"/>
          <w:sz w:val="28"/>
          <w:rtl/>
        </w:rPr>
        <w:t xml:space="preserve"> </w:t>
      </w:r>
    </w:p>
    <w:p w:rsidR="005C664D" w:rsidRPr="003F3B94" w:rsidRDefault="005C664D" w:rsidP="003F3B94">
      <w:pPr>
        <w:pStyle w:val="a0"/>
        <w:rPr>
          <w:rFonts w:hint="cs"/>
          <w:rtl/>
        </w:rPr>
      </w:pPr>
      <w:r w:rsidRPr="003F3B94">
        <w:rPr>
          <w:rFonts w:ascii="Abo-thar" w:hAnsi="Abo-thar" w:hint="cs"/>
          <w:sz w:val="28"/>
          <w:rtl/>
        </w:rPr>
        <w:t>وتشهد سيرة رسول الله</w:t>
      </w:r>
      <w:r w:rsidR="00147857" w:rsidRPr="003F3B94">
        <w:rPr>
          <w:rFonts w:ascii="Abo-thar" w:hAnsi="Abo-thar" w:hint="cs"/>
          <w:sz w:val="28"/>
          <w:rtl/>
        </w:rPr>
        <w:t xml:space="preserve"> </w:t>
      </w:r>
      <w:r w:rsidR="003C7AEB" w:rsidRPr="003C7AEB">
        <w:rPr>
          <w:rFonts w:ascii="Abo-thar" w:hAnsi="Abo-thar" w:cs="CTraditional Arabic" w:hint="cs"/>
          <w:sz w:val="28"/>
          <w:rtl/>
        </w:rPr>
        <w:t>ص</w:t>
      </w:r>
      <w:r w:rsidR="00147857" w:rsidRPr="003F3B94">
        <w:rPr>
          <w:rFonts w:ascii="Abo-thar" w:hAnsi="Abo-thar" w:hint="cs"/>
          <w:sz w:val="28"/>
          <w:rtl/>
        </w:rPr>
        <w:t xml:space="preserve"> </w:t>
      </w:r>
      <w:r w:rsidRPr="003F3B94">
        <w:rPr>
          <w:rFonts w:ascii="Abo-thar" w:hAnsi="Abo-thar" w:hint="cs"/>
          <w:sz w:val="28"/>
          <w:rtl/>
        </w:rPr>
        <w:t xml:space="preserve">أيضاً أنه لم يعطِ أحداً من أقربائه أي شيء من غنائم الحرب إلا لحضرة الزهراء </w:t>
      </w:r>
      <w:r w:rsidR="008B3243" w:rsidRPr="008B3243">
        <w:rPr>
          <w:rFonts w:ascii="Abo-thar" w:hAnsi="Abo-thar" w:cs="CTraditional Arabic" w:hint="cs"/>
          <w:sz w:val="28"/>
          <w:rtl/>
        </w:rPr>
        <w:t>‘</w:t>
      </w:r>
      <w:r w:rsidRPr="003F3B94">
        <w:rPr>
          <w:rFonts w:ascii="Abo-thar" w:hAnsi="Abo-thar" w:hint="cs"/>
          <w:sz w:val="28"/>
          <w:rtl/>
        </w:rPr>
        <w:t xml:space="preserve"> ولكن ليس من غنائم بدر بل إنما نالت من خمس بدر ذلك المقدار الذي نالته بوصفها تعيش تحت كفالته</w:t>
      </w:r>
      <w:r w:rsidR="00147857" w:rsidRPr="003F3B94">
        <w:rPr>
          <w:rFonts w:ascii="Abo-thar" w:hAnsi="Abo-thar" w:hint="cs"/>
          <w:sz w:val="28"/>
          <w:rtl/>
        </w:rPr>
        <w:t xml:space="preserve"> </w:t>
      </w:r>
      <w:r w:rsidR="003C7AEB" w:rsidRPr="003C7AEB">
        <w:rPr>
          <w:rFonts w:ascii="Abo-thar" w:hAnsi="Abo-thar" w:cs="CTraditional Arabic"/>
          <w:sz w:val="28"/>
          <w:rtl/>
        </w:rPr>
        <w:t>ص</w:t>
      </w:r>
      <w:r w:rsidR="00217AB4" w:rsidRPr="003F3B94">
        <w:rPr>
          <w:rFonts w:ascii="Abo-thar" w:hAnsi="Abo-thar"/>
          <w:sz w:val="28"/>
          <w:rtl/>
        </w:rPr>
        <w:t>.</w:t>
      </w:r>
    </w:p>
    <w:p w:rsidR="005C664D" w:rsidRPr="00995B26" w:rsidRDefault="005C664D" w:rsidP="003F3B94">
      <w:pPr>
        <w:pStyle w:val="a0"/>
        <w:rPr>
          <w:rFonts w:hint="cs"/>
          <w:rtl/>
          <w:lang w:bidi="ar-SY"/>
        </w:rPr>
      </w:pPr>
      <w:r w:rsidRPr="003F3B94">
        <w:rPr>
          <w:rFonts w:ascii="Abo-thar" w:hAnsi="Abo-thar" w:hint="cs"/>
          <w:sz w:val="28"/>
          <w:rtl/>
          <w:lang w:bidi="ar-SY"/>
        </w:rPr>
        <w:t>فإذا كان المراد من</w:t>
      </w:r>
      <w:r w:rsidR="00B06788" w:rsidRPr="003F3B94">
        <w:rPr>
          <w:rFonts w:ascii="Abo-thar" w:hAnsi="Abo-thar" w:hint="cs"/>
          <w:sz w:val="28"/>
          <w:rtl/>
          <w:lang w:bidi="ar-SY"/>
        </w:rPr>
        <w:t xml:space="preserve"> </w:t>
      </w:r>
      <w:r w:rsidR="00B06788" w:rsidRPr="00995B26">
        <w:rPr>
          <w:rFonts w:ascii="Abo-thar" w:hAnsi="Abo-thar" w:cs="Traditional Arabic" w:hint="cs"/>
          <w:sz w:val="28"/>
          <w:rtl/>
          <w:lang w:bidi="ar-SY"/>
        </w:rPr>
        <w:t>﴿</w:t>
      </w:r>
      <w:r w:rsidR="00B06788" w:rsidRPr="00DF7CAE">
        <w:rPr>
          <w:rStyle w:val="Char3"/>
          <w:rFonts w:hint="eastAsia"/>
          <w:rtl/>
        </w:rPr>
        <w:t>وَلِذِي</w:t>
      </w:r>
      <w:r w:rsidR="00B06788" w:rsidRPr="00DF7CAE">
        <w:rPr>
          <w:rStyle w:val="Char3"/>
          <w:rtl/>
        </w:rPr>
        <w:t xml:space="preserve"> </w:t>
      </w:r>
      <w:r w:rsidR="00B06788" w:rsidRPr="00DF7CAE">
        <w:rPr>
          <w:rStyle w:val="Char3"/>
          <w:rFonts w:hint="cs"/>
          <w:rtl/>
        </w:rPr>
        <w:t>ٱ</w:t>
      </w:r>
      <w:r w:rsidR="00B06788" w:rsidRPr="00DF7CAE">
        <w:rPr>
          <w:rStyle w:val="Char3"/>
          <w:rFonts w:hint="eastAsia"/>
          <w:rtl/>
        </w:rPr>
        <w:t>ل</w:t>
      </w:r>
      <w:r w:rsidR="00B06788" w:rsidRPr="00DF7CAE">
        <w:rPr>
          <w:rStyle w:val="Char3"/>
          <w:rFonts w:hint="cs"/>
          <w:rtl/>
        </w:rPr>
        <w:t>ۡ</w:t>
      </w:r>
      <w:r w:rsidR="00B06788" w:rsidRPr="00DF7CAE">
        <w:rPr>
          <w:rStyle w:val="Char3"/>
          <w:rFonts w:hint="eastAsia"/>
          <w:rtl/>
        </w:rPr>
        <w:t>قُر</w:t>
      </w:r>
      <w:r w:rsidR="00B06788" w:rsidRPr="00DF7CAE">
        <w:rPr>
          <w:rStyle w:val="Char3"/>
          <w:rFonts w:hint="cs"/>
          <w:rtl/>
        </w:rPr>
        <w:t>ۡ</w:t>
      </w:r>
      <w:r w:rsidR="00B06788" w:rsidRPr="00DF7CAE">
        <w:rPr>
          <w:rStyle w:val="Char3"/>
          <w:rFonts w:hint="eastAsia"/>
          <w:rtl/>
        </w:rPr>
        <w:t>بَى</w:t>
      </w:r>
      <w:r w:rsidR="00B06788" w:rsidRPr="00DF7CAE">
        <w:rPr>
          <w:rStyle w:val="Char3"/>
          <w:rFonts w:hint="cs"/>
          <w:rtl/>
        </w:rPr>
        <w:t>ٰ</w:t>
      </w:r>
      <w:r w:rsidR="00B06788" w:rsidRPr="00995B26">
        <w:rPr>
          <w:rFonts w:ascii="Abo-thar" w:hAnsi="Abo-thar" w:cs="Traditional Arabic" w:hint="cs"/>
          <w:sz w:val="28"/>
          <w:rtl/>
          <w:lang w:bidi="ar-SY"/>
        </w:rPr>
        <w:t>﴾</w:t>
      </w:r>
      <w:r w:rsidRPr="00995B26">
        <w:rPr>
          <w:rFonts w:ascii="Abo-thar" w:hAnsi="Abo-thar" w:hint="cs"/>
          <w:sz w:val="28"/>
          <w:rtl/>
          <w:lang w:bidi="ar-SY"/>
        </w:rPr>
        <w:t xml:space="preserve"> أقرباء رسول الله فلن يكون لذلك مصداق سوى فاطمة </w:t>
      </w:r>
      <w:r w:rsidR="008B3243" w:rsidRPr="008B3243">
        <w:rPr>
          <w:rFonts w:ascii="Abo-thar" w:hAnsi="Abo-thar" w:cs="CTraditional Arabic" w:hint="cs"/>
          <w:sz w:val="28"/>
          <w:rtl/>
          <w:lang w:bidi="ar-SY"/>
        </w:rPr>
        <w:t>‘</w:t>
      </w:r>
      <w:r w:rsidR="00217AB4" w:rsidRPr="00995B26">
        <w:rPr>
          <w:rFonts w:ascii="Abo-thar" w:hAnsi="Abo-thar" w:hint="cs"/>
          <w:sz w:val="28"/>
          <w:rtl/>
          <w:lang w:bidi="ar-SY"/>
        </w:rPr>
        <w:t>،</w:t>
      </w:r>
      <w:r w:rsidRPr="00995B26">
        <w:rPr>
          <w:rFonts w:ascii="Abo-thar" w:hAnsi="Abo-thar" w:hint="cs"/>
          <w:sz w:val="28"/>
          <w:rtl/>
          <w:lang w:bidi="ar-SY"/>
        </w:rPr>
        <w:t xml:space="preserve"> ويصبح المعنى أن على رسول الله أن يعطي هذا الفرد أو الأفراد الموجودين من ذي القربى من خمس الغنيمة الموجودة</w:t>
      </w:r>
      <w:r w:rsidR="00685363" w:rsidRPr="00995B26">
        <w:rPr>
          <w:rFonts w:ascii="Abo-thar" w:hAnsi="Abo-thar" w:hint="cs"/>
          <w:sz w:val="28"/>
          <w:rtl/>
          <w:lang w:bidi="ar-SY"/>
        </w:rPr>
        <w:t xml:space="preserve"> </w:t>
      </w:r>
      <w:r w:rsidR="00685363" w:rsidRPr="00995B26">
        <w:rPr>
          <w:rFonts w:ascii="Abo-thar" w:hAnsi="Abo-thar" w:cs="Traditional Arabic" w:hint="cs"/>
          <w:sz w:val="28"/>
          <w:rtl/>
          <w:lang w:bidi="ar-SY"/>
        </w:rPr>
        <w:t>﴿</w:t>
      </w:r>
      <w:r w:rsidR="00685363" w:rsidRPr="00995B26">
        <w:rPr>
          <w:rFonts w:ascii="KFGQPC Uthmanic Script HAFS" w:cs="KFGQPC Uthmanic Script HAFS" w:hint="eastAsia"/>
          <w:sz w:val="29"/>
          <w:szCs w:val="29"/>
          <w:rtl/>
          <w:lang w:bidi="fa-IR"/>
        </w:rPr>
        <w:t>مَا</w:t>
      </w:r>
      <w:r w:rsidR="00685363" w:rsidRPr="00995B26">
        <w:rPr>
          <w:rFonts w:ascii="KFGQPC Uthmanic Script HAFS" w:cs="KFGQPC Uthmanic Script HAFS"/>
          <w:sz w:val="29"/>
          <w:szCs w:val="29"/>
          <w:rtl/>
          <w:lang w:bidi="fa-IR"/>
        </w:rPr>
        <w:t xml:space="preserve"> </w:t>
      </w:r>
      <w:r w:rsidR="00685363" w:rsidRPr="00995B26">
        <w:rPr>
          <w:rFonts w:ascii="KFGQPC Uthmanic Script HAFS" w:cs="KFGQPC Uthmanic Script HAFS" w:hint="eastAsia"/>
          <w:sz w:val="29"/>
          <w:szCs w:val="29"/>
          <w:rtl/>
          <w:lang w:bidi="fa-IR"/>
        </w:rPr>
        <w:t>غَنِم</w:t>
      </w:r>
      <w:r w:rsidR="00685363" w:rsidRPr="00995B26">
        <w:rPr>
          <w:rFonts w:ascii="KFGQPC Uthmanic Script HAFS" w:cs="KFGQPC Uthmanic Script HAFS" w:hint="cs"/>
          <w:sz w:val="29"/>
          <w:szCs w:val="29"/>
          <w:rtl/>
          <w:lang w:bidi="fa-IR"/>
        </w:rPr>
        <w:t>ۡ</w:t>
      </w:r>
      <w:r w:rsidR="00685363" w:rsidRPr="00995B26">
        <w:rPr>
          <w:rFonts w:ascii="KFGQPC Uthmanic Script HAFS" w:cs="KFGQPC Uthmanic Script HAFS" w:hint="eastAsia"/>
          <w:sz w:val="29"/>
          <w:szCs w:val="29"/>
          <w:rtl/>
          <w:lang w:bidi="fa-IR"/>
        </w:rPr>
        <w:t>تُم</w:t>
      </w:r>
      <w:r w:rsidR="00685363" w:rsidRPr="00995B26">
        <w:rPr>
          <w:rFonts w:ascii="Abo-thar" w:hAnsi="Abo-thar" w:cs="Traditional Arabic" w:hint="cs"/>
          <w:sz w:val="28"/>
          <w:rtl/>
          <w:lang w:bidi="ar-SY"/>
        </w:rPr>
        <w:t>﴾</w:t>
      </w:r>
      <w:r w:rsidRPr="00995B26">
        <w:rPr>
          <w:rFonts w:ascii="Abo-thar" w:hAnsi="Abo-thar" w:hint="cs"/>
          <w:sz w:val="28"/>
          <w:rtl/>
          <w:lang w:bidi="ar-SY"/>
        </w:rPr>
        <w:t xml:space="preserve"> أما خمس الغنائم غير الموجودة التي تؤخذ من حروب لم تقع بعد فلا يمكن أن تكون شيئاً ينتقل إلى الآخرين عبر الإرث </w:t>
      </w:r>
      <w:r w:rsidR="00217AB4" w:rsidRPr="00995B26">
        <w:rPr>
          <w:rFonts w:ascii="Abo-thar" w:hAnsi="Abo-thar" w:hint="cs"/>
          <w:sz w:val="28"/>
          <w:rtl/>
          <w:lang w:bidi="ar-SY"/>
        </w:rPr>
        <w:t>(</w:t>
      </w:r>
      <w:r w:rsidRPr="00995B26">
        <w:rPr>
          <w:rFonts w:ascii="Abo-thar" w:hAnsi="Abo-thar" w:hint="cs"/>
          <w:sz w:val="28"/>
          <w:rtl/>
          <w:lang w:bidi="ar-SY"/>
        </w:rPr>
        <w:t>أي لا يمكن أن يرث أشخاص غير موجودين شيئاً غير موجود</w:t>
      </w:r>
      <w:r w:rsidR="00217AB4" w:rsidRPr="00995B26">
        <w:rPr>
          <w:rFonts w:ascii="Abo-thar" w:hAnsi="Abo-thar" w:hint="cs"/>
          <w:sz w:val="28"/>
          <w:rtl/>
          <w:lang w:bidi="ar-SY"/>
        </w:rPr>
        <w:t>؟؟!)</w:t>
      </w:r>
      <w:r w:rsidRPr="00995B26">
        <w:rPr>
          <w:rFonts w:ascii="Abo-thar" w:hAnsi="Abo-thar" w:hint="cs"/>
          <w:sz w:val="28"/>
          <w:rtl/>
          <w:lang w:bidi="ar-SY"/>
        </w:rPr>
        <w:t xml:space="preserve"> اللهم إلا أن يكون شيئاً قد أعطاه رسول الله لفرد من ذي قرباه</w:t>
      </w:r>
      <w:r w:rsidR="00217AB4" w:rsidRPr="00995B26">
        <w:rPr>
          <w:rFonts w:ascii="Abo-thar" w:hAnsi="Abo-thar" w:hint="cs"/>
          <w:sz w:val="28"/>
          <w:rtl/>
          <w:lang w:bidi="ar-SY"/>
        </w:rPr>
        <w:t>،</w:t>
      </w:r>
      <w:r w:rsidRPr="00995B26">
        <w:rPr>
          <w:rFonts w:ascii="Abo-thar" w:hAnsi="Abo-thar" w:hint="cs"/>
          <w:sz w:val="28"/>
          <w:rtl/>
          <w:lang w:bidi="ar-SY"/>
        </w:rPr>
        <w:t xml:space="preserve"> فهذا الشيء الموجود يصل لورثة ذي القربى ذاك</w:t>
      </w:r>
      <w:r w:rsidR="00217AB4" w:rsidRPr="00995B26">
        <w:rPr>
          <w:rFonts w:ascii="Abo-thar" w:hAnsi="Abo-thar" w:hint="cs"/>
          <w:sz w:val="28"/>
          <w:rtl/>
          <w:lang w:bidi="ar-SY"/>
        </w:rPr>
        <w:t>،</w:t>
      </w:r>
      <w:r w:rsidRPr="00995B26">
        <w:rPr>
          <w:rFonts w:ascii="Abo-thar" w:hAnsi="Abo-thar" w:hint="cs"/>
          <w:sz w:val="28"/>
          <w:rtl/>
          <w:lang w:bidi="ar-SY"/>
        </w:rPr>
        <w:t xml:space="preserve"> هذا إن فسَّرنا كلمة </w:t>
      </w:r>
      <w:r w:rsidR="00685363" w:rsidRPr="00995B26">
        <w:rPr>
          <w:rFonts w:ascii="Abo-thar" w:hAnsi="Abo-thar" w:cs="Traditional Arabic" w:hint="cs"/>
          <w:sz w:val="28"/>
          <w:rtl/>
          <w:lang w:bidi="ar-SY"/>
        </w:rPr>
        <w:t>﴿</w:t>
      </w:r>
      <w:r w:rsidR="00685363" w:rsidRPr="00995B26">
        <w:rPr>
          <w:rFonts w:ascii="KFGQPC Uthmanic Script HAFS" w:cs="KFGQPC Uthmanic Script HAFS" w:hint="eastAsia"/>
          <w:sz w:val="29"/>
          <w:szCs w:val="29"/>
          <w:rtl/>
          <w:lang w:bidi="fa-IR"/>
        </w:rPr>
        <w:t>وَلِذِي</w:t>
      </w:r>
      <w:r w:rsidR="00685363" w:rsidRPr="00995B26">
        <w:rPr>
          <w:rFonts w:ascii="KFGQPC Uthmanic Script HAFS" w:cs="KFGQPC Uthmanic Script HAFS"/>
          <w:sz w:val="29"/>
          <w:szCs w:val="29"/>
          <w:rtl/>
          <w:lang w:bidi="fa-IR"/>
        </w:rPr>
        <w:t xml:space="preserve"> </w:t>
      </w:r>
      <w:r w:rsidR="00685363" w:rsidRPr="00995B26">
        <w:rPr>
          <w:rFonts w:ascii="KFGQPC Uthmanic Script HAFS" w:cs="KFGQPC Uthmanic Script HAFS" w:hint="cs"/>
          <w:sz w:val="29"/>
          <w:szCs w:val="29"/>
          <w:rtl/>
          <w:lang w:bidi="fa-IR"/>
        </w:rPr>
        <w:t>ٱ</w:t>
      </w:r>
      <w:r w:rsidR="00685363" w:rsidRPr="00995B26">
        <w:rPr>
          <w:rFonts w:ascii="KFGQPC Uthmanic Script HAFS" w:cs="KFGQPC Uthmanic Script HAFS" w:hint="eastAsia"/>
          <w:sz w:val="29"/>
          <w:szCs w:val="29"/>
          <w:rtl/>
          <w:lang w:bidi="fa-IR"/>
        </w:rPr>
        <w:t>ل</w:t>
      </w:r>
      <w:r w:rsidR="00685363" w:rsidRPr="00995B26">
        <w:rPr>
          <w:rFonts w:ascii="KFGQPC Uthmanic Script HAFS" w:cs="KFGQPC Uthmanic Script HAFS" w:hint="cs"/>
          <w:sz w:val="29"/>
          <w:szCs w:val="29"/>
          <w:rtl/>
          <w:lang w:bidi="fa-IR"/>
        </w:rPr>
        <w:t>ۡ</w:t>
      </w:r>
      <w:r w:rsidR="00685363" w:rsidRPr="00995B26">
        <w:rPr>
          <w:rFonts w:ascii="KFGQPC Uthmanic Script HAFS" w:cs="KFGQPC Uthmanic Script HAFS" w:hint="eastAsia"/>
          <w:sz w:val="29"/>
          <w:szCs w:val="29"/>
          <w:rtl/>
          <w:lang w:bidi="fa-IR"/>
        </w:rPr>
        <w:t>قُر</w:t>
      </w:r>
      <w:r w:rsidR="00685363" w:rsidRPr="00995B26">
        <w:rPr>
          <w:rFonts w:ascii="KFGQPC Uthmanic Script HAFS" w:cs="KFGQPC Uthmanic Script HAFS" w:hint="cs"/>
          <w:sz w:val="29"/>
          <w:szCs w:val="29"/>
          <w:rtl/>
          <w:lang w:bidi="fa-IR"/>
        </w:rPr>
        <w:t>ۡ</w:t>
      </w:r>
      <w:r w:rsidR="00685363" w:rsidRPr="00995B26">
        <w:rPr>
          <w:rFonts w:ascii="KFGQPC Uthmanic Script HAFS" w:cs="KFGQPC Uthmanic Script HAFS" w:hint="eastAsia"/>
          <w:sz w:val="29"/>
          <w:szCs w:val="29"/>
          <w:rtl/>
          <w:lang w:bidi="fa-IR"/>
        </w:rPr>
        <w:t>بَى</w:t>
      </w:r>
      <w:r w:rsidR="00685363" w:rsidRPr="00995B26">
        <w:rPr>
          <w:rFonts w:ascii="KFGQPC Uthmanic Script HAFS" w:cs="KFGQPC Uthmanic Script HAFS" w:hint="cs"/>
          <w:sz w:val="29"/>
          <w:szCs w:val="29"/>
          <w:rtl/>
          <w:lang w:bidi="fa-IR"/>
        </w:rPr>
        <w:t>ٰ</w:t>
      </w:r>
      <w:r w:rsidR="00685363" w:rsidRPr="00995B26">
        <w:rPr>
          <w:rFonts w:ascii="Abo-thar" w:hAnsi="Abo-thar" w:cs="Traditional Arabic" w:hint="cs"/>
          <w:sz w:val="28"/>
          <w:rtl/>
          <w:lang w:bidi="ar-SY"/>
        </w:rPr>
        <w:t>﴾</w:t>
      </w:r>
      <w:r w:rsidR="00685363" w:rsidRPr="00995B26">
        <w:rPr>
          <w:rFonts w:ascii="Abo-thar" w:hAnsi="Abo-thar" w:hint="cs"/>
          <w:sz w:val="28"/>
          <w:rtl/>
          <w:lang w:bidi="ar-SY"/>
        </w:rPr>
        <w:t xml:space="preserve"> </w:t>
      </w:r>
      <w:r w:rsidRPr="00995B26">
        <w:rPr>
          <w:rFonts w:ascii="Abo-thar" w:hAnsi="Abo-thar" w:hint="cs"/>
          <w:sz w:val="28"/>
          <w:rtl/>
          <w:lang w:bidi="ar-SY"/>
        </w:rPr>
        <w:t xml:space="preserve">بأنها قربى رسول الله </w:t>
      </w:r>
      <w:r w:rsidR="00217AB4" w:rsidRPr="00995B26">
        <w:rPr>
          <w:rFonts w:ascii="Abo-thar" w:hAnsi="Abo-thar" w:hint="cs"/>
          <w:sz w:val="28"/>
          <w:rtl/>
          <w:lang w:bidi="ar-SY"/>
        </w:rPr>
        <w:t>(</w:t>
      </w:r>
      <w:r w:rsidRPr="00995B26">
        <w:rPr>
          <w:rFonts w:ascii="Abo-thar" w:hAnsi="Abo-thar" w:hint="cs"/>
          <w:sz w:val="28"/>
          <w:rtl/>
          <w:lang w:bidi="ar-SY"/>
        </w:rPr>
        <w:t>مع أن هناك كلامٌ وشكٌّ في صحة هذا التفسير</w:t>
      </w:r>
      <w:r w:rsidR="00217AB4" w:rsidRPr="00995B26">
        <w:rPr>
          <w:rFonts w:ascii="Abo-thar" w:hAnsi="Abo-thar" w:hint="cs"/>
          <w:sz w:val="28"/>
          <w:rtl/>
          <w:lang w:bidi="ar-SY"/>
        </w:rPr>
        <w:t>).</w:t>
      </w:r>
    </w:p>
    <w:p w:rsidR="005C664D" w:rsidRPr="00995B26" w:rsidRDefault="005C664D" w:rsidP="003F3B94">
      <w:pPr>
        <w:pStyle w:val="a0"/>
        <w:rPr>
          <w:rFonts w:hint="cs"/>
          <w:rtl/>
          <w:lang w:bidi="ar-SY"/>
        </w:rPr>
      </w:pPr>
      <w:r w:rsidRPr="003F3B94">
        <w:rPr>
          <w:rFonts w:ascii="Abo-thar" w:hAnsi="Abo-thar" w:hint="cs"/>
          <w:sz w:val="28"/>
          <w:rtl/>
          <w:lang w:bidi="ar-SY"/>
        </w:rPr>
        <w:t>7</w:t>
      </w:r>
      <w:r w:rsidR="00217AB4" w:rsidRPr="003F3B94">
        <w:rPr>
          <w:rFonts w:ascii="Abo-thar" w:hAnsi="Abo-thar" w:hint="cs"/>
          <w:sz w:val="28"/>
          <w:rtl/>
          <w:lang w:bidi="ar-SY"/>
        </w:rPr>
        <w:t>-</w:t>
      </w:r>
      <w:r w:rsidRPr="003F3B94">
        <w:rPr>
          <w:rFonts w:ascii="Abo-thar" w:hAnsi="Abo-thar" w:hint="cs"/>
          <w:sz w:val="28"/>
          <w:rtl/>
          <w:lang w:bidi="ar-SY"/>
        </w:rPr>
        <w:t xml:space="preserve"> </w:t>
      </w:r>
      <w:r w:rsidRPr="00445175">
        <w:rPr>
          <w:rFonts w:ascii="Abo-thar" w:hAnsi="Abo-thar" w:hint="cs"/>
          <w:b/>
          <w:bCs/>
          <w:sz w:val="28"/>
          <w:rtl/>
          <w:lang w:bidi="ar-SY"/>
        </w:rPr>
        <w:t>النقطة السابعة</w:t>
      </w:r>
      <w:r w:rsidRPr="003F3B94">
        <w:rPr>
          <w:rFonts w:ascii="Abo-thar" w:hAnsi="Abo-thar" w:hint="cs"/>
          <w:sz w:val="28"/>
          <w:rtl/>
          <w:lang w:bidi="ar-SY"/>
        </w:rPr>
        <w:t xml:space="preserve"> إذا أخذنا </w:t>
      </w:r>
      <w:r w:rsidR="00685363" w:rsidRPr="00995B26">
        <w:rPr>
          <w:rFonts w:ascii="Abo-thar" w:hAnsi="Abo-thar" w:cs="Traditional Arabic" w:hint="cs"/>
          <w:sz w:val="28"/>
          <w:rtl/>
          <w:lang w:bidi="ar-SY"/>
        </w:rPr>
        <w:t>﴿</w:t>
      </w:r>
      <w:r w:rsidR="00685363" w:rsidRPr="00995B26">
        <w:rPr>
          <w:rFonts w:ascii="KFGQPC Uthmanic Script HAFS" w:cs="KFGQPC Uthmanic Script HAFS" w:hint="eastAsia"/>
          <w:sz w:val="29"/>
          <w:szCs w:val="29"/>
          <w:rtl/>
        </w:rPr>
        <w:t>ذِي</w:t>
      </w:r>
      <w:r w:rsidR="00685363" w:rsidRPr="00995B26">
        <w:rPr>
          <w:rFonts w:ascii="KFGQPC Uthmanic Script HAFS" w:cs="KFGQPC Uthmanic Script HAFS"/>
          <w:sz w:val="29"/>
          <w:szCs w:val="29"/>
          <w:rtl/>
        </w:rPr>
        <w:t xml:space="preserve"> </w:t>
      </w:r>
      <w:r w:rsidR="00685363" w:rsidRPr="00995B26">
        <w:rPr>
          <w:rFonts w:ascii="KFGQPC Uthmanic Script HAFS" w:cs="KFGQPC Uthmanic Script HAFS" w:hint="cs"/>
          <w:sz w:val="29"/>
          <w:szCs w:val="29"/>
          <w:rtl/>
        </w:rPr>
        <w:t>ٱ</w:t>
      </w:r>
      <w:r w:rsidR="00685363" w:rsidRPr="00995B26">
        <w:rPr>
          <w:rFonts w:ascii="KFGQPC Uthmanic Script HAFS" w:cs="KFGQPC Uthmanic Script HAFS" w:hint="eastAsia"/>
          <w:sz w:val="29"/>
          <w:szCs w:val="29"/>
          <w:rtl/>
        </w:rPr>
        <w:t>ل</w:t>
      </w:r>
      <w:r w:rsidR="00685363" w:rsidRPr="00995B26">
        <w:rPr>
          <w:rFonts w:ascii="KFGQPC Uthmanic Script HAFS" w:cs="KFGQPC Uthmanic Script HAFS" w:hint="cs"/>
          <w:sz w:val="29"/>
          <w:szCs w:val="29"/>
          <w:rtl/>
        </w:rPr>
        <w:t>ۡ</w:t>
      </w:r>
      <w:r w:rsidR="00685363" w:rsidRPr="00995B26">
        <w:rPr>
          <w:rFonts w:ascii="KFGQPC Uthmanic Script HAFS" w:cs="KFGQPC Uthmanic Script HAFS" w:hint="eastAsia"/>
          <w:sz w:val="29"/>
          <w:szCs w:val="29"/>
          <w:rtl/>
        </w:rPr>
        <w:t>قُر</w:t>
      </w:r>
      <w:r w:rsidR="00685363" w:rsidRPr="00995B26">
        <w:rPr>
          <w:rFonts w:ascii="KFGQPC Uthmanic Script HAFS" w:cs="KFGQPC Uthmanic Script HAFS" w:hint="cs"/>
          <w:sz w:val="29"/>
          <w:szCs w:val="29"/>
          <w:rtl/>
        </w:rPr>
        <w:t>ۡ</w:t>
      </w:r>
      <w:r w:rsidR="00685363" w:rsidRPr="00995B26">
        <w:rPr>
          <w:rFonts w:ascii="KFGQPC Uthmanic Script HAFS" w:cs="KFGQPC Uthmanic Script HAFS" w:hint="eastAsia"/>
          <w:sz w:val="29"/>
          <w:szCs w:val="29"/>
          <w:rtl/>
        </w:rPr>
        <w:t>بَى</w:t>
      </w:r>
      <w:r w:rsidR="00685363" w:rsidRPr="00995B26">
        <w:rPr>
          <w:rFonts w:ascii="KFGQPC Uthmanic Script HAFS" w:cs="KFGQPC Uthmanic Script HAFS" w:hint="cs"/>
          <w:sz w:val="29"/>
          <w:szCs w:val="29"/>
          <w:rtl/>
        </w:rPr>
        <w:t>ٰ</w:t>
      </w:r>
      <w:r w:rsidR="00685363" w:rsidRPr="00995B26">
        <w:rPr>
          <w:rFonts w:ascii="Abo-thar" w:hAnsi="Abo-thar" w:cs="Traditional Arabic" w:hint="cs"/>
          <w:sz w:val="28"/>
          <w:rtl/>
          <w:lang w:bidi="ar-SY"/>
        </w:rPr>
        <w:t>﴾</w:t>
      </w:r>
      <w:r w:rsidRPr="00995B26">
        <w:rPr>
          <w:rFonts w:ascii="Abo-thar" w:hAnsi="Abo-thar" w:hint="cs"/>
          <w:sz w:val="28"/>
          <w:rtl/>
          <w:lang w:bidi="ar-SY"/>
        </w:rPr>
        <w:t xml:space="preserve"> على معناها المطلق المطابق لمعناها في المواضع الأخرى في القرآن فعندئذ سيكون للآية معنى آخر غير المعنى المشهور</w:t>
      </w:r>
      <w:r w:rsidR="00217AB4" w:rsidRPr="00995B26">
        <w:rPr>
          <w:rFonts w:ascii="Abo-thar" w:hAnsi="Abo-thar" w:hint="cs"/>
          <w:sz w:val="28"/>
          <w:rtl/>
          <w:lang w:bidi="ar-SY"/>
        </w:rPr>
        <w:t>،</w:t>
      </w:r>
      <w:r w:rsidRPr="00995B26">
        <w:rPr>
          <w:rFonts w:ascii="Abo-thar" w:hAnsi="Abo-thar" w:hint="cs"/>
          <w:sz w:val="28"/>
          <w:rtl/>
          <w:lang w:bidi="ar-SY"/>
        </w:rPr>
        <w:t xml:space="preserve"> فقد وردت كلمة </w:t>
      </w:r>
      <w:r w:rsidR="00685363" w:rsidRPr="00995B26">
        <w:rPr>
          <w:rFonts w:ascii="Abo-thar" w:hAnsi="Abo-thar" w:cs="Traditional Arabic" w:hint="cs"/>
          <w:sz w:val="28"/>
          <w:rtl/>
          <w:lang w:bidi="ar-SY"/>
        </w:rPr>
        <w:t>﴿</w:t>
      </w:r>
      <w:r w:rsidR="00685363" w:rsidRPr="00995B26">
        <w:rPr>
          <w:rFonts w:ascii="KFGQPC Uthmanic Script HAFS" w:cs="KFGQPC Uthmanic Script HAFS" w:hint="eastAsia"/>
          <w:sz w:val="29"/>
          <w:szCs w:val="29"/>
          <w:rtl/>
        </w:rPr>
        <w:t>ذِي</w:t>
      </w:r>
      <w:r w:rsidR="00685363" w:rsidRPr="00995B26">
        <w:rPr>
          <w:rFonts w:ascii="KFGQPC Uthmanic Script HAFS" w:cs="KFGQPC Uthmanic Script HAFS"/>
          <w:sz w:val="29"/>
          <w:szCs w:val="29"/>
          <w:rtl/>
        </w:rPr>
        <w:t xml:space="preserve"> </w:t>
      </w:r>
      <w:r w:rsidR="00685363" w:rsidRPr="00995B26">
        <w:rPr>
          <w:rFonts w:ascii="KFGQPC Uthmanic Script HAFS" w:cs="KFGQPC Uthmanic Script HAFS" w:hint="cs"/>
          <w:sz w:val="29"/>
          <w:szCs w:val="29"/>
          <w:rtl/>
        </w:rPr>
        <w:t>ٱ</w:t>
      </w:r>
      <w:r w:rsidR="00685363" w:rsidRPr="00995B26">
        <w:rPr>
          <w:rFonts w:ascii="KFGQPC Uthmanic Script HAFS" w:cs="KFGQPC Uthmanic Script HAFS" w:hint="eastAsia"/>
          <w:sz w:val="29"/>
          <w:szCs w:val="29"/>
          <w:rtl/>
        </w:rPr>
        <w:t>ل</w:t>
      </w:r>
      <w:r w:rsidR="00685363" w:rsidRPr="00995B26">
        <w:rPr>
          <w:rFonts w:ascii="KFGQPC Uthmanic Script HAFS" w:cs="KFGQPC Uthmanic Script HAFS" w:hint="cs"/>
          <w:sz w:val="29"/>
          <w:szCs w:val="29"/>
          <w:rtl/>
        </w:rPr>
        <w:t>ۡ</w:t>
      </w:r>
      <w:r w:rsidR="00685363" w:rsidRPr="00995B26">
        <w:rPr>
          <w:rFonts w:ascii="KFGQPC Uthmanic Script HAFS" w:cs="KFGQPC Uthmanic Script HAFS" w:hint="eastAsia"/>
          <w:sz w:val="29"/>
          <w:szCs w:val="29"/>
          <w:rtl/>
        </w:rPr>
        <w:t>قُر</w:t>
      </w:r>
      <w:r w:rsidR="00685363" w:rsidRPr="00995B26">
        <w:rPr>
          <w:rFonts w:ascii="KFGQPC Uthmanic Script HAFS" w:cs="KFGQPC Uthmanic Script HAFS" w:hint="cs"/>
          <w:sz w:val="29"/>
          <w:szCs w:val="29"/>
          <w:rtl/>
        </w:rPr>
        <w:t>ۡ</w:t>
      </w:r>
      <w:r w:rsidR="00685363" w:rsidRPr="00995B26">
        <w:rPr>
          <w:rFonts w:ascii="KFGQPC Uthmanic Script HAFS" w:cs="KFGQPC Uthmanic Script HAFS" w:hint="eastAsia"/>
          <w:sz w:val="29"/>
          <w:szCs w:val="29"/>
          <w:rtl/>
        </w:rPr>
        <w:t>بَى</w:t>
      </w:r>
      <w:r w:rsidR="00685363" w:rsidRPr="00995B26">
        <w:rPr>
          <w:rFonts w:ascii="KFGQPC Uthmanic Script HAFS" w:cs="KFGQPC Uthmanic Script HAFS" w:hint="cs"/>
          <w:sz w:val="29"/>
          <w:szCs w:val="29"/>
          <w:rtl/>
        </w:rPr>
        <w:t>ٰ</w:t>
      </w:r>
      <w:r w:rsidR="00685363" w:rsidRPr="00995B26">
        <w:rPr>
          <w:rFonts w:ascii="Abo-thar" w:hAnsi="Abo-thar" w:cs="Traditional Arabic" w:hint="cs"/>
          <w:sz w:val="28"/>
          <w:rtl/>
          <w:lang w:bidi="ar-SY"/>
        </w:rPr>
        <w:t>﴾</w:t>
      </w:r>
      <w:r w:rsidRPr="00995B26">
        <w:rPr>
          <w:rFonts w:ascii="Abo-thar" w:hAnsi="Abo-thar" w:hint="cs"/>
          <w:sz w:val="28"/>
          <w:rtl/>
          <w:lang w:bidi="ar-SY"/>
        </w:rPr>
        <w:t xml:space="preserve"> في الآيات الكريمة التالية دون قيد</w:t>
      </w:r>
      <w:r w:rsidR="00217AB4" w:rsidRPr="00995B26">
        <w:rPr>
          <w:rFonts w:ascii="Abo-thar" w:hAnsi="Abo-thar" w:hint="cs"/>
          <w:sz w:val="28"/>
          <w:rtl/>
          <w:lang w:bidi="ar-SY"/>
        </w:rPr>
        <w:t>:</w:t>
      </w:r>
      <w:r w:rsidRPr="00995B26">
        <w:rPr>
          <w:rFonts w:ascii="Abo-thar" w:hAnsi="Abo-thar" w:hint="cs"/>
          <w:sz w:val="28"/>
          <w:rtl/>
          <w:lang w:bidi="ar-SY"/>
        </w:rPr>
        <w:t xml:space="preserve"> </w:t>
      </w:r>
    </w:p>
    <w:p w:rsidR="005C664D" w:rsidRPr="00995B26" w:rsidRDefault="005C664D" w:rsidP="00445175">
      <w:pPr>
        <w:pStyle w:val="a0"/>
        <w:ind w:left="624" w:hanging="340"/>
        <w:rPr>
          <w:rFonts w:hint="cs"/>
          <w:rtl/>
          <w:lang w:bidi="ar-SY"/>
        </w:rPr>
      </w:pPr>
      <w:r w:rsidRPr="003F3B94">
        <w:rPr>
          <w:rFonts w:ascii="Abo-thar" w:hAnsi="Abo-thar" w:hint="cs"/>
          <w:sz w:val="28"/>
          <w:rtl/>
          <w:lang w:bidi="ar-SY"/>
        </w:rPr>
        <w:t>أ</w:t>
      </w:r>
      <w:r w:rsidR="00217AB4" w:rsidRPr="003F3B94">
        <w:rPr>
          <w:rFonts w:ascii="Abo-thar" w:hAnsi="Abo-thar" w:hint="cs"/>
          <w:sz w:val="28"/>
          <w:rtl/>
          <w:lang w:bidi="ar-SY"/>
        </w:rPr>
        <w:t>-</w:t>
      </w:r>
      <w:r w:rsidRPr="003F3B94">
        <w:rPr>
          <w:rFonts w:ascii="Abo-thar" w:hAnsi="Abo-thar" w:hint="cs"/>
          <w:sz w:val="28"/>
          <w:rtl/>
          <w:lang w:bidi="ar-SY"/>
        </w:rPr>
        <w:t xml:space="preserve"> </w:t>
      </w:r>
      <w:r w:rsidR="00685363" w:rsidRPr="00995B26">
        <w:rPr>
          <w:rFonts w:ascii="Abo-thar" w:hAnsi="Abo-thar" w:cs="Traditional Arabic" w:hint="cs"/>
          <w:sz w:val="28"/>
          <w:rtl/>
          <w:lang w:bidi="ar-SY"/>
        </w:rPr>
        <w:t>﴿</w:t>
      </w:r>
      <w:r w:rsidR="00685363" w:rsidRPr="00995B26">
        <w:rPr>
          <w:rFonts w:ascii="KFGQPC Uthmanic Script HAFS" w:cs="KFGQPC Uthmanic Script HAFS" w:hint="eastAsia"/>
          <w:sz w:val="29"/>
          <w:szCs w:val="29"/>
          <w:rtl/>
        </w:rPr>
        <w:t>وَإِذ</w:t>
      </w:r>
      <w:r w:rsidR="00685363" w:rsidRPr="00995B26">
        <w:rPr>
          <w:rFonts w:ascii="KFGQPC Uthmanic Script HAFS" w:cs="KFGQPC Uthmanic Script HAFS" w:hint="cs"/>
          <w:sz w:val="29"/>
          <w:szCs w:val="29"/>
          <w:rtl/>
        </w:rPr>
        <w:t>ۡ</w:t>
      </w:r>
      <w:r w:rsidR="00685363" w:rsidRPr="00995B26">
        <w:rPr>
          <w:rFonts w:ascii="KFGQPC Uthmanic Script HAFS" w:cs="KFGQPC Uthmanic Script HAFS"/>
          <w:sz w:val="29"/>
          <w:szCs w:val="29"/>
          <w:rtl/>
        </w:rPr>
        <w:t xml:space="preserve"> </w:t>
      </w:r>
      <w:r w:rsidR="00685363" w:rsidRPr="00995B26">
        <w:rPr>
          <w:rFonts w:ascii="KFGQPC Uthmanic Script HAFS" w:cs="KFGQPC Uthmanic Script HAFS" w:hint="eastAsia"/>
          <w:sz w:val="29"/>
          <w:szCs w:val="29"/>
          <w:rtl/>
        </w:rPr>
        <w:t>أَخَذ</w:t>
      </w:r>
      <w:r w:rsidR="00685363" w:rsidRPr="00995B26">
        <w:rPr>
          <w:rFonts w:ascii="KFGQPC Uthmanic Script HAFS" w:cs="KFGQPC Uthmanic Script HAFS" w:hint="cs"/>
          <w:sz w:val="29"/>
          <w:szCs w:val="29"/>
          <w:rtl/>
        </w:rPr>
        <w:t>ۡ</w:t>
      </w:r>
      <w:r w:rsidR="00685363" w:rsidRPr="00995B26">
        <w:rPr>
          <w:rFonts w:ascii="KFGQPC Uthmanic Script HAFS" w:cs="KFGQPC Uthmanic Script HAFS" w:hint="eastAsia"/>
          <w:sz w:val="29"/>
          <w:szCs w:val="29"/>
          <w:rtl/>
        </w:rPr>
        <w:t>نَا</w:t>
      </w:r>
      <w:r w:rsidR="00685363" w:rsidRPr="00995B26">
        <w:rPr>
          <w:rFonts w:ascii="KFGQPC Uthmanic Script HAFS" w:cs="KFGQPC Uthmanic Script HAFS"/>
          <w:sz w:val="29"/>
          <w:szCs w:val="29"/>
          <w:rtl/>
        </w:rPr>
        <w:t xml:space="preserve"> </w:t>
      </w:r>
      <w:r w:rsidR="00685363" w:rsidRPr="00995B26">
        <w:rPr>
          <w:rFonts w:ascii="KFGQPC Uthmanic Script HAFS" w:cs="KFGQPC Uthmanic Script HAFS" w:hint="eastAsia"/>
          <w:sz w:val="29"/>
          <w:szCs w:val="29"/>
          <w:rtl/>
        </w:rPr>
        <w:t>مِيثَ</w:t>
      </w:r>
      <w:r w:rsidR="00685363" w:rsidRPr="00995B26">
        <w:rPr>
          <w:rFonts w:ascii="KFGQPC Uthmanic Script HAFS" w:cs="KFGQPC Uthmanic Script HAFS" w:hint="cs"/>
          <w:sz w:val="29"/>
          <w:szCs w:val="29"/>
          <w:rtl/>
        </w:rPr>
        <w:t>ٰ</w:t>
      </w:r>
      <w:r w:rsidR="00685363" w:rsidRPr="00995B26">
        <w:rPr>
          <w:rFonts w:ascii="KFGQPC Uthmanic Script HAFS" w:cs="KFGQPC Uthmanic Script HAFS" w:hint="eastAsia"/>
          <w:sz w:val="29"/>
          <w:szCs w:val="29"/>
          <w:rtl/>
        </w:rPr>
        <w:t>قَ</w:t>
      </w:r>
      <w:r w:rsidR="00685363" w:rsidRPr="00995B26">
        <w:rPr>
          <w:rFonts w:ascii="KFGQPC Uthmanic Script HAFS" w:cs="KFGQPC Uthmanic Script HAFS"/>
          <w:sz w:val="29"/>
          <w:szCs w:val="29"/>
          <w:rtl/>
        </w:rPr>
        <w:t xml:space="preserve"> </w:t>
      </w:r>
      <w:r w:rsidR="00685363" w:rsidRPr="00995B26">
        <w:rPr>
          <w:rFonts w:ascii="KFGQPC Uthmanic Script HAFS" w:cs="KFGQPC Uthmanic Script HAFS" w:hint="eastAsia"/>
          <w:sz w:val="29"/>
          <w:szCs w:val="29"/>
          <w:rtl/>
        </w:rPr>
        <w:t>بَنِي</w:t>
      </w:r>
      <w:r w:rsidR="00685363" w:rsidRPr="00995B26">
        <w:rPr>
          <w:rFonts w:ascii="KFGQPC Uthmanic Script HAFS" w:cs="KFGQPC Uthmanic Script HAFS" w:hint="cs"/>
          <w:sz w:val="29"/>
          <w:szCs w:val="29"/>
          <w:rtl/>
        </w:rPr>
        <w:t>ٓ</w:t>
      </w:r>
      <w:r w:rsidR="00685363" w:rsidRPr="00995B26">
        <w:rPr>
          <w:rFonts w:ascii="KFGQPC Uthmanic Script HAFS" w:cs="KFGQPC Uthmanic Script HAFS"/>
          <w:sz w:val="29"/>
          <w:szCs w:val="29"/>
          <w:rtl/>
        </w:rPr>
        <w:t xml:space="preserve"> </w:t>
      </w:r>
      <w:r w:rsidR="00685363" w:rsidRPr="00995B26">
        <w:rPr>
          <w:rFonts w:ascii="KFGQPC Uthmanic Script HAFS" w:cs="KFGQPC Uthmanic Script HAFS" w:hint="eastAsia"/>
          <w:sz w:val="29"/>
          <w:szCs w:val="29"/>
          <w:rtl/>
        </w:rPr>
        <w:t>إِس</w:t>
      </w:r>
      <w:r w:rsidR="00685363" w:rsidRPr="00995B26">
        <w:rPr>
          <w:rFonts w:ascii="KFGQPC Uthmanic Script HAFS" w:cs="KFGQPC Uthmanic Script HAFS" w:hint="cs"/>
          <w:sz w:val="29"/>
          <w:szCs w:val="29"/>
          <w:rtl/>
        </w:rPr>
        <w:t>ۡ</w:t>
      </w:r>
      <w:r w:rsidR="00685363" w:rsidRPr="00995B26">
        <w:rPr>
          <w:rFonts w:ascii="KFGQPC Uthmanic Script HAFS" w:cs="KFGQPC Uthmanic Script HAFS" w:hint="eastAsia"/>
          <w:sz w:val="29"/>
          <w:szCs w:val="29"/>
          <w:rtl/>
        </w:rPr>
        <w:t>رَ</w:t>
      </w:r>
      <w:r w:rsidR="00685363" w:rsidRPr="00995B26">
        <w:rPr>
          <w:rFonts w:ascii="KFGQPC Uthmanic Script HAFS" w:cs="KFGQPC Uthmanic Script HAFS" w:hint="cs"/>
          <w:sz w:val="29"/>
          <w:szCs w:val="29"/>
          <w:rtl/>
        </w:rPr>
        <w:t>ٰٓ</w:t>
      </w:r>
      <w:r w:rsidR="00685363" w:rsidRPr="00995B26">
        <w:rPr>
          <w:rFonts w:ascii="KFGQPC Uthmanic Script HAFS" w:cs="KFGQPC Uthmanic Script HAFS" w:hint="eastAsia"/>
          <w:sz w:val="29"/>
          <w:szCs w:val="29"/>
          <w:rtl/>
        </w:rPr>
        <w:t>ءِيلَ</w:t>
      </w:r>
      <w:r w:rsidR="00685363" w:rsidRPr="00995B26">
        <w:rPr>
          <w:rFonts w:ascii="KFGQPC Uthmanic Script HAFS" w:cs="KFGQPC Uthmanic Script HAFS"/>
          <w:sz w:val="29"/>
          <w:szCs w:val="29"/>
          <w:rtl/>
        </w:rPr>
        <w:t xml:space="preserve"> </w:t>
      </w:r>
      <w:r w:rsidR="00685363" w:rsidRPr="00995B26">
        <w:rPr>
          <w:rFonts w:ascii="KFGQPC Uthmanic Script HAFS" w:cs="KFGQPC Uthmanic Script HAFS" w:hint="eastAsia"/>
          <w:sz w:val="29"/>
          <w:szCs w:val="29"/>
          <w:rtl/>
        </w:rPr>
        <w:t>لَا</w:t>
      </w:r>
      <w:r w:rsidR="00685363" w:rsidRPr="00995B26">
        <w:rPr>
          <w:rFonts w:ascii="KFGQPC Uthmanic Script HAFS" w:cs="KFGQPC Uthmanic Script HAFS"/>
          <w:sz w:val="29"/>
          <w:szCs w:val="29"/>
          <w:rtl/>
        </w:rPr>
        <w:t xml:space="preserve"> </w:t>
      </w:r>
      <w:r w:rsidR="00685363" w:rsidRPr="00995B26">
        <w:rPr>
          <w:rFonts w:ascii="KFGQPC Uthmanic Script HAFS" w:cs="KFGQPC Uthmanic Script HAFS" w:hint="eastAsia"/>
          <w:sz w:val="29"/>
          <w:szCs w:val="29"/>
          <w:rtl/>
        </w:rPr>
        <w:t>تَع</w:t>
      </w:r>
      <w:r w:rsidR="00685363" w:rsidRPr="00995B26">
        <w:rPr>
          <w:rFonts w:ascii="KFGQPC Uthmanic Script HAFS" w:cs="KFGQPC Uthmanic Script HAFS" w:hint="cs"/>
          <w:sz w:val="29"/>
          <w:szCs w:val="29"/>
          <w:rtl/>
        </w:rPr>
        <w:t>ۡ</w:t>
      </w:r>
      <w:r w:rsidR="00685363" w:rsidRPr="00995B26">
        <w:rPr>
          <w:rFonts w:ascii="KFGQPC Uthmanic Script HAFS" w:cs="KFGQPC Uthmanic Script HAFS" w:hint="eastAsia"/>
          <w:sz w:val="29"/>
          <w:szCs w:val="29"/>
          <w:rtl/>
        </w:rPr>
        <w:t>بُدُونَ</w:t>
      </w:r>
      <w:r w:rsidR="00685363" w:rsidRPr="00995B26">
        <w:rPr>
          <w:rFonts w:ascii="KFGQPC Uthmanic Script HAFS" w:cs="KFGQPC Uthmanic Script HAFS"/>
          <w:sz w:val="29"/>
          <w:szCs w:val="29"/>
          <w:rtl/>
        </w:rPr>
        <w:t xml:space="preserve"> </w:t>
      </w:r>
      <w:r w:rsidR="00685363" w:rsidRPr="00995B26">
        <w:rPr>
          <w:rFonts w:ascii="KFGQPC Uthmanic Script HAFS" w:cs="KFGQPC Uthmanic Script HAFS" w:hint="eastAsia"/>
          <w:sz w:val="29"/>
          <w:szCs w:val="29"/>
          <w:rtl/>
        </w:rPr>
        <w:t>إِلَّا</w:t>
      </w:r>
      <w:r w:rsidR="00685363" w:rsidRPr="00995B26">
        <w:rPr>
          <w:rFonts w:ascii="KFGQPC Uthmanic Script HAFS" w:cs="KFGQPC Uthmanic Script HAFS"/>
          <w:sz w:val="29"/>
          <w:szCs w:val="29"/>
          <w:rtl/>
        </w:rPr>
        <w:t xml:space="preserve"> </w:t>
      </w:r>
      <w:r w:rsidR="00685363" w:rsidRPr="00995B26">
        <w:rPr>
          <w:rFonts w:ascii="KFGQPC Uthmanic Script HAFS" w:cs="KFGQPC Uthmanic Script HAFS" w:hint="cs"/>
          <w:sz w:val="29"/>
          <w:szCs w:val="29"/>
          <w:rtl/>
        </w:rPr>
        <w:t>ٱ</w:t>
      </w:r>
      <w:r w:rsidR="00685363" w:rsidRPr="00995B26">
        <w:rPr>
          <w:rFonts w:ascii="KFGQPC Uthmanic Script HAFS" w:cs="KFGQPC Uthmanic Script HAFS" w:hint="eastAsia"/>
          <w:sz w:val="29"/>
          <w:szCs w:val="29"/>
          <w:rtl/>
        </w:rPr>
        <w:t>للَّهَ</w:t>
      </w:r>
      <w:r w:rsidR="00685363" w:rsidRPr="00995B26">
        <w:rPr>
          <w:rFonts w:ascii="KFGQPC Uthmanic Script HAFS" w:cs="KFGQPC Uthmanic Script HAFS"/>
          <w:sz w:val="29"/>
          <w:szCs w:val="29"/>
          <w:rtl/>
        </w:rPr>
        <w:t xml:space="preserve"> </w:t>
      </w:r>
      <w:r w:rsidR="00685363" w:rsidRPr="00995B26">
        <w:rPr>
          <w:rFonts w:ascii="KFGQPC Uthmanic Script HAFS" w:cs="KFGQPC Uthmanic Script HAFS" w:hint="eastAsia"/>
          <w:sz w:val="29"/>
          <w:szCs w:val="29"/>
          <w:rtl/>
        </w:rPr>
        <w:t>وَبِ</w:t>
      </w:r>
      <w:r w:rsidR="00685363" w:rsidRPr="00995B26">
        <w:rPr>
          <w:rFonts w:ascii="KFGQPC Uthmanic Script HAFS" w:cs="KFGQPC Uthmanic Script HAFS" w:hint="cs"/>
          <w:sz w:val="29"/>
          <w:szCs w:val="29"/>
          <w:rtl/>
        </w:rPr>
        <w:t>ٱ</w:t>
      </w:r>
      <w:r w:rsidR="00685363" w:rsidRPr="00995B26">
        <w:rPr>
          <w:rFonts w:ascii="KFGQPC Uthmanic Script HAFS" w:cs="KFGQPC Uthmanic Script HAFS" w:hint="eastAsia"/>
          <w:sz w:val="29"/>
          <w:szCs w:val="29"/>
          <w:rtl/>
        </w:rPr>
        <w:t>ل</w:t>
      </w:r>
      <w:r w:rsidR="00685363" w:rsidRPr="00995B26">
        <w:rPr>
          <w:rFonts w:ascii="KFGQPC Uthmanic Script HAFS" w:cs="KFGQPC Uthmanic Script HAFS" w:hint="cs"/>
          <w:sz w:val="29"/>
          <w:szCs w:val="29"/>
          <w:rtl/>
        </w:rPr>
        <w:t>ۡ</w:t>
      </w:r>
      <w:r w:rsidR="00685363" w:rsidRPr="00995B26">
        <w:rPr>
          <w:rFonts w:ascii="KFGQPC Uthmanic Script HAFS" w:cs="KFGQPC Uthmanic Script HAFS" w:hint="eastAsia"/>
          <w:sz w:val="29"/>
          <w:szCs w:val="29"/>
          <w:rtl/>
        </w:rPr>
        <w:t>وَ</w:t>
      </w:r>
      <w:r w:rsidR="00685363" w:rsidRPr="00995B26">
        <w:rPr>
          <w:rFonts w:ascii="KFGQPC Uthmanic Script HAFS" w:cs="KFGQPC Uthmanic Script HAFS" w:hint="cs"/>
          <w:sz w:val="29"/>
          <w:szCs w:val="29"/>
          <w:rtl/>
        </w:rPr>
        <w:t>ٰ</w:t>
      </w:r>
      <w:r w:rsidR="00685363" w:rsidRPr="00995B26">
        <w:rPr>
          <w:rFonts w:ascii="KFGQPC Uthmanic Script HAFS" w:cs="KFGQPC Uthmanic Script HAFS" w:hint="eastAsia"/>
          <w:sz w:val="29"/>
          <w:szCs w:val="29"/>
          <w:rtl/>
        </w:rPr>
        <w:t>لِدَي</w:t>
      </w:r>
      <w:r w:rsidR="00685363" w:rsidRPr="00995B26">
        <w:rPr>
          <w:rFonts w:ascii="KFGQPC Uthmanic Script HAFS" w:cs="KFGQPC Uthmanic Script HAFS" w:hint="cs"/>
          <w:sz w:val="29"/>
          <w:szCs w:val="29"/>
          <w:rtl/>
        </w:rPr>
        <w:t>ۡ</w:t>
      </w:r>
      <w:r w:rsidR="00685363" w:rsidRPr="00995B26">
        <w:rPr>
          <w:rFonts w:ascii="KFGQPC Uthmanic Script HAFS" w:cs="KFGQPC Uthmanic Script HAFS" w:hint="eastAsia"/>
          <w:sz w:val="29"/>
          <w:szCs w:val="29"/>
          <w:rtl/>
        </w:rPr>
        <w:t>نِ</w:t>
      </w:r>
      <w:r w:rsidR="00685363" w:rsidRPr="00995B26">
        <w:rPr>
          <w:rFonts w:ascii="KFGQPC Uthmanic Script HAFS" w:cs="KFGQPC Uthmanic Script HAFS"/>
          <w:sz w:val="29"/>
          <w:szCs w:val="29"/>
          <w:rtl/>
        </w:rPr>
        <w:t xml:space="preserve"> </w:t>
      </w:r>
      <w:r w:rsidR="00685363" w:rsidRPr="00995B26">
        <w:rPr>
          <w:rFonts w:ascii="KFGQPC Uthmanic Script HAFS" w:cs="KFGQPC Uthmanic Script HAFS" w:hint="eastAsia"/>
          <w:sz w:val="29"/>
          <w:szCs w:val="29"/>
          <w:rtl/>
        </w:rPr>
        <w:t>إِح</w:t>
      </w:r>
      <w:r w:rsidR="00685363" w:rsidRPr="00995B26">
        <w:rPr>
          <w:rFonts w:ascii="KFGQPC Uthmanic Script HAFS" w:cs="KFGQPC Uthmanic Script HAFS" w:hint="cs"/>
          <w:sz w:val="29"/>
          <w:szCs w:val="29"/>
          <w:rtl/>
        </w:rPr>
        <w:t>ۡ</w:t>
      </w:r>
      <w:r w:rsidR="00685363" w:rsidRPr="00995B26">
        <w:rPr>
          <w:rFonts w:ascii="KFGQPC Uthmanic Script HAFS" w:cs="KFGQPC Uthmanic Script HAFS" w:hint="eastAsia"/>
          <w:sz w:val="29"/>
          <w:szCs w:val="29"/>
          <w:rtl/>
        </w:rPr>
        <w:t>سَان</w:t>
      </w:r>
      <w:r w:rsidR="00685363" w:rsidRPr="00995B26">
        <w:rPr>
          <w:rFonts w:ascii="KFGQPC Uthmanic Script HAFS" w:cs="KFGQPC Uthmanic Script HAFS" w:hint="cs"/>
          <w:sz w:val="29"/>
          <w:szCs w:val="29"/>
          <w:rtl/>
        </w:rPr>
        <w:t>ٗ</w:t>
      </w:r>
      <w:r w:rsidR="00685363" w:rsidRPr="00995B26">
        <w:rPr>
          <w:rFonts w:ascii="KFGQPC Uthmanic Script HAFS" w:cs="KFGQPC Uthmanic Script HAFS" w:hint="eastAsia"/>
          <w:sz w:val="29"/>
          <w:szCs w:val="29"/>
          <w:rtl/>
        </w:rPr>
        <w:t>ا</w:t>
      </w:r>
      <w:r w:rsidR="00685363" w:rsidRPr="00995B26">
        <w:rPr>
          <w:rFonts w:ascii="KFGQPC Uthmanic Script HAFS" w:cs="KFGQPC Uthmanic Script HAFS"/>
          <w:sz w:val="29"/>
          <w:szCs w:val="29"/>
          <w:rtl/>
        </w:rPr>
        <w:t xml:space="preserve"> </w:t>
      </w:r>
      <w:r w:rsidR="00685363" w:rsidRPr="00995B26">
        <w:rPr>
          <w:rFonts w:ascii="KFGQPC Uthmanic Script HAFS" w:cs="KFGQPC Uthmanic Script HAFS" w:hint="eastAsia"/>
          <w:sz w:val="29"/>
          <w:szCs w:val="29"/>
          <w:rtl/>
        </w:rPr>
        <w:t>وَذِي</w:t>
      </w:r>
      <w:r w:rsidR="00685363" w:rsidRPr="00995B26">
        <w:rPr>
          <w:rFonts w:ascii="KFGQPC Uthmanic Script HAFS" w:cs="KFGQPC Uthmanic Script HAFS"/>
          <w:sz w:val="29"/>
          <w:szCs w:val="29"/>
          <w:rtl/>
        </w:rPr>
        <w:t xml:space="preserve"> </w:t>
      </w:r>
      <w:r w:rsidR="00685363" w:rsidRPr="00995B26">
        <w:rPr>
          <w:rFonts w:ascii="KFGQPC Uthmanic Script HAFS" w:cs="KFGQPC Uthmanic Script HAFS" w:hint="cs"/>
          <w:sz w:val="29"/>
          <w:szCs w:val="29"/>
          <w:rtl/>
        </w:rPr>
        <w:t>ٱ</w:t>
      </w:r>
      <w:r w:rsidR="00685363" w:rsidRPr="00995B26">
        <w:rPr>
          <w:rFonts w:ascii="KFGQPC Uthmanic Script HAFS" w:cs="KFGQPC Uthmanic Script HAFS" w:hint="eastAsia"/>
          <w:sz w:val="29"/>
          <w:szCs w:val="29"/>
          <w:rtl/>
        </w:rPr>
        <w:t>ل</w:t>
      </w:r>
      <w:r w:rsidR="00685363" w:rsidRPr="00995B26">
        <w:rPr>
          <w:rFonts w:ascii="KFGQPC Uthmanic Script HAFS" w:cs="KFGQPC Uthmanic Script HAFS" w:hint="cs"/>
          <w:sz w:val="29"/>
          <w:szCs w:val="29"/>
          <w:rtl/>
        </w:rPr>
        <w:t>ۡ</w:t>
      </w:r>
      <w:r w:rsidR="00685363" w:rsidRPr="00995B26">
        <w:rPr>
          <w:rFonts w:ascii="KFGQPC Uthmanic Script HAFS" w:cs="KFGQPC Uthmanic Script HAFS" w:hint="eastAsia"/>
          <w:sz w:val="29"/>
          <w:szCs w:val="29"/>
          <w:rtl/>
        </w:rPr>
        <w:t>قُر</w:t>
      </w:r>
      <w:r w:rsidR="00685363" w:rsidRPr="00995B26">
        <w:rPr>
          <w:rFonts w:ascii="KFGQPC Uthmanic Script HAFS" w:cs="KFGQPC Uthmanic Script HAFS" w:hint="cs"/>
          <w:sz w:val="29"/>
          <w:szCs w:val="29"/>
          <w:rtl/>
        </w:rPr>
        <w:t>ۡ</w:t>
      </w:r>
      <w:r w:rsidR="00685363" w:rsidRPr="00995B26">
        <w:rPr>
          <w:rFonts w:ascii="KFGQPC Uthmanic Script HAFS" w:cs="KFGQPC Uthmanic Script HAFS" w:hint="eastAsia"/>
          <w:sz w:val="29"/>
          <w:szCs w:val="29"/>
          <w:rtl/>
        </w:rPr>
        <w:t>بَى</w:t>
      </w:r>
      <w:r w:rsidR="00685363" w:rsidRPr="00995B26">
        <w:rPr>
          <w:rFonts w:ascii="KFGQPC Uthmanic Script HAFS" w:cs="KFGQPC Uthmanic Script HAFS" w:hint="cs"/>
          <w:sz w:val="29"/>
          <w:szCs w:val="29"/>
          <w:rtl/>
        </w:rPr>
        <w:t>ٰ</w:t>
      </w:r>
      <w:r w:rsidR="00685363" w:rsidRPr="00995B26">
        <w:rPr>
          <w:rFonts w:ascii="KFGQPC Uthmanic Script HAFS" w:cs="KFGQPC Uthmanic Script HAFS"/>
          <w:sz w:val="29"/>
          <w:szCs w:val="29"/>
          <w:rtl/>
        </w:rPr>
        <w:t xml:space="preserve"> </w:t>
      </w:r>
      <w:r w:rsidR="00685363" w:rsidRPr="00995B26">
        <w:rPr>
          <w:rFonts w:ascii="KFGQPC Uthmanic Script HAFS" w:cs="KFGQPC Uthmanic Script HAFS" w:hint="eastAsia"/>
          <w:sz w:val="29"/>
          <w:szCs w:val="29"/>
          <w:rtl/>
        </w:rPr>
        <w:t>وَ</w:t>
      </w:r>
      <w:r w:rsidR="00685363" w:rsidRPr="00995B26">
        <w:rPr>
          <w:rFonts w:ascii="KFGQPC Uthmanic Script HAFS" w:cs="KFGQPC Uthmanic Script HAFS" w:hint="cs"/>
          <w:sz w:val="29"/>
          <w:szCs w:val="29"/>
          <w:rtl/>
        </w:rPr>
        <w:t>ٱ</w:t>
      </w:r>
      <w:r w:rsidR="00685363" w:rsidRPr="00995B26">
        <w:rPr>
          <w:rFonts w:ascii="KFGQPC Uthmanic Script HAFS" w:cs="KFGQPC Uthmanic Script HAFS" w:hint="eastAsia"/>
          <w:sz w:val="29"/>
          <w:szCs w:val="29"/>
          <w:rtl/>
        </w:rPr>
        <w:t>ل</w:t>
      </w:r>
      <w:r w:rsidR="00685363" w:rsidRPr="00995B26">
        <w:rPr>
          <w:rFonts w:ascii="KFGQPC Uthmanic Script HAFS" w:cs="KFGQPC Uthmanic Script HAFS" w:hint="cs"/>
          <w:sz w:val="29"/>
          <w:szCs w:val="29"/>
          <w:rtl/>
        </w:rPr>
        <w:t>ۡ</w:t>
      </w:r>
      <w:r w:rsidR="00685363" w:rsidRPr="00995B26">
        <w:rPr>
          <w:rFonts w:ascii="KFGQPC Uthmanic Script HAFS" w:cs="KFGQPC Uthmanic Script HAFS" w:hint="eastAsia"/>
          <w:sz w:val="29"/>
          <w:szCs w:val="29"/>
          <w:rtl/>
        </w:rPr>
        <w:t>يَتَ</w:t>
      </w:r>
      <w:r w:rsidR="00685363" w:rsidRPr="00995B26">
        <w:rPr>
          <w:rFonts w:ascii="KFGQPC Uthmanic Script HAFS" w:cs="KFGQPC Uthmanic Script HAFS" w:hint="cs"/>
          <w:sz w:val="29"/>
          <w:szCs w:val="29"/>
          <w:rtl/>
        </w:rPr>
        <w:t>ٰ</w:t>
      </w:r>
      <w:r w:rsidR="00685363" w:rsidRPr="00995B26">
        <w:rPr>
          <w:rFonts w:ascii="KFGQPC Uthmanic Script HAFS" w:cs="KFGQPC Uthmanic Script HAFS" w:hint="eastAsia"/>
          <w:sz w:val="29"/>
          <w:szCs w:val="29"/>
          <w:rtl/>
        </w:rPr>
        <w:t>مَى</w:t>
      </w:r>
      <w:r w:rsidR="00685363" w:rsidRPr="00995B26">
        <w:rPr>
          <w:rFonts w:ascii="KFGQPC Uthmanic Script HAFS" w:cs="KFGQPC Uthmanic Script HAFS" w:hint="cs"/>
          <w:sz w:val="29"/>
          <w:szCs w:val="29"/>
          <w:rtl/>
        </w:rPr>
        <w:t>ٰ</w:t>
      </w:r>
      <w:r w:rsidR="00685363" w:rsidRPr="00995B26">
        <w:rPr>
          <w:rFonts w:ascii="KFGQPC Uthmanic Script HAFS" w:cs="KFGQPC Uthmanic Script HAFS"/>
          <w:sz w:val="29"/>
          <w:szCs w:val="29"/>
          <w:rtl/>
        </w:rPr>
        <w:t xml:space="preserve"> </w:t>
      </w:r>
      <w:r w:rsidR="00685363" w:rsidRPr="00995B26">
        <w:rPr>
          <w:rFonts w:ascii="KFGQPC Uthmanic Script HAFS" w:cs="KFGQPC Uthmanic Script HAFS" w:hint="eastAsia"/>
          <w:sz w:val="29"/>
          <w:szCs w:val="29"/>
          <w:rtl/>
        </w:rPr>
        <w:t>وَ</w:t>
      </w:r>
      <w:r w:rsidR="00685363" w:rsidRPr="00995B26">
        <w:rPr>
          <w:rFonts w:ascii="KFGQPC Uthmanic Script HAFS" w:cs="KFGQPC Uthmanic Script HAFS" w:hint="cs"/>
          <w:sz w:val="29"/>
          <w:szCs w:val="29"/>
          <w:rtl/>
        </w:rPr>
        <w:t>ٱ</w:t>
      </w:r>
      <w:r w:rsidR="00685363" w:rsidRPr="00995B26">
        <w:rPr>
          <w:rFonts w:ascii="KFGQPC Uthmanic Script HAFS" w:cs="KFGQPC Uthmanic Script HAFS" w:hint="eastAsia"/>
          <w:sz w:val="29"/>
          <w:szCs w:val="29"/>
          <w:rtl/>
        </w:rPr>
        <w:t>ل</w:t>
      </w:r>
      <w:r w:rsidR="00685363" w:rsidRPr="00995B26">
        <w:rPr>
          <w:rFonts w:ascii="KFGQPC Uthmanic Script HAFS" w:cs="KFGQPC Uthmanic Script HAFS" w:hint="cs"/>
          <w:sz w:val="29"/>
          <w:szCs w:val="29"/>
          <w:rtl/>
        </w:rPr>
        <w:t>ۡ</w:t>
      </w:r>
      <w:r w:rsidR="00685363" w:rsidRPr="00995B26">
        <w:rPr>
          <w:rFonts w:ascii="KFGQPC Uthmanic Script HAFS" w:cs="KFGQPC Uthmanic Script HAFS" w:hint="eastAsia"/>
          <w:sz w:val="29"/>
          <w:szCs w:val="29"/>
          <w:rtl/>
        </w:rPr>
        <w:t>مَسَ</w:t>
      </w:r>
      <w:r w:rsidR="00685363" w:rsidRPr="00995B26">
        <w:rPr>
          <w:rFonts w:ascii="KFGQPC Uthmanic Script HAFS" w:cs="KFGQPC Uthmanic Script HAFS" w:hint="cs"/>
          <w:sz w:val="29"/>
          <w:szCs w:val="29"/>
          <w:rtl/>
        </w:rPr>
        <w:t>ٰ</w:t>
      </w:r>
      <w:r w:rsidR="00685363" w:rsidRPr="00995B26">
        <w:rPr>
          <w:rFonts w:ascii="KFGQPC Uthmanic Script HAFS" w:cs="KFGQPC Uthmanic Script HAFS" w:hint="eastAsia"/>
          <w:sz w:val="29"/>
          <w:szCs w:val="29"/>
          <w:rtl/>
        </w:rPr>
        <w:t>كِينِ</w:t>
      </w:r>
      <w:r w:rsidR="00685363" w:rsidRPr="00995B26">
        <w:rPr>
          <w:rFonts w:ascii="KFGQPC Uthmanic Script HAFS" w:cs="Times New Roman" w:hint="cs"/>
          <w:sz w:val="29"/>
          <w:szCs w:val="29"/>
          <w:rtl/>
        </w:rPr>
        <w:t>...</w:t>
      </w:r>
      <w:r w:rsidR="00685363" w:rsidRPr="00995B26">
        <w:rPr>
          <w:rFonts w:ascii="Abo-thar" w:hAnsi="Abo-thar" w:cs="Traditional Arabic" w:hint="cs"/>
          <w:sz w:val="28"/>
          <w:rtl/>
          <w:lang w:bidi="ar-SY"/>
        </w:rPr>
        <w:t>﴾</w:t>
      </w:r>
      <w:r w:rsidR="00685363" w:rsidRPr="00995B26">
        <w:rPr>
          <w:rFonts w:ascii="Abo-thar" w:hAnsi="Abo-thar" w:hint="cs"/>
          <w:sz w:val="28"/>
          <w:rtl/>
          <w:lang w:bidi="ar-SY"/>
        </w:rPr>
        <w:t xml:space="preserve"> </w:t>
      </w:r>
      <w:r w:rsidRPr="00FC12FD">
        <w:rPr>
          <w:rStyle w:val="Char2"/>
          <w:rFonts w:hint="cs"/>
          <w:rtl/>
        </w:rPr>
        <w:t>[البقرة</w:t>
      </w:r>
      <w:r w:rsidR="00685363" w:rsidRPr="00FC12FD">
        <w:rPr>
          <w:rStyle w:val="Char2"/>
          <w:rFonts w:hint="cs"/>
          <w:rtl/>
        </w:rPr>
        <w:t xml:space="preserve">: </w:t>
      </w:r>
      <w:r w:rsidRPr="00FC12FD">
        <w:rPr>
          <w:rStyle w:val="Char2"/>
          <w:rFonts w:hint="cs"/>
          <w:rtl/>
        </w:rPr>
        <w:t>83]</w:t>
      </w:r>
      <w:r w:rsidR="00217AB4" w:rsidRPr="00995B26">
        <w:rPr>
          <w:rFonts w:ascii="Abo-thar" w:hAnsi="Abo-thar" w:hint="cs"/>
          <w:sz w:val="28"/>
          <w:rtl/>
          <w:lang w:bidi="ar-SY"/>
        </w:rPr>
        <w:t>.</w:t>
      </w:r>
    </w:p>
    <w:p w:rsidR="005C664D" w:rsidRPr="003F3B94" w:rsidRDefault="005C664D" w:rsidP="00445175">
      <w:pPr>
        <w:pStyle w:val="a0"/>
        <w:ind w:left="624" w:firstLine="0"/>
        <w:rPr>
          <w:rFonts w:hint="cs"/>
          <w:rtl/>
          <w:lang w:bidi="ar-SY"/>
        </w:rPr>
      </w:pPr>
      <w:r w:rsidRPr="003F3B94">
        <w:rPr>
          <w:rFonts w:ascii="Abo-thar" w:hAnsi="Abo-thar" w:hint="cs"/>
          <w:sz w:val="28"/>
          <w:rtl/>
          <w:lang w:bidi="ar-SY"/>
        </w:rPr>
        <w:t xml:space="preserve">فهنا من الواضح تماماً أنه ليس المقصود من </w:t>
      </w:r>
      <w:r w:rsidRPr="003F3B94">
        <w:rPr>
          <w:rFonts w:ascii="Abo-thar" w:hAnsi="Abo-thar" w:hint="eastAsia"/>
          <w:sz w:val="28"/>
          <w:rtl/>
          <w:lang w:bidi="ar-SY"/>
        </w:rPr>
        <w:t>«</w:t>
      </w:r>
      <w:r w:rsidRPr="003F3B94">
        <w:rPr>
          <w:rFonts w:ascii="Abo-thar" w:hAnsi="Abo-thar"/>
          <w:b/>
          <w:bCs/>
          <w:sz w:val="28"/>
          <w:rtl/>
          <w:lang w:bidi="ar-SY"/>
        </w:rPr>
        <w:t>وَذِي الْقُرْبَى</w:t>
      </w:r>
      <w:r w:rsidRPr="003F3B94">
        <w:rPr>
          <w:rFonts w:ascii="Abo-thar" w:hAnsi="Abo-thar" w:hint="eastAsia"/>
          <w:sz w:val="28"/>
          <w:rtl/>
          <w:lang w:bidi="ar-SY"/>
        </w:rPr>
        <w:t>»</w:t>
      </w:r>
      <w:r w:rsidRPr="003F3B94">
        <w:rPr>
          <w:rFonts w:ascii="Abo-thar" w:hAnsi="Abo-thar" w:hint="cs"/>
          <w:sz w:val="28"/>
          <w:rtl/>
          <w:lang w:bidi="ar-SY"/>
        </w:rPr>
        <w:t xml:space="preserve"> قرابة رسول الله</w:t>
      </w:r>
      <w:r w:rsidR="00147857" w:rsidRPr="003F3B94">
        <w:rPr>
          <w:rFonts w:ascii="Abo-thar" w:hAnsi="Abo-thar" w:hint="cs"/>
          <w:sz w:val="28"/>
          <w:rtl/>
          <w:lang w:bidi="ar-SY"/>
        </w:rPr>
        <w:t xml:space="preserve"> </w:t>
      </w:r>
      <w:r w:rsidR="003C7AEB" w:rsidRPr="003C7AEB">
        <w:rPr>
          <w:rFonts w:ascii="Abo-thar" w:hAnsi="Abo-thar" w:cs="CTraditional Arabic"/>
          <w:sz w:val="28"/>
          <w:rtl/>
          <w:lang w:bidi="ar-SY"/>
        </w:rPr>
        <w:t>ص</w:t>
      </w:r>
      <w:r w:rsidR="00147857" w:rsidRPr="003F3B94">
        <w:rPr>
          <w:rFonts w:ascii="Abo-thar" w:hAnsi="Abo-thar"/>
          <w:sz w:val="28"/>
          <w:rtl/>
          <w:lang w:bidi="ar-SY"/>
        </w:rPr>
        <w:t xml:space="preserve"> </w:t>
      </w:r>
      <w:r w:rsidRPr="003F3B94">
        <w:rPr>
          <w:rFonts w:ascii="Abo-thar" w:hAnsi="Abo-thar" w:hint="cs"/>
          <w:sz w:val="28"/>
          <w:rtl/>
          <w:lang w:bidi="ar-SY"/>
        </w:rPr>
        <w:t>خاصة</w:t>
      </w:r>
      <w:r w:rsidR="00217AB4" w:rsidRPr="003F3B94">
        <w:rPr>
          <w:rFonts w:ascii="Abo-thar" w:hAnsi="Abo-thar" w:hint="cs"/>
          <w:sz w:val="28"/>
          <w:rtl/>
          <w:lang w:bidi="ar-SY"/>
        </w:rPr>
        <w:t>.</w:t>
      </w:r>
      <w:r w:rsidRPr="003F3B94">
        <w:rPr>
          <w:rFonts w:ascii="Abo-thar" w:hAnsi="Abo-thar" w:hint="cs"/>
          <w:sz w:val="28"/>
          <w:rtl/>
          <w:lang w:bidi="ar-SY"/>
        </w:rPr>
        <w:t xml:space="preserve"> </w:t>
      </w:r>
    </w:p>
    <w:p w:rsidR="005C664D" w:rsidRPr="00995B26" w:rsidRDefault="005C664D" w:rsidP="00445175">
      <w:pPr>
        <w:pStyle w:val="a0"/>
        <w:ind w:left="624" w:hanging="340"/>
        <w:rPr>
          <w:rFonts w:hint="cs"/>
          <w:rtl/>
          <w:lang w:bidi="ar-SY"/>
        </w:rPr>
      </w:pPr>
      <w:r w:rsidRPr="003F3B94">
        <w:rPr>
          <w:rFonts w:ascii="Abo-thar" w:hAnsi="Abo-thar" w:hint="cs"/>
          <w:sz w:val="28"/>
          <w:rtl/>
          <w:lang w:bidi="ar-SY"/>
        </w:rPr>
        <w:t>ب</w:t>
      </w:r>
      <w:r w:rsidR="00217AB4" w:rsidRPr="003F3B94">
        <w:rPr>
          <w:rFonts w:ascii="Abo-thar" w:hAnsi="Abo-thar" w:hint="cs"/>
          <w:sz w:val="28"/>
          <w:rtl/>
          <w:lang w:bidi="ar-SY"/>
        </w:rPr>
        <w:t>-</w:t>
      </w:r>
      <w:r w:rsidRPr="003F3B94">
        <w:rPr>
          <w:rFonts w:ascii="Abo-thar" w:hAnsi="Abo-thar" w:hint="cs"/>
          <w:sz w:val="28"/>
          <w:rtl/>
          <w:lang w:bidi="ar-SY"/>
        </w:rPr>
        <w:t xml:space="preserve"> </w:t>
      </w:r>
      <w:r w:rsidR="00685363" w:rsidRPr="00995B26">
        <w:rPr>
          <w:rFonts w:cs="Traditional Arabic" w:hint="cs"/>
          <w:rtl/>
          <w:lang w:bidi="fa-IR"/>
        </w:rPr>
        <w:t>﴿</w:t>
      </w:r>
      <w:r w:rsidR="00685363" w:rsidRPr="00995B26">
        <w:rPr>
          <w:rFonts w:ascii="KFGQPC Uthmanic Script HAFS" w:cs="KFGQPC Uthmanic Script HAFS" w:hint="eastAsia"/>
          <w:sz w:val="29"/>
          <w:szCs w:val="29"/>
          <w:rtl/>
        </w:rPr>
        <w:t>لَّي</w:t>
      </w:r>
      <w:r w:rsidR="00685363" w:rsidRPr="00995B26">
        <w:rPr>
          <w:rFonts w:ascii="KFGQPC Uthmanic Script HAFS" w:cs="KFGQPC Uthmanic Script HAFS" w:hint="cs"/>
          <w:sz w:val="29"/>
          <w:szCs w:val="29"/>
          <w:rtl/>
        </w:rPr>
        <w:t>ۡ</w:t>
      </w:r>
      <w:r w:rsidR="00685363" w:rsidRPr="00995B26">
        <w:rPr>
          <w:rFonts w:ascii="KFGQPC Uthmanic Script HAFS" w:cs="KFGQPC Uthmanic Script HAFS" w:hint="eastAsia"/>
          <w:sz w:val="29"/>
          <w:szCs w:val="29"/>
          <w:rtl/>
        </w:rPr>
        <w:t>سَ</w:t>
      </w:r>
      <w:r w:rsidR="00685363" w:rsidRPr="00995B26">
        <w:rPr>
          <w:rFonts w:ascii="KFGQPC Uthmanic Script HAFS" w:cs="KFGQPC Uthmanic Script HAFS"/>
          <w:sz w:val="29"/>
          <w:szCs w:val="29"/>
          <w:rtl/>
        </w:rPr>
        <w:t xml:space="preserve"> </w:t>
      </w:r>
      <w:r w:rsidR="00685363" w:rsidRPr="00995B26">
        <w:rPr>
          <w:rFonts w:ascii="KFGQPC Uthmanic Script HAFS" w:cs="KFGQPC Uthmanic Script HAFS" w:hint="cs"/>
          <w:sz w:val="29"/>
          <w:szCs w:val="29"/>
          <w:rtl/>
        </w:rPr>
        <w:t>ٱ</w:t>
      </w:r>
      <w:r w:rsidR="00685363" w:rsidRPr="00995B26">
        <w:rPr>
          <w:rFonts w:ascii="KFGQPC Uthmanic Script HAFS" w:cs="KFGQPC Uthmanic Script HAFS" w:hint="eastAsia"/>
          <w:sz w:val="29"/>
          <w:szCs w:val="29"/>
          <w:rtl/>
        </w:rPr>
        <w:t>ل</w:t>
      </w:r>
      <w:r w:rsidR="00685363" w:rsidRPr="00995B26">
        <w:rPr>
          <w:rFonts w:ascii="KFGQPC Uthmanic Script HAFS" w:cs="KFGQPC Uthmanic Script HAFS" w:hint="cs"/>
          <w:sz w:val="29"/>
          <w:szCs w:val="29"/>
          <w:rtl/>
        </w:rPr>
        <w:t>ۡ</w:t>
      </w:r>
      <w:r w:rsidR="00685363" w:rsidRPr="00995B26">
        <w:rPr>
          <w:rFonts w:ascii="KFGQPC Uthmanic Script HAFS" w:cs="KFGQPC Uthmanic Script HAFS" w:hint="eastAsia"/>
          <w:sz w:val="29"/>
          <w:szCs w:val="29"/>
          <w:rtl/>
        </w:rPr>
        <w:t>بِرَّ</w:t>
      </w:r>
      <w:r w:rsidR="00685363" w:rsidRPr="00995B26">
        <w:rPr>
          <w:rFonts w:ascii="KFGQPC Uthmanic Script HAFS" w:cs="KFGQPC Uthmanic Script HAFS"/>
          <w:sz w:val="29"/>
          <w:szCs w:val="29"/>
          <w:rtl/>
        </w:rPr>
        <w:t xml:space="preserve"> </w:t>
      </w:r>
      <w:r w:rsidR="00685363" w:rsidRPr="00995B26">
        <w:rPr>
          <w:rFonts w:ascii="KFGQPC Uthmanic Script HAFS" w:cs="KFGQPC Uthmanic Script HAFS" w:hint="eastAsia"/>
          <w:sz w:val="29"/>
          <w:szCs w:val="29"/>
          <w:rtl/>
        </w:rPr>
        <w:t>أَن</w:t>
      </w:r>
      <w:r w:rsidR="00685363" w:rsidRPr="00995B26">
        <w:rPr>
          <w:rFonts w:ascii="KFGQPC Uthmanic Script HAFS" w:cs="KFGQPC Uthmanic Script HAFS"/>
          <w:sz w:val="29"/>
          <w:szCs w:val="29"/>
          <w:rtl/>
        </w:rPr>
        <w:t xml:space="preserve"> </w:t>
      </w:r>
      <w:r w:rsidR="00685363" w:rsidRPr="00995B26">
        <w:rPr>
          <w:rFonts w:ascii="KFGQPC Uthmanic Script HAFS" w:cs="KFGQPC Uthmanic Script HAFS" w:hint="eastAsia"/>
          <w:sz w:val="29"/>
          <w:szCs w:val="29"/>
          <w:rtl/>
        </w:rPr>
        <w:t>تُوَلُّواْ</w:t>
      </w:r>
      <w:r w:rsidR="00685363" w:rsidRPr="00995B26">
        <w:rPr>
          <w:rFonts w:ascii="KFGQPC Uthmanic Script HAFS" w:cs="KFGQPC Uthmanic Script HAFS"/>
          <w:sz w:val="29"/>
          <w:szCs w:val="29"/>
          <w:rtl/>
        </w:rPr>
        <w:t xml:space="preserve"> </w:t>
      </w:r>
      <w:r w:rsidR="00685363" w:rsidRPr="00995B26">
        <w:rPr>
          <w:rFonts w:ascii="KFGQPC Uthmanic Script HAFS" w:cs="KFGQPC Uthmanic Script HAFS" w:hint="eastAsia"/>
          <w:sz w:val="29"/>
          <w:szCs w:val="29"/>
          <w:rtl/>
        </w:rPr>
        <w:t>وُجُوهَكُم</w:t>
      </w:r>
      <w:r w:rsidR="00685363" w:rsidRPr="00995B26">
        <w:rPr>
          <w:rFonts w:ascii="KFGQPC Uthmanic Script HAFS" w:cs="KFGQPC Uthmanic Script HAFS" w:hint="cs"/>
          <w:sz w:val="29"/>
          <w:szCs w:val="29"/>
          <w:rtl/>
        </w:rPr>
        <w:t>ۡ</w:t>
      </w:r>
      <w:r w:rsidR="00685363" w:rsidRPr="00995B26">
        <w:rPr>
          <w:rFonts w:ascii="KFGQPC Uthmanic Script HAFS" w:cs="KFGQPC Uthmanic Script HAFS"/>
          <w:sz w:val="29"/>
          <w:szCs w:val="29"/>
          <w:rtl/>
        </w:rPr>
        <w:t xml:space="preserve"> </w:t>
      </w:r>
      <w:r w:rsidR="00685363" w:rsidRPr="00995B26">
        <w:rPr>
          <w:rFonts w:ascii="KFGQPC Uthmanic Script HAFS" w:cs="KFGQPC Uthmanic Script HAFS" w:hint="eastAsia"/>
          <w:sz w:val="29"/>
          <w:szCs w:val="29"/>
          <w:rtl/>
        </w:rPr>
        <w:t>قِبَلَ</w:t>
      </w:r>
      <w:r w:rsidR="00685363" w:rsidRPr="00995B26">
        <w:rPr>
          <w:rFonts w:ascii="KFGQPC Uthmanic Script HAFS" w:cs="KFGQPC Uthmanic Script HAFS"/>
          <w:sz w:val="29"/>
          <w:szCs w:val="29"/>
          <w:rtl/>
        </w:rPr>
        <w:t xml:space="preserve"> </w:t>
      </w:r>
      <w:r w:rsidR="00685363" w:rsidRPr="00995B26">
        <w:rPr>
          <w:rFonts w:ascii="KFGQPC Uthmanic Script HAFS" w:cs="KFGQPC Uthmanic Script HAFS" w:hint="cs"/>
          <w:sz w:val="29"/>
          <w:szCs w:val="29"/>
          <w:rtl/>
        </w:rPr>
        <w:t>ٱ</w:t>
      </w:r>
      <w:r w:rsidR="00685363" w:rsidRPr="00995B26">
        <w:rPr>
          <w:rFonts w:ascii="KFGQPC Uthmanic Script HAFS" w:cs="KFGQPC Uthmanic Script HAFS" w:hint="eastAsia"/>
          <w:sz w:val="29"/>
          <w:szCs w:val="29"/>
          <w:rtl/>
        </w:rPr>
        <w:t>ل</w:t>
      </w:r>
      <w:r w:rsidR="00685363" w:rsidRPr="00995B26">
        <w:rPr>
          <w:rFonts w:ascii="KFGQPC Uthmanic Script HAFS" w:cs="KFGQPC Uthmanic Script HAFS" w:hint="cs"/>
          <w:sz w:val="29"/>
          <w:szCs w:val="29"/>
          <w:rtl/>
        </w:rPr>
        <w:t>ۡ</w:t>
      </w:r>
      <w:r w:rsidR="00685363" w:rsidRPr="00995B26">
        <w:rPr>
          <w:rFonts w:ascii="KFGQPC Uthmanic Script HAFS" w:cs="KFGQPC Uthmanic Script HAFS" w:hint="eastAsia"/>
          <w:sz w:val="29"/>
          <w:szCs w:val="29"/>
          <w:rtl/>
        </w:rPr>
        <w:t>مَش</w:t>
      </w:r>
      <w:r w:rsidR="00685363" w:rsidRPr="00995B26">
        <w:rPr>
          <w:rFonts w:ascii="KFGQPC Uthmanic Script HAFS" w:cs="KFGQPC Uthmanic Script HAFS" w:hint="cs"/>
          <w:sz w:val="29"/>
          <w:szCs w:val="29"/>
          <w:rtl/>
        </w:rPr>
        <w:t>ۡ</w:t>
      </w:r>
      <w:r w:rsidR="00685363" w:rsidRPr="00995B26">
        <w:rPr>
          <w:rFonts w:ascii="KFGQPC Uthmanic Script HAFS" w:cs="KFGQPC Uthmanic Script HAFS" w:hint="eastAsia"/>
          <w:sz w:val="29"/>
          <w:szCs w:val="29"/>
          <w:rtl/>
        </w:rPr>
        <w:t>رِقِ</w:t>
      </w:r>
      <w:r w:rsidR="00685363" w:rsidRPr="00995B26">
        <w:rPr>
          <w:rFonts w:ascii="KFGQPC Uthmanic Script HAFS" w:cs="KFGQPC Uthmanic Script HAFS"/>
          <w:sz w:val="29"/>
          <w:szCs w:val="29"/>
          <w:rtl/>
        </w:rPr>
        <w:t xml:space="preserve"> </w:t>
      </w:r>
      <w:r w:rsidR="00685363" w:rsidRPr="00995B26">
        <w:rPr>
          <w:rFonts w:ascii="KFGQPC Uthmanic Script HAFS" w:cs="KFGQPC Uthmanic Script HAFS" w:hint="eastAsia"/>
          <w:sz w:val="29"/>
          <w:szCs w:val="29"/>
          <w:rtl/>
        </w:rPr>
        <w:t>وَ</w:t>
      </w:r>
      <w:r w:rsidR="00685363" w:rsidRPr="00995B26">
        <w:rPr>
          <w:rFonts w:ascii="KFGQPC Uthmanic Script HAFS" w:cs="KFGQPC Uthmanic Script HAFS" w:hint="cs"/>
          <w:sz w:val="29"/>
          <w:szCs w:val="29"/>
          <w:rtl/>
        </w:rPr>
        <w:t>ٱ</w:t>
      </w:r>
      <w:r w:rsidR="00685363" w:rsidRPr="00995B26">
        <w:rPr>
          <w:rFonts w:ascii="KFGQPC Uthmanic Script HAFS" w:cs="KFGQPC Uthmanic Script HAFS" w:hint="eastAsia"/>
          <w:sz w:val="29"/>
          <w:szCs w:val="29"/>
          <w:rtl/>
        </w:rPr>
        <w:t>ل</w:t>
      </w:r>
      <w:r w:rsidR="00685363" w:rsidRPr="00995B26">
        <w:rPr>
          <w:rFonts w:ascii="KFGQPC Uthmanic Script HAFS" w:cs="KFGQPC Uthmanic Script HAFS" w:hint="cs"/>
          <w:sz w:val="29"/>
          <w:szCs w:val="29"/>
          <w:rtl/>
        </w:rPr>
        <w:t>ۡ</w:t>
      </w:r>
      <w:r w:rsidR="00685363" w:rsidRPr="00995B26">
        <w:rPr>
          <w:rFonts w:ascii="KFGQPC Uthmanic Script HAFS" w:cs="KFGQPC Uthmanic Script HAFS" w:hint="eastAsia"/>
          <w:sz w:val="29"/>
          <w:szCs w:val="29"/>
          <w:rtl/>
        </w:rPr>
        <w:t>مَغ</w:t>
      </w:r>
      <w:r w:rsidR="00685363" w:rsidRPr="00995B26">
        <w:rPr>
          <w:rFonts w:ascii="KFGQPC Uthmanic Script HAFS" w:cs="KFGQPC Uthmanic Script HAFS" w:hint="cs"/>
          <w:sz w:val="29"/>
          <w:szCs w:val="29"/>
          <w:rtl/>
        </w:rPr>
        <w:t>ۡ</w:t>
      </w:r>
      <w:r w:rsidR="00685363" w:rsidRPr="00995B26">
        <w:rPr>
          <w:rFonts w:ascii="KFGQPC Uthmanic Script HAFS" w:cs="KFGQPC Uthmanic Script HAFS" w:hint="eastAsia"/>
          <w:sz w:val="29"/>
          <w:szCs w:val="29"/>
          <w:rtl/>
        </w:rPr>
        <w:t>رِبِ</w:t>
      </w:r>
      <w:r w:rsidR="00685363" w:rsidRPr="00995B26">
        <w:rPr>
          <w:rFonts w:ascii="KFGQPC Uthmanic Script HAFS" w:cs="KFGQPC Uthmanic Script HAFS"/>
          <w:sz w:val="29"/>
          <w:szCs w:val="29"/>
          <w:rtl/>
        </w:rPr>
        <w:t xml:space="preserve"> </w:t>
      </w:r>
      <w:r w:rsidR="00685363" w:rsidRPr="00995B26">
        <w:rPr>
          <w:rFonts w:ascii="KFGQPC Uthmanic Script HAFS" w:cs="KFGQPC Uthmanic Script HAFS" w:hint="eastAsia"/>
          <w:sz w:val="29"/>
          <w:szCs w:val="29"/>
          <w:rtl/>
        </w:rPr>
        <w:t>وَلَ</w:t>
      </w:r>
      <w:r w:rsidR="00685363" w:rsidRPr="00995B26">
        <w:rPr>
          <w:rFonts w:ascii="KFGQPC Uthmanic Script HAFS" w:cs="KFGQPC Uthmanic Script HAFS" w:hint="cs"/>
          <w:sz w:val="29"/>
          <w:szCs w:val="29"/>
          <w:rtl/>
        </w:rPr>
        <w:t>ٰ</w:t>
      </w:r>
      <w:r w:rsidR="00685363" w:rsidRPr="00995B26">
        <w:rPr>
          <w:rFonts w:ascii="KFGQPC Uthmanic Script HAFS" w:cs="KFGQPC Uthmanic Script HAFS" w:hint="eastAsia"/>
          <w:sz w:val="29"/>
          <w:szCs w:val="29"/>
          <w:rtl/>
        </w:rPr>
        <w:t>كِنَّ</w:t>
      </w:r>
      <w:r w:rsidR="00685363" w:rsidRPr="00995B26">
        <w:rPr>
          <w:rFonts w:ascii="KFGQPC Uthmanic Script HAFS" w:cs="KFGQPC Uthmanic Script HAFS"/>
          <w:sz w:val="29"/>
          <w:szCs w:val="29"/>
          <w:rtl/>
        </w:rPr>
        <w:t xml:space="preserve"> </w:t>
      </w:r>
      <w:r w:rsidR="00685363" w:rsidRPr="00995B26">
        <w:rPr>
          <w:rFonts w:ascii="KFGQPC Uthmanic Script HAFS" w:cs="KFGQPC Uthmanic Script HAFS" w:hint="cs"/>
          <w:sz w:val="29"/>
          <w:szCs w:val="29"/>
          <w:rtl/>
        </w:rPr>
        <w:t>ٱ</w:t>
      </w:r>
      <w:r w:rsidR="00685363" w:rsidRPr="00995B26">
        <w:rPr>
          <w:rFonts w:ascii="KFGQPC Uthmanic Script HAFS" w:cs="KFGQPC Uthmanic Script HAFS" w:hint="eastAsia"/>
          <w:sz w:val="29"/>
          <w:szCs w:val="29"/>
          <w:rtl/>
        </w:rPr>
        <w:t>ل</w:t>
      </w:r>
      <w:r w:rsidR="00685363" w:rsidRPr="00995B26">
        <w:rPr>
          <w:rFonts w:ascii="KFGQPC Uthmanic Script HAFS" w:cs="KFGQPC Uthmanic Script HAFS" w:hint="cs"/>
          <w:sz w:val="29"/>
          <w:szCs w:val="29"/>
          <w:rtl/>
        </w:rPr>
        <w:t>ۡ</w:t>
      </w:r>
      <w:r w:rsidR="00685363" w:rsidRPr="00995B26">
        <w:rPr>
          <w:rFonts w:ascii="KFGQPC Uthmanic Script HAFS" w:cs="KFGQPC Uthmanic Script HAFS" w:hint="eastAsia"/>
          <w:sz w:val="29"/>
          <w:szCs w:val="29"/>
          <w:rtl/>
        </w:rPr>
        <w:t>بِرَّ</w:t>
      </w:r>
      <w:r w:rsidR="00685363" w:rsidRPr="00995B26">
        <w:rPr>
          <w:rFonts w:ascii="KFGQPC Uthmanic Script HAFS" w:cs="KFGQPC Uthmanic Script HAFS"/>
          <w:sz w:val="29"/>
          <w:szCs w:val="29"/>
          <w:rtl/>
        </w:rPr>
        <w:t xml:space="preserve"> </w:t>
      </w:r>
      <w:r w:rsidR="00685363" w:rsidRPr="00995B26">
        <w:rPr>
          <w:rFonts w:ascii="KFGQPC Uthmanic Script HAFS" w:cs="KFGQPC Uthmanic Script HAFS" w:hint="eastAsia"/>
          <w:sz w:val="29"/>
          <w:szCs w:val="29"/>
          <w:rtl/>
        </w:rPr>
        <w:t>مَن</w:t>
      </w:r>
      <w:r w:rsidR="00685363" w:rsidRPr="00995B26">
        <w:rPr>
          <w:rFonts w:ascii="KFGQPC Uthmanic Script HAFS" w:cs="KFGQPC Uthmanic Script HAFS" w:hint="cs"/>
          <w:sz w:val="29"/>
          <w:szCs w:val="29"/>
          <w:rtl/>
        </w:rPr>
        <w:t>ۡ</w:t>
      </w:r>
      <w:r w:rsidR="00685363" w:rsidRPr="00995B26">
        <w:rPr>
          <w:rFonts w:ascii="KFGQPC Uthmanic Script HAFS" w:cs="KFGQPC Uthmanic Script HAFS"/>
          <w:sz w:val="29"/>
          <w:szCs w:val="29"/>
          <w:rtl/>
        </w:rPr>
        <w:t xml:space="preserve"> </w:t>
      </w:r>
      <w:r w:rsidR="00685363" w:rsidRPr="00995B26">
        <w:rPr>
          <w:rFonts w:ascii="KFGQPC Uthmanic Script HAFS" w:cs="KFGQPC Uthmanic Script HAFS" w:hint="eastAsia"/>
          <w:sz w:val="29"/>
          <w:szCs w:val="29"/>
          <w:rtl/>
        </w:rPr>
        <w:t>ءَامَنَ</w:t>
      </w:r>
      <w:r w:rsidR="00685363" w:rsidRPr="00995B26">
        <w:rPr>
          <w:rFonts w:ascii="KFGQPC Uthmanic Script HAFS" w:cs="KFGQPC Uthmanic Script HAFS"/>
          <w:sz w:val="29"/>
          <w:szCs w:val="29"/>
          <w:rtl/>
        </w:rPr>
        <w:t xml:space="preserve"> </w:t>
      </w:r>
      <w:r w:rsidR="00685363" w:rsidRPr="00995B26">
        <w:rPr>
          <w:rFonts w:ascii="KFGQPC Uthmanic Script HAFS" w:cs="KFGQPC Uthmanic Script HAFS" w:hint="eastAsia"/>
          <w:sz w:val="29"/>
          <w:szCs w:val="29"/>
          <w:rtl/>
        </w:rPr>
        <w:t>بِ</w:t>
      </w:r>
      <w:r w:rsidR="00685363" w:rsidRPr="00995B26">
        <w:rPr>
          <w:rFonts w:ascii="KFGQPC Uthmanic Script HAFS" w:cs="KFGQPC Uthmanic Script HAFS" w:hint="cs"/>
          <w:sz w:val="29"/>
          <w:szCs w:val="29"/>
          <w:rtl/>
        </w:rPr>
        <w:t>ٱ</w:t>
      </w:r>
      <w:r w:rsidR="00685363" w:rsidRPr="00995B26">
        <w:rPr>
          <w:rFonts w:ascii="KFGQPC Uthmanic Script HAFS" w:cs="KFGQPC Uthmanic Script HAFS" w:hint="eastAsia"/>
          <w:sz w:val="29"/>
          <w:szCs w:val="29"/>
          <w:rtl/>
        </w:rPr>
        <w:t>للَّهِ</w:t>
      </w:r>
      <w:r w:rsidR="00685363" w:rsidRPr="00995B26">
        <w:rPr>
          <w:rFonts w:ascii="KFGQPC Uthmanic Script HAFS" w:cs="KFGQPC Uthmanic Script HAFS"/>
          <w:sz w:val="29"/>
          <w:szCs w:val="29"/>
          <w:rtl/>
        </w:rPr>
        <w:t xml:space="preserve"> </w:t>
      </w:r>
      <w:r w:rsidR="00685363" w:rsidRPr="00995B26">
        <w:rPr>
          <w:rFonts w:ascii="KFGQPC Uthmanic Script HAFS" w:cs="KFGQPC Uthmanic Script HAFS" w:hint="eastAsia"/>
          <w:sz w:val="29"/>
          <w:szCs w:val="29"/>
          <w:rtl/>
        </w:rPr>
        <w:t>وَ</w:t>
      </w:r>
      <w:r w:rsidR="00685363" w:rsidRPr="00995B26">
        <w:rPr>
          <w:rFonts w:ascii="KFGQPC Uthmanic Script HAFS" w:cs="KFGQPC Uthmanic Script HAFS" w:hint="cs"/>
          <w:sz w:val="29"/>
          <w:szCs w:val="29"/>
          <w:rtl/>
        </w:rPr>
        <w:t>ٱ</w:t>
      </w:r>
      <w:r w:rsidR="00685363" w:rsidRPr="00995B26">
        <w:rPr>
          <w:rFonts w:ascii="KFGQPC Uthmanic Script HAFS" w:cs="KFGQPC Uthmanic Script HAFS" w:hint="eastAsia"/>
          <w:sz w:val="29"/>
          <w:szCs w:val="29"/>
          <w:rtl/>
        </w:rPr>
        <w:t>ل</w:t>
      </w:r>
      <w:r w:rsidR="00685363" w:rsidRPr="00995B26">
        <w:rPr>
          <w:rFonts w:ascii="KFGQPC Uthmanic Script HAFS" w:cs="KFGQPC Uthmanic Script HAFS" w:hint="cs"/>
          <w:sz w:val="29"/>
          <w:szCs w:val="29"/>
          <w:rtl/>
        </w:rPr>
        <w:t>ۡ</w:t>
      </w:r>
      <w:r w:rsidR="00685363" w:rsidRPr="00995B26">
        <w:rPr>
          <w:rFonts w:ascii="KFGQPC Uthmanic Script HAFS" w:cs="KFGQPC Uthmanic Script HAFS" w:hint="eastAsia"/>
          <w:sz w:val="29"/>
          <w:szCs w:val="29"/>
          <w:rtl/>
        </w:rPr>
        <w:t>يَو</w:t>
      </w:r>
      <w:r w:rsidR="00685363" w:rsidRPr="00995B26">
        <w:rPr>
          <w:rFonts w:ascii="KFGQPC Uthmanic Script HAFS" w:cs="KFGQPC Uthmanic Script HAFS" w:hint="cs"/>
          <w:sz w:val="29"/>
          <w:szCs w:val="29"/>
          <w:rtl/>
        </w:rPr>
        <w:t>ۡ</w:t>
      </w:r>
      <w:r w:rsidR="00685363" w:rsidRPr="00995B26">
        <w:rPr>
          <w:rFonts w:ascii="KFGQPC Uthmanic Script HAFS" w:cs="KFGQPC Uthmanic Script HAFS" w:hint="eastAsia"/>
          <w:sz w:val="29"/>
          <w:szCs w:val="29"/>
          <w:rtl/>
        </w:rPr>
        <w:t>مِ</w:t>
      </w:r>
      <w:r w:rsidR="00685363" w:rsidRPr="00995B26">
        <w:rPr>
          <w:rFonts w:ascii="KFGQPC Uthmanic Script HAFS" w:cs="KFGQPC Uthmanic Script HAFS"/>
          <w:sz w:val="29"/>
          <w:szCs w:val="29"/>
          <w:rtl/>
        </w:rPr>
        <w:t xml:space="preserve"> </w:t>
      </w:r>
      <w:r w:rsidR="00685363" w:rsidRPr="00995B26">
        <w:rPr>
          <w:rFonts w:ascii="KFGQPC Uthmanic Script HAFS" w:cs="KFGQPC Uthmanic Script HAFS" w:hint="cs"/>
          <w:sz w:val="29"/>
          <w:szCs w:val="29"/>
          <w:rtl/>
        </w:rPr>
        <w:t>ٱ</w:t>
      </w:r>
      <w:r w:rsidR="00685363" w:rsidRPr="00995B26">
        <w:rPr>
          <w:rFonts w:ascii="KFGQPC Uthmanic Script HAFS" w:cs="KFGQPC Uthmanic Script HAFS" w:hint="eastAsia"/>
          <w:sz w:val="29"/>
          <w:szCs w:val="29"/>
          <w:rtl/>
        </w:rPr>
        <w:t>ل</w:t>
      </w:r>
      <w:r w:rsidR="00685363" w:rsidRPr="00995B26">
        <w:rPr>
          <w:rFonts w:ascii="KFGQPC Uthmanic Script HAFS" w:cs="KFGQPC Uthmanic Script HAFS" w:hint="cs"/>
          <w:sz w:val="29"/>
          <w:szCs w:val="29"/>
          <w:rtl/>
        </w:rPr>
        <w:t>ۡ</w:t>
      </w:r>
      <w:r w:rsidR="00685363" w:rsidRPr="00995B26">
        <w:rPr>
          <w:rFonts w:ascii="KFGQPC Uthmanic Script HAFS" w:cs="KFGQPC Uthmanic Script HAFS" w:hint="eastAsia"/>
          <w:sz w:val="29"/>
          <w:szCs w:val="29"/>
          <w:rtl/>
        </w:rPr>
        <w:t>أ</w:t>
      </w:r>
      <w:r w:rsidR="00685363" w:rsidRPr="00995B26">
        <w:rPr>
          <w:rFonts w:ascii="KFGQPC Uthmanic Script HAFS" w:cs="KFGQPC Uthmanic Script HAFS" w:hint="cs"/>
          <w:sz w:val="29"/>
          <w:szCs w:val="29"/>
          <w:rtl/>
        </w:rPr>
        <w:t>ٓ</w:t>
      </w:r>
      <w:r w:rsidR="00685363" w:rsidRPr="00995B26">
        <w:rPr>
          <w:rFonts w:ascii="KFGQPC Uthmanic Script HAFS" w:cs="KFGQPC Uthmanic Script HAFS" w:hint="eastAsia"/>
          <w:sz w:val="29"/>
          <w:szCs w:val="29"/>
          <w:rtl/>
        </w:rPr>
        <w:t>خِرِ</w:t>
      </w:r>
      <w:r w:rsidR="00685363" w:rsidRPr="00995B26">
        <w:rPr>
          <w:rFonts w:ascii="KFGQPC Uthmanic Script HAFS" w:cs="KFGQPC Uthmanic Script HAFS"/>
          <w:sz w:val="29"/>
          <w:szCs w:val="29"/>
          <w:rtl/>
        </w:rPr>
        <w:t xml:space="preserve"> </w:t>
      </w:r>
      <w:r w:rsidR="00685363" w:rsidRPr="00995B26">
        <w:rPr>
          <w:rFonts w:ascii="KFGQPC Uthmanic Script HAFS" w:cs="KFGQPC Uthmanic Script HAFS" w:hint="eastAsia"/>
          <w:sz w:val="29"/>
          <w:szCs w:val="29"/>
          <w:rtl/>
        </w:rPr>
        <w:t>وَ</w:t>
      </w:r>
      <w:r w:rsidR="00685363" w:rsidRPr="00995B26">
        <w:rPr>
          <w:rFonts w:ascii="KFGQPC Uthmanic Script HAFS" w:cs="KFGQPC Uthmanic Script HAFS" w:hint="cs"/>
          <w:sz w:val="29"/>
          <w:szCs w:val="29"/>
          <w:rtl/>
        </w:rPr>
        <w:t>ٱ</w:t>
      </w:r>
      <w:r w:rsidR="00685363" w:rsidRPr="00995B26">
        <w:rPr>
          <w:rFonts w:ascii="KFGQPC Uthmanic Script HAFS" w:cs="KFGQPC Uthmanic Script HAFS" w:hint="eastAsia"/>
          <w:sz w:val="29"/>
          <w:szCs w:val="29"/>
          <w:rtl/>
        </w:rPr>
        <w:t>ل</w:t>
      </w:r>
      <w:r w:rsidR="00685363" w:rsidRPr="00995B26">
        <w:rPr>
          <w:rFonts w:ascii="KFGQPC Uthmanic Script HAFS" w:cs="KFGQPC Uthmanic Script HAFS" w:hint="cs"/>
          <w:sz w:val="29"/>
          <w:szCs w:val="29"/>
          <w:rtl/>
        </w:rPr>
        <w:t>ۡ</w:t>
      </w:r>
      <w:r w:rsidR="00685363" w:rsidRPr="00995B26">
        <w:rPr>
          <w:rFonts w:ascii="KFGQPC Uthmanic Script HAFS" w:cs="KFGQPC Uthmanic Script HAFS" w:hint="eastAsia"/>
          <w:sz w:val="29"/>
          <w:szCs w:val="29"/>
          <w:rtl/>
        </w:rPr>
        <w:t>مَلَ</w:t>
      </w:r>
      <w:r w:rsidR="00685363" w:rsidRPr="00995B26">
        <w:rPr>
          <w:rFonts w:ascii="KFGQPC Uthmanic Script HAFS" w:cs="KFGQPC Uthmanic Script HAFS" w:hint="cs"/>
          <w:sz w:val="29"/>
          <w:szCs w:val="29"/>
          <w:rtl/>
        </w:rPr>
        <w:t>ٰٓ</w:t>
      </w:r>
      <w:r w:rsidR="00685363" w:rsidRPr="00995B26">
        <w:rPr>
          <w:rFonts w:ascii="KFGQPC Uthmanic Script HAFS" w:cs="KFGQPC Uthmanic Script HAFS" w:hint="eastAsia"/>
          <w:sz w:val="29"/>
          <w:szCs w:val="29"/>
          <w:rtl/>
        </w:rPr>
        <w:t>ئِكَةِ</w:t>
      </w:r>
      <w:r w:rsidR="00685363" w:rsidRPr="00995B26">
        <w:rPr>
          <w:rFonts w:ascii="KFGQPC Uthmanic Script HAFS" w:cs="KFGQPC Uthmanic Script HAFS"/>
          <w:sz w:val="29"/>
          <w:szCs w:val="29"/>
          <w:rtl/>
        </w:rPr>
        <w:t xml:space="preserve"> </w:t>
      </w:r>
      <w:r w:rsidR="00685363" w:rsidRPr="00995B26">
        <w:rPr>
          <w:rFonts w:ascii="KFGQPC Uthmanic Script HAFS" w:cs="KFGQPC Uthmanic Script HAFS" w:hint="eastAsia"/>
          <w:sz w:val="29"/>
          <w:szCs w:val="29"/>
          <w:rtl/>
        </w:rPr>
        <w:t>وَ</w:t>
      </w:r>
      <w:r w:rsidR="00685363" w:rsidRPr="00995B26">
        <w:rPr>
          <w:rFonts w:ascii="KFGQPC Uthmanic Script HAFS" w:cs="KFGQPC Uthmanic Script HAFS" w:hint="cs"/>
          <w:sz w:val="29"/>
          <w:szCs w:val="29"/>
          <w:rtl/>
        </w:rPr>
        <w:t>ٱ</w:t>
      </w:r>
      <w:r w:rsidR="00685363" w:rsidRPr="00995B26">
        <w:rPr>
          <w:rFonts w:ascii="KFGQPC Uthmanic Script HAFS" w:cs="KFGQPC Uthmanic Script HAFS" w:hint="eastAsia"/>
          <w:sz w:val="29"/>
          <w:szCs w:val="29"/>
          <w:rtl/>
        </w:rPr>
        <w:t>ل</w:t>
      </w:r>
      <w:r w:rsidR="00685363" w:rsidRPr="00995B26">
        <w:rPr>
          <w:rFonts w:ascii="KFGQPC Uthmanic Script HAFS" w:cs="KFGQPC Uthmanic Script HAFS" w:hint="cs"/>
          <w:sz w:val="29"/>
          <w:szCs w:val="29"/>
          <w:rtl/>
        </w:rPr>
        <w:t>ۡ</w:t>
      </w:r>
      <w:r w:rsidR="00685363" w:rsidRPr="00995B26">
        <w:rPr>
          <w:rFonts w:ascii="KFGQPC Uthmanic Script HAFS" w:cs="KFGQPC Uthmanic Script HAFS" w:hint="eastAsia"/>
          <w:sz w:val="29"/>
          <w:szCs w:val="29"/>
          <w:rtl/>
        </w:rPr>
        <w:t>كِتَ</w:t>
      </w:r>
      <w:r w:rsidR="00685363" w:rsidRPr="00995B26">
        <w:rPr>
          <w:rFonts w:ascii="KFGQPC Uthmanic Script HAFS" w:cs="KFGQPC Uthmanic Script HAFS" w:hint="cs"/>
          <w:sz w:val="29"/>
          <w:szCs w:val="29"/>
          <w:rtl/>
        </w:rPr>
        <w:t>ٰ</w:t>
      </w:r>
      <w:r w:rsidR="00685363" w:rsidRPr="00995B26">
        <w:rPr>
          <w:rFonts w:ascii="KFGQPC Uthmanic Script HAFS" w:cs="KFGQPC Uthmanic Script HAFS" w:hint="eastAsia"/>
          <w:sz w:val="29"/>
          <w:szCs w:val="29"/>
          <w:rtl/>
        </w:rPr>
        <w:t>بِ</w:t>
      </w:r>
      <w:r w:rsidR="00685363" w:rsidRPr="00995B26">
        <w:rPr>
          <w:rFonts w:ascii="KFGQPC Uthmanic Script HAFS" w:cs="KFGQPC Uthmanic Script HAFS"/>
          <w:sz w:val="29"/>
          <w:szCs w:val="29"/>
          <w:rtl/>
        </w:rPr>
        <w:t xml:space="preserve"> </w:t>
      </w:r>
      <w:r w:rsidR="00685363" w:rsidRPr="00995B26">
        <w:rPr>
          <w:rFonts w:ascii="KFGQPC Uthmanic Script HAFS" w:cs="KFGQPC Uthmanic Script HAFS" w:hint="eastAsia"/>
          <w:sz w:val="29"/>
          <w:szCs w:val="29"/>
          <w:rtl/>
        </w:rPr>
        <w:t>وَ</w:t>
      </w:r>
      <w:r w:rsidR="00685363" w:rsidRPr="00995B26">
        <w:rPr>
          <w:rFonts w:ascii="KFGQPC Uthmanic Script HAFS" w:cs="KFGQPC Uthmanic Script HAFS" w:hint="cs"/>
          <w:sz w:val="29"/>
          <w:szCs w:val="29"/>
          <w:rtl/>
        </w:rPr>
        <w:t>ٱ</w:t>
      </w:r>
      <w:r w:rsidR="00685363" w:rsidRPr="00995B26">
        <w:rPr>
          <w:rFonts w:ascii="KFGQPC Uthmanic Script HAFS" w:cs="KFGQPC Uthmanic Script HAFS" w:hint="eastAsia"/>
          <w:sz w:val="29"/>
          <w:szCs w:val="29"/>
          <w:rtl/>
        </w:rPr>
        <w:t>لنَّبِيِّ‍</w:t>
      </w:r>
      <w:r w:rsidR="00685363" w:rsidRPr="00995B26">
        <w:rPr>
          <w:rFonts w:ascii="KFGQPC Uthmanic Script HAFS" w:cs="KFGQPC Uthmanic Script HAFS" w:hint="cs"/>
          <w:sz w:val="29"/>
          <w:szCs w:val="29"/>
          <w:rtl/>
        </w:rPr>
        <w:t>ۧ</w:t>
      </w:r>
      <w:r w:rsidR="00685363" w:rsidRPr="00995B26">
        <w:rPr>
          <w:rFonts w:ascii="KFGQPC Uthmanic Script HAFS" w:cs="KFGQPC Uthmanic Script HAFS" w:hint="eastAsia"/>
          <w:sz w:val="29"/>
          <w:szCs w:val="29"/>
          <w:rtl/>
        </w:rPr>
        <w:t>نَ</w:t>
      </w:r>
      <w:r w:rsidR="00685363" w:rsidRPr="00995B26">
        <w:rPr>
          <w:rFonts w:ascii="KFGQPC Uthmanic Script HAFS" w:cs="KFGQPC Uthmanic Script HAFS"/>
          <w:sz w:val="29"/>
          <w:szCs w:val="29"/>
          <w:rtl/>
        </w:rPr>
        <w:t xml:space="preserve"> </w:t>
      </w:r>
      <w:r w:rsidR="00685363" w:rsidRPr="00995B26">
        <w:rPr>
          <w:rFonts w:ascii="KFGQPC Uthmanic Script HAFS" w:cs="KFGQPC Uthmanic Script HAFS" w:hint="eastAsia"/>
          <w:sz w:val="29"/>
          <w:szCs w:val="29"/>
          <w:rtl/>
        </w:rPr>
        <w:t>وَءَاتَى</w:t>
      </w:r>
      <w:r w:rsidR="00685363" w:rsidRPr="00995B26">
        <w:rPr>
          <w:rFonts w:ascii="KFGQPC Uthmanic Script HAFS" w:cs="KFGQPC Uthmanic Script HAFS"/>
          <w:sz w:val="29"/>
          <w:szCs w:val="29"/>
          <w:rtl/>
        </w:rPr>
        <w:t xml:space="preserve"> </w:t>
      </w:r>
      <w:r w:rsidR="00685363" w:rsidRPr="00995B26">
        <w:rPr>
          <w:rFonts w:ascii="KFGQPC Uthmanic Script HAFS" w:cs="KFGQPC Uthmanic Script HAFS" w:hint="cs"/>
          <w:sz w:val="29"/>
          <w:szCs w:val="29"/>
          <w:rtl/>
        </w:rPr>
        <w:t>ٱ</w:t>
      </w:r>
      <w:r w:rsidR="00685363" w:rsidRPr="00995B26">
        <w:rPr>
          <w:rFonts w:ascii="KFGQPC Uthmanic Script HAFS" w:cs="KFGQPC Uthmanic Script HAFS" w:hint="eastAsia"/>
          <w:sz w:val="29"/>
          <w:szCs w:val="29"/>
          <w:rtl/>
        </w:rPr>
        <w:t>ل</w:t>
      </w:r>
      <w:r w:rsidR="00685363" w:rsidRPr="00995B26">
        <w:rPr>
          <w:rFonts w:ascii="KFGQPC Uthmanic Script HAFS" w:cs="KFGQPC Uthmanic Script HAFS" w:hint="cs"/>
          <w:sz w:val="29"/>
          <w:szCs w:val="29"/>
          <w:rtl/>
        </w:rPr>
        <w:t>ۡ</w:t>
      </w:r>
      <w:r w:rsidR="00685363" w:rsidRPr="00995B26">
        <w:rPr>
          <w:rFonts w:ascii="KFGQPC Uthmanic Script HAFS" w:cs="KFGQPC Uthmanic Script HAFS" w:hint="eastAsia"/>
          <w:sz w:val="29"/>
          <w:szCs w:val="29"/>
          <w:rtl/>
        </w:rPr>
        <w:t>مَالَ</w:t>
      </w:r>
      <w:r w:rsidR="00685363" w:rsidRPr="00995B26">
        <w:rPr>
          <w:rFonts w:ascii="KFGQPC Uthmanic Script HAFS" w:cs="KFGQPC Uthmanic Script HAFS"/>
          <w:sz w:val="29"/>
          <w:szCs w:val="29"/>
          <w:rtl/>
        </w:rPr>
        <w:t xml:space="preserve"> </w:t>
      </w:r>
      <w:r w:rsidR="00685363" w:rsidRPr="00995B26">
        <w:rPr>
          <w:rFonts w:ascii="KFGQPC Uthmanic Script HAFS" w:cs="KFGQPC Uthmanic Script HAFS" w:hint="eastAsia"/>
          <w:sz w:val="29"/>
          <w:szCs w:val="29"/>
          <w:rtl/>
        </w:rPr>
        <w:t>عَلَى</w:t>
      </w:r>
      <w:r w:rsidR="00685363" w:rsidRPr="00995B26">
        <w:rPr>
          <w:rFonts w:ascii="KFGQPC Uthmanic Script HAFS" w:cs="KFGQPC Uthmanic Script HAFS" w:hint="cs"/>
          <w:sz w:val="29"/>
          <w:szCs w:val="29"/>
          <w:rtl/>
        </w:rPr>
        <w:t>ٰ</w:t>
      </w:r>
      <w:r w:rsidR="00685363" w:rsidRPr="00995B26">
        <w:rPr>
          <w:rFonts w:ascii="KFGQPC Uthmanic Script HAFS" w:cs="KFGQPC Uthmanic Script HAFS"/>
          <w:sz w:val="29"/>
          <w:szCs w:val="29"/>
          <w:rtl/>
        </w:rPr>
        <w:t xml:space="preserve"> </w:t>
      </w:r>
      <w:r w:rsidR="00685363" w:rsidRPr="00995B26">
        <w:rPr>
          <w:rFonts w:ascii="KFGQPC Uthmanic Script HAFS" w:cs="KFGQPC Uthmanic Script HAFS" w:hint="eastAsia"/>
          <w:sz w:val="29"/>
          <w:szCs w:val="29"/>
          <w:rtl/>
        </w:rPr>
        <w:t>حُبِّهِ</w:t>
      </w:r>
      <w:r w:rsidR="00685363" w:rsidRPr="00995B26">
        <w:rPr>
          <w:rFonts w:ascii="KFGQPC Uthmanic Script HAFS" w:cs="KFGQPC Uthmanic Script HAFS" w:hint="cs"/>
          <w:sz w:val="29"/>
          <w:szCs w:val="29"/>
          <w:rtl/>
        </w:rPr>
        <w:t>ۦ</w:t>
      </w:r>
      <w:r w:rsidR="00685363" w:rsidRPr="00995B26">
        <w:rPr>
          <w:rFonts w:ascii="KFGQPC Uthmanic Script HAFS" w:cs="KFGQPC Uthmanic Script HAFS"/>
          <w:sz w:val="29"/>
          <w:szCs w:val="29"/>
          <w:rtl/>
        </w:rPr>
        <w:t xml:space="preserve"> </w:t>
      </w:r>
      <w:r w:rsidR="00685363" w:rsidRPr="00995B26">
        <w:rPr>
          <w:rFonts w:ascii="KFGQPC Uthmanic Script HAFS" w:cs="KFGQPC Uthmanic Script HAFS" w:hint="eastAsia"/>
          <w:sz w:val="29"/>
          <w:szCs w:val="29"/>
          <w:rtl/>
        </w:rPr>
        <w:t>ذَوِي</w:t>
      </w:r>
      <w:r w:rsidR="00685363" w:rsidRPr="00995B26">
        <w:rPr>
          <w:rFonts w:ascii="KFGQPC Uthmanic Script HAFS" w:cs="KFGQPC Uthmanic Script HAFS"/>
          <w:sz w:val="29"/>
          <w:szCs w:val="29"/>
          <w:rtl/>
        </w:rPr>
        <w:t xml:space="preserve"> </w:t>
      </w:r>
      <w:r w:rsidR="00685363" w:rsidRPr="00995B26">
        <w:rPr>
          <w:rFonts w:ascii="KFGQPC Uthmanic Script HAFS" w:cs="KFGQPC Uthmanic Script HAFS" w:hint="cs"/>
          <w:sz w:val="29"/>
          <w:szCs w:val="29"/>
          <w:rtl/>
        </w:rPr>
        <w:t>ٱ</w:t>
      </w:r>
      <w:r w:rsidR="00685363" w:rsidRPr="00995B26">
        <w:rPr>
          <w:rFonts w:ascii="KFGQPC Uthmanic Script HAFS" w:cs="KFGQPC Uthmanic Script HAFS" w:hint="eastAsia"/>
          <w:sz w:val="29"/>
          <w:szCs w:val="29"/>
          <w:rtl/>
        </w:rPr>
        <w:t>ل</w:t>
      </w:r>
      <w:r w:rsidR="00685363" w:rsidRPr="00995B26">
        <w:rPr>
          <w:rFonts w:ascii="KFGQPC Uthmanic Script HAFS" w:cs="KFGQPC Uthmanic Script HAFS" w:hint="cs"/>
          <w:sz w:val="29"/>
          <w:szCs w:val="29"/>
          <w:rtl/>
        </w:rPr>
        <w:t>ۡ</w:t>
      </w:r>
      <w:r w:rsidR="00685363" w:rsidRPr="00995B26">
        <w:rPr>
          <w:rFonts w:ascii="KFGQPC Uthmanic Script HAFS" w:cs="KFGQPC Uthmanic Script HAFS" w:hint="eastAsia"/>
          <w:sz w:val="29"/>
          <w:szCs w:val="29"/>
          <w:rtl/>
        </w:rPr>
        <w:t>قُر</w:t>
      </w:r>
      <w:r w:rsidR="00685363" w:rsidRPr="00995B26">
        <w:rPr>
          <w:rFonts w:ascii="KFGQPC Uthmanic Script HAFS" w:cs="KFGQPC Uthmanic Script HAFS" w:hint="cs"/>
          <w:sz w:val="29"/>
          <w:szCs w:val="29"/>
          <w:rtl/>
        </w:rPr>
        <w:t>ۡ</w:t>
      </w:r>
      <w:r w:rsidR="00685363" w:rsidRPr="00995B26">
        <w:rPr>
          <w:rFonts w:ascii="KFGQPC Uthmanic Script HAFS" w:cs="KFGQPC Uthmanic Script HAFS" w:hint="eastAsia"/>
          <w:sz w:val="29"/>
          <w:szCs w:val="29"/>
          <w:rtl/>
        </w:rPr>
        <w:t>بَى</w:t>
      </w:r>
      <w:r w:rsidR="00685363" w:rsidRPr="00995B26">
        <w:rPr>
          <w:rFonts w:ascii="KFGQPC Uthmanic Script HAFS" w:cs="KFGQPC Uthmanic Script HAFS" w:hint="cs"/>
          <w:sz w:val="29"/>
          <w:szCs w:val="29"/>
          <w:rtl/>
        </w:rPr>
        <w:t>ٰ</w:t>
      </w:r>
      <w:r w:rsidR="00685363" w:rsidRPr="00995B26">
        <w:rPr>
          <w:rFonts w:ascii="KFGQPC Uthmanic Script HAFS" w:cs="KFGQPC Uthmanic Script HAFS"/>
          <w:sz w:val="29"/>
          <w:szCs w:val="29"/>
          <w:rtl/>
        </w:rPr>
        <w:t xml:space="preserve"> </w:t>
      </w:r>
      <w:r w:rsidR="00685363" w:rsidRPr="00995B26">
        <w:rPr>
          <w:rFonts w:ascii="KFGQPC Uthmanic Script HAFS" w:cs="KFGQPC Uthmanic Script HAFS" w:hint="eastAsia"/>
          <w:sz w:val="29"/>
          <w:szCs w:val="29"/>
          <w:rtl/>
        </w:rPr>
        <w:t>وَ</w:t>
      </w:r>
      <w:r w:rsidR="00685363" w:rsidRPr="00995B26">
        <w:rPr>
          <w:rFonts w:ascii="KFGQPC Uthmanic Script HAFS" w:cs="KFGQPC Uthmanic Script HAFS" w:hint="cs"/>
          <w:sz w:val="29"/>
          <w:szCs w:val="29"/>
          <w:rtl/>
        </w:rPr>
        <w:t>ٱ</w:t>
      </w:r>
      <w:r w:rsidR="00685363" w:rsidRPr="00995B26">
        <w:rPr>
          <w:rFonts w:ascii="KFGQPC Uthmanic Script HAFS" w:cs="KFGQPC Uthmanic Script HAFS" w:hint="eastAsia"/>
          <w:sz w:val="29"/>
          <w:szCs w:val="29"/>
          <w:rtl/>
        </w:rPr>
        <w:t>ل</w:t>
      </w:r>
      <w:r w:rsidR="00685363" w:rsidRPr="00995B26">
        <w:rPr>
          <w:rFonts w:ascii="KFGQPC Uthmanic Script HAFS" w:cs="KFGQPC Uthmanic Script HAFS" w:hint="cs"/>
          <w:sz w:val="29"/>
          <w:szCs w:val="29"/>
          <w:rtl/>
        </w:rPr>
        <w:t>ۡ</w:t>
      </w:r>
      <w:r w:rsidR="00685363" w:rsidRPr="00995B26">
        <w:rPr>
          <w:rFonts w:ascii="KFGQPC Uthmanic Script HAFS" w:cs="KFGQPC Uthmanic Script HAFS" w:hint="eastAsia"/>
          <w:sz w:val="29"/>
          <w:szCs w:val="29"/>
          <w:rtl/>
        </w:rPr>
        <w:t>يَتَ</w:t>
      </w:r>
      <w:r w:rsidR="00685363" w:rsidRPr="00995B26">
        <w:rPr>
          <w:rFonts w:ascii="KFGQPC Uthmanic Script HAFS" w:cs="KFGQPC Uthmanic Script HAFS" w:hint="cs"/>
          <w:sz w:val="29"/>
          <w:szCs w:val="29"/>
          <w:rtl/>
        </w:rPr>
        <w:t>ٰ</w:t>
      </w:r>
      <w:r w:rsidR="00685363" w:rsidRPr="00995B26">
        <w:rPr>
          <w:rFonts w:ascii="KFGQPC Uthmanic Script HAFS" w:cs="KFGQPC Uthmanic Script HAFS" w:hint="eastAsia"/>
          <w:sz w:val="29"/>
          <w:szCs w:val="29"/>
          <w:rtl/>
        </w:rPr>
        <w:t>مَى</w:t>
      </w:r>
      <w:r w:rsidR="00685363" w:rsidRPr="00995B26">
        <w:rPr>
          <w:rFonts w:ascii="KFGQPC Uthmanic Script HAFS" w:cs="KFGQPC Uthmanic Script HAFS" w:hint="cs"/>
          <w:sz w:val="29"/>
          <w:szCs w:val="29"/>
          <w:rtl/>
        </w:rPr>
        <w:t>ٰ</w:t>
      </w:r>
      <w:r w:rsidR="00685363" w:rsidRPr="00995B26">
        <w:rPr>
          <w:rFonts w:ascii="KFGQPC Uthmanic Script HAFS" w:cs="KFGQPC Uthmanic Script HAFS"/>
          <w:sz w:val="29"/>
          <w:szCs w:val="29"/>
          <w:rtl/>
        </w:rPr>
        <w:t xml:space="preserve"> </w:t>
      </w:r>
      <w:r w:rsidR="00685363" w:rsidRPr="00995B26">
        <w:rPr>
          <w:rFonts w:ascii="KFGQPC Uthmanic Script HAFS" w:cs="KFGQPC Uthmanic Script HAFS" w:hint="eastAsia"/>
          <w:sz w:val="29"/>
          <w:szCs w:val="29"/>
          <w:rtl/>
        </w:rPr>
        <w:t>وَ</w:t>
      </w:r>
      <w:r w:rsidR="00685363" w:rsidRPr="00995B26">
        <w:rPr>
          <w:rFonts w:ascii="KFGQPC Uthmanic Script HAFS" w:cs="KFGQPC Uthmanic Script HAFS" w:hint="cs"/>
          <w:sz w:val="29"/>
          <w:szCs w:val="29"/>
          <w:rtl/>
        </w:rPr>
        <w:t>ٱ</w:t>
      </w:r>
      <w:r w:rsidR="00685363" w:rsidRPr="00995B26">
        <w:rPr>
          <w:rFonts w:ascii="KFGQPC Uthmanic Script HAFS" w:cs="KFGQPC Uthmanic Script HAFS" w:hint="eastAsia"/>
          <w:sz w:val="29"/>
          <w:szCs w:val="29"/>
          <w:rtl/>
        </w:rPr>
        <w:t>ل</w:t>
      </w:r>
      <w:r w:rsidR="00685363" w:rsidRPr="00995B26">
        <w:rPr>
          <w:rFonts w:ascii="KFGQPC Uthmanic Script HAFS" w:cs="KFGQPC Uthmanic Script HAFS" w:hint="cs"/>
          <w:sz w:val="29"/>
          <w:szCs w:val="29"/>
          <w:rtl/>
        </w:rPr>
        <w:t>ۡ</w:t>
      </w:r>
      <w:r w:rsidR="00685363" w:rsidRPr="00995B26">
        <w:rPr>
          <w:rFonts w:ascii="KFGQPC Uthmanic Script HAFS" w:cs="KFGQPC Uthmanic Script HAFS" w:hint="eastAsia"/>
          <w:sz w:val="29"/>
          <w:szCs w:val="29"/>
          <w:rtl/>
        </w:rPr>
        <w:t>مَسَ</w:t>
      </w:r>
      <w:r w:rsidR="00685363" w:rsidRPr="00995B26">
        <w:rPr>
          <w:rFonts w:ascii="KFGQPC Uthmanic Script HAFS" w:cs="KFGQPC Uthmanic Script HAFS" w:hint="cs"/>
          <w:sz w:val="29"/>
          <w:szCs w:val="29"/>
          <w:rtl/>
        </w:rPr>
        <w:t>ٰ</w:t>
      </w:r>
      <w:r w:rsidR="00685363" w:rsidRPr="00995B26">
        <w:rPr>
          <w:rFonts w:ascii="KFGQPC Uthmanic Script HAFS" w:cs="KFGQPC Uthmanic Script HAFS" w:hint="eastAsia"/>
          <w:sz w:val="29"/>
          <w:szCs w:val="29"/>
          <w:rtl/>
        </w:rPr>
        <w:t>كِينَ</w:t>
      </w:r>
      <w:r w:rsidR="00685363" w:rsidRPr="00995B26">
        <w:rPr>
          <w:rFonts w:ascii="KFGQPC Uthmanic Script HAFS" w:cs="KFGQPC Uthmanic Script HAFS"/>
          <w:sz w:val="29"/>
          <w:szCs w:val="29"/>
          <w:rtl/>
        </w:rPr>
        <w:t xml:space="preserve"> </w:t>
      </w:r>
      <w:r w:rsidR="00685363" w:rsidRPr="00995B26">
        <w:rPr>
          <w:rFonts w:ascii="KFGQPC Uthmanic Script HAFS" w:cs="KFGQPC Uthmanic Script HAFS" w:hint="eastAsia"/>
          <w:sz w:val="29"/>
          <w:szCs w:val="29"/>
          <w:rtl/>
        </w:rPr>
        <w:t>وَ</w:t>
      </w:r>
      <w:r w:rsidR="00685363" w:rsidRPr="00995B26">
        <w:rPr>
          <w:rFonts w:ascii="KFGQPC Uthmanic Script HAFS" w:cs="KFGQPC Uthmanic Script HAFS" w:hint="cs"/>
          <w:sz w:val="29"/>
          <w:szCs w:val="29"/>
          <w:rtl/>
        </w:rPr>
        <w:t>ٱ</w:t>
      </w:r>
      <w:r w:rsidR="00685363" w:rsidRPr="00995B26">
        <w:rPr>
          <w:rFonts w:ascii="KFGQPC Uthmanic Script HAFS" w:cs="KFGQPC Uthmanic Script HAFS" w:hint="eastAsia"/>
          <w:sz w:val="29"/>
          <w:szCs w:val="29"/>
          <w:rtl/>
        </w:rPr>
        <w:t>ب</w:t>
      </w:r>
      <w:r w:rsidR="00685363" w:rsidRPr="00995B26">
        <w:rPr>
          <w:rFonts w:ascii="KFGQPC Uthmanic Script HAFS" w:cs="KFGQPC Uthmanic Script HAFS" w:hint="cs"/>
          <w:sz w:val="29"/>
          <w:szCs w:val="29"/>
          <w:rtl/>
        </w:rPr>
        <w:t>ۡ</w:t>
      </w:r>
      <w:r w:rsidR="00685363" w:rsidRPr="00995B26">
        <w:rPr>
          <w:rFonts w:ascii="KFGQPC Uthmanic Script HAFS" w:cs="KFGQPC Uthmanic Script HAFS" w:hint="eastAsia"/>
          <w:sz w:val="29"/>
          <w:szCs w:val="29"/>
          <w:rtl/>
        </w:rPr>
        <w:t>نَ</w:t>
      </w:r>
      <w:r w:rsidR="00685363" w:rsidRPr="00995B26">
        <w:rPr>
          <w:rFonts w:ascii="KFGQPC Uthmanic Script HAFS" w:cs="KFGQPC Uthmanic Script HAFS"/>
          <w:sz w:val="29"/>
          <w:szCs w:val="29"/>
          <w:rtl/>
        </w:rPr>
        <w:t xml:space="preserve"> </w:t>
      </w:r>
      <w:r w:rsidR="00685363" w:rsidRPr="00995B26">
        <w:rPr>
          <w:rFonts w:ascii="KFGQPC Uthmanic Script HAFS" w:cs="KFGQPC Uthmanic Script HAFS" w:hint="cs"/>
          <w:sz w:val="29"/>
          <w:szCs w:val="29"/>
          <w:rtl/>
        </w:rPr>
        <w:t>ٱ</w:t>
      </w:r>
      <w:r w:rsidR="00685363" w:rsidRPr="00995B26">
        <w:rPr>
          <w:rFonts w:ascii="KFGQPC Uthmanic Script HAFS" w:cs="KFGQPC Uthmanic Script HAFS" w:hint="eastAsia"/>
          <w:sz w:val="29"/>
          <w:szCs w:val="29"/>
          <w:rtl/>
        </w:rPr>
        <w:t>لسَّبِيلِ</w:t>
      </w:r>
      <w:r w:rsidR="00685363" w:rsidRPr="00995B26">
        <w:rPr>
          <w:rFonts w:cs="KFGQPC Uthman Taha Naskh" w:hint="cs"/>
          <w:rtl/>
          <w:lang w:bidi="fa-IR"/>
        </w:rPr>
        <w:t>...</w:t>
      </w:r>
      <w:r w:rsidR="00685363" w:rsidRPr="00995B26">
        <w:rPr>
          <w:rFonts w:cs="Traditional Arabic"/>
          <w:rtl/>
          <w:lang w:bidi="fa-IR"/>
        </w:rPr>
        <w:t>﴾</w:t>
      </w:r>
      <w:r w:rsidRPr="00995B26">
        <w:rPr>
          <w:rFonts w:ascii="Abo-thar" w:hAnsi="Abo-thar" w:hint="cs"/>
          <w:sz w:val="28"/>
          <w:rtl/>
          <w:lang w:bidi="ar-SY"/>
        </w:rPr>
        <w:t xml:space="preserve"> </w:t>
      </w:r>
      <w:r w:rsidRPr="00FC12FD">
        <w:rPr>
          <w:rStyle w:val="Char2"/>
          <w:rFonts w:hint="cs"/>
          <w:rtl/>
        </w:rPr>
        <w:t>[البقرة</w:t>
      </w:r>
      <w:r w:rsidR="00685363" w:rsidRPr="00FC12FD">
        <w:rPr>
          <w:rStyle w:val="Char2"/>
          <w:rFonts w:hint="cs"/>
          <w:rtl/>
        </w:rPr>
        <w:t xml:space="preserve">: </w:t>
      </w:r>
      <w:r w:rsidRPr="00FC12FD">
        <w:rPr>
          <w:rStyle w:val="Char2"/>
          <w:rFonts w:hint="cs"/>
          <w:rtl/>
        </w:rPr>
        <w:t>177]</w:t>
      </w:r>
      <w:r w:rsidR="00217AB4" w:rsidRPr="00FC12FD">
        <w:rPr>
          <w:rStyle w:val="Char2"/>
          <w:rFonts w:hint="cs"/>
          <w:rtl/>
        </w:rPr>
        <w:t>.</w:t>
      </w:r>
    </w:p>
    <w:p w:rsidR="005C664D" w:rsidRPr="003F3B94" w:rsidRDefault="005C664D" w:rsidP="00445175">
      <w:pPr>
        <w:pStyle w:val="a0"/>
        <w:ind w:left="624" w:firstLine="0"/>
        <w:rPr>
          <w:rFonts w:hint="cs"/>
          <w:rtl/>
          <w:lang w:bidi="ar-SY"/>
        </w:rPr>
      </w:pPr>
      <w:r w:rsidRPr="003F3B94">
        <w:rPr>
          <w:rFonts w:ascii="Abo-thar" w:hAnsi="Abo-thar" w:hint="cs"/>
          <w:sz w:val="28"/>
          <w:rtl/>
          <w:lang w:bidi="ar-SY"/>
        </w:rPr>
        <w:t xml:space="preserve">فهنا أيضاً ذُكرت عبارة </w:t>
      </w:r>
      <w:r w:rsidRPr="003F3B94">
        <w:rPr>
          <w:rFonts w:ascii="Abo-thar" w:hAnsi="Abo-thar" w:hint="eastAsia"/>
          <w:sz w:val="28"/>
          <w:rtl/>
          <w:lang w:bidi="ar-SY"/>
        </w:rPr>
        <w:t>«</w:t>
      </w:r>
      <w:r w:rsidRPr="003F3B94">
        <w:rPr>
          <w:rFonts w:ascii="Abo-thar" w:hAnsi="Abo-thar" w:hint="eastAsia"/>
          <w:b/>
          <w:bCs/>
          <w:sz w:val="28"/>
          <w:rtl/>
          <w:lang w:bidi="ar-SY"/>
        </w:rPr>
        <w:t>ذَوِي</w:t>
      </w:r>
      <w:r w:rsidRPr="003F3B94">
        <w:rPr>
          <w:rFonts w:ascii="Abo-thar" w:hAnsi="Abo-thar"/>
          <w:b/>
          <w:bCs/>
          <w:sz w:val="28"/>
          <w:rtl/>
          <w:lang w:bidi="ar-SY"/>
        </w:rPr>
        <w:t xml:space="preserve"> </w:t>
      </w:r>
      <w:r w:rsidRPr="003F3B94">
        <w:rPr>
          <w:rFonts w:ascii="Abo-thar" w:hAnsi="Abo-thar" w:hint="eastAsia"/>
          <w:b/>
          <w:bCs/>
          <w:sz w:val="28"/>
          <w:rtl/>
          <w:lang w:bidi="ar-SY"/>
        </w:rPr>
        <w:t>الْقُرْبَى</w:t>
      </w:r>
      <w:r w:rsidRPr="003F3B94">
        <w:rPr>
          <w:rFonts w:ascii="Abo-thar" w:hAnsi="Abo-thar" w:hint="eastAsia"/>
          <w:sz w:val="28"/>
          <w:rtl/>
          <w:lang w:bidi="ar-SY"/>
        </w:rPr>
        <w:t>»</w:t>
      </w:r>
      <w:r w:rsidRPr="003F3B94">
        <w:rPr>
          <w:rFonts w:ascii="Abo-thar" w:hAnsi="Abo-thar" w:hint="cs"/>
          <w:sz w:val="28"/>
          <w:rtl/>
          <w:lang w:bidi="ar-SY"/>
        </w:rPr>
        <w:t xml:space="preserve"> بصيغة الجمع لتتناسب مع اليتامى والمساكين الآتية بصيغة الجمع</w:t>
      </w:r>
      <w:r w:rsidR="00217AB4" w:rsidRPr="003F3B94">
        <w:rPr>
          <w:rFonts w:ascii="Abo-thar" w:hAnsi="Abo-thar" w:hint="cs"/>
          <w:sz w:val="28"/>
          <w:rtl/>
          <w:lang w:bidi="ar-SY"/>
        </w:rPr>
        <w:t>.</w:t>
      </w:r>
      <w:r w:rsidR="00147857" w:rsidRPr="003F3B94">
        <w:rPr>
          <w:rFonts w:ascii="Abo-thar" w:hAnsi="Abo-thar" w:hint="cs"/>
          <w:sz w:val="28"/>
          <w:rtl/>
          <w:lang w:bidi="ar-SY"/>
        </w:rPr>
        <w:t xml:space="preserve"> </w:t>
      </w:r>
    </w:p>
    <w:p w:rsidR="005C664D" w:rsidRPr="00995B26" w:rsidRDefault="005C664D" w:rsidP="00445175">
      <w:pPr>
        <w:pStyle w:val="a0"/>
        <w:ind w:left="624" w:hanging="340"/>
        <w:rPr>
          <w:rFonts w:hint="cs"/>
          <w:rtl/>
          <w:lang w:bidi="ar-SY"/>
        </w:rPr>
      </w:pPr>
      <w:r w:rsidRPr="003F3B94">
        <w:rPr>
          <w:rFonts w:ascii="Abo-thar" w:hAnsi="Abo-thar" w:hint="cs"/>
          <w:sz w:val="28"/>
          <w:rtl/>
          <w:lang w:bidi="ar-SY"/>
        </w:rPr>
        <w:t>ج</w:t>
      </w:r>
      <w:r w:rsidR="00217AB4" w:rsidRPr="003F3B94">
        <w:rPr>
          <w:rFonts w:ascii="Abo-thar" w:hAnsi="Abo-thar" w:hint="cs"/>
          <w:sz w:val="28"/>
          <w:rtl/>
          <w:lang w:bidi="ar-SY"/>
        </w:rPr>
        <w:t>-</w:t>
      </w:r>
      <w:r w:rsidRPr="003F3B94">
        <w:rPr>
          <w:rFonts w:ascii="Abo-thar" w:hAnsi="Abo-thar" w:hint="cs"/>
          <w:sz w:val="28"/>
          <w:rtl/>
          <w:lang w:bidi="ar-SY"/>
        </w:rPr>
        <w:t xml:space="preserve"> </w:t>
      </w:r>
      <w:r w:rsidR="00685363" w:rsidRPr="00995B26">
        <w:rPr>
          <w:rFonts w:cs="Traditional Arabic"/>
          <w:rtl/>
          <w:lang w:bidi="fa-IR"/>
        </w:rPr>
        <w:t>﴿</w:t>
      </w:r>
      <w:r w:rsidR="00685363" w:rsidRPr="00DF7CAE">
        <w:rPr>
          <w:rStyle w:val="Char3"/>
          <w:rFonts w:hint="eastAsia"/>
          <w:rtl/>
        </w:rPr>
        <w:t>وَ</w:t>
      </w:r>
      <w:r w:rsidR="00685363" w:rsidRPr="00DF7CAE">
        <w:rPr>
          <w:rStyle w:val="Char3"/>
          <w:rFonts w:hint="cs"/>
          <w:rtl/>
        </w:rPr>
        <w:t>ٱ</w:t>
      </w:r>
      <w:r w:rsidR="00685363" w:rsidRPr="00DF7CAE">
        <w:rPr>
          <w:rStyle w:val="Char3"/>
          <w:rFonts w:hint="eastAsia"/>
          <w:rtl/>
        </w:rPr>
        <w:t>ع</w:t>
      </w:r>
      <w:r w:rsidR="00685363" w:rsidRPr="00DF7CAE">
        <w:rPr>
          <w:rStyle w:val="Char3"/>
          <w:rFonts w:hint="cs"/>
          <w:rtl/>
        </w:rPr>
        <w:t>ۡ</w:t>
      </w:r>
      <w:r w:rsidR="00685363" w:rsidRPr="00DF7CAE">
        <w:rPr>
          <w:rStyle w:val="Char3"/>
          <w:rFonts w:hint="eastAsia"/>
          <w:rtl/>
        </w:rPr>
        <w:t>بُدُواْ</w:t>
      </w:r>
      <w:r w:rsidR="00685363" w:rsidRPr="00DF7CAE">
        <w:rPr>
          <w:rStyle w:val="Char3"/>
          <w:rtl/>
        </w:rPr>
        <w:t xml:space="preserve"> </w:t>
      </w:r>
      <w:r w:rsidR="00685363" w:rsidRPr="00DF7CAE">
        <w:rPr>
          <w:rStyle w:val="Char3"/>
          <w:rFonts w:hint="cs"/>
          <w:rtl/>
        </w:rPr>
        <w:t>ٱ</w:t>
      </w:r>
      <w:r w:rsidR="00685363" w:rsidRPr="00DF7CAE">
        <w:rPr>
          <w:rStyle w:val="Char3"/>
          <w:rFonts w:hint="eastAsia"/>
          <w:rtl/>
        </w:rPr>
        <w:t>للَّهَ</w:t>
      </w:r>
      <w:r w:rsidR="00685363" w:rsidRPr="00DF7CAE">
        <w:rPr>
          <w:rStyle w:val="Char3"/>
          <w:rtl/>
        </w:rPr>
        <w:t xml:space="preserve"> </w:t>
      </w:r>
      <w:r w:rsidR="00685363" w:rsidRPr="00DF7CAE">
        <w:rPr>
          <w:rStyle w:val="Char3"/>
          <w:rFonts w:hint="eastAsia"/>
          <w:rtl/>
        </w:rPr>
        <w:t>وَلَا</w:t>
      </w:r>
      <w:r w:rsidR="00685363" w:rsidRPr="00DF7CAE">
        <w:rPr>
          <w:rStyle w:val="Char3"/>
          <w:rtl/>
        </w:rPr>
        <w:t xml:space="preserve"> </w:t>
      </w:r>
      <w:r w:rsidR="00685363" w:rsidRPr="00DF7CAE">
        <w:rPr>
          <w:rStyle w:val="Char3"/>
          <w:rFonts w:hint="eastAsia"/>
          <w:rtl/>
        </w:rPr>
        <w:t>تُش</w:t>
      </w:r>
      <w:r w:rsidR="00685363" w:rsidRPr="00DF7CAE">
        <w:rPr>
          <w:rStyle w:val="Char3"/>
          <w:rFonts w:hint="cs"/>
          <w:rtl/>
        </w:rPr>
        <w:t>ۡ</w:t>
      </w:r>
      <w:r w:rsidR="00685363" w:rsidRPr="00DF7CAE">
        <w:rPr>
          <w:rStyle w:val="Char3"/>
          <w:rFonts w:hint="eastAsia"/>
          <w:rtl/>
        </w:rPr>
        <w:t>رِكُواْ</w:t>
      </w:r>
      <w:r w:rsidR="00685363" w:rsidRPr="00DF7CAE">
        <w:rPr>
          <w:rStyle w:val="Char3"/>
          <w:rtl/>
        </w:rPr>
        <w:t xml:space="preserve"> </w:t>
      </w:r>
      <w:r w:rsidR="00685363" w:rsidRPr="00DF7CAE">
        <w:rPr>
          <w:rStyle w:val="Char3"/>
          <w:rFonts w:hint="eastAsia"/>
          <w:rtl/>
        </w:rPr>
        <w:t>بِهِ</w:t>
      </w:r>
      <w:r w:rsidR="00685363" w:rsidRPr="00DF7CAE">
        <w:rPr>
          <w:rStyle w:val="Char3"/>
          <w:rFonts w:hint="cs"/>
          <w:rtl/>
        </w:rPr>
        <w:t>ۦ</w:t>
      </w:r>
      <w:r w:rsidR="00685363" w:rsidRPr="00DF7CAE">
        <w:rPr>
          <w:rStyle w:val="Char3"/>
          <w:rtl/>
        </w:rPr>
        <w:t xml:space="preserve"> </w:t>
      </w:r>
      <w:r w:rsidR="00685363" w:rsidRPr="00DF7CAE">
        <w:rPr>
          <w:rStyle w:val="Char3"/>
          <w:rFonts w:hint="eastAsia"/>
          <w:rtl/>
        </w:rPr>
        <w:t>شَي</w:t>
      </w:r>
      <w:r w:rsidR="00685363" w:rsidRPr="00DF7CAE">
        <w:rPr>
          <w:rStyle w:val="Char3"/>
          <w:rFonts w:hint="cs"/>
          <w:rtl/>
        </w:rPr>
        <w:t>ۡ</w:t>
      </w:r>
      <w:r w:rsidR="00685363" w:rsidRPr="00DF7CAE">
        <w:rPr>
          <w:rStyle w:val="Char3"/>
          <w:rFonts w:hint="eastAsia"/>
          <w:rtl/>
        </w:rPr>
        <w:t>‍</w:t>
      </w:r>
      <w:r w:rsidR="00685363" w:rsidRPr="00DF7CAE">
        <w:rPr>
          <w:rStyle w:val="Char3"/>
          <w:rFonts w:hint="cs"/>
          <w:rtl/>
        </w:rPr>
        <w:t>ٔٗ</w:t>
      </w:r>
      <w:r w:rsidR="00685363" w:rsidRPr="00DF7CAE">
        <w:rPr>
          <w:rStyle w:val="Char3"/>
          <w:rFonts w:hint="eastAsia"/>
          <w:rtl/>
        </w:rPr>
        <w:t>ا</w:t>
      </w:r>
      <w:r w:rsidR="00685363" w:rsidRPr="00DF7CAE">
        <w:rPr>
          <w:rStyle w:val="Char3"/>
          <w:rFonts w:hint="cs"/>
          <w:rtl/>
        </w:rPr>
        <w:t>ۖ</w:t>
      </w:r>
      <w:r w:rsidR="00685363" w:rsidRPr="00DF7CAE">
        <w:rPr>
          <w:rStyle w:val="Char3"/>
          <w:rtl/>
        </w:rPr>
        <w:t xml:space="preserve"> </w:t>
      </w:r>
      <w:r w:rsidR="00685363" w:rsidRPr="00DF7CAE">
        <w:rPr>
          <w:rStyle w:val="Char3"/>
          <w:rFonts w:hint="eastAsia"/>
          <w:rtl/>
        </w:rPr>
        <w:t>وَبِ</w:t>
      </w:r>
      <w:r w:rsidR="00685363" w:rsidRPr="00DF7CAE">
        <w:rPr>
          <w:rStyle w:val="Char3"/>
          <w:rFonts w:hint="cs"/>
          <w:rtl/>
        </w:rPr>
        <w:t>ٱ</w:t>
      </w:r>
      <w:r w:rsidR="00685363" w:rsidRPr="00DF7CAE">
        <w:rPr>
          <w:rStyle w:val="Char3"/>
          <w:rFonts w:hint="eastAsia"/>
          <w:rtl/>
        </w:rPr>
        <w:t>ل</w:t>
      </w:r>
      <w:r w:rsidR="00685363" w:rsidRPr="00DF7CAE">
        <w:rPr>
          <w:rStyle w:val="Char3"/>
          <w:rFonts w:hint="cs"/>
          <w:rtl/>
        </w:rPr>
        <w:t>ۡ</w:t>
      </w:r>
      <w:r w:rsidR="00685363" w:rsidRPr="00DF7CAE">
        <w:rPr>
          <w:rStyle w:val="Char3"/>
          <w:rFonts w:hint="eastAsia"/>
          <w:rtl/>
        </w:rPr>
        <w:t>وَ</w:t>
      </w:r>
      <w:r w:rsidR="00685363" w:rsidRPr="00DF7CAE">
        <w:rPr>
          <w:rStyle w:val="Char3"/>
          <w:rFonts w:hint="cs"/>
          <w:rtl/>
        </w:rPr>
        <w:t>ٰ</w:t>
      </w:r>
      <w:r w:rsidR="00685363" w:rsidRPr="00DF7CAE">
        <w:rPr>
          <w:rStyle w:val="Char3"/>
          <w:rFonts w:hint="eastAsia"/>
          <w:rtl/>
        </w:rPr>
        <w:t>لِدَي</w:t>
      </w:r>
      <w:r w:rsidR="00685363" w:rsidRPr="00DF7CAE">
        <w:rPr>
          <w:rStyle w:val="Char3"/>
          <w:rFonts w:hint="cs"/>
          <w:rtl/>
        </w:rPr>
        <w:t>ۡ</w:t>
      </w:r>
      <w:r w:rsidR="00685363" w:rsidRPr="00DF7CAE">
        <w:rPr>
          <w:rStyle w:val="Char3"/>
          <w:rFonts w:hint="eastAsia"/>
          <w:rtl/>
        </w:rPr>
        <w:t>نِ</w:t>
      </w:r>
      <w:r w:rsidR="00685363" w:rsidRPr="00DF7CAE">
        <w:rPr>
          <w:rStyle w:val="Char3"/>
          <w:rtl/>
        </w:rPr>
        <w:t xml:space="preserve"> </w:t>
      </w:r>
      <w:r w:rsidR="00685363" w:rsidRPr="00DF7CAE">
        <w:rPr>
          <w:rStyle w:val="Char3"/>
          <w:rFonts w:hint="eastAsia"/>
          <w:rtl/>
        </w:rPr>
        <w:t>إِح</w:t>
      </w:r>
      <w:r w:rsidR="00685363" w:rsidRPr="00DF7CAE">
        <w:rPr>
          <w:rStyle w:val="Char3"/>
          <w:rFonts w:hint="cs"/>
          <w:rtl/>
        </w:rPr>
        <w:t>ۡ</w:t>
      </w:r>
      <w:r w:rsidR="00685363" w:rsidRPr="00DF7CAE">
        <w:rPr>
          <w:rStyle w:val="Char3"/>
          <w:rFonts w:hint="eastAsia"/>
          <w:rtl/>
        </w:rPr>
        <w:t>سَ</w:t>
      </w:r>
      <w:r w:rsidR="00685363" w:rsidRPr="00DF7CAE">
        <w:rPr>
          <w:rStyle w:val="Char3"/>
          <w:rFonts w:hint="cs"/>
          <w:rtl/>
        </w:rPr>
        <w:t>ٰ</w:t>
      </w:r>
      <w:r w:rsidR="00685363" w:rsidRPr="00DF7CAE">
        <w:rPr>
          <w:rStyle w:val="Char3"/>
          <w:rFonts w:hint="eastAsia"/>
          <w:rtl/>
        </w:rPr>
        <w:t>ن</w:t>
      </w:r>
      <w:r w:rsidR="00685363" w:rsidRPr="00DF7CAE">
        <w:rPr>
          <w:rStyle w:val="Char3"/>
          <w:rFonts w:hint="cs"/>
          <w:rtl/>
        </w:rPr>
        <w:t>ٗ</w:t>
      </w:r>
      <w:r w:rsidR="00685363" w:rsidRPr="00DF7CAE">
        <w:rPr>
          <w:rStyle w:val="Char3"/>
          <w:rFonts w:hint="eastAsia"/>
          <w:rtl/>
        </w:rPr>
        <w:t>ا</w:t>
      </w:r>
      <w:r w:rsidR="00685363" w:rsidRPr="00DF7CAE">
        <w:rPr>
          <w:rStyle w:val="Char3"/>
          <w:rtl/>
        </w:rPr>
        <w:t xml:space="preserve"> </w:t>
      </w:r>
      <w:r w:rsidR="00685363" w:rsidRPr="00DF7CAE">
        <w:rPr>
          <w:rStyle w:val="Char3"/>
          <w:rFonts w:hint="eastAsia"/>
          <w:rtl/>
        </w:rPr>
        <w:t>وَبِذِي</w:t>
      </w:r>
      <w:r w:rsidR="00685363" w:rsidRPr="00DF7CAE">
        <w:rPr>
          <w:rStyle w:val="Char3"/>
          <w:rtl/>
        </w:rPr>
        <w:t xml:space="preserve"> </w:t>
      </w:r>
      <w:r w:rsidR="00685363" w:rsidRPr="00DF7CAE">
        <w:rPr>
          <w:rStyle w:val="Char3"/>
          <w:rFonts w:hint="cs"/>
          <w:rtl/>
        </w:rPr>
        <w:t>ٱ</w:t>
      </w:r>
      <w:r w:rsidR="00685363" w:rsidRPr="00DF7CAE">
        <w:rPr>
          <w:rStyle w:val="Char3"/>
          <w:rFonts w:hint="eastAsia"/>
          <w:rtl/>
        </w:rPr>
        <w:t>ل</w:t>
      </w:r>
      <w:r w:rsidR="00685363" w:rsidRPr="00DF7CAE">
        <w:rPr>
          <w:rStyle w:val="Char3"/>
          <w:rFonts w:hint="cs"/>
          <w:rtl/>
        </w:rPr>
        <w:t>ۡ</w:t>
      </w:r>
      <w:r w:rsidR="00685363" w:rsidRPr="00DF7CAE">
        <w:rPr>
          <w:rStyle w:val="Char3"/>
          <w:rFonts w:hint="eastAsia"/>
          <w:rtl/>
        </w:rPr>
        <w:t>قُر</w:t>
      </w:r>
      <w:r w:rsidR="00685363" w:rsidRPr="00DF7CAE">
        <w:rPr>
          <w:rStyle w:val="Char3"/>
          <w:rFonts w:hint="cs"/>
          <w:rtl/>
        </w:rPr>
        <w:t>ۡ</w:t>
      </w:r>
      <w:r w:rsidR="00685363" w:rsidRPr="00DF7CAE">
        <w:rPr>
          <w:rStyle w:val="Char3"/>
          <w:rFonts w:hint="eastAsia"/>
          <w:rtl/>
        </w:rPr>
        <w:t>بَى</w:t>
      </w:r>
      <w:r w:rsidR="00685363" w:rsidRPr="00DF7CAE">
        <w:rPr>
          <w:rStyle w:val="Char3"/>
          <w:rFonts w:hint="cs"/>
          <w:rtl/>
        </w:rPr>
        <w:t>ٰ</w:t>
      </w:r>
      <w:r w:rsidR="00685363" w:rsidRPr="00DF7CAE">
        <w:rPr>
          <w:rStyle w:val="Char3"/>
          <w:rtl/>
        </w:rPr>
        <w:t xml:space="preserve"> </w:t>
      </w:r>
      <w:r w:rsidR="00685363" w:rsidRPr="00DF7CAE">
        <w:rPr>
          <w:rStyle w:val="Char3"/>
          <w:rFonts w:hint="eastAsia"/>
          <w:rtl/>
        </w:rPr>
        <w:t>وَ</w:t>
      </w:r>
      <w:r w:rsidR="00685363" w:rsidRPr="00DF7CAE">
        <w:rPr>
          <w:rStyle w:val="Char3"/>
          <w:rFonts w:hint="cs"/>
          <w:rtl/>
        </w:rPr>
        <w:t>ٱ</w:t>
      </w:r>
      <w:r w:rsidR="00685363" w:rsidRPr="00DF7CAE">
        <w:rPr>
          <w:rStyle w:val="Char3"/>
          <w:rFonts w:hint="eastAsia"/>
          <w:rtl/>
        </w:rPr>
        <w:t>ل</w:t>
      </w:r>
      <w:r w:rsidR="00685363" w:rsidRPr="00DF7CAE">
        <w:rPr>
          <w:rStyle w:val="Char3"/>
          <w:rFonts w:hint="cs"/>
          <w:rtl/>
        </w:rPr>
        <w:t>ۡ</w:t>
      </w:r>
      <w:r w:rsidR="00685363" w:rsidRPr="00DF7CAE">
        <w:rPr>
          <w:rStyle w:val="Char3"/>
          <w:rFonts w:hint="eastAsia"/>
          <w:rtl/>
        </w:rPr>
        <w:t>يَتَ</w:t>
      </w:r>
      <w:r w:rsidR="00685363" w:rsidRPr="00DF7CAE">
        <w:rPr>
          <w:rStyle w:val="Char3"/>
          <w:rFonts w:hint="cs"/>
          <w:rtl/>
        </w:rPr>
        <w:t>ٰ</w:t>
      </w:r>
      <w:r w:rsidR="00685363" w:rsidRPr="00DF7CAE">
        <w:rPr>
          <w:rStyle w:val="Char3"/>
          <w:rFonts w:hint="eastAsia"/>
          <w:rtl/>
        </w:rPr>
        <w:t>مَى</w:t>
      </w:r>
      <w:r w:rsidR="00685363" w:rsidRPr="00DF7CAE">
        <w:rPr>
          <w:rStyle w:val="Char3"/>
          <w:rFonts w:hint="cs"/>
          <w:rtl/>
        </w:rPr>
        <w:t>ٰ</w:t>
      </w:r>
      <w:r w:rsidR="00685363" w:rsidRPr="00DF7CAE">
        <w:rPr>
          <w:rStyle w:val="Char3"/>
          <w:rtl/>
        </w:rPr>
        <w:t xml:space="preserve"> </w:t>
      </w:r>
      <w:r w:rsidR="00685363" w:rsidRPr="00DF7CAE">
        <w:rPr>
          <w:rStyle w:val="Char3"/>
          <w:rFonts w:hint="eastAsia"/>
          <w:rtl/>
        </w:rPr>
        <w:t>وَ</w:t>
      </w:r>
      <w:r w:rsidR="00685363" w:rsidRPr="00DF7CAE">
        <w:rPr>
          <w:rStyle w:val="Char3"/>
          <w:rFonts w:hint="cs"/>
          <w:rtl/>
        </w:rPr>
        <w:t>ٱ</w:t>
      </w:r>
      <w:r w:rsidR="00685363" w:rsidRPr="00DF7CAE">
        <w:rPr>
          <w:rStyle w:val="Char3"/>
          <w:rFonts w:hint="eastAsia"/>
          <w:rtl/>
        </w:rPr>
        <w:t>ل</w:t>
      </w:r>
      <w:r w:rsidR="00685363" w:rsidRPr="00DF7CAE">
        <w:rPr>
          <w:rStyle w:val="Char3"/>
          <w:rFonts w:hint="cs"/>
          <w:rtl/>
        </w:rPr>
        <w:t>ۡ</w:t>
      </w:r>
      <w:r w:rsidR="00685363" w:rsidRPr="00DF7CAE">
        <w:rPr>
          <w:rStyle w:val="Char3"/>
          <w:rFonts w:hint="eastAsia"/>
          <w:rtl/>
        </w:rPr>
        <w:t>مَسَ</w:t>
      </w:r>
      <w:r w:rsidR="00685363" w:rsidRPr="00DF7CAE">
        <w:rPr>
          <w:rStyle w:val="Char3"/>
          <w:rFonts w:hint="cs"/>
          <w:rtl/>
        </w:rPr>
        <w:t>ٰ</w:t>
      </w:r>
      <w:r w:rsidR="00685363" w:rsidRPr="00DF7CAE">
        <w:rPr>
          <w:rStyle w:val="Char3"/>
          <w:rFonts w:hint="eastAsia"/>
          <w:rtl/>
        </w:rPr>
        <w:t>كِينِ</w:t>
      </w:r>
      <w:r w:rsidR="00685363" w:rsidRPr="00995B26">
        <w:rPr>
          <w:rFonts w:cs="KFGQPC Uthman Taha Naskh" w:hint="cs"/>
          <w:rtl/>
          <w:lang w:bidi="fa-IR"/>
        </w:rPr>
        <w:t>...</w:t>
      </w:r>
      <w:r w:rsidR="00685363" w:rsidRPr="00995B26">
        <w:rPr>
          <w:rFonts w:cs="Traditional Arabic"/>
          <w:rtl/>
          <w:lang w:bidi="fa-IR"/>
        </w:rPr>
        <w:t>﴾</w:t>
      </w:r>
      <w:r w:rsidRPr="00995B26">
        <w:rPr>
          <w:rFonts w:ascii="Abo-thar" w:hAnsi="Abo-thar" w:hint="cs"/>
          <w:sz w:val="28"/>
          <w:rtl/>
          <w:lang w:bidi="ar-SY"/>
        </w:rPr>
        <w:t xml:space="preserve"> </w:t>
      </w:r>
      <w:r w:rsidR="00685363" w:rsidRPr="00FC12FD">
        <w:rPr>
          <w:rStyle w:val="Char2"/>
          <w:rFonts w:hint="cs"/>
          <w:rtl/>
        </w:rPr>
        <w:t>[</w:t>
      </w:r>
      <w:r w:rsidRPr="00FC12FD">
        <w:rPr>
          <w:rStyle w:val="Char2"/>
          <w:rFonts w:hint="cs"/>
          <w:rtl/>
        </w:rPr>
        <w:t>النساء</w:t>
      </w:r>
      <w:r w:rsidR="00685363" w:rsidRPr="00FC12FD">
        <w:rPr>
          <w:rStyle w:val="Char2"/>
          <w:rFonts w:hint="cs"/>
          <w:rtl/>
        </w:rPr>
        <w:t xml:space="preserve">: </w:t>
      </w:r>
      <w:r w:rsidRPr="00FC12FD">
        <w:rPr>
          <w:rStyle w:val="Char2"/>
          <w:rFonts w:hint="cs"/>
          <w:rtl/>
        </w:rPr>
        <w:t>36</w:t>
      </w:r>
      <w:r w:rsidR="00685363" w:rsidRPr="00FC12FD">
        <w:rPr>
          <w:rStyle w:val="Char2"/>
          <w:rFonts w:hint="cs"/>
          <w:rtl/>
        </w:rPr>
        <w:t>]</w:t>
      </w:r>
      <w:r w:rsidR="00217AB4" w:rsidRPr="00995B26">
        <w:rPr>
          <w:rFonts w:ascii="Abo-thar" w:hAnsi="Abo-thar" w:hint="cs"/>
          <w:sz w:val="28"/>
          <w:rtl/>
          <w:lang w:bidi="ar-SY"/>
        </w:rPr>
        <w:t>.</w:t>
      </w:r>
    </w:p>
    <w:p w:rsidR="005C664D" w:rsidRPr="003F3B94" w:rsidRDefault="005C664D" w:rsidP="00445175">
      <w:pPr>
        <w:pStyle w:val="a0"/>
        <w:ind w:left="624" w:firstLine="0"/>
        <w:rPr>
          <w:rFonts w:hint="cs"/>
          <w:rtl/>
          <w:lang w:bidi="ar-SY"/>
        </w:rPr>
      </w:pPr>
      <w:r w:rsidRPr="003F3B94">
        <w:rPr>
          <w:rFonts w:ascii="Abo-thar" w:hAnsi="Abo-thar" w:hint="cs"/>
          <w:sz w:val="28"/>
          <w:rtl/>
          <w:lang w:bidi="ar-SY"/>
        </w:rPr>
        <w:t>هنا جاءت عبارة ذي القربى بصيغة الفرد تماماً مثلما جاءت في آية خمس الغنائم ومما لا شك فيه أنه لا يُقصد من القربى واليتامى والمساكين أولئك الذين هم من آل محمد فقط</w:t>
      </w:r>
      <w:r w:rsidR="00217AB4" w:rsidRPr="003F3B94">
        <w:rPr>
          <w:rFonts w:ascii="Abo-thar" w:hAnsi="Abo-thar" w:hint="cs"/>
          <w:sz w:val="28"/>
          <w:rtl/>
          <w:lang w:bidi="ar-SY"/>
        </w:rPr>
        <w:t>!.</w:t>
      </w:r>
      <w:r w:rsidRPr="003F3B94">
        <w:rPr>
          <w:rFonts w:ascii="Abo-thar" w:hAnsi="Abo-thar" w:hint="cs"/>
          <w:sz w:val="28"/>
          <w:rtl/>
          <w:lang w:bidi="ar-SY"/>
        </w:rPr>
        <w:t xml:space="preserve"> </w:t>
      </w:r>
    </w:p>
    <w:p w:rsidR="005C664D" w:rsidRPr="00995B26" w:rsidRDefault="005C664D" w:rsidP="00445175">
      <w:pPr>
        <w:pStyle w:val="a0"/>
        <w:ind w:left="624" w:hanging="340"/>
        <w:rPr>
          <w:rFonts w:hint="cs"/>
          <w:rtl/>
          <w:lang w:bidi="ar-SY"/>
        </w:rPr>
      </w:pPr>
      <w:r w:rsidRPr="003F3B94">
        <w:rPr>
          <w:rFonts w:ascii="Abo-thar" w:hAnsi="Abo-thar" w:hint="cs"/>
          <w:sz w:val="28"/>
          <w:rtl/>
          <w:lang w:bidi="ar-SY"/>
        </w:rPr>
        <w:t>د</w:t>
      </w:r>
      <w:r w:rsidR="00217AB4" w:rsidRPr="003F3B94">
        <w:rPr>
          <w:rFonts w:ascii="Abo-thar" w:hAnsi="Abo-thar" w:hint="cs"/>
          <w:sz w:val="28"/>
          <w:rtl/>
          <w:lang w:bidi="ar-SY"/>
        </w:rPr>
        <w:t>-</w:t>
      </w:r>
      <w:r w:rsidRPr="003F3B94">
        <w:rPr>
          <w:rFonts w:ascii="Abo-thar" w:hAnsi="Abo-thar" w:hint="cs"/>
          <w:sz w:val="28"/>
          <w:rtl/>
          <w:lang w:bidi="ar-SY"/>
        </w:rPr>
        <w:t xml:space="preserve"> وردت عبارة ذي القربى أيضاً في آيات الحكمة من سورة الإسراء التي بدأت من الآية 23 حتى 29 أي من قوله تعالى</w:t>
      </w:r>
      <w:r w:rsidR="00217AB4" w:rsidRPr="003F3B94">
        <w:rPr>
          <w:rFonts w:ascii="Abo-thar" w:hAnsi="Abo-thar" w:hint="cs"/>
          <w:sz w:val="28"/>
          <w:rtl/>
          <w:lang w:bidi="ar-SY"/>
        </w:rPr>
        <w:t>:</w:t>
      </w:r>
      <w:r w:rsidRPr="003F3B94">
        <w:rPr>
          <w:rFonts w:ascii="Abo-thar" w:hAnsi="Abo-thar" w:hint="cs"/>
          <w:sz w:val="28"/>
          <w:rtl/>
          <w:lang w:bidi="ar-SY"/>
        </w:rPr>
        <w:t xml:space="preserve"> </w:t>
      </w:r>
      <w:r w:rsidR="00685363" w:rsidRPr="00995B26">
        <w:rPr>
          <w:rFonts w:ascii="Abo-thar" w:hAnsi="Abo-thar" w:cs="Traditional Arabic" w:hint="cs"/>
          <w:sz w:val="28"/>
          <w:rtl/>
          <w:lang w:bidi="ar-SY"/>
        </w:rPr>
        <w:t>﴿</w:t>
      </w:r>
      <w:r w:rsidR="00685363" w:rsidRPr="00DF7CAE">
        <w:rPr>
          <w:rStyle w:val="Char3"/>
          <w:rFonts w:hint="eastAsia"/>
          <w:rtl/>
        </w:rPr>
        <w:t>وَقَضَى</w:t>
      </w:r>
      <w:r w:rsidR="00685363" w:rsidRPr="00DF7CAE">
        <w:rPr>
          <w:rStyle w:val="Char3"/>
          <w:rFonts w:hint="cs"/>
          <w:rtl/>
        </w:rPr>
        <w:t>ٰ</w:t>
      </w:r>
      <w:r w:rsidR="00685363" w:rsidRPr="00DF7CAE">
        <w:rPr>
          <w:rStyle w:val="Char3"/>
          <w:rtl/>
        </w:rPr>
        <w:t xml:space="preserve"> </w:t>
      </w:r>
      <w:r w:rsidR="00685363" w:rsidRPr="00DF7CAE">
        <w:rPr>
          <w:rStyle w:val="Char3"/>
          <w:rFonts w:hint="eastAsia"/>
          <w:rtl/>
        </w:rPr>
        <w:t>رَبُّكَ</w:t>
      </w:r>
      <w:r w:rsidR="00685363" w:rsidRPr="00DF7CAE">
        <w:rPr>
          <w:rStyle w:val="Char3"/>
          <w:rtl/>
        </w:rPr>
        <w:t xml:space="preserve"> </w:t>
      </w:r>
      <w:r w:rsidR="00685363" w:rsidRPr="00DF7CAE">
        <w:rPr>
          <w:rStyle w:val="Char3"/>
          <w:rFonts w:hint="eastAsia"/>
          <w:rtl/>
        </w:rPr>
        <w:t>أَلَّا</w:t>
      </w:r>
      <w:r w:rsidR="00685363" w:rsidRPr="00DF7CAE">
        <w:rPr>
          <w:rStyle w:val="Char3"/>
          <w:rtl/>
        </w:rPr>
        <w:t xml:space="preserve"> </w:t>
      </w:r>
      <w:r w:rsidR="00685363" w:rsidRPr="00DF7CAE">
        <w:rPr>
          <w:rStyle w:val="Char3"/>
          <w:rFonts w:hint="eastAsia"/>
          <w:rtl/>
        </w:rPr>
        <w:t>تَع</w:t>
      </w:r>
      <w:r w:rsidR="00685363" w:rsidRPr="00DF7CAE">
        <w:rPr>
          <w:rStyle w:val="Char3"/>
          <w:rFonts w:hint="cs"/>
          <w:rtl/>
        </w:rPr>
        <w:t>ۡ</w:t>
      </w:r>
      <w:r w:rsidR="00685363" w:rsidRPr="00DF7CAE">
        <w:rPr>
          <w:rStyle w:val="Char3"/>
          <w:rFonts w:hint="eastAsia"/>
          <w:rtl/>
        </w:rPr>
        <w:t>بُدُو</w:t>
      </w:r>
      <w:r w:rsidR="00685363" w:rsidRPr="00DF7CAE">
        <w:rPr>
          <w:rStyle w:val="Char3"/>
          <w:rFonts w:hint="cs"/>
          <w:rtl/>
        </w:rPr>
        <w:t>ٓ</w:t>
      </w:r>
      <w:r w:rsidR="00685363" w:rsidRPr="00DF7CAE">
        <w:rPr>
          <w:rStyle w:val="Char3"/>
          <w:rFonts w:hint="eastAsia"/>
          <w:rtl/>
        </w:rPr>
        <w:t>اْ</w:t>
      </w:r>
      <w:r w:rsidR="00685363" w:rsidRPr="00DF7CAE">
        <w:rPr>
          <w:rStyle w:val="Char3"/>
          <w:rtl/>
        </w:rPr>
        <w:t xml:space="preserve"> </w:t>
      </w:r>
      <w:r w:rsidR="00685363" w:rsidRPr="00DF7CAE">
        <w:rPr>
          <w:rStyle w:val="Char3"/>
          <w:rFonts w:hint="eastAsia"/>
          <w:rtl/>
        </w:rPr>
        <w:t>إِلَّا</w:t>
      </w:r>
      <w:r w:rsidR="00685363" w:rsidRPr="00DF7CAE">
        <w:rPr>
          <w:rStyle w:val="Char3"/>
          <w:rFonts w:hint="cs"/>
          <w:rtl/>
        </w:rPr>
        <w:t>ٓ</w:t>
      </w:r>
      <w:r w:rsidR="00685363" w:rsidRPr="00DF7CAE">
        <w:rPr>
          <w:rStyle w:val="Char3"/>
          <w:rtl/>
        </w:rPr>
        <w:t xml:space="preserve"> </w:t>
      </w:r>
      <w:r w:rsidR="00685363" w:rsidRPr="00DF7CAE">
        <w:rPr>
          <w:rStyle w:val="Char3"/>
          <w:rFonts w:hint="eastAsia"/>
          <w:rtl/>
        </w:rPr>
        <w:t>إِيَّاهُ</w:t>
      </w:r>
      <w:r w:rsidR="00685363" w:rsidRPr="00995B26">
        <w:rPr>
          <w:rFonts w:ascii="Abo-thar" w:hAnsi="Abo-thar" w:cs="Traditional Arabic" w:hint="cs"/>
          <w:sz w:val="28"/>
          <w:rtl/>
          <w:lang w:bidi="ar-SY"/>
        </w:rPr>
        <w:t>﴾</w:t>
      </w:r>
      <w:r w:rsidR="00685363" w:rsidRPr="00995B26">
        <w:rPr>
          <w:rFonts w:ascii="Abo-thar" w:hAnsi="Abo-thar" w:hint="cs"/>
          <w:sz w:val="28"/>
          <w:rtl/>
          <w:lang w:bidi="ar-SY"/>
        </w:rPr>
        <w:t xml:space="preserve"> </w:t>
      </w:r>
      <w:r w:rsidR="00685363" w:rsidRPr="00FC12FD">
        <w:rPr>
          <w:rStyle w:val="Char2"/>
          <w:rFonts w:hint="cs"/>
          <w:rtl/>
        </w:rPr>
        <w:t>[</w:t>
      </w:r>
      <w:r w:rsidRPr="00FC12FD">
        <w:rPr>
          <w:rStyle w:val="Char2"/>
          <w:rFonts w:hint="cs"/>
          <w:rtl/>
        </w:rPr>
        <w:t>الإسراء</w:t>
      </w:r>
      <w:r w:rsidR="00685363" w:rsidRPr="00FC12FD">
        <w:rPr>
          <w:rStyle w:val="Char2"/>
          <w:rFonts w:hint="cs"/>
          <w:rtl/>
        </w:rPr>
        <w:t xml:space="preserve">: </w:t>
      </w:r>
      <w:r w:rsidRPr="00FC12FD">
        <w:rPr>
          <w:rStyle w:val="Char2"/>
          <w:rFonts w:hint="cs"/>
          <w:rtl/>
        </w:rPr>
        <w:t>23</w:t>
      </w:r>
      <w:r w:rsidR="00685363" w:rsidRPr="00FC12FD">
        <w:rPr>
          <w:rStyle w:val="Char2"/>
          <w:rFonts w:hint="cs"/>
          <w:rtl/>
        </w:rPr>
        <w:t>]</w:t>
      </w:r>
      <w:r w:rsidR="00685363" w:rsidRPr="00995B26">
        <w:rPr>
          <w:rFonts w:ascii="Abo-thar" w:hAnsi="Abo-thar" w:hint="cs"/>
          <w:sz w:val="28"/>
          <w:rtl/>
          <w:lang w:bidi="ar-SY"/>
        </w:rPr>
        <w:t>.</w:t>
      </w:r>
      <w:r w:rsidRPr="00995B26">
        <w:rPr>
          <w:rFonts w:ascii="Abo-thar" w:hAnsi="Abo-thar" w:hint="cs"/>
          <w:sz w:val="28"/>
          <w:rtl/>
          <w:lang w:bidi="ar-SY"/>
        </w:rPr>
        <w:t xml:space="preserve"> مروراً بقوله تعالى</w:t>
      </w:r>
      <w:r w:rsidR="00217AB4" w:rsidRPr="00995B26">
        <w:rPr>
          <w:rFonts w:ascii="Abo-thar" w:hAnsi="Abo-thar" w:hint="cs"/>
          <w:sz w:val="28"/>
          <w:rtl/>
          <w:lang w:bidi="ar-SY"/>
        </w:rPr>
        <w:t>:</w:t>
      </w:r>
      <w:r w:rsidRPr="00995B26">
        <w:rPr>
          <w:rFonts w:ascii="Abo-thar" w:hAnsi="Abo-thar" w:hint="cs"/>
          <w:sz w:val="28"/>
          <w:rtl/>
          <w:lang w:bidi="ar-SY"/>
        </w:rPr>
        <w:t xml:space="preserve"> </w:t>
      </w:r>
      <w:r w:rsidR="00685363" w:rsidRPr="00995B26">
        <w:rPr>
          <w:rFonts w:ascii="Abo-thar" w:hAnsi="Abo-thar" w:cs="Traditional Arabic" w:hint="cs"/>
          <w:sz w:val="28"/>
          <w:rtl/>
          <w:lang w:bidi="ar-SY"/>
        </w:rPr>
        <w:t>﴿</w:t>
      </w:r>
      <w:r w:rsidR="00685363" w:rsidRPr="00DF7CAE">
        <w:rPr>
          <w:rStyle w:val="Char3"/>
          <w:rFonts w:hint="eastAsia"/>
          <w:rtl/>
        </w:rPr>
        <w:t>وَءَاتِ</w:t>
      </w:r>
      <w:r w:rsidR="00685363" w:rsidRPr="00DF7CAE">
        <w:rPr>
          <w:rStyle w:val="Char3"/>
          <w:rtl/>
        </w:rPr>
        <w:t xml:space="preserve"> </w:t>
      </w:r>
      <w:r w:rsidR="00685363" w:rsidRPr="00DF7CAE">
        <w:rPr>
          <w:rStyle w:val="Char3"/>
          <w:rFonts w:hint="eastAsia"/>
          <w:rtl/>
        </w:rPr>
        <w:t>ذَا</w:t>
      </w:r>
      <w:r w:rsidR="00685363" w:rsidRPr="00DF7CAE">
        <w:rPr>
          <w:rStyle w:val="Char3"/>
          <w:rtl/>
        </w:rPr>
        <w:t xml:space="preserve"> </w:t>
      </w:r>
      <w:r w:rsidR="00685363" w:rsidRPr="00DF7CAE">
        <w:rPr>
          <w:rStyle w:val="Char3"/>
          <w:rFonts w:hint="cs"/>
          <w:rtl/>
        </w:rPr>
        <w:t>ٱ</w:t>
      </w:r>
      <w:r w:rsidR="00685363" w:rsidRPr="00DF7CAE">
        <w:rPr>
          <w:rStyle w:val="Char3"/>
          <w:rFonts w:hint="eastAsia"/>
          <w:rtl/>
        </w:rPr>
        <w:t>ل</w:t>
      </w:r>
      <w:r w:rsidR="00685363" w:rsidRPr="00DF7CAE">
        <w:rPr>
          <w:rStyle w:val="Char3"/>
          <w:rFonts w:hint="cs"/>
          <w:rtl/>
        </w:rPr>
        <w:t>ۡ</w:t>
      </w:r>
      <w:r w:rsidR="00685363" w:rsidRPr="00DF7CAE">
        <w:rPr>
          <w:rStyle w:val="Char3"/>
          <w:rFonts w:hint="eastAsia"/>
          <w:rtl/>
        </w:rPr>
        <w:t>قُر</w:t>
      </w:r>
      <w:r w:rsidR="00685363" w:rsidRPr="00DF7CAE">
        <w:rPr>
          <w:rStyle w:val="Char3"/>
          <w:rFonts w:hint="cs"/>
          <w:rtl/>
        </w:rPr>
        <w:t>ۡ</w:t>
      </w:r>
      <w:r w:rsidR="00685363" w:rsidRPr="00DF7CAE">
        <w:rPr>
          <w:rStyle w:val="Char3"/>
          <w:rFonts w:hint="eastAsia"/>
          <w:rtl/>
        </w:rPr>
        <w:t>بَى</w:t>
      </w:r>
      <w:r w:rsidR="00685363" w:rsidRPr="00DF7CAE">
        <w:rPr>
          <w:rStyle w:val="Char3"/>
          <w:rFonts w:hint="cs"/>
          <w:rtl/>
        </w:rPr>
        <w:t>ٰ</w:t>
      </w:r>
      <w:r w:rsidR="00685363" w:rsidRPr="00DF7CAE">
        <w:rPr>
          <w:rStyle w:val="Char3"/>
          <w:rtl/>
        </w:rPr>
        <w:t xml:space="preserve"> </w:t>
      </w:r>
      <w:r w:rsidR="00685363" w:rsidRPr="00DF7CAE">
        <w:rPr>
          <w:rStyle w:val="Char3"/>
          <w:rFonts w:hint="eastAsia"/>
          <w:rtl/>
        </w:rPr>
        <w:t>حَقَّهُ</w:t>
      </w:r>
      <w:r w:rsidR="00685363" w:rsidRPr="00DF7CAE">
        <w:rPr>
          <w:rStyle w:val="Char3"/>
          <w:rFonts w:hint="cs"/>
          <w:rtl/>
        </w:rPr>
        <w:t>ۥ</w:t>
      </w:r>
      <w:r w:rsidR="00685363" w:rsidRPr="00DF7CAE">
        <w:rPr>
          <w:rStyle w:val="Char3"/>
          <w:rtl/>
        </w:rPr>
        <w:t xml:space="preserve"> </w:t>
      </w:r>
      <w:r w:rsidR="00685363" w:rsidRPr="00DF7CAE">
        <w:rPr>
          <w:rStyle w:val="Char3"/>
          <w:rFonts w:hint="eastAsia"/>
          <w:rtl/>
        </w:rPr>
        <w:t>وَ</w:t>
      </w:r>
      <w:r w:rsidR="00685363" w:rsidRPr="00DF7CAE">
        <w:rPr>
          <w:rStyle w:val="Char3"/>
          <w:rFonts w:hint="cs"/>
          <w:rtl/>
        </w:rPr>
        <w:t>ٱ</w:t>
      </w:r>
      <w:r w:rsidR="00685363" w:rsidRPr="00DF7CAE">
        <w:rPr>
          <w:rStyle w:val="Char3"/>
          <w:rFonts w:hint="eastAsia"/>
          <w:rtl/>
        </w:rPr>
        <w:t>ل</w:t>
      </w:r>
      <w:r w:rsidR="00685363" w:rsidRPr="00DF7CAE">
        <w:rPr>
          <w:rStyle w:val="Char3"/>
          <w:rFonts w:hint="cs"/>
          <w:rtl/>
        </w:rPr>
        <w:t>ۡ</w:t>
      </w:r>
      <w:r w:rsidR="00685363" w:rsidRPr="00DF7CAE">
        <w:rPr>
          <w:rStyle w:val="Char3"/>
          <w:rFonts w:hint="eastAsia"/>
          <w:rtl/>
        </w:rPr>
        <w:t>مِس</w:t>
      </w:r>
      <w:r w:rsidR="00685363" w:rsidRPr="00DF7CAE">
        <w:rPr>
          <w:rStyle w:val="Char3"/>
          <w:rFonts w:hint="cs"/>
          <w:rtl/>
        </w:rPr>
        <w:t>ۡ</w:t>
      </w:r>
      <w:r w:rsidR="00685363" w:rsidRPr="00DF7CAE">
        <w:rPr>
          <w:rStyle w:val="Char3"/>
          <w:rFonts w:hint="eastAsia"/>
          <w:rtl/>
        </w:rPr>
        <w:t>كِينَ</w:t>
      </w:r>
      <w:r w:rsidR="00685363" w:rsidRPr="00DF7CAE">
        <w:rPr>
          <w:rStyle w:val="Char3"/>
          <w:rtl/>
        </w:rPr>
        <w:t xml:space="preserve"> </w:t>
      </w:r>
      <w:r w:rsidR="00685363" w:rsidRPr="00DF7CAE">
        <w:rPr>
          <w:rStyle w:val="Char3"/>
          <w:rFonts w:hint="eastAsia"/>
          <w:rtl/>
        </w:rPr>
        <w:t>وَ</w:t>
      </w:r>
      <w:r w:rsidR="00685363" w:rsidRPr="00DF7CAE">
        <w:rPr>
          <w:rStyle w:val="Char3"/>
          <w:rFonts w:hint="cs"/>
          <w:rtl/>
        </w:rPr>
        <w:t>ٱ</w:t>
      </w:r>
      <w:r w:rsidR="00685363" w:rsidRPr="00DF7CAE">
        <w:rPr>
          <w:rStyle w:val="Char3"/>
          <w:rFonts w:hint="eastAsia"/>
          <w:rtl/>
        </w:rPr>
        <w:t>ب</w:t>
      </w:r>
      <w:r w:rsidR="00685363" w:rsidRPr="00DF7CAE">
        <w:rPr>
          <w:rStyle w:val="Char3"/>
          <w:rFonts w:hint="cs"/>
          <w:rtl/>
        </w:rPr>
        <w:t>ۡ</w:t>
      </w:r>
      <w:r w:rsidR="00685363" w:rsidRPr="00DF7CAE">
        <w:rPr>
          <w:rStyle w:val="Char3"/>
          <w:rFonts w:hint="eastAsia"/>
          <w:rtl/>
        </w:rPr>
        <w:t>نَ</w:t>
      </w:r>
      <w:r w:rsidR="00685363" w:rsidRPr="00DF7CAE">
        <w:rPr>
          <w:rStyle w:val="Char3"/>
          <w:rtl/>
        </w:rPr>
        <w:t xml:space="preserve"> </w:t>
      </w:r>
      <w:r w:rsidR="00685363" w:rsidRPr="00DF7CAE">
        <w:rPr>
          <w:rStyle w:val="Char3"/>
          <w:rFonts w:hint="cs"/>
          <w:rtl/>
        </w:rPr>
        <w:t>ٱ</w:t>
      </w:r>
      <w:r w:rsidR="00685363" w:rsidRPr="00DF7CAE">
        <w:rPr>
          <w:rStyle w:val="Char3"/>
          <w:rFonts w:hint="eastAsia"/>
          <w:rtl/>
        </w:rPr>
        <w:t>لسَّبِيلِ</w:t>
      </w:r>
      <w:r w:rsidR="00685363" w:rsidRPr="00DF7CAE">
        <w:rPr>
          <w:rStyle w:val="Char3"/>
          <w:rtl/>
        </w:rPr>
        <w:t xml:space="preserve"> </w:t>
      </w:r>
      <w:r w:rsidR="00685363" w:rsidRPr="00DF7CAE">
        <w:rPr>
          <w:rStyle w:val="Char3"/>
          <w:rFonts w:hint="eastAsia"/>
          <w:rtl/>
        </w:rPr>
        <w:t>وَلَا</w:t>
      </w:r>
      <w:r w:rsidR="00685363" w:rsidRPr="00DF7CAE">
        <w:rPr>
          <w:rStyle w:val="Char3"/>
          <w:rtl/>
        </w:rPr>
        <w:t xml:space="preserve"> </w:t>
      </w:r>
      <w:r w:rsidR="00685363" w:rsidRPr="00DF7CAE">
        <w:rPr>
          <w:rStyle w:val="Char3"/>
          <w:rFonts w:hint="eastAsia"/>
          <w:rtl/>
        </w:rPr>
        <w:t>تُبَذِّر</w:t>
      </w:r>
      <w:r w:rsidR="00685363" w:rsidRPr="00DF7CAE">
        <w:rPr>
          <w:rStyle w:val="Char3"/>
          <w:rFonts w:hint="cs"/>
          <w:rtl/>
        </w:rPr>
        <w:t>ۡ</w:t>
      </w:r>
      <w:r w:rsidR="00685363" w:rsidRPr="00DF7CAE">
        <w:rPr>
          <w:rStyle w:val="Char3"/>
          <w:rtl/>
        </w:rPr>
        <w:t xml:space="preserve"> </w:t>
      </w:r>
      <w:r w:rsidR="00685363" w:rsidRPr="00DF7CAE">
        <w:rPr>
          <w:rStyle w:val="Char3"/>
          <w:rFonts w:hint="eastAsia"/>
          <w:rtl/>
        </w:rPr>
        <w:t>تَب</w:t>
      </w:r>
      <w:r w:rsidR="00685363" w:rsidRPr="00DF7CAE">
        <w:rPr>
          <w:rStyle w:val="Char3"/>
          <w:rFonts w:hint="cs"/>
          <w:rtl/>
        </w:rPr>
        <w:t>ۡ</w:t>
      </w:r>
      <w:r w:rsidR="00685363" w:rsidRPr="00DF7CAE">
        <w:rPr>
          <w:rStyle w:val="Char3"/>
          <w:rFonts w:hint="eastAsia"/>
          <w:rtl/>
        </w:rPr>
        <w:t>ذِيرًا</w:t>
      </w:r>
      <w:r w:rsidR="00685363" w:rsidRPr="00DF7CAE">
        <w:rPr>
          <w:rStyle w:val="Char3"/>
          <w:rtl/>
        </w:rPr>
        <w:t xml:space="preserve"> </w:t>
      </w:r>
      <w:r w:rsidR="00685363" w:rsidRPr="00DF7CAE">
        <w:rPr>
          <w:rStyle w:val="Char3"/>
          <w:rFonts w:hint="cs"/>
          <w:rtl/>
        </w:rPr>
        <w:t>٢٦</w:t>
      </w:r>
      <w:r w:rsidR="00685363" w:rsidRPr="00995B26">
        <w:rPr>
          <w:rFonts w:ascii="Abo-thar" w:hAnsi="Abo-thar" w:cs="Traditional Arabic" w:hint="cs"/>
          <w:sz w:val="28"/>
          <w:rtl/>
          <w:lang w:bidi="ar-SY"/>
        </w:rPr>
        <w:t>﴾</w:t>
      </w:r>
      <w:r w:rsidR="00685363" w:rsidRPr="00995B26">
        <w:rPr>
          <w:rFonts w:ascii="Abo-thar" w:hAnsi="Abo-thar" w:hint="cs"/>
          <w:sz w:val="28"/>
          <w:rtl/>
          <w:lang w:bidi="ar-SY"/>
        </w:rPr>
        <w:t xml:space="preserve"> </w:t>
      </w:r>
      <w:r w:rsidR="00685363" w:rsidRPr="00FC12FD">
        <w:rPr>
          <w:rStyle w:val="Char2"/>
          <w:rFonts w:hint="cs"/>
          <w:rtl/>
        </w:rPr>
        <w:t>[</w:t>
      </w:r>
      <w:r w:rsidRPr="00FC12FD">
        <w:rPr>
          <w:rStyle w:val="Char2"/>
          <w:rFonts w:hint="cs"/>
          <w:rtl/>
        </w:rPr>
        <w:t>الإسراء</w:t>
      </w:r>
      <w:r w:rsidR="00685363" w:rsidRPr="00FC12FD">
        <w:rPr>
          <w:rStyle w:val="Char2"/>
          <w:rFonts w:hint="cs"/>
          <w:rtl/>
        </w:rPr>
        <w:t xml:space="preserve">: </w:t>
      </w:r>
      <w:r w:rsidRPr="00FC12FD">
        <w:rPr>
          <w:rStyle w:val="Char2"/>
          <w:rFonts w:hint="cs"/>
          <w:rtl/>
        </w:rPr>
        <w:t>26</w:t>
      </w:r>
      <w:r w:rsidR="00685363" w:rsidRPr="00FC12FD">
        <w:rPr>
          <w:rStyle w:val="Char2"/>
          <w:rFonts w:hint="cs"/>
          <w:rtl/>
        </w:rPr>
        <w:t>]</w:t>
      </w:r>
      <w:r w:rsidR="00217AB4" w:rsidRPr="00995B26">
        <w:rPr>
          <w:rFonts w:ascii="Abo-thar" w:hAnsi="Abo-thar" w:hint="cs"/>
          <w:sz w:val="28"/>
          <w:rtl/>
          <w:lang w:bidi="ar-SY"/>
        </w:rPr>
        <w:t>.</w:t>
      </w:r>
    </w:p>
    <w:p w:rsidR="005C664D" w:rsidRPr="00995B26" w:rsidRDefault="005C664D" w:rsidP="00445175">
      <w:pPr>
        <w:pStyle w:val="a0"/>
        <w:ind w:left="624" w:hanging="340"/>
        <w:rPr>
          <w:rFonts w:hint="cs"/>
          <w:rtl/>
          <w:lang w:bidi="ar-SY"/>
        </w:rPr>
      </w:pPr>
      <w:r w:rsidRPr="003F3B94">
        <w:rPr>
          <w:rFonts w:ascii="Abo-thar" w:hAnsi="Abo-thar" w:hint="cs"/>
          <w:sz w:val="28"/>
          <w:rtl/>
          <w:lang w:bidi="ar-SY"/>
        </w:rPr>
        <w:t>هـ</w:t>
      </w:r>
      <w:r w:rsidR="00217AB4" w:rsidRPr="003F3B94">
        <w:rPr>
          <w:rFonts w:ascii="Abo-thar" w:hAnsi="Abo-thar" w:hint="cs"/>
          <w:sz w:val="28"/>
          <w:rtl/>
          <w:lang w:bidi="ar-SY"/>
        </w:rPr>
        <w:t>-</w:t>
      </w:r>
      <w:r w:rsidRPr="003F3B94">
        <w:rPr>
          <w:rFonts w:ascii="Abo-thar" w:hAnsi="Abo-thar" w:hint="cs"/>
          <w:sz w:val="28"/>
          <w:rtl/>
          <w:lang w:bidi="ar-SY"/>
        </w:rPr>
        <w:t xml:space="preserve"> وفي سورة الروم</w:t>
      </w:r>
      <w:r w:rsidR="00217AB4" w:rsidRPr="003F3B94">
        <w:rPr>
          <w:rFonts w:ascii="Abo-thar" w:hAnsi="Abo-thar" w:hint="cs"/>
          <w:sz w:val="28"/>
          <w:rtl/>
          <w:lang w:bidi="ar-SY"/>
        </w:rPr>
        <w:t>:</w:t>
      </w:r>
      <w:r w:rsidR="00685363" w:rsidRPr="003F3B94">
        <w:rPr>
          <w:rFonts w:ascii="Abo-thar" w:hAnsi="Abo-thar" w:hint="cs"/>
          <w:sz w:val="28"/>
          <w:rtl/>
          <w:lang w:bidi="ar-SY"/>
        </w:rPr>
        <w:t xml:space="preserve"> </w:t>
      </w:r>
      <w:r w:rsidR="00685363" w:rsidRPr="00995B26">
        <w:rPr>
          <w:rFonts w:ascii="Abo-thar" w:hAnsi="Abo-thar" w:cs="Traditional Arabic" w:hint="cs"/>
          <w:sz w:val="28"/>
          <w:rtl/>
          <w:lang w:bidi="ar-SY"/>
        </w:rPr>
        <w:t>﴿</w:t>
      </w:r>
      <w:r w:rsidR="00685363" w:rsidRPr="00DF7CAE">
        <w:rPr>
          <w:rStyle w:val="Char3"/>
          <w:rFonts w:hint="eastAsia"/>
          <w:rtl/>
        </w:rPr>
        <w:t>فَ‍</w:t>
      </w:r>
      <w:r w:rsidR="00685363" w:rsidRPr="00DF7CAE">
        <w:rPr>
          <w:rStyle w:val="Char3"/>
          <w:rFonts w:hint="cs"/>
          <w:rtl/>
        </w:rPr>
        <w:t>ٔ</w:t>
      </w:r>
      <w:r w:rsidR="00685363" w:rsidRPr="00DF7CAE">
        <w:rPr>
          <w:rStyle w:val="Char3"/>
          <w:rFonts w:hint="eastAsia"/>
          <w:rtl/>
        </w:rPr>
        <w:t>َاتِ</w:t>
      </w:r>
      <w:r w:rsidR="00685363" w:rsidRPr="00DF7CAE">
        <w:rPr>
          <w:rStyle w:val="Char3"/>
          <w:rtl/>
        </w:rPr>
        <w:t xml:space="preserve"> </w:t>
      </w:r>
      <w:r w:rsidR="00685363" w:rsidRPr="00DF7CAE">
        <w:rPr>
          <w:rStyle w:val="Char3"/>
          <w:rFonts w:hint="eastAsia"/>
          <w:rtl/>
        </w:rPr>
        <w:t>ذَا</w:t>
      </w:r>
      <w:r w:rsidR="00685363" w:rsidRPr="00DF7CAE">
        <w:rPr>
          <w:rStyle w:val="Char3"/>
          <w:rtl/>
        </w:rPr>
        <w:t xml:space="preserve"> </w:t>
      </w:r>
      <w:r w:rsidR="00685363" w:rsidRPr="00DF7CAE">
        <w:rPr>
          <w:rStyle w:val="Char3"/>
          <w:rFonts w:hint="cs"/>
          <w:rtl/>
        </w:rPr>
        <w:t>ٱ</w:t>
      </w:r>
      <w:r w:rsidR="00685363" w:rsidRPr="00DF7CAE">
        <w:rPr>
          <w:rStyle w:val="Char3"/>
          <w:rFonts w:hint="eastAsia"/>
          <w:rtl/>
        </w:rPr>
        <w:t>ل</w:t>
      </w:r>
      <w:r w:rsidR="00685363" w:rsidRPr="00DF7CAE">
        <w:rPr>
          <w:rStyle w:val="Char3"/>
          <w:rFonts w:hint="cs"/>
          <w:rtl/>
        </w:rPr>
        <w:t>ۡ</w:t>
      </w:r>
      <w:r w:rsidR="00685363" w:rsidRPr="00DF7CAE">
        <w:rPr>
          <w:rStyle w:val="Char3"/>
          <w:rFonts w:hint="eastAsia"/>
          <w:rtl/>
        </w:rPr>
        <w:t>قُر</w:t>
      </w:r>
      <w:r w:rsidR="00685363" w:rsidRPr="00DF7CAE">
        <w:rPr>
          <w:rStyle w:val="Char3"/>
          <w:rFonts w:hint="cs"/>
          <w:rtl/>
        </w:rPr>
        <w:t>ۡ</w:t>
      </w:r>
      <w:r w:rsidR="00685363" w:rsidRPr="00DF7CAE">
        <w:rPr>
          <w:rStyle w:val="Char3"/>
          <w:rFonts w:hint="eastAsia"/>
          <w:rtl/>
        </w:rPr>
        <w:t>بَى</w:t>
      </w:r>
      <w:r w:rsidR="00685363" w:rsidRPr="00DF7CAE">
        <w:rPr>
          <w:rStyle w:val="Char3"/>
          <w:rFonts w:hint="cs"/>
          <w:rtl/>
        </w:rPr>
        <w:t>ٰ</w:t>
      </w:r>
      <w:r w:rsidR="00685363" w:rsidRPr="00DF7CAE">
        <w:rPr>
          <w:rStyle w:val="Char3"/>
          <w:rtl/>
        </w:rPr>
        <w:t xml:space="preserve"> </w:t>
      </w:r>
      <w:r w:rsidR="00685363" w:rsidRPr="00DF7CAE">
        <w:rPr>
          <w:rStyle w:val="Char3"/>
          <w:rFonts w:hint="eastAsia"/>
          <w:rtl/>
        </w:rPr>
        <w:t>حَقَّهُ</w:t>
      </w:r>
      <w:r w:rsidR="00685363" w:rsidRPr="00DF7CAE">
        <w:rPr>
          <w:rStyle w:val="Char3"/>
          <w:rFonts w:hint="cs"/>
          <w:rtl/>
        </w:rPr>
        <w:t>ۥ</w:t>
      </w:r>
      <w:r w:rsidR="00685363" w:rsidRPr="00DF7CAE">
        <w:rPr>
          <w:rStyle w:val="Char3"/>
          <w:rtl/>
        </w:rPr>
        <w:t xml:space="preserve"> </w:t>
      </w:r>
      <w:r w:rsidR="00685363" w:rsidRPr="00DF7CAE">
        <w:rPr>
          <w:rStyle w:val="Char3"/>
          <w:rFonts w:hint="eastAsia"/>
          <w:rtl/>
        </w:rPr>
        <w:t>وَ</w:t>
      </w:r>
      <w:r w:rsidR="00685363" w:rsidRPr="00DF7CAE">
        <w:rPr>
          <w:rStyle w:val="Char3"/>
          <w:rFonts w:hint="cs"/>
          <w:rtl/>
        </w:rPr>
        <w:t>ٱ</w:t>
      </w:r>
      <w:r w:rsidR="00685363" w:rsidRPr="00DF7CAE">
        <w:rPr>
          <w:rStyle w:val="Char3"/>
          <w:rFonts w:hint="eastAsia"/>
          <w:rtl/>
        </w:rPr>
        <w:t>ل</w:t>
      </w:r>
      <w:r w:rsidR="00685363" w:rsidRPr="00DF7CAE">
        <w:rPr>
          <w:rStyle w:val="Char3"/>
          <w:rFonts w:hint="cs"/>
          <w:rtl/>
        </w:rPr>
        <w:t>ۡ</w:t>
      </w:r>
      <w:r w:rsidR="00685363" w:rsidRPr="00DF7CAE">
        <w:rPr>
          <w:rStyle w:val="Char3"/>
          <w:rFonts w:hint="eastAsia"/>
          <w:rtl/>
        </w:rPr>
        <w:t>مِس</w:t>
      </w:r>
      <w:r w:rsidR="00685363" w:rsidRPr="00DF7CAE">
        <w:rPr>
          <w:rStyle w:val="Char3"/>
          <w:rFonts w:hint="cs"/>
          <w:rtl/>
        </w:rPr>
        <w:t>ۡ</w:t>
      </w:r>
      <w:r w:rsidR="00685363" w:rsidRPr="00DF7CAE">
        <w:rPr>
          <w:rStyle w:val="Char3"/>
          <w:rFonts w:hint="eastAsia"/>
          <w:rtl/>
        </w:rPr>
        <w:t>كِينَ</w:t>
      </w:r>
      <w:r w:rsidR="00685363" w:rsidRPr="00DF7CAE">
        <w:rPr>
          <w:rStyle w:val="Char3"/>
          <w:rtl/>
        </w:rPr>
        <w:t xml:space="preserve"> </w:t>
      </w:r>
      <w:r w:rsidR="00685363" w:rsidRPr="00DF7CAE">
        <w:rPr>
          <w:rStyle w:val="Char3"/>
          <w:rFonts w:hint="eastAsia"/>
          <w:rtl/>
        </w:rPr>
        <w:t>وَ</w:t>
      </w:r>
      <w:r w:rsidR="00685363" w:rsidRPr="00DF7CAE">
        <w:rPr>
          <w:rStyle w:val="Char3"/>
          <w:rFonts w:hint="cs"/>
          <w:rtl/>
        </w:rPr>
        <w:t>ٱ</w:t>
      </w:r>
      <w:r w:rsidR="00685363" w:rsidRPr="00DF7CAE">
        <w:rPr>
          <w:rStyle w:val="Char3"/>
          <w:rFonts w:hint="eastAsia"/>
          <w:rtl/>
        </w:rPr>
        <w:t>ب</w:t>
      </w:r>
      <w:r w:rsidR="00685363" w:rsidRPr="00DF7CAE">
        <w:rPr>
          <w:rStyle w:val="Char3"/>
          <w:rFonts w:hint="cs"/>
          <w:rtl/>
        </w:rPr>
        <w:t>ۡ</w:t>
      </w:r>
      <w:r w:rsidR="00685363" w:rsidRPr="00DF7CAE">
        <w:rPr>
          <w:rStyle w:val="Char3"/>
          <w:rFonts w:hint="eastAsia"/>
          <w:rtl/>
        </w:rPr>
        <w:t>نَ</w:t>
      </w:r>
      <w:r w:rsidR="00685363" w:rsidRPr="00DF7CAE">
        <w:rPr>
          <w:rStyle w:val="Char3"/>
          <w:rtl/>
        </w:rPr>
        <w:t xml:space="preserve"> </w:t>
      </w:r>
      <w:r w:rsidR="00685363" w:rsidRPr="00DF7CAE">
        <w:rPr>
          <w:rStyle w:val="Char3"/>
          <w:rFonts w:hint="cs"/>
          <w:rtl/>
        </w:rPr>
        <w:t>ٱ</w:t>
      </w:r>
      <w:r w:rsidR="00685363" w:rsidRPr="00DF7CAE">
        <w:rPr>
          <w:rStyle w:val="Char3"/>
          <w:rFonts w:hint="eastAsia"/>
          <w:rtl/>
        </w:rPr>
        <w:t>لسَّبِيلِ</w:t>
      </w:r>
      <w:r w:rsidR="00685363" w:rsidRPr="00995B26">
        <w:rPr>
          <w:rFonts w:ascii="KFGQPC Uthmanic Script HAFS" w:cs="Times New Roman" w:hint="cs"/>
          <w:sz w:val="28"/>
          <w:rtl/>
        </w:rPr>
        <w:t>...</w:t>
      </w:r>
      <w:r w:rsidR="00685363" w:rsidRPr="00995B26">
        <w:rPr>
          <w:rFonts w:ascii="Abo-thar" w:hAnsi="Abo-thar" w:cs="Traditional Arabic" w:hint="cs"/>
          <w:sz w:val="28"/>
          <w:rtl/>
          <w:lang w:bidi="ar-SY"/>
        </w:rPr>
        <w:t>﴾</w:t>
      </w:r>
      <w:r w:rsidRPr="00995B26">
        <w:rPr>
          <w:rFonts w:ascii="Abo-thar" w:hAnsi="Abo-thar" w:hint="cs"/>
          <w:sz w:val="28"/>
          <w:rtl/>
          <w:lang w:bidi="ar-SY"/>
        </w:rPr>
        <w:t xml:space="preserve"> </w:t>
      </w:r>
      <w:r w:rsidR="00685363" w:rsidRPr="00FC12FD">
        <w:rPr>
          <w:rStyle w:val="Char2"/>
          <w:rFonts w:hint="cs"/>
          <w:rtl/>
        </w:rPr>
        <w:t>[</w:t>
      </w:r>
      <w:r w:rsidRPr="00FC12FD">
        <w:rPr>
          <w:rStyle w:val="Char2"/>
          <w:rFonts w:hint="cs"/>
          <w:rtl/>
        </w:rPr>
        <w:t>الروم</w:t>
      </w:r>
      <w:r w:rsidR="00685363" w:rsidRPr="00FC12FD">
        <w:rPr>
          <w:rStyle w:val="Char2"/>
          <w:rFonts w:hint="cs"/>
          <w:rtl/>
        </w:rPr>
        <w:t xml:space="preserve">: </w:t>
      </w:r>
      <w:r w:rsidRPr="00FC12FD">
        <w:rPr>
          <w:rStyle w:val="Char2"/>
          <w:rFonts w:hint="cs"/>
          <w:rtl/>
        </w:rPr>
        <w:t>38</w:t>
      </w:r>
      <w:r w:rsidR="00685363" w:rsidRPr="00FC12FD">
        <w:rPr>
          <w:rStyle w:val="Char2"/>
          <w:rFonts w:hint="cs"/>
          <w:rtl/>
        </w:rPr>
        <w:t>]</w:t>
      </w:r>
      <w:r w:rsidR="00217AB4" w:rsidRPr="00995B26">
        <w:rPr>
          <w:rFonts w:ascii="Abo-thar" w:hAnsi="Abo-thar" w:hint="cs"/>
          <w:sz w:val="28"/>
          <w:rtl/>
          <w:lang w:bidi="ar-SY"/>
        </w:rPr>
        <w:t>.</w:t>
      </w:r>
    </w:p>
    <w:p w:rsidR="005C664D" w:rsidRPr="00995B26" w:rsidRDefault="005C664D" w:rsidP="00445175">
      <w:pPr>
        <w:pStyle w:val="a0"/>
        <w:ind w:left="624" w:hanging="340"/>
        <w:rPr>
          <w:rFonts w:hint="cs"/>
          <w:rtl/>
          <w:lang w:bidi="ar-SY"/>
        </w:rPr>
      </w:pPr>
      <w:r w:rsidRPr="003F3B94">
        <w:rPr>
          <w:rFonts w:ascii="Abo-thar" w:hAnsi="Abo-thar" w:hint="cs"/>
          <w:sz w:val="28"/>
          <w:rtl/>
          <w:lang w:bidi="ar-SY"/>
        </w:rPr>
        <w:t>و</w:t>
      </w:r>
      <w:r w:rsidR="00217AB4" w:rsidRPr="003F3B94">
        <w:rPr>
          <w:rFonts w:ascii="Abo-thar" w:hAnsi="Abo-thar" w:hint="cs"/>
          <w:sz w:val="28"/>
          <w:rtl/>
          <w:lang w:bidi="ar-SY"/>
        </w:rPr>
        <w:t>-</w:t>
      </w:r>
      <w:r w:rsidRPr="003F3B94">
        <w:rPr>
          <w:rFonts w:ascii="Abo-thar" w:hAnsi="Abo-thar" w:hint="cs"/>
          <w:sz w:val="28"/>
          <w:rtl/>
          <w:lang w:bidi="ar-SY"/>
        </w:rPr>
        <w:t xml:space="preserve"> وفي الآية 8 من سورة النساء نجد كلمة </w:t>
      </w:r>
      <w:r w:rsidRPr="003F3B94">
        <w:rPr>
          <w:rFonts w:ascii="Abo-thar" w:hAnsi="Abo-thar" w:hint="eastAsia"/>
          <w:sz w:val="28"/>
          <w:rtl/>
          <w:lang w:bidi="ar-SY"/>
        </w:rPr>
        <w:t>«</w:t>
      </w:r>
      <w:r w:rsidRPr="003F3B94">
        <w:rPr>
          <w:rFonts w:ascii="Abo-thar" w:hAnsi="Abo-thar" w:hint="cs"/>
          <w:sz w:val="28"/>
          <w:rtl/>
          <w:lang w:bidi="ar-SY"/>
        </w:rPr>
        <w:t>أولو القربى</w:t>
      </w:r>
      <w:r w:rsidRPr="003F3B94">
        <w:rPr>
          <w:rFonts w:ascii="Abo-thar" w:hAnsi="Abo-thar" w:hint="eastAsia"/>
          <w:sz w:val="28"/>
          <w:rtl/>
          <w:lang w:bidi="ar-SY"/>
        </w:rPr>
        <w:t>»</w:t>
      </w:r>
      <w:r w:rsidRPr="003F3B94">
        <w:rPr>
          <w:rFonts w:ascii="Abo-thar" w:hAnsi="Abo-thar" w:hint="cs"/>
          <w:sz w:val="28"/>
          <w:rtl/>
          <w:lang w:bidi="ar-SY"/>
        </w:rPr>
        <w:t xml:space="preserve"> بدلاً من </w:t>
      </w:r>
      <w:r w:rsidRPr="003F3B94">
        <w:rPr>
          <w:rFonts w:ascii="Abo-thar" w:hAnsi="Abo-thar" w:hint="eastAsia"/>
          <w:sz w:val="28"/>
          <w:rtl/>
          <w:lang w:bidi="ar-SY"/>
        </w:rPr>
        <w:t>«</w:t>
      </w:r>
      <w:r w:rsidRPr="003F3B94">
        <w:rPr>
          <w:rFonts w:ascii="Abo-thar" w:hAnsi="Abo-thar" w:hint="cs"/>
          <w:sz w:val="28"/>
          <w:rtl/>
          <w:lang w:bidi="ar-SY"/>
        </w:rPr>
        <w:t>ذي القربى</w:t>
      </w:r>
      <w:r w:rsidRPr="003F3B94">
        <w:rPr>
          <w:rFonts w:ascii="Abo-thar" w:hAnsi="Abo-thar" w:hint="eastAsia"/>
          <w:sz w:val="28"/>
          <w:rtl/>
          <w:lang w:bidi="ar-SY"/>
        </w:rPr>
        <w:t>»</w:t>
      </w:r>
      <w:r w:rsidRPr="003F3B94">
        <w:rPr>
          <w:rFonts w:ascii="Abo-thar" w:hAnsi="Abo-thar" w:hint="cs"/>
          <w:sz w:val="28"/>
          <w:rtl/>
          <w:lang w:bidi="ar-SY"/>
        </w:rPr>
        <w:t xml:space="preserve"> حيث يقول سبحانه</w:t>
      </w:r>
      <w:r w:rsidR="00217AB4" w:rsidRPr="003F3B94">
        <w:rPr>
          <w:rFonts w:ascii="Abo-thar" w:hAnsi="Abo-thar" w:hint="cs"/>
          <w:sz w:val="28"/>
          <w:rtl/>
          <w:lang w:bidi="ar-SY"/>
        </w:rPr>
        <w:t>:</w:t>
      </w:r>
      <w:r w:rsidR="00685363" w:rsidRPr="003F3B94">
        <w:rPr>
          <w:rFonts w:ascii="Abo-thar" w:hAnsi="Abo-thar" w:hint="cs"/>
          <w:sz w:val="28"/>
          <w:rtl/>
          <w:lang w:bidi="ar-SY"/>
        </w:rPr>
        <w:t xml:space="preserve"> </w:t>
      </w:r>
      <w:r w:rsidR="00685363" w:rsidRPr="00995B26">
        <w:rPr>
          <w:rFonts w:ascii="Abo-thar" w:hAnsi="Abo-thar" w:cs="Traditional Arabic" w:hint="cs"/>
          <w:sz w:val="28"/>
          <w:rtl/>
          <w:lang w:bidi="ar-SY"/>
        </w:rPr>
        <w:t>﴿</w:t>
      </w:r>
      <w:r w:rsidR="00685363" w:rsidRPr="00DF7CAE">
        <w:rPr>
          <w:rStyle w:val="Char3"/>
          <w:rFonts w:hint="eastAsia"/>
          <w:rtl/>
        </w:rPr>
        <w:t>وَإِذَا</w:t>
      </w:r>
      <w:r w:rsidR="00685363" w:rsidRPr="00DF7CAE">
        <w:rPr>
          <w:rStyle w:val="Char3"/>
          <w:rtl/>
        </w:rPr>
        <w:t xml:space="preserve"> </w:t>
      </w:r>
      <w:r w:rsidR="00685363" w:rsidRPr="00DF7CAE">
        <w:rPr>
          <w:rStyle w:val="Char3"/>
          <w:rFonts w:hint="eastAsia"/>
          <w:rtl/>
        </w:rPr>
        <w:t>حَضَرَ</w:t>
      </w:r>
      <w:r w:rsidR="00685363" w:rsidRPr="00DF7CAE">
        <w:rPr>
          <w:rStyle w:val="Char3"/>
          <w:rtl/>
        </w:rPr>
        <w:t xml:space="preserve"> </w:t>
      </w:r>
      <w:r w:rsidR="00685363" w:rsidRPr="00DF7CAE">
        <w:rPr>
          <w:rStyle w:val="Char3"/>
          <w:rFonts w:hint="cs"/>
          <w:rtl/>
        </w:rPr>
        <w:t>ٱ</w:t>
      </w:r>
      <w:r w:rsidR="00685363" w:rsidRPr="00DF7CAE">
        <w:rPr>
          <w:rStyle w:val="Char3"/>
          <w:rFonts w:hint="eastAsia"/>
          <w:rtl/>
        </w:rPr>
        <w:t>ل</w:t>
      </w:r>
      <w:r w:rsidR="00685363" w:rsidRPr="00DF7CAE">
        <w:rPr>
          <w:rStyle w:val="Char3"/>
          <w:rFonts w:hint="cs"/>
          <w:rtl/>
        </w:rPr>
        <w:t>ۡ</w:t>
      </w:r>
      <w:r w:rsidR="00685363" w:rsidRPr="00DF7CAE">
        <w:rPr>
          <w:rStyle w:val="Char3"/>
          <w:rFonts w:hint="eastAsia"/>
          <w:rtl/>
        </w:rPr>
        <w:t>قِس</w:t>
      </w:r>
      <w:r w:rsidR="00685363" w:rsidRPr="00DF7CAE">
        <w:rPr>
          <w:rStyle w:val="Char3"/>
          <w:rFonts w:hint="cs"/>
          <w:rtl/>
        </w:rPr>
        <w:t>ۡ</w:t>
      </w:r>
      <w:r w:rsidR="00685363" w:rsidRPr="00DF7CAE">
        <w:rPr>
          <w:rStyle w:val="Char3"/>
          <w:rFonts w:hint="eastAsia"/>
          <w:rtl/>
        </w:rPr>
        <w:t>مَةَ</w:t>
      </w:r>
      <w:r w:rsidR="00685363" w:rsidRPr="00DF7CAE">
        <w:rPr>
          <w:rStyle w:val="Char3"/>
          <w:rtl/>
        </w:rPr>
        <w:t xml:space="preserve"> </w:t>
      </w:r>
      <w:r w:rsidR="00685363" w:rsidRPr="00DF7CAE">
        <w:rPr>
          <w:rStyle w:val="Char3"/>
          <w:rFonts w:hint="eastAsia"/>
          <w:rtl/>
        </w:rPr>
        <w:t>أُوْلُواْ</w:t>
      </w:r>
      <w:r w:rsidR="00685363" w:rsidRPr="00DF7CAE">
        <w:rPr>
          <w:rStyle w:val="Char3"/>
          <w:rtl/>
        </w:rPr>
        <w:t xml:space="preserve"> </w:t>
      </w:r>
      <w:r w:rsidR="00685363" w:rsidRPr="00DF7CAE">
        <w:rPr>
          <w:rStyle w:val="Char3"/>
          <w:rFonts w:hint="cs"/>
          <w:rtl/>
        </w:rPr>
        <w:t>ٱ</w:t>
      </w:r>
      <w:r w:rsidR="00685363" w:rsidRPr="00DF7CAE">
        <w:rPr>
          <w:rStyle w:val="Char3"/>
          <w:rFonts w:hint="eastAsia"/>
          <w:rtl/>
        </w:rPr>
        <w:t>ل</w:t>
      </w:r>
      <w:r w:rsidR="00685363" w:rsidRPr="00DF7CAE">
        <w:rPr>
          <w:rStyle w:val="Char3"/>
          <w:rFonts w:hint="cs"/>
          <w:rtl/>
        </w:rPr>
        <w:t>ۡ</w:t>
      </w:r>
      <w:r w:rsidR="00685363" w:rsidRPr="00DF7CAE">
        <w:rPr>
          <w:rStyle w:val="Char3"/>
          <w:rFonts w:hint="eastAsia"/>
          <w:rtl/>
        </w:rPr>
        <w:t>قُر</w:t>
      </w:r>
      <w:r w:rsidR="00685363" w:rsidRPr="00DF7CAE">
        <w:rPr>
          <w:rStyle w:val="Char3"/>
          <w:rFonts w:hint="cs"/>
          <w:rtl/>
        </w:rPr>
        <w:t>ۡ</w:t>
      </w:r>
      <w:r w:rsidR="00685363" w:rsidRPr="00DF7CAE">
        <w:rPr>
          <w:rStyle w:val="Char3"/>
          <w:rFonts w:hint="eastAsia"/>
          <w:rtl/>
        </w:rPr>
        <w:t>بَى</w:t>
      </w:r>
      <w:r w:rsidR="00685363" w:rsidRPr="00DF7CAE">
        <w:rPr>
          <w:rStyle w:val="Char3"/>
          <w:rFonts w:hint="cs"/>
          <w:rtl/>
        </w:rPr>
        <w:t>ٰ</w:t>
      </w:r>
      <w:r w:rsidR="00685363" w:rsidRPr="00DF7CAE">
        <w:rPr>
          <w:rStyle w:val="Char3"/>
          <w:rtl/>
        </w:rPr>
        <w:t xml:space="preserve"> </w:t>
      </w:r>
      <w:r w:rsidR="00685363" w:rsidRPr="00DF7CAE">
        <w:rPr>
          <w:rStyle w:val="Char3"/>
          <w:rFonts w:hint="eastAsia"/>
          <w:rtl/>
        </w:rPr>
        <w:t>وَ</w:t>
      </w:r>
      <w:r w:rsidR="00685363" w:rsidRPr="00DF7CAE">
        <w:rPr>
          <w:rStyle w:val="Char3"/>
          <w:rFonts w:hint="cs"/>
          <w:rtl/>
        </w:rPr>
        <w:t>ٱ</w:t>
      </w:r>
      <w:r w:rsidR="00685363" w:rsidRPr="00DF7CAE">
        <w:rPr>
          <w:rStyle w:val="Char3"/>
          <w:rFonts w:hint="eastAsia"/>
          <w:rtl/>
        </w:rPr>
        <w:t>ل</w:t>
      </w:r>
      <w:r w:rsidR="00685363" w:rsidRPr="00DF7CAE">
        <w:rPr>
          <w:rStyle w:val="Char3"/>
          <w:rFonts w:hint="cs"/>
          <w:rtl/>
        </w:rPr>
        <w:t>ۡ</w:t>
      </w:r>
      <w:r w:rsidR="00685363" w:rsidRPr="00DF7CAE">
        <w:rPr>
          <w:rStyle w:val="Char3"/>
          <w:rFonts w:hint="eastAsia"/>
          <w:rtl/>
        </w:rPr>
        <w:t>يَتَ</w:t>
      </w:r>
      <w:r w:rsidR="00685363" w:rsidRPr="00DF7CAE">
        <w:rPr>
          <w:rStyle w:val="Char3"/>
          <w:rFonts w:hint="cs"/>
          <w:rtl/>
        </w:rPr>
        <w:t>ٰ</w:t>
      </w:r>
      <w:r w:rsidR="00685363" w:rsidRPr="00DF7CAE">
        <w:rPr>
          <w:rStyle w:val="Char3"/>
          <w:rFonts w:hint="eastAsia"/>
          <w:rtl/>
        </w:rPr>
        <w:t>مَى</w:t>
      </w:r>
      <w:r w:rsidR="00685363" w:rsidRPr="00DF7CAE">
        <w:rPr>
          <w:rStyle w:val="Char3"/>
          <w:rFonts w:hint="cs"/>
          <w:rtl/>
        </w:rPr>
        <w:t>ٰ</w:t>
      </w:r>
      <w:r w:rsidR="00685363" w:rsidRPr="00DF7CAE">
        <w:rPr>
          <w:rStyle w:val="Char3"/>
          <w:rtl/>
        </w:rPr>
        <w:t xml:space="preserve"> </w:t>
      </w:r>
      <w:r w:rsidR="00685363" w:rsidRPr="00DF7CAE">
        <w:rPr>
          <w:rStyle w:val="Char3"/>
          <w:rFonts w:hint="eastAsia"/>
          <w:rtl/>
        </w:rPr>
        <w:t>وَ</w:t>
      </w:r>
      <w:r w:rsidR="00685363" w:rsidRPr="00DF7CAE">
        <w:rPr>
          <w:rStyle w:val="Char3"/>
          <w:rFonts w:hint="cs"/>
          <w:rtl/>
        </w:rPr>
        <w:t>ٱ</w:t>
      </w:r>
      <w:r w:rsidR="00685363" w:rsidRPr="00DF7CAE">
        <w:rPr>
          <w:rStyle w:val="Char3"/>
          <w:rFonts w:hint="eastAsia"/>
          <w:rtl/>
        </w:rPr>
        <w:t>ل</w:t>
      </w:r>
      <w:r w:rsidR="00685363" w:rsidRPr="00DF7CAE">
        <w:rPr>
          <w:rStyle w:val="Char3"/>
          <w:rFonts w:hint="cs"/>
          <w:rtl/>
        </w:rPr>
        <w:t>ۡ</w:t>
      </w:r>
      <w:r w:rsidR="00685363" w:rsidRPr="00DF7CAE">
        <w:rPr>
          <w:rStyle w:val="Char3"/>
          <w:rFonts w:hint="eastAsia"/>
          <w:rtl/>
        </w:rPr>
        <w:t>مَسَ</w:t>
      </w:r>
      <w:r w:rsidR="00685363" w:rsidRPr="00DF7CAE">
        <w:rPr>
          <w:rStyle w:val="Char3"/>
          <w:rFonts w:hint="cs"/>
          <w:rtl/>
        </w:rPr>
        <w:t>ٰ</w:t>
      </w:r>
      <w:r w:rsidR="00685363" w:rsidRPr="00DF7CAE">
        <w:rPr>
          <w:rStyle w:val="Char3"/>
          <w:rFonts w:hint="eastAsia"/>
          <w:rtl/>
        </w:rPr>
        <w:t>كِينُ</w:t>
      </w:r>
      <w:r w:rsidR="00685363" w:rsidRPr="00DF7CAE">
        <w:rPr>
          <w:rStyle w:val="Char3"/>
          <w:rtl/>
        </w:rPr>
        <w:t xml:space="preserve"> </w:t>
      </w:r>
      <w:r w:rsidR="00685363" w:rsidRPr="00DF7CAE">
        <w:rPr>
          <w:rStyle w:val="Char3"/>
          <w:rFonts w:hint="eastAsia"/>
          <w:rtl/>
        </w:rPr>
        <w:t>فَ</w:t>
      </w:r>
      <w:r w:rsidR="00685363" w:rsidRPr="00DF7CAE">
        <w:rPr>
          <w:rStyle w:val="Char3"/>
          <w:rFonts w:hint="cs"/>
          <w:rtl/>
        </w:rPr>
        <w:t>ٱ</w:t>
      </w:r>
      <w:r w:rsidR="00685363" w:rsidRPr="00DF7CAE">
        <w:rPr>
          <w:rStyle w:val="Char3"/>
          <w:rFonts w:hint="eastAsia"/>
          <w:rtl/>
        </w:rPr>
        <w:t>ر</w:t>
      </w:r>
      <w:r w:rsidR="00685363" w:rsidRPr="00DF7CAE">
        <w:rPr>
          <w:rStyle w:val="Char3"/>
          <w:rFonts w:hint="cs"/>
          <w:rtl/>
        </w:rPr>
        <w:t>ۡ</w:t>
      </w:r>
      <w:r w:rsidR="00685363" w:rsidRPr="00DF7CAE">
        <w:rPr>
          <w:rStyle w:val="Char3"/>
          <w:rFonts w:hint="eastAsia"/>
          <w:rtl/>
        </w:rPr>
        <w:t>زُقُوهُم</w:t>
      </w:r>
      <w:r w:rsidR="00685363" w:rsidRPr="00995B26">
        <w:rPr>
          <w:rFonts w:ascii="Abo-thar" w:hAnsi="Abo-thar" w:cs="Traditional Arabic" w:hint="cs"/>
          <w:sz w:val="28"/>
          <w:rtl/>
          <w:lang w:bidi="ar-SY"/>
        </w:rPr>
        <w:t>﴾</w:t>
      </w:r>
      <w:r w:rsidRPr="00995B26">
        <w:rPr>
          <w:rFonts w:ascii="Abo-thar" w:hAnsi="Abo-thar" w:hint="cs"/>
          <w:sz w:val="28"/>
          <w:rtl/>
          <w:lang w:bidi="ar-SY"/>
        </w:rPr>
        <w:t xml:space="preserve"> </w:t>
      </w:r>
      <w:r w:rsidR="00685363" w:rsidRPr="00FC12FD">
        <w:rPr>
          <w:rStyle w:val="Char2"/>
          <w:rFonts w:hint="cs"/>
          <w:rtl/>
        </w:rPr>
        <w:t>[</w:t>
      </w:r>
      <w:r w:rsidRPr="00FC12FD">
        <w:rPr>
          <w:rStyle w:val="Char2"/>
          <w:rFonts w:hint="cs"/>
          <w:rtl/>
        </w:rPr>
        <w:t>النساء</w:t>
      </w:r>
      <w:r w:rsidR="00685363" w:rsidRPr="00FC12FD">
        <w:rPr>
          <w:rStyle w:val="Char2"/>
          <w:rFonts w:hint="cs"/>
          <w:rtl/>
        </w:rPr>
        <w:t xml:space="preserve">: </w:t>
      </w:r>
      <w:r w:rsidRPr="00FC12FD">
        <w:rPr>
          <w:rStyle w:val="Char2"/>
          <w:rFonts w:hint="cs"/>
          <w:rtl/>
        </w:rPr>
        <w:t>8</w:t>
      </w:r>
      <w:r w:rsidR="00685363" w:rsidRPr="00FC12FD">
        <w:rPr>
          <w:rStyle w:val="Char2"/>
          <w:rFonts w:hint="cs"/>
          <w:rtl/>
        </w:rPr>
        <w:t>]</w:t>
      </w:r>
      <w:r w:rsidR="00217AB4" w:rsidRPr="00995B26">
        <w:rPr>
          <w:rFonts w:ascii="Abo-thar" w:hAnsi="Abo-thar" w:hint="cs"/>
          <w:sz w:val="28"/>
          <w:rtl/>
          <w:lang w:bidi="ar-SY"/>
        </w:rPr>
        <w:t>.</w:t>
      </w:r>
    </w:p>
    <w:p w:rsidR="005C664D" w:rsidRPr="003F3B94" w:rsidRDefault="005C664D" w:rsidP="00445175">
      <w:pPr>
        <w:pStyle w:val="a0"/>
        <w:rPr>
          <w:rFonts w:hint="cs"/>
          <w:rtl/>
          <w:lang w:bidi="ar-SY"/>
        </w:rPr>
      </w:pPr>
      <w:r w:rsidRPr="003F3B94">
        <w:rPr>
          <w:rFonts w:ascii="Abo-thar" w:hAnsi="Abo-thar" w:hint="cs"/>
          <w:sz w:val="28"/>
          <w:rtl/>
          <w:lang w:bidi="ar-SY"/>
        </w:rPr>
        <w:t>في جميع هذه الآيات كانت كلمة ذي القربى ذات معنى عام يدل على أقرباء كل مسلم من الأمم الماضية ومن هذه الأمة</w:t>
      </w:r>
      <w:r w:rsidR="00217AB4" w:rsidRPr="003F3B94">
        <w:rPr>
          <w:rFonts w:ascii="Abo-thar" w:hAnsi="Abo-thar" w:hint="cs"/>
          <w:sz w:val="28"/>
          <w:rtl/>
          <w:lang w:bidi="ar-SY"/>
        </w:rPr>
        <w:t>.</w:t>
      </w:r>
      <w:r w:rsidRPr="003F3B94">
        <w:rPr>
          <w:rFonts w:ascii="Abo-thar" w:hAnsi="Abo-thar" w:hint="cs"/>
          <w:sz w:val="28"/>
          <w:rtl/>
          <w:lang w:bidi="ar-SY"/>
        </w:rPr>
        <w:t xml:space="preserve"> وقد أوصت بالإحسان إلى الأقرباء والإنفاق عليهم وإعطائهم حقهم ولم يُقصد من </w:t>
      </w:r>
      <w:r w:rsidRPr="003F3B94">
        <w:rPr>
          <w:rFonts w:ascii="Abo-thar" w:hAnsi="Abo-thar" w:hint="eastAsia"/>
          <w:sz w:val="28"/>
          <w:rtl/>
          <w:lang w:bidi="ar-SY"/>
        </w:rPr>
        <w:t>«</w:t>
      </w:r>
      <w:r w:rsidRPr="003F3B94">
        <w:rPr>
          <w:rFonts w:ascii="Abo-thar" w:hAnsi="Abo-thar"/>
          <w:bCs/>
          <w:sz w:val="28"/>
          <w:rtl/>
          <w:lang w:bidi="ar-SY"/>
        </w:rPr>
        <w:t>ذِي الْقُرْبَى</w:t>
      </w:r>
      <w:r w:rsidRPr="003F3B94">
        <w:rPr>
          <w:rFonts w:ascii="Abo-thar" w:hAnsi="Abo-thar" w:hint="eastAsia"/>
          <w:sz w:val="28"/>
          <w:rtl/>
          <w:lang w:bidi="ar-SY"/>
        </w:rPr>
        <w:t>»</w:t>
      </w:r>
      <w:r w:rsidRPr="003F3B94">
        <w:rPr>
          <w:rFonts w:ascii="Abo-thar" w:hAnsi="Abo-thar" w:hint="cs"/>
          <w:sz w:val="28"/>
          <w:rtl/>
          <w:lang w:bidi="ar-SY"/>
        </w:rPr>
        <w:t xml:space="preserve"> في أي من تلك الآيات </w:t>
      </w:r>
      <w:r w:rsidRPr="003F3B94">
        <w:rPr>
          <w:rFonts w:cs="Times New Roman" w:hint="cs"/>
          <w:sz w:val="28"/>
          <w:rtl/>
          <w:lang w:bidi="ar-SY"/>
        </w:rPr>
        <w:t>–</w:t>
      </w:r>
      <w:r w:rsidRPr="003F3B94">
        <w:rPr>
          <w:rFonts w:ascii="Abo-thar" w:hAnsi="Abo-thar" w:hint="cs"/>
          <w:sz w:val="28"/>
          <w:rtl/>
          <w:lang w:bidi="ar-SY"/>
        </w:rPr>
        <w:t xml:space="preserve"> </w:t>
      </w:r>
      <w:r w:rsidRPr="003F3B94">
        <w:rPr>
          <w:rFonts w:ascii="mylotus" w:hAnsi="mylotus" w:hint="cs"/>
          <w:sz w:val="28"/>
          <w:rtl/>
          <w:lang w:bidi="ar-SY"/>
        </w:rPr>
        <w:t>باتفاق</w:t>
      </w:r>
      <w:r w:rsidRPr="003F3B94">
        <w:rPr>
          <w:rFonts w:ascii="Abo-thar" w:hAnsi="Abo-thar" w:hint="cs"/>
          <w:sz w:val="28"/>
          <w:rtl/>
          <w:lang w:bidi="ar-SY"/>
        </w:rPr>
        <w:t xml:space="preserve"> </w:t>
      </w:r>
      <w:r w:rsidRPr="003F3B94">
        <w:rPr>
          <w:rFonts w:ascii="mylotus" w:hAnsi="mylotus" w:hint="cs"/>
          <w:sz w:val="28"/>
          <w:rtl/>
          <w:lang w:bidi="ar-SY"/>
        </w:rPr>
        <w:t>المفسرين</w:t>
      </w:r>
      <w:r w:rsidRPr="003F3B94">
        <w:rPr>
          <w:rFonts w:ascii="Abo-thar" w:hAnsi="Abo-thar" w:hint="cs"/>
          <w:sz w:val="28"/>
          <w:rtl/>
          <w:lang w:bidi="ar-SY"/>
        </w:rPr>
        <w:t xml:space="preserve"> </w:t>
      </w:r>
      <w:r w:rsidRPr="003F3B94">
        <w:rPr>
          <w:rFonts w:cs="Times New Roman" w:hint="cs"/>
          <w:sz w:val="28"/>
          <w:rtl/>
          <w:lang w:bidi="ar-SY"/>
        </w:rPr>
        <w:t>–</w:t>
      </w:r>
      <w:r w:rsidRPr="003F3B94">
        <w:rPr>
          <w:rFonts w:ascii="Abo-thar" w:hAnsi="Abo-thar" w:hint="cs"/>
          <w:sz w:val="28"/>
          <w:rtl/>
          <w:lang w:bidi="ar-SY"/>
        </w:rPr>
        <w:t xml:space="preserve"> </w:t>
      </w:r>
      <w:r w:rsidRPr="003F3B94">
        <w:rPr>
          <w:rFonts w:ascii="mylotus" w:hAnsi="mylotus" w:hint="cs"/>
          <w:sz w:val="28"/>
          <w:rtl/>
          <w:lang w:bidi="ar-SY"/>
        </w:rPr>
        <w:t>أقرباء</w:t>
      </w:r>
      <w:r w:rsidRPr="003F3B94">
        <w:rPr>
          <w:rFonts w:ascii="Abo-thar" w:hAnsi="Abo-thar" w:hint="cs"/>
          <w:sz w:val="28"/>
          <w:rtl/>
          <w:lang w:bidi="ar-SY"/>
        </w:rPr>
        <w:t xml:space="preserve"> </w:t>
      </w:r>
      <w:r w:rsidRPr="003F3B94">
        <w:rPr>
          <w:rFonts w:ascii="mylotus" w:hAnsi="mylotus" w:hint="cs"/>
          <w:sz w:val="28"/>
          <w:rtl/>
          <w:lang w:bidi="ar-SY"/>
        </w:rPr>
        <w:t>رسول</w:t>
      </w:r>
      <w:r w:rsidR="00445175">
        <w:rPr>
          <w:rFonts w:ascii="mylotus" w:hAnsi="mylotus" w:cs="Times New Roman" w:hint="cs"/>
          <w:sz w:val="28"/>
          <w:rtl/>
          <w:lang w:bidi="ar-SY"/>
        </w:rPr>
        <w:t>‌</w:t>
      </w:r>
      <w:r w:rsidRPr="003F3B94">
        <w:rPr>
          <w:rFonts w:ascii="mylotus" w:hAnsi="mylotus" w:hint="cs"/>
          <w:sz w:val="28"/>
          <w:rtl/>
          <w:lang w:bidi="ar-SY"/>
        </w:rPr>
        <w:t>الله</w:t>
      </w:r>
      <w:r w:rsidR="003C7AEB" w:rsidRPr="003C7AEB">
        <w:rPr>
          <w:rFonts w:ascii="Abo-thar" w:hAnsi="Abo-thar" w:cs="CTraditional Arabic"/>
          <w:sz w:val="28"/>
          <w:rtl/>
          <w:lang w:bidi="ar-SY"/>
        </w:rPr>
        <w:t>ص</w:t>
      </w:r>
      <w:r w:rsidR="00147857" w:rsidRPr="003F3B94">
        <w:rPr>
          <w:rFonts w:ascii="Abo-thar" w:hAnsi="Abo-thar"/>
          <w:sz w:val="28"/>
          <w:rtl/>
          <w:lang w:bidi="ar-SY"/>
        </w:rPr>
        <w:t xml:space="preserve"> </w:t>
      </w:r>
      <w:r w:rsidRPr="003F3B94">
        <w:rPr>
          <w:rFonts w:ascii="Abo-thar" w:hAnsi="Abo-thar" w:hint="cs"/>
          <w:sz w:val="28"/>
          <w:rtl/>
          <w:lang w:bidi="ar-SY"/>
        </w:rPr>
        <w:t>فقط ولا ينبغي أن يُقصد ذلك</w:t>
      </w:r>
      <w:r w:rsidR="00217AB4" w:rsidRPr="0021507A">
        <w:rPr>
          <w:rStyle w:val="FootnoteReference"/>
          <w:rFonts w:cs="Arabic11 BT"/>
          <w:b/>
          <w:sz w:val="28"/>
          <w:rtl/>
          <w:lang w:bidi="ar-SY"/>
        </w:rPr>
        <w:t>(</w:t>
      </w:r>
      <w:r w:rsidRPr="0021507A">
        <w:rPr>
          <w:rStyle w:val="FootnoteReference"/>
          <w:rFonts w:cs="Arabic11 BT"/>
          <w:b/>
          <w:sz w:val="28"/>
          <w:rtl/>
          <w:lang w:bidi="ar-SY"/>
        </w:rPr>
        <w:footnoteReference w:id="41"/>
      </w:r>
      <w:r w:rsidR="00217AB4" w:rsidRPr="0021507A">
        <w:rPr>
          <w:rStyle w:val="FootnoteReference"/>
          <w:rFonts w:cs="Arabic11 BT"/>
          <w:b/>
          <w:sz w:val="28"/>
          <w:rtl/>
          <w:lang w:bidi="ar-SY"/>
        </w:rPr>
        <w:t>)</w:t>
      </w:r>
      <w:r w:rsidRPr="003F3B94">
        <w:rPr>
          <w:rFonts w:ascii="Abo-thar" w:hAnsi="Abo-thar" w:hint="cs"/>
          <w:sz w:val="28"/>
          <w:rtl/>
          <w:lang w:bidi="ar-SY"/>
        </w:rPr>
        <w:t xml:space="preserve"> كما سنبين ذلك بعون الله لاحقاً إنشاء الله</w:t>
      </w:r>
      <w:r w:rsidR="00217AB4" w:rsidRPr="003F3B94">
        <w:rPr>
          <w:rFonts w:ascii="Abo-thar" w:hAnsi="Abo-thar" w:hint="cs"/>
          <w:sz w:val="28"/>
          <w:rtl/>
          <w:lang w:bidi="ar-SY"/>
        </w:rPr>
        <w:t>.</w:t>
      </w:r>
      <w:r w:rsidRPr="003F3B94">
        <w:rPr>
          <w:rFonts w:ascii="Abo-thar" w:hAnsi="Abo-thar" w:hint="cs"/>
          <w:sz w:val="28"/>
          <w:rtl/>
          <w:lang w:bidi="ar-SY"/>
        </w:rPr>
        <w:t xml:space="preserve"> </w:t>
      </w:r>
    </w:p>
    <w:p w:rsidR="005C664D" w:rsidRPr="003F3B94" w:rsidRDefault="005C664D" w:rsidP="003F3B94">
      <w:pPr>
        <w:pStyle w:val="a0"/>
        <w:rPr>
          <w:rFonts w:hint="cs"/>
          <w:rtl/>
          <w:lang w:bidi="ar-SY"/>
        </w:rPr>
      </w:pPr>
      <w:r w:rsidRPr="003F3B94">
        <w:rPr>
          <w:rFonts w:ascii="Abo-thar" w:hAnsi="Abo-thar" w:hint="cs"/>
          <w:sz w:val="28"/>
          <w:rtl/>
          <w:lang w:bidi="ar-SY"/>
        </w:rPr>
        <w:t>نعم</w:t>
      </w:r>
      <w:r w:rsidR="00217AB4" w:rsidRPr="003F3B94">
        <w:rPr>
          <w:rFonts w:ascii="Abo-thar" w:hAnsi="Abo-thar" w:hint="cs"/>
          <w:sz w:val="28"/>
          <w:rtl/>
          <w:lang w:bidi="ar-SY"/>
        </w:rPr>
        <w:t>،</w:t>
      </w:r>
      <w:r w:rsidRPr="003F3B94">
        <w:rPr>
          <w:rFonts w:ascii="Abo-thar" w:hAnsi="Abo-thar" w:hint="cs"/>
          <w:sz w:val="28"/>
          <w:rtl/>
          <w:lang w:bidi="ar-SY"/>
        </w:rPr>
        <w:t xml:space="preserve"> الأمر المُسلَّم به أن رسول الله</w:t>
      </w:r>
      <w:r w:rsidR="00147857" w:rsidRPr="003F3B94">
        <w:rPr>
          <w:rFonts w:ascii="Abo-thar" w:hAnsi="Abo-thar" w:hint="cs"/>
          <w:sz w:val="28"/>
          <w:rtl/>
          <w:lang w:bidi="ar-SY"/>
        </w:rPr>
        <w:t xml:space="preserve"> </w:t>
      </w:r>
      <w:r w:rsidR="003C7AEB" w:rsidRPr="003C7AEB">
        <w:rPr>
          <w:rFonts w:ascii="Abo-thar" w:hAnsi="Abo-thar" w:cs="CTraditional Arabic" w:hint="cs"/>
          <w:sz w:val="28"/>
          <w:rtl/>
          <w:lang w:bidi="ar-SY"/>
        </w:rPr>
        <w:t>ص</w:t>
      </w:r>
      <w:r w:rsidR="00147857" w:rsidRPr="003F3B94">
        <w:rPr>
          <w:rFonts w:ascii="Abo-thar" w:hAnsi="Abo-thar" w:hint="cs"/>
          <w:sz w:val="28"/>
          <w:rtl/>
          <w:lang w:bidi="ar-SY"/>
        </w:rPr>
        <w:t xml:space="preserve"> </w:t>
      </w:r>
      <w:r w:rsidRPr="003F3B94">
        <w:rPr>
          <w:rFonts w:ascii="Abo-thar" w:hAnsi="Abo-thar" w:hint="cs"/>
          <w:sz w:val="28"/>
          <w:rtl/>
          <w:lang w:bidi="ar-SY"/>
        </w:rPr>
        <w:t xml:space="preserve">كان يعطي جزءاً من خمس الغنائم الذي يأخذه لبعض أقربائه أو يقضـي فيه حوائجهم كما جاء في كتاب </w:t>
      </w:r>
      <w:r w:rsidRPr="003F3B94">
        <w:rPr>
          <w:rFonts w:ascii="Abo-thar" w:hAnsi="Abo-thar" w:hint="eastAsia"/>
          <w:sz w:val="28"/>
          <w:rtl/>
          <w:lang w:bidi="ar-SY"/>
        </w:rPr>
        <w:t>«</w:t>
      </w:r>
      <w:r w:rsidRPr="003F3B94">
        <w:rPr>
          <w:rFonts w:ascii="Abo-thar" w:hAnsi="Abo-thar" w:hint="cs"/>
          <w:sz w:val="28"/>
          <w:rtl/>
          <w:lang w:bidi="ar-SY"/>
        </w:rPr>
        <w:t>المغازي</w:t>
      </w:r>
      <w:r w:rsidRPr="003F3B94">
        <w:rPr>
          <w:rFonts w:ascii="Abo-thar" w:hAnsi="Abo-thar" w:hint="eastAsia"/>
          <w:sz w:val="28"/>
          <w:rtl/>
          <w:lang w:bidi="ar-SY"/>
        </w:rPr>
        <w:t>»</w:t>
      </w:r>
      <w:r w:rsidRPr="003F3B94">
        <w:rPr>
          <w:rFonts w:ascii="Abo-thar" w:hAnsi="Abo-thar" w:hint="cs"/>
          <w:sz w:val="28"/>
          <w:rtl/>
          <w:lang w:bidi="ar-SY"/>
        </w:rPr>
        <w:t xml:space="preserve"> للواقدي </w:t>
      </w:r>
      <w:r w:rsidR="00217AB4" w:rsidRPr="003F3B94">
        <w:rPr>
          <w:rFonts w:ascii="Abo-thar" w:hAnsi="Abo-thar" w:hint="cs"/>
          <w:sz w:val="28"/>
          <w:rtl/>
          <w:lang w:bidi="ar-SY"/>
        </w:rPr>
        <w:t>(</w:t>
      </w:r>
      <w:r w:rsidRPr="003F3B94">
        <w:rPr>
          <w:rFonts w:ascii="Abo-thar" w:hAnsi="Abo-thar" w:hint="cs"/>
          <w:sz w:val="28"/>
          <w:rtl/>
          <w:lang w:bidi="ar-SY"/>
        </w:rPr>
        <w:t>ص381</w:t>
      </w:r>
      <w:r w:rsidR="00217AB4" w:rsidRPr="003F3B94">
        <w:rPr>
          <w:rFonts w:ascii="Abo-thar" w:hAnsi="Abo-thar" w:hint="cs"/>
          <w:sz w:val="28"/>
          <w:rtl/>
          <w:lang w:bidi="ar-SY"/>
        </w:rPr>
        <w:t>)</w:t>
      </w:r>
      <w:r w:rsidRPr="003F3B94">
        <w:rPr>
          <w:rFonts w:ascii="Abo-thar" w:hAnsi="Abo-thar" w:hint="cs"/>
          <w:sz w:val="28"/>
          <w:rtl/>
          <w:lang w:bidi="ar-SY"/>
        </w:rPr>
        <w:t xml:space="preserve"> وفي كتاب </w:t>
      </w:r>
      <w:r w:rsidRPr="003F3B94">
        <w:rPr>
          <w:rFonts w:ascii="Abo-thar" w:hAnsi="Abo-thar" w:hint="eastAsia"/>
          <w:sz w:val="28"/>
          <w:rtl/>
          <w:lang w:bidi="ar-SY"/>
        </w:rPr>
        <w:t>«</w:t>
      </w:r>
      <w:r w:rsidRPr="003F3B94">
        <w:rPr>
          <w:rFonts w:ascii="Abo-thar" w:hAnsi="Abo-thar" w:hint="cs"/>
          <w:sz w:val="28"/>
          <w:rtl/>
          <w:lang w:bidi="ar-SY"/>
        </w:rPr>
        <w:t xml:space="preserve">المصنف» لعبد الرزاق الصنعاني </w:t>
      </w:r>
      <w:r w:rsidR="00217AB4" w:rsidRPr="003F3B94">
        <w:rPr>
          <w:rFonts w:ascii="Abo-thar" w:hAnsi="Abo-thar" w:hint="cs"/>
          <w:sz w:val="28"/>
          <w:rtl/>
          <w:lang w:bidi="ar-SY"/>
        </w:rPr>
        <w:t>(</w:t>
      </w:r>
      <w:r w:rsidRPr="003F3B94">
        <w:rPr>
          <w:rFonts w:ascii="Abo-thar" w:hAnsi="Abo-thar" w:hint="cs"/>
          <w:sz w:val="28"/>
          <w:rtl/>
          <w:lang w:bidi="ar-SY"/>
        </w:rPr>
        <w:t>ج5/ص237</w:t>
      </w:r>
      <w:r w:rsidR="00217AB4" w:rsidRPr="003F3B94">
        <w:rPr>
          <w:rFonts w:ascii="Abo-thar" w:hAnsi="Abo-thar" w:hint="cs"/>
          <w:sz w:val="28"/>
          <w:rtl/>
          <w:lang w:bidi="ar-SY"/>
        </w:rPr>
        <w:t>):</w:t>
      </w:r>
      <w:r w:rsidRPr="003F3B94">
        <w:rPr>
          <w:rFonts w:ascii="Abo-thar" w:hAnsi="Abo-thar" w:hint="cs"/>
          <w:sz w:val="28"/>
          <w:rtl/>
          <w:lang w:bidi="ar-SY"/>
        </w:rPr>
        <w:t xml:space="preserve"> </w:t>
      </w:r>
      <w:r w:rsidR="00EF2588" w:rsidRPr="00CE7623">
        <w:rPr>
          <w:rFonts w:ascii="Abo-thar" w:hAnsi="Abo-thar" w:cs="KFGQPC Uthman Taha Naskh" w:hint="cs"/>
          <w:sz w:val="28"/>
          <w:rtl/>
          <w:lang w:bidi="ar-SY"/>
        </w:rPr>
        <w:t>«</w:t>
      </w:r>
      <w:r w:rsidRPr="00CE7623">
        <w:rPr>
          <w:rFonts w:ascii="Abo-thar" w:hAnsi="Abo-thar" w:cs="KFGQPC Uthman Taha Naskh"/>
          <w:b/>
          <w:bCs/>
          <w:sz w:val="28"/>
          <w:rtl/>
          <w:lang w:bidi="ar-SY"/>
        </w:rPr>
        <w:t>وَكَانَ رَسُولُ اللهِ</w:t>
      </w:r>
      <w:r w:rsidR="005C53D5" w:rsidRPr="00CE7623">
        <w:rPr>
          <w:rFonts w:ascii="Abo-thar" w:hAnsi="Abo-thar" w:cs="KFGQPC Uthman Taha Naskh"/>
          <w:b/>
          <w:bCs/>
          <w:sz w:val="28"/>
          <w:rtl/>
          <w:lang w:bidi="ar-SY"/>
        </w:rPr>
        <w:t xml:space="preserve"> </w:t>
      </w:r>
      <w:r w:rsidR="00BC4BA9" w:rsidRPr="00BC4BA9">
        <w:rPr>
          <w:rFonts w:cs="CTraditional Arabic"/>
          <w:sz w:val="28"/>
          <w:rtl/>
          <w:lang w:bidi="ar-SY"/>
        </w:rPr>
        <w:t>ص</w:t>
      </w:r>
      <w:r w:rsidR="005C53D5" w:rsidRPr="00CE7623">
        <w:rPr>
          <w:rFonts w:cs="KFGQPC Uthman Taha Naskh"/>
          <w:sz w:val="28"/>
          <w:rtl/>
          <w:lang w:bidi="ar-SY"/>
        </w:rPr>
        <w:t xml:space="preserve"> </w:t>
      </w:r>
      <w:r w:rsidRPr="00CE7623">
        <w:rPr>
          <w:rFonts w:ascii="Abo-thar" w:hAnsi="Abo-thar" w:cs="KFGQPC Uthman Taha Naskh"/>
          <w:b/>
          <w:bCs/>
          <w:sz w:val="28"/>
          <w:rtl/>
          <w:lang w:bidi="ar-SY"/>
        </w:rPr>
        <w:t>يُعْطِي بَنِي هَاشِمٍ مِنْ الخُمْسِ وَيُزَوّجُ أَيَامَاهُمْ</w:t>
      </w:r>
      <w:r w:rsidRPr="00CE7623">
        <w:rPr>
          <w:rFonts w:ascii="Abo-thar" w:hAnsi="Abo-thar" w:cs="KFGQPC Uthman Taha Naskh" w:hint="cs"/>
          <w:b/>
          <w:bCs/>
          <w:sz w:val="28"/>
          <w:rtl/>
          <w:lang w:bidi="ar-SY"/>
        </w:rPr>
        <w:t xml:space="preserve"> </w:t>
      </w:r>
      <w:r w:rsidRPr="00CE7623">
        <w:rPr>
          <w:rFonts w:ascii="Abo-thar" w:hAnsi="Abo-thar" w:cs="KFGQPC Uthman Taha Naskh"/>
          <w:b/>
          <w:bCs/>
          <w:sz w:val="28"/>
          <w:rtl/>
          <w:lang w:bidi="ar-SY"/>
        </w:rPr>
        <w:t xml:space="preserve">وَكَانَ عُمَرُ رَضِيَ </w:t>
      </w:r>
      <w:r w:rsidRPr="00CE7623">
        <w:rPr>
          <w:rFonts w:ascii="Abo-thar" w:hAnsi="Abo-thar" w:cs="KFGQPC Uthman Taha Naskh" w:hint="cs"/>
          <w:b/>
          <w:bCs/>
          <w:sz w:val="28"/>
          <w:rtl/>
          <w:lang w:bidi="ar-SY"/>
        </w:rPr>
        <w:t>اللهُ</w:t>
      </w:r>
      <w:r w:rsidRPr="00CE7623">
        <w:rPr>
          <w:rFonts w:ascii="Abo-thar" w:hAnsi="Abo-thar" w:cs="KFGQPC Uthman Taha Naskh"/>
          <w:b/>
          <w:bCs/>
          <w:sz w:val="28"/>
          <w:rtl/>
          <w:lang w:bidi="ar-SY"/>
        </w:rPr>
        <w:t xml:space="preserve"> عَنْهُ قَدْ دَعَاهُمْ إلَى أَنْ يُزَوّجَ أَيَامَاهُمْ وَيَخْدُمَ عَائِلَهُمْ وَيَقْضِ</w:t>
      </w:r>
      <w:r w:rsidRPr="00CE7623">
        <w:rPr>
          <w:rFonts w:ascii="Abo-thar" w:hAnsi="Abo-thar" w:cs="KFGQPC Uthman Taha Naskh" w:hint="cs"/>
          <w:b/>
          <w:bCs/>
          <w:sz w:val="28"/>
          <w:rtl/>
          <w:lang w:bidi="ar-SY"/>
        </w:rPr>
        <w:t>ـ</w:t>
      </w:r>
      <w:r w:rsidRPr="00CE7623">
        <w:rPr>
          <w:rFonts w:ascii="Abo-thar" w:hAnsi="Abo-thar" w:cs="KFGQPC Uthman Taha Naskh"/>
          <w:b/>
          <w:bCs/>
          <w:sz w:val="28"/>
          <w:rtl/>
          <w:lang w:bidi="ar-SY"/>
        </w:rPr>
        <w:t>يَ عَنْ غَارِمَهُمْ فَأَبَوْا إلّا أَنْ يُسَلّمَهُ كُلّهُ وَأَبَى عُمَرُ</w:t>
      </w:r>
      <w:r w:rsidR="00EF2588" w:rsidRPr="00CE7623">
        <w:rPr>
          <w:rFonts w:ascii="Abo-thar" w:hAnsi="Abo-thar" w:cs="KFGQPC Uthman Taha Naskh" w:hint="cs"/>
          <w:sz w:val="28"/>
          <w:rtl/>
          <w:lang w:bidi="ar-SY"/>
        </w:rPr>
        <w:t>»</w:t>
      </w:r>
      <w:r w:rsidR="00217AB4" w:rsidRPr="0021507A">
        <w:rPr>
          <w:rFonts w:cs="Arabic11 BT"/>
          <w:b/>
          <w:sz w:val="28"/>
          <w:vertAlign w:val="superscript"/>
          <w:rtl/>
          <w:lang w:bidi="ar-SY"/>
        </w:rPr>
        <w:t>(</w:t>
      </w:r>
      <w:r w:rsidRPr="0021507A">
        <w:rPr>
          <w:rStyle w:val="FootnoteReference"/>
          <w:rFonts w:cs="Arabic11 BT"/>
          <w:b/>
          <w:sz w:val="28"/>
          <w:rtl/>
          <w:lang w:bidi="ar-SY"/>
        </w:rPr>
        <w:footnoteReference w:id="42"/>
      </w:r>
      <w:r w:rsidR="00217AB4" w:rsidRPr="0021507A">
        <w:rPr>
          <w:rFonts w:cs="Arabic11 BT"/>
          <w:b/>
          <w:sz w:val="28"/>
          <w:vertAlign w:val="superscript"/>
          <w:rtl/>
          <w:lang w:bidi="ar-SY"/>
        </w:rPr>
        <w:t>)</w:t>
      </w:r>
      <w:r w:rsidR="00217AB4" w:rsidRPr="003F3B94">
        <w:rPr>
          <w:rFonts w:ascii="Abo-thar" w:hAnsi="Abo-thar" w:hint="cs"/>
          <w:sz w:val="28"/>
          <w:rtl/>
          <w:lang w:bidi="ar-SY"/>
        </w:rPr>
        <w:t>.</w:t>
      </w:r>
    </w:p>
    <w:p w:rsidR="005C664D" w:rsidRPr="003F3B94" w:rsidRDefault="005C664D" w:rsidP="003F3B94">
      <w:pPr>
        <w:pStyle w:val="a0"/>
        <w:rPr>
          <w:rFonts w:hint="cs"/>
          <w:rtl/>
          <w:lang w:bidi="ar-SY"/>
        </w:rPr>
      </w:pPr>
      <w:r w:rsidRPr="003F3B94">
        <w:rPr>
          <w:rFonts w:ascii="Abo-thar" w:hAnsi="Abo-thar" w:hint="cs"/>
          <w:sz w:val="28"/>
          <w:rtl/>
          <w:lang w:bidi="ar-SY"/>
        </w:rPr>
        <w:t xml:space="preserve">وهناك أخبار أخرى أيضاً تفيد أن أمير المؤمنين علياً </w:t>
      </w:r>
      <w:r w:rsidR="003C7AEB" w:rsidRPr="003C7AEB">
        <w:rPr>
          <w:rFonts w:ascii="Abo-thar" w:hAnsi="Abo-thar" w:cs="CTraditional Arabic" w:hint="cs"/>
          <w:sz w:val="28"/>
          <w:rtl/>
          <w:lang w:bidi="ar-SY"/>
        </w:rPr>
        <w:t>÷</w:t>
      </w:r>
      <w:r w:rsidRPr="003F3B94">
        <w:rPr>
          <w:rFonts w:ascii="Abo-thar" w:hAnsi="Abo-thar" w:hint="cs"/>
          <w:sz w:val="28"/>
          <w:rtl/>
          <w:lang w:bidi="ar-SY"/>
        </w:rPr>
        <w:t xml:space="preserve"> والعباس عم النبي طالبا عمر بسهم ذي القربى من خمس غنائم بعض الغزوات</w:t>
      </w:r>
      <w:r w:rsidR="00217AB4" w:rsidRPr="003F3B94">
        <w:rPr>
          <w:rFonts w:ascii="Abo-thar" w:hAnsi="Abo-thar" w:hint="cs"/>
          <w:sz w:val="28"/>
          <w:rtl/>
          <w:lang w:bidi="ar-SY"/>
        </w:rPr>
        <w:t>،</w:t>
      </w:r>
      <w:r w:rsidRPr="003F3B94">
        <w:rPr>
          <w:rFonts w:ascii="Abo-thar" w:hAnsi="Abo-thar" w:hint="cs"/>
          <w:sz w:val="28"/>
          <w:rtl/>
          <w:lang w:bidi="ar-SY"/>
        </w:rPr>
        <w:t xml:space="preserve"> ولكن عمر طلب منهم أن يكون ذلك السهم في بيت مال المسلمين وأن يكتفوا بذلك السهم الذي قرر لهم في الديوان وقد قبلا بذلك الاقتراح</w:t>
      </w:r>
      <w:r w:rsidR="00217AB4" w:rsidRPr="003F3B94">
        <w:rPr>
          <w:rFonts w:ascii="Abo-thar" w:hAnsi="Abo-thar" w:hint="cs"/>
          <w:sz w:val="28"/>
          <w:rtl/>
          <w:lang w:bidi="ar-SY"/>
        </w:rPr>
        <w:t>.</w:t>
      </w:r>
      <w:r w:rsidRPr="003F3B94">
        <w:rPr>
          <w:rFonts w:ascii="Abo-thar" w:hAnsi="Abo-thar" w:hint="cs"/>
          <w:sz w:val="28"/>
          <w:rtl/>
          <w:lang w:bidi="ar-SY"/>
        </w:rPr>
        <w:t xml:space="preserve"> ولكننا ننظر بعين الشك والحيرة لهذه الأخبار</w:t>
      </w:r>
      <w:r w:rsidR="00147857" w:rsidRPr="003F3B94">
        <w:rPr>
          <w:rFonts w:ascii="Abo-thar" w:hAnsi="Abo-thar" w:hint="cs"/>
          <w:sz w:val="28"/>
          <w:rtl/>
          <w:lang w:bidi="ar-SY"/>
        </w:rPr>
        <w:t xml:space="preserve"> </w:t>
      </w:r>
      <w:r w:rsidRPr="003F3B94">
        <w:rPr>
          <w:rFonts w:ascii="Abo-thar" w:hAnsi="Abo-thar" w:hint="cs"/>
          <w:sz w:val="28"/>
          <w:rtl/>
          <w:lang w:bidi="ar-SY"/>
        </w:rPr>
        <w:t>لأنها لا تنسجم مع الأصول والقواعد التي قررها الإسلام والتي نؤمن بها كما سنبين ذلك لاحقاً إنشاء الله</w:t>
      </w:r>
      <w:r w:rsidR="00217AB4" w:rsidRPr="003F3B94">
        <w:rPr>
          <w:rFonts w:ascii="Abo-thar" w:hAnsi="Abo-thar" w:hint="cs"/>
          <w:sz w:val="28"/>
          <w:rtl/>
          <w:lang w:bidi="ar-SY"/>
        </w:rPr>
        <w:t>.</w:t>
      </w:r>
      <w:r w:rsidRPr="003F3B94">
        <w:rPr>
          <w:rFonts w:ascii="Abo-thar" w:hAnsi="Abo-thar" w:hint="cs"/>
          <w:sz w:val="28"/>
          <w:rtl/>
          <w:lang w:bidi="ar-SY"/>
        </w:rPr>
        <w:t xml:space="preserve"> </w:t>
      </w:r>
    </w:p>
    <w:p w:rsidR="005C664D" w:rsidRPr="00995B26" w:rsidRDefault="005C664D" w:rsidP="003F3B94">
      <w:pPr>
        <w:pStyle w:val="a0"/>
        <w:rPr>
          <w:rFonts w:hint="cs"/>
          <w:rtl/>
          <w:lang w:bidi="ar-SY"/>
        </w:rPr>
      </w:pPr>
      <w:r w:rsidRPr="003F3B94">
        <w:rPr>
          <w:rFonts w:ascii="Abo-thar" w:hAnsi="Abo-thar" w:hint="cs"/>
          <w:sz w:val="28"/>
          <w:rtl/>
          <w:lang w:bidi="ar-SY"/>
        </w:rPr>
        <w:t>8</w:t>
      </w:r>
      <w:r w:rsidR="00217AB4" w:rsidRPr="003F3B94">
        <w:rPr>
          <w:rFonts w:ascii="Abo-thar" w:hAnsi="Abo-thar" w:hint="cs"/>
          <w:sz w:val="28"/>
          <w:rtl/>
          <w:lang w:bidi="ar-SY"/>
        </w:rPr>
        <w:t>-</w:t>
      </w:r>
      <w:r w:rsidRPr="003F3B94">
        <w:rPr>
          <w:rFonts w:ascii="Abo-thar" w:hAnsi="Abo-thar" w:hint="cs"/>
          <w:sz w:val="28"/>
          <w:rtl/>
          <w:lang w:bidi="ar-SY"/>
        </w:rPr>
        <w:t xml:space="preserve"> </w:t>
      </w:r>
      <w:r w:rsidRPr="00445175">
        <w:rPr>
          <w:rFonts w:ascii="Abo-thar" w:hAnsi="Abo-thar" w:hint="cs"/>
          <w:b/>
          <w:bCs/>
          <w:sz w:val="28"/>
          <w:rtl/>
          <w:lang w:bidi="ar-SY"/>
        </w:rPr>
        <w:t>النقطة الثامنة</w:t>
      </w:r>
      <w:r w:rsidR="00217AB4" w:rsidRPr="003F3B94">
        <w:rPr>
          <w:rFonts w:ascii="Abo-thar" w:hAnsi="Abo-thar" w:hint="cs"/>
          <w:sz w:val="28"/>
          <w:rtl/>
          <w:lang w:bidi="ar-SY"/>
        </w:rPr>
        <w:t>:</w:t>
      </w:r>
      <w:r w:rsidRPr="003F3B94">
        <w:rPr>
          <w:rFonts w:ascii="Abo-thar" w:hAnsi="Abo-thar" w:hint="cs"/>
          <w:sz w:val="28"/>
          <w:rtl/>
          <w:lang w:bidi="ar-SY"/>
        </w:rPr>
        <w:t xml:space="preserve"> تمسك الموجبون للخمس في كل ما يكسبه الإنسان من أرباح المكاسب بعبارة </w:t>
      </w:r>
      <w:r w:rsidR="00685363" w:rsidRPr="00995B26">
        <w:rPr>
          <w:rFonts w:ascii="Abo-thar" w:hAnsi="Abo-thar" w:cs="Traditional Arabic" w:hint="cs"/>
          <w:sz w:val="28"/>
          <w:rtl/>
          <w:lang w:bidi="ar-SY"/>
        </w:rPr>
        <w:t>﴿</w:t>
      </w:r>
      <w:r w:rsidR="00685363" w:rsidRPr="00DF7CAE">
        <w:rPr>
          <w:rStyle w:val="Char3"/>
          <w:rFonts w:hint="eastAsia"/>
          <w:rtl/>
        </w:rPr>
        <w:t>مِّن</w:t>
      </w:r>
      <w:r w:rsidR="00685363" w:rsidRPr="00DF7CAE">
        <w:rPr>
          <w:rStyle w:val="Char3"/>
          <w:rtl/>
        </w:rPr>
        <w:t xml:space="preserve"> </w:t>
      </w:r>
      <w:r w:rsidR="00685363" w:rsidRPr="00DF7CAE">
        <w:rPr>
          <w:rStyle w:val="Char3"/>
          <w:rFonts w:hint="eastAsia"/>
          <w:rtl/>
        </w:rPr>
        <w:t>شَي</w:t>
      </w:r>
      <w:r w:rsidR="00685363" w:rsidRPr="00DF7CAE">
        <w:rPr>
          <w:rStyle w:val="Char3"/>
          <w:rFonts w:hint="cs"/>
          <w:rtl/>
        </w:rPr>
        <w:t>ۡ</w:t>
      </w:r>
      <w:r w:rsidR="00685363" w:rsidRPr="00DF7CAE">
        <w:rPr>
          <w:rStyle w:val="Char3"/>
          <w:rFonts w:hint="eastAsia"/>
          <w:rtl/>
        </w:rPr>
        <w:t>ء</w:t>
      </w:r>
      <w:r w:rsidR="00685363" w:rsidRPr="00DF7CAE">
        <w:rPr>
          <w:rStyle w:val="Char3"/>
          <w:rFonts w:hint="cs"/>
          <w:rtl/>
        </w:rPr>
        <w:t>ٖ</w:t>
      </w:r>
      <w:r w:rsidR="00685363" w:rsidRPr="00995B26">
        <w:rPr>
          <w:rFonts w:ascii="Abo-thar" w:hAnsi="Abo-thar" w:cs="Traditional Arabic" w:hint="cs"/>
          <w:sz w:val="28"/>
          <w:rtl/>
          <w:lang w:bidi="ar-SY"/>
        </w:rPr>
        <w:t>﴾</w:t>
      </w:r>
      <w:r w:rsidRPr="00995B26">
        <w:rPr>
          <w:rFonts w:ascii="Abo-thar" w:hAnsi="Abo-thar" w:hint="cs"/>
          <w:sz w:val="28"/>
          <w:rtl/>
          <w:lang w:bidi="ar-SY"/>
        </w:rPr>
        <w:t xml:space="preserve"> التي وردت في آية خمس الغنائم </w:t>
      </w:r>
      <w:r w:rsidR="00217AB4" w:rsidRPr="00995B26">
        <w:rPr>
          <w:rFonts w:ascii="Abo-thar" w:hAnsi="Abo-thar" w:hint="cs"/>
          <w:sz w:val="28"/>
          <w:rtl/>
          <w:lang w:bidi="ar-SY"/>
        </w:rPr>
        <w:t>(</w:t>
      </w:r>
      <w:r w:rsidRPr="00995B26">
        <w:rPr>
          <w:rFonts w:ascii="Abo-thar" w:hAnsi="Abo-thar" w:hint="cs"/>
          <w:sz w:val="28"/>
          <w:rtl/>
          <w:lang w:bidi="ar-SY"/>
        </w:rPr>
        <w:t>في سورة الأنفال</w:t>
      </w:r>
      <w:r w:rsidR="00217AB4" w:rsidRPr="00995B26">
        <w:rPr>
          <w:rFonts w:ascii="Abo-thar" w:hAnsi="Abo-thar" w:hint="cs"/>
          <w:sz w:val="28"/>
          <w:rtl/>
          <w:lang w:bidi="ar-SY"/>
        </w:rPr>
        <w:t>)</w:t>
      </w:r>
      <w:r w:rsidRPr="00995B26">
        <w:rPr>
          <w:rFonts w:ascii="Abo-thar" w:hAnsi="Abo-thar" w:hint="cs"/>
          <w:sz w:val="28"/>
          <w:rtl/>
          <w:lang w:bidi="ar-SY"/>
        </w:rPr>
        <w:t xml:space="preserve"> قائلين إن عبارة </w:t>
      </w:r>
      <w:r w:rsidR="00685363" w:rsidRPr="00995B26">
        <w:rPr>
          <w:rFonts w:ascii="Abo-thar" w:hAnsi="Abo-thar" w:cs="Traditional Arabic" w:hint="cs"/>
          <w:sz w:val="28"/>
          <w:rtl/>
          <w:lang w:bidi="ar-SY"/>
        </w:rPr>
        <w:t>﴿</w:t>
      </w:r>
      <w:r w:rsidR="00685363" w:rsidRPr="00DF7CAE">
        <w:rPr>
          <w:rStyle w:val="Char3"/>
          <w:rFonts w:hint="eastAsia"/>
          <w:rtl/>
        </w:rPr>
        <w:t>مِّن</w:t>
      </w:r>
      <w:r w:rsidR="00685363" w:rsidRPr="00DF7CAE">
        <w:rPr>
          <w:rStyle w:val="Char3"/>
          <w:rtl/>
        </w:rPr>
        <w:t xml:space="preserve"> </w:t>
      </w:r>
      <w:r w:rsidR="00685363" w:rsidRPr="00DF7CAE">
        <w:rPr>
          <w:rStyle w:val="Char3"/>
          <w:rFonts w:hint="eastAsia"/>
          <w:rtl/>
        </w:rPr>
        <w:t>شَي</w:t>
      </w:r>
      <w:r w:rsidR="00685363" w:rsidRPr="00DF7CAE">
        <w:rPr>
          <w:rStyle w:val="Char3"/>
          <w:rFonts w:hint="cs"/>
          <w:rtl/>
        </w:rPr>
        <w:t>ۡ</w:t>
      </w:r>
      <w:r w:rsidR="00685363" w:rsidRPr="00DF7CAE">
        <w:rPr>
          <w:rStyle w:val="Char3"/>
          <w:rFonts w:hint="eastAsia"/>
          <w:rtl/>
        </w:rPr>
        <w:t>ء</w:t>
      </w:r>
      <w:r w:rsidR="00685363" w:rsidRPr="00DF7CAE">
        <w:rPr>
          <w:rStyle w:val="Char3"/>
          <w:rFonts w:hint="cs"/>
          <w:rtl/>
        </w:rPr>
        <w:t>ٖ</w:t>
      </w:r>
      <w:r w:rsidR="00685363" w:rsidRPr="00995B26">
        <w:rPr>
          <w:rFonts w:ascii="Abo-thar" w:hAnsi="Abo-thar" w:cs="Traditional Arabic" w:hint="cs"/>
          <w:sz w:val="28"/>
          <w:rtl/>
          <w:lang w:bidi="ar-SY"/>
        </w:rPr>
        <w:t>﴾</w:t>
      </w:r>
      <w:r w:rsidRPr="00995B26">
        <w:rPr>
          <w:rFonts w:ascii="Abo-thar" w:hAnsi="Abo-thar" w:hint="cs"/>
          <w:sz w:val="28"/>
          <w:rtl/>
          <w:lang w:bidi="ar-SY"/>
        </w:rPr>
        <w:t xml:space="preserve"> تفيد العموم وتدل على جميع الأموال بمعنى أن الخمس يجب أن يؤدى من كل شيء يغنمه </w:t>
      </w:r>
      <w:r w:rsidRPr="00995B26">
        <w:rPr>
          <w:rFonts w:ascii="Abo-thar" w:hAnsi="Abo-thar"/>
          <w:sz w:val="28"/>
          <w:rtl/>
          <w:lang w:bidi="ar-SY"/>
        </w:rPr>
        <w:t>–</w:t>
      </w:r>
      <w:r w:rsidRPr="00995B26">
        <w:rPr>
          <w:rFonts w:ascii="Abo-thar" w:hAnsi="Abo-thar" w:hint="cs"/>
          <w:sz w:val="28"/>
          <w:rtl/>
          <w:lang w:bidi="ar-SY"/>
        </w:rPr>
        <w:t xml:space="preserve"> أي يكتسبه </w:t>
      </w:r>
      <w:r w:rsidRPr="00995B26">
        <w:rPr>
          <w:rFonts w:ascii="Abo-thar" w:hAnsi="Abo-thar"/>
          <w:sz w:val="28"/>
          <w:rtl/>
          <w:lang w:bidi="ar-SY"/>
        </w:rPr>
        <w:t>–</w:t>
      </w:r>
      <w:r w:rsidRPr="00995B26">
        <w:rPr>
          <w:rFonts w:ascii="Abo-thar" w:hAnsi="Abo-thar" w:hint="cs"/>
          <w:sz w:val="28"/>
          <w:rtl/>
          <w:lang w:bidi="ar-SY"/>
        </w:rPr>
        <w:t xml:space="preserve"> الإنسان</w:t>
      </w:r>
      <w:r w:rsidR="00217AB4" w:rsidRPr="00995B26">
        <w:rPr>
          <w:rFonts w:ascii="Abo-thar" w:hAnsi="Abo-thar" w:hint="cs"/>
          <w:sz w:val="28"/>
          <w:rtl/>
          <w:lang w:bidi="ar-SY"/>
        </w:rPr>
        <w:t>،</w:t>
      </w:r>
      <w:r w:rsidRPr="00995B26">
        <w:rPr>
          <w:rFonts w:ascii="Abo-thar" w:hAnsi="Abo-thar" w:hint="cs"/>
          <w:sz w:val="28"/>
          <w:rtl/>
          <w:lang w:bidi="ar-SY"/>
        </w:rPr>
        <w:t xml:space="preserve"> وتمسكهم هذا أشبه بتمسك الغريق بالقشة</w:t>
      </w:r>
      <w:r w:rsidR="00147857" w:rsidRPr="00995B26">
        <w:rPr>
          <w:rFonts w:ascii="Abo-thar" w:hAnsi="Abo-thar" w:hint="cs"/>
          <w:sz w:val="28"/>
          <w:rtl/>
          <w:lang w:bidi="ar-SY"/>
        </w:rPr>
        <w:t xml:space="preserve"> </w:t>
      </w:r>
      <w:r w:rsidRPr="00995B26">
        <w:rPr>
          <w:rFonts w:ascii="Abo-thar" w:hAnsi="Abo-thar" w:hint="cs"/>
          <w:sz w:val="28"/>
          <w:rtl/>
          <w:lang w:bidi="ar-SY"/>
        </w:rPr>
        <w:t>ولا ينسجم مع دعواهم بحال من الأحوال</w:t>
      </w:r>
      <w:r w:rsidR="00217AB4" w:rsidRPr="00995B26">
        <w:rPr>
          <w:rFonts w:ascii="Abo-thar" w:hAnsi="Abo-thar" w:hint="cs"/>
          <w:sz w:val="28"/>
          <w:rtl/>
          <w:lang w:bidi="ar-SY"/>
        </w:rPr>
        <w:t>.</w:t>
      </w:r>
      <w:r w:rsidRPr="00995B26">
        <w:rPr>
          <w:rFonts w:ascii="Abo-thar" w:hAnsi="Abo-thar" w:hint="cs"/>
          <w:sz w:val="28"/>
          <w:rtl/>
          <w:lang w:bidi="ar-SY"/>
        </w:rPr>
        <w:t xml:space="preserve"> فحرف </w:t>
      </w:r>
      <w:r w:rsidRPr="00995B26">
        <w:rPr>
          <w:rFonts w:ascii="Abo-thar" w:hAnsi="Abo-thar" w:hint="eastAsia"/>
          <w:sz w:val="28"/>
          <w:rtl/>
          <w:lang w:bidi="ar-SY"/>
        </w:rPr>
        <w:t>«</w:t>
      </w:r>
      <w:r w:rsidRPr="00995B26">
        <w:rPr>
          <w:rFonts w:ascii="Abo-thar" w:hAnsi="Abo-thar" w:hint="cs"/>
          <w:sz w:val="28"/>
          <w:rtl/>
          <w:lang w:bidi="ar-SY"/>
        </w:rPr>
        <w:t>مِنْ</w:t>
      </w:r>
      <w:r w:rsidRPr="00995B26">
        <w:rPr>
          <w:rFonts w:ascii="Abo-thar" w:hAnsi="Abo-thar" w:hint="eastAsia"/>
          <w:sz w:val="28"/>
          <w:rtl/>
          <w:lang w:bidi="ar-SY"/>
        </w:rPr>
        <w:t>»</w:t>
      </w:r>
      <w:r w:rsidRPr="00995B26">
        <w:rPr>
          <w:rFonts w:ascii="Abo-thar" w:hAnsi="Abo-thar" w:hint="cs"/>
          <w:sz w:val="28"/>
          <w:rtl/>
          <w:lang w:bidi="ar-SY"/>
        </w:rPr>
        <w:t xml:space="preserve"> لبيان الجنس مثله مثل </w:t>
      </w:r>
      <w:r w:rsidRPr="00995B26">
        <w:rPr>
          <w:rFonts w:ascii="Abo-thar" w:hAnsi="Abo-thar" w:hint="eastAsia"/>
          <w:sz w:val="28"/>
          <w:rtl/>
          <w:lang w:bidi="ar-SY"/>
        </w:rPr>
        <w:t>«</w:t>
      </w:r>
      <w:r w:rsidRPr="00995B26">
        <w:rPr>
          <w:rFonts w:ascii="Abo-thar" w:hAnsi="Abo-thar" w:hint="cs"/>
          <w:sz w:val="28"/>
          <w:rtl/>
          <w:lang w:bidi="ar-SY"/>
        </w:rPr>
        <w:t>من</w:t>
      </w:r>
      <w:r w:rsidRPr="00995B26">
        <w:rPr>
          <w:rFonts w:ascii="Abo-thar" w:hAnsi="Abo-thar" w:hint="eastAsia"/>
          <w:sz w:val="28"/>
          <w:rtl/>
          <w:lang w:bidi="ar-SY"/>
        </w:rPr>
        <w:t>»</w:t>
      </w:r>
      <w:r w:rsidRPr="00995B26">
        <w:rPr>
          <w:rFonts w:ascii="Abo-thar" w:hAnsi="Abo-thar" w:hint="cs"/>
          <w:sz w:val="28"/>
          <w:rtl/>
          <w:lang w:bidi="ar-SY"/>
        </w:rPr>
        <w:t xml:space="preserve"> في جملة </w:t>
      </w:r>
      <w:r w:rsidR="00685363" w:rsidRPr="00995B26">
        <w:rPr>
          <w:rFonts w:ascii="Abo-thar" w:hAnsi="Abo-thar" w:cs="Traditional Arabic" w:hint="cs"/>
          <w:sz w:val="28"/>
          <w:rtl/>
          <w:lang w:bidi="ar-SY"/>
        </w:rPr>
        <w:t>﴿</w:t>
      </w:r>
      <w:r w:rsidR="00685363" w:rsidRPr="00DF7CAE">
        <w:rPr>
          <w:rStyle w:val="Char3"/>
          <w:rFonts w:hint="eastAsia"/>
          <w:rtl/>
        </w:rPr>
        <w:t>فَ</w:t>
      </w:r>
      <w:r w:rsidR="00685363" w:rsidRPr="00DF7CAE">
        <w:rPr>
          <w:rStyle w:val="Char3"/>
          <w:rFonts w:hint="cs"/>
          <w:rtl/>
        </w:rPr>
        <w:t>ٱ</w:t>
      </w:r>
      <w:r w:rsidR="00685363" w:rsidRPr="00DF7CAE">
        <w:rPr>
          <w:rStyle w:val="Char3"/>
          <w:rFonts w:hint="eastAsia"/>
          <w:rtl/>
        </w:rPr>
        <w:t>ج</w:t>
      </w:r>
      <w:r w:rsidR="00685363" w:rsidRPr="00DF7CAE">
        <w:rPr>
          <w:rStyle w:val="Char3"/>
          <w:rFonts w:hint="cs"/>
          <w:rtl/>
        </w:rPr>
        <w:t>ۡ</w:t>
      </w:r>
      <w:r w:rsidR="00685363" w:rsidRPr="00DF7CAE">
        <w:rPr>
          <w:rStyle w:val="Char3"/>
          <w:rFonts w:hint="eastAsia"/>
          <w:rtl/>
        </w:rPr>
        <w:t>تَنِبُواْ</w:t>
      </w:r>
      <w:r w:rsidR="00685363" w:rsidRPr="00DF7CAE">
        <w:rPr>
          <w:rStyle w:val="Char3"/>
          <w:rtl/>
        </w:rPr>
        <w:t xml:space="preserve"> </w:t>
      </w:r>
      <w:r w:rsidR="00685363" w:rsidRPr="00DF7CAE">
        <w:rPr>
          <w:rStyle w:val="Char3"/>
          <w:rFonts w:hint="cs"/>
          <w:rtl/>
        </w:rPr>
        <w:t>ٱ</w:t>
      </w:r>
      <w:r w:rsidR="00685363" w:rsidRPr="00DF7CAE">
        <w:rPr>
          <w:rStyle w:val="Char3"/>
          <w:rFonts w:hint="eastAsia"/>
          <w:rtl/>
        </w:rPr>
        <w:t>لرِّج</w:t>
      </w:r>
      <w:r w:rsidR="00685363" w:rsidRPr="00DF7CAE">
        <w:rPr>
          <w:rStyle w:val="Char3"/>
          <w:rFonts w:hint="cs"/>
          <w:rtl/>
        </w:rPr>
        <w:t>ۡ</w:t>
      </w:r>
      <w:r w:rsidR="00685363" w:rsidRPr="00DF7CAE">
        <w:rPr>
          <w:rStyle w:val="Char3"/>
          <w:rFonts w:hint="eastAsia"/>
          <w:rtl/>
        </w:rPr>
        <w:t>سَ</w:t>
      </w:r>
      <w:r w:rsidR="00685363" w:rsidRPr="00DF7CAE">
        <w:rPr>
          <w:rStyle w:val="Char3"/>
          <w:rtl/>
        </w:rPr>
        <w:t xml:space="preserve"> </w:t>
      </w:r>
      <w:r w:rsidR="00685363" w:rsidRPr="00DF7CAE">
        <w:rPr>
          <w:rStyle w:val="Char3"/>
          <w:rFonts w:hint="eastAsia"/>
          <w:rtl/>
        </w:rPr>
        <w:t>مِنَ</w:t>
      </w:r>
      <w:r w:rsidR="00685363" w:rsidRPr="00DF7CAE">
        <w:rPr>
          <w:rStyle w:val="Char3"/>
          <w:rtl/>
        </w:rPr>
        <w:t xml:space="preserve"> </w:t>
      </w:r>
      <w:r w:rsidR="00685363" w:rsidRPr="00DF7CAE">
        <w:rPr>
          <w:rStyle w:val="Char3"/>
          <w:rFonts w:hint="cs"/>
          <w:rtl/>
        </w:rPr>
        <w:t>ٱ</w:t>
      </w:r>
      <w:r w:rsidR="00685363" w:rsidRPr="00DF7CAE">
        <w:rPr>
          <w:rStyle w:val="Char3"/>
          <w:rFonts w:hint="eastAsia"/>
          <w:rtl/>
        </w:rPr>
        <w:t>ل</w:t>
      </w:r>
      <w:r w:rsidR="00685363" w:rsidRPr="00DF7CAE">
        <w:rPr>
          <w:rStyle w:val="Char3"/>
          <w:rFonts w:hint="cs"/>
          <w:rtl/>
        </w:rPr>
        <w:t>ۡ</w:t>
      </w:r>
      <w:r w:rsidR="00685363" w:rsidRPr="00DF7CAE">
        <w:rPr>
          <w:rStyle w:val="Char3"/>
          <w:rFonts w:hint="eastAsia"/>
          <w:rtl/>
        </w:rPr>
        <w:t>أَو</w:t>
      </w:r>
      <w:r w:rsidR="00685363" w:rsidRPr="00DF7CAE">
        <w:rPr>
          <w:rStyle w:val="Char3"/>
          <w:rFonts w:hint="cs"/>
          <w:rtl/>
        </w:rPr>
        <w:t>ۡ</w:t>
      </w:r>
      <w:r w:rsidR="00685363" w:rsidRPr="00DF7CAE">
        <w:rPr>
          <w:rStyle w:val="Char3"/>
          <w:rFonts w:hint="eastAsia"/>
          <w:rtl/>
        </w:rPr>
        <w:t>ثَ</w:t>
      </w:r>
      <w:r w:rsidR="00685363" w:rsidRPr="00DF7CAE">
        <w:rPr>
          <w:rStyle w:val="Char3"/>
          <w:rFonts w:hint="cs"/>
          <w:rtl/>
        </w:rPr>
        <w:t>ٰ</w:t>
      </w:r>
      <w:r w:rsidR="00685363" w:rsidRPr="00DF7CAE">
        <w:rPr>
          <w:rStyle w:val="Char3"/>
          <w:rFonts w:hint="eastAsia"/>
          <w:rtl/>
        </w:rPr>
        <w:t>نِ</w:t>
      </w:r>
      <w:r w:rsidR="00685363" w:rsidRPr="00DF7CAE">
        <w:rPr>
          <w:rStyle w:val="Char3"/>
          <w:rtl/>
        </w:rPr>
        <w:t xml:space="preserve"> </w:t>
      </w:r>
      <w:r w:rsidR="00685363" w:rsidRPr="00DF7CAE">
        <w:rPr>
          <w:rStyle w:val="Char3"/>
          <w:rFonts w:hint="eastAsia"/>
          <w:rtl/>
        </w:rPr>
        <w:t>وَ</w:t>
      </w:r>
      <w:r w:rsidR="00685363" w:rsidRPr="00DF7CAE">
        <w:rPr>
          <w:rStyle w:val="Char3"/>
          <w:rFonts w:hint="cs"/>
          <w:rtl/>
        </w:rPr>
        <w:t>ٱ</w:t>
      </w:r>
      <w:r w:rsidR="00685363" w:rsidRPr="00DF7CAE">
        <w:rPr>
          <w:rStyle w:val="Char3"/>
          <w:rFonts w:hint="eastAsia"/>
          <w:rtl/>
        </w:rPr>
        <w:t>ج</w:t>
      </w:r>
      <w:r w:rsidR="00685363" w:rsidRPr="00DF7CAE">
        <w:rPr>
          <w:rStyle w:val="Char3"/>
          <w:rFonts w:hint="cs"/>
          <w:rtl/>
        </w:rPr>
        <w:t>ۡ</w:t>
      </w:r>
      <w:r w:rsidR="00685363" w:rsidRPr="00DF7CAE">
        <w:rPr>
          <w:rStyle w:val="Char3"/>
          <w:rFonts w:hint="eastAsia"/>
          <w:rtl/>
        </w:rPr>
        <w:t>تَنِبُواْ</w:t>
      </w:r>
      <w:r w:rsidR="00685363" w:rsidRPr="00DF7CAE">
        <w:rPr>
          <w:rStyle w:val="Char3"/>
          <w:rtl/>
        </w:rPr>
        <w:t xml:space="preserve"> </w:t>
      </w:r>
      <w:r w:rsidR="00685363" w:rsidRPr="00DF7CAE">
        <w:rPr>
          <w:rStyle w:val="Char3"/>
          <w:rFonts w:hint="eastAsia"/>
          <w:rtl/>
        </w:rPr>
        <w:t>قَو</w:t>
      </w:r>
      <w:r w:rsidR="00685363" w:rsidRPr="00DF7CAE">
        <w:rPr>
          <w:rStyle w:val="Char3"/>
          <w:rFonts w:hint="cs"/>
          <w:rtl/>
        </w:rPr>
        <w:t>ۡ</w:t>
      </w:r>
      <w:r w:rsidR="00685363" w:rsidRPr="00DF7CAE">
        <w:rPr>
          <w:rStyle w:val="Char3"/>
          <w:rFonts w:hint="eastAsia"/>
          <w:rtl/>
        </w:rPr>
        <w:t>لَ</w:t>
      </w:r>
      <w:r w:rsidR="00685363" w:rsidRPr="00DF7CAE">
        <w:rPr>
          <w:rStyle w:val="Char3"/>
          <w:rtl/>
        </w:rPr>
        <w:t xml:space="preserve"> </w:t>
      </w:r>
      <w:r w:rsidR="00685363" w:rsidRPr="00DF7CAE">
        <w:rPr>
          <w:rStyle w:val="Char3"/>
          <w:rFonts w:hint="cs"/>
          <w:rtl/>
        </w:rPr>
        <w:t>ٱ</w:t>
      </w:r>
      <w:r w:rsidR="00685363" w:rsidRPr="00DF7CAE">
        <w:rPr>
          <w:rStyle w:val="Char3"/>
          <w:rFonts w:hint="eastAsia"/>
          <w:rtl/>
        </w:rPr>
        <w:t>لزُّورِ</w:t>
      </w:r>
      <w:r w:rsidR="00685363" w:rsidRPr="00995B26">
        <w:rPr>
          <w:rFonts w:ascii="Abo-thar" w:hAnsi="Abo-thar" w:cs="Traditional Arabic" w:hint="cs"/>
          <w:sz w:val="28"/>
          <w:rtl/>
          <w:lang w:bidi="ar-SY"/>
        </w:rPr>
        <w:t>﴾</w:t>
      </w:r>
      <w:r w:rsidRPr="00995B26">
        <w:rPr>
          <w:rFonts w:ascii="Abo-thar" w:hAnsi="Abo-thar"/>
          <w:sz w:val="28"/>
          <w:rtl/>
          <w:lang w:bidi="ar-SY"/>
        </w:rPr>
        <w:t xml:space="preserve"> </w:t>
      </w:r>
      <w:r w:rsidR="00685363" w:rsidRPr="00FC12FD">
        <w:rPr>
          <w:rStyle w:val="Char2"/>
          <w:rFonts w:hint="cs"/>
          <w:rtl/>
        </w:rPr>
        <w:t>[</w:t>
      </w:r>
      <w:r w:rsidRPr="00FC12FD">
        <w:rPr>
          <w:rStyle w:val="Char2"/>
          <w:rtl/>
        </w:rPr>
        <w:t>الحـج</w:t>
      </w:r>
      <w:r w:rsidR="00685363" w:rsidRPr="00FC12FD">
        <w:rPr>
          <w:rStyle w:val="Char2"/>
          <w:rFonts w:hint="cs"/>
          <w:rtl/>
        </w:rPr>
        <w:t>:</w:t>
      </w:r>
      <w:r w:rsidRPr="00FC12FD">
        <w:rPr>
          <w:rStyle w:val="Char2"/>
          <w:rtl/>
        </w:rPr>
        <w:t>30</w:t>
      </w:r>
      <w:r w:rsidR="00685363" w:rsidRPr="00FC12FD">
        <w:rPr>
          <w:rStyle w:val="Char2"/>
          <w:rFonts w:hint="cs"/>
          <w:rtl/>
        </w:rPr>
        <w:t>]</w:t>
      </w:r>
      <w:r w:rsidR="00217AB4" w:rsidRPr="00995B26">
        <w:rPr>
          <w:rFonts w:ascii="Abo-thar" w:hAnsi="Abo-thar" w:hint="cs"/>
          <w:sz w:val="28"/>
          <w:rtl/>
          <w:lang w:bidi="ar-SY"/>
        </w:rPr>
        <w:t>؛</w:t>
      </w:r>
      <w:r w:rsidRPr="00995B26">
        <w:rPr>
          <w:rFonts w:ascii="Abo-thar" w:hAnsi="Abo-thar" w:hint="cs"/>
          <w:sz w:val="28"/>
          <w:rtl/>
          <w:lang w:bidi="ar-SY"/>
        </w:rPr>
        <w:t xml:space="preserve"> فالمراد منها الأشياء التي غنمتموها من غنائم الحرب بمعنى أن كل شيء أو أي شيء غنمتموه ولو كان قليلاً فإن حكم خمس الغنائم يشمله ولا يمكنكم أخذه أو التصرف به قبل أن يتم تقسيم الغنائم [وعزل الخمس منها]</w:t>
      </w:r>
      <w:r w:rsidR="00217AB4" w:rsidRPr="00995B26">
        <w:rPr>
          <w:rFonts w:ascii="Abo-thar" w:hAnsi="Abo-thar" w:hint="cs"/>
          <w:sz w:val="28"/>
          <w:rtl/>
          <w:lang w:bidi="ar-SY"/>
        </w:rPr>
        <w:t>،</w:t>
      </w:r>
      <w:r w:rsidRPr="00995B26">
        <w:rPr>
          <w:rFonts w:ascii="Abo-thar" w:hAnsi="Abo-thar" w:hint="cs"/>
          <w:sz w:val="28"/>
          <w:rtl/>
          <w:lang w:bidi="ar-SY"/>
        </w:rPr>
        <w:t xml:space="preserve"> فعبارة </w:t>
      </w:r>
      <w:r w:rsidRPr="00995B26">
        <w:rPr>
          <w:rFonts w:ascii="Abo-thar" w:hAnsi="Abo-thar" w:hint="eastAsia"/>
          <w:sz w:val="28"/>
          <w:rtl/>
          <w:lang w:bidi="ar-SY"/>
        </w:rPr>
        <w:t>«</w:t>
      </w:r>
      <w:r w:rsidRPr="00995B26">
        <w:rPr>
          <w:rFonts w:ascii="Abo-thar" w:hAnsi="Abo-thar" w:hint="cs"/>
          <w:b/>
          <w:bCs/>
          <w:sz w:val="28"/>
          <w:rtl/>
          <w:lang w:bidi="ar-SY"/>
        </w:rPr>
        <w:t>من شيء</w:t>
      </w:r>
      <w:r w:rsidRPr="00995B26">
        <w:rPr>
          <w:rFonts w:ascii="Abo-thar" w:hAnsi="Abo-thar" w:hint="eastAsia"/>
          <w:sz w:val="28"/>
          <w:rtl/>
          <w:lang w:bidi="ar-SY"/>
        </w:rPr>
        <w:t>»</w:t>
      </w:r>
      <w:r w:rsidRPr="00995B26">
        <w:rPr>
          <w:rFonts w:ascii="Abo-thar" w:hAnsi="Abo-thar" w:hint="cs"/>
          <w:sz w:val="28"/>
          <w:rtl/>
          <w:lang w:bidi="ar-SY"/>
        </w:rPr>
        <w:t xml:space="preserve"> إذن لم تخرج عن جنس</w:t>
      </w:r>
      <w:r w:rsidR="00147857" w:rsidRPr="00995B26">
        <w:rPr>
          <w:rFonts w:ascii="Abo-thar" w:hAnsi="Abo-thar" w:hint="cs"/>
          <w:sz w:val="28"/>
          <w:rtl/>
          <w:lang w:bidi="ar-SY"/>
        </w:rPr>
        <w:t xml:space="preserve"> </w:t>
      </w:r>
      <w:r w:rsidRPr="00995B26">
        <w:rPr>
          <w:rFonts w:ascii="Abo-thar" w:hAnsi="Abo-thar" w:hint="cs"/>
          <w:sz w:val="28"/>
          <w:rtl/>
          <w:lang w:bidi="ar-SY"/>
        </w:rPr>
        <w:t xml:space="preserve">الغنائم ولا تعم سائر الأشياء </w:t>
      </w:r>
      <w:r w:rsidR="00217AB4" w:rsidRPr="00995B26">
        <w:rPr>
          <w:rFonts w:ascii="Abo-thar" w:hAnsi="Abo-thar" w:hint="cs"/>
          <w:sz w:val="28"/>
          <w:rtl/>
          <w:lang w:bidi="ar-SY"/>
        </w:rPr>
        <w:t>(</w:t>
      </w:r>
      <w:r w:rsidRPr="00995B26">
        <w:rPr>
          <w:rFonts w:ascii="Abo-thar" w:hAnsi="Abo-thar" w:hint="cs"/>
          <w:sz w:val="28"/>
          <w:rtl/>
          <w:lang w:bidi="ar-SY"/>
        </w:rPr>
        <w:t xml:space="preserve">فمن شيءٍ يعني </w:t>
      </w:r>
      <w:r w:rsidRPr="00995B26">
        <w:rPr>
          <w:rFonts w:ascii="Abo-thar" w:hAnsi="Abo-thar" w:hint="cs"/>
          <w:b/>
          <w:bCs/>
          <w:sz w:val="28"/>
          <w:rtl/>
          <w:lang w:bidi="ar-SY"/>
        </w:rPr>
        <w:t>من شيءٍ</w:t>
      </w:r>
      <w:r w:rsidRPr="00995B26">
        <w:rPr>
          <w:rFonts w:ascii="Abo-thar" w:hAnsi="Abo-thar" w:hint="cs"/>
          <w:sz w:val="28"/>
          <w:rtl/>
          <w:lang w:bidi="ar-SY"/>
        </w:rPr>
        <w:t xml:space="preserve"> من الغنائم</w:t>
      </w:r>
      <w:r w:rsidR="00217AB4" w:rsidRPr="00995B26">
        <w:rPr>
          <w:rFonts w:ascii="Abo-thar" w:hAnsi="Abo-thar" w:hint="cs"/>
          <w:sz w:val="28"/>
          <w:rtl/>
          <w:lang w:bidi="ar-SY"/>
        </w:rPr>
        <w:t>).</w:t>
      </w:r>
      <w:r w:rsidRPr="00995B26">
        <w:rPr>
          <w:rFonts w:ascii="Abo-thar" w:hAnsi="Abo-thar" w:hint="cs"/>
          <w:sz w:val="28"/>
          <w:rtl/>
          <w:lang w:bidi="ar-SY"/>
        </w:rPr>
        <w:t xml:space="preserve"> وحقاً إنه لعمل عجيب وطريقة تفكير غريبة هذه التي يعتمدها من يتشبث بمثل هذه الاستدلالات ليثبت مثل هذا الأمر ويحمّل الآية المعنى الذي يريده</w:t>
      </w:r>
      <w:r w:rsidR="00217AB4" w:rsidRPr="00995B26">
        <w:rPr>
          <w:rFonts w:ascii="Abo-thar" w:hAnsi="Abo-thar" w:hint="cs"/>
          <w:sz w:val="28"/>
          <w:rtl/>
          <w:lang w:bidi="ar-SY"/>
        </w:rPr>
        <w:t>.</w:t>
      </w:r>
    </w:p>
    <w:p w:rsidR="005C664D" w:rsidRPr="003F3B94" w:rsidRDefault="005C664D" w:rsidP="003F3B94">
      <w:pPr>
        <w:pStyle w:val="a0"/>
        <w:rPr>
          <w:rFonts w:hint="cs"/>
          <w:rtl/>
          <w:lang w:bidi="ar-SY"/>
        </w:rPr>
      </w:pPr>
      <w:r w:rsidRPr="003F3B94">
        <w:rPr>
          <w:rFonts w:ascii="Abo-thar" w:hAnsi="Abo-thar" w:hint="cs"/>
          <w:sz w:val="28"/>
          <w:rtl/>
          <w:lang w:bidi="ar-SY"/>
        </w:rPr>
        <w:t>إذا دخلتَ إلى محل بائع للساعات أو إلى صيدلية أدوية فرأيت إعلاناً يقول فيه صاحب المحل لزبائنه</w:t>
      </w:r>
      <w:r w:rsidR="00217AB4" w:rsidRPr="003F3B94">
        <w:rPr>
          <w:rFonts w:ascii="Abo-thar" w:hAnsi="Abo-thar" w:hint="cs"/>
          <w:sz w:val="28"/>
          <w:rtl/>
          <w:lang w:bidi="ar-SY"/>
        </w:rPr>
        <w:t>:</w:t>
      </w:r>
      <w:r w:rsidRPr="003F3B94">
        <w:rPr>
          <w:rFonts w:ascii="Abo-thar" w:hAnsi="Abo-thar" w:hint="cs"/>
          <w:sz w:val="28"/>
          <w:rtl/>
          <w:lang w:bidi="ar-SY"/>
        </w:rPr>
        <w:t xml:space="preserve"> كل شيء تريدوه موجود لدينا فإنك تدرك فوراً أن مقصوده الأشياء التي تتعلق بالساعات أو بالأدوية ولا تتوقع أن تشمل عبارة </w:t>
      </w:r>
      <w:r w:rsidR="00217AB4" w:rsidRPr="003F3B94">
        <w:rPr>
          <w:rFonts w:ascii="Abo-thar" w:hAnsi="Abo-thar" w:hint="cs"/>
          <w:sz w:val="28"/>
          <w:rtl/>
          <w:lang w:bidi="ar-SY"/>
        </w:rPr>
        <w:t>(</w:t>
      </w:r>
      <w:r w:rsidRPr="003F3B94">
        <w:rPr>
          <w:rFonts w:ascii="Abo-thar" w:hAnsi="Abo-thar" w:hint="cs"/>
          <w:sz w:val="28"/>
          <w:rtl/>
          <w:lang w:bidi="ar-SY"/>
        </w:rPr>
        <w:t>كل شيء</w:t>
      </w:r>
      <w:r w:rsidR="00217AB4" w:rsidRPr="003F3B94">
        <w:rPr>
          <w:rFonts w:ascii="Abo-thar" w:hAnsi="Abo-thar" w:hint="cs"/>
          <w:sz w:val="28"/>
          <w:rtl/>
          <w:lang w:bidi="ar-SY"/>
        </w:rPr>
        <w:t>)</w:t>
      </w:r>
      <w:r w:rsidRPr="003F3B94">
        <w:rPr>
          <w:rFonts w:ascii="Abo-thar" w:hAnsi="Abo-thar" w:hint="cs"/>
          <w:sz w:val="28"/>
          <w:rtl/>
          <w:lang w:bidi="ar-SY"/>
        </w:rPr>
        <w:t xml:space="preserve"> الأشياء الأخرى التي لا تتعلق بالمحل كالخبز أو أسرجة الخيل أو نعل الفرس أو الحلويات أو الأثاث من طاولات وكراسي</w:t>
      </w:r>
      <w:r w:rsidR="00217AB4" w:rsidRPr="003F3B94">
        <w:rPr>
          <w:rFonts w:ascii="Abo-thar" w:hAnsi="Abo-thar" w:hint="cs"/>
          <w:sz w:val="28"/>
          <w:rtl/>
          <w:lang w:bidi="ar-SY"/>
        </w:rPr>
        <w:t>!.</w:t>
      </w:r>
      <w:r w:rsidRPr="003F3B94">
        <w:rPr>
          <w:rFonts w:ascii="Abo-thar" w:hAnsi="Abo-thar" w:hint="cs"/>
          <w:sz w:val="28"/>
          <w:rtl/>
          <w:lang w:bidi="ar-SY"/>
        </w:rPr>
        <w:t xml:space="preserve"> </w:t>
      </w:r>
    </w:p>
    <w:p w:rsidR="005C664D" w:rsidRPr="00995B26" w:rsidRDefault="005C664D" w:rsidP="003F3B94">
      <w:pPr>
        <w:pStyle w:val="a0"/>
        <w:rPr>
          <w:rFonts w:hint="cs"/>
          <w:rtl/>
          <w:lang w:bidi="ar-SY"/>
        </w:rPr>
      </w:pPr>
      <w:r w:rsidRPr="003F3B94">
        <w:rPr>
          <w:rFonts w:ascii="Abo-thar" w:hAnsi="Abo-thar" w:hint="cs"/>
          <w:sz w:val="28"/>
          <w:rtl/>
          <w:lang w:bidi="ar-SY"/>
        </w:rPr>
        <w:t xml:space="preserve">فكلمة </w:t>
      </w:r>
      <w:r w:rsidR="00685363" w:rsidRPr="00995B26">
        <w:rPr>
          <w:rFonts w:ascii="Abo-thar" w:hAnsi="Abo-thar" w:cs="Traditional Arabic" w:hint="cs"/>
          <w:sz w:val="28"/>
          <w:rtl/>
          <w:lang w:bidi="ar-SY"/>
        </w:rPr>
        <w:t>﴿</w:t>
      </w:r>
      <w:r w:rsidR="00685363" w:rsidRPr="00995B26">
        <w:rPr>
          <w:rFonts w:ascii="KFGQPC Uthmanic Script HAFS" w:cs="Times New Roman" w:hint="cs"/>
          <w:sz w:val="28"/>
          <w:rtl/>
        </w:rPr>
        <w:t>...</w:t>
      </w:r>
      <w:r w:rsidR="00685363" w:rsidRPr="00DF7CAE">
        <w:rPr>
          <w:rStyle w:val="Char3"/>
          <w:rFonts w:hint="eastAsia"/>
          <w:rtl/>
        </w:rPr>
        <w:t>مِّن</w:t>
      </w:r>
      <w:r w:rsidR="00685363" w:rsidRPr="00DF7CAE">
        <w:rPr>
          <w:rStyle w:val="Char3"/>
          <w:rtl/>
        </w:rPr>
        <w:t xml:space="preserve"> </w:t>
      </w:r>
      <w:r w:rsidR="00685363" w:rsidRPr="00DF7CAE">
        <w:rPr>
          <w:rStyle w:val="Char3"/>
          <w:rFonts w:hint="eastAsia"/>
          <w:rtl/>
        </w:rPr>
        <w:t>شَي</w:t>
      </w:r>
      <w:r w:rsidR="00685363" w:rsidRPr="00DF7CAE">
        <w:rPr>
          <w:rStyle w:val="Char3"/>
          <w:rFonts w:hint="cs"/>
          <w:rtl/>
        </w:rPr>
        <w:t>ۡ</w:t>
      </w:r>
      <w:r w:rsidR="00685363" w:rsidRPr="00DF7CAE">
        <w:rPr>
          <w:rStyle w:val="Char3"/>
          <w:rFonts w:hint="eastAsia"/>
          <w:rtl/>
        </w:rPr>
        <w:t>ء</w:t>
      </w:r>
      <w:r w:rsidR="00685363" w:rsidRPr="00DF7CAE">
        <w:rPr>
          <w:rStyle w:val="Char3"/>
          <w:rFonts w:hint="cs"/>
          <w:rtl/>
        </w:rPr>
        <w:t>ٖ</w:t>
      </w:r>
      <w:r w:rsidR="00685363" w:rsidRPr="00995B26">
        <w:rPr>
          <w:rFonts w:ascii="KFGQPC Uthmanic Script HAFS" w:cs="Times New Roman" w:hint="cs"/>
          <w:sz w:val="28"/>
          <w:rtl/>
        </w:rPr>
        <w:t>...</w:t>
      </w:r>
      <w:r w:rsidR="00685363" w:rsidRPr="00995B26">
        <w:rPr>
          <w:rFonts w:ascii="Abo-thar" w:hAnsi="Abo-thar" w:cs="Traditional Arabic" w:hint="cs"/>
          <w:sz w:val="28"/>
          <w:rtl/>
          <w:lang w:bidi="ar-SY"/>
        </w:rPr>
        <w:t>﴾</w:t>
      </w:r>
      <w:r w:rsidR="00685363" w:rsidRPr="00995B26">
        <w:rPr>
          <w:rFonts w:ascii="Abo-thar" w:hAnsi="Abo-thar" w:hint="cs"/>
          <w:sz w:val="28"/>
          <w:rtl/>
          <w:lang w:bidi="ar-SY"/>
        </w:rPr>
        <w:t xml:space="preserve"> </w:t>
      </w:r>
      <w:r w:rsidRPr="00995B26">
        <w:rPr>
          <w:rFonts w:ascii="Abo-thar" w:hAnsi="Abo-thar" w:hint="cs"/>
          <w:sz w:val="28"/>
          <w:rtl/>
          <w:lang w:bidi="ar-SY"/>
        </w:rPr>
        <w:t>في الآية الكريمة تتعلق بالغنيمة التي ذكرت قبلها بقوله</w:t>
      </w:r>
      <w:r w:rsidR="00685363" w:rsidRPr="00995B26">
        <w:rPr>
          <w:rFonts w:ascii="Abo-thar" w:hAnsi="Abo-thar" w:hint="cs"/>
          <w:sz w:val="28"/>
          <w:rtl/>
          <w:lang w:bidi="ar-SY"/>
        </w:rPr>
        <w:t xml:space="preserve"> </w:t>
      </w:r>
      <w:r w:rsidR="00685363" w:rsidRPr="00995B26">
        <w:rPr>
          <w:rFonts w:ascii="Abo-thar" w:hAnsi="Abo-thar" w:cs="Traditional Arabic" w:hint="cs"/>
          <w:sz w:val="28"/>
          <w:rtl/>
          <w:lang w:bidi="ar-SY"/>
        </w:rPr>
        <w:t>﴿</w:t>
      </w:r>
      <w:r w:rsidR="00685363" w:rsidRPr="00DF7CAE">
        <w:rPr>
          <w:rStyle w:val="Char3"/>
          <w:rFonts w:hint="eastAsia"/>
          <w:rtl/>
        </w:rPr>
        <w:t>وَ</w:t>
      </w:r>
      <w:r w:rsidR="00685363" w:rsidRPr="00DF7CAE">
        <w:rPr>
          <w:rStyle w:val="Char3"/>
          <w:rFonts w:hint="cs"/>
          <w:rtl/>
        </w:rPr>
        <w:t>ٱ</w:t>
      </w:r>
      <w:r w:rsidR="00685363" w:rsidRPr="00DF7CAE">
        <w:rPr>
          <w:rStyle w:val="Char3"/>
          <w:rFonts w:hint="eastAsia"/>
          <w:rtl/>
        </w:rPr>
        <w:t>ع</w:t>
      </w:r>
      <w:r w:rsidR="00685363" w:rsidRPr="00DF7CAE">
        <w:rPr>
          <w:rStyle w:val="Char3"/>
          <w:rFonts w:hint="cs"/>
          <w:rtl/>
        </w:rPr>
        <w:t>ۡ</w:t>
      </w:r>
      <w:r w:rsidR="00685363" w:rsidRPr="00DF7CAE">
        <w:rPr>
          <w:rStyle w:val="Char3"/>
          <w:rFonts w:hint="eastAsia"/>
          <w:rtl/>
        </w:rPr>
        <w:t>لَمُو</w:t>
      </w:r>
      <w:r w:rsidR="00685363" w:rsidRPr="00DF7CAE">
        <w:rPr>
          <w:rStyle w:val="Char3"/>
          <w:rFonts w:hint="cs"/>
          <w:rtl/>
        </w:rPr>
        <w:t>ٓ</w:t>
      </w:r>
      <w:r w:rsidR="00685363" w:rsidRPr="00DF7CAE">
        <w:rPr>
          <w:rStyle w:val="Char3"/>
          <w:rFonts w:hint="eastAsia"/>
          <w:rtl/>
        </w:rPr>
        <w:t>اْ</w:t>
      </w:r>
      <w:r w:rsidR="00685363" w:rsidRPr="00DF7CAE">
        <w:rPr>
          <w:rStyle w:val="Char3"/>
          <w:rtl/>
        </w:rPr>
        <w:t xml:space="preserve"> </w:t>
      </w:r>
      <w:r w:rsidR="00685363" w:rsidRPr="00DF7CAE">
        <w:rPr>
          <w:rStyle w:val="Char3"/>
          <w:rFonts w:hint="eastAsia"/>
          <w:rtl/>
        </w:rPr>
        <w:t>أَنَّمَا</w:t>
      </w:r>
      <w:r w:rsidR="00685363" w:rsidRPr="00DF7CAE">
        <w:rPr>
          <w:rStyle w:val="Char3"/>
          <w:rtl/>
        </w:rPr>
        <w:t xml:space="preserve"> </w:t>
      </w:r>
      <w:r w:rsidR="00685363" w:rsidRPr="00DF7CAE">
        <w:rPr>
          <w:rStyle w:val="Char3"/>
          <w:rFonts w:hint="eastAsia"/>
          <w:rtl/>
        </w:rPr>
        <w:t>غَنِم</w:t>
      </w:r>
      <w:r w:rsidR="00685363" w:rsidRPr="00DF7CAE">
        <w:rPr>
          <w:rStyle w:val="Char3"/>
          <w:rFonts w:hint="cs"/>
          <w:rtl/>
        </w:rPr>
        <w:t>ۡ</w:t>
      </w:r>
      <w:r w:rsidR="00685363" w:rsidRPr="00DF7CAE">
        <w:rPr>
          <w:rStyle w:val="Char3"/>
          <w:rFonts w:hint="eastAsia"/>
          <w:rtl/>
        </w:rPr>
        <w:t>تُم</w:t>
      </w:r>
      <w:r w:rsidR="00685363" w:rsidRPr="00995B26">
        <w:rPr>
          <w:rFonts w:ascii="Abo-thar" w:hAnsi="Abo-thar" w:cs="Traditional Arabic" w:hint="cs"/>
          <w:sz w:val="28"/>
          <w:rtl/>
          <w:lang w:bidi="ar-SY"/>
        </w:rPr>
        <w:t>﴾</w:t>
      </w:r>
      <w:r w:rsidRPr="00995B26">
        <w:rPr>
          <w:rFonts w:ascii="Abo-thar" w:hAnsi="Abo-thar" w:hint="cs"/>
          <w:sz w:val="28"/>
          <w:rtl/>
          <w:lang w:bidi="ar-SY"/>
        </w:rPr>
        <w:t xml:space="preserve"> </w:t>
      </w:r>
      <w:r w:rsidRPr="00995B26">
        <w:rPr>
          <w:rFonts w:ascii="Abo-thar" w:hAnsi="Abo-thar"/>
          <w:sz w:val="28"/>
          <w:rtl/>
          <w:lang w:bidi="ar-SY"/>
        </w:rPr>
        <w:t xml:space="preserve"> </w:t>
      </w:r>
      <w:r w:rsidRPr="00995B26">
        <w:rPr>
          <w:rFonts w:ascii="Abo-thar" w:hAnsi="Abo-thar" w:hint="cs"/>
          <w:sz w:val="28"/>
          <w:rtl/>
          <w:lang w:bidi="ar-SY"/>
        </w:rPr>
        <w:t>أي ما غنمتموه في الحرب من أشياء ففيه الخمس</w:t>
      </w:r>
      <w:r w:rsidR="00217AB4" w:rsidRPr="00995B26">
        <w:rPr>
          <w:rFonts w:ascii="Abo-thar" w:hAnsi="Abo-thar" w:hint="cs"/>
          <w:sz w:val="28"/>
          <w:rtl/>
          <w:lang w:bidi="ar-SY"/>
        </w:rPr>
        <w:t>،</w:t>
      </w:r>
      <w:r w:rsidRPr="00995B26">
        <w:rPr>
          <w:rFonts w:ascii="Abo-thar" w:hAnsi="Abo-thar" w:hint="cs"/>
          <w:sz w:val="28"/>
          <w:rtl/>
          <w:lang w:bidi="ar-SY"/>
        </w:rPr>
        <w:t xml:space="preserve"> فلا</w:t>
      </w:r>
      <w:r w:rsidRPr="00995B26">
        <w:rPr>
          <w:rFonts w:ascii="Abo-thar" w:hAnsi="Abo-thar" w:hint="eastAsia"/>
          <w:sz w:val="28"/>
          <w:rtl/>
          <w:lang w:bidi="ar-SY"/>
        </w:rPr>
        <w:t> </w:t>
      </w:r>
      <w:r w:rsidRPr="00995B26">
        <w:rPr>
          <w:rFonts w:ascii="Abo-thar" w:hAnsi="Abo-thar" w:hint="cs"/>
          <w:sz w:val="28"/>
          <w:rtl/>
          <w:lang w:bidi="ar-SY"/>
        </w:rPr>
        <w:t>يتعلق ذلك بكل شيء كسبتموه في حياتكم ككسبكم نتيجة عملكم بحمل الأمتعة أو كنس الطرق أو غيرها من الأعمال</w:t>
      </w:r>
      <w:r w:rsidR="00217AB4" w:rsidRPr="00995B26">
        <w:rPr>
          <w:rFonts w:ascii="Abo-thar" w:hAnsi="Abo-thar" w:hint="cs"/>
          <w:sz w:val="28"/>
          <w:rtl/>
          <w:lang w:bidi="ar-SY"/>
        </w:rPr>
        <w:t>؟!!</w:t>
      </w:r>
      <w:r w:rsidRPr="00995B26">
        <w:rPr>
          <w:rFonts w:ascii="Abo-thar" w:hAnsi="Abo-thar" w:hint="cs"/>
          <w:sz w:val="28"/>
          <w:rtl/>
          <w:lang w:bidi="ar-SY"/>
        </w:rPr>
        <w:t xml:space="preserve"> </w:t>
      </w:r>
    </w:p>
    <w:p w:rsidR="005C664D" w:rsidRPr="00995B26" w:rsidRDefault="005C664D" w:rsidP="003F3B94">
      <w:pPr>
        <w:pStyle w:val="a0"/>
        <w:rPr>
          <w:rFonts w:hint="cs"/>
          <w:rtl/>
          <w:lang w:bidi="ar-SY"/>
        </w:rPr>
      </w:pPr>
      <w:r w:rsidRPr="003F3B94">
        <w:rPr>
          <w:rFonts w:ascii="Abo-thar" w:hAnsi="Abo-thar" w:hint="cs"/>
          <w:sz w:val="28"/>
          <w:rtl/>
          <w:lang w:bidi="ar-SY"/>
        </w:rPr>
        <w:t xml:space="preserve">وهناك في الأخبار والأحاديث المتعلقة بالخمس شواهد عديدة حول هذا الموضوع تقضي على كل وسوسة وتشبث بعبارة </w:t>
      </w:r>
      <w:r w:rsidR="00685363" w:rsidRPr="00995B26">
        <w:rPr>
          <w:rFonts w:ascii="Abo-thar" w:hAnsi="Abo-thar" w:cs="Traditional Arabic" w:hint="cs"/>
          <w:sz w:val="28"/>
          <w:rtl/>
          <w:lang w:bidi="ar-SY"/>
        </w:rPr>
        <w:t>﴿</w:t>
      </w:r>
      <w:r w:rsidR="00685363" w:rsidRPr="00995B26">
        <w:rPr>
          <w:rFonts w:ascii="KFGQPC Uthmanic Script HAFS" w:cs="Times New Roman" w:hint="cs"/>
          <w:sz w:val="28"/>
          <w:rtl/>
        </w:rPr>
        <w:t>...</w:t>
      </w:r>
      <w:r w:rsidR="00685363" w:rsidRPr="00DF7CAE">
        <w:rPr>
          <w:rStyle w:val="Char3"/>
          <w:rFonts w:hint="eastAsia"/>
          <w:rtl/>
        </w:rPr>
        <w:t>مِّن</w:t>
      </w:r>
      <w:r w:rsidR="00685363" w:rsidRPr="00DF7CAE">
        <w:rPr>
          <w:rStyle w:val="Char3"/>
          <w:rtl/>
        </w:rPr>
        <w:t xml:space="preserve"> </w:t>
      </w:r>
      <w:r w:rsidR="00685363" w:rsidRPr="00DF7CAE">
        <w:rPr>
          <w:rStyle w:val="Char3"/>
          <w:rFonts w:hint="eastAsia"/>
          <w:rtl/>
        </w:rPr>
        <w:t>شَي</w:t>
      </w:r>
      <w:r w:rsidR="00685363" w:rsidRPr="00DF7CAE">
        <w:rPr>
          <w:rStyle w:val="Char3"/>
          <w:rFonts w:hint="cs"/>
          <w:rtl/>
        </w:rPr>
        <w:t>ۡ</w:t>
      </w:r>
      <w:r w:rsidR="00685363" w:rsidRPr="00DF7CAE">
        <w:rPr>
          <w:rStyle w:val="Char3"/>
          <w:rFonts w:hint="eastAsia"/>
          <w:rtl/>
        </w:rPr>
        <w:t>ء</w:t>
      </w:r>
      <w:r w:rsidR="00685363" w:rsidRPr="00DF7CAE">
        <w:rPr>
          <w:rStyle w:val="Char3"/>
          <w:rFonts w:hint="cs"/>
          <w:rtl/>
        </w:rPr>
        <w:t>ٖ</w:t>
      </w:r>
      <w:r w:rsidR="00685363" w:rsidRPr="00995B26">
        <w:rPr>
          <w:rFonts w:ascii="KFGQPC Uthmanic Script HAFS" w:cs="Times New Roman" w:hint="cs"/>
          <w:sz w:val="28"/>
          <w:rtl/>
        </w:rPr>
        <w:t>...</w:t>
      </w:r>
      <w:r w:rsidR="00685363" w:rsidRPr="00995B26">
        <w:rPr>
          <w:rFonts w:ascii="Abo-thar" w:hAnsi="Abo-thar" w:cs="Traditional Arabic" w:hint="cs"/>
          <w:sz w:val="28"/>
          <w:rtl/>
          <w:lang w:bidi="ar-SY"/>
        </w:rPr>
        <w:t>﴾</w:t>
      </w:r>
      <w:r w:rsidRPr="00995B26">
        <w:rPr>
          <w:rFonts w:ascii="Abo-thar" w:hAnsi="Abo-thar"/>
          <w:sz w:val="28"/>
          <w:rtl/>
          <w:lang w:bidi="ar-SY"/>
        </w:rPr>
        <w:t xml:space="preserve"> </w:t>
      </w:r>
      <w:r w:rsidRPr="00995B26">
        <w:rPr>
          <w:rFonts w:ascii="Abo-thar" w:hAnsi="Abo-thar" w:hint="cs"/>
          <w:sz w:val="28"/>
          <w:rtl/>
          <w:lang w:bidi="ar-SY"/>
        </w:rPr>
        <w:t>فيما يلي بعضها</w:t>
      </w:r>
      <w:r w:rsidR="00217AB4" w:rsidRPr="00995B26">
        <w:rPr>
          <w:rFonts w:ascii="Abo-thar" w:hAnsi="Abo-thar" w:hint="cs"/>
          <w:sz w:val="28"/>
          <w:rtl/>
          <w:lang w:bidi="ar-SY"/>
        </w:rPr>
        <w:t>:</w:t>
      </w:r>
      <w:r w:rsidRPr="00995B26">
        <w:rPr>
          <w:rFonts w:ascii="Abo-thar" w:hAnsi="Abo-thar" w:hint="cs"/>
          <w:sz w:val="28"/>
          <w:rtl/>
          <w:lang w:bidi="ar-SY"/>
        </w:rPr>
        <w:t xml:space="preserve"> </w:t>
      </w:r>
    </w:p>
    <w:p w:rsidR="005C664D" w:rsidRPr="003F3B94" w:rsidRDefault="005C664D" w:rsidP="00445175">
      <w:pPr>
        <w:pStyle w:val="a0"/>
        <w:ind w:left="624" w:hanging="340"/>
        <w:rPr>
          <w:rFonts w:hint="cs"/>
          <w:rtl/>
          <w:lang w:bidi="ar-SY"/>
        </w:rPr>
      </w:pPr>
      <w:r w:rsidRPr="003F3B94">
        <w:rPr>
          <w:rFonts w:ascii="Abo-thar" w:hAnsi="Abo-thar" w:hint="cs"/>
          <w:sz w:val="28"/>
          <w:rtl/>
          <w:lang w:bidi="ar-SY"/>
        </w:rPr>
        <w:t>أ</w:t>
      </w:r>
      <w:r w:rsidR="00217AB4" w:rsidRPr="003F3B94">
        <w:rPr>
          <w:rFonts w:ascii="Abo-thar" w:hAnsi="Abo-thar" w:hint="cs"/>
          <w:sz w:val="28"/>
          <w:rtl/>
          <w:lang w:bidi="ar-SY"/>
        </w:rPr>
        <w:t>-</w:t>
      </w:r>
      <w:r w:rsidRPr="003F3B94">
        <w:rPr>
          <w:rFonts w:ascii="Abo-thar" w:hAnsi="Abo-thar" w:hint="cs"/>
          <w:sz w:val="28"/>
          <w:rtl/>
          <w:lang w:bidi="ar-SY"/>
        </w:rPr>
        <w:t xml:space="preserve"> جاء في كتب السيرة وكتب الحديث</w:t>
      </w:r>
      <w:r w:rsidR="00217AB4" w:rsidRPr="003F3B94">
        <w:rPr>
          <w:rFonts w:ascii="Abo-thar" w:hAnsi="Abo-thar" w:hint="cs"/>
          <w:sz w:val="28"/>
          <w:rtl/>
          <w:lang w:bidi="ar-SY"/>
        </w:rPr>
        <w:t>،</w:t>
      </w:r>
      <w:r w:rsidRPr="003F3B94">
        <w:rPr>
          <w:rFonts w:ascii="Abo-thar" w:hAnsi="Abo-thar" w:hint="cs"/>
          <w:sz w:val="28"/>
          <w:rtl/>
          <w:lang w:bidi="ar-SY"/>
        </w:rPr>
        <w:t xml:space="preserve"> ككتاب «المصنف» لعبد الرزاق الصنعاني </w:t>
      </w:r>
      <w:r w:rsidR="00217AB4" w:rsidRPr="003F3B94">
        <w:rPr>
          <w:rFonts w:ascii="Abo-thar" w:hAnsi="Abo-thar" w:hint="cs"/>
          <w:sz w:val="28"/>
          <w:rtl/>
          <w:lang w:bidi="ar-SY"/>
        </w:rPr>
        <w:t>(</w:t>
      </w:r>
      <w:r w:rsidRPr="003F3B94">
        <w:rPr>
          <w:rFonts w:ascii="Abo-thar" w:hAnsi="Abo-thar" w:hint="cs"/>
          <w:sz w:val="28"/>
          <w:rtl/>
          <w:lang w:bidi="ar-SY"/>
        </w:rPr>
        <w:t>ج5/ص242</w:t>
      </w:r>
      <w:r w:rsidR="00217AB4" w:rsidRPr="003F3B94">
        <w:rPr>
          <w:rFonts w:ascii="Abo-thar" w:hAnsi="Abo-thar" w:hint="cs"/>
          <w:sz w:val="28"/>
          <w:rtl/>
          <w:lang w:bidi="ar-SY"/>
        </w:rPr>
        <w:t>،</w:t>
      </w:r>
      <w:r w:rsidRPr="003F3B94">
        <w:rPr>
          <w:rFonts w:ascii="Abo-thar" w:hAnsi="Abo-thar" w:hint="cs"/>
          <w:sz w:val="28"/>
          <w:rtl/>
          <w:lang w:bidi="ar-SY"/>
        </w:rPr>
        <w:t xml:space="preserve"> </w:t>
      </w:r>
      <w:r w:rsidR="00F66E61" w:rsidRPr="003F3B94">
        <w:rPr>
          <w:rFonts w:ascii="Abo-thar" w:hAnsi="Abo-thar" w:hint="cs"/>
          <w:sz w:val="28"/>
          <w:rtl/>
          <w:lang w:bidi="ar-SY"/>
        </w:rPr>
        <w:t>ح</w:t>
      </w:r>
      <w:r w:rsidRPr="003F3B94">
        <w:rPr>
          <w:rFonts w:ascii="Abo-thar" w:hAnsi="Abo-thar" w:hint="cs"/>
          <w:sz w:val="28"/>
          <w:rtl/>
          <w:lang w:bidi="ar-SY"/>
        </w:rPr>
        <w:t>9494</w:t>
      </w:r>
      <w:r w:rsidR="00217AB4" w:rsidRPr="003F3B94">
        <w:rPr>
          <w:rFonts w:ascii="Abo-thar" w:hAnsi="Abo-thar" w:hint="cs"/>
          <w:sz w:val="28"/>
          <w:rtl/>
          <w:lang w:bidi="ar-SY"/>
        </w:rPr>
        <w:t>)</w:t>
      </w:r>
      <w:r w:rsidRPr="003F3B94">
        <w:rPr>
          <w:rFonts w:ascii="Abo-thar" w:hAnsi="Abo-thar" w:hint="cs"/>
          <w:sz w:val="28"/>
          <w:rtl/>
          <w:lang w:bidi="ar-SY"/>
        </w:rPr>
        <w:t xml:space="preserve"> وكتاب المغازي للواقدي </w:t>
      </w:r>
      <w:r w:rsidR="00217AB4" w:rsidRPr="003F3B94">
        <w:rPr>
          <w:rFonts w:ascii="Abo-thar" w:hAnsi="Abo-thar" w:hint="cs"/>
          <w:sz w:val="28"/>
          <w:rtl/>
          <w:lang w:bidi="ar-SY"/>
        </w:rPr>
        <w:t>(</w:t>
      </w:r>
      <w:r w:rsidRPr="003F3B94">
        <w:rPr>
          <w:rFonts w:ascii="Abo-thar" w:hAnsi="Abo-thar" w:hint="cs"/>
          <w:sz w:val="28"/>
          <w:rtl/>
          <w:lang w:bidi="ar-SY"/>
        </w:rPr>
        <w:t>ج3/ص918</w:t>
      </w:r>
      <w:r w:rsidR="00217AB4" w:rsidRPr="003F3B94">
        <w:rPr>
          <w:rFonts w:ascii="Abo-thar" w:hAnsi="Abo-thar" w:hint="cs"/>
          <w:sz w:val="28"/>
          <w:rtl/>
          <w:lang w:bidi="ar-SY"/>
        </w:rPr>
        <w:t>):</w:t>
      </w:r>
      <w:r w:rsidRPr="003F3B94">
        <w:rPr>
          <w:rFonts w:ascii="Abo-thar" w:hAnsi="Abo-thar" w:hint="cs"/>
          <w:sz w:val="28"/>
          <w:rtl/>
          <w:lang w:bidi="ar-SY"/>
        </w:rPr>
        <w:t xml:space="preserve"> </w:t>
      </w:r>
      <w:r w:rsidR="00EF2588" w:rsidRPr="00CE7623">
        <w:rPr>
          <w:rFonts w:ascii="Abo-thar" w:hAnsi="Abo-thar" w:cs="KFGQPC Uthman Taha Naskh" w:hint="cs"/>
          <w:sz w:val="28"/>
          <w:rtl/>
          <w:lang w:bidi="ar-SY"/>
        </w:rPr>
        <w:t>«</w:t>
      </w:r>
      <w:r w:rsidRPr="00CE7623">
        <w:rPr>
          <w:rFonts w:ascii="Abo-thar" w:hAnsi="Abo-thar" w:cs="KFGQPC Uthman Taha Naskh"/>
          <w:b/>
          <w:bCs/>
          <w:sz w:val="28"/>
          <w:rtl/>
          <w:lang w:bidi="ar-SY"/>
        </w:rPr>
        <w:t>وَكَانَ عَقِيلُ بْنُ أَبِي طَالِبٍ دَخَلَ عَلَى زَوْجَتِهِ وَسَيْفُهُ مُتَلَطّخٌ دَمًا</w:t>
      </w:r>
      <w:r w:rsidR="00217AB4" w:rsidRPr="00CE7623">
        <w:rPr>
          <w:rFonts w:ascii="Abo-thar" w:hAnsi="Abo-thar" w:cs="KFGQPC Uthman Taha Naskh"/>
          <w:b/>
          <w:bCs/>
          <w:sz w:val="28"/>
          <w:rtl/>
          <w:lang w:bidi="ar-SY"/>
        </w:rPr>
        <w:t>:</w:t>
      </w:r>
      <w:r w:rsidRPr="00CE7623">
        <w:rPr>
          <w:rFonts w:ascii="Abo-thar" w:hAnsi="Abo-thar" w:cs="KFGQPC Uthman Taha Naskh"/>
          <w:b/>
          <w:bCs/>
          <w:sz w:val="28"/>
          <w:rtl/>
          <w:lang w:bidi="ar-SY"/>
        </w:rPr>
        <w:t xml:space="preserve"> فَقَالَتْ إنّي قَدْ عَلِمْت أَنّك قَدْ قَاتَلْت المُشْرِكِينَ فَمَاذَا أَصَبْت مِنْ غَنَائِمِهِمْ</w:t>
      </w:r>
      <w:r w:rsidR="00217AB4" w:rsidRPr="00CE7623">
        <w:rPr>
          <w:rFonts w:ascii="Abo-thar" w:hAnsi="Abo-thar" w:cs="KFGQPC Uthman Taha Naskh" w:hint="cs"/>
          <w:b/>
          <w:bCs/>
          <w:sz w:val="28"/>
          <w:rtl/>
          <w:lang w:bidi="ar-SY"/>
        </w:rPr>
        <w:t>؟</w:t>
      </w:r>
      <w:r w:rsidRPr="00CE7623">
        <w:rPr>
          <w:rFonts w:ascii="Abo-thar" w:hAnsi="Abo-thar" w:cs="KFGQPC Uthman Taha Naskh"/>
          <w:b/>
          <w:bCs/>
          <w:sz w:val="28"/>
          <w:rtl/>
          <w:lang w:bidi="ar-SY"/>
        </w:rPr>
        <w:t xml:space="preserve"> قَالَ</w:t>
      </w:r>
      <w:r w:rsidR="00217AB4" w:rsidRPr="00CE7623">
        <w:rPr>
          <w:rFonts w:ascii="Abo-thar" w:hAnsi="Abo-thar" w:cs="KFGQPC Uthman Taha Naskh"/>
          <w:b/>
          <w:bCs/>
          <w:sz w:val="28"/>
          <w:rtl/>
          <w:lang w:bidi="ar-SY"/>
        </w:rPr>
        <w:t>:</w:t>
      </w:r>
      <w:r w:rsidRPr="00CE7623">
        <w:rPr>
          <w:rFonts w:ascii="Abo-thar" w:hAnsi="Abo-thar" w:cs="KFGQPC Uthman Taha Naskh"/>
          <w:b/>
          <w:bCs/>
          <w:sz w:val="28"/>
          <w:rtl/>
          <w:lang w:bidi="ar-SY"/>
        </w:rPr>
        <w:t xml:space="preserve"> هَذِهِ الْإِبْرَةَ تَخِيطِينَ بِهَا ثِيَابَك</w:t>
      </w:r>
      <w:r w:rsidR="00217AB4" w:rsidRPr="00CE7623">
        <w:rPr>
          <w:rFonts w:ascii="Abo-thar" w:hAnsi="Abo-thar" w:cs="KFGQPC Uthman Taha Naskh"/>
          <w:b/>
          <w:bCs/>
          <w:sz w:val="28"/>
          <w:rtl/>
          <w:lang w:bidi="ar-SY"/>
        </w:rPr>
        <w:t>،</w:t>
      </w:r>
      <w:r w:rsidRPr="00CE7623">
        <w:rPr>
          <w:rFonts w:ascii="Abo-thar" w:hAnsi="Abo-thar" w:cs="KFGQPC Uthman Taha Naskh"/>
          <w:b/>
          <w:bCs/>
          <w:sz w:val="28"/>
          <w:rtl/>
          <w:lang w:bidi="ar-SY"/>
        </w:rPr>
        <w:t xml:space="preserve"> فَدَفَعَهَا إلَيْهَا</w:t>
      </w:r>
      <w:r w:rsidR="00217AB4" w:rsidRPr="00CE7623">
        <w:rPr>
          <w:rFonts w:ascii="Abo-thar" w:hAnsi="Abo-thar" w:cs="KFGQPC Uthman Taha Naskh"/>
          <w:b/>
          <w:bCs/>
          <w:sz w:val="28"/>
          <w:rtl/>
          <w:lang w:bidi="ar-SY"/>
        </w:rPr>
        <w:t>.</w:t>
      </w:r>
      <w:r w:rsidRPr="00CE7623">
        <w:rPr>
          <w:rFonts w:ascii="Abo-thar" w:hAnsi="Abo-thar" w:cs="KFGQPC Uthman Taha Naskh"/>
          <w:b/>
          <w:bCs/>
          <w:sz w:val="28"/>
          <w:rtl/>
          <w:lang w:bidi="ar-SY"/>
        </w:rPr>
        <w:t xml:space="preserve"> وَهِيَ فَاطِمَةُ بِنْتُ الْوَلِيدِ بْنِ عُتْبَةَ بْنِ رَبِيعَةَ</w:t>
      </w:r>
      <w:r w:rsidR="00217AB4" w:rsidRPr="00CE7623">
        <w:rPr>
          <w:rFonts w:ascii="Abo-thar" w:hAnsi="Abo-thar" w:cs="KFGQPC Uthman Taha Naskh"/>
          <w:b/>
          <w:bCs/>
          <w:sz w:val="28"/>
          <w:rtl/>
          <w:lang w:bidi="ar-SY"/>
        </w:rPr>
        <w:t>.</w:t>
      </w:r>
      <w:r w:rsidRPr="00CE7623">
        <w:rPr>
          <w:rFonts w:ascii="Abo-thar" w:hAnsi="Abo-thar" w:cs="KFGQPC Uthman Taha Naskh"/>
          <w:b/>
          <w:bCs/>
          <w:sz w:val="28"/>
          <w:rtl/>
          <w:lang w:bidi="ar-SY"/>
        </w:rPr>
        <w:t xml:space="preserve"> فَسَمِعَ مُنَادِيَ رَسُولِ </w:t>
      </w:r>
      <w:r w:rsidRPr="00CE7623">
        <w:rPr>
          <w:rFonts w:ascii="Abo-thar" w:hAnsi="Abo-thar" w:cs="KFGQPC Uthman Taha Naskh" w:hint="cs"/>
          <w:b/>
          <w:bCs/>
          <w:sz w:val="28"/>
          <w:rtl/>
          <w:lang w:bidi="ar-SY"/>
        </w:rPr>
        <w:t>اللهِ</w:t>
      </w:r>
      <w:r w:rsidR="005C53D5" w:rsidRPr="00CE7623">
        <w:rPr>
          <w:rFonts w:ascii="Abo-thar" w:hAnsi="Abo-thar" w:cs="KFGQPC Uthman Taha Naskh"/>
          <w:b/>
          <w:bCs/>
          <w:sz w:val="28"/>
          <w:rtl/>
          <w:lang w:bidi="ar-SY"/>
        </w:rPr>
        <w:t xml:space="preserve"> </w:t>
      </w:r>
      <w:r w:rsidR="00BC4BA9" w:rsidRPr="00BC4BA9">
        <w:rPr>
          <w:rFonts w:cs="CTraditional Arabic"/>
          <w:b/>
          <w:sz w:val="28"/>
          <w:rtl/>
          <w:lang w:bidi="ar-SY"/>
        </w:rPr>
        <w:t>ص</w:t>
      </w:r>
      <w:r w:rsidR="005C53D5" w:rsidRPr="00CE7623">
        <w:rPr>
          <w:rFonts w:cs="KFGQPC Uthman Taha Naskh"/>
          <w:b/>
          <w:bCs/>
          <w:sz w:val="28"/>
          <w:rtl/>
          <w:lang w:bidi="ar-SY"/>
        </w:rPr>
        <w:t xml:space="preserve"> </w:t>
      </w:r>
      <w:r w:rsidRPr="00CE7623">
        <w:rPr>
          <w:rFonts w:ascii="Abo-thar" w:hAnsi="Abo-thar" w:cs="KFGQPC Uthman Taha Naskh"/>
          <w:b/>
          <w:bCs/>
          <w:sz w:val="28"/>
          <w:rtl/>
          <w:lang w:bidi="ar-SY"/>
        </w:rPr>
        <w:t>يَقُولُ</w:t>
      </w:r>
      <w:r w:rsidR="00217AB4" w:rsidRPr="00CE7623">
        <w:rPr>
          <w:rFonts w:ascii="Abo-thar" w:hAnsi="Abo-thar" w:cs="KFGQPC Uthman Taha Naskh" w:hint="cs"/>
          <w:b/>
          <w:bCs/>
          <w:sz w:val="28"/>
          <w:rtl/>
          <w:lang w:bidi="ar-SY"/>
        </w:rPr>
        <w:t>:</w:t>
      </w:r>
      <w:r w:rsidRPr="00CE7623">
        <w:rPr>
          <w:rFonts w:ascii="Abo-thar" w:hAnsi="Abo-thar" w:cs="KFGQPC Uthman Taha Naskh"/>
          <w:b/>
          <w:bCs/>
          <w:sz w:val="28"/>
          <w:rtl/>
          <w:lang w:bidi="ar-SY"/>
        </w:rPr>
        <w:t xml:space="preserve"> مَنْ أَصَابَ شَيْئًا مِنْ المَغْنَمِ فَلْيَرُدّهُ</w:t>
      </w:r>
      <w:r w:rsidR="00217AB4" w:rsidRPr="00CE7623">
        <w:rPr>
          <w:rFonts w:ascii="Abo-thar" w:hAnsi="Abo-thar" w:cs="KFGQPC Uthman Taha Naskh"/>
          <w:b/>
          <w:bCs/>
          <w:sz w:val="28"/>
          <w:rtl/>
          <w:lang w:bidi="ar-SY"/>
        </w:rPr>
        <w:t>.</w:t>
      </w:r>
      <w:r w:rsidRPr="00CE7623">
        <w:rPr>
          <w:rFonts w:ascii="Abo-thar" w:hAnsi="Abo-thar" w:cs="KFGQPC Uthman Taha Naskh"/>
          <w:b/>
          <w:bCs/>
          <w:sz w:val="28"/>
          <w:rtl/>
          <w:lang w:bidi="ar-SY"/>
        </w:rPr>
        <w:t xml:space="preserve"> فَرَجَعَ عَقِيلٌ فَقَالَ</w:t>
      </w:r>
      <w:r w:rsidR="00217AB4" w:rsidRPr="00CE7623">
        <w:rPr>
          <w:rFonts w:ascii="Abo-thar" w:hAnsi="Abo-thar" w:cs="KFGQPC Uthman Taha Naskh"/>
          <w:b/>
          <w:bCs/>
          <w:sz w:val="28"/>
          <w:rtl/>
          <w:lang w:bidi="ar-SY"/>
        </w:rPr>
        <w:t>:</w:t>
      </w:r>
      <w:r w:rsidRPr="00CE7623">
        <w:rPr>
          <w:rFonts w:ascii="Abo-thar" w:hAnsi="Abo-thar" w:cs="KFGQPC Uthman Taha Naskh"/>
          <w:b/>
          <w:bCs/>
          <w:sz w:val="28"/>
          <w:rtl/>
          <w:lang w:bidi="ar-SY"/>
        </w:rPr>
        <w:t xml:space="preserve"> </w:t>
      </w:r>
      <w:r w:rsidRPr="00CE7623">
        <w:rPr>
          <w:rFonts w:ascii="Abo-thar" w:hAnsi="Abo-thar" w:cs="KFGQPC Uthman Taha Naskh" w:hint="cs"/>
          <w:b/>
          <w:bCs/>
          <w:sz w:val="28"/>
          <w:rtl/>
          <w:lang w:bidi="ar-SY"/>
        </w:rPr>
        <w:t>وَاللهِ</w:t>
      </w:r>
      <w:r w:rsidRPr="00CE7623">
        <w:rPr>
          <w:rFonts w:ascii="Abo-thar" w:hAnsi="Abo-thar" w:cs="KFGQPC Uthman Taha Naskh"/>
          <w:b/>
          <w:bCs/>
          <w:sz w:val="28"/>
          <w:rtl/>
          <w:lang w:bidi="ar-SY"/>
        </w:rPr>
        <w:t xml:space="preserve"> مَا أَرَى إبْرَتَك إلّا قَدْ ذَهَبَتْ</w:t>
      </w:r>
      <w:r w:rsidR="00217AB4" w:rsidRPr="00CE7623">
        <w:rPr>
          <w:rFonts w:ascii="Abo-thar" w:hAnsi="Abo-thar" w:cs="KFGQPC Uthman Taha Naskh"/>
          <w:b/>
          <w:bCs/>
          <w:sz w:val="28"/>
          <w:rtl/>
          <w:lang w:bidi="ar-SY"/>
        </w:rPr>
        <w:t>.</w:t>
      </w:r>
      <w:r w:rsidRPr="00CE7623">
        <w:rPr>
          <w:rFonts w:ascii="Abo-thar" w:hAnsi="Abo-thar" w:cs="KFGQPC Uthman Taha Naskh"/>
          <w:b/>
          <w:bCs/>
          <w:sz w:val="28"/>
          <w:rtl/>
          <w:lang w:bidi="ar-SY"/>
        </w:rPr>
        <w:t xml:space="preserve"> فَأَلْقَاهَا فِي الْغَنَائِمِ</w:t>
      </w:r>
      <w:r w:rsidR="00EF2588" w:rsidRPr="00CE7623">
        <w:rPr>
          <w:rFonts w:ascii="Abo-thar" w:hAnsi="Abo-thar" w:cs="KFGQPC Uthman Taha Naskh" w:hint="cs"/>
          <w:sz w:val="28"/>
          <w:rtl/>
          <w:lang w:bidi="ar-SY"/>
        </w:rPr>
        <w:t>»</w:t>
      </w:r>
      <w:r w:rsidR="00217AB4" w:rsidRPr="003F3B94">
        <w:rPr>
          <w:rFonts w:ascii="Abo-thar" w:hAnsi="Abo-thar" w:hint="cs"/>
          <w:sz w:val="28"/>
          <w:rtl/>
          <w:lang w:bidi="ar-SY"/>
        </w:rPr>
        <w:t>.</w:t>
      </w:r>
      <w:r w:rsidRPr="003F3B94">
        <w:rPr>
          <w:rFonts w:ascii="Abo-thar" w:hAnsi="Abo-thar" w:hint="cs"/>
          <w:sz w:val="28"/>
          <w:rtl/>
          <w:lang w:bidi="ar-SY"/>
        </w:rPr>
        <w:t xml:space="preserve"> </w:t>
      </w:r>
    </w:p>
    <w:p w:rsidR="005C664D" w:rsidRPr="003F3B94" w:rsidRDefault="005C664D" w:rsidP="00445175">
      <w:pPr>
        <w:pStyle w:val="a0"/>
        <w:ind w:left="624" w:hanging="340"/>
        <w:rPr>
          <w:rFonts w:hint="cs"/>
          <w:rtl/>
          <w:lang w:bidi="ar-SY"/>
        </w:rPr>
      </w:pPr>
      <w:r w:rsidRPr="003F3B94">
        <w:rPr>
          <w:rFonts w:ascii="Abo-thar" w:hAnsi="Abo-thar" w:hint="cs"/>
          <w:sz w:val="28"/>
          <w:rtl/>
          <w:lang w:bidi="ar-SY"/>
        </w:rPr>
        <w:t>ب</w:t>
      </w:r>
      <w:r w:rsidR="00217AB4" w:rsidRPr="003F3B94">
        <w:rPr>
          <w:rFonts w:ascii="Abo-thar" w:hAnsi="Abo-thar" w:hint="cs"/>
          <w:sz w:val="28"/>
          <w:rtl/>
          <w:lang w:bidi="ar-SY"/>
        </w:rPr>
        <w:t>-</w:t>
      </w:r>
      <w:r w:rsidRPr="003F3B94">
        <w:rPr>
          <w:rFonts w:ascii="Abo-thar" w:hAnsi="Abo-thar" w:hint="cs"/>
          <w:sz w:val="28"/>
          <w:rtl/>
          <w:lang w:bidi="ar-SY"/>
        </w:rPr>
        <w:t xml:space="preserve"> وجاء في مغازي الواقدي أيضا </w:t>
      </w:r>
      <w:r w:rsidR="00217AB4" w:rsidRPr="003F3B94">
        <w:rPr>
          <w:rFonts w:ascii="Abo-thar" w:hAnsi="Abo-thar" w:hint="cs"/>
          <w:sz w:val="28"/>
          <w:rtl/>
          <w:lang w:bidi="ar-SY"/>
        </w:rPr>
        <w:t>(</w:t>
      </w:r>
      <w:r w:rsidRPr="003F3B94">
        <w:rPr>
          <w:rFonts w:ascii="Abo-thar" w:hAnsi="Abo-thar" w:hint="cs"/>
          <w:sz w:val="28"/>
          <w:rtl/>
          <w:lang w:bidi="ar-SY"/>
        </w:rPr>
        <w:t>3/918</w:t>
      </w:r>
      <w:r w:rsidR="00217AB4" w:rsidRPr="003F3B94">
        <w:rPr>
          <w:rFonts w:ascii="Abo-thar" w:hAnsi="Abo-thar" w:hint="cs"/>
          <w:sz w:val="28"/>
          <w:rtl/>
          <w:lang w:bidi="ar-SY"/>
        </w:rPr>
        <w:t>)</w:t>
      </w:r>
      <w:r w:rsidRPr="003F3B94">
        <w:rPr>
          <w:rFonts w:ascii="Abo-thar" w:hAnsi="Abo-thar" w:hint="cs"/>
          <w:sz w:val="28"/>
          <w:rtl/>
          <w:lang w:bidi="ar-SY"/>
        </w:rPr>
        <w:t xml:space="preserve"> ذاته وفي سائر كتب التاريخ</w:t>
      </w:r>
      <w:r w:rsidR="00217AB4" w:rsidRPr="003F3B94">
        <w:rPr>
          <w:rFonts w:ascii="Abo-thar" w:hAnsi="Abo-thar" w:hint="cs"/>
          <w:sz w:val="28"/>
          <w:rtl/>
          <w:lang w:bidi="ar-SY"/>
        </w:rPr>
        <w:t>:</w:t>
      </w:r>
      <w:r w:rsidRPr="003F3B94">
        <w:rPr>
          <w:rFonts w:ascii="Abo-thar" w:hAnsi="Abo-thar" w:hint="cs"/>
          <w:sz w:val="28"/>
          <w:rtl/>
          <w:lang w:bidi="ar-SY"/>
        </w:rPr>
        <w:t xml:space="preserve"> </w:t>
      </w:r>
      <w:r w:rsidR="00EF2588" w:rsidRPr="00CE7623">
        <w:rPr>
          <w:rFonts w:ascii="Abo-thar" w:hAnsi="Abo-thar" w:cs="KFGQPC Uthman Taha Naskh" w:hint="cs"/>
          <w:sz w:val="28"/>
          <w:rtl/>
          <w:lang w:bidi="ar-SY"/>
        </w:rPr>
        <w:t>«</w:t>
      </w:r>
      <w:r w:rsidRPr="00CE7623">
        <w:rPr>
          <w:rFonts w:ascii="Abo-thar" w:hAnsi="Abo-thar" w:cs="KFGQPC Uthman Taha Naskh"/>
          <w:sz w:val="28"/>
          <w:rtl/>
          <w:lang w:bidi="ar-SY"/>
        </w:rPr>
        <w:t xml:space="preserve">أَنّ عَبْدَ </w:t>
      </w:r>
      <w:r w:rsidR="00F664A6" w:rsidRPr="00CE7623">
        <w:rPr>
          <w:rFonts w:ascii="Abo-thar" w:hAnsi="Abo-thar" w:cs="KFGQPC Uthman Taha Naskh" w:hint="cs"/>
          <w:sz w:val="28"/>
          <w:rtl/>
          <w:lang w:bidi="ar-SY"/>
        </w:rPr>
        <w:t>اللهِ</w:t>
      </w:r>
      <w:r w:rsidRPr="00CE7623">
        <w:rPr>
          <w:rFonts w:ascii="Abo-thar" w:hAnsi="Abo-thar" w:cs="KFGQPC Uthman Taha Naskh"/>
          <w:sz w:val="28"/>
          <w:rtl/>
          <w:lang w:bidi="ar-SY"/>
        </w:rPr>
        <w:t xml:space="preserve"> بْنَ زَيْدٍ المَازِنِيّ أَخَذَ يَوْمَئِذٍ </w:t>
      </w:r>
      <w:r w:rsidRPr="00CE7623">
        <w:rPr>
          <w:rFonts w:ascii="Abo-thar" w:hAnsi="Abo-thar" w:cs="KFGQPC Uthman Taha Naskh" w:hint="cs"/>
          <w:sz w:val="28"/>
          <w:rtl/>
          <w:lang w:bidi="ar-SY"/>
        </w:rPr>
        <w:t xml:space="preserve">[أي يوم حنين] </w:t>
      </w:r>
      <w:r w:rsidRPr="00CE7623">
        <w:rPr>
          <w:rFonts w:ascii="Abo-thar" w:hAnsi="Abo-thar" w:cs="KFGQPC Uthman Taha Naskh"/>
          <w:sz w:val="28"/>
          <w:rtl/>
          <w:lang w:bidi="ar-SY"/>
        </w:rPr>
        <w:t>قَوْسًا فَرَمَى عَلَيْهَا المُشْ</w:t>
      </w:r>
      <w:r w:rsidRPr="00CE7623">
        <w:rPr>
          <w:rFonts w:ascii="Abo-thar" w:hAnsi="Abo-thar" w:cs="KFGQPC Uthman Taha Naskh" w:hint="cs"/>
          <w:sz w:val="28"/>
          <w:rtl/>
          <w:lang w:bidi="ar-SY"/>
        </w:rPr>
        <w:t>ـ</w:t>
      </w:r>
      <w:r w:rsidRPr="00CE7623">
        <w:rPr>
          <w:rFonts w:ascii="Abo-thar" w:hAnsi="Abo-thar" w:cs="KFGQPC Uthman Taha Naskh"/>
          <w:sz w:val="28"/>
          <w:rtl/>
          <w:lang w:bidi="ar-SY"/>
        </w:rPr>
        <w:t>رِكِينَ ثُمّ رَدّهَا فِي المَغْنَمِ</w:t>
      </w:r>
      <w:r w:rsidR="00EF2588" w:rsidRPr="00CE7623">
        <w:rPr>
          <w:rFonts w:ascii="Abo-thar" w:hAnsi="Abo-thar" w:cs="KFGQPC Uthman Taha Naskh" w:hint="cs"/>
          <w:sz w:val="28"/>
          <w:rtl/>
          <w:lang w:bidi="ar-SY"/>
        </w:rPr>
        <w:t>»</w:t>
      </w:r>
      <w:r w:rsidR="00217AB4" w:rsidRPr="003F3B94">
        <w:rPr>
          <w:rFonts w:ascii="Abo-thar" w:hAnsi="Abo-thar" w:hint="cs"/>
          <w:sz w:val="28"/>
          <w:rtl/>
          <w:lang w:bidi="ar-SY"/>
        </w:rPr>
        <w:t>.</w:t>
      </w:r>
      <w:r w:rsidRPr="003F3B94">
        <w:rPr>
          <w:rFonts w:ascii="Abo-thar" w:hAnsi="Abo-thar" w:hint="cs"/>
          <w:sz w:val="28"/>
          <w:rtl/>
          <w:lang w:bidi="ar-SY"/>
        </w:rPr>
        <w:t xml:space="preserve"> </w:t>
      </w:r>
    </w:p>
    <w:p w:rsidR="005C664D" w:rsidRPr="003F3B94" w:rsidRDefault="005C664D" w:rsidP="00445175">
      <w:pPr>
        <w:pStyle w:val="a0"/>
        <w:ind w:left="624" w:hanging="340"/>
        <w:rPr>
          <w:rFonts w:hint="cs"/>
          <w:rtl/>
          <w:lang w:bidi="ar-SY"/>
        </w:rPr>
      </w:pPr>
      <w:r w:rsidRPr="003F3B94">
        <w:rPr>
          <w:rFonts w:ascii="Abo-thar" w:hAnsi="Abo-thar" w:hint="cs"/>
          <w:sz w:val="28"/>
          <w:rtl/>
          <w:lang w:bidi="ar-SY"/>
        </w:rPr>
        <w:t>ج</w:t>
      </w:r>
      <w:r w:rsidR="00217AB4" w:rsidRPr="003F3B94">
        <w:rPr>
          <w:rFonts w:ascii="Abo-thar" w:hAnsi="Abo-thar" w:hint="cs"/>
          <w:sz w:val="28"/>
          <w:rtl/>
          <w:lang w:bidi="ar-SY"/>
        </w:rPr>
        <w:t>-</w:t>
      </w:r>
      <w:r w:rsidRPr="003F3B94">
        <w:rPr>
          <w:rFonts w:ascii="Abo-thar" w:hAnsi="Abo-thar" w:hint="cs"/>
          <w:sz w:val="28"/>
          <w:rtl/>
          <w:lang w:bidi="ar-SY"/>
        </w:rPr>
        <w:t xml:space="preserve"> وجاء في الكتاب ذاته </w:t>
      </w:r>
      <w:r w:rsidR="00217AB4" w:rsidRPr="003F3B94">
        <w:rPr>
          <w:rFonts w:ascii="Abo-thar" w:hAnsi="Abo-thar" w:hint="cs"/>
          <w:sz w:val="28"/>
          <w:rtl/>
          <w:lang w:bidi="ar-SY"/>
        </w:rPr>
        <w:t>(</w:t>
      </w:r>
      <w:r w:rsidRPr="003F3B94">
        <w:rPr>
          <w:rFonts w:ascii="Abo-thar" w:hAnsi="Abo-thar" w:hint="cs"/>
          <w:sz w:val="28"/>
          <w:rtl/>
          <w:lang w:bidi="ar-SY"/>
        </w:rPr>
        <w:t>ص943</w:t>
      </w:r>
      <w:r w:rsidR="00217AB4" w:rsidRPr="003F3B94">
        <w:rPr>
          <w:rFonts w:ascii="Abo-thar" w:hAnsi="Abo-thar" w:hint="cs"/>
          <w:sz w:val="28"/>
          <w:rtl/>
          <w:lang w:bidi="ar-SY"/>
        </w:rPr>
        <w:t>)</w:t>
      </w:r>
      <w:r w:rsidRPr="003F3B94">
        <w:rPr>
          <w:rFonts w:ascii="Abo-thar" w:hAnsi="Abo-thar" w:hint="cs"/>
          <w:sz w:val="28"/>
          <w:rtl/>
          <w:lang w:bidi="ar-SY"/>
        </w:rPr>
        <w:t xml:space="preserve"> وفي موطأ مالك </w:t>
      </w:r>
      <w:r w:rsidR="00217AB4" w:rsidRPr="003F3B94">
        <w:rPr>
          <w:rFonts w:ascii="Abo-thar" w:hAnsi="Abo-thar" w:hint="cs"/>
          <w:sz w:val="28"/>
          <w:rtl/>
          <w:lang w:bidi="ar-SY"/>
        </w:rPr>
        <w:t>(</w:t>
      </w:r>
      <w:r w:rsidRPr="003F3B94">
        <w:rPr>
          <w:rFonts w:ascii="Abo-thar" w:hAnsi="Abo-thar" w:hint="cs"/>
          <w:sz w:val="28"/>
          <w:rtl/>
          <w:lang w:bidi="ar-SY"/>
        </w:rPr>
        <w:t>ص304</w:t>
      </w:r>
      <w:r w:rsidR="00217AB4" w:rsidRPr="003F3B94">
        <w:rPr>
          <w:rFonts w:ascii="Abo-thar" w:hAnsi="Abo-thar" w:hint="cs"/>
          <w:sz w:val="28"/>
          <w:rtl/>
          <w:lang w:bidi="ar-SY"/>
        </w:rPr>
        <w:t>)</w:t>
      </w:r>
      <w:r w:rsidRPr="003F3B94">
        <w:rPr>
          <w:rFonts w:ascii="Abo-thar" w:hAnsi="Abo-thar" w:hint="cs"/>
          <w:sz w:val="28"/>
          <w:rtl/>
          <w:lang w:bidi="ar-SY"/>
        </w:rPr>
        <w:t xml:space="preserve"> وفي </w:t>
      </w:r>
      <w:r w:rsidRPr="003F3B94">
        <w:rPr>
          <w:rFonts w:ascii="Abo-thar" w:hAnsi="Abo-thar" w:hint="eastAsia"/>
          <w:sz w:val="28"/>
          <w:rtl/>
          <w:lang w:bidi="ar-SY"/>
        </w:rPr>
        <w:t>«</w:t>
      </w:r>
      <w:r w:rsidRPr="003F3B94">
        <w:rPr>
          <w:rFonts w:ascii="Abo-thar" w:hAnsi="Abo-thar" w:hint="cs"/>
          <w:sz w:val="28"/>
          <w:rtl/>
          <w:lang w:bidi="ar-SY"/>
        </w:rPr>
        <w:t>المصنف</w:t>
      </w:r>
      <w:r w:rsidRPr="003F3B94">
        <w:rPr>
          <w:rFonts w:ascii="Abo-thar" w:hAnsi="Abo-thar" w:hint="eastAsia"/>
          <w:sz w:val="28"/>
          <w:rtl/>
          <w:lang w:bidi="ar-SY"/>
        </w:rPr>
        <w:t>»</w:t>
      </w:r>
      <w:r w:rsidRPr="003F3B94">
        <w:rPr>
          <w:rFonts w:ascii="Abo-thar" w:hAnsi="Abo-thar" w:hint="cs"/>
          <w:sz w:val="28"/>
          <w:rtl/>
          <w:lang w:bidi="ar-SY"/>
        </w:rPr>
        <w:t xml:space="preserve"> </w:t>
      </w:r>
      <w:r w:rsidR="00217AB4" w:rsidRPr="003F3B94">
        <w:rPr>
          <w:rFonts w:ascii="Abo-thar" w:hAnsi="Abo-thar" w:hint="cs"/>
          <w:sz w:val="28"/>
          <w:rtl/>
          <w:lang w:bidi="ar-SY"/>
        </w:rPr>
        <w:t>(</w:t>
      </w:r>
      <w:r w:rsidRPr="003F3B94">
        <w:rPr>
          <w:rFonts w:ascii="Abo-thar" w:hAnsi="Abo-thar" w:hint="cs"/>
          <w:sz w:val="28"/>
          <w:rtl/>
          <w:lang w:bidi="ar-SY"/>
        </w:rPr>
        <w:t>ج5/ص243</w:t>
      </w:r>
      <w:r w:rsidR="00217AB4" w:rsidRPr="003F3B94">
        <w:rPr>
          <w:rFonts w:ascii="Abo-thar" w:hAnsi="Abo-thar" w:hint="cs"/>
          <w:sz w:val="28"/>
          <w:rtl/>
          <w:lang w:bidi="ar-SY"/>
        </w:rPr>
        <w:t>)</w:t>
      </w:r>
      <w:r w:rsidRPr="003F3B94">
        <w:rPr>
          <w:rFonts w:ascii="Abo-thar" w:hAnsi="Abo-thar" w:hint="cs"/>
          <w:sz w:val="28"/>
          <w:rtl/>
          <w:lang w:bidi="ar-SY"/>
        </w:rPr>
        <w:t xml:space="preserve"> أن رسول الله</w:t>
      </w:r>
      <w:r w:rsidR="00147857" w:rsidRPr="003F3B94">
        <w:rPr>
          <w:rFonts w:ascii="Abo-thar" w:hAnsi="Abo-thar" w:hint="cs"/>
          <w:sz w:val="28"/>
          <w:rtl/>
          <w:lang w:bidi="ar-SY"/>
        </w:rPr>
        <w:t xml:space="preserve"> </w:t>
      </w:r>
      <w:r w:rsidR="003C7AEB" w:rsidRPr="003C7AEB">
        <w:rPr>
          <w:rFonts w:ascii="Abo-thar" w:hAnsi="Abo-thar" w:cs="CTraditional Arabic" w:hint="cs"/>
          <w:sz w:val="28"/>
          <w:rtl/>
          <w:lang w:bidi="ar-SY"/>
        </w:rPr>
        <w:t>ص</w:t>
      </w:r>
      <w:r w:rsidR="00147857" w:rsidRPr="003F3B94">
        <w:rPr>
          <w:rFonts w:ascii="Abo-thar" w:hAnsi="Abo-thar" w:hint="cs"/>
          <w:sz w:val="28"/>
          <w:rtl/>
          <w:lang w:bidi="ar-SY"/>
        </w:rPr>
        <w:t xml:space="preserve"> </w:t>
      </w:r>
      <w:r w:rsidRPr="003F3B94">
        <w:rPr>
          <w:rFonts w:ascii="Abo-thar" w:hAnsi="Abo-thar" w:hint="cs"/>
          <w:sz w:val="28"/>
          <w:rtl/>
          <w:lang w:bidi="ar-SY"/>
        </w:rPr>
        <w:t>أعلن عند تقسيم غنائم حنين قائلاً</w:t>
      </w:r>
      <w:r w:rsidR="00217AB4" w:rsidRPr="003F3B94">
        <w:rPr>
          <w:rFonts w:ascii="Abo-thar" w:hAnsi="Abo-thar" w:hint="cs"/>
          <w:sz w:val="28"/>
          <w:rtl/>
          <w:lang w:bidi="ar-SY"/>
        </w:rPr>
        <w:t>:</w:t>
      </w:r>
      <w:r w:rsidRPr="003F3B94">
        <w:rPr>
          <w:rFonts w:ascii="Abo-thar" w:hAnsi="Abo-thar" w:hint="cs"/>
          <w:sz w:val="28"/>
          <w:rtl/>
          <w:lang w:bidi="ar-SY"/>
        </w:rPr>
        <w:t xml:space="preserve"> </w:t>
      </w:r>
      <w:r w:rsidR="00EF2588" w:rsidRPr="00CE7623">
        <w:rPr>
          <w:rFonts w:ascii="Abo-thar" w:hAnsi="Abo-thar" w:cs="KFGQPC Uthman Taha Naskh" w:hint="cs"/>
          <w:sz w:val="28"/>
          <w:rtl/>
          <w:lang w:bidi="ar-SY"/>
        </w:rPr>
        <w:t>«</w:t>
      </w:r>
      <w:r w:rsidRPr="00CE7623">
        <w:rPr>
          <w:rFonts w:ascii="Abo-thar" w:hAnsi="Abo-thar" w:cs="KFGQPC Uthman Taha Naskh"/>
          <w:b/>
          <w:bCs/>
          <w:sz w:val="28"/>
          <w:rtl/>
          <w:lang w:bidi="ar-SY"/>
        </w:rPr>
        <w:t>أَدّوا الْخِيَاطَ وَالْمِخْيَطَ</w:t>
      </w:r>
      <w:r w:rsidR="00217AB4" w:rsidRPr="00CE7623">
        <w:rPr>
          <w:rStyle w:val="FootnoteReference"/>
          <w:rFonts w:cs="KFGQPC Uthman Taha Naskh"/>
          <w:b/>
          <w:sz w:val="28"/>
          <w:rtl/>
          <w:lang w:bidi="ar-SY"/>
        </w:rPr>
        <w:t>(</w:t>
      </w:r>
      <w:r w:rsidRPr="00CE7623">
        <w:rPr>
          <w:rStyle w:val="FootnoteReference"/>
          <w:rFonts w:cs="KFGQPC Uthman Taha Naskh"/>
          <w:b/>
          <w:sz w:val="28"/>
          <w:rtl/>
          <w:lang w:bidi="ar-SY"/>
        </w:rPr>
        <w:footnoteReference w:id="43"/>
      </w:r>
      <w:r w:rsidR="00217AB4" w:rsidRPr="00CE7623">
        <w:rPr>
          <w:rStyle w:val="FootnoteReference"/>
          <w:rFonts w:cs="KFGQPC Uthman Taha Naskh"/>
          <w:b/>
          <w:sz w:val="28"/>
          <w:rtl/>
          <w:lang w:bidi="ar-SY"/>
        </w:rPr>
        <w:t>)</w:t>
      </w:r>
      <w:r w:rsidRPr="00CE7623">
        <w:rPr>
          <w:rFonts w:ascii="Abo-thar" w:hAnsi="Abo-thar" w:cs="KFGQPC Uthman Taha Naskh" w:hint="cs"/>
          <w:b/>
          <w:bCs/>
          <w:sz w:val="28"/>
          <w:rtl/>
          <w:lang w:bidi="ar-SY"/>
        </w:rPr>
        <w:t xml:space="preserve"> </w:t>
      </w:r>
      <w:r w:rsidRPr="00CE7623">
        <w:rPr>
          <w:rFonts w:ascii="Abo-thar" w:hAnsi="Abo-thar" w:cs="KFGQPC Uthman Taha Naskh"/>
          <w:b/>
          <w:bCs/>
          <w:sz w:val="28"/>
          <w:rtl/>
          <w:lang w:bidi="ar-SY"/>
        </w:rPr>
        <w:t>وَإِيّاكُمْ وَالْغُلُولَ فَإِنّهُ عَارٌ وَنَارٌ وَشَنَارٌ</w:t>
      </w:r>
      <w:r w:rsidR="00217AB4" w:rsidRPr="00CE7623">
        <w:rPr>
          <w:rStyle w:val="FootnoteReference"/>
          <w:rFonts w:cs="KFGQPC Uthman Taha Naskh"/>
          <w:b/>
          <w:sz w:val="28"/>
          <w:rtl/>
          <w:lang w:bidi="ar-SY"/>
        </w:rPr>
        <w:t>(</w:t>
      </w:r>
      <w:r w:rsidRPr="00CE7623">
        <w:rPr>
          <w:rStyle w:val="FootnoteReference"/>
          <w:rFonts w:cs="KFGQPC Uthman Taha Naskh"/>
          <w:b/>
          <w:sz w:val="28"/>
          <w:rtl/>
          <w:lang w:bidi="ar-SY"/>
        </w:rPr>
        <w:footnoteReference w:id="44"/>
      </w:r>
      <w:r w:rsidR="00217AB4" w:rsidRPr="00CE7623">
        <w:rPr>
          <w:rStyle w:val="FootnoteReference"/>
          <w:rFonts w:cs="KFGQPC Uthman Taha Naskh"/>
          <w:b/>
          <w:sz w:val="28"/>
          <w:rtl/>
          <w:lang w:bidi="ar-SY"/>
        </w:rPr>
        <w:t>)</w:t>
      </w:r>
      <w:r w:rsidRPr="00CE7623">
        <w:rPr>
          <w:rFonts w:ascii="Abo-thar" w:hAnsi="Abo-thar" w:cs="KFGQPC Uthman Taha Naskh"/>
          <w:b/>
          <w:bCs/>
          <w:sz w:val="28"/>
          <w:rtl/>
          <w:lang w:bidi="ar-SY"/>
        </w:rPr>
        <w:t xml:space="preserve"> يَوْمَ الْقِيَامَةِ</w:t>
      </w:r>
      <w:r w:rsidR="00EF2588" w:rsidRPr="00CE7623">
        <w:rPr>
          <w:rFonts w:ascii="Abo-thar" w:hAnsi="Abo-thar" w:cs="KFGQPC Uthman Taha Naskh" w:hint="cs"/>
          <w:sz w:val="28"/>
          <w:rtl/>
          <w:lang w:bidi="ar-SY"/>
        </w:rPr>
        <w:t>»</w:t>
      </w:r>
      <w:r w:rsidR="00217AB4" w:rsidRPr="003F3B94">
        <w:rPr>
          <w:rFonts w:ascii="Abo-thar" w:hAnsi="Abo-thar" w:hint="cs"/>
          <w:sz w:val="28"/>
          <w:rtl/>
          <w:lang w:bidi="ar-SY"/>
        </w:rPr>
        <w:t>.</w:t>
      </w:r>
    </w:p>
    <w:p w:rsidR="005C664D" w:rsidRPr="00995B26" w:rsidRDefault="005C664D" w:rsidP="003F3B94">
      <w:pPr>
        <w:pStyle w:val="a0"/>
        <w:rPr>
          <w:rFonts w:hint="cs"/>
          <w:rtl/>
          <w:lang w:bidi="ar-SY"/>
        </w:rPr>
      </w:pPr>
      <w:r w:rsidRPr="003F3B94">
        <w:rPr>
          <w:rFonts w:ascii="Abo-thar" w:hAnsi="Abo-thar" w:hint="cs"/>
          <w:sz w:val="28"/>
          <w:rtl/>
          <w:lang w:bidi="ar-SY"/>
        </w:rPr>
        <w:t xml:space="preserve">وهناك عشرات الروايات حول هذه القضية تبين أن المقصود من </w:t>
      </w:r>
      <w:r w:rsidR="00685363" w:rsidRPr="00995B26">
        <w:rPr>
          <w:rFonts w:ascii="Abo-thar" w:hAnsi="Abo-thar" w:cs="Traditional Arabic" w:hint="cs"/>
          <w:sz w:val="28"/>
          <w:rtl/>
          <w:lang w:bidi="ar-SY"/>
        </w:rPr>
        <w:t>﴿</w:t>
      </w:r>
      <w:r w:rsidR="00685363" w:rsidRPr="00DF7CAE">
        <w:rPr>
          <w:rStyle w:val="Char3"/>
          <w:rFonts w:hint="eastAsia"/>
          <w:rtl/>
        </w:rPr>
        <w:t>مِّن</w:t>
      </w:r>
      <w:r w:rsidR="00685363" w:rsidRPr="00DF7CAE">
        <w:rPr>
          <w:rStyle w:val="Char3"/>
          <w:rtl/>
        </w:rPr>
        <w:t xml:space="preserve"> </w:t>
      </w:r>
      <w:r w:rsidR="00685363" w:rsidRPr="00DF7CAE">
        <w:rPr>
          <w:rStyle w:val="Char3"/>
          <w:rFonts w:hint="eastAsia"/>
          <w:rtl/>
        </w:rPr>
        <w:t>شَي</w:t>
      </w:r>
      <w:r w:rsidR="00685363" w:rsidRPr="00DF7CAE">
        <w:rPr>
          <w:rStyle w:val="Char3"/>
          <w:rFonts w:hint="cs"/>
          <w:rtl/>
        </w:rPr>
        <w:t>ۡ</w:t>
      </w:r>
      <w:r w:rsidR="00685363" w:rsidRPr="00DF7CAE">
        <w:rPr>
          <w:rStyle w:val="Char3"/>
          <w:rFonts w:hint="eastAsia"/>
          <w:rtl/>
        </w:rPr>
        <w:t>ء</w:t>
      </w:r>
      <w:r w:rsidR="00685363" w:rsidRPr="00DF7CAE">
        <w:rPr>
          <w:rStyle w:val="Char3"/>
          <w:rFonts w:hint="cs"/>
          <w:rtl/>
        </w:rPr>
        <w:t>ٖ</w:t>
      </w:r>
      <w:r w:rsidR="00685363" w:rsidRPr="00995B26">
        <w:rPr>
          <w:rFonts w:ascii="Abo-thar" w:hAnsi="Abo-thar" w:cs="Traditional Arabic" w:hint="cs"/>
          <w:sz w:val="28"/>
          <w:rtl/>
          <w:lang w:bidi="ar-SY"/>
        </w:rPr>
        <w:t>﴾</w:t>
      </w:r>
      <w:r w:rsidRPr="00995B26">
        <w:rPr>
          <w:rFonts w:ascii="Abo-thar" w:hAnsi="Abo-thar"/>
          <w:sz w:val="28"/>
          <w:rtl/>
          <w:lang w:bidi="ar-SY"/>
        </w:rPr>
        <w:t xml:space="preserve"> </w:t>
      </w:r>
      <w:r w:rsidRPr="00995B26">
        <w:rPr>
          <w:rFonts w:ascii="Abo-thar" w:hAnsi="Abo-thar" w:hint="cs"/>
          <w:sz w:val="28"/>
          <w:rtl/>
          <w:lang w:bidi="ar-SY"/>
        </w:rPr>
        <w:t>كلَّ شيءٍ من الغنائم</w:t>
      </w:r>
      <w:r w:rsidR="00217AB4" w:rsidRPr="00995B26">
        <w:rPr>
          <w:rFonts w:ascii="Abo-thar" w:hAnsi="Abo-thar" w:hint="cs"/>
          <w:sz w:val="28"/>
          <w:rtl/>
          <w:lang w:bidi="ar-SY"/>
        </w:rPr>
        <w:t>.</w:t>
      </w:r>
      <w:r w:rsidRPr="00995B26">
        <w:rPr>
          <w:rFonts w:ascii="Abo-thar" w:hAnsi="Abo-thar" w:hint="cs"/>
          <w:sz w:val="28"/>
          <w:rtl/>
          <w:lang w:bidi="ar-SY"/>
        </w:rPr>
        <w:t xml:space="preserve"> </w:t>
      </w:r>
    </w:p>
    <w:p w:rsidR="00D05FF1" w:rsidRPr="003F3B94" w:rsidRDefault="005C664D" w:rsidP="00791AC0">
      <w:pPr>
        <w:pStyle w:val="a0"/>
        <w:rPr>
          <w:rFonts w:hint="cs"/>
          <w:rtl/>
          <w:lang w:bidi="ar-SY"/>
        </w:rPr>
      </w:pPr>
      <w:r w:rsidRPr="003F3B94">
        <w:rPr>
          <w:rFonts w:ascii="Abo-thar" w:hAnsi="Abo-thar" w:hint="cs"/>
          <w:sz w:val="28"/>
          <w:rtl/>
          <w:lang w:bidi="ar-SY"/>
        </w:rPr>
        <w:t xml:space="preserve">ومثل ذلك ما جاء في كتاب </w:t>
      </w:r>
      <w:r w:rsidRPr="003F3B94">
        <w:rPr>
          <w:rFonts w:ascii="Abo-thar" w:hAnsi="Abo-thar" w:hint="eastAsia"/>
          <w:sz w:val="28"/>
          <w:rtl/>
          <w:lang w:bidi="ar-SY"/>
        </w:rPr>
        <w:t>«</w:t>
      </w:r>
      <w:r w:rsidRPr="003F3B94">
        <w:rPr>
          <w:rFonts w:ascii="Abo-thar" w:hAnsi="Abo-thar" w:hint="cs"/>
          <w:sz w:val="28"/>
          <w:rtl/>
          <w:lang w:bidi="ar-SY"/>
        </w:rPr>
        <w:t>المصنف</w:t>
      </w:r>
      <w:r w:rsidRPr="003F3B94">
        <w:rPr>
          <w:rFonts w:ascii="Abo-thar" w:hAnsi="Abo-thar" w:hint="eastAsia"/>
          <w:sz w:val="28"/>
          <w:rtl/>
          <w:lang w:bidi="ar-SY"/>
        </w:rPr>
        <w:t>»</w:t>
      </w:r>
      <w:r w:rsidRPr="003F3B94">
        <w:rPr>
          <w:rFonts w:ascii="Abo-thar" w:hAnsi="Abo-thar" w:hint="cs"/>
          <w:sz w:val="28"/>
          <w:rtl/>
          <w:lang w:bidi="ar-SY"/>
        </w:rPr>
        <w:t xml:space="preserve"> لعبد الرزاق الصنعاني </w:t>
      </w:r>
      <w:r w:rsidR="00217AB4" w:rsidRPr="003F3B94">
        <w:rPr>
          <w:rFonts w:ascii="Abo-thar" w:hAnsi="Abo-thar" w:hint="cs"/>
          <w:sz w:val="28"/>
          <w:rtl/>
          <w:lang w:bidi="ar-SY"/>
        </w:rPr>
        <w:t>(</w:t>
      </w:r>
      <w:r w:rsidRPr="003F3B94">
        <w:rPr>
          <w:rFonts w:ascii="Abo-thar" w:hAnsi="Abo-thar" w:hint="cs"/>
          <w:sz w:val="28"/>
          <w:rtl/>
          <w:lang w:bidi="ar-SY"/>
        </w:rPr>
        <w:t>ج5/ص242</w:t>
      </w:r>
      <w:r w:rsidR="00217AB4" w:rsidRPr="003F3B94">
        <w:rPr>
          <w:rFonts w:ascii="Abo-thar" w:hAnsi="Abo-thar" w:hint="cs"/>
          <w:sz w:val="28"/>
          <w:rtl/>
          <w:lang w:bidi="ar-SY"/>
        </w:rPr>
        <w:t>،</w:t>
      </w:r>
      <w:r w:rsidRPr="003F3B94">
        <w:rPr>
          <w:rFonts w:ascii="Abo-thar" w:hAnsi="Abo-thar" w:hint="cs"/>
          <w:sz w:val="28"/>
          <w:rtl/>
          <w:lang w:bidi="ar-SY"/>
        </w:rPr>
        <w:t xml:space="preserve"> رقم 9493</w:t>
      </w:r>
      <w:r w:rsidR="00217AB4" w:rsidRPr="003F3B94">
        <w:rPr>
          <w:rFonts w:ascii="Abo-thar" w:hAnsi="Abo-thar" w:hint="cs"/>
          <w:sz w:val="28"/>
          <w:rtl/>
          <w:lang w:bidi="ar-SY"/>
        </w:rPr>
        <w:t>):</w:t>
      </w:r>
      <w:r w:rsidRPr="003F3B94">
        <w:rPr>
          <w:rFonts w:ascii="Abo-thar" w:hAnsi="Abo-thar" w:hint="cs"/>
          <w:sz w:val="28"/>
          <w:rtl/>
          <w:lang w:bidi="ar-SY"/>
        </w:rPr>
        <w:t xml:space="preserve"> </w:t>
      </w:r>
      <w:r w:rsidR="00EF2588" w:rsidRPr="00CE7623">
        <w:rPr>
          <w:rFonts w:ascii="Abo-thar" w:hAnsi="Abo-thar" w:cs="KFGQPC Uthman Taha Naskh" w:hint="cs"/>
          <w:sz w:val="28"/>
          <w:rtl/>
          <w:lang w:bidi="ar-SY"/>
        </w:rPr>
        <w:t>«</w:t>
      </w:r>
      <w:r w:rsidR="00791AC0" w:rsidRPr="00791AC0">
        <w:rPr>
          <w:rFonts w:ascii="Abo-thar" w:hAnsi="Abo-thar" w:cs="KFGQPC Uthman Taha Naskh"/>
          <w:b/>
          <w:bCs/>
          <w:sz w:val="28"/>
          <w:rtl/>
          <w:lang w:bidi="ar-SY"/>
        </w:rPr>
        <w:t>عَنْ مَعْمَرٍ، عَنْ قَتَادَةَ قَالَ: كَانَ النَّبِيُّ صَلَّى اللهُ عَلَيْهِ وَسَلَّمَ إِذَا غَنِمَ مَغْنَمًا بَعَثَ مُنَادِيًا: «لَا يَغُلَّنَّ رَجُلٌ مَخِيطًا فَمَا دُونَهُ، أَلَا لَا يَغُلَّنَّ رَجُلٌ بَعِيرًا فَيَأْتِي بِهِ عَلَى ظَهْرِهِ يَوْمَ الْقِيَامَةِ لَهُ رُغَاءٌ، أَلَا لَا يَغُلَّنَّ فَرَسًا فَيَأْتِي بِهِ يَوْمَ الْقِيَامَةِ عَلَى ظَهْرِهِ لَهُ حَمْحَمَةٌ»</w:t>
      </w:r>
      <w:r w:rsidR="00217AB4" w:rsidRPr="0021507A">
        <w:rPr>
          <w:rFonts w:cs="Arabic11 BT"/>
          <w:b/>
          <w:sz w:val="28"/>
          <w:vertAlign w:val="superscript"/>
          <w:rtl/>
          <w:lang w:bidi="ar-SY"/>
        </w:rPr>
        <w:t>(</w:t>
      </w:r>
      <w:r w:rsidRPr="0021507A">
        <w:rPr>
          <w:rStyle w:val="FootnoteReference"/>
          <w:rFonts w:cs="Arabic11 BT"/>
          <w:b/>
          <w:sz w:val="28"/>
          <w:rtl/>
          <w:lang w:bidi="ar-SY"/>
        </w:rPr>
        <w:footnoteReference w:id="45"/>
      </w:r>
      <w:r w:rsidR="00217AB4" w:rsidRPr="0021507A">
        <w:rPr>
          <w:rFonts w:cs="Arabic11 BT"/>
          <w:b/>
          <w:sz w:val="28"/>
          <w:vertAlign w:val="superscript"/>
          <w:rtl/>
          <w:lang w:bidi="ar-SY"/>
        </w:rPr>
        <w:t>)</w:t>
      </w:r>
      <w:r w:rsidR="00217AB4" w:rsidRPr="003F3B94">
        <w:rPr>
          <w:rFonts w:ascii="Abo-thar" w:hAnsi="Abo-thar" w:hint="cs"/>
          <w:sz w:val="28"/>
          <w:rtl/>
          <w:lang w:bidi="ar-SY"/>
        </w:rPr>
        <w:t>.</w:t>
      </w:r>
    </w:p>
    <w:p w:rsidR="00D05FF1" w:rsidRPr="00995B26" w:rsidRDefault="00D05FF1" w:rsidP="00445175">
      <w:pPr>
        <w:pStyle w:val="a0"/>
        <w:rPr>
          <w:rFonts w:hint="cs"/>
          <w:rtl/>
        </w:rPr>
      </w:pPr>
      <w:r w:rsidRPr="003F3B94">
        <w:rPr>
          <w:rFonts w:ascii="Abo-thar" w:hAnsi="Abo-thar" w:hint="cs"/>
          <w:sz w:val="28"/>
          <w:rtl/>
          <w:lang w:bidi="ar-SY"/>
        </w:rPr>
        <w:t xml:space="preserve">وروي أنه لما قُتِلَ </w:t>
      </w:r>
      <w:r w:rsidRPr="003F3B94">
        <w:rPr>
          <w:rFonts w:ascii="Abo-thar" w:hAnsi="Abo-thar"/>
          <w:sz w:val="28"/>
          <w:rtl/>
          <w:lang w:bidi="ar-SY"/>
        </w:rPr>
        <w:t>عَبْدٌ لَهُ يُقَالُ لَهُ</w:t>
      </w:r>
      <w:r w:rsidRPr="003F3B94">
        <w:rPr>
          <w:rFonts w:ascii="Abo-thar" w:hAnsi="Abo-thar" w:hint="cs"/>
          <w:sz w:val="28"/>
          <w:rtl/>
          <w:lang w:bidi="ar-SY"/>
        </w:rPr>
        <w:t>:</w:t>
      </w:r>
      <w:r w:rsidRPr="003F3B94">
        <w:rPr>
          <w:rFonts w:ascii="Abo-thar" w:hAnsi="Abo-thar"/>
          <w:sz w:val="28"/>
          <w:rtl/>
          <w:lang w:bidi="ar-SY"/>
        </w:rPr>
        <w:t xml:space="preserve"> </w:t>
      </w:r>
      <w:r w:rsidRPr="00995B26">
        <w:rPr>
          <w:rFonts w:ascii="Traditional Arabic" w:hAnsi="Traditional Arabic" w:cs="Traditional Arabic"/>
          <w:sz w:val="28"/>
          <w:rtl/>
          <w:lang w:bidi="ar-SY"/>
        </w:rPr>
        <w:t>«</w:t>
      </w:r>
      <w:r w:rsidRPr="00995B26">
        <w:rPr>
          <w:rFonts w:ascii="Abo-thar" w:hAnsi="Abo-thar"/>
          <w:sz w:val="28"/>
          <w:rtl/>
          <w:lang w:bidi="ar-SY"/>
        </w:rPr>
        <w:t>مِدْعَمٌ</w:t>
      </w:r>
      <w:r w:rsidRPr="00995B26">
        <w:rPr>
          <w:rFonts w:ascii="Traditional Arabic" w:hAnsi="Traditional Arabic" w:cs="Traditional Arabic"/>
          <w:sz w:val="28"/>
          <w:rtl/>
          <w:lang w:bidi="ar-SY"/>
        </w:rPr>
        <w:t>»</w:t>
      </w:r>
      <w:r w:rsidRPr="00995B26">
        <w:rPr>
          <w:rFonts w:ascii="Abo-thar" w:hAnsi="Abo-thar" w:hint="cs"/>
          <w:sz w:val="28"/>
          <w:rtl/>
          <w:lang w:bidi="ar-SY"/>
        </w:rPr>
        <w:t>...</w:t>
      </w:r>
      <w:r w:rsidR="00CA70A5" w:rsidRPr="00995B26">
        <w:rPr>
          <w:rFonts w:ascii="Abo-thar" w:hAnsi="Abo-thar"/>
          <w:sz w:val="28"/>
          <w:rtl/>
          <w:lang w:bidi="ar-SY"/>
        </w:rPr>
        <w:t xml:space="preserve"> فَقَالَ النَّاس</w:t>
      </w:r>
      <w:r w:rsidR="00CA70A5" w:rsidRPr="00995B26">
        <w:rPr>
          <w:rFonts w:ascii="Abo-thar" w:hAnsi="Abo-thar" w:hint="cs"/>
          <w:sz w:val="28"/>
          <w:rtl/>
          <w:lang w:bidi="ar-SY"/>
        </w:rPr>
        <w:t>ُ</w:t>
      </w:r>
      <w:r w:rsidRPr="00995B26">
        <w:rPr>
          <w:rFonts w:ascii="Abo-thar" w:hAnsi="Abo-thar"/>
          <w:sz w:val="28"/>
          <w:rtl/>
          <w:lang w:bidi="ar-SY"/>
        </w:rPr>
        <w:t>: هَنِيئًا لَهُ الشَّهَادَةُ، فَقَالَ رَسُولُ</w:t>
      </w:r>
      <w:r w:rsidR="00445175">
        <w:rPr>
          <w:rFonts w:ascii="Abo-thar" w:hAnsi="Abo-thar" w:cs="Times New Roman" w:hint="cs"/>
          <w:sz w:val="28"/>
          <w:rtl/>
          <w:lang w:bidi="ar-SY"/>
        </w:rPr>
        <w:t>‌</w:t>
      </w:r>
      <w:r w:rsidRPr="00995B26">
        <w:rPr>
          <w:rFonts w:ascii="Abo-thar" w:hAnsi="Abo-thar"/>
          <w:sz w:val="28"/>
          <w:rtl/>
          <w:lang w:bidi="ar-SY"/>
        </w:rPr>
        <w:t xml:space="preserve">اللَّهِ </w:t>
      </w:r>
      <w:r w:rsidR="00BC4BA9" w:rsidRPr="00BC4BA9">
        <w:rPr>
          <w:rFonts w:ascii="Abo-thar" w:hAnsi="Abo-thar" w:cs="CTraditional Arabic"/>
          <w:sz w:val="28"/>
          <w:rtl/>
          <w:lang w:bidi="ar-SY"/>
        </w:rPr>
        <w:t>ص</w:t>
      </w:r>
      <w:r w:rsidR="00CA70A5" w:rsidRPr="00995B26">
        <w:rPr>
          <w:rFonts w:ascii="Abo-thar" w:hAnsi="Abo-thar"/>
          <w:sz w:val="28"/>
          <w:rtl/>
          <w:lang w:bidi="ar-SY"/>
        </w:rPr>
        <w:t xml:space="preserve">: </w:t>
      </w:r>
      <w:r w:rsidR="00CA70A5" w:rsidRPr="00CE7623">
        <w:rPr>
          <w:rFonts w:ascii="Abo-thar" w:hAnsi="Abo-thar" w:cs="KFGQPC Uthman Taha Naskh"/>
          <w:sz w:val="28"/>
          <w:rtl/>
          <w:lang w:bidi="ar-SY"/>
        </w:rPr>
        <w:t>«</w:t>
      </w:r>
      <w:r w:rsidR="00CA70A5" w:rsidRPr="00CE7623">
        <w:rPr>
          <w:rFonts w:ascii="Abo-thar" w:hAnsi="Abo-thar" w:cs="KFGQPC Uthman Taha Naskh" w:hint="cs"/>
          <w:sz w:val="28"/>
          <w:rtl/>
          <w:lang w:bidi="ar-SY"/>
        </w:rPr>
        <w:t>كَلاَّ</w:t>
      </w:r>
      <w:r w:rsidRPr="00CE7623">
        <w:rPr>
          <w:rFonts w:ascii="Abo-thar" w:hAnsi="Abo-thar" w:cs="KFGQPC Uthman Taha Naskh"/>
          <w:sz w:val="28"/>
          <w:rtl/>
          <w:lang w:bidi="ar-SY"/>
        </w:rPr>
        <w:t>، وَالَّذِي نَفْسِي بِيَدِهِ، إِنَّ الشَّمْلَةَ الَّتِي أَصَابَهَا يَوْمَ خَيْبَرَ مِنَ المَغَانِمِ، لَمْ تُصِبْهَا المَقَاسِمُ، لَتَشْتَعِلُ عَلَيْهِ نَارًا»</w:t>
      </w:r>
      <w:r w:rsidR="00CA70A5" w:rsidRPr="0021507A">
        <w:rPr>
          <w:rFonts w:ascii="mylotus" w:hAnsi="mylotus" w:cs="Arabic11 BT"/>
          <w:b/>
          <w:sz w:val="28"/>
          <w:vertAlign w:val="superscript"/>
          <w:rtl/>
          <w:lang w:bidi="fa-IR"/>
        </w:rPr>
        <w:t>(</w:t>
      </w:r>
      <w:r w:rsidR="00CA70A5" w:rsidRPr="0021507A">
        <w:rPr>
          <w:rFonts w:ascii="mylotus" w:hAnsi="mylotus" w:cs="Arabic11 BT"/>
          <w:b/>
          <w:sz w:val="28"/>
          <w:vertAlign w:val="superscript"/>
          <w:rtl/>
          <w:lang w:bidi="fa-IR"/>
        </w:rPr>
        <w:footnoteReference w:id="46"/>
      </w:r>
      <w:r w:rsidR="00CA70A5" w:rsidRPr="0021507A">
        <w:rPr>
          <w:rFonts w:ascii="mylotus" w:hAnsi="mylotus" w:cs="Arabic11 BT"/>
          <w:b/>
          <w:sz w:val="28"/>
          <w:vertAlign w:val="superscript"/>
          <w:rtl/>
          <w:lang w:bidi="fa-IR"/>
        </w:rPr>
        <w:t>)</w:t>
      </w:r>
      <w:r w:rsidR="00CA70A5" w:rsidRPr="00995B26">
        <w:rPr>
          <w:rFonts w:ascii="Abo-thar" w:hAnsi="Abo-thar" w:hint="cs"/>
          <w:sz w:val="28"/>
          <w:rtl/>
          <w:lang w:bidi="ar-SY"/>
        </w:rPr>
        <w:t>.</w:t>
      </w:r>
    </w:p>
    <w:p w:rsidR="005C664D" w:rsidRPr="003F3B94" w:rsidRDefault="005C664D" w:rsidP="003F3B94">
      <w:pPr>
        <w:pStyle w:val="a0"/>
        <w:rPr>
          <w:rFonts w:hint="cs"/>
          <w:rtl/>
          <w:lang w:bidi="ar-SY"/>
        </w:rPr>
      </w:pPr>
      <w:r w:rsidRPr="003F3B94">
        <w:rPr>
          <w:rFonts w:ascii="Abo-thar" w:hAnsi="Abo-thar" w:hint="cs"/>
          <w:sz w:val="28"/>
          <w:rtl/>
          <w:lang w:bidi="ar-SY"/>
        </w:rPr>
        <w:t>وكذلك مات رجل من أشجع فلم يصلِّ رسول الله</w:t>
      </w:r>
      <w:r w:rsidR="00147857" w:rsidRPr="003F3B94">
        <w:rPr>
          <w:rFonts w:ascii="Abo-thar" w:hAnsi="Abo-thar" w:hint="cs"/>
          <w:sz w:val="28"/>
          <w:rtl/>
          <w:lang w:bidi="ar-SY"/>
        </w:rPr>
        <w:t xml:space="preserve"> </w:t>
      </w:r>
      <w:r w:rsidR="003C7AEB" w:rsidRPr="003C7AEB">
        <w:rPr>
          <w:rFonts w:ascii="Abo-thar" w:hAnsi="Abo-thar" w:cs="CTraditional Arabic" w:hint="cs"/>
          <w:sz w:val="28"/>
          <w:rtl/>
          <w:lang w:bidi="ar-SY"/>
        </w:rPr>
        <w:t>ص</w:t>
      </w:r>
      <w:r w:rsidR="00147857" w:rsidRPr="003F3B94">
        <w:rPr>
          <w:rFonts w:ascii="Abo-thar" w:hAnsi="Abo-thar" w:hint="cs"/>
          <w:sz w:val="28"/>
          <w:rtl/>
          <w:lang w:bidi="ar-SY"/>
        </w:rPr>
        <w:t xml:space="preserve"> </w:t>
      </w:r>
      <w:r w:rsidRPr="003F3B94">
        <w:rPr>
          <w:rFonts w:ascii="Abo-thar" w:hAnsi="Abo-thar" w:hint="cs"/>
          <w:sz w:val="28"/>
          <w:rtl/>
          <w:lang w:bidi="ar-SY"/>
        </w:rPr>
        <w:t>عليه لأنه غلّ من غنائم خيبر بقدر درهمين</w:t>
      </w:r>
      <w:r w:rsidR="00217AB4" w:rsidRPr="003F3B94">
        <w:rPr>
          <w:rFonts w:ascii="Abo-thar" w:hAnsi="Abo-thar" w:hint="cs"/>
          <w:sz w:val="28"/>
          <w:rtl/>
          <w:lang w:bidi="ar-SY"/>
        </w:rPr>
        <w:t>!!</w:t>
      </w:r>
      <w:r w:rsidRPr="003F3B94">
        <w:rPr>
          <w:rFonts w:ascii="Abo-thar" w:hAnsi="Abo-thar" w:hint="cs"/>
          <w:sz w:val="28"/>
          <w:rtl/>
          <w:lang w:bidi="ar-SY"/>
        </w:rPr>
        <w:t xml:space="preserve"> </w:t>
      </w:r>
    </w:p>
    <w:p w:rsidR="000868AA" w:rsidRPr="003F3B94" w:rsidRDefault="000868AA" w:rsidP="00A33EB8">
      <w:pPr>
        <w:widowControl w:val="0"/>
        <w:jc w:val="center"/>
        <w:rPr>
          <w:rFonts w:ascii="mylotus" w:hAnsi="mylotus" w:cs="mylotus"/>
          <w:b/>
          <w:bCs/>
          <w:sz w:val="28"/>
          <w:rtl/>
          <w:lang w:bidi="ar-SY"/>
        </w:rPr>
      </w:pPr>
      <w:r w:rsidRPr="00A33EB8">
        <w:rPr>
          <w:rFonts w:ascii="mylotus" w:hAnsi="mylotus" w:cs="B Lotus"/>
          <w:b/>
          <w:bCs/>
          <w:sz w:val="28"/>
          <w:rtl/>
          <w:lang w:bidi="ar-SY"/>
        </w:rPr>
        <w:t>***</w:t>
      </w:r>
    </w:p>
    <w:p w:rsidR="005C664D" w:rsidRPr="00995B26" w:rsidRDefault="005C664D" w:rsidP="003F3B94">
      <w:pPr>
        <w:pStyle w:val="a0"/>
        <w:rPr>
          <w:rFonts w:hint="cs"/>
          <w:rtl/>
          <w:lang w:bidi="ar-SY"/>
        </w:rPr>
      </w:pPr>
      <w:r w:rsidRPr="003F3B94">
        <w:rPr>
          <w:rFonts w:ascii="Abo-thar" w:hAnsi="Abo-thar" w:hint="cs"/>
          <w:sz w:val="28"/>
          <w:rtl/>
          <w:lang w:bidi="ar-SY"/>
        </w:rPr>
        <w:t>9</w:t>
      </w:r>
      <w:r w:rsidR="00217AB4" w:rsidRPr="003F3B94">
        <w:rPr>
          <w:rFonts w:ascii="Abo-thar" w:hAnsi="Abo-thar" w:hint="cs"/>
          <w:sz w:val="28"/>
          <w:rtl/>
          <w:lang w:bidi="ar-SY"/>
        </w:rPr>
        <w:t>-</w:t>
      </w:r>
      <w:r w:rsidRPr="003F3B94">
        <w:rPr>
          <w:rFonts w:ascii="Abo-thar" w:hAnsi="Abo-thar" w:hint="cs"/>
          <w:sz w:val="28"/>
          <w:rtl/>
          <w:lang w:bidi="ar-SY"/>
        </w:rPr>
        <w:t xml:space="preserve"> </w:t>
      </w:r>
      <w:r w:rsidRPr="00445175">
        <w:rPr>
          <w:rFonts w:ascii="Abo-thar" w:hAnsi="Abo-thar" w:hint="cs"/>
          <w:b/>
          <w:bCs/>
          <w:sz w:val="28"/>
          <w:rtl/>
          <w:lang w:bidi="ar-SY"/>
        </w:rPr>
        <w:t>النقطة التاسعة</w:t>
      </w:r>
      <w:r w:rsidR="000868AA" w:rsidRPr="003F3B94">
        <w:rPr>
          <w:rFonts w:ascii="Abo-thar" w:hAnsi="Abo-thar" w:hint="cs"/>
          <w:sz w:val="28"/>
          <w:rtl/>
          <w:lang w:bidi="ar-SY"/>
        </w:rPr>
        <w:t xml:space="preserve"> الجديرة بالتأمّل هي أن</w:t>
      </w:r>
      <w:r w:rsidRPr="003F3B94">
        <w:rPr>
          <w:rFonts w:ascii="Abo-thar" w:hAnsi="Abo-thar" w:hint="cs"/>
          <w:sz w:val="28"/>
          <w:rtl/>
          <w:lang w:bidi="ar-SY"/>
        </w:rPr>
        <w:t xml:space="preserve"> جملة</w:t>
      </w:r>
      <w:r w:rsidR="00217AB4" w:rsidRPr="003F3B94">
        <w:rPr>
          <w:rFonts w:ascii="Abo-thar" w:hAnsi="Abo-thar" w:hint="cs"/>
          <w:sz w:val="28"/>
          <w:rtl/>
          <w:lang w:bidi="ar-SY"/>
        </w:rPr>
        <w:t>:</w:t>
      </w:r>
      <w:r w:rsidRPr="003F3B94">
        <w:rPr>
          <w:rFonts w:ascii="Abo-thar" w:hAnsi="Abo-thar" w:hint="cs"/>
          <w:sz w:val="28"/>
          <w:rtl/>
          <w:lang w:bidi="ar-SY"/>
        </w:rPr>
        <w:t xml:space="preserve"> </w:t>
      </w:r>
      <w:r w:rsidR="00685363" w:rsidRPr="00995B26">
        <w:rPr>
          <w:rFonts w:cs="Traditional Arabic"/>
          <w:rtl/>
          <w:lang w:bidi="fa-IR"/>
        </w:rPr>
        <w:t>﴿</w:t>
      </w:r>
      <w:r w:rsidR="00685363" w:rsidRPr="00DF7CAE">
        <w:rPr>
          <w:rStyle w:val="Char3"/>
          <w:rFonts w:hint="eastAsia"/>
          <w:rtl/>
        </w:rPr>
        <w:t>فَأَنَّ</w:t>
      </w:r>
      <w:r w:rsidR="00685363" w:rsidRPr="00DF7CAE">
        <w:rPr>
          <w:rStyle w:val="Char3"/>
          <w:rtl/>
        </w:rPr>
        <w:t xml:space="preserve"> </w:t>
      </w:r>
      <w:r w:rsidR="00685363" w:rsidRPr="00DF7CAE">
        <w:rPr>
          <w:rStyle w:val="Char3"/>
          <w:rFonts w:hint="eastAsia"/>
          <w:rtl/>
        </w:rPr>
        <w:t>لِلَّهِ</w:t>
      </w:r>
      <w:r w:rsidR="00685363" w:rsidRPr="00DF7CAE">
        <w:rPr>
          <w:rStyle w:val="Char3"/>
          <w:rtl/>
        </w:rPr>
        <w:t xml:space="preserve"> </w:t>
      </w:r>
      <w:r w:rsidR="00685363" w:rsidRPr="00DF7CAE">
        <w:rPr>
          <w:rStyle w:val="Char3"/>
          <w:rFonts w:hint="eastAsia"/>
          <w:rtl/>
        </w:rPr>
        <w:t>خُمُسَهُ</w:t>
      </w:r>
      <w:r w:rsidR="00685363" w:rsidRPr="00DF7CAE">
        <w:rPr>
          <w:rStyle w:val="Char3"/>
          <w:rFonts w:hint="cs"/>
          <w:rtl/>
        </w:rPr>
        <w:t>ۥ</w:t>
      </w:r>
      <w:r w:rsidR="00685363" w:rsidRPr="00995B26">
        <w:rPr>
          <w:rFonts w:cs="Traditional Arabic" w:hint="cs"/>
          <w:rtl/>
          <w:lang w:bidi="fa-IR"/>
        </w:rPr>
        <w:t>﴾</w:t>
      </w:r>
      <w:r w:rsidR="000868AA" w:rsidRPr="00995B26">
        <w:rPr>
          <w:rFonts w:ascii="Abo-thar" w:hAnsi="Abo-thar" w:hint="cs"/>
          <w:sz w:val="28"/>
          <w:rtl/>
          <w:lang w:bidi="ar-SY"/>
        </w:rPr>
        <w:t xml:space="preserve"> تدلّ</w:t>
      </w:r>
      <w:r w:rsidRPr="00995B26">
        <w:rPr>
          <w:rFonts w:ascii="Abo-thar" w:hAnsi="Abo-thar" w:hint="cs"/>
          <w:sz w:val="28"/>
          <w:rtl/>
          <w:lang w:bidi="ar-SY"/>
        </w:rPr>
        <w:t xml:space="preserve"> على أن هذا الخمس حق الله وليس مختصاً بشخص بعينه وإذا جاء ذكر اسم الرسول بعد ذلك فينبغي أن نعلم أن هذا من أدب القرآن أن يأتي في كثير من المواضع باسم الرسول بعد اسم الله دون أن يعتبر أن الرسول له ما لِـلَّهِ فعلاً أو أنه على درجة مساوية لِـلَّهِ</w:t>
      </w:r>
      <w:r w:rsidR="00217AB4" w:rsidRPr="00995B26">
        <w:rPr>
          <w:rFonts w:ascii="Abo-thar" w:hAnsi="Abo-thar" w:hint="cs"/>
          <w:sz w:val="28"/>
          <w:rtl/>
          <w:lang w:bidi="ar-SY"/>
        </w:rPr>
        <w:t>!</w:t>
      </w:r>
      <w:r w:rsidR="00147857" w:rsidRPr="00995B26">
        <w:rPr>
          <w:rFonts w:ascii="Abo-thar" w:hAnsi="Abo-thar" w:hint="cs"/>
          <w:sz w:val="28"/>
          <w:rtl/>
          <w:lang w:bidi="ar-SY"/>
        </w:rPr>
        <w:t xml:space="preserve"> </w:t>
      </w:r>
      <w:r w:rsidRPr="00995B26">
        <w:rPr>
          <w:rFonts w:ascii="Abo-thar" w:hAnsi="Abo-thar" w:hint="cs"/>
          <w:sz w:val="28"/>
          <w:rtl/>
          <w:lang w:bidi="ar-SY"/>
        </w:rPr>
        <w:t>وربما كان السـر في ذكر اسم النبي بعد اسم الله أن أول من تجب طاعته ويستحق الطاعة بعد الله هو رسول الله لأنه ممثل الله وسفيره في بيان أحكامه</w:t>
      </w:r>
      <w:r w:rsidR="00217AB4" w:rsidRPr="00995B26">
        <w:rPr>
          <w:rFonts w:ascii="Abo-thar" w:hAnsi="Abo-thar" w:hint="cs"/>
          <w:sz w:val="28"/>
          <w:rtl/>
          <w:lang w:bidi="ar-SY"/>
        </w:rPr>
        <w:t>،</w:t>
      </w:r>
      <w:r w:rsidRPr="00995B26">
        <w:rPr>
          <w:rFonts w:ascii="Abo-thar" w:hAnsi="Abo-thar" w:hint="cs"/>
          <w:sz w:val="28"/>
          <w:rtl/>
          <w:lang w:bidi="ar-SY"/>
        </w:rPr>
        <w:t xml:space="preserve"> فالرسول واسطة الله في إبلاغ الناس أحكام الله ووصاياه</w:t>
      </w:r>
      <w:r w:rsidR="00217AB4" w:rsidRPr="00995B26">
        <w:rPr>
          <w:rFonts w:ascii="Abo-thar" w:hAnsi="Abo-thar" w:hint="cs"/>
          <w:sz w:val="28"/>
          <w:rtl/>
          <w:lang w:bidi="ar-SY"/>
        </w:rPr>
        <w:t>،</w:t>
      </w:r>
      <w:r w:rsidRPr="00995B26">
        <w:rPr>
          <w:rFonts w:ascii="Abo-thar" w:hAnsi="Abo-thar" w:hint="cs"/>
          <w:sz w:val="28"/>
          <w:rtl/>
          <w:lang w:bidi="ar-SY"/>
        </w:rPr>
        <w:t xml:space="preserve"> ومن يطع الرسول فهو وإن كان حسب الظاهر يطيع شخص النبيَّ إلا أنه في واقع الأمر وحقيقته إنما يطيع الله تعالى</w:t>
      </w:r>
      <w:r w:rsidR="00217AB4" w:rsidRPr="00995B26">
        <w:rPr>
          <w:rFonts w:ascii="Abo-thar" w:hAnsi="Abo-thar" w:hint="cs"/>
          <w:sz w:val="28"/>
          <w:rtl/>
          <w:lang w:bidi="ar-SY"/>
        </w:rPr>
        <w:t>،</w:t>
      </w:r>
      <w:r w:rsidRPr="00995B26">
        <w:rPr>
          <w:rFonts w:ascii="Abo-thar" w:hAnsi="Abo-thar" w:hint="cs"/>
          <w:sz w:val="28"/>
          <w:rtl/>
          <w:lang w:bidi="ar-SY"/>
        </w:rPr>
        <w:t xml:space="preserve"> وهذا الأمر لا يجعل اللهَ ورسولَه أبداً على مرتبةٍ واحدةٍ وعلى مساواة في الدرجة</w:t>
      </w:r>
      <w:r w:rsidR="00217AB4" w:rsidRPr="00995B26">
        <w:rPr>
          <w:rFonts w:ascii="Abo-thar" w:hAnsi="Abo-thar" w:hint="cs"/>
          <w:sz w:val="28"/>
          <w:rtl/>
          <w:lang w:bidi="ar-SY"/>
        </w:rPr>
        <w:t>،</w:t>
      </w:r>
      <w:r w:rsidRPr="00995B26">
        <w:rPr>
          <w:rFonts w:ascii="Abo-thar" w:hAnsi="Abo-thar" w:hint="cs"/>
          <w:sz w:val="28"/>
          <w:rtl/>
          <w:lang w:bidi="ar-SY"/>
        </w:rPr>
        <w:t xml:space="preserve"> كما نجد في الآيات التالية ذكر اسم الرسول بعد اسم الله دون أن يعتبر أحد أن ذلك يدل على أن الرسول شريكٌ لِـلَّهِ أو نظير له أو مشترك معه</w:t>
      </w:r>
      <w:r w:rsidR="00217AB4" w:rsidRPr="00995B26">
        <w:rPr>
          <w:rFonts w:ascii="Abo-thar" w:hAnsi="Abo-thar" w:hint="cs"/>
          <w:sz w:val="28"/>
          <w:rtl/>
          <w:lang w:bidi="ar-SY"/>
        </w:rPr>
        <w:t>:</w:t>
      </w:r>
      <w:r w:rsidRPr="00995B26">
        <w:rPr>
          <w:rFonts w:ascii="Abo-thar" w:hAnsi="Abo-thar" w:hint="cs"/>
          <w:sz w:val="28"/>
          <w:rtl/>
          <w:lang w:bidi="ar-SY"/>
        </w:rPr>
        <w:t xml:space="preserve"> </w:t>
      </w:r>
    </w:p>
    <w:p w:rsidR="005C664D" w:rsidRPr="003F3B94" w:rsidRDefault="00685363" w:rsidP="0067048A">
      <w:pPr>
        <w:pStyle w:val="a0"/>
        <w:ind w:left="284" w:firstLine="0"/>
        <w:rPr>
          <w:rtl/>
        </w:rPr>
      </w:pPr>
      <w:r w:rsidRPr="00995B26">
        <w:rPr>
          <w:rFonts w:cs="Traditional Arabic"/>
          <w:rtl/>
        </w:rPr>
        <w:t>﴿</w:t>
      </w:r>
      <w:r w:rsidRPr="00DF7CAE">
        <w:rPr>
          <w:rStyle w:val="Char3"/>
          <w:rtl/>
        </w:rPr>
        <w:t>وَمَن يُطِعِ ٱللَّهَ وَرَسُولَهُۥ يُدۡخِلۡهُ جَنَّٰتٖ تَجۡرِي مِن تَحۡتِهَا ٱلۡأَنۡهَٰرُ</w:t>
      </w:r>
      <w:r w:rsidRPr="00995B26">
        <w:rPr>
          <w:rFonts w:ascii="Abo-thar" w:hAnsi="Abo-thar" w:cs="Traditional Arabic"/>
          <w:sz w:val="28"/>
          <w:rtl/>
        </w:rPr>
        <w:t>﴾</w:t>
      </w:r>
      <w:r w:rsidR="00234313" w:rsidRPr="00995B26">
        <w:rPr>
          <w:rFonts w:ascii="Abo-thar" w:hAnsi="Abo-thar" w:cs="Traditional Arabic"/>
          <w:sz w:val="28"/>
          <w:rtl/>
        </w:rPr>
        <w:t xml:space="preserve"> </w:t>
      </w:r>
      <w:r w:rsidRPr="00FC12FD">
        <w:rPr>
          <w:rStyle w:val="Char2"/>
          <w:rFonts w:hint="cs"/>
          <w:rtl/>
        </w:rPr>
        <w:t>[</w:t>
      </w:r>
      <w:r w:rsidR="005C664D" w:rsidRPr="00FC12FD">
        <w:rPr>
          <w:rStyle w:val="Char2"/>
          <w:rFonts w:hint="cs"/>
          <w:rtl/>
        </w:rPr>
        <w:t>النساء</w:t>
      </w:r>
      <w:r w:rsidRPr="00FC12FD">
        <w:rPr>
          <w:rStyle w:val="Char2"/>
          <w:rFonts w:hint="cs"/>
          <w:rtl/>
        </w:rPr>
        <w:t xml:space="preserve">: </w:t>
      </w:r>
      <w:r w:rsidR="005C664D" w:rsidRPr="00FC12FD">
        <w:rPr>
          <w:rStyle w:val="Char2"/>
          <w:rFonts w:hint="cs"/>
          <w:rtl/>
        </w:rPr>
        <w:t>13</w:t>
      </w:r>
      <w:r w:rsidRPr="00FC12FD">
        <w:rPr>
          <w:rStyle w:val="Char2"/>
          <w:rFonts w:hint="cs"/>
          <w:rtl/>
        </w:rPr>
        <w:t>]</w:t>
      </w:r>
      <w:r w:rsidR="00217AB4" w:rsidRPr="003F3B94">
        <w:rPr>
          <w:rFonts w:ascii="Abo-thar" w:hAnsi="Abo-thar"/>
          <w:sz w:val="28"/>
          <w:rtl/>
        </w:rPr>
        <w:t>.</w:t>
      </w:r>
    </w:p>
    <w:p w:rsidR="005C664D" w:rsidRPr="003F3B94" w:rsidRDefault="00685363" w:rsidP="0067048A">
      <w:pPr>
        <w:pStyle w:val="a0"/>
        <w:ind w:left="284" w:firstLine="0"/>
        <w:rPr>
          <w:rFonts w:hint="cs"/>
          <w:rtl/>
          <w:lang w:bidi="ar-SY"/>
        </w:rPr>
      </w:pPr>
      <w:r w:rsidRPr="00995B26">
        <w:rPr>
          <w:rFonts w:ascii="Abo-thar" w:hAnsi="Abo-thar" w:cs="Traditional Arabic" w:hint="cs"/>
          <w:sz w:val="28"/>
          <w:rtl/>
          <w:lang w:bidi="ar-SY"/>
        </w:rPr>
        <w:t>﴿</w:t>
      </w:r>
      <w:r w:rsidRPr="00DF7CAE">
        <w:rPr>
          <w:rStyle w:val="Char3"/>
          <w:rFonts w:hint="eastAsia"/>
          <w:rtl/>
        </w:rPr>
        <w:t>وَمَن</w:t>
      </w:r>
      <w:r w:rsidRPr="00DF7CAE">
        <w:rPr>
          <w:rStyle w:val="Char3"/>
          <w:rtl/>
        </w:rPr>
        <w:t xml:space="preserve"> </w:t>
      </w:r>
      <w:r w:rsidRPr="00DF7CAE">
        <w:rPr>
          <w:rStyle w:val="Char3"/>
          <w:rFonts w:hint="eastAsia"/>
          <w:rtl/>
        </w:rPr>
        <w:t>يَع</w:t>
      </w:r>
      <w:r w:rsidRPr="00DF7CAE">
        <w:rPr>
          <w:rStyle w:val="Char3"/>
          <w:rFonts w:hint="cs"/>
          <w:rtl/>
        </w:rPr>
        <w:t>ۡ</w:t>
      </w:r>
      <w:r w:rsidRPr="00DF7CAE">
        <w:rPr>
          <w:rStyle w:val="Char3"/>
          <w:rFonts w:hint="eastAsia"/>
          <w:rtl/>
        </w:rPr>
        <w:t>صِ</w:t>
      </w:r>
      <w:r w:rsidRPr="00DF7CAE">
        <w:rPr>
          <w:rStyle w:val="Char3"/>
          <w:rtl/>
        </w:rPr>
        <w:t xml:space="preserve"> </w:t>
      </w:r>
      <w:r w:rsidRPr="00DF7CAE">
        <w:rPr>
          <w:rStyle w:val="Char3"/>
          <w:rFonts w:hint="cs"/>
          <w:rtl/>
        </w:rPr>
        <w:t>ٱ</w:t>
      </w:r>
      <w:r w:rsidRPr="00DF7CAE">
        <w:rPr>
          <w:rStyle w:val="Char3"/>
          <w:rFonts w:hint="eastAsia"/>
          <w:rtl/>
        </w:rPr>
        <w:t>للَّهَ</w:t>
      </w:r>
      <w:r w:rsidRPr="00DF7CAE">
        <w:rPr>
          <w:rStyle w:val="Char3"/>
          <w:rtl/>
        </w:rPr>
        <w:t xml:space="preserve"> </w:t>
      </w:r>
      <w:r w:rsidRPr="00DF7CAE">
        <w:rPr>
          <w:rStyle w:val="Char3"/>
          <w:rFonts w:hint="eastAsia"/>
          <w:rtl/>
        </w:rPr>
        <w:t>وَرَسُولَهُ</w:t>
      </w:r>
      <w:r w:rsidRPr="00DF7CAE">
        <w:rPr>
          <w:rStyle w:val="Char3"/>
          <w:rFonts w:hint="cs"/>
          <w:rtl/>
        </w:rPr>
        <w:t>ۥ</w:t>
      </w:r>
      <w:r w:rsidRPr="00DF7CAE">
        <w:rPr>
          <w:rStyle w:val="Char3"/>
          <w:rtl/>
        </w:rPr>
        <w:t xml:space="preserve"> </w:t>
      </w:r>
      <w:r w:rsidRPr="00DF7CAE">
        <w:rPr>
          <w:rStyle w:val="Char3"/>
          <w:rFonts w:hint="eastAsia"/>
          <w:rtl/>
        </w:rPr>
        <w:t>وَيَتَعَدَّ</w:t>
      </w:r>
      <w:r w:rsidRPr="00DF7CAE">
        <w:rPr>
          <w:rStyle w:val="Char3"/>
          <w:rtl/>
        </w:rPr>
        <w:t xml:space="preserve"> </w:t>
      </w:r>
      <w:r w:rsidRPr="00DF7CAE">
        <w:rPr>
          <w:rStyle w:val="Char3"/>
          <w:rFonts w:hint="eastAsia"/>
          <w:rtl/>
        </w:rPr>
        <w:t>حُدُودَهُ</w:t>
      </w:r>
      <w:r w:rsidRPr="00DF7CAE">
        <w:rPr>
          <w:rStyle w:val="Char3"/>
          <w:rFonts w:hint="cs"/>
          <w:rtl/>
        </w:rPr>
        <w:t>ۥ</w:t>
      </w:r>
      <w:r w:rsidRPr="00DF7CAE">
        <w:rPr>
          <w:rStyle w:val="Char3"/>
          <w:rtl/>
        </w:rPr>
        <w:t xml:space="preserve"> </w:t>
      </w:r>
      <w:r w:rsidRPr="00DF7CAE">
        <w:rPr>
          <w:rStyle w:val="Char3"/>
          <w:rFonts w:hint="eastAsia"/>
          <w:rtl/>
        </w:rPr>
        <w:t>يُد</w:t>
      </w:r>
      <w:r w:rsidRPr="00DF7CAE">
        <w:rPr>
          <w:rStyle w:val="Char3"/>
          <w:rFonts w:hint="cs"/>
          <w:rtl/>
        </w:rPr>
        <w:t>ۡ</w:t>
      </w:r>
      <w:r w:rsidRPr="00DF7CAE">
        <w:rPr>
          <w:rStyle w:val="Char3"/>
          <w:rFonts w:hint="eastAsia"/>
          <w:rtl/>
        </w:rPr>
        <w:t>خِل</w:t>
      </w:r>
      <w:r w:rsidRPr="00DF7CAE">
        <w:rPr>
          <w:rStyle w:val="Char3"/>
          <w:rFonts w:hint="cs"/>
          <w:rtl/>
        </w:rPr>
        <w:t>ۡ</w:t>
      </w:r>
      <w:r w:rsidRPr="00DF7CAE">
        <w:rPr>
          <w:rStyle w:val="Char3"/>
          <w:rFonts w:hint="eastAsia"/>
          <w:rtl/>
        </w:rPr>
        <w:t>هُ</w:t>
      </w:r>
      <w:r w:rsidRPr="00DF7CAE">
        <w:rPr>
          <w:rStyle w:val="Char3"/>
          <w:rtl/>
        </w:rPr>
        <w:t xml:space="preserve"> </w:t>
      </w:r>
      <w:r w:rsidRPr="00DF7CAE">
        <w:rPr>
          <w:rStyle w:val="Char3"/>
          <w:rFonts w:hint="eastAsia"/>
          <w:rtl/>
        </w:rPr>
        <w:t>نَارًا</w:t>
      </w:r>
      <w:r w:rsidRPr="00DF7CAE">
        <w:rPr>
          <w:rStyle w:val="Char3"/>
          <w:rtl/>
        </w:rPr>
        <w:t xml:space="preserve"> </w:t>
      </w:r>
      <w:r w:rsidRPr="00DF7CAE">
        <w:rPr>
          <w:rStyle w:val="Char3"/>
          <w:rFonts w:hint="eastAsia"/>
          <w:rtl/>
        </w:rPr>
        <w:t>خَ</w:t>
      </w:r>
      <w:r w:rsidRPr="00DF7CAE">
        <w:rPr>
          <w:rStyle w:val="Char3"/>
          <w:rFonts w:hint="cs"/>
          <w:rtl/>
        </w:rPr>
        <w:t>ٰ</w:t>
      </w:r>
      <w:r w:rsidRPr="00DF7CAE">
        <w:rPr>
          <w:rStyle w:val="Char3"/>
          <w:rFonts w:hint="eastAsia"/>
          <w:rtl/>
        </w:rPr>
        <w:t>لِد</w:t>
      </w:r>
      <w:r w:rsidRPr="00DF7CAE">
        <w:rPr>
          <w:rStyle w:val="Char3"/>
          <w:rFonts w:hint="cs"/>
          <w:rtl/>
        </w:rPr>
        <w:t>ٗ</w:t>
      </w:r>
      <w:r w:rsidRPr="00DF7CAE">
        <w:rPr>
          <w:rStyle w:val="Char3"/>
          <w:rFonts w:hint="eastAsia"/>
          <w:rtl/>
        </w:rPr>
        <w:t>ا</w:t>
      </w:r>
      <w:r w:rsidRPr="00DF7CAE">
        <w:rPr>
          <w:rStyle w:val="Char3"/>
          <w:rtl/>
        </w:rPr>
        <w:t xml:space="preserve"> </w:t>
      </w:r>
      <w:r w:rsidRPr="00DF7CAE">
        <w:rPr>
          <w:rStyle w:val="Char3"/>
          <w:rFonts w:hint="eastAsia"/>
          <w:rtl/>
        </w:rPr>
        <w:t>فِيهَا</w:t>
      </w:r>
      <w:r w:rsidRPr="00995B26">
        <w:rPr>
          <w:rFonts w:ascii="Abo-thar" w:hAnsi="Abo-thar" w:cs="Traditional Arabic" w:hint="cs"/>
          <w:sz w:val="28"/>
          <w:rtl/>
          <w:lang w:bidi="ar-SY"/>
        </w:rPr>
        <w:t>﴾</w:t>
      </w:r>
      <w:r w:rsidR="00234313" w:rsidRPr="00995B26">
        <w:rPr>
          <w:rFonts w:ascii="Abo-thar" w:hAnsi="Abo-thar" w:cs="Traditional Arabic" w:hint="cs"/>
          <w:sz w:val="28"/>
          <w:rtl/>
          <w:lang w:bidi="ar-SY"/>
        </w:rPr>
        <w:t xml:space="preserve"> </w:t>
      </w:r>
      <w:r w:rsidRPr="00FC12FD">
        <w:rPr>
          <w:rStyle w:val="Char2"/>
          <w:rFonts w:hint="cs"/>
          <w:rtl/>
        </w:rPr>
        <w:t>[</w:t>
      </w:r>
      <w:r w:rsidR="005C664D" w:rsidRPr="00FC12FD">
        <w:rPr>
          <w:rStyle w:val="Char2"/>
          <w:rFonts w:hint="cs"/>
          <w:rtl/>
        </w:rPr>
        <w:t>النساء</w:t>
      </w:r>
      <w:r w:rsidRPr="00FC12FD">
        <w:rPr>
          <w:rStyle w:val="Char2"/>
          <w:rFonts w:hint="cs"/>
          <w:rtl/>
        </w:rPr>
        <w:t xml:space="preserve">: </w:t>
      </w:r>
      <w:r w:rsidR="005C664D" w:rsidRPr="00FC12FD">
        <w:rPr>
          <w:rStyle w:val="Char2"/>
          <w:rFonts w:hint="cs"/>
          <w:rtl/>
        </w:rPr>
        <w:t>14</w:t>
      </w:r>
      <w:r w:rsidRPr="00FC12FD">
        <w:rPr>
          <w:rStyle w:val="Char2"/>
          <w:rFonts w:hint="cs"/>
          <w:rtl/>
        </w:rPr>
        <w:t>]</w:t>
      </w:r>
      <w:r w:rsidR="00217AB4" w:rsidRPr="003F3B94">
        <w:rPr>
          <w:rFonts w:ascii="Abo-thar" w:hAnsi="Abo-thar" w:hint="cs"/>
          <w:sz w:val="26"/>
          <w:szCs w:val="26"/>
          <w:rtl/>
          <w:lang w:bidi="ar-SY"/>
        </w:rPr>
        <w:t>.</w:t>
      </w:r>
    </w:p>
    <w:p w:rsidR="005C664D" w:rsidRPr="003F3B94" w:rsidRDefault="00685363" w:rsidP="0067048A">
      <w:pPr>
        <w:pStyle w:val="a0"/>
        <w:ind w:left="284" w:firstLine="0"/>
        <w:rPr>
          <w:rFonts w:hint="cs"/>
          <w:rtl/>
          <w:lang w:bidi="ar-SY"/>
        </w:rPr>
      </w:pPr>
      <w:r w:rsidRPr="00995B26">
        <w:rPr>
          <w:rFonts w:ascii="Abo-thar" w:hAnsi="Abo-thar" w:cs="Traditional Arabic" w:hint="cs"/>
          <w:sz w:val="28"/>
          <w:rtl/>
          <w:lang w:bidi="ar-SY"/>
        </w:rPr>
        <w:t>﴿</w:t>
      </w:r>
      <w:r w:rsidR="00B06788" w:rsidRPr="00DF7CAE">
        <w:rPr>
          <w:rStyle w:val="Char3"/>
          <w:rFonts w:hint="eastAsia"/>
          <w:rtl/>
        </w:rPr>
        <w:t>وَمَن</w:t>
      </w:r>
      <w:r w:rsidR="00B06788" w:rsidRPr="00DF7CAE">
        <w:rPr>
          <w:rStyle w:val="Char3"/>
          <w:rtl/>
        </w:rPr>
        <w:t xml:space="preserve"> </w:t>
      </w:r>
      <w:r w:rsidR="00B06788" w:rsidRPr="00DF7CAE">
        <w:rPr>
          <w:rStyle w:val="Char3"/>
          <w:rFonts w:hint="eastAsia"/>
          <w:rtl/>
        </w:rPr>
        <w:t>يَخ</w:t>
      </w:r>
      <w:r w:rsidR="00B06788" w:rsidRPr="00DF7CAE">
        <w:rPr>
          <w:rStyle w:val="Char3"/>
          <w:rFonts w:hint="cs"/>
          <w:rtl/>
        </w:rPr>
        <w:t>ۡ</w:t>
      </w:r>
      <w:r w:rsidR="00B06788" w:rsidRPr="00DF7CAE">
        <w:rPr>
          <w:rStyle w:val="Char3"/>
          <w:rFonts w:hint="eastAsia"/>
          <w:rtl/>
        </w:rPr>
        <w:t>رُج</w:t>
      </w:r>
      <w:r w:rsidR="00B06788" w:rsidRPr="00DF7CAE">
        <w:rPr>
          <w:rStyle w:val="Char3"/>
          <w:rFonts w:hint="cs"/>
          <w:rtl/>
        </w:rPr>
        <w:t>ۡ</w:t>
      </w:r>
      <w:r w:rsidR="00B06788" w:rsidRPr="00DF7CAE">
        <w:rPr>
          <w:rStyle w:val="Char3"/>
          <w:rtl/>
        </w:rPr>
        <w:t xml:space="preserve"> </w:t>
      </w:r>
      <w:r w:rsidR="00B06788" w:rsidRPr="00DF7CAE">
        <w:rPr>
          <w:rStyle w:val="Char3"/>
          <w:rFonts w:hint="eastAsia"/>
          <w:rtl/>
        </w:rPr>
        <w:t>مِن</w:t>
      </w:r>
      <w:r w:rsidR="00B06788" w:rsidRPr="00DF7CAE">
        <w:rPr>
          <w:rStyle w:val="Char3"/>
          <w:rFonts w:hint="cs"/>
          <w:rtl/>
        </w:rPr>
        <w:t>ۢ</w:t>
      </w:r>
      <w:r w:rsidR="00B06788" w:rsidRPr="00DF7CAE">
        <w:rPr>
          <w:rStyle w:val="Char3"/>
          <w:rtl/>
        </w:rPr>
        <w:t xml:space="preserve"> </w:t>
      </w:r>
      <w:r w:rsidR="00B06788" w:rsidRPr="00DF7CAE">
        <w:rPr>
          <w:rStyle w:val="Char3"/>
          <w:rFonts w:hint="eastAsia"/>
          <w:rtl/>
        </w:rPr>
        <w:t>بَي</w:t>
      </w:r>
      <w:r w:rsidR="00B06788" w:rsidRPr="00DF7CAE">
        <w:rPr>
          <w:rStyle w:val="Char3"/>
          <w:rFonts w:hint="cs"/>
          <w:rtl/>
        </w:rPr>
        <w:t>ۡ</w:t>
      </w:r>
      <w:r w:rsidR="00B06788" w:rsidRPr="00DF7CAE">
        <w:rPr>
          <w:rStyle w:val="Char3"/>
          <w:rFonts w:hint="eastAsia"/>
          <w:rtl/>
        </w:rPr>
        <w:t>تِهِ</w:t>
      </w:r>
      <w:r w:rsidR="00B06788" w:rsidRPr="00DF7CAE">
        <w:rPr>
          <w:rStyle w:val="Char3"/>
          <w:rFonts w:hint="cs"/>
          <w:rtl/>
        </w:rPr>
        <w:t>ۦ</w:t>
      </w:r>
      <w:r w:rsidR="00B06788" w:rsidRPr="00DF7CAE">
        <w:rPr>
          <w:rStyle w:val="Char3"/>
          <w:rtl/>
        </w:rPr>
        <w:t xml:space="preserve"> </w:t>
      </w:r>
      <w:r w:rsidR="00B06788" w:rsidRPr="00DF7CAE">
        <w:rPr>
          <w:rStyle w:val="Char3"/>
          <w:rFonts w:hint="eastAsia"/>
          <w:rtl/>
        </w:rPr>
        <w:t>مُهَاجِرًا</w:t>
      </w:r>
      <w:r w:rsidR="00B06788" w:rsidRPr="00DF7CAE">
        <w:rPr>
          <w:rStyle w:val="Char3"/>
          <w:rtl/>
        </w:rPr>
        <w:t xml:space="preserve"> </w:t>
      </w:r>
      <w:r w:rsidR="00B06788" w:rsidRPr="00DF7CAE">
        <w:rPr>
          <w:rStyle w:val="Char3"/>
          <w:rFonts w:hint="eastAsia"/>
          <w:rtl/>
        </w:rPr>
        <w:t>إِلَى</w:t>
      </w:r>
      <w:r w:rsidR="00B06788" w:rsidRPr="00DF7CAE">
        <w:rPr>
          <w:rStyle w:val="Char3"/>
          <w:rtl/>
        </w:rPr>
        <w:t xml:space="preserve"> </w:t>
      </w:r>
      <w:r w:rsidR="00B06788" w:rsidRPr="00DF7CAE">
        <w:rPr>
          <w:rStyle w:val="Char3"/>
          <w:rFonts w:hint="cs"/>
          <w:rtl/>
        </w:rPr>
        <w:t>ٱ</w:t>
      </w:r>
      <w:r w:rsidR="00B06788" w:rsidRPr="00DF7CAE">
        <w:rPr>
          <w:rStyle w:val="Char3"/>
          <w:rFonts w:hint="eastAsia"/>
          <w:rtl/>
        </w:rPr>
        <w:t>للَّهِ</w:t>
      </w:r>
      <w:r w:rsidR="00B06788" w:rsidRPr="00DF7CAE">
        <w:rPr>
          <w:rStyle w:val="Char3"/>
          <w:rtl/>
        </w:rPr>
        <w:t xml:space="preserve"> </w:t>
      </w:r>
      <w:r w:rsidR="00B06788" w:rsidRPr="00DF7CAE">
        <w:rPr>
          <w:rStyle w:val="Char3"/>
          <w:rFonts w:hint="eastAsia"/>
          <w:rtl/>
        </w:rPr>
        <w:t>وَرَسُولِهِ</w:t>
      </w:r>
      <w:r w:rsidR="00B06788" w:rsidRPr="00DF7CAE">
        <w:rPr>
          <w:rStyle w:val="Char3"/>
          <w:rFonts w:hint="cs"/>
          <w:rtl/>
        </w:rPr>
        <w:t>ۦ</w:t>
      </w:r>
      <w:r w:rsidR="00B06788" w:rsidRPr="00DF7CAE">
        <w:rPr>
          <w:rStyle w:val="Char3"/>
          <w:rtl/>
        </w:rPr>
        <w:t xml:space="preserve"> </w:t>
      </w:r>
      <w:r w:rsidR="00B06788" w:rsidRPr="00DF7CAE">
        <w:rPr>
          <w:rStyle w:val="Char3"/>
          <w:rFonts w:hint="eastAsia"/>
          <w:rtl/>
        </w:rPr>
        <w:t>ثُمَّ</w:t>
      </w:r>
      <w:r w:rsidR="00B06788" w:rsidRPr="00DF7CAE">
        <w:rPr>
          <w:rStyle w:val="Char3"/>
          <w:rtl/>
        </w:rPr>
        <w:t xml:space="preserve"> </w:t>
      </w:r>
      <w:r w:rsidR="00B06788" w:rsidRPr="00DF7CAE">
        <w:rPr>
          <w:rStyle w:val="Char3"/>
          <w:rFonts w:hint="eastAsia"/>
          <w:rtl/>
        </w:rPr>
        <w:t>يُد</w:t>
      </w:r>
      <w:r w:rsidR="00B06788" w:rsidRPr="00DF7CAE">
        <w:rPr>
          <w:rStyle w:val="Char3"/>
          <w:rFonts w:hint="cs"/>
          <w:rtl/>
        </w:rPr>
        <w:t>ۡ</w:t>
      </w:r>
      <w:r w:rsidR="00B06788" w:rsidRPr="00DF7CAE">
        <w:rPr>
          <w:rStyle w:val="Char3"/>
          <w:rFonts w:hint="eastAsia"/>
          <w:rtl/>
        </w:rPr>
        <w:t>رِك</w:t>
      </w:r>
      <w:r w:rsidR="00B06788" w:rsidRPr="00DF7CAE">
        <w:rPr>
          <w:rStyle w:val="Char3"/>
          <w:rFonts w:hint="cs"/>
          <w:rtl/>
        </w:rPr>
        <w:t>ۡ</w:t>
      </w:r>
      <w:r w:rsidR="00B06788" w:rsidRPr="00DF7CAE">
        <w:rPr>
          <w:rStyle w:val="Char3"/>
          <w:rFonts w:hint="eastAsia"/>
          <w:rtl/>
        </w:rPr>
        <w:t>هُ</w:t>
      </w:r>
      <w:r w:rsidR="00B06788" w:rsidRPr="00DF7CAE">
        <w:rPr>
          <w:rStyle w:val="Char3"/>
          <w:rtl/>
        </w:rPr>
        <w:t xml:space="preserve"> </w:t>
      </w:r>
      <w:r w:rsidR="00B06788" w:rsidRPr="00DF7CAE">
        <w:rPr>
          <w:rStyle w:val="Char3"/>
          <w:rFonts w:hint="cs"/>
          <w:rtl/>
        </w:rPr>
        <w:t>ٱ</w:t>
      </w:r>
      <w:r w:rsidR="00B06788" w:rsidRPr="00DF7CAE">
        <w:rPr>
          <w:rStyle w:val="Char3"/>
          <w:rFonts w:hint="eastAsia"/>
          <w:rtl/>
        </w:rPr>
        <w:t>ل</w:t>
      </w:r>
      <w:r w:rsidR="00B06788" w:rsidRPr="00DF7CAE">
        <w:rPr>
          <w:rStyle w:val="Char3"/>
          <w:rFonts w:hint="cs"/>
          <w:rtl/>
        </w:rPr>
        <w:t>ۡ</w:t>
      </w:r>
      <w:r w:rsidR="00B06788" w:rsidRPr="00DF7CAE">
        <w:rPr>
          <w:rStyle w:val="Char3"/>
          <w:rFonts w:hint="eastAsia"/>
          <w:rtl/>
        </w:rPr>
        <w:t>مَو</w:t>
      </w:r>
      <w:r w:rsidR="00B06788" w:rsidRPr="00DF7CAE">
        <w:rPr>
          <w:rStyle w:val="Char3"/>
          <w:rFonts w:hint="cs"/>
          <w:rtl/>
        </w:rPr>
        <w:t>ۡ</w:t>
      </w:r>
      <w:r w:rsidR="00B06788" w:rsidRPr="00DF7CAE">
        <w:rPr>
          <w:rStyle w:val="Char3"/>
          <w:rFonts w:hint="eastAsia"/>
          <w:rtl/>
        </w:rPr>
        <w:t>تُ</w:t>
      </w:r>
      <w:r w:rsidR="00B06788" w:rsidRPr="00DF7CAE">
        <w:rPr>
          <w:rStyle w:val="Char3"/>
          <w:rtl/>
        </w:rPr>
        <w:t xml:space="preserve"> </w:t>
      </w:r>
      <w:r w:rsidR="00B06788" w:rsidRPr="00DF7CAE">
        <w:rPr>
          <w:rStyle w:val="Char3"/>
          <w:rFonts w:hint="eastAsia"/>
          <w:rtl/>
        </w:rPr>
        <w:t>فَقَد</w:t>
      </w:r>
      <w:r w:rsidR="00B06788" w:rsidRPr="00DF7CAE">
        <w:rPr>
          <w:rStyle w:val="Char3"/>
          <w:rFonts w:hint="cs"/>
          <w:rtl/>
        </w:rPr>
        <w:t>ۡ</w:t>
      </w:r>
      <w:r w:rsidR="00B06788" w:rsidRPr="00DF7CAE">
        <w:rPr>
          <w:rStyle w:val="Char3"/>
          <w:rtl/>
        </w:rPr>
        <w:t xml:space="preserve"> </w:t>
      </w:r>
      <w:r w:rsidR="00B06788" w:rsidRPr="00DF7CAE">
        <w:rPr>
          <w:rStyle w:val="Char3"/>
          <w:rFonts w:hint="eastAsia"/>
          <w:rtl/>
        </w:rPr>
        <w:t>وَقَعَ</w:t>
      </w:r>
      <w:r w:rsidR="00B06788" w:rsidRPr="00DF7CAE">
        <w:rPr>
          <w:rStyle w:val="Char3"/>
          <w:rtl/>
        </w:rPr>
        <w:t xml:space="preserve"> </w:t>
      </w:r>
      <w:r w:rsidR="00B06788" w:rsidRPr="00DF7CAE">
        <w:rPr>
          <w:rStyle w:val="Char3"/>
          <w:rFonts w:hint="eastAsia"/>
          <w:rtl/>
        </w:rPr>
        <w:t>أَج</w:t>
      </w:r>
      <w:r w:rsidR="00B06788" w:rsidRPr="00DF7CAE">
        <w:rPr>
          <w:rStyle w:val="Char3"/>
          <w:rFonts w:hint="cs"/>
          <w:rtl/>
        </w:rPr>
        <w:t>ۡ</w:t>
      </w:r>
      <w:r w:rsidR="00B06788" w:rsidRPr="00DF7CAE">
        <w:rPr>
          <w:rStyle w:val="Char3"/>
          <w:rFonts w:hint="eastAsia"/>
          <w:rtl/>
        </w:rPr>
        <w:t>رُهُ</w:t>
      </w:r>
      <w:r w:rsidR="00B06788" w:rsidRPr="00DF7CAE">
        <w:rPr>
          <w:rStyle w:val="Char3"/>
          <w:rFonts w:hint="cs"/>
          <w:rtl/>
        </w:rPr>
        <w:t>ۥ</w:t>
      </w:r>
      <w:r w:rsidR="00B06788" w:rsidRPr="00DF7CAE">
        <w:rPr>
          <w:rStyle w:val="Char3"/>
          <w:rtl/>
        </w:rPr>
        <w:t xml:space="preserve"> </w:t>
      </w:r>
      <w:r w:rsidR="00B06788" w:rsidRPr="00DF7CAE">
        <w:rPr>
          <w:rStyle w:val="Char3"/>
          <w:rFonts w:hint="eastAsia"/>
          <w:rtl/>
        </w:rPr>
        <w:t>عَلَى</w:t>
      </w:r>
      <w:r w:rsidR="00B06788" w:rsidRPr="00DF7CAE">
        <w:rPr>
          <w:rStyle w:val="Char3"/>
          <w:rtl/>
        </w:rPr>
        <w:t xml:space="preserve"> </w:t>
      </w:r>
      <w:r w:rsidR="00B06788" w:rsidRPr="00DF7CAE">
        <w:rPr>
          <w:rStyle w:val="Char3"/>
          <w:rFonts w:hint="cs"/>
          <w:rtl/>
        </w:rPr>
        <w:t>ٱ</w:t>
      </w:r>
      <w:r w:rsidR="00B06788" w:rsidRPr="00DF7CAE">
        <w:rPr>
          <w:rStyle w:val="Char3"/>
          <w:rFonts w:hint="eastAsia"/>
          <w:rtl/>
        </w:rPr>
        <w:t>للَّهِ</w:t>
      </w:r>
      <w:r w:rsidRPr="00995B26">
        <w:rPr>
          <w:rFonts w:ascii="Abo-thar" w:hAnsi="Abo-thar" w:cs="Traditional Arabic" w:hint="cs"/>
          <w:sz w:val="28"/>
          <w:rtl/>
          <w:lang w:bidi="ar-SY"/>
        </w:rPr>
        <w:t>﴾</w:t>
      </w:r>
      <w:r w:rsidRPr="003F3B94">
        <w:rPr>
          <w:rFonts w:ascii="Abo-thar" w:hAnsi="Abo-thar" w:hint="cs"/>
          <w:sz w:val="28"/>
          <w:rtl/>
          <w:lang w:bidi="ar-SY"/>
        </w:rPr>
        <w:t xml:space="preserve"> </w:t>
      </w:r>
      <w:r w:rsidR="00B06788" w:rsidRPr="00FC12FD">
        <w:rPr>
          <w:rStyle w:val="Char2"/>
          <w:rFonts w:hint="cs"/>
          <w:rtl/>
        </w:rPr>
        <w:t>[</w:t>
      </w:r>
      <w:r w:rsidR="005C664D" w:rsidRPr="00FC12FD">
        <w:rPr>
          <w:rStyle w:val="Char2"/>
          <w:rFonts w:hint="cs"/>
          <w:rtl/>
        </w:rPr>
        <w:t>النساء</w:t>
      </w:r>
      <w:r w:rsidR="00B06788" w:rsidRPr="00FC12FD">
        <w:rPr>
          <w:rStyle w:val="Char2"/>
          <w:rFonts w:hint="cs"/>
          <w:rtl/>
        </w:rPr>
        <w:t xml:space="preserve">: </w:t>
      </w:r>
      <w:r w:rsidR="005C664D" w:rsidRPr="00FC12FD">
        <w:rPr>
          <w:rStyle w:val="Char2"/>
          <w:rFonts w:hint="cs"/>
          <w:rtl/>
        </w:rPr>
        <w:t>100</w:t>
      </w:r>
      <w:r w:rsidR="00B06788" w:rsidRPr="00FC12FD">
        <w:rPr>
          <w:rStyle w:val="Char2"/>
          <w:rFonts w:hint="cs"/>
          <w:rtl/>
        </w:rPr>
        <w:t>]</w:t>
      </w:r>
      <w:r w:rsidR="00217AB4" w:rsidRPr="003F3B94">
        <w:rPr>
          <w:rFonts w:ascii="Abo-thar" w:hAnsi="Abo-thar" w:hint="cs"/>
          <w:sz w:val="28"/>
          <w:rtl/>
          <w:lang w:bidi="ar-SY"/>
        </w:rPr>
        <w:t>.</w:t>
      </w:r>
    </w:p>
    <w:p w:rsidR="005C664D" w:rsidRPr="003F3B94" w:rsidRDefault="00B06788" w:rsidP="0067048A">
      <w:pPr>
        <w:pStyle w:val="a0"/>
        <w:ind w:left="284" w:firstLine="0"/>
        <w:rPr>
          <w:rFonts w:hint="cs"/>
          <w:rtl/>
          <w:lang w:bidi="ar-SY"/>
        </w:rPr>
      </w:pPr>
      <w:r w:rsidRPr="00995B26">
        <w:rPr>
          <w:rFonts w:ascii="Abo-thar" w:hAnsi="Abo-thar" w:cs="Traditional Arabic" w:hint="cs"/>
          <w:sz w:val="28"/>
          <w:rtl/>
          <w:lang w:bidi="ar-SY"/>
        </w:rPr>
        <w:t>﴿</w:t>
      </w:r>
      <w:r w:rsidRPr="0067048A">
        <w:rPr>
          <w:rStyle w:val="Char3"/>
          <w:rFonts w:hint="eastAsia"/>
          <w:rtl/>
        </w:rPr>
        <w:t>وَلَو</w:t>
      </w:r>
      <w:r w:rsidRPr="0067048A">
        <w:rPr>
          <w:rStyle w:val="Char3"/>
          <w:rFonts w:hint="cs"/>
          <w:rtl/>
        </w:rPr>
        <w:t>ۡ</w:t>
      </w:r>
      <w:r w:rsidRPr="0067048A">
        <w:rPr>
          <w:rStyle w:val="Char3"/>
          <w:rtl/>
        </w:rPr>
        <w:t xml:space="preserve"> </w:t>
      </w:r>
      <w:r w:rsidRPr="0067048A">
        <w:rPr>
          <w:rStyle w:val="Char3"/>
          <w:rFonts w:hint="eastAsia"/>
          <w:rtl/>
        </w:rPr>
        <w:t>أَنَّهُم</w:t>
      </w:r>
      <w:r w:rsidRPr="0067048A">
        <w:rPr>
          <w:rStyle w:val="Char3"/>
          <w:rFonts w:hint="cs"/>
          <w:rtl/>
        </w:rPr>
        <w:t>ۡ</w:t>
      </w:r>
      <w:r w:rsidRPr="0067048A">
        <w:rPr>
          <w:rStyle w:val="Char3"/>
          <w:rtl/>
        </w:rPr>
        <w:t xml:space="preserve"> </w:t>
      </w:r>
      <w:r w:rsidRPr="0067048A">
        <w:rPr>
          <w:rStyle w:val="Char3"/>
          <w:rFonts w:hint="eastAsia"/>
          <w:rtl/>
        </w:rPr>
        <w:t>رَضُواْ</w:t>
      </w:r>
      <w:r w:rsidRPr="0067048A">
        <w:rPr>
          <w:rStyle w:val="Char3"/>
          <w:rtl/>
        </w:rPr>
        <w:t xml:space="preserve"> </w:t>
      </w:r>
      <w:r w:rsidRPr="0067048A">
        <w:rPr>
          <w:rStyle w:val="Char3"/>
          <w:rFonts w:hint="eastAsia"/>
          <w:rtl/>
        </w:rPr>
        <w:t>مَا</w:t>
      </w:r>
      <w:r w:rsidRPr="0067048A">
        <w:rPr>
          <w:rStyle w:val="Char3"/>
          <w:rFonts w:hint="cs"/>
          <w:rtl/>
        </w:rPr>
        <w:t>ٓ</w:t>
      </w:r>
      <w:r w:rsidRPr="0067048A">
        <w:rPr>
          <w:rStyle w:val="Char3"/>
          <w:rtl/>
        </w:rPr>
        <w:t xml:space="preserve"> </w:t>
      </w:r>
      <w:r w:rsidRPr="0067048A">
        <w:rPr>
          <w:rStyle w:val="Char3"/>
          <w:rFonts w:hint="eastAsia"/>
          <w:rtl/>
        </w:rPr>
        <w:t>ءَاتَى</w:t>
      </w:r>
      <w:r w:rsidRPr="0067048A">
        <w:rPr>
          <w:rStyle w:val="Char3"/>
          <w:rFonts w:hint="cs"/>
          <w:rtl/>
        </w:rPr>
        <w:t>ٰ</w:t>
      </w:r>
      <w:r w:rsidRPr="0067048A">
        <w:rPr>
          <w:rStyle w:val="Char3"/>
          <w:rFonts w:hint="eastAsia"/>
          <w:rtl/>
        </w:rPr>
        <w:t>هُمُ</w:t>
      </w:r>
      <w:r w:rsidRPr="0067048A">
        <w:rPr>
          <w:rStyle w:val="Char3"/>
          <w:rtl/>
        </w:rPr>
        <w:t xml:space="preserve"> </w:t>
      </w:r>
      <w:r w:rsidRPr="0067048A">
        <w:rPr>
          <w:rStyle w:val="Char3"/>
          <w:rFonts w:hint="cs"/>
          <w:rtl/>
        </w:rPr>
        <w:t>ٱ</w:t>
      </w:r>
      <w:r w:rsidRPr="0067048A">
        <w:rPr>
          <w:rStyle w:val="Char3"/>
          <w:rFonts w:hint="eastAsia"/>
          <w:rtl/>
        </w:rPr>
        <w:t>للَّهُ</w:t>
      </w:r>
      <w:r w:rsidRPr="0067048A">
        <w:rPr>
          <w:rStyle w:val="Char3"/>
          <w:rtl/>
        </w:rPr>
        <w:t xml:space="preserve"> </w:t>
      </w:r>
      <w:r w:rsidRPr="0067048A">
        <w:rPr>
          <w:rStyle w:val="Char3"/>
          <w:rFonts w:hint="eastAsia"/>
          <w:rtl/>
        </w:rPr>
        <w:t>وَرَسُولُهُ</w:t>
      </w:r>
      <w:r w:rsidRPr="0067048A">
        <w:rPr>
          <w:rStyle w:val="Char3"/>
          <w:rFonts w:hint="cs"/>
          <w:rtl/>
        </w:rPr>
        <w:t>ۥ</w:t>
      </w:r>
      <w:r w:rsidRPr="0067048A">
        <w:rPr>
          <w:rStyle w:val="Char3"/>
          <w:rtl/>
        </w:rPr>
        <w:t xml:space="preserve"> </w:t>
      </w:r>
      <w:r w:rsidRPr="0067048A">
        <w:rPr>
          <w:rStyle w:val="Char3"/>
          <w:rFonts w:hint="eastAsia"/>
          <w:rtl/>
        </w:rPr>
        <w:t>وَقَالُواْ</w:t>
      </w:r>
      <w:r w:rsidRPr="0067048A">
        <w:rPr>
          <w:rStyle w:val="Char3"/>
          <w:rtl/>
        </w:rPr>
        <w:t xml:space="preserve"> </w:t>
      </w:r>
      <w:r w:rsidRPr="0067048A">
        <w:rPr>
          <w:rStyle w:val="Char3"/>
          <w:rFonts w:hint="eastAsia"/>
          <w:rtl/>
        </w:rPr>
        <w:t>حَس</w:t>
      </w:r>
      <w:r w:rsidRPr="0067048A">
        <w:rPr>
          <w:rStyle w:val="Char3"/>
          <w:rFonts w:hint="cs"/>
          <w:rtl/>
        </w:rPr>
        <w:t>ۡ</w:t>
      </w:r>
      <w:r w:rsidRPr="0067048A">
        <w:rPr>
          <w:rStyle w:val="Char3"/>
          <w:rFonts w:hint="eastAsia"/>
          <w:rtl/>
        </w:rPr>
        <w:t>بُنَا</w:t>
      </w:r>
      <w:r w:rsidRPr="0067048A">
        <w:rPr>
          <w:rStyle w:val="Char3"/>
          <w:rtl/>
        </w:rPr>
        <w:t xml:space="preserve"> </w:t>
      </w:r>
      <w:r w:rsidRPr="0067048A">
        <w:rPr>
          <w:rStyle w:val="Char3"/>
          <w:rFonts w:hint="cs"/>
          <w:rtl/>
        </w:rPr>
        <w:t>ٱ</w:t>
      </w:r>
      <w:r w:rsidRPr="0067048A">
        <w:rPr>
          <w:rStyle w:val="Char3"/>
          <w:rFonts w:hint="eastAsia"/>
          <w:rtl/>
        </w:rPr>
        <w:t>للَّهُ</w:t>
      </w:r>
      <w:r w:rsidRPr="0067048A">
        <w:rPr>
          <w:rStyle w:val="Char3"/>
          <w:rtl/>
        </w:rPr>
        <w:t xml:space="preserve"> </w:t>
      </w:r>
      <w:r w:rsidRPr="0067048A">
        <w:rPr>
          <w:rStyle w:val="Char3"/>
          <w:rFonts w:hint="eastAsia"/>
          <w:rtl/>
        </w:rPr>
        <w:t>سَيُؤ</w:t>
      </w:r>
      <w:r w:rsidRPr="0067048A">
        <w:rPr>
          <w:rStyle w:val="Char3"/>
          <w:rFonts w:hint="cs"/>
          <w:rtl/>
        </w:rPr>
        <w:t>ۡ</w:t>
      </w:r>
      <w:r w:rsidRPr="0067048A">
        <w:rPr>
          <w:rStyle w:val="Char3"/>
          <w:rFonts w:hint="eastAsia"/>
          <w:rtl/>
        </w:rPr>
        <w:t>تِينَا</w:t>
      </w:r>
      <w:r w:rsidRPr="0067048A">
        <w:rPr>
          <w:rStyle w:val="Char3"/>
          <w:rtl/>
        </w:rPr>
        <w:t xml:space="preserve"> </w:t>
      </w:r>
      <w:r w:rsidRPr="0067048A">
        <w:rPr>
          <w:rStyle w:val="Char3"/>
          <w:rFonts w:hint="cs"/>
          <w:rtl/>
        </w:rPr>
        <w:t>ٱ</w:t>
      </w:r>
      <w:r w:rsidRPr="0067048A">
        <w:rPr>
          <w:rStyle w:val="Char3"/>
          <w:rFonts w:hint="eastAsia"/>
          <w:rtl/>
        </w:rPr>
        <w:t>للَّهُ</w:t>
      </w:r>
      <w:r w:rsidRPr="0067048A">
        <w:rPr>
          <w:rStyle w:val="Char3"/>
          <w:rtl/>
        </w:rPr>
        <w:t xml:space="preserve"> </w:t>
      </w:r>
      <w:r w:rsidRPr="0067048A">
        <w:rPr>
          <w:rStyle w:val="Char3"/>
          <w:rFonts w:hint="eastAsia"/>
          <w:rtl/>
        </w:rPr>
        <w:t>مِن</w:t>
      </w:r>
      <w:r w:rsidRPr="0067048A">
        <w:rPr>
          <w:rStyle w:val="Char3"/>
          <w:rtl/>
        </w:rPr>
        <w:t xml:space="preserve"> </w:t>
      </w:r>
      <w:r w:rsidRPr="0067048A">
        <w:rPr>
          <w:rStyle w:val="Char3"/>
          <w:rFonts w:hint="eastAsia"/>
          <w:rtl/>
        </w:rPr>
        <w:t>فَض</w:t>
      </w:r>
      <w:r w:rsidRPr="0067048A">
        <w:rPr>
          <w:rStyle w:val="Char3"/>
          <w:rFonts w:hint="cs"/>
          <w:rtl/>
        </w:rPr>
        <w:t>ۡ</w:t>
      </w:r>
      <w:r w:rsidRPr="0067048A">
        <w:rPr>
          <w:rStyle w:val="Char3"/>
          <w:rFonts w:hint="eastAsia"/>
          <w:rtl/>
        </w:rPr>
        <w:t>لِهِ</w:t>
      </w:r>
      <w:r w:rsidRPr="0067048A">
        <w:rPr>
          <w:rStyle w:val="Char3"/>
          <w:rFonts w:hint="cs"/>
          <w:rtl/>
        </w:rPr>
        <w:t>ۦ</w:t>
      </w:r>
      <w:r w:rsidRPr="0067048A">
        <w:rPr>
          <w:rStyle w:val="Char3"/>
          <w:rtl/>
        </w:rPr>
        <w:t xml:space="preserve"> </w:t>
      </w:r>
      <w:r w:rsidRPr="0067048A">
        <w:rPr>
          <w:rStyle w:val="Char3"/>
          <w:rFonts w:hint="eastAsia"/>
          <w:rtl/>
        </w:rPr>
        <w:t>وَرَسُولُهُ</w:t>
      </w:r>
      <w:r w:rsidRPr="0067048A">
        <w:rPr>
          <w:rStyle w:val="Char3"/>
          <w:rFonts w:hint="cs"/>
          <w:rtl/>
        </w:rPr>
        <w:t>ۥٓ</w:t>
      </w:r>
      <w:r w:rsidRPr="00995B26">
        <w:rPr>
          <w:rFonts w:ascii="Abo-thar" w:hAnsi="Abo-thar" w:cs="Traditional Arabic" w:hint="cs"/>
          <w:sz w:val="28"/>
          <w:rtl/>
          <w:lang w:bidi="ar-SY"/>
        </w:rPr>
        <w:t>﴾</w:t>
      </w:r>
      <w:r w:rsidR="005C664D" w:rsidRPr="00FC12FD">
        <w:rPr>
          <w:rStyle w:val="Char2"/>
          <w:rFonts w:hint="cs"/>
          <w:rtl/>
        </w:rPr>
        <w:t xml:space="preserve"> </w:t>
      </w:r>
      <w:r w:rsidRPr="00FC12FD">
        <w:rPr>
          <w:rStyle w:val="Char2"/>
          <w:rFonts w:hint="cs"/>
          <w:rtl/>
        </w:rPr>
        <w:t>[</w:t>
      </w:r>
      <w:r w:rsidR="005C664D" w:rsidRPr="00FC12FD">
        <w:rPr>
          <w:rStyle w:val="Char2"/>
          <w:rFonts w:hint="cs"/>
          <w:rtl/>
        </w:rPr>
        <w:t>التوبة</w:t>
      </w:r>
      <w:r w:rsidRPr="00FC12FD">
        <w:rPr>
          <w:rStyle w:val="Char2"/>
          <w:rFonts w:hint="cs"/>
          <w:rtl/>
        </w:rPr>
        <w:t xml:space="preserve">: </w:t>
      </w:r>
      <w:r w:rsidR="005C664D" w:rsidRPr="00FC12FD">
        <w:rPr>
          <w:rStyle w:val="Char2"/>
          <w:rFonts w:hint="cs"/>
          <w:rtl/>
        </w:rPr>
        <w:t>59</w:t>
      </w:r>
      <w:r w:rsidRPr="00FC12FD">
        <w:rPr>
          <w:rStyle w:val="Char2"/>
          <w:rFonts w:hint="cs"/>
          <w:rtl/>
        </w:rPr>
        <w:t>]</w:t>
      </w:r>
      <w:r w:rsidR="00217AB4" w:rsidRPr="003F3B94">
        <w:rPr>
          <w:rFonts w:ascii="Abo-thar" w:hAnsi="Abo-thar" w:hint="cs"/>
          <w:sz w:val="28"/>
          <w:rtl/>
          <w:lang w:bidi="ar-SY"/>
        </w:rPr>
        <w:t>.</w:t>
      </w:r>
    </w:p>
    <w:p w:rsidR="005C664D" w:rsidRPr="003F3B94" w:rsidRDefault="00B06788" w:rsidP="0067048A">
      <w:pPr>
        <w:pStyle w:val="a0"/>
        <w:ind w:left="284" w:firstLine="0"/>
        <w:rPr>
          <w:rFonts w:hint="cs"/>
          <w:rtl/>
          <w:lang w:bidi="ar-SY"/>
        </w:rPr>
      </w:pPr>
      <w:r w:rsidRPr="00995B26">
        <w:rPr>
          <w:rFonts w:ascii="Abo-thar" w:hAnsi="Abo-thar" w:cs="Traditional Arabic" w:hint="cs"/>
          <w:sz w:val="28"/>
          <w:rtl/>
          <w:lang w:bidi="ar-SY"/>
        </w:rPr>
        <w:t>﴿</w:t>
      </w:r>
      <w:r w:rsidRPr="0067048A">
        <w:rPr>
          <w:rStyle w:val="Char3"/>
          <w:rFonts w:hint="eastAsia"/>
          <w:rtl/>
        </w:rPr>
        <w:t>يَح</w:t>
      </w:r>
      <w:r w:rsidRPr="0067048A">
        <w:rPr>
          <w:rStyle w:val="Char3"/>
          <w:rFonts w:hint="cs"/>
          <w:rtl/>
        </w:rPr>
        <w:t>ۡ</w:t>
      </w:r>
      <w:r w:rsidRPr="0067048A">
        <w:rPr>
          <w:rStyle w:val="Char3"/>
          <w:rFonts w:hint="eastAsia"/>
          <w:rtl/>
        </w:rPr>
        <w:t>لِفُونَ</w:t>
      </w:r>
      <w:r w:rsidRPr="0067048A">
        <w:rPr>
          <w:rStyle w:val="Char3"/>
          <w:rtl/>
        </w:rPr>
        <w:t xml:space="preserve"> </w:t>
      </w:r>
      <w:r w:rsidRPr="0067048A">
        <w:rPr>
          <w:rStyle w:val="Char3"/>
          <w:rFonts w:hint="eastAsia"/>
          <w:rtl/>
        </w:rPr>
        <w:t>بِ</w:t>
      </w:r>
      <w:r w:rsidRPr="0067048A">
        <w:rPr>
          <w:rStyle w:val="Char3"/>
          <w:rFonts w:hint="cs"/>
          <w:rtl/>
        </w:rPr>
        <w:t>ٱ</w:t>
      </w:r>
      <w:r w:rsidRPr="0067048A">
        <w:rPr>
          <w:rStyle w:val="Char3"/>
          <w:rFonts w:hint="eastAsia"/>
          <w:rtl/>
        </w:rPr>
        <w:t>للَّهِ</w:t>
      </w:r>
      <w:r w:rsidRPr="0067048A">
        <w:rPr>
          <w:rStyle w:val="Char3"/>
          <w:rtl/>
        </w:rPr>
        <w:t xml:space="preserve"> </w:t>
      </w:r>
      <w:r w:rsidRPr="0067048A">
        <w:rPr>
          <w:rStyle w:val="Char3"/>
          <w:rFonts w:hint="eastAsia"/>
          <w:rtl/>
        </w:rPr>
        <w:t>لَكُم</w:t>
      </w:r>
      <w:r w:rsidRPr="0067048A">
        <w:rPr>
          <w:rStyle w:val="Char3"/>
          <w:rFonts w:hint="cs"/>
          <w:rtl/>
        </w:rPr>
        <w:t>ۡ</w:t>
      </w:r>
      <w:r w:rsidRPr="0067048A">
        <w:rPr>
          <w:rStyle w:val="Char3"/>
          <w:rtl/>
        </w:rPr>
        <w:t xml:space="preserve"> </w:t>
      </w:r>
      <w:r w:rsidRPr="0067048A">
        <w:rPr>
          <w:rStyle w:val="Char3"/>
          <w:rFonts w:hint="eastAsia"/>
          <w:rtl/>
        </w:rPr>
        <w:t>لِيُر</w:t>
      </w:r>
      <w:r w:rsidRPr="0067048A">
        <w:rPr>
          <w:rStyle w:val="Char3"/>
          <w:rFonts w:hint="cs"/>
          <w:rtl/>
        </w:rPr>
        <w:t>ۡ</w:t>
      </w:r>
      <w:r w:rsidRPr="0067048A">
        <w:rPr>
          <w:rStyle w:val="Char3"/>
          <w:rFonts w:hint="eastAsia"/>
          <w:rtl/>
        </w:rPr>
        <w:t>ضُوكُم</w:t>
      </w:r>
      <w:r w:rsidRPr="0067048A">
        <w:rPr>
          <w:rStyle w:val="Char3"/>
          <w:rFonts w:hint="cs"/>
          <w:rtl/>
        </w:rPr>
        <w:t>ۡ</w:t>
      </w:r>
      <w:r w:rsidRPr="0067048A">
        <w:rPr>
          <w:rStyle w:val="Char3"/>
          <w:rtl/>
        </w:rPr>
        <w:t xml:space="preserve"> </w:t>
      </w:r>
      <w:r w:rsidRPr="0067048A">
        <w:rPr>
          <w:rStyle w:val="Char3"/>
          <w:rFonts w:hint="eastAsia"/>
          <w:rtl/>
        </w:rPr>
        <w:t>وَ</w:t>
      </w:r>
      <w:r w:rsidRPr="0067048A">
        <w:rPr>
          <w:rStyle w:val="Char3"/>
          <w:rFonts w:hint="cs"/>
          <w:rtl/>
        </w:rPr>
        <w:t>ٱ</w:t>
      </w:r>
      <w:r w:rsidRPr="0067048A">
        <w:rPr>
          <w:rStyle w:val="Char3"/>
          <w:rFonts w:hint="eastAsia"/>
          <w:rtl/>
        </w:rPr>
        <w:t>للَّهُ</w:t>
      </w:r>
      <w:r w:rsidRPr="0067048A">
        <w:rPr>
          <w:rStyle w:val="Char3"/>
          <w:rtl/>
        </w:rPr>
        <w:t xml:space="preserve"> </w:t>
      </w:r>
      <w:r w:rsidRPr="0067048A">
        <w:rPr>
          <w:rStyle w:val="Char3"/>
          <w:rFonts w:hint="eastAsia"/>
          <w:rtl/>
        </w:rPr>
        <w:t>وَرَسُولُهُ</w:t>
      </w:r>
      <w:r w:rsidRPr="0067048A">
        <w:rPr>
          <w:rStyle w:val="Char3"/>
          <w:rFonts w:hint="cs"/>
          <w:rtl/>
        </w:rPr>
        <w:t>ۥٓ</w:t>
      </w:r>
      <w:r w:rsidRPr="0067048A">
        <w:rPr>
          <w:rStyle w:val="Char3"/>
          <w:rtl/>
        </w:rPr>
        <w:t xml:space="preserve"> </w:t>
      </w:r>
      <w:r w:rsidRPr="0067048A">
        <w:rPr>
          <w:rStyle w:val="Char3"/>
          <w:rFonts w:hint="eastAsia"/>
          <w:rtl/>
        </w:rPr>
        <w:t>أَحَقُّ</w:t>
      </w:r>
      <w:r w:rsidRPr="0067048A">
        <w:rPr>
          <w:rStyle w:val="Char3"/>
          <w:rtl/>
        </w:rPr>
        <w:t xml:space="preserve"> </w:t>
      </w:r>
      <w:r w:rsidRPr="0067048A">
        <w:rPr>
          <w:rStyle w:val="Char3"/>
          <w:rFonts w:hint="eastAsia"/>
          <w:rtl/>
        </w:rPr>
        <w:t>أَن</w:t>
      </w:r>
      <w:r w:rsidRPr="0067048A">
        <w:rPr>
          <w:rStyle w:val="Char3"/>
          <w:rtl/>
        </w:rPr>
        <w:t xml:space="preserve"> </w:t>
      </w:r>
      <w:r w:rsidRPr="0067048A">
        <w:rPr>
          <w:rStyle w:val="Char3"/>
          <w:rFonts w:hint="eastAsia"/>
          <w:rtl/>
        </w:rPr>
        <w:t>يُر</w:t>
      </w:r>
      <w:r w:rsidRPr="0067048A">
        <w:rPr>
          <w:rStyle w:val="Char3"/>
          <w:rFonts w:hint="cs"/>
          <w:rtl/>
        </w:rPr>
        <w:t>ۡ</w:t>
      </w:r>
      <w:r w:rsidRPr="0067048A">
        <w:rPr>
          <w:rStyle w:val="Char3"/>
          <w:rFonts w:hint="eastAsia"/>
          <w:rtl/>
        </w:rPr>
        <w:t>ضُوهُ</w:t>
      </w:r>
      <w:r w:rsidRPr="0067048A">
        <w:rPr>
          <w:rStyle w:val="Char3"/>
          <w:rtl/>
        </w:rPr>
        <w:t xml:space="preserve"> </w:t>
      </w:r>
      <w:r w:rsidRPr="0067048A">
        <w:rPr>
          <w:rStyle w:val="Char3"/>
          <w:rFonts w:hint="eastAsia"/>
          <w:rtl/>
        </w:rPr>
        <w:t>إِن</w:t>
      </w:r>
      <w:r w:rsidRPr="0067048A">
        <w:rPr>
          <w:rStyle w:val="Char3"/>
          <w:rtl/>
        </w:rPr>
        <w:t xml:space="preserve"> </w:t>
      </w:r>
      <w:r w:rsidRPr="0067048A">
        <w:rPr>
          <w:rStyle w:val="Char3"/>
          <w:rFonts w:hint="eastAsia"/>
          <w:rtl/>
        </w:rPr>
        <w:t>كَانُواْ</w:t>
      </w:r>
      <w:r w:rsidRPr="0067048A">
        <w:rPr>
          <w:rStyle w:val="Char3"/>
          <w:rtl/>
        </w:rPr>
        <w:t xml:space="preserve"> </w:t>
      </w:r>
      <w:r w:rsidRPr="0067048A">
        <w:rPr>
          <w:rStyle w:val="Char3"/>
          <w:rFonts w:hint="eastAsia"/>
          <w:rtl/>
        </w:rPr>
        <w:t>مُؤ</w:t>
      </w:r>
      <w:r w:rsidRPr="0067048A">
        <w:rPr>
          <w:rStyle w:val="Char3"/>
          <w:rFonts w:hint="cs"/>
          <w:rtl/>
        </w:rPr>
        <w:t>ۡ</w:t>
      </w:r>
      <w:r w:rsidRPr="0067048A">
        <w:rPr>
          <w:rStyle w:val="Char3"/>
          <w:rFonts w:hint="eastAsia"/>
          <w:rtl/>
        </w:rPr>
        <w:t>مِنِينَ</w:t>
      </w:r>
      <w:r w:rsidRPr="0067048A">
        <w:rPr>
          <w:rStyle w:val="Char3"/>
          <w:rFonts w:hint="cs"/>
          <w:rtl/>
        </w:rPr>
        <w:t>٦٢</w:t>
      </w:r>
      <w:r w:rsidRPr="00995B26">
        <w:rPr>
          <w:rFonts w:ascii="Abo-thar" w:hAnsi="Abo-thar" w:cs="Traditional Arabic" w:hint="cs"/>
          <w:sz w:val="28"/>
          <w:rtl/>
          <w:lang w:bidi="ar-SY"/>
        </w:rPr>
        <w:t>﴾</w:t>
      </w:r>
      <w:r w:rsidRPr="003F3B94">
        <w:rPr>
          <w:rFonts w:ascii="Abo-thar" w:hAnsi="Abo-thar" w:hint="cs"/>
          <w:sz w:val="28"/>
          <w:rtl/>
          <w:lang w:bidi="ar-SY"/>
        </w:rPr>
        <w:t xml:space="preserve"> </w:t>
      </w:r>
      <w:r w:rsidRPr="00FC12FD">
        <w:rPr>
          <w:rStyle w:val="Char2"/>
          <w:rFonts w:hint="cs"/>
          <w:rtl/>
        </w:rPr>
        <w:t>[</w:t>
      </w:r>
      <w:r w:rsidR="005C664D" w:rsidRPr="00FC12FD">
        <w:rPr>
          <w:rStyle w:val="Char2"/>
          <w:rFonts w:hint="cs"/>
          <w:rtl/>
        </w:rPr>
        <w:t>التوبة</w:t>
      </w:r>
      <w:r w:rsidRPr="00FC12FD">
        <w:rPr>
          <w:rStyle w:val="Char2"/>
          <w:rFonts w:hint="cs"/>
          <w:rtl/>
        </w:rPr>
        <w:t xml:space="preserve">: </w:t>
      </w:r>
      <w:r w:rsidR="005C664D" w:rsidRPr="00FC12FD">
        <w:rPr>
          <w:rStyle w:val="Char2"/>
          <w:rFonts w:hint="cs"/>
          <w:rtl/>
        </w:rPr>
        <w:t>62</w:t>
      </w:r>
      <w:r w:rsidRPr="00FC12FD">
        <w:rPr>
          <w:rStyle w:val="Char2"/>
          <w:rFonts w:hint="cs"/>
          <w:rtl/>
        </w:rPr>
        <w:t>]</w:t>
      </w:r>
      <w:r w:rsidR="00217AB4" w:rsidRPr="003F3B94">
        <w:rPr>
          <w:rFonts w:ascii="Abo-thar" w:hAnsi="Abo-thar" w:hint="cs"/>
          <w:sz w:val="28"/>
          <w:rtl/>
          <w:lang w:bidi="ar-SY"/>
        </w:rPr>
        <w:t>.</w:t>
      </w:r>
    </w:p>
    <w:p w:rsidR="005C664D" w:rsidRPr="003F3B94" w:rsidRDefault="00B06788" w:rsidP="0067048A">
      <w:pPr>
        <w:pStyle w:val="a0"/>
        <w:ind w:left="284" w:firstLine="0"/>
        <w:rPr>
          <w:rFonts w:hint="cs"/>
          <w:rtl/>
          <w:lang w:bidi="ar-SY"/>
        </w:rPr>
      </w:pPr>
      <w:r w:rsidRPr="00995B26">
        <w:rPr>
          <w:rFonts w:ascii="Abo-thar" w:hAnsi="Abo-thar" w:cs="Traditional Arabic" w:hint="cs"/>
          <w:sz w:val="28"/>
          <w:rtl/>
          <w:lang w:bidi="ar-SY"/>
        </w:rPr>
        <w:t>﴿</w:t>
      </w:r>
      <w:r w:rsidRPr="0067048A">
        <w:rPr>
          <w:rStyle w:val="Char3"/>
          <w:rFonts w:hint="eastAsia"/>
          <w:rtl/>
        </w:rPr>
        <w:t>وَمَا</w:t>
      </w:r>
      <w:r w:rsidRPr="0067048A">
        <w:rPr>
          <w:rStyle w:val="Char3"/>
          <w:rtl/>
        </w:rPr>
        <w:t xml:space="preserve"> </w:t>
      </w:r>
      <w:r w:rsidRPr="0067048A">
        <w:rPr>
          <w:rStyle w:val="Char3"/>
          <w:rFonts w:hint="eastAsia"/>
          <w:rtl/>
        </w:rPr>
        <w:t>نَقَمُو</w:t>
      </w:r>
      <w:r w:rsidRPr="0067048A">
        <w:rPr>
          <w:rStyle w:val="Char3"/>
          <w:rFonts w:hint="cs"/>
          <w:rtl/>
        </w:rPr>
        <w:t>ٓ</w:t>
      </w:r>
      <w:r w:rsidRPr="0067048A">
        <w:rPr>
          <w:rStyle w:val="Char3"/>
          <w:rFonts w:hint="eastAsia"/>
          <w:rtl/>
        </w:rPr>
        <w:t>اْ</w:t>
      </w:r>
      <w:r w:rsidRPr="0067048A">
        <w:rPr>
          <w:rStyle w:val="Char3"/>
          <w:rtl/>
        </w:rPr>
        <w:t xml:space="preserve"> </w:t>
      </w:r>
      <w:r w:rsidRPr="0067048A">
        <w:rPr>
          <w:rStyle w:val="Char3"/>
          <w:rFonts w:hint="eastAsia"/>
          <w:rtl/>
        </w:rPr>
        <w:t>إِلَّا</w:t>
      </w:r>
      <w:r w:rsidRPr="0067048A">
        <w:rPr>
          <w:rStyle w:val="Char3"/>
          <w:rFonts w:hint="cs"/>
          <w:rtl/>
        </w:rPr>
        <w:t>ٓ</w:t>
      </w:r>
      <w:r w:rsidRPr="0067048A">
        <w:rPr>
          <w:rStyle w:val="Char3"/>
          <w:rtl/>
        </w:rPr>
        <w:t xml:space="preserve"> </w:t>
      </w:r>
      <w:r w:rsidRPr="0067048A">
        <w:rPr>
          <w:rStyle w:val="Char3"/>
          <w:rFonts w:hint="eastAsia"/>
          <w:rtl/>
        </w:rPr>
        <w:t>أَن</w:t>
      </w:r>
      <w:r w:rsidRPr="0067048A">
        <w:rPr>
          <w:rStyle w:val="Char3"/>
          <w:rFonts w:hint="cs"/>
          <w:rtl/>
        </w:rPr>
        <w:t>ۡ</w:t>
      </w:r>
      <w:r w:rsidRPr="0067048A">
        <w:rPr>
          <w:rStyle w:val="Char3"/>
          <w:rtl/>
        </w:rPr>
        <w:t xml:space="preserve"> </w:t>
      </w:r>
      <w:r w:rsidRPr="0067048A">
        <w:rPr>
          <w:rStyle w:val="Char3"/>
          <w:rFonts w:hint="eastAsia"/>
          <w:rtl/>
        </w:rPr>
        <w:t>أَغ</w:t>
      </w:r>
      <w:r w:rsidRPr="0067048A">
        <w:rPr>
          <w:rStyle w:val="Char3"/>
          <w:rFonts w:hint="cs"/>
          <w:rtl/>
        </w:rPr>
        <w:t>ۡ</w:t>
      </w:r>
      <w:r w:rsidRPr="0067048A">
        <w:rPr>
          <w:rStyle w:val="Char3"/>
          <w:rFonts w:hint="eastAsia"/>
          <w:rtl/>
        </w:rPr>
        <w:t>نَى</w:t>
      </w:r>
      <w:r w:rsidRPr="0067048A">
        <w:rPr>
          <w:rStyle w:val="Char3"/>
          <w:rFonts w:hint="cs"/>
          <w:rtl/>
        </w:rPr>
        <w:t>ٰ</w:t>
      </w:r>
      <w:r w:rsidRPr="0067048A">
        <w:rPr>
          <w:rStyle w:val="Char3"/>
          <w:rFonts w:hint="eastAsia"/>
          <w:rtl/>
        </w:rPr>
        <w:t>هُمُ</w:t>
      </w:r>
      <w:r w:rsidRPr="0067048A">
        <w:rPr>
          <w:rStyle w:val="Char3"/>
          <w:rtl/>
        </w:rPr>
        <w:t xml:space="preserve"> </w:t>
      </w:r>
      <w:r w:rsidRPr="0067048A">
        <w:rPr>
          <w:rStyle w:val="Char3"/>
          <w:rFonts w:hint="cs"/>
          <w:rtl/>
        </w:rPr>
        <w:t>ٱ</w:t>
      </w:r>
      <w:r w:rsidRPr="0067048A">
        <w:rPr>
          <w:rStyle w:val="Char3"/>
          <w:rFonts w:hint="eastAsia"/>
          <w:rtl/>
        </w:rPr>
        <w:t>للَّهُ</w:t>
      </w:r>
      <w:r w:rsidRPr="0067048A">
        <w:rPr>
          <w:rStyle w:val="Char3"/>
          <w:rtl/>
        </w:rPr>
        <w:t xml:space="preserve"> </w:t>
      </w:r>
      <w:r w:rsidRPr="0067048A">
        <w:rPr>
          <w:rStyle w:val="Char3"/>
          <w:rFonts w:hint="eastAsia"/>
          <w:rtl/>
        </w:rPr>
        <w:t>وَرَسُولُهُ</w:t>
      </w:r>
      <w:r w:rsidRPr="0067048A">
        <w:rPr>
          <w:rStyle w:val="Char3"/>
          <w:rFonts w:hint="cs"/>
          <w:rtl/>
        </w:rPr>
        <w:t>ۥ</w:t>
      </w:r>
      <w:r w:rsidRPr="0067048A">
        <w:rPr>
          <w:rStyle w:val="Char3"/>
          <w:rtl/>
        </w:rPr>
        <w:t xml:space="preserve"> </w:t>
      </w:r>
      <w:r w:rsidRPr="0067048A">
        <w:rPr>
          <w:rStyle w:val="Char3"/>
          <w:rFonts w:hint="eastAsia"/>
          <w:rtl/>
        </w:rPr>
        <w:t>مِن</w:t>
      </w:r>
      <w:r w:rsidRPr="0067048A">
        <w:rPr>
          <w:rStyle w:val="Char3"/>
          <w:rtl/>
        </w:rPr>
        <w:t xml:space="preserve"> </w:t>
      </w:r>
      <w:r w:rsidRPr="0067048A">
        <w:rPr>
          <w:rStyle w:val="Char3"/>
          <w:rFonts w:hint="eastAsia"/>
          <w:rtl/>
        </w:rPr>
        <w:t>فَض</w:t>
      </w:r>
      <w:r w:rsidRPr="0067048A">
        <w:rPr>
          <w:rStyle w:val="Char3"/>
          <w:rFonts w:hint="cs"/>
          <w:rtl/>
        </w:rPr>
        <w:t>ۡ</w:t>
      </w:r>
      <w:r w:rsidRPr="0067048A">
        <w:rPr>
          <w:rStyle w:val="Char3"/>
          <w:rFonts w:hint="eastAsia"/>
          <w:rtl/>
        </w:rPr>
        <w:t>لِهِ</w:t>
      </w:r>
      <w:r w:rsidRPr="0067048A">
        <w:rPr>
          <w:rStyle w:val="Char3"/>
          <w:rFonts w:hint="cs"/>
          <w:rtl/>
        </w:rPr>
        <w:t>ۦ</w:t>
      </w:r>
      <w:r w:rsidRPr="00995B26">
        <w:rPr>
          <w:rFonts w:ascii="Abo-thar" w:hAnsi="Abo-thar" w:cs="Traditional Arabic" w:hint="cs"/>
          <w:sz w:val="28"/>
          <w:rtl/>
          <w:lang w:bidi="ar-SY"/>
        </w:rPr>
        <w:t>﴾</w:t>
      </w:r>
      <w:r w:rsidRPr="003F3B94">
        <w:rPr>
          <w:rFonts w:ascii="Abo-thar" w:hAnsi="Abo-thar" w:hint="cs"/>
          <w:sz w:val="28"/>
          <w:rtl/>
          <w:lang w:bidi="ar-SY"/>
        </w:rPr>
        <w:t xml:space="preserve"> </w:t>
      </w:r>
      <w:r w:rsidRPr="00FC12FD">
        <w:rPr>
          <w:rStyle w:val="Char2"/>
          <w:rFonts w:hint="cs"/>
          <w:rtl/>
        </w:rPr>
        <w:t>[</w:t>
      </w:r>
      <w:r w:rsidR="005C664D" w:rsidRPr="00FC12FD">
        <w:rPr>
          <w:rStyle w:val="Char2"/>
          <w:rFonts w:hint="cs"/>
          <w:rtl/>
        </w:rPr>
        <w:t>التوبة</w:t>
      </w:r>
      <w:r w:rsidRPr="00FC12FD">
        <w:rPr>
          <w:rStyle w:val="Char2"/>
          <w:rFonts w:hint="cs"/>
          <w:rtl/>
        </w:rPr>
        <w:t xml:space="preserve">: </w:t>
      </w:r>
      <w:r w:rsidR="005C664D" w:rsidRPr="00FC12FD">
        <w:rPr>
          <w:rStyle w:val="Char2"/>
          <w:rFonts w:hint="cs"/>
          <w:rtl/>
        </w:rPr>
        <w:t>74</w:t>
      </w:r>
      <w:r w:rsidRPr="00FC12FD">
        <w:rPr>
          <w:rStyle w:val="Char2"/>
          <w:rFonts w:hint="cs"/>
          <w:rtl/>
        </w:rPr>
        <w:t>]</w:t>
      </w:r>
      <w:r w:rsidR="00217AB4" w:rsidRPr="003F3B94">
        <w:rPr>
          <w:rFonts w:ascii="Abo-thar" w:hAnsi="Abo-thar" w:hint="cs"/>
          <w:sz w:val="28"/>
          <w:rtl/>
          <w:lang w:bidi="ar-SY"/>
        </w:rPr>
        <w:t>.</w:t>
      </w:r>
    </w:p>
    <w:p w:rsidR="005C664D" w:rsidRPr="003F3B94" w:rsidRDefault="00B06788" w:rsidP="0067048A">
      <w:pPr>
        <w:pStyle w:val="a0"/>
        <w:ind w:left="284" w:firstLine="0"/>
        <w:rPr>
          <w:rFonts w:hint="cs"/>
          <w:rtl/>
          <w:lang w:bidi="ar-SY"/>
        </w:rPr>
      </w:pPr>
      <w:r w:rsidRPr="00995B26">
        <w:rPr>
          <w:rFonts w:ascii="Abo-thar" w:hAnsi="Abo-thar" w:cs="Traditional Arabic" w:hint="cs"/>
          <w:sz w:val="28"/>
          <w:rtl/>
          <w:lang w:bidi="ar-SY"/>
        </w:rPr>
        <w:t>﴿</w:t>
      </w:r>
      <w:r w:rsidRPr="0067048A">
        <w:rPr>
          <w:rStyle w:val="Char3"/>
          <w:rFonts w:hint="eastAsia"/>
          <w:rtl/>
        </w:rPr>
        <w:t>وَإِذَا</w:t>
      </w:r>
      <w:r w:rsidRPr="0067048A">
        <w:rPr>
          <w:rStyle w:val="Char3"/>
          <w:rtl/>
        </w:rPr>
        <w:t xml:space="preserve"> </w:t>
      </w:r>
      <w:r w:rsidRPr="0067048A">
        <w:rPr>
          <w:rStyle w:val="Char3"/>
          <w:rFonts w:hint="eastAsia"/>
          <w:rtl/>
        </w:rPr>
        <w:t>دُعُو</w:t>
      </w:r>
      <w:r w:rsidRPr="0067048A">
        <w:rPr>
          <w:rStyle w:val="Char3"/>
          <w:rFonts w:hint="cs"/>
          <w:rtl/>
        </w:rPr>
        <w:t>ٓ</w:t>
      </w:r>
      <w:r w:rsidRPr="0067048A">
        <w:rPr>
          <w:rStyle w:val="Char3"/>
          <w:rFonts w:hint="eastAsia"/>
          <w:rtl/>
        </w:rPr>
        <w:t>اْ</w:t>
      </w:r>
      <w:r w:rsidRPr="0067048A">
        <w:rPr>
          <w:rStyle w:val="Char3"/>
          <w:rtl/>
        </w:rPr>
        <w:t xml:space="preserve"> </w:t>
      </w:r>
      <w:r w:rsidRPr="0067048A">
        <w:rPr>
          <w:rStyle w:val="Char3"/>
          <w:rFonts w:hint="eastAsia"/>
          <w:rtl/>
        </w:rPr>
        <w:t>إِلَى</w:t>
      </w:r>
      <w:r w:rsidRPr="0067048A">
        <w:rPr>
          <w:rStyle w:val="Char3"/>
          <w:rtl/>
        </w:rPr>
        <w:t xml:space="preserve"> </w:t>
      </w:r>
      <w:r w:rsidRPr="0067048A">
        <w:rPr>
          <w:rStyle w:val="Char3"/>
          <w:rFonts w:hint="cs"/>
          <w:rtl/>
        </w:rPr>
        <w:t>ٱ</w:t>
      </w:r>
      <w:r w:rsidRPr="0067048A">
        <w:rPr>
          <w:rStyle w:val="Char3"/>
          <w:rFonts w:hint="eastAsia"/>
          <w:rtl/>
        </w:rPr>
        <w:t>للَّهِ</w:t>
      </w:r>
      <w:r w:rsidRPr="0067048A">
        <w:rPr>
          <w:rStyle w:val="Char3"/>
          <w:rtl/>
        </w:rPr>
        <w:t xml:space="preserve"> </w:t>
      </w:r>
      <w:r w:rsidRPr="0067048A">
        <w:rPr>
          <w:rStyle w:val="Char3"/>
          <w:rFonts w:hint="eastAsia"/>
          <w:rtl/>
        </w:rPr>
        <w:t>وَرَسُولِهِ</w:t>
      </w:r>
      <w:r w:rsidRPr="0067048A">
        <w:rPr>
          <w:rStyle w:val="Char3"/>
          <w:rFonts w:hint="cs"/>
          <w:rtl/>
        </w:rPr>
        <w:t>ۦ</w:t>
      </w:r>
      <w:r w:rsidRPr="0067048A">
        <w:rPr>
          <w:rStyle w:val="Char3"/>
          <w:rtl/>
        </w:rPr>
        <w:t xml:space="preserve"> </w:t>
      </w:r>
      <w:r w:rsidRPr="0067048A">
        <w:rPr>
          <w:rStyle w:val="Char3"/>
          <w:rFonts w:hint="eastAsia"/>
          <w:rtl/>
        </w:rPr>
        <w:t>لِيَح</w:t>
      </w:r>
      <w:r w:rsidRPr="0067048A">
        <w:rPr>
          <w:rStyle w:val="Char3"/>
          <w:rFonts w:hint="cs"/>
          <w:rtl/>
        </w:rPr>
        <w:t>ۡ</w:t>
      </w:r>
      <w:r w:rsidRPr="0067048A">
        <w:rPr>
          <w:rStyle w:val="Char3"/>
          <w:rFonts w:hint="eastAsia"/>
          <w:rtl/>
        </w:rPr>
        <w:t>كُمَ</w:t>
      </w:r>
      <w:r w:rsidRPr="0067048A">
        <w:rPr>
          <w:rStyle w:val="Char3"/>
          <w:rtl/>
        </w:rPr>
        <w:t xml:space="preserve"> </w:t>
      </w:r>
      <w:r w:rsidRPr="0067048A">
        <w:rPr>
          <w:rStyle w:val="Char3"/>
          <w:rFonts w:hint="eastAsia"/>
          <w:rtl/>
        </w:rPr>
        <w:t>بَي</w:t>
      </w:r>
      <w:r w:rsidRPr="0067048A">
        <w:rPr>
          <w:rStyle w:val="Char3"/>
          <w:rFonts w:hint="cs"/>
          <w:rtl/>
        </w:rPr>
        <w:t>ۡ</w:t>
      </w:r>
      <w:r w:rsidRPr="0067048A">
        <w:rPr>
          <w:rStyle w:val="Char3"/>
          <w:rFonts w:hint="eastAsia"/>
          <w:rtl/>
        </w:rPr>
        <w:t>نَهُم</w:t>
      </w:r>
      <w:r w:rsidRPr="0067048A">
        <w:rPr>
          <w:rStyle w:val="Char3"/>
          <w:rFonts w:hint="cs"/>
          <w:rtl/>
        </w:rPr>
        <w:t>ۡ</w:t>
      </w:r>
      <w:r w:rsidRPr="00995B26">
        <w:rPr>
          <w:rFonts w:ascii="Abo-thar" w:hAnsi="Abo-thar" w:cs="Traditional Arabic" w:hint="cs"/>
          <w:sz w:val="28"/>
          <w:rtl/>
          <w:lang w:bidi="ar-SY"/>
        </w:rPr>
        <w:t>﴾</w:t>
      </w:r>
      <w:r w:rsidR="005C664D" w:rsidRPr="003F3B94">
        <w:rPr>
          <w:rFonts w:ascii="Abo-thar" w:hAnsi="Abo-thar" w:hint="cs"/>
          <w:sz w:val="28"/>
          <w:rtl/>
          <w:lang w:bidi="ar-SY"/>
        </w:rPr>
        <w:t xml:space="preserve"> </w:t>
      </w:r>
      <w:r w:rsidRPr="00FC12FD">
        <w:rPr>
          <w:rStyle w:val="Char2"/>
          <w:rFonts w:hint="cs"/>
          <w:rtl/>
        </w:rPr>
        <w:t>[</w:t>
      </w:r>
      <w:r w:rsidR="005C664D" w:rsidRPr="00FC12FD">
        <w:rPr>
          <w:rStyle w:val="Char2"/>
          <w:rFonts w:hint="cs"/>
          <w:rtl/>
        </w:rPr>
        <w:t>النور</w:t>
      </w:r>
      <w:r w:rsidRPr="00FC12FD">
        <w:rPr>
          <w:rStyle w:val="Char2"/>
          <w:rFonts w:hint="cs"/>
          <w:rtl/>
        </w:rPr>
        <w:t xml:space="preserve">: </w:t>
      </w:r>
      <w:r w:rsidR="005C664D" w:rsidRPr="00FC12FD">
        <w:rPr>
          <w:rStyle w:val="Char2"/>
          <w:rFonts w:hint="cs"/>
          <w:rtl/>
        </w:rPr>
        <w:t>48</w:t>
      </w:r>
      <w:r w:rsidRPr="00FC12FD">
        <w:rPr>
          <w:rStyle w:val="Char2"/>
          <w:rFonts w:hint="cs"/>
          <w:rtl/>
        </w:rPr>
        <w:t>]</w:t>
      </w:r>
      <w:r w:rsidR="00217AB4" w:rsidRPr="003F3B94">
        <w:rPr>
          <w:rFonts w:ascii="Abo-thar" w:hAnsi="Abo-thar" w:hint="cs"/>
          <w:sz w:val="28"/>
          <w:rtl/>
          <w:lang w:bidi="ar-SY"/>
        </w:rPr>
        <w:t>.</w:t>
      </w:r>
    </w:p>
    <w:p w:rsidR="005C664D" w:rsidRPr="003F3B94" w:rsidRDefault="00B06788" w:rsidP="0067048A">
      <w:pPr>
        <w:pStyle w:val="a0"/>
        <w:ind w:left="284" w:firstLine="0"/>
        <w:rPr>
          <w:rFonts w:hint="cs"/>
          <w:rtl/>
          <w:lang w:bidi="ar-SY"/>
        </w:rPr>
      </w:pPr>
      <w:r w:rsidRPr="00995B26">
        <w:rPr>
          <w:rFonts w:ascii="Abo-thar" w:hAnsi="Abo-thar" w:cs="Traditional Arabic" w:hint="cs"/>
          <w:sz w:val="28"/>
          <w:rtl/>
          <w:lang w:bidi="ar-SY"/>
        </w:rPr>
        <w:t>﴿</w:t>
      </w:r>
      <w:r w:rsidRPr="0067048A">
        <w:rPr>
          <w:rStyle w:val="Char3"/>
          <w:rFonts w:hint="eastAsia"/>
          <w:rtl/>
        </w:rPr>
        <w:t>إِنَّمَا</w:t>
      </w:r>
      <w:r w:rsidRPr="0067048A">
        <w:rPr>
          <w:rStyle w:val="Char3"/>
          <w:rtl/>
        </w:rPr>
        <w:t xml:space="preserve"> </w:t>
      </w:r>
      <w:r w:rsidRPr="0067048A">
        <w:rPr>
          <w:rStyle w:val="Char3"/>
          <w:rFonts w:hint="eastAsia"/>
          <w:rtl/>
        </w:rPr>
        <w:t>كَانَ</w:t>
      </w:r>
      <w:r w:rsidRPr="0067048A">
        <w:rPr>
          <w:rStyle w:val="Char3"/>
          <w:rtl/>
        </w:rPr>
        <w:t xml:space="preserve"> </w:t>
      </w:r>
      <w:r w:rsidRPr="0067048A">
        <w:rPr>
          <w:rStyle w:val="Char3"/>
          <w:rFonts w:hint="eastAsia"/>
          <w:rtl/>
        </w:rPr>
        <w:t>قَو</w:t>
      </w:r>
      <w:r w:rsidRPr="0067048A">
        <w:rPr>
          <w:rStyle w:val="Char3"/>
          <w:rFonts w:hint="cs"/>
          <w:rtl/>
        </w:rPr>
        <w:t>ۡ</w:t>
      </w:r>
      <w:r w:rsidRPr="0067048A">
        <w:rPr>
          <w:rStyle w:val="Char3"/>
          <w:rFonts w:hint="eastAsia"/>
          <w:rtl/>
        </w:rPr>
        <w:t>لَ</w:t>
      </w:r>
      <w:r w:rsidRPr="0067048A">
        <w:rPr>
          <w:rStyle w:val="Char3"/>
          <w:rtl/>
        </w:rPr>
        <w:t xml:space="preserve"> </w:t>
      </w:r>
      <w:r w:rsidRPr="0067048A">
        <w:rPr>
          <w:rStyle w:val="Char3"/>
          <w:rFonts w:hint="cs"/>
          <w:rtl/>
        </w:rPr>
        <w:t>ٱ</w:t>
      </w:r>
      <w:r w:rsidRPr="0067048A">
        <w:rPr>
          <w:rStyle w:val="Char3"/>
          <w:rFonts w:hint="eastAsia"/>
          <w:rtl/>
        </w:rPr>
        <w:t>ل</w:t>
      </w:r>
      <w:r w:rsidRPr="0067048A">
        <w:rPr>
          <w:rStyle w:val="Char3"/>
          <w:rFonts w:hint="cs"/>
          <w:rtl/>
        </w:rPr>
        <w:t>ۡ</w:t>
      </w:r>
      <w:r w:rsidRPr="0067048A">
        <w:rPr>
          <w:rStyle w:val="Char3"/>
          <w:rFonts w:hint="eastAsia"/>
          <w:rtl/>
        </w:rPr>
        <w:t>مُؤ</w:t>
      </w:r>
      <w:r w:rsidRPr="0067048A">
        <w:rPr>
          <w:rStyle w:val="Char3"/>
          <w:rFonts w:hint="cs"/>
          <w:rtl/>
        </w:rPr>
        <w:t>ۡ</w:t>
      </w:r>
      <w:r w:rsidRPr="0067048A">
        <w:rPr>
          <w:rStyle w:val="Char3"/>
          <w:rFonts w:hint="eastAsia"/>
          <w:rtl/>
        </w:rPr>
        <w:t>مِنِينَ</w:t>
      </w:r>
      <w:r w:rsidRPr="0067048A">
        <w:rPr>
          <w:rStyle w:val="Char3"/>
          <w:rtl/>
        </w:rPr>
        <w:t xml:space="preserve"> </w:t>
      </w:r>
      <w:r w:rsidRPr="0067048A">
        <w:rPr>
          <w:rStyle w:val="Char3"/>
          <w:rFonts w:hint="eastAsia"/>
          <w:rtl/>
        </w:rPr>
        <w:t>إِذَا</w:t>
      </w:r>
      <w:r w:rsidRPr="0067048A">
        <w:rPr>
          <w:rStyle w:val="Char3"/>
          <w:rtl/>
        </w:rPr>
        <w:t xml:space="preserve"> </w:t>
      </w:r>
      <w:r w:rsidRPr="0067048A">
        <w:rPr>
          <w:rStyle w:val="Char3"/>
          <w:rFonts w:hint="eastAsia"/>
          <w:rtl/>
        </w:rPr>
        <w:t>دُعُو</w:t>
      </w:r>
      <w:r w:rsidRPr="0067048A">
        <w:rPr>
          <w:rStyle w:val="Char3"/>
          <w:rFonts w:hint="cs"/>
          <w:rtl/>
        </w:rPr>
        <w:t>ٓ</w:t>
      </w:r>
      <w:r w:rsidRPr="0067048A">
        <w:rPr>
          <w:rStyle w:val="Char3"/>
          <w:rFonts w:hint="eastAsia"/>
          <w:rtl/>
        </w:rPr>
        <w:t>اْ</w:t>
      </w:r>
      <w:r w:rsidRPr="0067048A">
        <w:rPr>
          <w:rStyle w:val="Char3"/>
          <w:rtl/>
        </w:rPr>
        <w:t xml:space="preserve"> </w:t>
      </w:r>
      <w:r w:rsidRPr="0067048A">
        <w:rPr>
          <w:rStyle w:val="Char3"/>
          <w:rFonts w:hint="eastAsia"/>
          <w:rtl/>
        </w:rPr>
        <w:t>إِلَى</w:t>
      </w:r>
      <w:r w:rsidRPr="0067048A">
        <w:rPr>
          <w:rStyle w:val="Char3"/>
          <w:rtl/>
        </w:rPr>
        <w:t xml:space="preserve"> </w:t>
      </w:r>
      <w:r w:rsidRPr="0067048A">
        <w:rPr>
          <w:rStyle w:val="Char3"/>
          <w:rFonts w:hint="cs"/>
          <w:rtl/>
        </w:rPr>
        <w:t>ٱ</w:t>
      </w:r>
      <w:r w:rsidRPr="0067048A">
        <w:rPr>
          <w:rStyle w:val="Char3"/>
          <w:rFonts w:hint="eastAsia"/>
          <w:rtl/>
        </w:rPr>
        <w:t>للَّهِ</w:t>
      </w:r>
      <w:r w:rsidRPr="0067048A">
        <w:rPr>
          <w:rStyle w:val="Char3"/>
          <w:rtl/>
        </w:rPr>
        <w:t xml:space="preserve"> </w:t>
      </w:r>
      <w:r w:rsidRPr="0067048A">
        <w:rPr>
          <w:rStyle w:val="Char3"/>
          <w:rFonts w:hint="eastAsia"/>
          <w:rtl/>
        </w:rPr>
        <w:t>وَرَسُولِهِ</w:t>
      </w:r>
      <w:r w:rsidRPr="0067048A">
        <w:rPr>
          <w:rStyle w:val="Char3"/>
          <w:rFonts w:hint="cs"/>
          <w:rtl/>
        </w:rPr>
        <w:t>ۦ</w:t>
      </w:r>
      <w:r w:rsidRPr="0067048A">
        <w:rPr>
          <w:rStyle w:val="Char3"/>
          <w:rtl/>
        </w:rPr>
        <w:t xml:space="preserve"> </w:t>
      </w:r>
      <w:r w:rsidRPr="0067048A">
        <w:rPr>
          <w:rStyle w:val="Char3"/>
          <w:rFonts w:hint="eastAsia"/>
          <w:rtl/>
        </w:rPr>
        <w:t>لِيَح</w:t>
      </w:r>
      <w:r w:rsidRPr="0067048A">
        <w:rPr>
          <w:rStyle w:val="Char3"/>
          <w:rFonts w:hint="cs"/>
          <w:rtl/>
        </w:rPr>
        <w:t>ۡ</w:t>
      </w:r>
      <w:r w:rsidRPr="0067048A">
        <w:rPr>
          <w:rStyle w:val="Char3"/>
          <w:rFonts w:hint="eastAsia"/>
          <w:rtl/>
        </w:rPr>
        <w:t>كُمَ</w:t>
      </w:r>
      <w:r w:rsidRPr="0067048A">
        <w:rPr>
          <w:rStyle w:val="Char3"/>
          <w:rtl/>
        </w:rPr>
        <w:t xml:space="preserve"> </w:t>
      </w:r>
      <w:r w:rsidRPr="0067048A">
        <w:rPr>
          <w:rStyle w:val="Char3"/>
          <w:rFonts w:hint="eastAsia"/>
          <w:rtl/>
        </w:rPr>
        <w:t>بَي</w:t>
      </w:r>
      <w:r w:rsidRPr="0067048A">
        <w:rPr>
          <w:rStyle w:val="Char3"/>
          <w:rFonts w:hint="cs"/>
          <w:rtl/>
        </w:rPr>
        <w:t>ۡ</w:t>
      </w:r>
      <w:r w:rsidRPr="0067048A">
        <w:rPr>
          <w:rStyle w:val="Char3"/>
          <w:rFonts w:hint="eastAsia"/>
          <w:rtl/>
        </w:rPr>
        <w:t>نَهُم</w:t>
      </w:r>
      <w:r w:rsidRPr="0067048A">
        <w:rPr>
          <w:rStyle w:val="Char3"/>
          <w:rFonts w:hint="cs"/>
          <w:rtl/>
        </w:rPr>
        <w:t>ۡ</w:t>
      </w:r>
      <w:r w:rsidRPr="0067048A">
        <w:rPr>
          <w:rStyle w:val="Char3"/>
          <w:rtl/>
        </w:rPr>
        <w:t xml:space="preserve"> </w:t>
      </w:r>
      <w:r w:rsidRPr="0067048A">
        <w:rPr>
          <w:rStyle w:val="Char3"/>
          <w:rFonts w:hint="eastAsia"/>
          <w:rtl/>
        </w:rPr>
        <w:t>أَن</w:t>
      </w:r>
      <w:r w:rsidRPr="0067048A">
        <w:rPr>
          <w:rStyle w:val="Char3"/>
          <w:rtl/>
        </w:rPr>
        <w:t xml:space="preserve"> </w:t>
      </w:r>
      <w:r w:rsidRPr="0067048A">
        <w:rPr>
          <w:rStyle w:val="Char3"/>
          <w:rFonts w:hint="eastAsia"/>
          <w:rtl/>
        </w:rPr>
        <w:t>يَقُولُواْ</w:t>
      </w:r>
      <w:r w:rsidRPr="0067048A">
        <w:rPr>
          <w:rStyle w:val="Char3"/>
          <w:rtl/>
        </w:rPr>
        <w:t xml:space="preserve"> </w:t>
      </w:r>
      <w:r w:rsidRPr="0067048A">
        <w:rPr>
          <w:rStyle w:val="Char3"/>
          <w:rFonts w:hint="eastAsia"/>
          <w:rtl/>
        </w:rPr>
        <w:t>سَمِع</w:t>
      </w:r>
      <w:r w:rsidRPr="0067048A">
        <w:rPr>
          <w:rStyle w:val="Char3"/>
          <w:rFonts w:hint="cs"/>
          <w:rtl/>
        </w:rPr>
        <w:t>ۡ</w:t>
      </w:r>
      <w:r w:rsidRPr="0067048A">
        <w:rPr>
          <w:rStyle w:val="Char3"/>
          <w:rFonts w:hint="eastAsia"/>
          <w:rtl/>
        </w:rPr>
        <w:t>نَا</w:t>
      </w:r>
      <w:r w:rsidRPr="0067048A">
        <w:rPr>
          <w:rStyle w:val="Char3"/>
          <w:rtl/>
        </w:rPr>
        <w:t xml:space="preserve"> </w:t>
      </w:r>
      <w:r w:rsidRPr="0067048A">
        <w:rPr>
          <w:rStyle w:val="Char3"/>
          <w:rFonts w:hint="eastAsia"/>
          <w:rtl/>
        </w:rPr>
        <w:t>وَأَطَع</w:t>
      </w:r>
      <w:r w:rsidRPr="0067048A">
        <w:rPr>
          <w:rStyle w:val="Char3"/>
          <w:rFonts w:hint="cs"/>
          <w:rtl/>
        </w:rPr>
        <w:t>ۡ</w:t>
      </w:r>
      <w:r w:rsidRPr="0067048A">
        <w:rPr>
          <w:rStyle w:val="Char3"/>
          <w:rFonts w:hint="eastAsia"/>
          <w:rtl/>
        </w:rPr>
        <w:t>نَا</w:t>
      </w:r>
      <w:r w:rsidRPr="00995B26">
        <w:rPr>
          <w:rFonts w:ascii="Abo-thar" w:hAnsi="Abo-thar" w:cs="Traditional Arabic" w:hint="cs"/>
          <w:sz w:val="28"/>
          <w:rtl/>
          <w:lang w:bidi="ar-SY"/>
        </w:rPr>
        <w:t>﴾</w:t>
      </w:r>
      <w:r w:rsidR="005C664D" w:rsidRPr="003F3B94">
        <w:rPr>
          <w:rFonts w:ascii="Abo-thar" w:hAnsi="Abo-thar" w:hint="cs"/>
          <w:sz w:val="28"/>
          <w:rtl/>
          <w:lang w:bidi="ar-SY"/>
        </w:rPr>
        <w:t xml:space="preserve"> </w:t>
      </w:r>
      <w:r w:rsidRPr="00FC12FD">
        <w:rPr>
          <w:rStyle w:val="Char2"/>
          <w:rFonts w:hint="cs"/>
          <w:rtl/>
        </w:rPr>
        <w:t>[</w:t>
      </w:r>
      <w:r w:rsidR="005C664D" w:rsidRPr="00FC12FD">
        <w:rPr>
          <w:rStyle w:val="Char2"/>
          <w:rFonts w:hint="cs"/>
          <w:rtl/>
        </w:rPr>
        <w:t>النور</w:t>
      </w:r>
      <w:r w:rsidRPr="00FC12FD">
        <w:rPr>
          <w:rStyle w:val="Char2"/>
          <w:rFonts w:hint="cs"/>
          <w:rtl/>
        </w:rPr>
        <w:t xml:space="preserve">: </w:t>
      </w:r>
      <w:r w:rsidR="005C664D" w:rsidRPr="00FC12FD">
        <w:rPr>
          <w:rStyle w:val="Char2"/>
          <w:rFonts w:hint="cs"/>
          <w:rtl/>
        </w:rPr>
        <w:t>51</w:t>
      </w:r>
      <w:r w:rsidRPr="00FC12FD">
        <w:rPr>
          <w:rStyle w:val="Char2"/>
          <w:rFonts w:hint="cs"/>
          <w:rtl/>
        </w:rPr>
        <w:t>]</w:t>
      </w:r>
      <w:r w:rsidR="00217AB4" w:rsidRPr="003F3B94">
        <w:rPr>
          <w:rFonts w:ascii="Abo-thar" w:hAnsi="Abo-thar" w:hint="cs"/>
          <w:sz w:val="28"/>
          <w:rtl/>
          <w:lang w:bidi="ar-SY"/>
        </w:rPr>
        <w:t>.</w:t>
      </w:r>
    </w:p>
    <w:p w:rsidR="005C664D" w:rsidRPr="003F3B94" w:rsidRDefault="00B06788" w:rsidP="0067048A">
      <w:pPr>
        <w:pStyle w:val="a0"/>
        <w:ind w:left="284" w:firstLine="0"/>
        <w:rPr>
          <w:rFonts w:hint="cs"/>
          <w:rtl/>
          <w:lang w:bidi="ar-SY"/>
        </w:rPr>
      </w:pPr>
      <w:r w:rsidRPr="00995B26">
        <w:rPr>
          <w:rFonts w:ascii="Abo-thar" w:hAnsi="Abo-thar" w:cs="Traditional Arabic" w:hint="cs"/>
          <w:sz w:val="28"/>
          <w:rtl/>
          <w:lang w:bidi="ar-SY"/>
        </w:rPr>
        <w:t>﴿</w:t>
      </w:r>
      <w:r w:rsidRPr="0067048A">
        <w:rPr>
          <w:rStyle w:val="Char3"/>
          <w:rFonts w:hint="eastAsia"/>
          <w:rtl/>
        </w:rPr>
        <w:t>إِنَّ</w:t>
      </w:r>
      <w:r w:rsidRPr="0067048A">
        <w:rPr>
          <w:rStyle w:val="Char3"/>
          <w:rtl/>
        </w:rPr>
        <w:t xml:space="preserve"> </w:t>
      </w:r>
      <w:r w:rsidRPr="0067048A">
        <w:rPr>
          <w:rStyle w:val="Char3"/>
          <w:rFonts w:hint="cs"/>
          <w:rtl/>
        </w:rPr>
        <w:t>ٱ</w:t>
      </w:r>
      <w:r w:rsidRPr="0067048A">
        <w:rPr>
          <w:rStyle w:val="Char3"/>
          <w:rFonts w:hint="eastAsia"/>
          <w:rtl/>
        </w:rPr>
        <w:t>لَّذِينَ</w:t>
      </w:r>
      <w:r w:rsidRPr="0067048A">
        <w:rPr>
          <w:rStyle w:val="Char3"/>
          <w:rtl/>
        </w:rPr>
        <w:t xml:space="preserve"> </w:t>
      </w:r>
      <w:r w:rsidRPr="0067048A">
        <w:rPr>
          <w:rStyle w:val="Char3"/>
          <w:rFonts w:hint="eastAsia"/>
          <w:rtl/>
        </w:rPr>
        <w:t>يُؤ</w:t>
      </w:r>
      <w:r w:rsidRPr="0067048A">
        <w:rPr>
          <w:rStyle w:val="Char3"/>
          <w:rFonts w:hint="cs"/>
          <w:rtl/>
        </w:rPr>
        <w:t>ۡ</w:t>
      </w:r>
      <w:r w:rsidRPr="0067048A">
        <w:rPr>
          <w:rStyle w:val="Char3"/>
          <w:rFonts w:hint="eastAsia"/>
          <w:rtl/>
        </w:rPr>
        <w:t>ذُونَ</w:t>
      </w:r>
      <w:r w:rsidRPr="0067048A">
        <w:rPr>
          <w:rStyle w:val="Char3"/>
          <w:rtl/>
        </w:rPr>
        <w:t xml:space="preserve"> </w:t>
      </w:r>
      <w:r w:rsidRPr="0067048A">
        <w:rPr>
          <w:rStyle w:val="Char3"/>
          <w:rFonts w:hint="cs"/>
          <w:rtl/>
        </w:rPr>
        <w:t>ٱ</w:t>
      </w:r>
      <w:r w:rsidRPr="0067048A">
        <w:rPr>
          <w:rStyle w:val="Char3"/>
          <w:rFonts w:hint="eastAsia"/>
          <w:rtl/>
        </w:rPr>
        <w:t>للَّهَ</w:t>
      </w:r>
      <w:r w:rsidRPr="0067048A">
        <w:rPr>
          <w:rStyle w:val="Char3"/>
          <w:rtl/>
        </w:rPr>
        <w:t xml:space="preserve"> </w:t>
      </w:r>
      <w:r w:rsidRPr="0067048A">
        <w:rPr>
          <w:rStyle w:val="Char3"/>
          <w:rFonts w:hint="eastAsia"/>
          <w:rtl/>
        </w:rPr>
        <w:t>وَرَسُولَهُ</w:t>
      </w:r>
      <w:r w:rsidRPr="0067048A">
        <w:rPr>
          <w:rStyle w:val="Char3"/>
          <w:rFonts w:hint="cs"/>
          <w:rtl/>
        </w:rPr>
        <w:t>ۥ</w:t>
      </w:r>
      <w:r w:rsidRPr="0067048A">
        <w:rPr>
          <w:rStyle w:val="Char3"/>
          <w:rtl/>
        </w:rPr>
        <w:t xml:space="preserve"> </w:t>
      </w:r>
      <w:r w:rsidRPr="0067048A">
        <w:rPr>
          <w:rStyle w:val="Char3"/>
          <w:rFonts w:hint="eastAsia"/>
          <w:rtl/>
        </w:rPr>
        <w:t>لَعَنَهُمُ</w:t>
      </w:r>
      <w:r w:rsidRPr="0067048A">
        <w:rPr>
          <w:rStyle w:val="Char3"/>
          <w:rtl/>
        </w:rPr>
        <w:t xml:space="preserve"> </w:t>
      </w:r>
      <w:r w:rsidRPr="0067048A">
        <w:rPr>
          <w:rStyle w:val="Char3"/>
          <w:rFonts w:hint="cs"/>
          <w:rtl/>
        </w:rPr>
        <w:t>ٱ</w:t>
      </w:r>
      <w:r w:rsidRPr="0067048A">
        <w:rPr>
          <w:rStyle w:val="Char3"/>
          <w:rFonts w:hint="eastAsia"/>
          <w:rtl/>
        </w:rPr>
        <w:t>للَّهُ</w:t>
      </w:r>
      <w:r w:rsidRPr="00995B26">
        <w:rPr>
          <w:rFonts w:ascii="Abo-thar" w:hAnsi="Abo-thar" w:cs="Traditional Arabic" w:hint="cs"/>
          <w:sz w:val="28"/>
          <w:rtl/>
          <w:lang w:bidi="ar-SY"/>
        </w:rPr>
        <w:t>﴾</w:t>
      </w:r>
      <w:r w:rsidRPr="003F3B94">
        <w:rPr>
          <w:rFonts w:ascii="Abo-thar" w:hAnsi="Abo-thar" w:hint="cs"/>
          <w:sz w:val="28"/>
          <w:rtl/>
          <w:lang w:bidi="ar-SY"/>
        </w:rPr>
        <w:t xml:space="preserve"> </w:t>
      </w:r>
      <w:r w:rsidRPr="00FC12FD">
        <w:rPr>
          <w:rStyle w:val="Char2"/>
          <w:rFonts w:hint="cs"/>
          <w:rtl/>
        </w:rPr>
        <w:t>[</w:t>
      </w:r>
      <w:r w:rsidR="005C664D" w:rsidRPr="00FC12FD">
        <w:rPr>
          <w:rStyle w:val="Char2"/>
          <w:rFonts w:hint="cs"/>
          <w:rtl/>
        </w:rPr>
        <w:t>الأحزاب</w:t>
      </w:r>
      <w:r w:rsidRPr="00FC12FD">
        <w:rPr>
          <w:rStyle w:val="Char2"/>
          <w:rFonts w:hint="cs"/>
          <w:rtl/>
        </w:rPr>
        <w:t xml:space="preserve">: </w:t>
      </w:r>
      <w:r w:rsidR="005C664D" w:rsidRPr="00FC12FD">
        <w:rPr>
          <w:rStyle w:val="Char2"/>
          <w:rFonts w:hint="cs"/>
          <w:rtl/>
        </w:rPr>
        <w:t>57</w:t>
      </w:r>
      <w:r w:rsidRPr="00FC12FD">
        <w:rPr>
          <w:rStyle w:val="Char2"/>
          <w:rFonts w:hint="cs"/>
          <w:rtl/>
        </w:rPr>
        <w:t>]</w:t>
      </w:r>
      <w:r w:rsidR="00217AB4" w:rsidRPr="003F3B94">
        <w:rPr>
          <w:rFonts w:ascii="Abo-thar" w:hAnsi="Abo-thar" w:hint="cs"/>
          <w:sz w:val="28"/>
          <w:rtl/>
          <w:lang w:bidi="ar-SY"/>
        </w:rPr>
        <w:t>.</w:t>
      </w:r>
    </w:p>
    <w:p w:rsidR="005C664D" w:rsidRPr="003F3B94" w:rsidRDefault="00685363" w:rsidP="0067048A">
      <w:pPr>
        <w:pStyle w:val="a0"/>
        <w:ind w:left="284" w:firstLine="0"/>
        <w:rPr>
          <w:rFonts w:hint="cs"/>
          <w:rtl/>
          <w:lang w:bidi="ar-SY"/>
        </w:rPr>
      </w:pPr>
      <w:r w:rsidRPr="00995B26">
        <w:rPr>
          <w:rFonts w:ascii="Abo-thar" w:hAnsi="Abo-thar" w:cs="Traditional Arabic" w:hint="cs"/>
          <w:sz w:val="28"/>
          <w:rtl/>
          <w:lang w:bidi="ar-SY"/>
        </w:rPr>
        <w:t>﴿</w:t>
      </w:r>
      <w:r w:rsidRPr="0067048A">
        <w:rPr>
          <w:rStyle w:val="Char3"/>
          <w:rFonts w:hint="eastAsia"/>
          <w:rtl/>
        </w:rPr>
        <w:t>لِّتُؤ</w:t>
      </w:r>
      <w:r w:rsidRPr="0067048A">
        <w:rPr>
          <w:rStyle w:val="Char3"/>
          <w:rFonts w:hint="cs"/>
          <w:rtl/>
        </w:rPr>
        <w:t>ۡ</w:t>
      </w:r>
      <w:r w:rsidRPr="0067048A">
        <w:rPr>
          <w:rStyle w:val="Char3"/>
          <w:rFonts w:hint="eastAsia"/>
          <w:rtl/>
        </w:rPr>
        <w:t>مِنُواْ</w:t>
      </w:r>
      <w:r w:rsidRPr="0067048A">
        <w:rPr>
          <w:rStyle w:val="Char3"/>
          <w:rtl/>
        </w:rPr>
        <w:t xml:space="preserve"> </w:t>
      </w:r>
      <w:r w:rsidRPr="0067048A">
        <w:rPr>
          <w:rStyle w:val="Char3"/>
          <w:rFonts w:hint="eastAsia"/>
          <w:rtl/>
        </w:rPr>
        <w:t>بِ</w:t>
      </w:r>
      <w:r w:rsidRPr="0067048A">
        <w:rPr>
          <w:rStyle w:val="Char3"/>
          <w:rFonts w:hint="cs"/>
          <w:rtl/>
        </w:rPr>
        <w:t>ٱ</w:t>
      </w:r>
      <w:r w:rsidRPr="0067048A">
        <w:rPr>
          <w:rStyle w:val="Char3"/>
          <w:rFonts w:hint="eastAsia"/>
          <w:rtl/>
        </w:rPr>
        <w:t>للَّهِ</w:t>
      </w:r>
      <w:r w:rsidRPr="0067048A">
        <w:rPr>
          <w:rStyle w:val="Char3"/>
          <w:rtl/>
        </w:rPr>
        <w:t xml:space="preserve"> </w:t>
      </w:r>
      <w:r w:rsidRPr="0067048A">
        <w:rPr>
          <w:rStyle w:val="Char3"/>
          <w:rFonts w:hint="eastAsia"/>
          <w:rtl/>
        </w:rPr>
        <w:t>وَرَسُولِهِ</w:t>
      </w:r>
      <w:r w:rsidRPr="0067048A">
        <w:rPr>
          <w:rStyle w:val="Char3"/>
          <w:rFonts w:hint="cs"/>
          <w:rtl/>
        </w:rPr>
        <w:t>ۦ</w:t>
      </w:r>
      <w:r w:rsidRPr="0067048A">
        <w:rPr>
          <w:rStyle w:val="Char3"/>
          <w:rtl/>
        </w:rPr>
        <w:t xml:space="preserve"> </w:t>
      </w:r>
      <w:r w:rsidRPr="0067048A">
        <w:rPr>
          <w:rStyle w:val="Char3"/>
          <w:rFonts w:hint="eastAsia"/>
          <w:rtl/>
        </w:rPr>
        <w:t>وَتُعَزِّرُوهُ</w:t>
      </w:r>
      <w:r w:rsidRPr="0067048A">
        <w:rPr>
          <w:rStyle w:val="Char3"/>
          <w:rtl/>
        </w:rPr>
        <w:t xml:space="preserve"> </w:t>
      </w:r>
      <w:r w:rsidRPr="0067048A">
        <w:rPr>
          <w:rStyle w:val="Char3"/>
          <w:rFonts w:hint="eastAsia"/>
          <w:rtl/>
        </w:rPr>
        <w:t>وَتُوَقِّرُوهُ</w:t>
      </w:r>
      <w:r w:rsidRPr="0067048A">
        <w:rPr>
          <w:rStyle w:val="Char3"/>
          <w:rFonts w:hint="cs"/>
          <w:rtl/>
        </w:rPr>
        <w:t>ۚ</w:t>
      </w:r>
      <w:r w:rsidRPr="0067048A">
        <w:rPr>
          <w:rStyle w:val="Char3"/>
          <w:rtl/>
        </w:rPr>
        <w:t xml:space="preserve"> </w:t>
      </w:r>
      <w:r w:rsidRPr="0067048A">
        <w:rPr>
          <w:rStyle w:val="Char3"/>
          <w:rFonts w:hint="eastAsia"/>
          <w:rtl/>
        </w:rPr>
        <w:t>وَتُسَبِّحُوهُ</w:t>
      </w:r>
      <w:r w:rsidRPr="0067048A">
        <w:rPr>
          <w:rStyle w:val="Char3"/>
          <w:rtl/>
        </w:rPr>
        <w:t xml:space="preserve"> </w:t>
      </w:r>
      <w:r w:rsidRPr="0067048A">
        <w:rPr>
          <w:rStyle w:val="Char3"/>
          <w:rFonts w:hint="eastAsia"/>
          <w:rtl/>
        </w:rPr>
        <w:t>بُك</w:t>
      </w:r>
      <w:r w:rsidRPr="0067048A">
        <w:rPr>
          <w:rStyle w:val="Char3"/>
          <w:rFonts w:hint="cs"/>
          <w:rtl/>
        </w:rPr>
        <w:t>ۡ</w:t>
      </w:r>
      <w:r w:rsidRPr="0067048A">
        <w:rPr>
          <w:rStyle w:val="Char3"/>
          <w:rFonts w:hint="eastAsia"/>
          <w:rtl/>
        </w:rPr>
        <w:t>رَة</w:t>
      </w:r>
      <w:r w:rsidRPr="0067048A">
        <w:rPr>
          <w:rStyle w:val="Char3"/>
          <w:rFonts w:hint="cs"/>
          <w:rtl/>
        </w:rPr>
        <w:t>ٗ</w:t>
      </w:r>
      <w:r w:rsidRPr="0067048A">
        <w:rPr>
          <w:rStyle w:val="Char3"/>
          <w:rtl/>
        </w:rPr>
        <w:t xml:space="preserve"> </w:t>
      </w:r>
      <w:r w:rsidRPr="0067048A">
        <w:rPr>
          <w:rStyle w:val="Char3"/>
          <w:rFonts w:hint="eastAsia"/>
          <w:rtl/>
        </w:rPr>
        <w:t>وَأَصِيلًا</w:t>
      </w:r>
      <w:r w:rsidRPr="0067048A">
        <w:rPr>
          <w:rStyle w:val="Char3"/>
          <w:rtl/>
        </w:rPr>
        <w:t xml:space="preserve"> </w:t>
      </w:r>
      <w:r w:rsidRPr="0067048A">
        <w:rPr>
          <w:rStyle w:val="Char3"/>
          <w:rFonts w:hint="cs"/>
          <w:rtl/>
        </w:rPr>
        <w:t>٩</w:t>
      </w:r>
      <w:r w:rsidRPr="00995B26">
        <w:rPr>
          <w:rFonts w:ascii="Abo-thar" w:hAnsi="Abo-thar" w:cs="Traditional Arabic" w:hint="cs"/>
          <w:sz w:val="28"/>
          <w:rtl/>
          <w:lang w:bidi="ar-SY"/>
        </w:rPr>
        <w:t>﴾</w:t>
      </w:r>
      <w:r w:rsidR="005C664D" w:rsidRPr="003F3B94">
        <w:rPr>
          <w:rFonts w:ascii="Abo-thar" w:hAnsi="Abo-thar" w:hint="cs"/>
          <w:sz w:val="28"/>
          <w:rtl/>
          <w:lang w:bidi="ar-SY"/>
        </w:rPr>
        <w:t xml:space="preserve"> </w:t>
      </w:r>
      <w:r w:rsidRPr="00FC12FD">
        <w:rPr>
          <w:rStyle w:val="Char2"/>
          <w:rFonts w:hint="cs"/>
          <w:rtl/>
        </w:rPr>
        <w:t>[</w:t>
      </w:r>
      <w:r w:rsidR="005C664D" w:rsidRPr="00FC12FD">
        <w:rPr>
          <w:rStyle w:val="Char2"/>
          <w:rFonts w:hint="cs"/>
          <w:rtl/>
        </w:rPr>
        <w:t>الفتح</w:t>
      </w:r>
      <w:r w:rsidRPr="00FC12FD">
        <w:rPr>
          <w:rStyle w:val="Char2"/>
          <w:rFonts w:hint="cs"/>
          <w:rtl/>
        </w:rPr>
        <w:t xml:space="preserve">: </w:t>
      </w:r>
      <w:r w:rsidR="005C664D" w:rsidRPr="00FC12FD">
        <w:rPr>
          <w:rStyle w:val="Char2"/>
          <w:rFonts w:hint="cs"/>
          <w:rtl/>
        </w:rPr>
        <w:t>9</w:t>
      </w:r>
      <w:r w:rsidRPr="00FC12FD">
        <w:rPr>
          <w:rStyle w:val="Char2"/>
          <w:rFonts w:hint="cs"/>
          <w:rtl/>
        </w:rPr>
        <w:t>]</w:t>
      </w:r>
      <w:r w:rsidR="00217AB4" w:rsidRPr="003F3B94">
        <w:rPr>
          <w:rFonts w:ascii="Abo-thar" w:hAnsi="Abo-thar" w:hint="cs"/>
          <w:sz w:val="28"/>
          <w:rtl/>
          <w:lang w:bidi="ar-SY"/>
        </w:rPr>
        <w:t>.</w:t>
      </w:r>
      <w:r w:rsidR="005C664D" w:rsidRPr="003F3B94">
        <w:rPr>
          <w:rFonts w:ascii="Abo-thar" w:hAnsi="Abo-thar" w:hint="cs"/>
          <w:sz w:val="28"/>
          <w:rtl/>
          <w:lang w:bidi="ar-SY"/>
        </w:rPr>
        <w:t xml:space="preserve"> </w:t>
      </w:r>
    </w:p>
    <w:p w:rsidR="005C664D" w:rsidRPr="003F3B94" w:rsidRDefault="00B06788" w:rsidP="0067048A">
      <w:pPr>
        <w:pStyle w:val="a0"/>
        <w:ind w:left="284" w:firstLine="0"/>
        <w:rPr>
          <w:rFonts w:hint="cs"/>
          <w:rtl/>
          <w:lang w:bidi="ar-SY"/>
        </w:rPr>
      </w:pPr>
      <w:r w:rsidRPr="00995B26">
        <w:rPr>
          <w:rFonts w:ascii="Abo-thar" w:hAnsi="Abo-thar" w:cs="Traditional Arabic" w:hint="cs"/>
          <w:sz w:val="28"/>
          <w:rtl/>
          <w:lang w:bidi="ar-SY"/>
        </w:rPr>
        <w:t>﴿</w:t>
      </w:r>
      <w:r w:rsidRPr="0067048A">
        <w:rPr>
          <w:rStyle w:val="Char3"/>
          <w:rFonts w:hint="eastAsia"/>
          <w:rtl/>
        </w:rPr>
        <w:t>وَإِن</w:t>
      </w:r>
      <w:r w:rsidRPr="0067048A">
        <w:rPr>
          <w:rStyle w:val="Char3"/>
          <w:rtl/>
        </w:rPr>
        <w:t xml:space="preserve"> </w:t>
      </w:r>
      <w:r w:rsidRPr="0067048A">
        <w:rPr>
          <w:rStyle w:val="Char3"/>
          <w:rFonts w:hint="eastAsia"/>
          <w:rtl/>
        </w:rPr>
        <w:t>تُطِيعُواْ</w:t>
      </w:r>
      <w:r w:rsidRPr="0067048A">
        <w:rPr>
          <w:rStyle w:val="Char3"/>
          <w:rtl/>
        </w:rPr>
        <w:t xml:space="preserve"> </w:t>
      </w:r>
      <w:r w:rsidRPr="0067048A">
        <w:rPr>
          <w:rStyle w:val="Char3"/>
          <w:rFonts w:hint="cs"/>
          <w:rtl/>
        </w:rPr>
        <w:t>ٱ</w:t>
      </w:r>
      <w:r w:rsidRPr="0067048A">
        <w:rPr>
          <w:rStyle w:val="Char3"/>
          <w:rFonts w:hint="eastAsia"/>
          <w:rtl/>
        </w:rPr>
        <w:t>للَّهَ</w:t>
      </w:r>
      <w:r w:rsidRPr="0067048A">
        <w:rPr>
          <w:rStyle w:val="Char3"/>
          <w:rtl/>
        </w:rPr>
        <w:t xml:space="preserve"> </w:t>
      </w:r>
      <w:r w:rsidRPr="0067048A">
        <w:rPr>
          <w:rStyle w:val="Char3"/>
          <w:rFonts w:hint="eastAsia"/>
          <w:rtl/>
        </w:rPr>
        <w:t>وَرَسُولَهُ</w:t>
      </w:r>
      <w:r w:rsidRPr="0067048A">
        <w:rPr>
          <w:rStyle w:val="Char3"/>
          <w:rFonts w:hint="cs"/>
          <w:rtl/>
        </w:rPr>
        <w:t>ۥ</w:t>
      </w:r>
      <w:r w:rsidRPr="0067048A">
        <w:rPr>
          <w:rStyle w:val="Char3"/>
          <w:rtl/>
        </w:rPr>
        <w:t xml:space="preserve"> </w:t>
      </w:r>
      <w:r w:rsidRPr="0067048A">
        <w:rPr>
          <w:rStyle w:val="Char3"/>
          <w:rFonts w:hint="eastAsia"/>
          <w:rtl/>
        </w:rPr>
        <w:t>لَا</w:t>
      </w:r>
      <w:r w:rsidRPr="0067048A">
        <w:rPr>
          <w:rStyle w:val="Char3"/>
          <w:rtl/>
        </w:rPr>
        <w:t xml:space="preserve"> </w:t>
      </w:r>
      <w:r w:rsidRPr="0067048A">
        <w:rPr>
          <w:rStyle w:val="Char3"/>
          <w:rFonts w:hint="eastAsia"/>
          <w:rtl/>
        </w:rPr>
        <w:t>يَلِت</w:t>
      </w:r>
      <w:r w:rsidRPr="0067048A">
        <w:rPr>
          <w:rStyle w:val="Char3"/>
          <w:rFonts w:hint="cs"/>
          <w:rtl/>
        </w:rPr>
        <w:t>ۡ</w:t>
      </w:r>
      <w:r w:rsidRPr="0067048A">
        <w:rPr>
          <w:rStyle w:val="Char3"/>
          <w:rFonts w:hint="eastAsia"/>
          <w:rtl/>
        </w:rPr>
        <w:t>كُم</w:t>
      </w:r>
      <w:r w:rsidRPr="0067048A">
        <w:rPr>
          <w:rStyle w:val="Char3"/>
          <w:rtl/>
        </w:rPr>
        <w:t xml:space="preserve"> </w:t>
      </w:r>
      <w:r w:rsidRPr="0067048A">
        <w:rPr>
          <w:rStyle w:val="Char3"/>
          <w:rFonts w:hint="eastAsia"/>
          <w:rtl/>
        </w:rPr>
        <w:t>مِّن</w:t>
      </w:r>
      <w:r w:rsidRPr="0067048A">
        <w:rPr>
          <w:rStyle w:val="Char3"/>
          <w:rFonts w:hint="cs"/>
          <w:rtl/>
        </w:rPr>
        <w:t>ۡ</w:t>
      </w:r>
      <w:r w:rsidRPr="0067048A">
        <w:rPr>
          <w:rStyle w:val="Char3"/>
          <w:rtl/>
        </w:rPr>
        <w:t xml:space="preserve"> </w:t>
      </w:r>
      <w:r w:rsidRPr="0067048A">
        <w:rPr>
          <w:rStyle w:val="Char3"/>
          <w:rFonts w:hint="eastAsia"/>
          <w:rtl/>
        </w:rPr>
        <w:t>أَع</w:t>
      </w:r>
      <w:r w:rsidRPr="0067048A">
        <w:rPr>
          <w:rStyle w:val="Char3"/>
          <w:rFonts w:hint="cs"/>
          <w:rtl/>
        </w:rPr>
        <w:t>ۡ</w:t>
      </w:r>
      <w:r w:rsidRPr="0067048A">
        <w:rPr>
          <w:rStyle w:val="Char3"/>
          <w:rFonts w:hint="eastAsia"/>
          <w:rtl/>
        </w:rPr>
        <w:t>مَ</w:t>
      </w:r>
      <w:r w:rsidRPr="0067048A">
        <w:rPr>
          <w:rStyle w:val="Char3"/>
          <w:rFonts w:hint="cs"/>
          <w:rtl/>
        </w:rPr>
        <w:t>ٰ</w:t>
      </w:r>
      <w:r w:rsidRPr="0067048A">
        <w:rPr>
          <w:rStyle w:val="Char3"/>
          <w:rFonts w:hint="eastAsia"/>
          <w:rtl/>
        </w:rPr>
        <w:t>لِكُم</w:t>
      </w:r>
      <w:r w:rsidRPr="0067048A">
        <w:rPr>
          <w:rStyle w:val="Char3"/>
          <w:rFonts w:hint="cs"/>
          <w:rtl/>
        </w:rPr>
        <w:t>ۡ</w:t>
      </w:r>
      <w:r w:rsidRPr="0067048A">
        <w:rPr>
          <w:rStyle w:val="Char3"/>
          <w:rtl/>
        </w:rPr>
        <w:t xml:space="preserve"> </w:t>
      </w:r>
      <w:r w:rsidRPr="0067048A">
        <w:rPr>
          <w:rStyle w:val="Char3"/>
          <w:rFonts w:hint="eastAsia"/>
          <w:rtl/>
        </w:rPr>
        <w:t>شَي</w:t>
      </w:r>
      <w:r w:rsidRPr="0067048A">
        <w:rPr>
          <w:rStyle w:val="Char3"/>
          <w:rFonts w:hint="cs"/>
          <w:rtl/>
        </w:rPr>
        <w:t>ۡ</w:t>
      </w:r>
      <w:r w:rsidRPr="0067048A">
        <w:rPr>
          <w:rStyle w:val="Char3"/>
          <w:rFonts w:hint="eastAsia"/>
          <w:rtl/>
        </w:rPr>
        <w:t>‍</w:t>
      </w:r>
      <w:r w:rsidRPr="0067048A">
        <w:rPr>
          <w:rStyle w:val="Char3"/>
          <w:rFonts w:hint="cs"/>
          <w:rtl/>
        </w:rPr>
        <w:t>ٔ</w:t>
      </w:r>
      <w:r w:rsidRPr="0067048A">
        <w:rPr>
          <w:rStyle w:val="Char3"/>
          <w:rFonts w:hint="eastAsia"/>
          <w:rtl/>
        </w:rPr>
        <w:t>ًا</w:t>
      </w:r>
      <w:r w:rsidRPr="00995B26">
        <w:rPr>
          <w:rFonts w:ascii="Abo-thar" w:hAnsi="Abo-thar" w:cs="Traditional Arabic" w:hint="cs"/>
          <w:sz w:val="28"/>
          <w:rtl/>
          <w:lang w:bidi="ar-SY"/>
        </w:rPr>
        <w:t>﴾</w:t>
      </w:r>
      <w:r w:rsidRPr="003F3B94">
        <w:rPr>
          <w:rFonts w:ascii="Abo-thar" w:hAnsi="Abo-thar" w:hint="cs"/>
          <w:sz w:val="28"/>
          <w:rtl/>
          <w:lang w:bidi="ar-SY"/>
        </w:rPr>
        <w:t xml:space="preserve"> </w:t>
      </w:r>
      <w:r w:rsidRPr="00FC12FD">
        <w:rPr>
          <w:rStyle w:val="Char2"/>
          <w:rFonts w:hint="cs"/>
          <w:rtl/>
        </w:rPr>
        <w:t>[</w:t>
      </w:r>
      <w:r w:rsidR="005C664D" w:rsidRPr="00FC12FD">
        <w:rPr>
          <w:rStyle w:val="Char2"/>
          <w:rFonts w:hint="cs"/>
          <w:rtl/>
        </w:rPr>
        <w:t>الحجرات</w:t>
      </w:r>
      <w:r w:rsidRPr="00FC12FD">
        <w:rPr>
          <w:rStyle w:val="Char2"/>
          <w:rFonts w:hint="cs"/>
          <w:rtl/>
        </w:rPr>
        <w:t xml:space="preserve">: </w:t>
      </w:r>
      <w:r w:rsidR="005C664D" w:rsidRPr="00FC12FD">
        <w:rPr>
          <w:rStyle w:val="Char2"/>
          <w:rFonts w:hint="cs"/>
          <w:rtl/>
        </w:rPr>
        <w:t>14</w:t>
      </w:r>
      <w:r w:rsidRPr="00FC12FD">
        <w:rPr>
          <w:rStyle w:val="Char2"/>
          <w:rFonts w:hint="cs"/>
          <w:rtl/>
        </w:rPr>
        <w:t>]</w:t>
      </w:r>
      <w:r w:rsidR="00217AB4" w:rsidRPr="003F3B94">
        <w:rPr>
          <w:rFonts w:ascii="Abo-thar" w:hAnsi="Abo-thar" w:hint="cs"/>
          <w:sz w:val="28"/>
          <w:rtl/>
          <w:lang w:bidi="ar-SY"/>
        </w:rPr>
        <w:t>.</w:t>
      </w:r>
    </w:p>
    <w:p w:rsidR="005C664D" w:rsidRPr="003F3B94" w:rsidRDefault="005C664D" w:rsidP="00445175">
      <w:pPr>
        <w:pStyle w:val="a0"/>
        <w:rPr>
          <w:rFonts w:hint="cs"/>
          <w:rtl/>
          <w:lang w:bidi="ar-SY"/>
        </w:rPr>
      </w:pPr>
      <w:r w:rsidRPr="003F3B94">
        <w:rPr>
          <w:rFonts w:ascii="Abo-thar" w:hAnsi="Abo-thar" w:hint="cs"/>
          <w:sz w:val="28"/>
          <w:rtl/>
          <w:lang w:bidi="ar-SY"/>
        </w:rPr>
        <w:t xml:space="preserve">لاحظوا أنه في جميع تلك الآيات لم يأت الفاعل أو المفعول به بعد ذكر الله ورسوله بصيغة المثنى </w:t>
      </w:r>
      <w:r w:rsidRPr="003F3B94">
        <w:rPr>
          <w:rFonts w:cs="Times New Roman" w:hint="cs"/>
          <w:sz w:val="28"/>
          <w:rtl/>
          <w:lang w:bidi="ar-SY"/>
        </w:rPr>
        <w:t>–</w:t>
      </w:r>
      <w:r w:rsidRPr="003F3B94">
        <w:rPr>
          <w:rFonts w:ascii="Abo-thar" w:hAnsi="Abo-thar" w:hint="cs"/>
          <w:sz w:val="28"/>
          <w:rtl/>
          <w:lang w:bidi="ar-SY"/>
        </w:rPr>
        <w:t xml:space="preserve"> </w:t>
      </w:r>
      <w:r w:rsidRPr="003F3B94">
        <w:rPr>
          <w:rFonts w:ascii="mylotus" w:hAnsi="mylotus" w:hint="cs"/>
          <w:sz w:val="28"/>
          <w:rtl/>
          <w:lang w:bidi="ar-SY"/>
        </w:rPr>
        <w:t>كما</w:t>
      </w:r>
      <w:r w:rsidRPr="003F3B94">
        <w:rPr>
          <w:rFonts w:ascii="Abo-thar" w:hAnsi="Abo-thar" w:hint="cs"/>
          <w:sz w:val="28"/>
          <w:rtl/>
          <w:lang w:bidi="ar-SY"/>
        </w:rPr>
        <w:t xml:space="preserve"> </w:t>
      </w:r>
      <w:r w:rsidRPr="003F3B94">
        <w:rPr>
          <w:rFonts w:ascii="mylotus" w:hAnsi="mylotus" w:hint="cs"/>
          <w:sz w:val="28"/>
          <w:rtl/>
          <w:lang w:bidi="ar-SY"/>
        </w:rPr>
        <w:t>كان</w:t>
      </w:r>
      <w:r w:rsidRPr="003F3B94">
        <w:rPr>
          <w:rFonts w:ascii="Abo-thar" w:hAnsi="Abo-thar" w:hint="cs"/>
          <w:sz w:val="28"/>
          <w:rtl/>
          <w:lang w:bidi="ar-SY"/>
        </w:rPr>
        <w:t xml:space="preserve"> </w:t>
      </w:r>
      <w:r w:rsidRPr="003F3B94">
        <w:rPr>
          <w:rFonts w:ascii="mylotus" w:hAnsi="mylotus" w:hint="cs"/>
          <w:sz w:val="28"/>
          <w:rtl/>
          <w:lang w:bidi="ar-SY"/>
        </w:rPr>
        <w:t>المفروض</w:t>
      </w:r>
      <w:r w:rsidRPr="003F3B94">
        <w:rPr>
          <w:rFonts w:ascii="Abo-thar" w:hAnsi="Abo-thar" w:hint="cs"/>
          <w:sz w:val="28"/>
          <w:rtl/>
          <w:lang w:bidi="ar-SY"/>
        </w:rPr>
        <w:t xml:space="preserve"> </w:t>
      </w:r>
      <w:r w:rsidRPr="003F3B94">
        <w:rPr>
          <w:rFonts w:cs="Times New Roman" w:hint="cs"/>
          <w:sz w:val="28"/>
          <w:rtl/>
          <w:lang w:bidi="ar-SY"/>
        </w:rPr>
        <w:t>–</w:t>
      </w:r>
      <w:r w:rsidRPr="003F3B94">
        <w:rPr>
          <w:rFonts w:ascii="Abo-thar" w:hAnsi="Abo-thar" w:hint="cs"/>
          <w:sz w:val="28"/>
          <w:rtl/>
          <w:lang w:bidi="ar-SY"/>
        </w:rPr>
        <w:t xml:space="preserve"> </w:t>
      </w:r>
      <w:r w:rsidRPr="003F3B94">
        <w:rPr>
          <w:rFonts w:ascii="mylotus" w:hAnsi="mylotus" w:hint="cs"/>
          <w:sz w:val="28"/>
          <w:rtl/>
          <w:lang w:bidi="ar-SY"/>
        </w:rPr>
        <w:t>بل</w:t>
      </w:r>
      <w:r w:rsidRPr="003F3B94">
        <w:rPr>
          <w:rFonts w:ascii="Abo-thar" w:hAnsi="Abo-thar" w:hint="cs"/>
          <w:sz w:val="28"/>
          <w:rtl/>
          <w:lang w:bidi="ar-SY"/>
        </w:rPr>
        <w:t xml:space="preserve"> </w:t>
      </w:r>
      <w:r w:rsidRPr="003F3B94">
        <w:rPr>
          <w:rFonts w:ascii="mylotus" w:hAnsi="mylotus" w:hint="cs"/>
          <w:sz w:val="28"/>
          <w:rtl/>
          <w:lang w:bidi="ar-SY"/>
        </w:rPr>
        <w:t>جاء</w:t>
      </w:r>
      <w:r w:rsidRPr="003F3B94">
        <w:rPr>
          <w:rFonts w:ascii="Abo-thar" w:hAnsi="Abo-thar" w:hint="cs"/>
          <w:sz w:val="28"/>
          <w:rtl/>
          <w:lang w:bidi="ar-SY"/>
        </w:rPr>
        <w:t xml:space="preserve"> </w:t>
      </w:r>
      <w:r w:rsidRPr="003F3B94">
        <w:rPr>
          <w:rFonts w:ascii="mylotus" w:hAnsi="mylotus" w:hint="cs"/>
          <w:sz w:val="28"/>
          <w:rtl/>
          <w:lang w:bidi="ar-SY"/>
        </w:rPr>
        <w:t>بصيغة</w:t>
      </w:r>
      <w:r w:rsidRPr="003F3B94">
        <w:rPr>
          <w:rFonts w:ascii="Abo-thar" w:hAnsi="Abo-thar" w:hint="cs"/>
          <w:sz w:val="28"/>
          <w:rtl/>
          <w:lang w:bidi="ar-SY"/>
        </w:rPr>
        <w:t xml:space="preserve"> </w:t>
      </w:r>
      <w:r w:rsidRPr="003F3B94">
        <w:rPr>
          <w:rFonts w:ascii="mylotus" w:hAnsi="mylotus" w:hint="cs"/>
          <w:sz w:val="28"/>
          <w:rtl/>
          <w:lang w:bidi="ar-SY"/>
        </w:rPr>
        <w:t>المفرد</w:t>
      </w:r>
      <w:r w:rsidRPr="003F3B94">
        <w:rPr>
          <w:rFonts w:ascii="Abo-thar" w:hAnsi="Abo-thar" w:hint="cs"/>
          <w:sz w:val="28"/>
          <w:rtl/>
          <w:lang w:bidi="ar-SY"/>
        </w:rPr>
        <w:t xml:space="preserve"> </w:t>
      </w:r>
      <w:r w:rsidRPr="003F3B94">
        <w:rPr>
          <w:rFonts w:ascii="mylotus" w:hAnsi="mylotus" w:hint="cs"/>
          <w:sz w:val="28"/>
          <w:rtl/>
          <w:lang w:bidi="ar-SY"/>
        </w:rPr>
        <w:t>والضم</w:t>
      </w:r>
      <w:r w:rsidRPr="003F3B94">
        <w:rPr>
          <w:rFonts w:ascii="Abo-thar" w:hAnsi="Abo-thar" w:hint="cs"/>
          <w:sz w:val="28"/>
          <w:rtl/>
          <w:lang w:bidi="ar-SY"/>
        </w:rPr>
        <w:t>ير يعود لِـلَّهِ</w:t>
      </w:r>
      <w:r w:rsidR="00217AB4" w:rsidRPr="003F3B94">
        <w:rPr>
          <w:rFonts w:ascii="Abo-thar" w:hAnsi="Abo-thar" w:hint="cs"/>
          <w:sz w:val="28"/>
          <w:rtl/>
          <w:lang w:bidi="ar-SY"/>
        </w:rPr>
        <w:t>،</w:t>
      </w:r>
      <w:r w:rsidRPr="003F3B94">
        <w:rPr>
          <w:rFonts w:ascii="Abo-thar" w:hAnsi="Abo-thar" w:hint="cs"/>
          <w:sz w:val="28"/>
          <w:rtl/>
          <w:lang w:bidi="ar-SY"/>
        </w:rPr>
        <w:t xml:space="preserve"> مما يعني أن اسم الرسول</w:t>
      </w:r>
      <w:r w:rsidR="000868AA" w:rsidRPr="003F3B94">
        <w:rPr>
          <w:rFonts w:ascii="Abo-thar" w:hAnsi="Abo-thar"/>
          <w:sz w:val="28"/>
          <w:lang w:bidi="fa-IR"/>
        </w:rPr>
        <w:t></w:t>
      </w:r>
      <w:r w:rsidRPr="003F3B94">
        <w:rPr>
          <w:rFonts w:ascii="Abo-thar" w:hAnsi="Abo-thar" w:hint="cs"/>
          <w:sz w:val="28"/>
          <w:rtl/>
          <w:lang w:bidi="ar-SY"/>
        </w:rPr>
        <w:t xml:space="preserve"> لم يذكر إلا لأنه ممثلٌ ظاهرٌ لِـلَّهِ فاسمه يأتي كالظل اللاحق لاسم الله</w:t>
      </w:r>
      <w:r w:rsidR="00217AB4" w:rsidRPr="003F3B94">
        <w:rPr>
          <w:rFonts w:ascii="Abo-thar" w:hAnsi="Abo-thar" w:hint="cs"/>
          <w:sz w:val="28"/>
          <w:rtl/>
          <w:lang w:bidi="ar-SY"/>
        </w:rPr>
        <w:t>،</w:t>
      </w:r>
      <w:r w:rsidRPr="003F3B94">
        <w:rPr>
          <w:rFonts w:ascii="Abo-thar" w:hAnsi="Abo-thar" w:hint="cs"/>
          <w:sz w:val="28"/>
          <w:rtl/>
          <w:lang w:bidi="ar-SY"/>
        </w:rPr>
        <w:t xml:space="preserve"> أما الذي يُدْخِلُ المطيعَ لِـلَّهِ ورسوله في الجنة فهو الله وحده</w:t>
      </w:r>
      <w:r w:rsidR="00217AB4" w:rsidRPr="003F3B94">
        <w:rPr>
          <w:rFonts w:ascii="Abo-thar" w:hAnsi="Abo-thar" w:hint="cs"/>
          <w:sz w:val="28"/>
          <w:rtl/>
          <w:lang w:bidi="ar-SY"/>
        </w:rPr>
        <w:t>،</w:t>
      </w:r>
      <w:r w:rsidRPr="003F3B94">
        <w:rPr>
          <w:rFonts w:ascii="Abo-thar" w:hAnsi="Abo-thar" w:hint="cs"/>
          <w:sz w:val="28"/>
          <w:rtl/>
          <w:lang w:bidi="ar-SY"/>
        </w:rPr>
        <w:t xml:space="preserve"> والذي يدخل العاصي لِـلَّهِ ورسوله في النار هو الله وحده</w:t>
      </w:r>
      <w:r w:rsidR="00217AB4" w:rsidRPr="003F3B94">
        <w:rPr>
          <w:rFonts w:ascii="Abo-thar" w:hAnsi="Abo-thar" w:hint="cs"/>
          <w:sz w:val="28"/>
          <w:rtl/>
          <w:lang w:bidi="ar-SY"/>
        </w:rPr>
        <w:t>،</w:t>
      </w:r>
      <w:r w:rsidRPr="003F3B94">
        <w:rPr>
          <w:rFonts w:ascii="Abo-thar" w:hAnsi="Abo-thar" w:hint="cs"/>
          <w:sz w:val="28"/>
          <w:rtl/>
          <w:lang w:bidi="ar-SY"/>
        </w:rPr>
        <w:t xml:space="preserve"> والذي يلعن من يؤذي الله ورسوله هو الله وحده</w:t>
      </w:r>
      <w:r w:rsidR="00217AB4" w:rsidRPr="003F3B94">
        <w:rPr>
          <w:rFonts w:ascii="Abo-thar" w:hAnsi="Abo-thar" w:hint="cs"/>
          <w:sz w:val="28"/>
          <w:rtl/>
          <w:lang w:bidi="ar-SY"/>
        </w:rPr>
        <w:t>،</w:t>
      </w:r>
      <w:r w:rsidRPr="003F3B94">
        <w:rPr>
          <w:rFonts w:ascii="Abo-thar" w:hAnsi="Abo-thar" w:hint="cs"/>
          <w:sz w:val="28"/>
          <w:rtl/>
          <w:lang w:bidi="ar-SY"/>
        </w:rPr>
        <w:t xml:space="preserve"> والذي ينبغي توقيره وتسبيحه بكرةً وأصيلاً هو الله وحده</w:t>
      </w:r>
      <w:r w:rsidR="00217AB4" w:rsidRPr="003F3B94">
        <w:rPr>
          <w:rFonts w:ascii="Abo-thar" w:hAnsi="Abo-thar" w:hint="cs"/>
          <w:sz w:val="28"/>
          <w:rtl/>
          <w:lang w:bidi="ar-SY"/>
        </w:rPr>
        <w:t>،</w:t>
      </w:r>
      <w:r w:rsidRPr="003F3B94">
        <w:rPr>
          <w:rFonts w:ascii="Abo-thar" w:hAnsi="Abo-thar" w:hint="cs"/>
          <w:sz w:val="28"/>
          <w:rtl/>
          <w:lang w:bidi="ar-SY"/>
        </w:rPr>
        <w:t xml:space="preserve"> فذكر الرسول بعد اسم الله ليس إلا لكونه رمز وممثل لطريق الله وإلا فليس للرسول استقلال أو تشخُّصٌ أو تعيُّن في هذا الأمر وهذا نظير قوله تعالى</w:t>
      </w:r>
      <w:r w:rsidR="00217AB4" w:rsidRPr="003F3B94">
        <w:rPr>
          <w:rFonts w:ascii="Abo-thar" w:hAnsi="Abo-thar" w:hint="cs"/>
          <w:sz w:val="28"/>
          <w:rtl/>
          <w:lang w:bidi="ar-SY"/>
        </w:rPr>
        <w:t>:</w:t>
      </w:r>
      <w:r w:rsidRPr="003F3B94">
        <w:rPr>
          <w:rFonts w:ascii="Abo-thar" w:hAnsi="Abo-thar" w:hint="cs"/>
          <w:sz w:val="28"/>
          <w:rtl/>
          <w:lang w:bidi="ar-SY"/>
        </w:rPr>
        <w:t xml:space="preserve"> </w:t>
      </w:r>
    </w:p>
    <w:p w:rsidR="005C664D" w:rsidRPr="00995B26" w:rsidRDefault="00685363" w:rsidP="003F3B94">
      <w:pPr>
        <w:pStyle w:val="a0"/>
        <w:rPr>
          <w:rFonts w:hint="cs"/>
          <w:rtl/>
          <w:lang w:bidi="ar-SY"/>
        </w:rPr>
      </w:pPr>
      <w:r w:rsidRPr="00995B26">
        <w:rPr>
          <w:rFonts w:ascii="Abo-thar" w:hAnsi="Abo-thar" w:cs="Traditional Arabic" w:hint="cs"/>
          <w:sz w:val="28"/>
          <w:rtl/>
          <w:lang w:bidi="ar-SY"/>
        </w:rPr>
        <w:t>﴿</w:t>
      </w:r>
      <w:r w:rsidRPr="0067048A">
        <w:rPr>
          <w:rStyle w:val="Char3"/>
          <w:rFonts w:hint="eastAsia"/>
          <w:rtl/>
        </w:rPr>
        <w:t>إِنَّ</w:t>
      </w:r>
      <w:r w:rsidRPr="0067048A">
        <w:rPr>
          <w:rStyle w:val="Char3"/>
          <w:rtl/>
        </w:rPr>
        <w:t xml:space="preserve"> </w:t>
      </w:r>
      <w:r w:rsidRPr="0067048A">
        <w:rPr>
          <w:rStyle w:val="Char3"/>
          <w:rFonts w:hint="cs"/>
          <w:rtl/>
        </w:rPr>
        <w:t>ٱ</w:t>
      </w:r>
      <w:r w:rsidRPr="0067048A">
        <w:rPr>
          <w:rStyle w:val="Char3"/>
          <w:rFonts w:hint="eastAsia"/>
          <w:rtl/>
        </w:rPr>
        <w:t>لَّذِينَ</w:t>
      </w:r>
      <w:r w:rsidRPr="0067048A">
        <w:rPr>
          <w:rStyle w:val="Char3"/>
          <w:rtl/>
        </w:rPr>
        <w:t xml:space="preserve"> </w:t>
      </w:r>
      <w:r w:rsidRPr="0067048A">
        <w:rPr>
          <w:rStyle w:val="Char3"/>
          <w:rFonts w:hint="eastAsia"/>
          <w:rtl/>
        </w:rPr>
        <w:t>يُبَايِعُونَكَ</w:t>
      </w:r>
      <w:r w:rsidRPr="0067048A">
        <w:rPr>
          <w:rStyle w:val="Char3"/>
          <w:rtl/>
        </w:rPr>
        <w:t xml:space="preserve"> </w:t>
      </w:r>
      <w:r w:rsidRPr="0067048A">
        <w:rPr>
          <w:rStyle w:val="Char3"/>
          <w:rFonts w:hint="eastAsia"/>
          <w:rtl/>
        </w:rPr>
        <w:t>إِنَّمَا</w:t>
      </w:r>
      <w:r w:rsidRPr="0067048A">
        <w:rPr>
          <w:rStyle w:val="Char3"/>
          <w:rtl/>
        </w:rPr>
        <w:t xml:space="preserve"> </w:t>
      </w:r>
      <w:r w:rsidRPr="0067048A">
        <w:rPr>
          <w:rStyle w:val="Char3"/>
          <w:rFonts w:hint="eastAsia"/>
          <w:rtl/>
        </w:rPr>
        <w:t>يُبَايِعُونَ</w:t>
      </w:r>
      <w:r w:rsidRPr="0067048A">
        <w:rPr>
          <w:rStyle w:val="Char3"/>
          <w:rtl/>
        </w:rPr>
        <w:t xml:space="preserve"> </w:t>
      </w:r>
      <w:r w:rsidRPr="0067048A">
        <w:rPr>
          <w:rStyle w:val="Char3"/>
          <w:rFonts w:hint="cs"/>
          <w:rtl/>
        </w:rPr>
        <w:t>ٱ</w:t>
      </w:r>
      <w:r w:rsidRPr="0067048A">
        <w:rPr>
          <w:rStyle w:val="Char3"/>
          <w:rFonts w:hint="eastAsia"/>
          <w:rtl/>
        </w:rPr>
        <w:t>للَّهَ</w:t>
      </w:r>
      <w:r w:rsidRPr="00995B26">
        <w:rPr>
          <w:rFonts w:ascii="Abo-thar" w:hAnsi="Abo-thar" w:cs="Traditional Arabic" w:hint="cs"/>
          <w:sz w:val="28"/>
          <w:rtl/>
          <w:lang w:bidi="ar-SY"/>
        </w:rPr>
        <w:t>﴾</w:t>
      </w:r>
      <w:r w:rsidR="005C664D" w:rsidRPr="003F3B94">
        <w:rPr>
          <w:rFonts w:ascii="Abo-thar" w:hAnsi="Abo-thar"/>
          <w:sz w:val="28"/>
          <w:rtl/>
          <w:lang w:bidi="ar-SY"/>
        </w:rPr>
        <w:t xml:space="preserve"> </w:t>
      </w:r>
      <w:r w:rsidR="005C664D" w:rsidRPr="00FC12FD">
        <w:rPr>
          <w:rStyle w:val="Char2"/>
          <w:rtl/>
        </w:rPr>
        <w:t>[الفتح</w:t>
      </w:r>
      <w:r w:rsidRPr="00FC12FD">
        <w:rPr>
          <w:rStyle w:val="Char2"/>
          <w:rFonts w:hint="cs"/>
          <w:rtl/>
        </w:rPr>
        <w:t>:</w:t>
      </w:r>
      <w:r w:rsidR="005C664D" w:rsidRPr="00FC12FD">
        <w:rPr>
          <w:rStyle w:val="Char2"/>
          <w:rtl/>
        </w:rPr>
        <w:t>10]</w:t>
      </w:r>
      <w:r w:rsidR="005C664D" w:rsidRPr="003F3B94">
        <w:rPr>
          <w:rFonts w:ascii="Abo-thar" w:hAnsi="Abo-thar"/>
          <w:sz w:val="28"/>
          <w:rtl/>
          <w:lang w:bidi="ar-SY"/>
        </w:rPr>
        <w:t xml:space="preserve"> </w:t>
      </w:r>
      <w:r w:rsidR="005C664D" w:rsidRPr="003F3B94">
        <w:rPr>
          <w:rFonts w:ascii="Abo-thar" w:hAnsi="Abo-thar" w:hint="cs"/>
          <w:sz w:val="28"/>
          <w:rtl/>
          <w:lang w:bidi="ar-SY"/>
        </w:rPr>
        <w:t>وقوله</w:t>
      </w:r>
      <w:r w:rsidR="00217AB4" w:rsidRPr="003F3B94">
        <w:rPr>
          <w:rFonts w:ascii="Abo-thar" w:hAnsi="Abo-thar" w:hint="cs"/>
          <w:sz w:val="28"/>
          <w:rtl/>
          <w:lang w:bidi="ar-SY"/>
        </w:rPr>
        <w:t>:</w:t>
      </w:r>
      <w:r w:rsidRPr="003F3B94">
        <w:rPr>
          <w:rFonts w:ascii="Abo-thar" w:hAnsi="Abo-thar" w:hint="cs"/>
          <w:sz w:val="28"/>
          <w:rtl/>
          <w:lang w:bidi="ar-SY"/>
        </w:rPr>
        <w:t xml:space="preserve"> </w:t>
      </w:r>
      <w:r w:rsidRPr="00995B26">
        <w:rPr>
          <w:rFonts w:ascii="Abo-thar" w:hAnsi="Abo-thar" w:cs="Traditional Arabic" w:hint="cs"/>
          <w:sz w:val="28"/>
          <w:rtl/>
          <w:lang w:bidi="ar-SY"/>
        </w:rPr>
        <w:t>﴿</w:t>
      </w:r>
      <w:r w:rsidRPr="0067048A">
        <w:rPr>
          <w:rStyle w:val="Char3"/>
          <w:rFonts w:hint="eastAsia"/>
          <w:rtl/>
        </w:rPr>
        <w:t>وَمَا</w:t>
      </w:r>
      <w:r w:rsidRPr="0067048A">
        <w:rPr>
          <w:rStyle w:val="Char3"/>
          <w:rtl/>
        </w:rPr>
        <w:t xml:space="preserve"> </w:t>
      </w:r>
      <w:r w:rsidRPr="0067048A">
        <w:rPr>
          <w:rStyle w:val="Char3"/>
          <w:rFonts w:hint="eastAsia"/>
          <w:rtl/>
        </w:rPr>
        <w:t>رَمَي</w:t>
      </w:r>
      <w:r w:rsidRPr="0067048A">
        <w:rPr>
          <w:rStyle w:val="Char3"/>
          <w:rFonts w:hint="cs"/>
          <w:rtl/>
        </w:rPr>
        <w:t>ۡ</w:t>
      </w:r>
      <w:r w:rsidRPr="0067048A">
        <w:rPr>
          <w:rStyle w:val="Char3"/>
          <w:rFonts w:hint="eastAsia"/>
          <w:rtl/>
        </w:rPr>
        <w:t>تَ</w:t>
      </w:r>
      <w:r w:rsidRPr="0067048A">
        <w:rPr>
          <w:rStyle w:val="Char3"/>
          <w:rtl/>
        </w:rPr>
        <w:t xml:space="preserve"> </w:t>
      </w:r>
      <w:r w:rsidRPr="0067048A">
        <w:rPr>
          <w:rStyle w:val="Char3"/>
          <w:rFonts w:hint="eastAsia"/>
          <w:rtl/>
        </w:rPr>
        <w:t>إِذ</w:t>
      </w:r>
      <w:r w:rsidRPr="0067048A">
        <w:rPr>
          <w:rStyle w:val="Char3"/>
          <w:rFonts w:hint="cs"/>
          <w:rtl/>
        </w:rPr>
        <w:t>ۡ</w:t>
      </w:r>
      <w:r w:rsidRPr="0067048A">
        <w:rPr>
          <w:rStyle w:val="Char3"/>
          <w:rtl/>
        </w:rPr>
        <w:t xml:space="preserve"> </w:t>
      </w:r>
      <w:r w:rsidRPr="0067048A">
        <w:rPr>
          <w:rStyle w:val="Char3"/>
          <w:rFonts w:hint="eastAsia"/>
          <w:rtl/>
        </w:rPr>
        <w:t>رَمَي</w:t>
      </w:r>
      <w:r w:rsidRPr="0067048A">
        <w:rPr>
          <w:rStyle w:val="Char3"/>
          <w:rFonts w:hint="cs"/>
          <w:rtl/>
        </w:rPr>
        <w:t>ۡ</w:t>
      </w:r>
      <w:r w:rsidRPr="0067048A">
        <w:rPr>
          <w:rStyle w:val="Char3"/>
          <w:rFonts w:hint="eastAsia"/>
          <w:rtl/>
        </w:rPr>
        <w:t>تَ</w:t>
      </w:r>
      <w:r w:rsidRPr="0067048A">
        <w:rPr>
          <w:rStyle w:val="Char3"/>
          <w:rtl/>
        </w:rPr>
        <w:t xml:space="preserve"> </w:t>
      </w:r>
      <w:r w:rsidRPr="0067048A">
        <w:rPr>
          <w:rStyle w:val="Char3"/>
          <w:rFonts w:hint="eastAsia"/>
          <w:rtl/>
        </w:rPr>
        <w:t>وَلَ</w:t>
      </w:r>
      <w:r w:rsidRPr="0067048A">
        <w:rPr>
          <w:rStyle w:val="Char3"/>
          <w:rFonts w:hint="cs"/>
          <w:rtl/>
        </w:rPr>
        <w:t>ٰ</w:t>
      </w:r>
      <w:r w:rsidRPr="0067048A">
        <w:rPr>
          <w:rStyle w:val="Char3"/>
          <w:rFonts w:hint="eastAsia"/>
          <w:rtl/>
        </w:rPr>
        <w:t>كِنَّ</w:t>
      </w:r>
      <w:r w:rsidRPr="0067048A">
        <w:rPr>
          <w:rStyle w:val="Char3"/>
          <w:rtl/>
        </w:rPr>
        <w:t xml:space="preserve"> </w:t>
      </w:r>
      <w:r w:rsidRPr="0067048A">
        <w:rPr>
          <w:rStyle w:val="Char3"/>
          <w:rFonts w:hint="cs"/>
          <w:rtl/>
        </w:rPr>
        <w:t>ٱ</w:t>
      </w:r>
      <w:r w:rsidRPr="0067048A">
        <w:rPr>
          <w:rStyle w:val="Char3"/>
          <w:rFonts w:hint="eastAsia"/>
          <w:rtl/>
        </w:rPr>
        <w:t>للَّهَ</w:t>
      </w:r>
      <w:r w:rsidRPr="0067048A">
        <w:rPr>
          <w:rStyle w:val="Char3"/>
          <w:rtl/>
        </w:rPr>
        <w:t xml:space="preserve"> </w:t>
      </w:r>
      <w:r w:rsidRPr="0067048A">
        <w:rPr>
          <w:rStyle w:val="Char3"/>
          <w:rFonts w:hint="eastAsia"/>
          <w:rtl/>
        </w:rPr>
        <w:t>رَمَى</w:t>
      </w:r>
      <w:r w:rsidRPr="0067048A">
        <w:rPr>
          <w:rStyle w:val="Char3"/>
          <w:rFonts w:hint="cs"/>
          <w:rtl/>
        </w:rPr>
        <w:t>ٰ...</w:t>
      </w:r>
      <w:r w:rsidRPr="00995B26">
        <w:rPr>
          <w:rFonts w:ascii="Abo-thar" w:hAnsi="Abo-thar" w:cs="Traditional Arabic" w:hint="cs"/>
          <w:sz w:val="28"/>
          <w:rtl/>
          <w:lang w:bidi="ar-SY"/>
        </w:rPr>
        <w:t>﴾</w:t>
      </w:r>
      <w:r w:rsidR="005C664D" w:rsidRPr="00995B26">
        <w:rPr>
          <w:rFonts w:ascii="Abo-thar" w:hAnsi="Abo-thar"/>
          <w:sz w:val="28"/>
          <w:rtl/>
          <w:lang w:bidi="ar-SY"/>
        </w:rPr>
        <w:t xml:space="preserve"> </w:t>
      </w:r>
      <w:r w:rsidR="005C664D" w:rsidRPr="00FC12FD">
        <w:rPr>
          <w:rStyle w:val="Char2"/>
          <w:rtl/>
        </w:rPr>
        <w:t>[الأنفال</w:t>
      </w:r>
      <w:r w:rsidRPr="00FC12FD">
        <w:rPr>
          <w:rStyle w:val="Char2"/>
          <w:rFonts w:hint="cs"/>
          <w:rtl/>
        </w:rPr>
        <w:t xml:space="preserve">: </w:t>
      </w:r>
      <w:r w:rsidR="005C664D" w:rsidRPr="00FC12FD">
        <w:rPr>
          <w:rStyle w:val="Char2"/>
          <w:rtl/>
        </w:rPr>
        <w:t>17]</w:t>
      </w:r>
      <w:r w:rsidR="00217AB4" w:rsidRPr="00995B26">
        <w:rPr>
          <w:rFonts w:ascii="Abo-thar" w:hAnsi="Abo-thar" w:hint="cs"/>
          <w:sz w:val="28"/>
          <w:rtl/>
          <w:lang w:bidi="ar-SY"/>
        </w:rPr>
        <w:t>.</w:t>
      </w:r>
      <w:r w:rsidR="005C664D" w:rsidRPr="00995B26">
        <w:rPr>
          <w:rFonts w:ascii="Abo-thar" w:hAnsi="Abo-thar" w:hint="cs"/>
          <w:sz w:val="28"/>
          <w:rtl/>
          <w:lang w:bidi="ar-SY"/>
        </w:rPr>
        <w:t xml:space="preserve"> </w:t>
      </w:r>
    </w:p>
    <w:p w:rsidR="005C664D" w:rsidRPr="00995B26" w:rsidRDefault="005C664D" w:rsidP="003F3B94">
      <w:pPr>
        <w:pStyle w:val="a0"/>
        <w:rPr>
          <w:rFonts w:hint="cs"/>
          <w:rtl/>
          <w:lang w:bidi="ar-SY"/>
        </w:rPr>
      </w:pPr>
      <w:r w:rsidRPr="003F3B94">
        <w:rPr>
          <w:rFonts w:ascii="Abo-thar" w:hAnsi="Abo-thar" w:hint="cs"/>
          <w:sz w:val="28"/>
          <w:rtl/>
          <w:lang w:bidi="ar-SY"/>
        </w:rPr>
        <w:t>وعليه فإذا وجدنا ذكر اسم الرسول بعد الله في قوله تعالى</w:t>
      </w:r>
      <w:r w:rsidR="00217AB4" w:rsidRPr="003F3B94">
        <w:rPr>
          <w:rFonts w:ascii="Abo-thar" w:hAnsi="Abo-thar" w:hint="cs"/>
          <w:sz w:val="28"/>
          <w:rtl/>
          <w:lang w:bidi="ar-SY"/>
        </w:rPr>
        <w:t>:</w:t>
      </w:r>
      <w:r w:rsidR="00685363" w:rsidRPr="003F3B94">
        <w:rPr>
          <w:rFonts w:ascii="Abo-thar" w:hAnsi="Abo-thar" w:hint="cs"/>
          <w:sz w:val="28"/>
          <w:rtl/>
          <w:lang w:bidi="ar-SY"/>
        </w:rPr>
        <w:t xml:space="preserve"> </w:t>
      </w:r>
      <w:r w:rsidR="00685363" w:rsidRPr="00995B26">
        <w:rPr>
          <w:rFonts w:ascii="Abo-thar" w:hAnsi="Abo-thar" w:cs="Traditional Arabic" w:hint="cs"/>
          <w:sz w:val="28"/>
          <w:rtl/>
          <w:lang w:bidi="ar-SY"/>
        </w:rPr>
        <w:t>﴿</w:t>
      </w:r>
      <w:r w:rsidR="00685363" w:rsidRPr="0067048A">
        <w:rPr>
          <w:rStyle w:val="Char3"/>
          <w:rFonts w:hint="eastAsia"/>
          <w:rtl/>
        </w:rPr>
        <w:t>فَأَنَّ</w:t>
      </w:r>
      <w:r w:rsidR="00685363" w:rsidRPr="0067048A">
        <w:rPr>
          <w:rStyle w:val="Char3"/>
          <w:rtl/>
        </w:rPr>
        <w:t xml:space="preserve"> </w:t>
      </w:r>
      <w:r w:rsidR="00685363" w:rsidRPr="0067048A">
        <w:rPr>
          <w:rStyle w:val="Char3"/>
          <w:rFonts w:hint="eastAsia"/>
          <w:rtl/>
        </w:rPr>
        <w:t>لِلَّهِ</w:t>
      </w:r>
      <w:r w:rsidR="00685363" w:rsidRPr="0067048A">
        <w:rPr>
          <w:rStyle w:val="Char3"/>
          <w:rtl/>
        </w:rPr>
        <w:t xml:space="preserve"> </w:t>
      </w:r>
      <w:r w:rsidR="00685363" w:rsidRPr="0067048A">
        <w:rPr>
          <w:rStyle w:val="Char3"/>
          <w:rFonts w:hint="eastAsia"/>
          <w:rtl/>
        </w:rPr>
        <w:t>خُمُسَهُ</w:t>
      </w:r>
      <w:r w:rsidR="00685363" w:rsidRPr="0067048A">
        <w:rPr>
          <w:rStyle w:val="Char3"/>
          <w:rFonts w:hint="cs"/>
          <w:rtl/>
        </w:rPr>
        <w:t>ۥ</w:t>
      </w:r>
      <w:r w:rsidR="00685363" w:rsidRPr="0067048A">
        <w:rPr>
          <w:rStyle w:val="Char3"/>
          <w:rtl/>
        </w:rPr>
        <w:t xml:space="preserve"> </w:t>
      </w:r>
      <w:r w:rsidR="00685363" w:rsidRPr="0067048A">
        <w:rPr>
          <w:rStyle w:val="Char3"/>
          <w:rFonts w:hint="eastAsia"/>
          <w:rtl/>
        </w:rPr>
        <w:t>وَلِلرَّسُولِ</w:t>
      </w:r>
      <w:r w:rsidR="00685363" w:rsidRPr="0067048A">
        <w:rPr>
          <w:rStyle w:val="Char3"/>
          <w:rFonts w:hint="cs"/>
          <w:rtl/>
        </w:rPr>
        <w:t>...</w:t>
      </w:r>
      <w:r w:rsidR="00685363" w:rsidRPr="00995B26">
        <w:rPr>
          <w:rFonts w:ascii="Abo-thar" w:hAnsi="Abo-thar" w:cs="Traditional Arabic" w:hint="cs"/>
          <w:sz w:val="28"/>
          <w:rtl/>
          <w:lang w:bidi="ar-SY"/>
        </w:rPr>
        <w:t>﴾</w:t>
      </w:r>
      <w:r w:rsidRPr="00995B26">
        <w:rPr>
          <w:rFonts w:ascii="Abo-thar" w:hAnsi="Abo-thar"/>
          <w:sz w:val="28"/>
          <w:rtl/>
          <w:lang w:bidi="ar-SY"/>
        </w:rPr>
        <w:t xml:space="preserve"> </w:t>
      </w:r>
      <w:r w:rsidRPr="00FC12FD">
        <w:rPr>
          <w:rStyle w:val="Char2"/>
          <w:rtl/>
        </w:rPr>
        <w:t>[الأنفال</w:t>
      </w:r>
      <w:r w:rsidR="00685363" w:rsidRPr="00FC12FD">
        <w:rPr>
          <w:rStyle w:val="Char2"/>
          <w:rFonts w:hint="cs"/>
          <w:rtl/>
        </w:rPr>
        <w:t xml:space="preserve">: </w:t>
      </w:r>
      <w:r w:rsidRPr="00FC12FD">
        <w:rPr>
          <w:rStyle w:val="Char2"/>
          <w:rtl/>
        </w:rPr>
        <w:t>41]</w:t>
      </w:r>
      <w:r w:rsidRPr="00995B26">
        <w:rPr>
          <w:rFonts w:ascii="Abo-thar" w:hAnsi="Abo-thar" w:hint="cs"/>
          <w:sz w:val="28"/>
          <w:rtl/>
          <w:lang w:bidi="ar-SY"/>
        </w:rPr>
        <w:t xml:space="preserve"> فإن ذلك مشابه لقوله سبحانه</w:t>
      </w:r>
      <w:r w:rsidR="00217AB4" w:rsidRPr="00995B26">
        <w:rPr>
          <w:rFonts w:ascii="Abo-thar" w:hAnsi="Abo-thar" w:hint="cs"/>
          <w:sz w:val="28"/>
          <w:rtl/>
          <w:lang w:bidi="ar-SY"/>
        </w:rPr>
        <w:t>:</w:t>
      </w:r>
      <w:r w:rsidR="00685363" w:rsidRPr="00995B26">
        <w:rPr>
          <w:rFonts w:ascii="Abo-thar" w:hAnsi="Abo-thar" w:hint="cs"/>
          <w:sz w:val="28"/>
          <w:rtl/>
          <w:lang w:bidi="ar-SY"/>
        </w:rPr>
        <w:t xml:space="preserve"> </w:t>
      </w:r>
      <w:r w:rsidR="00685363" w:rsidRPr="00995B26">
        <w:rPr>
          <w:rFonts w:ascii="Abo-thar" w:hAnsi="Abo-thar" w:cs="Traditional Arabic" w:hint="cs"/>
          <w:sz w:val="28"/>
          <w:rtl/>
          <w:lang w:bidi="ar-SY"/>
        </w:rPr>
        <w:t>﴿</w:t>
      </w:r>
      <w:r w:rsidR="00685363" w:rsidRPr="0067048A">
        <w:rPr>
          <w:rStyle w:val="Char3"/>
          <w:rFonts w:hint="eastAsia"/>
          <w:rtl/>
        </w:rPr>
        <w:t>يَس</w:t>
      </w:r>
      <w:r w:rsidR="00685363" w:rsidRPr="0067048A">
        <w:rPr>
          <w:rStyle w:val="Char3"/>
          <w:rFonts w:hint="cs"/>
          <w:rtl/>
        </w:rPr>
        <w:t>ۡ</w:t>
      </w:r>
      <w:r w:rsidR="00685363" w:rsidRPr="0067048A">
        <w:rPr>
          <w:rStyle w:val="Char3"/>
          <w:rFonts w:hint="eastAsia"/>
          <w:rtl/>
        </w:rPr>
        <w:t>‍</w:t>
      </w:r>
      <w:r w:rsidR="00685363" w:rsidRPr="0067048A">
        <w:rPr>
          <w:rStyle w:val="Char3"/>
          <w:rFonts w:hint="cs"/>
          <w:rtl/>
        </w:rPr>
        <w:t>ٔ</w:t>
      </w:r>
      <w:r w:rsidR="00685363" w:rsidRPr="0067048A">
        <w:rPr>
          <w:rStyle w:val="Char3"/>
          <w:rFonts w:hint="eastAsia"/>
          <w:rtl/>
        </w:rPr>
        <w:t>َلُونَكَ</w:t>
      </w:r>
      <w:r w:rsidR="00685363" w:rsidRPr="0067048A">
        <w:rPr>
          <w:rStyle w:val="Char3"/>
          <w:rtl/>
        </w:rPr>
        <w:t xml:space="preserve"> </w:t>
      </w:r>
      <w:r w:rsidR="00685363" w:rsidRPr="0067048A">
        <w:rPr>
          <w:rStyle w:val="Char3"/>
          <w:rFonts w:hint="eastAsia"/>
          <w:rtl/>
        </w:rPr>
        <w:t>عَنِ</w:t>
      </w:r>
      <w:r w:rsidR="00685363" w:rsidRPr="0067048A">
        <w:rPr>
          <w:rStyle w:val="Char3"/>
          <w:rtl/>
        </w:rPr>
        <w:t xml:space="preserve"> </w:t>
      </w:r>
      <w:r w:rsidR="00685363" w:rsidRPr="0067048A">
        <w:rPr>
          <w:rStyle w:val="Char3"/>
          <w:rFonts w:hint="cs"/>
          <w:rtl/>
        </w:rPr>
        <w:t>ٱ</w:t>
      </w:r>
      <w:r w:rsidR="00685363" w:rsidRPr="0067048A">
        <w:rPr>
          <w:rStyle w:val="Char3"/>
          <w:rFonts w:hint="eastAsia"/>
          <w:rtl/>
        </w:rPr>
        <w:t>ل</w:t>
      </w:r>
      <w:r w:rsidR="00685363" w:rsidRPr="0067048A">
        <w:rPr>
          <w:rStyle w:val="Char3"/>
          <w:rFonts w:hint="cs"/>
          <w:rtl/>
        </w:rPr>
        <w:t>ۡ</w:t>
      </w:r>
      <w:r w:rsidR="00685363" w:rsidRPr="0067048A">
        <w:rPr>
          <w:rStyle w:val="Char3"/>
          <w:rFonts w:hint="eastAsia"/>
          <w:rtl/>
        </w:rPr>
        <w:t>أَنفَالِ</w:t>
      </w:r>
      <w:r w:rsidR="00685363" w:rsidRPr="0067048A">
        <w:rPr>
          <w:rStyle w:val="Char3"/>
          <w:rFonts w:hint="cs"/>
          <w:rtl/>
        </w:rPr>
        <w:t>ۖ</w:t>
      </w:r>
      <w:r w:rsidR="00685363" w:rsidRPr="0067048A">
        <w:rPr>
          <w:rStyle w:val="Char3"/>
          <w:rtl/>
        </w:rPr>
        <w:t xml:space="preserve"> </w:t>
      </w:r>
      <w:r w:rsidR="00685363" w:rsidRPr="0067048A">
        <w:rPr>
          <w:rStyle w:val="Char3"/>
          <w:rFonts w:hint="eastAsia"/>
          <w:rtl/>
        </w:rPr>
        <w:t>قُلِ</w:t>
      </w:r>
      <w:r w:rsidR="00685363" w:rsidRPr="0067048A">
        <w:rPr>
          <w:rStyle w:val="Char3"/>
          <w:rtl/>
        </w:rPr>
        <w:t xml:space="preserve"> </w:t>
      </w:r>
      <w:r w:rsidR="00685363" w:rsidRPr="0067048A">
        <w:rPr>
          <w:rStyle w:val="Char3"/>
          <w:rFonts w:hint="cs"/>
          <w:rtl/>
        </w:rPr>
        <w:t>ٱ</w:t>
      </w:r>
      <w:r w:rsidR="00685363" w:rsidRPr="0067048A">
        <w:rPr>
          <w:rStyle w:val="Char3"/>
          <w:rFonts w:hint="eastAsia"/>
          <w:rtl/>
        </w:rPr>
        <w:t>ل</w:t>
      </w:r>
      <w:r w:rsidR="00685363" w:rsidRPr="0067048A">
        <w:rPr>
          <w:rStyle w:val="Char3"/>
          <w:rFonts w:hint="cs"/>
          <w:rtl/>
        </w:rPr>
        <w:t>ۡ</w:t>
      </w:r>
      <w:r w:rsidR="00685363" w:rsidRPr="0067048A">
        <w:rPr>
          <w:rStyle w:val="Char3"/>
          <w:rFonts w:hint="eastAsia"/>
          <w:rtl/>
        </w:rPr>
        <w:t>أَنفَالُ</w:t>
      </w:r>
      <w:r w:rsidR="00685363" w:rsidRPr="0067048A">
        <w:rPr>
          <w:rStyle w:val="Char3"/>
          <w:rtl/>
        </w:rPr>
        <w:t xml:space="preserve"> </w:t>
      </w:r>
      <w:r w:rsidR="00685363" w:rsidRPr="0067048A">
        <w:rPr>
          <w:rStyle w:val="Char3"/>
          <w:rFonts w:hint="eastAsia"/>
          <w:rtl/>
        </w:rPr>
        <w:t>لِلَّهِ</w:t>
      </w:r>
      <w:r w:rsidR="00685363" w:rsidRPr="0067048A">
        <w:rPr>
          <w:rStyle w:val="Char3"/>
          <w:rtl/>
        </w:rPr>
        <w:t xml:space="preserve"> </w:t>
      </w:r>
      <w:r w:rsidR="00685363" w:rsidRPr="0067048A">
        <w:rPr>
          <w:rStyle w:val="Char3"/>
          <w:rFonts w:hint="eastAsia"/>
          <w:rtl/>
        </w:rPr>
        <w:t>وَ</w:t>
      </w:r>
      <w:r w:rsidR="00685363" w:rsidRPr="0067048A">
        <w:rPr>
          <w:rStyle w:val="Char3"/>
          <w:rFonts w:hint="cs"/>
          <w:rtl/>
        </w:rPr>
        <w:t>ٱ</w:t>
      </w:r>
      <w:r w:rsidR="00685363" w:rsidRPr="0067048A">
        <w:rPr>
          <w:rStyle w:val="Char3"/>
          <w:rFonts w:hint="eastAsia"/>
          <w:rtl/>
        </w:rPr>
        <w:t>لرَّسُولِ</w:t>
      </w:r>
      <w:r w:rsidR="00685363" w:rsidRPr="0067048A">
        <w:rPr>
          <w:rStyle w:val="Char3"/>
          <w:rFonts w:hint="cs"/>
          <w:rtl/>
        </w:rPr>
        <w:t>...</w:t>
      </w:r>
      <w:r w:rsidR="00685363" w:rsidRPr="00995B26">
        <w:rPr>
          <w:rFonts w:ascii="Abo-thar" w:hAnsi="Abo-thar" w:cs="Traditional Arabic" w:hint="cs"/>
          <w:sz w:val="28"/>
          <w:rtl/>
          <w:lang w:bidi="ar-SY"/>
        </w:rPr>
        <w:t>﴾</w:t>
      </w:r>
      <w:r w:rsidR="00685363" w:rsidRPr="00995B26">
        <w:rPr>
          <w:rFonts w:ascii="Abo-thar" w:hAnsi="Abo-thar" w:hint="cs"/>
          <w:sz w:val="28"/>
          <w:rtl/>
          <w:lang w:bidi="ar-SY"/>
        </w:rPr>
        <w:t xml:space="preserve"> </w:t>
      </w:r>
      <w:r w:rsidRPr="00FC12FD">
        <w:rPr>
          <w:rStyle w:val="Char2"/>
          <w:rtl/>
        </w:rPr>
        <w:t>[الأنفال</w:t>
      </w:r>
      <w:r w:rsidR="00685363" w:rsidRPr="00FC12FD">
        <w:rPr>
          <w:rStyle w:val="Char2"/>
          <w:rFonts w:hint="cs"/>
          <w:rtl/>
        </w:rPr>
        <w:t xml:space="preserve">: </w:t>
      </w:r>
      <w:r w:rsidRPr="00FC12FD">
        <w:rPr>
          <w:rStyle w:val="Char2"/>
          <w:rtl/>
        </w:rPr>
        <w:t>1]</w:t>
      </w:r>
      <w:r w:rsidRPr="00995B26">
        <w:rPr>
          <w:rFonts w:ascii="Abo-thar" w:hAnsi="Abo-thar" w:hint="cs"/>
          <w:sz w:val="28"/>
          <w:rtl/>
          <w:lang w:bidi="ar-SY"/>
        </w:rPr>
        <w:t xml:space="preserve"> ولقوله تعالى</w:t>
      </w:r>
      <w:r w:rsidR="00217AB4" w:rsidRPr="00995B26">
        <w:rPr>
          <w:rFonts w:ascii="Abo-thar" w:hAnsi="Abo-thar" w:hint="cs"/>
          <w:sz w:val="28"/>
          <w:rtl/>
          <w:lang w:bidi="ar-SY"/>
        </w:rPr>
        <w:t>:</w:t>
      </w:r>
      <w:r w:rsidR="00685363" w:rsidRPr="00995B26">
        <w:rPr>
          <w:rFonts w:ascii="Abo-thar" w:hAnsi="Abo-thar" w:hint="cs"/>
          <w:sz w:val="28"/>
          <w:rtl/>
          <w:lang w:bidi="ar-SY"/>
        </w:rPr>
        <w:t xml:space="preserve"> </w:t>
      </w:r>
      <w:r w:rsidR="00685363" w:rsidRPr="00995B26">
        <w:rPr>
          <w:rFonts w:ascii="Abo-thar" w:hAnsi="Abo-thar" w:cs="Traditional Arabic" w:hint="cs"/>
          <w:sz w:val="28"/>
          <w:rtl/>
          <w:lang w:bidi="ar-SY"/>
        </w:rPr>
        <w:t>﴿</w:t>
      </w:r>
      <w:r w:rsidR="00685363" w:rsidRPr="0067048A">
        <w:rPr>
          <w:rStyle w:val="Char3"/>
          <w:rFonts w:hint="cs"/>
          <w:rtl/>
        </w:rPr>
        <w:t>ٱ</w:t>
      </w:r>
      <w:r w:rsidR="00685363" w:rsidRPr="0067048A">
        <w:rPr>
          <w:rStyle w:val="Char3"/>
          <w:rFonts w:hint="eastAsia"/>
          <w:rtl/>
        </w:rPr>
        <w:t>س</w:t>
      </w:r>
      <w:r w:rsidR="00685363" w:rsidRPr="0067048A">
        <w:rPr>
          <w:rStyle w:val="Char3"/>
          <w:rFonts w:hint="cs"/>
          <w:rtl/>
        </w:rPr>
        <w:t>ۡ</w:t>
      </w:r>
      <w:r w:rsidR="00685363" w:rsidRPr="0067048A">
        <w:rPr>
          <w:rStyle w:val="Char3"/>
          <w:rFonts w:hint="eastAsia"/>
          <w:rtl/>
        </w:rPr>
        <w:t>تَجِيبُواْ</w:t>
      </w:r>
      <w:r w:rsidR="00685363" w:rsidRPr="0067048A">
        <w:rPr>
          <w:rStyle w:val="Char3"/>
          <w:rtl/>
        </w:rPr>
        <w:t xml:space="preserve"> </w:t>
      </w:r>
      <w:r w:rsidR="00685363" w:rsidRPr="0067048A">
        <w:rPr>
          <w:rStyle w:val="Char3"/>
          <w:rFonts w:hint="eastAsia"/>
          <w:rtl/>
        </w:rPr>
        <w:t>لِلَّهِ</w:t>
      </w:r>
      <w:r w:rsidR="00685363" w:rsidRPr="0067048A">
        <w:rPr>
          <w:rStyle w:val="Char3"/>
          <w:rtl/>
        </w:rPr>
        <w:t xml:space="preserve"> </w:t>
      </w:r>
      <w:r w:rsidR="00685363" w:rsidRPr="0067048A">
        <w:rPr>
          <w:rStyle w:val="Char3"/>
          <w:rFonts w:hint="eastAsia"/>
          <w:rtl/>
        </w:rPr>
        <w:t>وَلِلرَّسُولِ</w:t>
      </w:r>
      <w:r w:rsidR="00685363" w:rsidRPr="0067048A">
        <w:rPr>
          <w:rStyle w:val="Char3"/>
          <w:rtl/>
        </w:rPr>
        <w:t xml:space="preserve"> </w:t>
      </w:r>
      <w:r w:rsidR="00685363" w:rsidRPr="0067048A">
        <w:rPr>
          <w:rStyle w:val="Char3"/>
          <w:rFonts w:hint="eastAsia"/>
          <w:rtl/>
        </w:rPr>
        <w:t>إِذَا</w:t>
      </w:r>
      <w:r w:rsidR="00685363" w:rsidRPr="0067048A">
        <w:rPr>
          <w:rStyle w:val="Char3"/>
          <w:rtl/>
        </w:rPr>
        <w:t xml:space="preserve"> </w:t>
      </w:r>
      <w:r w:rsidR="00685363" w:rsidRPr="0067048A">
        <w:rPr>
          <w:rStyle w:val="Char3"/>
          <w:rFonts w:hint="eastAsia"/>
          <w:rtl/>
        </w:rPr>
        <w:t>دَعَاكُم</w:t>
      </w:r>
      <w:r w:rsidR="00685363" w:rsidRPr="0067048A">
        <w:rPr>
          <w:rStyle w:val="Char3"/>
          <w:rFonts w:hint="cs"/>
          <w:rtl/>
        </w:rPr>
        <w:t>ۡ</w:t>
      </w:r>
      <w:r w:rsidR="00685363" w:rsidRPr="0067048A">
        <w:rPr>
          <w:rStyle w:val="Char3"/>
          <w:rtl/>
        </w:rPr>
        <w:t xml:space="preserve"> </w:t>
      </w:r>
      <w:r w:rsidR="00685363" w:rsidRPr="0067048A">
        <w:rPr>
          <w:rStyle w:val="Char3"/>
          <w:rFonts w:hint="eastAsia"/>
          <w:rtl/>
        </w:rPr>
        <w:t>لِمَا</w:t>
      </w:r>
      <w:r w:rsidR="00685363" w:rsidRPr="0067048A">
        <w:rPr>
          <w:rStyle w:val="Char3"/>
          <w:rtl/>
        </w:rPr>
        <w:t xml:space="preserve"> </w:t>
      </w:r>
      <w:r w:rsidR="00685363" w:rsidRPr="0067048A">
        <w:rPr>
          <w:rStyle w:val="Char3"/>
          <w:rFonts w:hint="eastAsia"/>
          <w:rtl/>
        </w:rPr>
        <w:t>يُح</w:t>
      </w:r>
      <w:r w:rsidR="00685363" w:rsidRPr="0067048A">
        <w:rPr>
          <w:rStyle w:val="Char3"/>
          <w:rFonts w:hint="cs"/>
          <w:rtl/>
        </w:rPr>
        <w:t>ۡ</w:t>
      </w:r>
      <w:r w:rsidR="00685363" w:rsidRPr="0067048A">
        <w:rPr>
          <w:rStyle w:val="Char3"/>
          <w:rFonts w:hint="eastAsia"/>
          <w:rtl/>
        </w:rPr>
        <w:t>يِيكُم</w:t>
      </w:r>
      <w:r w:rsidR="00685363" w:rsidRPr="0067048A">
        <w:rPr>
          <w:rStyle w:val="Char3"/>
          <w:rFonts w:hint="cs"/>
          <w:rtl/>
        </w:rPr>
        <w:t>ۡ</w:t>
      </w:r>
      <w:r w:rsidR="00685363" w:rsidRPr="00995B26">
        <w:rPr>
          <w:rFonts w:ascii="KFGQPC Uthmanic Script HAFS" w:cs="Times New Roman" w:hint="cs"/>
          <w:sz w:val="28"/>
          <w:rtl/>
        </w:rPr>
        <w:t>...</w:t>
      </w:r>
      <w:r w:rsidR="00685363" w:rsidRPr="00995B26">
        <w:rPr>
          <w:rFonts w:ascii="Abo-thar" w:hAnsi="Abo-thar" w:cs="Traditional Arabic" w:hint="cs"/>
          <w:sz w:val="28"/>
          <w:rtl/>
          <w:lang w:bidi="ar-SY"/>
        </w:rPr>
        <w:t>﴾</w:t>
      </w:r>
      <w:r w:rsidRPr="00FC12FD">
        <w:rPr>
          <w:rStyle w:val="Char2"/>
          <w:rFonts w:hint="cs"/>
          <w:rtl/>
        </w:rPr>
        <w:t xml:space="preserve"> </w:t>
      </w:r>
      <w:r w:rsidRPr="00FC12FD">
        <w:rPr>
          <w:rStyle w:val="Char2"/>
          <w:rtl/>
        </w:rPr>
        <w:t>[الأنفال</w:t>
      </w:r>
      <w:r w:rsidR="00685363" w:rsidRPr="00FC12FD">
        <w:rPr>
          <w:rStyle w:val="Char2"/>
          <w:rFonts w:hint="cs"/>
          <w:rtl/>
        </w:rPr>
        <w:t xml:space="preserve">: </w:t>
      </w:r>
      <w:r w:rsidRPr="00FC12FD">
        <w:rPr>
          <w:rStyle w:val="Char2"/>
          <w:rtl/>
        </w:rPr>
        <w:t>24]</w:t>
      </w:r>
      <w:r w:rsidR="00217AB4" w:rsidRPr="00995B26">
        <w:rPr>
          <w:rFonts w:ascii="Abo-thar" w:hAnsi="Abo-thar" w:hint="cs"/>
          <w:sz w:val="28"/>
          <w:rtl/>
          <w:lang w:bidi="ar-SY"/>
        </w:rPr>
        <w:t>.</w:t>
      </w:r>
      <w:r w:rsidR="00147857" w:rsidRPr="00995B26">
        <w:rPr>
          <w:rFonts w:ascii="Abo-thar" w:hAnsi="Abo-thar"/>
          <w:sz w:val="28"/>
          <w:rtl/>
          <w:lang w:bidi="ar-SY"/>
        </w:rPr>
        <w:t xml:space="preserve"> </w:t>
      </w:r>
      <w:r w:rsidRPr="00995B26">
        <w:rPr>
          <w:rFonts w:ascii="Abo-thar" w:hAnsi="Abo-thar" w:hint="cs"/>
          <w:sz w:val="28"/>
          <w:rtl/>
          <w:lang w:bidi="ar-SY"/>
        </w:rPr>
        <w:t>حيث أنه كما أن الأنفال لِـلَّهِ</w:t>
      </w:r>
      <w:r w:rsidR="00217AB4" w:rsidRPr="00995B26">
        <w:rPr>
          <w:rFonts w:ascii="Abo-thar" w:hAnsi="Abo-thar" w:hint="cs"/>
          <w:sz w:val="28"/>
          <w:rtl/>
          <w:lang w:bidi="ar-SY"/>
        </w:rPr>
        <w:t>،</w:t>
      </w:r>
      <w:r w:rsidRPr="00995B26">
        <w:rPr>
          <w:rFonts w:ascii="Abo-thar" w:hAnsi="Abo-thar" w:hint="cs"/>
          <w:sz w:val="28"/>
          <w:rtl/>
          <w:lang w:bidi="ar-SY"/>
        </w:rPr>
        <w:t xml:space="preserve"> كذلك من يُحيي الناس هو الله أي فاعل فعل يحييكم هو الله</w:t>
      </w:r>
      <w:r w:rsidR="00217AB4" w:rsidRPr="00995B26">
        <w:rPr>
          <w:rFonts w:ascii="Abo-thar" w:hAnsi="Abo-thar" w:hint="cs"/>
          <w:sz w:val="28"/>
          <w:rtl/>
          <w:lang w:bidi="ar-SY"/>
        </w:rPr>
        <w:t>.</w:t>
      </w:r>
      <w:r w:rsidRPr="00995B26">
        <w:rPr>
          <w:rFonts w:ascii="Abo-thar" w:hAnsi="Abo-thar" w:hint="cs"/>
          <w:sz w:val="28"/>
          <w:rtl/>
          <w:lang w:bidi="ar-SY"/>
        </w:rPr>
        <w:t xml:space="preserve"> </w:t>
      </w:r>
    </w:p>
    <w:p w:rsidR="005C664D" w:rsidRPr="003F3B94" w:rsidRDefault="005C664D" w:rsidP="003F3B94">
      <w:pPr>
        <w:pStyle w:val="a0"/>
        <w:rPr>
          <w:rFonts w:hint="cs"/>
          <w:rtl/>
          <w:lang w:bidi="ar-SY"/>
        </w:rPr>
      </w:pPr>
      <w:r w:rsidRPr="003F3B94">
        <w:rPr>
          <w:rFonts w:ascii="Abo-thar" w:hAnsi="Abo-thar" w:hint="cs"/>
          <w:sz w:val="28"/>
          <w:rtl/>
          <w:lang w:bidi="ar-SY"/>
        </w:rPr>
        <w:t>وعليه فلا يصح في نظرنا ذلك المعنى الذي قالوه بأن الخمس ستة أسهم سهمٌ لِـلَّهِ وسهمٌ لرسول الله وسهمٌ لذي القربى وثلاثة أسهم لكل من اليتامى والمساكين وابن السبيل وذلك للأدلة التي سنوضحها فيما يلي إنشاء الله</w:t>
      </w:r>
      <w:r w:rsidR="00217AB4" w:rsidRPr="003F3B94">
        <w:rPr>
          <w:rFonts w:ascii="Abo-thar" w:hAnsi="Abo-thar" w:hint="cs"/>
          <w:sz w:val="28"/>
          <w:rtl/>
          <w:lang w:bidi="ar-SY"/>
        </w:rPr>
        <w:t>:</w:t>
      </w:r>
      <w:r w:rsidRPr="003F3B94">
        <w:rPr>
          <w:rFonts w:ascii="Abo-thar" w:hAnsi="Abo-thar" w:hint="cs"/>
          <w:sz w:val="28"/>
          <w:rtl/>
          <w:lang w:bidi="ar-SY"/>
        </w:rPr>
        <w:t xml:space="preserve"> </w:t>
      </w:r>
    </w:p>
    <w:p w:rsidR="005C664D" w:rsidRPr="00995B26" w:rsidRDefault="005C664D" w:rsidP="003F3B94">
      <w:pPr>
        <w:pStyle w:val="a0"/>
        <w:rPr>
          <w:rFonts w:hint="cs"/>
          <w:rtl/>
          <w:lang w:bidi="ar-SY"/>
        </w:rPr>
      </w:pPr>
      <w:r w:rsidRPr="003F3B94">
        <w:rPr>
          <w:rFonts w:ascii="Abo-thar" w:hAnsi="Abo-thar" w:hint="cs"/>
          <w:sz w:val="28"/>
          <w:rtl/>
          <w:lang w:bidi="ar-SY"/>
        </w:rPr>
        <w:t xml:space="preserve">إضافةً إلى الجملة الصريحة الواردة في الآية والتي تقول </w:t>
      </w:r>
      <w:r w:rsidR="00685363" w:rsidRPr="00995B26">
        <w:rPr>
          <w:rFonts w:ascii="Abo-thar" w:hAnsi="Abo-thar" w:cs="Traditional Arabic" w:hint="cs"/>
          <w:sz w:val="28"/>
          <w:rtl/>
          <w:lang w:bidi="ar-SY"/>
        </w:rPr>
        <w:t>﴿</w:t>
      </w:r>
      <w:r w:rsidR="00685363" w:rsidRPr="0067048A">
        <w:rPr>
          <w:rStyle w:val="Char3"/>
          <w:rFonts w:hint="eastAsia"/>
          <w:rtl/>
        </w:rPr>
        <w:t>فَأَنَّ</w:t>
      </w:r>
      <w:r w:rsidR="00685363" w:rsidRPr="0067048A">
        <w:rPr>
          <w:rStyle w:val="Char3"/>
          <w:rtl/>
        </w:rPr>
        <w:t xml:space="preserve"> </w:t>
      </w:r>
      <w:r w:rsidR="00685363" w:rsidRPr="0067048A">
        <w:rPr>
          <w:rStyle w:val="Char3"/>
          <w:rFonts w:hint="eastAsia"/>
          <w:rtl/>
        </w:rPr>
        <w:t>لِلَّهِ</w:t>
      </w:r>
      <w:r w:rsidR="00685363" w:rsidRPr="0067048A">
        <w:rPr>
          <w:rStyle w:val="Char3"/>
          <w:rtl/>
        </w:rPr>
        <w:t xml:space="preserve"> </w:t>
      </w:r>
      <w:r w:rsidR="00685363" w:rsidRPr="0067048A">
        <w:rPr>
          <w:rStyle w:val="Char3"/>
          <w:rFonts w:hint="eastAsia"/>
          <w:rtl/>
        </w:rPr>
        <w:t>خُمُسَهُ</w:t>
      </w:r>
      <w:r w:rsidR="00685363" w:rsidRPr="0067048A">
        <w:rPr>
          <w:rStyle w:val="Char3"/>
          <w:rFonts w:hint="cs"/>
          <w:rtl/>
        </w:rPr>
        <w:t>ۥ</w:t>
      </w:r>
      <w:r w:rsidR="00685363" w:rsidRPr="00995B26">
        <w:rPr>
          <w:rFonts w:ascii="Abo-thar" w:hAnsi="Abo-thar" w:cs="Traditional Arabic" w:hint="cs"/>
          <w:sz w:val="28"/>
          <w:rtl/>
          <w:lang w:bidi="ar-SY"/>
        </w:rPr>
        <w:t>﴾</w:t>
      </w:r>
      <w:r w:rsidR="00685363" w:rsidRPr="00995B26">
        <w:rPr>
          <w:rFonts w:ascii="Abo-thar" w:hAnsi="Abo-thar" w:hint="cs"/>
          <w:sz w:val="28"/>
          <w:rtl/>
          <w:lang w:bidi="ar-SY"/>
        </w:rPr>
        <w:t xml:space="preserve"> </w:t>
      </w:r>
      <w:r w:rsidRPr="00995B26">
        <w:rPr>
          <w:rFonts w:ascii="Abo-thar" w:hAnsi="Abo-thar" w:hint="cs"/>
          <w:sz w:val="28"/>
          <w:rtl/>
          <w:lang w:bidi="ar-SY"/>
        </w:rPr>
        <w:t xml:space="preserve">فإنَّ هناك كثيراً من العبارات التي جاءت في كتب السيرة النبوية وفي بعض الأحاديث الواردة من طريق أهل بيت الطهارة </w:t>
      </w:r>
      <w:r w:rsidR="00963EFD" w:rsidRPr="00963EFD">
        <w:rPr>
          <w:rFonts w:ascii="Abo-thar" w:hAnsi="Abo-thar" w:cs="CTraditional Arabic" w:hint="cs"/>
          <w:sz w:val="28"/>
          <w:rtl/>
          <w:lang w:bidi="ar-SY"/>
        </w:rPr>
        <w:t>‡</w:t>
      </w:r>
      <w:r w:rsidRPr="00995B26">
        <w:rPr>
          <w:rFonts w:ascii="Abo-thar" w:hAnsi="Abo-thar" w:hint="cs"/>
          <w:sz w:val="28"/>
          <w:rtl/>
          <w:lang w:bidi="ar-SY"/>
        </w:rPr>
        <w:t xml:space="preserve"> تثبت أن الخمس هو لِـلَّهِ فقط وأنه حقٌّ لذي القربى واليتامى والمساكين وابن السبيل</w:t>
      </w:r>
      <w:r w:rsidR="00217AB4" w:rsidRPr="00995B26">
        <w:rPr>
          <w:rFonts w:ascii="Abo-thar" w:hAnsi="Abo-thar" w:hint="cs"/>
          <w:sz w:val="28"/>
          <w:rtl/>
          <w:lang w:bidi="ar-SY"/>
        </w:rPr>
        <w:t>،</w:t>
      </w:r>
      <w:r w:rsidRPr="00995B26">
        <w:rPr>
          <w:rFonts w:ascii="Abo-thar" w:hAnsi="Abo-thar" w:hint="cs"/>
          <w:sz w:val="28"/>
          <w:rtl/>
          <w:lang w:bidi="ar-SY"/>
        </w:rPr>
        <w:t xml:space="preserve"> نذكر بعضها فيما يلي</w:t>
      </w:r>
      <w:r w:rsidR="00217AB4" w:rsidRPr="00995B26">
        <w:rPr>
          <w:rFonts w:ascii="Abo-thar" w:hAnsi="Abo-thar" w:hint="cs"/>
          <w:sz w:val="28"/>
          <w:rtl/>
          <w:lang w:bidi="ar-SY"/>
        </w:rPr>
        <w:t>:</w:t>
      </w:r>
      <w:r w:rsidRPr="00995B26">
        <w:rPr>
          <w:rFonts w:ascii="Abo-thar" w:hAnsi="Abo-thar" w:hint="cs"/>
          <w:sz w:val="28"/>
          <w:rtl/>
          <w:lang w:bidi="ar-SY"/>
        </w:rPr>
        <w:t xml:space="preserve"> </w:t>
      </w:r>
    </w:p>
    <w:p w:rsidR="005C664D" w:rsidRPr="003F3B94" w:rsidRDefault="005C664D" w:rsidP="00445175">
      <w:pPr>
        <w:pStyle w:val="a0"/>
        <w:ind w:left="624" w:hanging="340"/>
        <w:rPr>
          <w:rFonts w:hint="cs"/>
          <w:rtl/>
          <w:lang w:bidi="ar-SY"/>
        </w:rPr>
      </w:pPr>
      <w:r w:rsidRPr="003F3B94">
        <w:rPr>
          <w:rFonts w:ascii="Abo-thar" w:hAnsi="Abo-thar" w:hint="cs"/>
          <w:sz w:val="28"/>
          <w:rtl/>
          <w:lang w:bidi="ar-SY"/>
        </w:rPr>
        <w:t>أ</w:t>
      </w:r>
      <w:r w:rsidR="00217AB4" w:rsidRPr="003F3B94">
        <w:rPr>
          <w:rFonts w:ascii="Abo-thar" w:hAnsi="Abo-thar" w:hint="cs"/>
          <w:sz w:val="28"/>
          <w:rtl/>
          <w:lang w:bidi="ar-SY"/>
        </w:rPr>
        <w:t>-</w:t>
      </w:r>
      <w:r w:rsidRPr="003F3B94">
        <w:rPr>
          <w:rFonts w:ascii="Abo-thar" w:hAnsi="Abo-thar" w:hint="cs"/>
          <w:sz w:val="28"/>
          <w:rtl/>
          <w:lang w:bidi="ar-SY"/>
        </w:rPr>
        <w:t xml:space="preserve"> جاء </w:t>
      </w:r>
      <w:r w:rsidR="000868AA" w:rsidRPr="003F3B94">
        <w:rPr>
          <w:rFonts w:ascii="Abo-thar" w:hAnsi="Abo-thar" w:hint="cs"/>
          <w:sz w:val="28"/>
          <w:rtl/>
          <w:lang w:bidi="ar-SY"/>
        </w:rPr>
        <w:t xml:space="preserve">في الكتاب الذي كتبه </w:t>
      </w:r>
      <w:r w:rsidRPr="003F3B94">
        <w:rPr>
          <w:rFonts w:ascii="Abo-thar" w:hAnsi="Abo-thar"/>
          <w:sz w:val="28"/>
          <w:rtl/>
          <w:lang w:bidi="ar-SY"/>
        </w:rPr>
        <w:t>رسول الله</w:t>
      </w:r>
      <w:r w:rsidR="005C53D5" w:rsidRPr="003F3B94">
        <w:rPr>
          <w:rFonts w:ascii="Abo-thar" w:hAnsi="Abo-thar" w:hint="cs"/>
          <w:sz w:val="28"/>
          <w:rtl/>
          <w:lang w:bidi="ar-SY"/>
        </w:rPr>
        <w:t xml:space="preserve"> </w:t>
      </w:r>
      <w:r w:rsidR="003C7AEB" w:rsidRPr="003C7AEB">
        <w:rPr>
          <w:rFonts w:cs="CTraditional Arabic"/>
          <w:sz w:val="28"/>
          <w:rtl/>
          <w:lang w:bidi="ar-SY"/>
        </w:rPr>
        <w:t>ص</w:t>
      </w:r>
      <w:r w:rsidR="005C53D5" w:rsidRPr="003F3B94">
        <w:rPr>
          <w:sz w:val="28"/>
          <w:rtl/>
          <w:lang w:bidi="ar-SY"/>
        </w:rPr>
        <w:t xml:space="preserve"> </w:t>
      </w:r>
      <w:r w:rsidRPr="003F3B94">
        <w:rPr>
          <w:rFonts w:ascii="Abo-thar" w:hAnsi="Abo-thar"/>
          <w:sz w:val="28"/>
          <w:rtl/>
          <w:lang w:bidi="ar-SY"/>
        </w:rPr>
        <w:t xml:space="preserve">للفجيع </w:t>
      </w:r>
      <w:r w:rsidR="000868AA" w:rsidRPr="003F3B94">
        <w:rPr>
          <w:rFonts w:ascii="Abo-thar" w:hAnsi="Abo-thar" w:hint="cs"/>
          <w:sz w:val="28"/>
          <w:rtl/>
          <w:lang w:bidi="ar-SY"/>
        </w:rPr>
        <w:t>قول النبي الصريح:</w:t>
      </w:r>
      <w:r w:rsidRPr="003F3B94">
        <w:rPr>
          <w:rFonts w:ascii="Abo-thar" w:hAnsi="Abo-thar"/>
          <w:sz w:val="28"/>
          <w:rtl/>
          <w:lang w:bidi="ar-SY"/>
        </w:rPr>
        <w:t xml:space="preserve"> </w:t>
      </w:r>
      <w:r w:rsidR="000868AA" w:rsidRPr="00CE7623">
        <w:rPr>
          <w:rFonts w:ascii="Abo-thar" w:hAnsi="Abo-thar" w:cs="KFGQPC Uthman Taha Naskh" w:hint="cs"/>
          <w:sz w:val="28"/>
          <w:rtl/>
          <w:lang w:bidi="ar-SY"/>
        </w:rPr>
        <w:t>«</w:t>
      </w:r>
      <w:r w:rsidRPr="00CE7623">
        <w:rPr>
          <w:rFonts w:ascii="Abo-thar" w:hAnsi="Abo-thar" w:cs="KFGQPC Uthman Taha Naskh"/>
          <w:sz w:val="28"/>
          <w:rtl/>
          <w:lang w:bidi="ar-SY"/>
        </w:rPr>
        <w:t>من محمدٍ النبي</w:t>
      </w:r>
      <w:r w:rsidRPr="00CE7623">
        <w:rPr>
          <w:rFonts w:ascii="Abo-thar" w:hAnsi="Abo-thar" w:cs="KFGQPC Uthman Taha Naskh" w:hint="cs"/>
          <w:sz w:val="28"/>
          <w:rtl/>
          <w:lang w:bidi="ar-SY"/>
        </w:rPr>
        <w:t>ِّ</w:t>
      </w:r>
      <w:r w:rsidRPr="00CE7623">
        <w:rPr>
          <w:rFonts w:ascii="Abo-thar" w:hAnsi="Abo-thar" w:cs="KFGQPC Uthman Taha Naskh"/>
          <w:sz w:val="28"/>
          <w:rtl/>
          <w:lang w:bidi="ar-SY"/>
        </w:rPr>
        <w:t xml:space="preserve"> للفجيعٍ ومن تبعه وأسلم وأقام الصلاة</w:t>
      </w:r>
      <w:r w:rsidR="00217AB4" w:rsidRPr="00CE7623">
        <w:rPr>
          <w:rFonts w:ascii="Abo-thar" w:hAnsi="Abo-thar" w:cs="KFGQPC Uthman Taha Naskh"/>
          <w:sz w:val="28"/>
          <w:rtl/>
          <w:lang w:bidi="ar-SY"/>
        </w:rPr>
        <w:t>،</w:t>
      </w:r>
      <w:r w:rsidRPr="00CE7623">
        <w:rPr>
          <w:rFonts w:ascii="Abo-thar" w:hAnsi="Abo-thar" w:cs="KFGQPC Uthman Taha Naskh"/>
          <w:sz w:val="28"/>
          <w:rtl/>
          <w:lang w:bidi="ar-SY"/>
        </w:rPr>
        <w:t xml:space="preserve"> وآتى الزكاة</w:t>
      </w:r>
      <w:r w:rsidR="00217AB4" w:rsidRPr="00CE7623">
        <w:rPr>
          <w:rFonts w:ascii="Abo-thar" w:hAnsi="Abo-thar" w:cs="KFGQPC Uthman Taha Naskh"/>
          <w:sz w:val="28"/>
          <w:rtl/>
          <w:lang w:bidi="ar-SY"/>
        </w:rPr>
        <w:t>،</w:t>
      </w:r>
      <w:r w:rsidRPr="00CE7623">
        <w:rPr>
          <w:rFonts w:ascii="Abo-thar" w:hAnsi="Abo-thar" w:cs="KFGQPC Uthman Taha Naskh"/>
          <w:sz w:val="28"/>
          <w:rtl/>
          <w:lang w:bidi="ar-SY"/>
        </w:rPr>
        <w:t xml:space="preserve"> </w:t>
      </w:r>
      <w:r w:rsidRPr="00CE7623">
        <w:rPr>
          <w:rFonts w:ascii="Abo-thar" w:hAnsi="Abo-thar" w:cs="KFGQPC Uthman Taha Naskh" w:hint="cs"/>
          <w:sz w:val="28"/>
          <w:rtl/>
          <w:lang w:bidi="ar-SY"/>
        </w:rPr>
        <w:t>وأطاعَ</w:t>
      </w:r>
      <w:r w:rsidRPr="00CE7623">
        <w:rPr>
          <w:rFonts w:ascii="Abo-thar" w:hAnsi="Abo-thar" w:cs="KFGQPC Uthman Taha Naskh"/>
          <w:sz w:val="28"/>
          <w:rtl/>
          <w:lang w:bidi="ar-SY"/>
        </w:rPr>
        <w:t xml:space="preserve"> الله ورسوله </w:t>
      </w:r>
      <w:r w:rsidRPr="00CE7623">
        <w:rPr>
          <w:rFonts w:ascii="Abo-thar" w:hAnsi="Abo-thar" w:cs="KFGQPC Uthman Taha Naskh"/>
          <w:b/>
          <w:bCs/>
          <w:sz w:val="28"/>
          <w:rtl/>
          <w:lang w:bidi="ar-SY"/>
        </w:rPr>
        <w:t>وأعطى من المغانم</w:t>
      </w:r>
      <w:r w:rsidRPr="00CE7623">
        <w:rPr>
          <w:rFonts w:ascii="Abo-thar" w:hAnsi="Abo-thar" w:cs="KFGQPC Uthman Taha Naskh" w:hint="cs"/>
          <w:b/>
          <w:bCs/>
          <w:sz w:val="28"/>
          <w:rtl/>
          <w:lang w:bidi="ar-SY"/>
        </w:rPr>
        <w:t xml:space="preserve"> </w:t>
      </w:r>
      <w:r w:rsidRPr="00CE7623">
        <w:rPr>
          <w:rFonts w:ascii="Abo-thar" w:hAnsi="Abo-thar" w:cs="KFGQPC Uthman Taha Naskh"/>
          <w:b/>
          <w:bCs/>
          <w:sz w:val="28"/>
          <w:rtl/>
          <w:lang w:bidi="ar-SY"/>
        </w:rPr>
        <w:t>خ</w:t>
      </w:r>
      <w:r w:rsidRPr="00CE7623">
        <w:rPr>
          <w:rFonts w:ascii="Abo-thar" w:hAnsi="Abo-thar" w:cs="KFGQPC Uthman Taha Naskh" w:hint="cs"/>
          <w:b/>
          <w:bCs/>
          <w:sz w:val="28"/>
          <w:rtl/>
          <w:lang w:bidi="ar-SY"/>
        </w:rPr>
        <w:t>ُ</w:t>
      </w:r>
      <w:r w:rsidRPr="00CE7623">
        <w:rPr>
          <w:rFonts w:ascii="Abo-thar" w:hAnsi="Abo-thar" w:cs="KFGQPC Uthman Taha Naskh"/>
          <w:b/>
          <w:bCs/>
          <w:sz w:val="28"/>
          <w:rtl/>
          <w:lang w:bidi="ar-SY"/>
        </w:rPr>
        <w:t>م</w:t>
      </w:r>
      <w:r w:rsidRPr="00CE7623">
        <w:rPr>
          <w:rFonts w:ascii="Abo-thar" w:hAnsi="Abo-thar" w:cs="KFGQPC Uthman Taha Naskh" w:hint="cs"/>
          <w:b/>
          <w:bCs/>
          <w:sz w:val="28"/>
          <w:rtl/>
          <w:lang w:bidi="ar-SY"/>
        </w:rPr>
        <w:t>ْ</w:t>
      </w:r>
      <w:r w:rsidRPr="00CE7623">
        <w:rPr>
          <w:rFonts w:ascii="Abo-thar" w:hAnsi="Abo-thar" w:cs="KFGQPC Uthman Taha Naskh"/>
          <w:b/>
          <w:bCs/>
          <w:sz w:val="28"/>
          <w:rtl/>
          <w:lang w:bidi="ar-SY"/>
        </w:rPr>
        <w:t>س</w:t>
      </w:r>
      <w:r w:rsidRPr="00CE7623">
        <w:rPr>
          <w:rFonts w:ascii="Abo-thar" w:hAnsi="Abo-thar" w:cs="KFGQPC Uthman Taha Naskh" w:hint="cs"/>
          <w:b/>
          <w:bCs/>
          <w:sz w:val="28"/>
          <w:rtl/>
          <w:lang w:bidi="ar-SY"/>
        </w:rPr>
        <w:t>َ</w:t>
      </w:r>
      <w:r w:rsidRPr="00CE7623">
        <w:rPr>
          <w:rFonts w:ascii="Abo-thar" w:hAnsi="Abo-thar" w:cs="KFGQPC Uthman Taha Naskh"/>
          <w:b/>
          <w:bCs/>
          <w:sz w:val="28"/>
          <w:rtl/>
          <w:lang w:bidi="ar-SY"/>
        </w:rPr>
        <w:t xml:space="preserve"> الله</w:t>
      </w:r>
      <w:r w:rsidR="000868AA" w:rsidRPr="00CE7623">
        <w:rPr>
          <w:rFonts w:ascii="Abo-thar" w:hAnsi="Abo-thar" w:cs="KFGQPC Uthman Taha Naskh" w:hint="cs"/>
          <w:sz w:val="28"/>
          <w:rtl/>
          <w:lang w:bidi="ar-SY"/>
        </w:rPr>
        <w:t>....</w:t>
      </w:r>
      <w:r w:rsidR="00EF2588" w:rsidRPr="00CE7623">
        <w:rPr>
          <w:rFonts w:ascii="Abo-thar" w:hAnsi="Abo-thar" w:cs="KFGQPC Uthman Taha Naskh" w:hint="cs"/>
          <w:sz w:val="28"/>
          <w:rtl/>
          <w:lang w:bidi="ar-SY"/>
        </w:rPr>
        <w:t>»</w:t>
      </w:r>
      <w:r w:rsidR="000868AA" w:rsidRPr="0021507A">
        <w:rPr>
          <w:rFonts w:ascii="Abo-thar" w:hAnsi="Abo-thar" w:cs="Arabic11 BT"/>
          <w:sz w:val="28"/>
          <w:vertAlign w:val="superscript"/>
          <w:rtl/>
          <w:lang w:bidi="ar-SY"/>
        </w:rPr>
        <w:t>(</w:t>
      </w:r>
      <w:r w:rsidR="000868AA" w:rsidRPr="0021507A">
        <w:rPr>
          <w:rStyle w:val="FootnoteReference"/>
          <w:rFonts w:ascii="Abo-thar" w:hAnsi="Abo-thar" w:cs="Arabic11 BT"/>
          <w:sz w:val="28"/>
          <w:rtl/>
          <w:lang w:bidi="ar-SY"/>
        </w:rPr>
        <w:footnoteReference w:id="47"/>
      </w:r>
      <w:r w:rsidR="000868AA" w:rsidRPr="0021507A">
        <w:rPr>
          <w:rFonts w:ascii="Abo-thar" w:hAnsi="Abo-thar" w:cs="Arabic11 BT"/>
          <w:sz w:val="28"/>
          <w:vertAlign w:val="superscript"/>
          <w:rtl/>
          <w:lang w:bidi="ar-SY"/>
        </w:rPr>
        <w:t>)</w:t>
      </w:r>
      <w:r w:rsidR="00FB6445" w:rsidRPr="003F3B94">
        <w:rPr>
          <w:rFonts w:ascii="Abo-thar" w:hAnsi="Abo-thar" w:hint="cs"/>
          <w:sz w:val="28"/>
          <w:rtl/>
          <w:lang w:bidi="ar-SY"/>
        </w:rPr>
        <w:t>.</w:t>
      </w:r>
    </w:p>
    <w:p w:rsidR="005C664D" w:rsidRPr="00445175" w:rsidRDefault="005C664D" w:rsidP="00445175">
      <w:pPr>
        <w:pStyle w:val="a0"/>
        <w:ind w:left="624" w:hanging="340"/>
        <w:rPr>
          <w:rFonts w:hint="cs"/>
          <w:rtl/>
          <w:lang w:bidi="ar-SY"/>
        </w:rPr>
      </w:pPr>
      <w:r w:rsidRPr="00445175">
        <w:rPr>
          <w:rFonts w:ascii="Abo-thar" w:hAnsi="Abo-thar" w:hint="cs"/>
          <w:sz w:val="28"/>
          <w:rtl/>
          <w:lang w:bidi="ar-SY"/>
        </w:rPr>
        <w:t>ب</w:t>
      </w:r>
      <w:r w:rsidR="00217AB4" w:rsidRPr="00445175">
        <w:rPr>
          <w:rFonts w:ascii="Abo-thar" w:hAnsi="Abo-thar" w:hint="cs"/>
          <w:sz w:val="28"/>
          <w:rtl/>
          <w:lang w:bidi="ar-SY"/>
        </w:rPr>
        <w:t>-</w:t>
      </w:r>
      <w:r w:rsidRPr="00445175">
        <w:rPr>
          <w:rFonts w:ascii="Abo-thar" w:hAnsi="Abo-thar" w:hint="cs"/>
          <w:sz w:val="28"/>
          <w:rtl/>
          <w:lang w:bidi="ar-SY"/>
        </w:rPr>
        <w:t xml:space="preserve"> وفي المصادر السابقة ذاتها أن رسول الله</w:t>
      </w:r>
      <w:r w:rsidR="00147857" w:rsidRPr="00445175">
        <w:rPr>
          <w:rFonts w:ascii="Abo-thar" w:hAnsi="Abo-thar" w:hint="cs"/>
          <w:sz w:val="28"/>
          <w:rtl/>
          <w:lang w:bidi="ar-SY"/>
        </w:rPr>
        <w:t xml:space="preserve"> </w:t>
      </w:r>
      <w:r w:rsidR="003C7AEB" w:rsidRPr="00445175">
        <w:rPr>
          <w:rFonts w:ascii="Abo-thar" w:hAnsi="Abo-thar" w:cs="CTraditional Arabic"/>
          <w:sz w:val="28"/>
          <w:rtl/>
          <w:lang w:bidi="ar-SY"/>
        </w:rPr>
        <w:t>ص</w:t>
      </w:r>
      <w:r w:rsidR="00147857" w:rsidRPr="00445175">
        <w:rPr>
          <w:rFonts w:ascii="Abo-thar" w:hAnsi="Abo-thar"/>
          <w:sz w:val="28"/>
          <w:rtl/>
          <w:lang w:bidi="ar-SY"/>
        </w:rPr>
        <w:t xml:space="preserve"> </w:t>
      </w:r>
      <w:r w:rsidR="00EF2588" w:rsidRPr="00445175">
        <w:rPr>
          <w:rFonts w:ascii="Abo-thar" w:hAnsi="Abo-thar" w:cs="KFGQPC Uthman Taha Naskh" w:hint="cs"/>
          <w:sz w:val="28"/>
          <w:rtl/>
          <w:lang w:bidi="ar-SY"/>
        </w:rPr>
        <w:t>«</w:t>
      </w:r>
      <w:r w:rsidRPr="00445175">
        <w:rPr>
          <w:rFonts w:ascii="Abo-thar" w:hAnsi="Abo-thar" w:cs="KFGQPC Uthman Taha Naskh"/>
          <w:sz w:val="28"/>
          <w:rtl/>
          <w:lang w:bidi="ar-SY"/>
        </w:rPr>
        <w:t>كتب لبني جوين الطائيين لمن آمن منهم</w:t>
      </w:r>
      <w:r w:rsidR="00217AB4" w:rsidRPr="00445175">
        <w:rPr>
          <w:rFonts w:ascii="Abo-thar" w:hAnsi="Abo-thar" w:cs="KFGQPC Uthman Taha Naskh"/>
          <w:sz w:val="28"/>
          <w:rtl/>
          <w:lang w:bidi="ar-SY"/>
        </w:rPr>
        <w:t>،</w:t>
      </w:r>
      <w:r w:rsidRPr="00445175">
        <w:rPr>
          <w:rFonts w:ascii="Abo-thar" w:hAnsi="Abo-thar" w:cs="KFGQPC Uthman Taha Naskh"/>
          <w:sz w:val="28"/>
          <w:rtl/>
          <w:lang w:bidi="ar-SY"/>
        </w:rPr>
        <w:t xml:space="preserve"> بالله</w:t>
      </w:r>
      <w:r w:rsidR="00217AB4" w:rsidRPr="00445175">
        <w:rPr>
          <w:rFonts w:ascii="Abo-thar" w:hAnsi="Abo-thar" w:cs="KFGQPC Uthman Taha Naskh"/>
          <w:sz w:val="28"/>
          <w:rtl/>
          <w:lang w:bidi="ar-SY"/>
        </w:rPr>
        <w:t>،</w:t>
      </w:r>
      <w:r w:rsidRPr="00445175">
        <w:rPr>
          <w:rFonts w:ascii="Abo-thar" w:hAnsi="Abo-thar" w:cs="KFGQPC Uthman Taha Naskh"/>
          <w:sz w:val="28"/>
          <w:rtl/>
          <w:lang w:bidi="ar-SY"/>
        </w:rPr>
        <w:t xml:space="preserve"> وأقام الصلاة</w:t>
      </w:r>
      <w:r w:rsidR="00217AB4" w:rsidRPr="00445175">
        <w:rPr>
          <w:rFonts w:ascii="Abo-thar" w:hAnsi="Abo-thar" w:cs="KFGQPC Uthman Taha Naskh"/>
          <w:sz w:val="28"/>
          <w:rtl/>
          <w:lang w:bidi="ar-SY"/>
        </w:rPr>
        <w:t>،</w:t>
      </w:r>
      <w:r w:rsidRPr="00445175">
        <w:rPr>
          <w:rFonts w:ascii="Abo-thar" w:hAnsi="Abo-thar" w:cs="KFGQPC Uthman Taha Naskh"/>
          <w:sz w:val="28"/>
          <w:rtl/>
          <w:lang w:bidi="ar-SY"/>
        </w:rPr>
        <w:t xml:space="preserve"> وآتى الزكاة</w:t>
      </w:r>
      <w:r w:rsidR="00217AB4" w:rsidRPr="00445175">
        <w:rPr>
          <w:rFonts w:ascii="Abo-thar" w:hAnsi="Abo-thar" w:cs="KFGQPC Uthman Taha Naskh"/>
          <w:sz w:val="28"/>
          <w:rtl/>
          <w:lang w:bidi="ar-SY"/>
        </w:rPr>
        <w:t>،</w:t>
      </w:r>
      <w:r w:rsidRPr="00445175">
        <w:rPr>
          <w:rFonts w:ascii="Abo-thar" w:hAnsi="Abo-thar" w:cs="KFGQPC Uthman Taha Naskh"/>
          <w:sz w:val="28"/>
          <w:rtl/>
          <w:lang w:bidi="ar-SY"/>
        </w:rPr>
        <w:t xml:space="preserve"> وفارق المش</w:t>
      </w:r>
      <w:r w:rsidRPr="00445175">
        <w:rPr>
          <w:rFonts w:ascii="Abo-thar" w:hAnsi="Abo-thar" w:cs="KFGQPC Uthman Taha Naskh" w:hint="cs"/>
          <w:sz w:val="28"/>
          <w:rtl/>
          <w:lang w:bidi="ar-SY"/>
        </w:rPr>
        <w:t>ـ</w:t>
      </w:r>
      <w:r w:rsidRPr="00445175">
        <w:rPr>
          <w:rFonts w:ascii="Abo-thar" w:hAnsi="Abo-thar" w:cs="KFGQPC Uthman Taha Naskh"/>
          <w:sz w:val="28"/>
          <w:rtl/>
          <w:lang w:bidi="ar-SY"/>
        </w:rPr>
        <w:t>ركين</w:t>
      </w:r>
      <w:r w:rsidR="00217AB4" w:rsidRPr="00445175">
        <w:rPr>
          <w:rFonts w:ascii="Abo-thar" w:hAnsi="Abo-thar" w:cs="KFGQPC Uthman Taha Naskh"/>
          <w:sz w:val="28"/>
          <w:rtl/>
          <w:lang w:bidi="ar-SY"/>
        </w:rPr>
        <w:t>،</w:t>
      </w:r>
      <w:r w:rsidRPr="00445175">
        <w:rPr>
          <w:rFonts w:ascii="Abo-thar" w:hAnsi="Abo-thar" w:cs="KFGQPC Uthman Taha Naskh"/>
          <w:sz w:val="28"/>
          <w:rtl/>
          <w:lang w:bidi="ar-SY"/>
        </w:rPr>
        <w:t xml:space="preserve"> وأطاع الله ورسوله</w:t>
      </w:r>
      <w:r w:rsidR="00217AB4" w:rsidRPr="00445175">
        <w:rPr>
          <w:rFonts w:ascii="Abo-thar" w:hAnsi="Abo-thar" w:cs="KFGQPC Uthman Taha Naskh"/>
          <w:sz w:val="28"/>
          <w:rtl/>
          <w:lang w:bidi="ar-SY"/>
        </w:rPr>
        <w:t>،</w:t>
      </w:r>
      <w:r w:rsidRPr="00445175">
        <w:rPr>
          <w:rFonts w:ascii="Abo-thar" w:hAnsi="Abo-thar" w:cs="KFGQPC Uthman Taha Naskh"/>
          <w:sz w:val="28"/>
          <w:rtl/>
          <w:lang w:bidi="ar-SY"/>
        </w:rPr>
        <w:t xml:space="preserve"> </w:t>
      </w:r>
      <w:r w:rsidRPr="00445175">
        <w:rPr>
          <w:rFonts w:ascii="Abo-thar" w:hAnsi="Abo-thar" w:cs="KFGQPC Uthman Taha Naskh"/>
          <w:b/>
          <w:bCs/>
          <w:sz w:val="28"/>
          <w:rtl/>
          <w:lang w:bidi="ar-SY"/>
        </w:rPr>
        <w:t>و</w:t>
      </w:r>
      <w:r w:rsidRPr="00445175">
        <w:rPr>
          <w:rFonts w:ascii="Abo-thar" w:hAnsi="Abo-thar" w:cs="KFGQPC Uthman Taha Naskh" w:hint="cs"/>
          <w:b/>
          <w:bCs/>
          <w:sz w:val="28"/>
          <w:rtl/>
          <w:lang w:bidi="ar-SY"/>
        </w:rPr>
        <w:t>َ</w:t>
      </w:r>
      <w:r w:rsidRPr="00445175">
        <w:rPr>
          <w:rFonts w:ascii="Abo-thar" w:hAnsi="Abo-thar" w:cs="KFGQPC Uthman Taha Naskh"/>
          <w:b/>
          <w:bCs/>
          <w:sz w:val="28"/>
          <w:rtl/>
          <w:lang w:bidi="ar-SY"/>
        </w:rPr>
        <w:t>أ</w:t>
      </w:r>
      <w:r w:rsidRPr="00445175">
        <w:rPr>
          <w:rFonts w:ascii="Abo-thar" w:hAnsi="Abo-thar" w:cs="KFGQPC Uthman Taha Naskh" w:hint="cs"/>
          <w:b/>
          <w:bCs/>
          <w:sz w:val="28"/>
          <w:rtl/>
          <w:lang w:bidi="ar-SY"/>
        </w:rPr>
        <w:t>َ</w:t>
      </w:r>
      <w:r w:rsidRPr="00445175">
        <w:rPr>
          <w:rFonts w:ascii="Abo-thar" w:hAnsi="Abo-thar" w:cs="KFGQPC Uthman Taha Naskh"/>
          <w:b/>
          <w:bCs/>
          <w:sz w:val="28"/>
          <w:rtl/>
          <w:lang w:bidi="ar-SY"/>
        </w:rPr>
        <w:t>ع</w:t>
      </w:r>
      <w:r w:rsidRPr="00445175">
        <w:rPr>
          <w:rFonts w:ascii="Abo-thar" w:hAnsi="Abo-thar" w:cs="KFGQPC Uthman Taha Naskh" w:hint="cs"/>
          <w:b/>
          <w:bCs/>
          <w:sz w:val="28"/>
          <w:rtl/>
          <w:lang w:bidi="ar-SY"/>
        </w:rPr>
        <w:t>ْ</w:t>
      </w:r>
      <w:r w:rsidRPr="00445175">
        <w:rPr>
          <w:rFonts w:ascii="Abo-thar" w:hAnsi="Abo-thar" w:cs="KFGQPC Uthman Taha Naskh"/>
          <w:b/>
          <w:bCs/>
          <w:sz w:val="28"/>
          <w:rtl/>
          <w:lang w:bidi="ar-SY"/>
        </w:rPr>
        <w:t>ط</w:t>
      </w:r>
      <w:r w:rsidRPr="00445175">
        <w:rPr>
          <w:rFonts w:ascii="Abo-thar" w:hAnsi="Abo-thar" w:cs="KFGQPC Uthman Taha Naskh" w:hint="cs"/>
          <w:b/>
          <w:bCs/>
          <w:sz w:val="28"/>
          <w:rtl/>
          <w:lang w:bidi="ar-SY"/>
        </w:rPr>
        <w:t>َ</w:t>
      </w:r>
      <w:r w:rsidRPr="00445175">
        <w:rPr>
          <w:rFonts w:ascii="Abo-thar" w:hAnsi="Abo-thar" w:cs="KFGQPC Uthman Taha Naskh"/>
          <w:b/>
          <w:bCs/>
          <w:sz w:val="28"/>
          <w:rtl/>
          <w:lang w:bidi="ar-SY"/>
        </w:rPr>
        <w:t>ى مِنْ المَغَانِمِ خُمُسَ اللهِ</w:t>
      </w:r>
      <w:r w:rsidRPr="00445175">
        <w:rPr>
          <w:rFonts w:ascii="Abo-thar" w:hAnsi="Abo-thar" w:cs="KFGQPC Uthman Taha Naskh"/>
          <w:sz w:val="28"/>
          <w:rtl/>
          <w:lang w:bidi="ar-SY"/>
        </w:rPr>
        <w:t xml:space="preserve"> وسهم النبي</w:t>
      </w:r>
      <w:r w:rsidRPr="00445175">
        <w:rPr>
          <w:rFonts w:ascii="Abo-thar" w:hAnsi="Abo-thar" w:cs="KFGQPC Uthman Taha Naskh" w:hint="cs"/>
          <w:sz w:val="28"/>
          <w:rtl/>
          <w:lang w:bidi="ar-SY"/>
        </w:rPr>
        <w:t>ِّ</w:t>
      </w:r>
      <w:r w:rsidR="00217AB4" w:rsidRPr="00445175">
        <w:rPr>
          <w:rFonts w:ascii="Abo-thar" w:hAnsi="Abo-thar" w:cs="KFGQPC Uthman Taha Naskh"/>
          <w:sz w:val="28"/>
          <w:rtl/>
          <w:lang w:bidi="ar-SY"/>
        </w:rPr>
        <w:t>،</w:t>
      </w:r>
      <w:r w:rsidRPr="00445175">
        <w:rPr>
          <w:rFonts w:ascii="Abo-thar" w:hAnsi="Abo-thar" w:cs="KFGQPC Uthman Taha Naskh"/>
          <w:sz w:val="28"/>
          <w:rtl/>
          <w:lang w:bidi="ar-SY"/>
        </w:rPr>
        <w:t xml:space="preserve"> وأشهد</w:t>
      </w:r>
      <w:r w:rsidRPr="00445175">
        <w:rPr>
          <w:rFonts w:ascii="Abo-thar" w:hAnsi="Abo-thar" w:cs="KFGQPC Uthman Taha Naskh" w:hint="cs"/>
          <w:sz w:val="28"/>
          <w:rtl/>
          <w:lang w:bidi="ar-SY"/>
        </w:rPr>
        <w:t>َ</w:t>
      </w:r>
      <w:r w:rsidRPr="00445175">
        <w:rPr>
          <w:rFonts w:ascii="Abo-thar" w:hAnsi="Abo-thar" w:cs="KFGQPC Uthman Taha Naskh"/>
          <w:sz w:val="28"/>
          <w:rtl/>
          <w:lang w:bidi="ar-SY"/>
        </w:rPr>
        <w:t xml:space="preserve"> على إسلامه</w:t>
      </w:r>
      <w:r w:rsidR="00217AB4" w:rsidRPr="00445175">
        <w:rPr>
          <w:rFonts w:ascii="Abo-thar" w:hAnsi="Abo-thar" w:cs="KFGQPC Uthman Taha Naskh"/>
          <w:sz w:val="28"/>
          <w:rtl/>
          <w:lang w:bidi="ar-SY"/>
        </w:rPr>
        <w:t>،</w:t>
      </w:r>
      <w:r w:rsidRPr="00445175">
        <w:rPr>
          <w:rFonts w:ascii="Abo-thar" w:hAnsi="Abo-thar" w:cs="KFGQPC Uthman Taha Naskh"/>
          <w:sz w:val="28"/>
          <w:rtl/>
          <w:lang w:bidi="ar-SY"/>
        </w:rPr>
        <w:t xml:space="preserve"> فإن</w:t>
      </w:r>
      <w:r w:rsidRPr="00445175">
        <w:rPr>
          <w:rFonts w:ascii="Abo-thar" w:hAnsi="Abo-thar" w:cs="KFGQPC Uthman Taha Naskh" w:hint="cs"/>
          <w:sz w:val="28"/>
          <w:rtl/>
          <w:lang w:bidi="ar-SY"/>
        </w:rPr>
        <w:t>َّ</w:t>
      </w:r>
      <w:r w:rsidRPr="00445175">
        <w:rPr>
          <w:rFonts w:ascii="Abo-thar" w:hAnsi="Abo-thar" w:cs="KFGQPC Uthman Taha Naskh"/>
          <w:sz w:val="28"/>
          <w:rtl/>
          <w:lang w:bidi="ar-SY"/>
        </w:rPr>
        <w:t xml:space="preserve"> له أمان الله ومحمد بن عبد الله</w:t>
      </w:r>
      <w:r w:rsidR="00217AB4" w:rsidRPr="00445175">
        <w:rPr>
          <w:rFonts w:ascii="Abo-thar" w:hAnsi="Abo-thar" w:cs="KFGQPC Uthman Taha Naskh" w:hint="cs"/>
          <w:sz w:val="28"/>
          <w:rtl/>
          <w:lang w:bidi="ar-SY"/>
        </w:rPr>
        <w:t>..</w:t>
      </w:r>
      <w:r w:rsidR="00EF2588" w:rsidRPr="00445175">
        <w:rPr>
          <w:rFonts w:ascii="Abo-thar" w:hAnsi="Abo-thar" w:cs="KFGQPC Uthman Taha Naskh" w:hint="cs"/>
          <w:sz w:val="28"/>
          <w:rtl/>
          <w:lang w:bidi="ar-SY"/>
        </w:rPr>
        <w:t>»</w:t>
      </w:r>
      <w:r w:rsidR="00217AB4" w:rsidRPr="00445175">
        <w:rPr>
          <w:rFonts w:ascii="Abo-thar" w:hAnsi="Abo-thar" w:hint="cs"/>
          <w:sz w:val="28"/>
          <w:rtl/>
          <w:lang w:bidi="ar-SY"/>
        </w:rPr>
        <w:t>.</w:t>
      </w:r>
    </w:p>
    <w:p w:rsidR="005C664D" w:rsidRPr="003F3B94" w:rsidRDefault="005C664D" w:rsidP="00445175">
      <w:pPr>
        <w:pStyle w:val="a0"/>
        <w:ind w:left="624" w:hanging="340"/>
        <w:rPr>
          <w:rFonts w:hint="cs"/>
          <w:rtl/>
          <w:lang w:bidi="ar-SY"/>
        </w:rPr>
      </w:pPr>
      <w:r w:rsidRPr="003F3B94">
        <w:rPr>
          <w:rFonts w:ascii="Abo-thar" w:hAnsi="Abo-thar" w:hint="cs"/>
          <w:sz w:val="28"/>
          <w:rtl/>
          <w:lang w:bidi="ar-SY"/>
        </w:rPr>
        <w:t>ج</w:t>
      </w:r>
      <w:r w:rsidR="00217AB4" w:rsidRPr="003F3B94">
        <w:rPr>
          <w:rFonts w:ascii="Abo-thar" w:hAnsi="Abo-thar" w:hint="cs"/>
          <w:sz w:val="28"/>
          <w:rtl/>
          <w:lang w:bidi="ar-SY"/>
        </w:rPr>
        <w:t>-</w:t>
      </w:r>
      <w:r w:rsidRPr="003F3B94">
        <w:rPr>
          <w:rFonts w:ascii="Abo-thar" w:hAnsi="Abo-thar" w:hint="cs"/>
          <w:sz w:val="28"/>
          <w:rtl/>
          <w:lang w:bidi="ar-SY"/>
        </w:rPr>
        <w:t xml:space="preserve"> و</w:t>
      </w:r>
      <w:r w:rsidR="000868AA" w:rsidRPr="003F3B94">
        <w:rPr>
          <w:rFonts w:ascii="Abo-thar" w:hAnsi="Abo-thar" w:hint="cs"/>
          <w:sz w:val="28"/>
          <w:rtl/>
          <w:lang w:bidi="ar-SY"/>
        </w:rPr>
        <w:t xml:space="preserve">جاء </w:t>
      </w:r>
      <w:r w:rsidRPr="003F3B94">
        <w:rPr>
          <w:rFonts w:ascii="Abo-thar" w:hAnsi="Abo-thar" w:hint="cs"/>
          <w:sz w:val="28"/>
          <w:rtl/>
          <w:lang w:bidi="ar-SY"/>
        </w:rPr>
        <w:t xml:space="preserve">كذلك </w:t>
      </w:r>
      <w:r w:rsidR="000868AA" w:rsidRPr="003F3B94">
        <w:rPr>
          <w:rFonts w:ascii="Abo-thar" w:hAnsi="Abo-thar" w:hint="cs"/>
          <w:sz w:val="28"/>
          <w:rtl/>
          <w:lang w:bidi="ar-SY"/>
        </w:rPr>
        <w:t>في الكتاب الذي</w:t>
      </w:r>
      <w:r w:rsidRPr="003F3B94">
        <w:rPr>
          <w:rFonts w:ascii="Abo-thar" w:hAnsi="Abo-thar" w:hint="cs"/>
          <w:sz w:val="28"/>
          <w:rtl/>
          <w:lang w:bidi="ar-SY"/>
        </w:rPr>
        <w:t xml:space="preserve"> </w:t>
      </w:r>
      <w:r w:rsidRPr="003F3B94">
        <w:rPr>
          <w:rFonts w:ascii="Abo-thar" w:hAnsi="Abo-thar"/>
          <w:sz w:val="28"/>
          <w:rtl/>
          <w:lang w:bidi="ar-SY"/>
        </w:rPr>
        <w:t>كتب</w:t>
      </w:r>
      <w:r w:rsidR="000868AA" w:rsidRPr="003F3B94">
        <w:rPr>
          <w:rFonts w:ascii="Abo-thar" w:hAnsi="Abo-thar" w:hint="cs"/>
          <w:sz w:val="28"/>
          <w:rtl/>
          <w:lang w:bidi="ar-SY"/>
        </w:rPr>
        <w:t>ه</w:t>
      </w:r>
      <w:r w:rsidRPr="003F3B94">
        <w:rPr>
          <w:rFonts w:ascii="Abo-thar" w:hAnsi="Abo-thar"/>
          <w:sz w:val="28"/>
          <w:rtl/>
          <w:lang w:bidi="ar-SY"/>
        </w:rPr>
        <w:t xml:space="preserve"> </w:t>
      </w:r>
      <w:r w:rsidRPr="003F3B94">
        <w:rPr>
          <w:rFonts w:ascii="Abo-thar" w:hAnsi="Abo-thar" w:hint="cs"/>
          <w:sz w:val="28"/>
          <w:rtl/>
          <w:lang w:bidi="ar-SY"/>
        </w:rPr>
        <w:t>رسول الله</w:t>
      </w:r>
      <w:r w:rsidR="00147857" w:rsidRPr="003F3B94">
        <w:rPr>
          <w:rFonts w:ascii="Abo-thar" w:hAnsi="Abo-thar" w:hint="cs"/>
          <w:sz w:val="28"/>
          <w:rtl/>
          <w:lang w:bidi="ar-SY"/>
        </w:rPr>
        <w:t xml:space="preserve"> </w:t>
      </w:r>
      <w:r w:rsidR="003C7AEB" w:rsidRPr="003C7AEB">
        <w:rPr>
          <w:rFonts w:ascii="Abo-thar" w:hAnsi="Abo-thar" w:cs="CTraditional Arabic"/>
          <w:sz w:val="28"/>
          <w:rtl/>
          <w:lang w:bidi="ar-SY"/>
        </w:rPr>
        <w:t>ص</w:t>
      </w:r>
      <w:r w:rsidRPr="003F3B94">
        <w:rPr>
          <w:rFonts w:ascii="Abo-thar" w:hAnsi="Abo-thar" w:hint="cs"/>
          <w:sz w:val="28"/>
          <w:rtl/>
          <w:lang w:bidi="ar-SY"/>
        </w:rPr>
        <w:t xml:space="preserve"> </w:t>
      </w:r>
      <w:r w:rsidRPr="003F3B94">
        <w:rPr>
          <w:rFonts w:ascii="Abo-thar" w:hAnsi="Abo-thar"/>
          <w:sz w:val="28"/>
          <w:rtl/>
          <w:lang w:bidi="ar-SY"/>
        </w:rPr>
        <w:t>إلى أهل اليمن</w:t>
      </w:r>
      <w:r w:rsidR="00217AB4" w:rsidRPr="003F3B94">
        <w:rPr>
          <w:rFonts w:ascii="Abo-thar" w:hAnsi="Abo-thar"/>
          <w:sz w:val="28"/>
          <w:rtl/>
          <w:lang w:bidi="ar-SY"/>
        </w:rPr>
        <w:t>:</w:t>
      </w:r>
      <w:r w:rsidR="000868AA" w:rsidRPr="003F3B94">
        <w:rPr>
          <w:rFonts w:ascii="Abo-thar" w:hAnsi="Abo-thar" w:hint="cs"/>
          <w:sz w:val="28"/>
          <w:rtl/>
          <w:lang w:bidi="ar-SY"/>
        </w:rPr>
        <w:t xml:space="preserve"> </w:t>
      </w:r>
      <w:r w:rsidR="000868AA" w:rsidRPr="00CE7623">
        <w:rPr>
          <w:rFonts w:ascii="Abo-thar" w:hAnsi="Abo-thar" w:cs="KFGQPC Uthman Taha Naskh" w:hint="cs"/>
          <w:sz w:val="28"/>
          <w:rtl/>
          <w:lang w:bidi="ar-SY"/>
        </w:rPr>
        <w:t>«</w:t>
      </w:r>
      <w:r w:rsidR="00217AB4" w:rsidRPr="00CE7623">
        <w:rPr>
          <w:rFonts w:ascii="Abo-thar" w:hAnsi="Abo-thar" w:cs="KFGQPC Uthman Taha Naskh"/>
          <w:sz w:val="28"/>
          <w:rtl/>
          <w:lang w:bidi="ar-SY"/>
        </w:rPr>
        <w:t>.</w:t>
      </w:r>
      <w:r w:rsidR="00217AB4" w:rsidRPr="00CE7623">
        <w:rPr>
          <w:rFonts w:ascii="Abo-thar" w:hAnsi="Abo-thar" w:cs="KFGQPC Uthman Taha Naskh" w:hint="cs"/>
          <w:sz w:val="28"/>
          <w:rtl/>
          <w:lang w:bidi="ar-SY"/>
        </w:rPr>
        <w:t>..</w:t>
      </w:r>
      <w:r w:rsidRPr="00CE7623">
        <w:rPr>
          <w:rFonts w:ascii="Abo-thar" w:hAnsi="Abo-thar" w:cs="KFGQPC Uthman Taha Naskh"/>
          <w:sz w:val="28"/>
          <w:rtl/>
          <w:lang w:bidi="ar-SY"/>
        </w:rPr>
        <w:t xml:space="preserve"> وأن الله قد هداكم أن أصلحتم وأطعتم الله وأطعتم رسوله</w:t>
      </w:r>
      <w:r w:rsidR="00217AB4" w:rsidRPr="00CE7623">
        <w:rPr>
          <w:rFonts w:ascii="Abo-thar" w:hAnsi="Abo-thar" w:cs="KFGQPC Uthman Taha Naskh"/>
          <w:sz w:val="28"/>
          <w:rtl/>
          <w:lang w:bidi="ar-SY"/>
        </w:rPr>
        <w:t>.</w:t>
      </w:r>
      <w:r w:rsidR="00217AB4" w:rsidRPr="00CE7623">
        <w:rPr>
          <w:rFonts w:ascii="Abo-thar" w:hAnsi="Abo-thar" w:cs="KFGQPC Uthman Taha Naskh" w:hint="cs"/>
          <w:sz w:val="28"/>
          <w:rtl/>
          <w:lang w:bidi="ar-SY"/>
        </w:rPr>
        <w:t>.</w:t>
      </w:r>
      <w:r w:rsidRPr="00CE7623">
        <w:rPr>
          <w:rFonts w:ascii="Abo-thar" w:hAnsi="Abo-thar" w:cs="KFGQPC Uthman Taha Naskh"/>
          <w:sz w:val="28"/>
          <w:rtl/>
          <w:lang w:bidi="ar-SY"/>
        </w:rPr>
        <w:t xml:space="preserve"> </w:t>
      </w:r>
      <w:r w:rsidRPr="00CE7623">
        <w:rPr>
          <w:rFonts w:ascii="Abo-thar" w:hAnsi="Abo-thar" w:cs="KFGQPC Uthman Taha Naskh"/>
          <w:b/>
          <w:bCs/>
          <w:sz w:val="28"/>
          <w:rtl/>
          <w:lang w:bidi="ar-SY"/>
        </w:rPr>
        <w:t>وَأَعْطَيْتُمْ مِنْ المَغَانِمِ خُمُسَ اللهِ</w:t>
      </w:r>
      <w:r w:rsidRPr="00CE7623">
        <w:rPr>
          <w:rFonts w:ascii="Abo-thar" w:hAnsi="Abo-thar" w:cs="KFGQPC Uthman Taha Naskh"/>
          <w:sz w:val="28"/>
          <w:rtl/>
          <w:lang w:bidi="ar-SY"/>
        </w:rPr>
        <w:t xml:space="preserve"> و</w:t>
      </w:r>
      <w:r w:rsidRPr="00CE7623">
        <w:rPr>
          <w:rFonts w:ascii="Abo-thar" w:hAnsi="Abo-thar" w:cs="KFGQPC Uthman Taha Naskh" w:hint="cs"/>
          <w:sz w:val="28"/>
          <w:rtl/>
          <w:lang w:bidi="ar-SY"/>
        </w:rPr>
        <w:t>َ</w:t>
      </w:r>
      <w:r w:rsidRPr="00CE7623">
        <w:rPr>
          <w:rFonts w:ascii="Abo-thar" w:hAnsi="Abo-thar" w:cs="KFGQPC Uthman Taha Naskh"/>
          <w:sz w:val="28"/>
          <w:rtl/>
          <w:lang w:bidi="ar-SY"/>
        </w:rPr>
        <w:t>س</w:t>
      </w:r>
      <w:r w:rsidRPr="00CE7623">
        <w:rPr>
          <w:rFonts w:ascii="Abo-thar" w:hAnsi="Abo-thar" w:cs="KFGQPC Uthman Taha Naskh" w:hint="cs"/>
          <w:sz w:val="28"/>
          <w:rtl/>
          <w:lang w:bidi="ar-SY"/>
        </w:rPr>
        <w:t>َ</w:t>
      </w:r>
      <w:r w:rsidRPr="00CE7623">
        <w:rPr>
          <w:rFonts w:ascii="Abo-thar" w:hAnsi="Abo-thar" w:cs="KFGQPC Uthman Taha Naskh"/>
          <w:sz w:val="28"/>
          <w:rtl/>
          <w:lang w:bidi="ar-SY"/>
        </w:rPr>
        <w:t>ه</w:t>
      </w:r>
      <w:r w:rsidRPr="00CE7623">
        <w:rPr>
          <w:rFonts w:ascii="Abo-thar" w:hAnsi="Abo-thar" w:cs="KFGQPC Uthman Taha Naskh" w:hint="cs"/>
          <w:sz w:val="28"/>
          <w:rtl/>
          <w:lang w:bidi="ar-SY"/>
        </w:rPr>
        <w:t>ْ</w:t>
      </w:r>
      <w:r w:rsidRPr="00CE7623">
        <w:rPr>
          <w:rFonts w:ascii="Abo-thar" w:hAnsi="Abo-thar" w:cs="KFGQPC Uthman Taha Naskh"/>
          <w:sz w:val="28"/>
          <w:rtl/>
          <w:lang w:bidi="ar-SY"/>
        </w:rPr>
        <w:t>م</w:t>
      </w:r>
      <w:r w:rsidRPr="00CE7623">
        <w:rPr>
          <w:rFonts w:ascii="Abo-thar" w:hAnsi="Abo-thar" w:cs="KFGQPC Uthman Taha Naskh" w:hint="cs"/>
          <w:sz w:val="28"/>
          <w:rtl/>
          <w:lang w:bidi="ar-SY"/>
        </w:rPr>
        <w:t>َ</w:t>
      </w:r>
      <w:r w:rsidRPr="00CE7623">
        <w:rPr>
          <w:rFonts w:ascii="Abo-thar" w:hAnsi="Abo-thar" w:cs="KFGQPC Uthman Taha Naskh"/>
          <w:sz w:val="28"/>
          <w:rtl/>
          <w:lang w:bidi="ar-SY"/>
        </w:rPr>
        <w:t xml:space="preserve"> النبي</w:t>
      </w:r>
      <w:r w:rsidRPr="00CE7623">
        <w:rPr>
          <w:rFonts w:ascii="Abo-thar" w:hAnsi="Abo-thar" w:cs="KFGQPC Uthman Taha Naskh" w:hint="cs"/>
          <w:sz w:val="28"/>
          <w:rtl/>
          <w:lang w:bidi="ar-SY"/>
        </w:rPr>
        <w:t>ِّ</w:t>
      </w:r>
      <w:r w:rsidRPr="00CE7623">
        <w:rPr>
          <w:rFonts w:ascii="Abo-thar" w:hAnsi="Abo-thar" w:cs="KFGQPC Uthman Taha Naskh"/>
          <w:sz w:val="28"/>
          <w:rtl/>
          <w:lang w:bidi="ar-SY"/>
        </w:rPr>
        <w:t xml:space="preserve"> والصفي</w:t>
      </w:r>
      <w:r w:rsidRPr="00CE7623">
        <w:rPr>
          <w:rFonts w:ascii="Abo-thar" w:hAnsi="Abo-thar" w:cs="KFGQPC Uthman Taha Naskh" w:hint="cs"/>
          <w:sz w:val="28"/>
          <w:rtl/>
          <w:lang w:bidi="ar-SY"/>
        </w:rPr>
        <w:t>َّ</w:t>
      </w:r>
      <w:r w:rsidR="00217AB4" w:rsidRPr="00CE7623">
        <w:rPr>
          <w:rFonts w:ascii="Abo-thar" w:hAnsi="Abo-thar" w:cs="KFGQPC Uthman Taha Naskh"/>
          <w:sz w:val="28"/>
          <w:rtl/>
          <w:lang w:bidi="ar-SY"/>
        </w:rPr>
        <w:t>.</w:t>
      </w:r>
      <w:r w:rsidR="00217AB4" w:rsidRPr="00CE7623">
        <w:rPr>
          <w:rFonts w:ascii="Abo-thar" w:hAnsi="Abo-thar" w:cs="KFGQPC Uthman Taha Naskh" w:hint="cs"/>
          <w:sz w:val="28"/>
          <w:rtl/>
          <w:lang w:bidi="ar-SY"/>
        </w:rPr>
        <w:t>.</w:t>
      </w:r>
      <w:r w:rsidR="00EF2588" w:rsidRPr="00CE7623">
        <w:rPr>
          <w:rFonts w:ascii="Abo-thar" w:hAnsi="Abo-thar" w:cs="KFGQPC Uthman Taha Naskh" w:hint="cs"/>
          <w:sz w:val="28"/>
          <w:rtl/>
          <w:lang w:bidi="ar-SY"/>
        </w:rPr>
        <w:t>»</w:t>
      </w:r>
      <w:r w:rsidR="000868AA" w:rsidRPr="0021507A">
        <w:rPr>
          <w:rFonts w:ascii="Abo-thar" w:hAnsi="Abo-thar" w:cs="Arabic11 BT"/>
          <w:sz w:val="28"/>
          <w:vertAlign w:val="superscript"/>
          <w:rtl/>
          <w:lang w:bidi="ar-SY"/>
        </w:rPr>
        <w:t>(</w:t>
      </w:r>
      <w:r w:rsidR="000868AA" w:rsidRPr="0021507A">
        <w:rPr>
          <w:rStyle w:val="FootnoteReference"/>
          <w:rFonts w:ascii="Abo-thar" w:hAnsi="Abo-thar" w:cs="Arabic11 BT"/>
          <w:sz w:val="28"/>
          <w:rtl/>
          <w:lang w:bidi="ar-SY"/>
        </w:rPr>
        <w:footnoteReference w:id="48"/>
      </w:r>
      <w:r w:rsidR="000868AA" w:rsidRPr="0021507A">
        <w:rPr>
          <w:rFonts w:ascii="Abo-thar" w:hAnsi="Abo-thar" w:cs="Arabic11 BT"/>
          <w:sz w:val="28"/>
          <w:vertAlign w:val="superscript"/>
          <w:rtl/>
          <w:lang w:bidi="ar-SY"/>
        </w:rPr>
        <w:t>)</w:t>
      </w:r>
      <w:r w:rsidR="00217AB4" w:rsidRPr="003F3B94">
        <w:rPr>
          <w:rFonts w:ascii="Abo-thar" w:hAnsi="Abo-thar" w:hint="cs"/>
          <w:sz w:val="28"/>
          <w:rtl/>
          <w:lang w:bidi="ar-SY"/>
        </w:rPr>
        <w:t>.</w:t>
      </w:r>
      <w:r w:rsidRPr="003F3B94">
        <w:rPr>
          <w:rFonts w:ascii="Abo-thar" w:hAnsi="Abo-thar" w:hint="cs"/>
          <w:sz w:val="28"/>
          <w:rtl/>
          <w:lang w:bidi="ar-SY"/>
        </w:rPr>
        <w:t xml:space="preserve"> </w:t>
      </w:r>
    </w:p>
    <w:p w:rsidR="005C664D" w:rsidRPr="003F3B94" w:rsidRDefault="005C664D" w:rsidP="00445175">
      <w:pPr>
        <w:pStyle w:val="a0"/>
        <w:ind w:left="624" w:hanging="340"/>
        <w:rPr>
          <w:rFonts w:hint="cs"/>
          <w:rtl/>
          <w:lang w:bidi="ar-SY"/>
        </w:rPr>
      </w:pPr>
      <w:r w:rsidRPr="003F3B94">
        <w:rPr>
          <w:rFonts w:ascii="Abo-thar" w:hAnsi="Abo-thar" w:hint="cs"/>
          <w:sz w:val="28"/>
          <w:rtl/>
          <w:lang w:bidi="ar-SY"/>
        </w:rPr>
        <w:t>د</w:t>
      </w:r>
      <w:r w:rsidR="00217AB4" w:rsidRPr="003F3B94">
        <w:rPr>
          <w:rFonts w:ascii="Abo-thar" w:hAnsi="Abo-thar" w:hint="cs"/>
          <w:sz w:val="28"/>
          <w:rtl/>
          <w:lang w:bidi="ar-SY"/>
        </w:rPr>
        <w:t>-</w:t>
      </w:r>
      <w:r w:rsidRPr="003F3B94">
        <w:rPr>
          <w:rFonts w:ascii="Abo-thar" w:hAnsi="Abo-thar" w:hint="cs"/>
          <w:sz w:val="28"/>
          <w:rtl/>
          <w:lang w:bidi="ar-SY"/>
        </w:rPr>
        <w:t xml:space="preserve"> وفي الرسالة التي كتبها خاتم النبيين</w:t>
      </w:r>
      <w:r w:rsidR="00147857" w:rsidRPr="003F3B94">
        <w:rPr>
          <w:rFonts w:ascii="Abo-thar" w:hAnsi="Abo-thar" w:hint="cs"/>
          <w:sz w:val="28"/>
          <w:rtl/>
          <w:lang w:bidi="ar-SY"/>
        </w:rPr>
        <w:t xml:space="preserve"> </w:t>
      </w:r>
      <w:r w:rsidR="003C7AEB" w:rsidRPr="003C7AEB">
        <w:rPr>
          <w:rFonts w:ascii="Abo-thar" w:hAnsi="Abo-thar" w:cs="CTraditional Arabic"/>
          <w:sz w:val="28"/>
          <w:rtl/>
          <w:lang w:bidi="ar-SY"/>
        </w:rPr>
        <w:t>ص</w:t>
      </w:r>
      <w:r w:rsidR="00147857" w:rsidRPr="003F3B94">
        <w:rPr>
          <w:rFonts w:ascii="Abo-thar" w:hAnsi="Abo-thar"/>
          <w:sz w:val="28"/>
          <w:rtl/>
          <w:lang w:bidi="ar-SY"/>
        </w:rPr>
        <w:t xml:space="preserve"> </w:t>
      </w:r>
      <w:r w:rsidRPr="003F3B94">
        <w:rPr>
          <w:rFonts w:ascii="Abo-thar" w:hAnsi="Abo-thar" w:hint="cs"/>
          <w:sz w:val="28"/>
          <w:rtl/>
          <w:lang w:bidi="ar-SY"/>
        </w:rPr>
        <w:t xml:space="preserve">إلى </w:t>
      </w:r>
      <w:r w:rsidRPr="003F3B94">
        <w:rPr>
          <w:rFonts w:ascii="Abo-thar" w:hAnsi="Abo-thar" w:hint="eastAsia"/>
          <w:sz w:val="28"/>
          <w:rtl/>
          <w:lang w:bidi="ar-SY"/>
        </w:rPr>
        <w:t>«</w:t>
      </w:r>
      <w:r w:rsidRPr="003F3B94">
        <w:rPr>
          <w:rFonts w:ascii="Abo-thar" w:hAnsi="Abo-thar" w:hint="cs"/>
          <w:sz w:val="28"/>
          <w:rtl/>
          <w:lang w:bidi="ar-SY"/>
        </w:rPr>
        <w:t>نهشل بن مالك الوائلي</w:t>
      </w:r>
      <w:r w:rsidRPr="003F3B94">
        <w:rPr>
          <w:rFonts w:ascii="Abo-thar" w:hAnsi="Abo-thar" w:hint="eastAsia"/>
          <w:sz w:val="28"/>
          <w:rtl/>
          <w:lang w:bidi="ar-SY"/>
        </w:rPr>
        <w:t>»</w:t>
      </w:r>
      <w:r w:rsidR="00217AB4" w:rsidRPr="003F3B94">
        <w:rPr>
          <w:rFonts w:ascii="Abo-thar" w:hAnsi="Abo-thar" w:hint="cs"/>
          <w:sz w:val="28"/>
          <w:rtl/>
          <w:lang w:bidi="ar-SY"/>
        </w:rPr>
        <w:t>:</w:t>
      </w:r>
      <w:r w:rsidRPr="003F3B94">
        <w:rPr>
          <w:rFonts w:ascii="Abo-thar" w:hAnsi="Abo-thar" w:hint="cs"/>
          <w:sz w:val="28"/>
          <w:rtl/>
          <w:lang w:bidi="ar-SY"/>
        </w:rPr>
        <w:t xml:space="preserve"> </w:t>
      </w:r>
      <w:r w:rsidR="00EF2588" w:rsidRPr="00CE7623">
        <w:rPr>
          <w:rFonts w:ascii="Abo-thar" w:hAnsi="Abo-thar" w:cs="KFGQPC Uthman Taha Naskh" w:hint="cs"/>
          <w:sz w:val="28"/>
          <w:rtl/>
          <w:lang w:bidi="ar-SY"/>
        </w:rPr>
        <w:t>«</w:t>
      </w:r>
      <w:r w:rsidRPr="00CE7623">
        <w:rPr>
          <w:rFonts w:ascii="Abo-thar" w:hAnsi="Abo-thar" w:cs="KFGQPC Uthman Taha Naskh"/>
          <w:sz w:val="28"/>
          <w:rtl/>
          <w:lang w:bidi="ar-SY"/>
        </w:rPr>
        <w:t xml:space="preserve">باسمك اللهم هذا كتاب من محمد رسول الله لنهشل بن مالكٍ ومن معه من بنيٍ وائل لمن أسلم وأقام الصلاة وآتى الزكاة وأطاع الله </w:t>
      </w:r>
      <w:r w:rsidRPr="00CE7623">
        <w:rPr>
          <w:rFonts w:ascii="Abo-thar" w:hAnsi="Abo-thar" w:cs="KFGQPC Uthman Taha Naskh"/>
          <w:b/>
          <w:bCs/>
          <w:sz w:val="28"/>
          <w:rtl/>
          <w:lang w:bidi="ar-SY"/>
        </w:rPr>
        <w:t>ورسوله و</w:t>
      </w:r>
      <w:r w:rsidRPr="00CE7623">
        <w:rPr>
          <w:rFonts w:ascii="Abo-thar" w:hAnsi="Abo-thar" w:cs="KFGQPC Uthman Taha Naskh" w:hint="cs"/>
          <w:b/>
          <w:bCs/>
          <w:sz w:val="28"/>
          <w:rtl/>
          <w:lang w:bidi="ar-SY"/>
        </w:rPr>
        <w:t>َ</w:t>
      </w:r>
      <w:r w:rsidRPr="00CE7623">
        <w:rPr>
          <w:rFonts w:ascii="Abo-thar" w:hAnsi="Abo-thar" w:cs="KFGQPC Uthman Taha Naskh"/>
          <w:b/>
          <w:bCs/>
          <w:sz w:val="28"/>
          <w:rtl/>
          <w:lang w:bidi="ar-SY"/>
        </w:rPr>
        <w:t>أ</w:t>
      </w:r>
      <w:r w:rsidRPr="00CE7623">
        <w:rPr>
          <w:rFonts w:ascii="Abo-thar" w:hAnsi="Abo-thar" w:cs="KFGQPC Uthman Taha Naskh" w:hint="cs"/>
          <w:b/>
          <w:bCs/>
          <w:sz w:val="28"/>
          <w:rtl/>
          <w:lang w:bidi="ar-SY"/>
        </w:rPr>
        <w:t>َ</w:t>
      </w:r>
      <w:r w:rsidRPr="00CE7623">
        <w:rPr>
          <w:rFonts w:ascii="Abo-thar" w:hAnsi="Abo-thar" w:cs="KFGQPC Uthman Taha Naskh"/>
          <w:b/>
          <w:bCs/>
          <w:sz w:val="28"/>
          <w:rtl/>
          <w:lang w:bidi="ar-SY"/>
        </w:rPr>
        <w:t>ع</w:t>
      </w:r>
      <w:r w:rsidRPr="00CE7623">
        <w:rPr>
          <w:rFonts w:ascii="Abo-thar" w:hAnsi="Abo-thar" w:cs="KFGQPC Uthman Taha Naskh" w:hint="cs"/>
          <w:b/>
          <w:bCs/>
          <w:sz w:val="28"/>
          <w:rtl/>
          <w:lang w:bidi="ar-SY"/>
        </w:rPr>
        <w:t>ْ</w:t>
      </w:r>
      <w:r w:rsidRPr="00CE7623">
        <w:rPr>
          <w:rFonts w:ascii="Abo-thar" w:hAnsi="Abo-thar" w:cs="KFGQPC Uthman Taha Naskh"/>
          <w:b/>
          <w:bCs/>
          <w:sz w:val="28"/>
          <w:rtl/>
          <w:lang w:bidi="ar-SY"/>
        </w:rPr>
        <w:t>ط</w:t>
      </w:r>
      <w:r w:rsidRPr="00CE7623">
        <w:rPr>
          <w:rFonts w:ascii="Abo-thar" w:hAnsi="Abo-thar" w:cs="KFGQPC Uthman Taha Naskh" w:hint="cs"/>
          <w:b/>
          <w:bCs/>
          <w:sz w:val="28"/>
          <w:rtl/>
          <w:lang w:bidi="ar-SY"/>
        </w:rPr>
        <w:t>َ</w:t>
      </w:r>
      <w:r w:rsidRPr="00CE7623">
        <w:rPr>
          <w:rFonts w:ascii="Abo-thar" w:hAnsi="Abo-thar" w:cs="KFGQPC Uthman Taha Naskh"/>
          <w:b/>
          <w:bCs/>
          <w:sz w:val="28"/>
          <w:rtl/>
          <w:lang w:bidi="ar-SY"/>
        </w:rPr>
        <w:t>ى مِنْ المَغَانِمِ خُمُسَ اللهِ</w:t>
      </w:r>
      <w:r w:rsidRPr="00CE7623">
        <w:rPr>
          <w:rFonts w:ascii="Abo-thar" w:hAnsi="Abo-thar" w:cs="KFGQPC Uthman Taha Naskh"/>
          <w:sz w:val="28"/>
          <w:rtl/>
          <w:lang w:bidi="ar-SY"/>
        </w:rPr>
        <w:t xml:space="preserve"> وسهم النبي</w:t>
      </w:r>
      <w:r w:rsidR="00217AB4" w:rsidRPr="00CE7623">
        <w:rPr>
          <w:rFonts w:ascii="Abo-thar" w:hAnsi="Abo-thar" w:cs="KFGQPC Uthman Taha Naskh" w:hint="cs"/>
          <w:sz w:val="28"/>
          <w:rtl/>
          <w:lang w:bidi="ar-SY"/>
        </w:rPr>
        <w:t>..</w:t>
      </w:r>
      <w:r w:rsidR="00EF2588" w:rsidRPr="00CE7623">
        <w:rPr>
          <w:rFonts w:ascii="Abo-thar" w:hAnsi="Abo-thar" w:cs="KFGQPC Uthman Taha Naskh" w:hint="cs"/>
          <w:sz w:val="28"/>
          <w:rtl/>
          <w:lang w:bidi="ar-SY"/>
        </w:rPr>
        <w:t>»</w:t>
      </w:r>
      <w:r w:rsidR="00217AB4" w:rsidRPr="003F3B94">
        <w:rPr>
          <w:rFonts w:ascii="Abo-thar" w:hAnsi="Abo-thar" w:hint="cs"/>
          <w:sz w:val="28"/>
          <w:rtl/>
          <w:lang w:bidi="ar-SY"/>
        </w:rPr>
        <w:t>.</w:t>
      </w:r>
    </w:p>
    <w:p w:rsidR="005C664D" w:rsidRPr="003F3B94" w:rsidRDefault="005C664D" w:rsidP="00445175">
      <w:pPr>
        <w:pStyle w:val="a0"/>
        <w:ind w:left="624" w:hanging="340"/>
        <w:rPr>
          <w:rFonts w:hint="cs"/>
          <w:rtl/>
          <w:lang w:bidi="ar-SY"/>
        </w:rPr>
      </w:pPr>
      <w:r w:rsidRPr="003F3B94">
        <w:rPr>
          <w:rFonts w:ascii="Abo-thar" w:hAnsi="Abo-thar" w:hint="cs"/>
          <w:sz w:val="28"/>
          <w:rtl/>
          <w:lang w:bidi="ar-SY"/>
        </w:rPr>
        <w:t>هـ</w:t>
      </w:r>
      <w:r w:rsidR="00217AB4" w:rsidRPr="003F3B94">
        <w:rPr>
          <w:rFonts w:ascii="Abo-thar" w:hAnsi="Abo-thar" w:hint="cs"/>
          <w:sz w:val="28"/>
          <w:rtl/>
          <w:lang w:bidi="ar-SY"/>
        </w:rPr>
        <w:t>-</w:t>
      </w:r>
      <w:r w:rsidRPr="003F3B94">
        <w:rPr>
          <w:rFonts w:ascii="Abo-thar" w:hAnsi="Abo-thar" w:hint="cs"/>
          <w:sz w:val="28"/>
          <w:rtl/>
          <w:lang w:bidi="ar-SY"/>
        </w:rPr>
        <w:t xml:space="preserve"> وفي رسالة النبي</w:t>
      </w:r>
      <w:r w:rsidR="00147857" w:rsidRPr="003F3B94">
        <w:rPr>
          <w:rFonts w:ascii="Abo-thar" w:hAnsi="Abo-thar" w:hint="cs"/>
          <w:sz w:val="28"/>
          <w:rtl/>
          <w:lang w:bidi="ar-SY"/>
        </w:rPr>
        <w:t xml:space="preserve"> </w:t>
      </w:r>
      <w:r w:rsidR="003C7AEB" w:rsidRPr="003C7AEB">
        <w:rPr>
          <w:rFonts w:ascii="Abo-thar" w:hAnsi="Abo-thar" w:cs="CTraditional Arabic" w:hint="cs"/>
          <w:sz w:val="28"/>
          <w:rtl/>
          <w:lang w:bidi="ar-SY"/>
        </w:rPr>
        <w:t>ص</w:t>
      </w:r>
      <w:r w:rsidR="00147857" w:rsidRPr="003F3B94">
        <w:rPr>
          <w:rFonts w:ascii="Abo-thar" w:hAnsi="Abo-thar" w:hint="cs"/>
          <w:sz w:val="28"/>
          <w:rtl/>
          <w:lang w:bidi="ar-SY"/>
        </w:rPr>
        <w:t xml:space="preserve"> </w:t>
      </w:r>
      <w:r w:rsidRPr="003F3B94">
        <w:rPr>
          <w:rFonts w:ascii="Abo-thar" w:hAnsi="Abo-thar" w:hint="cs"/>
          <w:sz w:val="28"/>
          <w:rtl/>
          <w:lang w:bidi="ar-SY"/>
        </w:rPr>
        <w:t xml:space="preserve">إلى </w:t>
      </w:r>
      <w:r w:rsidRPr="003F3B94">
        <w:rPr>
          <w:rFonts w:ascii="Abo-thar" w:hAnsi="Abo-thar" w:hint="eastAsia"/>
          <w:sz w:val="28"/>
          <w:rtl/>
          <w:lang w:bidi="ar-SY"/>
        </w:rPr>
        <w:t>«</w:t>
      </w:r>
      <w:r w:rsidRPr="003F3B94">
        <w:rPr>
          <w:rFonts w:ascii="Abo-thar" w:hAnsi="Abo-thar" w:hint="cs"/>
          <w:sz w:val="28"/>
          <w:rtl/>
          <w:lang w:bidi="ar-SY"/>
        </w:rPr>
        <w:t>جنادة الأسدي</w:t>
      </w:r>
      <w:r w:rsidRPr="003F3B94">
        <w:rPr>
          <w:rFonts w:ascii="Abo-thar" w:hAnsi="Abo-thar" w:hint="eastAsia"/>
          <w:sz w:val="28"/>
          <w:rtl/>
          <w:lang w:bidi="ar-SY"/>
        </w:rPr>
        <w:t>»</w:t>
      </w:r>
      <w:r w:rsidRPr="003F3B94">
        <w:rPr>
          <w:rFonts w:ascii="Abo-thar" w:hAnsi="Abo-thar" w:hint="cs"/>
          <w:sz w:val="28"/>
          <w:rtl/>
          <w:lang w:bidi="ar-SY"/>
        </w:rPr>
        <w:t xml:space="preserve"> وقومه</w:t>
      </w:r>
      <w:r w:rsidR="00217AB4" w:rsidRPr="003F3B94">
        <w:rPr>
          <w:rFonts w:ascii="Abo-thar" w:hAnsi="Abo-thar" w:hint="cs"/>
          <w:sz w:val="28"/>
          <w:rtl/>
          <w:lang w:bidi="ar-SY"/>
        </w:rPr>
        <w:t>،</w:t>
      </w:r>
      <w:r w:rsidRPr="003F3B94">
        <w:rPr>
          <w:rFonts w:ascii="Abo-thar" w:hAnsi="Abo-thar" w:hint="cs"/>
          <w:sz w:val="28"/>
          <w:rtl/>
          <w:lang w:bidi="ar-SY"/>
        </w:rPr>
        <w:t xml:space="preserve"> طبقاً لما رواه ابن سعد في الطبقات ولما ورد المتقي الهندي في </w:t>
      </w:r>
      <w:r w:rsidRPr="003F3B94">
        <w:rPr>
          <w:rFonts w:ascii="Abo-thar" w:hAnsi="Abo-thar" w:hint="eastAsia"/>
          <w:sz w:val="28"/>
          <w:rtl/>
          <w:lang w:bidi="ar-SY"/>
        </w:rPr>
        <w:t>«</w:t>
      </w:r>
      <w:r w:rsidRPr="003F3B94">
        <w:rPr>
          <w:rFonts w:ascii="Abo-thar" w:hAnsi="Abo-thar" w:hint="cs"/>
          <w:sz w:val="28"/>
          <w:rtl/>
          <w:lang w:bidi="ar-SY"/>
        </w:rPr>
        <w:t>كنز العمال</w:t>
      </w:r>
      <w:r w:rsidRPr="003F3B94">
        <w:rPr>
          <w:rFonts w:ascii="Abo-thar" w:hAnsi="Abo-thar" w:hint="eastAsia"/>
          <w:sz w:val="28"/>
          <w:rtl/>
          <w:lang w:bidi="ar-SY"/>
        </w:rPr>
        <w:t>»</w:t>
      </w:r>
      <w:r w:rsidRPr="003F3B94">
        <w:rPr>
          <w:rFonts w:ascii="Abo-thar" w:hAnsi="Abo-thar" w:hint="cs"/>
          <w:sz w:val="28"/>
          <w:rtl/>
          <w:lang w:bidi="ar-SY"/>
        </w:rPr>
        <w:t xml:space="preserve"> </w:t>
      </w:r>
      <w:r w:rsidR="00217AB4" w:rsidRPr="003F3B94">
        <w:rPr>
          <w:rFonts w:ascii="Abo-thar" w:hAnsi="Abo-thar" w:hint="cs"/>
          <w:sz w:val="28"/>
          <w:rtl/>
          <w:lang w:bidi="ar-SY"/>
        </w:rPr>
        <w:t>(</w:t>
      </w:r>
      <w:r w:rsidRPr="003F3B94">
        <w:rPr>
          <w:rFonts w:ascii="Abo-thar" w:hAnsi="Abo-thar" w:hint="cs"/>
          <w:sz w:val="28"/>
          <w:rtl/>
          <w:lang w:bidi="ar-SY"/>
        </w:rPr>
        <w:t>ج5/ص320</w:t>
      </w:r>
      <w:r w:rsidR="00217AB4" w:rsidRPr="003F3B94">
        <w:rPr>
          <w:rFonts w:ascii="Abo-thar" w:hAnsi="Abo-thar" w:hint="cs"/>
          <w:sz w:val="28"/>
          <w:rtl/>
          <w:lang w:bidi="ar-SY"/>
        </w:rPr>
        <w:t>):</w:t>
      </w:r>
      <w:r w:rsidRPr="003F3B94">
        <w:rPr>
          <w:rFonts w:ascii="Abo-thar" w:hAnsi="Abo-thar" w:hint="cs"/>
          <w:sz w:val="28"/>
          <w:rtl/>
          <w:lang w:bidi="ar-SY"/>
        </w:rPr>
        <w:t xml:space="preserve"> </w:t>
      </w:r>
      <w:r w:rsidR="00EF2588" w:rsidRPr="00CE7623">
        <w:rPr>
          <w:rFonts w:ascii="Abo-thar" w:hAnsi="Abo-thar" w:cs="KFGQPC Uthman Taha Naskh" w:hint="cs"/>
          <w:sz w:val="28"/>
          <w:rtl/>
          <w:lang w:bidi="ar-SY"/>
        </w:rPr>
        <w:t>«</w:t>
      </w:r>
      <w:r w:rsidRPr="00CE7623">
        <w:rPr>
          <w:rFonts w:ascii="Abo-thar" w:hAnsi="Abo-thar" w:cs="KFGQPC Uthman Taha Naskh" w:hint="cs"/>
          <w:b/>
          <w:bCs/>
          <w:sz w:val="28"/>
          <w:rtl/>
          <w:lang w:bidi="ar-SY"/>
        </w:rPr>
        <w:t xml:space="preserve">وأعطوا </w:t>
      </w:r>
      <w:r w:rsidRPr="00CE7623">
        <w:rPr>
          <w:rFonts w:ascii="Abo-thar" w:hAnsi="Abo-thar" w:cs="KFGQPC Uthman Taha Naskh"/>
          <w:b/>
          <w:bCs/>
          <w:sz w:val="28"/>
          <w:rtl/>
          <w:lang w:bidi="ar-SY"/>
        </w:rPr>
        <w:t>مِنْ المَغَانِمِ خُمُسَ اللهِ</w:t>
      </w:r>
      <w:r w:rsidR="00217AB4" w:rsidRPr="00CE7623">
        <w:rPr>
          <w:rFonts w:ascii="Abo-thar" w:hAnsi="Abo-thar" w:cs="KFGQPC Uthman Taha Naskh" w:hint="cs"/>
          <w:sz w:val="28"/>
          <w:rtl/>
          <w:lang w:bidi="ar-SY"/>
        </w:rPr>
        <w:t>...</w:t>
      </w:r>
      <w:r w:rsidR="00EF2588" w:rsidRPr="00CE7623">
        <w:rPr>
          <w:rFonts w:ascii="Abo-thar" w:hAnsi="Abo-thar" w:cs="KFGQPC Uthman Taha Naskh" w:hint="cs"/>
          <w:sz w:val="28"/>
          <w:rtl/>
          <w:lang w:bidi="ar-SY"/>
        </w:rPr>
        <w:t>»</w:t>
      </w:r>
      <w:r w:rsidR="00190541" w:rsidRPr="003F3B94">
        <w:rPr>
          <w:rFonts w:ascii="Abo-thar" w:hAnsi="Abo-thar"/>
          <w:sz w:val="28"/>
          <w:vertAlign w:val="superscript"/>
          <w:rtl/>
          <w:lang w:bidi="ar-SY"/>
        </w:rPr>
        <w:t xml:space="preserve"> </w:t>
      </w:r>
      <w:r w:rsidR="00190541" w:rsidRPr="0021507A">
        <w:rPr>
          <w:rFonts w:ascii="Abo-thar" w:hAnsi="Abo-thar" w:cs="Arabic11 BT"/>
          <w:sz w:val="28"/>
          <w:vertAlign w:val="superscript"/>
          <w:rtl/>
          <w:lang w:bidi="ar-SY"/>
        </w:rPr>
        <w:t>(</w:t>
      </w:r>
      <w:r w:rsidR="00190541" w:rsidRPr="0021507A">
        <w:rPr>
          <w:rStyle w:val="FootnoteReference"/>
          <w:rFonts w:ascii="Abo-thar" w:hAnsi="Abo-thar" w:cs="Arabic11 BT"/>
          <w:sz w:val="28"/>
          <w:rtl/>
          <w:lang w:bidi="ar-SY"/>
        </w:rPr>
        <w:footnoteReference w:id="49"/>
      </w:r>
      <w:r w:rsidR="00190541" w:rsidRPr="0021507A">
        <w:rPr>
          <w:rFonts w:ascii="Abo-thar" w:hAnsi="Abo-thar" w:cs="Arabic11 BT"/>
          <w:sz w:val="28"/>
          <w:vertAlign w:val="superscript"/>
          <w:rtl/>
          <w:lang w:bidi="ar-SY"/>
        </w:rPr>
        <w:t>)</w:t>
      </w:r>
      <w:r w:rsidR="00217AB4" w:rsidRPr="003F3B94">
        <w:rPr>
          <w:rFonts w:ascii="Abo-thar" w:hAnsi="Abo-thar" w:hint="cs"/>
          <w:sz w:val="28"/>
          <w:rtl/>
          <w:lang w:bidi="ar-SY"/>
        </w:rPr>
        <w:t>.</w:t>
      </w:r>
      <w:r w:rsidRPr="003F3B94">
        <w:rPr>
          <w:rFonts w:ascii="Abo-thar" w:hAnsi="Abo-thar" w:hint="cs"/>
          <w:sz w:val="28"/>
          <w:rtl/>
          <w:lang w:bidi="ar-SY"/>
        </w:rPr>
        <w:t xml:space="preserve"> </w:t>
      </w:r>
    </w:p>
    <w:p w:rsidR="005C664D" w:rsidRPr="003F3B94" w:rsidRDefault="005C664D" w:rsidP="00445175">
      <w:pPr>
        <w:pStyle w:val="a0"/>
        <w:ind w:left="624" w:hanging="340"/>
        <w:rPr>
          <w:rFonts w:hint="cs"/>
          <w:rtl/>
          <w:lang w:bidi="ar-SY"/>
        </w:rPr>
      </w:pPr>
      <w:r w:rsidRPr="003F3B94">
        <w:rPr>
          <w:rFonts w:ascii="Abo-thar" w:hAnsi="Abo-thar" w:hint="cs"/>
          <w:sz w:val="28"/>
          <w:rtl/>
          <w:lang w:bidi="ar-SY"/>
        </w:rPr>
        <w:t>و</w:t>
      </w:r>
      <w:r w:rsidR="00217AB4" w:rsidRPr="003F3B94">
        <w:rPr>
          <w:rFonts w:ascii="Abo-thar" w:hAnsi="Abo-thar" w:hint="cs"/>
          <w:sz w:val="28"/>
          <w:rtl/>
          <w:lang w:bidi="ar-SY"/>
        </w:rPr>
        <w:t>-</w:t>
      </w:r>
      <w:r w:rsidR="00234313" w:rsidRPr="003F3B94">
        <w:rPr>
          <w:rFonts w:ascii="Abo-thar" w:hAnsi="Abo-thar" w:hint="cs"/>
          <w:sz w:val="28"/>
          <w:rtl/>
          <w:lang w:bidi="ar-SY"/>
        </w:rPr>
        <w:t xml:space="preserve"> و وردت رواية أخرى أيضًا تؤكد هذا الموضوع وفيها كتب رسول الله </w:t>
      </w:r>
      <w:r w:rsidR="00234313" w:rsidRPr="003F3B94">
        <w:rPr>
          <w:rFonts w:ascii="Abo-thar" w:hAnsi="Abo-thar"/>
          <w:sz w:val="28"/>
          <w:lang w:bidi="fa-IR"/>
        </w:rPr>
        <w:t></w:t>
      </w:r>
      <w:r w:rsidR="00234313" w:rsidRPr="003F3B94">
        <w:rPr>
          <w:rFonts w:ascii="Abo-thar" w:hAnsi="Abo-thar" w:hint="cs"/>
          <w:sz w:val="28"/>
          <w:rtl/>
          <w:lang w:bidi="ar-SY"/>
        </w:rPr>
        <w:t xml:space="preserve"> يقو</w:t>
      </w:r>
      <w:r w:rsidR="00190541" w:rsidRPr="003F3B94">
        <w:rPr>
          <w:rFonts w:ascii="Abo-thar" w:hAnsi="Abo-thar" w:hint="cs"/>
          <w:sz w:val="28"/>
          <w:rtl/>
          <w:lang w:bidi="ar-SY"/>
        </w:rPr>
        <w:t>ل</w:t>
      </w:r>
      <w:r w:rsidR="00217AB4" w:rsidRPr="003F3B94">
        <w:rPr>
          <w:rFonts w:ascii="Abo-thar" w:hAnsi="Abo-thar" w:hint="cs"/>
          <w:sz w:val="28"/>
          <w:rtl/>
          <w:lang w:bidi="ar-SY"/>
        </w:rPr>
        <w:t>:</w:t>
      </w:r>
      <w:r w:rsidRPr="003F3B94">
        <w:rPr>
          <w:rFonts w:ascii="Abo-thar" w:hAnsi="Abo-thar" w:hint="cs"/>
          <w:sz w:val="28"/>
          <w:rtl/>
          <w:lang w:bidi="ar-SY"/>
        </w:rPr>
        <w:t xml:space="preserve"> </w:t>
      </w:r>
      <w:r w:rsidR="00EF2588" w:rsidRPr="00CE7623">
        <w:rPr>
          <w:rFonts w:ascii="Abo-thar" w:hAnsi="Abo-thar" w:cs="KFGQPC Uthman Taha Naskh" w:hint="cs"/>
          <w:sz w:val="28"/>
          <w:rtl/>
          <w:lang w:bidi="ar-SY"/>
        </w:rPr>
        <w:t>«</w:t>
      </w:r>
      <w:r w:rsidRPr="00CE7623">
        <w:rPr>
          <w:rFonts w:ascii="Abo-thar" w:hAnsi="Abo-thar" w:cs="KFGQPC Uthman Taha Naskh" w:hint="cs"/>
          <w:b/>
          <w:bCs/>
          <w:sz w:val="28"/>
          <w:rtl/>
          <w:lang w:bidi="ar-SY"/>
        </w:rPr>
        <w:t xml:space="preserve">وَأَعْطَيْتُمْ </w:t>
      </w:r>
      <w:r w:rsidRPr="00CE7623">
        <w:rPr>
          <w:rFonts w:ascii="Abo-thar" w:hAnsi="Abo-thar" w:cs="KFGQPC Uthman Taha Naskh"/>
          <w:b/>
          <w:bCs/>
          <w:sz w:val="28"/>
          <w:rtl/>
          <w:lang w:bidi="ar-SY"/>
        </w:rPr>
        <w:t xml:space="preserve">مِنْ المَغَانِمِ خُمُسَ </w:t>
      </w:r>
      <w:r w:rsidRPr="00CE7623">
        <w:rPr>
          <w:rFonts w:ascii="Abo-thar" w:hAnsi="Abo-thar" w:cs="KFGQPC Uthman Taha Naskh" w:hint="cs"/>
          <w:b/>
          <w:bCs/>
          <w:sz w:val="28"/>
          <w:rtl/>
          <w:lang w:bidi="ar-SY"/>
        </w:rPr>
        <w:t>اللهِ</w:t>
      </w:r>
      <w:r w:rsidR="00217AB4" w:rsidRPr="00CE7623">
        <w:rPr>
          <w:rFonts w:ascii="Abo-thar" w:hAnsi="Abo-thar" w:cs="KFGQPC Uthman Taha Naskh" w:hint="cs"/>
          <w:sz w:val="28"/>
          <w:rtl/>
          <w:lang w:bidi="ar-SY"/>
        </w:rPr>
        <w:t>...</w:t>
      </w:r>
      <w:r w:rsidR="00EF2588" w:rsidRPr="00CE7623">
        <w:rPr>
          <w:rFonts w:ascii="Abo-thar" w:hAnsi="Abo-thar" w:cs="KFGQPC Uthman Taha Naskh" w:hint="cs"/>
          <w:sz w:val="28"/>
          <w:rtl/>
          <w:lang w:bidi="ar-SY"/>
        </w:rPr>
        <w:t>»</w:t>
      </w:r>
      <w:r w:rsidR="00234313" w:rsidRPr="003F3B94">
        <w:rPr>
          <w:rFonts w:ascii="Abo-thar" w:hAnsi="Abo-thar"/>
          <w:sz w:val="28"/>
          <w:vertAlign w:val="superscript"/>
          <w:rtl/>
          <w:lang w:bidi="ar-SY"/>
        </w:rPr>
        <w:t xml:space="preserve"> </w:t>
      </w:r>
      <w:r w:rsidR="00234313" w:rsidRPr="0021507A">
        <w:rPr>
          <w:rFonts w:ascii="Abo-thar" w:hAnsi="Abo-thar" w:cs="Arabic11 BT"/>
          <w:sz w:val="28"/>
          <w:vertAlign w:val="superscript"/>
          <w:rtl/>
          <w:lang w:bidi="ar-SY"/>
        </w:rPr>
        <w:t>(</w:t>
      </w:r>
      <w:r w:rsidR="00234313" w:rsidRPr="0021507A">
        <w:rPr>
          <w:rStyle w:val="FootnoteReference"/>
          <w:rFonts w:ascii="Abo-thar" w:hAnsi="Abo-thar" w:cs="Arabic11 BT"/>
          <w:sz w:val="28"/>
          <w:rtl/>
          <w:lang w:bidi="ar-SY"/>
        </w:rPr>
        <w:footnoteReference w:id="50"/>
      </w:r>
      <w:r w:rsidR="00234313" w:rsidRPr="0021507A">
        <w:rPr>
          <w:rFonts w:ascii="Abo-thar" w:hAnsi="Abo-thar" w:cs="Arabic11 BT"/>
          <w:sz w:val="28"/>
          <w:vertAlign w:val="superscript"/>
          <w:rtl/>
          <w:lang w:bidi="ar-SY"/>
        </w:rPr>
        <w:t>)</w:t>
      </w:r>
      <w:r w:rsidR="00217AB4" w:rsidRPr="003F3B94">
        <w:rPr>
          <w:rFonts w:ascii="Abo-thar" w:hAnsi="Abo-thar" w:hint="cs"/>
          <w:sz w:val="28"/>
          <w:rtl/>
          <w:lang w:bidi="ar-SY"/>
        </w:rPr>
        <w:t>.</w:t>
      </w:r>
    </w:p>
    <w:p w:rsidR="005C664D" w:rsidRPr="003F3B94" w:rsidRDefault="005C664D" w:rsidP="00445175">
      <w:pPr>
        <w:pStyle w:val="a0"/>
        <w:ind w:left="624" w:hanging="340"/>
        <w:rPr>
          <w:rFonts w:hint="cs"/>
          <w:rtl/>
          <w:lang w:bidi="ar-SY"/>
        </w:rPr>
      </w:pPr>
      <w:r w:rsidRPr="003F3B94">
        <w:rPr>
          <w:rFonts w:ascii="Abo-thar" w:hAnsi="Abo-thar" w:hint="cs"/>
          <w:sz w:val="28"/>
          <w:rtl/>
          <w:lang w:bidi="ar-SY"/>
        </w:rPr>
        <w:t>ز</w:t>
      </w:r>
      <w:r w:rsidR="00217AB4" w:rsidRPr="003F3B94">
        <w:rPr>
          <w:rFonts w:ascii="Abo-thar" w:hAnsi="Abo-thar" w:hint="cs"/>
          <w:sz w:val="28"/>
          <w:rtl/>
          <w:lang w:bidi="ar-SY"/>
        </w:rPr>
        <w:t>-</w:t>
      </w:r>
      <w:r w:rsidRPr="003F3B94">
        <w:rPr>
          <w:rFonts w:ascii="Abo-thar" w:hAnsi="Abo-thar" w:hint="cs"/>
          <w:sz w:val="28"/>
          <w:rtl/>
          <w:lang w:bidi="ar-SY"/>
        </w:rPr>
        <w:t xml:space="preserve"> </w:t>
      </w:r>
      <w:r w:rsidR="00234313" w:rsidRPr="003F3B94">
        <w:rPr>
          <w:rFonts w:ascii="Abo-thar" w:hAnsi="Abo-thar" w:hint="cs"/>
          <w:sz w:val="28"/>
          <w:rtl/>
          <w:lang w:bidi="ar-SY"/>
        </w:rPr>
        <w:t xml:space="preserve">وجاء </w:t>
      </w:r>
      <w:r w:rsidRPr="003F3B94">
        <w:rPr>
          <w:rFonts w:ascii="Abo-thar" w:hAnsi="Abo-thar" w:hint="cs"/>
          <w:sz w:val="28"/>
          <w:rtl/>
          <w:lang w:bidi="ar-SY"/>
        </w:rPr>
        <w:t>كذلك في الرسالة التي كتبها حضرة النبي</w:t>
      </w:r>
      <w:r w:rsidR="00147857" w:rsidRPr="003F3B94">
        <w:rPr>
          <w:rFonts w:ascii="Abo-thar" w:hAnsi="Abo-thar" w:hint="cs"/>
          <w:sz w:val="28"/>
          <w:rtl/>
          <w:lang w:bidi="ar-SY"/>
        </w:rPr>
        <w:t xml:space="preserve"> </w:t>
      </w:r>
      <w:r w:rsidR="003C7AEB" w:rsidRPr="003C7AEB">
        <w:rPr>
          <w:rFonts w:ascii="Abo-thar" w:hAnsi="Abo-thar" w:cs="CTraditional Arabic" w:hint="cs"/>
          <w:sz w:val="28"/>
          <w:rtl/>
          <w:lang w:bidi="ar-SY"/>
        </w:rPr>
        <w:t>ص</w:t>
      </w:r>
      <w:r w:rsidR="00147857" w:rsidRPr="003F3B94">
        <w:rPr>
          <w:rFonts w:ascii="Abo-thar" w:hAnsi="Abo-thar" w:hint="cs"/>
          <w:sz w:val="28"/>
          <w:rtl/>
          <w:lang w:bidi="ar-SY"/>
        </w:rPr>
        <w:t xml:space="preserve"> </w:t>
      </w:r>
      <w:r w:rsidRPr="003F3B94">
        <w:rPr>
          <w:rFonts w:ascii="Abo-thar" w:hAnsi="Abo-thar" w:hint="cs"/>
          <w:sz w:val="28"/>
          <w:rtl/>
          <w:lang w:bidi="ar-SY"/>
        </w:rPr>
        <w:t xml:space="preserve">إلى </w:t>
      </w:r>
      <w:r w:rsidRPr="003F3B94">
        <w:rPr>
          <w:rFonts w:ascii="Abo-thar" w:hAnsi="Abo-thar"/>
          <w:sz w:val="28"/>
          <w:rtl/>
          <w:lang w:bidi="ar-SY"/>
        </w:rPr>
        <w:t>عَمْرِو بْنِ حَزْمٍ</w:t>
      </w:r>
      <w:r w:rsidR="00217AB4" w:rsidRPr="003F3B94">
        <w:rPr>
          <w:rFonts w:ascii="Abo-thar" w:hAnsi="Abo-thar" w:hint="cs"/>
          <w:sz w:val="28"/>
          <w:rtl/>
          <w:lang w:bidi="ar-SY"/>
        </w:rPr>
        <w:t>:</w:t>
      </w:r>
      <w:r w:rsidRPr="003F3B94">
        <w:rPr>
          <w:rFonts w:ascii="Abo-thar" w:hAnsi="Abo-thar" w:hint="cs"/>
          <w:sz w:val="28"/>
          <w:rtl/>
          <w:lang w:bidi="ar-SY"/>
        </w:rPr>
        <w:t xml:space="preserve"> </w:t>
      </w:r>
      <w:r w:rsidR="00EF2588" w:rsidRPr="00CE7623">
        <w:rPr>
          <w:rFonts w:ascii="Abo-thar" w:hAnsi="Abo-thar" w:cs="KFGQPC Uthman Taha Naskh" w:hint="cs"/>
          <w:sz w:val="28"/>
          <w:rtl/>
          <w:lang w:bidi="ar-SY"/>
        </w:rPr>
        <w:t>«</w:t>
      </w:r>
      <w:r w:rsidR="00217AB4" w:rsidRPr="00CE7623">
        <w:rPr>
          <w:rFonts w:ascii="Abo-thar" w:hAnsi="Abo-thar" w:cs="KFGQPC Uthman Taha Naskh" w:hint="cs"/>
          <w:b/>
          <w:bCs/>
          <w:sz w:val="28"/>
          <w:rtl/>
          <w:lang w:bidi="ar-SY"/>
        </w:rPr>
        <w:t>...</w:t>
      </w:r>
      <w:r w:rsidRPr="00CE7623">
        <w:rPr>
          <w:rFonts w:ascii="Abo-thar" w:hAnsi="Abo-thar" w:cs="KFGQPC Uthman Taha Naskh"/>
          <w:b/>
          <w:bCs/>
          <w:sz w:val="28"/>
          <w:rtl/>
          <w:lang w:bidi="ar-SY"/>
        </w:rPr>
        <w:t xml:space="preserve">وَأَمَرَهُ أَنْ يَأْخُذَ مِنْ المَغَانِمِ خُمُسَ </w:t>
      </w:r>
      <w:r w:rsidRPr="00CE7623">
        <w:rPr>
          <w:rFonts w:ascii="Abo-thar" w:hAnsi="Abo-thar" w:cs="KFGQPC Uthman Taha Naskh" w:hint="cs"/>
          <w:b/>
          <w:bCs/>
          <w:sz w:val="28"/>
          <w:rtl/>
          <w:lang w:bidi="ar-SY"/>
        </w:rPr>
        <w:t>اللهِ</w:t>
      </w:r>
      <w:r w:rsidR="00217AB4" w:rsidRPr="00CE7623">
        <w:rPr>
          <w:rFonts w:ascii="Abo-thar" w:hAnsi="Abo-thar" w:cs="KFGQPC Uthman Taha Naskh" w:hint="cs"/>
          <w:sz w:val="28"/>
          <w:rtl/>
          <w:lang w:bidi="ar-SY"/>
        </w:rPr>
        <w:t>...</w:t>
      </w:r>
      <w:r w:rsidR="00EF2588" w:rsidRPr="00CE7623">
        <w:rPr>
          <w:rFonts w:ascii="Abo-thar" w:hAnsi="Abo-thar" w:cs="KFGQPC Uthman Taha Naskh" w:hint="cs"/>
          <w:sz w:val="28"/>
          <w:rtl/>
          <w:lang w:bidi="ar-SY"/>
        </w:rPr>
        <w:t>»</w:t>
      </w:r>
      <w:r w:rsidR="00234313" w:rsidRPr="0021507A">
        <w:rPr>
          <w:rFonts w:ascii="Abo-thar" w:hAnsi="Abo-thar" w:cs="Arabic11 BT"/>
          <w:sz w:val="28"/>
          <w:vertAlign w:val="superscript"/>
          <w:rtl/>
          <w:lang w:bidi="ar-SY"/>
        </w:rPr>
        <w:t>(</w:t>
      </w:r>
      <w:r w:rsidR="00234313" w:rsidRPr="0021507A">
        <w:rPr>
          <w:rStyle w:val="FootnoteReference"/>
          <w:rFonts w:ascii="Abo-thar" w:hAnsi="Abo-thar" w:cs="Arabic11 BT"/>
          <w:sz w:val="28"/>
          <w:rtl/>
          <w:lang w:bidi="ar-SY"/>
        </w:rPr>
        <w:footnoteReference w:id="51"/>
      </w:r>
      <w:r w:rsidR="00234313" w:rsidRPr="0021507A">
        <w:rPr>
          <w:rFonts w:ascii="Abo-thar" w:hAnsi="Abo-thar" w:cs="Arabic11 BT"/>
          <w:sz w:val="28"/>
          <w:vertAlign w:val="superscript"/>
          <w:rtl/>
          <w:lang w:bidi="ar-SY"/>
        </w:rPr>
        <w:t>)</w:t>
      </w:r>
      <w:r w:rsidR="00217AB4" w:rsidRPr="003F3B94">
        <w:rPr>
          <w:rFonts w:ascii="Abo-thar" w:hAnsi="Abo-thar" w:hint="cs"/>
          <w:sz w:val="28"/>
          <w:rtl/>
          <w:lang w:bidi="ar-SY"/>
        </w:rPr>
        <w:t>.</w:t>
      </w:r>
    </w:p>
    <w:p w:rsidR="005C664D" w:rsidRPr="003F3B94" w:rsidRDefault="00190541" w:rsidP="003F3B94">
      <w:pPr>
        <w:pStyle w:val="a0"/>
        <w:rPr>
          <w:rFonts w:hint="cs"/>
          <w:rtl/>
          <w:lang w:bidi="ar-SY"/>
        </w:rPr>
      </w:pPr>
      <w:r w:rsidRPr="003F3B94">
        <w:rPr>
          <w:rFonts w:ascii="Abo-thar" w:hAnsi="Abo-thar" w:hint="cs"/>
          <w:sz w:val="28"/>
          <w:rtl/>
          <w:lang w:bidi="ar-SY"/>
        </w:rPr>
        <w:t xml:space="preserve">أضف إلى ذلك أنه جاء في </w:t>
      </w:r>
      <w:r w:rsidR="005C664D" w:rsidRPr="003F3B94">
        <w:rPr>
          <w:rFonts w:ascii="Abo-thar" w:hAnsi="Abo-thar" w:hint="cs"/>
          <w:sz w:val="28"/>
          <w:rtl/>
          <w:lang w:bidi="ar-SY"/>
        </w:rPr>
        <w:t>الرسالة التي كتبها رسول الله</w:t>
      </w:r>
      <w:r w:rsidR="00147857" w:rsidRPr="003F3B94">
        <w:rPr>
          <w:rFonts w:ascii="Abo-thar" w:hAnsi="Abo-thar" w:hint="cs"/>
          <w:sz w:val="28"/>
          <w:rtl/>
          <w:lang w:bidi="ar-SY"/>
        </w:rPr>
        <w:t xml:space="preserve"> </w:t>
      </w:r>
      <w:r w:rsidR="003C7AEB" w:rsidRPr="003C7AEB">
        <w:rPr>
          <w:rFonts w:ascii="Abo-thar" w:hAnsi="Abo-thar" w:cs="CTraditional Arabic" w:hint="cs"/>
          <w:sz w:val="28"/>
          <w:rtl/>
          <w:lang w:bidi="ar-SY"/>
        </w:rPr>
        <w:t>ص</w:t>
      </w:r>
      <w:r w:rsidR="00147857" w:rsidRPr="003F3B94">
        <w:rPr>
          <w:rFonts w:ascii="Abo-thar" w:hAnsi="Abo-thar" w:hint="cs"/>
          <w:sz w:val="28"/>
          <w:rtl/>
          <w:lang w:bidi="ar-SY"/>
        </w:rPr>
        <w:t xml:space="preserve"> </w:t>
      </w:r>
      <w:r w:rsidR="005C664D" w:rsidRPr="003F3B94">
        <w:rPr>
          <w:rFonts w:ascii="Abo-thar" w:hAnsi="Abo-thar" w:hint="cs"/>
          <w:sz w:val="28"/>
          <w:rtl/>
          <w:lang w:bidi="ar-SY"/>
        </w:rPr>
        <w:t>إلى بني زهر بن حبش جاءت جملة</w:t>
      </w:r>
      <w:r w:rsidR="00217AB4" w:rsidRPr="003F3B94">
        <w:rPr>
          <w:rFonts w:ascii="Abo-thar" w:hAnsi="Abo-thar" w:hint="cs"/>
          <w:sz w:val="28"/>
          <w:rtl/>
          <w:lang w:bidi="ar-SY"/>
        </w:rPr>
        <w:t>:</w:t>
      </w:r>
      <w:r w:rsidR="005C664D" w:rsidRPr="003F3B94">
        <w:rPr>
          <w:rFonts w:ascii="Abo-thar" w:hAnsi="Abo-thar" w:hint="cs"/>
          <w:sz w:val="28"/>
          <w:rtl/>
          <w:lang w:bidi="ar-SY"/>
        </w:rPr>
        <w:t xml:space="preserve"> </w:t>
      </w:r>
      <w:r w:rsidR="00EF2588" w:rsidRPr="00CE7623">
        <w:rPr>
          <w:rFonts w:ascii="Abo-thar" w:hAnsi="Abo-thar" w:cs="KFGQPC Uthman Taha Naskh" w:hint="cs"/>
          <w:sz w:val="28"/>
          <w:rtl/>
          <w:lang w:bidi="ar-SY"/>
        </w:rPr>
        <w:t>«</w:t>
      </w:r>
      <w:r w:rsidR="005C664D" w:rsidRPr="00CE7623">
        <w:rPr>
          <w:rFonts w:ascii="Abo-thar" w:hAnsi="Abo-thar" w:cs="KFGQPC Uthman Taha Naskh" w:hint="cs"/>
          <w:b/>
          <w:bCs/>
          <w:sz w:val="28"/>
          <w:rtl/>
          <w:lang w:bidi="ar-SY"/>
        </w:rPr>
        <w:t xml:space="preserve">وَأَعْطَيْتُمْ </w:t>
      </w:r>
      <w:r w:rsidR="005C664D" w:rsidRPr="00CE7623">
        <w:rPr>
          <w:rFonts w:ascii="Abo-thar" w:hAnsi="Abo-thar" w:cs="KFGQPC Uthman Taha Naskh"/>
          <w:b/>
          <w:bCs/>
          <w:sz w:val="28"/>
          <w:rtl/>
          <w:lang w:bidi="ar-SY"/>
        </w:rPr>
        <w:t xml:space="preserve">مِنْ المَغَانِمِ خُمُسَ </w:t>
      </w:r>
      <w:r w:rsidR="005C664D" w:rsidRPr="00CE7623">
        <w:rPr>
          <w:rFonts w:ascii="Abo-thar" w:hAnsi="Abo-thar" w:cs="KFGQPC Uthman Taha Naskh" w:hint="cs"/>
          <w:b/>
          <w:bCs/>
          <w:sz w:val="28"/>
          <w:rtl/>
          <w:lang w:bidi="ar-SY"/>
        </w:rPr>
        <w:t>اللهِ</w:t>
      </w:r>
      <w:r w:rsidR="00EF2588" w:rsidRPr="00CE7623">
        <w:rPr>
          <w:rFonts w:ascii="Abo-thar" w:hAnsi="Abo-thar" w:cs="KFGQPC Uthman Taha Naskh" w:hint="cs"/>
          <w:sz w:val="28"/>
          <w:rtl/>
          <w:lang w:bidi="ar-SY"/>
        </w:rPr>
        <w:t>»</w:t>
      </w:r>
      <w:r w:rsidRPr="0021507A">
        <w:rPr>
          <w:rFonts w:ascii="Abo-thar" w:hAnsi="Abo-thar" w:cs="Arabic11 BT"/>
          <w:sz w:val="28"/>
          <w:vertAlign w:val="superscript"/>
          <w:rtl/>
          <w:lang w:bidi="ar-SY"/>
        </w:rPr>
        <w:t>(</w:t>
      </w:r>
      <w:r w:rsidRPr="0021507A">
        <w:rPr>
          <w:rStyle w:val="FootnoteReference"/>
          <w:rFonts w:ascii="Abo-thar" w:hAnsi="Abo-thar" w:cs="Arabic11 BT"/>
          <w:sz w:val="28"/>
          <w:rtl/>
          <w:lang w:bidi="ar-SY"/>
        </w:rPr>
        <w:footnoteReference w:id="52"/>
      </w:r>
      <w:r w:rsidRPr="0021507A">
        <w:rPr>
          <w:rFonts w:ascii="Abo-thar" w:hAnsi="Abo-thar" w:cs="Arabic11 BT"/>
          <w:sz w:val="28"/>
          <w:vertAlign w:val="superscript"/>
          <w:rtl/>
          <w:lang w:bidi="ar-SY"/>
        </w:rPr>
        <w:t>)</w:t>
      </w:r>
      <w:r w:rsidRPr="003F3B94">
        <w:rPr>
          <w:rFonts w:ascii="Abo-thar" w:hAnsi="Abo-thar" w:hint="cs"/>
          <w:sz w:val="28"/>
          <w:rtl/>
          <w:lang w:bidi="ar-SY"/>
        </w:rPr>
        <w:t xml:space="preserve">، </w:t>
      </w:r>
      <w:r w:rsidR="005C664D" w:rsidRPr="003F3B94">
        <w:rPr>
          <w:rFonts w:ascii="Abo-thar" w:hAnsi="Abo-thar" w:hint="cs"/>
          <w:sz w:val="28"/>
          <w:rtl/>
          <w:lang w:bidi="ar-SY"/>
        </w:rPr>
        <w:t>وفي رواية أخرى في الكتاب ذاته</w:t>
      </w:r>
      <w:r w:rsidR="00217AB4" w:rsidRPr="003F3B94">
        <w:rPr>
          <w:rFonts w:ascii="Abo-thar" w:hAnsi="Abo-thar" w:hint="cs"/>
          <w:sz w:val="28"/>
          <w:rtl/>
          <w:lang w:bidi="ar-SY"/>
        </w:rPr>
        <w:t>:</w:t>
      </w:r>
      <w:r w:rsidR="005C664D" w:rsidRPr="003F3B94">
        <w:rPr>
          <w:rFonts w:ascii="Abo-thar" w:hAnsi="Abo-thar" w:hint="cs"/>
          <w:sz w:val="28"/>
          <w:rtl/>
          <w:lang w:bidi="ar-SY"/>
        </w:rPr>
        <w:t xml:space="preserve"> </w:t>
      </w:r>
      <w:r w:rsidR="00EF2588" w:rsidRPr="00CE7623">
        <w:rPr>
          <w:rFonts w:ascii="Abo-thar" w:hAnsi="Abo-thar" w:cs="KFGQPC Uthman Taha Naskh" w:hint="cs"/>
          <w:sz w:val="28"/>
          <w:rtl/>
          <w:lang w:bidi="ar-SY"/>
        </w:rPr>
        <w:t>«</w:t>
      </w:r>
      <w:r w:rsidR="005C664D" w:rsidRPr="00CE7623">
        <w:rPr>
          <w:rFonts w:ascii="Abo-thar" w:hAnsi="Abo-thar" w:cs="KFGQPC Uthman Taha Naskh" w:hint="cs"/>
          <w:b/>
          <w:bCs/>
          <w:sz w:val="28"/>
          <w:rtl/>
          <w:lang w:bidi="ar-SY"/>
        </w:rPr>
        <w:t xml:space="preserve">وَأَعْطَيْتُمْ </w:t>
      </w:r>
      <w:r w:rsidR="005C664D" w:rsidRPr="00CE7623">
        <w:rPr>
          <w:rFonts w:ascii="Abo-thar" w:hAnsi="Abo-thar" w:cs="KFGQPC Uthman Taha Naskh"/>
          <w:b/>
          <w:bCs/>
          <w:sz w:val="28"/>
          <w:rtl/>
          <w:lang w:bidi="ar-SY"/>
        </w:rPr>
        <w:t xml:space="preserve">مِنْ المَغَانِمِ خُمُسَ </w:t>
      </w:r>
      <w:r w:rsidR="005C664D" w:rsidRPr="00CE7623">
        <w:rPr>
          <w:rFonts w:ascii="Abo-thar" w:hAnsi="Abo-thar" w:cs="KFGQPC Uthman Taha Naskh" w:hint="cs"/>
          <w:b/>
          <w:bCs/>
          <w:sz w:val="28"/>
          <w:rtl/>
          <w:lang w:bidi="ar-SY"/>
        </w:rPr>
        <w:t>اللهِ وَسَهْمَ النبيِّ</w:t>
      </w:r>
      <w:r w:rsidR="00EF2588" w:rsidRPr="00CE7623">
        <w:rPr>
          <w:rFonts w:ascii="Abo-thar" w:hAnsi="Abo-thar" w:cs="KFGQPC Uthman Taha Naskh" w:hint="cs"/>
          <w:sz w:val="28"/>
          <w:rtl/>
          <w:lang w:bidi="ar-SY"/>
        </w:rPr>
        <w:t>»</w:t>
      </w:r>
      <w:r w:rsidR="00217AB4" w:rsidRPr="003F3B94">
        <w:rPr>
          <w:rFonts w:ascii="Abo-thar" w:hAnsi="Abo-thar" w:hint="cs"/>
          <w:sz w:val="28"/>
          <w:rtl/>
          <w:lang w:bidi="ar-SY"/>
        </w:rPr>
        <w:t>.</w:t>
      </w:r>
      <w:r w:rsidR="005C664D" w:rsidRPr="003F3B94">
        <w:rPr>
          <w:rFonts w:ascii="Abo-thar" w:hAnsi="Abo-thar" w:hint="cs"/>
          <w:sz w:val="28"/>
          <w:rtl/>
          <w:lang w:bidi="ar-SY"/>
        </w:rPr>
        <w:t xml:space="preserve"> و</w:t>
      </w:r>
      <w:r w:rsidRPr="003F3B94">
        <w:rPr>
          <w:rFonts w:ascii="Abo-thar" w:hAnsi="Abo-thar" w:hint="cs"/>
          <w:sz w:val="28"/>
          <w:rtl/>
          <w:lang w:bidi="ar-SY"/>
        </w:rPr>
        <w:t xml:space="preserve">جاء </w:t>
      </w:r>
      <w:r w:rsidR="005C664D" w:rsidRPr="003F3B94">
        <w:rPr>
          <w:rFonts w:ascii="Abo-thar" w:hAnsi="Abo-thar" w:hint="cs"/>
          <w:sz w:val="28"/>
          <w:rtl/>
          <w:lang w:bidi="ar-SY"/>
        </w:rPr>
        <w:t xml:space="preserve">في الكتاب ذاته </w:t>
      </w:r>
      <w:r w:rsidRPr="003F3B94">
        <w:rPr>
          <w:rFonts w:ascii="Abo-thar" w:hAnsi="Abo-thar" w:hint="cs"/>
          <w:sz w:val="28"/>
          <w:rtl/>
          <w:lang w:bidi="ar-SY"/>
        </w:rPr>
        <w:t xml:space="preserve">أيضًا: </w:t>
      </w:r>
      <w:r w:rsidR="00EF2588" w:rsidRPr="00CE7623">
        <w:rPr>
          <w:rFonts w:ascii="Abo-thar" w:hAnsi="Abo-thar" w:cs="KFGQPC Uthman Taha Naskh" w:hint="cs"/>
          <w:sz w:val="28"/>
          <w:rtl/>
          <w:lang w:bidi="ar-SY"/>
        </w:rPr>
        <w:t>«</w:t>
      </w:r>
      <w:r w:rsidR="005C664D" w:rsidRPr="00CE7623">
        <w:rPr>
          <w:rFonts w:ascii="Abo-thar" w:hAnsi="Abo-thar" w:cs="KFGQPC Uthman Taha Naskh" w:hint="cs"/>
          <w:b/>
          <w:bCs/>
          <w:sz w:val="28"/>
          <w:rtl/>
          <w:lang w:bidi="ar-SY"/>
        </w:rPr>
        <w:t>أن رجلاً سأل رسول الله عن الغنيمة فقال</w:t>
      </w:r>
      <w:r w:rsidR="00147857" w:rsidRPr="00CE7623">
        <w:rPr>
          <w:rFonts w:ascii="Abo-thar" w:hAnsi="Abo-thar" w:cs="KFGQPC Uthman Taha Naskh" w:hint="cs"/>
          <w:b/>
          <w:bCs/>
          <w:sz w:val="28"/>
          <w:rtl/>
          <w:lang w:bidi="ar-SY"/>
        </w:rPr>
        <w:t xml:space="preserve"> </w:t>
      </w:r>
      <w:r w:rsidR="003C7AEB" w:rsidRPr="003C7AEB">
        <w:rPr>
          <w:rFonts w:ascii="Abo-thar" w:hAnsi="Abo-thar" w:cs="CTraditional Arabic" w:hint="cs"/>
          <w:sz w:val="28"/>
          <w:rtl/>
          <w:lang w:bidi="ar-SY"/>
        </w:rPr>
        <w:t>ص</w:t>
      </w:r>
      <w:r w:rsidR="00217AB4" w:rsidRPr="00CE7623">
        <w:rPr>
          <w:rFonts w:ascii="Abo-thar" w:hAnsi="Abo-thar" w:cs="KFGQPC Uthman Taha Naskh" w:hint="cs"/>
          <w:sz w:val="28"/>
          <w:rtl/>
          <w:lang w:bidi="ar-SY"/>
        </w:rPr>
        <w:t>:</w:t>
      </w:r>
      <w:r w:rsidR="005C664D" w:rsidRPr="00CE7623">
        <w:rPr>
          <w:rFonts w:ascii="Abo-thar" w:hAnsi="Abo-thar" w:cs="KFGQPC Uthman Taha Naskh" w:hint="cs"/>
          <w:b/>
          <w:bCs/>
          <w:sz w:val="28"/>
          <w:rtl/>
          <w:lang w:bidi="ar-SY"/>
        </w:rPr>
        <w:t xml:space="preserve"> لِـلَّهِ سهمٌ ولهؤلاء أربعة</w:t>
      </w:r>
      <w:r w:rsidR="00EF2588" w:rsidRPr="00CE7623">
        <w:rPr>
          <w:rFonts w:ascii="Abo-thar" w:hAnsi="Abo-thar" w:cs="KFGQPC Uthman Taha Naskh" w:hint="cs"/>
          <w:sz w:val="28"/>
          <w:rtl/>
          <w:lang w:bidi="ar-SY"/>
        </w:rPr>
        <w:t>»</w:t>
      </w:r>
      <w:r w:rsidRPr="0021507A">
        <w:rPr>
          <w:rFonts w:ascii="Abo-thar" w:hAnsi="Abo-thar" w:cs="Arabic11 BT"/>
          <w:sz w:val="28"/>
          <w:vertAlign w:val="superscript"/>
          <w:rtl/>
          <w:lang w:bidi="ar-SY"/>
        </w:rPr>
        <w:t>(</w:t>
      </w:r>
      <w:r w:rsidRPr="0021507A">
        <w:rPr>
          <w:rStyle w:val="FootnoteReference"/>
          <w:rFonts w:ascii="Abo-thar" w:hAnsi="Abo-thar" w:cs="Arabic11 BT"/>
          <w:sz w:val="28"/>
          <w:rtl/>
          <w:lang w:bidi="ar-SY"/>
        </w:rPr>
        <w:footnoteReference w:id="53"/>
      </w:r>
      <w:r w:rsidRPr="0021507A">
        <w:rPr>
          <w:rFonts w:ascii="Abo-thar" w:hAnsi="Abo-thar" w:cs="Arabic11 BT"/>
          <w:sz w:val="28"/>
          <w:vertAlign w:val="superscript"/>
          <w:rtl/>
          <w:lang w:bidi="ar-SY"/>
        </w:rPr>
        <w:t>)</w:t>
      </w:r>
      <w:r w:rsidR="00217AB4" w:rsidRPr="003F3B94">
        <w:rPr>
          <w:rFonts w:ascii="Abo-thar" w:hAnsi="Abo-thar" w:hint="cs"/>
          <w:sz w:val="28"/>
          <w:rtl/>
          <w:lang w:bidi="ar-SY"/>
        </w:rPr>
        <w:t>.</w:t>
      </w:r>
      <w:r w:rsidR="005C664D" w:rsidRPr="003F3B94">
        <w:rPr>
          <w:rFonts w:ascii="Abo-thar" w:hAnsi="Abo-thar" w:hint="cs"/>
          <w:sz w:val="28"/>
          <w:rtl/>
          <w:lang w:bidi="ar-SY"/>
        </w:rPr>
        <w:t xml:space="preserve"> </w:t>
      </w:r>
    </w:p>
    <w:p w:rsidR="005C664D" w:rsidRPr="003F3B94" w:rsidRDefault="005C664D" w:rsidP="003F3B94">
      <w:pPr>
        <w:pStyle w:val="a0"/>
        <w:rPr>
          <w:rFonts w:hint="cs"/>
          <w:rtl/>
          <w:lang w:bidi="ar-SY"/>
        </w:rPr>
      </w:pPr>
      <w:r w:rsidRPr="003F3B94">
        <w:rPr>
          <w:rFonts w:ascii="Abo-thar" w:hAnsi="Abo-thar" w:hint="cs"/>
          <w:sz w:val="28"/>
          <w:rtl/>
          <w:lang w:bidi="ar-SY"/>
        </w:rPr>
        <w:t>فلاحظوا أن</w:t>
      </w:r>
      <w:r w:rsidR="00234313" w:rsidRPr="003F3B94">
        <w:rPr>
          <w:rFonts w:ascii="Abo-thar" w:hAnsi="Abo-thar" w:hint="cs"/>
          <w:sz w:val="28"/>
          <w:rtl/>
          <w:lang w:bidi="ar-SY"/>
        </w:rPr>
        <w:t>ه</w:t>
      </w:r>
      <w:r w:rsidRPr="003F3B94">
        <w:rPr>
          <w:rFonts w:ascii="Abo-thar" w:hAnsi="Abo-thar" w:hint="cs"/>
          <w:sz w:val="28"/>
          <w:rtl/>
          <w:lang w:bidi="ar-SY"/>
        </w:rPr>
        <w:t xml:space="preserve"> في جميع </w:t>
      </w:r>
      <w:r w:rsidR="00234313" w:rsidRPr="003F3B94">
        <w:rPr>
          <w:rFonts w:ascii="Abo-thar" w:hAnsi="Abo-thar" w:hint="cs"/>
          <w:sz w:val="28"/>
          <w:rtl/>
          <w:lang w:bidi="ar-SY"/>
        </w:rPr>
        <w:t>تلك</w:t>
      </w:r>
      <w:r w:rsidRPr="003F3B94">
        <w:rPr>
          <w:rFonts w:ascii="Abo-thar" w:hAnsi="Abo-thar" w:hint="cs"/>
          <w:sz w:val="28"/>
          <w:rtl/>
          <w:lang w:bidi="ar-SY"/>
        </w:rPr>
        <w:t xml:space="preserve"> الرسائل التي كتبها رسول الله </w:t>
      </w:r>
      <w:r w:rsidR="00234313" w:rsidRPr="003F3B94">
        <w:rPr>
          <w:rFonts w:ascii="Abo-thar" w:hAnsi="Abo-thar" w:hint="cs"/>
          <w:sz w:val="28"/>
          <w:rtl/>
          <w:lang w:bidi="ar-SY"/>
        </w:rPr>
        <w:t xml:space="preserve"> </w:t>
      </w:r>
      <w:r w:rsidRPr="003F3B94">
        <w:rPr>
          <w:rFonts w:ascii="Abo-thar" w:hAnsi="Abo-thar" w:hint="cs"/>
          <w:sz w:val="28"/>
          <w:rtl/>
          <w:lang w:bidi="ar-SY"/>
        </w:rPr>
        <w:t xml:space="preserve">جاءت عبارة </w:t>
      </w:r>
      <w:r w:rsidR="00217AB4" w:rsidRPr="003F3B94">
        <w:rPr>
          <w:rFonts w:ascii="Abo-thar" w:hAnsi="Abo-thar" w:hint="cs"/>
          <w:sz w:val="28"/>
          <w:rtl/>
          <w:lang w:bidi="ar-SY"/>
        </w:rPr>
        <w:t>(</w:t>
      </w:r>
      <w:r w:rsidRPr="003F3B94">
        <w:rPr>
          <w:rFonts w:ascii="Abo-thar" w:hAnsi="Abo-thar" w:hint="cs"/>
          <w:b/>
          <w:bCs/>
          <w:sz w:val="28"/>
          <w:rtl/>
          <w:lang w:bidi="ar-SY"/>
        </w:rPr>
        <w:t>خمس الله</w:t>
      </w:r>
      <w:r w:rsidR="00217AB4" w:rsidRPr="003F3B94">
        <w:rPr>
          <w:rFonts w:ascii="Abo-thar" w:hAnsi="Abo-thar" w:hint="cs"/>
          <w:sz w:val="28"/>
          <w:rtl/>
          <w:lang w:bidi="ar-SY"/>
        </w:rPr>
        <w:t>)</w:t>
      </w:r>
      <w:r w:rsidRPr="003F3B94">
        <w:rPr>
          <w:rFonts w:ascii="Abo-thar" w:hAnsi="Abo-thar" w:hint="cs"/>
          <w:sz w:val="28"/>
          <w:rtl/>
          <w:lang w:bidi="ar-SY"/>
        </w:rPr>
        <w:t xml:space="preserve"> التي تدل على أن الخمس خاص بالله وحده لا أن له سهم واحدٌ من أصل ستة أسهم</w:t>
      </w:r>
      <w:r w:rsidR="00217AB4" w:rsidRPr="003F3B94">
        <w:rPr>
          <w:rFonts w:ascii="Abo-thar" w:hAnsi="Abo-thar" w:hint="cs"/>
          <w:sz w:val="28"/>
          <w:rtl/>
          <w:lang w:bidi="ar-SY"/>
        </w:rPr>
        <w:t>!!</w:t>
      </w:r>
    </w:p>
    <w:p w:rsidR="00190541" w:rsidRPr="003F3B94" w:rsidRDefault="00190541" w:rsidP="00A33EB8">
      <w:pPr>
        <w:widowControl w:val="0"/>
        <w:jc w:val="center"/>
        <w:rPr>
          <w:rFonts w:ascii="mylotus" w:hAnsi="mylotus" w:cs="mylotus"/>
          <w:b/>
          <w:bCs/>
          <w:sz w:val="28"/>
          <w:rtl/>
          <w:lang w:bidi="ar-SY"/>
        </w:rPr>
      </w:pPr>
      <w:r w:rsidRPr="00A33EB8">
        <w:rPr>
          <w:rFonts w:ascii="mylotus" w:hAnsi="mylotus" w:cs="B Lotus"/>
          <w:b/>
          <w:bCs/>
          <w:sz w:val="28"/>
          <w:rtl/>
          <w:lang w:bidi="ar-SY"/>
        </w:rPr>
        <w:t>***</w:t>
      </w:r>
    </w:p>
    <w:p w:rsidR="005C664D" w:rsidRPr="00F01069" w:rsidRDefault="005C664D" w:rsidP="003F3B94">
      <w:pPr>
        <w:pStyle w:val="a0"/>
        <w:rPr>
          <w:rFonts w:hint="cs"/>
          <w:rtl/>
        </w:rPr>
      </w:pPr>
      <w:bookmarkStart w:id="75" w:name="_Toc215489797"/>
      <w:r w:rsidRPr="00F01069">
        <w:rPr>
          <w:rFonts w:hint="cs"/>
          <w:b/>
          <w:bCs/>
          <w:rtl/>
        </w:rPr>
        <w:t xml:space="preserve">أما في أحاديث أهل البيت </w:t>
      </w:r>
      <w:r w:rsidR="00963EFD" w:rsidRPr="00F01069">
        <w:rPr>
          <w:rFonts w:cs="CTraditional Arabic" w:hint="cs"/>
          <w:b/>
          <w:rtl/>
        </w:rPr>
        <w:t>‡</w:t>
      </w:r>
      <w:r w:rsidR="00217AB4" w:rsidRPr="00F01069">
        <w:rPr>
          <w:rFonts w:hint="cs"/>
          <w:b/>
          <w:bCs/>
          <w:rtl/>
        </w:rPr>
        <w:t>:</w:t>
      </w:r>
      <w:bookmarkEnd w:id="75"/>
      <w:r w:rsidRPr="00F01069">
        <w:rPr>
          <w:rFonts w:hint="cs"/>
          <w:b/>
          <w:bCs/>
          <w:rtl/>
        </w:rPr>
        <w:t xml:space="preserve"> </w:t>
      </w:r>
    </w:p>
    <w:p w:rsidR="005C664D" w:rsidRPr="003F3B94" w:rsidRDefault="005C664D" w:rsidP="00F01069">
      <w:pPr>
        <w:pStyle w:val="a0"/>
        <w:spacing w:after="0"/>
        <w:ind w:left="624" w:hanging="340"/>
        <w:rPr>
          <w:rFonts w:hint="cs"/>
          <w:rtl/>
          <w:lang w:bidi="fa-IR"/>
        </w:rPr>
      </w:pPr>
      <w:r w:rsidRPr="00F01069">
        <w:rPr>
          <w:rFonts w:ascii="Abo-thar" w:hAnsi="Abo-thar" w:hint="cs"/>
          <w:sz w:val="28"/>
          <w:rtl/>
          <w:lang w:bidi="ar-SY"/>
        </w:rPr>
        <w:t>أ</w:t>
      </w:r>
      <w:r w:rsidR="00217AB4" w:rsidRPr="00F01069">
        <w:rPr>
          <w:rFonts w:ascii="Abo-thar" w:hAnsi="Abo-thar" w:hint="cs"/>
          <w:sz w:val="28"/>
          <w:rtl/>
          <w:lang w:bidi="ar-SY"/>
        </w:rPr>
        <w:t>-</w:t>
      </w:r>
      <w:r w:rsidRPr="00F01069">
        <w:rPr>
          <w:rFonts w:ascii="Abo-thar" w:hAnsi="Abo-thar" w:hint="cs"/>
          <w:sz w:val="28"/>
          <w:rtl/>
          <w:lang w:bidi="ar-SY"/>
        </w:rPr>
        <w:t xml:space="preserve"> روى الشيخ الصدوق في </w:t>
      </w:r>
      <w:r w:rsidRPr="00F01069">
        <w:rPr>
          <w:rFonts w:ascii="Abo-thar" w:hAnsi="Abo-thar" w:hint="eastAsia"/>
          <w:sz w:val="28"/>
          <w:rtl/>
          <w:lang w:bidi="ar-SY"/>
        </w:rPr>
        <w:t>«</w:t>
      </w:r>
      <w:r w:rsidRPr="00F01069">
        <w:rPr>
          <w:rFonts w:ascii="Abo-thar" w:hAnsi="Abo-thar" w:hint="cs"/>
          <w:sz w:val="28"/>
          <w:rtl/>
          <w:lang w:bidi="ar-SY"/>
        </w:rPr>
        <w:t>من لا يحضره الفقيه</w:t>
      </w:r>
      <w:r w:rsidRPr="00F01069">
        <w:rPr>
          <w:rFonts w:ascii="Abo-thar" w:hAnsi="Abo-thar" w:hint="eastAsia"/>
          <w:sz w:val="28"/>
          <w:rtl/>
          <w:lang w:bidi="ar-SY"/>
        </w:rPr>
        <w:t>»</w:t>
      </w:r>
      <w:r w:rsidRPr="00F01069">
        <w:rPr>
          <w:rFonts w:ascii="Abo-thar" w:hAnsi="Abo-thar" w:hint="cs"/>
          <w:sz w:val="28"/>
          <w:rtl/>
          <w:lang w:bidi="ar-SY"/>
        </w:rPr>
        <w:t xml:space="preserve"> كتاب الوصايا</w:t>
      </w:r>
      <w:r w:rsidR="00217AB4" w:rsidRPr="00F01069">
        <w:rPr>
          <w:rFonts w:ascii="Abo-thar" w:hAnsi="Abo-thar" w:hint="cs"/>
          <w:sz w:val="28"/>
          <w:rtl/>
          <w:lang w:bidi="ar-SY"/>
        </w:rPr>
        <w:t>:</w:t>
      </w:r>
      <w:r w:rsidRPr="00F01069">
        <w:rPr>
          <w:rFonts w:ascii="Abo-thar" w:hAnsi="Abo-thar" w:hint="cs"/>
          <w:sz w:val="28"/>
          <w:rtl/>
          <w:lang w:bidi="ar-SY"/>
        </w:rPr>
        <w:t xml:space="preserve"> </w:t>
      </w:r>
      <w:r w:rsidR="00EF2588" w:rsidRPr="00F01069">
        <w:rPr>
          <w:rFonts w:ascii="Abo-thar" w:hAnsi="Abo-thar" w:cs="KFGQPC Uthman Taha Naskh" w:hint="cs"/>
          <w:sz w:val="28"/>
          <w:rtl/>
          <w:lang w:bidi="ar-SY"/>
        </w:rPr>
        <w:t>«</w:t>
      </w:r>
      <w:r w:rsidRPr="00F01069">
        <w:rPr>
          <w:rFonts w:ascii="Abo-thar" w:hAnsi="Abo-thar" w:cs="KFGQPC Uthman Taha Naskh"/>
          <w:sz w:val="28"/>
          <w:rtl/>
          <w:lang w:bidi="ar-SY"/>
        </w:rPr>
        <w:t xml:space="preserve">رَوَى السَّكُونِيُّ عَنْ جَعْفَرِ بْنِ مُحَمَّدٍ عَنْ أَبِيهِ عَنْ آبَائِهِ </w:t>
      </w:r>
      <w:r w:rsidR="00BC4BA9" w:rsidRPr="00F01069">
        <w:rPr>
          <w:rFonts w:ascii="Abo-thar" w:hAnsi="Abo-thar" w:cs="CTraditional Arabic" w:hint="cs"/>
          <w:sz w:val="28"/>
          <w:rtl/>
          <w:lang w:bidi="ar-SY"/>
        </w:rPr>
        <w:t>÷</w:t>
      </w:r>
      <w:r w:rsidRPr="00F01069">
        <w:rPr>
          <w:rFonts w:ascii="Abo-thar" w:hAnsi="Abo-thar" w:cs="KFGQPC Uthman Taha Naskh"/>
          <w:sz w:val="28"/>
          <w:rtl/>
          <w:lang w:bidi="ar-SY"/>
        </w:rPr>
        <w:t xml:space="preserve"> قَالَ قَالَ أَمِيرُ المُؤْمِنِينَ </w:t>
      </w:r>
      <w:r w:rsidR="00BC4BA9" w:rsidRPr="00F01069">
        <w:rPr>
          <w:rFonts w:ascii="Abo-thar" w:hAnsi="Abo-thar" w:cs="CTraditional Arabic" w:hint="cs"/>
          <w:sz w:val="28"/>
          <w:rtl/>
          <w:lang w:bidi="ar-SY"/>
        </w:rPr>
        <w:t>÷</w:t>
      </w:r>
      <w:r w:rsidR="00217AB4" w:rsidRPr="00F01069">
        <w:rPr>
          <w:rFonts w:ascii="Abo-thar" w:hAnsi="Abo-thar" w:cs="KFGQPC Uthman Taha Naskh" w:hint="cs"/>
          <w:b/>
          <w:bCs/>
          <w:sz w:val="28"/>
          <w:rtl/>
          <w:lang w:bidi="ar-SY"/>
        </w:rPr>
        <w:t>:</w:t>
      </w:r>
      <w:r w:rsidRPr="00F01069">
        <w:rPr>
          <w:rFonts w:ascii="Abo-thar" w:hAnsi="Abo-thar" w:cs="KFGQPC Uthman Taha Naskh"/>
          <w:b/>
          <w:bCs/>
          <w:sz w:val="28"/>
          <w:rtl/>
          <w:lang w:bidi="ar-SY"/>
        </w:rPr>
        <w:t xml:space="preserve"> الْوَصِيَّةُ بِالخُمُسِ لِأَنَّ </w:t>
      </w:r>
      <w:r w:rsidRPr="00F01069">
        <w:rPr>
          <w:rFonts w:ascii="Abo-thar" w:hAnsi="Abo-thar" w:cs="KFGQPC Uthman Taha Naskh" w:hint="cs"/>
          <w:b/>
          <w:bCs/>
          <w:sz w:val="28"/>
          <w:rtl/>
          <w:lang w:bidi="ar-SY"/>
        </w:rPr>
        <w:t>اللهَ</w:t>
      </w:r>
      <w:r w:rsidRPr="00F01069">
        <w:rPr>
          <w:rFonts w:ascii="Abo-thar" w:hAnsi="Abo-thar" w:cs="KFGQPC Uthman Taha Naskh"/>
          <w:b/>
          <w:bCs/>
          <w:sz w:val="28"/>
          <w:rtl/>
          <w:lang w:bidi="ar-SY"/>
        </w:rPr>
        <w:t xml:space="preserve"> عَزَّ وَجَلَّ رَضِيَ لِنَفْسِهِ بِالخُمُسِ</w:t>
      </w:r>
      <w:r w:rsidR="00EF2588" w:rsidRPr="00F01069">
        <w:rPr>
          <w:rFonts w:ascii="Abo-thar" w:hAnsi="Abo-thar" w:cs="KFGQPC Uthman Taha Naskh" w:hint="cs"/>
          <w:sz w:val="28"/>
          <w:rtl/>
          <w:lang w:bidi="ar-SY"/>
        </w:rPr>
        <w:t>»</w:t>
      </w:r>
      <w:r w:rsidR="00217AB4" w:rsidRPr="00F01069">
        <w:rPr>
          <w:rFonts w:ascii="Abo-thar" w:hAnsi="Abo-thar" w:hint="cs"/>
          <w:sz w:val="28"/>
          <w:rtl/>
          <w:lang w:bidi="ar-SY"/>
        </w:rPr>
        <w:t>.</w:t>
      </w:r>
    </w:p>
    <w:p w:rsidR="005C664D" w:rsidRPr="003F3B94" w:rsidRDefault="005C664D" w:rsidP="00F01069">
      <w:pPr>
        <w:pStyle w:val="a0"/>
        <w:ind w:left="624" w:hanging="340"/>
        <w:rPr>
          <w:rFonts w:hint="cs"/>
          <w:rtl/>
          <w:lang w:bidi="ar-SY"/>
        </w:rPr>
      </w:pPr>
      <w:r w:rsidRPr="003F3B94">
        <w:rPr>
          <w:rFonts w:ascii="Abo-thar" w:hAnsi="Abo-thar" w:hint="cs"/>
          <w:sz w:val="28"/>
          <w:rtl/>
          <w:lang w:bidi="ar-SY"/>
        </w:rPr>
        <w:t>ب</w:t>
      </w:r>
      <w:r w:rsidR="00217AB4" w:rsidRPr="003F3B94">
        <w:rPr>
          <w:rFonts w:ascii="Abo-thar" w:hAnsi="Abo-thar" w:hint="cs"/>
          <w:sz w:val="28"/>
          <w:rtl/>
          <w:lang w:bidi="ar-SY"/>
        </w:rPr>
        <w:t>-</w:t>
      </w:r>
      <w:r w:rsidRPr="003F3B94">
        <w:rPr>
          <w:rFonts w:ascii="Abo-thar" w:hAnsi="Abo-thar" w:hint="cs"/>
          <w:sz w:val="28"/>
          <w:rtl/>
          <w:lang w:bidi="ar-SY"/>
        </w:rPr>
        <w:t xml:space="preserve"> </w:t>
      </w:r>
      <w:r w:rsidR="00190541" w:rsidRPr="003F3B94">
        <w:rPr>
          <w:rFonts w:ascii="Abo-thar" w:hAnsi="Abo-thar" w:hint="cs"/>
          <w:sz w:val="28"/>
          <w:rtl/>
          <w:lang w:bidi="ar-SY"/>
        </w:rPr>
        <w:t>وجاء في رواية أخرى</w:t>
      </w:r>
      <w:r w:rsidR="00217AB4" w:rsidRPr="003F3B94">
        <w:rPr>
          <w:rFonts w:ascii="Abo-thar" w:hAnsi="Abo-thar" w:hint="cs"/>
          <w:sz w:val="28"/>
          <w:rtl/>
          <w:lang w:bidi="ar-SY"/>
        </w:rPr>
        <w:t>:</w:t>
      </w:r>
      <w:r w:rsidRPr="003F3B94">
        <w:rPr>
          <w:rFonts w:ascii="Abo-thar" w:hAnsi="Abo-thar" w:hint="cs"/>
          <w:sz w:val="28"/>
          <w:rtl/>
          <w:lang w:bidi="ar-SY"/>
        </w:rPr>
        <w:t xml:space="preserve"> </w:t>
      </w:r>
      <w:r w:rsidR="00EF2588" w:rsidRPr="00CE7623">
        <w:rPr>
          <w:rFonts w:ascii="Abo-thar" w:hAnsi="Abo-thar" w:cs="KFGQPC Uthman Taha Naskh" w:hint="cs"/>
          <w:sz w:val="28"/>
          <w:rtl/>
          <w:lang w:bidi="ar-SY"/>
        </w:rPr>
        <w:t>«</w:t>
      </w:r>
      <w:r w:rsidRPr="00CE7623">
        <w:rPr>
          <w:rFonts w:ascii="Abo-thar" w:hAnsi="Abo-thar" w:cs="KFGQPC Uthman Taha Naskh"/>
          <w:sz w:val="28"/>
          <w:rtl/>
          <w:lang w:bidi="ar-SY"/>
        </w:rPr>
        <w:t>الْجَعْفَرِيَّاتُ</w:t>
      </w:r>
      <w:r w:rsidR="00217AB4" w:rsidRPr="00CE7623">
        <w:rPr>
          <w:rFonts w:ascii="Abo-thar" w:hAnsi="Abo-thar" w:cs="KFGQPC Uthman Taha Naskh"/>
          <w:sz w:val="28"/>
          <w:rtl/>
          <w:lang w:bidi="ar-SY"/>
        </w:rPr>
        <w:t>،</w:t>
      </w:r>
      <w:r w:rsidRPr="00CE7623">
        <w:rPr>
          <w:rFonts w:ascii="Abo-thar" w:hAnsi="Abo-thar" w:cs="KFGQPC Uthman Taha Naskh"/>
          <w:sz w:val="28"/>
          <w:rtl/>
          <w:lang w:bidi="ar-SY"/>
        </w:rPr>
        <w:t xml:space="preserve"> بِإِسْنَادِهِ عَنْ جَعْفَرِ بْنِ مُحَمَّدٍ عَنْ أَبِيهِ عَنْ جَدِّهِ عَلِيِّ بْنِ الْحُسَيْنِ عَنْ أَبِيهِ عَنْ عَلِيِّ بْنِ أَبِي طَالِبٍ </w:t>
      </w:r>
      <w:r w:rsidR="00BC4BA9" w:rsidRPr="00BC4BA9">
        <w:rPr>
          <w:rFonts w:ascii="Abo-thar" w:hAnsi="Abo-thar" w:cs="CTraditional Arabic" w:hint="cs"/>
          <w:sz w:val="28"/>
          <w:rtl/>
          <w:lang w:bidi="ar-SY"/>
        </w:rPr>
        <w:t>÷</w:t>
      </w:r>
      <w:r w:rsidRPr="00CE7623">
        <w:rPr>
          <w:rFonts w:ascii="Abo-thar" w:hAnsi="Abo-thar" w:cs="KFGQPC Uthman Taha Naskh"/>
          <w:sz w:val="28"/>
          <w:rtl/>
          <w:lang w:bidi="ar-SY"/>
        </w:rPr>
        <w:t xml:space="preserve">‏ </w:t>
      </w:r>
      <w:r w:rsidRPr="00CE7623">
        <w:rPr>
          <w:rFonts w:ascii="Abo-thar" w:hAnsi="Abo-thar" w:cs="KFGQPC Uthman Taha Naskh"/>
          <w:b/>
          <w:bCs/>
          <w:sz w:val="28"/>
          <w:rtl/>
          <w:lang w:bidi="ar-SY"/>
        </w:rPr>
        <w:t>أَنَّهُ كَانَ يَسْتَحِبُّ الْوَصِيَّةَ بِالخُمُسِ وَيَقُولُ إِنَّ اللهَ تَبَارَكَ وَتَعَالَى رَضِيَ لِنَفْسِهِ مِنَ الْغَنِيمَةِ بِالخُمُسِ</w:t>
      </w:r>
      <w:r w:rsidR="00EF2588" w:rsidRPr="00CE7623">
        <w:rPr>
          <w:rFonts w:ascii="Abo-thar" w:hAnsi="Abo-thar" w:cs="KFGQPC Uthman Taha Naskh" w:hint="cs"/>
          <w:sz w:val="28"/>
          <w:rtl/>
          <w:lang w:bidi="ar-SY"/>
        </w:rPr>
        <w:t>»</w:t>
      </w:r>
      <w:r w:rsidR="00190541" w:rsidRPr="0021507A">
        <w:rPr>
          <w:rFonts w:ascii="Abo-thar" w:hAnsi="Abo-thar" w:cs="Arabic11 BT"/>
          <w:sz w:val="28"/>
          <w:vertAlign w:val="superscript"/>
          <w:rtl/>
          <w:lang w:bidi="ar-SY"/>
        </w:rPr>
        <w:t>(</w:t>
      </w:r>
      <w:r w:rsidR="00190541" w:rsidRPr="0021507A">
        <w:rPr>
          <w:rStyle w:val="FootnoteReference"/>
          <w:rFonts w:ascii="Abo-thar" w:hAnsi="Abo-thar" w:cs="Arabic11 BT"/>
          <w:sz w:val="28"/>
          <w:rtl/>
          <w:lang w:bidi="ar-SY"/>
        </w:rPr>
        <w:footnoteReference w:id="54"/>
      </w:r>
      <w:r w:rsidR="00190541" w:rsidRPr="0021507A">
        <w:rPr>
          <w:rFonts w:ascii="Abo-thar" w:hAnsi="Abo-thar" w:cs="Arabic11 BT"/>
          <w:sz w:val="28"/>
          <w:vertAlign w:val="superscript"/>
          <w:rtl/>
          <w:lang w:bidi="ar-SY"/>
        </w:rPr>
        <w:t>)</w:t>
      </w:r>
      <w:r w:rsidR="00217AB4" w:rsidRPr="003F3B94">
        <w:rPr>
          <w:rFonts w:ascii="Abo-thar" w:hAnsi="Abo-thar" w:hint="cs"/>
          <w:sz w:val="28"/>
          <w:rtl/>
          <w:lang w:bidi="ar-SY"/>
        </w:rPr>
        <w:t>.</w:t>
      </w:r>
    </w:p>
    <w:p w:rsidR="005C664D" w:rsidRPr="003F3B94" w:rsidRDefault="005C664D" w:rsidP="00F01069">
      <w:pPr>
        <w:pStyle w:val="a0"/>
        <w:ind w:left="624" w:hanging="340"/>
        <w:rPr>
          <w:rFonts w:hint="cs"/>
          <w:rtl/>
          <w:lang w:bidi="ar-SY"/>
        </w:rPr>
      </w:pPr>
      <w:r w:rsidRPr="003F3B94">
        <w:rPr>
          <w:rFonts w:ascii="Abo-thar" w:hAnsi="Abo-thar" w:hint="cs"/>
          <w:sz w:val="28"/>
          <w:rtl/>
          <w:lang w:bidi="ar-SY"/>
        </w:rPr>
        <w:t>ج</w:t>
      </w:r>
      <w:r w:rsidR="00217AB4" w:rsidRPr="003F3B94">
        <w:rPr>
          <w:rFonts w:ascii="Abo-thar" w:hAnsi="Abo-thar" w:hint="cs"/>
          <w:sz w:val="28"/>
          <w:rtl/>
          <w:lang w:bidi="ar-SY"/>
        </w:rPr>
        <w:t>-</w:t>
      </w:r>
      <w:r w:rsidRPr="003F3B94">
        <w:rPr>
          <w:rFonts w:ascii="Abo-thar" w:hAnsi="Abo-thar" w:hint="cs"/>
          <w:sz w:val="28"/>
          <w:rtl/>
          <w:lang w:bidi="ar-SY"/>
        </w:rPr>
        <w:t xml:space="preserve"> </w:t>
      </w:r>
      <w:r w:rsidR="00190541" w:rsidRPr="003F3B94">
        <w:rPr>
          <w:rFonts w:ascii="Abo-thar" w:hAnsi="Abo-thar" w:hint="cs"/>
          <w:sz w:val="28"/>
          <w:rtl/>
          <w:lang w:bidi="ar-SY"/>
        </w:rPr>
        <w:t xml:space="preserve">وفي رواية أخرى أيضًا: </w:t>
      </w:r>
      <w:r w:rsidRPr="003F3B94">
        <w:rPr>
          <w:rFonts w:ascii="Abo-thar" w:hAnsi="Abo-thar" w:hint="cs"/>
          <w:sz w:val="28"/>
          <w:rtl/>
          <w:lang w:bidi="ar-SY"/>
        </w:rPr>
        <w:t xml:space="preserve">عن </w:t>
      </w:r>
      <w:r w:rsidR="00190541" w:rsidRPr="003F3B94">
        <w:rPr>
          <w:rFonts w:ascii="Abo-thar" w:hAnsi="Abo-thar" w:hint="cs"/>
          <w:sz w:val="28"/>
          <w:rtl/>
          <w:lang w:bidi="ar-SY"/>
        </w:rPr>
        <w:t>الإمام</w:t>
      </w:r>
      <w:r w:rsidRPr="003F3B94">
        <w:rPr>
          <w:rFonts w:ascii="Abo-thar" w:hAnsi="Abo-thar" w:hint="cs"/>
          <w:sz w:val="28"/>
          <w:rtl/>
          <w:lang w:bidi="ar-SY"/>
        </w:rPr>
        <w:t xml:space="preserve"> أبي جعفر الباقر </w:t>
      </w:r>
      <w:r w:rsidR="003C7AEB" w:rsidRPr="003C7AEB">
        <w:rPr>
          <w:rFonts w:ascii="Abo-thar" w:hAnsi="Abo-thar" w:cs="CTraditional Arabic" w:hint="cs"/>
          <w:sz w:val="28"/>
          <w:rtl/>
          <w:lang w:bidi="ar-SY"/>
        </w:rPr>
        <w:t>÷</w:t>
      </w:r>
      <w:r w:rsidR="00190541" w:rsidRPr="003F3B94">
        <w:rPr>
          <w:rFonts w:ascii="Abo-thar" w:hAnsi="Abo-thar" w:hint="cs"/>
          <w:sz w:val="28"/>
          <w:rtl/>
          <w:lang w:bidi="ar-SY"/>
        </w:rPr>
        <w:t>:</w:t>
      </w:r>
      <w:r w:rsidR="00F01069">
        <w:rPr>
          <w:rFonts w:ascii="Abo-thar" w:hAnsi="Abo-thar" w:hint="cs"/>
          <w:sz w:val="28"/>
          <w:rtl/>
          <w:lang w:bidi="ar-SY"/>
        </w:rPr>
        <w:t xml:space="preserve"> </w:t>
      </w:r>
      <w:r w:rsidR="00EF2588" w:rsidRPr="00CE7623">
        <w:rPr>
          <w:rFonts w:ascii="Abo-thar" w:hAnsi="Abo-thar" w:cs="KFGQPC Uthman Taha Naskh" w:hint="cs"/>
          <w:sz w:val="28"/>
          <w:rtl/>
          <w:lang w:bidi="ar-SY"/>
        </w:rPr>
        <w:t>«</w:t>
      </w:r>
      <w:r w:rsidR="00217AB4" w:rsidRPr="00CE7623">
        <w:rPr>
          <w:rFonts w:ascii="Abo-thar" w:hAnsi="Abo-thar" w:cs="KFGQPC Uthman Taha Naskh" w:hint="cs"/>
          <w:sz w:val="28"/>
          <w:rtl/>
          <w:lang w:bidi="ar-SY"/>
        </w:rPr>
        <w:t>..</w:t>
      </w:r>
      <w:r w:rsidRPr="00CE7623">
        <w:rPr>
          <w:rFonts w:ascii="Abo-thar" w:hAnsi="Abo-thar" w:cs="KFGQPC Uthman Taha Naskh" w:hint="cs"/>
          <w:sz w:val="28"/>
          <w:rtl/>
          <w:lang w:bidi="ar-SY"/>
        </w:rPr>
        <w:t xml:space="preserve"> </w:t>
      </w:r>
      <w:r w:rsidRPr="00CE7623">
        <w:rPr>
          <w:rFonts w:ascii="Abo-thar" w:hAnsi="Abo-thar" w:cs="KFGQPC Uthman Taha Naskh"/>
          <w:sz w:val="28"/>
          <w:rtl/>
          <w:lang w:bidi="ar-SY"/>
        </w:rPr>
        <w:t xml:space="preserve">وَاللهِ لَقَدْ يَسَّرَ اللهُ عَلَى المُؤْمِنِينَ أَرْزَاقَهُمْ بِخَمْسَةِ دَرَاهِمَ </w:t>
      </w:r>
      <w:r w:rsidRPr="00CE7623">
        <w:rPr>
          <w:rFonts w:ascii="Abo-thar" w:hAnsi="Abo-thar" w:cs="KFGQPC Uthman Taha Naskh"/>
          <w:b/>
          <w:bCs/>
          <w:sz w:val="28"/>
          <w:u w:val="single"/>
          <w:rtl/>
          <w:lang w:bidi="ar-SY"/>
        </w:rPr>
        <w:t>جَعَلُوا لِرَبِّهِمْ وَاحِداً</w:t>
      </w:r>
      <w:r w:rsidRPr="00CE7623">
        <w:rPr>
          <w:rFonts w:ascii="Abo-thar" w:hAnsi="Abo-thar" w:cs="KFGQPC Uthman Taha Naskh"/>
          <w:sz w:val="28"/>
          <w:rtl/>
          <w:lang w:bidi="ar-SY"/>
        </w:rPr>
        <w:t xml:space="preserve"> وَأَكَلُوا أَرْبَعَةً </w:t>
      </w:r>
      <w:r w:rsidRPr="00CE7623">
        <w:rPr>
          <w:rFonts w:ascii="Abo-thar" w:hAnsi="Abo-thar" w:cs="KFGQPC Uthman Taha Naskh" w:hint="cs"/>
          <w:sz w:val="28"/>
          <w:rtl/>
          <w:lang w:bidi="ar-SY"/>
        </w:rPr>
        <w:t>حلالاً</w:t>
      </w:r>
      <w:r w:rsidR="00217AB4" w:rsidRPr="00CE7623">
        <w:rPr>
          <w:rFonts w:ascii="Abo-thar" w:hAnsi="Abo-thar" w:cs="KFGQPC Uthman Taha Naskh" w:hint="cs"/>
          <w:sz w:val="28"/>
          <w:rtl/>
          <w:lang w:bidi="ar-SY"/>
        </w:rPr>
        <w:t>!</w:t>
      </w:r>
      <w:r w:rsidR="00EF2588" w:rsidRPr="00CE7623">
        <w:rPr>
          <w:rFonts w:ascii="Abo-thar" w:hAnsi="Abo-thar" w:cs="KFGQPC Uthman Taha Naskh" w:hint="cs"/>
          <w:sz w:val="28"/>
          <w:rtl/>
          <w:lang w:bidi="ar-SY"/>
        </w:rPr>
        <w:t>»</w:t>
      </w:r>
      <w:r w:rsidR="00190541" w:rsidRPr="003F3B94">
        <w:rPr>
          <w:rFonts w:ascii="Abo-thar" w:hAnsi="Abo-thar"/>
          <w:sz w:val="28"/>
          <w:vertAlign w:val="superscript"/>
          <w:rtl/>
          <w:lang w:bidi="ar-SY"/>
        </w:rPr>
        <w:t xml:space="preserve"> </w:t>
      </w:r>
      <w:r w:rsidR="00190541" w:rsidRPr="0021507A">
        <w:rPr>
          <w:rFonts w:ascii="Abo-thar" w:hAnsi="Abo-thar" w:cs="Arabic11 BT"/>
          <w:sz w:val="28"/>
          <w:vertAlign w:val="superscript"/>
          <w:rtl/>
          <w:lang w:bidi="ar-SY"/>
        </w:rPr>
        <w:t>(</w:t>
      </w:r>
      <w:r w:rsidR="00190541" w:rsidRPr="0021507A">
        <w:rPr>
          <w:rStyle w:val="FootnoteReference"/>
          <w:rFonts w:ascii="Abo-thar" w:hAnsi="Abo-thar" w:cs="Arabic11 BT"/>
          <w:sz w:val="28"/>
          <w:rtl/>
          <w:lang w:bidi="ar-SY"/>
        </w:rPr>
        <w:footnoteReference w:id="55"/>
      </w:r>
      <w:r w:rsidR="00190541" w:rsidRPr="0021507A">
        <w:rPr>
          <w:rFonts w:ascii="Abo-thar" w:hAnsi="Abo-thar" w:cs="Arabic11 BT"/>
          <w:sz w:val="28"/>
          <w:vertAlign w:val="superscript"/>
          <w:rtl/>
          <w:lang w:bidi="ar-SY"/>
        </w:rPr>
        <w:t>)</w:t>
      </w:r>
      <w:r w:rsidR="00217AB4" w:rsidRPr="003F3B94">
        <w:rPr>
          <w:rFonts w:ascii="Abo-thar" w:hAnsi="Abo-thar" w:hint="cs"/>
          <w:sz w:val="28"/>
          <w:rtl/>
          <w:lang w:bidi="ar-SY"/>
        </w:rPr>
        <w:t>.</w:t>
      </w:r>
      <w:r w:rsidRPr="003F3B94">
        <w:rPr>
          <w:rFonts w:ascii="Abo-thar" w:hAnsi="Abo-thar" w:hint="cs"/>
          <w:sz w:val="28"/>
          <w:rtl/>
          <w:lang w:bidi="ar-SY"/>
        </w:rPr>
        <w:t xml:space="preserve"> </w:t>
      </w:r>
    </w:p>
    <w:p w:rsidR="005C664D" w:rsidRPr="00995B26" w:rsidRDefault="005C664D" w:rsidP="00791AC0">
      <w:pPr>
        <w:pStyle w:val="a0"/>
        <w:ind w:left="624" w:hanging="340"/>
        <w:rPr>
          <w:rFonts w:hint="cs"/>
          <w:rtl/>
          <w:lang w:bidi="ar-SY"/>
        </w:rPr>
      </w:pPr>
      <w:r w:rsidRPr="003F3B94">
        <w:rPr>
          <w:rFonts w:ascii="Abo-thar" w:hAnsi="Abo-thar" w:hint="cs"/>
          <w:sz w:val="28"/>
          <w:rtl/>
          <w:lang w:bidi="ar-SY"/>
        </w:rPr>
        <w:t>د</w:t>
      </w:r>
      <w:r w:rsidR="00217AB4" w:rsidRPr="003F3B94">
        <w:rPr>
          <w:rFonts w:ascii="Abo-thar" w:hAnsi="Abo-thar" w:hint="cs"/>
          <w:sz w:val="28"/>
          <w:rtl/>
          <w:lang w:bidi="ar-SY"/>
        </w:rPr>
        <w:t>-</w:t>
      </w:r>
      <w:r w:rsidRPr="003F3B94">
        <w:rPr>
          <w:rFonts w:ascii="Abo-thar" w:hAnsi="Abo-thar" w:hint="cs"/>
          <w:sz w:val="28"/>
          <w:rtl/>
          <w:lang w:bidi="ar-SY"/>
        </w:rPr>
        <w:t xml:space="preserve"> وروى الحر العاملي</w:t>
      </w:r>
      <w:r w:rsidR="00190541" w:rsidRPr="003F3B94">
        <w:rPr>
          <w:rFonts w:ascii="Abo-thar" w:hAnsi="Abo-thar" w:hint="cs"/>
          <w:sz w:val="28"/>
          <w:rtl/>
          <w:lang w:bidi="ar-SY"/>
        </w:rPr>
        <w:t xml:space="preserve"> </w:t>
      </w:r>
      <w:r w:rsidRPr="003F3B94">
        <w:rPr>
          <w:rFonts w:ascii="Abo-thar" w:hAnsi="Abo-thar" w:hint="cs"/>
          <w:sz w:val="28"/>
          <w:rtl/>
          <w:lang w:bidi="ar-SY"/>
        </w:rPr>
        <w:t xml:space="preserve">في </w:t>
      </w:r>
      <w:r w:rsidRPr="003F3B94">
        <w:rPr>
          <w:rFonts w:ascii="Abo-thar" w:hAnsi="Abo-thar" w:hint="eastAsia"/>
          <w:sz w:val="28"/>
          <w:rtl/>
          <w:lang w:bidi="ar-SY"/>
        </w:rPr>
        <w:t>«</w:t>
      </w:r>
      <w:r w:rsidRPr="003F3B94">
        <w:rPr>
          <w:rFonts w:ascii="Abo-thar" w:hAnsi="Abo-thar" w:hint="cs"/>
          <w:sz w:val="28"/>
          <w:rtl/>
          <w:lang w:bidi="ar-SY"/>
        </w:rPr>
        <w:t>وسائل الشيعة</w:t>
      </w:r>
      <w:r w:rsidRPr="003F3B94">
        <w:rPr>
          <w:rFonts w:ascii="Abo-thar" w:hAnsi="Abo-thar" w:hint="eastAsia"/>
          <w:sz w:val="28"/>
          <w:rtl/>
          <w:lang w:bidi="ar-SY"/>
        </w:rPr>
        <w:t>»</w:t>
      </w:r>
      <w:r w:rsidR="00217AB4" w:rsidRPr="003F3B94">
        <w:rPr>
          <w:rFonts w:ascii="Abo-thar" w:hAnsi="Abo-thar" w:hint="cs"/>
          <w:sz w:val="28"/>
          <w:rtl/>
          <w:lang w:bidi="ar-SY"/>
        </w:rPr>
        <w:t>،</w:t>
      </w:r>
      <w:r w:rsidRPr="003F3B94">
        <w:rPr>
          <w:rFonts w:ascii="Abo-thar" w:hAnsi="Abo-thar" w:hint="cs"/>
          <w:sz w:val="28"/>
          <w:rtl/>
          <w:lang w:bidi="ar-SY"/>
        </w:rPr>
        <w:t xml:space="preserve"> باب وجوب الخمس في غنائم دار الحرب</w:t>
      </w:r>
      <w:r w:rsidR="00217AB4" w:rsidRPr="003F3B94">
        <w:rPr>
          <w:rFonts w:ascii="Abo-thar" w:hAnsi="Abo-thar" w:hint="cs"/>
          <w:sz w:val="28"/>
          <w:rtl/>
          <w:lang w:bidi="ar-SY"/>
        </w:rPr>
        <w:t>،</w:t>
      </w:r>
      <w:r w:rsidRPr="003F3B94">
        <w:rPr>
          <w:rFonts w:ascii="Abo-thar" w:hAnsi="Abo-thar" w:hint="cs"/>
          <w:sz w:val="28"/>
          <w:rtl/>
          <w:lang w:bidi="ar-SY"/>
        </w:rPr>
        <w:t xml:space="preserve"> الحديث 12</w:t>
      </w:r>
      <w:r w:rsidR="00217AB4" w:rsidRPr="003F3B94">
        <w:rPr>
          <w:rFonts w:ascii="Abo-thar" w:hAnsi="Abo-thar" w:hint="cs"/>
          <w:sz w:val="28"/>
          <w:rtl/>
          <w:lang w:bidi="ar-SY"/>
        </w:rPr>
        <w:t>:</w:t>
      </w:r>
      <w:r w:rsidRPr="003F3B94">
        <w:rPr>
          <w:rFonts w:ascii="Abo-thar" w:hAnsi="Abo-thar" w:hint="cs"/>
          <w:sz w:val="28"/>
          <w:rtl/>
          <w:lang w:bidi="ar-SY"/>
        </w:rPr>
        <w:t xml:space="preserve"> </w:t>
      </w:r>
      <w:r w:rsidR="00217AB4" w:rsidRPr="003F3B94">
        <w:rPr>
          <w:rFonts w:ascii="Abo-thar" w:hAnsi="Abo-thar" w:hint="cs"/>
          <w:sz w:val="28"/>
          <w:rtl/>
          <w:lang w:bidi="ar-SY"/>
        </w:rPr>
        <w:t>(</w:t>
      </w:r>
      <w:r w:rsidRPr="003F3B94">
        <w:rPr>
          <w:rFonts w:ascii="Abo-thar" w:hAnsi="Abo-thar" w:hint="cs"/>
          <w:sz w:val="28"/>
          <w:rtl/>
          <w:lang w:bidi="ar-SY"/>
        </w:rPr>
        <w:t xml:space="preserve">عَنْ </w:t>
      </w:r>
      <w:r w:rsidRPr="003F3B94">
        <w:rPr>
          <w:rFonts w:ascii="Abo-thar" w:hAnsi="Abo-thar"/>
          <w:sz w:val="28"/>
          <w:rtl/>
          <w:lang w:bidi="ar-SY"/>
        </w:rPr>
        <w:t xml:space="preserve">عَلِيٍّ </w:t>
      </w:r>
      <w:r w:rsidR="00BC4BA9" w:rsidRPr="00BC4BA9">
        <w:rPr>
          <w:rFonts w:ascii="Abo-thar" w:hAnsi="Abo-thar" w:cs="CTraditional Arabic" w:hint="cs"/>
          <w:sz w:val="28"/>
          <w:rtl/>
          <w:lang w:bidi="ar-SY"/>
        </w:rPr>
        <w:t>÷</w:t>
      </w:r>
      <w:r w:rsidRPr="003F3B94">
        <w:rPr>
          <w:rFonts w:ascii="Abo-thar" w:hAnsi="Abo-thar"/>
          <w:sz w:val="28"/>
          <w:rtl/>
          <w:lang w:bidi="ar-SY"/>
        </w:rPr>
        <w:t xml:space="preserve"> قَالَ</w:t>
      </w:r>
      <w:r w:rsidR="00217AB4" w:rsidRPr="003F3B94">
        <w:rPr>
          <w:rFonts w:ascii="Abo-thar" w:hAnsi="Abo-thar" w:hint="cs"/>
          <w:sz w:val="28"/>
          <w:rtl/>
          <w:lang w:bidi="ar-SY"/>
        </w:rPr>
        <w:t>:...</w:t>
      </w:r>
      <w:r w:rsidRPr="003F3B94">
        <w:rPr>
          <w:rFonts w:ascii="Abo-thar" w:hAnsi="Abo-thar"/>
          <w:sz w:val="28"/>
          <w:rtl/>
          <w:lang w:bidi="ar-SY"/>
        </w:rPr>
        <w:t xml:space="preserve"> </w:t>
      </w:r>
      <w:r w:rsidRPr="00CE7623">
        <w:rPr>
          <w:rFonts w:ascii="Abo-thar" w:hAnsi="Abo-thar" w:cs="KFGQPC Uthman Taha Naskh"/>
          <w:sz w:val="28"/>
          <w:rtl/>
          <w:lang w:bidi="ar-SY"/>
        </w:rPr>
        <w:t>فَأَمَّا وَجْهُ الْإِمَارَةِ فَقَوْلُهُ</w:t>
      </w:r>
      <w:r w:rsidR="00685363" w:rsidRPr="00CE7623">
        <w:rPr>
          <w:rFonts w:ascii="Abo-thar" w:hAnsi="Abo-thar" w:cs="KFGQPC Uthman Taha Naskh" w:hint="cs"/>
          <w:sz w:val="28"/>
          <w:rtl/>
          <w:lang w:bidi="ar-SY"/>
        </w:rPr>
        <w:t>:</w:t>
      </w:r>
      <w:r w:rsidR="00685363" w:rsidRPr="003F3B94">
        <w:rPr>
          <w:rFonts w:ascii="Abo-thar" w:hAnsi="Abo-thar" w:hint="cs"/>
          <w:sz w:val="28"/>
          <w:rtl/>
          <w:lang w:bidi="ar-SY"/>
        </w:rPr>
        <w:t xml:space="preserve"> </w:t>
      </w:r>
      <w:r w:rsidR="00685363" w:rsidRPr="00995B26">
        <w:rPr>
          <w:rFonts w:ascii="Abo-thar" w:hAnsi="Abo-thar" w:cs="Traditional Arabic" w:hint="cs"/>
          <w:sz w:val="28"/>
          <w:rtl/>
          <w:lang w:bidi="ar-SY"/>
        </w:rPr>
        <w:t>﴿</w:t>
      </w:r>
      <w:r w:rsidR="00685363" w:rsidRPr="0067048A">
        <w:rPr>
          <w:rStyle w:val="Char3"/>
          <w:rFonts w:hint="eastAsia"/>
          <w:rtl/>
        </w:rPr>
        <w:t>وَ</w:t>
      </w:r>
      <w:r w:rsidR="00685363" w:rsidRPr="0067048A">
        <w:rPr>
          <w:rStyle w:val="Char3"/>
          <w:rFonts w:hint="cs"/>
          <w:rtl/>
        </w:rPr>
        <w:t>ٱ</w:t>
      </w:r>
      <w:r w:rsidR="00685363" w:rsidRPr="0067048A">
        <w:rPr>
          <w:rStyle w:val="Char3"/>
          <w:rFonts w:hint="eastAsia"/>
          <w:rtl/>
        </w:rPr>
        <w:t>ع</w:t>
      </w:r>
      <w:r w:rsidR="00685363" w:rsidRPr="0067048A">
        <w:rPr>
          <w:rStyle w:val="Char3"/>
          <w:rFonts w:hint="cs"/>
          <w:rtl/>
        </w:rPr>
        <w:t>ۡ</w:t>
      </w:r>
      <w:r w:rsidR="00685363" w:rsidRPr="0067048A">
        <w:rPr>
          <w:rStyle w:val="Char3"/>
          <w:rFonts w:hint="eastAsia"/>
          <w:rtl/>
        </w:rPr>
        <w:t>لَمُو</w:t>
      </w:r>
      <w:r w:rsidR="00685363" w:rsidRPr="0067048A">
        <w:rPr>
          <w:rStyle w:val="Char3"/>
          <w:rFonts w:hint="cs"/>
          <w:rtl/>
        </w:rPr>
        <w:t>ٓ</w:t>
      </w:r>
      <w:r w:rsidR="00685363" w:rsidRPr="0067048A">
        <w:rPr>
          <w:rStyle w:val="Char3"/>
          <w:rFonts w:hint="eastAsia"/>
          <w:rtl/>
        </w:rPr>
        <w:t>اْ</w:t>
      </w:r>
      <w:r w:rsidR="00685363" w:rsidRPr="0067048A">
        <w:rPr>
          <w:rStyle w:val="Char3"/>
          <w:rtl/>
        </w:rPr>
        <w:t xml:space="preserve"> </w:t>
      </w:r>
      <w:r w:rsidR="00685363" w:rsidRPr="0067048A">
        <w:rPr>
          <w:rStyle w:val="Char3"/>
          <w:rFonts w:hint="eastAsia"/>
          <w:rtl/>
        </w:rPr>
        <w:t>أَنَّمَا</w:t>
      </w:r>
      <w:r w:rsidR="00685363" w:rsidRPr="0067048A">
        <w:rPr>
          <w:rStyle w:val="Char3"/>
          <w:rtl/>
        </w:rPr>
        <w:t xml:space="preserve"> </w:t>
      </w:r>
      <w:r w:rsidR="00685363" w:rsidRPr="0067048A">
        <w:rPr>
          <w:rStyle w:val="Char3"/>
          <w:rFonts w:hint="eastAsia"/>
          <w:rtl/>
        </w:rPr>
        <w:t>غَنِم</w:t>
      </w:r>
      <w:r w:rsidR="00685363" w:rsidRPr="0067048A">
        <w:rPr>
          <w:rStyle w:val="Char3"/>
          <w:rFonts w:hint="cs"/>
          <w:rtl/>
        </w:rPr>
        <w:t>ۡ</w:t>
      </w:r>
      <w:r w:rsidR="00685363" w:rsidRPr="0067048A">
        <w:rPr>
          <w:rStyle w:val="Char3"/>
          <w:rFonts w:hint="eastAsia"/>
          <w:rtl/>
        </w:rPr>
        <w:t>تُم</w:t>
      </w:r>
      <w:r w:rsidR="00685363" w:rsidRPr="0067048A">
        <w:rPr>
          <w:rStyle w:val="Char3"/>
          <w:rtl/>
        </w:rPr>
        <w:t xml:space="preserve"> </w:t>
      </w:r>
      <w:r w:rsidR="00685363" w:rsidRPr="0067048A">
        <w:rPr>
          <w:rStyle w:val="Char3"/>
          <w:rFonts w:hint="eastAsia"/>
          <w:rtl/>
        </w:rPr>
        <w:t>مِّن</w:t>
      </w:r>
      <w:r w:rsidR="00685363" w:rsidRPr="0067048A">
        <w:rPr>
          <w:rStyle w:val="Char3"/>
          <w:rtl/>
        </w:rPr>
        <w:t xml:space="preserve"> </w:t>
      </w:r>
      <w:r w:rsidR="00685363" w:rsidRPr="0067048A">
        <w:rPr>
          <w:rStyle w:val="Char3"/>
          <w:rFonts w:hint="eastAsia"/>
          <w:rtl/>
        </w:rPr>
        <w:t>شَي</w:t>
      </w:r>
      <w:r w:rsidR="00685363" w:rsidRPr="0067048A">
        <w:rPr>
          <w:rStyle w:val="Char3"/>
          <w:rFonts w:hint="cs"/>
          <w:rtl/>
        </w:rPr>
        <w:t>ۡ</w:t>
      </w:r>
      <w:r w:rsidR="00685363" w:rsidRPr="0067048A">
        <w:rPr>
          <w:rStyle w:val="Char3"/>
          <w:rFonts w:hint="eastAsia"/>
          <w:rtl/>
        </w:rPr>
        <w:t>ء</w:t>
      </w:r>
      <w:r w:rsidR="00685363" w:rsidRPr="0067048A">
        <w:rPr>
          <w:rStyle w:val="Char3"/>
          <w:rFonts w:hint="cs"/>
          <w:rtl/>
        </w:rPr>
        <w:t>ٖ</w:t>
      </w:r>
      <w:r w:rsidR="00685363" w:rsidRPr="0067048A">
        <w:rPr>
          <w:rStyle w:val="Char3"/>
          <w:rtl/>
        </w:rPr>
        <w:t xml:space="preserve"> </w:t>
      </w:r>
      <w:r w:rsidR="00685363" w:rsidRPr="0067048A">
        <w:rPr>
          <w:rStyle w:val="Char3"/>
          <w:rFonts w:hint="eastAsia"/>
          <w:rtl/>
        </w:rPr>
        <w:t>فَأَنَّ</w:t>
      </w:r>
      <w:r w:rsidR="00685363" w:rsidRPr="0067048A">
        <w:rPr>
          <w:rStyle w:val="Char3"/>
          <w:rtl/>
        </w:rPr>
        <w:t xml:space="preserve"> </w:t>
      </w:r>
      <w:r w:rsidR="00685363" w:rsidRPr="0067048A">
        <w:rPr>
          <w:rStyle w:val="Char3"/>
          <w:rFonts w:hint="eastAsia"/>
          <w:rtl/>
        </w:rPr>
        <w:t>لِلَّهِ</w:t>
      </w:r>
      <w:r w:rsidR="00685363" w:rsidRPr="0067048A">
        <w:rPr>
          <w:rStyle w:val="Char3"/>
          <w:rtl/>
        </w:rPr>
        <w:t xml:space="preserve"> </w:t>
      </w:r>
      <w:r w:rsidR="00685363" w:rsidRPr="0067048A">
        <w:rPr>
          <w:rStyle w:val="Char3"/>
          <w:rFonts w:hint="eastAsia"/>
          <w:rtl/>
        </w:rPr>
        <w:t>خُمُسَهُ</w:t>
      </w:r>
      <w:r w:rsidR="00685363" w:rsidRPr="0067048A">
        <w:rPr>
          <w:rStyle w:val="Char3"/>
          <w:rFonts w:hint="cs"/>
          <w:rtl/>
        </w:rPr>
        <w:t>ۥ</w:t>
      </w:r>
      <w:r w:rsidR="00685363" w:rsidRPr="0067048A">
        <w:rPr>
          <w:rStyle w:val="Char3"/>
          <w:rtl/>
        </w:rPr>
        <w:t xml:space="preserve"> </w:t>
      </w:r>
      <w:r w:rsidR="00685363" w:rsidRPr="0067048A">
        <w:rPr>
          <w:rStyle w:val="Char3"/>
          <w:rFonts w:hint="eastAsia"/>
          <w:rtl/>
        </w:rPr>
        <w:t>وَلِلرَّسُولِ</w:t>
      </w:r>
      <w:r w:rsidR="00685363" w:rsidRPr="0067048A">
        <w:rPr>
          <w:rStyle w:val="Char3"/>
          <w:rtl/>
        </w:rPr>
        <w:t xml:space="preserve"> </w:t>
      </w:r>
      <w:r w:rsidR="00685363" w:rsidRPr="0067048A">
        <w:rPr>
          <w:rStyle w:val="Char3"/>
          <w:rFonts w:hint="eastAsia"/>
          <w:rtl/>
        </w:rPr>
        <w:t>وَلِذِي</w:t>
      </w:r>
      <w:r w:rsidR="00685363" w:rsidRPr="0067048A">
        <w:rPr>
          <w:rStyle w:val="Char3"/>
          <w:rtl/>
        </w:rPr>
        <w:t xml:space="preserve"> </w:t>
      </w:r>
      <w:r w:rsidR="00685363" w:rsidRPr="0067048A">
        <w:rPr>
          <w:rStyle w:val="Char3"/>
          <w:rFonts w:hint="cs"/>
          <w:rtl/>
        </w:rPr>
        <w:t>ٱ</w:t>
      </w:r>
      <w:r w:rsidR="00685363" w:rsidRPr="0067048A">
        <w:rPr>
          <w:rStyle w:val="Char3"/>
          <w:rFonts w:hint="eastAsia"/>
          <w:rtl/>
        </w:rPr>
        <w:t>ل</w:t>
      </w:r>
      <w:r w:rsidR="00685363" w:rsidRPr="0067048A">
        <w:rPr>
          <w:rStyle w:val="Char3"/>
          <w:rFonts w:hint="cs"/>
          <w:rtl/>
        </w:rPr>
        <w:t>ۡ</w:t>
      </w:r>
      <w:r w:rsidR="00685363" w:rsidRPr="0067048A">
        <w:rPr>
          <w:rStyle w:val="Char3"/>
          <w:rFonts w:hint="eastAsia"/>
          <w:rtl/>
        </w:rPr>
        <w:t>قُر</w:t>
      </w:r>
      <w:r w:rsidR="00685363" w:rsidRPr="0067048A">
        <w:rPr>
          <w:rStyle w:val="Char3"/>
          <w:rFonts w:hint="cs"/>
          <w:rtl/>
        </w:rPr>
        <w:t>ۡ</w:t>
      </w:r>
      <w:r w:rsidR="00685363" w:rsidRPr="0067048A">
        <w:rPr>
          <w:rStyle w:val="Char3"/>
          <w:rFonts w:hint="eastAsia"/>
          <w:rtl/>
        </w:rPr>
        <w:t>بَى</w:t>
      </w:r>
      <w:r w:rsidR="00685363" w:rsidRPr="0067048A">
        <w:rPr>
          <w:rStyle w:val="Char3"/>
          <w:rFonts w:hint="cs"/>
          <w:rtl/>
        </w:rPr>
        <w:t>ٰ</w:t>
      </w:r>
      <w:r w:rsidR="00685363" w:rsidRPr="0067048A">
        <w:rPr>
          <w:rStyle w:val="Char3"/>
          <w:rtl/>
        </w:rPr>
        <w:t xml:space="preserve"> </w:t>
      </w:r>
      <w:r w:rsidR="00685363" w:rsidRPr="0067048A">
        <w:rPr>
          <w:rStyle w:val="Char3"/>
          <w:rFonts w:hint="eastAsia"/>
          <w:rtl/>
        </w:rPr>
        <w:t>وَ</w:t>
      </w:r>
      <w:r w:rsidR="00685363" w:rsidRPr="0067048A">
        <w:rPr>
          <w:rStyle w:val="Char3"/>
          <w:rFonts w:hint="cs"/>
          <w:rtl/>
        </w:rPr>
        <w:t>ٱ</w:t>
      </w:r>
      <w:r w:rsidR="00685363" w:rsidRPr="0067048A">
        <w:rPr>
          <w:rStyle w:val="Char3"/>
          <w:rFonts w:hint="eastAsia"/>
          <w:rtl/>
        </w:rPr>
        <w:t>ل</w:t>
      </w:r>
      <w:r w:rsidR="00685363" w:rsidRPr="0067048A">
        <w:rPr>
          <w:rStyle w:val="Char3"/>
          <w:rFonts w:hint="cs"/>
          <w:rtl/>
        </w:rPr>
        <w:t>ۡ</w:t>
      </w:r>
      <w:r w:rsidR="00685363" w:rsidRPr="0067048A">
        <w:rPr>
          <w:rStyle w:val="Char3"/>
          <w:rFonts w:hint="eastAsia"/>
          <w:rtl/>
        </w:rPr>
        <w:t>يَتَ</w:t>
      </w:r>
      <w:r w:rsidR="00685363" w:rsidRPr="0067048A">
        <w:rPr>
          <w:rStyle w:val="Char3"/>
          <w:rFonts w:hint="cs"/>
          <w:rtl/>
        </w:rPr>
        <w:t>ٰ</w:t>
      </w:r>
      <w:r w:rsidR="00685363" w:rsidRPr="0067048A">
        <w:rPr>
          <w:rStyle w:val="Char3"/>
          <w:rFonts w:hint="eastAsia"/>
          <w:rtl/>
        </w:rPr>
        <w:t>مَى</w:t>
      </w:r>
      <w:r w:rsidR="00685363" w:rsidRPr="0067048A">
        <w:rPr>
          <w:rStyle w:val="Char3"/>
          <w:rFonts w:hint="cs"/>
          <w:rtl/>
        </w:rPr>
        <w:t>ٰ</w:t>
      </w:r>
      <w:r w:rsidR="00685363" w:rsidRPr="0067048A">
        <w:rPr>
          <w:rStyle w:val="Char3"/>
          <w:rtl/>
        </w:rPr>
        <w:t xml:space="preserve"> </w:t>
      </w:r>
      <w:r w:rsidR="00685363" w:rsidRPr="0067048A">
        <w:rPr>
          <w:rStyle w:val="Char3"/>
          <w:rFonts w:hint="eastAsia"/>
          <w:rtl/>
        </w:rPr>
        <w:t>وَ</w:t>
      </w:r>
      <w:r w:rsidR="00685363" w:rsidRPr="0067048A">
        <w:rPr>
          <w:rStyle w:val="Char3"/>
          <w:rFonts w:hint="cs"/>
          <w:rtl/>
        </w:rPr>
        <w:t>ٱ</w:t>
      </w:r>
      <w:r w:rsidR="00685363" w:rsidRPr="0067048A">
        <w:rPr>
          <w:rStyle w:val="Char3"/>
          <w:rFonts w:hint="eastAsia"/>
          <w:rtl/>
        </w:rPr>
        <w:t>ل</w:t>
      </w:r>
      <w:r w:rsidR="00685363" w:rsidRPr="0067048A">
        <w:rPr>
          <w:rStyle w:val="Char3"/>
          <w:rFonts w:hint="cs"/>
          <w:rtl/>
        </w:rPr>
        <w:t>ۡ</w:t>
      </w:r>
      <w:r w:rsidR="00685363" w:rsidRPr="0067048A">
        <w:rPr>
          <w:rStyle w:val="Char3"/>
          <w:rFonts w:hint="eastAsia"/>
          <w:rtl/>
        </w:rPr>
        <w:t>مَسَ</w:t>
      </w:r>
      <w:r w:rsidR="00685363" w:rsidRPr="0067048A">
        <w:rPr>
          <w:rStyle w:val="Char3"/>
          <w:rFonts w:hint="cs"/>
          <w:rtl/>
        </w:rPr>
        <w:t>ٰ</w:t>
      </w:r>
      <w:r w:rsidR="00685363" w:rsidRPr="0067048A">
        <w:rPr>
          <w:rStyle w:val="Char3"/>
          <w:rFonts w:hint="eastAsia"/>
          <w:rtl/>
        </w:rPr>
        <w:t>كِينِ</w:t>
      </w:r>
      <w:r w:rsidR="00685363" w:rsidRPr="00995B26">
        <w:rPr>
          <w:rFonts w:ascii="Abo-thar" w:hAnsi="Abo-thar" w:cs="Traditional Arabic" w:hint="cs"/>
          <w:sz w:val="28"/>
          <w:rtl/>
          <w:lang w:bidi="ar-SY"/>
        </w:rPr>
        <w:t>﴾</w:t>
      </w:r>
      <w:r w:rsidRPr="00995B26">
        <w:rPr>
          <w:rFonts w:ascii="Abo-thar" w:hAnsi="Abo-thar"/>
          <w:sz w:val="28"/>
          <w:rtl/>
          <w:lang w:bidi="ar-SY"/>
        </w:rPr>
        <w:t xml:space="preserve"> </w:t>
      </w:r>
      <w:r w:rsidRPr="00CE7623">
        <w:rPr>
          <w:rFonts w:ascii="Abo-thar" w:hAnsi="Abo-thar" w:cs="KFGQPC Uthman Taha Naskh"/>
          <w:b/>
          <w:bCs/>
          <w:sz w:val="28"/>
          <w:u w:val="single"/>
          <w:rtl/>
          <w:lang w:bidi="ar-SY"/>
        </w:rPr>
        <w:t>فَجُعِلَ لِـلَّهِ خُمُسُ الْغَنَائِمِ</w:t>
      </w:r>
      <w:r w:rsidRPr="00CE7623">
        <w:rPr>
          <w:rFonts w:ascii="Abo-thar" w:hAnsi="Abo-thar" w:cs="KFGQPC Uthman Taha Naskh"/>
          <w:sz w:val="28"/>
          <w:rtl/>
          <w:lang w:bidi="ar-SY"/>
        </w:rPr>
        <w:t xml:space="preserve"> وَالْخُمُسُ يُخْرَجُ مِنْ أَرْبَعَةِ وُجُوهٍ مِنَ الْغَنَائِمِ الَّتِي يُصِيبُهَا المُسْلِمُونَ مِنَ المُشْرِكِينَ وَمِنَ المَعَادِنِ وَمِنَ الْكُنُوزِ وَمِنَ الْغَوْصِ</w:t>
      </w:r>
      <w:r w:rsidR="00EF2588" w:rsidRPr="00CE7623">
        <w:rPr>
          <w:rFonts w:ascii="Abo-thar" w:hAnsi="Abo-thar" w:cs="KFGQPC Uthman Taha Naskh" w:hint="cs"/>
          <w:sz w:val="28"/>
          <w:rtl/>
          <w:lang w:bidi="ar-SY"/>
        </w:rPr>
        <w:t>»</w:t>
      </w:r>
      <w:r w:rsidR="00217AB4" w:rsidRPr="00995B26">
        <w:rPr>
          <w:rFonts w:ascii="Abo-thar" w:hAnsi="Abo-thar" w:hint="cs"/>
          <w:sz w:val="28"/>
          <w:rtl/>
          <w:lang w:bidi="ar-SY"/>
        </w:rPr>
        <w:t>.</w:t>
      </w:r>
    </w:p>
    <w:p w:rsidR="005C664D" w:rsidRPr="003F3B94" w:rsidRDefault="005C664D" w:rsidP="00F01069">
      <w:pPr>
        <w:pStyle w:val="a0"/>
        <w:spacing w:after="0"/>
        <w:ind w:left="624" w:hanging="340"/>
        <w:rPr>
          <w:rFonts w:hint="cs"/>
          <w:rtl/>
          <w:lang w:bidi="ar-SY"/>
        </w:rPr>
      </w:pPr>
      <w:r w:rsidRPr="003F3B94">
        <w:rPr>
          <w:rFonts w:ascii="Abo-thar" w:hAnsi="Abo-thar" w:hint="cs"/>
          <w:sz w:val="28"/>
          <w:rtl/>
          <w:lang w:bidi="ar-SY"/>
        </w:rPr>
        <w:t>هـ</w:t>
      </w:r>
      <w:r w:rsidR="00217AB4" w:rsidRPr="003F3B94">
        <w:rPr>
          <w:rFonts w:ascii="Abo-thar" w:hAnsi="Abo-thar" w:hint="cs"/>
          <w:sz w:val="28"/>
          <w:rtl/>
          <w:lang w:bidi="ar-SY"/>
        </w:rPr>
        <w:t>-</w:t>
      </w:r>
      <w:r w:rsidRPr="003F3B94">
        <w:rPr>
          <w:rFonts w:ascii="Abo-thar" w:hAnsi="Abo-thar" w:hint="cs"/>
          <w:sz w:val="28"/>
          <w:rtl/>
          <w:lang w:bidi="ar-SY"/>
        </w:rPr>
        <w:t xml:space="preserve"> إن أحاديث أهل بيت الطهارة المذكورة أعلاه تدل على أن خمس الغنائم لِـلَّهِ</w:t>
      </w:r>
      <w:r w:rsidR="00147857" w:rsidRPr="003F3B94">
        <w:rPr>
          <w:rFonts w:ascii="Abo-thar" w:hAnsi="Abo-thar" w:hint="cs"/>
          <w:sz w:val="28"/>
          <w:rtl/>
          <w:lang w:bidi="ar-SY"/>
        </w:rPr>
        <w:t xml:space="preserve"> </w:t>
      </w:r>
      <w:r w:rsidRPr="003F3B94">
        <w:rPr>
          <w:rFonts w:ascii="Abo-thar" w:hAnsi="Abo-thar" w:hint="cs"/>
          <w:sz w:val="28"/>
          <w:rtl/>
          <w:lang w:bidi="ar-SY"/>
        </w:rPr>
        <w:t>وحده</w:t>
      </w:r>
      <w:r w:rsidR="00217AB4" w:rsidRPr="003F3B94">
        <w:rPr>
          <w:rFonts w:ascii="Abo-thar" w:hAnsi="Abo-thar" w:hint="cs"/>
          <w:sz w:val="28"/>
          <w:rtl/>
          <w:lang w:bidi="ar-SY"/>
        </w:rPr>
        <w:t>.</w:t>
      </w:r>
      <w:r w:rsidRPr="003F3B94">
        <w:rPr>
          <w:rFonts w:ascii="Abo-thar" w:hAnsi="Abo-thar" w:hint="cs"/>
          <w:sz w:val="28"/>
          <w:rtl/>
          <w:lang w:bidi="ar-SY"/>
        </w:rPr>
        <w:t xml:space="preserve"> </w:t>
      </w:r>
    </w:p>
    <w:p w:rsidR="005C664D" w:rsidRPr="003F3B94" w:rsidRDefault="005C664D" w:rsidP="00F01069">
      <w:pPr>
        <w:pStyle w:val="a0"/>
        <w:ind w:left="624" w:firstLine="0"/>
        <w:rPr>
          <w:rFonts w:hint="cs"/>
          <w:rtl/>
          <w:lang w:bidi="ar-SY"/>
        </w:rPr>
      </w:pPr>
      <w:r w:rsidRPr="003F3B94">
        <w:rPr>
          <w:rFonts w:ascii="Abo-thar" w:hAnsi="Abo-thar" w:hint="cs"/>
          <w:sz w:val="28"/>
          <w:rtl/>
          <w:lang w:bidi="ar-SY"/>
        </w:rPr>
        <w:t>وهذا الأمر تؤيده الأحاديث الواردة من طرق العامة أيضاً</w:t>
      </w:r>
      <w:r w:rsidR="00217AB4" w:rsidRPr="003F3B94">
        <w:rPr>
          <w:rFonts w:ascii="Abo-thar" w:hAnsi="Abo-thar" w:hint="cs"/>
          <w:sz w:val="28"/>
          <w:rtl/>
          <w:lang w:bidi="ar-SY"/>
        </w:rPr>
        <w:t>،</w:t>
      </w:r>
      <w:r w:rsidRPr="003F3B94">
        <w:rPr>
          <w:rFonts w:ascii="Abo-thar" w:hAnsi="Abo-thar" w:hint="cs"/>
          <w:sz w:val="28"/>
          <w:rtl/>
          <w:lang w:bidi="ar-SY"/>
        </w:rPr>
        <w:t xml:space="preserve"> فمن ذلك ما رواه ابن سعد</w:t>
      </w:r>
      <w:r w:rsidR="00190541" w:rsidRPr="003F3B94">
        <w:rPr>
          <w:rFonts w:ascii="Abo-thar" w:hAnsi="Abo-thar" w:hint="cs"/>
          <w:sz w:val="28"/>
          <w:rtl/>
          <w:lang w:bidi="ar-SY"/>
        </w:rPr>
        <w:t>:</w:t>
      </w:r>
      <w:r w:rsidR="00F01069">
        <w:rPr>
          <w:rFonts w:hint="cs"/>
          <w:rtl/>
          <w:lang w:bidi="ar-SY"/>
        </w:rPr>
        <w:t xml:space="preserve"> </w:t>
      </w:r>
      <w:r w:rsidR="00EF2588" w:rsidRPr="00CE7623">
        <w:rPr>
          <w:rFonts w:ascii="Abo-thar" w:hAnsi="Abo-thar" w:cs="KFGQPC Uthman Taha Naskh" w:hint="cs"/>
          <w:sz w:val="28"/>
          <w:rtl/>
          <w:lang w:bidi="ar-SY"/>
        </w:rPr>
        <w:t>«</w:t>
      </w:r>
      <w:r w:rsidR="00217AB4" w:rsidRPr="00CE7623">
        <w:rPr>
          <w:rFonts w:ascii="Abo-thar" w:hAnsi="Abo-thar" w:cs="KFGQPC Uthman Taha Naskh" w:hint="cs"/>
          <w:sz w:val="28"/>
          <w:rtl/>
          <w:lang w:bidi="ar-SY"/>
        </w:rPr>
        <w:t>..</w:t>
      </w:r>
      <w:r w:rsidRPr="00CE7623">
        <w:rPr>
          <w:rFonts w:ascii="Abo-thar" w:hAnsi="Abo-thar" w:cs="KFGQPC Uthman Taha Naskh"/>
          <w:sz w:val="28"/>
          <w:rtl/>
          <w:lang w:bidi="ar-SY"/>
        </w:rPr>
        <w:t xml:space="preserve"> عن خالد بن أبي عزة أن </w:t>
      </w:r>
      <w:r w:rsidRPr="00CE7623">
        <w:rPr>
          <w:rFonts w:ascii="Abo-thar" w:hAnsi="Abo-thar" w:cs="KFGQPC Uthman Taha Naskh"/>
          <w:b/>
          <w:bCs/>
          <w:sz w:val="28"/>
          <w:rtl/>
          <w:lang w:bidi="ar-SY"/>
        </w:rPr>
        <w:t>أبا بكر أوصى بخمس ماله</w:t>
      </w:r>
      <w:r w:rsidR="00217AB4" w:rsidRPr="00CE7623">
        <w:rPr>
          <w:rFonts w:ascii="Abo-thar" w:hAnsi="Abo-thar" w:cs="KFGQPC Uthman Taha Naskh"/>
          <w:b/>
          <w:bCs/>
          <w:sz w:val="28"/>
          <w:rtl/>
          <w:lang w:bidi="ar-SY"/>
        </w:rPr>
        <w:t>،</w:t>
      </w:r>
      <w:r w:rsidRPr="00CE7623">
        <w:rPr>
          <w:rFonts w:ascii="Abo-thar" w:hAnsi="Abo-thar" w:cs="KFGQPC Uthman Taha Naskh"/>
          <w:b/>
          <w:bCs/>
          <w:sz w:val="28"/>
          <w:rtl/>
          <w:lang w:bidi="ar-SY"/>
        </w:rPr>
        <w:t xml:space="preserve"> أو قال</w:t>
      </w:r>
      <w:r w:rsidR="00217AB4" w:rsidRPr="00CE7623">
        <w:rPr>
          <w:rFonts w:ascii="Abo-thar" w:hAnsi="Abo-thar" w:cs="KFGQPC Uthman Taha Naskh" w:hint="cs"/>
          <w:b/>
          <w:bCs/>
          <w:sz w:val="28"/>
          <w:rtl/>
          <w:lang w:bidi="ar-SY"/>
        </w:rPr>
        <w:t>:</w:t>
      </w:r>
      <w:r w:rsidRPr="00CE7623">
        <w:rPr>
          <w:rFonts w:ascii="Abo-thar" w:hAnsi="Abo-thar" w:cs="KFGQPC Uthman Taha Naskh"/>
          <w:b/>
          <w:bCs/>
          <w:sz w:val="28"/>
          <w:rtl/>
          <w:lang w:bidi="ar-SY"/>
        </w:rPr>
        <w:t xml:space="preserve"> آخذ من مالي ما أخذ الله من فيء المسلمين</w:t>
      </w:r>
      <w:r w:rsidR="00EF2588" w:rsidRPr="00CE7623">
        <w:rPr>
          <w:rFonts w:ascii="Abo-thar" w:hAnsi="Abo-thar" w:cs="KFGQPC Uthman Taha Naskh" w:hint="cs"/>
          <w:sz w:val="28"/>
          <w:rtl/>
          <w:lang w:bidi="ar-SY"/>
        </w:rPr>
        <w:t>»</w:t>
      </w:r>
      <w:r w:rsidR="00217AB4" w:rsidRPr="003F3B94">
        <w:rPr>
          <w:rFonts w:ascii="Abo-thar" w:hAnsi="Abo-thar" w:hint="cs"/>
          <w:sz w:val="28"/>
          <w:rtl/>
          <w:lang w:bidi="ar-SY"/>
        </w:rPr>
        <w:t>.</w:t>
      </w:r>
      <w:r w:rsidRPr="003F3B94">
        <w:rPr>
          <w:rFonts w:ascii="Abo-thar" w:hAnsi="Abo-thar" w:hint="cs"/>
          <w:sz w:val="28"/>
          <w:rtl/>
          <w:lang w:bidi="ar-SY"/>
        </w:rPr>
        <w:t xml:space="preserve"> وفي رواية أخرى </w:t>
      </w:r>
      <w:r w:rsidR="00EF2588" w:rsidRPr="00CE7623">
        <w:rPr>
          <w:rFonts w:ascii="Abo-thar" w:hAnsi="Abo-thar" w:cs="KFGQPC Uthman Taha Naskh" w:hint="cs"/>
          <w:sz w:val="28"/>
          <w:rtl/>
          <w:lang w:bidi="ar-SY"/>
        </w:rPr>
        <w:t>«</w:t>
      </w:r>
      <w:r w:rsidRPr="00CE7623">
        <w:rPr>
          <w:rFonts w:ascii="Abo-thar" w:hAnsi="Abo-thar" w:cs="KFGQPC Uthman Taha Naskh"/>
          <w:sz w:val="28"/>
          <w:rtl/>
          <w:lang w:bidi="ar-SY"/>
        </w:rPr>
        <w:t>عن قتادة قال</w:t>
      </w:r>
      <w:r w:rsidR="00217AB4" w:rsidRPr="00CE7623">
        <w:rPr>
          <w:rFonts w:ascii="Abo-thar" w:hAnsi="Abo-thar" w:cs="KFGQPC Uthman Taha Naskh"/>
          <w:sz w:val="28"/>
          <w:rtl/>
          <w:lang w:bidi="ar-SY"/>
        </w:rPr>
        <w:t>:</w:t>
      </w:r>
      <w:r w:rsidRPr="00CE7623">
        <w:rPr>
          <w:rFonts w:ascii="Abo-thar" w:hAnsi="Abo-thar" w:cs="KFGQPC Uthman Taha Naskh"/>
          <w:sz w:val="28"/>
          <w:rtl/>
          <w:lang w:bidi="ar-SY"/>
        </w:rPr>
        <w:t xml:space="preserve"> قال</w:t>
      </w:r>
      <w:r w:rsidR="00217AB4" w:rsidRPr="00CE7623">
        <w:rPr>
          <w:rFonts w:ascii="Abo-thar" w:hAnsi="Abo-thar" w:cs="KFGQPC Uthman Taha Naskh"/>
          <w:sz w:val="28"/>
          <w:rtl/>
          <w:lang w:bidi="ar-SY"/>
        </w:rPr>
        <w:t>:</w:t>
      </w:r>
      <w:r w:rsidRPr="00CE7623">
        <w:rPr>
          <w:rFonts w:ascii="Abo-thar" w:hAnsi="Abo-thar" w:cs="KFGQPC Uthman Taha Naskh"/>
          <w:sz w:val="28"/>
          <w:rtl/>
          <w:lang w:bidi="ar-SY"/>
        </w:rPr>
        <w:t xml:space="preserve"> أبو بكر</w:t>
      </w:r>
      <w:r w:rsidR="00217AB4" w:rsidRPr="00CE7623">
        <w:rPr>
          <w:rFonts w:ascii="Abo-thar" w:hAnsi="Abo-thar" w:cs="KFGQPC Uthman Taha Naskh" w:hint="cs"/>
          <w:sz w:val="28"/>
          <w:rtl/>
          <w:lang w:bidi="ar-SY"/>
        </w:rPr>
        <w:t>:</w:t>
      </w:r>
      <w:r w:rsidRPr="00CE7623">
        <w:rPr>
          <w:rFonts w:ascii="Abo-thar" w:hAnsi="Abo-thar" w:cs="KFGQPC Uthman Taha Naskh"/>
          <w:sz w:val="28"/>
          <w:rtl/>
          <w:lang w:bidi="ar-SY"/>
        </w:rPr>
        <w:t xml:space="preserve"> </w:t>
      </w:r>
      <w:r w:rsidRPr="00CE7623">
        <w:rPr>
          <w:rFonts w:ascii="Abo-thar" w:hAnsi="Abo-thar" w:cs="KFGQPC Uthman Taha Naskh"/>
          <w:b/>
          <w:bCs/>
          <w:sz w:val="28"/>
          <w:rtl/>
          <w:lang w:bidi="ar-SY"/>
        </w:rPr>
        <w:t>لي من مالي ما رضي ربي من الغنيمة</w:t>
      </w:r>
      <w:r w:rsidR="00217AB4" w:rsidRPr="00CE7623">
        <w:rPr>
          <w:rFonts w:ascii="Abo-thar" w:hAnsi="Abo-thar" w:cs="KFGQPC Uthman Taha Naskh"/>
          <w:b/>
          <w:bCs/>
          <w:sz w:val="28"/>
          <w:rtl/>
          <w:lang w:bidi="ar-SY"/>
        </w:rPr>
        <w:t>،</w:t>
      </w:r>
      <w:r w:rsidRPr="00CE7623">
        <w:rPr>
          <w:rFonts w:ascii="Abo-thar" w:hAnsi="Abo-thar" w:cs="KFGQPC Uthman Taha Naskh"/>
          <w:b/>
          <w:bCs/>
          <w:sz w:val="28"/>
          <w:rtl/>
          <w:lang w:bidi="ar-SY"/>
        </w:rPr>
        <w:t xml:space="preserve"> فأوصى بالخمس</w:t>
      </w:r>
      <w:r w:rsidR="00FB6445" w:rsidRPr="00CE7623">
        <w:rPr>
          <w:rFonts w:ascii="Abo-thar" w:hAnsi="Abo-thar" w:cs="KFGQPC Uthman Taha Naskh"/>
          <w:b/>
          <w:bCs/>
          <w:sz w:val="28"/>
          <w:rtl/>
          <w:lang w:bidi="ar-SY"/>
        </w:rPr>
        <w:t>»</w:t>
      </w:r>
      <w:r w:rsidR="00190541" w:rsidRPr="0021507A">
        <w:rPr>
          <w:rFonts w:ascii="Abo-thar" w:hAnsi="Abo-thar" w:cs="Arabic11 BT"/>
          <w:sz w:val="28"/>
          <w:vertAlign w:val="superscript"/>
          <w:rtl/>
          <w:lang w:bidi="ar-SY"/>
        </w:rPr>
        <w:t>(</w:t>
      </w:r>
      <w:r w:rsidR="00190541" w:rsidRPr="0021507A">
        <w:rPr>
          <w:rStyle w:val="FootnoteReference"/>
          <w:rFonts w:ascii="Abo-thar" w:hAnsi="Abo-thar" w:cs="Arabic11 BT"/>
          <w:sz w:val="28"/>
          <w:rtl/>
          <w:lang w:bidi="ar-SY"/>
        </w:rPr>
        <w:footnoteReference w:id="56"/>
      </w:r>
      <w:r w:rsidR="00190541" w:rsidRPr="0021507A">
        <w:rPr>
          <w:rFonts w:ascii="Abo-thar" w:hAnsi="Abo-thar" w:cs="Arabic11 BT"/>
          <w:sz w:val="28"/>
          <w:vertAlign w:val="superscript"/>
          <w:rtl/>
          <w:lang w:bidi="ar-SY"/>
        </w:rPr>
        <w:t>)</w:t>
      </w:r>
      <w:r w:rsidR="00217AB4" w:rsidRPr="003F3B94">
        <w:rPr>
          <w:rFonts w:ascii="Abo-thar" w:hAnsi="Abo-thar" w:hint="cs"/>
          <w:sz w:val="28"/>
          <w:rtl/>
          <w:lang w:bidi="ar-SY"/>
        </w:rPr>
        <w:t>.</w:t>
      </w:r>
      <w:r w:rsidRPr="003F3B94">
        <w:rPr>
          <w:rFonts w:ascii="Abo-thar" w:hAnsi="Abo-thar" w:hint="cs"/>
          <w:sz w:val="28"/>
          <w:rtl/>
          <w:lang w:bidi="ar-SY"/>
        </w:rPr>
        <w:t xml:space="preserve"> </w:t>
      </w:r>
    </w:p>
    <w:p w:rsidR="005C664D" w:rsidRPr="003F3B94" w:rsidRDefault="005C664D" w:rsidP="00F01069">
      <w:pPr>
        <w:pStyle w:val="a0"/>
        <w:ind w:left="624" w:firstLine="0"/>
        <w:rPr>
          <w:rFonts w:hint="cs"/>
          <w:rtl/>
          <w:lang w:bidi="ar-SY"/>
        </w:rPr>
      </w:pPr>
      <w:r w:rsidRPr="003F3B94">
        <w:rPr>
          <w:rFonts w:ascii="Abo-thar" w:hAnsi="Abo-thar" w:hint="cs"/>
          <w:sz w:val="28"/>
          <w:rtl/>
          <w:lang w:bidi="ar-SY"/>
        </w:rPr>
        <w:t>ومنها ما رواه البيهقي في السنن الكبرى</w:t>
      </w:r>
      <w:r w:rsidR="00217AB4" w:rsidRPr="003F3B94">
        <w:rPr>
          <w:rFonts w:ascii="Abo-thar" w:hAnsi="Abo-thar" w:hint="cs"/>
          <w:sz w:val="28"/>
          <w:rtl/>
          <w:lang w:bidi="ar-SY"/>
        </w:rPr>
        <w:t>:</w:t>
      </w:r>
      <w:r w:rsidRPr="003F3B94">
        <w:rPr>
          <w:rFonts w:ascii="Abo-thar" w:hAnsi="Abo-thar" w:hint="cs"/>
          <w:sz w:val="28"/>
          <w:rtl/>
          <w:lang w:bidi="ar-SY"/>
        </w:rPr>
        <w:t xml:space="preserve"> </w:t>
      </w:r>
      <w:r w:rsidR="00EF2588" w:rsidRPr="00CE7623">
        <w:rPr>
          <w:rFonts w:ascii="Abo-thar" w:hAnsi="Abo-thar" w:cs="KFGQPC Uthman Taha Naskh" w:hint="cs"/>
          <w:sz w:val="28"/>
          <w:rtl/>
          <w:lang w:bidi="ar-SY"/>
        </w:rPr>
        <w:t>«</w:t>
      </w:r>
      <w:r w:rsidRPr="00CE7623">
        <w:rPr>
          <w:rFonts w:ascii="Abo-thar" w:hAnsi="Abo-thar" w:cs="KFGQPC Uthman Taha Naskh"/>
          <w:sz w:val="28"/>
          <w:rtl/>
          <w:lang w:bidi="ar-SY"/>
        </w:rPr>
        <w:t>عَبْدِ اللهِ بْنِ شَقِيقٍ عَنْ رَجُلٍ مِنْ بَلْقَيْنَ قَالَ</w:t>
      </w:r>
      <w:r w:rsidR="00217AB4" w:rsidRPr="00CE7623">
        <w:rPr>
          <w:rFonts w:ascii="Abo-thar" w:hAnsi="Abo-thar" w:cs="KFGQPC Uthman Taha Naskh"/>
          <w:sz w:val="28"/>
          <w:rtl/>
          <w:lang w:bidi="ar-SY"/>
        </w:rPr>
        <w:t>:</w:t>
      </w:r>
      <w:r w:rsidRPr="00CE7623">
        <w:rPr>
          <w:rFonts w:ascii="Abo-thar" w:hAnsi="Abo-thar" w:cs="KFGQPC Uthman Taha Naskh"/>
          <w:sz w:val="28"/>
          <w:rtl/>
          <w:lang w:bidi="ar-SY"/>
        </w:rPr>
        <w:t xml:space="preserve"> أَتَيْتُ النَّبِىَّ</w:t>
      </w:r>
      <w:r w:rsidR="005C53D5" w:rsidRPr="00CE7623">
        <w:rPr>
          <w:rFonts w:ascii="Abo-thar" w:hAnsi="Abo-thar" w:cs="KFGQPC Uthman Taha Naskh"/>
          <w:sz w:val="28"/>
          <w:rtl/>
          <w:lang w:bidi="ar-SY"/>
        </w:rPr>
        <w:t xml:space="preserve"> </w:t>
      </w:r>
      <w:r w:rsidR="00BC4BA9" w:rsidRPr="00BC4BA9">
        <w:rPr>
          <w:rFonts w:cs="CTraditional Arabic"/>
          <w:sz w:val="28"/>
          <w:rtl/>
          <w:lang w:bidi="ar-SY"/>
        </w:rPr>
        <w:t>ص</w:t>
      </w:r>
      <w:r w:rsidR="005C53D5" w:rsidRPr="00CE7623">
        <w:rPr>
          <w:rFonts w:cs="KFGQPC Uthman Taha Naskh"/>
          <w:sz w:val="28"/>
          <w:rtl/>
          <w:lang w:bidi="ar-SY"/>
        </w:rPr>
        <w:t xml:space="preserve"> </w:t>
      </w:r>
      <w:r w:rsidRPr="00CE7623">
        <w:rPr>
          <w:rFonts w:ascii="Abo-thar" w:hAnsi="Abo-thar" w:cs="KFGQPC Uthman Taha Naskh"/>
          <w:sz w:val="28"/>
          <w:rtl/>
          <w:lang w:bidi="ar-SY"/>
        </w:rPr>
        <w:t>وَهُوَ بِوَادِى الْقُرَى وَهُوَ يَعْرِضُ فَرَسًا فَقُلْتُ</w:t>
      </w:r>
      <w:r w:rsidR="00217AB4" w:rsidRPr="00CE7623">
        <w:rPr>
          <w:rFonts w:ascii="Abo-thar" w:hAnsi="Abo-thar" w:cs="KFGQPC Uthman Taha Naskh"/>
          <w:sz w:val="28"/>
          <w:rtl/>
          <w:lang w:bidi="ar-SY"/>
        </w:rPr>
        <w:t>:</w:t>
      </w:r>
      <w:r w:rsidRPr="00CE7623">
        <w:rPr>
          <w:rFonts w:ascii="Abo-thar" w:hAnsi="Abo-thar" w:cs="KFGQPC Uthman Taha Naskh"/>
          <w:sz w:val="28"/>
          <w:rtl/>
          <w:lang w:bidi="ar-SY"/>
        </w:rPr>
        <w:t xml:space="preserve"> يَا رَسُولَ اللهِ مَا تَقُولُ فِى الْغَنِيمَةُ قَالَ</w:t>
      </w:r>
      <w:r w:rsidR="00217AB4" w:rsidRPr="00CE7623">
        <w:rPr>
          <w:rFonts w:ascii="Abo-thar" w:hAnsi="Abo-thar" w:cs="KFGQPC Uthman Taha Naskh"/>
          <w:sz w:val="28"/>
          <w:rtl/>
          <w:lang w:bidi="ar-SY"/>
        </w:rPr>
        <w:t>:</w:t>
      </w:r>
      <w:r w:rsidRPr="00CE7623">
        <w:rPr>
          <w:rFonts w:ascii="Abo-thar" w:hAnsi="Abo-thar" w:cs="KFGQPC Uthman Taha Naskh" w:hint="cs"/>
          <w:sz w:val="28"/>
          <w:rtl/>
          <w:lang w:bidi="ar-SY"/>
        </w:rPr>
        <w:t xml:space="preserve"> </w:t>
      </w:r>
      <w:r w:rsidR="00147857" w:rsidRPr="00CE7623">
        <w:rPr>
          <w:rFonts w:ascii="Abo-thar" w:hAnsi="Abo-thar" w:cs="KFGQPC Uthman Taha Naskh"/>
          <w:b/>
          <w:bCs/>
          <w:sz w:val="28"/>
          <w:rtl/>
          <w:lang w:bidi="ar-SY"/>
        </w:rPr>
        <w:t>«</w:t>
      </w:r>
      <w:r w:rsidRPr="00CE7623">
        <w:rPr>
          <w:rFonts w:ascii="Abo-thar" w:hAnsi="Abo-thar" w:cs="KFGQPC Uthman Taha Naskh" w:hint="cs"/>
          <w:b/>
          <w:bCs/>
          <w:sz w:val="28"/>
          <w:rtl/>
          <w:lang w:bidi="ar-SY"/>
        </w:rPr>
        <w:t>لِـلَّهِ</w:t>
      </w:r>
      <w:r w:rsidRPr="00CE7623">
        <w:rPr>
          <w:rFonts w:ascii="Abo-thar" w:hAnsi="Abo-thar" w:cs="KFGQPC Uthman Taha Naskh"/>
          <w:b/>
          <w:bCs/>
          <w:sz w:val="28"/>
          <w:rtl/>
          <w:lang w:bidi="ar-SY"/>
        </w:rPr>
        <w:t xml:space="preserve"> خُمُسُهَا</w:t>
      </w:r>
      <w:r w:rsidRPr="00CE7623">
        <w:rPr>
          <w:rFonts w:ascii="Abo-thar" w:hAnsi="Abo-thar" w:cs="KFGQPC Uthman Taha Naskh"/>
          <w:sz w:val="28"/>
          <w:rtl/>
          <w:lang w:bidi="ar-SY"/>
        </w:rPr>
        <w:t xml:space="preserve"> وَأَرْبَعَةُ أَخْمَاسٍ لِلْجَيْشِ</w:t>
      </w:r>
      <w:r w:rsidR="00EF2588" w:rsidRPr="00CE7623">
        <w:rPr>
          <w:rFonts w:ascii="Abo-thar" w:hAnsi="Abo-thar" w:cs="KFGQPC Uthman Taha Naskh"/>
          <w:sz w:val="28"/>
          <w:rtl/>
          <w:lang w:bidi="ar-SY"/>
        </w:rPr>
        <w:t>»</w:t>
      </w:r>
      <w:r w:rsidR="00190541" w:rsidRPr="0021507A">
        <w:rPr>
          <w:rFonts w:ascii="Abo-thar" w:hAnsi="Abo-thar" w:cs="Arabic11 BT"/>
          <w:sz w:val="28"/>
          <w:vertAlign w:val="superscript"/>
          <w:rtl/>
          <w:lang w:bidi="ar-SY"/>
        </w:rPr>
        <w:t>(</w:t>
      </w:r>
      <w:r w:rsidR="00190541" w:rsidRPr="0021507A">
        <w:rPr>
          <w:rStyle w:val="FootnoteReference"/>
          <w:rFonts w:ascii="Abo-thar" w:hAnsi="Abo-thar" w:cs="Arabic11 BT"/>
          <w:sz w:val="28"/>
          <w:rtl/>
          <w:lang w:bidi="ar-SY"/>
        </w:rPr>
        <w:footnoteReference w:id="57"/>
      </w:r>
      <w:r w:rsidR="00190541" w:rsidRPr="0021507A">
        <w:rPr>
          <w:rFonts w:ascii="Abo-thar" w:hAnsi="Abo-thar" w:cs="Arabic11 BT"/>
          <w:sz w:val="28"/>
          <w:vertAlign w:val="superscript"/>
          <w:rtl/>
          <w:lang w:bidi="ar-SY"/>
        </w:rPr>
        <w:t>)</w:t>
      </w:r>
      <w:r w:rsidR="00217AB4" w:rsidRPr="003F3B94">
        <w:rPr>
          <w:rFonts w:ascii="Abo-thar" w:hAnsi="Abo-thar" w:hint="cs"/>
          <w:sz w:val="28"/>
          <w:rtl/>
          <w:lang w:bidi="ar-SY"/>
        </w:rPr>
        <w:t>.</w:t>
      </w:r>
      <w:r w:rsidRPr="003F3B94">
        <w:rPr>
          <w:rFonts w:ascii="Abo-thar" w:hAnsi="Abo-thar" w:hint="cs"/>
          <w:sz w:val="28"/>
          <w:rtl/>
          <w:lang w:bidi="ar-SY"/>
        </w:rPr>
        <w:t xml:space="preserve"> </w:t>
      </w:r>
    </w:p>
    <w:p w:rsidR="005C664D" w:rsidRPr="00995B26" w:rsidRDefault="005C664D" w:rsidP="00F01069">
      <w:pPr>
        <w:pStyle w:val="a0"/>
        <w:ind w:left="624" w:firstLine="0"/>
        <w:rPr>
          <w:rFonts w:hint="cs"/>
          <w:rtl/>
          <w:lang w:bidi="ar-SY"/>
        </w:rPr>
      </w:pPr>
      <w:r w:rsidRPr="003F3B94">
        <w:rPr>
          <w:rFonts w:ascii="Abo-thar" w:hAnsi="Abo-thar" w:hint="cs"/>
          <w:sz w:val="28"/>
          <w:rtl/>
          <w:lang w:bidi="ar-SY"/>
        </w:rPr>
        <w:t xml:space="preserve">وما رواه الصنعاني في </w:t>
      </w:r>
      <w:r w:rsidRPr="003F3B94">
        <w:rPr>
          <w:rFonts w:ascii="Abo-thar" w:hAnsi="Abo-thar" w:hint="eastAsia"/>
          <w:sz w:val="28"/>
          <w:rtl/>
          <w:lang w:bidi="ar-SY"/>
        </w:rPr>
        <w:t>«</w:t>
      </w:r>
      <w:r w:rsidRPr="003F3B94">
        <w:rPr>
          <w:rFonts w:ascii="Abo-thar" w:hAnsi="Abo-thar" w:hint="cs"/>
          <w:sz w:val="28"/>
          <w:rtl/>
          <w:lang w:bidi="ar-SY"/>
        </w:rPr>
        <w:t>المصنف</w:t>
      </w:r>
      <w:r w:rsidRPr="003F3B94">
        <w:rPr>
          <w:rFonts w:ascii="Abo-thar" w:hAnsi="Abo-thar" w:hint="eastAsia"/>
          <w:sz w:val="28"/>
          <w:rtl/>
          <w:lang w:bidi="ar-SY"/>
        </w:rPr>
        <w:t>»</w:t>
      </w:r>
      <w:r w:rsidR="00217AB4" w:rsidRPr="003F3B94">
        <w:rPr>
          <w:rFonts w:ascii="Abo-thar" w:hAnsi="Abo-thar" w:hint="cs"/>
          <w:sz w:val="28"/>
          <w:rtl/>
          <w:lang w:bidi="ar-SY"/>
        </w:rPr>
        <w:t>:</w:t>
      </w:r>
      <w:r w:rsidRPr="003F3B94">
        <w:rPr>
          <w:rFonts w:ascii="Abo-thar" w:hAnsi="Abo-thar" w:hint="cs"/>
          <w:sz w:val="28"/>
          <w:rtl/>
          <w:lang w:bidi="ar-SY"/>
        </w:rPr>
        <w:t xml:space="preserve"> </w:t>
      </w:r>
      <w:r w:rsidR="00EF2588" w:rsidRPr="00CE7623">
        <w:rPr>
          <w:rFonts w:ascii="Abo-thar" w:hAnsi="Abo-thar" w:cs="KFGQPC Uthman Taha Naskh" w:hint="cs"/>
          <w:sz w:val="28"/>
          <w:rtl/>
          <w:lang w:bidi="ar-SY"/>
        </w:rPr>
        <w:t>«</w:t>
      </w:r>
      <w:r w:rsidRPr="00CE7623">
        <w:rPr>
          <w:rFonts w:ascii="Abo-thar" w:hAnsi="Abo-thar" w:cs="KFGQPC Uthman Taha Naskh"/>
          <w:sz w:val="28"/>
          <w:rtl/>
          <w:lang w:bidi="ar-SY"/>
        </w:rPr>
        <w:t>عن الثوري عن قيس بن مسلم الجدلي قال</w:t>
      </w:r>
      <w:r w:rsidR="00217AB4" w:rsidRPr="00CE7623">
        <w:rPr>
          <w:rFonts w:ascii="Abo-thar" w:hAnsi="Abo-thar" w:cs="KFGQPC Uthman Taha Naskh"/>
          <w:sz w:val="28"/>
          <w:rtl/>
          <w:lang w:bidi="ar-SY"/>
        </w:rPr>
        <w:t>:</w:t>
      </w:r>
      <w:r w:rsidRPr="00CE7623">
        <w:rPr>
          <w:rFonts w:ascii="Abo-thar" w:hAnsi="Abo-thar" w:cs="KFGQPC Uthman Taha Naskh"/>
          <w:sz w:val="28"/>
          <w:rtl/>
          <w:lang w:bidi="ar-SY"/>
        </w:rPr>
        <w:t xml:space="preserve"> سألت الحسن بن محمد بن على ابن الحنفية عن قول الله تعالى</w:t>
      </w:r>
      <w:r w:rsidR="00217AB4" w:rsidRPr="00CE7623">
        <w:rPr>
          <w:rFonts w:ascii="Abo-thar" w:hAnsi="Abo-thar" w:cs="KFGQPC Uthman Taha Naskh" w:hint="cs"/>
          <w:sz w:val="28"/>
          <w:rtl/>
          <w:lang w:bidi="ar-SY"/>
        </w:rPr>
        <w:t>:</w:t>
      </w:r>
      <w:r w:rsidRPr="003F3B94">
        <w:rPr>
          <w:rFonts w:ascii="Abo-thar" w:hAnsi="Abo-thar"/>
          <w:sz w:val="28"/>
          <w:rtl/>
          <w:lang w:bidi="ar-SY"/>
        </w:rPr>
        <w:t xml:space="preserve"> </w:t>
      </w:r>
      <w:r w:rsidR="00685363" w:rsidRPr="00995B26">
        <w:rPr>
          <w:rFonts w:ascii="Abo-thar" w:hAnsi="Abo-thar" w:cs="Traditional Arabic" w:hint="cs"/>
          <w:sz w:val="28"/>
          <w:rtl/>
          <w:lang w:bidi="ar-SY"/>
        </w:rPr>
        <w:t>﴿</w:t>
      </w:r>
      <w:r w:rsidR="00685363" w:rsidRPr="0067048A">
        <w:rPr>
          <w:rStyle w:val="Char3"/>
          <w:rFonts w:hint="eastAsia"/>
          <w:rtl/>
        </w:rPr>
        <w:t>وَ</w:t>
      </w:r>
      <w:r w:rsidR="00685363" w:rsidRPr="0067048A">
        <w:rPr>
          <w:rStyle w:val="Char3"/>
          <w:rFonts w:hint="cs"/>
          <w:rtl/>
        </w:rPr>
        <w:t>ٱ</w:t>
      </w:r>
      <w:r w:rsidR="00685363" w:rsidRPr="0067048A">
        <w:rPr>
          <w:rStyle w:val="Char3"/>
          <w:rFonts w:hint="eastAsia"/>
          <w:rtl/>
        </w:rPr>
        <w:t>ع</w:t>
      </w:r>
      <w:r w:rsidR="00685363" w:rsidRPr="0067048A">
        <w:rPr>
          <w:rStyle w:val="Char3"/>
          <w:rFonts w:hint="cs"/>
          <w:rtl/>
        </w:rPr>
        <w:t>ۡ</w:t>
      </w:r>
      <w:r w:rsidR="00685363" w:rsidRPr="0067048A">
        <w:rPr>
          <w:rStyle w:val="Char3"/>
          <w:rFonts w:hint="eastAsia"/>
          <w:rtl/>
        </w:rPr>
        <w:t>لَمُو</w:t>
      </w:r>
      <w:r w:rsidR="00685363" w:rsidRPr="0067048A">
        <w:rPr>
          <w:rStyle w:val="Char3"/>
          <w:rFonts w:hint="cs"/>
          <w:rtl/>
        </w:rPr>
        <w:t>ٓ</w:t>
      </w:r>
      <w:r w:rsidR="00685363" w:rsidRPr="0067048A">
        <w:rPr>
          <w:rStyle w:val="Char3"/>
          <w:rFonts w:hint="eastAsia"/>
          <w:rtl/>
        </w:rPr>
        <w:t>اْ</w:t>
      </w:r>
      <w:r w:rsidR="00685363" w:rsidRPr="0067048A">
        <w:rPr>
          <w:rStyle w:val="Char3"/>
          <w:rtl/>
        </w:rPr>
        <w:t xml:space="preserve"> </w:t>
      </w:r>
      <w:r w:rsidR="00685363" w:rsidRPr="0067048A">
        <w:rPr>
          <w:rStyle w:val="Char3"/>
          <w:rFonts w:hint="eastAsia"/>
          <w:rtl/>
        </w:rPr>
        <w:t>أَنَّمَا</w:t>
      </w:r>
      <w:r w:rsidR="00685363" w:rsidRPr="0067048A">
        <w:rPr>
          <w:rStyle w:val="Char3"/>
          <w:rtl/>
        </w:rPr>
        <w:t xml:space="preserve"> </w:t>
      </w:r>
      <w:r w:rsidR="00685363" w:rsidRPr="0067048A">
        <w:rPr>
          <w:rStyle w:val="Char3"/>
          <w:rFonts w:hint="eastAsia"/>
          <w:rtl/>
        </w:rPr>
        <w:t>غَنِم</w:t>
      </w:r>
      <w:r w:rsidR="00685363" w:rsidRPr="0067048A">
        <w:rPr>
          <w:rStyle w:val="Char3"/>
          <w:rFonts w:hint="cs"/>
          <w:rtl/>
        </w:rPr>
        <w:t>ۡ</w:t>
      </w:r>
      <w:r w:rsidR="00685363" w:rsidRPr="0067048A">
        <w:rPr>
          <w:rStyle w:val="Char3"/>
          <w:rFonts w:hint="eastAsia"/>
          <w:rtl/>
        </w:rPr>
        <w:t>تُم</w:t>
      </w:r>
      <w:r w:rsidR="00685363" w:rsidRPr="0067048A">
        <w:rPr>
          <w:rStyle w:val="Char3"/>
          <w:rtl/>
        </w:rPr>
        <w:t xml:space="preserve"> </w:t>
      </w:r>
      <w:r w:rsidR="00685363" w:rsidRPr="0067048A">
        <w:rPr>
          <w:rStyle w:val="Char3"/>
          <w:rFonts w:hint="eastAsia"/>
          <w:rtl/>
        </w:rPr>
        <w:t>مِّن</w:t>
      </w:r>
      <w:r w:rsidR="00685363" w:rsidRPr="0067048A">
        <w:rPr>
          <w:rStyle w:val="Char3"/>
          <w:rtl/>
        </w:rPr>
        <w:t xml:space="preserve"> </w:t>
      </w:r>
      <w:r w:rsidR="00685363" w:rsidRPr="0067048A">
        <w:rPr>
          <w:rStyle w:val="Char3"/>
          <w:rFonts w:hint="eastAsia"/>
          <w:rtl/>
        </w:rPr>
        <w:t>شَي</w:t>
      </w:r>
      <w:r w:rsidR="00685363" w:rsidRPr="0067048A">
        <w:rPr>
          <w:rStyle w:val="Char3"/>
          <w:rFonts w:hint="cs"/>
          <w:rtl/>
        </w:rPr>
        <w:t>ۡ</w:t>
      </w:r>
      <w:r w:rsidR="00685363" w:rsidRPr="0067048A">
        <w:rPr>
          <w:rStyle w:val="Char3"/>
          <w:rFonts w:hint="eastAsia"/>
          <w:rtl/>
        </w:rPr>
        <w:t>ء</w:t>
      </w:r>
      <w:r w:rsidR="00685363" w:rsidRPr="0067048A">
        <w:rPr>
          <w:rStyle w:val="Char3"/>
          <w:rFonts w:hint="cs"/>
          <w:rtl/>
        </w:rPr>
        <w:t>ٖ</w:t>
      </w:r>
      <w:r w:rsidR="00685363" w:rsidRPr="0067048A">
        <w:rPr>
          <w:rStyle w:val="Char3"/>
          <w:rtl/>
        </w:rPr>
        <w:t xml:space="preserve"> </w:t>
      </w:r>
      <w:r w:rsidR="00685363" w:rsidRPr="0067048A">
        <w:rPr>
          <w:rStyle w:val="Char3"/>
          <w:rFonts w:hint="eastAsia"/>
          <w:rtl/>
        </w:rPr>
        <w:t>فَأَنَّ</w:t>
      </w:r>
      <w:r w:rsidR="00685363" w:rsidRPr="0067048A">
        <w:rPr>
          <w:rStyle w:val="Char3"/>
          <w:rtl/>
        </w:rPr>
        <w:t xml:space="preserve"> </w:t>
      </w:r>
      <w:r w:rsidR="00685363" w:rsidRPr="0067048A">
        <w:rPr>
          <w:rStyle w:val="Char3"/>
          <w:rFonts w:hint="eastAsia"/>
          <w:rtl/>
        </w:rPr>
        <w:t>لِلَّهِ</w:t>
      </w:r>
      <w:r w:rsidR="00685363" w:rsidRPr="0067048A">
        <w:rPr>
          <w:rStyle w:val="Char3"/>
          <w:rtl/>
        </w:rPr>
        <w:t xml:space="preserve"> </w:t>
      </w:r>
      <w:r w:rsidR="00685363" w:rsidRPr="0067048A">
        <w:rPr>
          <w:rStyle w:val="Char3"/>
          <w:rFonts w:hint="eastAsia"/>
          <w:rtl/>
        </w:rPr>
        <w:t>خُمُسَهُ</w:t>
      </w:r>
      <w:r w:rsidR="00685363" w:rsidRPr="00995B26">
        <w:rPr>
          <w:rFonts w:ascii="KFGQPC Uthmanic Script HAFS" w:cs="Times New Roman" w:hint="cs"/>
          <w:sz w:val="28"/>
          <w:rtl/>
        </w:rPr>
        <w:t>...</w:t>
      </w:r>
      <w:r w:rsidR="00685363" w:rsidRPr="00995B26">
        <w:rPr>
          <w:rFonts w:ascii="Abo-thar" w:hAnsi="Abo-thar" w:cs="Traditional Arabic" w:hint="cs"/>
          <w:sz w:val="28"/>
          <w:rtl/>
          <w:lang w:bidi="ar-SY"/>
        </w:rPr>
        <w:t>﴾</w:t>
      </w:r>
      <w:r w:rsidR="00685363" w:rsidRPr="00995B26">
        <w:rPr>
          <w:rFonts w:ascii="Abo-thar" w:hAnsi="Abo-thar" w:hint="cs"/>
          <w:sz w:val="28"/>
          <w:rtl/>
          <w:lang w:bidi="ar-SY"/>
        </w:rPr>
        <w:t xml:space="preserve"> </w:t>
      </w:r>
      <w:r w:rsidRPr="00FC12FD">
        <w:rPr>
          <w:rStyle w:val="Char2"/>
          <w:rtl/>
        </w:rPr>
        <w:t>[الأنفال</w:t>
      </w:r>
      <w:r w:rsidR="00685363" w:rsidRPr="00FC12FD">
        <w:rPr>
          <w:rStyle w:val="Char2"/>
          <w:rFonts w:hint="cs"/>
          <w:rtl/>
        </w:rPr>
        <w:t>:</w:t>
      </w:r>
      <w:r w:rsidRPr="00FC12FD">
        <w:rPr>
          <w:rStyle w:val="Char2"/>
          <w:rtl/>
        </w:rPr>
        <w:t>41]</w:t>
      </w:r>
      <w:r w:rsidR="00217AB4" w:rsidRPr="00995B26">
        <w:rPr>
          <w:rFonts w:ascii="Abo-thar" w:hAnsi="Abo-thar" w:hint="cs"/>
          <w:sz w:val="28"/>
          <w:rtl/>
          <w:lang w:bidi="ar-SY"/>
        </w:rPr>
        <w:t>؟</w:t>
      </w:r>
      <w:r w:rsidRPr="00995B26">
        <w:rPr>
          <w:rFonts w:ascii="Abo-thar" w:hAnsi="Abo-thar" w:hint="cs"/>
          <w:sz w:val="28"/>
          <w:rtl/>
          <w:lang w:bidi="ar-SY"/>
        </w:rPr>
        <w:t xml:space="preserve"> </w:t>
      </w:r>
      <w:r w:rsidRPr="00CE7623">
        <w:rPr>
          <w:rFonts w:ascii="Abo-thar" w:hAnsi="Abo-thar" w:cs="KFGQPC Uthman Taha Naskh"/>
          <w:sz w:val="28"/>
          <w:rtl/>
          <w:lang w:bidi="ar-SY"/>
        </w:rPr>
        <w:t>قال</w:t>
      </w:r>
      <w:r w:rsidR="00217AB4" w:rsidRPr="00CE7623">
        <w:rPr>
          <w:rFonts w:ascii="Abo-thar" w:hAnsi="Abo-thar" w:cs="KFGQPC Uthman Taha Naskh"/>
          <w:sz w:val="28"/>
          <w:rtl/>
          <w:lang w:bidi="ar-SY"/>
        </w:rPr>
        <w:t>:</w:t>
      </w:r>
      <w:r w:rsidRPr="00CE7623">
        <w:rPr>
          <w:rFonts w:ascii="Abo-thar" w:hAnsi="Abo-thar" w:cs="KFGQPC Uthman Taha Naskh"/>
          <w:sz w:val="28"/>
          <w:rtl/>
          <w:lang w:bidi="ar-SY"/>
        </w:rPr>
        <w:t xml:space="preserve"> </w:t>
      </w:r>
      <w:r w:rsidRPr="00CE7623">
        <w:rPr>
          <w:rFonts w:ascii="Abo-thar" w:hAnsi="Abo-thar" w:cs="KFGQPC Uthman Taha Naskh"/>
          <w:b/>
          <w:bCs/>
          <w:sz w:val="28"/>
          <w:rtl/>
          <w:lang w:bidi="ar-SY"/>
        </w:rPr>
        <w:t>هذا مفتاح كلام</w:t>
      </w:r>
      <w:r w:rsidR="00217AB4" w:rsidRPr="00CE7623">
        <w:rPr>
          <w:rFonts w:ascii="Abo-thar" w:hAnsi="Abo-thar" w:cs="KFGQPC Uthman Taha Naskh"/>
          <w:b/>
          <w:bCs/>
          <w:sz w:val="28"/>
          <w:rtl/>
          <w:lang w:bidi="ar-SY"/>
        </w:rPr>
        <w:t>،</w:t>
      </w:r>
      <w:r w:rsidRPr="00CE7623">
        <w:rPr>
          <w:rFonts w:ascii="Abo-thar" w:hAnsi="Abo-thar" w:cs="KFGQPC Uthman Taha Naskh"/>
          <w:b/>
          <w:bCs/>
          <w:sz w:val="28"/>
          <w:rtl/>
          <w:lang w:bidi="ar-SY"/>
        </w:rPr>
        <w:t xml:space="preserve"> </w:t>
      </w:r>
      <w:r w:rsidRPr="00CE7623">
        <w:rPr>
          <w:rFonts w:ascii="Abo-thar" w:hAnsi="Abo-thar" w:cs="KFGQPC Uthman Taha Naskh" w:hint="cs"/>
          <w:b/>
          <w:bCs/>
          <w:sz w:val="28"/>
          <w:rtl/>
          <w:lang w:bidi="ar-SY"/>
        </w:rPr>
        <w:t>لِـلَّهِ</w:t>
      </w:r>
      <w:r w:rsidRPr="00CE7623">
        <w:rPr>
          <w:rFonts w:ascii="Abo-thar" w:hAnsi="Abo-thar" w:cs="KFGQPC Uthman Taha Naskh"/>
          <w:b/>
          <w:bCs/>
          <w:sz w:val="28"/>
          <w:rtl/>
          <w:lang w:bidi="ar-SY"/>
        </w:rPr>
        <w:t xml:space="preserve"> الدنيا وال</w:t>
      </w:r>
      <w:r w:rsidRPr="00CE7623">
        <w:rPr>
          <w:rFonts w:ascii="Abo-thar" w:hAnsi="Abo-thar" w:cs="KFGQPC Uthman Taha Naskh" w:hint="cs"/>
          <w:b/>
          <w:bCs/>
          <w:sz w:val="28"/>
          <w:rtl/>
          <w:lang w:bidi="ar-SY"/>
        </w:rPr>
        <w:t>آ</w:t>
      </w:r>
      <w:r w:rsidRPr="00CE7623">
        <w:rPr>
          <w:rFonts w:ascii="Abo-thar" w:hAnsi="Abo-thar" w:cs="KFGQPC Uthman Taha Naskh"/>
          <w:b/>
          <w:bCs/>
          <w:sz w:val="28"/>
          <w:rtl/>
          <w:lang w:bidi="ar-SY"/>
        </w:rPr>
        <w:t>خرة</w:t>
      </w:r>
      <w:r w:rsidR="00217AB4" w:rsidRPr="00CE7623">
        <w:rPr>
          <w:rFonts w:ascii="Abo-thar" w:hAnsi="Abo-thar" w:cs="KFGQPC Uthman Taha Naskh" w:hint="cs"/>
          <w:b/>
          <w:bCs/>
          <w:sz w:val="28"/>
          <w:rtl/>
          <w:lang w:bidi="ar-SY"/>
        </w:rPr>
        <w:t>.</w:t>
      </w:r>
      <w:r w:rsidR="00791AC0">
        <w:rPr>
          <w:rFonts w:ascii="Abo-thar" w:hAnsi="Abo-thar" w:cs="KFGQPC Uthman Taha Naskh" w:hint="cs"/>
          <w:b/>
          <w:bCs/>
          <w:sz w:val="28"/>
          <w:rtl/>
          <w:lang w:bidi="ar-SY"/>
        </w:rPr>
        <w:t>.</w:t>
      </w:r>
      <w:r w:rsidR="00217AB4" w:rsidRPr="00CE7623">
        <w:rPr>
          <w:rFonts w:ascii="Abo-thar" w:hAnsi="Abo-thar" w:cs="KFGQPC Uthman Taha Naskh" w:hint="cs"/>
          <w:b/>
          <w:bCs/>
          <w:sz w:val="28"/>
          <w:rtl/>
          <w:lang w:bidi="ar-SY"/>
        </w:rPr>
        <w:t>.</w:t>
      </w:r>
      <w:r w:rsidR="00EF2588" w:rsidRPr="00CE7623">
        <w:rPr>
          <w:rFonts w:ascii="Abo-thar" w:hAnsi="Abo-thar" w:cs="KFGQPC Uthman Taha Naskh" w:hint="cs"/>
          <w:sz w:val="28"/>
          <w:rtl/>
          <w:lang w:bidi="ar-SY"/>
        </w:rPr>
        <w:t>»</w:t>
      </w:r>
      <w:r w:rsidR="00190541" w:rsidRPr="00995B26">
        <w:rPr>
          <w:rFonts w:ascii="Abo-thar" w:hAnsi="Abo-thar"/>
          <w:sz w:val="28"/>
          <w:vertAlign w:val="superscript"/>
          <w:rtl/>
          <w:lang w:bidi="ar-SY"/>
        </w:rPr>
        <w:t xml:space="preserve"> </w:t>
      </w:r>
      <w:r w:rsidR="00190541" w:rsidRPr="0021507A">
        <w:rPr>
          <w:rFonts w:ascii="Abo-thar" w:hAnsi="Abo-thar" w:cs="Arabic11 BT"/>
          <w:sz w:val="28"/>
          <w:vertAlign w:val="superscript"/>
          <w:rtl/>
          <w:lang w:bidi="ar-SY"/>
        </w:rPr>
        <w:t>(</w:t>
      </w:r>
      <w:r w:rsidR="00190541" w:rsidRPr="0021507A">
        <w:rPr>
          <w:rStyle w:val="FootnoteReference"/>
          <w:rFonts w:ascii="Abo-thar" w:hAnsi="Abo-thar" w:cs="Arabic11 BT"/>
          <w:sz w:val="28"/>
          <w:rtl/>
          <w:lang w:bidi="ar-SY"/>
        </w:rPr>
        <w:footnoteReference w:id="58"/>
      </w:r>
      <w:r w:rsidR="00190541" w:rsidRPr="0021507A">
        <w:rPr>
          <w:rFonts w:ascii="Abo-thar" w:hAnsi="Abo-thar" w:cs="Arabic11 BT"/>
          <w:sz w:val="28"/>
          <w:vertAlign w:val="superscript"/>
          <w:rtl/>
          <w:lang w:bidi="ar-SY"/>
        </w:rPr>
        <w:t>)</w:t>
      </w:r>
      <w:r w:rsidR="00217AB4" w:rsidRPr="00995B26">
        <w:rPr>
          <w:rFonts w:ascii="Abo-thar" w:hAnsi="Abo-thar" w:hint="cs"/>
          <w:sz w:val="28"/>
          <w:rtl/>
          <w:lang w:bidi="ar-SY"/>
        </w:rPr>
        <w:t>.</w:t>
      </w:r>
      <w:r w:rsidRPr="00995B26">
        <w:rPr>
          <w:rFonts w:ascii="Abo-thar" w:hAnsi="Abo-thar" w:hint="cs"/>
          <w:sz w:val="28"/>
          <w:rtl/>
          <w:lang w:bidi="ar-SY"/>
        </w:rPr>
        <w:t xml:space="preserve"> </w:t>
      </w:r>
    </w:p>
    <w:p w:rsidR="005C664D" w:rsidRPr="00995B26" w:rsidRDefault="005C664D" w:rsidP="003F3B94">
      <w:pPr>
        <w:pStyle w:val="a0"/>
        <w:rPr>
          <w:rFonts w:hint="cs"/>
          <w:rtl/>
          <w:lang w:bidi="ar-SY"/>
        </w:rPr>
      </w:pPr>
      <w:r w:rsidRPr="003F3B94">
        <w:rPr>
          <w:rFonts w:ascii="Abo-thar" w:hAnsi="Abo-thar" w:hint="cs"/>
          <w:sz w:val="28"/>
          <w:rtl/>
          <w:lang w:bidi="ar-SY"/>
        </w:rPr>
        <w:t>نتيجة هذا البحث أن خمس الغنائم لِـلَّهِ وحده وأن ذكر اسم الرسول بعد اسم الله إنما جاء على نمط ما جاء في آيات مثل قوله تعالى</w:t>
      </w:r>
      <w:r w:rsidR="00217AB4" w:rsidRPr="003F3B94">
        <w:rPr>
          <w:rFonts w:ascii="Abo-thar" w:hAnsi="Abo-thar" w:hint="cs"/>
          <w:sz w:val="28"/>
          <w:rtl/>
          <w:lang w:bidi="ar-SY"/>
        </w:rPr>
        <w:t>:</w:t>
      </w:r>
      <w:r w:rsidR="00685363" w:rsidRPr="003F3B94">
        <w:rPr>
          <w:rFonts w:ascii="Abo-thar" w:hAnsi="Abo-thar" w:hint="cs"/>
          <w:sz w:val="28"/>
          <w:rtl/>
          <w:lang w:bidi="ar-SY"/>
        </w:rPr>
        <w:t xml:space="preserve"> </w:t>
      </w:r>
      <w:r w:rsidR="00685363" w:rsidRPr="00995B26">
        <w:rPr>
          <w:rFonts w:ascii="Abo-thar" w:hAnsi="Abo-thar" w:cs="Traditional Arabic" w:hint="cs"/>
          <w:sz w:val="28"/>
          <w:rtl/>
          <w:lang w:bidi="ar-SY"/>
        </w:rPr>
        <w:t>﴿</w:t>
      </w:r>
      <w:r w:rsidR="00685363" w:rsidRPr="00995B26">
        <w:rPr>
          <w:rFonts w:ascii="KFGQPC Uthmanic Script HAFS" w:cs="Times New Roman" w:hint="cs"/>
          <w:sz w:val="28"/>
          <w:rtl/>
          <w:lang w:bidi="ar-SY"/>
        </w:rPr>
        <w:t>...</w:t>
      </w:r>
      <w:r w:rsidR="00685363" w:rsidRPr="0067048A">
        <w:rPr>
          <w:rStyle w:val="Char3"/>
          <w:rFonts w:hint="eastAsia"/>
          <w:rtl/>
        </w:rPr>
        <w:t>وَ</w:t>
      </w:r>
      <w:r w:rsidR="00685363" w:rsidRPr="0067048A">
        <w:rPr>
          <w:rStyle w:val="Char3"/>
          <w:rFonts w:hint="cs"/>
          <w:rtl/>
        </w:rPr>
        <w:t>ٱ</w:t>
      </w:r>
      <w:r w:rsidR="00685363" w:rsidRPr="0067048A">
        <w:rPr>
          <w:rStyle w:val="Char3"/>
          <w:rFonts w:hint="eastAsia"/>
          <w:rtl/>
        </w:rPr>
        <w:t>للَّهُ</w:t>
      </w:r>
      <w:r w:rsidR="00685363" w:rsidRPr="0067048A">
        <w:rPr>
          <w:rStyle w:val="Char3"/>
          <w:rtl/>
        </w:rPr>
        <w:t xml:space="preserve"> </w:t>
      </w:r>
      <w:r w:rsidR="00685363" w:rsidRPr="0067048A">
        <w:rPr>
          <w:rStyle w:val="Char3"/>
          <w:rFonts w:hint="eastAsia"/>
          <w:rtl/>
        </w:rPr>
        <w:t>وَرَسُولُهُ</w:t>
      </w:r>
      <w:r w:rsidR="00685363" w:rsidRPr="0067048A">
        <w:rPr>
          <w:rStyle w:val="Char3"/>
          <w:rFonts w:hint="cs"/>
          <w:rtl/>
        </w:rPr>
        <w:t>ۥٓ</w:t>
      </w:r>
      <w:r w:rsidR="00685363" w:rsidRPr="0067048A">
        <w:rPr>
          <w:rStyle w:val="Char3"/>
          <w:rtl/>
        </w:rPr>
        <w:t xml:space="preserve"> </w:t>
      </w:r>
      <w:r w:rsidR="00685363" w:rsidRPr="0067048A">
        <w:rPr>
          <w:rStyle w:val="Char3"/>
          <w:rFonts w:hint="eastAsia"/>
          <w:rtl/>
        </w:rPr>
        <w:t>أَحَقُّ</w:t>
      </w:r>
      <w:r w:rsidR="00685363" w:rsidRPr="0067048A">
        <w:rPr>
          <w:rStyle w:val="Char3"/>
          <w:rtl/>
        </w:rPr>
        <w:t xml:space="preserve"> </w:t>
      </w:r>
      <w:r w:rsidR="00685363" w:rsidRPr="0067048A">
        <w:rPr>
          <w:rStyle w:val="Char3"/>
          <w:rFonts w:hint="eastAsia"/>
          <w:rtl/>
        </w:rPr>
        <w:t>أَن</w:t>
      </w:r>
      <w:r w:rsidR="00685363" w:rsidRPr="0067048A">
        <w:rPr>
          <w:rStyle w:val="Char3"/>
          <w:rtl/>
        </w:rPr>
        <w:t xml:space="preserve"> </w:t>
      </w:r>
      <w:r w:rsidR="00685363" w:rsidRPr="0067048A">
        <w:rPr>
          <w:rStyle w:val="Char3"/>
          <w:rFonts w:hint="eastAsia"/>
          <w:rtl/>
        </w:rPr>
        <w:t>يُر</w:t>
      </w:r>
      <w:r w:rsidR="00685363" w:rsidRPr="0067048A">
        <w:rPr>
          <w:rStyle w:val="Char3"/>
          <w:rFonts w:hint="cs"/>
          <w:rtl/>
        </w:rPr>
        <w:t>ۡ</w:t>
      </w:r>
      <w:r w:rsidR="00685363" w:rsidRPr="0067048A">
        <w:rPr>
          <w:rStyle w:val="Char3"/>
          <w:rFonts w:hint="eastAsia"/>
          <w:rtl/>
        </w:rPr>
        <w:t>ضُوهُ</w:t>
      </w:r>
      <w:r w:rsidR="00685363" w:rsidRPr="0067048A">
        <w:rPr>
          <w:rStyle w:val="Char3"/>
          <w:rtl/>
        </w:rPr>
        <w:t xml:space="preserve"> </w:t>
      </w:r>
      <w:r w:rsidR="00685363" w:rsidRPr="0067048A">
        <w:rPr>
          <w:rStyle w:val="Char3"/>
          <w:rFonts w:hint="eastAsia"/>
          <w:rtl/>
        </w:rPr>
        <w:t>إِن</w:t>
      </w:r>
      <w:r w:rsidR="00685363" w:rsidRPr="0067048A">
        <w:rPr>
          <w:rStyle w:val="Char3"/>
          <w:rtl/>
        </w:rPr>
        <w:t xml:space="preserve"> </w:t>
      </w:r>
      <w:r w:rsidR="00685363" w:rsidRPr="0067048A">
        <w:rPr>
          <w:rStyle w:val="Char3"/>
          <w:rFonts w:hint="eastAsia"/>
          <w:rtl/>
        </w:rPr>
        <w:t>كَانُواْ</w:t>
      </w:r>
      <w:r w:rsidR="00685363" w:rsidRPr="0067048A">
        <w:rPr>
          <w:rStyle w:val="Char3"/>
          <w:rtl/>
        </w:rPr>
        <w:t xml:space="preserve"> </w:t>
      </w:r>
      <w:r w:rsidR="00685363" w:rsidRPr="0067048A">
        <w:rPr>
          <w:rStyle w:val="Char3"/>
          <w:rFonts w:hint="eastAsia"/>
          <w:rtl/>
        </w:rPr>
        <w:t>مُؤ</w:t>
      </w:r>
      <w:r w:rsidR="00685363" w:rsidRPr="0067048A">
        <w:rPr>
          <w:rStyle w:val="Char3"/>
          <w:rFonts w:hint="cs"/>
          <w:rtl/>
        </w:rPr>
        <w:t>ۡ</w:t>
      </w:r>
      <w:r w:rsidR="00685363" w:rsidRPr="0067048A">
        <w:rPr>
          <w:rStyle w:val="Char3"/>
          <w:rFonts w:hint="eastAsia"/>
          <w:rtl/>
        </w:rPr>
        <w:t>مِنِينَ</w:t>
      </w:r>
      <w:r w:rsidR="00685363" w:rsidRPr="00995B26">
        <w:rPr>
          <w:rFonts w:ascii="Abo-thar" w:hAnsi="Abo-thar" w:cs="Traditional Arabic" w:hint="cs"/>
          <w:sz w:val="28"/>
          <w:rtl/>
          <w:lang w:bidi="ar-SY"/>
        </w:rPr>
        <w:t>﴾</w:t>
      </w:r>
      <w:r w:rsidRPr="00995B26">
        <w:rPr>
          <w:rFonts w:ascii="Abo-thar" w:hAnsi="Abo-thar" w:hint="cs"/>
          <w:sz w:val="28"/>
          <w:rtl/>
          <w:lang w:bidi="ar-SY"/>
        </w:rPr>
        <w:t xml:space="preserve"> </w:t>
      </w:r>
      <w:r w:rsidR="00685363" w:rsidRPr="00FC12FD">
        <w:rPr>
          <w:rStyle w:val="Char2"/>
          <w:rFonts w:hint="cs"/>
          <w:rtl/>
        </w:rPr>
        <w:t>[</w:t>
      </w:r>
      <w:r w:rsidRPr="00FC12FD">
        <w:rPr>
          <w:rStyle w:val="Char2"/>
          <w:rtl/>
        </w:rPr>
        <w:t>التوبة</w:t>
      </w:r>
      <w:r w:rsidR="00685363" w:rsidRPr="00FC12FD">
        <w:rPr>
          <w:rStyle w:val="Char2"/>
          <w:rFonts w:hint="cs"/>
          <w:rtl/>
        </w:rPr>
        <w:t xml:space="preserve">: </w:t>
      </w:r>
      <w:r w:rsidRPr="00FC12FD">
        <w:rPr>
          <w:rStyle w:val="Char2"/>
          <w:rtl/>
        </w:rPr>
        <w:t>62</w:t>
      </w:r>
      <w:r w:rsidR="00685363" w:rsidRPr="00FC12FD">
        <w:rPr>
          <w:rStyle w:val="Char2"/>
          <w:rFonts w:hint="cs"/>
          <w:rtl/>
        </w:rPr>
        <w:t>]</w:t>
      </w:r>
      <w:r w:rsidR="00217AB4" w:rsidRPr="00995B26">
        <w:rPr>
          <w:rFonts w:ascii="Abo-thar" w:hAnsi="Abo-thar"/>
          <w:sz w:val="28"/>
          <w:rtl/>
          <w:lang w:bidi="ar-SY"/>
        </w:rPr>
        <w:t>،</w:t>
      </w:r>
      <w:r w:rsidRPr="00995B26">
        <w:rPr>
          <w:rFonts w:ascii="Abo-thar" w:hAnsi="Abo-thar" w:hint="cs"/>
          <w:sz w:val="28"/>
          <w:rtl/>
          <w:lang w:bidi="ar-SY"/>
        </w:rPr>
        <w:t xml:space="preserve"> و</w:t>
      </w:r>
      <w:r w:rsidR="00685363" w:rsidRPr="00995B26">
        <w:rPr>
          <w:rFonts w:ascii="Abo-thar" w:hAnsi="Abo-thar" w:hint="cs"/>
          <w:sz w:val="28"/>
          <w:rtl/>
          <w:lang w:bidi="ar-SY"/>
        </w:rPr>
        <w:t xml:space="preserve"> </w:t>
      </w:r>
      <w:r w:rsidR="00685363" w:rsidRPr="00995B26">
        <w:rPr>
          <w:rFonts w:cs="Traditional Arabic"/>
          <w:rtl/>
          <w:lang w:bidi="fa-IR"/>
        </w:rPr>
        <w:t>﴿</w:t>
      </w:r>
      <w:r w:rsidR="00685363" w:rsidRPr="0067048A">
        <w:rPr>
          <w:rStyle w:val="Char3"/>
          <w:rFonts w:hint="eastAsia"/>
          <w:rtl/>
        </w:rPr>
        <w:t>قُلِ</w:t>
      </w:r>
      <w:r w:rsidR="00685363" w:rsidRPr="0067048A">
        <w:rPr>
          <w:rStyle w:val="Char3"/>
          <w:rtl/>
        </w:rPr>
        <w:t xml:space="preserve"> </w:t>
      </w:r>
      <w:r w:rsidR="00685363" w:rsidRPr="0067048A">
        <w:rPr>
          <w:rStyle w:val="Char3"/>
          <w:rFonts w:hint="cs"/>
          <w:rtl/>
        </w:rPr>
        <w:t>ٱ</w:t>
      </w:r>
      <w:r w:rsidR="00685363" w:rsidRPr="0067048A">
        <w:rPr>
          <w:rStyle w:val="Char3"/>
          <w:rFonts w:hint="eastAsia"/>
          <w:rtl/>
        </w:rPr>
        <w:t>ل</w:t>
      </w:r>
      <w:r w:rsidR="00685363" w:rsidRPr="0067048A">
        <w:rPr>
          <w:rStyle w:val="Char3"/>
          <w:rFonts w:hint="cs"/>
          <w:rtl/>
        </w:rPr>
        <w:t>ۡ</w:t>
      </w:r>
      <w:r w:rsidR="00685363" w:rsidRPr="0067048A">
        <w:rPr>
          <w:rStyle w:val="Char3"/>
          <w:rFonts w:hint="eastAsia"/>
          <w:rtl/>
        </w:rPr>
        <w:t>أَنفَالُ</w:t>
      </w:r>
      <w:r w:rsidR="00685363" w:rsidRPr="0067048A">
        <w:rPr>
          <w:rStyle w:val="Char3"/>
          <w:rtl/>
        </w:rPr>
        <w:t xml:space="preserve"> </w:t>
      </w:r>
      <w:r w:rsidR="00685363" w:rsidRPr="0067048A">
        <w:rPr>
          <w:rStyle w:val="Char3"/>
          <w:rFonts w:hint="eastAsia"/>
          <w:rtl/>
        </w:rPr>
        <w:t>لِلَّهِ</w:t>
      </w:r>
      <w:r w:rsidR="00685363" w:rsidRPr="0067048A">
        <w:rPr>
          <w:rStyle w:val="Char3"/>
          <w:rtl/>
        </w:rPr>
        <w:t xml:space="preserve"> </w:t>
      </w:r>
      <w:r w:rsidR="00685363" w:rsidRPr="0067048A">
        <w:rPr>
          <w:rStyle w:val="Char3"/>
          <w:rFonts w:hint="eastAsia"/>
          <w:rtl/>
        </w:rPr>
        <w:t>وَ</w:t>
      </w:r>
      <w:r w:rsidR="00685363" w:rsidRPr="0067048A">
        <w:rPr>
          <w:rStyle w:val="Char3"/>
          <w:rFonts w:hint="cs"/>
          <w:rtl/>
        </w:rPr>
        <w:t>ٱ</w:t>
      </w:r>
      <w:r w:rsidR="00685363" w:rsidRPr="0067048A">
        <w:rPr>
          <w:rStyle w:val="Char3"/>
          <w:rFonts w:hint="eastAsia"/>
          <w:rtl/>
        </w:rPr>
        <w:t>لرَّسُولِ</w:t>
      </w:r>
      <w:r w:rsidR="00685363" w:rsidRPr="00995B26">
        <w:rPr>
          <w:rFonts w:cs="Traditional Arabic" w:hint="cs"/>
          <w:rtl/>
          <w:lang w:bidi="fa-IR"/>
        </w:rPr>
        <w:t>﴾</w:t>
      </w:r>
      <w:r w:rsidR="00685363" w:rsidRPr="00995B26">
        <w:rPr>
          <w:rFonts w:cs="B Lotus" w:hint="cs"/>
          <w:rtl/>
          <w:lang w:bidi="fa-IR"/>
        </w:rPr>
        <w:t>.</w:t>
      </w:r>
      <w:r w:rsidR="00685363" w:rsidRPr="00995B26">
        <w:rPr>
          <w:rFonts w:ascii="Abo-thar" w:hAnsi="Abo-thar"/>
          <w:sz w:val="28"/>
          <w:rtl/>
          <w:lang w:bidi="ar-SY"/>
        </w:rPr>
        <w:t xml:space="preserve"> </w:t>
      </w:r>
      <w:r w:rsidR="00685363" w:rsidRPr="00FC12FD">
        <w:rPr>
          <w:rStyle w:val="Char2"/>
          <w:rFonts w:hint="cs"/>
          <w:rtl/>
        </w:rPr>
        <w:t>[</w:t>
      </w:r>
      <w:r w:rsidRPr="00FC12FD">
        <w:rPr>
          <w:rStyle w:val="Char2"/>
          <w:rtl/>
        </w:rPr>
        <w:t>الأنفال</w:t>
      </w:r>
      <w:r w:rsidR="00685363" w:rsidRPr="00FC12FD">
        <w:rPr>
          <w:rStyle w:val="Char2"/>
          <w:rFonts w:hint="cs"/>
          <w:rtl/>
        </w:rPr>
        <w:t xml:space="preserve">: </w:t>
      </w:r>
      <w:r w:rsidRPr="00FC12FD">
        <w:rPr>
          <w:rStyle w:val="Char2"/>
          <w:rtl/>
        </w:rPr>
        <w:t>1</w:t>
      </w:r>
      <w:r w:rsidR="00685363" w:rsidRPr="00FC12FD">
        <w:rPr>
          <w:rStyle w:val="Char2"/>
          <w:rFonts w:hint="cs"/>
          <w:rtl/>
        </w:rPr>
        <w:t>]</w:t>
      </w:r>
      <w:r w:rsidR="00217AB4" w:rsidRPr="00995B26">
        <w:rPr>
          <w:rFonts w:ascii="Abo-thar" w:hAnsi="Abo-thar" w:hint="cs"/>
          <w:sz w:val="28"/>
          <w:rtl/>
          <w:lang w:bidi="ar-SY"/>
        </w:rPr>
        <w:t>،</w:t>
      </w:r>
      <w:r w:rsidRPr="00995B26">
        <w:rPr>
          <w:rFonts w:ascii="Abo-thar" w:hAnsi="Abo-thar" w:hint="cs"/>
          <w:sz w:val="28"/>
          <w:rtl/>
          <w:lang w:bidi="ar-SY"/>
        </w:rPr>
        <w:t xml:space="preserve"> و</w:t>
      </w:r>
      <w:r w:rsidR="00685363" w:rsidRPr="00995B26">
        <w:rPr>
          <w:rFonts w:ascii="Abo-thar" w:hAnsi="Abo-thar" w:hint="cs"/>
          <w:sz w:val="28"/>
          <w:rtl/>
          <w:lang w:bidi="ar-SY"/>
        </w:rPr>
        <w:t xml:space="preserve"> </w:t>
      </w:r>
      <w:r w:rsidR="00685363" w:rsidRPr="00995B26">
        <w:rPr>
          <w:rFonts w:cs="Traditional Arabic"/>
          <w:rtl/>
          <w:lang w:bidi="fa-IR"/>
        </w:rPr>
        <w:t>﴿</w:t>
      </w:r>
      <w:r w:rsidR="00685363" w:rsidRPr="00995B26">
        <w:rPr>
          <w:rFonts w:cs="KFGQPC Uthman Taha Naskh"/>
          <w:rtl/>
          <w:lang w:bidi="fa-IR"/>
        </w:rPr>
        <w:t>...</w:t>
      </w:r>
      <w:r w:rsidR="00685363" w:rsidRPr="0067048A">
        <w:rPr>
          <w:rStyle w:val="Char3"/>
          <w:rFonts w:hint="cs"/>
          <w:rtl/>
        </w:rPr>
        <w:t xml:space="preserve"> ٱ</w:t>
      </w:r>
      <w:r w:rsidR="00685363" w:rsidRPr="0067048A">
        <w:rPr>
          <w:rStyle w:val="Char3"/>
          <w:rFonts w:hint="eastAsia"/>
          <w:rtl/>
        </w:rPr>
        <w:t>س</w:t>
      </w:r>
      <w:r w:rsidR="00685363" w:rsidRPr="0067048A">
        <w:rPr>
          <w:rStyle w:val="Char3"/>
          <w:rFonts w:hint="cs"/>
          <w:rtl/>
        </w:rPr>
        <w:t>ۡ</w:t>
      </w:r>
      <w:r w:rsidR="00685363" w:rsidRPr="0067048A">
        <w:rPr>
          <w:rStyle w:val="Char3"/>
          <w:rFonts w:hint="eastAsia"/>
          <w:rtl/>
        </w:rPr>
        <w:t>تَجِيبُواْ</w:t>
      </w:r>
      <w:r w:rsidR="00685363" w:rsidRPr="0067048A">
        <w:rPr>
          <w:rStyle w:val="Char3"/>
          <w:rtl/>
        </w:rPr>
        <w:t xml:space="preserve"> </w:t>
      </w:r>
      <w:r w:rsidR="00685363" w:rsidRPr="0067048A">
        <w:rPr>
          <w:rStyle w:val="Char3"/>
          <w:rFonts w:hint="eastAsia"/>
          <w:rtl/>
        </w:rPr>
        <w:t>لِلَّهِ</w:t>
      </w:r>
      <w:r w:rsidR="00685363" w:rsidRPr="0067048A">
        <w:rPr>
          <w:rStyle w:val="Char3"/>
          <w:rtl/>
        </w:rPr>
        <w:t xml:space="preserve"> </w:t>
      </w:r>
      <w:r w:rsidR="00685363" w:rsidRPr="0067048A">
        <w:rPr>
          <w:rStyle w:val="Char3"/>
          <w:rFonts w:hint="eastAsia"/>
          <w:rtl/>
        </w:rPr>
        <w:t>وَلِلرَّسُولِ</w:t>
      </w:r>
      <w:r w:rsidR="00685363" w:rsidRPr="00995B26">
        <w:rPr>
          <w:rFonts w:cs="KFGQPC Uthman Taha Naskh" w:hint="cs"/>
          <w:rtl/>
          <w:lang w:bidi="fa-IR"/>
        </w:rPr>
        <w:t>...</w:t>
      </w:r>
      <w:r w:rsidR="00685363" w:rsidRPr="00995B26">
        <w:rPr>
          <w:rFonts w:cs="Traditional Arabic" w:hint="cs"/>
          <w:rtl/>
          <w:lang w:bidi="fa-IR"/>
        </w:rPr>
        <w:t>﴾</w:t>
      </w:r>
      <w:r w:rsidR="00685363" w:rsidRPr="00995B26">
        <w:rPr>
          <w:rFonts w:cs="B Lotus" w:hint="cs"/>
          <w:rtl/>
          <w:lang w:bidi="fa-IR"/>
        </w:rPr>
        <w:t>.</w:t>
      </w:r>
      <w:r w:rsidR="00685363" w:rsidRPr="00995B26">
        <w:rPr>
          <w:rFonts w:ascii="Abo-thar" w:hAnsi="Abo-thar"/>
          <w:sz w:val="28"/>
          <w:rtl/>
          <w:lang w:bidi="ar-SY"/>
        </w:rPr>
        <w:t xml:space="preserve"> </w:t>
      </w:r>
      <w:r w:rsidR="00685363" w:rsidRPr="00FC12FD">
        <w:rPr>
          <w:rStyle w:val="Char2"/>
          <w:rFonts w:hint="cs"/>
          <w:rtl/>
        </w:rPr>
        <w:t>[</w:t>
      </w:r>
      <w:r w:rsidRPr="00FC12FD">
        <w:rPr>
          <w:rStyle w:val="Char2"/>
          <w:rtl/>
        </w:rPr>
        <w:t>الأنفال</w:t>
      </w:r>
      <w:r w:rsidR="00685363" w:rsidRPr="00FC12FD">
        <w:rPr>
          <w:rStyle w:val="Char2"/>
          <w:rFonts w:hint="cs"/>
          <w:rtl/>
        </w:rPr>
        <w:t xml:space="preserve">: </w:t>
      </w:r>
      <w:r w:rsidRPr="00FC12FD">
        <w:rPr>
          <w:rStyle w:val="Char2"/>
          <w:rtl/>
        </w:rPr>
        <w:t>24</w:t>
      </w:r>
      <w:r w:rsidR="00685363" w:rsidRPr="00FC12FD">
        <w:rPr>
          <w:rStyle w:val="Char2"/>
          <w:rFonts w:hint="cs"/>
          <w:rtl/>
        </w:rPr>
        <w:t>]</w:t>
      </w:r>
      <w:r w:rsidR="00217AB4" w:rsidRPr="00995B26">
        <w:rPr>
          <w:rFonts w:ascii="Abo-thar" w:hAnsi="Abo-thar" w:hint="cs"/>
          <w:sz w:val="28"/>
          <w:rtl/>
          <w:lang w:bidi="ar-SY"/>
        </w:rPr>
        <w:t>،</w:t>
      </w:r>
      <w:r w:rsidRPr="00995B26">
        <w:rPr>
          <w:rFonts w:ascii="Abo-thar" w:hAnsi="Abo-thar" w:hint="cs"/>
          <w:sz w:val="28"/>
          <w:rtl/>
          <w:lang w:bidi="ar-SY"/>
        </w:rPr>
        <w:t xml:space="preserve"> والذي يعني أنه لا</w:t>
      </w:r>
      <w:r w:rsidRPr="00995B26">
        <w:rPr>
          <w:rFonts w:ascii="Abo-thar" w:hAnsi="Abo-thar" w:hint="eastAsia"/>
          <w:sz w:val="28"/>
          <w:rtl/>
          <w:lang w:bidi="ar-SY"/>
        </w:rPr>
        <w:t> </w:t>
      </w:r>
      <w:r w:rsidRPr="00995B26">
        <w:rPr>
          <w:rFonts w:ascii="Abo-thar" w:hAnsi="Abo-thar" w:hint="cs"/>
          <w:sz w:val="28"/>
          <w:rtl/>
          <w:lang w:bidi="ar-SY"/>
        </w:rPr>
        <w:t>يمكن جعل الله رديفاً مساوياً لبقية المذكورين الستة</w:t>
      </w:r>
      <w:r w:rsidR="00217AB4" w:rsidRPr="00995B26">
        <w:rPr>
          <w:rFonts w:ascii="Abo-thar" w:hAnsi="Abo-thar" w:hint="cs"/>
          <w:sz w:val="28"/>
          <w:rtl/>
          <w:lang w:bidi="ar-SY"/>
        </w:rPr>
        <w:t>،</w:t>
      </w:r>
      <w:r w:rsidRPr="00995B26">
        <w:rPr>
          <w:rFonts w:ascii="Abo-thar" w:hAnsi="Abo-thar" w:hint="cs"/>
          <w:sz w:val="28"/>
          <w:rtl/>
          <w:lang w:bidi="ar-SY"/>
        </w:rPr>
        <w:t xml:space="preserve"> وليس هذا فحسب</w:t>
      </w:r>
      <w:r w:rsidR="00217AB4" w:rsidRPr="00995B26">
        <w:rPr>
          <w:rFonts w:ascii="Abo-thar" w:hAnsi="Abo-thar" w:hint="cs"/>
          <w:sz w:val="28"/>
          <w:rtl/>
          <w:lang w:bidi="ar-SY"/>
        </w:rPr>
        <w:t>،</w:t>
      </w:r>
      <w:r w:rsidRPr="00995B26">
        <w:rPr>
          <w:rFonts w:ascii="Abo-thar" w:hAnsi="Abo-thar" w:hint="cs"/>
          <w:sz w:val="28"/>
          <w:rtl/>
          <w:lang w:bidi="ar-SY"/>
        </w:rPr>
        <w:t xml:space="preserve"> بل حتى لا يمكن إثبات حقٍّ مستقلٍّ لرسول الله</w:t>
      </w:r>
      <w:r w:rsidR="00147857" w:rsidRPr="00995B26">
        <w:rPr>
          <w:rFonts w:ascii="Abo-thar" w:hAnsi="Abo-thar" w:hint="cs"/>
          <w:sz w:val="28"/>
          <w:rtl/>
          <w:lang w:bidi="ar-SY"/>
        </w:rPr>
        <w:t xml:space="preserve"> </w:t>
      </w:r>
      <w:r w:rsidR="003C7AEB" w:rsidRPr="003C7AEB">
        <w:rPr>
          <w:rFonts w:ascii="Abo-thar" w:hAnsi="Abo-thar" w:cs="CTraditional Arabic" w:hint="cs"/>
          <w:sz w:val="28"/>
          <w:rtl/>
          <w:lang w:bidi="ar-SY"/>
        </w:rPr>
        <w:t>ص</w:t>
      </w:r>
      <w:r w:rsidR="00147857" w:rsidRPr="00995B26">
        <w:rPr>
          <w:rFonts w:ascii="Abo-thar" w:hAnsi="Abo-thar" w:hint="cs"/>
          <w:sz w:val="28"/>
          <w:rtl/>
          <w:lang w:bidi="ar-SY"/>
        </w:rPr>
        <w:t xml:space="preserve"> </w:t>
      </w:r>
      <w:r w:rsidRPr="00995B26">
        <w:rPr>
          <w:rFonts w:ascii="Abo-thar" w:hAnsi="Abo-thar" w:hint="cs"/>
          <w:sz w:val="28"/>
          <w:rtl/>
          <w:lang w:bidi="ar-SY"/>
        </w:rPr>
        <w:t>فيها أيضاً</w:t>
      </w:r>
      <w:r w:rsidR="00217AB4" w:rsidRPr="00995B26">
        <w:rPr>
          <w:rFonts w:ascii="Abo-thar" w:hAnsi="Abo-thar" w:hint="cs"/>
          <w:sz w:val="28"/>
          <w:rtl/>
          <w:lang w:bidi="ar-SY"/>
        </w:rPr>
        <w:t>.</w:t>
      </w:r>
      <w:r w:rsidRPr="00995B26">
        <w:rPr>
          <w:rFonts w:ascii="Abo-thar" w:hAnsi="Abo-thar" w:hint="cs"/>
          <w:sz w:val="28"/>
          <w:rtl/>
          <w:lang w:bidi="ar-SY"/>
        </w:rPr>
        <w:t xml:space="preserve"> </w:t>
      </w:r>
    </w:p>
    <w:p w:rsidR="005C664D" w:rsidRPr="003F3B94" w:rsidRDefault="005C664D" w:rsidP="00F01069">
      <w:pPr>
        <w:pStyle w:val="a0"/>
        <w:rPr>
          <w:rFonts w:hint="cs"/>
          <w:rtl/>
          <w:lang w:bidi="ar-SY"/>
        </w:rPr>
      </w:pPr>
      <w:r w:rsidRPr="003F3B94">
        <w:rPr>
          <w:rFonts w:ascii="Abo-thar" w:hAnsi="Abo-thar" w:hint="cs"/>
          <w:sz w:val="28"/>
          <w:rtl/>
          <w:lang w:bidi="ar-SY"/>
        </w:rPr>
        <w:t>ولهذا لا نجد في تاريخ رسول الله</w:t>
      </w:r>
      <w:r w:rsidR="00147857" w:rsidRPr="003F3B94">
        <w:rPr>
          <w:rFonts w:ascii="Abo-thar" w:hAnsi="Abo-thar" w:hint="cs"/>
          <w:sz w:val="28"/>
          <w:rtl/>
          <w:lang w:bidi="ar-SY"/>
        </w:rPr>
        <w:t xml:space="preserve"> </w:t>
      </w:r>
      <w:r w:rsidR="003C7AEB" w:rsidRPr="003C7AEB">
        <w:rPr>
          <w:rFonts w:ascii="Abo-thar" w:hAnsi="Abo-thar" w:cs="CTraditional Arabic"/>
          <w:sz w:val="28"/>
          <w:rtl/>
          <w:lang w:bidi="ar-SY"/>
        </w:rPr>
        <w:t>ص</w:t>
      </w:r>
      <w:r w:rsidR="00147857" w:rsidRPr="003F3B94">
        <w:rPr>
          <w:rFonts w:ascii="Abo-thar" w:hAnsi="Abo-thar"/>
          <w:sz w:val="28"/>
          <w:rtl/>
          <w:lang w:bidi="ar-SY"/>
        </w:rPr>
        <w:t xml:space="preserve"> </w:t>
      </w:r>
      <w:r w:rsidRPr="003F3B94">
        <w:rPr>
          <w:rFonts w:ascii="Abo-thar" w:hAnsi="Abo-thar" w:hint="cs"/>
          <w:sz w:val="28"/>
          <w:rtl/>
          <w:lang w:bidi="ar-SY"/>
        </w:rPr>
        <w:t>وسيرته أن حضرته كان يأخذ جزءاً من خُمْسِ الله لنفسه في أيٍ من غنائم الغزوات</w:t>
      </w:r>
      <w:r w:rsidR="00217AB4" w:rsidRPr="003F3B94">
        <w:rPr>
          <w:rFonts w:ascii="Abo-thar" w:hAnsi="Abo-thar" w:hint="cs"/>
          <w:sz w:val="28"/>
          <w:rtl/>
          <w:lang w:bidi="ar-SY"/>
        </w:rPr>
        <w:t>،</w:t>
      </w:r>
      <w:r w:rsidRPr="003F3B94">
        <w:rPr>
          <w:rFonts w:ascii="Abo-thar" w:hAnsi="Abo-thar" w:hint="cs"/>
          <w:sz w:val="28"/>
          <w:rtl/>
          <w:lang w:bidi="ar-SY"/>
        </w:rPr>
        <w:t xml:space="preserve"> بل كان يأخذ من صفايا المعركة ما يختص به</w:t>
      </w:r>
      <w:r w:rsidR="00217AB4" w:rsidRPr="003F3B94">
        <w:rPr>
          <w:rFonts w:ascii="Abo-thar" w:hAnsi="Abo-thar" w:hint="cs"/>
          <w:sz w:val="28"/>
          <w:rtl/>
          <w:lang w:bidi="ar-SY"/>
        </w:rPr>
        <w:t>،</w:t>
      </w:r>
      <w:r w:rsidRPr="003F3B94">
        <w:rPr>
          <w:rFonts w:ascii="Abo-thar" w:hAnsi="Abo-thar" w:hint="cs"/>
          <w:sz w:val="28"/>
          <w:rtl/>
          <w:lang w:bidi="ar-SY"/>
        </w:rPr>
        <w:t xml:space="preserve"> وكان يكتب في رسائله لرؤساء القبائل يطالبهم بما يسمى </w:t>
      </w:r>
      <w:r w:rsidRPr="003F3B94">
        <w:rPr>
          <w:rFonts w:ascii="Abo-thar" w:hAnsi="Abo-thar" w:hint="eastAsia"/>
          <w:sz w:val="28"/>
          <w:rtl/>
          <w:lang w:bidi="ar-SY"/>
        </w:rPr>
        <w:t>«</w:t>
      </w:r>
      <w:r w:rsidRPr="003F3B94">
        <w:rPr>
          <w:rFonts w:ascii="Abo-thar" w:hAnsi="Abo-thar" w:hint="cs"/>
          <w:sz w:val="28"/>
          <w:rtl/>
          <w:lang w:bidi="ar-SY"/>
        </w:rPr>
        <w:t>صفيَّ النبيِّ</w:t>
      </w:r>
      <w:r w:rsidRPr="003F3B94">
        <w:rPr>
          <w:rFonts w:ascii="Abo-thar" w:hAnsi="Abo-thar" w:hint="eastAsia"/>
          <w:sz w:val="28"/>
          <w:rtl/>
          <w:lang w:bidi="ar-SY"/>
        </w:rPr>
        <w:t>»</w:t>
      </w:r>
      <w:r w:rsidR="00217AB4" w:rsidRPr="0021507A">
        <w:rPr>
          <w:rFonts w:cs="Arabic11 BT"/>
          <w:b/>
          <w:sz w:val="28"/>
          <w:vertAlign w:val="superscript"/>
          <w:rtl/>
          <w:lang w:bidi="ar-SY"/>
        </w:rPr>
        <w:t>(</w:t>
      </w:r>
      <w:r w:rsidRPr="0021507A">
        <w:rPr>
          <w:rStyle w:val="FootnoteReference"/>
          <w:rFonts w:cs="Arabic11 BT"/>
          <w:b/>
          <w:sz w:val="28"/>
          <w:rtl/>
          <w:lang w:bidi="ar-SY"/>
        </w:rPr>
        <w:footnoteReference w:id="59"/>
      </w:r>
      <w:r w:rsidR="00217AB4" w:rsidRPr="0021507A">
        <w:rPr>
          <w:rFonts w:cs="Arabic11 BT"/>
          <w:b/>
          <w:sz w:val="28"/>
          <w:vertAlign w:val="superscript"/>
          <w:rtl/>
          <w:lang w:bidi="ar-SY"/>
        </w:rPr>
        <w:t>)</w:t>
      </w:r>
      <w:r w:rsidR="00217AB4" w:rsidRPr="003F3B94">
        <w:rPr>
          <w:rFonts w:ascii="Abo-thar" w:hAnsi="Abo-thar" w:hint="cs"/>
          <w:sz w:val="28"/>
          <w:rtl/>
          <w:lang w:bidi="ar-SY"/>
        </w:rPr>
        <w:t>.</w:t>
      </w:r>
      <w:r w:rsidRPr="003F3B94">
        <w:rPr>
          <w:rFonts w:ascii="Abo-thar" w:hAnsi="Abo-thar" w:hint="cs"/>
          <w:sz w:val="28"/>
          <w:rtl/>
          <w:lang w:bidi="ar-SY"/>
        </w:rPr>
        <w:t xml:space="preserve"> ولا</w:t>
      </w:r>
      <w:r w:rsidRPr="003F3B94">
        <w:rPr>
          <w:rFonts w:cs="Times New Roman" w:hint="cs"/>
          <w:sz w:val="28"/>
          <w:rtl/>
          <w:lang w:bidi="ar-SY"/>
        </w:rPr>
        <w:t> </w:t>
      </w:r>
      <w:r w:rsidRPr="003F3B94">
        <w:rPr>
          <w:rFonts w:ascii="Abo-thar" w:hAnsi="Abo-thar" w:hint="cs"/>
          <w:sz w:val="28"/>
          <w:rtl/>
          <w:lang w:bidi="ar-SY"/>
        </w:rPr>
        <w:t>نجد في أي تاريخ أن حضرته</w:t>
      </w:r>
      <w:r w:rsidR="003C7AEB" w:rsidRPr="003C7AEB">
        <w:rPr>
          <w:rFonts w:ascii="Abo-thar" w:hAnsi="Abo-thar" w:cs="CTraditional Arabic" w:hint="cs"/>
          <w:sz w:val="28"/>
          <w:rtl/>
          <w:lang w:bidi="ar-SY"/>
        </w:rPr>
        <w:t>ص</w:t>
      </w:r>
      <w:r w:rsidR="00147857" w:rsidRPr="003F3B94">
        <w:rPr>
          <w:rFonts w:ascii="Abo-thar" w:hAnsi="Abo-thar" w:hint="cs"/>
          <w:sz w:val="28"/>
          <w:rtl/>
          <w:lang w:bidi="ar-SY"/>
        </w:rPr>
        <w:t xml:space="preserve"> </w:t>
      </w:r>
      <w:r w:rsidRPr="003F3B94">
        <w:rPr>
          <w:rFonts w:ascii="Abo-thar" w:hAnsi="Abo-thar" w:hint="cs"/>
          <w:sz w:val="28"/>
          <w:rtl/>
          <w:lang w:bidi="ar-SY"/>
        </w:rPr>
        <w:t>أخذ حصة خاصة به من خمس الغنائم</w:t>
      </w:r>
      <w:r w:rsidR="00217AB4" w:rsidRPr="003F3B94">
        <w:rPr>
          <w:rFonts w:ascii="Abo-thar" w:hAnsi="Abo-thar" w:hint="cs"/>
          <w:sz w:val="28"/>
          <w:rtl/>
          <w:lang w:bidi="ar-SY"/>
        </w:rPr>
        <w:t>،</w:t>
      </w:r>
      <w:r w:rsidRPr="003F3B94">
        <w:rPr>
          <w:rFonts w:ascii="Abo-thar" w:hAnsi="Abo-thar" w:hint="cs"/>
          <w:sz w:val="28"/>
          <w:rtl/>
          <w:lang w:bidi="ar-SY"/>
        </w:rPr>
        <w:t xml:space="preserve"> بل كان يعزل خمس الله الذي هو حق ذي القربى والمساكين واليتامى وابن السبيل ويعطيه لمستحقيه لأنه لم يكن بحاجة إلى ذلك الخمس فقد كانت معيشته تؤمَّن من الفيء الذي كان مختصاً به</w:t>
      </w:r>
      <w:r w:rsidR="00217AB4" w:rsidRPr="003F3B94">
        <w:rPr>
          <w:rFonts w:ascii="Abo-thar" w:hAnsi="Abo-thar" w:hint="cs"/>
          <w:sz w:val="28"/>
          <w:rtl/>
          <w:lang w:bidi="ar-SY"/>
        </w:rPr>
        <w:t>.</w:t>
      </w:r>
      <w:r w:rsidRPr="003F3B94">
        <w:rPr>
          <w:rFonts w:ascii="Abo-thar" w:hAnsi="Abo-thar" w:hint="cs"/>
          <w:sz w:val="28"/>
          <w:rtl/>
          <w:lang w:bidi="ar-SY"/>
        </w:rPr>
        <w:t xml:space="preserve"> </w:t>
      </w:r>
    </w:p>
    <w:p w:rsidR="005C664D" w:rsidRPr="003F3B94" w:rsidRDefault="005C664D" w:rsidP="003F3B94">
      <w:pPr>
        <w:pStyle w:val="a0"/>
        <w:rPr>
          <w:rFonts w:hint="cs"/>
          <w:rtl/>
          <w:lang w:bidi="ar-SY"/>
        </w:rPr>
      </w:pPr>
      <w:r w:rsidRPr="003F3B94">
        <w:rPr>
          <w:rFonts w:ascii="Abo-thar" w:hAnsi="Abo-thar" w:hint="cs"/>
          <w:sz w:val="28"/>
          <w:rtl/>
          <w:lang w:bidi="ar-SY"/>
        </w:rPr>
        <w:t>ولدينا شواهد عديدة في كتب</w:t>
      </w:r>
      <w:r w:rsidR="00147857" w:rsidRPr="003F3B94">
        <w:rPr>
          <w:rFonts w:ascii="Abo-thar" w:hAnsi="Abo-thar" w:hint="cs"/>
          <w:sz w:val="28"/>
          <w:rtl/>
          <w:lang w:bidi="ar-SY"/>
        </w:rPr>
        <w:t xml:space="preserve"> </w:t>
      </w:r>
      <w:r w:rsidRPr="003F3B94">
        <w:rPr>
          <w:rFonts w:ascii="Abo-thar" w:hAnsi="Abo-thar" w:hint="cs"/>
          <w:sz w:val="28"/>
          <w:rtl/>
          <w:lang w:bidi="ar-SY"/>
        </w:rPr>
        <w:t>التواريخ المعتمدة على أن حاجته كان مؤمَّنة تماماً من الفيء ولم يكن بحاجة لأي مصدر آخر</w:t>
      </w:r>
      <w:r w:rsidR="00217AB4" w:rsidRPr="003F3B94">
        <w:rPr>
          <w:rFonts w:ascii="Abo-thar" w:hAnsi="Abo-thar" w:hint="cs"/>
          <w:sz w:val="28"/>
          <w:rtl/>
          <w:lang w:bidi="ar-SY"/>
        </w:rPr>
        <w:t>،</w:t>
      </w:r>
      <w:r w:rsidRPr="003F3B94">
        <w:rPr>
          <w:rFonts w:ascii="Abo-thar" w:hAnsi="Abo-thar" w:hint="cs"/>
          <w:sz w:val="28"/>
          <w:rtl/>
          <w:lang w:bidi="ar-SY"/>
        </w:rPr>
        <w:t xml:space="preserve"> ومثال على ذلك ما جاء في سيرة ابن هشام </w:t>
      </w:r>
      <w:r w:rsidR="00217AB4" w:rsidRPr="003F3B94">
        <w:rPr>
          <w:rFonts w:ascii="Abo-thar" w:hAnsi="Abo-thar" w:hint="cs"/>
          <w:sz w:val="28"/>
          <w:rtl/>
          <w:lang w:bidi="ar-SY"/>
        </w:rPr>
        <w:t>(</w:t>
      </w:r>
      <w:r w:rsidRPr="003F3B94">
        <w:rPr>
          <w:rFonts w:ascii="Abo-thar" w:hAnsi="Abo-thar" w:hint="cs"/>
          <w:sz w:val="28"/>
          <w:rtl/>
          <w:lang w:bidi="ar-SY"/>
        </w:rPr>
        <w:t>ج2/ص140</w:t>
      </w:r>
      <w:r w:rsidR="00217AB4" w:rsidRPr="003F3B94">
        <w:rPr>
          <w:rFonts w:ascii="Abo-thar" w:hAnsi="Abo-thar" w:hint="cs"/>
          <w:sz w:val="28"/>
          <w:rtl/>
          <w:lang w:bidi="ar-SY"/>
        </w:rPr>
        <w:t>)</w:t>
      </w:r>
      <w:r w:rsidRPr="003F3B94">
        <w:rPr>
          <w:rFonts w:ascii="Abo-thar" w:hAnsi="Abo-thar" w:hint="cs"/>
          <w:sz w:val="28"/>
          <w:rtl/>
          <w:lang w:bidi="ar-SY"/>
        </w:rPr>
        <w:t xml:space="preserve"> وتاريخ الطبري </w:t>
      </w:r>
      <w:r w:rsidR="00217AB4" w:rsidRPr="003F3B94">
        <w:rPr>
          <w:rFonts w:ascii="Abo-thar" w:hAnsi="Abo-thar" w:hint="cs"/>
          <w:sz w:val="28"/>
          <w:rtl/>
          <w:lang w:bidi="ar-SY"/>
        </w:rPr>
        <w:t>(</w:t>
      </w:r>
      <w:r w:rsidRPr="003F3B94">
        <w:rPr>
          <w:rFonts w:ascii="Abo-thar" w:hAnsi="Abo-thar" w:hint="cs"/>
          <w:sz w:val="28"/>
          <w:rtl/>
          <w:lang w:bidi="ar-SY"/>
        </w:rPr>
        <w:t>2/209</w:t>
      </w:r>
      <w:r w:rsidR="00217AB4" w:rsidRPr="003F3B94">
        <w:rPr>
          <w:rFonts w:ascii="Abo-thar" w:hAnsi="Abo-thar" w:hint="cs"/>
          <w:sz w:val="28"/>
          <w:rtl/>
          <w:lang w:bidi="ar-SY"/>
        </w:rPr>
        <w:t>)</w:t>
      </w:r>
      <w:r w:rsidR="00147857" w:rsidRPr="003F3B94">
        <w:rPr>
          <w:rFonts w:ascii="Abo-thar" w:hAnsi="Abo-thar" w:hint="cs"/>
          <w:sz w:val="28"/>
          <w:rtl/>
          <w:lang w:bidi="ar-SY"/>
        </w:rPr>
        <w:t xml:space="preserve"> و</w:t>
      </w:r>
      <w:r w:rsidRPr="003F3B94">
        <w:rPr>
          <w:rFonts w:ascii="Abo-thar" w:hAnsi="Abo-thar" w:hint="cs"/>
          <w:sz w:val="28"/>
          <w:rtl/>
          <w:lang w:bidi="ar-SY"/>
        </w:rPr>
        <w:t xml:space="preserve">الأحكام السلطانية للماوردي </w:t>
      </w:r>
      <w:r w:rsidR="00217AB4" w:rsidRPr="003F3B94">
        <w:rPr>
          <w:rFonts w:ascii="Abo-thar" w:hAnsi="Abo-thar" w:hint="cs"/>
          <w:sz w:val="28"/>
          <w:rtl/>
          <w:lang w:bidi="ar-SY"/>
        </w:rPr>
        <w:t>(</w:t>
      </w:r>
      <w:r w:rsidRPr="003F3B94">
        <w:rPr>
          <w:rFonts w:ascii="Abo-thar" w:hAnsi="Abo-thar" w:hint="cs"/>
          <w:sz w:val="28"/>
          <w:rtl/>
          <w:lang w:bidi="ar-SY"/>
        </w:rPr>
        <w:t>ص161</w:t>
      </w:r>
      <w:r w:rsidR="00217AB4" w:rsidRPr="003F3B94">
        <w:rPr>
          <w:rFonts w:ascii="Abo-thar" w:hAnsi="Abo-thar" w:hint="cs"/>
          <w:sz w:val="28"/>
          <w:rtl/>
          <w:lang w:bidi="ar-SY"/>
        </w:rPr>
        <w:t>)</w:t>
      </w:r>
      <w:r w:rsidRPr="003F3B94">
        <w:rPr>
          <w:rFonts w:ascii="Abo-thar" w:hAnsi="Abo-thar" w:hint="cs"/>
          <w:sz w:val="28"/>
          <w:rtl/>
          <w:lang w:bidi="ar-SY"/>
        </w:rPr>
        <w:t xml:space="preserve"> وفتوح البلدان للبلاذري </w:t>
      </w:r>
      <w:r w:rsidR="00217AB4" w:rsidRPr="003F3B94">
        <w:rPr>
          <w:rFonts w:ascii="Abo-thar" w:hAnsi="Abo-thar" w:hint="cs"/>
          <w:sz w:val="28"/>
          <w:rtl/>
          <w:lang w:bidi="ar-SY"/>
        </w:rPr>
        <w:t>(</w:t>
      </w:r>
      <w:r w:rsidRPr="003F3B94">
        <w:rPr>
          <w:rFonts w:ascii="Abo-thar" w:hAnsi="Abo-thar" w:hint="cs"/>
          <w:sz w:val="28"/>
          <w:rtl/>
          <w:lang w:bidi="ar-SY"/>
        </w:rPr>
        <w:t>ص26</w:t>
      </w:r>
      <w:r w:rsidR="00217AB4" w:rsidRPr="003F3B94">
        <w:rPr>
          <w:rFonts w:ascii="Abo-thar" w:hAnsi="Abo-thar" w:hint="cs"/>
          <w:sz w:val="28"/>
          <w:rtl/>
          <w:lang w:bidi="ar-SY"/>
        </w:rPr>
        <w:t>)</w:t>
      </w:r>
      <w:r w:rsidRPr="003F3B94">
        <w:rPr>
          <w:rFonts w:ascii="Abo-thar" w:hAnsi="Abo-thar" w:hint="cs"/>
          <w:sz w:val="28"/>
          <w:rtl/>
          <w:lang w:bidi="ar-SY"/>
        </w:rPr>
        <w:t xml:space="preserve"> والخراج ليحيى بن آدم </w:t>
      </w:r>
      <w:r w:rsidR="00217AB4" w:rsidRPr="003F3B94">
        <w:rPr>
          <w:rFonts w:ascii="Abo-thar" w:hAnsi="Abo-thar" w:hint="cs"/>
          <w:sz w:val="28"/>
          <w:rtl/>
          <w:lang w:bidi="ar-SY"/>
        </w:rPr>
        <w:t>(</w:t>
      </w:r>
      <w:r w:rsidRPr="003F3B94">
        <w:rPr>
          <w:rFonts w:ascii="Abo-thar" w:hAnsi="Abo-thar" w:hint="cs"/>
          <w:sz w:val="28"/>
          <w:rtl/>
          <w:lang w:bidi="ar-SY"/>
        </w:rPr>
        <w:t>36</w:t>
      </w:r>
      <w:r w:rsidR="00217AB4" w:rsidRPr="003F3B94">
        <w:rPr>
          <w:rFonts w:ascii="Abo-thar" w:hAnsi="Abo-thar" w:hint="cs"/>
          <w:sz w:val="28"/>
          <w:rtl/>
          <w:lang w:bidi="ar-SY"/>
        </w:rPr>
        <w:t>)</w:t>
      </w:r>
      <w:r w:rsidRPr="003F3B94">
        <w:rPr>
          <w:rFonts w:ascii="Abo-thar" w:hAnsi="Abo-thar" w:hint="cs"/>
          <w:sz w:val="28"/>
          <w:rtl/>
          <w:lang w:bidi="ar-SY"/>
        </w:rPr>
        <w:t xml:space="preserve"> في بيان قصة مخيريق اليهودي كما يلي</w:t>
      </w:r>
      <w:r w:rsidR="00217AB4" w:rsidRPr="003F3B94">
        <w:rPr>
          <w:rFonts w:ascii="Abo-thar" w:hAnsi="Abo-thar" w:hint="cs"/>
          <w:sz w:val="28"/>
          <w:rtl/>
          <w:lang w:bidi="ar-SY"/>
        </w:rPr>
        <w:t>:</w:t>
      </w:r>
      <w:r w:rsidRPr="003F3B94">
        <w:rPr>
          <w:rFonts w:ascii="Abo-thar" w:hAnsi="Abo-thar" w:hint="cs"/>
          <w:sz w:val="28"/>
          <w:rtl/>
          <w:lang w:bidi="ar-SY"/>
        </w:rPr>
        <w:t xml:space="preserve"> </w:t>
      </w:r>
    </w:p>
    <w:p w:rsidR="005C664D" w:rsidRPr="003F3B94" w:rsidRDefault="00EF2588" w:rsidP="003F3B94">
      <w:pPr>
        <w:pStyle w:val="a0"/>
        <w:rPr>
          <w:rFonts w:hint="cs"/>
          <w:rtl/>
        </w:rPr>
      </w:pPr>
      <w:r w:rsidRPr="00CE7623">
        <w:rPr>
          <w:rFonts w:ascii="Abo-thar" w:hAnsi="Abo-thar" w:cs="KFGQPC Uthman Taha Naskh" w:hint="cs"/>
          <w:sz w:val="28"/>
          <w:rtl/>
          <w:lang w:bidi="ar-SY"/>
        </w:rPr>
        <w:t>«</w:t>
      </w:r>
      <w:r w:rsidR="005C664D" w:rsidRPr="00CE7623">
        <w:rPr>
          <w:rFonts w:ascii="Abo-thar" w:hAnsi="Abo-thar" w:cs="KFGQPC Uthman Taha Naskh"/>
          <w:sz w:val="28"/>
          <w:rtl/>
          <w:lang w:bidi="ar-SY"/>
        </w:rPr>
        <w:t>وَكَانَ مِنْ حَدِيثِ مُخَيْرِيقٍ</w:t>
      </w:r>
      <w:r w:rsidR="00217AB4" w:rsidRPr="00CE7623">
        <w:rPr>
          <w:rFonts w:ascii="Abo-thar" w:hAnsi="Abo-thar" w:cs="KFGQPC Uthman Taha Naskh"/>
          <w:sz w:val="28"/>
          <w:rtl/>
          <w:lang w:bidi="ar-SY"/>
        </w:rPr>
        <w:t>،</w:t>
      </w:r>
      <w:r w:rsidR="005C664D" w:rsidRPr="00CE7623">
        <w:rPr>
          <w:rFonts w:ascii="Abo-thar" w:hAnsi="Abo-thar" w:cs="KFGQPC Uthman Taha Naskh"/>
          <w:sz w:val="28"/>
          <w:rtl/>
          <w:lang w:bidi="ar-SY"/>
        </w:rPr>
        <w:t xml:space="preserve"> وَكَانَ حَبْرًا عَالِمًا</w:t>
      </w:r>
      <w:r w:rsidR="00217AB4" w:rsidRPr="00CE7623">
        <w:rPr>
          <w:rFonts w:ascii="Abo-thar" w:hAnsi="Abo-thar" w:cs="KFGQPC Uthman Taha Naskh"/>
          <w:sz w:val="28"/>
          <w:rtl/>
          <w:lang w:bidi="ar-SY"/>
        </w:rPr>
        <w:t>،</w:t>
      </w:r>
      <w:r w:rsidR="005C664D" w:rsidRPr="00CE7623">
        <w:rPr>
          <w:rFonts w:ascii="Abo-thar" w:hAnsi="Abo-thar" w:cs="KFGQPC Uthman Taha Naskh"/>
          <w:sz w:val="28"/>
          <w:rtl/>
          <w:lang w:bidi="ar-SY"/>
        </w:rPr>
        <w:t xml:space="preserve"> وَكَانَ رَجُلًا غَنِيّا</w:t>
      </w:r>
      <w:r w:rsidR="00190541" w:rsidRPr="00CE7623">
        <w:rPr>
          <w:rFonts w:ascii="Abo-thar" w:hAnsi="Abo-thar" w:cs="KFGQPC Uthman Taha Naskh" w:hint="cs"/>
          <w:sz w:val="28"/>
          <w:rtl/>
          <w:lang w:bidi="ar-SY"/>
        </w:rPr>
        <w:t>ً</w:t>
      </w:r>
      <w:r w:rsidR="005C664D" w:rsidRPr="00CE7623">
        <w:rPr>
          <w:rFonts w:ascii="Abo-thar" w:hAnsi="Abo-thar" w:cs="KFGQPC Uthman Taha Naskh"/>
          <w:sz w:val="28"/>
          <w:rtl/>
          <w:lang w:bidi="ar-SY"/>
        </w:rPr>
        <w:t xml:space="preserve"> كَثِيرَ الْأَمْوَالِ مِنْ النّخْلِ وَكَانَ يَعْرِفُ رَسُولَ اللهِ</w:t>
      </w:r>
      <w:r w:rsidR="005C53D5" w:rsidRPr="00CE7623">
        <w:rPr>
          <w:rFonts w:ascii="Abo-thar" w:hAnsi="Abo-thar" w:cs="KFGQPC Uthman Taha Naskh"/>
          <w:sz w:val="28"/>
          <w:rtl/>
          <w:lang w:bidi="ar-SY"/>
        </w:rPr>
        <w:t xml:space="preserve"> </w:t>
      </w:r>
      <w:r w:rsidR="00BC4BA9" w:rsidRPr="00BC4BA9">
        <w:rPr>
          <w:rFonts w:cs="CTraditional Arabic"/>
          <w:sz w:val="28"/>
          <w:rtl/>
          <w:lang w:bidi="ar-SY"/>
        </w:rPr>
        <w:t>ص</w:t>
      </w:r>
      <w:r w:rsidR="005C53D5" w:rsidRPr="00CE7623">
        <w:rPr>
          <w:rFonts w:cs="KFGQPC Uthman Taha Naskh"/>
          <w:sz w:val="28"/>
          <w:rtl/>
          <w:lang w:bidi="ar-SY"/>
        </w:rPr>
        <w:t xml:space="preserve"> </w:t>
      </w:r>
      <w:r w:rsidR="005C664D" w:rsidRPr="00CE7623">
        <w:rPr>
          <w:rFonts w:ascii="Abo-thar" w:hAnsi="Abo-thar" w:cs="KFGQPC Uthman Taha Naskh"/>
          <w:sz w:val="28"/>
          <w:rtl/>
          <w:lang w:bidi="ar-SY"/>
        </w:rPr>
        <w:t>بِصِفَتِهِ وَمَا يَجِدُ فِي عِلْمِهِ وَغَلَبَ عَلَيْهِ إلْفُ دِينِهِ فَلَمْ يَزَلْ عَلَى ذَلِكَ حَتّى إذَا كَانَ يَوْمُ أُحُدٍ</w:t>
      </w:r>
      <w:r w:rsidR="00217AB4" w:rsidRPr="00CE7623">
        <w:rPr>
          <w:rFonts w:ascii="Abo-thar" w:hAnsi="Abo-thar" w:cs="KFGQPC Uthman Taha Naskh"/>
          <w:sz w:val="28"/>
          <w:rtl/>
          <w:lang w:bidi="ar-SY"/>
        </w:rPr>
        <w:t>،</w:t>
      </w:r>
      <w:r w:rsidR="005C664D" w:rsidRPr="00CE7623">
        <w:rPr>
          <w:rFonts w:ascii="Abo-thar" w:hAnsi="Abo-thar" w:cs="KFGQPC Uthman Taha Naskh"/>
          <w:sz w:val="28"/>
          <w:rtl/>
          <w:lang w:bidi="ar-SY"/>
        </w:rPr>
        <w:t xml:space="preserve"> وَكَانَ يَوْمُ أُحُدٍ يَوْمَ السّبْتِ</w:t>
      </w:r>
      <w:r w:rsidR="00217AB4" w:rsidRPr="00CE7623">
        <w:rPr>
          <w:rFonts w:ascii="Abo-thar" w:hAnsi="Abo-thar" w:cs="KFGQPC Uthman Taha Naskh"/>
          <w:sz w:val="28"/>
          <w:rtl/>
          <w:lang w:bidi="ar-SY"/>
        </w:rPr>
        <w:t>،</w:t>
      </w:r>
      <w:r w:rsidR="005C664D" w:rsidRPr="00CE7623">
        <w:rPr>
          <w:rFonts w:ascii="Abo-thar" w:hAnsi="Abo-thar" w:cs="KFGQPC Uthman Taha Naskh"/>
          <w:sz w:val="28"/>
          <w:rtl/>
          <w:lang w:bidi="ar-SY"/>
        </w:rPr>
        <w:t xml:space="preserve"> قَالَ يَا مَعْشَرَ يَهُودَ وَاللهِ إنّكُمْ لَتَعْلَمُونَ أَنّ نَصْرَ مُحَمّدٍ عَلَيْكُمْ لَحَقّ</w:t>
      </w:r>
      <w:r w:rsidR="00217AB4" w:rsidRPr="00CE7623">
        <w:rPr>
          <w:rFonts w:ascii="Abo-thar" w:hAnsi="Abo-thar" w:cs="KFGQPC Uthman Taha Naskh"/>
          <w:sz w:val="28"/>
          <w:rtl/>
          <w:lang w:bidi="ar-SY"/>
        </w:rPr>
        <w:t>.</w:t>
      </w:r>
      <w:r w:rsidR="005C664D" w:rsidRPr="00CE7623">
        <w:rPr>
          <w:rFonts w:ascii="Abo-thar" w:hAnsi="Abo-thar" w:cs="KFGQPC Uthman Taha Naskh"/>
          <w:sz w:val="28"/>
          <w:rtl/>
          <w:lang w:bidi="ar-SY"/>
        </w:rPr>
        <w:t xml:space="preserve"> قَالُوا</w:t>
      </w:r>
      <w:r w:rsidR="00217AB4" w:rsidRPr="00CE7623">
        <w:rPr>
          <w:rFonts w:ascii="Abo-thar" w:hAnsi="Abo-thar" w:cs="KFGQPC Uthman Taha Naskh"/>
          <w:sz w:val="28"/>
          <w:rtl/>
          <w:lang w:bidi="ar-SY"/>
        </w:rPr>
        <w:t>:</w:t>
      </w:r>
      <w:r w:rsidR="005C664D" w:rsidRPr="00CE7623">
        <w:rPr>
          <w:rFonts w:ascii="Abo-thar" w:hAnsi="Abo-thar" w:cs="KFGQPC Uthman Taha Naskh"/>
          <w:sz w:val="28"/>
          <w:rtl/>
          <w:lang w:bidi="ar-SY"/>
        </w:rPr>
        <w:t xml:space="preserve"> إنّ الْيَوْمَ يَوْمُ السّبْتِ قَالَ لَا</w:t>
      </w:r>
      <w:r w:rsidR="005C664D" w:rsidRPr="00CE7623">
        <w:rPr>
          <w:rFonts w:cs="Times New Roman" w:hint="cs"/>
          <w:sz w:val="28"/>
          <w:rtl/>
          <w:lang w:bidi="ar-SY"/>
        </w:rPr>
        <w:t> </w:t>
      </w:r>
      <w:r w:rsidR="005C664D" w:rsidRPr="00CE7623">
        <w:rPr>
          <w:rFonts w:ascii="Abo-thar" w:hAnsi="Abo-thar" w:cs="KFGQPC Uthman Taha Naskh"/>
          <w:sz w:val="28"/>
          <w:rtl/>
          <w:lang w:bidi="ar-SY"/>
        </w:rPr>
        <w:t>سَبْتَ لَكُمْ</w:t>
      </w:r>
      <w:r w:rsidR="00217AB4" w:rsidRPr="00CE7623">
        <w:rPr>
          <w:rFonts w:ascii="Abo-thar" w:hAnsi="Abo-thar" w:cs="KFGQPC Uthman Taha Naskh"/>
          <w:sz w:val="28"/>
          <w:rtl/>
          <w:lang w:bidi="ar-SY"/>
        </w:rPr>
        <w:t>.</w:t>
      </w:r>
      <w:r w:rsidR="005C664D" w:rsidRPr="00CE7623">
        <w:rPr>
          <w:rFonts w:ascii="Abo-thar" w:hAnsi="Abo-thar" w:cs="KFGQPC Uthman Taha Naskh"/>
          <w:sz w:val="28"/>
          <w:rtl/>
          <w:lang w:bidi="ar-SY"/>
        </w:rPr>
        <w:t xml:space="preserve"> ثُمّ أَخَذَ سِلَاحَهُ فَخَرَجَ حَتّى أَتَى رَسُولَ اللهِ</w:t>
      </w:r>
      <w:r w:rsidR="005C53D5" w:rsidRPr="00CE7623">
        <w:rPr>
          <w:rFonts w:ascii="Abo-thar" w:hAnsi="Abo-thar" w:cs="KFGQPC Uthman Taha Naskh"/>
          <w:sz w:val="28"/>
          <w:rtl/>
          <w:lang w:bidi="ar-SY"/>
        </w:rPr>
        <w:t xml:space="preserve"> </w:t>
      </w:r>
      <w:r w:rsidR="00BC4BA9" w:rsidRPr="00BC4BA9">
        <w:rPr>
          <w:rFonts w:cs="CTraditional Arabic"/>
          <w:sz w:val="28"/>
          <w:rtl/>
          <w:lang w:bidi="ar-SY"/>
        </w:rPr>
        <w:t>ص</w:t>
      </w:r>
      <w:r w:rsidR="005C53D5" w:rsidRPr="00CE7623">
        <w:rPr>
          <w:rFonts w:cs="KFGQPC Uthman Taha Naskh"/>
          <w:sz w:val="28"/>
          <w:rtl/>
          <w:lang w:bidi="ar-SY"/>
        </w:rPr>
        <w:t xml:space="preserve"> </w:t>
      </w:r>
      <w:r w:rsidR="005C664D" w:rsidRPr="00CE7623">
        <w:rPr>
          <w:rFonts w:ascii="Abo-thar" w:hAnsi="Abo-thar" w:cs="KFGQPC Uthman Taha Naskh"/>
          <w:sz w:val="28"/>
          <w:rtl/>
          <w:lang w:bidi="ar-SY"/>
        </w:rPr>
        <w:t>بِأُحُدٍ وَعَهِدَ إلَى مَنْ وَرَاءَهُ مِنْ قَوْمِهِ إنْ قُتِلْتُ هَذَا الْيَوْمَ فَأَمْوَالِي لِمُحَمّدٍ</w:t>
      </w:r>
      <w:r w:rsidR="005C53D5" w:rsidRPr="00CE7623">
        <w:rPr>
          <w:rFonts w:ascii="Abo-thar" w:hAnsi="Abo-thar" w:cs="KFGQPC Uthman Taha Naskh"/>
          <w:sz w:val="28"/>
          <w:rtl/>
          <w:lang w:bidi="ar-SY"/>
        </w:rPr>
        <w:t xml:space="preserve"> </w:t>
      </w:r>
      <w:r w:rsidR="00BC4BA9" w:rsidRPr="00BC4BA9">
        <w:rPr>
          <w:rFonts w:cs="CTraditional Arabic"/>
          <w:sz w:val="28"/>
          <w:rtl/>
          <w:lang w:bidi="ar-SY"/>
        </w:rPr>
        <w:t>ص</w:t>
      </w:r>
      <w:r w:rsidR="005C53D5" w:rsidRPr="00CE7623">
        <w:rPr>
          <w:rFonts w:cs="KFGQPC Uthman Taha Naskh"/>
          <w:sz w:val="28"/>
          <w:rtl/>
          <w:lang w:bidi="ar-SY"/>
        </w:rPr>
        <w:t xml:space="preserve"> </w:t>
      </w:r>
      <w:r w:rsidR="005C664D" w:rsidRPr="00CE7623">
        <w:rPr>
          <w:rFonts w:ascii="Abo-thar" w:hAnsi="Abo-thar" w:cs="KFGQPC Uthman Taha Naskh"/>
          <w:sz w:val="28"/>
          <w:rtl/>
          <w:lang w:bidi="ar-SY"/>
        </w:rPr>
        <w:t>يَصْنَعُ فِيهَا مَا أَرَاهُ اللهُ</w:t>
      </w:r>
      <w:r w:rsidR="00217AB4" w:rsidRPr="00CE7623">
        <w:rPr>
          <w:rFonts w:ascii="Abo-thar" w:hAnsi="Abo-thar" w:cs="KFGQPC Uthman Taha Naskh"/>
          <w:sz w:val="28"/>
          <w:rtl/>
          <w:lang w:bidi="ar-SY"/>
        </w:rPr>
        <w:t>.</w:t>
      </w:r>
      <w:r w:rsidR="005C664D" w:rsidRPr="00CE7623">
        <w:rPr>
          <w:rFonts w:ascii="Abo-thar" w:hAnsi="Abo-thar" w:cs="KFGQPC Uthman Taha Naskh"/>
          <w:sz w:val="28"/>
          <w:rtl/>
          <w:lang w:bidi="ar-SY"/>
        </w:rPr>
        <w:t xml:space="preserve"> فَلَمّا اقْتَتَلَ النّاسُ قَاتَلَ حَتّى قُتِلَ</w:t>
      </w:r>
      <w:r w:rsidR="00217AB4" w:rsidRPr="00CE7623">
        <w:rPr>
          <w:rFonts w:ascii="Abo-thar" w:hAnsi="Abo-thar" w:cs="KFGQPC Uthman Taha Naskh"/>
          <w:sz w:val="28"/>
          <w:rtl/>
          <w:lang w:bidi="ar-SY"/>
        </w:rPr>
        <w:t>.</w:t>
      </w:r>
      <w:r w:rsidR="005C664D" w:rsidRPr="00CE7623">
        <w:rPr>
          <w:rFonts w:ascii="Abo-thar" w:hAnsi="Abo-thar" w:cs="KFGQPC Uthman Taha Naskh"/>
          <w:sz w:val="28"/>
          <w:rtl/>
          <w:lang w:bidi="ar-SY"/>
        </w:rPr>
        <w:t xml:space="preserve"> فَكَانَ رَسُولُ اللهِ</w:t>
      </w:r>
      <w:r w:rsidR="005C53D5" w:rsidRPr="00CE7623">
        <w:rPr>
          <w:rFonts w:ascii="Abo-thar" w:hAnsi="Abo-thar" w:cs="KFGQPC Uthman Taha Naskh"/>
          <w:sz w:val="28"/>
          <w:rtl/>
          <w:lang w:bidi="ar-SY"/>
        </w:rPr>
        <w:t xml:space="preserve"> </w:t>
      </w:r>
      <w:r w:rsidR="003C7AEB" w:rsidRPr="003C7AEB">
        <w:rPr>
          <w:rFonts w:cs="CTraditional Arabic"/>
          <w:sz w:val="28"/>
          <w:rtl/>
          <w:lang w:bidi="ar-SY"/>
        </w:rPr>
        <w:t>ص</w:t>
      </w:r>
      <w:r w:rsidR="005C53D5" w:rsidRPr="00CE7623">
        <w:rPr>
          <w:rFonts w:cs="KFGQPC Uthman Taha Naskh"/>
          <w:sz w:val="28"/>
          <w:rtl/>
          <w:lang w:bidi="ar-SY"/>
        </w:rPr>
        <w:t xml:space="preserve"> </w:t>
      </w:r>
      <w:r w:rsidR="00217AB4" w:rsidRPr="00CE7623">
        <w:rPr>
          <w:rFonts w:ascii="Abo-thar" w:hAnsi="Abo-thar" w:cs="KFGQPC Uthman Taha Naskh"/>
          <w:sz w:val="28"/>
          <w:rtl/>
          <w:lang w:bidi="ar-SY"/>
        </w:rPr>
        <w:t>-</w:t>
      </w:r>
      <w:r w:rsidR="005C664D" w:rsidRPr="00CE7623">
        <w:rPr>
          <w:rFonts w:ascii="Abo-thar" w:hAnsi="Abo-thar" w:cs="KFGQPC Uthman Taha Naskh"/>
          <w:sz w:val="28"/>
          <w:rtl/>
          <w:lang w:bidi="ar-SY"/>
        </w:rPr>
        <w:t xml:space="preserve"> فِيمَا بَلَغَنِي </w:t>
      </w:r>
      <w:r w:rsidR="00217AB4" w:rsidRPr="00CE7623">
        <w:rPr>
          <w:rFonts w:ascii="Abo-thar" w:hAnsi="Abo-thar" w:cs="KFGQPC Uthman Taha Naskh"/>
          <w:sz w:val="28"/>
          <w:rtl/>
          <w:lang w:bidi="ar-SY"/>
        </w:rPr>
        <w:t>-</w:t>
      </w:r>
      <w:r w:rsidR="005C664D" w:rsidRPr="00CE7623">
        <w:rPr>
          <w:rFonts w:ascii="Abo-thar" w:hAnsi="Abo-thar" w:cs="KFGQPC Uthman Taha Naskh"/>
          <w:sz w:val="28"/>
          <w:rtl/>
          <w:lang w:bidi="ar-SY"/>
        </w:rPr>
        <w:t xml:space="preserve"> يَقُولُ مُخَيْرِيقُ خَيْرُ الْيَهُودِ وَقَبَضَ رَسُولُ اللهِ</w:t>
      </w:r>
      <w:r w:rsidR="005C53D5" w:rsidRPr="00CE7623">
        <w:rPr>
          <w:rFonts w:ascii="Abo-thar" w:hAnsi="Abo-thar" w:cs="KFGQPC Uthman Taha Naskh"/>
          <w:sz w:val="28"/>
          <w:rtl/>
          <w:lang w:bidi="ar-SY"/>
        </w:rPr>
        <w:t xml:space="preserve"> </w:t>
      </w:r>
      <w:r w:rsidR="003C7AEB" w:rsidRPr="003C7AEB">
        <w:rPr>
          <w:rFonts w:cs="CTraditional Arabic"/>
          <w:sz w:val="28"/>
          <w:rtl/>
          <w:lang w:bidi="ar-SY"/>
        </w:rPr>
        <w:t>ص</w:t>
      </w:r>
      <w:r w:rsidR="005C53D5" w:rsidRPr="00CE7623">
        <w:rPr>
          <w:rFonts w:cs="KFGQPC Uthman Taha Naskh"/>
          <w:sz w:val="28"/>
          <w:rtl/>
          <w:lang w:bidi="ar-SY"/>
        </w:rPr>
        <w:t xml:space="preserve"> </w:t>
      </w:r>
      <w:r w:rsidR="005C664D" w:rsidRPr="00CE7623">
        <w:rPr>
          <w:rFonts w:ascii="Abo-thar" w:hAnsi="Abo-thar" w:cs="KFGQPC Uthman Taha Naskh"/>
          <w:sz w:val="28"/>
          <w:rtl/>
          <w:lang w:bidi="ar-SY"/>
        </w:rPr>
        <w:t>أَمْوَالَهُ</w:t>
      </w:r>
      <w:r w:rsidR="00147857" w:rsidRPr="00CE7623">
        <w:rPr>
          <w:rFonts w:ascii="Abo-thar" w:hAnsi="Abo-thar" w:cs="KFGQPC Uthman Taha Naskh"/>
          <w:sz w:val="28"/>
          <w:rtl/>
          <w:lang w:bidi="ar-SY"/>
        </w:rPr>
        <w:t xml:space="preserve"> </w:t>
      </w:r>
      <w:r w:rsidR="00217AB4" w:rsidRPr="00CE7623">
        <w:rPr>
          <w:rFonts w:ascii="Abo-thar" w:hAnsi="Abo-thar" w:cs="KFGQPC Uthman Taha Naskh" w:hint="cs"/>
          <w:sz w:val="28"/>
          <w:rtl/>
          <w:lang w:bidi="ar-SY"/>
        </w:rPr>
        <w:t>-</w:t>
      </w:r>
      <w:r w:rsidR="005C664D" w:rsidRPr="00CE7623">
        <w:rPr>
          <w:rFonts w:ascii="Abo-thar" w:hAnsi="Abo-thar" w:cs="KFGQPC Uthman Taha Naskh" w:hint="cs"/>
          <w:sz w:val="28"/>
          <w:rtl/>
          <w:lang w:bidi="ar-SY"/>
        </w:rPr>
        <w:t xml:space="preserve"> </w:t>
      </w:r>
      <w:r w:rsidR="005C664D" w:rsidRPr="00CE7623">
        <w:rPr>
          <w:rFonts w:ascii="Abo-thar" w:hAnsi="Abo-thar" w:cs="KFGQPC Uthman Taha Naskh"/>
          <w:sz w:val="28"/>
          <w:rtl/>
          <w:lang w:bidi="ar-SY"/>
        </w:rPr>
        <w:t>وَكَانَتْ لَهُ سَبْعَةُ حَوَائِطَ وَهِيَ</w:t>
      </w:r>
      <w:r w:rsidR="00217AB4" w:rsidRPr="00CE7623">
        <w:rPr>
          <w:rFonts w:ascii="Abo-thar" w:hAnsi="Abo-thar" w:cs="KFGQPC Uthman Taha Naskh" w:hint="cs"/>
          <w:sz w:val="28"/>
          <w:rtl/>
          <w:lang w:bidi="ar-SY"/>
        </w:rPr>
        <w:t>:</w:t>
      </w:r>
      <w:r w:rsidR="005C664D" w:rsidRPr="00CE7623">
        <w:rPr>
          <w:rFonts w:ascii="Abo-thar" w:hAnsi="Abo-thar" w:cs="KFGQPC Uthman Taha Naskh"/>
          <w:sz w:val="28"/>
          <w:rtl/>
          <w:lang w:bidi="ar-SY"/>
        </w:rPr>
        <w:t xml:space="preserve"> المَبِيتُ وَالصَّافِيَةُ وَالدَّلَّالُ وَجَسَّنِي وَبُرْقَةَ وَالْأَعْرَافُ وَالمُسَرَّبَةُ </w:t>
      </w:r>
      <w:r w:rsidR="00217AB4" w:rsidRPr="00CE7623">
        <w:rPr>
          <w:rFonts w:ascii="Abo-thar" w:hAnsi="Abo-thar" w:cs="KFGQPC Uthman Taha Naskh" w:hint="cs"/>
          <w:sz w:val="28"/>
          <w:rtl/>
          <w:lang w:bidi="ar-SY"/>
        </w:rPr>
        <w:t>-</w:t>
      </w:r>
      <w:r w:rsidR="005C664D" w:rsidRPr="00CE7623">
        <w:rPr>
          <w:rFonts w:ascii="Abo-thar" w:hAnsi="Abo-thar" w:cs="KFGQPC Uthman Taha Naskh" w:hint="cs"/>
          <w:sz w:val="28"/>
          <w:rtl/>
          <w:lang w:bidi="ar-SY"/>
        </w:rPr>
        <w:t xml:space="preserve"> </w:t>
      </w:r>
      <w:r w:rsidR="005C664D" w:rsidRPr="00CE7623">
        <w:rPr>
          <w:rFonts w:ascii="Abo-thar" w:hAnsi="Abo-thar" w:cs="KFGQPC Uthman Taha Naskh"/>
          <w:b/>
          <w:bCs/>
          <w:sz w:val="28"/>
          <w:rtl/>
          <w:lang w:bidi="ar-SY"/>
        </w:rPr>
        <w:t>فَعَامّةُ صَدَقَاتِ رَسُولِ اللهِ</w:t>
      </w:r>
      <w:r w:rsidR="005C53D5" w:rsidRPr="00CE7623">
        <w:rPr>
          <w:rFonts w:ascii="Abo-thar" w:hAnsi="Abo-thar" w:cs="KFGQPC Uthman Taha Naskh"/>
          <w:b/>
          <w:bCs/>
          <w:sz w:val="28"/>
          <w:rtl/>
          <w:lang w:bidi="ar-SY"/>
        </w:rPr>
        <w:t xml:space="preserve"> </w:t>
      </w:r>
      <w:r w:rsidR="00BC4BA9" w:rsidRPr="00BC4BA9">
        <w:rPr>
          <w:rFonts w:cs="CTraditional Arabic"/>
          <w:b/>
          <w:sz w:val="28"/>
          <w:rtl/>
          <w:lang w:bidi="ar-SY"/>
        </w:rPr>
        <w:t>ص</w:t>
      </w:r>
      <w:r w:rsidR="005C53D5" w:rsidRPr="00CE7623">
        <w:rPr>
          <w:rFonts w:cs="KFGQPC Uthman Taha Naskh"/>
          <w:b/>
          <w:bCs/>
          <w:sz w:val="28"/>
          <w:rtl/>
          <w:lang w:bidi="ar-SY"/>
        </w:rPr>
        <w:t xml:space="preserve"> </w:t>
      </w:r>
      <w:r w:rsidR="005C664D" w:rsidRPr="00CE7623">
        <w:rPr>
          <w:rFonts w:ascii="Abo-thar" w:hAnsi="Abo-thar" w:cs="KFGQPC Uthman Taha Naskh"/>
          <w:b/>
          <w:bCs/>
          <w:sz w:val="28"/>
          <w:rtl/>
          <w:lang w:bidi="ar-SY"/>
        </w:rPr>
        <w:t>بِالمَدِينَةِ مِنْهَا</w:t>
      </w:r>
      <w:r w:rsidR="00217AB4" w:rsidRPr="00CE7623">
        <w:rPr>
          <w:rFonts w:ascii="Abo-thar" w:hAnsi="Abo-thar" w:cs="KFGQPC Uthman Taha Naskh"/>
          <w:sz w:val="28"/>
          <w:rtl/>
          <w:lang w:bidi="ar-SY"/>
        </w:rPr>
        <w:t>.</w:t>
      </w:r>
      <w:r w:rsidR="00217AB4" w:rsidRPr="00CE7623">
        <w:rPr>
          <w:rFonts w:ascii="Abo-thar" w:hAnsi="Abo-thar" w:cs="KFGQPC Uthman Taha Naskh" w:hint="cs"/>
          <w:sz w:val="28"/>
          <w:rtl/>
          <w:lang w:bidi="ar-SY"/>
        </w:rPr>
        <w:t>.</w:t>
      </w:r>
      <w:r w:rsidRPr="00CE7623">
        <w:rPr>
          <w:rFonts w:ascii="Abo-thar" w:hAnsi="Abo-thar" w:cs="KFGQPC Uthman Taha Naskh" w:hint="cs"/>
          <w:sz w:val="28"/>
          <w:rtl/>
          <w:lang w:bidi="ar-SY"/>
        </w:rPr>
        <w:t>»</w:t>
      </w:r>
      <w:r w:rsidR="00217AB4" w:rsidRPr="003F3B94">
        <w:rPr>
          <w:rFonts w:ascii="Abo-thar" w:hAnsi="Abo-thar" w:hint="cs"/>
          <w:sz w:val="28"/>
          <w:rtl/>
          <w:lang w:bidi="ar-SY"/>
        </w:rPr>
        <w:t>.</w:t>
      </w:r>
      <w:r w:rsidR="005C664D" w:rsidRPr="003F3B94">
        <w:rPr>
          <w:rFonts w:ascii="Abo-thar" w:hAnsi="Abo-thar" w:hint="cs"/>
          <w:sz w:val="28"/>
          <w:rtl/>
          <w:lang w:bidi="ar-SY"/>
        </w:rPr>
        <w:t xml:space="preserve"> </w:t>
      </w:r>
      <w:r w:rsidRPr="00CE7623">
        <w:rPr>
          <w:rFonts w:ascii="Abo-thar" w:hAnsi="Abo-thar" w:cs="KFGQPC Uthman Taha Naskh" w:hint="cs"/>
          <w:sz w:val="28"/>
          <w:rtl/>
          <w:lang w:bidi="ar-SY"/>
        </w:rPr>
        <w:t>«</w:t>
      </w:r>
      <w:r w:rsidR="005C664D" w:rsidRPr="00CE7623">
        <w:rPr>
          <w:rFonts w:ascii="Abo-thar" w:hAnsi="Abo-thar" w:cs="KFGQPC Uthman Taha Naskh" w:hint="cs"/>
          <w:b/>
          <w:bCs/>
          <w:sz w:val="28"/>
          <w:rtl/>
          <w:lang w:bidi="ar-SY"/>
        </w:rPr>
        <w:t>وا</w:t>
      </w:r>
      <w:r w:rsidR="005C664D" w:rsidRPr="00CE7623">
        <w:rPr>
          <w:rFonts w:ascii="Abo-thar" w:hAnsi="Abo-thar" w:cs="KFGQPC Uthman Taha Naskh"/>
          <w:b/>
          <w:bCs/>
          <w:sz w:val="28"/>
          <w:rtl/>
          <w:lang w:bidi="ar-SY"/>
        </w:rPr>
        <w:t>لصَّدَقَةُ الثَّانِيَةُ أَرْضُهُ مِنْ أَمْوَالِ بَنِي النَّضِيرِ بِالمَدِينَةِ</w:t>
      </w:r>
      <w:r w:rsidR="00217AB4" w:rsidRPr="00CE7623">
        <w:rPr>
          <w:rFonts w:ascii="Abo-thar" w:hAnsi="Abo-thar" w:cs="KFGQPC Uthman Taha Naskh"/>
          <w:b/>
          <w:bCs/>
          <w:sz w:val="28"/>
          <w:rtl/>
          <w:lang w:bidi="ar-SY"/>
        </w:rPr>
        <w:t>،</w:t>
      </w:r>
      <w:r w:rsidR="005C664D" w:rsidRPr="00CE7623">
        <w:rPr>
          <w:rFonts w:ascii="Abo-thar" w:hAnsi="Abo-thar" w:cs="KFGQPC Uthman Taha Naskh"/>
          <w:b/>
          <w:bCs/>
          <w:sz w:val="28"/>
          <w:rtl/>
          <w:lang w:bidi="ar-SY"/>
        </w:rPr>
        <w:t xml:space="preserve"> وَهِيَ أَوَّلُ أَرْضٍ أَفَاءَهَا اللهُ عَلَى رَسُولِهِ فَأَجْلَاهُمْ عَنْهَا </w:t>
      </w:r>
      <w:r w:rsidR="00217AB4" w:rsidRPr="00CE7623">
        <w:rPr>
          <w:rFonts w:ascii="Abo-thar" w:hAnsi="Abo-thar" w:cs="KFGQPC Uthman Taha Naskh" w:hint="cs"/>
          <w:b/>
          <w:bCs/>
          <w:sz w:val="28"/>
          <w:rtl/>
          <w:lang w:bidi="ar-SY"/>
        </w:rPr>
        <w:t>-</w:t>
      </w:r>
      <w:r w:rsidR="005C664D" w:rsidRPr="00CE7623">
        <w:rPr>
          <w:rFonts w:ascii="Abo-thar" w:hAnsi="Abo-thar" w:cs="KFGQPC Uthman Taha Naskh" w:hint="cs"/>
          <w:b/>
          <w:bCs/>
          <w:sz w:val="28"/>
          <w:rtl/>
          <w:lang w:bidi="ar-SY"/>
        </w:rPr>
        <w:t xml:space="preserve"> لما كان من نقض العهد الذي قام به زعيمهم كعب بن الأشرف </w:t>
      </w:r>
      <w:r w:rsidR="00217AB4" w:rsidRPr="00CE7623">
        <w:rPr>
          <w:rFonts w:ascii="Abo-thar" w:hAnsi="Abo-thar" w:cs="KFGQPC Uthman Taha Naskh" w:hint="cs"/>
          <w:b/>
          <w:bCs/>
          <w:sz w:val="28"/>
          <w:rtl/>
          <w:lang w:bidi="ar-SY"/>
        </w:rPr>
        <w:t>-..</w:t>
      </w:r>
      <w:r w:rsidR="00147857" w:rsidRPr="00CE7623">
        <w:rPr>
          <w:rFonts w:ascii="Abo-thar" w:hAnsi="Abo-thar" w:cs="KFGQPC Uthman Taha Naskh" w:hint="cs"/>
          <w:b/>
          <w:bCs/>
          <w:sz w:val="28"/>
          <w:rtl/>
          <w:lang w:bidi="ar-SY"/>
        </w:rPr>
        <w:t xml:space="preserve"> </w:t>
      </w:r>
      <w:r w:rsidR="005C664D" w:rsidRPr="00CE7623">
        <w:rPr>
          <w:rFonts w:ascii="Abo-thar" w:hAnsi="Abo-thar" w:cs="KFGQPC Uthman Taha Naskh"/>
          <w:b/>
          <w:bCs/>
          <w:sz w:val="28"/>
          <w:rtl/>
          <w:lang w:bidi="ar-SY"/>
        </w:rPr>
        <w:t>وَجَعَلَ لَـهُمْ مَا حَمَلَتْهُ الْإِبِلُ مِنْ أَمْوَالِهِمْ إلَّا الحَلَقَةَ</w:t>
      </w:r>
      <w:r w:rsidR="00217AB4" w:rsidRPr="00CE7623">
        <w:rPr>
          <w:rFonts w:ascii="Abo-thar" w:hAnsi="Abo-thar" w:cs="KFGQPC Uthman Taha Naskh"/>
          <w:b/>
          <w:bCs/>
          <w:sz w:val="28"/>
          <w:rtl/>
          <w:lang w:bidi="ar-SY"/>
        </w:rPr>
        <w:t>،</w:t>
      </w:r>
      <w:r w:rsidR="005C664D" w:rsidRPr="00CE7623">
        <w:rPr>
          <w:rFonts w:ascii="Abo-thar" w:hAnsi="Abo-thar" w:cs="KFGQPC Uthman Taha Naskh"/>
          <w:b/>
          <w:bCs/>
          <w:sz w:val="28"/>
          <w:rtl/>
          <w:lang w:bidi="ar-SY"/>
        </w:rPr>
        <w:t xml:space="preserve"> وَهِيَ السِّلَاحُ</w:t>
      </w:r>
      <w:r w:rsidR="00217AB4" w:rsidRPr="00CE7623">
        <w:rPr>
          <w:rFonts w:ascii="Abo-thar" w:hAnsi="Abo-thar" w:cs="KFGQPC Uthman Taha Naskh"/>
          <w:b/>
          <w:bCs/>
          <w:sz w:val="28"/>
          <w:rtl/>
          <w:lang w:bidi="ar-SY"/>
        </w:rPr>
        <w:t>،</w:t>
      </w:r>
      <w:r w:rsidR="005C664D" w:rsidRPr="00CE7623">
        <w:rPr>
          <w:rFonts w:ascii="Abo-thar" w:hAnsi="Abo-thar" w:cs="KFGQPC Uthman Taha Naskh"/>
          <w:b/>
          <w:bCs/>
          <w:sz w:val="28"/>
          <w:rtl/>
          <w:lang w:bidi="ar-SY"/>
        </w:rPr>
        <w:t xml:space="preserve"> فَخَرَجُوا بِمَا اسْتَقَلَّتْ إبِلُهُمْ إلَى خَيْبَرَ وَالشَّامِ وَخَلَصَتْ أَرْضُهُمْ كُلُّهَا لِرَسُولِ اللهِ</w:t>
      </w:r>
      <w:r w:rsidR="005C53D5" w:rsidRPr="00CE7623">
        <w:rPr>
          <w:rFonts w:ascii="Abo-thar" w:hAnsi="Abo-thar" w:cs="KFGQPC Uthman Taha Naskh"/>
          <w:b/>
          <w:bCs/>
          <w:sz w:val="28"/>
          <w:rtl/>
          <w:lang w:bidi="ar-SY"/>
        </w:rPr>
        <w:t xml:space="preserve"> </w:t>
      </w:r>
      <w:r w:rsidR="00BC4BA9" w:rsidRPr="00BC4BA9">
        <w:rPr>
          <w:rFonts w:cs="CTraditional Arabic"/>
          <w:b/>
          <w:sz w:val="28"/>
          <w:rtl/>
          <w:lang w:bidi="ar-SY"/>
        </w:rPr>
        <w:t>ص</w:t>
      </w:r>
      <w:r w:rsidR="00217AB4" w:rsidRPr="00CE7623">
        <w:rPr>
          <w:rFonts w:cs="KFGQPC Uthman Taha Naskh"/>
          <w:b/>
          <w:bCs/>
          <w:sz w:val="28"/>
          <w:rtl/>
          <w:lang w:bidi="ar-SY"/>
        </w:rPr>
        <w:t>.</w:t>
      </w:r>
      <w:r w:rsidR="00217AB4" w:rsidRPr="00CE7623">
        <w:rPr>
          <w:rFonts w:ascii="Abo-thar" w:hAnsi="Abo-thar" w:cs="KFGQPC Uthman Taha Naskh" w:hint="cs"/>
          <w:b/>
          <w:bCs/>
          <w:sz w:val="28"/>
          <w:rtl/>
          <w:lang w:bidi="ar-SY"/>
        </w:rPr>
        <w:t>..</w:t>
      </w:r>
      <w:r w:rsidR="005C664D" w:rsidRPr="00CE7623">
        <w:rPr>
          <w:rFonts w:ascii="Abo-thar" w:hAnsi="Abo-thar" w:cs="KFGQPC Uthman Taha Naskh"/>
          <w:b/>
          <w:bCs/>
          <w:sz w:val="28"/>
          <w:rtl/>
          <w:lang w:bidi="ar-SY"/>
        </w:rPr>
        <w:t xml:space="preserve"> فَكَانَتْ مِنْ صَدَقَاتِهِ يَضَعُهَا حَيْثُ يَشَاءُ وَيُنْفِقُ مِنْهَا عَلَى أَزْوَاجِهِ</w:t>
      </w:r>
      <w:r w:rsidR="00217AB4" w:rsidRPr="00CE7623">
        <w:rPr>
          <w:rFonts w:ascii="Abo-thar" w:hAnsi="Abo-thar" w:cs="KFGQPC Uthman Taha Naskh" w:hint="cs"/>
          <w:sz w:val="28"/>
          <w:rtl/>
          <w:lang w:bidi="ar-SY"/>
        </w:rPr>
        <w:t>...</w:t>
      </w:r>
      <w:r w:rsidRPr="00CE7623">
        <w:rPr>
          <w:rFonts w:ascii="Abo-thar" w:hAnsi="Abo-thar" w:cs="KFGQPC Uthman Taha Naskh" w:hint="cs"/>
          <w:sz w:val="28"/>
          <w:rtl/>
          <w:lang w:bidi="ar-SY"/>
        </w:rPr>
        <w:t>»</w:t>
      </w:r>
      <w:r w:rsidR="00217AB4" w:rsidRPr="0021507A">
        <w:rPr>
          <w:rFonts w:cs="Arabic11 BT"/>
          <w:b/>
          <w:sz w:val="28"/>
          <w:vertAlign w:val="superscript"/>
          <w:rtl/>
          <w:lang w:bidi="ar-SY"/>
        </w:rPr>
        <w:t>(</w:t>
      </w:r>
      <w:r w:rsidR="005C664D" w:rsidRPr="0021507A">
        <w:rPr>
          <w:rStyle w:val="FootnoteReference"/>
          <w:rFonts w:cs="Arabic11 BT"/>
          <w:b/>
          <w:sz w:val="28"/>
          <w:rtl/>
          <w:lang w:bidi="ar-SY"/>
        </w:rPr>
        <w:footnoteReference w:id="60"/>
      </w:r>
      <w:r w:rsidR="00217AB4" w:rsidRPr="0021507A">
        <w:rPr>
          <w:rFonts w:cs="Arabic11 BT"/>
          <w:b/>
          <w:sz w:val="28"/>
          <w:vertAlign w:val="superscript"/>
          <w:rtl/>
          <w:lang w:bidi="ar-SY"/>
        </w:rPr>
        <w:t>)</w:t>
      </w:r>
      <w:r w:rsidR="00FB6445" w:rsidRPr="003F3B94">
        <w:rPr>
          <w:rFonts w:hint="cs"/>
          <w:sz w:val="28"/>
          <w:rtl/>
          <w:lang w:bidi="ar-SY"/>
        </w:rPr>
        <w:t>.</w:t>
      </w:r>
      <w:r w:rsidR="005C664D" w:rsidRPr="003F3B94">
        <w:rPr>
          <w:sz w:val="28"/>
          <w:rtl/>
          <w:lang w:bidi="ar-SY"/>
        </w:rPr>
        <w:t xml:space="preserve"> </w:t>
      </w:r>
      <w:r w:rsidRPr="00CE7623">
        <w:rPr>
          <w:rFonts w:cs="KFGQPC Uthman Taha Naskh" w:hint="cs"/>
          <w:sz w:val="28"/>
          <w:rtl/>
          <w:lang w:bidi="ar-SY"/>
        </w:rPr>
        <w:t>«</w:t>
      </w:r>
      <w:r w:rsidR="005C664D" w:rsidRPr="00CE7623">
        <w:rPr>
          <w:rFonts w:cs="KFGQPC Uthman Taha Naskh"/>
          <w:b/>
          <w:bCs/>
          <w:sz w:val="28"/>
          <w:rtl/>
          <w:lang w:bidi="ar-SY"/>
        </w:rPr>
        <w:t>وَالصَّدَقَةُ السَّادِسَةُ النِّصْفُ مِنْ فَدَكَ</w:t>
      </w:r>
      <w:r w:rsidR="00217AB4" w:rsidRPr="00CE7623">
        <w:rPr>
          <w:rFonts w:cs="KFGQPC Uthman Taha Naskh"/>
          <w:b/>
          <w:bCs/>
          <w:sz w:val="28"/>
          <w:rtl/>
          <w:lang w:bidi="ar-SY"/>
        </w:rPr>
        <w:t>،</w:t>
      </w:r>
      <w:r w:rsidR="005C664D" w:rsidRPr="00CE7623">
        <w:rPr>
          <w:rFonts w:cs="KFGQPC Uthman Taha Naskh"/>
          <w:b/>
          <w:bCs/>
          <w:sz w:val="28"/>
          <w:rtl/>
          <w:lang w:bidi="ar-SY"/>
        </w:rPr>
        <w:t xml:space="preserve"> فَقَدْ كَانَ النَّبِيُّ</w:t>
      </w:r>
      <w:r w:rsidR="005C53D5" w:rsidRPr="00CE7623">
        <w:rPr>
          <w:rFonts w:cs="KFGQPC Uthman Taha Naskh"/>
          <w:b/>
          <w:bCs/>
          <w:sz w:val="28"/>
          <w:rtl/>
          <w:lang w:bidi="ar-SY"/>
        </w:rPr>
        <w:t xml:space="preserve"> </w:t>
      </w:r>
      <w:r w:rsidR="00BC4BA9" w:rsidRPr="00BC4BA9">
        <w:rPr>
          <w:rFonts w:cs="CTraditional Arabic"/>
          <w:b/>
          <w:sz w:val="28"/>
          <w:rtl/>
          <w:lang w:bidi="ar-SY"/>
        </w:rPr>
        <w:t>ص</w:t>
      </w:r>
      <w:r w:rsidR="005C53D5" w:rsidRPr="00CE7623">
        <w:rPr>
          <w:rFonts w:cs="KFGQPC Uthman Taha Naskh"/>
          <w:b/>
          <w:bCs/>
          <w:sz w:val="28"/>
          <w:rtl/>
          <w:lang w:bidi="ar-SY"/>
        </w:rPr>
        <w:t xml:space="preserve"> </w:t>
      </w:r>
      <w:r w:rsidR="005C664D" w:rsidRPr="00CE7623">
        <w:rPr>
          <w:rFonts w:cs="KFGQPC Uthman Taha Naskh"/>
          <w:b/>
          <w:bCs/>
          <w:sz w:val="28"/>
          <w:rtl/>
          <w:lang w:bidi="ar-SY"/>
        </w:rPr>
        <w:t>لَمَّا فَتَحَ خَيْبَرَ جَاءَهُ أَهْلُ فَدَكَ فَصَالَحُوهُ بِسِفَارَةِ مُحَيِّصَةَ بْنِ مَسْعُودٍ عَلَى أَنَّ لَهُ نِصْفَ أَرْضِهِمْ وَنَخْلِهِمْ يُعَامِلُهُمْ عَلَيْهِ وَلَهُمْ النِّصْفُ الْآخَرُ</w:t>
      </w:r>
      <w:r w:rsidR="00217AB4" w:rsidRPr="00CE7623">
        <w:rPr>
          <w:rFonts w:cs="KFGQPC Uthman Taha Naskh" w:hint="cs"/>
          <w:sz w:val="28"/>
          <w:rtl/>
          <w:lang w:bidi="ar-SY"/>
        </w:rPr>
        <w:t>...</w:t>
      </w:r>
      <w:r w:rsidRPr="00CE7623">
        <w:rPr>
          <w:rFonts w:cs="KFGQPC Uthman Taha Naskh" w:hint="cs"/>
          <w:sz w:val="28"/>
          <w:rtl/>
          <w:lang w:bidi="ar-SY"/>
        </w:rPr>
        <w:t>»</w:t>
      </w:r>
      <w:r w:rsidR="00217AB4" w:rsidRPr="0021507A">
        <w:rPr>
          <w:rFonts w:cs="Arabic11 BT"/>
          <w:b/>
          <w:sz w:val="28"/>
          <w:vertAlign w:val="superscript"/>
          <w:rtl/>
          <w:lang w:bidi="ar-SY"/>
        </w:rPr>
        <w:t>(</w:t>
      </w:r>
      <w:r w:rsidR="005C664D" w:rsidRPr="0021507A">
        <w:rPr>
          <w:rStyle w:val="FootnoteReference"/>
          <w:rFonts w:cs="Arabic11 BT"/>
          <w:b/>
          <w:sz w:val="28"/>
          <w:rtl/>
          <w:lang w:bidi="ar-SY"/>
        </w:rPr>
        <w:footnoteReference w:id="61"/>
      </w:r>
      <w:r w:rsidR="00217AB4" w:rsidRPr="0021507A">
        <w:rPr>
          <w:rFonts w:cs="Arabic11 BT"/>
          <w:b/>
          <w:sz w:val="28"/>
          <w:vertAlign w:val="superscript"/>
          <w:rtl/>
          <w:lang w:bidi="ar-SY"/>
        </w:rPr>
        <w:t>)</w:t>
      </w:r>
      <w:r w:rsidR="00217AB4" w:rsidRPr="003F3B94">
        <w:rPr>
          <w:sz w:val="28"/>
          <w:rtl/>
          <w:lang w:bidi="ar-SY"/>
        </w:rPr>
        <w:t>.</w:t>
      </w:r>
    </w:p>
    <w:p w:rsidR="005C664D" w:rsidRPr="003F3B94" w:rsidRDefault="005C664D" w:rsidP="003F3B94">
      <w:pPr>
        <w:pStyle w:val="a0"/>
        <w:rPr>
          <w:rFonts w:hint="cs"/>
          <w:rtl/>
          <w:lang w:bidi="ar-SY"/>
        </w:rPr>
      </w:pPr>
      <w:r w:rsidRPr="003F3B94">
        <w:rPr>
          <w:rFonts w:ascii="Abo-thar" w:hAnsi="Abo-thar" w:hint="cs"/>
          <w:sz w:val="28"/>
          <w:rtl/>
          <w:lang w:bidi="ar-SY"/>
        </w:rPr>
        <w:t xml:space="preserve">وذكر الواقدي في المغازي </w:t>
      </w:r>
      <w:r w:rsidR="00217AB4" w:rsidRPr="003F3B94">
        <w:rPr>
          <w:rFonts w:ascii="Abo-thar" w:hAnsi="Abo-thar" w:hint="cs"/>
          <w:sz w:val="28"/>
          <w:rtl/>
          <w:lang w:bidi="ar-SY"/>
        </w:rPr>
        <w:t>(</w:t>
      </w:r>
      <w:r w:rsidRPr="003F3B94">
        <w:rPr>
          <w:rFonts w:ascii="Abo-thar" w:hAnsi="Abo-thar" w:hint="cs"/>
          <w:sz w:val="28"/>
          <w:rtl/>
          <w:lang w:bidi="ar-SY"/>
        </w:rPr>
        <w:t>ج1/ص 378</w:t>
      </w:r>
      <w:r w:rsidR="00217AB4" w:rsidRPr="003F3B94">
        <w:rPr>
          <w:rFonts w:ascii="Abo-thar" w:hAnsi="Abo-thar" w:hint="cs"/>
          <w:sz w:val="28"/>
          <w:rtl/>
          <w:lang w:bidi="ar-SY"/>
        </w:rPr>
        <w:t>):</w:t>
      </w:r>
      <w:r w:rsidRPr="003F3B94">
        <w:rPr>
          <w:rFonts w:ascii="Abo-thar" w:hAnsi="Abo-thar" w:hint="cs"/>
          <w:sz w:val="28"/>
          <w:rtl/>
          <w:lang w:bidi="ar-SY"/>
        </w:rPr>
        <w:t xml:space="preserve"> </w:t>
      </w:r>
      <w:r w:rsidR="00EF2588" w:rsidRPr="00CE7623">
        <w:rPr>
          <w:rFonts w:ascii="Abo-thar" w:hAnsi="Abo-thar" w:cs="KFGQPC Uthman Taha Naskh" w:hint="cs"/>
          <w:sz w:val="28"/>
          <w:rtl/>
          <w:lang w:bidi="ar-SY"/>
        </w:rPr>
        <w:t>«</w:t>
      </w:r>
      <w:r w:rsidRPr="00CE7623">
        <w:rPr>
          <w:rFonts w:ascii="Abo-thar" w:hAnsi="Abo-thar" w:cs="KFGQPC Uthman Taha Naskh" w:hint="cs"/>
          <w:b/>
          <w:bCs/>
          <w:sz w:val="28"/>
          <w:rtl/>
          <w:lang w:bidi="ar-SY"/>
        </w:rPr>
        <w:t>أن رسول الله</w:t>
      </w:r>
      <w:r w:rsidR="00147857" w:rsidRPr="00CE7623">
        <w:rPr>
          <w:rFonts w:ascii="Abo-thar" w:hAnsi="Abo-thar" w:cs="KFGQPC Uthman Taha Naskh" w:hint="cs"/>
          <w:b/>
          <w:bCs/>
          <w:sz w:val="28"/>
          <w:rtl/>
          <w:lang w:bidi="ar-SY"/>
        </w:rPr>
        <w:t xml:space="preserve"> </w:t>
      </w:r>
      <w:r w:rsidR="003C7AEB" w:rsidRPr="003C7AEB">
        <w:rPr>
          <w:rFonts w:ascii="Abo-thar" w:hAnsi="Abo-thar" w:cs="CTraditional Arabic"/>
          <w:sz w:val="28"/>
          <w:rtl/>
          <w:lang w:bidi="ar-SY"/>
        </w:rPr>
        <w:t>ص</w:t>
      </w:r>
      <w:r w:rsidR="00147857" w:rsidRPr="00CE7623">
        <w:rPr>
          <w:rFonts w:ascii="Abo-thar" w:hAnsi="Abo-thar" w:cs="KFGQPC Uthman Taha Naskh"/>
          <w:sz w:val="28"/>
          <w:rtl/>
          <w:lang w:bidi="ar-SY"/>
        </w:rPr>
        <w:t xml:space="preserve"> </w:t>
      </w:r>
      <w:r w:rsidRPr="00CE7623">
        <w:rPr>
          <w:rFonts w:ascii="Abo-thar" w:hAnsi="Abo-thar" w:cs="KFGQPC Uthman Taha Naskh" w:hint="cs"/>
          <w:b/>
          <w:bCs/>
          <w:sz w:val="28"/>
          <w:rtl/>
          <w:lang w:bidi="ar-SY"/>
        </w:rPr>
        <w:t>كا</w:t>
      </w:r>
      <w:r w:rsidRPr="00CE7623">
        <w:rPr>
          <w:rFonts w:ascii="Abo-thar" w:hAnsi="Abo-thar" w:cs="KFGQPC Uthman Taha Naskh"/>
          <w:b/>
          <w:bCs/>
          <w:sz w:val="28"/>
          <w:rtl/>
          <w:lang w:bidi="ar-SY"/>
        </w:rPr>
        <w:t>نَ يُنْفِقُ عَلَى أَهْلِهِ مِنْ بَنِي النّضِيرِ كَانَتْ لَهُ خَالِصَةً فَأَعْطَى مَنْ أَعْطَى مِنْهَا وَحَبَسَ مَا حَبَسَ</w:t>
      </w:r>
      <w:r w:rsidR="00217AB4" w:rsidRPr="00CE7623">
        <w:rPr>
          <w:rFonts w:ascii="Abo-thar" w:hAnsi="Abo-thar" w:cs="KFGQPC Uthman Taha Naskh"/>
          <w:b/>
          <w:bCs/>
          <w:sz w:val="28"/>
          <w:rtl/>
          <w:lang w:bidi="ar-SY"/>
        </w:rPr>
        <w:t>.</w:t>
      </w:r>
      <w:r w:rsidRPr="00CE7623">
        <w:rPr>
          <w:rFonts w:ascii="Abo-thar" w:hAnsi="Abo-thar" w:cs="KFGQPC Uthman Taha Naskh"/>
          <w:b/>
          <w:bCs/>
          <w:sz w:val="28"/>
          <w:rtl/>
          <w:lang w:bidi="ar-SY"/>
        </w:rPr>
        <w:t xml:space="preserve"> وَكَانَ يَزْرَعُ تَحْتَ النّخْلِ زَرْعًا كَثِيرًا</w:t>
      </w:r>
      <w:r w:rsidR="00217AB4" w:rsidRPr="00CE7623">
        <w:rPr>
          <w:rFonts w:ascii="Abo-thar" w:hAnsi="Abo-thar" w:cs="KFGQPC Uthman Taha Naskh"/>
          <w:b/>
          <w:bCs/>
          <w:sz w:val="28"/>
          <w:rtl/>
          <w:lang w:bidi="ar-SY"/>
        </w:rPr>
        <w:t>،</w:t>
      </w:r>
      <w:r w:rsidRPr="00CE7623">
        <w:rPr>
          <w:rFonts w:ascii="Abo-thar" w:hAnsi="Abo-thar" w:cs="KFGQPC Uthman Taha Naskh"/>
          <w:b/>
          <w:bCs/>
          <w:sz w:val="28"/>
          <w:rtl/>
          <w:lang w:bidi="ar-SY"/>
        </w:rPr>
        <w:t xml:space="preserve"> وَكَانَ رَسُولُ اللهِ</w:t>
      </w:r>
      <w:r w:rsidR="00147857" w:rsidRPr="00CE7623">
        <w:rPr>
          <w:rFonts w:ascii="Abo-thar" w:hAnsi="Abo-thar" w:cs="KFGQPC Uthman Taha Naskh"/>
          <w:b/>
          <w:bCs/>
          <w:sz w:val="28"/>
          <w:rtl/>
          <w:lang w:bidi="ar-SY"/>
        </w:rPr>
        <w:t xml:space="preserve"> </w:t>
      </w:r>
      <w:r w:rsidR="003C7AEB" w:rsidRPr="003C7AEB">
        <w:rPr>
          <w:rFonts w:ascii="Abo-thar" w:hAnsi="Abo-thar" w:cs="CTraditional Arabic"/>
          <w:sz w:val="28"/>
          <w:rtl/>
          <w:lang w:bidi="ar-SY"/>
        </w:rPr>
        <w:t>ص</w:t>
      </w:r>
      <w:r w:rsidR="00147857" w:rsidRPr="00CE7623">
        <w:rPr>
          <w:rFonts w:ascii="Abo-thar" w:hAnsi="Abo-thar" w:cs="KFGQPC Uthman Taha Naskh"/>
          <w:sz w:val="28"/>
          <w:rtl/>
          <w:lang w:bidi="ar-SY"/>
        </w:rPr>
        <w:t xml:space="preserve"> </w:t>
      </w:r>
      <w:r w:rsidRPr="00CE7623">
        <w:rPr>
          <w:rFonts w:ascii="Abo-thar" w:hAnsi="Abo-thar" w:cs="KFGQPC Uthman Taha Naskh"/>
          <w:b/>
          <w:bCs/>
          <w:sz w:val="28"/>
          <w:rtl/>
          <w:lang w:bidi="ar-SY"/>
        </w:rPr>
        <w:t>يَدْخُلُ لَهُ مِنْهَا قُوتُ أَهْلِهِ سَنَةً مِنْ الشّعِيرِ وَالتّمْرِ لِأَزْوَاجِهِ وَبَنِي عَبْدِ المُطّلِبِ</w:t>
      </w:r>
      <w:r w:rsidR="00217AB4" w:rsidRPr="00CE7623">
        <w:rPr>
          <w:rFonts w:ascii="Abo-thar" w:hAnsi="Abo-thar" w:cs="KFGQPC Uthman Taha Naskh"/>
          <w:b/>
          <w:bCs/>
          <w:sz w:val="28"/>
          <w:rtl/>
          <w:lang w:bidi="ar-SY"/>
        </w:rPr>
        <w:t>،</w:t>
      </w:r>
      <w:r w:rsidRPr="00CE7623">
        <w:rPr>
          <w:rFonts w:ascii="Abo-thar" w:hAnsi="Abo-thar" w:cs="KFGQPC Uthman Taha Naskh"/>
          <w:b/>
          <w:bCs/>
          <w:sz w:val="28"/>
          <w:rtl/>
          <w:lang w:bidi="ar-SY"/>
        </w:rPr>
        <w:t xml:space="preserve"> فَمَا فَضَلَ جَعَلَهُ فِي الْكُرَاعِ</w:t>
      </w:r>
      <w:r w:rsidR="00217AB4" w:rsidRPr="00F01069">
        <w:rPr>
          <w:rFonts w:cs="Arabic11 BT"/>
          <w:b/>
          <w:sz w:val="28"/>
          <w:vertAlign w:val="superscript"/>
          <w:rtl/>
          <w:lang w:bidi="ar-SY"/>
        </w:rPr>
        <w:t>(</w:t>
      </w:r>
      <w:r w:rsidRPr="00F01069">
        <w:rPr>
          <w:rStyle w:val="FootnoteReference"/>
          <w:rFonts w:cs="Arabic11 BT"/>
          <w:b/>
          <w:sz w:val="28"/>
          <w:rtl/>
          <w:lang w:bidi="ar-SY"/>
        </w:rPr>
        <w:footnoteReference w:id="62"/>
      </w:r>
      <w:r w:rsidR="00217AB4" w:rsidRPr="00F01069">
        <w:rPr>
          <w:rFonts w:cs="Arabic11 BT"/>
          <w:b/>
          <w:sz w:val="28"/>
          <w:vertAlign w:val="superscript"/>
          <w:rtl/>
          <w:lang w:bidi="ar-SY"/>
        </w:rPr>
        <w:t>)</w:t>
      </w:r>
      <w:r w:rsidR="00147857" w:rsidRPr="00CE7623">
        <w:rPr>
          <w:rFonts w:cs="KFGQPC Uthman Taha Naskh"/>
          <w:sz w:val="28"/>
          <w:rtl/>
          <w:lang w:bidi="ar-SY"/>
        </w:rPr>
        <w:t xml:space="preserve"> </w:t>
      </w:r>
      <w:r w:rsidRPr="00CE7623">
        <w:rPr>
          <w:rFonts w:ascii="Abo-thar" w:hAnsi="Abo-thar" w:cs="KFGQPC Uthman Taha Naskh"/>
          <w:b/>
          <w:bCs/>
          <w:sz w:val="28"/>
          <w:rtl/>
          <w:lang w:bidi="ar-SY"/>
        </w:rPr>
        <w:t>وَالسّلَاحِ وَإِنّهُ كَانَ عِنْدَ أَبِي بَكْرٍ وَعُمَرَ مِنْ ذَلِكَ السّلَاحُ الّذِي اُشْتُرِيَ فِي عَهْدِ رَسُولِ اللهِ</w:t>
      </w:r>
      <w:r w:rsidR="00147857" w:rsidRPr="00CE7623">
        <w:rPr>
          <w:rFonts w:ascii="Abo-thar" w:hAnsi="Abo-thar" w:cs="KFGQPC Uthman Taha Naskh"/>
          <w:sz w:val="28"/>
          <w:rtl/>
          <w:lang w:bidi="ar-SY"/>
        </w:rPr>
        <w:t xml:space="preserve"> </w:t>
      </w:r>
      <w:r w:rsidR="003C7AEB" w:rsidRPr="003C7AEB">
        <w:rPr>
          <w:rFonts w:ascii="Abo-thar" w:hAnsi="Abo-thar" w:cs="CTraditional Arabic"/>
          <w:sz w:val="28"/>
          <w:rtl/>
          <w:lang w:bidi="ar-SY"/>
        </w:rPr>
        <w:t>ص</w:t>
      </w:r>
      <w:r w:rsidR="00FB6445" w:rsidRPr="00CE7623">
        <w:rPr>
          <w:rFonts w:ascii="Abo-thar" w:hAnsi="Abo-thar" w:cs="KFGQPC Uthman Taha Naskh"/>
          <w:sz w:val="28"/>
          <w:rtl/>
          <w:lang w:bidi="ar-SY"/>
        </w:rPr>
        <w:t>»</w:t>
      </w:r>
      <w:r w:rsidR="00FB6445" w:rsidRPr="003F3B94">
        <w:rPr>
          <w:rFonts w:ascii="Abo-thar" w:hAnsi="Abo-thar" w:hint="cs"/>
          <w:sz w:val="28"/>
          <w:rtl/>
          <w:lang w:bidi="ar-SY"/>
        </w:rPr>
        <w:t>.</w:t>
      </w:r>
      <w:r w:rsidRPr="003F3B94">
        <w:rPr>
          <w:rFonts w:ascii="Abo-thar" w:hAnsi="Abo-thar" w:hint="cs"/>
          <w:sz w:val="28"/>
          <w:rtl/>
          <w:lang w:bidi="ar-SY"/>
        </w:rPr>
        <w:t xml:space="preserve"> وقال</w:t>
      </w:r>
      <w:r w:rsidR="00217AB4" w:rsidRPr="003F3B94">
        <w:rPr>
          <w:rFonts w:ascii="Abo-thar" w:hAnsi="Abo-thar" w:hint="cs"/>
          <w:sz w:val="28"/>
          <w:rtl/>
          <w:lang w:bidi="ar-SY"/>
        </w:rPr>
        <w:t>:</w:t>
      </w:r>
      <w:r w:rsidRPr="003F3B94">
        <w:rPr>
          <w:rFonts w:ascii="Abo-thar" w:hAnsi="Abo-thar" w:hint="cs"/>
          <w:sz w:val="28"/>
          <w:rtl/>
          <w:lang w:bidi="ar-SY"/>
        </w:rPr>
        <w:t xml:space="preserve"> </w:t>
      </w:r>
      <w:r w:rsidR="00EF2588" w:rsidRPr="00CE7623">
        <w:rPr>
          <w:rFonts w:ascii="Abo-thar" w:hAnsi="Abo-thar" w:cs="KFGQPC Uthman Taha Naskh" w:hint="cs"/>
          <w:sz w:val="28"/>
          <w:rtl/>
          <w:lang w:bidi="ar-SY"/>
        </w:rPr>
        <w:t>«</w:t>
      </w:r>
      <w:r w:rsidRPr="00CE7623">
        <w:rPr>
          <w:rFonts w:ascii="Abo-thar" w:hAnsi="Abo-thar" w:cs="KFGQPC Uthman Taha Naskh"/>
          <w:b/>
          <w:bCs/>
          <w:sz w:val="28"/>
          <w:rtl/>
          <w:lang w:bidi="ar-SY"/>
        </w:rPr>
        <w:t>فَكَانَتْ بَنُو</w:t>
      </w:r>
      <w:r w:rsidRPr="00CE7623">
        <w:rPr>
          <w:rFonts w:ascii="Abo-thar" w:hAnsi="Abo-thar" w:cs="KFGQPC Uthman Taha Naskh" w:hint="cs"/>
          <w:b/>
          <w:bCs/>
          <w:sz w:val="28"/>
          <w:rtl/>
          <w:lang w:bidi="ar-SY"/>
        </w:rPr>
        <w:t xml:space="preserve"> </w:t>
      </w:r>
      <w:r w:rsidRPr="00CE7623">
        <w:rPr>
          <w:rFonts w:ascii="Abo-thar" w:hAnsi="Abo-thar" w:cs="KFGQPC Uthman Taha Naskh"/>
          <w:b/>
          <w:bCs/>
          <w:sz w:val="28"/>
          <w:rtl/>
          <w:lang w:bidi="ar-SY"/>
        </w:rPr>
        <w:t>نضِيرِ حَبْس</w:t>
      </w:r>
      <w:r w:rsidRPr="00CE7623">
        <w:rPr>
          <w:rFonts w:ascii="Abo-thar" w:hAnsi="Abo-thar" w:cs="KFGQPC Uthman Taha Naskh" w:hint="cs"/>
          <w:b/>
          <w:bCs/>
          <w:sz w:val="28"/>
          <w:rtl/>
          <w:lang w:bidi="ar-SY"/>
        </w:rPr>
        <w:t>اً</w:t>
      </w:r>
      <w:r w:rsidRPr="00CE7623">
        <w:rPr>
          <w:rFonts w:ascii="Abo-thar" w:hAnsi="Abo-thar" w:cs="KFGQPC Uthman Taha Naskh"/>
          <w:b/>
          <w:bCs/>
          <w:sz w:val="28"/>
          <w:rtl/>
          <w:lang w:bidi="ar-SY"/>
        </w:rPr>
        <w:t xml:space="preserve"> لِنَوَائِبِهِ</w:t>
      </w:r>
      <w:r w:rsidR="00217AB4" w:rsidRPr="00F01069">
        <w:rPr>
          <w:rFonts w:cs="Arabic11 BT"/>
          <w:b/>
          <w:sz w:val="28"/>
          <w:vertAlign w:val="superscript"/>
          <w:rtl/>
          <w:lang w:bidi="ar-SY"/>
        </w:rPr>
        <w:t>(</w:t>
      </w:r>
      <w:r w:rsidRPr="00F01069">
        <w:rPr>
          <w:rStyle w:val="FootnoteReference"/>
          <w:rFonts w:cs="Arabic11 BT"/>
          <w:b/>
          <w:sz w:val="28"/>
          <w:rtl/>
          <w:lang w:bidi="ar-SY"/>
        </w:rPr>
        <w:footnoteReference w:id="63"/>
      </w:r>
      <w:r w:rsidR="00217AB4" w:rsidRPr="00F01069">
        <w:rPr>
          <w:rFonts w:cs="Arabic11 BT"/>
          <w:b/>
          <w:sz w:val="28"/>
          <w:vertAlign w:val="superscript"/>
          <w:rtl/>
          <w:lang w:bidi="ar-SY"/>
        </w:rPr>
        <w:t>)</w:t>
      </w:r>
      <w:r w:rsidRPr="00CE7623">
        <w:rPr>
          <w:rFonts w:ascii="Abo-thar" w:hAnsi="Abo-thar" w:cs="KFGQPC Uthman Taha Naskh"/>
          <w:sz w:val="28"/>
          <w:rtl/>
          <w:lang w:bidi="ar-SY"/>
        </w:rPr>
        <w:t xml:space="preserve"> </w:t>
      </w:r>
      <w:r w:rsidRPr="00CE7623">
        <w:rPr>
          <w:rFonts w:ascii="Abo-thar" w:hAnsi="Abo-thar" w:cs="KFGQPC Uthman Taha Naskh"/>
          <w:b/>
          <w:bCs/>
          <w:sz w:val="28"/>
          <w:rtl/>
          <w:lang w:bidi="ar-SY"/>
        </w:rPr>
        <w:t>وَكَانَتْ فَدَكُ لِابْنِ السّبِيلِ وَكَانَتْ خَيْبَرُ قَدْ جَزّأَهَا ثَلَاثَةَ أَجْزَاءٍ فَجُزْءَانِ لِلْمُهَاجِرِينَ وَجُزْءٌ كَانَ يُنْفَقُ مِنْهُ عَلَى أَهْلِهِ فَإِنّ فَضْلَ رَدّهِ عَلَى فُقَرَاءِ المُهَاجِرِينَ</w:t>
      </w:r>
      <w:r w:rsidR="00EF2588" w:rsidRPr="00CE7623">
        <w:rPr>
          <w:rFonts w:ascii="Abo-thar" w:hAnsi="Abo-thar" w:cs="KFGQPC Uthman Taha Naskh" w:hint="cs"/>
          <w:sz w:val="28"/>
          <w:rtl/>
          <w:lang w:bidi="ar-SY"/>
        </w:rPr>
        <w:t>»</w:t>
      </w:r>
      <w:r w:rsidR="00217AB4" w:rsidRPr="003F3B94">
        <w:rPr>
          <w:rFonts w:ascii="Abo-thar" w:hAnsi="Abo-thar"/>
          <w:sz w:val="28"/>
          <w:rtl/>
          <w:lang w:bidi="ar-SY"/>
        </w:rPr>
        <w:t>.</w:t>
      </w:r>
    </w:p>
    <w:p w:rsidR="005C664D" w:rsidRPr="00995B26" w:rsidRDefault="005C664D" w:rsidP="003F3B94">
      <w:pPr>
        <w:pStyle w:val="a0"/>
        <w:rPr>
          <w:rFonts w:hint="cs"/>
          <w:rtl/>
          <w:lang w:bidi="ar-SY"/>
        </w:rPr>
      </w:pPr>
      <w:r w:rsidRPr="003F3B94">
        <w:rPr>
          <w:rFonts w:ascii="Abo-thar" w:hAnsi="Abo-thar" w:hint="cs"/>
          <w:sz w:val="28"/>
          <w:rtl/>
          <w:lang w:bidi="ar-SY"/>
        </w:rPr>
        <w:t>والحاصل</w:t>
      </w:r>
      <w:r w:rsidR="00217AB4" w:rsidRPr="003F3B94">
        <w:rPr>
          <w:rFonts w:ascii="Abo-thar" w:hAnsi="Abo-thar" w:hint="cs"/>
          <w:sz w:val="28"/>
          <w:rtl/>
          <w:lang w:bidi="ar-SY"/>
        </w:rPr>
        <w:t>،</w:t>
      </w:r>
      <w:r w:rsidRPr="003F3B94">
        <w:rPr>
          <w:rFonts w:ascii="Abo-thar" w:hAnsi="Abo-thar" w:hint="cs"/>
          <w:sz w:val="28"/>
          <w:rtl/>
          <w:lang w:bidi="ar-SY"/>
        </w:rPr>
        <w:t xml:space="preserve"> أنه لم يأتِ في أي تاريخ أو كتاب سيرة أن رسول الله</w:t>
      </w:r>
      <w:r w:rsidR="00147857" w:rsidRPr="003F3B94">
        <w:rPr>
          <w:rFonts w:ascii="Abo-thar" w:hAnsi="Abo-thar" w:hint="cs"/>
          <w:sz w:val="28"/>
          <w:rtl/>
          <w:lang w:bidi="ar-SY"/>
        </w:rPr>
        <w:t xml:space="preserve"> </w:t>
      </w:r>
      <w:r w:rsidR="003C7AEB" w:rsidRPr="003C7AEB">
        <w:rPr>
          <w:rFonts w:ascii="Abo-thar" w:hAnsi="Abo-thar" w:cs="CTraditional Arabic"/>
          <w:sz w:val="28"/>
          <w:rtl/>
          <w:lang w:bidi="ar-SY"/>
        </w:rPr>
        <w:t>ص</w:t>
      </w:r>
      <w:r w:rsidR="00147857" w:rsidRPr="003F3B94">
        <w:rPr>
          <w:rFonts w:ascii="Abo-thar" w:hAnsi="Abo-thar"/>
          <w:sz w:val="28"/>
          <w:rtl/>
          <w:lang w:bidi="ar-SY"/>
        </w:rPr>
        <w:t xml:space="preserve"> </w:t>
      </w:r>
      <w:r w:rsidRPr="003F3B94">
        <w:rPr>
          <w:rFonts w:ascii="Abo-thar" w:hAnsi="Abo-thar" w:hint="cs"/>
          <w:sz w:val="28"/>
          <w:rtl/>
          <w:lang w:bidi="ar-SY"/>
        </w:rPr>
        <w:t>كان يقسم خمس الغنائم ستَّةَ أقسام قسماً لِـلَّهِ</w:t>
      </w:r>
      <w:r w:rsidR="00147857" w:rsidRPr="003F3B94">
        <w:rPr>
          <w:rFonts w:ascii="Abo-thar" w:hAnsi="Abo-thar" w:hint="cs"/>
          <w:sz w:val="28"/>
          <w:rtl/>
          <w:lang w:bidi="ar-SY"/>
        </w:rPr>
        <w:t xml:space="preserve"> </w:t>
      </w:r>
      <w:r w:rsidRPr="003F3B94">
        <w:rPr>
          <w:rFonts w:ascii="Abo-thar" w:hAnsi="Abo-thar" w:hint="cs"/>
          <w:sz w:val="28"/>
          <w:rtl/>
          <w:lang w:bidi="ar-SY"/>
        </w:rPr>
        <w:t>وقسماً له خاصاً به وبنفقاته</w:t>
      </w:r>
      <w:r w:rsidR="00217AB4" w:rsidRPr="003F3B94">
        <w:rPr>
          <w:rFonts w:ascii="Abo-thar" w:hAnsi="Abo-thar" w:hint="cs"/>
          <w:sz w:val="28"/>
          <w:rtl/>
          <w:lang w:bidi="ar-SY"/>
        </w:rPr>
        <w:t>،</w:t>
      </w:r>
      <w:r w:rsidRPr="003F3B94">
        <w:rPr>
          <w:rFonts w:ascii="Abo-thar" w:hAnsi="Abo-thar" w:hint="cs"/>
          <w:sz w:val="28"/>
          <w:rtl/>
          <w:lang w:bidi="ar-SY"/>
        </w:rPr>
        <w:t xml:space="preserve"> وقسماً لذي قرباه وثلاثة أقسام لكل من اليتامى والمساكين وابن السبيل</w:t>
      </w:r>
      <w:r w:rsidR="00217AB4" w:rsidRPr="003F3B94">
        <w:rPr>
          <w:rFonts w:ascii="Abo-thar" w:hAnsi="Abo-thar" w:hint="cs"/>
          <w:sz w:val="28"/>
          <w:rtl/>
          <w:lang w:bidi="ar-SY"/>
        </w:rPr>
        <w:t>!</w:t>
      </w:r>
      <w:r w:rsidRPr="003F3B94">
        <w:rPr>
          <w:rFonts w:ascii="Abo-thar" w:hAnsi="Abo-thar" w:hint="cs"/>
          <w:sz w:val="28"/>
          <w:rtl/>
          <w:lang w:bidi="ar-SY"/>
        </w:rPr>
        <w:t xml:space="preserve"> وكما قلنا لا يمكننا أن نستنبط من كلمة </w:t>
      </w:r>
      <w:r w:rsidR="00685363" w:rsidRPr="00995B26">
        <w:rPr>
          <w:rFonts w:ascii="Abo-thar" w:hAnsi="Abo-thar" w:cs="Traditional Arabic" w:hint="cs"/>
          <w:sz w:val="28"/>
          <w:rtl/>
          <w:lang w:bidi="ar-SY"/>
        </w:rPr>
        <w:t>﴿</w:t>
      </w:r>
      <w:r w:rsidR="00685363" w:rsidRPr="0067048A">
        <w:rPr>
          <w:rStyle w:val="Char3"/>
          <w:rFonts w:hint="eastAsia"/>
          <w:rtl/>
        </w:rPr>
        <w:t>فَأَنَّ</w:t>
      </w:r>
      <w:r w:rsidR="00685363" w:rsidRPr="0067048A">
        <w:rPr>
          <w:rStyle w:val="Char3"/>
          <w:rtl/>
        </w:rPr>
        <w:t xml:space="preserve"> </w:t>
      </w:r>
      <w:r w:rsidR="00685363" w:rsidRPr="0067048A">
        <w:rPr>
          <w:rStyle w:val="Char3"/>
          <w:rFonts w:hint="eastAsia"/>
          <w:rtl/>
        </w:rPr>
        <w:t>لِلَّهِ</w:t>
      </w:r>
      <w:r w:rsidR="00685363" w:rsidRPr="0067048A">
        <w:rPr>
          <w:rStyle w:val="Char3"/>
          <w:rtl/>
        </w:rPr>
        <w:t xml:space="preserve"> </w:t>
      </w:r>
      <w:r w:rsidR="00685363" w:rsidRPr="0067048A">
        <w:rPr>
          <w:rStyle w:val="Char3"/>
          <w:rFonts w:hint="eastAsia"/>
          <w:rtl/>
        </w:rPr>
        <w:t>خُمُسَهُ</w:t>
      </w:r>
      <w:r w:rsidR="00685363" w:rsidRPr="0067048A">
        <w:rPr>
          <w:rStyle w:val="Char3"/>
          <w:rFonts w:hint="cs"/>
          <w:rtl/>
        </w:rPr>
        <w:t>ۥ</w:t>
      </w:r>
      <w:r w:rsidR="00685363" w:rsidRPr="0067048A">
        <w:rPr>
          <w:rStyle w:val="Char3"/>
          <w:rtl/>
        </w:rPr>
        <w:t xml:space="preserve"> </w:t>
      </w:r>
      <w:r w:rsidR="00685363" w:rsidRPr="0067048A">
        <w:rPr>
          <w:rStyle w:val="Char3"/>
          <w:rFonts w:hint="eastAsia"/>
          <w:rtl/>
        </w:rPr>
        <w:t>وَلِلرَّسُولِ</w:t>
      </w:r>
      <w:r w:rsidR="00685363" w:rsidRPr="00995B26">
        <w:rPr>
          <w:rFonts w:ascii="Abo-thar" w:hAnsi="Abo-thar" w:cs="Traditional Arabic" w:hint="cs"/>
          <w:sz w:val="28"/>
          <w:rtl/>
          <w:lang w:bidi="ar-SY"/>
        </w:rPr>
        <w:t>﴾</w:t>
      </w:r>
      <w:r w:rsidRPr="00995B26">
        <w:rPr>
          <w:rFonts w:ascii="Abo-thar" w:hAnsi="Abo-thar"/>
          <w:sz w:val="28"/>
          <w:rtl/>
          <w:lang w:bidi="ar-SY"/>
        </w:rPr>
        <w:t xml:space="preserve"> </w:t>
      </w:r>
      <w:r w:rsidRPr="00995B26">
        <w:rPr>
          <w:rFonts w:ascii="Abo-thar" w:hAnsi="Abo-thar" w:hint="cs"/>
          <w:sz w:val="28"/>
          <w:rtl/>
          <w:lang w:bidi="ar-SY"/>
        </w:rPr>
        <w:t>بشكل قاطع أن رسول الله كان له سهم من أسهم خمس الغنائم الستة</w:t>
      </w:r>
      <w:r w:rsidR="00217AB4" w:rsidRPr="00995B26">
        <w:rPr>
          <w:rFonts w:ascii="Abo-thar" w:hAnsi="Abo-thar" w:hint="cs"/>
          <w:sz w:val="28"/>
          <w:rtl/>
          <w:lang w:bidi="ar-SY"/>
        </w:rPr>
        <w:t>،</w:t>
      </w:r>
      <w:r w:rsidRPr="00995B26">
        <w:rPr>
          <w:rFonts w:ascii="Abo-thar" w:hAnsi="Abo-thar" w:hint="cs"/>
          <w:sz w:val="28"/>
          <w:rtl/>
          <w:lang w:bidi="ar-SY"/>
        </w:rPr>
        <w:t xml:space="preserve"> لأننا لا نجد في سيرته أي شاهد يثبت عمله على هذا النحو</w:t>
      </w:r>
      <w:r w:rsidR="00217AB4" w:rsidRPr="0021507A">
        <w:rPr>
          <w:rFonts w:cs="Arabic11 BT"/>
          <w:b/>
          <w:sz w:val="28"/>
          <w:vertAlign w:val="superscript"/>
          <w:rtl/>
          <w:lang w:bidi="ar-SY"/>
        </w:rPr>
        <w:t>(</w:t>
      </w:r>
      <w:r w:rsidRPr="0021507A">
        <w:rPr>
          <w:rStyle w:val="FootnoteReference"/>
          <w:rFonts w:cs="Arabic11 BT"/>
          <w:b/>
          <w:sz w:val="28"/>
          <w:rtl/>
          <w:lang w:bidi="ar-SY"/>
        </w:rPr>
        <w:footnoteReference w:id="64"/>
      </w:r>
      <w:r w:rsidR="00217AB4" w:rsidRPr="0021507A">
        <w:rPr>
          <w:rFonts w:cs="Arabic11 BT"/>
          <w:b/>
          <w:sz w:val="28"/>
          <w:vertAlign w:val="superscript"/>
          <w:rtl/>
          <w:lang w:bidi="ar-SY"/>
        </w:rPr>
        <w:t>)</w:t>
      </w:r>
      <w:r w:rsidR="00217AB4" w:rsidRPr="00995B26">
        <w:rPr>
          <w:rFonts w:ascii="Abo-thar" w:hAnsi="Abo-thar" w:hint="cs"/>
          <w:sz w:val="28"/>
          <w:rtl/>
          <w:lang w:bidi="ar-SY"/>
        </w:rPr>
        <w:t>،</w:t>
      </w:r>
      <w:r w:rsidRPr="00995B26">
        <w:rPr>
          <w:rFonts w:ascii="Abo-thar" w:hAnsi="Abo-thar" w:hint="cs"/>
          <w:sz w:val="28"/>
          <w:rtl/>
          <w:lang w:bidi="ar-SY"/>
        </w:rPr>
        <w:t xml:space="preserve"> هذا فضلاً عن أن يستنبط أحد ثبوت</w:t>
      </w:r>
      <w:r w:rsidR="00147857" w:rsidRPr="00995B26">
        <w:rPr>
          <w:rFonts w:ascii="Abo-thar" w:hAnsi="Abo-thar" w:hint="cs"/>
          <w:sz w:val="28"/>
          <w:rtl/>
          <w:lang w:bidi="ar-SY"/>
        </w:rPr>
        <w:t xml:space="preserve"> </w:t>
      </w:r>
      <w:r w:rsidRPr="00995B26">
        <w:rPr>
          <w:rFonts w:ascii="Abo-thar" w:hAnsi="Abo-thar" w:hint="cs"/>
          <w:sz w:val="28"/>
          <w:rtl/>
          <w:lang w:bidi="ar-SY"/>
        </w:rPr>
        <w:t>مثل هذا السهم للرسول بعد وفاته من الغنائم التي لم تقع بعد بيد المسلمين أو ثبوت هذا السهم لخلفائه</w:t>
      </w:r>
      <w:r w:rsidR="00217AB4" w:rsidRPr="00995B26">
        <w:rPr>
          <w:rFonts w:ascii="Abo-thar" w:hAnsi="Abo-thar" w:hint="cs"/>
          <w:sz w:val="28"/>
          <w:rtl/>
          <w:lang w:bidi="ar-SY"/>
        </w:rPr>
        <w:t>،</w:t>
      </w:r>
      <w:r w:rsidRPr="00995B26">
        <w:rPr>
          <w:rFonts w:ascii="Abo-thar" w:hAnsi="Abo-thar" w:hint="cs"/>
          <w:sz w:val="28"/>
          <w:rtl/>
          <w:lang w:bidi="ar-SY"/>
        </w:rPr>
        <w:t xml:space="preserve"> ويؤكد نفي ذلك أننا لا نرى في تاريخ خلفائه </w:t>
      </w:r>
      <w:r w:rsidRPr="00995B26">
        <w:rPr>
          <w:rFonts w:ascii="Abo-thar" w:hAnsi="Abo-thar"/>
          <w:sz w:val="28"/>
          <w:rtl/>
          <w:lang w:bidi="ar-SY"/>
        </w:rPr>
        <w:t>–</w:t>
      </w:r>
      <w:r w:rsidRPr="00995B26">
        <w:rPr>
          <w:rFonts w:ascii="Abo-thar" w:hAnsi="Abo-thar" w:hint="cs"/>
          <w:sz w:val="28"/>
          <w:rtl/>
          <w:lang w:bidi="ar-SY"/>
        </w:rPr>
        <w:t xml:space="preserve"> سواءً كانوا خلفاء بحق أم بباطل </w:t>
      </w:r>
      <w:r w:rsidRPr="00995B26">
        <w:rPr>
          <w:rFonts w:ascii="Abo-thar" w:hAnsi="Abo-thar"/>
          <w:sz w:val="28"/>
          <w:rtl/>
          <w:lang w:bidi="ar-SY"/>
        </w:rPr>
        <w:t>–</w:t>
      </w:r>
      <w:r w:rsidRPr="00995B26">
        <w:rPr>
          <w:rFonts w:ascii="Abo-thar" w:hAnsi="Abo-thar" w:hint="cs"/>
          <w:sz w:val="28"/>
          <w:rtl/>
          <w:lang w:bidi="ar-SY"/>
        </w:rPr>
        <w:t xml:space="preserve"> أي واحد منهم طالب بمثل هذا السهم حتى تحت عنوان حق رئاسته وقيادته للمسلمين</w:t>
      </w:r>
      <w:r w:rsidR="00217AB4" w:rsidRPr="00995B26">
        <w:rPr>
          <w:rFonts w:ascii="Abo-thar" w:hAnsi="Abo-thar" w:hint="cs"/>
          <w:sz w:val="28"/>
          <w:rtl/>
          <w:lang w:bidi="ar-SY"/>
        </w:rPr>
        <w:t>،</w:t>
      </w:r>
      <w:r w:rsidRPr="00995B26">
        <w:rPr>
          <w:rFonts w:ascii="Abo-thar" w:hAnsi="Abo-thar" w:hint="cs"/>
          <w:sz w:val="28"/>
          <w:rtl/>
          <w:lang w:bidi="ar-SY"/>
        </w:rPr>
        <w:t xml:space="preserve"> وكما قلنا إن ذكر اسم الرسول بعد اسم الله في آية خمس الغنائم إنما جاء على نحو ذكر اسمه في قوله تعالى</w:t>
      </w:r>
      <w:r w:rsidR="00217AB4" w:rsidRPr="00995B26">
        <w:rPr>
          <w:rFonts w:ascii="Abo-thar" w:hAnsi="Abo-thar" w:hint="cs"/>
          <w:sz w:val="28"/>
          <w:rtl/>
          <w:lang w:bidi="ar-SY"/>
        </w:rPr>
        <w:t>:</w:t>
      </w:r>
      <w:r w:rsidRPr="00995B26">
        <w:rPr>
          <w:rFonts w:ascii="Abo-thar" w:hAnsi="Abo-thar"/>
          <w:sz w:val="28"/>
          <w:rtl/>
          <w:lang w:bidi="ar-SY"/>
        </w:rPr>
        <w:t xml:space="preserve"> </w:t>
      </w:r>
      <w:r w:rsidR="00685363" w:rsidRPr="00995B26">
        <w:rPr>
          <w:rFonts w:ascii="Abo-thar" w:hAnsi="Abo-thar" w:cs="Traditional Arabic" w:hint="cs"/>
          <w:sz w:val="28"/>
          <w:rtl/>
          <w:lang w:bidi="ar-SY"/>
        </w:rPr>
        <w:t>﴿</w:t>
      </w:r>
      <w:r w:rsidR="00685363" w:rsidRPr="0067048A">
        <w:rPr>
          <w:rStyle w:val="Char3"/>
          <w:rFonts w:hint="eastAsia"/>
          <w:rtl/>
        </w:rPr>
        <w:t>قُلِ</w:t>
      </w:r>
      <w:r w:rsidR="00685363" w:rsidRPr="0067048A">
        <w:rPr>
          <w:rStyle w:val="Char3"/>
          <w:rtl/>
        </w:rPr>
        <w:t xml:space="preserve"> </w:t>
      </w:r>
      <w:r w:rsidR="00685363" w:rsidRPr="0067048A">
        <w:rPr>
          <w:rStyle w:val="Char3"/>
          <w:rFonts w:hint="cs"/>
          <w:rtl/>
        </w:rPr>
        <w:t>ٱ</w:t>
      </w:r>
      <w:r w:rsidR="00685363" w:rsidRPr="0067048A">
        <w:rPr>
          <w:rStyle w:val="Char3"/>
          <w:rFonts w:hint="eastAsia"/>
          <w:rtl/>
        </w:rPr>
        <w:t>ل</w:t>
      </w:r>
      <w:r w:rsidR="00685363" w:rsidRPr="0067048A">
        <w:rPr>
          <w:rStyle w:val="Char3"/>
          <w:rFonts w:hint="cs"/>
          <w:rtl/>
        </w:rPr>
        <w:t>ۡ</w:t>
      </w:r>
      <w:r w:rsidR="00685363" w:rsidRPr="0067048A">
        <w:rPr>
          <w:rStyle w:val="Char3"/>
          <w:rFonts w:hint="eastAsia"/>
          <w:rtl/>
        </w:rPr>
        <w:t>أَنفَالُ</w:t>
      </w:r>
      <w:r w:rsidR="00685363" w:rsidRPr="0067048A">
        <w:rPr>
          <w:rStyle w:val="Char3"/>
          <w:rtl/>
        </w:rPr>
        <w:t xml:space="preserve"> </w:t>
      </w:r>
      <w:r w:rsidR="00685363" w:rsidRPr="0067048A">
        <w:rPr>
          <w:rStyle w:val="Char3"/>
          <w:rFonts w:hint="eastAsia"/>
          <w:rtl/>
        </w:rPr>
        <w:t>لِلَّهِ</w:t>
      </w:r>
      <w:r w:rsidR="00685363" w:rsidRPr="0067048A">
        <w:rPr>
          <w:rStyle w:val="Char3"/>
          <w:rtl/>
        </w:rPr>
        <w:t xml:space="preserve"> </w:t>
      </w:r>
      <w:r w:rsidR="00685363" w:rsidRPr="0067048A">
        <w:rPr>
          <w:rStyle w:val="Char3"/>
          <w:rFonts w:hint="eastAsia"/>
          <w:rtl/>
        </w:rPr>
        <w:t>وَ</w:t>
      </w:r>
      <w:r w:rsidR="00685363" w:rsidRPr="0067048A">
        <w:rPr>
          <w:rStyle w:val="Char3"/>
          <w:rFonts w:hint="cs"/>
          <w:rtl/>
        </w:rPr>
        <w:t>ٱ</w:t>
      </w:r>
      <w:r w:rsidR="00685363" w:rsidRPr="0067048A">
        <w:rPr>
          <w:rStyle w:val="Char3"/>
          <w:rFonts w:hint="eastAsia"/>
          <w:rtl/>
        </w:rPr>
        <w:t>لرَّسُولِ</w:t>
      </w:r>
      <w:r w:rsidR="00685363" w:rsidRPr="0067048A">
        <w:rPr>
          <w:rStyle w:val="Char3"/>
          <w:rFonts w:hint="cs"/>
          <w:rtl/>
        </w:rPr>
        <w:t>ۖ</w:t>
      </w:r>
      <w:r w:rsidR="00685363" w:rsidRPr="0067048A">
        <w:rPr>
          <w:rStyle w:val="Char3"/>
          <w:rtl/>
        </w:rPr>
        <w:t xml:space="preserve"> </w:t>
      </w:r>
      <w:r w:rsidR="00685363" w:rsidRPr="0067048A">
        <w:rPr>
          <w:rStyle w:val="Char3"/>
          <w:rFonts w:hint="eastAsia"/>
          <w:rtl/>
        </w:rPr>
        <w:t>فَ</w:t>
      </w:r>
      <w:r w:rsidR="00685363" w:rsidRPr="0067048A">
        <w:rPr>
          <w:rStyle w:val="Char3"/>
          <w:rFonts w:hint="cs"/>
          <w:rtl/>
        </w:rPr>
        <w:t>ٱ</w:t>
      </w:r>
      <w:r w:rsidR="00685363" w:rsidRPr="0067048A">
        <w:rPr>
          <w:rStyle w:val="Char3"/>
          <w:rFonts w:hint="eastAsia"/>
          <w:rtl/>
        </w:rPr>
        <w:t>تَّقُواْ</w:t>
      </w:r>
      <w:r w:rsidR="00685363" w:rsidRPr="0067048A">
        <w:rPr>
          <w:rStyle w:val="Char3"/>
          <w:rtl/>
        </w:rPr>
        <w:t xml:space="preserve"> </w:t>
      </w:r>
      <w:r w:rsidR="00685363" w:rsidRPr="0067048A">
        <w:rPr>
          <w:rStyle w:val="Char3"/>
          <w:rFonts w:hint="cs"/>
          <w:rtl/>
        </w:rPr>
        <w:t>ٱ</w:t>
      </w:r>
      <w:r w:rsidR="00685363" w:rsidRPr="0067048A">
        <w:rPr>
          <w:rStyle w:val="Char3"/>
          <w:rFonts w:hint="eastAsia"/>
          <w:rtl/>
        </w:rPr>
        <w:t>للَّهَ</w:t>
      </w:r>
      <w:r w:rsidR="00685363" w:rsidRPr="00995B26">
        <w:rPr>
          <w:rFonts w:ascii="KFGQPC Uthmanic Script HAFS" w:cs="Times New Roman" w:hint="cs"/>
          <w:sz w:val="28"/>
          <w:rtl/>
        </w:rPr>
        <w:t>...</w:t>
      </w:r>
      <w:r w:rsidR="00685363" w:rsidRPr="00995B26">
        <w:rPr>
          <w:rFonts w:ascii="Abo-thar" w:hAnsi="Abo-thar" w:cs="Traditional Arabic" w:hint="cs"/>
          <w:sz w:val="28"/>
          <w:rtl/>
          <w:lang w:bidi="ar-SY"/>
        </w:rPr>
        <w:t>﴾</w:t>
      </w:r>
      <w:r w:rsidRPr="00995B26">
        <w:rPr>
          <w:rFonts w:ascii="Abo-thar" w:hAnsi="Abo-thar"/>
          <w:sz w:val="28"/>
          <w:rtl/>
          <w:lang w:bidi="ar-SY"/>
        </w:rPr>
        <w:t xml:space="preserve"> </w:t>
      </w:r>
      <w:r w:rsidRPr="00FC12FD">
        <w:rPr>
          <w:rStyle w:val="Char2"/>
          <w:rtl/>
        </w:rPr>
        <w:t>[الأنفال</w:t>
      </w:r>
      <w:r w:rsidR="001E728D" w:rsidRPr="00FC12FD">
        <w:rPr>
          <w:rStyle w:val="Char2"/>
          <w:rFonts w:hint="cs"/>
          <w:rtl/>
        </w:rPr>
        <w:t>:</w:t>
      </w:r>
      <w:r w:rsidRPr="00FC12FD">
        <w:rPr>
          <w:rStyle w:val="Char2"/>
          <w:rtl/>
        </w:rPr>
        <w:t>1]</w:t>
      </w:r>
      <w:r w:rsidR="00217AB4" w:rsidRPr="00995B26">
        <w:rPr>
          <w:rFonts w:ascii="Abo-thar" w:hAnsi="Abo-thar" w:hint="cs"/>
          <w:sz w:val="28"/>
          <w:rtl/>
          <w:lang w:bidi="ar-SY"/>
        </w:rPr>
        <w:t>.</w:t>
      </w:r>
      <w:r w:rsidR="00147857" w:rsidRPr="00995B26">
        <w:rPr>
          <w:rFonts w:ascii="Abo-thar" w:hAnsi="Abo-thar"/>
          <w:sz w:val="28"/>
          <w:rtl/>
          <w:lang w:bidi="ar-SY"/>
        </w:rPr>
        <w:t xml:space="preserve"> </w:t>
      </w:r>
      <w:r w:rsidRPr="00995B26">
        <w:rPr>
          <w:rFonts w:ascii="Abo-thar" w:hAnsi="Abo-thar" w:hint="cs"/>
          <w:sz w:val="28"/>
          <w:rtl/>
          <w:lang w:bidi="ar-SY"/>
        </w:rPr>
        <w:t>وإذا أردنا أن نستند إلى أقوال الفقهاء ونثبت سهماً لرسول الله من خمس الغنائم فإن هذا السهم لن يبقى له أي مصداق بعد وفاته إلا أن يُعطى للإمام أي حاكم المسلمين الذي يقود ويرأس الحروب</w:t>
      </w:r>
      <w:r w:rsidR="00217AB4" w:rsidRPr="00995B26">
        <w:rPr>
          <w:rFonts w:ascii="Abo-thar" w:hAnsi="Abo-thar" w:hint="cs"/>
          <w:sz w:val="28"/>
          <w:rtl/>
          <w:lang w:bidi="ar-SY"/>
        </w:rPr>
        <w:t>،</w:t>
      </w:r>
      <w:r w:rsidRPr="00995B26">
        <w:rPr>
          <w:rFonts w:ascii="Abo-thar" w:hAnsi="Abo-thar" w:hint="cs"/>
          <w:sz w:val="28"/>
          <w:rtl/>
          <w:lang w:bidi="ar-SY"/>
        </w:rPr>
        <w:t xml:space="preserve"> مع أننا لا نجد له </w:t>
      </w:r>
      <w:r w:rsidRPr="00995B26">
        <w:rPr>
          <w:rFonts w:ascii="Abo-thar" w:hAnsi="Abo-thar"/>
          <w:sz w:val="28"/>
          <w:rtl/>
          <w:lang w:bidi="ar-SY"/>
        </w:rPr>
        <w:t>–</w:t>
      </w:r>
      <w:r w:rsidRPr="00995B26">
        <w:rPr>
          <w:rFonts w:ascii="Abo-thar" w:hAnsi="Abo-thar" w:hint="cs"/>
          <w:sz w:val="28"/>
          <w:rtl/>
          <w:lang w:bidi="ar-SY"/>
        </w:rPr>
        <w:t xml:space="preserve"> للأسف أو لحسن الحظ – أي أمثلة أو نماذج من سيرة الخلفاء للعمل بهذا الأمر رغم أن بعض الأحاديث جاءت في ذلك</w:t>
      </w:r>
      <w:r w:rsidR="00217AB4" w:rsidRPr="0021507A">
        <w:rPr>
          <w:rFonts w:cs="Arabic11 BT"/>
          <w:b/>
          <w:sz w:val="28"/>
          <w:vertAlign w:val="superscript"/>
          <w:rtl/>
          <w:lang w:bidi="ar-SY"/>
        </w:rPr>
        <w:t>(</w:t>
      </w:r>
      <w:r w:rsidRPr="0021507A">
        <w:rPr>
          <w:rStyle w:val="FootnoteReference"/>
          <w:rFonts w:cs="Arabic11 BT"/>
          <w:b/>
          <w:sz w:val="28"/>
          <w:rtl/>
          <w:lang w:bidi="ar-SY"/>
        </w:rPr>
        <w:footnoteReference w:id="65"/>
      </w:r>
      <w:r w:rsidR="00217AB4" w:rsidRPr="0021507A">
        <w:rPr>
          <w:rFonts w:cs="Arabic11 BT"/>
          <w:b/>
          <w:sz w:val="28"/>
          <w:vertAlign w:val="superscript"/>
          <w:rtl/>
          <w:lang w:bidi="ar-SY"/>
        </w:rPr>
        <w:t>)</w:t>
      </w:r>
      <w:r w:rsidR="00217AB4" w:rsidRPr="00995B26">
        <w:rPr>
          <w:rFonts w:ascii="Abo-thar" w:hAnsi="Abo-thar" w:hint="cs"/>
          <w:sz w:val="28"/>
          <w:rtl/>
          <w:lang w:bidi="ar-SY"/>
        </w:rPr>
        <w:t>.</w:t>
      </w:r>
      <w:r w:rsidRPr="00995B26">
        <w:rPr>
          <w:rFonts w:ascii="Abo-thar" w:hAnsi="Abo-thar" w:hint="cs"/>
          <w:sz w:val="28"/>
          <w:rtl/>
          <w:lang w:bidi="ar-SY"/>
        </w:rPr>
        <w:t xml:space="preserve"> </w:t>
      </w:r>
    </w:p>
    <w:p w:rsidR="005C664D" w:rsidRPr="003F3B94" w:rsidRDefault="005C664D" w:rsidP="003F3B94">
      <w:pPr>
        <w:pStyle w:val="a0"/>
        <w:rPr>
          <w:rFonts w:hint="cs"/>
          <w:rtl/>
          <w:lang w:bidi="ar-SY"/>
        </w:rPr>
      </w:pPr>
      <w:r w:rsidRPr="003F3B94">
        <w:rPr>
          <w:rFonts w:ascii="Abo-thar" w:hAnsi="Abo-thar" w:hint="cs"/>
          <w:sz w:val="28"/>
          <w:rtl/>
          <w:lang w:bidi="ar-SY"/>
        </w:rPr>
        <w:t>10</w:t>
      </w:r>
      <w:r w:rsidR="00217AB4" w:rsidRPr="003F3B94">
        <w:rPr>
          <w:rFonts w:ascii="Abo-thar" w:hAnsi="Abo-thar" w:hint="cs"/>
          <w:sz w:val="28"/>
          <w:rtl/>
          <w:lang w:bidi="ar-SY"/>
        </w:rPr>
        <w:t>-</w:t>
      </w:r>
      <w:r w:rsidRPr="003F3B94">
        <w:rPr>
          <w:rFonts w:ascii="Abo-thar" w:hAnsi="Abo-thar" w:hint="cs"/>
          <w:sz w:val="28"/>
          <w:rtl/>
          <w:lang w:bidi="ar-SY"/>
        </w:rPr>
        <w:t xml:space="preserve"> </w:t>
      </w:r>
      <w:r w:rsidRPr="00F01069">
        <w:rPr>
          <w:rFonts w:ascii="Abo-thar" w:hAnsi="Abo-thar" w:hint="cs"/>
          <w:b/>
          <w:bCs/>
          <w:sz w:val="28"/>
          <w:rtl/>
          <w:lang w:bidi="ar-SY"/>
        </w:rPr>
        <w:t>النقطة العاشرة</w:t>
      </w:r>
      <w:r w:rsidR="00217AB4" w:rsidRPr="003F3B94">
        <w:rPr>
          <w:rFonts w:ascii="Abo-thar" w:hAnsi="Abo-thar" w:hint="cs"/>
          <w:sz w:val="28"/>
          <w:rtl/>
          <w:lang w:bidi="ar-SY"/>
        </w:rPr>
        <w:t>:</w:t>
      </w:r>
      <w:r w:rsidRPr="003F3B94">
        <w:rPr>
          <w:rFonts w:ascii="Abo-thar" w:hAnsi="Abo-thar" w:hint="cs"/>
          <w:sz w:val="28"/>
          <w:rtl/>
          <w:lang w:bidi="ar-SY"/>
        </w:rPr>
        <w:t xml:space="preserve"> لا بد من التأمل والتدقيق بكلمات اليتامى والمساكين وابن السبيل التي وردت في الآية الكريمة حيث أن كثيراً من فقهاء الشيعة اعتبروا </w:t>
      </w:r>
      <w:r w:rsidRPr="003F3B94">
        <w:rPr>
          <w:rFonts w:cs="Times New Roman" w:hint="cs"/>
          <w:sz w:val="28"/>
          <w:rtl/>
          <w:lang w:bidi="ar-SY"/>
        </w:rPr>
        <w:t>–</w:t>
      </w:r>
      <w:r w:rsidRPr="003F3B94">
        <w:rPr>
          <w:rFonts w:ascii="Abo-thar" w:hAnsi="Abo-thar" w:hint="cs"/>
          <w:sz w:val="28"/>
          <w:rtl/>
          <w:lang w:bidi="ar-SY"/>
        </w:rPr>
        <w:t xml:space="preserve"> استناداً إلى بعض الأحاديث </w:t>
      </w:r>
      <w:r w:rsidRPr="003F3B94">
        <w:rPr>
          <w:rFonts w:cs="Times New Roman" w:hint="cs"/>
          <w:sz w:val="28"/>
          <w:rtl/>
          <w:lang w:bidi="ar-SY"/>
        </w:rPr>
        <w:t>–</w:t>
      </w:r>
      <w:r w:rsidRPr="003F3B94">
        <w:rPr>
          <w:rFonts w:ascii="Abo-thar" w:hAnsi="Abo-thar" w:hint="cs"/>
          <w:sz w:val="28"/>
          <w:rtl/>
          <w:lang w:bidi="ar-SY"/>
        </w:rPr>
        <w:t xml:space="preserve"> أن المقصود منهم اليتامى والمساكين وابن السبيل من قرابة رسول الله</w:t>
      </w:r>
      <w:r w:rsidR="00147857" w:rsidRPr="003F3B94">
        <w:rPr>
          <w:rFonts w:ascii="Abo-thar" w:hAnsi="Abo-thar" w:hint="cs"/>
          <w:sz w:val="28"/>
          <w:rtl/>
          <w:lang w:bidi="ar-SY"/>
        </w:rPr>
        <w:t xml:space="preserve"> </w:t>
      </w:r>
      <w:r w:rsidR="003C7AEB" w:rsidRPr="003C7AEB">
        <w:rPr>
          <w:rFonts w:ascii="Abo-thar" w:hAnsi="Abo-thar" w:cs="CTraditional Arabic" w:hint="cs"/>
          <w:sz w:val="28"/>
          <w:rtl/>
          <w:lang w:bidi="ar-SY"/>
        </w:rPr>
        <w:t>ص</w:t>
      </w:r>
      <w:r w:rsidR="00147857" w:rsidRPr="003F3B94">
        <w:rPr>
          <w:rFonts w:ascii="Abo-thar" w:hAnsi="Abo-thar" w:hint="cs"/>
          <w:sz w:val="28"/>
          <w:rtl/>
          <w:lang w:bidi="ar-SY"/>
        </w:rPr>
        <w:t xml:space="preserve"> </w:t>
      </w:r>
      <w:r w:rsidRPr="003F3B94">
        <w:rPr>
          <w:rFonts w:ascii="Abo-thar" w:hAnsi="Abo-thar" w:hint="cs"/>
          <w:sz w:val="28"/>
          <w:rtl/>
          <w:lang w:bidi="ar-SY"/>
        </w:rPr>
        <w:t>وآل محمد خاصَّة</w:t>
      </w:r>
      <w:r w:rsidR="00217AB4" w:rsidRPr="003F3B94">
        <w:rPr>
          <w:rFonts w:ascii="Abo-thar" w:hAnsi="Abo-thar" w:hint="cs"/>
          <w:sz w:val="28"/>
          <w:rtl/>
          <w:lang w:bidi="ar-SY"/>
        </w:rPr>
        <w:t>،</w:t>
      </w:r>
      <w:r w:rsidRPr="003F3B94">
        <w:rPr>
          <w:rFonts w:ascii="Abo-thar" w:hAnsi="Abo-thar" w:hint="cs"/>
          <w:sz w:val="28"/>
          <w:rtl/>
          <w:lang w:bidi="ar-SY"/>
        </w:rPr>
        <w:t xml:space="preserve"> مع أن الحقيقة غير ذلك</w:t>
      </w:r>
      <w:r w:rsidR="00217AB4" w:rsidRPr="003F3B94">
        <w:rPr>
          <w:rFonts w:ascii="Abo-thar" w:hAnsi="Abo-thar" w:hint="cs"/>
          <w:sz w:val="28"/>
          <w:rtl/>
          <w:lang w:bidi="ar-SY"/>
        </w:rPr>
        <w:t>!</w:t>
      </w:r>
    </w:p>
    <w:p w:rsidR="005C664D" w:rsidRPr="003F3B94" w:rsidRDefault="005C664D" w:rsidP="003F3B94">
      <w:pPr>
        <w:pStyle w:val="a0"/>
        <w:rPr>
          <w:rFonts w:hint="cs"/>
          <w:rtl/>
          <w:lang w:bidi="ar-SY"/>
        </w:rPr>
      </w:pPr>
      <w:r w:rsidRPr="003F3B94">
        <w:rPr>
          <w:rFonts w:ascii="Abo-thar" w:hAnsi="Abo-thar" w:hint="cs"/>
          <w:sz w:val="28"/>
          <w:rtl/>
          <w:lang w:bidi="ar-SY"/>
        </w:rPr>
        <w:t>ولكي تتضح حقيقة الأمر لا بد من الانتباه إلى عدة نقاط</w:t>
      </w:r>
      <w:r w:rsidR="00217AB4" w:rsidRPr="003F3B94">
        <w:rPr>
          <w:rFonts w:ascii="Abo-thar" w:hAnsi="Abo-thar" w:hint="cs"/>
          <w:sz w:val="28"/>
          <w:rtl/>
          <w:lang w:bidi="ar-SY"/>
        </w:rPr>
        <w:t>:</w:t>
      </w:r>
    </w:p>
    <w:p w:rsidR="005C664D" w:rsidRPr="00995B26" w:rsidRDefault="005C664D" w:rsidP="003F3B94">
      <w:pPr>
        <w:pStyle w:val="a0"/>
        <w:rPr>
          <w:rFonts w:hint="cs"/>
          <w:rtl/>
          <w:lang w:bidi="ar-SY"/>
        </w:rPr>
      </w:pPr>
      <w:r w:rsidRPr="003F3B94">
        <w:rPr>
          <w:rFonts w:ascii="Abo-thar" w:hAnsi="Abo-thar" w:hint="cs"/>
          <w:sz w:val="28"/>
          <w:rtl/>
          <w:lang w:bidi="ar-SY"/>
        </w:rPr>
        <w:t>أ</w:t>
      </w:r>
      <w:r w:rsidR="00217AB4" w:rsidRPr="003F3B94">
        <w:rPr>
          <w:rFonts w:ascii="Abo-thar" w:hAnsi="Abo-thar" w:hint="cs"/>
          <w:sz w:val="28"/>
          <w:rtl/>
          <w:lang w:bidi="ar-SY"/>
        </w:rPr>
        <w:t>-</w:t>
      </w:r>
      <w:r w:rsidRPr="003F3B94">
        <w:rPr>
          <w:rFonts w:ascii="Abo-thar" w:hAnsi="Abo-thar" w:hint="cs"/>
          <w:sz w:val="28"/>
          <w:rtl/>
          <w:lang w:bidi="ar-SY"/>
        </w:rPr>
        <w:t xml:space="preserve"> كان زمن نزول الآية الكريمة</w:t>
      </w:r>
      <w:r w:rsidR="00217AB4" w:rsidRPr="003F3B94">
        <w:rPr>
          <w:rFonts w:ascii="Abo-thar" w:hAnsi="Abo-thar" w:hint="cs"/>
          <w:sz w:val="28"/>
          <w:rtl/>
          <w:lang w:bidi="ar-SY"/>
        </w:rPr>
        <w:t>:</w:t>
      </w:r>
      <w:r w:rsidRPr="003F3B94">
        <w:rPr>
          <w:rFonts w:ascii="Abo-thar" w:hAnsi="Abo-thar" w:hint="cs"/>
          <w:sz w:val="28"/>
          <w:rtl/>
          <w:lang w:bidi="ar-SY"/>
        </w:rPr>
        <w:t xml:space="preserve"> </w:t>
      </w:r>
      <w:r w:rsidR="00685363" w:rsidRPr="00995B26">
        <w:rPr>
          <w:rFonts w:cs="Traditional Arabic"/>
          <w:rtl/>
          <w:lang w:bidi="fa-IR"/>
        </w:rPr>
        <w:t>﴿</w:t>
      </w:r>
      <w:r w:rsidR="00685363" w:rsidRPr="0067048A">
        <w:rPr>
          <w:rStyle w:val="Char3"/>
          <w:rFonts w:hint="eastAsia"/>
          <w:rtl/>
        </w:rPr>
        <w:t>وَ</w:t>
      </w:r>
      <w:r w:rsidR="00685363" w:rsidRPr="0067048A">
        <w:rPr>
          <w:rStyle w:val="Char3"/>
          <w:rFonts w:hint="cs"/>
          <w:rtl/>
        </w:rPr>
        <w:t>ٱ</w:t>
      </w:r>
      <w:r w:rsidR="00685363" w:rsidRPr="0067048A">
        <w:rPr>
          <w:rStyle w:val="Char3"/>
          <w:rFonts w:hint="eastAsia"/>
          <w:rtl/>
        </w:rPr>
        <w:t>ع</w:t>
      </w:r>
      <w:r w:rsidR="00685363" w:rsidRPr="0067048A">
        <w:rPr>
          <w:rStyle w:val="Char3"/>
          <w:rFonts w:hint="cs"/>
          <w:rtl/>
        </w:rPr>
        <w:t>ۡ</w:t>
      </w:r>
      <w:r w:rsidR="00685363" w:rsidRPr="0067048A">
        <w:rPr>
          <w:rStyle w:val="Char3"/>
          <w:rFonts w:hint="eastAsia"/>
          <w:rtl/>
        </w:rPr>
        <w:t>لَمُو</w:t>
      </w:r>
      <w:r w:rsidR="00685363" w:rsidRPr="0067048A">
        <w:rPr>
          <w:rStyle w:val="Char3"/>
          <w:rFonts w:hint="cs"/>
          <w:rtl/>
        </w:rPr>
        <w:t>ٓ</w:t>
      </w:r>
      <w:r w:rsidR="00685363" w:rsidRPr="0067048A">
        <w:rPr>
          <w:rStyle w:val="Char3"/>
          <w:rFonts w:hint="eastAsia"/>
          <w:rtl/>
        </w:rPr>
        <w:t>اْ</w:t>
      </w:r>
      <w:r w:rsidR="00685363" w:rsidRPr="0067048A">
        <w:rPr>
          <w:rStyle w:val="Char3"/>
          <w:rtl/>
        </w:rPr>
        <w:t xml:space="preserve"> </w:t>
      </w:r>
      <w:r w:rsidR="00685363" w:rsidRPr="0067048A">
        <w:rPr>
          <w:rStyle w:val="Char3"/>
          <w:rFonts w:hint="eastAsia"/>
          <w:rtl/>
        </w:rPr>
        <w:t>أَنَّمَا</w:t>
      </w:r>
      <w:r w:rsidR="00685363" w:rsidRPr="0067048A">
        <w:rPr>
          <w:rStyle w:val="Char3"/>
          <w:rtl/>
        </w:rPr>
        <w:t xml:space="preserve"> </w:t>
      </w:r>
      <w:r w:rsidR="00685363" w:rsidRPr="0067048A">
        <w:rPr>
          <w:rStyle w:val="Char3"/>
          <w:rFonts w:hint="eastAsia"/>
          <w:rtl/>
        </w:rPr>
        <w:t>غَنِم</w:t>
      </w:r>
      <w:r w:rsidR="00685363" w:rsidRPr="0067048A">
        <w:rPr>
          <w:rStyle w:val="Char3"/>
          <w:rFonts w:hint="cs"/>
          <w:rtl/>
        </w:rPr>
        <w:t>ۡ</w:t>
      </w:r>
      <w:r w:rsidR="00685363" w:rsidRPr="0067048A">
        <w:rPr>
          <w:rStyle w:val="Char3"/>
          <w:rFonts w:hint="eastAsia"/>
          <w:rtl/>
        </w:rPr>
        <w:t>تُم</w:t>
      </w:r>
      <w:r w:rsidR="00685363" w:rsidRPr="0067048A">
        <w:rPr>
          <w:rStyle w:val="Char3"/>
          <w:rtl/>
        </w:rPr>
        <w:t xml:space="preserve"> </w:t>
      </w:r>
      <w:r w:rsidR="00685363" w:rsidRPr="0067048A">
        <w:rPr>
          <w:rStyle w:val="Char3"/>
          <w:rFonts w:hint="eastAsia"/>
          <w:rtl/>
        </w:rPr>
        <w:t>مِّن</w:t>
      </w:r>
      <w:r w:rsidR="00685363" w:rsidRPr="0067048A">
        <w:rPr>
          <w:rStyle w:val="Char3"/>
          <w:rtl/>
        </w:rPr>
        <w:t xml:space="preserve"> </w:t>
      </w:r>
      <w:r w:rsidR="00685363" w:rsidRPr="0067048A">
        <w:rPr>
          <w:rStyle w:val="Char3"/>
          <w:rFonts w:hint="eastAsia"/>
          <w:rtl/>
        </w:rPr>
        <w:t>شَي</w:t>
      </w:r>
      <w:r w:rsidR="00685363" w:rsidRPr="0067048A">
        <w:rPr>
          <w:rStyle w:val="Char3"/>
          <w:rFonts w:hint="cs"/>
          <w:rtl/>
        </w:rPr>
        <w:t>ۡ</w:t>
      </w:r>
      <w:r w:rsidR="00685363" w:rsidRPr="0067048A">
        <w:rPr>
          <w:rStyle w:val="Char3"/>
          <w:rFonts w:hint="eastAsia"/>
          <w:rtl/>
        </w:rPr>
        <w:t>ء</w:t>
      </w:r>
      <w:r w:rsidR="00685363" w:rsidRPr="0067048A">
        <w:rPr>
          <w:rStyle w:val="Char3"/>
          <w:rFonts w:hint="cs"/>
          <w:rtl/>
        </w:rPr>
        <w:t>ٖ</w:t>
      </w:r>
      <w:r w:rsidR="00685363" w:rsidRPr="00995B26">
        <w:rPr>
          <w:rFonts w:cs="KFGQPC Uthman Taha Naskh" w:hint="cs"/>
          <w:rtl/>
          <w:lang w:bidi="fa-IR"/>
        </w:rPr>
        <w:t>...</w:t>
      </w:r>
      <w:r w:rsidR="00685363" w:rsidRPr="00995B26">
        <w:rPr>
          <w:rFonts w:cs="Traditional Arabic" w:hint="cs"/>
          <w:rtl/>
          <w:lang w:bidi="fa-IR"/>
        </w:rPr>
        <w:t>﴾</w:t>
      </w:r>
      <w:r w:rsidR="00685363" w:rsidRPr="00995B26">
        <w:rPr>
          <w:rFonts w:cs="B Lotus" w:hint="cs"/>
          <w:rtl/>
          <w:lang w:bidi="fa-IR"/>
        </w:rPr>
        <w:t>.</w:t>
      </w:r>
      <w:r w:rsidR="00685363" w:rsidRPr="00995B26">
        <w:rPr>
          <w:rFonts w:cs="B Lotus"/>
          <w:rtl/>
          <w:lang w:bidi="fa-IR"/>
        </w:rPr>
        <w:t xml:space="preserve"> </w:t>
      </w:r>
      <w:r w:rsidRPr="00FC12FD">
        <w:rPr>
          <w:rStyle w:val="Char2"/>
          <w:rtl/>
        </w:rPr>
        <w:t>[الأنفال</w:t>
      </w:r>
      <w:r w:rsidR="001E728D" w:rsidRPr="00FC12FD">
        <w:rPr>
          <w:rStyle w:val="Char2"/>
          <w:rFonts w:hint="cs"/>
          <w:rtl/>
        </w:rPr>
        <w:t>:</w:t>
      </w:r>
      <w:r w:rsidRPr="00FC12FD">
        <w:rPr>
          <w:rStyle w:val="Char2"/>
          <w:rtl/>
        </w:rPr>
        <w:t>41]</w:t>
      </w:r>
      <w:r w:rsidR="00147857" w:rsidRPr="00995B26">
        <w:rPr>
          <w:rFonts w:ascii="Abo-thar" w:hAnsi="Abo-thar" w:hint="cs"/>
          <w:sz w:val="28"/>
          <w:rtl/>
          <w:lang w:bidi="ar-SY"/>
        </w:rPr>
        <w:t xml:space="preserve"> </w:t>
      </w:r>
      <w:r w:rsidRPr="00995B26">
        <w:rPr>
          <w:rFonts w:ascii="Abo-thar" w:hAnsi="Abo-thar" w:hint="cs"/>
          <w:sz w:val="28"/>
          <w:rtl/>
          <w:lang w:bidi="ar-SY"/>
        </w:rPr>
        <w:t>عقب معركة بدر</w:t>
      </w:r>
      <w:r w:rsidR="00217AB4" w:rsidRPr="00995B26">
        <w:rPr>
          <w:rFonts w:ascii="Abo-thar" w:hAnsi="Abo-thar" w:hint="cs"/>
          <w:sz w:val="28"/>
          <w:rtl/>
          <w:lang w:bidi="ar-SY"/>
        </w:rPr>
        <w:t>،</w:t>
      </w:r>
      <w:r w:rsidRPr="00995B26">
        <w:rPr>
          <w:rFonts w:ascii="Abo-thar" w:hAnsi="Abo-thar" w:hint="cs"/>
          <w:sz w:val="28"/>
          <w:rtl/>
          <w:lang w:bidi="ar-SY"/>
        </w:rPr>
        <w:t xml:space="preserve"> وعلى أكثر تقدير نزلت </w:t>
      </w:r>
      <w:r w:rsidR="00217AB4" w:rsidRPr="00995B26">
        <w:rPr>
          <w:rFonts w:ascii="Abo-thar" w:hAnsi="Abo-thar" w:hint="cs"/>
          <w:sz w:val="28"/>
          <w:rtl/>
          <w:lang w:bidi="ar-SY"/>
        </w:rPr>
        <w:t>-</w:t>
      </w:r>
      <w:r w:rsidRPr="00995B26">
        <w:rPr>
          <w:rFonts w:ascii="Abo-thar" w:hAnsi="Abo-thar" w:hint="cs"/>
          <w:sz w:val="28"/>
          <w:rtl/>
          <w:lang w:bidi="ar-SY"/>
        </w:rPr>
        <w:t xml:space="preserve"> كما ذكر الواقدي </w:t>
      </w:r>
      <w:r w:rsidR="00217AB4" w:rsidRPr="00995B26">
        <w:rPr>
          <w:rFonts w:ascii="Abo-thar" w:hAnsi="Abo-thar" w:hint="cs"/>
          <w:sz w:val="28"/>
          <w:rtl/>
          <w:lang w:bidi="ar-SY"/>
        </w:rPr>
        <w:t>-</w:t>
      </w:r>
      <w:r w:rsidRPr="00995B26">
        <w:rPr>
          <w:rFonts w:ascii="Abo-thar" w:hAnsi="Abo-thar" w:hint="cs"/>
          <w:sz w:val="28"/>
          <w:rtl/>
          <w:lang w:bidi="ar-SY"/>
        </w:rPr>
        <w:t xml:space="preserve"> في غزوة بني قينقاع التي وقعت في منتصف شوال من الشهر العشـرين للهجرة </w:t>
      </w:r>
      <w:r w:rsidR="00217AB4" w:rsidRPr="00995B26">
        <w:rPr>
          <w:rFonts w:ascii="Abo-thar" w:hAnsi="Abo-thar" w:hint="cs"/>
          <w:sz w:val="28"/>
          <w:rtl/>
          <w:lang w:bidi="ar-SY"/>
        </w:rPr>
        <w:t>(</w:t>
      </w:r>
      <w:r w:rsidRPr="00995B26">
        <w:rPr>
          <w:rFonts w:ascii="Abo-thar" w:hAnsi="Abo-thar" w:hint="cs"/>
          <w:sz w:val="28"/>
          <w:rtl/>
          <w:lang w:bidi="ar-SY"/>
        </w:rPr>
        <w:t>أي بعد ثلاثة أشهر من معركة بدر</w:t>
      </w:r>
      <w:r w:rsidR="00217AB4" w:rsidRPr="00995B26">
        <w:rPr>
          <w:rFonts w:ascii="Abo-thar" w:hAnsi="Abo-thar" w:hint="cs"/>
          <w:sz w:val="28"/>
          <w:rtl/>
          <w:lang w:bidi="ar-SY"/>
        </w:rPr>
        <w:t>)،</w:t>
      </w:r>
      <w:r w:rsidRPr="00995B26">
        <w:rPr>
          <w:rFonts w:ascii="Abo-thar" w:hAnsi="Abo-thar" w:hint="cs"/>
          <w:sz w:val="28"/>
          <w:rtl/>
          <w:lang w:bidi="ar-SY"/>
        </w:rPr>
        <w:t xml:space="preserve"> فعلى أي حال الكُلُّ متفقٌ على أنها نزلت في السنة الثانية للهجرة</w:t>
      </w:r>
      <w:r w:rsidR="00217AB4" w:rsidRPr="00995B26">
        <w:rPr>
          <w:rFonts w:ascii="Abo-thar" w:hAnsi="Abo-thar" w:hint="cs"/>
          <w:sz w:val="28"/>
          <w:rtl/>
          <w:lang w:bidi="ar-SY"/>
        </w:rPr>
        <w:t>،</w:t>
      </w:r>
      <w:r w:rsidRPr="00995B26">
        <w:rPr>
          <w:rFonts w:ascii="Abo-thar" w:hAnsi="Abo-thar" w:hint="cs"/>
          <w:sz w:val="28"/>
          <w:rtl/>
          <w:lang w:bidi="ar-SY"/>
        </w:rPr>
        <w:t xml:space="preserve"> وكما نعلم كان وضع المسلمين في ذلك من حيث الفقر والفاقة وضعاً سيئاً كما أشرنا إلى ذلك من قبل</w:t>
      </w:r>
      <w:r w:rsidR="00217AB4" w:rsidRPr="00995B26">
        <w:rPr>
          <w:rFonts w:ascii="Abo-thar" w:hAnsi="Abo-thar" w:hint="cs"/>
          <w:sz w:val="28"/>
          <w:rtl/>
          <w:lang w:bidi="ar-SY"/>
        </w:rPr>
        <w:t>،</w:t>
      </w:r>
      <w:r w:rsidRPr="00995B26">
        <w:rPr>
          <w:rFonts w:ascii="Abo-thar" w:hAnsi="Abo-thar" w:hint="cs"/>
          <w:sz w:val="28"/>
          <w:rtl/>
          <w:lang w:bidi="ar-SY"/>
        </w:rPr>
        <w:t xml:space="preserve"> وذكرنا دعاء رسول الله</w:t>
      </w:r>
      <w:r w:rsidR="00147857" w:rsidRPr="00995B26">
        <w:rPr>
          <w:rFonts w:ascii="Abo-thar" w:hAnsi="Abo-thar" w:hint="cs"/>
          <w:sz w:val="28"/>
          <w:rtl/>
          <w:lang w:bidi="ar-SY"/>
        </w:rPr>
        <w:t xml:space="preserve"> </w:t>
      </w:r>
      <w:r w:rsidR="003C7AEB" w:rsidRPr="003C7AEB">
        <w:rPr>
          <w:rFonts w:ascii="Abo-thar" w:hAnsi="Abo-thar" w:cs="CTraditional Arabic"/>
          <w:sz w:val="28"/>
          <w:rtl/>
          <w:lang w:bidi="ar-SY"/>
        </w:rPr>
        <w:t>ص</w:t>
      </w:r>
      <w:r w:rsidR="00147857" w:rsidRPr="00995B26">
        <w:rPr>
          <w:rFonts w:ascii="Abo-thar" w:hAnsi="Abo-thar"/>
          <w:sz w:val="28"/>
          <w:rtl/>
          <w:lang w:bidi="ar-SY"/>
        </w:rPr>
        <w:t xml:space="preserve"> </w:t>
      </w:r>
      <w:r w:rsidRPr="00995B26">
        <w:rPr>
          <w:rFonts w:ascii="Abo-thar" w:hAnsi="Abo-thar" w:hint="cs"/>
          <w:sz w:val="28"/>
          <w:rtl/>
          <w:lang w:bidi="ar-SY"/>
        </w:rPr>
        <w:t>عند خروجه إلى بدر الذي يعكس تماماً حالة الفقر التي كان يعيشها أغلب المسلمين حيث دعا لهم قائلاً</w:t>
      </w:r>
      <w:r w:rsidR="00217AB4" w:rsidRPr="00995B26">
        <w:rPr>
          <w:rFonts w:ascii="Abo-thar" w:hAnsi="Abo-thar" w:hint="cs"/>
          <w:sz w:val="28"/>
          <w:rtl/>
          <w:lang w:bidi="ar-SY"/>
        </w:rPr>
        <w:t>:</w:t>
      </w:r>
      <w:r w:rsidRPr="00995B26">
        <w:rPr>
          <w:rFonts w:ascii="Abo-thar" w:hAnsi="Abo-thar" w:hint="cs"/>
          <w:sz w:val="28"/>
          <w:rtl/>
          <w:lang w:bidi="ar-SY"/>
        </w:rPr>
        <w:t xml:space="preserve"> </w:t>
      </w:r>
      <w:r w:rsidR="00EF2588" w:rsidRPr="00CE7623">
        <w:rPr>
          <w:rFonts w:ascii="Abo-thar" w:hAnsi="Abo-thar" w:cs="KFGQPC Uthman Taha Naskh" w:hint="cs"/>
          <w:sz w:val="28"/>
          <w:rtl/>
          <w:lang w:bidi="ar-SY"/>
        </w:rPr>
        <w:t>«</w:t>
      </w:r>
      <w:r w:rsidRPr="00CE7623">
        <w:rPr>
          <w:rFonts w:ascii="Abo-thar" w:hAnsi="Abo-thar" w:cs="KFGQPC Uthman Taha Naskh"/>
          <w:bCs/>
          <w:sz w:val="28"/>
          <w:rtl/>
          <w:lang w:bidi="ar-SY"/>
        </w:rPr>
        <w:t>اللهُمَّ إِنَّهُمْ حُفَاةٌ فَاحْمِلْهُمُ</w:t>
      </w:r>
      <w:r w:rsidR="00924698" w:rsidRPr="00CE7623">
        <w:rPr>
          <w:rFonts w:ascii="Abo-thar" w:hAnsi="Abo-thar" w:cs="KFGQPC Uthman Taha Naskh" w:hint="cs"/>
          <w:bCs/>
          <w:sz w:val="28"/>
          <w:rtl/>
          <w:lang w:bidi="ar-SY"/>
        </w:rPr>
        <w:t>،</w:t>
      </w:r>
      <w:r w:rsidRPr="00CE7623">
        <w:rPr>
          <w:rFonts w:ascii="Abo-thar" w:hAnsi="Abo-thar" w:cs="KFGQPC Uthman Taha Naskh"/>
          <w:bCs/>
          <w:sz w:val="28"/>
          <w:rtl/>
          <w:lang w:bidi="ar-SY"/>
        </w:rPr>
        <w:t xml:space="preserve"> اللهُمَّ إِنَّهُمْ عُرَاةٌ فَاكْسُهُمُ اللَّهِمَّ إِنَّهُمْ جِيَاعٌ فَأَشْبِعْهُمْ</w:t>
      </w:r>
      <w:r w:rsidR="00EF2588" w:rsidRPr="00CE7623">
        <w:rPr>
          <w:rFonts w:ascii="Abo-thar" w:hAnsi="Abo-thar" w:cs="KFGQPC Uthman Taha Naskh" w:hint="cs"/>
          <w:sz w:val="28"/>
          <w:rtl/>
          <w:lang w:bidi="ar-SY"/>
        </w:rPr>
        <w:t>»</w:t>
      </w:r>
      <w:r w:rsidR="00217AB4" w:rsidRPr="0021507A">
        <w:rPr>
          <w:rFonts w:cs="Arabic11 BT"/>
          <w:b/>
          <w:sz w:val="28"/>
          <w:vertAlign w:val="superscript"/>
          <w:rtl/>
          <w:lang w:bidi="ar-SY"/>
        </w:rPr>
        <w:t>(</w:t>
      </w:r>
      <w:r w:rsidRPr="0021507A">
        <w:rPr>
          <w:rStyle w:val="FootnoteReference"/>
          <w:rFonts w:cs="Arabic11 BT"/>
          <w:b/>
          <w:sz w:val="28"/>
          <w:rtl/>
          <w:lang w:bidi="ar-SY"/>
        </w:rPr>
        <w:footnoteReference w:id="66"/>
      </w:r>
      <w:r w:rsidR="00217AB4" w:rsidRPr="0021507A">
        <w:rPr>
          <w:rFonts w:cs="Arabic11 BT"/>
          <w:b/>
          <w:sz w:val="28"/>
          <w:vertAlign w:val="superscript"/>
          <w:rtl/>
          <w:lang w:bidi="ar-SY"/>
        </w:rPr>
        <w:t>)</w:t>
      </w:r>
      <w:r w:rsidR="00217AB4" w:rsidRPr="00995B26">
        <w:rPr>
          <w:rFonts w:ascii="Abo-thar" w:hAnsi="Abo-thar" w:hint="cs"/>
          <w:sz w:val="28"/>
          <w:rtl/>
          <w:lang w:bidi="ar-SY"/>
        </w:rPr>
        <w:t>.</w:t>
      </w:r>
    </w:p>
    <w:p w:rsidR="005C664D" w:rsidRPr="00F01069" w:rsidRDefault="005C664D" w:rsidP="003F3B94">
      <w:pPr>
        <w:pStyle w:val="a0"/>
        <w:rPr>
          <w:rFonts w:hint="cs"/>
          <w:spacing w:val="-2"/>
          <w:rtl/>
          <w:lang w:bidi="ar-SY"/>
        </w:rPr>
      </w:pPr>
      <w:r w:rsidRPr="00F01069">
        <w:rPr>
          <w:rFonts w:ascii="Abo-thar" w:hAnsi="Abo-thar" w:hint="cs"/>
          <w:spacing w:val="-2"/>
          <w:sz w:val="28"/>
          <w:rtl/>
          <w:lang w:bidi="ar-SY"/>
        </w:rPr>
        <w:t>فلم تكن الفتوحات قد حصلت بعد ولم يكن الإسلام قد اتسعت رقعته إلى خارج المدينة ولم ينزل الأمر بوجوب جباية أموال الزكاة إل</w:t>
      </w:r>
      <w:r w:rsidR="00924698" w:rsidRPr="00F01069">
        <w:rPr>
          <w:rFonts w:ascii="Abo-thar" w:hAnsi="Abo-thar" w:hint="cs"/>
          <w:spacing w:val="-2"/>
          <w:sz w:val="28"/>
          <w:rtl/>
          <w:lang w:bidi="ar-SY"/>
        </w:rPr>
        <w:t>ا</w:t>
      </w:r>
      <w:r w:rsidRPr="00F01069">
        <w:rPr>
          <w:rFonts w:ascii="Abo-thar" w:hAnsi="Abo-thar" w:hint="cs"/>
          <w:spacing w:val="-2"/>
          <w:sz w:val="28"/>
          <w:rtl/>
          <w:lang w:bidi="ar-SY"/>
        </w:rPr>
        <w:t xml:space="preserve"> بعد اتساع الإسلام فنزل قوله تعالى</w:t>
      </w:r>
      <w:r w:rsidR="00217AB4" w:rsidRPr="00F01069">
        <w:rPr>
          <w:rFonts w:ascii="Abo-thar" w:hAnsi="Abo-thar" w:hint="cs"/>
          <w:spacing w:val="-2"/>
          <w:sz w:val="28"/>
          <w:rtl/>
          <w:lang w:bidi="ar-SY"/>
        </w:rPr>
        <w:t>:</w:t>
      </w:r>
      <w:r w:rsidR="00685363" w:rsidRPr="00F01069">
        <w:rPr>
          <w:rFonts w:ascii="Abo-thar" w:hAnsi="Abo-thar" w:hint="cs"/>
          <w:spacing w:val="-2"/>
          <w:sz w:val="28"/>
          <w:rtl/>
          <w:lang w:bidi="ar-SY"/>
        </w:rPr>
        <w:t xml:space="preserve"> </w:t>
      </w:r>
      <w:r w:rsidR="00685363" w:rsidRPr="00F01069">
        <w:rPr>
          <w:rFonts w:ascii="Abo-thar" w:hAnsi="Abo-thar" w:cs="Traditional Arabic" w:hint="cs"/>
          <w:spacing w:val="-2"/>
          <w:sz w:val="28"/>
          <w:rtl/>
          <w:lang w:bidi="ar-SY"/>
        </w:rPr>
        <w:t>﴿</w:t>
      </w:r>
      <w:r w:rsidR="00685363" w:rsidRPr="00F01069">
        <w:rPr>
          <w:rStyle w:val="Char3"/>
          <w:rFonts w:hint="eastAsia"/>
          <w:spacing w:val="-2"/>
          <w:rtl/>
        </w:rPr>
        <w:t>خُذ</w:t>
      </w:r>
      <w:r w:rsidR="00685363" w:rsidRPr="00F01069">
        <w:rPr>
          <w:rStyle w:val="Char3"/>
          <w:rFonts w:hint="cs"/>
          <w:spacing w:val="-2"/>
          <w:rtl/>
        </w:rPr>
        <w:t>ۡ</w:t>
      </w:r>
      <w:r w:rsidR="00685363" w:rsidRPr="00F01069">
        <w:rPr>
          <w:rStyle w:val="Char3"/>
          <w:spacing w:val="-2"/>
          <w:rtl/>
        </w:rPr>
        <w:t xml:space="preserve"> </w:t>
      </w:r>
      <w:r w:rsidR="00685363" w:rsidRPr="00F01069">
        <w:rPr>
          <w:rStyle w:val="Char3"/>
          <w:rFonts w:hint="eastAsia"/>
          <w:spacing w:val="-2"/>
          <w:rtl/>
        </w:rPr>
        <w:t>مِن</w:t>
      </w:r>
      <w:r w:rsidR="00685363" w:rsidRPr="00F01069">
        <w:rPr>
          <w:rStyle w:val="Char3"/>
          <w:rFonts w:hint="cs"/>
          <w:spacing w:val="-2"/>
          <w:rtl/>
        </w:rPr>
        <w:t>ۡ</w:t>
      </w:r>
      <w:r w:rsidR="00685363" w:rsidRPr="00F01069">
        <w:rPr>
          <w:rStyle w:val="Char3"/>
          <w:spacing w:val="-2"/>
          <w:rtl/>
        </w:rPr>
        <w:t xml:space="preserve"> </w:t>
      </w:r>
      <w:r w:rsidR="00685363" w:rsidRPr="00F01069">
        <w:rPr>
          <w:rStyle w:val="Char3"/>
          <w:rFonts w:hint="eastAsia"/>
          <w:spacing w:val="-2"/>
          <w:rtl/>
        </w:rPr>
        <w:t>أَم</w:t>
      </w:r>
      <w:r w:rsidR="00685363" w:rsidRPr="00F01069">
        <w:rPr>
          <w:rStyle w:val="Char3"/>
          <w:rFonts w:hint="cs"/>
          <w:spacing w:val="-2"/>
          <w:rtl/>
        </w:rPr>
        <w:t>ۡ</w:t>
      </w:r>
      <w:r w:rsidR="00685363" w:rsidRPr="00F01069">
        <w:rPr>
          <w:rStyle w:val="Char3"/>
          <w:rFonts w:hint="eastAsia"/>
          <w:spacing w:val="-2"/>
          <w:rtl/>
        </w:rPr>
        <w:t>وَ</w:t>
      </w:r>
      <w:r w:rsidR="00685363" w:rsidRPr="00F01069">
        <w:rPr>
          <w:rStyle w:val="Char3"/>
          <w:rFonts w:hint="cs"/>
          <w:spacing w:val="-2"/>
          <w:rtl/>
        </w:rPr>
        <w:t>ٰ</w:t>
      </w:r>
      <w:r w:rsidR="00685363" w:rsidRPr="00F01069">
        <w:rPr>
          <w:rStyle w:val="Char3"/>
          <w:rFonts w:hint="eastAsia"/>
          <w:spacing w:val="-2"/>
          <w:rtl/>
        </w:rPr>
        <w:t>لِهِم</w:t>
      </w:r>
      <w:r w:rsidR="00685363" w:rsidRPr="00F01069">
        <w:rPr>
          <w:rStyle w:val="Char3"/>
          <w:rFonts w:hint="cs"/>
          <w:spacing w:val="-2"/>
          <w:rtl/>
        </w:rPr>
        <w:t>ۡ</w:t>
      </w:r>
      <w:r w:rsidR="00685363" w:rsidRPr="00F01069">
        <w:rPr>
          <w:rStyle w:val="Char3"/>
          <w:spacing w:val="-2"/>
          <w:rtl/>
        </w:rPr>
        <w:t xml:space="preserve"> </w:t>
      </w:r>
      <w:r w:rsidR="00685363" w:rsidRPr="00F01069">
        <w:rPr>
          <w:rStyle w:val="Char3"/>
          <w:rFonts w:hint="eastAsia"/>
          <w:spacing w:val="-2"/>
          <w:rtl/>
        </w:rPr>
        <w:t>صَدَقَة</w:t>
      </w:r>
      <w:r w:rsidR="00685363" w:rsidRPr="00F01069">
        <w:rPr>
          <w:rStyle w:val="Char3"/>
          <w:rFonts w:hint="cs"/>
          <w:spacing w:val="-2"/>
          <w:rtl/>
        </w:rPr>
        <w:t>ٗ</w:t>
      </w:r>
      <w:r w:rsidR="00685363" w:rsidRPr="00F01069">
        <w:rPr>
          <w:rFonts w:ascii="Abo-thar" w:hAnsi="Abo-thar" w:cs="Traditional Arabic" w:hint="cs"/>
          <w:spacing w:val="-2"/>
          <w:sz w:val="28"/>
          <w:rtl/>
          <w:lang w:bidi="ar-SY"/>
        </w:rPr>
        <w:t>﴾</w:t>
      </w:r>
      <w:r w:rsidR="00147857" w:rsidRPr="00F01069">
        <w:rPr>
          <w:rFonts w:ascii="Abo-thar" w:hAnsi="Abo-thar" w:hint="cs"/>
          <w:spacing w:val="-2"/>
          <w:sz w:val="28"/>
          <w:rtl/>
          <w:lang w:bidi="ar-SY"/>
        </w:rPr>
        <w:t xml:space="preserve"> </w:t>
      </w:r>
      <w:r w:rsidRPr="00F01069">
        <w:rPr>
          <w:rStyle w:val="Char2"/>
          <w:spacing w:val="-2"/>
          <w:rtl/>
        </w:rPr>
        <w:t>[التوبة</w:t>
      </w:r>
      <w:r w:rsidR="00685363" w:rsidRPr="00F01069">
        <w:rPr>
          <w:rStyle w:val="Char2"/>
          <w:rFonts w:hint="cs"/>
          <w:spacing w:val="-2"/>
          <w:rtl/>
        </w:rPr>
        <w:t xml:space="preserve">: </w:t>
      </w:r>
      <w:r w:rsidRPr="00F01069">
        <w:rPr>
          <w:rStyle w:val="Char2"/>
          <w:spacing w:val="-2"/>
          <w:rtl/>
        </w:rPr>
        <w:t>103]</w:t>
      </w:r>
      <w:r w:rsidR="00217AB4" w:rsidRPr="00F01069">
        <w:rPr>
          <w:rFonts w:ascii="Abo-thar" w:hAnsi="Abo-thar" w:hint="cs"/>
          <w:spacing w:val="-2"/>
          <w:sz w:val="28"/>
          <w:rtl/>
          <w:lang w:bidi="ar-SY"/>
        </w:rPr>
        <w:t>،</w:t>
      </w:r>
      <w:r w:rsidRPr="00F01069">
        <w:rPr>
          <w:rFonts w:ascii="Abo-thar" w:hAnsi="Abo-thar" w:hint="cs"/>
          <w:spacing w:val="-2"/>
          <w:sz w:val="28"/>
          <w:rtl/>
          <w:lang w:bidi="ar-SY"/>
        </w:rPr>
        <w:t xml:space="preserve"> رغم أن الأمر بأداء الزكاة والصدقات قد نزل في مرحلة سابقة في مكة إلا أنه لم يتم تطبيق ذلك الأمر عملياً</w:t>
      </w:r>
      <w:r w:rsidR="00217AB4" w:rsidRPr="00F01069">
        <w:rPr>
          <w:rFonts w:ascii="Abo-thar" w:hAnsi="Abo-thar" w:hint="cs"/>
          <w:spacing w:val="-2"/>
          <w:sz w:val="28"/>
          <w:rtl/>
          <w:lang w:bidi="ar-SY"/>
        </w:rPr>
        <w:t>،</w:t>
      </w:r>
      <w:r w:rsidRPr="00F01069">
        <w:rPr>
          <w:rFonts w:ascii="Abo-thar" w:hAnsi="Abo-thar" w:hint="cs"/>
          <w:spacing w:val="-2"/>
          <w:sz w:val="28"/>
          <w:rtl/>
          <w:lang w:bidi="ar-SY"/>
        </w:rPr>
        <w:t xml:space="preserve"> وطبقاً لما تصرِّح به التواريخ والأحاديث الصحيحة أُمِرَ رسول الله</w:t>
      </w:r>
      <w:r w:rsidR="00147857" w:rsidRPr="00F01069">
        <w:rPr>
          <w:rFonts w:ascii="Abo-thar" w:hAnsi="Abo-thar" w:hint="cs"/>
          <w:spacing w:val="-2"/>
          <w:sz w:val="28"/>
          <w:rtl/>
          <w:lang w:bidi="ar-SY"/>
        </w:rPr>
        <w:t xml:space="preserve"> </w:t>
      </w:r>
      <w:r w:rsidR="003C7AEB" w:rsidRPr="00F01069">
        <w:rPr>
          <w:rFonts w:ascii="Abo-thar" w:hAnsi="Abo-thar" w:cs="CTraditional Arabic"/>
          <w:spacing w:val="-2"/>
          <w:sz w:val="28"/>
          <w:rtl/>
          <w:lang w:bidi="ar-SY"/>
        </w:rPr>
        <w:t>ص</w:t>
      </w:r>
      <w:r w:rsidR="00147857" w:rsidRPr="00F01069">
        <w:rPr>
          <w:rFonts w:ascii="Abo-thar" w:hAnsi="Abo-thar"/>
          <w:spacing w:val="-2"/>
          <w:sz w:val="28"/>
          <w:rtl/>
          <w:lang w:bidi="ar-SY"/>
        </w:rPr>
        <w:t xml:space="preserve"> </w:t>
      </w:r>
      <w:r w:rsidRPr="00F01069">
        <w:rPr>
          <w:rFonts w:ascii="Abo-thar" w:hAnsi="Abo-thar" w:hint="cs"/>
          <w:spacing w:val="-2"/>
          <w:sz w:val="28"/>
          <w:rtl/>
          <w:lang w:bidi="ar-SY"/>
        </w:rPr>
        <w:t>في السنة التاسعة أو العاشرة للهجرة بأخذ الزكاة فأرسل موظفيه وعماله إلى أنحاء القبائل والبلاد لجباية زكاة الأموال [من الأغنياء وردها على الفقراء وسائر المصارف]</w:t>
      </w:r>
      <w:r w:rsidR="00217AB4" w:rsidRPr="00F01069">
        <w:rPr>
          <w:rFonts w:ascii="Abo-thar" w:hAnsi="Abo-thar" w:hint="cs"/>
          <w:spacing w:val="-2"/>
          <w:sz w:val="28"/>
          <w:rtl/>
          <w:lang w:bidi="ar-SY"/>
        </w:rPr>
        <w:t>.</w:t>
      </w:r>
    </w:p>
    <w:p w:rsidR="005C664D" w:rsidRPr="00F01069" w:rsidRDefault="005C664D" w:rsidP="003F3B94">
      <w:pPr>
        <w:pStyle w:val="a0"/>
        <w:rPr>
          <w:rFonts w:hint="cs"/>
          <w:spacing w:val="-2"/>
          <w:rtl/>
          <w:lang w:bidi="ar-SY"/>
        </w:rPr>
      </w:pPr>
      <w:r w:rsidRPr="00F01069">
        <w:rPr>
          <w:rFonts w:ascii="Abo-thar" w:hAnsi="Abo-thar" w:hint="cs"/>
          <w:spacing w:val="-2"/>
          <w:sz w:val="28"/>
          <w:rtl/>
          <w:lang w:bidi="ar-SY"/>
        </w:rPr>
        <w:t>ب</w:t>
      </w:r>
      <w:r w:rsidR="00217AB4" w:rsidRPr="00F01069">
        <w:rPr>
          <w:rFonts w:ascii="Abo-thar" w:hAnsi="Abo-thar" w:hint="cs"/>
          <w:spacing w:val="-2"/>
          <w:sz w:val="28"/>
          <w:rtl/>
          <w:lang w:bidi="ar-SY"/>
        </w:rPr>
        <w:t>-</w:t>
      </w:r>
      <w:r w:rsidRPr="00F01069">
        <w:rPr>
          <w:rFonts w:ascii="Abo-thar" w:hAnsi="Abo-thar" w:hint="cs"/>
          <w:spacing w:val="-2"/>
          <w:sz w:val="28"/>
          <w:rtl/>
          <w:lang w:bidi="ar-SY"/>
        </w:rPr>
        <w:t xml:space="preserve"> من البديهي أن الذين كانوا يستشهدون في ميادين القتال كان لهم زوجات وأولاد وقد قام رسول الله</w:t>
      </w:r>
      <w:r w:rsidR="00147857" w:rsidRPr="00F01069">
        <w:rPr>
          <w:rFonts w:ascii="Abo-thar" w:hAnsi="Abo-thar" w:hint="cs"/>
          <w:spacing w:val="-2"/>
          <w:sz w:val="28"/>
          <w:rtl/>
          <w:lang w:bidi="ar-SY"/>
        </w:rPr>
        <w:t xml:space="preserve"> </w:t>
      </w:r>
      <w:r w:rsidR="003C7AEB" w:rsidRPr="00F01069">
        <w:rPr>
          <w:rFonts w:ascii="Abo-thar" w:hAnsi="Abo-thar" w:cs="CTraditional Arabic"/>
          <w:spacing w:val="-2"/>
          <w:sz w:val="28"/>
          <w:rtl/>
          <w:lang w:bidi="ar-SY"/>
        </w:rPr>
        <w:t>ص</w:t>
      </w:r>
      <w:r w:rsidR="00147857" w:rsidRPr="00F01069">
        <w:rPr>
          <w:rFonts w:ascii="Abo-thar" w:hAnsi="Abo-thar"/>
          <w:spacing w:val="-2"/>
          <w:sz w:val="28"/>
          <w:rtl/>
          <w:lang w:bidi="ar-SY"/>
        </w:rPr>
        <w:t xml:space="preserve"> </w:t>
      </w:r>
      <w:r w:rsidR="00217AB4" w:rsidRPr="00F01069">
        <w:rPr>
          <w:rFonts w:ascii="Abo-thar" w:hAnsi="Abo-thar" w:hint="cs"/>
          <w:spacing w:val="-2"/>
          <w:sz w:val="28"/>
          <w:rtl/>
          <w:lang w:bidi="ar-SY"/>
        </w:rPr>
        <w:t>-</w:t>
      </w:r>
      <w:r w:rsidRPr="00F01069">
        <w:rPr>
          <w:rFonts w:ascii="Abo-thar" w:hAnsi="Abo-thar" w:hint="cs"/>
          <w:spacing w:val="-2"/>
          <w:sz w:val="28"/>
          <w:rtl/>
          <w:lang w:bidi="ar-SY"/>
        </w:rPr>
        <w:t xml:space="preserve"> طبقاً لعدد من الروايات </w:t>
      </w:r>
      <w:r w:rsidRPr="00F01069">
        <w:rPr>
          <w:rFonts w:cs="Times New Roman" w:hint="cs"/>
          <w:spacing w:val="-2"/>
          <w:sz w:val="28"/>
          <w:rtl/>
          <w:lang w:bidi="ar-SY"/>
        </w:rPr>
        <w:t>–</w:t>
      </w:r>
      <w:r w:rsidRPr="00F01069">
        <w:rPr>
          <w:rFonts w:ascii="Abo-thar" w:hAnsi="Abo-thar" w:hint="cs"/>
          <w:spacing w:val="-2"/>
          <w:sz w:val="28"/>
          <w:rtl/>
          <w:lang w:bidi="ar-SY"/>
        </w:rPr>
        <w:t xml:space="preserve"> </w:t>
      </w:r>
      <w:r w:rsidRPr="00F01069">
        <w:rPr>
          <w:rFonts w:ascii="mylotus" w:hAnsi="mylotus" w:hint="cs"/>
          <w:spacing w:val="-2"/>
          <w:sz w:val="28"/>
          <w:rtl/>
          <w:lang w:bidi="ar-SY"/>
        </w:rPr>
        <w:t>بتعيين</w:t>
      </w:r>
      <w:r w:rsidRPr="00F01069">
        <w:rPr>
          <w:rFonts w:ascii="Abo-thar" w:hAnsi="Abo-thar" w:hint="cs"/>
          <w:spacing w:val="-2"/>
          <w:sz w:val="28"/>
          <w:rtl/>
          <w:lang w:bidi="ar-SY"/>
        </w:rPr>
        <w:t xml:space="preserve"> </w:t>
      </w:r>
      <w:r w:rsidRPr="00F01069">
        <w:rPr>
          <w:rFonts w:ascii="mylotus" w:hAnsi="mylotus" w:hint="cs"/>
          <w:spacing w:val="-2"/>
          <w:sz w:val="28"/>
          <w:rtl/>
          <w:lang w:bidi="ar-SY"/>
        </w:rPr>
        <w:t>سه</w:t>
      </w:r>
      <w:r w:rsidRPr="00F01069">
        <w:rPr>
          <w:rFonts w:ascii="Abo-thar" w:hAnsi="Abo-thar" w:hint="cs"/>
          <w:spacing w:val="-2"/>
          <w:sz w:val="28"/>
          <w:rtl/>
          <w:lang w:bidi="ar-SY"/>
        </w:rPr>
        <w:t>م مقرر من بيت المال لعوائل الشهداء</w:t>
      </w:r>
      <w:r w:rsidR="00217AB4" w:rsidRPr="00F01069">
        <w:rPr>
          <w:rFonts w:ascii="Abo-thar" w:hAnsi="Abo-thar" w:hint="cs"/>
          <w:spacing w:val="-2"/>
          <w:sz w:val="28"/>
          <w:rtl/>
          <w:lang w:bidi="ar-SY"/>
        </w:rPr>
        <w:t>،</w:t>
      </w:r>
      <w:r w:rsidRPr="00F01069">
        <w:rPr>
          <w:rFonts w:ascii="Abo-thar" w:hAnsi="Abo-thar" w:hint="cs"/>
          <w:spacing w:val="-2"/>
          <w:sz w:val="28"/>
          <w:rtl/>
          <w:lang w:bidi="ar-SY"/>
        </w:rPr>
        <w:t xml:space="preserve"> كما يروي الواقدي</w:t>
      </w:r>
      <w:r w:rsidR="009127B5" w:rsidRPr="00F01069">
        <w:rPr>
          <w:rFonts w:ascii="Abo-thar" w:hAnsi="Abo-thar" w:hint="cs"/>
          <w:spacing w:val="-2"/>
          <w:sz w:val="28"/>
          <w:rtl/>
          <w:lang w:bidi="ar-SY"/>
        </w:rPr>
        <w:t>:</w:t>
      </w:r>
      <w:r w:rsidRPr="00F01069">
        <w:rPr>
          <w:rFonts w:ascii="Abo-thar" w:hAnsi="Abo-thar" w:hint="cs"/>
          <w:spacing w:val="-2"/>
          <w:sz w:val="28"/>
          <w:rtl/>
          <w:lang w:bidi="ar-SY"/>
        </w:rPr>
        <w:t xml:space="preserve"> </w:t>
      </w:r>
      <w:r w:rsidR="00EF2588" w:rsidRPr="00F01069">
        <w:rPr>
          <w:rFonts w:ascii="Abo-thar" w:hAnsi="Abo-thar" w:cs="KFGQPC Uthman Taha Naskh" w:hint="cs"/>
          <w:spacing w:val="-2"/>
          <w:sz w:val="28"/>
          <w:rtl/>
          <w:lang w:bidi="ar-SY"/>
        </w:rPr>
        <w:t>«</w:t>
      </w:r>
      <w:r w:rsidRPr="00F01069">
        <w:rPr>
          <w:rFonts w:ascii="Abo-thar" w:hAnsi="Abo-thar" w:cs="KFGQPC Uthman Taha Naskh"/>
          <w:b/>
          <w:bCs/>
          <w:spacing w:val="-2"/>
          <w:sz w:val="28"/>
          <w:rtl/>
          <w:lang w:bidi="ar-SY"/>
        </w:rPr>
        <w:t>أَنّ رَسُولَ اللهِ</w:t>
      </w:r>
      <w:r w:rsidR="005C53D5" w:rsidRPr="00F01069">
        <w:rPr>
          <w:rFonts w:ascii="Abo-thar" w:hAnsi="Abo-thar" w:cs="KFGQPC Uthman Taha Naskh"/>
          <w:b/>
          <w:bCs/>
          <w:spacing w:val="-2"/>
          <w:sz w:val="28"/>
          <w:rtl/>
          <w:lang w:bidi="ar-SY"/>
        </w:rPr>
        <w:t xml:space="preserve"> </w:t>
      </w:r>
      <w:r w:rsidR="003C7AEB" w:rsidRPr="00F01069">
        <w:rPr>
          <w:rFonts w:cs="CTraditional Arabic"/>
          <w:b/>
          <w:spacing w:val="-2"/>
          <w:sz w:val="28"/>
          <w:rtl/>
          <w:lang w:bidi="ar-SY"/>
        </w:rPr>
        <w:t>ص</w:t>
      </w:r>
      <w:r w:rsidR="005C53D5" w:rsidRPr="00F01069">
        <w:rPr>
          <w:rFonts w:cs="KFGQPC Uthman Taha Naskh"/>
          <w:b/>
          <w:bCs/>
          <w:spacing w:val="-2"/>
          <w:sz w:val="28"/>
          <w:rtl/>
          <w:lang w:bidi="ar-SY"/>
        </w:rPr>
        <w:t xml:space="preserve"> </w:t>
      </w:r>
      <w:r w:rsidRPr="00F01069">
        <w:rPr>
          <w:rFonts w:ascii="Abo-thar" w:hAnsi="Abo-thar" w:cs="KFGQPC Uthman Taha Naskh"/>
          <w:b/>
          <w:bCs/>
          <w:spacing w:val="-2"/>
          <w:sz w:val="28"/>
          <w:rtl/>
          <w:lang w:bidi="ar-SY"/>
        </w:rPr>
        <w:t>ضَرَبَ</w:t>
      </w:r>
      <w:r w:rsidRPr="00F01069">
        <w:rPr>
          <w:rFonts w:ascii="Abo-thar" w:hAnsi="Abo-thar" w:cs="KFGQPC Uthman Taha Naskh" w:hint="cs"/>
          <w:b/>
          <w:bCs/>
          <w:spacing w:val="-2"/>
          <w:sz w:val="28"/>
          <w:rtl/>
          <w:lang w:bidi="ar-SY"/>
        </w:rPr>
        <w:t xml:space="preserve"> [بسهم من الغنائم]</w:t>
      </w:r>
      <w:r w:rsidRPr="00F01069">
        <w:rPr>
          <w:rFonts w:ascii="Abo-thar" w:hAnsi="Abo-thar" w:cs="KFGQPC Uthman Taha Naskh"/>
          <w:b/>
          <w:bCs/>
          <w:spacing w:val="-2"/>
          <w:sz w:val="28"/>
          <w:rtl/>
          <w:lang w:bidi="ar-SY"/>
        </w:rPr>
        <w:t xml:space="preserve"> لِقَتْلَى بَدْرٍ</w:t>
      </w:r>
      <w:r w:rsidR="00217AB4" w:rsidRPr="00F01069">
        <w:rPr>
          <w:rFonts w:ascii="Abo-thar" w:hAnsi="Abo-thar" w:cs="KFGQPC Uthman Taha Naskh"/>
          <w:b/>
          <w:bCs/>
          <w:spacing w:val="-2"/>
          <w:sz w:val="28"/>
          <w:rtl/>
          <w:lang w:bidi="ar-SY"/>
        </w:rPr>
        <w:t>،</w:t>
      </w:r>
      <w:r w:rsidRPr="00F01069">
        <w:rPr>
          <w:rFonts w:ascii="Abo-thar" w:hAnsi="Abo-thar" w:cs="KFGQPC Uthman Taha Naskh"/>
          <w:b/>
          <w:bCs/>
          <w:spacing w:val="-2"/>
          <w:sz w:val="28"/>
          <w:rtl/>
          <w:lang w:bidi="ar-SY"/>
        </w:rPr>
        <w:t xml:space="preserve"> أَرْبَعَةَ عَشَرَ رَجُلًا قُتِلُوا بِبَدْرٍ</w:t>
      </w:r>
      <w:r w:rsidR="00217AB4" w:rsidRPr="00F01069">
        <w:rPr>
          <w:rFonts w:ascii="Abo-thar" w:hAnsi="Abo-thar" w:cs="KFGQPC Uthman Taha Naskh"/>
          <w:b/>
          <w:bCs/>
          <w:spacing w:val="-2"/>
          <w:sz w:val="28"/>
          <w:rtl/>
          <w:lang w:bidi="ar-SY"/>
        </w:rPr>
        <w:t>.</w:t>
      </w:r>
      <w:r w:rsidRPr="00F01069">
        <w:rPr>
          <w:rFonts w:ascii="Abo-thar" w:hAnsi="Abo-thar" w:cs="KFGQPC Uthman Taha Naskh"/>
          <w:b/>
          <w:bCs/>
          <w:spacing w:val="-2"/>
          <w:sz w:val="28"/>
          <w:rtl/>
          <w:lang w:bidi="ar-SY"/>
        </w:rPr>
        <w:t xml:space="preserve"> قَالَ زَيْدُ بْنُ طَلْحَةَ حَدّثَنِي عَبْدُ اللهِ بْنُ سَعْدِ بْنِ خَيْثَمَةَ قَالَ</w:t>
      </w:r>
      <w:r w:rsidR="009127B5" w:rsidRPr="00F01069">
        <w:rPr>
          <w:rFonts w:ascii="Abo-thar" w:hAnsi="Abo-thar" w:cs="KFGQPC Uthman Taha Naskh" w:hint="cs"/>
          <w:b/>
          <w:bCs/>
          <w:spacing w:val="-2"/>
          <w:sz w:val="28"/>
          <w:rtl/>
          <w:lang w:bidi="ar-SY"/>
        </w:rPr>
        <w:t>:</w:t>
      </w:r>
      <w:r w:rsidRPr="00F01069">
        <w:rPr>
          <w:rFonts w:ascii="Abo-thar" w:hAnsi="Abo-thar" w:cs="KFGQPC Uthman Taha Naskh"/>
          <w:b/>
          <w:bCs/>
          <w:spacing w:val="-2"/>
          <w:sz w:val="28"/>
          <w:rtl/>
          <w:lang w:bidi="ar-SY"/>
        </w:rPr>
        <w:t xml:space="preserve"> أَخَذْنَا سَهْمَ أَبِي الّذِي ضَرَبَ لَهُ رَسُولُ اللهِ</w:t>
      </w:r>
      <w:r w:rsidR="005C53D5" w:rsidRPr="00F01069">
        <w:rPr>
          <w:rFonts w:ascii="Abo-thar" w:hAnsi="Abo-thar" w:cs="KFGQPC Uthman Taha Naskh"/>
          <w:b/>
          <w:bCs/>
          <w:spacing w:val="-2"/>
          <w:sz w:val="28"/>
          <w:rtl/>
          <w:lang w:bidi="ar-SY"/>
        </w:rPr>
        <w:t xml:space="preserve"> </w:t>
      </w:r>
      <w:r w:rsidR="00BC4BA9" w:rsidRPr="00F01069">
        <w:rPr>
          <w:rFonts w:cs="CTraditional Arabic"/>
          <w:b/>
          <w:spacing w:val="-2"/>
          <w:sz w:val="28"/>
          <w:rtl/>
          <w:lang w:bidi="ar-SY"/>
        </w:rPr>
        <w:t>ص</w:t>
      </w:r>
      <w:r w:rsidR="005C53D5" w:rsidRPr="00F01069">
        <w:rPr>
          <w:rFonts w:cs="KFGQPC Uthman Taha Naskh"/>
          <w:b/>
          <w:bCs/>
          <w:spacing w:val="-2"/>
          <w:sz w:val="28"/>
          <w:rtl/>
          <w:lang w:bidi="ar-SY"/>
        </w:rPr>
        <w:t xml:space="preserve"> </w:t>
      </w:r>
      <w:r w:rsidRPr="00F01069">
        <w:rPr>
          <w:rFonts w:ascii="Abo-thar" w:hAnsi="Abo-thar" w:cs="KFGQPC Uthman Taha Naskh"/>
          <w:b/>
          <w:bCs/>
          <w:spacing w:val="-2"/>
          <w:sz w:val="28"/>
          <w:rtl/>
          <w:lang w:bidi="ar-SY"/>
        </w:rPr>
        <w:t>حِينَ قَسَمَ الْغَنَائِمَ وَحَمَلَهُ إلَيْنَا عُوَيْمُ بْنُ سَاعِدَةَ</w:t>
      </w:r>
      <w:r w:rsidR="00EF2588" w:rsidRPr="00F01069">
        <w:rPr>
          <w:rFonts w:ascii="Abo-thar" w:hAnsi="Abo-thar" w:cs="KFGQPC Uthman Taha Naskh" w:hint="cs"/>
          <w:spacing w:val="-2"/>
          <w:sz w:val="28"/>
          <w:rtl/>
          <w:lang w:bidi="ar-SY"/>
        </w:rPr>
        <w:t>»</w:t>
      </w:r>
      <w:r w:rsidR="00924698" w:rsidRPr="00F01069">
        <w:rPr>
          <w:rFonts w:ascii="Abo-thar" w:hAnsi="Abo-thar" w:cs="Arabic11 BT"/>
          <w:spacing w:val="-2"/>
          <w:sz w:val="28"/>
          <w:vertAlign w:val="superscript"/>
          <w:rtl/>
          <w:lang w:bidi="ar-SY"/>
        </w:rPr>
        <w:t>(</w:t>
      </w:r>
      <w:r w:rsidR="00924698" w:rsidRPr="00F01069">
        <w:rPr>
          <w:rStyle w:val="FootnoteReference"/>
          <w:rFonts w:ascii="Abo-thar" w:hAnsi="Abo-thar" w:cs="Arabic11 BT"/>
          <w:spacing w:val="-2"/>
          <w:sz w:val="28"/>
          <w:rtl/>
          <w:lang w:bidi="ar-SY"/>
        </w:rPr>
        <w:footnoteReference w:id="67"/>
      </w:r>
      <w:r w:rsidR="00924698" w:rsidRPr="00F01069">
        <w:rPr>
          <w:rFonts w:ascii="Abo-thar" w:hAnsi="Abo-thar" w:cs="Arabic11 BT"/>
          <w:spacing w:val="-2"/>
          <w:sz w:val="28"/>
          <w:vertAlign w:val="superscript"/>
          <w:rtl/>
          <w:lang w:bidi="ar-SY"/>
        </w:rPr>
        <w:t>)</w:t>
      </w:r>
      <w:r w:rsidR="00217AB4" w:rsidRPr="00F01069">
        <w:rPr>
          <w:rFonts w:ascii="Abo-thar" w:hAnsi="Abo-thar" w:hint="cs"/>
          <w:spacing w:val="-2"/>
          <w:sz w:val="28"/>
          <w:rtl/>
          <w:lang w:bidi="ar-SY"/>
        </w:rPr>
        <w:t>.</w:t>
      </w:r>
      <w:r w:rsidRPr="00F01069">
        <w:rPr>
          <w:rFonts w:ascii="Abo-thar" w:hAnsi="Abo-thar" w:hint="cs"/>
          <w:spacing w:val="-2"/>
          <w:sz w:val="28"/>
          <w:rtl/>
          <w:lang w:bidi="ar-SY"/>
        </w:rPr>
        <w:t xml:space="preserve"> </w:t>
      </w:r>
    </w:p>
    <w:p w:rsidR="005C664D" w:rsidRPr="003F3B94" w:rsidRDefault="005C664D" w:rsidP="003F3B94">
      <w:pPr>
        <w:pStyle w:val="a0"/>
        <w:rPr>
          <w:rFonts w:hint="cs"/>
          <w:rtl/>
          <w:lang w:bidi="ar-SY"/>
        </w:rPr>
      </w:pPr>
      <w:r w:rsidRPr="003F3B94">
        <w:rPr>
          <w:rFonts w:ascii="Abo-thar" w:hAnsi="Abo-thar" w:hint="cs"/>
          <w:sz w:val="28"/>
          <w:rtl/>
          <w:lang w:bidi="ar-SY"/>
        </w:rPr>
        <w:t>ومع ذلك فإن بعض المسلمين لم ين</w:t>
      </w:r>
      <w:r w:rsidR="009127B5" w:rsidRPr="003F3B94">
        <w:rPr>
          <w:rFonts w:ascii="Abo-thar" w:hAnsi="Abo-thar" w:hint="cs"/>
          <w:sz w:val="28"/>
          <w:rtl/>
          <w:lang w:bidi="ar-SY"/>
        </w:rPr>
        <w:t>َ</w:t>
      </w:r>
      <w:r w:rsidRPr="003F3B94">
        <w:rPr>
          <w:rFonts w:ascii="Abo-thar" w:hAnsi="Abo-thar" w:hint="cs"/>
          <w:sz w:val="28"/>
          <w:rtl/>
          <w:lang w:bidi="ar-SY"/>
        </w:rPr>
        <w:t>ل</w:t>
      </w:r>
      <w:r w:rsidR="009127B5" w:rsidRPr="003F3B94">
        <w:rPr>
          <w:rFonts w:ascii="Abo-thar" w:hAnsi="Abo-thar" w:hint="cs"/>
          <w:sz w:val="28"/>
          <w:rtl/>
          <w:lang w:bidi="ar-SY"/>
        </w:rPr>
        <w:t>ْ</w:t>
      </w:r>
      <w:r w:rsidRPr="003F3B94">
        <w:rPr>
          <w:rFonts w:ascii="Abo-thar" w:hAnsi="Abo-thar" w:hint="cs"/>
          <w:sz w:val="28"/>
          <w:rtl/>
          <w:lang w:bidi="ar-SY"/>
        </w:rPr>
        <w:t>ه</w:t>
      </w:r>
      <w:r w:rsidR="009127B5" w:rsidRPr="003F3B94">
        <w:rPr>
          <w:rFonts w:ascii="Abo-thar" w:hAnsi="Abo-thar" w:hint="cs"/>
          <w:sz w:val="28"/>
          <w:rtl/>
          <w:lang w:bidi="ar-SY"/>
        </w:rPr>
        <w:t>ُ</w:t>
      </w:r>
      <w:r w:rsidRPr="003F3B94">
        <w:rPr>
          <w:rFonts w:ascii="Abo-thar" w:hAnsi="Abo-thar" w:hint="cs"/>
          <w:sz w:val="28"/>
          <w:rtl/>
          <w:lang w:bidi="ar-SY"/>
        </w:rPr>
        <w:t>م هذا النصيب</w:t>
      </w:r>
      <w:r w:rsidR="00217AB4" w:rsidRPr="003F3B94">
        <w:rPr>
          <w:rFonts w:ascii="Abo-thar" w:hAnsi="Abo-thar" w:hint="cs"/>
          <w:sz w:val="28"/>
          <w:rtl/>
          <w:lang w:bidi="ar-SY"/>
        </w:rPr>
        <w:t>.</w:t>
      </w:r>
      <w:r w:rsidRPr="003F3B94">
        <w:rPr>
          <w:rFonts w:ascii="Abo-thar" w:hAnsi="Abo-thar" w:hint="cs"/>
          <w:sz w:val="28"/>
          <w:rtl/>
          <w:lang w:bidi="ar-SY"/>
        </w:rPr>
        <w:t xml:space="preserve"> وعلى كل حال كان هناك أيتام وكان أكثرهم فقراء بالطبع إذ فقدوا من يعيلهم</w:t>
      </w:r>
      <w:r w:rsidR="00217AB4" w:rsidRPr="003F3B94">
        <w:rPr>
          <w:rFonts w:ascii="Abo-thar" w:hAnsi="Abo-thar" w:hint="cs"/>
          <w:sz w:val="28"/>
          <w:rtl/>
          <w:lang w:bidi="ar-SY"/>
        </w:rPr>
        <w:t>،</w:t>
      </w:r>
      <w:r w:rsidRPr="003F3B94">
        <w:rPr>
          <w:rFonts w:ascii="Abo-thar" w:hAnsi="Abo-thar" w:hint="cs"/>
          <w:sz w:val="28"/>
          <w:rtl/>
          <w:lang w:bidi="ar-SY"/>
        </w:rPr>
        <w:t xml:space="preserve"> كما كان كثير من المسلمين فقراء ومحرومين وما كانوا يستطيعون الحضور في ميادين القتال ربما بسبب كبر سنهم أو فقرهم</w:t>
      </w:r>
      <w:r w:rsidR="00217AB4" w:rsidRPr="003F3B94">
        <w:rPr>
          <w:rFonts w:ascii="Abo-thar" w:hAnsi="Abo-thar" w:hint="cs"/>
          <w:sz w:val="28"/>
          <w:rtl/>
          <w:lang w:bidi="ar-SY"/>
        </w:rPr>
        <w:t>،</w:t>
      </w:r>
      <w:r w:rsidRPr="003F3B94">
        <w:rPr>
          <w:rFonts w:ascii="Abo-thar" w:hAnsi="Abo-thar" w:hint="cs"/>
          <w:sz w:val="28"/>
          <w:rtl/>
          <w:lang w:bidi="ar-SY"/>
        </w:rPr>
        <w:t xml:space="preserve"> كما تعكس ذلك بعض آيات القرآن كقوله تعالى في سورة التوبة</w:t>
      </w:r>
      <w:r w:rsidR="00217AB4" w:rsidRPr="003F3B94">
        <w:rPr>
          <w:rFonts w:ascii="Abo-thar" w:hAnsi="Abo-thar" w:hint="cs"/>
          <w:sz w:val="28"/>
          <w:rtl/>
          <w:lang w:bidi="ar-SY"/>
        </w:rPr>
        <w:t>:</w:t>
      </w:r>
      <w:r w:rsidR="00147857" w:rsidRPr="003F3B94">
        <w:rPr>
          <w:rFonts w:ascii="Abo-thar" w:hAnsi="Abo-thar" w:hint="cs"/>
          <w:sz w:val="28"/>
          <w:rtl/>
          <w:lang w:bidi="ar-SY"/>
        </w:rPr>
        <w:t xml:space="preserve"> </w:t>
      </w:r>
    </w:p>
    <w:p w:rsidR="005C664D" w:rsidRPr="003F3B94" w:rsidRDefault="00685363" w:rsidP="0067048A">
      <w:pPr>
        <w:pStyle w:val="a0"/>
        <w:ind w:left="284" w:firstLine="0"/>
        <w:rPr>
          <w:rFonts w:hint="cs"/>
          <w:rtl/>
          <w:lang w:bidi="ar-SY"/>
        </w:rPr>
      </w:pPr>
      <w:r w:rsidRPr="00995B26">
        <w:rPr>
          <w:rFonts w:ascii="KFGQPC Uthmanic Script HAFS" w:cs="Traditional Arabic" w:hint="cs"/>
          <w:rtl/>
        </w:rPr>
        <w:t>﴿</w:t>
      </w:r>
      <w:r w:rsidRPr="0067048A">
        <w:rPr>
          <w:rStyle w:val="Char3"/>
          <w:rFonts w:hint="eastAsia"/>
          <w:rtl/>
        </w:rPr>
        <w:t>وَلَا</w:t>
      </w:r>
      <w:r w:rsidRPr="0067048A">
        <w:rPr>
          <w:rStyle w:val="Char3"/>
          <w:rtl/>
        </w:rPr>
        <w:t xml:space="preserve"> </w:t>
      </w:r>
      <w:r w:rsidRPr="0067048A">
        <w:rPr>
          <w:rStyle w:val="Char3"/>
          <w:rFonts w:hint="eastAsia"/>
          <w:rtl/>
        </w:rPr>
        <w:t>عَلَى</w:t>
      </w:r>
      <w:r w:rsidRPr="0067048A">
        <w:rPr>
          <w:rStyle w:val="Char3"/>
          <w:rtl/>
        </w:rPr>
        <w:t xml:space="preserve"> </w:t>
      </w:r>
      <w:r w:rsidRPr="0067048A">
        <w:rPr>
          <w:rStyle w:val="Char3"/>
          <w:rFonts w:hint="cs"/>
          <w:rtl/>
        </w:rPr>
        <w:t>ٱ</w:t>
      </w:r>
      <w:r w:rsidRPr="0067048A">
        <w:rPr>
          <w:rStyle w:val="Char3"/>
          <w:rFonts w:hint="eastAsia"/>
          <w:rtl/>
        </w:rPr>
        <w:t>لَّذِينَ</w:t>
      </w:r>
      <w:r w:rsidRPr="0067048A">
        <w:rPr>
          <w:rStyle w:val="Char3"/>
          <w:rtl/>
        </w:rPr>
        <w:t xml:space="preserve"> </w:t>
      </w:r>
      <w:r w:rsidRPr="0067048A">
        <w:rPr>
          <w:rStyle w:val="Char3"/>
          <w:rFonts w:hint="eastAsia"/>
          <w:rtl/>
        </w:rPr>
        <w:t>إِذَا</w:t>
      </w:r>
      <w:r w:rsidRPr="0067048A">
        <w:rPr>
          <w:rStyle w:val="Char3"/>
          <w:rtl/>
        </w:rPr>
        <w:t xml:space="preserve"> </w:t>
      </w:r>
      <w:r w:rsidRPr="0067048A">
        <w:rPr>
          <w:rStyle w:val="Char3"/>
          <w:rFonts w:hint="eastAsia"/>
          <w:rtl/>
        </w:rPr>
        <w:t>مَا</w:t>
      </w:r>
      <w:r w:rsidRPr="0067048A">
        <w:rPr>
          <w:rStyle w:val="Char3"/>
          <w:rFonts w:hint="cs"/>
          <w:rtl/>
        </w:rPr>
        <w:t>ٓ</w:t>
      </w:r>
      <w:r w:rsidRPr="0067048A">
        <w:rPr>
          <w:rStyle w:val="Char3"/>
          <w:rtl/>
        </w:rPr>
        <w:t xml:space="preserve"> </w:t>
      </w:r>
      <w:r w:rsidRPr="0067048A">
        <w:rPr>
          <w:rStyle w:val="Char3"/>
          <w:rFonts w:hint="eastAsia"/>
          <w:rtl/>
        </w:rPr>
        <w:t>أَتَو</w:t>
      </w:r>
      <w:r w:rsidRPr="0067048A">
        <w:rPr>
          <w:rStyle w:val="Char3"/>
          <w:rFonts w:hint="cs"/>
          <w:rtl/>
        </w:rPr>
        <w:t>ۡ</w:t>
      </w:r>
      <w:r w:rsidRPr="0067048A">
        <w:rPr>
          <w:rStyle w:val="Char3"/>
          <w:rFonts w:hint="eastAsia"/>
          <w:rtl/>
        </w:rPr>
        <w:t>كَ</w:t>
      </w:r>
      <w:r w:rsidRPr="0067048A">
        <w:rPr>
          <w:rStyle w:val="Char3"/>
          <w:rtl/>
        </w:rPr>
        <w:t xml:space="preserve"> </w:t>
      </w:r>
      <w:r w:rsidRPr="0067048A">
        <w:rPr>
          <w:rStyle w:val="Char3"/>
          <w:rFonts w:hint="eastAsia"/>
          <w:rtl/>
        </w:rPr>
        <w:t>لِتَح</w:t>
      </w:r>
      <w:r w:rsidRPr="0067048A">
        <w:rPr>
          <w:rStyle w:val="Char3"/>
          <w:rFonts w:hint="cs"/>
          <w:rtl/>
        </w:rPr>
        <w:t>ۡ</w:t>
      </w:r>
      <w:r w:rsidRPr="0067048A">
        <w:rPr>
          <w:rStyle w:val="Char3"/>
          <w:rFonts w:hint="eastAsia"/>
          <w:rtl/>
        </w:rPr>
        <w:t>مِلَهُم</w:t>
      </w:r>
      <w:r w:rsidRPr="0067048A">
        <w:rPr>
          <w:rStyle w:val="Char3"/>
          <w:rFonts w:hint="cs"/>
          <w:rtl/>
        </w:rPr>
        <w:t>ۡ</w:t>
      </w:r>
      <w:r w:rsidRPr="0067048A">
        <w:rPr>
          <w:rStyle w:val="Char3"/>
          <w:rtl/>
        </w:rPr>
        <w:t xml:space="preserve"> </w:t>
      </w:r>
      <w:r w:rsidRPr="0067048A">
        <w:rPr>
          <w:rStyle w:val="Char3"/>
          <w:rFonts w:hint="eastAsia"/>
          <w:rtl/>
        </w:rPr>
        <w:t>قُل</w:t>
      </w:r>
      <w:r w:rsidRPr="0067048A">
        <w:rPr>
          <w:rStyle w:val="Char3"/>
          <w:rFonts w:hint="cs"/>
          <w:rtl/>
        </w:rPr>
        <w:t>ۡ</w:t>
      </w:r>
      <w:r w:rsidRPr="0067048A">
        <w:rPr>
          <w:rStyle w:val="Char3"/>
          <w:rFonts w:hint="eastAsia"/>
          <w:rtl/>
        </w:rPr>
        <w:t>تَ</w:t>
      </w:r>
      <w:r w:rsidRPr="0067048A">
        <w:rPr>
          <w:rStyle w:val="Char3"/>
          <w:rtl/>
        </w:rPr>
        <w:t xml:space="preserve"> </w:t>
      </w:r>
      <w:r w:rsidRPr="0067048A">
        <w:rPr>
          <w:rStyle w:val="Char3"/>
          <w:rFonts w:hint="eastAsia"/>
          <w:rtl/>
        </w:rPr>
        <w:t>لَا</w:t>
      </w:r>
      <w:r w:rsidRPr="0067048A">
        <w:rPr>
          <w:rStyle w:val="Char3"/>
          <w:rFonts w:hint="cs"/>
          <w:rtl/>
        </w:rPr>
        <w:t>ٓ</w:t>
      </w:r>
      <w:r w:rsidRPr="0067048A">
        <w:rPr>
          <w:rStyle w:val="Char3"/>
          <w:rtl/>
        </w:rPr>
        <w:t xml:space="preserve"> </w:t>
      </w:r>
      <w:r w:rsidRPr="0067048A">
        <w:rPr>
          <w:rStyle w:val="Char3"/>
          <w:rFonts w:hint="eastAsia"/>
          <w:rtl/>
        </w:rPr>
        <w:t>أَجِدُ</w:t>
      </w:r>
      <w:r w:rsidRPr="0067048A">
        <w:rPr>
          <w:rStyle w:val="Char3"/>
          <w:rtl/>
        </w:rPr>
        <w:t xml:space="preserve"> </w:t>
      </w:r>
      <w:r w:rsidRPr="0067048A">
        <w:rPr>
          <w:rStyle w:val="Char3"/>
          <w:rFonts w:hint="eastAsia"/>
          <w:rtl/>
        </w:rPr>
        <w:t>مَا</w:t>
      </w:r>
      <w:r w:rsidRPr="0067048A">
        <w:rPr>
          <w:rStyle w:val="Char3"/>
          <w:rFonts w:hint="cs"/>
          <w:rtl/>
        </w:rPr>
        <w:t>ٓ</w:t>
      </w:r>
      <w:r w:rsidRPr="0067048A">
        <w:rPr>
          <w:rStyle w:val="Char3"/>
          <w:rtl/>
        </w:rPr>
        <w:t xml:space="preserve"> </w:t>
      </w:r>
      <w:r w:rsidRPr="0067048A">
        <w:rPr>
          <w:rStyle w:val="Char3"/>
          <w:rFonts w:hint="eastAsia"/>
          <w:rtl/>
        </w:rPr>
        <w:t>أَح</w:t>
      </w:r>
      <w:r w:rsidRPr="0067048A">
        <w:rPr>
          <w:rStyle w:val="Char3"/>
          <w:rFonts w:hint="cs"/>
          <w:rtl/>
        </w:rPr>
        <w:t>ۡ</w:t>
      </w:r>
      <w:r w:rsidRPr="0067048A">
        <w:rPr>
          <w:rStyle w:val="Char3"/>
          <w:rFonts w:hint="eastAsia"/>
          <w:rtl/>
        </w:rPr>
        <w:t>مِلُكُم</w:t>
      </w:r>
      <w:r w:rsidRPr="0067048A">
        <w:rPr>
          <w:rStyle w:val="Char3"/>
          <w:rFonts w:hint="cs"/>
          <w:rtl/>
        </w:rPr>
        <w:t>ۡ</w:t>
      </w:r>
      <w:r w:rsidRPr="0067048A">
        <w:rPr>
          <w:rStyle w:val="Char3"/>
          <w:rtl/>
        </w:rPr>
        <w:t xml:space="preserve"> </w:t>
      </w:r>
      <w:r w:rsidRPr="0067048A">
        <w:rPr>
          <w:rStyle w:val="Char3"/>
          <w:rFonts w:hint="eastAsia"/>
          <w:rtl/>
        </w:rPr>
        <w:t>عَلَي</w:t>
      </w:r>
      <w:r w:rsidRPr="0067048A">
        <w:rPr>
          <w:rStyle w:val="Char3"/>
          <w:rFonts w:hint="cs"/>
          <w:rtl/>
        </w:rPr>
        <w:t>ۡ</w:t>
      </w:r>
      <w:r w:rsidRPr="0067048A">
        <w:rPr>
          <w:rStyle w:val="Char3"/>
          <w:rFonts w:hint="eastAsia"/>
          <w:rtl/>
        </w:rPr>
        <w:t>هِ</w:t>
      </w:r>
      <w:r w:rsidRPr="0067048A">
        <w:rPr>
          <w:rStyle w:val="Char3"/>
          <w:rtl/>
        </w:rPr>
        <w:t xml:space="preserve"> </w:t>
      </w:r>
      <w:r w:rsidRPr="0067048A">
        <w:rPr>
          <w:rStyle w:val="Char3"/>
          <w:rFonts w:hint="eastAsia"/>
          <w:rtl/>
        </w:rPr>
        <w:t>تَوَلَّواْ</w:t>
      </w:r>
      <w:r w:rsidRPr="0067048A">
        <w:rPr>
          <w:rStyle w:val="Char3"/>
          <w:rtl/>
        </w:rPr>
        <w:t xml:space="preserve"> </w:t>
      </w:r>
      <w:r w:rsidRPr="0067048A">
        <w:rPr>
          <w:rStyle w:val="Char3"/>
          <w:rFonts w:hint="eastAsia"/>
          <w:rtl/>
        </w:rPr>
        <w:t>وَّأَع</w:t>
      </w:r>
      <w:r w:rsidRPr="0067048A">
        <w:rPr>
          <w:rStyle w:val="Char3"/>
          <w:rFonts w:hint="cs"/>
          <w:rtl/>
        </w:rPr>
        <w:t>ۡ</w:t>
      </w:r>
      <w:r w:rsidRPr="0067048A">
        <w:rPr>
          <w:rStyle w:val="Char3"/>
          <w:rFonts w:hint="eastAsia"/>
          <w:rtl/>
        </w:rPr>
        <w:t>يُنُهُم</w:t>
      </w:r>
      <w:r w:rsidRPr="0067048A">
        <w:rPr>
          <w:rStyle w:val="Char3"/>
          <w:rFonts w:hint="cs"/>
          <w:rtl/>
        </w:rPr>
        <w:t>ۡ</w:t>
      </w:r>
      <w:r w:rsidRPr="0067048A">
        <w:rPr>
          <w:rStyle w:val="Char3"/>
          <w:rtl/>
        </w:rPr>
        <w:t xml:space="preserve"> </w:t>
      </w:r>
      <w:r w:rsidRPr="0067048A">
        <w:rPr>
          <w:rStyle w:val="Char3"/>
          <w:rFonts w:hint="eastAsia"/>
          <w:rtl/>
        </w:rPr>
        <w:t>تَفِيضُ</w:t>
      </w:r>
      <w:r w:rsidRPr="0067048A">
        <w:rPr>
          <w:rStyle w:val="Char3"/>
          <w:rtl/>
        </w:rPr>
        <w:t xml:space="preserve"> </w:t>
      </w:r>
      <w:r w:rsidRPr="0067048A">
        <w:rPr>
          <w:rStyle w:val="Char3"/>
          <w:rFonts w:hint="eastAsia"/>
          <w:rtl/>
        </w:rPr>
        <w:t>مِنَ</w:t>
      </w:r>
      <w:r w:rsidRPr="0067048A">
        <w:rPr>
          <w:rStyle w:val="Char3"/>
          <w:rtl/>
        </w:rPr>
        <w:t xml:space="preserve"> </w:t>
      </w:r>
      <w:r w:rsidRPr="0067048A">
        <w:rPr>
          <w:rStyle w:val="Char3"/>
          <w:rFonts w:hint="cs"/>
          <w:rtl/>
        </w:rPr>
        <w:t>ٱ</w:t>
      </w:r>
      <w:r w:rsidRPr="0067048A">
        <w:rPr>
          <w:rStyle w:val="Char3"/>
          <w:rFonts w:hint="eastAsia"/>
          <w:rtl/>
        </w:rPr>
        <w:t>لدَّم</w:t>
      </w:r>
      <w:r w:rsidRPr="0067048A">
        <w:rPr>
          <w:rStyle w:val="Char3"/>
          <w:rFonts w:hint="cs"/>
          <w:rtl/>
        </w:rPr>
        <w:t>ۡ</w:t>
      </w:r>
      <w:r w:rsidRPr="0067048A">
        <w:rPr>
          <w:rStyle w:val="Char3"/>
          <w:rFonts w:hint="eastAsia"/>
          <w:rtl/>
        </w:rPr>
        <w:t>عِ</w:t>
      </w:r>
      <w:r w:rsidRPr="0067048A">
        <w:rPr>
          <w:rStyle w:val="Char3"/>
          <w:rtl/>
        </w:rPr>
        <w:t xml:space="preserve"> </w:t>
      </w:r>
      <w:r w:rsidRPr="0067048A">
        <w:rPr>
          <w:rStyle w:val="Char3"/>
          <w:rFonts w:hint="eastAsia"/>
          <w:rtl/>
        </w:rPr>
        <w:t>حَزَنًا</w:t>
      </w:r>
      <w:r w:rsidRPr="0067048A">
        <w:rPr>
          <w:rStyle w:val="Char3"/>
          <w:rtl/>
        </w:rPr>
        <w:t xml:space="preserve"> </w:t>
      </w:r>
      <w:r w:rsidRPr="0067048A">
        <w:rPr>
          <w:rStyle w:val="Char3"/>
          <w:rFonts w:hint="eastAsia"/>
          <w:rtl/>
        </w:rPr>
        <w:t>أَلَّا</w:t>
      </w:r>
      <w:r w:rsidRPr="0067048A">
        <w:rPr>
          <w:rStyle w:val="Char3"/>
          <w:rtl/>
        </w:rPr>
        <w:t xml:space="preserve"> </w:t>
      </w:r>
      <w:r w:rsidRPr="0067048A">
        <w:rPr>
          <w:rStyle w:val="Char3"/>
          <w:rFonts w:hint="eastAsia"/>
          <w:rtl/>
        </w:rPr>
        <w:t>يَجِدُواْ</w:t>
      </w:r>
      <w:r w:rsidRPr="0067048A">
        <w:rPr>
          <w:rStyle w:val="Char3"/>
          <w:rtl/>
        </w:rPr>
        <w:t xml:space="preserve"> </w:t>
      </w:r>
      <w:r w:rsidRPr="0067048A">
        <w:rPr>
          <w:rStyle w:val="Char3"/>
          <w:rFonts w:hint="eastAsia"/>
          <w:rtl/>
        </w:rPr>
        <w:t>مَا</w:t>
      </w:r>
      <w:r w:rsidRPr="0067048A">
        <w:rPr>
          <w:rStyle w:val="Char3"/>
          <w:rtl/>
        </w:rPr>
        <w:t xml:space="preserve"> </w:t>
      </w:r>
      <w:r w:rsidRPr="0067048A">
        <w:rPr>
          <w:rStyle w:val="Char3"/>
          <w:rFonts w:hint="eastAsia"/>
          <w:rtl/>
        </w:rPr>
        <w:t>يُنفِقُونَ</w:t>
      </w:r>
      <w:r w:rsidRPr="0067048A">
        <w:rPr>
          <w:rStyle w:val="Char3"/>
          <w:rtl/>
        </w:rPr>
        <w:t xml:space="preserve"> </w:t>
      </w:r>
      <w:r w:rsidRPr="0067048A">
        <w:rPr>
          <w:rStyle w:val="Char3"/>
          <w:rFonts w:hint="cs"/>
          <w:rtl/>
        </w:rPr>
        <w:t>٩٢</w:t>
      </w:r>
      <w:r w:rsidRPr="00995B26">
        <w:rPr>
          <w:rFonts w:cs="Traditional Arabic"/>
          <w:rtl/>
          <w:lang w:bidi="fa-IR"/>
        </w:rPr>
        <w:t>﴾</w:t>
      </w:r>
      <w:r w:rsidR="005C664D" w:rsidRPr="003F3B94">
        <w:rPr>
          <w:rFonts w:ascii="Abo-thar" w:hAnsi="Abo-thar" w:hint="cs"/>
          <w:sz w:val="28"/>
          <w:rtl/>
          <w:lang w:bidi="ar-SY"/>
        </w:rPr>
        <w:t xml:space="preserve"> </w:t>
      </w:r>
      <w:r w:rsidRPr="003108CB">
        <w:rPr>
          <w:rStyle w:val="Char2"/>
          <w:rFonts w:hint="cs"/>
          <w:rtl/>
        </w:rPr>
        <w:t>[</w:t>
      </w:r>
      <w:r w:rsidR="005C664D" w:rsidRPr="003108CB">
        <w:rPr>
          <w:rStyle w:val="Char2"/>
          <w:rFonts w:hint="cs"/>
          <w:rtl/>
        </w:rPr>
        <w:t>التوبة</w:t>
      </w:r>
      <w:r w:rsidRPr="003108CB">
        <w:rPr>
          <w:rStyle w:val="Char2"/>
          <w:rFonts w:hint="cs"/>
          <w:rtl/>
        </w:rPr>
        <w:t xml:space="preserve">: </w:t>
      </w:r>
      <w:r w:rsidR="005C664D" w:rsidRPr="003108CB">
        <w:rPr>
          <w:rStyle w:val="Char2"/>
          <w:rFonts w:hint="cs"/>
          <w:rtl/>
        </w:rPr>
        <w:t>92</w:t>
      </w:r>
      <w:r w:rsidRPr="003108CB">
        <w:rPr>
          <w:rStyle w:val="Char2"/>
          <w:rFonts w:hint="cs"/>
          <w:rtl/>
        </w:rPr>
        <w:t>]</w:t>
      </w:r>
      <w:r w:rsidR="00217AB4" w:rsidRPr="003F3B94">
        <w:rPr>
          <w:rFonts w:ascii="Abo-thar" w:hAnsi="Abo-thar" w:hint="cs"/>
          <w:sz w:val="28"/>
          <w:rtl/>
          <w:lang w:bidi="ar-SY"/>
        </w:rPr>
        <w:t>.</w:t>
      </w:r>
    </w:p>
    <w:p w:rsidR="005C664D" w:rsidRPr="003F3B94" w:rsidRDefault="005C664D" w:rsidP="003F3B94">
      <w:pPr>
        <w:pStyle w:val="a0"/>
        <w:rPr>
          <w:rFonts w:hint="cs"/>
          <w:rtl/>
          <w:lang w:bidi="ar-SY"/>
        </w:rPr>
      </w:pPr>
      <w:r w:rsidRPr="003F3B94">
        <w:rPr>
          <w:rFonts w:ascii="Abo-thar" w:hAnsi="Abo-thar" w:hint="cs"/>
          <w:sz w:val="28"/>
          <w:rtl/>
          <w:lang w:bidi="ar-SY"/>
        </w:rPr>
        <w:t>ولا شك أن هذا الحرمان من فيض بركة الجهاد بسبب الفقر والفاقة كان يستتبع حرماناً آخر من الحصول على سهم من غنائم الحرب</w:t>
      </w:r>
      <w:r w:rsidR="00217AB4" w:rsidRPr="0021507A">
        <w:rPr>
          <w:rFonts w:cs="Arabic11 BT"/>
          <w:b/>
          <w:sz w:val="28"/>
          <w:vertAlign w:val="superscript"/>
          <w:rtl/>
          <w:lang w:bidi="ar-SY"/>
        </w:rPr>
        <w:t>(</w:t>
      </w:r>
      <w:r w:rsidRPr="0021507A">
        <w:rPr>
          <w:rStyle w:val="FootnoteReference"/>
          <w:rFonts w:cs="Arabic11 BT"/>
          <w:b/>
          <w:sz w:val="28"/>
          <w:rtl/>
          <w:lang w:bidi="ar-SY"/>
        </w:rPr>
        <w:footnoteReference w:id="68"/>
      </w:r>
      <w:r w:rsidR="00217AB4" w:rsidRPr="0021507A">
        <w:rPr>
          <w:rFonts w:cs="Arabic11 BT"/>
          <w:b/>
          <w:sz w:val="28"/>
          <w:vertAlign w:val="superscript"/>
          <w:rtl/>
          <w:lang w:bidi="ar-SY"/>
        </w:rPr>
        <w:t>)</w:t>
      </w:r>
      <w:r w:rsidR="00217AB4" w:rsidRPr="003F3B94">
        <w:rPr>
          <w:rFonts w:ascii="Abo-thar" w:hAnsi="Abo-thar" w:hint="cs"/>
          <w:sz w:val="28"/>
          <w:rtl/>
          <w:lang w:bidi="ar-SY"/>
        </w:rPr>
        <w:t>،</w:t>
      </w:r>
      <w:r w:rsidRPr="003F3B94">
        <w:rPr>
          <w:rFonts w:ascii="Abo-thar" w:hAnsi="Abo-thar" w:hint="cs"/>
          <w:sz w:val="28"/>
          <w:rtl/>
          <w:lang w:bidi="ar-SY"/>
        </w:rPr>
        <w:t xml:space="preserve"> لأجل كل ذلك اقتضى الأمر أن يتم تخصيص سهم من الغنائم لهذه الطبقة من المساكين لتسكين خاطرهم وتخفيف حرمانهم</w:t>
      </w:r>
      <w:r w:rsidR="00217AB4" w:rsidRPr="003F3B94">
        <w:rPr>
          <w:rFonts w:ascii="Abo-thar" w:hAnsi="Abo-thar" w:hint="cs"/>
          <w:sz w:val="28"/>
          <w:rtl/>
          <w:lang w:bidi="ar-SY"/>
        </w:rPr>
        <w:t>.</w:t>
      </w:r>
      <w:r w:rsidRPr="003F3B94">
        <w:rPr>
          <w:rFonts w:ascii="Abo-thar" w:hAnsi="Abo-thar" w:hint="cs"/>
          <w:sz w:val="28"/>
          <w:rtl/>
          <w:lang w:bidi="ar-SY"/>
        </w:rPr>
        <w:t xml:space="preserve"> </w:t>
      </w:r>
    </w:p>
    <w:p w:rsidR="005C664D" w:rsidRPr="003F3B94" w:rsidRDefault="005C664D" w:rsidP="003F3B94">
      <w:pPr>
        <w:pStyle w:val="a0"/>
        <w:rPr>
          <w:rFonts w:hint="cs"/>
          <w:rtl/>
          <w:lang w:bidi="ar-SY"/>
        </w:rPr>
      </w:pPr>
      <w:r w:rsidRPr="003F3B94">
        <w:rPr>
          <w:rFonts w:ascii="Abo-thar" w:hAnsi="Abo-thar" w:hint="cs"/>
          <w:sz w:val="28"/>
          <w:rtl/>
          <w:lang w:bidi="ar-SY"/>
        </w:rPr>
        <w:t>أضف إلى ذلك أنه على إثر هجرة بعض المسلمين من ديارهم وفرارهم بدينهم من قبائلهم</w:t>
      </w:r>
      <w:r w:rsidR="00217AB4" w:rsidRPr="003F3B94">
        <w:rPr>
          <w:rFonts w:ascii="Abo-thar" w:hAnsi="Abo-thar" w:hint="cs"/>
          <w:sz w:val="28"/>
          <w:rtl/>
          <w:lang w:bidi="ar-SY"/>
        </w:rPr>
        <w:t>،</w:t>
      </w:r>
      <w:r w:rsidRPr="003F3B94">
        <w:rPr>
          <w:rFonts w:ascii="Abo-thar" w:hAnsi="Abo-thar" w:hint="cs"/>
          <w:sz w:val="28"/>
          <w:rtl/>
          <w:lang w:bidi="ar-SY"/>
        </w:rPr>
        <w:t xml:space="preserve"> وتقطُّع السبل بهم</w:t>
      </w:r>
      <w:r w:rsidR="00217AB4" w:rsidRPr="003F3B94">
        <w:rPr>
          <w:rFonts w:ascii="Abo-thar" w:hAnsi="Abo-thar" w:hint="cs"/>
          <w:sz w:val="28"/>
          <w:rtl/>
          <w:lang w:bidi="ar-SY"/>
        </w:rPr>
        <w:t>،</w:t>
      </w:r>
      <w:r w:rsidRPr="003F3B94">
        <w:rPr>
          <w:rFonts w:ascii="Abo-thar" w:hAnsi="Abo-thar" w:hint="cs"/>
          <w:sz w:val="28"/>
          <w:rtl/>
          <w:lang w:bidi="ar-SY"/>
        </w:rPr>
        <w:t xml:space="preserve"> صاروا من أبناء السبيل</w:t>
      </w:r>
      <w:r w:rsidR="00217AB4" w:rsidRPr="003F3B94">
        <w:rPr>
          <w:rFonts w:ascii="Abo-thar" w:hAnsi="Abo-thar" w:hint="cs"/>
          <w:sz w:val="28"/>
          <w:rtl/>
          <w:lang w:bidi="ar-SY"/>
        </w:rPr>
        <w:t>،</w:t>
      </w:r>
      <w:r w:rsidRPr="003F3B94">
        <w:rPr>
          <w:rFonts w:ascii="Abo-thar" w:hAnsi="Abo-thar" w:hint="cs"/>
          <w:sz w:val="28"/>
          <w:rtl/>
          <w:lang w:bidi="ar-SY"/>
        </w:rPr>
        <w:t xml:space="preserve"> مثل هجرة المقداد بن عمرو وعتبة بن غزوان اللذَيْن خرجا مع كفار قريش الذين خرجوا لمحاربة رسول الله</w:t>
      </w:r>
      <w:r w:rsidR="00147857" w:rsidRPr="003F3B94">
        <w:rPr>
          <w:rFonts w:ascii="Abo-thar" w:hAnsi="Abo-thar" w:hint="cs"/>
          <w:sz w:val="28"/>
          <w:rtl/>
          <w:lang w:bidi="ar-SY"/>
        </w:rPr>
        <w:t xml:space="preserve"> </w:t>
      </w:r>
      <w:r w:rsidR="003C7AEB" w:rsidRPr="003C7AEB">
        <w:rPr>
          <w:rFonts w:ascii="Abo-thar" w:hAnsi="Abo-thar" w:cs="CTraditional Arabic"/>
          <w:sz w:val="28"/>
          <w:rtl/>
          <w:lang w:bidi="ar-SY"/>
        </w:rPr>
        <w:t>ص</w:t>
      </w:r>
      <w:r w:rsidR="00147857" w:rsidRPr="003F3B94">
        <w:rPr>
          <w:rFonts w:ascii="Abo-thar" w:hAnsi="Abo-thar"/>
          <w:sz w:val="28"/>
          <w:rtl/>
          <w:lang w:bidi="ar-SY"/>
        </w:rPr>
        <w:t xml:space="preserve"> </w:t>
      </w:r>
      <w:r w:rsidRPr="003F3B94">
        <w:rPr>
          <w:rFonts w:ascii="Abo-thar" w:hAnsi="Abo-thar" w:hint="cs"/>
          <w:sz w:val="28"/>
          <w:rtl/>
          <w:lang w:bidi="ar-SY"/>
        </w:rPr>
        <w:t>فخرجوا معهم عسى أن يتمكنوا بهذه الطريقة من أن يلتحقوا بالمسلمين قبل أن يعيدهم المشـركون معهم إلى مكة</w:t>
      </w:r>
      <w:r w:rsidR="00217AB4" w:rsidRPr="0021507A">
        <w:rPr>
          <w:rFonts w:cs="Arabic11 BT"/>
          <w:b/>
          <w:sz w:val="28"/>
          <w:vertAlign w:val="superscript"/>
          <w:rtl/>
          <w:lang w:bidi="ar-SY"/>
        </w:rPr>
        <w:t>(</w:t>
      </w:r>
      <w:r w:rsidRPr="0021507A">
        <w:rPr>
          <w:rStyle w:val="FootnoteReference"/>
          <w:rFonts w:cs="Arabic11 BT"/>
          <w:b/>
          <w:sz w:val="28"/>
          <w:rtl/>
          <w:lang w:bidi="ar-SY"/>
        </w:rPr>
        <w:footnoteReference w:id="69"/>
      </w:r>
      <w:r w:rsidR="00217AB4" w:rsidRPr="0021507A">
        <w:rPr>
          <w:rFonts w:cs="Arabic11 BT"/>
          <w:b/>
          <w:sz w:val="28"/>
          <w:vertAlign w:val="superscript"/>
          <w:rtl/>
          <w:lang w:bidi="ar-SY"/>
        </w:rPr>
        <w:t>)</w:t>
      </w:r>
      <w:r w:rsidR="00217AB4" w:rsidRPr="003F3B94">
        <w:rPr>
          <w:rFonts w:ascii="Abo-thar" w:hAnsi="Abo-thar" w:hint="cs"/>
          <w:sz w:val="28"/>
          <w:rtl/>
          <w:lang w:bidi="ar-SY"/>
        </w:rPr>
        <w:t>!</w:t>
      </w:r>
      <w:r w:rsidR="00147857" w:rsidRPr="003F3B94">
        <w:rPr>
          <w:rFonts w:ascii="Abo-thar" w:hAnsi="Abo-thar" w:hint="cs"/>
          <w:sz w:val="28"/>
          <w:rtl/>
          <w:lang w:bidi="ar-SY"/>
        </w:rPr>
        <w:t xml:space="preserve"> </w:t>
      </w:r>
      <w:r w:rsidRPr="003F3B94">
        <w:rPr>
          <w:rFonts w:ascii="Abo-thar" w:hAnsi="Abo-thar" w:hint="cs"/>
          <w:sz w:val="28"/>
          <w:rtl/>
          <w:lang w:bidi="ar-SY"/>
        </w:rPr>
        <w:t xml:space="preserve">كما جاء ذلك في تاريخ ابن خلدون </w:t>
      </w:r>
      <w:r w:rsidR="00217AB4" w:rsidRPr="003F3B94">
        <w:rPr>
          <w:rFonts w:ascii="Abo-thar" w:hAnsi="Abo-thar" w:hint="cs"/>
          <w:sz w:val="28"/>
          <w:rtl/>
          <w:lang w:bidi="ar-SY"/>
        </w:rPr>
        <w:t>(</w:t>
      </w:r>
      <w:r w:rsidRPr="003F3B94">
        <w:rPr>
          <w:rFonts w:ascii="Abo-thar" w:hAnsi="Abo-thar" w:hint="cs"/>
          <w:sz w:val="28"/>
          <w:rtl/>
          <w:lang w:bidi="ar-SY"/>
        </w:rPr>
        <w:t>ج</w:t>
      </w:r>
      <w:r w:rsidR="009127B5" w:rsidRPr="003F3B94">
        <w:rPr>
          <w:rFonts w:ascii="Abo-thar" w:hAnsi="Abo-thar" w:hint="cs"/>
          <w:sz w:val="28"/>
          <w:rtl/>
          <w:lang w:bidi="ar-SY"/>
        </w:rPr>
        <w:t xml:space="preserve"> </w:t>
      </w:r>
      <w:r w:rsidRPr="003F3B94">
        <w:rPr>
          <w:rFonts w:ascii="Abo-thar" w:hAnsi="Abo-thar" w:hint="cs"/>
          <w:sz w:val="28"/>
          <w:rtl/>
          <w:lang w:bidi="ar-SY"/>
        </w:rPr>
        <w:t>2</w:t>
      </w:r>
      <w:r w:rsidR="009127B5" w:rsidRPr="003F3B94">
        <w:rPr>
          <w:rFonts w:ascii="Abo-thar" w:hAnsi="Abo-thar" w:hint="cs"/>
          <w:sz w:val="28"/>
          <w:rtl/>
          <w:lang w:bidi="ar-SY"/>
        </w:rPr>
        <w:t xml:space="preserve">، </w:t>
      </w:r>
      <w:r w:rsidRPr="003F3B94">
        <w:rPr>
          <w:rFonts w:ascii="Abo-thar" w:hAnsi="Abo-thar" w:hint="cs"/>
          <w:sz w:val="28"/>
          <w:rtl/>
          <w:lang w:bidi="ar-SY"/>
        </w:rPr>
        <w:t>ص</w:t>
      </w:r>
      <w:r w:rsidR="009127B5" w:rsidRPr="003F3B94">
        <w:rPr>
          <w:rFonts w:ascii="Abo-thar" w:hAnsi="Abo-thar" w:hint="cs"/>
          <w:sz w:val="28"/>
          <w:rtl/>
          <w:lang w:bidi="ar-SY"/>
        </w:rPr>
        <w:t xml:space="preserve"> </w:t>
      </w:r>
      <w:r w:rsidRPr="003F3B94">
        <w:rPr>
          <w:rFonts w:ascii="Abo-thar" w:hAnsi="Abo-thar" w:hint="cs"/>
          <w:sz w:val="28"/>
          <w:rtl/>
          <w:lang w:bidi="ar-SY"/>
        </w:rPr>
        <w:t>18</w:t>
      </w:r>
      <w:r w:rsidR="00217AB4" w:rsidRPr="003F3B94">
        <w:rPr>
          <w:rFonts w:ascii="Abo-thar" w:hAnsi="Abo-thar" w:hint="cs"/>
          <w:sz w:val="28"/>
          <w:rtl/>
          <w:lang w:bidi="ar-SY"/>
        </w:rPr>
        <w:t>)؛</w:t>
      </w:r>
      <w:r w:rsidRPr="003F3B94">
        <w:rPr>
          <w:rFonts w:ascii="Abo-thar" w:hAnsi="Abo-thar" w:hint="cs"/>
          <w:sz w:val="28"/>
          <w:rtl/>
          <w:lang w:bidi="ar-SY"/>
        </w:rPr>
        <w:t xml:space="preserve"> لذا كان من الواجب على المسلمين وخاصة المجاهدين إذا حصلوا على مال وثروة أن يخصصوا شيئاً منه لهذه الطبقة من المهاجرين الفقراء</w:t>
      </w:r>
      <w:r w:rsidR="00217AB4" w:rsidRPr="003F3B94">
        <w:rPr>
          <w:rFonts w:ascii="Abo-thar" w:hAnsi="Abo-thar" w:hint="cs"/>
          <w:sz w:val="28"/>
          <w:rtl/>
          <w:lang w:bidi="ar-SY"/>
        </w:rPr>
        <w:t>.</w:t>
      </w:r>
      <w:r w:rsidRPr="003F3B94">
        <w:rPr>
          <w:rFonts w:ascii="Abo-thar" w:hAnsi="Abo-thar" w:hint="cs"/>
          <w:sz w:val="28"/>
          <w:rtl/>
          <w:lang w:bidi="ar-SY"/>
        </w:rPr>
        <w:t xml:space="preserve"> </w:t>
      </w:r>
    </w:p>
    <w:p w:rsidR="005C664D" w:rsidRPr="00995B26" w:rsidRDefault="005C664D" w:rsidP="003F3B94">
      <w:pPr>
        <w:pStyle w:val="a0"/>
        <w:rPr>
          <w:rFonts w:hint="cs"/>
          <w:rtl/>
          <w:lang w:bidi="ar-SY"/>
        </w:rPr>
      </w:pPr>
      <w:r w:rsidRPr="003F3B94">
        <w:rPr>
          <w:rFonts w:ascii="Abo-thar" w:hAnsi="Abo-thar" w:hint="cs"/>
          <w:sz w:val="28"/>
          <w:rtl/>
          <w:lang w:bidi="ar-SY"/>
        </w:rPr>
        <w:t>من هنا نلاحظ مجيء</w:t>
      </w:r>
      <w:r w:rsidR="00685363" w:rsidRPr="003F3B94">
        <w:rPr>
          <w:rFonts w:ascii="Abo-thar" w:hAnsi="Abo-thar" w:hint="cs"/>
          <w:sz w:val="28"/>
          <w:rtl/>
          <w:lang w:bidi="ar-SY"/>
        </w:rPr>
        <w:t xml:space="preserve"> </w:t>
      </w:r>
      <w:r w:rsidR="00685363" w:rsidRPr="00995B26">
        <w:rPr>
          <w:rFonts w:ascii="Abo-thar" w:hAnsi="Abo-thar" w:cs="Traditional Arabic" w:hint="cs"/>
          <w:sz w:val="28"/>
          <w:rtl/>
          <w:lang w:bidi="ar-SY"/>
        </w:rPr>
        <w:t>﴿</w:t>
      </w:r>
      <w:r w:rsidR="00685363" w:rsidRPr="00995B26">
        <w:rPr>
          <w:rFonts w:ascii="KFGQPC Uthmanic Script HAFS" w:cs="KFGQPC Uthmanic Script HAFS" w:hint="eastAsia"/>
          <w:sz w:val="29"/>
          <w:szCs w:val="29"/>
          <w:rtl/>
        </w:rPr>
        <w:t>وَ</w:t>
      </w:r>
      <w:r w:rsidR="00685363" w:rsidRPr="00995B26">
        <w:rPr>
          <w:rFonts w:ascii="KFGQPC Uthmanic Script HAFS" w:cs="KFGQPC Uthmanic Script HAFS" w:hint="cs"/>
          <w:sz w:val="29"/>
          <w:szCs w:val="29"/>
          <w:rtl/>
        </w:rPr>
        <w:t>ٱ</w:t>
      </w:r>
      <w:r w:rsidR="00685363" w:rsidRPr="00995B26">
        <w:rPr>
          <w:rFonts w:ascii="KFGQPC Uthmanic Script HAFS" w:cs="KFGQPC Uthmanic Script HAFS" w:hint="eastAsia"/>
          <w:sz w:val="29"/>
          <w:szCs w:val="29"/>
          <w:rtl/>
        </w:rPr>
        <w:t>ل</w:t>
      </w:r>
      <w:r w:rsidR="00685363" w:rsidRPr="00995B26">
        <w:rPr>
          <w:rFonts w:ascii="KFGQPC Uthmanic Script HAFS" w:cs="KFGQPC Uthmanic Script HAFS" w:hint="cs"/>
          <w:sz w:val="29"/>
          <w:szCs w:val="29"/>
          <w:rtl/>
        </w:rPr>
        <w:t>ۡ</w:t>
      </w:r>
      <w:r w:rsidR="00685363" w:rsidRPr="00995B26">
        <w:rPr>
          <w:rFonts w:ascii="KFGQPC Uthmanic Script HAFS" w:cs="KFGQPC Uthmanic Script HAFS" w:hint="eastAsia"/>
          <w:sz w:val="29"/>
          <w:szCs w:val="29"/>
          <w:rtl/>
        </w:rPr>
        <w:t>يَتَ</w:t>
      </w:r>
      <w:r w:rsidR="00685363" w:rsidRPr="00995B26">
        <w:rPr>
          <w:rFonts w:ascii="KFGQPC Uthmanic Script HAFS" w:cs="KFGQPC Uthmanic Script HAFS" w:hint="cs"/>
          <w:sz w:val="29"/>
          <w:szCs w:val="29"/>
          <w:rtl/>
        </w:rPr>
        <w:t>ٰ</w:t>
      </w:r>
      <w:r w:rsidR="00685363" w:rsidRPr="00995B26">
        <w:rPr>
          <w:rFonts w:ascii="KFGQPC Uthmanic Script HAFS" w:cs="KFGQPC Uthmanic Script HAFS" w:hint="eastAsia"/>
          <w:sz w:val="29"/>
          <w:szCs w:val="29"/>
          <w:rtl/>
        </w:rPr>
        <w:t>مَى</w:t>
      </w:r>
      <w:r w:rsidR="00685363" w:rsidRPr="00995B26">
        <w:rPr>
          <w:rFonts w:ascii="KFGQPC Uthmanic Script HAFS" w:cs="KFGQPC Uthmanic Script HAFS" w:hint="cs"/>
          <w:sz w:val="29"/>
          <w:szCs w:val="29"/>
          <w:rtl/>
        </w:rPr>
        <w:t>ٰ</w:t>
      </w:r>
      <w:r w:rsidR="00685363" w:rsidRPr="00995B26">
        <w:rPr>
          <w:rFonts w:ascii="KFGQPC Uthmanic Script HAFS" w:cs="KFGQPC Uthmanic Script HAFS"/>
          <w:sz w:val="29"/>
          <w:szCs w:val="29"/>
          <w:rtl/>
        </w:rPr>
        <w:t xml:space="preserve"> </w:t>
      </w:r>
      <w:r w:rsidR="00685363" w:rsidRPr="00995B26">
        <w:rPr>
          <w:rFonts w:ascii="KFGQPC Uthmanic Script HAFS" w:cs="KFGQPC Uthmanic Script HAFS" w:hint="eastAsia"/>
          <w:sz w:val="29"/>
          <w:szCs w:val="29"/>
          <w:rtl/>
        </w:rPr>
        <w:t>وَ</w:t>
      </w:r>
      <w:r w:rsidR="00685363" w:rsidRPr="00995B26">
        <w:rPr>
          <w:rFonts w:ascii="KFGQPC Uthmanic Script HAFS" w:cs="KFGQPC Uthmanic Script HAFS" w:hint="cs"/>
          <w:sz w:val="29"/>
          <w:szCs w:val="29"/>
          <w:rtl/>
        </w:rPr>
        <w:t>ٱ</w:t>
      </w:r>
      <w:r w:rsidR="00685363" w:rsidRPr="00995B26">
        <w:rPr>
          <w:rFonts w:ascii="KFGQPC Uthmanic Script HAFS" w:cs="KFGQPC Uthmanic Script HAFS" w:hint="eastAsia"/>
          <w:sz w:val="29"/>
          <w:szCs w:val="29"/>
          <w:rtl/>
        </w:rPr>
        <w:t>ل</w:t>
      </w:r>
      <w:r w:rsidR="00685363" w:rsidRPr="00995B26">
        <w:rPr>
          <w:rFonts w:ascii="KFGQPC Uthmanic Script HAFS" w:cs="KFGQPC Uthmanic Script HAFS" w:hint="cs"/>
          <w:sz w:val="29"/>
          <w:szCs w:val="29"/>
          <w:rtl/>
        </w:rPr>
        <w:t>ۡ</w:t>
      </w:r>
      <w:r w:rsidR="00685363" w:rsidRPr="00995B26">
        <w:rPr>
          <w:rFonts w:ascii="KFGQPC Uthmanic Script HAFS" w:cs="KFGQPC Uthmanic Script HAFS" w:hint="eastAsia"/>
          <w:sz w:val="29"/>
          <w:szCs w:val="29"/>
          <w:rtl/>
        </w:rPr>
        <w:t>مَسَ</w:t>
      </w:r>
      <w:r w:rsidR="00685363" w:rsidRPr="00995B26">
        <w:rPr>
          <w:rFonts w:ascii="KFGQPC Uthmanic Script HAFS" w:cs="KFGQPC Uthmanic Script HAFS" w:hint="cs"/>
          <w:sz w:val="29"/>
          <w:szCs w:val="29"/>
          <w:rtl/>
        </w:rPr>
        <w:t>ٰ</w:t>
      </w:r>
      <w:r w:rsidR="00685363" w:rsidRPr="00995B26">
        <w:rPr>
          <w:rFonts w:ascii="KFGQPC Uthmanic Script HAFS" w:cs="KFGQPC Uthmanic Script HAFS" w:hint="eastAsia"/>
          <w:sz w:val="29"/>
          <w:szCs w:val="29"/>
          <w:rtl/>
        </w:rPr>
        <w:t>كِينِ</w:t>
      </w:r>
      <w:r w:rsidR="00685363" w:rsidRPr="00995B26">
        <w:rPr>
          <w:rFonts w:ascii="KFGQPC Uthmanic Script HAFS" w:cs="KFGQPC Uthmanic Script HAFS"/>
          <w:sz w:val="29"/>
          <w:szCs w:val="29"/>
          <w:rtl/>
        </w:rPr>
        <w:t xml:space="preserve"> </w:t>
      </w:r>
      <w:r w:rsidR="00685363" w:rsidRPr="00995B26">
        <w:rPr>
          <w:rFonts w:ascii="KFGQPC Uthmanic Script HAFS" w:cs="KFGQPC Uthmanic Script HAFS" w:hint="eastAsia"/>
          <w:sz w:val="29"/>
          <w:szCs w:val="29"/>
          <w:rtl/>
        </w:rPr>
        <w:t>وَ</w:t>
      </w:r>
      <w:r w:rsidR="00685363" w:rsidRPr="00995B26">
        <w:rPr>
          <w:rFonts w:ascii="KFGQPC Uthmanic Script HAFS" w:cs="KFGQPC Uthmanic Script HAFS" w:hint="cs"/>
          <w:sz w:val="29"/>
          <w:szCs w:val="29"/>
          <w:rtl/>
        </w:rPr>
        <w:t>ٱ</w:t>
      </w:r>
      <w:r w:rsidR="00685363" w:rsidRPr="00995B26">
        <w:rPr>
          <w:rFonts w:ascii="KFGQPC Uthmanic Script HAFS" w:cs="KFGQPC Uthmanic Script HAFS" w:hint="eastAsia"/>
          <w:sz w:val="29"/>
          <w:szCs w:val="29"/>
          <w:rtl/>
        </w:rPr>
        <w:t>ب</w:t>
      </w:r>
      <w:r w:rsidR="00685363" w:rsidRPr="00995B26">
        <w:rPr>
          <w:rFonts w:ascii="KFGQPC Uthmanic Script HAFS" w:cs="KFGQPC Uthmanic Script HAFS" w:hint="cs"/>
          <w:sz w:val="29"/>
          <w:szCs w:val="29"/>
          <w:rtl/>
        </w:rPr>
        <w:t>ۡ</w:t>
      </w:r>
      <w:r w:rsidR="00685363" w:rsidRPr="00995B26">
        <w:rPr>
          <w:rFonts w:ascii="KFGQPC Uthmanic Script HAFS" w:cs="KFGQPC Uthmanic Script HAFS" w:hint="eastAsia"/>
          <w:sz w:val="29"/>
          <w:szCs w:val="29"/>
          <w:rtl/>
        </w:rPr>
        <w:t>نِ</w:t>
      </w:r>
      <w:r w:rsidR="00685363" w:rsidRPr="00995B26">
        <w:rPr>
          <w:rFonts w:ascii="KFGQPC Uthmanic Script HAFS" w:cs="KFGQPC Uthmanic Script HAFS"/>
          <w:sz w:val="29"/>
          <w:szCs w:val="29"/>
          <w:rtl/>
        </w:rPr>
        <w:t xml:space="preserve"> </w:t>
      </w:r>
      <w:r w:rsidR="00685363" w:rsidRPr="00995B26">
        <w:rPr>
          <w:rFonts w:ascii="KFGQPC Uthmanic Script HAFS" w:cs="KFGQPC Uthmanic Script HAFS" w:hint="cs"/>
          <w:sz w:val="29"/>
          <w:szCs w:val="29"/>
          <w:rtl/>
        </w:rPr>
        <w:t>ٱ</w:t>
      </w:r>
      <w:r w:rsidR="00685363" w:rsidRPr="00995B26">
        <w:rPr>
          <w:rFonts w:ascii="KFGQPC Uthmanic Script HAFS" w:cs="KFGQPC Uthmanic Script HAFS" w:hint="eastAsia"/>
          <w:sz w:val="29"/>
          <w:szCs w:val="29"/>
          <w:rtl/>
        </w:rPr>
        <w:t>لسَّبِيلِ</w:t>
      </w:r>
      <w:r w:rsidR="00685363" w:rsidRPr="00995B26">
        <w:rPr>
          <w:rFonts w:ascii="Abo-thar" w:hAnsi="Abo-thar" w:cs="Traditional Arabic" w:hint="cs"/>
          <w:sz w:val="28"/>
          <w:rtl/>
          <w:lang w:bidi="ar-SY"/>
        </w:rPr>
        <w:t>﴾</w:t>
      </w:r>
      <w:r w:rsidRPr="00995B26">
        <w:rPr>
          <w:rFonts w:ascii="Abo-thar" w:hAnsi="Abo-thar" w:hint="cs"/>
          <w:sz w:val="28"/>
          <w:rtl/>
          <w:lang w:bidi="ar-SY"/>
        </w:rPr>
        <w:t xml:space="preserve"> مباشرةً بعد كلمة </w:t>
      </w:r>
      <w:r w:rsidR="00685363" w:rsidRPr="00995B26">
        <w:rPr>
          <w:rFonts w:ascii="Abo-thar" w:hAnsi="Abo-thar" w:cs="Traditional Arabic" w:hint="cs"/>
          <w:sz w:val="28"/>
          <w:rtl/>
          <w:lang w:bidi="ar-SY"/>
        </w:rPr>
        <w:t>﴿</w:t>
      </w:r>
      <w:r w:rsidR="00685363" w:rsidRPr="00995B26">
        <w:rPr>
          <w:rFonts w:ascii="KFGQPC Uthmanic Script HAFS" w:cs="KFGQPC Uthmanic Script HAFS" w:hint="eastAsia"/>
          <w:sz w:val="29"/>
          <w:szCs w:val="29"/>
          <w:rtl/>
        </w:rPr>
        <w:t>وَلِذِي</w:t>
      </w:r>
      <w:r w:rsidR="00685363" w:rsidRPr="00995B26">
        <w:rPr>
          <w:rFonts w:ascii="KFGQPC Uthmanic Script HAFS" w:cs="KFGQPC Uthmanic Script HAFS"/>
          <w:sz w:val="29"/>
          <w:szCs w:val="29"/>
          <w:rtl/>
        </w:rPr>
        <w:t xml:space="preserve"> </w:t>
      </w:r>
      <w:r w:rsidR="00685363" w:rsidRPr="00995B26">
        <w:rPr>
          <w:rFonts w:ascii="KFGQPC Uthmanic Script HAFS" w:cs="KFGQPC Uthmanic Script HAFS" w:hint="cs"/>
          <w:sz w:val="29"/>
          <w:szCs w:val="29"/>
          <w:rtl/>
        </w:rPr>
        <w:t>ٱ</w:t>
      </w:r>
      <w:r w:rsidR="00685363" w:rsidRPr="00995B26">
        <w:rPr>
          <w:rFonts w:ascii="KFGQPC Uthmanic Script HAFS" w:cs="KFGQPC Uthmanic Script HAFS" w:hint="eastAsia"/>
          <w:sz w:val="29"/>
          <w:szCs w:val="29"/>
          <w:rtl/>
        </w:rPr>
        <w:t>ل</w:t>
      </w:r>
      <w:r w:rsidR="00685363" w:rsidRPr="00995B26">
        <w:rPr>
          <w:rFonts w:ascii="KFGQPC Uthmanic Script HAFS" w:cs="KFGQPC Uthmanic Script HAFS" w:hint="cs"/>
          <w:sz w:val="29"/>
          <w:szCs w:val="29"/>
          <w:rtl/>
        </w:rPr>
        <w:t>ۡ</w:t>
      </w:r>
      <w:r w:rsidR="00685363" w:rsidRPr="00995B26">
        <w:rPr>
          <w:rFonts w:ascii="KFGQPC Uthmanic Script HAFS" w:cs="KFGQPC Uthmanic Script HAFS" w:hint="eastAsia"/>
          <w:sz w:val="29"/>
          <w:szCs w:val="29"/>
          <w:rtl/>
        </w:rPr>
        <w:t>قُر</w:t>
      </w:r>
      <w:r w:rsidR="00685363" w:rsidRPr="00995B26">
        <w:rPr>
          <w:rFonts w:ascii="KFGQPC Uthmanic Script HAFS" w:cs="KFGQPC Uthmanic Script HAFS" w:hint="cs"/>
          <w:sz w:val="29"/>
          <w:szCs w:val="29"/>
          <w:rtl/>
        </w:rPr>
        <w:t>ۡ</w:t>
      </w:r>
      <w:r w:rsidR="00685363" w:rsidRPr="00995B26">
        <w:rPr>
          <w:rFonts w:ascii="KFGQPC Uthmanic Script HAFS" w:cs="KFGQPC Uthmanic Script HAFS" w:hint="eastAsia"/>
          <w:sz w:val="29"/>
          <w:szCs w:val="29"/>
          <w:rtl/>
        </w:rPr>
        <w:t>بَى</w:t>
      </w:r>
      <w:r w:rsidR="00685363" w:rsidRPr="00995B26">
        <w:rPr>
          <w:rFonts w:ascii="KFGQPC Uthmanic Script HAFS" w:cs="KFGQPC Uthmanic Script HAFS" w:hint="cs"/>
          <w:sz w:val="29"/>
          <w:szCs w:val="29"/>
          <w:rtl/>
        </w:rPr>
        <w:t>ٰ</w:t>
      </w:r>
      <w:r w:rsidR="00685363" w:rsidRPr="00995B26">
        <w:rPr>
          <w:rFonts w:ascii="Abo-thar" w:hAnsi="Abo-thar" w:cs="Traditional Arabic" w:hint="cs"/>
          <w:sz w:val="28"/>
          <w:rtl/>
          <w:lang w:bidi="ar-SY"/>
        </w:rPr>
        <w:t>﴾</w:t>
      </w:r>
      <w:r w:rsidR="00685363" w:rsidRPr="00995B26">
        <w:rPr>
          <w:rFonts w:ascii="Abo-thar" w:hAnsi="Abo-thar" w:hint="cs"/>
          <w:sz w:val="28"/>
          <w:rtl/>
          <w:lang w:bidi="ar-SY"/>
        </w:rPr>
        <w:t xml:space="preserve"> </w:t>
      </w:r>
      <w:r w:rsidRPr="00995B26">
        <w:rPr>
          <w:rFonts w:ascii="Abo-thar" w:hAnsi="Abo-thar" w:hint="cs"/>
          <w:sz w:val="28"/>
          <w:rtl/>
          <w:lang w:bidi="ar-SY"/>
        </w:rPr>
        <w:t>وذلك لأجل طمأنة المجاهدين بأنهم إذا رزقوا درجة الشهادة الرفيعة فليطمئنوا بشأن عيالهم وأطفالهم إذ جعل الله لهم سهماً من المال يسد حاجاتهم</w:t>
      </w:r>
      <w:r w:rsidR="00217AB4" w:rsidRPr="00995B26">
        <w:rPr>
          <w:rFonts w:ascii="Abo-thar" w:hAnsi="Abo-thar" w:hint="cs"/>
          <w:sz w:val="28"/>
          <w:rtl/>
          <w:lang w:bidi="ar-SY"/>
        </w:rPr>
        <w:t>،</w:t>
      </w:r>
      <w:r w:rsidRPr="00995B26">
        <w:rPr>
          <w:rFonts w:ascii="Abo-thar" w:hAnsi="Abo-thar" w:hint="cs"/>
          <w:sz w:val="28"/>
          <w:rtl/>
          <w:lang w:bidi="ar-SY"/>
        </w:rPr>
        <w:t xml:space="preserve"> وأنه إذا </w:t>
      </w:r>
      <w:r w:rsidRPr="00995B26">
        <w:rPr>
          <w:rFonts w:ascii="Abo-thar" w:hAnsi="Abo-thar" w:hint="cs"/>
          <w:vanish/>
          <w:sz w:val="28"/>
          <w:rtl/>
          <w:lang w:bidi="ar-SY"/>
        </w:rPr>
        <w:t xml:space="preserve">وفإذا </w:t>
      </w:r>
      <w:r w:rsidRPr="00995B26">
        <w:rPr>
          <w:rFonts w:ascii="Abo-thar" w:hAnsi="Abo-thar" w:hint="cs"/>
          <w:sz w:val="28"/>
          <w:rtl/>
          <w:lang w:bidi="ar-SY"/>
        </w:rPr>
        <w:t>كان المجاهدون قد حرموا من الغنيمة بموتهم فإن أيتامهم سينالون سهماً ونصيباً منها</w:t>
      </w:r>
      <w:r w:rsidR="00217AB4" w:rsidRPr="00995B26">
        <w:rPr>
          <w:rFonts w:ascii="Abo-thar" w:hAnsi="Abo-thar" w:hint="cs"/>
          <w:sz w:val="28"/>
          <w:rtl/>
          <w:lang w:bidi="ar-SY"/>
        </w:rPr>
        <w:t>!</w:t>
      </w:r>
      <w:r w:rsidRPr="00995B26">
        <w:rPr>
          <w:rFonts w:ascii="Abo-thar" w:hAnsi="Abo-thar" w:hint="cs"/>
          <w:sz w:val="28"/>
          <w:rtl/>
          <w:lang w:bidi="ar-SY"/>
        </w:rPr>
        <w:t xml:space="preserve"> </w:t>
      </w:r>
    </w:p>
    <w:p w:rsidR="005C664D" w:rsidRPr="003F3B94" w:rsidRDefault="005C664D" w:rsidP="003F3B94">
      <w:pPr>
        <w:pStyle w:val="a0"/>
        <w:rPr>
          <w:rFonts w:hint="cs"/>
          <w:rtl/>
          <w:lang w:bidi="ar-SY"/>
        </w:rPr>
      </w:pPr>
      <w:r w:rsidRPr="003F3B94">
        <w:rPr>
          <w:rFonts w:ascii="Abo-thar" w:hAnsi="Abo-thar" w:hint="cs"/>
          <w:sz w:val="28"/>
          <w:rtl/>
          <w:lang w:bidi="ar-SY"/>
        </w:rPr>
        <w:t>ومن الجهة الأخرى فإن الفقراء والمساكين وأبناء السبيل من المسلمين بشكل عام كانوا في ذلك الحين يبحثون عن مرجع وملجأ يساعدهم في تأمين حاجاتهم ورفع فاقتهم لذلك خصص رب العالمين لهم سهماً من غنائم الحرب</w:t>
      </w:r>
      <w:r w:rsidR="00217AB4" w:rsidRPr="003F3B94">
        <w:rPr>
          <w:rFonts w:ascii="Abo-thar" w:hAnsi="Abo-thar" w:hint="cs"/>
          <w:sz w:val="28"/>
          <w:rtl/>
          <w:lang w:bidi="ar-SY"/>
        </w:rPr>
        <w:t>.</w:t>
      </w:r>
      <w:r w:rsidRPr="003F3B94">
        <w:rPr>
          <w:rFonts w:ascii="Abo-thar" w:hAnsi="Abo-thar" w:hint="cs"/>
          <w:sz w:val="28"/>
          <w:rtl/>
          <w:lang w:bidi="ar-SY"/>
        </w:rPr>
        <w:t xml:space="preserve"> </w:t>
      </w:r>
    </w:p>
    <w:p w:rsidR="005C664D" w:rsidRPr="003F3B94" w:rsidRDefault="005C664D" w:rsidP="003F3B94">
      <w:pPr>
        <w:pStyle w:val="a0"/>
        <w:rPr>
          <w:rFonts w:hint="cs"/>
          <w:rtl/>
          <w:lang w:bidi="ar-SY"/>
        </w:rPr>
      </w:pPr>
      <w:r w:rsidRPr="003F3B94">
        <w:rPr>
          <w:rFonts w:ascii="Abo-thar" w:hAnsi="Abo-thar" w:hint="cs"/>
          <w:sz w:val="28"/>
          <w:rtl/>
          <w:lang w:bidi="ar-SY"/>
        </w:rPr>
        <w:t>ج</w:t>
      </w:r>
      <w:r w:rsidR="00217AB4" w:rsidRPr="003F3B94">
        <w:rPr>
          <w:rFonts w:ascii="Abo-thar" w:hAnsi="Abo-thar" w:hint="cs"/>
          <w:sz w:val="28"/>
          <w:rtl/>
          <w:lang w:bidi="ar-SY"/>
        </w:rPr>
        <w:t>-</w:t>
      </w:r>
      <w:r w:rsidRPr="003F3B94">
        <w:rPr>
          <w:rFonts w:ascii="Abo-thar" w:hAnsi="Abo-thar" w:hint="cs"/>
          <w:sz w:val="28"/>
          <w:rtl/>
          <w:lang w:bidi="ar-SY"/>
        </w:rPr>
        <w:t xml:space="preserve"> أما قولهم إن المقصود من اليتامى والمساكين وابن السبيل المذكورين في الآية هم من كانوا من ذوي قربى رسول الله وآل محمد</w:t>
      </w:r>
      <w:r w:rsidR="00147857" w:rsidRPr="003F3B94">
        <w:rPr>
          <w:rFonts w:ascii="Abo-thar" w:hAnsi="Abo-thar" w:hint="cs"/>
          <w:sz w:val="28"/>
          <w:rtl/>
          <w:lang w:bidi="ar-SY"/>
        </w:rPr>
        <w:t xml:space="preserve"> </w:t>
      </w:r>
      <w:r w:rsidR="003C7AEB" w:rsidRPr="003C7AEB">
        <w:rPr>
          <w:rFonts w:ascii="Abo-thar" w:hAnsi="Abo-thar" w:cs="CTraditional Arabic"/>
          <w:sz w:val="28"/>
          <w:rtl/>
          <w:lang w:bidi="ar-SY"/>
        </w:rPr>
        <w:t>ص</w:t>
      </w:r>
      <w:r w:rsidR="00217AB4" w:rsidRPr="003F3B94">
        <w:rPr>
          <w:rFonts w:ascii="Abo-thar" w:hAnsi="Abo-thar"/>
          <w:sz w:val="28"/>
          <w:rtl/>
          <w:lang w:bidi="ar-SY"/>
        </w:rPr>
        <w:t>،</w:t>
      </w:r>
      <w:r w:rsidRPr="003F3B94">
        <w:rPr>
          <w:rFonts w:ascii="Abo-thar" w:hAnsi="Abo-thar" w:hint="cs"/>
          <w:sz w:val="28"/>
          <w:rtl/>
          <w:lang w:bidi="ar-SY"/>
        </w:rPr>
        <w:t xml:space="preserve"> فإن هذا لا</w:t>
      </w:r>
      <w:r w:rsidRPr="003F3B94">
        <w:rPr>
          <w:rFonts w:cs="Times New Roman" w:hint="cs"/>
          <w:sz w:val="28"/>
          <w:rtl/>
          <w:lang w:bidi="ar-SY"/>
        </w:rPr>
        <w:t> </w:t>
      </w:r>
      <w:r w:rsidRPr="003F3B94">
        <w:rPr>
          <w:rFonts w:ascii="Abo-thar" w:hAnsi="Abo-thar" w:hint="cs"/>
          <w:sz w:val="28"/>
          <w:rtl/>
          <w:lang w:bidi="ar-SY"/>
        </w:rPr>
        <w:t>يصح مطلقاً لأنه في زمن نزول تلك الآية الكريمة وعند تقسيم غنائم بدر لم يكن بين أقرباء رسول الله</w:t>
      </w:r>
      <w:r w:rsidR="00147857" w:rsidRPr="003F3B94">
        <w:rPr>
          <w:rFonts w:ascii="Abo-thar" w:hAnsi="Abo-thar" w:hint="cs"/>
          <w:sz w:val="28"/>
          <w:rtl/>
          <w:lang w:bidi="ar-SY"/>
        </w:rPr>
        <w:t xml:space="preserve"> </w:t>
      </w:r>
      <w:r w:rsidR="003C7AEB" w:rsidRPr="003C7AEB">
        <w:rPr>
          <w:rFonts w:ascii="Abo-thar" w:hAnsi="Abo-thar" w:cs="CTraditional Arabic"/>
          <w:sz w:val="28"/>
          <w:rtl/>
          <w:lang w:bidi="ar-SY"/>
        </w:rPr>
        <w:t>ص</w:t>
      </w:r>
      <w:r w:rsidR="00147857" w:rsidRPr="003F3B94">
        <w:rPr>
          <w:rFonts w:ascii="Abo-thar" w:hAnsi="Abo-thar"/>
          <w:sz w:val="28"/>
          <w:rtl/>
          <w:lang w:bidi="ar-SY"/>
        </w:rPr>
        <w:t xml:space="preserve"> </w:t>
      </w:r>
      <w:r w:rsidRPr="003F3B94">
        <w:rPr>
          <w:rFonts w:ascii="Abo-thar" w:hAnsi="Abo-thar" w:hint="cs"/>
          <w:sz w:val="28"/>
          <w:rtl/>
          <w:lang w:bidi="ar-SY"/>
        </w:rPr>
        <w:t>يتامى أو مساكين أو أبناء سبيل حتى يخصص الله لهم سهماً</w:t>
      </w:r>
      <w:r w:rsidR="00217AB4" w:rsidRPr="003F3B94">
        <w:rPr>
          <w:rFonts w:ascii="Abo-thar" w:hAnsi="Abo-thar" w:hint="cs"/>
          <w:sz w:val="28"/>
          <w:rtl/>
          <w:lang w:bidi="ar-SY"/>
        </w:rPr>
        <w:t>،</w:t>
      </w:r>
      <w:r w:rsidRPr="003F3B94">
        <w:rPr>
          <w:rFonts w:ascii="Abo-thar" w:hAnsi="Abo-thar" w:hint="cs"/>
          <w:sz w:val="28"/>
          <w:rtl/>
          <w:lang w:bidi="ar-SY"/>
        </w:rPr>
        <w:t xml:space="preserve"> فكما ذكرتُ في بحث </w:t>
      </w:r>
      <w:r w:rsidRPr="003F3B94">
        <w:rPr>
          <w:rFonts w:ascii="Abo-thar" w:hAnsi="Abo-thar" w:hint="eastAsia"/>
          <w:sz w:val="28"/>
          <w:rtl/>
          <w:lang w:bidi="ar-SY"/>
        </w:rPr>
        <w:t>«</w:t>
      </w:r>
      <w:r w:rsidRPr="003F3B94">
        <w:rPr>
          <w:rFonts w:ascii="Abo-thar" w:hAnsi="Abo-thar" w:hint="cs"/>
          <w:sz w:val="28"/>
          <w:rtl/>
          <w:lang w:bidi="ar-SY"/>
        </w:rPr>
        <w:t>ذي القربى</w:t>
      </w:r>
      <w:r w:rsidRPr="003F3B94">
        <w:rPr>
          <w:rFonts w:ascii="Abo-thar" w:hAnsi="Abo-thar" w:hint="eastAsia"/>
          <w:sz w:val="28"/>
          <w:rtl/>
          <w:lang w:bidi="ar-SY"/>
        </w:rPr>
        <w:t>»</w:t>
      </w:r>
      <w:r w:rsidRPr="003F3B94">
        <w:rPr>
          <w:rFonts w:ascii="Abo-thar" w:hAnsi="Abo-thar" w:hint="cs"/>
          <w:sz w:val="28"/>
          <w:rtl/>
          <w:lang w:bidi="ar-SY"/>
        </w:rPr>
        <w:t xml:space="preserve"> </w:t>
      </w:r>
      <w:r w:rsidR="00147857" w:rsidRPr="003F3B94">
        <w:rPr>
          <w:rFonts w:ascii="Abo-thar" w:hAnsi="Abo-thar" w:hint="cs"/>
          <w:sz w:val="28"/>
          <w:rtl/>
          <w:lang w:bidi="ar-SY"/>
        </w:rPr>
        <w:t>[</w:t>
      </w:r>
      <w:r w:rsidRPr="003F3B94">
        <w:rPr>
          <w:rFonts w:ascii="Abo-thar" w:hAnsi="Abo-thar" w:hint="cs"/>
          <w:sz w:val="28"/>
          <w:rtl/>
          <w:lang w:bidi="ar-SY"/>
        </w:rPr>
        <w:t>في النقطة السادسة] لم يكن أحد ممن أسلم من آل محمد حين نزول آية الخمس من اليتامى أو من المساكين أو من أبناء السبيل لا من بنات رسول الله ولا</w:t>
      </w:r>
      <w:r w:rsidRPr="003F3B94">
        <w:rPr>
          <w:rFonts w:cs="Times New Roman" w:hint="cs"/>
          <w:sz w:val="28"/>
          <w:rtl/>
          <w:lang w:bidi="ar-SY"/>
        </w:rPr>
        <w:t> </w:t>
      </w:r>
      <w:r w:rsidRPr="003F3B94">
        <w:rPr>
          <w:rFonts w:ascii="Abo-thar" w:hAnsi="Abo-thar" w:hint="cs"/>
          <w:sz w:val="28"/>
          <w:rtl/>
          <w:lang w:bidi="ar-SY"/>
        </w:rPr>
        <w:t>من أعمامه ولا من بني أعمامه</w:t>
      </w:r>
      <w:r w:rsidR="00217AB4" w:rsidRPr="003F3B94">
        <w:rPr>
          <w:rFonts w:ascii="Abo-thar" w:hAnsi="Abo-thar" w:hint="cs"/>
          <w:sz w:val="28"/>
          <w:rtl/>
          <w:lang w:bidi="ar-SY"/>
        </w:rPr>
        <w:t>،</w:t>
      </w:r>
      <w:r w:rsidRPr="003F3B94">
        <w:rPr>
          <w:rFonts w:ascii="Abo-thar" w:hAnsi="Abo-thar" w:hint="cs"/>
          <w:sz w:val="28"/>
          <w:rtl/>
          <w:lang w:bidi="ar-SY"/>
        </w:rPr>
        <w:t xml:space="preserve"> بل أكثر ذوي قربى النبيّ</w:t>
      </w:r>
      <w:r w:rsidR="00147857" w:rsidRPr="003F3B94">
        <w:rPr>
          <w:rFonts w:ascii="Abo-thar" w:hAnsi="Abo-thar" w:hint="cs"/>
          <w:sz w:val="28"/>
          <w:rtl/>
          <w:lang w:bidi="ar-SY"/>
        </w:rPr>
        <w:t xml:space="preserve"> </w:t>
      </w:r>
      <w:r w:rsidR="003C7AEB" w:rsidRPr="003C7AEB">
        <w:rPr>
          <w:rFonts w:ascii="Abo-thar" w:hAnsi="Abo-thar" w:cs="CTraditional Arabic"/>
          <w:sz w:val="28"/>
          <w:rtl/>
          <w:lang w:bidi="ar-SY"/>
        </w:rPr>
        <w:t>ص</w:t>
      </w:r>
      <w:r w:rsidR="00147857" w:rsidRPr="003F3B94">
        <w:rPr>
          <w:rFonts w:ascii="Abo-thar" w:hAnsi="Abo-thar"/>
          <w:sz w:val="28"/>
          <w:rtl/>
          <w:lang w:bidi="ar-SY"/>
        </w:rPr>
        <w:t xml:space="preserve"> </w:t>
      </w:r>
      <w:r w:rsidRPr="003F3B94">
        <w:rPr>
          <w:rFonts w:ascii="Abo-thar" w:hAnsi="Abo-thar" w:hint="cs"/>
          <w:sz w:val="28"/>
          <w:rtl/>
          <w:lang w:bidi="ar-SY"/>
        </w:rPr>
        <w:t>في ذلك الوقت كانوا لا يزالون على الكفر فلا يشملهم حكم الآية أبداً فكيف يمكن أن يختص رب العالمين من بين جميع المسلمين اليتامى والمساكين وأبناء السبيل من آل محمد</w:t>
      </w:r>
      <w:r w:rsidR="00147857" w:rsidRPr="003F3B94">
        <w:rPr>
          <w:rFonts w:ascii="Abo-thar" w:hAnsi="Abo-thar" w:hint="cs"/>
          <w:sz w:val="28"/>
          <w:rtl/>
          <w:lang w:bidi="ar-SY"/>
        </w:rPr>
        <w:t xml:space="preserve"> </w:t>
      </w:r>
      <w:r w:rsidR="003C7AEB" w:rsidRPr="003C7AEB">
        <w:rPr>
          <w:rFonts w:ascii="Abo-thar" w:hAnsi="Abo-thar" w:cs="CTraditional Arabic" w:hint="cs"/>
          <w:sz w:val="28"/>
          <w:rtl/>
          <w:lang w:bidi="ar-SY"/>
        </w:rPr>
        <w:t>ص</w:t>
      </w:r>
      <w:r w:rsidR="00147857" w:rsidRPr="003F3B94">
        <w:rPr>
          <w:rFonts w:ascii="Abo-thar" w:hAnsi="Abo-thar" w:hint="cs"/>
          <w:sz w:val="28"/>
          <w:rtl/>
          <w:lang w:bidi="ar-SY"/>
        </w:rPr>
        <w:t xml:space="preserve"> </w:t>
      </w:r>
      <w:r w:rsidRPr="003F3B94">
        <w:rPr>
          <w:rFonts w:ascii="Abo-thar" w:hAnsi="Abo-thar" w:hint="cs"/>
          <w:sz w:val="28"/>
          <w:rtl/>
          <w:lang w:bidi="ar-SY"/>
        </w:rPr>
        <w:t>فقط الذين لم يوجدوا بعد فيختصهم بخمس الغنائم ويميزهم بهذا الامتياز في شريعة الإسلام القائمة على المساواة وعدم التمييز</w:t>
      </w:r>
      <w:r w:rsidR="00217AB4" w:rsidRPr="003F3B94">
        <w:rPr>
          <w:rFonts w:ascii="Abo-thar" w:hAnsi="Abo-thar" w:hint="cs"/>
          <w:sz w:val="28"/>
          <w:rtl/>
          <w:lang w:bidi="ar-SY"/>
        </w:rPr>
        <w:t>؟!</w:t>
      </w:r>
    </w:p>
    <w:p w:rsidR="005C664D" w:rsidRPr="003F3B94" w:rsidRDefault="005C664D" w:rsidP="003F3B94">
      <w:pPr>
        <w:pStyle w:val="a0"/>
        <w:rPr>
          <w:rFonts w:hint="cs"/>
          <w:rtl/>
          <w:lang w:bidi="ar-SY"/>
        </w:rPr>
      </w:pPr>
      <w:r w:rsidRPr="003F3B94">
        <w:rPr>
          <w:rFonts w:ascii="Abo-thar" w:hAnsi="Abo-thar" w:hint="cs"/>
          <w:sz w:val="28"/>
          <w:rtl/>
          <w:lang w:bidi="ar-SY"/>
        </w:rPr>
        <w:t>لذا كان من المحال عقلاً وشرعاً واستناداً إلى التاريخ أن يكون المُراد من اليتامى والمساكين وابن السبيل في الآية الكريمة اليتامى والمساكين وابن السبيل من آل محمدٍ فقط</w:t>
      </w:r>
      <w:r w:rsidR="00217AB4" w:rsidRPr="003F3B94">
        <w:rPr>
          <w:rFonts w:ascii="Abo-thar" w:hAnsi="Abo-thar" w:hint="cs"/>
          <w:sz w:val="28"/>
          <w:rtl/>
          <w:lang w:bidi="ar-SY"/>
        </w:rPr>
        <w:t>.</w:t>
      </w:r>
      <w:r w:rsidRPr="003F3B94">
        <w:rPr>
          <w:rFonts w:ascii="Abo-thar" w:hAnsi="Abo-thar" w:hint="cs"/>
          <w:sz w:val="28"/>
          <w:rtl/>
          <w:lang w:bidi="ar-SY"/>
        </w:rPr>
        <w:t xml:space="preserve"> </w:t>
      </w:r>
    </w:p>
    <w:p w:rsidR="005C664D" w:rsidRPr="003F3B94" w:rsidRDefault="005C664D" w:rsidP="003F3B94">
      <w:pPr>
        <w:pStyle w:val="a0"/>
        <w:rPr>
          <w:rFonts w:hint="cs"/>
          <w:rtl/>
          <w:lang w:bidi="ar-SY"/>
        </w:rPr>
      </w:pPr>
      <w:r w:rsidRPr="003F3B94">
        <w:rPr>
          <w:rFonts w:ascii="Abo-thar" w:hAnsi="Abo-thar" w:hint="cs"/>
          <w:sz w:val="28"/>
          <w:rtl/>
          <w:lang w:bidi="ar-SY"/>
        </w:rPr>
        <w:t>إذن العقل والتاريخ يحكمان بأن اليتامى والمساكين وأبناء السبيل في الآية يعمون جميع المسلمين ولا يقتصرون على من هم كذلك من آل محمد</w:t>
      </w:r>
      <w:r w:rsidR="00147857" w:rsidRPr="003F3B94">
        <w:rPr>
          <w:rFonts w:ascii="Abo-thar" w:hAnsi="Abo-thar" w:hint="cs"/>
          <w:sz w:val="28"/>
          <w:rtl/>
          <w:lang w:bidi="ar-SY"/>
        </w:rPr>
        <w:t xml:space="preserve"> </w:t>
      </w:r>
      <w:r w:rsidR="003C7AEB" w:rsidRPr="003C7AEB">
        <w:rPr>
          <w:rFonts w:ascii="Abo-thar" w:hAnsi="Abo-thar" w:cs="CTraditional Arabic" w:hint="cs"/>
          <w:sz w:val="28"/>
          <w:rtl/>
          <w:lang w:bidi="ar-SY"/>
        </w:rPr>
        <w:t>ص</w:t>
      </w:r>
      <w:r w:rsidR="00217AB4" w:rsidRPr="003F3B94">
        <w:rPr>
          <w:rFonts w:ascii="Abo-thar" w:hAnsi="Abo-thar" w:hint="cs"/>
          <w:sz w:val="28"/>
          <w:rtl/>
          <w:lang w:bidi="ar-SY"/>
        </w:rPr>
        <w:t>،</w:t>
      </w:r>
      <w:r w:rsidRPr="003F3B94">
        <w:rPr>
          <w:rFonts w:ascii="Abo-thar" w:hAnsi="Abo-thar" w:hint="cs"/>
          <w:sz w:val="28"/>
          <w:rtl/>
          <w:lang w:bidi="ar-SY"/>
        </w:rPr>
        <w:t xml:space="preserve"> وقد جاء في كتاب الله وفي الأحاديث الواردة من طريق أهل البيت ذكر اليتامى والمساكين وابن السبيل على سبيل الشمول والعموم لعامة المسلمين</w:t>
      </w:r>
      <w:r w:rsidR="00217AB4" w:rsidRPr="003F3B94">
        <w:rPr>
          <w:rFonts w:ascii="Abo-thar" w:hAnsi="Abo-thar" w:hint="cs"/>
          <w:sz w:val="28"/>
          <w:rtl/>
          <w:lang w:bidi="ar-SY"/>
        </w:rPr>
        <w:t>،</w:t>
      </w:r>
      <w:r w:rsidRPr="003F3B94">
        <w:rPr>
          <w:rFonts w:ascii="Abo-thar" w:hAnsi="Abo-thar" w:hint="cs"/>
          <w:sz w:val="28"/>
          <w:rtl/>
          <w:lang w:bidi="ar-SY"/>
        </w:rPr>
        <w:t xml:space="preserve"> من ذلك الآية </w:t>
      </w:r>
      <w:r w:rsidR="009127B5" w:rsidRPr="003F3B94">
        <w:rPr>
          <w:rFonts w:ascii="Abo-thar" w:hAnsi="Abo-thar" w:hint="cs"/>
          <w:sz w:val="28"/>
          <w:rtl/>
          <w:lang w:bidi="ar-SY"/>
        </w:rPr>
        <w:t>الآتية</w:t>
      </w:r>
      <w:r w:rsidRPr="003F3B94">
        <w:rPr>
          <w:rFonts w:ascii="Abo-thar" w:hAnsi="Abo-thar" w:hint="cs"/>
          <w:sz w:val="28"/>
          <w:rtl/>
          <w:lang w:bidi="ar-SY"/>
        </w:rPr>
        <w:t xml:space="preserve"> التي تتعلق تعلقاً كاملاً بموضوعنا وهي الآية السابعة من سورة الحشر حيث قال تعالى</w:t>
      </w:r>
      <w:r w:rsidR="00217AB4" w:rsidRPr="003F3B94">
        <w:rPr>
          <w:rFonts w:ascii="Abo-thar" w:hAnsi="Abo-thar" w:hint="cs"/>
          <w:sz w:val="28"/>
          <w:rtl/>
          <w:lang w:bidi="ar-SY"/>
        </w:rPr>
        <w:t>:</w:t>
      </w:r>
      <w:r w:rsidRPr="003F3B94">
        <w:rPr>
          <w:rFonts w:ascii="Abo-thar" w:hAnsi="Abo-thar" w:hint="cs"/>
          <w:sz w:val="28"/>
          <w:rtl/>
          <w:lang w:bidi="ar-SY"/>
        </w:rPr>
        <w:t xml:space="preserve"> </w:t>
      </w:r>
    </w:p>
    <w:p w:rsidR="005C664D" w:rsidRPr="003F3B94" w:rsidRDefault="00685363" w:rsidP="0067048A">
      <w:pPr>
        <w:pStyle w:val="a0"/>
        <w:ind w:left="284" w:firstLine="0"/>
        <w:rPr>
          <w:rFonts w:hint="cs"/>
          <w:rtl/>
          <w:lang w:bidi="ar-SY"/>
        </w:rPr>
      </w:pPr>
      <w:r w:rsidRPr="00995B26">
        <w:rPr>
          <w:rFonts w:ascii="Abo-thar" w:hAnsi="Abo-thar" w:cs="Traditional Arabic" w:hint="cs"/>
          <w:sz w:val="28"/>
          <w:rtl/>
          <w:lang w:bidi="ar-SY"/>
        </w:rPr>
        <w:t>﴿</w:t>
      </w:r>
      <w:r w:rsidRPr="0067048A">
        <w:rPr>
          <w:rStyle w:val="Char3"/>
          <w:rFonts w:hint="eastAsia"/>
          <w:rtl/>
        </w:rPr>
        <w:t>مَّا</w:t>
      </w:r>
      <w:r w:rsidRPr="0067048A">
        <w:rPr>
          <w:rStyle w:val="Char3"/>
          <w:rFonts w:hint="cs"/>
          <w:rtl/>
        </w:rPr>
        <w:t>ٓ</w:t>
      </w:r>
      <w:r w:rsidRPr="0067048A">
        <w:rPr>
          <w:rStyle w:val="Char3"/>
          <w:rtl/>
        </w:rPr>
        <w:t xml:space="preserve"> </w:t>
      </w:r>
      <w:r w:rsidRPr="0067048A">
        <w:rPr>
          <w:rStyle w:val="Char3"/>
          <w:rFonts w:hint="eastAsia"/>
          <w:rtl/>
        </w:rPr>
        <w:t>أَفَا</w:t>
      </w:r>
      <w:r w:rsidRPr="0067048A">
        <w:rPr>
          <w:rStyle w:val="Char3"/>
          <w:rFonts w:hint="cs"/>
          <w:rtl/>
        </w:rPr>
        <w:t>ٓ</w:t>
      </w:r>
      <w:r w:rsidRPr="0067048A">
        <w:rPr>
          <w:rStyle w:val="Char3"/>
          <w:rFonts w:hint="eastAsia"/>
          <w:rtl/>
        </w:rPr>
        <w:t>ءَ</w:t>
      </w:r>
      <w:r w:rsidRPr="0067048A">
        <w:rPr>
          <w:rStyle w:val="Char3"/>
          <w:rtl/>
        </w:rPr>
        <w:t xml:space="preserve"> </w:t>
      </w:r>
      <w:r w:rsidRPr="0067048A">
        <w:rPr>
          <w:rStyle w:val="Char3"/>
          <w:rFonts w:hint="cs"/>
          <w:rtl/>
        </w:rPr>
        <w:t>ٱ</w:t>
      </w:r>
      <w:r w:rsidRPr="0067048A">
        <w:rPr>
          <w:rStyle w:val="Char3"/>
          <w:rFonts w:hint="eastAsia"/>
          <w:rtl/>
        </w:rPr>
        <w:t>للَّهُ</w:t>
      </w:r>
      <w:r w:rsidRPr="0067048A">
        <w:rPr>
          <w:rStyle w:val="Char3"/>
          <w:rtl/>
        </w:rPr>
        <w:t xml:space="preserve"> </w:t>
      </w:r>
      <w:r w:rsidRPr="0067048A">
        <w:rPr>
          <w:rStyle w:val="Char3"/>
          <w:rFonts w:hint="eastAsia"/>
          <w:rtl/>
        </w:rPr>
        <w:t>عَلَى</w:t>
      </w:r>
      <w:r w:rsidRPr="0067048A">
        <w:rPr>
          <w:rStyle w:val="Char3"/>
          <w:rFonts w:hint="cs"/>
          <w:rtl/>
        </w:rPr>
        <w:t>ٰ</w:t>
      </w:r>
      <w:r w:rsidRPr="0067048A">
        <w:rPr>
          <w:rStyle w:val="Char3"/>
          <w:rtl/>
        </w:rPr>
        <w:t xml:space="preserve"> </w:t>
      </w:r>
      <w:r w:rsidRPr="0067048A">
        <w:rPr>
          <w:rStyle w:val="Char3"/>
          <w:rFonts w:hint="eastAsia"/>
          <w:rtl/>
        </w:rPr>
        <w:t>رَسُولِهِ</w:t>
      </w:r>
      <w:r w:rsidRPr="0067048A">
        <w:rPr>
          <w:rStyle w:val="Char3"/>
          <w:rFonts w:hint="cs"/>
          <w:rtl/>
        </w:rPr>
        <w:t>ۦ</w:t>
      </w:r>
      <w:r w:rsidRPr="0067048A">
        <w:rPr>
          <w:rStyle w:val="Char3"/>
          <w:rtl/>
        </w:rPr>
        <w:t xml:space="preserve"> </w:t>
      </w:r>
      <w:r w:rsidRPr="0067048A">
        <w:rPr>
          <w:rStyle w:val="Char3"/>
          <w:rFonts w:hint="eastAsia"/>
          <w:rtl/>
        </w:rPr>
        <w:t>مِن</w:t>
      </w:r>
      <w:r w:rsidRPr="0067048A">
        <w:rPr>
          <w:rStyle w:val="Char3"/>
          <w:rFonts w:hint="cs"/>
          <w:rtl/>
        </w:rPr>
        <w:t>ۡ</w:t>
      </w:r>
      <w:r w:rsidRPr="0067048A">
        <w:rPr>
          <w:rStyle w:val="Char3"/>
          <w:rtl/>
        </w:rPr>
        <w:t xml:space="preserve"> </w:t>
      </w:r>
      <w:r w:rsidRPr="0067048A">
        <w:rPr>
          <w:rStyle w:val="Char3"/>
          <w:rFonts w:hint="eastAsia"/>
          <w:rtl/>
        </w:rPr>
        <w:t>أَه</w:t>
      </w:r>
      <w:r w:rsidRPr="0067048A">
        <w:rPr>
          <w:rStyle w:val="Char3"/>
          <w:rFonts w:hint="cs"/>
          <w:rtl/>
        </w:rPr>
        <w:t>ۡ</w:t>
      </w:r>
      <w:r w:rsidRPr="0067048A">
        <w:rPr>
          <w:rStyle w:val="Char3"/>
          <w:rFonts w:hint="eastAsia"/>
          <w:rtl/>
        </w:rPr>
        <w:t>لِ</w:t>
      </w:r>
      <w:r w:rsidRPr="0067048A">
        <w:rPr>
          <w:rStyle w:val="Char3"/>
          <w:rtl/>
        </w:rPr>
        <w:t xml:space="preserve"> </w:t>
      </w:r>
      <w:r w:rsidRPr="0067048A">
        <w:rPr>
          <w:rStyle w:val="Char3"/>
          <w:rFonts w:hint="cs"/>
          <w:rtl/>
        </w:rPr>
        <w:t>ٱ</w:t>
      </w:r>
      <w:r w:rsidRPr="0067048A">
        <w:rPr>
          <w:rStyle w:val="Char3"/>
          <w:rFonts w:hint="eastAsia"/>
          <w:rtl/>
        </w:rPr>
        <w:t>ل</w:t>
      </w:r>
      <w:r w:rsidRPr="0067048A">
        <w:rPr>
          <w:rStyle w:val="Char3"/>
          <w:rFonts w:hint="cs"/>
          <w:rtl/>
        </w:rPr>
        <w:t>ۡ</w:t>
      </w:r>
      <w:r w:rsidRPr="0067048A">
        <w:rPr>
          <w:rStyle w:val="Char3"/>
          <w:rFonts w:hint="eastAsia"/>
          <w:rtl/>
        </w:rPr>
        <w:t>قُرَى</w:t>
      </w:r>
      <w:r w:rsidRPr="0067048A">
        <w:rPr>
          <w:rStyle w:val="Char3"/>
          <w:rFonts w:hint="cs"/>
          <w:rtl/>
        </w:rPr>
        <w:t>ٰ</w:t>
      </w:r>
      <w:r w:rsidRPr="0067048A">
        <w:rPr>
          <w:rStyle w:val="Char3"/>
          <w:rtl/>
        </w:rPr>
        <w:t xml:space="preserve"> </w:t>
      </w:r>
      <w:r w:rsidRPr="0067048A">
        <w:rPr>
          <w:rStyle w:val="Char3"/>
          <w:rFonts w:hint="eastAsia"/>
          <w:rtl/>
        </w:rPr>
        <w:t>فَلِلَّهِ</w:t>
      </w:r>
      <w:r w:rsidRPr="0067048A">
        <w:rPr>
          <w:rStyle w:val="Char3"/>
          <w:rtl/>
        </w:rPr>
        <w:t xml:space="preserve"> </w:t>
      </w:r>
      <w:r w:rsidRPr="0067048A">
        <w:rPr>
          <w:rStyle w:val="Char3"/>
          <w:rFonts w:hint="eastAsia"/>
          <w:rtl/>
        </w:rPr>
        <w:t>وَلِلرَّسُولِ</w:t>
      </w:r>
      <w:r w:rsidRPr="0067048A">
        <w:rPr>
          <w:rStyle w:val="Char3"/>
          <w:rtl/>
        </w:rPr>
        <w:t xml:space="preserve"> </w:t>
      </w:r>
      <w:r w:rsidRPr="0067048A">
        <w:rPr>
          <w:rStyle w:val="Char3"/>
          <w:rFonts w:hint="eastAsia"/>
          <w:rtl/>
        </w:rPr>
        <w:t>وَلِذِي</w:t>
      </w:r>
      <w:r w:rsidRPr="0067048A">
        <w:rPr>
          <w:rStyle w:val="Char3"/>
          <w:rtl/>
        </w:rPr>
        <w:t xml:space="preserve"> </w:t>
      </w:r>
      <w:r w:rsidRPr="0067048A">
        <w:rPr>
          <w:rStyle w:val="Char3"/>
          <w:rFonts w:hint="cs"/>
          <w:rtl/>
        </w:rPr>
        <w:t>ٱ</w:t>
      </w:r>
      <w:r w:rsidRPr="0067048A">
        <w:rPr>
          <w:rStyle w:val="Char3"/>
          <w:rFonts w:hint="eastAsia"/>
          <w:rtl/>
        </w:rPr>
        <w:t>ل</w:t>
      </w:r>
      <w:r w:rsidRPr="0067048A">
        <w:rPr>
          <w:rStyle w:val="Char3"/>
          <w:rFonts w:hint="cs"/>
          <w:rtl/>
        </w:rPr>
        <w:t>ۡ</w:t>
      </w:r>
      <w:r w:rsidRPr="0067048A">
        <w:rPr>
          <w:rStyle w:val="Char3"/>
          <w:rFonts w:hint="eastAsia"/>
          <w:rtl/>
        </w:rPr>
        <w:t>قُر</w:t>
      </w:r>
      <w:r w:rsidRPr="0067048A">
        <w:rPr>
          <w:rStyle w:val="Char3"/>
          <w:rFonts w:hint="cs"/>
          <w:rtl/>
        </w:rPr>
        <w:t>ۡ</w:t>
      </w:r>
      <w:r w:rsidRPr="0067048A">
        <w:rPr>
          <w:rStyle w:val="Char3"/>
          <w:rFonts w:hint="eastAsia"/>
          <w:rtl/>
        </w:rPr>
        <w:t>بَى</w:t>
      </w:r>
      <w:r w:rsidRPr="0067048A">
        <w:rPr>
          <w:rStyle w:val="Char3"/>
          <w:rFonts w:hint="cs"/>
          <w:rtl/>
        </w:rPr>
        <w:t>ٰ</w:t>
      </w:r>
      <w:r w:rsidRPr="0067048A">
        <w:rPr>
          <w:rStyle w:val="Char3"/>
          <w:rtl/>
        </w:rPr>
        <w:t xml:space="preserve"> </w:t>
      </w:r>
      <w:r w:rsidRPr="0067048A">
        <w:rPr>
          <w:rStyle w:val="Char3"/>
          <w:rFonts w:hint="eastAsia"/>
          <w:rtl/>
        </w:rPr>
        <w:t>وَ</w:t>
      </w:r>
      <w:r w:rsidRPr="0067048A">
        <w:rPr>
          <w:rStyle w:val="Char3"/>
          <w:rFonts w:hint="cs"/>
          <w:rtl/>
        </w:rPr>
        <w:t>ٱ</w:t>
      </w:r>
      <w:r w:rsidRPr="0067048A">
        <w:rPr>
          <w:rStyle w:val="Char3"/>
          <w:rFonts w:hint="eastAsia"/>
          <w:rtl/>
        </w:rPr>
        <w:t>ل</w:t>
      </w:r>
      <w:r w:rsidRPr="0067048A">
        <w:rPr>
          <w:rStyle w:val="Char3"/>
          <w:rFonts w:hint="cs"/>
          <w:rtl/>
        </w:rPr>
        <w:t>ۡ</w:t>
      </w:r>
      <w:r w:rsidRPr="0067048A">
        <w:rPr>
          <w:rStyle w:val="Char3"/>
          <w:rFonts w:hint="eastAsia"/>
          <w:rtl/>
        </w:rPr>
        <w:t>يَتَ</w:t>
      </w:r>
      <w:r w:rsidRPr="0067048A">
        <w:rPr>
          <w:rStyle w:val="Char3"/>
          <w:rFonts w:hint="cs"/>
          <w:rtl/>
        </w:rPr>
        <w:t>ٰ</w:t>
      </w:r>
      <w:r w:rsidRPr="0067048A">
        <w:rPr>
          <w:rStyle w:val="Char3"/>
          <w:rFonts w:hint="eastAsia"/>
          <w:rtl/>
        </w:rPr>
        <w:t>مَى</w:t>
      </w:r>
      <w:r w:rsidRPr="0067048A">
        <w:rPr>
          <w:rStyle w:val="Char3"/>
          <w:rFonts w:hint="cs"/>
          <w:rtl/>
        </w:rPr>
        <w:t>ٰ</w:t>
      </w:r>
      <w:r w:rsidRPr="0067048A">
        <w:rPr>
          <w:rStyle w:val="Char3"/>
          <w:rtl/>
        </w:rPr>
        <w:t xml:space="preserve"> </w:t>
      </w:r>
      <w:r w:rsidRPr="0067048A">
        <w:rPr>
          <w:rStyle w:val="Char3"/>
          <w:rFonts w:hint="eastAsia"/>
          <w:rtl/>
        </w:rPr>
        <w:t>وَ</w:t>
      </w:r>
      <w:r w:rsidRPr="0067048A">
        <w:rPr>
          <w:rStyle w:val="Char3"/>
          <w:rFonts w:hint="cs"/>
          <w:rtl/>
        </w:rPr>
        <w:t>ٱ</w:t>
      </w:r>
      <w:r w:rsidRPr="0067048A">
        <w:rPr>
          <w:rStyle w:val="Char3"/>
          <w:rFonts w:hint="eastAsia"/>
          <w:rtl/>
        </w:rPr>
        <w:t>ل</w:t>
      </w:r>
      <w:r w:rsidRPr="0067048A">
        <w:rPr>
          <w:rStyle w:val="Char3"/>
          <w:rFonts w:hint="cs"/>
          <w:rtl/>
        </w:rPr>
        <w:t>ۡ</w:t>
      </w:r>
      <w:r w:rsidRPr="0067048A">
        <w:rPr>
          <w:rStyle w:val="Char3"/>
          <w:rFonts w:hint="eastAsia"/>
          <w:rtl/>
        </w:rPr>
        <w:t>مَسَ</w:t>
      </w:r>
      <w:r w:rsidRPr="0067048A">
        <w:rPr>
          <w:rStyle w:val="Char3"/>
          <w:rFonts w:hint="cs"/>
          <w:rtl/>
        </w:rPr>
        <w:t>ٰ</w:t>
      </w:r>
      <w:r w:rsidRPr="0067048A">
        <w:rPr>
          <w:rStyle w:val="Char3"/>
          <w:rFonts w:hint="eastAsia"/>
          <w:rtl/>
        </w:rPr>
        <w:t>كِينِ</w:t>
      </w:r>
      <w:r w:rsidRPr="0067048A">
        <w:rPr>
          <w:rStyle w:val="Char3"/>
          <w:rtl/>
        </w:rPr>
        <w:t xml:space="preserve"> </w:t>
      </w:r>
      <w:r w:rsidRPr="0067048A">
        <w:rPr>
          <w:rStyle w:val="Char3"/>
          <w:rFonts w:hint="eastAsia"/>
          <w:rtl/>
        </w:rPr>
        <w:t>وَ</w:t>
      </w:r>
      <w:r w:rsidRPr="0067048A">
        <w:rPr>
          <w:rStyle w:val="Char3"/>
          <w:rFonts w:hint="cs"/>
          <w:rtl/>
        </w:rPr>
        <w:t>ٱ</w:t>
      </w:r>
      <w:r w:rsidRPr="0067048A">
        <w:rPr>
          <w:rStyle w:val="Char3"/>
          <w:rFonts w:hint="eastAsia"/>
          <w:rtl/>
        </w:rPr>
        <w:t>ب</w:t>
      </w:r>
      <w:r w:rsidRPr="0067048A">
        <w:rPr>
          <w:rStyle w:val="Char3"/>
          <w:rFonts w:hint="cs"/>
          <w:rtl/>
        </w:rPr>
        <w:t>ۡ</w:t>
      </w:r>
      <w:r w:rsidRPr="0067048A">
        <w:rPr>
          <w:rStyle w:val="Char3"/>
          <w:rFonts w:hint="eastAsia"/>
          <w:rtl/>
        </w:rPr>
        <w:t>نِ</w:t>
      </w:r>
      <w:r w:rsidRPr="0067048A">
        <w:rPr>
          <w:rStyle w:val="Char3"/>
          <w:rtl/>
        </w:rPr>
        <w:t xml:space="preserve"> </w:t>
      </w:r>
      <w:r w:rsidRPr="0067048A">
        <w:rPr>
          <w:rStyle w:val="Char3"/>
          <w:rFonts w:hint="cs"/>
          <w:rtl/>
        </w:rPr>
        <w:t>ٱ</w:t>
      </w:r>
      <w:r w:rsidRPr="0067048A">
        <w:rPr>
          <w:rStyle w:val="Char3"/>
          <w:rFonts w:hint="eastAsia"/>
          <w:rtl/>
        </w:rPr>
        <w:t>لسَّبِيلِ</w:t>
      </w:r>
      <w:r w:rsidRPr="0067048A">
        <w:rPr>
          <w:rStyle w:val="Char3"/>
          <w:rtl/>
        </w:rPr>
        <w:t xml:space="preserve"> </w:t>
      </w:r>
      <w:r w:rsidRPr="0067048A">
        <w:rPr>
          <w:rStyle w:val="Char3"/>
          <w:rFonts w:hint="eastAsia"/>
          <w:rtl/>
        </w:rPr>
        <w:t>كَي</w:t>
      </w:r>
      <w:r w:rsidRPr="0067048A">
        <w:rPr>
          <w:rStyle w:val="Char3"/>
          <w:rFonts w:hint="cs"/>
          <w:rtl/>
        </w:rPr>
        <w:t>ۡ</w:t>
      </w:r>
      <w:r w:rsidRPr="0067048A">
        <w:rPr>
          <w:rStyle w:val="Char3"/>
          <w:rtl/>
        </w:rPr>
        <w:t xml:space="preserve"> </w:t>
      </w:r>
      <w:r w:rsidRPr="0067048A">
        <w:rPr>
          <w:rStyle w:val="Char3"/>
          <w:rFonts w:hint="eastAsia"/>
          <w:rtl/>
        </w:rPr>
        <w:t>لَا</w:t>
      </w:r>
      <w:r w:rsidRPr="0067048A">
        <w:rPr>
          <w:rStyle w:val="Char3"/>
          <w:rtl/>
        </w:rPr>
        <w:t xml:space="preserve"> </w:t>
      </w:r>
      <w:r w:rsidRPr="0067048A">
        <w:rPr>
          <w:rStyle w:val="Char3"/>
          <w:rFonts w:hint="eastAsia"/>
          <w:rtl/>
        </w:rPr>
        <w:t>يَكُونَ</w:t>
      </w:r>
      <w:r w:rsidRPr="0067048A">
        <w:rPr>
          <w:rStyle w:val="Char3"/>
          <w:rtl/>
        </w:rPr>
        <w:t xml:space="preserve"> </w:t>
      </w:r>
      <w:r w:rsidRPr="0067048A">
        <w:rPr>
          <w:rStyle w:val="Char3"/>
          <w:rFonts w:hint="eastAsia"/>
          <w:rtl/>
        </w:rPr>
        <w:t>دُولَةَ</w:t>
      </w:r>
      <w:r w:rsidRPr="0067048A">
        <w:rPr>
          <w:rStyle w:val="Char3"/>
          <w:rFonts w:hint="cs"/>
          <w:rtl/>
        </w:rPr>
        <w:t>ۢ</w:t>
      </w:r>
      <w:r w:rsidRPr="0067048A">
        <w:rPr>
          <w:rStyle w:val="Char3"/>
          <w:rtl/>
        </w:rPr>
        <w:t xml:space="preserve"> </w:t>
      </w:r>
      <w:r w:rsidRPr="0067048A">
        <w:rPr>
          <w:rStyle w:val="Char3"/>
          <w:rFonts w:hint="eastAsia"/>
          <w:rtl/>
        </w:rPr>
        <w:t>بَي</w:t>
      </w:r>
      <w:r w:rsidRPr="0067048A">
        <w:rPr>
          <w:rStyle w:val="Char3"/>
          <w:rFonts w:hint="cs"/>
          <w:rtl/>
        </w:rPr>
        <w:t>ۡ</w:t>
      </w:r>
      <w:r w:rsidRPr="0067048A">
        <w:rPr>
          <w:rStyle w:val="Char3"/>
          <w:rFonts w:hint="eastAsia"/>
          <w:rtl/>
        </w:rPr>
        <w:t>نَ</w:t>
      </w:r>
      <w:r w:rsidRPr="0067048A">
        <w:rPr>
          <w:rStyle w:val="Char3"/>
          <w:rtl/>
        </w:rPr>
        <w:t xml:space="preserve"> </w:t>
      </w:r>
      <w:r w:rsidRPr="0067048A">
        <w:rPr>
          <w:rStyle w:val="Char3"/>
          <w:rFonts w:hint="cs"/>
          <w:rtl/>
        </w:rPr>
        <w:t>ٱ</w:t>
      </w:r>
      <w:r w:rsidRPr="0067048A">
        <w:rPr>
          <w:rStyle w:val="Char3"/>
          <w:rFonts w:hint="eastAsia"/>
          <w:rtl/>
        </w:rPr>
        <w:t>ل</w:t>
      </w:r>
      <w:r w:rsidRPr="0067048A">
        <w:rPr>
          <w:rStyle w:val="Char3"/>
          <w:rFonts w:hint="cs"/>
          <w:rtl/>
        </w:rPr>
        <w:t>ۡ</w:t>
      </w:r>
      <w:r w:rsidRPr="0067048A">
        <w:rPr>
          <w:rStyle w:val="Char3"/>
          <w:rFonts w:hint="eastAsia"/>
          <w:rtl/>
        </w:rPr>
        <w:t>أَغ</w:t>
      </w:r>
      <w:r w:rsidRPr="0067048A">
        <w:rPr>
          <w:rStyle w:val="Char3"/>
          <w:rFonts w:hint="cs"/>
          <w:rtl/>
        </w:rPr>
        <w:t>ۡ</w:t>
      </w:r>
      <w:r w:rsidRPr="0067048A">
        <w:rPr>
          <w:rStyle w:val="Char3"/>
          <w:rFonts w:hint="eastAsia"/>
          <w:rtl/>
        </w:rPr>
        <w:t>نِيَا</w:t>
      </w:r>
      <w:r w:rsidRPr="0067048A">
        <w:rPr>
          <w:rStyle w:val="Char3"/>
          <w:rFonts w:hint="cs"/>
          <w:rtl/>
        </w:rPr>
        <w:t>ٓ</w:t>
      </w:r>
      <w:r w:rsidRPr="0067048A">
        <w:rPr>
          <w:rStyle w:val="Char3"/>
          <w:rFonts w:hint="eastAsia"/>
          <w:rtl/>
        </w:rPr>
        <w:t>ءِ</w:t>
      </w:r>
      <w:r w:rsidRPr="0067048A">
        <w:rPr>
          <w:rStyle w:val="Char3"/>
          <w:rtl/>
        </w:rPr>
        <w:t xml:space="preserve"> </w:t>
      </w:r>
      <w:r w:rsidRPr="0067048A">
        <w:rPr>
          <w:rStyle w:val="Char3"/>
          <w:rFonts w:hint="eastAsia"/>
          <w:rtl/>
        </w:rPr>
        <w:t>مِنكُم</w:t>
      </w:r>
      <w:r w:rsidRPr="0067048A">
        <w:rPr>
          <w:rStyle w:val="Char3"/>
          <w:rFonts w:hint="cs"/>
          <w:rtl/>
        </w:rPr>
        <w:t>ۡۚ</w:t>
      </w:r>
      <w:r w:rsidRPr="0067048A">
        <w:rPr>
          <w:rStyle w:val="Char3"/>
          <w:rtl/>
        </w:rPr>
        <w:t xml:space="preserve"> </w:t>
      </w:r>
      <w:r w:rsidRPr="0067048A">
        <w:rPr>
          <w:rStyle w:val="Char3"/>
          <w:rFonts w:hint="eastAsia"/>
          <w:rtl/>
        </w:rPr>
        <w:t>وَمَا</w:t>
      </w:r>
      <w:r w:rsidRPr="0067048A">
        <w:rPr>
          <w:rStyle w:val="Char3"/>
          <w:rFonts w:hint="cs"/>
          <w:rtl/>
        </w:rPr>
        <w:t>ٓ</w:t>
      </w:r>
      <w:r w:rsidRPr="0067048A">
        <w:rPr>
          <w:rStyle w:val="Char3"/>
          <w:rtl/>
        </w:rPr>
        <w:t xml:space="preserve"> </w:t>
      </w:r>
      <w:r w:rsidRPr="0067048A">
        <w:rPr>
          <w:rStyle w:val="Char3"/>
          <w:rFonts w:hint="eastAsia"/>
          <w:rtl/>
        </w:rPr>
        <w:t>ءَاتَى</w:t>
      </w:r>
      <w:r w:rsidRPr="0067048A">
        <w:rPr>
          <w:rStyle w:val="Char3"/>
          <w:rFonts w:hint="cs"/>
          <w:rtl/>
        </w:rPr>
        <w:t>ٰ</w:t>
      </w:r>
      <w:r w:rsidRPr="0067048A">
        <w:rPr>
          <w:rStyle w:val="Char3"/>
          <w:rFonts w:hint="eastAsia"/>
          <w:rtl/>
        </w:rPr>
        <w:t>كُمُ</w:t>
      </w:r>
      <w:r w:rsidRPr="0067048A">
        <w:rPr>
          <w:rStyle w:val="Char3"/>
          <w:rtl/>
        </w:rPr>
        <w:t xml:space="preserve"> </w:t>
      </w:r>
      <w:r w:rsidRPr="0067048A">
        <w:rPr>
          <w:rStyle w:val="Char3"/>
          <w:rFonts w:hint="cs"/>
          <w:rtl/>
        </w:rPr>
        <w:t>ٱ</w:t>
      </w:r>
      <w:r w:rsidRPr="0067048A">
        <w:rPr>
          <w:rStyle w:val="Char3"/>
          <w:rFonts w:hint="eastAsia"/>
          <w:rtl/>
        </w:rPr>
        <w:t>لرَّسُولُ</w:t>
      </w:r>
      <w:r w:rsidRPr="0067048A">
        <w:rPr>
          <w:rStyle w:val="Char3"/>
          <w:rtl/>
        </w:rPr>
        <w:t xml:space="preserve"> </w:t>
      </w:r>
      <w:r w:rsidRPr="0067048A">
        <w:rPr>
          <w:rStyle w:val="Char3"/>
          <w:rFonts w:hint="eastAsia"/>
          <w:rtl/>
        </w:rPr>
        <w:t>فَخُذُوهُ</w:t>
      </w:r>
      <w:r w:rsidRPr="0067048A">
        <w:rPr>
          <w:rStyle w:val="Char3"/>
          <w:rtl/>
        </w:rPr>
        <w:t xml:space="preserve"> </w:t>
      </w:r>
      <w:r w:rsidRPr="0067048A">
        <w:rPr>
          <w:rStyle w:val="Char3"/>
          <w:rFonts w:hint="eastAsia"/>
          <w:rtl/>
        </w:rPr>
        <w:t>وَمَا</w:t>
      </w:r>
      <w:r w:rsidRPr="0067048A">
        <w:rPr>
          <w:rStyle w:val="Char3"/>
          <w:rtl/>
        </w:rPr>
        <w:t xml:space="preserve"> </w:t>
      </w:r>
      <w:r w:rsidRPr="0067048A">
        <w:rPr>
          <w:rStyle w:val="Char3"/>
          <w:rFonts w:hint="eastAsia"/>
          <w:rtl/>
        </w:rPr>
        <w:t>نَهَى</w:t>
      </w:r>
      <w:r w:rsidRPr="0067048A">
        <w:rPr>
          <w:rStyle w:val="Char3"/>
          <w:rFonts w:hint="cs"/>
          <w:rtl/>
        </w:rPr>
        <w:t>ٰ</w:t>
      </w:r>
      <w:r w:rsidRPr="0067048A">
        <w:rPr>
          <w:rStyle w:val="Char3"/>
          <w:rFonts w:hint="eastAsia"/>
          <w:rtl/>
        </w:rPr>
        <w:t>كُم</w:t>
      </w:r>
      <w:r w:rsidRPr="0067048A">
        <w:rPr>
          <w:rStyle w:val="Char3"/>
          <w:rFonts w:hint="cs"/>
          <w:rtl/>
        </w:rPr>
        <w:t>ۡ</w:t>
      </w:r>
      <w:r w:rsidRPr="0067048A">
        <w:rPr>
          <w:rStyle w:val="Char3"/>
          <w:rtl/>
        </w:rPr>
        <w:t xml:space="preserve"> </w:t>
      </w:r>
      <w:r w:rsidRPr="0067048A">
        <w:rPr>
          <w:rStyle w:val="Char3"/>
          <w:rFonts w:hint="eastAsia"/>
          <w:rtl/>
        </w:rPr>
        <w:t>عَن</w:t>
      </w:r>
      <w:r w:rsidRPr="0067048A">
        <w:rPr>
          <w:rStyle w:val="Char3"/>
          <w:rFonts w:hint="cs"/>
          <w:rtl/>
        </w:rPr>
        <w:t>ۡ</w:t>
      </w:r>
      <w:r w:rsidRPr="0067048A">
        <w:rPr>
          <w:rStyle w:val="Char3"/>
          <w:rFonts w:hint="eastAsia"/>
          <w:rtl/>
        </w:rPr>
        <w:t>هُ</w:t>
      </w:r>
      <w:r w:rsidRPr="0067048A">
        <w:rPr>
          <w:rStyle w:val="Char3"/>
          <w:rtl/>
        </w:rPr>
        <w:t xml:space="preserve"> </w:t>
      </w:r>
      <w:r w:rsidRPr="0067048A">
        <w:rPr>
          <w:rStyle w:val="Char3"/>
          <w:rFonts w:hint="eastAsia"/>
          <w:rtl/>
        </w:rPr>
        <w:t>فَ</w:t>
      </w:r>
      <w:r w:rsidRPr="0067048A">
        <w:rPr>
          <w:rStyle w:val="Char3"/>
          <w:rFonts w:hint="cs"/>
          <w:rtl/>
        </w:rPr>
        <w:t>ٱ</w:t>
      </w:r>
      <w:r w:rsidRPr="0067048A">
        <w:rPr>
          <w:rStyle w:val="Char3"/>
          <w:rFonts w:hint="eastAsia"/>
          <w:rtl/>
        </w:rPr>
        <w:t>نتَهُواْ</w:t>
      </w:r>
      <w:r w:rsidRPr="00995B26">
        <w:rPr>
          <w:rFonts w:ascii="Abo-thar" w:hAnsi="Abo-thar" w:cs="Traditional Arabic" w:hint="cs"/>
          <w:sz w:val="28"/>
          <w:rtl/>
          <w:lang w:bidi="ar-SY"/>
        </w:rPr>
        <w:t xml:space="preserve">﴾ </w:t>
      </w:r>
      <w:r w:rsidRPr="003108CB">
        <w:rPr>
          <w:rStyle w:val="Char2"/>
          <w:rFonts w:hint="cs"/>
          <w:rtl/>
        </w:rPr>
        <w:t>[</w:t>
      </w:r>
      <w:r w:rsidR="005C664D" w:rsidRPr="003108CB">
        <w:rPr>
          <w:rStyle w:val="Char2"/>
          <w:rFonts w:hint="cs"/>
          <w:rtl/>
        </w:rPr>
        <w:t>الحشر</w:t>
      </w:r>
      <w:r w:rsidRPr="003108CB">
        <w:rPr>
          <w:rStyle w:val="Char2"/>
          <w:rFonts w:hint="cs"/>
          <w:rtl/>
        </w:rPr>
        <w:t xml:space="preserve">: </w:t>
      </w:r>
      <w:r w:rsidR="005C664D" w:rsidRPr="003108CB">
        <w:rPr>
          <w:rStyle w:val="Char2"/>
          <w:rFonts w:hint="cs"/>
          <w:rtl/>
        </w:rPr>
        <w:t>7</w:t>
      </w:r>
      <w:r w:rsidRPr="003108CB">
        <w:rPr>
          <w:rStyle w:val="Char2"/>
          <w:rFonts w:hint="cs"/>
          <w:rtl/>
        </w:rPr>
        <w:t>]</w:t>
      </w:r>
      <w:r w:rsidR="00217AB4" w:rsidRPr="003F3B94">
        <w:rPr>
          <w:rFonts w:ascii="Abo-thar" w:hAnsi="Abo-thar" w:hint="cs"/>
          <w:sz w:val="28"/>
          <w:rtl/>
          <w:lang w:bidi="ar-SY"/>
        </w:rPr>
        <w:t>.</w:t>
      </w:r>
    </w:p>
    <w:p w:rsidR="005C664D" w:rsidRPr="00995B26" w:rsidRDefault="005C664D" w:rsidP="003F3B94">
      <w:pPr>
        <w:pStyle w:val="a0"/>
        <w:rPr>
          <w:rFonts w:hint="cs"/>
          <w:rtl/>
          <w:lang w:bidi="ar-SY"/>
        </w:rPr>
      </w:pPr>
      <w:r w:rsidRPr="003F3B94">
        <w:rPr>
          <w:rFonts w:ascii="Abo-thar" w:hAnsi="Abo-thar" w:hint="cs"/>
          <w:sz w:val="28"/>
          <w:rtl/>
          <w:lang w:bidi="ar-SY"/>
        </w:rPr>
        <w:t>ثم قال مباشرةً في الآية التي تلتها</w:t>
      </w:r>
      <w:r w:rsidR="00217AB4" w:rsidRPr="003F3B94">
        <w:rPr>
          <w:rFonts w:ascii="Abo-thar" w:hAnsi="Abo-thar" w:hint="cs"/>
          <w:sz w:val="28"/>
          <w:rtl/>
          <w:lang w:bidi="ar-SY"/>
        </w:rPr>
        <w:t>:</w:t>
      </w:r>
      <w:r w:rsidR="00685363" w:rsidRPr="003F3B94">
        <w:rPr>
          <w:rFonts w:ascii="Abo-thar" w:hAnsi="Abo-thar" w:hint="cs"/>
          <w:sz w:val="28"/>
          <w:rtl/>
          <w:lang w:bidi="ar-SY"/>
        </w:rPr>
        <w:t xml:space="preserve"> </w:t>
      </w:r>
      <w:r w:rsidR="00685363" w:rsidRPr="00995B26">
        <w:rPr>
          <w:rFonts w:ascii="Abo-thar" w:hAnsi="Abo-thar" w:cs="Traditional Arabic" w:hint="cs"/>
          <w:sz w:val="28"/>
          <w:rtl/>
          <w:lang w:bidi="ar-SY"/>
        </w:rPr>
        <w:t>﴿</w:t>
      </w:r>
      <w:r w:rsidR="00685363" w:rsidRPr="0067048A">
        <w:rPr>
          <w:rStyle w:val="Char3"/>
          <w:rFonts w:hint="eastAsia"/>
          <w:rtl/>
        </w:rPr>
        <w:t>لِل</w:t>
      </w:r>
      <w:r w:rsidR="00685363" w:rsidRPr="0067048A">
        <w:rPr>
          <w:rStyle w:val="Char3"/>
          <w:rFonts w:hint="cs"/>
          <w:rtl/>
        </w:rPr>
        <w:t>ۡ</w:t>
      </w:r>
      <w:r w:rsidR="00685363" w:rsidRPr="0067048A">
        <w:rPr>
          <w:rStyle w:val="Char3"/>
          <w:rFonts w:hint="eastAsia"/>
          <w:rtl/>
        </w:rPr>
        <w:t>فُقَرَا</w:t>
      </w:r>
      <w:r w:rsidR="00685363" w:rsidRPr="0067048A">
        <w:rPr>
          <w:rStyle w:val="Char3"/>
          <w:rFonts w:hint="cs"/>
          <w:rtl/>
        </w:rPr>
        <w:t>ٓ</w:t>
      </w:r>
      <w:r w:rsidR="00685363" w:rsidRPr="0067048A">
        <w:rPr>
          <w:rStyle w:val="Char3"/>
          <w:rFonts w:hint="eastAsia"/>
          <w:rtl/>
        </w:rPr>
        <w:t>ءِ</w:t>
      </w:r>
      <w:r w:rsidR="00685363" w:rsidRPr="0067048A">
        <w:rPr>
          <w:rStyle w:val="Char3"/>
          <w:rtl/>
        </w:rPr>
        <w:t xml:space="preserve"> </w:t>
      </w:r>
      <w:r w:rsidR="00685363" w:rsidRPr="0067048A">
        <w:rPr>
          <w:rStyle w:val="Char3"/>
          <w:rFonts w:hint="cs"/>
          <w:rtl/>
        </w:rPr>
        <w:t>ٱ</w:t>
      </w:r>
      <w:r w:rsidR="00685363" w:rsidRPr="0067048A">
        <w:rPr>
          <w:rStyle w:val="Char3"/>
          <w:rFonts w:hint="eastAsia"/>
          <w:rtl/>
        </w:rPr>
        <w:t>ل</w:t>
      </w:r>
      <w:r w:rsidR="00685363" w:rsidRPr="0067048A">
        <w:rPr>
          <w:rStyle w:val="Char3"/>
          <w:rFonts w:hint="cs"/>
          <w:rtl/>
        </w:rPr>
        <w:t>ۡ</w:t>
      </w:r>
      <w:r w:rsidR="00685363" w:rsidRPr="0067048A">
        <w:rPr>
          <w:rStyle w:val="Char3"/>
          <w:rFonts w:hint="eastAsia"/>
          <w:rtl/>
        </w:rPr>
        <w:t>مُهَ</w:t>
      </w:r>
      <w:r w:rsidR="00685363" w:rsidRPr="0067048A">
        <w:rPr>
          <w:rStyle w:val="Char3"/>
          <w:rFonts w:hint="cs"/>
          <w:rtl/>
        </w:rPr>
        <w:t>ٰ</w:t>
      </w:r>
      <w:r w:rsidR="00685363" w:rsidRPr="0067048A">
        <w:rPr>
          <w:rStyle w:val="Char3"/>
          <w:rFonts w:hint="eastAsia"/>
          <w:rtl/>
        </w:rPr>
        <w:t>جِرِينَ</w:t>
      </w:r>
      <w:r w:rsidR="00685363" w:rsidRPr="0067048A">
        <w:rPr>
          <w:rStyle w:val="Char3"/>
          <w:rtl/>
        </w:rPr>
        <w:t xml:space="preserve"> </w:t>
      </w:r>
      <w:r w:rsidR="00685363" w:rsidRPr="0067048A">
        <w:rPr>
          <w:rStyle w:val="Char3"/>
          <w:rFonts w:hint="cs"/>
          <w:rtl/>
        </w:rPr>
        <w:t>ٱ</w:t>
      </w:r>
      <w:r w:rsidR="00685363" w:rsidRPr="0067048A">
        <w:rPr>
          <w:rStyle w:val="Char3"/>
          <w:rFonts w:hint="eastAsia"/>
          <w:rtl/>
        </w:rPr>
        <w:t>لَّذِينَ</w:t>
      </w:r>
      <w:r w:rsidR="00685363" w:rsidRPr="0067048A">
        <w:rPr>
          <w:rStyle w:val="Char3"/>
          <w:rtl/>
        </w:rPr>
        <w:t xml:space="preserve"> </w:t>
      </w:r>
      <w:r w:rsidR="00685363" w:rsidRPr="0067048A">
        <w:rPr>
          <w:rStyle w:val="Char3"/>
          <w:rFonts w:hint="eastAsia"/>
          <w:rtl/>
        </w:rPr>
        <w:t>أُخ</w:t>
      </w:r>
      <w:r w:rsidR="00685363" w:rsidRPr="0067048A">
        <w:rPr>
          <w:rStyle w:val="Char3"/>
          <w:rFonts w:hint="cs"/>
          <w:rtl/>
        </w:rPr>
        <w:t>ۡ</w:t>
      </w:r>
      <w:r w:rsidR="00685363" w:rsidRPr="0067048A">
        <w:rPr>
          <w:rStyle w:val="Char3"/>
          <w:rFonts w:hint="eastAsia"/>
          <w:rtl/>
        </w:rPr>
        <w:t>رِجُواْ</w:t>
      </w:r>
      <w:r w:rsidR="00685363" w:rsidRPr="0067048A">
        <w:rPr>
          <w:rStyle w:val="Char3"/>
          <w:rtl/>
        </w:rPr>
        <w:t xml:space="preserve"> </w:t>
      </w:r>
      <w:r w:rsidR="00685363" w:rsidRPr="0067048A">
        <w:rPr>
          <w:rStyle w:val="Char3"/>
          <w:rFonts w:hint="eastAsia"/>
          <w:rtl/>
        </w:rPr>
        <w:t>مِن</w:t>
      </w:r>
      <w:r w:rsidR="00685363" w:rsidRPr="0067048A">
        <w:rPr>
          <w:rStyle w:val="Char3"/>
          <w:rtl/>
        </w:rPr>
        <w:t xml:space="preserve"> </w:t>
      </w:r>
      <w:r w:rsidR="00685363" w:rsidRPr="0067048A">
        <w:rPr>
          <w:rStyle w:val="Char3"/>
          <w:rFonts w:hint="eastAsia"/>
          <w:rtl/>
        </w:rPr>
        <w:t>دِيَ</w:t>
      </w:r>
      <w:r w:rsidR="00685363" w:rsidRPr="0067048A">
        <w:rPr>
          <w:rStyle w:val="Char3"/>
          <w:rFonts w:hint="cs"/>
          <w:rtl/>
        </w:rPr>
        <w:t>ٰ</w:t>
      </w:r>
      <w:r w:rsidR="00685363" w:rsidRPr="0067048A">
        <w:rPr>
          <w:rStyle w:val="Char3"/>
          <w:rFonts w:hint="eastAsia"/>
          <w:rtl/>
        </w:rPr>
        <w:t>رِهِم</w:t>
      </w:r>
      <w:r w:rsidR="00685363" w:rsidRPr="0067048A">
        <w:rPr>
          <w:rStyle w:val="Char3"/>
          <w:rFonts w:hint="cs"/>
          <w:rtl/>
        </w:rPr>
        <w:t>ۡ</w:t>
      </w:r>
      <w:r w:rsidR="00685363" w:rsidRPr="0067048A">
        <w:rPr>
          <w:rStyle w:val="Char3"/>
          <w:rtl/>
        </w:rPr>
        <w:t xml:space="preserve"> </w:t>
      </w:r>
      <w:r w:rsidR="00685363" w:rsidRPr="0067048A">
        <w:rPr>
          <w:rStyle w:val="Char3"/>
          <w:rFonts w:hint="eastAsia"/>
          <w:rtl/>
        </w:rPr>
        <w:t>وَأَم</w:t>
      </w:r>
      <w:r w:rsidR="00685363" w:rsidRPr="0067048A">
        <w:rPr>
          <w:rStyle w:val="Char3"/>
          <w:rFonts w:hint="cs"/>
          <w:rtl/>
        </w:rPr>
        <w:t>ۡ</w:t>
      </w:r>
      <w:r w:rsidR="00685363" w:rsidRPr="0067048A">
        <w:rPr>
          <w:rStyle w:val="Char3"/>
          <w:rFonts w:hint="eastAsia"/>
          <w:rtl/>
        </w:rPr>
        <w:t>وَ</w:t>
      </w:r>
      <w:r w:rsidR="00685363" w:rsidRPr="0067048A">
        <w:rPr>
          <w:rStyle w:val="Char3"/>
          <w:rFonts w:hint="cs"/>
          <w:rtl/>
        </w:rPr>
        <w:t>ٰ</w:t>
      </w:r>
      <w:r w:rsidR="00685363" w:rsidRPr="0067048A">
        <w:rPr>
          <w:rStyle w:val="Char3"/>
          <w:rFonts w:hint="eastAsia"/>
          <w:rtl/>
        </w:rPr>
        <w:t>لِهِم</w:t>
      </w:r>
      <w:r w:rsidR="00685363" w:rsidRPr="0067048A">
        <w:rPr>
          <w:rStyle w:val="Char3"/>
          <w:rFonts w:hint="cs"/>
          <w:rtl/>
        </w:rPr>
        <w:t>ۡ</w:t>
      </w:r>
      <w:r w:rsidR="00685363" w:rsidRPr="00995B26">
        <w:rPr>
          <w:rFonts w:ascii="Abo-thar" w:hAnsi="Abo-thar" w:cs="Traditional Arabic" w:hint="cs"/>
          <w:sz w:val="28"/>
          <w:rtl/>
          <w:lang w:bidi="ar-SY"/>
        </w:rPr>
        <w:t>﴾</w:t>
      </w:r>
      <w:r w:rsidRPr="00995B26">
        <w:rPr>
          <w:rFonts w:ascii="Abo-thar" w:hAnsi="Abo-thar" w:hint="cs"/>
          <w:sz w:val="28"/>
          <w:rtl/>
          <w:lang w:bidi="ar-SY"/>
        </w:rPr>
        <w:t xml:space="preserve"> </w:t>
      </w:r>
      <w:r w:rsidR="00685363" w:rsidRPr="003108CB">
        <w:rPr>
          <w:rStyle w:val="Char2"/>
          <w:rFonts w:hint="cs"/>
          <w:rtl/>
        </w:rPr>
        <w:t>[</w:t>
      </w:r>
      <w:r w:rsidRPr="003108CB">
        <w:rPr>
          <w:rStyle w:val="Char2"/>
          <w:rFonts w:hint="cs"/>
          <w:rtl/>
        </w:rPr>
        <w:t>الحشر</w:t>
      </w:r>
      <w:r w:rsidR="00685363" w:rsidRPr="003108CB">
        <w:rPr>
          <w:rStyle w:val="Char2"/>
          <w:rFonts w:hint="cs"/>
          <w:rtl/>
        </w:rPr>
        <w:t xml:space="preserve">: </w:t>
      </w:r>
      <w:r w:rsidRPr="003108CB">
        <w:rPr>
          <w:rStyle w:val="Char2"/>
          <w:rFonts w:hint="cs"/>
          <w:rtl/>
        </w:rPr>
        <w:t>8</w:t>
      </w:r>
      <w:r w:rsidR="00685363" w:rsidRPr="003108CB">
        <w:rPr>
          <w:rStyle w:val="Char2"/>
          <w:rFonts w:hint="cs"/>
          <w:rtl/>
        </w:rPr>
        <w:t>]</w:t>
      </w:r>
      <w:r w:rsidR="00217AB4" w:rsidRPr="00995B26">
        <w:rPr>
          <w:rFonts w:ascii="Abo-thar" w:hAnsi="Abo-thar" w:hint="cs"/>
          <w:sz w:val="28"/>
          <w:rtl/>
          <w:lang w:bidi="ar-SY"/>
        </w:rPr>
        <w:t>،</w:t>
      </w:r>
      <w:r w:rsidRPr="00995B26">
        <w:rPr>
          <w:rFonts w:ascii="Abo-thar" w:hAnsi="Abo-thar" w:hint="cs"/>
          <w:sz w:val="28"/>
          <w:rtl/>
          <w:lang w:bidi="ar-SY"/>
        </w:rPr>
        <w:t xml:space="preserve"> وهذا بعد قوله تعالى</w:t>
      </w:r>
      <w:r w:rsidR="00217AB4" w:rsidRPr="00995B26">
        <w:rPr>
          <w:rFonts w:ascii="Abo-thar" w:hAnsi="Abo-thar" w:hint="cs"/>
          <w:sz w:val="28"/>
          <w:rtl/>
          <w:lang w:bidi="ar-SY"/>
        </w:rPr>
        <w:t>:</w:t>
      </w:r>
      <w:r w:rsidR="00685363" w:rsidRPr="00995B26">
        <w:rPr>
          <w:rFonts w:ascii="Abo-thar" w:hAnsi="Abo-thar" w:hint="cs"/>
          <w:sz w:val="28"/>
          <w:rtl/>
          <w:lang w:bidi="ar-SY"/>
        </w:rPr>
        <w:t xml:space="preserve"> </w:t>
      </w:r>
      <w:r w:rsidR="00685363" w:rsidRPr="00995B26">
        <w:rPr>
          <w:rFonts w:ascii="Abo-thar" w:hAnsi="Abo-thar" w:cs="Traditional Arabic" w:hint="cs"/>
          <w:sz w:val="28"/>
          <w:rtl/>
          <w:lang w:bidi="ar-SY"/>
        </w:rPr>
        <w:t>﴿</w:t>
      </w:r>
      <w:r w:rsidR="00685363" w:rsidRPr="0067048A">
        <w:rPr>
          <w:rStyle w:val="Char3"/>
          <w:rFonts w:hint="eastAsia"/>
          <w:rtl/>
        </w:rPr>
        <w:t>وَ</w:t>
      </w:r>
      <w:r w:rsidR="00685363" w:rsidRPr="0067048A">
        <w:rPr>
          <w:rStyle w:val="Char3"/>
          <w:rFonts w:hint="cs"/>
          <w:rtl/>
        </w:rPr>
        <w:t>ٱ</w:t>
      </w:r>
      <w:r w:rsidR="00685363" w:rsidRPr="0067048A">
        <w:rPr>
          <w:rStyle w:val="Char3"/>
          <w:rFonts w:hint="eastAsia"/>
          <w:rtl/>
        </w:rPr>
        <w:t>لَّذِينَ</w:t>
      </w:r>
      <w:r w:rsidR="00685363" w:rsidRPr="0067048A">
        <w:rPr>
          <w:rStyle w:val="Char3"/>
          <w:rtl/>
        </w:rPr>
        <w:t xml:space="preserve"> </w:t>
      </w:r>
      <w:r w:rsidR="00685363" w:rsidRPr="0067048A">
        <w:rPr>
          <w:rStyle w:val="Char3"/>
          <w:rFonts w:hint="eastAsia"/>
          <w:rtl/>
        </w:rPr>
        <w:t>تَبَوَّءُو</w:t>
      </w:r>
      <w:r w:rsidR="00685363" w:rsidRPr="0067048A">
        <w:rPr>
          <w:rStyle w:val="Char3"/>
          <w:rtl/>
        </w:rPr>
        <w:t xml:space="preserve"> </w:t>
      </w:r>
      <w:r w:rsidR="00685363" w:rsidRPr="0067048A">
        <w:rPr>
          <w:rStyle w:val="Char3"/>
          <w:rFonts w:hint="cs"/>
          <w:rtl/>
        </w:rPr>
        <w:t>ٱ</w:t>
      </w:r>
      <w:r w:rsidR="00685363" w:rsidRPr="0067048A">
        <w:rPr>
          <w:rStyle w:val="Char3"/>
          <w:rFonts w:hint="eastAsia"/>
          <w:rtl/>
        </w:rPr>
        <w:t>لدَّارَ</w:t>
      </w:r>
      <w:r w:rsidR="00685363" w:rsidRPr="0067048A">
        <w:rPr>
          <w:rStyle w:val="Char3"/>
          <w:rtl/>
        </w:rPr>
        <w:t xml:space="preserve"> </w:t>
      </w:r>
      <w:r w:rsidR="00685363" w:rsidRPr="0067048A">
        <w:rPr>
          <w:rStyle w:val="Char3"/>
          <w:rFonts w:hint="eastAsia"/>
          <w:rtl/>
        </w:rPr>
        <w:t>وَ</w:t>
      </w:r>
      <w:r w:rsidR="00685363" w:rsidRPr="0067048A">
        <w:rPr>
          <w:rStyle w:val="Char3"/>
          <w:rFonts w:hint="cs"/>
          <w:rtl/>
        </w:rPr>
        <w:t>ٱ</w:t>
      </w:r>
      <w:r w:rsidR="00685363" w:rsidRPr="0067048A">
        <w:rPr>
          <w:rStyle w:val="Char3"/>
          <w:rFonts w:hint="eastAsia"/>
          <w:rtl/>
        </w:rPr>
        <w:t>ل</w:t>
      </w:r>
      <w:r w:rsidR="00685363" w:rsidRPr="0067048A">
        <w:rPr>
          <w:rStyle w:val="Char3"/>
          <w:rFonts w:hint="cs"/>
          <w:rtl/>
        </w:rPr>
        <w:t>ۡ</w:t>
      </w:r>
      <w:r w:rsidR="00685363" w:rsidRPr="0067048A">
        <w:rPr>
          <w:rStyle w:val="Char3"/>
          <w:rFonts w:hint="eastAsia"/>
          <w:rtl/>
        </w:rPr>
        <w:t>إِيمَ</w:t>
      </w:r>
      <w:r w:rsidR="00685363" w:rsidRPr="0067048A">
        <w:rPr>
          <w:rStyle w:val="Char3"/>
          <w:rFonts w:hint="cs"/>
          <w:rtl/>
        </w:rPr>
        <w:t>ٰ</w:t>
      </w:r>
      <w:r w:rsidR="00685363" w:rsidRPr="0067048A">
        <w:rPr>
          <w:rStyle w:val="Char3"/>
          <w:rFonts w:hint="eastAsia"/>
          <w:rtl/>
        </w:rPr>
        <w:t>نَ</w:t>
      </w:r>
      <w:r w:rsidR="00685363" w:rsidRPr="0067048A">
        <w:rPr>
          <w:rStyle w:val="Char3"/>
          <w:rtl/>
        </w:rPr>
        <w:t xml:space="preserve"> </w:t>
      </w:r>
      <w:r w:rsidR="00685363" w:rsidRPr="0067048A">
        <w:rPr>
          <w:rStyle w:val="Char3"/>
          <w:rFonts w:hint="eastAsia"/>
          <w:rtl/>
        </w:rPr>
        <w:t>مِن</w:t>
      </w:r>
      <w:r w:rsidR="00685363" w:rsidRPr="0067048A">
        <w:rPr>
          <w:rStyle w:val="Char3"/>
          <w:rtl/>
        </w:rPr>
        <w:t xml:space="preserve"> </w:t>
      </w:r>
      <w:r w:rsidR="00685363" w:rsidRPr="0067048A">
        <w:rPr>
          <w:rStyle w:val="Char3"/>
          <w:rFonts w:hint="eastAsia"/>
          <w:rtl/>
        </w:rPr>
        <w:t>قَب</w:t>
      </w:r>
      <w:r w:rsidR="00685363" w:rsidRPr="0067048A">
        <w:rPr>
          <w:rStyle w:val="Char3"/>
          <w:rFonts w:hint="cs"/>
          <w:rtl/>
        </w:rPr>
        <w:t>ۡ</w:t>
      </w:r>
      <w:r w:rsidR="00685363" w:rsidRPr="0067048A">
        <w:rPr>
          <w:rStyle w:val="Char3"/>
          <w:rFonts w:hint="eastAsia"/>
          <w:rtl/>
        </w:rPr>
        <w:t>لِهِم</w:t>
      </w:r>
      <w:r w:rsidR="00685363" w:rsidRPr="0067048A">
        <w:rPr>
          <w:rStyle w:val="Char3"/>
          <w:rFonts w:hint="cs"/>
          <w:rtl/>
        </w:rPr>
        <w:t>ۡ</w:t>
      </w:r>
      <w:r w:rsidR="00685363" w:rsidRPr="0067048A">
        <w:rPr>
          <w:rStyle w:val="Char3"/>
          <w:rtl/>
        </w:rPr>
        <w:t xml:space="preserve"> </w:t>
      </w:r>
      <w:r w:rsidR="00685363" w:rsidRPr="0067048A">
        <w:rPr>
          <w:rStyle w:val="Char3"/>
          <w:rFonts w:hint="eastAsia"/>
          <w:rtl/>
        </w:rPr>
        <w:t>يُحِبُّونَ</w:t>
      </w:r>
      <w:r w:rsidR="00685363" w:rsidRPr="0067048A">
        <w:rPr>
          <w:rStyle w:val="Char3"/>
          <w:rtl/>
        </w:rPr>
        <w:t xml:space="preserve"> </w:t>
      </w:r>
      <w:r w:rsidR="00685363" w:rsidRPr="0067048A">
        <w:rPr>
          <w:rStyle w:val="Char3"/>
          <w:rFonts w:hint="eastAsia"/>
          <w:rtl/>
        </w:rPr>
        <w:t>مَن</w:t>
      </w:r>
      <w:r w:rsidR="00685363" w:rsidRPr="0067048A">
        <w:rPr>
          <w:rStyle w:val="Char3"/>
          <w:rFonts w:hint="cs"/>
          <w:rtl/>
        </w:rPr>
        <w:t>ۡ</w:t>
      </w:r>
      <w:r w:rsidR="00685363" w:rsidRPr="0067048A">
        <w:rPr>
          <w:rStyle w:val="Char3"/>
          <w:rtl/>
        </w:rPr>
        <w:t xml:space="preserve"> </w:t>
      </w:r>
      <w:r w:rsidR="00685363" w:rsidRPr="0067048A">
        <w:rPr>
          <w:rStyle w:val="Char3"/>
          <w:rFonts w:hint="eastAsia"/>
          <w:rtl/>
        </w:rPr>
        <w:t>هَاجَرَ</w:t>
      </w:r>
      <w:r w:rsidR="00685363" w:rsidRPr="0067048A">
        <w:rPr>
          <w:rStyle w:val="Char3"/>
          <w:rtl/>
        </w:rPr>
        <w:t xml:space="preserve"> </w:t>
      </w:r>
      <w:r w:rsidR="00685363" w:rsidRPr="0067048A">
        <w:rPr>
          <w:rStyle w:val="Char3"/>
          <w:rFonts w:hint="eastAsia"/>
          <w:rtl/>
        </w:rPr>
        <w:t>إِلَي</w:t>
      </w:r>
      <w:r w:rsidR="00685363" w:rsidRPr="0067048A">
        <w:rPr>
          <w:rStyle w:val="Char3"/>
          <w:rFonts w:hint="cs"/>
          <w:rtl/>
        </w:rPr>
        <w:t>ۡ</w:t>
      </w:r>
      <w:r w:rsidR="00685363" w:rsidRPr="0067048A">
        <w:rPr>
          <w:rStyle w:val="Char3"/>
          <w:rFonts w:hint="eastAsia"/>
          <w:rtl/>
        </w:rPr>
        <w:t>هِم</w:t>
      </w:r>
      <w:r w:rsidR="00685363" w:rsidRPr="0067048A">
        <w:rPr>
          <w:rStyle w:val="Char3"/>
          <w:rFonts w:hint="cs"/>
          <w:rtl/>
        </w:rPr>
        <w:t>ۡ</w:t>
      </w:r>
      <w:r w:rsidR="00685363" w:rsidRPr="00995B26">
        <w:rPr>
          <w:rFonts w:ascii="KFGQPC Uthmanic Script HAFS" w:cs="Times New Roman" w:hint="cs"/>
          <w:sz w:val="28"/>
          <w:rtl/>
          <w:lang w:bidi="fa-IR"/>
        </w:rPr>
        <w:t>...</w:t>
      </w:r>
      <w:r w:rsidR="00685363" w:rsidRPr="00995B26">
        <w:rPr>
          <w:rFonts w:ascii="Abo-thar" w:hAnsi="Abo-thar" w:cs="Traditional Arabic" w:hint="cs"/>
          <w:sz w:val="28"/>
          <w:rtl/>
          <w:lang w:bidi="ar-SY"/>
        </w:rPr>
        <w:t>﴾</w:t>
      </w:r>
      <w:r w:rsidRPr="00995B26">
        <w:rPr>
          <w:rFonts w:ascii="Abo-thar" w:hAnsi="Abo-thar" w:hint="cs"/>
          <w:sz w:val="28"/>
          <w:rtl/>
          <w:lang w:bidi="ar-SY"/>
        </w:rPr>
        <w:t xml:space="preserve"> </w:t>
      </w:r>
      <w:r w:rsidR="00685363" w:rsidRPr="003108CB">
        <w:rPr>
          <w:rStyle w:val="Char2"/>
          <w:rFonts w:hint="cs"/>
          <w:rtl/>
        </w:rPr>
        <w:t>[</w:t>
      </w:r>
      <w:r w:rsidRPr="003108CB">
        <w:rPr>
          <w:rStyle w:val="Char2"/>
          <w:rFonts w:hint="cs"/>
          <w:rtl/>
        </w:rPr>
        <w:t>الحشر</w:t>
      </w:r>
      <w:r w:rsidR="00685363" w:rsidRPr="003108CB">
        <w:rPr>
          <w:rStyle w:val="Char2"/>
          <w:rFonts w:hint="cs"/>
          <w:rtl/>
        </w:rPr>
        <w:t xml:space="preserve">: </w:t>
      </w:r>
      <w:r w:rsidRPr="003108CB">
        <w:rPr>
          <w:rStyle w:val="Char2"/>
          <w:rFonts w:hint="cs"/>
          <w:rtl/>
        </w:rPr>
        <w:t>9</w:t>
      </w:r>
      <w:r w:rsidR="00685363" w:rsidRPr="003108CB">
        <w:rPr>
          <w:rStyle w:val="Char2"/>
          <w:rFonts w:hint="cs"/>
          <w:rtl/>
        </w:rPr>
        <w:t>]</w:t>
      </w:r>
      <w:r w:rsidR="00217AB4" w:rsidRPr="00995B26">
        <w:rPr>
          <w:rFonts w:ascii="Abo-thar" w:hAnsi="Abo-thar" w:hint="cs"/>
          <w:sz w:val="28"/>
          <w:rtl/>
          <w:lang w:bidi="ar-SY"/>
        </w:rPr>
        <w:t>.</w:t>
      </w:r>
    </w:p>
    <w:p w:rsidR="005C664D" w:rsidRPr="003F3B94" w:rsidRDefault="005C664D" w:rsidP="003F3B94">
      <w:pPr>
        <w:pStyle w:val="a0"/>
        <w:rPr>
          <w:rFonts w:hint="cs"/>
          <w:rtl/>
          <w:lang w:bidi="ar-SY"/>
        </w:rPr>
      </w:pPr>
      <w:r w:rsidRPr="003F3B94">
        <w:rPr>
          <w:rFonts w:ascii="Abo-thar" w:hAnsi="Abo-thar" w:hint="cs"/>
          <w:sz w:val="28"/>
          <w:rtl/>
          <w:lang w:bidi="ar-SY"/>
        </w:rPr>
        <w:t xml:space="preserve">وهكذا إلى آخر الآية 9 من هذه السورة المباركة والتي يظهر منها بشكل واضح كل الوضوح بأن </w:t>
      </w:r>
      <w:r w:rsidRPr="003F3B94">
        <w:rPr>
          <w:rFonts w:ascii="Abo-thar" w:hAnsi="Abo-thar" w:hint="cs"/>
          <w:b/>
          <w:bCs/>
          <w:sz w:val="28"/>
          <w:rtl/>
          <w:lang w:bidi="ar-SY"/>
        </w:rPr>
        <w:t xml:space="preserve">المراد من اليتامى والمساكين وابن السبيل فيها يتامى ومساكين وأبناء سبيل المهاجرين والأنصار </w:t>
      </w:r>
      <w:r w:rsidRPr="003F3B94">
        <w:rPr>
          <w:rFonts w:ascii="Abo-thar" w:hAnsi="Abo-thar" w:hint="cs"/>
          <w:sz w:val="28"/>
          <w:rtl/>
          <w:lang w:bidi="ar-SY"/>
        </w:rPr>
        <w:t>الذين يشملهم الفيء ولا يختصون بآل محمد</w:t>
      </w:r>
      <w:r w:rsidR="00147857" w:rsidRPr="003F3B94">
        <w:rPr>
          <w:rFonts w:ascii="Abo-thar" w:hAnsi="Abo-thar" w:hint="cs"/>
          <w:sz w:val="28"/>
          <w:rtl/>
          <w:lang w:bidi="ar-SY"/>
        </w:rPr>
        <w:t xml:space="preserve"> </w:t>
      </w:r>
      <w:r w:rsidR="003C7AEB" w:rsidRPr="003C7AEB">
        <w:rPr>
          <w:rFonts w:ascii="Abo-thar" w:hAnsi="Abo-thar" w:cs="CTraditional Arabic" w:hint="cs"/>
          <w:sz w:val="28"/>
          <w:rtl/>
          <w:lang w:bidi="ar-SY"/>
        </w:rPr>
        <w:t>ص</w:t>
      </w:r>
      <w:r w:rsidR="00217AB4" w:rsidRPr="003F3B94">
        <w:rPr>
          <w:rFonts w:ascii="Abo-thar" w:hAnsi="Abo-thar" w:hint="cs"/>
          <w:sz w:val="28"/>
          <w:rtl/>
          <w:lang w:bidi="ar-SY"/>
        </w:rPr>
        <w:t>.</w:t>
      </w:r>
      <w:r w:rsidRPr="003F3B94">
        <w:rPr>
          <w:rFonts w:ascii="Abo-thar" w:hAnsi="Abo-thar" w:hint="cs"/>
          <w:sz w:val="28"/>
          <w:rtl/>
          <w:lang w:bidi="ar-SY"/>
        </w:rPr>
        <w:t xml:space="preserve"> هذا بمعزل عن أنه في ذلك الزمن لم يكن هناك أصلاً يتامى ومساكين وأبناء سبيل من آل محمد</w:t>
      </w:r>
      <w:r w:rsidR="00147857" w:rsidRPr="003F3B94">
        <w:rPr>
          <w:rFonts w:ascii="Abo-thar" w:hAnsi="Abo-thar" w:hint="cs"/>
          <w:sz w:val="28"/>
          <w:rtl/>
          <w:lang w:bidi="ar-SY"/>
        </w:rPr>
        <w:t xml:space="preserve"> </w:t>
      </w:r>
      <w:r w:rsidR="003C7AEB" w:rsidRPr="003C7AEB">
        <w:rPr>
          <w:rFonts w:ascii="Abo-thar" w:hAnsi="Abo-thar" w:cs="CTraditional Arabic"/>
          <w:sz w:val="28"/>
          <w:rtl/>
          <w:lang w:bidi="ar-SY"/>
        </w:rPr>
        <w:t>ص</w:t>
      </w:r>
      <w:r w:rsidR="00217AB4" w:rsidRPr="003F3B94">
        <w:rPr>
          <w:rFonts w:ascii="Abo-thar" w:hAnsi="Abo-thar"/>
          <w:sz w:val="28"/>
          <w:rtl/>
          <w:lang w:bidi="ar-SY"/>
        </w:rPr>
        <w:t>.</w:t>
      </w:r>
    </w:p>
    <w:p w:rsidR="005C664D" w:rsidRPr="003F3B94" w:rsidRDefault="005C664D" w:rsidP="003F3B94">
      <w:pPr>
        <w:pStyle w:val="a0"/>
        <w:rPr>
          <w:rFonts w:hint="cs"/>
          <w:rtl/>
          <w:lang w:bidi="ar-SY"/>
        </w:rPr>
      </w:pPr>
      <w:r w:rsidRPr="003F3B94">
        <w:rPr>
          <w:rFonts w:ascii="Abo-thar" w:hAnsi="Abo-thar" w:hint="cs"/>
          <w:sz w:val="28"/>
          <w:rtl/>
          <w:lang w:bidi="ar-SY"/>
        </w:rPr>
        <w:t xml:space="preserve">أما ما جاء في ذلك من الأحاديث المنسوبة لأهل البيت </w:t>
      </w:r>
      <w:r w:rsidR="00963EFD" w:rsidRPr="00963EFD">
        <w:rPr>
          <w:rFonts w:ascii="Abo-thar" w:hAnsi="Abo-thar" w:cs="CTraditional Arabic" w:hint="cs"/>
          <w:sz w:val="28"/>
          <w:rtl/>
          <w:lang w:bidi="ar-SY"/>
        </w:rPr>
        <w:t>‡</w:t>
      </w:r>
      <w:r w:rsidRPr="003F3B94">
        <w:rPr>
          <w:rFonts w:ascii="Abo-thar" w:hAnsi="Abo-thar" w:hint="cs"/>
          <w:sz w:val="28"/>
          <w:rtl/>
          <w:lang w:bidi="ar-SY"/>
        </w:rPr>
        <w:t xml:space="preserve"> بغض النظر عن صحتها أو سقمها فنذكر ما يلي</w:t>
      </w:r>
      <w:r w:rsidR="00217AB4" w:rsidRPr="003F3B94">
        <w:rPr>
          <w:rFonts w:ascii="Abo-thar" w:hAnsi="Abo-thar" w:hint="cs"/>
          <w:sz w:val="28"/>
          <w:rtl/>
          <w:lang w:bidi="ar-SY"/>
        </w:rPr>
        <w:t>:</w:t>
      </w:r>
      <w:r w:rsidRPr="003F3B94">
        <w:rPr>
          <w:rFonts w:ascii="Abo-thar" w:hAnsi="Abo-thar" w:hint="cs"/>
          <w:sz w:val="28"/>
          <w:rtl/>
          <w:lang w:bidi="ar-SY"/>
        </w:rPr>
        <w:t xml:space="preserve"> </w:t>
      </w:r>
    </w:p>
    <w:p w:rsidR="005C664D" w:rsidRPr="003F3B94" w:rsidRDefault="005C664D" w:rsidP="003F3B94">
      <w:pPr>
        <w:pStyle w:val="a0"/>
        <w:rPr>
          <w:rFonts w:hint="cs"/>
          <w:rtl/>
          <w:lang w:bidi="ar-SY"/>
        </w:rPr>
      </w:pPr>
      <w:r w:rsidRPr="003F3B94">
        <w:rPr>
          <w:rFonts w:ascii="Abo-thar" w:hAnsi="Abo-thar" w:hint="cs"/>
          <w:sz w:val="28"/>
          <w:rtl/>
          <w:lang w:bidi="ar-SY"/>
        </w:rPr>
        <w:t>1</w:t>
      </w:r>
      <w:r w:rsidR="00217AB4" w:rsidRPr="003F3B94">
        <w:rPr>
          <w:rFonts w:ascii="Abo-thar" w:hAnsi="Abo-thar" w:hint="cs"/>
          <w:sz w:val="28"/>
          <w:rtl/>
          <w:lang w:bidi="ar-SY"/>
        </w:rPr>
        <w:t>-</w:t>
      </w:r>
      <w:r w:rsidRPr="003F3B94">
        <w:rPr>
          <w:rFonts w:ascii="Abo-thar" w:hAnsi="Abo-thar" w:hint="cs"/>
          <w:sz w:val="28"/>
          <w:rtl/>
          <w:lang w:bidi="ar-SY"/>
        </w:rPr>
        <w:t xml:space="preserve"> جاء في كتاب </w:t>
      </w:r>
      <w:r w:rsidRPr="003F3B94">
        <w:rPr>
          <w:rFonts w:ascii="Abo-thar" w:hAnsi="Abo-thar" w:hint="eastAsia"/>
          <w:sz w:val="28"/>
          <w:rtl/>
          <w:lang w:bidi="ar-SY"/>
        </w:rPr>
        <w:t>«</w:t>
      </w:r>
      <w:r w:rsidRPr="003F3B94">
        <w:rPr>
          <w:rFonts w:ascii="Abo-thar" w:hAnsi="Abo-thar" w:hint="cs"/>
          <w:sz w:val="28"/>
          <w:rtl/>
          <w:lang w:bidi="ar-SY"/>
        </w:rPr>
        <w:t>تحف العقول</w:t>
      </w:r>
      <w:r w:rsidRPr="003F3B94">
        <w:rPr>
          <w:rFonts w:ascii="Abo-thar" w:hAnsi="Abo-thar" w:hint="eastAsia"/>
          <w:sz w:val="28"/>
          <w:rtl/>
          <w:lang w:bidi="ar-SY"/>
        </w:rPr>
        <w:t>»</w:t>
      </w:r>
      <w:r w:rsidRPr="003F3B94">
        <w:rPr>
          <w:rFonts w:ascii="Abo-thar" w:hAnsi="Abo-thar" w:hint="cs"/>
          <w:sz w:val="28"/>
          <w:rtl/>
          <w:lang w:bidi="ar-SY"/>
        </w:rPr>
        <w:t xml:space="preserve"> لابن شعبة الحراني الذي يعد من الكتب الموثوقة والمعتمدة لدى فرقة الإمامية في </w:t>
      </w:r>
      <w:r w:rsidR="00217AB4" w:rsidRPr="003F3B94">
        <w:rPr>
          <w:rFonts w:ascii="Abo-thar" w:hAnsi="Abo-thar" w:hint="cs"/>
          <w:sz w:val="28"/>
          <w:rtl/>
          <w:lang w:bidi="ar-SY"/>
        </w:rPr>
        <w:t>(</w:t>
      </w:r>
      <w:r w:rsidRPr="003F3B94">
        <w:rPr>
          <w:rFonts w:ascii="Abo-thar" w:hAnsi="Abo-thar" w:hint="cs"/>
          <w:sz w:val="28"/>
          <w:rtl/>
          <w:lang w:bidi="ar-SY"/>
        </w:rPr>
        <w:t>ص 555</w:t>
      </w:r>
      <w:r w:rsidR="00217AB4" w:rsidRPr="003F3B94">
        <w:rPr>
          <w:rFonts w:ascii="Abo-thar" w:hAnsi="Abo-thar" w:hint="cs"/>
          <w:sz w:val="28"/>
          <w:rtl/>
          <w:lang w:bidi="ar-SY"/>
        </w:rPr>
        <w:t>)</w:t>
      </w:r>
      <w:r w:rsidRPr="003F3B94">
        <w:rPr>
          <w:rFonts w:ascii="Abo-thar" w:hAnsi="Abo-thar" w:hint="cs"/>
          <w:sz w:val="28"/>
          <w:rtl/>
          <w:lang w:bidi="ar-SY"/>
        </w:rPr>
        <w:t xml:space="preserve"> حديث طويل عن حضرة الصادق </w:t>
      </w:r>
      <w:r w:rsidR="003C7AEB" w:rsidRPr="003C7AEB">
        <w:rPr>
          <w:rFonts w:ascii="Abo-thar" w:hAnsi="Abo-thar" w:cs="CTraditional Arabic" w:hint="cs"/>
          <w:sz w:val="28"/>
          <w:rtl/>
          <w:lang w:bidi="ar-SY"/>
        </w:rPr>
        <w:t>÷</w:t>
      </w:r>
      <w:r w:rsidRPr="003F3B94">
        <w:rPr>
          <w:rFonts w:ascii="Abo-thar" w:hAnsi="Abo-thar" w:hint="cs"/>
          <w:sz w:val="28"/>
          <w:rtl/>
          <w:lang w:bidi="ar-SY"/>
        </w:rPr>
        <w:t xml:space="preserve"> حول موضوع الغنائم جاء فيه</w:t>
      </w:r>
      <w:r w:rsidR="00217AB4" w:rsidRPr="003F3B94">
        <w:rPr>
          <w:rFonts w:ascii="Abo-thar" w:hAnsi="Abo-thar" w:hint="cs"/>
          <w:sz w:val="28"/>
          <w:rtl/>
          <w:lang w:bidi="ar-SY"/>
        </w:rPr>
        <w:t>:</w:t>
      </w:r>
      <w:r w:rsidRPr="003F3B94">
        <w:rPr>
          <w:rFonts w:ascii="Abo-thar" w:hAnsi="Abo-thar" w:hint="cs"/>
          <w:sz w:val="28"/>
          <w:rtl/>
          <w:lang w:bidi="ar-SY"/>
        </w:rPr>
        <w:t xml:space="preserve"> </w:t>
      </w:r>
    </w:p>
    <w:p w:rsidR="005C664D" w:rsidRPr="00995B26" w:rsidRDefault="00EF2588" w:rsidP="003F3B94">
      <w:pPr>
        <w:pStyle w:val="a0"/>
        <w:rPr>
          <w:rFonts w:hint="cs"/>
          <w:rtl/>
          <w:lang w:bidi="ar-SY"/>
        </w:rPr>
      </w:pPr>
      <w:r w:rsidRPr="00CE7623">
        <w:rPr>
          <w:rFonts w:ascii="Abo-thar" w:hAnsi="Abo-thar" w:cs="KFGQPC Uthman Taha Naskh" w:hint="cs"/>
          <w:sz w:val="28"/>
          <w:rtl/>
          <w:lang w:bidi="ar-SY"/>
        </w:rPr>
        <w:t>«</w:t>
      </w:r>
      <w:r w:rsidR="009127B5" w:rsidRPr="00CE7623">
        <w:rPr>
          <w:rFonts w:ascii="Abo-thar" w:hAnsi="Abo-thar" w:cs="KFGQPC Uthman Taha Naskh"/>
          <w:sz w:val="28"/>
          <w:rtl/>
          <w:lang w:bidi="ar-SY"/>
        </w:rPr>
        <w:t>وَ</w:t>
      </w:r>
      <w:r w:rsidR="005C664D" w:rsidRPr="00CE7623">
        <w:rPr>
          <w:rFonts w:ascii="Abo-thar" w:hAnsi="Abo-thar" w:cs="KFGQPC Uthman Taha Naskh"/>
          <w:sz w:val="28"/>
          <w:rtl/>
          <w:lang w:bidi="ar-SY"/>
        </w:rPr>
        <w:t>الْأَنْفَالُ اسْمٌ جَامِعٌ لِمَا أَصَابُوا يَوْمَئِذٍ مِثْلَ قَوْلِهِ</w:t>
      </w:r>
      <w:r w:rsidR="00217AB4" w:rsidRPr="00CE7623">
        <w:rPr>
          <w:rFonts w:ascii="Abo-thar" w:hAnsi="Abo-thar" w:cs="KFGQPC Uthman Taha Naskh" w:hint="cs"/>
          <w:sz w:val="28"/>
          <w:rtl/>
          <w:lang w:bidi="ar-SY"/>
        </w:rPr>
        <w:t>:</w:t>
      </w:r>
      <w:r w:rsidR="00685363" w:rsidRPr="003F3B94">
        <w:rPr>
          <w:rFonts w:ascii="Abo-thar" w:hAnsi="Abo-thar" w:hint="cs"/>
          <w:sz w:val="28"/>
          <w:rtl/>
          <w:lang w:bidi="ar-SY"/>
        </w:rPr>
        <w:t xml:space="preserve"> </w:t>
      </w:r>
      <w:r w:rsidR="00685363" w:rsidRPr="00995B26">
        <w:rPr>
          <w:rFonts w:ascii="Abo-thar" w:hAnsi="Abo-thar" w:cs="Traditional Arabic" w:hint="cs"/>
          <w:sz w:val="28"/>
          <w:rtl/>
          <w:lang w:bidi="ar-SY"/>
        </w:rPr>
        <w:t>﴿</w:t>
      </w:r>
      <w:r w:rsidR="00685363" w:rsidRPr="00995B26">
        <w:rPr>
          <w:rFonts w:ascii="KFGQPC Uthmanic Script HAFS" w:cs="KFGQPC Uthmanic Script HAFS" w:hint="eastAsia"/>
          <w:sz w:val="29"/>
          <w:szCs w:val="29"/>
          <w:rtl/>
        </w:rPr>
        <w:t>مَّا</w:t>
      </w:r>
      <w:r w:rsidR="00685363" w:rsidRPr="00995B26">
        <w:rPr>
          <w:rFonts w:ascii="KFGQPC Uthmanic Script HAFS" w:cs="KFGQPC Uthmanic Script HAFS" w:hint="cs"/>
          <w:sz w:val="29"/>
          <w:szCs w:val="29"/>
          <w:rtl/>
        </w:rPr>
        <w:t>ٓ</w:t>
      </w:r>
      <w:r w:rsidR="00685363" w:rsidRPr="00995B26">
        <w:rPr>
          <w:rFonts w:ascii="KFGQPC Uthmanic Script HAFS" w:cs="KFGQPC Uthmanic Script HAFS"/>
          <w:sz w:val="29"/>
          <w:szCs w:val="29"/>
          <w:rtl/>
        </w:rPr>
        <w:t xml:space="preserve"> </w:t>
      </w:r>
      <w:r w:rsidR="00685363" w:rsidRPr="00995B26">
        <w:rPr>
          <w:rFonts w:ascii="KFGQPC Uthmanic Script HAFS" w:cs="KFGQPC Uthmanic Script HAFS" w:hint="eastAsia"/>
          <w:sz w:val="29"/>
          <w:szCs w:val="29"/>
          <w:rtl/>
        </w:rPr>
        <w:t>أَفَا</w:t>
      </w:r>
      <w:r w:rsidR="00685363" w:rsidRPr="00995B26">
        <w:rPr>
          <w:rFonts w:ascii="KFGQPC Uthmanic Script HAFS" w:cs="KFGQPC Uthmanic Script HAFS" w:hint="cs"/>
          <w:sz w:val="29"/>
          <w:szCs w:val="29"/>
          <w:rtl/>
        </w:rPr>
        <w:t>ٓ</w:t>
      </w:r>
      <w:r w:rsidR="00685363" w:rsidRPr="00995B26">
        <w:rPr>
          <w:rFonts w:ascii="KFGQPC Uthmanic Script HAFS" w:cs="KFGQPC Uthmanic Script HAFS" w:hint="eastAsia"/>
          <w:sz w:val="29"/>
          <w:szCs w:val="29"/>
          <w:rtl/>
        </w:rPr>
        <w:t>ءَ</w:t>
      </w:r>
      <w:r w:rsidR="00685363" w:rsidRPr="00995B26">
        <w:rPr>
          <w:rFonts w:ascii="KFGQPC Uthmanic Script HAFS" w:cs="KFGQPC Uthmanic Script HAFS"/>
          <w:sz w:val="29"/>
          <w:szCs w:val="29"/>
          <w:rtl/>
        </w:rPr>
        <w:t xml:space="preserve"> </w:t>
      </w:r>
      <w:r w:rsidR="00685363" w:rsidRPr="00995B26">
        <w:rPr>
          <w:rFonts w:ascii="KFGQPC Uthmanic Script HAFS" w:cs="KFGQPC Uthmanic Script HAFS" w:hint="cs"/>
          <w:sz w:val="29"/>
          <w:szCs w:val="29"/>
          <w:rtl/>
        </w:rPr>
        <w:t>ٱ</w:t>
      </w:r>
      <w:r w:rsidR="00685363" w:rsidRPr="00995B26">
        <w:rPr>
          <w:rFonts w:ascii="KFGQPC Uthmanic Script HAFS" w:cs="KFGQPC Uthmanic Script HAFS" w:hint="eastAsia"/>
          <w:sz w:val="29"/>
          <w:szCs w:val="29"/>
          <w:rtl/>
        </w:rPr>
        <w:t>للَّهُ</w:t>
      </w:r>
      <w:r w:rsidR="00685363" w:rsidRPr="00995B26">
        <w:rPr>
          <w:rFonts w:ascii="KFGQPC Uthmanic Script HAFS" w:cs="KFGQPC Uthmanic Script HAFS"/>
          <w:sz w:val="29"/>
          <w:szCs w:val="29"/>
          <w:rtl/>
        </w:rPr>
        <w:t xml:space="preserve"> </w:t>
      </w:r>
      <w:r w:rsidR="00685363" w:rsidRPr="00995B26">
        <w:rPr>
          <w:rFonts w:ascii="KFGQPC Uthmanic Script HAFS" w:cs="KFGQPC Uthmanic Script HAFS" w:hint="eastAsia"/>
          <w:sz w:val="29"/>
          <w:szCs w:val="29"/>
          <w:rtl/>
        </w:rPr>
        <w:t>عَلَى</w:t>
      </w:r>
      <w:r w:rsidR="00685363" w:rsidRPr="00995B26">
        <w:rPr>
          <w:rFonts w:ascii="KFGQPC Uthmanic Script HAFS" w:cs="KFGQPC Uthmanic Script HAFS" w:hint="cs"/>
          <w:sz w:val="29"/>
          <w:szCs w:val="29"/>
          <w:rtl/>
        </w:rPr>
        <w:t>ٰ</w:t>
      </w:r>
      <w:r w:rsidR="00685363" w:rsidRPr="00995B26">
        <w:rPr>
          <w:rFonts w:ascii="KFGQPC Uthmanic Script HAFS" w:cs="KFGQPC Uthmanic Script HAFS"/>
          <w:sz w:val="29"/>
          <w:szCs w:val="29"/>
          <w:rtl/>
        </w:rPr>
        <w:t xml:space="preserve"> </w:t>
      </w:r>
      <w:r w:rsidR="00685363" w:rsidRPr="00995B26">
        <w:rPr>
          <w:rFonts w:ascii="KFGQPC Uthmanic Script HAFS" w:cs="KFGQPC Uthmanic Script HAFS" w:hint="eastAsia"/>
          <w:sz w:val="29"/>
          <w:szCs w:val="29"/>
          <w:rtl/>
        </w:rPr>
        <w:t>رَسُولِهِ</w:t>
      </w:r>
      <w:r w:rsidR="00685363" w:rsidRPr="00995B26">
        <w:rPr>
          <w:rFonts w:ascii="KFGQPC Uthmanic Script HAFS" w:cs="KFGQPC Uthmanic Script HAFS" w:hint="cs"/>
          <w:sz w:val="29"/>
          <w:szCs w:val="29"/>
          <w:rtl/>
        </w:rPr>
        <w:t>ۦ</w:t>
      </w:r>
      <w:r w:rsidR="00685363" w:rsidRPr="00995B26">
        <w:rPr>
          <w:rFonts w:ascii="Abo-thar" w:hAnsi="Abo-thar" w:cs="Traditional Arabic" w:hint="cs"/>
          <w:sz w:val="28"/>
          <w:rtl/>
          <w:lang w:bidi="ar-SY"/>
        </w:rPr>
        <w:t>﴾</w:t>
      </w:r>
      <w:r w:rsidR="005C664D" w:rsidRPr="00995B26">
        <w:rPr>
          <w:rFonts w:ascii="Abo-thar" w:hAnsi="Abo-thar"/>
          <w:sz w:val="28"/>
          <w:rtl/>
          <w:lang w:bidi="ar-SY"/>
        </w:rPr>
        <w:t xml:space="preserve"> </w:t>
      </w:r>
      <w:r w:rsidR="005C664D" w:rsidRPr="00CE7623">
        <w:rPr>
          <w:rFonts w:ascii="Abo-thar" w:hAnsi="Abo-thar" w:cs="KFGQPC Uthman Taha Naskh"/>
          <w:sz w:val="28"/>
          <w:rtl/>
          <w:lang w:bidi="ar-SY"/>
        </w:rPr>
        <w:t>وَمِثْلَ قَوْلِهِ</w:t>
      </w:r>
      <w:r w:rsidR="00217AB4" w:rsidRPr="00CE7623">
        <w:rPr>
          <w:rFonts w:ascii="Abo-thar" w:hAnsi="Abo-thar" w:cs="KFGQPC Uthman Taha Naskh" w:hint="cs"/>
          <w:sz w:val="28"/>
          <w:rtl/>
          <w:lang w:bidi="ar-SY"/>
        </w:rPr>
        <w:t>:</w:t>
      </w:r>
      <w:r w:rsidR="00685363" w:rsidRPr="00995B26">
        <w:rPr>
          <w:rFonts w:ascii="Abo-thar" w:hAnsi="Abo-thar" w:hint="cs"/>
          <w:sz w:val="28"/>
          <w:rtl/>
          <w:lang w:bidi="ar-SY"/>
        </w:rPr>
        <w:t xml:space="preserve"> </w:t>
      </w:r>
      <w:r w:rsidR="00685363" w:rsidRPr="00995B26">
        <w:rPr>
          <w:rFonts w:ascii="Abo-thar" w:hAnsi="Abo-thar" w:cs="Traditional Arabic" w:hint="cs"/>
          <w:sz w:val="28"/>
          <w:rtl/>
          <w:lang w:bidi="ar-SY"/>
        </w:rPr>
        <w:t>﴿</w:t>
      </w:r>
      <w:r w:rsidR="00685363" w:rsidRPr="0067048A">
        <w:rPr>
          <w:rStyle w:val="Char3"/>
          <w:rFonts w:hint="eastAsia"/>
          <w:rtl/>
        </w:rPr>
        <w:t>أَنَّمَا</w:t>
      </w:r>
      <w:r w:rsidR="00685363" w:rsidRPr="0067048A">
        <w:rPr>
          <w:rStyle w:val="Char3"/>
          <w:rtl/>
        </w:rPr>
        <w:t xml:space="preserve"> </w:t>
      </w:r>
      <w:r w:rsidR="00685363" w:rsidRPr="0067048A">
        <w:rPr>
          <w:rStyle w:val="Char3"/>
          <w:rFonts w:hint="eastAsia"/>
          <w:rtl/>
        </w:rPr>
        <w:t>غَنِم</w:t>
      </w:r>
      <w:r w:rsidR="00685363" w:rsidRPr="0067048A">
        <w:rPr>
          <w:rStyle w:val="Char3"/>
          <w:rFonts w:hint="cs"/>
          <w:rtl/>
        </w:rPr>
        <w:t>ۡ</w:t>
      </w:r>
      <w:r w:rsidR="00685363" w:rsidRPr="0067048A">
        <w:rPr>
          <w:rStyle w:val="Char3"/>
          <w:rFonts w:hint="eastAsia"/>
          <w:rtl/>
        </w:rPr>
        <w:t>تُم</w:t>
      </w:r>
      <w:r w:rsidR="00685363" w:rsidRPr="0067048A">
        <w:rPr>
          <w:rStyle w:val="Char3"/>
          <w:rtl/>
        </w:rPr>
        <w:t xml:space="preserve"> </w:t>
      </w:r>
      <w:r w:rsidR="00685363" w:rsidRPr="0067048A">
        <w:rPr>
          <w:rStyle w:val="Char3"/>
          <w:rFonts w:hint="eastAsia"/>
          <w:rtl/>
        </w:rPr>
        <w:t>مِّن</w:t>
      </w:r>
      <w:r w:rsidR="00685363" w:rsidRPr="0067048A">
        <w:rPr>
          <w:rStyle w:val="Char3"/>
          <w:rtl/>
        </w:rPr>
        <w:t xml:space="preserve"> </w:t>
      </w:r>
      <w:r w:rsidR="00685363" w:rsidRPr="0067048A">
        <w:rPr>
          <w:rStyle w:val="Char3"/>
          <w:rFonts w:hint="eastAsia"/>
          <w:rtl/>
        </w:rPr>
        <w:t>شَي</w:t>
      </w:r>
      <w:r w:rsidR="00685363" w:rsidRPr="0067048A">
        <w:rPr>
          <w:rStyle w:val="Char3"/>
          <w:rFonts w:hint="cs"/>
          <w:rtl/>
        </w:rPr>
        <w:t>ۡ</w:t>
      </w:r>
      <w:r w:rsidR="00685363" w:rsidRPr="0067048A">
        <w:rPr>
          <w:rStyle w:val="Char3"/>
          <w:rFonts w:hint="eastAsia"/>
          <w:rtl/>
        </w:rPr>
        <w:t>ء</w:t>
      </w:r>
      <w:r w:rsidR="00685363" w:rsidRPr="0067048A">
        <w:rPr>
          <w:rStyle w:val="Char3"/>
          <w:rFonts w:hint="cs"/>
          <w:rtl/>
        </w:rPr>
        <w:t>ٖ</w:t>
      </w:r>
      <w:r w:rsidR="00685363" w:rsidRPr="00995B26">
        <w:rPr>
          <w:rFonts w:ascii="Abo-thar" w:hAnsi="Abo-thar" w:cs="Traditional Arabic" w:hint="cs"/>
          <w:sz w:val="28"/>
          <w:rtl/>
          <w:lang w:bidi="ar-SY"/>
        </w:rPr>
        <w:t>﴾</w:t>
      </w:r>
      <w:r w:rsidR="005C664D" w:rsidRPr="00995B26">
        <w:rPr>
          <w:rFonts w:ascii="Abo-thar" w:hAnsi="Abo-thar"/>
          <w:sz w:val="28"/>
          <w:rtl/>
          <w:lang w:bidi="ar-SY"/>
        </w:rPr>
        <w:t xml:space="preserve"> </w:t>
      </w:r>
      <w:r w:rsidR="005C664D" w:rsidRPr="00CE7623">
        <w:rPr>
          <w:rFonts w:ascii="Abo-thar" w:hAnsi="Abo-thar" w:cs="KFGQPC Uthman Taha Naskh"/>
          <w:sz w:val="28"/>
          <w:rtl/>
          <w:lang w:bidi="ar-SY"/>
        </w:rPr>
        <w:t>ثُمَّ قَالَ</w:t>
      </w:r>
      <w:r w:rsidR="00217AB4" w:rsidRPr="00CE7623">
        <w:rPr>
          <w:rFonts w:ascii="Abo-thar" w:hAnsi="Abo-thar" w:cs="KFGQPC Uthman Taha Naskh" w:hint="cs"/>
          <w:sz w:val="28"/>
          <w:rtl/>
          <w:lang w:bidi="ar-SY"/>
        </w:rPr>
        <w:t>:</w:t>
      </w:r>
      <w:r w:rsidR="00685363" w:rsidRPr="00995B26">
        <w:rPr>
          <w:rFonts w:ascii="Abo-thar" w:hAnsi="Abo-thar" w:hint="cs"/>
          <w:sz w:val="28"/>
          <w:rtl/>
          <w:lang w:bidi="ar-SY"/>
        </w:rPr>
        <w:t xml:space="preserve"> </w:t>
      </w:r>
      <w:r w:rsidR="00685363" w:rsidRPr="00995B26">
        <w:rPr>
          <w:rFonts w:ascii="Abo-thar" w:hAnsi="Abo-thar" w:cs="Traditional Arabic" w:hint="cs"/>
          <w:sz w:val="28"/>
          <w:rtl/>
          <w:lang w:bidi="ar-SY"/>
        </w:rPr>
        <w:t>﴿</w:t>
      </w:r>
      <w:r w:rsidR="00685363" w:rsidRPr="0067048A">
        <w:rPr>
          <w:rStyle w:val="Char3"/>
          <w:rFonts w:hint="eastAsia"/>
          <w:rtl/>
        </w:rPr>
        <w:t>قُلِ</w:t>
      </w:r>
      <w:r w:rsidR="00685363" w:rsidRPr="0067048A">
        <w:rPr>
          <w:rStyle w:val="Char3"/>
          <w:rtl/>
        </w:rPr>
        <w:t xml:space="preserve"> </w:t>
      </w:r>
      <w:r w:rsidR="00685363" w:rsidRPr="0067048A">
        <w:rPr>
          <w:rStyle w:val="Char3"/>
          <w:rFonts w:hint="cs"/>
          <w:rtl/>
        </w:rPr>
        <w:t>ٱ</w:t>
      </w:r>
      <w:r w:rsidR="00685363" w:rsidRPr="0067048A">
        <w:rPr>
          <w:rStyle w:val="Char3"/>
          <w:rFonts w:hint="eastAsia"/>
          <w:rtl/>
        </w:rPr>
        <w:t>ل</w:t>
      </w:r>
      <w:r w:rsidR="00685363" w:rsidRPr="0067048A">
        <w:rPr>
          <w:rStyle w:val="Char3"/>
          <w:rFonts w:hint="cs"/>
          <w:rtl/>
        </w:rPr>
        <w:t>ۡ</w:t>
      </w:r>
      <w:r w:rsidR="00685363" w:rsidRPr="0067048A">
        <w:rPr>
          <w:rStyle w:val="Char3"/>
          <w:rFonts w:hint="eastAsia"/>
          <w:rtl/>
        </w:rPr>
        <w:t>أَنفَالُ</w:t>
      </w:r>
      <w:r w:rsidR="00685363" w:rsidRPr="0067048A">
        <w:rPr>
          <w:rStyle w:val="Char3"/>
          <w:rtl/>
        </w:rPr>
        <w:t xml:space="preserve"> </w:t>
      </w:r>
      <w:r w:rsidR="00685363" w:rsidRPr="0067048A">
        <w:rPr>
          <w:rStyle w:val="Char3"/>
          <w:rFonts w:hint="eastAsia"/>
          <w:rtl/>
        </w:rPr>
        <w:t>لِلَّهِ</w:t>
      </w:r>
      <w:r w:rsidR="00685363" w:rsidRPr="0067048A">
        <w:rPr>
          <w:rStyle w:val="Char3"/>
          <w:rtl/>
        </w:rPr>
        <w:t xml:space="preserve"> </w:t>
      </w:r>
      <w:r w:rsidR="00685363" w:rsidRPr="0067048A">
        <w:rPr>
          <w:rStyle w:val="Char3"/>
          <w:rFonts w:hint="eastAsia"/>
          <w:rtl/>
        </w:rPr>
        <w:t>وَ</w:t>
      </w:r>
      <w:r w:rsidR="00685363" w:rsidRPr="0067048A">
        <w:rPr>
          <w:rStyle w:val="Char3"/>
          <w:rFonts w:hint="cs"/>
          <w:rtl/>
        </w:rPr>
        <w:t>ٱ</w:t>
      </w:r>
      <w:r w:rsidR="00685363" w:rsidRPr="0067048A">
        <w:rPr>
          <w:rStyle w:val="Char3"/>
          <w:rFonts w:hint="eastAsia"/>
          <w:rtl/>
        </w:rPr>
        <w:t>لرَّسُولِ</w:t>
      </w:r>
      <w:r w:rsidR="00685363" w:rsidRPr="00995B26">
        <w:rPr>
          <w:rFonts w:ascii="Abo-thar" w:hAnsi="Abo-thar" w:cs="Traditional Arabic" w:hint="cs"/>
          <w:sz w:val="28"/>
          <w:rtl/>
          <w:lang w:bidi="ar-SY"/>
        </w:rPr>
        <w:t>﴾</w:t>
      </w:r>
      <w:r w:rsidR="005C664D" w:rsidRPr="00995B26">
        <w:rPr>
          <w:rFonts w:ascii="Abo-thar" w:hAnsi="Abo-thar"/>
          <w:sz w:val="28"/>
          <w:rtl/>
          <w:lang w:bidi="ar-SY"/>
        </w:rPr>
        <w:t xml:space="preserve"> </w:t>
      </w:r>
      <w:r w:rsidR="005C664D" w:rsidRPr="00CE7623">
        <w:rPr>
          <w:rFonts w:ascii="Abo-thar" w:hAnsi="Abo-thar" w:cs="KFGQPC Uthman Taha Naskh"/>
          <w:sz w:val="28"/>
          <w:rtl/>
          <w:lang w:bidi="ar-SY"/>
        </w:rPr>
        <w:t>فَاخْتَلَجَهَا اللهُ مِنْ أَيْدِيهِمْ فَجَعَلَهَا لِـلَّهِ ولِرَسُولِه ثم قال</w:t>
      </w:r>
      <w:r w:rsidR="00217AB4" w:rsidRPr="00CE7623">
        <w:rPr>
          <w:rFonts w:ascii="Abo-thar" w:hAnsi="Abo-thar" w:cs="KFGQPC Uthman Taha Naskh" w:hint="cs"/>
          <w:sz w:val="28"/>
          <w:rtl/>
          <w:lang w:bidi="ar-SY"/>
        </w:rPr>
        <w:t>:</w:t>
      </w:r>
      <w:r w:rsidR="005C664D" w:rsidRPr="00995B26">
        <w:rPr>
          <w:rFonts w:ascii="Abo-thar" w:hAnsi="Abo-thar" w:hint="cs"/>
          <w:sz w:val="28"/>
          <w:rtl/>
          <w:lang w:bidi="ar-SY"/>
        </w:rPr>
        <w:t xml:space="preserve"> </w:t>
      </w:r>
      <w:r w:rsidR="00685363" w:rsidRPr="00995B26">
        <w:rPr>
          <w:rFonts w:ascii="Abo-thar" w:hAnsi="Abo-thar" w:cs="Traditional Arabic" w:hint="cs"/>
          <w:sz w:val="28"/>
          <w:rtl/>
          <w:lang w:bidi="ar-SY"/>
        </w:rPr>
        <w:t>﴿</w:t>
      </w:r>
      <w:r w:rsidR="00685363" w:rsidRPr="0067048A">
        <w:rPr>
          <w:rStyle w:val="Char3"/>
          <w:rFonts w:hint="eastAsia"/>
          <w:rtl/>
        </w:rPr>
        <w:t>فَ</w:t>
      </w:r>
      <w:r w:rsidR="00685363" w:rsidRPr="0067048A">
        <w:rPr>
          <w:rStyle w:val="Char3"/>
          <w:rFonts w:hint="cs"/>
          <w:rtl/>
        </w:rPr>
        <w:t>ٱ</w:t>
      </w:r>
      <w:r w:rsidR="00685363" w:rsidRPr="0067048A">
        <w:rPr>
          <w:rStyle w:val="Char3"/>
          <w:rFonts w:hint="eastAsia"/>
          <w:rtl/>
        </w:rPr>
        <w:t>تَّقُواْ</w:t>
      </w:r>
      <w:r w:rsidR="00685363" w:rsidRPr="0067048A">
        <w:rPr>
          <w:rStyle w:val="Char3"/>
          <w:rtl/>
        </w:rPr>
        <w:t xml:space="preserve"> </w:t>
      </w:r>
      <w:r w:rsidR="00685363" w:rsidRPr="0067048A">
        <w:rPr>
          <w:rStyle w:val="Char3"/>
          <w:rFonts w:hint="cs"/>
          <w:rtl/>
        </w:rPr>
        <w:t>ٱ</w:t>
      </w:r>
      <w:r w:rsidR="00685363" w:rsidRPr="0067048A">
        <w:rPr>
          <w:rStyle w:val="Char3"/>
          <w:rFonts w:hint="eastAsia"/>
          <w:rtl/>
        </w:rPr>
        <w:t>للَّهَ</w:t>
      </w:r>
      <w:r w:rsidR="00685363" w:rsidRPr="0067048A">
        <w:rPr>
          <w:rStyle w:val="Char3"/>
          <w:rtl/>
        </w:rPr>
        <w:t xml:space="preserve"> </w:t>
      </w:r>
      <w:r w:rsidR="00685363" w:rsidRPr="0067048A">
        <w:rPr>
          <w:rStyle w:val="Char3"/>
          <w:rFonts w:hint="eastAsia"/>
          <w:rtl/>
        </w:rPr>
        <w:t>وَأَص</w:t>
      </w:r>
      <w:r w:rsidR="00685363" w:rsidRPr="0067048A">
        <w:rPr>
          <w:rStyle w:val="Char3"/>
          <w:rFonts w:hint="cs"/>
          <w:rtl/>
        </w:rPr>
        <w:t>ۡ</w:t>
      </w:r>
      <w:r w:rsidR="00685363" w:rsidRPr="0067048A">
        <w:rPr>
          <w:rStyle w:val="Char3"/>
          <w:rFonts w:hint="eastAsia"/>
          <w:rtl/>
        </w:rPr>
        <w:t>لِحُواْ</w:t>
      </w:r>
      <w:r w:rsidR="00685363" w:rsidRPr="0067048A">
        <w:rPr>
          <w:rStyle w:val="Char3"/>
          <w:rtl/>
        </w:rPr>
        <w:t xml:space="preserve"> </w:t>
      </w:r>
      <w:r w:rsidR="00685363" w:rsidRPr="0067048A">
        <w:rPr>
          <w:rStyle w:val="Char3"/>
          <w:rFonts w:hint="eastAsia"/>
          <w:rtl/>
        </w:rPr>
        <w:t>ذَاتَ</w:t>
      </w:r>
      <w:r w:rsidR="00685363" w:rsidRPr="0067048A">
        <w:rPr>
          <w:rStyle w:val="Char3"/>
          <w:rtl/>
        </w:rPr>
        <w:t xml:space="preserve"> </w:t>
      </w:r>
      <w:r w:rsidR="00685363" w:rsidRPr="0067048A">
        <w:rPr>
          <w:rStyle w:val="Char3"/>
          <w:rFonts w:hint="eastAsia"/>
          <w:rtl/>
        </w:rPr>
        <w:t>بَي</w:t>
      </w:r>
      <w:r w:rsidR="00685363" w:rsidRPr="0067048A">
        <w:rPr>
          <w:rStyle w:val="Char3"/>
          <w:rFonts w:hint="cs"/>
          <w:rtl/>
        </w:rPr>
        <w:t>ۡ</w:t>
      </w:r>
      <w:r w:rsidR="00685363" w:rsidRPr="0067048A">
        <w:rPr>
          <w:rStyle w:val="Char3"/>
          <w:rFonts w:hint="eastAsia"/>
          <w:rtl/>
        </w:rPr>
        <w:t>نِكُم</w:t>
      </w:r>
      <w:r w:rsidR="00685363" w:rsidRPr="0067048A">
        <w:rPr>
          <w:rStyle w:val="Char3"/>
          <w:rFonts w:hint="cs"/>
          <w:rtl/>
        </w:rPr>
        <w:t>ۡۖ</w:t>
      </w:r>
      <w:r w:rsidR="00685363" w:rsidRPr="0067048A">
        <w:rPr>
          <w:rStyle w:val="Char3"/>
          <w:rtl/>
        </w:rPr>
        <w:t xml:space="preserve"> </w:t>
      </w:r>
      <w:r w:rsidR="00685363" w:rsidRPr="0067048A">
        <w:rPr>
          <w:rStyle w:val="Char3"/>
          <w:rFonts w:hint="eastAsia"/>
          <w:rtl/>
        </w:rPr>
        <w:t>وَأَطِيعُواْ</w:t>
      </w:r>
      <w:r w:rsidR="00685363" w:rsidRPr="0067048A">
        <w:rPr>
          <w:rStyle w:val="Char3"/>
          <w:rtl/>
        </w:rPr>
        <w:t xml:space="preserve"> </w:t>
      </w:r>
      <w:r w:rsidR="00685363" w:rsidRPr="0067048A">
        <w:rPr>
          <w:rStyle w:val="Char3"/>
          <w:rFonts w:hint="cs"/>
          <w:rtl/>
        </w:rPr>
        <w:t>ٱ</w:t>
      </w:r>
      <w:r w:rsidR="00685363" w:rsidRPr="0067048A">
        <w:rPr>
          <w:rStyle w:val="Char3"/>
          <w:rFonts w:hint="eastAsia"/>
          <w:rtl/>
        </w:rPr>
        <w:t>للَّهَ</w:t>
      </w:r>
      <w:r w:rsidR="00685363" w:rsidRPr="0067048A">
        <w:rPr>
          <w:rStyle w:val="Char3"/>
          <w:rtl/>
        </w:rPr>
        <w:t xml:space="preserve"> </w:t>
      </w:r>
      <w:r w:rsidR="00685363" w:rsidRPr="0067048A">
        <w:rPr>
          <w:rStyle w:val="Char3"/>
          <w:rFonts w:hint="eastAsia"/>
          <w:rtl/>
        </w:rPr>
        <w:t>وَرَسُولَهُ</w:t>
      </w:r>
      <w:r w:rsidR="00685363" w:rsidRPr="0067048A">
        <w:rPr>
          <w:rStyle w:val="Char3"/>
          <w:rFonts w:hint="cs"/>
          <w:rtl/>
        </w:rPr>
        <w:t>ۥٓ</w:t>
      </w:r>
      <w:r w:rsidR="00685363" w:rsidRPr="0067048A">
        <w:rPr>
          <w:rStyle w:val="Char3"/>
          <w:rtl/>
        </w:rPr>
        <w:t xml:space="preserve"> </w:t>
      </w:r>
      <w:r w:rsidR="00685363" w:rsidRPr="0067048A">
        <w:rPr>
          <w:rStyle w:val="Char3"/>
          <w:rFonts w:hint="eastAsia"/>
          <w:rtl/>
        </w:rPr>
        <w:t>إِن</w:t>
      </w:r>
      <w:r w:rsidR="00685363" w:rsidRPr="0067048A">
        <w:rPr>
          <w:rStyle w:val="Char3"/>
          <w:rtl/>
        </w:rPr>
        <w:t xml:space="preserve"> </w:t>
      </w:r>
      <w:r w:rsidR="00685363" w:rsidRPr="0067048A">
        <w:rPr>
          <w:rStyle w:val="Char3"/>
          <w:rFonts w:hint="eastAsia"/>
          <w:rtl/>
        </w:rPr>
        <w:t>كُنتُم</w:t>
      </w:r>
      <w:r w:rsidR="00685363" w:rsidRPr="0067048A">
        <w:rPr>
          <w:rStyle w:val="Char3"/>
          <w:rtl/>
        </w:rPr>
        <w:t xml:space="preserve"> </w:t>
      </w:r>
      <w:r w:rsidR="00685363" w:rsidRPr="0067048A">
        <w:rPr>
          <w:rStyle w:val="Char3"/>
          <w:rFonts w:hint="eastAsia"/>
          <w:rtl/>
        </w:rPr>
        <w:t>مُّؤ</w:t>
      </w:r>
      <w:r w:rsidR="00685363" w:rsidRPr="0067048A">
        <w:rPr>
          <w:rStyle w:val="Char3"/>
          <w:rFonts w:hint="cs"/>
          <w:rtl/>
        </w:rPr>
        <w:t>ۡ</w:t>
      </w:r>
      <w:r w:rsidR="00685363" w:rsidRPr="0067048A">
        <w:rPr>
          <w:rStyle w:val="Char3"/>
          <w:rFonts w:hint="eastAsia"/>
          <w:rtl/>
        </w:rPr>
        <w:t>مِنِينَ</w:t>
      </w:r>
      <w:r w:rsidR="00685363" w:rsidRPr="00995B26">
        <w:rPr>
          <w:rFonts w:ascii="Abo-thar" w:hAnsi="Abo-thar" w:cs="Traditional Arabic" w:hint="cs"/>
          <w:sz w:val="28"/>
          <w:rtl/>
          <w:lang w:bidi="ar-SY"/>
        </w:rPr>
        <w:t>﴾</w:t>
      </w:r>
      <w:r w:rsidR="005C664D" w:rsidRPr="00CE7623">
        <w:rPr>
          <w:rFonts w:ascii="Abo-thar" w:hAnsi="Abo-thar" w:cs="KFGQPC Uthman Taha Naskh"/>
          <w:sz w:val="28"/>
          <w:rtl/>
          <w:lang w:bidi="ar-SY"/>
        </w:rPr>
        <w:t xml:space="preserve"> فَلَمَّا قَدِمَ رَسُولُ </w:t>
      </w:r>
      <w:r w:rsidR="00F664A6" w:rsidRPr="00CE7623">
        <w:rPr>
          <w:rFonts w:ascii="Abo-thar" w:hAnsi="Abo-thar" w:cs="KFGQPC Uthman Taha Naskh"/>
          <w:sz w:val="28"/>
          <w:rtl/>
          <w:lang w:bidi="ar-SY"/>
        </w:rPr>
        <w:t>اللهِ</w:t>
      </w:r>
      <w:r w:rsidR="00147857" w:rsidRPr="00CE7623">
        <w:rPr>
          <w:rFonts w:ascii="Abo-thar" w:hAnsi="Abo-thar" w:cs="KFGQPC Uthman Taha Naskh"/>
          <w:sz w:val="28"/>
          <w:rtl/>
          <w:lang w:bidi="ar-SY"/>
        </w:rPr>
        <w:t xml:space="preserve"> </w:t>
      </w:r>
      <w:r w:rsidR="003C7AEB" w:rsidRPr="003C7AEB">
        <w:rPr>
          <w:rFonts w:ascii="Abo-thar" w:hAnsi="Abo-thar" w:cs="CTraditional Arabic"/>
          <w:sz w:val="28"/>
          <w:rtl/>
          <w:lang w:bidi="ar-SY"/>
        </w:rPr>
        <w:t>ص</w:t>
      </w:r>
      <w:r w:rsidR="00147857" w:rsidRPr="00CE7623">
        <w:rPr>
          <w:rFonts w:ascii="Abo-thar" w:hAnsi="Abo-thar" w:cs="KFGQPC Uthman Taha Naskh"/>
          <w:sz w:val="28"/>
          <w:rtl/>
          <w:lang w:bidi="ar-SY"/>
        </w:rPr>
        <w:t xml:space="preserve"> </w:t>
      </w:r>
      <w:r w:rsidR="005C664D" w:rsidRPr="00CE7623">
        <w:rPr>
          <w:rFonts w:ascii="Abo-thar" w:hAnsi="Abo-thar" w:cs="KFGQPC Uthman Taha Naskh"/>
          <w:sz w:val="28"/>
          <w:rtl/>
          <w:lang w:bidi="ar-SY"/>
        </w:rPr>
        <w:t>لِلْمَدِينَةِ أَنْزَلَ اللهُ عَلَيْه‏</w:t>
      </w:r>
      <w:r w:rsidR="00217AB4" w:rsidRPr="00CE7623">
        <w:rPr>
          <w:rFonts w:ascii="Abo-thar" w:hAnsi="Abo-thar" w:cs="KFGQPC Uthman Taha Naskh" w:hint="cs"/>
          <w:sz w:val="28"/>
          <w:rtl/>
          <w:lang w:bidi="ar-SY"/>
        </w:rPr>
        <w:t>:</w:t>
      </w:r>
      <w:r w:rsidR="00685363" w:rsidRPr="00995B26">
        <w:rPr>
          <w:rFonts w:ascii="Abo-thar" w:hAnsi="Abo-thar" w:hint="cs"/>
          <w:sz w:val="28"/>
          <w:rtl/>
          <w:lang w:bidi="ar-SY"/>
        </w:rPr>
        <w:t xml:space="preserve"> </w:t>
      </w:r>
      <w:r w:rsidR="00685363" w:rsidRPr="00995B26">
        <w:rPr>
          <w:rFonts w:ascii="Abo-thar" w:hAnsi="Abo-thar" w:cs="Traditional Arabic" w:hint="cs"/>
          <w:sz w:val="28"/>
          <w:rtl/>
          <w:lang w:bidi="ar-SY"/>
        </w:rPr>
        <w:t>﴿</w:t>
      </w:r>
      <w:r w:rsidR="00685363" w:rsidRPr="0067048A">
        <w:rPr>
          <w:rStyle w:val="Char3"/>
          <w:rFonts w:hint="eastAsia"/>
          <w:rtl/>
        </w:rPr>
        <w:t>وَ</w:t>
      </w:r>
      <w:r w:rsidR="00685363" w:rsidRPr="0067048A">
        <w:rPr>
          <w:rStyle w:val="Char3"/>
          <w:rFonts w:hint="cs"/>
          <w:rtl/>
        </w:rPr>
        <w:t>ٱ</w:t>
      </w:r>
      <w:r w:rsidR="00685363" w:rsidRPr="0067048A">
        <w:rPr>
          <w:rStyle w:val="Char3"/>
          <w:rFonts w:hint="eastAsia"/>
          <w:rtl/>
        </w:rPr>
        <w:t>ع</w:t>
      </w:r>
      <w:r w:rsidR="00685363" w:rsidRPr="0067048A">
        <w:rPr>
          <w:rStyle w:val="Char3"/>
          <w:rFonts w:hint="cs"/>
          <w:rtl/>
        </w:rPr>
        <w:t>ۡ</w:t>
      </w:r>
      <w:r w:rsidR="00685363" w:rsidRPr="0067048A">
        <w:rPr>
          <w:rStyle w:val="Char3"/>
          <w:rFonts w:hint="eastAsia"/>
          <w:rtl/>
        </w:rPr>
        <w:t>لَمُو</w:t>
      </w:r>
      <w:r w:rsidR="00685363" w:rsidRPr="0067048A">
        <w:rPr>
          <w:rStyle w:val="Char3"/>
          <w:rFonts w:hint="cs"/>
          <w:rtl/>
        </w:rPr>
        <w:t>ٓ</w:t>
      </w:r>
      <w:r w:rsidR="00685363" w:rsidRPr="0067048A">
        <w:rPr>
          <w:rStyle w:val="Char3"/>
          <w:rFonts w:hint="eastAsia"/>
          <w:rtl/>
        </w:rPr>
        <w:t>اْ</w:t>
      </w:r>
      <w:r w:rsidR="00685363" w:rsidRPr="0067048A">
        <w:rPr>
          <w:rStyle w:val="Char3"/>
          <w:rtl/>
        </w:rPr>
        <w:t xml:space="preserve"> </w:t>
      </w:r>
      <w:r w:rsidR="00685363" w:rsidRPr="0067048A">
        <w:rPr>
          <w:rStyle w:val="Char3"/>
          <w:rFonts w:hint="eastAsia"/>
          <w:rtl/>
        </w:rPr>
        <w:t>أَنَّمَا</w:t>
      </w:r>
      <w:r w:rsidR="00685363" w:rsidRPr="0067048A">
        <w:rPr>
          <w:rStyle w:val="Char3"/>
          <w:rtl/>
        </w:rPr>
        <w:t xml:space="preserve"> </w:t>
      </w:r>
      <w:r w:rsidR="00685363" w:rsidRPr="0067048A">
        <w:rPr>
          <w:rStyle w:val="Char3"/>
          <w:rFonts w:hint="eastAsia"/>
          <w:rtl/>
        </w:rPr>
        <w:t>غَنِم</w:t>
      </w:r>
      <w:r w:rsidR="00685363" w:rsidRPr="0067048A">
        <w:rPr>
          <w:rStyle w:val="Char3"/>
          <w:rFonts w:hint="cs"/>
          <w:rtl/>
        </w:rPr>
        <w:t>ۡ</w:t>
      </w:r>
      <w:r w:rsidR="00685363" w:rsidRPr="0067048A">
        <w:rPr>
          <w:rStyle w:val="Char3"/>
          <w:rFonts w:hint="eastAsia"/>
          <w:rtl/>
        </w:rPr>
        <w:t>تُم</w:t>
      </w:r>
      <w:r w:rsidR="00685363" w:rsidRPr="0067048A">
        <w:rPr>
          <w:rStyle w:val="Char3"/>
          <w:rtl/>
        </w:rPr>
        <w:t xml:space="preserve"> </w:t>
      </w:r>
      <w:r w:rsidR="00685363" w:rsidRPr="0067048A">
        <w:rPr>
          <w:rStyle w:val="Char3"/>
          <w:rFonts w:hint="eastAsia"/>
          <w:rtl/>
        </w:rPr>
        <w:t>مِّن</w:t>
      </w:r>
      <w:r w:rsidR="00685363" w:rsidRPr="0067048A">
        <w:rPr>
          <w:rStyle w:val="Char3"/>
          <w:rtl/>
        </w:rPr>
        <w:t xml:space="preserve"> </w:t>
      </w:r>
      <w:r w:rsidR="00685363" w:rsidRPr="0067048A">
        <w:rPr>
          <w:rStyle w:val="Char3"/>
          <w:rFonts w:hint="eastAsia"/>
          <w:rtl/>
        </w:rPr>
        <w:t>شَي</w:t>
      </w:r>
      <w:r w:rsidR="00685363" w:rsidRPr="0067048A">
        <w:rPr>
          <w:rStyle w:val="Char3"/>
          <w:rFonts w:hint="cs"/>
          <w:rtl/>
        </w:rPr>
        <w:t>ۡ</w:t>
      </w:r>
      <w:r w:rsidR="00685363" w:rsidRPr="0067048A">
        <w:rPr>
          <w:rStyle w:val="Char3"/>
          <w:rFonts w:hint="eastAsia"/>
          <w:rtl/>
        </w:rPr>
        <w:t>ء</w:t>
      </w:r>
      <w:r w:rsidR="00685363" w:rsidRPr="0067048A">
        <w:rPr>
          <w:rStyle w:val="Char3"/>
          <w:rFonts w:hint="cs"/>
          <w:rtl/>
        </w:rPr>
        <w:t>ٖ</w:t>
      </w:r>
      <w:r w:rsidR="00685363" w:rsidRPr="0067048A">
        <w:rPr>
          <w:rStyle w:val="Char3"/>
          <w:rtl/>
        </w:rPr>
        <w:t xml:space="preserve"> </w:t>
      </w:r>
      <w:r w:rsidR="00685363" w:rsidRPr="0067048A">
        <w:rPr>
          <w:rStyle w:val="Char3"/>
          <w:rFonts w:hint="eastAsia"/>
          <w:rtl/>
        </w:rPr>
        <w:t>فَأَنَّ</w:t>
      </w:r>
      <w:r w:rsidR="00685363" w:rsidRPr="0067048A">
        <w:rPr>
          <w:rStyle w:val="Char3"/>
          <w:rtl/>
        </w:rPr>
        <w:t xml:space="preserve"> </w:t>
      </w:r>
      <w:r w:rsidR="00685363" w:rsidRPr="0067048A">
        <w:rPr>
          <w:rStyle w:val="Char3"/>
          <w:rFonts w:hint="eastAsia"/>
          <w:rtl/>
        </w:rPr>
        <w:t>لِلَّهِ</w:t>
      </w:r>
      <w:r w:rsidR="00685363" w:rsidRPr="0067048A">
        <w:rPr>
          <w:rStyle w:val="Char3"/>
          <w:rtl/>
        </w:rPr>
        <w:t xml:space="preserve"> </w:t>
      </w:r>
      <w:r w:rsidR="00685363" w:rsidRPr="0067048A">
        <w:rPr>
          <w:rStyle w:val="Char3"/>
          <w:rFonts w:hint="eastAsia"/>
          <w:rtl/>
        </w:rPr>
        <w:t>خُمُسَهُ</w:t>
      </w:r>
      <w:r w:rsidR="00685363" w:rsidRPr="0067048A">
        <w:rPr>
          <w:rStyle w:val="Char3"/>
          <w:rFonts w:hint="cs"/>
          <w:rtl/>
        </w:rPr>
        <w:t>ۥ</w:t>
      </w:r>
      <w:r w:rsidR="00685363" w:rsidRPr="0067048A">
        <w:rPr>
          <w:rStyle w:val="Char3"/>
          <w:rtl/>
        </w:rPr>
        <w:t xml:space="preserve"> </w:t>
      </w:r>
      <w:r w:rsidR="00685363" w:rsidRPr="0067048A">
        <w:rPr>
          <w:rStyle w:val="Char3"/>
          <w:rFonts w:hint="eastAsia"/>
          <w:rtl/>
        </w:rPr>
        <w:t>وَلِلرَّسُولِ</w:t>
      </w:r>
      <w:r w:rsidR="00685363" w:rsidRPr="0067048A">
        <w:rPr>
          <w:rStyle w:val="Char3"/>
          <w:rtl/>
        </w:rPr>
        <w:t xml:space="preserve"> </w:t>
      </w:r>
      <w:r w:rsidR="00685363" w:rsidRPr="0067048A">
        <w:rPr>
          <w:rStyle w:val="Char3"/>
          <w:rFonts w:hint="eastAsia"/>
          <w:rtl/>
        </w:rPr>
        <w:t>وَلِذِي</w:t>
      </w:r>
      <w:r w:rsidR="00685363" w:rsidRPr="0067048A">
        <w:rPr>
          <w:rStyle w:val="Char3"/>
          <w:rtl/>
        </w:rPr>
        <w:t xml:space="preserve"> </w:t>
      </w:r>
      <w:r w:rsidR="00685363" w:rsidRPr="0067048A">
        <w:rPr>
          <w:rStyle w:val="Char3"/>
          <w:rFonts w:hint="cs"/>
          <w:rtl/>
        </w:rPr>
        <w:t>ٱ</w:t>
      </w:r>
      <w:r w:rsidR="00685363" w:rsidRPr="0067048A">
        <w:rPr>
          <w:rStyle w:val="Char3"/>
          <w:rFonts w:hint="eastAsia"/>
          <w:rtl/>
        </w:rPr>
        <w:t>ل</w:t>
      </w:r>
      <w:r w:rsidR="00685363" w:rsidRPr="0067048A">
        <w:rPr>
          <w:rStyle w:val="Char3"/>
          <w:rFonts w:hint="cs"/>
          <w:rtl/>
        </w:rPr>
        <w:t>ۡ</w:t>
      </w:r>
      <w:r w:rsidR="00685363" w:rsidRPr="0067048A">
        <w:rPr>
          <w:rStyle w:val="Char3"/>
          <w:rFonts w:hint="eastAsia"/>
          <w:rtl/>
        </w:rPr>
        <w:t>قُر</w:t>
      </w:r>
      <w:r w:rsidR="00685363" w:rsidRPr="0067048A">
        <w:rPr>
          <w:rStyle w:val="Char3"/>
          <w:rFonts w:hint="cs"/>
          <w:rtl/>
        </w:rPr>
        <w:t>ۡ</w:t>
      </w:r>
      <w:r w:rsidR="00685363" w:rsidRPr="0067048A">
        <w:rPr>
          <w:rStyle w:val="Char3"/>
          <w:rFonts w:hint="eastAsia"/>
          <w:rtl/>
        </w:rPr>
        <w:t>بَى</w:t>
      </w:r>
      <w:r w:rsidR="00685363" w:rsidRPr="0067048A">
        <w:rPr>
          <w:rStyle w:val="Char3"/>
          <w:rFonts w:hint="cs"/>
          <w:rtl/>
        </w:rPr>
        <w:t>ٰ</w:t>
      </w:r>
      <w:r w:rsidR="00685363" w:rsidRPr="0067048A">
        <w:rPr>
          <w:rStyle w:val="Char3"/>
          <w:rtl/>
        </w:rPr>
        <w:t xml:space="preserve"> </w:t>
      </w:r>
      <w:r w:rsidR="00685363" w:rsidRPr="0067048A">
        <w:rPr>
          <w:rStyle w:val="Char3"/>
          <w:rFonts w:hint="eastAsia"/>
          <w:rtl/>
        </w:rPr>
        <w:t>وَ</w:t>
      </w:r>
      <w:r w:rsidR="00685363" w:rsidRPr="0067048A">
        <w:rPr>
          <w:rStyle w:val="Char3"/>
          <w:rFonts w:hint="cs"/>
          <w:rtl/>
        </w:rPr>
        <w:t>ٱ</w:t>
      </w:r>
      <w:r w:rsidR="00685363" w:rsidRPr="0067048A">
        <w:rPr>
          <w:rStyle w:val="Char3"/>
          <w:rFonts w:hint="eastAsia"/>
          <w:rtl/>
        </w:rPr>
        <w:t>ل</w:t>
      </w:r>
      <w:r w:rsidR="00685363" w:rsidRPr="0067048A">
        <w:rPr>
          <w:rStyle w:val="Char3"/>
          <w:rFonts w:hint="cs"/>
          <w:rtl/>
        </w:rPr>
        <w:t>ۡ</w:t>
      </w:r>
      <w:r w:rsidR="00685363" w:rsidRPr="0067048A">
        <w:rPr>
          <w:rStyle w:val="Char3"/>
          <w:rFonts w:hint="eastAsia"/>
          <w:rtl/>
        </w:rPr>
        <w:t>يَتَ</w:t>
      </w:r>
      <w:r w:rsidR="00685363" w:rsidRPr="0067048A">
        <w:rPr>
          <w:rStyle w:val="Char3"/>
          <w:rFonts w:hint="cs"/>
          <w:rtl/>
        </w:rPr>
        <w:t>ٰ</w:t>
      </w:r>
      <w:r w:rsidR="00685363" w:rsidRPr="0067048A">
        <w:rPr>
          <w:rStyle w:val="Char3"/>
          <w:rFonts w:hint="eastAsia"/>
          <w:rtl/>
        </w:rPr>
        <w:t>مَى</w:t>
      </w:r>
      <w:r w:rsidR="00685363" w:rsidRPr="0067048A">
        <w:rPr>
          <w:rStyle w:val="Char3"/>
          <w:rFonts w:hint="cs"/>
          <w:rtl/>
        </w:rPr>
        <w:t>ٰ</w:t>
      </w:r>
      <w:r w:rsidR="00685363" w:rsidRPr="0067048A">
        <w:rPr>
          <w:rStyle w:val="Char3"/>
          <w:rtl/>
        </w:rPr>
        <w:t xml:space="preserve"> </w:t>
      </w:r>
      <w:r w:rsidR="00685363" w:rsidRPr="0067048A">
        <w:rPr>
          <w:rStyle w:val="Char3"/>
          <w:rFonts w:hint="eastAsia"/>
          <w:rtl/>
        </w:rPr>
        <w:t>وَ</w:t>
      </w:r>
      <w:r w:rsidR="00685363" w:rsidRPr="0067048A">
        <w:rPr>
          <w:rStyle w:val="Char3"/>
          <w:rFonts w:hint="cs"/>
          <w:rtl/>
        </w:rPr>
        <w:t>ٱ</w:t>
      </w:r>
      <w:r w:rsidR="00685363" w:rsidRPr="0067048A">
        <w:rPr>
          <w:rStyle w:val="Char3"/>
          <w:rFonts w:hint="eastAsia"/>
          <w:rtl/>
        </w:rPr>
        <w:t>ل</w:t>
      </w:r>
      <w:r w:rsidR="00685363" w:rsidRPr="0067048A">
        <w:rPr>
          <w:rStyle w:val="Char3"/>
          <w:rFonts w:hint="cs"/>
          <w:rtl/>
        </w:rPr>
        <w:t>ۡ</w:t>
      </w:r>
      <w:r w:rsidR="00685363" w:rsidRPr="0067048A">
        <w:rPr>
          <w:rStyle w:val="Char3"/>
          <w:rFonts w:hint="eastAsia"/>
          <w:rtl/>
        </w:rPr>
        <w:t>مَسَ</w:t>
      </w:r>
      <w:r w:rsidR="00685363" w:rsidRPr="0067048A">
        <w:rPr>
          <w:rStyle w:val="Char3"/>
          <w:rFonts w:hint="cs"/>
          <w:rtl/>
        </w:rPr>
        <w:t>ٰ</w:t>
      </w:r>
      <w:r w:rsidR="00685363" w:rsidRPr="0067048A">
        <w:rPr>
          <w:rStyle w:val="Char3"/>
          <w:rFonts w:hint="eastAsia"/>
          <w:rtl/>
        </w:rPr>
        <w:t>كِينِ</w:t>
      </w:r>
      <w:r w:rsidR="00685363" w:rsidRPr="0067048A">
        <w:rPr>
          <w:rStyle w:val="Char3"/>
          <w:rtl/>
        </w:rPr>
        <w:t xml:space="preserve"> </w:t>
      </w:r>
      <w:r w:rsidR="00685363" w:rsidRPr="0067048A">
        <w:rPr>
          <w:rStyle w:val="Char3"/>
          <w:rFonts w:hint="eastAsia"/>
          <w:rtl/>
        </w:rPr>
        <w:t>وَ</w:t>
      </w:r>
      <w:r w:rsidR="00685363" w:rsidRPr="0067048A">
        <w:rPr>
          <w:rStyle w:val="Char3"/>
          <w:rFonts w:hint="cs"/>
          <w:rtl/>
        </w:rPr>
        <w:t>ٱ</w:t>
      </w:r>
      <w:r w:rsidR="00685363" w:rsidRPr="0067048A">
        <w:rPr>
          <w:rStyle w:val="Char3"/>
          <w:rFonts w:hint="eastAsia"/>
          <w:rtl/>
        </w:rPr>
        <w:t>ب</w:t>
      </w:r>
      <w:r w:rsidR="00685363" w:rsidRPr="0067048A">
        <w:rPr>
          <w:rStyle w:val="Char3"/>
          <w:rFonts w:hint="cs"/>
          <w:rtl/>
        </w:rPr>
        <w:t>ۡ</w:t>
      </w:r>
      <w:r w:rsidR="00685363" w:rsidRPr="0067048A">
        <w:rPr>
          <w:rStyle w:val="Char3"/>
          <w:rFonts w:hint="eastAsia"/>
          <w:rtl/>
        </w:rPr>
        <w:t>نِ</w:t>
      </w:r>
      <w:r w:rsidR="00685363" w:rsidRPr="0067048A">
        <w:rPr>
          <w:rStyle w:val="Char3"/>
          <w:rtl/>
        </w:rPr>
        <w:t xml:space="preserve"> </w:t>
      </w:r>
      <w:r w:rsidR="00685363" w:rsidRPr="0067048A">
        <w:rPr>
          <w:rStyle w:val="Char3"/>
          <w:rFonts w:hint="cs"/>
          <w:rtl/>
        </w:rPr>
        <w:t>ٱ</w:t>
      </w:r>
      <w:r w:rsidR="00685363" w:rsidRPr="0067048A">
        <w:rPr>
          <w:rStyle w:val="Char3"/>
          <w:rFonts w:hint="eastAsia"/>
          <w:rtl/>
        </w:rPr>
        <w:t>لسَّبِيلِ</w:t>
      </w:r>
      <w:r w:rsidR="00685363" w:rsidRPr="0067048A">
        <w:rPr>
          <w:rStyle w:val="Char3"/>
          <w:rtl/>
        </w:rPr>
        <w:t xml:space="preserve"> </w:t>
      </w:r>
      <w:r w:rsidR="00685363" w:rsidRPr="0067048A">
        <w:rPr>
          <w:rStyle w:val="Char3"/>
          <w:rFonts w:hint="eastAsia"/>
          <w:rtl/>
        </w:rPr>
        <w:t>إِن</w:t>
      </w:r>
      <w:r w:rsidR="00685363" w:rsidRPr="0067048A">
        <w:rPr>
          <w:rStyle w:val="Char3"/>
          <w:rtl/>
        </w:rPr>
        <w:t xml:space="preserve"> </w:t>
      </w:r>
      <w:r w:rsidR="00685363" w:rsidRPr="0067048A">
        <w:rPr>
          <w:rStyle w:val="Char3"/>
          <w:rFonts w:hint="eastAsia"/>
          <w:rtl/>
        </w:rPr>
        <w:t>كُنتُم</w:t>
      </w:r>
      <w:r w:rsidR="00685363" w:rsidRPr="0067048A">
        <w:rPr>
          <w:rStyle w:val="Char3"/>
          <w:rFonts w:hint="cs"/>
          <w:rtl/>
        </w:rPr>
        <w:t>ۡ</w:t>
      </w:r>
      <w:r w:rsidR="00685363" w:rsidRPr="0067048A">
        <w:rPr>
          <w:rStyle w:val="Char3"/>
          <w:rtl/>
        </w:rPr>
        <w:t xml:space="preserve"> </w:t>
      </w:r>
      <w:r w:rsidR="00685363" w:rsidRPr="0067048A">
        <w:rPr>
          <w:rStyle w:val="Char3"/>
          <w:rFonts w:hint="eastAsia"/>
          <w:rtl/>
        </w:rPr>
        <w:t>ءَامَنتُم</w:t>
      </w:r>
      <w:r w:rsidR="00685363" w:rsidRPr="0067048A">
        <w:rPr>
          <w:rStyle w:val="Char3"/>
          <w:rtl/>
        </w:rPr>
        <w:t xml:space="preserve"> </w:t>
      </w:r>
      <w:r w:rsidR="00685363" w:rsidRPr="0067048A">
        <w:rPr>
          <w:rStyle w:val="Char3"/>
          <w:rFonts w:hint="eastAsia"/>
          <w:rtl/>
        </w:rPr>
        <w:t>بِ</w:t>
      </w:r>
      <w:r w:rsidR="00685363" w:rsidRPr="0067048A">
        <w:rPr>
          <w:rStyle w:val="Char3"/>
          <w:rFonts w:hint="cs"/>
          <w:rtl/>
        </w:rPr>
        <w:t>ٱ</w:t>
      </w:r>
      <w:r w:rsidR="00685363" w:rsidRPr="0067048A">
        <w:rPr>
          <w:rStyle w:val="Char3"/>
          <w:rFonts w:hint="eastAsia"/>
          <w:rtl/>
        </w:rPr>
        <w:t>للَّهِ</w:t>
      </w:r>
      <w:r w:rsidR="00685363" w:rsidRPr="0067048A">
        <w:rPr>
          <w:rStyle w:val="Char3"/>
          <w:rtl/>
        </w:rPr>
        <w:t xml:space="preserve"> </w:t>
      </w:r>
      <w:r w:rsidR="00685363" w:rsidRPr="0067048A">
        <w:rPr>
          <w:rStyle w:val="Char3"/>
          <w:rFonts w:hint="eastAsia"/>
          <w:rtl/>
        </w:rPr>
        <w:t>وَمَا</w:t>
      </w:r>
      <w:r w:rsidR="00685363" w:rsidRPr="0067048A">
        <w:rPr>
          <w:rStyle w:val="Char3"/>
          <w:rFonts w:hint="cs"/>
          <w:rtl/>
        </w:rPr>
        <w:t>ٓ</w:t>
      </w:r>
      <w:r w:rsidR="00685363" w:rsidRPr="0067048A">
        <w:rPr>
          <w:rStyle w:val="Char3"/>
          <w:rtl/>
        </w:rPr>
        <w:t xml:space="preserve"> </w:t>
      </w:r>
      <w:r w:rsidR="00685363" w:rsidRPr="0067048A">
        <w:rPr>
          <w:rStyle w:val="Char3"/>
          <w:rFonts w:hint="eastAsia"/>
          <w:rtl/>
        </w:rPr>
        <w:t>أَنزَل</w:t>
      </w:r>
      <w:r w:rsidR="00685363" w:rsidRPr="0067048A">
        <w:rPr>
          <w:rStyle w:val="Char3"/>
          <w:rFonts w:hint="cs"/>
          <w:rtl/>
        </w:rPr>
        <w:t>ۡ</w:t>
      </w:r>
      <w:r w:rsidR="00685363" w:rsidRPr="0067048A">
        <w:rPr>
          <w:rStyle w:val="Char3"/>
          <w:rFonts w:hint="eastAsia"/>
          <w:rtl/>
        </w:rPr>
        <w:t>نَا</w:t>
      </w:r>
      <w:r w:rsidR="00685363" w:rsidRPr="0067048A">
        <w:rPr>
          <w:rStyle w:val="Char3"/>
          <w:rtl/>
        </w:rPr>
        <w:t xml:space="preserve"> </w:t>
      </w:r>
      <w:r w:rsidR="00685363" w:rsidRPr="0067048A">
        <w:rPr>
          <w:rStyle w:val="Char3"/>
          <w:rFonts w:hint="eastAsia"/>
          <w:rtl/>
        </w:rPr>
        <w:t>عَلَى</w:t>
      </w:r>
      <w:r w:rsidR="00685363" w:rsidRPr="0067048A">
        <w:rPr>
          <w:rStyle w:val="Char3"/>
          <w:rFonts w:hint="cs"/>
          <w:rtl/>
        </w:rPr>
        <w:t>ٰ</w:t>
      </w:r>
      <w:r w:rsidR="00685363" w:rsidRPr="0067048A">
        <w:rPr>
          <w:rStyle w:val="Char3"/>
          <w:rtl/>
        </w:rPr>
        <w:t xml:space="preserve"> </w:t>
      </w:r>
      <w:r w:rsidR="00685363" w:rsidRPr="0067048A">
        <w:rPr>
          <w:rStyle w:val="Char3"/>
          <w:rFonts w:hint="eastAsia"/>
          <w:rtl/>
        </w:rPr>
        <w:t>عَب</w:t>
      </w:r>
      <w:r w:rsidR="00685363" w:rsidRPr="0067048A">
        <w:rPr>
          <w:rStyle w:val="Char3"/>
          <w:rFonts w:hint="cs"/>
          <w:rtl/>
        </w:rPr>
        <w:t>ۡ</w:t>
      </w:r>
      <w:r w:rsidR="00685363" w:rsidRPr="0067048A">
        <w:rPr>
          <w:rStyle w:val="Char3"/>
          <w:rFonts w:hint="eastAsia"/>
          <w:rtl/>
        </w:rPr>
        <w:t>دِنَا</w:t>
      </w:r>
      <w:r w:rsidR="00685363" w:rsidRPr="0067048A">
        <w:rPr>
          <w:rStyle w:val="Char3"/>
          <w:rtl/>
        </w:rPr>
        <w:t xml:space="preserve"> </w:t>
      </w:r>
      <w:r w:rsidR="00685363" w:rsidRPr="0067048A">
        <w:rPr>
          <w:rStyle w:val="Char3"/>
          <w:rFonts w:hint="eastAsia"/>
          <w:rtl/>
        </w:rPr>
        <w:t>يَو</w:t>
      </w:r>
      <w:r w:rsidR="00685363" w:rsidRPr="0067048A">
        <w:rPr>
          <w:rStyle w:val="Char3"/>
          <w:rFonts w:hint="cs"/>
          <w:rtl/>
        </w:rPr>
        <w:t>ۡ</w:t>
      </w:r>
      <w:r w:rsidR="00685363" w:rsidRPr="0067048A">
        <w:rPr>
          <w:rStyle w:val="Char3"/>
          <w:rFonts w:hint="eastAsia"/>
          <w:rtl/>
        </w:rPr>
        <w:t>مَ</w:t>
      </w:r>
      <w:r w:rsidR="00685363" w:rsidRPr="0067048A">
        <w:rPr>
          <w:rStyle w:val="Char3"/>
          <w:rtl/>
        </w:rPr>
        <w:t xml:space="preserve"> </w:t>
      </w:r>
      <w:r w:rsidR="00685363" w:rsidRPr="0067048A">
        <w:rPr>
          <w:rStyle w:val="Char3"/>
          <w:rFonts w:hint="cs"/>
          <w:rtl/>
        </w:rPr>
        <w:t>ٱ</w:t>
      </w:r>
      <w:r w:rsidR="00685363" w:rsidRPr="0067048A">
        <w:rPr>
          <w:rStyle w:val="Char3"/>
          <w:rFonts w:hint="eastAsia"/>
          <w:rtl/>
        </w:rPr>
        <w:t>ل</w:t>
      </w:r>
      <w:r w:rsidR="00685363" w:rsidRPr="0067048A">
        <w:rPr>
          <w:rStyle w:val="Char3"/>
          <w:rFonts w:hint="cs"/>
          <w:rtl/>
        </w:rPr>
        <w:t>ۡ</w:t>
      </w:r>
      <w:r w:rsidR="00685363" w:rsidRPr="0067048A">
        <w:rPr>
          <w:rStyle w:val="Char3"/>
          <w:rFonts w:hint="eastAsia"/>
          <w:rtl/>
        </w:rPr>
        <w:t>فُر</w:t>
      </w:r>
      <w:r w:rsidR="00685363" w:rsidRPr="0067048A">
        <w:rPr>
          <w:rStyle w:val="Char3"/>
          <w:rFonts w:hint="cs"/>
          <w:rtl/>
        </w:rPr>
        <w:t>ۡ</w:t>
      </w:r>
      <w:r w:rsidR="00685363" w:rsidRPr="0067048A">
        <w:rPr>
          <w:rStyle w:val="Char3"/>
          <w:rFonts w:hint="eastAsia"/>
          <w:rtl/>
        </w:rPr>
        <w:t>قَانِ</w:t>
      </w:r>
      <w:r w:rsidR="00685363" w:rsidRPr="0067048A">
        <w:rPr>
          <w:rStyle w:val="Char3"/>
          <w:rtl/>
        </w:rPr>
        <w:t xml:space="preserve"> </w:t>
      </w:r>
      <w:r w:rsidR="00685363" w:rsidRPr="0067048A">
        <w:rPr>
          <w:rStyle w:val="Char3"/>
          <w:rFonts w:hint="eastAsia"/>
          <w:rtl/>
        </w:rPr>
        <w:t>يَو</w:t>
      </w:r>
      <w:r w:rsidR="00685363" w:rsidRPr="0067048A">
        <w:rPr>
          <w:rStyle w:val="Char3"/>
          <w:rFonts w:hint="cs"/>
          <w:rtl/>
        </w:rPr>
        <w:t>ۡ</w:t>
      </w:r>
      <w:r w:rsidR="00685363" w:rsidRPr="0067048A">
        <w:rPr>
          <w:rStyle w:val="Char3"/>
          <w:rFonts w:hint="eastAsia"/>
          <w:rtl/>
        </w:rPr>
        <w:t>مَ</w:t>
      </w:r>
      <w:r w:rsidR="00685363" w:rsidRPr="0067048A">
        <w:rPr>
          <w:rStyle w:val="Char3"/>
          <w:rtl/>
        </w:rPr>
        <w:t xml:space="preserve"> </w:t>
      </w:r>
      <w:r w:rsidR="00685363" w:rsidRPr="0067048A">
        <w:rPr>
          <w:rStyle w:val="Char3"/>
          <w:rFonts w:hint="cs"/>
          <w:rtl/>
        </w:rPr>
        <w:t>ٱ</w:t>
      </w:r>
      <w:r w:rsidR="00685363" w:rsidRPr="0067048A">
        <w:rPr>
          <w:rStyle w:val="Char3"/>
          <w:rFonts w:hint="eastAsia"/>
          <w:rtl/>
        </w:rPr>
        <w:t>ل</w:t>
      </w:r>
      <w:r w:rsidR="00685363" w:rsidRPr="0067048A">
        <w:rPr>
          <w:rStyle w:val="Char3"/>
          <w:rFonts w:hint="cs"/>
          <w:rtl/>
        </w:rPr>
        <w:t>ۡ</w:t>
      </w:r>
      <w:r w:rsidR="00685363" w:rsidRPr="0067048A">
        <w:rPr>
          <w:rStyle w:val="Char3"/>
          <w:rFonts w:hint="eastAsia"/>
          <w:rtl/>
        </w:rPr>
        <w:t>تَقَى</w:t>
      </w:r>
      <w:r w:rsidR="00685363" w:rsidRPr="0067048A">
        <w:rPr>
          <w:rStyle w:val="Char3"/>
          <w:rtl/>
        </w:rPr>
        <w:t xml:space="preserve"> </w:t>
      </w:r>
      <w:r w:rsidR="00685363" w:rsidRPr="0067048A">
        <w:rPr>
          <w:rStyle w:val="Char3"/>
          <w:rFonts w:hint="cs"/>
          <w:rtl/>
        </w:rPr>
        <w:t>ٱ</w:t>
      </w:r>
      <w:r w:rsidR="00685363" w:rsidRPr="0067048A">
        <w:rPr>
          <w:rStyle w:val="Char3"/>
          <w:rFonts w:hint="eastAsia"/>
          <w:rtl/>
        </w:rPr>
        <w:t>ل</w:t>
      </w:r>
      <w:r w:rsidR="00685363" w:rsidRPr="0067048A">
        <w:rPr>
          <w:rStyle w:val="Char3"/>
          <w:rFonts w:hint="cs"/>
          <w:rtl/>
        </w:rPr>
        <w:t>ۡ</w:t>
      </w:r>
      <w:r w:rsidR="00685363" w:rsidRPr="0067048A">
        <w:rPr>
          <w:rStyle w:val="Char3"/>
          <w:rFonts w:hint="eastAsia"/>
          <w:rtl/>
        </w:rPr>
        <w:t>جَم</w:t>
      </w:r>
      <w:r w:rsidR="00685363" w:rsidRPr="0067048A">
        <w:rPr>
          <w:rStyle w:val="Char3"/>
          <w:rFonts w:hint="cs"/>
          <w:rtl/>
        </w:rPr>
        <w:t>ۡ</w:t>
      </w:r>
      <w:r w:rsidR="00685363" w:rsidRPr="0067048A">
        <w:rPr>
          <w:rStyle w:val="Char3"/>
          <w:rFonts w:hint="eastAsia"/>
          <w:rtl/>
        </w:rPr>
        <w:t>عَانِ</w:t>
      </w:r>
      <w:r w:rsidR="00685363" w:rsidRPr="00995B26">
        <w:rPr>
          <w:rFonts w:ascii="KFGQPC Uthmanic Script HAFS" w:cs="Times New Roman" w:hint="cs"/>
          <w:sz w:val="28"/>
          <w:rtl/>
        </w:rPr>
        <w:t>...</w:t>
      </w:r>
      <w:r w:rsidR="00685363" w:rsidRPr="00995B26">
        <w:rPr>
          <w:rFonts w:ascii="Abo-thar" w:hAnsi="Abo-thar" w:cs="Traditional Arabic" w:hint="cs"/>
          <w:sz w:val="28"/>
          <w:rtl/>
          <w:lang w:bidi="ar-SY"/>
        </w:rPr>
        <w:t>﴾</w:t>
      </w:r>
      <w:r w:rsidR="005C664D" w:rsidRPr="00995B26">
        <w:rPr>
          <w:rFonts w:ascii="Abo-thar" w:hAnsi="Abo-thar"/>
          <w:sz w:val="28"/>
          <w:rtl/>
          <w:lang w:bidi="ar-SY"/>
        </w:rPr>
        <w:t xml:space="preserve"> </w:t>
      </w:r>
      <w:r w:rsidR="005C664D" w:rsidRPr="003108CB">
        <w:rPr>
          <w:rStyle w:val="Char2"/>
          <w:rtl/>
        </w:rPr>
        <w:t>[الأنفال</w:t>
      </w:r>
      <w:r w:rsidR="00685363" w:rsidRPr="003108CB">
        <w:rPr>
          <w:rStyle w:val="Char2"/>
          <w:rFonts w:hint="cs"/>
          <w:rtl/>
        </w:rPr>
        <w:t xml:space="preserve">: </w:t>
      </w:r>
      <w:r w:rsidR="005C664D" w:rsidRPr="003108CB">
        <w:rPr>
          <w:rStyle w:val="Char2"/>
          <w:rtl/>
        </w:rPr>
        <w:t>41]</w:t>
      </w:r>
      <w:r w:rsidR="005C664D" w:rsidRPr="00995B26">
        <w:rPr>
          <w:rFonts w:ascii="Abo-thar" w:hAnsi="Abo-thar" w:hint="cs"/>
          <w:sz w:val="28"/>
          <w:rtl/>
          <w:lang w:bidi="ar-SY"/>
        </w:rPr>
        <w:t xml:space="preserve"> </w:t>
      </w:r>
      <w:r w:rsidR="005C664D" w:rsidRPr="00CE7623">
        <w:rPr>
          <w:rFonts w:ascii="Abo-thar" w:hAnsi="Abo-thar" w:cs="KFGQPC Uthman Taha Naskh"/>
          <w:sz w:val="28"/>
          <w:rtl/>
          <w:lang w:bidi="ar-SY"/>
        </w:rPr>
        <w:t xml:space="preserve">فَكَمَا يَقُولُ الْإِنْسَانُ هُوَ </w:t>
      </w:r>
      <w:r w:rsidR="005C664D" w:rsidRPr="00CE7623">
        <w:rPr>
          <w:rFonts w:ascii="Abo-thar" w:hAnsi="Abo-thar" w:cs="KFGQPC Uthman Taha Naskh" w:hint="cs"/>
          <w:sz w:val="28"/>
          <w:rtl/>
          <w:lang w:bidi="ar-SY"/>
        </w:rPr>
        <w:t>«لِـلَّهِ»</w:t>
      </w:r>
      <w:r w:rsidR="005C664D" w:rsidRPr="00CE7623">
        <w:rPr>
          <w:rFonts w:ascii="Abo-thar" w:hAnsi="Abo-thar" w:cs="KFGQPC Uthman Taha Naskh"/>
          <w:sz w:val="28"/>
          <w:rtl/>
          <w:lang w:bidi="ar-SY"/>
        </w:rPr>
        <w:t xml:space="preserve"> ولَكَ وَلَا يُقْسَمُ </w:t>
      </w:r>
      <w:r w:rsidR="005C664D" w:rsidRPr="00CE7623">
        <w:rPr>
          <w:rFonts w:ascii="Abo-thar" w:hAnsi="Abo-thar" w:cs="KFGQPC Uthman Taha Naskh" w:hint="cs"/>
          <w:sz w:val="28"/>
          <w:rtl/>
          <w:lang w:bidi="ar-SY"/>
        </w:rPr>
        <w:t>«لِـلَّهِ»</w:t>
      </w:r>
      <w:r w:rsidR="005C664D" w:rsidRPr="00CE7623">
        <w:rPr>
          <w:rFonts w:ascii="Abo-thar" w:hAnsi="Abo-thar" w:cs="KFGQPC Uthman Taha Naskh"/>
          <w:sz w:val="28"/>
          <w:rtl/>
          <w:lang w:bidi="ar-SY"/>
        </w:rPr>
        <w:t xml:space="preserve"> م</w:t>
      </w:r>
      <w:r w:rsidR="00AB263F">
        <w:rPr>
          <w:rFonts w:ascii="Abo-thar" w:hAnsi="Abo-thar" w:cs="KFGQPC Uthman Taha Naskh"/>
          <w:sz w:val="28"/>
          <w:rtl/>
          <w:lang w:bidi="ar-SY"/>
        </w:rPr>
        <w:t>ِنْهُ شَيْ‏ءٌ فَخَمَّسَ رَسُولُ</w:t>
      </w:r>
      <w:r w:rsidR="00AB263F">
        <w:rPr>
          <w:rFonts w:ascii="Abo-thar" w:hAnsi="Abo-thar" w:cs="KFGQPC Uthman Taha Naskh" w:hint="eastAsia"/>
          <w:sz w:val="28"/>
          <w:rtl/>
          <w:lang w:bidi="ar-SY"/>
        </w:rPr>
        <w:t>‌</w:t>
      </w:r>
      <w:r w:rsidR="00F664A6" w:rsidRPr="00CE7623">
        <w:rPr>
          <w:rFonts w:ascii="Abo-thar" w:hAnsi="Abo-thar" w:cs="KFGQPC Uthman Taha Naskh"/>
          <w:sz w:val="28"/>
          <w:rtl/>
          <w:lang w:bidi="ar-SY"/>
        </w:rPr>
        <w:t>اللهِ</w:t>
      </w:r>
      <w:r w:rsidR="00147857" w:rsidRPr="00CE7623">
        <w:rPr>
          <w:rFonts w:ascii="Abo-thar" w:hAnsi="Abo-thar" w:cs="KFGQPC Uthman Taha Naskh"/>
          <w:sz w:val="28"/>
          <w:rtl/>
          <w:lang w:bidi="ar-SY"/>
        </w:rPr>
        <w:t xml:space="preserve"> </w:t>
      </w:r>
      <w:r w:rsidR="003C7AEB" w:rsidRPr="003C7AEB">
        <w:rPr>
          <w:rFonts w:ascii="Abo-thar" w:hAnsi="Abo-thar" w:cs="CTraditional Arabic"/>
          <w:sz w:val="28"/>
          <w:rtl/>
          <w:lang w:bidi="ar-SY"/>
        </w:rPr>
        <w:t>ص</w:t>
      </w:r>
      <w:r w:rsidR="00147857" w:rsidRPr="00CE7623">
        <w:rPr>
          <w:rFonts w:ascii="Abo-thar" w:hAnsi="Abo-thar" w:cs="KFGQPC Uthman Taha Naskh"/>
          <w:sz w:val="28"/>
          <w:rtl/>
          <w:lang w:bidi="ar-SY"/>
        </w:rPr>
        <w:t xml:space="preserve"> </w:t>
      </w:r>
      <w:r w:rsidR="005C664D" w:rsidRPr="00CE7623">
        <w:rPr>
          <w:rFonts w:ascii="Abo-thar" w:hAnsi="Abo-thar" w:cs="KFGQPC Uthman Taha Naskh"/>
          <w:sz w:val="28"/>
          <w:rtl/>
          <w:lang w:bidi="ar-SY"/>
        </w:rPr>
        <w:t>الْغَنِيمَةَ الَّتِي قَبَضَ بِخَمْسَة</w:t>
      </w:r>
      <w:r w:rsidR="00DE12B0" w:rsidRPr="00CE7623">
        <w:rPr>
          <w:rFonts w:ascii="Abo-thar" w:hAnsi="Abo-thar" w:cs="KFGQPC Uthman Taha Naskh"/>
          <w:sz w:val="28"/>
          <w:rtl/>
          <w:lang w:bidi="ar-SY"/>
        </w:rPr>
        <w:t>ِ أَسْهُمٍ فَقَبَضَ سَهْمَ الله</w:t>
      </w:r>
      <w:r w:rsidR="00DE12B0" w:rsidRPr="00CE7623">
        <w:rPr>
          <w:rFonts w:ascii="Abo-thar" w:hAnsi="Abo-thar" w:cs="KFGQPC Uthman Taha Naskh" w:hint="cs"/>
          <w:sz w:val="28"/>
          <w:rtl/>
          <w:lang w:bidi="ar-SY"/>
        </w:rPr>
        <w:t>ِ</w:t>
      </w:r>
      <w:r w:rsidR="005C664D" w:rsidRPr="00CE7623">
        <w:rPr>
          <w:rFonts w:ascii="Abo-thar" w:hAnsi="Abo-thar" w:cs="KFGQPC Uthman Taha Naskh"/>
          <w:sz w:val="28"/>
          <w:rtl/>
          <w:lang w:bidi="ar-SY"/>
        </w:rPr>
        <w:t xml:space="preserve"> لِنَفْسِهِ يُحْيِي بِهِ ذِكْرَهُ ويُورَثُ بَعْدَهُ وسَهْماً لِقَرَابَتِهِ مِنْ بَنِي عَبْدِ المُطَّلِبِ فَأَنْفَذَ سَهْماً لِأَيْتَامِ المُسْلِمِينَ وسَهْماً لِمَسَاكِينِهِمْ وسَهْماً لِابْنِ السَّبِيلِ مِنَ المُسْلِمِين‏‏</w:t>
      </w:r>
      <w:r w:rsidRPr="00995B26">
        <w:rPr>
          <w:rFonts w:ascii="Abo-thar" w:hAnsi="Abo-thar" w:hint="cs"/>
          <w:sz w:val="28"/>
          <w:rtl/>
          <w:lang w:bidi="ar-SY"/>
        </w:rPr>
        <w:t>»</w:t>
      </w:r>
      <w:r w:rsidR="00217AB4" w:rsidRPr="0021507A">
        <w:rPr>
          <w:rStyle w:val="FootnoteReference"/>
          <w:rFonts w:cs="Arabic11 BT"/>
          <w:b/>
          <w:sz w:val="28"/>
          <w:rtl/>
        </w:rPr>
        <w:t>(</w:t>
      </w:r>
      <w:r w:rsidR="005C664D" w:rsidRPr="0021507A">
        <w:rPr>
          <w:rStyle w:val="FootnoteReference"/>
          <w:rFonts w:cs="Arabic11 BT"/>
          <w:b/>
          <w:sz w:val="28"/>
          <w:rtl/>
        </w:rPr>
        <w:footnoteReference w:id="70"/>
      </w:r>
      <w:r w:rsidR="00217AB4" w:rsidRPr="0021507A">
        <w:rPr>
          <w:rStyle w:val="FootnoteReference"/>
          <w:rFonts w:cs="Arabic11 BT"/>
          <w:b/>
          <w:sz w:val="28"/>
          <w:rtl/>
        </w:rPr>
        <w:t>)</w:t>
      </w:r>
      <w:r w:rsidR="00217AB4" w:rsidRPr="00995B26">
        <w:rPr>
          <w:rFonts w:ascii="Abo-thar" w:hAnsi="Abo-thar"/>
          <w:sz w:val="28"/>
          <w:rtl/>
          <w:lang w:bidi="ar-SY"/>
        </w:rPr>
        <w:t>.</w:t>
      </w:r>
    </w:p>
    <w:p w:rsidR="005C664D" w:rsidRPr="003F3B94" w:rsidRDefault="005C664D" w:rsidP="003F3B94">
      <w:pPr>
        <w:pStyle w:val="a0"/>
        <w:rPr>
          <w:rFonts w:hint="cs"/>
          <w:rtl/>
          <w:lang w:bidi="ar-SY"/>
        </w:rPr>
      </w:pPr>
      <w:r w:rsidRPr="003F3B94">
        <w:rPr>
          <w:rFonts w:ascii="Abo-thar" w:hAnsi="Abo-thar" w:hint="cs"/>
          <w:sz w:val="28"/>
          <w:rtl/>
          <w:lang w:bidi="ar-SY"/>
        </w:rPr>
        <w:t>من هذا الحديث يتبيَّن بوضوح أن الأسهم المخصصة لليتامى والمساكين وابن السبيل إنما هي لليتامى والمساكين وأبناء السبيل من عامة المسلمين</w:t>
      </w:r>
      <w:r w:rsidR="00217AB4" w:rsidRPr="003F3B94">
        <w:rPr>
          <w:rFonts w:ascii="Abo-thar" w:hAnsi="Abo-thar" w:hint="cs"/>
          <w:sz w:val="28"/>
          <w:rtl/>
          <w:lang w:bidi="ar-SY"/>
        </w:rPr>
        <w:t>.</w:t>
      </w:r>
    </w:p>
    <w:p w:rsidR="005C664D" w:rsidRPr="003F3B94" w:rsidRDefault="005C664D" w:rsidP="003F3B94">
      <w:pPr>
        <w:pStyle w:val="a0"/>
        <w:rPr>
          <w:rFonts w:hint="cs"/>
          <w:rtl/>
        </w:rPr>
      </w:pPr>
      <w:r w:rsidRPr="003F3B94">
        <w:rPr>
          <w:rFonts w:ascii="Abo-thar" w:hAnsi="Abo-thar" w:hint="cs"/>
          <w:sz w:val="28"/>
          <w:rtl/>
          <w:lang w:bidi="ar-SY"/>
        </w:rPr>
        <w:t>2</w:t>
      </w:r>
      <w:r w:rsidR="00217AB4" w:rsidRPr="003F3B94">
        <w:rPr>
          <w:rFonts w:ascii="Abo-thar" w:hAnsi="Abo-thar" w:hint="cs"/>
          <w:sz w:val="28"/>
          <w:rtl/>
          <w:lang w:bidi="ar-SY"/>
        </w:rPr>
        <w:t>-</w:t>
      </w:r>
      <w:r w:rsidRPr="003F3B94">
        <w:rPr>
          <w:rFonts w:ascii="Abo-thar" w:hAnsi="Abo-thar" w:hint="cs"/>
          <w:sz w:val="28"/>
          <w:rtl/>
          <w:lang w:bidi="ar-SY"/>
        </w:rPr>
        <w:t xml:space="preserve"> وجاء في روضة الكافي عن ابن حمزة عن حضـرة الباقر </w:t>
      </w:r>
      <w:r w:rsidR="003C7AEB" w:rsidRPr="003C7AEB">
        <w:rPr>
          <w:rFonts w:ascii="Abo-thar" w:hAnsi="Abo-thar" w:cs="CTraditional Arabic" w:hint="cs"/>
          <w:sz w:val="28"/>
          <w:rtl/>
          <w:lang w:bidi="ar-SY"/>
        </w:rPr>
        <w:t>÷</w:t>
      </w:r>
      <w:r w:rsidRPr="003F3B94">
        <w:rPr>
          <w:rFonts w:ascii="Abo-thar" w:hAnsi="Abo-thar" w:hint="cs"/>
          <w:sz w:val="28"/>
          <w:rtl/>
          <w:lang w:bidi="ar-SY"/>
        </w:rPr>
        <w:t xml:space="preserve"> رواية بالمضمون ذاته حيث قال الإمام فيها</w:t>
      </w:r>
      <w:r w:rsidR="00217AB4" w:rsidRPr="003F3B94">
        <w:rPr>
          <w:rFonts w:ascii="Abo-thar" w:hAnsi="Abo-thar" w:hint="cs"/>
          <w:sz w:val="28"/>
          <w:rtl/>
          <w:lang w:bidi="ar-SY"/>
        </w:rPr>
        <w:t>:</w:t>
      </w:r>
      <w:r w:rsidRPr="003F3B94">
        <w:rPr>
          <w:rFonts w:ascii="Abo-thar" w:hAnsi="Abo-thar" w:hint="cs"/>
          <w:sz w:val="28"/>
          <w:rtl/>
          <w:lang w:bidi="ar-SY"/>
        </w:rPr>
        <w:t xml:space="preserve"> </w:t>
      </w:r>
      <w:r w:rsidR="00EF2588" w:rsidRPr="00CE7623">
        <w:rPr>
          <w:rFonts w:ascii="Abo-thar" w:hAnsi="Abo-thar" w:cs="KFGQPC Uthman Taha Naskh" w:hint="cs"/>
          <w:sz w:val="28"/>
          <w:rtl/>
          <w:lang w:bidi="ar-SY"/>
        </w:rPr>
        <w:t>«</w:t>
      </w:r>
      <w:r w:rsidR="00217AB4" w:rsidRPr="00CE7623">
        <w:rPr>
          <w:rFonts w:ascii="Abo-thar" w:hAnsi="Abo-thar" w:cs="KFGQPC Uthman Taha Naskh" w:hint="cs"/>
          <w:sz w:val="28"/>
          <w:rtl/>
          <w:lang w:bidi="ar-SY"/>
        </w:rPr>
        <w:t>...</w:t>
      </w:r>
      <w:r w:rsidRPr="00CE7623">
        <w:rPr>
          <w:rFonts w:ascii="Abo-thar" w:hAnsi="Abo-thar" w:cs="KFGQPC Uthman Taha Naskh"/>
          <w:b/>
          <w:bCs/>
          <w:sz w:val="28"/>
          <w:rtl/>
          <w:lang w:bidi="ar-SY"/>
        </w:rPr>
        <w:t>إِنَّ اللهَ تَبَارَكَ وتَعَالَى جَعَلَ لَنَا أَهْلَ الْبَيْتِ سِهَاماً ثَلَاثَةً فِي جَمِيعِ الْفَيْ‏ءِ</w:t>
      </w:r>
      <w:r w:rsidR="00217AB4" w:rsidRPr="00CE7623">
        <w:rPr>
          <w:rFonts w:ascii="Abo-thar" w:hAnsi="Abo-thar" w:cs="KFGQPC Uthman Taha Naskh" w:hint="cs"/>
          <w:sz w:val="28"/>
          <w:rtl/>
          <w:lang w:bidi="ar-SY"/>
        </w:rPr>
        <w:t>..</w:t>
      </w:r>
      <w:r w:rsidR="00EF2588" w:rsidRPr="00CE7623">
        <w:rPr>
          <w:rFonts w:ascii="Abo-thar" w:hAnsi="Abo-thar" w:cs="KFGQPC Uthman Taha Naskh" w:hint="cs"/>
          <w:sz w:val="28"/>
          <w:rtl/>
          <w:lang w:bidi="ar-SY"/>
        </w:rPr>
        <w:t>»</w:t>
      </w:r>
      <w:r w:rsidR="00217AB4" w:rsidRPr="003F3B94">
        <w:rPr>
          <w:rFonts w:ascii="Abo-thar" w:hAnsi="Abo-thar" w:hint="cs"/>
          <w:sz w:val="28"/>
          <w:rtl/>
          <w:lang w:bidi="ar-SY"/>
        </w:rPr>
        <w:t>....</w:t>
      </w:r>
      <w:r w:rsidR="001B332B" w:rsidRPr="003F3B94">
        <w:rPr>
          <w:rFonts w:ascii="Abo-thar" w:hAnsi="Abo-thar" w:hint="cs"/>
          <w:sz w:val="28"/>
          <w:rtl/>
          <w:lang w:bidi="ar-SY"/>
        </w:rPr>
        <w:t xml:space="preserve"> </w:t>
      </w:r>
      <w:r w:rsidRPr="003F3B94">
        <w:rPr>
          <w:rFonts w:ascii="Abo-thar" w:hAnsi="Abo-thar" w:hint="cs"/>
          <w:sz w:val="28"/>
          <w:rtl/>
          <w:lang w:bidi="ar-SY"/>
        </w:rPr>
        <w:t>إلى أن يقول</w:t>
      </w:r>
      <w:r w:rsidR="00217AB4" w:rsidRPr="003F3B94">
        <w:rPr>
          <w:rFonts w:ascii="Abo-thar" w:hAnsi="Abo-thar" w:hint="cs"/>
          <w:sz w:val="28"/>
          <w:rtl/>
          <w:lang w:bidi="ar-SY"/>
        </w:rPr>
        <w:t>:</w:t>
      </w:r>
      <w:r w:rsidRPr="003F3B94">
        <w:rPr>
          <w:rFonts w:ascii="Abo-thar" w:hAnsi="Abo-thar" w:hint="cs"/>
          <w:sz w:val="28"/>
          <w:rtl/>
          <w:lang w:bidi="ar-SY"/>
        </w:rPr>
        <w:t xml:space="preserve"> </w:t>
      </w:r>
      <w:r w:rsidR="00EF2588" w:rsidRPr="00CE7623">
        <w:rPr>
          <w:rFonts w:ascii="Abo-thar" w:hAnsi="Abo-thar" w:cs="KFGQPC Uthman Taha Naskh" w:hint="cs"/>
          <w:sz w:val="28"/>
          <w:rtl/>
          <w:lang w:bidi="ar-SY"/>
        </w:rPr>
        <w:t>«</w:t>
      </w:r>
      <w:r w:rsidR="001B332B" w:rsidRPr="00CE7623">
        <w:rPr>
          <w:rFonts w:ascii="Abo-thar" w:hAnsi="Abo-thar" w:cs="KFGQPC Uthman Taha Naskh"/>
          <w:b/>
          <w:bCs/>
          <w:sz w:val="28"/>
          <w:rtl/>
          <w:lang w:bidi="ar-SY"/>
        </w:rPr>
        <w:t>دُونَ سِهَامِ اليَتَامَى وَالْمَسَاكِيْنَ وابْنِ السَّبِيْلِ فَإنَّهَا لِغَيْرِهِمْ</w:t>
      </w:r>
      <w:r w:rsidR="00217AB4" w:rsidRPr="00CE7623">
        <w:rPr>
          <w:rFonts w:ascii="Abo-thar" w:hAnsi="Abo-thar" w:cs="KFGQPC Uthman Taha Naskh" w:hint="cs"/>
          <w:sz w:val="28"/>
          <w:rtl/>
          <w:lang w:bidi="ar-SY"/>
        </w:rPr>
        <w:t>...</w:t>
      </w:r>
      <w:r w:rsidR="00EF2588" w:rsidRPr="00CE7623">
        <w:rPr>
          <w:rFonts w:ascii="Abo-thar" w:hAnsi="Abo-thar" w:cs="KFGQPC Uthman Taha Naskh" w:hint="cs"/>
          <w:sz w:val="28"/>
          <w:rtl/>
          <w:lang w:bidi="ar-SY"/>
        </w:rPr>
        <w:t>»</w:t>
      </w:r>
      <w:r w:rsidR="00217AB4" w:rsidRPr="0021507A">
        <w:rPr>
          <w:rFonts w:cs="Arabic11 BT"/>
          <w:b/>
          <w:sz w:val="28"/>
          <w:vertAlign w:val="superscript"/>
          <w:rtl/>
          <w:lang w:bidi="ar-SY"/>
        </w:rPr>
        <w:t>(</w:t>
      </w:r>
      <w:r w:rsidRPr="0021507A">
        <w:rPr>
          <w:rStyle w:val="FootnoteReference"/>
          <w:rFonts w:cs="Arabic11 BT"/>
          <w:b/>
          <w:sz w:val="28"/>
          <w:rtl/>
          <w:lang w:bidi="ar-SY"/>
        </w:rPr>
        <w:footnoteReference w:id="71"/>
      </w:r>
      <w:r w:rsidR="00217AB4" w:rsidRPr="0021507A">
        <w:rPr>
          <w:rFonts w:cs="Arabic11 BT"/>
          <w:b/>
          <w:sz w:val="28"/>
          <w:vertAlign w:val="superscript"/>
          <w:rtl/>
          <w:lang w:bidi="ar-SY"/>
        </w:rPr>
        <w:t>)</w:t>
      </w:r>
      <w:r w:rsidR="005B20E7" w:rsidRPr="003F3B94">
        <w:rPr>
          <w:rFonts w:hint="cs"/>
          <w:sz w:val="28"/>
          <w:rtl/>
          <w:lang w:bidi="ar-SY"/>
        </w:rPr>
        <w:t>.</w:t>
      </w:r>
      <w:r w:rsidRPr="003F3B94">
        <w:rPr>
          <w:sz w:val="28"/>
          <w:rtl/>
          <w:lang w:bidi="ar-SY"/>
        </w:rPr>
        <w:t xml:space="preserve"> </w:t>
      </w:r>
    </w:p>
    <w:p w:rsidR="005C664D" w:rsidRPr="003F3B94" w:rsidRDefault="005C664D" w:rsidP="003F3B94">
      <w:pPr>
        <w:pStyle w:val="a0"/>
        <w:rPr>
          <w:rFonts w:hint="cs"/>
          <w:rtl/>
          <w:lang w:bidi="ar-SY"/>
        </w:rPr>
      </w:pPr>
      <w:r w:rsidRPr="003F3B94">
        <w:rPr>
          <w:rFonts w:ascii="Abo-thar" w:hAnsi="Abo-thar" w:hint="cs"/>
          <w:sz w:val="28"/>
          <w:rtl/>
          <w:lang w:bidi="ar-SY"/>
        </w:rPr>
        <w:t>3</w:t>
      </w:r>
      <w:r w:rsidR="00217AB4" w:rsidRPr="003F3B94">
        <w:rPr>
          <w:rFonts w:ascii="Abo-thar" w:hAnsi="Abo-thar" w:hint="cs"/>
          <w:sz w:val="28"/>
          <w:rtl/>
          <w:lang w:bidi="ar-SY"/>
        </w:rPr>
        <w:t>-</w:t>
      </w:r>
      <w:r w:rsidRPr="003F3B94">
        <w:rPr>
          <w:rFonts w:ascii="Abo-thar" w:hAnsi="Abo-thar" w:hint="cs"/>
          <w:sz w:val="28"/>
          <w:rtl/>
          <w:lang w:bidi="ar-SY"/>
        </w:rPr>
        <w:t xml:space="preserve"> وروى الشيخ الطوسي في </w:t>
      </w:r>
      <w:r w:rsidRPr="003F3B94">
        <w:rPr>
          <w:rFonts w:ascii="Abo-thar" w:hAnsi="Abo-thar" w:hint="eastAsia"/>
          <w:sz w:val="28"/>
          <w:rtl/>
          <w:lang w:bidi="ar-SY"/>
        </w:rPr>
        <w:t>«</w:t>
      </w:r>
      <w:r w:rsidRPr="003F3B94">
        <w:rPr>
          <w:rFonts w:ascii="Abo-thar" w:hAnsi="Abo-thar" w:hint="cs"/>
          <w:sz w:val="28"/>
          <w:rtl/>
          <w:lang w:bidi="ar-SY"/>
        </w:rPr>
        <w:t>التهذيب</w:t>
      </w:r>
      <w:r w:rsidRPr="003F3B94">
        <w:rPr>
          <w:rFonts w:ascii="Abo-thar" w:hAnsi="Abo-thar" w:hint="eastAsia"/>
          <w:sz w:val="28"/>
          <w:rtl/>
          <w:lang w:bidi="ar-SY"/>
        </w:rPr>
        <w:t>»</w:t>
      </w:r>
      <w:r w:rsidRPr="003F3B94">
        <w:rPr>
          <w:rFonts w:ascii="Abo-thar" w:hAnsi="Abo-thar" w:hint="cs"/>
          <w:sz w:val="28"/>
          <w:rtl/>
          <w:lang w:bidi="ar-SY"/>
        </w:rPr>
        <w:t xml:space="preserve"> والصدوق في </w:t>
      </w:r>
      <w:r w:rsidRPr="003F3B94">
        <w:rPr>
          <w:rFonts w:ascii="Abo-thar" w:hAnsi="Abo-thar" w:hint="eastAsia"/>
          <w:sz w:val="28"/>
          <w:rtl/>
          <w:lang w:bidi="ar-SY"/>
        </w:rPr>
        <w:t>«</w:t>
      </w:r>
      <w:r w:rsidRPr="003F3B94">
        <w:rPr>
          <w:rFonts w:ascii="Abo-thar" w:hAnsi="Abo-thar" w:hint="cs"/>
          <w:sz w:val="28"/>
          <w:rtl/>
          <w:lang w:bidi="ar-SY"/>
        </w:rPr>
        <w:t>من لا يحضره الفقيه</w:t>
      </w:r>
      <w:r w:rsidRPr="003F3B94">
        <w:rPr>
          <w:rFonts w:ascii="Abo-thar" w:hAnsi="Abo-thar" w:hint="eastAsia"/>
          <w:sz w:val="28"/>
          <w:rtl/>
          <w:lang w:bidi="ar-SY"/>
        </w:rPr>
        <w:t>»</w:t>
      </w:r>
      <w:r w:rsidR="00217AB4" w:rsidRPr="003F3B94">
        <w:rPr>
          <w:rFonts w:ascii="Abo-thar" w:hAnsi="Abo-thar" w:hint="cs"/>
          <w:sz w:val="28"/>
          <w:rtl/>
          <w:lang w:bidi="ar-SY"/>
        </w:rPr>
        <w:t>،</w:t>
      </w:r>
      <w:r w:rsidRPr="003F3B94">
        <w:rPr>
          <w:rFonts w:ascii="Abo-thar" w:hAnsi="Abo-thar" w:hint="cs"/>
          <w:sz w:val="28"/>
          <w:rtl/>
          <w:lang w:bidi="ar-SY"/>
        </w:rPr>
        <w:t xml:space="preserve"> </w:t>
      </w:r>
      <w:r w:rsidR="00DE12B0" w:rsidRPr="003F3B94">
        <w:rPr>
          <w:rFonts w:ascii="Abo-thar" w:hAnsi="Abo-thar" w:hint="cs"/>
          <w:sz w:val="28"/>
          <w:rtl/>
          <w:lang w:bidi="ar-SY"/>
        </w:rPr>
        <w:t>والعلامة الحلي في</w:t>
      </w:r>
      <w:r w:rsidRPr="003F3B94">
        <w:rPr>
          <w:rFonts w:ascii="Abo-thar" w:hAnsi="Abo-thar" w:hint="cs"/>
          <w:sz w:val="28"/>
          <w:rtl/>
          <w:lang w:bidi="ar-SY"/>
        </w:rPr>
        <w:t xml:space="preserve"> </w:t>
      </w:r>
      <w:r w:rsidRPr="003F3B94">
        <w:rPr>
          <w:rFonts w:ascii="Abo-thar" w:hAnsi="Abo-thar" w:hint="eastAsia"/>
          <w:sz w:val="28"/>
          <w:rtl/>
          <w:lang w:bidi="ar-SY"/>
        </w:rPr>
        <w:t>«</w:t>
      </w:r>
      <w:r w:rsidRPr="003F3B94">
        <w:rPr>
          <w:rFonts w:ascii="Abo-thar" w:hAnsi="Abo-thar" w:hint="cs"/>
          <w:sz w:val="28"/>
          <w:rtl/>
          <w:lang w:bidi="ar-SY"/>
        </w:rPr>
        <w:t>مختلف الشيعة</w:t>
      </w:r>
      <w:r w:rsidRPr="003F3B94">
        <w:rPr>
          <w:rFonts w:ascii="Abo-thar" w:hAnsi="Abo-thar" w:hint="eastAsia"/>
          <w:sz w:val="28"/>
          <w:rtl/>
          <w:lang w:bidi="ar-SY"/>
        </w:rPr>
        <w:t>»</w:t>
      </w:r>
      <w:r w:rsidRPr="003F3B94">
        <w:rPr>
          <w:rFonts w:ascii="Abo-thar" w:hAnsi="Abo-thar" w:hint="cs"/>
          <w:sz w:val="28"/>
          <w:rtl/>
          <w:lang w:bidi="ar-SY"/>
        </w:rPr>
        <w:t xml:space="preserve"> </w:t>
      </w:r>
      <w:r w:rsidR="00217AB4" w:rsidRPr="003F3B94">
        <w:rPr>
          <w:rFonts w:ascii="Abo-thar" w:hAnsi="Abo-thar" w:hint="cs"/>
          <w:sz w:val="28"/>
          <w:rtl/>
          <w:lang w:bidi="ar-SY"/>
        </w:rPr>
        <w:t>(</w:t>
      </w:r>
      <w:r w:rsidRPr="003F3B94">
        <w:rPr>
          <w:rFonts w:ascii="Abo-thar" w:hAnsi="Abo-thar" w:hint="cs"/>
          <w:sz w:val="28"/>
          <w:rtl/>
          <w:lang w:bidi="ar-SY"/>
        </w:rPr>
        <w:t>ج2/ص34</w:t>
      </w:r>
      <w:r w:rsidR="00217AB4" w:rsidRPr="003F3B94">
        <w:rPr>
          <w:rFonts w:ascii="Abo-thar" w:hAnsi="Abo-thar" w:hint="cs"/>
          <w:sz w:val="28"/>
          <w:rtl/>
          <w:lang w:bidi="ar-SY"/>
        </w:rPr>
        <w:t>)</w:t>
      </w:r>
      <w:r w:rsidRPr="003F3B94">
        <w:rPr>
          <w:rFonts w:ascii="Abo-thar" w:hAnsi="Abo-thar" w:hint="cs"/>
          <w:sz w:val="28"/>
          <w:rtl/>
          <w:lang w:bidi="ar-SY"/>
        </w:rPr>
        <w:t xml:space="preserve"> الرواية </w:t>
      </w:r>
      <w:r w:rsidR="00DE12B0" w:rsidRPr="003F3B94">
        <w:rPr>
          <w:rFonts w:ascii="Abo-thar" w:hAnsi="Abo-thar" w:hint="cs"/>
          <w:sz w:val="28"/>
          <w:rtl/>
          <w:lang w:bidi="ar-SY"/>
        </w:rPr>
        <w:t>الآتية</w:t>
      </w:r>
      <w:r w:rsidR="00217AB4" w:rsidRPr="003F3B94">
        <w:rPr>
          <w:rFonts w:ascii="Abo-thar" w:hAnsi="Abo-thar" w:hint="cs"/>
          <w:sz w:val="28"/>
          <w:rtl/>
          <w:lang w:bidi="ar-SY"/>
        </w:rPr>
        <w:t>:</w:t>
      </w:r>
      <w:r w:rsidRPr="003F3B94">
        <w:rPr>
          <w:rFonts w:ascii="Abo-thar" w:hAnsi="Abo-thar" w:hint="cs"/>
          <w:sz w:val="28"/>
          <w:rtl/>
          <w:lang w:bidi="ar-SY"/>
        </w:rPr>
        <w:t xml:space="preserve"> </w:t>
      </w:r>
    </w:p>
    <w:p w:rsidR="005C664D" w:rsidRPr="00995B26" w:rsidRDefault="00EF2588" w:rsidP="003F3B94">
      <w:pPr>
        <w:pStyle w:val="a0"/>
        <w:rPr>
          <w:rFonts w:hint="cs"/>
          <w:rtl/>
          <w:lang w:bidi="ar-SY"/>
        </w:rPr>
      </w:pPr>
      <w:r w:rsidRPr="00CE7623">
        <w:rPr>
          <w:rFonts w:ascii="Abo-thar" w:hAnsi="Abo-thar" w:cs="KFGQPC Uthman Taha Naskh" w:hint="cs"/>
          <w:sz w:val="28"/>
          <w:rtl/>
          <w:lang w:bidi="ar-SY"/>
        </w:rPr>
        <w:t>«</w:t>
      </w:r>
      <w:r w:rsidR="005C664D" w:rsidRPr="00CE7623">
        <w:rPr>
          <w:rFonts w:ascii="Abo-thar" w:hAnsi="Abo-thar" w:cs="KFGQPC Uthman Taha Naskh"/>
          <w:sz w:val="28"/>
          <w:rtl/>
          <w:lang w:bidi="ar-SY"/>
        </w:rPr>
        <w:t xml:space="preserve">سَأَلَ زَكَرِيَّا بْنُ مَالِكٍ الْجُعْفِيُّ أَبَا عَبْدِ </w:t>
      </w:r>
      <w:r w:rsidR="00F664A6" w:rsidRPr="00CE7623">
        <w:rPr>
          <w:rFonts w:ascii="Abo-thar" w:hAnsi="Abo-thar" w:cs="KFGQPC Uthman Taha Naskh"/>
          <w:sz w:val="28"/>
          <w:rtl/>
          <w:lang w:bidi="ar-SY"/>
        </w:rPr>
        <w:t>اللهِ</w:t>
      </w:r>
      <w:r w:rsidR="005C664D" w:rsidRPr="00CE7623">
        <w:rPr>
          <w:rFonts w:ascii="Abo-thar" w:hAnsi="Abo-thar" w:cs="KFGQPC Uthman Taha Naskh"/>
          <w:sz w:val="28"/>
          <w:rtl/>
          <w:lang w:bidi="ar-SY"/>
        </w:rPr>
        <w:t xml:space="preserve"> </w:t>
      </w:r>
      <w:r w:rsidR="00BC4BA9" w:rsidRPr="00BC4BA9">
        <w:rPr>
          <w:rFonts w:ascii="Abo-thar" w:hAnsi="Abo-thar" w:cs="CTraditional Arabic" w:hint="cs"/>
          <w:sz w:val="28"/>
          <w:rtl/>
          <w:lang w:bidi="ar-SY"/>
        </w:rPr>
        <w:t>÷</w:t>
      </w:r>
      <w:r w:rsidR="005C664D" w:rsidRPr="00CE7623">
        <w:rPr>
          <w:rFonts w:ascii="Abo-thar" w:hAnsi="Abo-thar" w:cs="KFGQPC Uthman Taha Naskh"/>
          <w:sz w:val="28"/>
          <w:rtl/>
          <w:lang w:bidi="ar-SY"/>
        </w:rPr>
        <w:t xml:space="preserve"> عَنْ قَوْلِ </w:t>
      </w:r>
      <w:r w:rsidR="00F664A6" w:rsidRPr="00CE7623">
        <w:rPr>
          <w:rFonts w:ascii="Abo-thar" w:hAnsi="Abo-thar" w:cs="KFGQPC Uthman Taha Naskh"/>
          <w:sz w:val="28"/>
          <w:rtl/>
          <w:lang w:bidi="ar-SY"/>
        </w:rPr>
        <w:t>اللهِ</w:t>
      </w:r>
      <w:r w:rsidR="005C664D" w:rsidRPr="00CE7623">
        <w:rPr>
          <w:rFonts w:ascii="Abo-thar" w:hAnsi="Abo-thar" w:cs="KFGQPC Uthman Taha Naskh"/>
          <w:sz w:val="28"/>
          <w:rtl/>
          <w:lang w:bidi="ar-SY"/>
        </w:rPr>
        <w:t xml:space="preserve"> عَزَّ وجَلَّ</w:t>
      </w:r>
      <w:r w:rsidR="00685363" w:rsidRPr="00CE7623">
        <w:rPr>
          <w:rFonts w:ascii="Abo-thar" w:hAnsi="Abo-thar" w:cs="KFGQPC Uthman Taha Naskh" w:hint="cs"/>
          <w:sz w:val="28"/>
          <w:rtl/>
          <w:lang w:bidi="ar-SY"/>
        </w:rPr>
        <w:t>:</w:t>
      </w:r>
      <w:r w:rsidR="00685363" w:rsidRPr="003F3B94">
        <w:rPr>
          <w:rFonts w:ascii="Abo-thar" w:hAnsi="Abo-thar" w:hint="cs"/>
          <w:sz w:val="28"/>
          <w:rtl/>
          <w:lang w:bidi="ar-SY"/>
        </w:rPr>
        <w:t xml:space="preserve"> </w:t>
      </w:r>
      <w:r w:rsidR="00685363" w:rsidRPr="00995B26">
        <w:rPr>
          <w:rFonts w:ascii="Abo-thar" w:hAnsi="Abo-thar" w:cs="Traditional Arabic" w:hint="cs"/>
          <w:sz w:val="28"/>
          <w:rtl/>
          <w:lang w:bidi="ar-SY"/>
        </w:rPr>
        <w:t>﴿</w:t>
      </w:r>
      <w:r w:rsidR="00685363" w:rsidRPr="0067048A">
        <w:rPr>
          <w:rStyle w:val="Char3"/>
          <w:rFonts w:hint="eastAsia"/>
          <w:rtl/>
        </w:rPr>
        <w:t>وَ</w:t>
      </w:r>
      <w:r w:rsidR="00685363" w:rsidRPr="0067048A">
        <w:rPr>
          <w:rStyle w:val="Char3"/>
          <w:rFonts w:hint="cs"/>
          <w:rtl/>
        </w:rPr>
        <w:t>ٱ</w:t>
      </w:r>
      <w:r w:rsidR="00685363" w:rsidRPr="0067048A">
        <w:rPr>
          <w:rStyle w:val="Char3"/>
          <w:rFonts w:hint="eastAsia"/>
          <w:rtl/>
        </w:rPr>
        <w:t>ع</w:t>
      </w:r>
      <w:r w:rsidR="00685363" w:rsidRPr="0067048A">
        <w:rPr>
          <w:rStyle w:val="Char3"/>
          <w:rFonts w:hint="cs"/>
          <w:rtl/>
        </w:rPr>
        <w:t>ۡ</w:t>
      </w:r>
      <w:r w:rsidR="00685363" w:rsidRPr="0067048A">
        <w:rPr>
          <w:rStyle w:val="Char3"/>
          <w:rFonts w:hint="eastAsia"/>
          <w:rtl/>
        </w:rPr>
        <w:t>لَمُو</w:t>
      </w:r>
      <w:r w:rsidR="00685363" w:rsidRPr="0067048A">
        <w:rPr>
          <w:rStyle w:val="Char3"/>
          <w:rFonts w:hint="cs"/>
          <w:rtl/>
        </w:rPr>
        <w:t>ٓ</w:t>
      </w:r>
      <w:r w:rsidR="00685363" w:rsidRPr="0067048A">
        <w:rPr>
          <w:rStyle w:val="Char3"/>
          <w:rFonts w:hint="eastAsia"/>
          <w:rtl/>
        </w:rPr>
        <w:t>اْ</w:t>
      </w:r>
      <w:r w:rsidR="00685363" w:rsidRPr="0067048A">
        <w:rPr>
          <w:rStyle w:val="Char3"/>
          <w:rtl/>
        </w:rPr>
        <w:t xml:space="preserve"> </w:t>
      </w:r>
      <w:r w:rsidR="00685363" w:rsidRPr="0067048A">
        <w:rPr>
          <w:rStyle w:val="Char3"/>
          <w:rFonts w:hint="eastAsia"/>
          <w:rtl/>
        </w:rPr>
        <w:t>أَنَّمَا</w:t>
      </w:r>
      <w:r w:rsidR="00685363" w:rsidRPr="0067048A">
        <w:rPr>
          <w:rStyle w:val="Char3"/>
          <w:rtl/>
        </w:rPr>
        <w:t xml:space="preserve"> </w:t>
      </w:r>
      <w:r w:rsidR="00685363" w:rsidRPr="0067048A">
        <w:rPr>
          <w:rStyle w:val="Char3"/>
          <w:rFonts w:hint="eastAsia"/>
          <w:rtl/>
        </w:rPr>
        <w:t>غَنِم</w:t>
      </w:r>
      <w:r w:rsidR="00685363" w:rsidRPr="0067048A">
        <w:rPr>
          <w:rStyle w:val="Char3"/>
          <w:rFonts w:hint="cs"/>
          <w:rtl/>
        </w:rPr>
        <w:t>ۡ</w:t>
      </w:r>
      <w:r w:rsidR="00685363" w:rsidRPr="0067048A">
        <w:rPr>
          <w:rStyle w:val="Char3"/>
          <w:rFonts w:hint="eastAsia"/>
          <w:rtl/>
        </w:rPr>
        <w:t>تُم</w:t>
      </w:r>
      <w:r w:rsidR="00685363" w:rsidRPr="0067048A">
        <w:rPr>
          <w:rStyle w:val="Char3"/>
          <w:rtl/>
        </w:rPr>
        <w:t xml:space="preserve"> </w:t>
      </w:r>
      <w:r w:rsidR="00685363" w:rsidRPr="0067048A">
        <w:rPr>
          <w:rStyle w:val="Char3"/>
          <w:rFonts w:hint="eastAsia"/>
          <w:rtl/>
        </w:rPr>
        <w:t>مِّن</w:t>
      </w:r>
      <w:r w:rsidR="00685363" w:rsidRPr="0067048A">
        <w:rPr>
          <w:rStyle w:val="Char3"/>
          <w:rtl/>
        </w:rPr>
        <w:t xml:space="preserve"> </w:t>
      </w:r>
      <w:r w:rsidR="00685363" w:rsidRPr="0067048A">
        <w:rPr>
          <w:rStyle w:val="Char3"/>
          <w:rFonts w:hint="eastAsia"/>
          <w:rtl/>
        </w:rPr>
        <w:t>شَي</w:t>
      </w:r>
      <w:r w:rsidR="00685363" w:rsidRPr="0067048A">
        <w:rPr>
          <w:rStyle w:val="Char3"/>
          <w:rFonts w:hint="cs"/>
          <w:rtl/>
        </w:rPr>
        <w:t>ۡ</w:t>
      </w:r>
      <w:r w:rsidR="00685363" w:rsidRPr="0067048A">
        <w:rPr>
          <w:rStyle w:val="Char3"/>
          <w:rFonts w:hint="eastAsia"/>
          <w:rtl/>
        </w:rPr>
        <w:t>ء</w:t>
      </w:r>
      <w:r w:rsidR="00685363" w:rsidRPr="0067048A">
        <w:rPr>
          <w:rStyle w:val="Char3"/>
          <w:rFonts w:hint="cs"/>
          <w:rtl/>
        </w:rPr>
        <w:t>ٖ</w:t>
      </w:r>
      <w:r w:rsidR="00685363" w:rsidRPr="0067048A">
        <w:rPr>
          <w:rStyle w:val="Char3"/>
          <w:rtl/>
        </w:rPr>
        <w:t xml:space="preserve"> </w:t>
      </w:r>
      <w:r w:rsidR="00685363" w:rsidRPr="0067048A">
        <w:rPr>
          <w:rStyle w:val="Char3"/>
          <w:rFonts w:hint="eastAsia"/>
          <w:rtl/>
        </w:rPr>
        <w:t>فَأَنَّ</w:t>
      </w:r>
      <w:r w:rsidR="00685363" w:rsidRPr="0067048A">
        <w:rPr>
          <w:rStyle w:val="Char3"/>
          <w:rtl/>
        </w:rPr>
        <w:t xml:space="preserve"> </w:t>
      </w:r>
      <w:r w:rsidR="00685363" w:rsidRPr="0067048A">
        <w:rPr>
          <w:rStyle w:val="Char3"/>
          <w:rFonts w:hint="eastAsia"/>
          <w:rtl/>
        </w:rPr>
        <w:t>لِلَّهِ</w:t>
      </w:r>
      <w:r w:rsidR="00685363" w:rsidRPr="0067048A">
        <w:rPr>
          <w:rStyle w:val="Char3"/>
          <w:rtl/>
        </w:rPr>
        <w:t xml:space="preserve"> </w:t>
      </w:r>
      <w:r w:rsidR="00685363" w:rsidRPr="0067048A">
        <w:rPr>
          <w:rStyle w:val="Char3"/>
          <w:rFonts w:hint="eastAsia"/>
          <w:rtl/>
        </w:rPr>
        <w:t>خُمُسَهُ</w:t>
      </w:r>
      <w:r w:rsidR="00685363" w:rsidRPr="0067048A">
        <w:rPr>
          <w:rStyle w:val="Char3"/>
          <w:rFonts w:hint="cs"/>
          <w:rtl/>
        </w:rPr>
        <w:t>ۥ</w:t>
      </w:r>
      <w:r w:rsidR="00685363" w:rsidRPr="0067048A">
        <w:rPr>
          <w:rStyle w:val="Char3"/>
          <w:rtl/>
        </w:rPr>
        <w:t xml:space="preserve"> </w:t>
      </w:r>
      <w:r w:rsidR="00685363" w:rsidRPr="0067048A">
        <w:rPr>
          <w:rStyle w:val="Char3"/>
          <w:rFonts w:hint="eastAsia"/>
          <w:rtl/>
        </w:rPr>
        <w:t>وَلِلرَّسُولِ</w:t>
      </w:r>
      <w:r w:rsidR="00685363" w:rsidRPr="0067048A">
        <w:rPr>
          <w:rStyle w:val="Char3"/>
          <w:rtl/>
        </w:rPr>
        <w:t xml:space="preserve"> </w:t>
      </w:r>
      <w:r w:rsidR="00685363" w:rsidRPr="0067048A">
        <w:rPr>
          <w:rStyle w:val="Char3"/>
          <w:rFonts w:hint="eastAsia"/>
          <w:rtl/>
        </w:rPr>
        <w:t>وَلِذِي</w:t>
      </w:r>
      <w:r w:rsidR="00685363" w:rsidRPr="0067048A">
        <w:rPr>
          <w:rStyle w:val="Char3"/>
          <w:rtl/>
        </w:rPr>
        <w:t xml:space="preserve"> </w:t>
      </w:r>
      <w:r w:rsidR="00685363" w:rsidRPr="0067048A">
        <w:rPr>
          <w:rStyle w:val="Char3"/>
          <w:rFonts w:hint="cs"/>
          <w:rtl/>
        </w:rPr>
        <w:t>ٱ</w:t>
      </w:r>
      <w:r w:rsidR="00685363" w:rsidRPr="0067048A">
        <w:rPr>
          <w:rStyle w:val="Char3"/>
          <w:rFonts w:hint="eastAsia"/>
          <w:rtl/>
        </w:rPr>
        <w:t>ل</w:t>
      </w:r>
      <w:r w:rsidR="00685363" w:rsidRPr="0067048A">
        <w:rPr>
          <w:rStyle w:val="Char3"/>
          <w:rFonts w:hint="cs"/>
          <w:rtl/>
        </w:rPr>
        <w:t>ۡ</w:t>
      </w:r>
      <w:r w:rsidR="00685363" w:rsidRPr="0067048A">
        <w:rPr>
          <w:rStyle w:val="Char3"/>
          <w:rFonts w:hint="eastAsia"/>
          <w:rtl/>
        </w:rPr>
        <w:t>قُر</w:t>
      </w:r>
      <w:r w:rsidR="00685363" w:rsidRPr="0067048A">
        <w:rPr>
          <w:rStyle w:val="Char3"/>
          <w:rFonts w:hint="cs"/>
          <w:rtl/>
        </w:rPr>
        <w:t>ۡ</w:t>
      </w:r>
      <w:r w:rsidR="00685363" w:rsidRPr="0067048A">
        <w:rPr>
          <w:rStyle w:val="Char3"/>
          <w:rFonts w:hint="eastAsia"/>
          <w:rtl/>
        </w:rPr>
        <w:t>بَى</w:t>
      </w:r>
      <w:r w:rsidR="00685363" w:rsidRPr="0067048A">
        <w:rPr>
          <w:rStyle w:val="Char3"/>
          <w:rFonts w:hint="cs"/>
          <w:rtl/>
        </w:rPr>
        <w:t>ٰ</w:t>
      </w:r>
      <w:r w:rsidR="00685363" w:rsidRPr="0067048A">
        <w:rPr>
          <w:rStyle w:val="Char3"/>
          <w:rtl/>
        </w:rPr>
        <w:t xml:space="preserve"> </w:t>
      </w:r>
      <w:r w:rsidR="00685363" w:rsidRPr="0067048A">
        <w:rPr>
          <w:rStyle w:val="Char3"/>
          <w:rFonts w:hint="eastAsia"/>
          <w:rtl/>
        </w:rPr>
        <w:t>وَ</w:t>
      </w:r>
      <w:r w:rsidR="00685363" w:rsidRPr="0067048A">
        <w:rPr>
          <w:rStyle w:val="Char3"/>
          <w:rFonts w:hint="cs"/>
          <w:rtl/>
        </w:rPr>
        <w:t>ٱ</w:t>
      </w:r>
      <w:r w:rsidR="00685363" w:rsidRPr="0067048A">
        <w:rPr>
          <w:rStyle w:val="Char3"/>
          <w:rFonts w:hint="eastAsia"/>
          <w:rtl/>
        </w:rPr>
        <w:t>ل</w:t>
      </w:r>
      <w:r w:rsidR="00685363" w:rsidRPr="0067048A">
        <w:rPr>
          <w:rStyle w:val="Char3"/>
          <w:rFonts w:hint="cs"/>
          <w:rtl/>
        </w:rPr>
        <w:t>ۡ</w:t>
      </w:r>
      <w:r w:rsidR="00685363" w:rsidRPr="0067048A">
        <w:rPr>
          <w:rStyle w:val="Char3"/>
          <w:rFonts w:hint="eastAsia"/>
          <w:rtl/>
        </w:rPr>
        <w:t>يَتَ</w:t>
      </w:r>
      <w:r w:rsidR="00685363" w:rsidRPr="0067048A">
        <w:rPr>
          <w:rStyle w:val="Char3"/>
          <w:rFonts w:hint="cs"/>
          <w:rtl/>
        </w:rPr>
        <w:t>ٰ</w:t>
      </w:r>
      <w:r w:rsidR="00685363" w:rsidRPr="0067048A">
        <w:rPr>
          <w:rStyle w:val="Char3"/>
          <w:rFonts w:hint="eastAsia"/>
          <w:rtl/>
        </w:rPr>
        <w:t>مَى</w:t>
      </w:r>
      <w:r w:rsidR="00685363" w:rsidRPr="0067048A">
        <w:rPr>
          <w:rStyle w:val="Char3"/>
          <w:rFonts w:hint="cs"/>
          <w:rtl/>
        </w:rPr>
        <w:t>ٰ</w:t>
      </w:r>
      <w:r w:rsidR="00685363" w:rsidRPr="0067048A">
        <w:rPr>
          <w:rStyle w:val="Char3"/>
          <w:rtl/>
        </w:rPr>
        <w:t xml:space="preserve"> </w:t>
      </w:r>
      <w:r w:rsidR="00685363" w:rsidRPr="0067048A">
        <w:rPr>
          <w:rStyle w:val="Char3"/>
          <w:rFonts w:hint="eastAsia"/>
          <w:rtl/>
        </w:rPr>
        <w:t>وَ</w:t>
      </w:r>
      <w:r w:rsidR="00685363" w:rsidRPr="0067048A">
        <w:rPr>
          <w:rStyle w:val="Char3"/>
          <w:rFonts w:hint="cs"/>
          <w:rtl/>
        </w:rPr>
        <w:t>ٱ</w:t>
      </w:r>
      <w:r w:rsidR="00685363" w:rsidRPr="0067048A">
        <w:rPr>
          <w:rStyle w:val="Char3"/>
          <w:rFonts w:hint="eastAsia"/>
          <w:rtl/>
        </w:rPr>
        <w:t>ل</w:t>
      </w:r>
      <w:r w:rsidR="00685363" w:rsidRPr="0067048A">
        <w:rPr>
          <w:rStyle w:val="Char3"/>
          <w:rFonts w:hint="cs"/>
          <w:rtl/>
        </w:rPr>
        <w:t>ۡ</w:t>
      </w:r>
      <w:r w:rsidR="00685363" w:rsidRPr="0067048A">
        <w:rPr>
          <w:rStyle w:val="Char3"/>
          <w:rFonts w:hint="eastAsia"/>
          <w:rtl/>
        </w:rPr>
        <w:t>مَسَ</w:t>
      </w:r>
      <w:r w:rsidR="00685363" w:rsidRPr="0067048A">
        <w:rPr>
          <w:rStyle w:val="Char3"/>
          <w:rFonts w:hint="cs"/>
          <w:rtl/>
        </w:rPr>
        <w:t>ٰ</w:t>
      </w:r>
      <w:r w:rsidR="00685363" w:rsidRPr="0067048A">
        <w:rPr>
          <w:rStyle w:val="Char3"/>
          <w:rFonts w:hint="eastAsia"/>
          <w:rtl/>
        </w:rPr>
        <w:t>كِينِ</w:t>
      </w:r>
      <w:r w:rsidR="00685363" w:rsidRPr="0067048A">
        <w:rPr>
          <w:rStyle w:val="Char3"/>
          <w:rtl/>
        </w:rPr>
        <w:t xml:space="preserve"> </w:t>
      </w:r>
      <w:r w:rsidR="00685363" w:rsidRPr="0067048A">
        <w:rPr>
          <w:rStyle w:val="Char3"/>
          <w:rFonts w:hint="eastAsia"/>
          <w:rtl/>
        </w:rPr>
        <w:t>وَ</w:t>
      </w:r>
      <w:r w:rsidR="00685363" w:rsidRPr="0067048A">
        <w:rPr>
          <w:rStyle w:val="Char3"/>
          <w:rFonts w:hint="cs"/>
          <w:rtl/>
        </w:rPr>
        <w:t>ٱ</w:t>
      </w:r>
      <w:r w:rsidR="00685363" w:rsidRPr="0067048A">
        <w:rPr>
          <w:rStyle w:val="Char3"/>
          <w:rFonts w:hint="eastAsia"/>
          <w:rtl/>
        </w:rPr>
        <w:t>ب</w:t>
      </w:r>
      <w:r w:rsidR="00685363" w:rsidRPr="0067048A">
        <w:rPr>
          <w:rStyle w:val="Char3"/>
          <w:rFonts w:hint="cs"/>
          <w:rtl/>
        </w:rPr>
        <w:t>ۡ</w:t>
      </w:r>
      <w:r w:rsidR="00685363" w:rsidRPr="0067048A">
        <w:rPr>
          <w:rStyle w:val="Char3"/>
          <w:rFonts w:hint="eastAsia"/>
          <w:rtl/>
        </w:rPr>
        <w:t>نِ</w:t>
      </w:r>
      <w:r w:rsidR="00685363" w:rsidRPr="0067048A">
        <w:rPr>
          <w:rStyle w:val="Char3"/>
          <w:rtl/>
        </w:rPr>
        <w:t xml:space="preserve"> </w:t>
      </w:r>
      <w:r w:rsidR="00685363" w:rsidRPr="0067048A">
        <w:rPr>
          <w:rStyle w:val="Char3"/>
          <w:rFonts w:hint="cs"/>
          <w:rtl/>
        </w:rPr>
        <w:t>ٱ</w:t>
      </w:r>
      <w:r w:rsidR="00685363" w:rsidRPr="0067048A">
        <w:rPr>
          <w:rStyle w:val="Char3"/>
          <w:rFonts w:hint="eastAsia"/>
          <w:rtl/>
        </w:rPr>
        <w:t>لسَّبِيلِ</w:t>
      </w:r>
      <w:r w:rsidR="00685363" w:rsidRPr="00995B26">
        <w:rPr>
          <w:rFonts w:ascii="KFGQPC Uthmanic Script HAFS" w:cs="Times New Roman" w:hint="cs"/>
          <w:sz w:val="28"/>
          <w:rtl/>
        </w:rPr>
        <w:t>...</w:t>
      </w:r>
      <w:r w:rsidR="00685363" w:rsidRPr="00995B26">
        <w:rPr>
          <w:rFonts w:ascii="Abo-thar" w:hAnsi="Abo-thar" w:cs="Traditional Arabic" w:hint="cs"/>
          <w:sz w:val="28"/>
          <w:rtl/>
          <w:lang w:bidi="ar-SY"/>
        </w:rPr>
        <w:t>﴾</w:t>
      </w:r>
      <w:r w:rsidR="00217AB4" w:rsidRPr="00995B26">
        <w:rPr>
          <w:rFonts w:ascii="Abo-thar" w:hAnsi="Abo-thar" w:hint="cs"/>
          <w:sz w:val="28"/>
          <w:rtl/>
          <w:lang w:bidi="ar-SY"/>
        </w:rPr>
        <w:t>؟</w:t>
      </w:r>
      <w:r w:rsidR="005C664D" w:rsidRPr="00995B26">
        <w:rPr>
          <w:rFonts w:ascii="Abo-thar" w:hAnsi="Abo-thar"/>
          <w:sz w:val="28"/>
          <w:rtl/>
          <w:lang w:bidi="ar-SY"/>
        </w:rPr>
        <w:t xml:space="preserve"> </w:t>
      </w:r>
      <w:r w:rsidR="005C664D" w:rsidRPr="00CE7623">
        <w:rPr>
          <w:rFonts w:ascii="Abo-thar" w:hAnsi="Abo-thar" w:cs="KFGQPC Uthman Taha Naskh"/>
          <w:sz w:val="28"/>
          <w:rtl/>
          <w:lang w:bidi="ar-SY"/>
        </w:rPr>
        <w:t>قَالَ</w:t>
      </w:r>
      <w:r w:rsidR="00217AB4" w:rsidRPr="00CE7623">
        <w:rPr>
          <w:rFonts w:ascii="Abo-thar" w:hAnsi="Abo-thar" w:cs="KFGQPC Uthman Taha Naskh" w:hint="cs"/>
          <w:sz w:val="28"/>
          <w:rtl/>
          <w:lang w:bidi="ar-SY"/>
        </w:rPr>
        <w:t>:</w:t>
      </w:r>
      <w:r w:rsidR="005C664D" w:rsidRPr="00CE7623">
        <w:rPr>
          <w:rFonts w:ascii="Abo-thar" w:hAnsi="Abo-thar" w:cs="KFGQPC Uthman Taha Naskh"/>
          <w:sz w:val="28"/>
          <w:rtl/>
          <w:lang w:bidi="ar-SY"/>
        </w:rPr>
        <w:t xml:space="preserve"> </w:t>
      </w:r>
      <w:r w:rsidR="005C664D" w:rsidRPr="00CE7623">
        <w:rPr>
          <w:rFonts w:ascii="Abo-thar" w:hAnsi="Abo-thar" w:cs="KFGQPC Uthman Taha Naskh"/>
          <w:b/>
          <w:bCs/>
          <w:sz w:val="28"/>
          <w:rtl/>
          <w:lang w:bidi="ar-SY"/>
        </w:rPr>
        <w:t xml:space="preserve">أَمَّا خُمُسُ </w:t>
      </w:r>
      <w:r w:rsidR="00F664A6" w:rsidRPr="00CE7623">
        <w:rPr>
          <w:rFonts w:ascii="Abo-thar" w:hAnsi="Abo-thar" w:cs="KFGQPC Uthman Taha Naskh"/>
          <w:b/>
          <w:bCs/>
          <w:sz w:val="28"/>
          <w:rtl/>
          <w:lang w:bidi="ar-SY"/>
        </w:rPr>
        <w:t>اللهِ</w:t>
      </w:r>
      <w:r w:rsidR="005C664D" w:rsidRPr="00CE7623">
        <w:rPr>
          <w:rFonts w:ascii="Abo-thar" w:hAnsi="Abo-thar" w:cs="KFGQPC Uthman Taha Naskh"/>
          <w:b/>
          <w:bCs/>
          <w:sz w:val="28"/>
          <w:rtl/>
          <w:lang w:bidi="ar-SY"/>
        </w:rPr>
        <w:t xml:space="preserve"> فَلِلرَّسُولِ يَضَعُهُ فِي سَبِيلِ </w:t>
      </w:r>
      <w:r w:rsidR="00F664A6" w:rsidRPr="00CE7623">
        <w:rPr>
          <w:rFonts w:ascii="Abo-thar" w:hAnsi="Abo-thar" w:cs="KFGQPC Uthman Taha Naskh"/>
          <w:b/>
          <w:bCs/>
          <w:sz w:val="28"/>
          <w:rtl/>
          <w:lang w:bidi="ar-SY"/>
        </w:rPr>
        <w:t>اللهِ</w:t>
      </w:r>
      <w:r w:rsidR="005C664D" w:rsidRPr="00CE7623">
        <w:rPr>
          <w:rFonts w:ascii="Abo-thar" w:hAnsi="Abo-thar" w:cs="KFGQPC Uthman Taha Naskh"/>
          <w:b/>
          <w:bCs/>
          <w:sz w:val="28"/>
          <w:rtl/>
          <w:lang w:bidi="ar-SY"/>
        </w:rPr>
        <w:t xml:space="preserve"> وأَمَّا خُمُسُ الرَّسُولِ</w:t>
      </w:r>
      <w:r w:rsidR="00147857" w:rsidRPr="00CE7623">
        <w:rPr>
          <w:rFonts w:ascii="Abo-thar" w:hAnsi="Abo-thar" w:cs="KFGQPC Uthman Taha Naskh"/>
          <w:b/>
          <w:bCs/>
          <w:sz w:val="28"/>
          <w:rtl/>
          <w:lang w:bidi="ar-SY"/>
        </w:rPr>
        <w:t xml:space="preserve"> </w:t>
      </w:r>
      <w:r w:rsidR="003C7AEB" w:rsidRPr="003C7AEB">
        <w:rPr>
          <w:rFonts w:ascii="Abo-thar" w:hAnsi="Abo-thar" w:cs="CTraditional Arabic"/>
          <w:sz w:val="28"/>
          <w:rtl/>
          <w:lang w:bidi="ar-SY"/>
        </w:rPr>
        <w:t>ص</w:t>
      </w:r>
      <w:r w:rsidR="00147857" w:rsidRPr="00CE7623">
        <w:rPr>
          <w:rFonts w:ascii="Abo-thar" w:hAnsi="Abo-thar" w:cs="KFGQPC Uthman Taha Naskh"/>
          <w:sz w:val="28"/>
          <w:rtl/>
          <w:lang w:bidi="ar-SY"/>
        </w:rPr>
        <w:t xml:space="preserve"> </w:t>
      </w:r>
      <w:r w:rsidR="005C664D" w:rsidRPr="00CE7623">
        <w:rPr>
          <w:rFonts w:ascii="Abo-thar" w:hAnsi="Abo-thar" w:cs="KFGQPC Uthman Taha Naskh"/>
          <w:b/>
          <w:bCs/>
          <w:sz w:val="28"/>
          <w:rtl/>
          <w:lang w:bidi="ar-SY"/>
        </w:rPr>
        <w:t>فَلِأَقَارِبِهِ وَخُمُسُ ذِي الْقُرْبَى فَهُمْ أَقْرِبَاؤُهُ وَالْيَتَامَى يَتَامَى أَهْلِ بَيْتِهِ فَجَعَلَ هَذِهِ الْأَرْبَعَةَ الْأَسْهُمِ فِيهِمْ وَأَمَّا المَسَاكِينُ وَأَبْنَاءُ السَّبِيلِ فَقَدْ عَرَفْتَ أَنَّا لَا</w:t>
      </w:r>
      <w:r w:rsidR="005C664D" w:rsidRPr="00CE7623">
        <w:rPr>
          <w:rFonts w:cs="Times New Roman" w:hint="cs"/>
          <w:b/>
          <w:bCs/>
          <w:sz w:val="28"/>
          <w:rtl/>
          <w:lang w:bidi="ar-SY"/>
        </w:rPr>
        <w:t> </w:t>
      </w:r>
      <w:r w:rsidR="005C664D" w:rsidRPr="00CE7623">
        <w:rPr>
          <w:rFonts w:ascii="Abo-thar" w:hAnsi="Abo-thar" w:cs="KFGQPC Uthman Taha Naskh"/>
          <w:b/>
          <w:bCs/>
          <w:sz w:val="28"/>
          <w:rtl/>
          <w:lang w:bidi="ar-SY"/>
        </w:rPr>
        <w:t>نَأْكُلُ الصَّدَقَةَ ولَا تَحِلُّ لَنَا فَهِيَ لِلْمَسَاكِينِ وأَبْنَاءِ السَّبِيل‏</w:t>
      </w:r>
      <w:r w:rsidRPr="00CE7623">
        <w:rPr>
          <w:rFonts w:ascii="Abo-thar" w:hAnsi="Abo-thar" w:cs="KFGQPC Uthman Taha Naskh" w:hint="cs"/>
          <w:sz w:val="28"/>
          <w:rtl/>
          <w:lang w:bidi="ar-SY"/>
        </w:rPr>
        <w:t>»</w:t>
      </w:r>
      <w:r w:rsidR="00DE12B0" w:rsidRPr="0021507A">
        <w:rPr>
          <w:rFonts w:cs="Arabic11 BT"/>
          <w:b/>
          <w:sz w:val="28"/>
          <w:vertAlign w:val="superscript"/>
          <w:rtl/>
          <w:lang w:bidi="ar-SY"/>
        </w:rPr>
        <w:t>(</w:t>
      </w:r>
      <w:r w:rsidR="00DE12B0" w:rsidRPr="0021507A">
        <w:rPr>
          <w:rStyle w:val="FootnoteReference"/>
          <w:rFonts w:cs="Arabic11 BT"/>
          <w:b/>
          <w:sz w:val="28"/>
          <w:rtl/>
          <w:lang w:bidi="ar-SY"/>
        </w:rPr>
        <w:footnoteReference w:id="72"/>
      </w:r>
      <w:r w:rsidR="00DE12B0" w:rsidRPr="0021507A">
        <w:rPr>
          <w:rFonts w:cs="Arabic11 BT"/>
          <w:b/>
          <w:sz w:val="28"/>
          <w:vertAlign w:val="superscript"/>
          <w:rtl/>
          <w:lang w:bidi="ar-SY"/>
        </w:rPr>
        <w:t>)</w:t>
      </w:r>
      <w:r w:rsidR="00217AB4" w:rsidRPr="00995B26">
        <w:rPr>
          <w:rFonts w:ascii="Abo-thar" w:hAnsi="Abo-thar" w:hint="cs"/>
          <w:sz w:val="28"/>
          <w:rtl/>
          <w:lang w:bidi="ar-SY"/>
        </w:rPr>
        <w:t>.</w:t>
      </w:r>
    </w:p>
    <w:p w:rsidR="005C664D" w:rsidRPr="00995B26" w:rsidRDefault="005C664D" w:rsidP="003F3B94">
      <w:pPr>
        <w:pStyle w:val="a0"/>
        <w:rPr>
          <w:rFonts w:hint="cs"/>
          <w:rtl/>
          <w:lang w:bidi="ar-SY"/>
        </w:rPr>
      </w:pPr>
      <w:r w:rsidRPr="003F3B94">
        <w:rPr>
          <w:rFonts w:ascii="Abo-thar" w:hAnsi="Abo-thar" w:hint="cs"/>
          <w:sz w:val="28"/>
          <w:rtl/>
          <w:lang w:bidi="ar-SY"/>
        </w:rPr>
        <w:t>4</w:t>
      </w:r>
      <w:r w:rsidR="00217AB4" w:rsidRPr="003F3B94">
        <w:rPr>
          <w:rFonts w:ascii="Abo-thar" w:hAnsi="Abo-thar" w:hint="cs"/>
          <w:sz w:val="28"/>
          <w:rtl/>
          <w:lang w:bidi="ar-SY"/>
        </w:rPr>
        <w:t>-</w:t>
      </w:r>
      <w:r w:rsidRPr="003F3B94">
        <w:rPr>
          <w:rFonts w:ascii="Abo-thar" w:hAnsi="Abo-thar" w:hint="cs"/>
          <w:sz w:val="28"/>
          <w:rtl/>
          <w:lang w:bidi="ar-SY"/>
        </w:rPr>
        <w:t xml:space="preserve"> وروى الشيخ الطوسي عن حضرة الإمام محمد الباقر </w:t>
      </w:r>
      <w:r w:rsidR="003C7AEB" w:rsidRPr="003C7AEB">
        <w:rPr>
          <w:rFonts w:ascii="Abo-thar" w:hAnsi="Abo-thar" w:cs="CTraditional Arabic" w:hint="cs"/>
          <w:sz w:val="28"/>
          <w:rtl/>
          <w:lang w:bidi="ar-SY"/>
        </w:rPr>
        <w:t>÷</w:t>
      </w:r>
      <w:r w:rsidRPr="003F3B94">
        <w:rPr>
          <w:rFonts w:ascii="Abo-thar" w:hAnsi="Abo-thar" w:hint="cs"/>
          <w:sz w:val="28"/>
          <w:rtl/>
          <w:lang w:bidi="ar-SY"/>
        </w:rPr>
        <w:t xml:space="preserve"> أنه قال</w:t>
      </w:r>
      <w:r w:rsidR="00217AB4" w:rsidRPr="003F3B94">
        <w:rPr>
          <w:rFonts w:ascii="Abo-thar" w:hAnsi="Abo-thar" w:hint="cs"/>
          <w:sz w:val="28"/>
          <w:rtl/>
          <w:lang w:bidi="ar-SY"/>
        </w:rPr>
        <w:t>:</w:t>
      </w:r>
      <w:r w:rsidRPr="003F3B94">
        <w:rPr>
          <w:rFonts w:ascii="Abo-thar" w:hAnsi="Abo-thar" w:hint="cs"/>
          <w:sz w:val="28"/>
          <w:rtl/>
          <w:lang w:bidi="ar-SY"/>
        </w:rPr>
        <w:t xml:space="preserve"> </w:t>
      </w:r>
      <w:r w:rsidR="00EF2588" w:rsidRPr="00CE7623">
        <w:rPr>
          <w:rFonts w:ascii="Abo-thar" w:hAnsi="Abo-thar" w:cs="KFGQPC Uthman Taha Naskh" w:hint="cs"/>
          <w:sz w:val="28"/>
          <w:rtl/>
          <w:lang w:bidi="ar-SY"/>
        </w:rPr>
        <w:t>«</w:t>
      </w:r>
      <w:r w:rsidR="008862B3" w:rsidRPr="00CE7623">
        <w:rPr>
          <w:rFonts w:ascii="Abo-thar" w:hAnsi="Abo-thar" w:cs="KFGQPC Uthman Taha Naskh"/>
          <w:sz w:val="28"/>
          <w:rtl/>
          <w:lang w:bidi="ar-SY"/>
        </w:rPr>
        <w:t>وَ</w:t>
      </w:r>
      <w:r w:rsidRPr="00CE7623">
        <w:rPr>
          <w:rFonts w:ascii="Abo-thar" w:hAnsi="Abo-thar" w:cs="KFGQPC Uthman Taha Naskh"/>
          <w:sz w:val="28"/>
          <w:rtl/>
          <w:lang w:bidi="ar-SY"/>
        </w:rPr>
        <w:t>أَمَّا قَوْلُهُ</w:t>
      </w:r>
      <w:r w:rsidR="00685363" w:rsidRPr="00CE7623">
        <w:rPr>
          <w:rFonts w:ascii="Abo-thar" w:hAnsi="Abo-thar" w:cs="KFGQPC Uthman Taha Naskh" w:hint="cs"/>
          <w:sz w:val="28"/>
          <w:rtl/>
          <w:lang w:bidi="ar-SY"/>
        </w:rPr>
        <w:t xml:space="preserve">: </w:t>
      </w:r>
      <w:r w:rsidR="00685363" w:rsidRPr="00995B26">
        <w:rPr>
          <w:rFonts w:ascii="Abo-thar" w:hAnsi="Abo-thar" w:cs="Traditional Arabic" w:hint="cs"/>
          <w:sz w:val="28"/>
          <w:rtl/>
          <w:lang w:bidi="ar-SY"/>
        </w:rPr>
        <w:t>﴿</w:t>
      </w:r>
      <w:r w:rsidR="00685363" w:rsidRPr="0067048A">
        <w:rPr>
          <w:rStyle w:val="Char3"/>
          <w:rFonts w:hint="eastAsia"/>
          <w:rtl/>
        </w:rPr>
        <w:t>مَّا</w:t>
      </w:r>
      <w:r w:rsidR="00685363" w:rsidRPr="0067048A">
        <w:rPr>
          <w:rStyle w:val="Char3"/>
          <w:rFonts w:hint="cs"/>
          <w:rtl/>
        </w:rPr>
        <w:t>ٓ</w:t>
      </w:r>
      <w:r w:rsidR="00685363" w:rsidRPr="0067048A">
        <w:rPr>
          <w:rStyle w:val="Char3"/>
          <w:rtl/>
        </w:rPr>
        <w:t xml:space="preserve"> </w:t>
      </w:r>
      <w:r w:rsidR="00685363" w:rsidRPr="0067048A">
        <w:rPr>
          <w:rStyle w:val="Char3"/>
          <w:rFonts w:hint="eastAsia"/>
          <w:rtl/>
        </w:rPr>
        <w:t>أَفَا</w:t>
      </w:r>
      <w:r w:rsidR="00685363" w:rsidRPr="0067048A">
        <w:rPr>
          <w:rStyle w:val="Char3"/>
          <w:rFonts w:hint="cs"/>
          <w:rtl/>
        </w:rPr>
        <w:t>ٓ</w:t>
      </w:r>
      <w:r w:rsidR="00685363" w:rsidRPr="0067048A">
        <w:rPr>
          <w:rStyle w:val="Char3"/>
          <w:rFonts w:hint="eastAsia"/>
          <w:rtl/>
        </w:rPr>
        <w:t>ءَ</w:t>
      </w:r>
      <w:r w:rsidR="00685363" w:rsidRPr="0067048A">
        <w:rPr>
          <w:rStyle w:val="Char3"/>
          <w:rtl/>
        </w:rPr>
        <w:t xml:space="preserve"> </w:t>
      </w:r>
      <w:r w:rsidR="00685363" w:rsidRPr="0067048A">
        <w:rPr>
          <w:rStyle w:val="Char3"/>
          <w:rFonts w:hint="cs"/>
          <w:rtl/>
        </w:rPr>
        <w:t>ٱ</w:t>
      </w:r>
      <w:r w:rsidR="00685363" w:rsidRPr="0067048A">
        <w:rPr>
          <w:rStyle w:val="Char3"/>
          <w:rFonts w:hint="eastAsia"/>
          <w:rtl/>
        </w:rPr>
        <w:t>للَّهُ</w:t>
      </w:r>
      <w:r w:rsidR="00685363" w:rsidRPr="0067048A">
        <w:rPr>
          <w:rStyle w:val="Char3"/>
          <w:rtl/>
        </w:rPr>
        <w:t xml:space="preserve"> </w:t>
      </w:r>
      <w:r w:rsidR="00685363" w:rsidRPr="0067048A">
        <w:rPr>
          <w:rStyle w:val="Char3"/>
          <w:rFonts w:hint="eastAsia"/>
          <w:rtl/>
        </w:rPr>
        <w:t>عَلَى</w:t>
      </w:r>
      <w:r w:rsidR="00685363" w:rsidRPr="0067048A">
        <w:rPr>
          <w:rStyle w:val="Char3"/>
          <w:rFonts w:hint="cs"/>
          <w:rtl/>
        </w:rPr>
        <w:t>ٰ</w:t>
      </w:r>
      <w:r w:rsidR="00685363" w:rsidRPr="0067048A">
        <w:rPr>
          <w:rStyle w:val="Char3"/>
          <w:rtl/>
        </w:rPr>
        <w:t xml:space="preserve"> </w:t>
      </w:r>
      <w:r w:rsidR="00685363" w:rsidRPr="0067048A">
        <w:rPr>
          <w:rStyle w:val="Char3"/>
          <w:rFonts w:hint="eastAsia"/>
          <w:rtl/>
        </w:rPr>
        <w:t>رَسُولِهِ</w:t>
      </w:r>
      <w:r w:rsidR="00685363" w:rsidRPr="0067048A">
        <w:rPr>
          <w:rStyle w:val="Char3"/>
          <w:rFonts w:hint="cs"/>
          <w:rtl/>
        </w:rPr>
        <w:t>ۦ</w:t>
      </w:r>
      <w:r w:rsidR="00685363" w:rsidRPr="0067048A">
        <w:rPr>
          <w:rStyle w:val="Char3"/>
          <w:rtl/>
        </w:rPr>
        <w:t xml:space="preserve"> </w:t>
      </w:r>
      <w:r w:rsidR="00685363" w:rsidRPr="0067048A">
        <w:rPr>
          <w:rStyle w:val="Char3"/>
          <w:rFonts w:hint="eastAsia"/>
          <w:rtl/>
        </w:rPr>
        <w:t>مِن</w:t>
      </w:r>
      <w:r w:rsidR="00685363" w:rsidRPr="0067048A">
        <w:rPr>
          <w:rStyle w:val="Char3"/>
          <w:rFonts w:hint="cs"/>
          <w:rtl/>
        </w:rPr>
        <w:t>ۡ</w:t>
      </w:r>
      <w:r w:rsidR="00685363" w:rsidRPr="0067048A">
        <w:rPr>
          <w:rStyle w:val="Char3"/>
          <w:rtl/>
        </w:rPr>
        <w:t xml:space="preserve"> </w:t>
      </w:r>
      <w:r w:rsidR="00685363" w:rsidRPr="0067048A">
        <w:rPr>
          <w:rStyle w:val="Char3"/>
          <w:rFonts w:hint="eastAsia"/>
          <w:rtl/>
        </w:rPr>
        <w:t>أَه</w:t>
      </w:r>
      <w:r w:rsidR="00685363" w:rsidRPr="0067048A">
        <w:rPr>
          <w:rStyle w:val="Char3"/>
          <w:rFonts w:hint="cs"/>
          <w:rtl/>
        </w:rPr>
        <w:t>ۡ</w:t>
      </w:r>
      <w:r w:rsidR="00685363" w:rsidRPr="0067048A">
        <w:rPr>
          <w:rStyle w:val="Char3"/>
          <w:rFonts w:hint="eastAsia"/>
          <w:rtl/>
        </w:rPr>
        <w:t>لِ</w:t>
      </w:r>
      <w:r w:rsidR="00685363" w:rsidRPr="0067048A">
        <w:rPr>
          <w:rStyle w:val="Char3"/>
          <w:rtl/>
        </w:rPr>
        <w:t xml:space="preserve"> </w:t>
      </w:r>
      <w:r w:rsidR="00685363" w:rsidRPr="0067048A">
        <w:rPr>
          <w:rStyle w:val="Char3"/>
          <w:rFonts w:hint="cs"/>
          <w:rtl/>
        </w:rPr>
        <w:t>ٱ</w:t>
      </w:r>
      <w:r w:rsidR="00685363" w:rsidRPr="0067048A">
        <w:rPr>
          <w:rStyle w:val="Char3"/>
          <w:rFonts w:hint="eastAsia"/>
          <w:rtl/>
        </w:rPr>
        <w:t>ل</w:t>
      </w:r>
      <w:r w:rsidR="00685363" w:rsidRPr="0067048A">
        <w:rPr>
          <w:rStyle w:val="Char3"/>
          <w:rFonts w:hint="cs"/>
          <w:rtl/>
        </w:rPr>
        <w:t>ۡ</w:t>
      </w:r>
      <w:r w:rsidR="00685363" w:rsidRPr="0067048A">
        <w:rPr>
          <w:rStyle w:val="Char3"/>
          <w:rFonts w:hint="eastAsia"/>
          <w:rtl/>
        </w:rPr>
        <w:t>قُرَى</w:t>
      </w:r>
      <w:r w:rsidR="00685363" w:rsidRPr="0067048A">
        <w:rPr>
          <w:rStyle w:val="Char3"/>
          <w:rFonts w:hint="cs"/>
          <w:rtl/>
        </w:rPr>
        <w:t>ٰ</w:t>
      </w:r>
      <w:r w:rsidR="00685363" w:rsidRPr="00995B26">
        <w:rPr>
          <w:rFonts w:ascii="KFGQPC Uthmanic Script HAFS" w:cs="Times New Roman" w:hint="cs"/>
          <w:sz w:val="28"/>
          <w:rtl/>
        </w:rPr>
        <w:t>...</w:t>
      </w:r>
      <w:r w:rsidR="00685363" w:rsidRPr="00995B26">
        <w:rPr>
          <w:rFonts w:ascii="Abo-thar" w:hAnsi="Abo-thar" w:cs="Traditional Arabic" w:hint="cs"/>
          <w:sz w:val="28"/>
          <w:rtl/>
          <w:lang w:bidi="ar-SY"/>
        </w:rPr>
        <w:t>﴾</w:t>
      </w:r>
      <w:r w:rsidR="00685363" w:rsidRPr="00995B26">
        <w:rPr>
          <w:rFonts w:ascii="Abo-thar" w:hAnsi="Abo-thar"/>
          <w:sz w:val="28"/>
          <w:rtl/>
          <w:lang w:bidi="ar-SY"/>
        </w:rPr>
        <w:t xml:space="preserve"> </w:t>
      </w:r>
      <w:r w:rsidR="008862B3" w:rsidRPr="00995B26">
        <w:rPr>
          <w:rFonts w:ascii="Abo-thar" w:hAnsi="Abo-thar"/>
          <w:sz w:val="28"/>
          <w:rtl/>
          <w:lang w:bidi="ar-SY"/>
        </w:rPr>
        <w:t>‏</w:t>
      </w:r>
      <w:r w:rsidRPr="003108CB">
        <w:rPr>
          <w:rStyle w:val="Char2"/>
          <w:rFonts w:hint="cs"/>
          <w:rtl/>
        </w:rPr>
        <w:t>[الحشر</w:t>
      </w:r>
      <w:r w:rsidR="00685363" w:rsidRPr="003108CB">
        <w:rPr>
          <w:rStyle w:val="Char2"/>
          <w:rFonts w:hint="cs"/>
          <w:rtl/>
        </w:rPr>
        <w:t xml:space="preserve">: </w:t>
      </w:r>
      <w:r w:rsidRPr="003108CB">
        <w:rPr>
          <w:rStyle w:val="Char2"/>
          <w:rFonts w:hint="cs"/>
          <w:rtl/>
        </w:rPr>
        <w:t>7]</w:t>
      </w:r>
      <w:r w:rsidRPr="00995B26">
        <w:rPr>
          <w:rFonts w:ascii="Abo-thar" w:hAnsi="Abo-thar" w:hint="cs"/>
          <w:sz w:val="28"/>
          <w:rtl/>
          <w:lang w:bidi="ar-SY"/>
        </w:rPr>
        <w:t xml:space="preserve"> </w:t>
      </w:r>
      <w:r w:rsidRPr="00CE7623">
        <w:rPr>
          <w:rFonts w:ascii="Abo-thar" w:hAnsi="Abo-thar" w:cs="KFGQPC Uthman Taha Naskh"/>
          <w:sz w:val="28"/>
          <w:rtl/>
          <w:lang w:bidi="ar-SY"/>
        </w:rPr>
        <w:t xml:space="preserve">فَهَذَا بِمَنْزِلَةِ المَغْنَمِ كَانَ أَبِي </w:t>
      </w:r>
      <w:r w:rsidR="00BC4BA9" w:rsidRPr="00BC4BA9">
        <w:rPr>
          <w:rFonts w:ascii="Abo-thar" w:hAnsi="Abo-thar" w:cs="CTraditional Arabic" w:hint="cs"/>
          <w:sz w:val="28"/>
          <w:rtl/>
          <w:lang w:bidi="ar-SY"/>
        </w:rPr>
        <w:t>÷</w:t>
      </w:r>
      <w:r w:rsidRPr="00CE7623">
        <w:rPr>
          <w:rFonts w:ascii="Abo-thar" w:hAnsi="Abo-thar" w:cs="KFGQPC Uthman Taha Naskh"/>
          <w:sz w:val="28"/>
          <w:rtl/>
          <w:lang w:bidi="ar-SY"/>
        </w:rPr>
        <w:t xml:space="preserve"> يَقُولُ ذَلِكَ</w:t>
      </w:r>
      <w:r w:rsidR="00217AB4" w:rsidRPr="00CE7623">
        <w:rPr>
          <w:rFonts w:ascii="Abo-thar" w:hAnsi="Abo-thar" w:cs="KFGQPC Uthman Taha Naskh" w:hint="cs"/>
          <w:sz w:val="28"/>
          <w:rtl/>
          <w:lang w:bidi="ar-SY"/>
        </w:rPr>
        <w:t>،</w:t>
      </w:r>
      <w:r w:rsidRPr="00CE7623">
        <w:rPr>
          <w:rFonts w:ascii="Abo-thar" w:hAnsi="Abo-thar" w:cs="KFGQPC Uthman Taha Naskh"/>
          <w:sz w:val="28"/>
          <w:rtl/>
          <w:lang w:bidi="ar-SY"/>
        </w:rPr>
        <w:t xml:space="preserve"> وَلَيْسَ لَنَا فِيهِ غَيْرُ سَهْمَيْنِ سَهْمِ الرَّسُولِ وَسَهْمِ الْقُرْبَى ثُمَّ نَحْنُ شُرَكَاءُ النَّاسِ فِيمَا بَقِيَ</w:t>
      </w:r>
      <w:r w:rsidR="00EF2588" w:rsidRPr="00CE7623">
        <w:rPr>
          <w:rFonts w:ascii="Abo-thar" w:hAnsi="Abo-thar" w:cs="KFGQPC Uthman Taha Naskh" w:hint="cs"/>
          <w:sz w:val="28"/>
          <w:rtl/>
          <w:lang w:bidi="ar-SY"/>
        </w:rPr>
        <w:t>»</w:t>
      </w:r>
      <w:r w:rsidR="008862B3" w:rsidRPr="0021507A">
        <w:rPr>
          <w:rFonts w:cs="Arabic11 BT"/>
          <w:b/>
          <w:sz w:val="28"/>
          <w:vertAlign w:val="superscript"/>
          <w:rtl/>
          <w:lang w:bidi="ar-SY"/>
        </w:rPr>
        <w:t>(</w:t>
      </w:r>
      <w:r w:rsidR="008862B3" w:rsidRPr="0021507A">
        <w:rPr>
          <w:rStyle w:val="FootnoteReference"/>
          <w:rFonts w:cs="Arabic11 BT"/>
          <w:b/>
          <w:sz w:val="28"/>
          <w:rtl/>
          <w:lang w:bidi="ar-SY"/>
        </w:rPr>
        <w:footnoteReference w:id="73"/>
      </w:r>
      <w:r w:rsidR="008862B3" w:rsidRPr="0021507A">
        <w:rPr>
          <w:rFonts w:cs="Arabic11 BT"/>
          <w:b/>
          <w:sz w:val="28"/>
          <w:vertAlign w:val="superscript"/>
          <w:rtl/>
          <w:lang w:bidi="ar-SY"/>
        </w:rPr>
        <w:t>)</w:t>
      </w:r>
      <w:r w:rsidR="00217AB4" w:rsidRPr="00995B26">
        <w:rPr>
          <w:rFonts w:ascii="Abo-thar" w:hAnsi="Abo-thar" w:hint="cs"/>
          <w:sz w:val="28"/>
          <w:rtl/>
          <w:lang w:bidi="ar-SY"/>
        </w:rPr>
        <w:t>.</w:t>
      </w:r>
    </w:p>
    <w:p w:rsidR="005C664D" w:rsidRPr="003F3B94" w:rsidRDefault="005C664D" w:rsidP="003F3B94">
      <w:pPr>
        <w:pStyle w:val="a0"/>
        <w:rPr>
          <w:rFonts w:hint="cs"/>
          <w:rtl/>
          <w:lang w:bidi="ar-SY"/>
        </w:rPr>
      </w:pPr>
      <w:r w:rsidRPr="003F3B94">
        <w:rPr>
          <w:rFonts w:ascii="Abo-thar" w:hAnsi="Abo-thar" w:hint="cs"/>
          <w:sz w:val="28"/>
          <w:rtl/>
          <w:lang w:bidi="ar-SY"/>
        </w:rPr>
        <w:t>5</w:t>
      </w:r>
      <w:r w:rsidR="00217AB4" w:rsidRPr="003F3B94">
        <w:rPr>
          <w:rFonts w:ascii="Abo-thar" w:hAnsi="Abo-thar" w:hint="cs"/>
          <w:sz w:val="28"/>
          <w:rtl/>
          <w:lang w:bidi="ar-SY"/>
        </w:rPr>
        <w:t>-</w:t>
      </w:r>
      <w:r w:rsidRPr="003F3B94">
        <w:rPr>
          <w:rFonts w:ascii="Abo-thar" w:hAnsi="Abo-thar" w:hint="cs"/>
          <w:sz w:val="28"/>
          <w:rtl/>
          <w:lang w:bidi="ar-SY"/>
        </w:rPr>
        <w:t xml:space="preserve"> </w:t>
      </w:r>
      <w:r w:rsidR="008862B3" w:rsidRPr="003F3B94">
        <w:rPr>
          <w:rFonts w:ascii="Abo-thar" w:hAnsi="Abo-thar" w:hint="cs"/>
          <w:sz w:val="28"/>
          <w:rtl/>
          <w:lang w:bidi="ar-SY"/>
        </w:rPr>
        <w:t>و</w:t>
      </w:r>
      <w:r w:rsidRPr="003F3B94">
        <w:rPr>
          <w:rFonts w:ascii="Abo-thar" w:hAnsi="Abo-thar" w:hint="cs"/>
          <w:sz w:val="28"/>
          <w:rtl/>
          <w:lang w:bidi="ar-SY"/>
        </w:rPr>
        <w:t xml:space="preserve">عن حضرة الصادق </w:t>
      </w:r>
      <w:r w:rsidR="003C7AEB" w:rsidRPr="003C7AEB">
        <w:rPr>
          <w:rFonts w:ascii="Abo-thar" w:hAnsi="Abo-thar" w:cs="CTraditional Arabic" w:hint="cs"/>
          <w:sz w:val="28"/>
          <w:rtl/>
          <w:lang w:bidi="ar-SY"/>
        </w:rPr>
        <w:t>÷</w:t>
      </w:r>
      <w:r w:rsidRPr="003F3B94">
        <w:rPr>
          <w:rFonts w:ascii="Abo-thar" w:hAnsi="Abo-thar" w:hint="cs"/>
          <w:sz w:val="28"/>
          <w:rtl/>
          <w:lang w:bidi="ar-SY"/>
        </w:rPr>
        <w:t xml:space="preserve"> أنه قال بعد بيانه لسهم الرسول</w:t>
      </w:r>
      <w:r w:rsidR="00147857" w:rsidRPr="003F3B94">
        <w:rPr>
          <w:rFonts w:ascii="Abo-thar" w:hAnsi="Abo-thar" w:hint="cs"/>
          <w:sz w:val="28"/>
          <w:rtl/>
          <w:lang w:bidi="ar-SY"/>
        </w:rPr>
        <w:t xml:space="preserve"> </w:t>
      </w:r>
      <w:r w:rsidR="003C7AEB" w:rsidRPr="003C7AEB">
        <w:rPr>
          <w:rFonts w:ascii="Abo-thar" w:hAnsi="Abo-thar" w:cs="CTraditional Arabic"/>
          <w:sz w:val="28"/>
          <w:rtl/>
          <w:lang w:bidi="ar-SY"/>
        </w:rPr>
        <w:t>ص</w:t>
      </w:r>
      <w:r w:rsidR="00147857" w:rsidRPr="003F3B94">
        <w:rPr>
          <w:rFonts w:ascii="Abo-thar" w:hAnsi="Abo-thar"/>
          <w:sz w:val="28"/>
          <w:rtl/>
          <w:lang w:bidi="ar-SY"/>
        </w:rPr>
        <w:t xml:space="preserve"> </w:t>
      </w:r>
      <w:r w:rsidRPr="003F3B94">
        <w:rPr>
          <w:rFonts w:ascii="Abo-thar" w:hAnsi="Abo-thar" w:hint="cs"/>
          <w:sz w:val="28"/>
          <w:rtl/>
          <w:lang w:bidi="ar-SY"/>
        </w:rPr>
        <w:t>وذي القربى من خمس المغانم</w:t>
      </w:r>
      <w:r w:rsidR="00217AB4" w:rsidRPr="003F3B94">
        <w:rPr>
          <w:rFonts w:ascii="Abo-thar" w:hAnsi="Abo-thar" w:hint="cs"/>
          <w:sz w:val="28"/>
          <w:rtl/>
          <w:lang w:bidi="ar-SY"/>
        </w:rPr>
        <w:t>:</w:t>
      </w:r>
      <w:r w:rsidR="00147857" w:rsidRPr="003F3B94">
        <w:rPr>
          <w:rFonts w:ascii="Abo-thar" w:hAnsi="Abo-thar" w:hint="cs"/>
          <w:sz w:val="28"/>
          <w:rtl/>
          <w:lang w:bidi="ar-SY"/>
        </w:rPr>
        <w:t xml:space="preserve"> </w:t>
      </w:r>
      <w:r w:rsidR="00EF2588" w:rsidRPr="00CE7623">
        <w:rPr>
          <w:rFonts w:ascii="Abo-thar" w:hAnsi="Abo-thar" w:cs="KFGQPC Uthman Taha Naskh" w:hint="cs"/>
          <w:sz w:val="28"/>
          <w:rtl/>
          <w:lang w:bidi="ar-SY"/>
        </w:rPr>
        <w:t>«</w:t>
      </w:r>
      <w:r w:rsidRPr="00CE7623">
        <w:rPr>
          <w:rFonts w:ascii="Abo-thar" w:hAnsi="Abo-thar" w:cs="KFGQPC Uthman Taha Naskh"/>
          <w:b/>
          <w:bCs/>
          <w:sz w:val="28"/>
          <w:rtl/>
          <w:lang w:bidi="ar-SY"/>
        </w:rPr>
        <w:t>سَهْمٌ لِذِي الْقُرْبَى وهُوَ لَنَا وَثَلَاثَةُ أَسْهَامٍ لِلْيَتَامَى وَالمَسَاكِينِ وَأَبْنَاءِ السَّبِيلِ يَقْسِمُهُ الْإِمَامُ بَيْنَهُمْ</w:t>
      </w:r>
      <w:r w:rsidR="00217AB4" w:rsidRPr="00CE7623">
        <w:rPr>
          <w:rFonts w:ascii="Abo-thar" w:hAnsi="Abo-thar" w:cs="KFGQPC Uthman Taha Naskh"/>
          <w:b/>
          <w:bCs/>
          <w:sz w:val="28"/>
          <w:rtl/>
          <w:lang w:bidi="ar-SY"/>
        </w:rPr>
        <w:t>.</w:t>
      </w:r>
      <w:r w:rsidR="00217AB4" w:rsidRPr="00CE7623">
        <w:rPr>
          <w:rFonts w:ascii="Abo-thar" w:hAnsi="Abo-thar" w:cs="KFGQPC Uthman Taha Naskh" w:hint="cs"/>
          <w:b/>
          <w:bCs/>
          <w:sz w:val="28"/>
          <w:rtl/>
          <w:lang w:bidi="ar-SY"/>
        </w:rPr>
        <w:t>.</w:t>
      </w:r>
      <w:r w:rsidR="00EF2588" w:rsidRPr="00CE7623">
        <w:rPr>
          <w:rFonts w:ascii="Abo-thar" w:hAnsi="Abo-thar" w:cs="KFGQPC Uthman Taha Naskh" w:hint="cs"/>
          <w:sz w:val="28"/>
          <w:rtl/>
          <w:lang w:bidi="ar-SY"/>
        </w:rPr>
        <w:t>»</w:t>
      </w:r>
      <w:r w:rsidR="008862B3" w:rsidRPr="0021507A">
        <w:rPr>
          <w:rFonts w:cs="Arabic11 BT"/>
          <w:b/>
          <w:sz w:val="28"/>
          <w:vertAlign w:val="superscript"/>
          <w:rtl/>
          <w:lang w:bidi="ar-SY"/>
        </w:rPr>
        <w:t>(</w:t>
      </w:r>
      <w:r w:rsidR="008862B3" w:rsidRPr="0021507A">
        <w:rPr>
          <w:rStyle w:val="FootnoteReference"/>
          <w:rFonts w:cs="Arabic11 BT"/>
          <w:b/>
          <w:sz w:val="28"/>
          <w:rtl/>
          <w:lang w:bidi="ar-SY"/>
        </w:rPr>
        <w:footnoteReference w:id="74"/>
      </w:r>
      <w:r w:rsidR="008862B3" w:rsidRPr="0021507A">
        <w:rPr>
          <w:rFonts w:cs="Arabic11 BT"/>
          <w:b/>
          <w:sz w:val="28"/>
          <w:vertAlign w:val="superscript"/>
          <w:rtl/>
          <w:lang w:bidi="ar-SY"/>
        </w:rPr>
        <w:t>)</w:t>
      </w:r>
      <w:r w:rsidR="00217AB4" w:rsidRPr="003F3B94">
        <w:rPr>
          <w:rFonts w:ascii="Abo-thar" w:hAnsi="Abo-thar" w:hint="cs"/>
          <w:sz w:val="28"/>
          <w:rtl/>
          <w:lang w:bidi="ar-SY"/>
        </w:rPr>
        <w:t>.</w:t>
      </w:r>
    </w:p>
    <w:p w:rsidR="005C664D" w:rsidRPr="003F3B94" w:rsidRDefault="005C664D" w:rsidP="003F3B94">
      <w:pPr>
        <w:pStyle w:val="a0"/>
        <w:rPr>
          <w:rFonts w:hint="cs"/>
          <w:rtl/>
          <w:lang w:bidi="ar-SY"/>
        </w:rPr>
      </w:pPr>
      <w:r w:rsidRPr="003F3B94">
        <w:rPr>
          <w:rFonts w:ascii="Abo-thar" w:hAnsi="Abo-thar" w:hint="cs"/>
          <w:sz w:val="28"/>
          <w:rtl/>
          <w:lang w:bidi="ar-SY"/>
        </w:rPr>
        <w:t>فذكر اليتامى والمساكين وابن السبيل على نحو الإطلاق ولم يقيدهم بأنهم من آل محمد فهم يعم</w:t>
      </w:r>
      <w:r w:rsidR="008862B3" w:rsidRPr="003F3B94">
        <w:rPr>
          <w:rFonts w:ascii="Abo-thar" w:hAnsi="Abo-thar" w:hint="cs"/>
          <w:sz w:val="28"/>
          <w:rtl/>
          <w:lang w:bidi="ar-SY"/>
        </w:rPr>
        <w:t>ُّ</w:t>
      </w:r>
      <w:r w:rsidRPr="003F3B94">
        <w:rPr>
          <w:rFonts w:ascii="Abo-thar" w:hAnsi="Abo-thar" w:hint="cs"/>
          <w:sz w:val="28"/>
          <w:rtl/>
          <w:lang w:bidi="ar-SY"/>
        </w:rPr>
        <w:t>ون إذن جميع المسلمين</w:t>
      </w:r>
      <w:r w:rsidR="00217AB4" w:rsidRPr="003F3B94">
        <w:rPr>
          <w:rFonts w:ascii="Abo-thar" w:hAnsi="Abo-thar" w:hint="cs"/>
          <w:sz w:val="28"/>
          <w:rtl/>
          <w:lang w:bidi="ar-SY"/>
        </w:rPr>
        <w:t>.</w:t>
      </w:r>
    </w:p>
    <w:p w:rsidR="005C664D" w:rsidRPr="00F01069" w:rsidRDefault="005C664D" w:rsidP="003F3B94">
      <w:pPr>
        <w:pStyle w:val="a0"/>
        <w:rPr>
          <w:rFonts w:hint="cs"/>
          <w:spacing w:val="-2"/>
          <w:rtl/>
          <w:lang w:bidi="ar-SY"/>
        </w:rPr>
      </w:pPr>
      <w:r w:rsidRPr="00F01069">
        <w:rPr>
          <w:rFonts w:ascii="Abo-thar" w:hAnsi="Abo-thar" w:hint="cs"/>
          <w:spacing w:val="-2"/>
          <w:sz w:val="28"/>
          <w:rtl/>
          <w:lang w:bidi="ar-SY"/>
        </w:rPr>
        <w:t>6</w:t>
      </w:r>
      <w:r w:rsidR="00217AB4" w:rsidRPr="00F01069">
        <w:rPr>
          <w:rFonts w:ascii="Abo-thar" w:hAnsi="Abo-thar" w:hint="cs"/>
          <w:spacing w:val="-2"/>
          <w:sz w:val="28"/>
          <w:rtl/>
          <w:lang w:bidi="ar-SY"/>
        </w:rPr>
        <w:t>-</w:t>
      </w:r>
      <w:r w:rsidR="008862B3" w:rsidRPr="00F01069">
        <w:rPr>
          <w:rFonts w:ascii="Abo-thar" w:hAnsi="Abo-thar" w:hint="cs"/>
          <w:spacing w:val="-2"/>
          <w:sz w:val="28"/>
          <w:rtl/>
          <w:lang w:bidi="ar-SY"/>
        </w:rPr>
        <w:t xml:space="preserve"> و</w:t>
      </w:r>
      <w:r w:rsidR="00F664A6" w:rsidRPr="00F01069">
        <w:rPr>
          <w:rFonts w:ascii="Abo-thar" w:hAnsi="Abo-thar"/>
          <w:b/>
          <w:bCs/>
          <w:spacing w:val="-2"/>
          <w:sz w:val="28"/>
          <w:rtl/>
          <w:lang w:bidi="ar-SY"/>
        </w:rPr>
        <w:t>عَنْ رِبْعِيِّ بْنِ عَبْدِ الله</w:t>
      </w:r>
      <w:r w:rsidR="00F664A6" w:rsidRPr="00F01069">
        <w:rPr>
          <w:rFonts w:ascii="Abo-thar" w:hAnsi="Abo-thar" w:hint="cs"/>
          <w:b/>
          <w:bCs/>
          <w:spacing w:val="-2"/>
          <w:sz w:val="28"/>
          <w:rtl/>
          <w:lang w:bidi="ar-SY"/>
        </w:rPr>
        <w:t>ِ</w:t>
      </w:r>
      <w:r w:rsidRPr="00F01069">
        <w:rPr>
          <w:rFonts w:ascii="Abo-thar" w:hAnsi="Abo-thar"/>
          <w:b/>
          <w:bCs/>
          <w:spacing w:val="-2"/>
          <w:sz w:val="28"/>
          <w:rtl/>
          <w:lang w:bidi="ar-SY"/>
        </w:rPr>
        <w:t xml:space="preserve"> بْنِ الجَارُودِ عَنْ أَبِي عَبْدِ </w:t>
      </w:r>
      <w:r w:rsidR="00F664A6" w:rsidRPr="00F01069">
        <w:rPr>
          <w:rFonts w:ascii="Abo-thar" w:hAnsi="Abo-thar"/>
          <w:b/>
          <w:bCs/>
          <w:spacing w:val="-2"/>
          <w:sz w:val="28"/>
          <w:rtl/>
          <w:lang w:bidi="ar-SY"/>
        </w:rPr>
        <w:t>اللهِ</w:t>
      </w:r>
      <w:r w:rsidRPr="00F01069">
        <w:rPr>
          <w:rFonts w:ascii="Abo-thar" w:hAnsi="Abo-thar"/>
          <w:b/>
          <w:bCs/>
          <w:spacing w:val="-2"/>
          <w:sz w:val="28"/>
          <w:rtl/>
          <w:lang w:bidi="ar-SY"/>
        </w:rPr>
        <w:t xml:space="preserve"> </w:t>
      </w:r>
      <w:r w:rsidR="00BC4BA9" w:rsidRPr="00F01069">
        <w:rPr>
          <w:rFonts w:ascii="Abo-thar" w:hAnsi="Abo-thar" w:cs="CTraditional Arabic" w:hint="cs"/>
          <w:b/>
          <w:spacing w:val="-2"/>
          <w:sz w:val="28"/>
          <w:rtl/>
          <w:lang w:bidi="ar-SY"/>
        </w:rPr>
        <w:t>÷</w:t>
      </w:r>
      <w:r w:rsidRPr="00F01069">
        <w:rPr>
          <w:rFonts w:ascii="Abo-thar" w:hAnsi="Abo-thar"/>
          <w:b/>
          <w:bCs/>
          <w:spacing w:val="-2"/>
          <w:sz w:val="28"/>
          <w:rtl/>
          <w:lang w:bidi="ar-SY"/>
        </w:rPr>
        <w:t xml:space="preserve"> قَالَ</w:t>
      </w:r>
      <w:r w:rsidR="00217AB4" w:rsidRPr="00F01069">
        <w:rPr>
          <w:rFonts w:ascii="Abo-thar" w:hAnsi="Abo-thar" w:hint="cs"/>
          <w:b/>
          <w:bCs/>
          <w:spacing w:val="-2"/>
          <w:sz w:val="28"/>
          <w:rtl/>
          <w:lang w:bidi="ar-SY"/>
        </w:rPr>
        <w:t>:</w:t>
      </w:r>
      <w:r w:rsidRPr="00F01069">
        <w:rPr>
          <w:rFonts w:ascii="Abo-thar" w:hAnsi="Abo-thar"/>
          <w:b/>
          <w:bCs/>
          <w:spacing w:val="-2"/>
          <w:sz w:val="28"/>
          <w:rtl/>
          <w:lang w:bidi="ar-SY"/>
        </w:rPr>
        <w:t xml:space="preserve"> </w:t>
      </w:r>
      <w:r w:rsidR="008862B3" w:rsidRPr="00F01069">
        <w:rPr>
          <w:rFonts w:ascii="Abo-thar" w:hAnsi="Abo-thar" w:cs="KFGQPC Uthman Taha Naskh" w:hint="cs"/>
          <w:b/>
          <w:bCs/>
          <w:spacing w:val="-2"/>
          <w:sz w:val="28"/>
          <w:rtl/>
          <w:lang w:bidi="ar-SY"/>
        </w:rPr>
        <w:t>«</w:t>
      </w:r>
      <w:r w:rsidR="00F664A6" w:rsidRPr="00F01069">
        <w:rPr>
          <w:rFonts w:ascii="Abo-thar" w:hAnsi="Abo-thar" w:cs="KFGQPC Uthman Taha Naskh"/>
          <w:b/>
          <w:bCs/>
          <w:spacing w:val="-2"/>
          <w:sz w:val="28"/>
          <w:rtl/>
          <w:lang w:bidi="ar-SY"/>
        </w:rPr>
        <w:t>كَانَ رَسُولُ الله</w:t>
      </w:r>
      <w:r w:rsidR="00F664A6" w:rsidRPr="00F01069">
        <w:rPr>
          <w:rFonts w:ascii="Abo-thar" w:hAnsi="Abo-thar" w:cs="KFGQPC Uthman Taha Naskh" w:hint="cs"/>
          <w:b/>
          <w:bCs/>
          <w:spacing w:val="-2"/>
          <w:sz w:val="28"/>
          <w:rtl/>
          <w:lang w:bidi="ar-SY"/>
        </w:rPr>
        <w:t>ِ</w:t>
      </w:r>
      <w:r w:rsidR="00147857" w:rsidRPr="00F01069">
        <w:rPr>
          <w:rFonts w:ascii="Abo-thar" w:hAnsi="Abo-thar" w:cs="KFGQPC Uthman Taha Naskh"/>
          <w:b/>
          <w:bCs/>
          <w:spacing w:val="-2"/>
          <w:sz w:val="28"/>
          <w:rtl/>
          <w:lang w:bidi="ar-SY"/>
        </w:rPr>
        <w:t xml:space="preserve"> </w:t>
      </w:r>
      <w:r w:rsidR="003C7AEB" w:rsidRPr="00F01069">
        <w:rPr>
          <w:rFonts w:ascii="Abo-thar" w:hAnsi="Abo-thar" w:cs="CTraditional Arabic"/>
          <w:spacing w:val="-2"/>
          <w:sz w:val="28"/>
          <w:rtl/>
          <w:lang w:bidi="ar-SY"/>
        </w:rPr>
        <w:t>ص</w:t>
      </w:r>
      <w:r w:rsidR="00147857" w:rsidRPr="00F01069">
        <w:rPr>
          <w:rFonts w:ascii="Abo-thar" w:hAnsi="Abo-thar" w:cs="KFGQPC Uthman Taha Naskh"/>
          <w:spacing w:val="-2"/>
          <w:sz w:val="28"/>
          <w:rtl/>
          <w:lang w:bidi="ar-SY"/>
        </w:rPr>
        <w:t xml:space="preserve"> </w:t>
      </w:r>
      <w:r w:rsidRPr="00F01069">
        <w:rPr>
          <w:rFonts w:ascii="Abo-thar" w:hAnsi="Abo-thar" w:cs="KFGQPC Uthman Taha Naskh"/>
          <w:b/>
          <w:bCs/>
          <w:spacing w:val="-2"/>
          <w:sz w:val="28"/>
          <w:rtl/>
          <w:lang w:bidi="ar-SY"/>
        </w:rPr>
        <w:t>إِذَا أَتَاهُ المَغْنَمُ أَخَذَ صَفْوَهُ</w:t>
      </w:r>
      <w:r w:rsidR="004A2B58" w:rsidRPr="00F01069">
        <w:rPr>
          <w:rFonts w:ascii="Abo-thar" w:hAnsi="Abo-thar" w:cs="KFGQPC Uthman Taha Naskh"/>
          <w:b/>
          <w:spacing w:val="-2"/>
          <w:sz w:val="28"/>
          <w:vertAlign w:val="superscript"/>
          <w:rtl/>
          <w:lang w:bidi="ar-SY"/>
        </w:rPr>
        <w:t>(</w:t>
      </w:r>
      <w:r w:rsidR="004A2B58" w:rsidRPr="00F01069">
        <w:rPr>
          <w:rStyle w:val="FootnoteReference"/>
          <w:rFonts w:ascii="Abo-thar" w:hAnsi="Abo-thar" w:cs="KFGQPC Uthman Taha Naskh"/>
          <w:b/>
          <w:spacing w:val="-2"/>
          <w:sz w:val="28"/>
          <w:rtl/>
          <w:lang w:bidi="ar-SY"/>
        </w:rPr>
        <w:footnoteReference w:id="75"/>
      </w:r>
      <w:r w:rsidR="004A2B58" w:rsidRPr="00F01069">
        <w:rPr>
          <w:rFonts w:ascii="Abo-thar" w:hAnsi="Abo-thar" w:cs="KFGQPC Uthman Taha Naskh"/>
          <w:b/>
          <w:spacing w:val="-2"/>
          <w:sz w:val="28"/>
          <w:vertAlign w:val="superscript"/>
          <w:rtl/>
          <w:lang w:bidi="ar-SY"/>
        </w:rPr>
        <w:t>)</w:t>
      </w:r>
      <w:r w:rsidRPr="00F01069">
        <w:rPr>
          <w:rFonts w:ascii="Abo-thar" w:hAnsi="Abo-thar" w:cs="KFGQPC Uthman Taha Naskh"/>
          <w:b/>
          <w:bCs/>
          <w:spacing w:val="-2"/>
          <w:sz w:val="28"/>
          <w:rtl/>
          <w:lang w:bidi="ar-SY"/>
        </w:rPr>
        <w:t xml:space="preserve"> وَكَانَ ذَلِكَ لَهُ ثُمَّ يَقْسِمُ مَا بَقِيَ خَمْسَةَ أَخْمَاسٍ ويَأْخُذُ خُمُسَهُ ثُمَّ يَقْسِمُ أَرْبَعَةَ أَخْمَاسٍ بَيْنَ النَّاسِ الَّذِينَ قَاتَلُوا عَلَيْهِ ثُمَّ قَسَمَ الخُمُسَ الَّذِي أَخَذَهُ خَمْسَةَ أَخْمَاسٍ يَأْخُذُ خُمُسَ </w:t>
      </w:r>
      <w:r w:rsidR="00F664A6" w:rsidRPr="00F01069">
        <w:rPr>
          <w:rFonts w:ascii="Abo-thar" w:hAnsi="Abo-thar" w:cs="KFGQPC Uthman Taha Naskh"/>
          <w:b/>
          <w:bCs/>
          <w:spacing w:val="-2"/>
          <w:sz w:val="28"/>
          <w:rtl/>
          <w:lang w:bidi="ar-SY"/>
        </w:rPr>
        <w:t>اللهِ</w:t>
      </w:r>
      <w:r w:rsidRPr="00F01069">
        <w:rPr>
          <w:rFonts w:ascii="Abo-thar" w:hAnsi="Abo-thar" w:cs="KFGQPC Uthman Taha Naskh"/>
          <w:b/>
          <w:bCs/>
          <w:spacing w:val="-2"/>
          <w:sz w:val="28"/>
          <w:rtl/>
          <w:lang w:bidi="ar-SY"/>
        </w:rPr>
        <w:t xml:space="preserve"> عَزَّ وجَلَّ لِنَفْسِهِ ثُمَّ يَقْسِمُ الْأَرْبَعَةَ الْأَخْمَاسَ بَيْنَ ذَوِي الْقُرْبَى والْيَتَامَى والمَسَاكِينِ وأَبْنَاءِ السَّبِيلِ يُعْطِي كُلَّ وَاحِدٍ مِنْهُمْ جَمِيعاً وَكَذَلِكَ الْإِمَامُ يَأْخُذُ كَمَا أَخَذَ رَسُولُ </w:t>
      </w:r>
      <w:r w:rsidRPr="00F01069">
        <w:rPr>
          <w:rFonts w:ascii="Abo-thar" w:hAnsi="Abo-thar" w:cs="KFGQPC Uthman Taha Naskh" w:hint="cs"/>
          <w:b/>
          <w:bCs/>
          <w:spacing w:val="-2"/>
          <w:sz w:val="28"/>
          <w:rtl/>
          <w:lang w:bidi="ar-SY"/>
        </w:rPr>
        <w:t>اللهِ</w:t>
      </w:r>
      <w:r w:rsidR="00147857" w:rsidRPr="00F01069">
        <w:rPr>
          <w:rFonts w:ascii="Abo-thar" w:hAnsi="Abo-thar" w:cs="KFGQPC Uthman Taha Naskh"/>
          <w:spacing w:val="-2"/>
          <w:sz w:val="28"/>
          <w:rtl/>
          <w:lang w:bidi="ar-SY"/>
        </w:rPr>
        <w:t xml:space="preserve"> </w:t>
      </w:r>
      <w:r w:rsidR="003C7AEB" w:rsidRPr="00F01069">
        <w:rPr>
          <w:rFonts w:ascii="Abo-thar" w:hAnsi="Abo-thar" w:cs="CTraditional Arabic"/>
          <w:spacing w:val="-2"/>
          <w:sz w:val="28"/>
          <w:rtl/>
          <w:lang w:bidi="ar-SY"/>
        </w:rPr>
        <w:t>ص</w:t>
      </w:r>
      <w:r w:rsidR="00EF2588" w:rsidRPr="00F01069">
        <w:rPr>
          <w:rFonts w:ascii="Abo-thar" w:hAnsi="Abo-thar" w:cs="KFGQPC Uthman Taha Naskh"/>
          <w:spacing w:val="-2"/>
          <w:sz w:val="28"/>
          <w:rtl/>
          <w:lang w:bidi="ar-SY"/>
        </w:rPr>
        <w:t>»</w:t>
      </w:r>
      <w:r w:rsidR="008862B3" w:rsidRPr="00F01069">
        <w:rPr>
          <w:rFonts w:cs="Arabic11 BT"/>
          <w:b/>
          <w:spacing w:val="-2"/>
          <w:sz w:val="28"/>
          <w:vertAlign w:val="superscript"/>
          <w:rtl/>
          <w:lang w:bidi="ar-SY"/>
        </w:rPr>
        <w:t>(</w:t>
      </w:r>
      <w:r w:rsidR="008862B3" w:rsidRPr="00F01069">
        <w:rPr>
          <w:rStyle w:val="FootnoteReference"/>
          <w:rFonts w:cs="Arabic11 BT"/>
          <w:b/>
          <w:spacing w:val="-2"/>
          <w:sz w:val="28"/>
          <w:rtl/>
          <w:lang w:bidi="ar-SY"/>
        </w:rPr>
        <w:footnoteReference w:id="76"/>
      </w:r>
      <w:r w:rsidR="008862B3" w:rsidRPr="00F01069">
        <w:rPr>
          <w:rFonts w:cs="Arabic11 BT"/>
          <w:b/>
          <w:spacing w:val="-2"/>
          <w:sz w:val="28"/>
          <w:vertAlign w:val="superscript"/>
          <w:rtl/>
          <w:lang w:bidi="ar-SY"/>
        </w:rPr>
        <w:t>)</w:t>
      </w:r>
      <w:r w:rsidR="00217AB4" w:rsidRPr="00F01069">
        <w:rPr>
          <w:rFonts w:ascii="Abo-thar" w:hAnsi="Abo-thar" w:hint="cs"/>
          <w:spacing w:val="-2"/>
          <w:sz w:val="28"/>
          <w:rtl/>
          <w:lang w:bidi="ar-SY"/>
        </w:rPr>
        <w:t>.</w:t>
      </w:r>
    </w:p>
    <w:p w:rsidR="005C664D" w:rsidRPr="003F3B94" w:rsidRDefault="005C664D" w:rsidP="003F3B94">
      <w:pPr>
        <w:pStyle w:val="a0"/>
        <w:rPr>
          <w:rFonts w:hint="cs"/>
          <w:rtl/>
          <w:lang w:bidi="ar-SY"/>
        </w:rPr>
      </w:pPr>
      <w:r w:rsidRPr="003F3B94">
        <w:rPr>
          <w:rFonts w:ascii="Abo-thar" w:hAnsi="Abo-thar" w:hint="cs"/>
          <w:sz w:val="28"/>
          <w:rtl/>
          <w:lang w:bidi="ar-SY"/>
        </w:rPr>
        <w:t xml:space="preserve">في هذا الحديث أيضاً ذُكِر </w:t>
      </w:r>
      <w:r w:rsidRPr="00CE7623">
        <w:rPr>
          <w:rFonts w:ascii="Abo-thar" w:hAnsi="Abo-thar" w:cs="KFGQPC Uthman Taha Naskh" w:hint="cs"/>
          <w:sz w:val="28"/>
          <w:rtl/>
          <w:lang w:bidi="ar-SY"/>
        </w:rPr>
        <w:t>«</w:t>
      </w:r>
      <w:r w:rsidRPr="00CE7623">
        <w:rPr>
          <w:rFonts w:ascii="Abo-thar" w:hAnsi="Abo-thar" w:cs="KFGQPC Uthman Taha Naskh"/>
          <w:b/>
          <w:bCs/>
          <w:sz w:val="28"/>
          <w:rtl/>
          <w:lang w:bidi="ar-SY"/>
        </w:rPr>
        <w:t>اليَتَامَى وَالمَسَاكِين</w:t>
      </w:r>
      <w:r w:rsidRPr="00CE7623">
        <w:rPr>
          <w:rFonts w:ascii="Abo-thar" w:hAnsi="Abo-thar" w:cs="KFGQPC Uthman Taha Naskh" w:hint="cs"/>
          <w:b/>
          <w:bCs/>
          <w:sz w:val="28"/>
          <w:rtl/>
          <w:lang w:bidi="ar-SY"/>
        </w:rPr>
        <w:t>ُ</w:t>
      </w:r>
      <w:r w:rsidRPr="00CE7623">
        <w:rPr>
          <w:rFonts w:ascii="Abo-thar" w:hAnsi="Abo-thar" w:cs="KFGQPC Uthman Taha Naskh"/>
          <w:b/>
          <w:bCs/>
          <w:sz w:val="28"/>
          <w:rtl/>
          <w:lang w:bidi="ar-SY"/>
        </w:rPr>
        <w:t xml:space="preserve"> وَأَبْنَاء</w:t>
      </w:r>
      <w:r w:rsidRPr="00CE7623">
        <w:rPr>
          <w:rFonts w:ascii="Abo-thar" w:hAnsi="Abo-thar" w:cs="KFGQPC Uthman Taha Naskh" w:hint="cs"/>
          <w:b/>
          <w:bCs/>
          <w:sz w:val="28"/>
          <w:rtl/>
          <w:lang w:bidi="ar-SY"/>
        </w:rPr>
        <w:t>ُ</w:t>
      </w:r>
      <w:r w:rsidRPr="00CE7623">
        <w:rPr>
          <w:rFonts w:ascii="Abo-thar" w:hAnsi="Abo-thar" w:cs="KFGQPC Uthman Taha Naskh"/>
          <w:b/>
          <w:bCs/>
          <w:sz w:val="28"/>
          <w:rtl/>
          <w:lang w:bidi="ar-SY"/>
        </w:rPr>
        <w:t xml:space="preserve"> السَّبِيلِ</w:t>
      </w:r>
      <w:r w:rsidRPr="00CE7623">
        <w:rPr>
          <w:rFonts w:ascii="Abo-thar" w:hAnsi="Abo-thar" w:cs="KFGQPC Uthman Taha Naskh" w:hint="cs"/>
          <w:sz w:val="28"/>
          <w:rtl/>
          <w:lang w:bidi="ar-SY"/>
        </w:rPr>
        <w:t>»</w:t>
      </w:r>
      <w:r w:rsidRPr="003F3B94">
        <w:rPr>
          <w:rFonts w:ascii="Abo-thar" w:hAnsi="Abo-thar" w:hint="cs"/>
          <w:sz w:val="28"/>
          <w:rtl/>
          <w:lang w:bidi="ar-SY"/>
        </w:rPr>
        <w:t xml:space="preserve"> دون تقييد بكونهم من قرابة رسول الله فيشملون بعمومهم كل يتامى ومساكين وأبناء سبيل المسلمين عامة</w:t>
      </w:r>
      <w:r w:rsidR="00217AB4" w:rsidRPr="003F3B94">
        <w:rPr>
          <w:rFonts w:ascii="Abo-thar" w:hAnsi="Abo-thar" w:hint="cs"/>
          <w:sz w:val="28"/>
          <w:rtl/>
          <w:lang w:bidi="ar-SY"/>
        </w:rPr>
        <w:t>،</w:t>
      </w:r>
      <w:r w:rsidRPr="003F3B94">
        <w:rPr>
          <w:rFonts w:ascii="Abo-thar" w:hAnsi="Abo-thar" w:hint="cs"/>
          <w:sz w:val="28"/>
          <w:rtl/>
          <w:lang w:bidi="ar-SY"/>
        </w:rPr>
        <w:t xml:space="preserve"> بل حتى كلمة </w:t>
      </w:r>
      <w:r w:rsidRPr="00CE7623">
        <w:rPr>
          <w:rFonts w:ascii="Abo-thar" w:hAnsi="Abo-thar" w:cs="KFGQPC Uthman Taha Naskh" w:hint="cs"/>
          <w:sz w:val="28"/>
          <w:rtl/>
          <w:lang w:bidi="ar-SY"/>
        </w:rPr>
        <w:t>«ذي القُرْبَى»</w:t>
      </w:r>
      <w:r w:rsidRPr="003F3B94">
        <w:rPr>
          <w:rFonts w:ascii="Abo-thar" w:hAnsi="Abo-thar" w:hint="cs"/>
          <w:sz w:val="28"/>
          <w:rtl/>
          <w:lang w:bidi="ar-SY"/>
        </w:rPr>
        <w:t xml:space="preserve"> جاءت مطلقة وغير مقيدة</w:t>
      </w:r>
      <w:r w:rsidR="00217AB4" w:rsidRPr="003F3B94">
        <w:rPr>
          <w:rFonts w:ascii="Abo-thar" w:hAnsi="Abo-thar" w:hint="cs"/>
          <w:sz w:val="28"/>
          <w:rtl/>
          <w:lang w:bidi="ar-SY"/>
        </w:rPr>
        <w:t>.</w:t>
      </w:r>
    </w:p>
    <w:p w:rsidR="005C664D" w:rsidRPr="00995B26" w:rsidRDefault="005C664D" w:rsidP="003F3B94">
      <w:pPr>
        <w:pStyle w:val="a0"/>
        <w:rPr>
          <w:rFonts w:hint="cs"/>
          <w:rtl/>
          <w:lang w:bidi="ar-SY"/>
        </w:rPr>
      </w:pPr>
      <w:r w:rsidRPr="003F3B94">
        <w:rPr>
          <w:rFonts w:ascii="Abo-thar" w:hAnsi="Abo-thar" w:hint="cs"/>
          <w:sz w:val="28"/>
          <w:rtl/>
          <w:lang w:bidi="ar-SY"/>
        </w:rPr>
        <w:t>7</w:t>
      </w:r>
      <w:r w:rsidR="00217AB4" w:rsidRPr="003F3B94">
        <w:rPr>
          <w:rFonts w:ascii="Abo-thar" w:hAnsi="Abo-thar" w:hint="cs"/>
          <w:sz w:val="28"/>
          <w:rtl/>
          <w:lang w:bidi="ar-SY"/>
        </w:rPr>
        <w:t>-</w:t>
      </w:r>
      <w:r w:rsidRPr="003F3B94">
        <w:rPr>
          <w:rFonts w:ascii="Abo-thar" w:hAnsi="Abo-thar" w:hint="cs"/>
          <w:sz w:val="28"/>
          <w:rtl/>
          <w:lang w:bidi="ar-SY"/>
        </w:rPr>
        <w:t xml:space="preserve"> </w:t>
      </w:r>
      <w:r w:rsidR="00F664A6" w:rsidRPr="003F3B94">
        <w:rPr>
          <w:rFonts w:ascii="Abo-thar" w:hAnsi="Abo-thar" w:hint="cs"/>
          <w:sz w:val="28"/>
          <w:rtl/>
          <w:lang w:bidi="ar-SY"/>
        </w:rPr>
        <w:t>و</w:t>
      </w:r>
      <w:r w:rsidRPr="003F3B94">
        <w:rPr>
          <w:rFonts w:ascii="Abo-thar" w:hAnsi="Abo-thar" w:hint="cs"/>
          <w:sz w:val="28"/>
          <w:rtl/>
          <w:lang w:bidi="ar-SY"/>
        </w:rPr>
        <w:t xml:space="preserve">قال الإمام الرضا </w:t>
      </w:r>
      <w:r w:rsidR="00BC4BA9" w:rsidRPr="00BC4BA9">
        <w:rPr>
          <w:rFonts w:ascii="Abo-thar" w:hAnsi="Abo-thar" w:cs="CTraditional Arabic" w:hint="cs"/>
          <w:sz w:val="28"/>
          <w:rtl/>
          <w:lang w:bidi="ar-SY"/>
        </w:rPr>
        <w:t>÷</w:t>
      </w:r>
      <w:r w:rsidRPr="003F3B94">
        <w:rPr>
          <w:rFonts w:ascii="Abo-thar" w:hAnsi="Abo-thar" w:hint="cs"/>
          <w:sz w:val="28"/>
          <w:rtl/>
          <w:lang w:bidi="ar-SY"/>
        </w:rPr>
        <w:t xml:space="preserve"> ضمن مناظرة بينه وبين العلماء</w:t>
      </w:r>
      <w:r w:rsidR="00217AB4" w:rsidRPr="003F3B94">
        <w:rPr>
          <w:rFonts w:ascii="Abo-thar" w:hAnsi="Abo-thar" w:hint="cs"/>
          <w:sz w:val="28"/>
          <w:rtl/>
          <w:lang w:bidi="ar-SY"/>
        </w:rPr>
        <w:t>،</w:t>
      </w:r>
      <w:r w:rsidRPr="003F3B94">
        <w:rPr>
          <w:rFonts w:ascii="Abo-thar" w:hAnsi="Abo-thar" w:hint="cs"/>
          <w:sz w:val="28"/>
          <w:rtl/>
          <w:lang w:bidi="ar-SY"/>
        </w:rPr>
        <w:t xml:space="preserve"> شارحاً آية</w:t>
      </w:r>
      <w:r w:rsidR="00685363" w:rsidRPr="003F3B94">
        <w:rPr>
          <w:rFonts w:ascii="Abo-thar" w:hAnsi="Abo-thar" w:hint="cs"/>
          <w:sz w:val="28"/>
          <w:rtl/>
          <w:lang w:bidi="ar-SY"/>
        </w:rPr>
        <w:t xml:space="preserve">: </w:t>
      </w:r>
      <w:r w:rsidR="00685363" w:rsidRPr="00995B26">
        <w:rPr>
          <w:rFonts w:ascii="Abo-thar" w:hAnsi="Abo-thar" w:cs="Traditional Arabic" w:hint="cs"/>
          <w:sz w:val="28"/>
          <w:rtl/>
          <w:lang w:bidi="ar-SY"/>
        </w:rPr>
        <w:t>﴿</w:t>
      </w:r>
      <w:r w:rsidR="00685363" w:rsidRPr="0067048A">
        <w:rPr>
          <w:rStyle w:val="Char3"/>
          <w:rFonts w:hint="eastAsia"/>
          <w:rtl/>
        </w:rPr>
        <w:t>وَ</w:t>
      </w:r>
      <w:r w:rsidR="00685363" w:rsidRPr="0067048A">
        <w:rPr>
          <w:rStyle w:val="Char3"/>
          <w:rFonts w:hint="cs"/>
          <w:rtl/>
        </w:rPr>
        <w:t>ٱ</w:t>
      </w:r>
      <w:r w:rsidR="00685363" w:rsidRPr="0067048A">
        <w:rPr>
          <w:rStyle w:val="Char3"/>
          <w:rFonts w:hint="eastAsia"/>
          <w:rtl/>
        </w:rPr>
        <w:t>ع</w:t>
      </w:r>
      <w:r w:rsidR="00685363" w:rsidRPr="0067048A">
        <w:rPr>
          <w:rStyle w:val="Char3"/>
          <w:rFonts w:hint="cs"/>
          <w:rtl/>
        </w:rPr>
        <w:t>ۡ</w:t>
      </w:r>
      <w:r w:rsidR="00685363" w:rsidRPr="0067048A">
        <w:rPr>
          <w:rStyle w:val="Char3"/>
          <w:rFonts w:hint="eastAsia"/>
          <w:rtl/>
        </w:rPr>
        <w:t>لَمُو</w:t>
      </w:r>
      <w:r w:rsidR="00685363" w:rsidRPr="0067048A">
        <w:rPr>
          <w:rStyle w:val="Char3"/>
          <w:rFonts w:hint="cs"/>
          <w:rtl/>
        </w:rPr>
        <w:t>ٓ</w:t>
      </w:r>
      <w:r w:rsidR="00685363" w:rsidRPr="0067048A">
        <w:rPr>
          <w:rStyle w:val="Char3"/>
          <w:rFonts w:hint="eastAsia"/>
          <w:rtl/>
        </w:rPr>
        <w:t>اْ</w:t>
      </w:r>
      <w:r w:rsidR="00685363" w:rsidRPr="0067048A">
        <w:rPr>
          <w:rStyle w:val="Char3"/>
          <w:rtl/>
        </w:rPr>
        <w:t xml:space="preserve"> </w:t>
      </w:r>
      <w:r w:rsidR="00685363" w:rsidRPr="0067048A">
        <w:rPr>
          <w:rStyle w:val="Char3"/>
          <w:rFonts w:hint="eastAsia"/>
          <w:rtl/>
        </w:rPr>
        <w:t>أَنَّمَا</w:t>
      </w:r>
      <w:r w:rsidR="00685363" w:rsidRPr="0067048A">
        <w:rPr>
          <w:rStyle w:val="Char3"/>
          <w:rtl/>
        </w:rPr>
        <w:t xml:space="preserve"> </w:t>
      </w:r>
      <w:r w:rsidR="00685363" w:rsidRPr="0067048A">
        <w:rPr>
          <w:rStyle w:val="Char3"/>
          <w:rFonts w:hint="eastAsia"/>
          <w:rtl/>
        </w:rPr>
        <w:t>غَنِم</w:t>
      </w:r>
      <w:r w:rsidR="00685363" w:rsidRPr="0067048A">
        <w:rPr>
          <w:rStyle w:val="Char3"/>
          <w:rFonts w:hint="cs"/>
          <w:rtl/>
        </w:rPr>
        <w:t>ۡ</w:t>
      </w:r>
      <w:r w:rsidR="00685363" w:rsidRPr="0067048A">
        <w:rPr>
          <w:rStyle w:val="Char3"/>
          <w:rFonts w:hint="eastAsia"/>
          <w:rtl/>
        </w:rPr>
        <w:t>تُم</w:t>
      </w:r>
      <w:r w:rsidR="00685363" w:rsidRPr="0067048A">
        <w:rPr>
          <w:rStyle w:val="Char3"/>
          <w:rtl/>
        </w:rPr>
        <w:t xml:space="preserve"> </w:t>
      </w:r>
      <w:r w:rsidR="00685363" w:rsidRPr="0067048A">
        <w:rPr>
          <w:rStyle w:val="Char3"/>
          <w:rFonts w:hint="eastAsia"/>
          <w:rtl/>
        </w:rPr>
        <w:t>مِّن</w:t>
      </w:r>
      <w:r w:rsidR="00685363" w:rsidRPr="0067048A">
        <w:rPr>
          <w:rStyle w:val="Char3"/>
          <w:rtl/>
        </w:rPr>
        <w:t xml:space="preserve"> </w:t>
      </w:r>
      <w:r w:rsidR="00685363" w:rsidRPr="0067048A">
        <w:rPr>
          <w:rStyle w:val="Char3"/>
          <w:rFonts w:hint="eastAsia"/>
          <w:rtl/>
        </w:rPr>
        <w:t>شَي</w:t>
      </w:r>
      <w:r w:rsidR="00685363" w:rsidRPr="0067048A">
        <w:rPr>
          <w:rStyle w:val="Char3"/>
          <w:rFonts w:hint="cs"/>
          <w:rtl/>
        </w:rPr>
        <w:t>ۡ</w:t>
      </w:r>
      <w:r w:rsidR="00685363" w:rsidRPr="0067048A">
        <w:rPr>
          <w:rStyle w:val="Char3"/>
          <w:rFonts w:hint="eastAsia"/>
          <w:rtl/>
        </w:rPr>
        <w:t>ء</w:t>
      </w:r>
      <w:r w:rsidR="00685363" w:rsidRPr="0067048A">
        <w:rPr>
          <w:rStyle w:val="Char3"/>
          <w:rFonts w:hint="cs"/>
          <w:rtl/>
        </w:rPr>
        <w:t>ٖ</w:t>
      </w:r>
      <w:r w:rsidR="00685363" w:rsidRPr="00995B26">
        <w:rPr>
          <w:rFonts w:ascii="KFGQPC Uthmanic Script HAFS" w:cs="Times New Roman" w:hint="cs"/>
          <w:sz w:val="28"/>
          <w:rtl/>
        </w:rPr>
        <w:t>...</w:t>
      </w:r>
      <w:r w:rsidR="00685363" w:rsidRPr="00995B26">
        <w:rPr>
          <w:rFonts w:ascii="Abo-thar" w:hAnsi="Abo-thar" w:cs="Traditional Arabic" w:hint="cs"/>
          <w:sz w:val="28"/>
          <w:rtl/>
          <w:lang w:bidi="ar-SY"/>
        </w:rPr>
        <w:t>﴾</w:t>
      </w:r>
      <w:r w:rsidRPr="00995B26">
        <w:rPr>
          <w:rFonts w:ascii="Abo-thar" w:hAnsi="Abo-thar" w:hint="cs"/>
          <w:sz w:val="28"/>
          <w:rtl/>
          <w:lang w:bidi="ar-SY"/>
        </w:rPr>
        <w:t xml:space="preserve"> </w:t>
      </w:r>
      <w:r w:rsidRPr="003108CB">
        <w:rPr>
          <w:rStyle w:val="Char2"/>
          <w:rtl/>
        </w:rPr>
        <w:t>[الأنفال</w:t>
      </w:r>
      <w:r w:rsidR="005B20E7" w:rsidRPr="003108CB">
        <w:rPr>
          <w:rStyle w:val="Char2"/>
          <w:rFonts w:hint="cs"/>
          <w:rtl/>
        </w:rPr>
        <w:t>:</w:t>
      </w:r>
      <w:r w:rsidRPr="003108CB">
        <w:rPr>
          <w:rStyle w:val="Char2"/>
          <w:rtl/>
        </w:rPr>
        <w:t>41]</w:t>
      </w:r>
      <w:r w:rsidR="00217AB4" w:rsidRPr="00995B26">
        <w:rPr>
          <w:rFonts w:ascii="Abo-thar" w:hAnsi="Abo-thar" w:hint="cs"/>
          <w:sz w:val="28"/>
          <w:rtl/>
          <w:lang w:bidi="ar-SY"/>
        </w:rPr>
        <w:t>:</w:t>
      </w:r>
      <w:r w:rsidRPr="00995B26">
        <w:rPr>
          <w:rFonts w:ascii="Abo-thar" w:hAnsi="Abo-thar" w:hint="cs"/>
          <w:sz w:val="28"/>
          <w:rtl/>
          <w:lang w:bidi="ar-SY"/>
        </w:rPr>
        <w:t xml:space="preserve"> </w:t>
      </w:r>
      <w:r w:rsidR="00EF2588" w:rsidRPr="00CE7623">
        <w:rPr>
          <w:rFonts w:ascii="Abo-thar" w:hAnsi="Abo-thar" w:cs="KFGQPC Uthman Taha Naskh" w:hint="cs"/>
          <w:sz w:val="28"/>
          <w:rtl/>
          <w:lang w:bidi="ar-SY"/>
        </w:rPr>
        <w:t>«</w:t>
      </w:r>
      <w:r w:rsidR="00F664A6" w:rsidRPr="00CE7623">
        <w:rPr>
          <w:rFonts w:ascii="Abo-thar" w:hAnsi="Abo-thar" w:cs="KFGQPC Uthman Taha Naskh"/>
          <w:b/>
          <w:bCs/>
          <w:sz w:val="28"/>
          <w:rtl/>
          <w:lang w:bidi="ar-SY"/>
        </w:rPr>
        <w:t>و</w:t>
      </w:r>
      <w:r w:rsidRPr="00CE7623">
        <w:rPr>
          <w:rFonts w:ascii="Abo-thar" w:hAnsi="Abo-thar" w:cs="KFGQPC Uthman Taha Naskh"/>
          <w:b/>
          <w:bCs/>
          <w:sz w:val="28"/>
          <w:rtl/>
          <w:lang w:bidi="ar-SY"/>
        </w:rPr>
        <w:t>أما قوله وَالْيَتامى‏ وَالمَساكِينِ فإن اليتيم إذا انقطع يتمه خرج من‏الغنائم ولم يكن له فيها نصيب وكذلك المسكين إذا انقطعت مسكنته لم يكن له نصيب من المغنم ولا يحل له أخذه</w:t>
      </w:r>
      <w:r w:rsidR="00217AB4" w:rsidRPr="00CE7623">
        <w:rPr>
          <w:rFonts w:ascii="Abo-thar" w:hAnsi="Abo-thar" w:cs="KFGQPC Uthman Taha Naskh" w:hint="cs"/>
          <w:b/>
          <w:bCs/>
          <w:sz w:val="28"/>
          <w:rtl/>
          <w:lang w:bidi="ar-SY"/>
        </w:rPr>
        <w:t>..</w:t>
      </w:r>
      <w:r w:rsidR="00EF2588" w:rsidRPr="00CE7623">
        <w:rPr>
          <w:rFonts w:ascii="Abo-thar" w:hAnsi="Abo-thar" w:cs="KFGQPC Uthman Taha Naskh" w:hint="cs"/>
          <w:sz w:val="28"/>
          <w:rtl/>
          <w:lang w:bidi="ar-SY"/>
        </w:rPr>
        <w:t>»</w:t>
      </w:r>
      <w:r w:rsidR="00F664A6" w:rsidRPr="0021507A">
        <w:rPr>
          <w:rFonts w:cs="Arabic11 BT"/>
          <w:b/>
          <w:sz w:val="28"/>
          <w:vertAlign w:val="superscript"/>
          <w:rtl/>
          <w:lang w:bidi="ar-SY"/>
        </w:rPr>
        <w:t>(</w:t>
      </w:r>
      <w:r w:rsidR="00F664A6" w:rsidRPr="0021507A">
        <w:rPr>
          <w:rStyle w:val="FootnoteReference"/>
          <w:rFonts w:cs="Arabic11 BT"/>
          <w:b/>
          <w:sz w:val="28"/>
          <w:rtl/>
          <w:lang w:bidi="ar-SY"/>
        </w:rPr>
        <w:footnoteReference w:id="77"/>
      </w:r>
      <w:r w:rsidR="00F664A6" w:rsidRPr="0021507A">
        <w:rPr>
          <w:rFonts w:cs="Arabic11 BT"/>
          <w:b/>
          <w:sz w:val="28"/>
          <w:vertAlign w:val="superscript"/>
          <w:rtl/>
          <w:lang w:bidi="ar-SY"/>
        </w:rPr>
        <w:t>)</w:t>
      </w:r>
      <w:r w:rsidR="00217AB4" w:rsidRPr="00995B26">
        <w:rPr>
          <w:rFonts w:ascii="Abo-thar" w:hAnsi="Abo-thar" w:hint="cs"/>
          <w:sz w:val="28"/>
          <w:rtl/>
          <w:lang w:bidi="ar-SY"/>
        </w:rPr>
        <w:t>.</w:t>
      </w:r>
    </w:p>
    <w:p w:rsidR="005C664D" w:rsidRPr="003F3B94" w:rsidRDefault="005C664D" w:rsidP="003F3B94">
      <w:pPr>
        <w:pStyle w:val="a0"/>
        <w:rPr>
          <w:rFonts w:hint="cs"/>
          <w:rtl/>
          <w:lang w:bidi="ar-SY"/>
        </w:rPr>
      </w:pPr>
      <w:r w:rsidRPr="003F3B94">
        <w:rPr>
          <w:rFonts w:ascii="Abo-thar" w:hAnsi="Abo-thar" w:hint="cs"/>
          <w:sz w:val="28"/>
          <w:rtl/>
          <w:lang w:bidi="ar-SY"/>
        </w:rPr>
        <w:t>ففي هذا الحديث ذكر الإمام اليتامى والمساكين بشكل مطلق دون قيد مما يبين شمولهما لكل اليتامى والمساكين من المسلمين أيَّاً كان نسبهم</w:t>
      </w:r>
      <w:r w:rsidR="00217AB4" w:rsidRPr="003F3B94">
        <w:rPr>
          <w:rFonts w:ascii="Abo-thar" w:hAnsi="Abo-thar" w:hint="cs"/>
          <w:sz w:val="28"/>
          <w:rtl/>
          <w:lang w:bidi="ar-SY"/>
        </w:rPr>
        <w:t>.</w:t>
      </w:r>
      <w:r w:rsidR="00147857" w:rsidRPr="003F3B94">
        <w:rPr>
          <w:rFonts w:ascii="Abo-thar" w:hAnsi="Abo-thar" w:hint="cs"/>
          <w:sz w:val="28"/>
          <w:rtl/>
          <w:lang w:bidi="ar-SY"/>
        </w:rPr>
        <w:t xml:space="preserve"> </w:t>
      </w:r>
    </w:p>
    <w:p w:rsidR="005C664D" w:rsidRPr="00995B26" w:rsidRDefault="005C664D" w:rsidP="003F3B94">
      <w:pPr>
        <w:pStyle w:val="a0"/>
        <w:rPr>
          <w:rtl/>
          <w:lang w:bidi="ar-SY"/>
        </w:rPr>
      </w:pPr>
      <w:r w:rsidRPr="003F3B94">
        <w:rPr>
          <w:rFonts w:ascii="Abo-thar" w:hAnsi="Abo-thar" w:hint="cs"/>
          <w:sz w:val="28"/>
          <w:rtl/>
          <w:lang w:bidi="ar-SY"/>
        </w:rPr>
        <w:t>8</w:t>
      </w:r>
      <w:r w:rsidR="00217AB4" w:rsidRPr="003F3B94">
        <w:rPr>
          <w:rFonts w:ascii="Abo-thar" w:hAnsi="Abo-thar" w:hint="cs"/>
          <w:sz w:val="28"/>
          <w:rtl/>
          <w:lang w:bidi="ar-SY"/>
        </w:rPr>
        <w:t>-</w:t>
      </w:r>
      <w:r w:rsidRPr="003F3B94">
        <w:rPr>
          <w:rFonts w:ascii="Abo-thar" w:hAnsi="Abo-thar" w:hint="cs"/>
          <w:sz w:val="28"/>
          <w:rtl/>
          <w:lang w:bidi="ar-SY"/>
        </w:rPr>
        <w:t xml:space="preserve"> وأيضاً روى الصدوق </w:t>
      </w:r>
      <w:r w:rsidR="00F664A6" w:rsidRPr="003F3B94">
        <w:rPr>
          <w:rFonts w:ascii="Abo-thar" w:hAnsi="Abo-thar" w:hint="cs"/>
          <w:sz w:val="28"/>
          <w:rtl/>
          <w:lang w:bidi="ar-SY"/>
        </w:rPr>
        <w:t xml:space="preserve">أيضًا </w:t>
      </w:r>
      <w:r w:rsidRPr="003F3B94">
        <w:rPr>
          <w:rFonts w:ascii="Abo-thar" w:hAnsi="Abo-thar" w:hint="cs"/>
          <w:sz w:val="28"/>
          <w:rtl/>
          <w:lang w:bidi="ar-SY"/>
        </w:rPr>
        <w:t xml:space="preserve">بسنده إلى </w:t>
      </w:r>
      <w:r w:rsidRPr="003F3B94">
        <w:rPr>
          <w:rFonts w:ascii="Abo-thar" w:hAnsi="Abo-thar"/>
          <w:sz w:val="28"/>
          <w:rtl/>
          <w:lang w:bidi="ar-SY"/>
        </w:rPr>
        <w:t>علي بن إبراهيم بن هاشم</w:t>
      </w:r>
      <w:r w:rsidRPr="003F3B94">
        <w:rPr>
          <w:rFonts w:ascii="Abo-thar" w:hAnsi="Abo-thar" w:hint="cs"/>
          <w:sz w:val="28"/>
          <w:rtl/>
          <w:lang w:bidi="ar-SY"/>
        </w:rPr>
        <w:t xml:space="preserve"> عَنْ أَبيهِ</w:t>
      </w:r>
      <w:r w:rsidR="00217AB4" w:rsidRPr="003F3B94">
        <w:rPr>
          <w:rFonts w:ascii="Abo-thar" w:hAnsi="Abo-thar" w:hint="cs"/>
          <w:sz w:val="28"/>
          <w:rtl/>
          <w:lang w:bidi="ar-SY"/>
        </w:rPr>
        <w:t>:</w:t>
      </w:r>
      <w:r w:rsidRPr="003F3B94">
        <w:rPr>
          <w:rFonts w:ascii="Abo-thar" w:hAnsi="Abo-thar" w:hint="cs"/>
          <w:sz w:val="28"/>
          <w:rtl/>
          <w:lang w:bidi="ar-SY"/>
        </w:rPr>
        <w:t xml:space="preserve"> </w:t>
      </w:r>
      <w:r w:rsidR="00EF2588" w:rsidRPr="00CE7623">
        <w:rPr>
          <w:rFonts w:ascii="Abo-thar" w:hAnsi="Abo-thar" w:cs="KFGQPC Uthman Taha Naskh" w:hint="cs"/>
          <w:sz w:val="28"/>
          <w:rtl/>
          <w:lang w:bidi="ar-SY"/>
        </w:rPr>
        <w:t>«</w:t>
      </w:r>
      <w:r w:rsidRPr="00CE7623">
        <w:rPr>
          <w:rFonts w:ascii="Abo-thar" w:hAnsi="Abo-thar" w:cs="KFGQPC Uthman Taha Naskh"/>
          <w:b/>
          <w:bCs/>
          <w:sz w:val="28"/>
          <w:rtl/>
          <w:lang w:bidi="ar-SY"/>
        </w:rPr>
        <w:t>عَنْ مُحَمَّدِ بْنِ سِنَانٍ قَالَ</w:t>
      </w:r>
      <w:r w:rsidR="00217AB4" w:rsidRPr="00CE7623">
        <w:rPr>
          <w:rFonts w:ascii="Abo-thar" w:hAnsi="Abo-thar" w:cs="KFGQPC Uthman Taha Naskh" w:hint="cs"/>
          <w:b/>
          <w:bCs/>
          <w:sz w:val="28"/>
          <w:rtl/>
          <w:lang w:bidi="ar-SY"/>
        </w:rPr>
        <w:t>:</w:t>
      </w:r>
      <w:r w:rsidRPr="00CE7623">
        <w:rPr>
          <w:rFonts w:ascii="Abo-thar" w:hAnsi="Abo-thar" w:cs="KFGQPC Uthman Taha Naskh"/>
          <w:b/>
          <w:bCs/>
          <w:sz w:val="28"/>
          <w:rtl/>
          <w:lang w:bidi="ar-SY"/>
        </w:rPr>
        <w:t xml:space="preserve"> كُنْتُ عِنْدَ مَوْلَايَ الرِّضَا </w:t>
      </w:r>
      <w:r w:rsidR="00BC4BA9" w:rsidRPr="00BC4BA9">
        <w:rPr>
          <w:rFonts w:ascii="Abo-thar" w:hAnsi="Abo-thar" w:cs="CTraditional Arabic" w:hint="cs"/>
          <w:b/>
          <w:sz w:val="28"/>
          <w:rtl/>
          <w:lang w:bidi="ar-SY"/>
        </w:rPr>
        <w:t>÷</w:t>
      </w:r>
      <w:r w:rsidRPr="00CE7623">
        <w:rPr>
          <w:rFonts w:ascii="Abo-thar" w:hAnsi="Abo-thar" w:cs="KFGQPC Uthman Taha Naskh"/>
          <w:b/>
          <w:bCs/>
          <w:sz w:val="28"/>
          <w:rtl/>
          <w:lang w:bidi="ar-SY"/>
        </w:rPr>
        <w:t xml:space="preserve"> بِخُرَاسَانَ وكَانَ المَأْمُونُ يُقْعِدُهُ عَلَى يَمِينِهِ إِذَا قَعَدَ لِلنَّاسِ يَوْمَ الْإِثْنَيْنِ ويَوْمَ الخَمِيسِ فَرُفِعَ إِلَى المَأْمُونِ أَنَّ رَجُلًا مِنَ الصُّوفِيَّةِ سَرَقَ فَأَمَرَ بِإِحْضَارِهِ فَلَمَّا نَظَرَ إِلَيْهِ وَجَدَهُ مُتَقَشِّفاً بَيْنَ عَيْنَيْهِ أَثَرُ السُّجُودِ فَقَالَ سَوْأَةٌ لِهَذِهِ الْآثَارِ الجَمِيلَةِ ولِهَذَا الْفِعْلِ الْقَبِيحِ أَتُنْسَبُ إِلَى السَّرِقَةِ مَعَ مَا أَرَى مِنْ جَمِيلِ آثَارِكَ وظَاهِرِكَ</w:t>
      </w:r>
      <w:r w:rsidR="00217AB4" w:rsidRPr="00CE7623">
        <w:rPr>
          <w:rFonts w:ascii="Abo-thar" w:hAnsi="Abo-thar" w:cs="KFGQPC Uthman Taha Naskh" w:hint="cs"/>
          <w:b/>
          <w:bCs/>
          <w:sz w:val="28"/>
          <w:rtl/>
          <w:lang w:bidi="ar-SY"/>
        </w:rPr>
        <w:t>؟؟</w:t>
      </w:r>
      <w:r w:rsidRPr="00CE7623">
        <w:rPr>
          <w:rFonts w:ascii="Abo-thar" w:hAnsi="Abo-thar" w:cs="KFGQPC Uthman Taha Naskh"/>
          <w:b/>
          <w:bCs/>
          <w:sz w:val="28"/>
          <w:rtl/>
          <w:lang w:bidi="ar-SY"/>
        </w:rPr>
        <w:t xml:space="preserve"> قَالَ فَعَلْتُ ذَلِكَ اضْطِرَاراً لَا اخْتِيَاراً حِينَ مَنَعْتَنِي حَقِّي مِنَ الخُمُسِ وَالْفَيْ‏ءِ</w:t>
      </w:r>
      <w:r w:rsidR="00217AB4" w:rsidRPr="00CE7623">
        <w:rPr>
          <w:rFonts w:ascii="Abo-thar" w:hAnsi="Abo-thar" w:cs="KFGQPC Uthman Taha Naskh" w:hint="cs"/>
          <w:b/>
          <w:bCs/>
          <w:sz w:val="28"/>
          <w:rtl/>
          <w:lang w:bidi="ar-SY"/>
        </w:rPr>
        <w:t>!</w:t>
      </w:r>
      <w:r w:rsidRPr="00CE7623">
        <w:rPr>
          <w:rFonts w:ascii="Abo-thar" w:hAnsi="Abo-thar" w:cs="KFGQPC Uthman Taha Naskh"/>
          <w:b/>
          <w:bCs/>
          <w:sz w:val="28"/>
          <w:rtl/>
          <w:lang w:bidi="ar-SY"/>
        </w:rPr>
        <w:t xml:space="preserve"> فَقَالَ المَأْمُونُ</w:t>
      </w:r>
      <w:r w:rsidR="00217AB4" w:rsidRPr="00CE7623">
        <w:rPr>
          <w:rFonts w:ascii="Abo-thar" w:hAnsi="Abo-thar" w:cs="KFGQPC Uthman Taha Naskh" w:hint="cs"/>
          <w:b/>
          <w:bCs/>
          <w:sz w:val="28"/>
          <w:rtl/>
          <w:lang w:bidi="ar-SY"/>
        </w:rPr>
        <w:t>:</w:t>
      </w:r>
      <w:r w:rsidRPr="00CE7623">
        <w:rPr>
          <w:rFonts w:ascii="Abo-thar" w:hAnsi="Abo-thar" w:cs="KFGQPC Uthman Taha Naskh"/>
          <w:b/>
          <w:bCs/>
          <w:sz w:val="28"/>
          <w:rtl/>
          <w:lang w:bidi="ar-SY"/>
        </w:rPr>
        <w:t xml:space="preserve"> وَأَيُّ حَقٍّ لَكَ فِي الخُمُسِ والْفَيْ‏ءِ</w:t>
      </w:r>
      <w:r w:rsidR="00217AB4" w:rsidRPr="00CE7623">
        <w:rPr>
          <w:rFonts w:ascii="Abo-thar" w:hAnsi="Abo-thar" w:cs="KFGQPC Uthman Taha Naskh" w:hint="cs"/>
          <w:b/>
          <w:bCs/>
          <w:sz w:val="28"/>
          <w:rtl/>
          <w:lang w:bidi="ar-SY"/>
        </w:rPr>
        <w:t>؟؟</w:t>
      </w:r>
      <w:r w:rsidRPr="00CE7623">
        <w:rPr>
          <w:rFonts w:ascii="Abo-thar" w:hAnsi="Abo-thar" w:cs="KFGQPC Uthman Taha Naskh"/>
          <w:b/>
          <w:bCs/>
          <w:sz w:val="28"/>
          <w:rtl/>
          <w:lang w:bidi="ar-SY"/>
        </w:rPr>
        <w:t xml:space="preserve"> قَالَ</w:t>
      </w:r>
      <w:r w:rsidR="00217AB4" w:rsidRPr="00CE7623">
        <w:rPr>
          <w:rFonts w:ascii="Abo-thar" w:hAnsi="Abo-thar" w:cs="KFGQPC Uthman Taha Naskh" w:hint="cs"/>
          <w:b/>
          <w:bCs/>
          <w:sz w:val="28"/>
          <w:rtl/>
          <w:lang w:bidi="ar-SY"/>
        </w:rPr>
        <w:t>:</w:t>
      </w:r>
      <w:r w:rsidRPr="00CE7623">
        <w:rPr>
          <w:rFonts w:ascii="Abo-thar" w:hAnsi="Abo-thar" w:cs="KFGQPC Uthman Taha Naskh"/>
          <w:b/>
          <w:bCs/>
          <w:sz w:val="28"/>
          <w:rtl/>
          <w:lang w:bidi="ar-SY"/>
        </w:rPr>
        <w:t xml:space="preserve"> إِنَّ اللهَ عَزَّ وجَلَّ قَسَمَ الخُمُسَ سِتَّةَ أَقْسَامٍ وَقَالَ</w:t>
      </w:r>
      <w:r w:rsidR="00217AB4" w:rsidRPr="00CE7623">
        <w:rPr>
          <w:rFonts w:ascii="Abo-thar" w:hAnsi="Abo-thar" w:cs="KFGQPC Uthman Taha Naskh" w:hint="cs"/>
          <w:b/>
          <w:bCs/>
          <w:sz w:val="28"/>
          <w:rtl/>
          <w:lang w:bidi="ar-SY"/>
        </w:rPr>
        <w:t>:</w:t>
      </w:r>
      <w:r w:rsidR="00685363" w:rsidRPr="003F3B94">
        <w:rPr>
          <w:rFonts w:ascii="Abo-thar" w:hAnsi="Abo-thar" w:hint="cs"/>
          <w:b/>
          <w:bCs/>
          <w:sz w:val="28"/>
          <w:rtl/>
          <w:lang w:bidi="ar-SY"/>
        </w:rPr>
        <w:t xml:space="preserve"> </w:t>
      </w:r>
      <w:r w:rsidR="00685363" w:rsidRPr="00995B26">
        <w:rPr>
          <w:rFonts w:ascii="Abo-thar" w:hAnsi="Abo-thar" w:cs="Traditional Arabic" w:hint="cs"/>
          <w:sz w:val="28"/>
          <w:rtl/>
          <w:lang w:bidi="ar-SY"/>
        </w:rPr>
        <w:t>﴿</w:t>
      </w:r>
      <w:r w:rsidR="00685363" w:rsidRPr="0067048A">
        <w:rPr>
          <w:rStyle w:val="Char3"/>
          <w:rFonts w:hint="eastAsia"/>
          <w:rtl/>
        </w:rPr>
        <w:t>وَ</w:t>
      </w:r>
      <w:r w:rsidR="00685363" w:rsidRPr="0067048A">
        <w:rPr>
          <w:rStyle w:val="Char3"/>
          <w:rFonts w:hint="cs"/>
          <w:rtl/>
        </w:rPr>
        <w:t>ٱ</w:t>
      </w:r>
      <w:r w:rsidR="00685363" w:rsidRPr="0067048A">
        <w:rPr>
          <w:rStyle w:val="Char3"/>
          <w:rFonts w:hint="eastAsia"/>
          <w:rtl/>
        </w:rPr>
        <w:t>ع</w:t>
      </w:r>
      <w:r w:rsidR="00685363" w:rsidRPr="0067048A">
        <w:rPr>
          <w:rStyle w:val="Char3"/>
          <w:rFonts w:hint="cs"/>
          <w:rtl/>
        </w:rPr>
        <w:t>ۡ</w:t>
      </w:r>
      <w:r w:rsidR="00685363" w:rsidRPr="0067048A">
        <w:rPr>
          <w:rStyle w:val="Char3"/>
          <w:rFonts w:hint="eastAsia"/>
          <w:rtl/>
        </w:rPr>
        <w:t>لَمُو</w:t>
      </w:r>
      <w:r w:rsidR="00685363" w:rsidRPr="0067048A">
        <w:rPr>
          <w:rStyle w:val="Char3"/>
          <w:rFonts w:hint="cs"/>
          <w:rtl/>
        </w:rPr>
        <w:t>ٓ</w:t>
      </w:r>
      <w:r w:rsidR="00685363" w:rsidRPr="0067048A">
        <w:rPr>
          <w:rStyle w:val="Char3"/>
          <w:rFonts w:hint="eastAsia"/>
          <w:rtl/>
        </w:rPr>
        <w:t>اْ</w:t>
      </w:r>
      <w:r w:rsidR="00685363" w:rsidRPr="0067048A">
        <w:rPr>
          <w:rStyle w:val="Char3"/>
          <w:rtl/>
        </w:rPr>
        <w:t xml:space="preserve"> </w:t>
      </w:r>
      <w:r w:rsidR="00685363" w:rsidRPr="0067048A">
        <w:rPr>
          <w:rStyle w:val="Char3"/>
          <w:rFonts w:hint="eastAsia"/>
          <w:rtl/>
        </w:rPr>
        <w:t>أَنَّمَا</w:t>
      </w:r>
      <w:r w:rsidR="00685363" w:rsidRPr="0067048A">
        <w:rPr>
          <w:rStyle w:val="Char3"/>
          <w:rtl/>
        </w:rPr>
        <w:t xml:space="preserve"> </w:t>
      </w:r>
      <w:r w:rsidR="00685363" w:rsidRPr="0067048A">
        <w:rPr>
          <w:rStyle w:val="Char3"/>
          <w:rFonts w:hint="eastAsia"/>
          <w:rtl/>
        </w:rPr>
        <w:t>غَنِم</w:t>
      </w:r>
      <w:r w:rsidR="00685363" w:rsidRPr="0067048A">
        <w:rPr>
          <w:rStyle w:val="Char3"/>
          <w:rFonts w:hint="cs"/>
          <w:rtl/>
        </w:rPr>
        <w:t>ۡ</w:t>
      </w:r>
      <w:r w:rsidR="00685363" w:rsidRPr="0067048A">
        <w:rPr>
          <w:rStyle w:val="Char3"/>
          <w:rFonts w:hint="eastAsia"/>
          <w:rtl/>
        </w:rPr>
        <w:t>تُم</w:t>
      </w:r>
      <w:r w:rsidR="00685363" w:rsidRPr="0067048A">
        <w:rPr>
          <w:rStyle w:val="Char3"/>
          <w:rtl/>
        </w:rPr>
        <w:t xml:space="preserve"> </w:t>
      </w:r>
      <w:r w:rsidR="00685363" w:rsidRPr="0067048A">
        <w:rPr>
          <w:rStyle w:val="Char3"/>
          <w:rFonts w:hint="eastAsia"/>
          <w:rtl/>
        </w:rPr>
        <w:t>مِّن</w:t>
      </w:r>
      <w:r w:rsidR="00685363" w:rsidRPr="0067048A">
        <w:rPr>
          <w:rStyle w:val="Char3"/>
          <w:rtl/>
        </w:rPr>
        <w:t xml:space="preserve"> </w:t>
      </w:r>
      <w:r w:rsidR="00685363" w:rsidRPr="0067048A">
        <w:rPr>
          <w:rStyle w:val="Char3"/>
          <w:rFonts w:hint="eastAsia"/>
          <w:rtl/>
        </w:rPr>
        <w:t>شَي</w:t>
      </w:r>
      <w:r w:rsidR="00685363" w:rsidRPr="0067048A">
        <w:rPr>
          <w:rStyle w:val="Char3"/>
          <w:rFonts w:hint="cs"/>
          <w:rtl/>
        </w:rPr>
        <w:t>ۡ</w:t>
      </w:r>
      <w:r w:rsidR="00685363" w:rsidRPr="0067048A">
        <w:rPr>
          <w:rStyle w:val="Char3"/>
          <w:rFonts w:hint="eastAsia"/>
          <w:rtl/>
        </w:rPr>
        <w:t>ء</w:t>
      </w:r>
      <w:r w:rsidR="00685363" w:rsidRPr="0067048A">
        <w:rPr>
          <w:rStyle w:val="Char3"/>
          <w:rFonts w:hint="cs"/>
          <w:rtl/>
        </w:rPr>
        <w:t>ٖ</w:t>
      </w:r>
      <w:r w:rsidR="00685363" w:rsidRPr="0067048A">
        <w:rPr>
          <w:rStyle w:val="Char3"/>
          <w:rtl/>
        </w:rPr>
        <w:t xml:space="preserve"> </w:t>
      </w:r>
      <w:r w:rsidR="00685363" w:rsidRPr="0067048A">
        <w:rPr>
          <w:rStyle w:val="Char3"/>
          <w:rFonts w:hint="eastAsia"/>
          <w:rtl/>
        </w:rPr>
        <w:t>فَأَنَّ</w:t>
      </w:r>
      <w:r w:rsidR="00685363" w:rsidRPr="0067048A">
        <w:rPr>
          <w:rStyle w:val="Char3"/>
          <w:rtl/>
        </w:rPr>
        <w:t xml:space="preserve"> </w:t>
      </w:r>
      <w:r w:rsidR="00685363" w:rsidRPr="0067048A">
        <w:rPr>
          <w:rStyle w:val="Char3"/>
          <w:rFonts w:hint="eastAsia"/>
          <w:rtl/>
        </w:rPr>
        <w:t>لِلَّهِ</w:t>
      </w:r>
      <w:r w:rsidR="00685363" w:rsidRPr="0067048A">
        <w:rPr>
          <w:rStyle w:val="Char3"/>
          <w:rtl/>
        </w:rPr>
        <w:t xml:space="preserve"> </w:t>
      </w:r>
      <w:r w:rsidR="00685363" w:rsidRPr="0067048A">
        <w:rPr>
          <w:rStyle w:val="Char3"/>
          <w:rFonts w:hint="eastAsia"/>
          <w:rtl/>
        </w:rPr>
        <w:t>خُمُسَهُ</w:t>
      </w:r>
      <w:r w:rsidR="00685363" w:rsidRPr="0067048A">
        <w:rPr>
          <w:rStyle w:val="Char3"/>
          <w:rFonts w:hint="cs"/>
          <w:rtl/>
        </w:rPr>
        <w:t>ۥ</w:t>
      </w:r>
      <w:r w:rsidR="00685363" w:rsidRPr="0067048A">
        <w:rPr>
          <w:rStyle w:val="Char3"/>
          <w:rtl/>
        </w:rPr>
        <w:t xml:space="preserve"> </w:t>
      </w:r>
      <w:r w:rsidR="00685363" w:rsidRPr="0067048A">
        <w:rPr>
          <w:rStyle w:val="Char3"/>
          <w:rFonts w:hint="eastAsia"/>
          <w:rtl/>
        </w:rPr>
        <w:t>وَلِلرَّسُولِ</w:t>
      </w:r>
      <w:r w:rsidR="00685363" w:rsidRPr="0067048A">
        <w:rPr>
          <w:rStyle w:val="Char3"/>
          <w:rtl/>
        </w:rPr>
        <w:t xml:space="preserve"> </w:t>
      </w:r>
      <w:r w:rsidR="00685363" w:rsidRPr="0067048A">
        <w:rPr>
          <w:rStyle w:val="Char3"/>
          <w:rFonts w:hint="eastAsia"/>
          <w:rtl/>
        </w:rPr>
        <w:t>وَلِذِي</w:t>
      </w:r>
      <w:r w:rsidR="00685363" w:rsidRPr="0067048A">
        <w:rPr>
          <w:rStyle w:val="Char3"/>
          <w:rtl/>
        </w:rPr>
        <w:t xml:space="preserve"> </w:t>
      </w:r>
      <w:r w:rsidR="00685363" w:rsidRPr="0067048A">
        <w:rPr>
          <w:rStyle w:val="Char3"/>
          <w:rFonts w:hint="cs"/>
          <w:rtl/>
        </w:rPr>
        <w:t>ٱ</w:t>
      </w:r>
      <w:r w:rsidR="00685363" w:rsidRPr="0067048A">
        <w:rPr>
          <w:rStyle w:val="Char3"/>
          <w:rFonts w:hint="eastAsia"/>
          <w:rtl/>
        </w:rPr>
        <w:t>ل</w:t>
      </w:r>
      <w:r w:rsidR="00685363" w:rsidRPr="0067048A">
        <w:rPr>
          <w:rStyle w:val="Char3"/>
          <w:rFonts w:hint="cs"/>
          <w:rtl/>
        </w:rPr>
        <w:t>ۡ</w:t>
      </w:r>
      <w:r w:rsidR="00685363" w:rsidRPr="0067048A">
        <w:rPr>
          <w:rStyle w:val="Char3"/>
          <w:rFonts w:hint="eastAsia"/>
          <w:rtl/>
        </w:rPr>
        <w:t>قُر</w:t>
      </w:r>
      <w:r w:rsidR="00685363" w:rsidRPr="0067048A">
        <w:rPr>
          <w:rStyle w:val="Char3"/>
          <w:rFonts w:hint="cs"/>
          <w:rtl/>
        </w:rPr>
        <w:t>ۡ</w:t>
      </w:r>
      <w:r w:rsidR="00685363" w:rsidRPr="0067048A">
        <w:rPr>
          <w:rStyle w:val="Char3"/>
          <w:rFonts w:hint="eastAsia"/>
          <w:rtl/>
        </w:rPr>
        <w:t>بَى</w:t>
      </w:r>
      <w:r w:rsidR="00685363" w:rsidRPr="0067048A">
        <w:rPr>
          <w:rStyle w:val="Char3"/>
          <w:rFonts w:hint="cs"/>
          <w:rtl/>
        </w:rPr>
        <w:t>ٰ</w:t>
      </w:r>
      <w:r w:rsidR="00685363" w:rsidRPr="0067048A">
        <w:rPr>
          <w:rStyle w:val="Char3"/>
          <w:rtl/>
        </w:rPr>
        <w:t xml:space="preserve"> </w:t>
      </w:r>
      <w:r w:rsidR="00685363" w:rsidRPr="0067048A">
        <w:rPr>
          <w:rStyle w:val="Char3"/>
          <w:rFonts w:hint="eastAsia"/>
          <w:rtl/>
        </w:rPr>
        <w:t>وَ</w:t>
      </w:r>
      <w:r w:rsidR="00685363" w:rsidRPr="0067048A">
        <w:rPr>
          <w:rStyle w:val="Char3"/>
          <w:rFonts w:hint="cs"/>
          <w:rtl/>
        </w:rPr>
        <w:t>ٱ</w:t>
      </w:r>
      <w:r w:rsidR="00685363" w:rsidRPr="0067048A">
        <w:rPr>
          <w:rStyle w:val="Char3"/>
          <w:rFonts w:hint="eastAsia"/>
          <w:rtl/>
        </w:rPr>
        <w:t>ل</w:t>
      </w:r>
      <w:r w:rsidR="00685363" w:rsidRPr="0067048A">
        <w:rPr>
          <w:rStyle w:val="Char3"/>
          <w:rFonts w:hint="cs"/>
          <w:rtl/>
        </w:rPr>
        <w:t>ۡ</w:t>
      </w:r>
      <w:r w:rsidR="00685363" w:rsidRPr="0067048A">
        <w:rPr>
          <w:rStyle w:val="Char3"/>
          <w:rFonts w:hint="eastAsia"/>
          <w:rtl/>
        </w:rPr>
        <w:t>يَتَ</w:t>
      </w:r>
      <w:r w:rsidR="00685363" w:rsidRPr="0067048A">
        <w:rPr>
          <w:rStyle w:val="Char3"/>
          <w:rFonts w:hint="cs"/>
          <w:rtl/>
        </w:rPr>
        <w:t>ٰ</w:t>
      </w:r>
      <w:r w:rsidR="00685363" w:rsidRPr="0067048A">
        <w:rPr>
          <w:rStyle w:val="Char3"/>
          <w:rFonts w:hint="eastAsia"/>
          <w:rtl/>
        </w:rPr>
        <w:t>مَى</w:t>
      </w:r>
      <w:r w:rsidR="00685363" w:rsidRPr="0067048A">
        <w:rPr>
          <w:rStyle w:val="Char3"/>
          <w:rFonts w:hint="cs"/>
          <w:rtl/>
        </w:rPr>
        <w:t>ٰ</w:t>
      </w:r>
      <w:r w:rsidR="00685363" w:rsidRPr="0067048A">
        <w:rPr>
          <w:rStyle w:val="Char3"/>
          <w:rtl/>
        </w:rPr>
        <w:t xml:space="preserve"> </w:t>
      </w:r>
      <w:r w:rsidR="00685363" w:rsidRPr="0067048A">
        <w:rPr>
          <w:rStyle w:val="Char3"/>
          <w:rFonts w:hint="eastAsia"/>
          <w:rtl/>
        </w:rPr>
        <w:t>وَ</w:t>
      </w:r>
      <w:r w:rsidR="00685363" w:rsidRPr="0067048A">
        <w:rPr>
          <w:rStyle w:val="Char3"/>
          <w:rFonts w:hint="cs"/>
          <w:rtl/>
        </w:rPr>
        <w:t>ٱ</w:t>
      </w:r>
      <w:r w:rsidR="00685363" w:rsidRPr="0067048A">
        <w:rPr>
          <w:rStyle w:val="Char3"/>
          <w:rFonts w:hint="eastAsia"/>
          <w:rtl/>
        </w:rPr>
        <w:t>ل</w:t>
      </w:r>
      <w:r w:rsidR="00685363" w:rsidRPr="0067048A">
        <w:rPr>
          <w:rStyle w:val="Char3"/>
          <w:rFonts w:hint="cs"/>
          <w:rtl/>
        </w:rPr>
        <w:t>ۡ</w:t>
      </w:r>
      <w:r w:rsidR="00685363" w:rsidRPr="0067048A">
        <w:rPr>
          <w:rStyle w:val="Char3"/>
          <w:rFonts w:hint="eastAsia"/>
          <w:rtl/>
        </w:rPr>
        <w:t>مَسَ</w:t>
      </w:r>
      <w:r w:rsidR="00685363" w:rsidRPr="0067048A">
        <w:rPr>
          <w:rStyle w:val="Char3"/>
          <w:rFonts w:hint="cs"/>
          <w:rtl/>
        </w:rPr>
        <w:t>ٰ</w:t>
      </w:r>
      <w:r w:rsidR="00685363" w:rsidRPr="0067048A">
        <w:rPr>
          <w:rStyle w:val="Char3"/>
          <w:rFonts w:hint="eastAsia"/>
          <w:rtl/>
        </w:rPr>
        <w:t>كِينِ</w:t>
      </w:r>
      <w:r w:rsidR="00685363" w:rsidRPr="0067048A">
        <w:rPr>
          <w:rStyle w:val="Char3"/>
          <w:rtl/>
        </w:rPr>
        <w:t xml:space="preserve"> </w:t>
      </w:r>
      <w:r w:rsidR="00685363" w:rsidRPr="0067048A">
        <w:rPr>
          <w:rStyle w:val="Char3"/>
          <w:rFonts w:hint="eastAsia"/>
          <w:rtl/>
        </w:rPr>
        <w:t>وَ</w:t>
      </w:r>
      <w:r w:rsidR="00685363" w:rsidRPr="0067048A">
        <w:rPr>
          <w:rStyle w:val="Char3"/>
          <w:rFonts w:hint="cs"/>
          <w:rtl/>
        </w:rPr>
        <w:t>ٱ</w:t>
      </w:r>
      <w:r w:rsidR="00685363" w:rsidRPr="0067048A">
        <w:rPr>
          <w:rStyle w:val="Char3"/>
          <w:rFonts w:hint="eastAsia"/>
          <w:rtl/>
        </w:rPr>
        <w:t>ب</w:t>
      </w:r>
      <w:r w:rsidR="00685363" w:rsidRPr="0067048A">
        <w:rPr>
          <w:rStyle w:val="Char3"/>
          <w:rFonts w:hint="cs"/>
          <w:rtl/>
        </w:rPr>
        <w:t>ۡ</w:t>
      </w:r>
      <w:r w:rsidR="00685363" w:rsidRPr="0067048A">
        <w:rPr>
          <w:rStyle w:val="Char3"/>
          <w:rFonts w:hint="eastAsia"/>
          <w:rtl/>
        </w:rPr>
        <w:t>نِ</w:t>
      </w:r>
      <w:r w:rsidR="00685363" w:rsidRPr="0067048A">
        <w:rPr>
          <w:rStyle w:val="Char3"/>
          <w:rtl/>
        </w:rPr>
        <w:t xml:space="preserve"> </w:t>
      </w:r>
      <w:r w:rsidR="00685363" w:rsidRPr="0067048A">
        <w:rPr>
          <w:rStyle w:val="Char3"/>
          <w:rFonts w:hint="cs"/>
          <w:rtl/>
        </w:rPr>
        <w:t>ٱ</w:t>
      </w:r>
      <w:r w:rsidR="00685363" w:rsidRPr="0067048A">
        <w:rPr>
          <w:rStyle w:val="Char3"/>
          <w:rFonts w:hint="eastAsia"/>
          <w:rtl/>
        </w:rPr>
        <w:t>لسَّبِيلِ</w:t>
      </w:r>
      <w:r w:rsidR="00685363" w:rsidRPr="0067048A">
        <w:rPr>
          <w:rStyle w:val="Char3"/>
          <w:rtl/>
        </w:rPr>
        <w:t xml:space="preserve"> </w:t>
      </w:r>
      <w:r w:rsidR="00685363" w:rsidRPr="0067048A">
        <w:rPr>
          <w:rStyle w:val="Char3"/>
          <w:rFonts w:hint="eastAsia"/>
          <w:rtl/>
        </w:rPr>
        <w:t>إِن</w:t>
      </w:r>
      <w:r w:rsidR="00685363" w:rsidRPr="0067048A">
        <w:rPr>
          <w:rStyle w:val="Char3"/>
          <w:rtl/>
        </w:rPr>
        <w:t xml:space="preserve"> </w:t>
      </w:r>
      <w:r w:rsidR="00685363" w:rsidRPr="0067048A">
        <w:rPr>
          <w:rStyle w:val="Char3"/>
          <w:rFonts w:hint="eastAsia"/>
          <w:rtl/>
        </w:rPr>
        <w:t>كُنتُم</w:t>
      </w:r>
      <w:r w:rsidR="00685363" w:rsidRPr="0067048A">
        <w:rPr>
          <w:rStyle w:val="Char3"/>
          <w:rFonts w:hint="cs"/>
          <w:rtl/>
        </w:rPr>
        <w:t>ۡ</w:t>
      </w:r>
      <w:r w:rsidR="00685363" w:rsidRPr="0067048A">
        <w:rPr>
          <w:rStyle w:val="Char3"/>
          <w:rtl/>
        </w:rPr>
        <w:t xml:space="preserve"> </w:t>
      </w:r>
      <w:r w:rsidR="00685363" w:rsidRPr="0067048A">
        <w:rPr>
          <w:rStyle w:val="Char3"/>
          <w:rFonts w:hint="eastAsia"/>
          <w:rtl/>
        </w:rPr>
        <w:t>ءَامَنتُم</w:t>
      </w:r>
      <w:r w:rsidR="00685363" w:rsidRPr="0067048A">
        <w:rPr>
          <w:rStyle w:val="Char3"/>
          <w:rtl/>
        </w:rPr>
        <w:t xml:space="preserve"> </w:t>
      </w:r>
      <w:r w:rsidR="00685363" w:rsidRPr="0067048A">
        <w:rPr>
          <w:rStyle w:val="Char3"/>
          <w:rFonts w:hint="eastAsia"/>
          <w:rtl/>
        </w:rPr>
        <w:t>بِ</w:t>
      </w:r>
      <w:r w:rsidR="00685363" w:rsidRPr="0067048A">
        <w:rPr>
          <w:rStyle w:val="Char3"/>
          <w:rFonts w:hint="cs"/>
          <w:rtl/>
        </w:rPr>
        <w:t>ٱ</w:t>
      </w:r>
      <w:r w:rsidR="00685363" w:rsidRPr="0067048A">
        <w:rPr>
          <w:rStyle w:val="Char3"/>
          <w:rFonts w:hint="eastAsia"/>
          <w:rtl/>
        </w:rPr>
        <w:t>للَّهِ</w:t>
      </w:r>
      <w:r w:rsidR="00685363" w:rsidRPr="0067048A">
        <w:rPr>
          <w:rStyle w:val="Char3"/>
          <w:rtl/>
        </w:rPr>
        <w:t xml:space="preserve"> </w:t>
      </w:r>
      <w:r w:rsidR="00685363" w:rsidRPr="0067048A">
        <w:rPr>
          <w:rStyle w:val="Char3"/>
          <w:rFonts w:hint="eastAsia"/>
          <w:rtl/>
        </w:rPr>
        <w:t>وَمَا</w:t>
      </w:r>
      <w:r w:rsidR="00685363" w:rsidRPr="0067048A">
        <w:rPr>
          <w:rStyle w:val="Char3"/>
          <w:rFonts w:hint="cs"/>
          <w:rtl/>
        </w:rPr>
        <w:t>ٓ</w:t>
      </w:r>
      <w:r w:rsidR="00685363" w:rsidRPr="0067048A">
        <w:rPr>
          <w:rStyle w:val="Char3"/>
          <w:rtl/>
        </w:rPr>
        <w:t xml:space="preserve"> </w:t>
      </w:r>
      <w:r w:rsidR="00685363" w:rsidRPr="0067048A">
        <w:rPr>
          <w:rStyle w:val="Char3"/>
          <w:rFonts w:hint="eastAsia"/>
          <w:rtl/>
        </w:rPr>
        <w:t>أَنزَل</w:t>
      </w:r>
      <w:r w:rsidR="00685363" w:rsidRPr="0067048A">
        <w:rPr>
          <w:rStyle w:val="Char3"/>
          <w:rFonts w:hint="cs"/>
          <w:rtl/>
        </w:rPr>
        <w:t>ۡ</w:t>
      </w:r>
      <w:r w:rsidR="00685363" w:rsidRPr="0067048A">
        <w:rPr>
          <w:rStyle w:val="Char3"/>
          <w:rFonts w:hint="eastAsia"/>
          <w:rtl/>
        </w:rPr>
        <w:t>نَا</w:t>
      </w:r>
      <w:r w:rsidR="00685363" w:rsidRPr="0067048A">
        <w:rPr>
          <w:rStyle w:val="Char3"/>
          <w:rtl/>
        </w:rPr>
        <w:t xml:space="preserve"> </w:t>
      </w:r>
      <w:r w:rsidR="00685363" w:rsidRPr="0067048A">
        <w:rPr>
          <w:rStyle w:val="Char3"/>
          <w:rFonts w:hint="eastAsia"/>
          <w:rtl/>
        </w:rPr>
        <w:t>عَلَى</w:t>
      </w:r>
      <w:r w:rsidR="00685363" w:rsidRPr="0067048A">
        <w:rPr>
          <w:rStyle w:val="Char3"/>
          <w:rFonts w:hint="cs"/>
          <w:rtl/>
        </w:rPr>
        <w:t>ٰ</w:t>
      </w:r>
      <w:r w:rsidR="00685363" w:rsidRPr="0067048A">
        <w:rPr>
          <w:rStyle w:val="Char3"/>
          <w:rtl/>
        </w:rPr>
        <w:t xml:space="preserve"> </w:t>
      </w:r>
      <w:r w:rsidR="00685363" w:rsidRPr="0067048A">
        <w:rPr>
          <w:rStyle w:val="Char3"/>
          <w:rFonts w:hint="eastAsia"/>
          <w:rtl/>
        </w:rPr>
        <w:t>عَب</w:t>
      </w:r>
      <w:r w:rsidR="00685363" w:rsidRPr="0067048A">
        <w:rPr>
          <w:rStyle w:val="Char3"/>
          <w:rFonts w:hint="cs"/>
          <w:rtl/>
        </w:rPr>
        <w:t>ۡ</w:t>
      </w:r>
      <w:r w:rsidR="00685363" w:rsidRPr="0067048A">
        <w:rPr>
          <w:rStyle w:val="Char3"/>
          <w:rFonts w:hint="eastAsia"/>
          <w:rtl/>
        </w:rPr>
        <w:t>دِنَا</w:t>
      </w:r>
      <w:r w:rsidR="00685363" w:rsidRPr="0067048A">
        <w:rPr>
          <w:rStyle w:val="Char3"/>
          <w:rtl/>
        </w:rPr>
        <w:t xml:space="preserve"> </w:t>
      </w:r>
      <w:r w:rsidR="00685363" w:rsidRPr="0067048A">
        <w:rPr>
          <w:rStyle w:val="Char3"/>
          <w:rFonts w:hint="eastAsia"/>
          <w:rtl/>
        </w:rPr>
        <w:t>يَو</w:t>
      </w:r>
      <w:r w:rsidR="00685363" w:rsidRPr="0067048A">
        <w:rPr>
          <w:rStyle w:val="Char3"/>
          <w:rFonts w:hint="cs"/>
          <w:rtl/>
        </w:rPr>
        <w:t>ۡ</w:t>
      </w:r>
      <w:r w:rsidR="00685363" w:rsidRPr="0067048A">
        <w:rPr>
          <w:rStyle w:val="Char3"/>
          <w:rFonts w:hint="eastAsia"/>
          <w:rtl/>
        </w:rPr>
        <w:t>مَ</w:t>
      </w:r>
      <w:r w:rsidR="00685363" w:rsidRPr="0067048A">
        <w:rPr>
          <w:rStyle w:val="Char3"/>
          <w:rtl/>
        </w:rPr>
        <w:t xml:space="preserve"> </w:t>
      </w:r>
      <w:r w:rsidR="00685363" w:rsidRPr="0067048A">
        <w:rPr>
          <w:rStyle w:val="Char3"/>
          <w:rFonts w:hint="cs"/>
          <w:rtl/>
        </w:rPr>
        <w:t>ٱ</w:t>
      </w:r>
      <w:r w:rsidR="00685363" w:rsidRPr="0067048A">
        <w:rPr>
          <w:rStyle w:val="Char3"/>
          <w:rFonts w:hint="eastAsia"/>
          <w:rtl/>
        </w:rPr>
        <w:t>ل</w:t>
      </w:r>
      <w:r w:rsidR="00685363" w:rsidRPr="0067048A">
        <w:rPr>
          <w:rStyle w:val="Char3"/>
          <w:rFonts w:hint="cs"/>
          <w:rtl/>
        </w:rPr>
        <w:t>ۡ</w:t>
      </w:r>
      <w:r w:rsidR="00685363" w:rsidRPr="0067048A">
        <w:rPr>
          <w:rStyle w:val="Char3"/>
          <w:rFonts w:hint="eastAsia"/>
          <w:rtl/>
        </w:rPr>
        <w:t>فُر</w:t>
      </w:r>
      <w:r w:rsidR="00685363" w:rsidRPr="0067048A">
        <w:rPr>
          <w:rStyle w:val="Char3"/>
          <w:rFonts w:hint="cs"/>
          <w:rtl/>
        </w:rPr>
        <w:t>ۡ</w:t>
      </w:r>
      <w:r w:rsidR="00685363" w:rsidRPr="0067048A">
        <w:rPr>
          <w:rStyle w:val="Char3"/>
          <w:rFonts w:hint="eastAsia"/>
          <w:rtl/>
        </w:rPr>
        <w:t>قَانِ</w:t>
      </w:r>
      <w:r w:rsidR="00685363" w:rsidRPr="0067048A">
        <w:rPr>
          <w:rStyle w:val="Char3"/>
          <w:rtl/>
        </w:rPr>
        <w:t xml:space="preserve"> </w:t>
      </w:r>
      <w:r w:rsidR="00685363" w:rsidRPr="0067048A">
        <w:rPr>
          <w:rStyle w:val="Char3"/>
          <w:rFonts w:hint="eastAsia"/>
          <w:rtl/>
        </w:rPr>
        <w:t>يَو</w:t>
      </w:r>
      <w:r w:rsidR="00685363" w:rsidRPr="0067048A">
        <w:rPr>
          <w:rStyle w:val="Char3"/>
          <w:rFonts w:hint="cs"/>
          <w:rtl/>
        </w:rPr>
        <w:t>ۡ</w:t>
      </w:r>
      <w:r w:rsidR="00685363" w:rsidRPr="0067048A">
        <w:rPr>
          <w:rStyle w:val="Char3"/>
          <w:rFonts w:hint="eastAsia"/>
          <w:rtl/>
        </w:rPr>
        <w:t>مَ</w:t>
      </w:r>
      <w:r w:rsidR="00685363" w:rsidRPr="0067048A">
        <w:rPr>
          <w:rStyle w:val="Char3"/>
          <w:rtl/>
        </w:rPr>
        <w:t xml:space="preserve"> </w:t>
      </w:r>
      <w:r w:rsidR="00685363" w:rsidRPr="0067048A">
        <w:rPr>
          <w:rStyle w:val="Char3"/>
          <w:rFonts w:hint="cs"/>
          <w:rtl/>
        </w:rPr>
        <w:t>ٱ</w:t>
      </w:r>
      <w:r w:rsidR="00685363" w:rsidRPr="0067048A">
        <w:rPr>
          <w:rStyle w:val="Char3"/>
          <w:rFonts w:hint="eastAsia"/>
          <w:rtl/>
        </w:rPr>
        <w:t>ل</w:t>
      </w:r>
      <w:r w:rsidR="00685363" w:rsidRPr="0067048A">
        <w:rPr>
          <w:rStyle w:val="Char3"/>
          <w:rFonts w:hint="cs"/>
          <w:rtl/>
        </w:rPr>
        <w:t>ۡ</w:t>
      </w:r>
      <w:r w:rsidR="00685363" w:rsidRPr="0067048A">
        <w:rPr>
          <w:rStyle w:val="Char3"/>
          <w:rFonts w:hint="eastAsia"/>
          <w:rtl/>
        </w:rPr>
        <w:t>تَقَى</w:t>
      </w:r>
      <w:r w:rsidR="00685363" w:rsidRPr="0067048A">
        <w:rPr>
          <w:rStyle w:val="Char3"/>
          <w:rtl/>
        </w:rPr>
        <w:t xml:space="preserve"> </w:t>
      </w:r>
      <w:r w:rsidR="00685363" w:rsidRPr="0067048A">
        <w:rPr>
          <w:rStyle w:val="Char3"/>
          <w:rFonts w:hint="cs"/>
          <w:rtl/>
        </w:rPr>
        <w:t>ٱ</w:t>
      </w:r>
      <w:r w:rsidR="00685363" w:rsidRPr="0067048A">
        <w:rPr>
          <w:rStyle w:val="Char3"/>
          <w:rFonts w:hint="eastAsia"/>
          <w:rtl/>
        </w:rPr>
        <w:t>ل</w:t>
      </w:r>
      <w:r w:rsidR="00685363" w:rsidRPr="0067048A">
        <w:rPr>
          <w:rStyle w:val="Char3"/>
          <w:rFonts w:hint="cs"/>
          <w:rtl/>
        </w:rPr>
        <w:t>ۡ</w:t>
      </w:r>
      <w:r w:rsidR="00685363" w:rsidRPr="0067048A">
        <w:rPr>
          <w:rStyle w:val="Char3"/>
          <w:rFonts w:hint="eastAsia"/>
          <w:rtl/>
        </w:rPr>
        <w:t>جَم</w:t>
      </w:r>
      <w:r w:rsidR="00685363" w:rsidRPr="0067048A">
        <w:rPr>
          <w:rStyle w:val="Char3"/>
          <w:rFonts w:hint="cs"/>
          <w:rtl/>
        </w:rPr>
        <w:t>ۡ</w:t>
      </w:r>
      <w:r w:rsidR="00685363" w:rsidRPr="0067048A">
        <w:rPr>
          <w:rStyle w:val="Char3"/>
          <w:rFonts w:hint="eastAsia"/>
          <w:rtl/>
        </w:rPr>
        <w:t>عَانِ</w:t>
      </w:r>
      <w:r w:rsidR="00685363" w:rsidRPr="00995B26">
        <w:rPr>
          <w:rFonts w:ascii="KFGQPC Uthmanic Script HAFS" w:cs="Times New Roman" w:hint="cs"/>
          <w:sz w:val="28"/>
          <w:rtl/>
        </w:rPr>
        <w:t>...</w:t>
      </w:r>
      <w:r w:rsidR="00685363" w:rsidRPr="00995B26">
        <w:rPr>
          <w:rFonts w:ascii="Abo-thar" w:hAnsi="Abo-thar" w:cs="Traditional Arabic" w:hint="cs"/>
          <w:sz w:val="28"/>
          <w:rtl/>
          <w:lang w:bidi="ar-SY"/>
        </w:rPr>
        <w:t>﴾</w:t>
      </w:r>
      <w:r w:rsidRPr="00995B26">
        <w:rPr>
          <w:rFonts w:ascii="Abo-thar" w:hAnsi="Abo-thar"/>
          <w:b/>
          <w:bCs/>
          <w:sz w:val="28"/>
          <w:rtl/>
          <w:lang w:bidi="ar-SY"/>
        </w:rPr>
        <w:t xml:space="preserve"> </w:t>
      </w:r>
      <w:r w:rsidRPr="003108CB">
        <w:rPr>
          <w:rStyle w:val="Char2"/>
          <w:rtl/>
        </w:rPr>
        <w:t>[الأنفال</w:t>
      </w:r>
      <w:r w:rsidR="00685363" w:rsidRPr="003108CB">
        <w:rPr>
          <w:rStyle w:val="Char2"/>
          <w:rFonts w:hint="cs"/>
          <w:rtl/>
        </w:rPr>
        <w:t xml:space="preserve">: </w:t>
      </w:r>
      <w:r w:rsidRPr="003108CB">
        <w:rPr>
          <w:rStyle w:val="Char2"/>
          <w:rtl/>
        </w:rPr>
        <w:t>41]</w:t>
      </w:r>
      <w:r w:rsidRPr="00995B26">
        <w:rPr>
          <w:rFonts w:ascii="Abo-thar" w:hAnsi="Abo-thar" w:hint="cs"/>
          <w:b/>
          <w:bCs/>
          <w:sz w:val="28"/>
          <w:rtl/>
          <w:lang w:bidi="ar-SY"/>
        </w:rPr>
        <w:t xml:space="preserve"> </w:t>
      </w:r>
      <w:r w:rsidRPr="00CE7623">
        <w:rPr>
          <w:rFonts w:ascii="Abo-thar" w:hAnsi="Abo-thar" w:cs="KFGQPC Uthman Taha Naskh" w:hint="cs"/>
          <w:b/>
          <w:bCs/>
          <w:sz w:val="28"/>
          <w:rtl/>
          <w:lang w:bidi="ar-SY"/>
        </w:rPr>
        <w:t>و</w:t>
      </w:r>
      <w:r w:rsidRPr="00CE7623">
        <w:rPr>
          <w:rFonts w:ascii="Abo-thar" w:hAnsi="Abo-thar" w:cs="KFGQPC Uthman Taha Naskh"/>
          <w:b/>
          <w:bCs/>
          <w:sz w:val="28"/>
          <w:rtl/>
          <w:lang w:bidi="ar-SY"/>
        </w:rPr>
        <w:t>قَسَمَ الْفَيْ‏ءَ عَلَى سِتَّةِ أَقْسَامٍ فَقَالَ عَزَّ وجَلَّ</w:t>
      </w:r>
      <w:r w:rsidR="00217AB4" w:rsidRPr="00CE7623">
        <w:rPr>
          <w:rFonts w:ascii="Abo-thar" w:hAnsi="Abo-thar" w:cs="KFGQPC Uthman Taha Naskh" w:hint="cs"/>
          <w:b/>
          <w:bCs/>
          <w:sz w:val="28"/>
          <w:rtl/>
          <w:lang w:bidi="ar-SY"/>
        </w:rPr>
        <w:t>:</w:t>
      </w:r>
      <w:r w:rsidR="00685363" w:rsidRPr="00995B26">
        <w:rPr>
          <w:rFonts w:ascii="Abo-thar" w:hAnsi="Abo-thar" w:hint="cs"/>
          <w:b/>
          <w:bCs/>
          <w:sz w:val="28"/>
          <w:rtl/>
          <w:lang w:bidi="ar-SY"/>
        </w:rPr>
        <w:t xml:space="preserve"> </w:t>
      </w:r>
      <w:r w:rsidR="00685363" w:rsidRPr="00995B26">
        <w:rPr>
          <w:rFonts w:ascii="Abo-thar" w:hAnsi="Abo-thar" w:cs="Traditional Arabic" w:hint="cs"/>
          <w:sz w:val="28"/>
          <w:rtl/>
          <w:lang w:bidi="ar-SY"/>
        </w:rPr>
        <w:t>﴿</w:t>
      </w:r>
      <w:r w:rsidR="00685363" w:rsidRPr="0067048A">
        <w:rPr>
          <w:rStyle w:val="Char3"/>
          <w:rFonts w:hint="eastAsia"/>
          <w:rtl/>
        </w:rPr>
        <w:t>مَّا</w:t>
      </w:r>
      <w:r w:rsidR="00685363" w:rsidRPr="0067048A">
        <w:rPr>
          <w:rStyle w:val="Char3"/>
          <w:rFonts w:hint="cs"/>
          <w:rtl/>
        </w:rPr>
        <w:t>ٓ</w:t>
      </w:r>
      <w:r w:rsidR="00685363" w:rsidRPr="0067048A">
        <w:rPr>
          <w:rStyle w:val="Char3"/>
          <w:rtl/>
        </w:rPr>
        <w:t xml:space="preserve"> </w:t>
      </w:r>
      <w:r w:rsidR="00685363" w:rsidRPr="0067048A">
        <w:rPr>
          <w:rStyle w:val="Char3"/>
          <w:rFonts w:hint="eastAsia"/>
          <w:rtl/>
        </w:rPr>
        <w:t>أَفَا</w:t>
      </w:r>
      <w:r w:rsidR="00685363" w:rsidRPr="0067048A">
        <w:rPr>
          <w:rStyle w:val="Char3"/>
          <w:rFonts w:hint="cs"/>
          <w:rtl/>
        </w:rPr>
        <w:t>ٓ</w:t>
      </w:r>
      <w:r w:rsidR="00685363" w:rsidRPr="0067048A">
        <w:rPr>
          <w:rStyle w:val="Char3"/>
          <w:rFonts w:hint="eastAsia"/>
          <w:rtl/>
        </w:rPr>
        <w:t>ءَ</w:t>
      </w:r>
      <w:r w:rsidR="00685363" w:rsidRPr="0067048A">
        <w:rPr>
          <w:rStyle w:val="Char3"/>
          <w:rtl/>
        </w:rPr>
        <w:t xml:space="preserve"> </w:t>
      </w:r>
      <w:r w:rsidR="00685363" w:rsidRPr="0067048A">
        <w:rPr>
          <w:rStyle w:val="Char3"/>
          <w:rFonts w:hint="cs"/>
          <w:rtl/>
        </w:rPr>
        <w:t>ٱ</w:t>
      </w:r>
      <w:r w:rsidR="00685363" w:rsidRPr="0067048A">
        <w:rPr>
          <w:rStyle w:val="Char3"/>
          <w:rFonts w:hint="eastAsia"/>
          <w:rtl/>
        </w:rPr>
        <w:t>للَّهُ</w:t>
      </w:r>
      <w:r w:rsidR="00685363" w:rsidRPr="0067048A">
        <w:rPr>
          <w:rStyle w:val="Char3"/>
          <w:rtl/>
        </w:rPr>
        <w:t xml:space="preserve"> </w:t>
      </w:r>
      <w:r w:rsidR="00685363" w:rsidRPr="0067048A">
        <w:rPr>
          <w:rStyle w:val="Char3"/>
          <w:rFonts w:hint="eastAsia"/>
          <w:rtl/>
        </w:rPr>
        <w:t>عَلَى</w:t>
      </w:r>
      <w:r w:rsidR="00685363" w:rsidRPr="0067048A">
        <w:rPr>
          <w:rStyle w:val="Char3"/>
          <w:rFonts w:hint="cs"/>
          <w:rtl/>
        </w:rPr>
        <w:t>ٰ</w:t>
      </w:r>
      <w:r w:rsidR="00685363" w:rsidRPr="0067048A">
        <w:rPr>
          <w:rStyle w:val="Char3"/>
          <w:rtl/>
        </w:rPr>
        <w:t xml:space="preserve"> </w:t>
      </w:r>
      <w:r w:rsidR="00685363" w:rsidRPr="0067048A">
        <w:rPr>
          <w:rStyle w:val="Char3"/>
          <w:rFonts w:hint="eastAsia"/>
          <w:rtl/>
        </w:rPr>
        <w:t>رَسُولِهِ</w:t>
      </w:r>
      <w:r w:rsidR="00685363" w:rsidRPr="0067048A">
        <w:rPr>
          <w:rStyle w:val="Char3"/>
          <w:rFonts w:hint="cs"/>
          <w:rtl/>
        </w:rPr>
        <w:t>ۦ</w:t>
      </w:r>
      <w:r w:rsidR="00685363" w:rsidRPr="0067048A">
        <w:rPr>
          <w:rStyle w:val="Char3"/>
          <w:rtl/>
        </w:rPr>
        <w:t xml:space="preserve"> </w:t>
      </w:r>
      <w:r w:rsidR="00685363" w:rsidRPr="0067048A">
        <w:rPr>
          <w:rStyle w:val="Char3"/>
          <w:rFonts w:hint="eastAsia"/>
          <w:rtl/>
        </w:rPr>
        <w:t>مِن</w:t>
      </w:r>
      <w:r w:rsidR="00685363" w:rsidRPr="0067048A">
        <w:rPr>
          <w:rStyle w:val="Char3"/>
          <w:rFonts w:hint="cs"/>
          <w:rtl/>
        </w:rPr>
        <w:t>ۡ</w:t>
      </w:r>
      <w:r w:rsidR="00685363" w:rsidRPr="0067048A">
        <w:rPr>
          <w:rStyle w:val="Char3"/>
          <w:rtl/>
        </w:rPr>
        <w:t xml:space="preserve"> </w:t>
      </w:r>
      <w:r w:rsidR="00685363" w:rsidRPr="0067048A">
        <w:rPr>
          <w:rStyle w:val="Char3"/>
          <w:rFonts w:hint="eastAsia"/>
          <w:rtl/>
        </w:rPr>
        <w:t>أَه</w:t>
      </w:r>
      <w:r w:rsidR="00685363" w:rsidRPr="0067048A">
        <w:rPr>
          <w:rStyle w:val="Char3"/>
          <w:rFonts w:hint="cs"/>
          <w:rtl/>
        </w:rPr>
        <w:t>ۡ</w:t>
      </w:r>
      <w:r w:rsidR="00685363" w:rsidRPr="0067048A">
        <w:rPr>
          <w:rStyle w:val="Char3"/>
          <w:rFonts w:hint="eastAsia"/>
          <w:rtl/>
        </w:rPr>
        <w:t>لِ</w:t>
      </w:r>
      <w:r w:rsidR="00685363" w:rsidRPr="0067048A">
        <w:rPr>
          <w:rStyle w:val="Char3"/>
          <w:rtl/>
        </w:rPr>
        <w:t xml:space="preserve"> </w:t>
      </w:r>
      <w:r w:rsidR="00685363" w:rsidRPr="0067048A">
        <w:rPr>
          <w:rStyle w:val="Char3"/>
          <w:rFonts w:hint="cs"/>
          <w:rtl/>
        </w:rPr>
        <w:t>ٱ</w:t>
      </w:r>
      <w:r w:rsidR="00685363" w:rsidRPr="0067048A">
        <w:rPr>
          <w:rStyle w:val="Char3"/>
          <w:rFonts w:hint="eastAsia"/>
          <w:rtl/>
        </w:rPr>
        <w:t>ل</w:t>
      </w:r>
      <w:r w:rsidR="00685363" w:rsidRPr="0067048A">
        <w:rPr>
          <w:rStyle w:val="Char3"/>
          <w:rFonts w:hint="cs"/>
          <w:rtl/>
        </w:rPr>
        <w:t>ۡ</w:t>
      </w:r>
      <w:r w:rsidR="00685363" w:rsidRPr="0067048A">
        <w:rPr>
          <w:rStyle w:val="Char3"/>
          <w:rFonts w:hint="eastAsia"/>
          <w:rtl/>
        </w:rPr>
        <w:t>قُرَى</w:t>
      </w:r>
      <w:r w:rsidR="00685363" w:rsidRPr="0067048A">
        <w:rPr>
          <w:rStyle w:val="Char3"/>
          <w:rFonts w:hint="cs"/>
          <w:rtl/>
        </w:rPr>
        <w:t>ٰ</w:t>
      </w:r>
      <w:r w:rsidR="00685363" w:rsidRPr="0067048A">
        <w:rPr>
          <w:rStyle w:val="Char3"/>
          <w:rtl/>
        </w:rPr>
        <w:t xml:space="preserve"> </w:t>
      </w:r>
      <w:r w:rsidR="00685363" w:rsidRPr="0067048A">
        <w:rPr>
          <w:rStyle w:val="Char3"/>
          <w:rFonts w:hint="eastAsia"/>
          <w:rtl/>
        </w:rPr>
        <w:t>فَلِلَّهِ</w:t>
      </w:r>
      <w:r w:rsidR="00685363" w:rsidRPr="0067048A">
        <w:rPr>
          <w:rStyle w:val="Char3"/>
          <w:rtl/>
        </w:rPr>
        <w:t xml:space="preserve"> </w:t>
      </w:r>
      <w:r w:rsidR="00685363" w:rsidRPr="0067048A">
        <w:rPr>
          <w:rStyle w:val="Char3"/>
          <w:rFonts w:hint="eastAsia"/>
          <w:rtl/>
        </w:rPr>
        <w:t>وَلِلرَّسُولِ</w:t>
      </w:r>
      <w:r w:rsidR="00685363" w:rsidRPr="0067048A">
        <w:rPr>
          <w:rStyle w:val="Char3"/>
          <w:rtl/>
        </w:rPr>
        <w:t xml:space="preserve"> </w:t>
      </w:r>
      <w:r w:rsidR="00685363" w:rsidRPr="0067048A">
        <w:rPr>
          <w:rStyle w:val="Char3"/>
          <w:rFonts w:hint="eastAsia"/>
          <w:rtl/>
        </w:rPr>
        <w:t>وَلِذِي</w:t>
      </w:r>
      <w:r w:rsidR="00685363" w:rsidRPr="0067048A">
        <w:rPr>
          <w:rStyle w:val="Char3"/>
          <w:rtl/>
        </w:rPr>
        <w:t xml:space="preserve"> </w:t>
      </w:r>
      <w:r w:rsidR="00685363" w:rsidRPr="0067048A">
        <w:rPr>
          <w:rStyle w:val="Char3"/>
          <w:rFonts w:hint="cs"/>
          <w:rtl/>
        </w:rPr>
        <w:t>ٱ</w:t>
      </w:r>
      <w:r w:rsidR="00685363" w:rsidRPr="0067048A">
        <w:rPr>
          <w:rStyle w:val="Char3"/>
          <w:rFonts w:hint="eastAsia"/>
          <w:rtl/>
        </w:rPr>
        <w:t>ل</w:t>
      </w:r>
      <w:r w:rsidR="00685363" w:rsidRPr="0067048A">
        <w:rPr>
          <w:rStyle w:val="Char3"/>
          <w:rFonts w:hint="cs"/>
          <w:rtl/>
        </w:rPr>
        <w:t>ۡ</w:t>
      </w:r>
      <w:r w:rsidR="00685363" w:rsidRPr="0067048A">
        <w:rPr>
          <w:rStyle w:val="Char3"/>
          <w:rFonts w:hint="eastAsia"/>
          <w:rtl/>
        </w:rPr>
        <w:t>قُر</w:t>
      </w:r>
      <w:r w:rsidR="00685363" w:rsidRPr="0067048A">
        <w:rPr>
          <w:rStyle w:val="Char3"/>
          <w:rFonts w:hint="cs"/>
          <w:rtl/>
        </w:rPr>
        <w:t>ۡ</w:t>
      </w:r>
      <w:r w:rsidR="00685363" w:rsidRPr="0067048A">
        <w:rPr>
          <w:rStyle w:val="Char3"/>
          <w:rFonts w:hint="eastAsia"/>
          <w:rtl/>
        </w:rPr>
        <w:t>بَى</w:t>
      </w:r>
      <w:r w:rsidR="00685363" w:rsidRPr="0067048A">
        <w:rPr>
          <w:rStyle w:val="Char3"/>
          <w:rFonts w:hint="cs"/>
          <w:rtl/>
        </w:rPr>
        <w:t>ٰ</w:t>
      </w:r>
      <w:r w:rsidR="00685363" w:rsidRPr="0067048A">
        <w:rPr>
          <w:rStyle w:val="Char3"/>
          <w:rtl/>
        </w:rPr>
        <w:t xml:space="preserve"> </w:t>
      </w:r>
      <w:r w:rsidR="00685363" w:rsidRPr="0067048A">
        <w:rPr>
          <w:rStyle w:val="Char3"/>
          <w:rFonts w:hint="eastAsia"/>
          <w:rtl/>
        </w:rPr>
        <w:t>وَ</w:t>
      </w:r>
      <w:r w:rsidR="00685363" w:rsidRPr="0067048A">
        <w:rPr>
          <w:rStyle w:val="Char3"/>
          <w:rFonts w:hint="cs"/>
          <w:rtl/>
        </w:rPr>
        <w:t>ٱ</w:t>
      </w:r>
      <w:r w:rsidR="00685363" w:rsidRPr="0067048A">
        <w:rPr>
          <w:rStyle w:val="Char3"/>
          <w:rFonts w:hint="eastAsia"/>
          <w:rtl/>
        </w:rPr>
        <w:t>ل</w:t>
      </w:r>
      <w:r w:rsidR="00685363" w:rsidRPr="0067048A">
        <w:rPr>
          <w:rStyle w:val="Char3"/>
          <w:rFonts w:hint="cs"/>
          <w:rtl/>
        </w:rPr>
        <w:t>ۡ</w:t>
      </w:r>
      <w:r w:rsidR="00685363" w:rsidRPr="0067048A">
        <w:rPr>
          <w:rStyle w:val="Char3"/>
          <w:rFonts w:hint="eastAsia"/>
          <w:rtl/>
        </w:rPr>
        <w:t>يَتَ</w:t>
      </w:r>
      <w:r w:rsidR="00685363" w:rsidRPr="0067048A">
        <w:rPr>
          <w:rStyle w:val="Char3"/>
          <w:rFonts w:hint="cs"/>
          <w:rtl/>
        </w:rPr>
        <w:t>ٰ</w:t>
      </w:r>
      <w:r w:rsidR="00685363" w:rsidRPr="0067048A">
        <w:rPr>
          <w:rStyle w:val="Char3"/>
          <w:rFonts w:hint="eastAsia"/>
          <w:rtl/>
        </w:rPr>
        <w:t>مَى</w:t>
      </w:r>
      <w:r w:rsidR="00685363" w:rsidRPr="0067048A">
        <w:rPr>
          <w:rStyle w:val="Char3"/>
          <w:rFonts w:hint="cs"/>
          <w:rtl/>
        </w:rPr>
        <w:t>ٰ</w:t>
      </w:r>
      <w:r w:rsidR="00685363" w:rsidRPr="0067048A">
        <w:rPr>
          <w:rStyle w:val="Char3"/>
          <w:rtl/>
        </w:rPr>
        <w:t xml:space="preserve"> </w:t>
      </w:r>
      <w:r w:rsidR="00685363" w:rsidRPr="0067048A">
        <w:rPr>
          <w:rStyle w:val="Char3"/>
          <w:rFonts w:hint="eastAsia"/>
          <w:rtl/>
        </w:rPr>
        <w:t>وَ</w:t>
      </w:r>
      <w:r w:rsidR="00685363" w:rsidRPr="0067048A">
        <w:rPr>
          <w:rStyle w:val="Char3"/>
          <w:rFonts w:hint="cs"/>
          <w:rtl/>
        </w:rPr>
        <w:t>ٱ</w:t>
      </w:r>
      <w:r w:rsidR="00685363" w:rsidRPr="0067048A">
        <w:rPr>
          <w:rStyle w:val="Char3"/>
          <w:rFonts w:hint="eastAsia"/>
          <w:rtl/>
        </w:rPr>
        <w:t>ل</w:t>
      </w:r>
      <w:r w:rsidR="00685363" w:rsidRPr="0067048A">
        <w:rPr>
          <w:rStyle w:val="Char3"/>
          <w:rFonts w:hint="cs"/>
          <w:rtl/>
        </w:rPr>
        <w:t>ۡ</w:t>
      </w:r>
      <w:r w:rsidR="00685363" w:rsidRPr="0067048A">
        <w:rPr>
          <w:rStyle w:val="Char3"/>
          <w:rFonts w:hint="eastAsia"/>
          <w:rtl/>
        </w:rPr>
        <w:t>مَسَ</w:t>
      </w:r>
      <w:r w:rsidR="00685363" w:rsidRPr="0067048A">
        <w:rPr>
          <w:rStyle w:val="Char3"/>
          <w:rFonts w:hint="cs"/>
          <w:rtl/>
        </w:rPr>
        <w:t>ٰ</w:t>
      </w:r>
      <w:r w:rsidR="00685363" w:rsidRPr="0067048A">
        <w:rPr>
          <w:rStyle w:val="Char3"/>
          <w:rFonts w:hint="eastAsia"/>
          <w:rtl/>
        </w:rPr>
        <w:t>كِينِ</w:t>
      </w:r>
      <w:r w:rsidR="00685363" w:rsidRPr="0067048A">
        <w:rPr>
          <w:rStyle w:val="Char3"/>
          <w:rtl/>
        </w:rPr>
        <w:t xml:space="preserve"> </w:t>
      </w:r>
      <w:r w:rsidR="00685363" w:rsidRPr="0067048A">
        <w:rPr>
          <w:rStyle w:val="Char3"/>
          <w:rFonts w:hint="eastAsia"/>
          <w:rtl/>
        </w:rPr>
        <w:t>وَ</w:t>
      </w:r>
      <w:r w:rsidR="00685363" w:rsidRPr="0067048A">
        <w:rPr>
          <w:rStyle w:val="Char3"/>
          <w:rFonts w:hint="cs"/>
          <w:rtl/>
        </w:rPr>
        <w:t>ٱ</w:t>
      </w:r>
      <w:r w:rsidR="00685363" w:rsidRPr="0067048A">
        <w:rPr>
          <w:rStyle w:val="Char3"/>
          <w:rFonts w:hint="eastAsia"/>
          <w:rtl/>
        </w:rPr>
        <w:t>ب</w:t>
      </w:r>
      <w:r w:rsidR="00685363" w:rsidRPr="0067048A">
        <w:rPr>
          <w:rStyle w:val="Char3"/>
          <w:rFonts w:hint="cs"/>
          <w:rtl/>
        </w:rPr>
        <w:t>ۡ</w:t>
      </w:r>
      <w:r w:rsidR="00685363" w:rsidRPr="0067048A">
        <w:rPr>
          <w:rStyle w:val="Char3"/>
          <w:rFonts w:hint="eastAsia"/>
          <w:rtl/>
        </w:rPr>
        <w:t>نِ</w:t>
      </w:r>
      <w:r w:rsidR="00685363" w:rsidRPr="0067048A">
        <w:rPr>
          <w:rStyle w:val="Char3"/>
          <w:rtl/>
        </w:rPr>
        <w:t xml:space="preserve"> </w:t>
      </w:r>
      <w:r w:rsidR="00685363" w:rsidRPr="0067048A">
        <w:rPr>
          <w:rStyle w:val="Char3"/>
          <w:rFonts w:hint="cs"/>
          <w:rtl/>
        </w:rPr>
        <w:t>ٱ</w:t>
      </w:r>
      <w:r w:rsidR="00685363" w:rsidRPr="0067048A">
        <w:rPr>
          <w:rStyle w:val="Char3"/>
          <w:rFonts w:hint="eastAsia"/>
          <w:rtl/>
        </w:rPr>
        <w:t>لسَّبِيلِ</w:t>
      </w:r>
      <w:r w:rsidR="00685363" w:rsidRPr="0067048A">
        <w:rPr>
          <w:rStyle w:val="Char3"/>
          <w:rtl/>
        </w:rPr>
        <w:t xml:space="preserve"> </w:t>
      </w:r>
      <w:r w:rsidR="00685363" w:rsidRPr="0067048A">
        <w:rPr>
          <w:rStyle w:val="Char3"/>
          <w:rFonts w:hint="eastAsia"/>
          <w:rtl/>
        </w:rPr>
        <w:t>كَي</w:t>
      </w:r>
      <w:r w:rsidR="00685363" w:rsidRPr="0067048A">
        <w:rPr>
          <w:rStyle w:val="Char3"/>
          <w:rFonts w:hint="cs"/>
          <w:rtl/>
        </w:rPr>
        <w:t>ۡ</w:t>
      </w:r>
      <w:r w:rsidR="00685363" w:rsidRPr="0067048A">
        <w:rPr>
          <w:rStyle w:val="Char3"/>
          <w:rtl/>
        </w:rPr>
        <w:t xml:space="preserve"> </w:t>
      </w:r>
      <w:r w:rsidR="00685363" w:rsidRPr="0067048A">
        <w:rPr>
          <w:rStyle w:val="Char3"/>
          <w:rFonts w:hint="eastAsia"/>
          <w:rtl/>
        </w:rPr>
        <w:t>لَا</w:t>
      </w:r>
      <w:r w:rsidR="00685363" w:rsidRPr="0067048A">
        <w:rPr>
          <w:rStyle w:val="Char3"/>
          <w:rtl/>
        </w:rPr>
        <w:t xml:space="preserve"> </w:t>
      </w:r>
      <w:r w:rsidR="00685363" w:rsidRPr="0067048A">
        <w:rPr>
          <w:rStyle w:val="Char3"/>
          <w:rFonts w:hint="eastAsia"/>
          <w:rtl/>
        </w:rPr>
        <w:t>يَكُونَ</w:t>
      </w:r>
      <w:r w:rsidR="00685363" w:rsidRPr="0067048A">
        <w:rPr>
          <w:rStyle w:val="Char3"/>
          <w:rtl/>
        </w:rPr>
        <w:t xml:space="preserve"> </w:t>
      </w:r>
      <w:r w:rsidR="00685363" w:rsidRPr="0067048A">
        <w:rPr>
          <w:rStyle w:val="Char3"/>
          <w:rFonts w:hint="eastAsia"/>
          <w:rtl/>
        </w:rPr>
        <w:t>دُولَةَ</w:t>
      </w:r>
      <w:r w:rsidR="00685363" w:rsidRPr="0067048A">
        <w:rPr>
          <w:rStyle w:val="Char3"/>
          <w:rFonts w:hint="cs"/>
          <w:rtl/>
        </w:rPr>
        <w:t>ۢ</w:t>
      </w:r>
      <w:r w:rsidR="00685363" w:rsidRPr="0067048A">
        <w:rPr>
          <w:rStyle w:val="Char3"/>
          <w:rtl/>
        </w:rPr>
        <w:t xml:space="preserve"> </w:t>
      </w:r>
      <w:r w:rsidR="00685363" w:rsidRPr="0067048A">
        <w:rPr>
          <w:rStyle w:val="Char3"/>
          <w:rFonts w:hint="eastAsia"/>
          <w:rtl/>
        </w:rPr>
        <w:t>بَي</w:t>
      </w:r>
      <w:r w:rsidR="00685363" w:rsidRPr="0067048A">
        <w:rPr>
          <w:rStyle w:val="Char3"/>
          <w:rFonts w:hint="cs"/>
          <w:rtl/>
        </w:rPr>
        <w:t>ۡ</w:t>
      </w:r>
      <w:r w:rsidR="00685363" w:rsidRPr="0067048A">
        <w:rPr>
          <w:rStyle w:val="Char3"/>
          <w:rFonts w:hint="eastAsia"/>
          <w:rtl/>
        </w:rPr>
        <w:t>نَ</w:t>
      </w:r>
      <w:r w:rsidR="00685363" w:rsidRPr="0067048A">
        <w:rPr>
          <w:rStyle w:val="Char3"/>
          <w:rtl/>
        </w:rPr>
        <w:t xml:space="preserve"> </w:t>
      </w:r>
      <w:r w:rsidR="00685363" w:rsidRPr="0067048A">
        <w:rPr>
          <w:rStyle w:val="Char3"/>
          <w:rFonts w:hint="cs"/>
          <w:rtl/>
        </w:rPr>
        <w:t>ٱ</w:t>
      </w:r>
      <w:r w:rsidR="00685363" w:rsidRPr="0067048A">
        <w:rPr>
          <w:rStyle w:val="Char3"/>
          <w:rFonts w:hint="eastAsia"/>
          <w:rtl/>
        </w:rPr>
        <w:t>ل</w:t>
      </w:r>
      <w:r w:rsidR="00685363" w:rsidRPr="0067048A">
        <w:rPr>
          <w:rStyle w:val="Char3"/>
          <w:rFonts w:hint="cs"/>
          <w:rtl/>
        </w:rPr>
        <w:t>ۡ</w:t>
      </w:r>
      <w:r w:rsidR="00685363" w:rsidRPr="0067048A">
        <w:rPr>
          <w:rStyle w:val="Char3"/>
          <w:rFonts w:hint="eastAsia"/>
          <w:rtl/>
        </w:rPr>
        <w:t>أَغ</w:t>
      </w:r>
      <w:r w:rsidR="00685363" w:rsidRPr="0067048A">
        <w:rPr>
          <w:rStyle w:val="Char3"/>
          <w:rFonts w:hint="cs"/>
          <w:rtl/>
        </w:rPr>
        <w:t>ۡ</w:t>
      </w:r>
      <w:r w:rsidR="00685363" w:rsidRPr="0067048A">
        <w:rPr>
          <w:rStyle w:val="Char3"/>
          <w:rFonts w:hint="eastAsia"/>
          <w:rtl/>
        </w:rPr>
        <w:t>نِيَا</w:t>
      </w:r>
      <w:r w:rsidR="00685363" w:rsidRPr="0067048A">
        <w:rPr>
          <w:rStyle w:val="Char3"/>
          <w:rFonts w:hint="cs"/>
          <w:rtl/>
        </w:rPr>
        <w:t>ٓ</w:t>
      </w:r>
      <w:r w:rsidR="00685363" w:rsidRPr="0067048A">
        <w:rPr>
          <w:rStyle w:val="Char3"/>
          <w:rFonts w:hint="eastAsia"/>
          <w:rtl/>
        </w:rPr>
        <w:t>ءِ</w:t>
      </w:r>
      <w:r w:rsidR="00685363" w:rsidRPr="0067048A">
        <w:rPr>
          <w:rStyle w:val="Char3"/>
          <w:rtl/>
        </w:rPr>
        <w:t xml:space="preserve"> </w:t>
      </w:r>
      <w:r w:rsidR="00685363" w:rsidRPr="0067048A">
        <w:rPr>
          <w:rStyle w:val="Char3"/>
          <w:rFonts w:hint="eastAsia"/>
          <w:rtl/>
        </w:rPr>
        <w:t>مِنكُم</w:t>
      </w:r>
      <w:r w:rsidR="00685363" w:rsidRPr="0067048A">
        <w:rPr>
          <w:rStyle w:val="Char3"/>
          <w:rFonts w:hint="cs"/>
          <w:rtl/>
        </w:rPr>
        <w:t>ۡ</w:t>
      </w:r>
      <w:r w:rsidR="00685363" w:rsidRPr="00995B26">
        <w:rPr>
          <w:rFonts w:ascii="Abo-thar" w:hAnsi="Abo-thar" w:cs="Traditional Arabic" w:hint="cs"/>
          <w:sz w:val="28"/>
          <w:rtl/>
          <w:lang w:bidi="ar-SY"/>
        </w:rPr>
        <w:t>﴾</w:t>
      </w:r>
      <w:r w:rsidRPr="00995B26">
        <w:rPr>
          <w:rFonts w:ascii="Abo-thar" w:hAnsi="Abo-thar"/>
          <w:b/>
          <w:bCs/>
          <w:sz w:val="28"/>
          <w:rtl/>
          <w:lang w:bidi="ar-SY"/>
        </w:rPr>
        <w:t xml:space="preserve"> </w:t>
      </w:r>
      <w:r w:rsidR="00685363" w:rsidRPr="003108CB">
        <w:rPr>
          <w:rStyle w:val="Char2"/>
          <w:rFonts w:hint="cs"/>
          <w:rtl/>
        </w:rPr>
        <w:t>[</w:t>
      </w:r>
      <w:r w:rsidRPr="003108CB">
        <w:rPr>
          <w:rStyle w:val="Char2"/>
          <w:rFonts w:hint="cs"/>
          <w:rtl/>
        </w:rPr>
        <w:t>الحشر</w:t>
      </w:r>
      <w:r w:rsidR="00685363" w:rsidRPr="003108CB">
        <w:rPr>
          <w:rStyle w:val="Char2"/>
          <w:rFonts w:hint="cs"/>
          <w:rtl/>
        </w:rPr>
        <w:t xml:space="preserve">: </w:t>
      </w:r>
      <w:r w:rsidRPr="003108CB">
        <w:rPr>
          <w:rStyle w:val="Char2"/>
          <w:rFonts w:hint="cs"/>
          <w:rtl/>
        </w:rPr>
        <w:t>7</w:t>
      </w:r>
      <w:r w:rsidR="00685363" w:rsidRPr="003108CB">
        <w:rPr>
          <w:rStyle w:val="Char2"/>
          <w:rFonts w:hint="cs"/>
          <w:rtl/>
        </w:rPr>
        <w:t>]</w:t>
      </w:r>
      <w:r w:rsidRPr="00995B26">
        <w:rPr>
          <w:rFonts w:ascii="Abo-thar" w:hAnsi="Abo-thar" w:hint="cs"/>
          <w:b/>
          <w:bCs/>
          <w:sz w:val="28"/>
          <w:rtl/>
          <w:lang w:bidi="ar-SY"/>
        </w:rPr>
        <w:t xml:space="preserve"> </w:t>
      </w:r>
      <w:r w:rsidRPr="00CE7623">
        <w:rPr>
          <w:rFonts w:ascii="Abo-thar" w:hAnsi="Abo-thar" w:cs="KFGQPC Uthman Taha Naskh"/>
          <w:b/>
          <w:bCs/>
          <w:sz w:val="28"/>
          <w:rtl/>
          <w:lang w:bidi="ar-SY"/>
        </w:rPr>
        <w:t>قَالَ</w:t>
      </w:r>
      <w:r w:rsidR="00217AB4" w:rsidRPr="00CE7623">
        <w:rPr>
          <w:rFonts w:ascii="Abo-thar" w:hAnsi="Abo-thar" w:cs="KFGQPC Uthman Taha Naskh" w:hint="cs"/>
          <w:b/>
          <w:bCs/>
          <w:sz w:val="28"/>
          <w:rtl/>
          <w:lang w:bidi="ar-SY"/>
        </w:rPr>
        <w:t>:</w:t>
      </w:r>
      <w:r w:rsidRPr="00CE7623">
        <w:rPr>
          <w:rFonts w:ascii="Abo-thar" w:hAnsi="Abo-thar" w:cs="KFGQPC Uthman Taha Naskh"/>
          <w:b/>
          <w:bCs/>
          <w:sz w:val="28"/>
          <w:rtl/>
          <w:lang w:bidi="ar-SY"/>
        </w:rPr>
        <w:t xml:space="preserve"> بِمَا مَنَعْتَنِي وأَنَا ابْنُ‏</w:t>
      </w:r>
      <w:r w:rsidRPr="00CE7623">
        <w:rPr>
          <w:rFonts w:ascii="Abo-thar" w:hAnsi="Abo-thar" w:cs="KFGQPC Uthman Taha Naskh" w:hint="cs"/>
          <w:b/>
          <w:bCs/>
          <w:sz w:val="28"/>
          <w:rtl/>
          <w:lang w:bidi="ar-SY"/>
        </w:rPr>
        <w:t xml:space="preserve"> </w:t>
      </w:r>
      <w:r w:rsidRPr="00CE7623">
        <w:rPr>
          <w:rFonts w:ascii="Abo-thar" w:hAnsi="Abo-thar" w:cs="KFGQPC Uthman Taha Naskh"/>
          <w:b/>
          <w:bCs/>
          <w:sz w:val="28"/>
          <w:rtl/>
          <w:lang w:bidi="ar-SY"/>
        </w:rPr>
        <w:t>السَّبِيلِ مُنْقَطَعٌ ب</w:t>
      </w:r>
      <w:r w:rsidRPr="00CE7623">
        <w:rPr>
          <w:rFonts w:ascii="Abo-thar" w:hAnsi="Abo-thar" w:cs="KFGQPC Uthman Taha Naskh" w:hint="cs"/>
          <w:b/>
          <w:bCs/>
          <w:sz w:val="28"/>
          <w:rtl/>
          <w:lang w:bidi="ar-SY"/>
        </w:rPr>
        <w:t>ي</w:t>
      </w:r>
      <w:r w:rsidRPr="00CE7623">
        <w:rPr>
          <w:rFonts w:ascii="Abo-thar" w:hAnsi="Abo-thar" w:cs="KFGQPC Uthman Taha Naskh"/>
          <w:b/>
          <w:bCs/>
          <w:sz w:val="28"/>
          <w:rtl/>
          <w:lang w:bidi="ar-SY"/>
        </w:rPr>
        <w:t xml:space="preserve"> ومِسْكِينٌ لَا</w:t>
      </w:r>
      <w:r w:rsidRPr="00CE7623">
        <w:rPr>
          <w:rFonts w:cs="Times New Roman" w:hint="cs"/>
          <w:b/>
          <w:bCs/>
          <w:sz w:val="28"/>
          <w:rtl/>
          <w:lang w:bidi="ar-SY"/>
        </w:rPr>
        <w:t> </w:t>
      </w:r>
      <w:r w:rsidRPr="00CE7623">
        <w:rPr>
          <w:rFonts w:ascii="Abo-thar" w:hAnsi="Abo-thar" w:cs="KFGQPC Uthman Taha Naskh"/>
          <w:b/>
          <w:bCs/>
          <w:sz w:val="28"/>
          <w:rtl/>
          <w:lang w:bidi="ar-SY"/>
        </w:rPr>
        <w:t xml:space="preserve">أَرْجِعُ إِلَى شَيْ‏ءٍ ومِنْ حَمَلَةِ الْقُرْآنِ فَقَالَ لَهُ المَأْمُونُ أُعَطِّلُ حَدّاً مِنْ حُدُودِ </w:t>
      </w:r>
      <w:r w:rsidR="00F664A6" w:rsidRPr="00CE7623">
        <w:rPr>
          <w:rFonts w:ascii="Abo-thar" w:hAnsi="Abo-thar" w:cs="KFGQPC Uthman Taha Naskh"/>
          <w:b/>
          <w:bCs/>
          <w:sz w:val="28"/>
          <w:rtl/>
          <w:lang w:bidi="ar-SY"/>
        </w:rPr>
        <w:t>اللهِ</w:t>
      </w:r>
      <w:r w:rsidRPr="00CE7623">
        <w:rPr>
          <w:rFonts w:ascii="Abo-thar" w:hAnsi="Abo-thar" w:cs="KFGQPC Uthman Taha Naskh"/>
          <w:b/>
          <w:bCs/>
          <w:sz w:val="28"/>
          <w:rtl/>
          <w:lang w:bidi="ar-SY"/>
        </w:rPr>
        <w:t xml:space="preserve"> وحُكْماً مِنْ أَحْكَامِهِ فِي السَّارِقِ مِنْ أَسَاطِيرِكَ هَذِهِ فَقَالَ الصُّوفِيُّ ابْدَأْ بِنَفْسِكَ فَطَهِّرْهَا ثُمَّ طَهِّرْ غَيْرَكَ وأَقِمْ حَدَّ </w:t>
      </w:r>
      <w:r w:rsidR="00F664A6" w:rsidRPr="00CE7623">
        <w:rPr>
          <w:rFonts w:ascii="Abo-thar" w:hAnsi="Abo-thar" w:cs="KFGQPC Uthman Taha Naskh"/>
          <w:b/>
          <w:bCs/>
          <w:sz w:val="28"/>
          <w:rtl/>
          <w:lang w:bidi="ar-SY"/>
        </w:rPr>
        <w:t>اللهِ</w:t>
      </w:r>
      <w:r w:rsidRPr="00CE7623">
        <w:rPr>
          <w:rFonts w:ascii="Abo-thar" w:hAnsi="Abo-thar" w:cs="KFGQPC Uthman Taha Naskh"/>
          <w:b/>
          <w:bCs/>
          <w:sz w:val="28"/>
          <w:rtl/>
          <w:lang w:bidi="ar-SY"/>
        </w:rPr>
        <w:t xml:space="preserve"> عَلَيْهَا ثُمَّ عَلَى غَيْرِكَ فَال</w:t>
      </w:r>
      <w:r w:rsidR="00AB263F">
        <w:rPr>
          <w:rFonts w:ascii="Abo-thar" w:hAnsi="Abo-thar" w:cs="KFGQPC Uthman Taha Naskh"/>
          <w:b/>
          <w:bCs/>
          <w:sz w:val="28"/>
          <w:rtl/>
          <w:lang w:bidi="ar-SY"/>
        </w:rPr>
        <w:t>ْتَفَتَ المَأْمُونُ إِلَى أَبِي</w:t>
      </w:r>
      <w:r w:rsidR="00AB263F">
        <w:rPr>
          <w:rFonts w:ascii="Abo-thar" w:hAnsi="Abo-thar" w:cs="KFGQPC Uthman Taha Naskh" w:hint="eastAsia"/>
          <w:b/>
          <w:bCs/>
          <w:sz w:val="28"/>
          <w:rtl/>
          <w:lang w:bidi="ar-SY"/>
        </w:rPr>
        <w:t>‌</w:t>
      </w:r>
      <w:r w:rsidRPr="00CE7623">
        <w:rPr>
          <w:rFonts w:ascii="Abo-thar" w:hAnsi="Abo-thar" w:cs="KFGQPC Uthman Taha Naskh"/>
          <w:b/>
          <w:bCs/>
          <w:sz w:val="28"/>
          <w:rtl/>
          <w:lang w:bidi="ar-SY"/>
        </w:rPr>
        <w:t xml:space="preserve">الحَسَنِ </w:t>
      </w:r>
      <w:r w:rsidR="00BC4BA9" w:rsidRPr="00BC4BA9">
        <w:rPr>
          <w:rFonts w:ascii="Abo-thar" w:hAnsi="Abo-thar" w:cs="CTraditional Arabic" w:hint="cs"/>
          <w:b/>
          <w:sz w:val="28"/>
          <w:rtl/>
          <w:lang w:bidi="ar-SY"/>
        </w:rPr>
        <w:t>÷</w:t>
      </w:r>
      <w:r w:rsidRPr="00CE7623">
        <w:rPr>
          <w:rFonts w:ascii="Abo-thar" w:hAnsi="Abo-thar" w:cs="KFGQPC Uthman Taha Naskh"/>
          <w:b/>
          <w:bCs/>
          <w:sz w:val="28"/>
          <w:rtl/>
          <w:lang w:bidi="ar-SY"/>
        </w:rPr>
        <w:t xml:space="preserve"> فَقَالَ مَا تَقُولُ فَقَالَ إِنَّهُ يَقُولُ سَرَقْتَ فَسَرَقَ فَغَضِبَ المَأْمُونُ غَضَباً شَدِيداً ثُمَّ قَالَ لِلصُّوفِيِّ و</w:t>
      </w:r>
      <w:r w:rsidRPr="00CE7623">
        <w:rPr>
          <w:rFonts w:ascii="Abo-thar" w:hAnsi="Abo-thar" w:cs="KFGQPC Uthman Taha Naskh" w:hint="cs"/>
          <w:b/>
          <w:bCs/>
          <w:sz w:val="28"/>
          <w:rtl/>
          <w:lang w:bidi="ar-SY"/>
        </w:rPr>
        <w:t>َ</w:t>
      </w:r>
      <w:r w:rsidRPr="00CE7623">
        <w:rPr>
          <w:rFonts w:ascii="Abo-thar" w:hAnsi="Abo-thar" w:cs="KFGQPC Uthman Taha Naskh"/>
          <w:b/>
          <w:bCs/>
          <w:sz w:val="28"/>
          <w:rtl/>
          <w:lang w:bidi="ar-SY"/>
        </w:rPr>
        <w:t>اللهِ لَأَقْطَعَنَّكَ فَقَالَ الصُّوفِيُّ أَ تَقْطَعُنِي وأَنْتَ عَبْدٌ لِي فَقَالَ المَأْمُونُ وَيْلَكَ ومِنْ أَيْنَ صِرْتُ عَبْداً لَكَ قَالَ لِأَنَّ أُمَّكَ اشْتُرِيَتْ مِنْ مَالِ المُسْلِمِينَ فَأَنْتَ عَبْدٌ لِمَنْ فِي المَشْرِقِ والْمَغْرِبِ حَتَّى يُعْتِقُوكَ وأَنَا لَمْ أُعْتِقْكَ ثُمَّ بَلَعْتَ الخُمُسَ بَعْدَ ذَلِكَ فَلَا أَعْطَيْتَ آلَ الرَّسُولِ حَقّاً ولَا أَعْطَيْتَنِي ونُظَرَائِي حَقَّنَا والْأُخْرَى أَنَّ الخَبِيثَ لَا</w:t>
      </w:r>
      <w:r w:rsidRPr="00CE7623">
        <w:rPr>
          <w:rFonts w:cs="Times New Roman" w:hint="cs"/>
          <w:b/>
          <w:bCs/>
          <w:sz w:val="28"/>
          <w:rtl/>
          <w:lang w:bidi="ar-SY"/>
        </w:rPr>
        <w:t> </w:t>
      </w:r>
      <w:r w:rsidRPr="00CE7623">
        <w:rPr>
          <w:rFonts w:ascii="Abo-thar" w:hAnsi="Abo-thar" w:cs="KFGQPC Uthman Taha Naskh"/>
          <w:b/>
          <w:bCs/>
          <w:sz w:val="28"/>
          <w:rtl/>
          <w:lang w:bidi="ar-SY"/>
        </w:rPr>
        <w:t xml:space="preserve">يُطَهِّرُ خَبِيثاً مِثْلَهُ إِنَّمَا يُطَهِّرُهُ طَاهِرٌ ومَنْ فِي جَنْبِهِ الحَدُّ لَا يُقِيمُ الحُدُودَ عَلَى غَيْرِهِ حَتَّى يَبْدَأَ بِنَفْسِهِ أَ مَا سَمِعْتَ اللهَ عَزَّ وجَلَّ يَقُولُ أَ تَأْمُرُونَ النَّاسَ بِالْبِرِّ وتَنْسَوْنَ أَنْفُسَكُمْ وأَنْتُمْ تَتْلُونَ الْكِتابَ أَ فَلا تَعْقِلُونَ فَالْتَفَتَ الْمَأْمُونُ إِلَى الرِّضَا </w:t>
      </w:r>
      <w:r w:rsidR="00BC4BA9" w:rsidRPr="00BC4BA9">
        <w:rPr>
          <w:rFonts w:ascii="Abo-thar" w:hAnsi="Abo-thar" w:cs="CTraditional Arabic" w:hint="cs"/>
          <w:b/>
          <w:sz w:val="28"/>
          <w:rtl/>
          <w:lang w:bidi="ar-SY"/>
        </w:rPr>
        <w:t>÷</w:t>
      </w:r>
      <w:r w:rsidRPr="00CE7623">
        <w:rPr>
          <w:rFonts w:ascii="Abo-thar" w:hAnsi="Abo-thar" w:cs="KFGQPC Uthman Taha Naskh"/>
          <w:b/>
          <w:bCs/>
          <w:sz w:val="28"/>
          <w:rtl/>
          <w:lang w:bidi="ar-SY"/>
        </w:rPr>
        <w:t xml:space="preserve"> فَقَالَ مَا تَرَى فِي أَمْرِهِ فَقَالَ </w:t>
      </w:r>
      <w:r w:rsidR="00BC4BA9" w:rsidRPr="00BC4BA9">
        <w:rPr>
          <w:rFonts w:ascii="Abo-thar" w:hAnsi="Abo-thar" w:cs="CTraditional Arabic" w:hint="cs"/>
          <w:b/>
          <w:sz w:val="28"/>
          <w:rtl/>
          <w:lang w:bidi="ar-SY"/>
        </w:rPr>
        <w:t>÷</w:t>
      </w:r>
      <w:r w:rsidR="00217AB4" w:rsidRPr="00CE7623">
        <w:rPr>
          <w:rFonts w:ascii="Abo-thar" w:hAnsi="Abo-thar" w:cs="KFGQPC Uthman Taha Naskh" w:hint="cs"/>
          <w:b/>
          <w:bCs/>
          <w:sz w:val="28"/>
          <w:rtl/>
          <w:lang w:bidi="ar-SY"/>
        </w:rPr>
        <w:t>:</w:t>
      </w:r>
      <w:r w:rsidRPr="00CE7623">
        <w:rPr>
          <w:rFonts w:ascii="Abo-thar" w:hAnsi="Abo-thar" w:cs="KFGQPC Uthman Taha Naskh"/>
          <w:b/>
          <w:bCs/>
          <w:sz w:val="28"/>
          <w:rtl/>
          <w:lang w:bidi="ar-SY"/>
        </w:rPr>
        <w:t xml:space="preserve"> إِنَّ اللهَ جَلَّ جَلَالُهُ قَالَ لِمُحَمَّدٍ</w:t>
      </w:r>
      <w:r w:rsidR="00147857" w:rsidRPr="00CE7623">
        <w:rPr>
          <w:rFonts w:ascii="Abo-thar" w:hAnsi="Abo-thar" w:cs="KFGQPC Uthman Taha Naskh"/>
          <w:b/>
          <w:bCs/>
          <w:sz w:val="28"/>
          <w:rtl/>
          <w:lang w:bidi="ar-SY"/>
        </w:rPr>
        <w:t xml:space="preserve"> </w:t>
      </w:r>
      <w:r w:rsidR="003C7AEB" w:rsidRPr="003C7AEB">
        <w:rPr>
          <w:rFonts w:ascii="Abo-thar" w:hAnsi="Abo-thar" w:cs="CTraditional Arabic"/>
          <w:sz w:val="28"/>
          <w:rtl/>
          <w:lang w:bidi="ar-SY"/>
        </w:rPr>
        <w:t>ص</w:t>
      </w:r>
      <w:r w:rsidR="00147857" w:rsidRPr="00CE7623">
        <w:rPr>
          <w:rFonts w:ascii="Abo-thar" w:hAnsi="Abo-thar" w:cs="KFGQPC Uthman Taha Naskh"/>
          <w:sz w:val="28"/>
          <w:rtl/>
          <w:lang w:bidi="ar-SY"/>
        </w:rPr>
        <w:t xml:space="preserve"> </w:t>
      </w:r>
      <w:r w:rsidRPr="00CE7623">
        <w:rPr>
          <w:rFonts w:ascii="Abo-thar" w:hAnsi="Abo-thar" w:cs="KFGQPC Uthman Taha Naskh"/>
          <w:b/>
          <w:bCs/>
          <w:sz w:val="28"/>
          <w:rtl/>
          <w:lang w:bidi="ar-SY"/>
        </w:rPr>
        <w:t>فَلِلَّهِ الحُجَّةُ الْبالِغَةُ وهِيَ الَّتِي تَبْلُغُ الجَاهِلَ فَيَعْلَمُهَا بِجَهْلِهِ كَمَا يَعْلَمُهَا الْعَالِمُ بِعِلْمِهِ والدُّنْيَا والْآخِرَةُ قَائِمَتَانِ بِالحُجَّةِ وقَدِ احْتَجَّ الرَّجُلُ فَأَمَرَ المَأْمُونُ عِنْدَ ذَلِكَ بِإِطْلَاقِ الصُّوفِي</w:t>
      </w:r>
      <w:r w:rsidR="00EF2588" w:rsidRPr="00CE7623">
        <w:rPr>
          <w:rFonts w:ascii="Abo-thar" w:hAnsi="Abo-thar" w:cs="KFGQPC Uthman Taha Naskh" w:hint="cs"/>
          <w:sz w:val="28"/>
          <w:rtl/>
          <w:lang w:bidi="ar-SY"/>
        </w:rPr>
        <w:t>»</w:t>
      </w:r>
      <w:r w:rsidR="00F664A6" w:rsidRPr="0021507A">
        <w:rPr>
          <w:rFonts w:cs="Arabic11 BT"/>
          <w:b/>
          <w:sz w:val="28"/>
          <w:vertAlign w:val="superscript"/>
          <w:rtl/>
          <w:lang w:bidi="ar-SY"/>
        </w:rPr>
        <w:t>(</w:t>
      </w:r>
      <w:r w:rsidR="00F664A6" w:rsidRPr="0021507A">
        <w:rPr>
          <w:rStyle w:val="FootnoteReference"/>
          <w:rFonts w:cs="Arabic11 BT"/>
          <w:b/>
          <w:sz w:val="28"/>
          <w:rtl/>
          <w:lang w:bidi="ar-SY"/>
        </w:rPr>
        <w:footnoteReference w:id="78"/>
      </w:r>
      <w:r w:rsidR="00F664A6" w:rsidRPr="0021507A">
        <w:rPr>
          <w:rFonts w:cs="Arabic11 BT"/>
          <w:b/>
          <w:sz w:val="28"/>
          <w:vertAlign w:val="superscript"/>
          <w:rtl/>
          <w:lang w:bidi="ar-SY"/>
        </w:rPr>
        <w:t>)</w:t>
      </w:r>
      <w:r w:rsidR="00217AB4" w:rsidRPr="00995B26">
        <w:rPr>
          <w:rFonts w:ascii="Abo-thar" w:hAnsi="Abo-thar" w:hint="cs"/>
          <w:sz w:val="28"/>
          <w:rtl/>
          <w:lang w:bidi="ar-SY"/>
        </w:rPr>
        <w:t>.</w:t>
      </w:r>
      <w:r w:rsidRPr="00995B26">
        <w:rPr>
          <w:rFonts w:ascii="Abo-thar" w:hAnsi="Abo-thar"/>
          <w:sz w:val="28"/>
          <w:rtl/>
          <w:lang w:bidi="ar-SY"/>
        </w:rPr>
        <w:t>‏</w:t>
      </w:r>
    </w:p>
    <w:p w:rsidR="005C664D" w:rsidRPr="003F3B94" w:rsidRDefault="005C664D" w:rsidP="00F01069">
      <w:pPr>
        <w:pStyle w:val="a0"/>
        <w:rPr>
          <w:rFonts w:hint="cs"/>
          <w:rtl/>
          <w:lang w:bidi="ar-SY"/>
        </w:rPr>
      </w:pPr>
      <w:r w:rsidRPr="003F3B94">
        <w:rPr>
          <w:rFonts w:ascii="Abo-thar" w:hAnsi="Abo-thar" w:hint="cs"/>
          <w:sz w:val="28"/>
          <w:rtl/>
          <w:lang w:bidi="ar-SY"/>
        </w:rPr>
        <w:t>في هذا الحديث الشريف</w:t>
      </w:r>
      <w:r w:rsidR="00217AB4" w:rsidRPr="003F3B94">
        <w:rPr>
          <w:rFonts w:ascii="Abo-thar" w:hAnsi="Abo-thar" w:hint="cs"/>
          <w:sz w:val="28"/>
          <w:rtl/>
          <w:lang w:bidi="ar-SY"/>
        </w:rPr>
        <w:t>،</w:t>
      </w:r>
      <w:r w:rsidRPr="003F3B94">
        <w:rPr>
          <w:rFonts w:ascii="Abo-thar" w:hAnsi="Abo-thar" w:hint="cs"/>
          <w:sz w:val="28"/>
          <w:rtl/>
          <w:lang w:bidi="ar-SY"/>
        </w:rPr>
        <w:t xml:space="preserve"> ادعى الرجل الصوفي الذي لم يكن بداهةً من بني هاشم حقه من خمس وسهم المساكين وأبناء السبيل</w:t>
      </w:r>
      <w:r w:rsidR="00217AB4" w:rsidRPr="003F3B94">
        <w:rPr>
          <w:rFonts w:ascii="Abo-thar" w:hAnsi="Abo-thar" w:hint="cs"/>
          <w:sz w:val="28"/>
          <w:rtl/>
          <w:lang w:bidi="ar-SY"/>
        </w:rPr>
        <w:t>،</w:t>
      </w:r>
      <w:r w:rsidRPr="003F3B94">
        <w:rPr>
          <w:rFonts w:ascii="Abo-thar" w:hAnsi="Abo-thar" w:hint="cs"/>
          <w:sz w:val="28"/>
          <w:rtl/>
          <w:lang w:bidi="ar-SY"/>
        </w:rPr>
        <w:t xml:space="preserve"> وقد صدَّقه حضرة الرضا </w:t>
      </w:r>
      <w:r w:rsidR="003C7AEB" w:rsidRPr="003C7AEB">
        <w:rPr>
          <w:rFonts w:ascii="Abo-thar" w:hAnsi="Abo-thar" w:cs="CTraditional Arabic" w:hint="cs"/>
          <w:sz w:val="28"/>
          <w:rtl/>
          <w:lang w:bidi="ar-SY"/>
        </w:rPr>
        <w:t>÷</w:t>
      </w:r>
      <w:r w:rsidRPr="003F3B94">
        <w:rPr>
          <w:rFonts w:ascii="Abo-thar" w:hAnsi="Abo-thar" w:hint="cs"/>
          <w:sz w:val="28"/>
          <w:rtl/>
          <w:lang w:bidi="ar-SY"/>
        </w:rPr>
        <w:t xml:space="preserve"> وأدان المأمون</w:t>
      </w:r>
      <w:r w:rsidR="00217AB4" w:rsidRPr="003F3B94">
        <w:rPr>
          <w:rFonts w:ascii="Abo-thar" w:hAnsi="Abo-thar" w:hint="cs"/>
          <w:sz w:val="28"/>
          <w:rtl/>
          <w:lang w:bidi="ar-SY"/>
        </w:rPr>
        <w:t>.</w:t>
      </w:r>
      <w:r w:rsidRPr="003F3B94">
        <w:rPr>
          <w:rFonts w:ascii="Abo-thar" w:hAnsi="Abo-thar" w:hint="cs"/>
          <w:sz w:val="28"/>
          <w:rtl/>
          <w:lang w:bidi="ar-SY"/>
        </w:rPr>
        <w:t xml:space="preserve"> مما يبين بوضوح أن المسكين وابن السبيل في آية خمس المغانم هم مساكين وأبناء سبيل عامة المسلمين</w:t>
      </w:r>
      <w:r w:rsidR="00217AB4" w:rsidRPr="003F3B94">
        <w:rPr>
          <w:rFonts w:ascii="Abo-thar" w:hAnsi="Abo-thar" w:hint="cs"/>
          <w:sz w:val="28"/>
          <w:rtl/>
          <w:lang w:bidi="ar-SY"/>
        </w:rPr>
        <w:t>.</w:t>
      </w:r>
    </w:p>
    <w:p w:rsidR="005C664D" w:rsidRPr="003F3B94" w:rsidRDefault="005C664D" w:rsidP="00F01069">
      <w:pPr>
        <w:pStyle w:val="a0"/>
        <w:rPr>
          <w:rFonts w:hint="cs"/>
          <w:rtl/>
          <w:lang w:bidi="ar-SY"/>
        </w:rPr>
      </w:pPr>
      <w:r w:rsidRPr="003F3B94">
        <w:rPr>
          <w:rFonts w:ascii="Abo-thar" w:hAnsi="Abo-thar" w:hint="cs"/>
          <w:sz w:val="28"/>
          <w:rtl/>
          <w:lang w:bidi="ar-SY"/>
        </w:rPr>
        <w:t>9</w:t>
      </w:r>
      <w:r w:rsidR="00217AB4" w:rsidRPr="003F3B94">
        <w:rPr>
          <w:rFonts w:ascii="Abo-thar" w:hAnsi="Abo-thar" w:hint="cs"/>
          <w:sz w:val="28"/>
          <w:rtl/>
          <w:lang w:bidi="ar-SY"/>
        </w:rPr>
        <w:t>-</w:t>
      </w:r>
      <w:r w:rsidRPr="003F3B94">
        <w:rPr>
          <w:rFonts w:ascii="Abo-thar" w:hAnsi="Abo-thar" w:hint="cs"/>
          <w:sz w:val="28"/>
          <w:rtl/>
          <w:lang w:bidi="ar-SY"/>
        </w:rPr>
        <w:t xml:space="preserve"> جاء في مسند حضرة الإمام زيد بن علي بن الحسين</w:t>
      </w:r>
      <w:r w:rsidR="00217AB4" w:rsidRPr="003F3B94">
        <w:rPr>
          <w:rFonts w:ascii="Abo-thar" w:hAnsi="Abo-thar" w:hint="cs"/>
          <w:sz w:val="28"/>
          <w:rtl/>
          <w:lang w:bidi="ar-SY"/>
        </w:rPr>
        <w:t>:</w:t>
      </w:r>
      <w:r w:rsidRPr="003F3B94">
        <w:rPr>
          <w:rFonts w:ascii="Abo-thar" w:hAnsi="Abo-thar" w:hint="cs"/>
          <w:sz w:val="28"/>
          <w:rtl/>
          <w:lang w:bidi="ar-SY"/>
        </w:rPr>
        <w:t xml:space="preserve"> </w:t>
      </w:r>
      <w:r w:rsidR="00EF2588" w:rsidRPr="00CE7623">
        <w:rPr>
          <w:rFonts w:ascii="Abo-thar" w:hAnsi="Abo-thar" w:cs="KFGQPC Uthman Taha Naskh" w:hint="cs"/>
          <w:sz w:val="28"/>
          <w:rtl/>
          <w:lang w:bidi="ar-SY"/>
        </w:rPr>
        <w:t>«</w:t>
      </w:r>
      <w:r w:rsidRPr="00CE7623">
        <w:rPr>
          <w:rFonts w:ascii="Abo-thar" w:hAnsi="Abo-thar" w:cs="KFGQPC Uthman Taha Naskh"/>
          <w:b/>
          <w:bCs/>
          <w:sz w:val="28"/>
          <w:rtl/>
          <w:lang w:bidi="ar-SY"/>
        </w:rPr>
        <w:t>سألت</w:t>
      </w:r>
      <w:r w:rsidRPr="00CE7623">
        <w:rPr>
          <w:rFonts w:ascii="Abo-thar" w:hAnsi="Abo-thar" w:cs="KFGQPC Uthman Taha Naskh" w:hint="cs"/>
          <w:b/>
          <w:bCs/>
          <w:sz w:val="28"/>
          <w:rtl/>
          <w:lang w:bidi="ar-SY"/>
        </w:rPr>
        <w:t>ُ</w:t>
      </w:r>
      <w:r w:rsidRPr="00CE7623">
        <w:rPr>
          <w:rFonts w:ascii="Abo-thar" w:hAnsi="Abo-thar" w:cs="KFGQPC Uthman Taha Naskh"/>
          <w:b/>
          <w:bCs/>
          <w:sz w:val="28"/>
          <w:rtl/>
          <w:lang w:bidi="ar-SY"/>
        </w:rPr>
        <w:t xml:space="preserve"> زيد</w:t>
      </w:r>
      <w:r w:rsidRPr="00CE7623">
        <w:rPr>
          <w:rFonts w:ascii="Abo-thar" w:hAnsi="Abo-thar" w:cs="KFGQPC Uthman Taha Naskh" w:hint="cs"/>
          <w:b/>
          <w:bCs/>
          <w:sz w:val="28"/>
          <w:rtl/>
          <w:lang w:bidi="ar-SY"/>
        </w:rPr>
        <w:t>َ</w:t>
      </w:r>
      <w:r w:rsidRPr="00CE7623">
        <w:rPr>
          <w:rFonts w:ascii="Abo-thar" w:hAnsi="Abo-thar" w:cs="KFGQPC Uthman Taha Naskh"/>
          <w:b/>
          <w:bCs/>
          <w:sz w:val="28"/>
          <w:rtl/>
          <w:lang w:bidi="ar-SY"/>
        </w:rPr>
        <w:t xml:space="preserve"> بن علي </w:t>
      </w:r>
      <w:r w:rsidR="003C7AEB" w:rsidRPr="003C7AEB">
        <w:rPr>
          <w:rFonts w:ascii="Abo-thar" w:hAnsi="Abo-thar" w:cs="CTraditional Arabic" w:hint="cs"/>
          <w:b/>
          <w:sz w:val="28"/>
          <w:rtl/>
          <w:lang w:bidi="ar-SY"/>
        </w:rPr>
        <w:t>÷</w:t>
      </w:r>
      <w:r w:rsidRPr="00CE7623">
        <w:rPr>
          <w:rFonts w:ascii="Abo-thar" w:hAnsi="Abo-thar" w:cs="KFGQPC Uthman Taha Naskh" w:hint="cs"/>
          <w:b/>
          <w:bCs/>
          <w:sz w:val="28"/>
          <w:rtl/>
          <w:lang w:bidi="ar-SY"/>
        </w:rPr>
        <w:t xml:space="preserve"> </w:t>
      </w:r>
      <w:r w:rsidRPr="00CE7623">
        <w:rPr>
          <w:rFonts w:ascii="Abo-thar" w:hAnsi="Abo-thar" w:cs="KFGQPC Uthman Taha Naskh"/>
          <w:b/>
          <w:bCs/>
          <w:sz w:val="28"/>
          <w:rtl/>
          <w:lang w:bidi="ar-SY"/>
        </w:rPr>
        <w:t>عن الخمس قال</w:t>
      </w:r>
      <w:r w:rsidR="00217AB4" w:rsidRPr="00CE7623">
        <w:rPr>
          <w:rFonts w:ascii="Abo-thar" w:hAnsi="Abo-thar" w:cs="KFGQPC Uthman Taha Naskh"/>
          <w:b/>
          <w:bCs/>
          <w:sz w:val="28"/>
          <w:rtl/>
          <w:lang w:bidi="ar-SY"/>
        </w:rPr>
        <w:t>:</w:t>
      </w:r>
      <w:r w:rsidRPr="00CE7623">
        <w:rPr>
          <w:rFonts w:ascii="Abo-thar" w:hAnsi="Abo-thar" w:cs="KFGQPC Uthman Taha Naskh"/>
          <w:b/>
          <w:bCs/>
          <w:sz w:val="28"/>
          <w:rtl/>
          <w:lang w:bidi="ar-SY"/>
        </w:rPr>
        <w:t xml:space="preserve"> هو لنا ما احتجنا إليه فإذا استغنينا فلا حق لنا فيه</w:t>
      </w:r>
      <w:r w:rsidR="00217AB4" w:rsidRPr="00CE7623">
        <w:rPr>
          <w:rFonts w:ascii="Abo-thar" w:hAnsi="Abo-thar" w:cs="KFGQPC Uthman Taha Naskh"/>
          <w:b/>
          <w:bCs/>
          <w:sz w:val="28"/>
          <w:rtl/>
          <w:lang w:bidi="ar-SY"/>
        </w:rPr>
        <w:t>،</w:t>
      </w:r>
      <w:r w:rsidRPr="00CE7623">
        <w:rPr>
          <w:rFonts w:ascii="Abo-thar" w:hAnsi="Abo-thar" w:cs="KFGQPC Uthman Taha Naskh"/>
          <w:b/>
          <w:bCs/>
          <w:sz w:val="28"/>
          <w:rtl/>
          <w:lang w:bidi="ar-SY"/>
        </w:rPr>
        <w:t xml:space="preserve"> ألم تر </w:t>
      </w:r>
      <w:r w:rsidRPr="00CE7623">
        <w:rPr>
          <w:rFonts w:ascii="Abo-thar" w:hAnsi="Abo-thar" w:cs="KFGQPC Uthman Taha Naskh" w:hint="cs"/>
          <w:b/>
          <w:bCs/>
          <w:sz w:val="28"/>
          <w:rtl/>
          <w:lang w:bidi="ar-SY"/>
        </w:rPr>
        <w:t>إ</w:t>
      </w:r>
      <w:r w:rsidRPr="00CE7623">
        <w:rPr>
          <w:rFonts w:ascii="Abo-thar" w:hAnsi="Abo-thar" w:cs="KFGQPC Uthman Taha Naskh"/>
          <w:b/>
          <w:bCs/>
          <w:sz w:val="28"/>
          <w:rtl/>
          <w:lang w:bidi="ar-SY"/>
        </w:rPr>
        <w:t>ن الله قرننا مع اليتامى والمساكين وابن السبيل فإذا بلغ اليتيم واستغنى المسكين و</w:t>
      </w:r>
      <w:r w:rsidRPr="00CE7623">
        <w:rPr>
          <w:rFonts w:ascii="Abo-thar" w:hAnsi="Abo-thar" w:cs="KFGQPC Uthman Taha Naskh" w:hint="cs"/>
          <w:b/>
          <w:bCs/>
          <w:sz w:val="28"/>
          <w:rtl/>
          <w:lang w:bidi="ar-SY"/>
        </w:rPr>
        <w:t>أ</w:t>
      </w:r>
      <w:r w:rsidRPr="00CE7623">
        <w:rPr>
          <w:rFonts w:ascii="Abo-thar" w:hAnsi="Abo-thar" w:cs="KFGQPC Uthman Taha Naskh"/>
          <w:b/>
          <w:bCs/>
          <w:sz w:val="28"/>
          <w:rtl/>
          <w:lang w:bidi="ar-SY"/>
        </w:rPr>
        <w:t>من ابن السبيل فلا حق لهم وكذلك نحن إذا استغنينا فلا حق لنا</w:t>
      </w:r>
      <w:r w:rsidR="00EF2588" w:rsidRPr="00CE7623">
        <w:rPr>
          <w:rFonts w:ascii="Abo-thar" w:hAnsi="Abo-thar" w:cs="KFGQPC Uthman Taha Naskh" w:hint="cs"/>
          <w:sz w:val="28"/>
          <w:rtl/>
          <w:lang w:bidi="ar-SY"/>
        </w:rPr>
        <w:t>»</w:t>
      </w:r>
      <w:r w:rsidR="00700E2A" w:rsidRPr="0021507A">
        <w:rPr>
          <w:rFonts w:cs="Arabic11 BT"/>
          <w:b/>
          <w:sz w:val="28"/>
          <w:vertAlign w:val="superscript"/>
          <w:rtl/>
          <w:lang w:bidi="ar-SY"/>
        </w:rPr>
        <w:t>(</w:t>
      </w:r>
      <w:r w:rsidR="00700E2A" w:rsidRPr="0021507A">
        <w:rPr>
          <w:rStyle w:val="FootnoteReference"/>
          <w:rFonts w:cs="Arabic11 BT"/>
          <w:b/>
          <w:sz w:val="28"/>
          <w:rtl/>
          <w:lang w:bidi="ar-SY"/>
        </w:rPr>
        <w:footnoteReference w:id="79"/>
      </w:r>
      <w:r w:rsidR="00700E2A" w:rsidRPr="0021507A">
        <w:rPr>
          <w:rFonts w:cs="Arabic11 BT"/>
          <w:b/>
          <w:sz w:val="28"/>
          <w:vertAlign w:val="superscript"/>
          <w:rtl/>
          <w:lang w:bidi="ar-SY"/>
        </w:rPr>
        <w:t>)</w:t>
      </w:r>
      <w:r w:rsidR="00217AB4" w:rsidRPr="003F3B94">
        <w:rPr>
          <w:rFonts w:ascii="Abo-thar" w:hAnsi="Abo-thar" w:hint="cs"/>
          <w:sz w:val="28"/>
          <w:rtl/>
          <w:lang w:bidi="ar-SY"/>
        </w:rPr>
        <w:t>.</w:t>
      </w:r>
    </w:p>
    <w:p w:rsidR="005C664D" w:rsidRPr="003F3B94" w:rsidRDefault="005C664D" w:rsidP="003F3B94">
      <w:pPr>
        <w:pStyle w:val="a0"/>
        <w:rPr>
          <w:rFonts w:hint="cs"/>
          <w:rtl/>
          <w:lang w:bidi="ar-SY"/>
        </w:rPr>
      </w:pPr>
      <w:r w:rsidRPr="003F3B94">
        <w:rPr>
          <w:rFonts w:ascii="Abo-thar" w:hAnsi="Abo-thar" w:hint="cs"/>
          <w:sz w:val="28"/>
          <w:rtl/>
          <w:lang w:bidi="ar-SY"/>
        </w:rPr>
        <w:t>في هذا الحديث جعل الإمام زيد</w:t>
      </w:r>
      <w:r w:rsidR="00217AB4" w:rsidRPr="003F3B94">
        <w:rPr>
          <w:rFonts w:ascii="Abo-thar" w:hAnsi="Abo-thar" w:hint="cs"/>
          <w:sz w:val="28"/>
          <w:rtl/>
          <w:lang w:bidi="ar-SY"/>
        </w:rPr>
        <w:t>،</w:t>
      </w:r>
      <w:r w:rsidRPr="003F3B94">
        <w:rPr>
          <w:rFonts w:ascii="Abo-thar" w:hAnsi="Abo-thar" w:hint="cs"/>
          <w:sz w:val="28"/>
          <w:rtl/>
          <w:lang w:bidi="ar-SY"/>
        </w:rPr>
        <w:t xml:space="preserve"> الذي كان نفسه من ذرية بني هاشم وذوي قربى </w:t>
      </w:r>
      <w:r w:rsidR="00F01069">
        <w:rPr>
          <w:rFonts w:ascii="Abo-thar" w:hAnsi="Abo-thar" w:hint="cs"/>
          <w:sz w:val="28"/>
          <w:rtl/>
          <w:lang w:bidi="ar-SY"/>
        </w:rPr>
        <w:t xml:space="preserve">      </w:t>
      </w:r>
      <w:r w:rsidRPr="003F3B94">
        <w:rPr>
          <w:rFonts w:ascii="Abo-thar" w:hAnsi="Abo-thar" w:hint="cs"/>
          <w:sz w:val="28"/>
          <w:rtl/>
          <w:lang w:bidi="ar-SY"/>
        </w:rPr>
        <w:t>رسول الله</w:t>
      </w:r>
      <w:r w:rsidR="00147857" w:rsidRPr="003F3B94">
        <w:rPr>
          <w:rFonts w:ascii="Abo-thar" w:hAnsi="Abo-thar" w:hint="cs"/>
          <w:sz w:val="28"/>
          <w:rtl/>
          <w:lang w:bidi="ar-SY"/>
        </w:rPr>
        <w:t xml:space="preserve"> </w:t>
      </w:r>
      <w:r w:rsidR="003C7AEB" w:rsidRPr="003C7AEB">
        <w:rPr>
          <w:rFonts w:ascii="Abo-thar" w:hAnsi="Abo-thar" w:cs="CTraditional Arabic"/>
          <w:sz w:val="28"/>
          <w:rtl/>
          <w:lang w:bidi="ar-SY"/>
        </w:rPr>
        <w:t>ص</w:t>
      </w:r>
      <w:r w:rsidR="00147857" w:rsidRPr="003F3B94">
        <w:rPr>
          <w:rFonts w:ascii="Abo-thar" w:hAnsi="Abo-thar"/>
          <w:sz w:val="28"/>
          <w:rtl/>
          <w:lang w:bidi="ar-SY"/>
        </w:rPr>
        <w:t xml:space="preserve"> </w:t>
      </w:r>
      <w:r w:rsidRPr="003F3B94">
        <w:rPr>
          <w:rFonts w:ascii="Abo-thar" w:hAnsi="Abo-thar" w:hint="cs"/>
          <w:sz w:val="28"/>
          <w:rtl/>
          <w:lang w:bidi="ar-SY"/>
        </w:rPr>
        <w:t>ومن كبار أهل البيت الطاهرين</w:t>
      </w:r>
      <w:r w:rsidR="00217AB4" w:rsidRPr="003F3B94">
        <w:rPr>
          <w:rFonts w:ascii="Abo-thar" w:hAnsi="Abo-thar" w:hint="cs"/>
          <w:sz w:val="28"/>
          <w:rtl/>
          <w:lang w:bidi="ar-SY"/>
        </w:rPr>
        <w:t>،</w:t>
      </w:r>
      <w:r w:rsidRPr="003F3B94">
        <w:rPr>
          <w:rFonts w:ascii="Abo-thar" w:hAnsi="Abo-thar" w:hint="cs"/>
          <w:sz w:val="28"/>
          <w:rtl/>
          <w:lang w:bidi="ar-SY"/>
        </w:rPr>
        <w:t xml:space="preserve"> جعل من نفسه قريناً ليتامى ومساكين وأبناء سبيل سائر المسلمين وفرَّق بين نفسه وبينهم بكلمة لنا ولهم</w:t>
      </w:r>
      <w:r w:rsidR="00217AB4" w:rsidRPr="003F3B94">
        <w:rPr>
          <w:rFonts w:ascii="Abo-thar" w:hAnsi="Abo-thar" w:hint="cs"/>
          <w:sz w:val="28"/>
          <w:rtl/>
          <w:lang w:bidi="ar-SY"/>
        </w:rPr>
        <w:t>،</w:t>
      </w:r>
      <w:r w:rsidRPr="003F3B94">
        <w:rPr>
          <w:rFonts w:ascii="Abo-thar" w:hAnsi="Abo-thar" w:hint="cs"/>
          <w:sz w:val="28"/>
          <w:rtl/>
          <w:lang w:bidi="ar-SY"/>
        </w:rPr>
        <w:t xml:space="preserve"> والتي يتبين منها أن اليتامى والمساكين وابن السبيل هم من عموم المسلمين لا من بني هاشم وذرية رسول الله فقط</w:t>
      </w:r>
      <w:r w:rsidR="00217AB4" w:rsidRPr="003F3B94">
        <w:rPr>
          <w:rFonts w:ascii="Abo-thar" w:hAnsi="Abo-thar" w:hint="cs"/>
          <w:sz w:val="28"/>
          <w:rtl/>
          <w:lang w:bidi="ar-SY"/>
        </w:rPr>
        <w:t>!</w:t>
      </w:r>
    </w:p>
    <w:p w:rsidR="005C664D" w:rsidRPr="003F3B94" w:rsidRDefault="005C664D" w:rsidP="003F3B94">
      <w:pPr>
        <w:pStyle w:val="a0"/>
        <w:rPr>
          <w:rFonts w:hint="cs"/>
          <w:rtl/>
        </w:rPr>
      </w:pPr>
      <w:r w:rsidRPr="003F3B94">
        <w:rPr>
          <w:rFonts w:ascii="Abo-thar" w:hAnsi="Abo-thar" w:hint="cs"/>
          <w:sz w:val="28"/>
          <w:rtl/>
          <w:lang w:bidi="ar-SY"/>
        </w:rPr>
        <w:t>10</w:t>
      </w:r>
      <w:r w:rsidR="00217AB4" w:rsidRPr="003F3B94">
        <w:rPr>
          <w:rFonts w:ascii="Abo-thar" w:hAnsi="Abo-thar" w:hint="cs"/>
          <w:sz w:val="28"/>
          <w:rtl/>
          <w:lang w:bidi="ar-SY"/>
        </w:rPr>
        <w:t>-</w:t>
      </w:r>
      <w:r w:rsidRPr="003F3B94">
        <w:rPr>
          <w:rFonts w:ascii="Abo-thar" w:hAnsi="Abo-thar" w:hint="cs"/>
          <w:sz w:val="28"/>
          <w:rtl/>
          <w:lang w:bidi="ar-SY"/>
        </w:rPr>
        <w:t xml:space="preserve"> جاء في تفسير «</w:t>
      </w:r>
      <w:r w:rsidRPr="003F3B94">
        <w:rPr>
          <w:rFonts w:ascii="Abo-thar" w:hAnsi="Abo-thar"/>
          <w:sz w:val="28"/>
          <w:rtl/>
          <w:lang w:bidi="ar-SY"/>
        </w:rPr>
        <w:t>تنوير المقباس</w:t>
      </w:r>
      <w:r w:rsidRPr="003F3B94">
        <w:rPr>
          <w:rFonts w:ascii="Abo-thar" w:hAnsi="Abo-thar" w:hint="cs"/>
          <w:sz w:val="28"/>
          <w:rtl/>
          <w:lang w:bidi="ar-SY"/>
        </w:rPr>
        <w:t>»</w:t>
      </w:r>
      <w:r w:rsidRPr="003F3B94">
        <w:rPr>
          <w:rFonts w:ascii="Abo-thar" w:hAnsi="Abo-thar"/>
          <w:sz w:val="28"/>
          <w:rtl/>
          <w:lang w:bidi="ar-SY"/>
        </w:rPr>
        <w:t xml:space="preserve"> </w:t>
      </w:r>
      <w:r w:rsidRPr="003F3B94">
        <w:rPr>
          <w:rFonts w:ascii="Abo-thar" w:hAnsi="Abo-thar" w:hint="cs"/>
          <w:sz w:val="28"/>
          <w:rtl/>
          <w:lang w:bidi="ar-SY"/>
        </w:rPr>
        <w:t>لحبر الأمة عبد الله بن عباس ذيل تفسيره لآية خمس المغانم ما نصه</w:t>
      </w:r>
      <w:r w:rsidR="00217AB4" w:rsidRPr="003F3B94">
        <w:rPr>
          <w:rFonts w:ascii="Abo-thar" w:hAnsi="Abo-thar" w:hint="cs"/>
          <w:sz w:val="28"/>
          <w:rtl/>
          <w:lang w:bidi="ar-SY"/>
        </w:rPr>
        <w:t>:</w:t>
      </w:r>
      <w:r w:rsidRPr="003F3B94">
        <w:rPr>
          <w:rFonts w:ascii="Abo-thar" w:hAnsi="Abo-thar" w:hint="cs"/>
          <w:sz w:val="28"/>
          <w:rtl/>
          <w:lang w:bidi="ar-SY"/>
        </w:rPr>
        <w:t xml:space="preserve"> </w:t>
      </w:r>
    </w:p>
    <w:p w:rsidR="005C664D" w:rsidRPr="00995B26" w:rsidRDefault="00EF2588" w:rsidP="00F01069">
      <w:pPr>
        <w:pStyle w:val="a0"/>
        <w:rPr>
          <w:rFonts w:hint="cs"/>
          <w:rtl/>
          <w:lang w:bidi="ar-SY"/>
        </w:rPr>
      </w:pPr>
      <w:r w:rsidRPr="003F3B94">
        <w:rPr>
          <w:rFonts w:ascii="Abo-thar" w:hAnsi="Abo-thar" w:hint="cs"/>
          <w:sz w:val="28"/>
          <w:rtl/>
          <w:lang w:bidi="ar-SY"/>
        </w:rPr>
        <w:t>«</w:t>
      </w:r>
      <w:r w:rsidR="00685363" w:rsidRPr="00995B26">
        <w:rPr>
          <w:rFonts w:ascii="Abo-thar" w:hAnsi="Abo-thar" w:cs="Traditional Arabic" w:hint="cs"/>
          <w:sz w:val="28"/>
          <w:rtl/>
          <w:lang w:bidi="ar-SY"/>
        </w:rPr>
        <w:t>﴿</w:t>
      </w:r>
      <w:r w:rsidR="00685363" w:rsidRPr="0067048A">
        <w:rPr>
          <w:rStyle w:val="Char3"/>
          <w:rFonts w:hint="eastAsia"/>
          <w:rtl/>
        </w:rPr>
        <w:t>وَ</w:t>
      </w:r>
      <w:r w:rsidR="00685363" w:rsidRPr="0067048A">
        <w:rPr>
          <w:rStyle w:val="Char3"/>
          <w:rFonts w:hint="cs"/>
          <w:rtl/>
        </w:rPr>
        <w:t>ٱ</w:t>
      </w:r>
      <w:r w:rsidR="00685363" w:rsidRPr="0067048A">
        <w:rPr>
          <w:rStyle w:val="Char3"/>
          <w:rFonts w:hint="eastAsia"/>
          <w:rtl/>
        </w:rPr>
        <w:t>ع</w:t>
      </w:r>
      <w:r w:rsidR="00685363" w:rsidRPr="0067048A">
        <w:rPr>
          <w:rStyle w:val="Char3"/>
          <w:rFonts w:hint="cs"/>
          <w:rtl/>
        </w:rPr>
        <w:t>ۡ</w:t>
      </w:r>
      <w:r w:rsidR="00685363" w:rsidRPr="0067048A">
        <w:rPr>
          <w:rStyle w:val="Char3"/>
          <w:rFonts w:hint="eastAsia"/>
          <w:rtl/>
        </w:rPr>
        <w:t>لَمُو</w:t>
      </w:r>
      <w:r w:rsidR="00685363" w:rsidRPr="0067048A">
        <w:rPr>
          <w:rStyle w:val="Char3"/>
          <w:rFonts w:hint="cs"/>
          <w:rtl/>
        </w:rPr>
        <w:t>ٓ</w:t>
      </w:r>
      <w:r w:rsidR="00685363" w:rsidRPr="0067048A">
        <w:rPr>
          <w:rStyle w:val="Char3"/>
          <w:rFonts w:hint="eastAsia"/>
          <w:rtl/>
        </w:rPr>
        <w:t>اْ</w:t>
      </w:r>
      <w:r w:rsidR="00685363" w:rsidRPr="00995B26">
        <w:rPr>
          <w:rFonts w:ascii="Abo-thar" w:hAnsi="Abo-thar" w:cs="Traditional Arabic" w:hint="cs"/>
          <w:sz w:val="28"/>
          <w:rtl/>
          <w:lang w:bidi="ar-SY"/>
        </w:rPr>
        <w:t>﴾</w:t>
      </w:r>
      <w:r w:rsidR="00685363" w:rsidRPr="00995B26">
        <w:rPr>
          <w:rFonts w:ascii="Abo-thar" w:hAnsi="Abo-thar" w:hint="cs"/>
          <w:sz w:val="28"/>
          <w:rtl/>
          <w:lang w:bidi="ar-SY"/>
        </w:rPr>
        <w:t xml:space="preserve"> </w:t>
      </w:r>
      <w:r w:rsidR="005C664D" w:rsidRPr="00995B26">
        <w:rPr>
          <w:rFonts w:ascii="Abo-thar" w:hAnsi="Abo-thar"/>
          <w:sz w:val="28"/>
          <w:rtl/>
          <w:lang w:bidi="ar-SY"/>
        </w:rPr>
        <w:t xml:space="preserve">يا معشر المؤمنين </w:t>
      </w:r>
      <w:r w:rsidR="00685363" w:rsidRPr="00995B26">
        <w:rPr>
          <w:rFonts w:ascii="Abo-thar" w:hAnsi="Abo-thar" w:cs="Traditional Arabic" w:hint="cs"/>
          <w:sz w:val="28"/>
          <w:rtl/>
          <w:lang w:bidi="ar-SY"/>
        </w:rPr>
        <w:t>﴿</w:t>
      </w:r>
      <w:r w:rsidR="00685363" w:rsidRPr="0067048A">
        <w:rPr>
          <w:rStyle w:val="Char3"/>
          <w:rFonts w:hint="eastAsia"/>
          <w:rtl/>
        </w:rPr>
        <w:t>أَنَّمَا</w:t>
      </w:r>
      <w:r w:rsidR="00685363" w:rsidRPr="0067048A">
        <w:rPr>
          <w:rStyle w:val="Char3"/>
          <w:rtl/>
        </w:rPr>
        <w:t xml:space="preserve"> </w:t>
      </w:r>
      <w:r w:rsidR="00685363" w:rsidRPr="0067048A">
        <w:rPr>
          <w:rStyle w:val="Char3"/>
          <w:rFonts w:hint="eastAsia"/>
          <w:rtl/>
        </w:rPr>
        <w:t>غَنِم</w:t>
      </w:r>
      <w:r w:rsidR="00685363" w:rsidRPr="0067048A">
        <w:rPr>
          <w:rStyle w:val="Char3"/>
          <w:rFonts w:hint="cs"/>
          <w:rtl/>
        </w:rPr>
        <w:t>ۡ</w:t>
      </w:r>
      <w:r w:rsidR="00685363" w:rsidRPr="0067048A">
        <w:rPr>
          <w:rStyle w:val="Char3"/>
          <w:rFonts w:hint="eastAsia"/>
          <w:rtl/>
        </w:rPr>
        <w:t>تُم</w:t>
      </w:r>
      <w:r w:rsidR="00685363" w:rsidRPr="0067048A">
        <w:rPr>
          <w:rStyle w:val="Char3"/>
          <w:rtl/>
        </w:rPr>
        <w:t xml:space="preserve"> </w:t>
      </w:r>
      <w:r w:rsidR="00685363" w:rsidRPr="0067048A">
        <w:rPr>
          <w:rStyle w:val="Char3"/>
          <w:rFonts w:hint="eastAsia"/>
          <w:rtl/>
        </w:rPr>
        <w:t>مِّن</w:t>
      </w:r>
      <w:r w:rsidR="00685363" w:rsidRPr="0067048A">
        <w:rPr>
          <w:rStyle w:val="Char3"/>
          <w:rtl/>
        </w:rPr>
        <w:t xml:space="preserve"> </w:t>
      </w:r>
      <w:r w:rsidR="00685363" w:rsidRPr="0067048A">
        <w:rPr>
          <w:rStyle w:val="Char3"/>
          <w:rFonts w:hint="eastAsia"/>
          <w:rtl/>
        </w:rPr>
        <w:t>شَي</w:t>
      </w:r>
      <w:r w:rsidR="00685363" w:rsidRPr="0067048A">
        <w:rPr>
          <w:rStyle w:val="Char3"/>
          <w:rFonts w:hint="cs"/>
          <w:rtl/>
        </w:rPr>
        <w:t>ۡ</w:t>
      </w:r>
      <w:r w:rsidR="00685363" w:rsidRPr="0067048A">
        <w:rPr>
          <w:rStyle w:val="Char3"/>
          <w:rFonts w:hint="eastAsia"/>
          <w:rtl/>
        </w:rPr>
        <w:t>ء</w:t>
      </w:r>
      <w:r w:rsidR="00685363" w:rsidRPr="0067048A">
        <w:rPr>
          <w:rStyle w:val="Char3"/>
          <w:rFonts w:hint="cs"/>
          <w:rtl/>
        </w:rPr>
        <w:t>ٖ</w:t>
      </w:r>
      <w:r w:rsidR="00685363" w:rsidRPr="00995B26">
        <w:rPr>
          <w:rFonts w:ascii="Abo-thar" w:hAnsi="Abo-thar" w:cs="Traditional Arabic" w:hint="cs"/>
          <w:sz w:val="28"/>
          <w:rtl/>
          <w:lang w:bidi="ar-SY"/>
        </w:rPr>
        <w:t>﴾</w:t>
      </w:r>
      <w:r w:rsidR="00685363" w:rsidRPr="00995B26">
        <w:rPr>
          <w:rFonts w:ascii="Abo-thar" w:hAnsi="Abo-thar" w:hint="cs"/>
          <w:sz w:val="28"/>
          <w:rtl/>
          <w:lang w:bidi="ar-SY"/>
        </w:rPr>
        <w:t xml:space="preserve"> </w:t>
      </w:r>
      <w:r w:rsidR="005C664D" w:rsidRPr="00995B26">
        <w:rPr>
          <w:rFonts w:ascii="Abo-thar" w:hAnsi="Abo-thar"/>
          <w:sz w:val="28"/>
          <w:rtl/>
          <w:lang w:bidi="ar-SY"/>
        </w:rPr>
        <w:t>من الأموال</w:t>
      </w:r>
      <w:r w:rsidR="00685363" w:rsidRPr="00995B26">
        <w:rPr>
          <w:rFonts w:ascii="Abo-thar" w:hAnsi="Abo-thar" w:hint="cs"/>
          <w:sz w:val="28"/>
          <w:rtl/>
          <w:lang w:bidi="ar-SY"/>
        </w:rPr>
        <w:t xml:space="preserve"> </w:t>
      </w:r>
      <w:r w:rsidR="00685363" w:rsidRPr="00995B26">
        <w:rPr>
          <w:rFonts w:ascii="Abo-thar" w:hAnsi="Abo-thar" w:cs="Traditional Arabic" w:hint="cs"/>
          <w:sz w:val="28"/>
          <w:rtl/>
          <w:lang w:bidi="ar-SY"/>
        </w:rPr>
        <w:t>﴿</w:t>
      </w:r>
      <w:r w:rsidR="00685363" w:rsidRPr="0067048A">
        <w:rPr>
          <w:rStyle w:val="Char3"/>
          <w:rFonts w:hint="eastAsia"/>
          <w:rtl/>
        </w:rPr>
        <w:t>فَأَنَّ</w:t>
      </w:r>
      <w:r w:rsidR="00685363" w:rsidRPr="0067048A">
        <w:rPr>
          <w:rStyle w:val="Char3"/>
          <w:rtl/>
        </w:rPr>
        <w:t xml:space="preserve"> </w:t>
      </w:r>
      <w:r w:rsidR="00685363" w:rsidRPr="0067048A">
        <w:rPr>
          <w:rStyle w:val="Char3"/>
          <w:rFonts w:hint="eastAsia"/>
          <w:rtl/>
        </w:rPr>
        <w:t>لِلَّهِ</w:t>
      </w:r>
      <w:r w:rsidR="00685363" w:rsidRPr="0067048A">
        <w:rPr>
          <w:rStyle w:val="Char3"/>
          <w:rtl/>
        </w:rPr>
        <w:t xml:space="preserve"> </w:t>
      </w:r>
      <w:r w:rsidR="00685363" w:rsidRPr="0067048A">
        <w:rPr>
          <w:rStyle w:val="Char3"/>
          <w:rFonts w:hint="eastAsia"/>
          <w:rtl/>
        </w:rPr>
        <w:t>خُمُسَهُ</w:t>
      </w:r>
      <w:r w:rsidR="00685363" w:rsidRPr="0067048A">
        <w:rPr>
          <w:rStyle w:val="Char3"/>
          <w:rFonts w:hint="cs"/>
          <w:rtl/>
        </w:rPr>
        <w:t>ۥ</w:t>
      </w:r>
      <w:r w:rsidR="00685363" w:rsidRPr="00995B26">
        <w:rPr>
          <w:rFonts w:ascii="Abo-thar" w:hAnsi="Abo-thar" w:cs="Traditional Arabic" w:hint="cs"/>
          <w:sz w:val="28"/>
          <w:rtl/>
          <w:lang w:bidi="ar-SY"/>
        </w:rPr>
        <w:t>﴾</w:t>
      </w:r>
      <w:r w:rsidR="005C664D" w:rsidRPr="00995B26">
        <w:rPr>
          <w:rFonts w:ascii="Abo-thar" w:hAnsi="Abo-thar"/>
          <w:sz w:val="28"/>
          <w:rtl/>
          <w:lang w:bidi="ar-SY"/>
        </w:rPr>
        <w:t xml:space="preserve"> يخرج خمس الغنيمة لقبل الله </w:t>
      </w:r>
      <w:r w:rsidR="00685363" w:rsidRPr="00995B26">
        <w:rPr>
          <w:rFonts w:ascii="Abo-thar" w:hAnsi="Abo-thar" w:cs="Traditional Arabic" w:hint="cs"/>
          <w:sz w:val="28"/>
          <w:rtl/>
          <w:lang w:bidi="ar-SY"/>
        </w:rPr>
        <w:t>﴿</w:t>
      </w:r>
      <w:r w:rsidR="00685363" w:rsidRPr="0067048A">
        <w:rPr>
          <w:rStyle w:val="Char3"/>
          <w:rFonts w:hint="eastAsia"/>
          <w:rtl/>
        </w:rPr>
        <w:t>وَلِلرَّسُولِ</w:t>
      </w:r>
      <w:r w:rsidR="00685363" w:rsidRPr="00995B26">
        <w:rPr>
          <w:rFonts w:ascii="Abo-thar" w:hAnsi="Abo-thar" w:cs="Traditional Arabic" w:hint="cs"/>
          <w:sz w:val="28"/>
          <w:rtl/>
          <w:lang w:bidi="ar-SY"/>
        </w:rPr>
        <w:t>﴾</w:t>
      </w:r>
      <w:r w:rsidR="005C664D" w:rsidRPr="00995B26">
        <w:rPr>
          <w:rFonts w:ascii="Abo-thar" w:hAnsi="Abo-thar"/>
          <w:sz w:val="28"/>
          <w:rtl/>
          <w:lang w:bidi="ar-SY"/>
        </w:rPr>
        <w:t xml:space="preserve"> لقبل الرسول</w:t>
      </w:r>
      <w:r w:rsidR="00685363" w:rsidRPr="00995B26">
        <w:rPr>
          <w:rFonts w:ascii="Abo-thar" w:hAnsi="Abo-thar" w:hint="cs"/>
          <w:sz w:val="28"/>
          <w:rtl/>
          <w:lang w:bidi="ar-SY"/>
        </w:rPr>
        <w:t xml:space="preserve"> </w:t>
      </w:r>
      <w:r w:rsidR="00685363" w:rsidRPr="00995B26">
        <w:rPr>
          <w:rFonts w:ascii="Abo-thar" w:hAnsi="Abo-thar" w:cs="Traditional Arabic" w:hint="cs"/>
          <w:sz w:val="28"/>
          <w:rtl/>
          <w:lang w:bidi="ar-SY"/>
        </w:rPr>
        <w:t>﴿</w:t>
      </w:r>
      <w:r w:rsidR="00685363" w:rsidRPr="0067048A">
        <w:rPr>
          <w:rStyle w:val="Char3"/>
          <w:rFonts w:hint="eastAsia"/>
          <w:rtl/>
        </w:rPr>
        <w:t>وَلِذِي</w:t>
      </w:r>
      <w:r w:rsidR="00685363" w:rsidRPr="0067048A">
        <w:rPr>
          <w:rStyle w:val="Char3"/>
          <w:rtl/>
        </w:rPr>
        <w:t xml:space="preserve"> </w:t>
      </w:r>
      <w:r w:rsidR="00685363" w:rsidRPr="0067048A">
        <w:rPr>
          <w:rStyle w:val="Char3"/>
          <w:rFonts w:hint="cs"/>
          <w:rtl/>
        </w:rPr>
        <w:t>ٱ</w:t>
      </w:r>
      <w:r w:rsidR="00685363" w:rsidRPr="0067048A">
        <w:rPr>
          <w:rStyle w:val="Char3"/>
          <w:rFonts w:hint="eastAsia"/>
          <w:rtl/>
        </w:rPr>
        <w:t>ل</w:t>
      </w:r>
      <w:r w:rsidR="00685363" w:rsidRPr="0067048A">
        <w:rPr>
          <w:rStyle w:val="Char3"/>
          <w:rFonts w:hint="cs"/>
          <w:rtl/>
        </w:rPr>
        <w:t>ۡ</w:t>
      </w:r>
      <w:r w:rsidR="00685363" w:rsidRPr="0067048A">
        <w:rPr>
          <w:rStyle w:val="Char3"/>
          <w:rFonts w:hint="eastAsia"/>
          <w:rtl/>
        </w:rPr>
        <w:t>قُر</w:t>
      </w:r>
      <w:r w:rsidR="00685363" w:rsidRPr="0067048A">
        <w:rPr>
          <w:rStyle w:val="Char3"/>
          <w:rFonts w:hint="cs"/>
          <w:rtl/>
        </w:rPr>
        <w:t>ۡ</w:t>
      </w:r>
      <w:r w:rsidR="00685363" w:rsidRPr="0067048A">
        <w:rPr>
          <w:rStyle w:val="Char3"/>
          <w:rFonts w:hint="eastAsia"/>
          <w:rtl/>
        </w:rPr>
        <w:t>بَى</w:t>
      </w:r>
      <w:r w:rsidR="00685363" w:rsidRPr="0067048A">
        <w:rPr>
          <w:rStyle w:val="Char3"/>
          <w:rFonts w:hint="cs"/>
          <w:rtl/>
        </w:rPr>
        <w:t>ٰ</w:t>
      </w:r>
      <w:r w:rsidR="00685363" w:rsidRPr="00995B26">
        <w:rPr>
          <w:rFonts w:ascii="Abo-thar" w:hAnsi="Abo-thar" w:cs="Traditional Arabic" w:hint="cs"/>
          <w:sz w:val="28"/>
          <w:rtl/>
          <w:lang w:bidi="ar-SY"/>
        </w:rPr>
        <w:t>﴾</w:t>
      </w:r>
      <w:r w:rsidR="005C664D" w:rsidRPr="00995B26">
        <w:rPr>
          <w:rFonts w:ascii="Abo-thar" w:hAnsi="Abo-thar"/>
          <w:sz w:val="28"/>
          <w:rtl/>
          <w:lang w:bidi="ar-SY"/>
        </w:rPr>
        <w:t xml:space="preserve"> ولقبل قرابة النبي</w:t>
      </w:r>
      <w:r w:rsidR="003C7AEB" w:rsidRPr="003C7AEB">
        <w:rPr>
          <w:rFonts w:ascii="Abo-thar" w:hAnsi="Abo-thar" w:cs="CTraditional Arabic"/>
          <w:sz w:val="28"/>
          <w:rtl/>
          <w:lang w:bidi="ar-SY"/>
        </w:rPr>
        <w:t>ص</w:t>
      </w:r>
      <w:r w:rsidR="00685363" w:rsidRPr="00995B26">
        <w:rPr>
          <w:rFonts w:ascii="Abo-thar" w:hAnsi="Abo-thar" w:hint="cs"/>
          <w:sz w:val="28"/>
          <w:rtl/>
          <w:lang w:bidi="ar-SY"/>
        </w:rPr>
        <w:t xml:space="preserve"> </w:t>
      </w:r>
      <w:r w:rsidR="00685363" w:rsidRPr="00995B26">
        <w:rPr>
          <w:rFonts w:ascii="Abo-thar" w:hAnsi="Abo-thar" w:cs="Traditional Arabic" w:hint="cs"/>
          <w:sz w:val="28"/>
          <w:rtl/>
          <w:lang w:bidi="ar-SY"/>
        </w:rPr>
        <w:t>﴿</w:t>
      </w:r>
      <w:r w:rsidR="00685363" w:rsidRPr="0067048A">
        <w:rPr>
          <w:rStyle w:val="Char3"/>
          <w:rFonts w:hint="eastAsia"/>
          <w:rtl/>
        </w:rPr>
        <w:t>وَ</w:t>
      </w:r>
      <w:r w:rsidR="00685363" w:rsidRPr="0067048A">
        <w:rPr>
          <w:rStyle w:val="Char3"/>
          <w:rFonts w:hint="cs"/>
          <w:rtl/>
        </w:rPr>
        <w:t>ٱ</w:t>
      </w:r>
      <w:r w:rsidR="00685363" w:rsidRPr="0067048A">
        <w:rPr>
          <w:rStyle w:val="Char3"/>
          <w:rFonts w:hint="eastAsia"/>
          <w:rtl/>
        </w:rPr>
        <w:t>ل</w:t>
      </w:r>
      <w:r w:rsidR="00685363" w:rsidRPr="0067048A">
        <w:rPr>
          <w:rStyle w:val="Char3"/>
          <w:rFonts w:hint="cs"/>
          <w:rtl/>
        </w:rPr>
        <w:t>ۡ</w:t>
      </w:r>
      <w:r w:rsidR="00685363" w:rsidRPr="0067048A">
        <w:rPr>
          <w:rStyle w:val="Char3"/>
          <w:rFonts w:hint="eastAsia"/>
          <w:rtl/>
        </w:rPr>
        <w:t>يَتَ</w:t>
      </w:r>
      <w:r w:rsidR="00685363" w:rsidRPr="0067048A">
        <w:rPr>
          <w:rStyle w:val="Char3"/>
          <w:rFonts w:hint="cs"/>
          <w:rtl/>
        </w:rPr>
        <w:t>ٰ</w:t>
      </w:r>
      <w:r w:rsidR="00685363" w:rsidRPr="0067048A">
        <w:rPr>
          <w:rStyle w:val="Char3"/>
          <w:rFonts w:hint="eastAsia"/>
          <w:rtl/>
        </w:rPr>
        <w:t>مَى</w:t>
      </w:r>
      <w:r w:rsidR="00685363" w:rsidRPr="0067048A">
        <w:rPr>
          <w:rStyle w:val="Char3"/>
          <w:rFonts w:hint="cs"/>
          <w:rtl/>
        </w:rPr>
        <w:t>ٰ</w:t>
      </w:r>
      <w:r w:rsidR="00685363" w:rsidRPr="00995B26">
        <w:rPr>
          <w:rFonts w:ascii="Abo-thar" w:hAnsi="Abo-thar" w:cs="Traditional Arabic" w:hint="cs"/>
          <w:sz w:val="28"/>
          <w:rtl/>
          <w:lang w:bidi="ar-SY"/>
        </w:rPr>
        <w:t>﴾</w:t>
      </w:r>
      <w:r w:rsidR="005C664D" w:rsidRPr="00995B26">
        <w:rPr>
          <w:rFonts w:ascii="Abo-thar" w:hAnsi="Abo-thar"/>
          <w:sz w:val="28"/>
          <w:rtl/>
          <w:lang w:bidi="ar-SY"/>
        </w:rPr>
        <w:t xml:space="preserve"> ولقبل اليتامى غير يتامى بني عبد المطلب</w:t>
      </w:r>
      <w:r w:rsidR="00685363" w:rsidRPr="00995B26">
        <w:rPr>
          <w:rFonts w:ascii="Abo-thar" w:hAnsi="Abo-thar" w:hint="cs"/>
          <w:sz w:val="28"/>
          <w:rtl/>
          <w:lang w:bidi="ar-SY"/>
        </w:rPr>
        <w:t xml:space="preserve"> </w:t>
      </w:r>
      <w:r w:rsidR="00685363" w:rsidRPr="00995B26">
        <w:rPr>
          <w:rFonts w:ascii="Abo-thar" w:hAnsi="Abo-thar" w:cs="Traditional Arabic" w:hint="cs"/>
          <w:sz w:val="28"/>
          <w:rtl/>
          <w:lang w:bidi="ar-SY"/>
        </w:rPr>
        <w:t>﴿</w:t>
      </w:r>
      <w:r w:rsidR="00685363" w:rsidRPr="0067048A">
        <w:rPr>
          <w:rStyle w:val="Char3"/>
          <w:rFonts w:hint="eastAsia"/>
          <w:rtl/>
        </w:rPr>
        <w:t>وَ</w:t>
      </w:r>
      <w:r w:rsidR="00685363" w:rsidRPr="0067048A">
        <w:rPr>
          <w:rStyle w:val="Char3"/>
          <w:rFonts w:hint="cs"/>
          <w:rtl/>
        </w:rPr>
        <w:t>ٱ</w:t>
      </w:r>
      <w:r w:rsidR="00685363" w:rsidRPr="0067048A">
        <w:rPr>
          <w:rStyle w:val="Char3"/>
          <w:rFonts w:hint="eastAsia"/>
          <w:rtl/>
        </w:rPr>
        <w:t>ل</w:t>
      </w:r>
      <w:r w:rsidR="00685363" w:rsidRPr="0067048A">
        <w:rPr>
          <w:rStyle w:val="Char3"/>
          <w:rFonts w:hint="cs"/>
          <w:rtl/>
        </w:rPr>
        <w:t>ۡ</w:t>
      </w:r>
      <w:r w:rsidR="00685363" w:rsidRPr="0067048A">
        <w:rPr>
          <w:rStyle w:val="Char3"/>
          <w:rFonts w:hint="eastAsia"/>
          <w:rtl/>
        </w:rPr>
        <w:t>مَسَ</w:t>
      </w:r>
      <w:r w:rsidR="00685363" w:rsidRPr="0067048A">
        <w:rPr>
          <w:rStyle w:val="Char3"/>
          <w:rFonts w:hint="cs"/>
          <w:rtl/>
        </w:rPr>
        <w:t>ٰ</w:t>
      </w:r>
      <w:r w:rsidR="00685363" w:rsidRPr="0067048A">
        <w:rPr>
          <w:rStyle w:val="Char3"/>
          <w:rFonts w:hint="eastAsia"/>
          <w:rtl/>
        </w:rPr>
        <w:t>كِينِ</w:t>
      </w:r>
      <w:r w:rsidR="00685363" w:rsidRPr="00995B26">
        <w:rPr>
          <w:rFonts w:ascii="Abo-thar" w:hAnsi="Abo-thar" w:cs="Traditional Arabic" w:hint="cs"/>
          <w:sz w:val="28"/>
          <w:rtl/>
          <w:lang w:bidi="ar-SY"/>
        </w:rPr>
        <w:t>﴾</w:t>
      </w:r>
      <w:r w:rsidR="005C664D" w:rsidRPr="00995B26">
        <w:rPr>
          <w:rFonts w:ascii="Abo-thar" w:hAnsi="Abo-thar"/>
          <w:sz w:val="28"/>
          <w:rtl/>
          <w:lang w:bidi="ar-SY"/>
        </w:rPr>
        <w:t xml:space="preserve"> ولقبل المساكين غير مساكين بني عبد المطلب</w:t>
      </w:r>
      <w:r w:rsidR="00685363" w:rsidRPr="00995B26">
        <w:rPr>
          <w:rFonts w:ascii="Abo-thar" w:hAnsi="Abo-thar" w:hint="cs"/>
          <w:sz w:val="28"/>
          <w:rtl/>
          <w:lang w:bidi="ar-SY"/>
        </w:rPr>
        <w:t xml:space="preserve"> </w:t>
      </w:r>
      <w:r w:rsidR="00685363" w:rsidRPr="00995B26">
        <w:rPr>
          <w:rFonts w:ascii="Abo-thar" w:hAnsi="Abo-thar" w:cs="Traditional Arabic" w:hint="cs"/>
          <w:sz w:val="28"/>
          <w:rtl/>
          <w:lang w:bidi="ar-SY"/>
        </w:rPr>
        <w:t>﴿</w:t>
      </w:r>
      <w:r w:rsidR="00685363" w:rsidRPr="0067048A">
        <w:rPr>
          <w:rStyle w:val="Char3"/>
          <w:rFonts w:hint="eastAsia"/>
          <w:rtl/>
        </w:rPr>
        <w:t>وَ</w:t>
      </w:r>
      <w:r w:rsidR="00685363" w:rsidRPr="0067048A">
        <w:rPr>
          <w:rStyle w:val="Char3"/>
          <w:rFonts w:hint="cs"/>
          <w:rtl/>
        </w:rPr>
        <w:t>ٱ</w:t>
      </w:r>
      <w:r w:rsidR="00685363" w:rsidRPr="0067048A">
        <w:rPr>
          <w:rStyle w:val="Char3"/>
          <w:rFonts w:hint="eastAsia"/>
          <w:rtl/>
        </w:rPr>
        <w:t>ب</w:t>
      </w:r>
      <w:r w:rsidR="00685363" w:rsidRPr="0067048A">
        <w:rPr>
          <w:rStyle w:val="Char3"/>
          <w:rFonts w:hint="cs"/>
          <w:rtl/>
        </w:rPr>
        <w:t>ۡ</w:t>
      </w:r>
      <w:r w:rsidR="00685363" w:rsidRPr="0067048A">
        <w:rPr>
          <w:rStyle w:val="Char3"/>
          <w:rFonts w:hint="eastAsia"/>
          <w:rtl/>
        </w:rPr>
        <w:t>نِ</w:t>
      </w:r>
      <w:r w:rsidR="00685363" w:rsidRPr="0067048A">
        <w:rPr>
          <w:rStyle w:val="Char3"/>
          <w:rtl/>
        </w:rPr>
        <w:t xml:space="preserve"> </w:t>
      </w:r>
      <w:r w:rsidR="00685363" w:rsidRPr="0067048A">
        <w:rPr>
          <w:rStyle w:val="Char3"/>
          <w:rFonts w:hint="cs"/>
          <w:rtl/>
        </w:rPr>
        <w:t>ٱ</w:t>
      </w:r>
      <w:r w:rsidR="00685363" w:rsidRPr="0067048A">
        <w:rPr>
          <w:rStyle w:val="Char3"/>
          <w:rFonts w:hint="eastAsia"/>
          <w:rtl/>
        </w:rPr>
        <w:t>لسَّبِيلِ</w:t>
      </w:r>
      <w:r w:rsidR="00685363" w:rsidRPr="00995B26">
        <w:rPr>
          <w:rFonts w:ascii="Abo-thar" w:hAnsi="Abo-thar" w:cs="Traditional Arabic" w:hint="cs"/>
          <w:sz w:val="28"/>
          <w:rtl/>
          <w:lang w:bidi="ar-SY"/>
        </w:rPr>
        <w:t>﴾</w:t>
      </w:r>
      <w:r w:rsidR="005C664D" w:rsidRPr="00995B26">
        <w:rPr>
          <w:rFonts w:ascii="Abo-thar" w:hAnsi="Abo-thar"/>
          <w:sz w:val="28"/>
          <w:rtl/>
          <w:lang w:bidi="ar-SY"/>
        </w:rPr>
        <w:t xml:space="preserve"> ولقبل الضيف والمحتاج كائناً من كان وكان يقسم الخمس في زمن النبي</w:t>
      </w:r>
      <w:r w:rsidR="00147857" w:rsidRPr="00995B26">
        <w:rPr>
          <w:rFonts w:ascii="Abo-thar" w:hAnsi="Abo-thar"/>
          <w:sz w:val="28"/>
          <w:rtl/>
          <w:lang w:bidi="ar-SY"/>
        </w:rPr>
        <w:t xml:space="preserve"> </w:t>
      </w:r>
      <w:r w:rsidR="003C7AEB" w:rsidRPr="003C7AEB">
        <w:rPr>
          <w:rFonts w:ascii="Abo-thar" w:hAnsi="Abo-thar" w:cs="CTraditional Arabic"/>
          <w:sz w:val="28"/>
          <w:rtl/>
          <w:lang w:bidi="ar-SY"/>
        </w:rPr>
        <w:t>ص</w:t>
      </w:r>
      <w:r w:rsidR="00147857" w:rsidRPr="00995B26">
        <w:rPr>
          <w:rFonts w:ascii="Abo-thar" w:hAnsi="Abo-thar"/>
          <w:sz w:val="28"/>
          <w:rtl/>
          <w:lang w:bidi="ar-SY"/>
        </w:rPr>
        <w:t xml:space="preserve"> </w:t>
      </w:r>
      <w:r w:rsidR="005C664D" w:rsidRPr="00995B26">
        <w:rPr>
          <w:rFonts w:ascii="Abo-thar" w:hAnsi="Abo-thar"/>
          <w:sz w:val="28"/>
          <w:rtl/>
          <w:lang w:bidi="ar-SY"/>
        </w:rPr>
        <w:t>على خمسة أسهم سهم للنبي</w:t>
      </w:r>
      <w:r w:rsidR="00147857" w:rsidRPr="00995B26">
        <w:rPr>
          <w:rFonts w:ascii="Abo-thar" w:hAnsi="Abo-thar"/>
          <w:sz w:val="28"/>
          <w:rtl/>
          <w:lang w:bidi="ar-SY"/>
        </w:rPr>
        <w:t xml:space="preserve"> </w:t>
      </w:r>
      <w:r w:rsidR="003C7AEB" w:rsidRPr="003C7AEB">
        <w:rPr>
          <w:rFonts w:ascii="Abo-thar" w:hAnsi="Abo-thar" w:cs="CTraditional Arabic"/>
          <w:sz w:val="28"/>
          <w:rtl/>
          <w:lang w:bidi="ar-SY"/>
        </w:rPr>
        <w:t>ص</w:t>
      </w:r>
      <w:r w:rsidR="00147857" w:rsidRPr="00995B26">
        <w:rPr>
          <w:rFonts w:ascii="Abo-thar" w:hAnsi="Abo-thar"/>
          <w:sz w:val="28"/>
          <w:rtl/>
          <w:lang w:bidi="ar-SY"/>
        </w:rPr>
        <w:t xml:space="preserve"> </w:t>
      </w:r>
      <w:r w:rsidR="005C664D" w:rsidRPr="00995B26">
        <w:rPr>
          <w:rFonts w:ascii="Abo-thar" w:hAnsi="Abo-thar"/>
          <w:sz w:val="28"/>
          <w:rtl/>
          <w:lang w:bidi="ar-SY"/>
        </w:rPr>
        <w:t>وهو سهم الله وسهم للقرابة لأن النبي</w:t>
      </w:r>
      <w:r w:rsidR="00147857" w:rsidRPr="00995B26">
        <w:rPr>
          <w:rFonts w:ascii="Abo-thar" w:hAnsi="Abo-thar"/>
          <w:sz w:val="28"/>
          <w:rtl/>
          <w:lang w:bidi="ar-SY"/>
        </w:rPr>
        <w:t xml:space="preserve"> </w:t>
      </w:r>
      <w:r w:rsidR="003C7AEB" w:rsidRPr="003C7AEB">
        <w:rPr>
          <w:rFonts w:ascii="Abo-thar" w:hAnsi="Abo-thar" w:cs="CTraditional Arabic"/>
          <w:sz w:val="28"/>
          <w:rtl/>
          <w:lang w:bidi="ar-SY"/>
        </w:rPr>
        <w:t>ص</w:t>
      </w:r>
      <w:r w:rsidR="00147857" w:rsidRPr="00995B26">
        <w:rPr>
          <w:rFonts w:ascii="Abo-thar" w:hAnsi="Abo-thar"/>
          <w:sz w:val="28"/>
          <w:rtl/>
          <w:lang w:bidi="ar-SY"/>
        </w:rPr>
        <w:t xml:space="preserve"> </w:t>
      </w:r>
      <w:r w:rsidR="005C664D" w:rsidRPr="00995B26">
        <w:rPr>
          <w:rFonts w:ascii="Abo-thar" w:hAnsi="Abo-thar"/>
          <w:sz w:val="28"/>
          <w:rtl/>
          <w:lang w:bidi="ar-SY"/>
        </w:rPr>
        <w:t>كان يعطي قرابته لقبل الله وسهم لليتامى وسهم للمساكين وسهم لابن السبيل فلما مات النبي</w:t>
      </w:r>
      <w:r w:rsidR="00147857" w:rsidRPr="00995B26">
        <w:rPr>
          <w:rFonts w:ascii="Abo-thar" w:hAnsi="Abo-thar"/>
          <w:sz w:val="28"/>
          <w:rtl/>
          <w:lang w:bidi="ar-SY"/>
        </w:rPr>
        <w:t xml:space="preserve"> </w:t>
      </w:r>
      <w:r w:rsidR="003C7AEB" w:rsidRPr="003C7AEB">
        <w:rPr>
          <w:rFonts w:ascii="Abo-thar" w:hAnsi="Abo-thar" w:cs="CTraditional Arabic"/>
          <w:sz w:val="28"/>
          <w:rtl/>
          <w:lang w:bidi="ar-SY"/>
        </w:rPr>
        <w:t>ص</w:t>
      </w:r>
      <w:r w:rsidR="00147857" w:rsidRPr="00995B26">
        <w:rPr>
          <w:rFonts w:ascii="Abo-thar" w:hAnsi="Abo-thar"/>
          <w:sz w:val="28"/>
          <w:rtl/>
          <w:lang w:bidi="ar-SY"/>
        </w:rPr>
        <w:t xml:space="preserve"> </w:t>
      </w:r>
      <w:r w:rsidR="005C664D" w:rsidRPr="00995B26">
        <w:rPr>
          <w:rFonts w:ascii="Abo-thar" w:hAnsi="Abo-thar"/>
          <w:sz w:val="28"/>
          <w:rtl/>
          <w:lang w:bidi="ar-SY"/>
        </w:rPr>
        <w:t>سقط سهم النبي</w:t>
      </w:r>
      <w:r w:rsidR="00147857" w:rsidRPr="00995B26">
        <w:rPr>
          <w:rFonts w:ascii="Abo-thar" w:hAnsi="Abo-thar"/>
          <w:sz w:val="28"/>
          <w:rtl/>
          <w:lang w:bidi="ar-SY"/>
        </w:rPr>
        <w:t xml:space="preserve"> </w:t>
      </w:r>
      <w:r w:rsidR="003C7AEB" w:rsidRPr="003C7AEB">
        <w:rPr>
          <w:rFonts w:ascii="Abo-thar" w:hAnsi="Abo-thar" w:cs="CTraditional Arabic"/>
          <w:sz w:val="28"/>
          <w:rtl/>
          <w:lang w:bidi="ar-SY"/>
        </w:rPr>
        <w:t>ص</w:t>
      </w:r>
      <w:r w:rsidR="00147857" w:rsidRPr="00995B26">
        <w:rPr>
          <w:rFonts w:ascii="Abo-thar" w:hAnsi="Abo-thar"/>
          <w:sz w:val="28"/>
          <w:rtl/>
          <w:lang w:bidi="ar-SY"/>
        </w:rPr>
        <w:t xml:space="preserve"> </w:t>
      </w:r>
      <w:r w:rsidR="005C664D" w:rsidRPr="00995B26">
        <w:rPr>
          <w:rFonts w:ascii="Abo-thar" w:hAnsi="Abo-thar"/>
          <w:sz w:val="28"/>
          <w:rtl/>
          <w:lang w:bidi="ar-SY"/>
        </w:rPr>
        <w:t>والذي كان يعطى للقرابة لقول أبي بكر سمعت رسول الله</w:t>
      </w:r>
      <w:r w:rsidR="00147857" w:rsidRPr="00995B26">
        <w:rPr>
          <w:rFonts w:ascii="Abo-thar" w:hAnsi="Abo-thar"/>
          <w:sz w:val="28"/>
          <w:rtl/>
          <w:lang w:bidi="ar-SY"/>
        </w:rPr>
        <w:t xml:space="preserve"> </w:t>
      </w:r>
      <w:r w:rsidR="003C7AEB" w:rsidRPr="003C7AEB">
        <w:rPr>
          <w:rFonts w:ascii="Abo-thar" w:hAnsi="Abo-thar" w:cs="CTraditional Arabic"/>
          <w:sz w:val="28"/>
          <w:rtl/>
          <w:lang w:bidi="ar-SY"/>
        </w:rPr>
        <w:t>ص</w:t>
      </w:r>
      <w:r w:rsidR="00147857" w:rsidRPr="00995B26">
        <w:rPr>
          <w:rFonts w:ascii="Abo-thar" w:hAnsi="Abo-thar"/>
          <w:sz w:val="28"/>
          <w:rtl/>
          <w:lang w:bidi="ar-SY"/>
        </w:rPr>
        <w:t xml:space="preserve"> </w:t>
      </w:r>
      <w:r w:rsidR="005C664D" w:rsidRPr="00995B26">
        <w:rPr>
          <w:rFonts w:ascii="Abo-thar" w:hAnsi="Abo-thar"/>
          <w:sz w:val="28"/>
          <w:rtl/>
          <w:lang w:bidi="ar-SY"/>
        </w:rPr>
        <w:t xml:space="preserve">يقول </w:t>
      </w:r>
      <w:r w:rsidR="00147857" w:rsidRPr="00995B26">
        <w:rPr>
          <w:rFonts w:ascii="Abo-thar" w:hAnsi="Abo-thar"/>
          <w:sz w:val="28"/>
          <w:rtl/>
          <w:lang w:bidi="ar-SY"/>
        </w:rPr>
        <w:t>«</w:t>
      </w:r>
      <w:r w:rsidR="005C664D" w:rsidRPr="00995B26">
        <w:rPr>
          <w:rFonts w:ascii="Abo-thar" w:hAnsi="Abo-thar"/>
          <w:sz w:val="28"/>
          <w:rtl/>
          <w:lang w:bidi="ar-SY"/>
        </w:rPr>
        <w:t>لكل نبي</w:t>
      </w:r>
      <w:r w:rsidR="005C664D" w:rsidRPr="00995B26">
        <w:rPr>
          <w:rFonts w:ascii="Abo-thar" w:hAnsi="Abo-thar" w:hint="cs"/>
          <w:sz w:val="28"/>
          <w:rtl/>
          <w:lang w:bidi="ar-SY"/>
        </w:rPr>
        <w:t>ٍّ</w:t>
      </w:r>
      <w:r w:rsidR="005C664D" w:rsidRPr="00995B26">
        <w:rPr>
          <w:rFonts w:ascii="Abo-thar" w:hAnsi="Abo-thar"/>
          <w:sz w:val="28"/>
          <w:rtl/>
          <w:lang w:bidi="ar-SY"/>
        </w:rPr>
        <w:t xml:space="preserve"> طعمة في حياته فإذا مات سقطت فلم يكن بعده لأحد</w:t>
      </w:r>
      <w:r w:rsidR="00147857" w:rsidRPr="00995B26">
        <w:rPr>
          <w:rFonts w:ascii="Abo-thar" w:hAnsi="Abo-thar"/>
          <w:sz w:val="28"/>
          <w:rtl/>
          <w:lang w:bidi="ar-SY"/>
        </w:rPr>
        <w:t>»</w:t>
      </w:r>
      <w:r w:rsidR="005C664D" w:rsidRPr="00995B26">
        <w:rPr>
          <w:sz w:val="28"/>
          <w:rtl/>
        </w:rPr>
        <w:t xml:space="preserve"> </w:t>
      </w:r>
      <w:r w:rsidR="005C664D" w:rsidRPr="00995B26">
        <w:rPr>
          <w:rFonts w:ascii="Abo-thar" w:hAnsi="Abo-thar"/>
          <w:sz w:val="28"/>
          <w:rtl/>
          <w:lang w:bidi="ar-SY"/>
        </w:rPr>
        <w:t>وكان يقسم أبو بكر وعمرو وعثمان وعلي</w:t>
      </w:r>
      <w:r w:rsidR="005C664D" w:rsidRPr="00995B26">
        <w:rPr>
          <w:rFonts w:ascii="Abo-thar" w:hAnsi="Abo-thar" w:hint="cs"/>
          <w:sz w:val="28"/>
          <w:rtl/>
          <w:lang w:bidi="ar-SY"/>
        </w:rPr>
        <w:t>ّ</w:t>
      </w:r>
      <w:r w:rsidR="005C664D" w:rsidRPr="00995B26">
        <w:rPr>
          <w:rFonts w:ascii="Abo-thar" w:hAnsi="Abo-thar"/>
          <w:sz w:val="28"/>
          <w:rtl/>
          <w:lang w:bidi="ar-SY"/>
        </w:rPr>
        <w:t xml:space="preserve"> في خلافتهم الخمس على ثلاثة أسهم سهم لليتامى غير يتامى بني عبد المطلب وسهم للمساكين غير مساكين بني عبد المطلب وسهم لابن السبيل للضيف والمحتاج</w:t>
      </w:r>
      <w:r w:rsidRPr="00995B26">
        <w:rPr>
          <w:rFonts w:ascii="Abo-thar" w:hAnsi="Abo-thar" w:hint="cs"/>
          <w:sz w:val="28"/>
          <w:rtl/>
          <w:lang w:bidi="ar-SY"/>
        </w:rPr>
        <w:t>»</w:t>
      </w:r>
      <w:r w:rsidR="00875038" w:rsidRPr="0021507A">
        <w:rPr>
          <w:rFonts w:cs="Arabic11 BT"/>
          <w:b/>
          <w:sz w:val="28"/>
          <w:vertAlign w:val="superscript"/>
          <w:rtl/>
          <w:lang w:bidi="ar-SY"/>
        </w:rPr>
        <w:t>(</w:t>
      </w:r>
      <w:r w:rsidR="00875038" w:rsidRPr="0021507A">
        <w:rPr>
          <w:rStyle w:val="FootnoteReference"/>
          <w:rFonts w:cs="Arabic11 BT"/>
          <w:b/>
          <w:sz w:val="28"/>
          <w:rtl/>
          <w:lang w:bidi="ar-SY"/>
        </w:rPr>
        <w:footnoteReference w:id="80"/>
      </w:r>
      <w:r w:rsidR="00875038" w:rsidRPr="0021507A">
        <w:rPr>
          <w:rFonts w:cs="Arabic11 BT"/>
          <w:b/>
          <w:sz w:val="28"/>
          <w:vertAlign w:val="superscript"/>
          <w:rtl/>
          <w:lang w:bidi="ar-SY"/>
        </w:rPr>
        <w:t>)</w:t>
      </w:r>
      <w:r w:rsidR="00217AB4" w:rsidRPr="00995B26">
        <w:rPr>
          <w:rFonts w:ascii="Abo-thar" w:hAnsi="Abo-thar" w:hint="cs"/>
          <w:sz w:val="28"/>
          <w:rtl/>
          <w:lang w:bidi="ar-SY"/>
        </w:rPr>
        <w:t>.</w:t>
      </w:r>
    </w:p>
    <w:p w:rsidR="00875038" w:rsidRPr="003F3B94" w:rsidRDefault="00875038" w:rsidP="00A33EB8">
      <w:pPr>
        <w:widowControl w:val="0"/>
        <w:jc w:val="center"/>
        <w:rPr>
          <w:rFonts w:ascii="mylotus" w:hAnsi="mylotus" w:cs="mylotus"/>
          <w:b/>
          <w:bCs/>
          <w:sz w:val="28"/>
          <w:rtl/>
          <w:lang w:bidi="ar-SY"/>
        </w:rPr>
      </w:pPr>
      <w:r w:rsidRPr="00A33EB8">
        <w:rPr>
          <w:rFonts w:ascii="mylotus" w:hAnsi="mylotus" w:cs="B Lotus"/>
          <w:b/>
          <w:bCs/>
          <w:sz w:val="28"/>
          <w:rtl/>
          <w:lang w:bidi="ar-SY"/>
        </w:rPr>
        <w:t>***</w:t>
      </w:r>
    </w:p>
    <w:p w:rsidR="005C664D" w:rsidRPr="003F3B94" w:rsidRDefault="005C664D" w:rsidP="003F3B94">
      <w:pPr>
        <w:pStyle w:val="a0"/>
        <w:rPr>
          <w:rFonts w:hint="cs"/>
          <w:rtl/>
          <w:lang w:bidi="ar-SY"/>
        </w:rPr>
      </w:pPr>
      <w:r w:rsidRPr="003F3B94">
        <w:rPr>
          <w:rFonts w:ascii="Abo-thar" w:hAnsi="Abo-thar" w:hint="cs"/>
          <w:sz w:val="28"/>
          <w:rtl/>
          <w:lang w:bidi="ar-SY"/>
        </w:rPr>
        <w:t>ومما يجدر التنبيه إليه أن استدلالنا بالأحاديث المذكورة هو فقط بسبب كونها نصاً قاطعاً على أن اليتامى والمساكين وابن السبيل المذكورين في الآية يعمُّون جميع المسلمين ولا يختصون ببني هاشم</w:t>
      </w:r>
      <w:r w:rsidR="00217AB4" w:rsidRPr="003F3B94">
        <w:rPr>
          <w:rFonts w:ascii="Abo-thar" w:hAnsi="Abo-thar" w:hint="cs"/>
          <w:sz w:val="28"/>
          <w:rtl/>
          <w:lang w:bidi="ar-SY"/>
        </w:rPr>
        <w:t>،</w:t>
      </w:r>
      <w:r w:rsidRPr="003F3B94">
        <w:rPr>
          <w:rFonts w:ascii="Abo-thar" w:hAnsi="Abo-thar" w:hint="cs"/>
          <w:sz w:val="28"/>
          <w:rtl/>
          <w:lang w:bidi="ar-SY"/>
        </w:rPr>
        <w:t xml:space="preserve"> وأما كلمة </w:t>
      </w:r>
      <w:r w:rsidRPr="003F3B94">
        <w:rPr>
          <w:rFonts w:ascii="Abo-thar" w:hAnsi="Abo-thar" w:hint="eastAsia"/>
          <w:sz w:val="28"/>
          <w:rtl/>
          <w:lang w:bidi="ar-SY"/>
        </w:rPr>
        <w:t>«</w:t>
      </w:r>
      <w:r w:rsidRPr="003F3B94">
        <w:rPr>
          <w:rFonts w:ascii="Abo-thar" w:hAnsi="Abo-thar" w:hint="cs"/>
          <w:sz w:val="28"/>
          <w:rtl/>
          <w:lang w:bidi="ar-SY"/>
        </w:rPr>
        <w:t>ذي القربى</w:t>
      </w:r>
      <w:r w:rsidRPr="003F3B94">
        <w:rPr>
          <w:rFonts w:ascii="Abo-thar" w:hAnsi="Abo-thar" w:hint="eastAsia"/>
          <w:sz w:val="28"/>
          <w:rtl/>
          <w:lang w:bidi="ar-SY"/>
        </w:rPr>
        <w:t>»</w:t>
      </w:r>
      <w:r w:rsidRPr="003F3B94">
        <w:rPr>
          <w:rFonts w:ascii="Abo-thar" w:hAnsi="Abo-thar" w:hint="cs"/>
          <w:sz w:val="28"/>
          <w:rtl/>
          <w:lang w:bidi="ar-SY"/>
        </w:rPr>
        <w:t xml:space="preserve"> فعلى فرض أن المقصود منها قرابة رسول الله فإنها تشمل عموم بني هاشم لا أفراداً خاصين مثل علي وفاطمة والحسين </w:t>
      </w:r>
      <w:r w:rsidR="00963EFD" w:rsidRPr="00963EFD">
        <w:rPr>
          <w:rFonts w:ascii="Abo-thar" w:hAnsi="Abo-thar" w:cs="CTraditional Arabic" w:hint="cs"/>
          <w:sz w:val="28"/>
          <w:rtl/>
          <w:lang w:bidi="ar-SY"/>
        </w:rPr>
        <w:t>‡</w:t>
      </w:r>
      <w:r w:rsidR="00217AB4" w:rsidRPr="003F3B94">
        <w:rPr>
          <w:rFonts w:ascii="Abo-thar" w:hAnsi="Abo-thar" w:hint="cs"/>
          <w:sz w:val="28"/>
          <w:rtl/>
          <w:lang w:bidi="ar-SY"/>
        </w:rPr>
        <w:t>،</w:t>
      </w:r>
      <w:r w:rsidRPr="003F3B94">
        <w:rPr>
          <w:rFonts w:ascii="Abo-thar" w:hAnsi="Abo-thar" w:hint="cs"/>
          <w:sz w:val="28"/>
          <w:rtl/>
          <w:lang w:bidi="ar-SY"/>
        </w:rPr>
        <w:t xml:space="preserve"> وكما ذكرنا سابقاً المُراد بذي القربى </w:t>
      </w:r>
      <w:r w:rsidRPr="003F3B94">
        <w:rPr>
          <w:rFonts w:cs="Times New Roman" w:hint="cs"/>
          <w:sz w:val="28"/>
          <w:rtl/>
          <w:lang w:bidi="ar-SY"/>
        </w:rPr>
        <w:t>–</w:t>
      </w:r>
      <w:r w:rsidRPr="003F3B94">
        <w:rPr>
          <w:rFonts w:ascii="Abo-thar" w:hAnsi="Abo-thar" w:hint="cs"/>
          <w:sz w:val="28"/>
          <w:rtl/>
          <w:lang w:bidi="ar-SY"/>
        </w:rPr>
        <w:t xml:space="preserve"> </w:t>
      </w:r>
      <w:r w:rsidRPr="003F3B94">
        <w:rPr>
          <w:rFonts w:ascii="mylotus" w:hAnsi="mylotus" w:hint="cs"/>
          <w:sz w:val="28"/>
          <w:rtl/>
          <w:lang w:bidi="ar-SY"/>
        </w:rPr>
        <w:t>على</w:t>
      </w:r>
      <w:r w:rsidRPr="003F3B94">
        <w:rPr>
          <w:rFonts w:ascii="Abo-thar" w:hAnsi="Abo-thar" w:hint="cs"/>
          <w:sz w:val="28"/>
          <w:rtl/>
          <w:lang w:bidi="ar-SY"/>
        </w:rPr>
        <w:t xml:space="preserve"> </w:t>
      </w:r>
      <w:r w:rsidRPr="003F3B94">
        <w:rPr>
          <w:rFonts w:ascii="mylotus" w:hAnsi="mylotus" w:hint="cs"/>
          <w:sz w:val="28"/>
          <w:rtl/>
          <w:lang w:bidi="ar-SY"/>
        </w:rPr>
        <w:t>هذا</w:t>
      </w:r>
      <w:r w:rsidRPr="003F3B94">
        <w:rPr>
          <w:rFonts w:ascii="Abo-thar" w:hAnsi="Abo-thar" w:hint="cs"/>
          <w:sz w:val="28"/>
          <w:rtl/>
          <w:lang w:bidi="ar-SY"/>
        </w:rPr>
        <w:t xml:space="preserve"> </w:t>
      </w:r>
      <w:r w:rsidRPr="003F3B94">
        <w:rPr>
          <w:rFonts w:ascii="mylotus" w:hAnsi="mylotus" w:hint="cs"/>
          <w:sz w:val="28"/>
          <w:rtl/>
          <w:lang w:bidi="ar-SY"/>
        </w:rPr>
        <w:t>الفرض</w:t>
      </w:r>
      <w:r w:rsidRPr="003F3B94">
        <w:rPr>
          <w:rFonts w:ascii="Abo-thar" w:hAnsi="Abo-thar" w:hint="cs"/>
          <w:sz w:val="28"/>
          <w:rtl/>
          <w:lang w:bidi="ar-SY"/>
        </w:rPr>
        <w:t xml:space="preserve"> </w:t>
      </w:r>
      <w:r w:rsidRPr="003F3B94">
        <w:rPr>
          <w:rFonts w:cs="Times New Roman" w:hint="cs"/>
          <w:sz w:val="28"/>
          <w:rtl/>
          <w:lang w:bidi="ar-SY"/>
        </w:rPr>
        <w:t>–</w:t>
      </w:r>
      <w:r w:rsidRPr="003F3B94">
        <w:rPr>
          <w:rFonts w:ascii="Abo-thar" w:hAnsi="Abo-thar" w:hint="cs"/>
          <w:sz w:val="28"/>
          <w:rtl/>
          <w:lang w:bidi="ar-SY"/>
        </w:rPr>
        <w:t xml:space="preserve"> </w:t>
      </w:r>
      <w:r w:rsidRPr="003F3B94">
        <w:rPr>
          <w:rFonts w:ascii="mylotus" w:hAnsi="mylotus" w:hint="cs"/>
          <w:sz w:val="28"/>
          <w:rtl/>
          <w:lang w:bidi="ar-SY"/>
        </w:rPr>
        <w:t>أقرباء</w:t>
      </w:r>
      <w:r w:rsidRPr="003F3B94">
        <w:rPr>
          <w:rFonts w:ascii="Abo-thar" w:hAnsi="Abo-thar" w:hint="cs"/>
          <w:sz w:val="28"/>
          <w:rtl/>
          <w:lang w:bidi="ar-SY"/>
        </w:rPr>
        <w:t xml:space="preserve"> </w:t>
      </w:r>
      <w:r w:rsidRPr="003F3B94">
        <w:rPr>
          <w:rFonts w:ascii="mylotus" w:hAnsi="mylotus" w:hint="cs"/>
          <w:sz w:val="28"/>
          <w:rtl/>
          <w:lang w:bidi="ar-SY"/>
        </w:rPr>
        <w:t>رسول</w:t>
      </w:r>
      <w:r w:rsidRPr="003F3B94">
        <w:rPr>
          <w:rFonts w:ascii="Abo-thar" w:hAnsi="Abo-thar" w:hint="cs"/>
          <w:sz w:val="28"/>
          <w:rtl/>
          <w:lang w:bidi="ar-SY"/>
        </w:rPr>
        <w:t xml:space="preserve"> </w:t>
      </w:r>
      <w:r w:rsidRPr="003F3B94">
        <w:rPr>
          <w:rFonts w:ascii="mylotus" w:hAnsi="mylotus" w:hint="cs"/>
          <w:sz w:val="28"/>
          <w:rtl/>
          <w:lang w:bidi="ar-SY"/>
        </w:rPr>
        <w:t>الله</w:t>
      </w:r>
      <w:r w:rsidR="00147857" w:rsidRPr="003F3B94">
        <w:rPr>
          <w:rFonts w:ascii="Abo-thar" w:hAnsi="Abo-thar" w:hint="cs"/>
          <w:sz w:val="28"/>
          <w:rtl/>
          <w:lang w:bidi="ar-SY"/>
        </w:rPr>
        <w:t xml:space="preserve"> </w:t>
      </w:r>
      <w:r w:rsidR="003C7AEB" w:rsidRPr="003C7AEB">
        <w:rPr>
          <w:rFonts w:ascii="Abo-thar" w:hAnsi="Abo-thar" w:cs="CTraditional Arabic"/>
          <w:sz w:val="28"/>
          <w:rtl/>
          <w:lang w:bidi="ar-SY"/>
        </w:rPr>
        <w:t>ص</w:t>
      </w:r>
      <w:r w:rsidR="00147857" w:rsidRPr="003F3B94">
        <w:rPr>
          <w:rFonts w:ascii="Abo-thar" w:hAnsi="Abo-thar"/>
          <w:sz w:val="28"/>
          <w:rtl/>
          <w:lang w:bidi="ar-SY"/>
        </w:rPr>
        <w:t xml:space="preserve"> </w:t>
      </w:r>
      <w:r w:rsidRPr="003F3B94">
        <w:rPr>
          <w:rFonts w:ascii="Abo-thar" w:hAnsi="Abo-thar" w:hint="cs"/>
          <w:sz w:val="28"/>
          <w:rtl/>
          <w:lang w:bidi="ar-SY"/>
        </w:rPr>
        <w:t>في ذلك اليوم والذين لم يعد لهم أي مصداق اليوم بدليل ما مر من الدلائل</w:t>
      </w:r>
      <w:r w:rsidR="00217AB4" w:rsidRPr="003F3B94">
        <w:rPr>
          <w:rFonts w:ascii="Abo-thar" w:hAnsi="Abo-thar" w:hint="cs"/>
          <w:sz w:val="28"/>
          <w:rtl/>
          <w:lang w:bidi="ar-SY"/>
        </w:rPr>
        <w:t>،</w:t>
      </w:r>
      <w:r w:rsidRPr="003F3B94">
        <w:rPr>
          <w:rFonts w:ascii="Abo-thar" w:hAnsi="Abo-thar" w:hint="cs"/>
          <w:sz w:val="28"/>
          <w:rtl/>
          <w:lang w:bidi="ar-SY"/>
        </w:rPr>
        <w:t xml:space="preserve"> وقد أتينا بهذه الأحاديث من باب إسكات الخصم وإتمام الحجة فقط</w:t>
      </w:r>
      <w:r w:rsidR="00217AB4" w:rsidRPr="003F3B94">
        <w:rPr>
          <w:rFonts w:ascii="Abo-thar" w:hAnsi="Abo-thar" w:hint="cs"/>
          <w:sz w:val="28"/>
          <w:rtl/>
          <w:lang w:bidi="ar-SY"/>
        </w:rPr>
        <w:t>.</w:t>
      </w:r>
    </w:p>
    <w:p w:rsidR="005C664D" w:rsidRPr="00995B26" w:rsidRDefault="00DA1FC2" w:rsidP="007D2B8A">
      <w:pPr>
        <w:pStyle w:val="a5"/>
        <w:rPr>
          <w:rFonts w:hint="cs"/>
          <w:rtl/>
        </w:rPr>
      </w:pPr>
      <w:bookmarkStart w:id="76" w:name="_Toc387843055"/>
      <w:r w:rsidRPr="00995B26">
        <w:rPr>
          <w:rFonts w:hint="cs"/>
          <w:rtl/>
        </w:rPr>
        <w:t>2- معنى آية الخمس لدى علماء الشيعة</w:t>
      </w:r>
      <w:bookmarkEnd w:id="76"/>
    </w:p>
    <w:p w:rsidR="005C664D" w:rsidRPr="003F3B94" w:rsidRDefault="005C664D" w:rsidP="003F3B94">
      <w:pPr>
        <w:pStyle w:val="a0"/>
        <w:rPr>
          <w:rFonts w:hint="cs"/>
          <w:rtl/>
          <w:lang w:bidi="ar-SY"/>
        </w:rPr>
      </w:pPr>
      <w:r w:rsidRPr="003F3B94">
        <w:rPr>
          <w:rFonts w:ascii="Abo-thar" w:hAnsi="Abo-thar" w:hint="cs"/>
          <w:sz w:val="28"/>
          <w:rtl/>
          <w:lang w:bidi="ar-SY"/>
        </w:rPr>
        <w:t xml:space="preserve">لقد تبين عقلاً ونقلاً من الآيات الكريمة والأحاديث المروية عن أهل البيت </w:t>
      </w:r>
      <w:r w:rsidR="00963EFD" w:rsidRPr="00963EFD">
        <w:rPr>
          <w:rFonts w:ascii="Abo-thar" w:hAnsi="Abo-thar" w:cs="CTraditional Arabic" w:hint="cs"/>
          <w:sz w:val="28"/>
          <w:rtl/>
          <w:lang w:bidi="ar-SY"/>
        </w:rPr>
        <w:t>‡</w:t>
      </w:r>
      <w:r w:rsidRPr="003F3B94">
        <w:rPr>
          <w:rFonts w:ascii="Abo-thar" w:hAnsi="Abo-thar" w:hint="cs"/>
          <w:sz w:val="28"/>
          <w:rtl/>
          <w:lang w:bidi="ar-SY"/>
        </w:rPr>
        <w:t xml:space="preserve"> [أو المنسوبة] أن اليتامى والمساكين وابن السبيل في آية الخمس يشملون عامة المسلمين ولا يختصون باليتامى والمساكين وأبناء السبيل من بني هاشم فقط</w:t>
      </w:r>
      <w:r w:rsidR="00217AB4" w:rsidRPr="003F3B94">
        <w:rPr>
          <w:rFonts w:ascii="Abo-thar" w:hAnsi="Abo-thar" w:hint="cs"/>
          <w:sz w:val="28"/>
          <w:rtl/>
          <w:lang w:bidi="ar-SY"/>
        </w:rPr>
        <w:t>،</w:t>
      </w:r>
      <w:r w:rsidRPr="003F3B94">
        <w:rPr>
          <w:rFonts w:ascii="Abo-thar" w:hAnsi="Abo-thar" w:hint="cs"/>
          <w:sz w:val="28"/>
          <w:rtl/>
          <w:lang w:bidi="ar-SY"/>
        </w:rPr>
        <w:t xml:space="preserve"> وهذا الأمر نص عليه أيضاً بعض فقهاء الشيعة استناداً إلى بعض الروايات</w:t>
      </w:r>
      <w:r w:rsidR="00217AB4" w:rsidRPr="003F3B94">
        <w:rPr>
          <w:rFonts w:ascii="Abo-thar" w:hAnsi="Abo-thar" w:hint="cs"/>
          <w:sz w:val="28"/>
          <w:rtl/>
          <w:lang w:bidi="ar-SY"/>
        </w:rPr>
        <w:t>،</w:t>
      </w:r>
      <w:r w:rsidRPr="003F3B94">
        <w:rPr>
          <w:rFonts w:ascii="Abo-thar" w:hAnsi="Abo-thar" w:hint="cs"/>
          <w:sz w:val="28"/>
          <w:rtl/>
          <w:lang w:bidi="ar-SY"/>
        </w:rPr>
        <w:t xml:space="preserve"> وفيما يلي نذكر بعض آراء وأقوال عددٍ من علماء الشيعة الكبار في هذا الصدد</w:t>
      </w:r>
      <w:r w:rsidR="00217AB4" w:rsidRPr="003F3B94">
        <w:rPr>
          <w:rFonts w:ascii="Abo-thar" w:hAnsi="Abo-thar" w:hint="cs"/>
          <w:sz w:val="28"/>
          <w:rtl/>
          <w:lang w:bidi="ar-SY"/>
        </w:rPr>
        <w:t>:</w:t>
      </w:r>
      <w:r w:rsidRPr="003F3B94">
        <w:rPr>
          <w:rFonts w:ascii="Abo-thar" w:hAnsi="Abo-thar" w:hint="cs"/>
          <w:sz w:val="28"/>
          <w:rtl/>
          <w:lang w:bidi="ar-SY"/>
        </w:rPr>
        <w:t xml:space="preserve"> </w:t>
      </w:r>
    </w:p>
    <w:p w:rsidR="005C664D" w:rsidRPr="003F3B94" w:rsidRDefault="005C664D" w:rsidP="00F01069">
      <w:pPr>
        <w:pStyle w:val="a0"/>
        <w:ind w:left="624" w:hanging="340"/>
        <w:rPr>
          <w:rFonts w:hint="cs"/>
          <w:rtl/>
          <w:lang w:bidi="ar-SY"/>
        </w:rPr>
      </w:pPr>
      <w:r w:rsidRPr="003F3B94">
        <w:rPr>
          <w:rFonts w:ascii="Abo-thar" w:hAnsi="Abo-thar" w:hint="cs"/>
          <w:sz w:val="28"/>
          <w:rtl/>
          <w:lang w:bidi="ar-SY"/>
        </w:rPr>
        <w:t>1</w:t>
      </w:r>
      <w:r w:rsidR="00217AB4" w:rsidRPr="003F3B94">
        <w:rPr>
          <w:rFonts w:ascii="Abo-thar" w:hAnsi="Abo-thar" w:hint="cs"/>
          <w:sz w:val="28"/>
          <w:rtl/>
          <w:lang w:bidi="ar-SY"/>
        </w:rPr>
        <w:t>-</w:t>
      </w:r>
      <w:r w:rsidRPr="003F3B94">
        <w:rPr>
          <w:rFonts w:ascii="Abo-thar" w:hAnsi="Abo-thar" w:hint="cs"/>
          <w:sz w:val="28"/>
          <w:rtl/>
          <w:lang w:bidi="ar-SY"/>
        </w:rPr>
        <w:t xml:space="preserve"> قال </w:t>
      </w:r>
      <w:r w:rsidR="00875038" w:rsidRPr="003F3B94">
        <w:rPr>
          <w:rFonts w:ascii="Abo-thar" w:hAnsi="Abo-thar" w:hint="cs"/>
          <w:sz w:val="28"/>
          <w:rtl/>
          <w:lang w:bidi="ar-SY"/>
        </w:rPr>
        <w:t>الشيخ</w:t>
      </w:r>
      <w:r w:rsidRPr="003F3B94">
        <w:rPr>
          <w:rFonts w:ascii="Abo-thar" w:hAnsi="Abo-thar" w:hint="cs"/>
          <w:sz w:val="28"/>
          <w:rtl/>
          <w:lang w:bidi="ar-SY"/>
        </w:rPr>
        <w:t xml:space="preserve"> الكليني في كتابه </w:t>
      </w:r>
      <w:r w:rsidRPr="003F3B94">
        <w:rPr>
          <w:rFonts w:ascii="Abo-thar" w:hAnsi="Abo-thar" w:hint="eastAsia"/>
          <w:sz w:val="28"/>
          <w:rtl/>
          <w:lang w:bidi="ar-SY"/>
        </w:rPr>
        <w:t>«</w:t>
      </w:r>
      <w:r w:rsidRPr="003F3B94">
        <w:rPr>
          <w:rFonts w:ascii="Abo-thar" w:hAnsi="Abo-thar" w:hint="cs"/>
          <w:sz w:val="28"/>
          <w:rtl/>
          <w:lang w:bidi="ar-SY"/>
        </w:rPr>
        <w:t>الكافي</w:t>
      </w:r>
      <w:r w:rsidRPr="003F3B94">
        <w:rPr>
          <w:rFonts w:ascii="Abo-thar" w:hAnsi="Abo-thar" w:hint="eastAsia"/>
          <w:sz w:val="28"/>
          <w:rtl/>
          <w:lang w:bidi="ar-SY"/>
        </w:rPr>
        <w:t>»</w:t>
      </w:r>
      <w:r w:rsidR="00217AB4" w:rsidRPr="003F3B94">
        <w:rPr>
          <w:rFonts w:ascii="Abo-thar" w:hAnsi="Abo-thar" w:hint="cs"/>
          <w:sz w:val="28"/>
          <w:rtl/>
          <w:lang w:bidi="ar-SY"/>
        </w:rPr>
        <w:t>:</w:t>
      </w:r>
      <w:r w:rsidRPr="003F3B94">
        <w:rPr>
          <w:rFonts w:ascii="Abo-thar" w:hAnsi="Abo-thar" w:hint="cs"/>
          <w:sz w:val="28"/>
          <w:rtl/>
          <w:lang w:bidi="ar-SY"/>
        </w:rPr>
        <w:t xml:space="preserve"> </w:t>
      </w:r>
      <w:r w:rsidR="00EF2588" w:rsidRPr="003F3B94">
        <w:rPr>
          <w:rFonts w:ascii="Abo-thar" w:hAnsi="Abo-thar" w:hint="cs"/>
          <w:sz w:val="28"/>
          <w:rtl/>
          <w:lang w:bidi="ar-SY"/>
        </w:rPr>
        <w:t>«</w:t>
      </w:r>
      <w:r w:rsidRPr="003F3B94">
        <w:rPr>
          <w:rFonts w:ascii="Abo-thar" w:hAnsi="Abo-thar"/>
          <w:b/>
          <w:bCs/>
          <w:sz w:val="28"/>
          <w:rtl/>
          <w:lang w:bidi="ar-SY"/>
        </w:rPr>
        <w:t>فَجُعِلَ لِمَنْ قَاتَلَ مِنَ الْغَنَائِمِ أَرْبَعَةُ أَسْهُمٍ وَلِلرَّسُولِ سَهْمٌ وَالَّذِي لِلرَّسُولِ</w:t>
      </w:r>
      <w:r w:rsidR="00147857" w:rsidRPr="003F3B94">
        <w:rPr>
          <w:rFonts w:ascii="Abo-thar" w:hAnsi="Abo-thar"/>
          <w:b/>
          <w:bCs/>
          <w:sz w:val="28"/>
          <w:rtl/>
          <w:lang w:bidi="ar-SY"/>
        </w:rPr>
        <w:t xml:space="preserve"> </w:t>
      </w:r>
      <w:r w:rsidR="003C7AEB" w:rsidRPr="003C7AEB">
        <w:rPr>
          <w:rFonts w:ascii="Abo-thar" w:hAnsi="Abo-thar" w:cs="CTraditional Arabic"/>
          <w:sz w:val="28"/>
          <w:rtl/>
          <w:lang w:bidi="ar-SY"/>
        </w:rPr>
        <w:t>ص</w:t>
      </w:r>
      <w:r w:rsidR="00147857" w:rsidRPr="003F3B94">
        <w:rPr>
          <w:rFonts w:ascii="Abo-thar" w:hAnsi="Abo-thar"/>
          <w:sz w:val="28"/>
          <w:rtl/>
          <w:lang w:bidi="ar-SY"/>
        </w:rPr>
        <w:t xml:space="preserve"> </w:t>
      </w:r>
      <w:r w:rsidRPr="003F3B94">
        <w:rPr>
          <w:rFonts w:ascii="Abo-thar" w:hAnsi="Abo-thar"/>
          <w:b/>
          <w:bCs/>
          <w:sz w:val="28"/>
          <w:rtl/>
          <w:lang w:bidi="ar-SY"/>
        </w:rPr>
        <w:t>يَقْسِمُهُ عَلَى سِتَّةِ أَسْهُمٍ ثَلَاثَةٌ لَهُ وَثَلَاثَةٌ لِلْيَتَامَى وَالمَسَاكِينِ وَابْنِ السَّبِيلِ</w:t>
      </w:r>
      <w:r w:rsidR="00EF2588" w:rsidRPr="003F3B94">
        <w:rPr>
          <w:rFonts w:ascii="Abo-thar" w:hAnsi="Abo-thar" w:hint="cs"/>
          <w:sz w:val="28"/>
          <w:rtl/>
          <w:lang w:bidi="ar-SY"/>
        </w:rPr>
        <w:t>»</w:t>
      </w:r>
      <w:r w:rsidR="00217AB4" w:rsidRPr="0021507A">
        <w:rPr>
          <w:rFonts w:cs="Arabic11 BT"/>
          <w:b/>
          <w:sz w:val="28"/>
          <w:vertAlign w:val="superscript"/>
          <w:rtl/>
          <w:lang w:bidi="ar-SY"/>
        </w:rPr>
        <w:t>(</w:t>
      </w:r>
      <w:r w:rsidRPr="0021507A">
        <w:rPr>
          <w:rStyle w:val="FootnoteReference"/>
          <w:rFonts w:cs="Arabic11 BT"/>
          <w:b/>
          <w:sz w:val="28"/>
          <w:rtl/>
          <w:lang w:bidi="ar-SY"/>
        </w:rPr>
        <w:footnoteReference w:id="81"/>
      </w:r>
      <w:r w:rsidR="00217AB4" w:rsidRPr="0021507A">
        <w:rPr>
          <w:rFonts w:cs="Arabic11 BT"/>
          <w:b/>
          <w:sz w:val="28"/>
          <w:vertAlign w:val="superscript"/>
          <w:rtl/>
          <w:lang w:bidi="ar-SY"/>
        </w:rPr>
        <w:t>)</w:t>
      </w:r>
      <w:r w:rsidR="00217AB4" w:rsidRPr="003F3B94">
        <w:rPr>
          <w:sz w:val="28"/>
          <w:rtl/>
          <w:lang w:bidi="ar-SY"/>
        </w:rPr>
        <w:t>.</w:t>
      </w:r>
      <w:r w:rsidR="00AB263F">
        <w:rPr>
          <w:rFonts w:hint="cs"/>
          <w:sz w:val="28"/>
          <w:rtl/>
          <w:lang w:bidi="ar-SY"/>
        </w:rPr>
        <w:t xml:space="preserve"> </w:t>
      </w:r>
      <w:r w:rsidRPr="003F3B94">
        <w:rPr>
          <w:rFonts w:ascii="Abo-thar" w:hAnsi="Abo-thar" w:hint="cs"/>
          <w:sz w:val="28"/>
          <w:rtl/>
          <w:lang w:bidi="ar-SY"/>
        </w:rPr>
        <w:t>فذكر اليتامى والمساكين وابن السبيل</w:t>
      </w:r>
      <w:r w:rsidR="00147857" w:rsidRPr="003F3B94">
        <w:rPr>
          <w:rFonts w:ascii="Abo-thar" w:hAnsi="Abo-thar" w:hint="cs"/>
          <w:sz w:val="28"/>
          <w:rtl/>
          <w:lang w:bidi="ar-SY"/>
        </w:rPr>
        <w:t xml:space="preserve"> </w:t>
      </w:r>
      <w:r w:rsidRPr="003F3B94">
        <w:rPr>
          <w:rFonts w:ascii="Abo-thar" w:hAnsi="Abo-thar" w:hint="cs"/>
          <w:sz w:val="28"/>
          <w:rtl/>
          <w:lang w:bidi="ar-SY"/>
        </w:rPr>
        <w:t>على سبيل الإطلاق دون أي قيد</w:t>
      </w:r>
      <w:r w:rsidR="00217AB4" w:rsidRPr="003F3B94">
        <w:rPr>
          <w:rFonts w:ascii="Abo-thar" w:hAnsi="Abo-thar" w:hint="cs"/>
          <w:sz w:val="28"/>
          <w:rtl/>
          <w:lang w:bidi="ar-SY"/>
        </w:rPr>
        <w:t>.</w:t>
      </w:r>
      <w:r w:rsidRPr="003F3B94">
        <w:rPr>
          <w:rFonts w:ascii="Abo-thar" w:hAnsi="Abo-thar" w:hint="cs"/>
          <w:sz w:val="28"/>
          <w:rtl/>
          <w:lang w:bidi="ar-SY"/>
        </w:rPr>
        <w:t xml:space="preserve"> </w:t>
      </w:r>
    </w:p>
    <w:p w:rsidR="005C664D" w:rsidRPr="00995B26" w:rsidRDefault="005C664D" w:rsidP="00F01069">
      <w:pPr>
        <w:pStyle w:val="a0"/>
        <w:ind w:left="624" w:hanging="340"/>
        <w:rPr>
          <w:rFonts w:hint="cs"/>
          <w:rtl/>
          <w:lang w:bidi="ar-SY"/>
        </w:rPr>
      </w:pPr>
      <w:r w:rsidRPr="003F3B94">
        <w:rPr>
          <w:rFonts w:ascii="Abo-thar" w:hAnsi="Abo-thar" w:hint="cs"/>
          <w:sz w:val="28"/>
          <w:rtl/>
          <w:lang w:bidi="ar-SY"/>
        </w:rPr>
        <w:t>2</w:t>
      </w:r>
      <w:r w:rsidR="00217AB4" w:rsidRPr="003F3B94">
        <w:rPr>
          <w:rFonts w:ascii="Abo-thar" w:hAnsi="Abo-thar" w:hint="cs"/>
          <w:sz w:val="28"/>
          <w:rtl/>
          <w:lang w:bidi="ar-SY"/>
        </w:rPr>
        <w:t>-</w:t>
      </w:r>
      <w:r w:rsidRPr="003F3B94">
        <w:rPr>
          <w:rFonts w:ascii="Abo-thar" w:hAnsi="Abo-thar" w:hint="cs"/>
          <w:sz w:val="28"/>
          <w:rtl/>
          <w:lang w:bidi="ar-SY"/>
        </w:rPr>
        <w:t xml:space="preserve"> وقال الشيخ</w:t>
      </w:r>
      <w:r w:rsidR="00147857" w:rsidRPr="003F3B94">
        <w:rPr>
          <w:rFonts w:ascii="Abo-thar" w:hAnsi="Abo-thar" w:hint="cs"/>
          <w:sz w:val="28"/>
          <w:rtl/>
          <w:lang w:bidi="ar-SY"/>
        </w:rPr>
        <w:t xml:space="preserve"> </w:t>
      </w:r>
      <w:r w:rsidRPr="003F3B94">
        <w:rPr>
          <w:rFonts w:ascii="Abo-thar" w:hAnsi="Abo-thar" w:hint="cs"/>
          <w:sz w:val="28"/>
          <w:rtl/>
          <w:lang w:bidi="ar-SY"/>
        </w:rPr>
        <w:t>الطبرسي في تفسيره مجمع البيان</w:t>
      </w:r>
      <w:r w:rsidR="00875038" w:rsidRPr="003F3B94">
        <w:rPr>
          <w:rFonts w:ascii="Abo-thar" w:hAnsi="Abo-thar" w:hint="cs"/>
          <w:sz w:val="28"/>
          <w:rtl/>
          <w:lang w:bidi="ar-SY"/>
        </w:rPr>
        <w:t>:</w:t>
      </w:r>
      <w:r w:rsidRPr="003F3B94">
        <w:rPr>
          <w:rFonts w:ascii="Abo-thar" w:hAnsi="Abo-thar" w:hint="cs"/>
          <w:sz w:val="28"/>
          <w:rtl/>
          <w:lang w:bidi="ar-SY"/>
        </w:rPr>
        <w:t xml:space="preserve"> </w:t>
      </w:r>
      <w:r w:rsidR="00EF2588" w:rsidRPr="003F3B94">
        <w:rPr>
          <w:rFonts w:ascii="Abo-thar" w:hAnsi="Abo-thar" w:hint="cs"/>
          <w:sz w:val="28"/>
          <w:rtl/>
          <w:lang w:bidi="ar-SY"/>
        </w:rPr>
        <w:t>«</w:t>
      </w:r>
      <w:r w:rsidRPr="003F3B94">
        <w:rPr>
          <w:rFonts w:ascii="Abo-thar" w:hAnsi="Abo-thar"/>
          <w:sz w:val="28"/>
          <w:rtl/>
          <w:lang w:bidi="ar-SY"/>
        </w:rPr>
        <w:t xml:space="preserve">و روى المنهال بن عمرو عن علي بن الحسين </w:t>
      </w:r>
      <w:r w:rsidR="003C7AEB" w:rsidRPr="003C7AEB">
        <w:rPr>
          <w:rFonts w:ascii="Abo-thar" w:hAnsi="Abo-thar" w:cs="CTraditional Arabic"/>
          <w:sz w:val="28"/>
          <w:rtl/>
          <w:lang w:bidi="ar-SY"/>
        </w:rPr>
        <w:t>إ</w:t>
      </w:r>
      <w:r w:rsidRPr="003F3B94">
        <w:rPr>
          <w:rFonts w:ascii="Abo-thar" w:hAnsi="Abo-thar"/>
          <w:sz w:val="28"/>
          <w:rtl/>
          <w:lang w:bidi="ar-SY"/>
        </w:rPr>
        <w:t xml:space="preserve"> قال قلت قوله</w:t>
      </w:r>
      <w:r w:rsidR="00217AB4" w:rsidRPr="003F3B94">
        <w:rPr>
          <w:rFonts w:ascii="Abo-thar" w:hAnsi="Abo-thar" w:hint="cs"/>
          <w:sz w:val="28"/>
          <w:rtl/>
          <w:lang w:bidi="ar-SY"/>
        </w:rPr>
        <w:t>:</w:t>
      </w:r>
      <w:r w:rsidR="00685363" w:rsidRPr="003F3B94">
        <w:rPr>
          <w:rFonts w:ascii="Abo-thar" w:hAnsi="Abo-thar" w:hint="cs"/>
          <w:sz w:val="28"/>
          <w:rtl/>
          <w:lang w:bidi="ar-SY"/>
        </w:rPr>
        <w:t xml:space="preserve"> </w:t>
      </w:r>
      <w:r w:rsidR="00685363" w:rsidRPr="00995B26">
        <w:rPr>
          <w:rFonts w:ascii="Abo-thar" w:hAnsi="Abo-thar" w:cs="Traditional Arabic" w:hint="cs"/>
          <w:sz w:val="28"/>
          <w:rtl/>
          <w:lang w:bidi="ar-SY"/>
        </w:rPr>
        <w:t>﴿</w:t>
      </w:r>
      <w:r w:rsidR="00685363" w:rsidRPr="0067048A">
        <w:rPr>
          <w:rStyle w:val="Char3"/>
          <w:rFonts w:hint="eastAsia"/>
          <w:rtl/>
        </w:rPr>
        <w:t>وَلِذِي</w:t>
      </w:r>
      <w:r w:rsidR="00685363" w:rsidRPr="0067048A">
        <w:rPr>
          <w:rStyle w:val="Char3"/>
          <w:rtl/>
        </w:rPr>
        <w:t xml:space="preserve"> </w:t>
      </w:r>
      <w:r w:rsidR="00685363" w:rsidRPr="0067048A">
        <w:rPr>
          <w:rStyle w:val="Char3"/>
          <w:rFonts w:hint="cs"/>
          <w:rtl/>
        </w:rPr>
        <w:t>ٱ</w:t>
      </w:r>
      <w:r w:rsidR="00685363" w:rsidRPr="0067048A">
        <w:rPr>
          <w:rStyle w:val="Char3"/>
          <w:rFonts w:hint="eastAsia"/>
          <w:rtl/>
        </w:rPr>
        <w:t>ل</w:t>
      </w:r>
      <w:r w:rsidR="00685363" w:rsidRPr="0067048A">
        <w:rPr>
          <w:rStyle w:val="Char3"/>
          <w:rFonts w:hint="cs"/>
          <w:rtl/>
        </w:rPr>
        <w:t>ۡ</w:t>
      </w:r>
      <w:r w:rsidR="00685363" w:rsidRPr="0067048A">
        <w:rPr>
          <w:rStyle w:val="Char3"/>
          <w:rFonts w:hint="eastAsia"/>
          <w:rtl/>
        </w:rPr>
        <w:t>قُر</w:t>
      </w:r>
      <w:r w:rsidR="00685363" w:rsidRPr="0067048A">
        <w:rPr>
          <w:rStyle w:val="Char3"/>
          <w:rFonts w:hint="cs"/>
          <w:rtl/>
        </w:rPr>
        <w:t>ۡ</w:t>
      </w:r>
      <w:r w:rsidR="00685363" w:rsidRPr="0067048A">
        <w:rPr>
          <w:rStyle w:val="Char3"/>
          <w:rFonts w:hint="eastAsia"/>
          <w:rtl/>
        </w:rPr>
        <w:t>بَى</w:t>
      </w:r>
      <w:r w:rsidR="00685363" w:rsidRPr="0067048A">
        <w:rPr>
          <w:rStyle w:val="Char3"/>
          <w:rFonts w:hint="cs"/>
          <w:rtl/>
        </w:rPr>
        <w:t>ٰ</w:t>
      </w:r>
      <w:r w:rsidR="00685363" w:rsidRPr="0067048A">
        <w:rPr>
          <w:rStyle w:val="Char3"/>
          <w:rtl/>
        </w:rPr>
        <w:t xml:space="preserve"> </w:t>
      </w:r>
      <w:r w:rsidR="00685363" w:rsidRPr="0067048A">
        <w:rPr>
          <w:rStyle w:val="Char3"/>
          <w:rFonts w:hint="eastAsia"/>
          <w:rtl/>
        </w:rPr>
        <w:t>وَ</w:t>
      </w:r>
      <w:r w:rsidR="00685363" w:rsidRPr="0067048A">
        <w:rPr>
          <w:rStyle w:val="Char3"/>
          <w:rFonts w:hint="cs"/>
          <w:rtl/>
        </w:rPr>
        <w:t>ٱ</w:t>
      </w:r>
      <w:r w:rsidR="00685363" w:rsidRPr="0067048A">
        <w:rPr>
          <w:rStyle w:val="Char3"/>
          <w:rFonts w:hint="eastAsia"/>
          <w:rtl/>
        </w:rPr>
        <w:t>ل</w:t>
      </w:r>
      <w:r w:rsidR="00685363" w:rsidRPr="0067048A">
        <w:rPr>
          <w:rStyle w:val="Char3"/>
          <w:rFonts w:hint="cs"/>
          <w:rtl/>
        </w:rPr>
        <w:t>ۡ</w:t>
      </w:r>
      <w:r w:rsidR="00685363" w:rsidRPr="0067048A">
        <w:rPr>
          <w:rStyle w:val="Char3"/>
          <w:rFonts w:hint="eastAsia"/>
          <w:rtl/>
        </w:rPr>
        <w:t>يَتَ</w:t>
      </w:r>
      <w:r w:rsidR="00685363" w:rsidRPr="0067048A">
        <w:rPr>
          <w:rStyle w:val="Char3"/>
          <w:rFonts w:hint="cs"/>
          <w:rtl/>
        </w:rPr>
        <w:t>ٰ</w:t>
      </w:r>
      <w:r w:rsidR="00685363" w:rsidRPr="0067048A">
        <w:rPr>
          <w:rStyle w:val="Char3"/>
          <w:rFonts w:hint="eastAsia"/>
          <w:rtl/>
        </w:rPr>
        <w:t>مَى</w:t>
      </w:r>
      <w:r w:rsidR="00685363" w:rsidRPr="0067048A">
        <w:rPr>
          <w:rStyle w:val="Char3"/>
          <w:rFonts w:hint="cs"/>
          <w:rtl/>
        </w:rPr>
        <w:t>ٰ</w:t>
      </w:r>
      <w:r w:rsidR="00685363" w:rsidRPr="0067048A">
        <w:rPr>
          <w:rStyle w:val="Char3"/>
          <w:rtl/>
        </w:rPr>
        <w:t xml:space="preserve"> </w:t>
      </w:r>
      <w:r w:rsidR="00685363" w:rsidRPr="0067048A">
        <w:rPr>
          <w:rStyle w:val="Char3"/>
          <w:rFonts w:hint="eastAsia"/>
          <w:rtl/>
        </w:rPr>
        <w:t>وَ</w:t>
      </w:r>
      <w:r w:rsidR="00685363" w:rsidRPr="0067048A">
        <w:rPr>
          <w:rStyle w:val="Char3"/>
          <w:rFonts w:hint="cs"/>
          <w:rtl/>
        </w:rPr>
        <w:t>ٱ</w:t>
      </w:r>
      <w:r w:rsidR="00685363" w:rsidRPr="0067048A">
        <w:rPr>
          <w:rStyle w:val="Char3"/>
          <w:rFonts w:hint="eastAsia"/>
          <w:rtl/>
        </w:rPr>
        <w:t>ل</w:t>
      </w:r>
      <w:r w:rsidR="00685363" w:rsidRPr="0067048A">
        <w:rPr>
          <w:rStyle w:val="Char3"/>
          <w:rFonts w:hint="cs"/>
          <w:rtl/>
        </w:rPr>
        <w:t>ۡ</w:t>
      </w:r>
      <w:r w:rsidR="00685363" w:rsidRPr="0067048A">
        <w:rPr>
          <w:rStyle w:val="Char3"/>
          <w:rFonts w:hint="eastAsia"/>
          <w:rtl/>
        </w:rPr>
        <w:t>مَسَ</w:t>
      </w:r>
      <w:r w:rsidR="00685363" w:rsidRPr="0067048A">
        <w:rPr>
          <w:rStyle w:val="Char3"/>
          <w:rFonts w:hint="cs"/>
          <w:rtl/>
        </w:rPr>
        <w:t>ٰ</w:t>
      </w:r>
      <w:r w:rsidR="00685363" w:rsidRPr="0067048A">
        <w:rPr>
          <w:rStyle w:val="Char3"/>
          <w:rFonts w:hint="eastAsia"/>
          <w:rtl/>
        </w:rPr>
        <w:t>كِينِ</w:t>
      </w:r>
      <w:r w:rsidR="00685363" w:rsidRPr="0067048A">
        <w:rPr>
          <w:rStyle w:val="Char3"/>
          <w:rtl/>
        </w:rPr>
        <w:t xml:space="preserve"> </w:t>
      </w:r>
      <w:r w:rsidR="00685363" w:rsidRPr="0067048A">
        <w:rPr>
          <w:rStyle w:val="Char3"/>
          <w:rFonts w:hint="eastAsia"/>
          <w:rtl/>
        </w:rPr>
        <w:t>وَ</w:t>
      </w:r>
      <w:r w:rsidR="00685363" w:rsidRPr="0067048A">
        <w:rPr>
          <w:rStyle w:val="Char3"/>
          <w:rFonts w:hint="cs"/>
          <w:rtl/>
        </w:rPr>
        <w:t>ٱ</w:t>
      </w:r>
      <w:r w:rsidR="00685363" w:rsidRPr="0067048A">
        <w:rPr>
          <w:rStyle w:val="Char3"/>
          <w:rFonts w:hint="eastAsia"/>
          <w:rtl/>
        </w:rPr>
        <w:t>ب</w:t>
      </w:r>
      <w:r w:rsidR="00685363" w:rsidRPr="0067048A">
        <w:rPr>
          <w:rStyle w:val="Char3"/>
          <w:rFonts w:hint="cs"/>
          <w:rtl/>
        </w:rPr>
        <w:t>ۡ</w:t>
      </w:r>
      <w:r w:rsidR="00685363" w:rsidRPr="0067048A">
        <w:rPr>
          <w:rStyle w:val="Char3"/>
          <w:rFonts w:hint="eastAsia"/>
          <w:rtl/>
        </w:rPr>
        <w:t>نِ</w:t>
      </w:r>
      <w:r w:rsidR="00685363" w:rsidRPr="0067048A">
        <w:rPr>
          <w:rStyle w:val="Char3"/>
          <w:rtl/>
        </w:rPr>
        <w:t xml:space="preserve"> </w:t>
      </w:r>
      <w:r w:rsidR="00685363" w:rsidRPr="0067048A">
        <w:rPr>
          <w:rStyle w:val="Char3"/>
          <w:rFonts w:hint="cs"/>
          <w:rtl/>
        </w:rPr>
        <w:t>ٱ</w:t>
      </w:r>
      <w:r w:rsidR="00685363" w:rsidRPr="0067048A">
        <w:rPr>
          <w:rStyle w:val="Char3"/>
          <w:rFonts w:hint="eastAsia"/>
          <w:rtl/>
        </w:rPr>
        <w:t>لسَّبِيلِ</w:t>
      </w:r>
      <w:r w:rsidR="00685363" w:rsidRPr="00995B26">
        <w:rPr>
          <w:rFonts w:ascii="KFGQPC Uthmanic Script HAFS" w:cs="Times New Roman" w:hint="cs"/>
          <w:sz w:val="28"/>
          <w:rtl/>
        </w:rPr>
        <w:t>...</w:t>
      </w:r>
      <w:r w:rsidR="00685363" w:rsidRPr="00995B26">
        <w:rPr>
          <w:rFonts w:ascii="Abo-thar" w:hAnsi="Abo-thar" w:cs="Traditional Arabic" w:hint="cs"/>
          <w:sz w:val="28"/>
          <w:rtl/>
          <w:lang w:bidi="ar-SY"/>
        </w:rPr>
        <w:t>﴾</w:t>
      </w:r>
      <w:r w:rsidR="005B20E7" w:rsidRPr="00995B26">
        <w:rPr>
          <w:rFonts w:ascii="Abo-thar" w:hAnsi="Abo-thar" w:hint="cs"/>
          <w:sz w:val="28"/>
          <w:rtl/>
          <w:lang w:bidi="ar-SY"/>
        </w:rPr>
        <w:t xml:space="preserve"> </w:t>
      </w:r>
      <w:r w:rsidRPr="003108CB">
        <w:rPr>
          <w:rStyle w:val="Char2"/>
          <w:rtl/>
        </w:rPr>
        <w:t>[الأنفال/41]</w:t>
      </w:r>
      <w:r w:rsidRPr="00995B26">
        <w:rPr>
          <w:rFonts w:ascii="Abo-thar" w:hAnsi="Abo-thar"/>
          <w:sz w:val="28"/>
          <w:rtl/>
          <w:lang w:bidi="ar-SY"/>
        </w:rPr>
        <w:t xml:space="preserve"> قال</w:t>
      </w:r>
      <w:r w:rsidR="00217AB4" w:rsidRPr="00995B26">
        <w:rPr>
          <w:rFonts w:ascii="Abo-thar" w:hAnsi="Abo-thar" w:hint="cs"/>
          <w:sz w:val="28"/>
          <w:rtl/>
          <w:lang w:bidi="ar-SY"/>
        </w:rPr>
        <w:t>:</w:t>
      </w:r>
      <w:r w:rsidRPr="00995B26">
        <w:rPr>
          <w:rFonts w:ascii="Abo-thar" w:hAnsi="Abo-thar"/>
          <w:sz w:val="28"/>
          <w:rtl/>
          <w:lang w:bidi="ar-SY"/>
        </w:rPr>
        <w:t xml:space="preserve"> هم قربانا ومساكيننا وأبناء سبيلنا</w:t>
      </w:r>
      <w:r w:rsidR="00217AB4" w:rsidRPr="00995B26">
        <w:rPr>
          <w:rFonts w:ascii="Abo-thar" w:hAnsi="Abo-thar" w:hint="cs"/>
          <w:sz w:val="28"/>
          <w:rtl/>
          <w:lang w:bidi="ar-SY"/>
        </w:rPr>
        <w:t>.</w:t>
      </w:r>
      <w:r w:rsidRPr="00995B26">
        <w:rPr>
          <w:rFonts w:ascii="Abo-thar" w:hAnsi="Abo-thar"/>
          <w:sz w:val="28"/>
          <w:rtl/>
          <w:lang w:bidi="ar-SY"/>
        </w:rPr>
        <w:t xml:space="preserve"> </w:t>
      </w:r>
      <w:r w:rsidRPr="00995B26">
        <w:rPr>
          <w:rFonts w:ascii="Abo-thar" w:hAnsi="Abo-thar"/>
          <w:b/>
          <w:bCs/>
          <w:sz w:val="28"/>
          <w:u w:val="single"/>
          <w:rtl/>
          <w:lang w:bidi="ar-SY"/>
        </w:rPr>
        <w:t>وقال جميع الفقهاء</w:t>
      </w:r>
      <w:r w:rsidR="00217AB4" w:rsidRPr="00995B26">
        <w:rPr>
          <w:rFonts w:ascii="Abo-thar" w:hAnsi="Abo-thar" w:hint="cs"/>
          <w:b/>
          <w:bCs/>
          <w:sz w:val="28"/>
          <w:u w:val="single"/>
          <w:rtl/>
          <w:lang w:bidi="ar-SY"/>
        </w:rPr>
        <w:t>:</w:t>
      </w:r>
      <w:r w:rsidRPr="00995B26">
        <w:rPr>
          <w:rFonts w:ascii="Abo-thar" w:hAnsi="Abo-thar"/>
          <w:b/>
          <w:bCs/>
          <w:sz w:val="28"/>
          <w:u w:val="single"/>
          <w:rtl/>
          <w:lang w:bidi="ar-SY"/>
        </w:rPr>
        <w:t xml:space="preserve"> هم يتامى الناس عامة</w:t>
      </w:r>
      <w:r w:rsidR="00147857" w:rsidRPr="00995B26">
        <w:rPr>
          <w:rFonts w:ascii="Abo-thar" w:hAnsi="Abo-thar"/>
          <w:b/>
          <w:bCs/>
          <w:sz w:val="28"/>
          <w:u w:val="single"/>
          <w:rtl/>
          <w:lang w:bidi="ar-SY"/>
        </w:rPr>
        <w:t xml:space="preserve"> و</w:t>
      </w:r>
      <w:r w:rsidRPr="00995B26">
        <w:rPr>
          <w:rFonts w:ascii="Abo-thar" w:hAnsi="Abo-thar"/>
          <w:b/>
          <w:bCs/>
          <w:sz w:val="28"/>
          <w:u w:val="single"/>
          <w:rtl/>
          <w:lang w:bidi="ar-SY"/>
        </w:rPr>
        <w:t>كذلك المساكين</w:t>
      </w:r>
      <w:r w:rsidR="00147857" w:rsidRPr="00995B26">
        <w:rPr>
          <w:rFonts w:ascii="Abo-thar" w:hAnsi="Abo-thar"/>
          <w:b/>
          <w:bCs/>
          <w:sz w:val="28"/>
          <w:u w:val="single"/>
          <w:rtl/>
          <w:lang w:bidi="ar-SY"/>
        </w:rPr>
        <w:t xml:space="preserve"> و</w:t>
      </w:r>
      <w:r w:rsidRPr="00995B26">
        <w:rPr>
          <w:rFonts w:ascii="Abo-thar" w:hAnsi="Abo-thar"/>
          <w:b/>
          <w:bCs/>
          <w:sz w:val="28"/>
          <w:u w:val="single"/>
          <w:rtl/>
          <w:lang w:bidi="ar-SY"/>
        </w:rPr>
        <w:t>أبناء السبيل</w:t>
      </w:r>
      <w:r w:rsidR="00217AB4" w:rsidRPr="00995B26">
        <w:rPr>
          <w:rFonts w:ascii="Abo-thar" w:hAnsi="Abo-thar" w:hint="cs"/>
          <w:b/>
          <w:bCs/>
          <w:sz w:val="28"/>
          <w:u w:val="single"/>
          <w:rtl/>
          <w:lang w:bidi="ar-SY"/>
        </w:rPr>
        <w:t>،</w:t>
      </w:r>
      <w:r w:rsidR="00147857" w:rsidRPr="00995B26">
        <w:rPr>
          <w:rFonts w:ascii="Abo-thar" w:hAnsi="Abo-thar"/>
          <w:b/>
          <w:bCs/>
          <w:sz w:val="28"/>
          <w:u w:val="single"/>
          <w:rtl/>
          <w:lang w:bidi="ar-SY"/>
        </w:rPr>
        <w:t xml:space="preserve"> و</w:t>
      </w:r>
      <w:r w:rsidRPr="00995B26">
        <w:rPr>
          <w:rFonts w:ascii="Abo-thar" w:hAnsi="Abo-thar"/>
          <w:b/>
          <w:bCs/>
          <w:sz w:val="28"/>
          <w:u w:val="single"/>
          <w:rtl/>
          <w:lang w:bidi="ar-SY"/>
        </w:rPr>
        <w:t>قد روي أيضا</w:t>
      </w:r>
      <w:r w:rsidRPr="00995B26">
        <w:rPr>
          <w:rFonts w:ascii="Abo-thar" w:hAnsi="Abo-thar" w:hint="cs"/>
          <w:b/>
          <w:bCs/>
          <w:sz w:val="28"/>
          <w:u w:val="single"/>
          <w:rtl/>
          <w:lang w:bidi="ar-SY"/>
        </w:rPr>
        <w:t>ً</w:t>
      </w:r>
      <w:r w:rsidRPr="00995B26">
        <w:rPr>
          <w:rFonts w:ascii="Abo-thar" w:hAnsi="Abo-thar"/>
          <w:b/>
          <w:bCs/>
          <w:sz w:val="28"/>
          <w:u w:val="single"/>
          <w:rtl/>
          <w:lang w:bidi="ar-SY"/>
        </w:rPr>
        <w:t xml:space="preserve"> ذلك عنهم </w:t>
      </w:r>
      <w:r w:rsidR="00963EFD" w:rsidRPr="00963EFD">
        <w:rPr>
          <w:rFonts w:ascii="Abo-thar" w:hAnsi="Abo-thar" w:cs="CTraditional Arabic"/>
          <w:b/>
          <w:sz w:val="28"/>
          <w:u w:val="single"/>
          <w:rtl/>
          <w:lang w:bidi="ar-SY"/>
        </w:rPr>
        <w:t>‡</w:t>
      </w:r>
      <w:r w:rsidR="00147857" w:rsidRPr="00995B26">
        <w:rPr>
          <w:rFonts w:ascii="Abo-thar" w:hAnsi="Abo-thar"/>
          <w:b/>
          <w:bCs/>
          <w:sz w:val="28"/>
          <w:rtl/>
          <w:lang w:bidi="ar-SY"/>
        </w:rPr>
        <w:t xml:space="preserve"> و</w:t>
      </w:r>
      <w:r w:rsidRPr="00995B26">
        <w:rPr>
          <w:rFonts w:ascii="Abo-thar" w:hAnsi="Abo-thar"/>
          <w:b/>
          <w:bCs/>
          <w:sz w:val="28"/>
          <w:rtl/>
          <w:lang w:bidi="ar-SY"/>
        </w:rPr>
        <w:t xml:space="preserve">روى محمد بن مسلم عن أبي جعفر </w:t>
      </w:r>
      <w:r w:rsidR="003C7AEB" w:rsidRPr="003C7AEB">
        <w:rPr>
          <w:rFonts w:ascii="Abo-thar" w:hAnsi="Abo-thar" w:cs="CTraditional Arabic"/>
          <w:b/>
          <w:sz w:val="28"/>
          <w:rtl/>
          <w:lang w:bidi="ar-SY"/>
        </w:rPr>
        <w:t>÷</w:t>
      </w:r>
      <w:r w:rsidRPr="00995B26">
        <w:rPr>
          <w:rFonts w:ascii="Abo-thar" w:hAnsi="Abo-thar"/>
          <w:b/>
          <w:bCs/>
          <w:sz w:val="28"/>
          <w:rtl/>
          <w:lang w:bidi="ar-SY"/>
        </w:rPr>
        <w:t xml:space="preserve"> أنه قال كان أبي يقول لنا سهم رسول</w:t>
      </w:r>
      <w:r w:rsidRPr="00995B26">
        <w:rPr>
          <w:rFonts w:ascii="Abo-thar" w:hAnsi="Abo-thar" w:hint="cs"/>
          <w:b/>
          <w:bCs/>
          <w:sz w:val="28"/>
          <w:rtl/>
          <w:lang w:bidi="ar-SY"/>
        </w:rPr>
        <w:t xml:space="preserve"> </w:t>
      </w:r>
      <w:r w:rsidRPr="00995B26">
        <w:rPr>
          <w:rFonts w:ascii="Abo-thar" w:hAnsi="Abo-thar"/>
          <w:b/>
          <w:bCs/>
          <w:sz w:val="28"/>
          <w:rtl/>
          <w:lang w:bidi="ar-SY"/>
        </w:rPr>
        <w:t>الله</w:t>
      </w:r>
      <w:r w:rsidR="00147857" w:rsidRPr="00995B26">
        <w:rPr>
          <w:rFonts w:ascii="Abo-thar" w:hAnsi="Abo-thar"/>
          <w:b/>
          <w:bCs/>
          <w:sz w:val="28"/>
          <w:rtl/>
          <w:lang w:bidi="ar-SY"/>
        </w:rPr>
        <w:t xml:space="preserve"> </w:t>
      </w:r>
      <w:r w:rsidR="003C7AEB" w:rsidRPr="003C7AEB">
        <w:rPr>
          <w:rFonts w:ascii="Abo-thar" w:hAnsi="Abo-thar" w:cs="CTraditional Arabic"/>
          <w:sz w:val="28"/>
          <w:rtl/>
          <w:lang w:bidi="ar-SY"/>
        </w:rPr>
        <w:t>ص</w:t>
      </w:r>
      <w:r w:rsidR="00147857" w:rsidRPr="00995B26">
        <w:rPr>
          <w:rFonts w:ascii="Abo-thar" w:hAnsi="Abo-thar"/>
          <w:sz w:val="28"/>
          <w:rtl/>
          <w:lang w:bidi="ar-SY"/>
        </w:rPr>
        <w:t xml:space="preserve"> </w:t>
      </w:r>
      <w:r w:rsidR="00147857" w:rsidRPr="00995B26">
        <w:rPr>
          <w:rFonts w:ascii="Abo-thar" w:hAnsi="Abo-thar"/>
          <w:b/>
          <w:bCs/>
          <w:sz w:val="28"/>
          <w:rtl/>
          <w:lang w:bidi="ar-SY"/>
        </w:rPr>
        <w:t>و</w:t>
      </w:r>
      <w:r w:rsidRPr="00995B26">
        <w:rPr>
          <w:rFonts w:ascii="Abo-thar" w:hAnsi="Abo-thar"/>
          <w:b/>
          <w:bCs/>
          <w:sz w:val="28"/>
          <w:rtl/>
          <w:lang w:bidi="ar-SY"/>
        </w:rPr>
        <w:t>سهم ذي القربى</w:t>
      </w:r>
      <w:r w:rsidR="00147857" w:rsidRPr="00995B26">
        <w:rPr>
          <w:rFonts w:ascii="Abo-thar" w:hAnsi="Abo-thar"/>
          <w:b/>
          <w:bCs/>
          <w:sz w:val="28"/>
          <w:rtl/>
          <w:lang w:bidi="ar-SY"/>
        </w:rPr>
        <w:t xml:space="preserve"> و</w:t>
      </w:r>
      <w:r w:rsidRPr="00995B26">
        <w:rPr>
          <w:rFonts w:ascii="Abo-thar" w:hAnsi="Abo-thar"/>
          <w:b/>
          <w:bCs/>
          <w:sz w:val="28"/>
          <w:rtl/>
          <w:lang w:bidi="ar-SY"/>
        </w:rPr>
        <w:t>نحن شركاء الناس فيما بقي</w:t>
      </w:r>
      <w:r w:rsidR="00EF2588" w:rsidRPr="00995B26">
        <w:rPr>
          <w:rFonts w:ascii="Abo-thar" w:hAnsi="Abo-thar" w:hint="cs"/>
          <w:sz w:val="28"/>
          <w:rtl/>
          <w:lang w:bidi="ar-SY"/>
        </w:rPr>
        <w:t>»</w:t>
      </w:r>
      <w:r w:rsidR="00875038" w:rsidRPr="0021507A">
        <w:rPr>
          <w:rFonts w:cs="Arabic11 BT"/>
          <w:b/>
          <w:sz w:val="28"/>
          <w:vertAlign w:val="superscript"/>
          <w:rtl/>
          <w:lang w:bidi="ar-SY"/>
        </w:rPr>
        <w:t>(</w:t>
      </w:r>
      <w:r w:rsidR="00875038" w:rsidRPr="0021507A">
        <w:rPr>
          <w:rStyle w:val="FootnoteReference"/>
          <w:rFonts w:cs="Arabic11 BT"/>
          <w:b/>
          <w:sz w:val="28"/>
          <w:rtl/>
          <w:lang w:bidi="ar-SY"/>
        </w:rPr>
        <w:footnoteReference w:id="82"/>
      </w:r>
      <w:r w:rsidR="00875038" w:rsidRPr="0021507A">
        <w:rPr>
          <w:rFonts w:cs="Arabic11 BT"/>
          <w:b/>
          <w:sz w:val="28"/>
          <w:vertAlign w:val="superscript"/>
          <w:rtl/>
          <w:lang w:bidi="ar-SY"/>
        </w:rPr>
        <w:t>)</w:t>
      </w:r>
      <w:r w:rsidR="00217AB4" w:rsidRPr="00995B26">
        <w:rPr>
          <w:rFonts w:ascii="Abo-thar" w:hAnsi="Abo-thar" w:hint="cs"/>
          <w:sz w:val="28"/>
          <w:rtl/>
          <w:lang w:bidi="ar-SY"/>
        </w:rPr>
        <w:t>.</w:t>
      </w:r>
      <w:r w:rsidRPr="00995B26">
        <w:rPr>
          <w:rFonts w:ascii="Abo-thar" w:hAnsi="Abo-thar" w:hint="cs"/>
          <w:sz w:val="28"/>
          <w:rtl/>
          <w:lang w:bidi="ar-SY"/>
        </w:rPr>
        <w:t xml:space="preserve"> </w:t>
      </w:r>
    </w:p>
    <w:p w:rsidR="005C664D" w:rsidRPr="003F3B94" w:rsidRDefault="005C664D" w:rsidP="00F01069">
      <w:pPr>
        <w:pStyle w:val="a0"/>
        <w:ind w:left="624" w:hanging="340"/>
        <w:rPr>
          <w:rFonts w:hint="cs"/>
          <w:rtl/>
          <w:lang w:bidi="ar-SY"/>
        </w:rPr>
      </w:pPr>
      <w:r w:rsidRPr="003F3B94">
        <w:rPr>
          <w:rFonts w:ascii="Abo-thar" w:hAnsi="Abo-thar" w:hint="cs"/>
          <w:sz w:val="28"/>
          <w:rtl/>
          <w:lang w:bidi="ar-SY"/>
        </w:rPr>
        <w:t>3</w:t>
      </w:r>
      <w:r w:rsidR="00217AB4" w:rsidRPr="003F3B94">
        <w:rPr>
          <w:rFonts w:ascii="Abo-thar" w:hAnsi="Abo-thar" w:hint="cs"/>
          <w:sz w:val="28"/>
          <w:rtl/>
          <w:lang w:bidi="ar-SY"/>
        </w:rPr>
        <w:t>-</w:t>
      </w:r>
      <w:r w:rsidRPr="003F3B94">
        <w:rPr>
          <w:rFonts w:ascii="Abo-thar" w:hAnsi="Abo-thar" w:hint="cs"/>
          <w:sz w:val="28"/>
          <w:rtl/>
          <w:lang w:bidi="ar-SY"/>
        </w:rPr>
        <w:t xml:space="preserve"> وقال الشيخ يوسف البحراني في كتابه </w:t>
      </w:r>
      <w:r w:rsidRPr="003F3B94">
        <w:rPr>
          <w:rFonts w:ascii="Abo-thar" w:hAnsi="Abo-thar" w:hint="eastAsia"/>
          <w:sz w:val="28"/>
          <w:rtl/>
          <w:lang w:bidi="ar-SY"/>
        </w:rPr>
        <w:t>«</w:t>
      </w:r>
      <w:r w:rsidRPr="003F3B94">
        <w:rPr>
          <w:rFonts w:ascii="Abo-thar" w:hAnsi="Abo-thar" w:hint="cs"/>
          <w:sz w:val="28"/>
          <w:rtl/>
          <w:lang w:bidi="ar-SY"/>
        </w:rPr>
        <w:t>الحدائق الناضرة</w:t>
      </w:r>
      <w:r w:rsidRPr="003F3B94">
        <w:rPr>
          <w:rFonts w:ascii="Abo-thar" w:hAnsi="Abo-thar" w:hint="eastAsia"/>
          <w:sz w:val="28"/>
          <w:rtl/>
          <w:lang w:bidi="ar-SY"/>
        </w:rPr>
        <w:t>»</w:t>
      </w:r>
      <w:r w:rsidR="00875038" w:rsidRPr="0021507A">
        <w:rPr>
          <w:rFonts w:cs="Arabic11 BT"/>
          <w:b/>
          <w:sz w:val="28"/>
          <w:vertAlign w:val="superscript"/>
          <w:rtl/>
          <w:lang w:bidi="ar-SY"/>
        </w:rPr>
        <w:t>(</w:t>
      </w:r>
      <w:r w:rsidR="00875038" w:rsidRPr="0021507A">
        <w:rPr>
          <w:rStyle w:val="FootnoteReference"/>
          <w:rFonts w:cs="Arabic11 BT"/>
          <w:b/>
          <w:sz w:val="28"/>
          <w:rtl/>
          <w:lang w:bidi="ar-SY"/>
        </w:rPr>
        <w:footnoteReference w:id="83"/>
      </w:r>
      <w:r w:rsidR="00875038" w:rsidRPr="0021507A">
        <w:rPr>
          <w:rFonts w:cs="Arabic11 BT"/>
          <w:b/>
          <w:sz w:val="28"/>
          <w:vertAlign w:val="superscript"/>
          <w:rtl/>
          <w:lang w:bidi="ar-SY"/>
        </w:rPr>
        <w:t>)</w:t>
      </w:r>
      <w:r w:rsidR="00217AB4" w:rsidRPr="003F3B94">
        <w:rPr>
          <w:rFonts w:ascii="Abo-thar" w:hAnsi="Abo-thar" w:hint="cs"/>
          <w:sz w:val="28"/>
          <w:rtl/>
          <w:lang w:bidi="ar-SY"/>
        </w:rPr>
        <w:t>،</w:t>
      </w:r>
      <w:r w:rsidRPr="003F3B94">
        <w:rPr>
          <w:rFonts w:ascii="Abo-thar" w:hAnsi="Abo-thar" w:hint="cs"/>
          <w:sz w:val="28"/>
          <w:rtl/>
          <w:lang w:bidi="ar-SY"/>
        </w:rPr>
        <w:t xml:space="preserve"> </w:t>
      </w:r>
      <w:r w:rsidR="00875038" w:rsidRPr="003F3B94">
        <w:rPr>
          <w:rFonts w:ascii="Abo-thar" w:hAnsi="Abo-thar" w:hint="cs"/>
          <w:sz w:val="28"/>
          <w:rtl/>
          <w:lang w:bidi="ar-SY"/>
        </w:rPr>
        <w:t>و</w:t>
      </w:r>
      <w:r w:rsidRPr="003F3B94">
        <w:rPr>
          <w:rFonts w:ascii="Abo-thar" w:hAnsi="Abo-thar" w:hint="cs"/>
          <w:sz w:val="28"/>
          <w:rtl/>
          <w:lang w:bidi="ar-SY"/>
        </w:rPr>
        <w:t xml:space="preserve">المحقق الحلي في كتابه </w:t>
      </w:r>
      <w:r w:rsidRPr="003F3B94">
        <w:rPr>
          <w:rFonts w:ascii="Abo-thar" w:hAnsi="Abo-thar" w:hint="eastAsia"/>
          <w:sz w:val="28"/>
          <w:rtl/>
          <w:lang w:bidi="ar-SY"/>
        </w:rPr>
        <w:t>«</w:t>
      </w:r>
      <w:r w:rsidRPr="003F3B94">
        <w:rPr>
          <w:rFonts w:ascii="Abo-thar" w:hAnsi="Abo-thar" w:hint="cs"/>
          <w:sz w:val="28"/>
          <w:rtl/>
          <w:lang w:bidi="ar-SY"/>
        </w:rPr>
        <w:t>المعتبر</w:t>
      </w:r>
      <w:r w:rsidRPr="003F3B94">
        <w:rPr>
          <w:rFonts w:ascii="Abo-thar" w:hAnsi="Abo-thar" w:hint="eastAsia"/>
          <w:sz w:val="28"/>
          <w:rtl/>
          <w:lang w:bidi="ar-SY"/>
        </w:rPr>
        <w:t>»</w:t>
      </w:r>
      <w:r w:rsidR="00217AB4" w:rsidRPr="003F3B94">
        <w:rPr>
          <w:rFonts w:ascii="Abo-thar" w:hAnsi="Abo-thar" w:hint="cs"/>
          <w:sz w:val="28"/>
          <w:rtl/>
          <w:lang w:bidi="ar-SY"/>
        </w:rPr>
        <w:t>،</w:t>
      </w:r>
      <w:r w:rsidRPr="003F3B94">
        <w:rPr>
          <w:rFonts w:ascii="Abo-thar" w:hAnsi="Abo-thar" w:hint="cs"/>
          <w:sz w:val="28"/>
          <w:rtl/>
          <w:lang w:bidi="ar-SY"/>
        </w:rPr>
        <w:t xml:space="preserve"> </w:t>
      </w:r>
      <w:r w:rsidR="00875038" w:rsidRPr="003F3B94">
        <w:rPr>
          <w:rFonts w:ascii="Abo-thar" w:hAnsi="Abo-thar" w:hint="cs"/>
          <w:sz w:val="28"/>
          <w:rtl/>
          <w:lang w:bidi="ar-SY"/>
        </w:rPr>
        <w:t>و</w:t>
      </w:r>
      <w:r w:rsidRPr="003F3B94">
        <w:rPr>
          <w:rFonts w:ascii="Abo-thar" w:hAnsi="Abo-thar" w:hint="cs"/>
          <w:sz w:val="28"/>
          <w:rtl/>
          <w:lang w:bidi="ar-SY"/>
        </w:rPr>
        <w:t xml:space="preserve">الحاج آغا رضا الهمداني في كتابه </w:t>
      </w:r>
      <w:r w:rsidRPr="003F3B94">
        <w:rPr>
          <w:rFonts w:ascii="Abo-thar" w:hAnsi="Abo-thar" w:hint="eastAsia"/>
          <w:sz w:val="28"/>
          <w:rtl/>
          <w:lang w:bidi="ar-SY"/>
        </w:rPr>
        <w:t>«</w:t>
      </w:r>
      <w:r w:rsidRPr="003F3B94">
        <w:rPr>
          <w:rFonts w:ascii="Abo-thar" w:hAnsi="Abo-thar" w:hint="cs"/>
          <w:sz w:val="28"/>
          <w:rtl/>
          <w:lang w:bidi="ar-SY"/>
        </w:rPr>
        <w:t>مصباح الفقيه</w:t>
      </w:r>
      <w:r w:rsidRPr="003F3B94">
        <w:rPr>
          <w:rFonts w:ascii="Abo-thar" w:hAnsi="Abo-thar" w:hint="eastAsia"/>
          <w:sz w:val="28"/>
          <w:rtl/>
          <w:lang w:bidi="ar-SY"/>
        </w:rPr>
        <w:t>»</w:t>
      </w:r>
      <w:r w:rsidR="00875038" w:rsidRPr="0021507A">
        <w:rPr>
          <w:rFonts w:cs="Arabic11 BT"/>
          <w:b/>
          <w:sz w:val="28"/>
          <w:vertAlign w:val="superscript"/>
          <w:rtl/>
          <w:lang w:bidi="ar-SY"/>
        </w:rPr>
        <w:t>(</w:t>
      </w:r>
      <w:r w:rsidR="00875038" w:rsidRPr="0021507A">
        <w:rPr>
          <w:rStyle w:val="FootnoteReference"/>
          <w:rFonts w:cs="Arabic11 BT"/>
          <w:b/>
          <w:sz w:val="28"/>
          <w:rtl/>
          <w:lang w:bidi="ar-SY"/>
        </w:rPr>
        <w:footnoteReference w:id="84"/>
      </w:r>
      <w:r w:rsidR="00875038" w:rsidRPr="0021507A">
        <w:rPr>
          <w:rFonts w:cs="Arabic11 BT"/>
          <w:b/>
          <w:sz w:val="28"/>
          <w:vertAlign w:val="superscript"/>
          <w:rtl/>
          <w:lang w:bidi="ar-SY"/>
        </w:rPr>
        <w:t>)</w:t>
      </w:r>
      <w:r w:rsidR="00875038" w:rsidRPr="003F3B94">
        <w:rPr>
          <w:rFonts w:ascii="Abo-thar" w:hAnsi="Abo-thar" w:hint="cs"/>
          <w:sz w:val="28"/>
          <w:rtl/>
          <w:lang w:bidi="ar-SY"/>
        </w:rPr>
        <w:t>،</w:t>
      </w:r>
      <w:r w:rsidRPr="003F3B94">
        <w:rPr>
          <w:rFonts w:ascii="Abo-thar" w:hAnsi="Abo-thar" w:hint="cs"/>
          <w:sz w:val="28"/>
          <w:rtl/>
          <w:lang w:bidi="ar-SY"/>
        </w:rPr>
        <w:t xml:space="preserve"> جميعاً أن ابن جنيد قال إن أسهم اليتامى والمساكين وابن السبيل التي تشكل نصف الخمس تتعلق بمن كانوا من أهل تلك الصفات سواءً كانوا من ذوي قربى النبي أم لم يكونوا من ذوي قرباه بل من سائر المسلمين إذا استغنى عنه [من كانوا على تلك الصفة من] ذوي القربى</w:t>
      </w:r>
      <w:r w:rsidR="00217AB4" w:rsidRPr="0021507A">
        <w:rPr>
          <w:rStyle w:val="FootnoteReference"/>
          <w:rFonts w:cs="Arabic11 BT"/>
          <w:b/>
          <w:sz w:val="28"/>
          <w:rtl/>
          <w:lang w:bidi="ar-SY"/>
        </w:rPr>
        <w:t>(</w:t>
      </w:r>
      <w:r w:rsidRPr="0021507A">
        <w:rPr>
          <w:rStyle w:val="FootnoteReference"/>
          <w:rFonts w:cs="Arabic11 BT"/>
          <w:b/>
          <w:sz w:val="28"/>
          <w:rtl/>
          <w:lang w:bidi="ar-SY"/>
        </w:rPr>
        <w:footnoteReference w:id="85"/>
      </w:r>
      <w:r w:rsidR="00217AB4" w:rsidRPr="0021507A">
        <w:rPr>
          <w:rStyle w:val="FootnoteReference"/>
          <w:rFonts w:cs="Arabic11 BT"/>
          <w:b/>
          <w:sz w:val="28"/>
          <w:rtl/>
          <w:lang w:bidi="ar-SY"/>
        </w:rPr>
        <w:t>)</w:t>
      </w:r>
      <w:r w:rsidR="00217AB4" w:rsidRPr="003F3B94">
        <w:rPr>
          <w:rFonts w:ascii="Abo-thar" w:hAnsi="Abo-thar" w:hint="cs"/>
          <w:sz w:val="28"/>
          <w:rtl/>
          <w:lang w:bidi="ar-SY"/>
        </w:rPr>
        <w:t>.</w:t>
      </w:r>
      <w:r w:rsidRPr="003F3B94">
        <w:rPr>
          <w:rFonts w:ascii="Abo-thar" w:hAnsi="Abo-thar" w:hint="cs"/>
          <w:sz w:val="28"/>
          <w:rtl/>
          <w:lang w:bidi="ar-SY"/>
        </w:rPr>
        <w:t xml:space="preserve"> </w:t>
      </w:r>
    </w:p>
    <w:p w:rsidR="005C664D" w:rsidRPr="003F3B94" w:rsidRDefault="005C664D" w:rsidP="00F01069">
      <w:pPr>
        <w:pStyle w:val="a0"/>
        <w:ind w:left="624" w:hanging="340"/>
        <w:rPr>
          <w:rFonts w:hint="cs"/>
          <w:rtl/>
          <w:lang w:bidi="ar-SY"/>
        </w:rPr>
      </w:pPr>
      <w:r w:rsidRPr="003F3B94">
        <w:rPr>
          <w:rFonts w:ascii="Abo-thar" w:hAnsi="Abo-thar" w:hint="cs"/>
          <w:sz w:val="28"/>
          <w:rtl/>
          <w:lang w:bidi="ar-SY"/>
        </w:rPr>
        <w:t>4</w:t>
      </w:r>
      <w:r w:rsidR="009E5DD3" w:rsidRPr="003F3B94">
        <w:rPr>
          <w:rFonts w:ascii="Abo-thar" w:hAnsi="Abo-thar" w:hint="cs"/>
          <w:sz w:val="28"/>
          <w:rtl/>
          <w:lang w:bidi="ar-SY"/>
        </w:rPr>
        <w:t>- إضافةً إلى ذلك حكى الحاج آغا رضا الهمداني في مصباح الفقيه عن المحقق الحلِّي صاحب الشرائع، عن بعض علماء الشيعة قولاً يفيد أن: «خمس الله خمسة أقسام: أحدها سهم رسول الله والثاني سهم ذوي القربى والأسهم الثلاثة الباقية هي لليتامى والمساكين وأبناء السبيل وأكثر العلماء على هذا القول»</w:t>
      </w:r>
      <w:r w:rsidR="009E5DD3" w:rsidRPr="0021507A">
        <w:rPr>
          <w:rStyle w:val="FootnoteReference"/>
          <w:rFonts w:cs="Arabic11 BT"/>
          <w:b/>
          <w:sz w:val="28"/>
          <w:rtl/>
          <w:lang w:bidi="ar-SY"/>
        </w:rPr>
        <w:t>(</w:t>
      </w:r>
      <w:r w:rsidR="009E5DD3" w:rsidRPr="0021507A">
        <w:rPr>
          <w:rStyle w:val="FootnoteReference"/>
          <w:rFonts w:cs="Arabic11 BT"/>
          <w:b/>
          <w:sz w:val="28"/>
          <w:rtl/>
          <w:lang w:bidi="ar-SY"/>
        </w:rPr>
        <w:footnoteReference w:id="86"/>
      </w:r>
      <w:r w:rsidR="009E5DD3" w:rsidRPr="0021507A">
        <w:rPr>
          <w:rStyle w:val="FootnoteReference"/>
          <w:rFonts w:cs="Arabic11 BT"/>
          <w:b/>
          <w:sz w:val="28"/>
          <w:rtl/>
          <w:lang w:bidi="ar-SY"/>
        </w:rPr>
        <w:t>)</w:t>
      </w:r>
      <w:r w:rsidR="009E5DD3" w:rsidRPr="003F3B94">
        <w:rPr>
          <w:rFonts w:ascii="Abo-thar" w:hAnsi="Abo-thar" w:hint="cs"/>
          <w:sz w:val="28"/>
          <w:rtl/>
          <w:lang w:bidi="ar-SY"/>
        </w:rPr>
        <w:t>.</w:t>
      </w:r>
    </w:p>
    <w:p w:rsidR="005C664D" w:rsidRPr="00995B26" w:rsidRDefault="005C664D" w:rsidP="00F01069">
      <w:pPr>
        <w:pStyle w:val="a0"/>
        <w:ind w:left="624" w:hanging="340"/>
        <w:rPr>
          <w:rFonts w:hint="cs"/>
          <w:rtl/>
          <w:lang w:bidi="ar-SY"/>
        </w:rPr>
      </w:pPr>
      <w:r w:rsidRPr="003F3B94">
        <w:rPr>
          <w:rFonts w:ascii="Abo-thar" w:hAnsi="Abo-thar" w:hint="cs"/>
          <w:sz w:val="28"/>
          <w:rtl/>
          <w:lang w:bidi="ar-SY"/>
        </w:rPr>
        <w:t>5</w:t>
      </w:r>
      <w:r w:rsidR="00217AB4" w:rsidRPr="003F3B94">
        <w:rPr>
          <w:rFonts w:ascii="Abo-thar" w:hAnsi="Abo-thar" w:hint="cs"/>
          <w:sz w:val="28"/>
          <w:rtl/>
          <w:lang w:bidi="ar-SY"/>
        </w:rPr>
        <w:t>-</w:t>
      </w:r>
      <w:r w:rsidRPr="003F3B94">
        <w:rPr>
          <w:rFonts w:ascii="Abo-thar" w:hAnsi="Abo-thar" w:hint="cs"/>
          <w:sz w:val="28"/>
          <w:rtl/>
          <w:lang w:bidi="ar-SY"/>
        </w:rPr>
        <w:t xml:space="preserve"> </w:t>
      </w:r>
      <w:r w:rsidR="009E5DD3" w:rsidRPr="003F3B94">
        <w:rPr>
          <w:rFonts w:ascii="Abo-thar" w:hAnsi="Abo-thar" w:hint="cs"/>
          <w:sz w:val="28"/>
          <w:rtl/>
          <w:lang w:bidi="ar-SY"/>
        </w:rPr>
        <w:t xml:space="preserve">وقال الشيخ الجليل محمد بن علي ابن شهرآشوب في كتابه </w:t>
      </w:r>
      <w:r w:rsidR="009E5DD3" w:rsidRPr="003F3B94">
        <w:rPr>
          <w:rFonts w:ascii="Abo-thar" w:hAnsi="Abo-thar" w:hint="eastAsia"/>
          <w:sz w:val="28"/>
          <w:rtl/>
          <w:lang w:bidi="ar-SY"/>
        </w:rPr>
        <w:t>«</w:t>
      </w:r>
      <w:r w:rsidR="009E5DD3" w:rsidRPr="003F3B94">
        <w:rPr>
          <w:rFonts w:ascii="Abo-thar" w:hAnsi="Abo-thar" w:hint="cs"/>
          <w:sz w:val="28"/>
          <w:rtl/>
          <w:lang w:bidi="ar-SY"/>
        </w:rPr>
        <w:t>متشابهات القرآن ومختلفه</w:t>
      </w:r>
      <w:r w:rsidR="009E5DD3" w:rsidRPr="003F3B94">
        <w:rPr>
          <w:rFonts w:ascii="Abo-thar" w:hAnsi="Abo-thar" w:hint="eastAsia"/>
          <w:sz w:val="28"/>
          <w:rtl/>
          <w:lang w:bidi="ar-SY"/>
        </w:rPr>
        <w:t>»</w:t>
      </w:r>
      <w:r w:rsidR="009E5DD3" w:rsidRPr="003F3B94">
        <w:rPr>
          <w:rFonts w:ascii="Abo-thar" w:hAnsi="Abo-thar" w:hint="cs"/>
          <w:sz w:val="28"/>
          <w:rtl/>
          <w:lang w:bidi="ar-SY"/>
        </w:rPr>
        <w:t xml:space="preserve"> ذيل تفسيره لآية </w:t>
      </w:r>
      <w:r w:rsidR="009E5DD3" w:rsidRPr="00995B26">
        <w:rPr>
          <w:rFonts w:ascii="Abo-thar" w:hAnsi="Abo-thar" w:cs="Traditional Arabic" w:hint="cs"/>
          <w:sz w:val="28"/>
          <w:rtl/>
          <w:lang w:bidi="ar-SY"/>
        </w:rPr>
        <w:t>﴿</w:t>
      </w:r>
      <w:r w:rsidR="009E5DD3" w:rsidRPr="0067048A">
        <w:rPr>
          <w:rStyle w:val="Char3"/>
          <w:rFonts w:hint="eastAsia"/>
          <w:rtl/>
        </w:rPr>
        <w:t>وَ</w:t>
      </w:r>
      <w:r w:rsidR="009E5DD3" w:rsidRPr="0067048A">
        <w:rPr>
          <w:rStyle w:val="Char3"/>
          <w:rFonts w:hint="cs"/>
          <w:rtl/>
        </w:rPr>
        <w:t>ٱ</w:t>
      </w:r>
      <w:r w:rsidR="009E5DD3" w:rsidRPr="0067048A">
        <w:rPr>
          <w:rStyle w:val="Char3"/>
          <w:rFonts w:hint="eastAsia"/>
          <w:rtl/>
        </w:rPr>
        <w:t>ع</w:t>
      </w:r>
      <w:r w:rsidR="009E5DD3" w:rsidRPr="0067048A">
        <w:rPr>
          <w:rStyle w:val="Char3"/>
          <w:rFonts w:hint="cs"/>
          <w:rtl/>
        </w:rPr>
        <w:t>ۡ</w:t>
      </w:r>
      <w:r w:rsidR="009E5DD3" w:rsidRPr="0067048A">
        <w:rPr>
          <w:rStyle w:val="Char3"/>
          <w:rFonts w:hint="eastAsia"/>
          <w:rtl/>
        </w:rPr>
        <w:t>لَمُو</w:t>
      </w:r>
      <w:r w:rsidR="009E5DD3" w:rsidRPr="0067048A">
        <w:rPr>
          <w:rStyle w:val="Char3"/>
          <w:rFonts w:hint="cs"/>
          <w:rtl/>
        </w:rPr>
        <w:t>ٓ</w:t>
      </w:r>
      <w:r w:rsidR="009E5DD3" w:rsidRPr="0067048A">
        <w:rPr>
          <w:rStyle w:val="Char3"/>
          <w:rFonts w:hint="eastAsia"/>
          <w:rtl/>
        </w:rPr>
        <w:t>اْ</w:t>
      </w:r>
      <w:r w:rsidR="009E5DD3" w:rsidRPr="0067048A">
        <w:rPr>
          <w:rStyle w:val="Char3"/>
          <w:rtl/>
        </w:rPr>
        <w:t xml:space="preserve"> </w:t>
      </w:r>
      <w:r w:rsidR="009E5DD3" w:rsidRPr="0067048A">
        <w:rPr>
          <w:rStyle w:val="Char3"/>
          <w:rFonts w:hint="eastAsia"/>
          <w:rtl/>
        </w:rPr>
        <w:t>أَنَّمَا</w:t>
      </w:r>
      <w:r w:rsidR="009E5DD3" w:rsidRPr="0067048A">
        <w:rPr>
          <w:rStyle w:val="Char3"/>
          <w:rtl/>
        </w:rPr>
        <w:t xml:space="preserve"> </w:t>
      </w:r>
      <w:r w:rsidR="009E5DD3" w:rsidRPr="0067048A">
        <w:rPr>
          <w:rStyle w:val="Char3"/>
          <w:rFonts w:hint="eastAsia"/>
          <w:rtl/>
        </w:rPr>
        <w:t>غَنِم</w:t>
      </w:r>
      <w:r w:rsidR="009E5DD3" w:rsidRPr="0067048A">
        <w:rPr>
          <w:rStyle w:val="Char3"/>
          <w:rFonts w:hint="cs"/>
          <w:rtl/>
        </w:rPr>
        <w:t>ۡ</w:t>
      </w:r>
      <w:r w:rsidR="009E5DD3" w:rsidRPr="0067048A">
        <w:rPr>
          <w:rStyle w:val="Char3"/>
          <w:rFonts w:hint="eastAsia"/>
          <w:rtl/>
        </w:rPr>
        <w:t>تُم</w:t>
      </w:r>
      <w:r w:rsidR="009E5DD3" w:rsidRPr="0067048A">
        <w:rPr>
          <w:rStyle w:val="Char3"/>
          <w:rtl/>
        </w:rPr>
        <w:t xml:space="preserve"> </w:t>
      </w:r>
      <w:r w:rsidR="009E5DD3" w:rsidRPr="0067048A">
        <w:rPr>
          <w:rStyle w:val="Char3"/>
          <w:rFonts w:hint="eastAsia"/>
          <w:rtl/>
        </w:rPr>
        <w:t>مِّن</w:t>
      </w:r>
      <w:r w:rsidR="009E5DD3" w:rsidRPr="0067048A">
        <w:rPr>
          <w:rStyle w:val="Char3"/>
          <w:rtl/>
        </w:rPr>
        <w:t xml:space="preserve"> </w:t>
      </w:r>
      <w:r w:rsidR="009E5DD3" w:rsidRPr="0067048A">
        <w:rPr>
          <w:rStyle w:val="Char3"/>
          <w:rFonts w:hint="eastAsia"/>
          <w:rtl/>
        </w:rPr>
        <w:t>شَي</w:t>
      </w:r>
      <w:r w:rsidR="009E5DD3" w:rsidRPr="0067048A">
        <w:rPr>
          <w:rStyle w:val="Char3"/>
          <w:rFonts w:hint="cs"/>
          <w:rtl/>
        </w:rPr>
        <w:t>ۡ</w:t>
      </w:r>
      <w:r w:rsidR="009E5DD3" w:rsidRPr="0067048A">
        <w:rPr>
          <w:rStyle w:val="Char3"/>
          <w:rFonts w:hint="eastAsia"/>
          <w:rtl/>
        </w:rPr>
        <w:t>ء</w:t>
      </w:r>
      <w:r w:rsidR="009E5DD3" w:rsidRPr="0067048A">
        <w:rPr>
          <w:rStyle w:val="Char3"/>
          <w:rFonts w:hint="cs"/>
          <w:rtl/>
        </w:rPr>
        <w:t>ٖ</w:t>
      </w:r>
      <w:r w:rsidR="009E5DD3" w:rsidRPr="0067048A">
        <w:rPr>
          <w:rStyle w:val="Char3"/>
          <w:rtl/>
        </w:rPr>
        <w:t xml:space="preserve"> </w:t>
      </w:r>
      <w:r w:rsidR="009E5DD3" w:rsidRPr="0067048A">
        <w:rPr>
          <w:rStyle w:val="Char3"/>
          <w:rFonts w:hint="eastAsia"/>
          <w:rtl/>
        </w:rPr>
        <w:t>فَأَنَّ</w:t>
      </w:r>
      <w:r w:rsidR="009E5DD3" w:rsidRPr="0067048A">
        <w:rPr>
          <w:rStyle w:val="Char3"/>
          <w:rtl/>
        </w:rPr>
        <w:t xml:space="preserve"> </w:t>
      </w:r>
      <w:r w:rsidR="009E5DD3" w:rsidRPr="0067048A">
        <w:rPr>
          <w:rStyle w:val="Char3"/>
          <w:rFonts w:hint="eastAsia"/>
          <w:rtl/>
        </w:rPr>
        <w:t>لِلَّهِ</w:t>
      </w:r>
      <w:r w:rsidR="009E5DD3" w:rsidRPr="0067048A">
        <w:rPr>
          <w:rStyle w:val="Char3"/>
          <w:rtl/>
        </w:rPr>
        <w:t xml:space="preserve"> </w:t>
      </w:r>
      <w:r w:rsidR="009E5DD3" w:rsidRPr="0067048A">
        <w:rPr>
          <w:rStyle w:val="Char3"/>
          <w:rFonts w:hint="eastAsia"/>
          <w:rtl/>
        </w:rPr>
        <w:t>خُمُسَهُ</w:t>
      </w:r>
      <w:r w:rsidR="009E5DD3" w:rsidRPr="0067048A">
        <w:rPr>
          <w:rStyle w:val="Char3"/>
          <w:rFonts w:hint="cs"/>
          <w:rtl/>
        </w:rPr>
        <w:t>ۥ</w:t>
      </w:r>
      <w:r w:rsidR="009E5DD3" w:rsidRPr="0067048A">
        <w:rPr>
          <w:rStyle w:val="Char3"/>
          <w:rtl/>
        </w:rPr>
        <w:t xml:space="preserve"> </w:t>
      </w:r>
      <w:r w:rsidR="009E5DD3" w:rsidRPr="0067048A">
        <w:rPr>
          <w:rStyle w:val="Char3"/>
          <w:rFonts w:hint="eastAsia"/>
          <w:rtl/>
        </w:rPr>
        <w:t>وَلِلرَّسُولِ</w:t>
      </w:r>
      <w:r w:rsidR="009E5DD3" w:rsidRPr="00995B26">
        <w:rPr>
          <w:rFonts w:ascii="KFGQPC Uthmanic Script HAFS" w:cs="Times New Roman" w:hint="cs"/>
          <w:sz w:val="28"/>
          <w:rtl/>
        </w:rPr>
        <w:t>...</w:t>
      </w:r>
      <w:r w:rsidR="009E5DD3" w:rsidRPr="00995B26">
        <w:rPr>
          <w:rFonts w:ascii="Abo-thar" w:hAnsi="Abo-thar" w:cs="Traditional Arabic" w:hint="cs"/>
          <w:sz w:val="28"/>
          <w:rtl/>
          <w:lang w:bidi="ar-SY"/>
        </w:rPr>
        <w:t>﴾</w:t>
      </w:r>
      <w:r w:rsidR="009E5DD3" w:rsidRPr="00995B26">
        <w:rPr>
          <w:rFonts w:ascii="Abo-thar" w:hAnsi="Abo-thar" w:hint="cs"/>
          <w:sz w:val="28"/>
          <w:rtl/>
          <w:lang w:bidi="ar-SY"/>
        </w:rPr>
        <w:t xml:space="preserve"> </w:t>
      </w:r>
      <w:r w:rsidR="009E5DD3" w:rsidRPr="003108CB">
        <w:rPr>
          <w:rStyle w:val="Char2"/>
          <w:rtl/>
        </w:rPr>
        <w:t>[الأنفال</w:t>
      </w:r>
      <w:r w:rsidR="009E5DD3" w:rsidRPr="003108CB">
        <w:rPr>
          <w:rStyle w:val="Char2"/>
          <w:rFonts w:hint="cs"/>
          <w:rtl/>
        </w:rPr>
        <w:t xml:space="preserve">: </w:t>
      </w:r>
      <w:r w:rsidR="009E5DD3" w:rsidRPr="003108CB">
        <w:rPr>
          <w:rStyle w:val="Char2"/>
          <w:rtl/>
        </w:rPr>
        <w:t>41]</w:t>
      </w:r>
      <w:r w:rsidR="009E5DD3" w:rsidRPr="00995B26">
        <w:rPr>
          <w:rFonts w:ascii="Abo-thar" w:hAnsi="Abo-thar" w:hint="cs"/>
          <w:sz w:val="28"/>
          <w:rtl/>
          <w:lang w:bidi="ar-SY"/>
        </w:rPr>
        <w:t xml:space="preserve"> ما نصه: «</w:t>
      </w:r>
      <w:r w:rsidR="009E5DD3" w:rsidRPr="00995B26">
        <w:rPr>
          <w:rFonts w:ascii="Abo-thar" w:hAnsi="Abo-thar" w:hint="cs"/>
          <w:b/>
          <w:bCs/>
          <w:sz w:val="28"/>
          <w:rtl/>
          <w:lang w:bidi="ar-SY"/>
        </w:rPr>
        <w:t>ولفظ اليتامى والمساكين وابن السبيل عامٌّ في المشرك والذمي والغني والفقير</w:t>
      </w:r>
      <w:r w:rsidR="009E5DD3" w:rsidRPr="00995B26">
        <w:rPr>
          <w:rFonts w:ascii="Abo-thar" w:hAnsi="Abo-thar" w:hint="cs"/>
          <w:sz w:val="28"/>
          <w:rtl/>
          <w:lang w:bidi="ar-SY"/>
        </w:rPr>
        <w:t>»</w:t>
      </w:r>
      <w:r w:rsidR="009E5DD3" w:rsidRPr="0021507A">
        <w:rPr>
          <w:rStyle w:val="FootnoteReference"/>
          <w:rFonts w:cs="Arabic11 BT"/>
          <w:b/>
          <w:sz w:val="28"/>
          <w:rtl/>
        </w:rPr>
        <w:t>(</w:t>
      </w:r>
      <w:r w:rsidR="009E5DD3" w:rsidRPr="0021507A">
        <w:rPr>
          <w:rStyle w:val="FootnoteReference"/>
          <w:rFonts w:cs="Arabic11 BT"/>
          <w:b/>
          <w:sz w:val="28"/>
          <w:rtl/>
        </w:rPr>
        <w:footnoteReference w:id="87"/>
      </w:r>
      <w:r w:rsidR="009E5DD3" w:rsidRPr="0021507A">
        <w:rPr>
          <w:rStyle w:val="FootnoteReference"/>
          <w:rFonts w:cs="Arabic11 BT"/>
          <w:b/>
          <w:sz w:val="28"/>
          <w:rtl/>
        </w:rPr>
        <w:t>)</w:t>
      </w:r>
      <w:r w:rsidR="009E5DD3" w:rsidRPr="00995B26">
        <w:rPr>
          <w:rFonts w:ascii="Abo-thar" w:hAnsi="Abo-thar" w:hint="cs"/>
          <w:sz w:val="28"/>
          <w:rtl/>
          <w:lang w:bidi="ar-SY"/>
        </w:rPr>
        <w:t>.</w:t>
      </w:r>
      <w:r w:rsidRPr="00995B26">
        <w:rPr>
          <w:rFonts w:ascii="Abo-thar" w:hAnsi="Abo-thar" w:hint="cs"/>
          <w:sz w:val="28"/>
          <w:rtl/>
          <w:lang w:bidi="ar-SY"/>
        </w:rPr>
        <w:t xml:space="preserve"> </w:t>
      </w:r>
    </w:p>
    <w:p w:rsidR="005C664D" w:rsidRPr="003F3B94" w:rsidRDefault="005C664D" w:rsidP="00F01069">
      <w:pPr>
        <w:pStyle w:val="a0"/>
        <w:ind w:left="624" w:hanging="340"/>
        <w:rPr>
          <w:rFonts w:hint="cs"/>
          <w:rtl/>
          <w:lang w:bidi="ar-SY"/>
        </w:rPr>
      </w:pPr>
      <w:r w:rsidRPr="003F3B94">
        <w:rPr>
          <w:rFonts w:ascii="Abo-thar" w:hAnsi="Abo-thar" w:hint="cs"/>
          <w:sz w:val="28"/>
          <w:rtl/>
          <w:lang w:bidi="ar-SY"/>
        </w:rPr>
        <w:t>6</w:t>
      </w:r>
      <w:r w:rsidR="00217AB4" w:rsidRPr="003F3B94">
        <w:rPr>
          <w:rFonts w:ascii="Abo-thar" w:hAnsi="Abo-thar" w:hint="cs"/>
          <w:sz w:val="28"/>
          <w:rtl/>
          <w:lang w:bidi="ar-SY"/>
        </w:rPr>
        <w:t>-</w:t>
      </w:r>
      <w:r w:rsidRPr="003F3B94">
        <w:rPr>
          <w:rFonts w:ascii="Abo-thar" w:hAnsi="Abo-thar" w:hint="cs"/>
          <w:sz w:val="28"/>
          <w:rtl/>
          <w:lang w:bidi="ar-SY"/>
        </w:rPr>
        <w:t xml:space="preserve"> نقل </w:t>
      </w:r>
      <w:r w:rsidR="00775066" w:rsidRPr="003F3B94">
        <w:rPr>
          <w:rFonts w:ascii="Abo-thar" w:hAnsi="Abo-thar" w:hint="cs"/>
          <w:sz w:val="28"/>
          <w:rtl/>
          <w:lang w:bidi="ar-SY"/>
        </w:rPr>
        <w:t>الشيخ يوسف البحراني في كتابه</w:t>
      </w:r>
      <w:r w:rsidRPr="003F3B94">
        <w:rPr>
          <w:rFonts w:ascii="Abo-thar" w:hAnsi="Abo-thar" w:hint="cs"/>
          <w:sz w:val="28"/>
          <w:rtl/>
          <w:lang w:bidi="ar-SY"/>
        </w:rPr>
        <w:t xml:space="preserve"> </w:t>
      </w:r>
      <w:r w:rsidRPr="003F3B94">
        <w:rPr>
          <w:rFonts w:ascii="Abo-thar" w:hAnsi="Abo-thar" w:hint="eastAsia"/>
          <w:sz w:val="28"/>
          <w:rtl/>
          <w:lang w:bidi="ar-SY"/>
        </w:rPr>
        <w:t>«</w:t>
      </w:r>
      <w:r w:rsidRPr="003F3B94">
        <w:rPr>
          <w:rFonts w:ascii="Abo-thar" w:hAnsi="Abo-thar" w:hint="cs"/>
          <w:sz w:val="28"/>
          <w:rtl/>
          <w:lang w:bidi="ar-SY"/>
        </w:rPr>
        <w:t>الحدائق</w:t>
      </w:r>
      <w:r w:rsidRPr="003F3B94">
        <w:rPr>
          <w:rFonts w:ascii="Abo-thar" w:hAnsi="Abo-thar" w:hint="eastAsia"/>
          <w:sz w:val="28"/>
          <w:rtl/>
          <w:lang w:bidi="ar-SY"/>
        </w:rPr>
        <w:t>»</w:t>
      </w:r>
      <w:r w:rsidRPr="003F3B94">
        <w:rPr>
          <w:rFonts w:ascii="Abo-thar" w:hAnsi="Abo-thar" w:hint="cs"/>
          <w:sz w:val="28"/>
          <w:rtl/>
          <w:lang w:bidi="ar-SY"/>
        </w:rPr>
        <w:t xml:space="preserve"> عن صاحب المدارك قوله</w:t>
      </w:r>
      <w:r w:rsidR="00217AB4" w:rsidRPr="003F3B94">
        <w:rPr>
          <w:rFonts w:ascii="Abo-thar" w:hAnsi="Abo-thar" w:hint="cs"/>
          <w:sz w:val="28"/>
          <w:rtl/>
          <w:lang w:bidi="ar-SY"/>
        </w:rPr>
        <w:t>:</w:t>
      </w:r>
      <w:r w:rsidRPr="003F3B94">
        <w:rPr>
          <w:rFonts w:ascii="Abo-thar" w:hAnsi="Abo-thar" w:hint="cs"/>
          <w:sz w:val="28"/>
          <w:rtl/>
          <w:lang w:bidi="ar-SY"/>
        </w:rPr>
        <w:t xml:space="preserve"> </w:t>
      </w:r>
      <w:r w:rsidR="00EF2588" w:rsidRPr="003F3B94">
        <w:rPr>
          <w:rFonts w:ascii="Abo-thar" w:hAnsi="Abo-thar" w:hint="cs"/>
          <w:sz w:val="28"/>
          <w:rtl/>
          <w:lang w:bidi="ar-SY"/>
        </w:rPr>
        <w:t>«</w:t>
      </w:r>
      <w:r w:rsidRPr="003F3B94">
        <w:rPr>
          <w:rFonts w:ascii="Abo-thar" w:hAnsi="Abo-thar" w:hint="cs"/>
          <w:b/>
          <w:bCs/>
          <w:sz w:val="28"/>
          <w:rtl/>
          <w:lang w:bidi="ar-SY"/>
        </w:rPr>
        <w:t>والظاهر أن ما ذكر في بعض الأخبار من قيد يتامى آل محمد على سبيل الأفضلية لا على سبيل التعيين</w:t>
      </w:r>
      <w:r w:rsidR="00EF2588" w:rsidRPr="003F3B94">
        <w:rPr>
          <w:rFonts w:ascii="Abo-thar" w:hAnsi="Abo-thar" w:hint="cs"/>
          <w:sz w:val="28"/>
          <w:rtl/>
          <w:lang w:bidi="ar-SY"/>
        </w:rPr>
        <w:t>»</w:t>
      </w:r>
      <w:r w:rsidR="00217AB4" w:rsidRPr="003F3B94">
        <w:rPr>
          <w:rFonts w:ascii="Abo-thar" w:hAnsi="Abo-thar" w:hint="cs"/>
          <w:sz w:val="28"/>
          <w:rtl/>
          <w:lang w:bidi="ar-SY"/>
        </w:rPr>
        <w:t>.</w:t>
      </w:r>
      <w:r w:rsidRPr="003F3B94">
        <w:rPr>
          <w:rFonts w:ascii="Abo-thar" w:hAnsi="Abo-thar" w:hint="cs"/>
          <w:sz w:val="28"/>
          <w:rtl/>
          <w:lang w:bidi="ar-SY"/>
        </w:rPr>
        <w:t xml:space="preserve"> ثم قال</w:t>
      </w:r>
      <w:r w:rsidR="00217AB4" w:rsidRPr="003F3B94">
        <w:rPr>
          <w:rFonts w:ascii="Abo-thar" w:hAnsi="Abo-thar" w:hint="cs"/>
          <w:sz w:val="28"/>
          <w:rtl/>
          <w:lang w:bidi="ar-SY"/>
        </w:rPr>
        <w:t>:</w:t>
      </w:r>
      <w:r w:rsidRPr="003F3B94">
        <w:rPr>
          <w:rFonts w:ascii="Abo-thar" w:hAnsi="Abo-thar" w:hint="cs"/>
          <w:sz w:val="28"/>
          <w:rtl/>
          <w:lang w:bidi="ar-SY"/>
        </w:rPr>
        <w:t xml:space="preserve"> </w:t>
      </w:r>
      <w:r w:rsidR="00EF2588" w:rsidRPr="003F3B94">
        <w:rPr>
          <w:rFonts w:ascii="Abo-thar" w:hAnsi="Abo-thar" w:hint="cs"/>
          <w:sz w:val="28"/>
          <w:rtl/>
          <w:lang w:bidi="ar-SY"/>
        </w:rPr>
        <w:t>«</w:t>
      </w:r>
      <w:r w:rsidRPr="003F3B94">
        <w:rPr>
          <w:rFonts w:ascii="Abo-thar" w:hAnsi="Abo-thar" w:hint="cs"/>
          <w:b/>
          <w:bCs/>
          <w:sz w:val="28"/>
          <w:rtl/>
          <w:lang w:bidi="ar-SY"/>
        </w:rPr>
        <w:t>والدليل إطلاق الآية الشريفة وصحيحة ربعي</w:t>
      </w:r>
      <w:r w:rsidR="00EF2588" w:rsidRPr="003F3B94">
        <w:rPr>
          <w:rFonts w:ascii="Abo-thar" w:hAnsi="Abo-thar" w:hint="cs"/>
          <w:sz w:val="28"/>
          <w:rtl/>
          <w:lang w:bidi="ar-SY"/>
        </w:rPr>
        <w:t>»</w:t>
      </w:r>
      <w:r w:rsidR="00775066" w:rsidRPr="0021507A">
        <w:rPr>
          <w:rStyle w:val="FootnoteReference"/>
          <w:rFonts w:cs="Arabic11 BT"/>
          <w:b/>
          <w:sz w:val="28"/>
          <w:rtl/>
          <w:lang w:bidi="ar-SY"/>
        </w:rPr>
        <w:t>(</w:t>
      </w:r>
      <w:r w:rsidR="00775066" w:rsidRPr="0021507A">
        <w:rPr>
          <w:rStyle w:val="FootnoteReference"/>
          <w:rFonts w:cs="Arabic11 BT"/>
          <w:b/>
          <w:sz w:val="28"/>
          <w:rtl/>
          <w:lang w:bidi="ar-SY"/>
        </w:rPr>
        <w:footnoteReference w:id="88"/>
      </w:r>
      <w:r w:rsidR="00775066" w:rsidRPr="0021507A">
        <w:rPr>
          <w:rStyle w:val="FootnoteReference"/>
          <w:rFonts w:cs="Arabic11 BT"/>
          <w:b/>
          <w:sz w:val="28"/>
          <w:rtl/>
          <w:lang w:bidi="ar-SY"/>
        </w:rPr>
        <w:t>)</w:t>
      </w:r>
      <w:r w:rsidR="00217AB4" w:rsidRPr="003F3B94">
        <w:rPr>
          <w:rFonts w:ascii="Abo-thar" w:hAnsi="Abo-thar" w:hint="cs"/>
          <w:sz w:val="28"/>
          <w:rtl/>
          <w:lang w:bidi="ar-SY"/>
        </w:rPr>
        <w:t>.</w:t>
      </w:r>
      <w:r w:rsidRPr="003F3B94">
        <w:rPr>
          <w:rFonts w:ascii="Abo-thar" w:hAnsi="Abo-thar" w:hint="cs"/>
          <w:sz w:val="28"/>
          <w:rtl/>
          <w:lang w:bidi="ar-SY"/>
        </w:rPr>
        <w:t xml:space="preserve"> </w:t>
      </w:r>
    </w:p>
    <w:p w:rsidR="005C664D" w:rsidRPr="003F3B94" w:rsidRDefault="005C664D" w:rsidP="00AB263F">
      <w:pPr>
        <w:pStyle w:val="a0"/>
        <w:ind w:left="624" w:hanging="340"/>
        <w:rPr>
          <w:rFonts w:hint="cs"/>
          <w:rtl/>
          <w:lang w:bidi="ar-SY"/>
        </w:rPr>
      </w:pPr>
      <w:r w:rsidRPr="003F3B94">
        <w:rPr>
          <w:rFonts w:ascii="Abo-thar" w:hAnsi="Abo-thar" w:hint="cs"/>
          <w:sz w:val="28"/>
          <w:rtl/>
          <w:lang w:bidi="ar-SY"/>
        </w:rPr>
        <w:t>7</w:t>
      </w:r>
      <w:r w:rsidR="00217AB4" w:rsidRPr="003F3B94">
        <w:rPr>
          <w:rFonts w:ascii="Abo-thar" w:hAnsi="Abo-thar" w:hint="cs"/>
          <w:sz w:val="28"/>
          <w:rtl/>
          <w:lang w:bidi="ar-SY"/>
        </w:rPr>
        <w:t>-</w:t>
      </w:r>
      <w:r w:rsidRPr="003F3B94">
        <w:rPr>
          <w:rFonts w:ascii="Abo-thar" w:hAnsi="Abo-thar" w:hint="cs"/>
          <w:sz w:val="28"/>
          <w:rtl/>
          <w:lang w:bidi="ar-SY"/>
        </w:rPr>
        <w:t xml:space="preserve"> قال المحقق السبزواري في كتاب </w:t>
      </w:r>
      <w:r w:rsidRPr="003F3B94">
        <w:rPr>
          <w:rFonts w:ascii="Abo-thar" w:hAnsi="Abo-thar" w:hint="eastAsia"/>
          <w:sz w:val="28"/>
          <w:rtl/>
          <w:lang w:bidi="ar-SY"/>
        </w:rPr>
        <w:t>«</w:t>
      </w:r>
      <w:r w:rsidRPr="003F3B94">
        <w:rPr>
          <w:rFonts w:ascii="Abo-thar" w:hAnsi="Abo-thar" w:hint="cs"/>
          <w:sz w:val="28"/>
          <w:rtl/>
          <w:lang w:bidi="ar-SY"/>
        </w:rPr>
        <w:t>ذخيرة العباد</w:t>
      </w:r>
      <w:r w:rsidRPr="003F3B94">
        <w:rPr>
          <w:rFonts w:ascii="Abo-thar" w:hAnsi="Abo-thar" w:hint="eastAsia"/>
          <w:sz w:val="28"/>
          <w:rtl/>
          <w:lang w:bidi="ar-SY"/>
        </w:rPr>
        <w:t>»</w:t>
      </w:r>
      <w:r w:rsidRPr="003F3B94">
        <w:rPr>
          <w:rFonts w:ascii="Abo-thar" w:hAnsi="Abo-thar" w:hint="cs"/>
          <w:sz w:val="28"/>
          <w:rtl/>
          <w:lang w:bidi="ar-SY"/>
        </w:rPr>
        <w:t xml:space="preserve"> في باب الخمس حول هذا الموضوع</w:t>
      </w:r>
      <w:r w:rsidR="00217AB4" w:rsidRPr="003F3B94">
        <w:rPr>
          <w:rFonts w:ascii="Abo-thar" w:hAnsi="Abo-thar" w:hint="cs"/>
          <w:sz w:val="28"/>
          <w:rtl/>
          <w:lang w:bidi="ar-SY"/>
        </w:rPr>
        <w:t>:</w:t>
      </w:r>
      <w:r w:rsidRPr="003F3B94">
        <w:rPr>
          <w:rFonts w:ascii="Abo-thar" w:hAnsi="Abo-thar" w:hint="cs"/>
          <w:sz w:val="28"/>
          <w:rtl/>
          <w:lang w:bidi="ar-SY"/>
        </w:rPr>
        <w:t xml:space="preserve"> </w:t>
      </w:r>
      <w:r w:rsidR="00EF2588" w:rsidRPr="003F3B94">
        <w:rPr>
          <w:rFonts w:ascii="Abo-thar" w:hAnsi="Abo-thar" w:hint="cs"/>
          <w:sz w:val="28"/>
          <w:rtl/>
          <w:lang w:bidi="ar-SY"/>
        </w:rPr>
        <w:t>«</w:t>
      </w:r>
      <w:r w:rsidRPr="003F3B94">
        <w:rPr>
          <w:rFonts w:ascii="Abo-thar" w:hAnsi="Abo-thar" w:hint="cs"/>
          <w:b/>
          <w:bCs/>
          <w:sz w:val="28"/>
          <w:rtl/>
          <w:lang w:bidi="ar-SY"/>
        </w:rPr>
        <w:t>إن المراد باليتامى والمساكين في الآية</w:t>
      </w:r>
      <w:r w:rsidR="00217AB4" w:rsidRPr="003F3B94">
        <w:rPr>
          <w:rFonts w:ascii="Abo-thar" w:hAnsi="Abo-thar" w:hint="cs"/>
          <w:b/>
          <w:bCs/>
          <w:sz w:val="28"/>
          <w:rtl/>
          <w:lang w:bidi="ar-SY"/>
        </w:rPr>
        <w:t>:</w:t>
      </w:r>
      <w:r w:rsidRPr="003F3B94">
        <w:rPr>
          <w:rFonts w:ascii="Abo-thar" w:hAnsi="Abo-thar" w:hint="cs"/>
          <w:b/>
          <w:bCs/>
          <w:sz w:val="28"/>
          <w:rtl/>
          <w:lang w:bidi="ar-SY"/>
        </w:rPr>
        <w:t xml:space="preserve"> الجنس</w:t>
      </w:r>
      <w:r w:rsidR="00217AB4" w:rsidRPr="003F3B94">
        <w:rPr>
          <w:rFonts w:ascii="Abo-thar" w:hAnsi="Abo-thar" w:hint="cs"/>
          <w:b/>
          <w:bCs/>
          <w:sz w:val="28"/>
          <w:rtl/>
          <w:lang w:bidi="ar-SY"/>
        </w:rPr>
        <w:t>،</w:t>
      </w:r>
      <w:r w:rsidRPr="003F3B94">
        <w:rPr>
          <w:rFonts w:ascii="Abo-thar" w:hAnsi="Abo-thar" w:hint="cs"/>
          <w:b/>
          <w:bCs/>
          <w:sz w:val="28"/>
          <w:rtl/>
          <w:lang w:bidi="ar-SY"/>
        </w:rPr>
        <w:t xml:space="preserve"> لتعذر الحمل على الاستغراق</w:t>
      </w:r>
      <w:r w:rsidR="00217AB4" w:rsidRPr="003F3B94">
        <w:rPr>
          <w:rFonts w:ascii="Abo-thar" w:hAnsi="Abo-thar" w:hint="cs"/>
          <w:b/>
          <w:bCs/>
          <w:sz w:val="28"/>
          <w:rtl/>
          <w:lang w:bidi="ar-SY"/>
        </w:rPr>
        <w:t>،</w:t>
      </w:r>
      <w:r w:rsidRPr="003F3B94">
        <w:rPr>
          <w:rFonts w:ascii="Abo-thar" w:hAnsi="Abo-thar" w:hint="cs"/>
          <w:b/>
          <w:bCs/>
          <w:sz w:val="28"/>
          <w:rtl/>
          <w:lang w:bidi="ar-SY"/>
        </w:rPr>
        <w:t xml:space="preserve"> ويؤيده صحيحة محمد بن أبي نصر</w:t>
      </w:r>
      <w:r w:rsidR="00EF2588" w:rsidRPr="003F3B94">
        <w:rPr>
          <w:rFonts w:ascii="Abo-thar" w:hAnsi="Abo-thar" w:hint="cs"/>
          <w:sz w:val="28"/>
          <w:rtl/>
          <w:lang w:bidi="ar-SY"/>
        </w:rPr>
        <w:t>»</w:t>
      </w:r>
      <w:r w:rsidR="00775066" w:rsidRPr="0021507A">
        <w:rPr>
          <w:rStyle w:val="FootnoteReference"/>
          <w:rFonts w:cs="Arabic11 BT"/>
          <w:b/>
          <w:sz w:val="28"/>
          <w:rtl/>
          <w:lang w:bidi="ar-SY"/>
        </w:rPr>
        <w:t>(</w:t>
      </w:r>
      <w:r w:rsidR="00775066" w:rsidRPr="0021507A">
        <w:rPr>
          <w:rStyle w:val="FootnoteReference"/>
          <w:rFonts w:cs="Arabic11 BT"/>
          <w:b/>
          <w:sz w:val="28"/>
          <w:rtl/>
          <w:lang w:bidi="ar-SY"/>
        </w:rPr>
        <w:footnoteReference w:id="89"/>
      </w:r>
      <w:r w:rsidR="00775066" w:rsidRPr="0021507A">
        <w:rPr>
          <w:rStyle w:val="FootnoteReference"/>
          <w:rFonts w:cs="Arabic11 BT"/>
          <w:b/>
          <w:sz w:val="28"/>
          <w:rtl/>
          <w:lang w:bidi="ar-SY"/>
        </w:rPr>
        <w:t>)</w:t>
      </w:r>
      <w:r w:rsidR="00217AB4" w:rsidRPr="003F3B94">
        <w:rPr>
          <w:rFonts w:ascii="Abo-thar" w:hAnsi="Abo-thar" w:hint="cs"/>
          <w:sz w:val="28"/>
          <w:rtl/>
          <w:lang w:bidi="ar-SY"/>
        </w:rPr>
        <w:t>.</w:t>
      </w:r>
      <w:r w:rsidRPr="003F3B94">
        <w:rPr>
          <w:rFonts w:ascii="Abo-thar" w:hAnsi="Abo-thar" w:hint="cs"/>
          <w:sz w:val="28"/>
          <w:rtl/>
          <w:lang w:bidi="ar-SY"/>
        </w:rPr>
        <w:t xml:space="preserve"> </w:t>
      </w:r>
    </w:p>
    <w:p w:rsidR="005C664D" w:rsidRPr="003F3B94" w:rsidRDefault="005C664D" w:rsidP="00AB263F">
      <w:pPr>
        <w:pStyle w:val="a0"/>
        <w:ind w:left="624" w:hanging="340"/>
        <w:rPr>
          <w:rFonts w:hint="cs"/>
          <w:rtl/>
          <w:lang w:bidi="ar-SY"/>
        </w:rPr>
      </w:pPr>
      <w:r w:rsidRPr="003F3B94">
        <w:rPr>
          <w:rFonts w:ascii="Abo-thar" w:hAnsi="Abo-thar" w:hint="cs"/>
          <w:sz w:val="28"/>
          <w:rtl/>
          <w:lang w:bidi="ar-SY"/>
        </w:rPr>
        <w:t>8</w:t>
      </w:r>
      <w:r w:rsidR="00217AB4" w:rsidRPr="003F3B94">
        <w:rPr>
          <w:rFonts w:ascii="Abo-thar" w:hAnsi="Abo-thar" w:hint="cs"/>
          <w:sz w:val="28"/>
          <w:rtl/>
          <w:lang w:bidi="ar-SY"/>
        </w:rPr>
        <w:t>-</w:t>
      </w:r>
      <w:r w:rsidRPr="003F3B94">
        <w:rPr>
          <w:rFonts w:ascii="Abo-thar" w:hAnsi="Abo-thar" w:hint="cs"/>
          <w:sz w:val="28"/>
          <w:rtl/>
          <w:lang w:bidi="ar-SY"/>
        </w:rPr>
        <w:t xml:space="preserve"> وقال الملا محمد تقي المجلسي الأول </w:t>
      </w:r>
      <w:r w:rsidR="00217AB4" w:rsidRPr="003F3B94">
        <w:rPr>
          <w:rFonts w:ascii="Abo-thar" w:hAnsi="Abo-thar" w:hint="cs"/>
          <w:sz w:val="28"/>
          <w:rtl/>
          <w:lang w:bidi="ar-SY"/>
        </w:rPr>
        <w:t>(</w:t>
      </w:r>
      <w:r w:rsidRPr="003F3B94">
        <w:rPr>
          <w:rFonts w:ascii="Abo-thar" w:hAnsi="Abo-thar" w:hint="cs"/>
          <w:sz w:val="28"/>
          <w:rtl/>
          <w:lang w:bidi="ar-SY"/>
        </w:rPr>
        <w:t>1070هـ</w:t>
      </w:r>
      <w:r w:rsidR="00217AB4" w:rsidRPr="003F3B94">
        <w:rPr>
          <w:rFonts w:ascii="Abo-thar" w:hAnsi="Abo-thar" w:hint="cs"/>
          <w:sz w:val="28"/>
          <w:rtl/>
          <w:lang w:bidi="ar-SY"/>
        </w:rPr>
        <w:t>)</w:t>
      </w:r>
      <w:r w:rsidRPr="003F3B94">
        <w:rPr>
          <w:rFonts w:ascii="Abo-thar" w:hAnsi="Abo-thar" w:hint="cs"/>
          <w:sz w:val="28"/>
          <w:rtl/>
          <w:lang w:bidi="ar-SY"/>
        </w:rPr>
        <w:t xml:space="preserve"> في كتابه</w:t>
      </w:r>
      <w:r w:rsidR="00217AB4" w:rsidRPr="003F3B94">
        <w:rPr>
          <w:rFonts w:ascii="Abo-thar" w:hAnsi="Abo-thar" w:hint="cs"/>
          <w:sz w:val="28"/>
          <w:rtl/>
          <w:lang w:bidi="ar-SY"/>
        </w:rPr>
        <w:t>:</w:t>
      </w:r>
      <w:r w:rsidRPr="003F3B94">
        <w:rPr>
          <w:rFonts w:ascii="Abo-thar" w:hAnsi="Abo-thar" w:hint="cs"/>
          <w:sz w:val="28"/>
          <w:rtl/>
          <w:lang w:bidi="ar-SY"/>
        </w:rPr>
        <w:t xml:space="preserve"> «</w:t>
      </w:r>
      <w:r w:rsidRPr="003F3B94">
        <w:rPr>
          <w:rFonts w:ascii="Abo-thar" w:hAnsi="Abo-thar"/>
          <w:sz w:val="28"/>
          <w:rtl/>
          <w:lang w:bidi="ar-SY"/>
        </w:rPr>
        <w:t>اللوامع الصاحب قرانية</w:t>
      </w:r>
      <w:r w:rsidRPr="003F3B94">
        <w:rPr>
          <w:rFonts w:ascii="Abo-thar" w:hAnsi="Abo-thar" w:hint="cs"/>
          <w:sz w:val="28"/>
          <w:rtl/>
          <w:lang w:bidi="ar-SY"/>
        </w:rPr>
        <w:t>»</w:t>
      </w:r>
      <w:r w:rsidR="00217AB4" w:rsidRPr="0021507A">
        <w:rPr>
          <w:rFonts w:cs="Arabic11 BT"/>
          <w:b/>
          <w:sz w:val="28"/>
          <w:vertAlign w:val="superscript"/>
          <w:rtl/>
          <w:lang w:bidi="ar-SY"/>
        </w:rPr>
        <w:t>(</w:t>
      </w:r>
      <w:r w:rsidRPr="0021507A">
        <w:rPr>
          <w:rStyle w:val="FootnoteReference"/>
          <w:rFonts w:cs="Arabic11 BT"/>
          <w:b/>
          <w:sz w:val="28"/>
          <w:rtl/>
          <w:lang w:bidi="ar-SY"/>
        </w:rPr>
        <w:footnoteReference w:id="90"/>
      </w:r>
      <w:r w:rsidR="00217AB4" w:rsidRPr="0021507A">
        <w:rPr>
          <w:rFonts w:cs="Arabic11 BT"/>
          <w:b/>
          <w:sz w:val="28"/>
          <w:vertAlign w:val="superscript"/>
          <w:rtl/>
          <w:lang w:bidi="ar-SY"/>
        </w:rPr>
        <w:t>)</w:t>
      </w:r>
      <w:r w:rsidRPr="003F3B94">
        <w:rPr>
          <w:sz w:val="28"/>
          <w:rtl/>
          <w:lang w:bidi="ar-SY"/>
        </w:rPr>
        <w:t xml:space="preserve"> </w:t>
      </w:r>
      <w:r w:rsidRPr="003F3B94">
        <w:rPr>
          <w:rFonts w:ascii="Abo-thar" w:hAnsi="Abo-thar" w:hint="cs"/>
          <w:sz w:val="28"/>
          <w:rtl/>
          <w:lang w:bidi="ar-SY"/>
        </w:rPr>
        <w:t>في شرح حديث عيون أخبار الرضا الذي ذكرناه ذيل الرقم 7 قبل صفحات</w:t>
      </w:r>
      <w:r w:rsidR="00217AB4" w:rsidRPr="003F3B94">
        <w:rPr>
          <w:rFonts w:ascii="Abo-thar" w:hAnsi="Abo-thar" w:hint="cs"/>
          <w:sz w:val="28"/>
          <w:rtl/>
          <w:lang w:bidi="ar-SY"/>
        </w:rPr>
        <w:t>:</w:t>
      </w:r>
      <w:r w:rsidRPr="003F3B94">
        <w:rPr>
          <w:rFonts w:ascii="Abo-thar" w:hAnsi="Abo-thar" w:hint="cs"/>
          <w:sz w:val="28"/>
          <w:rtl/>
          <w:lang w:bidi="ar-SY"/>
        </w:rPr>
        <w:t xml:space="preserve"> </w:t>
      </w:r>
      <w:r w:rsidR="00EF2588" w:rsidRPr="003F3B94">
        <w:rPr>
          <w:rFonts w:ascii="Abo-thar" w:hAnsi="Abo-thar" w:hint="cs"/>
          <w:sz w:val="28"/>
          <w:rtl/>
          <w:lang w:bidi="ar-SY"/>
        </w:rPr>
        <w:t>«</w:t>
      </w:r>
      <w:r w:rsidRPr="003F3B94">
        <w:rPr>
          <w:rFonts w:ascii="Abo-thar" w:hAnsi="Abo-thar" w:hint="cs"/>
          <w:b/>
          <w:bCs/>
          <w:sz w:val="28"/>
          <w:rtl/>
          <w:lang w:bidi="ar-SY"/>
        </w:rPr>
        <w:t>ظاهره أن اليتامى والمساكين هم من غير السادات</w:t>
      </w:r>
      <w:r w:rsidR="00EF2588" w:rsidRPr="003F3B94">
        <w:rPr>
          <w:rFonts w:ascii="Abo-thar" w:hAnsi="Abo-thar" w:hint="cs"/>
          <w:sz w:val="28"/>
          <w:rtl/>
          <w:lang w:bidi="ar-SY"/>
        </w:rPr>
        <w:t>»</w:t>
      </w:r>
      <w:r w:rsidR="00775066" w:rsidRPr="0021507A">
        <w:rPr>
          <w:rStyle w:val="FootnoteReference"/>
          <w:rFonts w:cs="Arabic11 BT"/>
          <w:b/>
          <w:sz w:val="28"/>
          <w:rtl/>
          <w:lang w:bidi="ar-SY"/>
        </w:rPr>
        <w:t>(</w:t>
      </w:r>
      <w:r w:rsidR="00775066" w:rsidRPr="0021507A">
        <w:rPr>
          <w:rStyle w:val="FootnoteReference"/>
          <w:rFonts w:cs="Arabic11 BT"/>
          <w:b/>
          <w:sz w:val="28"/>
          <w:rtl/>
          <w:lang w:bidi="ar-SY"/>
        </w:rPr>
        <w:footnoteReference w:id="91"/>
      </w:r>
      <w:r w:rsidR="00775066" w:rsidRPr="0021507A">
        <w:rPr>
          <w:rStyle w:val="FootnoteReference"/>
          <w:rFonts w:cs="Arabic11 BT"/>
          <w:b/>
          <w:sz w:val="28"/>
          <w:rtl/>
          <w:lang w:bidi="ar-SY"/>
        </w:rPr>
        <w:t>)</w:t>
      </w:r>
      <w:r w:rsidR="00217AB4" w:rsidRPr="003F3B94">
        <w:rPr>
          <w:rFonts w:ascii="Abo-thar" w:hAnsi="Abo-thar" w:hint="cs"/>
          <w:sz w:val="28"/>
          <w:rtl/>
          <w:lang w:bidi="ar-SY"/>
        </w:rPr>
        <w:t>.</w:t>
      </w:r>
    </w:p>
    <w:p w:rsidR="005C664D" w:rsidRPr="003F3B94" w:rsidRDefault="005C664D" w:rsidP="00F01069">
      <w:pPr>
        <w:pStyle w:val="a0"/>
        <w:ind w:left="624" w:hanging="340"/>
        <w:rPr>
          <w:rFonts w:hint="cs"/>
          <w:rtl/>
          <w:lang w:bidi="ar-SY"/>
        </w:rPr>
      </w:pPr>
      <w:r w:rsidRPr="003F3B94">
        <w:rPr>
          <w:rFonts w:ascii="Abo-thar" w:hAnsi="Abo-thar" w:hint="cs"/>
          <w:sz w:val="28"/>
          <w:rtl/>
          <w:lang w:bidi="ar-SY"/>
        </w:rPr>
        <w:t>9</w:t>
      </w:r>
      <w:r w:rsidR="00217AB4" w:rsidRPr="003F3B94">
        <w:rPr>
          <w:rFonts w:ascii="Abo-thar" w:hAnsi="Abo-thar" w:hint="cs"/>
          <w:sz w:val="28"/>
          <w:rtl/>
          <w:lang w:bidi="ar-SY"/>
        </w:rPr>
        <w:t>-</w:t>
      </w:r>
      <w:r w:rsidR="00147857" w:rsidRPr="003F3B94">
        <w:rPr>
          <w:rFonts w:ascii="Abo-thar" w:hAnsi="Abo-thar" w:hint="cs"/>
          <w:sz w:val="28"/>
          <w:rtl/>
          <w:lang w:bidi="ar-SY"/>
        </w:rPr>
        <w:t xml:space="preserve"> و</w:t>
      </w:r>
      <w:r w:rsidRPr="003F3B94">
        <w:rPr>
          <w:rFonts w:ascii="Abo-thar" w:hAnsi="Abo-thar" w:hint="cs"/>
          <w:sz w:val="28"/>
          <w:rtl/>
          <w:lang w:bidi="ar-SY"/>
        </w:rPr>
        <w:t>روى صاحب الرياض عن الإسكافي أنه لم يكن يشترط في صرف سهم اليتامى والمساكين وابن السبيل من الخمس أن يكونوا منتسبين لبني عبد المطلب بل أجاز صرفه لغيرهم من المسلمين إذا استغنى [من كانوا على تلك الصفة من] ذوي القربى</w:t>
      </w:r>
      <w:r w:rsidR="00217AB4" w:rsidRPr="003F3B94">
        <w:rPr>
          <w:rFonts w:ascii="Abo-thar" w:hAnsi="Abo-thar" w:hint="cs"/>
          <w:sz w:val="28"/>
          <w:rtl/>
          <w:lang w:bidi="ar-SY"/>
        </w:rPr>
        <w:t>.</w:t>
      </w:r>
      <w:r w:rsidRPr="003F3B94">
        <w:rPr>
          <w:rFonts w:ascii="Abo-thar" w:hAnsi="Abo-thar" w:hint="cs"/>
          <w:sz w:val="28"/>
          <w:rtl/>
          <w:lang w:bidi="ar-SY"/>
        </w:rPr>
        <w:t xml:space="preserve"> </w:t>
      </w:r>
    </w:p>
    <w:p w:rsidR="005C664D" w:rsidRPr="003F3B94" w:rsidRDefault="005C664D" w:rsidP="00F01069">
      <w:pPr>
        <w:pStyle w:val="a0"/>
        <w:ind w:left="624" w:hanging="340"/>
        <w:rPr>
          <w:rFonts w:hint="cs"/>
          <w:rtl/>
          <w:lang w:bidi="ar-SY"/>
        </w:rPr>
      </w:pPr>
      <w:r w:rsidRPr="003F3B94">
        <w:rPr>
          <w:rFonts w:ascii="Abo-thar" w:hAnsi="Abo-thar" w:hint="cs"/>
          <w:sz w:val="28"/>
          <w:rtl/>
          <w:lang w:bidi="ar-SY"/>
        </w:rPr>
        <w:t>10</w:t>
      </w:r>
      <w:r w:rsidR="00217AB4" w:rsidRPr="003F3B94">
        <w:rPr>
          <w:rFonts w:ascii="Abo-thar" w:hAnsi="Abo-thar" w:hint="cs"/>
          <w:sz w:val="28"/>
          <w:rtl/>
          <w:lang w:bidi="ar-SY"/>
        </w:rPr>
        <w:t>-</w:t>
      </w:r>
      <w:r w:rsidRPr="003F3B94">
        <w:rPr>
          <w:rFonts w:ascii="Abo-thar" w:hAnsi="Abo-thar" w:hint="cs"/>
          <w:sz w:val="28"/>
          <w:rtl/>
          <w:lang w:bidi="ar-SY"/>
        </w:rPr>
        <w:t xml:space="preserve"> وذكر الشيخ يوسف البحراني نفسه في </w:t>
      </w:r>
      <w:r w:rsidRPr="003F3B94">
        <w:rPr>
          <w:rFonts w:ascii="Abo-thar" w:hAnsi="Abo-thar" w:hint="eastAsia"/>
          <w:sz w:val="28"/>
          <w:rtl/>
          <w:lang w:bidi="ar-SY"/>
        </w:rPr>
        <w:t>«</w:t>
      </w:r>
      <w:r w:rsidRPr="003F3B94">
        <w:rPr>
          <w:rFonts w:ascii="Abo-thar" w:hAnsi="Abo-thar" w:hint="cs"/>
          <w:sz w:val="28"/>
          <w:rtl/>
          <w:lang w:bidi="ar-SY"/>
        </w:rPr>
        <w:t>الحدائق</w:t>
      </w:r>
      <w:r w:rsidRPr="003F3B94">
        <w:rPr>
          <w:rFonts w:ascii="Abo-thar" w:hAnsi="Abo-thar" w:hint="eastAsia"/>
          <w:sz w:val="28"/>
          <w:rtl/>
          <w:lang w:bidi="ar-SY"/>
        </w:rPr>
        <w:t>»</w:t>
      </w:r>
      <w:r w:rsidRPr="003F3B94">
        <w:rPr>
          <w:rFonts w:ascii="Abo-thar" w:hAnsi="Abo-thar" w:hint="cs"/>
          <w:sz w:val="28"/>
          <w:rtl/>
          <w:lang w:bidi="ar-SY"/>
        </w:rPr>
        <w:t xml:space="preserve"> ذيل خبر زكريا بن مالك الجعفي الذي أوردناه تحت الرقم 3 من الأحاديث المروية عن أهل البيت والذي روي فيه عن الإمام قوله</w:t>
      </w:r>
      <w:r w:rsidR="00217AB4" w:rsidRPr="003F3B94">
        <w:rPr>
          <w:rFonts w:ascii="Abo-thar" w:hAnsi="Abo-thar" w:hint="cs"/>
          <w:sz w:val="28"/>
          <w:rtl/>
          <w:lang w:bidi="ar-SY"/>
        </w:rPr>
        <w:t>:</w:t>
      </w:r>
      <w:r w:rsidRPr="003F3B94">
        <w:rPr>
          <w:rFonts w:ascii="Abo-thar" w:hAnsi="Abo-thar" w:hint="cs"/>
          <w:sz w:val="28"/>
          <w:rtl/>
          <w:lang w:bidi="ar-SY"/>
        </w:rPr>
        <w:t xml:space="preserve"> </w:t>
      </w:r>
      <w:r w:rsidR="00EF2588" w:rsidRPr="003F3B94">
        <w:rPr>
          <w:rFonts w:ascii="Abo-thar" w:hAnsi="Abo-thar" w:hint="cs"/>
          <w:sz w:val="28"/>
          <w:rtl/>
          <w:lang w:bidi="ar-SY"/>
        </w:rPr>
        <w:t>«</w:t>
      </w:r>
      <w:r w:rsidRPr="003F3B94">
        <w:rPr>
          <w:rFonts w:ascii="Abo-thar" w:hAnsi="Abo-thar" w:hint="cs"/>
          <w:sz w:val="28"/>
          <w:rtl/>
          <w:lang w:bidi="ar-SY"/>
        </w:rPr>
        <w:t>وأما المساكين وأبناء السبيل فقد عرفتَ أن</w:t>
      </w:r>
      <w:r w:rsidR="00775066" w:rsidRPr="003F3B94">
        <w:rPr>
          <w:rFonts w:ascii="Abo-thar" w:hAnsi="Abo-thar" w:hint="cs"/>
          <w:sz w:val="28"/>
          <w:rtl/>
          <w:lang w:bidi="ar-SY"/>
        </w:rPr>
        <w:t>َّا</w:t>
      </w:r>
      <w:r w:rsidRPr="003F3B94">
        <w:rPr>
          <w:rFonts w:ascii="Abo-thar" w:hAnsi="Abo-thar" w:hint="cs"/>
          <w:sz w:val="28"/>
          <w:rtl/>
          <w:lang w:bidi="ar-SY"/>
        </w:rPr>
        <w:t xml:space="preserve"> لا نأكل الصدقة</w:t>
      </w:r>
      <w:r w:rsidR="00EF2588" w:rsidRPr="003F3B94">
        <w:rPr>
          <w:rFonts w:ascii="Abo-thar" w:hAnsi="Abo-thar" w:hint="cs"/>
          <w:sz w:val="28"/>
          <w:rtl/>
          <w:lang w:bidi="ar-SY"/>
        </w:rPr>
        <w:t>»</w:t>
      </w:r>
      <w:r w:rsidRPr="003F3B94">
        <w:rPr>
          <w:rFonts w:ascii="Abo-thar" w:hAnsi="Abo-thar" w:hint="cs"/>
          <w:sz w:val="28"/>
          <w:rtl/>
          <w:lang w:bidi="ar-SY"/>
        </w:rPr>
        <w:t xml:space="preserve"> فقال الشيخ يوسف البحراني ما نصه</w:t>
      </w:r>
      <w:r w:rsidR="00217AB4" w:rsidRPr="003F3B94">
        <w:rPr>
          <w:rFonts w:ascii="Abo-thar" w:hAnsi="Abo-thar" w:hint="cs"/>
          <w:sz w:val="28"/>
          <w:rtl/>
          <w:lang w:bidi="ar-SY"/>
        </w:rPr>
        <w:t>:</w:t>
      </w:r>
      <w:r w:rsidRPr="003F3B94">
        <w:rPr>
          <w:rFonts w:ascii="Abo-thar" w:hAnsi="Abo-thar" w:hint="cs"/>
          <w:sz w:val="28"/>
          <w:rtl/>
          <w:lang w:bidi="ar-SY"/>
        </w:rPr>
        <w:t xml:space="preserve"> </w:t>
      </w:r>
    </w:p>
    <w:p w:rsidR="00775066" w:rsidRPr="000913E5" w:rsidRDefault="00EF2588" w:rsidP="000913E5">
      <w:pPr>
        <w:pStyle w:val="a0"/>
        <w:rPr>
          <w:rFonts w:hint="cs"/>
          <w:spacing w:val="-2"/>
          <w:rtl/>
          <w:lang w:bidi="ar-SY"/>
        </w:rPr>
      </w:pPr>
      <w:r w:rsidRPr="000913E5">
        <w:rPr>
          <w:rFonts w:ascii="Abo-thar" w:hAnsi="Abo-thar" w:hint="cs"/>
          <w:spacing w:val="-2"/>
          <w:sz w:val="28"/>
          <w:rtl/>
          <w:lang w:bidi="ar-SY"/>
        </w:rPr>
        <w:t>«</w:t>
      </w:r>
      <w:r w:rsidR="005C664D" w:rsidRPr="000913E5">
        <w:rPr>
          <w:rFonts w:ascii="Abo-thar" w:hAnsi="Abo-thar"/>
          <w:spacing w:val="-2"/>
          <w:sz w:val="28"/>
          <w:rtl/>
          <w:lang w:bidi="ar-SY"/>
        </w:rPr>
        <w:t>و</w:t>
      </w:r>
      <w:r w:rsidR="005C664D" w:rsidRPr="000913E5">
        <w:rPr>
          <w:rFonts w:ascii="Abo-thar" w:hAnsi="Abo-thar" w:hint="cs"/>
          <w:spacing w:val="-2"/>
          <w:sz w:val="28"/>
          <w:rtl/>
          <w:lang w:bidi="ar-SY"/>
        </w:rPr>
        <w:t>أ</w:t>
      </w:r>
      <w:r w:rsidR="005C664D" w:rsidRPr="000913E5">
        <w:rPr>
          <w:rFonts w:ascii="Abo-thar" w:hAnsi="Abo-thar"/>
          <w:spacing w:val="-2"/>
          <w:sz w:val="28"/>
          <w:rtl/>
          <w:lang w:bidi="ar-SY"/>
        </w:rPr>
        <w:t>م</w:t>
      </w:r>
      <w:r w:rsidR="005C664D" w:rsidRPr="000913E5">
        <w:rPr>
          <w:rFonts w:ascii="Abo-thar" w:hAnsi="Abo-thar" w:hint="cs"/>
          <w:spacing w:val="-2"/>
          <w:sz w:val="28"/>
          <w:rtl/>
          <w:lang w:bidi="ar-SY"/>
        </w:rPr>
        <w:t>َّ</w:t>
      </w:r>
      <w:r w:rsidR="005C664D" w:rsidRPr="000913E5">
        <w:rPr>
          <w:rFonts w:ascii="Abo-thar" w:hAnsi="Abo-thar"/>
          <w:spacing w:val="-2"/>
          <w:sz w:val="28"/>
          <w:rtl/>
          <w:lang w:bidi="ar-SY"/>
        </w:rPr>
        <w:t>ا قوله في تتم</w:t>
      </w:r>
      <w:r w:rsidR="005C664D" w:rsidRPr="000913E5">
        <w:rPr>
          <w:rFonts w:ascii="Abo-thar" w:hAnsi="Abo-thar" w:hint="cs"/>
          <w:spacing w:val="-2"/>
          <w:sz w:val="28"/>
          <w:rtl/>
          <w:lang w:bidi="ar-SY"/>
        </w:rPr>
        <w:t>َّ</w:t>
      </w:r>
      <w:r w:rsidR="005C664D" w:rsidRPr="000913E5">
        <w:rPr>
          <w:rFonts w:ascii="Abo-thar" w:hAnsi="Abo-thar"/>
          <w:spacing w:val="-2"/>
          <w:sz w:val="28"/>
          <w:rtl/>
          <w:lang w:bidi="ar-SY"/>
        </w:rPr>
        <w:t xml:space="preserve">ة الخبر </w:t>
      </w:r>
      <w:r w:rsidR="005C664D" w:rsidRPr="000913E5">
        <w:rPr>
          <w:rFonts w:ascii="Abo-thar" w:hAnsi="Abo-thar" w:hint="cs"/>
          <w:spacing w:val="-2"/>
          <w:sz w:val="28"/>
          <w:rtl/>
          <w:lang w:bidi="ar-SY"/>
        </w:rPr>
        <w:t>«وأما</w:t>
      </w:r>
      <w:r w:rsidR="005C664D" w:rsidRPr="000913E5">
        <w:rPr>
          <w:rFonts w:ascii="Abo-thar" w:hAnsi="Abo-thar"/>
          <w:spacing w:val="-2"/>
          <w:sz w:val="28"/>
          <w:rtl/>
          <w:lang w:bidi="ar-SY"/>
        </w:rPr>
        <w:t xml:space="preserve"> المساكين </w:t>
      </w:r>
      <w:r w:rsidR="005C664D" w:rsidRPr="000913E5">
        <w:rPr>
          <w:rFonts w:ascii="Abo-thar" w:hAnsi="Abo-thar" w:hint="cs"/>
          <w:spacing w:val="-2"/>
          <w:sz w:val="28"/>
          <w:rtl/>
          <w:lang w:bidi="ar-SY"/>
        </w:rPr>
        <w:t>وأبناء</w:t>
      </w:r>
      <w:r w:rsidR="005C664D" w:rsidRPr="000913E5">
        <w:rPr>
          <w:rFonts w:ascii="Abo-thar" w:hAnsi="Abo-thar"/>
          <w:spacing w:val="-2"/>
          <w:sz w:val="28"/>
          <w:rtl/>
          <w:lang w:bidi="ar-SY"/>
        </w:rPr>
        <w:t xml:space="preserve"> السبيل فقد عرفت</w:t>
      </w:r>
      <w:r w:rsidR="005C664D" w:rsidRPr="000913E5">
        <w:rPr>
          <w:rFonts w:ascii="Abo-thar" w:hAnsi="Abo-thar" w:hint="cs"/>
          <w:spacing w:val="-2"/>
          <w:sz w:val="28"/>
          <w:rtl/>
          <w:lang w:bidi="ar-SY"/>
        </w:rPr>
        <w:t>َ</w:t>
      </w:r>
      <w:r w:rsidR="005C664D" w:rsidRPr="000913E5">
        <w:rPr>
          <w:rFonts w:ascii="Abo-thar" w:hAnsi="Abo-thar"/>
          <w:spacing w:val="-2"/>
          <w:sz w:val="28"/>
          <w:rtl/>
          <w:lang w:bidi="ar-SY"/>
        </w:rPr>
        <w:t xml:space="preserve"> </w:t>
      </w:r>
      <w:r w:rsidR="005C664D" w:rsidRPr="000913E5">
        <w:rPr>
          <w:rFonts w:ascii="Abo-thar" w:hAnsi="Abo-thar" w:hint="cs"/>
          <w:spacing w:val="-2"/>
          <w:sz w:val="28"/>
          <w:rtl/>
          <w:lang w:bidi="ar-SY"/>
        </w:rPr>
        <w:t>أنا</w:t>
      </w:r>
      <w:r w:rsidR="005C664D" w:rsidRPr="000913E5">
        <w:rPr>
          <w:rFonts w:ascii="Abo-thar" w:hAnsi="Abo-thar"/>
          <w:spacing w:val="-2"/>
          <w:sz w:val="28"/>
          <w:rtl/>
          <w:lang w:bidi="ar-SY"/>
        </w:rPr>
        <w:t xml:space="preserve"> لا نأكل الصدقة</w:t>
      </w:r>
      <w:r w:rsidR="00217AB4" w:rsidRPr="000913E5">
        <w:rPr>
          <w:rFonts w:ascii="Abo-thar" w:hAnsi="Abo-thar"/>
          <w:spacing w:val="-2"/>
          <w:sz w:val="28"/>
          <w:rtl/>
          <w:lang w:bidi="ar-SY"/>
        </w:rPr>
        <w:t>..</w:t>
      </w:r>
      <w:r w:rsidR="005C664D" w:rsidRPr="000913E5">
        <w:rPr>
          <w:rFonts w:ascii="Abo-thar" w:hAnsi="Abo-thar"/>
          <w:spacing w:val="-2"/>
          <w:sz w:val="28"/>
          <w:rtl/>
          <w:lang w:bidi="ar-SY"/>
        </w:rPr>
        <w:t xml:space="preserve"> إلى آخره</w:t>
      </w:r>
      <w:r w:rsidR="005C664D" w:rsidRPr="000913E5">
        <w:rPr>
          <w:rFonts w:ascii="Abo-thar" w:hAnsi="Abo-thar" w:hint="cs"/>
          <w:spacing w:val="-2"/>
          <w:sz w:val="28"/>
          <w:rtl/>
          <w:lang w:bidi="ar-SY"/>
        </w:rPr>
        <w:t>»</w:t>
      </w:r>
      <w:r w:rsidR="00217AB4" w:rsidRPr="000913E5">
        <w:rPr>
          <w:rFonts w:ascii="Abo-thar" w:hAnsi="Abo-thar" w:hint="cs"/>
          <w:spacing w:val="-2"/>
          <w:sz w:val="28"/>
          <w:rtl/>
          <w:lang w:bidi="ar-SY"/>
        </w:rPr>
        <w:t>:</w:t>
      </w:r>
      <w:r w:rsidR="005C664D" w:rsidRPr="000913E5">
        <w:rPr>
          <w:rFonts w:ascii="Abo-thar" w:hAnsi="Abo-thar" w:hint="cs"/>
          <w:spacing w:val="-2"/>
          <w:sz w:val="28"/>
          <w:rtl/>
          <w:lang w:bidi="ar-SY"/>
        </w:rPr>
        <w:t xml:space="preserve"> </w:t>
      </w:r>
      <w:r w:rsidR="005C664D" w:rsidRPr="000913E5">
        <w:rPr>
          <w:rFonts w:ascii="Abo-thar" w:hAnsi="Abo-thar"/>
          <w:spacing w:val="-2"/>
          <w:sz w:val="28"/>
          <w:rtl/>
          <w:lang w:bidi="ar-SY"/>
        </w:rPr>
        <w:t xml:space="preserve">فيحتمل أن يكون المعنى فيه الاستدراك لما ورد في آية الزكاة من دخول المساكين </w:t>
      </w:r>
      <w:r w:rsidR="005C664D" w:rsidRPr="000913E5">
        <w:rPr>
          <w:rFonts w:ascii="Abo-thar" w:hAnsi="Abo-thar" w:hint="cs"/>
          <w:spacing w:val="-2"/>
          <w:sz w:val="28"/>
          <w:rtl/>
          <w:lang w:bidi="ar-SY"/>
        </w:rPr>
        <w:t>وأبناء</w:t>
      </w:r>
      <w:r w:rsidR="005C664D" w:rsidRPr="000913E5">
        <w:rPr>
          <w:rFonts w:ascii="Abo-thar" w:hAnsi="Abo-thar"/>
          <w:spacing w:val="-2"/>
          <w:sz w:val="28"/>
          <w:rtl/>
          <w:lang w:bidi="ar-SY"/>
        </w:rPr>
        <w:t xml:space="preserve"> السبيل فيها فربما يتوهم عمومها للهاشميين </w:t>
      </w:r>
      <w:r w:rsidR="005C664D" w:rsidRPr="000913E5">
        <w:rPr>
          <w:rFonts w:ascii="Abo-thar" w:hAnsi="Abo-thar" w:hint="cs"/>
          <w:spacing w:val="-2"/>
          <w:sz w:val="28"/>
          <w:rtl/>
          <w:lang w:bidi="ar-SY"/>
        </w:rPr>
        <w:t>أيضاً</w:t>
      </w:r>
      <w:r w:rsidR="005C664D" w:rsidRPr="000913E5">
        <w:rPr>
          <w:rFonts w:ascii="Abo-thar" w:hAnsi="Abo-thar"/>
          <w:spacing w:val="-2"/>
          <w:sz w:val="28"/>
          <w:rtl/>
          <w:lang w:bidi="ar-SY"/>
        </w:rPr>
        <w:t xml:space="preserve"> </w:t>
      </w:r>
      <w:r w:rsidR="005C664D" w:rsidRPr="000913E5">
        <w:rPr>
          <w:rFonts w:ascii="Abo-thar" w:hAnsi="Abo-thar" w:hint="cs"/>
          <w:spacing w:val="-2"/>
          <w:sz w:val="28"/>
          <w:rtl/>
          <w:lang w:bidi="ar-SY"/>
        </w:rPr>
        <w:t>فأراد</w:t>
      </w:r>
      <w:r w:rsidR="005C664D" w:rsidRPr="000913E5">
        <w:rPr>
          <w:rFonts w:ascii="Abo-thar" w:hAnsi="Abo-thar"/>
          <w:spacing w:val="-2"/>
          <w:sz w:val="28"/>
          <w:rtl/>
          <w:lang w:bidi="ar-SY"/>
        </w:rPr>
        <w:t xml:space="preserve"> </w:t>
      </w:r>
      <w:r w:rsidR="003C7AEB" w:rsidRPr="000913E5">
        <w:rPr>
          <w:rFonts w:ascii="Abo-thar" w:hAnsi="Abo-thar" w:cs="CTraditional Arabic"/>
          <w:spacing w:val="-2"/>
          <w:sz w:val="28"/>
          <w:rtl/>
          <w:lang w:bidi="ar-SY"/>
        </w:rPr>
        <w:t>÷</w:t>
      </w:r>
      <w:r w:rsidR="005C664D" w:rsidRPr="000913E5">
        <w:rPr>
          <w:rFonts w:ascii="Abo-thar" w:hAnsi="Abo-thar"/>
          <w:spacing w:val="-2"/>
          <w:sz w:val="28"/>
          <w:rtl/>
          <w:lang w:bidi="ar-SY"/>
        </w:rPr>
        <w:t xml:space="preserve"> دفع هذا الوهم </w:t>
      </w:r>
      <w:r w:rsidR="005C664D" w:rsidRPr="000913E5">
        <w:rPr>
          <w:rFonts w:ascii="Abo-thar" w:hAnsi="Abo-thar" w:hint="cs"/>
          <w:spacing w:val="-2"/>
          <w:sz w:val="28"/>
          <w:rtl/>
          <w:lang w:bidi="ar-SY"/>
        </w:rPr>
        <w:t>بأنهم</w:t>
      </w:r>
      <w:r w:rsidR="005C664D" w:rsidRPr="000913E5">
        <w:rPr>
          <w:rFonts w:ascii="Abo-thar" w:hAnsi="Abo-thar"/>
          <w:spacing w:val="-2"/>
          <w:sz w:val="28"/>
          <w:rtl/>
          <w:lang w:bidi="ar-SY"/>
        </w:rPr>
        <w:t xml:space="preserve"> و</w:t>
      </w:r>
      <w:r w:rsidR="005C664D" w:rsidRPr="000913E5">
        <w:rPr>
          <w:rFonts w:ascii="Abo-thar" w:hAnsi="Abo-thar" w:hint="cs"/>
          <w:spacing w:val="-2"/>
          <w:sz w:val="28"/>
          <w:rtl/>
          <w:lang w:bidi="ar-SY"/>
        </w:rPr>
        <w:t>إ</w:t>
      </w:r>
      <w:r w:rsidR="005C664D" w:rsidRPr="000913E5">
        <w:rPr>
          <w:rFonts w:ascii="Abo-thar" w:hAnsi="Abo-thar"/>
          <w:spacing w:val="-2"/>
          <w:sz w:val="28"/>
          <w:rtl/>
          <w:lang w:bidi="ar-SY"/>
        </w:rPr>
        <w:t xml:space="preserve">ن دخلوا في عموم اللفظين المذكورين لكن قد عرفت </w:t>
      </w:r>
      <w:r w:rsidR="005C664D" w:rsidRPr="000913E5">
        <w:rPr>
          <w:rFonts w:ascii="Abo-thar" w:hAnsi="Abo-thar" w:hint="cs"/>
          <w:spacing w:val="-2"/>
          <w:sz w:val="28"/>
          <w:rtl/>
          <w:lang w:bidi="ar-SY"/>
        </w:rPr>
        <w:t>أن</w:t>
      </w:r>
      <w:r w:rsidR="005C664D" w:rsidRPr="000913E5">
        <w:rPr>
          <w:rFonts w:ascii="Abo-thar" w:hAnsi="Abo-thar"/>
          <w:spacing w:val="-2"/>
          <w:sz w:val="28"/>
          <w:rtl/>
          <w:lang w:bidi="ar-SY"/>
        </w:rPr>
        <w:t xml:space="preserve"> الزكاة محرمة علينا أهل البيت فلا تدخل مساكيننا </w:t>
      </w:r>
      <w:r w:rsidR="005C664D" w:rsidRPr="000913E5">
        <w:rPr>
          <w:rFonts w:ascii="Abo-thar" w:hAnsi="Abo-thar" w:hint="cs"/>
          <w:spacing w:val="-2"/>
          <w:sz w:val="28"/>
          <w:rtl/>
          <w:lang w:bidi="ar-SY"/>
        </w:rPr>
        <w:t>وأبناء</w:t>
      </w:r>
      <w:r w:rsidR="005C664D" w:rsidRPr="000913E5">
        <w:rPr>
          <w:rFonts w:ascii="Abo-thar" w:hAnsi="Abo-thar"/>
          <w:spacing w:val="-2"/>
          <w:sz w:val="28"/>
          <w:rtl/>
          <w:lang w:bidi="ar-SY"/>
        </w:rPr>
        <w:t xml:space="preserve"> سبيلنا فيها فلابد لهم من حصة من الخمس عوض الزكاة الت</w:t>
      </w:r>
      <w:r w:rsidR="005C664D" w:rsidRPr="000913E5">
        <w:rPr>
          <w:rFonts w:ascii="Abo-thar" w:hAnsi="Abo-thar" w:hint="cs"/>
          <w:spacing w:val="-2"/>
          <w:sz w:val="28"/>
          <w:rtl/>
          <w:lang w:bidi="ar-SY"/>
        </w:rPr>
        <w:t>ي</w:t>
      </w:r>
      <w:r w:rsidR="005C664D" w:rsidRPr="000913E5">
        <w:rPr>
          <w:rFonts w:ascii="Abo-thar" w:hAnsi="Abo-thar"/>
          <w:spacing w:val="-2"/>
          <w:sz w:val="28"/>
          <w:rtl/>
          <w:lang w:bidi="ar-SY"/>
        </w:rPr>
        <w:t xml:space="preserve"> حرمت عليهم</w:t>
      </w:r>
      <w:r w:rsidRPr="000913E5">
        <w:rPr>
          <w:rFonts w:ascii="Abo-thar" w:hAnsi="Abo-thar" w:hint="cs"/>
          <w:spacing w:val="-2"/>
          <w:sz w:val="28"/>
          <w:rtl/>
          <w:lang w:bidi="ar-SY"/>
        </w:rPr>
        <w:t>»</w:t>
      </w:r>
      <w:r w:rsidR="00775066" w:rsidRPr="000913E5">
        <w:rPr>
          <w:rStyle w:val="FootnoteReference"/>
          <w:rFonts w:cs="Arabic11 BT"/>
          <w:b/>
          <w:spacing w:val="-2"/>
          <w:sz w:val="28"/>
          <w:rtl/>
          <w:lang w:bidi="ar-SY"/>
        </w:rPr>
        <w:t>(</w:t>
      </w:r>
      <w:r w:rsidR="00775066" w:rsidRPr="000913E5">
        <w:rPr>
          <w:rStyle w:val="FootnoteReference"/>
          <w:rFonts w:cs="Arabic11 BT"/>
          <w:b/>
          <w:spacing w:val="-2"/>
          <w:sz w:val="28"/>
          <w:rtl/>
          <w:lang w:bidi="ar-SY"/>
        </w:rPr>
        <w:footnoteReference w:id="92"/>
      </w:r>
      <w:r w:rsidR="00775066" w:rsidRPr="000913E5">
        <w:rPr>
          <w:rStyle w:val="FootnoteReference"/>
          <w:rFonts w:cs="Arabic11 BT"/>
          <w:b/>
          <w:spacing w:val="-2"/>
          <w:sz w:val="28"/>
          <w:rtl/>
          <w:lang w:bidi="ar-SY"/>
        </w:rPr>
        <w:t>)</w:t>
      </w:r>
      <w:r w:rsidR="00217AB4" w:rsidRPr="000913E5">
        <w:rPr>
          <w:rFonts w:ascii="Abo-thar" w:hAnsi="Abo-thar" w:hint="cs"/>
          <w:spacing w:val="-2"/>
          <w:sz w:val="28"/>
          <w:rtl/>
          <w:lang w:bidi="ar-SY"/>
        </w:rPr>
        <w:t>.</w:t>
      </w:r>
    </w:p>
    <w:p w:rsidR="005C664D" w:rsidRPr="003F3B94" w:rsidRDefault="00775066" w:rsidP="00A33EB8">
      <w:pPr>
        <w:widowControl w:val="0"/>
        <w:jc w:val="center"/>
        <w:rPr>
          <w:rFonts w:ascii="mylotus" w:hAnsi="mylotus" w:cs="mylotus"/>
          <w:b/>
          <w:bCs/>
          <w:sz w:val="28"/>
          <w:rtl/>
          <w:lang w:bidi="ar-SY"/>
        </w:rPr>
      </w:pPr>
      <w:r w:rsidRPr="00A33EB8">
        <w:rPr>
          <w:rFonts w:ascii="mylotus" w:hAnsi="mylotus" w:cs="B Lotus"/>
          <w:b/>
          <w:bCs/>
          <w:sz w:val="28"/>
          <w:rtl/>
          <w:lang w:bidi="ar-SY"/>
        </w:rPr>
        <w:t>***</w:t>
      </w:r>
    </w:p>
    <w:p w:rsidR="005C664D" w:rsidRPr="003F3B94" w:rsidRDefault="005C664D" w:rsidP="003F3B94">
      <w:pPr>
        <w:pStyle w:val="a0"/>
        <w:rPr>
          <w:rFonts w:hint="cs"/>
          <w:rtl/>
          <w:lang w:bidi="ar-SY"/>
        </w:rPr>
      </w:pPr>
      <w:r w:rsidRPr="003F3B94">
        <w:rPr>
          <w:rFonts w:ascii="Abo-thar" w:hAnsi="Abo-thar" w:hint="cs"/>
          <w:sz w:val="28"/>
          <w:rtl/>
          <w:lang w:bidi="ar-SY"/>
        </w:rPr>
        <w:t>تلك كانت آراء وأقوال وفتاوى عشرة من علماء الشيعة الكبار حول شمول اليتامى والمساكين وأبناء السبيل لعامة المسلمين فالذي ذهب إليه بعض فقهاء الشيعة من أن المراد من اليتامى والمساكين وابن السبيل في الآية يتامى ومساكين وأبناء السبيل من آل محمد وبني هاشم فقط قولٌ بعيد عن الحقيقة ومنافٍ للعقل والإنصاف</w:t>
      </w:r>
      <w:r w:rsidR="00217AB4" w:rsidRPr="003F3B94">
        <w:rPr>
          <w:rFonts w:ascii="Abo-thar" w:hAnsi="Abo-thar" w:hint="cs"/>
          <w:sz w:val="28"/>
          <w:rtl/>
          <w:lang w:bidi="ar-SY"/>
        </w:rPr>
        <w:t>،</w:t>
      </w:r>
      <w:r w:rsidRPr="003F3B94">
        <w:rPr>
          <w:rFonts w:ascii="Abo-thar" w:hAnsi="Abo-thar" w:hint="cs"/>
          <w:sz w:val="28"/>
          <w:rtl/>
          <w:lang w:bidi="ar-SY"/>
        </w:rPr>
        <w:t xml:space="preserve"> فلا يعقل أن يقوم رسول الله بعد حصوله على أول غنيمة وأموال بالاهتمام فقط بأقربائه وباليتامى والمساكين وأبناء السبيل من قرابته فقط ولا يقرر حقاً ليتامى شهداء ميدان المعركة ومساكين الأمة المحرومين من المهاجرين والأنصار وأبناء سبيلهم بل يكل سد حاجاتهم إلى الزكاة التي ستؤخذ وتجبى بعد تسع سنوات</w:t>
      </w:r>
      <w:r w:rsidR="00217AB4" w:rsidRPr="003F3B94">
        <w:rPr>
          <w:rFonts w:ascii="Abo-thar" w:hAnsi="Abo-thar" w:hint="cs"/>
          <w:sz w:val="28"/>
          <w:rtl/>
          <w:lang w:bidi="ar-SY"/>
        </w:rPr>
        <w:t>!</w:t>
      </w:r>
      <w:r w:rsidRPr="003F3B94">
        <w:rPr>
          <w:rFonts w:ascii="Abo-thar" w:hAnsi="Abo-thar" w:hint="cs"/>
          <w:sz w:val="28"/>
          <w:rtl/>
          <w:lang w:bidi="ar-SY"/>
        </w:rPr>
        <w:t xml:space="preserve"> كم هو سوءٌ للظن وقلّة وجدان أن ننسب مثل هذه النسبة إلى نبي الرحمة الحريص على أمته الرؤوف بهم</w:t>
      </w:r>
      <w:r w:rsidR="00217AB4" w:rsidRPr="003F3B94">
        <w:rPr>
          <w:rFonts w:ascii="Abo-thar" w:hAnsi="Abo-thar" w:hint="cs"/>
          <w:sz w:val="28"/>
          <w:rtl/>
          <w:lang w:bidi="ar-SY"/>
        </w:rPr>
        <w:t>:</w:t>
      </w:r>
      <w:r w:rsidRPr="003F3B94">
        <w:rPr>
          <w:rFonts w:ascii="Abo-thar" w:hAnsi="Abo-thar" w:hint="cs"/>
          <w:sz w:val="28"/>
          <w:rtl/>
          <w:lang w:bidi="ar-SY"/>
        </w:rPr>
        <w:t xml:space="preserve"> معاذ الله</w:t>
      </w:r>
      <w:r w:rsidR="00217AB4" w:rsidRPr="003F3B94">
        <w:rPr>
          <w:rFonts w:ascii="Abo-thar" w:hAnsi="Abo-thar" w:hint="cs"/>
          <w:sz w:val="28"/>
          <w:rtl/>
          <w:lang w:bidi="ar-SY"/>
        </w:rPr>
        <w:t>!!</w:t>
      </w:r>
      <w:r w:rsidRPr="003F3B94">
        <w:rPr>
          <w:rFonts w:ascii="Abo-thar" w:hAnsi="Abo-thar" w:hint="cs"/>
          <w:sz w:val="28"/>
          <w:rtl/>
          <w:lang w:bidi="ar-SY"/>
        </w:rPr>
        <w:t xml:space="preserve"> معاذ الله</w:t>
      </w:r>
      <w:r w:rsidR="00217AB4" w:rsidRPr="003F3B94">
        <w:rPr>
          <w:rFonts w:ascii="Abo-thar" w:hAnsi="Abo-thar" w:hint="cs"/>
          <w:sz w:val="28"/>
          <w:rtl/>
          <w:lang w:bidi="ar-SY"/>
        </w:rPr>
        <w:t>!!</w:t>
      </w:r>
      <w:r w:rsidRPr="003F3B94">
        <w:rPr>
          <w:rFonts w:ascii="Abo-thar" w:hAnsi="Abo-thar" w:hint="cs"/>
          <w:sz w:val="28"/>
          <w:rtl/>
          <w:lang w:bidi="ar-SY"/>
        </w:rPr>
        <w:t xml:space="preserve"> كيف وقد قال الله تعالى</w:t>
      </w:r>
      <w:r w:rsidR="00217AB4" w:rsidRPr="003F3B94">
        <w:rPr>
          <w:rFonts w:ascii="Abo-thar" w:hAnsi="Abo-thar" w:hint="cs"/>
          <w:sz w:val="28"/>
          <w:rtl/>
          <w:lang w:bidi="ar-SY"/>
        </w:rPr>
        <w:t>:</w:t>
      </w:r>
      <w:r w:rsidR="00147857" w:rsidRPr="003F3B94">
        <w:rPr>
          <w:rFonts w:ascii="Abo-thar" w:hAnsi="Abo-thar" w:hint="cs"/>
          <w:sz w:val="28"/>
          <w:rtl/>
          <w:lang w:bidi="ar-SY"/>
        </w:rPr>
        <w:t xml:space="preserve"> </w:t>
      </w:r>
    </w:p>
    <w:p w:rsidR="005C664D" w:rsidRPr="003F3B94" w:rsidRDefault="00685363" w:rsidP="0067048A">
      <w:pPr>
        <w:pStyle w:val="a0"/>
        <w:ind w:left="284" w:firstLine="0"/>
        <w:rPr>
          <w:rFonts w:hint="cs"/>
          <w:rtl/>
          <w:lang w:bidi="ar-SY"/>
        </w:rPr>
      </w:pPr>
      <w:r w:rsidRPr="00995B26">
        <w:rPr>
          <w:rFonts w:cs="Traditional Arabic" w:hint="cs"/>
          <w:sz w:val="28"/>
          <w:rtl/>
          <w:lang w:bidi="fa-IR"/>
        </w:rPr>
        <w:t>﴿</w:t>
      </w:r>
      <w:r w:rsidRPr="0067048A">
        <w:rPr>
          <w:rStyle w:val="Char3"/>
          <w:rFonts w:hint="eastAsia"/>
          <w:rtl/>
        </w:rPr>
        <w:t>لَقَد</w:t>
      </w:r>
      <w:r w:rsidRPr="0067048A">
        <w:rPr>
          <w:rStyle w:val="Char3"/>
          <w:rFonts w:hint="cs"/>
          <w:rtl/>
        </w:rPr>
        <w:t>ۡ</w:t>
      </w:r>
      <w:r w:rsidRPr="0067048A">
        <w:rPr>
          <w:rStyle w:val="Char3"/>
          <w:rtl/>
        </w:rPr>
        <w:t xml:space="preserve"> </w:t>
      </w:r>
      <w:r w:rsidRPr="0067048A">
        <w:rPr>
          <w:rStyle w:val="Char3"/>
          <w:rFonts w:hint="eastAsia"/>
          <w:rtl/>
        </w:rPr>
        <w:t>جَا</w:t>
      </w:r>
      <w:r w:rsidRPr="0067048A">
        <w:rPr>
          <w:rStyle w:val="Char3"/>
          <w:rFonts w:hint="cs"/>
          <w:rtl/>
        </w:rPr>
        <w:t>ٓ</w:t>
      </w:r>
      <w:r w:rsidRPr="0067048A">
        <w:rPr>
          <w:rStyle w:val="Char3"/>
          <w:rFonts w:hint="eastAsia"/>
          <w:rtl/>
        </w:rPr>
        <w:t>ءَكُم</w:t>
      </w:r>
      <w:r w:rsidRPr="0067048A">
        <w:rPr>
          <w:rStyle w:val="Char3"/>
          <w:rFonts w:hint="cs"/>
          <w:rtl/>
        </w:rPr>
        <w:t>ۡ</w:t>
      </w:r>
      <w:r w:rsidRPr="0067048A">
        <w:rPr>
          <w:rStyle w:val="Char3"/>
          <w:rtl/>
        </w:rPr>
        <w:t xml:space="preserve"> </w:t>
      </w:r>
      <w:r w:rsidRPr="0067048A">
        <w:rPr>
          <w:rStyle w:val="Char3"/>
          <w:rFonts w:hint="eastAsia"/>
          <w:rtl/>
        </w:rPr>
        <w:t>رَسُول</w:t>
      </w:r>
      <w:r w:rsidRPr="0067048A">
        <w:rPr>
          <w:rStyle w:val="Char3"/>
          <w:rFonts w:hint="cs"/>
          <w:rtl/>
        </w:rPr>
        <w:t>ٞ</w:t>
      </w:r>
      <w:r w:rsidRPr="0067048A">
        <w:rPr>
          <w:rStyle w:val="Char3"/>
          <w:rtl/>
        </w:rPr>
        <w:t xml:space="preserve"> </w:t>
      </w:r>
      <w:r w:rsidRPr="0067048A">
        <w:rPr>
          <w:rStyle w:val="Char3"/>
          <w:rFonts w:hint="eastAsia"/>
          <w:rtl/>
        </w:rPr>
        <w:t>مِّن</w:t>
      </w:r>
      <w:r w:rsidRPr="0067048A">
        <w:rPr>
          <w:rStyle w:val="Char3"/>
          <w:rFonts w:hint="cs"/>
          <w:rtl/>
        </w:rPr>
        <w:t>ۡ</w:t>
      </w:r>
      <w:r w:rsidRPr="0067048A">
        <w:rPr>
          <w:rStyle w:val="Char3"/>
          <w:rtl/>
        </w:rPr>
        <w:t xml:space="preserve"> </w:t>
      </w:r>
      <w:r w:rsidRPr="0067048A">
        <w:rPr>
          <w:rStyle w:val="Char3"/>
          <w:rFonts w:hint="eastAsia"/>
          <w:rtl/>
        </w:rPr>
        <w:t>أَنفُسِكُم</w:t>
      </w:r>
      <w:r w:rsidRPr="0067048A">
        <w:rPr>
          <w:rStyle w:val="Char3"/>
          <w:rFonts w:hint="cs"/>
          <w:rtl/>
        </w:rPr>
        <w:t>ۡ</w:t>
      </w:r>
      <w:r w:rsidRPr="0067048A">
        <w:rPr>
          <w:rStyle w:val="Char3"/>
          <w:rtl/>
        </w:rPr>
        <w:t xml:space="preserve"> </w:t>
      </w:r>
      <w:r w:rsidRPr="0067048A">
        <w:rPr>
          <w:rStyle w:val="Char3"/>
          <w:rFonts w:hint="eastAsia"/>
          <w:rtl/>
        </w:rPr>
        <w:t>عَزِيزٌ</w:t>
      </w:r>
      <w:r w:rsidRPr="0067048A">
        <w:rPr>
          <w:rStyle w:val="Char3"/>
          <w:rtl/>
        </w:rPr>
        <w:t xml:space="preserve"> </w:t>
      </w:r>
      <w:r w:rsidRPr="0067048A">
        <w:rPr>
          <w:rStyle w:val="Char3"/>
          <w:rFonts w:hint="eastAsia"/>
          <w:rtl/>
        </w:rPr>
        <w:t>عَلَي</w:t>
      </w:r>
      <w:r w:rsidRPr="0067048A">
        <w:rPr>
          <w:rStyle w:val="Char3"/>
          <w:rFonts w:hint="cs"/>
          <w:rtl/>
        </w:rPr>
        <w:t>ۡ</w:t>
      </w:r>
      <w:r w:rsidRPr="0067048A">
        <w:rPr>
          <w:rStyle w:val="Char3"/>
          <w:rFonts w:hint="eastAsia"/>
          <w:rtl/>
        </w:rPr>
        <w:t>هِ</w:t>
      </w:r>
      <w:r w:rsidRPr="0067048A">
        <w:rPr>
          <w:rStyle w:val="Char3"/>
          <w:rtl/>
        </w:rPr>
        <w:t xml:space="preserve"> </w:t>
      </w:r>
      <w:r w:rsidRPr="0067048A">
        <w:rPr>
          <w:rStyle w:val="Char3"/>
          <w:rFonts w:hint="eastAsia"/>
          <w:rtl/>
        </w:rPr>
        <w:t>مَا</w:t>
      </w:r>
      <w:r w:rsidRPr="0067048A">
        <w:rPr>
          <w:rStyle w:val="Char3"/>
          <w:rtl/>
        </w:rPr>
        <w:t xml:space="preserve"> </w:t>
      </w:r>
      <w:r w:rsidRPr="0067048A">
        <w:rPr>
          <w:rStyle w:val="Char3"/>
          <w:rFonts w:hint="eastAsia"/>
          <w:rtl/>
        </w:rPr>
        <w:t>عَنِتُّم</w:t>
      </w:r>
      <w:r w:rsidRPr="0067048A">
        <w:rPr>
          <w:rStyle w:val="Char3"/>
          <w:rFonts w:hint="cs"/>
          <w:rtl/>
        </w:rPr>
        <w:t>ۡ</w:t>
      </w:r>
      <w:r w:rsidRPr="0067048A">
        <w:rPr>
          <w:rStyle w:val="Char3"/>
          <w:rtl/>
        </w:rPr>
        <w:t xml:space="preserve"> </w:t>
      </w:r>
      <w:r w:rsidRPr="0067048A">
        <w:rPr>
          <w:rStyle w:val="Char3"/>
          <w:rFonts w:hint="eastAsia"/>
          <w:rtl/>
        </w:rPr>
        <w:t>حَرِيصٌ</w:t>
      </w:r>
      <w:r w:rsidRPr="0067048A">
        <w:rPr>
          <w:rStyle w:val="Char3"/>
          <w:rtl/>
        </w:rPr>
        <w:t xml:space="preserve"> </w:t>
      </w:r>
      <w:r w:rsidRPr="0067048A">
        <w:rPr>
          <w:rStyle w:val="Char3"/>
          <w:rFonts w:hint="eastAsia"/>
          <w:rtl/>
        </w:rPr>
        <w:t>عَلَي</w:t>
      </w:r>
      <w:r w:rsidRPr="0067048A">
        <w:rPr>
          <w:rStyle w:val="Char3"/>
          <w:rFonts w:hint="cs"/>
          <w:rtl/>
        </w:rPr>
        <w:t>ۡ</w:t>
      </w:r>
      <w:r w:rsidRPr="0067048A">
        <w:rPr>
          <w:rStyle w:val="Char3"/>
          <w:rFonts w:hint="eastAsia"/>
          <w:rtl/>
        </w:rPr>
        <w:t>كُم</w:t>
      </w:r>
      <w:r w:rsidRPr="0067048A">
        <w:rPr>
          <w:rStyle w:val="Char3"/>
          <w:rtl/>
        </w:rPr>
        <w:t xml:space="preserve"> </w:t>
      </w:r>
      <w:r w:rsidRPr="0067048A">
        <w:rPr>
          <w:rStyle w:val="Char3"/>
          <w:rFonts w:hint="eastAsia"/>
          <w:rtl/>
        </w:rPr>
        <w:t>بِ</w:t>
      </w:r>
      <w:r w:rsidRPr="0067048A">
        <w:rPr>
          <w:rStyle w:val="Char3"/>
          <w:rFonts w:hint="cs"/>
          <w:rtl/>
        </w:rPr>
        <w:t>ٱ</w:t>
      </w:r>
      <w:r w:rsidRPr="0067048A">
        <w:rPr>
          <w:rStyle w:val="Char3"/>
          <w:rFonts w:hint="eastAsia"/>
          <w:rtl/>
        </w:rPr>
        <w:t>ل</w:t>
      </w:r>
      <w:r w:rsidRPr="0067048A">
        <w:rPr>
          <w:rStyle w:val="Char3"/>
          <w:rFonts w:hint="cs"/>
          <w:rtl/>
        </w:rPr>
        <w:t>ۡ</w:t>
      </w:r>
      <w:r w:rsidRPr="0067048A">
        <w:rPr>
          <w:rStyle w:val="Char3"/>
          <w:rFonts w:hint="eastAsia"/>
          <w:rtl/>
        </w:rPr>
        <w:t>مُؤ</w:t>
      </w:r>
      <w:r w:rsidRPr="0067048A">
        <w:rPr>
          <w:rStyle w:val="Char3"/>
          <w:rFonts w:hint="cs"/>
          <w:rtl/>
        </w:rPr>
        <w:t>ۡ</w:t>
      </w:r>
      <w:r w:rsidRPr="0067048A">
        <w:rPr>
          <w:rStyle w:val="Char3"/>
          <w:rFonts w:hint="eastAsia"/>
          <w:rtl/>
        </w:rPr>
        <w:t>مِنِينَ</w:t>
      </w:r>
      <w:r w:rsidRPr="0067048A">
        <w:rPr>
          <w:rStyle w:val="Char3"/>
          <w:rtl/>
        </w:rPr>
        <w:t xml:space="preserve"> </w:t>
      </w:r>
      <w:r w:rsidRPr="0067048A">
        <w:rPr>
          <w:rStyle w:val="Char3"/>
          <w:rFonts w:hint="eastAsia"/>
          <w:rtl/>
        </w:rPr>
        <w:t>رَءُوف</w:t>
      </w:r>
      <w:r w:rsidRPr="0067048A">
        <w:rPr>
          <w:rStyle w:val="Char3"/>
          <w:rFonts w:hint="cs"/>
          <w:rtl/>
        </w:rPr>
        <w:t>ٞ</w:t>
      </w:r>
      <w:r w:rsidRPr="0067048A">
        <w:rPr>
          <w:rStyle w:val="Char3"/>
          <w:rtl/>
        </w:rPr>
        <w:t xml:space="preserve"> </w:t>
      </w:r>
      <w:r w:rsidRPr="0067048A">
        <w:rPr>
          <w:rStyle w:val="Char3"/>
          <w:rFonts w:hint="eastAsia"/>
          <w:rtl/>
        </w:rPr>
        <w:t>رَّحِيم</w:t>
      </w:r>
      <w:r w:rsidRPr="0067048A">
        <w:rPr>
          <w:rStyle w:val="Char3"/>
          <w:rFonts w:hint="cs"/>
          <w:rtl/>
        </w:rPr>
        <w:t>ٞ</w:t>
      </w:r>
      <w:r w:rsidRPr="0067048A">
        <w:rPr>
          <w:rStyle w:val="Char3"/>
          <w:rtl/>
        </w:rPr>
        <w:t xml:space="preserve"> </w:t>
      </w:r>
      <w:r w:rsidRPr="0067048A">
        <w:rPr>
          <w:rStyle w:val="Char3"/>
          <w:rFonts w:hint="cs"/>
          <w:rtl/>
        </w:rPr>
        <w:t>١٢٨</w:t>
      </w:r>
      <w:r w:rsidRPr="00995B26">
        <w:rPr>
          <w:rFonts w:cs="Traditional Arabic" w:hint="cs"/>
          <w:sz w:val="28"/>
          <w:rtl/>
          <w:lang w:bidi="fa-IR"/>
        </w:rPr>
        <w:t>﴾</w:t>
      </w:r>
      <w:r w:rsidR="005C664D" w:rsidRPr="003F3B94">
        <w:rPr>
          <w:rFonts w:ascii="Abo-thar" w:hAnsi="Abo-thar"/>
          <w:sz w:val="28"/>
          <w:rtl/>
          <w:lang w:bidi="ar-SY"/>
        </w:rPr>
        <w:t xml:space="preserve"> </w:t>
      </w:r>
      <w:r w:rsidR="005C664D" w:rsidRPr="003108CB">
        <w:rPr>
          <w:rStyle w:val="Char2"/>
          <w:rtl/>
        </w:rPr>
        <w:t>[التوبة</w:t>
      </w:r>
      <w:r w:rsidRPr="003108CB">
        <w:rPr>
          <w:rStyle w:val="Char2"/>
          <w:rFonts w:hint="cs"/>
          <w:rtl/>
        </w:rPr>
        <w:t xml:space="preserve">: </w:t>
      </w:r>
      <w:r w:rsidR="005C664D" w:rsidRPr="003108CB">
        <w:rPr>
          <w:rStyle w:val="Char2"/>
          <w:rtl/>
        </w:rPr>
        <w:t>128]</w:t>
      </w:r>
      <w:r w:rsidR="00217AB4" w:rsidRPr="003F3B94">
        <w:rPr>
          <w:rFonts w:ascii="Abo-thar" w:hAnsi="Abo-thar" w:hint="cs"/>
          <w:sz w:val="28"/>
          <w:rtl/>
          <w:lang w:bidi="ar-SY"/>
        </w:rPr>
        <w:t>.</w:t>
      </w:r>
    </w:p>
    <w:p w:rsidR="005C664D" w:rsidRPr="003F3B94" w:rsidRDefault="005C664D" w:rsidP="003F3B94">
      <w:pPr>
        <w:pStyle w:val="a0"/>
        <w:rPr>
          <w:rFonts w:hint="cs"/>
          <w:rtl/>
          <w:lang w:bidi="ar-SY"/>
        </w:rPr>
      </w:pPr>
      <w:r w:rsidRPr="003F3B94">
        <w:rPr>
          <w:rFonts w:ascii="Abo-thar" w:hAnsi="Abo-thar" w:hint="cs"/>
          <w:sz w:val="28"/>
          <w:rtl/>
          <w:lang w:bidi="ar-SY"/>
        </w:rPr>
        <w:t>فهل يمكن لمثل هذا النبيّ الكريم أن ينسى جميع المسلمين بمجرد أن يصل إلى يديه مالٌ ومنالٌ ولا يفكر إلا باليتامى والمساكين وأبناء السبيل من أقربائه الذين لم يكن لهم وجود بعد</w:t>
      </w:r>
      <w:r w:rsidR="00217AB4" w:rsidRPr="003F3B94">
        <w:rPr>
          <w:rFonts w:ascii="Abo-thar" w:hAnsi="Abo-thar" w:hint="cs"/>
          <w:sz w:val="28"/>
          <w:rtl/>
          <w:lang w:bidi="ar-SY"/>
        </w:rPr>
        <w:t>؟</w:t>
      </w:r>
      <w:r w:rsidRPr="003F3B94">
        <w:rPr>
          <w:rFonts w:ascii="Abo-thar" w:hAnsi="Abo-thar" w:hint="cs"/>
          <w:sz w:val="28"/>
          <w:rtl/>
          <w:lang w:bidi="ar-SY"/>
        </w:rPr>
        <w:t>‍‍</w:t>
      </w:r>
      <w:r w:rsidR="00217AB4" w:rsidRPr="003F3B94">
        <w:rPr>
          <w:rFonts w:ascii="Abo-thar" w:hAnsi="Abo-thar" w:hint="cs"/>
          <w:sz w:val="28"/>
          <w:rtl/>
          <w:lang w:bidi="ar-SY"/>
        </w:rPr>
        <w:t>!!</w:t>
      </w:r>
      <w:r w:rsidRPr="003F3B94">
        <w:rPr>
          <w:rFonts w:ascii="Abo-thar" w:hAnsi="Abo-thar" w:hint="cs"/>
          <w:sz w:val="28"/>
          <w:rtl/>
          <w:lang w:bidi="ar-SY"/>
        </w:rPr>
        <w:t xml:space="preserve"> إن أسوأ قتلة الأنبياء والأولياء هم الذين ينسبون مثل هذه التهم الباطلة له ويحرفون آيات الكتاب</w:t>
      </w:r>
      <w:r w:rsidR="00217AB4" w:rsidRPr="003F3B94">
        <w:rPr>
          <w:rFonts w:ascii="Abo-thar" w:hAnsi="Abo-thar" w:hint="cs"/>
          <w:sz w:val="28"/>
          <w:rtl/>
          <w:lang w:bidi="ar-SY"/>
        </w:rPr>
        <w:t>!</w:t>
      </w:r>
    </w:p>
    <w:p w:rsidR="005C664D" w:rsidRPr="003F3B94" w:rsidRDefault="005C664D" w:rsidP="003F3B94">
      <w:pPr>
        <w:pStyle w:val="a0"/>
        <w:rPr>
          <w:rFonts w:hint="cs"/>
          <w:rtl/>
          <w:lang w:bidi="ar-SY"/>
        </w:rPr>
      </w:pPr>
      <w:r w:rsidRPr="003F3B94">
        <w:rPr>
          <w:rFonts w:ascii="Abo-thar" w:hAnsi="Abo-thar" w:hint="cs"/>
          <w:sz w:val="28"/>
          <w:rtl/>
          <w:lang w:bidi="ar-SY"/>
        </w:rPr>
        <w:t xml:space="preserve">بعد أن ذكرنا في الصفحات السابقة ما جاء في الأحاديث المروية عن أهل البيت </w:t>
      </w:r>
      <w:r w:rsidR="00963EFD" w:rsidRPr="00963EFD">
        <w:rPr>
          <w:rFonts w:ascii="Abo-thar" w:hAnsi="Abo-thar" w:cs="CTraditional Arabic" w:hint="cs"/>
          <w:sz w:val="28"/>
          <w:rtl/>
          <w:lang w:bidi="ar-SY"/>
        </w:rPr>
        <w:t>‡</w:t>
      </w:r>
      <w:r w:rsidRPr="003F3B94">
        <w:rPr>
          <w:rFonts w:ascii="Abo-thar" w:hAnsi="Abo-thar" w:hint="cs"/>
          <w:sz w:val="28"/>
          <w:rtl/>
          <w:lang w:bidi="ar-SY"/>
        </w:rPr>
        <w:t xml:space="preserve"> وفي أقوال علماء الشيعة وفقهائهم الكبار بشأن اليتامى والمساكين وابن السبيل في آية خمس الغنائم</w:t>
      </w:r>
      <w:r w:rsidR="00217AB4" w:rsidRPr="003F3B94">
        <w:rPr>
          <w:rFonts w:ascii="Abo-thar" w:hAnsi="Abo-thar" w:hint="cs"/>
          <w:sz w:val="28"/>
          <w:rtl/>
          <w:lang w:bidi="ar-SY"/>
        </w:rPr>
        <w:t>،</w:t>
      </w:r>
      <w:r w:rsidRPr="003F3B94">
        <w:rPr>
          <w:rFonts w:ascii="Abo-thar" w:hAnsi="Abo-thar" w:hint="cs"/>
          <w:sz w:val="28"/>
          <w:rtl/>
          <w:lang w:bidi="ar-SY"/>
        </w:rPr>
        <w:t xml:space="preserve"> ننتقل إلى ذكر ما جاء في هذا الباب من طرق العامة </w:t>
      </w:r>
      <w:r w:rsidR="00147857" w:rsidRPr="003F3B94">
        <w:rPr>
          <w:rFonts w:ascii="Abo-thar" w:hAnsi="Abo-thar" w:hint="cs"/>
          <w:sz w:val="28"/>
          <w:rtl/>
          <w:lang w:bidi="ar-SY"/>
        </w:rPr>
        <w:t>[</w:t>
      </w:r>
      <w:r w:rsidRPr="003F3B94">
        <w:rPr>
          <w:rFonts w:ascii="Abo-thar" w:hAnsi="Abo-thar" w:hint="cs"/>
          <w:sz w:val="28"/>
          <w:rtl/>
          <w:lang w:bidi="ar-SY"/>
        </w:rPr>
        <w:t>أي أهل السنة] كي يعلم القراء أن ذلك التقسيم الذي ذهب إليه بعض الفقهاء بجعل الخمس ستة أسهم</w:t>
      </w:r>
      <w:r w:rsidR="00217AB4" w:rsidRPr="003F3B94">
        <w:rPr>
          <w:rFonts w:ascii="Abo-thar" w:hAnsi="Abo-thar" w:hint="cs"/>
          <w:sz w:val="28"/>
          <w:rtl/>
          <w:lang w:bidi="ar-SY"/>
        </w:rPr>
        <w:t>:</w:t>
      </w:r>
      <w:r w:rsidRPr="003F3B94">
        <w:rPr>
          <w:rFonts w:ascii="Abo-thar" w:hAnsi="Abo-thar" w:hint="cs"/>
          <w:sz w:val="28"/>
          <w:rtl/>
          <w:lang w:bidi="ar-SY"/>
        </w:rPr>
        <w:t xml:space="preserve"> سهمٌ </w:t>
      </w:r>
      <w:r w:rsidR="00775066" w:rsidRPr="003F3B94">
        <w:rPr>
          <w:rFonts w:ascii="Abo-thar" w:hAnsi="Abo-thar" w:hint="cs"/>
          <w:sz w:val="28"/>
          <w:rtl/>
          <w:lang w:bidi="ar-SY"/>
        </w:rPr>
        <w:t>لِـلَّه</w:t>
      </w:r>
      <w:r w:rsidRPr="003F3B94">
        <w:rPr>
          <w:rFonts w:ascii="Abo-thar" w:hAnsi="Abo-thar" w:hint="cs"/>
          <w:sz w:val="28"/>
          <w:rtl/>
          <w:lang w:bidi="ar-SY"/>
        </w:rPr>
        <w:t xml:space="preserve"> وسهمٌ لرسول الله وسهمٌ لذي القربى وسهمٌ لليتامى وسهمٌ للمساكين وسهمٌ لابن السبيل</w:t>
      </w:r>
      <w:r w:rsidR="00217AB4" w:rsidRPr="003F3B94">
        <w:rPr>
          <w:rFonts w:ascii="Abo-thar" w:hAnsi="Abo-thar" w:hint="cs"/>
          <w:sz w:val="28"/>
          <w:rtl/>
          <w:lang w:bidi="ar-SY"/>
        </w:rPr>
        <w:t>،</w:t>
      </w:r>
      <w:r w:rsidRPr="003F3B94">
        <w:rPr>
          <w:rFonts w:ascii="Abo-thar" w:hAnsi="Abo-thar" w:hint="cs"/>
          <w:sz w:val="28"/>
          <w:rtl/>
          <w:lang w:bidi="ar-SY"/>
        </w:rPr>
        <w:t xml:space="preserve"> لم يكن له وجود زمن رسول الله</w:t>
      </w:r>
      <w:r w:rsidR="00147857" w:rsidRPr="003F3B94">
        <w:rPr>
          <w:rFonts w:ascii="Abo-thar" w:hAnsi="Abo-thar" w:hint="cs"/>
          <w:sz w:val="28"/>
          <w:rtl/>
          <w:lang w:bidi="ar-SY"/>
        </w:rPr>
        <w:t xml:space="preserve"> </w:t>
      </w:r>
      <w:r w:rsidR="003C7AEB" w:rsidRPr="003C7AEB">
        <w:rPr>
          <w:rFonts w:ascii="Abo-thar" w:hAnsi="Abo-thar" w:cs="CTraditional Arabic" w:hint="cs"/>
          <w:sz w:val="28"/>
          <w:rtl/>
          <w:lang w:bidi="ar-SY"/>
        </w:rPr>
        <w:t>ص</w:t>
      </w:r>
      <w:r w:rsidR="00147857" w:rsidRPr="003F3B94">
        <w:rPr>
          <w:rFonts w:ascii="Abo-thar" w:hAnsi="Abo-thar" w:hint="cs"/>
          <w:sz w:val="28"/>
          <w:rtl/>
          <w:lang w:bidi="ar-SY"/>
        </w:rPr>
        <w:t xml:space="preserve"> </w:t>
      </w:r>
      <w:r w:rsidRPr="003F3B94">
        <w:rPr>
          <w:rFonts w:ascii="Abo-thar" w:hAnsi="Abo-thar" w:hint="cs"/>
          <w:sz w:val="28"/>
          <w:rtl/>
          <w:lang w:bidi="ar-SY"/>
        </w:rPr>
        <w:t>بل كان خمس غنائم الحرب في تصرف رسول الله</w:t>
      </w:r>
      <w:r w:rsidR="00147857" w:rsidRPr="003F3B94">
        <w:rPr>
          <w:rFonts w:ascii="Abo-thar" w:hAnsi="Abo-thar" w:hint="cs"/>
          <w:sz w:val="28"/>
          <w:rtl/>
          <w:lang w:bidi="ar-SY"/>
        </w:rPr>
        <w:t xml:space="preserve"> </w:t>
      </w:r>
      <w:r w:rsidR="003C7AEB" w:rsidRPr="003C7AEB">
        <w:rPr>
          <w:rFonts w:ascii="Abo-thar" w:hAnsi="Abo-thar" w:cs="CTraditional Arabic"/>
          <w:sz w:val="28"/>
          <w:rtl/>
          <w:lang w:bidi="ar-SY"/>
        </w:rPr>
        <w:t>ص</w:t>
      </w:r>
      <w:r w:rsidR="00147857" w:rsidRPr="003F3B94">
        <w:rPr>
          <w:rFonts w:ascii="Abo-thar" w:hAnsi="Abo-thar"/>
          <w:sz w:val="28"/>
          <w:rtl/>
          <w:lang w:bidi="ar-SY"/>
        </w:rPr>
        <w:t xml:space="preserve"> </w:t>
      </w:r>
      <w:r w:rsidRPr="003F3B94">
        <w:rPr>
          <w:rFonts w:ascii="Abo-thar" w:hAnsi="Abo-thar" w:hint="cs"/>
          <w:sz w:val="28"/>
          <w:rtl/>
          <w:lang w:bidi="ar-SY"/>
        </w:rPr>
        <w:t>يعطيه لكل من وجده بحاجة واستحقاق</w:t>
      </w:r>
      <w:r w:rsidR="00217AB4" w:rsidRPr="0021507A">
        <w:rPr>
          <w:rStyle w:val="FootnoteReference"/>
          <w:rFonts w:cs="Arabic11 BT"/>
          <w:b/>
          <w:sz w:val="28"/>
          <w:rtl/>
          <w:lang w:bidi="ar-SY"/>
        </w:rPr>
        <w:t>(</w:t>
      </w:r>
      <w:r w:rsidRPr="0021507A">
        <w:rPr>
          <w:rStyle w:val="FootnoteReference"/>
          <w:rFonts w:cs="Arabic11 BT"/>
          <w:b/>
          <w:sz w:val="28"/>
          <w:rtl/>
          <w:lang w:bidi="ar-SY"/>
        </w:rPr>
        <w:footnoteReference w:id="93"/>
      </w:r>
      <w:r w:rsidR="00217AB4" w:rsidRPr="0021507A">
        <w:rPr>
          <w:rStyle w:val="FootnoteReference"/>
          <w:rFonts w:cs="Arabic11 BT"/>
          <w:b/>
          <w:sz w:val="28"/>
          <w:rtl/>
          <w:lang w:bidi="ar-SY"/>
        </w:rPr>
        <w:t>)</w:t>
      </w:r>
      <w:r w:rsidR="00217AB4" w:rsidRPr="003F3B94">
        <w:rPr>
          <w:rFonts w:ascii="Abo-thar" w:hAnsi="Abo-thar" w:hint="cs"/>
          <w:sz w:val="28"/>
          <w:rtl/>
          <w:lang w:bidi="ar-SY"/>
        </w:rPr>
        <w:t>.</w:t>
      </w:r>
      <w:r w:rsidRPr="003F3B94">
        <w:rPr>
          <w:rFonts w:ascii="Abo-thar" w:hAnsi="Abo-thar" w:hint="cs"/>
          <w:sz w:val="28"/>
          <w:rtl/>
          <w:lang w:bidi="ar-SY"/>
        </w:rPr>
        <w:t xml:space="preserve"> </w:t>
      </w:r>
    </w:p>
    <w:p w:rsidR="005C664D" w:rsidRPr="003F3B94" w:rsidRDefault="005C664D" w:rsidP="003F3B94">
      <w:pPr>
        <w:pStyle w:val="a0"/>
        <w:rPr>
          <w:rFonts w:hint="cs"/>
          <w:rtl/>
          <w:lang w:bidi="ar-SY"/>
        </w:rPr>
      </w:pPr>
      <w:r w:rsidRPr="003F3B94">
        <w:rPr>
          <w:rFonts w:ascii="Abo-thar" w:hAnsi="Abo-thar" w:hint="cs"/>
          <w:sz w:val="28"/>
          <w:rtl/>
          <w:lang w:bidi="ar-SY"/>
        </w:rPr>
        <w:t>جاء في السنن الكبرى للبيهقي بشأن غنائم خيبر رواية عن عبد الله بن عمر يصل فيها إلى القول</w:t>
      </w:r>
      <w:r w:rsidR="00217AB4" w:rsidRPr="003F3B94">
        <w:rPr>
          <w:rFonts w:ascii="Abo-thar" w:hAnsi="Abo-thar" w:hint="cs"/>
          <w:sz w:val="28"/>
          <w:rtl/>
          <w:lang w:bidi="ar-SY"/>
        </w:rPr>
        <w:t>:</w:t>
      </w:r>
      <w:r w:rsidRPr="003F3B94">
        <w:rPr>
          <w:rFonts w:ascii="Abo-thar" w:hAnsi="Abo-thar" w:hint="cs"/>
          <w:sz w:val="28"/>
          <w:rtl/>
          <w:lang w:bidi="ar-SY"/>
        </w:rPr>
        <w:t xml:space="preserve"> </w:t>
      </w:r>
      <w:r w:rsidR="00EF2588" w:rsidRPr="00CE7623">
        <w:rPr>
          <w:rFonts w:ascii="Abo-thar" w:hAnsi="Abo-thar" w:cs="KFGQPC Uthman Taha Naskh" w:hint="cs"/>
          <w:sz w:val="28"/>
          <w:rtl/>
          <w:lang w:bidi="ar-SY"/>
        </w:rPr>
        <w:t>«</w:t>
      </w:r>
      <w:r w:rsidRPr="00CE7623">
        <w:rPr>
          <w:rFonts w:ascii="Abo-thar" w:hAnsi="Abo-thar" w:cs="KFGQPC Uthman Taha Naskh"/>
          <w:b/>
          <w:bCs/>
          <w:sz w:val="28"/>
          <w:rtl/>
          <w:lang w:bidi="ar-SY"/>
        </w:rPr>
        <w:t xml:space="preserve">وَكَانَ الثَّمَرُ يُقْسَمُ عَلَى السُّهْمَانِ مِنْ نِصْفِ خَيْبَرَ وَيَأْخُذُ رَسُولُ </w:t>
      </w:r>
      <w:r w:rsidRPr="00CE7623">
        <w:rPr>
          <w:rFonts w:ascii="Abo-thar" w:hAnsi="Abo-thar" w:cs="KFGQPC Uthman Taha Naskh" w:hint="cs"/>
          <w:b/>
          <w:bCs/>
          <w:sz w:val="28"/>
          <w:rtl/>
          <w:lang w:bidi="ar-SY"/>
        </w:rPr>
        <w:t>اللهِ</w:t>
      </w:r>
      <w:r w:rsidR="00147857" w:rsidRPr="00CE7623">
        <w:rPr>
          <w:rFonts w:ascii="Abo-thar" w:hAnsi="Abo-thar" w:cs="KFGQPC Uthman Taha Naskh"/>
          <w:b/>
          <w:bCs/>
          <w:sz w:val="28"/>
          <w:rtl/>
          <w:lang w:bidi="ar-SY"/>
        </w:rPr>
        <w:t xml:space="preserve"> </w:t>
      </w:r>
      <w:r w:rsidR="003C7AEB" w:rsidRPr="003C7AEB">
        <w:rPr>
          <w:rFonts w:ascii="Abo-thar" w:hAnsi="Abo-thar" w:cs="CTraditional Arabic"/>
          <w:sz w:val="28"/>
          <w:rtl/>
          <w:lang w:bidi="ar-SY"/>
        </w:rPr>
        <w:t>ص</w:t>
      </w:r>
      <w:r w:rsidR="00147857" w:rsidRPr="00CE7623">
        <w:rPr>
          <w:rFonts w:ascii="Abo-thar" w:hAnsi="Abo-thar" w:cs="KFGQPC Uthman Taha Naskh"/>
          <w:sz w:val="28"/>
          <w:rtl/>
          <w:lang w:bidi="ar-SY"/>
        </w:rPr>
        <w:t xml:space="preserve"> </w:t>
      </w:r>
      <w:r w:rsidRPr="00CE7623">
        <w:rPr>
          <w:rFonts w:ascii="Abo-thar" w:hAnsi="Abo-thar" w:cs="KFGQPC Uthman Taha Naskh"/>
          <w:b/>
          <w:bCs/>
          <w:sz w:val="28"/>
          <w:rtl/>
          <w:lang w:bidi="ar-SY"/>
        </w:rPr>
        <w:t xml:space="preserve">الخُمُسَ وَكَانَ رَسُولُ </w:t>
      </w:r>
      <w:r w:rsidRPr="00CE7623">
        <w:rPr>
          <w:rFonts w:ascii="Abo-thar" w:hAnsi="Abo-thar" w:cs="KFGQPC Uthman Taha Naskh" w:hint="cs"/>
          <w:b/>
          <w:bCs/>
          <w:sz w:val="28"/>
          <w:rtl/>
          <w:lang w:bidi="ar-SY"/>
        </w:rPr>
        <w:t>اللهِ</w:t>
      </w:r>
      <w:r w:rsidR="00147857" w:rsidRPr="00CE7623">
        <w:rPr>
          <w:rFonts w:ascii="Abo-thar" w:hAnsi="Abo-thar" w:cs="KFGQPC Uthman Taha Naskh"/>
          <w:b/>
          <w:bCs/>
          <w:sz w:val="28"/>
          <w:rtl/>
          <w:lang w:bidi="ar-SY"/>
        </w:rPr>
        <w:t xml:space="preserve"> </w:t>
      </w:r>
      <w:r w:rsidR="003C7AEB" w:rsidRPr="003C7AEB">
        <w:rPr>
          <w:rFonts w:ascii="Abo-thar" w:hAnsi="Abo-thar" w:cs="CTraditional Arabic"/>
          <w:sz w:val="28"/>
          <w:rtl/>
          <w:lang w:bidi="ar-SY"/>
        </w:rPr>
        <w:t>ص</w:t>
      </w:r>
      <w:r w:rsidR="00147857" w:rsidRPr="00CE7623">
        <w:rPr>
          <w:rFonts w:ascii="Abo-thar" w:hAnsi="Abo-thar" w:cs="KFGQPC Uthman Taha Naskh"/>
          <w:sz w:val="28"/>
          <w:rtl/>
          <w:lang w:bidi="ar-SY"/>
        </w:rPr>
        <w:t xml:space="preserve"> </w:t>
      </w:r>
      <w:r w:rsidRPr="00CE7623">
        <w:rPr>
          <w:rFonts w:ascii="Abo-thar" w:hAnsi="Abo-thar" w:cs="KFGQPC Uthman Taha Naskh" w:hint="cs"/>
          <w:b/>
          <w:bCs/>
          <w:sz w:val="28"/>
          <w:rtl/>
          <w:lang w:bidi="ar-SY"/>
        </w:rPr>
        <w:t>يُ</w:t>
      </w:r>
      <w:r w:rsidRPr="00CE7623">
        <w:rPr>
          <w:rFonts w:ascii="Abo-thar" w:hAnsi="Abo-thar" w:cs="KFGQPC Uthman Taha Naskh"/>
          <w:b/>
          <w:bCs/>
          <w:sz w:val="28"/>
          <w:rtl/>
          <w:lang w:bidi="ar-SY"/>
        </w:rPr>
        <w:t>طْعِمُ كُلَّ امْرَأَةٍ مِنْ أَزْوَاجِهِ مِنَ الخُمُسِ مِائَةَ وَسْقٍ تَمْرا</w:t>
      </w:r>
      <w:r w:rsidRPr="00CE7623">
        <w:rPr>
          <w:rFonts w:ascii="Abo-thar" w:hAnsi="Abo-thar" w:cs="KFGQPC Uthman Taha Naskh" w:hint="cs"/>
          <w:b/>
          <w:bCs/>
          <w:sz w:val="28"/>
          <w:rtl/>
          <w:lang w:bidi="ar-SY"/>
        </w:rPr>
        <w:t>ً</w:t>
      </w:r>
      <w:r w:rsidRPr="00CE7623">
        <w:rPr>
          <w:rFonts w:ascii="Abo-thar" w:hAnsi="Abo-thar" w:cs="KFGQPC Uthman Taha Naskh"/>
          <w:b/>
          <w:bCs/>
          <w:sz w:val="28"/>
          <w:rtl/>
          <w:lang w:bidi="ar-SY"/>
        </w:rPr>
        <w:t xml:space="preserve"> وَعِشْرِينَ وَسْقا</w:t>
      </w:r>
      <w:r w:rsidRPr="00CE7623">
        <w:rPr>
          <w:rFonts w:ascii="Abo-thar" w:hAnsi="Abo-thar" w:cs="KFGQPC Uthman Taha Naskh" w:hint="cs"/>
          <w:b/>
          <w:bCs/>
          <w:sz w:val="28"/>
          <w:rtl/>
          <w:lang w:bidi="ar-SY"/>
        </w:rPr>
        <w:t>ً</w:t>
      </w:r>
      <w:r w:rsidRPr="00CE7623">
        <w:rPr>
          <w:rFonts w:ascii="Abo-thar" w:hAnsi="Abo-thar" w:cs="KFGQPC Uthman Taha Naskh"/>
          <w:b/>
          <w:bCs/>
          <w:sz w:val="28"/>
          <w:rtl/>
          <w:lang w:bidi="ar-SY"/>
        </w:rPr>
        <w:t xml:space="preserve"> شَعِيرا</w:t>
      </w:r>
      <w:r w:rsidRPr="00CE7623">
        <w:rPr>
          <w:rFonts w:ascii="Abo-thar" w:hAnsi="Abo-thar" w:cs="KFGQPC Uthman Taha Naskh" w:hint="cs"/>
          <w:b/>
          <w:bCs/>
          <w:sz w:val="28"/>
          <w:rtl/>
          <w:lang w:bidi="ar-SY"/>
        </w:rPr>
        <w:t>ً</w:t>
      </w:r>
      <w:r w:rsidR="00EF2588" w:rsidRPr="00CE7623">
        <w:rPr>
          <w:rFonts w:ascii="Abo-thar" w:hAnsi="Abo-thar" w:cs="KFGQPC Uthman Taha Naskh" w:hint="cs"/>
          <w:sz w:val="28"/>
          <w:rtl/>
          <w:lang w:bidi="ar-SY"/>
        </w:rPr>
        <w:t>»</w:t>
      </w:r>
      <w:r w:rsidR="00775066" w:rsidRPr="0021507A">
        <w:rPr>
          <w:rFonts w:ascii="Abo-thar" w:hAnsi="Abo-thar" w:cs="Arabic11 BT"/>
          <w:sz w:val="28"/>
          <w:vertAlign w:val="superscript"/>
          <w:rtl/>
          <w:lang w:bidi="ar-SY"/>
        </w:rPr>
        <w:t>(</w:t>
      </w:r>
      <w:r w:rsidR="00775066" w:rsidRPr="0021507A">
        <w:rPr>
          <w:rStyle w:val="FootnoteReference"/>
          <w:rFonts w:ascii="Abo-thar" w:hAnsi="Abo-thar" w:cs="Arabic11 BT"/>
          <w:sz w:val="28"/>
          <w:rtl/>
          <w:lang w:bidi="ar-SY"/>
        </w:rPr>
        <w:footnoteReference w:id="94"/>
      </w:r>
      <w:r w:rsidR="00775066" w:rsidRPr="0021507A">
        <w:rPr>
          <w:rFonts w:ascii="Abo-thar" w:hAnsi="Abo-thar" w:cs="Arabic11 BT"/>
          <w:sz w:val="28"/>
          <w:vertAlign w:val="superscript"/>
          <w:rtl/>
          <w:lang w:bidi="ar-SY"/>
        </w:rPr>
        <w:t>)</w:t>
      </w:r>
      <w:r w:rsidR="00217AB4" w:rsidRPr="003F3B94">
        <w:rPr>
          <w:rFonts w:ascii="Abo-thar" w:hAnsi="Abo-thar" w:hint="cs"/>
          <w:sz w:val="28"/>
          <w:rtl/>
          <w:lang w:bidi="ar-SY"/>
        </w:rPr>
        <w:t>.</w:t>
      </w:r>
      <w:r w:rsidRPr="003F3B94">
        <w:rPr>
          <w:rFonts w:ascii="Abo-thar" w:hAnsi="Abo-thar" w:hint="cs"/>
          <w:sz w:val="28"/>
          <w:rtl/>
          <w:lang w:bidi="ar-SY"/>
        </w:rPr>
        <w:t xml:space="preserve"> </w:t>
      </w:r>
    </w:p>
    <w:p w:rsidR="005C664D" w:rsidRPr="003F3B94" w:rsidRDefault="005C664D" w:rsidP="000913E5">
      <w:pPr>
        <w:pStyle w:val="a0"/>
        <w:rPr>
          <w:rFonts w:hint="cs"/>
          <w:rtl/>
          <w:lang w:bidi="ar-SY"/>
        </w:rPr>
      </w:pPr>
      <w:r w:rsidRPr="003F3B94">
        <w:rPr>
          <w:rFonts w:ascii="Abo-thar" w:hAnsi="Abo-thar" w:hint="cs"/>
          <w:sz w:val="28"/>
          <w:rtl/>
          <w:lang w:bidi="ar-SY"/>
        </w:rPr>
        <w:t>ثم يقول البيهقي في حديث آخر</w:t>
      </w:r>
      <w:r w:rsidR="00217AB4" w:rsidRPr="003F3B94">
        <w:rPr>
          <w:rFonts w:ascii="Abo-thar" w:hAnsi="Abo-thar" w:hint="cs"/>
          <w:sz w:val="28"/>
          <w:rtl/>
          <w:lang w:bidi="ar-SY"/>
        </w:rPr>
        <w:t>:</w:t>
      </w:r>
      <w:r w:rsidRPr="003F3B94">
        <w:rPr>
          <w:rFonts w:ascii="Abo-thar" w:hAnsi="Abo-thar" w:hint="cs"/>
          <w:sz w:val="28"/>
          <w:rtl/>
          <w:lang w:bidi="ar-SY"/>
        </w:rPr>
        <w:t xml:space="preserve"> </w:t>
      </w:r>
      <w:r w:rsidR="00EF2588" w:rsidRPr="00CE7623">
        <w:rPr>
          <w:rFonts w:ascii="Abo-thar" w:hAnsi="Abo-thar" w:cs="KFGQPC Uthman Taha Naskh" w:hint="cs"/>
          <w:sz w:val="28"/>
          <w:rtl/>
          <w:lang w:bidi="ar-SY"/>
        </w:rPr>
        <w:t>«</w:t>
      </w:r>
      <w:r w:rsidRPr="00CE7623">
        <w:rPr>
          <w:rFonts w:ascii="Abo-thar" w:hAnsi="Abo-thar" w:cs="KFGQPC Uthman Taha Naskh"/>
          <w:b/>
          <w:bCs/>
          <w:sz w:val="28"/>
          <w:rtl/>
          <w:lang w:bidi="ar-SY"/>
        </w:rPr>
        <w:t>ثُمَّ قَسَمَ رَسُولُ اللهِ</w:t>
      </w:r>
      <w:r w:rsidR="00147857" w:rsidRPr="00CE7623">
        <w:rPr>
          <w:rFonts w:ascii="Abo-thar" w:hAnsi="Abo-thar" w:cs="KFGQPC Uthman Taha Naskh"/>
          <w:b/>
          <w:bCs/>
          <w:sz w:val="28"/>
          <w:rtl/>
          <w:lang w:bidi="ar-SY"/>
        </w:rPr>
        <w:t xml:space="preserve"> </w:t>
      </w:r>
      <w:r w:rsidR="003C7AEB" w:rsidRPr="003C7AEB">
        <w:rPr>
          <w:rFonts w:ascii="Abo-thar" w:hAnsi="Abo-thar" w:cs="CTraditional Arabic"/>
          <w:sz w:val="28"/>
          <w:rtl/>
          <w:lang w:bidi="ar-SY"/>
        </w:rPr>
        <w:t>ص</w:t>
      </w:r>
      <w:r w:rsidR="00147857" w:rsidRPr="00CE7623">
        <w:rPr>
          <w:rFonts w:ascii="Abo-thar" w:hAnsi="Abo-thar" w:cs="KFGQPC Uthman Taha Naskh"/>
          <w:sz w:val="28"/>
          <w:rtl/>
          <w:lang w:bidi="ar-SY"/>
        </w:rPr>
        <w:t xml:space="preserve"> </w:t>
      </w:r>
      <w:r w:rsidRPr="00CE7623">
        <w:rPr>
          <w:rFonts w:ascii="Abo-thar" w:hAnsi="Abo-thar" w:cs="KFGQPC Uthman Taha Naskh"/>
          <w:b/>
          <w:bCs/>
          <w:sz w:val="28"/>
          <w:rtl/>
          <w:lang w:bidi="ar-SY"/>
        </w:rPr>
        <w:t>خُمُسَهُ بَيْنَ أَهْلِ قَرَابَتِهِ وَبَيْنَ نِسَائِهِ وَبَيْنَ رِجَالٍ وَنِسَاءٍ مِنَ المُسْلِمِينَ أَعْطَاهُمْ مِنْهَا فَقَسَمَ رَسُولُ اللهِ</w:t>
      </w:r>
      <w:r w:rsidR="00147857" w:rsidRPr="00CE7623">
        <w:rPr>
          <w:rFonts w:ascii="Abo-thar" w:hAnsi="Abo-thar" w:cs="KFGQPC Uthman Taha Naskh"/>
          <w:b/>
          <w:bCs/>
          <w:sz w:val="28"/>
          <w:rtl/>
          <w:lang w:bidi="ar-SY"/>
        </w:rPr>
        <w:t xml:space="preserve"> </w:t>
      </w:r>
      <w:r w:rsidR="003C7AEB" w:rsidRPr="003C7AEB">
        <w:rPr>
          <w:rFonts w:ascii="Abo-thar" w:hAnsi="Abo-thar" w:cs="CTraditional Arabic"/>
          <w:sz w:val="28"/>
          <w:rtl/>
          <w:lang w:bidi="ar-SY"/>
        </w:rPr>
        <w:t>ص</w:t>
      </w:r>
      <w:r w:rsidR="00147857" w:rsidRPr="00CE7623">
        <w:rPr>
          <w:rFonts w:ascii="Abo-thar" w:hAnsi="Abo-thar" w:cs="KFGQPC Uthman Taha Naskh"/>
          <w:sz w:val="28"/>
          <w:rtl/>
          <w:lang w:bidi="ar-SY"/>
        </w:rPr>
        <w:t xml:space="preserve"> </w:t>
      </w:r>
      <w:r w:rsidRPr="00CE7623">
        <w:rPr>
          <w:rFonts w:ascii="Abo-thar" w:hAnsi="Abo-thar" w:cs="KFGQPC Uthman Taha Naskh"/>
          <w:b/>
          <w:bCs/>
          <w:sz w:val="28"/>
          <w:rtl/>
          <w:lang w:bidi="ar-SY"/>
        </w:rPr>
        <w:t>لاِبْنَتِهِ فَاطِمَةَ</w:t>
      </w:r>
      <w:r w:rsidR="008B3243" w:rsidRPr="008B3243">
        <w:rPr>
          <w:rFonts w:ascii="Abo-thar" w:hAnsi="Abo-thar" w:cs="CTraditional Arabic"/>
          <w:b/>
          <w:sz w:val="28"/>
          <w:rtl/>
          <w:lang w:bidi="ar-SY"/>
        </w:rPr>
        <w:t>‘</w:t>
      </w:r>
      <w:r w:rsidRPr="00CE7623">
        <w:rPr>
          <w:rFonts w:ascii="Abo-thar" w:hAnsi="Abo-thar" w:cs="KFGQPC Uthman Taha Naskh"/>
          <w:b/>
          <w:bCs/>
          <w:sz w:val="28"/>
          <w:rtl/>
          <w:lang w:bidi="ar-SY"/>
        </w:rPr>
        <w:t xml:space="preserve"> مِئَتَ</w:t>
      </w:r>
      <w:r w:rsidRPr="00CE7623">
        <w:rPr>
          <w:rFonts w:ascii="Abo-thar" w:hAnsi="Abo-thar" w:cs="KFGQPC Uthman Taha Naskh" w:hint="cs"/>
          <w:b/>
          <w:bCs/>
          <w:sz w:val="28"/>
          <w:rtl/>
          <w:lang w:bidi="ar-SY"/>
        </w:rPr>
        <w:t>يْ</w:t>
      </w:r>
      <w:r w:rsidRPr="00CE7623">
        <w:rPr>
          <w:rFonts w:ascii="Abo-thar" w:hAnsi="Abo-thar" w:cs="KFGQPC Uthman Taha Naskh"/>
          <w:b/>
          <w:bCs/>
          <w:sz w:val="28"/>
          <w:rtl/>
          <w:lang w:bidi="ar-SY"/>
        </w:rPr>
        <w:t xml:space="preserve"> وَسْقٍ وَلِعَلِىِّ بْنِ أَبِى طَالِبٍ رَضِ</w:t>
      </w:r>
      <w:r w:rsidRPr="00CE7623">
        <w:rPr>
          <w:rFonts w:ascii="Abo-thar" w:hAnsi="Abo-thar" w:cs="KFGQPC Uthman Taha Naskh" w:hint="cs"/>
          <w:b/>
          <w:bCs/>
          <w:sz w:val="28"/>
          <w:rtl/>
          <w:lang w:bidi="ar-SY"/>
        </w:rPr>
        <w:t>يَ</w:t>
      </w:r>
      <w:r w:rsidRPr="00CE7623">
        <w:rPr>
          <w:rFonts w:ascii="Abo-thar" w:hAnsi="Abo-thar" w:cs="KFGQPC Uthman Taha Naskh"/>
          <w:b/>
          <w:bCs/>
          <w:sz w:val="28"/>
          <w:rtl/>
          <w:lang w:bidi="ar-SY"/>
        </w:rPr>
        <w:t xml:space="preserve"> اللهُ عَنْهُ مِائَةَ وَسْقٍ وَلأُسَامَةَ بْنِ زَيْدٍ مِئَتَ</w:t>
      </w:r>
      <w:r w:rsidRPr="00CE7623">
        <w:rPr>
          <w:rFonts w:ascii="Abo-thar" w:hAnsi="Abo-thar" w:cs="KFGQPC Uthman Taha Naskh" w:hint="cs"/>
          <w:b/>
          <w:bCs/>
          <w:sz w:val="28"/>
          <w:rtl/>
          <w:lang w:bidi="ar-SY"/>
        </w:rPr>
        <w:t>ي</w:t>
      </w:r>
      <w:r w:rsidRPr="00CE7623">
        <w:rPr>
          <w:rFonts w:ascii="Abo-thar" w:hAnsi="Abo-thar" w:cs="KFGQPC Uthman Taha Naskh"/>
          <w:b/>
          <w:bCs/>
          <w:sz w:val="28"/>
          <w:rtl/>
          <w:lang w:bidi="ar-SY"/>
        </w:rPr>
        <w:t xml:space="preserve"> وَسْقٍ مِنْهَا خَمْسُونَ وَسْقًا نَوًى وَلِعِيسَى بْنِ نُقِيمٍ مِئَتَ</w:t>
      </w:r>
      <w:r w:rsidRPr="00CE7623">
        <w:rPr>
          <w:rFonts w:ascii="Abo-thar" w:hAnsi="Abo-thar" w:cs="KFGQPC Uthman Taha Naskh" w:hint="cs"/>
          <w:b/>
          <w:bCs/>
          <w:sz w:val="28"/>
          <w:rtl/>
          <w:lang w:bidi="ar-SY"/>
        </w:rPr>
        <w:t>يْ</w:t>
      </w:r>
      <w:r w:rsidRPr="00CE7623">
        <w:rPr>
          <w:rFonts w:ascii="Abo-thar" w:hAnsi="Abo-thar" w:cs="KFGQPC Uthman Taha Naskh"/>
          <w:b/>
          <w:bCs/>
          <w:sz w:val="28"/>
          <w:rtl/>
          <w:lang w:bidi="ar-SY"/>
        </w:rPr>
        <w:t xml:space="preserve"> وَسْقٍ وَلأَبِى بَكْرٍ الصِّدِّيقِ رَضِ</w:t>
      </w:r>
      <w:r w:rsidRPr="00CE7623">
        <w:rPr>
          <w:rFonts w:ascii="Abo-thar" w:hAnsi="Abo-thar" w:cs="KFGQPC Uthman Taha Naskh" w:hint="cs"/>
          <w:b/>
          <w:bCs/>
          <w:sz w:val="28"/>
          <w:rtl/>
          <w:lang w:bidi="ar-SY"/>
        </w:rPr>
        <w:t>يَ</w:t>
      </w:r>
      <w:r w:rsidRPr="00CE7623">
        <w:rPr>
          <w:rFonts w:ascii="Abo-thar" w:hAnsi="Abo-thar" w:cs="KFGQPC Uthman Taha Naskh"/>
          <w:b/>
          <w:bCs/>
          <w:sz w:val="28"/>
          <w:rtl/>
          <w:lang w:bidi="ar-SY"/>
        </w:rPr>
        <w:t xml:space="preserve"> اللهُ عَنْهُ مِئَتَ</w:t>
      </w:r>
      <w:r w:rsidRPr="00CE7623">
        <w:rPr>
          <w:rFonts w:ascii="Abo-thar" w:hAnsi="Abo-thar" w:cs="KFGQPC Uthman Taha Naskh" w:hint="cs"/>
          <w:b/>
          <w:bCs/>
          <w:sz w:val="28"/>
          <w:rtl/>
          <w:lang w:bidi="ar-SY"/>
        </w:rPr>
        <w:t>يْ</w:t>
      </w:r>
      <w:r w:rsidRPr="00CE7623">
        <w:rPr>
          <w:rFonts w:ascii="Abo-thar" w:hAnsi="Abo-thar" w:cs="KFGQPC Uthman Taha Naskh"/>
          <w:b/>
          <w:bCs/>
          <w:sz w:val="28"/>
          <w:rtl/>
          <w:lang w:bidi="ar-SY"/>
        </w:rPr>
        <w:t xml:space="preserve"> وَسْقٍ فَذَكَرَا جَمَاعَةً مِنَ الرِّجَالِ وَالنِّسَاءِ قَسَمَ لَـهُمْ مِنْهَا</w:t>
      </w:r>
      <w:r w:rsidR="00EF2588" w:rsidRPr="00CE7623">
        <w:rPr>
          <w:rFonts w:ascii="Abo-thar" w:hAnsi="Abo-thar" w:cs="KFGQPC Uthman Taha Naskh" w:hint="cs"/>
          <w:sz w:val="28"/>
          <w:rtl/>
          <w:lang w:bidi="ar-SY"/>
        </w:rPr>
        <w:t>»</w:t>
      </w:r>
      <w:r w:rsidR="00217AB4" w:rsidRPr="0021507A">
        <w:rPr>
          <w:rFonts w:cs="Arabic11 BT"/>
          <w:b/>
          <w:sz w:val="28"/>
          <w:vertAlign w:val="superscript"/>
          <w:rtl/>
          <w:lang w:bidi="ar-SY"/>
        </w:rPr>
        <w:t>(</w:t>
      </w:r>
      <w:r w:rsidRPr="0021507A">
        <w:rPr>
          <w:rStyle w:val="FootnoteReference"/>
          <w:rFonts w:cs="Arabic11 BT"/>
          <w:b/>
          <w:sz w:val="28"/>
          <w:rtl/>
          <w:lang w:bidi="ar-SY"/>
        </w:rPr>
        <w:footnoteReference w:id="95"/>
      </w:r>
      <w:r w:rsidR="00217AB4" w:rsidRPr="0021507A">
        <w:rPr>
          <w:rFonts w:cs="Arabic11 BT"/>
          <w:b/>
          <w:sz w:val="28"/>
          <w:vertAlign w:val="superscript"/>
          <w:rtl/>
          <w:lang w:bidi="ar-SY"/>
        </w:rPr>
        <w:t>)</w:t>
      </w:r>
      <w:r w:rsidR="00217AB4" w:rsidRPr="003F3B94">
        <w:rPr>
          <w:rFonts w:ascii="Abo-thar" w:hAnsi="Abo-thar" w:hint="cs"/>
          <w:sz w:val="28"/>
          <w:rtl/>
          <w:lang w:bidi="ar-SY"/>
        </w:rPr>
        <w:t>.</w:t>
      </w:r>
    </w:p>
    <w:p w:rsidR="005C664D" w:rsidRPr="003F3B94" w:rsidRDefault="005C664D" w:rsidP="003F3B94">
      <w:pPr>
        <w:pStyle w:val="a0"/>
        <w:rPr>
          <w:rFonts w:hint="cs"/>
          <w:rtl/>
          <w:lang w:bidi="ar-SY"/>
        </w:rPr>
      </w:pPr>
      <w:r w:rsidRPr="003F3B94">
        <w:rPr>
          <w:rFonts w:ascii="Abo-thar" w:hAnsi="Abo-thar" w:hint="cs"/>
          <w:sz w:val="28"/>
          <w:rtl/>
          <w:lang w:bidi="ar-SY"/>
        </w:rPr>
        <w:t>وكتب الطبري في تاريخه ضمن بيان حوادث سنة 7 للهجرة والكلام عن تقسيم غنائم خيبر</w:t>
      </w:r>
      <w:r w:rsidR="00217AB4" w:rsidRPr="003F3B94">
        <w:rPr>
          <w:rFonts w:ascii="Abo-thar" w:hAnsi="Abo-thar" w:hint="cs"/>
          <w:sz w:val="28"/>
          <w:rtl/>
          <w:lang w:bidi="ar-SY"/>
        </w:rPr>
        <w:t>:</w:t>
      </w:r>
      <w:r w:rsidRPr="003F3B94">
        <w:rPr>
          <w:rFonts w:ascii="Abo-thar" w:hAnsi="Abo-thar" w:hint="cs"/>
          <w:sz w:val="28"/>
          <w:rtl/>
          <w:lang w:bidi="ar-SY"/>
        </w:rPr>
        <w:t xml:space="preserve"> </w:t>
      </w:r>
    </w:p>
    <w:p w:rsidR="005C664D" w:rsidRPr="003F3B94" w:rsidRDefault="00EF2588" w:rsidP="003F3B94">
      <w:pPr>
        <w:pStyle w:val="a0"/>
        <w:rPr>
          <w:rFonts w:hint="cs"/>
          <w:rtl/>
          <w:lang w:bidi="ar-SY"/>
        </w:rPr>
      </w:pPr>
      <w:r w:rsidRPr="003F3B94">
        <w:rPr>
          <w:rFonts w:ascii="Abo-thar" w:hAnsi="Abo-thar" w:hint="cs"/>
          <w:sz w:val="28"/>
          <w:rtl/>
          <w:lang w:bidi="ar-SY"/>
        </w:rPr>
        <w:t>«</w:t>
      </w:r>
      <w:r w:rsidR="005C664D" w:rsidRPr="003F3B94">
        <w:rPr>
          <w:rFonts w:ascii="Abo-thar" w:hAnsi="Abo-thar"/>
          <w:b/>
          <w:bCs/>
          <w:sz w:val="28"/>
          <w:rtl/>
          <w:lang w:bidi="ar-SY"/>
        </w:rPr>
        <w:t>كانت الكتيبة خمس الله عز وجل وخمس النبي</w:t>
      </w:r>
      <w:r w:rsidR="00147857" w:rsidRPr="003F3B94">
        <w:rPr>
          <w:rFonts w:ascii="Abo-thar" w:hAnsi="Abo-thar"/>
          <w:b/>
          <w:bCs/>
          <w:sz w:val="28"/>
          <w:rtl/>
          <w:lang w:bidi="ar-SY"/>
        </w:rPr>
        <w:t xml:space="preserve"> </w:t>
      </w:r>
      <w:r w:rsidR="003C7AEB" w:rsidRPr="003C7AEB">
        <w:rPr>
          <w:rFonts w:ascii="Abo-thar" w:hAnsi="Abo-thar" w:cs="CTraditional Arabic"/>
          <w:sz w:val="28"/>
          <w:rtl/>
          <w:lang w:bidi="ar-SY"/>
        </w:rPr>
        <w:t>ص</w:t>
      </w:r>
      <w:r w:rsidR="00147857" w:rsidRPr="003F3B94">
        <w:rPr>
          <w:rFonts w:ascii="Abo-thar" w:hAnsi="Abo-thar"/>
          <w:sz w:val="28"/>
          <w:rtl/>
          <w:lang w:bidi="ar-SY"/>
        </w:rPr>
        <w:t xml:space="preserve"> </w:t>
      </w:r>
      <w:r w:rsidR="005C664D" w:rsidRPr="003F3B94">
        <w:rPr>
          <w:rFonts w:ascii="Abo-thar" w:hAnsi="Abo-thar"/>
          <w:b/>
          <w:bCs/>
          <w:sz w:val="28"/>
          <w:rtl/>
          <w:lang w:bidi="ar-SY"/>
        </w:rPr>
        <w:t>وسهم ذوي القربى واليتامى والمساكين و</w:t>
      </w:r>
      <w:r w:rsidR="005C664D" w:rsidRPr="003F3B94">
        <w:rPr>
          <w:rFonts w:ascii="Abo-thar" w:hAnsi="Abo-thar" w:hint="cs"/>
          <w:b/>
          <w:bCs/>
          <w:sz w:val="28"/>
          <w:rtl/>
          <w:lang w:bidi="ar-SY"/>
        </w:rPr>
        <w:t>ا</w:t>
      </w:r>
      <w:r w:rsidR="005C664D" w:rsidRPr="003F3B94">
        <w:rPr>
          <w:rFonts w:ascii="Abo-thar" w:hAnsi="Abo-thar"/>
          <w:b/>
          <w:bCs/>
          <w:sz w:val="28"/>
          <w:rtl/>
          <w:lang w:bidi="ar-SY"/>
        </w:rPr>
        <w:t>بن السبيل</w:t>
      </w:r>
      <w:r w:rsidR="00217AB4" w:rsidRPr="003F3B94">
        <w:rPr>
          <w:rFonts w:ascii="Abo-thar" w:hAnsi="Abo-thar"/>
          <w:b/>
          <w:bCs/>
          <w:sz w:val="28"/>
          <w:rtl/>
          <w:lang w:bidi="ar-SY"/>
        </w:rPr>
        <w:t>،</w:t>
      </w:r>
      <w:r w:rsidR="005C664D" w:rsidRPr="003F3B94">
        <w:rPr>
          <w:rFonts w:ascii="Abo-thar" w:hAnsi="Abo-thar"/>
          <w:b/>
          <w:bCs/>
          <w:sz w:val="28"/>
          <w:rtl/>
          <w:lang w:bidi="ar-SY"/>
        </w:rPr>
        <w:t xml:space="preserve"> وطعم أزواج النبي</w:t>
      </w:r>
      <w:r w:rsidR="005C664D" w:rsidRPr="003F3B94">
        <w:rPr>
          <w:rFonts w:ascii="Abo-thar" w:hAnsi="Abo-thar" w:hint="cs"/>
          <w:b/>
          <w:bCs/>
          <w:sz w:val="28"/>
          <w:rtl/>
          <w:lang w:bidi="ar-SY"/>
        </w:rPr>
        <w:t>ّ</w:t>
      </w:r>
      <w:r w:rsidR="00217AB4" w:rsidRPr="003F3B94">
        <w:rPr>
          <w:rFonts w:ascii="Abo-thar" w:hAnsi="Abo-thar"/>
          <w:b/>
          <w:bCs/>
          <w:sz w:val="28"/>
          <w:rtl/>
          <w:lang w:bidi="ar-SY"/>
        </w:rPr>
        <w:t>،</w:t>
      </w:r>
      <w:r w:rsidR="005C664D" w:rsidRPr="003F3B94">
        <w:rPr>
          <w:rFonts w:ascii="Abo-thar" w:hAnsi="Abo-thar"/>
          <w:b/>
          <w:bCs/>
          <w:sz w:val="28"/>
          <w:rtl/>
          <w:lang w:bidi="ar-SY"/>
        </w:rPr>
        <w:t xml:space="preserve"> وطعم رجال مشوا بين رسول الله وبين أهل فدك بالصلح</w:t>
      </w:r>
      <w:r w:rsidR="00217AB4" w:rsidRPr="003F3B94">
        <w:rPr>
          <w:rFonts w:ascii="Abo-thar" w:hAnsi="Abo-thar"/>
          <w:b/>
          <w:bCs/>
          <w:sz w:val="28"/>
          <w:rtl/>
          <w:lang w:bidi="ar-SY"/>
        </w:rPr>
        <w:t>؛</w:t>
      </w:r>
      <w:r w:rsidR="005C664D" w:rsidRPr="003F3B94">
        <w:rPr>
          <w:rFonts w:ascii="Abo-thar" w:hAnsi="Abo-thar"/>
          <w:b/>
          <w:bCs/>
          <w:sz w:val="28"/>
          <w:rtl/>
          <w:lang w:bidi="ar-SY"/>
        </w:rPr>
        <w:t xml:space="preserve"> منهم محيصة </w:t>
      </w:r>
      <w:r w:rsidR="005C664D" w:rsidRPr="003F3B94">
        <w:rPr>
          <w:rFonts w:ascii="Abo-thar" w:hAnsi="Abo-thar" w:hint="cs"/>
          <w:b/>
          <w:bCs/>
          <w:sz w:val="28"/>
          <w:rtl/>
          <w:lang w:bidi="ar-SY"/>
        </w:rPr>
        <w:t>اب</w:t>
      </w:r>
      <w:r w:rsidR="005C664D" w:rsidRPr="003F3B94">
        <w:rPr>
          <w:rFonts w:ascii="Abo-thar" w:hAnsi="Abo-thar"/>
          <w:b/>
          <w:bCs/>
          <w:sz w:val="28"/>
          <w:rtl/>
          <w:lang w:bidi="ar-SY"/>
        </w:rPr>
        <w:t>ن مسعود</w:t>
      </w:r>
      <w:r w:rsidR="00217AB4" w:rsidRPr="003F3B94">
        <w:rPr>
          <w:rFonts w:ascii="Abo-thar" w:hAnsi="Abo-thar"/>
          <w:b/>
          <w:bCs/>
          <w:sz w:val="28"/>
          <w:rtl/>
          <w:lang w:bidi="ar-SY"/>
        </w:rPr>
        <w:t>،</w:t>
      </w:r>
      <w:r w:rsidR="005C664D" w:rsidRPr="003F3B94">
        <w:rPr>
          <w:rFonts w:ascii="Abo-thar" w:hAnsi="Abo-thar"/>
          <w:b/>
          <w:bCs/>
          <w:sz w:val="28"/>
          <w:rtl/>
          <w:lang w:bidi="ar-SY"/>
        </w:rPr>
        <w:t xml:space="preserve"> أعطاه رسول الله</w:t>
      </w:r>
      <w:r w:rsidR="00147857" w:rsidRPr="003F3B94">
        <w:rPr>
          <w:rFonts w:ascii="Abo-thar" w:hAnsi="Abo-thar"/>
          <w:b/>
          <w:bCs/>
          <w:sz w:val="28"/>
          <w:rtl/>
          <w:lang w:bidi="ar-SY"/>
        </w:rPr>
        <w:t xml:space="preserve"> </w:t>
      </w:r>
      <w:r w:rsidR="003C7AEB" w:rsidRPr="003C7AEB">
        <w:rPr>
          <w:rFonts w:ascii="Abo-thar" w:hAnsi="Abo-thar" w:cs="CTraditional Arabic"/>
          <w:sz w:val="28"/>
          <w:rtl/>
          <w:lang w:bidi="ar-SY"/>
        </w:rPr>
        <w:t>ص</w:t>
      </w:r>
      <w:r w:rsidR="00147857" w:rsidRPr="003F3B94">
        <w:rPr>
          <w:rFonts w:ascii="Abo-thar" w:hAnsi="Abo-thar"/>
          <w:sz w:val="28"/>
          <w:rtl/>
          <w:lang w:bidi="ar-SY"/>
        </w:rPr>
        <w:t xml:space="preserve"> </w:t>
      </w:r>
      <w:r w:rsidR="005C664D" w:rsidRPr="003F3B94">
        <w:rPr>
          <w:rFonts w:ascii="Abo-thar" w:hAnsi="Abo-thar"/>
          <w:b/>
          <w:bCs/>
          <w:sz w:val="28"/>
          <w:rtl/>
          <w:lang w:bidi="ar-SY"/>
        </w:rPr>
        <w:t>منها ثلاثين وسق شعير</w:t>
      </w:r>
      <w:r w:rsidR="00217AB4" w:rsidRPr="003F3B94">
        <w:rPr>
          <w:rFonts w:ascii="Abo-thar" w:hAnsi="Abo-thar"/>
          <w:b/>
          <w:bCs/>
          <w:sz w:val="28"/>
          <w:rtl/>
          <w:lang w:bidi="ar-SY"/>
        </w:rPr>
        <w:t>،</w:t>
      </w:r>
      <w:r w:rsidR="005C664D" w:rsidRPr="003F3B94">
        <w:rPr>
          <w:rFonts w:ascii="Abo-thar" w:hAnsi="Abo-thar"/>
          <w:b/>
          <w:bCs/>
          <w:sz w:val="28"/>
          <w:rtl/>
          <w:lang w:bidi="ar-SY"/>
        </w:rPr>
        <w:t xml:space="preserve"> وثلاثين وسق تمر</w:t>
      </w:r>
      <w:r w:rsidRPr="003F3B94">
        <w:rPr>
          <w:rFonts w:ascii="Abo-thar" w:hAnsi="Abo-thar" w:hint="cs"/>
          <w:sz w:val="28"/>
          <w:rtl/>
          <w:lang w:bidi="ar-SY"/>
        </w:rPr>
        <w:t>»</w:t>
      </w:r>
      <w:r w:rsidR="00775066" w:rsidRPr="003F3B94">
        <w:rPr>
          <w:b/>
          <w:bCs/>
          <w:sz w:val="28"/>
          <w:vertAlign w:val="superscript"/>
          <w:rtl/>
          <w:lang w:bidi="ar-SY"/>
        </w:rPr>
        <w:t xml:space="preserve"> </w:t>
      </w:r>
      <w:r w:rsidR="00775066" w:rsidRPr="0021507A">
        <w:rPr>
          <w:rFonts w:cs="Arabic11 BT"/>
          <w:b/>
          <w:sz w:val="28"/>
          <w:vertAlign w:val="superscript"/>
          <w:rtl/>
          <w:lang w:bidi="ar-SY"/>
        </w:rPr>
        <w:t>(</w:t>
      </w:r>
      <w:r w:rsidR="00775066" w:rsidRPr="0021507A">
        <w:rPr>
          <w:rStyle w:val="FootnoteReference"/>
          <w:rFonts w:cs="Arabic11 BT"/>
          <w:b/>
          <w:sz w:val="28"/>
          <w:rtl/>
          <w:lang w:bidi="ar-SY"/>
        </w:rPr>
        <w:footnoteReference w:id="96"/>
      </w:r>
      <w:r w:rsidR="00775066" w:rsidRPr="0021507A">
        <w:rPr>
          <w:rFonts w:cs="Arabic11 BT"/>
          <w:b/>
          <w:sz w:val="28"/>
          <w:vertAlign w:val="superscript"/>
          <w:rtl/>
          <w:lang w:bidi="ar-SY"/>
        </w:rPr>
        <w:t>)</w:t>
      </w:r>
      <w:r w:rsidR="00217AB4" w:rsidRPr="003F3B94">
        <w:rPr>
          <w:rFonts w:ascii="Abo-thar" w:hAnsi="Abo-thar" w:hint="cs"/>
          <w:sz w:val="28"/>
          <w:rtl/>
          <w:lang w:bidi="ar-SY"/>
        </w:rPr>
        <w:t>.</w:t>
      </w:r>
    </w:p>
    <w:p w:rsidR="005C664D" w:rsidRPr="003F3B94" w:rsidRDefault="00661684" w:rsidP="003F3B94">
      <w:pPr>
        <w:pStyle w:val="a0"/>
        <w:rPr>
          <w:rFonts w:hint="cs"/>
          <w:rtl/>
          <w:lang w:bidi="ar-SY"/>
        </w:rPr>
      </w:pPr>
      <w:r w:rsidRPr="003F3B94">
        <w:rPr>
          <w:rFonts w:ascii="Abo-thar" w:hAnsi="Abo-thar" w:hint="cs"/>
          <w:sz w:val="28"/>
          <w:rtl/>
          <w:lang w:bidi="ar-SY"/>
        </w:rPr>
        <w:t>ف</w:t>
      </w:r>
      <w:r w:rsidR="005C664D" w:rsidRPr="003F3B94">
        <w:rPr>
          <w:rFonts w:ascii="Abo-thar" w:hAnsi="Abo-thar" w:hint="cs"/>
          <w:sz w:val="28"/>
          <w:rtl/>
          <w:lang w:bidi="ar-SY"/>
        </w:rPr>
        <w:t>يستنبط من هذا الحديث أن خمس غنائم الحرب كان تحت تصرف رسول الله يعطيه لمن يرى في إعطائه مصلحة أو ضرورة أعم من أن يكون الآخذون من بني هاشم أو من غير بني هاشم</w:t>
      </w:r>
      <w:r w:rsidR="00217AB4" w:rsidRPr="003F3B94">
        <w:rPr>
          <w:rFonts w:ascii="Abo-thar" w:hAnsi="Abo-thar" w:hint="cs"/>
          <w:sz w:val="28"/>
          <w:rtl/>
          <w:lang w:bidi="ar-SY"/>
        </w:rPr>
        <w:t>،</w:t>
      </w:r>
      <w:r w:rsidR="005C664D" w:rsidRPr="003F3B94">
        <w:rPr>
          <w:rFonts w:ascii="Abo-thar" w:hAnsi="Abo-thar" w:hint="cs"/>
          <w:sz w:val="28"/>
          <w:rtl/>
          <w:lang w:bidi="ar-SY"/>
        </w:rPr>
        <w:t xml:space="preserve"> فلم يكن هذا المال أبداً مختص</w:t>
      </w:r>
      <w:r w:rsidRPr="003F3B94">
        <w:rPr>
          <w:rFonts w:ascii="Abo-thar" w:hAnsi="Abo-thar" w:hint="cs"/>
          <w:sz w:val="28"/>
          <w:rtl/>
          <w:lang w:bidi="ar-SY"/>
        </w:rPr>
        <w:t>ًّ</w:t>
      </w:r>
      <w:r w:rsidR="005C664D" w:rsidRPr="003F3B94">
        <w:rPr>
          <w:rFonts w:ascii="Abo-thar" w:hAnsi="Abo-thar" w:hint="cs"/>
          <w:sz w:val="28"/>
          <w:rtl/>
          <w:lang w:bidi="ar-SY"/>
        </w:rPr>
        <w:t>ا بأصحاب نسب</w:t>
      </w:r>
      <w:r w:rsidRPr="003F3B94">
        <w:rPr>
          <w:rFonts w:ascii="Abo-thar" w:hAnsi="Abo-thar" w:hint="cs"/>
          <w:sz w:val="28"/>
          <w:rtl/>
          <w:lang w:bidi="ar-SY"/>
        </w:rPr>
        <w:t>ٍ</w:t>
      </w:r>
      <w:r w:rsidR="005C664D" w:rsidRPr="003F3B94">
        <w:rPr>
          <w:rFonts w:ascii="Abo-thar" w:hAnsi="Abo-thar" w:hint="cs"/>
          <w:sz w:val="28"/>
          <w:rtl/>
          <w:lang w:bidi="ar-SY"/>
        </w:rPr>
        <w:t xml:space="preserve"> محدد من الناس</w:t>
      </w:r>
      <w:r w:rsidR="00217AB4" w:rsidRPr="003F3B94">
        <w:rPr>
          <w:rFonts w:ascii="Abo-thar" w:hAnsi="Abo-thar" w:hint="cs"/>
          <w:sz w:val="28"/>
          <w:rtl/>
          <w:lang w:bidi="ar-SY"/>
        </w:rPr>
        <w:t>،</w:t>
      </w:r>
      <w:r w:rsidR="005C664D" w:rsidRPr="003F3B94">
        <w:rPr>
          <w:rFonts w:ascii="Abo-thar" w:hAnsi="Abo-thar" w:hint="cs"/>
          <w:sz w:val="28"/>
          <w:rtl/>
          <w:lang w:bidi="ar-SY"/>
        </w:rPr>
        <w:t xml:space="preserve"> وكان عليه الصلاة والسلام قد ذهب في الإعطاء من هذا المال إلى حد</w:t>
      </w:r>
      <w:r w:rsidRPr="003F3B94">
        <w:rPr>
          <w:rFonts w:ascii="Abo-thar" w:hAnsi="Abo-thar" w:hint="cs"/>
          <w:sz w:val="28"/>
          <w:rtl/>
          <w:lang w:bidi="ar-SY"/>
        </w:rPr>
        <w:t>ٍّ</w:t>
      </w:r>
      <w:r w:rsidR="005C664D" w:rsidRPr="003F3B94">
        <w:rPr>
          <w:rFonts w:ascii="Abo-thar" w:hAnsi="Abo-thar" w:hint="cs"/>
          <w:sz w:val="28"/>
          <w:rtl/>
          <w:lang w:bidi="ar-SY"/>
        </w:rPr>
        <w:t xml:space="preserve"> ج</w:t>
      </w:r>
      <w:r w:rsidRPr="003F3B94">
        <w:rPr>
          <w:rFonts w:ascii="Abo-thar" w:hAnsi="Abo-thar" w:hint="cs"/>
          <w:sz w:val="28"/>
          <w:rtl/>
          <w:lang w:bidi="ar-SY"/>
        </w:rPr>
        <w:t>َ</w:t>
      </w:r>
      <w:r w:rsidR="005C664D" w:rsidRPr="003F3B94">
        <w:rPr>
          <w:rFonts w:ascii="Abo-thar" w:hAnsi="Abo-thar" w:hint="cs"/>
          <w:sz w:val="28"/>
          <w:rtl/>
          <w:lang w:bidi="ar-SY"/>
        </w:rPr>
        <w:t>ر</w:t>
      </w:r>
      <w:r w:rsidRPr="003F3B94">
        <w:rPr>
          <w:rFonts w:ascii="Abo-thar" w:hAnsi="Abo-thar" w:hint="cs"/>
          <w:sz w:val="28"/>
          <w:rtl/>
          <w:lang w:bidi="ar-SY"/>
        </w:rPr>
        <w:t>َّ</w:t>
      </w:r>
      <w:r w:rsidR="005C664D" w:rsidRPr="003F3B94">
        <w:rPr>
          <w:rFonts w:ascii="Abo-thar" w:hAnsi="Abo-thar" w:hint="cs"/>
          <w:sz w:val="28"/>
          <w:rtl/>
          <w:lang w:bidi="ar-SY"/>
        </w:rPr>
        <w:t>أ</w:t>
      </w:r>
      <w:r w:rsidRPr="003F3B94">
        <w:rPr>
          <w:rFonts w:ascii="Abo-thar" w:hAnsi="Abo-thar" w:hint="cs"/>
          <w:sz w:val="28"/>
          <w:rtl/>
          <w:lang w:bidi="ar-SY"/>
        </w:rPr>
        <w:t>َ</w:t>
      </w:r>
      <w:r w:rsidR="005C664D" w:rsidRPr="003F3B94">
        <w:rPr>
          <w:rFonts w:ascii="Abo-thar" w:hAnsi="Abo-thar" w:hint="cs"/>
          <w:sz w:val="28"/>
          <w:rtl/>
          <w:lang w:bidi="ar-SY"/>
        </w:rPr>
        <w:t xml:space="preserve"> جفاة الأعراب على أن يحيطوا به ويجذبوا ثيابه ويحاصروه إلى شجرة سمر</w:t>
      </w:r>
      <w:r w:rsidRPr="003F3B94">
        <w:rPr>
          <w:rFonts w:ascii="Abo-thar" w:hAnsi="Abo-thar" w:hint="cs"/>
          <w:sz w:val="28"/>
          <w:rtl/>
          <w:lang w:bidi="ar-SY"/>
        </w:rPr>
        <w:t>ه</w:t>
      </w:r>
      <w:r w:rsidR="005C664D" w:rsidRPr="003F3B94">
        <w:rPr>
          <w:rFonts w:ascii="Abo-thar" w:hAnsi="Abo-thar" w:hint="cs"/>
          <w:sz w:val="28"/>
          <w:rtl/>
          <w:lang w:bidi="ar-SY"/>
        </w:rPr>
        <w:t xml:space="preserve"> حتى وقع الرداء عن كتفه الشريفة وهم يطالبونه قائلين</w:t>
      </w:r>
      <w:r w:rsidR="00217AB4" w:rsidRPr="003F3B94">
        <w:rPr>
          <w:rFonts w:ascii="Abo-thar" w:hAnsi="Abo-thar" w:hint="cs"/>
          <w:sz w:val="28"/>
          <w:rtl/>
          <w:lang w:bidi="ar-SY"/>
        </w:rPr>
        <w:t>:</w:t>
      </w:r>
      <w:r w:rsidR="005C664D" w:rsidRPr="003F3B94">
        <w:rPr>
          <w:rFonts w:ascii="Abo-thar" w:hAnsi="Abo-thar" w:hint="cs"/>
          <w:sz w:val="28"/>
          <w:rtl/>
          <w:lang w:bidi="ar-SY"/>
        </w:rPr>
        <w:t xml:space="preserve"> </w:t>
      </w:r>
      <w:r w:rsidR="00EF2588" w:rsidRPr="003F3B94">
        <w:rPr>
          <w:rFonts w:ascii="Abo-thar" w:hAnsi="Abo-thar" w:hint="cs"/>
          <w:sz w:val="28"/>
          <w:rtl/>
          <w:lang w:bidi="ar-SY"/>
        </w:rPr>
        <w:t>«</w:t>
      </w:r>
      <w:r w:rsidR="005C664D" w:rsidRPr="003F3B94">
        <w:rPr>
          <w:rFonts w:ascii="Abo-thar" w:hAnsi="Abo-thar" w:hint="cs"/>
          <w:b/>
          <w:bCs/>
          <w:sz w:val="28"/>
          <w:rtl/>
          <w:lang w:bidi="ar-SY"/>
        </w:rPr>
        <w:t>مُرْ لنا من مال الله الذي عندك</w:t>
      </w:r>
      <w:r w:rsidR="00EF2588" w:rsidRPr="003F3B94">
        <w:rPr>
          <w:rFonts w:ascii="Abo-thar" w:hAnsi="Abo-thar" w:hint="cs"/>
          <w:sz w:val="28"/>
          <w:rtl/>
          <w:lang w:bidi="ar-SY"/>
        </w:rPr>
        <w:t>»</w:t>
      </w:r>
      <w:r w:rsidR="00217AB4" w:rsidRPr="003F3B94">
        <w:rPr>
          <w:rFonts w:ascii="Abo-thar" w:hAnsi="Abo-thar" w:hint="cs"/>
          <w:sz w:val="28"/>
          <w:rtl/>
          <w:lang w:bidi="ar-SY"/>
        </w:rPr>
        <w:t>.</w:t>
      </w:r>
      <w:r w:rsidR="005C664D" w:rsidRPr="003F3B94">
        <w:rPr>
          <w:rFonts w:ascii="Abo-thar" w:hAnsi="Abo-thar" w:hint="cs"/>
          <w:sz w:val="28"/>
          <w:rtl/>
          <w:lang w:bidi="ar-SY"/>
        </w:rPr>
        <w:t xml:space="preserve"> </w:t>
      </w:r>
    </w:p>
    <w:p w:rsidR="005C664D" w:rsidRPr="003F3B94" w:rsidRDefault="005C664D" w:rsidP="003F3B94">
      <w:pPr>
        <w:pStyle w:val="a0"/>
        <w:rPr>
          <w:rFonts w:hint="cs"/>
          <w:rtl/>
          <w:lang w:bidi="ar-SY"/>
        </w:rPr>
      </w:pPr>
      <w:r w:rsidRPr="003F3B94">
        <w:rPr>
          <w:rFonts w:ascii="Abo-thar" w:hAnsi="Abo-thar" w:hint="cs"/>
          <w:sz w:val="28"/>
          <w:rtl/>
          <w:lang w:bidi="ar-SY"/>
        </w:rPr>
        <w:t>جاء في كتب السير والتواريخ أن رسول الله</w:t>
      </w:r>
      <w:r w:rsidR="00147857" w:rsidRPr="003F3B94">
        <w:rPr>
          <w:rFonts w:ascii="Abo-thar" w:hAnsi="Abo-thar" w:hint="cs"/>
          <w:sz w:val="28"/>
          <w:rtl/>
          <w:lang w:bidi="ar-SY"/>
        </w:rPr>
        <w:t xml:space="preserve"> </w:t>
      </w:r>
      <w:r w:rsidR="003C7AEB" w:rsidRPr="003C7AEB">
        <w:rPr>
          <w:rFonts w:ascii="Abo-thar" w:hAnsi="Abo-thar" w:cs="CTraditional Arabic" w:hint="cs"/>
          <w:sz w:val="28"/>
          <w:rtl/>
          <w:lang w:bidi="ar-SY"/>
        </w:rPr>
        <w:t>ص</w:t>
      </w:r>
      <w:r w:rsidR="00147857" w:rsidRPr="003F3B94">
        <w:rPr>
          <w:rFonts w:ascii="Abo-thar" w:hAnsi="Abo-thar" w:hint="cs"/>
          <w:sz w:val="28"/>
          <w:rtl/>
          <w:lang w:bidi="ar-SY"/>
        </w:rPr>
        <w:t xml:space="preserve"> </w:t>
      </w:r>
      <w:r w:rsidRPr="003F3B94">
        <w:rPr>
          <w:rFonts w:ascii="Abo-thar" w:hAnsi="Abo-thar" w:hint="cs"/>
          <w:sz w:val="28"/>
          <w:rtl/>
          <w:lang w:bidi="ar-SY"/>
        </w:rPr>
        <w:t>حصل بعد فتح مكة وغزوة حنين سنة 8 للهجرة على غنائم بلغت أربعين ألف رأس غنم وأربعة وعشرين ألف رأس جمل وعدة آلاف أوقيات من الفضة فأعطى أكثرها لسهم المؤلفة قلوبهم بما في ذلك إعطائه أبي سفيان مائة ناقة وإعطائه يزيد بن أبي سفيان مائة ناقة أيضاً وإعطائه معاوية بن أبي سفيان مائة ناقة كذلك</w:t>
      </w:r>
      <w:r w:rsidR="00217AB4" w:rsidRPr="003F3B94">
        <w:rPr>
          <w:rFonts w:ascii="Abo-thar" w:hAnsi="Abo-thar" w:hint="cs"/>
          <w:sz w:val="28"/>
          <w:rtl/>
          <w:lang w:bidi="ar-SY"/>
        </w:rPr>
        <w:t>.</w:t>
      </w:r>
      <w:r w:rsidRPr="003F3B94">
        <w:rPr>
          <w:rFonts w:ascii="Abo-thar" w:hAnsi="Abo-thar" w:hint="cs"/>
          <w:sz w:val="28"/>
          <w:rtl/>
          <w:lang w:bidi="ar-SY"/>
        </w:rPr>
        <w:t xml:space="preserve"> وجاء في صحيح البخاري</w:t>
      </w:r>
      <w:r w:rsidR="00217AB4" w:rsidRPr="003F3B94">
        <w:rPr>
          <w:rFonts w:ascii="Abo-thar" w:hAnsi="Abo-thar" w:hint="cs"/>
          <w:sz w:val="28"/>
          <w:rtl/>
          <w:lang w:bidi="ar-SY"/>
        </w:rPr>
        <w:t>:</w:t>
      </w:r>
      <w:r w:rsidRPr="003F3B94">
        <w:rPr>
          <w:rFonts w:ascii="Abo-thar" w:hAnsi="Abo-thar" w:hint="cs"/>
          <w:sz w:val="28"/>
          <w:rtl/>
          <w:lang w:bidi="ar-SY"/>
        </w:rPr>
        <w:t xml:space="preserve"> </w:t>
      </w:r>
      <w:r w:rsidR="00EF2588" w:rsidRPr="00CE7623">
        <w:rPr>
          <w:rFonts w:ascii="Abo-thar" w:hAnsi="Abo-thar" w:cs="KFGQPC Uthman Taha Naskh" w:hint="cs"/>
          <w:sz w:val="28"/>
          <w:rtl/>
          <w:lang w:bidi="ar-SY"/>
        </w:rPr>
        <w:t>«</w:t>
      </w:r>
      <w:r w:rsidRPr="00CE7623">
        <w:rPr>
          <w:rFonts w:ascii="Abo-thar" w:hAnsi="Abo-thar" w:cs="KFGQPC Uthman Taha Naskh"/>
          <w:b/>
          <w:bCs/>
          <w:sz w:val="28"/>
          <w:rtl/>
          <w:lang w:bidi="ar-SY"/>
        </w:rPr>
        <w:t>إِنِّى أُعْطِى قُرَيْشًا أَتَأَلَّفُهُمْ</w:t>
      </w:r>
      <w:r w:rsidR="00217AB4" w:rsidRPr="00CE7623">
        <w:rPr>
          <w:rFonts w:ascii="Abo-thar" w:hAnsi="Abo-thar" w:cs="KFGQPC Uthman Taha Naskh"/>
          <w:b/>
          <w:bCs/>
          <w:sz w:val="28"/>
          <w:rtl/>
          <w:lang w:bidi="ar-SY"/>
        </w:rPr>
        <w:t>،</w:t>
      </w:r>
      <w:r w:rsidRPr="00CE7623">
        <w:rPr>
          <w:rFonts w:ascii="Abo-thar" w:hAnsi="Abo-thar" w:cs="KFGQPC Uthman Taha Naskh"/>
          <w:b/>
          <w:bCs/>
          <w:sz w:val="28"/>
          <w:rtl/>
          <w:lang w:bidi="ar-SY"/>
        </w:rPr>
        <w:t xml:space="preserve"> لأَنَّهُمْ حَدِيثُ عَهْدٍ بِجَاهِلِيَّةٍ</w:t>
      </w:r>
      <w:r w:rsidR="00EF2588" w:rsidRPr="00CE7623">
        <w:rPr>
          <w:rFonts w:ascii="Abo-thar" w:hAnsi="Abo-thar" w:cs="KFGQPC Uthman Taha Naskh" w:hint="cs"/>
          <w:sz w:val="28"/>
          <w:rtl/>
          <w:lang w:bidi="ar-SY"/>
        </w:rPr>
        <w:t>»</w:t>
      </w:r>
      <w:r w:rsidR="00661684" w:rsidRPr="0021507A">
        <w:rPr>
          <w:rFonts w:cs="Arabic11 BT"/>
          <w:b/>
          <w:sz w:val="28"/>
          <w:vertAlign w:val="superscript"/>
          <w:rtl/>
          <w:lang w:bidi="ar-SY"/>
        </w:rPr>
        <w:t>(</w:t>
      </w:r>
      <w:r w:rsidR="00661684" w:rsidRPr="0021507A">
        <w:rPr>
          <w:rStyle w:val="FootnoteReference"/>
          <w:rFonts w:cs="Arabic11 BT"/>
          <w:b/>
          <w:sz w:val="28"/>
          <w:rtl/>
          <w:lang w:bidi="ar-SY"/>
        </w:rPr>
        <w:footnoteReference w:id="97"/>
      </w:r>
      <w:r w:rsidR="00661684" w:rsidRPr="0021507A">
        <w:rPr>
          <w:rFonts w:cs="Arabic11 BT"/>
          <w:b/>
          <w:sz w:val="28"/>
          <w:vertAlign w:val="superscript"/>
          <w:rtl/>
          <w:lang w:bidi="ar-SY"/>
        </w:rPr>
        <w:t>)</w:t>
      </w:r>
      <w:r w:rsidR="00217AB4" w:rsidRPr="003F3B94">
        <w:rPr>
          <w:rFonts w:ascii="Abo-thar" w:hAnsi="Abo-thar" w:hint="cs"/>
          <w:sz w:val="28"/>
          <w:rtl/>
          <w:lang w:bidi="ar-SY"/>
        </w:rPr>
        <w:t>.</w:t>
      </w:r>
      <w:r w:rsidRPr="003F3B94">
        <w:rPr>
          <w:rFonts w:ascii="Abo-thar" w:hAnsi="Abo-thar" w:hint="cs"/>
          <w:sz w:val="28"/>
          <w:rtl/>
          <w:lang w:bidi="ar-SY"/>
        </w:rPr>
        <w:t xml:space="preserve"> </w:t>
      </w:r>
    </w:p>
    <w:p w:rsidR="005C664D" w:rsidRPr="003F3B94" w:rsidRDefault="005C664D" w:rsidP="003F3B94">
      <w:pPr>
        <w:pStyle w:val="a0"/>
        <w:rPr>
          <w:rFonts w:hint="cs"/>
          <w:rtl/>
          <w:lang w:bidi="ar-SY"/>
        </w:rPr>
      </w:pPr>
      <w:r w:rsidRPr="003F3B94">
        <w:rPr>
          <w:rFonts w:ascii="Abo-thar" w:hAnsi="Abo-thar" w:hint="cs"/>
          <w:sz w:val="28"/>
          <w:rtl/>
          <w:lang w:bidi="ar-SY"/>
        </w:rPr>
        <w:t>وقد اغتم المهاجرون والأنصار الذين كانوا يشكلون النواة المركزية للإسلام وحزَّ في أنفسهم ما قام به النبي</w:t>
      </w:r>
      <w:r w:rsidR="00147857" w:rsidRPr="003F3B94">
        <w:rPr>
          <w:rFonts w:ascii="Abo-thar" w:hAnsi="Abo-thar" w:hint="cs"/>
          <w:sz w:val="28"/>
          <w:rtl/>
          <w:lang w:bidi="ar-SY"/>
        </w:rPr>
        <w:t xml:space="preserve"> </w:t>
      </w:r>
      <w:r w:rsidR="003C7AEB" w:rsidRPr="003C7AEB">
        <w:rPr>
          <w:rFonts w:ascii="Abo-thar" w:hAnsi="Abo-thar" w:cs="CTraditional Arabic" w:hint="cs"/>
          <w:sz w:val="28"/>
          <w:rtl/>
          <w:lang w:bidi="ar-SY"/>
        </w:rPr>
        <w:t>ص</w:t>
      </w:r>
      <w:r w:rsidR="00147857" w:rsidRPr="003F3B94">
        <w:rPr>
          <w:rFonts w:ascii="Abo-thar" w:hAnsi="Abo-thar" w:hint="cs"/>
          <w:sz w:val="28"/>
          <w:rtl/>
          <w:lang w:bidi="ar-SY"/>
        </w:rPr>
        <w:t xml:space="preserve"> </w:t>
      </w:r>
      <w:r w:rsidRPr="003F3B94">
        <w:rPr>
          <w:rFonts w:ascii="Abo-thar" w:hAnsi="Abo-thar" w:hint="cs"/>
          <w:sz w:val="28"/>
          <w:rtl/>
          <w:lang w:bidi="ar-SY"/>
        </w:rPr>
        <w:t xml:space="preserve">وقال قائلهم </w:t>
      </w:r>
      <w:r w:rsidR="00217AB4" w:rsidRPr="003F3B94">
        <w:rPr>
          <w:rFonts w:ascii="Abo-thar" w:hAnsi="Abo-thar"/>
          <w:sz w:val="28"/>
          <w:rtl/>
          <w:lang w:bidi="ar-SY"/>
        </w:rPr>
        <w:t>(</w:t>
      </w:r>
      <w:r w:rsidRPr="003F3B94">
        <w:rPr>
          <w:rFonts w:ascii="Abo-thar" w:hAnsi="Abo-thar"/>
          <w:b/>
          <w:bCs/>
          <w:sz w:val="28"/>
          <w:rtl/>
          <w:lang w:bidi="ar-SY"/>
        </w:rPr>
        <w:t>والله إن هذا لهو العجب إن سيوفنا تقطر من دماء قريش وغنائمنا ترد عليهم</w:t>
      </w:r>
      <w:r w:rsidR="00217AB4" w:rsidRPr="003F3B94">
        <w:rPr>
          <w:rFonts w:ascii="Abo-thar" w:hAnsi="Abo-thar"/>
          <w:sz w:val="28"/>
          <w:rtl/>
          <w:lang w:bidi="ar-SY"/>
        </w:rPr>
        <w:t>)</w:t>
      </w:r>
      <w:r w:rsidR="00217AB4" w:rsidRPr="003F3B94">
        <w:rPr>
          <w:rFonts w:ascii="Abo-thar" w:hAnsi="Abo-thar" w:hint="cs"/>
          <w:sz w:val="28"/>
          <w:rtl/>
          <w:lang w:bidi="ar-SY"/>
        </w:rPr>
        <w:t>!!</w:t>
      </w:r>
      <w:r w:rsidRPr="003F3B94">
        <w:rPr>
          <w:rFonts w:ascii="Abo-thar" w:hAnsi="Abo-thar" w:hint="cs"/>
          <w:sz w:val="28"/>
          <w:rtl/>
          <w:lang w:bidi="ar-SY"/>
        </w:rPr>
        <w:t xml:space="preserve"> </w:t>
      </w:r>
      <w:r w:rsidR="00661684" w:rsidRPr="003F3B94">
        <w:rPr>
          <w:rFonts w:ascii="Abo-thar" w:hAnsi="Abo-thar" w:hint="cs"/>
          <w:sz w:val="28"/>
          <w:rtl/>
          <w:lang w:bidi="ar-SY"/>
        </w:rPr>
        <w:t>ف</w:t>
      </w:r>
      <w:r w:rsidRPr="003F3B94">
        <w:rPr>
          <w:rFonts w:ascii="Abo-thar" w:hAnsi="Abo-thar" w:hint="cs"/>
          <w:sz w:val="28"/>
          <w:rtl/>
          <w:lang w:bidi="ar-SY"/>
        </w:rPr>
        <w:t>سمع بذلك رسول الله</w:t>
      </w:r>
      <w:r w:rsidR="00147857" w:rsidRPr="003F3B94">
        <w:rPr>
          <w:rFonts w:ascii="Abo-thar" w:hAnsi="Abo-thar" w:hint="cs"/>
          <w:sz w:val="28"/>
          <w:rtl/>
          <w:lang w:bidi="ar-SY"/>
        </w:rPr>
        <w:t xml:space="preserve"> </w:t>
      </w:r>
      <w:r w:rsidR="003C7AEB" w:rsidRPr="003C7AEB">
        <w:rPr>
          <w:rFonts w:ascii="Abo-thar" w:hAnsi="Abo-thar" w:cs="CTraditional Arabic"/>
          <w:sz w:val="28"/>
          <w:rtl/>
          <w:lang w:bidi="ar-SY"/>
        </w:rPr>
        <w:t>ص</w:t>
      </w:r>
      <w:r w:rsidR="00147857" w:rsidRPr="003F3B94">
        <w:rPr>
          <w:rFonts w:ascii="Abo-thar" w:hAnsi="Abo-thar"/>
          <w:sz w:val="28"/>
          <w:rtl/>
          <w:lang w:bidi="ar-SY"/>
        </w:rPr>
        <w:t xml:space="preserve"> </w:t>
      </w:r>
      <w:r w:rsidRPr="003F3B94">
        <w:rPr>
          <w:rFonts w:ascii="Abo-thar" w:hAnsi="Abo-thar" w:hint="cs"/>
          <w:sz w:val="28"/>
          <w:rtl/>
          <w:lang w:bidi="ar-SY"/>
        </w:rPr>
        <w:t>فأحضرهم وسألهم</w:t>
      </w:r>
      <w:r w:rsidR="00217AB4" w:rsidRPr="003F3B94">
        <w:rPr>
          <w:rFonts w:ascii="Abo-thar" w:hAnsi="Abo-thar" w:hint="cs"/>
          <w:sz w:val="28"/>
          <w:rtl/>
          <w:lang w:bidi="ar-SY"/>
        </w:rPr>
        <w:t>:</w:t>
      </w:r>
      <w:r w:rsidRPr="003F3B94">
        <w:rPr>
          <w:rFonts w:ascii="Abo-thar" w:hAnsi="Abo-thar" w:hint="cs"/>
          <w:sz w:val="28"/>
          <w:rtl/>
          <w:lang w:bidi="ar-SY"/>
        </w:rPr>
        <w:t xml:space="preserve"> </w:t>
      </w:r>
      <w:r w:rsidR="00217AB4" w:rsidRPr="003F3B94">
        <w:rPr>
          <w:rFonts w:ascii="Abo-thar" w:hAnsi="Abo-thar"/>
          <w:sz w:val="28"/>
          <w:rtl/>
          <w:lang w:bidi="ar-SY"/>
        </w:rPr>
        <w:t>(</w:t>
      </w:r>
      <w:r w:rsidRPr="003F3B94">
        <w:rPr>
          <w:rFonts w:ascii="Abo-thar" w:hAnsi="Abo-thar"/>
          <w:sz w:val="28"/>
          <w:rtl/>
          <w:lang w:bidi="ar-SY"/>
        </w:rPr>
        <w:t>ما الذي بلغني عنكم</w:t>
      </w:r>
      <w:r w:rsidR="00217AB4" w:rsidRPr="003F3B94">
        <w:rPr>
          <w:rFonts w:ascii="Abo-thar" w:hAnsi="Abo-thar"/>
          <w:sz w:val="28"/>
          <w:rtl/>
          <w:lang w:bidi="ar-SY"/>
        </w:rPr>
        <w:t>؟)</w:t>
      </w:r>
      <w:r w:rsidRPr="003F3B94">
        <w:rPr>
          <w:rFonts w:ascii="Abo-thar" w:hAnsi="Abo-thar"/>
          <w:sz w:val="28"/>
          <w:rtl/>
          <w:lang w:bidi="ar-SY"/>
        </w:rPr>
        <w:t xml:space="preserve"> وكانوا لا يكذبون</w:t>
      </w:r>
      <w:r w:rsidR="00217AB4" w:rsidRPr="003F3B94">
        <w:rPr>
          <w:rFonts w:ascii="Abo-thar" w:hAnsi="Abo-thar"/>
          <w:sz w:val="28"/>
          <w:rtl/>
          <w:lang w:bidi="ar-SY"/>
        </w:rPr>
        <w:t>،</w:t>
      </w:r>
      <w:r w:rsidRPr="003F3B94">
        <w:rPr>
          <w:rFonts w:ascii="Abo-thar" w:hAnsi="Abo-thar"/>
          <w:sz w:val="28"/>
          <w:rtl/>
          <w:lang w:bidi="ar-SY"/>
        </w:rPr>
        <w:t xml:space="preserve"> فقالوا</w:t>
      </w:r>
      <w:r w:rsidR="00217AB4" w:rsidRPr="003F3B94">
        <w:rPr>
          <w:rFonts w:ascii="Abo-thar" w:hAnsi="Abo-thar"/>
          <w:sz w:val="28"/>
          <w:rtl/>
          <w:lang w:bidi="ar-SY"/>
        </w:rPr>
        <w:t>:</w:t>
      </w:r>
      <w:r w:rsidRPr="003F3B94">
        <w:rPr>
          <w:rFonts w:ascii="Abo-thar" w:hAnsi="Abo-thar"/>
          <w:sz w:val="28"/>
          <w:rtl/>
          <w:lang w:bidi="ar-SY"/>
        </w:rPr>
        <w:t xml:space="preserve"> </w:t>
      </w:r>
      <w:r w:rsidR="00217AB4" w:rsidRPr="003F3B94">
        <w:rPr>
          <w:rFonts w:ascii="Abo-thar" w:hAnsi="Abo-thar"/>
          <w:sz w:val="28"/>
          <w:rtl/>
          <w:lang w:bidi="ar-SY"/>
        </w:rPr>
        <w:t>(</w:t>
      </w:r>
      <w:r w:rsidRPr="003F3B94">
        <w:rPr>
          <w:rFonts w:ascii="Abo-thar" w:hAnsi="Abo-thar"/>
          <w:sz w:val="28"/>
          <w:rtl/>
          <w:lang w:bidi="ar-SY"/>
        </w:rPr>
        <w:t>هو الذي بلغك</w:t>
      </w:r>
      <w:r w:rsidR="00217AB4" w:rsidRPr="003F3B94">
        <w:rPr>
          <w:rFonts w:ascii="Abo-thar" w:hAnsi="Abo-thar"/>
          <w:sz w:val="28"/>
          <w:rtl/>
          <w:lang w:bidi="ar-SY"/>
        </w:rPr>
        <w:t>).</w:t>
      </w:r>
      <w:r w:rsidRPr="003F3B94">
        <w:rPr>
          <w:rFonts w:ascii="Abo-thar" w:hAnsi="Abo-thar" w:hint="cs"/>
          <w:sz w:val="28"/>
          <w:rtl/>
          <w:lang w:bidi="ar-SY"/>
        </w:rPr>
        <w:t xml:space="preserve"> فقال لهم</w:t>
      </w:r>
      <w:r w:rsidR="00147857" w:rsidRPr="003F3B94">
        <w:rPr>
          <w:rFonts w:ascii="Abo-thar" w:hAnsi="Abo-thar" w:hint="cs"/>
          <w:sz w:val="28"/>
          <w:rtl/>
          <w:lang w:bidi="ar-SY"/>
        </w:rPr>
        <w:t xml:space="preserve"> </w:t>
      </w:r>
      <w:r w:rsidR="003C7AEB" w:rsidRPr="003C7AEB">
        <w:rPr>
          <w:rFonts w:ascii="Abo-thar" w:hAnsi="Abo-thar" w:cs="CTraditional Arabic"/>
          <w:sz w:val="28"/>
          <w:rtl/>
          <w:lang w:bidi="ar-SY"/>
        </w:rPr>
        <w:t>ص</w:t>
      </w:r>
      <w:r w:rsidR="00217AB4" w:rsidRPr="003F3B94">
        <w:rPr>
          <w:rFonts w:ascii="Abo-thar" w:hAnsi="Abo-thar"/>
          <w:sz w:val="28"/>
          <w:rtl/>
          <w:lang w:bidi="ar-SY"/>
        </w:rPr>
        <w:t>:</w:t>
      </w:r>
      <w:r w:rsidRPr="003F3B94">
        <w:rPr>
          <w:rFonts w:ascii="Abo-thar" w:hAnsi="Abo-thar" w:hint="cs"/>
          <w:sz w:val="28"/>
          <w:rtl/>
          <w:lang w:bidi="ar-SY"/>
        </w:rPr>
        <w:t xml:space="preserve"> </w:t>
      </w:r>
      <w:r w:rsidR="00EF2588" w:rsidRPr="00CE7623">
        <w:rPr>
          <w:rFonts w:ascii="Abo-thar" w:hAnsi="Abo-thar" w:cs="KFGQPC Uthman Taha Naskh" w:hint="cs"/>
          <w:sz w:val="28"/>
          <w:rtl/>
          <w:lang w:bidi="ar-SY"/>
        </w:rPr>
        <w:t>«</w:t>
      </w:r>
      <w:r w:rsidRPr="00CE7623">
        <w:rPr>
          <w:rFonts w:ascii="Abo-thar" w:hAnsi="Abo-thar" w:cs="KFGQPC Uthman Taha Naskh"/>
          <w:b/>
          <w:bCs/>
          <w:sz w:val="28"/>
          <w:rtl/>
          <w:lang w:bidi="ar-SY"/>
        </w:rPr>
        <w:t>أَوَجَدْتُمْ يَا مَعْشَرَ الْأَنْصَارِ فِي أَنْفُسِكُمْ فِي لُعَاعَةٍ مِنْ الدّنْيَا تَأَلّفْت بِهَا قَوْمًا لِيُسْلِمُوا</w:t>
      </w:r>
      <w:r w:rsidR="00217AB4" w:rsidRPr="00CE7623">
        <w:rPr>
          <w:rFonts w:ascii="Abo-thar" w:hAnsi="Abo-thar" w:cs="KFGQPC Uthman Taha Naskh"/>
          <w:b/>
          <w:bCs/>
          <w:sz w:val="28"/>
          <w:rtl/>
          <w:lang w:bidi="ar-SY"/>
        </w:rPr>
        <w:t>.</w:t>
      </w:r>
      <w:r w:rsidRPr="00CE7623">
        <w:rPr>
          <w:rFonts w:ascii="Abo-thar" w:hAnsi="Abo-thar" w:cs="KFGQPC Uthman Taha Naskh"/>
          <w:b/>
          <w:bCs/>
          <w:sz w:val="28"/>
          <w:rtl/>
          <w:lang w:bidi="ar-SY"/>
        </w:rPr>
        <w:t xml:space="preserve"> وَوَكَلْتُكُمْ إلَى إسْلَامِكُمْ</w:t>
      </w:r>
      <w:r w:rsidR="00217AB4" w:rsidRPr="00CE7623">
        <w:rPr>
          <w:rFonts w:ascii="Abo-thar" w:hAnsi="Abo-thar" w:cs="KFGQPC Uthman Taha Naskh" w:hint="cs"/>
          <w:b/>
          <w:bCs/>
          <w:sz w:val="28"/>
          <w:rtl/>
          <w:lang w:bidi="ar-SY"/>
        </w:rPr>
        <w:t>؟؟</w:t>
      </w:r>
      <w:r w:rsidRPr="00CE7623">
        <w:rPr>
          <w:rFonts w:ascii="Abo-thar" w:hAnsi="Abo-thar" w:cs="KFGQPC Uthman Taha Naskh"/>
          <w:b/>
          <w:bCs/>
          <w:sz w:val="28"/>
          <w:rtl/>
          <w:lang w:bidi="ar-SY"/>
        </w:rPr>
        <w:t xml:space="preserve"> أَلَا تَرْضَوْنَ يَا مَعْشَرَ الْأَنْصَارِ أَنْ يَذْهَبَ النّاسُ بِالشّاةِ وَالْبَعِيرِ وَتَرْجِعُوا بِرَسُولِ اللّهِ إلَى رِحَالِكُمْ</w:t>
      </w:r>
      <w:r w:rsidR="00217AB4" w:rsidRPr="00CE7623">
        <w:rPr>
          <w:rFonts w:ascii="Abo-thar" w:hAnsi="Abo-thar" w:cs="KFGQPC Uthman Taha Naskh"/>
          <w:b/>
          <w:bCs/>
          <w:sz w:val="28"/>
          <w:rtl/>
          <w:lang w:bidi="ar-SY"/>
        </w:rPr>
        <w:t>؟</w:t>
      </w:r>
      <w:r w:rsidR="00217AB4" w:rsidRPr="00CE7623">
        <w:rPr>
          <w:rFonts w:ascii="Abo-thar" w:hAnsi="Abo-thar" w:cs="KFGQPC Uthman Taha Naskh" w:hint="cs"/>
          <w:sz w:val="28"/>
          <w:rtl/>
          <w:lang w:bidi="ar-SY"/>
        </w:rPr>
        <w:t>...</w:t>
      </w:r>
      <w:r w:rsidR="00EF2588" w:rsidRPr="00CE7623">
        <w:rPr>
          <w:rFonts w:ascii="Abo-thar" w:hAnsi="Abo-thar" w:cs="KFGQPC Uthman Taha Naskh" w:hint="cs"/>
          <w:sz w:val="28"/>
          <w:rtl/>
          <w:lang w:bidi="ar-SY"/>
        </w:rPr>
        <w:t>»</w:t>
      </w:r>
      <w:r w:rsidR="00217AB4" w:rsidRPr="0021507A">
        <w:rPr>
          <w:rFonts w:cs="Arabic11 BT"/>
          <w:b/>
          <w:sz w:val="28"/>
          <w:vertAlign w:val="superscript"/>
          <w:rtl/>
          <w:lang w:bidi="ar-SY"/>
        </w:rPr>
        <w:t>(</w:t>
      </w:r>
      <w:r w:rsidRPr="0021507A">
        <w:rPr>
          <w:rStyle w:val="FootnoteReference"/>
          <w:rFonts w:cs="Arabic11 BT"/>
          <w:b/>
          <w:sz w:val="28"/>
          <w:rtl/>
          <w:lang w:bidi="ar-SY"/>
        </w:rPr>
        <w:footnoteReference w:id="98"/>
      </w:r>
      <w:r w:rsidR="00217AB4" w:rsidRPr="0021507A">
        <w:rPr>
          <w:rFonts w:cs="Arabic11 BT"/>
          <w:b/>
          <w:sz w:val="28"/>
          <w:vertAlign w:val="superscript"/>
          <w:rtl/>
          <w:lang w:bidi="ar-SY"/>
        </w:rPr>
        <w:t>)</w:t>
      </w:r>
      <w:r w:rsidR="00217AB4" w:rsidRPr="003F3B94">
        <w:rPr>
          <w:sz w:val="28"/>
          <w:rtl/>
          <w:lang w:bidi="ar-SY"/>
        </w:rPr>
        <w:t>.</w:t>
      </w:r>
    </w:p>
    <w:p w:rsidR="005C664D" w:rsidRPr="003F3B94" w:rsidRDefault="005C664D" w:rsidP="00973E5A">
      <w:pPr>
        <w:pStyle w:val="a0"/>
        <w:rPr>
          <w:rFonts w:hint="cs"/>
          <w:rtl/>
          <w:lang w:bidi="ar-SY"/>
        </w:rPr>
      </w:pPr>
      <w:r w:rsidRPr="003F3B94">
        <w:rPr>
          <w:rFonts w:ascii="Abo-thar" w:hAnsi="Abo-thar" w:hint="cs"/>
          <w:sz w:val="28"/>
          <w:rtl/>
          <w:lang w:bidi="ar-SY"/>
        </w:rPr>
        <w:t xml:space="preserve">قال </w:t>
      </w:r>
      <w:r w:rsidRPr="003F3B94">
        <w:rPr>
          <w:rFonts w:ascii="Abo-thar" w:hAnsi="Abo-thar" w:hint="eastAsia"/>
          <w:sz w:val="28"/>
          <w:rtl/>
          <w:lang w:bidi="ar-SY"/>
        </w:rPr>
        <w:t>«</w:t>
      </w:r>
      <w:r w:rsidRPr="003F3B94">
        <w:rPr>
          <w:rFonts w:ascii="Abo-thar" w:hAnsi="Abo-thar" w:hint="cs"/>
          <w:sz w:val="28"/>
          <w:rtl/>
          <w:lang w:bidi="ar-SY"/>
        </w:rPr>
        <w:t>جرجي زيدان</w:t>
      </w:r>
      <w:r w:rsidRPr="003F3B94">
        <w:rPr>
          <w:rFonts w:ascii="Abo-thar" w:hAnsi="Abo-thar" w:hint="eastAsia"/>
          <w:sz w:val="28"/>
          <w:rtl/>
          <w:lang w:bidi="ar-SY"/>
        </w:rPr>
        <w:t>»</w:t>
      </w:r>
      <w:r w:rsidRPr="003F3B94">
        <w:rPr>
          <w:rFonts w:ascii="Abo-thar" w:hAnsi="Abo-thar" w:hint="cs"/>
          <w:sz w:val="28"/>
          <w:rtl/>
          <w:lang w:bidi="ar-SY"/>
        </w:rPr>
        <w:t xml:space="preserve"> النصراني في كتابه القيم </w:t>
      </w:r>
      <w:r w:rsidRPr="003F3B94">
        <w:rPr>
          <w:rFonts w:ascii="Abo-thar" w:hAnsi="Abo-thar" w:hint="eastAsia"/>
          <w:sz w:val="28"/>
          <w:rtl/>
          <w:lang w:bidi="ar-SY"/>
        </w:rPr>
        <w:t>«</w:t>
      </w:r>
      <w:r w:rsidRPr="003F3B94">
        <w:rPr>
          <w:rFonts w:ascii="Abo-thar" w:hAnsi="Abo-thar" w:hint="cs"/>
          <w:sz w:val="28"/>
          <w:rtl/>
          <w:lang w:bidi="ar-SY"/>
        </w:rPr>
        <w:t>تاريخ التمدن الإسلامي</w:t>
      </w:r>
      <w:r w:rsidRPr="003F3B94">
        <w:rPr>
          <w:rFonts w:ascii="Abo-thar" w:hAnsi="Abo-thar" w:hint="eastAsia"/>
          <w:sz w:val="28"/>
          <w:rtl/>
          <w:lang w:bidi="ar-SY"/>
        </w:rPr>
        <w:t>»</w:t>
      </w:r>
      <w:r w:rsidRPr="003F3B94">
        <w:rPr>
          <w:rFonts w:ascii="Abo-thar" w:hAnsi="Abo-thar" w:hint="cs"/>
          <w:sz w:val="28"/>
          <w:rtl/>
          <w:lang w:bidi="ar-SY"/>
        </w:rPr>
        <w:t xml:space="preserve"> حول موضوع غنائم معركة بدر</w:t>
      </w:r>
      <w:r w:rsidR="00217AB4" w:rsidRPr="003F3B94">
        <w:rPr>
          <w:rFonts w:ascii="Abo-thar" w:hAnsi="Abo-thar" w:hint="cs"/>
          <w:sz w:val="28"/>
          <w:rtl/>
          <w:lang w:bidi="ar-SY"/>
        </w:rPr>
        <w:t>:</w:t>
      </w:r>
      <w:r w:rsidRPr="003F3B94">
        <w:rPr>
          <w:rFonts w:ascii="Abo-thar" w:hAnsi="Abo-thar" w:hint="cs"/>
          <w:sz w:val="28"/>
          <w:rtl/>
          <w:lang w:bidi="ar-SY"/>
        </w:rPr>
        <w:t xml:space="preserve"> </w:t>
      </w:r>
      <w:r w:rsidR="00EF2588" w:rsidRPr="003F3B94">
        <w:rPr>
          <w:rFonts w:ascii="Abo-thar" w:hAnsi="Abo-thar" w:hint="cs"/>
          <w:sz w:val="28"/>
          <w:rtl/>
          <w:lang w:bidi="ar-SY"/>
        </w:rPr>
        <w:t>«</w:t>
      </w:r>
      <w:r w:rsidRPr="003F3B94">
        <w:rPr>
          <w:rFonts w:ascii="Abo-thar" w:hAnsi="Abo-thar" w:hint="cs"/>
          <w:sz w:val="28"/>
          <w:rtl/>
          <w:lang w:bidi="ar-SY"/>
        </w:rPr>
        <w:t>كاد يقع نزاع بين المسلمين حول تقسيم الأموال لكن النبي</w:t>
      </w:r>
      <w:r w:rsidR="00147857" w:rsidRPr="003F3B94">
        <w:rPr>
          <w:rFonts w:ascii="Abo-thar" w:hAnsi="Abo-thar" w:hint="cs"/>
          <w:sz w:val="28"/>
          <w:rtl/>
          <w:lang w:bidi="ar-SY"/>
        </w:rPr>
        <w:t xml:space="preserve"> </w:t>
      </w:r>
      <w:r w:rsidR="00973E5A">
        <w:rPr>
          <w:rFonts w:ascii="Abo-thar" w:hAnsi="Abo-thar" w:hint="cs"/>
          <w:sz w:val="28"/>
          <w:rtl/>
          <w:lang w:bidi="ar-SY"/>
        </w:rPr>
        <w:t>[</w:t>
      </w:r>
      <w:r w:rsidR="003C7AEB" w:rsidRPr="003C7AEB">
        <w:rPr>
          <w:rFonts w:ascii="Abo-thar" w:hAnsi="Abo-thar" w:cs="CTraditional Arabic"/>
          <w:sz w:val="28"/>
          <w:rtl/>
          <w:lang w:bidi="ar-SY"/>
        </w:rPr>
        <w:t>ص</w:t>
      </w:r>
      <w:r w:rsidR="00973E5A">
        <w:rPr>
          <w:rFonts w:ascii="Abo-thar" w:hAnsi="Abo-thar" w:hint="cs"/>
          <w:sz w:val="28"/>
          <w:rtl/>
          <w:lang w:bidi="ar-SY"/>
        </w:rPr>
        <w:t>]</w:t>
      </w:r>
      <w:r w:rsidR="00147857" w:rsidRPr="003F3B94">
        <w:rPr>
          <w:rFonts w:ascii="Abo-thar" w:hAnsi="Abo-thar"/>
          <w:sz w:val="28"/>
          <w:rtl/>
          <w:lang w:bidi="ar-SY"/>
        </w:rPr>
        <w:t xml:space="preserve"> </w:t>
      </w:r>
      <w:r w:rsidRPr="003F3B94">
        <w:rPr>
          <w:rFonts w:ascii="Abo-thar" w:hAnsi="Abo-thar" w:hint="cs"/>
          <w:sz w:val="28"/>
          <w:rtl/>
          <w:lang w:bidi="ar-SY"/>
        </w:rPr>
        <w:t>قسَّمَها بينهم تقسيماً عادلاً ولم يأخذ لنفسه شيئاً منها ومنع بتدبيره هذا التنازع بين المسلمين</w:t>
      </w:r>
      <w:r w:rsidR="00EF2588" w:rsidRPr="003F3B94">
        <w:rPr>
          <w:rFonts w:ascii="Abo-thar" w:hAnsi="Abo-thar" w:hint="cs"/>
          <w:sz w:val="28"/>
          <w:rtl/>
          <w:lang w:bidi="ar-SY"/>
        </w:rPr>
        <w:t>»</w:t>
      </w:r>
      <w:r w:rsidR="00661684" w:rsidRPr="0021507A">
        <w:rPr>
          <w:rFonts w:cs="Arabic11 BT"/>
          <w:b/>
          <w:sz w:val="28"/>
          <w:vertAlign w:val="superscript"/>
          <w:rtl/>
          <w:lang w:bidi="ar-SY"/>
        </w:rPr>
        <w:t>(</w:t>
      </w:r>
      <w:r w:rsidR="00661684" w:rsidRPr="0021507A">
        <w:rPr>
          <w:rStyle w:val="FootnoteReference"/>
          <w:rFonts w:cs="Arabic11 BT"/>
          <w:b/>
          <w:sz w:val="28"/>
          <w:rtl/>
          <w:lang w:bidi="ar-SY"/>
        </w:rPr>
        <w:footnoteReference w:id="99"/>
      </w:r>
      <w:r w:rsidR="00661684" w:rsidRPr="0021507A">
        <w:rPr>
          <w:rFonts w:cs="Arabic11 BT"/>
          <w:b/>
          <w:sz w:val="28"/>
          <w:vertAlign w:val="superscript"/>
          <w:rtl/>
          <w:lang w:bidi="ar-SY"/>
        </w:rPr>
        <w:t>)</w:t>
      </w:r>
      <w:r w:rsidR="00217AB4" w:rsidRPr="003F3B94">
        <w:rPr>
          <w:rFonts w:ascii="Abo-thar" w:hAnsi="Abo-thar" w:hint="cs"/>
          <w:sz w:val="28"/>
          <w:rtl/>
          <w:lang w:bidi="ar-SY"/>
        </w:rPr>
        <w:t>.</w:t>
      </w:r>
      <w:r w:rsidRPr="003F3B94">
        <w:rPr>
          <w:rFonts w:ascii="Abo-thar" w:hAnsi="Abo-thar" w:hint="cs"/>
          <w:sz w:val="28"/>
          <w:rtl/>
          <w:lang w:bidi="ar-SY"/>
        </w:rPr>
        <w:t xml:space="preserve"> </w:t>
      </w:r>
    </w:p>
    <w:p w:rsidR="005C664D" w:rsidRPr="00995B26" w:rsidRDefault="005C664D" w:rsidP="003F3B94">
      <w:pPr>
        <w:pStyle w:val="a0"/>
        <w:rPr>
          <w:rFonts w:hint="cs"/>
          <w:rtl/>
          <w:lang w:bidi="ar-SY"/>
        </w:rPr>
      </w:pPr>
      <w:r w:rsidRPr="003F3B94">
        <w:rPr>
          <w:rFonts w:ascii="Abo-thar" w:hAnsi="Abo-thar" w:hint="cs"/>
          <w:sz w:val="28"/>
          <w:rtl/>
          <w:lang w:bidi="ar-SY"/>
        </w:rPr>
        <w:t>والواقع إنه مما لا يُعْقَل ولا يمكن أن يُقْبَلَ أساساً أن يقوم النبيٌّ</w:t>
      </w:r>
      <w:r w:rsidR="00147857" w:rsidRPr="003F3B94">
        <w:rPr>
          <w:rFonts w:ascii="Abo-thar" w:hAnsi="Abo-thar" w:hint="cs"/>
          <w:sz w:val="28"/>
          <w:rtl/>
          <w:lang w:bidi="ar-SY"/>
        </w:rPr>
        <w:t xml:space="preserve"> </w:t>
      </w:r>
      <w:r w:rsidR="003C7AEB" w:rsidRPr="003C7AEB">
        <w:rPr>
          <w:rFonts w:ascii="Abo-thar" w:hAnsi="Abo-thar" w:cs="CTraditional Arabic"/>
          <w:sz w:val="28"/>
          <w:rtl/>
          <w:lang w:bidi="ar-SY"/>
        </w:rPr>
        <w:t>ص</w:t>
      </w:r>
      <w:r w:rsidR="00147857" w:rsidRPr="003F3B94">
        <w:rPr>
          <w:rFonts w:ascii="Abo-thar" w:hAnsi="Abo-thar"/>
          <w:sz w:val="28"/>
          <w:rtl/>
          <w:lang w:bidi="ar-SY"/>
        </w:rPr>
        <w:t xml:space="preserve"> </w:t>
      </w:r>
      <w:r w:rsidRPr="003F3B94">
        <w:rPr>
          <w:rFonts w:ascii="Abo-thar" w:hAnsi="Abo-thar" w:hint="cs"/>
          <w:sz w:val="28"/>
          <w:rtl/>
          <w:lang w:bidi="ar-SY"/>
        </w:rPr>
        <w:t>الذي كان شعاره منذ أول بعثته المباركة</w:t>
      </w:r>
      <w:r w:rsidR="00685363" w:rsidRPr="003F3B94">
        <w:rPr>
          <w:rFonts w:ascii="Abo-thar" w:hAnsi="Abo-thar" w:hint="cs"/>
          <w:sz w:val="28"/>
          <w:rtl/>
          <w:lang w:bidi="ar-SY"/>
        </w:rPr>
        <w:t xml:space="preserve"> </w:t>
      </w:r>
      <w:r w:rsidR="00685363" w:rsidRPr="00995B26">
        <w:rPr>
          <w:rFonts w:ascii="Abo-thar" w:hAnsi="Abo-thar" w:cs="Traditional Arabic" w:hint="cs"/>
          <w:sz w:val="28"/>
          <w:rtl/>
          <w:lang w:bidi="ar-SY"/>
        </w:rPr>
        <w:t>﴿</w:t>
      </w:r>
      <w:r w:rsidR="00685363" w:rsidRPr="0067048A">
        <w:rPr>
          <w:rStyle w:val="Char3"/>
          <w:rFonts w:hint="eastAsia"/>
          <w:rtl/>
        </w:rPr>
        <w:t>يَ</w:t>
      </w:r>
      <w:r w:rsidR="00685363" w:rsidRPr="0067048A">
        <w:rPr>
          <w:rStyle w:val="Char3"/>
          <w:rFonts w:hint="cs"/>
          <w:rtl/>
        </w:rPr>
        <w:t>ٰ</w:t>
      </w:r>
      <w:r w:rsidR="00685363" w:rsidRPr="0067048A">
        <w:rPr>
          <w:rStyle w:val="Char3"/>
          <w:rFonts w:hint="eastAsia"/>
          <w:rtl/>
        </w:rPr>
        <w:t>قَو</w:t>
      </w:r>
      <w:r w:rsidR="00685363" w:rsidRPr="0067048A">
        <w:rPr>
          <w:rStyle w:val="Char3"/>
          <w:rFonts w:hint="cs"/>
          <w:rtl/>
        </w:rPr>
        <w:t>ۡ</w:t>
      </w:r>
      <w:r w:rsidR="00685363" w:rsidRPr="0067048A">
        <w:rPr>
          <w:rStyle w:val="Char3"/>
          <w:rFonts w:hint="eastAsia"/>
          <w:rtl/>
        </w:rPr>
        <w:t>مِ</w:t>
      </w:r>
      <w:r w:rsidR="00685363" w:rsidRPr="0067048A">
        <w:rPr>
          <w:rStyle w:val="Char3"/>
          <w:rtl/>
        </w:rPr>
        <w:t xml:space="preserve"> </w:t>
      </w:r>
      <w:r w:rsidR="00685363" w:rsidRPr="0067048A">
        <w:rPr>
          <w:rStyle w:val="Char3"/>
          <w:rFonts w:hint="eastAsia"/>
          <w:rtl/>
        </w:rPr>
        <w:t>لَا</w:t>
      </w:r>
      <w:r w:rsidR="00685363" w:rsidRPr="0067048A">
        <w:rPr>
          <w:rStyle w:val="Char3"/>
          <w:rFonts w:hint="cs"/>
          <w:rtl/>
        </w:rPr>
        <w:t>ٓ</w:t>
      </w:r>
      <w:r w:rsidR="00685363" w:rsidRPr="0067048A">
        <w:rPr>
          <w:rStyle w:val="Char3"/>
          <w:rtl/>
        </w:rPr>
        <w:t xml:space="preserve"> </w:t>
      </w:r>
      <w:r w:rsidR="00685363" w:rsidRPr="0067048A">
        <w:rPr>
          <w:rStyle w:val="Char3"/>
          <w:rFonts w:hint="eastAsia"/>
          <w:rtl/>
        </w:rPr>
        <w:t>أَس</w:t>
      </w:r>
      <w:r w:rsidR="00685363" w:rsidRPr="0067048A">
        <w:rPr>
          <w:rStyle w:val="Char3"/>
          <w:rFonts w:hint="cs"/>
          <w:rtl/>
        </w:rPr>
        <w:t>ۡ</w:t>
      </w:r>
      <w:r w:rsidR="00685363" w:rsidRPr="0067048A">
        <w:rPr>
          <w:rStyle w:val="Char3"/>
          <w:rFonts w:hint="eastAsia"/>
          <w:rtl/>
        </w:rPr>
        <w:t>‍</w:t>
      </w:r>
      <w:r w:rsidR="00685363" w:rsidRPr="0067048A">
        <w:rPr>
          <w:rStyle w:val="Char3"/>
          <w:rFonts w:hint="cs"/>
          <w:rtl/>
        </w:rPr>
        <w:t>ٔ</w:t>
      </w:r>
      <w:r w:rsidR="00685363" w:rsidRPr="0067048A">
        <w:rPr>
          <w:rStyle w:val="Char3"/>
          <w:rFonts w:hint="eastAsia"/>
          <w:rtl/>
        </w:rPr>
        <w:t>َلُكُم</w:t>
      </w:r>
      <w:r w:rsidR="00685363" w:rsidRPr="0067048A">
        <w:rPr>
          <w:rStyle w:val="Char3"/>
          <w:rFonts w:hint="cs"/>
          <w:rtl/>
        </w:rPr>
        <w:t>ۡ</w:t>
      </w:r>
      <w:r w:rsidR="00685363" w:rsidRPr="0067048A">
        <w:rPr>
          <w:rStyle w:val="Char3"/>
          <w:rtl/>
        </w:rPr>
        <w:t xml:space="preserve"> </w:t>
      </w:r>
      <w:r w:rsidR="00685363" w:rsidRPr="0067048A">
        <w:rPr>
          <w:rStyle w:val="Char3"/>
          <w:rFonts w:hint="eastAsia"/>
          <w:rtl/>
        </w:rPr>
        <w:t>عَلَي</w:t>
      </w:r>
      <w:r w:rsidR="00685363" w:rsidRPr="0067048A">
        <w:rPr>
          <w:rStyle w:val="Char3"/>
          <w:rFonts w:hint="cs"/>
          <w:rtl/>
        </w:rPr>
        <w:t>ۡ</w:t>
      </w:r>
      <w:r w:rsidR="00685363" w:rsidRPr="0067048A">
        <w:rPr>
          <w:rStyle w:val="Char3"/>
          <w:rFonts w:hint="eastAsia"/>
          <w:rtl/>
        </w:rPr>
        <w:t>هِ</w:t>
      </w:r>
      <w:r w:rsidR="00685363" w:rsidRPr="0067048A">
        <w:rPr>
          <w:rStyle w:val="Char3"/>
          <w:rtl/>
        </w:rPr>
        <w:t xml:space="preserve"> </w:t>
      </w:r>
      <w:r w:rsidR="00685363" w:rsidRPr="0067048A">
        <w:rPr>
          <w:rStyle w:val="Char3"/>
          <w:rFonts w:hint="eastAsia"/>
          <w:rtl/>
        </w:rPr>
        <w:t>أَج</w:t>
      </w:r>
      <w:r w:rsidR="00685363" w:rsidRPr="0067048A">
        <w:rPr>
          <w:rStyle w:val="Char3"/>
          <w:rFonts w:hint="cs"/>
          <w:rtl/>
        </w:rPr>
        <w:t>ۡ</w:t>
      </w:r>
      <w:r w:rsidR="00685363" w:rsidRPr="0067048A">
        <w:rPr>
          <w:rStyle w:val="Char3"/>
          <w:rFonts w:hint="eastAsia"/>
          <w:rtl/>
        </w:rPr>
        <w:t>رًا</w:t>
      </w:r>
      <w:r w:rsidR="00685363" w:rsidRPr="00995B26">
        <w:rPr>
          <w:rFonts w:ascii="Abo-thar" w:hAnsi="Abo-thar" w:cs="Traditional Arabic" w:hint="cs"/>
          <w:sz w:val="28"/>
          <w:rtl/>
          <w:lang w:bidi="ar-SY"/>
        </w:rPr>
        <w:t>﴾</w:t>
      </w:r>
      <w:r w:rsidR="00685363" w:rsidRPr="00995B26">
        <w:rPr>
          <w:rFonts w:ascii="Abo-thar" w:hAnsi="Abo-thar" w:hint="cs"/>
          <w:sz w:val="28"/>
          <w:rtl/>
          <w:lang w:bidi="ar-SY"/>
        </w:rPr>
        <w:t xml:space="preserve"> </w:t>
      </w:r>
      <w:r w:rsidRPr="00995B26">
        <w:rPr>
          <w:rFonts w:ascii="Abo-thar" w:hAnsi="Abo-thar" w:hint="cs"/>
          <w:sz w:val="28"/>
          <w:rtl/>
          <w:lang w:bidi="ar-SY"/>
        </w:rPr>
        <w:t xml:space="preserve"> </w:t>
      </w:r>
      <w:r w:rsidRPr="003108CB">
        <w:rPr>
          <w:rStyle w:val="Char2"/>
          <w:rtl/>
        </w:rPr>
        <w:t>[هود</w:t>
      </w:r>
      <w:r w:rsidR="00685363" w:rsidRPr="003108CB">
        <w:rPr>
          <w:rStyle w:val="Char2"/>
          <w:rFonts w:hint="cs"/>
          <w:rtl/>
        </w:rPr>
        <w:t xml:space="preserve">: </w:t>
      </w:r>
      <w:r w:rsidRPr="003108CB">
        <w:rPr>
          <w:rStyle w:val="Char2"/>
          <w:rtl/>
        </w:rPr>
        <w:t>51]</w:t>
      </w:r>
      <w:r w:rsidR="00217AB4" w:rsidRPr="00995B26">
        <w:rPr>
          <w:rFonts w:ascii="Abo-thar" w:hAnsi="Abo-thar" w:hint="cs"/>
          <w:sz w:val="28"/>
          <w:rtl/>
          <w:lang w:bidi="ar-SY"/>
        </w:rPr>
        <w:t>.</w:t>
      </w:r>
      <w:r w:rsidRPr="00995B26">
        <w:rPr>
          <w:rFonts w:ascii="Abo-thar" w:hAnsi="Abo-thar" w:hint="cs"/>
          <w:sz w:val="28"/>
          <w:rtl/>
          <w:lang w:bidi="ar-SY"/>
        </w:rPr>
        <w:t xml:space="preserve"> وكان يحترز على الدوام ويحذر من أن يتهمه أحد بأنه قام برسالته سعياً لجلب المال والوصول للرئاسة</w:t>
      </w:r>
      <w:r w:rsidR="00217AB4" w:rsidRPr="00995B26">
        <w:rPr>
          <w:rFonts w:ascii="Abo-thar" w:hAnsi="Abo-thar" w:hint="cs"/>
          <w:sz w:val="28"/>
          <w:rtl/>
          <w:lang w:bidi="ar-SY"/>
        </w:rPr>
        <w:t>،</w:t>
      </w:r>
      <w:r w:rsidRPr="00995B26">
        <w:rPr>
          <w:rFonts w:ascii="Abo-thar" w:hAnsi="Abo-thar" w:hint="cs"/>
          <w:sz w:val="28"/>
          <w:rtl/>
          <w:lang w:bidi="ar-SY"/>
        </w:rPr>
        <w:t xml:space="preserve"> ثم عند أول حصول على مال ووصول لغنيمة يختص ذلك المال بذاته وبأقربائه دون أن يفكر بحال الفقراء والمحرومين الآخرين ويقول إن خمس غنائم الحرب لي ولأقربائي فقط</w:t>
      </w:r>
      <w:r w:rsidR="00217AB4" w:rsidRPr="00995B26">
        <w:rPr>
          <w:rFonts w:ascii="Abo-thar" w:hAnsi="Abo-thar" w:hint="cs"/>
          <w:sz w:val="28"/>
          <w:rtl/>
          <w:lang w:bidi="ar-SY"/>
        </w:rPr>
        <w:t>،</w:t>
      </w:r>
      <w:r w:rsidRPr="00995B26">
        <w:rPr>
          <w:rFonts w:ascii="Abo-thar" w:hAnsi="Abo-thar" w:hint="cs"/>
          <w:sz w:val="28"/>
          <w:rtl/>
          <w:lang w:bidi="ar-SY"/>
        </w:rPr>
        <w:t xml:space="preserve"> هذا مع أنه لم يكن أحد يعرف</w:t>
      </w:r>
      <w:r w:rsidR="00147857" w:rsidRPr="00995B26">
        <w:rPr>
          <w:rFonts w:ascii="Abo-thar" w:hAnsi="Abo-thar" w:hint="cs"/>
          <w:sz w:val="28"/>
          <w:rtl/>
          <w:lang w:bidi="ar-SY"/>
        </w:rPr>
        <w:t xml:space="preserve"> </w:t>
      </w:r>
      <w:r w:rsidRPr="00995B26">
        <w:rPr>
          <w:rFonts w:ascii="Abo-thar" w:hAnsi="Abo-thar" w:hint="cs"/>
          <w:sz w:val="28"/>
          <w:rtl/>
          <w:lang w:bidi="ar-SY"/>
        </w:rPr>
        <w:t>في ذلك الوقت أي أحد من اليتامى والمساكين وأبناء السبيل من أقربائه</w:t>
      </w:r>
      <w:r w:rsidR="00217AB4" w:rsidRPr="00995B26">
        <w:rPr>
          <w:rFonts w:ascii="Abo-thar" w:hAnsi="Abo-thar" w:hint="cs"/>
          <w:sz w:val="28"/>
          <w:rtl/>
          <w:lang w:bidi="ar-SY"/>
        </w:rPr>
        <w:t>!!</w:t>
      </w:r>
      <w:r w:rsidR="00147857" w:rsidRPr="00995B26">
        <w:rPr>
          <w:rFonts w:ascii="Abo-thar" w:hAnsi="Abo-thar" w:hint="cs"/>
          <w:sz w:val="28"/>
          <w:rtl/>
          <w:lang w:bidi="ar-SY"/>
        </w:rPr>
        <w:t xml:space="preserve"> </w:t>
      </w:r>
    </w:p>
    <w:p w:rsidR="005C664D" w:rsidRPr="00995B26" w:rsidRDefault="005C664D" w:rsidP="00973E5A">
      <w:pPr>
        <w:pStyle w:val="a0"/>
        <w:rPr>
          <w:rFonts w:hint="cs"/>
          <w:rtl/>
          <w:lang w:bidi="ar-SY"/>
        </w:rPr>
      </w:pPr>
      <w:r w:rsidRPr="003F3B94">
        <w:rPr>
          <w:rFonts w:ascii="Abo-thar" w:hAnsi="Abo-thar" w:hint="cs"/>
          <w:sz w:val="28"/>
          <w:rtl/>
          <w:lang w:bidi="ar-SY"/>
        </w:rPr>
        <w:t>وإذا</w:t>
      </w:r>
      <w:r w:rsidR="00147857" w:rsidRPr="003F3B94">
        <w:rPr>
          <w:rFonts w:ascii="Abo-thar" w:hAnsi="Abo-thar" w:hint="cs"/>
          <w:sz w:val="28"/>
          <w:rtl/>
          <w:lang w:bidi="ar-SY"/>
        </w:rPr>
        <w:t xml:space="preserve"> </w:t>
      </w:r>
      <w:r w:rsidRPr="003F3B94">
        <w:rPr>
          <w:rFonts w:ascii="Abo-thar" w:hAnsi="Abo-thar" w:hint="cs"/>
          <w:sz w:val="28"/>
          <w:rtl/>
          <w:lang w:bidi="ar-SY"/>
        </w:rPr>
        <w:t xml:space="preserve">وجدنا في بعض الأحاديث قولاً لأحد الأئمة </w:t>
      </w:r>
      <w:r w:rsidR="00973E5A">
        <w:rPr>
          <w:rFonts w:ascii="Abo-thar" w:hAnsi="Abo-thar" w:cs="CTraditional Arabic" w:hint="cs"/>
          <w:sz w:val="28"/>
          <w:rtl/>
          <w:lang w:bidi="ar-SY"/>
        </w:rPr>
        <w:t>‡</w:t>
      </w:r>
      <w:r w:rsidRPr="003F3B94">
        <w:rPr>
          <w:rFonts w:ascii="Abo-thar" w:hAnsi="Abo-thar" w:hint="cs"/>
          <w:sz w:val="28"/>
          <w:rtl/>
          <w:lang w:bidi="ar-SY"/>
        </w:rPr>
        <w:t xml:space="preserve"> اعتبر فيه نفسه يتيماً كالحديث التالي الذي رواه الصدوق في </w:t>
      </w:r>
      <w:r w:rsidRPr="003F3B94">
        <w:rPr>
          <w:rFonts w:ascii="Abo-thar" w:hAnsi="Abo-thar" w:hint="eastAsia"/>
          <w:sz w:val="28"/>
          <w:rtl/>
          <w:lang w:bidi="ar-SY"/>
        </w:rPr>
        <w:t>«</w:t>
      </w:r>
      <w:r w:rsidRPr="003F3B94">
        <w:rPr>
          <w:rFonts w:ascii="Abo-thar" w:hAnsi="Abo-thar" w:hint="cs"/>
          <w:sz w:val="28"/>
          <w:rtl/>
          <w:lang w:bidi="ar-SY"/>
        </w:rPr>
        <w:t>من لا يحضره الفقيه</w:t>
      </w:r>
      <w:r w:rsidRPr="003F3B94">
        <w:rPr>
          <w:rFonts w:ascii="Abo-thar" w:hAnsi="Abo-thar" w:hint="eastAsia"/>
          <w:sz w:val="28"/>
          <w:rtl/>
          <w:lang w:bidi="ar-SY"/>
        </w:rPr>
        <w:t>»</w:t>
      </w:r>
      <w:r w:rsidR="00217AB4" w:rsidRPr="003F3B94">
        <w:rPr>
          <w:rFonts w:ascii="Abo-thar" w:hAnsi="Abo-thar" w:hint="cs"/>
          <w:sz w:val="28"/>
          <w:rtl/>
          <w:lang w:bidi="ar-SY"/>
        </w:rPr>
        <w:t>:</w:t>
      </w:r>
      <w:r w:rsidRPr="003F3B94">
        <w:rPr>
          <w:rFonts w:ascii="Abo-thar" w:hAnsi="Abo-thar" w:hint="cs"/>
          <w:sz w:val="28"/>
          <w:rtl/>
          <w:lang w:bidi="ar-SY"/>
        </w:rPr>
        <w:t xml:space="preserve"> </w:t>
      </w:r>
      <w:r w:rsidR="00EF2588" w:rsidRPr="00CE7623">
        <w:rPr>
          <w:rFonts w:ascii="Abo-thar" w:hAnsi="Abo-thar" w:cs="KFGQPC Uthman Taha Naskh" w:hint="cs"/>
          <w:sz w:val="28"/>
          <w:rtl/>
          <w:lang w:bidi="ar-SY"/>
        </w:rPr>
        <w:t>«</w:t>
      </w:r>
      <w:r w:rsidRPr="00CE7623">
        <w:rPr>
          <w:rFonts w:ascii="Abo-thar" w:hAnsi="Abo-thar" w:cs="KFGQPC Uthman Taha Naskh"/>
          <w:sz w:val="28"/>
          <w:rtl/>
          <w:lang w:bidi="ar-SY"/>
        </w:rPr>
        <w:t xml:space="preserve">عَنْ أَبِي بَصِيرٍ قَالَ قُلْتُ لِأَبِي جَعْفَرٍ </w:t>
      </w:r>
      <w:r w:rsidR="00BC4BA9" w:rsidRPr="00BC4BA9">
        <w:rPr>
          <w:rFonts w:ascii="Abo-thar" w:hAnsi="Abo-thar" w:cs="CTraditional Arabic" w:hint="cs"/>
          <w:sz w:val="28"/>
          <w:rtl/>
          <w:lang w:bidi="ar-SY"/>
        </w:rPr>
        <w:t>÷</w:t>
      </w:r>
      <w:r w:rsidR="00217AB4" w:rsidRPr="00CE7623">
        <w:rPr>
          <w:rFonts w:ascii="Abo-thar" w:hAnsi="Abo-thar" w:cs="KFGQPC Uthman Taha Naskh" w:hint="cs"/>
          <w:sz w:val="28"/>
          <w:rtl/>
          <w:lang w:bidi="ar-SY"/>
        </w:rPr>
        <w:t>:</w:t>
      </w:r>
      <w:r w:rsidRPr="00CE7623">
        <w:rPr>
          <w:rFonts w:ascii="Abo-thar" w:hAnsi="Abo-thar" w:cs="KFGQPC Uthman Taha Naskh"/>
          <w:sz w:val="28"/>
          <w:rtl/>
          <w:lang w:bidi="ar-SY"/>
        </w:rPr>
        <w:t xml:space="preserve"> أَصْلَحَكَ </w:t>
      </w:r>
      <w:r w:rsidRPr="00CE7623">
        <w:rPr>
          <w:rFonts w:ascii="Abo-thar" w:hAnsi="Abo-thar" w:cs="KFGQPC Uthman Taha Naskh" w:hint="cs"/>
          <w:sz w:val="28"/>
          <w:rtl/>
          <w:lang w:bidi="ar-SY"/>
        </w:rPr>
        <w:t>اللهُ</w:t>
      </w:r>
      <w:r w:rsidR="00217AB4" w:rsidRPr="00CE7623">
        <w:rPr>
          <w:rFonts w:ascii="Abo-thar" w:hAnsi="Abo-thar" w:cs="KFGQPC Uthman Taha Naskh" w:hint="cs"/>
          <w:sz w:val="28"/>
          <w:rtl/>
          <w:lang w:bidi="ar-SY"/>
        </w:rPr>
        <w:t>!</w:t>
      </w:r>
      <w:r w:rsidRPr="00CE7623">
        <w:rPr>
          <w:rFonts w:ascii="Abo-thar" w:hAnsi="Abo-thar" w:cs="KFGQPC Uthman Taha Naskh"/>
          <w:sz w:val="28"/>
          <w:rtl/>
          <w:lang w:bidi="ar-SY"/>
        </w:rPr>
        <w:t xml:space="preserve"> </w:t>
      </w:r>
      <w:r w:rsidRPr="00CE7623">
        <w:rPr>
          <w:rFonts w:ascii="Abo-thar" w:hAnsi="Abo-thar" w:cs="KFGQPC Uthman Taha Naskh"/>
          <w:b/>
          <w:bCs/>
          <w:sz w:val="28"/>
          <w:rtl/>
          <w:lang w:bidi="ar-SY"/>
        </w:rPr>
        <w:t>مَا أَيْسَرُ مَا يَدْخُلُ بِهِ الْعَبْدُ النَّارَ</w:t>
      </w:r>
      <w:r w:rsidR="00217AB4" w:rsidRPr="00CE7623">
        <w:rPr>
          <w:rFonts w:ascii="Abo-thar" w:hAnsi="Abo-thar" w:cs="KFGQPC Uthman Taha Naskh" w:hint="cs"/>
          <w:b/>
          <w:bCs/>
          <w:sz w:val="28"/>
          <w:rtl/>
          <w:lang w:bidi="ar-SY"/>
        </w:rPr>
        <w:t>؟</w:t>
      </w:r>
      <w:r w:rsidRPr="00CE7623">
        <w:rPr>
          <w:rFonts w:ascii="Abo-thar" w:hAnsi="Abo-thar" w:cs="KFGQPC Uthman Taha Naskh"/>
          <w:b/>
          <w:bCs/>
          <w:sz w:val="28"/>
          <w:rtl/>
          <w:lang w:bidi="ar-SY"/>
        </w:rPr>
        <w:t xml:space="preserve"> قَالَ</w:t>
      </w:r>
      <w:r w:rsidR="00217AB4" w:rsidRPr="00CE7623">
        <w:rPr>
          <w:rFonts w:ascii="Abo-thar" w:hAnsi="Abo-thar" w:cs="KFGQPC Uthman Taha Naskh" w:hint="cs"/>
          <w:b/>
          <w:bCs/>
          <w:sz w:val="28"/>
          <w:rtl/>
          <w:lang w:bidi="ar-SY"/>
        </w:rPr>
        <w:t>:</w:t>
      </w:r>
      <w:r w:rsidRPr="00CE7623">
        <w:rPr>
          <w:rFonts w:ascii="Abo-thar" w:hAnsi="Abo-thar" w:cs="KFGQPC Uthman Taha Naskh"/>
          <w:b/>
          <w:bCs/>
          <w:sz w:val="28"/>
          <w:rtl/>
          <w:lang w:bidi="ar-SY"/>
        </w:rPr>
        <w:t xml:space="preserve"> مَنْ أَكَلَ مِنْ مَالِ الْيَتِيمِ دِرْهَماً</w:t>
      </w:r>
      <w:r w:rsidR="00217AB4" w:rsidRPr="00CE7623">
        <w:rPr>
          <w:rFonts w:ascii="Abo-thar" w:hAnsi="Abo-thar" w:cs="KFGQPC Uthman Taha Naskh" w:hint="cs"/>
          <w:b/>
          <w:bCs/>
          <w:sz w:val="28"/>
          <w:rtl/>
          <w:lang w:bidi="ar-SY"/>
        </w:rPr>
        <w:t>،</w:t>
      </w:r>
      <w:r w:rsidRPr="00CE7623">
        <w:rPr>
          <w:rFonts w:ascii="Abo-thar" w:hAnsi="Abo-thar" w:cs="KFGQPC Uthman Taha Naskh"/>
          <w:b/>
          <w:bCs/>
          <w:sz w:val="28"/>
          <w:rtl/>
          <w:lang w:bidi="ar-SY"/>
        </w:rPr>
        <w:t xml:space="preserve"> وَنَحْنُ الْيَتِيمُ</w:t>
      </w:r>
      <w:r w:rsidR="00EF2588" w:rsidRPr="00CE7623">
        <w:rPr>
          <w:rFonts w:ascii="Abo-thar" w:hAnsi="Abo-thar" w:cs="KFGQPC Uthman Taha Naskh" w:hint="cs"/>
          <w:sz w:val="28"/>
          <w:rtl/>
          <w:lang w:bidi="ar-SY"/>
        </w:rPr>
        <w:t>»</w:t>
      </w:r>
      <w:r w:rsidR="00BD0387" w:rsidRPr="0021507A">
        <w:rPr>
          <w:rFonts w:cs="Arabic11 BT"/>
          <w:b/>
          <w:sz w:val="28"/>
          <w:vertAlign w:val="superscript"/>
          <w:rtl/>
          <w:lang w:bidi="ar-SY"/>
        </w:rPr>
        <w:t>(</w:t>
      </w:r>
      <w:r w:rsidR="00BD0387" w:rsidRPr="0021507A">
        <w:rPr>
          <w:rStyle w:val="FootnoteReference"/>
          <w:rFonts w:cs="Arabic11 BT"/>
          <w:b/>
          <w:sz w:val="28"/>
          <w:rtl/>
          <w:lang w:bidi="ar-SY"/>
        </w:rPr>
        <w:footnoteReference w:id="100"/>
      </w:r>
      <w:r w:rsidR="00BD0387" w:rsidRPr="0021507A">
        <w:rPr>
          <w:rFonts w:cs="Arabic11 BT"/>
          <w:b/>
          <w:sz w:val="28"/>
          <w:vertAlign w:val="superscript"/>
          <w:rtl/>
          <w:lang w:bidi="ar-SY"/>
        </w:rPr>
        <w:t>)</w:t>
      </w:r>
      <w:r w:rsidR="00217AB4" w:rsidRPr="003F3B94">
        <w:rPr>
          <w:rFonts w:ascii="Abo-thar" w:hAnsi="Abo-thar" w:hint="cs"/>
          <w:sz w:val="28"/>
          <w:rtl/>
          <w:lang w:bidi="ar-SY"/>
        </w:rPr>
        <w:t>.</w:t>
      </w:r>
      <w:r w:rsidRPr="003F3B94">
        <w:rPr>
          <w:rFonts w:ascii="Abo-thar" w:hAnsi="Abo-thar" w:hint="cs"/>
          <w:sz w:val="28"/>
          <w:rtl/>
          <w:lang w:bidi="ar-SY"/>
        </w:rPr>
        <w:t xml:space="preserve"> فهذا الحديث الذي يبدو أنه قيل في تفسير الآية الكريمة</w:t>
      </w:r>
      <w:r w:rsidR="00217AB4" w:rsidRPr="003F3B94">
        <w:rPr>
          <w:rFonts w:ascii="Abo-thar" w:hAnsi="Abo-thar" w:hint="cs"/>
          <w:sz w:val="28"/>
          <w:rtl/>
          <w:lang w:bidi="ar-SY"/>
        </w:rPr>
        <w:t>:</w:t>
      </w:r>
      <w:r w:rsidR="00685363" w:rsidRPr="003F3B94">
        <w:rPr>
          <w:rFonts w:ascii="Abo-thar" w:hAnsi="Abo-thar" w:hint="cs"/>
          <w:sz w:val="28"/>
          <w:rtl/>
          <w:lang w:bidi="ar-SY"/>
        </w:rPr>
        <w:t xml:space="preserve"> </w:t>
      </w:r>
      <w:r w:rsidR="00685363" w:rsidRPr="00995B26">
        <w:rPr>
          <w:rFonts w:ascii="Abo-thar" w:hAnsi="Abo-thar" w:cs="Traditional Arabic" w:hint="cs"/>
          <w:sz w:val="28"/>
          <w:rtl/>
          <w:lang w:bidi="ar-SY"/>
        </w:rPr>
        <w:t>﴿</w:t>
      </w:r>
      <w:r w:rsidR="00685363" w:rsidRPr="0067048A">
        <w:rPr>
          <w:rStyle w:val="Char3"/>
          <w:rFonts w:hint="eastAsia"/>
          <w:rtl/>
        </w:rPr>
        <w:t>إِنَّ</w:t>
      </w:r>
      <w:r w:rsidR="00685363" w:rsidRPr="0067048A">
        <w:rPr>
          <w:rStyle w:val="Char3"/>
          <w:rtl/>
        </w:rPr>
        <w:t xml:space="preserve"> </w:t>
      </w:r>
      <w:r w:rsidR="00685363" w:rsidRPr="0067048A">
        <w:rPr>
          <w:rStyle w:val="Char3"/>
          <w:rFonts w:hint="cs"/>
          <w:rtl/>
        </w:rPr>
        <w:t>ٱ</w:t>
      </w:r>
      <w:r w:rsidR="00685363" w:rsidRPr="0067048A">
        <w:rPr>
          <w:rStyle w:val="Char3"/>
          <w:rFonts w:hint="eastAsia"/>
          <w:rtl/>
        </w:rPr>
        <w:t>لَّذِينَ</w:t>
      </w:r>
      <w:r w:rsidR="00685363" w:rsidRPr="0067048A">
        <w:rPr>
          <w:rStyle w:val="Char3"/>
          <w:rtl/>
        </w:rPr>
        <w:t xml:space="preserve"> </w:t>
      </w:r>
      <w:r w:rsidR="00685363" w:rsidRPr="0067048A">
        <w:rPr>
          <w:rStyle w:val="Char3"/>
          <w:rFonts w:hint="eastAsia"/>
          <w:rtl/>
        </w:rPr>
        <w:t>يَأ</w:t>
      </w:r>
      <w:r w:rsidR="00685363" w:rsidRPr="0067048A">
        <w:rPr>
          <w:rStyle w:val="Char3"/>
          <w:rFonts w:hint="cs"/>
          <w:rtl/>
        </w:rPr>
        <w:t>ۡ</w:t>
      </w:r>
      <w:r w:rsidR="00685363" w:rsidRPr="0067048A">
        <w:rPr>
          <w:rStyle w:val="Char3"/>
          <w:rFonts w:hint="eastAsia"/>
          <w:rtl/>
        </w:rPr>
        <w:t>كُلُونَ</w:t>
      </w:r>
      <w:r w:rsidR="00685363" w:rsidRPr="0067048A">
        <w:rPr>
          <w:rStyle w:val="Char3"/>
          <w:rtl/>
        </w:rPr>
        <w:t xml:space="preserve"> </w:t>
      </w:r>
      <w:r w:rsidR="00685363" w:rsidRPr="0067048A">
        <w:rPr>
          <w:rStyle w:val="Char3"/>
          <w:rFonts w:hint="eastAsia"/>
          <w:rtl/>
        </w:rPr>
        <w:t>أَم</w:t>
      </w:r>
      <w:r w:rsidR="00685363" w:rsidRPr="0067048A">
        <w:rPr>
          <w:rStyle w:val="Char3"/>
          <w:rFonts w:hint="cs"/>
          <w:rtl/>
        </w:rPr>
        <w:t>ۡ</w:t>
      </w:r>
      <w:r w:rsidR="00685363" w:rsidRPr="0067048A">
        <w:rPr>
          <w:rStyle w:val="Char3"/>
          <w:rFonts w:hint="eastAsia"/>
          <w:rtl/>
        </w:rPr>
        <w:t>وَ</w:t>
      </w:r>
      <w:r w:rsidR="00685363" w:rsidRPr="0067048A">
        <w:rPr>
          <w:rStyle w:val="Char3"/>
          <w:rFonts w:hint="cs"/>
          <w:rtl/>
        </w:rPr>
        <w:t>ٰ</w:t>
      </w:r>
      <w:r w:rsidR="00685363" w:rsidRPr="0067048A">
        <w:rPr>
          <w:rStyle w:val="Char3"/>
          <w:rFonts w:hint="eastAsia"/>
          <w:rtl/>
        </w:rPr>
        <w:t>لَ</w:t>
      </w:r>
      <w:r w:rsidR="00685363" w:rsidRPr="0067048A">
        <w:rPr>
          <w:rStyle w:val="Char3"/>
          <w:rtl/>
        </w:rPr>
        <w:t xml:space="preserve"> </w:t>
      </w:r>
      <w:r w:rsidR="00685363" w:rsidRPr="0067048A">
        <w:rPr>
          <w:rStyle w:val="Char3"/>
          <w:rFonts w:hint="cs"/>
          <w:rtl/>
        </w:rPr>
        <w:t>ٱ</w:t>
      </w:r>
      <w:r w:rsidR="00685363" w:rsidRPr="0067048A">
        <w:rPr>
          <w:rStyle w:val="Char3"/>
          <w:rFonts w:hint="eastAsia"/>
          <w:rtl/>
        </w:rPr>
        <w:t>ل</w:t>
      </w:r>
      <w:r w:rsidR="00685363" w:rsidRPr="0067048A">
        <w:rPr>
          <w:rStyle w:val="Char3"/>
          <w:rFonts w:hint="cs"/>
          <w:rtl/>
        </w:rPr>
        <w:t>ۡ</w:t>
      </w:r>
      <w:r w:rsidR="00685363" w:rsidRPr="0067048A">
        <w:rPr>
          <w:rStyle w:val="Char3"/>
          <w:rFonts w:hint="eastAsia"/>
          <w:rtl/>
        </w:rPr>
        <w:t>يَتَ</w:t>
      </w:r>
      <w:r w:rsidR="00685363" w:rsidRPr="0067048A">
        <w:rPr>
          <w:rStyle w:val="Char3"/>
          <w:rFonts w:hint="cs"/>
          <w:rtl/>
        </w:rPr>
        <w:t>ٰ</w:t>
      </w:r>
      <w:r w:rsidR="00685363" w:rsidRPr="0067048A">
        <w:rPr>
          <w:rStyle w:val="Char3"/>
          <w:rFonts w:hint="eastAsia"/>
          <w:rtl/>
        </w:rPr>
        <w:t>مَى</w:t>
      </w:r>
      <w:r w:rsidR="00685363" w:rsidRPr="0067048A">
        <w:rPr>
          <w:rStyle w:val="Char3"/>
          <w:rFonts w:hint="cs"/>
          <w:rtl/>
        </w:rPr>
        <w:t>ٰ</w:t>
      </w:r>
      <w:r w:rsidR="00685363" w:rsidRPr="0067048A">
        <w:rPr>
          <w:rStyle w:val="Char3"/>
          <w:rtl/>
        </w:rPr>
        <w:t xml:space="preserve"> </w:t>
      </w:r>
      <w:r w:rsidR="00685363" w:rsidRPr="0067048A">
        <w:rPr>
          <w:rStyle w:val="Char3"/>
          <w:rFonts w:hint="eastAsia"/>
          <w:rtl/>
        </w:rPr>
        <w:t>ظُل</w:t>
      </w:r>
      <w:r w:rsidR="00685363" w:rsidRPr="0067048A">
        <w:rPr>
          <w:rStyle w:val="Char3"/>
          <w:rFonts w:hint="cs"/>
          <w:rtl/>
        </w:rPr>
        <w:t>ۡ</w:t>
      </w:r>
      <w:r w:rsidR="00685363" w:rsidRPr="0067048A">
        <w:rPr>
          <w:rStyle w:val="Char3"/>
          <w:rFonts w:hint="eastAsia"/>
          <w:rtl/>
        </w:rPr>
        <w:t>مًا</w:t>
      </w:r>
      <w:r w:rsidR="00685363" w:rsidRPr="0067048A">
        <w:rPr>
          <w:rStyle w:val="Char3"/>
          <w:rtl/>
        </w:rPr>
        <w:t xml:space="preserve"> </w:t>
      </w:r>
      <w:r w:rsidR="00685363" w:rsidRPr="0067048A">
        <w:rPr>
          <w:rStyle w:val="Char3"/>
          <w:rFonts w:hint="eastAsia"/>
          <w:rtl/>
        </w:rPr>
        <w:t>إِنَّمَا</w:t>
      </w:r>
      <w:r w:rsidR="00685363" w:rsidRPr="0067048A">
        <w:rPr>
          <w:rStyle w:val="Char3"/>
          <w:rtl/>
        </w:rPr>
        <w:t xml:space="preserve"> </w:t>
      </w:r>
      <w:r w:rsidR="00685363" w:rsidRPr="0067048A">
        <w:rPr>
          <w:rStyle w:val="Char3"/>
          <w:rFonts w:hint="eastAsia"/>
          <w:rtl/>
        </w:rPr>
        <w:t>يَأ</w:t>
      </w:r>
      <w:r w:rsidR="00685363" w:rsidRPr="0067048A">
        <w:rPr>
          <w:rStyle w:val="Char3"/>
          <w:rFonts w:hint="cs"/>
          <w:rtl/>
        </w:rPr>
        <w:t>ۡ</w:t>
      </w:r>
      <w:r w:rsidR="00685363" w:rsidRPr="0067048A">
        <w:rPr>
          <w:rStyle w:val="Char3"/>
          <w:rFonts w:hint="eastAsia"/>
          <w:rtl/>
        </w:rPr>
        <w:t>كُلُونَ</w:t>
      </w:r>
      <w:r w:rsidR="00685363" w:rsidRPr="0067048A">
        <w:rPr>
          <w:rStyle w:val="Char3"/>
          <w:rtl/>
        </w:rPr>
        <w:t xml:space="preserve"> </w:t>
      </w:r>
      <w:r w:rsidR="00685363" w:rsidRPr="0067048A">
        <w:rPr>
          <w:rStyle w:val="Char3"/>
          <w:rFonts w:hint="eastAsia"/>
          <w:rtl/>
        </w:rPr>
        <w:t>فِي</w:t>
      </w:r>
      <w:r w:rsidR="00685363" w:rsidRPr="0067048A">
        <w:rPr>
          <w:rStyle w:val="Char3"/>
          <w:rtl/>
        </w:rPr>
        <w:t xml:space="preserve"> </w:t>
      </w:r>
      <w:r w:rsidR="00685363" w:rsidRPr="0067048A">
        <w:rPr>
          <w:rStyle w:val="Char3"/>
          <w:rFonts w:hint="eastAsia"/>
          <w:rtl/>
        </w:rPr>
        <w:t>بُطُونِهِم</w:t>
      </w:r>
      <w:r w:rsidR="00685363" w:rsidRPr="0067048A">
        <w:rPr>
          <w:rStyle w:val="Char3"/>
          <w:rFonts w:hint="cs"/>
          <w:rtl/>
        </w:rPr>
        <w:t>ۡ</w:t>
      </w:r>
      <w:r w:rsidR="00685363" w:rsidRPr="0067048A">
        <w:rPr>
          <w:rStyle w:val="Char3"/>
          <w:rtl/>
        </w:rPr>
        <w:t xml:space="preserve"> </w:t>
      </w:r>
      <w:r w:rsidR="00685363" w:rsidRPr="0067048A">
        <w:rPr>
          <w:rStyle w:val="Char3"/>
          <w:rFonts w:hint="eastAsia"/>
          <w:rtl/>
        </w:rPr>
        <w:t>نَار</w:t>
      </w:r>
      <w:r w:rsidR="00685363" w:rsidRPr="0067048A">
        <w:rPr>
          <w:rStyle w:val="Char3"/>
          <w:rFonts w:hint="cs"/>
          <w:rtl/>
        </w:rPr>
        <w:t>ٗ</w:t>
      </w:r>
      <w:r w:rsidR="00685363" w:rsidRPr="0067048A">
        <w:rPr>
          <w:rStyle w:val="Char3"/>
          <w:rFonts w:hint="eastAsia"/>
          <w:rtl/>
        </w:rPr>
        <w:t>ا</w:t>
      </w:r>
      <w:r w:rsidR="00685363" w:rsidRPr="0067048A">
        <w:rPr>
          <w:rStyle w:val="Char3"/>
          <w:rFonts w:hint="cs"/>
          <w:rtl/>
        </w:rPr>
        <w:t>ۖ</w:t>
      </w:r>
      <w:r w:rsidR="00685363" w:rsidRPr="0067048A">
        <w:rPr>
          <w:rStyle w:val="Char3"/>
          <w:rtl/>
        </w:rPr>
        <w:t xml:space="preserve"> </w:t>
      </w:r>
      <w:r w:rsidR="00685363" w:rsidRPr="0067048A">
        <w:rPr>
          <w:rStyle w:val="Char3"/>
          <w:rFonts w:hint="eastAsia"/>
          <w:rtl/>
        </w:rPr>
        <w:t>وَسَيَص</w:t>
      </w:r>
      <w:r w:rsidR="00685363" w:rsidRPr="0067048A">
        <w:rPr>
          <w:rStyle w:val="Char3"/>
          <w:rFonts w:hint="cs"/>
          <w:rtl/>
        </w:rPr>
        <w:t>ۡ</w:t>
      </w:r>
      <w:r w:rsidR="00685363" w:rsidRPr="0067048A">
        <w:rPr>
          <w:rStyle w:val="Char3"/>
          <w:rFonts w:hint="eastAsia"/>
          <w:rtl/>
        </w:rPr>
        <w:t>لَو</w:t>
      </w:r>
      <w:r w:rsidR="00685363" w:rsidRPr="0067048A">
        <w:rPr>
          <w:rStyle w:val="Char3"/>
          <w:rFonts w:hint="cs"/>
          <w:rtl/>
        </w:rPr>
        <w:t>ۡ</w:t>
      </w:r>
      <w:r w:rsidR="00685363" w:rsidRPr="0067048A">
        <w:rPr>
          <w:rStyle w:val="Char3"/>
          <w:rFonts w:hint="eastAsia"/>
          <w:rtl/>
        </w:rPr>
        <w:t>نَ</w:t>
      </w:r>
      <w:r w:rsidR="00685363" w:rsidRPr="0067048A">
        <w:rPr>
          <w:rStyle w:val="Char3"/>
          <w:rtl/>
        </w:rPr>
        <w:t xml:space="preserve"> </w:t>
      </w:r>
      <w:r w:rsidR="00685363" w:rsidRPr="0067048A">
        <w:rPr>
          <w:rStyle w:val="Char3"/>
          <w:rFonts w:hint="eastAsia"/>
          <w:rtl/>
        </w:rPr>
        <w:t>سَعِير</w:t>
      </w:r>
      <w:r w:rsidR="00685363" w:rsidRPr="0067048A">
        <w:rPr>
          <w:rStyle w:val="Char3"/>
          <w:rFonts w:hint="cs"/>
          <w:rtl/>
        </w:rPr>
        <w:t>ٗ</w:t>
      </w:r>
      <w:r w:rsidR="00685363" w:rsidRPr="0067048A">
        <w:rPr>
          <w:rStyle w:val="Char3"/>
          <w:rFonts w:hint="eastAsia"/>
          <w:rtl/>
        </w:rPr>
        <w:t>ا</w:t>
      </w:r>
      <w:r w:rsidR="00685363" w:rsidRPr="0067048A">
        <w:rPr>
          <w:rStyle w:val="Char3"/>
          <w:rtl/>
        </w:rPr>
        <w:t xml:space="preserve"> </w:t>
      </w:r>
      <w:r w:rsidR="00685363" w:rsidRPr="0067048A">
        <w:rPr>
          <w:rStyle w:val="Char3"/>
          <w:rFonts w:hint="cs"/>
          <w:rtl/>
        </w:rPr>
        <w:t>١٠</w:t>
      </w:r>
      <w:r w:rsidR="00685363" w:rsidRPr="00995B26">
        <w:rPr>
          <w:rFonts w:ascii="Abo-thar" w:hAnsi="Abo-thar" w:cs="Traditional Arabic" w:hint="cs"/>
          <w:sz w:val="28"/>
          <w:rtl/>
          <w:lang w:bidi="ar-SY"/>
        </w:rPr>
        <w:t>﴾</w:t>
      </w:r>
      <w:r w:rsidRPr="00995B26">
        <w:rPr>
          <w:rFonts w:ascii="Abo-thar" w:hAnsi="Abo-thar"/>
          <w:sz w:val="28"/>
          <w:rtl/>
          <w:lang w:bidi="ar-SY"/>
        </w:rPr>
        <w:t xml:space="preserve"> </w:t>
      </w:r>
      <w:r w:rsidRPr="003108CB">
        <w:rPr>
          <w:rStyle w:val="Char2"/>
          <w:rtl/>
        </w:rPr>
        <w:t>[النساء</w:t>
      </w:r>
      <w:r w:rsidR="00685363" w:rsidRPr="003108CB">
        <w:rPr>
          <w:rStyle w:val="Char2"/>
          <w:rFonts w:hint="cs"/>
          <w:rtl/>
        </w:rPr>
        <w:t>:</w:t>
      </w:r>
      <w:r w:rsidRPr="003108CB">
        <w:rPr>
          <w:rStyle w:val="Char2"/>
          <w:rtl/>
        </w:rPr>
        <w:t>10]</w:t>
      </w:r>
      <w:r w:rsidR="00217AB4" w:rsidRPr="00995B26">
        <w:rPr>
          <w:rFonts w:ascii="Abo-thar" w:hAnsi="Abo-thar" w:hint="cs"/>
          <w:sz w:val="28"/>
          <w:rtl/>
          <w:lang w:bidi="ar-SY"/>
        </w:rPr>
        <w:t>،</w:t>
      </w:r>
      <w:r w:rsidRPr="00995B26">
        <w:rPr>
          <w:rFonts w:ascii="Abo-thar" w:hAnsi="Abo-thar" w:hint="cs"/>
          <w:sz w:val="28"/>
          <w:rtl/>
          <w:lang w:bidi="ar-SY"/>
        </w:rPr>
        <w:t xml:space="preserve"> وأضيفت إليه كلمة </w:t>
      </w:r>
      <w:r w:rsidRPr="00CE7623">
        <w:rPr>
          <w:rFonts w:ascii="Abo-thar" w:hAnsi="Abo-thar" w:cs="KFGQPC Uthman Taha Naskh" w:hint="cs"/>
          <w:sz w:val="28"/>
          <w:rtl/>
          <w:lang w:bidi="ar-SY"/>
        </w:rPr>
        <w:t>«</w:t>
      </w:r>
      <w:r w:rsidRPr="00CE7623">
        <w:rPr>
          <w:rFonts w:ascii="Abo-thar" w:hAnsi="Abo-thar" w:cs="KFGQPC Uthman Taha Naskh"/>
          <w:b/>
          <w:bCs/>
          <w:sz w:val="28"/>
          <w:rtl/>
          <w:lang w:bidi="ar-SY"/>
        </w:rPr>
        <w:t>وَنَحْنُ الْيَتِيمُ</w:t>
      </w:r>
      <w:r w:rsidRPr="00CE7623">
        <w:rPr>
          <w:rFonts w:ascii="Abo-thar" w:hAnsi="Abo-thar" w:cs="KFGQPC Uthman Taha Naskh" w:hint="cs"/>
          <w:sz w:val="28"/>
          <w:rtl/>
          <w:lang w:bidi="ar-SY"/>
        </w:rPr>
        <w:t>»</w:t>
      </w:r>
      <w:r w:rsidRPr="00995B26">
        <w:rPr>
          <w:rFonts w:ascii="Abo-thar" w:hAnsi="Abo-thar" w:hint="cs"/>
          <w:sz w:val="28"/>
          <w:rtl/>
          <w:lang w:bidi="ar-SY"/>
        </w:rPr>
        <w:t xml:space="preserve"> فإن هذا لا يتعلَّق أبداً باليتامى والمساكين وابن السبيل الذين ذُكروا في آية خمس الغنائم</w:t>
      </w:r>
      <w:r w:rsidR="00217AB4" w:rsidRPr="00995B26">
        <w:rPr>
          <w:rFonts w:ascii="Abo-thar" w:hAnsi="Abo-thar" w:hint="cs"/>
          <w:sz w:val="28"/>
          <w:rtl/>
          <w:lang w:bidi="ar-SY"/>
        </w:rPr>
        <w:t>.</w:t>
      </w:r>
      <w:r w:rsidRPr="00995B26">
        <w:rPr>
          <w:rFonts w:ascii="Abo-thar" w:hAnsi="Abo-thar" w:hint="cs"/>
          <w:sz w:val="28"/>
          <w:rtl/>
          <w:lang w:bidi="ar-SY"/>
        </w:rPr>
        <w:t xml:space="preserve"> فضلاً عن أنه من البعيد جداً أن يعتبر حضرة الإمام الباقر نفسه يتيماً</w:t>
      </w:r>
      <w:r w:rsidR="00217AB4" w:rsidRPr="00995B26">
        <w:rPr>
          <w:rFonts w:ascii="Abo-thar" w:hAnsi="Abo-thar" w:hint="cs"/>
          <w:sz w:val="28"/>
          <w:rtl/>
          <w:lang w:bidi="ar-SY"/>
        </w:rPr>
        <w:t>،</w:t>
      </w:r>
      <w:r w:rsidRPr="00995B26">
        <w:rPr>
          <w:rFonts w:ascii="Abo-thar" w:hAnsi="Abo-thar" w:hint="cs"/>
          <w:sz w:val="28"/>
          <w:rtl/>
          <w:lang w:bidi="ar-SY"/>
        </w:rPr>
        <w:t xml:space="preserve"> لاسيما أن هذا الحديث مروي عن </w:t>
      </w:r>
      <w:r w:rsidRPr="00995B26">
        <w:rPr>
          <w:rFonts w:ascii="Abo-thar" w:hAnsi="Abo-thar" w:hint="eastAsia"/>
          <w:sz w:val="28"/>
          <w:rtl/>
          <w:lang w:bidi="ar-SY"/>
        </w:rPr>
        <w:t>«</w:t>
      </w:r>
      <w:r w:rsidRPr="00995B26">
        <w:rPr>
          <w:rFonts w:ascii="Abo-thar" w:hAnsi="Abo-thar" w:hint="cs"/>
          <w:sz w:val="28"/>
          <w:rtl/>
          <w:lang w:bidi="ar-SY"/>
        </w:rPr>
        <w:t>علي بن أبي حمزة البطائني</w:t>
      </w:r>
      <w:r w:rsidRPr="00995B26">
        <w:rPr>
          <w:rFonts w:ascii="Abo-thar" w:hAnsi="Abo-thar" w:hint="eastAsia"/>
          <w:sz w:val="28"/>
          <w:rtl/>
          <w:lang w:bidi="ar-SY"/>
        </w:rPr>
        <w:t>»</w:t>
      </w:r>
      <w:r w:rsidRPr="00995B26">
        <w:rPr>
          <w:rFonts w:ascii="Abo-thar" w:hAnsi="Abo-thar" w:hint="cs"/>
          <w:sz w:val="28"/>
          <w:rtl/>
          <w:lang w:bidi="ar-SY"/>
        </w:rPr>
        <w:t xml:space="preserve"> الذي لا يوجد أسوء منه سمعةً في كتب الرجال إلى الحد الذي قال عنه ابن الغضائري </w:t>
      </w:r>
      <w:r w:rsidR="00EF2588" w:rsidRPr="00995B26">
        <w:rPr>
          <w:rFonts w:ascii="Abo-thar" w:hAnsi="Abo-thar" w:hint="cs"/>
          <w:sz w:val="28"/>
          <w:rtl/>
          <w:lang w:bidi="ar-SY"/>
        </w:rPr>
        <w:t>«</w:t>
      </w:r>
      <w:r w:rsidRPr="00995B26">
        <w:rPr>
          <w:rFonts w:ascii="Abo-thar" w:hAnsi="Abo-thar"/>
          <w:b/>
          <w:bCs/>
          <w:sz w:val="28"/>
          <w:rtl/>
          <w:lang w:bidi="ar-SY"/>
        </w:rPr>
        <w:t>علي</w:t>
      </w:r>
      <w:r w:rsidRPr="00995B26">
        <w:rPr>
          <w:rFonts w:ascii="Abo-thar" w:hAnsi="Abo-thar" w:hint="cs"/>
          <w:b/>
          <w:bCs/>
          <w:sz w:val="28"/>
          <w:rtl/>
          <w:lang w:bidi="ar-SY"/>
        </w:rPr>
        <w:t>ُّ</w:t>
      </w:r>
      <w:r w:rsidRPr="00995B26">
        <w:rPr>
          <w:rFonts w:ascii="Abo-thar" w:hAnsi="Abo-thar"/>
          <w:b/>
          <w:bCs/>
          <w:sz w:val="28"/>
          <w:rtl/>
          <w:lang w:bidi="ar-SY"/>
        </w:rPr>
        <w:t xml:space="preserve"> بن حمزة لعنه الله أصل الوقف وأشدّ الخلق عداوةً للمولى «يعني الرضا </w:t>
      </w:r>
      <w:r w:rsidR="00217AB4" w:rsidRPr="00995B26">
        <w:rPr>
          <w:rFonts w:ascii="Abo-thar" w:hAnsi="Abo-thar"/>
          <w:b/>
          <w:bCs/>
          <w:sz w:val="28"/>
          <w:rtl/>
          <w:lang w:bidi="ar-SY"/>
        </w:rPr>
        <w:t>-</w:t>
      </w:r>
      <w:r w:rsidRPr="00995B26">
        <w:rPr>
          <w:rFonts w:ascii="Abo-thar" w:hAnsi="Abo-thar"/>
          <w:b/>
          <w:bCs/>
          <w:sz w:val="28"/>
          <w:rtl/>
          <w:lang w:bidi="ar-SY"/>
        </w:rPr>
        <w:t xml:space="preserve"> </w:t>
      </w:r>
      <w:r w:rsidR="003C7AEB" w:rsidRPr="003C7AEB">
        <w:rPr>
          <w:rFonts w:ascii="Abo-thar" w:hAnsi="Abo-thar" w:cs="CTraditional Arabic"/>
          <w:b/>
          <w:sz w:val="28"/>
          <w:rtl/>
          <w:lang w:bidi="ar-SY"/>
        </w:rPr>
        <w:t>÷</w:t>
      </w:r>
      <w:r w:rsidRPr="00995B26">
        <w:rPr>
          <w:rFonts w:ascii="Abo-thar" w:hAnsi="Abo-thar"/>
          <w:b/>
          <w:bCs/>
          <w:sz w:val="28"/>
          <w:rtl/>
          <w:lang w:bidi="ar-SY"/>
        </w:rPr>
        <w:t xml:space="preserve"> </w:t>
      </w:r>
      <w:r w:rsidR="00217AB4" w:rsidRPr="00995B26">
        <w:rPr>
          <w:rFonts w:ascii="Abo-thar" w:hAnsi="Abo-thar"/>
          <w:b/>
          <w:bCs/>
          <w:sz w:val="28"/>
          <w:rtl/>
          <w:lang w:bidi="ar-SY"/>
        </w:rPr>
        <w:t>-</w:t>
      </w:r>
      <w:r w:rsidRPr="00995B26">
        <w:rPr>
          <w:rFonts w:ascii="Abo-thar" w:hAnsi="Abo-thar"/>
          <w:b/>
          <w:bCs/>
          <w:sz w:val="28"/>
          <w:rtl/>
          <w:lang w:bidi="ar-SY"/>
        </w:rPr>
        <w:t>»</w:t>
      </w:r>
      <w:r w:rsidR="00EF2588" w:rsidRPr="00995B26">
        <w:rPr>
          <w:rFonts w:ascii="Abo-thar" w:hAnsi="Abo-thar" w:hint="cs"/>
          <w:sz w:val="28"/>
          <w:rtl/>
          <w:lang w:bidi="ar-SY"/>
        </w:rPr>
        <w:t>»</w:t>
      </w:r>
      <w:r w:rsidRPr="00995B26">
        <w:rPr>
          <w:rFonts w:ascii="Abo-thar" w:hAnsi="Abo-thar" w:hint="cs"/>
          <w:sz w:val="28"/>
          <w:rtl/>
          <w:lang w:bidi="ar-SY"/>
        </w:rPr>
        <w:t xml:space="preserve"> وهذا الرجل كان من مؤسسي ذلك الخمس [الذي عُرف بين الإمامية] حيث أخذ أموالاً طائلة من الشيعة باسم حضرة الإمام موسى بن جعفر </w:t>
      </w:r>
      <w:r w:rsidR="003C7AEB" w:rsidRPr="003C7AEB">
        <w:rPr>
          <w:rFonts w:ascii="Abo-thar" w:hAnsi="Abo-thar" w:cs="CTraditional Arabic" w:hint="cs"/>
          <w:sz w:val="28"/>
          <w:rtl/>
          <w:lang w:bidi="ar-SY"/>
        </w:rPr>
        <w:t>÷</w:t>
      </w:r>
      <w:r w:rsidR="00217AB4" w:rsidRPr="00995B26">
        <w:rPr>
          <w:rFonts w:ascii="Abo-thar" w:hAnsi="Abo-thar" w:hint="cs"/>
          <w:sz w:val="28"/>
          <w:rtl/>
          <w:lang w:bidi="ar-SY"/>
        </w:rPr>
        <w:t>.</w:t>
      </w:r>
      <w:r w:rsidRPr="00995B26">
        <w:rPr>
          <w:rFonts w:ascii="Abo-thar" w:hAnsi="Abo-thar" w:hint="cs"/>
          <w:sz w:val="28"/>
          <w:rtl/>
          <w:lang w:bidi="ar-SY"/>
        </w:rPr>
        <w:t xml:space="preserve"> ثم استولى على تلك الأموال بعد وفاة الإمام موسى بن جعفر واستولى حتى على الإماء اللواتي أخذهن باسم الإمام</w:t>
      </w:r>
      <w:r w:rsidR="00147857" w:rsidRPr="00995B26">
        <w:rPr>
          <w:rFonts w:ascii="Abo-thar" w:hAnsi="Abo-thar" w:hint="cs"/>
          <w:sz w:val="28"/>
          <w:rtl/>
          <w:lang w:bidi="ar-SY"/>
        </w:rPr>
        <w:t xml:space="preserve"> </w:t>
      </w:r>
      <w:r w:rsidRPr="00995B26">
        <w:rPr>
          <w:rFonts w:ascii="Abo-thar" w:hAnsi="Abo-thar" w:hint="cs"/>
          <w:sz w:val="28"/>
          <w:rtl/>
          <w:lang w:bidi="ar-SY"/>
        </w:rPr>
        <w:t>وابتدع مذهب الواقفة</w:t>
      </w:r>
      <w:r w:rsidR="00217AB4" w:rsidRPr="0021507A">
        <w:rPr>
          <w:rStyle w:val="FootnoteReference"/>
          <w:rFonts w:cs="Arabic11 BT"/>
          <w:b/>
          <w:sz w:val="28"/>
          <w:rtl/>
        </w:rPr>
        <w:t>(</w:t>
      </w:r>
      <w:r w:rsidRPr="0021507A">
        <w:rPr>
          <w:rStyle w:val="FootnoteReference"/>
          <w:rFonts w:cs="Arabic11 BT"/>
          <w:b/>
          <w:sz w:val="28"/>
          <w:rtl/>
        </w:rPr>
        <w:footnoteReference w:id="101"/>
      </w:r>
      <w:r w:rsidR="00217AB4" w:rsidRPr="0021507A">
        <w:rPr>
          <w:rStyle w:val="FootnoteReference"/>
          <w:rFonts w:cs="Arabic11 BT"/>
          <w:b/>
          <w:sz w:val="28"/>
          <w:rtl/>
        </w:rPr>
        <w:t>)</w:t>
      </w:r>
      <w:r w:rsidR="00217AB4" w:rsidRPr="00995B26">
        <w:rPr>
          <w:rFonts w:ascii="Abo-thar" w:hAnsi="Abo-thar" w:hint="cs"/>
          <w:sz w:val="28"/>
          <w:rtl/>
          <w:lang w:bidi="ar-SY"/>
        </w:rPr>
        <w:t>،</w:t>
      </w:r>
      <w:r w:rsidRPr="00995B26">
        <w:rPr>
          <w:rFonts w:ascii="Abo-thar" w:hAnsi="Abo-thar" w:hint="cs"/>
          <w:sz w:val="28"/>
          <w:rtl/>
          <w:lang w:bidi="ar-SY"/>
        </w:rPr>
        <w:t xml:space="preserve"> ولعله وضع هذا الحديث ليكون حجة له ومستمسكاً</w:t>
      </w:r>
      <w:r w:rsidR="00217AB4" w:rsidRPr="00995B26">
        <w:rPr>
          <w:rFonts w:ascii="Abo-thar" w:hAnsi="Abo-thar" w:hint="cs"/>
          <w:sz w:val="28"/>
          <w:rtl/>
          <w:lang w:bidi="ar-SY"/>
        </w:rPr>
        <w:t>!.</w:t>
      </w:r>
      <w:r w:rsidRPr="00995B26">
        <w:rPr>
          <w:rFonts w:ascii="Abo-thar" w:hAnsi="Abo-thar" w:hint="cs"/>
          <w:sz w:val="28"/>
          <w:rtl/>
          <w:lang w:bidi="ar-SY"/>
        </w:rPr>
        <w:t xml:space="preserve"> </w:t>
      </w:r>
    </w:p>
    <w:p w:rsidR="005C664D" w:rsidRPr="000913E5" w:rsidRDefault="005C664D" w:rsidP="003F3B94">
      <w:pPr>
        <w:pStyle w:val="a0"/>
        <w:rPr>
          <w:rFonts w:hint="cs"/>
          <w:spacing w:val="-3"/>
          <w:rtl/>
          <w:lang w:bidi="ar-SY"/>
        </w:rPr>
      </w:pPr>
      <w:r w:rsidRPr="000913E5">
        <w:rPr>
          <w:rFonts w:ascii="Abo-thar" w:hAnsi="Abo-thar" w:hint="cs"/>
          <w:spacing w:val="-3"/>
          <w:sz w:val="28"/>
          <w:rtl/>
          <w:lang w:bidi="ar-SY"/>
        </w:rPr>
        <w:t>وأما الأحاديث التي جاء فيها أن اليتامى والمساكين وابن السبيل في آية خمس الغنائم هم من آل محمد</w:t>
      </w:r>
      <w:r w:rsidR="00147857" w:rsidRPr="000913E5">
        <w:rPr>
          <w:rFonts w:ascii="Abo-thar" w:hAnsi="Abo-thar" w:hint="cs"/>
          <w:spacing w:val="-3"/>
          <w:sz w:val="28"/>
          <w:rtl/>
          <w:lang w:bidi="ar-SY"/>
        </w:rPr>
        <w:t xml:space="preserve"> </w:t>
      </w:r>
      <w:r w:rsidR="003C7AEB" w:rsidRPr="000913E5">
        <w:rPr>
          <w:rFonts w:ascii="Abo-thar" w:hAnsi="Abo-thar" w:cs="CTraditional Arabic" w:hint="cs"/>
          <w:spacing w:val="-3"/>
          <w:sz w:val="28"/>
          <w:rtl/>
          <w:lang w:bidi="ar-SY"/>
        </w:rPr>
        <w:t>ص</w:t>
      </w:r>
      <w:r w:rsidR="00147857" w:rsidRPr="000913E5">
        <w:rPr>
          <w:rFonts w:ascii="Abo-thar" w:hAnsi="Abo-thar" w:hint="cs"/>
          <w:spacing w:val="-3"/>
          <w:sz w:val="28"/>
          <w:rtl/>
          <w:lang w:bidi="ar-SY"/>
        </w:rPr>
        <w:t xml:space="preserve"> </w:t>
      </w:r>
      <w:r w:rsidRPr="000913E5">
        <w:rPr>
          <w:rFonts w:ascii="Abo-thar" w:hAnsi="Abo-thar" w:hint="cs"/>
          <w:spacing w:val="-3"/>
          <w:sz w:val="28"/>
          <w:rtl/>
          <w:lang w:bidi="ar-SY"/>
        </w:rPr>
        <w:t xml:space="preserve">خاصة فلا يصح أي واحد منها ومعظمها مروية عن رواة من أمثال </w:t>
      </w:r>
      <w:r w:rsidRPr="000913E5">
        <w:rPr>
          <w:rFonts w:ascii="Abo-thar" w:hAnsi="Abo-thar" w:hint="eastAsia"/>
          <w:spacing w:val="-3"/>
          <w:sz w:val="28"/>
          <w:rtl/>
          <w:lang w:bidi="ar-SY"/>
        </w:rPr>
        <w:t>«</w:t>
      </w:r>
      <w:r w:rsidRPr="000913E5">
        <w:rPr>
          <w:rFonts w:ascii="Abo-thar" w:hAnsi="Abo-thar" w:hint="cs"/>
          <w:b/>
          <w:bCs/>
          <w:spacing w:val="-3"/>
          <w:sz w:val="28"/>
          <w:rtl/>
          <w:lang w:bidi="ar-SY"/>
        </w:rPr>
        <w:t>علي بن أبي حمزة</w:t>
      </w:r>
      <w:r w:rsidRPr="000913E5">
        <w:rPr>
          <w:rFonts w:ascii="Abo-thar" w:hAnsi="Abo-thar" w:hint="eastAsia"/>
          <w:spacing w:val="-3"/>
          <w:sz w:val="28"/>
          <w:rtl/>
          <w:lang w:bidi="ar-SY"/>
        </w:rPr>
        <w:t>»</w:t>
      </w:r>
      <w:r w:rsidRPr="000913E5">
        <w:rPr>
          <w:rFonts w:ascii="Abo-thar" w:hAnsi="Abo-thar" w:hint="cs"/>
          <w:spacing w:val="-3"/>
          <w:sz w:val="28"/>
          <w:rtl/>
          <w:lang w:bidi="ar-SY"/>
        </w:rPr>
        <w:t xml:space="preserve"> و</w:t>
      </w:r>
      <w:r w:rsidRPr="000913E5">
        <w:rPr>
          <w:rFonts w:ascii="Abo-thar" w:hAnsi="Abo-thar" w:hint="eastAsia"/>
          <w:spacing w:val="-3"/>
          <w:sz w:val="28"/>
          <w:rtl/>
          <w:lang w:bidi="ar-SY"/>
        </w:rPr>
        <w:t>«</w:t>
      </w:r>
      <w:r w:rsidRPr="000913E5">
        <w:rPr>
          <w:rFonts w:ascii="Abo-thar" w:hAnsi="Abo-thar" w:hint="cs"/>
          <w:b/>
          <w:bCs/>
          <w:spacing w:val="-3"/>
          <w:sz w:val="28"/>
          <w:rtl/>
          <w:lang w:bidi="ar-SY"/>
        </w:rPr>
        <w:t>علي بن فضال</w:t>
      </w:r>
      <w:r w:rsidRPr="000913E5">
        <w:rPr>
          <w:rFonts w:ascii="Abo-thar" w:hAnsi="Abo-thar" w:hint="eastAsia"/>
          <w:spacing w:val="-3"/>
          <w:sz w:val="28"/>
          <w:rtl/>
          <w:lang w:bidi="ar-SY"/>
        </w:rPr>
        <w:t>»</w:t>
      </w:r>
      <w:r w:rsidRPr="000913E5">
        <w:rPr>
          <w:rFonts w:ascii="Abo-thar" w:hAnsi="Abo-thar" w:hint="cs"/>
          <w:spacing w:val="-3"/>
          <w:sz w:val="28"/>
          <w:rtl/>
          <w:lang w:bidi="ar-SY"/>
        </w:rPr>
        <w:t xml:space="preserve"> و</w:t>
      </w:r>
      <w:r w:rsidRPr="000913E5">
        <w:rPr>
          <w:rFonts w:ascii="Abo-thar" w:hAnsi="Abo-thar" w:hint="eastAsia"/>
          <w:spacing w:val="-3"/>
          <w:sz w:val="28"/>
          <w:rtl/>
          <w:lang w:bidi="ar-SY"/>
        </w:rPr>
        <w:t>«</w:t>
      </w:r>
      <w:r w:rsidRPr="000913E5">
        <w:rPr>
          <w:rFonts w:ascii="Abo-thar" w:hAnsi="Abo-thar" w:hint="cs"/>
          <w:b/>
          <w:bCs/>
          <w:spacing w:val="-3"/>
          <w:sz w:val="28"/>
          <w:rtl/>
          <w:lang w:bidi="ar-SY"/>
        </w:rPr>
        <w:t>الحسن بن فضال</w:t>
      </w:r>
      <w:r w:rsidRPr="000913E5">
        <w:rPr>
          <w:rFonts w:ascii="Abo-thar" w:hAnsi="Abo-thar" w:hint="eastAsia"/>
          <w:spacing w:val="-3"/>
          <w:sz w:val="28"/>
          <w:rtl/>
          <w:lang w:bidi="ar-SY"/>
        </w:rPr>
        <w:t>»</w:t>
      </w:r>
      <w:r w:rsidRPr="000913E5">
        <w:rPr>
          <w:rFonts w:ascii="Abo-thar" w:hAnsi="Abo-thar" w:hint="cs"/>
          <w:spacing w:val="-3"/>
          <w:sz w:val="28"/>
          <w:rtl/>
          <w:lang w:bidi="ar-SY"/>
        </w:rPr>
        <w:t xml:space="preserve"> الضالين المضلين الذين بينا سوء أحوالهم في كتابنا </w:t>
      </w:r>
      <w:r w:rsidRPr="000913E5">
        <w:rPr>
          <w:rFonts w:ascii="Abo-thar" w:hAnsi="Abo-thar" w:hint="eastAsia"/>
          <w:spacing w:val="-3"/>
          <w:sz w:val="28"/>
          <w:rtl/>
          <w:lang w:bidi="ar-SY"/>
        </w:rPr>
        <w:t>«</w:t>
      </w:r>
      <w:r w:rsidRPr="000913E5">
        <w:rPr>
          <w:rFonts w:ascii="Abo-thar" w:hAnsi="Abo-thar" w:hint="cs"/>
          <w:b/>
          <w:bCs/>
          <w:spacing w:val="-3"/>
          <w:sz w:val="28"/>
          <w:rtl/>
          <w:lang w:bidi="ar-SY"/>
        </w:rPr>
        <w:t>الزكاة</w:t>
      </w:r>
      <w:r w:rsidRPr="000913E5">
        <w:rPr>
          <w:rFonts w:ascii="Abo-thar" w:hAnsi="Abo-thar" w:hint="eastAsia"/>
          <w:spacing w:val="-3"/>
          <w:sz w:val="28"/>
          <w:rtl/>
          <w:lang w:bidi="ar-SY"/>
        </w:rPr>
        <w:t>»</w:t>
      </w:r>
      <w:r w:rsidR="00217AB4" w:rsidRPr="000913E5">
        <w:rPr>
          <w:rFonts w:ascii="Abo-thar" w:hAnsi="Abo-thar" w:hint="cs"/>
          <w:spacing w:val="-3"/>
          <w:sz w:val="28"/>
          <w:rtl/>
          <w:lang w:bidi="ar-SY"/>
        </w:rPr>
        <w:t>.</w:t>
      </w:r>
      <w:r w:rsidRPr="000913E5">
        <w:rPr>
          <w:rFonts w:ascii="Abo-thar" w:hAnsi="Abo-thar" w:hint="cs"/>
          <w:spacing w:val="-3"/>
          <w:sz w:val="28"/>
          <w:rtl/>
          <w:lang w:bidi="ar-SY"/>
        </w:rPr>
        <w:t xml:space="preserve"> </w:t>
      </w:r>
    </w:p>
    <w:p w:rsidR="005C664D" w:rsidRPr="003F3B94" w:rsidRDefault="005C664D" w:rsidP="003F3B94">
      <w:pPr>
        <w:pStyle w:val="a0"/>
        <w:rPr>
          <w:rFonts w:hint="cs"/>
          <w:rtl/>
          <w:lang w:bidi="ar-SY"/>
        </w:rPr>
      </w:pPr>
      <w:r w:rsidRPr="003F3B94">
        <w:rPr>
          <w:rFonts w:ascii="Abo-thar" w:hAnsi="Abo-thar" w:hint="cs"/>
          <w:sz w:val="28"/>
          <w:rtl/>
          <w:lang w:bidi="ar-SY"/>
        </w:rPr>
        <w:t xml:space="preserve">فمثلاً جاء في كتاب </w:t>
      </w:r>
      <w:r w:rsidRPr="003F3B94">
        <w:rPr>
          <w:rFonts w:ascii="Abo-thar" w:hAnsi="Abo-thar" w:hint="eastAsia"/>
          <w:sz w:val="28"/>
          <w:rtl/>
          <w:lang w:bidi="ar-SY"/>
        </w:rPr>
        <w:t>«</w:t>
      </w:r>
      <w:r w:rsidRPr="003F3B94">
        <w:rPr>
          <w:rFonts w:ascii="Abo-thar" w:hAnsi="Abo-thar" w:hint="cs"/>
          <w:b/>
          <w:bCs/>
          <w:sz w:val="28"/>
          <w:rtl/>
          <w:lang w:bidi="ar-SY"/>
        </w:rPr>
        <w:t>تهذيب الأحكام</w:t>
      </w:r>
      <w:r w:rsidRPr="003F3B94">
        <w:rPr>
          <w:rFonts w:ascii="Abo-thar" w:hAnsi="Abo-thar" w:hint="eastAsia"/>
          <w:sz w:val="28"/>
          <w:rtl/>
          <w:lang w:bidi="ar-SY"/>
        </w:rPr>
        <w:t>»</w:t>
      </w:r>
      <w:r w:rsidRPr="003F3B94">
        <w:rPr>
          <w:rFonts w:ascii="Abo-thar" w:hAnsi="Abo-thar" w:hint="cs"/>
          <w:sz w:val="28"/>
          <w:rtl/>
          <w:lang w:bidi="ar-SY"/>
        </w:rPr>
        <w:t xml:space="preserve"> للشيخ الطوسي </w:t>
      </w:r>
      <w:r w:rsidR="00217AB4" w:rsidRPr="003F3B94">
        <w:rPr>
          <w:rFonts w:ascii="Abo-thar" w:hAnsi="Abo-thar" w:hint="cs"/>
          <w:sz w:val="28"/>
          <w:rtl/>
          <w:lang w:bidi="ar-SY"/>
        </w:rPr>
        <w:t>(</w:t>
      </w:r>
      <w:r w:rsidRPr="003F3B94">
        <w:rPr>
          <w:rFonts w:ascii="Abo-thar" w:hAnsi="Abo-thar" w:hint="cs"/>
          <w:sz w:val="28"/>
          <w:rtl/>
          <w:lang w:bidi="ar-SY"/>
        </w:rPr>
        <w:t>ج4/ص125</w:t>
      </w:r>
      <w:r w:rsidR="00217AB4" w:rsidRPr="003F3B94">
        <w:rPr>
          <w:rFonts w:ascii="Abo-thar" w:hAnsi="Abo-thar" w:hint="cs"/>
          <w:sz w:val="28"/>
          <w:rtl/>
          <w:lang w:bidi="ar-SY"/>
        </w:rPr>
        <w:t>)</w:t>
      </w:r>
      <w:r w:rsidRPr="003F3B94">
        <w:rPr>
          <w:rFonts w:ascii="Abo-thar" w:hAnsi="Abo-thar" w:hint="cs"/>
          <w:sz w:val="28"/>
          <w:rtl/>
          <w:lang w:bidi="ar-SY"/>
        </w:rPr>
        <w:t xml:space="preserve"> طبع النجف في باب </w:t>
      </w:r>
      <w:r w:rsidR="00217AB4" w:rsidRPr="003F3B94">
        <w:rPr>
          <w:rFonts w:ascii="Abo-thar" w:hAnsi="Abo-thar" w:hint="cs"/>
          <w:sz w:val="28"/>
          <w:rtl/>
          <w:lang w:bidi="ar-SY"/>
        </w:rPr>
        <w:t>(</w:t>
      </w:r>
      <w:r w:rsidRPr="003F3B94">
        <w:rPr>
          <w:rFonts w:ascii="Abo-thar" w:hAnsi="Abo-thar" w:hint="cs"/>
          <w:sz w:val="28"/>
          <w:rtl/>
          <w:lang w:bidi="ar-SY"/>
        </w:rPr>
        <w:t>تمييز أهل الخمس ومستحقه</w:t>
      </w:r>
      <w:r w:rsidR="00217AB4" w:rsidRPr="003F3B94">
        <w:rPr>
          <w:rFonts w:ascii="Abo-thar" w:hAnsi="Abo-thar" w:hint="cs"/>
          <w:sz w:val="28"/>
          <w:rtl/>
          <w:lang w:bidi="ar-SY"/>
        </w:rPr>
        <w:t>)</w:t>
      </w:r>
      <w:r w:rsidRPr="003F3B94">
        <w:rPr>
          <w:rFonts w:ascii="Abo-thar" w:hAnsi="Abo-thar" w:hint="cs"/>
          <w:sz w:val="28"/>
          <w:rtl/>
          <w:lang w:bidi="ar-SY"/>
        </w:rPr>
        <w:t xml:space="preserve"> في آخر الحديث </w:t>
      </w:r>
      <w:r w:rsidR="00217AB4" w:rsidRPr="003F3B94">
        <w:rPr>
          <w:rFonts w:ascii="Abo-thar" w:hAnsi="Abo-thar" w:hint="cs"/>
          <w:sz w:val="28"/>
          <w:rtl/>
          <w:lang w:bidi="ar-SY"/>
        </w:rPr>
        <w:t>(</w:t>
      </w:r>
      <w:r w:rsidRPr="003F3B94">
        <w:rPr>
          <w:rFonts w:ascii="Abo-thar" w:hAnsi="Abo-thar" w:hint="cs"/>
          <w:sz w:val="28"/>
          <w:rtl/>
          <w:lang w:bidi="ar-SY"/>
        </w:rPr>
        <w:t>361</w:t>
      </w:r>
      <w:r w:rsidR="00217AB4" w:rsidRPr="003F3B94">
        <w:rPr>
          <w:rFonts w:ascii="Abo-thar" w:hAnsi="Abo-thar" w:hint="cs"/>
          <w:sz w:val="28"/>
          <w:rtl/>
          <w:lang w:bidi="ar-SY"/>
        </w:rPr>
        <w:t>)</w:t>
      </w:r>
      <w:r w:rsidR="00217AB4" w:rsidRPr="0021507A">
        <w:rPr>
          <w:rFonts w:cs="Arabic11 BT"/>
          <w:b/>
          <w:sz w:val="28"/>
          <w:vertAlign w:val="superscript"/>
          <w:rtl/>
          <w:lang w:bidi="ar-SY"/>
        </w:rPr>
        <w:t>(</w:t>
      </w:r>
      <w:r w:rsidRPr="0021507A">
        <w:rPr>
          <w:rStyle w:val="FootnoteReference"/>
          <w:rFonts w:cs="Arabic11 BT"/>
          <w:b/>
          <w:sz w:val="28"/>
          <w:rtl/>
          <w:lang w:bidi="ar-SY"/>
        </w:rPr>
        <w:footnoteReference w:id="102"/>
      </w:r>
      <w:r w:rsidR="00217AB4" w:rsidRPr="0021507A">
        <w:rPr>
          <w:rFonts w:cs="Arabic11 BT"/>
          <w:b/>
          <w:sz w:val="28"/>
          <w:vertAlign w:val="superscript"/>
          <w:rtl/>
          <w:lang w:bidi="ar-SY"/>
        </w:rPr>
        <w:t>)</w:t>
      </w:r>
      <w:r w:rsidRPr="003F3B94">
        <w:rPr>
          <w:rFonts w:ascii="Abo-thar" w:hAnsi="Abo-thar" w:hint="cs"/>
          <w:sz w:val="28"/>
          <w:rtl/>
          <w:lang w:bidi="ar-SY"/>
        </w:rPr>
        <w:t xml:space="preserve"> العبارة التالية</w:t>
      </w:r>
      <w:r w:rsidR="00217AB4" w:rsidRPr="003F3B94">
        <w:rPr>
          <w:rFonts w:ascii="Abo-thar" w:hAnsi="Abo-thar" w:hint="cs"/>
          <w:sz w:val="28"/>
          <w:rtl/>
          <w:lang w:bidi="ar-SY"/>
        </w:rPr>
        <w:t>:</w:t>
      </w:r>
      <w:r w:rsidRPr="003F3B94">
        <w:rPr>
          <w:rFonts w:ascii="Abo-thar" w:hAnsi="Abo-thar" w:hint="cs"/>
          <w:sz w:val="28"/>
          <w:rtl/>
          <w:lang w:bidi="ar-SY"/>
        </w:rPr>
        <w:t xml:space="preserve"> </w:t>
      </w:r>
      <w:r w:rsidR="00EF2588" w:rsidRPr="00CE7623">
        <w:rPr>
          <w:rFonts w:ascii="Abo-thar" w:hAnsi="Abo-thar" w:cs="KFGQPC Uthman Taha Naskh" w:hint="cs"/>
          <w:sz w:val="28"/>
          <w:rtl/>
          <w:lang w:bidi="ar-SY"/>
        </w:rPr>
        <w:t>«</w:t>
      </w:r>
      <w:r w:rsidRPr="00CE7623">
        <w:rPr>
          <w:rFonts w:ascii="Abo-thar" w:hAnsi="Abo-thar" w:cs="KFGQPC Uthman Taha Naskh"/>
          <w:b/>
          <w:bCs/>
          <w:sz w:val="28"/>
          <w:rtl/>
          <w:lang w:bidi="ar-SY"/>
        </w:rPr>
        <w:t>وَالْيَتَامَى يَتَامَى آلِ الرَّسُولِ وَالمَسَاكِينُ مِنْهُمْ وَأَبْنَاءُ السَّبِيلِ مِنْهُمْ فَلَا يُخْرَجُ مِنْهُمْ إِلَى غَيْرِهِمْ</w:t>
      </w:r>
      <w:r w:rsidR="00EF2588" w:rsidRPr="00CE7623">
        <w:rPr>
          <w:rFonts w:ascii="Abo-thar" w:hAnsi="Abo-thar" w:cs="KFGQPC Uthman Taha Naskh" w:hint="cs"/>
          <w:sz w:val="28"/>
          <w:rtl/>
          <w:lang w:bidi="ar-SY"/>
        </w:rPr>
        <w:t>»</w:t>
      </w:r>
      <w:r w:rsidR="00217AB4" w:rsidRPr="003F3B94">
        <w:rPr>
          <w:rFonts w:ascii="Abo-thar" w:hAnsi="Abo-thar" w:hint="cs"/>
          <w:sz w:val="28"/>
          <w:rtl/>
          <w:lang w:bidi="ar-SY"/>
        </w:rPr>
        <w:t>.</w:t>
      </w:r>
      <w:r w:rsidRPr="003F3B94">
        <w:rPr>
          <w:rFonts w:ascii="Abo-thar" w:hAnsi="Abo-thar" w:hint="cs"/>
          <w:sz w:val="28"/>
          <w:rtl/>
          <w:lang w:bidi="ar-SY"/>
        </w:rPr>
        <w:t xml:space="preserve"> </w:t>
      </w:r>
    </w:p>
    <w:p w:rsidR="005C664D" w:rsidRPr="003F3B94" w:rsidRDefault="005C664D" w:rsidP="003F3B94">
      <w:pPr>
        <w:pStyle w:val="a0"/>
        <w:rPr>
          <w:rFonts w:hint="cs"/>
          <w:rtl/>
        </w:rPr>
      </w:pPr>
      <w:r w:rsidRPr="003F3B94">
        <w:rPr>
          <w:rFonts w:ascii="Abo-thar" w:hAnsi="Abo-thar" w:hint="cs"/>
          <w:sz w:val="28"/>
          <w:rtl/>
          <w:lang w:bidi="ar-SY"/>
        </w:rPr>
        <w:t>وهذا الحديث يرويه «</w:t>
      </w:r>
      <w:r w:rsidRPr="003F3B94">
        <w:rPr>
          <w:rFonts w:ascii="Abo-thar" w:hAnsi="Abo-thar"/>
          <w:b/>
          <w:bCs/>
          <w:sz w:val="28"/>
          <w:rtl/>
          <w:lang w:bidi="ar-SY"/>
        </w:rPr>
        <w:t>أَحْمَد</w:t>
      </w:r>
      <w:r w:rsidRPr="003F3B94">
        <w:rPr>
          <w:rFonts w:ascii="Abo-thar" w:hAnsi="Abo-thar" w:hint="cs"/>
          <w:b/>
          <w:bCs/>
          <w:sz w:val="28"/>
          <w:rtl/>
          <w:lang w:bidi="ar-SY"/>
        </w:rPr>
        <w:t>ُ</w:t>
      </w:r>
      <w:r w:rsidRPr="003F3B94">
        <w:rPr>
          <w:rFonts w:ascii="Abo-thar" w:hAnsi="Abo-thar"/>
          <w:b/>
          <w:bCs/>
          <w:sz w:val="28"/>
          <w:rtl/>
          <w:lang w:bidi="ar-SY"/>
        </w:rPr>
        <w:t xml:space="preserve"> بْن</w:t>
      </w:r>
      <w:r w:rsidRPr="003F3B94">
        <w:rPr>
          <w:rFonts w:ascii="Abo-thar" w:hAnsi="Abo-thar" w:hint="cs"/>
          <w:b/>
          <w:bCs/>
          <w:sz w:val="28"/>
          <w:rtl/>
          <w:lang w:bidi="ar-SY"/>
        </w:rPr>
        <w:t>ُ</w:t>
      </w:r>
      <w:r w:rsidRPr="003F3B94">
        <w:rPr>
          <w:rFonts w:ascii="Abo-thar" w:hAnsi="Abo-thar"/>
          <w:b/>
          <w:bCs/>
          <w:sz w:val="28"/>
          <w:rtl/>
          <w:lang w:bidi="ar-SY"/>
        </w:rPr>
        <w:t xml:space="preserve"> الحَسَنِ بْنِ عَلِيِّ </w:t>
      </w:r>
      <w:r w:rsidRPr="003F3B94">
        <w:rPr>
          <w:rFonts w:ascii="Abo-thar" w:hAnsi="Abo-thar" w:hint="cs"/>
          <w:b/>
          <w:bCs/>
          <w:sz w:val="28"/>
          <w:rtl/>
          <w:lang w:bidi="ar-SY"/>
        </w:rPr>
        <w:t>عَ</w:t>
      </w:r>
      <w:r w:rsidRPr="003F3B94">
        <w:rPr>
          <w:rFonts w:ascii="Abo-thar" w:hAnsi="Abo-thar"/>
          <w:b/>
          <w:bCs/>
          <w:sz w:val="28"/>
          <w:rtl/>
          <w:lang w:bidi="ar-SY"/>
        </w:rPr>
        <w:t>نِ أَبِيه</w:t>
      </w:r>
      <w:r w:rsidRPr="003F3B94">
        <w:rPr>
          <w:rFonts w:ascii="Abo-thar" w:hAnsi="Abo-thar" w:hint="cs"/>
          <w:sz w:val="28"/>
          <w:rtl/>
          <w:lang w:bidi="ar-SY"/>
        </w:rPr>
        <w:t xml:space="preserve"> </w:t>
      </w:r>
      <w:r w:rsidRPr="003F3B94">
        <w:rPr>
          <w:rFonts w:ascii="Abo-thar" w:hAnsi="Abo-thar" w:hint="cs"/>
          <w:b/>
          <w:bCs/>
          <w:sz w:val="28"/>
          <w:rtl/>
          <w:lang w:bidi="ar-SY"/>
        </w:rPr>
        <w:t xml:space="preserve">الحَسَنِ بن </w:t>
      </w:r>
      <w:r w:rsidRPr="003F3B94">
        <w:rPr>
          <w:rFonts w:ascii="Abo-thar" w:hAnsi="Abo-thar"/>
          <w:b/>
          <w:bCs/>
          <w:sz w:val="28"/>
          <w:rtl/>
          <w:lang w:bidi="ar-SY"/>
        </w:rPr>
        <w:t>عَلِيِّ</w:t>
      </w:r>
      <w:r w:rsidRPr="003F3B94">
        <w:rPr>
          <w:rFonts w:ascii="Abo-thar" w:hAnsi="Abo-thar" w:hint="cs"/>
          <w:b/>
          <w:bCs/>
          <w:sz w:val="28"/>
          <w:rtl/>
          <w:lang w:bidi="ar-SY"/>
        </w:rPr>
        <w:t xml:space="preserve"> بنِ فَضَّال</w:t>
      </w:r>
      <w:r w:rsidRPr="003F3B94">
        <w:rPr>
          <w:rFonts w:ascii="Abo-thar" w:hAnsi="Abo-thar" w:hint="eastAsia"/>
          <w:sz w:val="28"/>
          <w:rtl/>
          <w:lang w:bidi="ar-SY"/>
        </w:rPr>
        <w:t>»</w:t>
      </w:r>
      <w:r w:rsidRPr="003F3B94">
        <w:rPr>
          <w:rFonts w:ascii="Abo-thar" w:hAnsi="Abo-thar" w:hint="cs"/>
          <w:sz w:val="28"/>
          <w:rtl/>
          <w:lang w:bidi="ar-SY"/>
        </w:rPr>
        <w:t xml:space="preserve"> عن الإمام</w:t>
      </w:r>
      <w:r w:rsidR="00217AB4" w:rsidRPr="003F3B94">
        <w:rPr>
          <w:rFonts w:ascii="Abo-thar" w:hAnsi="Abo-thar" w:hint="cs"/>
          <w:sz w:val="28"/>
          <w:rtl/>
          <w:lang w:bidi="ar-SY"/>
        </w:rPr>
        <w:t>.</w:t>
      </w:r>
      <w:r w:rsidRPr="003F3B94">
        <w:rPr>
          <w:rFonts w:ascii="Abo-thar" w:hAnsi="Abo-thar" w:hint="cs"/>
          <w:sz w:val="28"/>
          <w:rtl/>
          <w:lang w:bidi="ar-SY"/>
        </w:rPr>
        <w:t xml:space="preserve"> و«</w:t>
      </w:r>
      <w:r w:rsidRPr="003F3B94">
        <w:rPr>
          <w:rFonts w:ascii="Abo-thar" w:hAnsi="Abo-thar" w:hint="cs"/>
          <w:b/>
          <w:bCs/>
          <w:sz w:val="28"/>
          <w:rtl/>
          <w:lang w:bidi="ar-SY"/>
        </w:rPr>
        <w:t>الحسَنُ بنُ عليِّ بن فَضَّال</w:t>
      </w:r>
      <w:r w:rsidRPr="003F3B94">
        <w:rPr>
          <w:rFonts w:ascii="Abo-thar" w:hAnsi="Abo-thar" w:hint="cs"/>
          <w:sz w:val="28"/>
          <w:rtl/>
          <w:lang w:bidi="ar-SY"/>
        </w:rPr>
        <w:t>» هذا</w:t>
      </w:r>
      <w:r w:rsidR="00217AB4" w:rsidRPr="003F3B94">
        <w:rPr>
          <w:rFonts w:ascii="Abo-thar" w:hAnsi="Abo-thar" w:hint="cs"/>
          <w:sz w:val="28"/>
          <w:rtl/>
          <w:lang w:bidi="ar-SY"/>
        </w:rPr>
        <w:t>،</w:t>
      </w:r>
      <w:r w:rsidRPr="003F3B94">
        <w:rPr>
          <w:rFonts w:ascii="Abo-thar" w:hAnsi="Abo-thar" w:hint="cs"/>
          <w:sz w:val="28"/>
          <w:rtl/>
          <w:lang w:bidi="ar-SY"/>
        </w:rPr>
        <w:t xml:space="preserve"> قال عنه المرحوم صاحب السرائر أنه كافر وملعون ورأس كل ضلال</w:t>
      </w:r>
      <w:r w:rsidR="005B20E7" w:rsidRPr="003F3B94">
        <w:rPr>
          <w:rFonts w:ascii="Abo-thar" w:hAnsi="Abo-thar" w:hint="cs"/>
          <w:sz w:val="28"/>
          <w:rtl/>
          <w:lang w:bidi="ar-SY"/>
        </w:rPr>
        <w:t>.</w:t>
      </w:r>
    </w:p>
    <w:p w:rsidR="005C664D" w:rsidRPr="003F3B94" w:rsidRDefault="005C664D" w:rsidP="003F3B94">
      <w:pPr>
        <w:pStyle w:val="a0"/>
        <w:rPr>
          <w:rFonts w:hint="cs"/>
          <w:rtl/>
          <w:lang w:bidi="ar-SY"/>
        </w:rPr>
      </w:pPr>
      <w:r w:rsidRPr="003F3B94">
        <w:rPr>
          <w:rFonts w:ascii="Abo-thar" w:hAnsi="Abo-thar" w:hint="cs"/>
          <w:sz w:val="28"/>
          <w:rtl/>
          <w:lang w:bidi="ar-SY"/>
        </w:rPr>
        <w:t>والحديث الآخر</w:t>
      </w:r>
      <w:r w:rsidR="00217AB4" w:rsidRPr="003F3B94">
        <w:rPr>
          <w:rFonts w:ascii="Abo-thar" w:hAnsi="Abo-thar" w:hint="cs"/>
          <w:sz w:val="28"/>
          <w:rtl/>
          <w:lang w:bidi="ar-SY"/>
        </w:rPr>
        <w:t>،</w:t>
      </w:r>
      <w:r w:rsidRPr="003F3B94">
        <w:rPr>
          <w:rFonts w:ascii="Abo-thar" w:hAnsi="Abo-thar" w:hint="cs"/>
          <w:sz w:val="28"/>
          <w:rtl/>
          <w:lang w:bidi="ar-SY"/>
        </w:rPr>
        <w:t xml:space="preserve"> أي الحديث الثالث في الباب ذاته من كتاب «</w:t>
      </w:r>
      <w:r w:rsidRPr="003F3B94">
        <w:rPr>
          <w:rFonts w:ascii="Abo-thar" w:hAnsi="Abo-thar" w:hint="cs"/>
          <w:b/>
          <w:bCs/>
          <w:sz w:val="28"/>
          <w:rtl/>
          <w:lang w:bidi="ar-SY"/>
        </w:rPr>
        <w:t>التهذيب</w:t>
      </w:r>
      <w:r w:rsidRPr="003F3B94">
        <w:rPr>
          <w:rFonts w:ascii="Abo-thar" w:hAnsi="Abo-thar" w:hint="cs"/>
          <w:sz w:val="28"/>
          <w:rtl/>
          <w:lang w:bidi="ar-SY"/>
        </w:rPr>
        <w:t>» جاء في آخره جملة</w:t>
      </w:r>
      <w:r w:rsidR="00217AB4" w:rsidRPr="003F3B94">
        <w:rPr>
          <w:rFonts w:ascii="Abo-thar" w:hAnsi="Abo-thar" w:hint="cs"/>
          <w:sz w:val="28"/>
          <w:rtl/>
          <w:lang w:bidi="ar-SY"/>
        </w:rPr>
        <w:t>:</w:t>
      </w:r>
      <w:r w:rsidRPr="003F3B94">
        <w:rPr>
          <w:rFonts w:ascii="Abo-thar" w:hAnsi="Abo-thar" w:hint="cs"/>
          <w:sz w:val="28"/>
          <w:rtl/>
          <w:lang w:bidi="ar-SY"/>
        </w:rPr>
        <w:t xml:space="preserve"> </w:t>
      </w:r>
      <w:r w:rsidR="00EF2588" w:rsidRPr="00CE7623">
        <w:rPr>
          <w:rFonts w:ascii="Abo-thar" w:hAnsi="Abo-thar" w:cs="KFGQPC Uthman Taha Naskh" w:hint="cs"/>
          <w:sz w:val="28"/>
          <w:rtl/>
          <w:lang w:bidi="ar-SY"/>
        </w:rPr>
        <w:t>«</w:t>
      </w:r>
      <w:r w:rsidR="005B20E7" w:rsidRPr="00CE7623">
        <w:rPr>
          <w:rFonts w:ascii="Abo-thar" w:hAnsi="Abo-thar" w:cs="KFGQPC Uthman Taha Naskh"/>
          <w:b/>
          <w:bCs/>
          <w:sz w:val="28"/>
          <w:rtl/>
          <w:lang w:bidi="ar-SY"/>
        </w:rPr>
        <w:t>وَ</w:t>
      </w:r>
      <w:r w:rsidRPr="00CE7623">
        <w:rPr>
          <w:rFonts w:ascii="Abo-thar" w:hAnsi="Abo-thar" w:cs="KFGQPC Uthman Taha Naskh"/>
          <w:b/>
          <w:bCs/>
          <w:sz w:val="28"/>
          <w:rtl/>
          <w:lang w:bidi="ar-SY"/>
        </w:rPr>
        <w:t>نِصْفُ الخُمُسِ الْبَاقِي بَيْنَ أَهْلِ بَيْتِهِ سَهْمٌ لِأَيْتَامِهِمْ وَسَهْمٌ لِمَسَاكِينِهِمْ وَسَهْمٌ لِأَبْنَاءِ سَبِيلِهِمْ يُقْسَمُ بَيْنَهُمْ عَلَى الْكَفَافِ وَالسَّعَةِ مَا يَسْتَغْنُونَ بِهِ فِي سَنَتِهِمْ</w:t>
      </w:r>
      <w:r w:rsidR="00217AB4" w:rsidRPr="00CE7623">
        <w:rPr>
          <w:rFonts w:ascii="Abo-thar" w:hAnsi="Abo-thar" w:cs="KFGQPC Uthman Taha Naskh" w:hint="cs"/>
          <w:sz w:val="28"/>
          <w:rtl/>
          <w:lang w:bidi="ar-SY"/>
        </w:rPr>
        <w:t>،</w:t>
      </w:r>
      <w:r w:rsidRPr="00CE7623">
        <w:rPr>
          <w:rFonts w:ascii="Abo-thar" w:hAnsi="Abo-thar" w:cs="KFGQPC Uthman Taha Naskh"/>
          <w:sz w:val="28"/>
          <w:rtl/>
          <w:lang w:bidi="ar-SY"/>
        </w:rPr>
        <w:t xml:space="preserve"> </w:t>
      </w:r>
      <w:r w:rsidRPr="00CE7623">
        <w:rPr>
          <w:rFonts w:ascii="Abo-thar" w:hAnsi="Abo-thar" w:cs="KFGQPC Uthman Taha Naskh"/>
          <w:b/>
          <w:bCs/>
          <w:sz w:val="28"/>
          <w:rtl/>
          <w:lang w:bidi="ar-SY"/>
        </w:rPr>
        <w:t>فَإِنْ فَضَلَ عَنْهُمْ شَيْ‏ءٌ يَسْتَغْنُونَ عَنْهُ فَهُوَ لِلْوَالِي وَإِنْ عَجَزَ أَوْ نَقَصَ عَنِ اسْتِغْنَائِهِمْ كَانَ عَلَى الْوَالِي أَنْ يُنْفِقَ مِنْ عِنْدِهِ بِقَدْرِ مَا يَسْتَغْنُونَ بِهِ وَإِنَّمَا صَارَ عَلَيْهِ أَنْ يَمُونَهُمْ لِأَنَّ لَهُ مَا فَضَلَ عَنْهُمْ</w:t>
      </w:r>
      <w:r w:rsidR="00217AB4" w:rsidRPr="00CE7623">
        <w:rPr>
          <w:rFonts w:ascii="Abo-thar" w:hAnsi="Abo-thar" w:cs="KFGQPC Uthman Taha Naskh" w:hint="cs"/>
          <w:b/>
          <w:bCs/>
          <w:sz w:val="28"/>
          <w:rtl/>
          <w:lang w:bidi="ar-SY"/>
        </w:rPr>
        <w:t>.</w:t>
      </w:r>
      <w:r w:rsidR="00147857" w:rsidRPr="00CE7623">
        <w:rPr>
          <w:rFonts w:ascii="Abo-thar" w:hAnsi="Abo-thar" w:cs="KFGQPC Uthman Taha Naskh" w:hint="cs"/>
          <w:b/>
          <w:bCs/>
          <w:sz w:val="28"/>
          <w:rtl/>
          <w:lang w:bidi="ar-SY"/>
        </w:rPr>
        <w:t xml:space="preserve"> </w:t>
      </w:r>
      <w:r w:rsidRPr="00CE7623">
        <w:rPr>
          <w:rFonts w:ascii="Abo-thar" w:hAnsi="Abo-thar" w:cs="KFGQPC Uthman Taha Naskh"/>
          <w:b/>
          <w:bCs/>
          <w:sz w:val="28"/>
          <w:rtl/>
          <w:lang w:bidi="ar-SY"/>
        </w:rPr>
        <w:t>وَإِنَّمَا جَعَلَ اللهُ هَذَا الخُمُسَ خَاصَّةً لَـهُمْ دُونَ مَسَاكِينِ النَّاسِ وَأَبْنَاءِ سَبِيلِهِمْ عِوَضاً لَـهُمْ مِنْ صَدَقَاتِ النَّاسِ تَنْزِيهاً لَـهُمْ مِنَ اللهِ لِقَرَابَتِهِمْ مِنْ رَسُولِ اللهِ</w:t>
      </w:r>
      <w:r w:rsidR="00147857" w:rsidRPr="00CE7623">
        <w:rPr>
          <w:rFonts w:ascii="Abo-thar" w:hAnsi="Abo-thar" w:cs="KFGQPC Uthman Taha Naskh"/>
          <w:b/>
          <w:bCs/>
          <w:sz w:val="28"/>
          <w:rtl/>
          <w:lang w:bidi="ar-SY"/>
        </w:rPr>
        <w:t xml:space="preserve"> </w:t>
      </w:r>
      <w:r w:rsidR="003C7AEB" w:rsidRPr="003C7AEB">
        <w:rPr>
          <w:rFonts w:ascii="Abo-thar" w:hAnsi="Abo-thar" w:cs="CTraditional Arabic"/>
          <w:sz w:val="28"/>
          <w:rtl/>
          <w:lang w:bidi="ar-SY"/>
        </w:rPr>
        <w:t>ص</w:t>
      </w:r>
      <w:r w:rsidR="00147857" w:rsidRPr="00CE7623">
        <w:rPr>
          <w:rFonts w:ascii="Abo-thar" w:hAnsi="Abo-thar" w:cs="KFGQPC Uthman Taha Naskh"/>
          <w:sz w:val="28"/>
          <w:rtl/>
          <w:lang w:bidi="ar-SY"/>
        </w:rPr>
        <w:t xml:space="preserve"> </w:t>
      </w:r>
      <w:r w:rsidRPr="00CE7623">
        <w:rPr>
          <w:rFonts w:ascii="Abo-thar" w:hAnsi="Abo-thar" w:cs="KFGQPC Uthman Taha Naskh"/>
          <w:b/>
          <w:bCs/>
          <w:sz w:val="28"/>
          <w:rtl/>
          <w:lang w:bidi="ar-SY"/>
        </w:rPr>
        <w:t>وَكَرَامَةً لَـهُمْ عَنْ أَوْسَاخِ النَّاسِ فَجَعَلَ لَـهُمْ خَاصَّةً مِنْ عِنْدِهِ مَا يُغْنِيهِمْ بِهِ عَنْ أَنْ يُصَيِّرَهُمْ فِي مَوْضِعِ الذُّلِّ وَالمَسْكَنَة</w:t>
      </w:r>
      <w:r w:rsidR="00217AB4" w:rsidRPr="00CE7623">
        <w:rPr>
          <w:rFonts w:ascii="Abo-thar" w:hAnsi="Abo-thar" w:cs="KFGQPC Uthman Taha Naskh" w:hint="cs"/>
          <w:sz w:val="28"/>
          <w:rtl/>
          <w:lang w:bidi="ar-SY"/>
        </w:rPr>
        <w:t>..</w:t>
      </w:r>
      <w:r w:rsidR="00EF2588" w:rsidRPr="00CE7623">
        <w:rPr>
          <w:rFonts w:ascii="Abo-thar" w:hAnsi="Abo-thar" w:cs="KFGQPC Uthman Taha Naskh" w:hint="cs"/>
          <w:sz w:val="28"/>
          <w:rtl/>
          <w:lang w:bidi="ar-SY"/>
        </w:rPr>
        <w:t>»</w:t>
      </w:r>
      <w:r w:rsidR="00BD0387" w:rsidRPr="0021507A">
        <w:rPr>
          <w:rFonts w:ascii="Abo-thar" w:hAnsi="Abo-thar" w:cs="Arabic11 BT"/>
          <w:sz w:val="28"/>
          <w:vertAlign w:val="superscript"/>
          <w:rtl/>
          <w:lang w:bidi="ar-SY"/>
        </w:rPr>
        <w:t>(</w:t>
      </w:r>
      <w:r w:rsidR="00BD0387" w:rsidRPr="0021507A">
        <w:rPr>
          <w:rStyle w:val="FootnoteReference"/>
          <w:rFonts w:ascii="Abo-thar" w:hAnsi="Abo-thar" w:cs="Arabic11 BT"/>
          <w:sz w:val="28"/>
          <w:rtl/>
          <w:lang w:bidi="ar-SY"/>
        </w:rPr>
        <w:footnoteReference w:id="103"/>
      </w:r>
      <w:r w:rsidR="00BD0387" w:rsidRPr="0021507A">
        <w:rPr>
          <w:rFonts w:ascii="Abo-thar" w:hAnsi="Abo-thar" w:cs="Arabic11 BT"/>
          <w:sz w:val="28"/>
          <w:vertAlign w:val="superscript"/>
          <w:rtl/>
          <w:lang w:bidi="ar-SY"/>
        </w:rPr>
        <w:t>)</w:t>
      </w:r>
      <w:r w:rsidR="00217AB4" w:rsidRPr="003F3B94">
        <w:rPr>
          <w:rFonts w:ascii="Abo-thar" w:hAnsi="Abo-thar" w:hint="cs"/>
          <w:sz w:val="28"/>
          <w:rtl/>
          <w:lang w:bidi="ar-SY"/>
        </w:rPr>
        <w:t>.</w:t>
      </w:r>
      <w:r w:rsidRPr="003F3B94">
        <w:rPr>
          <w:rFonts w:ascii="Abo-thar" w:hAnsi="Abo-thar" w:hint="cs"/>
          <w:sz w:val="28"/>
          <w:rtl/>
          <w:lang w:bidi="ar-SY"/>
        </w:rPr>
        <w:t xml:space="preserve"> </w:t>
      </w:r>
    </w:p>
    <w:p w:rsidR="005C664D" w:rsidRPr="003F3B94" w:rsidRDefault="005C664D" w:rsidP="003F3B94">
      <w:pPr>
        <w:pStyle w:val="a0"/>
        <w:rPr>
          <w:rFonts w:hint="cs"/>
          <w:rtl/>
          <w:lang w:bidi="ar-SY"/>
        </w:rPr>
      </w:pPr>
      <w:r w:rsidRPr="003F3B94">
        <w:rPr>
          <w:rFonts w:ascii="Abo-thar" w:hAnsi="Abo-thar" w:hint="cs"/>
          <w:sz w:val="28"/>
          <w:rtl/>
          <w:lang w:bidi="ar-SY"/>
        </w:rPr>
        <w:t>ومتن هذا الحديث بحد ذاته دليل على بطلانه كما سنبين ذلك إنشاء الله</w:t>
      </w:r>
      <w:r w:rsidR="00217AB4" w:rsidRPr="003F3B94">
        <w:rPr>
          <w:rFonts w:ascii="Abo-thar" w:hAnsi="Abo-thar" w:hint="cs"/>
          <w:sz w:val="28"/>
          <w:rtl/>
          <w:lang w:bidi="ar-SY"/>
        </w:rPr>
        <w:t>،</w:t>
      </w:r>
      <w:r w:rsidRPr="003F3B94">
        <w:rPr>
          <w:rFonts w:ascii="Abo-thar" w:hAnsi="Abo-thar" w:hint="cs"/>
          <w:sz w:val="28"/>
          <w:rtl/>
          <w:lang w:bidi="ar-SY"/>
        </w:rPr>
        <w:t xml:space="preserve"> وسنده يصل إلى </w:t>
      </w:r>
      <w:r w:rsidRPr="003F3B94">
        <w:rPr>
          <w:rFonts w:ascii="Abo-thar" w:hAnsi="Abo-thar" w:hint="eastAsia"/>
          <w:sz w:val="28"/>
          <w:rtl/>
          <w:lang w:bidi="ar-SY"/>
        </w:rPr>
        <w:t>«</w:t>
      </w:r>
      <w:r w:rsidRPr="003F3B94">
        <w:rPr>
          <w:rFonts w:ascii="Abo-thar" w:hAnsi="Abo-thar" w:hint="cs"/>
          <w:b/>
          <w:bCs/>
          <w:sz w:val="28"/>
          <w:rtl/>
          <w:lang w:bidi="ar-SY"/>
        </w:rPr>
        <w:t>عليِّ بن فضال</w:t>
      </w:r>
      <w:r w:rsidRPr="003F3B94">
        <w:rPr>
          <w:rFonts w:ascii="Abo-thar" w:hAnsi="Abo-thar" w:hint="eastAsia"/>
          <w:sz w:val="28"/>
          <w:rtl/>
          <w:lang w:bidi="ar-SY"/>
        </w:rPr>
        <w:t>»</w:t>
      </w:r>
      <w:r w:rsidRPr="003F3B94">
        <w:rPr>
          <w:rFonts w:ascii="Abo-thar" w:hAnsi="Abo-thar" w:hint="cs"/>
          <w:sz w:val="28"/>
          <w:rtl/>
          <w:lang w:bidi="ar-SY"/>
        </w:rPr>
        <w:t xml:space="preserve"> الذي بينا حاله بشكل مفصل في كتابنا الزكاة ورأينا أن صاحب السرائر اعتبره هو وأباه من الملعونين</w:t>
      </w:r>
      <w:r w:rsidR="00217AB4" w:rsidRPr="003F3B94">
        <w:rPr>
          <w:rFonts w:ascii="Abo-thar" w:hAnsi="Abo-thar" w:hint="cs"/>
          <w:sz w:val="28"/>
          <w:rtl/>
          <w:lang w:bidi="ar-SY"/>
        </w:rPr>
        <w:t>.</w:t>
      </w:r>
      <w:r w:rsidR="00147857" w:rsidRPr="003F3B94">
        <w:rPr>
          <w:rFonts w:ascii="Abo-thar" w:hAnsi="Abo-thar" w:hint="cs"/>
          <w:sz w:val="28"/>
          <w:rtl/>
          <w:lang w:bidi="ar-SY"/>
        </w:rPr>
        <w:t xml:space="preserve"> </w:t>
      </w:r>
      <w:r w:rsidRPr="003F3B94">
        <w:rPr>
          <w:rFonts w:ascii="Abo-thar" w:hAnsi="Abo-thar" w:hint="cs"/>
          <w:sz w:val="28"/>
          <w:rtl/>
          <w:lang w:bidi="ar-SY"/>
        </w:rPr>
        <w:t>وهذا الحديث مضطرب مشوش إلى درجة لا يمكن معها أن ننسبه إلى المعصوم</w:t>
      </w:r>
      <w:r w:rsidR="00217AB4" w:rsidRPr="003F3B94">
        <w:rPr>
          <w:rFonts w:ascii="Abo-thar" w:hAnsi="Abo-thar" w:hint="cs"/>
          <w:sz w:val="28"/>
          <w:rtl/>
          <w:lang w:bidi="ar-SY"/>
        </w:rPr>
        <w:t>،</w:t>
      </w:r>
      <w:r w:rsidRPr="003F3B94">
        <w:rPr>
          <w:rFonts w:ascii="Abo-thar" w:hAnsi="Abo-thar" w:hint="cs"/>
          <w:sz w:val="28"/>
          <w:rtl/>
          <w:lang w:bidi="ar-SY"/>
        </w:rPr>
        <w:t xml:space="preserve"> هذا أن رغم أن بعض مضامينه المتعلقة بوظائف الحكومة الإسلامية تنسجم مع مضامين سائر الأحاديث الصحيحة</w:t>
      </w:r>
      <w:r w:rsidR="00217AB4" w:rsidRPr="003F3B94">
        <w:rPr>
          <w:rFonts w:ascii="Abo-thar" w:hAnsi="Abo-thar" w:hint="cs"/>
          <w:sz w:val="28"/>
          <w:rtl/>
          <w:lang w:bidi="ar-SY"/>
        </w:rPr>
        <w:t>.</w:t>
      </w:r>
    </w:p>
    <w:p w:rsidR="005C664D" w:rsidRPr="003F3B94" w:rsidRDefault="005C664D" w:rsidP="003F3B94">
      <w:pPr>
        <w:pStyle w:val="a0"/>
        <w:rPr>
          <w:rFonts w:hint="cs"/>
          <w:rtl/>
          <w:lang w:bidi="ar-SY"/>
        </w:rPr>
      </w:pPr>
      <w:r w:rsidRPr="003F3B94">
        <w:rPr>
          <w:rFonts w:ascii="Abo-thar" w:hAnsi="Abo-thar" w:hint="cs"/>
          <w:sz w:val="28"/>
          <w:rtl/>
          <w:lang w:bidi="ar-SY"/>
        </w:rPr>
        <w:t xml:space="preserve">وفي ختام هذا المبحث ينبغي أن نذكر أن جميع الأخبار والروايات التي وردت في كتب الحديث في تفسير وتعيين اليتامى والمساكين وابن السبيل وذكرت أنهم اليتامى والمساكين </w:t>
      </w:r>
      <w:r w:rsidR="00FB08F1" w:rsidRPr="003F3B94">
        <w:rPr>
          <w:rFonts w:ascii="Abo-thar" w:hAnsi="Abo-thar" w:hint="cs"/>
          <w:sz w:val="28"/>
          <w:rtl/>
          <w:lang w:bidi="ar-SY"/>
        </w:rPr>
        <w:t>وأبناء</w:t>
      </w:r>
      <w:r w:rsidRPr="003F3B94">
        <w:rPr>
          <w:rFonts w:ascii="Abo-thar" w:hAnsi="Abo-thar" w:hint="cs"/>
          <w:sz w:val="28"/>
          <w:rtl/>
          <w:lang w:bidi="ar-SY"/>
        </w:rPr>
        <w:t xml:space="preserve"> السبيل من آل محمد</w:t>
      </w:r>
      <w:r w:rsidR="00147857" w:rsidRPr="003F3B94">
        <w:rPr>
          <w:rFonts w:ascii="Abo-thar" w:hAnsi="Abo-thar" w:hint="cs"/>
          <w:sz w:val="28"/>
          <w:rtl/>
          <w:lang w:bidi="ar-SY"/>
        </w:rPr>
        <w:t xml:space="preserve"> </w:t>
      </w:r>
      <w:r w:rsidR="003C7AEB" w:rsidRPr="003C7AEB">
        <w:rPr>
          <w:rFonts w:ascii="Abo-thar" w:hAnsi="Abo-thar" w:cs="CTraditional Arabic" w:hint="cs"/>
          <w:sz w:val="28"/>
          <w:rtl/>
          <w:lang w:bidi="ar-SY"/>
        </w:rPr>
        <w:t>ص</w:t>
      </w:r>
      <w:r w:rsidR="00147857" w:rsidRPr="003F3B94">
        <w:rPr>
          <w:rFonts w:ascii="Abo-thar" w:hAnsi="Abo-thar" w:hint="cs"/>
          <w:sz w:val="28"/>
          <w:rtl/>
          <w:lang w:bidi="ar-SY"/>
        </w:rPr>
        <w:t xml:space="preserve"> </w:t>
      </w:r>
      <w:r w:rsidRPr="003F3B94">
        <w:rPr>
          <w:rFonts w:ascii="Abo-thar" w:hAnsi="Abo-thar" w:hint="cs"/>
          <w:sz w:val="28"/>
          <w:rtl/>
          <w:lang w:bidi="ar-SY"/>
        </w:rPr>
        <w:t>فقط</w:t>
      </w:r>
      <w:r w:rsidR="00217AB4" w:rsidRPr="003F3B94">
        <w:rPr>
          <w:rFonts w:ascii="Abo-thar" w:hAnsi="Abo-thar" w:hint="cs"/>
          <w:sz w:val="28"/>
          <w:rtl/>
          <w:lang w:bidi="ar-SY"/>
        </w:rPr>
        <w:t>،</w:t>
      </w:r>
      <w:r w:rsidRPr="003F3B94">
        <w:rPr>
          <w:rFonts w:ascii="Abo-thar" w:hAnsi="Abo-thar" w:hint="cs"/>
          <w:sz w:val="28"/>
          <w:rtl/>
          <w:lang w:bidi="ar-SY"/>
        </w:rPr>
        <w:t xml:space="preserve"> </w:t>
      </w:r>
      <w:r w:rsidR="00FB08F1" w:rsidRPr="003F3B94">
        <w:rPr>
          <w:rFonts w:ascii="Abo-thar" w:hAnsi="Abo-thar" w:hint="cs"/>
          <w:sz w:val="28"/>
          <w:rtl/>
          <w:lang w:bidi="ar-SY"/>
        </w:rPr>
        <w:t xml:space="preserve">هي </w:t>
      </w:r>
      <w:r w:rsidRPr="003F3B94">
        <w:rPr>
          <w:rFonts w:ascii="Abo-thar" w:hAnsi="Abo-thar" w:hint="cs"/>
          <w:sz w:val="28"/>
          <w:rtl/>
          <w:lang w:bidi="ar-SY"/>
        </w:rPr>
        <w:t>خمسة أحاديث فقط</w:t>
      </w:r>
      <w:r w:rsidR="00217AB4" w:rsidRPr="003F3B94">
        <w:rPr>
          <w:rFonts w:ascii="Abo-thar" w:hAnsi="Abo-thar" w:hint="cs"/>
          <w:sz w:val="28"/>
          <w:rtl/>
          <w:lang w:bidi="ar-SY"/>
        </w:rPr>
        <w:t>،</w:t>
      </w:r>
      <w:r w:rsidRPr="003F3B94">
        <w:rPr>
          <w:rFonts w:ascii="Abo-thar" w:hAnsi="Abo-thar" w:hint="cs"/>
          <w:sz w:val="28"/>
          <w:rtl/>
          <w:lang w:bidi="ar-SY"/>
        </w:rPr>
        <w:t xml:space="preserve"> ثلاثة منها مروية عن بني الفضال لعنهم الله</w:t>
      </w:r>
      <w:r w:rsidR="00217AB4" w:rsidRPr="003F3B94">
        <w:rPr>
          <w:rFonts w:ascii="Abo-thar" w:hAnsi="Abo-thar" w:hint="cs"/>
          <w:sz w:val="28"/>
          <w:rtl/>
          <w:lang w:bidi="ar-SY"/>
        </w:rPr>
        <w:t>،</w:t>
      </w:r>
      <w:r w:rsidRPr="003F3B94">
        <w:rPr>
          <w:rFonts w:ascii="Abo-thar" w:hAnsi="Abo-thar" w:hint="cs"/>
          <w:sz w:val="28"/>
          <w:rtl/>
          <w:lang w:bidi="ar-SY"/>
        </w:rPr>
        <w:t xml:space="preserve"> كما مر معنا</w:t>
      </w:r>
      <w:r w:rsidR="00217AB4" w:rsidRPr="003F3B94">
        <w:rPr>
          <w:rFonts w:ascii="Abo-thar" w:hAnsi="Abo-thar" w:hint="cs"/>
          <w:sz w:val="28"/>
          <w:rtl/>
          <w:lang w:bidi="ar-SY"/>
        </w:rPr>
        <w:t>.</w:t>
      </w:r>
      <w:r w:rsidRPr="003F3B94">
        <w:rPr>
          <w:rFonts w:ascii="Abo-thar" w:hAnsi="Abo-thar" w:hint="cs"/>
          <w:sz w:val="28"/>
          <w:rtl/>
          <w:lang w:bidi="ar-SY"/>
        </w:rPr>
        <w:t xml:space="preserve"> </w:t>
      </w:r>
    </w:p>
    <w:p w:rsidR="005C664D" w:rsidRPr="003F3B94" w:rsidRDefault="005C664D" w:rsidP="003F3B94">
      <w:pPr>
        <w:pStyle w:val="a0"/>
        <w:rPr>
          <w:rFonts w:hint="cs"/>
          <w:rtl/>
          <w:lang w:bidi="ar-SY"/>
        </w:rPr>
      </w:pPr>
      <w:r w:rsidRPr="003F3B94">
        <w:rPr>
          <w:rFonts w:ascii="Abo-thar" w:hAnsi="Abo-thar" w:hint="cs"/>
          <w:sz w:val="28"/>
          <w:rtl/>
          <w:lang w:bidi="ar-SY"/>
        </w:rPr>
        <w:t xml:space="preserve">والحديث الرابع </w:t>
      </w:r>
      <w:r w:rsidR="00217AB4" w:rsidRPr="003F3B94">
        <w:rPr>
          <w:rFonts w:ascii="Abo-thar" w:hAnsi="Abo-thar" w:hint="cs"/>
          <w:sz w:val="28"/>
          <w:rtl/>
          <w:lang w:bidi="ar-SY"/>
        </w:rPr>
        <w:t>(</w:t>
      </w:r>
      <w:r w:rsidRPr="003F3B94">
        <w:rPr>
          <w:rFonts w:ascii="Abo-thar" w:hAnsi="Abo-thar" w:hint="cs"/>
          <w:sz w:val="28"/>
          <w:rtl/>
          <w:lang w:bidi="ar-SY"/>
        </w:rPr>
        <w:t>التهذيب</w:t>
      </w:r>
      <w:r w:rsidR="00FB08F1" w:rsidRPr="003F3B94">
        <w:rPr>
          <w:rFonts w:ascii="Abo-thar" w:hAnsi="Abo-thar" w:hint="cs"/>
          <w:sz w:val="28"/>
          <w:rtl/>
          <w:lang w:bidi="ar-SY"/>
        </w:rPr>
        <w:t>،</w:t>
      </w:r>
      <w:r w:rsidRPr="003F3B94">
        <w:rPr>
          <w:rFonts w:ascii="Abo-thar" w:hAnsi="Abo-thar" w:hint="cs"/>
          <w:sz w:val="28"/>
          <w:rtl/>
          <w:lang w:bidi="ar-SY"/>
        </w:rPr>
        <w:t xml:space="preserve"> </w:t>
      </w:r>
      <w:r w:rsidR="00FB08F1" w:rsidRPr="003F3B94">
        <w:rPr>
          <w:rFonts w:ascii="Abo-thar" w:hAnsi="Abo-thar" w:hint="cs"/>
          <w:sz w:val="28"/>
          <w:rtl/>
          <w:lang w:bidi="ar-SY"/>
        </w:rPr>
        <w:t xml:space="preserve">ج 4، ص </w:t>
      </w:r>
      <w:r w:rsidRPr="003F3B94">
        <w:rPr>
          <w:rFonts w:ascii="Abo-thar" w:hAnsi="Abo-thar" w:hint="cs"/>
          <w:sz w:val="28"/>
          <w:rtl/>
          <w:lang w:bidi="ar-SY"/>
        </w:rPr>
        <w:t>125</w:t>
      </w:r>
      <w:r w:rsidR="00217AB4" w:rsidRPr="003F3B94">
        <w:rPr>
          <w:rFonts w:ascii="Abo-thar" w:hAnsi="Abo-thar" w:hint="cs"/>
          <w:sz w:val="28"/>
          <w:rtl/>
          <w:lang w:bidi="ar-SY"/>
        </w:rPr>
        <w:t>)</w:t>
      </w:r>
      <w:r w:rsidRPr="003F3B94">
        <w:rPr>
          <w:rFonts w:ascii="Abo-thar" w:hAnsi="Abo-thar" w:hint="cs"/>
          <w:sz w:val="28"/>
          <w:rtl/>
          <w:lang w:bidi="ar-SY"/>
        </w:rPr>
        <w:t xml:space="preserve"> يدل على عكس ما يذهب إليه من يتمسكون به لأن الحديث المنسوب إلى حضرة الإمام الصادق يقول</w:t>
      </w:r>
      <w:r w:rsidR="00217AB4" w:rsidRPr="003F3B94">
        <w:rPr>
          <w:rFonts w:ascii="Abo-thar" w:hAnsi="Abo-thar" w:hint="cs"/>
          <w:sz w:val="28"/>
          <w:rtl/>
          <w:lang w:bidi="ar-SY"/>
        </w:rPr>
        <w:t>:</w:t>
      </w:r>
      <w:r w:rsidRPr="003F3B94">
        <w:rPr>
          <w:rFonts w:ascii="Abo-thar" w:hAnsi="Abo-thar" w:hint="cs"/>
          <w:sz w:val="28"/>
          <w:rtl/>
          <w:lang w:bidi="ar-SY"/>
        </w:rPr>
        <w:t xml:space="preserve"> </w:t>
      </w:r>
      <w:r w:rsidR="00EF2588" w:rsidRPr="00CE7623">
        <w:rPr>
          <w:rFonts w:ascii="Abo-thar" w:hAnsi="Abo-thar" w:cs="KFGQPC Uthman Taha Naskh" w:hint="cs"/>
          <w:sz w:val="28"/>
          <w:rtl/>
          <w:lang w:bidi="ar-SY"/>
        </w:rPr>
        <w:t>«</w:t>
      </w:r>
      <w:r w:rsidRPr="00CE7623">
        <w:rPr>
          <w:rFonts w:ascii="Abo-thar" w:hAnsi="Abo-thar" w:cs="KFGQPC Uthman Taha Naskh"/>
          <w:b/>
          <w:bCs/>
          <w:sz w:val="28"/>
          <w:rtl/>
          <w:lang w:bidi="ar-SY"/>
        </w:rPr>
        <w:t>وَأَمَّا المَسَاكِينُ وَابْنُ السَّبِيلِ فَقَدْ عَرَفْتَ أَنَّا لَا نَأْكُلُ الصَّدَقَةَ وَلَا تَحِلُّ لَنَا فَهِيَ لِلْمَسَاكِينِ وَأَبْنَاءِ السَّبِيل</w:t>
      </w:r>
      <w:r w:rsidRPr="00CE7623">
        <w:rPr>
          <w:rFonts w:ascii="Abo-thar" w:hAnsi="Abo-thar" w:cs="KFGQPC Uthman Taha Naskh"/>
          <w:sz w:val="28"/>
          <w:rtl/>
          <w:lang w:bidi="ar-SY"/>
        </w:rPr>
        <w:t>‏</w:t>
      </w:r>
      <w:r w:rsidR="00EF2588" w:rsidRPr="00CE7623">
        <w:rPr>
          <w:rFonts w:ascii="Abo-thar" w:hAnsi="Abo-thar" w:cs="KFGQPC Uthman Taha Naskh" w:hint="cs"/>
          <w:sz w:val="28"/>
          <w:rtl/>
          <w:lang w:bidi="ar-SY"/>
        </w:rPr>
        <w:t>»</w:t>
      </w:r>
      <w:r w:rsidRPr="003F3B94">
        <w:rPr>
          <w:rFonts w:ascii="Abo-thar" w:hAnsi="Abo-thar" w:hint="cs"/>
          <w:sz w:val="28"/>
          <w:rtl/>
          <w:lang w:bidi="ar-SY"/>
        </w:rPr>
        <w:t xml:space="preserve"> والذي يقصد من مساكين وأبناء سبيل عامة المسلمين كما شرحنا ذلك سابقاً</w:t>
      </w:r>
      <w:r w:rsidR="00217AB4" w:rsidRPr="003F3B94">
        <w:rPr>
          <w:rFonts w:ascii="Abo-thar" w:hAnsi="Abo-thar" w:hint="cs"/>
          <w:sz w:val="28"/>
          <w:rtl/>
          <w:lang w:bidi="ar-SY"/>
        </w:rPr>
        <w:t>.</w:t>
      </w:r>
      <w:r w:rsidRPr="003F3B94">
        <w:rPr>
          <w:rFonts w:ascii="Abo-thar" w:hAnsi="Abo-thar" w:hint="cs"/>
          <w:sz w:val="28"/>
          <w:rtl/>
          <w:lang w:bidi="ar-SY"/>
        </w:rPr>
        <w:t xml:space="preserve"> </w:t>
      </w:r>
    </w:p>
    <w:p w:rsidR="005C664D" w:rsidRPr="003F3B94" w:rsidRDefault="005C664D" w:rsidP="003F3B94">
      <w:pPr>
        <w:pStyle w:val="a0"/>
        <w:rPr>
          <w:rFonts w:hint="cs"/>
          <w:rtl/>
          <w:lang w:bidi="ar-SY"/>
        </w:rPr>
      </w:pPr>
      <w:r w:rsidRPr="003F3B94">
        <w:rPr>
          <w:rFonts w:ascii="Abo-thar" w:hAnsi="Abo-thar" w:hint="cs"/>
          <w:sz w:val="28"/>
          <w:rtl/>
          <w:lang w:bidi="ar-SY"/>
        </w:rPr>
        <w:t xml:space="preserve">والحديث الخامس يرويه </w:t>
      </w:r>
      <w:r w:rsidRPr="003F3B94">
        <w:rPr>
          <w:rFonts w:ascii="Abo-thar" w:hAnsi="Abo-thar" w:hint="eastAsia"/>
          <w:sz w:val="28"/>
          <w:rtl/>
          <w:lang w:bidi="ar-SY"/>
        </w:rPr>
        <w:t>«</w:t>
      </w:r>
      <w:r w:rsidRPr="003F3B94">
        <w:rPr>
          <w:rFonts w:ascii="Abo-thar" w:hAnsi="Abo-thar" w:hint="cs"/>
          <w:b/>
          <w:bCs/>
          <w:sz w:val="28"/>
          <w:rtl/>
          <w:lang w:bidi="ar-SY"/>
        </w:rPr>
        <w:t>محمد بن الحسن الصفار</w:t>
      </w:r>
      <w:r w:rsidRPr="003F3B94">
        <w:rPr>
          <w:rFonts w:ascii="Abo-thar" w:hAnsi="Abo-thar" w:hint="eastAsia"/>
          <w:sz w:val="28"/>
          <w:rtl/>
          <w:lang w:bidi="ar-SY"/>
        </w:rPr>
        <w:t>»</w:t>
      </w:r>
      <w:r w:rsidRPr="003F3B94">
        <w:rPr>
          <w:rFonts w:ascii="Abo-thar" w:hAnsi="Abo-thar" w:hint="cs"/>
          <w:sz w:val="28"/>
          <w:rtl/>
          <w:lang w:bidi="ar-SY"/>
        </w:rPr>
        <w:t xml:space="preserve"> وهو حديث مجهول ومنقطع ولا قيمة له ولا يمكن التعويل عليه</w:t>
      </w:r>
      <w:r w:rsidR="00217AB4" w:rsidRPr="003F3B94">
        <w:rPr>
          <w:rFonts w:ascii="Abo-thar" w:hAnsi="Abo-thar" w:hint="cs"/>
          <w:sz w:val="28"/>
          <w:rtl/>
          <w:lang w:bidi="ar-SY"/>
        </w:rPr>
        <w:t>.</w:t>
      </w:r>
      <w:r w:rsidRPr="003F3B94">
        <w:rPr>
          <w:rFonts w:ascii="Abo-thar" w:hAnsi="Abo-thar" w:hint="cs"/>
          <w:sz w:val="28"/>
          <w:rtl/>
          <w:lang w:bidi="ar-SY"/>
        </w:rPr>
        <w:t xml:space="preserve"> </w:t>
      </w:r>
    </w:p>
    <w:p w:rsidR="005C664D" w:rsidRPr="00995B26" w:rsidRDefault="005C664D" w:rsidP="003F3B94">
      <w:pPr>
        <w:pStyle w:val="a0"/>
        <w:rPr>
          <w:rFonts w:hint="cs"/>
          <w:rtl/>
          <w:lang w:bidi="ar-SY"/>
        </w:rPr>
      </w:pPr>
      <w:r w:rsidRPr="003F3B94">
        <w:rPr>
          <w:rFonts w:ascii="Abo-thar" w:hAnsi="Abo-thar" w:hint="cs"/>
          <w:sz w:val="28"/>
          <w:rtl/>
          <w:lang w:bidi="ar-SY"/>
        </w:rPr>
        <w:t>والأهم والأوضح من كل ذلك هو تاريخ وسيرة رسول الله</w:t>
      </w:r>
      <w:r w:rsidR="00147857" w:rsidRPr="003F3B94">
        <w:rPr>
          <w:rFonts w:ascii="Abo-thar" w:hAnsi="Abo-thar" w:hint="cs"/>
          <w:sz w:val="28"/>
          <w:rtl/>
          <w:lang w:bidi="ar-SY"/>
        </w:rPr>
        <w:t xml:space="preserve"> </w:t>
      </w:r>
      <w:r w:rsidR="003C7AEB" w:rsidRPr="003C7AEB">
        <w:rPr>
          <w:rFonts w:ascii="Abo-thar" w:hAnsi="Abo-thar" w:cs="CTraditional Arabic" w:hint="cs"/>
          <w:sz w:val="28"/>
          <w:rtl/>
          <w:lang w:bidi="ar-SY"/>
        </w:rPr>
        <w:t>ص</w:t>
      </w:r>
      <w:r w:rsidR="00147857" w:rsidRPr="003F3B94">
        <w:rPr>
          <w:rFonts w:ascii="Abo-thar" w:hAnsi="Abo-thar" w:hint="cs"/>
          <w:sz w:val="28"/>
          <w:rtl/>
          <w:lang w:bidi="ar-SY"/>
        </w:rPr>
        <w:t xml:space="preserve"> </w:t>
      </w:r>
      <w:r w:rsidRPr="003F3B94">
        <w:rPr>
          <w:rFonts w:ascii="Abo-thar" w:hAnsi="Abo-thar" w:hint="cs"/>
          <w:sz w:val="28"/>
          <w:rtl/>
          <w:lang w:bidi="ar-SY"/>
        </w:rPr>
        <w:t>التي تشهد بكذب هذه النسبة لأنه بمعزل عن أن رسول الله</w:t>
      </w:r>
      <w:r w:rsidR="00147857" w:rsidRPr="003F3B94">
        <w:rPr>
          <w:rFonts w:ascii="Abo-thar" w:hAnsi="Abo-thar" w:hint="cs"/>
          <w:sz w:val="28"/>
          <w:rtl/>
          <w:lang w:bidi="ar-SY"/>
        </w:rPr>
        <w:t xml:space="preserve"> </w:t>
      </w:r>
      <w:r w:rsidR="003C7AEB" w:rsidRPr="003C7AEB">
        <w:rPr>
          <w:rFonts w:ascii="Abo-thar" w:hAnsi="Abo-thar" w:cs="CTraditional Arabic"/>
          <w:sz w:val="28"/>
          <w:rtl/>
          <w:lang w:bidi="ar-SY"/>
        </w:rPr>
        <w:t>ص</w:t>
      </w:r>
      <w:r w:rsidR="00147857" w:rsidRPr="003F3B94">
        <w:rPr>
          <w:rFonts w:ascii="Abo-thar" w:hAnsi="Abo-thar"/>
          <w:sz w:val="28"/>
          <w:rtl/>
          <w:lang w:bidi="ar-SY"/>
        </w:rPr>
        <w:t xml:space="preserve"> </w:t>
      </w:r>
      <w:r w:rsidRPr="003F3B94">
        <w:rPr>
          <w:rFonts w:ascii="Abo-thar" w:hAnsi="Abo-thar" w:hint="cs"/>
          <w:sz w:val="28"/>
          <w:rtl/>
          <w:lang w:bidi="ar-SY"/>
        </w:rPr>
        <w:t>لم يؤثر قرابته ولم يختصهم أو يميزهم عن سائر المسلمين وأن نسبة مثل هذه التهمة إليه ظلم كبير</w:t>
      </w:r>
      <w:r w:rsidR="00217AB4" w:rsidRPr="003F3B94">
        <w:rPr>
          <w:rFonts w:ascii="Abo-thar" w:hAnsi="Abo-thar" w:hint="cs"/>
          <w:sz w:val="28"/>
          <w:rtl/>
          <w:lang w:bidi="ar-SY"/>
        </w:rPr>
        <w:t>،</w:t>
      </w:r>
      <w:r w:rsidRPr="003F3B94">
        <w:rPr>
          <w:rFonts w:ascii="Abo-thar" w:hAnsi="Abo-thar" w:hint="cs"/>
          <w:sz w:val="28"/>
          <w:rtl/>
          <w:lang w:bidi="ar-SY"/>
        </w:rPr>
        <w:t xml:space="preserve"> فإنه لم يكن هناك أساساً</w:t>
      </w:r>
      <w:r w:rsidR="00217AB4" w:rsidRPr="003F3B94">
        <w:rPr>
          <w:rFonts w:ascii="Abo-thar" w:hAnsi="Abo-thar" w:hint="cs"/>
          <w:sz w:val="28"/>
          <w:rtl/>
          <w:lang w:bidi="ar-SY"/>
        </w:rPr>
        <w:t>،</w:t>
      </w:r>
      <w:r w:rsidRPr="003F3B94">
        <w:rPr>
          <w:rFonts w:ascii="Abo-thar" w:hAnsi="Abo-thar" w:hint="cs"/>
          <w:sz w:val="28"/>
          <w:rtl/>
          <w:lang w:bidi="ar-SY"/>
        </w:rPr>
        <w:t xml:space="preserve"> حين نزول الآية</w:t>
      </w:r>
      <w:r w:rsidR="00217AB4" w:rsidRPr="003F3B94">
        <w:rPr>
          <w:rFonts w:ascii="Abo-thar" w:hAnsi="Abo-thar" w:hint="cs"/>
          <w:sz w:val="28"/>
          <w:rtl/>
          <w:lang w:bidi="ar-SY"/>
        </w:rPr>
        <w:t>،</w:t>
      </w:r>
      <w:r w:rsidRPr="003F3B94">
        <w:rPr>
          <w:rFonts w:ascii="Abo-thar" w:hAnsi="Abo-thar" w:hint="cs"/>
          <w:sz w:val="28"/>
          <w:rtl/>
          <w:lang w:bidi="ar-SY"/>
        </w:rPr>
        <w:t xml:space="preserve"> يتامى أو مساكين أو أبناء سبيل مسلمين من قرابة رسول الله</w:t>
      </w:r>
      <w:r w:rsidR="00147857" w:rsidRPr="003F3B94">
        <w:rPr>
          <w:rFonts w:ascii="Abo-thar" w:hAnsi="Abo-thar" w:hint="cs"/>
          <w:sz w:val="28"/>
          <w:rtl/>
          <w:lang w:bidi="ar-SY"/>
        </w:rPr>
        <w:t xml:space="preserve"> </w:t>
      </w:r>
      <w:r w:rsidR="003C7AEB" w:rsidRPr="003C7AEB">
        <w:rPr>
          <w:rFonts w:ascii="Abo-thar" w:hAnsi="Abo-thar" w:cs="CTraditional Arabic"/>
          <w:sz w:val="28"/>
          <w:rtl/>
          <w:lang w:bidi="ar-SY"/>
        </w:rPr>
        <w:t>ص</w:t>
      </w:r>
      <w:r w:rsidR="00147857" w:rsidRPr="003F3B94">
        <w:rPr>
          <w:rFonts w:ascii="Abo-thar" w:hAnsi="Abo-thar"/>
          <w:sz w:val="28"/>
          <w:rtl/>
          <w:lang w:bidi="ar-SY"/>
        </w:rPr>
        <w:t xml:space="preserve"> </w:t>
      </w:r>
      <w:r w:rsidRPr="003F3B94">
        <w:rPr>
          <w:rFonts w:ascii="Abo-thar" w:hAnsi="Abo-thar" w:hint="cs"/>
          <w:sz w:val="28"/>
          <w:rtl/>
          <w:lang w:bidi="ar-SY"/>
        </w:rPr>
        <w:t>فلم يقرِّر رسول الله</w:t>
      </w:r>
      <w:r w:rsidR="00147857" w:rsidRPr="003F3B94">
        <w:rPr>
          <w:rFonts w:ascii="Abo-thar" w:hAnsi="Abo-thar" w:hint="cs"/>
          <w:sz w:val="28"/>
          <w:rtl/>
          <w:lang w:bidi="ar-SY"/>
        </w:rPr>
        <w:t xml:space="preserve"> </w:t>
      </w:r>
      <w:r w:rsidR="003C7AEB" w:rsidRPr="003C7AEB">
        <w:rPr>
          <w:rFonts w:ascii="Abo-thar" w:hAnsi="Abo-thar" w:cs="CTraditional Arabic"/>
          <w:sz w:val="28"/>
          <w:rtl/>
          <w:lang w:bidi="ar-SY"/>
        </w:rPr>
        <w:t>ص</w:t>
      </w:r>
      <w:r w:rsidR="00147857" w:rsidRPr="003F3B94">
        <w:rPr>
          <w:rFonts w:ascii="Abo-thar" w:hAnsi="Abo-thar"/>
          <w:sz w:val="28"/>
          <w:rtl/>
          <w:lang w:bidi="ar-SY"/>
        </w:rPr>
        <w:t xml:space="preserve"> </w:t>
      </w:r>
      <w:r w:rsidRPr="003F3B94">
        <w:rPr>
          <w:rFonts w:ascii="Abo-thar" w:hAnsi="Abo-thar" w:hint="cs"/>
          <w:sz w:val="28"/>
          <w:rtl/>
          <w:lang w:bidi="ar-SY"/>
        </w:rPr>
        <w:t>مثل هذا السهم لأقربائه بل كان يصرف الغنائم بين أيتام عامة المسلمين ومساكينهم وأبناء سبيلهم وينفقها في حاجات المسلمين الضرورية</w:t>
      </w:r>
      <w:r w:rsidR="00685363" w:rsidRPr="003F3B94">
        <w:rPr>
          <w:rFonts w:ascii="Abo-thar" w:hAnsi="Abo-thar" w:hint="cs"/>
          <w:sz w:val="28"/>
          <w:rtl/>
          <w:lang w:bidi="ar-SY"/>
        </w:rPr>
        <w:t xml:space="preserve"> </w:t>
      </w:r>
      <w:r w:rsidR="00685363" w:rsidRPr="00995B26">
        <w:rPr>
          <w:rFonts w:ascii="Abo-thar" w:hAnsi="Abo-thar" w:cs="Traditional Arabic" w:hint="cs"/>
          <w:sz w:val="28"/>
          <w:rtl/>
          <w:lang w:bidi="ar-SY"/>
        </w:rPr>
        <w:t>﴿</w:t>
      </w:r>
      <w:r w:rsidR="00685363" w:rsidRPr="0067048A">
        <w:rPr>
          <w:rStyle w:val="Char3"/>
          <w:rFonts w:hint="eastAsia"/>
          <w:rtl/>
        </w:rPr>
        <w:t>فَمَن</w:t>
      </w:r>
      <w:r w:rsidR="00685363" w:rsidRPr="0067048A">
        <w:rPr>
          <w:rStyle w:val="Char3"/>
          <w:rFonts w:hint="cs"/>
          <w:rtl/>
        </w:rPr>
        <w:t>ۡ</w:t>
      </w:r>
      <w:r w:rsidR="00685363" w:rsidRPr="0067048A">
        <w:rPr>
          <w:rStyle w:val="Char3"/>
          <w:rtl/>
        </w:rPr>
        <w:t xml:space="preserve"> </w:t>
      </w:r>
      <w:r w:rsidR="00685363" w:rsidRPr="0067048A">
        <w:rPr>
          <w:rStyle w:val="Char3"/>
          <w:rFonts w:hint="eastAsia"/>
          <w:rtl/>
        </w:rPr>
        <w:t>أَظ</w:t>
      </w:r>
      <w:r w:rsidR="00685363" w:rsidRPr="0067048A">
        <w:rPr>
          <w:rStyle w:val="Char3"/>
          <w:rFonts w:hint="cs"/>
          <w:rtl/>
        </w:rPr>
        <w:t>ۡ</w:t>
      </w:r>
      <w:r w:rsidR="00685363" w:rsidRPr="0067048A">
        <w:rPr>
          <w:rStyle w:val="Char3"/>
          <w:rFonts w:hint="eastAsia"/>
          <w:rtl/>
        </w:rPr>
        <w:t>لَمُ</w:t>
      </w:r>
      <w:r w:rsidR="00685363" w:rsidRPr="0067048A">
        <w:rPr>
          <w:rStyle w:val="Char3"/>
          <w:rtl/>
        </w:rPr>
        <w:t xml:space="preserve"> </w:t>
      </w:r>
      <w:r w:rsidR="00685363" w:rsidRPr="0067048A">
        <w:rPr>
          <w:rStyle w:val="Char3"/>
          <w:rFonts w:hint="eastAsia"/>
          <w:rtl/>
        </w:rPr>
        <w:t>مِمَّنِ</w:t>
      </w:r>
      <w:r w:rsidR="00685363" w:rsidRPr="0067048A">
        <w:rPr>
          <w:rStyle w:val="Char3"/>
          <w:rtl/>
        </w:rPr>
        <w:t xml:space="preserve"> </w:t>
      </w:r>
      <w:r w:rsidR="00685363" w:rsidRPr="0067048A">
        <w:rPr>
          <w:rStyle w:val="Char3"/>
          <w:rFonts w:hint="cs"/>
          <w:rtl/>
        </w:rPr>
        <w:t>ٱ</w:t>
      </w:r>
      <w:r w:rsidR="00685363" w:rsidRPr="0067048A">
        <w:rPr>
          <w:rStyle w:val="Char3"/>
          <w:rFonts w:hint="eastAsia"/>
          <w:rtl/>
        </w:rPr>
        <w:t>ف</w:t>
      </w:r>
      <w:r w:rsidR="00685363" w:rsidRPr="0067048A">
        <w:rPr>
          <w:rStyle w:val="Char3"/>
          <w:rFonts w:hint="cs"/>
          <w:rtl/>
        </w:rPr>
        <w:t>ۡ</w:t>
      </w:r>
      <w:r w:rsidR="00685363" w:rsidRPr="0067048A">
        <w:rPr>
          <w:rStyle w:val="Char3"/>
          <w:rFonts w:hint="eastAsia"/>
          <w:rtl/>
        </w:rPr>
        <w:t>تَرَى</w:t>
      </w:r>
      <w:r w:rsidR="00685363" w:rsidRPr="0067048A">
        <w:rPr>
          <w:rStyle w:val="Char3"/>
          <w:rFonts w:hint="cs"/>
          <w:rtl/>
        </w:rPr>
        <w:t>ٰ</w:t>
      </w:r>
      <w:r w:rsidR="00685363" w:rsidRPr="0067048A">
        <w:rPr>
          <w:rStyle w:val="Char3"/>
          <w:rtl/>
        </w:rPr>
        <w:t xml:space="preserve"> </w:t>
      </w:r>
      <w:r w:rsidR="00685363" w:rsidRPr="0067048A">
        <w:rPr>
          <w:rStyle w:val="Char3"/>
          <w:rFonts w:hint="eastAsia"/>
          <w:rtl/>
        </w:rPr>
        <w:t>عَلَى</w:t>
      </w:r>
      <w:r w:rsidR="00685363" w:rsidRPr="0067048A">
        <w:rPr>
          <w:rStyle w:val="Char3"/>
          <w:rtl/>
        </w:rPr>
        <w:t xml:space="preserve"> </w:t>
      </w:r>
      <w:r w:rsidR="00685363" w:rsidRPr="0067048A">
        <w:rPr>
          <w:rStyle w:val="Char3"/>
          <w:rFonts w:hint="cs"/>
          <w:rtl/>
        </w:rPr>
        <w:t>ٱ</w:t>
      </w:r>
      <w:r w:rsidR="00685363" w:rsidRPr="0067048A">
        <w:rPr>
          <w:rStyle w:val="Char3"/>
          <w:rFonts w:hint="eastAsia"/>
          <w:rtl/>
        </w:rPr>
        <w:t>للَّهِ</w:t>
      </w:r>
      <w:r w:rsidR="00685363" w:rsidRPr="0067048A">
        <w:rPr>
          <w:rStyle w:val="Char3"/>
          <w:rtl/>
        </w:rPr>
        <w:t xml:space="preserve"> </w:t>
      </w:r>
      <w:r w:rsidR="00685363" w:rsidRPr="0067048A">
        <w:rPr>
          <w:rStyle w:val="Char3"/>
          <w:rFonts w:hint="eastAsia"/>
          <w:rtl/>
        </w:rPr>
        <w:t>كَذِبًا</w:t>
      </w:r>
      <w:r w:rsidR="00685363" w:rsidRPr="00995B26">
        <w:rPr>
          <w:rFonts w:ascii="Abo-thar" w:hAnsi="Abo-thar" w:cs="Traditional Arabic" w:hint="cs"/>
          <w:sz w:val="28"/>
          <w:rtl/>
          <w:lang w:bidi="ar-SY"/>
        </w:rPr>
        <w:t>﴾</w:t>
      </w:r>
      <w:r w:rsidRPr="00995B26">
        <w:rPr>
          <w:rFonts w:ascii="Abo-thar" w:hAnsi="Abo-thar"/>
          <w:sz w:val="28"/>
          <w:rtl/>
          <w:lang w:bidi="ar-SY"/>
        </w:rPr>
        <w:t xml:space="preserve"> </w:t>
      </w:r>
      <w:r w:rsidRPr="003108CB">
        <w:rPr>
          <w:rStyle w:val="Char2"/>
          <w:rtl/>
        </w:rPr>
        <w:t>[يونس</w:t>
      </w:r>
      <w:r w:rsidR="005B20E7" w:rsidRPr="003108CB">
        <w:rPr>
          <w:rStyle w:val="Char2"/>
          <w:rFonts w:hint="cs"/>
          <w:rtl/>
        </w:rPr>
        <w:t>:</w:t>
      </w:r>
      <w:r w:rsidRPr="003108CB">
        <w:rPr>
          <w:rStyle w:val="Char2"/>
          <w:rtl/>
        </w:rPr>
        <w:t>17]</w:t>
      </w:r>
      <w:r w:rsidR="00217AB4" w:rsidRPr="00995B26">
        <w:rPr>
          <w:rFonts w:ascii="Abo-thar" w:hAnsi="Abo-thar" w:hint="cs"/>
          <w:sz w:val="28"/>
          <w:rtl/>
          <w:lang w:bidi="ar-SY"/>
        </w:rPr>
        <w:t>.</w:t>
      </w:r>
    </w:p>
    <w:p w:rsidR="00071132" w:rsidRPr="003F3B94" w:rsidRDefault="00071132" w:rsidP="003F3B94">
      <w:pPr>
        <w:pStyle w:val="a0"/>
        <w:rPr>
          <w:rtl/>
          <w:lang w:bidi="ar-SY"/>
        </w:rPr>
        <w:sectPr w:rsidR="00071132" w:rsidRPr="003F3B94" w:rsidSect="00010AE3">
          <w:headerReference w:type="default" r:id="rId26"/>
          <w:footnotePr>
            <w:numRestart w:val="eachPage"/>
          </w:footnotePr>
          <w:type w:val="oddPage"/>
          <w:pgSz w:w="9356" w:h="13608" w:code="34"/>
          <w:pgMar w:top="964" w:right="1134" w:bottom="1134" w:left="964" w:header="0" w:footer="851" w:gutter="0"/>
          <w:cols w:space="708"/>
          <w:titlePg/>
          <w:bidi/>
          <w:rtlGutter/>
          <w:docGrid w:linePitch="360"/>
        </w:sectPr>
      </w:pPr>
    </w:p>
    <w:p w:rsidR="005C664D" w:rsidRPr="00995B26" w:rsidRDefault="00DA1FC2" w:rsidP="00071132">
      <w:pPr>
        <w:pStyle w:val="Heading1"/>
        <w:rPr>
          <w:rFonts w:hint="cs"/>
          <w:rtl/>
        </w:rPr>
      </w:pPr>
      <w:bookmarkStart w:id="77" w:name="_Toc215489799"/>
      <w:bookmarkStart w:id="78" w:name="_Toc387843056"/>
      <w:r w:rsidRPr="00995B26">
        <w:rPr>
          <w:rFonts w:hint="cs"/>
          <w:rtl/>
        </w:rPr>
        <w:t>الفصل الثاني</w:t>
      </w:r>
      <w:r w:rsidR="00071132">
        <w:rPr>
          <w:rtl/>
        </w:rPr>
        <w:br/>
      </w:r>
      <w:r w:rsidRPr="00995B26">
        <w:rPr>
          <w:rFonts w:hint="cs"/>
          <w:rtl/>
        </w:rPr>
        <w:t>استفادة النبي</w:t>
      </w:r>
      <w:r w:rsidR="005B20E7" w:rsidRPr="00995B26">
        <w:rPr>
          <w:rFonts w:cs="CTraditional Arabic" w:hint="cs"/>
          <w:rtl/>
        </w:rPr>
        <w:t>ص</w:t>
      </w:r>
      <w:r w:rsidRPr="00995B26">
        <w:rPr>
          <w:rFonts w:hint="cs"/>
          <w:rtl/>
        </w:rPr>
        <w:t xml:space="preserve"> وأهل البيت من </w:t>
      </w:r>
      <w:r w:rsidR="005C664D" w:rsidRPr="00995B26">
        <w:rPr>
          <w:rFonts w:hint="cs"/>
          <w:rtl/>
        </w:rPr>
        <w:t>الخمس</w:t>
      </w:r>
      <w:bookmarkEnd w:id="77"/>
      <w:bookmarkEnd w:id="78"/>
    </w:p>
    <w:p w:rsidR="00DA1FC2" w:rsidRPr="00995B26" w:rsidRDefault="00DA1FC2" w:rsidP="007D2B8A">
      <w:pPr>
        <w:pStyle w:val="a5"/>
        <w:rPr>
          <w:rFonts w:hint="cs"/>
          <w:rtl/>
          <w:lang w:bidi="ar-SY"/>
        </w:rPr>
      </w:pPr>
      <w:bookmarkStart w:id="79" w:name="_Toc387843057"/>
      <w:r w:rsidRPr="00995B26">
        <w:rPr>
          <w:rFonts w:hint="cs"/>
          <w:rtl/>
          <w:lang w:bidi="ar-SY"/>
        </w:rPr>
        <w:t>1- مقدمة</w:t>
      </w:r>
      <w:bookmarkEnd w:id="79"/>
    </w:p>
    <w:p w:rsidR="005C664D" w:rsidRPr="003F3B94" w:rsidRDefault="005C664D" w:rsidP="003F3B94">
      <w:pPr>
        <w:pStyle w:val="a0"/>
        <w:rPr>
          <w:rFonts w:hint="cs"/>
          <w:rtl/>
          <w:lang w:bidi="ar-SY"/>
        </w:rPr>
      </w:pPr>
      <w:r w:rsidRPr="003F3B94">
        <w:rPr>
          <w:rFonts w:ascii="Abo-thar" w:hAnsi="Abo-thar" w:hint="cs"/>
          <w:sz w:val="28"/>
          <w:rtl/>
          <w:lang w:bidi="ar-SY"/>
        </w:rPr>
        <w:t>ذكر القائلون باختصاص الخمس ببني هاشم علَّةً لهذا الأمر مفادها أنهم لما كانوا من أقرباء رسول الله</w:t>
      </w:r>
      <w:r w:rsidR="00147857" w:rsidRPr="003F3B94">
        <w:rPr>
          <w:rFonts w:ascii="Abo-thar" w:hAnsi="Abo-thar" w:hint="cs"/>
          <w:sz w:val="28"/>
          <w:rtl/>
          <w:lang w:bidi="ar-SY"/>
        </w:rPr>
        <w:t xml:space="preserve"> </w:t>
      </w:r>
      <w:r w:rsidR="003C7AEB" w:rsidRPr="003C7AEB">
        <w:rPr>
          <w:rFonts w:ascii="Abo-thar" w:hAnsi="Abo-thar" w:cs="CTraditional Arabic"/>
          <w:sz w:val="28"/>
          <w:rtl/>
          <w:lang w:bidi="ar-SY"/>
        </w:rPr>
        <w:t>ص</w:t>
      </w:r>
      <w:r w:rsidR="00147857" w:rsidRPr="003F3B94">
        <w:rPr>
          <w:rFonts w:ascii="Abo-thar" w:hAnsi="Abo-thar"/>
          <w:sz w:val="28"/>
          <w:rtl/>
          <w:lang w:bidi="ar-SY"/>
        </w:rPr>
        <w:t xml:space="preserve"> </w:t>
      </w:r>
      <w:r w:rsidRPr="003F3B94">
        <w:rPr>
          <w:rFonts w:ascii="Abo-thar" w:hAnsi="Abo-thar" w:hint="cs"/>
          <w:sz w:val="28"/>
          <w:rtl/>
          <w:lang w:bidi="ar-SY"/>
        </w:rPr>
        <w:t>فإن الله تعالى أكرمهم وميزهم عن سائر الخلق فحرَّم عليهم الصدقة</w:t>
      </w:r>
      <w:r w:rsidR="00217AB4" w:rsidRPr="003F3B94">
        <w:rPr>
          <w:rFonts w:ascii="Abo-thar" w:hAnsi="Abo-thar" w:hint="cs"/>
          <w:sz w:val="28"/>
          <w:rtl/>
          <w:lang w:bidi="ar-SY"/>
        </w:rPr>
        <w:t>،</w:t>
      </w:r>
      <w:r w:rsidRPr="003F3B94">
        <w:rPr>
          <w:rFonts w:ascii="Abo-thar" w:hAnsi="Abo-thar" w:hint="cs"/>
          <w:sz w:val="28"/>
          <w:rtl/>
          <w:lang w:bidi="ar-SY"/>
        </w:rPr>
        <w:t xml:space="preserve"> ولما كانت الزكاة </w:t>
      </w:r>
      <w:r w:rsidRPr="003F3B94">
        <w:rPr>
          <w:rFonts w:cs="Times New Roman" w:hint="cs"/>
          <w:sz w:val="28"/>
          <w:rtl/>
          <w:lang w:bidi="ar-SY"/>
        </w:rPr>
        <w:t>–</w:t>
      </w:r>
      <w:r w:rsidRPr="003F3B94">
        <w:rPr>
          <w:rFonts w:ascii="Abo-thar" w:hAnsi="Abo-thar" w:hint="cs"/>
          <w:sz w:val="28"/>
          <w:rtl/>
          <w:lang w:bidi="ar-SY"/>
        </w:rPr>
        <w:t xml:space="preserve"> </w:t>
      </w:r>
      <w:r w:rsidRPr="003F3B94">
        <w:rPr>
          <w:rFonts w:ascii="mylotus" w:hAnsi="mylotus" w:hint="cs"/>
          <w:sz w:val="28"/>
          <w:rtl/>
          <w:lang w:bidi="ar-SY"/>
        </w:rPr>
        <w:t>والتي</w:t>
      </w:r>
      <w:r w:rsidRPr="003F3B94">
        <w:rPr>
          <w:rFonts w:ascii="Abo-thar" w:hAnsi="Abo-thar" w:hint="cs"/>
          <w:sz w:val="28"/>
          <w:rtl/>
          <w:lang w:bidi="ar-SY"/>
        </w:rPr>
        <w:t xml:space="preserve"> </w:t>
      </w:r>
      <w:r w:rsidRPr="003F3B94">
        <w:rPr>
          <w:rFonts w:ascii="mylotus" w:hAnsi="mylotus" w:hint="cs"/>
          <w:sz w:val="28"/>
          <w:rtl/>
          <w:lang w:bidi="ar-SY"/>
        </w:rPr>
        <w:t>يقال</w:t>
      </w:r>
      <w:r w:rsidRPr="003F3B94">
        <w:rPr>
          <w:rFonts w:ascii="Abo-thar" w:hAnsi="Abo-thar" w:hint="cs"/>
          <w:sz w:val="28"/>
          <w:rtl/>
          <w:lang w:bidi="ar-SY"/>
        </w:rPr>
        <w:t xml:space="preserve"> </w:t>
      </w:r>
      <w:r w:rsidRPr="003F3B94">
        <w:rPr>
          <w:rFonts w:ascii="mylotus" w:hAnsi="mylotus" w:hint="cs"/>
          <w:sz w:val="28"/>
          <w:rtl/>
          <w:lang w:bidi="ar-SY"/>
        </w:rPr>
        <w:t>لها</w:t>
      </w:r>
      <w:r w:rsidRPr="003F3B94">
        <w:rPr>
          <w:rFonts w:ascii="Abo-thar" w:hAnsi="Abo-thar" w:hint="cs"/>
          <w:sz w:val="28"/>
          <w:rtl/>
          <w:lang w:bidi="ar-SY"/>
        </w:rPr>
        <w:t xml:space="preserve"> </w:t>
      </w:r>
      <w:r w:rsidRPr="003F3B94">
        <w:rPr>
          <w:rFonts w:ascii="mylotus" w:hAnsi="mylotus" w:hint="cs"/>
          <w:sz w:val="28"/>
          <w:rtl/>
          <w:lang w:bidi="ar-SY"/>
        </w:rPr>
        <w:t>أيضاً</w:t>
      </w:r>
      <w:r w:rsidRPr="003F3B94">
        <w:rPr>
          <w:rFonts w:ascii="Abo-thar" w:hAnsi="Abo-thar" w:hint="cs"/>
          <w:sz w:val="28"/>
          <w:rtl/>
          <w:lang w:bidi="ar-SY"/>
        </w:rPr>
        <w:t xml:space="preserve"> </w:t>
      </w:r>
      <w:r w:rsidRPr="003F3B94">
        <w:rPr>
          <w:rFonts w:ascii="mylotus" w:hAnsi="mylotus" w:hint="cs"/>
          <w:sz w:val="28"/>
          <w:rtl/>
          <w:lang w:bidi="ar-SY"/>
        </w:rPr>
        <w:t>الصدقات</w:t>
      </w:r>
      <w:r w:rsidRPr="003F3B94">
        <w:rPr>
          <w:rFonts w:ascii="Abo-thar" w:hAnsi="Abo-thar" w:hint="cs"/>
          <w:sz w:val="28"/>
          <w:rtl/>
          <w:lang w:bidi="ar-SY"/>
        </w:rPr>
        <w:t xml:space="preserve"> </w:t>
      </w:r>
      <w:r w:rsidRPr="003F3B94">
        <w:rPr>
          <w:rFonts w:cs="Times New Roman" w:hint="cs"/>
          <w:sz w:val="28"/>
          <w:rtl/>
          <w:lang w:bidi="ar-SY"/>
        </w:rPr>
        <w:t>–</w:t>
      </w:r>
      <w:r w:rsidRPr="003F3B94">
        <w:rPr>
          <w:rFonts w:ascii="Abo-thar" w:hAnsi="Abo-thar" w:hint="cs"/>
          <w:sz w:val="28"/>
          <w:rtl/>
          <w:lang w:bidi="ar-SY"/>
        </w:rPr>
        <w:t xml:space="preserve"> </w:t>
      </w:r>
      <w:r w:rsidRPr="003F3B94">
        <w:rPr>
          <w:rFonts w:ascii="mylotus" w:hAnsi="mylotus" w:hint="cs"/>
          <w:sz w:val="28"/>
          <w:rtl/>
          <w:lang w:bidi="ar-SY"/>
        </w:rPr>
        <w:t>محرمةٌ</w:t>
      </w:r>
      <w:r w:rsidRPr="003F3B94">
        <w:rPr>
          <w:rFonts w:ascii="Abo-thar" w:hAnsi="Abo-thar" w:hint="cs"/>
          <w:sz w:val="28"/>
          <w:rtl/>
          <w:lang w:bidi="ar-SY"/>
        </w:rPr>
        <w:t xml:space="preserve"> </w:t>
      </w:r>
      <w:r w:rsidRPr="003F3B94">
        <w:rPr>
          <w:rFonts w:ascii="mylotus" w:hAnsi="mylotus" w:hint="cs"/>
          <w:sz w:val="28"/>
          <w:rtl/>
          <w:lang w:bidi="ar-SY"/>
        </w:rPr>
        <w:t>ع</w:t>
      </w:r>
      <w:r w:rsidRPr="003F3B94">
        <w:rPr>
          <w:rFonts w:ascii="Abo-thar" w:hAnsi="Abo-thar" w:hint="cs"/>
          <w:sz w:val="28"/>
          <w:rtl/>
          <w:lang w:bidi="ar-SY"/>
        </w:rPr>
        <w:t>ليهم لأنها من أوساخ الناس ولأن في أخذها نوع من الذل وقد أراد</w:t>
      </w:r>
      <w:r w:rsidR="00147857" w:rsidRPr="003F3B94">
        <w:rPr>
          <w:rFonts w:ascii="Abo-thar" w:hAnsi="Abo-thar" w:hint="cs"/>
          <w:sz w:val="28"/>
          <w:rtl/>
          <w:lang w:bidi="ar-SY"/>
        </w:rPr>
        <w:t xml:space="preserve"> </w:t>
      </w:r>
      <w:r w:rsidRPr="003F3B94">
        <w:rPr>
          <w:rFonts w:ascii="Abo-thar" w:hAnsi="Abo-thar" w:hint="cs"/>
          <w:sz w:val="28"/>
          <w:rtl/>
          <w:lang w:bidi="ar-SY"/>
        </w:rPr>
        <w:t>الله أن لا يتعرض أولئك القوم الشرفاء المتميِّزون بنسبهم إلى النبيِّ إلى مثل تلك الذلَّة</w:t>
      </w:r>
      <w:r w:rsidR="00217AB4" w:rsidRPr="003F3B94">
        <w:rPr>
          <w:rFonts w:ascii="Abo-thar" w:hAnsi="Abo-thar" w:hint="cs"/>
          <w:sz w:val="28"/>
          <w:rtl/>
          <w:lang w:bidi="ar-SY"/>
        </w:rPr>
        <w:t>،</w:t>
      </w:r>
      <w:r w:rsidRPr="003F3B94">
        <w:rPr>
          <w:rFonts w:ascii="Abo-thar" w:hAnsi="Abo-thar" w:hint="cs"/>
          <w:sz w:val="28"/>
          <w:rtl/>
          <w:lang w:bidi="ar-SY"/>
        </w:rPr>
        <w:t xml:space="preserve"> ومن الجهة الأخرى لما كان بعضهم بحاجة إلى المال</w:t>
      </w:r>
      <w:r w:rsidR="00217AB4" w:rsidRPr="003F3B94">
        <w:rPr>
          <w:rFonts w:ascii="Abo-thar" w:hAnsi="Abo-thar" w:hint="cs"/>
          <w:sz w:val="28"/>
          <w:rtl/>
          <w:lang w:bidi="ar-SY"/>
        </w:rPr>
        <w:t>،</w:t>
      </w:r>
      <w:r w:rsidRPr="003F3B94">
        <w:rPr>
          <w:rFonts w:ascii="Abo-thar" w:hAnsi="Abo-thar" w:hint="cs"/>
          <w:sz w:val="28"/>
          <w:rtl/>
          <w:lang w:bidi="ar-SY"/>
        </w:rPr>
        <w:t xml:space="preserve"> لذا قرر الله </w:t>
      </w:r>
      <w:r w:rsidR="001A5AE4" w:rsidRPr="003F3B94">
        <w:rPr>
          <w:rFonts w:ascii="Abo-thar" w:hAnsi="Abo-thar" w:hint="cs"/>
          <w:sz w:val="28"/>
          <w:rtl/>
          <w:lang w:bidi="ar-SY"/>
        </w:rPr>
        <w:t xml:space="preserve">تعالى لهم </w:t>
      </w:r>
      <w:r w:rsidRPr="003F3B94">
        <w:rPr>
          <w:rFonts w:ascii="Abo-thar" w:hAnsi="Abo-thar" w:hint="cs"/>
          <w:sz w:val="28"/>
          <w:rtl/>
          <w:lang w:bidi="ar-SY"/>
        </w:rPr>
        <w:t>الخمس ليعوض حرمانهم من الزكاة ويحافظ على علو مرتبتهم وكرامتهم وتميزهم</w:t>
      </w:r>
      <w:r w:rsidR="00217AB4" w:rsidRPr="003F3B94">
        <w:rPr>
          <w:rFonts w:ascii="Abo-thar" w:hAnsi="Abo-thar" w:hint="cs"/>
          <w:sz w:val="28"/>
          <w:rtl/>
          <w:lang w:bidi="ar-SY"/>
        </w:rPr>
        <w:t>.</w:t>
      </w:r>
      <w:r w:rsidRPr="003F3B94">
        <w:rPr>
          <w:rFonts w:ascii="Abo-thar" w:hAnsi="Abo-thar" w:hint="cs"/>
          <w:sz w:val="28"/>
          <w:rtl/>
          <w:lang w:bidi="ar-SY"/>
        </w:rPr>
        <w:t xml:space="preserve"> </w:t>
      </w:r>
    </w:p>
    <w:p w:rsidR="005C664D" w:rsidRPr="003F3B94" w:rsidRDefault="005C664D" w:rsidP="003F3B94">
      <w:pPr>
        <w:pStyle w:val="a0"/>
        <w:rPr>
          <w:rFonts w:hint="cs"/>
          <w:rtl/>
          <w:lang w:bidi="ar-SY"/>
        </w:rPr>
      </w:pPr>
      <w:r w:rsidRPr="003F3B94">
        <w:rPr>
          <w:rFonts w:ascii="Abo-thar" w:hAnsi="Abo-thar" w:hint="cs"/>
          <w:b/>
          <w:bCs/>
          <w:sz w:val="28"/>
          <w:rtl/>
          <w:lang w:bidi="ar-SY"/>
        </w:rPr>
        <w:t>وهذا الادعاء باطل لعدة وجوه</w:t>
      </w:r>
      <w:r w:rsidR="00217AB4" w:rsidRPr="003F3B94">
        <w:rPr>
          <w:rFonts w:ascii="Abo-thar" w:hAnsi="Abo-thar" w:hint="cs"/>
          <w:b/>
          <w:bCs/>
          <w:sz w:val="28"/>
          <w:rtl/>
          <w:lang w:bidi="ar-SY"/>
        </w:rPr>
        <w:t>:</w:t>
      </w:r>
      <w:r w:rsidRPr="003F3B94">
        <w:rPr>
          <w:rFonts w:ascii="Abo-thar" w:hAnsi="Abo-thar" w:hint="cs"/>
          <w:b/>
          <w:bCs/>
          <w:sz w:val="28"/>
          <w:rtl/>
          <w:lang w:bidi="ar-SY"/>
        </w:rPr>
        <w:t xml:space="preserve"> </w:t>
      </w:r>
    </w:p>
    <w:p w:rsidR="005C664D" w:rsidRPr="003F3B94" w:rsidRDefault="005C664D" w:rsidP="003F3B94">
      <w:pPr>
        <w:pStyle w:val="a0"/>
        <w:rPr>
          <w:rFonts w:hint="cs"/>
          <w:rtl/>
          <w:lang w:bidi="ar-SY"/>
        </w:rPr>
      </w:pPr>
      <w:r w:rsidRPr="003F3B94">
        <w:rPr>
          <w:rFonts w:ascii="Abo-thar" w:hAnsi="Abo-thar" w:hint="cs"/>
          <w:sz w:val="28"/>
          <w:rtl/>
          <w:lang w:bidi="ar-SY"/>
        </w:rPr>
        <w:t>أولاً</w:t>
      </w:r>
      <w:r w:rsidR="00217AB4" w:rsidRPr="003F3B94">
        <w:rPr>
          <w:rFonts w:ascii="Abo-thar" w:hAnsi="Abo-thar" w:hint="cs"/>
          <w:sz w:val="28"/>
          <w:rtl/>
          <w:lang w:bidi="ar-SY"/>
        </w:rPr>
        <w:t>:</w:t>
      </w:r>
      <w:r w:rsidRPr="003F3B94">
        <w:rPr>
          <w:rFonts w:ascii="Abo-thar" w:hAnsi="Abo-thar" w:hint="cs"/>
          <w:sz w:val="28"/>
          <w:rtl/>
          <w:lang w:bidi="ar-SY"/>
        </w:rPr>
        <w:t xml:space="preserve"> العلة التي ذكروها باطلةٌ عقلاً لأنه ليس هناك أي ميِّزة</w:t>
      </w:r>
      <w:r w:rsidR="00147857" w:rsidRPr="003F3B94">
        <w:rPr>
          <w:rFonts w:ascii="Abo-thar" w:hAnsi="Abo-thar" w:hint="cs"/>
          <w:sz w:val="28"/>
          <w:rtl/>
          <w:lang w:bidi="ar-SY"/>
        </w:rPr>
        <w:t xml:space="preserve"> و</w:t>
      </w:r>
      <w:r w:rsidRPr="003F3B94">
        <w:rPr>
          <w:rFonts w:ascii="Abo-thar" w:hAnsi="Abo-thar" w:hint="cs"/>
          <w:sz w:val="28"/>
          <w:rtl/>
          <w:lang w:bidi="ar-SY"/>
        </w:rPr>
        <w:t xml:space="preserve">أفضليَّة </w:t>
      </w:r>
      <w:r w:rsidR="00217AB4" w:rsidRPr="003F3B94">
        <w:rPr>
          <w:rFonts w:ascii="Abo-thar" w:hAnsi="Abo-thar" w:hint="cs"/>
          <w:sz w:val="28"/>
          <w:rtl/>
          <w:lang w:bidi="ar-SY"/>
        </w:rPr>
        <w:t>-</w:t>
      </w:r>
      <w:r w:rsidRPr="003F3B94">
        <w:rPr>
          <w:rFonts w:ascii="Abo-thar" w:hAnsi="Abo-thar" w:hint="cs"/>
          <w:sz w:val="28"/>
          <w:rtl/>
          <w:lang w:bidi="ar-SY"/>
        </w:rPr>
        <w:t xml:space="preserve"> من حيث النسب أو العرق أو القبيلة أو العشيرة أو الوطن أو المسكن وأمثالها </w:t>
      </w:r>
      <w:r w:rsidR="00217AB4" w:rsidRPr="003F3B94">
        <w:rPr>
          <w:rFonts w:ascii="Abo-thar" w:hAnsi="Abo-thar" w:hint="cs"/>
          <w:sz w:val="28"/>
          <w:rtl/>
          <w:lang w:bidi="ar-SY"/>
        </w:rPr>
        <w:t>-</w:t>
      </w:r>
      <w:r w:rsidRPr="003F3B94">
        <w:rPr>
          <w:rFonts w:ascii="Abo-thar" w:hAnsi="Abo-thar" w:hint="cs"/>
          <w:sz w:val="28"/>
          <w:rtl/>
          <w:lang w:bidi="ar-SY"/>
        </w:rPr>
        <w:t xml:space="preserve"> لأيِّ فرد على فرد آخر ولا</w:t>
      </w:r>
      <w:r w:rsidRPr="003F3B94">
        <w:rPr>
          <w:rFonts w:cs="Times New Roman" w:hint="cs"/>
          <w:sz w:val="28"/>
          <w:rtl/>
          <w:lang w:bidi="ar-SY"/>
        </w:rPr>
        <w:t> </w:t>
      </w:r>
      <w:r w:rsidRPr="003F3B94">
        <w:rPr>
          <w:rFonts w:ascii="Abo-thar" w:hAnsi="Abo-thar" w:hint="cs"/>
          <w:sz w:val="28"/>
          <w:rtl/>
          <w:lang w:bidi="ar-SY"/>
        </w:rPr>
        <w:t>لأيِّ قوم على قوم آخرين</w:t>
      </w:r>
      <w:r w:rsidR="00217AB4" w:rsidRPr="003F3B94">
        <w:rPr>
          <w:rFonts w:ascii="Abo-thar" w:hAnsi="Abo-thar" w:hint="cs"/>
          <w:sz w:val="28"/>
          <w:rtl/>
          <w:lang w:bidi="ar-SY"/>
        </w:rPr>
        <w:t>،</w:t>
      </w:r>
      <w:r w:rsidRPr="003F3B94">
        <w:rPr>
          <w:rFonts w:ascii="Abo-thar" w:hAnsi="Abo-thar" w:hint="cs"/>
          <w:sz w:val="28"/>
          <w:rtl/>
          <w:lang w:bidi="ar-SY"/>
        </w:rPr>
        <w:t xml:space="preserve"> بل فضيلة كل شخص وتميزه إنما يكون بما كسبه بنفسه</w:t>
      </w:r>
      <w:r w:rsidR="00217AB4" w:rsidRPr="003F3B94">
        <w:rPr>
          <w:rFonts w:ascii="Abo-thar" w:hAnsi="Abo-thar" w:hint="cs"/>
          <w:sz w:val="28"/>
          <w:rtl/>
          <w:lang w:bidi="ar-SY"/>
        </w:rPr>
        <w:t>،</w:t>
      </w:r>
      <w:r w:rsidRPr="003F3B94">
        <w:rPr>
          <w:rFonts w:ascii="Abo-thar" w:hAnsi="Abo-thar" w:hint="cs"/>
          <w:sz w:val="28"/>
          <w:rtl/>
          <w:lang w:bidi="ar-SY"/>
        </w:rPr>
        <w:t xml:space="preserve"> ومثل هذه الفضيلة لا تسري إلى الآخرين ولا تورثُ لأن الفضائل الإنسانية والنفسية ليست مثل مال الإنسان أو متاعه كي تورث عنه وتنتقل من بعده إلى ورثته</w:t>
      </w:r>
      <w:r w:rsidR="00217AB4" w:rsidRPr="003F3B94">
        <w:rPr>
          <w:rFonts w:ascii="Abo-thar" w:hAnsi="Abo-thar" w:hint="cs"/>
          <w:sz w:val="28"/>
          <w:rtl/>
          <w:lang w:bidi="ar-SY"/>
        </w:rPr>
        <w:t>!</w:t>
      </w:r>
      <w:r w:rsidRPr="003F3B94">
        <w:rPr>
          <w:rFonts w:ascii="Abo-thar" w:hAnsi="Abo-thar" w:hint="cs"/>
          <w:sz w:val="28"/>
          <w:rtl/>
          <w:lang w:bidi="ar-SY"/>
        </w:rPr>
        <w:t xml:space="preserve"> أو يهبها ويوصي بها لأقربائه</w:t>
      </w:r>
      <w:r w:rsidR="00217AB4" w:rsidRPr="003F3B94">
        <w:rPr>
          <w:rFonts w:ascii="Abo-thar" w:hAnsi="Abo-thar" w:hint="cs"/>
          <w:sz w:val="28"/>
          <w:rtl/>
          <w:lang w:bidi="ar-SY"/>
        </w:rPr>
        <w:t>!</w:t>
      </w:r>
      <w:r w:rsidRPr="003F3B94">
        <w:rPr>
          <w:rFonts w:ascii="Abo-thar" w:hAnsi="Abo-thar" w:hint="cs"/>
          <w:sz w:val="28"/>
          <w:rtl/>
          <w:lang w:bidi="ar-SY"/>
        </w:rPr>
        <w:t xml:space="preserve"> بل الطريقة الوحيدة لكسب الفضائل والتميُّز هي أن يسعى</w:t>
      </w:r>
      <w:r w:rsidR="00147857" w:rsidRPr="003F3B94">
        <w:rPr>
          <w:rFonts w:ascii="Abo-thar" w:hAnsi="Abo-thar" w:hint="cs"/>
          <w:sz w:val="28"/>
          <w:rtl/>
          <w:lang w:bidi="ar-SY"/>
        </w:rPr>
        <w:t xml:space="preserve"> </w:t>
      </w:r>
      <w:r w:rsidRPr="003F3B94">
        <w:rPr>
          <w:rFonts w:ascii="Abo-thar" w:hAnsi="Abo-thar" w:hint="cs"/>
          <w:sz w:val="28"/>
          <w:rtl/>
          <w:lang w:bidi="ar-SY"/>
        </w:rPr>
        <w:t>الإنسان بنفسه ويبذل جهده لتحصيل الكمالات</w:t>
      </w:r>
      <w:r w:rsidR="00217AB4" w:rsidRPr="003F3B94">
        <w:rPr>
          <w:rFonts w:ascii="Abo-thar" w:hAnsi="Abo-thar" w:hint="cs"/>
          <w:sz w:val="28"/>
          <w:rtl/>
          <w:lang w:bidi="ar-SY"/>
        </w:rPr>
        <w:t>،</w:t>
      </w:r>
      <w:r w:rsidRPr="003F3B94">
        <w:rPr>
          <w:rFonts w:ascii="Abo-thar" w:hAnsi="Abo-thar" w:hint="cs"/>
          <w:sz w:val="28"/>
          <w:rtl/>
          <w:lang w:bidi="ar-SY"/>
        </w:rPr>
        <w:t xml:space="preserve"> لا</w:t>
      </w:r>
      <w:r w:rsidRPr="003F3B94">
        <w:rPr>
          <w:rFonts w:cs="Times New Roman" w:hint="cs"/>
          <w:sz w:val="28"/>
          <w:rtl/>
          <w:lang w:bidi="ar-SY"/>
        </w:rPr>
        <w:t> </w:t>
      </w:r>
      <w:r w:rsidRPr="003F3B94">
        <w:rPr>
          <w:rFonts w:ascii="Abo-thar" w:hAnsi="Abo-thar" w:hint="cs"/>
          <w:sz w:val="28"/>
          <w:rtl/>
          <w:lang w:bidi="ar-SY"/>
        </w:rPr>
        <w:t>أن يفتخر بما كان عليه آباؤه وأجداده</w:t>
      </w:r>
      <w:r w:rsidR="00217AB4" w:rsidRPr="003F3B94">
        <w:rPr>
          <w:rFonts w:ascii="Abo-thar" w:hAnsi="Abo-thar" w:hint="cs"/>
          <w:sz w:val="28"/>
          <w:rtl/>
          <w:lang w:bidi="ar-SY"/>
        </w:rPr>
        <w:t>!</w:t>
      </w:r>
      <w:r w:rsidRPr="003F3B94">
        <w:rPr>
          <w:rFonts w:ascii="Abo-thar" w:hAnsi="Abo-thar" w:hint="cs"/>
          <w:sz w:val="28"/>
          <w:rtl/>
          <w:lang w:bidi="ar-SY"/>
        </w:rPr>
        <w:t xml:space="preserve"> وهذا أمر بديهي لا يحتاج إلى دليل أو برهان</w:t>
      </w:r>
      <w:r w:rsidR="00217AB4" w:rsidRPr="003F3B94">
        <w:rPr>
          <w:rFonts w:ascii="Abo-thar" w:hAnsi="Abo-thar" w:hint="cs"/>
          <w:sz w:val="28"/>
          <w:rtl/>
          <w:lang w:bidi="ar-SY"/>
        </w:rPr>
        <w:t>.</w:t>
      </w:r>
      <w:r w:rsidRPr="003F3B94">
        <w:rPr>
          <w:rFonts w:ascii="Abo-thar" w:hAnsi="Abo-thar" w:hint="cs"/>
          <w:sz w:val="28"/>
          <w:rtl/>
          <w:lang w:bidi="ar-SY"/>
        </w:rPr>
        <w:t xml:space="preserve"> </w:t>
      </w:r>
    </w:p>
    <w:p w:rsidR="00DA1FC2" w:rsidRPr="003F3B94" w:rsidRDefault="005C664D" w:rsidP="003F3B94">
      <w:pPr>
        <w:pStyle w:val="a0"/>
        <w:rPr>
          <w:rFonts w:hint="cs"/>
          <w:rtl/>
          <w:lang w:bidi="ar-SY"/>
        </w:rPr>
      </w:pPr>
      <w:r w:rsidRPr="003F3B94">
        <w:rPr>
          <w:rFonts w:ascii="Abo-thar" w:hAnsi="Abo-thar" w:hint="cs"/>
          <w:sz w:val="28"/>
          <w:rtl/>
          <w:lang w:bidi="ar-SY"/>
        </w:rPr>
        <w:t>ثانياً</w:t>
      </w:r>
      <w:r w:rsidR="00217AB4" w:rsidRPr="003F3B94">
        <w:rPr>
          <w:rFonts w:ascii="Abo-thar" w:hAnsi="Abo-thar" w:hint="cs"/>
          <w:sz w:val="28"/>
          <w:rtl/>
          <w:lang w:bidi="ar-SY"/>
        </w:rPr>
        <w:t>:</w:t>
      </w:r>
      <w:r w:rsidRPr="003F3B94">
        <w:rPr>
          <w:rFonts w:ascii="Abo-thar" w:hAnsi="Abo-thar" w:hint="cs"/>
          <w:sz w:val="28"/>
          <w:rtl/>
          <w:lang w:bidi="ar-SY"/>
        </w:rPr>
        <w:t xml:space="preserve"> والعلة التي ذكروها باطلةٌ نقلاً</w:t>
      </w:r>
      <w:r w:rsidR="00217AB4" w:rsidRPr="003F3B94">
        <w:rPr>
          <w:rFonts w:ascii="Abo-thar" w:hAnsi="Abo-thar" w:hint="cs"/>
          <w:sz w:val="28"/>
          <w:rtl/>
          <w:lang w:bidi="ar-SY"/>
        </w:rPr>
        <w:t>،</w:t>
      </w:r>
      <w:r w:rsidRPr="003F3B94">
        <w:rPr>
          <w:rFonts w:ascii="Abo-thar" w:hAnsi="Abo-thar" w:hint="cs"/>
          <w:sz w:val="28"/>
          <w:rtl/>
          <w:lang w:bidi="ar-SY"/>
        </w:rPr>
        <w:t xml:space="preserve"> وأول ما يبطلها</w:t>
      </w:r>
      <w:r w:rsidR="00147857" w:rsidRPr="003F3B94">
        <w:rPr>
          <w:rFonts w:ascii="Abo-thar" w:hAnsi="Abo-thar" w:hint="cs"/>
          <w:sz w:val="28"/>
          <w:rtl/>
          <w:lang w:bidi="ar-SY"/>
        </w:rPr>
        <w:t xml:space="preserve"> </w:t>
      </w:r>
      <w:r w:rsidRPr="003F3B94">
        <w:rPr>
          <w:rFonts w:ascii="Abo-thar" w:hAnsi="Abo-thar" w:hint="cs"/>
          <w:sz w:val="28"/>
          <w:rtl/>
          <w:lang w:bidi="ar-SY"/>
        </w:rPr>
        <w:t>كتاب الإسلام السماوي القرآن الكريم الذي بيَّن أن من خصوصيات دين الإسلام المبين إلغاءَه للامتيازات الموهومة</w:t>
      </w:r>
      <w:r w:rsidR="00DA1FC2" w:rsidRPr="003F3B94">
        <w:rPr>
          <w:rFonts w:ascii="Abo-thar" w:hAnsi="Abo-thar" w:hint="cs"/>
          <w:sz w:val="28"/>
          <w:rtl/>
          <w:lang w:bidi="ar-SY"/>
        </w:rPr>
        <w:t>.</w:t>
      </w:r>
    </w:p>
    <w:p w:rsidR="00DA1FC2" w:rsidRPr="00995B26" w:rsidRDefault="00DA1FC2" w:rsidP="007D2B8A">
      <w:pPr>
        <w:pStyle w:val="a5"/>
        <w:rPr>
          <w:rFonts w:hint="cs"/>
          <w:rtl/>
          <w:lang w:bidi="ar-SY"/>
        </w:rPr>
      </w:pPr>
      <w:bookmarkStart w:id="80" w:name="_Toc387843058"/>
      <w:r w:rsidRPr="00995B26">
        <w:rPr>
          <w:rFonts w:hint="cs"/>
          <w:rtl/>
          <w:lang w:bidi="ar-SY"/>
        </w:rPr>
        <w:t>2- المساواة في القرآن</w:t>
      </w:r>
      <w:bookmarkEnd w:id="80"/>
    </w:p>
    <w:p w:rsidR="005C664D" w:rsidRPr="003F3B94" w:rsidRDefault="00DA1FC2" w:rsidP="003F3B94">
      <w:pPr>
        <w:pStyle w:val="a0"/>
        <w:rPr>
          <w:rFonts w:hint="cs"/>
          <w:rtl/>
          <w:lang w:bidi="ar-SY"/>
        </w:rPr>
      </w:pPr>
      <w:r w:rsidRPr="003F3B94">
        <w:rPr>
          <w:rFonts w:ascii="Abo-thar" w:hAnsi="Abo-thar" w:hint="cs"/>
          <w:sz w:val="28"/>
          <w:rtl/>
          <w:lang w:bidi="ar-SY"/>
        </w:rPr>
        <w:t>يمكننا بكل جرأة أن ندعي أنه لا يمكن أن نجد أي دين أو شريعة أو مذهب أخلاقي أكد على تساوي بني الإنسان وعلى التعامل بالعدل والقسط مع جميع أفراد البشر دون أي تمييز</w:t>
      </w:r>
      <w:r w:rsidR="001A5AE4" w:rsidRPr="003F3B94">
        <w:rPr>
          <w:rFonts w:ascii="Abo-thar" w:hAnsi="Abo-thar" w:hint="cs"/>
          <w:sz w:val="28"/>
          <w:rtl/>
          <w:lang w:bidi="ar-SY"/>
        </w:rPr>
        <w:t>،</w:t>
      </w:r>
      <w:r w:rsidRPr="003F3B94">
        <w:rPr>
          <w:rFonts w:ascii="Abo-thar" w:hAnsi="Abo-thar" w:hint="cs"/>
          <w:sz w:val="28"/>
          <w:rtl/>
          <w:lang w:bidi="ar-SY"/>
        </w:rPr>
        <w:t xml:space="preserve"> ب</w:t>
      </w:r>
      <w:r w:rsidR="001A5AE4" w:rsidRPr="003F3B94">
        <w:rPr>
          <w:rFonts w:ascii="Abo-thar" w:hAnsi="Abo-thar" w:hint="cs"/>
          <w:sz w:val="28"/>
          <w:rtl/>
          <w:lang w:bidi="ar-SY"/>
        </w:rPr>
        <w:t>ال</w:t>
      </w:r>
      <w:r w:rsidRPr="003F3B94">
        <w:rPr>
          <w:rFonts w:ascii="Abo-thar" w:hAnsi="Abo-thar" w:hint="cs"/>
          <w:sz w:val="28"/>
          <w:rtl/>
          <w:lang w:bidi="ar-SY"/>
        </w:rPr>
        <w:t xml:space="preserve">درجة </w:t>
      </w:r>
      <w:r w:rsidR="001A5AE4" w:rsidRPr="003F3B94">
        <w:rPr>
          <w:rFonts w:ascii="Abo-thar" w:hAnsi="Abo-thar" w:hint="cs"/>
          <w:sz w:val="28"/>
          <w:rtl/>
          <w:lang w:bidi="ar-SY"/>
        </w:rPr>
        <w:t xml:space="preserve">التي أكَّد فيها </w:t>
      </w:r>
      <w:r w:rsidRPr="003F3B94">
        <w:rPr>
          <w:rFonts w:ascii="Abo-thar" w:hAnsi="Abo-thar" w:hint="cs"/>
          <w:sz w:val="28"/>
          <w:rtl/>
          <w:lang w:bidi="ar-SY"/>
        </w:rPr>
        <w:t xml:space="preserve">الإسلام على ذلك، </w:t>
      </w:r>
      <w:r w:rsidR="001A5AE4" w:rsidRPr="003F3B94">
        <w:rPr>
          <w:rFonts w:ascii="Abo-thar" w:hAnsi="Abo-thar" w:hint="cs"/>
          <w:sz w:val="28"/>
          <w:rtl/>
          <w:lang w:bidi="ar-SY"/>
        </w:rPr>
        <w:t>وأوصى</w:t>
      </w:r>
      <w:r w:rsidRPr="003F3B94">
        <w:rPr>
          <w:rFonts w:ascii="Abo-thar" w:hAnsi="Abo-thar" w:hint="cs"/>
          <w:sz w:val="28"/>
          <w:rtl/>
          <w:lang w:bidi="ar-SY"/>
        </w:rPr>
        <w:t xml:space="preserve"> به. والآيات التالية نماذج واضحة على هذه الحقيقة التي هي أحد مزايا الإسلام الأساسية:</w:t>
      </w:r>
    </w:p>
    <w:p w:rsidR="005C664D" w:rsidRPr="003F3B94" w:rsidRDefault="001A5AE4" w:rsidP="003F3B94">
      <w:pPr>
        <w:pStyle w:val="a0"/>
        <w:rPr>
          <w:rFonts w:hint="cs"/>
          <w:rtl/>
          <w:lang w:bidi="ar-SY"/>
        </w:rPr>
      </w:pPr>
      <w:r w:rsidRPr="003F3B94">
        <w:rPr>
          <w:rFonts w:ascii="Abo-thar" w:hAnsi="Abo-thar" w:hint="cs"/>
          <w:sz w:val="28"/>
          <w:rtl/>
          <w:lang w:bidi="ar-SY"/>
        </w:rPr>
        <w:t>1</w:t>
      </w:r>
      <w:r w:rsidR="00217AB4" w:rsidRPr="003F3B94">
        <w:rPr>
          <w:rFonts w:ascii="Abo-thar" w:hAnsi="Abo-thar" w:hint="cs"/>
          <w:sz w:val="28"/>
          <w:rtl/>
          <w:lang w:bidi="ar-SY"/>
        </w:rPr>
        <w:t>-</w:t>
      </w:r>
      <w:r w:rsidR="005C664D" w:rsidRPr="003F3B94">
        <w:rPr>
          <w:rFonts w:ascii="Abo-thar" w:hAnsi="Abo-thar" w:hint="cs"/>
          <w:sz w:val="28"/>
          <w:rtl/>
          <w:lang w:bidi="ar-SY"/>
        </w:rPr>
        <w:t xml:space="preserve"> في مطلع سورة النساء المباركة بين الله تعالى في أول آية منها أن جميع بني آدم ينتمون إلى أب واحد وأم واحدة وبالتالي فهو يذكرهم بحقيقة أن جميعهم متساوون في الخلق والأصل</w:t>
      </w:r>
      <w:r w:rsidR="00217AB4" w:rsidRPr="003F3B94">
        <w:rPr>
          <w:rFonts w:ascii="Abo-thar" w:hAnsi="Abo-thar" w:hint="cs"/>
          <w:sz w:val="28"/>
          <w:rtl/>
          <w:lang w:bidi="ar-SY"/>
        </w:rPr>
        <w:t>:</w:t>
      </w:r>
      <w:r w:rsidR="005C664D" w:rsidRPr="003F3B94">
        <w:rPr>
          <w:rFonts w:ascii="Abo-thar" w:hAnsi="Abo-thar" w:hint="cs"/>
          <w:sz w:val="28"/>
          <w:rtl/>
          <w:lang w:bidi="ar-SY"/>
        </w:rPr>
        <w:t xml:space="preserve"> </w:t>
      </w:r>
    </w:p>
    <w:p w:rsidR="005C664D" w:rsidRPr="003F3B94" w:rsidRDefault="00685363" w:rsidP="00DF7CAE">
      <w:pPr>
        <w:pStyle w:val="a0"/>
        <w:ind w:left="284" w:firstLine="0"/>
        <w:rPr>
          <w:rFonts w:hint="cs"/>
          <w:rtl/>
          <w:lang w:bidi="ar-SY"/>
        </w:rPr>
      </w:pPr>
      <w:r w:rsidRPr="00995B26">
        <w:rPr>
          <w:rFonts w:ascii="Abo-thar" w:hAnsi="Abo-thar" w:cs="Traditional Arabic" w:hint="cs"/>
          <w:sz w:val="28"/>
          <w:rtl/>
          <w:lang w:bidi="ar-SY"/>
        </w:rPr>
        <w:t>﴿</w:t>
      </w:r>
      <w:r w:rsidRPr="00DF7CAE">
        <w:rPr>
          <w:rStyle w:val="Char3"/>
          <w:rFonts w:hint="eastAsia"/>
          <w:rtl/>
        </w:rPr>
        <w:t>يَ</w:t>
      </w:r>
      <w:r w:rsidRPr="00DF7CAE">
        <w:rPr>
          <w:rStyle w:val="Char3"/>
          <w:rFonts w:hint="cs"/>
          <w:rtl/>
        </w:rPr>
        <w:t>ٰٓ</w:t>
      </w:r>
      <w:r w:rsidRPr="00DF7CAE">
        <w:rPr>
          <w:rStyle w:val="Char3"/>
          <w:rFonts w:hint="eastAsia"/>
          <w:rtl/>
        </w:rPr>
        <w:t>أَيُّهَا</w:t>
      </w:r>
      <w:r w:rsidRPr="00DF7CAE">
        <w:rPr>
          <w:rStyle w:val="Char3"/>
          <w:rtl/>
        </w:rPr>
        <w:t xml:space="preserve"> </w:t>
      </w:r>
      <w:r w:rsidRPr="00DF7CAE">
        <w:rPr>
          <w:rStyle w:val="Char3"/>
          <w:rFonts w:hint="cs"/>
          <w:rtl/>
        </w:rPr>
        <w:t>ٱ</w:t>
      </w:r>
      <w:r w:rsidRPr="00DF7CAE">
        <w:rPr>
          <w:rStyle w:val="Char3"/>
          <w:rFonts w:hint="eastAsia"/>
          <w:rtl/>
        </w:rPr>
        <w:t>لنَّاسُ</w:t>
      </w:r>
      <w:r w:rsidRPr="00DF7CAE">
        <w:rPr>
          <w:rStyle w:val="Char3"/>
          <w:rtl/>
        </w:rPr>
        <w:t xml:space="preserve"> </w:t>
      </w:r>
      <w:r w:rsidRPr="00DF7CAE">
        <w:rPr>
          <w:rStyle w:val="Char3"/>
          <w:rFonts w:hint="cs"/>
          <w:rtl/>
        </w:rPr>
        <w:t>ٱ</w:t>
      </w:r>
      <w:r w:rsidRPr="00DF7CAE">
        <w:rPr>
          <w:rStyle w:val="Char3"/>
          <w:rFonts w:hint="eastAsia"/>
          <w:rtl/>
        </w:rPr>
        <w:t>تَّقُواْ</w:t>
      </w:r>
      <w:r w:rsidRPr="00DF7CAE">
        <w:rPr>
          <w:rStyle w:val="Char3"/>
          <w:rtl/>
        </w:rPr>
        <w:t xml:space="preserve"> </w:t>
      </w:r>
      <w:r w:rsidRPr="00DF7CAE">
        <w:rPr>
          <w:rStyle w:val="Char3"/>
          <w:rFonts w:hint="eastAsia"/>
          <w:rtl/>
        </w:rPr>
        <w:t>رَبَّكُمُ</w:t>
      </w:r>
      <w:r w:rsidRPr="00DF7CAE">
        <w:rPr>
          <w:rStyle w:val="Char3"/>
          <w:rtl/>
        </w:rPr>
        <w:t xml:space="preserve"> </w:t>
      </w:r>
      <w:r w:rsidRPr="00DF7CAE">
        <w:rPr>
          <w:rStyle w:val="Char3"/>
          <w:rFonts w:hint="cs"/>
          <w:rtl/>
        </w:rPr>
        <w:t>ٱ</w:t>
      </w:r>
      <w:r w:rsidRPr="00DF7CAE">
        <w:rPr>
          <w:rStyle w:val="Char3"/>
          <w:rFonts w:hint="eastAsia"/>
          <w:rtl/>
        </w:rPr>
        <w:t>لَّذِي</w:t>
      </w:r>
      <w:r w:rsidRPr="00DF7CAE">
        <w:rPr>
          <w:rStyle w:val="Char3"/>
          <w:rtl/>
        </w:rPr>
        <w:t xml:space="preserve"> </w:t>
      </w:r>
      <w:r w:rsidRPr="00DF7CAE">
        <w:rPr>
          <w:rStyle w:val="Char3"/>
          <w:rFonts w:hint="eastAsia"/>
          <w:rtl/>
        </w:rPr>
        <w:t>خَلَقَكُم</w:t>
      </w:r>
      <w:r w:rsidRPr="00DF7CAE">
        <w:rPr>
          <w:rStyle w:val="Char3"/>
          <w:rtl/>
        </w:rPr>
        <w:t xml:space="preserve"> </w:t>
      </w:r>
      <w:r w:rsidRPr="00DF7CAE">
        <w:rPr>
          <w:rStyle w:val="Char3"/>
          <w:rFonts w:hint="eastAsia"/>
          <w:rtl/>
        </w:rPr>
        <w:t>مِّن</w:t>
      </w:r>
      <w:r w:rsidRPr="00DF7CAE">
        <w:rPr>
          <w:rStyle w:val="Char3"/>
          <w:rtl/>
        </w:rPr>
        <w:t xml:space="preserve"> </w:t>
      </w:r>
      <w:r w:rsidRPr="00DF7CAE">
        <w:rPr>
          <w:rStyle w:val="Char3"/>
          <w:rFonts w:hint="eastAsia"/>
          <w:rtl/>
        </w:rPr>
        <w:t>نَّف</w:t>
      </w:r>
      <w:r w:rsidRPr="00DF7CAE">
        <w:rPr>
          <w:rStyle w:val="Char3"/>
          <w:rFonts w:hint="cs"/>
          <w:rtl/>
        </w:rPr>
        <w:t>ۡ</w:t>
      </w:r>
      <w:r w:rsidRPr="00DF7CAE">
        <w:rPr>
          <w:rStyle w:val="Char3"/>
          <w:rFonts w:hint="eastAsia"/>
          <w:rtl/>
        </w:rPr>
        <w:t>س</w:t>
      </w:r>
      <w:r w:rsidRPr="00DF7CAE">
        <w:rPr>
          <w:rStyle w:val="Char3"/>
          <w:rFonts w:hint="cs"/>
          <w:rtl/>
        </w:rPr>
        <w:t>ٖ</w:t>
      </w:r>
      <w:r w:rsidRPr="00DF7CAE">
        <w:rPr>
          <w:rStyle w:val="Char3"/>
          <w:rtl/>
        </w:rPr>
        <w:t xml:space="preserve"> </w:t>
      </w:r>
      <w:r w:rsidRPr="00DF7CAE">
        <w:rPr>
          <w:rStyle w:val="Char3"/>
          <w:rFonts w:hint="eastAsia"/>
          <w:rtl/>
        </w:rPr>
        <w:t>وَ</w:t>
      </w:r>
      <w:r w:rsidRPr="00DF7CAE">
        <w:rPr>
          <w:rStyle w:val="Char3"/>
          <w:rFonts w:hint="cs"/>
          <w:rtl/>
        </w:rPr>
        <w:t>ٰ</w:t>
      </w:r>
      <w:r w:rsidRPr="00DF7CAE">
        <w:rPr>
          <w:rStyle w:val="Char3"/>
          <w:rFonts w:hint="eastAsia"/>
          <w:rtl/>
        </w:rPr>
        <w:t>حِدَة</w:t>
      </w:r>
      <w:r w:rsidRPr="00DF7CAE">
        <w:rPr>
          <w:rStyle w:val="Char3"/>
          <w:rFonts w:hint="cs"/>
          <w:rtl/>
        </w:rPr>
        <w:t>ٖ</w:t>
      </w:r>
      <w:r w:rsidRPr="00DF7CAE">
        <w:rPr>
          <w:rStyle w:val="Char3"/>
          <w:rtl/>
        </w:rPr>
        <w:t xml:space="preserve"> </w:t>
      </w:r>
      <w:r w:rsidRPr="00DF7CAE">
        <w:rPr>
          <w:rStyle w:val="Char3"/>
          <w:rFonts w:hint="eastAsia"/>
          <w:rtl/>
        </w:rPr>
        <w:t>وَخَلَقَ</w:t>
      </w:r>
      <w:r w:rsidRPr="00DF7CAE">
        <w:rPr>
          <w:rStyle w:val="Char3"/>
          <w:rtl/>
        </w:rPr>
        <w:t xml:space="preserve"> </w:t>
      </w:r>
      <w:r w:rsidRPr="00DF7CAE">
        <w:rPr>
          <w:rStyle w:val="Char3"/>
          <w:rFonts w:hint="eastAsia"/>
          <w:rtl/>
        </w:rPr>
        <w:t>مِن</w:t>
      </w:r>
      <w:r w:rsidRPr="00DF7CAE">
        <w:rPr>
          <w:rStyle w:val="Char3"/>
          <w:rFonts w:hint="cs"/>
          <w:rtl/>
        </w:rPr>
        <w:t>ۡ</w:t>
      </w:r>
      <w:r w:rsidRPr="00DF7CAE">
        <w:rPr>
          <w:rStyle w:val="Char3"/>
          <w:rFonts w:hint="eastAsia"/>
          <w:rtl/>
        </w:rPr>
        <w:t>هَا</w:t>
      </w:r>
      <w:r w:rsidRPr="00DF7CAE">
        <w:rPr>
          <w:rStyle w:val="Char3"/>
          <w:rtl/>
        </w:rPr>
        <w:t xml:space="preserve"> </w:t>
      </w:r>
      <w:r w:rsidRPr="00DF7CAE">
        <w:rPr>
          <w:rStyle w:val="Char3"/>
          <w:rFonts w:hint="eastAsia"/>
          <w:rtl/>
        </w:rPr>
        <w:t>زَو</w:t>
      </w:r>
      <w:r w:rsidRPr="00DF7CAE">
        <w:rPr>
          <w:rStyle w:val="Char3"/>
          <w:rFonts w:hint="cs"/>
          <w:rtl/>
        </w:rPr>
        <w:t>ۡ</w:t>
      </w:r>
      <w:r w:rsidRPr="00DF7CAE">
        <w:rPr>
          <w:rStyle w:val="Char3"/>
          <w:rFonts w:hint="eastAsia"/>
          <w:rtl/>
        </w:rPr>
        <w:t>جَهَا</w:t>
      </w:r>
      <w:r w:rsidRPr="00DF7CAE">
        <w:rPr>
          <w:rStyle w:val="Char3"/>
          <w:rtl/>
        </w:rPr>
        <w:t xml:space="preserve"> </w:t>
      </w:r>
      <w:r w:rsidRPr="00DF7CAE">
        <w:rPr>
          <w:rStyle w:val="Char3"/>
          <w:rFonts w:hint="eastAsia"/>
          <w:rtl/>
        </w:rPr>
        <w:t>وَبَثَّ</w:t>
      </w:r>
      <w:r w:rsidRPr="00DF7CAE">
        <w:rPr>
          <w:rStyle w:val="Char3"/>
          <w:rtl/>
        </w:rPr>
        <w:t xml:space="preserve"> </w:t>
      </w:r>
      <w:r w:rsidRPr="00DF7CAE">
        <w:rPr>
          <w:rStyle w:val="Char3"/>
          <w:rFonts w:hint="eastAsia"/>
          <w:rtl/>
        </w:rPr>
        <w:t>مِن</w:t>
      </w:r>
      <w:r w:rsidRPr="00DF7CAE">
        <w:rPr>
          <w:rStyle w:val="Char3"/>
          <w:rFonts w:hint="cs"/>
          <w:rtl/>
        </w:rPr>
        <w:t>ۡ</w:t>
      </w:r>
      <w:r w:rsidRPr="00DF7CAE">
        <w:rPr>
          <w:rStyle w:val="Char3"/>
          <w:rFonts w:hint="eastAsia"/>
          <w:rtl/>
        </w:rPr>
        <w:t>هُمَا</w:t>
      </w:r>
      <w:r w:rsidRPr="00DF7CAE">
        <w:rPr>
          <w:rStyle w:val="Char3"/>
          <w:rtl/>
        </w:rPr>
        <w:t xml:space="preserve"> </w:t>
      </w:r>
      <w:r w:rsidRPr="00DF7CAE">
        <w:rPr>
          <w:rStyle w:val="Char3"/>
          <w:rFonts w:hint="eastAsia"/>
          <w:rtl/>
        </w:rPr>
        <w:t>رِجَال</w:t>
      </w:r>
      <w:r w:rsidRPr="00DF7CAE">
        <w:rPr>
          <w:rStyle w:val="Char3"/>
          <w:rFonts w:hint="cs"/>
          <w:rtl/>
        </w:rPr>
        <w:t>ٗ</w:t>
      </w:r>
      <w:r w:rsidRPr="00DF7CAE">
        <w:rPr>
          <w:rStyle w:val="Char3"/>
          <w:rFonts w:hint="eastAsia"/>
          <w:rtl/>
        </w:rPr>
        <w:t>ا</w:t>
      </w:r>
      <w:r w:rsidRPr="00DF7CAE">
        <w:rPr>
          <w:rStyle w:val="Char3"/>
          <w:rtl/>
        </w:rPr>
        <w:t xml:space="preserve"> </w:t>
      </w:r>
      <w:r w:rsidRPr="00DF7CAE">
        <w:rPr>
          <w:rStyle w:val="Char3"/>
          <w:rFonts w:hint="eastAsia"/>
          <w:rtl/>
        </w:rPr>
        <w:t>كَثِير</w:t>
      </w:r>
      <w:r w:rsidRPr="00DF7CAE">
        <w:rPr>
          <w:rStyle w:val="Char3"/>
          <w:rFonts w:hint="cs"/>
          <w:rtl/>
        </w:rPr>
        <w:t>ٗ</w:t>
      </w:r>
      <w:r w:rsidRPr="00DF7CAE">
        <w:rPr>
          <w:rStyle w:val="Char3"/>
          <w:rFonts w:hint="eastAsia"/>
          <w:rtl/>
        </w:rPr>
        <w:t>ا</w:t>
      </w:r>
      <w:r w:rsidRPr="00DF7CAE">
        <w:rPr>
          <w:rStyle w:val="Char3"/>
          <w:rtl/>
        </w:rPr>
        <w:t xml:space="preserve"> </w:t>
      </w:r>
      <w:r w:rsidRPr="00DF7CAE">
        <w:rPr>
          <w:rStyle w:val="Char3"/>
          <w:rFonts w:hint="eastAsia"/>
          <w:rtl/>
        </w:rPr>
        <w:t>وَنِسَا</w:t>
      </w:r>
      <w:r w:rsidRPr="00DF7CAE">
        <w:rPr>
          <w:rStyle w:val="Char3"/>
          <w:rFonts w:hint="cs"/>
          <w:rtl/>
        </w:rPr>
        <w:t>ٓ</w:t>
      </w:r>
      <w:r w:rsidRPr="00DF7CAE">
        <w:rPr>
          <w:rStyle w:val="Char3"/>
          <w:rFonts w:hint="eastAsia"/>
          <w:rtl/>
        </w:rPr>
        <w:t>ء</w:t>
      </w:r>
      <w:r w:rsidRPr="00DF7CAE">
        <w:rPr>
          <w:rStyle w:val="Char3"/>
          <w:rFonts w:hint="cs"/>
          <w:rtl/>
        </w:rPr>
        <w:t>ٗ</w:t>
      </w:r>
      <w:r w:rsidRPr="00995B26">
        <w:rPr>
          <w:rFonts w:ascii="Abo-thar" w:hAnsi="Abo-thar" w:cs="Traditional Arabic" w:hint="cs"/>
          <w:sz w:val="28"/>
          <w:rtl/>
          <w:lang w:bidi="ar-SY"/>
        </w:rPr>
        <w:t>﴾</w:t>
      </w:r>
      <w:r w:rsidRPr="003F3B94">
        <w:rPr>
          <w:rFonts w:ascii="Abo-thar" w:hAnsi="Abo-thar" w:hint="cs"/>
          <w:sz w:val="28"/>
          <w:rtl/>
          <w:lang w:bidi="ar-SY"/>
        </w:rPr>
        <w:t xml:space="preserve"> </w:t>
      </w:r>
      <w:r w:rsidR="005C664D" w:rsidRPr="003108CB">
        <w:rPr>
          <w:rStyle w:val="Char2"/>
          <w:rFonts w:hint="cs"/>
          <w:rtl/>
        </w:rPr>
        <w:t>[النساء</w:t>
      </w:r>
      <w:r w:rsidRPr="003108CB">
        <w:rPr>
          <w:rStyle w:val="Char2"/>
          <w:rFonts w:hint="cs"/>
          <w:rtl/>
        </w:rPr>
        <w:t xml:space="preserve">: </w:t>
      </w:r>
      <w:r w:rsidR="005C664D" w:rsidRPr="003108CB">
        <w:rPr>
          <w:rStyle w:val="Char2"/>
          <w:rFonts w:hint="cs"/>
          <w:rtl/>
        </w:rPr>
        <w:t>1]</w:t>
      </w:r>
      <w:r w:rsidR="00217AB4" w:rsidRPr="003F3B94">
        <w:rPr>
          <w:rFonts w:ascii="Abo-thar" w:hAnsi="Abo-thar" w:hint="cs"/>
          <w:sz w:val="28"/>
          <w:rtl/>
          <w:lang w:bidi="ar-SY"/>
        </w:rPr>
        <w:t>.</w:t>
      </w:r>
    </w:p>
    <w:p w:rsidR="005C664D" w:rsidRPr="003F3B94" w:rsidRDefault="005C664D" w:rsidP="003F3B94">
      <w:pPr>
        <w:pStyle w:val="a0"/>
        <w:rPr>
          <w:rFonts w:hint="cs"/>
          <w:rtl/>
          <w:lang w:bidi="ar-SY"/>
        </w:rPr>
      </w:pPr>
      <w:r w:rsidRPr="003F3B94">
        <w:rPr>
          <w:rFonts w:ascii="Abo-thar" w:hAnsi="Abo-thar" w:hint="cs"/>
          <w:sz w:val="28"/>
          <w:rtl/>
          <w:lang w:bidi="ar-SY"/>
        </w:rPr>
        <w:t>فالآية دليل واضحٌ وبرهانٌ ساطعٌ على أنه لا يمكن لأي فرد أن يدعي مزية على فرد آخر من جهة آبائه وأجداده ونسبه</w:t>
      </w:r>
      <w:r w:rsidR="00217AB4" w:rsidRPr="003F3B94">
        <w:rPr>
          <w:rFonts w:ascii="Abo-thar" w:hAnsi="Abo-thar" w:hint="cs"/>
          <w:sz w:val="28"/>
          <w:rtl/>
          <w:lang w:bidi="ar-SY"/>
        </w:rPr>
        <w:t>.</w:t>
      </w:r>
      <w:r w:rsidRPr="003F3B94">
        <w:rPr>
          <w:rFonts w:ascii="Abo-thar" w:hAnsi="Abo-thar" w:hint="cs"/>
          <w:sz w:val="28"/>
          <w:rtl/>
          <w:lang w:bidi="ar-SY"/>
        </w:rPr>
        <w:t xml:space="preserve"> </w:t>
      </w:r>
    </w:p>
    <w:p w:rsidR="005C664D" w:rsidRPr="003F3B94" w:rsidRDefault="001A5AE4" w:rsidP="003F3B94">
      <w:pPr>
        <w:pStyle w:val="a0"/>
        <w:rPr>
          <w:rFonts w:hint="cs"/>
          <w:rtl/>
          <w:lang w:bidi="ar-SY"/>
        </w:rPr>
      </w:pPr>
      <w:r w:rsidRPr="003F3B94">
        <w:rPr>
          <w:rFonts w:ascii="Abo-thar" w:hAnsi="Abo-thar" w:hint="cs"/>
          <w:sz w:val="28"/>
          <w:rtl/>
          <w:lang w:bidi="ar-SY"/>
        </w:rPr>
        <w:t>2</w:t>
      </w:r>
      <w:r w:rsidR="00217AB4" w:rsidRPr="003F3B94">
        <w:rPr>
          <w:rFonts w:ascii="Abo-thar" w:hAnsi="Abo-thar" w:hint="cs"/>
          <w:sz w:val="28"/>
          <w:rtl/>
          <w:lang w:bidi="ar-SY"/>
        </w:rPr>
        <w:t>-</w:t>
      </w:r>
      <w:r w:rsidR="005C664D" w:rsidRPr="003F3B94">
        <w:rPr>
          <w:rFonts w:ascii="Abo-thar" w:hAnsi="Abo-thar" w:hint="cs"/>
          <w:sz w:val="28"/>
          <w:rtl/>
          <w:lang w:bidi="ar-SY"/>
        </w:rPr>
        <w:t xml:space="preserve"> ويقول تعالى في سورة الحجرات</w:t>
      </w:r>
      <w:r w:rsidR="00217AB4" w:rsidRPr="003F3B94">
        <w:rPr>
          <w:rFonts w:ascii="Abo-thar" w:hAnsi="Abo-thar" w:hint="cs"/>
          <w:sz w:val="28"/>
          <w:rtl/>
          <w:lang w:bidi="ar-SY"/>
        </w:rPr>
        <w:t>:</w:t>
      </w:r>
      <w:r w:rsidR="005C664D" w:rsidRPr="003F3B94">
        <w:rPr>
          <w:rFonts w:ascii="Abo-thar" w:hAnsi="Abo-thar" w:hint="cs"/>
          <w:sz w:val="28"/>
          <w:rtl/>
          <w:lang w:bidi="ar-SY"/>
        </w:rPr>
        <w:t xml:space="preserve"> </w:t>
      </w:r>
    </w:p>
    <w:p w:rsidR="005C664D" w:rsidRPr="003F3B94" w:rsidRDefault="00685363" w:rsidP="00DF7CAE">
      <w:pPr>
        <w:pStyle w:val="a0"/>
        <w:ind w:left="284" w:firstLine="0"/>
        <w:rPr>
          <w:rFonts w:hint="cs"/>
          <w:rtl/>
          <w:lang w:bidi="ar-SY"/>
        </w:rPr>
      </w:pPr>
      <w:r w:rsidRPr="00995B26">
        <w:rPr>
          <w:rFonts w:cs="Traditional Arabic"/>
          <w:rtl/>
          <w:lang w:bidi="fa-IR"/>
        </w:rPr>
        <w:t>﴿</w:t>
      </w:r>
      <w:r w:rsidRPr="00DF7CAE">
        <w:rPr>
          <w:rStyle w:val="Char3"/>
          <w:rFonts w:hint="eastAsia"/>
          <w:rtl/>
        </w:rPr>
        <w:t>يَ</w:t>
      </w:r>
      <w:r w:rsidRPr="00DF7CAE">
        <w:rPr>
          <w:rStyle w:val="Char3"/>
          <w:rFonts w:hint="cs"/>
          <w:rtl/>
        </w:rPr>
        <w:t>ٰٓ</w:t>
      </w:r>
      <w:r w:rsidRPr="00DF7CAE">
        <w:rPr>
          <w:rStyle w:val="Char3"/>
          <w:rFonts w:hint="eastAsia"/>
          <w:rtl/>
        </w:rPr>
        <w:t>أَيُّهَا</w:t>
      </w:r>
      <w:r w:rsidRPr="00DF7CAE">
        <w:rPr>
          <w:rStyle w:val="Char3"/>
          <w:rtl/>
        </w:rPr>
        <w:t xml:space="preserve"> </w:t>
      </w:r>
      <w:r w:rsidRPr="00DF7CAE">
        <w:rPr>
          <w:rStyle w:val="Char3"/>
          <w:rFonts w:hint="cs"/>
          <w:rtl/>
        </w:rPr>
        <w:t>ٱ</w:t>
      </w:r>
      <w:r w:rsidRPr="00DF7CAE">
        <w:rPr>
          <w:rStyle w:val="Char3"/>
          <w:rFonts w:hint="eastAsia"/>
          <w:rtl/>
        </w:rPr>
        <w:t>لنَّاسُ</w:t>
      </w:r>
      <w:r w:rsidRPr="00DF7CAE">
        <w:rPr>
          <w:rStyle w:val="Char3"/>
          <w:rtl/>
        </w:rPr>
        <w:t xml:space="preserve"> </w:t>
      </w:r>
      <w:r w:rsidRPr="00DF7CAE">
        <w:rPr>
          <w:rStyle w:val="Char3"/>
          <w:rFonts w:hint="eastAsia"/>
          <w:rtl/>
        </w:rPr>
        <w:t>إِنَّا</w:t>
      </w:r>
      <w:r w:rsidRPr="00DF7CAE">
        <w:rPr>
          <w:rStyle w:val="Char3"/>
          <w:rtl/>
        </w:rPr>
        <w:t xml:space="preserve"> </w:t>
      </w:r>
      <w:r w:rsidRPr="00DF7CAE">
        <w:rPr>
          <w:rStyle w:val="Char3"/>
          <w:rFonts w:hint="eastAsia"/>
          <w:rtl/>
        </w:rPr>
        <w:t>خَلَق</w:t>
      </w:r>
      <w:r w:rsidRPr="00DF7CAE">
        <w:rPr>
          <w:rStyle w:val="Char3"/>
          <w:rFonts w:hint="cs"/>
          <w:rtl/>
        </w:rPr>
        <w:t>ۡ</w:t>
      </w:r>
      <w:r w:rsidRPr="00DF7CAE">
        <w:rPr>
          <w:rStyle w:val="Char3"/>
          <w:rFonts w:hint="eastAsia"/>
          <w:rtl/>
        </w:rPr>
        <w:t>نَ</w:t>
      </w:r>
      <w:r w:rsidRPr="00DF7CAE">
        <w:rPr>
          <w:rStyle w:val="Char3"/>
          <w:rFonts w:hint="cs"/>
          <w:rtl/>
        </w:rPr>
        <w:t>ٰ</w:t>
      </w:r>
      <w:r w:rsidRPr="00DF7CAE">
        <w:rPr>
          <w:rStyle w:val="Char3"/>
          <w:rFonts w:hint="eastAsia"/>
          <w:rtl/>
        </w:rPr>
        <w:t>كُم</w:t>
      </w:r>
      <w:r w:rsidRPr="00DF7CAE">
        <w:rPr>
          <w:rStyle w:val="Char3"/>
          <w:rtl/>
        </w:rPr>
        <w:t xml:space="preserve"> </w:t>
      </w:r>
      <w:r w:rsidRPr="00DF7CAE">
        <w:rPr>
          <w:rStyle w:val="Char3"/>
          <w:rFonts w:hint="eastAsia"/>
          <w:rtl/>
        </w:rPr>
        <w:t>مِّن</w:t>
      </w:r>
      <w:r w:rsidRPr="00DF7CAE">
        <w:rPr>
          <w:rStyle w:val="Char3"/>
          <w:rtl/>
        </w:rPr>
        <w:t xml:space="preserve"> </w:t>
      </w:r>
      <w:r w:rsidRPr="00DF7CAE">
        <w:rPr>
          <w:rStyle w:val="Char3"/>
          <w:rFonts w:hint="eastAsia"/>
          <w:rtl/>
        </w:rPr>
        <w:t>ذَكَر</w:t>
      </w:r>
      <w:r w:rsidRPr="00DF7CAE">
        <w:rPr>
          <w:rStyle w:val="Char3"/>
          <w:rFonts w:hint="cs"/>
          <w:rtl/>
        </w:rPr>
        <w:t>ٖ</w:t>
      </w:r>
      <w:r w:rsidRPr="00DF7CAE">
        <w:rPr>
          <w:rStyle w:val="Char3"/>
          <w:rtl/>
        </w:rPr>
        <w:t xml:space="preserve"> </w:t>
      </w:r>
      <w:r w:rsidRPr="00DF7CAE">
        <w:rPr>
          <w:rStyle w:val="Char3"/>
          <w:rFonts w:hint="eastAsia"/>
          <w:rtl/>
        </w:rPr>
        <w:t>وَأُنثَى</w:t>
      </w:r>
      <w:r w:rsidRPr="00DF7CAE">
        <w:rPr>
          <w:rStyle w:val="Char3"/>
          <w:rFonts w:hint="cs"/>
          <w:rtl/>
        </w:rPr>
        <w:t>ٰ</w:t>
      </w:r>
      <w:r w:rsidRPr="00DF7CAE">
        <w:rPr>
          <w:rStyle w:val="Char3"/>
          <w:rtl/>
        </w:rPr>
        <w:t xml:space="preserve"> </w:t>
      </w:r>
      <w:r w:rsidRPr="00DF7CAE">
        <w:rPr>
          <w:rStyle w:val="Char3"/>
          <w:rFonts w:hint="eastAsia"/>
          <w:rtl/>
        </w:rPr>
        <w:t>وَجَعَل</w:t>
      </w:r>
      <w:r w:rsidRPr="00DF7CAE">
        <w:rPr>
          <w:rStyle w:val="Char3"/>
          <w:rFonts w:hint="cs"/>
          <w:rtl/>
        </w:rPr>
        <w:t>ۡ</w:t>
      </w:r>
      <w:r w:rsidRPr="00DF7CAE">
        <w:rPr>
          <w:rStyle w:val="Char3"/>
          <w:rFonts w:hint="eastAsia"/>
          <w:rtl/>
        </w:rPr>
        <w:t>نَ</w:t>
      </w:r>
      <w:r w:rsidRPr="00DF7CAE">
        <w:rPr>
          <w:rStyle w:val="Char3"/>
          <w:rFonts w:hint="cs"/>
          <w:rtl/>
        </w:rPr>
        <w:t>ٰ</w:t>
      </w:r>
      <w:r w:rsidRPr="00DF7CAE">
        <w:rPr>
          <w:rStyle w:val="Char3"/>
          <w:rFonts w:hint="eastAsia"/>
          <w:rtl/>
        </w:rPr>
        <w:t>كُم</w:t>
      </w:r>
      <w:r w:rsidRPr="00DF7CAE">
        <w:rPr>
          <w:rStyle w:val="Char3"/>
          <w:rFonts w:hint="cs"/>
          <w:rtl/>
        </w:rPr>
        <w:t>ۡ</w:t>
      </w:r>
      <w:r w:rsidRPr="00DF7CAE">
        <w:rPr>
          <w:rStyle w:val="Char3"/>
          <w:rtl/>
        </w:rPr>
        <w:t xml:space="preserve"> </w:t>
      </w:r>
      <w:r w:rsidRPr="00DF7CAE">
        <w:rPr>
          <w:rStyle w:val="Char3"/>
          <w:rFonts w:hint="eastAsia"/>
          <w:rtl/>
        </w:rPr>
        <w:t>شُعُوب</w:t>
      </w:r>
      <w:r w:rsidRPr="00DF7CAE">
        <w:rPr>
          <w:rStyle w:val="Char3"/>
          <w:rFonts w:hint="cs"/>
          <w:rtl/>
        </w:rPr>
        <w:t>ٗ</w:t>
      </w:r>
      <w:r w:rsidRPr="00DF7CAE">
        <w:rPr>
          <w:rStyle w:val="Char3"/>
          <w:rFonts w:hint="eastAsia"/>
          <w:rtl/>
        </w:rPr>
        <w:t>ا</w:t>
      </w:r>
      <w:r w:rsidRPr="00DF7CAE">
        <w:rPr>
          <w:rStyle w:val="Char3"/>
          <w:rtl/>
        </w:rPr>
        <w:t xml:space="preserve"> </w:t>
      </w:r>
      <w:r w:rsidRPr="00DF7CAE">
        <w:rPr>
          <w:rStyle w:val="Char3"/>
          <w:rFonts w:hint="eastAsia"/>
          <w:rtl/>
        </w:rPr>
        <w:t>وَقَبَا</w:t>
      </w:r>
      <w:r w:rsidRPr="00DF7CAE">
        <w:rPr>
          <w:rStyle w:val="Char3"/>
          <w:rFonts w:hint="cs"/>
          <w:rtl/>
        </w:rPr>
        <w:t>ٓ</w:t>
      </w:r>
      <w:r w:rsidRPr="00DF7CAE">
        <w:rPr>
          <w:rStyle w:val="Char3"/>
          <w:rFonts w:hint="eastAsia"/>
          <w:rtl/>
        </w:rPr>
        <w:t>ئِلَ</w:t>
      </w:r>
      <w:r w:rsidRPr="00DF7CAE">
        <w:rPr>
          <w:rStyle w:val="Char3"/>
          <w:rtl/>
        </w:rPr>
        <w:t xml:space="preserve"> </w:t>
      </w:r>
      <w:r w:rsidRPr="00DF7CAE">
        <w:rPr>
          <w:rStyle w:val="Char3"/>
          <w:rFonts w:hint="eastAsia"/>
          <w:rtl/>
        </w:rPr>
        <w:t>لِتَعَارَفُو</w:t>
      </w:r>
      <w:r w:rsidRPr="00DF7CAE">
        <w:rPr>
          <w:rStyle w:val="Char3"/>
          <w:rFonts w:hint="cs"/>
          <w:rtl/>
        </w:rPr>
        <w:t>ٓ</w:t>
      </w:r>
      <w:r w:rsidRPr="00DF7CAE">
        <w:rPr>
          <w:rStyle w:val="Char3"/>
          <w:rFonts w:hint="eastAsia"/>
          <w:rtl/>
        </w:rPr>
        <w:t>اْ</w:t>
      </w:r>
      <w:r w:rsidRPr="00DF7CAE">
        <w:rPr>
          <w:rStyle w:val="Char3"/>
          <w:rFonts w:hint="cs"/>
          <w:rtl/>
        </w:rPr>
        <w:t>ۚ</w:t>
      </w:r>
      <w:r w:rsidRPr="00DF7CAE">
        <w:rPr>
          <w:rStyle w:val="Char3"/>
          <w:rtl/>
        </w:rPr>
        <w:t xml:space="preserve"> </w:t>
      </w:r>
      <w:r w:rsidRPr="00DF7CAE">
        <w:rPr>
          <w:rStyle w:val="Char3"/>
          <w:rFonts w:hint="eastAsia"/>
          <w:rtl/>
        </w:rPr>
        <w:t>إِنَّ</w:t>
      </w:r>
      <w:r w:rsidRPr="00DF7CAE">
        <w:rPr>
          <w:rStyle w:val="Char3"/>
          <w:rtl/>
        </w:rPr>
        <w:t xml:space="preserve"> </w:t>
      </w:r>
      <w:r w:rsidRPr="00DF7CAE">
        <w:rPr>
          <w:rStyle w:val="Char3"/>
          <w:rFonts w:hint="eastAsia"/>
          <w:rtl/>
        </w:rPr>
        <w:t>أَك</w:t>
      </w:r>
      <w:r w:rsidRPr="00DF7CAE">
        <w:rPr>
          <w:rStyle w:val="Char3"/>
          <w:rFonts w:hint="cs"/>
          <w:rtl/>
        </w:rPr>
        <w:t>ۡ</w:t>
      </w:r>
      <w:r w:rsidRPr="00DF7CAE">
        <w:rPr>
          <w:rStyle w:val="Char3"/>
          <w:rFonts w:hint="eastAsia"/>
          <w:rtl/>
        </w:rPr>
        <w:t>رَمَكُم</w:t>
      </w:r>
      <w:r w:rsidRPr="00DF7CAE">
        <w:rPr>
          <w:rStyle w:val="Char3"/>
          <w:rFonts w:hint="cs"/>
          <w:rtl/>
        </w:rPr>
        <w:t>ۡ</w:t>
      </w:r>
      <w:r w:rsidRPr="00DF7CAE">
        <w:rPr>
          <w:rStyle w:val="Char3"/>
          <w:rtl/>
        </w:rPr>
        <w:t xml:space="preserve"> </w:t>
      </w:r>
      <w:r w:rsidRPr="00DF7CAE">
        <w:rPr>
          <w:rStyle w:val="Char3"/>
          <w:rFonts w:hint="eastAsia"/>
          <w:rtl/>
        </w:rPr>
        <w:t>عِندَ</w:t>
      </w:r>
      <w:r w:rsidRPr="00DF7CAE">
        <w:rPr>
          <w:rStyle w:val="Char3"/>
          <w:rtl/>
        </w:rPr>
        <w:t xml:space="preserve"> </w:t>
      </w:r>
      <w:r w:rsidRPr="00DF7CAE">
        <w:rPr>
          <w:rStyle w:val="Char3"/>
          <w:rFonts w:hint="cs"/>
          <w:rtl/>
        </w:rPr>
        <w:t>ٱ</w:t>
      </w:r>
      <w:r w:rsidRPr="00DF7CAE">
        <w:rPr>
          <w:rStyle w:val="Char3"/>
          <w:rFonts w:hint="eastAsia"/>
          <w:rtl/>
        </w:rPr>
        <w:t>للَّهِ</w:t>
      </w:r>
      <w:r w:rsidRPr="00DF7CAE">
        <w:rPr>
          <w:rStyle w:val="Char3"/>
          <w:rtl/>
        </w:rPr>
        <w:t xml:space="preserve"> </w:t>
      </w:r>
      <w:r w:rsidRPr="00DF7CAE">
        <w:rPr>
          <w:rStyle w:val="Char3"/>
          <w:rFonts w:hint="eastAsia"/>
          <w:rtl/>
        </w:rPr>
        <w:t>أَت</w:t>
      </w:r>
      <w:r w:rsidRPr="00DF7CAE">
        <w:rPr>
          <w:rStyle w:val="Char3"/>
          <w:rFonts w:hint="cs"/>
          <w:rtl/>
        </w:rPr>
        <w:t>ۡ</w:t>
      </w:r>
      <w:r w:rsidRPr="00DF7CAE">
        <w:rPr>
          <w:rStyle w:val="Char3"/>
          <w:rFonts w:hint="eastAsia"/>
          <w:rtl/>
        </w:rPr>
        <w:t>قَى</w:t>
      </w:r>
      <w:r w:rsidRPr="00DF7CAE">
        <w:rPr>
          <w:rStyle w:val="Char3"/>
          <w:rFonts w:hint="cs"/>
          <w:rtl/>
        </w:rPr>
        <w:t>ٰ</w:t>
      </w:r>
      <w:r w:rsidRPr="00DF7CAE">
        <w:rPr>
          <w:rStyle w:val="Char3"/>
          <w:rFonts w:hint="eastAsia"/>
          <w:rtl/>
        </w:rPr>
        <w:t>كُم</w:t>
      </w:r>
      <w:r w:rsidRPr="00DF7CAE">
        <w:rPr>
          <w:rStyle w:val="Char3"/>
          <w:rFonts w:hint="cs"/>
          <w:rtl/>
        </w:rPr>
        <w:t>ۡۚ</w:t>
      </w:r>
      <w:r w:rsidRPr="00DF7CAE">
        <w:rPr>
          <w:rStyle w:val="Char3"/>
          <w:rtl/>
        </w:rPr>
        <w:t xml:space="preserve"> </w:t>
      </w:r>
      <w:r w:rsidRPr="00DF7CAE">
        <w:rPr>
          <w:rStyle w:val="Char3"/>
          <w:rFonts w:hint="eastAsia"/>
          <w:rtl/>
        </w:rPr>
        <w:t>إِنَّ</w:t>
      </w:r>
      <w:r w:rsidRPr="00DF7CAE">
        <w:rPr>
          <w:rStyle w:val="Char3"/>
          <w:rtl/>
        </w:rPr>
        <w:t xml:space="preserve"> </w:t>
      </w:r>
      <w:r w:rsidRPr="00DF7CAE">
        <w:rPr>
          <w:rStyle w:val="Char3"/>
          <w:rFonts w:hint="cs"/>
          <w:rtl/>
        </w:rPr>
        <w:t>ٱ</w:t>
      </w:r>
      <w:r w:rsidRPr="00DF7CAE">
        <w:rPr>
          <w:rStyle w:val="Char3"/>
          <w:rFonts w:hint="eastAsia"/>
          <w:rtl/>
        </w:rPr>
        <w:t>للَّهَ</w:t>
      </w:r>
      <w:r w:rsidRPr="00DF7CAE">
        <w:rPr>
          <w:rStyle w:val="Char3"/>
          <w:rtl/>
        </w:rPr>
        <w:t xml:space="preserve"> </w:t>
      </w:r>
      <w:r w:rsidRPr="00DF7CAE">
        <w:rPr>
          <w:rStyle w:val="Char3"/>
          <w:rFonts w:hint="eastAsia"/>
          <w:rtl/>
        </w:rPr>
        <w:t>عَلِيمٌ</w:t>
      </w:r>
      <w:r w:rsidRPr="00DF7CAE">
        <w:rPr>
          <w:rStyle w:val="Char3"/>
          <w:rtl/>
        </w:rPr>
        <w:t xml:space="preserve"> </w:t>
      </w:r>
      <w:r w:rsidRPr="00DF7CAE">
        <w:rPr>
          <w:rStyle w:val="Char3"/>
          <w:rFonts w:hint="eastAsia"/>
          <w:rtl/>
        </w:rPr>
        <w:t>خَبِير</w:t>
      </w:r>
      <w:r w:rsidRPr="00DF7CAE">
        <w:rPr>
          <w:rStyle w:val="Char3"/>
          <w:rFonts w:hint="cs"/>
          <w:rtl/>
        </w:rPr>
        <w:t>ٞ</w:t>
      </w:r>
      <w:r w:rsidRPr="00995B26">
        <w:rPr>
          <w:rFonts w:cs="Traditional Arabic"/>
          <w:rtl/>
          <w:lang w:bidi="fa-IR"/>
        </w:rPr>
        <w:t>﴾</w:t>
      </w:r>
      <w:r w:rsidR="005C664D" w:rsidRPr="003F3B94">
        <w:rPr>
          <w:rFonts w:ascii="Abo-thar" w:hAnsi="Abo-thar" w:hint="cs"/>
          <w:sz w:val="28"/>
          <w:rtl/>
          <w:lang w:bidi="ar-SY"/>
        </w:rPr>
        <w:t xml:space="preserve"> </w:t>
      </w:r>
      <w:r w:rsidR="005C664D" w:rsidRPr="003108CB">
        <w:rPr>
          <w:rStyle w:val="Char2"/>
          <w:rFonts w:hint="cs"/>
          <w:rtl/>
        </w:rPr>
        <w:t>[الحجرات</w:t>
      </w:r>
      <w:r w:rsidRPr="003108CB">
        <w:rPr>
          <w:rStyle w:val="Char2"/>
          <w:rFonts w:hint="cs"/>
          <w:rtl/>
        </w:rPr>
        <w:t xml:space="preserve">: </w:t>
      </w:r>
      <w:r w:rsidR="005C664D" w:rsidRPr="003108CB">
        <w:rPr>
          <w:rStyle w:val="Char2"/>
          <w:rFonts w:hint="cs"/>
          <w:rtl/>
        </w:rPr>
        <w:t>13]</w:t>
      </w:r>
      <w:r w:rsidR="00217AB4" w:rsidRPr="003F3B94">
        <w:rPr>
          <w:rFonts w:ascii="Abo-thar" w:hAnsi="Abo-thar" w:hint="cs"/>
          <w:sz w:val="28"/>
          <w:rtl/>
          <w:lang w:bidi="ar-SY"/>
        </w:rPr>
        <w:t>.</w:t>
      </w:r>
    </w:p>
    <w:p w:rsidR="005C664D" w:rsidRPr="003F3B94" w:rsidRDefault="005C664D" w:rsidP="003F3B94">
      <w:pPr>
        <w:pStyle w:val="a0"/>
        <w:rPr>
          <w:rFonts w:hint="cs"/>
          <w:rtl/>
          <w:lang w:bidi="ar-SY"/>
        </w:rPr>
      </w:pPr>
      <w:r w:rsidRPr="003F3B94">
        <w:rPr>
          <w:rFonts w:ascii="Abo-thar" w:hAnsi="Abo-thar" w:hint="cs"/>
          <w:sz w:val="28"/>
          <w:rtl/>
          <w:lang w:bidi="ar-SY"/>
        </w:rPr>
        <w:t>هذه الآية نصٌّ إلهيٌّ صريحٌ بأن أكرم الناس عند الله أتقاهم</w:t>
      </w:r>
      <w:r w:rsidR="00217AB4" w:rsidRPr="003F3B94">
        <w:rPr>
          <w:rFonts w:ascii="Abo-thar" w:hAnsi="Abo-thar" w:hint="cs"/>
          <w:sz w:val="28"/>
          <w:rtl/>
          <w:lang w:bidi="ar-SY"/>
        </w:rPr>
        <w:t>،</w:t>
      </w:r>
      <w:r w:rsidRPr="003F3B94">
        <w:rPr>
          <w:rFonts w:ascii="Abo-thar" w:hAnsi="Abo-thar" w:hint="cs"/>
          <w:sz w:val="28"/>
          <w:rtl/>
          <w:lang w:bidi="ar-SY"/>
        </w:rPr>
        <w:t xml:space="preserve"> ومثل هذا الأتقى لا</w:t>
      </w:r>
      <w:r w:rsidRPr="003F3B94">
        <w:rPr>
          <w:rFonts w:cs="Times New Roman" w:hint="cs"/>
          <w:sz w:val="28"/>
          <w:rtl/>
          <w:lang w:bidi="ar-SY"/>
        </w:rPr>
        <w:t> </w:t>
      </w:r>
      <w:r w:rsidRPr="003F3B94">
        <w:rPr>
          <w:rFonts w:ascii="Abo-thar" w:hAnsi="Abo-thar" w:hint="cs"/>
          <w:sz w:val="28"/>
          <w:rtl/>
          <w:lang w:bidi="ar-SY"/>
        </w:rPr>
        <w:t>يعلم حقيقته سوى الله وأجره وثوابه عند الله</w:t>
      </w:r>
      <w:r w:rsidR="00217AB4" w:rsidRPr="003F3B94">
        <w:rPr>
          <w:rFonts w:ascii="Abo-thar" w:hAnsi="Abo-thar" w:hint="cs"/>
          <w:sz w:val="28"/>
          <w:rtl/>
          <w:lang w:bidi="ar-SY"/>
        </w:rPr>
        <w:t>،</w:t>
      </w:r>
      <w:r w:rsidRPr="003F3B94">
        <w:rPr>
          <w:rFonts w:ascii="Abo-thar" w:hAnsi="Abo-thar" w:hint="cs"/>
          <w:sz w:val="28"/>
          <w:rtl/>
          <w:lang w:bidi="ar-SY"/>
        </w:rPr>
        <w:t xml:space="preserve"> أما في الدنيا فلا يمكن لأحد أن يعتبر نفسه أتقى وأكرم من الآخرين أو يطالب الآخرين بإعطاء مزية وأفضلية كأجرٍ على تقواه</w:t>
      </w:r>
      <w:r w:rsidR="00217AB4" w:rsidRPr="003F3B94">
        <w:rPr>
          <w:rFonts w:ascii="Abo-thar" w:hAnsi="Abo-thar" w:hint="cs"/>
          <w:sz w:val="28"/>
          <w:rtl/>
          <w:lang w:bidi="ar-SY"/>
        </w:rPr>
        <w:t>.</w:t>
      </w:r>
    </w:p>
    <w:p w:rsidR="005C664D" w:rsidRPr="00995B26" w:rsidRDefault="001A5AE4" w:rsidP="003F3B94">
      <w:pPr>
        <w:pStyle w:val="a0"/>
        <w:rPr>
          <w:rFonts w:hint="cs"/>
          <w:rtl/>
          <w:lang w:bidi="ar-SY"/>
        </w:rPr>
      </w:pPr>
      <w:r w:rsidRPr="003F3B94">
        <w:rPr>
          <w:rFonts w:ascii="Abo-thar" w:hAnsi="Abo-thar" w:hint="cs"/>
          <w:sz w:val="28"/>
          <w:rtl/>
          <w:lang w:bidi="ar-SY"/>
        </w:rPr>
        <w:t>3</w:t>
      </w:r>
      <w:r w:rsidR="00217AB4" w:rsidRPr="003F3B94">
        <w:rPr>
          <w:rFonts w:ascii="Abo-thar" w:hAnsi="Abo-thar" w:hint="cs"/>
          <w:sz w:val="28"/>
          <w:rtl/>
          <w:lang w:bidi="ar-SY"/>
        </w:rPr>
        <w:t>-</w:t>
      </w:r>
      <w:r w:rsidR="005C664D" w:rsidRPr="003F3B94">
        <w:rPr>
          <w:rFonts w:ascii="Abo-thar" w:hAnsi="Abo-thar" w:hint="cs"/>
          <w:sz w:val="28"/>
          <w:rtl/>
          <w:lang w:bidi="ar-SY"/>
        </w:rPr>
        <w:t xml:space="preserve"> وفي سورة الحجرات المباركة ذاتها </w:t>
      </w:r>
      <w:r w:rsidR="00217AB4" w:rsidRPr="003F3B94">
        <w:rPr>
          <w:rFonts w:ascii="Abo-thar" w:hAnsi="Abo-thar" w:hint="cs"/>
          <w:sz w:val="28"/>
          <w:rtl/>
          <w:lang w:bidi="ar-SY"/>
        </w:rPr>
        <w:t>-</w:t>
      </w:r>
      <w:r w:rsidR="005C664D" w:rsidRPr="003F3B94">
        <w:rPr>
          <w:rFonts w:ascii="Abo-thar" w:hAnsi="Abo-thar" w:hint="cs"/>
          <w:sz w:val="28"/>
          <w:rtl/>
          <w:lang w:bidi="ar-SY"/>
        </w:rPr>
        <w:t xml:space="preserve"> ولكأنها سورة خاصة ومستقلة لإلغاء الامتيازات الموهومة التي تعد من آثار الجاهلية </w:t>
      </w:r>
      <w:r w:rsidR="00217AB4" w:rsidRPr="003F3B94">
        <w:rPr>
          <w:rFonts w:ascii="Abo-thar" w:hAnsi="Abo-thar" w:hint="cs"/>
          <w:sz w:val="28"/>
          <w:rtl/>
          <w:lang w:bidi="ar-SY"/>
        </w:rPr>
        <w:t>-</w:t>
      </w:r>
      <w:r w:rsidR="005C664D" w:rsidRPr="003F3B94">
        <w:rPr>
          <w:rFonts w:ascii="Abo-thar" w:hAnsi="Abo-thar" w:hint="cs"/>
          <w:sz w:val="28"/>
          <w:rtl/>
          <w:lang w:bidi="ar-SY"/>
        </w:rPr>
        <w:t xml:space="preserve"> يقول تعالى</w:t>
      </w:r>
      <w:r w:rsidR="00217AB4" w:rsidRPr="003F3B94">
        <w:rPr>
          <w:rFonts w:ascii="Abo-thar" w:hAnsi="Abo-thar" w:hint="cs"/>
          <w:sz w:val="28"/>
          <w:rtl/>
          <w:lang w:bidi="ar-SY"/>
        </w:rPr>
        <w:t>:</w:t>
      </w:r>
      <w:r w:rsidR="00685363" w:rsidRPr="003F3B94">
        <w:rPr>
          <w:rFonts w:ascii="Abo-thar" w:hAnsi="Abo-thar" w:hint="cs"/>
          <w:sz w:val="28"/>
          <w:rtl/>
          <w:lang w:bidi="ar-SY"/>
        </w:rPr>
        <w:t xml:space="preserve"> </w:t>
      </w:r>
      <w:r w:rsidR="00685363" w:rsidRPr="00995B26">
        <w:rPr>
          <w:rFonts w:ascii="Abo-thar" w:hAnsi="Abo-thar" w:cs="Traditional Arabic" w:hint="cs"/>
          <w:sz w:val="28"/>
          <w:rtl/>
          <w:lang w:bidi="ar-SY"/>
        </w:rPr>
        <w:t>﴿</w:t>
      </w:r>
      <w:r w:rsidR="00685363" w:rsidRPr="00DF7CAE">
        <w:rPr>
          <w:rStyle w:val="Char3"/>
          <w:rFonts w:hint="eastAsia"/>
          <w:rtl/>
        </w:rPr>
        <w:t>إِنَّمَا</w:t>
      </w:r>
      <w:r w:rsidR="00685363" w:rsidRPr="00DF7CAE">
        <w:rPr>
          <w:rStyle w:val="Char3"/>
          <w:rtl/>
        </w:rPr>
        <w:t xml:space="preserve"> </w:t>
      </w:r>
      <w:r w:rsidR="00685363" w:rsidRPr="00DF7CAE">
        <w:rPr>
          <w:rStyle w:val="Char3"/>
          <w:rFonts w:hint="cs"/>
          <w:rtl/>
        </w:rPr>
        <w:t>ٱ</w:t>
      </w:r>
      <w:r w:rsidR="00685363" w:rsidRPr="00DF7CAE">
        <w:rPr>
          <w:rStyle w:val="Char3"/>
          <w:rFonts w:hint="eastAsia"/>
          <w:rtl/>
        </w:rPr>
        <w:t>ل</w:t>
      </w:r>
      <w:r w:rsidR="00685363" w:rsidRPr="00DF7CAE">
        <w:rPr>
          <w:rStyle w:val="Char3"/>
          <w:rFonts w:hint="cs"/>
          <w:rtl/>
        </w:rPr>
        <w:t>ۡ</w:t>
      </w:r>
      <w:r w:rsidR="00685363" w:rsidRPr="00DF7CAE">
        <w:rPr>
          <w:rStyle w:val="Char3"/>
          <w:rFonts w:hint="eastAsia"/>
          <w:rtl/>
        </w:rPr>
        <w:t>مُؤ</w:t>
      </w:r>
      <w:r w:rsidR="00685363" w:rsidRPr="00DF7CAE">
        <w:rPr>
          <w:rStyle w:val="Char3"/>
          <w:rFonts w:hint="cs"/>
          <w:rtl/>
        </w:rPr>
        <w:t>ۡ</w:t>
      </w:r>
      <w:r w:rsidR="00685363" w:rsidRPr="00DF7CAE">
        <w:rPr>
          <w:rStyle w:val="Char3"/>
          <w:rFonts w:hint="eastAsia"/>
          <w:rtl/>
        </w:rPr>
        <w:t>مِنُونَ</w:t>
      </w:r>
      <w:r w:rsidR="00685363" w:rsidRPr="00DF7CAE">
        <w:rPr>
          <w:rStyle w:val="Char3"/>
          <w:rtl/>
        </w:rPr>
        <w:t xml:space="preserve"> </w:t>
      </w:r>
      <w:r w:rsidR="00685363" w:rsidRPr="00DF7CAE">
        <w:rPr>
          <w:rStyle w:val="Char3"/>
          <w:rFonts w:hint="eastAsia"/>
          <w:rtl/>
        </w:rPr>
        <w:t>إِخ</w:t>
      </w:r>
      <w:r w:rsidR="00685363" w:rsidRPr="00DF7CAE">
        <w:rPr>
          <w:rStyle w:val="Char3"/>
          <w:rFonts w:hint="cs"/>
          <w:rtl/>
        </w:rPr>
        <w:t>ۡ</w:t>
      </w:r>
      <w:r w:rsidR="00685363" w:rsidRPr="00DF7CAE">
        <w:rPr>
          <w:rStyle w:val="Char3"/>
          <w:rFonts w:hint="eastAsia"/>
          <w:rtl/>
        </w:rPr>
        <w:t>وَة</w:t>
      </w:r>
      <w:r w:rsidR="00685363" w:rsidRPr="00DF7CAE">
        <w:rPr>
          <w:rStyle w:val="Char3"/>
          <w:rFonts w:hint="cs"/>
          <w:rtl/>
        </w:rPr>
        <w:t>ٞ</w:t>
      </w:r>
      <w:r w:rsidR="00685363" w:rsidRPr="00995B26">
        <w:rPr>
          <w:rFonts w:ascii="Abo-thar" w:hAnsi="Abo-thar" w:cs="Traditional Arabic" w:hint="cs"/>
          <w:sz w:val="28"/>
          <w:rtl/>
          <w:lang w:bidi="ar-SY"/>
        </w:rPr>
        <w:t>﴾</w:t>
      </w:r>
      <w:r w:rsidR="00147857" w:rsidRPr="00995B26">
        <w:rPr>
          <w:rFonts w:ascii="Abo-thar" w:hAnsi="Abo-thar" w:hint="cs"/>
          <w:sz w:val="28"/>
          <w:rtl/>
          <w:lang w:bidi="ar-SY"/>
        </w:rPr>
        <w:t xml:space="preserve"> </w:t>
      </w:r>
      <w:r w:rsidR="005C664D" w:rsidRPr="003108CB">
        <w:rPr>
          <w:rStyle w:val="Char2"/>
          <w:rFonts w:hint="cs"/>
          <w:rtl/>
        </w:rPr>
        <w:t>[الحجرات</w:t>
      </w:r>
      <w:r w:rsidR="00685363" w:rsidRPr="003108CB">
        <w:rPr>
          <w:rStyle w:val="Char2"/>
          <w:rFonts w:hint="cs"/>
          <w:rtl/>
        </w:rPr>
        <w:t xml:space="preserve">: </w:t>
      </w:r>
      <w:r w:rsidR="005C664D" w:rsidRPr="003108CB">
        <w:rPr>
          <w:rStyle w:val="Char2"/>
          <w:rFonts w:hint="cs"/>
          <w:rtl/>
        </w:rPr>
        <w:t>10]</w:t>
      </w:r>
      <w:r w:rsidR="00217AB4" w:rsidRPr="00995B26">
        <w:rPr>
          <w:rFonts w:ascii="Abo-thar" w:hAnsi="Abo-thar" w:hint="cs"/>
          <w:sz w:val="28"/>
          <w:rtl/>
          <w:lang w:bidi="ar-SY"/>
        </w:rPr>
        <w:t>.</w:t>
      </w:r>
    </w:p>
    <w:p w:rsidR="005C664D" w:rsidRPr="003F3B94" w:rsidRDefault="005C664D" w:rsidP="003F3B94">
      <w:pPr>
        <w:pStyle w:val="a0"/>
        <w:rPr>
          <w:rFonts w:hint="cs"/>
          <w:rtl/>
          <w:lang w:bidi="ar-SY"/>
        </w:rPr>
      </w:pPr>
      <w:r w:rsidRPr="003F3B94">
        <w:rPr>
          <w:rFonts w:ascii="Abo-thar" w:hAnsi="Abo-thar" w:hint="cs"/>
          <w:sz w:val="28"/>
          <w:rtl/>
          <w:lang w:bidi="ar-SY"/>
        </w:rPr>
        <w:t>فبإعلان القرآن للأخوة الإسلامية ألغى الإسلامُ جميع الامتيازات والافتخارات العرقية المبنية على الأوهام والخرافات الجاهلية ونسخ أي تميز بين سيد</w:t>
      </w:r>
      <w:r w:rsidR="001A5AE4" w:rsidRPr="003F3B94">
        <w:rPr>
          <w:rFonts w:ascii="Abo-thar" w:hAnsi="Abo-thar" w:hint="cs"/>
          <w:sz w:val="28"/>
          <w:rtl/>
          <w:lang w:bidi="ar-SY"/>
        </w:rPr>
        <w:t>ٍ</w:t>
      </w:r>
      <w:r w:rsidRPr="003F3B94">
        <w:rPr>
          <w:rFonts w:ascii="Abo-thar" w:hAnsi="Abo-thar" w:hint="cs"/>
          <w:sz w:val="28"/>
          <w:rtl/>
          <w:lang w:bidi="ar-SY"/>
        </w:rPr>
        <w:t xml:space="preserve"> قرشي</w:t>
      </w:r>
      <w:r w:rsidR="001A5AE4" w:rsidRPr="003F3B94">
        <w:rPr>
          <w:rFonts w:ascii="Abo-thar" w:hAnsi="Abo-thar" w:hint="cs"/>
          <w:sz w:val="28"/>
          <w:rtl/>
          <w:lang w:bidi="ar-SY"/>
        </w:rPr>
        <w:t>ٍّ</w:t>
      </w:r>
      <w:r w:rsidRPr="003F3B94">
        <w:rPr>
          <w:rFonts w:ascii="Abo-thar" w:hAnsi="Abo-thar" w:hint="cs"/>
          <w:sz w:val="28"/>
          <w:rtl/>
          <w:lang w:bidi="ar-SY"/>
        </w:rPr>
        <w:t xml:space="preserve"> وعبد</w:t>
      </w:r>
      <w:r w:rsidR="001A5AE4" w:rsidRPr="003F3B94">
        <w:rPr>
          <w:rFonts w:ascii="Abo-thar" w:hAnsi="Abo-thar" w:hint="cs"/>
          <w:sz w:val="28"/>
          <w:rtl/>
          <w:lang w:bidi="ar-SY"/>
        </w:rPr>
        <w:t>ٍ</w:t>
      </w:r>
      <w:r w:rsidRPr="003F3B94">
        <w:rPr>
          <w:rFonts w:ascii="Abo-thar" w:hAnsi="Abo-thar" w:hint="cs"/>
          <w:sz w:val="28"/>
          <w:rtl/>
          <w:lang w:bidi="ar-SY"/>
        </w:rPr>
        <w:t xml:space="preserve"> حبشي</w:t>
      </w:r>
      <w:r w:rsidR="001A5AE4" w:rsidRPr="003F3B94">
        <w:rPr>
          <w:rFonts w:ascii="Abo-thar" w:hAnsi="Abo-thar" w:hint="cs"/>
          <w:sz w:val="28"/>
          <w:rtl/>
          <w:lang w:bidi="ar-SY"/>
        </w:rPr>
        <w:t>ٍّ</w:t>
      </w:r>
      <w:r w:rsidR="001A5AE4" w:rsidRPr="0021507A">
        <w:rPr>
          <w:rFonts w:ascii="Abo-thar" w:hAnsi="Abo-thar" w:cs="Arabic11 BT"/>
          <w:sz w:val="28"/>
          <w:vertAlign w:val="superscript"/>
          <w:rtl/>
          <w:lang w:bidi="ar-SY"/>
        </w:rPr>
        <w:t>(</w:t>
      </w:r>
      <w:r w:rsidR="001A5AE4" w:rsidRPr="0021507A">
        <w:rPr>
          <w:rStyle w:val="FootnoteReference"/>
          <w:rFonts w:ascii="Abo-thar" w:hAnsi="Abo-thar" w:cs="Arabic11 BT"/>
          <w:sz w:val="28"/>
          <w:rtl/>
          <w:lang w:bidi="ar-SY"/>
        </w:rPr>
        <w:footnoteReference w:id="104"/>
      </w:r>
      <w:r w:rsidR="001A5AE4" w:rsidRPr="0021507A">
        <w:rPr>
          <w:rFonts w:ascii="Abo-thar" w:hAnsi="Abo-thar" w:cs="Arabic11 BT"/>
          <w:sz w:val="28"/>
          <w:vertAlign w:val="superscript"/>
          <w:rtl/>
          <w:lang w:bidi="ar-SY"/>
        </w:rPr>
        <w:t>)</w:t>
      </w:r>
      <w:r w:rsidR="005B20E7" w:rsidRPr="003F3B94">
        <w:rPr>
          <w:rFonts w:ascii="Abo-thar" w:hAnsi="Abo-thar" w:hint="cs"/>
          <w:sz w:val="28"/>
          <w:rtl/>
          <w:lang w:bidi="ar-SY"/>
        </w:rPr>
        <w:t>.</w:t>
      </w:r>
      <w:r w:rsidRPr="003F3B94">
        <w:rPr>
          <w:rFonts w:ascii="Abo-thar" w:hAnsi="Abo-thar" w:hint="cs"/>
          <w:sz w:val="28"/>
          <w:rtl/>
          <w:lang w:bidi="ar-SY"/>
        </w:rPr>
        <w:t xml:space="preserve"> </w:t>
      </w:r>
    </w:p>
    <w:p w:rsidR="005C664D" w:rsidRPr="00502770" w:rsidRDefault="001A5AE4" w:rsidP="003F3B94">
      <w:pPr>
        <w:pStyle w:val="a0"/>
        <w:rPr>
          <w:rFonts w:hint="cs"/>
          <w:rtl/>
          <w:lang w:bidi="ar-SY"/>
        </w:rPr>
      </w:pPr>
      <w:r w:rsidRPr="00502770">
        <w:rPr>
          <w:rFonts w:ascii="Abo-thar" w:hAnsi="Abo-thar" w:hint="cs"/>
          <w:sz w:val="28"/>
          <w:rtl/>
          <w:lang w:bidi="ar-SY"/>
        </w:rPr>
        <w:t>4</w:t>
      </w:r>
      <w:r w:rsidR="00217AB4" w:rsidRPr="00502770">
        <w:rPr>
          <w:rFonts w:ascii="Abo-thar" w:hAnsi="Abo-thar" w:hint="cs"/>
          <w:sz w:val="28"/>
          <w:rtl/>
          <w:lang w:bidi="ar-SY"/>
        </w:rPr>
        <w:t>-</w:t>
      </w:r>
      <w:r w:rsidR="005C664D" w:rsidRPr="00502770">
        <w:rPr>
          <w:rFonts w:ascii="Abo-thar" w:hAnsi="Abo-thar" w:hint="cs"/>
          <w:sz w:val="28"/>
          <w:rtl/>
          <w:lang w:bidi="ar-SY"/>
        </w:rPr>
        <w:t xml:space="preserve"> وفي السورة المباركة ذاتها يقول سبحانه</w:t>
      </w:r>
      <w:r w:rsidR="00217AB4" w:rsidRPr="00502770">
        <w:rPr>
          <w:rFonts w:ascii="Abo-thar" w:hAnsi="Abo-thar" w:hint="cs"/>
          <w:sz w:val="28"/>
          <w:rtl/>
          <w:lang w:bidi="ar-SY"/>
        </w:rPr>
        <w:t>:</w:t>
      </w:r>
      <w:r w:rsidR="00685363" w:rsidRPr="00502770">
        <w:rPr>
          <w:rFonts w:ascii="Abo-thar" w:hAnsi="Abo-thar" w:hint="cs"/>
          <w:sz w:val="28"/>
          <w:rtl/>
          <w:lang w:bidi="ar-SY"/>
        </w:rPr>
        <w:t xml:space="preserve"> </w:t>
      </w:r>
      <w:r w:rsidR="00685363" w:rsidRPr="00502770">
        <w:rPr>
          <w:rFonts w:ascii="Abo-thar" w:hAnsi="Abo-thar" w:cs="Traditional Arabic" w:hint="cs"/>
          <w:sz w:val="28"/>
          <w:rtl/>
          <w:lang w:bidi="ar-SY"/>
        </w:rPr>
        <w:t>﴿</w:t>
      </w:r>
      <w:r w:rsidR="00685363" w:rsidRPr="00502770">
        <w:rPr>
          <w:rStyle w:val="Char3"/>
          <w:rFonts w:hint="eastAsia"/>
          <w:rtl/>
        </w:rPr>
        <w:t>يَ</w:t>
      </w:r>
      <w:r w:rsidR="00685363" w:rsidRPr="00502770">
        <w:rPr>
          <w:rStyle w:val="Char3"/>
          <w:rFonts w:hint="cs"/>
          <w:rtl/>
        </w:rPr>
        <w:t>ٰٓ</w:t>
      </w:r>
      <w:r w:rsidR="00685363" w:rsidRPr="00502770">
        <w:rPr>
          <w:rStyle w:val="Char3"/>
          <w:rFonts w:hint="eastAsia"/>
          <w:rtl/>
        </w:rPr>
        <w:t>أَيُّهَا</w:t>
      </w:r>
      <w:r w:rsidR="00685363" w:rsidRPr="00502770">
        <w:rPr>
          <w:rStyle w:val="Char3"/>
          <w:rtl/>
        </w:rPr>
        <w:t xml:space="preserve"> </w:t>
      </w:r>
      <w:r w:rsidR="00685363" w:rsidRPr="00502770">
        <w:rPr>
          <w:rStyle w:val="Char3"/>
          <w:rFonts w:hint="cs"/>
          <w:rtl/>
        </w:rPr>
        <w:t>ٱ</w:t>
      </w:r>
      <w:r w:rsidR="00685363" w:rsidRPr="00502770">
        <w:rPr>
          <w:rStyle w:val="Char3"/>
          <w:rFonts w:hint="eastAsia"/>
          <w:rtl/>
        </w:rPr>
        <w:t>لَّذِينَ</w:t>
      </w:r>
      <w:r w:rsidR="00685363" w:rsidRPr="00502770">
        <w:rPr>
          <w:rStyle w:val="Char3"/>
          <w:rtl/>
        </w:rPr>
        <w:t xml:space="preserve"> </w:t>
      </w:r>
      <w:r w:rsidR="00685363" w:rsidRPr="00502770">
        <w:rPr>
          <w:rStyle w:val="Char3"/>
          <w:rFonts w:hint="eastAsia"/>
          <w:rtl/>
        </w:rPr>
        <w:t>ءَامَنُواْ</w:t>
      </w:r>
      <w:r w:rsidR="00685363" w:rsidRPr="00502770">
        <w:rPr>
          <w:rStyle w:val="Char3"/>
          <w:rtl/>
        </w:rPr>
        <w:t xml:space="preserve"> </w:t>
      </w:r>
      <w:r w:rsidR="00685363" w:rsidRPr="00502770">
        <w:rPr>
          <w:rStyle w:val="Char3"/>
          <w:rFonts w:hint="eastAsia"/>
          <w:rtl/>
        </w:rPr>
        <w:t>لَا</w:t>
      </w:r>
      <w:r w:rsidR="00685363" w:rsidRPr="00502770">
        <w:rPr>
          <w:rStyle w:val="Char3"/>
          <w:rtl/>
        </w:rPr>
        <w:t xml:space="preserve"> </w:t>
      </w:r>
      <w:r w:rsidR="00685363" w:rsidRPr="00502770">
        <w:rPr>
          <w:rStyle w:val="Char3"/>
          <w:rFonts w:hint="eastAsia"/>
          <w:rtl/>
        </w:rPr>
        <w:t>يَس</w:t>
      </w:r>
      <w:r w:rsidR="00685363" w:rsidRPr="00502770">
        <w:rPr>
          <w:rStyle w:val="Char3"/>
          <w:rFonts w:hint="cs"/>
          <w:rtl/>
        </w:rPr>
        <w:t>ۡ</w:t>
      </w:r>
      <w:r w:rsidR="00685363" w:rsidRPr="00502770">
        <w:rPr>
          <w:rStyle w:val="Char3"/>
          <w:rFonts w:hint="eastAsia"/>
          <w:rtl/>
        </w:rPr>
        <w:t>خَر</w:t>
      </w:r>
      <w:r w:rsidR="00685363" w:rsidRPr="00502770">
        <w:rPr>
          <w:rStyle w:val="Char3"/>
          <w:rFonts w:hint="cs"/>
          <w:rtl/>
        </w:rPr>
        <w:t>ۡ</w:t>
      </w:r>
      <w:r w:rsidR="00685363" w:rsidRPr="00502770">
        <w:rPr>
          <w:rStyle w:val="Char3"/>
          <w:rtl/>
        </w:rPr>
        <w:t xml:space="preserve"> </w:t>
      </w:r>
      <w:r w:rsidR="00685363" w:rsidRPr="00502770">
        <w:rPr>
          <w:rStyle w:val="Char3"/>
          <w:rFonts w:hint="eastAsia"/>
          <w:rtl/>
        </w:rPr>
        <w:t>قَو</w:t>
      </w:r>
      <w:r w:rsidR="00685363" w:rsidRPr="00502770">
        <w:rPr>
          <w:rStyle w:val="Char3"/>
          <w:rFonts w:hint="cs"/>
          <w:rtl/>
        </w:rPr>
        <w:t>ۡ</w:t>
      </w:r>
      <w:r w:rsidR="00685363" w:rsidRPr="00502770">
        <w:rPr>
          <w:rStyle w:val="Char3"/>
          <w:rFonts w:hint="eastAsia"/>
          <w:rtl/>
        </w:rPr>
        <w:t>م</w:t>
      </w:r>
      <w:r w:rsidR="00685363" w:rsidRPr="00502770">
        <w:rPr>
          <w:rStyle w:val="Char3"/>
          <w:rFonts w:hint="cs"/>
          <w:rtl/>
        </w:rPr>
        <w:t>ٞ</w:t>
      </w:r>
      <w:r w:rsidR="00685363" w:rsidRPr="00502770">
        <w:rPr>
          <w:rStyle w:val="Char3"/>
          <w:rtl/>
        </w:rPr>
        <w:t xml:space="preserve"> </w:t>
      </w:r>
      <w:r w:rsidR="00685363" w:rsidRPr="00502770">
        <w:rPr>
          <w:rStyle w:val="Char3"/>
          <w:rFonts w:hint="eastAsia"/>
          <w:rtl/>
        </w:rPr>
        <w:t>مِّن</w:t>
      </w:r>
      <w:r w:rsidR="00685363" w:rsidRPr="00502770">
        <w:rPr>
          <w:rStyle w:val="Char3"/>
          <w:rtl/>
        </w:rPr>
        <w:t xml:space="preserve"> </w:t>
      </w:r>
      <w:r w:rsidR="00685363" w:rsidRPr="00502770">
        <w:rPr>
          <w:rStyle w:val="Char3"/>
          <w:rFonts w:hint="eastAsia"/>
          <w:rtl/>
        </w:rPr>
        <w:t>قَو</w:t>
      </w:r>
      <w:r w:rsidR="00685363" w:rsidRPr="00502770">
        <w:rPr>
          <w:rStyle w:val="Char3"/>
          <w:rFonts w:hint="cs"/>
          <w:rtl/>
        </w:rPr>
        <w:t>ۡ</w:t>
      </w:r>
      <w:r w:rsidR="00685363" w:rsidRPr="00502770">
        <w:rPr>
          <w:rStyle w:val="Char3"/>
          <w:rFonts w:hint="eastAsia"/>
          <w:rtl/>
        </w:rPr>
        <w:t>مٍ</w:t>
      </w:r>
      <w:r w:rsidR="00685363" w:rsidRPr="00502770">
        <w:rPr>
          <w:rStyle w:val="Char3"/>
          <w:rtl/>
        </w:rPr>
        <w:t xml:space="preserve"> </w:t>
      </w:r>
      <w:r w:rsidR="00685363" w:rsidRPr="00502770">
        <w:rPr>
          <w:rStyle w:val="Char3"/>
          <w:rFonts w:hint="eastAsia"/>
          <w:rtl/>
        </w:rPr>
        <w:t>عَسَى</w:t>
      </w:r>
      <w:r w:rsidR="00685363" w:rsidRPr="00502770">
        <w:rPr>
          <w:rStyle w:val="Char3"/>
          <w:rFonts w:hint="cs"/>
          <w:rtl/>
        </w:rPr>
        <w:t>ٰٓ</w:t>
      </w:r>
      <w:r w:rsidR="00685363" w:rsidRPr="00502770">
        <w:rPr>
          <w:rStyle w:val="Char3"/>
          <w:rtl/>
        </w:rPr>
        <w:t xml:space="preserve"> </w:t>
      </w:r>
      <w:r w:rsidR="00685363" w:rsidRPr="00502770">
        <w:rPr>
          <w:rStyle w:val="Char3"/>
          <w:rFonts w:hint="eastAsia"/>
          <w:rtl/>
        </w:rPr>
        <w:t>أَن</w:t>
      </w:r>
      <w:r w:rsidR="00685363" w:rsidRPr="00502770">
        <w:rPr>
          <w:rStyle w:val="Char3"/>
          <w:rtl/>
        </w:rPr>
        <w:t xml:space="preserve"> </w:t>
      </w:r>
      <w:r w:rsidR="00685363" w:rsidRPr="00502770">
        <w:rPr>
          <w:rStyle w:val="Char3"/>
          <w:rFonts w:hint="eastAsia"/>
          <w:rtl/>
        </w:rPr>
        <w:t>يَكُونُواْ</w:t>
      </w:r>
      <w:r w:rsidR="00685363" w:rsidRPr="00502770">
        <w:rPr>
          <w:rStyle w:val="Char3"/>
          <w:rtl/>
        </w:rPr>
        <w:t xml:space="preserve"> </w:t>
      </w:r>
      <w:r w:rsidR="00685363" w:rsidRPr="00502770">
        <w:rPr>
          <w:rStyle w:val="Char3"/>
          <w:rFonts w:hint="eastAsia"/>
          <w:rtl/>
        </w:rPr>
        <w:t>خَي</w:t>
      </w:r>
      <w:r w:rsidR="00685363" w:rsidRPr="00502770">
        <w:rPr>
          <w:rStyle w:val="Char3"/>
          <w:rFonts w:hint="cs"/>
          <w:rtl/>
        </w:rPr>
        <w:t>ۡ</w:t>
      </w:r>
      <w:r w:rsidR="00685363" w:rsidRPr="00502770">
        <w:rPr>
          <w:rStyle w:val="Char3"/>
          <w:rFonts w:hint="eastAsia"/>
          <w:rtl/>
        </w:rPr>
        <w:t>ر</w:t>
      </w:r>
      <w:r w:rsidR="00685363" w:rsidRPr="00502770">
        <w:rPr>
          <w:rStyle w:val="Char3"/>
          <w:rFonts w:hint="cs"/>
          <w:rtl/>
        </w:rPr>
        <w:t>ٗ</w:t>
      </w:r>
      <w:r w:rsidR="00685363" w:rsidRPr="00502770">
        <w:rPr>
          <w:rStyle w:val="Char3"/>
          <w:rFonts w:hint="eastAsia"/>
          <w:rtl/>
        </w:rPr>
        <w:t>ا</w:t>
      </w:r>
      <w:r w:rsidR="00685363" w:rsidRPr="00502770">
        <w:rPr>
          <w:rStyle w:val="Char3"/>
          <w:rtl/>
        </w:rPr>
        <w:t xml:space="preserve"> </w:t>
      </w:r>
      <w:r w:rsidR="00685363" w:rsidRPr="00502770">
        <w:rPr>
          <w:rStyle w:val="Char3"/>
          <w:rFonts w:hint="eastAsia"/>
          <w:rtl/>
        </w:rPr>
        <w:t>مِّن</w:t>
      </w:r>
      <w:r w:rsidR="00685363" w:rsidRPr="00502770">
        <w:rPr>
          <w:rStyle w:val="Char3"/>
          <w:rFonts w:hint="cs"/>
          <w:rtl/>
        </w:rPr>
        <w:t>ۡ</w:t>
      </w:r>
      <w:r w:rsidR="00685363" w:rsidRPr="00502770">
        <w:rPr>
          <w:rStyle w:val="Char3"/>
          <w:rFonts w:hint="eastAsia"/>
          <w:rtl/>
        </w:rPr>
        <w:t>هُم</w:t>
      </w:r>
      <w:r w:rsidR="00685363" w:rsidRPr="00502770">
        <w:rPr>
          <w:rStyle w:val="Char3"/>
          <w:rFonts w:hint="cs"/>
          <w:rtl/>
        </w:rPr>
        <w:t>ۡ</w:t>
      </w:r>
      <w:r w:rsidR="00685363" w:rsidRPr="00502770">
        <w:rPr>
          <w:rStyle w:val="Char3"/>
          <w:rtl/>
        </w:rPr>
        <w:t xml:space="preserve"> </w:t>
      </w:r>
      <w:r w:rsidR="00685363" w:rsidRPr="00502770">
        <w:rPr>
          <w:rStyle w:val="Char3"/>
          <w:rFonts w:hint="eastAsia"/>
          <w:rtl/>
        </w:rPr>
        <w:t>وَلَا</w:t>
      </w:r>
      <w:r w:rsidR="00685363" w:rsidRPr="00502770">
        <w:rPr>
          <w:rStyle w:val="Char3"/>
          <w:rtl/>
        </w:rPr>
        <w:t xml:space="preserve"> </w:t>
      </w:r>
      <w:r w:rsidR="00685363" w:rsidRPr="00502770">
        <w:rPr>
          <w:rStyle w:val="Char3"/>
          <w:rFonts w:hint="eastAsia"/>
          <w:rtl/>
        </w:rPr>
        <w:t>نِسَا</w:t>
      </w:r>
      <w:r w:rsidR="00685363" w:rsidRPr="00502770">
        <w:rPr>
          <w:rStyle w:val="Char3"/>
          <w:rFonts w:hint="cs"/>
          <w:rtl/>
        </w:rPr>
        <w:t>ٓ</w:t>
      </w:r>
      <w:r w:rsidR="00685363" w:rsidRPr="00502770">
        <w:rPr>
          <w:rStyle w:val="Char3"/>
          <w:rFonts w:hint="eastAsia"/>
          <w:rtl/>
        </w:rPr>
        <w:t>ء</w:t>
      </w:r>
      <w:r w:rsidR="00685363" w:rsidRPr="00502770">
        <w:rPr>
          <w:rStyle w:val="Char3"/>
          <w:rFonts w:hint="cs"/>
          <w:rtl/>
        </w:rPr>
        <w:t>ٞ</w:t>
      </w:r>
      <w:r w:rsidR="00685363" w:rsidRPr="00502770">
        <w:rPr>
          <w:rStyle w:val="Char3"/>
          <w:rtl/>
        </w:rPr>
        <w:t xml:space="preserve"> </w:t>
      </w:r>
      <w:r w:rsidR="00685363" w:rsidRPr="00502770">
        <w:rPr>
          <w:rStyle w:val="Char3"/>
          <w:rFonts w:hint="eastAsia"/>
          <w:rtl/>
        </w:rPr>
        <w:t>مِّن</w:t>
      </w:r>
      <w:r w:rsidR="00685363" w:rsidRPr="00502770">
        <w:rPr>
          <w:rStyle w:val="Char3"/>
          <w:rtl/>
        </w:rPr>
        <w:t xml:space="preserve"> </w:t>
      </w:r>
      <w:r w:rsidR="00685363" w:rsidRPr="00502770">
        <w:rPr>
          <w:rStyle w:val="Char3"/>
          <w:rFonts w:hint="eastAsia"/>
          <w:rtl/>
        </w:rPr>
        <w:t>نِّسَا</w:t>
      </w:r>
      <w:r w:rsidR="00685363" w:rsidRPr="00502770">
        <w:rPr>
          <w:rStyle w:val="Char3"/>
          <w:rFonts w:hint="cs"/>
          <w:rtl/>
        </w:rPr>
        <w:t>ٓ</w:t>
      </w:r>
      <w:r w:rsidR="00685363" w:rsidRPr="00502770">
        <w:rPr>
          <w:rStyle w:val="Char3"/>
          <w:rFonts w:hint="eastAsia"/>
          <w:rtl/>
        </w:rPr>
        <w:t>ءٍ</w:t>
      </w:r>
      <w:r w:rsidR="00685363" w:rsidRPr="00502770">
        <w:rPr>
          <w:rStyle w:val="Char3"/>
          <w:rtl/>
        </w:rPr>
        <w:t xml:space="preserve"> </w:t>
      </w:r>
      <w:r w:rsidR="00685363" w:rsidRPr="00502770">
        <w:rPr>
          <w:rStyle w:val="Char3"/>
          <w:rFonts w:hint="eastAsia"/>
          <w:rtl/>
        </w:rPr>
        <w:t>عَسَى</w:t>
      </w:r>
      <w:r w:rsidR="00685363" w:rsidRPr="00502770">
        <w:rPr>
          <w:rStyle w:val="Char3"/>
          <w:rFonts w:hint="cs"/>
          <w:rtl/>
        </w:rPr>
        <w:t>ٰٓ</w:t>
      </w:r>
      <w:r w:rsidR="00685363" w:rsidRPr="00502770">
        <w:rPr>
          <w:rStyle w:val="Char3"/>
          <w:rtl/>
        </w:rPr>
        <w:t xml:space="preserve"> </w:t>
      </w:r>
      <w:r w:rsidR="00685363" w:rsidRPr="00502770">
        <w:rPr>
          <w:rStyle w:val="Char3"/>
          <w:rFonts w:hint="eastAsia"/>
          <w:rtl/>
        </w:rPr>
        <w:t>أَن</w:t>
      </w:r>
      <w:r w:rsidR="00685363" w:rsidRPr="00502770">
        <w:rPr>
          <w:rStyle w:val="Char3"/>
          <w:rtl/>
        </w:rPr>
        <w:t xml:space="preserve"> </w:t>
      </w:r>
      <w:r w:rsidR="00685363" w:rsidRPr="00502770">
        <w:rPr>
          <w:rStyle w:val="Char3"/>
          <w:rFonts w:hint="eastAsia"/>
          <w:rtl/>
        </w:rPr>
        <w:t>يَكُنَّ</w:t>
      </w:r>
      <w:r w:rsidR="00685363" w:rsidRPr="00502770">
        <w:rPr>
          <w:rStyle w:val="Char3"/>
          <w:rtl/>
        </w:rPr>
        <w:t xml:space="preserve"> </w:t>
      </w:r>
      <w:r w:rsidR="00685363" w:rsidRPr="00502770">
        <w:rPr>
          <w:rStyle w:val="Char3"/>
          <w:rFonts w:hint="eastAsia"/>
          <w:rtl/>
        </w:rPr>
        <w:t>خَي</w:t>
      </w:r>
      <w:r w:rsidR="00685363" w:rsidRPr="00502770">
        <w:rPr>
          <w:rStyle w:val="Char3"/>
          <w:rFonts w:hint="cs"/>
          <w:rtl/>
        </w:rPr>
        <w:t>ۡ</w:t>
      </w:r>
      <w:r w:rsidR="00685363" w:rsidRPr="00502770">
        <w:rPr>
          <w:rStyle w:val="Char3"/>
          <w:rFonts w:hint="eastAsia"/>
          <w:rtl/>
        </w:rPr>
        <w:t>ر</w:t>
      </w:r>
      <w:r w:rsidR="00685363" w:rsidRPr="00502770">
        <w:rPr>
          <w:rStyle w:val="Char3"/>
          <w:rFonts w:hint="cs"/>
          <w:rtl/>
        </w:rPr>
        <w:t>ٗ</w:t>
      </w:r>
      <w:r w:rsidR="00685363" w:rsidRPr="00502770">
        <w:rPr>
          <w:rStyle w:val="Char3"/>
          <w:rFonts w:hint="eastAsia"/>
          <w:rtl/>
        </w:rPr>
        <w:t>ا</w:t>
      </w:r>
      <w:r w:rsidR="00685363" w:rsidRPr="00502770">
        <w:rPr>
          <w:rStyle w:val="Char3"/>
          <w:rtl/>
        </w:rPr>
        <w:t xml:space="preserve"> </w:t>
      </w:r>
      <w:r w:rsidR="00685363" w:rsidRPr="00502770">
        <w:rPr>
          <w:rStyle w:val="Char3"/>
          <w:rFonts w:hint="eastAsia"/>
          <w:rtl/>
        </w:rPr>
        <w:t>مِّن</w:t>
      </w:r>
      <w:r w:rsidR="00685363" w:rsidRPr="00502770">
        <w:rPr>
          <w:rStyle w:val="Char3"/>
          <w:rFonts w:hint="cs"/>
          <w:rtl/>
        </w:rPr>
        <w:t>ۡ</w:t>
      </w:r>
      <w:r w:rsidR="00685363" w:rsidRPr="00502770">
        <w:rPr>
          <w:rStyle w:val="Char3"/>
          <w:rFonts w:hint="eastAsia"/>
          <w:rtl/>
        </w:rPr>
        <w:t>هُنَّ</w:t>
      </w:r>
      <w:r w:rsidR="00685363" w:rsidRPr="00502770">
        <w:rPr>
          <w:rFonts w:ascii="Abo-thar" w:hAnsi="Abo-thar" w:cs="Traditional Arabic" w:hint="cs"/>
          <w:sz w:val="28"/>
          <w:rtl/>
          <w:lang w:bidi="ar-SY"/>
        </w:rPr>
        <w:t>﴾</w:t>
      </w:r>
      <w:r w:rsidR="005C664D" w:rsidRPr="00502770">
        <w:rPr>
          <w:rFonts w:ascii="Abo-thar" w:hAnsi="Abo-thar"/>
          <w:sz w:val="28"/>
          <w:rtl/>
          <w:lang w:bidi="ar-SY"/>
        </w:rPr>
        <w:t xml:space="preserve"> </w:t>
      </w:r>
      <w:r w:rsidR="005C664D" w:rsidRPr="00502770">
        <w:rPr>
          <w:rStyle w:val="Char2"/>
          <w:rFonts w:hint="cs"/>
          <w:rtl/>
        </w:rPr>
        <w:t>[</w:t>
      </w:r>
      <w:r w:rsidR="005C664D" w:rsidRPr="00502770">
        <w:rPr>
          <w:rStyle w:val="Char2"/>
          <w:rtl/>
        </w:rPr>
        <w:t>الحجرات</w:t>
      </w:r>
      <w:r w:rsidR="00685363" w:rsidRPr="00502770">
        <w:rPr>
          <w:rStyle w:val="Char2"/>
          <w:rFonts w:hint="cs"/>
          <w:rtl/>
        </w:rPr>
        <w:t xml:space="preserve">: </w:t>
      </w:r>
      <w:r w:rsidR="005C664D" w:rsidRPr="00502770">
        <w:rPr>
          <w:rStyle w:val="Char2"/>
          <w:rtl/>
        </w:rPr>
        <w:t>11</w:t>
      </w:r>
      <w:r w:rsidR="005C664D" w:rsidRPr="00502770">
        <w:rPr>
          <w:rStyle w:val="Char2"/>
          <w:rFonts w:hint="cs"/>
          <w:rtl/>
        </w:rPr>
        <w:t>]</w:t>
      </w:r>
      <w:r w:rsidR="00217AB4" w:rsidRPr="00502770">
        <w:rPr>
          <w:rFonts w:ascii="Abo-thar" w:hAnsi="Abo-thar" w:hint="cs"/>
          <w:sz w:val="28"/>
          <w:rtl/>
          <w:lang w:bidi="ar-SY"/>
        </w:rPr>
        <w:t>.</w:t>
      </w:r>
      <w:r w:rsidR="005C664D" w:rsidRPr="00502770">
        <w:rPr>
          <w:rFonts w:ascii="Abo-thar" w:hAnsi="Abo-thar" w:hint="cs"/>
          <w:sz w:val="28"/>
          <w:rtl/>
          <w:lang w:bidi="ar-SY"/>
        </w:rPr>
        <w:t xml:space="preserve"> </w:t>
      </w:r>
    </w:p>
    <w:p w:rsidR="005C664D" w:rsidRPr="003F3B94" w:rsidRDefault="005C664D" w:rsidP="003F3B94">
      <w:pPr>
        <w:pStyle w:val="a0"/>
        <w:rPr>
          <w:rFonts w:hint="cs"/>
          <w:rtl/>
          <w:lang w:bidi="ar-SY"/>
        </w:rPr>
      </w:pPr>
      <w:r w:rsidRPr="003F3B94">
        <w:rPr>
          <w:rFonts w:ascii="Abo-thar" w:hAnsi="Abo-thar" w:hint="cs"/>
          <w:sz w:val="28"/>
          <w:rtl/>
          <w:lang w:bidi="ar-SY"/>
        </w:rPr>
        <w:t>ولما كان العلم بخيرية الإنسان وأفضليته خاصٌّ بالله وحده لذا لا يجوز لأحد أن يفتخر على آخر أو يتعالى عليه ويسخر منه لأنه لا يعلم هل أن الساخر أفضل أم الذي يُسخر منه أم العكس هو الصحيح</w:t>
      </w:r>
      <w:r w:rsidR="00217AB4" w:rsidRPr="003F3B94">
        <w:rPr>
          <w:rFonts w:ascii="Abo-thar" w:hAnsi="Abo-thar" w:hint="cs"/>
          <w:sz w:val="28"/>
          <w:rtl/>
          <w:lang w:bidi="ar-SY"/>
        </w:rPr>
        <w:t>؟!</w:t>
      </w:r>
      <w:r w:rsidRPr="003F3B94">
        <w:rPr>
          <w:rFonts w:ascii="Abo-thar" w:hAnsi="Abo-thar" w:hint="cs"/>
          <w:sz w:val="28"/>
          <w:rtl/>
          <w:lang w:bidi="ar-SY"/>
        </w:rPr>
        <w:t xml:space="preserve"> ففي هذه الدنيا لا يستطيع أحد أن يعلم أي قوم وأي شخص أفضل من قوم أو أشخاص آخرين</w:t>
      </w:r>
      <w:r w:rsidR="00217AB4" w:rsidRPr="003F3B94">
        <w:rPr>
          <w:rFonts w:ascii="Abo-thar" w:hAnsi="Abo-thar" w:hint="cs"/>
          <w:sz w:val="28"/>
          <w:rtl/>
          <w:lang w:bidi="ar-SY"/>
        </w:rPr>
        <w:t>!</w:t>
      </w:r>
      <w:r w:rsidR="00147857" w:rsidRPr="003F3B94">
        <w:rPr>
          <w:rFonts w:ascii="Abo-thar" w:hAnsi="Abo-thar" w:hint="cs"/>
          <w:sz w:val="28"/>
          <w:rtl/>
          <w:lang w:bidi="ar-SY"/>
        </w:rPr>
        <w:t xml:space="preserve"> </w:t>
      </w:r>
      <w:r w:rsidRPr="003F3B94">
        <w:rPr>
          <w:rFonts w:ascii="Abo-thar" w:hAnsi="Abo-thar" w:hint="cs"/>
          <w:sz w:val="28"/>
          <w:rtl/>
          <w:lang w:bidi="ar-SY"/>
        </w:rPr>
        <w:t>وربما تصور بعضهم أن كون الشخص من ذرية نبيٍّ امتيازٌ منحه الله لبعض عباده</w:t>
      </w:r>
      <w:r w:rsidR="00217AB4" w:rsidRPr="003F3B94">
        <w:rPr>
          <w:rFonts w:ascii="Abo-thar" w:hAnsi="Abo-thar" w:hint="cs"/>
          <w:sz w:val="28"/>
          <w:rtl/>
          <w:lang w:bidi="ar-SY"/>
        </w:rPr>
        <w:t>،</w:t>
      </w:r>
      <w:r w:rsidRPr="003F3B94">
        <w:rPr>
          <w:rFonts w:ascii="Abo-thar" w:hAnsi="Abo-thar" w:hint="cs"/>
          <w:sz w:val="28"/>
          <w:rtl/>
          <w:lang w:bidi="ar-SY"/>
        </w:rPr>
        <w:t xml:space="preserve"> كما أن منصب النبوة هو كذلك</w:t>
      </w:r>
      <w:r w:rsidR="00217AB4" w:rsidRPr="003F3B94">
        <w:rPr>
          <w:rFonts w:ascii="Abo-thar" w:hAnsi="Abo-thar" w:hint="cs"/>
          <w:sz w:val="28"/>
          <w:rtl/>
          <w:lang w:bidi="ar-SY"/>
        </w:rPr>
        <w:t>،</w:t>
      </w:r>
      <w:r w:rsidRPr="003F3B94">
        <w:rPr>
          <w:rFonts w:ascii="Abo-thar" w:hAnsi="Abo-thar" w:hint="cs"/>
          <w:sz w:val="28"/>
          <w:rtl/>
          <w:lang w:bidi="ar-SY"/>
        </w:rPr>
        <w:t xml:space="preserve"> لذا لا بد من إعطائهم الخمس الذي هو امتياز خاص من الأموال والضرائب</w:t>
      </w:r>
      <w:r w:rsidR="00217AB4" w:rsidRPr="003F3B94">
        <w:rPr>
          <w:rFonts w:ascii="Abo-thar" w:hAnsi="Abo-thar" w:hint="cs"/>
          <w:sz w:val="28"/>
          <w:rtl/>
          <w:lang w:bidi="ar-SY"/>
        </w:rPr>
        <w:t>!</w:t>
      </w:r>
      <w:r w:rsidR="00147857" w:rsidRPr="003F3B94">
        <w:rPr>
          <w:rFonts w:ascii="Abo-thar" w:hAnsi="Abo-thar" w:hint="cs"/>
          <w:sz w:val="28"/>
          <w:rtl/>
          <w:lang w:bidi="ar-SY"/>
        </w:rPr>
        <w:t xml:space="preserve"> </w:t>
      </w:r>
      <w:r w:rsidRPr="003F3B94">
        <w:rPr>
          <w:rFonts w:ascii="Abo-thar" w:hAnsi="Abo-thar" w:hint="cs"/>
          <w:sz w:val="28"/>
          <w:rtl/>
          <w:lang w:bidi="ar-SY"/>
        </w:rPr>
        <w:t>لكن هذا التصور خاطئ من جميع الجهات لما يلي</w:t>
      </w:r>
      <w:r w:rsidR="00217AB4" w:rsidRPr="003F3B94">
        <w:rPr>
          <w:rFonts w:ascii="Abo-thar" w:hAnsi="Abo-thar" w:hint="cs"/>
          <w:sz w:val="28"/>
          <w:rtl/>
          <w:lang w:bidi="ar-SY"/>
        </w:rPr>
        <w:t>:</w:t>
      </w:r>
      <w:r w:rsidRPr="003F3B94">
        <w:rPr>
          <w:rFonts w:ascii="Abo-thar" w:hAnsi="Abo-thar" w:hint="cs"/>
          <w:sz w:val="28"/>
          <w:rtl/>
          <w:lang w:bidi="ar-SY"/>
        </w:rPr>
        <w:t xml:space="preserve"> </w:t>
      </w:r>
    </w:p>
    <w:p w:rsidR="005C664D" w:rsidRPr="000913E5" w:rsidRDefault="005C664D" w:rsidP="003F3B94">
      <w:pPr>
        <w:pStyle w:val="a0"/>
        <w:rPr>
          <w:rFonts w:hint="cs"/>
          <w:rtl/>
          <w:lang w:bidi="ar-SY"/>
        </w:rPr>
      </w:pPr>
      <w:r w:rsidRPr="000913E5">
        <w:rPr>
          <w:rFonts w:ascii="Abo-thar" w:hAnsi="Abo-thar" w:hint="cs"/>
          <w:sz w:val="28"/>
          <w:rtl/>
          <w:lang w:bidi="ar-SY"/>
        </w:rPr>
        <w:t>أولاً</w:t>
      </w:r>
      <w:r w:rsidR="00217AB4" w:rsidRPr="000913E5">
        <w:rPr>
          <w:rFonts w:ascii="Abo-thar" w:hAnsi="Abo-thar" w:hint="cs"/>
          <w:sz w:val="28"/>
          <w:rtl/>
          <w:lang w:bidi="ar-SY"/>
        </w:rPr>
        <w:t>:</w:t>
      </w:r>
      <w:r w:rsidRPr="000913E5">
        <w:rPr>
          <w:rFonts w:ascii="Abo-thar" w:hAnsi="Abo-thar" w:hint="cs"/>
          <w:sz w:val="28"/>
          <w:rtl/>
          <w:lang w:bidi="ar-SY"/>
        </w:rPr>
        <w:t xml:space="preserve"> إن الخمس الذي أُعطي في مذهب الشيعة الإمامية للسادات ليس لأجل كونهم من ذرية النبيّ</w:t>
      </w:r>
      <w:r w:rsidR="00147857" w:rsidRPr="000913E5">
        <w:rPr>
          <w:rFonts w:ascii="Abo-thar" w:hAnsi="Abo-thar" w:hint="cs"/>
          <w:sz w:val="28"/>
          <w:rtl/>
          <w:lang w:bidi="ar-SY"/>
        </w:rPr>
        <w:t xml:space="preserve"> </w:t>
      </w:r>
      <w:r w:rsidR="003C7AEB" w:rsidRPr="000913E5">
        <w:rPr>
          <w:rFonts w:ascii="Abo-thar" w:hAnsi="Abo-thar" w:cs="CTraditional Arabic"/>
          <w:sz w:val="28"/>
          <w:rtl/>
          <w:lang w:bidi="ar-SY"/>
        </w:rPr>
        <w:t>ص</w:t>
      </w:r>
      <w:r w:rsidR="00147857" w:rsidRPr="000913E5">
        <w:rPr>
          <w:rFonts w:ascii="Abo-thar" w:hAnsi="Abo-thar"/>
          <w:sz w:val="28"/>
          <w:rtl/>
          <w:lang w:bidi="ar-SY"/>
        </w:rPr>
        <w:t xml:space="preserve"> </w:t>
      </w:r>
      <w:r w:rsidRPr="000913E5">
        <w:rPr>
          <w:rFonts w:ascii="Abo-thar" w:hAnsi="Abo-thar" w:hint="cs"/>
          <w:sz w:val="28"/>
          <w:rtl/>
          <w:lang w:bidi="ar-SY"/>
        </w:rPr>
        <w:t>بل لجهة انتسابهم لهاشم جدّ النبيّ</w:t>
      </w:r>
      <w:r w:rsidR="00147857" w:rsidRPr="000913E5">
        <w:rPr>
          <w:rFonts w:ascii="Abo-thar" w:hAnsi="Abo-thar" w:hint="cs"/>
          <w:sz w:val="28"/>
          <w:rtl/>
          <w:lang w:bidi="ar-SY"/>
        </w:rPr>
        <w:t xml:space="preserve"> </w:t>
      </w:r>
      <w:r w:rsidR="003C7AEB" w:rsidRPr="000913E5">
        <w:rPr>
          <w:rFonts w:ascii="Abo-thar" w:hAnsi="Abo-thar" w:cs="CTraditional Arabic"/>
          <w:sz w:val="28"/>
          <w:rtl/>
          <w:lang w:bidi="ar-SY"/>
        </w:rPr>
        <w:t>ص</w:t>
      </w:r>
      <w:r w:rsidR="00147857" w:rsidRPr="000913E5">
        <w:rPr>
          <w:rFonts w:ascii="Abo-thar" w:hAnsi="Abo-thar"/>
          <w:sz w:val="28"/>
          <w:rtl/>
          <w:lang w:bidi="ar-SY"/>
        </w:rPr>
        <w:t xml:space="preserve"> </w:t>
      </w:r>
      <w:r w:rsidRPr="000913E5">
        <w:rPr>
          <w:rFonts w:ascii="Abo-thar" w:hAnsi="Abo-thar" w:hint="cs"/>
          <w:sz w:val="28"/>
          <w:rtl/>
          <w:lang w:bidi="ar-SY"/>
        </w:rPr>
        <w:t xml:space="preserve">فحتى أبناء أخ هاشم أي أبناء المطلب الذين كانوا بتصديق التاريخ من عباد الأصنام يستحقون الخمس </w:t>
      </w:r>
      <w:r w:rsidR="001A5AE4" w:rsidRPr="000913E5">
        <w:rPr>
          <w:rFonts w:ascii="Abo-thar" w:hAnsi="Abo-thar" w:hint="cs"/>
          <w:sz w:val="28"/>
          <w:rtl/>
          <w:lang w:bidi="ar-SY"/>
        </w:rPr>
        <w:t>لا لشيء إلا</w:t>
      </w:r>
      <w:r w:rsidRPr="000913E5">
        <w:rPr>
          <w:rFonts w:ascii="Abo-thar" w:hAnsi="Abo-thar" w:hint="cs"/>
          <w:sz w:val="28"/>
          <w:rtl/>
          <w:lang w:bidi="ar-SY"/>
        </w:rPr>
        <w:t xml:space="preserve"> لأنهم من أقرباء رسول الله</w:t>
      </w:r>
      <w:r w:rsidR="00217AB4" w:rsidRPr="000913E5">
        <w:rPr>
          <w:rFonts w:ascii="Abo-thar" w:hAnsi="Abo-thar" w:hint="cs"/>
          <w:sz w:val="28"/>
          <w:rtl/>
          <w:lang w:bidi="ar-SY"/>
        </w:rPr>
        <w:t>!!</w:t>
      </w:r>
      <w:r w:rsidRPr="000913E5">
        <w:rPr>
          <w:rFonts w:ascii="Abo-thar" w:hAnsi="Abo-thar" w:hint="cs"/>
          <w:sz w:val="28"/>
          <w:rtl/>
          <w:lang w:bidi="ar-SY"/>
        </w:rPr>
        <w:t xml:space="preserve"> </w:t>
      </w:r>
    </w:p>
    <w:p w:rsidR="005C664D" w:rsidRPr="003F3B94" w:rsidRDefault="005C664D" w:rsidP="003F3B94">
      <w:pPr>
        <w:pStyle w:val="a0"/>
        <w:rPr>
          <w:rFonts w:hint="cs"/>
          <w:rtl/>
          <w:lang w:bidi="ar-SY"/>
        </w:rPr>
      </w:pPr>
      <w:r w:rsidRPr="003F3B94">
        <w:rPr>
          <w:rFonts w:ascii="Abo-thar" w:hAnsi="Abo-thar" w:hint="cs"/>
          <w:sz w:val="28"/>
          <w:rtl/>
          <w:lang w:bidi="ar-SY"/>
        </w:rPr>
        <w:t>ثانياً</w:t>
      </w:r>
      <w:r w:rsidR="00217AB4" w:rsidRPr="003F3B94">
        <w:rPr>
          <w:rFonts w:ascii="Abo-thar" w:hAnsi="Abo-thar" w:hint="cs"/>
          <w:sz w:val="28"/>
          <w:rtl/>
          <w:lang w:bidi="ar-SY"/>
        </w:rPr>
        <w:t>:</w:t>
      </w:r>
      <w:r w:rsidRPr="003F3B94">
        <w:rPr>
          <w:rFonts w:ascii="Abo-thar" w:hAnsi="Abo-thar" w:hint="cs"/>
          <w:sz w:val="28"/>
          <w:rtl/>
          <w:lang w:bidi="ar-SY"/>
        </w:rPr>
        <w:t xml:space="preserve"> إن كون الإنسان من ذرية نبي</w:t>
      </w:r>
      <w:r w:rsidR="001A5AE4" w:rsidRPr="003F3B94">
        <w:rPr>
          <w:rFonts w:ascii="Abo-thar" w:hAnsi="Abo-thar" w:hint="cs"/>
          <w:sz w:val="28"/>
          <w:rtl/>
          <w:lang w:bidi="ar-SY"/>
        </w:rPr>
        <w:t>ٍّ</w:t>
      </w:r>
      <w:r w:rsidRPr="003F3B94">
        <w:rPr>
          <w:rFonts w:ascii="Abo-thar" w:hAnsi="Abo-thar" w:hint="cs"/>
          <w:sz w:val="28"/>
          <w:rtl/>
          <w:lang w:bidi="ar-SY"/>
        </w:rPr>
        <w:t xml:space="preserve"> لا يعطيه في الدين الصحيح أي مزية أو فضيلة إذا لم يكن بحد ذاته من أهل التقوى والصلاح</w:t>
      </w:r>
      <w:r w:rsidR="00217AB4" w:rsidRPr="003F3B94">
        <w:rPr>
          <w:rFonts w:ascii="Abo-thar" w:hAnsi="Abo-thar" w:hint="cs"/>
          <w:sz w:val="28"/>
          <w:rtl/>
          <w:lang w:bidi="ar-SY"/>
        </w:rPr>
        <w:t>!</w:t>
      </w:r>
      <w:r w:rsidRPr="003F3B94">
        <w:rPr>
          <w:rFonts w:ascii="Abo-thar" w:hAnsi="Abo-thar" w:hint="cs"/>
          <w:sz w:val="28"/>
          <w:rtl/>
          <w:lang w:bidi="ar-SY"/>
        </w:rPr>
        <w:t xml:space="preserve"> لذلك نجد أن الله تعالى قال في القرآن الكريم لنوح عن ابنه</w:t>
      </w:r>
      <w:r w:rsidR="00217AB4" w:rsidRPr="003F3B94">
        <w:rPr>
          <w:rFonts w:ascii="Abo-thar" w:hAnsi="Abo-thar" w:hint="cs"/>
          <w:sz w:val="28"/>
          <w:rtl/>
          <w:lang w:bidi="ar-SY"/>
        </w:rPr>
        <w:t>:</w:t>
      </w:r>
    </w:p>
    <w:p w:rsidR="005C664D" w:rsidRPr="003F3B94" w:rsidRDefault="00685363" w:rsidP="003F3B94">
      <w:pPr>
        <w:pStyle w:val="a0"/>
        <w:rPr>
          <w:rFonts w:hint="cs"/>
          <w:rtl/>
          <w:lang w:bidi="ar-SY"/>
        </w:rPr>
      </w:pPr>
      <w:r w:rsidRPr="00995B26">
        <w:rPr>
          <w:rFonts w:cs="Traditional Arabic"/>
          <w:rtl/>
          <w:lang w:bidi="fa-IR"/>
        </w:rPr>
        <w:t>﴿</w:t>
      </w:r>
      <w:r w:rsidRPr="00995B26">
        <w:rPr>
          <w:rFonts w:cs="KFGQPC Uthman Taha Naskh"/>
          <w:rtl/>
          <w:lang w:bidi="fa-IR"/>
        </w:rPr>
        <w:t>...</w:t>
      </w:r>
      <w:r w:rsidRPr="0067048A">
        <w:rPr>
          <w:rStyle w:val="Char3"/>
          <w:rFonts w:hint="eastAsia"/>
          <w:rtl/>
        </w:rPr>
        <w:t>إِنَّهُ</w:t>
      </w:r>
      <w:r w:rsidRPr="0067048A">
        <w:rPr>
          <w:rStyle w:val="Char3"/>
          <w:rFonts w:hint="cs"/>
          <w:rtl/>
        </w:rPr>
        <w:t>ۥ</w:t>
      </w:r>
      <w:r w:rsidRPr="0067048A">
        <w:rPr>
          <w:rStyle w:val="Char3"/>
          <w:rtl/>
        </w:rPr>
        <w:t xml:space="preserve"> </w:t>
      </w:r>
      <w:r w:rsidRPr="0067048A">
        <w:rPr>
          <w:rStyle w:val="Char3"/>
          <w:rFonts w:hint="eastAsia"/>
          <w:rtl/>
        </w:rPr>
        <w:t>لَي</w:t>
      </w:r>
      <w:r w:rsidRPr="0067048A">
        <w:rPr>
          <w:rStyle w:val="Char3"/>
          <w:rFonts w:hint="cs"/>
          <w:rtl/>
        </w:rPr>
        <w:t>ۡ</w:t>
      </w:r>
      <w:r w:rsidRPr="0067048A">
        <w:rPr>
          <w:rStyle w:val="Char3"/>
          <w:rFonts w:hint="eastAsia"/>
          <w:rtl/>
        </w:rPr>
        <w:t>سَ</w:t>
      </w:r>
      <w:r w:rsidRPr="0067048A">
        <w:rPr>
          <w:rStyle w:val="Char3"/>
          <w:rtl/>
        </w:rPr>
        <w:t xml:space="preserve"> </w:t>
      </w:r>
      <w:r w:rsidRPr="0067048A">
        <w:rPr>
          <w:rStyle w:val="Char3"/>
          <w:rFonts w:hint="eastAsia"/>
          <w:rtl/>
        </w:rPr>
        <w:t>مِن</w:t>
      </w:r>
      <w:r w:rsidRPr="0067048A">
        <w:rPr>
          <w:rStyle w:val="Char3"/>
          <w:rFonts w:hint="cs"/>
          <w:rtl/>
        </w:rPr>
        <w:t>ۡ</w:t>
      </w:r>
      <w:r w:rsidRPr="0067048A">
        <w:rPr>
          <w:rStyle w:val="Char3"/>
          <w:rtl/>
        </w:rPr>
        <w:t xml:space="preserve"> </w:t>
      </w:r>
      <w:r w:rsidRPr="0067048A">
        <w:rPr>
          <w:rStyle w:val="Char3"/>
          <w:rFonts w:hint="eastAsia"/>
          <w:rtl/>
        </w:rPr>
        <w:t>أَه</w:t>
      </w:r>
      <w:r w:rsidRPr="0067048A">
        <w:rPr>
          <w:rStyle w:val="Char3"/>
          <w:rFonts w:hint="cs"/>
          <w:rtl/>
        </w:rPr>
        <w:t>ۡ</w:t>
      </w:r>
      <w:r w:rsidRPr="0067048A">
        <w:rPr>
          <w:rStyle w:val="Char3"/>
          <w:rFonts w:hint="eastAsia"/>
          <w:rtl/>
        </w:rPr>
        <w:t>لِكَ</w:t>
      </w:r>
      <w:r w:rsidRPr="0067048A">
        <w:rPr>
          <w:rStyle w:val="Char3"/>
          <w:rFonts w:hint="cs"/>
          <w:rtl/>
        </w:rPr>
        <w:t>ۖ</w:t>
      </w:r>
      <w:r w:rsidRPr="0067048A">
        <w:rPr>
          <w:rStyle w:val="Char3"/>
          <w:rtl/>
        </w:rPr>
        <w:t xml:space="preserve"> </w:t>
      </w:r>
      <w:r w:rsidRPr="0067048A">
        <w:rPr>
          <w:rStyle w:val="Char3"/>
          <w:rFonts w:hint="eastAsia"/>
          <w:rtl/>
        </w:rPr>
        <w:t>إِنَّهُ</w:t>
      </w:r>
      <w:r w:rsidRPr="0067048A">
        <w:rPr>
          <w:rStyle w:val="Char3"/>
          <w:rFonts w:hint="cs"/>
          <w:rtl/>
        </w:rPr>
        <w:t>ۥ</w:t>
      </w:r>
      <w:r w:rsidRPr="0067048A">
        <w:rPr>
          <w:rStyle w:val="Char3"/>
          <w:rtl/>
        </w:rPr>
        <w:t xml:space="preserve"> </w:t>
      </w:r>
      <w:r w:rsidRPr="0067048A">
        <w:rPr>
          <w:rStyle w:val="Char3"/>
          <w:rFonts w:hint="eastAsia"/>
          <w:rtl/>
        </w:rPr>
        <w:t>عَمَلٌ</w:t>
      </w:r>
      <w:r w:rsidRPr="0067048A">
        <w:rPr>
          <w:rStyle w:val="Char3"/>
          <w:rtl/>
        </w:rPr>
        <w:t xml:space="preserve"> </w:t>
      </w:r>
      <w:r w:rsidRPr="0067048A">
        <w:rPr>
          <w:rStyle w:val="Char3"/>
          <w:rFonts w:hint="eastAsia"/>
          <w:rtl/>
        </w:rPr>
        <w:t>غَي</w:t>
      </w:r>
      <w:r w:rsidRPr="0067048A">
        <w:rPr>
          <w:rStyle w:val="Char3"/>
          <w:rFonts w:hint="cs"/>
          <w:rtl/>
        </w:rPr>
        <w:t>ۡ</w:t>
      </w:r>
      <w:r w:rsidRPr="0067048A">
        <w:rPr>
          <w:rStyle w:val="Char3"/>
          <w:rFonts w:hint="eastAsia"/>
          <w:rtl/>
        </w:rPr>
        <w:t>رُ</w:t>
      </w:r>
      <w:r w:rsidRPr="0067048A">
        <w:rPr>
          <w:rStyle w:val="Char3"/>
          <w:rtl/>
        </w:rPr>
        <w:t xml:space="preserve"> </w:t>
      </w:r>
      <w:r w:rsidRPr="0067048A">
        <w:rPr>
          <w:rStyle w:val="Char3"/>
          <w:rFonts w:hint="eastAsia"/>
          <w:rtl/>
        </w:rPr>
        <w:t>صَ</w:t>
      </w:r>
      <w:r w:rsidRPr="0067048A">
        <w:rPr>
          <w:rStyle w:val="Char3"/>
          <w:rFonts w:hint="cs"/>
          <w:rtl/>
        </w:rPr>
        <w:t>ٰ</w:t>
      </w:r>
      <w:r w:rsidRPr="0067048A">
        <w:rPr>
          <w:rStyle w:val="Char3"/>
          <w:rFonts w:hint="eastAsia"/>
          <w:rtl/>
        </w:rPr>
        <w:t>لِح</w:t>
      </w:r>
      <w:r w:rsidRPr="0067048A">
        <w:rPr>
          <w:rStyle w:val="Char3"/>
          <w:rFonts w:hint="cs"/>
          <w:rtl/>
        </w:rPr>
        <w:t>ٖ</w:t>
      </w:r>
      <w:r w:rsidRPr="00995B26">
        <w:rPr>
          <w:rFonts w:cs="KFGQPC Uthman Taha Naskh" w:hint="cs"/>
          <w:rtl/>
          <w:lang w:bidi="fa-IR"/>
        </w:rPr>
        <w:t>...</w:t>
      </w:r>
      <w:r w:rsidRPr="00995B26">
        <w:rPr>
          <w:rFonts w:cs="Traditional Arabic" w:hint="cs"/>
          <w:rtl/>
          <w:lang w:bidi="fa-IR"/>
        </w:rPr>
        <w:t>﴾</w:t>
      </w:r>
      <w:r w:rsidRPr="00995B26">
        <w:rPr>
          <w:rFonts w:cs="B Lotus" w:hint="cs"/>
          <w:rtl/>
          <w:lang w:bidi="fa-IR"/>
        </w:rPr>
        <w:t xml:space="preserve"> </w:t>
      </w:r>
      <w:r w:rsidR="005C664D" w:rsidRPr="003108CB">
        <w:rPr>
          <w:rStyle w:val="Char2"/>
          <w:rtl/>
        </w:rPr>
        <w:t>[هود</w:t>
      </w:r>
      <w:r w:rsidRPr="003108CB">
        <w:rPr>
          <w:rStyle w:val="Char2"/>
          <w:rFonts w:hint="cs"/>
          <w:rtl/>
        </w:rPr>
        <w:t xml:space="preserve">: </w:t>
      </w:r>
      <w:r w:rsidR="005C664D" w:rsidRPr="003108CB">
        <w:rPr>
          <w:rStyle w:val="Char2"/>
          <w:rtl/>
        </w:rPr>
        <w:t>46]</w:t>
      </w:r>
      <w:r w:rsidR="00217AB4" w:rsidRPr="003F3B94">
        <w:rPr>
          <w:rFonts w:ascii="Abo-thar" w:hAnsi="Abo-thar" w:hint="cs"/>
          <w:sz w:val="28"/>
          <w:rtl/>
          <w:lang w:bidi="ar-SY"/>
        </w:rPr>
        <w:t>.</w:t>
      </w:r>
    </w:p>
    <w:p w:rsidR="005C664D" w:rsidRPr="00995B26" w:rsidRDefault="005C664D" w:rsidP="000913E5">
      <w:pPr>
        <w:pStyle w:val="a0"/>
        <w:rPr>
          <w:rFonts w:hint="cs"/>
          <w:rtl/>
          <w:lang w:bidi="ar-SY"/>
        </w:rPr>
      </w:pPr>
      <w:r w:rsidRPr="003F3B94">
        <w:rPr>
          <w:rFonts w:ascii="Abo-thar" w:hAnsi="Abo-thar" w:hint="cs"/>
          <w:sz w:val="28"/>
          <w:rtl/>
          <w:lang w:bidi="ar-SY"/>
        </w:rPr>
        <w:t>بل يمكننا أن نقول إن ابن نوح مشمولٌ بدعوة نوح على الكفار بالهلاك حين قال</w:t>
      </w:r>
      <w:r w:rsidR="00217AB4" w:rsidRPr="003F3B94">
        <w:rPr>
          <w:rFonts w:ascii="Abo-thar" w:hAnsi="Abo-thar" w:hint="cs"/>
          <w:sz w:val="28"/>
          <w:rtl/>
          <w:lang w:bidi="ar-SY"/>
        </w:rPr>
        <w:t>:</w:t>
      </w:r>
      <w:r w:rsidRPr="003F3B94">
        <w:rPr>
          <w:rFonts w:ascii="Abo-thar" w:hAnsi="Abo-thar" w:hint="cs"/>
          <w:sz w:val="28"/>
          <w:rtl/>
          <w:lang w:bidi="ar-SY"/>
        </w:rPr>
        <w:t xml:space="preserve"> </w:t>
      </w:r>
      <w:r w:rsidR="00685363" w:rsidRPr="00995B26">
        <w:rPr>
          <w:rFonts w:cs="Traditional Arabic"/>
          <w:rtl/>
          <w:lang w:bidi="fa-IR"/>
        </w:rPr>
        <w:t>﴿</w:t>
      </w:r>
      <w:r w:rsidR="00685363" w:rsidRPr="00995B26">
        <w:rPr>
          <w:rFonts w:cs="KFGQPC Uthman Taha Naskh"/>
          <w:rtl/>
          <w:lang w:bidi="fa-IR"/>
        </w:rPr>
        <w:t>...</w:t>
      </w:r>
      <w:r w:rsidR="00685363" w:rsidRPr="0067048A">
        <w:rPr>
          <w:rStyle w:val="Char3"/>
          <w:rFonts w:hint="eastAsia"/>
          <w:rtl/>
        </w:rPr>
        <w:t>رَّبِّ</w:t>
      </w:r>
      <w:r w:rsidR="00685363" w:rsidRPr="0067048A">
        <w:rPr>
          <w:rStyle w:val="Char3"/>
          <w:rtl/>
        </w:rPr>
        <w:t xml:space="preserve"> </w:t>
      </w:r>
      <w:r w:rsidR="00685363" w:rsidRPr="0067048A">
        <w:rPr>
          <w:rStyle w:val="Char3"/>
          <w:rFonts w:hint="eastAsia"/>
          <w:rtl/>
        </w:rPr>
        <w:t>لَا</w:t>
      </w:r>
      <w:r w:rsidR="00685363" w:rsidRPr="0067048A">
        <w:rPr>
          <w:rStyle w:val="Char3"/>
          <w:rtl/>
        </w:rPr>
        <w:t xml:space="preserve"> </w:t>
      </w:r>
      <w:r w:rsidR="00685363" w:rsidRPr="0067048A">
        <w:rPr>
          <w:rStyle w:val="Char3"/>
          <w:rFonts w:hint="eastAsia"/>
          <w:rtl/>
        </w:rPr>
        <w:t>تَذَر</w:t>
      </w:r>
      <w:r w:rsidR="00685363" w:rsidRPr="0067048A">
        <w:rPr>
          <w:rStyle w:val="Char3"/>
          <w:rFonts w:hint="cs"/>
          <w:rtl/>
        </w:rPr>
        <w:t>ۡ</w:t>
      </w:r>
      <w:r w:rsidR="00685363" w:rsidRPr="0067048A">
        <w:rPr>
          <w:rStyle w:val="Char3"/>
          <w:rtl/>
        </w:rPr>
        <w:t xml:space="preserve"> </w:t>
      </w:r>
      <w:r w:rsidR="00685363" w:rsidRPr="0067048A">
        <w:rPr>
          <w:rStyle w:val="Char3"/>
          <w:rFonts w:hint="eastAsia"/>
          <w:rtl/>
        </w:rPr>
        <w:t>عَلَى</w:t>
      </w:r>
      <w:r w:rsidR="00685363" w:rsidRPr="0067048A">
        <w:rPr>
          <w:rStyle w:val="Char3"/>
          <w:rtl/>
        </w:rPr>
        <w:t xml:space="preserve"> </w:t>
      </w:r>
      <w:r w:rsidR="00685363" w:rsidRPr="0067048A">
        <w:rPr>
          <w:rStyle w:val="Char3"/>
          <w:rFonts w:hint="cs"/>
          <w:rtl/>
        </w:rPr>
        <w:t>ٱ</w:t>
      </w:r>
      <w:r w:rsidR="00685363" w:rsidRPr="0067048A">
        <w:rPr>
          <w:rStyle w:val="Char3"/>
          <w:rFonts w:hint="eastAsia"/>
          <w:rtl/>
        </w:rPr>
        <w:t>ل</w:t>
      </w:r>
      <w:r w:rsidR="00685363" w:rsidRPr="0067048A">
        <w:rPr>
          <w:rStyle w:val="Char3"/>
          <w:rFonts w:hint="cs"/>
          <w:rtl/>
        </w:rPr>
        <w:t>ۡ</w:t>
      </w:r>
      <w:r w:rsidR="00685363" w:rsidRPr="0067048A">
        <w:rPr>
          <w:rStyle w:val="Char3"/>
          <w:rFonts w:hint="eastAsia"/>
          <w:rtl/>
        </w:rPr>
        <w:t>أَر</w:t>
      </w:r>
      <w:r w:rsidR="00685363" w:rsidRPr="0067048A">
        <w:rPr>
          <w:rStyle w:val="Char3"/>
          <w:rFonts w:hint="cs"/>
          <w:rtl/>
        </w:rPr>
        <w:t>ۡ</w:t>
      </w:r>
      <w:r w:rsidR="00685363" w:rsidRPr="0067048A">
        <w:rPr>
          <w:rStyle w:val="Char3"/>
          <w:rFonts w:hint="eastAsia"/>
          <w:rtl/>
        </w:rPr>
        <w:t>ضِ</w:t>
      </w:r>
      <w:r w:rsidR="00685363" w:rsidRPr="0067048A">
        <w:rPr>
          <w:rStyle w:val="Char3"/>
          <w:rtl/>
        </w:rPr>
        <w:t xml:space="preserve"> </w:t>
      </w:r>
      <w:r w:rsidR="00685363" w:rsidRPr="0067048A">
        <w:rPr>
          <w:rStyle w:val="Char3"/>
          <w:rFonts w:hint="eastAsia"/>
          <w:rtl/>
        </w:rPr>
        <w:t>مِنَ</w:t>
      </w:r>
      <w:r w:rsidR="00685363" w:rsidRPr="0067048A">
        <w:rPr>
          <w:rStyle w:val="Char3"/>
          <w:rtl/>
        </w:rPr>
        <w:t xml:space="preserve"> </w:t>
      </w:r>
      <w:r w:rsidR="00685363" w:rsidRPr="0067048A">
        <w:rPr>
          <w:rStyle w:val="Char3"/>
          <w:rFonts w:hint="cs"/>
          <w:rtl/>
        </w:rPr>
        <w:t>ٱ</w:t>
      </w:r>
      <w:r w:rsidR="00685363" w:rsidRPr="0067048A">
        <w:rPr>
          <w:rStyle w:val="Char3"/>
          <w:rFonts w:hint="eastAsia"/>
          <w:rtl/>
        </w:rPr>
        <w:t>ل</w:t>
      </w:r>
      <w:r w:rsidR="00685363" w:rsidRPr="0067048A">
        <w:rPr>
          <w:rStyle w:val="Char3"/>
          <w:rFonts w:hint="cs"/>
          <w:rtl/>
        </w:rPr>
        <w:t>ۡ</w:t>
      </w:r>
      <w:r w:rsidR="00685363" w:rsidRPr="0067048A">
        <w:rPr>
          <w:rStyle w:val="Char3"/>
          <w:rFonts w:hint="eastAsia"/>
          <w:rtl/>
        </w:rPr>
        <w:t>كَ</w:t>
      </w:r>
      <w:r w:rsidR="00685363" w:rsidRPr="0067048A">
        <w:rPr>
          <w:rStyle w:val="Char3"/>
          <w:rFonts w:hint="cs"/>
          <w:rtl/>
        </w:rPr>
        <w:t>ٰ</w:t>
      </w:r>
      <w:r w:rsidR="00685363" w:rsidRPr="0067048A">
        <w:rPr>
          <w:rStyle w:val="Char3"/>
          <w:rFonts w:hint="eastAsia"/>
          <w:rtl/>
        </w:rPr>
        <w:t>فِرِينَ</w:t>
      </w:r>
      <w:r w:rsidR="00685363" w:rsidRPr="0067048A">
        <w:rPr>
          <w:rStyle w:val="Char3"/>
          <w:rtl/>
        </w:rPr>
        <w:t xml:space="preserve"> </w:t>
      </w:r>
      <w:r w:rsidR="00685363" w:rsidRPr="0067048A">
        <w:rPr>
          <w:rStyle w:val="Char3"/>
          <w:rFonts w:hint="eastAsia"/>
          <w:rtl/>
        </w:rPr>
        <w:t>دَيَّارًا</w:t>
      </w:r>
      <w:r w:rsidR="00685363" w:rsidRPr="00995B26">
        <w:rPr>
          <w:rFonts w:cs="Traditional Arabic"/>
          <w:rtl/>
          <w:lang w:bidi="fa-IR"/>
        </w:rPr>
        <w:t>﴾</w:t>
      </w:r>
      <w:r w:rsidRPr="00995B26">
        <w:rPr>
          <w:rFonts w:ascii="Abo-thar" w:hAnsi="Abo-thar"/>
          <w:sz w:val="28"/>
          <w:rtl/>
          <w:lang w:bidi="ar-SY"/>
        </w:rPr>
        <w:t xml:space="preserve"> </w:t>
      </w:r>
      <w:r w:rsidRPr="003108CB">
        <w:rPr>
          <w:rStyle w:val="Char2"/>
          <w:rtl/>
        </w:rPr>
        <w:t>[نوح</w:t>
      </w:r>
      <w:r w:rsidR="00685363" w:rsidRPr="003108CB">
        <w:rPr>
          <w:rStyle w:val="Char2"/>
          <w:rFonts w:hint="cs"/>
          <w:rtl/>
        </w:rPr>
        <w:t xml:space="preserve">: </w:t>
      </w:r>
      <w:r w:rsidRPr="003108CB">
        <w:rPr>
          <w:rStyle w:val="Char2"/>
          <w:rtl/>
        </w:rPr>
        <w:t>26]</w:t>
      </w:r>
      <w:r w:rsidR="00217AB4" w:rsidRPr="00995B26">
        <w:rPr>
          <w:rFonts w:ascii="Abo-thar" w:hAnsi="Abo-thar" w:hint="cs"/>
          <w:sz w:val="28"/>
          <w:rtl/>
          <w:lang w:bidi="ar-SY"/>
        </w:rPr>
        <w:t>،</w:t>
      </w:r>
      <w:r w:rsidRPr="00995B26">
        <w:rPr>
          <w:rFonts w:ascii="Abo-thar" w:hAnsi="Abo-thar" w:hint="cs"/>
          <w:sz w:val="28"/>
          <w:rtl/>
          <w:lang w:bidi="ar-SY"/>
        </w:rPr>
        <w:t xml:space="preserve"> فكون الإنسان من ذرية </w:t>
      </w:r>
      <w:r w:rsidR="001A5AE4" w:rsidRPr="00995B26">
        <w:rPr>
          <w:rFonts w:ascii="Abo-thar" w:hAnsi="Abo-thar" w:hint="cs"/>
          <w:sz w:val="28"/>
          <w:rtl/>
          <w:lang w:bidi="ar-SY"/>
        </w:rPr>
        <w:t>نبيٍّ بل نشأته في بيت نبيٍّ لا ي</w:t>
      </w:r>
      <w:r w:rsidRPr="00995B26">
        <w:rPr>
          <w:rFonts w:ascii="Abo-thar" w:hAnsi="Abo-thar" w:hint="cs"/>
          <w:sz w:val="28"/>
          <w:rtl/>
          <w:lang w:bidi="ar-SY"/>
        </w:rPr>
        <w:t>عطيه أي امتياز إ</w:t>
      </w:r>
      <w:r w:rsidR="001A5AE4" w:rsidRPr="00995B26">
        <w:rPr>
          <w:rFonts w:ascii="Abo-thar" w:hAnsi="Abo-thar" w:hint="cs"/>
          <w:sz w:val="28"/>
          <w:rtl/>
          <w:lang w:bidi="ar-SY"/>
        </w:rPr>
        <w:t>ن</w:t>
      </w:r>
      <w:r w:rsidRPr="00995B26">
        <w:rPr>
          <w:rFonts w:ascii="Abo-thar" w:hAnsi="Abo-thar" w:hint="cs"/>
          <w:sz w:val="28"/>
          <w:rtl/>
          <w:lang w:bidi="ar-SY"/>
        </w:rPr>
        <w:t xml:space="preserve"> لم يكن هو بحد ذاته مؤمناً صالحاً</w:t>
      </w:r>
      <w:r w:rsidR="00217AB4" w:rsidRPr="00995B26">
        <w:rPr>
          <w:rFonts w:ascii="Abo-thar" w:hAnsi="Abo-thar" w:hint="cs"/>
          <w:sz w:val="28"/>
          <w:rtl/>
          <w:lang w:bidi="ar-SY"/>
        </w:rPr>
        <w:t>،</w:t>
      </w:r>
      <w:r w:rsidRPr="00995B26">
        <w:rPr>
          <w:rFonts w:ascii="Abo-thar" w:hAnsi="Abo-thar" w:hint="cs"/>
          <w:sz w:val="28"/>
          <w:rtl/>
          <w:lang w:bidi="ar-SY"/>
        </w:rPr>
        <w:t xml:space="preserve"> لذا نجد أن حضرة نوح</w:t>
      </w:r>
      <w:r w:rsidR="003C7AEB" w:rsidRPr="003C7AEB">
        <w:rPr>
          <w:rFonts w:ascii="Abo-thar" w:hAnsi="Abo-thar" w:cs="CTraditional Arabic" w:hint="cs"/>
          <w:sz w:val="28"/>
          <w:rtl/>
          <w:lang w:bidi="ar-SY"/>
        </w:rPr>
        <w:t>÷</w:t>
      </w:r>
      <w:r w:rsidRPr="00995B26">
        <w:rPr>
          <w:rFonts w:ascii="Abo-thar" w:hAnsi="Abo-thar" w:hint="cs"/>
          <w:sz w:val="28"/>
          <w:rtl/>
          <w:lang w:bidi="ar-SY"/>
        </w:rPr>
        <w:t xml:space="preserve"> يقول في دعائه</w:t>
      </w:r>
      <w:r w:rsidR="00147857" w:rsidRPr="00995B26">
        <w:rPr>
          <w:rFonts w:ascii="Abo-thar" w:hAnsi="Abo-thar" w:hint="cs"/>
          <w:sz w:val="28"/>
          <w:rtl/>
          <w:lang w:bidi="ar-SY"/>
        </w:rPr>
        <w:t xml:space="preserve"> </w:t>
      </w:r>
      <w:r w:rsidRPr="00995B26">
        <w:rPr>
          <w:rFonts w:ascii="Abo-thar" w:hAnsi="Abo-thar" w:hint="cs"/>
          <w:sz w:val="28"/>
          <w:rtl/>
          <w:lang w:bidi="ar-SY"/>
        </w:rPr>
        <w:t>واستغفاره</w:t>
      </w:r>
      <w:r w:rsidR="00217AB4" w:rsidRPr="00995B26">
        <w:rPr>
          <w:rFonts w:ascii="Abo-thar" w:hAnsi="Abo-thar" w:hint="cs"/>
          <w:sz w:val="28"/>
          <w:rtl/>
          <w:lang w:bidi="ar-SY"/>
        </w:rPr>
        <w:t>:</w:t>
      </w:r>
      <w:r w:rsidRPr="00995B26">
        <w:rPr>
          <w:rFonts w:ascii="Abo-thar" w:hAnsi="Abo-thar" w:hint="cs"/>
          <w:sz w:val="28"/>
          <w:rtl/>
          <w:lang w:bidi="ar-SY"/>
        </w:rPr>
        <w:t xml:space="preserve"> </w:t>
      </w:r>
    </w:p>
    <w:p w:rsidR="005C664D" w:rsidRPr="003F3B94" w:rsidRDefault="00685363" w:rsidP="003F3B94">
      <w:pPr>
        <w:pStyle w:val="a0"/>
        <w:rPr>
          <w:rFonts w:hint="cs"/>
          <w:rtl/>
          <w:lang w:bidi="ar-SY"/>
        </w:rPr>
      </w:pPr>
      <w:r w:rsidRPr="00995B26">
        <w:rPr>
          <w:rFonts w:cs="Traditional Arabic"/>
          <w:rtl/>
          <w:lang w:bidi="fa-IR"/>
        </w:rPr>
        <w:t>﴿</w:t>
      </w:r>
      <w:r w:rsidRPr="0067048A">
        <w:rPr>
          <w:rStyle w:val="Char3"/>
          <w:rFonts w:hint="eastAsia"/>
          <w:rtl/>
        </w:rPr>
        <w:t>رَّبِّ</w:t>
      </w:r>
      <w:r w:rsidRPr="0067048A">
        <w:rPr>
          <w:rStyle w:val="Char3"/>
          <w:rtl/>
        </w:rPr>
        <w:t xml:space="preserve"> </w:t>
      </w:r>
      <w:r w:rsidRPr="0067048A">
        <w:rPr>
          <w:rStyle w:val="Char3"/>
          <w:rFonts w:hint="cs"/>
          <w:rtl/>
        </w:rPr>
        <w:t>ٱ</w:t>
      </w:r>
      <w:r w:rsidRPr="0067048A">
        <w:rPr>
          <w:rStyle w:val="Char3"/>
          <w:rFonts w:hint="eastAsia"/>
          <w:rtl/>
        </w:rPr>
        <w:t>غ</w:t>
      </w:r>
      <w:r w:rsidRPr="0067048A">
        <w:rPr>
          <w:rStyle w:val="Char3"/>
          <w:rFonts w:hint="cs"/>
          <w:rtl/>
        </w:rPr>
        <w:t>ۡ</w:t>
      </w:r>
      <w:r w:rsidRPr="0067048A">
        <w:rPr>
          <w:rStyle w:val="Char3"/>
          <w:rFonts w:hint="eastAsia"/>
          <w:rtl/>
        </w:rPr>
        <w:t>فِر</w:t>
      </w:r>
      <w:r w:rsidRPr="0067048A">
        <w:rPr>
          <w:rStyle w:val="Char3"/>
          <w:rFonts w:hint="cs"/>
          <w:rtl/>
        </w:rPr>
        <w:t>ۡ</w:t>
      </w:r>
      <w:r w:rsidRPr="0067048A">
        <w:rPr>
          <w:rStyle w:val="Char3"/>
          <w:rtl/>
        </w:rPr>
        <w:t xml:space="preserve"> </w:t>
      </w:r>
      <w:r w:rsidRPr="0067048A">
        <w:rPr>
          <w:rStyle w:val="Char3"/>
          <w:rFonts w:hint="eastAsia"/>
          <w:rtl/>
        </w:rPr>
        <w:t>لِي</w:t>
      </w:r>
      <w:r w:rsidRPr="0067048A">
        <w:rPr>
          <w:rStyle w:val="Char3"/>
          <w:rtl/>
        </w:rPr>
        <w:t xml:space="preserve"> </w:t>
      </w:r>
      <w:r w:rsidRPr="0067048A">
        <w:rPr>
          <w:rStyle w:val="Char3"/>
          <w:rFonts w:hint="eastAsia"/>
          <w:rtl/>
        </w:rPr>
        <w:t>وَلِوَ</w:t>
      </w:r>
      <w:r w:rsidRPr="0067048A">
        <w:rPr>
          <w:rStyle w:val="Char3"/>
          <w:rFonts w:hint="cs"/>
          <w:rtl/>
        </w:rPr>
        <w:t>ٰ</w:t>
      </w:r>
      <w:r w:rsidRPr="0067048A">
        <w:rPr>
          <w:rStyle w:val="Char3"/>
          <w:rFonts w:hint="eastAsia"/>
          <w:rtl/>
        </w:rPr>
        <w:t>لِدَيَّ</w:t>
      </w:r>
      <w:r w:rsidRPr="0067048A">
        <w:rPr>
          <w:rStyle w:val="Char3"/>
          <w:rtl/>
        </w:rPr>
        <w:t xml:space="preserve"> </w:t>
      </w:r>
      <w:r w:rsidRPr="0067048A">
        <w:rPr>
          <w:rStyle w:val="Char3"/>
          <w:rFonts w:hint="eastAsia"/>
          <w:rtl/>
        </w:rPr>
        <w:t>وَلِمَن</w:t>
      </w:r>
      <w:r w:rsidRPr="0067048A">
        <w:rPr>
          <w:rStyle w:val="Char3"/>
          <w:rtl/>
        </w:rPr>
        <w:t xml:space="preserve"> </w:t>
      </w:r>
      <w:r w:rsidRPr="0067048A">
        <w:rPr>
          <w:rStyle w:val="Char3"/>
          <w:rFonts w:hint="eastAsia"/>
          <w:rtl/>
        </w:rPr>
        <w:t>دَخَلَ</w:t>
      </w:r>
      <w:r w:rsidRPr="0067048A">
        <w:rPr>
          <w:rStyle w:val="Char3"/>
          <w:rtl/>
        </w:rPr>
        <w:t xml:space="preserve"> </w:t>
      </w:r>
      <w:r w:rsidRPr="0067048A">
        <w:rPr>
          <w:rStyle w:val="Char3"/>
          <w:rFonts w:hint="eastAsia"/>
          <w:rtl/>
        </w:rPr>
        <w:t>بَي</w:t>
      </w:r>
      <w:r w:rsidRPr="0067048A">
        <w:rPr>
          <w:rStyle w:val="Char3"/>
          <w:rFonts w:hint="cs"/>
          <w:rtl/>
        </w:rPr>
        <w:t>ۡ</w:t>
      </w:r>
      <w:r w:rsidRPr="0067048A">
        <w:rPr>
          <w:rStyle w:val="Char3"/>
          <w:rFonts w:hint="eastAsia"/>
          <w:rtl/>
        </w:rPr>
        <w:t>تِيَ</w:t>
      </w:r>
      <w:r w:rsidRPr="0067048A">
        <w:rPr>
          <w:rStyle w:val="Char3"/>
          <w:rtl/>
        </w:rPr>
        <w:t xml:space="preserve"> </w:t>
      </w:r>
      <w:r w:rsidRPr="0067048A">
        <w:rPr>
          <w:rStyle w:val="Char3"/>
          <w:rFonts w:hint="eastAsia"/>
          <w:rtl/>
        </w:rPr>
        <w:t>مُؤ</w:t>
      </w:r>
      <w:r w:rsidRPr="0067048A">
        <w:rPr>
          <w:rStyle w:val="Char3"/>
          <w:rFonts w:hint="cs"/>
          <w:rtl/>
        </w:rPr>
        <w:t>ۡ</w:t>
      </w:r>
      <w:r w:rsidRPr="0067048A">
        <w:rPr>
          <w:rStyle w:val="Char3"/>
          <w:rFonts w:hint="eastAsia"/>
          <w:rtl/>
        </w:rPr>
        <w:t>مِن</w:t>
      </w:r>
      <w:r w:rsidRPr="0067048A">
        <w:rPr>
          <w:rStyle w:val="Char3"/>
          <w:rFonts w:hint="cs"/>
          <w:rtl/>
        </w:rPr>
        <w:t>ٗ</w:t>
      </w:r>
      <w:r w:rsidRPr="0067048A">
        <w:rPr>
          <w:rStyle w:val="Char3"/>
          <w:rFonts w:hint="eastAsia"/>
          <w:rtl/>
        </w:rPr>
        <w:t>ا</w:t>
      </w:r>
      <w:r w:rsidRPr="0067048A">
        <w:rPr>
          <w:rStyle w:val="Char3"/>
          <w:rtl/>
        </w:rPr>
        <w:t xml:space="preserve"> </w:t>
      </w:r>
      <w:r w:rsidRPr="0067048A">
        <w:rPr>
          <w:rStyle w:val="Char3"/>
          <w:rFonts w:hint="eastAsia"/>
          <w:rtl/>
        </w:rPr>
        <w:t>وَلِل</w:t>
      </w:r>
      <w:r w:rsidRPr="0067048A">
        <w:rPr>
          <w:rStyle w:val="Char3"/>
          <w:rFonts w:hint="cs"/>
          <w:rtl/>
        </w:rPr>
        <w:t>ۡ</w:t>
      </w:r>
      <w:r w:rsidRPr="0067048A">
        <w:rPr>
          <w:rStyle w:val="Char3"/>
          <w:rFonts w:hint="eastAsia"/>
          <w:rtl/>
        </w:rPr>
        <w:t>مُؤ</w:t>
      </w:r>
      <w:r w:rsidRPr="0067048A">
        <w:rPr>
          <w:rStyle w:val="Char3"/>
          <w:rFonts w:hint="cs"/>
          <w:rtl/>
        </w:rPr>
        <w:t>ۡ</w:t>
      </w:r>
      <w:r w:rsidRPr="0067048A">
        <w:rPr>
          <w:rStyle w:val="Char3"/>
          <w:rFonts w:hint="eastAsia"/>
          <w:rtl/>
        </w:rPr>
        <w:t>مِنِينَ</w:t>
      </w:r>
      <w:r w:rsidRPr="0067048A">
        <w:rPr>
          <w:rStyle w:val="Char3"/>
          <w:rtl/>
        </w:rPr>
        <w:t xml:space="preserve"> </w:t>
      </w:r>
      <w:r w:rsidRPr="0067048A">
        <w:rPr>
          <w:rStyle w:val="Char3"/>
          <w:rFonts w:hint="eastAsia"/>
          <w:rtl/>
        </w:rPr>
        <w:t>وَ</w:t>
      </w:r>
      <w:r w:rsidRPr="0067048A">
        <w:rPr>
          <w:rStyle w:val="Char3"/>
          <w:rFonts w:hint="cs"/>
          <w:rtl/>
        </w:rPr>
        <w:t>ٱ</w:t>
      </w:r>
      <w:r w:rsidRPr="0067048A">
        <w:rPr>
          <w:rStyle w:val="Char3"/>
          <w:rFonts w:hint="eastAsia"/>
          <w:rtl/>
        </w:rPr>
        <w:t>ل</w:t>
      </w:r>
      <w:r w:rsidRPr="0067048A">
        <w:rPr>
          <w:rStyle w:val="Char3"/>
          <w:rFonts w:hint="cs"/>
          <w:rtl/>
        </w:rPr>
        <w:t>ۡ</w:t>
      </w:r>
      <w:r w:rsidRPr="0067048A">
        <w:rPr>
          <w:rStyle w:val="Char3"/>
          <w:rFonts w:hint="eastAsia"/>
          <w:rtl/>
        </w:rPr>
        <w:t>مُؤ</w:t>
      </w:r>
      <w:r w:rsidRPr="0067048A">
        <w:rPr>
          <w:rStyle w:val="Char3"/>
          <w:rFonts w:hint="cs"/>
          <w:rtl/>
        </w:rPr>
        <w:t>ۡ</w:t>
      </w:r>
      <w:r w:rsidRPr="0067048A">
        <w:rPr>
          <w:rStyle w:val="Char3"/>
          <w:rFonts w:hint="eastAsia"/>
          <w:rtl/>
        </w:rPr>
        <w:t>مِنَ</w:t>
      </w:r>
      <w:r w:rsidRPr="0067048A">
        <w:rPr>
          <w:rStyle w:val="Char3"/>
          <w:rFonts w:hint="cs"/>
          <w:rtl/>
        </w:rPr>
        <w:t>ٰ</w:t>
      </w:r>
      <w:r w:rsidRPr="0067048A">
        <w:rPr>
          <w:rStyle w:val="Char3"/>
          <w:rFonts w:hint="eastAsia"/>
          <w:rtl/>
        </w:rPr>
        <w:t>تِ</w:t>
      </w:r>
      <w:r w:rsidRPr="00995B26">
        <w:rPr>
          <w:rFonts w:cs="Traditional Arabic"/>
          <w:rtl/>
          <w:lang w:bidi="fa-IR"/>
        </w:rPr>
        <w:t>﴾</w:t>
      </w:r>
      <w:r w:rsidR="005C664D" w:rsidRPr="003F3B94">
        <w:rPr>
          <w:rFonts w:ascii="Abo-thar" w:hAnsi="Abo-thar"/>
          <w:sz w:val="28"/>
          <w:rtl/>
          <w:lang w:bidi="ar-SY"/>
        </w:rPr>
        <w:t xml:space="preserve"> </w:t>
      </w:r>
      <w:r w:rsidR="005C664D" w:rsidRPr="003108CB">
        <w:rPr>
          <w:rStyle w:val="Char2"/>
          <w:rtl/>
        </w:rPr>
        <w:t>[نوح</w:t>
      </w:r>
      <w:r w:rsidRPr="003108CB">
        <w:rPr>
          <w:rStyle w:val="Char2"/>
          <w:rFonts w:hint="cs"/>
          <w:rtl/>
        </w:rPr>
        <w:t xml:space="preserve">: </w:t>
      </w:r>
      <w:r w:rsidR="005C664D" w:rsidRPr="003108CB">
        <w:rPr>
          <w:rStyle w:val="Char2"/>
          <w:rtl/>
        </w:rPr>
        <w:t>28]</w:t>
      </w:r>
      <w:r w:rsidR="00217AB4" w:rsidRPr="003F3B94">
        <w:rPr>
          <w:rFonts w:ascii="Abo-thar" w:hAnsi="Abo-thar" w:hint="cs"/>
          <w:sz w:val="28"/>
          <w:rtl/>
          <w:lang w:bidi="ar-SY"/>
        </w:rPr>
        <w:t>.</w:t>
      </w:r>
      <w:r w:rsidR="005C664D" w:rsidRPr="003F3B94">
        <w:rPr>
          <w:rFonts w:ascii="Abo-thar" w:hAnsi="Abo-thar" w:hint="cs"/>
          <w:sz w:val="28"/>
          <w:rtl/>
          <w:lang w:bidi="ar-SY"/>
        </w:rPr>
        <w:t xml:space="preserve"> </w:t>
      </w:r>
    </w:p>
    <w:p w:rsidR="005C664D" w:rsidRPr="000913E5" w:rsidRDefault="005C664D" w:rsidP="003F3B94">
      <w:pPr>
        <w:pStyle w:val="a0"/>
        <w:rPr>
          <w:rFonts w:hint="cs"/>
          <w:rtl/>
          <w:lang w:bidi="ar-SY"/>
        </w:rPr>
      </w:pPr>
      <w:r w:rsidRPr="000913E5">
        <w:rPr>
          <w:rFonts w:ascii="Abo-thar" w:hAnsi="Abo-thar" w:hint="cs"/>
          <w:sz w:val="28"/>
          <w:rtl/>
          <w:lang w:bidi="ar-SY"/>
        </w:rPr>
        <w:t>ففي دين الإسلام لا تُعطى أيُّ ميزة على الإطلاق لإنسانٍ لمجرد كونه ابناً لنبيٍّ أو من أحفاد نبيٍّ أو نشأ في بيت نبيٍّ</w:t>
      </w:r>
      <w:r w:rsidR="00217AB4" w:rsidRPr="000913E5">
        <w:rPr>
          <w:rFonts w:ascii="Abo-thar" w:hAnsi="Abo-thar" w:hint="cs"/>
          <w:sz w:val="28"/>
          <w:rtl/>
          <w:lang w:bidi="ar-SY"/>
        </w:rPr>
        <w:t>،</w:t>
      </w:r>
      <w:r w:rsidRPr="000913E5">
        <w:rPr>
          <w:rFonts w:ascii="Abo-thar" w:hAnsi="Abo-thar" w:hint="cs"/>
          <w:sz w:val="28"/>
          <w:rtl/>
          <w:lang w:bidi="ar-SY"/>
        </w:rPr>
        <w:t xml:space="preserve"> بل الذي يميز الإنسان هو إيمانه وعمله الصالح</w:t>
      </w:r>
      <w:r w:rsidR="00217AB4" w:rsidRPr="000913E5">
        <w:rPr>
          <w:rFonts w:ascii="Abo-thar" w:hAnsi="Abo-thar" w:hint="cs"/>
          <w:sz w:val="28"/>
          <w:rtl/>
          <w:lang w:bidi="ar-SY"/>
        </w:rPr>
        <w:t>،</w:t>
      </w:r>
      <w:r w:rsidRPr="000913E5">
        <w:rPr>
          <w:rFonts w:ascii="Abo-thar" w:hAnsi="Abo-thar" w:hint="cs"/>
          <w:sz w:val="28"/>
          <w:rtl/>
          <w:lang w:bidi="ar-SY"/>
        </w:rPr>
        <w:t xml:space="preserve"> كما قال تعالى في سورة آل عمران</w:t>
      </w:r>
      <w:r w:rsidR="00217AB4" w:rsidRPr="000913E5">
        <w:rPr>
          <w:rFonts w:ascii="Abo-thar" w:hAnsi="Abo-thar" w:hint="cs"/>
          <w:sz w:val="28"/>
          <w:rtl/>
          <w:lang w:bidi="ar-SY"/>
        </w:rPr>
        <w:t>:</w:t>
      </w:r>
    </w:p>
    <w:p w:rsidR="005C664D" w:rsidRPr="003F3B94" w:rsidRDefault="00685363" w:rsidP="0067048A">
      <w:pPr>
        <w:pStyle w:val="a0"/>
        <w:ind w:left="284" w:firstLine="0"/>
        <w:rPr>
          <w:rFonts w:hint="cs"/>
          <w:rtl/>
          <w:lang w:bidi="ar-SY"/>
        </w:rPr>
      </w:pPr>
      <w:r w:rsidRPr="00995B26">
        <w:rPr>
          <w:rFonts w:cs="Traditional Arabic"/>
          <w:rtl/>
          <w:lang w:bidi="fa-IR"/>
        </w:rPr>
        <w:t>﴿</w:t>
      </w:r>
      <w:r w:rsidRPr="0067048A">
        <w:rPr>
          <w:rStyle w:val="Char3"/>
          <w:rFonts w:hint="eastAsia"/>
          <w:rtl/>
        </w:rPr>
        <w:t>إِنَّ</w:t>
      </w:r>
      <w:r w:rsidRPr="0067048A">
        <w:rPr>
          <w:rStyle w:val="Char3"/>
          <w:rtl/>
        </w:rPr>
        <w:t xml:space="preserve"> </w:t>
      </w:r>
      <w:r w:rsidRPr="0067048A">
        <w:rPr>
          <w:rStyle w:val="Char3"/>
          <w:rFonts w:hint="eastAsia"/>
          <w:rtl/>
        </w:rPr>
        <w:t>أَو</w:t>
      </w:r>
      <w:r w:rsidRPr="0067048A">
        <w:rPr>
          <w:rStyle w:val="Char3"/>
          <w:rFonts w:hint="cs"/>
          <w:rtl/>
        </w:rPr>
        <w:t>ۡ</w:t>
      </w:r>
      <w:r w:rsidRPr="0067048A">
        <w:rPr>
          <w:rStyle w:val="Char3"/>
          <w:rFonts w:hint="eastAsia"/>
          <w:rtl/>
        </w:rPr>
        <w:t>لَى</w:t>
      </w:r>
      <w:r w:rsidRPr="0067048A">
        <w:rPr>
          <w:rStyle w:val="Char3"/>
          <w:rtl/>
        </w:rPr>
        <w:t xml:space="preserve"> </w:t>
      </w:r>
      <w:r w:rsidRPr="0067048A">
        <w:rPr>
          <w:rStyle w:val="Char3"/>
          <w:rFonts w:hint="cs"/>
          <w:rtl/>
        </w:rPr>
        <w:t>ٱ</w:t>
      </w:r>
      <w:r w:rsidRPr="0067048A">
        <w:rPr>
          <w:rStyle w:val="Char3"/>
          <w:rFonts w:hint="eastAsia"/>
          <w:rtl/>
        </w:rPr>
        <w:t>لنَّاسِ</w:t>
      </w:r>
      <w:r w:rsidRPr="0067048A">
        <w:rPr>
          <w:rStyle w:val="Char3"/>
          <w:rtl/>
        </w:rPr>
        <w:t xml:space="preserve"> </w:t>
      </w:r>
      <w:r w:rsidRPr="0067048A">
        <w:rPr>
          <w:rStyle w:val="Char3"/>
          <w:rFonts w:hint="eastAsia"/>
          <w:rtl/>
        </w:rPr>
        <w:t>بِإِب</w:t>
      </w:r>
      <w:r w:rsidRPr="0067048A">
        <w:rPr>
          <w:rStyle w:val="Char3"/>
          <w:rFonts w:hint="cs"/>
          <w:rtl/>
        </w:rPr>
        <w:t>ۡ</w:t>
      </w:r>
      <w:r w:rsidRPr="0067048A">
        <w:rPr>
          <w:rStyle w:val="Char3"/>
          <w:rFonts w:hint="eastAsia"/>
          <w:rtl/>
        </w:rPr>
        <w:t>رَ</w:t>
      </w:r>
      <w:r w:rsidRPr="0067048A">
        <w:rPr>
          <w:rStyle w:val="Char3"/>
          <w:rFonts w:hint="cs"/>
          <w:rtl/>
        </w:rPr>
        <w:t>ٰ</w:t>
      </w:r>
      <w:r w:rsidRPr="0067048A">
        <w:rPr>
          <w:rStyle w:val="Char3"/>
          <w:rFonts w:hint="eastAsia"/>
          <w:rtl/>
        </w:rPr>
        <w:t>هِيمَ</w:t>
      </w:r>
      <w:r w:rsidRPr="0067048A">
        <w:rPr>
          <w:rStyle w:val="Char3"/>
          <w:rtl/>
        </w:rPr>
        <w:t xml:space="preserve"> </w:t>
      </w:r>
      <w:r w:rsidRPr="0067048A">
        <w:rPr>
          <w:rStyle w:val="Char3"/>
          <w:rFonts w:hint="eastAsia"/>
          <w:rtl/>
        </w:rPr>
        <w:t>لَلَّذِينَ</w:t>
      </w:r>
      <w:r w:rsidRPr="0067048A">
        <w:rPr>
          <w:rStyle w:val="Char3"/>
          <w:rtl/>
        </w:rPr>
        <w:t xml:space="preserve"> </w:t>
      </w:r>
      <w:r w:rsidRPr="0067048A">
        <w:rPr>
          <w:rStyle w:val="Char3"/>
          <w:rFonts w:hint="cs"/>
          <w:rtl/>
        </w:rPr>
        <w:t>ٱ</w:t>
      </w:r>
      <w:r w:rsidRPr="0067048A">
        <w:rPr>
          <w:rStyle w:val="Char3"/>
          <w:rFonts w:hint="eastAsia"/>
          <w:rtl/>
        </w:rPr>
        <w:t>تَّبَعُوهُ</w:t>
      </w:r>
      <w:r w:rsidRPr="0067048A">
        <w:rPr>
          <w:rStyle w:val="Char3"/>
          <w:rtl/>
        </w:rPr>
        <w:t xml:space="preserve"> </w:t>
      </w:r>
      <w:r w:rsidRPr="0067048A">
        <w:rPr>
          <w:rStyle w:val="Char3"/>
          <w:rFonts w:hint="eastAsia"/>
          <w:rtl/>
        </w:rPr>
        <w:t>وَهَ</w:t>
      </w:r>
      <w:r w:rsidRPr="0067048A">
        <w:rPr>
          <w:rStyle w:val="Char3"/>
          <w:rFonts w:hint="cs"/>
          <w:rtl/>
        </w:rPr>
        <w:t>ٰ</w:t>
      </w:r>
      <w:r w:rsidRPr="0067048A">
        <w:rPr>
          <w:rStyle w:val="Char3"/>
          <w:rFonts w:hint="eastAsia"/>
          <w:rtl/>
        </w:rPr>
        <w:t>ذَا</w:t>
      </w:r>
      <w:r w:rsidRPr="0067048A">
        <w:rPr>
          <w:rStyle w:val="Char3"/>
          <w:rtl/>
        </w:rPr>
        <w:t xml:space="preserve"> </w:t>
      </w:r>
      <w:r w:rsidRPr="0067048A">
        <w:rPr>
          <w:rStyle w:val="Char3"/>
          <w:rFonts w:hint="cs"/>
          <w:rtl/>
        </w:rPr>
        <w:t>ٱ</w:t>
      </w:r>
      <w:r w:rsidRPr="0067048A">
        <w:rPr>
          <w:rStyle w:val="Char3"/>
          <w:rFonts w:hint="eastAsia"/>
          <w:rtl/>
        </w:rPr>
        <w:t>لنَّبِيُّ</w:t>
      </w:r>
      <w:r w:rsidRPr="0067048A">
        <w:rPr>
          <w:rStyle w:val="Char3"/>
          <w:rtl/>
        </w:rPr>
        <w:t xml:space="preserve"> </w:t>
      </w:r>
      <w:r w:rsidRPr="0067048A">
        <w:rPr>
          <w:rStyle w:val="Char3"/>
          <w:rFonts w:hint="eastAsia"/>
          <w:rtl/>
        </w:rPr>
        <w:t>وَ</w:t>
      </w:r>
      <w:r w:rsidRPr="0067048A">
        <w:rPr>
          <w:rStyle w:val="Char3"/>
          <w:rFonts w:hint="cs"/>
          <w:rtl/>
        </w:rPr>
        <w:t>ٱ</w:t>
      </w:r>
      <w:r w:rsidRPr="0067048A">
        <w:rPr>
          <w:rStyle w:val="Char3"/>
          <w:rFonts w:hint="eastAsia"/>
          <w:rtl/>
        </w:rPr>
        <w:t>لَّذِينَ</w:t>
      </w:r>
      <w:r w:rsidRPr="0067048A">
        <w:rPr>
          <w:rStyle w:val="Char3"/>
          <w:rtl/>
        </w:rPr>
        <w:t xml:space="preserve"> </w:t>
      </w:r>
      <w:r w:rsidRPr="0067048A">
        <w:rPr>
          <w:rStyle w:val="Char3"/>
          <w:rFonts w:hint="eastAsia"/>
          <w:rtl/>
        </w:rPr>
        <w:t>ءَامَنُواْ</w:t>
      </w:r>
      <w:r w:rsidRPr="0067048A">
        <w:rPr>
          <w:rStyle w:val="Char3"/>
          <w:rFonts w:hint="cs"/>
          <w:rtl/>
        </w:rPr>
        <w:t>ۗ</w:t>
      </w:r>
      <w:r w:rsidRPr="0067048A">
        <w:rPr>
          <w:rStyle w:val="Char3"/>
          <w:rtl/>
        </w:rPr>
        <w:t xml:space="preserve"> </w:t>
      </w:r>
      <w:r w:rsidRPr="0067048A">
        <w:rPr>
          <w:rStyle w:val="Char3"/>
          <w:rFonts w:hint="eastAsia"/>
          <w:rtl/>
        </w:rPr>
        <w:t>وَ</w:t>
      </w:r>
      <w:r w:rsidRPr="0067048A">
        <w:rPr>
          <w:rStyle w:val="Char3"/>
          <w:rFonts w:hint="cs"/>
          <w:rtl/>
        </w:rPr>
        <w:t>ٱ</w:t>
      </w:r>
      <w:r w:rsidRPr="0067048A">
        <w:rPr>
          <w:rStyle w:val="Char3"/>
          <w:rFonts w:hint="eastAsia"/>
          <w:rtl/>
        </w:rPr>
        <w:t>للَّهُ</w:t>
      </w:r>
      <w:r w:rsidRPr="0067048A">
        <w:rPr>
          <w:rStyle w:val="Char3"/>
          <w:rtl/>
        </w:rPr>
        <w:t xml:space="preserve"> </w:t>
      </w:r>
      <w:r w:rsidRPr="0067048A">
        <w:rPr>
          <w:rStyle w:val="Char3"/>
          <w:rFonts w:hint="eastAsia"/>
          <w:rtl/>
        </w:rPr>
        <w:t>وَلِيُّ</w:t>
      </w:r>
      <w:r w:rsidRPr="0067048A">
        <w:rPr>
          <w:rStyle w:val="Char3"/>
          <w:rtl/>
        </w:rPr>
        <w:t xml:space="preserve"> </w:t>
      </w:r>
      <w:r w:rsidRPr="0067048A">
        <w:rPr>
          <w:rStyle w:val="Char3"/>
          <w:rFonts w:hint="cs"/>
          <w:rtl/>
        </w:rPr>
        <w:t>ٱ</w:t>
      </w:r>
      <w:r w:rsidRPr="0067048A">
        <w:rPr>
          <w:rStyle w:val="Char3"/>
          <w:rFonts w:hint="eastAsia"/>
          <w:rtl/>
        </w:rPr>
        <w:t>ل</w:t>
      </w:r>
      <w:r w:rsidRPr="0067048A">
        <w:rPr>
          <w:rStyle w:val="Char3"/>
          <w:rFonts w:hint="cs"/>
          <w:rtl/>
        </w:rPr>
        <w:t>ۡ</w:t>
      </w:r>
      <w:r w:rsidRPr="0067048A">
        <w:rPr>
          <w:rStyle w:val="Char3"/>
          <w:rFonts w:hint="eastAsia"/>
          <w:rtl/>
        </w:rPr>
        <w:t>مُؤ</w:t>
      </w:r>
      <w:r w:rsidRPr="0067048A">
        <w:rPr>
          <w:rStyle w:val="Char3"/>
          <w:rFonts w:hint="cs"/>
          <w:rtl/>
        </w:rPr>
        <w:t>ۡ</w:t>
      </w:r>
      <w:r w:rsidRPr="0067048A">
        <w:rPr>
          <w:rStyle w:val="Char3"/>
          <w:rFonts w:hint="eastAsia"/>
          <w:rtl/>
        </w:rPr>
        <w:t>مِنِينَ</w:t>
      </w:r>
      <w:r w:rsidRPr="0067048A">
        <w:rPr>
          <w:rStyle w:val="Char3"/>
          <w:rtl/>
        </w:rPr>
        <w:t xml:space="preserve"> </w:t>
      </w:r>
      <w:r w:rsidRPr="0067048A">
        <w:rPr>
          <w:rStyle w:val="Char3"/>
          <w:rFonts w:hint="cs"/>
          <w:rtl/>
        </w:rPr>
        <w:t>٦٨</w:t>
      </w:r>
      <w:r w:rsidRPr="00995B26">
        <w:rPr>
          <w:rFonts w:cs="Traditional Arabic"/>
          <w:rtl/>
          <w:lang w:bidi="fa-IR"/>
        </w:rPr>
        <w:t>﴾</w:t>
      </w:r>
      <w:r w:rsidR="005C664D" w:rsidRPr="003F3B94">
        <w:rPr>
          <w:rFonts w:ascii="Abo-thar" w:hAnsi="Abo-thar" w:hint="cs"/>
          <w:sz w:val="28"/>
          <w:rtl/>
          <w:lang w:bidi="ar-SY"/>
        </w:rPr>
        <w:t xml:space="preserve"> </w:t>
      </w:r>
      <w:r w:rsidR="005C664D" w:rsidRPr="003108CB">
        <w:rPr>
          <w:rStyle w:val="Char2"/>
          <w:rFonts w:hint="cs"/>
          <w:rtl/>
        </w:rPr>
        <w:t>[آل عمران</w:t>
      </w:r>
      <w:r w:rsidRPr="003108CB">
        <w:rPr>
          <w:rStyle w:val="Char2"/>
          <w:rFonts w:hint="cs"/>
          <w:rtl/>
        </w:rPr>
        <w:t xml:space="preserve">: </w:t>
      </w:r>
      <w:r w:rsidR="005C664D" w:rsidRPr="003108CB">
        <w:rPr>
          <w:rStyle w:val="Char2"/>
          <w:rFonts w:hint="cs"/>
          <w:rtl/>
        </w:rPr>
        <w:t>68]</w:t>
      </w:r>
      <w:r w:rsidR="00217AB4" w:rsidRPr="003F3B94">
        <w:rPr>
          <w:rFonts w:ascii="Abo-thar" w:hAnsi="Abo-thar" w:hint="cs"/>
          <w:sz w:val="28"/>
          <w:rtl/>
          <w:lang w:bidi="ar-SY"/>
        </w:rPr>
        <w:t>.</w:t>
      </w:r>
    </w:p>
    <w:p w:rsidR="005C664D" w:rsidRPr="003F3B94" w:rsidRDefault="005C664D" w:rsidP="003F3B94">
      <w:pPr>
        <w:pStyle w:val="a0"/>
        <w:rPr>
          <w:rFonts w:hint="cs"/>
          <w:rtl/>
          <w:lang w:bidi="ar-SY"/>
        </w:rPr>
      </w:pPr>
      <w:r w:rsidRPr="003F3B94">
        <w:rPr>
          <w:rFonts w:ascii="Abo-thar" w:hAnsi="Abo-thar" w:hint="cs"/>
          <w:sz w:val="28"/>
          <w:rtl/>
          <w:lang w:bidi="ar-SY"/>
        </w:rPr>
        <w:t>ففي هذه الآية الكريمة يلوم الله تعالى بكل صراحة من يفتخرون بأنهم من ذرية إبراهيم ويقول لهم</w:t>
      </w:r>
      <w:r w:rsidR="00217AB4" w:rsidRPr="003F3B94">
        <w:rPr>
          <w:rFonts w:ascii="Abo-thar" w:hAnsi="Abo-thar" w:hint="cs"/>
          <w:sz w:val="28"/>
          <w:rtl/>
          <w:lang w:bidi="ar-SY"/>
        </w:rPr>
        <w:t>:</w:t>
      </w:r>
      <w:r w:rsidRPr="003F3B94">
        <w:rPr>
          <w:rFonts w:ascii="Abo-thar" w:hAnsi="Abo-thar" w:hint="cs"/>
          <w:sz w:val="28"/>
          <w:rtl/>
          <w:lang w:bidi="ar-SY"/>
        </w:rPr>
        <w:t xml:space="preserve"> إن أولى الناس بإبراهيم هم الذين يتبعونه في دينه ويؤمنون به وبهذا النبيّ الخاتم وهذا خطاب لليهود وبني إسرائيل الذين كانوا يعدون أنفسهم من أبناء إبراهيم ويفتخرون بذلك</w:t>
      </w:r>
      <w:r w:rsidR="00217AB4" w:rsidRPr="003F3B94">
        <w:rPr>
          <w:rFonts w:ascii="Abo-thar" w:hAnsi="Abo-thar" w:hint="cs"/>
          <w:sz w:val="28"/>
          <w:rtl/>
          <w:lang w:bidi="ar-SY"/>
        </w:rPr>
        <w:t>!</w:t>
      </w:r>
      <w:r w:rsidRPr="003F3B94">
        <w:rPr>
          <w:rFonts w:ascii="Abo-thar" w:hAnsi="Abo-thar" w:hint="cs"/>
          <w:sz w:val="28"/>
          <w:rtl/>
          <w:lang w:bidi="ar-SY"/>
        </w:rPr>
        <w:t xml:space="preserve"> </w:t>
      </w:r>
    </w:p>
    <w:p w:rsidR="005C664D" w:rsidRPr="00995B26" w:rsidRDefault="005C664D" w:rsidP="003F3B94">
      <w:pPr>
        <w:pStyle w:val="a0"/>
        <w:rPr>
          <w:rFonts w:hint="cs"/>
          <w:rtl/>
          <w:lang w:bidi="ar-SY"/>
        </w:rPr>
      </w:pPr>
      <w:r w:rsidRPr="003F3B94">
        <w:rPr>
          <w:rFonts w:ascii="Abo-thar" w:hAnsi="Abo-thar" w:hint="cs"/>
          <w:sz w:val="28"/>
          <w:rtl/>
          <w:lang w:bidi="ar-SY"/>
        </w:rPr>
        <w:t>وربما تمسك بعضهم بقوله تعالى</w:t>
      </w:r>
      <w:r w:rsidR="00217AB4" w:rsidRPr="003F3B94">
        <w:rPr>
          <w:rFonts w:ascii="Abo-thar" w:hAnsi="Abo-thar" w:hint="cs"/>
          <w:sz w:val="28"/>
          <w:rtl/>
          <w:lang w:bidi="ar-SY"/>
        </w:rPr>
        <w:t>:</w:t>
      </w:r>
      <w:r w:rsidR="00147857" w:rsidRPr="003F3B94">
        <w:rPr>
          <w:rFonts w:ascii="Abo-thar" w:hAnsi="Abo-thar" w:hint="cs"/>
          <w:sz w:val="28"/>
          <w:rtl/>
          <w:lang w:bidi="ar-SY"/>
        </w:rPr>
        <w:t xml:space="preserve"> </w:t>
      </w:r>
      <w:r w:rsidR="00685363" w:rsidRPr="00995B26">
        <w:rPr>
          <w:rFonts w:cs="Traditional Arabic" w:hint="cs"/>
          <w:rtl/>
          <w:lang w:bidi="fa-IR"/>
        </w:rPr>
        <w:t>﴿</w:t>
      </w:r>
      <w:r w:rsidR="00685363" w:rsidRPr="0067048A">
        <w:rPr>
          <w:rStyle w:val="Char3"/>
          <w:rFonts w:hint="eastAsia"/>
          <w:rtl/>
        </w:rPr>
        <w:t>إِنَّ</w:t>
      </w:r>
      <w:r w:rsidR="00685363" w:rsidRPr="0067048A">
        <w:rPr>
          <w:rStyle w:val="Char3"/>
          <w:rtl/>
        </w:rPr>
        <w:t xml:space="preserve"> </w:t>
      </w:r>
      <w:r w:rsidR="00685363" w:rsidRPr="0067048A">
        <w:rPr>
          <w:rStyle w:val="Char3"/>
          <w:rFonts w:hint="cs"/>
          <w:rtl/>
        </w:rPr>
        <w:t>ٱ</w:t>
      </w:r>
      <w:r w:rsidR="00685363" w:rsidRPr="0067048A">
        <w:rPr>
          <w:rStyle w:val="Char3"/>
          <w:rFonts w:hint="eastAsia"/>
          <w:rtl/>
        </w:rPr>
        <w:t>للَّهَ</w:t>
      </w:r>
      <w:r w:rsidR="00685363" w:rsidRPr="0067048A">
        <w:rPr>
          <w:rStyle w:val="Char3"/>
          <w:rtl/>
        </w:rPr>
        <w:t xml:space="preserve"> </w:t>
      </w:r>
      <w:r w:rsidR="00685363" w:rsidRPr="0067048A">
        <w:rPr>
          <w:rStyle w:val="Char3"/>
          <w:rFonts w:hint="cs"/>
          <w:rtl/>
        </w:rPr>
        <w:t>ٱ</w:t>
      </w:r>
      <w:r w:rsidR="00685363" w:rsidRPr="0067048A">
        <w:rPr>
          <w:rStyle w:val="Char3"/>
          <w:rFonts w:hint="eastAsia"/>
          <w:rtl/>
        </w:rPr>
        <w:t>ص</w:t>
      </w:r>
      <w:r w:rsidR="00685363" w:rsidRPr="0067048A">
        <w:rPr>
          <w:rStyle w:val="Char3"/>
          <w:rFonts w:hint="cs"/>
          <w:rtl/>
        </w:rPr>
        <w:t>ۡ</w:t>
      </w:r>
      <w:r w:rsidR="00685363" w:rsidRPr="0067048A">
        <w:rPr>
          <w:rStyle w:val="Char3"/>
          <w:rFonts w:hint="eastAsia"/>
          <w:rtl/>
        </w:rPr>
        <w:t>طَفَى</w:t>
      </w:r>
      <w:r w:rsidR="00685363" w:rsidRPr="0067048A">
        <w:rPr>
          <w:rStyle w:val="Char3"/>
          <w:rFonts w:hint="cs"/>
          <w:rtl/>
        </w:rPr>
        <w:t>ٰٓ</w:t>
      </w:r>
      <w:r w:rsidR="00685363" w:rsidRPr="0067048A">
        <w:rPr>
          <w:rStyle w:val="Char3"/>
          <w:rtl/>
        </w:rPr>
        <w:t xml:space="preserve"> </w:t>
      </w:r>
      <w:r w:rsidR="00685363" w:rsidRPr="0067048A">
        <w:rPr>
          <w:rStyle w:val="Char3"/>
          <w:rFonts w:hint="eastAsia"/>
          <w:rtl/>
        </w:rPr>
        <w:t>ءَادَمَ</w:t>
      </w:r>
      <w:r w:rsidR="00685363" w:rsidRPr="0067048A">
        <w:rPr>
          <w:rStyle w:val="Char3"/>
          <w:rtl/>
        </w:rPr>
        <w:t xml:space="preserve"> </w:t>
      </w:r>
      <w:r w:rsidR="00685363" w:rsidRPr="0067048A">
        <w:rPr>
          <w:rStyle w:val="Char3"/>
          <w:rFonts w:hint="eastAsia"/>
          <w:rtl/>
        </w:rPr>
        <w:t>وَنُوح</w:t>
      </w:r>
      <w:r w:rsidR="00685363" w:rsidRPr="0067048A">
        <w:rPr>
          <w:rStyle w:val="Char3"/>
          <w:rFonts w:hint="cs"/>
          <w:rtl/>
        </w:rPr>
        <w:t>ٗ</w:t>
      </w:r>
      <w:r w:rsidR="00685363" w:rsidRPr="0067048A">
        <w:rPr>
          <w:rStyle w:val="Char3"/>
          <w:rFonts w:hint="eastAsia"/>
          <w:rtl/>
        </w:rPr>
        <w:t>ا</w:t>
      </w:r>
      <w:r w:rsidR="00685363" w:rsidRPr="0067048A">
        <w:rPr>
          <w:rStyle w:val="Char3"/>
          <w:rtl/>
        </w:rPr>
        <w:t xml:space="preserve"> </w:t>
      </w:r>
      <w:r w:rsidR="00685363" w:rsidRPr="0067048A">
        <w:rPr>
          <w:rStyle w:val="Char3"/>
          <w:rFonts w:hint="eastAsia"/>
          <w:rtl/>
        </w:rPr>
        <w:t>وَءَالَ</w:t>
      </w:r>
      <w:r w:rsidR="00685363" w:rsidRPr="0067048A">
        <w:rPr>
          <w:rStyle w:val="Char3"/>
          <w:rtl/>
        </w:rPr>
        <w:t xml:space="preserve"> </w:t>
      </w:r>
      <w:r w:rsidR="00685363" w:rsidRPr="0067048A">
        <w:rPr>
          <w:rStyle w:val="Char3"/>
          <w:rFonts w:hint="eastAsia"/>
          <w:rtl/>
        </w:rPr>
        <w:t>إِب</w:t>
      </w:r>
      <w:r w:rsidR="00685363" w:rsidRPr="0067048A">
        <w:rPr>
          <w:rStyle w:val="Char3"/>
          <w:rFonts w:hint="cs"/>
          <w:rtl/>
        </w:rPr>
        <w:t>ۡ</w:t>
      </w:r>
      <w:r w:rsidR="00685363" w:rsidRPr="0067048A">
        <w:rPr>
          <w:rStyle w:val="Char3"/>
          <w:rFonts w:hint="eastAsia"/>
          <w:rtl/>
        </w:rPr>
        <w:t>رَ</w:t>
      </w:r>
      <w:r w:rsidR="00685363" w:rsidRPr="0067048A">
        <w:rPr>
          <w:rStyle w:val="Char3"/>
          <w:rFonts w:hint="cs"/>
          <w:rtl/>
        </w:rPr>
        <w:t>ٰ</w:t>
      </w:r>
      <w:r w:rsidR="00685363" w:rsidRPr="0067048A">
        <w:rPr>
          <w:rStyle w:val="Char3"/>
          <w:rFonts w:hint="eastAsia"/>
          <w:rtl/>
        </w:rPr>
        <w:t>هِيمَ</w:t>
      </w:r>
      <w:r w:rsidR="00685363" w:rsidRPr="0067048A">
        <w:rPr>
          <w:rStyle w:val="Char3"/>
          <w:rtl/>
        </w:rPr>
        <w:t xml:space="preserve"> </w:t>
      </w:r>
      <w:r w:rsidR="00685363" w:rsidRPr="0067048A">
        <w:rPr>
          <w:rStyle w:val="Char3"/>
          <w:rFonts w:hint="eastAsia"/>
          <w:rtl/>
        </w:rPr>
        <w:t>وَءَالَ</w:t>
      </w:r>
      <w:r w:rsidR="00685363" w:rsidRPr="0067048A">
        <w:rPr>
          <w:rStyle w:val="Char3"/>
          <w:rtl/>
        </w:rPr>
        <w:t xml:space="preserve"> </w:t>
      </w:r>
      <w:r w:rsidR="00685363" w:rsidRPr="0067048A">
        <w:rPr>
          <w:rStyle w:val="Char3"/>
          <w:rFonts w:hint="eastAsia"/>
          <w:rtl/>
        </w:rPr>
        <w:t>عِم</w:t>
      </w:r>
      <w:r w:rsidR="00685363" w:rsidRPr="0067048A">
        <w:rPr>
          <w:rStyle w:val="Char3"/>
          <w:rFonts w:hint="cs"/>
          <w:rtl/>
        </w:rPr>
        <w:t>ۡ</w:t>
      </w:r>
      <w:r w:rsidR="00685363" w:rsidRPr="0067048A">
        <w:rPr>
          <w:rStyle w:val="Char3"/>
          <w:rFonts w:hint="eastAsia"/>
          <w:rtl/>
        </w:rPr>
        <w:t>رَ</w:t>
      </w:r>
      <w:r w:rsidR="00685363" w:rsidRPr="0067048A">
        <w:rPr>
          <w:rStyle w:val="Char3"/>
          <w:rFonts w:hint="cs"/>
          <w:rtl/>
        </w:rPr>
        <w:t>ٰ</w:t>
      </w:r>
      <w:r w:rsidR="00685363" w:rsidRPr="0067048A">
        <w:rPr>
          <w:rStyle w:val="Char3"/>
          <w:rFonts w:hint="eastAsia"/>
          <w:rtl/>
        </w:rPr>
        <w:t>نَ</w:t>
      </w:r>
      <w:r w:rsidR="00685363" w:rsidRPr="0067048A">
        <w:rPr>
          <w:rStyle w:val="Char3"/>
          <w:rtl/>
        </w:rPr>
        <w:t xml:space="preserve"> </w:t>
      </w:r>
      <w:r w:rsidR="00685363" w:rsidRPr="0067048A">
        <w:rPr>
          <w:rStyle w:val="Char3"/>
          <w:rFonts w:hint="eastAsia"/>
          <w:rtl/>
        </w:rPr>
        <w:t>عَلَى</w:t>
      </w:r>
      <w:r w:rsidR="00685363" w:rsidRPr="0067048A">
        <w:rPr>
          <w:rStyle w:val="Char3"/>
          <w:rtl/>
        </w:rPr>
        <w:t xml:space="preserve"> </w:t>
      </w:r>
      <w:r w:rsidR="00685363" w:rsidRPr="0067048A">
        <w:rPr>
          <w:rStyle w:val="Char3"/>
          <w:rFonts w:hint="cs"/>
          <w:rtl/>
        </w:rPr>
        <w:t>ٱ</w:t>
      </w:r>
      <w:r w:rsidR="00685363" w:rsidRPr="0067048A">
        <w:rPr>
          <w:rStyle w:val="Char3"/>
          <w:rFonts w:hint="eastAsia"/>
          <w:rtl/>
        </w:rPr>
        <w:t>ل</w:t>
      </w:r>
      <w:r w:rsidR="00685363" w:rsidRPr="0067048A">
        <w:rPr>
          <w:rStyle w:val="Char3"/>
          <w:rFonts w:hint="cs"/>
          <w:rtl/>
        </w:rPr>
        <w:t>ۡ</w:t>
      </w:r>
      <w:r w:rsidR="00685363" w:rsidRPr="0067048A">
        <w:rPr>
          <w:rStyle w:val="Char3"/>
          <w:rFonts w:hint="eastAsia"/>
          <w:rtl/>
        </w:rPr>
        <w:t>عَ</w:t>
      </w:r>
      <w:r w:rsidR="00685363" w:rsidRPr="0067048A">
        <w:rPr>
          <w:rStyle w:val="Char3"/>
          <w:rFonts w:hint="cs"/>
          <w:rtl/>
        </w:rPr>
        <w:t>ٰ</w:t>
      </w:r>
      <w:r w:rsidR="00685363" w:rsidRPr="0067048A">
        <w:rPr>
          <w:rStyle w:val="Char3"/>
          <w:rFonts w:hint="eastAsia"/>
          <w:rtl/>
        </w:rPr>
        <w:t>لَمِينَ</w:t>
      </w:r>
      <w:r w:rsidR="00685363" w:rsidRPr="0067048A">
        <w:rPr>
          <w:rStyle w:val="Char3"/>
          <w:rtl/>
        </w:rPr>
        <w:t xml:space="preserve"> </w:t>
      </w:r>
      <w:r w:rsidR="00685363" w:rsidRPr="0067048A">
        <w:rPr>
          <w:rStyle w:val="Char3"/>
          <w:rFonts w:hint="cs"/>
          <w:rtl/>
        </w:rPr>
        <w:t>٣٣</w:t>
      </w:r>
      <w:r w:rsidR="00685363" w:rsidRPr="0067048A">
        <w:rPr>
          <w:rStyle w:val="Char3"/>
          <w:rtl/>
        </w:rPr>
        <w:t xml:space="preserve"> </w:t>
      </w:r>
      <w:r w:rsidR="00685363" w:rsidRPr="0067048A">
        <w:rPr>
          <w:rStyle w:val="Char3"/>
          <w:rFonts w:hint="eastAsia"/>
          <w:rtl/>
        </w:rPr>
        <w:t>ذُرِّيَّةَ</w:t>
      </w:r>
      <w:r w:rsidR="00685363" w:rsidRPr="0067048A">
        <w:rPr>
          <w:rStyle w:val="Char3"/>
          <w:rFonts w:hint="cs"/>
          <w:rtl/>
        </w:rPr>
        <w:t>ۢ</w:t>
      </w:r>
      <w:r w:rsidR="00685363" w:rsidRPr="0067048A">
        <w:rPr>
          <w:rStyle w:val="Char3"/>
          <w:rtl/>
        </w:rPr>
        <w:t xml:space="preserve"> </w:t>
      </w:r>
      <w:r w:rsidR="00685363" w:rsidRPr="0067048A">
        <w:rPr>
          <w:rStyle w:val="Char3"/>
          <w:rFonts w:hint="eastAsia"/>
          <w:rtl/>
        </w:rPr>
        <w:t>بَع</w:t>
      </w:r>
      <w:r w:rsidR="00685363" w:rsidRPr="0067048A">
        <w:rPr>
          <w:rStyle w:val="Char3"/>
          <w:rFonts w:hint="cs"/>
          <w:rtl/>
        </w:rPr>
        <w:t>ۡ</w:t>
      </w:r>
      <w:r w:rsidR="00685363" w:rsidRPr="0067048A">
        <w:rPr>
          <w:rStyle w:val="Char3"/>
          <w:rFonts w:hint="eastAsia"/>
          <w:rtl/>
        </w:rPr>
        <w:t>ضُهَا</w:t>
      </w:r>
      <w:r w:rsidR="00685363" w:rsidRPr="0067048A">
        <w:rPr>
          <w:rStyle w:val="Char3"/>
          <w:rtl/>
        </w:rPr>
        <w:t xml:space="preserve"> </w:t>
      </w:r>
      <w:r w:rsidR="00685363" w:rsidRPr="0067048A">
        <w:rPr>
          <w:rStyle w:val="Char3"/>
          <w:rFonts w:hint="eastAsia"/>
          <w:rtl/>
        </w:rPr>
        <w:t>مِن</w:t>
      </w:r>
      <w:r w:rsidR="00685363" w:rsidRPr="0067048A">
        <w:rPr>
          <w:rStyle w:val="Char3"/>
          <w:rFonts w:hint="cs"/>
          <w:rtl/>
        </w:rPr>
        <w:t>ۢ</w:t>
      </w:r>
      <w:r w:rsidR="00685363" w:rsidRPr="0067048A">
        <w:rPr>
          <w:rStyle w:val="Char3"/>
          <w:rtl/>
        </w:rPr>
        <w:t xml:space="preserve"> </w:t>
      </w:r>
      <w:r w:rsidR="00685363" w:rsidRPr="0067048A">
        <w:rPr>
          <w:rStyle w:val="Char3"/>
          <w:rFonts w:hint="eastAsia"/>
          <w:rtl/>
        </w:rPr>
        <w:t>بَع</w:t>
      </w:r>
      <w:r w:rsidR="00685363" w:rsidRPr="0067048A">
        <w:rPr>
          <w:rStyle w:val="Char3"/>
          <w:rFonts w:hint="cs"/>
          <w:rtl/>
        </w:rPr>
        <w:t>ۡ</w:t>
      </w:r>
      <w:r w:rsidR="00685363" w:rsidRPr="0067048A">
        <w:rPr>
          <w:rStyle w:val="Char3"/>
          <w:rFonts w:hint="eastAsia"/>
          <w:rtl/>
        </w:rPr>
        <w:t>ض</w:t>
      </w:r>
      <w:r w:rsidR="00685363" w:rsidRPr="0067048A">
        <w:rPr>
          <w:rStyle w:val="Char3"/>
          <w:rFonts w:hint="cs"/>
          <w:rtl/>
        </w:rPr>
        <w:t>ٖۗ</w:t>
      </w:r>
      <w:r w:rsidR="00685363" w:rsidRPr="0067048A">
        <w:rPr>
          <w:rStyle w:val="Char3"/>
          <w:rtl/>
        </w:rPr>
        <w:t xml:space="preserve"> </w:t>
      </w:r>
      <w:r w:rsidR="00685363" w:rsidRPr="0067048A">
        <w:rPr>
          <w:rStyle w:val="Char3"/>
          <w:rFonts w:hint="eastAsia"/>
          <w:rtl/>
        </w:rPr>
        <w:t>وَ</w:t>
      </w:r>
      <w:r w:rsidR="00685363" w:rsidRPr="0067048A">
        <w:rPr>
          <w:rStyle w:val="Char3"/>
          <w:rFonts w:hint="cs"/>
          <w:rtl/>
        </w:rPr>
        <w:t>ٱ</w:t>
      </w:r>
      <w:r w:rsidR="00685363" w:rsidRPr="0067048A">
        <w:rPr>
          <w:rStyle w:val="Char3"/>
          <w:rFonts w:hint="eastAsia"/>
          <w:rtl/>
        </w:rPr>
        <w:t>للَّهُ</w:t>
      </w:r>
      <w:r w:rsidR="00685363" w:rsidRPr="0067048A">
        <w:rPr>
          <w:rStyle w:val="Char3"/>
          <w:rtl/>
        </w:rPr>
        <w:t xml:space="preserve"> </w:t>
      </w:r>
      <w:r w:rsidR="00685363" w:rsidRPr="0067048A">
        <w:rPr>
          <w:rStyle w:val="Char3"/>
          <w:rFonts w:hint="eastAsia"/>
          <w:rtl/>
        </w:rPr>
        <w:t>سَمِيعٌ</w:t>
      </w:r>
      <w:r w:rsidR="00685363" w:rsidRPr="0067048A">
        <w:rPr>
          <w:rStyle w:val="Char3"/>
          <w:rtl/>
        </w:rPr>
        <w:t xml:space="preserve"> </w:t>
      </w:r>
      <w:r w:rsidR="00685363" w:rsidRPr="0067048A">
        <w:rPr>
          <w:rStyle w:val="Char3"/>
          <w:rFonts w:hint="eastAsia"/>
          <w:rtl/>
        </w:rPr>
        <w:t>عَلِيمٌ</w:t>
      </w:r>
      <w:r w:rsidR="00685363" w:rsidRPr="0067048A">
        <w:rPr>
          <w:rStyle w:val="Char3"/>
          <w:rtl/>
        </w:rPr>
        <w:t xml:space="preserve"> </w:t>
      </w:r>
      <w:r w:rsidR="00685363" w:rsidRPr="0067048A">
        <w:rPr>
          <w:rStyle w:val="Char3"/>
          <w:rFonts w:hint="cs"/>
          <w:rtl/>
        </w:rPr>
        <w:t>٣٤</w:t>
      </w:r>
      <w:r w:rsidR="00685363" w:rsidRPr="00995B26">
        <w:rPr>
          <w:rFonts w:cs="Traditional Arabic" w:hint="cs"/>
          <w:rtl/>
          <w:lang w:bidi="fa-IR"/>
        </w:rPr>
        <w:t>﴾</w:t>
      </w:r>
      <w:r w:rsidRPr="00995B26">
        <w:rPr>
          <w:rFonts w:ascii="Abo-thar" w:hAnsi="Abo-thar"/>
          <w:sz w:val="28"/>
          <w:rtl/>
          <w:lang w:bidi="ar-SY"/>
        </w:rPr>
        <w:t xml:space="preserve"> </w:t>
      </w:r>
      <w:r w:rsidRPr="003108CB">
        <w:rPr>
          <w:rStyle w:val="Char2"/>
          <w:rtl/>
        </w:rPr>
        <w:t>[آل عمران/33</w:t>
      </w:r>
      <w:r w:rsidR="00217AB4" w:rsidRPr="003108CB">
        <w:rPr>
          <w:rStyle w:val="Char2"/>
          <w:rtl/>
        </w:rPr>
        <w:t>-</w:t>
      </w:r>
      <w:r w:rsidRPr="003108CB">
        <w:rPr>
          <w:rStyle w:val="Char2"/>
          <w:rtl/>
        </w:rPr>
        <w:t>34]</w:t>
      </w:r>
      <w:r w:rsidR="00217AB4" w:rsidRPr="00995B26">
        <w:rPr>
          <w:rFonts w:ascii="Abo-thar" w:hAnsi="Abo-thar" w:hint="cs"/>
          <w:sz w:val="28"/>
          <w:rtl/>
          <w:lang w:bidi="ar-SY"/>
        </w:rPr>
        <w:t>.</w:t>
      </w:r>
      <w:r w:rsidR="00147857" w:rsidRPr="00995B26">
        <w:rPr>
          <w:rFonts w:ascii="Abo-thar" w:hAnsi="Abo-thar" w:hint="cs"/>
          <w:sz w:val="28"/>
          <w:rtl/>
          <w:lang w:bidi="ar-SY"/>
        </w:rPr>
        <w:t xml:space="preserve"> </w:t>
      </w:r>
      <w:r w:rsidRPr="00995B26">
        <w:rPr>
          <w:rFonts w:ascii="Abo-thar" w:hAnsi="Abo-thar" w:hint="cs"/>
          <w:sz w:val="28"/>
          <w:rtl/>
          <w:lang w:bidi="ar-SY"/>
        </w:rPr>
        <w:t>فاستدل بمثل هذا الامتياز والاصطفاء على اصطفاء أسرة بني هاشم أيضاً</w:t>
      </w:r>
      <w:r w:rsidR="00217AB4" w:rsidRPr="00995B26">
        <w:rPr>
          <w:rFonts w:ascii="Abo-thar" w:hAnsi="Abo-thar" w:hint="cs"/>
          <w:sz w:val="28"/>
          <w:rtl/>
          <w:lang w:bidi="ar-SY"/>
        </w:rPr>
        <w:t>،</w:t>
      </w:r>
      <w:r w:rsidRPr="00995B26">
        <w:rPr>
          <w:rFonts w:ascii="Abo-thar" w:hAnsi="Abo-thar" w:hint="cs"/>
          <w:sz w:val="28"/>
          <w:rtl/>
          <w:lang w:bidi="ar-SY"/>
        </w:rPr>
        <w:t xml:space="preserve"> في حين أن ذلك الاصطفاء كما يدل عليه صدر الآية وسياقها إنما كان للأنبياء من تلك الأسر ولم يكن أبداً امتيازاً لجميع أفراد تلك الأسر</w:t>
      </w:r>
      <w:r w:rsidR="00217AB4" w:rsidRPr="00995B26">
        <w:rPr>
          <w:rFonts w:ascii="Abo-thar" w:hAnsi="Abo-thar" w:hint="cs"/>
          <w:sz w:val="28"/>
          <w:rtl/>
          <w:lang w:bidi="ar-SY"/>
        </w:rPr>
        <w:t>،</w:t>
      </w:r>
      <w:r w:rsidRPr="00995B26">
        <w:rPr>
          <w:rFonts w:ascii="Abo-thar" w:hAnsi="Abo-thar" w:hint="cs"/>
          <w:sz w:val="28"/>
          <w:rtl/>
          <w:lang w:bidi="ar-SY"/>
        </w:rPr>
        <w:t xml:space="preserve"> كما نجد الآية التي سبقتها تنفي ذلك</w:t>
      </w:r>
      <w:r w:rsidR="00217AB4" w:rsidRPr="00995B26">
        <w:rPr>
          <w:rFonts w:ascii="Abo-thar" w:hAnsi="Abo-thar" w:hint="cs"/>
          <w:sz w:val="28"/>
          <w:rtl/>
          <w:lang w:bidi="ar-SY"/>
        </w:rPr>
        <w:t>،</w:t>
      </w:r>
      <w:r w:rsidRPr="00995B26">
        <w:rPr>
          <w:rFonts w:ascii="Abo-thar" w:hAnsi="Abo-thar" w:hint="cs"/>
          <w:sz w:val="28"/>
          <w:rtl/>
          <w:lang w:bidi="ar-SY"/>
        </w:rPr>
        <w:t xml:space="preserve"> وإلا ففي غير هذه الصورة سيلزم من ذلك أن يكون يهود بني إسرائيل</w:t>
      </w:r>
      <w:r w:rsidR="001A5AE4" w:rsidRPr="00995B26">
        <w:rPr>
          <w:rFonts w:ascii="Abo-thar" w:hAnsi="Abo-thar" w:hint="cs"/>
          <w:sz w:val="28"/>
          <w:rtl/>
          <w:lang w:bidi="ar-SY"/>
        </w:rPr>
        <w:t>،</w:t>
      </w:r>
      <w:r w:rsidRPr="00995B26">
        <w:rPr>
          <w:rFonts w:ascii="Abo-thar" w:hAnsi="Abo-thar" w:hint="cs"/>
          <w:sz w:val="28"/>
          <w:rtl/>
          <w:lang w:bidi="ar-SY"/>
        </w:rPr>
        <w:t xml:space="preserve"> وآل عمران الذين كان عيسى المسيح منهم على نفس درجة سادات بني هاشم أو على الأقل أن يكونوا كذلك بعد قبولهم للإسلام فيشاركونهم في الفضل والشأن</w:t>
      </w:r>
      <w:r w:rsidR="001A5AE4" w:rsidRPr="00995B26">
        <w:rPr>
          <w:rFonts w:ascii="Abo-thar" w:hAnsi="Abo-thar" w:hint="cs"/>
          <w:sz w:val="28"/>
          <w:rtl/>
          <w:lang w:bidi="ar-SY"/>
        </w:rPr>
        <w:t>،</w:t>
      </w:r>
      <w:r w:rsidRPr="00995B26">
        <w:rPr>
          <w:rFonts w:ascii="Abo-thar" w:hAnsi="Abo-thar" w:hint="cs"/>
          <w:sz w:val="28"/>
          <w:rtl/>
          <w:lang w:bidi="ar-SY"/>
        </w:rPr>
        <w:t xml:space="preserve"> والأمر ليس كذلك</w:t>
      </w:r>
      <w:r w:rsidR="00217AB4" w:rsidRPr="00995B26">
        <w:rPr>
          <w:rFonts w:ascii="Abo-thar" w:hAnsi="Abo-thar" w:hint="cs"/>
          <w:sz w:val="28"/>
          <w:rtl/>
          <w:lang w:bidi="ar-SY"/>
        </w:rPr>
        <w:t>!</w:t>
      </w:r>
      <w:r w:rsidRPr="00995B26">
        <w:rPr>
          <w:rFonts w:ascii="Abo-thar" w:hAnsi="Abo-thar" w:hint="cs"/>
          <w:sz w:val="28"/>
          <w:rtl/>
          <w:lang w:bidi="ar-SY"/>
        </w:rPr>
        <w:t xml:space="preserve"> هذا إضافة إلى أن الآيات الأخرى في القرآن الكريم تنقض هذا التصور كالآية التي مرت معنا من سورة الحجرات وقوله تعالى</w:t>
      </w:r>
      <w:r w:rsidR="00217AB4" w:rsidRPr="00995B26">
        <w:rPr>
          <w:rFonts w:ascii="Abo-thar" w:hAnsi="Abo-thar" w:hint="cs"/>
          <w:sz w:val="28"/>
          <w:rtl/>
          <w:lang w:bidi="ar-SY"/>
        </w:rPr>
        <w:t>:</w:t>
      </w:r>
      <w:r w:rsidR="00685363" w:rsidRPr="00995B26">
        <w:rPr>
          <w:rFonts w:ascii="Abo-thar" w:hAnsi="Abo-thar" w:hint="cs"/>
          <w:sz w:val="28"/>
          <w:rtl/>
          <w:lang w:bidi="ar-SY"/>
        </w:rPr>
        <w:t xml:space="preserve"> </w:t>
      </w:r>
      <w:r w:rsidR="00685363" w:rsidRPr="00995B26">
        <w:rPr>
          <w:rFonts w:ascii="Abo-thar" w:hAnsi="Abo-thar" w:cs="Traditional Arabic" w:hint="cs"/>
          <w:sz w:val="28"/>
          <w:rtl/>
          <w:lang w:bidi="ar-SY"/>
        </w:rPr>
        <w:t>﴿</w:t>
      </w:r>
      <w:r w:rsidR="00685363" w:rsidRPr="0067048A">
        <w:rPr>
          <w:rStyle w:val="Char3"/>
          <w:rFonts w:hint="eastAsia"/>
          <w:rtl/>
        </w:rPr>
        <w:t>إِنَّ</w:t>
      </w:r>
      <w:r w:rsidR="00685363" w:rsidRPr="0067048A">
        <w:rPr>
          <w:rStyle w:val="Char3"/>
          <w:rtl/>
        </w:rPr>
        <w:t xml:space="preserve"> </w:t>
      </w:r>
      <w:r w:rsidR="00685363" w:rsidRPr="0067048A">
        <w:rPr>
          <w:rStyle w:val="Char3"/>
          <w:rFonts w:hint="eastAsia"/>
          <w:rtl/>
        </w:rPr>
        <w:t>أَو</w:t>
      </w:r>
      <w:r w:rsidR="00685363" w:rsidRPr="0067048A">
        <w:rPr>
          <w:rStyle w:val="Char3"/>
          <w:rFonts w:hint="cs"/>
          <w:rtl/>
        </w:rPr>
        <w:t>ۡ</w:t>
      </w:r>
      <w:r w:rsidR="00685363" w:rsidRPr="0067048A">
        <w:rPr>
          <w:rStyle w:val="Char3"/>
          <w:rFonts w:hint="eastAsia"/>
          <w:rtl/>
        </w:rPr>
        <w:t>لَى</w:t>
      </w:r>
      <w:r w:rsidR="00685363" w:rsidRPr="0067048A">
        <w:rPr>
          <w:rStyle w:val="Char3"/>
          <w:rtl/>
        </w:rPr>
        <w:t xml:space="preserve"> </w:t>
      </w:r>
      <w:r w:rsidR="00685363" w:rsidRPr="0067048A">
        <w:rPr>
          <w:rStyle w:val="Char3"/>
          <w:rFonts w:hint="cs"/>
          <w:rtl/>
        </w:rPr>
        <w:t>ٱ</w:t>
      </w:r>
      <w:r w:rsidR="00685363" w:rsidRPr="0067048A">
        <w:rPr>
          <w:rStyle w:val="Char3"/>
          <w:rFonts w:hint="eastAsia"/>
          <w:rtl/>
        </w:rPr>
        <w:t>لنَّاسِ</w:t>
      </w:r>
      <w:r w:rsidR="00685363" w:rsidRPr="0067048A">
        <w:rPr>
          <w:rStyle w:val="Char3"/>
          <w:rtl/>
        </w:rPr>
        <w:t xml:space="preserve"> </w:t>
      </w:r>
      <w:r w:rsidR="00685363" w:rsidRPr="0067048A">
        <w:rPr>
          <w:rStyle w:val="Char3"/>
          <w:rFonts w:hint="eastAsia"/>
          <w:rtl/>
        </w:rPr>
        <w:t>بِإِب</w:t>
      </w:r>
      <w:r w:rsidR="00685363" w:rsidRPr="0067048A">
        <w:rPr>
          <w:rStyle w:val="Char3"/>
          <w:rFonts w:hint="cs"/>
          <w:rtl/>
        </w:rPr>
        <w:t>ۡ</w:t>
      </w:r>
      <w:r w:rsidR="00685363" w:rsidRPr="0067048A">
        <w:rPr>
          <w:rStyle w:val="Char3"/>
          <w:rFonts w:hint="eastAsia"/>
          <w:rtl/>
        </w:rPr>
        <w:t>رَ</w:t>
      </w:r>
      <w:r w:rsidR="00685363" w:rsidRPr="0067048A">
        <w:rPr>
          <w:rStyle w:val="Char3"/>
          <w:rFonts w:hint="cs"/>
          <w:rtl/>
        </w:rPr>
        <w:t>ٰ</w:t>
      </w:r>
      <w:r w:rsidR="00685363" w:rsidRPr="0067048A">
        <w:rPr>
          <w:rStyle w:val="Char3"/>
          <w:rFonts w:hint="eastAsia"/>
          <w:rtl/>
        </w:rPr>
        <w:t>هِيمَ</w:t>
      </w:r>
      <w:r w:rsidR="00685363" w:rsidRPr="0067048A">
        <w:rPr>
          <w:rStyle w:val="Char3"/>
          <w:rtl/>
        </w:rPr>
        <w:t xml:space="preserve"> </w:t>
      </w:r>
      <w:r w:rsidR="00685363" w:rsidRPr="0067048A">
        <w:rPr>
          <w:rStyle w:val="Char3"/>
          <w:rFonts w:hint="eastAsia"/>
          <w:rtl/>
        </w:rPr>
        <w:t>لَلَّذِينَ</w:t>
      </w:r>
      <w:r w:rsidR="00685363" w:rsidRPr="0067048A">
        <w:rPr>
          <w:rStyle w:val="Char3"/>
          <w:rtl/>
        </w:rPr>
        <w:t xml:space="preserve"> </w:t>
      </w:r>
      <w:r w:rsidR="00685363" w:rsidRPr="0067048A">
        <w:rPr>
          <w:rStyle w:val="Char3"/>
          <w:rFonts w:hint="cs"/>
          <w:rtl/>
        </w:rPr>
        <w:t>ٱ</w:t>
      </w:r>
      <w:r w:rsidR="00685363" w:rsidRPr="0067048A">
        <w:rPr>
          <w:rStyle w:val="Char3"/>
          <w:rFonts w:hint="eastAsia"/>
          <w:rtl/>
        </w:rPr>
        <w:t>تَّبَعُوهُ</w:t>
      </w:r>
      <w:r w:rsidR="00685363" w:rsidRPr="00995B26">
        <w:rPr>
          <w:rFonts w:ascii="Abo-thar" w:hAnsi="Abo-thar" w:cs="Traditional Arabic" w:hint="cs"/>
          <w:sz w:val="28"/>
          <w:rtl/>
          <w:lang w:bidi="ar-SY"/>
        </w:rPr>
        <w:t>﴾</w:t>
      </w:r>
      <w:r w:rsidRPr="00995B26">
        <w:rPr>
          <w:rFonts w:ascii="Abo-thar" w:hAnsi="Abo-thar" w:hint="cs"/>
          <w:sz w:val="28"/>
          <w:rtl/>
          <w:lang w:bidi="ar-SY"/>
        </w:rPr>
        <w:t xml:space="preserve"> </w:t>
      </w:r>
      <w:r w:rsidRPr="003108CB">
        <w:rPr>
          <w:rStyle w:val="Char2"/>
          <w:rtl/>
        </w:rPr>
        <w:t>[آل عمران</w:t>
      </w:r>
      <w:r w:rsidR="00685363" w:rsidRPr="003108CB">
        <w:rPr>
          <w:rStyle w:val="Char2"/>
          <w:rFonts w:hint="cs"/>
          <w:rtl/>
        </w:rPr>
        <w:t xml:space="preserve">: </w:t>
      </w:r>
      <w:r w:rsidRPr="003108CB">
        <w:rPr>
          <w:rStyle w:val="Char2"/>
          <w:rtl/>
        </w:rPr>
        <w:t>68]</w:t>
      </w:r>
      <w:r w:rsidRPr="00995B26">
        <w:rPr>
          <w:rFonts w:ascii="Abo-thar" w:hAnsi="Abo-thar" w:hint="cs"/>
          <w:sz w:val="28"/>
          <w:rtl/>
          <w:lang w:bidi="ar-SY"/>
        </w:rPr>
        <w:t xml:space="preserve"> التي تنفي ذلك التصور تماماً</w:t>
      </w:r>
      <w:r w:rsidR="00217AB4" w:rsidRPr="00995B26">
        <w:rPr>
          <w:rFonts w:ascii="Abo-thar" w:hAnsi="Abo-thar" w:hint="cs"/>
          <w:sz w:val="28"/>
          <w:rtl/>
          <w:lang w:bidi="ar-SY"/>
        </w:rPr>
        <w:t>.</w:t>
      </w:r>
    </w:p>
    <w:p w:rsidR="00DA1FC2" w:rsidRPr="00995B26" w:rsidRDefault="00DA1FC2" w:rsidP="007D2B8A">
      <w:pPr>
        <w:pStyle w:val="a5"/>
        <w:rPr>
          <w:rFonts w:hint="cs"/>
          <w:rtl/>
          <w:lang w:bidi="ar-SY"/>
        </w:rPr>
      </w:pPr>
      <w:bookmarkStart w:id="81" w:name="_Toc387843059"/>
      <w:r w:rsidRPr="00995B26">
        <w:rPr>
          <w:rFonts w:hint="cs"/>
          <w:rtl/>
          <w:lang w:bidi="ar-SY"/>
        </w:rPr>
        <w:t>3- تساوى أفراد البشر في سنة النبي الأكرم وسيرته</w:t>
      </w:r>
      <w:bookmarkEnd w:id="81"/>
      <w:r w:rsidRPr="00995B26">
        <w:rPr>
          <w:rFonts w:hint="cs"/>
          <w:rtl/>
          <w:lang w:bidi="ar-SY"/>
        </w:rPr>
        <w:t xml:space="preserve"> </w:t>
      </w:r>
    </w:p>
    <w:p w:rsidR="005C664D" w:rsidRPr="003F3B94" w:rsidRDefault="005C664D" w:rsidP="003F3B94">
      <w:pPr>
        <w:pStyle w:val="a0"/>
        <w:rPr>
          <w:rFonts w:hint="cs"/>
          <w:rtl/>
          <w:lang w:bidi="ar-SY"/>
        </w:rPr>
      </w:pPr>
      <w:r w:rsidRPr="003F3B94">
        <w:rPr>
          <w:rFonts w:ascii="Abo-thar" w:hAnsi="Abo-thar" w:hint="cs"/>
          <w:sz w:val="28"/>
          <w:rtl/>
          <w:lang w:bidi="ar-SY"/>
        </w:rPr>
        <w:t>لقد جاءت عن النبي الأكرم</w:t>
      </w:r>
      <w:r w:rsidR="00147857" w:rsidRPr="003F3B94">
        <w:rPr>
          <w:rFonts w:ascii="Abo-thar" w:hAnsi="Abo-thar" w:hint="cs"/>
          <w:sz w:val="28"/>
          <w:rtl/>
          <w:lang w:bidi="ar-SY"/>
        </w:rPr>
        <w:t xml:space="preserve"> </w:t>
      </w:r>
      <w:r w:rsidR="003C7AEB" w:rsidRPr="003C7AEB">
        <w:rPr>
          <w:rFonts w:ascii="Abo-thar" w:hAnsi="Abo-thar" w:cs="CTraditional Arabic" w:hint="cs"/>
          <w:sz w:val="28"/>
          <w:rtl/>
          <w:lang w:bidi="ar-SY"/>
        </w:rPr>
        <w:t>ص</w:t>
      </w:r>
      <w:r w:rsidR="00147857" w:rsidRPr="003F3B94">
        <w:rPr>
          <w:rFonts w:ascii="Abo-thar" w:hAnsi="Abo-thar" w:hint="cs"/>
          <w:sz w:val="28"/>
          <w:rtl/>
          <w:lang w:bidi="ar-SY"/>
        </w:rPr>
        <w:t xml:space="preserve"> </w:t>
      </w:r>
      <w:r w:rsidRPr="003F3B94">
        <w:rPr>
          <w:rFonts w:ascii="Abo-thar" w:hAnsi="Abo-thar" w:hint="cs"/>
          <w:sz w:val="28"/>
          <w:rtl/>
          <w:lang w:bidi="ar-SY"/>
        </w:rPr>
        <w:t xml:space="preserve">في هذا الخصوص </w:t>
      </w:r>
      <w:r w:rsidR="001A5AE4" w:rsidRPr="003F3B94">
        <w:rPr>
          <w:rFonts w:ascii="Abo-thar" w:hAnsi="Abo-thar" w:hint="cs"/>
          <w:sz w:val="28"/>
          <w:rtl/>
          <w:lang w:bidi="ar-SY"/>
        </w:rPr>
        <w:t xml:space="preserve">أحاديثُ كثيرةٌ إلى حد التواتر، </w:t>
      </w:r>
      <w:r w:rsidRPr="003F3B94">
        <w:rPr>
          <w:rFonts w:ascii="Abo-thar" w:hAnsi="Abo-thar" w:hint="cs"/>
          <w:sz w:val="28"/>
          <w:rtl/>
          <w:lang w:bidi="ar-SY"/>
        </w:rPr>
        <w:t>خاص</w:t>
      </w:r>
      <w:r w:rsidR="001A5AE4" w:rsidRPr="003F3B94">
        <w:rPr>
          <w:rFonts w:ascii="Abo-thar" w:hAnsi="Abo-thar" w:hint="cs"/>
          <w:sz w:val="28"/>
          <w:rtl/>
          <w:lang w:bidi="ar-SY"/>
        </w:rPr>
        <w:t>َّ</w:t>
      </w:r>
      <w:r w:rsidRPr="003F3B94">
        <w:rPr>
          <w:rFonts w:ascii="Abo-thar" w:hAnsi="Abo-thar" w:hint="cs"/>
          <w:sz w:val="28"/>
          <w:rtl/>
          <w:lang w:bidi="ar-SY"/>
        </w:rPr>
        <w:t>ةً تلك الجملة الشهيرة التي خطب بها النبيُّ</w:t>
      </w:r>
      <w:r w:rsidR="00147857" w:rsidRPr="003F3B94">
        <w:rPr>
          <w:rFonts w:ascii="Abo-thar" w:hAnsi="Abo-thar" w:hint="cs"/>
          <w:sz w:val="28"/>
          <w:rtl/>
          <w:lang w:bidi="ar-SY"/>
        </w:rPr>
        <w:t xml:space="preserve"> </w:t>
      </w:r>
      <w:r w:rsidR="003C7AEB" w:rsidRPr="003C7AEB">
        <w:rPr>
          <w:rFonts w:ascii="Abo-thar" w:hAnsi="Abo-thar" w:cs="CTraditional Arabic" w:hint="cs"/>
          <w:sz w:val="28"/>
          <w:rtl/>
          <w:lang w:bidi="ar-SY"/>
        </w:rPr>
        <w:t>ص</w:t>
      </w:r>
      <w:r w:rsidR="00147857" w:rsidRPr="003F3B94">
        <w:rPr>
          <w:rFonts w:ascii="Abo-thar" w:hAnsi="Abo-thar" w:hint="cs"/>
          <w:sz w:val="28"/>
          <w:rtl/>
          <w:lang w:bidi="ar-SY"/>
        </w:rPr>
        <w:t xml:space="preserve"> </w:t>
      </w:r>
      <w:r w:rsidRPr="003F3B94">
        <w:rPr>
          <w:rFonts w:ascii="Abo-thar" w:hAnsi="Abo-thar" w:hint="cs"/>
          <w:sz w:val="28"/>
          <w:rtl/>
          <w:lang w:bidi="ar-SY"/>
        </w:rPr>
        <w:t>فقال</w:t>
      </w:r>
      <w:r w:rsidR="00217AB4" w:rsidRPr="003F3B94">
        <w:rPr>
          <w:rFonts w:ascii="Abo-thar" w:hAnsi="Abo-thar" w:hint="cs"/>
          <w:sz w:val="28"/>
          <w:rtl/>
          <w:lang w:bidi="ar-SY"/>
        </w:rPr>
        <w:t>:</w:t>
      </w:r>
      <w:r w:rsidRPr="003F3B94">
        <w:rPr>
          <w:rFonts w:ascii="Abo-thar" w:hAnsi="Abo-thar" w:hint="cs"/>
          <w:sz w:val="28"/>
          <w:rtl/>
          <w:lang w:bidi="ar-SY"/>
        </w:rPr>
        <w:t xml:space="preserve"> </w:t>
      </w:r>
      <w:r w:rsidR="00EF2588" w:rsidRPr="00CE7623">
        <w:rPr>
          <w:rFonts w:ascii="Abo-thar" w:hAnsi="Abo-thar" w:cs="KFGQPC Uthman Taha Naskh" w:hint="cs"/>
          <w:sz w:val="28"/>
          <w:rtl/>
          <w:lang w:bidi="ar-SY"/>
        </w:rPr>
        <w:t>«</w:t>
      </w:r>
      <w:r w:rsidRPr="00CE7623">
        <w:rPr>
          <w:rFonts w:ascii="Abo-thar" w:hAnsi="Abo-thar" w:cs="KFGQPC Uthman Taha Naskh"/>
          <w:b/>
          <w:bCs/>
          <w:sz w:val="28"/>
          <w:rtl/>
          <w:lang w:bidi="ar-SY"/>
        </w:rPr>
        <w:t>كُلُّكُمْ لِآدَمَ وَآدَمُ مِنْ تُرَاب‏</w:t>
      </w:r>
      <w:r w:rsidR="00EF2588" w:rsidRPr="00CE7623">
        <w:rPr>
          <w:rFonts w:ascii="Abo-thar" w:hAnsi="Abo-thar" w:cs="KFGQPC Uthman Taha Naskh" w:hint="cs"/>
          <w:sz w:val="28"/>
          <w:rtl/>
          <w:lang w:bidi="ar-SY"/>
        </w:rPr>
        <w:t>»</w:t>
      </w:r>
      <w:r w:rsidR="00217AB4" w:rsidRPr="003F3B94">
        <w:rPr>
          <w:rFonts w:ascii="Abo-thar" w:hAnsi="Abo-thar" w:hint="cs"/>
          <w:sz w:val="28"/>
          <w:rtl/>
          <w:lang w:bidi="ar-SY"/>
        </w:rPr>
        <w:t>،</w:t>
      </w:r>
      <w:r w:rsidRPr="003F3B94">
        <w:rPr>
          <w:rFonts w:ascii="Abo-thar" w:hAnsi="Abo-thar" w:hint="cs"/>
          <w:sz w:val="28"/>
          <w:rtl/>
          <w:lang w:bidi="ar-SY"/>
        </w:rPr>
        <w:t xml:space="preserve"> و</w:t>
      </w:r>
      <w:r w:rsidR="00EF2588" w:rsidRPr="00CE7623">
        <w:rPr>
          <w:rFonts w:ascii="Abo-thar" w:hAnsi="Abo-thar" w:cs="KFGQPC Uthman Taha Naskh" w:hint="cs"/>
          <w:sz w:val="28"/>
          <w:rtl/>
          <w:lang w:bidi="ar-SY"/>
        </w:rPr>
        <w:t>«</w:t>
      </w:r>
      <w:r w:rsidRPr="00CE7623">
        <w:rPr>
          <w:rFonts w:ascii="Abo-thar" w:hAnsi="Abo-thar" w:cs="KFGQPC Uthman Taha Naskh"/>
          <w:b/>
          <w:bCs/>
          <w:sz w:val="28"/>
          <w:rtl/>
          <w:lang w:bidi="ar-SY"/>
        </w:rPr>
        <w:t>النَّاسُ سَوَاءٌ كَأَسْنَانِ الم</w:t>
      </w:r>
      <w:r w:rsidRPr="00CE7623">
        <w:rPr>
          <w:rFonts w:ascii="Abo-thar" w:hAnsi="Abo-thar" w:cs="KFGQPC Uthman Taha Naskh" w:hint="cs"/>
          <w:b/>
          <w:bCs/>
          <w:sz w:val="28"/>
          <w:rtl/>
          <w:lang w:bidi="ar-SY"/>
        </w:rPr>
        <w:t>ُ</w:t>
      </w:r>
      <w:r w:rsidRPr="00CE7623">
        <w:rPr>
          <w:rFonts w:ascii="Abo-thar" w:hAnsi="Abo-thar" w:cs="KFGQPC Uthman Taha Naskh"/>
          <w:b/>
          <w:bCs/>
          <w:sz w:val="28"/>
          <w:rtl/>
          <w:lang w:bidi="ar-SY"/>
        </w:rPr>
        <w:t>شْطِ</w:t>
      </w:r>
      <w:r w:rsidR="00EF2588" w:rsidRPr="00CE7623">
        <w:rPr>
          <w:rFonts w:ascii="Abo-thar" w:hAnsi="Abo-thar" w:cs="KFGQPC Uthman Taha Naskh" w:hint="cs"/>
          <w:sz w:val="28"/>
          <w:rtl/>
          <w:lang w:bidi="ar-SY"/>
        </w:rPr>
        <w:t>»</w:t>
      </w:r>
      <w:r w:rsidR="00217AB4" w:rsidRPr="003F3B94">
        <w:rPr>
          <w:rFonts w:ascii="Abo-thar" w:hAnsi="Abo-thar" w:hint="cs"/>
          <w:sz w:val="28"/>
          <w:rtl/>
          <w:lang w:bidi="ar-SY"/>
        </w:rPr>
        <w:t>،</w:t>
      </w:r>
      <w:r w:rsidR="00147857" w:rsidRPr="003F3B94">
        <w:rPr>
          <w:rFonts w:ascii="Abo-thar" w:hAnsi="Abo-thar" w:hint="cs"/>
          <w:sz w:val="28"/>
          <w:rtl/>
          <w:lang w:bidi="ar-SY"/>
        </w:rPr>
        <w:t xml:space="preserve"> و</w:t>
      </w:r>
      <w:r w:rsidR="00EF2588" w:rsidRPr="00CE7623">
        <w:rPr>
          <w:rFonts w:ascii="Abo-thar" w:hAnsi="Abo-thar" w:cs="KFGQPC Uthman Taha Naskh" w:hint="cs"/>
          <w:sz w:val="28"/>
          <w:rtl/>
          <w:lang w:bidi="ar-SY"/>
        </w:rPr>
        <w:t>«</w:t>
      </w:r>
      <w:r w:rsidR="001A5AE4" w:rsidRPr="00CE7623">
        <w:rPr>
          <w:rFonts w:ascii="Abo-thar" w:hAnsi="Abo-thar" w:cs="KFGQPC Uthman Taha Naskh"/>
          <w:b/>
          <w:bCs/>
          <w:sz w:val="28"/>
          <w:rtl/>
          <w:lang w:bidi="ar-SY"/>
        </w:rPr>
        <w:t>لَا فَضْلَ لِعَرَبِيٍّ عَلَى عَجَمِيٍّ وَلَا لِعَجَمِيٍّ عَلَى عَرَبِيٍّ وَلَا لِأَحْمَرَ عَلَى أَسْوَدَ وَلَا لِأَسْوَدَ عَلَى أَحْمَرَ إِلَّا بِالتَّقْوَى</w:t>
      </w:r>
      <w:r w:rsidRPr="00CE7623">
        <w:rPr>
          <w:rFonts w:ascii="Abo-thar" w:hAnsi="Abo-thar" w:cs="KFGQPC Uthman Taha Naskh"/>
          <w:b/>
          <w:bCs/>
          <w:sz w:val="28"/>
          <w:rtl/>
          <w:lang w:bidi="ar-SY"/>
        </w:rPr>
        <w:t>‏</w:t>
      </w:r>
      <w:r w:rsidR="00EF2588" w:rsidRPr="00CE7623">
        <w:rPr>
          <w:rFonts w:ascii="Abo-thar" w:hAnsi="Abo-thar" w:cs="KFGQPC Uthman Taha Naskh" w:hint="cs"/>
          <w:sz w:val="28"/>
          <w:rtl/>
          <w:lang w:bidi="ar-SY"/>
        </w:rPr>
        <w:t>»</w:t>
      </w:r>
      <w:r w:rsidR="00217AB4" w:rsidRPr="003F3B94">
        <w:rPr>
          <w:rFonts w:ascii="Abo-thar" w:hAnsi="Abo-thar" w:hint="cs"/>
          <w:sz w:val="28"/>
          <w:rtl/>
          <w:lang w:bidi="ar-SY"/>
        </w:rPr>
        <w:t>.</w:t>
      </w:r>
      <w:r w:rsidRPr="003F3B94">
        <w:rPr>
          <w:rFonts w:ascii="Abo-thar" w:hAnsi="Abo-thar" w:hint="cs"/>
          <w:sz w:val="28"/>
          <w:rtl/>
          <w:lang w:bidi="ar-SY"/>
        </w:rPr>
        <w:t xml:space="preserve"> </w:t>
      </w:r>
    </w:p>
    <w:p w:rsidR="005C664D" w:rsidRPr="003F3B94" w:rsidRDefault="005C664D" w:rsidP="003F3B94">
      <w:pPr>
        <w:pStyle w:val="a0"/>
        <w:rPr>
          <w:rFonts w:hint="cs"/>
          <w:rtl/>
          <w:lang w:bidi="ar-SY"/>
        </w:rPr>
      </w:pPr>
      <w:r w:rsidRPr="003F3B94">
        <w:rPr>
          <w:rFonts w:ascii="Abo-thar" w:hAnsi="Abo-thar" w:hint="cs"/>
          <w:sz w:val="28"/>
          <w:rtl/>
          <w:lang w:bidi="ar-SY"/>
        </w:rPr>
        <w:t>بل إن أحد أهم مزايا الإسلام المشرقة التي امتاز بها من بين سائر أديان وملل العالم الأخرى أنه ينفي تماماً أي امتياز عرقي أو لوني بين أبناء البشر وقد كانت هذه المزية من أسباب اكتساح الإسلام السريع للعالم الذي أدهش العقول</w:t>
      </w:r>
      <w:r w:rsidR="00217AB4" w:rsidRPr="003F3B94">
        <w:rPr>
          <w:rFonts w:ascii="Abo-thar" w:hAnsi="Abo-thar" w:hint="cs"/>
          <w:sz w:val="28"/>
          <w:rtl/>
          <w:lang w:bidi="ar-SY"/>
        </w:rPr>
        <w:t>.</w:t>
      </w:r>
      <w:r w:rsidRPr="003F3B94">
        <w:rPr>
          <w:rFonts w:ascii="Abo-thar" w:hAnsi="Abo-thar" w:hint="cs"/>
          <w:sz w:val="28"/>
          <w:rtl/>
          <w:lang w:bidi="ar-SY"/>
        </w:rPr>
        <w:t xml:space="preserve"> </w:t>
      </w:r>
    </w:p>
    <w:p w:rsidR="005C664D" w:rsidRPr="003F3B94" w:rsidRDefault="005C664D" w:rsidP="003F3B94">
      <w:pPr>
        <w:pStyle w:val="a0"/>
        <w:rPr>
          <w:rFonts w:hint="cs"/>
          <w:rtl/>
          <w:lang w:bidi="ar-SY"/>
        </w:rPr>
      </w:pPr>
      <w:r w:rsidRPr="003F3B94">
        <w:rPr>
          <w:rFonts w:ascii="Abo-thar" w:hAnsi="Abo-thar" w:hint="cs"/>
          <w:sz w:val="28"/>
          <w:rtl/>
          <w:lang w:bidi="ar-SY"/>
        </w:rPr>
        <w:t>ثانياً</w:t>
      </w:r>
      <w:r w:rsidR="00217AB4" w:rsidRPr="003F3B94">
        <w:rPr>
          <w:rFonts w:ascii="Abo-thar" w:hAnsi="Abo-thar" w:hint="cs"/>
          <w:sz w:val="28"/>
          <w:rtl/>
          <w:lang w:bidi="ar-SY"/>
        </w:rPr>
        <w:t>:</w:t>
      </w:r>
      <w:r w:rsidRPr="003F3B94">
        <w:rPr>
          <w:rFonts w:ascii="Abo-thar" w:hAnsi="Abo-thar" w:hint="cs"/>
          <w:sz w:val="28"/>
          <w:rtl/>
          <w:lang w:bidi="ar-SY"/>
        </w:rPr>
        <w:t xml:space="preserve"> هناك أحاديث شريفة أخرى عن النبي</w:t>
      </w:r>
      <w:r w:rsidR="00147857" w:rsidRPr="003F3B94">
        <w:rPr>
          <w:rFonts w:ascii="Abo-thar" w:hAnsi="Abo-thar" w:hint="cs"/>
          <w:sz w:val="28"/>
          <w:rtl/>
          <w:lang w:bidi="ar-SY"/>
        </w:rPr>
        <w:t xml:space="preserve"> </w:t>
      </w:r>
      <w:r w:rsidR="003C7AEB" w:rsidRPr="003C7AEB">
        <w:rPr>
          <w:rFonts w:ascii="Abo-thar" w:hAnsi="Abo-thar" w:cs="CTraditional Arabic"/>
          <w:sz w:val="28"/>
          <w:rtl/>
          <w:lang w:bidi="ar-SY"/>
        </w:rPr>
        <w:t>ص</w:t>
      </w:r>
      <w:r w:rsidR="00147857" w:rsidRPr="003F3B94">
        <w:rPr>
          <w:rFonts w:ascii="Abo-thar" w:hAnsi="Abo-thar"/>
          <w:sz w:val="28"/>
          <w:rtl/>
          <w:lang w:bidi="ar-SY"/>
        </w:rPr>
        <w:t xml:space="preserve"> </w:t>
      </w:r>
      <w:r w:rsidRPr="003F3B94">
        <w:rPr>
          <w:rFonts w:ascii="Abo-thar" w:hAnsi="Abo-thar" w:hint="cs"/>
          <w:sz w:val="28"/>
          <w:rtl/>
          <w:lang w:bidi="ar-SY"/>
        </w:rPr>
        <w:t>وأهل بيت العصمة سلام الله عليهم كثيرة إلى حد الاستفاضة والتواتر في هذا الباب</w:t>
      </w:r>
      <w:r w:rsidR="00217AB4" w:rsidRPr="003F3B94">
        <w:rPr>
          <w:rFonts w:ascii="Abo-thar" w:hAnsi="Abo-thar" w:hint="cs"/>
          <w:sz w:val="28"/>
          <w:rtl/>
          <w:lang w:bidi="ar-SY"/>
        </w:rPr>
        <w:t>.</w:t>
      </w:r>
      <w:r w:rsidRPr="003F3B94">
        <w:rPr>
          <w:rFonts w:ascii="Abo-thar" w:hAnsi="Abo-thar" w:hint="cs"/>
          <w:sz w:val="28"/>
          <w:rtl/>
          <w:lang w:bidi="ar-SY"/>
        </w:rPr>
        <w:t xml:space="preserve"> من</w:t>
      </w:r>
      <w:r w:rsidR="001A5AE4" w:rsidRPr="003F3B94">
        <w:rPr>
          <w:rFonts w:ascii="Abo-thar" w:hAnsi="Abo-thar" w:hint="cs"/>
          <w:sz w:val="28"/>
          <w:rtl/>
          <w:lang w:bidi="ar-SY"/>
        </w:rPr>
        <w:t>ها ما يأتي</w:t>
      </w:r>
      <w:r w:rsidR="00217AB4" w:rsidRPr="003F3B94">
        <w:rPr>
          <w:rFonts w:ascii="Abo-thar" w:hAnsi="Abo-thar" w:hint="cs"/>
          <w:sz w:val="28"/>
          <w:rtl/>
          <w:lang w:bidi="ar-SY"/>
        </w:rPr>
        <w:t>:</w:t>
      </w:r>
      <w:r w:rsidRPr="003F3B94">
        <w:rPr>
          <w:rFonts w:ascii="Abo-thar" w:hAnsi="Abo-thar" w:hint="cs"/>
          <w:sz w:val="28"/>
          <w:rtl/>
          <w:lang w:bidi="ar-SY"/>
        </w:rPr>
        <w:t xml:space="preserve"> </w:t>
      </w:r>
    </w:p>
    <w:p w:rsidR="005C664D" w:rsidRPr="003F3B94" w:rsidRDefault="005C664D" w:rsidP="003F3B94">
      <w:pPr>
        <w:pStyle w:val="a0"/>
        <w:rPr>
          <w:rFonts w:hint="cs"/>
          <w:rtl/>
          <w:lang w:bidi="ar-SY"/>
        </w:rPr>
      </w:pPr>
      <w:r w:rsidRPr="003F3B94">
        <w:rPr>
          <w:rFonts w:ascii="Abo-thar" w:hAnsi="Abo-thar" w:hint="cs"/>
          <w:sz w:val="28"/>
          <w:rtl/>
          <w:lang w:bidi="ar-SY"/>
        </w:rPr>
        <w:t>1</w:t>
      </w:r>
      <w:r w:rsidR="00217AB4" w:rsidRPr="003F3B94">
        <w:rPr>
          <w:rFonts w:ascii="Abo-thar" w:hAnsi="Abo-thar" w:hint="cs"/>
          <w:sz w:val="28"/>
          <w:rtl/>
          <w:lang w:bidi="ar-SY"/>
        </w:rPr>
        <w:t>-</w:t>
      </w:r>
      <w:r w:rsidRPr="003F3B94">
        <w:rPr>
          <w:rFonts w:ascii="Abo-thar" w:hAnsi="Abo-thar" w:hint="cs"/>
          <w:sz w:val="28"/>
          <w:rtl/>
          <w:lang w:bidi="ar-SY"/>
        </w:rPr>
        <w:t xml:space="preserve"> روى الصدوق في </w:t>
      </w:r>
      <w:r w:rsidRPr="003F3B94">
        <w:rPr>
          <w:rFonts w:ascii="Abo-thar" w:hAnsi="Abo-thar" w:hint="eastAsia"/>
          <w:sz w:val="28"/>
          <w:rtl/>
          <w:lang w:bidi="ar-SY"/>
        </w:rPr>
        <w:t>«</w:t>
      </w:r>
      <w:r w:rsidRPr="003F3B94">
        <w:rPr>
          <w:rFonts w:ascii="Abo-thar" w:hAnsi="Abo-thar" w:hint="cs"/>
          <w:sz w:val="28"/>
          <w:rtl/>
          <w:lang w:bidi="ar-SY"/>
        </w:rPr>
        <w:t>من لا يحضره الفقيه</w:t>
      </w:r>
      <w:r w:rsidRPr="003F3B94">
        <w:rPr>
          <w:rFonts w:ascii="Abo-thar" w:hAnsi="Abo-thar" w:hint="eastAsia"/>
          <w:sz w:val="28"/>
          <w:rtl/>
          <w:lang w:bidi="ar-SY"/>
        </w:rPr>
        <w:t>»</w:t>
      </w:r>
      <w:r w:rsidRPr="003F3B94">
        <w:rPr>
          <w:rFonts w:ascii="Abo-thar" w:hAnsi="Abo-thar" w:hint="cs"/>
          <w:sz w:val="28"/>
          <w:rtl/>
          <w:lang w:bidi="ar-SY"/>
        </w:rPr>
        <w:t xml:space="preserve"> ضمن وصايا النبي</w:t>
      </w:r>
      <w:r w:rsidR="00147857" w:rsidRPr="003F3B94">
        <w:rPr>
          <w:rFonts w:ascii="Abo-thar" w:hAnsi="Abo-thar" w:hint="cs"/>
          <w:sz w:val="28"/>
          <w:rtl/>
          <w:lang w:bidi="ar-SY"/>
        </w:rPr>
        <w:t xml:space="preserve"> </w:t>
      </w:r>
      <w:r w:rsidR="003C7AEB" w:rsidRPr="003C7AEB">
        <w:rPr>
          <w:rFonts w:ascii="Abo-thar" w:hAnsi="Abo-thar" w:cs="CTraditional Arabic"/>
          <w:sz w:val="28"/>
          <w:rtl/>
          <w:lang w:bidi="ar-SY"/>
        </w:rPr>
        <w:t>ص</w:t>
      </w:r>
      <w:r w:rsidR="00147857" w:rsidRPr="003F3B94">
        <w:rPr>
          <w:rFonts w:ascii="Abo-thar" w:hAnsi="Abo-thar"/>
          <w:sz w:val="28"/>
          <w:rtl/>
          <w:lang w:bidi="ar-SY"/>
        </w:rPr>
        <w:t xml:space="preserve"> </w:t>
      </w:r>
      <w:r w:rsidRPr="003F3B94">
        <w:rPr>
          <w:rFonts w:ascii="Abo-thar" w:hAnsi="Abo-thar" w:hint="cs"/>
          <w:sz w:val="28"/>
          <w:rtl/>
          <w:lang w:bidi="ar-SY"/>
        </w:rPr>
        <w:t xml:space="preserve">لعليٍّ </w:t>
      </w:r>
      <w:r w:rsidR="003C7AEB" w:rsidRPr="003C7AEB">
        <w:rPr>
          <w:rFonts w:ascii="Abo-thar" w:hAnsi="Abo-thar" w:cs="CTraditional Arabic" w:hint="cs"/>
          <w:sz w:val="28"/>
          <w:rtl/>
          <w:lang w:bidi="ar-SY"/>
        </w:rPr>
        <w:t>÷</w:t>
      </w:r>
      <w:r w:rsidR="00217AB4" w:rsidRPr="003F3B94">
        <w:rPr>
          <w:rFonts w:ascii="Abo-thar" w:hAnsi="Abo-thar" w:hint="cs"/>
          <w:sz w:val="28"/>
          <w:rtl/>
          <w:lang w:bidi="ar-SY"/>
        </w:rPr>
        <w:t>:</w:t>
      </w:r>
      <w:r w:rsidRPr="003F3B94">
        <w:rPr>
          <w:rFonts w:ascii="Abo-thar" w:hAnsi="Abo-thar" w:hint="cs"/>
          <w:sz w:val="28"/>
          <w:rtl/>
          <w:lang w:bidi="ar-SY"/>
        </w:rPr>
        <w:t xml:space="preserve"> </w:t>
      </w:r>
      <w:r w:rsidR="00EF2588" w:rsidRPr="00CE7623">
        <w:rPr>
          <w:rFonts w:ascii="Abo-thar" w:hAnsi="Abo-thar" w:cs="KFGQPC Uthman Taha Naskh" w:hint="cs"/>
          <w:sz w:val="28"/>
          <w:rtl/>
          <w:lang w:bidi="ar-SY"/>
        </w:rPr>
        <w:t>«</w:t>
      </w:r>
      <w:r w:rsidRPr="00CE7623">
        <w:rPr>
          <w:rFonts w:ascii="Abo-thar" w:hAnsi="Abo-thar" w:cs="KFGQPC Uthman Taha Naskh"/>
          <w:b/>
          <w:bCs/>
          <w:sz w:val="28"/>
          <w:rtl/>
          <w:lang w:bidi="ar-SY"/>
        </w:rPr>
        <w:t>يَا عَلِيُّ</w:t>
      </w:r>
      <w:r w:rsidR="005B684B">
        <w:rPr>
          <w:rFonts w:ascii="Abo-thar" w:hAnsi="Abo-thar" w:cs="KFGQPC Uthman Taha Naskh" w:hint="cs"/>
          <w:b/>
          <w:bCs/>
          <w:sz w:val="28"/>
          <w:rtl/>
          <w:lang w:bidi="ar-SY"/>
        </w:rPr>
        <w:t>!</w:t>
      </w:r>
      <w:r w:rsidRPr="00CE7623">
        <w:rPr>
          <w:rFonts w:ascii="Abo-thar" w:hAnsi="Abo-thar" w:cs="KFGQPC Uthman Taha Naskh"/>
          <w:b/>
          <w:bCs/>
          <w:sz w:val="28"/>
          <w:rtl/>
          <w:lang w:bidi="ar-SY"/>
        </w:rPr>
        <w:t xml:space="preserve"> إِنَّ اللهَ تَبَارَكَ وَتَعَالَى قَدْ أَذْهَبَ بِالْإِسْلَامِ نَخْوَةَ الْجَاهِلِيَّةِ وَتَفَاخُرَهَا بِآبَائِهَا أَلَا إِنَّ النَّاسَ مِنْ آدَمَ وَآدَمَ مِنْ تُرَابٍ وَأَكْرَمَهُمْ عِنْدَ اللهِ أَتْقَاهُمْ</w:t>
      </w:r>
      <w:r w:rsidR="00EF2588" w:rsidRPr="00CE7623">
        <w:rPr>
          <w:rFonts w:ascii="Abo-thar" w:hAnsi="Abo-thar" w:cs="KFGQPC Uthman Taha Naskh" w:hint="cs"/>
          <w:sz w:val="28"/>
          <w:rtl/>
          <w:lang w:bidi="ar-SY"/>
        </w:rPr>
        <w:t>»</w:t>
      </w:r>
      <w:r w:rsidR="00217AB4" w:rsidRPr="0021507A">
        <w:rPr>
          <w:rFonts w:cs="Arabic11 BT"/>
          <w:b/>
          <w:sz w:val="28"/>
          <w:vertAlign w:val="superscript"/>
          <w:rtl/>
          <w:lang w:bidi="ar-SY"/>
        </w:rPr>
        <w:t>(</w:t>
      </w:r>
      <w:r w:rsidRPr="0021507A">
        <w:rPr>
          <w:rStyle w:val="FootnoteReference"/>
          <w:rFonts w:cs="Arabic11 BT"/>
          <w:b/>
          <w:sz w:val="28"/>
          <w:rtl/>
          <w:lang w:bidi="ar-SY"/>
        </w:rPr>
        <w:footnoteReference w:id="105"/>
      </w:r>
      <w:r w:rsidR="00217AB4" w:rsidRPr="0021507A">
        <w:rPr>
          <w:rFonts w:cs="Arabic11 BT"/>
          <w:b/>
          <w:sz w:val="28"/>
          <w:vertAlign w:val="superscript"/>
          <w:rtl/>
          <w:lang w:bidi="ar-SY"/>
        </w:rPr>
        <w:t>)</w:t>
      </w:r>
      <w:r w:rsidR="00217AB4" w:rsidRPr="003F3B94">
        <w:rPr>
          <w:rFonts w:ascii="Abo-thar" w:hAnsi="Abo-thar" w:hint="cs"/>
          <w:sz w:val="28"/>
          <w:rtl/>
          <w:lang w:bidi="ar-SY"/>
        </w:rPr>
        <w:t>.</w:t>
      </w:r>
      <w:r w:rsidR="00147857" w:rsidRPr="003F3B94">
        <w:rPr>
          <w:rFonts w:ascii="Abo-thar" w:hAnsi="Abo-thar" w:hint="cs"/>
          <w:sz w:val="28"/>
          <w:rtl/>
          <w:lang w:bidi="ar-SY"/>
        </w:rPr>
        <w:t xml:space="preserve"> </w:t>
      </w:r>
    </w:p>
    <w:p w:rsidR="005C664D" w:rsidRPr="003F3B94" w:rsidRDefault="005C664D" w:rsidP="003F3B94">
      <w:pPr>
        <w:pStyle w:val="a0"/>
        <w:rPr>
          <w:rFonts w:hint="cs"/>
          <w:rtl/>
          <w:lang w:bidi="ar-SY"/>
        </w:rPr>
      </w:pPr>
      <w:r w:rsidRPr="003F3B94">
        <w:rPr>
          <w:rFonts w:ascii="Abo-thar" w:hAnsi="Abo-thar" w:hint="cs"/>
          <w:sz w:val="28"/>
          <w:rtl/>
          <w:lang w:bidi="ar-SY"/>
        </w:rPr>
        <w:t xml:space="preserve">وقد روى ابن سعد في الطبقات الكبرى هذا الحديث من طريق أبي هريرة قال قال </w:t>
      </w:r>
      <w:r w:rsidR="00502770">
        <w:rPr>
          <w:rFonts w:ascii="Abo-thar" w:hAnsi="Abo-thar" w:hint="cs"/>
          <w:sz w:val="28"/>
          <w:rtl/>
          <w:lang w:bidi="ar-SY"/>
        </w:rPr>
        <w:t xml:space="preserve">       </w:t>
      </w:r>
      <w:r w:rsidRPr="003F3B94">
        <w:rPr>
          <w:rFonts w:ascii="Abo-thar" w:hAnsi="Abo-thar" w:hint="cs"/>
          <w:sz w:val="28"/>
          <w:rtl/>
          <w:lang w:bidi="ar-SY"/>
        </w:rPr>
        <w:t>رسول الله</w:t>
      </w:r>
      <w:r w:rsidR="00147857" w:rsidRPr="003F3B94">
        <w:rPr>
          <w:rFonts w:ascii="Abo-thar" w:hAnsi="Abo-thar" w:hint="cs"/>
          <w:sz w:val="28"/>
          <w:rtl/>
          <w:lang w:bidi="ar-SY"/>
        </w:rPr>
        <w:t xml:space="preserve"> </w:t>
      </w:r>
      <w:r w:rsidR="003C7AEB" w:rsidRPr="003C7AEB">
        <w:rPr>
          <w:rFonts w:ascii="Abo-thar" w:hAnsi="Abo-thar" w:cs="CTraditional Arabic" w:hint="cs"/>
          <w:sz w:val="28"/>
          <w:rtl/>
          <w:lang w:bidi="ar-SY"/>
        </w:rPr>
        <w:t>ص</w:t>
      </w:r>
      <w:r w:rsidR="00217AB4" w:rsidRPr="003F3B94">
        <w:rPr>
          <w:rFonts w:ascii="Abo-thar" w:hAnsi="Abo-thar" w:hint="cs"/>
          <w:sz w:val="28"/>
          <w:rtl/>
          <w:lang w:bidi="ar-SY"/>
        </w:rPr>
        <w:t>:</w:t>
      </w:r>
      <w:r w:rsidRPr="003F3B94">
        <w:rPr>
          <w:rFonts w:ascii="Abo-thar" w:hAnsi="Abo-thar" w:hint="cs"/>
          <w:sz w:val="28"/>
          <w:rtl/>
          <w:lang w:bidi="ar-SY"/>
        </w:rPr>
        <w:t xml:space="preserve"> </w:t>
      </w:r>
      <w:r w:rsidR="00EF2588" w:rsidRPr="00CE7623">
        <w:rPr>
          <w:rFonts w:ascii="Abo-thar" w:hAnsi="Abo-thar" w:cs="KFGQPC Uthman Taha Naskh" w:hint="cs"/>
          <w:sz w:val="28"/>
          <w:rtl/>
          <w:lang w:bidi="ar-SY"/>
        </w:rPr>
        <w:t>«</w:t>
      </w:r>
      <w:r w:rsidRPr="00CE7623">
        <w:rPr>
          <w:rFonts w:ascii="Abo-thar" w:hAnsi="Abo-thar" w:cs="KFGQPC Uthman Taha Naskh"/>
          <w:b/>
          <w:bCs/>
          <w:sz w:val="28"/>
          <w:rtl/>
          <w:lang w:bidi="ar-SY"/>
        </w:rPr>
        <w:t>الن</w:t>
      </w:r>
      <w:r w:rsidRPr="00CE7623">
        <w:rPr>
          <w:rFonts w:ascii="Abo-thar" w:hAnsi="Abo-thar" w:cs="KFGQPC Uthman Taha Naskh" w:hint="cs"/>
          <w:b/>
          <w:bCs/>
          <w:sz w:val="28"/>
          <w:rtl/>
          <w:lang w:bidi="ar-SY"/>
        </w:rPr>
        <w:t>َّ</w:t>
      </w:r>
      <w:r w:rsidRPr="00CE7623">
        <w:rPr>
          <w:rFonts w:ascii="Abo-thar" w:hAnsi="Abo-thar" w:cs="KFGQPC Uthman Taha Naskh"/>
          <w:b/>
          <w:bCs/>
          <w:sz w:val="28"/>
          <w:rtl/>
          <w:lang w:bidi="ar-SY"/>
        </w:rPr>
        <w:t>اس</w:t>
      </w:r>
      <w:r w:rsidRPr="00CE7623">
        <w:rPr>
          <w:rFonts w:ascii="Abo-thar" w:hAnsi="Abo-thar" w:cs="KFGQPC Uthman Taha Naskh" w:hint="cs"/>
          <w:b/>
          <w:bCs/>
          <w:sz w:val="28"/>
          <w:rtl/>
          <w:lang w:bidi="ar-SY"/>
        </w:rPr>
        <w:t>ُ</w:t>
      </w:r>
      <w:r w:rsidRPr="00CE7623">
        <w:rPr>
          <w:rFonts w:ascii="Abo-thar" w:hAnsi="Abo-thar" w:cs="KFGQPC Uthman Taha Naskh"/>
          <w:b/>
          <w:bCs/>
          <w:sz w:val="28"/>
          <w:rtl/>
          <w:lang w:bidi="ar-SY"/>
        </w:rPr>
        <w:t xml:space="preserve"> و</w:t>
      </w:r>
      <w:r w:rsidRPr="00CE7623">
        <w:rPr>
          <w:rFonts w:ascii="Abo-thar" w:hAnsi="Abo-thar" w:cs="KFGQPC Uthman Taha Naskh" w:hint="cs"/>
          <w:b/>
          <w:bCs/>
          <w:sz w:val="28"/>
          <w:rtl/>
          <w:lang w:bidi="ar-SY"/>
        </w:rPr>
        <w:t>َ</w:t>
      </w:r>
      <w:r w:rsidRPr="00CE7623">
        <w:rPr>
          <w:rFonts w:ascii="Abo-thar" w:hAnsi="Abo-thar" w:cs="KFGQPC Uthman Taha Naskh"/>
          <w:b/>
          <w:bCs/>
          <w:sz w:val="28"/>
          <w:rtl/>
          <w:lang w:bidi="ar-SY"/>
        </w:rPr>
        <w:t>ل</w:t>
      </w:r>
      <w:r w:rsidRPr="00CE7623">
        <w:rPr>
          <w:rFonts w:ascii="Abo-thar" w:hAnsi="Abo-thar" w:cs="KFGQPC Uthman Taha Naskh" w:hint="cs"/>
          <w:b/>
          <w:bCs/>
          <w:sz w:val="28"/>
          <w:rtl/>
          <w:lang w:bidi="ar-SY"/>
        </w:rPr>
        <w:t>َ</w:t>
      </w:r>
      <w:r w:rsidRPr="00CE7623">
        <w:rPr>
          <w:rFonts w:ascii="Abo-thar" w:hAnsi="Abo-thar" w:cs="KFGQPC Uthman Taha Naskh"/>
          <w:b/>
          <w:bCs/>
          <w:sz w:val="28"/>
          <w:rtl/>
          <w:lang w:bidi="ar-SY"/>
        </w:rPr>
        <w:t>د</w:t>
      </w:r>
      <w:r w:rsidRPr="00CE7623">
        <w:rPr>
          <w:rFonts w:ascii="Abo-thar" w:hAnsi="Abo-thar" w:cs="KFGQPC Uthman Taha Naskh" w:hint="cs"/>
          <w:b/>
          <w:bCs/>
          <w:sz w:val="28"/>
          <w:rtl/>
          <w:lang w:bidi="ar-SY"/>
        </w:rPr>
        <w:t>ُ</w:t>
      </w:r>
      <w:r w:rsidRPr="00CE7623">
        <w:rPr>
          <w:rFonts w:ascii="Abo-thar" w:hAnsi="Abo-thar" w:cs="KFGQPC Uthman Taha Naskh"/>
          <w:b/>
          <w:bCs/>
          <w:sz w:val="28"/>
          <w:rtl/>
          <w:lang w:bidi="ar-SY"/>
        </w:rPr>
        <w:t xml:space="preserve"> آد</w:t>
      </w:r>
      <w:r w:rsidRPr="00CE7623">
        <w:rPr>
          <w:rFonts w:ascii="Abo-thar" w:hAnsi="Abo-thar" w:cs="KFGQPC Uthman Taha Naskh" w:hint="cs"/>
          <w:b/>
          <w:bCs/>
          <w:sz w:val="28"/>
          <w:rtl/>
          <w:lang w:bidi="ar-SY"/>
        </w:rPr>
        <w:t>َ</w:t>
      </w:r>
      <w:r w:rsidRPr="00CE7623">
        <w:rPr>
          <w:rFonts w:ascii="Abo-thar" w:hAnsi="Abo-thar" w:cs="KFGQPC Uthman Taha Naskh"/>
          <w:b/>
          <w:bCs/>
          <w:sz w:val="28"/>
          <w:rtl/>
          <w:lang w:bidi="ar-SY"/>
        </w:rPr>
        <w:t>م</w:t>
      </w:r>
      <w:r w:rsidRPr="00CE7623">
        <w:rPr>
          <w:rFonts w:ascii="Abo-thar" w:hAnsi="Abo-thar" w:cs="KFGQPC Uthman Taha Naskh" w:hint="cs"/>
          <w:b/>
          <w:bCs/>
          <w:sz w:val="28"/>
          <w:rtl/>
          <w:lang w:bidi="ar-SY"/>
        </w:rPr>
        <w:t>َ</w:t>
      </w:r>
      <w:r w:rsidRPr="00CE7623">
        <w:rPr>
          <w:rFonts w:ascii="Abo-thar" w:hAnsi="Abo-thar" w:cs="KFGQPC Uthman Taha Naskh"/>
          <w:b/>
          <w:bCs/>
          <w:sz w:val="28"/>
          <w:rtl/>
          <w:lang w:bidi="ar-SY"/>
        </w:rPr>
        <w:t xml:space="preserve"> وآد</w:t>
      </w:r>
      <w:r w:rsidRPr="00CE7623">
        <w:rPr>
          <w:rFonts w:ascii="Abo-thar" w:hAnsi="Abo-thar" w:cs="KFGQPC Uthman Taha Naskh" w:hint="cs"/>
          <w:b/>
          <w:bCs/>
          <w:sz w:val="28"/>
          <w:rtl/>
          <w:lang w:bidi="ar-SY"/>
        </w:rPr>
        <w:t>َ</w:t>
      </w:r>
      <w:r w:rsidRPr="00CE7623">
        <w:rPr>
          <w:rFonts w:ascii="Abo-thar" w:hAnsi="Abo-thar" w:cs="KFGQPC Uthman Taha Naskh"/>
          <w:b/>
          <w:bCs/>
          <w:sz w:val="28"/>
          <w:rtl/>
          <w:lang w:bidi="ar-SY"/>
        </w:rPr>
        <w:t>م</w:t>
      </w:r>
      <w:r w:rsidRPr="00CE7623">
        <w:rPr>
          <w:rFonts w:ascii="Abo-thar" w:hAnsi="Abo-thar" w:cs="KFGQPC Uthman Taha Naskh" w:hint="cs"/>
          <w:b/>
          <w:bCs/>
          <w:sz w:val="28"/>
          <w:rtl/>
          <w:lang w:bidi="ar-SY"/>
        </w:rPr>
        <w:t>ُ</w:t>
      </w:r>
      <w:r w:rsidRPr="00CE7623">
        <w:rPr>
          <w:rFonts w:ascii="Abo-thar" w:hAnsi="Abo-thar" w:cs="KFGQPC Uthman Taha Naskh"/>
          <w:b/>
          <w:bCs/>
          <w:sz w:val="28"/>
          <w:rtl/>
          <w:lang w:bidi="ar-SY"/>
        </w:rPr>
        <w:t xml:space="preserve"> م</w:t>
      </w:r>
      <w:r w:rsidRPr="00CE7623">
        <w:rPr>
          <w:rFonts w:ascii="Abo-thar" w:hAnsi="Abo-thar" w:cs="KFGQPC Uthman Taha Naskh" w:hint="cs"/>
          <w:b/>
          <w:bCs/>
          <w:sz w:val="28"/>
          <w:rtl/>
          <w:lang w:bidi="ar-SY"/>
        </w:rPr>
        <w:t>ِ</w:t>
      </w:r>
      <w:r w:rsidRPr="00CE7623">
        <w:rPr>
          <w:rFonts w:ascii="Abo-thar" w:hAnsi="Abo-thar" w:cs="KFGQPC Uthman Taha Naskh"/>
          <w:b/>
          <w:bCs/>
          <w:sz w:val="28"/>
          <w:rtl/>
          <w:lang w:bidi="ar-SY"/>
        </w:rPr>
        <w:t>ن</w:t>
      </w:r>
      <w:r w:rsidRPr="00CE7623">
        <w:rPr>
          <w:rFonts w:ascii="Abo-thar" w:hAnsi="Abo-thar" w:cs="KFGQPC Uthman Taha Naskh" w:hint="cs"/>
          <w:b/>
          <w:bCs/>
          <w:sz w:val="28"/>
          <w:rtl/>
          <w:lang w:bidi="ar-SY"/>
        </w:rPr>
        <w:t>ْ</w:t>
      </w:r>
      <w:r w:rsidRPr="00CE7623">
        <w:rPr>
          <w:rFonts w:ascii="Abo-thar" w:hAnsi="Abo-thar" w:cs="KFGQPC Uthman Taha Naskh"/>
          <w:b/>
          <w:bCs/>
          <w:sz w:val="28"/>
          <w:rtl/>
          <w:lang w:bidi="ar-SY"/>
        </w:rPr>
        <w:t xml:space="preserve"> ت</w:t>
      </w:r>
      <w:r w:rsidRPr="00CE7623">
        <w:rPr>
          <w:rFonts w:ascii="Abo-thar" w:hAnsi="Abo-thar" w:cs="KFGQPC Uthman Taha Naskh" w:hint="cs"/>
          <w:b/>
          <w:bCs/>
          <w:sz w:val="28"/>
          <w:rtl/>
          <w:lang w:bidi="ar-SY"/>
        </w:rPr>
        <w:t>ُ</w:t>
      </w:r>
      <w:r w:rsidRPr="00CE7623">
        <w:rPr>
          <w:rFonts w:ascii="Abo-thar" w:hAnsi="Abo-thar" w:cs="KFGQPC Uthman Taha Naskh"/>
          <w:b/>
          <w:bCs/>
          <w:sz w:val="28"/>
          <w:rtl/>
          <w:lang w:bidi="ar-SY"/>
        </w:rPr>
        <w:t>ر</w:t>
      </w:r>
      <w:r w:rsidRPr="00CE7623">
        <w:rPr>
          <w:rFonts w:ascii="Abo-thar" w:hAnsi="Abo-thar" w:cs="KFGQPC Uthman Taha Naskh" w:hint="cs"/>
          <w:b/>
          <w:bCs/>
          <w:sz w:val="28"/>
          <w:rtl/>
          <w:lang w:bidi="ar-SY"/>
        </w:rPr>
        <w:t>َ</w:t>
      </w:r>
      <w:r w:rsidRPr="00CE7623">
        <w:rPr>
          <w:rFonts w:ascii="Abo-thar" w:hAnsi="Abo-thar" w:cs="KFGQPC Uthman Taha Naskh"/>
          <w:b/>
          <w:bCs/>
          <w:sz w:val="28"/>
          <w:rtl/>
          <w:lang w:bidi="ar-SY"/>
        </w:rPr>
        <w:t>اب</w:t>
      </w:r>
      <w:r w:rsidRPr="00CE7623">
        <w:rPr>
          <w:rFonts w:ascii="Abo-thar" w:hAnsi="Abo-thar" w:cs="KFGQPC Uthman Taha Naskh" w:hint="cs"/>
          <w:b/>
          <w:bCs/>
          <w:sz w:val="28"/>
          <w:rtl/>
          <w:lang w:bidi="ar-SY"/>
        </w:rPr>
        <w:t>ٍ</w:t>
      </w:r>
      <w:r w:rsidR="00EF2588" w:rsidRPr="00CE7623">
        <w:rPr>
          <w:rFonts w:ascii="Abo-thar" w:hAnsi="Abo-thar" w:cs="KFGQPC Uthman Taha Naskh" w:hint="cs"/>
          <w:sz w:val="28"/>
          <w:rtl/>
          <w:lang w:bidi="ar-SY"/>
        </w:rPr>
        <w:t>»</w:t>
      </w:r>
      <w:r w:rsidR="001A5AE4" w:rsidRPr="0021507A">
        <w:rPr>
          <w:rFonts w:cs="Arabic11 BT"/>
          <w:b/>
          <w:sz w:val="28"/>
          <w:vertAlign w:val="superscript"/>
          <w:rtl/>
          <w:lang w:bidi="ar-SY"/>
        </w:rPr>
        <w:t>(</w:t>
      </w:r>
      <w:r w:rsidR="001A5AE4" w:rsidRPr="0021507A">
        <w:rPr>
          <w:rStyle w:val="FootnoteReference"/>
          <w:rFonts w:cs="Arabic11 BT"/>
          <w:b/>
          <w:sz w:val="28"/>
          <w:rtl/>
          <w:lang w:bidi="ar-SY"/>
        </w:rPr>
        <w:footnoteReference w:id="106"/>
      </w:r>
      <w:r w:rsidR="001A5AE4" w:rsidRPr="0021507A">
        <w:rPr>
          <w:rFonts w:cs="Arabic11 BT"/>
          <w:b/>
          <w:sz w:val="28"/>
          <w:vertAlign w:val="superscript"/>
          <w:rtl/>
          <w:lang w:bidi="ar-SY"/>
        </w:rPr>
        <w:t>)</w:t>
      </w:r>
      <w:r w:rsidR="00217AB4" w:rsidRPr="003F3B94">
        <w:rPr>
          <w:rFonts w:ascii="Abo-thar" w:hAnsi="Abo-thar" w:hint="cs"/>
          <w:sz w:val="28"/>
          <w:rtl/>
          <w:lang w:bidi="ar-SY"/>
        </w:rPr>
        <w:t>.</w:t>
      </w:r>
    </w:p>
    <w:p w:rsidR="005C664D" w:rsidRPr="003F3B94" w:rsidRDefault="005C664D" w:rsidP="003F3B94">
      <w:pPr>
        <w:pStyle w:val="a0"/>
        <w:rPr>
          <w:rFonts w:hint="cs"/>
          <w:rtl/>
          <w:lang w:bidi="ar-SY"/>
        </w:rPr>
      </w:pPr>
      <w:r w:rsidRPr="003F3B94">
        <w:rPr>
          <w:rFonts w:ascii="Abo-thar" w:hAnsi="Abo-thar" w:hint="cs"/>
          <w:sz w:val="28"/>
          <w:rtl/>
          <w:lang w:bidi="ar-SY"/>
        </w:rPr>
        <w:t>2</w:t>
      </w:r>
      <w:r w:rsidR="00217AB4" w:rsidRPr="003F3B94">
        <w:rPr>
          <w:rFonts w:ascii="Abo-thar" w:hAnsi="Abo-thar" w:hint="cs"/>
          <w:sz w:val="28"/>
          <w:rtl/>
          <w:lang w:bidi="ar-SY"/>
        </w:rPr>
        <w:t>-</w:t>
      </w:r>
      <w:r w:rsidRPr="003F3B94">
        <w:rPr>
          <w:rFonts w:ascii="Abo-thar" w:hAnsi="Abo-thar" w:hint="cs"/>
          <w:sz w:val="28"/>
          <w:rtl/>
          <w:lang w:bidi="ar-SY"/>
        </w:rPr>
        <w:t xml:space="preserve"> جاء في كتاب الأشعثيات [ويُسَمَّى أيضاً «الجعفريات»] </w:t>
      </w:r>
      <w:r w:rsidR="00217AB4" w:rsidRPr="003F3B94">
        <w:rPr>
          <w:rFonts w:ascii="Abo-thar" w:hAnsi="Abo-thar" w:hint="cs"/>
          <w:sz w:val="28"/>
          <w:rtl/>
          <w:lang w:bidi="ar-SY"/>
        </w:rPr>
        <w:t>(</w:t>
      </w:r>
      <w:r w:rsidRPr="003F3B94">
        <w:rPr>
          <w:rFonts w:ascii="Abo-thar" w:hAnsi="Abo-thar" w:hint="cs"/>
          <w:sz w:val="28"/>
          <w:rtl/>
          <w:lang w:bidi="ar-SY"/>
        </w:rPr>
        <w:t>ص147</w:t>
      </w:r>
      <w:r w:rsidR="00217AB4" w:rsidRPr="003F3B94">
        <w:rPr>
          <w:rFonts w:ascii="Abo-thar" w:hAnsi="Abo-thar" w:hint="cs"/>
          <w:sz w:val="28"/>
          <w:rtl/>
          <w:lang w:bidi="ar-SY"/>
        </w:rPr>
        <w:t>):</w:t>
      </w:r>
      <w:r w:rsidRPr="003F3B94">
        <w:rPr>
          <w:rFonts w:ascii="Abo-thar" w:hAnsi="Abo-thar" w:hint="cs"/>
          <w:sz w:val="28"/>
          <w:rtl/>
          <w:lang w:bidi="ar-SY"/>
        </w:rPr>
        <w:t xml:space="preserve"> </w:t>
      </w:r>
      <w:r w:rsidR="00EF2588" w:rsidRPr="003F3B94">
        <w:rPr>
          <w:rFonts w:ascii="Abo-thar" w:hAnsi="Abo-thar" w:hint="cs"/>
          <w:sz w:val="28"/>
          <w:rtl/>
          <w:lang w:bidi="ar-SY"/>
        </w:rPr>
        <w:t>«</w:t>
      </w:r>
      <w:r w:rsidRPr="003F3B94">
        <w:rPr>
          <w:rFonts w:ascii="Abo-thar" w:hAnsi="Abo-thar"/>
          <w:sz w:val="28"/>
          <w:rtl/>
          <w:lang w:bidi="ar-SY"/>
        </w:rPr>
        <w:t xml:space="preserve">أخبرنا محمد بن الأشعث حدثني موسى بن إسماعيل قال حدثنا أبي عن أبيه </w:t>
      </w:r>
      <w:r w:rsidRPr="003F3B94">
        <w:rPr>
          <w:rFonts w:ascii="Abo-thar" w:hAnsi="Abo-thar" w:hint="cs"/>
          <w:sz w:val="28"/>
          <w:rtl/>
          <w:lang w:bidi="ar-SY"/>
        </w:rPr>
        <w:t xml:space="preserve">[الإمام موسى بن جعفر </w:t>
      </w:r>
      <w:r w:rsidR="00BC4BA9" w:rsidRPr="00BC4BA9">
        <w:rPr>
          <w:rFonts w:ascii="Abo-thar" w:hAnsi="Abo-thar" w:cs="CTraditional Arabic" w:hint="cs"/>
          <w:sz w:val="28"/>
          <w:rtl/>
          <w:lang w:bidi="ar-SY"/>
        </w:rPr>
        <w:t>÷</w:t>
      </w:r>
      <w:r w:rsidRPr="003F3B94">
        <w:rPr>
          <w:rFonts w:ascii="Abo-thar" w:hAnsi="Abo-thar" w:hint="cs"/>
          <w:sz w:val="28"/>
          <w:rtl/>
          <w:lang w:bidi="ar-SY"/>
        </w:rPr>
        <w:t xml:space="preserve">] </w:t>
      </w:r>
      <w:r w:rsidRPr="003F3B94">
        <w:rPr>
          <w:rFonts w:ascii="Abo-thar" w:hAnsi="Abo-thar"/>
          <w:sz w:val="28"/>
          <w:rtl/>
          <w:lang w:bidi="ar-SY"/>
        </w:rPr>
        <w:t xml:space="preserve">عن جده جعفر بن محمد </w:t>
      </w:r>
      <w:r w:rsidR="00BC4BA9" w:rsidRPr="00BC4BA9">
        <w:rPr>
          <w:rFonts w:ascii="Abo-thar" w:hAnsi="Abo-thar" w:cs="CTraditional Arabic" w:hint="cs"/>
          <w:sz w:val="28"/>
          <w:rtl/>
          <w:lang w:bidi="ar-SY"/>
        </w:rPr>
        <w:t>÷</w:t>
      </w:r>
      <w:r w:rsidRPr="003F3B94">
        <w:rPr>
          <w:rFonts w:ascii="Abo-thar" w:hAnsi="Abo-thar" w:hint="cs"/>
          <w:sz w:val="28"/>
          <w:rtl/>
          <w:lang w:bidi="ar-SY"/>
        </w:rPr>
        <w:t xml:space="preserve"> </w:t>
      </w:r>
      <w:r w:rsidRPr="003F3B94">
        <w:rPr>
          <w:rFonts w:ascii="Abo-thar" w:hAnsi="Abo-thar"/>
          <w:sz w:val="28"/>
          <w:rtl/>
          <w:lang w:bidi="ar-SY"/>
        </w:rPr>
        <w:t xml:space="preserve">عن أبيه </w:t>
      </w:r>
      <w:r w:rsidRPr="003F3B94">
        <w:rPr>
          <w:rFonts w:ascii="Abo-thar" w:hAnsi="Abo-thar" w:hint="cs"/>
          <w:sz w:val="28"/>
          <w:rtl/>
          <w:lang w:bidi="ar-SY"/>
        </w:rPr>
        <w:t xml:space="preserve">[محمد الباقر </w:t>
      </w:r>
      <w:r w:rsidR="00BC4BA9" w:rsidRPr="00BC4BA9">
        <w:rPr>
          <w:rFonts w:ascii="Abo-thar" w:hAnsi="Abo-thar" w:cs="CTraditional Arabic" w:hint="cs"/>
          <w:sz w:val="28"/>
          <w:rtl/>
          <w:lang w:bidi="ar-SY"/>
        </w:rPr>
        <w:t>÷</w:t>
      </w:r>
      <w:r w:rsidRPr="003F3B94">
        <w:rPr>
          <w:rFonts w:ascii="Abo-thar" w:hAnsi="Abo-thar" w:hint="cs"/>
          <w:sz w:val="28"/>
          <w:rtl/>
          <w:lang w:bidi="ar-SY"/>
        </w:rPr>
        <w:t xml:space="preserve">] </w:t>
      </w:r>
      <w:r w:rsidRPr="003F3B94">
        <w:rPr>
          <w:rFonts w:ascii="Abo-thar" w:hAnsi="Abo-thar"/>
          <w:sz w:val="28"/>
          <w:rtl/>
          <w:lang w:bidi="ar-SY"/>
        </w:rPr>
        <w:t xml:space="preserve">عن جده علي بن الحسين </w:t>
      </w:r>
      <w:r w:rsidR="00BC4BA9" w:rsidRPr="00BC4BA9">
        <w:rPr>
          <w:rFonts w:ascii="Abo-thar" w:hAnsi="Abo-thar" w:cs="CTraditional Arabic" w:hint="cs"/>
          <w:sz w:val="28"/>
          <w:rtl/>
          <w:lang w:bidi="ar-SY"/>
        </w:rPr>
        <w:t>÷</w:t>
      </w:r>
      <w:r w:rsidRPr="003F3B94">
        <w:rPr>
          <w:rFonts w:ascii="Abo-thar" w:hAnsi="Abo-thar" w:hint="cs"/>
          <w:sz w:val="28"/>
          <w:rtl/>
          <w:lang w:bidi="ar-SY"/>
        </w:rPr>
        <w:t xml:space="preserve"> </w:t>
      </w:r>
      <w:r w:rsidRPr="003F3B94">
        <w:rPr>
          <w:rFonts w:ascii="Abo-thar" w:hAnsi="Abo-thar"/>
          <w:sz w:val="28"/>
          <w:rtl/>
          <w:lang w:bidi="ar-SY"/>
        </w:rPr>
        <w:t xml:space="preserve">عن أبيه عن علي بن أبي طالب </w:t>
      </w:r>
      <w:r w:rsidR="00BC4BA9" w:rsidRPr="00BC4BA9">
        <w:rPr>
          <w:rFonts w:ascii="Abo-thar" w:hAnsi="Abo-thar" w:cs="CTraditional Arabic" w:hint="cs"/>
          <w:sz w:val="28"/>
          <w:rtl/>
          <w:lang w:bidi="ar-SY"/>
        </w:rPr>
        <w:t>÷</w:t>
      </w:r>
      <w:r w:rsidRPr="003F3B94">
        <w:rPr>
          <w:rFonts w:ascii="Abo-thar" w:hAnsi="Abo-thar"/>
          <w:sz w:val="28"/>
          <w:rtl/>
          <w:lang w:bidi="ar-SY"/>
        </w:rPr>
        <w:t xml:space="preserve"> قال قال رسول الله</w:t>
      </w:r>
      <w:r w:rsidR="00147857" w:rsidRPr="003F3B94">
        <w:rPr>
          <w:rFonts w:ascii="Abo-thar" w:hAnsi="Abo-thar"/>
          <w:sz w:val="28"/>
          <w:rtl/>
          <w:lang w:bidi="ar-SY"/>
        </w:rPr>
        <w:t xml:space="preserve"> </w:t>
      </w:r>
      <w:r w:rsidR="003C7AEB" w:rsidRPr="003C7AEB">
        <w:rPr>
          <w:rFonts w:ascii="Abo-thar" w:hAnsi="Abo-thar" w:cs="CTraditional Arabic"/>
          <w:sz w:val="28"/>
          <w:rtl/>
          <w:lang w:bidi="ar-SY"/>
        </w:rPr>
        <w:t>ص</w:t>
      </w:r>
      <w:r w:rsidR="00217AB4" w:rsidRPr="003F3B94">
        <w:rPr>
          <w:rFonts w:ascii="Abo-thar" w:hAnsi="Abo-thar"/>
          <w:sz w:val="28"/>
          <w:rtl/>
          <w:lang w:bidi="ar-SY"/>
        </w:rPr>
        <w:t>:</w:t>
      </w:r>
      <w:r w:rsidRPr="003F3B94">
        <w:rPr>
          <w:rFonts w:ascii="Abo-thar" w:hAnsi="Abo-thar"/>
          <w:sz w:val="28"/>
          <w:rtl/>
          <w:lang w:bidi="ar-SY"/>
        </w:rPr>
        <w:t xml:space="preserve"> </w:t>
      </w:r>
      <w:r w:rsidR="00EF2588" w:rsidRPr="003F3B94">
        <w:rPr>
          <w:rFonts w:ascii="Abo-thar" w:hAnsi="Abo-thar" w:hint="cs"/>
          <w:sz w:val="28"/>
          <w:rtl/>
          <w:lang w:bidi="ar-SY"/>
        </w:rPr>
        <w:t>«</w:t>
      </w:r>
      <w:r w:rsidRPr="00CE7623">
        <w:rPr>
          <w:rFonts w:ascii="Abo-thar" w:hAnsi="Abo-thar" w:cs="KFGQPC Uthman Taha Naskh"/>
          <w:b/>
          <w:bCs/>
          <w:sz w:val="28"/>
          <w:rtl/>
          <w:lang w:bidi="ar-SY"/>
        </w:rPr>
        <w:t>إن الله تبارك</w:t>
      </w:r>
      <w:r w:rsidR="00147857" w:rsidRPr="00CE7623">
        <w:rPr>
          <w:rFonts w:ascii="Abo-thar" w:hAnsi="Abo-thar" w:cs="KFGQPC Uthman Taha Naskh"/>
          <w:b/>
          <w:bCs/>
          <w:sz w:val="28"/>
          <w:rtl/>
          <w:lang w:bidi="ar-SY"/>
        </w:rPr>
        <w:t xml:space="preserve"> و</w:t>
      </w:r>
      <w:r w:rsidRPr="00CE7623">
        <w:rPr>
          <w:rFonts w:ascii="Abo-thar" w:hAnsi="Abo-thar" w:cs="KFGQPC Uthman Taha Naskh"/>
          <w:b/>
          <w:bCs/>
          <w:sz w:val="28"/>
          <w:rtl/>
          <w:lang w:bidi="ar-SY"/>
        </w:rPr>
        <w:t>تعالى رفع عنكم عُبِّ</w:t>
      </w:r>
      <w:r w:rsidRPr="00CE7623">
        <w:rPr>
          <w:rFonts w:ascii="Abo-thar" w:hAnsi="Abo-thar" w:cs="KFGQPC Uthman Taha Naskh" w:hint="cs"/>
          <w:b/>
          <w:bCs/>
          <w:sz w:val="28"/>
          <w:rtl/>
          <w:lang w:bidi="ar-SY"/>
        </w:rPr>
        <w:t>ـ</w:t>
      </w:r>
      <w:r w:rsidRPr="00CE7623">
        <w:rPr>
          <w:rFonts w:ascii="Abo-thar" w:hAnsi="Abo-thar" w:cs="KFGQPC Uthman Taha Naskh"/>
          <w:b/>
          <w:bCs/>
          <w:sz w:val="28"/>
          <w:rtl/>
          <w:lang w:bidi="ar-SY"/>
        </w:rPr>
        <w:t>يَّ</w:t>
      </w:r>
      <w:r w:rsidRPr="00CE7623">
        <w:rPr>
          <w:rFonts w:ascii="Abo-thar" w:hAnsi="Abo-thar" w:cs="KFGQPC Uthman Taha Naskh" w:hint="cs"/>
          <w:b/>
          <w:bCs/>
          <w:sz w:val="28"/>
          <w:rtl/>
          <w:lang w:bidi="ar-SY"/>
        </w:rPr>
        <w:t>ـ</w:t>
      </w:r>
      <w:r w:rsidRPr="00CE7623">
        <w:rPr>
          <w:rFonts w:ascii="Abo-thar" w:hAnsi="Abo-thar" w:cs="KFGQPC Uthman Taha Naskh"/>
          <w:b/>
          <w:bCs/>
          <w:sz w:val="28"/>
          <w:rtl/>
          <w:lang w:bidi="ar-SY"/>
        </w:rPr>
        <w:t>ة</w:t>
      </w:r>
      <w:r w:rsidR="00217AB4" w:rsidRPr="00CE7623">
        <w:rPr>
          <w:rFonts w:cs="KFGQPC Uthman Taha Naskh"/>
          <w:b/>
          <w:sz w:val="28"/>
          <w:vertAlign w:val="superscript"/>
          <w:rtl/>
          <w:lang w:bidi="ar-SY"/>
        </w:rPr>
        <w:t>(</w:t>
      </w:r>
      <w:r w:rsidRPr="00CE7623">
        <w:rPr>
          <w:rStyle w:val="FootnoteReference"/>
          <w:rFonts w:cs="KFGQPC Uthman Taha Naskh"/>
          <w:b/>
          <w:sz w:val="28"/>
          <w:rtl/>
          <w:lang w:bidi="ar-SY"/>
        </w:rPr>
        <w:footnoteReference w:id="107"/>
      </w:r>
      <w:r w:rsidR="00217AB4" w:rsidRPr="00CE7623">
        <w:rPr>
          <w:rFonts w:cs="KFGQPC Uthman Taha Naskh"/>
          <w:b/>
          <w:sz w:val="28"/>
          <w:vertAlign w:val="superscript"/>
          <w:rtl/>
          <w:lang w:bidi="ar-SY"/>
        </w:rPr>
        <w:t>)</w:t>
      </w:r>
      <w:r w:rsidRPr="00CE7623">
        <w:rPr>
          <w:rFonts w:cs="KFGQPC Uthman Taha Naskh"/>
          <w:sz w:val="28"/>
          <w:rtl/>
          <w:lang w:bidi="ar-SY"/>
        </w:rPr>
        <w:t xml:space="preserve"> </w:t>
      </w:r>
      <w:r w:rsidRPr="00CE7623">
        <w:rPr>
          <w:rFonts w:ascii="Abo-thar" w:hAnsi="Abo-thar" w:cs="KFGQPC Uthman Taha Naskh"/>
          <w:b/>
          <w:bCs/>
          <w:sz w:val="28"/>
          <w:rtl/>
          <w:lang w:bidi="ar-SY"/>
        </w:rPr>
        <w:t>[عنية] الجاهلية وفخرها بالآباء فالناس بنو آدم</w:t>
      </w:r>
      <w:r w:rsidR="00147857" w:rsidRPr="00CE7623">
        <w:rPr>
          <w:rFonts w:ascii="Abo-thar" w:hAnsi="Abo-thar" w:cs="KFGQPC Uthman Taha Naskh"/>
          <w:b/>
          <w:bCs/>
          <w:sz w:val="28"/>
          <w:rtl/>
          <w:lang w:bidi="ar-SY"/>
        </w:rPr>
        <w:t xml:space="preserve"> و</w:t>
      </w:r>
      <w:r w:rsidRPr="00CE7623">
        <w:rPr>
          <w:rFonts w:ascii="Abo-thar" w:hAnsi="Abo-thar" w:cs="KFGQPC Uthman Taha Naskh"/>
          <w:b/>
          <w:bCs/>
          <w:sz w:val="28"/>
          <w:rtl/>
          <w:lang w:bidi="ar-SY"/>
        </w:rPr>
        <w:t>آدم خ</w:t>
      </w:r>
      <w:r w:rsidRPr="00CE7623">
        <w:rPr>
          <w:rFonts w:ascii="Abo-thar" w:hAnsi="Abo-thar" w:cs="KFGQPC Uthman Taha Naskh" w:hint="cs"/>
          <w:b/>
          <w:bCs/>
          <w:sz w:val="28"/>
          <w:rtl/>
          <w:lang w:bidi="ar-SY"/>
        </w:rPr>
        <w:t>ُ</w:t>
      </w:r>
      <w:r w:rsidRPr="00CE7623">
        <w:rPr>
          <w:rFonts w:ascii="Abo-thar" w:hAnsi="Abo-thar" w:cs="KFGQPC Uthman Taha Naskh"/>
          <w:b/>
          <w:bCs/>
          <w:sz w:val="28"/>
          <w:rtl/>
          <w:lang w:bidi="ar-SY"/>
        </w:rPr>
        <w:t>ل</w:t>
      </w:r>
      <w:r w:rsidRPr="00CE7623">
        <w:rPr>
          <w:rFonts w:ascii="Abo-thar" w:hAnsi="Abo-thar" w:cs="KFGQPC Uthman Taha Naskh" w:hint="cs"/>
          <w:b/>
          <w:bCs/>
          <w:sz w:val="28"/>
          <w:rtl/>
          <w:lang w:bidi="ar-SY"/>
        </w:rPr>
        <w:t>ِ</w:t>
      </w:r>
      <w:r w:rsidRPr="00CE7623">
        <w:rPr>
          <w:rFonts w:ascii="Abo-thar" w:hAnsi="Abo-thar" w:cs="KFGQPC Uthman Taha Naskh"/>
          <w:b/>
          <w:bCs/>
          <w:sz w:val="28"/>
          <w:rtl/>
          <w:lang w:bidi="ar-SY"/>
        </w:rPr>
        <w:t>ق</w:t>
      </w:r>
      <w:r w:rsidRPr="00CE7623">
        <w:rPr>
          <w:rFonts w:ascii="Abo-thar" w:hAnsi="Abo-thar" w:cs="KFGQPC Uthman Taha Naskh" w:hint="cs"/>
          <w:b/>
          <w:bCs/>
          <w:sz w:val="28"/>
          <w:rtl/>
          <w:lang w:bidi="ar-SY"/>
        </w:rPr>
        <w:t>َ</w:t>
      </w:r>
      <w:r w:rsidRPr="00CE7623">
        <w:rPr>
          <w:rFonts w:ascii="Abo-thar" w:hAnsi="Abo-thar" w:cs="KFGQPC Uthman Taha Naskh"/>
          <w:b/>
          <w:bCs/>
          <w:sz w:val="28"/>
          <w:rtl/>
          <w:lang w:bidi="ar-SY"/>
        </w:rPr>
        <w:t xml:space="preserve"> من تراب</w:t>
      </w:r>
      <w:r w:rsidR="00EF2588" w:rsidRPr="003F3B94">
        <w:rPr>
          <w:rFonts w:ascii="Abo-thar" w:hAnsi="Abo-thar" w:hint="cs"/>
          <w:sz w:val="28"/>
          <w:rtl/>
          <w:lang w:bidi="ar-SY"/>
        </w:rPr>
        <w:t>»</w:t>
      </w:r>
      <w:r w:rsidR="00217AB4" w:rsidRPr="003F3B94">
        <w:rPr>
          <w:rFonts w:ascii="Abo-thar" w:hAnsi="Abo-thar" w:hint="cs"/>
          <w:sz w:val="28"/>
          <w:rtl/>
          <w:lang w:bidi="ar-SY"/>
        </w:rPr>
        <w:t>.</w:t>
      </w:r>
      <w:r w:rsidRPr="003F3B94">
        <w:rPr>
          <w:rFonts w:ascii="Abo-thar" w:hAnsi="Abo-thar" w:hint="cs"/>
          <w:sz w:val="28"/>
          <w:rtl/>
          <w:lang w:bidi="ar-SY"/>
        </w:rPr>
        <w:t xml:space="preserve"> </w:t>
      </w:r>
    </w:p>
    <w:p w:rsidR="005C664D" w:rsidRPr="00995B26" w:rsidRDefault="005C664D" w:rsidP="00502770">
      <w:pPr>
        <w:pStyle w:val="a0"/>
        <w:rPr>
          <w:rFonts w:hint="cs"/>
          <w:rtl/>
          <w:lang w:bidi="ar-SY"/>
        </w:rPr>
      </w:pPr>
      <w:r w:rsidRPr="003F3B94">
        <w:rPr>
          <w:rFonts w:ascii="Abo-thar" w:hAnsi="Abo-thar" w:hint="cs"/>
          <w:sz w:val="28"/>
          <w:rtl/>
          <w:lang w:bidi="ar-SY"/>
        </w:rPr>
        <w:t>3</w:t>
      </w:r>
      <w:r w:rsidR="00217AB4" w:rsidRPr="003F3B94">
        <w:rPr>
          <w:rFonts w:ascii="Abo-thar" w:hAnsi="Abo-thar" w:hint="cs"/>
          <w:sz w:val="28"/>
          <w:rtl/>
          <w:lang w:bidi="ar-SY"/>
        </w:rPr>
        <w:t>-</w:t>
      </w:r>
      <w:r w:rsidRPr="003F3B94">
        <w:rPr>
          <w:rFonts w:ascii="Abo-thar" w:hAnsi="Abo-thar" w:hint="cs"/>
          <w:sz w:val="28"/>
          <w:rtl/>
          <w:lang w:bidi="ar-SY"/>
        </w:rPr>
        <w:t xml:space="preserve"> وجاء في رجال الكشي</w:t>
      </w:r>
      <w:r w:rsidR="001A5AE4" w:rsidRPr="003F3B94">
        <w:rPr>
          <w:rFonts w:ascii="Abo-thar" w:hAnsi="Abo-thar" w:hint="cs"/>
          <w:sz w:val="28"/>
          <w:rtl/>
          <w:lang w:bidi="ar-SY"/>
        </w:rPr>
        <w:t>،</w:t>
      </w:r>
      <w:r w:rsidRPr="003F3B94">
        <w:rPr>
          <w:rFonts w:ascii="Abo-thar" w:hAnsi="Abo-thar" w:hint="cs"/>
          <w:sz w:val="28"/>
          <w:rtl/>
          <w:lang w:bidi="ar-SY"/>
        </w:rPr>
        <w:t xml:space="preserve"> </w:t>
      </w:r>
      <w:r w:rsidR="001A5AE4" w:rsidRPr="003F3B94">
        <w:rPr>
          <w:rFonts w:ascii="Abo-thar" w:hAnsi="Abo-thar" w:hint="cs"/>
          <w:sz w:val="28"/>
          <w:rtl/>
          <w:lang w:bidi="ar-SY"/>
        </w:rPr>
        <w:t>و</w:t>
      </w:r>
      <w:r w:rsidRPr="003F3B94">
        <w:rPr>
          <w:rFonts w:ascii="Abo-thar" w:hAnsi="Abo-thar" w:hint="cs"/>
          <w:sz w:val="28"/>
          <w:rtl/>
          <w:lang w:bidi="ar-SY"/>
        </w:rPr>
        <w:t xml:space="preserve">أمالي </w:t>
      </w:r>
      <w:r w:rsidR="001A5AE4" w:rsidRPr="003F3B94">
        <w:rPr>
          <w:rFonts w:ascii="Abo-thar" w:hAnsi="Abo-thar" w:hint="cs"/>
          <w:sz w:val="28"/>
          <w:rtl/>
          <w:lang w:bidi="ar-SY"/>
        </w:rPr>
        <w:t>الطوسي:</w:t>
      </w:r>
      <w:r w:rsidR="00502770">
        <w:rPr>
          <w:rFonts w:ascii="Abo-thar" w:hAnsi="Abo-thar" w:hint="cs"/>
          <w:sz w:val="28"/>
          <w:rtl/>
          <w:lang w:bidi="ar-SY"/>
        </w:rPr>
        <w:t xml:space="preserve"> </w:t>
      </w:r>
      <w:r w:rsidR="00EF2588" w:rsidRPr="003F3B94">
        <w:rPr>
          <w:rFonts w:ascii="Abo-thar" w:hAnsi="Abo-thar" w:hint="cs"/>
          <w:sz w:val="28"/>
          <w:rtl/>
          <w:lang w:bidi="ar-SY"/>
        </w:rPr>
        <w:t>«</w:t>
      </w:r>
      <w:r w:rsidRPr="003F3B94">
        <w:rPr>
          <w:rFonts w:ascii="Abo-thar" w:hAnsi="Abo-thar"/>
          <w:sz w:val="28"/>
          <w:rtl/>
          <w:lang w:bidi="ar-SY"/>
        </w:rPr>
        <w:t>عن حنان بن سدير الصيرفي</w:t>
      </w:r>
      <w:r w:rsidR="00217AB4" w:rsidRPr="003F3B94">
        <w:rPr>
          <w:rFonts w:ascii="Abo-thar" w:hAnsi="Abo-thar"/>
          <w:sz w:val="28"/>
          <w:rtl/>
          <w:lang w:bidi="ar-SY"/>
        </w:rPr>
        <w:t>،</w:t>
      </w:r>
      <w:r w:rsidRPr="003F3B94">
        <w:rPr>
          <w:rFonts w:ascii="Abo-thar" w:hAnsi="Abo-thar"/>
          <w:sz w:val="28"/>
          <w:rtl/>
          <w:lang w:bidi="ar-SY"/>
        </w:rPr>
        <w:t xml:space="preserve"> عن أبيه</w:t>
      </w:r>
      <w:r w:rsidR="00217AB4" w:rsidRPr="003F3B94">
        <w:rPr>
          <w:rFonts w:ascii="Abo-thar" w:hAnsi="Abo-thar"/>
          <w:sz w:val="28"/>
          <w:rtl/>
          <w:lang w:bidi="ar-SY"/>
        </w:rPr>
        <w:t>،</w:t>
      </w:r>
      <w:r w:rsidRPr="003F3B94">
        <w:rPr>
          <w:rFonts w:ascii="Abo-thar" w:hAnsi="Abo-thar"/>
          <w:sz w:val="28"/>
          <w:rtl/>
          <w:lang w:bidi="ar-SY"/>
        </w:rPr>
        <w:t xml:space="preserve"> عن أبي جعفر محمد بن علي الباقر </w:t>
      </w:r>
      <w:r w:rsidR="003C7AEB" w:rsidRPr="003C7AEB">
        <w:rPr>
          <w:rFonts w:ascii="Abo-thar" w:hAnsi="Abo-thar" w:cs="CTraditional Arabic"/>
          <w:sz w:val="28"/>
          <w:rtl/>
          <w:lang w:bidi="ar-SY"/>
        </w:rPr>
        <w:t>إ</w:t>
      </w:r>
      <w:r w:rsidR="00217AB4" w:rsidRPr="003F3B94">
        <w:rPr>
          <w:rFonts w:ascii="Abo-thar" w:hAnsi="Abo-thar"/>
          <w:sz w:val="28"/>
          <w:rtl/>
          <w:lang w:bidi="ar-SY"/>
        </w:rPr>
        <w:t>،</w:t>
      </w:r>
      <w:r w:rsidRPr="003F3B94">
        <w:rPr>
          <w:rFonts w:ascii="Abo-thar" w:hAnsi="Abo-thar"/>
          <w:sz w:val="28"/>
          <w:rtl/>
          <w:lang w:bidi="ar-SY"/>
        </w:rPr>
        <w:t xml:space="preserve"> قال</w:t>
      </w:r>
      <w:r w:rsidR="00217AB4" w:rsidRPr="003F3B94">
        <w:rPr>
          <w:rFonts w:ascii="Abo-thar" w:hAnsi="Abo-thar" w:hint="cs"/>
          <w:sz w:val="28"/>
          <w:rtl/>
          <w:lang w:bidi="ar-SY"/>
        </w:rPr>
        <w:t>:</w:t>
      </w:r>
      <w:r w:rsidRPr="003F3B94">
        <w:rPr>
          <w:rFonts w:ascii="Abo-thar" w:hAnsi="Abo-thar"/>
          <w:sz w:val="28"/>
          <w:rtl/>
          <w:lang w:bidi="ar-SY"/>
        </w:rPr>
        <w:t xml:space="preserve"> </w:t>
      </w:r>
      <w:r w:rsidRPr="00CE7623">
        <w:rPr>
          <w:rFonts w:ascii="Abo-thar" w:hAnsi="Abo-thar" w:cs="KFGQPC Uthman Taha Naskh"/>
          <w:b/>
          <w:bCs/>
          <w:sz w:val="28"/>
          <w:rtl/>
          <w:lang w:bidi="ar-SY"/>
        </w:rPr>
        <w:t>جلس جماعة من أصحاب رسول الله</w:t>
      </w:r>
      <w:r w:rsidR="00EF2588" w:rsidRPr="00CE7623">
        <w:rPr>
          <w:rFonts w:ascii="Abo-thar" w:hAnsi="Abo-thar" w:cs="KFGQPC Uthman Taha Naskh"/>
          <w:b/>
          <w:bCs/>
          <w:sz w:val="28"/>
          <w:rtl/>
          <w:lang w:bidi="ar-SY"/>
        </w:rPr>
        <w:t xml:space="preserve"> </w:t>
      </w:r>
      <w:r w:rsidR="00EF2588" w:rsidRPr="00CE7623">
        <w:rPr>
          <w:rFonts w:ascii="Abo-thar" w:hAnsi="Abo-thar" w:cs="KFGQPC Uthman Taha Naskh"/>
          <w:sz w:val="28"/>
          <w:rtl/>
          <w:lang w:bidi="ar-SY"/>
        </w:rPr>
        <w:t xml:space="preserve">صلى الله عليه وآله </w:t>
      </w:r>
      <w:r w:rsidRPr="00CE7623">
        <w:rPr>
          <w:rFonts w:ascii="Abo-thar" w:hAnsi="Abo-thar" w:cs="KFGQPC Uthman Taha Naskh"/>
          <w:b/>
          <w:bCs/>
          <w:sz w:val="28"/>
          <w:rtl/>
          <w:lang w:bidi="ar-SY"/>
        </w:rPr>
        <w:t>ينتسبون ويفتخرون</w:t>
      </w:r>
      <w:r w:rsidR="00217AB4" w:rsidRPr="00CE7623">
        <w:rPr>
          <w:rFonts w:ascii="Abo-thar" w:hAnsi="Abo-thar" w:cs="KFGQPC Uthman Taha Naskh"/>
          <w:b/>
          <w:bCs/>
          <w:sz w:val="28"/>
          <w:rtl/>
          <w:lang w:bidi="ar-SY"/>
        </w:rPr>
        <w:t>،</w:t>
      </w:r>
      <w:r w:rsidR="00147857" w:rsidRPr="00CE7623">
        <w:rPr>
          <w:rFonts w:ascii="Abo-thar" w:hAnsi="Abo-thar" w:cs="KFGQPC Uthman Taha Naskh"/>
          <w:b/>
          <w:bCs/>
          <w:sz w:val="28"/>
          <w:rtl/>
          <w:lang w:bidi="ar-SY"/>
        </w:rPr>
        <w:t xml:space="preserve"> و</w:t>
      </w:r>
      <w:r w:rsidRPr="00CE7623">
        <w:rPr>
          <w:rFonts w:ascii="Abo-thar" w:hAnsi="Abo-thar" w:cs="KFGQPC Uthman Taha Naskh"/>
          <w:b/>
          <w:bCs/>
          <w:sz w:val="28"/>
          <w:rtl/>
          <w:lang w:bidi="ar-SY"/>
        </w:rPr>
        <w:t xml:space="preserve">فيهم سلمان </w:t>
      </w:r>
      <w:r w:rsidR="00217AB4" w:rsidRPr="00CE7623">
        <w:rPr>
          <w:rFonts w:ascii="Abo-thar" w:hAnsi="Abo-thar" w:cs="KFGQPC Uthman Taha Naskh"/>
          <w:b/>
          <w:bCs/>
          <w:sz w:val="28"/>
          <w:rtl/>
          <w:lang w:bidi="ar-SY"/>
        </w:rPr>
        <w:t>(</w:t>
      </w:r>
      <w:r w:rsidRPr="00CE7623">
        <w:rPr>
          <w:rFonts w:ascii="Abo-thar" w:hAnsi="Abo-thar" w:cs="KFGQPC Uthman Taha Naskh"/>
          <w:b/>
          <w:bCs/>
          <w:sz w:val="28"/>
          <w:rtl/>
          <w:lang w:bidi="ar-SY"/>
        </w:rPr>
        <w:t>رحمه الله</w:t>
      </w:r>
      <w:r w:rsidR="00217AB4" w:rsidRPr="00CE7623">
        <w:rPr>
          <w:rFonts w:ascii="Abo-thar" w:hAnsi="Abo-thar" w:cs="KFGQPC Uthman Taha Naskh"/>
          <w:b/>
          <w:bCs/>
          <w:sz w:val="28"/>
          <w:rtl/>
          <w:lang w:bidi="ar-SY"/>
        </w:rPr>
        <w:t>)،</w:t>
      </w:r>
      <w:r w:rsidRPr="00CE7623">
        <w:rPr>
          <w:rFonts w:ascii="Abo-thar" w:hAnsi="Abo-thar" w:cs="KFGQPC Uthman Taha Naskh"/>
          <w:b/>
          <w:bCs/>
          <w:sz w:val="28"/>
          <w:rtl/>
          <w:lang w:bidi="ar-SY"/>
        </w:rPr>
        <w:t xml:space="preserve"> فقال له ع</w:t>
      </w:r>
      <w:r w:rsidRPr="00CE7623">
        <w:rPr>
          <w:rFonts w:ascii="Abo-thar" w:hAnsi="Abo-thar" w:cs="KFGQPC Uthman Taha Naskh" w:hint="cs"/>
          <w:b/>
          <w:bCs/>
          <w:sz w:val="28"/>
          <w:rtl/>
          <w:lang w:bidi="ar-SY"/>
        </w:rPr>
        <w:t>ُ</w:t>
      </w:r>
      <w:r w:rsidRPr="00CE7623">
        <w:rPr>
          <w:rFonts w:ascii="Abo-thar" w:hAnsi="Abo-thar" w:cs="KFGQPC Uthman Taha Naskh"/>
          <w:b/>
          <w:bCs/>
          <w:sz w:val="28"/>
          <w:rtl/>
          <w:lang w:bidi="ar-SY"/>
        </w:rPr>
        <w:t>م</w:t>
      </w:r>
      <w:r w:rsidRPr="00CE7623">
        <w:rPr>
          <w:rFonts w:ascii="Abo-thar" w:hAnsi="Abo-thar" w:cs="KFGQPC Uthman Taha Naskh" w:hint="cs"/>
          <w:b/>
          <w:bCs/>
          <w:sz w:val="28"/>
          <w:rtl/>
          <w:lang w:bidi="ar-SY"/>
        </w:rPr>
        <w:t>َ</w:t>
      </w:r>
      <w:r w:rsidRPr="00CE7623">
        <w:rPr>
          <w:rFonts w:ascii="Abo-thar" w:hAnsi="Abo-thar" w:cs="KFGQPC Uthman Taha Naskh"/>
          <w:b/>
          <w:bCs/>
          <w:sz w:val="28"/>
          <w:rtl/>
          <w:lang w:bidi="ar-SY"/>
        </w:rPr>
        <w:t>ر ما نسبتك أنت يا سلمان</w:t>
      </w:r>
      <w:r w:rsidR="00147857" w:rsidRPr="00CE7623">
        <w:rPr>
          <w:rFonts w:ascii="Abo-thar" w:hAnsi="Abo-thar" w:cs="KFGQPC Uthman Taha Naskh"/>
          <w:b/>
          <w:bCs/>
          <w:sz w:val="28"/>
          <w:rtl/>
          <w:lang w:bidi="ar-SY"/>
        </w:rPr>
        <w:t xml:space="preserve"> و</w:t>
      </w:r>
      <w:r w:rsidRPr="00CE7623">
        <w:rPr>
          <w:rFonts w:ascii="Abo-thar" w:hAnsi="Abo-thar" w:cs="KFGQPC Uthman Taha Naskh"/>
          <w:b/>
          <w:bCs/>
          <w:sz w:val="28"/>
          <w:rtl/>
          <w:lang w:bidi="ar-SY"/>
        </w:rPr>
        <w:t>ما أصلك</w:t>
      </w:r>
      <w:r w:rsidR="00217AB4" w:rsidRPr="00CE7623">
        <w:rPr>
          <w:rFonts w:ascii="Abo-thar" w:hAnsi="Abo-thar" w:cs="KFGQPC Uthman Taha Naskh" w:hint="cs"/>
          <w:b/>
          <w:bCs/>
          <w:sz w:val="28"/>
          <w:rtl/>
          <w:lang w:bidi="ar-SY"/>
        </w:rPr>
        <w:t>؟</w:t>
      </w:r>
      <w:r w:rsidRPr="00CE7623">
        <w:rPr>
          <w:rFonts w:ascii="Abo-thar" w:hAnsi="Abo-thar" w:cs="KFGQPC Uthman Taha Naskh"/>
          <w:b/>
          <w:bCs/>
          <w:sz w:val="28"/>
          <w:rtl/>
          <w:lang w:bidi="ar-SY"/>
        </w:rPr>
        <w:t xml:space="preserve"> فقال</w:t>
      </w:r>
      <w:r w:rsidR="00217AB4" w:rsidRPr="00CE7623">
        <w:rPr>
          <w:rFonts w:ascii="Abo-thar" w:hAnsi="Abo-thar" w:cs="KFGQPC Uthman Taha Naskh" w:hint="cs"/>
          <w:b/>
          <w:bCs/>
          <w:sz w:val="28"/>
          <w:rtl/>
          <w:lang w:bidi="ar-SY"/>
        </w:rPr>
        <w:t>:</w:t>
      </w:r>
      <w:r w:rsidRPr="00CE7623">
        <w:rPr>
          <w:rFonts w:ascii="Abo-thar" w:hAnsi="Abo-thar" w:cs="KFGQPC Uthman Taha Naskh"/>
          <w:b/>
          <w:bCs/>
          <w:sz w:val="28"/>
          <w:rtl/>
          <w:lang w:bidi="ar-SY"/>
        </w:rPr>
        <w:t xml:space="preserve"> أنا سلمان بن عبد الله</w:t>
      </w:r>
      <w:r w:rsidR="00217AB4" w:rsidRPr="00CE7623">
        <w:rPr>
          <w:rFonts w:ascii="Abo-thar" w:hAnsi="Abo-thar" w:cs="KFGQPC Uthman Taha Naskh"/>
          <w:b/>
          <w:bCs/>
          <w:sz w:val="28"/>
          <w:rtl/>
          <w:lang w:bidi="ar-SY"/>
        </w:rPr>
        <w:t>،</w:t>
      </w:r>
      <w:r w:rsidRPr="00CE7623">
        <w:rPr>
          <w:rFonts w:ascii="Abo-thar" w:hAnsi="Abo-thar" w:cs="KFGQPC Uthman Taha Naskh"/>
          <w:b/>
          <w:bCs/>
          <w:sz w:val="28"/>
          <w:rtl/>
          <w:lang w:bidi="ar-SY"/>
        </w:rPr>
        <w:t xml:space="preserve"> كنت ضالا</w:t>
      </w:r>
      <w:r w:rsidRPr="00CE7623">
        <w:rPr>
          <w:rFonts w:ascii="Abo-thar" w:hAnsi="Abo-thar" w:cs="KFGQPC Uthman Taha Naskh" w:hint="cs"/>
          <w:b/>
          <w:bCs/>
          <w:sz w:val="28"/>
          <w:rtl/>
          <w:lang w:bidi="ar-SY"/>
        </w:rPr>
        <w:t>ً</w:t>
      </w:r>
      <w:r w:rsidRPr="00CE7623">
        <w:rPr>
          <w:rFonts w:ascii="Abo-thar" w:hAnsi="Abo-thar" w:cs="KFGQPC Uthman Taha Naskh"/>
          <w:b/>
          <w:bCs/>
          <w:sz w:val="28"/>
          <w:rtl/>
          <w:lang w:bidi="ar-SY"/>
        </w:rPr>
        <w:t xml:space="preserve"> فهداني الله بمحمد</w:t>
      </w:r>
      <w:r w:rsidR="00EF2588" w:rsidRPr="00CE7623">
        <w:rPr>
          <w:rFonts w:ascii="Abo-thar" w:hAnsi="Abo-thar" w:cs="KFGQPC Uthman Taha Naskh"/>
          <w:b/>
          <w:bCs/>
          <w:sz w:val="28"/>
          <w:rtl/>
          <w:lang w:bidi="ar-SY"/>
        </w:rPr>
        <w:t xml:space="preserve"> </w:t>
      </w:r>
      <w:r w:rsidR="00EF2588" w:rsidRPr="00CE7623">
        <w:rPr>
          <w:rFonts w:ascii="Abo-thar" w:hAnsi="Abo-thar" w:cs="KFGQPC Uthman Taha Naskh"/>
          <w:sz w:val="28"/>
          <w:rtl/>
          <w:lang w:bidi="ar-SY"/>
        </w:rPr>
        <w:t>صلى الله عليه وآله</w:t>
      </w:r>
      <w:r w:rsidR="001D7DEC" w:rsidRPr="00CE7623">
        <w:rPr>
          <w:rFonts w:ascii="Abo-thar" w:hAnsi="Abo-thar" w:cs="KFGQPC Uthman Taha Naskh"/>
          <w:sz w:val="28"/>
          <w:rtl/>
          <w:lang w:bidi="ar-SY"/>
        </w:rPr>
        <w:t>،</w:t>
      </w:r>
      <w:r w:rsidRPr="00CE7623">
        <w:rPr>
          <w:rFonts w:ascii="Abo-thar" w:hAnsi="Abo-thar" w:cs="KFGQPC Uthman Taha Naskh"/>
          <w:b/>
          <w:bCs/>
          <w:sz w:val="28"/>
          <w:rtl/>
          <w:lang w:bidi="ar-SY"/>
        </w:rPr>
        <w:t xml:space="preserve"> وكنت عائلا</w:t>
      </w:r>
      <w:r w:rsidRPr="00CE7623">
        <w:rPr>
          <w:rFonts w:ascii="Abo-thar" w:hAnsi="Abo-thar" w:cs="KFGQPC Uthman Taha Naskh" w:hint="cs"/>
          <w:b/>
          <w:bCs/>
          <w:sz w:val="28"/>
          <w:rtl/>
          <w:lang w:bidi="ar-SY"/>
        </w:rPr>
        <w:t>ً</w:t>
      </w:r>
      <w:r w:rsidRPr="00CE7623">
        <w:rPr>
          <w:rFonts w:ascii="Abo-thar" w:hAnsi="Abo-thar" w:cs="KFGQPC Uthman Taha Naskh"/>
          <w:b/>
          <w:bCs/>
          <w:sz w:val="28"/>
          <w:rtl/>
          <w:lang w:bidi="ar-SY"/>
        </w:rPr>
        <w:t xml:space="preserve"> فأغناني الله بمحمد</w:t>
      </w:r>
      <w:r w:rsidR="00EF2588" w:rsidRPr="00CE7623">
        <w:rPr>
          <w:rFonts w:ascii="Abo-thar" w:hAnsi="Abo-thar" w:cs="KFGQPC Uthman Taha Naskh"/>
          <w:b/>
          <w:bCs/>
          <w:sz w:val="28"/>
          <w:rtl/>
          <w:lang w:bidi="ar-SY"/>
        </w:rPr>
        <w:t xml:space="preserve"> </w:t>
      </w:r>
      <w:r w:rsidR="00EF2588" w:rsidRPr="00CE7623">
        <w:rPr>
          <w:rFonts w:ascii="Abo-thar" w:hAnsi="Abo-thar" w:cs="KFGQPC Uthman Taha Naskh"/>
          <w:sz w:val="28"/>
          <w:rtl/>
          <w:lang w:bidi="ar-SY"/>
        </w:rPr>
        <w:t>صلى الله عليه وآله</w:t>
      </w:r>
      <w:r w:rsidR="001D7DEC" w:rsidRPr="00CE7623">
        <w:rPr>
          <w:rFonts w:ascii="Abo-thar" w:hAnsi="Abo-thar" w:cs="KFGQPC Uthman Taha Naskh"/>
          <w:sz w:val="28"/>
          <w:rtl/>
          <w:lang w:bidi="ar-SY"/>
        </w:rPr>
        <w:t>،</w:t>
      </w:r>
      <w:r w:rsidRPr="00CE7623">
        <w:rPr>
          <w:rFonts w:ascii="Abo-thar" w:hAnsi="Abo-thar" w:cs="KFGQPC Uthman Taha Naskh"/>
          <w:b/>
          <w:bCs/>
          <w:sz w:val="28"/>
          <w:rtl/>
          <w:lang w:bidi="ar-SY"/>
        </w:rPr>
        <w:t xml:space="preserve"> وكنت مملوكا</w:t>
      </w:r>
      <w:r w:rsidRPr="00CE7623">
        <w:rPr>
          <w:rFonts w:ascii="Abo-thar" w:hAnsi="Abo-thar" w:cs="KFGQPC Uthman Taha Naskh" w:hint="cs"/>
          <w:b/>
          <w:bCs/>
          <w:sz w:val="28"/>
          <w:rtl/>
          <w:lang w:bidi="ar-SY"/>
        </w:rPr>
        <w:t>ً</w:t>
      </w:r>
      <w:r w:rsidRPr="00CE7623">
        <w:rPr>
          <w:rFonts w:ascii="Abo-thar" w:hAnsi="Abo-thar" w:cs="KFGQPC Uthman Taha Naskh"/>
          <w:b/>
          <w:bCs/>
          <w:sz w:val="28"/>
          <w:rtl/>
          <w:lang w:bidi="ar-SY"/>
        </w:rPr>
        <w:t xml:space="preserve"> فأعتقني الله بمحمد</w:t>
      </w:r>
      <w:r w:rsidR="00EF2588" w:rsidRPr="00CE7623">
        <w:rPr>
          <w:rFonts w:ascii="Abo-thar" w:hAnsi="Abo-thar" w:cs="KFGQPC Uthman Taha Naskh"/>
          <w:b/>
          <w:bCs/>
          <w:sz w:val="28"/>
          <w:rtl/>
          <w:lang w:bidi="ar-SY"/>
        </w:rPr>
        <w:t xml:space="preserve"> </w:t>
      </w:r>
      <w:r w:rsidR="00EF2588" w:rsidRPr="00CE7623">
        <w:rPr>
          <w:rFonts w:ascii="Abo-thar" w:hAnsi="Abo-thar" w:cs="KFGQPC Uthman Taha Naskh"/>
          <w:sz w:val="28"/>
          <w:rtl/>
          <w:lang w:bidi="ar-SY"/>
        </w:rPr>
        <w:t>صلى الله عليه وآله</w:t>
      </w:r>
      <w:r w:rsidR="001D7DEC" w:rsidRPr="00CE7623">
        <w:rPr>
          <w:rFonts w:ascii="Abo-thar" w:hAnsi="Abo-thar" w:cs="KFGQPC Uthman Taha Naskh"/>
          <w:sz w:val="28"/>
          <w:rtl/>
          <w:lang w:bidi="ar-SY"/>
        </w:rPr>
        <w:t>،</w:t>
      </w:r>
      <w:r w:rsidRPr="00CE7623">
        <w:rPr>
          <w:rFonts w:ascii="Abo-thar" w:hAnsi="Abo-thar" w:cs="KFGQPC Uthman Taha Naskh"/>
          <w:b/>
          <w:bCs/>
          <w:sz w:val="28"/>
          <w:rtl/>
          <w:lang w:bidi="ar-SY"/>
        </w:rPr>
        <w:t xml:space="preserve"> فهذا حسبي و</w:t>
      </w:r>
      <w:r w:rsidRPr="00CE7623">
        <w:rPr>
          <w:rFonts w:ascii="Abo-thar" w:hAnsi="Abo-thar" w:cs="KFGQPC Uthman Taha Naskh" w:hint="cs"/>
          <w:b/>
          <w:bCs/>
          <w:sz w:val="28"/>
          <w:rtl/>
          <w:lang w:bidi="ar-SY"/>
        </w:rPr>
        <w:t>َ</w:t>
      </w:r>
      <w:r w:rsidRPr="00CE7623">
        <w:rPr>
          <w:rFonts w:ascii="Abo-thar" w:hAnsi="Abo-thar" w:cs="KFGQPC Uthman Taha Naskh"/>
          <w:b/>
          <w:bCs/>
          <w:sz w:val="28"/>
          <w:rtl/>
          <w:lang w:bidi="ar-SY"/>
        </w:rPr>
        <w:t>ن</w:t>
      </w:r>
      <w:r w:rsidRPr="00CE7623">
        <w:rPr>
          <w:rFonts w:ascii="Abo-thar" w:hAnsi="Abo-thar" w:cs="KFGQPC Uthman Taha Naskh" w:hint="cs"/>
          <w:b/>
          <w:bCs/>
          <w:sz w:val="28"/>
          <w:rtl/>
          <w:lang w:bidi="ar-SY"/>
        </w:rPr>
        <w:t>َ</w:t>
      </w:r>
      <w:r w:rsidRPr="00CE7623">
        <w:rPr>
          <w:rFonts w:ascii="Abo-thar" w:hAnsi="Abo-thar" w:cs="KFGQPC Uthman Taha Naskh"/>
          <w:b/>
          <w:bCs/>
          <w:sz w:val="28"/>
          <w:rtl/>
          <w:lang w:bidi="ar-SY"/>
        </w:rPr>
        <w:t>س</w:t>
      </w:r>
      <w:r w:rsidRPr="00CE7623">
        <w:rPr>
          <w:rFonts w:ascii="Abo-thar" w:hAnsi="Abo-thar" w:cs="KFGQPC Uthman Taha Naskh" w:hint="cs"/>
          <w:b/>
          <w:bCs/>
          <w:sz w:val="28"/>
          <w:rtl/>
          <w:lang w:bidi="ar-SY"/>
        </w:rPr>
        <w:t>َ</w:t>
      </w:r>
      <w:r w:rsidRPr="00CE7623">
        <w:rPr>
          <w:rFonts w:ascii="Abo-thar" w:hAnsi="Abo-thar" w:cs="KFGQPC Uthman Taha Naskh"/>
          <w:b/>
          <w:bCs/>
          <w:sz w:val="28"/>
          <w:rtl/>
          <w:lang w:bidi="ar-SY"/>
        </w:rPr>
        <w:t>بي يا ع</w:t>
      </w:r>
      <w:r w:rsidRPr="00CE7623">
        <w:rPr>
          <w:rFonts w:ascii="Abo-thar" w:hAnsi="Abo-thar" w:cs="KFGQPC Uthman Taha Naskh" w:hint="cs"/>
          <w:b/>
          <w:bCs/>
          <w:sz w:val="28"/>
          <w:rtl/>
          <w:lang w:bidi="ar-SY"/>
        </w:rPr>
        <w:t>ُ</w:t>
      </w:r>
      <w:r w:rsidRPr="00CE7623">
        <w:rPr>
          <w:rFonts w:ascii="Abo-thar" w:hAnsi="Abo-thar" w:cs="KFGQPC Uthman Taha Naskh"/>
          <w:b/>
          <w:bCs/>
          <w:sz w:val="28"/>
          <w:rtl/>
          <w:lang w:bidi="ar-SY"/>
        </w:rPr>
        <w:t>م</w:t>
      </w:r>
      <w:r w:rsidRPr="00CE7623">
        <w:rPr>
          <w:rFonts w:ascii="Abo-thar" w:hAnsi="Abo-thar" w:cs="KFGQPC Uthman Taha Naskh" w:hint="cs"/>
          <w:b/>
          <w:bCs/>
          <w:sz w:val="28"/>
          <w:rtl/>
          <w:lang w:bidi="ar-SY"/>
        </w:rPr>
        <w:t>َ</w:t>
      </w:r>
      <w:r w:rsidRPr="00CE7623">
        <w:rPr>
          <w:rFonts w:ascii="Abo-thar" w:hAnsi="Abo-thar" w:cs="KFGQPC Uthman Taha Naskh"/>
          <w:b/>
          <w:bCs/>
          <w:sz w:val="28"/>
          <w:rtl/>
          <w:lang w:bidi="ar-SY"/>
        </w:rPr>
        <w:t>ر</w:t>
      </w:r>
      <w:r w:rsidR="00217AB4" w:rsidRPr="00CE7623">
        <w:rPr>
          <w:rFonts w:ascii="Abo-thar" w:hAnsi="Abo-thar" w:cs="KFGQPC Uthman Taha Naskh"/>
          <w:b/>
          <w:bCs/>
          <w:sz w:val="28"/>
          <w:rtl/>
          <w:lang w:bidi="ar-SY"/>
        </w:rPr>
        <w:t>.</w:t>
      </w:r>
      <w:r w:rsidRPr="00CE7623">
        <w:rPr>
          <w:rFonts w:ascii="Abo-thar" w:hAnsi="Abo-thar" w:cs="KFGQPC Uthman Taha Naskh"/>
          <w:b/>
          <w:bCs/>
          <w:sz w:val="28"/>
          <w:rtl/>
          <w:lang w:bidi="ar-SY"/>
        </w:rPr>
        <w:t xml:space="preserve"> ثم خرج رسول الله</w:t>
      </w:r>
      <w:r w:rsidR="00EF2588" w:rsidRPr="00CE7623">
        <w:rPr>
          <w:rFonts w:ascii="Abo-thar" w:hAnsi="Abo-thar" w:cs="KFGQPC Uthman Taha Naskh"/>
          <w:b/>
          <w:bCs/>
          <w:sz w:val="28"/>
          <w:rtl/>
          <w:lang w:bidi="ar-SY"/>
        </w:rPr>
        <w:t xml:space="preserve"> </w:t>
      </w:r>
      <w:r w:rsidR="00EF2588" w:rsidRPr="00CE7623">
        <w:rPr>
          <w:rFonts w:ascii="Abo-thar" w:hAnsi="Abo-thar" w:cs="KFGQPC Uthman Taha Naskh"/>
          <w:sz w:val="28"/>
          <w:rtl/>
          <w:lang w:bidi="ar-SY"/>
        </w:rPr>
        <w:t xml:space="preserve">صلى الله عليه وآله </w:t>
      </w:r>
      <w:r w:rsidRPr="00CE7623">
        <w:rPr>
          <w:rFonts w:ascii="Abo-thar" w:hAnsi="Abo-thar" w:cs="KFGQPC Uthman Taha Naskh"/>
          <w:b/>
          <w:bCs/>
          <w:sz w:val="28"/>
          <w:rtl/>
          <w:lang w:bidi="ar-SY"/>
        </w:rPr>
        <w:t>فذكر له سلمان ما قال عمر</w:t>
      </w:r>
      <w:r w:rsidR="00217AB4" w:rsidRPr="00CE7623">
        <w:rPr>
          <w:rFonts w:ascii="Abo-thar" w:hAnsi="Abo-thar" w:cs="KFGQPC Uthman Taha Naskh"/>
          <w:b/>
          <w:bCs/>
          <w:sz w:val="28"/>
          <w:rtl/>
          <w:lang w:bidi="ar-SY"/>
        </w:rPr>
        <w:t>،</w:t>
      </w:r>
      <w:r w:rsidRPr="00CE7623">
        <w:rPr>
          <w:rFonts w:ascii="Abo-thar" w:hAnsi="Abo-thar" w:cs="KFGQPC Uthman Taha Naskh"/>
          <w:b/>
          <w:bCs/>
          <w:sz w:val="28"/>
          <w:rtl/>
          <w:lang w:bidi="ar-SY"/>
        </w:rPr>
        <w:t xml:space="preserve"> وما أجابه</w:t>
      </w:r>
      <w:r w:rsidR="00217AB4" w:rsidRPr="00CE7623">
        <w:rPr>
          <w:rFonts w:ascii="Abo-thar" w:hAnsi="Abo-thar" w:cs="KFGQPC Uthman Taha Naskh"/>
          <w:b/>
          <w:bCs/>
          <w:sz w:val="28"/>
          <w:rtl/>
          <w:lang w:bidi="ar-SY"/>
        </w:rPr>
        <w:t>،</w:t>
      </w:r>
      <w:r w:rsidRPr="00CE7623">
        <w:rPr>
          <w:rFonts w:ascii="Abo-thar" w:hAnsi="Abo-thar" w:cs="KFGQPC Uthman Taha Naskh"/>
          <w:b/>
          <w:bCs/>
          <w:sz w:val="28"/>
          <w:rtl/>
          <w:lang w:bidi="ar-SY"/>
        </w:rPr>
        <w:t xml:space="preserve"> فقال رسول الله</w:t>
      </w:r>
      <w:r w:rsidR="00EF2588" w:rsidRPr="00CE7623">
        <w:rPr>
          <w:rFonts w:ascii="Abo-thar" w:hAnsi="Abo-thar" w:cs="KFGQPC Uthman Taha Naskh"/>
          <w:b/>
          <w:bCs/>
          <w:sz w:val="28"/>
          <w:rtl/>
          <w:lang w:bidi="ar-SY"/>
        </w:rPr>
        <w:t xml:space="preserve"> </w:t>
      </w:r>
      <w:r w:rsidR="00EF2588" w:rsidRPr="00CE7623">
        <w:rPr>
          <w:rFonts w:ascii="Abo-thar" w:hAnsi="Abo-thar" w:cs="KFGQPC Uthman Taha Naskh"/>
          <w:sz w:val="28"/>
          <w:rtl/>
          <w:lang w:bidi="ar-SY"/>
        </w:rPr>
        <w:t>صلى الله عليه وآله</w:t>
      </w:r>
      <w:r w:rsidR="00217AB4" w:rsidRPr="00CE7623">
        <w:rPr>
          <w:rFonts w:ascii="Abo-thar" w:hAnsi="Abo-thar" w:cs="KFGQPC Uthman Taha Naskh" w:hint="cs"/>
          <w:b/>
          <w:bCs/>
          <w:sz w:val="28"/>
          <w:rtl/>
          <w:lang w:bidi="ar-SY"/>
        </w:rPr>
        <w:t>:</w:t>
      </w:r>
      <w:r w:rsidRPr="00CE7623">
        <w:rPr>
          <w:rFonts w:ascii="Abo-thar" w:hAnsi="Abo-thar" w:cs="KFGQPC Uthman Taha Naskh"/>
          <w:b/>
          <w:bCs/>
          <w:sz w:val="28"/>
          <w:rtl/>
          <w:lang w:bidi="ar-SY"/>
        </w:rPr>
        <w:t xml:space="preserve"> يا معشر قريش</w:t>
      </w:r>
      <w:r w:rsidR="00217AB4" w:rsidRPr="00CE7623">
        <w:rPr>
          <w:rFonts w:ascii="Abo-thar" w:hAnsi="Abo-thar" w:cs="KFGQPC Uthman Taha Naskh" w:hint="cs"/>
          <w:b/>
          <w:bCs/>
          <w:sz w:val="28"/>
          <w:rtl/>
          <w:lang w:bidi="ar-SY"/>
        </w:rPr>
        <w:t>!</w:t>
      </w:r>
      <w:r w:rsidRPr="00CE7623">
        <w:rPr>
          <w:rFonts w:ascii="Abo-thar" w:hAnsi="Abo-thar" w:cs="KFGQPC Uthman Taha Naskh"/>
          <w:b/>
          <w:bCs/>
          <w:sz w:val="28"/>
          <w:rtl/>
          <w:lang w:bidi="ar-SY"/>
        </w:rPr>
        <w:t xml:space="preserve"> إن حسب المرء دينه</w:t>
      </w:r>
      <w:r w:rsidR="00217AB4" w:rsidRPr="00CE7623">
        <w:rPr>
          <w:rFonts w:ascii="Abo-thar" w:hAnsi="Abo-thar" w:cs="KFGQPC Uthman Taha Naskh"/>
          <w:b/>
          <w:bCs/>
          <w:sz w:val="28"/>
          <w:rtl/>
          <w:lang w:bidi="ar-SY"/>
        </w:rPr>
        <w:t>،</w:t>
      </w:r>
      <w:r w:rsidRPr="00CE7623">
        <w:rPr>
          <w:rFonts w:ascii="Abo-thar" w:hAnsi="Abo-thar" w:cs="KFGQPC Uthman Taha Naskh"/>
          <w:b/>
          <w:bCs/>
          <w:sz w:val="28"/>
          <w:rtl/>
          <w:lang w:bidi="ar-SY"/>
        </w:rPr>
        <w:t xml:space="preserve"> ومروءته خلقه</w:t>
      </w:r>
      <w:r w:rsidR="00217AB4" w:rsidRPr="00CE7623">
        <w:rPr>
          <w:rFonts w:ascii="Abo-thar" w:hAnsi="Abo-thar" w:cs="KFGQPC Uthman Taha Naskh"/>
          <w:b/>
          <w:bCs/>
          <w:sz w:val="28"/>
          <w:rtl/>
          <w:lang w:bidi="ar-SY"/>
        </w:rPr>
        <w:t>،</w:t>
      </w:r>
      <w:r w:rsidRPr="00CE7623">
        <w:rPr>
          <w:rFonts w:ascii="Abo-thar" w:hAnsi="Abo-thar" w:cs="KFGQPC Uthman Taha Naskh"/>
          <w:b/>
          <w:bCs/>
          <w:sz w:val="28"/>
          <w:rtl/>
          <w:lang w:bidi="ar-SY"/>
        </w:rPr>
        <w:t xml:space="preserve"> وأصله عقله</w:t>
      </w:r>
      <w:r w:rsidR="00217AB4" w:rsidRPr="00CE7623">
        <w:rPr>
          <w:rFonts w:ascii="Abo-thar" w:hAnsi="Abo-thar" w:cs="KFGQPC Uthman Taha Naskh"/>
          <w:b/>
          <w:bCs/>
          <w:sz w:val="28"/>
          <w:rtl/>
          <w:lang w:bidi="ar-SY"/>
        </w:rPr>
        <w:t>،</w:t>
      </w:r>
      <w:r w:rsidRPr="00CE7623">
        <w:rPr>
          <w:rFonts w:ascii="Abo-thar" w:hAnsi="Abo-thar" w:cs="KFGQPC Uthman Taha Naskh"/>
          <w:b/>
          <w:bCs/>
          <w:sz w:val="28"/>
          <w:rtl/>
          <w:lang w:bidi="ar-SY"/>
        </w:rPr>
        <w:t xml:space="preserve"> قال الله </w:t>
      </w:r>
      <w:r w:rsidR="00217AB4" w:rsidRPr="00CE7623">
        <w:rPr>
          <w:rFonts w:ascii="Abo-thar" w:hAnsi="Abo-thar" w:cs="KFGQPC Uthman Taha Naskh"/>
          <w:b/>
          <w:bCs/>
          <w:sz w:val="28"/>
          <w:rtl/>
          <w:lang w:bidi="ar-SY"/>
        </w:rPr>
        <w:t>(</w:t>
      </w:r>
      <w:r w:rsidRPr="00CE7623">
        <w:rPr>
          <w:rFonts w:ascii="Abo-thar" w:hAnsi="Abo-thar" w:cs="KFGQPC Uthman Taha Naskh"/>
          <w:b/>
          <w:bCs/>
          <w:sz w:val="28"/>
          <w:rtl/>
          <w:lang w:bidi="ar-SY"/>
        </w:rPr>
        <w:t>تعالى</w:t>
      </w:r>
      <w:r w:rsidR="00217AB4" w:rsidRPr="00CE7623">
        <w:rPr>
          <w:rFonts w:ascii="Abo-thar" w:hAnsi="Abo-thar" w:cs="KFGQPC Uthman Taha Naskh"/>
          <w:b/>
          <w:bCs/>
          <w:sz w:val="28"/>
          <w:rtl/>
          <w:lang w:bidi="ar-SY"/>
        </w:rPr>
        <w:t>)</w:t>
      </w:r>
      <w:r w:rsidR="00217AB4" w:rsidRPr="00CE7623">
        <w:rPr>
          <w:rFonts w:ascii="Abo-thar" w:hAnsi="Abo-thar" w:cs="KFGQPC Uthman Taha Naskh" w:hint="cs"/>
          <w:b/>
          <w:bCs/>
          <w:sz w:val="28"/>
          <w:rtl/>
          <w:lang w:bidi="ar-SY"/>
        </w:rPr>
        <w:t>:</w:t>
      </w:r>
      <w:r w:rsidRPr="00CE7623">
        <w:rPr>
          <w:rFonts w:ascii="Abo-thar" w:hAnsi="Abo-thar" w:cs="KFGQPC Uthman Taha Naskh"/>
          <w:b/>
          <w:bCs/>
          <w:sz w:val="28"/>
          <w:rtl/>
          <w:lang w:bidi="ar-SY"/>
        </w:rPr>
        <w:t xml:space="preserve"> </w:t>
      </w:r>
      <w:r w:rsidR="00685363" w:rsidRPr="00995B26">
        <w:rPr>
          <w:rFonts w:ascii="Abo-thar" w:hAnsi="Abo-thar" w:cs="Traditional Arabic" w:hint="cs"/>
          <w:sz w:val="28"/>
          <w:rtl/>
          <w:lang w:bidi="ar-SY"/>
        </w:rPr>
        <w:t>﴿</w:t>
      </w:r>
      <w:r w:rsidR="00685363" w:rsidRPr="0067048A">
        <w:rPr>
          <w:rStyle w:val="Char3"/>
          <w:rFonts w:hint="eastAsia"/>
          <w:rtl/>
        </w:rPr>
        <w:t>يَ</w:t>
      </w:r>
      <w:r w:rsidR="00685363" w:rsidRPr="0067048A">
        <w:rPr>
          <w:rStyle w:val="Char3"/>
          <w:rFonts w:hint="cs"/>
          <w:rtl/>
        </w:rPr>
        <w:t>ٰٓ</w:t>
      </w:r>
      <w:r w:rsidR="00685363" w:rsidRPr="0067048A">
        <w:rPr>
          <w:rStyle w:val="Char3"/>
          <w:rFonts w:hint="eastAsia"/>
          <w:rtl/>
        </w:rPr>
        <w:t>أَيُّهَا</w:t>
      </w:r>
      <w:r w:rsidR="00685363" w:rsidRPr="0067048A">
        <w:rPr>
          <w:rStyle w:val="Char3"/>
          <w:rtl/>
        </w:rPr>
        <w:t xml:space="preserve"> </w:t>
      </w:r>
      <w:r w:rsidR="00685363" w:rsidRPr="0067048A">
        <w:rPr>
          <w:rStyle w:val="Char3"/>
          <w:rFonts w:hint="cs"/>
          <w:rtl/>
        </w:rPr>
        <w:t>ٱ</w:t>
      </w:r>
      <w:r w:rsidR="00685363" w:rsidRPr="0067048A">
        <w:rPr>
          <w:rStyle w:val="Char3"/>
          <w:rFonts w:hint="eastAsia"/>
          <w:rtl/>
        </w:rPr>
        <w:t>لنَّاسُ</w:t>
      </w:r>
      <w:r w:rsidR="00685363" w:rsidRPr="0067048A">
        <w:rPr>
          <w:rStyle w:val="Char3"/>
          <w:rtl/>
        </w:rPr>
        <w:t xml:space="preserve"> </w:t>
      </w:r>
      <w:r w:rsidR="00685363" w:rsidRPr="0067048A">
        <w:rPr>
          <w:rStyle w:val="Char3"/>
          <w:rFonts w:hint="eastAsia"/>
          <w:rtl/>
        </w:rPr>
        <w:t>إِنَّا</w:t>
      </w:r>
      <w:r w:rsidR="00685363" w:rsidRPr="0067048A">
        <w:rPr>
          <w:rStyle w:val="Char3"/>
          <w:rtl/>
        </w:rPr>
        <w:t xml:space="preserve"> </w:t>
      </w:r>
      <w:r w:rsidR="00685363" w:rsidRPr="0067048A">
        <w:rPr>
          <w:rStyle w:val="Char3"/>
          <w:rFonts w:hint="eastAsia"/>
          <w:rtl/>
        </w:rPr>
        <w:t>خَلَق</w:t>
      </w:r>
      <w:r w:rsidR="00685363" w:rsidRPr="0067048A">
        <w:rPr>
          <w:rStyle w:val="Char3"/>
          <w:rFonts w:hint="cs"/>
          <w:rtl/>
        </w:rPr>
        <w:t>ۡ</w:t>
      </w:r>
      <w:r w:rsidR="00685363" w:rsidRPr="0067048A">
        <w:rPr>
          <w:rStyle w:val="Char3"/>
          <w:rFonts w:hint="eastAsia"/>
          <w:rtl/>
        </w:rPr>
        <w:t>نَ</w:t>
      </w:r>
      <w:r w:rsidR="00685363" w:rsidRPr="0067048A">
        <w:rPr>
          <w:rStyle w:val="Char3"/>
          <w:rFonts w:hint="cs"/>
          <w:rtl/>
        </w:rPr>
        <w:t>ٰ</w:t>
      </w:r>
      <w:r w:rsidR="00685363" w:rsidRPr="0067048A">
        <w:rPr>
          <w:rStyle w:val="Char3"/>
          <w:rFonts w:hint="eastAsia"/>
          <w:rtl/>
        </w:rPr>
        <w:t>كُم</w:t>
      </w:r>
      <w:r w:rsidR="00685363" w:rsidRPr="0067048A">
        <w:rPr>
          <w:rStyle w:val="Char3"/>
          <w:rtl/>
        </w:rPr>
        <w:t xml:space="preserve"> </w:t>
      </w:r>
      <w:r w:rsidR="00685363" w:rsidRPr="0067048A">
        <w:rPr>
          <w:rStyle w:val="Char3"/>
          <w:rFonts w:hint="eastAsia"/>
          <w:rtl/>
        </w:rPr>
        <w:t>مِّن</w:t>
      </w:r>
      <w:r w:rsidR="00685363" w:rsidRPr="0067048A">
        <w:rPr>
          <w:rStyle w:val="Char3"/>
          <w:rtl/>
        </w:rPr>
        <w:t xml:space="preserve"> </w:t>
      </w:r>
      <w:r w:rsidR="00685363" w:rsidRPr="0067048A">
        <w:rPr>
          <w:rStyle w:val="Char3"/>
          <w:rFonts w:hint="eastAsia"/>
          <w:rtl/>
        </w:rPr>
        <w:t>ذَكَر</w:t>
      </w:r>
      <w:r w:rsidR="00685363" w:rsidRPr="0067048A">
        <w:rPr>
          <w:rStyle w:val="Char3"/>
          <w:rFonts w:hint="cs"/>
          <w:rtl/>
        </w:rPr>
        <w:t>ٖ</w:t>
      </w:r>
      <w:r w:rsidR="00685363" w:rsidRPr="0067048A">
        <w:rPr>
          <w:rStyle w:val="Char3"/>
          <w:rtl/>
        </w:rPr>
        <w:t xml:space="preserve"> </w:t>
      </w:r>
      <w:r w:rsidR="00685363" w:rsidRPr="0067048A">
        <w:rPr>
          <w:rStyle w:val="Char3"/>
          <w:rFonts w:hint="eastAsia"/>
          <w:rtl/>
        </w:rPr>
        <w:t>وَأُنثَى</w:t>
      </w:r>
      <w:r w:rsidR="00685363" w:rsidRPr="0067048A">
        <w:rPr>
          <w:rStyle w:val="Char3"/>
          <w:rFonts w:hint="cs"/>
          <w:rtl/>
        </w:rPr>
        <w:t>ٰ</w:t>
      </w:r>
      <w:r w:rsidR="00685363" w:rsidRPr="0067048A">
        <w:rPr>
          <w:rStyle w:val="Char3"/>
          <w:rtl/>
        </w:rPr>
        <w:t xml:space="preserve"> </w:t>
      </w:r>
      <w:r w:rsidR="00685363" w:rsidRPr="0067048A">
        <w:rPr>
          <w:rStyle w:val="Char3"/>
          <w:rFonts w:hint="eastAsia"/>
          <w:rtl/>
        </w:rPr>
        <w:t>وَجَعَل</w:t>
      </w:r>
      <w:r w:rsidR="00685363" w:rsidRPr="0067048A">
        <w:rPr>
          <w:rStyle w:val="Char3"/>
          <w:rFonts w:hint="cs"/>
          <w:rtl/>
        </w:rPr>
        <w:t>ۡ</w:t>
      </w:r>
      <w:r w:rsidR="00685363" w:rsidRPr="0067048A">
        <w:rPr>
          <w:rStyle w:val="Char3"/>
          <w:rFonts w:hint="eastAsia"/>
          <w:rtl/>
        </w:rPr>
        <w:t>نَ</w:t>
      </w:r>
      <w:r w:rsidR="00685363" w:rsidRPr="0067048A">
        <w:rPr>
          <w:rStyle w:val="Char3"/>
          <w:rFonts w:hint="cs"/>
          <w:rtl/>
        </w:rPr>
        <w:t>ٰ</w:t>
      </w:r>
      <w:r w:rsidR="00685363" w:rsidRPr="0067048A">
        <w:rPr>
          <w:rStyle w:val="Char3"/>
          <w:rFonts w:hint="eastAsia"/>
          <w:rtl/>
        </w:rPr>
        <w:t>كُم</w:t>
      </w:r>
      <w:r w:rsidR="00685363" w:rsidRPr="0067048A">
        <w:rPr>
          <w:rStyle w:val="Char3"/>
          <w:rFonts w:hint="cs"/>
          <w:rtl/>
        </w:rPr>
        <w:t>ۡ</w:t>
      </w:r>
      <w:r w:rsidR="00685363" w:rsidRPr="0067048A">
        <w:rPr>
          <w:rStyle w:val="Char3"/>
          <w:rtl/>
        </w:rPr>
        <w:t xml:space="preserve"> </w:t>
      </w:r>
      <w:r w:rsidR="00685363" w:rsidRPr="0067048A">
        <w:rPr>
          <w:rStyle w:val="Char3"/>
          <w:rFonts w:hint="eastAsia"/>
          <w:rtl/>
        </w:rPr>
        <w:t>شُعُوب</w:t>
      </w:r>
      <w:r w:rsidR="00685363" w:rsidRPr="0067048A">
        <w:rPr>
          <w:rStyle w:val="Char3"/>
          <w:rFonts w:hint="cs"/>
          <w:rtl/>
        </w:rPr>
        <w:t>ٗ</w:t>
      </w:r>
      <w:r w:rsidR="00685363" w:rsidRPr="0067048A">
        <w:rPr>
          <w:rStyle w:val="Char3"/>
          <w:rFonts w:hint="eastAsia"/>
          <w:rtl/>
        </w:rPr>
        <w:t>ا</w:t>
      </w:r>
      <w:r w:rsidR="00685363" w:rsidRPr="0067048A">
        <w:rPr>
          <w:rStyle w:val="Char3"/>
          <w:rtl/>
        </w:rPr>
        <w:t xml:space="preserve"> </w:t>
      </w:r>
      <w:r w:rsidR="00685363" w:rsidRPr="0067048A">
        <w:rPr>
          <w:rStyle w:val="Char3"/>
          <w:rFonts w:hint="eastAsia"/>
          <w:rtl/>
        </w:rPr>
        <w:t>وَقَبَا</w:t>
      </w:r>
      <w:r w:rsidR="00685363" w:rsidRPr="0067048A">
        <w:rPr>
          <w:rStyle w:val="Char3"/>
          <w:rFonts w:hint="cs"/>
          <w:rtl/>
        </w:rPr>
        <w:t>ٓ</w:t>
      </w:r>
      <w:r w:rsidR="00685363" w:rsidRPr="0067048A">
        <w:rPr>
          <w:rStyle w:val="Char3"/>
          <w:rFonts w:hint="eastAsia"/>
          <w:rtl/>
        </w:rPr>
        <w:t>ئِلَ</w:t>
      </w:r>
      <w:r w:rsidR="00685363" w:rsidRPr="0067048A">
        <w:rPr>
          <w:rStyle w:val="Char3"/>
          <w:rtl/>
        </w:rPr>
        <w:t xml:space="preserve"> </w:t>
      </w:r>
      <w:r w:rsidR="00685363" w:rsidRPr="0067048A">
        <w:rPr>
          <w:rStyle w:val="Char3"/>
          <w:rFonts w:hint="eastAsia"/>
          <w:rtl/>
        </w:rPr>
        <w:t>لِتَعَارَفُو</w:t>
      </w:r>
      <w:r w:rsidR="00685363" w:rsidRPr="0067048A">
        <w:rPr>
          <w:rStyle w:val="Char3"/>
          <w:rFonts w:hint="cs"/>
          <w:rtl/>
        </w:rPr>
        <w:t>ٓ</w:t>
      </w:r>
      <w:r w:rsidR="00685363" w:rsidRPr="0067048A">
        <w:rPr>
          <w:rStyle w:val="Char3"/>
          <w:rFonts w:hint="eastAsia"/>
          <w:rtl/>
        </w:rPr>
        <w:t>اْ</w:t>
      </w:r>
      <w:r w:rsidR="00685363" w:rsidRPr="0067048A">
        <w:rPr>
          <w:rStyle w:val="Char3"/>
          <w:rFonts w:hint="cs"/>
          <w:rtl/>
        </w:rPr>
        <w:t>ۚ</w:t>
      </w:r>
      <w:r w:rsidR="00685363" w:rsidRPr="0067048A">
        <w:rPr>
          <w:rStyle w:val="Char3"/>
          <w:rtl/>
        </w:rPr>
        <w:t xml:space="preserve"> </w:t>
      </w:r>
      <w:r w:rsidR="00685363" w:rsidRPr="0067048A">
        <w:rPr>
          <w:rStyle w:val="Char3"/>
          <w:rFonts w:hint="eastAsia"/>
          <w:rtl/>
        </w:rPr>
        <w:t>إِنَّ</w:t>
      </w:r>
      <w:r w:rsidR="00685363" w:rsidRPr="0067048A">
        <w:rPr>
          <w:rStyle w:val="Char3"/>
          <w:rtl/>
        </w:rPr>
        <w:t xml:space="preserve"> </w:t>
      </w:r>
      <w:r w:rsidR="00685363" w:rsidRPr="0067048A">
        <w:rPr>
          <w:rStyle w:val="Char3"/>
          <w:rFonts w:hint="eastAsia"/>
          <w:rtl/>
        </w:rPr>
        <w:t>أَك</w:t>
      </w:r>
      <w:r w:rsidR="00685363" w:rsidRPr="0067048A">
        <w:rPr>
          <w:rStyle w:val="Char3"/>
          <w:rFonts w:hint="cs"/>
          <w:rtl/>
        </w:rPr>
        <w:t>ۡ</w:t>
      </w:r>
      <w:r w:rsidR="00685363" w:rsidRPr="0067048A">
        <w:rPr>
          <w:rStyle w:val="Char3"/>
          <w:rFonts w:hint="eastAsia"/>
          <w:rtl/>
        </w:rPr>
        <w:t>رَمَكُم</w:t>
      </w:r>
      <w:r w:rsidR="00685363" w:rsidRPr="0067048A">
        <w:rPr>
          <w:rStyle w:val="Char3"/>
          <w:rFonts w:hint="cs"/>
          <w:rtl/>
        </w:rPr>
        <w:t>ۡ</w:t>
      </w:r>
      <w:r w:rsidR="00685363" w:rsidRPr="0067048A">
        <w:rPr>
          <w:rStyle w:val="Char3"/>
          <w:rtl/>
        </w:rPr>
        <w:t xml:space="preserve"> </w:t>
      </w:r>
      <w:r w:rsidR="00685363" w:rsidRPr="0067048A">
        <w:rPr>
          <w:rStyle w:val="Char3"/>
          <w:rFonts w:hint="eastAsia"/>
          <w:rtl/>
        </w:rPr>
        <w:t>عِندَ</w:t>
      </w:r>
      <w:r w:rsidR="00685363" w:rsidRPr="0067048A">
        <w:rPr>
          <w:rStyle w:val="Char3"/>
          <w:rtl/>
        </w:rPr>
        <w:t xml:space="preserve"> </w:t>
      </w:r>
      <w:r w:rsidR="00685363" w:rsidRPr="0067048A">
        <w:rPr>
          <w:rStyle w:val="Char3"/>
          <w:rFonts w:hint="cs"/>
          <w:rtl/>
        </w:rPr>
        <w:t>ٱ</w:t>
      </w:r>
      <w:r w:rsidR="00685363" w:rsidRPr="0067048A">
        <w:rPr>
          <w:rStyle w:val="Char3"/>
          <w:rFonts w:hint="eastAsia"/>
          <w:rtl/>
        </w:rPr>
        <w:t>للَّهِ</w:t>
      </w:r>
      <w:r w:rsidR="00685363" w:rsidRPr="0067048A">
        <w:rPr>
          <w:rStyle w:val="Char3"/>
          <w:rtl/>
        </w:rPr>
        <w:t xml:space="preserve"> </w:t>
      </w:r>
      <w:r w:rsidR="00685363" w:rsidRPr="0067048A">
        <w:rPr>
          <w:rStyle w:val="Char3"/>
          <w:rFonts w:hint="eastAsia"/>
          <w:rtl/>
        </w:rPr>
        <w:t>أَت</w:t>
      </w:r>
      <w:r w:rsidR="00685363" w:rsidRPr="0067048A">
        <w:rPr>
          <w:rStyle w:val="Char3"/>
          <w:rFonts w:hint="cs"/>
          <w:rtl/>
        </w:rPr>
        <w:t>ۡ</w:t>
      </w:r>
      <w:r w:rsidR="00685363" w:rsidRPr="0067048A">
        <w:rPr>
          <w:rStyle w:val="Char3"/>
          <w:rFonts w:hint="eastAsia"/>
          <w:rtl/>
        </w:rPr>
        <w:t>قَى</w:t>
      </w:r>
      <w:r w:rsidR="00685363" w:rsidRPr="0067048A">
        <w:rPr>
          <w:rStyle w:val="Char3"/>
          <w:rFonts w:hint="cs"/>
          <w:rtl/>
        </w:rPr>
        <w:t>ٰ</w:t>
      </w:r>
      <w:r w:rsidR="00685363" w:rsidRPr="0067048A">
        <w:rPr>
          <w:rStyle w:val="Char3"/>
          <w:rFonts w:hint="eastAsia"/>
          <w:rtl/>
        </w:rPr>
        <w:t>كُم</w:t>
      </w:r>
      <w:r w:rsidR="00685363" w:rsidRPr="0067048A">
        <w:rPr>
          <w:rStyle w:val="Char3"/>
          <w:rFonts w:hint="cs"/>
          <w:rtl/>
        </w:rPr>
        <w:t>ۡ</w:t>
      </w:r>
      <w:r w:rsidR="00685363" w:rsidRPr="00995B26">
        <w:rPr>
          <w:rFonts w:ascii="Abo-thar" w:hAnsi="Abo-thar" w:cs="Traditional Arabic" w:hint="cs"/>
          <w:sz w:val="28"/>
          <w:rtl/>
          <w:lang w:bidi="ar-SY"/>
        </w:rPr>
        <w:t>﴾</w:t>
      </w:r>
      <w:r w:rsidR="001A5AE4" w:rsidRPr="00995B26">
        <w:rPr>
          <w:rFonts w:ascii="Abo-thar" w:hAnsi="Abo-thar" w:cs="Traditional Arabic" w:hint="cs"/>
          <w:sz w:val="28"/>
          <w:rtl/>
          <w:lang w:bidi="ar-SY"/>
        </w:rPr>
        <w:t>،</w:t>
      </w:r>
      <w:r w:rsidRPr="00995B26">
        <w:rPr>
          <w:rFonts w:ascii="Abo-thar" w:hAnsi="Abo-thar"/>
          <w:b/>
          <w:bCs/>
          <w:sz w:val="28"/>
          <w:rtl/>
          <w:lang w:bidi="ar-SY"/>
        </w:rPr>
        <w:t xml:space="preserve"> </w:t>
      </w:r>
      <w:r w:rsidRPr="004A3642">
        <w:rPr>
          <w:rFonts w:ascii="Abo-thar" w:hAnsi="Abo-thar" w:cs="KFGQPC Uthman Taha Naskh"/>
          <w:b/>
          <w:bCs/>
          <w:sz w:val="28"/>
          <w:rtl/>
          <w:lang w:bidi="ar-SY"/>
        </w:rPr>
        <w:t xml:space="preserve">ثم أقبل على سلمان </w:t>
      </w:r>
      <w:r w:rsidR="00217AB4" w:rsidRPr="004A3642">
        <w:rPr>
          <w:rFonts w:ascii="Abo-thar" w:hAnsi="Abo-thar" w:cs="KFGQPC Uthman Taha Naskh"/>
          <w:b/>
          <w:bCs/>
          <w:sz w:val="28"/>
          <w:rtl/>
          <w:lang w:bidi="ar-SY"/>
        </w:rPr>
        <w:t>(</w:t>
      </w:r>
      <w:r w:rsidRPr="004A3642">
        <w:rPr>
          <w:rFonts w:ascii="Abo-thar" w:hAnsi="Abo-thar" w:cs="KFGQPC Uthman Taha Naskh"/>
          <w:b/>
          <w:bCs/>
          <w:sz w:val="28"/>
          <w:rtl/>
          <w:lang w:bidi="ar-SY"/>
        </w:rPr>
        <w:t>رحمه الله</w:t>
      </w:r>
      <w:r w:rsidR="00217AB4" w:rsidRPr="004A3642">
        <w:rPr>
          <w:rFonts w:ascii="Abo-thar" w:hAnsi="Abo-thar" w:cs="KFGQPC Uthman Taha Naskh"/>
          <w:b/>
          <w:bCs/>
          <w:sz w:val="28"/>
          <w:rtl/>
          <w:lang w:bidi="ar-SY"/>
        </w:rPr>
        <w:t>)</w:t>
      </w:r>
      <w:r w:rsidRPr="004A3642">
        <w:rPr>
          <w:rFonts w:ascii="Abo-thar" w:hAnsi="Abo-thar" w:cs="KFGQPC Uthman Taha Naskh"/>
          <w:b/>
          <w:bCs/>
          <w:sz w:val="28"/>
          <w:rtl/>
          <w:lang w:bidi="ar-SY"/>
        </w:rPr>
        <w:t xml:space="preserve"> فقال له</w:t>
      </w:r>
      <w:r w:rsidR="001A5AE4" w:rsidRPr="004A3642">
        <w:rPr>
          <w:rFonts w:ascii="Abo-thar" w:hAnsi="Abo-thar" w:cs="KFGQPC Uthman Taha Naskh" w:hint="cs"/>
          <w:b/>
          <w:bCs/>
          <w:sz w:val="28"/>
          <w:rtl/>
          <w:lang w:bidi="ar-SY"/>
        </w:rPr>
        <w:t>:</w:t>
      </w:r>
      <w:r w:rsidRPr="004A3642">
        <w:rPr>
          <w:rFonts w:ascii="Abo-thar" w:hAnsi="Abo-thar" w:cs="KFGQPC Uthman Taha Naskh"/>
          <w:b/>
          <w:bCs/>
          <w:sz w:val="28"/>
          <w:rtl/>
          <w:lang w:bidi="ar-SY"/>
        </w:rPr>
        <w:t xml:space="preserve"> يا سلمان</w:t>
      </w:r>
      <w:r w:rsidR="001A5AE4" w:rsidRPr="004A3642">
        <w:rPr>
          <w:rFonts w:ascii="Abo-thar" w:hAnsi="Abo-thar" w:cs="KFGQPC Uthman Taha Naskh" w:hint="cs"/>
          <w:b/>
          <w:bCs/>
          <w:sz w:val="28"/>
          <w:rtl/>
          <w:lang w:bidi="ar-SY"/>
        </w:rPr>
        <w:t>!</w:t>
      </w:r>
      <w:r w:rsidRPr="004A3642">
        <w:rPr>
          <w:rFonts w:ascii="Abo-thar" w:hAnsi="Abo-thar" w:cs="KFGQPC Uthman Taha Naskh"/>
          <w:b/>
          <w:bCs/>
          <w:sz w:val="28"/>
          <w:rtl/>
          <w:lang w:bidi="ar-SY"/>
        </w:rPr>
        <w:t xml:space="preserve"> إنه ليس لأحد من هؤلاء عليك فضل إلا بتقوى الله</w:t>
      </w:r>
      <w:r w:rsidR="00217AB4" w:rsidRPr="004A3642">
        <w:rPr>
          <w:rFonts w:ascii="Abo-thar" w:hAnsi="Abo-thar" w:cs="KFGQPC Uthman Taha Naskh"/>
          <w:b/>
          <w:bCs/>
          <w:sz w:val="28"/>
          <w:rtl/>
          <w:lang w:bidi="ar-SY"/>
        </w:rPr>
        <w:t>،</w:t>
      </w:r>
      <w:r w:rsidRPr="004A3642">
        <w:rPr>
          <w:rFonts w:ascii="Abo-thar" w:hAnsi="Abo-thar" w:cs="KFGQPC Uthman Taha Naskh"/>
          <w:b/>
          <w:bCs/>
          <w:sz w:val="28"/>
          <w:rtl/>
          <w:lang w:bidi="ar-SY"/>
        </w:rPr>
        <w:t xml:space="preserve"> فمن كنت أتقى منه فأنت أفضل منه</w:t>
      </w:r>
      <w:r w:rsidR="00EF2588" w:rsidRPr="00995B26">
        <w:rPr>
          <w:rFonts w:ascii="Abo-thar" w:hAnsi="Abo-thar" w:hint="cs"/>
          <w:sz w:val="28"/>
          <w:rtl/>
          <w:lang w:bidi="ar-SY"/>
        </w:rPr>
        <w:t>»</w:t>
      </w:r>
      <w:r w:rsidR="00217AB4" w:rsidRPr="0021507A">
        <w:rPr>
          <w:rFonts w:cs="Arabic11 BT"/>
          <w:b/>
          <w:sz w:val="28"/>
          <w:vertAlign w:val="superscript"/>
          <w:rtl/>
          <w:lang w:bidi="ar-SY"/>
        </w:rPr>
        <w:t>(</w:t>
      </w:r>
      <w:r w:rsidRPr="0021507A">
        <w:rPr>
          <w:rStyle w:val="FootnoteReference"/>
          <w:rFonts w:cs="Arabic11 BT"/>
          <w:b/>
          <w:sz w:val="28"/>
          <w:rtl/>
          <w:lang w:bidi="ar-SY"/>
        </w:rPr>
        <w:footnoteReference w:id="108"/>
      </w:r>
      <w:r w:rsidR="00217AB4" w:rsidRPr="0021507A">
        <w:rPr>
          <w:rFonts w:cs="Arabic11 BT"/>
          <w:b/>
          <w:sz w:val="28"/>
          <w:vertAlign w:val="superscript"/>
          <w:rtl/>
          <w:lang w:bidi="ar-SY"/>
        </w:rPr>
        <w:t>)</w:t>
      </w:r>
      <w:r w:rsidR="00217AB4" w:rsidRPr="00995B26">
        <w:rPr>
          <w:rFonts w:ascii="Abo-thar" w:hAnsi="Abo-thar" w:hint="cs"/>
          <w:sz w:val="28"/>
          <w:rtl/>
          <w:lang w:bidi="ar-SY"/>
        </w:rPr>
        <w:t>.</w:t>
      </w:r>
      <w:r w:rsidRPr="00995B26">
        <w:rPr>
          <w:rFonts w:ascii="Abo-thar" w:hAnsi="Abo-thar" w:hint="cs"/>
          <w:sz w:val="28"/>
          <w:rtl/>
          <w:lang w:bidi="ar-SY"/>
        </w:rPr>
        <w:t xml:space="preserve"> </w:t>
      </w:r>
    </w:p>
    <w:p w:rsidR="005C664D" w:rsidRPr="00502770" w:rsidRDefault="005C664D" w:rsidP="003F3B94">
      <w:pPr>
        <w:pStyle w:val="a0"/>
        <w:rPr>
          <w:rFonts w:hint="cs"/>
          <w:spacing w:val="-4"/>
          <w:rtl/>
          <w:lang w:bidi="ar-SY"/>
        </w:rPr>
      </w:pPr>
      <w:r w:rsidRPr="00502770">
        <w:rPr>
          <w:rFonts w:ascii="Abo-thar" w:hAnsi="Abo-thar" w:hint="cs"/>
          <w:spacing w:val="-4"/>
          <w:sz w:val="28"/>
          <w:rtl/>
          <w:lang w:bidi="ar-SY"/>
        </w:rPr>
        <w:t>4</w:t>
      </w:r>
      <w:r w:rsidR="00217AB4" w:rsidRPr="00502770">
        <w:rPr>
          <w:rFonts w:ascii="Abo-thar" w:hAnsi="Abo-thar" w:hint="cs"/>
          <w:spacing w:val="-4"/>
          <w:sz w:val="28"/>
          <w:rtl/>
          <w:lang w:bidi="ar-SY"/>
        </w:rPr>
        <w:t>-</w:t>
      </w:r>
      <w:r w:rsidRPr="00502770">
        <w:rPr>
          <w:rFonts w:ascii="Abo-thar" w:hAnsi="Abo-thar" w:hint="cs"/>
          <w:spacing w:val="-4"/>
          <w:sz w:val="28"/>
          <w:rtl/>
          <w:lang w:bidi="ar-SY"/>
        </w:rPr>
        <w:t xml:space="preserve"> وجاء في كتاب </w:t>
      </w:r>
      <w:r w:rsidR="00147857" w:rsidRPr="00502770">
        <w:rPr>
          <w:rFonts w:ascii="Abo-thar" w:hAnsi="Abo-thar" w:hint="eastAsia"/>
          <w:spacing w:val="-4"/>
          <w:sz w:val="28"/>
          <w:rtl/>
          <w:lang w:bidi="ar-SY"/>
        </w:rPr>
        <w:t>«</w:t>
      </w:r>
      <w:r w:rsidRPr="00502770">
        <w:rPr>
          <w:rFonts w:ascii="Abo-thar" w:hAnsi="Abo-thar" w:hint="cs"/>
          <w:spacing w:val="-4"/>
          <w:sz w:val="28"/>
          <w:rtl/>
          <w:lang w:bidi="ar-SY"/>
        </w:rPr>
        <w:t>صفات</w:t>
      </w:r>
      <w:r w:rsidR="00147857" w:rsidRPr="00502770">
        <w:rPr>
          <w:rFonts w:ascii="Abo-thar" w:hAnsi="Abo-thar" w:hint="cs"/>
          <w:spacing w:val="-4"/>
          <w:sz w:val="28"/>
          <w:rtl/>
          <w:lang w:bidi="ar-SY"/>
        </w:rPr>
        <w:t xml:space="preserve"> </w:t>
      </w:r>
      <w:r w:rsidRPr="00502770">
        <w:rPr>
          <w:rFonts w:ascii="Abo-thar" w:hAnsi="Abo-thar" w:hint="cs"/>
          <w:spacing w:val="-4"/>
          <w:sz w:val="28"/>
          <w:rtl/>
          <w:lang w:bidi="ar-SY"/>
        </w:rPr>
        <w:t>الشيعة</w:t>
      </w:r>
      <w:r w:rsidRPr="00502770">
        <w:rPr>
          <w:rFonts w:ascii="Abo-thar" w:hAnsi="Abo-thar" w:hint="eastAsia"/>
          <w:spacing w:val="-4"/>
          <w:sz w:val="28"/>
          <w:rtl/>
          <w:lang w:bidi="ar-SY"/>
        </w:rPr>
        <w:t>»</w:t>
      </w:r>
      <w:r w:rsidRPr="00502770">
        <w:rPr>
          <w:rFonts w:ascii="Abo-thar" w:hAnsi="Abo-thar" w:hint="cs"/>
          <w:spacing w:val="-4"/>
          <w:sz w:val="28"/>
          <w:rtl/>
          <w:lang w:bidi="ar-SY"/>
        </w:rPr>
        <w:t xml:space="preserve"> للشيخ الصدوق</w:t>
      </w:r>
      <w:r w:rsidR="00217AB4" w:rsidRPr="00502770">
        <w:rPr>
          <w:rFonts w:ascii="Abo-thar" w:hAnsi="Abo-thar" w:hint="cs"/>
          <w:spacing w:val="-4"/>
          <w:sz w:val="28"/>
          <w:rtl/>
          <w:lang w:bidi="ar-SY"/>
        </w:rPr>
        <w:t>:</w:t>
      </w:r>
      <w:r w:rsidR="00652969" w:rsidRPr="00502770">
        <w:rPr>
          <w:rFonts w:ascii="Abo-thar" w:hAnsi="Abo-thar" w:hint="cs"/>
          <w:spacing w:val="-4"/>
          <w:sz w:val="28"/>
          <w:rtl/>
          <w:lang w:bidi="ar-SY"/>
        </w:rPr>
        <w:t xml:space="preserve"> </w:t>
      </w:r>
      <w:r w:rsidR="00EF2588" w:rsidRPr="00502770">
        <w:rPr>
          <w:rFonts w:ascii="Abo-thar" w:hAnsi="Abo-thar" w:hint="cs"/>
          <w:spacing w:val="-4"/>
          <w:sz w:val="28"/>
          <w:rtl/>
          <w:lang w:bidi="ar-SY"/>
        </w:rPr>
        <w:t>«</w:t>
      </w:r>
      <w:r w:rsidRPr="00502770">
        <w:rPr>
          <w:rFonts w:ascii="Abo-thar" w:hAnsi="Abo-thar"/>
          <w:spacing w:val="-4"/>
          <w:sz w:val="28"/>
          <w:rtl/>
          <w:lang w:bidi="ar-SY"/>
        </w:rPr>
        <w:t>عن أبي عبيدة الحذاء قال</w:t>
      </w:r>
      <w:r w:rsidR="005B684B">
        <w:rPr>
          <w:rFonts w:ascii="Abo-thar" w:hAnsi="Abo-thar" w:hint="cs"/>
          <w:spacing w:val="-4"/>
          <w:sz w:val="28"/>
          <w:rtl/>
          <w:lang w:bidi="ar-SY"/>
        </w:rPr>
        <w:t>:</w:t>
      </w:r>
      <w:r w:rsidR="005B684B">
        <w:rPr>
          <w:rFonts w:ascii="Abo-thar" w:hAnsi="Abo-thar"/>
          <w:spacing w:val="-4"/>
          <w:sz w:val="28"/>
          <w:rtl/>
          <w:lang w:bidi="ar-SY"/>
        </w:rPr>
        <w:t xml:space="preserve"> سمعت أبا</w:t>
      </w:r>
      <w:r w:rsidRPr="00502770">
        <w:rPr>
          <w:rFonts w:ascii="Abo-thar" w:hAnsi="Abo-thar"/>
          <w:spacing w:val="-4"/>
          <w:sz w:val="28"/>
          <w:rtl/>
          <w:lang w:bidi="ar-SY"/>
        </w:rPr>
        <w:t xml:space="preserve">عبد الله </w:t>
      </w:r>
      <w:r w:rsidR="00BC4BA9" w:rsidRPr="00502770">
        <w:rPr>
          <w:rFonts w:ascii="Abo-thar" w:hAnsi="Abo-thar" w:cs="CTraditional Arabic" w:hint="cs"/>
          <w:spacing w:val="-4"/>
          <w:sz w:val="28"/>
          <w:rtl/>
          <w:lang w:bidi="ar-SY"/>
        </w:rPr>
        <w:t>÷</w:t>
      </w:r>
      <w:r w:rsidRPr="00502770">
        <w:rPr>
          <w:rFonts w:ascii="Abo-thar" w:hAnsi="Abo-thar"/>
          <w:spacing w:val="-4"/>
          <w:sz w:val="28"/>
          <w:rtl/>
          <w:lang w:bidi="ar-SY"/>
        </w:rPr>
        <w:t xml:space="preserve"> يقول</w:t>
      </w:r>
      <w:r w:rsidR="00217AB4" w:rsidRPr="00502770">
        <w:rPr>
          <w:rFonts w:ascii="Abo-thar" w:hAnsi="Abo-thar" w:hint="cs"/>
          <w:spacing w:val="-4"/>
          <w:sz w:val="28"/>
          <w:rtl/>
          <w:lang w:bidi="ar-SY"/>
        </w:rPr>
        <w:t>:</w:t>
      </w:r>
      <w:r w:rsidRPr="00502770">
        <w:rPr>
          <w:rFonts w:ascii="Abo-thar" w:hAnsi="Abo-thar"/>
          <w:spacing w:val="-4"/>
          <w:sz w:val="28"/>
          <w:rtl/>
          <w:lang w:bidi="ar-SY"/>
        </w:rPr>
        <w:t xml:space="preserve"> </w:t>
      </w:r>
      <w:r w:rsidRPr="00502770">
        <w:rPr>
          <w:rFonts w:ascii="Abo-thar" w:hAnsi="Abo-thar" w:cs="KFGQPC Uthman Taha Naskh"/>
          <w:b/>
          <w:bCs/>
          <w:spacing w:val="-4"/>
          <w:sz w:val="28"/>
          <w:rtl/>
          <w:lang w:bidi="ar-SY"/>
        </w:rPr>
        <w:t>لما فتح رسول الله</w:t>
      </w:r>
      <w:r w:rsidR="00147857" w:rsidRPr="00502770">
        <w:rPr>
          <w:rFonts w:ascii="Abo-thar" w:hAnsi="Abo-thar" w:cs="KFGQPC Uthman Taha Naskh"/>
          <w:b/>
          <w:bCs/>
          <w:spacing w:val="-4"/>
          <w:sz w:val="28"/>
          <w:rtl/>
          <w:lang w:bidi="ar-SY"/>
        </w:rPr>
        <w:t xml:space="preserve"> </w:t>
      </w:r>
      <w:r w:rsidR="003C7AEB" w:rsidRPr="00502770">
        <w:rPr>
          <w:rFonts w:ascii="Abo-thar" w:hAnsi="Abo-thar" w:cs="CTraditional Arabic"/>
          <w:spacing w:val="-4"/>
          <w:sz w:val="28"/>
          <w:rtl/>
          <w:lang w:bidi="ar-SY"/>
        </w:rPr>
        <w:t>ص</w:t>
      </w:r>
      <w:r w:rsidR="00147857" w:rsidRPr="00502770">
        <w:rPr>
          <w:rFonts w:ascii="Abo-thar" w:hAnsi="Abo-thar" w:cs="KFGQPC Uthman Taha Naskh"/>
          <w:spacing w:val="-4"/>
          <w:sz w:val="28"/>
          <w:rtl/>
          <w:lang w:bidi="ar-SY"/>
        </w:rPr>
        <w:t xml:space="preserve"> </w:t>
      </w:r>
      <w:r w:rsidRPr="00502770">
        <w:rPr>
          <w:rFonts w:ascii="Abo-thar" w:hAnsi="Abo-thar" w:cs="KFGQPC Uthman Taha Naskh"/>
          <w:b/>
          <w:bCs/>
          <w:spacing w:val="-4"/>
          <w:sz w:val="28"/>
          <w:rtl/>
          <w:lang w:bidi="ar-SY"/>
        </w:rPr>
        <w:t>مكة قام عَلَى الصَّفَا فَقَالَ</w:t>
      </w:r>
      <w:r w:rsidR="00217AB4" w:rsidRPr="00502770">
        <w:rPr>
          <w:rFonts w:ascii="Abo-thar" w:hAnsi="Abo-thar" w:cs="KFGQPC Uthman Taha Naskh" w:hint="cs"/>
          <w:b/>
          <w:bCs/>
          <w:spacing w:val="-4"/>
          <w:sz w:val="28"/>
          <w:rtl/>
          <w:lang w:bidi="ar-SY"/>
        </w:rPr>
        <w:t>:</w:t>
      </w:r>
      <w:r w:rsidRPr="00502770">
        <w:rPr>
          <w:rFonts w:ascii="Abo-thar" w:hAnsi="Abo-thar" w:cs="KFGQPC Uthman Taha Naskh"/>
          <w:b/>
          <w:bCs/>
          <w:spacing w:val="-4"/>
          <w:sz w:val="28"/>
          <w:rtl/>
          <w:lang w:bidi="ar-SY"/>
        </w:rPr>
        <w:t xml:space="preserve"> يَا بَنِي هَاشِمٍ</w:t>
      </w:r>
      <w:r w:rsidR="00217AB4" w:rsidRPr="00502770">
        <w:rPr>
          <w:rFonts w:ascii="Abo-thar" w:hAnsi="Abo-thar" w:cs="KFGQPC Uthman Taha Naskh" w:hint="cs"/>
          <w:b/>
          <w:bCs/>
          <w:spacing w:val="-4"/>
          <w:sz w:val="28"/>
          <w:rtl/>
          <w:lang w:bidi="ar-SY"/>
        </w:rPr>
        <w:t>!</w:t>
      </w:r>
      <w:r w:rsidR="005B684B">
        <w:rPr>
          <w:rFonts w:ascii="Abo-thar" w:hAnsi="Abo-thar" w:cs="KFGQPC Uthman Taha Naskh"/>
          <w:b/>
          <w:bCs/>
          <w:spacing w:val="-4"/>
          <w:sz w:val="28"/>
          <w:rtl/>
          <w:lang w:bidi="ar-SY"/>
        </w:rPr>
        <w:t xml:space="preserve"> يَا بَنِي عَبْدِ</w:t>
      </w:r>
      <w:r w:rsidRPr="00502770">
        <w:rPr>
          <w:rFonts w:ascii="Abo-thar" w:hAnsi="Abo-thar" w:cs="KFGQPC Uthman Taha Naskh"/>
          <w:b/>
          <w:bCs/>
          <w:spacing w:val="-4"/>
          <w:sz w:val="28"/>
          <w:rtl/>
          <w:lang w:bidi="ar-SY"/>
        </w:rPr>
        <w:t>المُطَّلِبِ</w:t>
      </w:r>
      <w:r w:rsidR="00217AB4" w:rsidRPr="00502770">
        <w:rPr>
          <w:rFonts w:ascii="Abo-thar" w:hAnsi="Abo-thar" w:cs="KFGQPC Uthman Taha Naskh" w:hint="cs"/>
          <w:b/>
          <w:bCs/>
          <w:spacing w:val="-4"/>
          <w:sz w:val="28"/>
          <w:rtl/>
          <w:lang w:bidi="ar-SY"/>
        </w:rPr>
        <w:t>!</w:t>
      </w:r>
      <w:r w:rsidRPr="00502770">
        <w:rPr>
          <w:rFonts w:ascii="Abo-thar" w:hAnsi="Abo-thar" w:cs="KFGQPC Uthman Taha Naskh"/>
          <w:b/>
          <w:bCs/>
          <w:spacing w:val="-4"/>
          <w:sz w:val="28"/>
          <w:rtl/>
          <w:lang w:bidi="ar-SY"/>
        </w:rPr>
        <w:t xml:space="preserve"> إِنِّي رَسُولُ اللهِ إِلَيْكُمْ وَإِنِّي شَفِيقٌ عَلَيْكُمْ</w:t>
      </w:r>
      <w:r w:rsidR="00217AB4" w:rsidRPr="00502770">
        <w:rPr>
          <w:rFonts w:ascii="Abo-thar" w:hAnsi="Abo-thar" w:cs="KFGQPC Uthman Taha Naskh" w:hint="cs"/>
          <w:b/>
          <w:bCs/>
          <w:spacing w:val="-4"/>
          <w:sz w:val="28"/>
          <w:rtl/>
          <w:lang w:bidi="ar-SY"/>
        </w:rPr>
        <w:t>.</w:t>
      </w:r>
      <w:r w:rsidR="00147857" w:rsidRPr="00502770">
        <w:rPr>
          <w:rFonts w:ascii="Abo-thar" w:hAnsi="Abo-thar" w:cs="KFGQPC Uthman Taha Naskh" w:hint="cs"/>
          <w:b/>
          <w:bCs/>
          <w:spacing w:val="-4"/>
          <w:sz w:val="28"/>
          <w:rtl/>
          <w:lang w:bidi="ar-SY"/>
        </w:rPr>
        <w:t xml:space="preserve"> </w:t>
      </w:r>
      <w:r w:rsidRPr="00502770">
        <w:rPr>
          <w:rFonts w:ascii="Abo-thar" w:hAnsi="Abo-thar" w:cs="KFGQPC Uthman Taha Naskh"/>
          <w:b/>
          <w:bCs/>
          <w:spacing w:val="-4"/>
          <w:sz w:val="28"/>
          <w:rtl/>
          <w:lang w:bidi="ar-SY"/>
        </w:rPr>
        <w:t>لَا تَقُولُوا إِنَّ مُحَمَّداً مِنَّا</w:t>
      </w:r>
      <w:r w:rsidR="00217AB4" w:rsidRPr="00502770">
        <w:rPr>
          <w:rFonts w:ascii="Abo-thar" w:hAnsi="Abo-thar" w:cs="KFGQPC Uthman Taha Naskh" w:hint="cs"/>
          <w:b/>
          <w:bCs/>
          <w:spacing w:val="-4"/>
          <w:sz w:val="28"/>
          <w:rtl/>
          <w:lang w:bidi="ar-SY"/>
        </w:rPr>
        <w:t>،</w:t>
      </w:r>
      <w:r w:rsidRPr="00502770">
        <w:rPr>
          <w:rFonts w:ascii="Abo-thar" w:hAnsi="Abo-thar" w:cs="KFGQPC Uthman Taha Naskh"/>
          <w:b/>
          <w:bCs/>
          <w:spacing w:val="-4"/>
          <w:sz w:val="28"/>
          <w:rtl/>
          <w:lang w:bidi="ar-SY"/>
        </w:rPr>
        <w:t xml:space="preserve"> </w:t>
      </w:r>
      <w:r w:rsidRPr="00502770">
        <w:rPr>
          <w:rFonts w:ascii="Abo-thar" w:hAnsi="Abo-thar" w:cs="KFGQPC Uthman Taha Naskh" w:hint="cs"/>
          <w:b/>
          <w:bCs/>
          <w:spacing w:val="-4"/>
          <w:sz w:val="28"/>
          <w:rtl/>
          <w:lang w:bidi="ar-SY"/>
        </w:rPr>
        <w:t>ف</w:t>
      </w:r>
      <w:r w:rsidRPr="00502770">
        <w:rPr>
          <w:rFonts w:ascii="Abo-thar" w:hAnsi="Abo-thar" w:cs="KFGQPC Uthman Taha Naskh"/>
          <w:b/>
          <w:bCs/>
          <w:spacing w:val="-4"/>
          <w:sz w:val="28"/>
          <w:rtl/>
          <w:lang w:bidi="ar-SY"/>
        </w:rPr>
        <w:t>وَ</w:t>
      </w:r>
      <w:r w:rsidRPr="00502770">
        <w:rPr>
          <w:rFonts w:ascii="Abo-thar" w:hAnsi="Abo-thar" w:cs="KFGQPC Uthman Taha Naskh" w:hint="cs"/>
          <w:b/>
          <w:bCs/>
          <w:spacing w:val="-4"/>
          <w:sz w:val="28"/>
          <w:rtl/>
          <w:lang w:bidi="ar-SY"/>
        </w:rPr>
        <w:t>اللهِ</w:t>
      </w:r>
      <w:r w:rsidRPr="00502770">
        <w:rPr>
          <w:rFonts w:ascii="Abo-thar" w:hAnsi="Abo-thar" w:cs="KFGQPC Uthman Taha Naskh"/>
          <w:b/>
          <w:bCs/>
          <w:spacing w:val="-4"/>
          <w:sz w:val="28"/>
          <w:rtl/>
          <w:lang w:bidi="ar-SY"/>
        </w:rPr>
        <w:t xml:space="preserve"> مَا أَوْلِيَائِي مِنْكُمْ وَلَا مِنْ غَيْرِكُمْ إِلَّا المُتَّقُون‏</w:t>
      </w:r>
      <w:r w:rsidR="00EF2588" w:rsidRPr="00502770">
        <w:rPr>
          <w:rFonts w:ascii="Abo-thar" w:hAnsi="Abo-thar" w:cs="KFGQPC Uthman Taha Naskh" w:hint="cs"/>
          <w:spacing w:val="-4"/>
          <w:sz w:val="28"/>
          <w:rtl/>
          <w:lang w:bidi="ar-SY"/>
        </w:rPr>
        <w:t>»</w:t>
      </w:r>
      <w:r w:rsidR="00217AB4" w:rsidRPr="00502770">
        <w:rPr>
          <w:rFonts w:ascii="Abo-thar" w:hAnsi="Abo-thar" w:hint="cs"/>
          <w:spacing w:val="-4"/>
          <w:sz w:val="28"/>
          <w:rtl/>
          <w:lang w:bidi="ar-SY"/>
        </w:rPr>
        <w:t>.</w:t>
      </w:r>
      <w:r w:rsidR="00147857" w:rsidRPr="00502770">
        <w:rPr>
          <w:rFonts w:ascii="Abo-thar" w:hAnsi="Abo-thar" w:hint="cs"/>
          <w:spacing w:val="-4"/>
          <w:sz w:val="28"/>
          <w:rtl/>
          <w:lang w:bidi="ar-SY"/>
        </w:rPr>
        <w:t xml:space="preserve"> </w:t>
      </w:r>
      <w:r w:rsidRPr="00502770">
        <w:rPr>
          <w:rFonts w:ascii="Abo-thar" w:hAnsi="Abo-thar" w:hint="cs"/>
          <w:spacing w:val="-4"/>
          <w:sz w:val="28"/>
          <w:rtl/>
          <w:lang w:bidi="ar-SY"/>
        </w:rPr>
        <w:t>وفي آخر الحديث قال رسول الله</w:t>
      </w:r>
      <w:r w:rsidR="00147857" w:rsidRPr="00502770">
        <w:rPr>
          <w:rFonts w:ascii="Abo-thar" w:hAnsi="Abo-thar" w:hint="cs"/>
          <w:spacing w:val="-4"/>
          <w:sz w:val="28"/>
          <w:rtl/>
          <w:lang w:bidi="ar-SY"/>
        </w:rPr>
        <w:t xml:space="preserve"> </w:t>
      </w:r>
      <w:r w:rsidR="003C7AEB" w:rsidRPr="00502770">
        <w:rPr>
          <w:rFonts w:ascii="Abo-thar" w:hAnsi="Abo-thar" w:cs="CTraditional Arabic" w:hint="cs"/>
          <w:spacing w:val="-4"/>
          <w:sz w:val="28"/>
          <w:rtl/>
          <w:lang w:bidi="ar-SY"/>
        </w:rPr>
        <w:t>ص</w:t>
      </w:r>
      <w:r w:rsidR="00217AB4" w:rsidRPr="00502770">
        <w:rPr>
          <w:rFonts w:ascii="Abo-thar" w:hAnsi="Abo-thar" w:hint="cs"/>
          <w:spacing w:val="-4"/>
          <w:sz w:val="28"/>
          <w:rtl/>
          <w:lang w:bidi="ar-SY"/>
        </w:rPr>
        <w:t>:</w:t>
      </w:r>
      <w:r w:rsidRPr="00502770">
        <w:rPr>
          <w:rFonts w:ascii="Abo-thar" w:hAnsi="Abo-thar" w:hint="cs"/>
          <w:spacing w:val="-4"/>
          <w:sz w:val="28"/>
          <w:rtl/>
          <w:lang w:bidi="ar-SY"/>
        </w:rPr>
        <w:t xml:space="preserve"> </w:t>
      </w:r>
      <w:r w:rsidR="00EF2588" w:rsidRPr="00502770">
        <w:rPr>
          <w:rFonts w:ascii="Abo-thar" w:hAnsi="Abo-thar" w:cs="KFGQPC Uthman Taha Naskh" w:hint="cs"/>
          <w:spacing w:val="-4"/>
          <w:sz w:val="28"/>
          <w:rtl/>
          <w:lang w:bidi="ar-SY"/>
        </w:rPr>
        <w:t>«</w:t>
      </w:r>
      <w:r w:rsidRPr="00502770">
        <w:rPr>
          <w:rFonts w:ascii="Abo-thar" w:hAnsi="Abo-thar" w:cs="KFGQPC Uthman Taha Naskh"/>
          <w:b/>
          <w:bCs/>
          <w:spacing w:val="-4"/>
          <w:sz w:val="28"/>
          <w:rtl/>
          <w:lang w:bidi="ar-SY"/>
        </w:rPr>
        <w:t xml:space="preserve">أَلَا </w:t>
      </w:r>
      <w:r w:rsidRPr="00502770">
        <w:rPr>
          <w:rFonts w:ascii="Abo-thar" w:hAnsi="Abo-thar" w:cs="KFGQPC Uthman Taha Naskh" w:hint="cs"/>
          <w:b/>
          <w:bCs/>
          <w:spacing w:val="-4"/>
          <w:sz w:val="28"/>
          <w:rtl/>
          <w:lang w:bidi="ar-SY"/>
        </w:rPr>
        <w:t>وَ</w:t>
      </w:r>
      <w:r w:rsidRPr="00502770">
        <w:rPr>
          <w:rFonts w:ascii="Abo-thar" w:hAnsi="Abo-thar" w:cs="KFGQPC Uthman Taha Naskh"/>
          <w:b/>
          <w:bCs/>
          <w:spacing w:val="-4"/>
          <w:sz w:val="28"/>
          <w:rtl/>
          <w:lang w:bidi="ar-SY"/>
        </w:rPr>
        <w:t>إِنِّي قَدْ أَعْذَرْتُ فِيمَا بَيْنِي وَبَيْنَكُمْ و</w:t>
      </w:r>
      <w:r w:rsidRPr="00502770">
        <w:rPr>
          <w:rFonts w:ascii="Abo-thar" w:hAnsi="Abo-thar" w:cs="KFGQPC Uthman Taha Naskh" w:hint="cs"/>
          <w:b/>
          <w:bCs/>
          <w:spacing w:val="-4"/>
          <w:sz w:val="28"/>
          <w:rtl/>
          <w:lang w:bidi="ar-SY"/>
        </w:rPr>
        <w:t>َ</w:t>
      </w:r>
      <w:r w:rsidRPr="00502770">
        <w:rPr>
          <w:rFonts w:ascii="Abo-thar" w:hAnsi="Abo-thar" w:cs="KFGQPC Uthman Taha Naskh"/>
          <w:b/>
          <w:bCs/>
          <w:spacing w:val="-4"/>
          <w:sz w:val="28"/>
          <w:rtl/>
          <w:lang w:bidi="ar-SY"/>
        </w:rPr>
        <w:t xml:space="preserve">فِيمَا بَيْنَ </w:t>
      </w:r>
      <w:r w:rsidRPr="00502770">
        <w:rPr>
          <w:rFonts w:ascii="Abo-thar" w:hAnsi="Abo-thar" w:cs="KFGQPC Uthman Taha Naskh" w:hint="cs"/>
          <w:b/>
          <w:bCs/>
          <w:spacing w:val="-4"/>
          <w:sz w:val="28"/>
          <w:rtl/>
          <w:lang w:bidi="ar-SY"/>
        </w:rPr>
        <w:t>اللهِ</w:t>
      </w:r>
      <w:r w:rsidRPr="00502770">
        <w:rPr>
          <w:rFonts w:ascii="Abo-thar" w:hAnsi="Abo-thar" w:cs="KFGQPC Uthman Taha Naskh"/>
          <w:b/>
          <w:bCs/>
          <w:spacing w:val="-4"/>
          <w:sz w:val="28"/>
          <w:rtl/>
          <w:lang w:bidi="ar-SY"/>
        </w:rPr>
        <w:t xml:space="preserve"> عَزَّ وَجَلَّ </w:t>
      </w:r>
      <w:r w:rsidRPr="00502770">
        <w:rPr>
          <w:rFonts w:ascii="Abo-thar" w:hAnsi="Abo-thar" w:cs="KFGQPC Uthman Taha Naskh" w:hint="cs"/>
          <w:b/>
          <w:bCs/>
          <w:spacing w:val="-4"/>
          <w:sz w:val="28"/>
          <w:rtl/>
          <w:lang w:bidi="ar-SY"/>
        </w:rPr>
        <w:t xml:space="preserve">وَبَيْنَكُم </w:t>
      </w:r>
      <w:r w:rsidRPr="00502770">
        <w:rPr>
          <w:rFonts w:ascii="Abo-thar" w:hAnsi="Abo-thar" w:cs="KFGQPC Uthman Taha Naskh"/>
          <w:b/>
          <w:bCs/>
          <w:spacing w:val="-4"/>
          <w:sz w:val="28"/>
          <w:rtl/>
          <w:lang w:bidi="ar-SY"/>
        </w:rPr>
        <w:t>وَإِنَّ لِي عَمَلِي وَلَكُمْ عَمَلَكُمْ</w:t>
      </w:r>
      <w:r w:rsidR="00EF2588" w:rsidRPr="00502770">
        <w:rPr>
          <w:rFonts w:ascii="Abo-thar" w:hAnsi="Abo-thar" w:cs="KFGQPC Uthman Taha Naskh" w:hint="cs"/>
          <w:spacing w:val="-4"/>
          <w:sz w:val="28"/>
          <w:rtl/>
          <w:lang w:bidi="ar-SY"/>
        </w:rPr>
        <w:t>»</w:t>
      </w:r>
      <w:r w:rsidR="00217AB4" w:rsidRPr="00502770">
        <w:rPr>
          <w:rFonts w:cs="Arabic11 BT"/>
          <w:b/>
          <w:spacing w:val="-4"/>
          <w:sz w:val="28"/>
          <w:vertAlign w:val="superscript"/>
          <w:rtl/>
          <w:lang w:bidi="ar-SY"/>
        </w:rPr>
        <w:t>(</w:t>
      </w:r>
      <w:r w:rsidRPr="00502770">
        <w:rPr>
          <w:rStyle w:val="FootnoteReference"/>
          <w:rFonts w:cs="Arabic11 BT"/>
          <w:b/>
          <w:spacing w:val="-4"/>
          <w:sz w:val="28"/>
          <w:rtl/>
          <w:lang w:bidi="ar-SY"/>
        </w:rPr>
        <w:footnoteReference w:id="109"/>
      </w:r>
      <w:r w:rsidR="00217AB4" w:rsidRPr="00502770">
        <w:rPr>
          <w:rFonts w:cs="Arabic11 BT"/>
          <w:b/>
          <w:spacing w:val="-4"/>
          <w:sz w:val="28"/>
          <w:vertAlign w:val="superscript"/>
          <w:rtl/>
          <w:lang w:bidi="ar-SY"/>
        </w:rPr>
        <w:t>)</w:t>
      </w:r>
      <w:r w:rsidR="00217AB4" w:rsidRPr="00502770">
        <w:rPr>
          <w:rFonts w:ascii="Abo-thar" w:hAnsi="Abo-thar" w:hint="cs"/>
          <w:spacing w:val="-4"/>
          <w:sz w:val="28"/>
          <w:rtl/>
          <w:lang w:bidi="ar-SY"/>
        </w:rPr>
        <w:t>.</w:t>
      </w:r>
      <w:r w:rsidRPr="00502770">
        <w:rPr>
          <w:rFonts w:ascii="Abo-thar" w:hAnsi="Abo-thar"/>
          <w:spacing w:val="-4"/>
          <w:sz w:val="28"/>
          <w:rtl/>
          <w:lang w:bidi="ar-SY"/>
        </w:rPr>
        <w:t xml:space="preserve"> </w:t>
      </w:r>
    </w:p>
    <w:p w:rsidR="005C664D" w:rsidRPr="003F3B94" w:rsidRDefault="005C664D" w:rsidP="003F3B94">
      <w:pPr>
        <w:pStyle w:val="a0"/>
        <w:rPr>
          <w:rFonts w:hint="cs"/>
          <w:rtl/>
          <w:lang w:bidi="ar-SY"/>
        </w:rPr>
      </w:pPr>
      <w:r w:rsidRPr="003F3B94">
        <w:rPr>
          <w:rFonts w:ascii="Abo-thar" w:hAnsi="Abo-thar" w:hint="cs"/>
          <w:sz w:val="28"/>
          <w:rtl/>
          <w:lang w:bidi="ar-SY"/>
        </w:rPr>
        <w:t>5</w:t>
      </w:r>
      <w:r w:rsidR="00217AB4" w:rsidRPr="003F3B94">
        <w:rPr>
          <w:rFonts w:ascii="Abo-thar" w:hAnsi="Abo-thar" w:hint="cs"/>
          <w:sz w:val="28"/>
          <w:rtl/>
          <w:lang w:bidi="ar-SY"/>
        </w:rPr>
        <w:t>-</w:t>
      </w:r>
      <w:r w:rsidRPr="003F3B94">
        <w:rPr>
          <w:rFonts w:ascii="Abo-thar" w:hAnsi="Abo-thar" w:hint="cs"/>
          <w:sz w:val="28"/>
          <w:rtl/>
          <w:lang w:bidi="ar-SY"/>
        </w:rPr>
        <w:t xml:space="preserve"> وجاء في «المناقب» لابن شهرآشوب</w:t>
      </w:r>
      <w:r w:rsidR="00217AB4" w:rsidRPr="003F3B94">
        <w:rPr>
          <w:rFonts w:ascii="Abo-thar" w:hAnsi="Abo-thar" w:hint="cs"/>
          <w:sz w:val="28"/>
          <w:rtl/>
          <w:lang w:bidi="ar-SY"/>
        </w:rPr>
        <w:t>:</w:t>
      </w:r>
      <w:r w:rsidRPr="003F3B94">
        <w:rPr>
          <w:rFonts w:ascii="Abo-thar" w:hAnsi="Abo-thar" w:hint="cs"/>
          <w:sz w:val="28"/>
          <w:rtl/>
          <w:lang w:bidi="ar-SY"/>
        </w:rPr>
        <w:t xml:space="preserve"> </w:t>
      </w:r>
      <w:r w:rsidR="00EF2588" w:rsidRPr="003F3B94">
        <w:rPr>
          <w:rFonts w:ascii="Abo-thar" w:hAnsi="Abo-thar" w:hint="cs"/>
          <w:sz w:val="28"/>
          <w:rtl/>
          <w:lang w:bidi="ar-SY"/>
        </w:rPr>
        <w:t>«</w:t>
      </w:r>
      <w:r w:rsidRPr="004A3642">
        <w:rPr>
          <w:rFonts w:ascii="Abo-thar" w:hAnsi="Abo-thar" w:cs="KFGQPC Uthman Taha Naskh"/>
          <w:b/>
          <w:bCs/>
          <w:sz w:val="28"/>
          <w:rtl/>
          <w:lang w:bidi="ar-SY"/>
        </w:rPr>
        <w:t xml:space="preserve">دَخَلَ زَيْدُ بْنُ مُوسَى بْنِ جَعْفَرٍ </w:t>
      </w:r>
      <w:r w:rsidR="00BC4BA9" w:rsidRPr="00BC4BA9">
        <w:rPr>
          <w:rFonts w:ascii="Abo-thar" w:hAnsi="Abo-thar" w:cs="CTraditional Arabic" w:hint="cs"/>
          <w:b/>
          <w:sz w:val="28"/>
          <w:rtl/>
          <w:lang w:bidi="ar-SY"/>
        </w:rPr>
        <w:t>÷</w:t>
      </w:r>
      <w:r w:rsidRPr="004A3642">
        <w:rPr>
          <w:rFonts w:ascii="Abo-thar" w:hAnsi="Abo-thar" w:cs="KFGQPC Uthman Taha Naskh"/>
          <w:b/>
          <w:bCs/>
          <w:sz w:val="28"/>
          <w:rtl/>
          <w:lang w:bidi="ar-SY"/>
        </w:rPr>
        <w:t xml:space="preserve"> عَلَى المَأْمُونِ فَأَكْرَمَهُ وَعِنْدَهُ الرِّضَا </w:t>
      </w:r>
      <w:r w:rsidR="00BC4BA9" w:rsidRPr="00BC4BA9">
        <w:rPr>
          <w:rFonts w:ascii="Abo-thar" w:hAnsi="Abo-thar" w:cs="CTraditional Arabic" w:hint="cs"/>
          <w:b/>
          <w:sz w:val="28"/>
          <w:rtl/>
          <w:lang w:bidi="ar-SY"/>
        </w:rPr>
        <w:t>÷</w:t>
      </w:r>
      <w:r w:rsidRPr="004A3642">
        <w:rPr>
          <w:rFonts w:ascii="Abo-thar" w:hAnsi="Abo-thar" w:cs="KFGQPC Uthman Taha Naskh"/>
          <w:b/>
          <w:bCs/>
          <w:sz w:val="28"/>
          <w:rtl/>
          <w:lang w:bidi="ar-SY"/>
        </w:rPr>
        <w:t xml:space="preserve"> فَسَلَّمَ زَيْدٌ عَلَيْهِ فَلَمْ يُجِبْهُ فَقَالَ أَنَا ابْنُ أَبِيكَ وَلَا تَرُدُّ عَلَيَّ سَلَامِي</w:t>
      </w:r>
      <w:r w:rsidR="00217AB4" w:rsidRPr="004A3642">
        <w:rPr>
          <w:rFonts w:ascii="Abo-thar" w:hAnsi="Abo-thar" w:cs="KFGQPC Uthman Taha Naskh" w:hint="cs"/>
          <w:b/>
          <w:bCs/>
          <w:sz w:val="28"/>
          <w:rtl/>
          <w:lang w:bidi="ar-SY"/>
        </w:rPr>
        <w:t>؟!</w:t>
      </w:r>
      <w:r w:rsidRPr="004A3642">
        <w:rPr>
          <w:rFonts w:ascii="Abo-thar" w:hAnsi="Abo-thar" w:cs="KFGQPC Uthman Taha Naskh"/>
          <w:b/>
          <w:bCs/>
          <w:sz w:val="28"/>
          <w:rtl/>
          <w:lang w:bidi="ar-SY"/>
        </w:rPr>
        <w:t xml:space="preserve"> فَقَالَ </w:t>
      </w:r>
      <w:r w:rsidR="00BC4BA9" w:rsidRPr="00BC4BA9">
        <w:rPr>
          <w:rFonts w:ascii="Abo-thar" w:hAnsi="Abo-thar" w:cs="CTraditional Arabic" w:hint="cs"/>
          <w:b/>
          <w:sz w:val="28"/>
          <w:rtl/>
          <w:lang w:bidi="ar-SY"/>
        </w:rPr>
        <w:t>÷</w:t>
      </w:r>
      <w:r w:rsidR="00217AB4" w:rsidRPr="004A3642">
        <w:rPr>
          <w:rFonts w:ascii="Abo-thar" w:hAnsi="Abo-thar" w:cs="KFGQPC Uthman Taha Naskh" w:hint="cs"/>
          <w:b/>
          <w:bCs/>
          <w:sz w:val="28"/>
          <w:rtl/>
          <w:lang w:bidi="ar-SY"/>
        </w:rPr>
        <w:t>:</w:t>
      </w:r>
      <w:r w:rsidRPr="004A3642">
        <w:rPr>
          <w:rFonts w:ascii="Abo-thar" w:hAnsi="Abo-thar" w:cs="KFGQPC Uthman Taha Naskh"/>
          <w:b/>
          <w:bCs/>
          <w:sz w:val="28"/>
          <w:rtl/>
          <w:lang w:bidi="ar-SY"/>
        </w:rPr>
        <w:t xml:space="preserve"> أَنْتَ أَخِي مَا أَطَعْتَ اللهَ فَإِذَا عَصَيْتَ اللهَ لَا إِخَاءَ بَيْنِي وَبَيْنَك</w:t>
      </w:r>
      <w:r w:rsidRPr="004A3642">
        <w:rPr>
          <w:rFonts w:ascii="Abo-thar" w:hAnsi="Abo-thar" w:cs="KFGQPC Uthman Taha Naskh"/>
          <w:sz w:val="28"/>
          <w:rtl/>
          <w:lang w:bidi="ar-SY"/>
        </w:rPr>
        <w:t>‏</w:t>
      </w:r>
      <w:r w:rsidR="00EF2588" w:rsidRPr="004A3642">
        <w:rPr>
          <w:rFonts w:ascii="Abo-thar" w:hAnsi="Abo-thar" w:cs="KFGQPC Uthman Taha Naskh" w:hint="cs"/>
          <w:sz w:val="28"/>
          <w:rtl/>
          <w:lang w:bidi="ar-SY"/>
        </w:rPr>
        <w:t>»</w:t>
      </w:r>
      <w:r w:rsidR="00217AB4" w:rsidRPr="0021507A">
        <w:rPr>
          <w:rFonts w:cs="Arabic11 BT"/>
          <w:b/>
          <w:sz w:val="28"/>
          <w:vertAlign w:val="superscript"/>
          <w:rtl/>
          <w:lang w:bidi="ar-SY"/>
        </w:rPr>
        <w:t>(</w:t>
      </w:r>
      <w:r w:rsidRPr="0021507A">
        <w:rPr>
          <w:rStyle w:val="FootnoteReference"/>
          <w:rFonts w:cs="Arabic11 BT"/>
          <w:b/>
          <w:sz w:val="28"/>
          <w:rtl/>
          <w:lang w:bidi="ar-SY"/>
        </w:rPr>
        <w:footnoteReference w:id="110"/>
      </w:r>
      <w:r w:rsidR="00217AB4" w:rsidRPr="0021507A">
        <w:rPr>
          <w:rFonts w:cs="Arabic11 BT"/>
          <w:b/>
          <w:sz w:val="28"/>
          <w:vertAlign w:val="superscript"/>
          <w:rtl/>
          <w:lang w:bidi="ar-SY"/>
        </w:rPr>
        <w:t>)</w:t>
      </w:r>
      <w:r w:rsidR="00217AB4" w:rsidRPr="003F3B94">
        <w:rPr>
          <w:sz w:val="28"/>
          <w:rtl/>
          <w:lang w:bidi="ar-SY"/>
        </w:rPr>
        <w:t>.</w:t>
      </w:r>
      <w:r w:rsidRPr="003F3B94">
        <w:rPr>
          <w:rFonts w:ascii="Abo-thar" w:hAnsi="Abo-thar" w:hint="cs"/>
          <w:sz w:val="28"/>
          <w:rtl/>
          <w:lang w:bidi="ar-SY"/>
        </w:rPr>
        <w:t xml:space="preserve"> </w:t>
      </w:r>
    </w:p>
    <w:p w:rsidR="005C664D" w:rsidRPr="004A3642" w:rsidRDefault="005C664D" w:rsidP="005B684B">
      <w:pPr>
        <w:pStyle w:val="a0"/>
        <w:spacing w:line="223" w:lineRule="auto"/>
        <w:rPr>
          <w:rFonts w:cs="KFGQPC Uthman Taha Naskh" w:hint="cs"/>
          <w:rtl/>
          <w:lang w:bidi="ar-SY"/>
        </w:rPr>
      </w:pPr>
      <w:r w:rsidRPr="003F3B94">
        <w:rPr>
          <w:rFonts w:ascii="Abo-thar" w:hAnsi="Abo-thar" w:hint="cs"/>
          <w:sz w:val="28"/>
          <w:rtl/>
          <w:lang w:bidi="ar-SY"/>
        </w:rPr>
        <w:t>6</w:t>
      </w:r>
      <w:r w:rsidR="00217AB4" w:rsidRPr="003F3B94">
        <w:rPr>
          <w:rFonts w:ascii="Abo-thar" w:hAnsi="Abo-thar" w:hint="cs"/>
          <w:sz w:val="28"/>
          <w:rtl/>
          <w:lang w:bidi="ar-SY"/>
        </w:rPr>
        <w:t>-</w:t>
      </w:r>
      <w:r w:rsidRPr="003F3B94">
        <w:rPr>
          <w:rFonts w:ascii="Abo-thar" w:hAnsi="Abo-thar" w:hint="cs"/>
          <w:sz w:val="28"/>
          <w:rtl/>
          <w:lang w:bidi="ar-SY"/>
        </w:rPr>
        <w:t xml:space="preserve"> وروى الشيخ الصدوق في عيون أخبار الرضا وفي معاني الأخبار</w:t>
      </w:r>
      <w:r w:rsidR="00652969" w:rsidRPr="003F3B94">
        <w:rPr>
          <w:rFonts w:ascii="Abo-thar" w:hAnsi="Abo-thar" w:hint="cs"/>
          <w:sz w:val="28"/>
          <w:rtl/>
          <w:lang w:bidi="ar-SY"/>
        </w:rPr>
        <w:t>:</w:t>
      </w:r>
      <w:r w:rsidR="00502770">
        <w:rPr>
          <w:rFonts w:ascii="Abo-thar" w:hAnsi="Abo-thar" w:hint="cs"/>
          <w:sz w:val="28"/>
          <w:rtl/>
          <w:lang w:bidi="ar-SY"/>
        </w:rPr>
        <w:t xml:space="preserve"> </w:t>
      </w:r>
      <w:r w:rsidR="00EF2588" w:rsidRPr="004A3642">
        <w:rPr>
          <w:rFonts w:ascii="Abo-thar" w:hAnsi="Abo-thar" w:cs="KFGQPC Uthman Taha Naskh" w:hint="cs"/>
          <w:sz w:val="28"/>
          <w:rtl/>
          <w:lang w:bidi="ar-SY"/>
        </w:rPr>
        <w:t>«</w:t>
      </w:r>
      <w:r w:rsidR="00217AB4" w:rsidRPr="004A3642">
        <w:rPr>
          <w:rFonts w:ascii="Abo-thar" w:hAnsi="Abo-thar" w:cs="KFGQPC Uthman Taha Naskh" w:hint="cs"/>
          <w:sz w:val="28"/>
          <w:rtl/>
          <w:lang w:bidi="ar-SY"/>
        </w:rPr>
        <w:t>..</w:t>
      </w:r>
      <w:r w:rsidRPr="004A3642">
        <w:rPr>
          <w:rFonts w:ascii="Abo-thar" w:hAnsi="Abo-thar" w:cs="KFGQPC Uthman Taha Naskh" w:hint="cs"/>
          <w:sz w:val="28"/>
          <w:rtl/>
          <w:lang w:bidi="ar-SY"/>
        </w:rPr>
        <w:t xml:space="preserve"> </w:t>
      </w:r>
      <w:r w:rsidRPr="004A3642">
        <w:rPr>
          <w:rFonts w:ascii="Abo-thar" w:hAnsi="Abo-thar" w:cs="KFGQPC Uthman Taha Naskh"/>
          <w:sz w:val="28"/>
          <w:rtl/>
          <w:lang w:bidi="ar-SY"/>
        </w:rPr>
        <w:t>عَنِ الْحَسَنِ بْنِ مُوسَى الْوَشَّاءِ الْبَغْدَادِيِّ قَالَ</w:t>
      </w:r>
      <w:r w:rsidR="00217AB4" w:rsidRPr="004A3642">
        <w:rPr>
          <w:rFonts w:ascii="Abo-thar" w:hAnsi="Abo-thar" w:cs="KFGQPC Uthman Taha Naskh" w:hint="cs"/>
          <w:sz w:val="28"/>
          <w:rtl/>
          <w:lang w:bidi="ar-SY"/>
        </w:rPr>
        <w:t>:</w:t>
      </w:r>
      <w:r w:rsidRPr="004A3642">
        <w:rPr>
          <w:rFonts w:ascii="Abo-thar" w:hAnsi="Abo-thar" w:cs="KFGQPC Uthman Taha Naskh"/>
          <w:sz w:val="28"/>
          <w:rtl/>
          <w:lang w:bidi="ar-SY"/>
        </w:rPr>
        <w:t xml:space="preserve"> كُنْتُ بِخُرَاسَانَ مَعَ عَلِيِّ بْنِ مُوسَى الرِّضَا </w:t>
      </w:r>
      <w:r w:rsidR="00BC4BA9" w:rsidRPr="00BC4BA9">
        <w:rPr>
          <w:rFonts w:ascii="Abo-thar" w:hAnsi="Abo-thar" w:cs="CTraditional Arabic" w:hint="cs"/>
          <w:sz w:val="28"/>
          <w:rtl/>
          <w:lang w:bidi="ar-SY"/>
        </w:rPr>
        <w:t>÷</w:t>
      </w:r>
      <w:r w:rsidRPr="004A3642">
        <w:rPr>
          <w:rFonts w:ascii="Abo-thar" w:hAnsi="Abo-thar" w:cs="KFGQPC Uthman Taha Naskh"/>
          <w:sz w:val="28"/>
          <w:rtl/>
          <w:lang w:bidi="ar-SY"/>
        </w:rPr>
        <w:t xml:space="preserve"> فِي مَجْلِسِهِ وَزَيْدُ بْنُ مُوسَى حَاضِرٌ وَقَدْ أَقْبَلَ عَلَى جَمَاعَةٍ فِي المَجْلِسِ يَفْتَخِرُ عَلَيْهِمْ وَيَقُولُ نَحْنُ وَنَحْنُ</w:t>
      </w:r>
      <w:r w:rsidR="00217AB4" w:rsidRPr="004A3642">
        <w:rPr>
          <w:rFonts w:ascii="Abo-thar" w:hAnsi="Abo-thar" w:cs="KFGQPC Uthman Taha Naskh" w:hint="cs"/>
          <w:sz w:val="28"/>
          <w:rtl/>
          <w:lang w:bidi="ar-SY"/>
        </w:rPr>
        <w:t>،</w:t>
      </w:r>
      <w:r w:rsidRPr="004A3642">
        <w:rPr>
          <w:rFonts w:ascii="Abo-thar" w:hAnsi="Abo-thar" w:cs="KFGQPC Uthman Taha Naskh"/>
          <w:sz w:val="28"/>
          <w:rtl/>
          <w:lang w:bidi="ar-SY"/>
        </w:rPr>
        <w:t xml:space="preserve"> وَأَبُوالْحَسَنِ</w:t>
      </w:r>
      <w:r w:rsidR="00BC4BA9" w:rsidRPr="00BC4BA9">
        <w:rPr>
          <w:rFonts w:ascii="Abo-thar" w:hAnsi="Abo-thar" w:cs="CTraditional Arabic" w:hint="cs"/>
          <w:sz w:val="28"/>
          <w:rtl/>
          <w:lang w:bidi="ar-SY"/>
        </w:rPr>
        <w:t>÷</w:t>
      </w:r>
      <w:r w:rsidRPr="004A3642">
        <w:rPr>
          <w:rFonts w:ascii="Abo-thar" w:hAnsi="Abo-thar" w:cs="KFGQPC Uthman Taha Naskh"/>
          <w:sz w:val="28"/>
          <w:rtl/>
          <w:lang w:bidi="ar-SY"/>
        </w:rPr>
        <w:t xml:space="preserve"> مُقْبِلٌ عَلَى قَوْمٍ يُحَدِّثُهُمْ</w:t>
      </w:r>
      <w:r w:rsidR="00217AB4" w:rsidRPr="004A3642">
        <w:rPr>
          <w:rFonts w:ascii="Abo-thar" w:hAnsi="Abo-thar" w:cs="KFGQPC Uthman Taha Naskh" w:hint="cs"/>
          <w:sz w:val="28"/>
          <w:rtl/>
          <w:lang w:bidi="ar-SY"/>
        </w:rPr>
        <w:t>،</w:t>
      </w:r>
      <w:r w:rsidRPr="004A3642">
        <w:rPr>
          <w:rFonts w:ascii="Abo-thar" w:hAnsi="Abo-thar" w:cs="KFGQPC Uthman Taha Naskh"/>
          <w:sz w:val="28"/>
          <w:rtl/>
          <w:lang w:bidi="ar-SY"/>
        </w:rPr>
        <w:t xml:space="preserve"> فَسَمِعَ مَقَالَةَ زَيْدٍ فَالْتَفَتَ إِلَيْهِ فَقَالَ</w:t>
      </w:r>
      <w:r w:rsidR="00217AB4" w:rsidRPr="004A3642">
        <w:rPr>
          <w:rFonts w:ascii="Abo-thar" w:hAnsi="Abo-thar" w:cs="KFGQPC Uthman Taha Naskh" w:hint="cs"/>
          <w:sz w:val="28"/>
          <w:rtl/>
          <w:lang w:bidi="ar-SY"/>
        </w:rPr>
        <w:t>:</w:t>
      </w:r>
      <w:r w:rsidRPr="004A3642">
        <w:rPr>
          <w:rFonts w:ascii="Abo-thar" w:hAnsi="Abo-thar" w:cs="KFGQPC Uthman Taha Naskh"/>
          <w:sz w:val="28"/>
          <w:rtl/>
          <w:lang w:bidi="ar-SY"/>
        </w:rPr>
        <w:t xml:space="preserve"> </w:t>
      </w:r>
      <w:r w:rsidRPr="004A3642">
        <w:rPr>
          <w:rFonts w:ascii="Abo-thar" w:hAnsi="Abo-thar" w:cs="KFGQPC Uthman Taha Naskh"/>
          <w:b/>
          <w:bCs/>
          <w:sz w:val="28"/>
          <w:rtl/>
          <w:lang w:bidi="ar-SY"/>
        </w:rPr>
        <w:t>يَا زَيْدُ</w:t>
      </w:r>
      <w:r w:rsidR="00217AB4" w:rsidRPr="004A3642">
        <w:rPr>
          <w:rFonts w:ascii="Abo-thar" w:hAnsi="Abo-thar" w:cs="KFGQPC Uthman Taha Naskh" w:hint="cs"/>
          <w:b/>
          <w:bCs/>
          <w:sz w:val="28"/>
          <w:rtl/>
          <w:lang w:bidi="ar-SY"/>
        </w:rPr>
        <w:t>!</w:t>
      </w:r>
      <w:r w:rsidRPr="004A3642">
        <w:rPr>
          <w:rFonts w:ascii="Abo-thar" w:hAnsi="Abo-thar" w:cs="KFGQPC Uthman Taha Naskh"/>
          <w:b/>
          <w:bCs/>
          <w:sz w:val="28"/>
          <w:rtl/>
          <w:lang w:bidi="ar-SY"/>
        </w:rPr>
        <w:t xml:space="preserve"> أَ غَرَّكَ قَوْلُ بَقَّالِي الْكُوفَةِ إِنَّ فَاطِمَةَ أَحْصَنَتْ فَرْجَهَا فَحَرَّمَ اللهُ ذُرِّيَّتَهَا عَلَى النَّارِ</w:t>
      </w:r>
      <w:r w:rsidR="00217AB4" w:rsidRPr="004A3642">
        <w:rPr>
          <w:rFonts w:ascii="Abo-thar" w:hAnsi="Abo-thar" w:cs="KFGQPC Uthman Taha Naskh" w:hint="cs"/>
          <w:b/>
          <w:bCs/>
          <w:sz w:val="28"/>
          <w:rtl/>
          <w:lang w:bidi="ar-SY"/>
        </w:rPr>
        <w:t>؟</w:t>
      </w:r>
      <w:r w:rsidRPr="004A3642">
        <w:rPr>
          <w:rFonts w:ascii="Abo-thar" w:hAnsi="Abo-thar" w:cs="KFGQPC Uthman Taha Naskh"/>
          <w:b/>
          <w:bCs/>
          <w:sz w:val="28"/>
          <w:rtl/>
          <w:lang w:bidi="ar-SY"/>
        </w:rPr>
        <w:t xml:space="preserve"> وَاللهِ مَا ذَلِكَ إِلَّا لِلْحَسَنِ وَالحُسَيْنِ وَوُلْدِ بَطْنِهَا خَاصَّةً فَأَمَّا أَنْ يَكُونَ مُوسَى بْنُ جَعْفَرٍ </w:t>
      </w:r>
      <w:r w:rsidR="00BC4BA9" w:rsidRPr="00BC4BA9">
        <w:rPr>
          <w:rFonts w:ascii="Abo-thar" w:hAnsi="Abo-thar" w:cs="CTraditional Arabic" w:hint="cs"/>
          <w:b/>
          <w:sz w:val="28"/>
          <w:rtl/>
          <w:lang w:bidi="ar-SY"/>
        </w:rPr>
        <w:t>÷</w:t>
      </w:r>
      <w:r w:rsidRPr="004A3642">
        <w:rPr>
          <w:rFonts w:ascii="Abo-thar" w:hAnsi="Abo-thar" w:cs="KFGQPC Uthman Taha Naskh"/>
          <w:b/>
          <w:bCs/>
          <w:sz w:val="28"/>
          <w:rtl/>
          <w:lang w:bidi="ar-SY"/>
        </w:rPr>
        <w:t xml:space="preserve"> يُطِيعُ اللهَ وَيَصُومُ نَهَارَهُ وَيَقُومُ لَيْلَهُ وَتَعْصِيهِ أَنْتَ ثُمَّ تَجِيئَانِ يَوْمَ الْقِيَامَةِ سَوَاءً</w:t>
      </w:r>
      <w:r w:rsidR="00217AB4" w:rsidRPr="004A3642">
        <w:rPr>
          <w:rFonts w:ascii="Abo-thar" w:hAnsi="Abo-thar" w:cs="KFGQPC Uthman Taha Naskh" w:hint="cs"/>
          <w:b/>
          <w:bCs/>
          <w:sz w:val="28"/>
          <w:rtl/>
          <w:lang w:bidi="ar-SY"/>
        </w:rPr>
        <w:t>؟!</w:t>
      </w:r>
      <w:r w:rsidR="00147857" w:rsidRPr="004A3642">
        <w:rPr>
          <w:rFonts w:ascii="Abo-thar" w:hAnsi="Abo-thar" w:cs="KFGQPC Uthman Taha Naskh"/>
          <w:b/>
          <w:bCs/>
          <w:sz w:val="28"/>
          <w:rtl/>
          <w:lang w:bidi="ar-SY"/>
        </w:rPr>
        <w:t xml:space="preserve"> </w:t>
      </w:r>
      <w:r w:rsidRPr="004A3642">
        <w:rPr>
          <w:rFonts w:ascii="Abo-thar" w:hAnsi="Abo-thar" w:cs="KFGQPC Uthman Taha Naskh"/>
          <w:b/>
          <w:bCs/>
          <w:sz w:val="28"/>
          <w:rtl/>
          <w:lang w:bidi="ar-SY"/>
        </w:rPr>
        <w:t>لَأَنْتَ أَعَزُّ عَلَى اللهِ عَزَّ وَجَلَّ مِنْه</w:t>
      </w:r>
      <w:r w:rsidR="00217AB4" w:rsidRPr="004A3642">
        <w:rPr>
          <w:rFonts w:ascii="Abo-thar" w:hAnsi="Abo-thar" w:cs="KFGQPC Uthman Taha Naskh" w:hint="cs"/>
          <w:b/>
          <w:bCs/>
          <w:sz w:val="28"/>
          <w:rtl/>
          <w:lang w:bidi="ar-SY"/>
        </w:rPr>
        <w:t>،</w:t>
      </w:r>
      <w:r w:rsidRPr="004A3642">
        <w:rPr>
          <w:rFonts w:ascii="Abo-thar" w:hAnsi="Abo-thar" w:cs="KFGQPC Uthman Taha Naskh" w:hint="cs"/>
          <w:b/>
          <w:bCs/>
          <w:sz w:val="28"/>
          <w:rtl/>
          <w:lang w:bidi="ar-SY"/>
        </w:rPr>
        <w:t xml:space="preserve"> </w:t>
      </w:r>
      <w:r w:rsidRPr="004A3642">
        <w:rPr>
          <w:rFonts w:ascii="Abo-thar" w:hAnsi="Abo-thar" w:cs="KFGQPC Uthman Taha Naskh"/>
          <w:b/>
          <w:bCs/>
          <w:sz w:val="28"/>
          <w:rtl/>
          <w:lang w:bidi="ar-SY"/>
        </w:rPr>
        <w:t xml:space="preserve">إِنَّ عَلِيَّ بْنَ الحُسَيْنِ </w:t>
      </w:r>
      <w:r w:rsidR="00BC4BA9" w:rsidRPr="00BC4BA9">
        <w:rPr>
          <w:rFonts w:ascii="Abo-thar" w:hAnsi="Abo-thar" w:cs="CTraditional Arabic" w:hint="cs"/>
          <w:b/>
          <w:sz w:val="28"/>
          <w:rtl/>
          <w:lang w:bidi="ar-SY"/>
        </w:rPr>
        <w:t>÷</w:t>
      </w:r>
      <w:r w:rsidRPr="004A3642">
        <w:rPr>
          <w:rFonts w:ascii="Abo-thar" w:hAnsi="Abo-thar" w:cs="KFGQPC Uthman Taha Naskh"/>
          <w:b/>
          <w:bCs/>
          <w:sz w:val="28"/>
          <w:rtl/>
          <w:lang w:bidi="ar-SY"/>
        </w:rPr>
        <w:t xml:space="preserve"> كَانَ يَقُولُ لِمُحْسِنِنَا كِفْلَانِ مِنَ الْأَجْرِ وَلِمُسِيئِنَا ضِعْفَانِ مِنَ الْعَذَابِ</w:t>
      </w:r>
      <w:r w:rsidR="00217AB4" w:rsidRPr="004A3642">
        <w:rPr>
          <w:rFonts w:ascii="Abo-thar" w:hAnsi="Abo-thar" w:cs="KFGQPC Uthman Taha Naskh" w:hint="cs"/>
          <w:b/>
          <w:bCs/>
          <w:sz w:val="28"/>
          <w:rtl/>
          <w:lang w:bidi="ar-SY"/>
        </w:rPr>
        <w:t>.</w:t>
      </w:r>
      <w:r w:rsidRPr="004A3642">
        <w:rPr>
          <w:rFonts w:ascii="Abo-thar" w:hAnsi="Abo-thar" w:cs="KFGQPC Uthman Taha Naskh" w:hint="cs"/>
          <w:b/>
          <w:bCs/>
          <w:sz w:val="28"/>
          <w:rtl/>
          <w:lang w:bidi="ar-SY"/>
        </w:rPr>
        <w:t xml:space="preserve"> </w:t>
      </w:r>
    </w:p>
    <w:p w:rsidR="005C664D" w:rsidRPr="00995B26" w:rsidRDefault="005C664D" w:rsidP="005B684B">
      <w:pPr>
        <w:pStyle w:val="a0"/>
        <w:spacing w:line="223" w:lineRule="auto"/>
        <w:rPr>
          <w:rtl/>
          <w:lang w:bidi="ar-SY"/>
        </w:rPr>
      </w:pPr>
      <w:r w:rsidRPr="004A3642">
        <w:rPr>
          <w:rFonts w:ascii="Abo-thar" w:hAnsi="Abo-thar" w:cs="KFGQPC Uthman Taha Naskh"/>
          <w:b/>
          <w:bCs/>
          <w:sz w:val="28"/>
          <w:rtl/>
          <w:lang w:bidi="ar-SY"/>
        </w:rPr>
        <w:t>وَقَالَ الحَسَنُ الْوَشَّاءُ</w:t>
      </w:r>
      <w:r w:rsidR="00217AB4" w:rsidRPr="004A3642">
        <w:rPr>
          <w:rFonts w:ascii="Abo-thar" w:hAnsi="Abo-thar" w:cs="KFGQPC Uthman Taha Naskh" w:hint="cs"/>
          <w:b/>
          <w:bCs/>
          <w:sz w:val="28"/>
          <w:rtl/>
          <w:lang w:bidi="ar-SY"/>
        </w:rPr>
        <w:t>:</w:t>
      </w:r>
      <w:r w:rsidRPr="004A3642">
        <w:rPr>
          <w:rFonts w:ascii="Abo-thar" w:hAnsi="Abo-thar" w:cs="KFGQPC Uthman Taha Naskh"/>
          <w:b/>
          <w:bCs/>
          <w:sz w:val="28"/>
          <w:rtl/>
          <w:lang w:bidi="ar-SY"/>
        </w:rPr>
        <w:t xml:space="preserve"> ثُمَّ الْتَفَتَ إِلَيَّ وَقَالَ</w:t>
      </w:r>
      <w:r w:rsidR="00217AB4" w:rsidRPr="004A3642">
        <w:rPr>
          <w:rFonts w:ascii="Abo-thar" w:hAnsi="Abo-thar" w:cs="KFGQPC Uthman Taha Naskh" w:hint="cs"/>
          <w:b/>
          <w:bCs/>
          <w:sz w:val="28"/>
          <w:rtl/>
          <w:lang w:bidi="ar-SY"/>
        </w:rPr>
        <w:t>:</w:t>
      </w:r>
      <w:r w:rsidRPr="004A3642">
        <w:rPr>
          <w:rFonts w:ascii="Abo-thar" w:hAnsi="Abo-thar" w:cs="KFGQPC Uthman Taha Naskh"/>
          <w:b/>
          <w:bCs/>
          <w:sz w:val="28"/>
          <w:rtl/>
          <w:lang w:bidi="ar-SY"/>
        </w:rPr>
        <w:t xml:space="preserve"> يَا حَسَنُ</w:t>
      </w:r>
      <w:r w:rsidR="00217AB4" w:rsidRPr="004A3642">
        <w:rPr>
          <w:rFonts w:ascii="Abo-thar" w:hAnsi="Abo-thar" w:cs="KFGQPC Uthman Taha Naskh" w:hint="cs"/>
          <w:b/>
          <w:bCs/>
          <w:sz w:val="28"/>
          <w:rtl/>
          <w:lang w:bidi="ar-SY"/>
        </w:rPr>
        <w:t>!</w:t>
      </w:r>
      <w:r w:rsidRPr="004A3642">
        <w:rPr>
          <w:rFonts w:ascii="Abo-thar" w:hAnsi="Abo-thar" w:cs="KFGQPC Uthman Taha Naskh"/>
          <w:b/>
          <w:bCs/>
          <w:sz w:val="28"/>
          <w:rtl/>
          <w:lang w:bidi="ar-SY"/>
        </w:rPr>
        <w:t xml:space="preserve"> كَيْفَ تَقْرَءُونَ هَذِهِ الْآيَةَ</w:t>
      </w:r>
      <w:r w:rsidRPr="003F3B94">
        <w:rPr>
          <w:rFonts w:ascii="Abo-thar" w:hAnsi="Abo-thar"/>
          <w:b/>
          <w:bCs/>
          <w:sz w:val="28"/>
          <w:rtl/>
          <w:lang w:bidi="ar-SY"/>
        </w:rPr>
        <w:t xml:space="preserve"> </w:t>
      </w:r>
      <w:r w:rsidR="00685363" w:rsidRPr="00995B26">
        <w:rPr>
          <w:rFonts w:cs="Traditional Arabic"/>
          <w:rtl/>
          <w:lang w:bidi="fa-IR"/>
        </w:rPr>
        <w:t>﴿</w:t>
      </w:r>
      <w:r w:rsidR="00685363" w:rsidRPr="0067048A">
        <w:rPr>
          <w:rStyle w:val="Char3"/>
          <w:rFonts w:hint="eastAsia"/>
          <w:rtl/>
        </w:rPr>
        <w:t>قَالَ</w:t>
      </w:r>
      <w:r w:rsidR="00685363" w:rsidRPr="0067048A">
        <w:rPr>
          <w:rStyle w:val="Char3"/>
          <w:rtl/>
        </w:rPr>
        <w:t xml:space="preserve"> </w:t>
      </w:r>
      <w:r w:rsidR="00685363" w:rsidRPr="0067048A">
        <w:rPr>
          <w:rStyle w:val="Char3"/>
          <w:rFonts w:hint="eastAsia"/>
          <w:rtl/>
        </w:rPr>
        <w:t>يَ</w:t>
      </w:r>
      <w:r w:rsidR="00685363" w:rsidRPr="0067048A">
        <w:rPr>
          <w:rStyle w:val="Char3"/>
          <w:rFonts w:hint="cs"/>
          <w:rtl/>
        </w:rPr>
        <w:t>ٰ</w:t>
      </w:r>
      <w:r w:rsidR="00685363" w:rsidRPr="0067048A">
        <w:rPr>
          <w:rStyle w:val="Char3"/>
          <w:rFonts w:hint="eastAsia"/>
          <w:rtl/>
        </w:rPr>
        <w:t>نُوحُ</w:t>
      </w:r>
      <w:r w:rsidR="00685363" w:rsidRPr="0067048A">
        <w:rPr>
          <w:rStyle w:val="Char3"/>
          <w:rtl/>
        </w:rPr>
        <w:t xml:space="preserve"> </w:t>
      </w:r>
      <w:r w:rsidR="00685363" w:rsidRPr="0067048A">
        <w:rPr>
          <w:rStyle w:val="Char3"/>
          <w:rFonts w:hint="eastAsia"/>
          <w:rtl/>
        </w:rPr>
        <w:t>إِنَّهُ</w:t>
      </w:r>
      <w:r w:rsidR="00685363" w:rsidRPr="0067048A">
        <w:rPr>
          <w:rStyle w:val="Char3"/>
          <w:rFonts w:hint="cs"/>
          <w:rtl/>
        </w:rPr>
        <w:t>ۥ</w:t>
      </w:r>
      <w:r w:rsidR="00685363" w:rsidRPr="0067048A">
        <w:rPr>
          <w:rStyle w:val="Char3"/>
          <w:rtl/>
        </w:rPr>
        <w:t xml:space="preserve"> </w:t>
      </w:r>
      <w:r w:rsidR="00685363" w:rsidRPr="0067048A">
        <w:rPr>
          <w:rStyle w:val="Char3"/>
          <w:rFonts w:hint="eastAsia"/>
          <w:rtl/>
        </w:rPr>
        <w:t>لَي</w:t>
      </w:r>
      <w:r w:rsidR="00685363" w:rsidRPr="0067048A">
        <w:rPr>
          <w:rStyle w:val="Char3"/>
          <w:rFonts w:hint="cs"/>
          <w:rtl/>
        </w:rPr>
        <w:t>ۡ</w:t>
      </w:r>
      <w:r w:rsidR="00685363" w:rsidRPr="0067048A">
        <w:rPr>
          <w:rStyle w:val="Char3"/>
          <w:rFonts w:hint="eastAsia"/>
          <w:rtl/>
        </w:rPr>
        <w:t>سَ</w:t>
      </w:r>
      <w:r w:rsidR="00685363" w:rsidRPr="0067048A">
        <w:rPr>
          <w:rStyle w:val="Char3"/>
          <w:rtl/>
        </w:rPr>
        <w:t xml:space="preserve"> </w:t>
      </w:r>
      <w:r w:rsidR="00685363" w:rsidRPr="0067048A">
        <w:rPr>
          <w:rStyle w:val="Char3"/>
          <w:rFonts w:hint="eastAsia"/>
          <w:rtl/>
        </w:rPr>
        <w:t>مِن</w:t>
      </w:r>
      <w:r w:rsidR="00685363" w:rsidRPr="0067048A">
        <w:rPr>
          <w:rStyle w:val="Char3"/>
          <w:rFonts w:hint="cs"/>
          <w:rtl/>
        </w:rPr>
        <w:t>ۡ</w:t>
      </w:r>
      <w:r w:rsidR="00685363" w:rsidRPr="0067048A">
        <w:rPr>
          <w:rStyle w:val="Char3"/>
          <w:rtl/>
        </w:rPr>
        <w:t xml:space="preserve"> </w:t>
      </w:r>
      <w:r w:rsidR="00685363" w:rsidRPr="0067048A">
        <w:rPr>
          <w:rStyle w:val="Char3"/>
          <w:rFonts w:hint="eastAsia"/>
          <w:rtl/>
        </w:rPr>
        <w:t>أَه</w:t>
      </w:r>
      <w:r w:rsidR="00685363" w:rsidRPr="0067048A">
        <w:rPr>
          <w:rStyle w:val="Char3"/>
          <w:rFonts w:hint="cs"/>
          <w:rtl/>
        </w:rPr>
        <w:t>ۡ</w:t>
      </w:r>
      <w:r w:rsidR="00685363" w:rsidRPr="0067048A">
        <w:rPr>
          <w:rStyle w:val="Char3"/>
          <w:rFonts w:hint="eastAsia"/>
          <w:rtl/>
        </w:rPr>
        <w:t>لِكَ</w:t>
      </w:r>
      <w:r w:rsidR="00685363" w:rsidRPr="0067048A">
        <w:rPr>
          <w:rStyle w:val="Char3"/>
          <w:rFonts w:hint="cs"/>
          <w:rtl/>
        </w:rPr>
        <w:t>ۖ</w:t>
      </w:r>
      <w:r w:rsidR="00685363" w:rsidRPr="0067048A">
        <w:rPr>
          <w:rStyle w:val="Char3"/>
          <w:rtl/>
        </w:rPr>
        <w:t xml:space="preserve"> </w:t>
      </w:r>
      <w:r w:rsidR="00685363" w:rsidRPr="0067048A">
        <w:rPr>
          <w:rStyle w:val="Char3"/>
          <w:rFonts w:hint="eastAsia"/>
          <w:rtl/>
        </w:rPr>
        <w:t>إِنَّهُ</w:t>
      </w:r>
      <w:r w:rsidR="00685363" w:rsidRPr="0067048A">
        <w:rPr>
          <w:rStyle w:val="Char3"/>
          <w:rFonts w:hint="cs"/>
          <w:rtl/>
        </w:rPr>
        <w:t>ۥ</w:t>
      </w:r>
      <w:r w:rsidR="00685363" w:rsidRPr="0067048A">
        <w:rPr>
          <w:rStyle w:val="Char3"/>
          <w:rtl/>
        </w:rPr>
        <w:t xml:space="preserve"> </w:t>
      </w:r>
      <w:r w:rsidR="00685363" w:rsidRPr="0067048A">
        <w:rPr>
          <w:rStyle w:val="Char3"/>
          <w:rFonts w:hint="eastAsia"/>
          <w:rtl/>
        </w:rPr>
        <w:t>عَمَلٌ</w:t>
      </w:r>
      <w:r w:rsidR="00685363" w:rsidRPr="0067048A">
        <w:rPr>
          <w:rStyle w:val="Char3"/>
          <w:rtl/>
        </w:rPr>
        <w:t xml:space="preserve"> </w:t>
      </w:r>
      <w:r w:rsidR="00685363" w:rsidRPr="0067048A">
        <w:rPr>
          <w:rStyle w:val="Char3"/>
          <w:rFonts w:hint="eastAsia"/>
          <w:rtl/>
        </w:rPr>
        <w:t>غَي</w:t>
      </w:r>
      <w:r w:rsidR="00685363" w:rsidRPr="0067048A">
        <w:rPr>
          <w:rStyle w:val="Char3"/>
          <w:rFonts w:hint="cs"/>
          <w:rtl/>
        </w:rPr>
        <w:t>ۡ</w:t>
      </w:r>
      <w:r w:rsidR="00685363" w:rsidRPr="0067048A">
        <w:rPr>
          <w:rStyle w:val="Char3"/>
          <w:rFonts w:hint="eastAsia"/>
          <w:rtl/>
        </w:rPr>
        <w:t>رُ</w:t>
      </w:r>
      <w:r w:rsidR="00685363" w:rsidRPr="0067048A">
        <w:rPr>
          <w:rStyle w:val="Char3"/>
          <w:rtl/>
        </w:rPr>
        <w:t xml:space="preserve"> </w:t>
      </w:r>
      <w:r w:rsidR="00685363" w:rsidRPr="0067048A">
        <w:rPr>
          <w:rStyle w:val="Char3"/>
          <w:rFonts w:hint="eastAsia"/>
          <w:rtl/>
        </w:rPr>
        <w:t>صَ</w:t>
      </w:r>
      <w:r w:rsidR="00685363" w:rsidRPr="0067048A">
        <w:rPr>
          <w:rStyle w:val="Char3"/>
          <w:rFonts w:hint="cs"/>
          <w:rtl/>
        </w:rPr>
        <w:t>ٰ</w:t>
      </w:r>
      <w:r w:rsidR="00685363" w:rsidRPr="0067048A">
        <w:rPr>
          <w:rStyle w:val="Char3"/>
          <w:rFonts w:hint="eastAsia"/>
          <w:rtl/>
        </w:rPr>
        <w:t>لِح</w:t>
      </w:r>
      <w:r w:rsidR="00685363" w:rsidRPr="0067048A">
        <w:rPr>
          <w:rStyle w:val="Char3"/>
          <w:rFonts w:hint="cs"/>
          <w:rtl/>
        </w:rPr>
        <w:t>ٖ</w:t>
      </w:r>
      <w:r w:rsidR="00685363" w:rsidRPr="00995B26">
        <w:rPr>
          <w:rFonts w:cs="KFGQPC Uthman Taha Naskh" w:hint="cs"/>
          <w:rtl/>
          <w:lang w:bidi="fa-IR"/>
        </w:rPr>
        <w:t>...</w:t>
      </w:r>
      <w:r w:rsidR="00685363" w:rsidRPr="00995B26">
        <w:rPr>
          <w:rFonts w:cs="Traditional Arabic" w:hint="cs"/>
          <w:rtl/>
          <w:lang w:bidi="fa-IR"/>
        </w:rPr>
        <w:t>﴾</w:t>
      </w:r>
      <w:r w:rsidR="00217AB4" w:rsidRPr="004A3642">
        <w:rPr>
          <w:rFonts w:ascii="Abo-thar" w:hAnsi="Abo-thar" w:cs="KFGQPC Uthman Taha Naskh" w:hint="cs"/>
          <w:b/>
          <w:bCs/>
          <w:sz w:val="28"/>
          <w:rtl/>
          <w:lang w:bidi="ar-SY"/>
        </w:rPr>
        <w:t>؟</w:t>
      </w:r>
      <w:r w:rsidR="00147857" w:rsidRPr="004A3642">
        <w:rPr>
          <w:rFonts w:ascii="Abo-thar" w:hAnsi="Abo-thar" w:cs="KFGQPC Uthman Taha Naskh"/>
          <w:b/>
          <w:bCs/>
          <w:sz w:val="28"/>
          <w:rtl/>
          <w:lang w:bidi="ar-SY"/>
        </w:rPr>
        <w:t xml:space="preserve"> </w:t>
      </w:r>
      <w:r w:rsidRPr="004A3642">
        <w:rPr>
          <w:rFonts w:ascii="Abo-thar" w:hAnsi="Abo-thar" w:cs="KFGQPC Uthman Taha Naskh"/>
          <w:b/>
          <w:bCs/>
          <w:sz w:val="28"/>
          <w:rtl/>
          <w:lang w:bidi="ar-SY"/>
        </w:rPr>
        <w:t>فَقُلْتُ</w:t>
      </w:r>
      <w:r w:rsidR="00217AB4" w:rsidRPr="004A3642">
        <w:rPr>
          <w:rFonts w:ascii="Abo-thar" w:hAnsi="Abo-thar" w:cs="KFGQPC Uthman Taha Naskh" w:hint="cs"/>
          <w:b/>
          <w:bCs/>
          <w:sz w:val="28"/>
          <w:rtl/>
          <w:lang w:bidi="ar-SY"/>
        </w:rPr>
        <w:t>:</w:t>
      </w:r>
      <w:r w:rsidRPr="004A3642">
        <w:rPr>
          <w:rFonts w:ascii="Abo-thar" w:hAnsi="Abo-thar" w:cs="KFGQPC Uthman Taha Naskh"/>
          <w:b/>
          <w:bCs/>
          <w:sz w:val="28"/>
          <w:rtl/>
          <w:lang w:bidi="ar-SY"/>
        </w:rPr>
        <w:t xml:space="preserve"> مِنَ النَّاسِ مَنْ يَقْرَأُ </w:t>
      </w:r>
      <w:r w:rsidR="00685363" w:rsidRPr="00995B26">
        <w:rPr>
          <w:rFonts w:ascii="Abo-thar" w:hAnsi="Abo-thar" w:cs="Traditional Arabic" w:hint="cs"/>
          <w:sz w:val="28"/>
          <w:rtl/>
          <w:lang w:bidi="ar-SY"/>
        </w:rPr>
        <w:t>﴿</w:t>
      </w:r>
      <w:r w:rsidR="00CA416C" w:rsidRPr="0067048A">
        <w:rPr>
          <w:rStyle w:val="Char3"/>
          <w:rtl/>
        </w:rPr>
        <w:t>إِنَّهُ عَمِلَ غَيْرَ صَالِحٍ</w:t>
      </w:r>
      <w:r w:rsidR="00685363" w:rsidRPr="00995B26">
        <w:rPr>
          <w:rFonts w:ascii="Abo-thar" w:hAnsi="Abo-thar" w:cs="Traditional Arabic" w:hint="cs"/>
          <w:sz w:val="28"/>
          <w:rtl/>
          <w:lang w:bidi="ar-SY"/>
        </w:rPr>
        <w:t>﴾</w:t>
      </w:r>
      <w:r w:rsidRPr="00995B26">
        <w:rPr>
          <w:rFonts w:ascii="Abo-thar" w:hAnsi="Abo-thar"/>
          <w:b/>
          <w:bCs/>
          <w:sz w:val="28"/>
          <w:rtl/>
          <w:lang w:bidi="ar-SY"/>
        </w:rPr>
        <w:t xml:space="preserve"> </w:t>
      </w:r>
      <w:r w:rsidRPr="004A3642">
        <w:rPr>
          <w:rFonts w:ascii="Abo-thar" w:hAnsi="Abo-thar" w:cs="KFGQPC Uthman Taha Naskh"/>
          <w:b/>
          <w:bCs/>
          <w:sz w:val="28"/>
          <w:rtl/>
          <w:lang w:bidi="ar-SY"/>
        </w:rPr>
        <w:t>وَمِنْهُمْ مَنْ يَقْرَأُ</w:t>
      </w:r>
      <w:r w:rsidRPr="00995B26">
        <w:rPr>
          <w:rFonts w:ascii="Abo-thar" w:hAnsi="Abo-thar"/>
          <w:b/>
          <w:bCs/>
          <w:sz w:val="28"/>
          <w:rtl/>
          <w:lang w:bidi="ar-SY"/>
        </w:rPr>
        <w:t xml:space="preserve"> </w:t>
      </w:r>
      <w:r w:rsidR="00685363" w:rsidRPr="00995B26">
        <w:rPr>
          <w:rFonts w:ascii="Abo-thar" w:hAnsi="Abo-thar" w:cs="Traditional Arabic" w:hint="cs"/>
          <w:sz w:val="28"/>
          <w:rtl/>
          <w:lang w:bidi="ar-SY"/>
        </w:rPr>
        <w:t>﴿</w:t>
      </w:r>
      <w:r w:rsidR="00685363" w:rsidRPr="0067048A">
        <w:rPr>
          <w:rStyle w:val="Char3"/>
          <w:rFonts w:hint="eastAsia"/>
          <w:rtl/>
        </w:rPr>
        <w:t>إِنَّهُ</w:t>
      </w:r>
      <w:r w:rsidR="00685363" w:rsidRPr="0067048A">
        <w:rPr>
          <w:rStyle w:val="Char3"/>
          <w:rFonts w:hint="cs"/>
          <w:rtl/>
        </w:rPr>
        <w:t>ۥ</w:t>
      </w:r>
      <w:r w:rsidR="00685363" w:rsidRPr="0067048A">
        <w:rPr>
          <w:rStyle w:val="Char3"/>
          <w:rtl/>
        </w:rPr>
        <w:t xml:space="preserve"> </w:t>
      </w:r>
      <w:r w:rsidR="00685363" w:rsidRPr="0067048A">
        <w:rPr>
          <w:rStyle w:val="Char3"/>
          <w:rFonts w:hint="eastAsia"/>
          <w:rtl/>
        </w:rPr>
        <w:t>عَمَلٌ</w:t>
      </w:r>
      <w:r w:rsidR="00685363" w:rsidRPr="0067048A">
        <w:rPr>
          <w:rStyle w:val="Char3"/>
          <w:rtl/>
        </w:rPr>
        <w:t xml:space="preserve"> </w:t>
      </w:r>
      <w:r w:rsidR="00685363" w:rsidRPr="0067048A">
        <w:rPr>
          <w:rStyle w:val="Char3"/>
          <w:rFonts w:hint="eastAsia"/>
          <w:rtl/>
        </w:rPr>
        <w:t>غَي</w:t>
      </w:r>
      <w:r w:rsidR="00685363" w:rsidRPr="0067048A">
        <w:rPr>
          <w:rStyle w:val="Char3"/>
          <w:rFonts w:hint="cs"/>
          <w:rtl/>
        </w:rPr>
        <w:t>ۡ</w:t>
      </w:r>
      <w:r w:rsidR="00685363" w:rsidRPr="0067048A">
        <w:rPr>
          <w:rStyle w:val="Char3"/>
          <w:rFonts w:hint="eastAsia"/>
          <w:rtl/>
        </w:rPr>
        <w:t>رُ</w:t>
      </w:r>
      <w:r w:rsidR="00685363" w:rsidRPr="0067048A">
        <w:rPr>
          <w:rStyle w:val="Char3"/>
          <w:rtl/>
        </w:rPr>
        <w:t xml:space="preserve"> </w:t>
      </w:r>
      <w:r w:rsidR="00685363" w:rsidRPr="0067048A">
        <w:rPr>
          <w:rStyle w:val="Char3"/>
          <w:rFonts w:hint="eastAsia"/>
          <w:rtl/>
        </w:rPr>
        <w:t>صَ</w:t>
      </w:r>
      <w:r w:rsidR="00685363" w:rsidRPr="0067048A">
        <w:rPr>
          <w:rStyle w:val="Char3"/>
          <w:rFonts w:hint="cs"/>
          <w:rtl/>
        </w:rPr>
        <w:t>ٰ</w:t>
      </w:r>
      <w:r w:rsidR="00685363" w:rsidRPr="0067048A">
        <w:rPr>
          <w:rStyle w:val="Char3"/>
          <w:rFonts w:hint="eastAsia"/>
          <w:rtl/>
        </w:rPr>
        <w:t>لِح</w:t>
      </w:r>
      <w:r w:rsidR="00685363" w:rsidRPr="0067048A">
        <w:rPr>
          <w:rStyle w:val="Char3"/>
          <w:rFonts w:hint="cs"/>
          <w:rtl/>
        </w:rPr>
        <w:t>ٖ</w:t>
      </w:r>
      <w:r w:rsidR="00685363" w:rsidRPr="00995B26">
        <w:rPr>
          <w:rFonts w:ascii="Abo-thar" w:hAnsi="Abo-thar" w:cs="Traditional Arabic" w:hint="cs"/>
          <w:sz w:val="28"/>
          <w:rtl/>
          <w:lang w:bidi="ar-SY"/>
        </w:rPr>
        <w:t>﴾</w:t>
      </w:r>
      <w:r w:rsidRPr="00995B26">
        <w:rPr>
          <w:rFonts w:ascii="Abo-thar" w:hAnsi="Abo-thar"/>
          <w:b/>
          <w:bCs/>
          <w:sz w:val="28"/>
          <w:rtl/>
          <w:lang w:bidi="ar-SY"/>
        </w:rPr>
        <w:t xml:space="preserve"> </w:t>
      </w:r>
      <w:r w:rsidRPr="004A3642">
        <w:rPr>
          <w:rFonts w:ascii="Abo-thar" w:hAnsi="Abo-thar" w:cs="KFGQPC Uthman Taha Naskh"/>
          <w:b/>
          <w:bCs/>
          <w:sz w:val="28"/>
          <w:rtl/>
          <w:lang w:bidi="ar-SY"/>
        </w:rPr>
        <w:t>نَفَاهُ عَنْ أَبِيهِ</w:t>
      </w:r>
      <w:r w:rsidR="00217AB4" w:rsidRPr="004A3642">
        <w:rPr>
          <w:rFonts w:ascii="Abo-thar" w:hAnsi="Abo-thar" w:cs="KFGQPC Uthman Taha Naskh" w:hint="cs"/>
          <w:b/>
          <w:bCs/>
          <w:sz w:val="28"/>
          <w:rtl/>
          <w:lang w:bidi="ar-SY"/>
        </w:rPr>
        <w:t>.</w:t>
      </w:r>
      <w:r w:rsidRPr="004A3642">
        <w:rPr>
          <w:rFonts w:ascii="Abo-thar" w:hAnsi="Abo-thar" w:cs="KFGQPC Uthman Taha Naskh"/>
          <w:b/>
          <w:bCs/>
          <w:sz w:val="28"/>
          <w:rtl/>
          <w:lang w:bidi="ar-SY"/>
        </w:rPr>
        <w:t xml:space="preserve"> فَقَالَ </w:t>
      </w:r>
      <w:r w:rsidR="00BC4BA9" w:rsidRPr="00BC4BA9">
        <w:rPr>
          <w:rFonts w:ascii="Abo-thar" w:hAnsi="Abo-thar" w:cs="CTraditional Arabic" w:hint="cs"/>
          <w:b/>
          <w:sz w:val="28"/>
          <w:rtl/>
          <w:lang w:bidi="ar-SY"/>
        </w:rPr>
        <w:t>÷</w:t>
      </w:r>
      <w:r w:rsidR="00217AB4" w:rsidRPr="004A3642">
        <w:rPr>
          <w:rFonts w:ascii="Abo-thar" w:hAnsi="Abo-thar" w:cs="KFGQPC Uthman Taha Naskh" w:hint="cs"/>
          <w:b/>
          <w:bCs/>
          <w:sz w:val="28"/>
          <w:rtl/>
          <w:lang w:bidi="ar-SY"/>
        </w:rPr>
        <w:t>:</w:t>
      </w:r>
      <w:r w:rsidRPr="004A3642">
        <w:rPr>
          <w:rFonts w:ascii="Abo-thar" w:hAnsi="Abo-thar" w:cs="KFGQPC Uthman Taha Naskh"/>
          <w:b/>
          <w:bCs/>
          <w:sz w:val="28"/>
          <w:rtl/>
          <w:lang w:bidi="ar-SY"/>
        </w:rPr>
        <w:t xml:space="preserve"> كَلَّا لَقَدْ كَانَ ابْنَهُ وَلَكِنْ لَمَّا عَصَى اللهَ عَزَّ وَجَلَّ نَفَاهُ اللهُ عَنْ أَبِيهِ</w:t>
      </w:r>
      <w:r w:rsidR="00217AB4" w:rsidRPr="004A3642">
        <w:rPr>
          <w:rFonts w:ascii="Abo-thar" w:hAnsi="Abo-thar" w:cs="KFGQPC Uthman Taha Naskh" w:hint="cs"/>
          <w:b/>
          <w:bCs/>
          <w:sz w:val="28"/>
          <w:rtl/>
          <w:lang w:bidi="ar-SY"/>
        </w:rPr>
        <w:t>،</w:t>
      </w:r>
      <w:r w:rsidRPr="004A3642">
        <w:rPr>
          <w:rFonts w:ascii="Abo-thar" w:hAnsi="Abo-thar" w:cs="KFGQPC Uthman Taha Naskh"/>
          <w:b/>
          <w:bCs/>
          <w:sz w:val="28"/>
          <w:rtl/>
          <w:lang w:bidi="ar-SY"/>
        </w:rPr>
        <w:t xml:space="preserve"> كَذَا مَنْ كَانَ مِنَّا لَمْ يُطِعِ اللهَ فَلَيْسَ مِنَّا</w:t>
      </w:r>
      <w:r w:rsidR="00217AB4" w:rsidRPr="004A3642">
        <w:rPr>
          <w:rFonts w:ascii="Abo-thar" w:hAnsi="Abo-thar" w:cs="KFGQPC Uthman Taha Naskh" w:hint="cs"/>
          <w:b/>
          <w:bCs/>
          <w:sz w:val="28"/>
          <w:rtl/>
          <w:lang w:bidi="ar-SY"/>
        </w:rPr>
        <w:t>،</w:t>
      </w:r>
      <w:r w:rsidRPr="004A3642">
        <w:rPr>
          <w:rFonts w:ascii="Abo-thar" w:hAnsi="Abo-thar" w:cs="KFGQPC Uthman Taha Naskh"/>
          <w:b/>
          <w:bCs/>
          <w:sz w:val="28"/>
          <w:rtl/>
          <w:lang w:bidi="ar-SY"/>
        </w:rPr>
        <w:t xml:space="preserve"> وَأَنْتَ إِذَا أَطَعْتَ اللهَ فَأَنْتَ مِنَّا أَهْلَ الْبَيْت</w:t>
      </w:r>
      <w:r w:rsidR="00EF2588" w:rsidRPr="004A3642">
        <w:rPr>
          <w:rFonts w:ascii="Abo-thar" w:hAnsi="Abo-thar" w:cs="KFGQPC Uthman Taha Naskh" w:hint="cs"/>
          <w:sz w:val="28"/>
          <w:rtl/>
          <w:lang w:bidi="ar-SY"/>
        </w:rPr>
        <w:t>»</w:t>
      </w:r>
      <w:r w:rsidR="00652969" w:rsidRPr="0021507A">
        <w:rPr>
          <w:rFonts w:cs="Arabic11 BT"/>
          <w:b/>
          <w:sz w:val="28"/>
          <w:vertAlign w:val="superscript"/>
          <w:rtl/>
          <w:lang w:bidi="ar-SY"/>
        </w:rPr>
        <w:t>(</w:t>
      </w:r>
      <w:r w:rsidR="00652969" w:rsidRPr="0021507A">
        <w:rPr>
          <w:rStyle w:val="FootnoteReference"/>
          <w:rFonts w:cs="Arabic11 BT"/>
          <w:b/>
          <w:sz w:val="28"/>
          <w:rtl/>
          <w:lang w:bidi="ar-SY"/>
        </w:rPr>
        <w:footnoteReference w:id="111"/>
      </w:r>
      <w:r w:rsidR="00652969" w:rsidRPr="0021507A">
        <w:rPr>
          <w:rFonts w:cs="Arabic11 BT"/>
          <w:b/>
          <w:sz w:val="28"/>
          <w:vertAlign w:val="superscript"/>
          <w:rtl/>
          <w:lang w:bidi="ar-SY"/>
        </w:rPr>
        <w:t>)</w:t>
      </w:r>
      <w:r w:rsidR="00217AB4" w:rsidRPr="00995B26">
        <w:rPr>
          <w:rFonts w:ascii="Abo-thar" w:hAnsi="Abo-thar" w:hint="cs"/>
          <w:sz w:val="28"/>
          <w:rtl/>
          <w:lang w:bidi="ar-SY"/>
        </w:rPr>
        <w:t>.</w:t>
      </w:r>
      <w:r w:rsidRPr="00995B26">
        <w:rPr>
          <w:rFonts w:ascii="Abo-thar" w:hAnsi="Abo-thar"/>
          <w:sz w:val="28"/>
          <w:rtl/>
          <w:lang w:bidi="ar-SY"/>
        </w:rPr>
        <w:t>‏</w:t>
      </w:r>
    </w:p>
    <w:p w:rsidR="005C664D" w:rsidRPr="003F3B94" w:rsidRDefault="005C664D" w:rsidP="005B684B">
      <w:pPr>
        <w:pStyle w:val="a0"/>
        <w:spacing w:line="223" w:lineRule="auto"/>
        <w:rPr>
          <w:rFonts w:hint="cs"/>
          <w:rtl/>
          <w:lang w:bidi="ar-SY"/>
        </w:rPr>
      </w:pPr>
      <w:r w:rsidRPr="003F3B94">
        <w:rPr>
          <w:rFonts w:ascii="Abo-thar" w:hAnsi="Abo-thar" w:hint="cs"/>
          <w:sz w:val="28"/>
          <w:rtl/>
          <w:lang w:bidi="ar-SY"/>
        </w:rPr>
        <w:t>7</w:t>
      </w:r>
      <w:r w:rsidR="00217AB4" w:rsidRPr="003F3B94">
        <w:rPr>
          <w:rFonts w:ascii="Abo-thar" w:hAnsi="Abo-thar" w:hint="cs"/>
          <w:sz w:val="28"/>
          <w:rtl/>
          <w:lang w:bidi="ar-SY"/>
        </w:rPr>
        <w:t>-</w:t>
      </w:r>
      <w:r w:rsidRPr="003F3B94">
        <w:rPr>
          <w:rFonts w:ascii="Abo-thar" w:hAnsi="Abo-thar" w:hint="cs"/>
          <w:sz w:val="28"/>
          <w:rtl/>
          <w:lang w:bidi="ar-SY"/>
        </w:rPr>
        <w:t xml:space="preserve"> وروى الشيخ الصدوق أيضاً في </w:t>
      </w:r>
      <w:r w:rsidR="00147857" w:rsidRPr="003F3B94">
        <w:rPr>
          <w:rFonts w:ascii="Abo-thar" w:hAnsi="Abo-thar" w:hint="eastAsia"/>
          <w:sz w:val="28"/>
          <w:rtl/>
          <w:lang w:bidi="ar-SY"/>
        </w:rPr>
        <w:t>«</w:t>
      </w:r>
      <w:r w:rsidRPr="003F3B94">
        <w:rPr>
          <w:rFonts w:ascii="Abo-thar" w:hAnsi="Abo-thar" w:hint="cs"/>
          <w:sz w:val="28"/>
          <w:rtl/>
          <w:lang w:bidi="ar-SY"/>
        </w:rPr>
        <w:t xml:space="preserve">عيون أخبار الرضا </w:t>
      </w:r>
      <w:r w:rsidR="00BC4BA9" w:rsidRPr="00BC4BA9">
        <w:rPr>
          <w:rFonts w:ascii="Abo-thar" w:hAnsi="Abo-thar" w:cs="CTraditional Arabic" w:hint="cs"/>
          <w:sz w:val="28"/>
          <w:rtl/>
          <w:lang w:bidi="ar-SY"/>
        </w:rPr>
        <w:t>÷</w:t>
      </w:r>
      <w:r w:rsidRPr="003F3B94">
        <w:rPr>
          <w:rFonts w:ascii="Abo-thar" w:hAnsi="Abo-thar" w:hint="eastAsia"/>
          <w:sz w:val="28"/>
          <w:rtl/>
          <w:lang w:bidi="ar-SY"/>
        </w:rPr>
        <w:t>»</w:t>
      </w:r>
      <w:r w:rsidRPr="003F3B94">
        <w:rPr>
          <w:rFonts w:ascii="Abo-thar" w:hAnsi="Abo-thar" w:hint="cs"/>
          <w:sz w:val="28"/>
          <w:rtl/>
          <w:lang w:bidi="ar-SY"/>
        </w:rPr>
        <w:t xml:space="preserve"> </w:t>
      </w:r>
      <w:r w:rsidR="00217AB4" w:rsidRPr="003F3B94">
        <w:rPr>
          <w:rFonts w:ascii="Abo-thar" w:hAnsi="Abo-thar" w:hint="cs"/>
          <w:sz w:val="28"/>
          <w:rtl/>
          <w:lang w:bidi="ar-SY"/>
        </w:rPr>
        <w:t>(</w:t>
      </w:r>
      <w:r w:rsidRPr="003F3B94">
        <w:rPr>
          <w:rFonts w:ascii="Abo-thar" w:hAnsi="Abo-thar" w:hint="cs"/>
          <w:sz w:val="28"/>
          <w:rtl/>
          <w:lang w:bidi="ar-SY"/>
        </w:rPr>
        <w:t>2/234</w:t>
      </w:r>
      <w:r w:rsidR="00217AB4" w:rsidRPr="003F3B94">
        <w:rPr>
          <w:rFonts w:ascii="Abo-thar" w:hAnsi="Abo-thar" w:hint="cs"/>
          <w:sz w:val="28"/>
          <w:rtl/>
          <w:lang w:bidi="ar-SY"/>
        </w:rPr>
        <w:t>-</w:t>
      </w:r>
      <w:r w:rsidRPr="003F3B94">
        <w:rPr>
          <w:rFonts w:ascii="Abo-thar" w:hAnsi="Abo-thar" w:hint="cs"/>
          <w:sz w:val="28"/>
          <w:rtl/>
          <w:lang w:bidi="ar-SY"/>
        </w:rPr>
        <w:t>235</w:t>
      </w:r>
      <w:r w:rsidR="00217AB4" w:rsidRPr="003F3B94">
        <w:rPr>
          <w:rFonts w:ascii="Abo-thar" w:hAnsi="Abo-thar" w:hint="cs"/>
          <w:sz w:val="28"/>
          <w:rtl/>
          <w:lang w:bidi="ar-SY"/>
        </w:rPr>
        <w:t>):</w:t>
      </w:r>
      <w:r w:rsidRPr="003F3B94">
        <w:rPr>
          <w:rFonts w:ascii="Abo-thar" w:hAnsi="Abo-thar" w:hint="cs"/>
          <w:sz w:val="28"/>
          <w:rtl/>
          <w:lang w:bidi="ar-SY"/>
        </w:rPr>
        <w:t xml:space="preserve"> </w:t>
      </w:r>
      <w:r w:rsidR="00502770">
        <w:rPr>
          <w:rFonts w:ascii="Abo-thar" w:hAnsi="Abo-thar" w:hint="cs"/>
          <w:sz w:val="28"/>
          <w:rtl/>
          <w:lang w:bidi="ar-SY"/>
        </w:rPr>
        <w:t xml:space="preserve"> </w:t>
      </w:r>
      <w:r w:rsidR="00EF2588" w:rsidRPr="004A3642">
        <w:rPr>
          <w:rFonts w:ascii="Abo-thar" w:hAnsi="Abo-thar" w:cs="KFGQPC Uthman Taha Naskh" w:hint="cs"/>
          <w:sz w:val="28"/>
          <w:rtl/>
          <w:lang w:bidi="ar-SY"/>
        </w:rPr>
        <w:t>«</w:t>
      </w:r>
      <w:r w:rsidRPr="004A3642">
        <w:rPr>
          <w:rFonts w:ascii="Abo-thar" w:hAnsi="Abo-thar" w:cs="KFGQPC Uthman Taha Naskh"/>
          <w:sz w:val="28"/>
          <w:rtl/>
          <w:lang w:bidi="ar-SY"/>
        </w:rPr>
        <w:t xml:space="preserve">تَمِيمٌ الْقُرَشِيُّ عَنْ أَحْمَدَ بْنِ عَلِيٍّ الْأَنْصَارِيِّ عَنِ الْهَرَوِيِّ قَالَ سَمِعْتُ الرِّضَا </w:t>
      </w:r>
      <w:r w:rsidR="00BC4BA9" w:rsidRPr="00BC4BA9">
        <w:rPr>
          <w:rFonts w:ascii="Abo-thar" w:hAnsi="Abo-thar" w:cs="CTraditional Arabic" w:hint="cs"/>
          <w:sz w:val="28"/>
          <w:rtl/>
          <w:lang w:bidi="ar-SY"/>
        </w:rPr>
        <w:t>÷</w:t>
      </w:r>
      <w:r w:rsidRPr="004A3642">
        <w:rPr>
          <w:rFonts w:ascii="Abo-thar" w:hAnsi="Abo-thar" w:cs="KFGQPC Uthman Taha Naskh"/>
          <w:sz w:val="28"/>
          <w:rtl/>
          <w:lang w:bidi="ar-SY"/>
        </w:rPr>
        <w:t xml:space="preserve"> يُحَدِّثُ عَنْ أَبِيهِ أَنَّ إِسْمَاعِيلَ قَالَ لِلصَّادِقِ </w:t>
      </w:r>
      <w:r w:rsidR="00BC4BA9" w:rsidRPr="00BC4BA9">
        <w:rPr>
          <w:rFonts w:ascii="Abo-thar" w:hAnsi="Abo-thar" w:cs="CTraditional Arabic" w:hint="cs"/>
          <w:sz w:val="28"/>
          <w:rtl/>
          <w:lang w:bidi="ar-SY"/>
        </w:rPr>
        <w:t>÷</w:t>
      </w:r>
      <w:r w:rsidR="00217AB4" w:rsidRPr="004A3642">
        <w:rPr>
          <w:rFonts w:ascii="Abo-thar" w:hAnsi="Abo-thar" w:cs="KFGQPC Uthman Taha Naskh" w:hint="cs"/>
          <w:sz w:val="28"/>
          <w:rtl/>
          <w:lang w:bidi="ar-SY"/>
        </w:rPr>
        <w:t>:</w:t>
      </w:r>
      <w:r w:rsidRPr="004A3642">
        <w:rPr>
          <w:rFonts w:ascii="Abo-thar" w:hAnsi="Abo-thar" w:cs="KFGQPC Uthman Taha Naskh"/>
          <w:sz w:val="28"/>
          <w:rtl/>
          <w:lang w:bidi="ar-SY"/>
        </w:rPr>
        <w:t xml:space="preserve"> </w:t>
      </w:r>
      <w:r w:rsidRPr="004A3642">
        <w:rPr>
          <w:rFonts w:ascii="Abo-thar" w:hAnsi="Abo-thar" w:cs="KFGQPC Uthman Taha Naskh"/>
          <w:b/>
          <w:bCs/>
          <w:sz w:val="28"/>
          <w:rtl/>
          <w:lang w:bidi="ar-SY"/>
        </w:rPr>
        <w:t>يَا أَبَتَاهْ</w:t>
      </w:r>
      <w:r w:rsidR="00217AB4" w:rsidRPr="004A3642">
        <w:rPr>
          <w:rFonts w:ascii="Abo-thar" w:hAnsi="Abo-thar" w:cs="KFGQPC Uthman Taha Naskh" w:hint="cs"/>
          <w:b/>
          <w:bCs/>
          <w:sz w:val="28"/>
          <w:rtl/>
          <w:lang w:bidi="ar-SY"/>
        </w:rPr>
        <w:t>!</w:t>
      </w:r>
      <w:r w:rsidRPr="004A3642">
        <w:rPr>
          <w:rFonts w:ascii="Abo-thar" w:hAnsi="Abo-thar" w:cs="KFGQPC Uthman Taha Naskh"/>
          <w:b/>
          <w:bCs/>
          <w:sz w:val="28"/>
          <w:rtl/>
          <w:lang w:bidi="ar-SY"/>
        </w:rPr>
        <w:t xml:space="preserve"> مَا تَقُولُ فِي المُذْنِبِ مِنَّا وَمِنْ غَيْرِنَا</w:t>
      </w:r>
      <w:r w:rsidR="00217AB4" w:rsidRPr="004A3642">
        <w:rPr>
          <w:rFonts w:ascii="Abo-thar" w:hAnsi="Abo-thar" w:cs="KFGQPC Uthman Taha Naskh" w:hint="cs"/>
          <w:b/>
          <w:bCs/>
          <w:sz w:val="28"/>
          <w:rtl/>
          <w:lang w:bidi="ar-SY"/>
        </w:rPr>
        <w:t>؟</w:t>
      </w:r>
      <w:r w:rsidR="00147857" w:rsidRPr="004A3642">
        <w:rPr>
          <w:rFonts w:ascii="Abo-thar" w:hAnsi="Abo-thar" w:cs="KFGQPC Uthman Taha Naskh" w:hint="cs"/>
          <w:b/>
          <w:bCs/>
          <w:sz w:val="28"/>
          <w:rtl/>
          <w:lang w:bidi="ar-SY"/>
        </w:rPr>
        <w:t xml:space="preserve"> </w:t>
      </w:r>
      <w:r w:rsidRPr="004A3642">
        <w:rPr>
          <w:rFonts w:ascii="Abo-thar" w:hAnsi="Abo-thar" w:cs="KFGQPC Uthman Taha Naskh"/>
          <w:b/>
          <w:bCs/>
          <w:sz w:val="28"/>
          <w:rtl/>
          <w:lang w:bidi="ar-SY"/>
        </w:rPr>
        <w:t xml:space="preserve">فَقَالَ </w:t>
      </w:r>
      <w:r w:rsidR="00BC4BA9" w:rsidRPr="00BC4BA9">
        <w:rPr>
          <w:rFonts w:ascii="Abo-thar" w:hAnsi="Abo-thar" w:cs="CTraditional Arabic" w:hint="cs"/>
          <w:b/>
          <w:sz w:val="28"/>
          <w:rtl/>
          <w:lang w:bidi="ar-SY"/>
        </w:rPr>
        <w:t>÷</w:t>
      </w:r>
      <w:r w:rsidR="00217AB4" w:rsidRPr="004A3642">
        <w:rPr>
          <w:rFonts w:ascii="Abo-thar" w:hAnsi="Abo-thar" w:cs="KFGQPC Uthman Taha Naskh" w:hint="cs"/>
          <w:b/>
          <w:bCs/>
          <w:sz w:val="28"/>
          <w:rtl/>
          <w:lang w:bidi="ar-SY"/>
        </w:rPr>
        <w:t>:</w:t>
      </w:r>
      <w:r w:rsidRPr="004A3642">
        <w:rPr>
          <w:rFonts w:ascii="Abo-thar" w:hAnsi="Abo-thar" w:cs="KFGQPC Uthman Taha Naskh"/>
          <w:b/>
          <w:bCs/>
          <w:sz w:val="28"/>
          <w:rtl/>
          <w:lang w:bidi="ar-SY"/>
        </w:rPr>
        <w:t xml:space="preserve"> لَيْسَ بِأَمانِيِّكُمْ وَلا أَمانِيِّ أَهْلِ الْكِتابِ مَنْ يَعْمَلْ سُوءاً يُجْزَ بِهِ</w:t>
      </w:r>
      <w:r w:rsidRPr="004A3642">
        <w:rPr>
          <w:rFonts w:ascii="Abo-thar" w:hAnsi="Abo-thar" w:cs="KFGQPC Uthman Taha Naskh"/>
          <w:sz w:val="28"/>
          <w:rtl/>
          <w:lang w:bidi="ar-SY"/>
        </w:rPr>
        <w:t>‏</w:t>
      </w:r>
      <w:r w:rsidR="00EF2588" w:rsidRPr="004A3642">
        <w:rPr>
          <w:rFonts w:ascii="Abo-thar" w:hAnsi="Abo-thar" w:cs="KFGQPC Uthman Taha Naskh" w:hint="cs"/>
          <w:sz w:val="28"/>
          <w:rtl/>
          <w:lang w:bidi="ar-SY"/>
        </w:rPr>
        <w:t>»</w:t>
      </w:r>
      <w:r w:rsidR="00217AB4" w:rsidRPr="003F3B94">
        <w:rPr>
          <w:rFonts w:ascii="Abo-thar" w:hAnsi="Abo-thar" w:hint="cs"/>
          <w:sz w:val="28"/>
          <w:rtl/>
          <w:lang w:bidi="ar-SY"/>
        </w:rPr>
        <w:t>.</w:t>
      </w:r>
      <w:r w:rsidRPr="003F3B94">
        <w:rPr>
          <w:rFonts w:ascii="Abo-thar" w:hAnsi="Abo-thar" w:hint="cs"/>
          <w:sz w:val="28"/>
          <w:rtl/>
          <w:lang w:bidi="ar-SY"/>
        </w:rPr>
        <w:t xml:space="preserve"> </w:t>
      </w:r>
    </w:p>
    <w:p w:rsidR="005C664D" w:rsidRPr="003F3B94" w:rsidRDefault="005C664D" w:rsidP="005B684B">
      <w:pPr>
        <w:pStyle w:val="a0"/>
        <w:spacing w:line="223" w:lineRule="auto"/>
        <w:rPr>
          <w:rFonts w:hint="cs"/>
          <w:rtl/>
          <w:lang w:bidi="ar-SY"/>
        </w:rPr>
      </w:pPr>
      <w:r w:rsidRPr="003F3B94">
        <w:rPr>
          <w:rFonts w:ascii="Abo-thar" w:hAnsi="Abo-thar" w:hint="cs"/>
          <w:sz w:val="28"/>
          <w:rtl/>
          <w:lang w:bidi="ar-SY"/>
        </w:rPr>
        <w:t>8</w:t>
      </w:r>
      <w:r w:rsidR="00217AB4" w:rsidRPr="003F3B94">
        <w:rPr>
          <w:rFonts w:ascii="Abo-thar" w:hAnsi="Abo-thar" w:hint="cs"/>
          <w:sz w:val="28"/>
          <w:rtl/>
          <w:lang w:bidi="ar-SY"/>
        </w:rPr>
        <w:t>-</w:t>
      </w:r>
      <w:r w:rsidRPr="003F3B94">
        <w:rPr>
          <w:rFonts w:ascii="Abo-thar" w:hAnsi="Abo-thar" w:hint="cs"/>
          <w:sz w:val="28"/>
          <w:rtl/>
          <w:lang w:bidi="ar-SY"/>
        </w:rPr>
        <w:t xml:space="preserve"> وروى الشيخ الصدوق في </w:t>
      </w:r>
      <w:r w:rsidRPr="003F3B94">
        <w:rPr>
          <w:rFonts w:ascii="Abo-thar" w:hAnsi="Abo-thar" w:hint="eastAsia"/>
          <w:sz w:val="28"/>
          <w:rtl/>
          <w:lang w:bidi="ar-SY"/>
        </w:rPr>
        <w:t>«</w:t>
      </w:r>
      <w:r w:rsidRPr="003F3B94">
        <w:rPr>
          <w:rFonts w:ascii="Abo-thar" w:hAnsi="Abo-thar" w:hint="cs"/>
          <w:sz w:val="28"/>
          <w:rtl/>
          <w:lang w:bidi="ar-SY"/>
        </w:rPr>
        <w:t>الأمالي</w:t>
      </w:r>
      <w:r w:rsidRPr="003F3B94">
        <w:rPr>
          <w:rFonts w:ascii="Abo-thar" w:hAnsi="Abo-thar" w:hint="eastAsia"/>
          <w:sz w:val="28"/>
          <w:rtl/>
          <w:lang w:bidi="ar-SY"/>
        </w:rPr>
        <w:t>»</w:t>
      </w:r>
      <w:r w:rsidR="00217AB4" w:rsidRPr="003F3B94">
        <w:rPr>
          <w:rFonts w:ascii="Abo-thar" w:hAnsi="Abo-thar" w:hint="cs"/>
          <w:sz w:val="28"/>
          <w:rtl/>
          <w:lang w:bidi="ar-SY"/>
        </w:rPr>
        <w:t>:</w:t>
      </w:r>
      <w:r w:rsidRPr="003F3B94">
        <w:rPr>
          <w:rFonts w:ascii="Abo-thar" w:hAnsi="Abo-thar" w:hint="cs"/>
          <w:sz w:val="28"/>
          <w:rtl/>
          <w:lang w:bidi="ar-SY"/>
        </w:rPr>
        <w:t xml:space="preserve"> </w:t>
      </w:r>
      <w:r w:rsidR="00EF2588" w:rsidRPr="004A3642">
        <w:rPr>
          <w:rFonts w:ascii="Abo-thar" w:hAnsi="Abo-thar" w:cs="KFGQPC Uthman Taha Naskh" w:hint="cs"/>
          <w:sz w:val="28"/>
          <w:rtl/>
          <w:lang w:bidi="ar-SY"/>
        </w:rPr>
        <w:t>«</w:t>
      </w:r>
      <w:r w:rsidRPr="004A3642">
        <w:rPr>
          <w:rFonts w:ascii="Abo-thar" w:hAnsi="Abo-thar" w:cs="KFGQPC Uthman Taha Naskh"/>
          <w:sz w:val="28"/>
          <w:rtl/>
          <w:lang w:bidi="ar-SY"/>
        </w:rPr>
        <w:t>عَنْ عَبَّادٍ الْكَلْبِيِّ عَنْ جَعْفَرِ بْنِ مُحَمَّدٍ عَنْ أَبِيهِ عَنْ عَلِيِّ بْنِ الْحُسَيْنِ عَنْ فَاطِمَةَ الصُّغْرَى عَنِ الْحُسَيْنِ بْنِ عَلِيٍّ عَنْ أُمِّهِ فَاطِمَةَ بِنْتِ مُحَمَّدٍ صَلَوَاتُ اللهِ عَلَيْهِمْ قَالَتْ</w:t>
      </w:r>
      <w:r w:rsidR="00217AB4" w:rsidRPr="004A3642">
        <w:rPr>
          <w:rFonts w:ascii="Abo-thar" w:hAnsi="Abo-thar" w:cs="KFGQPC Uthman Taha Naskh" w:hint="cs"/>
          <w:sz w:val="28"/>
          <w:rtl/>
          <w:lang w:bidi="ar-SY"/>
        </w:rPr>
        <w:t>:</w:t>
      </w:r>
      <w:r w:rsidRPr="004A3642">
        <w:rPr>
          <w:rFonts w:ascii="Abo-thar" w:hAnsi="Abo-thar" w:cs="KFGQPC Uthman Taha Naskh"/>
          <w:sz w:val="28"/>
          <w:rtl/>
          <w:lang w:bidi="ar-SY"/>
        </w:rPr>
        <w:t xml:space="preserve"> </w:t>
      </w:r>
      <w:r w:rsidRPr="004A3642">
        <w:rPr>
          <w:rFonts w:ascii="Abo-thar" w:hAnsi="Abo-thar" w:cs="KFGQPC Uthman Taha Naskh"/>
          <w:b/>
          <w:bCs/>
          <w:sz w:val="28"/>
          <w:rtl/>
          <w:lang w:bidi="ar-SY"/>
        </w:rPr>
        <w:t>خَرَجَ عَلَيْنَا رَسُولُ اللهِ</w:t>
      </w:r>
      <w:r w:rsidR="00147857" w:rsidRPr="004A3642">
        <w:rPr>
          <w:rFonts w:ascii="Abo-thar" w:hAnsi="Abo-thar" w:cs="KFGQPC Uthman Taha Naskh"/>
          <w:b/>
          <w:bCs/>
          <w:sz w:val="28"/>
          <w:rtl/>
          <w:lang w:bidi="ar-SY"/>
        </w:rPr>
        <w:t xml:space="preserve"> </w:t>
      </w:r>
      <w:r w:rsidR="003C7AEB" w:rsidRPr="003C7AEB">
        <w:rPr>
          <w:rFonts w:ascii="Abo-thar" w:hAnsi="Abo-thar" w:cs="CTraditional Arabic"/>
          <w:sz w:val="28"/>
          <w:rtl/>
          <w:lang w:bidi="ar-SY"/>
        </w:rPr>
        <w:t>ص</w:t>
      </w:r>
      <w:r w:rsidR="00147857" w:rsidRPr="004A3642">
        <w:rPr>
          <w:rFonts w:ascii="Abo-thar" w:hAnsi="Abo-thar" w:cs="KFGQPC Uthman Taha Naskh"/>
          <w:sz w:val="28"/>
          <w:rtl/>
          <w:lang w:bidi="ar-SY"/>
        </w:rPr>
        <w:t xml:space="preserve"> </w:t>
      </w:r>
      <w:r w:rsidRPr="004A3642">
        <w:rPr>
          <w:rFonts w:ascii="Abo-thar" w:hAnsi="Abo-thar" w:cs="KFGQPC Uthman Taha Naskh"/>
          <w:b/>
          <w:bCs/>
          <w:sz w:val="28"/>
          <w:rtl/>
          <w:lang w:bidi="ar-SY"/>
        </w:rPr>
        <w:t>عَشِيَّةَ عَرَفَةَ فَقَالَ</w:t>
      </w:r>
      <w:r w:rsidR="00217AB4" w:rsidRPr="004A3642">
        <w:rPr>
          <w:rFonts w:ascii="Abo-thar" w:hAnsi="Abo-thar" w:cs="KFGQPC Uthman Taha Naskh" w:hint="cs"/>
          <w:b/>
          <w:bCs/>
          <w:sz w:val="28"/>
          <w:rtl/>
          <w:lang w:bidi="ar-SY"/>
        </w:rPr>
        <w:t>:</w:t>
      </w:r>
      <w:r w:rsidRPr="004A3642">
        <w:rPr>
          <w:rFonts w:ascii="Abo-thar" w:hAnsi="Abo-thar" w:cs="KFGQPC Uthman Taha Naskh"/>
          <w:b/>
          <w:bCs/>
          <w:sz w:val="28"/>
          <w:rtl/>
          <w:lang w:bidi="ar-SY"/>
        </w:rPr>
        <w:t xml:space="preserve"> إِنَّ اللهَ تَبَارَكَ وَتَعَالَى بَاهَى بِكُمْ وَغَفَرَ لَكُمْ عَامَّةً وَلِعَلِيٍّ خَاصَّةً وَإِنِّي رَسُولُ اللهِ إِلَيْكُمْ غَيْرَ مُحَابٍ</w:t>
      </w:r>
      <w:r w:rsidR="00217AB4" w:rsidRPr="00502770">
        <w:rPr>
          <w:rFonts w:cs="Arabic11 BT"/>
          <w:b/>
          <w:sz w:val="28"/>
          <w:vertAlign w:val="superscript"/>
          <w:rtl/>
          <w:lang w:bidi="ar-SY"/>
        </w:rPr>
        <w:t>(</w:t>
      </w:r>
      <w:r w:rsidRPr="00502770">
        <w:rPr>
          <w:rStyle w:val="FootnoteReference"/>
          <w:rFonts w:cs="Arabic11 BT"/>
          <w:b/>
          <w:sz w:val="28"/>
          <w:rtl/>
          <w:lang w:bidi="ar-SY"/>
        </w:rPr>
        <w:footnoteReference w:id="112"/>
      </w:r>
      <w:r w:rsidR="00217AB4" w:rsidRPr="00502770">
        <w:rPr>
          <w:rFonts w:cs="Arabic11 BT"/>
          <w:b/>
          <w:sz w:val="28"/>
          <w:vertAlign w:val="superscript"/>
          <w:rtl/>
          <w:lang w:bidi="ar-SY"/>
        </w:rPr>
        <w:t>)</w:t>
      </w:r>
      <w:r w:rsidRPr="00502770">
        <w:rPr>
          <w:rFonts w:cs="Arabic11 BT"/>
          <w:sz w:val="28"/>
          <w:rtl/>
          <w:lang w:bidi="ar-SY"/>
        </w:rPr>
        <w:t xml:space="preserve"> </w:t>
      </w:r>
      <w:r w:rsidRPr="004A3642">
        <w:rPr>
          <w:rFonts w:ascii="Abo-thar" w:hAnsi="Abo-thar" w:cs="KFGQPC Uthman Taha Naskh"/>
          <w:b/>
          <w:bCs/>
          <w:sz w:val="28"/>
          <w:rtl/>
          <w:lang w:bidi="ar-SY"/>
        </w:rPr>
        <w:t>لِقَرَابَتِي</w:t>
      </w:r>
      <w:r w:rsidRPr="004A3642">
        <w:rPr>
          <w:rFonts w:ascii="Abo-thar" w:hAnsi="Abo-thar" w:cs="KFGQPC Uthman Taha Naskh"/>
          <w:sz w:val="28"/>
          <w:rtl/>
          <w:lang w:bidi="ar-SY"/>
        </w:rPr>
        <w:t>‏</w:t>
      </w:r>
      <w:r w:rsidR="00EF2588" w:rsidRPr="004A3642">
        <w:rPr>
          <w:rFonts w:ascii="Abo-thar" w:hAnsi="Abo-thar" w:cs="KFGQPC Uthman Taha Naskh" w:hint="cs"/>
          <w:sz w:val="28"/>
          <w:rtl/>
          <w:lang w:bidi="ar-SY"/>
        </w:rPr>
        <w:t>»</w:t>
      </w:r>
      <w:r w:rsidR="00217AB4" w:rsidRPr="0021507A">
        <w:rPr>
          <w:rStyle w:val="FootnoteReference"/>
          <w:rFonts w:cs="Arabic11 BT"/>
          <w:b/>
          <w:sz w:val="28"/>
          <w:rtl/>
          <w:lang w:bidi="ar-SY"/>
        </w:rPr>
        <w:t>(</w:t>
      </w:r>
      <w:r w:rsidRPr="0021507A">
        <w:rPr>
          <w:rStyle w:val="FootnoteReference"/>
          <w:rFonts w:cs="Arabic11 BT"/>
          <w:b/>
          <w:sz w:val="28"/>
          <w:rtl/>
          <w:lang w:bidi="ar-SY"/>
        </w:rPr>
        <w:footnoteReference w:id="113"/>
      </w:r>
      <w:r w:rsidR="00217AB4" w:rsidRPr="0021507A">
        <w:rPr>
          <w:rStyle w:val="FootnoteReference"/>
          <w:rFonts w:cs="Arabic11 BT"/>
          <w:b/>
          <w:sz w:val="28"/>
          <w:rtl/>
          <w:lang w:bidi="ar-SY"/>
        </w:rPr>
        <w:t>)</w:t>
      </w:r>
      <w:r w:rsidR="005B20E7" w:rsidRPr="003F3B94">
        <w:rPr>
          <w:rFonts w:ascii="Abo-thar" w:hAnsi="Abo-thar" w:hint="cs"/>
          <w:sz w:val="28"/>
          <w:rtl/>
          <w:lang w:bidi="ar-SY"/>
        </w:rPr>
        <w:t>.</w:t>
      </w:r>
    </w:p>
    <w:p w:rsidR="005C664D" w:rsidRPr="003F3B94" w:rsidRDefault="005C664D" w:rsidP="00502770">
      <w:pPr>
        <w:pStyle w:val="a0"/>
        <w:rPr>
          <w:rFonts w:hint="cs"/>
          <w:rtl/>
          <w:lang w:bidi="ar-SY"/>
        </w:rPr>
      </w:pPr>
      <w:r w:rsidRPr="003F3B94">
        <w:rPr>
          <w:rFonts w:ascii="Abo-thar" w:hAnsi="Abo-thar" w:hint="cs"/>
          <w:sz w:val="28"/>
          <w:rtl/>
          <w:lang w:bidi="ar-SY"/>
        </w:rPr>
        <w:t>9</w:t>
      </w:r>
      <w:r w:rsidR="00217AB4" w:rsidRPr="003F3B94">
        <w:rPr>
          <w:rFonts w:ascii="Abo-thar" w:hAnsi="Abo-thar" w:hint="cs"/>
          <w:sz w:val="28"/>
          <w:rtl/>
          <w:lang w:bidi="ar-SY"/>
        </w:rPr>
        <w:t>-</w:t>
      </w:r>
      <w:r w:rsidRPr="003F3B94">
        <w:rPr>
          <w:rFonts w:ascii="Abo-thar" w:hAnsi="Abo-thar" w:hint="cs"/>
          <w:sz w:val="28"/>
          <w:rtl/>
          <w:lang w:bidi="ar-SY"/>
        </w:rPr>
        <w:t xml:space="preserve"> وقال المحقق البحراني في كتابه «الحدائق الناضرة» </w:t>
      </w:r>
      <w:r w:rsidR="00217AB4" w:rsidRPr="003F3B94">
        <w:rPr>
          <w:rFonts w:ascii="Abo-thar" w:hAnsi="Abo-thar" w:hint="cs"/>
          <w:sz w:val="28"/>
          <w:rtl/>
          <w:lang w:bidi="ar-SY"/>
        </w:rPr>
        <w:t>(</w:t>
      </w:r>
      <w:r w:rsidRPr="003F3B94">
        <w:rPr>
          <w:rFonts w:ascii="Abo-thar" w:hAnsi="Abo-thar" w:hint="cs"/>
          <w:sz w:val="28"/>
          <w:rtl/>
          <w:lang w:bidi="ar-SY"/>
        </w:rPr>
        <w:t>ج12/ص227</w:t>
      </w:r>
      <w:r w:rsidR="00217AB4" w:rsidRPr="003F3B94">
        <w:rPr>
          <w:rFonts w:ascii="Abo-thar" w:hAnsi="Abo-thar" w:hint="cs"/>
          <w:sz w:val="28"/>
          <w:rtl/>
          <w:lang w:bidi="ar-SY"/>
        </w:rPr>
        <w:t>،</w:t>
      </w:r>
      <w:r w:rsidRPr="003F3B94">
        <w:rPr>
          <w:rFonts w:ascii="Abo-thar" w:hAnsi="Abo-thar" w:hint="cs"/>
          <w:sz w:val="28"/>
          <w:rtl/>
          <w:lang w:bidi="ar-SY"/>
        </w:rPr>
        <w:t xml:space="preserve"> طبع النجف</w:t>
      </w:r>
      <w:r w:rsidR="00217AB4" w:rsidRPr="003F3B94">
        <w:rPr>
          <w:rFonts w:ascii="Abo-thar" w:hAnsi="Abo-thar" w:hint="cs"/>
          <w:sz w:val="28"/>
          <w:rtl/>
          <w:lang w:bidi="ar-SY"/>
        </w:rPr>
        <w:t>):</w:t>
      </w:r>
      <w:r w:rsidR="00502770">
        <w:rPr>
          <w:rFonts w:ascii="Abo-thar" w:hAnsi="Abo-thar" w:hint="cs"/>
          <w:sz w:val="28"/>
          <w:rtl/>
          <w:lang w:bidi="ar-SY"/>
        </w:rPr>
        <w:t xml:space="preserve"> </w:t>
      </w:r>
      <w:r w:rsidR="00EF2588" w:rsidRPr="004A3642">
        <w:rPr>
          <w:rFonts w:ascii="Abo-thar" w:hAnsi="Abo-thar" w:cs="KFGQPC Uthman Taha Naskh" w:hint="cs"/>
          <w:sz w:val="28"/>
          <w:rtl/>
          <w:lang w:bidi="ar-SY"/>
        </w:rPr>
        <w:t>«</w:t>
      </w:r>
      <w:r w:rsidRPr="004A3642">
        <w:rPr>
          <w:rFonts w:ascii="Abo-thar" w:hAnsi="Abo-thar" w:cs="KFGQPC Uthman Taha Naskh" w:hint="cs"/>
          <w:sz w:val="28"/>
          <w:rtl/>
          <w:lang w:bidi="ar-SY"/>
        </w:rPr>
        <w:t>روى الشيخ في التهذيب</w:t>
      </w:r>
      <w:r w:rsidR="00217AB4" w:rsidRPr="004A3642">
        <w:rPr>
          <w:rFonts w:cs="KFGQPC Uthman Taha Naskh"/>
          <w:b/>
          <w:sz w:val="28"/>
          <w:vertAlign w:val="superscript"/>
          <w:rtl/>
          <w:lang w:bidi="ar-SY"/>
        </w:rPr>
        <w:t>(</w:t>
      </w:r>
      <w:r w:rsidRPr="004A3642">
        <w:rPr>
          <w:rStyle w:val="FootnoteReference"/>
          <w:rFonts w:cs="KFGQPC Uthman Taha Naskh"/>
          <w:b/>
          <w:sz w:val="28"/>
          <w:rtl/>
          <w:lang w:bidi="ar-SY"/>
        </w:rPr>
        <w:footnoteReference w:id="114"/>
      </w:r>
      <w:r w:rsidR="00217AB4" w:rsidRPr="004A3642">
        <w:rPr>
          <w:rFonts w:cs="KFGQPC Uthman Taha Naskh"/>
          <w:b/>
          <w:sz w:val="28"/>
          <w:vertAlign w:val="superscript"/>
          <w:rtl/>
          <w:lang w:bidi="ar-SY"/>
        </w:rPr>
        <w:t>)</w:t>
      </w:r>
      <w:r w:rsidRPr="004A3642">
        <w:rPr>
          <w:rFonts w:cs="KFGQPC Uthman Taha Naskh"/>
          <w:sz w:val="28"/>
          <w:rtl/>
          <w:lang w:bidi="ar-SY"/>
        </w:rPr>
        <w:t xml:space="preserve"> </w:t>
      </w:r>
      <w:r w:rsidRPr="004A3642">
        <w:rPr>
          <w:rFonts w:ascii="Abo-thar" w:hAnsi="Abo-thar" w:cs="KFGQPC Uthman Taha Naskh" w:hint="cs"/>
          <w:sz w:val="28"/>
          <w:rtl/>
          <w:lang w:bidi="ar-SY"/>
        </w:rPr>
        <w:t xml:space="preserve">بسنده </w:t>
      </w:r>
      <w:r w:rsidRPr="004A3642">
        <w:rPr>
          <w:rFonts w:ascii="Abo-thar" w:hAnsi="Abo-thar" w:cs="KFGQPC Uthman Taha Naskh"/>
          <w:sz w:val="28"/>
          <w:rtl/>
          <w:lang w:bidi="ar-SY"/>
        </w:rPr>
        <w:t>عَنْ حَفْصِ بْنِ غِيَاثٍ قَالَ</w:t>
      </w:r>
      <w:r w:rsidR="00217AB4" w:rsidRPr="004A3642">
        <w:rPr>
          <w:rFonts w:ascii="Abo-thar" w:hAnsi="Abo-thar" w:cs="KFGQPC Uthman Taha Naskh" w:hint="cs"/>
          <w:sz w:val="28"/>
          <w:rtl/>
          <w:lang w:bidi="ar-SY"/>
        </w:rPr>
        <w:t>:</w:t>
      </w:r>
      <w:r w:rsidRPr="004A3642">
        <w:rPr>
          <w:rFonts w:ascii="Abo-thar" w:hAnsi="Abo-thar" w:cs="KFGQPC Uthman Taha Naskh"/>
          <w:sz w:val="28"/>
          <w:rtl/>
          <w:lang w:bidi="ar-SY"/>
        </w:rPr>
        <w:t xml:space="preserve"> سَمِعْتُ أَبَا عَبْدِ اللهِ </w:t>
      </w:r>
      <w:r w:rsidR="00BC4BA9" w:rsidRPr="00BC4BA9">
        <w:rPr>
          <w:rFonts w:ascii="Abo-thar" w:hAnsi="Abo-thar" w:cs="CTraditional Arabic" w:hint="cs"/>
          <w:sz w:val="28"/>
          <w:rtl/>
          <w:lang w:bidi="ar-SY"/>
        </w:rPr>
        <w:t>÷</w:t>
      </w:r>
      <w:r w:rsidRPr="004A3642">
        <w:rPr>
          <w:rFonts w:ascii="Abo-thar" w:hAnsi="Abo-thar" w:cs="KFGQPC Uthman Taha Naskh"/>
          <w:sz w:val="28"/>
          <w:rtl/>
          <w:lang w:bidi="ar-SY"/>
        </w:rPr>
        <w:t xml:space="preserve"> يَقُولُ وَسُئِلَ عَنْ قَسْمِ بَيْتِ المَالِ فَقَالَ</w:t>
      </w:r>
      <w:r w:rsidR="00217AB4" w:rsidRPr="004A3642">
        <w:rPr>
          <w:rFonts w:ascii="Abo-thar" w:hAnsi="Abo-thar" w:cs="KFGQPC Uthman Taha Naskh" w:hint="cs"/>
          <w:sz w:val="28"/>
          <w:rtl/>
          <w:lang w:bidi="ar-SY"/>
        </w:rPr>
        <w:t>:</w:t>
      </w:r>
      <w:r w:rsidRPr="004A3642">
        <w:rPr>
          <w:rFonts w:ascii="Abo-thar" w:hAnsi="Abo-thar" w:cs="KFGQPC Uthman Taha Naskh"/>
          <w:sz w:val="28"/>
          <w:rtl/>
          <w:lang w:bidi="ar-SY"/>
        </w:rPr>
        <w:t xml:space="preserve"> </w:t>
      </w:r>
      <w:r w:rsidRPr="004A3642">
        <w:rPr>
          <w:rFonts w:ascii="Abo-thar" w:hAnsi="Abo-thar" w:cs="KFGQPC Uthman Taha Naskh"/>
          <w:b/>
          <w:bCs/>
          <w:sz w:val="28"/>
          <w:rtl/>
          <w:lang w:bidi="ar-SY"/>
        </w:rPr>
        <w:t>أَهْلُ الْإِسْلَامِ هُمْ أَبْنَاءُ الْإِسْلَامِ أُسَوِّي بَيْنَهُمْ فِي الْعَطَاءِ وَفَضَائِلُهُمْ بَيْنَهُمْ وَبَيْنَ اللهِ أُجْمِلُهُمْ كَبَنِي رَجُلٍ وَاحِدٍ لَا نُفَضِّلُ أَحَداً مِنْهُمْ لِفَضْلِهِ وَصَلَاحِهِ فِي الْمِيرَاثِ عَلَى آخَرَ ضَعِيفٍ مَنْقُوصٍ</w:t>
      </w:r>
      <w:r w:rsidR="00217AB4" w:rsidRPr="004A3642">
        <w:rPr>
          <w:rFonts w:ascii="Abo-thar" w:hAnsi="Abo-thar" w:cs="KFGQPC Uthman Taha Naskh" w:hint="cs"/>
          <w:b/>
          <w:bCs/>
          <w:sz w:val="28"/>
          <w:rtl/>
          <w:lang w:bidi="ar-SY"/>
        </w:rPr>
        <w:t>.</w:t>
      </w:r>
      <w:r w:rsidRPr="004A3642">
        <w:rPr>
          <w:rFonts w:ascii="Abo-thar" w:hAnsi="Abo-thar" w:cs="KFGQPC Uthman Taha Naskh"/>
          <w:b/>
          <w:bCs/>
          <w:sz w:val="28"/>
          <w:rtl/>
          <w:lang w:bidi="ar-SY"/>
        </w:rPr>
        <w:t xml:space="preserve"> وَقَالَ</w:t>
      </w:r>
      <w:r w:rsidR="00217AB4" w:rsidRPr="004A3642">
        <w:rPr>
          <w:rFonts w:ascii="Abo-thar" w:hAnsi="Abo-thar" w:cs="KFGQPC Uthman Taha Naskh" w:hint="cs"/>
          <w:b/>
          <w:bCs/>
          <w:sz w:val="28"/>
          <w:rtl/>
          <w:lang w:bidi="ar-SY"/>
        </w:rPr>
        <w:t>:</w:t>
      </w:r>
      <w:r w:rsidRPr="004A3642">
        <w:rPr>
          <w:rFonts w:ascii="Abo-thar" w:hAnsi="Abo-thar" w:cs="KFGQPC Uthman Taha Naskh"/>
          <w:b/>
          <w:bCs/>
          <w:sz w:val="28"/>
          <w:rtl/>
          <w:lang w:bidi="ar-SY"/>
        </w:rPr>
        <w:t xml:space="preserve"> هَذَا هُوَ فِعْلُ رَسُولِ اللهِ</w:t>
      </w:r>
      <w:r w:rsidR="00147857" w:rsidRPr="004A3642">
        <w:rPr>
          <w:rFonts w:ascii="Abo-thar" w:hAnsi="Abo-thar" w:cs="KFGQPC Uthman Taha Naskh"/>
          <w:b/>
          <w:bCs/>
          <w:sz w:val="28"/>
          <w:rtl/>
          <w:lang w:bidi="ar-SY"/>
        </w:rPr>
        <w:t xml:space="preserve"> </w:t>
      </w:r>
      <w:r w:rsidR="003C7AEB" w:rsidRPr="003C7AEB">
        <w:rPr>
          <w:rFonts w:ascii="Abo-thar" w:hAnsi="Abo-thar" w:cs="CTraditional Arabic"/>
          <w:sz w:val="28"/>
          <w:rtl/>
          <w:lang w:bidi="ar-SY"/>
        </w:rPr>
        <w:t>ص</w:t>
      </w:r>
      <w:r w:rsidR="00147857" w:rsidRPr="004A3642">
        <w:rPr>
          <w:rFonts w:ascii="Abo-thar" w:hAnsi="Abo-thar" w:cs="KFGQPC Uthman Taha Naskh"/>
          <w:sz w:val="28"/>
          <w:rtl/>
          <w:lang w:bidi="ar-SY"/>
        </w:rPr>
        <w:t xml:space="preserve"> </w:t>
      </w:r>
      <w:r w:rsidRPr="004A3642">
        <w:rPr>
          <w:rFonts w:ascii="Abo-thar" w:hAnsi="Abo-thar" w:cs="KFGQPC Uthman Taha Naskh"/>
          <w:b/>
          <w:bCs/>
          <w:sz w:val="28"/>
          <w:rtl/>
          <w:lang w:bidi="ar-SY"/>
        </w:rPr>
        <w:t>فِي بَدْوِ أَمْرِهِ</w:t>
      </w:r>
      <w:r w:rsidR="00217AB4" w:rsidRPr="004A3642">
        <w:rPr>
          <w:rFonts w:ascii="Abo-thar" w:hAnsi="Abo-thar" w:cs="KFGQPC Uthman Taha Naskh" w:hint="cs"/>
          <w:sz w:val="28"/>
          <w:rtl/>
          <w:lang w:bidi="ar-SY"/>
        </w:rPr>
        <w:t>..</w:t>
      </w:r>
      <w:r w:rsidR="00EF2588" w:rsidRPr="004A3642">
        <w:rPr>
          <w:rFonts w:ascii="Abo-thar" w:hAnsi="Abo-thar" w:cs="KFGQPC Uthman Taha Naskh" w:hint="cs"/>
          <w:sz w:val="28"/>
          <w:rtl/>
          <w:lang w:bidi="ar-SY"/>
        </w:rPr>
        <w:t>»</w:t>
      </w:r>
      <w:r w:rsidR="00217AB4" w:rsidRPr="0021507A">
        <w:rPr>
          <w:rStyle w:val="FootnoteReference"/>
          <w:rFonts w:cs="Arabic11 BT"/>
          <w:b/>
          <w:sz w:val="28"/>
          <w:rtl/>
          <w:lang w:bidi="ar-SY"/>
        </w:rPr>
        <w:t>(</w:t>
      </w:r>
      <w:r w:rsidRPr="0021507A">
        <w:rPr>
          <w:rStyle w:val="FootnoteReference"/>
          <w:rFonts w:cs="Arabic11 BT"/>
          <w:b/>
          <w:sz w:val="28"/>
          <w:rtl/>
          <w:lang w:bidi="ar-SY"/>
        </w:rPr>
        <w:footnoteReference w:id="115"/>
      </w:r>
      <w:r w:rsidR="00217AB4" w:rsidRPr="0021507A">
        <w:rPr>
          <w:rStyle w:val="FootnoteReference"/>
          <w:rFonts w:cs="Arabic11 BT"/>
          <w:b/>
          <w:sz w:val="28"/>
          <w:rtl/>
          <w:lang w:bidi="ar-SY"/>
        </w:rPr>
        <w:t>)</w:t>
      </w:r>
      <w:r w:rsidR="00217AB4" w:rsidRPr="003F3B94">
        <w:rPr>
          <w:rFonts w:ascii="Abo-thar" w:hAnsi="Abo-thar" w:hint="cs"/>
          <w:sz w:val="28"/>
          <w:rtl/>
          <w:lang w:bidi="ar-SY"/>
        </w:rPr>
        <w:t>.</w:t>
      </w:r>
    </w:p>
    <w:p w:rsidR="005C664D" w:rsidRPr="00502770" w:rsidRDefault="005C664D" w:rsidP="00502770">
      <w:pPr>
        <w:pStyle w:val="a0"/>
        <w:rPr>
          <w:rFonts w:hint="cs"/>
          <w:rtl/>
          <w:lang w:bidi="ar-SY"/>
        </w:rPr>
      </w:pPr>
      <w:r w:rsidRPr="00502770">
        <w:rPr>
          <w:rFonts w:ascii="Abo-thar" w:hAnsi="Abo-thar" w:hint="cs"/>
          <w:sz w:val="28"/>
          <w:rtl/>
          <w:lang w:bidi="ar-SY"/>
        </w:rPr>
        <w:t>10</w:t>
      </w:r>
      <w:r w:rsidR="00217AB4" w:rsidRPr="00502770">
        <w:rPr>
          <w:rFonts w:ascii="Abo-thar" w:hAnsi="Abo-thar" w:hint="cs"/>
          <w:sz w:val="28"/>
          <w:rtl/>
          <w:lang w:bidi="ar-SY"/>
        </w:rPr>
        <w:t>-</w:t>
      </w:r>
      <w:r w:rsidRPr="00502770">
        <w:rPr>
          <w:rFonts w:ascii="Abo-thar" w:hAnsi="Abo-thar" w:hint="cs"/>
          <w:sz w:val="28"/>
          <w:rtl/>
          <w:lang w:bidi="ar-SY"/>
        </w:rPr>
        <w:t xml:space="preserve"> وروى الصدوق في عيون أخبار الرضا </w:t>
      </w:r>
      <w:r w:rsidR="00BC4BA9" w:rsidRPr="00502770">
        <w:rPr>
          <w:rFonts w:ascii="Abo-thar" w:hAnsi="Abo-thar" w:cs="CTraditional Arabic" w:hint="cs"/>
          <w:sz w:val="28"/>
          <w:rtl/>
          <w:lang w:bidi="ar-SY"/>
        </w:rPr>
        <w:t>÷</w:t>
      </w:r>
      <w:r w:rsidR="00652969" w:rsidRPr="00502770">
        <w:rPr>
          <w:rFonts w:ascii="Abo-thar" w:hAnsi="Abo-thar" w:hint="cs"/>
          <w:sz w:val="28"/>
          <w:rtl/>
          <w:lang w:bidi="ar-SY"/>
        </w:rPr>
        <w:t>:</w:t>
      </w:r>
      <w:r w:rsidR="00502770" w:rsidRPr="00502770">
        <w:rPr>
          <w:rFonts w:ascii="Abo-thar" w:hAnsi="Abo-thar" w:hint="cs"/>
          <w:sz w:val="28"/>
          <w:rtl/>
          <w:lang w:bidi="ar-SY"/>
        </w:rPr>
        <w:t xml:space="preserve"> </w:t>
      </w:r>
      <w:r w:rsidR="00EF2588" w:rsidRPr="00502770">
        <w:rPr>
          <w:rFonts w:ascii="Abo-thar" w:hAnsi="Abo-thar" w:cs="KFGQPC Uthman Taha Naskh" w:hint="cs"/>
          <w:sz w:val="28"/>
          <w:rtl/>
          <w:lang w:bidi="ar-SY"/>
        </w:rPr>
        <w:t>«</w:t>
      </w:r>
      <w:r w:rsidRPr="00502770">
        <w:rPr>
          <w:rFonts w:ascii="Abo-thar" w:hAnsi="Abo-thar" w:cs="KFGQPC Uthman Taha Naskh"/>
          <w:sz w:val="28"/>
          <w:rtl/>
          <w:lang w:bidi="ar-SY"/>
        </w:rPr>
        <w:t>عَنْ مُحَمَّدِ بْنِ مُوسَى بْنِ نَصْرٍ الرَّازِيِّ قَالَ سَمِعْتُ أَبِي يَقُولُ</w:t>
      </w:r>
      <w:r w:rsidR="00217AB4" w:rsidRPr="00502770">
        <w:rPr>
          <w:rFonts w:ascii="Abo-thar" w:hAnsi="Abo-thar" w:cs="KFGQPC Uthman Taha Naskh" w:hint="cs"/>
          <w:sz w:val="28"/>
          <w:rtl/>
          <w:lang w:bidi="ar-SY"/>
        </w:rPr>
        <w:t>:</w:t>
      </w:r>
      <w:r w:rsidRPr="00502770">
        <w:rPr>
          <w:rFonts w:ascii="Abo-thar" w:hAnsi="Abo-thar" w:cs="KFGQPC Uthman Taha Naskh"/>
          <w:sz w:val="28"/>
          <w:rtl/>
          <w:lang w:bidi="ar-SY"/>
        </w:rPr>
        <w:t xml:space="preserve"> </w:t>
      </w:r>
      <w:r w:rsidRPr="00502770">
        <w:rPr>
          <w:rFonts w:ascii="Abo-thar" w:hAnsi="Abo-thar" w:cs="KFGQPC Uthman Taha Naskh"/>
          <w:b/>
          <w:bCs/>
          <w:sz w:val="28"/>
          <w:rtl/>
          <w:lang w:bidi="ar-SY"/>
        </w:rPr>
        <w:t xml:space="preserve">قَالَ رَجُلٌ لِلرِّضَا </w:t>
      </w:r>
      <w:r w:rsidR="00BC4BA9" w:rsidRPr="00502770">
        <w:rPr>
          <w:rFonts w:ascii="Abo-thar" w:hAnsi="Abo-thar" w:cs="CTraditional Arabic" w:hint="cs"/>
          <w:b/>
          <w:sz w:val="28"/>
          <w:rtl/>
          <w:lang w:bidi="ar-SY"/>
        </w:rPr>
        <w:t>÷</w:t>
      </w:r>
      <w:r w:rsidRPr="00502770">
        <w:rPr>
          <w:rFonts w:ascii="Abo-thar" w:hAnsi="Abo-thar" w:cs="KFGQPC Uthman Taha Naskh"/>
          <w:b/>
          <w:bCs/>
          <w:sz w:val="28"/>
          <w:rtl/>
          <w:lang w:bidi="ar-SY"/>
        </w:rPr>
        <w:t xml:space="preserve"> واللهِ مَا عَلَى وَجْهِ الْأَرْضِ أَشْرَفُ مِنْكَ أَباً</w:t>
      </w:r>
      <w:r w:rsidR="00217AB4" w:rsidRPr="00502770">
        <w:rPr>
          <w:rFonts w:ascii="Abo-thar" w:hAnsi="Abo-thar" w:cs="KFGQPC Uthman Taha Naskh" w:hint="cs"/>
          <w:b/>
          <w:bCs/>
          <w:sz w:val="28"/>
          <w:rtl/>
          <w:lang w:bidi="ar-SY"/>
        </w:rPr>
        <w:t>!</w:t>
      </w:r>
      <w:r w:rsidR="00147857" w:rsidRPr="00502770">
        <w:rPr>
          <w:rFonts w:ascii="Abo-thar" w:hAnsi="Abo-thar" w:cs="KFGQPC Uthman Taha Naskh"/>
          <w:b/>
          <w:bCs/>
          <w:sz w:val="28"/>
          <w:rtl/>
          <w:lang w:bidi="ar-SY"/>
        </w:rPr>
        <w:t xml:space="preserve"> </w:t>
      </w:r>
      <w:r w:rsidRPr="00502770">
        <w:rPr>
          <w:rFonts w:ascii="Abo-thar" w:hAnsi="Abo-thar" w:cs="KFGQPC Uthman Taha Naskh"/>
          <w:b/>
          <w:bCs/>
          <w:sz w:val="28"/>
          <w:rtl/>
          <w:lang w:bidi="ar-SY"/>
        </w:rPr>
        <w:t>فَقَالَ</w:t>
      </w:r>
      <w:r w:rsidR="00217AB4" w:rsidRPr="00502770">
        <w:rPr>
          <w:rFonts w:ascii="Abo-thar" w:hAnsi="Abo-thar" w:cs="KFGQPC Uthman Taha Naskh" w:hint="cs"/>
          <w:b/>
          <w:bCs/>
          <w:sz w:val="28"/>
          <w:rtl/>
          <w:lang w:bidi="ar-SY"/>
        </w:rPr>
        <w:t>:</w:t>
      </w:r>
      <w:r w:rsidRPr="00502770">
        <w:rPr>
          <w:rFonts w:ascii="Abo-thar" w:hAnsi="Abo-thar" w:cs="KFGQPC Uthman Taha Naskh"/>
          <w:b/>
          <w:bCs/>
          <w:sz w:val="28"/>
          <w:rtl/>
          <w:lang w:bidi="ar-SY"/>
        </w:rPr>
        <w:t xml:space="preserve"> التَّقْوَى شَرَّفَتْهُمْ وَطَاعَةُ اللهِ أَحْظَتْهُمْ</w:t>
      </w:r>
      <w:r w:rsidR="00217AB4" w:rsidRPr="00502770">
        <w:rPr>
          <w:rFonts w:ascii="Abo-thar" w:hAnsi="Abo-thar" w:cs="KFGQPC Uthman Taha Naskh" w:hint="cs"/>
          <w:b/>
          <w:bCs/>
          <w:sz w:val="28"/>
          <w:rtl/>
          <w:lang w:bidi="ar-SY"/>
        </w:rPr>
        <w:t>.</w:t>
      </w:r>
      <w:r w:rsidRPr="00502770">
        <w:rPr>
          <w:rFonts w:ascii="Abo-thar" w:hAnsi="Abo-thar" w:cs="KFGQPC Uthman Taha Naskh"/>
          <w:b/>
          <w:bCs/>
          <w:sz w:val="28"/>
          <w:rtl/>
          <w:lang w:bidi="ar-SY"/>
        </w:rPr>
        <w:t xml:space="preserve"> فَقَالَ لَهُ آخَرُ</w:t>
      </w:r>
      <w:r w:rsidR="00217AB4" w:rsidRPr="00502770">
        <w:rPr>
          <w:rFonts w:ascii="Abo-thar" w:hAnsi="Abo-thar" w:cs="KFGQPC Uthman Taha Naskh" w:hint="cs"/>
          <w:b/>
          <w:bCs/>
          <w:sz w:val="28"/>
          <w:rtl/>
          <w:lang w:bidi="ar-SY"/>
        </w:rPr>
        <w:t>:</w:t>
      </w:r>
      <w:r w:rsidRPr="00502770">
        <w:rPr>
          <w:rFonts w:ascii="Abo-thar" w:hAnsi="Abo-thar" w:cs="KFGQPC Uthman Taha Naskh"/>
          <w:b/>
          <w:bCs/>
          <w:sz w:val="28"/>
          <w:rtl/>
          <w:lang w:bidi="ar-SY"/>
        </w:rPr>
        <w:t xml:space="preserve"> أَنْتَ وَاللهِ خَيْرُ النَّاسِ</w:t>
      </w:r>
      <w:r w:rsidR="00217AB4" w:rsidRPr="00502770">
        <w:rPr>
          <w:rFonts w:ascii="Abo-thar" w:hAnsi="Abo-thar" w:cs="KFGQPC Uthman Taha Naskh" w:hint="cs"/>
          <w:b/>
          <w:bCs/>
          <w:sz w:val="28"/>
          <w:rtl/>
          <w:lang w:bidi="ar-SY"/>
        </w:rPr>
        <w:t>!</w:t>
      </w:r>
      <w:r w:rsidRPr="00502770">
        <w:rPr>
          <w:rFonts w:ascii="Abo-thar" w:hAnsi="Abo-thar" w:cs="KFGQPC Uthman Taha Naskh"/>
          <w:b/>
          <w:bCs/>
          <w:sz w:val="28"/>
          <w:rtl/>
          <w:lang w:bidi="ar-SY"/>
        </w:rPr>
        <w:t xml:space="preserve"> فَقَالَ لَهُ</w:t>
      </w:r>
      <w:r w:rsidR="00217AB4" w:rsidRPr="00502770">
        <w:rPr>
          <w:rFonts w:ascii="Abo-thar" w:hAnsi="Abo-thar" w:cs="KFGQPC Uthman Taha Naskh" w:hint="cs"/>
          <w:b/>
          <w:bCs/>
          <w:sz w:val="28"/>
          <w:rtl/>
          <w:lang w:bidi="ar-SY"/>
        </w:rPr>
        <w:t>:</w:t>
      </w:r>
      <w:r w:rsidRPr="00502770">
        <w:rPr>
          <w:rFonts w:ascii="Abo-thar" w:hAnsi="Abo-thar" w:cs="KFGQPC Uthman Taha Naskh"/>
          <w:b/>
          <w:bCs/>
          <w:sz w:val="28"/>
          <w:rtl/>
          <w:lang w:bidi="ar-SY"/>
        </w:rPr>
        <w:t xml:space="preserve"> لَا تَحْلِفْ يَا هَذَا</w:t>
      </w:r>
      <w:r w:rsidR="00217AB4" w:rsidRPr="00502770">
        <w:rPr>
          <w:rFonts w:ascii="Abo-thar" w:hAnsi="Abo-thar" w:cs="KFGQPC Uthman Taha Naskh" w:hint="cs"/>
          <w:b/>
          <w:bCs/>
          <w:sz w:val="28"/>
          <w:rtl/>
          <w:lang w:bidi="ar-SY"/>
        </w:rPr>
        <w:t>!</w:t>
      </w:r>
      <w:r w:rsidRPr="00502770">
        <w:rPr>
          <w:rFonts w:ascii="Abo-thar" w:hAnsi="Abo-thar" w:cs="KFGQPC Uthman Taha Naskh"/>
          <w:b/>
          <w:bCs/>
          <w:sz w:val="28"/>
          <w:rtl/>
          <w:lang w:bidi="ar-SY"/>
        </w:rPr>
        <w:t xml:space="preserve"> خَيْرٌ مِنِّي مَنْ كَانَ أَتْقَى لِـلَّهِ عَزَّ وَجَلَّ وَأَطْوَعَ لَهُ</w:t>
      </w:r>
      <w:r w:rsidR="00217AB4" w:rsidRPr="00502770">
        <w:rPr>
          <w:rFonts w:ascii="Abo-thar" w:hAnsi="Abo-thar" w:cs="KFGQPC Uthman Taha Naskh" w:hint="cs"/>
          <w:b/>
          <w:bCs/>
          <w:sz w:val="28"/>
          <w:rtl/>
          <w:lang w:bidi="ar-SY"/>
        </w:rPr>
        <w:t>.</w:t>
      </w:r>
      <w:r w:rsidRPr="00502770">
        <w:rPr>
          <w:rFonts w:ascii="Abo-thar" w:hAnsi="Abo-thar" w:cs="KFGQPC Uthman Taha Naskh"/>
          <w:b/>
          <w:bCs/>
          <w:sz w:val="28"/>
          <w:rtl/>
          <w:lang w:bidi="ar-SY"/>
        </w:rPr>
        <w:t xml:space="preserve"> وَاللهِ مَا نَسَخَتْ هَذِهِ الْآيَةَ آيَةٌ</w:t>
      </w:r>
      <w:r w:rsidR="00217AB4" w:rsidRPr="00502770">
        <w:rPr>
          <w:rFonts w:ascii="Abo-thar" w:hAnsi="Abo-thar" w:cs="KFGQPC Uthman Taha Naskh" w:hint="cs"/>
          <w:b/>
          <w:bCs/>
          <w:sz w:val="28"/>
          <w:rtl/>
          <w:lang w:bidi="ar-SY"/>
        </w:rPr>
        <w:t>:</w:t>
      </w:r>
      <w:r w:rsidR="00147857" w:rsidRPr="00502770">
        <w:rPr>
          <w:rFonts w:ascii="Abo-thar" w:hAnsi="Abo-thar" w:cs="KFGQPC Uthman Taha Naskh" w:hint="cs"/>
          <w:b/>
          <w:bCs/>
          <w:sz w:val="28"/>
          <w:rtl/>
          <w:lang w:bidi="ar-SY"/>
        </w:rPr>
        <w:t xml:space="preserve"> </w:t>
      </w:r>
      <w:r w:rsidR="00685363" w:rsidRPr="00502770">
        <w:rPr>
          <w:rFonts w:cs="Traditional Arabic"/>
          <w:rtl/>
          <w:lang w:bidi="fa-IR"/>
        </w:rPr>
        <w:t>﴿</w:t>
      </w:r>
      <w:r w:rsidR="00685363" w:rsidRPr="00502770">
        <w:rPr>
          <w:rFonts w:cs="KFGQPC Uthman Taha Naskh"/>
          <w:rtl/>
          <w:lang w:bidi="fa-IR"/>
        </w:rPr>
        <w:t>...</w:t>
      </w:r>
      <w:r w:rsidR="00685363" w:rsidRPr="005B684B">
        <w:rPr>
          <w:rStyle w:val="Char3"/>
          <w:rFonts w:hint="eastAsia"/>
          <w:b/>
          <w:bCs/>
          <w:rtl/>
        </w:rPr>
        <w:t>وَجَعَل</w:t>
      </w:r>
      <w:r w:rsidR="00685363" w:rsidRPr="005B684B">
        <w:rPr>
          <w:rStyle w:val="Char3"/>
          <w:rFonts w:hint="cs"/>
          <w:b/>
          <w:bCs/>
          <w:rtl/>
        </w:rPr>
        <w:t>ۡ</w:t>
      </w:r>
      <w:r w:rsidR="00685363" w:rsidRPr="005B684B">
        <w:rPr>
          <w:rStyle w:val="Char3"/>
          <w:rFonts w:hint="eastAsia"/>
          <w:b/>
          <w:bCs/>
          <w:rtl/>
        </w:rPr>
        <w:t>نَ</w:t>
      </w:r>
      <w:r w:rsidR="00685363" w:rsidRPr="005B684B">
        <w:rPr>
          <w:rStyle w:val="Char3"/>
          <w:rFonts w:hint="cs"/>
          <w:b/>
          <w:bCs/>
          <w:rtl/>
        </w:rPr>
        <w:t>ٰ</w:t>
      </w:r>
      <w:r w:rsidR="00685363" w:rsidRPr="005B684B">
        <w:rPr>
          <w:rStyle w:val="Char3"/>
          <w:rFonts w:hint="eastAsia"/>
          <w:b/>
          <w:bCs/>
          <w:rtl/>
        </w:rPr>
        <w:t>كُم</w:t>
      </w:r>
      <w:r w:rsidR="00685363" w:rsidRPr="005B684B">
        <w:rPr>
          <w:rStyle w:val="Char3"/>
          <w:rFonts w:hint="cs"/>
          <w:b/>
          <w:bCs/>
          <w:rtl/>
        </w:rPr>
        <w:t>ۡ</w:t>
      </w:r>
      <w:r w:rsidR="00685363" w:rsidRPr="005B684B">
        <w:rPr>
          <w:rStyle w:val="Char3"/>
          <w:b/>
          <w:bCs/>
          <w:rtl/>
        </w:rPr>
        <w:t xml:space="preserve"> </w:t>
      </w:r>
      <w:r w:rsidR="00685363" w:rsidRPr="005B684B">
        <w:rPr>
          <w:rStyle w:val="Char3"/>
          <w:rFonts w:hint="eastAsia"/>
          <w:b/>
          <w:bCs/>
          <w:rtl/>
        </w:rPr>
        <w:t>شُعُوب</w:t>
      </w:r>
      <w:r w:rsidR="00685363" w:rsidRPr="005B684B">
        <w:rPr>
          <w:rStyle w:val="Char3"/>
          <w:rFonts w:hint="cs"/>
          <w:b/>
          <w:bCs/>
          <w:rtl/>
        </w:rPr>
        <w:t>ٗ</w:t>
      </w:r>
      <w:r w:rsidR="00685363" w:rsidRPr="005B684B">
        <w:rPr>
          <w:rStyle w:val="Char3"/>
          <w:rFonts w:hint="eastAsia"/>
          <w:b/>
          <w:bCs/>
          <w:rtl/>
        </w:rPr>
        <w:t>ا</w:t>
      </w:r>
      <w:r w:rsidR="00685363" w:rsidRPr="005B684B">
        <w:rPr>
          <w:rStyle w:val="Char3"/>
          <w:b/>
          <w:bCs/>
          <w:rtl/>
        </w:rPr>
        <w:t xml:space="preserve"> </w:t>
      </w:r>
      <w:r w:rsidR="00685363" w:rsidRPr="005B684B">
        <w:rPr>
          <w:rStyle w:val="Char3"/>
          <w:rFonts w:hint="eastAsia"/>
          <w:b/>
          <w:bCs/>
          <w:rtl/>
        </w:rPr>
        <w:t>وَقَبَا</w:t>
      </w:r>
      <w:r w:rsidR="00685363" w:rsidRPr="005B684B">
        <w:rPr>
          <w:rStyle w:val="Char3"/>
          <w:rFonts w:hint="cs"/>
          <w:b/>
          <w:bCs/>
          <w:rtl/>
        </w:rPr>
        <w:t>ٓ</w:t>
      </w:r>
      <w:r w:rsidR="00685363" w:rsidRPr="005B684B">
        <w:rPr>
          <w:rStyle w:val="Char3"/>
          <w:rFonts w:hint="eastAsia"/>
          <w:b/>
          <w:bCs/>
          <w:rtl/>
        </w:rPr>
        <w:t>ئِلَ</w:t>
      </w:r>
      <w:r w:rsidR="00685363" w:rsidRPr="005B684B">
        <w:rPr>
          <w:rStyle w:val="Char3"/>
          <w:b/>
          <w:bCs/>
          <w:rtl/>
        </w:rPr>
        <w:t xml:space="preserve"> </w:t>
      </w:r>
      <w:r w:rsidR="00685363" w:rsidRPr="005B684B">
        <w:rPr>
          <w:rStyle w:val="Char3"/>
          <w:rFonts w:hint="eastAsia"/>
          <w:b/>
          <w:bCs/>
          <w:rtl/>
        </w:rPr>
        <w:t>لِتَعَارَفُو</w:t>
      </w:r>
      <w:r w:rsidR="00685363" w:rsidRPr="005B684B">
        <w:rPr>
          <w:rStyle w:val="Char3"/>
          <w:rFonts w:hint="cs"/>
          <w:b/>
          <w:bCs/>
          <w:rtl/>
        </w:rPr>
        <w:t>ٓ</w:t>
      </w:r>
      <w:r w:rsidR="00685363" w:rsidRPr="005B684B">
        <w:rPr>
          <w:rStyle w:val="Char3"/>
          <w:rFonts w:hint="eastAsia"/>
          <w:b/>
          <w:bCs/>
          <w:rtl/>
        </w:rPr>
        <w:t>اْ</w:t>
      </w:r>
      <w:r w:rsidR="00685363" w:rsidRPr="005B684B">
        <w:rPr>
          <w:rStyle w:val="Char3"/>
          <w:rFonts w:hint="cs"/>
          <w:b/>
          <w:bCs/>
          <w:rtl/>
        </w:rPr>
        <w:t>ۚ</w:t>
      </w:r>
      <w:r w:rsidR="00685363" w:rsidRPr="005B684B">
        <w:rPr>
          <w:rStyle w:val="Char3"/>
          <w:b/>
          <w:bCs/>
          <w:rtl/>
        </w:rPr>
        <w:t xml:space="preserve"> </w:t>
      </w:r>
      <w:r w:rsidR="00685363" w:rsidRPr="005B684B">
        <w:rPr>
          <w:rStyle w:val="Char3"/>
          <w:rFonts w:hint="eastAsia"/>
          <w:b/>
          <w:bCs/>
          <w:rtl/>
        </w:rPr>
        <w:t>إِنَّ</w:t>
      </w:r>
      <w:r w:rsidR="00685363" w:rsidRPr="005B684B">
        <w:rPr>
          <w:rStyle w:val="Char3"/>
          <w:b/>
          <w:bCs/>
          <w:rtl/>
        </w:rPr>
        <w:t xml:space="preserve"> </w:t>
      </w:r>
      <w:r w:rsidR="00685363" w:rsidRPr="005B684B">
        <w:rPr>
          <w:rStyle w:val="Char3"/>
          <w:rFonts w:hint="eastAsia"/>
          <w:b/>
          <w:bCs/>
          <w:rtl/>
        </w:rPr>
        <w:t>أَك</w:t>
      </w:r>
      <w:r w:rsidR="00685363" w:rsidRPr="005B684B">
        <w:rPr>
          <w:rStyle w:val="Char3"/>
          <w:rFonts w:hint="cs"/>
          <w:b/>
          <w:bCs/>
          <w:rtl/>
        </w:rPr>
        <w:t>ۡ</w:t>
      </w:r>
      <w:r w:rsidR="00685363" w:rsidRPr="005B684B">
        <w:rPr>
          <w:rStyle w:val="Char3"/>
          <w:rFonts w:hint="eastAsia"/>
          <w:b/>
          <w:bCs/>
          <w:rtl/>
        </w:rPr>
        <w:t>رَمَكُم</w:t>
      </w:r>
      <w:r w:rsidR="00685363" w:rsidRPr="005B684B">
        <w:rPr>
          <w:rStyle w:val="Char3"/>
          <w:rFonts w:hint="cs"/>
          <w:b/>
          <w:bCs/>
          <w:rtl/>
        </w:rPr>
        <w:t>ۡ</w:t>
      </w:r>
      <w:r w:rsidR="00685363" w:rsidRPr="005B684B">
        <w:rPr>
          <w:rStyle w:val="Char3"/>
          <w:b/>
          <w:bCs/>
          <w:rtl/>
        </w:rPr>
        <w:t xml:space="preserve"> </w:t>
      </w:r>
      <w:r w:rsidR="00685363" w:rsidRPr="005B684B">
        <w:rPr>
          <w:rStyle w:val="Char3"/>
          <w:rFonts w:hint="eastAsia"/>
          <w:b/>
          <w:bCs/>
          <w:rtl/>
        </w:rPr>
        <w:t>عِندَ</w:t>
      </w:r>
      <w:r w:rsidR="00685363" w:rsidRPr="005B684B">
        <w:rPr>
          <w:rStyle w:val="Char3"/>
          <w:b/>
          <w:bCs/>
          <w:rtl/>
        </w:rPr>
        <w:t xml:space="preserve"> </w:t>
      </w:r>
      <w:r w:rsidR="00685363" w:rsidRPr="005B684B">
        <w:rPr>
          <w:rStyle w:val="Char3"/>
          <w:rFonts w:hint="cs"/>
          <w:b/>
          <w:bCs/>
          <w:rtl/>
        </w:rPr>
        <w:t>ٱ</w:t>
      </w:r>
      <w:r w:rsidR="00685363" w:rsidRPr="005B684B">
        <w:rPr>
          <w:rStyle w:val="Char3"/>
          <w:rFonts w:hint="eastAsia"/>
          <w:b/>
          <w:bCs/>
          <w:rtl/>
        </w:rPr>
        <w:t>للَّهِ</w:t>
      </w:r>
      <w:r w:rsidR="00685363" w:rsidRPr="005B684B">
        <w:rPr>
          <w:rStyle w:val="Char3"/>
          <w:b/>
          <w:bCs/>
          <w:rtl/>
        </w:rPr>
        <w:t xml:space="preserve"> </w:t>
      </w:r>
      <w:r w:rsidR="00685363" w:rsidRPr="005B684B">
        <w:rPr>
          <w:rStyle w:val="Char3"/>
          <w:rFonts w:hint="eastAsia"/>
          <w:b/>
          <w:bCs/>
          <w:rtl/>
        </w:rPr>
        <w:t>أَت</w:t>
      </w:r>
      <w:r w:rsidR="00685363" w:rsidRPr="005B684B">
        <w:rPr>
          <w:rStyle w:val="Char3"/>
          <w:rFonts w:hint="cs"/>
          <w:b/>
          <w:bCs/>
          <w:rtl/>
        </w:rPr>
        <w:t>ۡ</w:t>
      </w:r>
      <w:r w:rsidR="00685363" w:rsidRPr="005B684B">
        <w:rPr>
          <w:rStyle w:val="Char3"/>
          <w:rFonts w:hint="eastAsia"/>
          <w:b/>
          <w:bCs/>
          <w:rtl/>
        </w:rPr>
        <w:t>قَى</w:t>
      </w:r>
      <w:r w:rsidR="00685363" w:rsidRPr="005B684B">
        <w:rPr>
          <w:rStyle w:val="Char3"/>
          <w:rFonts w:hint="cs"/>
          <w:b/>
          <w:bCs/>
          <w:rtl/>
        </w:rPr>
        <w:t>ٰ</w:t>
      </w:r>
      <w:r w:rsidR="00685363" w:rsidRPr="005B684B">
        <w:rPr>
          <w:rStyle w:val="Char3"/>
          <w:rFonts w:hint="eastAsia"/>
          <w:b/>
          <w:bCs/>
          <w:rtl/>
        </w:rPr>
        <w:t>كُم</w:t>
      </w:r>
      <w:r w:rsidR="00685363" w:rsidRPr="005B684B">
        <w:rPr>
          <w:rStyle w:val="Char3"/>
          <w:rFonts w:hint="cs"/>
          <w:b/>
          <w:bCs/>
          <w:rtl/>
        </w:rPr>
        <w:t>ۡ</w:t>
      </w:r>
      <w:r w:rsidR="00685363" w:rsidRPr="005B684B">
        <w:rPr>
          <w:rFonts w:ascii="KFGQPC Uthmanic Script HAFS" w:cs="Times New Roman" w:hint="cs"/>
          <w:b/>
          <w:bCs/>
          <w:rtl/>
        </w:rPr>
        <w:t>...</w:t>
      </w:r>
      <w:r w:rsidR="00685363" w:rsidRPr="005B684B">
        <w:rPr>
          <w:rFonts w:cs="Traditional Arabic"/>
          <w:b/>
          <w:bCs/>
          <w:rtl/>
          <w:lang w:bidi="fa-IR"/>
        </w:rPr>
        <w:t>﴾</w:t>
      </w:r>
      <w:r w:rsidRPr="00502770">
        <w:rPr>
          <w:rFonts w:ascii="Abo-thar" w:hAnsi="Abo-thar" w:hint="cs"/>
          <w:b/>
          <w:bCs/>
          <w:sz w:val="28"/>
          <w:rtl/>
          <w:lang w:bidi="ar-SY"/>
        </w:rPr>
        <w:t xml:space="preserve"> </w:t>
      </w:r>
      <w:r w:rsidRPr="00502770">
        <w:rPr>
          <w:rStyle w:val="Char2"/>
          <w:rFonts w:hint="cs"/>
          <w:rtl/>
        </w:rPr>
        <w:t>[الحجرات</w:t>
      </w:r>
      <w:r w:rsidR="00685363" w:rsidRPr="00502770">
        <w:rPr>
          <w:rStyle w:val="Char2"/>
          <w:rFonts w:hint="cs"/>
          <w:rtl/>
        </w:rPr>
        <w:t xml:space="preserve">: </w:t>
      </w:r>
      <w:r w:rsidRPr="00502770">
        <w:rPr>
          <w:rStyle w:val="Char2"/>
          <w:rFonts w:hint="cs"/>
          <w:rtl/>
        </w:rPr>
        <w:t>13]</w:t>
      </w:r>
      <w:r w:rsidR="00EF2588" w:rsidRPr="00502770">
        <w:rPr>
          <w:rFonts w:ascii="Abo-thar" w:hAnsi="Abo-thar" w:hint="cs"/>
          <w:sz w:val="28"/>
          <w:rtl/>
          <w:lang w:bidi="ar-SY"/>
        </w:rPr>
        <w:t>»</w:t>
      </w:r>
      <w:r w:rsidR="00652969" w:rsidRPr="00502770">
        <w:rPr>
          <w:rStyle w:val="FootnoteReference"/>
          <w:rFonts w:cs="Arabic11 BT"/>
          <w:b/>
          <w:sz w:val="28"/>
          <w:rtl/>
        </w:rPr>
        <w:t>(</w:t>
      </w:r>
      <w:r w:rsidR="00652969" w:rsidRPr="00502770">
        <w:rPr>
          <w:rStyle w:val="FootnoteReference"/>
          <w:rFonts w:cs="Arabic11 BT"/>
          <w:b/>
          <w:sz w:val="28"/>
          <w:rtl/>
        </w:rPr>
        <w:footnoteReference w:id="116"/>
      </w:r>
      <w:r w:rsidR="00652969" w:rsidRPr="00502770">
        <w:rPr>
          <w:rStyle w:val="FootnoteReference"/>
          <w:rFonts w:cs="Arabic11 BT"/>
          <w:b/>
          <w:sz w:val="28"/>
          <w:rtl/>
        </w:rPr>
        <w:t>)</w:t>
      </w:r>
      <w:r w:rsidR="00217AB4" w:rsidRPr="00502770">
        <w:rPr>
          <w:rFonts w:ascii="Abo-thar" w:hAnsi="Abo-thar" w:hint="cs"/>
          <w:sz w:val="28"/>
          <w:rtl/>
          <w:lang w:bidi="ar-SY"/>
        </w:rPr>
        <w:t>.</w:t>
      </w:r>
      <w:r w:rsidRPr="00502770">
        <w:rPr>
          <w:rFonts w:ascii="Abo-thar" w:hAnsi="Abo-thar" w:hint="cs"/>
          <w:sz w:val="28"/>
          <w:rtl/>
          <w:lang w:bidi="ar-SY"/>
        </w:rPr>
        <w:t xml:space="preserve"> </w:t>
      </w:r>
    </w:p>
    <w:p w:rsidR="005C664D" w:rsidRPr="003F3B94" w:rsidRDefault="005C664D" w:rsidP="003F3B94">
      <w:pPr>
        <w:pStyle w:val="a0"/>
        <w:rPr>
          <w:rFonts w:hint="cs"/>
          <w:rtl/>
          <w:lang w:bidi="ar-SY"/>
        </w:rPr>
      </w:pPr>
      <w:r w:rsidRPr="003F3B94">
        <w:rPr>
          <w:rFonts w:ascii="Abo-thar" w:hAnsi="Abo-thar" w:hint="cs"/>
          <w:sz w:val="28"/>
          <w:rtl/>
          <w:lang w:bidi="ar-SY"/>
        </w:rPr>
        <w:t>إن هذه الأحاديث الشريفة تدل على أنه لا يوجد بين أبناء الإسلام أي امتياز وأفضلية من حيث الع</w:t>
      </w:r>
      <w:r w:rsidR="005B684B">
        <w:rPr>
          <w:rFonts w:ascii="Abo-thar" w:hAnsi="Abo-thar" w:hint="cs"/>
          <w:sz w:val="28"/>
          <w:rtl/>
          <w:lang w:bidi="ar-SY"/>
        </w:rPr>
        <w:t>ِ</w:t>
      </w:r>
      <w:r w:rsidRPr="003F3B94">
        <w:rPr>
          <w:rFonts w:ascii="Abo-thar" w:hAnsi="Abo-thar" w:hint="cs"/>
          <w:sz w:val="28"/>
          <w:rtl/>
          <w:lang w:bidi="ar-SY"/>
        </w:rPr>
        <w:t>رق والنسب</w:t>
      </w:r>
      <w:r w:rsidR="00217AB4" w:rsidRPr="003F3B94">
        <w:rPr>
          <w:rFonts w:ascii="Abo-thar" w:hAnsi="Abo-thar" w:hint="cs"/>
          <w:sz w:val="28"/>
          <w:rtl/>
          <w:lang w:bidi="ar-SY"/>
        </w:rPr>
        <w:t>،</w:t>
      </w:r>
      <w:r w:rsidRPr="003F3B94">
        <w:rPr>
          <w:rFonts w:ascii="Abo-thar" w:hAnsi="Abo-thar" w:hint="cs"/>
          <w:sz w:val="28"/>
          <w:rtl/>
          <w:lang w:bidi="ar-SY"/>
        </w:rPr>
        <w:t xml:space="preserve"> وأن مثل هذه الموهومات لا قيمة لها أصلاً في دين الإسلام لأن ملاك الفضيلة في نظر الإسلام هو التقوى وعبادة الله</w:t>
      </w:r>
      <w:r w:rsidR="00217AB4" w:rsidRPr="003F3B94">
        <w:rPr>
          <w:rFonts w:ascii="Abo-thar" w:hAnsi="Abo-thar" w:hint="cs"/>
          <w:sz w:val="28"/>
          <w:rtl/>
          <w:lang w:bidi="ar-SY"/>
        </w:rPr>
        <w:t>.</w:t>
      </w:r>
      <w:r w:rsidR="00147857" w:rsidRPr="003F3B94">
        <w:rPr>
          <w:rFonts w:ascii="Abo-thar" w:hAnsi="Abo-thar" w:hint="cs"/>
          <w:sz w:val="28"/>
          <w:rtl/>
          <w:lang w:bidi="ar-SY"/>
        </w:rPr>
        <w:t xml:space="preserve"> </w:t>
      </w:r>
      <w:r w:rsidRPr="003F3B94">
        <w:rPr>
          <w:rFonts w:ascii="Abo-thar" w:hAnsi="Abo-thar" w:hint="cs"/>
          <w:sz w:val="28"/>
          <w:rtl/>
          <w:lang w:bidi="ar-SY"/>
        </w:rPr>
        <w:t>وهناك أكثر من مائة حديث آخر في هذا المضمون أو المعنى وهي أحاديث يؤيد صحتها القرآن الذي هو ميزان الصحة ودليلها</w:t>
      </w:r>
      <w:r w:rsidR="00217AB4" w:rsidRPr="003F3B94">
        <w:rPr>
          <w:rFonts w:ascii="Abo-thar" w:hAnsi="Abo-thar" w:hint="cs"/>
          <w:sz w:val="28"/>
          <w:rtl/>
          <w:lang w:bidi="ar-SY"/>
        </w:rPr>
        <w:t>،</w:t>
      </w:r>
      <w:r w:rsidRPr="003F3B94">
        <w:rPr>
          <w:rFonts w:ascii="Abo-thar" w:hAnsi="Abo-thar" w:hint="cs"/>
          <w:sz w:val="28"/>
          <w:rtl/>
          <w:lang w:bidi="ar-SY"/>
        </w:rPr>
        <w:t xml:space="preserve"> ولكن ليس في مقدورنا للأسف أن نذكر كل تلك الأحاديث خشية الإطالة</w:t>
      </w:r>
      <w:r w:rsidR="00217AB4" w:rsidRPr="003F3B94">
        <w:rPr>
          <w:rFonts w:ascii="Abo-thar" w:hAnsi="Abo-thar" w:hint="cs"/>
          <w:sz w:val="28"/>
          <w:rtl/>
          <w:lang w:bidi="ar-SY"/>
        </w:rPr>
        <w:t>،</w:t>
      </w:r>
      <w:r w:rsidR="00147857" w:rsidRPr="003F3B94">
        <w:rPr>
          <w:rFonts w:ascii="Abo-thar" w:hAnsi="Abo-thar" w:hint="cs"/>
          <w:sz w:val="28"/>
          <w:rtl/>
          <w:lang w:bidi="ar-SY"/>
        </w:rPr>
        <w:t xml:space="preserve"> </w:t>
      </w:r>
      <w:r w:rsidRPr="003F3B94">
        <w:rPr>
          <w:rFonts w:ascii="Abo-thar" w:hAnsi="Abo-thar" w:hint="cs"/>
          <w:sz w:val="28"/>
          <w:rtl/>
          <w:lang w:bidi="ar-SY"/>
        </w:rPr>
        <w:t>فسأكتفي كعادتي وسيرتي في كل مبحث بعشرة نماذج</w:t>
      </w:r>
      <w:r w:rsidR="00217AB4" w:rsidRPr="003F3B94">
        <w:rPr>
          <w:rFonts w:ascii="Abo-thar" w:hAnsi="Abo-thar" w:hint="cs"/>
          <w:sz w:val="28"/>
          <w:rtl/>
          <w:lang w:bidi="ar-SY"/>
        </w:rPr>
        <w:t>،</w:t>
      </w:r>
      <w:r w:rsidRPr="003F3B94">
        <w:rPr>
          <w:rFonts w:ascii="Abo-thar" w:hAnsi="Abo-thar" w:hint="cs"/>
          <w:sz w:val="28"/>
          <w:rtl/>
          <w:lang w:bidi="ar-SY"/>
        </w:rPr>
        <w:t xml:space="preserve"> تلك عَشَرَةٌ كامِلَةٌ</w:t>
      </w:r>
      <w:r w:rsidR="00217AB4" w:rsidRPr="003F3B94">
        <w:rPr>
          <w:rFonts w:ascii="Abo-thar" w:hAnsi="Abo-thar" w:hint="cs"/>
          <w:sz w:val="28"/>
          <w:rtl/>
          <w:lang w:bidi="ar-SY"/>
        </w:rPr>
        <w:t>.</w:t>
      </w:r>
      <w:r w:rsidRPr="003F3B94">
        <w:rPr>
          <w:rFonts w:ascii="Abo-thar" w:hAnsi="Abo-thar" w:hint="cs"/>
          <w:sz w:val="28"/>
          <w:rtl/>
          <w:lang w:bidi="ar-SY"/>
        </w:rPr>
        <w:t xml:space="preserve"> وللأسف فإن مثل هذا التمييز والتفاخر العرقي قد شاع أخيراً بشدة بين شعوب العالم حتى المتحضرة منها وراج للأسف تحت اسم القومية </w:t>
      </w:r>
      <w:r w:rsidR="00217AB4" w:rsidRPr="003F3B94">
        <w:rPr>
          <w:rFonts w:ascii="Abo-thar" w:hAnsi="Abo-thar" w:hint="cs"/>
          <w:sz w:val="28"/>
          <w:rtl/>
          <w:lang w:bidi="ar-SY"/>
        </w:rPr>
        <w:t>(</w:t>
      </w:r>
      <w:r w:rsidRPr="003F3B94">
        <w:rPr>
          <w:rFonts w:ascii="Abo-thar" w:hAnsi="Abo-thar" w:hint="cs"/>
          <w:sz w:val="28"/>
          <w:rtl/>
          <w:lang w:bidi="ar-SY"/>
        </w:rPr>
        <w:t>العنصريَّة</w:t>
      </w:r>
      <w:r w:rsidR="00217AB4" w:rsidRPr="003F3B94">
        <w:rPr>
          <w:rFonts w:ascii="Abo-thar" w:hAnsi="Abo-thar" w:hint="cs"/>
          <w:sz w:val="28"/>
          <w:rtl/>
          <w:lang w:bidi="ar-SY"/>
        </w:rPr>
        <w:t>)</w:t>
      </w:r>
      <w:r w:rsidRPr="003F3B94">
        <w:rPr>
          <w:rFonts w:ascii="Abo-thar" w:hAnsi="Abo-thar" w:hint="cs"/>
          <w:sz w:val="28"/>
          <w:rtl/>
          <w:lang w:bidi="ar-SY"/>
        </w:rPr>
        <w:t xml:space="preserve"> بين أمة الإسلام أيضاً</w:t>
      </w:r>
      <w:r w:rsidR="00217AB4" w:rsidRPr="003F3B94">
        <w:rPr>
          <w:rFonts w:ascii="Abo-thar" w:hAnsi="Abo-thar" w:hint="cs"/>
          <w:sz w:val="28"/>
          <w:rtl/>
          <w:lang w:bidi="ar-SY"/>
        </w:rPr>
        <w:t>،</w:t>
      </w:r>
      <w:r w:rsidRPr="003F3B94">
        <w:rPr>
          <w:rFonts w:ascii="Abo-thar" w:hAnsi="Abo-thar" w:hint="cs"/>
          <w:sz w:val="28"/>
          <w:rtl/>
          <w:lang w:bidi="ar-SY"/>
        </w:rPr>
        <w:t xml:space="preserve"> خاصّة بين العرب</w:t>
      </w:r>
      <w:r w:rsidR="00217AB4" w:rsidRPr="003F3B94">
        <w:rPr>
          <w:rFonts w:ascii="Abo-thar" w:hAnsi="Abo-thar" w:hint="cs"/>
          <w:sz w:val="28"/>
          <w:rtl/>
          <w:lang w:bidi="ar-SY"/>
        </w:rPr>
        <w:t>،</w:t>
      </w:r>
      <w:r w:rsidRPr="003F3B94">
        <w:rPr>
          <w:rFonts w:ascii="Abo-thar" w:hAnsi="Abo-thar" w:hint="cs"/>
          <w:sz w:val="28"/>
          <w:rtl/>
          <w:lang w:bidi="ar-SY"/>
        </w:rPr>
        <w:t xml:space="preserve"> مع أن هذا يتنافى مع تعاليم الإسلام ويخالفها</w:t>
      </w:r>
      <w:r w:rsidR="00217AB4" w:rsidRPr="003F3B94">
        <w:rPr>
          <w:rFonts w:ascii="Abo-thar" w:hAnsi="Abo-thar" w:hint="cs"/>
          <w:sz w:val="28"/>
          <w:rtl/>
          <w:lang w:bidi="ar-SY"/>
        </w:rPr>
        <w:t>،</w:t>
      </w:r>
      <w:r w:rsidRPr="003F3B94">
        <w:rPr>
          <w:rFonts w:ascii="Abo-thar" w:hAnsi="Abo-thar" w:hint="cs"/>
          <w:sz w:val="28"/>
          <w:rtl/>
          <w:lang w:bidi="ar-SY"/>
        </w:rPr>
        <w:t xml:space="preserve"> وجميع الملل والأديان الحقَّة ترفض مثل هذا التمايز العرقي وتردّه</w:t>
      </w:r>
      <w:r w:rsidR="00217AB4" w:rsidRPr="0021507A">
        <w:rPr>
          <w:rFonts w:cs="Arabic11 BT"/>
          <w:b/>
          <w:sz w:val="28"/>
          <w:vertAlign w:val="superscript"/>
          <w:rtl/>
          <w:lang w:bidi="ar-SY"/>
        </w:rPr>
        <w:t>(</w:t>
      </w:r>
      <w:r w:rsidRPr="0021507A">
        <w:rPr>
          <w:rStyle w:val="FootnoteReference"/>
          <w:rFonts w:cs="Arabic11 BT"/>
          <w:b/>
          <w:sz w:val="28"/>
          <w:rtl/>
          <w:lang w:bidi="ar-SY"/>
        </w:rPr>
        <w:footnoteReference w:id="117"/>
      </w:r>
      <w:r w:rsidR="00217AB4" w:rsidRPr="0021507A">
        <w:rPr>
          <w:rFonts w:cs="Arabic11 BT"/>
          <w:b/>
          <w:sz w:val="28"/>
          <w:vertAlign w:val="superscript"/>
          <w:rtl/>
          <w:lang w:bidi="ar-SY"/>
        </w:rPr>
        <w:t>)</w:t>
      </w:r>
      <w:r w:rsidR="00217AB4" w:rsidRPr="003F3B94">
        <w:rPr>
          <w:rFonts w:ascii="Abo-thar" w:hAnsi="Abo-thar" w:hint="cs"/>
          <w:sz w:val="28"/>
          <w:rtl/>
          <w:lang w:bidi="ar-SY"/>
        </w:rPr>
        <w:t>.</w:t>
      </w:r>
    </w:p>
    <w:p w:rsidR="005C664D" w:rsidRPr="003F3B94" w:rsidRDefault="005C664D" w:rsidP="003F3B94">
      <w:pPr>
        <w:pStyle w:val="a0"/>
        <w:rPr>
          <w:rFonts w:hint="cs"/>
          <w:rtl/>
          <w:lang w:bidi="ar-SY"/>
        </w:rPr>
      </w:pPr>
      <w:r w:rsidRPr="003F3B94">
        <w:rPr>
          <w:rFonts w:ascii="Abo-thar" w:hAnsi="Abo-thar" w:hint="cs"/>
          <w:sz w:val="28"/>
          <w:rtl/>
          <w:lang w:bidi="ar-SY"/>
        </w:rPr>
        <w:t>وربما قال البعض إن هذا الامتياز الخاص الذي منح لبني هاشم هو امتياز مالي محض ولا علاقة له بأي تمييز عرقي ونسبي مما ألغاه الإسلام وأبطله</w:t>
      </w:r>
      <w:r w:rsidR="00217AB4" w:rsidRPr="003F3B94">
        <w:rPr>
          <w:rFonts w:ascii="Abo-thar" w:hAnsi="Abo-thar" w:hint="cs"/>
          <w:sz w:val="28"/>
          <w:rtl/>
          <w:lang w:bidi="ar-SY"/>
        </w:rPr>
        <w:t>،</w:t>
      </w:r>
      <w:r w:rsidRPr="003F3B94">
        <w:rPr>
          <w:rFonts w:ascii="Abo-thar" w:hAnsi="Abo-thar" w:hint="cs"/>
          <w:sz w:val="28"/>
          <w:rtl/>
          <w:lang w:bidi="ar-SY"/>
        </w:rPr>
        <w:t xml:space="preserve"> فأقول</w:t>
      </w:r>
      <w:r w:rsidR="00217AB4" w:rsidRPr="003F3B94">
        <w:rPr>
          <w:rFonts w:ascii="Abo-thar" w:hAnsi="Abo-thar" w:hint="cs"/>
          <w:sz w:val="28"/>
          <w:rtl/>
          <w:lang w:bidi="ar-SY"/>
        </w:rPr>
        <w:t>:</w:t>
      </w:r>
      <w:r w:rsidRPr="003F3B94">
        <w:rPr>
          <w:rFonts w:ascii="Abo-thar" w:hAnsi="Abo-thar" w:hint="cs"/>
          <w:sz w:val="28"/>
          <w:rtl/>
          <w:lang w:bidi="ar-SY"/>
        </w:rPr>
        <w:t xml:space="preserve"> رغم أنه من البعيد أن يقول شخص عاقل بمثل هذا القول لأن من الواضح تماماً أن هذا التمييز الماليّ الخاص الذي منح لهذه العشيرة أو الأسرة إنما منح لها بناء على أصلها العرقي ونسبها الخاص</w:t>
      </w:r>
      <w:r w:rsidR="00217AB4" w:rsidRPr="003F3B94">
        <w:rPr>
          <w:rFonts w:ascii="Abo-thar" w:hAnsi="Abo-thar" w:hint="cs"/>
          <w:sz w:val="28"/>
          <w:rtl/>
          <w:lang w:bidi="ar-SY"/>
        </w:rPr>
        <w:t>،</w:t>
      </w:r>
      <w:r w:rsidR="00147857" w:rsidRPr="003F3B94">
        <w:rPr>
          <w:rFonts w:ascii="Abo-thar" w:hAnsi="Abo-thar" w:hint="cs"/>
          <w:sz w:val="28"/>
          <w:rtl/>
          <w:lang w:bidi="ar-SY"/>
        </w:rPr>
        <w:t xml:space="preserve"> و</w:t>
      </w:r>
      <w:r w:rsidRPr="003F3B94">
        <w:rPr>
          <w:rFonts w:ascii="Abo-thar" w:hAnsi="Abo-thar" w:hint="cs"/>
          <w:sz w:val="28"/>
          <w:rtl/>
          <w:lang w:bidi="ar-SY"/>
        </w:rPr>
        <w:t>القائلون بذلك يرون في ذلك النسب فضيلة كبيرة أوجبت ذلك التمييز</w:t>
      </w:r>
      <w:r w:rsidR="00217AB4" w:rsidRPr="003F3B94">
        <w:rPr>
          <w:rFonts w:ascii="Abo-thar" w:hAnsi="Abo-thar" w:hint="cs"/>
          <w:sz w:val="28"/>
          <w:rtl/>
          <w:lang w:bidi="ar-SY"/>
        </w:rPr>
        <w:t>،</w:t>
      </w:r>
      <w:r w:rsidRPr="003F3B94">
        <w:rPr>
          <w:rFonts w:ascii="Abo-thar" w:hAnsi="Abo-thar" w:hint="cs"/>
          <w:sz w:val="28"/>
          <w:rtl/>
          <w:lang w:bidi="ar-SY"/>
        </w:rPr>
        <w:t xml:space="preserve"> فلا معنى للقول بأنه تمييز مالي محض</w:t>
      </w:r>
      <w:r w:rsidR="00217AB4" w:rsidRPr="003F3B94">
        <w:rPr>
          <w:rFonts w:ascii="Abo-thar" w:hAnsi="Abo-thar" w:hint="cs"/>
          <w:sz w:val="28"/>
          <w:rtl/>
          <w:lang w:bidi="ar-SY"/>
        </w:rPr>
        <w:t>،</w:t>
      </w:r>
      <w:r w:rsidRPr="003F3B94">
        <w:rPr>
          <w:rFonts w:ascii="Abo-thar" w:hAnsi="Abo-thar" w:hint="cs"/>
          <w:sz w:val="28"/>
          <w:rtl/>
          <w:lang w:bidi="ar-SY"/>
        </w:rPr>
        <w:t xml:space="preserve"> ومع ذلك نقول ما يلي رداً على هذا الادعاء</w:t>
      </w:r>
      <w:r w:rsidR="00217AB4" w:rsidRPr="003F3B94">
        <w:rPr>
          <w:rFonts w:ascii="Abo-thar" w:hAnsi="Abo-thar" w:hint="cs"/>
          <w:sz w:val="28"/>
          <w:rtl/>
          <w:lang w:bidi="ar-SY"/>
        </w:rPr>
        <w:t>:</w:t>
      </w:r>
    </w:p>
    <w:p w:rsidR="005C664D" w:rsidRPr="003F3B94" w:rsidRDefault="005C664D" w:rsidP="00502770">
      <w:pPr>
        <w:pStyle w:val="a0"/>
        <w:rPr>
          <w:rFonts w:hint="cs"/>
          <w:rtl/>
          <w:lang w:bidi="ar-SY"/>
        </w:rPr>
      </w:pPr>
      <w:r w:rsidRPr="003F3B94">
        <w:rPr>
          <w:rFonts w:ascii="Abo-thar" w:hAnsi="Abo-thar" w:hint="cs"/>
          <w:sz w:val="28"/>
          <w:rtl/>
          <w:lang w:bidi="ar-SY"/>
        </w:rPr>
        <w:t>إن التاريخ</w:t>
      </w:r>
      <w:r w:rsidR="00147857" w:rsidRPr="003F3B94">
        <w:rPr>
          <w:rFonts w:ascii="Abo-thar" w:hAnsi="Abo-thar" w:hint="cs"/>
          <w:sz w:val="28"/>
          <w:rtl/>
          <w:lang w:bidi="ar-SY"/>
        </w:rPr>
        <w:t xml:space="preserve"> و</w:t>
      </w:r>
      <w:r w:rsidRPr="003F3B94">
        <w:rPr>
          <w:rFonts w:ascii="Abo-thar" w:hAnsi="Abo-thar" w:hint="cs"/>
          <w:sz w:val="28"/>
          <w:rtl/>
          <w:lang w:bidi="ar-SY"/>
        </w:rPr>
        <w:t>سيرة النبي</w:t>
      </w:r>
      <w:r w:rsidR="00147857" w:rsidRPr="003F3B94">
        <w:rPr>
          <w:rFonts w:ascii="Abo-thar" w:hAnsi="Abo-thar" w:hint="cs"/>
          <w:sz w:val="28"/>
          <w:rtl/>
          <w:lang w:bidi="ar-SY"/>
        </w:rPr>
        <w:t xml:space="preserve"> </w:t>
      </w:r>
      <w:r w:rsidR="003C7AEB" w:rsidRPr="003C7AEB">
        <w:rPr>
          <w:rFonts w:ascii="Abo-thar" w:hAnsi="Abo-thar" w:cs="CTraditional Arabic"/>
          <w:sz w:val="28"/>
          <w:rtl/>
          <w:lang w:bidi="ar-SY"/>
        </w:rPr>
        <w:t>ص</w:t>
      </w:r>
      <w:r w:rsidR="00147857" w:rsidRPr="003F3B94">
        <w:rPr>
          <w:rFonts w:ascii="Abo-thar" w:hAnsi="Abo-thar"/>
          <w:sz w:val="28"/>
          <w:rtl/>
          <w:lang w:bidi="ar-SY"/>
        </w:rPr>
        <w:t xml:space="preserve"> </w:t>
      </w:r>
      <w:r w:rsidRPr="003F3B94">
        <w:rPr>
          <w:rFonts w:ascii="Abo-thar" w:hAnsi="Abo-thar" w:hint="cs"/>
          <w:sz w:val="28"/>
          <w:rtl/>
          <w:lang w:bidi="ar-SY"/>
        </w:rPr>
        <w:t>كلاهما يشهدان بأن بني هاشم لم يكن لهم في صدر الإسلام أي أفضلية وتمييز ماليٍّ على غيرهم من الناس</w:t>
      </w:r>
      <w:r w:rsidR="00217AB4" w:rsidRPr="003F3B94">
        <w:rPr>
          <w:rFonts w:ascii="Abo-thar" w:hAnsi="Abo-thar" w:hint="cs"/>
          <w:sz w:val="28"/>
          <w:rtl/>
          <w:lang w:bidi="ar-SY"/>
        </w:rPr>
        <w:t>،</w:t>
      </w:r>
      <w:r w:rsidRPr="003F3B94">
        <w:rPr>
          <w:rFonts w:ascii="Abo-thar" w:hAnsi="Abo-thar" w:hint="cs"/>
          <w:sz w:val="28"/>
          <w:rtl/>
          <w:lang w:bidi="ar-SY"/>
        </w:rPr>
        <w:t xml:space="preserve"> وإذا رأينا أن رسول الله</w:t>
      </w:r>
      <w:r w:rsidR="00147857" w:rsidRPr="003F3B94">
        <w:rPr>
          <w:rFonts w:ascii="Abo-thar" w:hAnsi="Abo-thar" w:hint="cs"/>
          <w:sz w:val="28"/>
          <w:rtl/>
          <w:lang w:bidi="ar-SY"/>
        </w:rPr>
        <w:t xml:space="preserve"> </w:t>
      </w:r>
      <w:r w:rsidR="003C7AEB" w:rsidRPr="003C7AEB">
        <w:rPr>
          <w:rFonts w:ascii="Abo-thar" w:hAnsi="Abo-thar" w:cs="CTraditional Arabic"/>
          <w:sz w:val="28"/>
          <w:rtl/>
          <w:lang w:bidi="ar-SY"/>
        </w:rPr>
        <w:t>ص</w:t>
      </w:r>
      <w:r w:rsidR="00147857" w:rsidRPr="003F3B94">
        <w:rPr>
          <w:rFonts w:ascii="Abo-thar" w:hAnsi="Abo-thar"/>
          <w:sz w:val="28"/>
          <w:rtl/>
          <w:lang w:bidi="ar-SY"/>
        </w:rPr>
        <w:t xml:space="preserve"> </w:t>
      </w:r>
      <w:r w:rsidRPr="003F3B94">
        <w:rPr>
          <w:rFonts w:ascii="Abo-thar" w:hAnsi="Abo-thar" w:hint="cs"/>
          <w:sz w:val="28"/>
          <w:rtl/>
          <w:lang w:bidi="ar-SY"/>
        </w:rPr>
        <w:t>يعطي أحياناً بعض من يمتّ إليه بصلة قرابة من خمس الغنائم</w:t>
      </w:r>
      <w:r w:rsidR="00217AB4" w:rsidRPr="003F3B94">
        <w:rPr>
          <w:rFonts w:ascii="Abo-thar" w:hAnsi="Abo-thar" w:hint="cs"/>
          <w:sz w:val="28"/>
          <w:rtl/>
          <w:lang w:bidi="ar-SY"/>
        </w:rPr>
        <w:t>،</w:t>
      </w:r>
      <w:r w:rsidRPr="003F3B94">
        <w:rPr>
          <w:rFonts w:ascii="Abo-thar" w:hAnsi="Abo-thar" w:hint="cs"/>
          <w:sz w:val="28"/>
          <w:rtl/>
          <w:lang w:bidi="ar-SY"/>
        </w:rPr>
        <w:t xml:space="preserve"> فإن ذلك لم يكن بسبب قرابته له</w:t>
      </w:r>
      <w:r w:rsidR="00217AB4" w:rsidRPr="003F3B94">
        <w:rPr>
          <w:rFonts w:ascii="Abo-thar" w:hAnsi="Abo-thar" w:hint="cs"/>
          <w:sz w:val="28"/>
          <w:rtl/>
          <w:lang w:bidi="ar-SY"/>
        </w:rPr>
        <w:t>،</w:t>
      </w:r>
      <w:r w:rsidRPr="003F3B94">
        <w:rPr>
          <w:rFonts w:ascii="Abo-thar" w:hAnsi="Abo-thar" w:hint="cs"/>
          <w:sz w:val="28"/>
          <w:rtl/>
          <w:lang w:bidi="ar-SY"/>
        </w:rPr>
        <w:t xml:space="preserve"> بل كما أوضحنا في الصفحات الماضية</w:t>
      </w:r>
      <w:r w:rsidR="00217AB4" w:rsidRPr="003F3B94">
        <w:rPr>
          <w:rFonts w:ascii="Abo-thar" w:hAnsi="Abo-thar" w:hint="cs"/>
          <w:sz w:val="28"/>
          <w:rtl/>
          <w:lang w:bidi="ar-SY"/>
        </w:rPr>
        <w:t>،</w:t>
      </w:r>
      <w:r w:rsidRPr="003F3B94">
        <w:rPr>
          <w:rFonts w:ascii="Abo-thar" w:hAnsi="Abo-thar" w:hint="cs"/>
          <w:sz w:val="28"/>
          <w:rtl/>
          <w:lang w:bidi="ar-SY"/>
        </w:rPr>
        <w:t xml:space="preserve"> بل كان رسول الله</w:t>
      </w:r>
      <w:r w:rsidR="00147857" w:rsidRPr="003F3B94">
        <w:rPr>
          <w:rFonts w:ascii="Abo-thar" w:hAnsi="Abo-thar" w:hint="cs"/>
          <w:sz w:val="28"/>
          <w:rtl/>
          <w:lang w:bidi="ar-SY"/>
        </w:rPr>
        <w:t xml:space="preserve"> </w:t>
      </w:r>
      <w:r w:rsidR="003C7AEB" w:rsidRPr="003C7AEB">
        <w:rPr>
          <w:rFonts w:ascii="Abo-thar" w:hAnsi="Abo-thar" w:cs="CTraditional Arabic"/>
          <w:sz w:val="28"/>
          <w:rtl/>
          <w:lang w:bidi="ar-SY"/>
        </w:rPr>
        <w:t>ص</w:t>
      </w:r>
      <w:r w:rsidR="00147857" w:rsidRPr="003F3B94">
        <w:rPr>
          <w:rFonts w:ascii="Abo-thar" w:hAnsi="Abo-thar"/>
          <w:sz w:val="28"/>
          <w:rtl/>
          <w:lang w:bidi="ar-SY"/>
        </w:rPr>
        <w:t xml:space="preserve"> </w:t>
      </w:r>
      <w:r w:rsidRPr="003F3B94">
        <w:rPr>
          <w:rFonts w:ascii="Abo-thar" w:hAnsi="Abo-thar" w:hint="cs"/>
          <w:sz w:val="28"/>
          <w:rtl/>
          <w:lang w:bidi="ar-SY"/>
        </w:rPr>
        <w:t>يقسم خمسه بين أقربائه</w:t>
      </w:r>
      <w:r w:rsidR="00147857" w:rsidRPr="003F3B94">
        <w:rPr>
          <w:rFonts w:ascii="Abo-thar" w:hAnsi="Abo-thar" w:hint="cs"/>
          <w:sz w:val="28"/>
          <w:rtl/>
          <w:lang w:bidi="ar-SY"/>
        </w:rPr>
        <w:t xml:space="preserve"> و</w:t>
      </w:r>
      <w:r w:rsidRPr="003F3B94">
        <w:rPr>
          <w:rFonts w:ascii="Abo-thar" w:hAnsi="Abo-thar" w:hint="cs"/>
          <w:sz w:val="28"/>
          <w:rtl/>
          <w:lang w:bidi="ar-SY"/>
        </w:rPr>
        <w:t>زوجاته وجميع المستحقين من الرجال والنساء من المسلمين</w:t>
      </w:r>
      <w:r w:rsidR="00217AB4" w:rsidRPr="003F3B94">
        <w:rPr>
          <w:rFonts w:ascii="Abo-thar" w:hAnsi="Abo-thar" w:hint="cs"/>
          <w:sz w:val="28"/>
          <w:rtl/>
          <w:lang w:bidi="ar-SY"/>
        </w:rPr>
        <w:t>،</w:t>
      </w:r>
      <w:r w:rsidRPr="003F3B94">
        <w:rPr>
          <w:rFonts w:ascii="Abo-thar" w:hAnsi="Abo-thar" w:hint="cs"/>
          <w:sz w:val="28"/>
          <w:rtl/>
          <w:lang w:bidi="ar-SY"/>
        </w:rPr>
        <w:t xml:space="preserve"> وفي هذا الإطار مثلاً </w:t>
      </w:r>
      <w:r w:rsidRPr="00502770">
        <w:rPr>
          <w:rFonts w:ascii="Abo-thar" w:hAnsi="Abo-thar" w:cs="KFGQPC Uthman Taha Naskh"/>
          <w:b/>
          <w:bCs/>
          <w:sz w:val="28"/>
          <w:rtl/>
          <w:lang w:bidi="ar-SY"/>
        </w:rPr>
        <w:t>قَسَمَ رَسُولُ اللهِ</w:t>
      </w:r>
      <w:r w:rsidR="00147857" w:rsidRPr="003F3B94">
        <w:rPr>
          <w:rFonts w:ascii="Abo-thar" w:hAnsi="Abo-thar"/>
          <w:b/>
          <w:bCs/>
          <w:sz w:val="28"/>
          <w:rtl/>
          <w:lang w:bidi="ar-SY"/>
        </w:rPr>
        <w:t xml:space="preserve"> </w:t>
      </w:r>
      <w:r w:rsidR="003C7AEB" w:rsidRPr="003C7AEB">
        <w:rPr>
          <w:rFonts w:ascii="Abo-thar" w:hAnsi="Abo-thar" w:cs="CTraditional Arabic"/>
          <w:sz w:val="28"/>
          <w:rtl/>
          <w:lang w:bidi="ar-SY"/>
        </w:rPr>
        <w:t>ص</w:t>
      </w:r>
      <w:r w:rsidR="00147857" w:rsidRPr="003F3B94">
        <w:rPr>
          <w:rFonts w:ascii="Abo-thar" w:hAnsi="Abo-thar"/>
          <w:sz w:val="28"/>
          <w:rtl/>
          <w:lang w:bidi="ar-SY"/>
        </w:rPr>
        <w:t xml:space="preserve"> </w:t>
      </w:r>
      <w:r w:rsidRPr="00502770">
        <w:rPr>
          <w:rFonts w:ascii="Abo-thar" w:hAnsi="Abo-thar" w:cs="KFGQPC Uthman Taha Naskh"/>
          <w:b/>
          <w:bCs/>
          <w:sz w:val="28"/>
          <w:rtl/>
          <w:lang w:bidi="ar-SY"/>
        </w:rPr>
        <w:t>لاِبْنَتِهِ فَاطِمَةَ</w:t>
      </w:r>
      <w:r w:rsidR="008B3243" w:rsidRPr="008B3243">
        <w:rPr>
          <w:rFonts w:ascii="Abo-thar" w:hAnsi="Abo-thar" w:cs="CTraditional Arabic"/>
          <w:b/>
          <w:sz w:val="28"/>
          <w:rtl/>
          <w:lang w:bidi="ar-SY"/>
        </w:rPr>
        <w:t>‘</w:t>
      </w:r>
      <w:r w:rsidRPr="003F3B94">
        <w:rPr>
          <w:rFonts w:ascii="Abo-thar" w:hAnsi="Abo-thar"/>
          <w:b/>
          <w:bCs/>
          <w:sz w:val="28"/>
          <w:rtl/>
          <w:lang w:bidi="ar-SY"/>
        </w:rPr>
        <w:t xml:space="preserve"> </w:t>
      </w:r>
      <w:r w:rsidRPr="00502770">
        <w:rPr>
          <w:rFonts w:ascii="Abo-thar" w:hAnsi="Abo-thar" w:cs="KFGQPC Uthman Taha Naskh"/>
          <w:b/>
          <w:bCs/>
          <w:sz w:val="28"/>
          <w:rtl/>
          <w:lang w:bidi="ar-SY"/>
        </w:rPr>
        <w:t>مِئَتَىْ وَسْقٍ وَلِعَلِىِّ بْنِ أَبِى طَالِبٍ مِ</w:t>
      </w:r>
      <w:r w:rsidR="00755AAC">
        <w:rPr>
          <w:rFonts w:ascii="Abo-thar" w:hAnsi="Abo-thar" w:cs="KFGQPC Uthman Taha Naskh" w:hint="cs"/>
          <w:b/>
          <w:bCs/>
          <w:sz w:val="28"/>
          <w:rtl/>
          <w:lang w:bidi="ar-SY"/>
        </w:rPr>
        <w:t>ا</w:t>
      </w:r>
      <w:r w:rsidRPr="00502770">
        <w:rPr>
          <w:rFonts w:ascii="Abo-thar" w:hAnsi="Abo-thar" w:cs="KFGQPC Uthman Taha Naskh"/>
          <w:b/>
          <w:bCs/>
          <w:sz w:val="28"/>
          <w:rtl/>
          <w:lang w:bidi="ar-SY"/>
        </w:rPr>
        <w:t xml:space="preserve">ئَةَ وَسْقٍ وَلأُسَامَةَ بْنِ زَيْدٍ مِئَتَى وَسْقٍ مِنْهَا خَمْسُونَ وَسْقًا نَوًى </w:t>
      </w:r>
      <w:r w:rsidRPr="00502770">
        <w:rPr>
          <w:rFonts w:cs="Times New Roman" w:hint="cs"/>
          <w:b/>
          <w:bCs/>
          <w:sz w:val="28"/>
          <w:rtl/>
          <w:lang w:bidi="ar-SY"/>
        </w:rPr>
        <w:t>–</w:t>
      </w:r>
      <w:r w:rsidRPr="00502770">
        <w:rPr>
          <w:rFonts w:ascii="Abo-thar" w:hAnsi="Abo-thar" w:cs="KFGQPC Uthman Taha Naskh" w:hint="cs"/>
          <w:b/>
          <w:bCs/>
          <w:sz w:val="28"/>
          <w:rtl/>
          <w:lang w:bidi="ar-SY"/>
        </w:rPr>
        <w:t xml:space="preserve"> هذا مع أن لم يكن من بني هاشم ولا حتى من قريش أصلاً </w:t>
      </w:r>
      <w:r w:rsidRPr="00502770">
        <w:rPr>
          <w:rFonts w:cs="Times New Roman" w:hint="cs"/>
          <w:b/>
          <w:bCs/>
          <w:sz w:val="28"/>
          <w:rtl/>
          <w:lang w:bidi="ar-SY"/>
        </w:rPr>
        <w:t>–</w:t>
      </w:r>
      <w:r w:rsidRPr="00502770">
        <w:rPr>
          <w:rFonts w:ascii="Abo-thar" w:hAnsi="Abo-thar" w:cs="KFGQPC Uthman Taha Naskh" w:hint="cs"/>
          <w:b/>
          <w:bCs/>
          <w:sz w:val="28"/>
          <w:rtl/>
          <w:lang w:bidi="ar-SY"/>
        </w:rPr>
        <w:t xml:space="preserve"> </w:t>
      </w:r>
      <w:r w:rsidRPr="00502770">
        <w:rPr>
          <w:rFonts w:ascii="Abo-thar" w:hAnsi="Abo-thar" w:cs="KFGQPC Uthman Taha Naskh"/>
          <w:b/>
          <w:bCs/>
          <w:sz w:val="28"/>
          <w:rtl/>
          <w:lang w:bidi="ar-SY"/>
        </w:rPr>
        <w:t>وَ</w:t>
      </w:r>
      <w:r w:rsidRPr="00502770">
        <w:rPr>
          <w:rFonts w:ascii="Abo-thar" w:hAnsi="Abo-thar" w:cs="KFGQPC Uthman Taha Naskh" w:hint="cs"/>
          <w:b/>
          <w:bCs/>
          <w:sz w:val="28"/>
          <w:rtl/>
          <w:lang w:bidi="ar-SY"/>
        </w:rPr>
        <w:t xml:space="preserve">قَسَمَ كَذَلِكَ </w:t>
      </w:r>
      <w:r w:rsidRPr="00502770">
        <w:rPr>
          <w:rFonts w:ascii="Abo-thar" w:hAnsi="Abo-thar" w:cs="KFGQPC Uthman Taha Naskh"/>
          <w:b/>
          <w:bCs/>
          <w:sz w:val="28"/>
          <w:rtl/>
          <w:lang w:bidi="ar-SY"/>
        </w:rPr>
        <w:t xml:space="preserve">لِعِيسَى بْنِ نُقِيمٍ مِئَتَىْ وَسْقٍ وَلأَبِى بَكْرٍ </w:t>
      </w:r>
      <w:r w:rsidRPr="00502770">
        <w:rPr>
          <w:rFonts w:ascii="Abo-thar" w:hAnsi="Abo-thar" w:cs="KFGQPC Uthman Taha Naskh"/>
          <w:sz w:val="28"/>
          <w:rtl/>
          <w:lang w:bidi="ar-SY"/>
        </w:rPr>
        <w:t xml:space="preserve">بْنِ أَبِي قُحَافَةَ </w:t>
      </w:r>
      <w:r w:rsidRPr="00502770">
        <w:rPr>
          <w:rFonts w:ascii="Abo-thar" w:hAnsi="Abo-thar" w:cs="KFGQPC Uthman Taha Naskh"/>
          <w:b/>
          <w:bCs/>
          <w:sz w:val="28"/>
          <w:rtl/>
          <w:lang w:bidi="ar-SY"/>
        </w:rPr>
        <w:t xml:space="preserve">مِائَتَىْ وَسْقٍ </w:t>
      </w:r>
      <w:r w:rsidRPr="00502770">
        <w:rPr>
          <w:rFonts w:ascii="Abo-thar" w:hAnsi="Abo-thar" w:cs="KFGQPC Uthman Taha Naskh" w:hint="cs"/>
          <w:b/>
          <w:bCs/>
          <w:sz w:val="28"/>
          <w:rtl/>
          <w:lang w:bidi="ar-SY"/>
        </w:rPr>
        <w:t>وذكروا</w:t>
      </w:r>
      <w:r w:rsidRPr="00502770">
        <w:rPr>
          <w:rFonts w:ascii="Abo-thar" w:hAnsi="Abo-thar" w:cs="KFGQPC Uthman Taha Naskh"/>
          <w:b/>
          <w:bCs/>
          <w:sz w:val="28"/>
          <w:rtl/>
          <w:lang w:bidi="ar-SY"/>
        </w:rPr>
        <w:t xml:space="preserve"> جَمَاعَةً مِنَ الرِّجَالِ وَالنِّسَاءِ قَسَمَ لَـهُمْ مِنْهَا</w:t>
      </w:r>
      <w:r w:rsidR="00217AB4" w:rsidRPr="0021507A">
        <w:rPr>
          <w:rFonts w:cs="Arabic11 BT"/>
          <w:b/>
          <w:sz w:val="28"/>
          <w:vertAlign w:val="superscript"/>
          <w:rtl/>
          <w:lang w:bidi="ar-SY"/>
        </w:rPr>
        <w:t>(</w:t>
      </w:r>
      <w:r w:rsidRPr="0021507A">
        <w:rPr>
          <w:rStyle w:val="FootnoteReference"/>
          <w:rFonts w:cs="Arabic11 BT"/>
          <w:b/>
          <w:sz w:val="28"/>
          <w:rtl/>
          <w:lang w:bidi="ar-SY"/>
        </w:rPr>
        <w:footnoteReference w:id="118"/>
      </w:r>
      <w:r w:rsidR="00217AB4" w:rsidRPr="0021507A">
        <w:rPr>
          <w:rFonts w:cs="Arabic11 BT"/>
          <w:b/>
          <w:sz w:val="28"/>
          <w:vertAlign w:val="superscript"/>
          <w:rtl/>
          <w:lang w:bidi="ar-SY"/>
        </w:rPr>
        <w:t>)</w:t>
      </w:r>
      <w:r w:rsidR="00217AB4" w:rsidRPr="003F3B94">
        <w:rPr>
          <w:rFonts w:ascii="Abo-thar" w:hAnsi="Abo-thar" w:hint="cs"/>
          <w:b/>
          <w:bCs/>
          <w:sz w:val="28"/>
          <w:rtl/>
          <w:lang w:bidi="ar-SY"/>
        </w:rPr>
        <w:t>،</w:t>
      </w:r>
      <w:r w:rsidRPr="003F3B94">
        <w:rPr>
          <w:rFonts w:ascii="Abo-thar" w:hAnsi="Abo-thar" w:hint="cs"/>
          <w:sz w:val="28"/>
          <w:rtl/>
          <w:lang w:bidi="ar-SY"/>
        </w:rPr>
        <w:t xml:space="preserve"> وفعل الأمر ذاته في تقسيم غنائم هوازن وحنين حيث </w:t>
      </w:r>
      <w:r w:rsidRPr="003F3B94">
        <w:rPr>
          <w:rFonts w:ascii="Abo-thar" w:hAnsi="Abo-thar"/>
          <w:sz w:val="28"/>
          <w:rtl/>
          <w:lang w:bidi="ar-SY"/>
        </w:rPr>
        <w:t>أعطى رسول الله</w:t>
      </w:r>
      <w:r w:rsidR="00147857" w:rsidRPr="003F3B94">
        <w:rPr>
          <w:rFonts w:ascii="Abo-thar" w:hAnsi="Abo-thar"/>
          <w:sz w:val="28"/>
          <w:rtl/>
          <w:lang w:bidi="ar-SY"/>
        </w:rPr>
        <w:t xml:space="preserve"> </w:t>
      </w:r>
      <w:r w:rsidR="003C7AEB" w:rsidRPr="003C7AEB">
        <w:rPr>
          <w:rFonts w:ascii="Abo-thar" w:hAnsi="Abo-thar" w:cs="CTraditional Arabic"/>
          <w:sz w:val="28"/>
          <w:rtl/>
          <w:lang w:bidi="ar-SY"/>
        </w:rPr>
        <w:t>ص</w:t>
      </w:r>
      <w:r w:rsidR="00147857" w:rsidRPr="003F3B94">
        <w:rPr>
          <w:rFonts w:ascii="Abo-thar" w:hAnsi="Abo-thar"/>
          <w:sz w:val="28"/>
          <w:rtl/>
          <w:lang w:bidi="ar-SY"/>
        </w:rPr>
        <w:t xml:space="preserve"> </w:t>
      </w:r>
      <w:r w:rsidRPr="003F3B94">
        <w:rPr>
          <w:rFonts w:ascii="Abo-thar" w:hAnsi="Abo-thar"/>
          <w:sz w:val="28"/>
          <w:rtl/>
          <w:lang w:bidi="ar-SY"/>
        </w:rPr>
        <w:t>المؤلفة قلوبهم وكانوا أشرافا</w:t>
      </w:r>
      <w:r w:rsidRPr="003F3B94">
        <w:rPr>
          <w:rFonts w:ascii="Abo-thar" w:hAnsi="Abo-thar" w:hint="cs"/>
          <w:sz w:val="28"/>
          <w:rtl/>
          <w:lang w:bidi="ar-SY"/>
        </w:rPr>
        <w:t>ً</w:t>
      </w:r>
      <w:r w:rsidRPr="003F3B94">
        <w:rPr>
          <w:rFonts w:ascii="Abo-thar" w:hAnsi="Abo-thar"/>
          <w:sz w:val="28"/>
          <w:rtl/>
          <w:lang w:bidi="ar-SY"/>
        </w:rPr>
        <w:t xml:space="preserve"> من أشراف الناس يتألفهم ويتألف بهم قومهم </w:t>
      </w:r>
      <w:r w:rsidRPr="003F3B94">
        <w:rPr>
          <w:rFonts w:ascii="Abo-thar" w:hAnsi="Abo-thar"/>
          <w:b/>
          <w:bCs/>
          <w:sz w:val="28"/>
          <w:rtl/>
          <w:lang w:bidi="ar-SY"/>
        </w:rPr>
        <w:t xml:space="preserve">فأعطى أبا سفيان بن حرب مائة بعير وأعطى ابنه معاوية مائة بعير وأعطى </w:t>
      </w:r>
      <w:r w:rsidRPr="003F3B94">
        <w:rPr>
          <w:rFonts w:ascii="Abo-thar" w:hAnsi="Abo-thar" w:hint="cs"/>
          <w:b/>
          <w:bCs/>
          <w:sz w:val="28"/>
          <w:rtl/>
          <w:lang w:bidi="ar-SY"/>
        </w:rPr>
        <w:t>يزيد بن أبي سفيان مائة بعير وأعطى عباس بن مرداس خمسين بعيراً</w:t>
      </w:r>
      <w:r w:rsidR="00217AB4" w:rsidRPr="0021507A">
        <w:rPr>
          <w:rFonts w:cs="Arabic11 BT"/>
          <w:b/>
          <w:sz w:val="28"/>
          <w:vertAlign w:val="superscript"/>
          <w:rtl/>
          <w:lang w:bidi="ar-SY"/>
        </w:rPr>
        <w:t>(</w:t>
      </w:r>
      <w:r w:rsidRPr="0021507A">
        <w:rPr>
          <w:rStyle w:val="FootnoteReference"/>
          <w:rFonts w:cs="Arabic11 BT"/>
          <w:b/>
          <w:sz w:val="28"/>
          <w:rtl/>
          <w:lang w:bidi="ar-SY"/>
        </w:rPr>
        <w:footnoteReference w:id="119"/>
      </w:r>
      <w:r w:rsidR="00217AB4" w:rsidRPr="0021507A">
        <w:rPr>
          <w:rFonts w:cs="Arabic11 BT"/>
          <w:b/>
          <w:sz w:val="28"/>
          <w:vertAlign w:val="superscript"/>
          <w:rtl/>
          <w:lang w:bidi="ar-SY"/>
        </w:rPr>
        <w:t>)</w:t>
      </w:r>
      <w:r w:rsidR="00217AB4" w:rsidRPr="003F3B94">
        <w:rPr>
          <w:sz w:val="28"/>
          <w:rtl/>
          <w:lang w:bidi="ar-SY"/>
        </w:rPr>
        <w:t>،</w:t>
      </w:r>
      <w:r w:rsidRPr="003F3B94">
        <w:rPr>
          <w:rFonts w:ascii="Abo-thar" w:hAnsi="Abo-thar" w:hint="cs"/>
          <w:sz w:val="28"/>
          <w:rtl/>
          <w:lang w:bidi="ar-SY"/>
        </w:rPr>
        <w:t xml:space="preserve"> وبعد رسول الله</w:t>
      </w:r>
      <w:r w:rsidR="00147857" w:rsidRPr="003F3B94">
        <w:rPr>
          <w:rFonts w:ascii="Abo-thar" w:hAnsi="Abo-thar" w:hint="cs"/>
          <w:sz w:val="28"/>
          <w:rtl/>
          <w:lang w:bidi="ar-SY"/>
        </w:rPr>
        <w:t xml:space="preserve"> </w:t>
      </w:r>
      <w:r w:rsidR="003C7AEB" w:rsidRPr="003C7AEB">
        <w:rPr>
          <w:rFonts w:ascii="Abo-thar" w:hAnsi="Abo-thar" w:cs="CTraditional Arabic"/>
          <w:sz w:val="28"/>
          <w:rtl/>
          <w:lang w:bidi="ar-SY"/>
        </w:rPr>
        <w:t>ص</w:t>
      </w:r>
      <w:r w:rsidR="00147857" w:rsidRPr="003F3B94">
        <w:rPr>
          <w:rFonts w:ascii="Abo-thar" w:hAnsi="Abo-thar"/>
          <w:sz w:val="28"/>
          <w:rtl/>
          <w:lang w:bidi="ar-SY"/>
        </w:rPr>
        <w:t xml:space="preserve"> </w:t>
      </w:r>
      <w:r w:rsidRPr="003F3B94">
        <w:rPr>
          <w:rFonts w:ascii="Abo-thar" w:hAnsi="Abo-thar" w:hint="cs"/>
          <w:sz w:val="28"/>
          <w:rtl/>
          <w:lang w:bidi="ar-SY"/>
        </w:rPr>
        <w:t xml:space="preserve">لم يكن لبني هشام خلال جميع الحكومات المتعاقبة </w:t>
      </w:r>
      <w:r w:rsidRPr="003F3B94">
        <w:rPr>
          <w:rFonts w:cs="Times New Roman" w:hint="cs"/>
          <w:sz w:val="28"/>
          <w:rtl/>
          <w:lang w:bidi="ar-SY"/>
        </w:rPr>
        <w:t>–</w:t>
      </w:r>
      <w:r w:rsidRPr="003F3B94">
        <w:rPr>
          <w:rFonts w:ascii="Abo-thar" w:hAnsi="Abo-thar" w:hint="cs"/>
          <w:sz w:val="28"/>
          <w:rtl/>
          <w:lang w:bidi="ar-SY"/>
        </w:rPr>
        <w:t xml:space="preserve"> سواء كانت حكومات حقّ أم باطل </w:t>
      </w:r>
      <w:r w:rsidRPr="003F3B94">
        <w:rPr>
          <w:rFonts w:cs="Times New Roman" w:hint="cs"/>
          <w:sz w:val="28"/>
          <w:rtl/>
          <w:lang w:bidi="ar-SY"/>
        </w:rPr>
        <w:t>–</w:t>
      </w:r>
      <w:r w:rsidRPr="003F3B94">
        <w:rPr>
          <w:rFonts w:ascii="Abo-thar" w:hAnsi="Abo-thar" w:hint="cs"/>
          <w:sz w:val="28"/>
          <w:rtl/>
          <w:lang w:bidi="ar-SY"/>
        </w:rPr>
        <w:t xml:space="preserve"> أي سهم ماليٍّ خاصٍّ ينالونه لمجرد كونهم من أسرة النبي</w:t>
      </w:r>
      <w:r w:rsidR="00147857" w:rsidRPr="003F3B94">
        <w:rPr>
          <w:rFonts w:ascii="Abo-thar" w:hAnsi="Abo-thar" w:hint="cs"/>
          <w:sz w:val="28"/>
          <w:rtl/>
          <w:lang w:bidi="ar-SY"/>
        </w:rPr>
        <w:t xml:space="preserve"> </w:t>
      </w:r>
      <w:r w:rsidR="003C7AEB" w:rsidRPr="003C7AEB">
        <w:rPr>
          <w:rFonts w:ascii="Abo-thar" w:hAnsi="Abo-thar" w:cs="CTraditional Arabic"/>
          <w:sz w:val="28"/>
          <w:rtl/>
          <w:lang w:bidi="ar-SY"/>
        </w:rPr>
        <w:t>ص</w:t>
      </w:r>
      <w:r w:rsidR="00147857" w:rsidRPr="003F3B94">
        <w:rPr>
          <w:rFonts w:ascii="Abo-thar" w:hAnsi="Abo-thar"/>
          <w:sz w:val="28"/>
          <w:rtl/>
          <w:lang w:bidi="ar-SY"/>
        </w:rPr>
        <w:t xml:space="preserve"> </w:t>
      </w:r>
      <w:r w:rsidRPr="003F3B94">
        <w:rPr>
          <w:rFonts w:ascii="Abo-thar" w:hAnsi="Abo-thar" w:hint="cs"/>
          <w:sz w:val="28"/>
          <w:rtl/>
          <w:lang w:bidi="ar-SY"/>
        </w:rPr>
        <w:t>وانتسابهم لبني هاشم</w:t>
      </w:r>
      <w:r w:rsidR="00217AB4" w:rsidRPr="003F3B94">
        <w:rPr>
          <w:rFonts w:ascii="Abo-thar" w:hAnsi="Abo-thar" w:hint="cs"/>
          <w:sz w:val="28"/>
          <w:rtl/>
          <w:lang w:bidi="ar-SY"/>
        </w:rPr>
        <w:t>.</w:t>
      </w:r>
    </w:p>
    <w:p w:rsidR="005C664D" w:rsidRPr="003F3B94" w:rsidRDefault="005C664D" w:rsidP="003F3B94">
      <w:pPr>
        <w:pStyle w:val="a0"/>
        <w:rPr>
          <w:rFonts w:hint="cs"/>
          <w:rtl/>
          <w:lang w:bidi="ar-SY"/>
        </w:rPr>
      </w:pPr>
      <w:r w:rsidRPr="003F3B94">
        <w:rPr>
          <w:rFonts w:ascii="Abo-thar" w:hAnsi="Abo-thar" w:hint="cs"/>
          <w:sz w:val="28"/>
          <w:rtl/>
          <w:lang w:bidi="ar-SY"/>
        </w:rPr>
        <w:t>وإذا وجدنا أنه في زمن عمر عندما دوَّن الدواوين وفرض العطايا ف</w:t>
      </w:r>
      <w:r w:rsidRPr="003F3B94">
        <w:rPr>
          <w:rFonts w:ascii="Abo-thar" w:hAnsi="Abo-thar"/>
          <w:sz w:val="28"/>
          <w:rtl/>
          <w:lang w:bidi="ar-SY"/>
        </w:rPr>
        <w:t>أعطى العطايا على السابقة</w:t>
      </w:r>
      <w:r w:rsidRPr="003F3B94">
        <w:rPr>
          <w:rFonts w:ascii="Abo-thar" w:hAnsi="Abo-thar" w:hint="cs"/>
          <w:sz w:val="28"/>
          <w:rtl/>
          <w:lang w:bidi="ar-SY"/>
        </w:rPr>
        <w:t xml:space="preserve"> في الإسلام والمنزلة في الدين فأعطى زوجات النبي</w:t>
      </w:r>
      <w:r w:rsidR="00147857" w:rsidRPr="003F3B94">
        <w:rPr>
          <w:rFonts w:ascii="Abo-thar" w:hAnsi="Abo-thar" w:hint="cs"/>
          <w:sz w:val="28"/>
          <w:rtl/>
          <w:lang w:bidi="ar-SY"/>
        </w:rPr>
        <w:t xml:space="preserve"> و</w:t>
      </w:r>
      <w:r w:rsidRPr="003F3B94">
        <w:rPr>
          <w:rFonts w:ascii="Abo-thar" w:hAnsi="Abo-thar" w:hint="cs"/>
          <w:sz w:val="28"/>
          <w:rtl/>
          <w:lang w:bidi="ar-SY"/>
        </w:rPr>
        <w:t>أقاربه</w:t>
      </w:r>
      <w:r w:rsidR="00147857" w:rsidRPr="003F3B94">
        <w:rPr>
          <w:rFonts w:ascii="Abo-thar" w:hAnsi="Abo-thar" w:hint="cs"/>
          <w:sz w:val="28"/>
          <w:rtl/>
          <w:lang w:bidi="ar-SY"/>
        </w:rPr>
        <w:t xml:space="preserve"> </w:t>
      </w:r>
      <w:r w:rsidR="003C7AEB" w:rsidRPr="003C7AEB">
        <w:rPr>
          <w:rFonts w:ascii="Abo-thar" w:hAnsi="Abo-thar" w:cs="CTraditional Arabic"/>
          <w:sz w:val="28"/>
          <w:rtl/>
          <w:lang w:bidi="ar-SY"/>
        </w:rPr>
        <w:t>ص</w:t>
      </w:r>
      <w:r w:rsidR="00147857" w:rsidRPr="003F3B94">
        <w:rPr>
          <w:rFonts w:ascii="Abo-thar" w:hAnsi="Abo-thar"/>
          <w:sz w:val="28"/>
          <w:rtl/>
          <w:lang w:bidi="ar-SY"/>
        </w:rPr>
        <w:t xml:space="preserve"> </w:t>
      </w:r>
      <w:r w:rsidRPr="003F3B94">
        <w:rPr>
          <w:rFonts w:ascii="Abo-thar" w:hAnsi="Abo-thar" w:hint="cs"/>
          <w:sz w:val="28"/>
          <w:rtl/>
          <w:lang w:bidi="ar-SY"/>
        </w:rPr>
        <w:t>أكثر من غيرهم</w:t>
      </w:r>
      <w:r w:rsidR="00217AB4" w:rsidRPr="003F3B94">
        <w:rPr>
          <w:rFonts w:ascii="Abo-thar" w:hAnsi="Abo-thar" w:hint="cs"/>
          <w:sz w:val="28"/>
          <w:rtl/>
          <w:lang w:bidi="ar-SY"/>
        </w:rPr>
        <w:t>،</w:t>
      </w:r>
      <w:r w:rsidRPr="003F3B94">
        <w:rPr>
          <w:rFonts w:ascii="Abo-thar" w:hAnsi="Abo-thar" w:hint="cs"/>
          <w:sz w:val="28"/>
          <w:rtl/>
          <w:lang w:bidi="ar-SY"/>
        </w:rPr>
        <w:t xml:space="preserve"> فإن عمله هذا كان مخالفاً بشكل واضح لروح المساواة في شريعة الإسلام وقد ذكر المؤرخون أنه ندم على عمله هذا في آخر عمره</w:t>
      </w:r>
      <w:r w:rsidR="00147857" w:rsidRPr="003F3B94">
        <w:rPr>
          <w:rFonts w:ascii="Abo-thar" w:hAnsi="Abo-thar" w:hint="cs"/>
          <w:sz w:val="28"/>
          <w:rtl/>
          <w:lang w:bidi="ar-SY"/>
        </w:rPr>
        <w:t xml:space="preserve"> و</w:t>
      </w:r>
      <w:r w:rsidRPr="003F3B94">
        <w:rPr>
          <w:rFonts w:ascii="Abo-thar" w:hAnsi="Abo-thar" w:hint="cs"/>
          <w:sz w:val="28"/>
          <w:rtl/>
          <w:lang w:bidi="ar-SY"/>
        </w:rPr>
        <w:t>رغب في تغيير تلك السنة الخاطئة ولكن الأجل لم يُمْهِلْهُ</w:t>
      </w:r>
      <w:r w:rsidR="00217AB4" w:rsidRPr="003F3B94">
        <w:rPr>
          <w:rFonts w:ascii="Abo-thar" w:hAnsi="Abo-thar" w:hint="cs"/>
          <w:sz w:val="28"/>
          <w:rtl/>
          <w:lang w:bidi="ar-SY"/>
        </w:rPr>
        <w:t>.</w:t>
      </w:r>
      <w:r w:rsidRPr="003F3B94">
        <w:rPr>
          <w:rFonts w:ascii="Abo-thar" w:hAnsi="Abo-thar" w:hint="cs"/>
          <w:sz w:val="28"/>
          <w:rtl/>
          <w:lang w:bidi="ar-SY"/>
        </w:rPr>
        <w:t xml:space="preserve"> وفي حكومة أمير المؤمنين علي بن أبي طالب</w:t>
      </w:r>
      <w:r w:rsidR="00147857" w:rsidRPr="003F3B94">
        <w:rPr>
          <w:rFonts w:ascii="Abo-thar" w:hAnsi="Abo-thar" w:hint="cs"/>
          <w:sz w:val="28"/>
          <w:rtl/>
          <w:lang w:bidi="ar-SY"/>
        </w:rPr>
        <w:t xml:space="preserve"> </w:t>
      </w:r>
      <w:r w:rsidR="003C7AEB" w:rsidRPr="003C7AEB">
        <w:rPr>
          <w:rFonts w:ascii="Abo-thar" w:hAnsi="Abo-thar" w:cs="CTraditional Arabic"/>
          <w:sz w:val="28"/>
          <w:rtl/>
          <w:lang w:bidi="ar-SY"/>
        </w:rPr>
        <w:t>÷</w:t>
      </w:r>
      <w:r w:rsidR="00147857" w:rsidRPr="003F3B94">
        <w:rPr>
          <w:rFonts w:ascii="Abo-thar" w:hAnsi="Abo-thar"/>
          <w:sz w:val="28"/>
          <w:rtl/>
          <w:lang w:bidi="ar-SY"/>
        </w:rPr>
        <w:t xml:space="preserve"> </w:t>
      </w:r>
      <w:r w:rsidRPr="003F3B94">
        <w:rPr>
          <w:rFonts w:ascii="Abo-thar" w:hAnsi="Abo-thar" w:hint="cs"/>
          <w:sz w:val="28"/>
          <w:rtl/>
          <w:lang w:bidi="ar-SY"/>
        </w:rPr>
        <w:t>لم يكن لأحد من بني هاشم أدنى تميُّز على سائر المسلمين في أي شيء</w:t>
      </w:r>
      <w:r w:rsidR="00217AB4" w:rsidRPr="003F3B94">
        <w:rPr>
          <w:rFonts w:ascii="Abo-thar" w:hAnsi="Abo-thar" w:hint="cs"/>
          <w:sz w:val="28"/>
          <w:rtl/>
          <w:lang w:bidi="ar-SY"/>
        </w:rPr>
        <w:t>،</w:t>
      </w:r>
      <w:r w:rsidRPr="003F3B94">
        <w:rPr>
          <w:rFonts w:ascii="Abo-thar" w:hAnsi="Abo-thar" w:hint="cs"/>
          <w:sz w:val="28"/>
          <w:rtl/>
          <w:lang w:bidi="ar-SY"/>
        </w:rPr>
        <w:t xml:space="preserve"> ولا غرو فقد كان عليٌّ تابعاً لدين الله عَزّ وَجَلّ</w:t>
      </w:r>
      <w:r w:rsidR="00217AB4" w:rsidRPr="003F3B94">
        <w:rPr>
          <w:rFonts w:ascii="Abo-thar" w:hAnsi="Abo-thar" w:hint="cs"/>
          <w:sz w:val="28"/>
          <w:rtl/>
          <w:lang w:bidi="ar-SY"/>
        </w:rPr>
        <w:t>،</w:t>
      </w:r>
      <w:r w:rsidRPr="003F3B94">
        <w:rPr>
          <w:rFonts w:ascii="Abo-thar" w:hAnsi="Abo-thar" w:hint="cs"/>
          <w:sz w:val="28"/>
          <w:rtl/>
          <w:lang w:bidi="ar-SY"/>
        </w:rPr>
        <w:t xml:space="preserve"> ومطيعاً لرسول الله</w:t>
      </w:r>
      <w:r w:rsidR="00147857" w:rsidRPr="003F3B94">
        <w:rPr>
          <w:rFonts w:ascii="Abo-thar" w:hAnsi="Abo-thar" w:hint="cs"/>
          <w:sz w:val="28"/>
          <w:rtl/>
          <w:lang w:bidi="ar-SY"/>
        </w:rPr>
        <w:t xml:space="preserve"> </w:t>
      </w:r>
      <w:r w:rsidR="003C7AEB" w:rsidRPr="003C7AEB">
        <w:rPr>
          <w:rFonts w:ascii="Abo-thar" w:hAnsi="Abo-thar" w:cs="CTraditional Arabic"/>
          <w:sz w:val="28"/>
          <w:rtl/>
          <w:lang w:bidi="ar-SY"/>
        </w:rPr>
        <w:t>ص</w:t>
      </w:r>
      <w:r w:rsidR="00147857" w:rsidRPr="003F3B94">
        <w:rPr>
          <w:rFonts w:ascii="Abo-thar" w:hAnsi="Abo-thar"/>
          <w:sz w:val="28"/>
          <w:rtl/>
          <w:lang w:bidi="ar-SY"/>
        </w:rPr>
        <w:t xml:space="preserve"> </w:t>
      </w:r>
      <w:r w:rsidRPr="003F3B94">
        <w:rPr>
          <w:rFonts w:ascii="Abo-thar" w:hAnsi="Abo-thar" w:hint="cs"/>
          <w:sz w:val="28"/>
          <w:rtl/>
          <w:lang w:bidi="ar-SY"/>
        </w:rPr>
        <w:t>ولم يكن رسول الله</w:t>
      </w:r>
      <w:r w:rsidR="00147857" w:rsidRPr="003F3B94">
        <w:rPr>
          <w:rFonts w:ascii="Abo-thar" w:hAnsi="Abo-thar" w:hint="cs"/>
          <w:sz w:val="28"/>
          <w:rtl/>
          <w:lang w:bidi="ar-SY"/>
        </w:rPr>
        <w:t xml:space="preserve"> </w:t>
      </w:r>
      <w:r w:rsidR="003C7AEB" w:rsidRPr="003C7AEB">
        <w:rPr>
          <w:rFonts w:ascii="Abo-thar" w:hAnsi="Abo-thar" w:cs="CTraditional Arabic"/>
          <w:sz w:val="28"/>
          <w:rtl/>
          <w:lang w:bidi="ar-SY"/>
        </w:rPr>
        <w:t>ص</w:t>
      </w:r>
      <w:r w:rsidR="00147857" w:rsidRPr="003F3B94">
        <w:rPr>
          <w:rFonts w:ascii="Abo-thar" w:hAnsi="Abo-thar"/>
          <w:sz w:val="28"/>
          <w:rtl/>
          <w:lang w:bidi="ar-SY"/>
        </w:rPr>
        <w:t xml:space="preserve"> </w:t>
      </w:r>
      <w:r w:rsidRPr="003F3B94">
        <w:rPr>
          <w:rFonts w:ascii="Abo-thar" w:hAnsi="Abo-thar" w:hint="cs"/>
          <w:sz w:val="28"/>
          <w:rtl/>
          <w:lang w:bidi="ar-SY"/>
        </w:rPr>
        <w:t>يميِّز ولا يفضل أحداً من قرابته على سائر المسلمين في أمر الأموال</w:t>
      </w:r>
      <w:r w:rsidR="00217AB4" w:rsidRPr="003F3B94">
        <w:rPr>
          <w:rFonts w:ascii="Abo-thar" w:hAnsi="Abo-thar" w:hint="cs"/>
          <w:sz w:val="28"/>
          <w:rtl/>
          <w:lang w:bidi="ar-SY"/>
        </w:rPr>
        <w:t>،</w:t>
      </w:r>
      <w:r w:rsidRPr="003F3B94">
        <w:rPr>
          <w:rFonts w:ascii="Abo-thar" w:hAnsi="Abo-thar" w:hint="cs"/>
          <w:sz w:val="28"/>
          <w:rtl/>
          <w:lang w:bidi="ar-SY"/>
        </w:rPr>
        <w:t xml:space="preserve"> وكان عليٌّ أعْلَمَ الناس بحقائق الإسلام والإيمان</w:t>
      </w:r>
      <w:r w:rsidR="00217AB4" w:rsidRPr="003F3B94">
        <w:rPr>
          <w:rFonts w:ascii="Abo-thar" w:hAnsi="Abo-thar" w:hint="cs"/>
          <w:sz w:val="28"/>
          <w:rtl/>
          <w:lang w:bidi="ar-SY"/>
        </w:rPr>
        <w:t>،</w:t>
      </w:r>
      <w:r w:rsidRPr="003F3B94">
        <w:rPr>
          <w:rFonts w:ascii="Abo-thar" w:hAnsi="Abo-thar" w:hint="cs"/>
          <w:sz w:val="28"/>
          <w:rtl/>
          <w:lang w:bidi="ar-SY"/>
        </w:rPr>
        <w:t xml:space="preserve"> ولو كان لمثل هذا التمييز الماليّ لبني هاشم على غيرهم أصلٌ لعمل عليٌّ به بلا ريب</w:t>
      </w:r>
      <w:r w:rsidR="00217AB4" w:rsidRPr="003F3B94">
        <w:rPr>
          <w:rFonts w:ascii="Abo-thar" w:hAnsi="Abo-thar" w:hint="cs"/>
          <w:sz w:val="28"/>
          <w:rtl/>
          <w:lang w:bidi="ar-SY"/>
        </w:rPr>
        <w:t>.</w:t>
      </w:r>
    </w:p>
    <w:p w:rsidR="005C664D" w:rsidRPr="00995B26" w:rsidRDefault="005C664D" w:rsidP="002E2814">
      <w:pPr>
        <w:pStyle w:val="a0"/>
        <w:rPr>
          <w:rFonts w:hint="cs"/>
          <w:rtl/>
          <w:lang w:bidi="ar-SY"/>
        </w:rPr>
      </w:pPr>
      <w:r w:rsidRPr="003F3B94">
        <w:rPr>
          <w:rFonts w:ascii="Abo-thar" w:hAnsi="Abo-thar" w:hint="cs"/>
          <w:sz w:val="28"/>
          <w:rtl/>
          <w:lang w:bidi="ar-SY"/>
        </w:rPr>
        <w:t xml:space="preserve">يروي </w:t>
      </w:r>
      <w:r w:rsidRPr="003F3B94">
        <w:rPr>
          <w:rFonts w:ascii="Abo-thar" w:hAnsi="Abo-thar"/>
          <w:sz w:val="28"/>
          <w:rtl/>
          <w:lang w:bidi="ar-SY"/>
        </w:rPr>
        <w:t xml:space="preserve">عبد الرزاق </w:t>
      </w:r>
      <w:r w:rsidRPr="003F3B94">
        <w:rPr>
          <w:rFonts w:ascii="Abo-thar" w:hAnsi="Abo-thar" w:hint="cs"/>
          <w:sz w:val="28"/>
          <w:rtl/>
          <w:lang w:bidi="ar-SY"/>
        </w:rPr>
        <w:t xml:space="preserve">بن همام </w:t>
      </w:r>
      <w:r w:rsidRPr="003F3B94">
        <w:rPr>
          <w:rFonts w:ascii="Abo-thar" w:hAnsi="Abo-thar"/>
          <w:sz w:val="28"/>
          <w:rtl/>
          <w:lang w:bidi="ar-SY"/>
        </w:rPr>
        <w:t>الصنعاني</w:t>
      </w:r>
      <w:r w:rsidRPr="003F3B94">
        <w:rPr>
          <w:rFonts w:ascii="Abo-thar" w:hAnsi="Abo-thar" w:hint="cs"/>
          <w:sz w:val="28"/>
          <w:rtl/>
          <w:lang w:bidi="ar-SY"/>
        </w:rPr>
        <w:t xml:space="preserve"> في كتابه </w:t>
      </w:r>
      <w:r w:rsidRPr="003F3B94">
        <w:rPr>
          <w:sz w:val="28"/>
          <w:rtl/>
          <w:lang w:bidi="ar-SY"/>
        </w:rPr>
        <w:t>«</w:t>
      </w:r>
      <w:r w:rsidRPr="003F3B94">
        <w:rPr>
          <w:rFonts w:hint="cs"/>
          <w:sz w:val="28"/>
          <w:rtl/>
          <w:lang w:bidi="ar-SY"/>
        </w:rPr>
        <w:t>المصنَّف</w:t>
      </w:r>
      <w:r w:rsidRPr="003F3B94">
        <w:rPr>
          <w:sz w:val="28"/>
          <w:rtl/>
          <w:lang w:bidi="ar-SY"/>
        </w:rPr>
        <w:t>»</w:t>
      </w:r>
      <w:r w:rsidRPr="003F3B94">
        <w:rPr>
          <w:rFonts w:hint="cs"/>
          <w:sz w:val="28"/>
          <w:rtl/>
          <w:lang w:bidi="ar-SY"/>
        </w:rPr>
        <w:t xml:space="preserve"> </w:t>
      </w:r>
      <w:r w:rsidR="00217AB4" w:rsidRPr="003F3B94">
        <w:rPr>
          <w:rFonts w:ascii="Abo-thar" w:hAnsi="Abo-thar" w:hint="cs"/>
          <w:sz w:val="28"/>
          <w:rtl/>
          <w:lang w:bidi="ar-SY"/>
        </w:rPr>
        <w:t>(</w:t>
      </w:r>
      <w:r w:rsidRPr="003F3B94">
        <w:rPr>
          <w:rFonts w:ascii="Abo-thar" w:hAnsi="Abo-thar" w:hint="cs"/>
          <w:sz w:val="28"/>
          <w:rtl/>
          <w:lang w:bidi="ar-SY"/>
        </w:rPr>
        <w:t>الذي يُعَدُّ من أقدم ما وصل إلينا من كتب الحديث والفقه إذ إن مؤلفه ولد عام 126هـ وتوفي عام 211هـ</w:t>
      </w:r>
      <w:r w:rsidR="00147857" w:rsidRPr="003F3B94">
        <w:rPr>
          <w:rFonts w:ascii="Abo-thar" w:hAnsi="Abo-thar" w:hint="cs"/>
          <w:sz w:val="28"/>
          <w:rtl/>
          <w:lang w:bidi="ar-SY"/>
        </w:rPr>
        <w:t xml:space="preserve"> و</w:t>
      </w:r>
      <w:r w:rsidRPr="003F3B94">
        <w:rPr>
          <w:rFonts w:ascii="Abo-thar" w:hAnsi="Abo-thar" w:hint="cs"/>
          <w:sz w:val="28"/>
          <w:rtl/>
          <w:lang w:bidi="ar-SY"/>
        </w:rPr>
        <w:t xml:space="preserve">كان </w:t>
      </w:r>
      <w:r w:rsidRPr="003F3B94">
        <w:rPr>
          <w:rFonts w:cs="Times New Roman" w:hint="cs"/>
          <w:sz w:val="28"/>
          <w:rtl/>
          <w:lang w:bidi="ar-SY"/>
        </w:rPr>
        <w:t>–</w:t>
      </w:r>
      <w:r w:rsidRPr="003F3B94">
        <w:rPr>
          <w:rFonts w:ascii="Abo-thar" w:hAnsi="Abo-thar" w:hint="cs"/>
          <w:sz w:val="28"/>
          <w:rtl/>
          <w:lang w:bidi="ar-SY"/>
        </w:rPr>
        <w:t xml:space="preserve"> بتصريح علماء الرجال</w:t>
      </w:r>
      <w:r w:rsidR="00217AB4" w:rsidRPr="003F3B94">
        <w:rPr>
          <w:rFonts w:ascii="Abo-thar" w:hAnsi="Abo-thar" w:hint="cs"/>
          <w:sz w:val="28"/>
          <w:rtl/>
          <w:lang w:bidi="ar-SY"/>
        </w:rPr>
        <w:t>-</w:t>
      </w:r>
      <w:r w:rsidRPr="003F3B94">
        <w:rPr>
          <w:rFonts w:ascii="Abo-thar" w:hAnsi="Abo-thar" w:hint="cs"/>
          <w:sz w:val="28"/>
          <w:rtl/>
          <w:lang w:bidi="ar-SY"/>
        </w:rPr>
        <w:t xml:space="preserve"> شيعي المذهب</w:t>
      </w:r>
      <w:r w:rsidR="00217AB4" w:rsidRPr="003F3B94">
        <w:rPr>
          <w:rFonts w:ascii="Abo-thar" w:hAnsi="Abo-thar" w:hint="cs"/>
          <w:sz w:val="28"/>
          <w:rtl/>
          <w:lang w:bidi="ar-SY"/>
        </w:rPr>
        <w:t>)،</w:t>
      </w:r>
      <w:r w:rsidRPr="003F3B94">
        <w:rPr>
          <w:rFonts w:ascii="Abo-thar" w:hAnsi="Abo-thar" w:hint="cs"/>
          <w:sz w:val="28"/>
          <w:rtl/>
          <w:lang w:bidi="ar-SY"/>
        </w:rPr>
        <w:t xml:space="preserve"> روايةً بسنده </w:t>
      </w:r>
      <w:r w:rsidR="00EF2588" w:rsidRPr="004A3642">
        <w:rPr>
          <w:rFonts w:ascii="Abo-thar" w:hAnsi="Abo-thar" w:cs="KFGQPC Uthman Taha Naskh" w:hint="cs"/>
          <w:sz w:val="28"/>
          <w:rtl/>
          <w:lang w:bidi="ar-SY"/>
        </w:rPr>
        <w:t>«</w:t>
      </w:r>
      <w:r w:rsidRPr="004A3642">
        <w:rPr>
          <w:rFonts w:ascii="Abo-thar" w:hAnsi="Abo-thar" w:cs="KFGQPC Uthman Taha Naskh"/>
          <w:b/>
          <w:bCs/>
          <w:sz w:val="28"/>
          <w:rtl/>
          <w:lang w:bidi="ar-SY"/>
        </w:rPr>
        <w:t>ع</w:t>
      </w:r>
      <w:r w:rsidR="00652969" w:rsidRPr="004A3642">
        <w:rPr>
          <w:rFonts w:ascii="Abo-thar" w:hAnsi="Abo-thar" w:cs="KFGQPC Uthman Taha Naskh" w:hint="cs"/>
          <w:b/>
          <w:bCs/>
          <w:sz w:val="28"/>
          <w:rtl/>
          <w:lang w:bidi="ar-SY"/>
        </w:rPr>
        <w:t>ـ</w:t>
      </w:r>
      <w:r w:rsidRPr="004A3642">
        <w:rPr>
          <w:rFonts w:ascii="Abo-thar" w:hAnsi="Abo-thar" w:cs="KFGQPC Uthman Taha Naskh"/>
          <w:b/>
          <w:bCs/>
          <w:sz w:val="28"/>
          <w:rtl/>
          <w:lang w:bidi="ar-SY"/>
        </w:rPr>
        <w:t>ن الثوري عن قيس بن مسلم الجدلي قال</w:t>
      </w:r>
      <w:r w:rsidR="00217AB4" w:rsidRPr="004A3642">
        <w:rPr>
          <w:rFonts w:ascii="Abo-thar" w:hAnsi="Abo-thar" w:cs="KFGQPC Uthman Taha Naskh"/>
          <w:b/>
          <w:bCs/>
          <w:sz w:val="28"/>
          <w:rtl/>
          <w:lang w:bidi="ar-SY"/>
        </w:rPr>
        <w:t>:</w:t>
      </w:r>
      <w:r w:rsidRPr="004A3642">
        <w:rPr>
          <w:rFonts w:ascii="Abo-thar" w:hAnsi="Abo-thar" w:cs="KFGQPC Uthman Taha Naskh"/>
          <w:b/>
          <w:bCs/>
          <w:sz w:val="28"/>
          <w:rtl/>
          <w:lang w:bidi="ar-SY"/>
        </w:rPr>
        <w:t xml:space="preserve"> </w:t>
      </w:r>
      <w:r w:rsidR="0003618D" w:rsidRPr="0003618D">
        <w:rPr>
          <w:rFonts w:ascii="Abo-thar" w:hAnsi="Abo-thar" w:cs="KFGQPC Uthman Taha Naskh"/>
          <w:b/>
          <w:bCs/>
          <w:sz w:val="28"/>
          <w:rtl/>
          <w:lang w:bidi="ar-SY"/>
        </w:rPr>
        <w:t>سَأَلْتُ الْحَسَنَ بْنَ مُحَمَّدِ بْنِ عَلِيِّ (ابْنِ الْحَنَفِيَّةِ) عَنْ قَوْلِ اللَّهِ تَعَالَى:</w:t>
      </w:r>
      <w:r w:rsidR="00685363" w:rsidRPr="00995B26">
        <w:rPr>
          <w:rFonts w:ascii="Abo-thar" w:hAnsi="Abo-thar" w:cs="Traditional Arabic" w:hint="cs"/>
          <w:sz w:val="28"/>
          <w:rtl/>
          <w:lang w:bidi="ar-SY"/>
        </w:rPr>
        <w:t xml:space="preserve"> ﴿</w:t>
      </w:r>
      <w:r w:rsidR="00685363" w:rsidRPr="0067048A">
        <w:rPr>
          <w:rStyle w:val="Char3"/>
          <w:rFonts w:hint="eastAsia"/>
          <w:rtl/>
        </w:rPr>
        <w:t>وَ</w:t>
      </w:r>
      <w:r w:rsidR="00685363" w:rsidRPr="0067048A">
        <w:rPr>
          <w:rStyle w:val="Char3"/>
          <w:rFonts w:hint="cs"/>
          <w:rtl/>
        </w:rPr>
        <w:t>ٱ</w:t>
      </w:r>
      <w:r w:rsidR="00685363" w:rsidRPr="0067048A">
        <w:rPr>
          <w:rStyle w:val="Char3"/>
          <w:rFonts w:hint="eastAsia"/>
          <w:rtl/>
        </w:rPr>
        <w:t>ع</w:t>
      </w:r>
      <w:r w:rsidR="00685363" w:rsidRPr="0067048A">
        <w:rPr>
          <w:rStyle w:val="Char3"/>
          <w:rFonts w:hint="cs"/>
          <w:rtl/>
        </w:rPr>
        <w:t>ۡ</w:t>
      </w:r>
      <w:r w:rsidR="00685363" w:rsidRPr="0067048A">
        <w:rPr>
          <w:rStyle w:val="Char3"/>
          <w:rFonts w:hint="eastAsia"/>
          <w:rtl/>
        </w:rPr>
        <w:t>لَمُو</w:t>
      </w:r>
      <w:r w:rsidR="00685363" w:rsidRPr="0067048A">
        <w:rPr>
          <w:rStyle w:val="Char3"/>
          <w:rFonts w:hint="cs"/>
          <w:rtl/>
        </w:rPr>
        <w:t>ٓ</w:t>
      </w:r>
      <w:r w:rsidR="00685363" w:rsidRPr="0067048A">
        <w:rPr>
          <w:rStyle w:val="Char3"/>
          <w:rFonts w:hint="eastAsia"/>
          <w:rtl/>
        </w:rPr>
        <w:t>اْ</w:t>
      </w:r>
      <w:r w:rsidR="00685363" w:rsidRPr="0067048A">
        <w:rPr>
          <w:rStyle w:val="Char3"/>
          <w:rtl/>
        </w:rPr>
        <w:t xml:space="preserve"> </w:t>
      </w:r>
      <w:r w:rsidR="00685363" w:rsidRPr="0067048A">
        <w:rPr>
          <w:rStyle w:val="Char3"/>
          <w:rFonts w:hint="eastAsia"/>
          <w:rtl/>
        </w:rPr>
        <w:t>أَنَّمَا</w:t>
      </w:r>
      <w:r w:rsidR="00685363" w:rsidRPr="0067048A">
        <w:rPr>
          <w:rStyle w:val="Char3"/>
          <w:rtl/>
        </w:rPr>
        <w:t xml:space="preserve"> </w:t>
      </w:r>
      <w:r w:rsidR="00685363" w:rsidRPr="0067048A">
        <w:rPr>
          <w:rStyle w:val="Char3"/>
          <w:rFonts w:hint="eastAsia"/>
          <w:rtl/>
        </w:rPr>
        <w:t>غَنِم</w:t>
      </w:r>
      <w:r w:rsidR="00685363" w:rsidRPr="0067048A">
        <w:rPr>
          <w:rStyle w:val="Char3"/>
          <w:rFonts w:hint="cs"/>
          <w:rtl/>
        </w:rPr>
        <w:t>ۡ</w:t>
      </w:r>
      <w:r w:rsidR="00685363" w:rsidRPr="0067048A">
        <w:rPr>
          <w:rStyle w:val="Char3"/>
          <w:rFonts w:hint="eastAsia"/>
          <w:rtl/>
        </w:rPr>
        <w:t>تُم</w:t>
      </w:r>
      <w:r w:rsidR="00685363" w:rsidRPr="0067048A">
        <w:rPr>
          <w:rStyle w:val="Char3"/>
          <w:rtl/>
        </w:rPr>
        <w:t xml:space="preserve"> </w:t>
      </w:r>
      <w:r w:rsidR="00685363" w:rsidRPr="0067048A">
        <w:rPr>
          <w:rStyle w:val="Char3"/>
          <w:rFonts w:hint="eastAsia"/>
          <w:rtl/>
        </w:rPr>
        <w:t>مِّن</w:t>
      </w:r>
      <w:r w:rsidR="00685363" w:rsidRPr="0067048A">
        <w:rPr>
          <w:rStyle w:val="Char3"/>
          <w:rtl/>
        </w:rPr>
        <w:t xml:space="preserve"> </w:t>
      </w:r>
      <w:r w:rsidR="00685363" w:rsidRPr="0067048A">
        <w:rPr>
          <w:rStyle w:val="Char3"/>
          <w:rFonts w:hint="eastAsia"/>
          <w:rtl/>
        </w:rPr>
        <w:t>شَي</w:t>
      </w:r>
      <w:r w:rsidR="00685363" w:rsidRPr="0067048A">
        <w:rPr>
          <w:rStyle w:val="Char3"/>
          <w:rFonts w:hint="cs"/>
          <w:rtl/>
        </w:rPr>
        <w:t>ۡ</w:t>
      </w:r>
      <w:r w:rsidR="00685363" w:rsidRPr="0067048A">
        <w:rPr>
          <w:rStyle w:val="Char3"/>
          <w:rFonts w:hint="eastAsia"/>
          <w:rtl/>
        </w:rPr>
        <w:t>ء</w:t>
      </w:r>
      <w:r w:rsidR="00685363" w:rsidRPr="0067048A">
        <w:rPr>
          <w:rStyle w:val="Char3"/>
          <w:rFonts w:hint="cs"/>
          <w:rtl/>
        </w:rPr>
        <w:t>ٖ</w:t>
      </w:r>
      <w:r w:rsidR="00685363" w:rsidRPr="0067048A">
        <w:rPr>
          <w:rStyle w:val="Char3"/>
          <w:rtl/>
        </w:rPr>
        <w:t xml:space="preserve"> </w:t>
      </w:r>
      <w:r w:rsidR="00685363" w:rsidRPr="0067048A">
        <w:rPr>
          <w:rStyle w:val="Char3"/>
          <w:rFonts w:hint="eastAsia"/>
          <w:rtl/>
        </w:rPr>
        <w:t>فَأَنَّ</w:t>
      </w:r>
      <w:r w:rsidR="00685363" w:rsidRPr="0067048A">
        <w:rPr>
          <w:rStyle w:val="Char3"/>
          <w:rtl/>
        </w:rPr>
        <w:t xml:space="preserve"> </w:t>
      </w:r>
      <w:r w:rsidR="00685363" w:rsidRPr="0067048A">
        <w:rPr>
          <w:rStyle w:val="Char3"/>
          <w:rFonts w:hint="eastAsia"/>
          <w:rtl/>
        </w:rPr>
        <w:t>لِلَّهِ</w:t>
      </w:r>
      <w:r w:rsidR="00685363" w:rsidRPr="0067048A">
        <w:rPr>
          <w:rStyle w:val="Char3"/>
          <w:rtl/>
        </w:rPr>
        <w:t xml:space="preserve"> </w:t>
      </w:r>
      <w:r w:rsidR="00685363" w:rsidRPr="0067048A">
        <w:rPr>
          <w:rStyle w:val="Char3"/>
          <w:rFonts w:hint="eastAsia"/>
          <w:rtl/>
        </w:rPr>
        <w:t>خُمُسَهُ</w:t>
      </w:r>
      <w:r w:rsidR="00685363" w:rsidRPr="0067048A">
        <w:rPr>
          <w:rStyle w:val="Char3"/>
          <w:rFonts w:hint="cs"/>
          <w:rtl/>
        </w:rPr>
        <w:t>ۥ</w:t>
      </w:r>
      <w:r w:rsidR="00685363" w:rsidRPr="00995B26">
        <w:rPr>
          <w:rFonts w:ascii="Abo-thar" w:hAnsi="Abo-thar" w:cs="Traditional Arabic" w:hint="cs"/>
          <w:sz w:val="28"/>
          <w:rtl/>
          <w:lang w:bidi="ar-SY"/>
        </w:rPr>
        <w:t>﴾</w:t>
      </w:r>
      <w:r w:rsidR="00685363" w:rsidRPr="00995B26">
        <w:rPr>
          <w:rFonts w:ascii="Abo-thar" w:hAnsi="Abo-thar" w:hint="cs"/>
          <w:b/>
          <w:bCs/>
          <w:sz w:val="28"/>
          <w:rtl/>
          <w:lang w:bidi="ar-SY"/>
        </w:rPr>
        <w:t xml:space="preserve"> </w:t>
      </w:r>
      <w:r w:rsidR="0003618D" w:rsidRPr="0003618D">
        <w:rPr>
          <w:rFonts w:ascii="Abo-thar" w:hAnsi="Abo-thar" w:cs="KFGQPC Uthman Taha Naskh"/>
          <w:b/>
          <w:bCs/>
          <w:sz w:val="28"/>
          <w:rtl/>
          <w:lang w:bidi="ar-SY"/>
        </w:rPr>
        <w:t>قَالَ: هَذَا مِفْتَاحُ كَلَامٍ</w:t>
      </w:r>
      <w:r w:rsidR="0003618D">
        <w:rPr>
          <w:rFonts w:ascii="Abo-thar" w:hAnsi="Abo-thar" w:cs="KFGQPC Uthman Taha Naskh" w:hint="cs"/>
          <w:b/>
          <w:bCs/>
          <w:sz w:val="28"/>
          <w:rtl/>
          <w:lang w:bidi="ar-SY"/>
        </w:rPr>
        <w:t>،</w:t>
      </w:r>
      <w:r w:rsidR="0003618D" w:rsidRPr="0003618D">
        <w:rPr>
          <w:rFonts w:ascii="Abo-thar" w:hAnsi="Abo-thar" w:cs="KFGQPC Uthman Taha Naskh"/>
          <w:b/>
          <w:bCs/>
          <w:sz w:val="28"/>
          <w:rtl/>
          <w:lang w:bidi="ar-SY"/>
        </w:rPr>
        <w:t xml:space="preserve"> لِلَّهِ الدُّنْيَا وَالْآخِرَةِ</w:t>
      </w:r>
      <w:r w:rsidR="002E2814">
        <w:rPr>
          <w:rFonts w:ascii="Abo-thar" w:hAnsi="Abo-thar" w:cs="KFGQPC Uthman Taha Naskh" w:hint="cs"/>
          <w:b/>
          <w:bCs/>
          <w:sz w:val="28"/>
          <w:rtl/>
          <w:lang w:bidi="ar-SY"/>
        </w:rPr>
        <w:t xml:space="preserve"> </w:t>
      </w:r>
      <w:r w:rsidR="002E2814" w:rsidRPr="002E2814">
        <w:rPr>
          <w:rFonts w:ascii="Abo-thar" w:hAnsi="Abo-thar" w:cs="KFGQPC Uthman Taha Naskh"/>
          <w:b/>
          <w:bCs/>
          <w:sz w:val="28"/>
          <w:rtl/>
          <w:lang w:bidi="ar-SY"/>
        </w:rPr>
        <w:t>وَلِلرَّسُولِ، وَلِذِي الْقُرْبَى</w:t>
      </w:r>
      <w:r w:rsidR="002E2814">
        <w:rPr>
          <w:rFonts w:ascii="Abo-thar" w:hAnsi="Abo-thar" w:cs="KFGQPC Uthman Taha Naskh" w:hint="cs"/>
          <w:b/>
          <w:bCs/>
          <w:sz w:val="28"/>
          <w:rtl/>
          <w:lang w:bidi="ar-SY"/>
        </w:rPr>
        <w:t>،</w:t>
      </w:r>
      <w:r w:rsidR="002E2814" w:rsidRPr="002E2814">
        <w:rPr>
          <w:rFonts w:ascii="Abo-thar" w:hAnsi="Abo-thar" w:cs="KFGQPC Uthman Taha Naskh"/>
          <w:b/>
          <w:bCs/>
          <w:sz w:val="28"/>
          <w:rtl/>
          <w:lang w:bidi="ar-SY"/>
        </w:rPr>
        <w:t xml:space="preserve"> فَاخْتَلَفُوا بَعْدَ وَفَاةِ رَسُولِ اللَّهِ صَلَّى اللهُ عَلَيْهِ وَسَلَّمَ فِي هَذَيْنِ السَّهْمَيْنِ قَالَ قَائِلٌ: سَهْمُ ذِي الْقُرْبَى لِقَرَابَةِ النَّبِيِّ صَلَّى اللهُ عَلَيْهِ وَسَلَّمَ وَقَالَ قَائِلٌ: سَهْمُ ذِي الْقُرْبَى لِقَرَابَةِ الْخَلِيفَةِ، وَاجْتَمَعَ رَأْيُ أَصْحَابِ مُحَمَّدٍ صَلَّى اللهُ عَلَيْهِ وَسَلَّمَ أَنْ يَجْعَلُوا هَذَيْنِ السَّهْمَيْنِ فِي الْخَيْلِ وَالْعُدَّةِ فِي سَبِيلِ اللَّهِ، وَكَانَ ذَلِكَ فِي خِلَافَةِ أَبِي بَكْرٍ وَعُمَرَ</w:t>
      </w:r>
      <w:r w:rsidR="002E2814">
        <w:rPr>
          <w:rFonts w:ascii="Abo-thar" w:hAnsi="Abo-thar" w:cs="KFGQPC Uthman Taha Naskh" w:hint="cs"/>
          <w:b/>
          <w:bCs/>
          <w:sz w:val="28"/>
          <w:rtl/>
          <w:lang w:bidi="ar-SY"/>
        </w:rPr>
        <w:t xml:space="preserve">. </w:t>
      </w:r>
      <w:r w:rsidR="002E2814" w:rsidRPr="004A3642">
        <w:rPr>
          <w:rFonts w:ascii="Abo-thar" w:hAnsi="Abo-thar" w:cs="KFGQPC Uthman Taha Naskh" w:hint="eastAsia"/>
          <w:b/>
          <w:bCs/>
          <w:sz w:val="28"/>
          <w:rtl/>
          <w:lang w:bidi="ar-SY"/>
        </w:rPr>
        <w:t>وفي</w:t>
      </w:r>
      <w:r w:rsidR="002E2814" w:rsidRPr="004A3642">
        <w:rPr>
          <w:rFonts w:ascii="Abo-thar" w:hAnsi="Abo-thar" w:cs="KFGQPC Uthman Taha Naskh"/>
          <w:b/>
          <w:bCs/>
          <w:sz w:val="28"/>
          <w:rtl/>
          <w:lang w:bidi="ar-SY"/>
        </w:rPr>
        <w:t xml:space="preserve"> </w:t>
      </w:r>
      <w:r w:rsidR="002E2814" w:rsidRPr="004A3642">
        <w:rPr>
          <w:rFonts w:ascii="Abo-thar" w:hAnsi="Abo-thar" w:cs="KFGQPC Uthman Taha Naskh" w:hint="eastAsia"/>
          <w:b/>
          <w:bCs/>
          <w:sz w:val="28"/>
          <w:rtl/>
          <w:lang w:bidi="ar-SY"/>
        </w:rPr>
        <w:t>حديث</w:t>
      </w:r>
      <w:r w:rsidR="002E2814" w:rsidRPr="004A3642">
        <w:rPr>
          <w:rFonts w:ascii="Abo-thar" w:hAnsi="Abo-thar" w:cs="KFGQPC Uthman Taha Naskh"/>
          <w:b/>
          <w:bCs/>
          <w:sz w:val="28"/>
          <w:rtl/>
          <w:lang w:bidi="ar-SY"/>
        </w:rPr>
        <w:t xml:space="preserve"> </w:t>
      </w:r>
      <w:r w:rsidR="002E2814" w:rsidRPr="004A3642">
        <w:rPr>
          <w:rFonts w:ascii="Abo-thar" w:hAnsi="Abo-thar" w:cs="KFGQPC Uthman Taha Naskh" w:hint="eastAsia"/>
          <w:b/>
          <w:bCs/>
          <w:sz w:val="28"/>
          <w:rtl/>
          <w:lang w:bidi="ar-SY"/>
        </w:rPr>
        <w:t>ابن</w:t>
      </w:r>
      <w:r w:rsidR="002E2814" w:rsidRPr="004A3642">
        <w:rPr>
          <w:rFonts w:ascii="Abo-thar" w:hAnsi="Abo-thar" w:cs="KFGQPC Uthman Taha Naskh"/>
          <w:b/>
          <w:bCs/>
          <w:sz w:val="28"/>
          <w:rtl/>
          <w:lang w:bidi="ar-SY"/>
        </w:rPr>
        <w:t xml:space="preserve"> </w:t>
      </w:r>
      <w:r w:rsidR="002E2814" w:rsidRPr="004A3642">
        <w:rPr>
          <w:rFonts w:ascii="Abo-thar" w:hAnsi="Abo-thar" w:cs="KFGQPC Uthman Taha Naskh" w:hint="cs"/>
          <w:b/>
          <w:bCs/>
          <w:sz w:val="28"/>
          <w:rtl/>
          <w:lang w:bidi="ar-SY"/>
        </w:rPr>
        <w:t>إسحق</w:t>
      </w:r>
      <w:r w:rsidR="002E2814" w:rsidRPr="004A3642">
        <w:rPr>
          <w:rFonts w:ascii="Abo-thar" w:hAnsi="Abo-thar" w:cs="KFGQPC Uthman Taha Naskh"/>
          <w:b/>
          <w:bCs/>
          <w:sz w:val="28"/>
          <w:rtl/>
          <w:lang w:bidi="ar-SY"/>
        </w:rPr>
        <w:t xml:space="preserve"> </w:t>
      </w:r>
      <w:r w:rsidR="002E2814" w:rsidRPr="004A3642">
        <w:rPr>
          <w:rFonts w:ascii="Abo-thar" w:hAnsi="Abo-thar" w:cs="KFGQPC Uthman Taha Naskh" w:hint="eastAsia"/>
          <w:b/>
          <w:bCs/>
          <w:sz w:val="28"/>
          <w:rtl/>
          <w:lang w:bidi="ar-SY"/>
        </w:rPr>
        <w:t>عن</w:t>
      </w:r>
      <w:r w:rsidR="002E2814" w:rsidRPr="004A3642">
        <w:rPr>
          <w:rFonts w:ascii="Abo-thar" w:hAnsi="Abo-thar" w:cs="KFGQPC Uthman Taha Naskh"/>
          <w:b/>
          <w:bCs/>
          <w:sz w:val="28"/>
          <w:rtl/>
          <w:lang w:bidi="ar-SY"/>
        </w:rPr>
        <w:t xml:space="preserve"> </w:t>
      </w:r>
      <w:r w:rsidR="002E2814" w:rsidRPr="004A3642">
        <w:rPr>
          <w:rFonts w:ascii="Abo-thar" w:hAnsi="Abo-thar" w:cs="KFGQPC Uthman Taha Naskh" w:hint="eastAsia"/>
          <w:b/>
          <w:bCs/>
          <w:sz w:val="28"/>
          <w:rtl/>
          <w:lang w:bidi="ar-SY"/>
        </w:rPr>
        <w:t>أبي</w:t>
      </w:r>
      <w:r w:rsidR="002E2814">
        <w:rPr>
          <w:rFonts w:ascii="Abo-thar" w:hAnsi="Abo-thar" w:cs="KFGQPC Uthman Taha Naskh" w:hint="eastAsia"/>
          <w:b/>
          <w:bCs/>
          <w:sz w:val="28"/>
          <w:rtl/>
          <w:lang w:bidi="ar-SY"/>
        </w:rPr>
        <w:t>‌</w:t>
      </w:r>
      <w:r w:rsidR="002E2814" w:rsidRPr="004A3642">
        <w:rPr>
          <w:rFonts w:ascii="Abo-thar" w:hAnsi="Abo-thar" w:cs="KFGQPC Uthman Taha Naskh" w:hint="cs"/>
          <w:b/>
          <w:bCs/>
          <w:sz w:val="28"/>
          <w:rtl/>
          <w:lang w:bidi="ar-SY"/>
        </w:rPr>
        <w:t>ج</w:t>
      </w:r>
      <w:r w:rsidR="002E2814" w:rsidRPr="004A3642">
        <w:rPr>
          <w:rFonts w:ascii="Abo-thar" w:hAnsi="Abo-thar" w:cs="KFGQPC Uthman Taha Naskh"/>
          <w:b/>
          <w:bCs/>
          <w:sz w:val="28"/>
          <w:rtl/>
          <w:lang w:bidi="ar-SY"/>
        </w:rPr>
        <w:t>عفر</w:t>
      </w:r>
      <w:r w:rsidR="002E2814" w:rsidRPr="004A3642">
        <w:rPr>
          <w:rFonts w:ascii="Abo-thar" w:hAnsi="Abo-thar" w:cs="KFGQPC Uthman Taha Naskh"/>
          <w:sz w:val="28"/>
          <w:rtl/>
          <w:lang w:bidi="ar-SY"/>
        </w:rPr>
        <w:t xml:space="preserve"> </w:t>
      </w:r>
      <w:r w:rsidR="002E2814" w:rsidRPr="004A3642">
        <w:rPr>
          <w:rFonts w:ascii="Abo-thar" w:hAnsi="Abo-thar" w:cs="KFGQPC Uthman Taha Naskh" w:hint="cs"/>
          <w:sz w:val="28"/>
          <w:rtl/>
          <w:lang w:bidi="ar-SY"/>
        </w:rPr>
        <w:t xml:space="preserve">(أي الإمام محمد الباقر </w:t>
      </w:r>
      <w:r w:rsidR="002E2814" w:rsidRPr="003C7AEB">
        <w:rPr>
          <w:rFonts w:ascii="Abo-thar" w:hAnsi="Abo-thar" w:cs="CTraditional Arabic"/>
          <w:sz w:val="28"/>
          <w:rtl/>
          <w:lang w:bidi="ar-SY"/>
        </w:rPr>
        <w:t>÷</w:t>
      </w:r>
      <w:r w:rsidR="002E2814" w:rsidRPr="004A3642">
        <w:rPr>
          <w:rFonts w:ascii="Abo-thar" w:hAnsi="Abo-thar" w:cs="KFGQPC Uthman Taha Naskh"/>
          <w:sz w:val="28"/>
          <w:rtl/>
          <w:lang w:bidi="ar-SY"/>
        </w:rPr>
        <w:t>)</w:t>
      </w:r>
      <w:r w:rsidR="002E2814" w:rsidRPr="004A3642">
        <w:rPr>
          <w:rFonts w:ascii="Abo-thar" w:hAnsi="Abo-thar" w:cs="KFGQPC Uthman Taha Naskh" w:hint="cs"/>
          <w:sz w:val="28"/>
          <w:rtl/>
          <w:lang w:bidi="ar-SY"/>
        </w:rPr>
        <w:t xml:space="preserve"> </w:t>
      </w:r>
      <w:r w:rsidR="002E2814" w:rsidRPr="002E2814">
        <w:rPr>
          <w:rFonts w:ascii="Abo-thar" w:hAnsi="Abo-thar" w:cs="KFGQPC Uthman Taha Naskh"/>
          <w:b/>
          <w:bCs/>
          <w:sz w:val="28"/>
          <w:rtl/>
          <w:lang w:bidi="ar-SY"/>
        </w:rPr>
        <w:t>قُلْتُ لَهُ</w:t>
      </w:r>
      <w:r w:rsidR="002E2814" w:rsidRPr="004A3642">
        <w:rPr>
          <w:rFonts w:ascii="Abo-thar" w:hAnsi="Abo-thar" w:cs="KFGQPC Uthman Taha Naskh"/>
          <w:b/>
          <w:bCs/>
          <w:sz w:val="28"/>
          <w:rtl/>
          <w:lang w:bidi="ar-SY"/>
        </w:rPr>
        <w:t>: ف</w:t>
      </w:r>
      <w:r w:rsidR="002E2814">
        <w:rPr>
          <w:rFonts w:ascii="Abo-thar" w:hAnsi="Abo-thar" w:cs="KFGQPC Uthman Taha Naskh" w:hint="cs"/>
          <w:b/>
          <w:bCs/>
          <w:sz w:val="28"/>
          <w:rtl/>
          <w:lang w:bidi="ar-SY"/>
        </w:rPr>
        <w:t>َ</w:t>
      </w:r>
      <w:r w:rsidR="002E2814" w:rsidRPr="004A3642">
        <w:rPr>
          <w:rFonts w:ascii="Abo-thar" w:hAnsi="Abo-thar" w:cs="KFGQPC Uthman Taha Naskh"/>
          <w:b/>
          <w:bCs/>
          <w:sz w:val="28"/>
          <w:rtl/>
          <w:lang w:bidi="ar-SY"/>
        </w:rPr>
        <w:t>م</w:t>
      </w:r>
      <w:r w:rsidR="002E2814">
        <w:rPr>
          <w:rFonts w:ascii="Abo-thar" w:hAnsi="Abo-thar" w:cs="KFGQPC Uthman Taha Naskh" w:hint="cs"/>
          <w:b/>
          <w:bCs/>
          <w:sz w:val="28"/>
          <w:rtl/>
          <w:lang w:bidi="ar-SY"/>
        </w:rPr>
        <w:t>َ</w:t>
      </w:r>
      <w:r w:rsidR="002E2814" w:rsidRPr="004A3642">
        <w:rPr>
          <w:rFonts w:ascii="Abo-thar" w:hAnsi="Abo-thar" w:cs="KFGQPC Uthman Taha Naskh"/>
          <w:b/>
          <w:bCs/>
          <w:sz w:val="28"/>
          <w:rtl/>
          <w:lang w:bidi="ar-SY"/>
        </w:rPr>
        <w:t>ا م</w:t>
      </w:r>
      <w:r w:rsidR="002E2814">
        <w:rPr>
          <w:rFonts w:ascii="Abo-thar" w:hAnsi="Abo-thar" w:cs="KFGQPC Uthman Taha Naskh" w:hint="cs"/>
          <w:b/>
          <w:bCs/>
          <w:sz w:val="28"/>
          <w:rtl/>
          <w:lang w:bidi="ar-SY"/>
        </w:rPr>
        <w:t>َ</w:t>
      </w:r>
      <w:r w:rsidR="002E2814" w:rsidRPr="004A3642">
        <w:rPr>
          <w:rFonts w:ascii="Abo-thar" w:hAnsi="Abo-thar" w:cs="KFGQPC Uthman Taha Naskh"/>
          <w:b/>
          <w:bCs/>
          <w:sz w:val="28"/>
          <w:rtl/>
          <w:lang w:bidi="ar-SY"/>
        </w:rPr>
        <w:t>ن</w:t>
      </w:r>
      <w:r w:rsidR="002E2814">
        <w:rPr>
          <w:rFonts w:ascii="Abo-thar" w:hAnsi="Abo-thar" w:cs="KFGQPC Uthman Taha Naskh" w:hint="cs"/>
          <w:b/>
          <w:bCs/>
          <w:sz w:val="28"/>
          <w:rtl/>
          <w:lang w:bidi="ar-SY"/>
        </w:rPr>
        <w:t>َ</w:t>
      </w:r>
      <w:r w:rsidR="002E2814" w:rsidRPr="004A3642">
        <w:rPr>
          <w:rFonts w:ascii="Abo-thar" w:hAnsi="Abo-thar" w:cs="KFGQPC Uthman Taha Naskh"/>
          <w:b/>
          <w:bCs/>
          <w:sz w:val="28"/>
          <w:rtl/>
          <w:lang w:bidi="ar-SY"/>
        </w:rPr>
        <w:t>ع</w:t>
      </w:r>
      <w:r w:rsidR="002E2814">
        <w:rPr>
          <w:rFonts w:ascii="Abo-thar" w:hAnsi="Abo-thar" w:cs="KFGQPC Uthman Taha Naskh" w:hint="cs"/>
          <w:b/>
          <w:bCs/>
          <w:sz w:val="28"/>
          <w:rtl/>
          <w:lang w:bidi="ar-SY"/>
        </w:rPr>
        <w:t>َ</w:t>
      </w:r>
      <w:r w:rsidR="002E2814" w:rsidRPr="004A3642">
        <w:rPr>
          <w:rFonts w:ascii="Abo-thar" w:hAnsi="Abo-thar" w:cs="KFGQPC Uthman Taha Naskh"/>
          <w:b/>
          <w:bCs/>
          <w:sz w:val="28"/>
          <w:rtl/>
          <w:lang w:bidi="ar-SY"/>
        </w:rPr>
        <w:t>ه</w:t>
      </w:r>
      <w:r w:rsidR="002E2814">
        <w:rPr>
          <w:rFonts w:ascii="Abo-thar" w:hAnsi="Abo-thar" w:cs="KFGQPC Uthman Taha Naskh" w:hint="cs"/>
          <w:b/>
          <w:bCs/>
          <w:sz w:val="28"/>
          <w:rtl/>
          <w:lang w:bidi="ar-SY"/>
        </w:rPr>
        <w:t>ُ</w:t>
      </w:r>
      <w:r w:rsidR="002E2814" w:rsidRPr="004A3642">
        <w:rPr>
          <w:rFonts w:ascii="Abo-thar" w:hAnsi="Abo-thar" w:cs="KFGQPC Uthman Taha Naskh" w:hint="cs"/>
          <w:b/>
          <w:bCs/>
          <w:sz w:val="28"/>
          <w:rtl/>
          <w:lang w:bidi="ar-SY"/>
        </w:rPr>
        <w:t>؟</w:t>
      </w:r>
      <w:r w:rsidR="002E2814" w:rsidRPr="004A3642">
        <w:rPr>
          <w:rFonts w:ascii="Abo-thar" w:hAnsi="Abo-thar" w:cs="KFGQPC Uthman Taha Naskh"/>
          <w:sz w:val="28"/>
          <w:rtl/>
          <w:lang w:bidi="ar-SY"/>
        </w:rPr>
        <w:t xml:space="preserve"> </w:t>
      </w:r>
      <w:r w:rsidR="002E2814" w:rsidRPr="004A3642">
        <w:rPr>
          <w:rFonts w:ascii="Abo-thar" w:hAnsi="Abo-thar" w:cs="KFGQPC Uthman Taha Naskh" w:hint="cs"/>
          <w:sz w:val="28"/>
          <w:rtl/>
          <w:lang w:bidi="ar-SY"/>
        </w:rPr>
        <w:t>[</w:t>
      </w:r>
      <w:r w:rsidR="002E2814">
        <w:rPr>
          <w:rFonts w:ascii="Abo-thar" w:hAnsi="Abo-thar" w:cs="KFGQPC Uthman Taha Naskh"/>
          <w:sz w:val="28"/>
          <w:rtl/>
          <w:lang w:bidi="ar-SY"/>
        </w:rPr>
        <w:t>يعن</w:t>
      </w:r>
      <w:r w:rsidR="002E2814">
        <w:rPr>
          <w:rFonts w:ascii="Abo-thar" w:hAnsi="Abo-thar" w:cs="KFGQPC Uthman Taha Naskh" w:hint="cs"/>
          <w:sz w:val="28"/>
          <w:rtl/>
          <w:lang w:bidi="ar-SY"/>
        </w:rPr>
        <w:t>ي:</w:t>
      </w:r>
      <w:r w:rsidR="002E2814" w:rsidRPr="004A3642">
        <w:rPr>
          <w:rFonts w:ascii="Abo-thar" w:hAnsi="Abo-thar" w:cs="KFGQPC Uthman Taha Naskh"/>
          <w:sz w:val="28"/>
          <w:rtl/>
          <w:lang w:bidi="ar-SY"/>
        </w:rPr>
        <w:t xml:space="preserve"> ما منع علي</w:t>
      </w:r>
      <w:r w:rsidR="002E2814" w:rsidRPr="004A3642">
        <w:rPr>
          <w:rFonts w:ascii="Abo-thar" w:hAnsi="Abo-thar" w:cs="KFGQPC Uthman Taha Naskh" w:hint="cs"/>
          <w:sz w:val="28"/>
          <w:rtl/>
          <w:lang w:bidi="ar-SY"/>
        </w:rPr>
        <w:t>َّ</w:t>
      </w:r>
      <w:r w:rsidR="002E2814" w:rsidRPr="004A3642">
        <w:rPr>
          <w:rFonts w:ascii="Abo-thar" w:hAnsi="Abo-thar" w:cs="KFGQPC Uthman Taha Naskh"/>
          <w:sz w:val="28"/>
          <w:rtl/>
          <w:lang w:bidi="ar-SY"/>
        </w:rPr>
        <w:t>ا</w:t>
      </w:r>
      <w:r w:rsidR="002E2814" w:rsidRPr="004A3642">
        <w:rPr>
          <w:rFonts w:ascii="Abo-thar" w:hAnsi="Abo-thar" w:cs="KFGQPC Uthman Taha Naskh" w:hint="cs"/>
          <w:sz w:val="28"/>
          <w:rtl/>
          <w:lang w:bidi="ar-SY"/>
        </w:rPr>
        <w:t>ً</w:t>
      </w:r>
      <w:r w:rsidR="002E2814" w:rsidRPr="004A3642">
        <w:rPr>
          <w:rFonts w:ascii="Abo-thar" w:hAnsi="Abo-thar" w:cs="KFGQPC Uthman Taha Naskh"/>
          <w:sz w:val="28"/>
          <w:rtl/>
          <w:lang w:bidi="ar-SY"/>
        </w:rPr>
        <w:t xml:space="preserve"> أن يعمل فيه برأيه</w:t>
      </w:r>
      <w:r w:rsidR="002E2814" w:rsidRPr="004A3642">
        <w:rPr>
          <w:rFonts w:ascii="Abo-thar" w:hAnsi="Abo-thar" w:cs="KFGQPC Uthman Taha Naskh" w:hint="cs"/>
          <w:sz w:val="28"/>
          <w:rtl/>
          <w:lang w:bidi="ar-SY"/>
        </w:rPr>
        <w:t>؟]</w:t>
      </w:r>
      <w:r w:rsidR="002E2814" w:rsidRPr="002E2814">
        <w:rPr>
          <w:rFonts w:ascii="Abo-thar" w:hAnsi="Abo-thar" w:cs="KFGQPC Uthman Taha Naskh"/>
          <w:b/>
          <w:bCs/>
          <w:sz w:val="28"/>
          <w:rtl/>
          <w:lang w:bidi="ar-SY"/>
        </w:rPr>
        <w:t xml:space="preserve"> قَالَ</w:t>
      </w:r>
      <w:r w:rsidR="002E2814">
        <w:rPr>
          <w:rFonts w:ascii="Abo-thar" w:hAnsi="Abo-thar" w:cs="KFGQPC Uthman Taha Naskh" w:hint="cs"/>
          <w:b/>
          <w:bCs/>
          <w:sz w:val="28"/>
          <w:rtl/>
          <w:lang w:bidi="ar-SY"/>
        </w:rPr>
        <w:t>:</w:t>
      </w:r>
      <w:r w:rsidR="002E2814" w:rsidRPr="002E2814">
        <w:rPr>
          <w:rFonts w:ascii="Abo-thar" w:hAnsi="Abo-thar" w:cs="KFGQPC Uthman Taha Naskh"/>
          <w:b/>
          <w:bCs/>
          <w:sz w:val="28"/>
          <w:rtl/>
          <w:lang w:bidi="ar-SY"/>
        </w:rPr>
        <w:t xml:space="preserve"> </w:t>
      </w:r>
      <w:r w:rsidR="002E2814">
        <w:rPr>
          <w:rFonts w:ascii="Abo-thar" w:hAnsi="Abo-thar" w:cs="KFGQPC Uthman Taha Naskh"/>
          <w:b/>
          <w:bCs/>
          <w:sz w:val="28"/>
          <w:rtl/>
          <w:lang w:bidi="ar-SY"/>
        </w:rPr>
        <w:t>ك</w:t>
      </w:r>
      <w:r w:rsidR="002E2814">
        <w:rPr>
          <w:rFonts w:ascii="Abo-thar" w:hAnsi="Abo-thar" w:cs="KFGQPC Uthman Taha Naskh" w:hint="cs"/>
          <w:b/>
          <w:bCs/>
          <w:sz w:val="28"/>
          <w:rtl/>
          <w:lang w:bidi="ar-SY"/>
        </w:rPr>
        <w:t>َ</w:t>
      </w:r>
      <w:r w:rsidR="002E2814">
        <w:rPr>
          <w:rFonts w:ascii="Abo-thar" w:hAnsi="Abo-thar" w:cs="KFGQPC Uthman Taha Naskh"/>
          <w:b/>
          <w:bCs/>
          <w:sz w:val="28"/>
          <w:rtl/>
          <w:lang w:bidi="ar-SY"/>
        </w:rPr>
        <w:t>ر</w:t>
      </w:r>
      <w:r w:rsidR="002E2814">
        <w:rPr>
          <w:rFonts w:ascii="Abo-thar" w:hAnsi="Abo-thar" w:cs="KFGQPC Uthman Taha Naskh" w:hint="cs"/>
          <w:b/>
          <w:bCs/>
          <w:sz w:val="28"/>
          <w:rtl/>
          <w:lang w:bidi="ar-SY"/>
        </w:rPr>
        <w:t>ِ</w:t>
      </w:r>
      <w:r w:rsidR="002E2814">
        <w:rPr>
          <w:rFonts w:ascii="Abo-thar" w:hAnsi="Abo-thar" w:cs="KFGQPC Uthman Taha Naskh"/>
          <w:b/>
          <w:bCs/>
          <w:sz w:val="28"/>
          <w:rtl/>
          <w:lang w:bidi="ar-SY"/>
        </w:rPr>
        <w:t>ه</w:t>
      </w:r>
      <w:r w:rsidR="002E2814">
        <w:rPr>
          <w:rFonts w:ascii="Abo-thar" w:hAnsi="Abo-thar" w:cs="KFGQPC Uthman Taha Naskh" w:hint="cs"/>
          <w:b/>
          <w:bCs/>
          <w:sz w:val="28"/>
          <w:rtl/>
          <w:lang w:bidi="ar-SY"/>
        </w:rPr>
        <w:t>َ وَاللهِ</w:t>
      </w:r>
      <w:r w:rsidR="002E2814" w:rsidRPr="002E2814">
        <w:rPr>
          <w:rFonts w:ascii="Abo-thar" w:hAnsi="Abo-thar" w:cs="KFGQPC Uthman Taha Naskh"/>
          <w:b/>
          <w:bCs/>
          <w:sz w:val="28"/>
          <w:rtl/>
          <w:lang w:bidi="ar-SY"/>
        </w:rPr>
        <w:t xml:space="preserve"> أَنْ يُدَّعَى عَلَيْهِ خِلَافُهُمَا</w:t>
      </w:r>
      <w:r w:rsidR="002E2814">
        <w:rPr>
          <w:rFonts w:ascii="Abo-thar" w:hAnsi="Abo-thar" w:cs="KFGQPC Uthman Taha Naskh" w:hint="cs"/>
          <w:sz w:val="28"/>
          <w:rtl/>
          <w:lang w:bidi="ar-SY"/>
        </w:rPr>
        <w:t xml:space="preserve"> </w:t>
      </w:r>
      <w:r w:rsidR="002E2814" w:rsidRPr="004A3642">
        <w:rPr>
          <w:rFonts w:ascii="Abo-thar" w:hAnsi="Abo-thar" w:cs="KFGQPC Uthman Taha Naskh" w:hint="cs"/>
          <w:sz w:val="28"/>
          <w:rtl/>
          <w:lang w:bidi="ar-SY"/>
        </w:rPr>
        <w:t xml:space="preserve">[أي خلاف </w:t>
      </w:r>
      <w:r w:rsidR="002E2814" w:rsidRPr="004A3642">
        <w:rPr>
          <w:rFonts w:ascii="Abo-thar" w:hAnsi="Abo-thar" w:cs="KFGQPC Uthman Taha Naskh"/>
          <w:sz w:val="28"/>
          <w:rtl/>
          <w:lang w:bidi="ar-SY"/>
        </w:rPr>
        <w:t>أبي بكر وعمر</w:t>
      </w:r>
      <w:r w:rsidR="002E2814" w:rsidRPr="004A3642">
        <w:rPr>
          <w:rFonts w:ascii="Abo-thar" w:hAnsi="Abo-thar" w:cs="KFGQPC Uthman Taha Naskh" w:hint="cs"/>
          <w:sz w:val="28"/>
          <w:rtl/>
          <w:lang w:bidi="ar-SY"/>
        </w:rPr>
        <w:t>]»</w:t>
      </w:r>
      <w:r w:rsidR="002E2814" w:rsidRPr="0021507A">
        <w:rPr>
          <w:rFonts w:cs="Arabic11 BT"/>
          <w:b/>
          <w:sz w:val="28"/>
          <w:vertAlign w:val="superscript"/>
          <w:rtl/>
          <w:lang w:bidi="ar-SY"/>
        </w:rPr>
        <w:t>(</w:t>
      </w:r>
      <w:r w:rsidR="002E2814" w:rsidRPr="0021507A">
        <w:rPr>
          <w:rStyle w:val="FootnoteReference"/>
          <w:rFonts w:cs="Arabic11 BT"/>
          <w:b/>
          <w:sz w:val="28"/>
          <w:rtl/>
          <w:lang w:bidi="ar-SY"/>
        </w:rPr>
        <w:footnoteReference w:id="120"/>
      </w:r>
      <w:r w:rsidR="002E2814" w:rsidRPr="0021507A">
        <w:rPr>
          <w:rFonts w:cs="Arabic11 BT"/>
          <w:b/>
          <w:sz w:val="28"/>
          <w:vertAlign w:val="superscript"/>
          <w:rtl/>
          <w:lang w:bidi="ar-SY"/>
        </w:rPr>
        <w:t>)</w:t>
      </w:r>
      <w:r w:rsidR="002E2814">
        <w:rPr>
          <w:rFonts w:hint="cs"/>
          <w:sz w:val="28"/>
          <w:rtl/>
          <w:lang w:bidi="ar-SY"/>
        </w:rPr>
        <w:t>.</w:t>
      </w:r>
      <w:r w:rsidR="002E2814" w:rsidRPr="00995B26">
        <w:rPr>
          <w:rFonts w:hint="cs"/>
          <w:sz w:val="28"/>
          <w:rtl/>
          <w:lang w:bidi="ar-SY"/>
        </w:rPr>
        <w:t xml:space="preserve"> </w:t>
      </w:r>
      <w:r w:rsidR="002E2814" w:rsidRPr="00995B26">
        <w:rPr>
          <w:rFonts w:ascii="Abo-thar" w:hAnsi="Abo-thar" w:hint="cs"/>
          <w:sz w:val="28"/>
          <w:rtl/>
          <w:lang w:bidi="ar-SY"/>
        </w:rPr>
        <w:t xml:space="preserve">وقد روى الطحاوي </w:t>
      </w:r>
      <w:r w:rsidR="002E2814" w:rsidRPr="00995B26">
        <w:rPr>
          <w:rFonts w:ascii="Abo-thar" w:hAnsi="Abo-thar"/>
          <w:sz w:val="28"/>
          <w:rtl/>
          <w:lang w:bidi="ar-SY"/>
        </w:rPr>
        <w:t xml:space="preserve">(321هـ) </w:t>
      </w:r>
      <w:r w:rsidR="002E2814" w:rsidRPr="00995B26">
        <w:rPr>
          <w:rFonts w:ascii="Abo-thar" w:hAnsi="Abo-thar" w:hint="cs"/>
          <w:sz w:val="28"/>
          <w:rtl/>
          <w:lang w:bidi="ar-SY"/>
        </w:rPr>
        <w:t>أيضاً هذا الحديث في كتابه (ج2/ص136).</w:t>
      </w:r>
      <w:r w:rsidR="002E2814" w:rsidRPr="002E2814">
        <w:rPr>
          <w:rFonts w:ascii="Abo-thar" w:hAnsi="Abo-thar" w:cs="KFGQPC Uthman Taha Naskh"/>
          <w:b/>
          <w:bCs/>
          <w:sz w:val="28"/>
          <w:rtl/>
          <w:lang w:bidi="ar-SY"/>
        </w:rPr>
        <w:t>»</w:t>
      </w:r>
    </w:p>
    <w:p w:rsidR="005C664D" w:rsidRPr="003F3B94" w:rsidRDefault="005C664D" w:rsidP="003F3B94">
      <w:pPr>
        <w:pStyle w:val="a0"/>
        <w:rPr>
          <w:rFonts w:hint="cs"/>
          <w:rtl/>
          <w:lang w:bidi="ar-SY"/>
        </w:rPr>
      </w:pPr>
      <w:r w:rsidRPr="003F3B94">
        <w:rPr>
          <w:rFonts w:ascii="Abo-thar" w:hAnsi="Abo-thar" w:hint="cs"/>
          <w:sz w:val="28"/>
          <w:rtl/>
          <w:lang w:bidi="ar-SY"/>
        </w:rPr>
        <w:t xml:space="preserve"> لكننا لا نقبل بمثل هذا الادعاء عن علي</w:t>
      </w:r>
      <w:r w:rsidR="00147857" w:rsidRPr="003F3B94">
        <w:rPr>
          <w:rFonts w:ascii="Abo-thar" w:hAnsi="Abo-thar" w:hint="cs"/>
          <w:sz w:val="28"/>
          <w:rtl/>
          <w:lang w:bidi="ar-SY"/>
        </w:rPr>
        <w:t xml:space="preserve"> </w:t>
      </w:r>
      <w:r w:rsidR="003C7AEB" w:rsidRPr="003C7AEB">
        <w:rPr>
          <w:rFonts w:ascii="Abo-thar" w:hAnsi="Abo-thar" w:cs="CTraditional Arabic"/>
          <w:sz w:val="28"/>
          <w:rtl/>
          <w:lang w:bidi="ar-SY"/>
        </w:rPr>
        <w:t>÷</w:t>
      </w:r>
      <w:r w:rsidR="00147857" w:rsidRPr="003F3B94">
        <w:rPr>
          <w:rFonts w:ascii="Abo-thar" w:hAnsi="Abo-thar"/>
          <w:sz w:val="28"/>
          <w:rtl/>
          <w:lang w:bidi="ar-SY"/>
        </w:rPr>
        <w:t xml:space="preserve"> </w:t>
      </w:r>
      <w:r w:rsidRPr="003F3B94">
        <w:rPr>
          <w:rFonts w:ascii="Abo-thar" w:hAnsi="Abo-thar" w:hint="cs"/>
          <w:sz w:val="28"/>
          <w:rtl/>
          <w:lang w:bidi="ar-SY"/>
        </w:rPr>
        <w:t>أبداً</w:t>
      </w:r>
      <w:r w:rsidR="00217AB4" w:rsidRPr="003F3B94">
        <w:rPr>
          <w:rFonts w:ascii="Abo-thar" w:hAnsi="Abo-thar" w:hint="cs"/>
          <w:sz w:val="28"/>
          <w:rtl/>
          <w:lang w:bidi="ar-SY"/>
        </w:rPr>
        <w:t>،</w:t>
      </w:r>
      <w:r w:rsidRPr="003F3B94">
        <w:rPr>
          <w:rFonts w:ascii="Abo-thar" w:hAnsi="Abo-thar" w:hint="cs"/>
          <w:sz w:val="28"/>
          <w:rtl/>
          <w:lang w:bidi="ar-SY"/>
        </w:rPr>
        <w:t xml:space="preserve"> ذلك لأن أمير المؤمنين علياً لم يكن ذلك الشخص الذي ي</w:t>
      </w:r>
      <w:r w:rsidR="00652969" w:rsidRPr="003F3B94">
        <w:rPr>
          <w:rFonts w:ascii="Abo-thar" w:hAnsi="Abo-thar" w:hint="cs"/>
          <w:sz w:val="28"/>
          <w:rtl/>
          <w:lang w:bidi="ar-SY"/>
        </w:rPr>
        <w:t>َ</w:t>
      </w:r>
      <w:r w:rsidRPr="003F3B94">
        <w:rPr>
          <w:rFonts w:ascii="Abo-thar" w:hAnsi="Abo-thar" w:hint="cs"/>
          <w:sz w:val="28"/>
          <w:rtl/>
          <w:lang w:bidi="ar-SY"/>
        </w:rPr>
        <w:t>د</w:t>
      </w:r>
      <w:r w:rsidR="00652969" w:rsidRPr="003F3B94">
        <w:rPr>
          <w:rFonts w:ascii="Abo-thar" w:hAnsi="Abo-thar" w:hint="cs"/>
          <w:sz w:val="28"/>
          <w:rtl/>
          <w:lang w:bidi="ar-SY"/>
        </w:rPr>
        <w:t>َ</w:t>
      </w:r>
      <w:r w:rsidRPr="003F3B94">
        <w:rPr>
          <w:rFonts w:ascii="Abo-thar" w:hAnsi="Abo-thar" w:hint="cs"/>
          <w:sz w:val="28"/>
          <w:rtl/>
          <w:lang w:bidi="ar-SY"/>
        </w:rPr>
        <w:t>عُ كتابَ الله ويتركُ اتِّباعَ سنة رسول الله</w:t>
      </w:r>
      <w:r w:rsidR="00147857" w:rsidRPr="003F3B94">
        <w:rPr>
          <w:rFonts w:ascii="Abo-thar" w:hAnsi="Abo-thar" w:hint="cs"/>
          <w:sz w:val="28"/>
          <w:rtl/>
          <w:lang w:bidi="ar-SY"/>
        </w:rPr>
        <w:t xml:space="preserve"> </w:t>
      </w:r>
      <w:r w:rsidR="003C7AEB" w:rsidRPr="003C7AEB">
        <w:rPr>
          <w:rFonts w:ascii="Abo-thar" w:hAnsi="Abo-thar" w:cs="CTraditional Arabic"/>
          <w:sz w:val="28"/>
          <w:rtl/>
          <w:lang w:bidi="ar-SY"/>
        </w:rPr>
        <w:t>ص</w:t>
      </w:r>
      <w:r w:rsidR="00147857" w:rsidRPr="003F3B94">
        <w:rPr>
          <w:rFonts w:ascii="Abo-thar" w:hAnsi="Abo-thar"/>
          <w:sz w:val="28"/>
          <w:rtl/>
          <w:lang w:bidi="ar-SY"/>
        </w:rPr>
        <w:t xml:space="preserve"> </w:t>
      </w:r>
      <w:r w:rsidRPr="003F3B94">
        <w:rPr>
          <w:rFonts w:ascii="Abo-thar" w:hAnsi="Abo-thar" w:hint="cs"/>
          <w:sz w:val="28"/>
          <w:rtl/>
          <w:lang w:bidi="ar-SY"/>
        </w:rPr>
        <w:t>ليتبع رأي أبي بكر</w:t>
      </w:r>
      <w:r w:rsidR="00147857" w:rsidRPr="003F3B94">
        <w:rPr>
          <w:rFonts w:ascii="Abo-thar" w:hAnsi="Abo-thar" w:hint="cs"/>
          <w:sz w:val="28"/>
          <w:rtl/>
          <w:lang w:bidi="ar-SY"/>
        </w:rPr>
        <w:t xml:space="preserve"> و</w:t>
      </w:r>
      <w:r w:rsidRPr="003F3B94">
        <w:rPr>
          <w:rFonts w:ascii="Abo-thar" w:hAnsi="Abo-thar" w:hint="cs"/>
          <w:sz w:val="28"/>
          <w:rtl/>
          <w:lang w:bidi="ar-SY"/>
        </w:rPr>
        <w:t>عمر</w:t>
      </w:r>
      <w:r w:rsidR="00217AB4" w:rsidRPr="003F3B94">
        <w:rPr>
          <w:rFonts w:ascii="Abo-thar" w:hAnsi="Abo-thar" w:hint="cs"/>
          <w:sz w:val="28"/>
          <w:rtl/>
          <w:lang w:bidi="ar-SY"/>
        </w:rPr>
        <w:t>.</w:t>
      </w:r>
      <w:r w:rsidRPr="003F3B94">
        <w:rPr>
          <w:rFonts w:ascii="Abo-thar" w:hAnsi="Abo-thar" w:hint="cs"/>
          <w:sz w:val="28"/>
          <w:rtl/>
          <w:lang w:bidi="ar-SY"/>
        </w:rPr>
        <w:t xml:space="preserve"> وقد جاء في الأحاديث الصحيحة والتواريخ المعتبر</w:t>
      </w:r>
      <w:r w:rsidRPr="003F3B94">
        <w:rPr>
          <w:rFonts w:ascii="Abo-thar" w:hAnsi="Abo-thar" w:hint="eastAsia"/>
          <w:sz w:val="28"/>
          <w:rtl/>
          <w:lang w:bidi="ar-SY"/>
        </w:rPr>
        <w:t>ة</w:t>
      </w:r>
      <w:r w:rsidRPr="003F3B94">
        <w:rPr>
          <w:rFonts w:ascii="Abo-thar" w:hAnsi="Abo-thar" w:hint="cs"/>
          <w:sz w:val="28"/>
          <w:rtl/>
          <w:lang w:bidi="ar-SY"/>
        </w:rPr>
        <w:t xml:space="preserve"> أنه لما اعترض طلحة والزبير على عليٍّ لعدم اتباعه في تقسيم الأموال سنة أبي بكر وعمر</w:t>
      </w:r>
      <w:r w:rsidR="00217AB4" w:rsidRPr="003F3B94">
        <w:rPr>
          <w:rFonts w:ascii="Abo-thar" w:hAnsi="Abo-thar" w:hint="cs"/>
          <w:sz w:val="28"/>
          <w:rtl/>
          <w:lang w:bidi="ar-SY"/>
        </w:rPr>
        <w:t>،</w:t>
      </w:r>
      <w:r w:rsidRPr="003F3B94">
        <w:rPr>
          <w:rFonts w:ascii="Abo-thar" w:hAnsi="Abo-thar" w:hint="cs"/>
          <w:sz w:val="28"/>
          <w:rtl/>
          <w:lang w:bidi="ar-SY"/>
        </w:rPr>
        <w:t xml:space="preserve"> و</w:t>
      </w:r>
      <w:r w:rsidR="00EF2588" w:rsidRPr="004A3642">
        <w:rPr>
          <w:rFonts w:ascii="Abo-thar" w:hAnsi="Abo-thar" w:cs="KFGQPC Uthman Taha Naskh" w:hint="cs"/>
          <w:sz w:val="28"/>
          <w:rtl/>
          <w:lang w:bidi="ar-SY"/>
        </w:rPr>
        <w:t>«</w:t>
      </w:r>
      <w:r w:rsidRPr="004A3642">
        <w:rPr>
          <w:rFonts w:ascii="Abo-thar" w:hAnsi="Abo-thar" w:cs="KFGQPC Uthman Taha Naskh"/>
          <w:b/>
          <w:bCs/>
          <w:sz w:val="28"/>
          <w:rtl/>
          <w:lang w:bidi="ar-SY"/>
        </w:rPr>
        <w:t>قَالَا لَيْسَ كَذَلِكَ كَانَ يُعْطِينَا عُمَرُ</w:t>
      </w:r>
      <w:r w:rsidR="00217AB4" w:rsidRPr="004A3642">
        <w:rPr>
          <w:rFonts w:ascii="Abo-thar" w:hAnsi="Abo-thar" w:cs="KFGQPC Uthman Taha Naskh" w:hint="cs"/>
          <w:b/>
          <w:bCs/>
          <w:sz w:val="28"/>
          <w:rtl/>
          <w:lang w:bidi="ar-SY"/>
        </w:rPr>
        <w:t>!</w:t>
      </w:r>
      <w:r w:rsidRPr="004A3642">
        <w:rPr>
          <w:rFonts w:ascii="Abo-thar" w:hAnsi="Abo-thar" w:cs="KFGQPC Uthman Taha Naskh"/>
          <w:b/>
          <w:bCs/>
          <w:sz w:val="28"/>
          <w:rtl/>
          <w:lang w:bidi="ar-SY"/>
        </w:rPr>
        <w:t xml:space="preserve"> قَالَ</w:t>
      </w:r>
      <w:r w:rsidR="00147857" w:rsidRPr="004A3642">
        <w:rPr>
          <w:rFonts w:ascii="Abo-thar" w:hAnsi="Abo-thar" w:cs="KFGQPC Uthman Taha Naskh"/>
          <w:b/>
          <w:bCs/>
          <w:sz w:val="28"/>
          <w:rtl/>
          <w:lang w:bidi="ar-SY"/>
        </w:rPr>
        <w:t xml:space="preserve"> </w:t>
      </w:r>
      <w:r w:rsidR="003C7AEB" w:rsidRPr="003C7AEB">
        <w:rPr>
          <w:rFonts w:ascii="Abo-thar" w:hAnsi="Abo-thar" w:cs="CTraditional Arabic"/>
          <w:sz w:val="28"/>
          <w:rtl/>
          <w:lang w:bidi="ar-SY"/>
        </w:rPr>
        <w:t>÷</w:t>
      </w:r>
      <w:r w:rsidR="00217AB4" w:rsidRPr="004A3642">
        <w:rPr>
          <w:rFonts w:ascii="Abo-thar" w:hAnsi="Abo-thar" w:cs="KFGQPC Uthman Taha Naskh"/>
          <w:sz w:val="28"/>
          <w:rtl/>
          <w:lang w:bidi="ar-SY"/>
        </w:rPr>
        <w:t>:</w:t>
      </w:r>
      <w:r w:rsidRPr="004A3642">
        <w:rPr>
          <w:rFonts w:ascii="Abo-thar" w:hAnsi="Abo-thar" w:cs="KFGQPC Uthman Taha Naskh"/>
          <w:b/>
          <w:bCs/>
          <w:sz w:val="28"/>
          <w:rtl/>
          <w:lang w:bidi="ar-SY"/>
        </w:rPr>
        <w:t xml:space="preserve"> فَمَا كَانَ يُعْطِيكُمَا رَسُولُ اللهِ</w:t>
      </w:r>
      <w:r w:rsidR="00147857" w:rsidRPr="004A3642">
        <w:rPr>
          <w:rFonts w:ascii="Abo-thar" w:hAnsi="Abo-thar" w:cs="KFGQPC Uthman Taha Naskh"/>
          <w:b/>
          <w:bCs/>
          <w:sz w:val="28"/>
          <w:rtl/>
          <w:lang w:bidi="ar-SY"/>
        </w:rPr>
        <w:t xml:space="preserve"> </w:t>
      </w:r>
      <w:r w:rsidR="003C7AEB" w:rsidRPr="003C7AEB">
        <w:rPr>
          <w:rFonts w:ascii="Abo-thar" w:hAnsi="Abo-thar" w:cs="CTraditional Arabic"/>
          <w:sz w:val="28"/>
          <w:rtl/>
          <w:lang w:bidi="ar-SY"/>
        </w:rPr>
        <w:t>ص</w:t>
      </w:r>
      <w:r w:rsidR="00217AB4" w:rsidRPr="004A3642">
        <w:rPr>
          <w:rFonts w:ascii="Abo-thar" w:hAnsi="Abo-thar" w:cs="KFGQPC Uthman Taha Naskh"/>
          <w:sz w:val="28"/>
          <w:rtl/>
          <w:lang w:bidi="ar-SY"/>
        </w:rPr>
        <w:t>؟</w:t>
      </w:r>
      <w:r w:rsidRPr="004A3642">
        <w:rPr>
          <w:rFonts w:ascii="Abo-thar" w:hAnsi="Abo-thar" w:cs="KFGQPC Uthman Taha Naskh"/>
          <w:b/>
          <w:bCs/>
          <w:sz w:val="28"/>
          <w:rtl/>
          <w:lang w:bidi="ar-SY"/>
        </w:rPr>
        <w:t xml:space="preserve"> فَسَكَتَا</w:t>
      </w:r>
      <w:r w:rsidR="00217AB4" w:rsidRPr="004A3642">
        <w:rPr>
          <w:rFonts w:ascii="Abo-thar" w:hAnsi="Abo-thar" w:cs="KFGQPC Uthman Taha Naskh" w:hint="cs"/>
          <w:b/>
          <w:bCs/>
          <w:sz w:val="28"/>
          <w:rtl/>
          <w:lang w:bidi="ar-SY"/>
        </w:rPr>
        <w:t>.</w:t>
      </w:r>
      <w:r w:rsidR="00147857" w:rsidRPr="004A3642">
        <w:rPr>
          <w:rFonts w:ascii="Abo-thar" w:hAnsi="Abo-thar" w:cs="KFGQPC Uthman Taha Naskh" w:hint="cs"/>
          <w:b/>
          <w:bCs/>
          <w:sz w:val="28"/>
          <w:rtl/>
          <w:lang w:bidi="ar-SY"/>
        </w:rPr>
        <w:t xml:space="preserve"> </w:t>
      </w:r>
      <w:r w:rsidRPr="004A3642">
        <w:rPr>
          <w:rFonts w:ascii="Abo-thar" w:hAnsi="Abo-thar" w:cs="KFGQPC Uthman Taha Naskh"/>
          <w:b/>
          <w:bCs/>
          <w:sz w:val="28"/>
          <w:rtl/>
          <w:lang w:bidi="ar-SY"/>
        </w:rPr>
        <w:t>فَقَالَ</w:t>
      </w:r>
      <w:r w:rsidR="00147857" w:rsidRPr="004A3642">
        <w:rPr>
          <w:rFonts w:ascii="Abo-thar" w:hAnsi="Abo-thar" w:cs="KFGQPC Uthman Taha Naskh"/>
          <w:b/>
          <w:bCs/>
          <w:sz w:val="28"/>
          <w:rtl/>
          <w:lang w:bidi="ar-SY"/>
        </w:rPr>
        <w:t xml:space="preserve"> </w:t>
      </w:r>
      <w:r w:rsidR="003C7AEB" w:rsidRPr="003C7AEB">
        <w:rPr>
          <w:rFonts w:ascii="Abo-thar" w:hAnsi="Abo-thar" w:cs="CTraditional Arabic"/>
          <w:sz w:val="28"/>
          <w:rtl/>
          <w:lang w:bidi="ar-SY"/>
        </w:rPr>
        <w:t>÷</w:t>
      </w:r>
      <w:r w:rsidR="00217AB4" w:rsidRPr="004A3642">
        <w:rPr>
          <w:rFonts w:ascii="Abo-thar" w:hAnsi="Abo-thar" w:cs="KFGQPC Uthman Taha Naskh"/>
          <w:sz w:val="28"/>
          <w:rtl/>
          <w:lang w:bidi="ar-SY"/>
        </w:rPr>
        <w:t>:</w:t>
      </w:r>
      <w:r w:rsidRPr="004A3642">
        <w:rPr>
          <w:rFonts w:ascii="Abo-thar" w:hAnsi="Abo-thar" w:cs="KFGQPC Uthman Taha Naskh"/>
          <w:b/>
          <w:bCs/>
          <w:sz w:val="28"/>
          <w:rtl/>
          <w:lang w:bidi="ar-SY"/>
        </w:rPr>
        <w:t xml:space="preserve"> أَلَيْسَ كَانَ النَّبِيُ‏</w:t>
      </w:r>
      <w:r w:rsidR="00147857" w:rsidRPr="004A3642">
        <w:rPr>
          <w:rFonts w:ascii="Abo-thar" w:hAnsi="Abo-thar" w:cs="KFGQPC Uthman Taha Naskh" w:hint="cs"/>
          <w:b/>
          <w:bCs/>
          <w:sz w:val="28"/>
          <w:rtl/>
          <w:lang w:bidi="ar-SY"/>
        </w:rPr>
        <w:t xml:space="preserve"> </w:t>
      </w:r>
      <w:r w:rsidR="003C7AEB" w:rsidRPr="003C7AEB">
        <w:rPr>
          <w:rFonts w:ascii="Abo-thar" w:hAnsi="Abo-thar" w:cs="CTraditional Arabic"/>
          <w:sz w:val="28"/>
          <w:rtl/>
          <w:lang w:bidi="ar-SY"/>
        </w:rPr>
        <w:t>ص</w:t>
      </w:r>
      <w:r w:rsidR="00147857" w:rsidRPr="004A3642">
        <w:rPr>
          <w:rFonts w:ascii="Abo-thar" w:hAnsi="Abo-thar" w:cs="KFGQPC Uthman Taha Naskh"/>
          <w:sz w:val="28"/>
          <w:rtl/>
          <w:lang w:bidi="ar-SY"/>
        </w:rPr>
        <w:t xml:space="preserve"> </w:t>
      </w:r>
      <w:r w:rsidRPr="004A3642">
        <w:rPr>
          <w:rFonts w:ascii="Abo-thar" w:hAnsi="Abo-thar" w:cs="KFGQPC Uthman Taha Naskh"/>
          <w:b/>
          <w:bCs/>
          <w:sz w:val="28"/>
          <w:rtl/>
          <w:lang w:bidi="ar-SY"/>
        </w:rPr>
        <w:t>يَقْسِمُ بَيْنَ المُسْلِمِينَ بِالسَّوِيَّةِ</w:t>
      </w:r>
      <w:r w:rsidR="00217AB4" w:rsidRPr="004A3642">
        <w:rPr>
          <w:rFonts w:ascii="Abo-thar" w:hAnsi="Abo-thar" w:cs="KFGQPC Uthman Taha Naskh" w:hint="cs"/>
          <w:b/>
          <w:bCs/>
          <w:sz w:val="28"/>
          <w:rtl/>
          <w:lang w:bidi="ar-SY"/>
        </w:rPr>
        <w:t>؟</w:t>
      </w:r>
      <w:r w:rsidRPr="004A3642">
        <w:rPr>
          <w:rFonts w:ascii="Abo-thar" w:hAnsi="Abo-thar" w:cs="KFGQPC Uthman Taha Naskh"/>
          <w:b/>
          <w:bCs/>
          <w:sz w:val="28"/>
          <w:rtl/>
          <w:lang w:bidi="ar-SY"/>
        </w:rPr>
        <w:t xml:space="preserve"> قَالَا</w:t>
      </w:r>
      <w:r w:rsidR="00217AB4" w:rsidRPr="004A3642">
        <w:rPr>
          <w:rFonts w:ascii="Abo-thar" w:hAnsi="Abo-thar" w:cs="KFGQPC Uthman Taha Naskh" w:hint="cs"/>
          <w:b/>
          <w:bCs/>
          <w:sz w:val="28"/>
          <w:rtl/>
          <w:lang w:bidi="ar-SY"/>
        </w:rPr>
        <w:t>:</w:t>
      </w:r>
      <w:r w:rsidRPr="004A3642">
        <w:rPr>
          <w:rFonts w:ascii="Abo-thar" w:hAnsi="Abo-thar" w:cs="KFGQPC Uthman Taha Naskh" w:hint="cs"/>
          <w:b/>
          <w:bCs/>
          <w:sz w:val="28"/>
          <w:rtl/>
          <w:lang w:bidi="ar-SY"/>
        </w:rPr>
        <w:t xml:space="preserve"> </w:t>
      </w:r>
      <w:r w:rsidRPr="004A3642">
        <w:rPr>
          <w:rFonts w:ascii="Abo-thar" w:hAnsi="Abo-thar" w:cs="KFGQPC Uthman Taha Naskh"/>
          <w:b/>
          <w:bCs/>
          <w:sz w:val="28"/>
          <w:rtl/>
          <w:lang w:bidi="ar-SY"/>
        </w:rPr>
        <w:t>نَعَمْ</w:t>
      </w:r>
      <w:r w:rsidR="00217AB4" w:rsidRPr="004A3642">
        <w:rPr>
          <w:rFonts w:ascii="Abo-thar" w:hAnsi="Abo-thar" w:cs="KFGQPC Uthman Taha Naskh" w:hint="cs"/>
          <w:b/>
          <w:bCs/>
          <w:sz w:val="28"/>
          <w:rtl/>
          <w:lang w:bidi="ar-SY"/>
        </w:rPr>
        <w:t>.</w:t>
      </w:r>
      <w:r w:rsidRPr="004A3642">
        <w:rPr>
          <w:rFonts w:ascii="Abo-thar" w:hAnsi="Abo-thar" w:cs="KFGQPC Uthman Taha Naskh" w:hint="cs"/>
          <w:b/>
          <w:bCs/>
          <w:sz w:val="28"/>
          <w:rtl/>
          <w:lang w:bidi="ar-SY"/>
        </w:rPr>
        <w:t xml:space="preserve"> فقال لهما</w:t>
      </w:r>
      <w:r w:rsidR="00217AB4" w:rsidRPr="004A3642">
        <w:rPr>
          <w:rFonts w:ascii="Abo-thar" w:hAnsi="Abo-thar" w:cs="KFGQPC Uthman Taha Naskh" w:hint="cs"/>
          <w:b/>
          <w:bCs/>
          <w:sz w:val="28"/>
          <w:rtl/>
          <w:lang w:bidi="ar-SY"/>
        </w:rPr>
        <w:t>:</w:t>
      </w:r>
      <w:r w:rsidRPr="004A3642">
        <w:rPr>
          <w:rFonts w:ascii="Abo-thar" w:hAnsi="Abo-thar" w:cs="KFGQPC Uthman Taha Naskh"/>
          <w:b/>
          <w:bCs/>
          <w:sz w:val="28"/>
          <w:rtl/>
          <w:lang w:bidi="ar-SY"/>
        </w:rPr>
        <w:t xml:space="preserve"> فَسُنَّةُ رَسُولِ اللهِ</w:t>
      </w:r>
      <w:r w:rsidR="00147857" w:rsidRPr="004A3642">
        <w:rPr>
          <w:rFonts w:ascii="Abo-thar" w:hAnsi="Abo-thar" w:cs="KFGQPC Uthman Taha Naskh"/>
          <w:b/>
          <w:bCs/>
          <w:sz w:val="28"/>
          <w:rtl/>
          <w:lang w:bidi="ar-SY"/>
        </w:rPr>
        <w:t xml:space="preserve"> </w:t>
      </w:r>
      <w:r w:rsidR="003C7AEB" w:rsidRPr="003C7AEB">
        <w:rPr>
          <w:rFonts w:ascii="Abo-thar" w:hAnsi="Abo-thar" w:cs="CTraditional Arabic"/>
          <w:sz w:val="28"/>
          <w:rtl/>
          <w:lang w:bidi="ar-SY"/>
        </w:rPr>
        <w:t>ص</w:t>
      </w:r>
      <w:r w:rsidR="00147857" w:rsidRPr="004A3642">
        <w:rPr>
          <w:rFonts w:ascii="Abo-thar" w:hAnsi="Abo-thar" w:cs="KFGQPC Uthman Taha Naskh"/>
          <w:sz w:val="28"/>
          <w:rtl/>
          <w:lang w:bidi="ar-SY"/>
        </w:rPr>
        <w:t xml:space="preserve"> </w:t>
      </w:r>
      <w:r w:rsidRPr="004A3642">
        <w:rPr>
          <w:rFonts w:ascii="Abo-thar" w:hAnsi="Abo-thar" w:cs="KFGQPC Uthman Taha Naskh"/>
          <w:b/>
          <w:bCs/>
          <w:sz w:val="28"/>
          <w:rtl/>
          <w:lang w:bidi="ar-SY"/>
        </w:rPr>
        <w:t>أَوْلَى بِالِاتِّبَاعِ عِنْدَكُمَا أَمْ سُنَّةُ عُمَرَ</w:t>
      </w:r>
      <w:r w:rsidR="00217AB4" w:rsidRPr="004A3642">
        <w:rPr>
          <w:rFonts w:ascii="Abo-thar" w:hAnsi="Abo-thar" w:cs="KFGQPC Uthman Taha Naskh" w:hint="cs"/>
          <w:b/>
          <w:bCs/>
          <w:sz w:val="28"/>
          <w:rtl/>
          <w:lang w:bidi="ar-SY"/>
        </w:rPr>
        <w:t>؟</w:t>
      </w:r>
      <w:r w:rsidRPr="004A3642">
        <w:rPr>
          <w:rFonts w:ascii="Abo-thar" w:hAnsi="Abo-thar" w:cs="KFGQPC Uthman Taha Naskh"/>
          <w:b/>
          <w:bCs/>
          <w:sz w:val="28"/>
          <w:rtl/>
          <w:lang w:bidi="ar-SY"/>
        </w:rPr>
        <w:t xml:space="preserve"> قَالَا</w:t>
      </w:r>
      <w:r w:rsidR="00217AB4" w:rsidRPr="004A3642">
        <w:rPr>
          <w:rFonts w:ascii="Abo-thar" w:hAnsi="Abo-thar" w:cs="KFGQPC Uthman Taha Naskh" w:hint="cs"/>
          <w:b/>
          <w:bCs/>
          <w:sz w:val="28"/>
          <w:rtl/>
          <w:lang w:bidi="ar-SY"/>
        </w:rPr>
        <w:t>:</w:t>
      </w:r>
      <w:r w:rsidRPr="004A3642">
        <w:rPr>
          <w:rFonts w:ascii="Abo-thar" w:hAnsi="Abo-thar" w:cs="KFGQPC Uthman Taha Naskh"/>
          <w:b/>
          <w:bCs/>
          <w:sz w:val="28"/>
          <w:rtl/>
          <w:lang w:bidi="ar-SY"/>
        </w:rPr>
        <w:t xml:space="preserve"> سُنَّةُ رَسُولِ اللهِ</w:t>
      </w:r>
      <w:r w:rsidR="00147857" w:rsidRPr="004A3642">
        <w:rPr>
          <w:rFonts w:ascii="Abo-thar" w:hAnsi="Abo-thar" w:cs="KFGQPC Uthman Taha Naskh"/>
          <w:b/>
          <w:bCs/>
          <w:sz w:val="28"/>
          <w:rtl/>
          <w:lang w:bidi="ar-SY"/>
        </w:rPr>
        <w:t xml:space="preserve"> </w:t>
      </w:r>
      <w:r w:rsidR="003C7AEB" w:rsidRPr="003C7AEB">
        <w:rPr>
          <w:rFonts w:ascii="Abo-thar" w:hAnsi="Abo-thar" w:cs="CTraditional Arabic"/>
          <w:sz w:val="28"/>
          <w:rtl/>
          <w:lang w:bidi="ar-SY"/>
        </w:rPr>
        <w:t>ص</w:t>
      </w:r>
      <w:r w:rsidR="00EF2588" w:rsidRPr="004A3642">
        <w:rPr>
          <w:rFonts w:ascii="Abo-thar" w:hAnsi="Abo-thar" w:cs="KFGQPC Uthman Taha Naskh" w:hint="cs"/>
          <w:sz w:val="28"/>
          <w:rtl/>
          <w:lang w:bidi="ar-SY"/>
        </w:rPr>
        <w:t>»</w:t>
      </w:r>
      <w:r w:rsidR="00217AB4" w:rsidRPr="0021507A">
        <w:rPr>
          <w:rFonts w:cs="Arabic11 BT"/>
          <w:b/>
          <w:sz w:val="28"/>
          <w:vertAlign w:val="superscript"/>
          <w:rtl/>
          <w:lang w:bidi="ar-SY"/>
        </w:rPr>
        <w:t>(</w:t>
      </w:r>
      <w:r w:rsidRPr="0021507A">
        <w:rPr>
          <w:rStyle w:val="FootnoteReference"/>
          <w:rFonts w:cs="Arabic11 BT"/>
          <w:b/>
          <w:sz w:val="28"/>
          <w:rtl/>
          <w:lang w:bidi="ar-SY"/>
        </w:rPr>
        <w:footnoteReference w:id="121"/>
      </w:r>
      <w:r w:rsidR="00217AB4" w:rsidRPr="0021507A">
        <w:rPr>
          <w:rFonts w:cs="Arabic11 BT"/>
          <w:b/>
          <w:sz w:val="28"/>
          <w:vertAlign w:val="superscript"/>
          <w:rtl/>
          <w:lang w:bidi="ar-SY"/>
        </w:rPr>
        <w:t>)</w:t>
      </w:r>
      <w:r w:rsidR="00217AB4" w:rsidRPr="003F3B94">
        <w:rPr>
          <w:rFonts w:hint="cs"/>
          <w:sz w:val="28"/>
          <w:rtl/>
          <w:lang w:bidi="ar-SY"/>
        </w:rPr>
        <w:t>.</w:t>
      </w:r>
    </w:p>
    <w:p w:rsidR="005C664D" w:rsidRPr="003F3B94" w:rsidRDefault="005C664D" w:rsidP="003F3B94">
      <w:pPr>
        <w:pStyle w:val="a0"/>
        <w:rPr>
          <w:rFonts w:hint="cs"/>
          <w:rtl/>
          <w:lang w:bidi="ar-SY"/>
        </w:rPr>
      </w:pPr>
      <w:r w:rsidRPr="003F3B94">
        <w:rPr>
          <w:rFonts w:hint="cs"/>
          <w:sz w:val="28"/>
          <w:rtl/>
          <w:lang w:bidi="ar-SY"/>
        </w:rPr>
        <w:t>وقال لهما صريحاً في موقف آخر</w:t>
      </w:r>
      <w:r w:rsidR="00217AB4" w:rsidRPr="003F3B94">
        <w:rPr>
          <w:rFonts w:hint="cs"/>
          <w:sz w:val="28"/>
          <w:rtl/>
          <w:lang w:bidi="ar-SY"/>
        </w:rPr>
        <w:t>:</w:t>
      </w:r>
      <w:r w:rsidRPr="003F3B94">
        <w:rPr>
          <w:rFonts w:hint="cs"/>
          <w:sz w:val="28"/>
          <w:rtl/>
          <w:lang w:bidi="ar-SY"/>
        </w:rPr>
        <w:t xml:space="preserve"> </w:t>
      </w:r>
      <w:r w:rsidR="00EF2588" w:rsidRPr="004A3642">
        <w:rPr>
          <w:rFonts w:ascii="Abo-thar" w:hAnsi="Abo-thar" w:cs="KFGQPC Uthman Taha Naskh" w:hint="cs"/>
          <w:sz w:val="28"/>
          <w:rtl/>
          <w:lang w:bidi="ar-SY"/>
        </w:rPr>
        <w:t>«</w:t>
      </w:r>
      <w:r w:rsidRPr="004A3642">
        <w:rPr>
          <w:rFonts w:ascii="Abo-thar" w:hAnsi="Abo-thar" w:cs="KFGQPC Uthman Taha Naskh"/>
          <w:b/>
          <w:bCs/>
          <w:sz w:val="28"/>
          <w:rtl/>
          <w:lang w:bidi="ar-SY"/>
        </w:rPr>
        <w:t xml:space="preserve">فَلَمَّا أَفْضَتْ إِلَيَّ </w:t>
      </w:r>
      <w:r w:rsidRPr="004A3642">
        <w:rPr>
          <w:rFonts w:ascii="Abo-thar" w:hAnsi="Abo-thar" w:cs="KFGQPC Uthman Taha Naskh" w:hint="cs"/>
          <w:b/>
          <w:bCs/>
          <w:sz w:val="28"/>
          <w:rtl/>
          <w:lang w:bidi="ar-SY"/>
        </w:rPr>
        <w:t xml:space="preserve">[أي الخلافة] </w:t>
      </w:r>
      <w:r w:rsidRPr="004A3642">
        <w:rPr>
          <w:rFonts w:ascii="Abo-thar" w:hAnsi="Abo-thar" w:cs="KFGQPC Uthman Taha Naskh"/>
          <w:b/>
          <w:bCs/>
          <w:sz w:val="28"/>
          <w:rtl/>
          <w:lang w:bidi="ar-SY"/>
        </w:rPr>
        <w:t>نَظَرْتُ فِي كِتَابِ اللهِ وسُنَّةِ رَسُولِهِ فَأَمْضَيْتُ مَا</w:t>
      </w:r>
      <w:r w:rsidRPr="004A3642">
        <w:rPr>
          <w:rFonts w:ascii="Abo-thar" w:hAnsi="Abo-thar" w:cs="KFGQPC Uthman Taha Naskh" w:hint="cs"/>
          <w:b/>
          <w:bCs/>
          <w:sz w:val="28"/>
          <w:rtl/>
          <w:lang w:bidi="ar-SY"/>
        </w:rPr>
        <w:t xml:space="preserve"> </w:t>
      </w:r>
      <w:r w:rsidRPr="004A3642">
        <w:rPr>
          <w:rFonts w:ascii="Abo-thar" w:hAnsi="Abo-thar" w:cs="KFGQPC Uthman Taha Naskh"/>
          <w:b/>
          <w:bCs/>
          <w:sz w:val="28"/>
          <w:rtl/>
          <w:lang w:bidi="ar-SY"/>
        </w:rPr>
        <w:t>دَلَّانِي عَلَيْهِ واتَّبَعْتُهُ ولَمْ أَحْتَجْ إِلَى رَأْيِكُمَا فِيهِ ولَا</w:t>
      </w:r>
      <w:r w:rsidRPr="004A3642">
        <w:rPr>
          <w:rFonts w:cs="Times New Roman" w:hint="cs"/>
          <w:b/>
          <w:bCs/>
          <w:sz w:val="28"/>
          <w:rtl/>
          <w:lang w:bidi="ar-SY"/>
        </w:rPr>
        <w:t> </w:t>
      </w:r>
      <w:r w:rsidRPr="004A3642">
        <w:rPr>
          <w:rFonts w:ascii="Abo-thar" w:hAnsi="Abo-thar" w:cs="KFGQPC Uthman Taha Naskh"/>
          <w:b/>
          <w:bCs/>
          <w:sz w:val="28"/>
          <w:rtl/>
          <w:lang w:bidi="ar-SY"/>
        </w:rPr>
        <w:t>رَأْيِ غَيْرِكُمَا</w:t>
      </w:r>
      <w:r w:rsidRPr="004A3642">
        <w:rPr>
          <w:rFonts w:ascii="Abo-thar" w:hAnsi="Abo-thar" w:cs="KFGQPC Uthman Taha Naskh"/>
          <w:sz w:val="28"/>
          <w:rtl/>
          <w:lang w:bidi="ar-SY"/>
        </w:rPr>
        <w:t xml:space="preserve"> ولَوْ وَقَعَ حُكْمٌ لَيْسَ فِي كِتَابِ اللهِ بَيَانُهُ ولَا فِي السُّنَّةِ بُرْهَانُهُ واحْتِيجَ إِلَى المُشَاوَرَةِ فِيهِ لَشَاوَرْتُكُمَا فِيهِ و</w:t>
      </w:r>
      <w:r w:rsidRPr="004A3642">
        <w:rPr>
          <w:rFonts w:ascii="Abo-thar" w:hAnsi="Abo-thar" w:cs="KFGQPC Uthman Taha Naskh"/>
          <w:b/>
          <w:bCs/>
          <w:sz w:val="28"/>
          <w:rtl/>
          <w:lang w:bidi="ar-SY"/>
        </w:rPr>
        <w:t>أَمَّا القَسْمُ وَالأُسْوَةُ فَإِنَّ ذَلِكَ أَمْرٌ لَمْ أَحْكُمْ فِيهِ بَادِئَ بَدْءٍ قَدْ وَجَدْتُ أَنَا وأَنْتُمَا رَسُولَ اللهِ</w:t>
      </w:r>
      <w:r w:rsidR="00147857" w:rsidRPr="004A3642">
        <w:rPr>
          <w:rFonts w:ascii="Abo-thar" w:hAnsi="Abo-thar" w:cs="KFGQPC Uthman Taha Naskh"/>
          <w:b/>
          <w:bCs/>
          <w:sz w:val="28"/>
          <w:rtl/>
          <w:lang w:bidi="ar-SY"/>
        </w:rPr>
        <w:t xml:space="preserve"> </w:t>
      </w:r>
      <w:r w:rsidR="003C7AEB" w:rsidRPr="003C7AEB">
        <w:rPr>
          <w:rFonts w:ascii="Abo-thar" w:hAnsi="Abo-thar" w:cs="CTraditional Arabic"/>
          <w:sz w:val="28"/>
          <w:rtl/>
          <w:lang w:bidi="ar-SY"/>
        </w:rPr>
        <w:t>ص</w:t>
      </w:r>
      <w:r w:rsidR="00147857" w:rsidRPr="004A3642">
        <w:rPr>
          <w:rFonts w:ascii="Abo-thar" w:hAnsi="Abo-thar" w:cs="KFGQPC Uthman Taha Naskh"/>
          <w:sz w:val="28"/>
          <w:rtl/>
          <w:lang w:bidi="ar-SY"/>
        </w:rPr>
        <w:t xml:space="preserve"> </w:t>
      </w:r>
      <w:r w:rsidRPr="004A3642">
        <w:rPr>
          <w:rFonts w:ascii="Abo-thar" w:hAnsi="Abo-thar" w:cs="KFGQPC Uthman Taha Naskh"/>
          <w:b/>
          <w:bCs/>
          <w:sz w:val="28"/>
          <w:rtl/>
          <w:lang w:bidi="ar-SY"/>
        </w:rPr>
        <w:t>يَحْكُمُ بِذَلِكَ وكِتَابُ اللهِ نَاطِقٌ بِهِ وهُوَ الكِتَابُ الَّذِي لا يَأْتِيهِ الباطِلُ مِنْ بَيْنِ يَدَيْهِ ولا مِنْ خَلْفِهِ تَنْزِيلٌ مِنْ حَكِيمٍ حَمِيدٍ</w:t>
      </w:r>
      <w:r w:rsidR="00EF2588" w:rsidRPr="004A3642">
        <w:rPr>
          <w:rFonts w:ascii="Abo-thar" w:hAnsi="Abo-thar" w:cs="KFGQPC Uthman Taha Naskh" w:hint="cs"/>
          <w:sz w:val="28"/>
          <w:rtl/>
          <w:lang w:bidi="ar-SY"/>
        </w:rPr>
        <w:t>»</w:t>
      </w:r>
      <w:r w:rsidR="00217AB4" w:rsidRPr="0021507A">
        <w:rPr>
          <w:rFonts w:cs="Arabic11 BT"/>
          <w:b/>
          <w:sz w:val="28"/>
          <w:vertAlign w:val="superscript"/>
          <w:rtl/>
          <w:lang w:bidi="ar-SY"/>
        </w:rPr>
        <w:t>(</w:t>
      </w:r>
      <w:r w:rsidRPr="0021507A">
        <w:rPr>
          <w:rStyle w:val="FootnoteReference"/>
          <w:rFonts w:cs="Arabic11 BT"/>
          <w:b/>
          <w:sz w:val="28"/>
          <w:rtl/>
          <w:lang w:bidi="ar-SY"/>
        </w:rPr>
        <w:footnoteReference w:id="122"/>
      </w:r>
      <w:r w:rsidR="00217AB4" w:rsidRPr="0021507A">
        <w:rPr>
          <w:rFonts w:cs="Arabic11 BT"/>
          <w:b/>
          <w:sz w:val="28"/>
          <w:vertAlign w:val="superscript"/>
          <w:rtl/>
          <w:lang w:bidi="ar-SY"/>
        </w:rPr>
        <w:t>)</w:t>
      </w:r>
      <w:r w:rsidR="00217AB4" w:rsidRPr="003F3B94">
        <w:rPr>
          <w:rFonts w:hint="cs"/>
          <w:sz w:val="28"/>
          <w:rtl/>
          <w:lang w:bidi="ar-SY"/>
        </w:rPr>
        <w:t>.</w:t>
      </w:r>
    </w:p>
    <w:p w:rsidR="005C664D" w:rsidRPr="003F3B94" w:rsidRDefault="005C664D" w:rsidP="003F3B94">
      <w:pPr>
        <w:pStyle w:val="a0"/>
        <w:rPr>
          <w:rFonts w:hint="cs"/>
          <w:rtl/>
          <w:lang w:bidi="ar-SY"/>
        </w:rPr>
      </w:pPr>
      <w:r w:rsidRPr="003F3B94">
        <w:rPr>
          <w:rFonts w:hint="cs"/>
          <w:sz w:val="28"/>
          <w:rtl/>
          <w:lang w:bidi="ar-SY"/>
        </w:rPr>
        <w:t>ولا غرو</w:t>
      </w:r>
      <w:r w:rsidR="00217AB4" w:rsidRPr="003F3B94">
        <w:rPr>
          <w:rFonts w:hint="cs"/>
          <w:sz w:val="28"/>
          <w:rtl/>
          <w:lang w:bidi="ar-SY"/>
        </w:rPr>
        <w:t>،</w:t>
      </w:r>
      <w:r w:rsidRPr="003F3B94">
        <w:rPr>
          <w:rFonts w:hint="cs"/>
          <w:sz w:val="28"/>
          <w:rtl/>
          <w:lang w:bidi="ar-SY"/>
        </w:rPr>
        <w:t xml:space="preserve"> أوليس عليٌّ هذا هو تلك الشخصية الفريدة وصوت العدالة الإنسانية القائل</w:t>
      </w:r>
      <w:r w:rsidR="00217AB4" w:rsidRPr="003F3B94">
        <w:rPr>
          <w:rFonts w:hint="cs"/>
          <w:sz w:val="28"/>
          <w:rtl/>
          <w:lang w:bidi="ar-SY"/>
        </w:rPr>
        <w:t>:</w:t>
      </w:r>
      <w:r w:rsidRPr="003F3B94">
        <w:rPr>
          <w:rFonts w:hint="cs"/>
          <w:sz w:val="28"/>
          <w:rtl/>
          <w:lang w:bidi="ar-SY"/>
        </w:rPr>
        <w:t xml:space="preserve"> </w:t>
      </w:r>
      <w:r w:rsidR="00EF2588" w:rsidRPr="004A3642">
        <w:rPr>
          <w:rFonts w:ascii="Abo-thar" w:hAnsi="Abo-thar" w:cs="KFGQPC Uthman Taha Naskh" w:hint="cs"/>
          <w:sz w:val="28"/>
          <w:rtl/>
          <w:lang w:bidi="ar-SY"/>
        </w:rPr>
        <w:t>«</w:t>
      </w:r>
      <w:r w:rsidRPr="004A3642">
        <w:rPr>
          <w:rFonts w:ascii="Abo-thar" w:hAnsi="Abo-thar" w:cs="KFGQPC Uthman Taha Naskh"/>
          <w:b/>
          <w:bCs/>
          <w:sz w:val="28"/>
          <w:rtl/>
          <w:lang w:bidi="ar-SY"/>
        </w:rPr>
        <w:t>وَاللهِ لَوْ أُعْطِيتُ الأَقَالِيمَ السَّ</w:t>
      </w:r>
      <w:r w:rsidRPr="004A3642">
        <w:rPr>
          <w:rFonts w:ascii="Abo-thar" w:hAnsi="Abo-thar" w:cs="KFGQPC Uthman Taha Naskh" w:hint="cs"/>
          <w:b/>
          <w:bCs/>
          <w:sz w:val="28"/>
          <w:rtl/>
          <w:lang w:bidi="ar-SY"/>
        </w:rPr>
        <w:t>ـ</w:t>
      </w:r>
      <w:r w:rsidRPr="004A3642">
        <w:rPr>
          <w:rFonts w:ascii="Abo-thar" w:hAnsi="Abo-thar" w:cs="KFGQPC Uthman Taha Naskh"/>
          <w:b/>
          <w:bCs/>
          <w:sz w:val="28"/>
          <w:rtl/>
          <w:lang w:bidi="ar-SY"/>
        </w:rPr>
        <w:t>بْعَةَ بِمَا تَحْتَ أَفْلَاكِهَا عَلَى أَنْ أَعْصِيَ اللهَ فِي نَمْلَةٍ أَسْلُبُهَا جِلْبَ شَعِيرَةٍ مَا فَعَلْتُهُ</w:t>
      </w:r>
      <w:r w:rsidR="00EF2588" w:rsidRPr="004A3642">
        <w:rPr>
          <w:rFonts w:ascii="Abo-thar" w:hAnsi="Abo-thar" w:cs="KFGQPC Uthman Taha Naskh" w:hint="cs"/>
          <w:sz w:val="28"/>
          <w:rtl/>
          <w:lang w:bidi="ar-SY"/>
        </w:rPr>
        <w:t>»</w:t>
      </w:r>
      <w:r w:rsidR="00217AB4" w:rsidRPr="003F3B94">
        <w:rPr>
          <w:rFonts w:ascii="Abo-thar" w:hAnsi="Abo-thar" w:hint="cs"/>
          <w:sz w:val="28"/>
          <w:rtl/>
          <w:lang w:bidi="ar-SY"/>
        </w:rPr>
        <w:t>؟</w:t>
      </w:r>
      <w:r w:rsidRPr="003F3B94">
        <w:rPr>
          <w:rFonts w:ascii="Abo-thar" w:hAnsi="Abo-thar" w:hint="cs"/>
          <w:sz w:val="28"/>
          <w:rtl/>
          <w:lang w:bidi="ar-SY"/>
        </w:rPr>
        <w:t xml:space="preserve"> </w:t>
      </w:r>
      <w:r w:rsidR="00217AB4" w:rsidRPr="003F3B94">
        <w:rPr>
          <w:rFonts w:ascii="Abo-thar" w:hAnsi="Abo-thar" w:hint="cs"/>
          <w:sz w:val="28"/>
          <w:rtl/>
          <w:lang w:bidi="ar-SY"/>
        </w:rPr>
        <w:t>(</w:t>
      </w:r>
      <w:r w:rsidRPr="003F3B94">
        <w:rPr>
          <w:rFonts w:ascii="Abo-thar" w:hAnsi="Abo-thar" w:hint="cs"/>
          <w:sz w:val="28"/>
          <w:rtl/>
          <w:lang w:bidi="ar-SY"/>
        </w:rPr>
        <w:t>الخطبة 219 من نهج البلاغة</w:t>
      </w:r>
      <w:r w:rsidR="00217AB4" w:rsidRPr="003F3B94">
        <w:rPr>
          <w:rFonts w:ascii="Abo-thar" w:hAnsi="Abo-thar" w:hint="cs"/>
          <w:sz w:val="28"/>
          <w:rtl/>
          <w:lang w:bidi="ar-SY"/>
        </w:rPr>
        <w:t>).</w:t>
      </w:r>
    </w:p>
    <w:p w:rsidR="005C664D" w:rsidRPr="003F3B94" w:rsidRDefault="005C664D" w:rsidP="003F3B94">
      <w:pPr>
        <w:pStyle w:val="a0"/>
        <w:rPr>
          <w:rFonts w:hint="cs"/>
          <w:rtl/>
          <w:lang w:bidi="ar-SY"/>
        </w:rPr>
      </w:pPr>
      <w:r w:rsidRPr="003F3B94">
        <w:rPr>
          <w:rFonts w:ascii="Abo-thar" w:hAnsi="Abo-thar" w:hint="cs"/>
          <w:sz w:val="28"/>
          <w:rtl/>
          <w:lang w:bidi="ar-SY"/>
        </w:rPr>
        <w:t>أوليس عليٌّ هو ذلك الإمام الذي لا نظير له الذي أجاب طائفةً من أصحابه اقترحت عليه أن يعطي الناس شيئاً من هذه الأموال</w:t>
      </w:r>
      <w:r w:rsidR="00147857" w:rsidRPr="003F3B94">
        <w:rPr>
          <w:rFonts w:ascii="Abo-thar" w:hAnsi="Abo-thar" w:hint="cs"/>
          <w:sz w:val="28"/>
          <w:rtl/>
          <w:lang w:bidi="ar-SY"/>
        </w:rPr>
        <w:t xml:space="preserve"> و</w:t>
      </w:r>
      <w:r w:rsidRPr="003F3B94">
        <w:rPr>
          <w:rFonts w:ascii="Abo-thar" w:hAnsi="Abo-thar" w:hint="cs"/>
          <w:sz w:val="28"/>
          <w:rtl/>
          <w:lang w:bidi="ar-SY"/>
        </w:rPr>
        <w:t>يفضل أشراف العرب على غيرهم</w:t>
      </w:r>
      <w:r w:rsidR="00147857" w:rsidRPr="003F3B94">
        <w:rPr>
          <w:rFonts w:ascii="Abo-thar" w:hAnsi="Abo-thar" w:hint="cs"/>
          <w:sz w:val="28"/>
          <w:rtl/>
          <w:lang w:bidi="ar-SY"/>
        </w:rPr>
        <w:t xml:space="preserve"> و</w:t>
      </w:r>
      <w:r w:rsidRPr="003F3B94">
        <w:rPr>
          <w:rFonts w:ascii="Abo-thar" w:hAnsi="Abo-thar" w:hint="cs"/>
          <w:sz w:val="28"/>
          <w:rtl/>
          <w:lang w:bidi="ar-SY"/>
        </w:rPr>
        <w:t>قريش على الموالي والعجم ليستميل بذلك قلوب من يخشى مخالفتهم فأجابهم قائلاً</w:t>
      </w:r>
      <w:r w:rsidR="00217AB4" w:rsidRPr="003F3B94">
        <w:rPr>
          <w:rFonts w:ascii="Abo-thar" w:hAnsi="Abo-thar" w:hint="cs"/>
          <w:sz w:val="28"/>
          <w:rtl/>
          <w:lang w:bidi="ar-SY"/>
        </w:rPr>
        <w:t>:</w:t>
      </w:r>
      <w:r w:rsidRPr="003F3B94">
        <w:rPr>
          <w:rFonts w:ascii="Abo-thar" w:hAnsi="Abo-thar" w:hint="cs"/>
          <w:sz w:val="28"/>
          <w:rtl/>
          <w:lang w:bidi="ar-SY"/>
        </w:rPr>
        <w:t xml:space="preserve"> </w:t>
      </w:r>
      <w:r w:rsidR="00EF2588" w:rsidRPr="004A3642">
        <w:rPr>
          <w:rFonts w:ascii="Abo-thar" w:hAnsi="Abo-thar" w:cs="KFGQPC Uthman Taha Naskh" w:hint="cs"/>
          <w:sz w:val="28"/>
          <w:rtl/>
          <w:lang w:bidi="ar-SY"/>
        </w:rPr>
        <w:t>«</w:t>
      </w:r>
      <w:r w:rsidRPr="004A3642">
        <w:rPr>
          <w:rFonts w:ascii="Abo-thar" w:hAnsi="Abo-thar" w:cs="KFGQPC Uthman Taha Naskh"/>
          <w:b/>
          <w:bCs/>
          <w:sz w:val="28"/>
          <w:rtl/>
          <w:lang w:bidi="ar-SY"/>
        </w:rPr>
        <w:t>أَتَأْمُرُونِّي أَنْ أَطْلُبَ النَّصْرَ بالجَوْرِ</w:t>
      </w:r>
      <w:r w:rsidR="00217AB4" w:rsidRPr="004A3642">
        <w:rPr>
          <w:rFonts w:ascii="Abo-thar" w:hAnsi="Abo-thar" w:cs="KFGQPC Uthman Taha Naskh" w:hint="cs"/>
          <w:b/>
          <w:bCs/>
          <w:sz w:val="28"/>
          <w:rtl/>
          <w:lang w:bidi="ar-SY"/>
        </w:rPr>
        <w:t>؟؟</w:t>
      </w:r>
      <w:r w:rsidRPr="004A3642">
        <w:rPr>
          <w:rFonts w:ascii="Abo-thar" w:hAnsi="Abo-thar" w:cs="KFGQPC Uthman Taha Naskh"/>
          <w:b/>
          <w:bCs/>
          <w:sz w:val="28"/>
          <w:rtl/>
          <w:lang w:bidi="ar-SY"/>
        </w:rPr>
        <w:t xml:space="preserve"> لَا وَاللهِ مَا أَفْعَلُ مَا طَلَعَتْ شَمْسٌ وَ</w:t>
      </w:r>
      <w:r w:rsidRPr="004A3642">
        <w:rPr>
          <w:rFonts w:ascii="Abo-thar" w:hAnsi="Abo-thar" w:cs="KFGQPC Uthman Taha Naskh" w:hint="cs"/>
          <w:b/>
          <w:bCs/>
          <w:sz w:val="28"/>
          <w:rtl/>
          <w:lang w:bidi="ar-SY"/>
        </w:rPr>
        <w:t>ما</w:t>
      </w:r>
      <w:r w:rsidRPr="004A3642">
        <w:rPr>
          <w:rFonts w:ascii="Abo-thar" w:hAnsi="Abo-thar" w:cs="KFGQPC Uthman Taha Naskh"/>
          <w:b/>
          <w:bCs/>
          <w:sz w:val="28"/>
          <w:rtl/>
          <w:lang w:bidi="ar-SY"/>
        </w:rPr>
        <w:t xml:space="preserve"> لَاحَ فِي السَّمَاءِ نَجْمٌ</w:t>
      </w:r>
      <w:r w:rsidR="00217AB4" w:rsidRPr="004A3642">
        <w:rPr>
          <w:rFonts w:ascii="Abo-thar" w:hAnsi="Abo-thar" w:cs="KFGQPC Uthman Taha Naskh" w:hint="cs"/>
          <w:b/>
          <w:bCs/>
          <w:sz w:val="28"/>
          <w:rtl/>
          <w:lang w:bidi="ar-SY"/>
        </w:rPr>
        <w:t>.</w:t>
      </w:r>
      <w:r w:rsidRPr="004A3642">
        <w:rPr>
          <w:rFonts w:ascii="Abo-thar" w:hAnsi="Abo-thar" w:cs="KFGQPC Uthman Taha Naskh"/>
          <w:b/>
          <w:bCs/>
          <w:sz w:val="28"/>
          <w:rtl/>
          <w:lang w:bidi="ar-SY"/>
        </w:rPr>
        <w:t xml:space="preserve"> وَاللهِ لَوْ كَانَ مَالُهُمْ لِي لَوَاسَيْتُ بَيْنَهُمْ وَكَيْفَ وَإِنَّمَا </w:t>
      </w:r>
      <w:r w:rsidRPr="004A3642">
        <w:rPr>
          <w:rFonts w:ascii="Abo-thar" w:hAnsi="Abo-thar" w:cs="KFGQPC Uthman Taha Naskh" w:hint="cs"/>
          <w:b/>
          <w:bCs/>
          <w:sz w:val="28"/>
          <w:rtl/>
          <w:lang w:bidi="ar-SY"/>
        </w:rPr>
        <w:t>هِيَ</w:t>
      </w:r>
      <w:r w:rsidRPr="004A3642">
        <w:rPr>
          <w:rFonts w:ascii="Abo-thar" w:hAnsi="Abo-thar" w:cs="KFGQPC Uthman Taha Naskh"/>
          <w:b/>
          <w:bCs/>
          <w:sz w:val="28"/>
          <w:rtl/>
          <w:lang w:bidi="ar-SY"/>
        </w:rPr>
        <w:t xml:space="preserve"> أَمْوَالُهُمْ</w:t>
      </w:r>
      <w:r w:rsidR="00217AB4" w:rsidRPr="004A3642">
        <w:rPr>
          <w:rFonts w:ascii="Abo-thar" w:hAnsi="Abo-thar" w:cs="KFGQPC Uthman Taha Naskh" w:hint="cs"/>
          <w:b/>
          <w:bCs/>
          <w:sz w:val="28"/>
          <w:rtl/>
          <w:lang w:bidi="ar-SY"/>
        </w:rPr>
        <w:t>؟!</w:t>
      </w:r>
      <w:r w:rsidR="00EF2588" w:rsidRPr="004A3642">
        <w:rPr>
          <w:rFonts w:ascii="Abo-thar" w:hAnsi="Abo-thar" w:cs="KFGQPC Uthman Taha Naskh" w:hint="cs"/>
          <w:sz w:val="28"/>
          <w:rtl/>
          <w:lang w:bidi="ar-SY"/>
        </w:rPr>
        <w:t>»</w:t>
      </w:r>
      <w:r w:rsidR="00217AB4" w:rsidRPr="0021507A">
        <w:rPr>
          <w:rFonts w:cs="Arabic11 BT"/>
          <w:b/>
          <w:sz w:val="28"/>
          <w:vertAlign w:val="superscript"/>
          <w:rtl/>
          <w:lang w:bidi="ar-SY"/>
        </w:rPr>
        <w:t>(</w:t>
      </w:r>
      <w:r w:rsidRPr="0021507A">
        <w:rPr>
          <w:rStyle w:val="FootnoteReference"/>
          <w:rFonts w:cs="Arabic11 BT"/>
          <w:b/>
          <w:sz w:val="28"/>
          <w:rtl/>
          <w:lang w:bidi="ar-SY"/>
        </w:rPr>
        <w:footnoteReference w:id="123"/>
      </w:r>
      <w:r w:rsidR="00217AB4" w:rsidRPr="0021507A">
        <w:rPr>
          <w:rFonts w:cs="Arabic11 BT"/>
          <w:b/>
          <w:sz w:val="28"/>
          <w:vertAlign w:val="superscript"/>
          <w:rtl/>
          <w:lang w:bidi="ar-SY"/>
        </w:rPr>
        <w:t>)</w:t>
      </w:r>
      <w:r w:rsidR="00217AB4" w:rsidRPr="003F3B94">
        <w:rPr>
          <w:rFonts w:hint="cs"/>
          <w:sz w:val="28"/>
          <w:rtl/>
          <w:lang w:bidi="ar-SY"/>
        </w:rPr>
        <w:t>؟</w:t>
      </w:r>
      <w:r w:rsidRPr="003F3B94">
        <w:rPr>
          <w:rFonts w:hint="cs"/>
          <w:sz w:val="28"/>
          <w:rtl/>
          <w:lang w:bidi="ar-SY"/>
        </w:rPr>
        <w:t xml:space="preserve"> فهل يعقل أن يقبل مثل هذا الشخص بحرمان ذوي القربى من حق شرعي ثابت لهم اتباعاً لسنة أبي بكر وعمر [أو خوفاً من أن يُتَّهم بمخالفتهما]</w:t>
      </w:r>
      <w:r w:rsidR="00217AB4" w:rsidRPr="003F3B94">
        <w:rPr>
          <w:rFonts w:hint="cs"/>
          <w:sz w:val="28"/>
          <w:rtl/>
          <w:lang w:bidi="ar-SY"/>
        </w:rPr>
        <w:t>؟!</w:t>
      </w:r>
      <w:r w:rsidR="00147857" w:rsidRPr="003F3B94">
        <w:rPr>
          <w:rFonts w:hint="cs"/>
          <w:sz w:val="28"/>
          <w:rtl/>
          <w:lang w:bidi="ar-SY"/>
        </w:rPr>
        <w:t xml:space="preserve"> </w:t>
      </w:r>
      <w:r w:rsidRPr="003F3B94">
        <w:rPr>
          <w:rFonts w:hint="cs"/>
          <w:b/>
          <w:bCs/>
          <w:sz w:val="28"/>
          <w:rtl/>
          <w:lang w:bidi="ar-SY"/>
        </w:rPr>
        <w:t>معاذ الله ونستجير بالله من هذا المقال</w:t>
      </w:r>
      <w:r w:rsidR="00217AB4" w:rsidRPr="003F3B94">
        <w:rPr>
          <w:rFonts w:hint="cs"/>
          <w:sz w:val="28"/>
          <w:rtl/>
          <w:lang w:bidi="ar-SY"/>
        </w:rPr>
        <w:t>.</w:t>
      </w:r>
    </w:p>
    <w:p w:rsidR="005C664D" w:rsidRPr="003F3B94" w:rsidRDefault="005C664D" w:rsidP="003F3B94">
      <w:pPr>
        <w:pStyle w:val="a0"/>
        <w:rPr>
          <w:rFonts w:hint="cs"/>
          <w:rtl/>
          <w:lang w:bidi="ar-SY"/>
        </w:rPr>
      </w:pPr>
      <w:r w:rsidRPr="003F3B94">
        <w:rPr>
          <w:rFonts w:hint="cs"/>
          <w:sz w:val="28"/>
          <w:rtl/>
          <w:lang w:bidi="ar-SY"/>
        </w:rPr>
        <w:t>نرجع إلى موضوعنا حيث كنا نقول إن رسول الله</w:t>
      </w:r>
      <w:r w:rsidR="00147857" w:rsidRPr="003F3B94">
        <w:rPr>
          <w:rFonts w:hint="cs"/>
          <w:sz w:val="28"/>
          <w:rtl/>
          <w:lang w:bidi="ar-SY"/>
        </w:rPr>
        <w:t xml:space="preserve"> </w:t>
      </w:r>
      <w:r w:rsidR="003C7AEB" w:rsidRPr="003C7AEB">
        <w:rPr>
          <w:rFonts w:ascii="Abo-thar" w:hAnsi="Abo-thar" w:cs="CTraditional Arabic"/>
          <w:sz w:val="28"/>
          <w:rtl/>
          <w:lang w:bidi="ar-SY"/>
        </w:rPr>
        <w:t>ص</w:t>
      </w:r>
      <w:r w:rsidR="00147857" w:rsidRPr="003F3B94">
        <w:rPr>
          <w:rFonts w:ascii="Abo-thar" w:hAnsi="Abo-thar"/>
          <w:sz w:val="28"/>
          <w:rtl/>
          <w:lang w:bidi="ar-SY"/>
        </w:rPr>
        <w:t xml:space="preserve"> </w:t>
      </w:r>
      <w:r w:rsidRPr="003F3B94">
        <w:rPr>
          <w:rFonts w:hint="cs"/>
          <w:sz w:val="28"/>
          <w:rtl/>
          <w:lang w:bidi="ar-SY"/>
        </w:rPr>
        <w:t>لم يميز خلال سيرته الشريفة بني هاشم</w:t>
      </w:r>
      <w:r w:rsidR="00147857" w:rsidRPr="003F3B94">
        <w:rPr>
          <w:rFonts w:hint="cs"/>
          <w:sz w:val="28"/>
          <w:rtl/>
          <w:lang w:bidi="ar-SY"/>
        </w:rPr>
        <w:t xml:space="preserve"> و</w:t>
      </w:r>
      <w:r w:rsidRPr="003F3B94">
        <w:rPr>
          <w:rFonts w:hint="cs"/>
          <w:sz w:val="28"/>
          <w:rtl/>
          <w:lang w:bidi="ar-SY"/>
        </w:rPr>
        <w:t>أقربائه بأي عطاء ماليٍّ خاص بهم</w:t>
      </w:r>
      <w:r w:rsidR="00217AB4" w:rsidRPr="003F3B94">
        <w:rPr>
          <w:rFonts w:hint="cs"/>
          <w:sz w:val="28"/>
          <w:rtl/>
          <w:lang w:bidi="ar-SY"/>
        </w:rPr>
        <w:t>،</w:t>
      </w:r>
      <w:r w:rsidRPr="003F3B94">
        <w:rPr>
          <w:rFonts w:hint="cs"/>
          <w:sz w:val="28"/>
          <w:rtl/>
          <w:lang w:bidi="ar-SY"/>
        </w:rPr>
        <w:t xml:space="preserve"> لا بل كان يحرمهم </w:t>
      </w:r>
      <w:r w:rsidRPr="003F3B94">
        <w:rPr>
          <w:rFonts w:cs="Times New Roman" w:hint="cs"/>
          <w:sz w:val="28"/>
          <w:rtl/>
          <w:lang w:bidi="ar-SY"/>
        </w:rPr>
        <w:t>–</w:t>
      </w:r>
      <w:r w:rsidRPr="003F3B94">
        <w:rPr>
          <w:rFonts w:hint="cs"/>
          <w:sz w:val="28"/>
          <w:rtl/>
          <w:lang w:bidi="ar-SY"/>
        </w:rPr>
        <w:t xml:space="preserve"> </w:t>
      </w:r>
      <w:r w:rsidRPr="003F3B94">
        <w:rPr>
          <w:rFonts w:ascii="mylotus" w:hAnsi="mylotus" w:hint="cs"/>
          <w:sz w:val="28"/>
          <w:rtl/>
          <w:lang w:bidi="ar-SY"/>
        </w:rPr>
        <w:t>قدر</w:t>
      </w:r>
      <w:r w:rsidRPr="003F3B94">
        <w:rPr>
          <w:rFonts w:hint="cs"/>
          <w:sz w:val="28"/>
          <w:rtl/>
          <w:lang w:bidi="ar-SY"/>
        </w:rPr>
        <w:t xml:space="preserve"> </w:t>
      </w:r>
      <w:r w:rsidRPr="003F3B94">
        <w:rPr>
          <w:rFonts w:ascii="mylotus" w:hAnsi="mylotus" w:hint="cs"/>
          <w:sz w:val="28"/>
          <w:rtl/>
          <w:lang w:bidi="ar-SY"/>
        </w:rPr>
        <w:t>الإ</w:t>
      </w:r>
      <w:r w:rsidRPr="003F3B94">
        <w:rPr>
          <w:rFonts w:hint="cs"/>
          <w:sz w:val="28"/>
          <w:rtl/>
          <w:lang w:bidi="ar-SY"/>
        </w:rPr>
        <w:t xml:space="preserve">مكان </w:t>
      </w:r>
      <w:r w:rsidRPr="003F3B94">
        <w:rPr>
          <w:rFonts w:cs="Times New Roman" w:hint="cs"/>
          <w:sz w:val="28"/>
          <w:rtl/>
          <w:lang w:bidi="ar-SY"/>
        </w:rPr>
        <w:t>–</w:t>
      </w:r>
      <w:r w:rsidRPr="003F3B94">
        <w:rPr>
          <w:rFonts w:hint="cs"/>
          <w:sz w:val="28"/>
          <w:rtl/>
          <w:lang w:bidi="ar-SY"/>
        </w:rPr>
        <w:t xml:space="preserve"> </w:t>
      </w:r>
      <w:r w:rsidRPr="003F3B94">
        <w:rPr>
          <w:rFonts w:ascii="mylotus" w:hAnsi="mylotus" w:hint="cs"/>
          <w:sz w:val="28"/>
          <w:rtl/>
          <w:lang w:bidi="ar-SY"/>
        </w:rPr>
        <w:t>من</w:t>
      </w:r>
      <w:r w:rsidRPr="003F3B94">
        <w:rPr>
          <w:rFonts w:hint="cs"/>
          <w:sz w:val="28"/>
          <w:rtl/>
          <w:lang w:bidi="ar-SY"/>
        </w:rPr>
        <w:t xml:space="preserve"> </w:t>
      </w:r>
      <w:r w:rsidRPr="003F3B94">
        <w:rPr>
          <w:rFonts w:ascii="mylotus" w:hAnsi="mylotus" w:hint="cs"/>
          <w:sz w:val="28"/>
          <w:rtl/>
          <w:lang w:bidi="ar-SY"/>
        </w:rPr>
        <w:t>بعض</w:t>
      </w:r>
      <w:r w:rsidRPr="003F3B94">
        <w:rPr>
          <w:rFonts w:hint="cs"/>
          <w:sz w:val="28"/>
          <w:rtl/>
          <w:lang w:bidi="ar-SY"/>
        </w:rPr>
        <w:t xml:space="preserve"> </w:t>
      </w:r>
      <w:r w:rsidRPr="003F3B94">
        <w:rPr>
          <w:rFonts w:ascii="mylotus" w:hAnsi="mylotus" w:hint="cs"/>
          <w:sz w:val="28"/>
          <w:rtl/>
          <w:lang w:bidi="ar-SY"/>
        </w:rPr>
        <w:t>الامتيازات</w:t>
      </w:r>
      <w:r w:rsidRPr="003F3B94">
        <w:rPr>
          <w:rFonts w:hint="cs"/>
          <w:sz w:val="28"/>
          <w:rtl/>
          <w:lang w:bidi="ar-SY"/>
        </w:rPr>
        <w:t xml:space="preserve"> </w:t>
      </w:r>
      <w:r w:rsidRPr="003F3B94">
        <w:rPr>
          <w:rFonts w:ascii="mylotus" w:hAnsi="mylotus" w:hint="cs"/>
          <w:sz w:val="28"/>
          <w:rtl/>
          <w:lang w:bidi="ar-SY"/>
        </w:rPr>
        <w:t>التي</w:t>
      </w:r>
      <w:r w:rsidRPr="003F3B94">
        <w:rPr>
          <w:rFonts w:hint="cs"/>
          <w:sz w:val="28"/>
          <w:rtl/>
          <w:lang w:bidi="ar-SY"/>
        </w:rPr>
        <w:t xml:space="preserve"> </w:t>
      </w:r>
      <w:r w:rsidRPr="003F3B94">
        <w:rPr>
          <w:rFonts w:ascii="mylotus" w:hAnsi="mylotus" w:hint="cs"/>
          <w:sz w:val="28"/>
          <w:rtl/>
          <w:lang w:bidi="ar-SY"/>
        </w:rPr>
        <w:t>منحها</w:t>
      </w:r>
      <w:r w:rsidRPr="003F3B94">
        <w:rPr>
          <w:rFonts w:hint="cs"/>
          <w:sz w:val="28"/>
          <w:rtl/>
          <w:lang w:bidi="ar-SY"/>
        </w:rPr>
        <w:t xml:space="preserve"> </w:t>
      </w:r>
      <w:r w:rsidRPr="003F3B94">
        <w:rPr>
          <w:rFonts w:ascii="mylotus" w:hAnsi="mylotus" w:hint="cs"/>
          <w:sz w:val="28"/>
          <w:rtl/>
          <w:lang w:bidi="ar-SY"/>
        </w:rPr>
        <w:t>للآخرين</w:t>
      </w:r>
      <w:r w:rsidR="00217AB4" w:rsidRPr="003F3B94">
        <w:rPr>
          <w:rFonts w:hint="cs"/>
          <w:sz w:val="28"/>
          <w:rtl/>
          <w:lang w:bidi="ar-SY"/>
        </w:rPr>
        <w:t>،</w:t>
      </w:r>
      <w:r w:rsidRPr="003F3B94">
        <w:rPr>
          <w:rFonts w:hint="cs"/>
          <w:sz w:val="28"/>
          <w:rtl/>
          <w:lang w:bidi="ar-SY"/>
        </w:rPr>
        <w:t xml:space="preserve"> أو يحرم عليهم بعض ما كان مباحاً للآخرين</w:t>
      </w:r>
      <w:r w:rsidR="00217AB4" w:rsidRPr="003F3B94">
        <w:rPr>
          <w:rFonts w:hint="cs"/>
          <w:sz w:val="28"/>
          <w:rtl/>
          <w:lang w:bidi="ar-SY"/>
        </w:rPr>
        <w:t>،</w:t>
      </w:r>
      <w:r w:rsidRPr="003F3B94">
        <w:rPr>
          <w:rFonts w:hint="cs"/>
          <w:sz w:val="28"/>
          <w:rtl/>
          <w:lang w:bidi="ar-SY"/>
        </w:rPr>
        <w:t xml:space="preserve"> ومن جملة ذلك</w:t>
      </w:r>
      <w:r w:rsidR="00217AB4" w:rsidRPr="003F3B94">
        <w:rPr>
          <w:rFonts w:hint="cs"/>
          <w:sz w:val="28"/>
          <w:rtl/>
          <w:lang w:bidi="ar-SY"/>
        </w:rPr>
        <w:t>:</w:t>
      </w:r>
    </w:p>
    <w:p w:rsidR="005C664D" w:rsidRPr="003F3B94" w:rsidRDefault="005C664D" w:rsidP="003F3B94">
      <w:pPr>
        <w:pStyle w:val="a0"/>
        <w:rPr>
          <w:rFonts w:hint="cs"/>
          <w:rtl/>
          <w:lang w:bidi="ar-SY"/>
        </w:rPr>
      </w:pPr>
      <w:r w:rsidRPr="003F3B94">
        <w:rPr>
          <w:rFonts w:hint="cs"/>
          <w:sz w:val="28"/>
          <w:rtl/>
          <w:lang w:bidi="ar-SY"/>
        </w:rPr>
        <w:t>1</w:t>
      </w:r>
      <w:r w:rsidR="00217AB4" w:rsidRPr="003F3B94">
        <w:rPr>
          <w:rFonts w:hint="cs"/>
          <w:sz w:val="28"/>
          <w:rtl/>
          <w:lang w:bidi="ar-SY"/>
        </w:rPr>
        <w:t>-</w:t>
      </w:r>
      <w:r w:rsidRPr="003F3B94">
        <w:rPr>
          <w:rFonts w:hint="cs"/>
          <w:sz w:val="28"/>
          <w:rtl/>
          <w:lang w:bidi="ar-SY"/>
        </w:rPr>
        <w:t xml:space="preserve"> </w:t>
      </w:r>
      <w:r w:rsidR="00652969" w:rsidRPr="003F3B94">
        <w:rPr>
          <w:rFonts w:ascii="Abo-thar" w:hAnsi="Abo-thar" w:hint="cs"/>
          <w:sz w:val="28"/>
          <w:rtl/>
          <w:lang w:bidi="ar-SY"/>
        </w:rPr>
        <w:t>جاء في سنن البيهقي الكبرى:</w:t>
      </w:r>
    </w:p>
    <w:p w:rsidR="005C664D" w:rsidRPr="003F3B94" w:rsidRDefault="00EF2588" w:rsidP="003F3B94">
      <w:pPr>
        <w:pStyle w:val="a0"/>
        <w:rPr>
          <w:rFonts w:hint="cs"/>
          <w:rtl/>
          <w:lang w:bidi="ar-SY"/>
        </w:rPr>
      </w:pPr>
      <w:r w:rsidRPr="004A3642">
        <w:rPr>
          <w:rFonts w:ascii="Abo-thar" w:hAnsi="Abo-thar" w:cs="KFGQPC Uthman Taha Naskh" w:hint="cs"/>
          <w:sz w:val="28"/>
          <w:rtl/>
          <w:lang w:bidi="ar-SY"/>
        </w:rPr>
        <w:t>«</w:t>
      </w:r>
      <w:r w:rsidR="005C664D" w:rsidRPr="004A3642">
        <w:rPr>
          <w:rFonts w:ascii="Abo-thar" w:hAnsi="Abo-thar" w:cs="KFGQPC Uthman Taha Naskh"/>
          <w:b/>
          <w:bCs/>
          <w:sz w:val="28"/>
          <w:rtl/>
          <w:lang w:bidi="ar-SY"/>
        </w:rPr>
        <w:t>عَنْ مَالِكٍ عَنِ ابْنِ شِهَابٍ أَنَّ عَبْدَ اللهِ بْنَ عَبْدِ اللهِ بْنِ الحَارِثِ بْنِ نَوْفَلِ بْنِ عَبْدِ المُطَّلِبِ حَدَّثَهُ</w:t>
      </w:r>
      <w:r w:rsidR="00217AB4" w:rsidRPr="004A3642">
        <w:rPr>
          <w:rFonts w:ascii="Abo-thar" w:hAnsi="Abo-thar" w:cs="KFGQPC Uthman Taha Naskh"/>
          <w:b/>
          <w:bCs/>
          <w:sz w:val="28"/>
          <w:rtl/>
          <w:lang w:bidi="ar-SY"/>
        </w:rPr>
        <w:t>:</w:t>
      </w:r>
      <w:r w:rsidR="005C664D" w:rsidRPr="004A3642">
        <w:rPr>
          <w:rFonts w:ascii="Abo-thar" w:hAnsi="Abo-thar" w:cs="KFGQPC Uthman Taha Naskh"/>
          <w:b/>
          <w:bCs/>
          <w:sz w:val="28"/>
          <w:rtl/>
          <w:lang w:bidi="ar-SY"/>
        </w:rPr>
        <w:t xml:space="preserve"> أَنَّ عَبْدَ المُطَّلِبِ بْنَ رَبِيعَةَ بْنِ الحَارِثِ حَدَّثَهُ قَالَ</w:t>
      </w:r>
      <w:r w:rsidR="00217AB4" w:rsidRPr="004A3642">
        <w:rPr>
          <w:rFonts w:ascii="Abo-thar" w:hAnsi="Abo-thar" w:cs="KFGQPC Uthman Taha Naskh"/>
          <w:b/>
          <w:bCs/>
          <w:sz w:val="28"/>
          <w:rtl/>
          <w:lang w:bidi="ar-SY"/>
        </w:rPr>
        <w:t>:</w:t>
      </w:r>
      <w:r w:rsidR="005C664D" w:rsidRPr="004A3642">
        <w:rPr>
          <w:rFonts w:ascii="Abo-thar" w:hAnsi="Abo-thar" w:cs="KFGQPC Uthman Taha Naskh"/>
          <w:b/>
          <w:bCs/>
          <w:sz w:val="28"/>
          <w:rtl/>
          <w:lang w:bidi="ar-SY"/>
        </w:rPr>
        <w:t xml:space="preserve"> اجْتَمَعَ رَبِيعَةُ بْنُ الحَارِثِ </w:t>
      </w:r>
      <w:r w:rsidR="005C664D" w:rsidRPr="004A3642">
        <w:rPr>
          <w:rFonts w:ascii="Abo-thar" w:hAnsi="Abo-thar" w:cs="KFGQPC Uthman Taha Naskh" w:hint="cs"/>
          <w:b/>
          <w:bCs/>
          <w:sz w:val="28"/>
          <w:rtl/>
          <w:lang w:bidi="ar-SY"/>
        </w:rPr>
        <w:t>[ابن عم النبيّ] وَ</w:t>
      </w:r>
      <w:r w:rsidR="005C664D" w:rsidRPr="004A3642">
        <w:rPr>
          <w:rFonts w:ascii="Abo-thar" w:hAnsi="Abo-thar" w:cs="KFGQPC Uthman Taha Naskh"/>
          <w:b/>
          <w:bCs/>
          <w:sz w:val="28"/>
          <w:rtl/>
          <w:lang w:bidi="ar-SY"/>
        </w:rPr>
        <w:t xml:space="preserve">العَبَّاسُ بْنُ عَبْدِ المُطَّلِبِ </w:t>
      </w:r>
      <w:r w:rsidR="005C664D" w:rsidRPr="004A3642">
        <w:rPr>
          <w:rFonts w:ascii="Abo-thar" w:hAnsi="Abo-thar" w:cs="KFGQPC Uthman Taha Naskh" w:hint="cs"/>
          <w:b/>
          <w:bCs/>
          <w:sz w:val="28"/>
          <w:rtl/>
          <w:lang w:bidi="ar-SY"/>
        </w:rPr>
        <w:t>[عمّ النبيّ]</w:t>
      </w:r>
      <w:r w:rsidR="005C664D" w:rsidRPr="004A3642">
        <w:rPr>
          <w:rFonts w:ascii="Abo-thar" w:hAnsi="Abo-thar" w:cs="KFGQPC Uthman Taha Naskh"/>
          <w:b/>
          <w:bCs/>
          <w:sz w:val="28"/>
          <w:rtl/>
          <w:lang w:bidi="ar-SY"/>
        </w:rPr>
        <w:t>فَقَالاَ</w:t>
      </w:r>
      <w:r w:rsidR="00217AB4" w:rsidRPr="004A3642">
        <w:rPr>
          <w:rFonts w:ascii="Abo-thar" w:hAnsi="Abo-thar" w:cs="KFGQPC Uthman Taha Naskh"/>
          <w:b/>
          <w:bCs/>
          <w:sz w:val="28"/>
          <w:rtl/>
          <w:lang w:bidi="ar-SY"/>
        </w:rPr>
        <w:t>:</w:t>
      </w:r>
      <w:r w:rsidR="005C664D" w:rsidRPr="004A3642">
        <w:rPr>
          <w:rFonts w:ascii="Abo-thar" w:hAnsi="Abo-thar" w:cs="KFGQPC Uthman Taha Naskh"/>
          <w:b/>
          <w:bCs/>
          <w:sz w:val="28"/>
          <w:rtl/>
          <w:lang w:bidi="ar-SY"/>
        </w:rPr>
        <w:t xml:space="preserve"> لَوْ بَعَثْنَا بِهَذَيْنِ الغُلاَمَيْنِ قَالَ لِى وَلِلْفَضْلِ إِلَى رَسُولِ اللهِ</w:t>
      </w:r>
      <w:r w:rsidR="00147857" w:rsidRPr="004A3642">
        <w:rPr>
          <w:rFonts w:ascii="Abo-thar" w:hAnsi="Abo-thar" w:cs="KFGQPC Uthman Taha Naskh"/>
          <w:b/>
          <w:bCs/>
          <w:sz w:val="28"/>
          <w:rtl/>
          <w:lang w:bidi="ar-SY"/>
        </w:rPr>
        <w:t xml:space="preserve"> </w:t>
      </w:r>
      <w:r w:rsidR="003C7AEB" w:rsidRPr="003C7AEB">
        <w:rPr>
          <w:rFonts w:ascii="Abo-thar" w:hAnsi="Abo-thar" w:cs="CTraditional Arabic"/>
          <w:sz w:val="28"/>
          <w:rtl/>
          <w:lang w:bidi="ar-SY"/>
        </w:rPr>
        <w:t>ص</w:t>
      </w:r>
      <w:r w:rsidR="00147857" w:rsidRPr="004A3642">
        <w:rPr>
          <w:rFonts w:ascii="Abo-thar" w:hAnsi="Abo-thar" w:cs="KFGQPC Uthman Taha Naskh"/>
          <w:sz w:val="28"/>
          <w:rtl/>
          <w:lang w:bidi="ar-SY"/>
        </w:rPr>
        <w:t xml:space="preserve"> </w:t>
      </w:r>
      <w:r w:rsidR="005C664D" w:rsidRPr="004A3642">
        <w:rPr>
          <w:rFonts w:ascii="Abo-thar" w:hAnsi="Abo-thar" w:cs="KFGQPC Uthman Taha Naskh"/>
          <w:b/>
          <w:bCs/>
          <w:sz w:val="28"/>
          <w:rtl/>
          <w:lang w:bidi="ar-SY"/>
        </w:rPr>
        <w:t>فَكَلَّمَاهُ فَأَمَّرَهُمَا عَلَى هَذِهِ الصَّدَقَاتِ فَأَدَّيَا مَا يُؤَدِّى النَّاسُ وَأَصَابَا مَا يُصِيبُ النَّاسُ فَبَيْنَمَا هُمَا ف</w:t>
      </w:r>
      <w:r w:rsidR="005C664D" w:rsidRPr="004A3642">
        <w:rPr>
          <w:rFonts w:ascii="Abo-thar" w:hAnsi="Abo-thar" w:cs="KFGQPC Uthman Taha Naskh" w:hint="cs"/>
          <w:b/>
          <w:bCs/>
          <w:sz w:val="28"/>
          <w:rtl/>
          <w:lang w:bidi="ar-SY"/>
        </w:rPr>
        <w:t>ي</w:t>
      </w:r>
      <w:r w:rsidR="005C664D" w:rsidRPr="004A3642">
        <w:rPr>
          <w:rFonts w:ascii="Abo-thar" w:hAnsi="Abo-thar" w:cs="KFGQPC Uthman Taha Naskh"/>
          <w:b/>
          <w:bCs/>
          <w:sz w:val="28"/>
          <w:rtl/>
          <w:lang w:bidi="ar-SY"/>
        </w:rPr>
        <w:t xml:space="preserve"> ذَلِكَ إِذْ دَخَلَ عَلِىُّ بْنُ أَبِى طَالِبٍ رَضِ</w:t>
      </w:r>
      <w:r w:rsidR="005C664D" w:rsidRPr="004A3642">
        <w:rPr>
          <w:rFonts w:ascii="Abo-thar" w:hAnsi="Abo-thar" w:cs="KFGQPC Uthman Taha Naskh" w:hint="cs"/>
          <w:b/>
          <w:bCs/>
          <w:sz w:val="28"/>
          <w:rtl/>
          <w:lang w:bidi="ar-SY"/>
        </w:rPr>
        <w:t>يَ</w:t>
      </w:r>
      <w:r w:rsidR="005C664D" w:rsidRPr="004A3642">
        <w:rPr>
          <w:rFonts w:ascii="Abo-thar" w:hAnsi="Abo-thar" w:cs="KFGQPC Uthman Taha Naskh"/>
          <w:b/>
          <w:bCs/>
          <w:sz w:val="28"/>
          <w:rtl/>
          <w:lang w:bidi="ar-SY"/>
        </w:rPr>
        <w:t xml:space="preserve"> اللهُ عَنْهُ فَوَقَفَ عَلَيْهِمَا فَذَكَرَا لَهُ فَقَالَ عَلِىُّ بْنُ أَبِى طَالِبٍ رَضِ</w:t>
      </w:r>
      <w:r w:rsidR="005C664D" w:rsidRPr="004A3642">
        <w:rPr>
          <w:rFonts w:ascii="Abo-thar" w:hAnsi="Abo-thar" w:cs="KFGQPC Uthman Taha Naskh" w:hint="cs"/>
          <w:b/>
          <w:bCs/>
          <w:sz w:val="28"/>
          <w:rtl/>
          <w:lang w:bidi="ar-SY"/>
        </w:rPr>
        <w:t>يَ</w:t>
      </w:r>
      <w:r w:rsidR="005C664D" w:rsidRPr="004A3642">
        <w:rPr>
          <w:rFonts w:ascii="Abo-thar" w:hAnsi="Abo-thar" w:cs="KFGQPC Uthman Taha Naskh"/>
          <w:b/>
          <w:bCs/>
          <w:sz w:val="28"/>
          <w:rtl/>
          <w:lang w:bidi="ar-SY"/>
        </w:rPr>
        <w:t xml:space="preserve"> اللهُ عَنْهُ</w:t>
      </w:r>
      <w:r w:rsidR="00217AB4" w:rsidRPr="004A3642">
        <w:rPr>
          <w:rFonts w:ascii="Abo-thar" w:hAnsi="Abo-thar" w:cs="KFGQPC Uthman Taha Naskh"/>
          <w:b/>
          <w:bCs/>
          <w:sz w:val="28"/>
          <w:rtl/>
          <w:lang w:bidi="ar-SY"/>
        </w:rPr>
        <w:t>:</w:t>
      </w:r>
      <w:r w:rsidR="005C664D" w:rsidRPr="004A3642">
        <w:rPr>
          <w:rFonts w:ascii="Abo-thar" w:hAnsi="Abo-thar" w:cs="KFGQPC Uthman Taha Naskh"/>
          <w:b/>
          <w:bCs/>
          <w:sz w:val="28"/>
          <w:rtl/>
          <w:lang w:bidi="ar-SY"/>
        </w:rPr>
        <w:t xml:space="preserve"> لاَ</w:t>
      </w:r>
      <w:r w:rsidR="005C664D" w:rsidRPr="004A3642">
        <w:rPr>
          <w:rFonts w:cs="Times New Roman" w:hint="cs"/>
          <w:b/>
          <w:bCs/>
          <w:sz w:val="28"/>
          <w:rtl/>
          <w:lang w:bidi="ar-SY"/>
        </w:rPr>
        <w:t> </w:t>
      </w:r>
      <w:r w:rsidR="005C664D" w:rsidRPr="004A3642">
        <w:rPr>
          <w:rFonts w:ascii="Abo-thar" w:hAnsi="Abo-thar" w:cs="KFGQPC Uthman Taha Naskh"/>
          <w:b/>
          <w:bCs/>
          <w:sz w:val="28"/>
          <w:rtl/>
          <w:lang w:bidi="ar-SY"/>
        </w:rPr>
        <w:t>تَفْعَلاَ فَوَاللهِ مَا هُوَ بِفَاعِلٍ</w:t>
      </w:r>
      <w:r w:rsidR="005C664D" w:rsidRPr="004A3642">
        <w:rPr>
          <w:rFonts w:cs="KFGQPC Uthman Taha Naskh"/>
          <w:b/>
          <w:bCs/>
          <w:sz w:val="28"/>
          <w:rtl/>
          <w:lang w:bidi="ar-SY"/>
        </w:rPr>
        <w:t xml:space="preserve"> </w:t>
      </w:r>
      <w:r w:rsidR="005C664D" w:rsidRPr="004A3642">
        <w:rPr>
          <w:rFonts w:ascii="Abo-thar" w:hAnsi="Abo-thar" w:cs="KFGQPC Uthman Taha Naskh"/>
          <w:b/>
          <w:bCs/>
          <w:sz w:val="28"/>
          <w:rtl/>
          <w:lang w:bidi="ar-SY"/>
        </w:rPr>
        <w:t>انْتَحَاهُ رَبِيعَةُ بْنُ الحَارِثِ فَقَالَ</w:t>
      </w:r>
      <w:r w:rsidR="00217AB4" w:rsidRPr="004A3642">
        <w:rPr>
          <w:rFonts w:ascii="Abo-thar" w:hAnsi="Abo-thar" w:cs="KFGQPC Uthman Taha Naskh"/>
          <w:b/>
          <w:bCs/>
          <w:sz w:val="28"/>
          <w:rtl/>
          <w:lang w:bidi="ar-SY"/>
        </w:rPr>
        <w:t>:</w:t>
      </w:r>
      <w:r w:rsidR="005C664D" w:rsidRPr="004A3642">
        <w:rPr>
          <w:rFonts w:ascii="Abo-thar" w:hAnsi="Abo-thar" w:cs="KFGQPC Uthman Taha Naskh"/>
          <w:b/>
          <w:bCs/>
          <w:sz w:val="28"/>
          <w:rtl/>
          <w:lang w:bidi="ar-SY"/>
        </w:rPr>
        <w:t xml:space="preserve"> وَاللهِ مَا تَصْنَعُ هَذَا إِلاَّ نَفَاسَةً مِنْكَ عَلَيْنَا فَوَاللهِ لَقَدْ نِلْتَ صِهْرَ رَسُولِ اللهِ</w:t>
      </w:r>
      <w:r w:rsidR="00147857" w:rsidRPr="004A3642">
        <w:rPr>
          <w:rFonts w:ascii="Abo-thar" w:hAnsi="Abo-thar" w:cs="KFGQPC Uthman Taha Naskh"/>
          <w:b/>
          <w:bCs/>
          <w:sz w:val="28"/>
          <w:rtl/>
          <w:lang w:bidi="ar-SY"/>
        </w:rPr>
        <w:t xml:space="preserve"> </w:t>
      </w:r>
      <w:r w:rsidR="003C7AEB" w:rsidRPr="003C7AEB">
        <w:rPr>
          <w:rFonts w:ascii="Abo-thar" w:hAnsi="Abo-thar" w:cs="CTraditional Arabic"/>
          <w:sz w:val="28"/>
          <w:rtl/>
          <w:lang w:bidi="ar-SY"/>
        </w:rPr>
        <w:t>ص</w:t>
      </w:r>
      <w:r w:rsidR="00147857" w:rsidRPr="004A3642">
        <w:rPr>
          <w:rFonts w:ascii="Abo-thar" w:hAnsi="Abo-thar" w:cs="KFGQPC Uthman Taha Naskh"/>
          <w:sz w:val="28"/>
          <w:rtl/>
          <w:lang w:bidi="ar-SY"/>
        </w:rPr>
        <w:t xml:space="preserve"> </w:t>
      </w:r>
      <w:r w:rsidR="005C664D" w:rsidRPr="004A3642">
        <w:rPr>
          <w:rFonts w:ascii="Abo-thar" w:hAnsi="Abo-thar" w:cs="KFGQPC Uthman Taha Naskh"/>
          <w:b/>
          <w:bCs/>
          <w:sz w:val="28"/>
          <w:rtl/>
          <w:lang w:bidi="ar-SY"/>
        </w:rPr>
        <w:t>فَما نَفِسْنَاهُ قَالَ أَنَا أَبُو حَسَنٍ القَرْمُ أَرْسِلُوهُمَا فَانْطَلَقَا فَاضْطَجَعَ فَلَمَّا صَلَّى النَّبِ</w:t>
      </w:r>
      <w:r w:rsidR="005C664D" w:rsidRPr="004A3642">
        <w:rPr>
          <w:rFonts w:ascii="Abo-thar" w:hAnsi="Abo-thar" w:cs="KFGQPC Uthman Taha Naskh" w:hint="cs"/>
          <w:b/>
          <w:bCs/>
          <w:sz w:val="28"/>
          <w:rtl/>
          <w:lang w:bidi="ar-SY"/>
        </w:rPr>
        <w:t>يُّ</w:t>
      </w:r>
      <w:r w:rsidR="00147857" w:rsidRPr="004A3642">
        <w:rPr>
          <w:rFonts w:ascii="Abo-thar" w:hAnsi="Abo-thar" w:cs="KFGQPC Uthman Taha Naskh"/>
          <w:b/>
          <w:bCs/>
          <w:sz w:val="28"/>
          <w:rtl/>
          <w:lang w:bidi="ar-SY"/>
        </w:rPr>
        <w:t xml:space="preserve"> </w:t>
      </w:r>
      <w:r w:rsidR="003C7AEB" w:rsidRPr="003C7AEB">
        <w:rPr>
          <w:rFonts w:ascii="Abo-thar" w:hAnsi="Abo-thar" w:cs="CTraditional Arabic"/>
          <w:sz w:val="28"/>
          <w:rtl/>
          <w:lang w:bidi="ar-SY"/>
        </w:rPr>
        <w:t>ص</w:t>
      </w:r>
      <w:r w:rsidR="00147857" w:rsidRPr="004A3642">
        <w:rPr>
          <w:rFonts w:ascii="Abo-thar" w:hAnsi="Abo-thar" w:cs="KFGQPC Uthman Taha Naskh"/>
          <w:sz w:val="28"/>
          <w:rtl/>
          <w:lang w:bidi="ar-SY"/>
        </w:rPr>
        <w:t xml:space="preserve"> </w:t>
      </w:r>
      <w:r w:rsidR="005C664D" w:rsidRPr="004A3642">
        <w:rPr>
          <w:rFonts w:ascii="Abo-thar" w:hAnsi="Abo-thar" w:cs="KFGQPC Uthman Taha Naskh"/>
          <w:b/>
          <w:bCs/>
          <w:sz w:val="28"/>
          <w:rtl/>
          <w:lang w:bidi="ar-SY"/>
        </w:rPr>
        <w:t>سَبَقْنَاهُ إِلَى الحُجْرَةِ فَقُمْنَا عِنْدَهَا حَتَّى جَاءَ فَأَخَذَ بِآذَانِنَا ثُمَّ قَالَ</w:t>
      </w:r>
      <w:r w:rsidR="00217AB4" w:rsidRPr="004A3642">
        <w:rPr>
          <w:rFonts w:ascii="Abo-thar" w:hAnsi="Abo-thar" w:cs="KFGQPC Uthman Taha Naskh"/>
          <w:b/>
          <w:bCs/>
          <w:sz w:val="28"/>
          <w:rtl/>
          <w:lang w:bidi="ar-SY"/>
        </w:rPr>
        <w:t>:</w:t>
      </w:r>
      <w:r w:rsidR="005C664D" w:rsidRPr="004A3642">
        <w:rPr>
          <w:rFonts w:ascii="Abo-thar" w:hAnsi="Abo-thar" w:cs="KFGQPC Uthman Taha Naskh"/>
          <w:b/>
          <w:bCs/>
          <w:sz w:val="28"/>
          <w:rtl/>
          <w:lang w:bidi="ar-SY"/>
        </w:rPr>
        <w:t>«أَخْرِجَا مَا تُصَرِّرَانِ»</w:t>
      </w:r>
      <w:r w:rsidR="00217AB4" w:rsidRPr="004A3642">
        <w:rPr>
          <w:rFonts w:ascii="Abo-thar" w:hAnsi="Abo-thar" w:cs="KFGQPC Uthman Taha Naskh"/>
          <w:b/>
          <w:bCs/>
          <w:sz w:val="28"/>
          <w:rtl/>
          <w:lang w:bidi="ar-SY"/>
        </w:rPr>
        <w:t>.</w:t>
      </w:r>
      <w:r w:rsidR="005C664D" w:rsidRPr="004A3642">
        <w:rPr>
          <w:rFonts w:ascii="Abo-thar" w:hAnsi="Abo-thar" w:cs="KFGQPC Uthman Taha Naskh"/>
          <w:b/>
          <w:bCs/>
          <w:sz w:val="28"/>
          <w:rtl/>
          <w:lang w:bidi="ar-SY"/>
        </w:rPr>
        <w:t xml:space="preserve"> ثُمَّ دَخَلَ فَدَخَلْنَا عَلَيْهَا وَهُوَ يَوْمَئِذٍ عِنْدَ زَيْنَبَ بِنْتِ جَحْشٍ فَتَوَاكَلْنَا الكَلاَمَ ثُمَّ تَكَلَّمَ أَحَدُنَا فَقَالَ</w:t>
      </w:r>
      <w:r w:rsidR="00217AB4" w:rsidRPr="004A3642">
        <w:rPr>
          <w:rFonts w:ascii="Abo-thar" w:hAnsi="Abo-thar" w:cs="KFGQPC Uthman Taha Naskh"/>
          <w:b/>
          <w:bCs/>
          <w:sz w:val="28"/>
          <w:rtl/>
          <w:lang w:bidi="ar-SY"/>
        </w:rPr>
        <w:t>:</w:t>
      </w:r>
      <w:r w:rsidR="005C664D" w:rsidRPr="004A3642">
        <w:rPr>
          <w:rFonts w:ascii="Abo-thar" w:hAnsi="Abo-thar" w:cs="KFGQPC Uthman Taha Naskh"/>
          <w:b/>
          <w:bCs/>
          <w:sz w:val="28"/>
          <w:rtl/>
          <w:lang w:bidi="ar-SY"/>
        </w:rPr>
        <w:t xml:space="preserve"> يَا رَسُولَ اللهِ أَنْتَ أَمَنُّ النَّاسِ وَأَوْصَلُ النَّاسِ وَقَدْ بَلَغْنَا النِّكَاحَ فَجِئْنَاكَ لِتُؤَمِّرَنَا عَلَى بَعْضِ هَذِهِ الصَّدَقَاتِ فَنُؤَدِّ</w:t>
      </w:r>
      <w:r w:rsidR="005C664D" w:rsidRPr="004A3642">
        <w:rPr>
          <w:rFonts w:ascii="Abo-thar" w:hAnsi="Abo-thar" w:cs="KFGQPC Uthman Taha Naskh" w:hint="cs"/>
          <w:b/>
          <w:bCs/>
          <w:sz w:val="28"/>
          <w:rtl/>
          <w:lang w:bidi="ar-SY"/>
        </w:rPr>
        <w:t>يَ</w:t>
      </w:r>
      <w:r w:rsidR="005C664D" w:rsidRPr="004A3642">
        <w:rPr>
          <w:rFonts w:ascii="Abo-thar" w:hAnsi="Abo-thar" w:cs="KFGQPC Uthman Taha Naskh"/>
          <w:b/>
          <w:bCs/>
          <w:sz w:val="28"/>
          <w:rtl/>
          <w:lang w:bidi="ar-SY"/>
        </w:rPr>
        <w:t xml:space="preserve"> إِلَيْكَ مَا يُؤَدِّى النَّاسُ وَنُصِيبَ كَمَا يُصِيبُ النَّاسُ فَسَكَتَ طَوِيلاً فَأَرَدْنَا أَنْ نُكَلِّمَهُ وَجَعَلَتْ زَيْنَبُ رَضِ</w:t>
      </w:r>
      <w:r w:rsidR="005C664D" w:rsidRPr="004A3642">
        <w:rPr>
          <w:rFonts w:ascii="Abo-thar" w:hAnsi="Abo-thar" w:cs="KFGQPC Uthman Taha Naskh" w:hint="cs"/>
          <w:b/>
          <w:bCs/>
          <w:sz w:val="28"/>
          <w:rtl/>
          <w:lang w:bidi="ar-SY"/>
        </w:rPr>
        <w:t>يَ</w:t>
      </w:r>
      <w:r w:rsidR="005C664D" w:rsidRPr="004A3642">
        <w:rPr>
          <w:rFonts w:ascii="Abo-thar" w:hAnsi="Abo-thar" w:cs="KFGQPC Uthman Taha Naskh"/>
          <w:b/>
          <w:bCs/>
          <w:sz w:val="28"/>
          <w:rtl/>
          <w:lang w:bidi="ar-SY"/>
        </w:rPr>
        <w:t xml:space="preserve"> اللهُ عَنْهَا تُلْمِعُ إِلَيْنَا مِنْ وَرَاءِ الحِجَابِ أَنْ لاَ</w:t>
      </w:r>
      <w:r w:rsidR="005C664D" w:rsidRPr="004A3642">
        <w:rPr>
          <w:rFonts w:cs="Times New Roman" w:hint="cs"/>
          <w:b/>
          <w:bCs/>
          <w:sz w:val="28"/>
          <w:rtl/>
          <w:lang w:bidi="ar-SY"/>
        </w:rPr>
        <w:t> </w:t>
      </w:r>
      <w:r w:rsidR="005C664D" w:rsidRPr="004A3642">
        <w:rPr>
          <w:rFonts w:ascii="Abo-thar" w:hAnsi="Abo-thar" w:cs="KFGQPC Uthman Taha Naskh"/>
          <w:b/>
          <w:bCs/>
          <w:sz w:val="28"/>
          <w:rtl/>
          <w:lang w:bidi="ar-SY"/>
        </w:rPr>
        <w:t>تُكَلِّمَاهُ ثُمَّ قَالَ</w:t>
      </w:r>
      <w:r w:rsidR="00217AB4" w:rsidRPr="004A3642">
        <w:rPr>
          <w:rFonts w:ascii="Abo-thar" w:hAnsi="Abo-thar" w:cs="KFGQPC Uthman Taha Naskh"/>
          <w:b/>
          <w:bCs/>
          <w:sz w:val="28"/>
          <w:rtl/>
          <w:lang w:bidi="ar-SY"/>
        </w:rPr>
        <w:t>:</w:t>
      </w:r>
      <w:r w:rsidR="005C664D" w:rsidRPr="004A3642">
        <w:rPr>
          <w:rFonts w:ascii="Abo-thar" w:hAnsi="Abo-thar" w:cs="KFGQPC Uthman Taha Naskh"/>
          <w:b/>
          <w:bCs/>
          <w:sz w:val="28"/>
          <w:rtl/>
          <w:lang w:bidi="ar-SY"/>
        </w:rPr>
        <w:t>«إِنَّ الصَّدَقَةَ لاَ</w:t>
      </w:r>
      <w:r w:rsidR="005C664D" w:rsidRPr="004A3642">
        <w:rPr>
          <w:rFonts w:cs="Times New Roman" w:hint="cs"/>
          <w:b/>
          <w:bCs/>
          <w:sz w:val="28"/>
          <w:rtl/>
          <w:lang w:bidi="ar-SY"/>
        </w:rPr>
        <w:t> </w:t>
      </w:r>
      <w:r w:rsidR="005C664D" w:rsidRPr="004A3642">
        <w:rPr>
          <w:rFonts w:ascii="Abo-thar" w:hAnsi="Abo-thar" w:cs="KFGQPC Uthman Taha Naskh"/>
          <w:b/>
          <w:bCs/>
          <w:sz w:val="28"/>
          <w:rtl/>
          <w:lang w:bidi="ar-SY"/>
        </w:rPr>
        <w:t>تَنْبَغِ</w:t>
      </w:r>
      <w:r w:rsidR="005C664D" w:rsidRPr="004A3642">
        <w:rPr>
          <w:rFonts w:ascii="Abo-thar" w:hAnsi="Abo-thar" w:cs="KFGQPC Uthman Taha Naskh" w:hint="cs"/>
          <w:b/>
          <w:bCs/>
          <w:sz w:val="28"/>
          <w:rtl/>
          <w:lang w:bidi="ar-SY"/>
        </w:rPr>
        <w:t>ي</w:t>
      </w:r>
      <w:r w:rsidR="005C664D" w:rsidRPr="004A3642">
        <w:rPr>
          <w:rFonts w:ascii="Abo-thar" w:hAnsi="Abo-thar" w:cs="KFGQPC Uthman Taha Naskh"/>
          <w:b/>
          <w:bCs/>
          <w:sz w:val="28"/>
          <w:rtl/>
          <w:lang w:bidi="ar-SY"/>
        </w:rPr>
        <w:t xml:space="preserve"> لآلِ مُحَمَّدٍ إِنَّمَا هِ</w:t>
      </w:r>
      <w:r w:rsidR="005C664D" w:rsidRPr="004A3642">
        <w:rPr>
          <w:rFonts w:ascii="Abo-thar" w:hAnsi="Abo-thar" w:cs="KFGQPC Uthman Taha Naskh" w:hint="cs"/>
          <w:b/>
          <w:bCs/>
          <w:sz w:val="28"/>
          <w:rtl/>
          <w:lang w:bidi="ar-SY"/>
        </w:rPr>
        <w:t>يَ</w:t>
      </w:r>
      <w:r w:rsidR="005C664D" w:rsidRPr="004A3642">
        <w:rPr>
          <w:rFonts w:ascii="Abo-thar" w:hAnsi="Abo-thar" w:cs="KFGQPC Uthman Taha Naskh"/>
          <w:b/>
          <w:bCs/>
          <w:sz w:val="28"/>
          <w:rtl/>
          <w:lang w:bidi="ar-SY"/>
        </w:rPr>
        <w:t xml:space="preserve"> أَوْسَاخُ النَّاسِ</w:t>
      </w:r>
      <w:r w:rsidRPr="004A3642">
        <w:rPr>
          <w:rFonts w:ascii="Abo-thar" w:hAnsi="Abo-thar" w:cs="KFGQPC Uthman Taha Naskh" w:hint="cs"/>
          <w:sz w:val="28"/>
          <w:rtl/>
          <w:lang w:bidi="ar-SY"/>
        </w:rPr>
        <w:t>»</w:t>
      </w:r>
      <w:r w:rsidR="00217AB4" w:rsidRPr="0021507A">
        <w:rPr>
          <w:rFonts w:cs="Arabic11 BT"/>
          <w:b/>
          <w:sz w:val="28"/>
          <w:vertAlign w:val="superscript"/>
          <w:rtl/>
          <w:lang w:bidi="ar-SY"/>
        </w:rPr>
        <w:t>(</w:t>
      </w:r>
      <w:r w:rsidR="005C664D" w:rsidRPr="0021507A">
        <w:rPr>
          <w:rStyle w:val="FootnoteReference"/>
          <w:rFonts w:cs="Arabic11 BT"/>
          <w:b/>
          <w:sz w:val="28"/>
          <w:rtl/>
          <w:lang w:bidi="ar-SY"/>
        </w:rPr>
        <w:footnoteReference w:id="124"/>
      </w:r>
      <w:r w:rsidR="00217AB4" w:rsidRPr="0021507A">
        <w:rPr>
          <w:rFonts w:cs="Arabic11 BT"/>
          <w:b/>
          <w:sz w:val="28"/>
          <w:vertAlign w:val="superscript"/>
          <w:rtl/>
          <w:lang w:bidi="ar-SY"/>
        </w:rPr>
        <w:t>)</w:t>
      </w:r>
      <w:r w:rsidR="00217AB4" w:rsidRPr="003F3B94">
        <w:rPr>
          <w:rFonts w:ascii="Abo-thar" w:hAnsi="Abo-thar" w:hint="cs"/>
          <w:sz w:val="28"/>
          <w:rtl/>
          <w:lang w:bidi="ar-SY"/>
        </w:rPr>
        <w:t>.</w:t>
      </w:r>
    </w:p>
    <w:p w:rsidR="005C664D" w:rsidRPr="003F3B94" w:rsidRDefault="005C664D" w:rsidP="003F3B94">
      <w:pPr>
        <w:pStyle w:val="a0"/>
        <w:rPr>
          <w:rFonts w:hint="cs"/>
          <w:rtl/>
          <w:lang w:bidi="ar-SY"/>
        </w:rPr>
      </w:pPr>
      <w:r w:rsidRPr="003F3B94">
        <w:rPr>
          <w:rFonts w:hint="cs"/>
          <w:sz w:val="28"/>
          <w:rtl/>
          <w:lang w:bidi="ar-SY"/>
        </w:rPr>
        <w:t xml:space="preserve"> </w:t>
      </w:r>
      <w:r w:rsidRPr="003F3B94">
        <w:rPr>
          <w:rFonts w:ascii="Abo-thar" w:hAnsi="Abo-thar" w:hint="cs"/>
          <w:sz w:val="28"/>
          <w:rtl/>
          <w:lang w:bidi="ar-SY"/>
        </w:rPr>
        <w:t>2</w:t>
      </w:r>
      <w:r w:rsidR="00217AB4" w:rsidRPr="003F3B94">
        <w:rPr>
          <w:rFonts w:ascii="Abo-thar" w:hAnsi="Abo-thar" w:hint="cs"/>
          <w:sz w:val="28"/>
          <w:rtl/>
          <w:lang w:bidi="ar-SY"/>
        </w:rPr>
        <w:t>-</w:t>
      </w:r>
      <w:r w:rsidRPr="003F3B94">
        <w:rPr>
          <w:rFonts w:ascii="Abo-thar" w:hAnsi="Abo-thar" w:hint="cs"/>
          <w:sz w:val="28"/>
          <w:rtl/>
          <w:lang w:bidi="ar-SY"/>
        </w:rPr>
        <w:t xml:space="preserve"> وفي الكتاب نفسه </w:t>
      </w:r>
      <w:r w:rsidR="00217AB4" w:rsidRPr="003F3B94">
        <w:rPr>
          <w:rFonts w:ascii="Abo-thar" w:hAnsi="Abo-thar" w:hint="cs"/>
          <w:sz w:val="28"/>
          <w:rtl/>
          <w:lang w:bidi="ar-SY"/>
        </w:rPr>
        <w:t>(</w:t>
      </w:r>
      <w:r w:rsidRPr="003F3B94">
        <w:rPr>
          <w:rFonts w:ascii="Abo-thar" w:hAnsi="Abo-thar" w:hint="cs"/>
          <w:sz w:val="28"/>
          <w:rtl/>
          <w:lang w:bidi="ar-SY"/>
        </w:rPr>
        <w:t>ج7/ ص31</w:t>
      </w:r>
      <w:r w:rsidR="00217AB4" w:rsidRPr="003F3B94">
        <w:rPr>
          <w:rFonts w:ascii="Abo-thar" w:hAnsi="Abo-thar" w:hint="cs"/>
          <w:sz w:val="28"/>
          <w:rtl/>
          <w:lang w:bidi="ar-SY"/>
        </w:rPr>
        <w:t>-</w:t>
      </w:r>
      <w:r w:rsidRPr="003F3B94">
        <w:rPr>
          <w:rFonts w:ascii="Abo-thar" w:hAnsi="Abo-thar" w:hint="cs"/>
          <w:sz w:val="28"/>
          <w:rtl/>
          <w:lang w:bidi="ar-SY"/>
        </w:rPr>
        <w:t>32</w:t>
      </w:r>
      <w:r w:rsidR="00217AB4" w:rsidRPr="003F3B94">
        <w:rPr>
          <w:rFonts w:ascii="Abo-thar" w:hAnsi="Abo-thar" w:hint="cs"/>
          <w:sz w:val="28"/>
          <w:rtl/>
          <w:lang w:bidi="ar-SY"/>
        </w:rPr>
        <w:t>):</w:t>
      </w:r>
      <w:r w:rsidRPr="003F3B94">
        <w:rPr>
          <w:rFonts w:ascii="Abo-thar" w:hAnsi="Abo-thar" w:hint="cs"/>
          <w:sz w:val="28"/>
          <w:rtl/>
          <w:lang w:bidi="ar-SY"/>
        </w:rPr>
        <w:t xml:space="preserve"> </w:t>
      </w:r>
      <w:r w:rsidR="00EF2588" w:rsidRPr="004A3642">
        <w:rPr>
          <w:rFonts w:ascii="Abo-thar" w:hAnsi="Abo-thar" w:cs="KFGQPC Uthman Taha Naskh" w:hint="cs"/>
          <w:sz w:val="28"/>
          <w:rtl/>
          <w:lang w:bidi="ar-SY"/>
        </w:rPr>
        <w:t>«</w:t>
      </w:r>
      <w:r w:rsidRPr="004A3642">
        <w:rPr>
          <w:rFonts w:ascii="Abo-thar" w:hAnsi="Abo-thar" w:cs="KFGQPC Uthman Taha Naskh"/>
          <w:b/>
          <w:bCs/>
          <w:sz w:val="28"/>
          <w:rtl/>
          <w:lang w:bidi="ar-SY"/>
        </w:rPr>
        <w:t>حَدَّثَنِ</w:t>
      </w:r>
      <w:r w:rsidRPr="004A3642">
        <w:rPr>
          <w:rFonts w:ascii="Abo-thar" w:hAnsi="Abo-thar" w:cs="KFGQPC Uthman Taha Naskh" w:hint="cs"/>
          <w:b/>
          <w:bCs/>
          <w:sz w:val="28"/>
          <w:rtl/>
          <w:lang w:bidi="ar-SY"/>
        </w:rPr>
        <w:t>ي</w:t>
      </w:r>
      <w:r w:rsidRPr="004A3642">
        <w:rPr>
          <w:rFonts w:ascii="Abo-thar" w:hAnsi="Abo-thar" w:cs="KFGQPC Uthman Taha Naskh"/>
          <w:b/>
          <w:bCs/>
          <w:sz w:val="28"/>
          <w:rtl/>
          <w:lang w:bidi="ar-SY"/>
        </w:rPr>
        <w:t xml:space="preserve"> عَبْدُ اللهِ بْنُ عُبَيْدِ اللهِ بْنِ العَبَّاسِ قَالَ</w:t>
      </w:r>
      <w:r w:rsidR="00217AB4" w:rsidRPr="004A3642">
        <w:rPr>
          <w:rFonts w:ascii="Abo-thar" w:hAnsi="Abo-thar" w:cs="KFGQPC Uthman Taha Naskh"/>
          <w:b/>
          <w:bCs/>
          <w:sz w:val="28"/>
          <w:rtl/>
          <w:lang w:bidi="ar-SY"/>
        </w:rPr>
        <w:t>:</w:t>
      </w:r>
      <w:r w:rsidRPr="004A3642">
        <w:rPr>
          <w:rFonts w:ascii="Abo-thar" w:hAnsi="Abo-thar" w:cs="KFGQPC Uthman Taha Naskh"/>
          <w:b/>
          <w:bCs/>
          <w:sz w:val="28"/>
          <w:rtl/>
          <w:lang w:bidi="ar-SY"/>
        </w:rPr>
        <w:t xml:space="preserve"> كُنَّا جُلُوسًا عِنْدَ ابْنِ عَبَّاسٍ رَضِ</w:t>
      </w:r>
      <w:r w:rsidRPr="004A3642">
        <w:rPr>
          <w:rFonts w:ascii="Abo-thar" w:hAnsi="Abo-thar" w:cs="KFGQPC Uthman Taha Naskh" w:hint="cs"/>
          <w:b/>
          <w:bCs/>
          <w:sz w:val="28"/>
          <w:rtl/>
          <w:lang w:bidi="ar-SY"/>
        </w:rPr>
        <w:t>يَ</w:t>
      </w:r>
      <w:r w:rsidRPr="004A3642">
        <w:rPr>
          <w:rFonts w:ascii="Abo-thar" w:hAnsi="Abo-thar" w:cs="KFGQPC Uthman Taha Naskh"/>
          <w:b/>
          <w:bCs/>
          <w:sz w:val="28"/>
          <w:rtl/>
          <w:lang w:bidi="ar-SY"/>
        </w:rPr>
        <w:t xml:space="preserve"> اللهُ عَنْهُمَا فِ</w:t>
      </w:r>
      <w:r w:rsidRPr="004A3642">
        <w:rPr>
          <w:rFonts w:ascii="Abo-thar" w:hAnsi="Abo-thar" w:cs="KFGQPC Uthman Taha Naskh" w:hint="cs"/>
          <w:b/>
          <w:bCs/>
          <w:sz w:val="28"/>
          <w:rtl/>
          <w:lang w:bidi="ar-SY"/>
        </w:rPr>
        <w:t>ي</w:t>
      </w:r>
      <w:r w:rsidRPr="004A3642">
        <w:rPr>
          <w:rFonts w:ascii="Abo-thar" w:hAnsi="Abo-thar" w:cs="KFGQPC Uthman Taha Naskh"/>
          <w:b/>
          <w:bCs/>
          <w:sz w:val="28"/>
          <w:rtl/>
          <w:lang w:bidi="ar-SY"/>
        </w:rPr>
        <w:t xml:space="preserve"> فِتْيَةٍ مِنْ بَنِ</w:t>
      </w:r>
      <w:r w:rsidRPr="004A3642">
        <w:rPr>
          <w:rFonts w:ascii="Abo-thar" w:hAnsi="Abo-thar" w:cs="KFGQPC Uthman Taha Naskh" w:hint="cs"/>
          <w:b/>
          <w:bCs/>
          <w:sz w:val="28"/>
          <w:rtl/>
          <w:lang w:bidi="ar-SY"/>
        </w:rPr>
        <w:t>ي</w:t>
      </w:r>
      <w:r w:rsidRPr="004A3642">
        <w:rPr>
          <w:rFonts w:ascii="Abo-thar" w:hAnsi="Abo-thar" w:cs="KFGQPC Uthman Taha Naskh"/>
          <w:b/>
          <w:bCs/>
          <w:sz w:val="28"/>
          <w:rtl/>
          <w:lang w:bidi="ar-SY"/>
        </w:rPr>
        <w:t xml:space="preserve"> هَاشِمٍ فَقَالَ</w:t>
      </w:r>
      <w:r w:rsidR="00217AB4" w:rsidRPr="004A3642">
        <w:rPr>
          <w:rFonts w:ascii="Abo-thar" w:hAnsi="Abo-thar" w:cs="KFGQPC Uthman Taha Naskh"/>
          <w:b/>
          <w:bCs/>
          <w:sz w:val="28"/>
          <w:rtl/>
          <w:lang w:bidi="ar-SY"/>
        </w:rPr>
        <w:t>:</w:t>
      </w:r>
      <w:r w:rsidRPr="004A3642">
        <w:rPr>
          <w:rFonts w:ascii="Abo-thar" w:hAnsi="Abo-thar" w:cs="KFGQPC Uthman Taha Naskh"/>
          <w:b/>
          <w:bCs/>
          <w:sz w:val="28"/>
          <w:rtl/>
          <w:lang w:bidi="ar-SY"/>
        </w:rPr>
        <w:t xml:space="preserve"> وَاللهِ مَا اخْتَصَّنَا رَسُولُ اللهِ</w:t>
      </w:r>
      <w:r w:rsidR="00147857" w:rsidRPr="004A3642">
        <w:rPr>
          <w:rFonts w:ascii="Abo-thar" w:hAnsi="Abo-thar" w:cs="KFGQPC Uthman Taha Naskh"/>
          <w:b/>
          <w:bCs/>
          <w:sz w:val="28"/>
          <w:rtl/>
          <w:lang w:bidi="ar-SY"/>
        </w:rPr>
        <w:t xml:space="preserve"> </w:t>
      </w:r>
      <w:r w:rsidR="003C7AEB" w:rsidRPr="003C7AEB">
        <w:rPr>
          <w:rFonts w:ascii="Abo-thar" w:hAnsi="Abo-thar" w:cs="CTraditional Arabic"/>
          <w:sz w:val="28"/>
          <w:rtl/>
          <w:lang w:bidi="ar-SY"/>
        </w:rPr>
        <w:t>ص</w:t>
      </w:r>
      <w:r w:rsidR="00147857" w:rsidRPr="004A3642">
        <w:rPr>
          <w:rFonts w:ascii="Abo-thar" w:hAnsi="Abo-thar" w:cs="KFGQPC Uthman Taha Naskh"/>
          <w:sz w:val="28"/>
          <w:rtl/>
          <w:lang w:bidi="ar-SY"/>
        </w:rPr>
        <w:t xml:space="preserve"> </w:t>
      </w:r>
      <w:r w:rsidRPr="004A3642">
        <w:rPr>
          <w:rFonts w:ascii="Abo-thar" w:hAnsi="Abo-thar" w:cs="KFGQPC Uthman Taha Naskh"/>
          <w:b/>
          <w:bCs/>
          <w:sz w:val="28"/>
          <w:rtl/>
          <w:lang w:bidi="ar-SY"/>
        </w:rPr>
        <w:t>بِشَ</w:t>
      </w:r>
      <w:r w:rsidRPr="004A3642">
        <w:rPr>
          <w:rFonts w:ascii="Abo-thar" w:hAnsi="Abo-thar" w:cs="KFGQPC Uthman Taha Naskh" w:hint="cs"/>
          <w:b/>
          <w:bCs/>
          <w:sz w:val="28"/>
          <w:rtl/>
          <w:lang w:bidi="ar-SY"/>
        </w:rPr>
        <w:t>يْ</w:t>
      </w:r>
      <w:r w:rsidRPr="004A3642">
        <w:rPr>
          <w:rFonts w:ascii="Abo-thar" w:hAnsi="Abo-thar" w:cs="KFGQPC Uthman Taha Naskh"/>
          <w:b/>
          <w:bCs/>
          <w:sz w:val="28"/>
          <w:rtl/>
          <w:lang w:bidi="ar-SY"/>
        </w:rPr>
        <w:t>ءٍ دُونَ النَّاسِ إِلاَّ ثَلاَثٍ</w:t>
      </w:r>
      <w:r w:rsidR="00217AB4" w:rsidRPr="004A3642">
        <w:rPr>
          <w:rFonts w:ascii="Abo-thar" w:hAnsi="Abo-thar" w:cs="KFGQPC Uthman Taha Naskh"/>
          <w:b/>
          <w:bCs/>
          <w:sz w:val="28"/>
          <w:rtl/>
          <w:lang w:bidi="ar-SY"/>
        </w:rPr>
        <w:t>:</w:t>
      </w:r>
      <w:r w:rsidRPr="004A3642">
        <w:rPr>
          <w:rFonts w:ascii="Abo-thar" w:hAnsi="Abo-thar" w:cs="KFGQPC Uthman Taha Naskh"/>
          <w:b/>
          <w:bCs/>
          <w:sz w:val="28"/>
          <w:rtl/>
          <w:lang w:bidi="ar-SY"/>
        </w:rPr>
        <w:t xml:space="preserve"> أَمَرَنَا أَنْ نُسْبِغَ الوُضُوءَ وَأَمَرَنَا أَنْ لاَ نَأْكُلَ الصَّدَقَةَ وَلاَ نُنْزِ</w:t>
      </w:r>
      <w:r w:rsidRPr="004A3642">
        <w:rPr>
          <w:rFonts w:ascii="Abo-thar" w:hAnsi="Abo-thar" w:cs="KFGQPC Uthman Taha Naskh" w:hint="cs"/>
          <w:b/>
          <w:bCs/>
          <w:sz w:val="28"/>
          <w:rtl/>
          <w:lang w:bidi="ar-SY"/>
        </w:rPr>
        <w:t>يَ</w:t>
      </w:r>
      <w:r w:rsidRPr="004A3642">
        <w:rPr>
          <w:rFonts w:ascii="Abo-thar" w:hAnsi="Abo-thar" w:cs="KFGQPC Uthman Taha Naskh"/>
          <w:b/>
          <w:bCs/>
          <w:sz w:val="28"/>
          <w:rtl/>
          <w:lang w:bidi="ar-SY"/>
        </w:rPr>
        <w:t xml:space="preserve"> الحُمُرَ عَلَى الخَيْلِ</w:t>
      </w:r>
      <w:r w:rsidR="00217AB4" w:rsidRPr="0021507A">
        <w:rPr>
          <w:rFonts w:cs="Arabic11 BT"/>
          <w:b/>
          <w:sz w:val="28"/>
          <w:vertAlign w:val="superscript"/>
          <w:rtl/>
          <w:lang w:bidi="ar-SY"/>
        </w:rPr>
        <w:t>(</w:t>
      </w:r>
      <w:r w:rsidRPr="0021507A">
        <w:rPr>
          <w:rStyle w:val="FootnoteReference"/>
          <w:rFonts w:cs="Arabic11 BT"/>
          <w:b/>
          <w:sz w:val="28"/>
          <w:rtl/>
          <w:lang w:bidi="ar-SY"/>
        </w:rPr>
        <w:footnoteReference w:id="125"/>
      </w:r>
      <w:r w:rsidR="00217AB4" w:rsidRPr="0021507A">
        <w:rPr>
          <w:rFonts w:cs="Arabic11 BT"/>
          <w:b/>
          <w:sz w:val="28"/>
          <w:vertAlign w:val="superscript"/>
          <w:rtl/>
          <w:lang w:bidi="ar-SY"/>
        </w:rPr>
        <w:t>)</w:t>
      </w:r>
      <w:r w:rsidR="00EF2588" w:rsidRPr="004A3642">
        <w:rPr>
          <w:rFonts w:ascii="Abo-thar" w:hAnsi="Abo-thar" w:cs="KFGQPC Uthman Taha Naskh" w:hint="cs"/>
          <w:sz w:val="28"/>
          <w:rtl/>
          <w:lang w:bidi="ar-SY"/>
        </w:rPr>
        <w:t>»</w:t>
      </w:r>
      <w:r w:rsidR="00217AB4" w:rsidRPr="0021507A">
        <w:rPr>
          <w:rFonts w:cs="Arabic11 BT"/>
          <w:b/>
          <w:sz w:val="28"/>
          <w:vertAlign w:val="superscript"/>
          <w:rtl/>
          <w:lang w:bidi="ar-SY"/>
        </w:rPr>
        <w:t>(</w:t>
      </w:r>
      <w:r w:rsidRPr="0021507A">
        <w:rPr>
          <w:rStyle w:val="FootnoteReference"/>
          <w:rFonts w:cs="Arabic11 BT"/>
          <w:b/>
          <w:sz w:val="28"/>
          <w:rtl/>
          <w:lang w:bidi="ar-SY"/>
        </w:rPr>
        <w:footnoteReference w:id="126"/>
      </w:r>
      <w:r w:rsidR="00217AB4" w:rsidRPr="0021507A">
        <w:rPr>
          <w:rFonts w:cs="Arabic11 BT"/>
          <w:b/>
          <w:sz w:val="28"/>
          <w:vertAlign w:val="superscript"/>
          <w:rtl/>
          <w:lang w:bidi="ar-SY"/>
        </w:rPr>
        <w:t>)</w:t>
      </w:r>
      <w:r w:rsidR="00217AB4" w:rsidRPr="003F3B94">
        <w:rPr>
          <w:rFonts w:ascii="Abo-thar" w:hAnsi="Abo-thar" w:hint="cs"/>
          <w:sz w:val="28"/>
          <w:rtl/>
          <w:lang w:bidi="ar-SY"/>
        </w:rPr>
        <w:t>.</w:t>
      </w:r>
    </w:p>
    <w:p w:rsidR="005C664D" w:rsidRPr="00833C06" w:rsidRDefault="005C664D" w:rsidP="003F3B94">
      <w:pPr>
        <w:pStyle w:val="a0"/>
        <w:rPr>
          <w:rFonts w:hint="cs"/>
          <w:spacing w:val="-4"/>
          <w:rtl/>
          <w:lang w:bidi="ar-SY"/>
        </w:rPr>
      </w:pPr>
      <w:r w:rsidRPr="00833C06">
        <w:rPr>
          <w:rFonts w:hint="cs"/>
          <w:spacing w:val="-4"/>
          <w:sz w:val="28"/>
          <w:rtl/>
          <w:lang w:bidi="ar-SY"/>
        </w:rPr>
        <w:t>هنا من اللازم أن نذكِّر بأمر هام وضروريٍّ لفهم ما سيأتي من موضوعات</w:t>
      </w:r>
      <w:r w:rsidR="00217AB4" w:rsidRPr="00833C06">
        <w:rPr>
          <w:rFonts w:hint="cs"/>
          <w:spacing w:val="-4"/>
          <w:sz w:val="28"/>
          <w:rtl/>
          <w:lang w:bidi="ar-SY"/>
        </w:rPr>
        <w:t>،</w:t>
      </w:r>
      <w:r w:rsidRPr="00833C06">
        <w:rPr>
          <w:rFonts w:hint="cs"/>
          <w:spacing w:val="-4"/>
          <w:sz w:val="28"/>
          <w:rtl/>
          <w:lang w:bidi="ar-SY"/>
        </w:rPr>
        <w:t xml:space="preserve"> وهو أن أكل الصدقة الذي ورد ذمُّه في هذه الأحاديث</w:t>
      </w:r>
      <w:r w:rsidR="00147857" w:rsidRPr="00833C06">
        <w:rPr>
          <w:rFonts w:hint="cs"/>
          <w:spacing w:val="-4"/>
          <w:sz w:val="28"/>
          <w:rtl/>
          <w:lang w:bidi="ar-SY"/>
        </w:rPr>
        <w:t xml:space="preserve"> و</w:t>
      </w:r>
      <w:r w:rsidRPr="00833C06">
        <w:rPr>
          <w:rFonts w:hint="cs"/>
          <w:spacing w:val="-4"/>
          <w:sz w:val="28"/>
          <w:rtl/>
          <w:lang w:bidi="ar-SY"/>
        </w:rPr>
        <w:t>في الروايات المنقولة عن أهل البيت إنما هو عمل مكروه وليس محرّماً</w:t>
      </w:r>
      <w:r w:rsidR="00217AB4" w:rsidRPr="00833C06">
        <w:rPr>
          <w:rFonts w:hint="cs"/>
          <w:spacing w:val="-4"/>
          <w:sz w:val="28"/>
          <w:rtl/>
          <w:lang w:bidi="ar-SY"/>
        </w:rPr>
        <w:t>،</w:t>
      </w:r>
      <w:r w:rsidRPr="00833C06">
        <w:rPr>
          <w:rFonts w:hint="cs"/>
          <w:spacing w:val="-4"/>
          <w:sz w:val="28"/>
          <w:rtl/>
          <w:lang w:bidi="ar-SY"/>
        </w:rPr>
        <w:t xml:space="preserve"> والدليل الواضح على ذلك أنه جُعِل رديفاً لأمور هي بالاتفاق مكروهة وليست محرمة مثل نزو الحُمُر على الخيل وترك إسباغ الوضوء</w:t>
      </w:r>
      <w:r w:rsidR="00217AB4" w:rsidRPr="00833C06">
        <w:rPr>
          <w:rFonts w:hint="cs"/>
          <w:spacing w:val="-4"/>
          <w:sz w:val="28"/>
          <w:rtl/>
          <w:lang w:bidi="ar-SY"/>
        </w:rPr>
        <w:t>.</w:t>
      </w:r>
      <w:r w:rsidRPr="00833C06">
        <w:rPr>
          <w:rFonts w:hint="cs"/>
          <w:spacing w:val="-4"/>
          <w:sz w:val="28"/>
          <w:rtl/>
          <w:lang w:bidi="ar-SY"/>
        </w:rPr>
        <w:t xml:space="preserve"> كما سيأتي توضيحه لاحقاً إن شاء الله</w:t>
      </w:r>
      <w:r w:rsidR="00217AB4" w:rsidRPr="00833C06">
        <w:rPr>
          <w:rFonts w:hint="cs"/>
          <w:spacing w:val="-4"/>
          <w:sz w:val="28"/>
          <w:rtl/>
          <w:lang w:bidi="ar-SY"/>
        </w:rPr>
        <w:t>.</w:t>
      </w:r>
    </w:p>
    <w:p w:rsidR="005C664D" w:rsidRPr="00833C06" w:rsidRDefault="005C664D" w:rsidP="00833C06">
      <w:pPr>
        <w:pStyle w:val="a0"/>
        <w:rPr>
          <w:rFonts w:hint="cs"/>
          <w:spacing w:val="-5"/>
          <w:rtl/>
          <w:lang w:bidi="ar-SY"/>
        </w:rPr>
      </w:pPr>
      <w:r w:rsidRPr="00833C06">
        <w:rPr>
          <w:rFonts w:hint="cs"/>
          <w:spacing w:val="-5"/>
          <w:sz w:val="28"/>
          <w:rtl/>
          <w:lang w:bidi="ar-SY"/>
        </w:rPr>
        <w:t>3</w:t>
      </w:r>
      <w:r w:rsidR="00217AB4" w:rsidRPr="00833C06">
        <w:rPr>
          <w:rFonts w:hint="cs"/>
          <w:spacing w:val="-5"/>
          <w:sz w:val="28"/>
          <w:rtl/>
          <w:lang w:bidi="ar-SY"/>
        </w:rPr>
        <w:t>-</w:t>
      </w:r>
      <w:r w:rsidRPr="00833C06">
        <w:rPr>
          <w:rFonts w:hint="cs"/>
          <w:spacing w:val="-5"/>
          <w:sz w:val="28"/>
          <w:rtl/>
          <w:lang w:bidi="ar-SY"/>
        </w:rPr>
        <w:t xml:space="preserve"> رغم أن رسول الله</w:t>
      </w:r>
      <w:r w:rsidR="00147857" w:rsidRPr="00833C06">
        <w:rPr>
          <w:rFonts w:hint="cs"/>
          <w:spacing w:val="-5"/>
          <w:sz w:val="28"/>
          <w:rtl/>
          <w:lang w:bidi="ar-SY"/>
        </w:rPr>
        <w:t xml:space="preserve"> </w:t>
      </w:r>
      <w:r w:rsidR="003C7AEB" w:rsidRPr="00833C06">
        <w:rPr>
          <w:rFonts w:ascii="Abo-thar" w:hAnsi="Abo-thar" w:cs="CTraditional Arabic"/>
          <w:spacing w:val="-5"/>
          <w:sz w:val="28"/>
          <w:rtl/>
          <w:lang w:bidi="ar-SY"/>
        </w:rPr>
        <w:t>ص</w:t>
      </w:r>
      <w:r w:rsidR="00147857" w:rsidRPr="00833C06">
        <w:rPr>
          <w:rFonts w:ascii="Abo-thar" w:hAnsi="Abo-thar"/>
          <w:spacing w:val="-5"/>
          <w:sz w:val="28"/>
          <w:rtl/>
          <w:lang w:bidi="ar-SY"/>
        </w:rPr>
        <w:t xml:space="preserve"> </w:t>
      </w:r>
      <w:r w:rsidRPr="00833C06">
        <w:rPr>
          <w:rFonts w:hint="cs"/>
          <w:spacing w:val="-5"/>
          <w:sz w:val="28"/>
          <w:rtl/>
          <w:lang w:bidi="ar-SY"/>
        </w:rPr>
        <w:t>لم يكن له في آخر عمره</w:t>
      </w:r>
      <w:r w:rsidR="00217AB4" w:rsidRPr="00833C06">
        <w:rPr>
          <w:rFonts w:hint="cs"/>
          <w:spacing w:val="-5"/>
          <w:sz w:val="28"/>
          <w:rtl/>
          <w:lang w:bidi="ar-SY"/>
        </w:rPr>
        <w:t>،</w:t>
      </w:r>
      <w:r w:rsidRPr="00833C06">
        <w:rPr>
          <w:rFonts w:hint="cs"/>
          <w:spacing w:val="-5"/>
          <w:sz w:val="28"/>
          <w:rtl/>
          <w:lang w:bidi="ar-SY"/>
        </w:rPr>
        <w:t xml:space="preserve"> عندما فاضت عليه الأموال الطائلة من الغنائم كغنائم خيبر وحُنَـيْن وأمثالهما</w:t>
      </w:r>
      <w:r w:rsidR="00217AB4" w:rsidRPr="00833C06">
        <w:rPr>
          <w:rFonts w:hint="cs"/>
          <w:spacing w:val="-5"/>
          <w:sz w:val="28"/>
          <w:rtl/>
          <w:lang w:bidi="ar-SY"/>
        </w:rPr>
        <w:t>،</w:t>
      </w:r>
      <w:r w:rsidRPr="00833C06">
        <w:rPr>
          <w:rFonts w:hint="cs"/>
          <w:spacing w:val="-5"/>
          <w:sz w:val="28"/>
          <w:rtl/>
          <w:lang w:bidi="ar-SY"/>
        </w:rPr>
        <w:t xml:space="preserve"> إلا ابنة واحدة هي فاطمة</w:t>
      </w:r>
      <w:r w:rsidR="00EF2588" w:rsidRPr="00833C06">
        <w:rPr>
          <w:rFonts w:hint="cs"/>
          <w:spacing w:val="-5"/>
          <w:sz w:val="28"/>
          <w:rtl/>
          <w:lang w:bidi="ar-SY"/>
        </w:rPr>
        <w:t xml:space="preserve"> </w:t>
      </w:r>
      <w:r w:rsidR="008B3243" w:rsidRPr="00833C06">
        <w:rPr>
          <w:rFonts w:ascii="Abo-thar" w:hAnsi="Abo-thar" w:cs="CTraditional Arabic"/>
          <w:spacing w:val="-5"/>
          <w:sz w:val="28"/>
          <w:rtl/>
          <w:lang w:bidi="ar-SY"/>
        </w:rPr>
        <w:t>‘</w:t>
      </w:r>
      <w:r w:rsidR="00217AB4" w:rsidRPr="00833C06">
        <w:rPr>
          <w:rFonts w:hint="cs"/>
          <w:spacing w:val="-5"/>
          <w:sz w:val="28"/>
          <w:rtl/>
          <w:lang w:bidi="ar-SY"/>
        </w:rPr>
        <w:t>،</w:t>
      </w:r>
      <w:r w:rsidRPr="00833C06">
        <w:rPr>
          <w:rFonts w:hint="cs"/>
          <w:spacing w:val="-5"/>
          <w:sz w:val="28"/>
          <w:rtl/>
          <w:lang w:bidi="ar-SY"/>
        </w:rPr>
        <w:t xml:space="preserve"> مع ذلك كان يحتاط جداً في موضوع بذل المال لابنته ويحترز من بذل أي مقدار إضافي أو زائد من المال لحبيبته</w:t>
      </w:r>
      <w:r w:rsidR="00217AB4" w:rsidRPr="00833C06">
        <w:rPr>
          <w:rFonts w:hint="cs"/>
          <w:spacing w:val="-5"/>
          <w:sz w:val="28"/>
          <w:rtl/>
          <w:lang w:bidi="ar-SY"/>
        </w:rPr>
        <w:t>،</w:t>
      </w:r>
      <w:r w:rsidRPr="00833C06">
        <w:rPr>
          <w:rFonts w:hint="cs"/>
          <w:spacing w:val="-5"/>
          <w:sz w:val="28"/>
          <w:rtl/>
          <w:lang w:bidi="ar-SY"/>
        </w:rPr>
        <w:t xml:space="preserve"> حتى أن تلك المعصومة</w:t>
      </w:r>
      <w:r w:rsidR="00EF2588" w:rsidRPr="00833C06">
        <w:rPr>
          <w:rFonts w:hint="cs"/>
          <w:spacing w:val="-5"/>
          <w:sz w:val="28"/>
          <w:rtl/>
          <w:lang w:bidi="ar-SY"/>
        </w:rPr>
        <w:t xml:space="preserve"> </w:t>
      </w:r>
      <w:r w:rsidR="008B3243" w:rsidRPr="00833C06">
        <w:rPr>
          <w:rFonts w:ascii="Abo-thar" w:hAnsi="Abo-thar" w:cs="CTraditional Arabic"/>
          <w:spacing w:val="-5"/>
          <w:sz w:val="28"/>
          <w:rtl/>
          <w:lang w:bidi="ar-SY"/>
        </w:rPr>
        <w:t>‘</w:t>
      </w:r>
      <w:r w:rsidR="00EF2588" w:rsidRPr="00833C06">
        <w:rPr>
          <w:rFonts w:ascii="Abo-thar" w:hAnsi="Abo-thar"/>
          <w:spacing w:val="-5"/>
          <w:sz w:val="28"/>
          <w:rtl/>
          <w:lang w:bidi="ar-SY"/>
        </w:rPr>
        <w:t xml:space="preserve"> </w:t>
      </w:r>
      <w:r w:rsidRPr="00833C06">
        <w:rPr>
          <w:rFonts w:hint="cs"/>
          <w:spacing w:val="-5"/>
          <w:sz w:val="28"/>
          <w:rtl/>
          <w:lang w:bidi="ar-SY"/>
        </w:rPr>
        <w:t>لما طلبت من أبيها خادمةً تساعدها في أعمال المنزل امتنع رسول الله</w:t>
      </w:r>
      <w:r w:rsidR="00147857" w:rsidRPr="00833C06">
        <w:rPr>
          <w:rFonts w:hint="cs"/>
          <w:spacing w:val="-5"/>
          <w:sz w:val="28"/>
          <w:rtl/>
          <w:lang w:bidi="ar-SY"/>
        </w:rPr>
        <w:t xml:space="preserve"> </w:t>
      </w:r>
      <w:r w:rsidR="003C7AEB" w:rsidRPr="00833C06">
        <w:rPr>
          <w:rFonts w:ascii="Abo-thar" w:hAnsi="Abo-thar" w:cs="CTraditional Arabic"/>
          <w:spacing w:val="-5"/>
          <w:sz w:val="28"/>
          <w:rtl/>
          <w:lang w:bidi="ar-SY"/>
        </w:rPr>
        <w:t>ص</w:t>
      </w:r>
      <w:r w:rsidR="00147857" w:rsidRPr="00833C06">
        <w:rPr>
          <w:rFonts w:ascii="Abo-thar" w:hAnsi="Abo-thar"/>
          <w:spacing w:val="-5"/>
          <w:sz w:val="28"/>
          <w:rtl/>
          <w:lang w:bidi="ar-SY"/>
        </w:rPr>
        <w:t xml:space="preserve"> </w:t>
      </w:r>
      <w:r w:rsidRPr="00833C06">
        <w:rPr>
          <w:rFonts w:hint="cs"/>
          <w:spacing w:val="-5"/>
          <w:sz w:val="28"/>
          <w:rtl/>
          <w:lang w:bidi="ar-SY"/>
        </w:rPr>
        <w:t xml:space="preserve">عن إعطائها ذلك وعلَّمها بدلاً من ذلك قراءة التسابيح المعروفة بـ </w:t>
      </w:r>
      <w:r w:rsidRPr="00833C06">
        <w:rPr>
          <w:spacing w:val="-5"/>
          <w:sz w:val="28"/>
          <w:rtl/>
          <w:lang w:bidi="ar-SY"/>
        </w:rPr>
        <w:t>«</w:t>
      </w:r>
      <w:r w:rsidRPr="00833C06">
        <w:rPr>
          <w:rFonts w:hint="cs"/>
          <w:spacing w:val="-5"/>
          <w:sz w:val="28"/>
          <w:rtl/>
          <w:lang w:bidi="ar-SY"/>
        </w:rPr>
        <w:t>تسبيحات فاطمة الزهراء</w:t>
      </w:r>
      <w:r w:rsidR="008B3243" w:rsidRPr="00833C06">
        <w:rPr>
          <w:rFonts w:ascii="Abo-thar" w:hAnsi="Abo-thar" w:cs="CTraditional Arabic"/>
          <w:spacing w:val="-5"/>
          <w:sz w:val="28"/>
          <w:rtl/>
          <w:lang w:bidi="ar-SY"/>
        </w:rPr>
        <w:t>‘</w:t>
      </w:r>
      <w:r w:rsidR="00EF2588" w:rsidRPr="00833C06">
        <w:rPr>
          <w:rFonts w:ascii="Abo-thar" w:hAnsi="Abo-thar"/>
          <w:spacing w:val="-5"/>
          <w:sz w:val="28"/>
          <w:rtl/>
          <w:lang w:bidi="ar-SY"/>
        </w:rPr>
        <w:t xml:space="preserve"> </w:t>
      </w:r>
      <w:r w:rsidRPr="00833C06">
        <w:rPr>
          <w:spacing w:val="-5"/>
          <w:sz w:val="28"/>
          <w:rtl/>
          <w:lang w:bidi="ar-SY"/>
        </w:rPr>
        <w:t>»</w:t>
      </w:r>
      <w:r w:rsidRPr="00833C06">
        <w:rPr>
          <w:rFonts w:hint="cs"/>
          <w:spacing w:val="-5"/>
          <w:sz w:val="28"/>
          <w:rtl/>
          <w:lang w:bidi="ar-SY"/>
        </w:rPr>
        <w:t xml:space="preserve"> كما رويت هذه القصة في الكتب الموثقة</w:t>
      </w:r>
      <w:r w:rsidR="00217AB4" w:rsidRPr="00833C06">
        <w:rPr>
          <w:rFonts w:hint="cs"/>
          <w:spacing w:val="-5"/>
          <w:sz w:val="28"/>
          <w:rtl/>
          <w:lang w:bidi="ar-SY"/>
        </w:rPr>
        <w:t>،</w:t>
      </w:r>
      <w:r w:rsidRPr="00833C06">
        <w:rPr>
          <w:rFonts w:hint="cs"/>
          <w:spacing w:val="-5"/>
          <w:sz w:val="28"/>
          <w:rtl/>
          <w:lang w:bidi="ar-SY"/>
        </w:rPr>
        <w:t xml:space="preserve"> مثل</w:t>
      </w:r>
      <w:r w:rsidRPr="00833C06">
        <w:rPr>
          <w:rFonts w:ascii="Abo-thar" w:hAnsi="Abo-thar" w:hint="cs"/>
          <w:spacing w:val="-5"/>
          <w:sz w:val="28"/>
          <w:rtl/>
          <w:lang w:bidi="ar-SY"/>
        </w:rPr>
        <w:t>ما رواه الشيخ الصدوق في كتابه «</w:t>
      </w:r>
      <w:r w:rsidRPr="00833C06">
        <w:rPr>
          <w:rFonts w:ascii="Abo-thar" w:hAnsi="Abo-thar"/>
          <w:spacing w:val="-5"/>
          <w:sz w:val="28"/>
          <w:rtl/>
          <w:lang w:bidi="ar-SY"/>
        </w:rPr>
        <w:t>من‏</w:t>
      </w:r>
      <w:r w:rsidRPr="00833C06">
        <w:rPr>
          <w:rFonts w:ascii="Abo-thar" w:hAnsi="Abo-thar" w:hint="cs"/>
          <w:spacing w:val="-5"/>
          <w:sz w:val="28"/>
          <w:rtl/>
          <w:lang w:bidi="ar-SY"/>
        </w:rPr>
        <w:t xml:space="preserve"> </w:t>
      </w:r>
      <w:r w:rsidRPr="00833C06">
        <w:rPr>
          <w:rFonts w:ascii="Abo-thar" w:hAnsi="Abo-thar"/>
          <w:spacing w:val="-5"/>
          <w:sz w:val="28"/>
          <w:rtl/>
          <w:lang w:bidi="ar-SY"/>
        </w:rPr>
        <w:t>لا</w:t>
      </w:r>
      <w:r w:rsidRPr="00833C06">
        <w:rPr>
          <w:rFonts w:cs="Times New Roman" w:hint="cs"/>
          <w:spacing w:val="-5"/>
          <w:sz w:val="28"/>
          <w:rtl/>
          <w:lang w:bidi="ar-SY"/>
        </w:rPr>
        <w:t> </w:t>
      </w:r>
      <w:r w:rsidRPr="00833C06">
        <w:rPr>
          <w:rFonts w:ascii="Abo-thar" w:hAnsi="Abo-thar"/>
          <w:spacing w:val="-5"/>
          <w:sz w:val="28"/>
          <w:rtl/>
          <w:lang w:bidi="ar-SY"/>
        </w:rPr>
        <w:t>يح</w:t>
      </w:r>
      <w:r w:rsidRPr="00833C06">
        <w:rPr>
          <w:rFonts w:ascii="Abo-thar" w:hAnsi="Abo-thar" w:hint="cs"/>
          <w:spacing w:val="-5"/>
          <w:sz w:val="28"/>
          <w:rtl/>
          <w:lang w:bidi="ar-SY"/>
        </w:rPr>
        <w:t>ض</w:t>
      </w:r>
      <w:r w:rsidRPr="00833C06">
        <w:rPr>
          <w:rFonts w:ascii="Abo-thar" w:hAnsi="Abo-thar"/>
          <w:spacing w:val="-5"/>
          <w:sz w:val="28"/>
          <w:rtl/>
          <w:lang w:bidi="ar-SY"/>
        </w:rPr>
        <w:t>ره‏</w:t>
      </w:r>
      <w:r w:rsidRPr="00833C06">
        <w:rPr>
          <w:rFonts w:ascii="Abo-thar" w:hAnsi="Abo-thar" w:hint="cs"/>
          <w:spacing w:val="-5"/>
          <w:sz w:val="28"/>
          <w:rtl/>
          <w:lang w:bidi="ar-SY"/>
        </w:rPr>
        <w:t xml:space="preserve"> </w:t>
      </w:r>
      <w:r w:rsidRPr="00833C06">
        <w:rPr>
          <w:rFonts w:ascii="Abo-thar" w:hAnsi="Abo-thar"/>
          <w:spacing w:val="-5"/>
          <w:sz w:val="28"/>
          <w:rtl/>
          <w:lang w:bidi="ar-SY"/>
        </w:rPr>
        <w:t>الفقيه</w:t>
      </w:r>
      <w:r w:rsidRPr="00833C06">
        <w:rPr>
          <w:rFonts w:ascii="Abo-thar" w:hAnsi="Abo-thar" w:hint="cs"/>
          <w:spacing w:val="-5"/>
          <w:sz w:val="28"/>
          <w:rtl/>
          <w:lang w:bidi="ar-SY"/>
        </w:rPr>
        <w:t>»</w:t>
      </w:r>
      <w:r w:rsidR="00652969" w:rsidRPr="00833C06">
        <w:rPr>
          <w:rFonts w:ascii="Abo-thar" w:hAnsi="Abo-thar" w:hint="cs"/>
          <w:spacing w:val="-5"/>
          <w:sz w:val="28"/>
          <w:rtl/>
          <w:lang w:bidi="ar-SY"/>
        </w:rPr>
        <w:t>،</w:t>
      </w:r>
      <w:r w:rsidRPr="00833C06">
        <w:rPr>
          <w:rFonts w:ascii="Abo-thar" w:hAnsi="Abo-thar" w:hint="cs"/>
          <w:spacing w:val="-5"/>
          <w:sz w:val="28"/>
          <w:rtl/>
          <w:lang w:bidi="ar-SY"/>
        </w:rPr>
        <w:t xml:space="preserve"> قال</w:t>
      </w:r>
      <w:r w:rsidR="00217AB4" w:rsidRPr="00833C06">
        <w:rPr>
          <w:rFonts w:ascii="Abo-thar" w:hAnsi="Abo-thar" w:hint="cs"/>
          <w:spacing w:val="-5"/>
          <w:sz w:val="28"/>
          <w:rtl/>
          <w:lang w:bidi="ar-SY"/>
        </w:rPr>
        <w:t>:</w:t>
      </w:r>
      <w:r w:rsidRPr="00833C06">
        <w:rPr>
          <w:rFonts w:ascii="Abo-thar" w:hAnsi="Abo-thar" w:hint="cs"/>
          <w:spacing w:val="-5"/>
          <w:sz w:val="28"/>
          <w:rtl/>
          <w:lang w:bidi="ar-SY"/>
        </w:rPr>
        <w:t xml:space="preserve"> </w:t>
      </w:r>
    </w:p>
    <w:p w:rsidR="005C664D" w:rsidRPr="003F3B94" w:rsidRDefault="00EF2588" w:rsidP="00833C06">
      <w:pPr>
        <w:pStyle w:val="a0"/>
        <w:rPr>
          <w:rFonts w:hint="cs"/>
          <w:rtl/>
          <w:lang w:bidi="ar-SY"/>
        </w:rPr>
      </w:pPr>
      <w:r w:rsidRPr="004A3642">
        <w:rPr>
          <w:rFonts w:ascii="Abo-thar" w:hAnsi="Abo-thar" w:cs="KFGQPC Uthman Taha Naskh" w:hint="cs"/>
          <w:sz w:val="28"/>
          <w:rtl/>
          <w:lang w:bidi="ar-SY"/>
        </w:rPr>
        <w:t>«</w:t>
      </w:r>
      <w:r w:rsidR="005C664D" w:rsidRPr="004A3642">
        <w:rPr>
          <w:rFonts w:ascii="Abo-thar" w:hAnsi="Abo-thar" w:cs="KFGQPC Uthman Taha Naskh"/>
          <w:b/>
          <w:bCs/>
          <w:sz w:val="28"/>
          <w:rtl/>
          <w:lang w:bidi="ar-SY"/>
        </w:rPr>
        <w:t xml:space="preserve">وَ رُوِيَ أَنَّ أَمِيرَ المُؤْمِنِينَ </w:t>
      </w:r>
      <w:r w:rsidR="00BC4BA9" w:rsidRPr="00BC4BA9">
        <w:rPr>
          <w:rFonts w:ascii="Abo-thar" w:hAnsi="Abo-thar" w:cs="CTraditional Arabic" w:hint="cs"/>
          <w:b/>
          <w:sz w:val="28"/>
          <w:rtl/>
          <w:lang w:bidi="ar-SY"/>
        </w:rPr>
        <w:t>÷</w:t>
      </w:r>
      <w:r w:rsidR="005C664D" w:rsidRPr="004A3642">
        <w:rPr>
          <w:rFonts w:ascii="Abo-thar" w:hAnsi="Abo-thar" w:cs="KFGQPC Uthman Taha Naskh"/>
          <w:b/>
          <w:bCs/>
          <w:sz w:val="28"/>
          <w:rtl/>
          <w:lang w:bidi="ar-SY"/>
        </w:rPr>
        <w:t xml:space="preserve"> قَال</w:t>
      </w:r>
      <w:r w:rsidR="001D7DEC" w:rsidRPr="004A3642">
        <w:rPr>
          <w:rFonts w:ascii="Abo-thar" w:hAnsi="Abo-thar" w:cs="KFGQPC Uthman Taha Naskh"/>
          <w:b/>
          <w:bCs/>
          <w:sz w:val="28"/>
          <w:rtl/>
          <w:lang w:bidi="ar-SY"/>
        </w:rPr>
        <w:t>َ لِرَجُلٍ مِنْ بَنِي سَعْدٍ</w:t>
      </w:r>
      <w:r w:rsidR="001D7DEC" w:rsidRPr="004A3642">
        <w:rPr>
          <w:rFonts w:ascii="Abo-thar" w:hAnsi="Abo-thar" w:cs="KFGQPC Uthman Taha Naskh" w:hint="cs"/>
          <w:b/>
          <w:bCs/>
          <w:sz w:val="28"/>
          <w:rtl/>
          <w:lang w:bidi="ar-SY"/>
        </w:rPr>
        <w:t>:</w:t>
      </w:r>
      <w:r w:rsidR="001D7DEC" w:rsidRPr="004A3642">
        <w:rPr>
          <w:rFonts w:ascii="Abo-thar" w:hAnsi="Abo-thar" w:cs="KFGQPC Uthman Taha Naskh"/>
          <w:b/>
          <w:bCs/>
          <w:sz w:val="28"/>
          <w:rtl/>
          <w:lang w:bidi="ar-SY"/>
        </w:rPr>
        <w:t xml:space="preserve"> أَ</w:t>
      </w:r>
      <w:r w:rsidR="005C664D" w:rsidRPr="004A3642">
        <w:rPr>
          <w:rFonts w:ascii="Abo-thar" w:hAnsi="Abo-thar" w:cs="KFGQPC Uthman Taha Naskh"/>
          <w:b/>
          <w:bCs/>
          <w:sz w:val="28"/>
          <w:rtl/>
          <w:lang w:bidi="ar-SY"/>
        </w:rPr>
        <w:t>لَا أُحَدِّثُكَ عَنِّي وعَنْ فَاطِمَةَ الزَّهْرَاءِ أَنَّهَا كَانَتْ عِنْدِي فَاسْتَقَتْ بالقِرْبَةِ حَتَّى أَثَّرَ فِي صَدْرِهَا وطَحَنَتْ بِالرَّحَى حَتَّى مَجِلَتْ يَدَاهَا وكَسَحَتِ البَيْتَ حَتَّى اغْبَرَّتْ ثِيَابُهَا وأَوْقَدَتْ تَحْتَ القِدْرِ حَتَّى دَكِنَتْ ثِيَابُهَا فَأَصَابَهَا مِنْ ذَلِكَ ضُرٌّ شَدِيدٌ فَقُلْتُ لَهَا لَوْ أَتَيْتِ أَبَاكِ فَسَأَلْتِهِ خَادِماً يَكْفِيكِ حَرَّ مَا أَنْتِ فِيهِ مِنْ هَذَا العَمَلِ فَأَتَتِ النَّبِيَّ</w:t>
      </w:r>
      <w:r w:rsidR="00147857" w:rsidRPr="004A3642">
        <w:rPr>
          <w:rFonts w:ascii="Abo-thar" w:hAnsi="Abo-thar" w:cs="KFGQPC Uthman Taha Naskh"/>
          <w:b/>
          <w:bCs/>
          <w:sz w:val="28"/>
          <w:rtl/>
          <w:lang w:bidi="ar-SY"/>
        </w:rPr>
        <w:t xml:space="preserve"> </w:t>
      </w:r>
      <w:r w:rsidR="003C7AEB" w:rsidRPr="003C7AEB">
        <w:rPr>
          <w:rFonts w:ascii="Abo-thar" w:hAnsi="Abo-thar" w:cs="CTraditional Arabic"/>
          <w:sz w:val="28"/>
          <w:rtl/>
          <w:lang w:bidi="ar-SY"/>
        </w:rPr>
        <w:t>ص</w:t>
      </w:r>
      <w:r w:rsidR="00147857" w:rsidRPr="004A3642">
        <w:rPr>
          <w:rFonts w:ascii="Abo-thar" w:hAnsi="Abo-thar" w:cs="KFGQPC Uthman Taha Naskh"/>
          <w:sz w:val="28"/>
          <w:rtl/>
          <w:lang w:bidi="ar-SY"/>
        </w:rPr>
        <w:t xml:space="preserve"> </w:t>
      </w:r>
      <w:r w:rsidR="005C664D" w:rsidRPr="004A3642">
        <w:rPr>
          <w:rFonts w:ascii="Abo-thar" w:hAnsi="Abo-thar" w:cs="KFGQPC Uthman Taha Naskh"/>
          <w:b/>
          <w:bCs/>
          <w:sz w:val="28"/>
          <w:rtl/>
          <w:lang w:bidi="ar-SY"/>
        </w:rPr>
        <w:t>فَوَجَدَتْ‏</w:t>
      </w:r>
      <w:r w:rsidR="005C664D" w:rsidRPr="004A3642">
        <w:rPr>
          <w:rFonts w:ascii="Abo-thar" w:hAnsi="Abo-thar" w:cs="KFGQPC Uthman Taha Naskh" w:hint="cs"/>
          <w:b/>
          <w:bCs/>
          <w:sz w:val="28"/>
          <w:rtl/>
          <w:lang w:bidi="ar-SY"/>
        </w:rPr>
        <w:t xml:space="preserve"> </w:t>
      </w:r>
      <w:r w:rsidR="005C664D" w:rsidRPr="004A3642">
        <w:rPr>
          <w:rFonts w:ascii="Abo-thar" w:hAnsi="Abo-thar" w:cs="KFGQPC Uthman Taha Naskh"/>
          <w:b/>
          <w:bCs/>
          <w:sz w:val="28"/>
          <w:rtl/>
          <w:lang w:bidi="ar-SY"/>
        </w:rPr>
        <w:t>عِنْدَهُ حُدَّاثاً فَاسْتَحْيَتْ فَانْصَرَفَتْ فَعَلِمَ</w:t>
      </w:r>
      <w:r w:rsidR="00147857" w:rsidRPr="004A3642">
        <w:rPr>
          <w:rFonts w:ascii="Abo-thar" w:hAnsi="Abo-thar" w:cs="KFGQPC Uthman Taha Naskh"/>
          <w:b/>
          <w:bCs/>
          <w:sz w:val="28"/>
          <w:rtl/>
          <w:lang w:bidi="ar-SY"/>
        </w:rPr>
        <w:t xml:space="preserve"> </w:t>
      </w:r>
      <w:r w:rsidR="003C7AEB" w:rsidRPr="003C7AEB">
        <w:rPr>
          <w:rFonts w:ascii="Abo-thar" w:hAnsi="Abo-thar" w:cs="CTraditional Arabic"/>
          <w:sz w:val="28"/>
          <w:rtl/>
          <w:lang w:bidi="ar-SY"/>
        </w:rPr>
        <w:t>ص</w:t>
      </w:r>
      <w:r w:rsidR="00147857" w:rsidRPr="004A3642">
        <w:rPr>
          <w:rFonts w:ascii="Abo-thar" w:hAnsi="Abo-thar" w:cs="KFGQPC Uthman Taha Naskh"/>
          <w:sz w:val="28"/>
          <w:rtl/>
          <w:lang w:bidi="ar-SY"/>
        </w:rPr>
        <w:t xml:space="preserve"> </w:t>
      </w:r>
      <w:r w:rsidR="005C664D" w:rsidRPr="004A3642">
        <w:rPr>
          <w:rFonts w:ascii="Abo-thar" w:hAnsi="Abo-thar" w:cs="KFGQPC Uthman Taha Naskh"/>
          <w:b/>
          <w:bCs/>
          <w:sz w:val="28"/>
          <w:rtl/>
          <w:lang w:bidi="ar-SY"/>
        </w:rPr>
        <w:t xml:space="preserve">أَنَّهَا قَدْ جَاءَتْ لِحَاجَةٍ فَغَدَا عَلَيْنَا ونَحْنُ فِي لِحَافِنَا فَقَالَ السَّلَامُ عَلَيْكُمْ فَسَكَتْنَا واسْتَحْيَيْنَا لِمَكَانِنَا ثُمَّ قَالَ السَّلَامُ عَلَيْكُمْ فَسَكَتْنَا ثُمَّ قَالَ السَّلَامُ عَلَيْكُمْ فَخَشِينَا إِنْ لَمْ نَرُدَّ عَلَيْهِ أَنْ يَنْصَرِفَ وقَدْ كَانَ يَفْعَلُ ذَلِكَ فَيُسَلِّمُ ثَلَاثاً فَإِنْ أُذِنَ لَهُ وإِلَّا انْصَرَفَ فَقُلْنَا وعَلَيْكَ السَّلَامُ يَا رَسُولَ اللهِ ادْخُلْ فَدَخَلَ وجَلَسَ عِنْدَ رُءُوسِنَا ثُمَّ قَالَ يَا فَاطِمَةُ مَا كَانَتْ حَاجَتُكِ أَمْسِ عِنْدَ مُحَمَّدٍ فَخَشِيتُ إِنْ لَمْ نُجِبْهُ أَنْ يَقُومَ فَأَخْرَجْتُ رَأْسِي فَقُلْتُ أَنَا وَاللهِ أُخْبِرُكَ يَا رَسُولَ اللهِ إِنَّهَا اسْتَقَتْ بِالقِرْبَةِ حَتَّى أَثَّرَ فِي صَدْرِهَا وجَرَّتْ بِالرَّحَى حَتَّى مَجِلَتْ يَدَاهَا وكَسَحَتِ البَيْتَ حَتَّى اغْبَرَّتْ ثِيَابُهَا وأَوْقَدَتْ تَحْتَ القِدْرِ حَتَّى دَكِنَتْ ثِيَابُهَا فَقُلْتُ لَهَا لَوْ أَتَيْتِ أَبَاكِ فَسَأَلْتِهِ خَادِماً يَكْفِيكِ حَرَّ مَا أَنْتِ فِيهِ مِنْ هَذَا العَمَلِ قَالَ أَ فَلَا أُعَلِّمُكُمَا مَا هُوَ خَيْرٌ لَكُمَا مِنَ الخَادِمِ إِذَا أَخَذْتُمَا مَنَامَكُمَا فَكَبِّرَا أَرْبَعاً وثَلَاثِينَ تَكْبِيرَةً وسَبِّحَا ثَلَاثاً وثَلَاثِينَ تَسْبِيحَةً واحْمَدَا ثَلَاثاً وثَلَاثِينَ تَحْمِيدَةً فَأَخْرَجَتْ فَاطِمَةُ </w:t>
      </w:r>
      <w:r w:rsidR="00BC4BA9" w:rsidRPr="00BC4BA9">
        <w:rPr>
          <w:rFonts w:ascii="Abo-thar" w:hAnsi="Abo-thar" w:cs="CTraditional Arabic" w:hint="cs"/>
          <w:b/>
          <w:sz w:val="28"/>
          <w:rtl/>
          <w:lang w:bidi="ar-SY"/>
        </w:rPr>
        <w:t>÷</w:t>
      </w:r>
      <w:r w:rsidR="005C664D" w:rsidRPr="004A3642">
        <w:rPr>
          <w:rFonts w:ascii="Abo-thar" w:hAnsi="Abo-thar" w:cs="KFGQPC Uthman Taha Naskh"/>
          <w:b/>
          <w:bCs/>
          <w:sz w:val="28"/>
          <w:rtl/>
          <w:lang w:bidi="ar-SY"/>
        </w:rPr>
        <w:t xml:space="preserve"> رَأْسَهَا وقَالَتْ رَضِيتُ عَنِ اللهِ وعَنْ رَسُولِهِ رَضِيتُ عَنِ اللهِ وعَنْ رَسُولِهِ</w:t>
      </w:r>
      <w:r w:rsidR="00FB6445" w:rsidRPr="004A3642">
        <w:rPr>
          <w:rFonts w:ascii="Abo-thar" w:hAnsi="Abo-thar" w:cs="KFGQPC Uthman Taha Naskh" w:hint="cs"/>
          <w:b/>
          <w:bCs/>
          <w:sz w:val="28"/>
          <w:rtl/>
          <w:lang w:bidi="ar-SY"/>
        </w:rPr>
        <w:t>»</w:t>
      </w:r>
      <w:r w:rsidR="00652969" w:rsidRPr="0021507A">
        <w:rPr>
          <w:rFonts w:ascii="Abo-thar" w:hAnsi="Abo-thar" w:cs="Arabic11 BT"/>
          <w:sz w:val="28"/>
          <w:vertAlign w:val="superscript"/>
          <w:rtl/>
          <w:lang w:bidi="ar-SY"/>
        </w:rPr>
        <w:t>(</w:t>
      </w:r>
      <w:r w:rsidR="00652969" w:rsidRPr="0021507A">
        <w:rPr>
          <w:rStyle w:val="FootnoteReference"/>
          <w:rFonts w:ascii="Abo-thar" w:hAnsi="Abo-thar" w:cs="Arabic11 BT"/>
          <w:sz w:val="28"/>
          <w:rtl/>
          <w:lang w:bidi="ar-SY"/>
        </w:rPr>
        <w:footnoteReference w:id="127"/>
      </w:r>
      <w:r w:rsidR="00652969" w:rsidRPr="0021507A">
        <w:rPr>
          <w:rFonts w:ascii="Abo-thar" w:hAnsi="Abo-thar" w:cs="Arabic11 BT"/>
          <w:sz w:val="28"/>
          <w:vertAlign w:val="superscript"/>
          <w:rtl/>
          <w:lang w:bidi="ar-SY"/>
        </w:rPr>
        <w:t>)</w:t>
      </w:r>
      <w:r w:rsidR="00217AB4" w:rsidRPr="003F3B94">
        <w:rPr>
          <w:rFonts w:ascii="Abo-thar" w:hAnsi="Abo-thar" w:hint="cs"/>
          <w:sz w:val="28"/>
          <w:rtl/>
          <w:lang w:bidi="ar-SY"/>
        </w:rPr>
        <w:t>.</w:t>
      </w:r>
    </w:p>
    <w:p w:rsidR="005C664D" w:rsidRPr="003F3B94" w:rsidRDefault="005C664D" w:rsidP="003F3B94">
      <w:pPr>
        <w:pStyle w:val="a0"/>
        <w:rPr>
          <w:rFonts w:hint="cs"/>
          <w:rtl/>
          <w:lang w:bidi="ar-SY"/>
        </w:rPr>
      </w:pPr>
      <w:r w:rsidRPr="003F3B94">
        <w:rPr>
          <w:rFonts w:ascii="Abo-thar" w:hAnsi="Abo-thar" w:hint="cs"/>
          <w:sz w:val="28"/>
          <w:rtl/>
          <w:lang w:bidi="ar-SY"/>
        </w:rPr>
        <w:t>هذه القصة وقعت بالتأكيد بعد معركة بدر وفي زمن كانت فيه فاطمة قد أصبحت فيه ذات عيال وأرهقتها الأعمال المنزلية</w:t>
      </w:r>
      <w:r w:rsidR="00217AB4" w:rsidRPr="003F3B94">
        <w:rPr>
          <w:rFonts w:ascii="Abo-thar" w:hAnsi="Abo-thar" w:hint="cs"/>
          <w:sz w:val="28"/>
          <w:rtl/>
          <w:lang w:bidi="ar-SY"/>
        </w:rPr>
        <w:t>،</w:t>
      </w:r>
      <w:r w:rsidRPr="003F3B94">
        <w:rPr>
          <w:rFonts w:ascii="Abo-thar" w:hAnsi="Abo-thar" w:hint="cs"/>
          <w:sz w:val="28"/>
          <w:rtl/>
          <w:lang w:bidi="ar-SY"/>
        </w:rPr>
        <w:t xml:space="preserve"> أي حصلت بعد زمن الفتوحات وتدفق الغنائم على بيت المال</w:t>
      </w:r>
      <w:r w:rsidR="00217AB4" w:rsidRPr="003F3B94">
        <w:rPr>
          <w:rFonts w:ascii="Abo-thar" w:hAnsi="Abo-thar" w:hint="cs"/>
          <w:sz w:val="28"/>
          <w:rtl/>
          <w:lang w:bidi="ar-SY"/>
        </w:rPr>
        <w:t>،</w:t>
      </w:r>
      <w:r w:rsidRPr="003F3B94">
        <w:rPr>
          <w:rFonts w:ascii="Abo-thar" w:hAnsi="Abo-thar" w:hint="cs"/>
          <w:sz w:val="28"/>
          <w:rtl/>
          <w:lang w:bidi="ar-SY"/>
        </w:rPr>
        <w:t xml:space="preserve"> ومع ذلك أبى رسول الله</w:t>
      </w:r>
      <w:r w:rsidR="00147857" w:rsidRPr="003F3B94">
        <w:rPr>
          <w:rFonts w:ascii="Abo-thar" w:hAnsi="Abo-thar" w:hint="cs"/>
          <w:sz w:val="28"/>
          <w:rtl/>
          <w:lang w:bidi="ar-SY"/>
        </w:rPr>
        <w:t xml:space="preserve"> </w:t>
      </w:r>
      <w:r w:rsidR="003C7AEB" w:rsidRPr="003C7AEB">
        <w:rPr>
          <w:rFonts w:ascii="Abo-thar" w:hAnsi="Abo-thar" w:cs="CTraditional Arabic"/>
          <w:sz w:val="28"/>
          <w:rtl/>
          <w:lang w:bidi="ar-SY"/>
        </w:rPr>
        <w:t>ص</w:t>
      </w:r>
      <w:r w:rsidR="00147857" w:rsidRPr="003F3B94">
        <w:rPr>
          <w:rFonts w:ascii="Abo-thar" w:hAnsi="Abo-thar"/>
          <w:sz w:val="28"/>
          <w:rtl/>
          <w:lang w:bidi="ar-SY"/>
        </w:rPr>
        <w:t xml:space="preserve"> </w:t>
      </w:r>
      <w:r w:rsidRPr="003F3B94">
        <w:rPr>
          <w:rFonts w:ascii="Abo-thar" w:hAnsi="Abo-thar" w:hint="cs"/>
          <w:sz w:val="28"/>
          <w:rtl/>
          <w:lang w:bidi="ar-SY"/>
        </w:rPr>
        <w:t>أن يعطي لابنته الحبيبة الوحيدة أَمَةً تخدمها</w:t>
      </w:r>
      <w:r w:rsidR="00217AB4" w:rsidRPr="003F3B94">
        <w:rPr>
          <w:rFonts w:ascii="Abo-thar" w:hAnsi="Abo-thar" w:hint="cs"/>
          <w:sz w:val="28"/>
          <w:rtl/>
          <w:lang w:bidi="ar-SY"/>
        </w:rPr>
        <w:t>،</w:t>
      </w:r>
      <w:r w:rsidRPr="003F3B94">
        <w:rPr>
          <w:rFonts w:ascii="Abo-thar" w:hAnsi="Abo-thar" w:hint="cs"/>
          <w:sz w:val="28"/>
          <w:rtl/>
          <w:lang w:bidi="ar-SY"/>
        </w:rPr>
        <w:t xml:space="preserve"> ولم يرتضِ أن يميِّزَها عن غيرها بمثل هذا العطاء البسيط للغاية</w:t>
      </w:r>
      <w:r w:rsidR="00217AB4" w:rsidRPr="003F3B94">
        <w:rPr>
          <w:rFonts w:ascii="Abo-thar" w:hAnsi="Abo-thar" w:hint="cs"/>
          <w:sz w:val="28"/>
          <w:rtl/>
          <w:lang w:bidi="ar-SY"/>
        </w:rPr>
        <w:t>!!</w:t>
      </w:r>
    </w:p>
    <w:p w:rsidR="005C664D" w:rsidRPr="003F3B94" w:rsidRDefault="005C664D" w:rsidP="003F3B94">
      <w:pPr>
        <w:pStyle w:val="a0"/>
        <w:rPr>
          <w:rFonts w:hint="cs"/>
          <w:rtl/>
          <w:lang w:bidi="ar-SY"/>
        </w:rPr>
      </w:pPr>
      <w:r w:rsidRPr="003F3B94">
        <w:rPr>
          <w:rFonts w:ascii="Abo-thar" w:hAnsi="Abo-thar" w:hint="cs"/>
          <w:sz w:val="28"/>
          <w:rtl/>
          <w:lang w:bidi="ar-SY"/>
        </w:rPr>
        <w:t>4</w:t>
      </w:r>
      <w:r w:rsidR="00217AB4" w:rsidRPr="003F3B94">
        <w:rPr>
          <w:rFonts w:ascii="Abo-thar" w:hAnsi="Abo-thar" w:hint="cs"/>
          <w:sz w:val="28"/>
          <w:rtl/>
          <w:lang w:bidi="ar-SY"/>
        </w:rPr>
        <w:t>-</w:t>
      </w:r>
      <w:r w:rsidR="00147857" w:rsidRPr="003F3B94">
        <w:rPr>
          <w:rFonts w:ascii="Abo-thar" w:hAnsi="Abo-thar" w:hint="cs"/>
          <w:sz w:val="28"/>
          <w:rtl/>
          <w:lang w:bidi="ar-SY"/>
        </w:rPr>
        <w:t xml:space="preserve"> </w:t>
      </w:r>
      <w:r w:rsidRPr="003F3B94">
        <w:rPr>
          <w:rFonts w:ascii="Abo-thar" w:hAnsi="Abo-thar" w:hint="cs"/>
          <w:sz w:val="28"/>
          <w:rtl/>
          <w:lang w:bidi="ar-SY"/>
        </w:rPr>
        <w:t>وَفي كتاب «ذخائر العقبى»</w:t>
      </w:r>
      <w:r w:rsidR="00217AB4" w:rsidRPr="0021507A">
        <w:rPr>
          <w:rFonts w:cs="Arabic11 BT"/>
          <w:b/>
          <w:sz w:val="28"/>
          <w:vertAlign w:val="superscript"/>
          <w:rtl/>
          <w:lang w:bidi="ar-SY"/>
        </w:rPr>
        <w:t>(</w:t>
      </w:r>
      <w:r w:rsidRPr="0021507A">
        <w:rPr>
          <w:rStyle w:val="FootnoteReference"/>
          <w:rFonts w:cs="Arabic11 BT"/>
          <w:b/>
          <w:sz w:val="28"/>
          <w:rtl/>
          <w:lang w:bidi="ar-SY"/>
        </w:rPr>
        <w:footnoteReference w:id="128"/>
      </w:r>
      <w:r w:rsidR="00217AB4" w:rsidRPr="0021507A">
        <w:rPr>
          <w:rFonts w:cs="Arabic11 BT"/>
          <w:b/>
          <w:sz w:val="28"/>
          <w:vertAlign w:val="superscript"/>
          <w:rtl/>
          <w:lang w:bidi="ar-SY"/>
        </w:rPr>
        <w:t>)</w:t>
      </w:r>
      <w:r w:rsidR="00652969" w:rsidRPr="003F3B94">
        <w:rPr>
          <w:rFonts w:hint="cs"/>
          <w:sz w:val="28"/>
          <w:rtl/>
          <w:lang w:bidi="ar-SY"/>
        </w:rPr>
        <w:t xml:space="preserve"> </w:t>
      </w:r>
      <w:r w:rsidR="00EF2588" w:rsidRPr="004A3642">
        <w:rPr>
          <w:rFonts w:ascii="Abo-thar" w:hAnsi="Abo-thar" w:cs="KFGQPC Uthman Taha Naskh" w:hint="cs"/>
          <w:sz w:val="28"/>
          <w:rtl/>
          <w:lang w:bidi="ar-SY"/>
        </w:rPr>
        <w:t>«</w:t>
      </w:r>
      <w:r w:rsidRPr="004A3642">
        <w:rPr>
          <w:rFonts w:ascii="Abo-thar" w:hAnsi="Abo-thar" w:cs="KFGQPC Uthman Taha Naskh" w:hint="cs"/>
          <w:b/>
          <w:bCs/>
          <w:sz w:val="28"/>
          <w:rtl/>
          <w:lang w:bidi="ar-SY"/>
        </w:rPr>
        <w:t>عَنِ حضرة ثامِنِ الأئِمَّة</w:t>
      </w:r>
      <w:r w:rsidRPr="004A3642">
        <w:rPr>
          <w:rFonts w:ascii="Abo-thar" w:hAnsi="Abo-thar" w:cs="KFGQPC Uthman Taha Naskh"/>
          <w:b/>
          <w:bCs/>
          <w:sz w:val="28"/>
          <w:rtl/>
          <w:lang w:bidi="ar-SY"/>
        </w:rPr>
        <w:t xml:space="preserve">ِ </w:t>
      </w:r>
      <w:r w:rsidRPr="004A3642">
        <w:rPr>
          <w:rFonts w:ascii="Abo-thar" w:hAnsi="Abo-thar" w:cs="KFGQPC Uthman Taha Naskh" w:hint="cs"/>
          <w:b/>
          <w:bCs/>
          <w:sz w:val="28"/>
          <w:rtl/>
          <w:lang w:bidi="ar-SY"/>
        </w:rPr>
        <w:t xml:space="preserve">عَلِيِّ بنِ موسى </w:t>
      </w:r>
      <w:r w:rsidRPr="004A3642">
        <w:rPr>
          <w:rFonts w:ascii="Abo-thar" w:hAnsi="Abo-thar" w:cs="KFGQPC Uthman Taha Naskh"/>
          <w:b/>
          <w:bCs/>
          <w:sz w:val="28"/>
          <w:rtl/>
          <w:lang w:bidi="ar-SY"/>
        </w:rPr>
        <w:t>الرِّضَا</w:t>
      </w:r>
      <w:r w:rsidR="00147857" w:rsidRPr="004A3642">
        <w:rPr>
          <w:rFonts w:ascii="Abo-thar" w:hAnsi="Abo-thar" w:cs="KFGQPC Uthman Taha Naskh"/>
          <w:b/>
          <w:bCs/>
          <w:sz w:val="28"/>
          <w:rtl/>
          <w:lang w:bidi="ar-SY"/>
        </w:rPr>
        <w:t xml:space="preserve"> </w:t>
      </w:r>
      <w:r w:rsidR="003C7AEB" w:rsidRPr="003C7AEB">
        <w:rPr>
          <w:rFonts w:ascii="Abo-thar" w:hAnsi="Abo-thar" w:cs="CTraditional Arabic"/>
          <w:sz w:val="28"/>
          <w:rtl/>
          <w:lang w:bidi="ar-SY"/>
        </w:rPr>
        <w:t>÷</w:t>
      </w:r>
      <w:r w:rsidR="00147857" w:rsidRPr="004A3642">
        <w:rPr>
          <w:rFonts w:ascii="Abo-thar" w:hAnsi="Abo-thar" w:cs="KFGQPC Uthman Taha Naskh"/>
          <w:sz w:val="28"/>
          <w:rtl/>
          <w:lang w:bidi="ar-SY"/>
        </w:rPr>
        <w:t xml:space="preserve"> </w:t>
      </w:r>
      <w:r w:rsidRPr="004A3642">
        <w:rPr>
          <w:rFonts w:ascii="Abo-thar" w:hAnsi="Abo-thar" w:cs="KFGQPC Uthman Taha Naskh"/>
          <w:b/>
          <w:bCs/>
          <w:sz w:val="28"/>
          <w:rtl/>
          <w:lang w:bidi="ar-SY"/>
        </w:rPr>
        <w:t>عَنْ آبَائِهِ عَنْ عَلِيِّ بْنِ الحُسَيْنِ</w:t>
      </w:r>
      <w:r w:rsidR="00147857" w:rsidRPr="004A3642">
        <w:rPr>
          <w:rFonts w:ascii="Abo-thar" w:hAnsi="Abo-thar" w:cs="KFGQPC Uthman Taha Naskh"/>
          <w:b/>
          <w:bCs/>
          <w:sz w:val="28"/>
          <w:rtl/>
          <w:lang w:bidi="ar-SY"/>
        </w:rPr>
        <w:t xml:space="preserve"> </w:t>
      </w:r>
      <w:r w:rsidR="003C7AEB" w:rsidRPr="003C7AEB">
        <w:rPr>
          <w:rFonts w:ascii="Abo-thar" w:hAnsi="Abo-thar" w:cs="CTraditional Arabic"/>
          <w:sz w:val="28"/>
          <w:rtl/>
          <w:lang w:bidi="ar-SY"/>
        </w:rPr>
        <w:t>÷</w:t>
      </w:r>
      <w:r w:rsidR="00147857" w:rsidRPr="004A3642">
        <w:rPr>
          <w:rFonts w:ascii="Abo-thar" w:hAnsi="Abo-thar" w:cs="KFGQPC Uthman Taha Naskh"/>
          <w:sz w:val="28"/>
          <w:rtl/>
          <w:lang w:bidi="ar-SY"/>
        </w:rPr>
        <w:t xml:space="preserve"> </w:t>
      </w:r>
      <w:r w:rsidRPr="004A3642">
        <w:rPr>
          <w:rFonts w:ascii="Abo-thar" w:hAnsi="Abo-thar" w:cs="KFGQPC Uthman Taha Naskh"/>
          <w:b/>
          <w:bCs/>
          <w:sz w:val="28"/>
          <w:rtl/>
          <w:lang w:bidi="ar-SY"/>
        </w:rPr>
        <w:t>قَالَ</w:t>
      </w:r>
      <w:r w:rsidR="00217AB4" w:rsidRPr="004A3642">
        <w:rPr>
          <w:rFonts w:ascii="Abo-thar" w:hAnsi="Abo-thar" w:cs="KFGQPC Uthman Taha Naskh" w:hint="cs"/>
          <w:b/>
          <w:bCs/>
          <w:sz w:val="28"/>
          <w:rtl/>
          <w:lang w:bidi="ar-SY"/>
        </w:rPr>
        <w:t>:</w:t>
      </w:r>
      <w:r w:rsidRPr="004A3642">
        <w:rPr>
          <w:rFonts w:ascii="Abo-thar" w:hAnsi="Abo-thar" w:cs="KFGQPC Uthman Taha Naskh"/>
          <w:b/>
          <w:bCs/>
          <w:sz w:val="28"/>
          <w:rtl/>
          <w:lang w:bidi="ar-SY"/>
        </w:rPr>
        <w:t xml:space="preserve"> حَدَّثَتْنِي</w:t>
      </w:r>
      <w:r w:rsidRPr="004A3642">
        <w:rPr>
          <w:rFonts w:ascii="Abo-thar" w:hAnsi="Abo-thar" w:cs="KFGQPC Uthman Taha Naskh" w:hint="cs"/>
          <w:b/>
          <w:bCs/>
          <w:sz w:val="28"/>
          <w:rtl/>
          <w:lang w:bidi="ar-SY"/>
        </w:rPr>
        <w:t xml:space="preserve"> </w:t>
      </w:r>
      <w:r w:rsidRPr="004A3642">
        <w:rPr>
          <w:rFonts w:ascii="Abo-thar" w:hAnsi="Abo-thar" w:cs="KFGQPC Uthman Taha Naskh"/>
          <w:b/>
          <w:bCs/>
          <w:sz w:val="28"/>
          <w:rtl/>
          <w:lang w:bidi="ar-SY"/>
        </w:rPr>
        <w:t>أَسْمَاءُ بِنْتُ عُمَيْسٍ قَالَتْ</w:t>
      </w:r>
      <w:r w:rsidR="00217AB4" w:rsidRPr="004A3642">
        <w:rPr>
          <w:rFonts w:ascii="Abo-thar" w:hAnsi="Abo-thar" w:cs="KFGQPC Uthman Taha Naskh" w:hint="cs"/>
          <w:b/>
          <w:bCs/>
          <w:sz w:val="28"/>
          <w:rtl/>
          <w:lang w:bidi="ar-SY"/>
        </w:rPr>
        <w:t>:</w:t>
      </w:r>
      <w:r w:rsidRPr="004A3642">
        <w:rPr>
          <w:rFonts w:ascii="Abo-thar" w:hAnsi="Abo-thar" w:cs="KFGQPC Uthman Taha Naskh"/>
          <w:b/>
          <w:bCs/>
          <w:sz w:val="28"/>
          <w:rtl/>
          <w:lang w:bidi="ar-SY"/>
        </w:rPr>
        <w:t xml:space="preserve"> كُنْتُ عِنْدَ فَاطِمَةَ جَدَّتِكَ إِذْ دَخَلَ </w:t>
      </w:r>
      <w:r w:rsidRPr="004A3642">
        <w:rPr>
          <w:rFonts w:ascii="Abo-thar" w:hAnsi="Abo-thar" w:cs="KFGQPC Uthman Taha Naskh" w:hint="cs"/>
          <w:b/>
          <w:bCs/>
          <w:sz w:val="28"/>
          <w:rtl/>
          <w:lang w:bidi="ar-SY"/>
        </w:rPr>
        <w:t>عليها النبيُّ</w:t>
      </w:r>
      <w:r w:rsidR="00147857" w:rsidRPr="004A3642">
        <w:rPr>
          <w:rFonts w:ascii="Abo-thar" w:hAnsi="Abo-thar" w:cs="KFGQPC Uthman Taha Naskh" w:hint="cs"/>
          <w:b/>
          <w:bCs/>
          <w:sz w:val="28"/>
          <w:rtl/>
          <w:lang w:bidi="ar-SY"/>
        </w:rPr>
        <w:t xml:space="preserve"> </w:t>
      </w:r>
      <w:r w:rsidR="003C7AEB" w:rsidRPr="003C7AEB">
        <w:rPr>
          <w:rFonts w:ascii="Abo-thar" w:hAnsi="Abo-thar" w:cs="CTraditional Arabic"/>
          <w:sz w:val="28"/>
          <w:rtl/>
          <w:lang w:bidi="ar-SY"/>
        </w:rPr>
        <w:t>ص</w:t>
      </w:r>
      <w:r w:rsidR="00147857" w:rsidRPr="004A3642">
        <w:rPr>
          <w:rFonts w:ascii="Abo-thar" w:hAnsi="Abo-thar" w:cs="KFGQPC Uthman Taha Naskh"/>
          <w:sz w:val="28"/>
          <w:rtl/>
          <w:lang w:bidi="ar-SY"/>
        </w:rPr>
        <w:t xml:space="preserve"> </w:t>
      </w:r>
      <w:r w:rsidRPr="004A3642">
        <w:rPr>
          <w:rFonts w:ascii="Abo-thar" w:hAnsi="Abo-thar" w:cs="KFGQPC Uthman Taha Naskh"/>
          <w:b/>
          <w:bCs/>
          <w:sz w:val="28"/>
          <w:rtl/>
          <w:lang w:bidi="ar-SY"/>
        </w:rPr>
        <w:t xml:space="preserve">وَفِي عُنُقِهَا قِلَادَةٌ مِنْ ذَهَبٍ </w:t>
      </w:r>
      <w:r w:rsidRPr="004A3642">
        <w:rPr>
          <w:rFonts w:ascii="Abo-thar" w:hAnsi="Abo-thar" w:cs="KFGQPC Uthman Taha Naskh" w:hint="cs"/>
          <w:b/>
          <w:bCs/>
          <w:sz w:val="28"/>
          <w:rtl/>
          <w:lang w:bidi="ar-SY"/>
        </w:rPr>
        <w:t>أَ</w:t>
      </w:r>
      <w:r w:rsidRPr="004A3642">
        <w:rPr>
          <w:rFonts w:ascii="Abo-thar" w:hAnsi="Abo-thar" w:cs="KFGQPC Uthman Taha Naskh"/>
          <w:b/>
          <w:bCs/>
          <w:sz w:val="28"/>
          <w:rtl/>
          <w:lang w:bidi="ar-SY"/>
        </w:rPr>
        <w:t>ت</w:t>
      </w:r>
      <w:r w:rsidRPr="004A3642">
        <w:rPr>
          <w:rFonts w:ascii="Abo-thar" w:hAnsi="Abo-thar" w:cs="KFGQPC Uthman Taha Naskh" w:hint="cs"/>
          <w:b/>
          <w:bCs/>
          <w:sz w:val="28"/>
          <w:rtl/>
          <w:lang w:bidi="ar-SY"/>
        </w:rPr>
        <w:t>َ</w:t>
      </w:r>
      <w:r w:rsidRPr="004A3642">
        <w:rPr>
          <w:rFonts w:ascii="Abo-thar" w:hAnsi="Abo-thar" w:cs="KFGQPC Uthman Taha Naskh"/>
          <w:b/>
          <w:bCs/>
          <w:sz w:val="28"/>
          <w:rtl/>
          <w:lang w:bidi="ar-SY"/>
        </w:rPr>
        <w:t>ى ب</w:t>
      </w:r>
      <w:r w:rsidRPr="004A3642">
        <w:rPr>
          <w:rFonts w:ascii="Abo-thar" w:hAnsi="Abo-thar" w:cs="KFGQPC Uthman Taha Naskh" w:hint="cs"/>
          <w:b/>
          <w:bCs/>
          <w:sz w:val="28"/>
          <w:rtl/>
          <w:lang w:bidi="ar-SY"/>
        </w:rPr>
        <w:t>ِ</w:t>
      </w:r>
      <w:r w:rsidRPr="004A3642">
        <w:rPr>
          <w:rFonts w:ascii="Abo-thar" w:hAnsi="Abo-thar" w:cs="KFGQPC Uthman Taha Naskh"/>
          <w:b/>
          <w:bCs/>
          <w:sz w:val="28"/>
          <w:rtl/>
          <w:lang w:bidi="ar-SY"/>
        </w:rPr>
        <w:t>ه</w:t>
      </w:r>
      <w:r w:rsidRPr="004A3642">
        <w:rPr>
          <w:rFonts w:ascii="Abo-thar" w:hAnsi="Abo-thar" w:cs="KFGQPC Uthman Taha Naskh" w:hint="cs"/>
          <w:b/>
          <w:bCs/>
          <w:sz w:val="28"/>
          <w:rtl/>
          <w:lang w:bidi="ar-SY"/>
        </w:rPr>
        <w:t>َ</w:t>
      </w:r>
      <w:r w:rsidRPr="004A3642">
        <w:rPr>
          <w:rFonts w:ascii="Abo-thar" w:hAnsi="Abo-thar" w:cs="KFGQPC Uthman Taha Naskh"/>
          <w:b/>
          <w:bCs/>
          <w:sz w:val="28"/>
          <w:rtl/>
          <w:lang w:bidi="ar-SY"/>
        </w:rPr>
        <w:t>ا عَلِيُّ بْنُ أَبِي طَالِبٍ</w:t>
      </w:r>
      <w:r w:rsidR="00147857" w:rsidRPr="004A3642">
        <w:rPr>
          <w:rFonts w:ascii="Abo-thar" w:hAnsi="Abo-thar" w:cs="KFGQPC Uthman Taha Naskh"/>
          <w:b/>
          <w:bCs/>
          <w:sz w:val="28"/>
          <w:rtl/>
          <w:lang w:bidi="ar-SY"/>
        </w:rPr>
        <w:t xml:space="preserve"> </w:t>
      </w:r>
      <w:r w:rsidR="003C7AEB" w:rsidRPr="003C7AEB">
        <w:rPr>
          <w:rFonts w:ascii="Abo-thar" w:hAnsi="Abo-thar" w:cs="CTraditional Arabic"/>
          <w:sz w:val="28"/>
          <w:rtl/>
          <w:lang w:bidi="ar-SY"/>
        </w:rPr>
        <w:t>÷</w:t>
      </w:r>
      <w:r w:rsidR="00147857" w:rsidRPr="004A3642">
        <w:rPr>
          <w:rFonts w:ascii="Abo-thar" w:hAnsi="Abo-thar" w:cs="KFGQPC Uthman Taha Naskh"/>
          <w:sz w:val="28"/>
          <w:rtl/>
          <w:lang w:bidi="ar-SY"/>
        </w:rPr>
        <w:t xml:space="preserve"> </w:t>
      </w:r>
      <w:r w:rsidRPr="004A3642">
        <w:rPr>
          <w:rFonts w:ascii="Abo-thar" w:hAnsi="Abo-thar" w:cs="KFGQPC Uthman Taha Naskh"/>
          <w:b/>
          <w:bCs/>
          <w:sz w:val="28"/>
          <w:rtl/>
          <w:lang w:bidi="ar-SY"/>
        </w:rPr>
        <w:t>اشْتَرَاهَا لَهُ مِنْ س</w:t>
      </w:r>
      <w:r w:rsidRPr="004A3642">
        <w:rPr>
          <w:rFonts w:ascii="Abo-thar" w:hAnsi="Abo-thar" w:cs="KFGQPC Uthman Taha Naskh" w:hint="cs"/>
          <w:b/>
          <w:bCs/>
          <w:sz w:val="28"/>
          <w:rtl/>
          <w:lang w:bidi="ar-SY"/>
        </w:rPr>
        <w:t>َ</w:t>
      </w:r>
      <w:r w:rsidRPr="004A3642">
        <w:rPr>
          <w:rFonts w:ascii="Abo-thar" w:hAnsi="Abo-thar" w:cs="KFGQPC Uthman Taha Naskh"/>
          <w:b/>
          <w:bCs/>
          <w:sz w:val="28"/>
          <w:rtl/>
          <w:lang w:bidi="ar-SY"/>
        </w:rPr>
        <w:t>ه</w:t>
      </w:r>
      <w:r w:rsidRPr="004A3642">
        <w:rPr>
          <w:rFonts w:ascii="Abo-thar" w:hAnsi="Abo-thar" w:cs="KFGQPC Uthman Taha Naskh" w:hint="cs"/>
          <w:b/>
          <w:bCs/>
          <w:sz w:val="28"/>
          <w:rtl/>
          <w:lang w:bidi="ar-SY"/>
        </w:rPr>
        <w:t>ْ</w:t>
      </w:r>
      <w:r w:rsidRPr="004A3642">
        <w:rPr>
          <w:rFonts w:ascii="Abo-thar" w:hAnsi="Abo-thar" w:cs="KFGQPC Uthman Taha Naskh"/>
          <w:b/>
          <w:bCs/>
          <w:sz w:val="28"/>
          <w:rtl/>
          <w:lang w:bidi="ar-SY"/>
        </w:rPr>
        <w:t>م</w:t>
      </w:r>
      <w:r w:rsidRPr="004A3642">
        <w:rPr>
          <w:rFonts w:ascii="Abo-thar" w:hAnsi="Abo-thar" w:cs="KFGQPC Uthman Taha Naskh" w:hint="cs"/>
          <w:b/>
          <w:bCs/>
          <w:sz w:val="28"/>
          <w:rtl/>
          <w:lang w:bidi="ar-SY"/>
        </w:rPr>
        <w:t>ٍ</w:t>
      </w:r>
      <w:r w:rsidRPr="004A3642">
        <w:rPr>
          <w:rFonts w:ascii="Abo-thar" w:hAnsi="Abo-thar" w:cs="KFGQPC Uthman Taha Naskh"/>
          <w:b/>
          <w:bCs/>
          <w:sz w:val="28"/>
          <w:rtl/>
          <w:lang w:bidi="ar-SY"/>
        </w:rPr>
        <w:t xml:space="preserve"> ص</w:t>
      </w:r>
      <w:r w:rsidRPr="004A3642">
        <w:rPr>
          <w:rFonts w:ascii="Abo-thar" w:hAnsi="Abo-thar" w:cs="KFGQPC Uthman Taha Naskh" w:hint="cs"/>
          <w:b/>
          <w:bCs/>
          <w:sz w:val="28"/>
          <w:rtl/>
          <w:lang w:bidi="ar-SY"/>
        </w:rPr>
        <w:t>َ</w:t>
      </w:r>
      <w:r w:rsidRPr="004A3642">
        <w:rPr>
          <w:rFonts w:ascii="Abo-thar" w:hAnsi="Abo-thar" w:cs="KFGQPC Uthman Taha Naskh"/>
          <w:b/>
          <w:bCs/>
          <w:sz w:val="28"/>
          <w:rtl/>
          <w:lang w:bidi="ar-SY"/>
        </w:rPr>
        <w:t>ار</w:t>
      </w:r>
      <w:r w:rsidRPr="004A3642">
        <w:rPr>
          <w:rFonts w:ascii="Abo-thar" w:hAnsi="Abo-thar" w:cs="KFGQPC Uthman Taha Naskh" w:hint="cs"/>
          <w:b/>
          <w:bCs/>
          <w:sz w:val="28"/>
          <w:rtl/>
          <w:lang w:bidi="ar-SY"/>
        </w:rPr>
        <w:t>َ</w:t>
      </w:r>
      <w:r w:rsidRPr="004A3642">
        <w:rPr>
          <w:rFonts w:ascii="Abo-thar" w:hAnsi="Abo-thar" w:cs="KFGQPC Uthman Taha Naskh"/>
          <w:b/>
          <w:bCs/>
          <w:sz w:val="28"/>
          <w:rtl/>
          <w:lang w:bidi="ar-SY"/>
        </w:rPr>
        <w:t xml:space="preserve"> إليه فَقَالَ النَّبِيُّ</w:t>
      </w:r>
      <w:r w:rsidR="00147857" w:rsidRPr="004A3642">
        <w:rPr>
          <w:rFonts w:ascii="Abo-thar" w:hAnsi="Abo-thar" w:cs="KFGQPC Uthman Taha Naskh"/>
          <w:b/>
          <w:bCs/>
          <w:sz w:val="28"/>
          <w:rtl/>
          <w:lang w:bidi="ar-SY"/>
        </w:rPr>
        <w:t xml:space="preserve"> </w:t>
      </w:r>
      <w:r w:rsidR="003C7AEB" w:rsidRPr="003C7AEB">
        <w:rPr>
          <w:rFonts w:ascii="Abo-thar" w:hAnsi="Abo-thar" w:cs="CTraditional Arabic"/>
          <w:sz w:val="28"/>
          <w:rtl/>
          <w:lang w:bidi="ar-SY"/>
        </w:rPr>
        <w:t>ص</w:t>
      </w:r>
      <w:r w:rsidR="00217AB4" w:rsidRPr="004A3642">
        <w:rPr>
          <w:rFonts w:ascii="Abo-thar" w:hAnsi="Abo-thar" w:cs="KFGQPC Uthman Taha Naskh"/>
          <w:sz w:val="28"/>
          <w:rtl/>
          <w:lang w:bidi="ar-SY"/>
        </w:rPr>
        <w:t>:</w:t>
      </w:r>
      <w:r w:rsidRPr="004A3642">
        <w:rPr>
          <w:rFonts w:ascii="Abo-thar" w:hAnsi="Abo-thar" w:cs="KFGQPC Uthman Taha Naskh" w:hint="cs"/>
          <w:b/>
          <w:bCs/>
          <w:sz w:val="28"/>
          <w:rtl/>
          <w:lang w:bidi="ar-SY"/>
        </w:rPr>
        <w:t xml:space="preserve"> يَا بُنَيَّةُ</w:t>
      </w:r>
      <w:r w:rsidR="00217AB4" w:rsidRPr="004A3642">
        <w:rPr>
          <w:rFonts w:ascii="Abo-thar" w:hAnsi="Abo-thar" w:cs="KFGQPC Uthman Taha Naskh" w:hint="cs"/>
          <w:b/>
          <w:bCs/>
          <w:sz w:val="28"/>
          <w:rtl/>
          <w:lang w:bidi="ar-SY"/>
        </w:rPr>
        <w:t>!</w:t>
      </w:r>
      <w:r w:rsidRPr="004A3642">
        <w:rPr>
          <w:rFonts w:ascii="Abo-thar" w:hAnsi="Abo-thar" w:cs="KFGQPC Uthman Taha Naskh"/>
          <w:b/>
          <w:bCs/>
          <w:sz w:val="28"/>
          <w:rtl/>
          <w:lang w:bidi="ar-SY"/>
        </w:rPr>
        <w:t xml:space="preserve"> لَا </w:t>
      </w:r>
      <w:r w:rsidRPr="004A3642">
        <w:rPr>
          <w:rFonts w:ascii="Abo-thar" w:hAnsi="Abo-thar" w:cs="KFGQPC Uthman Taha Naskh" w:hint="cs"/>
          <w:b/>
          <w:bCs/>
          <w:sz w:val="28"/>
          <w:rtl/>
          <w:lang w:bidi="ar-SY"/>
        </w:rPr>
        <w:t xml:space="preserve">تَغْتَرِّي أَنْ </w:t>
      </w:r>
      <w:r w:rsidRPr="004A3642">
        <w:rPr>
          <w:rFonts w:ascii="Abo-thar" w:hAnsi="Abo-thar" w:cs="KFGQPC Uthman Taha Naskh"/>
          <w:b/>
          <w:bCs/>
          <w:sz w:val="28"/>
          <w:rtl/>
          <w:lang w:bidi="ar-SY"/>
        </w:rPr>
        <w:t>يَقُو</w:t>
      </w:r>
      <w:r w:rsidRPr="004A3642">
        <w:rPr>
          <w:rFonts w:ascii="Abo-thar" w:hAnsi="Abo-thar" w:cs="KFGQPC Uthman Taha Naskh" w:hint="cs"/>
          <w:b/>
          <w:bCs/>
          <w:sz w:val="28"/>
          <w:rtl/>
          <w:lang w:bidi="ar-SY"/>
        </w:rPr>
        <w:t>لَ</w:t>
      </w:r>
      <w:r w:rsidRPr="004A3642">
        <w:rPr>
          <w:rFonts w:ascii="Abo-thar" w:hAnsi="Abo-thar" w:cs="KFGQPC Uthman Taha Naskh"/>
          <w:b/>
          <w:bCs/>
          <w:sz w:val="28"/>
          <w:rtl/>
          <w:lang w:bidi="ar-SY"/>
        </w:rPr>
        <w:t xml:space="preserve"> النَّاسُ </w:t>
      </w:r>
      <w:r w:rsidRPr="004A3642">
        <w:rPr>
          <w:rFonts w:ascii="Abo-thar" w:hAnsi="Abo-thar" w:cs="KFGQPC Uthman Taha Naskh" w:hint="cs"/>
          <w:b/>
          <w:bCs/>
          <w:sz w:val="28"/>
          <w:rtl/>
          <w:lang w:bidi="ar-SY"/>
        </w:rPr>
        <w:t>فَاطمةُ</w:t>
      </w:r>
      <w:r w:rsidRPr="004A3642">
        <w:rPr>
          <w:rFonts w:ascii="Abo-thar" w:hAnsi="Abo-thar" w:cs="KFGQPC Uthman Taha Naskh"/>
          <w:b/>
          <w:bCs/>
          <w:sz w:val="28"/>
          <w:rtl/>
          <w:lang w:bidi="ar-SY"/>
        </w:rPr>
        <w:t xml:space="preserve"> بِنْتُ مُحَمَّدٍ وَعَلَيْك</w:t>
      </w:r>
      <w:r w:rsidRPr="004A3642">
        <w:rPr>
          <w:rFonts w:ascii="Abo-thar" w:hAnsi="Abo-thar" w:cs="KFGQPC Uthman Taha Naskh" w:hint="cs"/>
          <w:b/>
          <w:bCs/>
          <w:sz w:val="28"/>
          <w:rtl/>
          <w:lang w:bidi="ar-SY"/>
        </w:rPr>
        <w:t>ِ</w:t>
      </w:r>
      <w:r w:rsidRPr="004A3642">
        <w:rPr>
          <w:rFonts w:ascii="Abo-thar" w:hAnsi="Abo-thar" w:cs="KFGQPC Uthman Taha Naskh"/>
          <w:b/>
          <w:bCs/>
          <w:sz w:val="28"/>
          <w:rtl/>
          <w:lang w:bidi="ar-SY"/>
        </w:rPr>
        <w:t xml:space="preserve"> لِبَاسُ الجَبَابِرَةِ</w:t>
      </w:r>
      <w:r w:rsidR="00217AB4" w:rsidRPr="004A3642">
        <w:rPr>
          <w:rFonts w:ascii="Abo-thar" w:hAnsi="Abo-thar" w:cs="KFGQPC Uthman Taha Naskh" w:hint="cs"/>
          <w:b/>
          <w:bCs/>
          <w:sz w:val="28"/>
          <w:rtl/>
          <w:lang w:bidi="ar-SY"/>
        </w:rPr>
        <w:t>!</w:t>
      </w:r>
      <w:r w:rsidR="00147857" w:rsidRPr="004A3642">
        <w:rPr>
          <w:rFonts w:ascii="Abo-thar" w:hAnsi="Abo-thar" w:cs="KFGQPC Uthman Taha Naskh" w:hint="cs"/>
          <w:b/>
          <w:bCs/>
          <w:sz w:val="28"/>
          <w:rtl/>
          <w:lang w:bidi="ar-SY"/>
        </w:rPr>
        <w:t xml:space="preserve"> </w:t>
      </w:r>
      <w:r w:rsidRPr="004A3642">
        <w:rPr>
          <w:rFonts w:ascii="Abo-thar" w:hAnsi="Abo-thar" w:cs="KFGQPC Uthman Taha Naskh"/>
          <w:b/>
          <w:bCs/>
          <w:sz w:val="28"/>
          <w:rtl/>
          <w:lang w:bidi="ar-SY"/>
        </w:rPr>
        <w:t xml:space="preserve">فَقَطَعَتْهَا </w:t>
      </w:r>
      <w:r w:rsidRPr="004A3642">
        <w:rPr>
          <w:rFonts w:ascii="Abo-thar" w:hAnsi="Abo-thar" w:cs="KFGQPC Uthman Taha Naskh" w:hint="cs"/>
          <w:b/>
          <w:bCs/>
          <w:sz w:val="28"/>
          <w:rtl/>
          <w:lang w:bidi="ar-SY"/>
        </w:rPr>
        <w:t xml:space="preserve">لِسَاعَتِها </w:t>
      </w:r>
      <w:r w:rsidRPr="004A3642">
        <w:rPr>
          <w:rFonts w:ascii="Abo-thar" w:hAnsi="Abo-thar" w:cs="KFGQPC Uthman Taha Naskh"/>
          <w:b/>
          <w:bCs/>
          <w:sz w:val="28"/>
          <w:rtl/>
          <w:lang w:bidi="ar-SY"/>
        </w:rPr>
        <w:t xml:space="preserve">وَبَاعَتْهَا </w:t>
      </w:r>
      <w:r w:rsidRPr="004A3642">
        <w:rPr>
          <w:rFonts w:ascii="Abo-thar" w:hAnsi="Abo-thar" w:cs="KFGQPC Uthman Taha Naskh" w:hint="cs"/>
          <w:b/>
          <w:bCs/>
          <w:sz w:val="28"/>
          <w:rtl/>
          <w:lang w:bidi="ar-SY"/>
        </w:rPr>
        <w:t xml:space="preserve">لِيَوْمِهَا </w:t>
      </w:r>
      <w:r w:rsidRPr="004A3642">
        <w:rPr>
          <w:rFonts w:ascii="Abo-thar" w:hAnsi="Abo-thar" w:cs="KFGQPC Uthman Taha Naskh"/>
          <w:b/>
          <w:bCs/>
          <w:sz w:val="28"/>
          <w:rtl/>
          <w:lang w:bidi="ar-SY"/>
        </w:rPr>
        <w:t xml:space="preserve">وَاشْتَرَتْ </w:t>
      </w:r>
      <w:r w:rsidRPr="004A3642">
        <w:rPr>
          <w:rFonts w:ascii="Abo-thar" w:hAnsi="Abo-thar" w:cs="KFGQPC Uthman Taha Naskh" w:hint="cs"/>
          <w:b/>
          <w:bCs/>
          <w:sz w:val="28"/>
          <w:rtl/>
          <w:lang w:bidi="ar-SY"/>
        </w:rPr>
        <w:t xml:space="preserve">بالثَّمَنِ </w:t>
      </w:r>
      <w:r w:rsidRPr="004A3642">
        <w:rPr>
          <w:rFonts w:ascii="Abo-thar" w:hAnsi="Abo-thar" w:cs="KFGQPC Uthman Taha Naskh"/>
          <w:b/>
          <w:bCs/>
          <w:sz w:val="28"/>
          <w:rtl/>
          <w:lang w:bidi="ar-SY"/>
        </w:rPr>
        <w:t xml:space="preserve">رَقَبَةً </w:t>
      </w:r>
      <w:r w:rsidRPr="004A3642">
        <w:rPr>
          <w:rFonts w:ascii="Abo-thar" w:hAnsi="Abo-thar" w:cs="KFGQPC Uthman Taha Naskh" w:hint="cs"/>
          <w:b/>
          <w:bCs/>
          <w:sz w:val="28"/>
          <w:rtl/>
          <w:lang w:bidi="ar-SY"/>
        </w:rPr>
        <w:t xml:space="preserve">مُؤْمِنَةً </w:t>
      </w:r>
      <w:r w:rsidRPr="004A3642">
        <w:rPr>
          <w:rFonts w:ascii="Abo-thar" w:hAnsi="Abo-thar" w:cs="KFGQPC Uthman Taha Naskh"/>
          <w:b/>
          <w:bCs/>
          <w:sz w:val="28"/>
          <w:rtl/>
          <w:lang w:bidi="ar-SY"/>
        </w:rPr>
        <w:t>فَأَعْتَقَتْهَا</w:t>
      </w:r>
      <w:r w:rsidR="00217AB4" w:rsidRPr="004A3642">
        <w:rPr>
          <w:rFonts w:ascii="Abo-thar" w:hAnsi="Abo-thar" w:cs="KFGQPC Uthman Taha Naskh" w:hint="cs"/>
          <w:b/>
          <w:bCs/>
          <w:sz w:val="28"/>
          <w:rtl/>
          <w:lang w:bidi="ar-SY"/>
        </w:rPr>
        <w:t>.</w:t>
      </w:r>
      <w:r w:rsidRPr="004A3642">
        <w:rPr>
          <w:rFonts w:ascii="Abo-thar" w:hAnsi="Abo-thar" w:cs="KFGQPC Uthman Taha Naskh"/>
          <w:b/>
          <w:bCs/>
          <w:sz w:val="28"/>
          <w:rtl/>
          <w:lang w:bidi="ar-SY"/>
        </w:rPr>
        <w:t xml:space="preserve"> </w:t>
      </w:r>
      <w:r w:rsidRPr="004A3642">
        <w:rPr>
          <w:rFonts w:ascii="Abo-thar" w:hAnsi="Abo-thar" w:cs="KFGQPC Uthman Taha Naskh" w:hint="cs"/>
          <w:b/>
          <w:bCs/>
          <w:sz w:val="28"/>
          <w:rtl/>
          <w:lang w:bidi="ar-SY"/>
        </w:rPr>
        <w:t xml:space="preserve">فبلغَ </w:t>
      </w:r>
      <w:r w:rsidRPr="004A3642">
        <w:rPr>
          <w:rFonts w:ascii="Abo-thar" w:hAnsi="Abo-thar" w:cs="KFGQPC Uthman Taha Naskh"/>
          <w:b/>
          <w:bCs/>
          <w:sz w:val="28"/>
          <w:rtl/>
          <w:lang w:bidi="ar-SY"/>
        </w:rPr>
        <w:t>رَسُول</w:t>
      </w:r>
      <w:r w:rsidRPr="004A3642">
        <w:rPr>
          <w:rFonts w:ascii="Abo-thar" w:hAnsi="Abo-thar" w:cs="KFGQPC Uthman Taha Naskh" w:hint="cs"/>
          <w:b/>
          <w:bCs/>
          <w:sz w:val="28"/>
          <w:rtl/>
          <w:lang w:bidi="ar-SY"/>
        </w:rPr>
        <w:t>َ</w:t>
      </w:r>
      <w:r w:rsidRPr="004A3642">
        <w:rPr>
          <w:rFonts w:ascii="Abo-thar" w:hAnsi="Abo-thar" w:cs="KFGQPC Uthman Taha Naskh"/>
          <w:b/>
          <w:bCs/>
          <w:sz w:val="28"/>
          <w:rtl/>
          <w:lang w:bidi="ar-SY"/>
        </w:rPr>
        <w:t xml:space="preserve"> اللهِ</w:t>
      </w:r>
      <w:r w:rsidR="00147857" w:rsidRPr="004A3642">
        <w:rPr>
          <w:rFonts w:ascii="Abo-thar" w:hAnsi="Abo-thar" w:cs="KFGQPC Uthman Taha Naskh"/>
          <w:b/>
          <w:bCs/>
          <w:sz w:val="28"/>
          <w:rtl/>
          <w:lang w:bidi="ar-SY"/>
        </w:rPr>
        <w:t xml:space="preserve"> </w:t>
      </w:r>
      <w:r w:rsidR="003C7AEB" w:rsidRPr="003C7AEB">
        <w:rPr>
          <w:rFonts w:ascii="Abo-thar" w:hAnsi="Abo-thar" w:cs="CTraditional Arabic"/>
          <w:sz w:val="28"/>
          <w:rtl/>
          <w:lang w:bidi="ar-SY"/>
        </w:rPr>
        <w:t>ص</w:t>
      </w:r>
      <w:r w:rsidR="00147857" w:rsidRPr="004A3642">
        <w:rPr>
          <w:rFonts w:ascii="Abo-thar" w:hAnsi="Abo-thar" w:cs="KFGQPC Uthman Taha Naskh"/>
          <w:sz w:val="28"/>
          <w:rtl/>
          <w:lang w:bidi="ar-SY"/>
        </w:rPr>
        <w:t xml:space="preserve"> </w:t>
      </w:r>
      <w:r w:rsidRPr="004A3642">
        <w:rPr>
          <w:rFonts w:ascii="Abo-thar" w:hAnsi="Abo-thar" w:cs="KFGQPC Uthman Taha Naskh"/>
          <w:b/>
          <w:bCs/>
          <w:sz w:val="28"/>
          <w:rtl/>
          <w:lang w:bidi="ar-SY"/>
        </w:rPr>
        <w:t>فَسُرَّ</w:t>
      </w:r>
      <w:r w:rsidR="00FB6445" w:rsidRPr="004A3642">
        <w:rPr>
          <w:rFonts w:ascii="Abo-thar" w:hAnsi="Abo-thar" w:cs="KFGQPC Uthman Taha Naskh" w:hint="cs"/>
          <w:b/>
          <w:bCs/>
          <w:sz w:val="28"/>
          <w:rtl/>
          <w:lang w:bidi="ar-SY"/>
        </w:rPr>
        <w:t>»</w:t>
      </w:r>
      <w:r w:rsidR="00217AB4" w:rsidRPr="0021507A">
        <w:rPr>
          <w:rFonts w:cs="Arabic11 BT"/>
          <w:b/>
          <w:sz w:val="28"/>
          <w:vertAlign w:val="superscript"/>
          <w:rtl/>
          <w:lang w:bidi="ar-SY"/>
        </w:rPr>
        <w:t>(</w:t>
      </w:r>
      <w:r w:rsidRPr="0021507A">
        <w:rPr>
          <w:rStyle w:val="FootnoteReference"/>
          <w:rFonts w:cs="Arabic11 BT"/>
          <w:b/>
          <w:sz w:val="28"/>
          <w:rtl/>
          <w:lang w:bidi="ar-SY"/>
        </w:rPr>
        <w:footnoteReference w:id="129"/>
      </w:r>
      <w:r w:rsidR="00217AB4" w:rsidRPr="0021507A">
        <w:rPr>
          <w:rFonts w:cs="Arabic11 BT"/>
          <w:b/>
          <w:sz w:val="28"/>
          <w:vertAlign w:val="superscript"/>
          <w:rtl/>
          <w:lang w:bidi="ar-SY"/>
        </w:rPr>
        <w:t>)</w:t>
      </w:r>
      <w:r w:rsidR="00217AB4" w:rsidRPr="003F3B94">
        <w:rPr>
          <w:sz w:val="28"/>
          <w:rtl/>
          <w:lang w:bidi="ar-SY"/>
        </w:rPr>
        <w:t>.</w:t>
      </w:r>
      <w:r w:rsidRPr="003F3B94">
        <w:rPr>
          <w:rFonts w:ascii="Abo-thar" w:hAnsi="Abo-thar"/>
          <w:sz w:val="28"/>
          <w:rtl/>
          <w:lang w:bidi="ar-SY"/>
        </w:rPr>
        <w:t xml:space="preserve"> </w:t>
      </w:r>
    </w:p>
    <w:p w:rsidR="005C664D" w:rsidRPr="003F3B94" w:rsidRDefault="005C664D" w:rsidP="00833C06">
      <w:pPr>
        <w:pStyle w:val="a0"/>
        <w:rPr>
          <w:rFonts w:hint="cs"/>
          <w:rtl/>
          <w:lang w:bidi="ar-SY"/>
        </w:rPr>
      </w:pPr>
      <w:r w:rsidRPr="003F3B94">
        <w:rPr>
          <w:rFonts w:ascii="Abo-thar" w:hAnsi="Abo-thar" w:hint="cs"/>
          <w:sz w:val="28"/>
          <w:rtl/>
          <w:lang w:bidi="ar-SY"/>
        </w:rPr>
        <w:t>5</w:t>
      </w:r>
      <w:r w:rsidR="00217AB4" w:rsidRPr="003F3B94">
        <w:rPr>
          <w:rFonts w:ascii="Abo-thar" w:hAnsi="Abo-thar" w:hint="cs"/>
          <w:sz w:val="28"/>
          <w:rtl/>
          <w:lang w:bidi="ar-SY"/>
        </w:rPr>
        <w:t>-</w:t>
      </w:r>
      <w:r w:rsidRPr="003F3B94">
        <w:rPr>
          <w:rFonts w:ascii="Abo-thar" w:hAnsi="Abo-thar" w:hint="cs"/>
          <w:sz w:val="28"/>
          <w:rtl/>
          <w:lang w:bidi="ar-SY"/>
        </w:rPr>
        <w:t xml:space="preserve"> وفي الكتاب ذاته أيضاً</w:t>
      </w:r>
      <w:r w:rsidRPr="003F3B94">
        <w:rPr>
          <w:rFonts w:ascii="Abo-thar" w:hAnsi="Abo-thar"/>
          <w:sz w:val="28"/>
          <w:rtl/>
          <w:lang w:bidi="ar-SY"/>
        </w:rPr>
        <w:t xml:space="preserve"> </w:t>
      </w:r>
      <w:r w:rsidRPr="003F3B94">
        <w:rPr>
          <w:rFonts w:ascii="Abo-thar" w:hAnsi="Abo-thar" w:hint="cs"/>
          <w:sz w:val="28"/>
          <w:rtl/>
          <w:lang w:bidi="ar-SY"/>
        </w:rPr>
        <w:t>[أي ذخائر العقبى]</w:t>
      </w:r>
      <w:r w:rsidR="00217AB4" w:rsidRPr="003F3B94">
        <w:rPr>
          <w:rFonts w:ascii="Abo-thar" w:hAnsi="Abo-thar" w:hint="cs"/>
          <w:sz w:val="28"/>
          <w:rtl/>
          <w:lang w:bidi="ar-SY"/>
        </w:rPr>
        <w:t>:</w:t>
      </w:r>
      <w:r w:rsidR="00833C06">
        <w:rPr>
          <w:rFonts w:ascii="Abo-thar" w:hAnsi="Abo-thar" w:hint="cs"/>
          <w:sz w:val="28"/>
          <w:rtl/>
          <w:lang w:bidi="ar-SY"/>
        </w:rPr>
        <w:t xml:space="preserve"> </w:t>
      </w:r>
      <w:r w:rsidR="00EF2588" w:rsidRPr="004A3642">
        <w:rPr>
          <w:rFonts w:ascii="Abo-thar" w:hAnsi="Abo-thar" w:cs="KFGQPC Uthman Taha Naskh" w:hint="cs"/>
          <w:sz w:val="28"/>
          <w:rtl/>
          <w:lang w:bidi="ar-SY"/>
        </w:rPr>
        <w:t>«</w:t>
      </w:r>
      <w:r w:rsidRPr="004A3642">
        <w:rPr>
          <w:rFonts w:ascii="Abo-thar" w:hAnsi="Abo-thar" w:cs="KFGQPC Uthman Taha Naskh" w:hint="cs"/>
          <w:b/>
          <w:bCs/>
          <w:sz w:val="28"/>
          <w:rtl/>
          <w:lang w:bidi="ar-SY"/>
        </w:rPr>
        <w:t>عَ</w:t>
      </w:r>
      <w:r w:rsidRPr="004A3642">
        <w:rPr>
          <w:rFonts w:ascii="Abo-thar" w:hAnsi="Abo-thar" w:cs="KFGQPC Uthman Taha Naskh"/>
          <w:b/>
          <w:bCs/>
          <w:sz w:val="28"/>
          <w:rtl/>
          <w:lang w:bidi="ar-SY"/>
        </w:rPr>
        <w:t xml:space="preserve">نْ ثَوْبَانَ </w:t>
      </w:r>
      <w:r w:rsidRPr="004A3642">
        <w:rPr>
          <w:rFonts w:ascii="Abo-thar" w:hAnsi="Abo-thar" w:cs="KFGQPC Uthman Taha Naskh" w:hint="cs"/>
          <w:b/>
          <w:bCs/>
          <w:sz w:val="28"/>
          <w:rtl/>
          <w:lang w:bidi="ar-SY"/>
        </w:rPr>
        <w:t>[</w:t>
      </w:r>
      <w:r w:rsidRPr="004A3642">
        <w:rPr>
          <w:rFonts w:ascii="Abo-thar" w:hAnsi="Abo-thar" w:cs="KFGQPC Uthman Taha Naskh"/>
          <w:b/>
          <w:bCs/>
          <w:sz w:val="28"/>
          <w:rtl/>
          <w:lang w:bidi="ar-SY"/>
        </w:rPr>
        <w:t>مَوْلَى رَسُولِ اللهِ</w:t>
      </w:r>
      <w:r w:rsidR="00147857" w:rsidRPr="004A3642">
        <w:rPr>
          <w:rFonts w:ascii="Abo-thar" w:hAnsi="Abo-thar" w:cs="KFGQPC Uthman Taha Naskh"/>
          <w:b/>
          <w:bCs/>
          <w:sz w:val="28"/>
          <w:rtl/>
          <w:lang w:bidi="ar-SY"/>
        </w:rPr>
        <w:t xml:space="preserve"> </w:t>
      </w:r>
      <w:r w:rsidR="003C7AEB" w:rsidRPr="003C7AEB">
        <w:rPr>
          <w:rFonts w:ascii="Abo-thar" w:hAnsi="Abo-thar" w:cs="CTraditional Arabic"/>
          <w:sz w:val="28"/>
          <w:rtl/>
          <w:lang w:bidi="ar-SY"/>
        </w:rPr>
        <w:t>ص</w:t>
      </w:r>
      <w:r w:rsidR="00147857" w:rsidRPr="004A3642">
        <w:rPr>
          <w:rFonts w:ascii="Abo-thar" w:hAnsi="Abo-thar" w:cs="KFGQPC Uthman Taha Naskh"/>
          <w:sz w:val="28"/>
          <w:rtl/>
          <w:lang w:bidi="ar-SY"/>
        </w:rPr>
        <w:t>]</w:t>
      </w:r>
      <w:r w:rsidRPr="004A3642">
        <w:rPr>
          <w:rFonts w:ascii="Abo-thar" w:hAnsi="Abo-thar" w:cs="KFGQPC Uthman Taha Naskh"/>
          <w:b/>
          <w:bCs/>
          <w:sz w:val="28"/>
          <w:rtl/>
          <w:lang w:bidi="ar-SY"/>
        </w:rPr>
        <w:t xml:space="preserve"> قَالَ</w:t>
      </w:r>
      <w:r w:rsidR="00217AB4" w:rsidRPr="004A3642">
        <w:rPr>
          <w:rFonts w:ascii="Abo-thar" w:hAnsi="Abo-thar" w:cs="KFGQPC Uthman Taha Naskh"/>
          <w:b/>
          <w:bCs/>
          <w:sz w:val="28"/>
          <w:rtl/>
          <w:lang w:bidi="ar-SY"/>
        </w:rPr>
        <w:t>:</w:t>
      </w:r>
      <w:r w:rsidRPr="004A3642">
        <w:rPr>
          <w:rFonts w:ascii="Abo-thar" w:hAnsi="Abo-thar" w:cs="KFGQPC Uthman Taha Naskh"/>
          <w:b/>
          <w:bCs/>
          <w:sz w:val="28"/>
          <w:rtl/>
          <w:lang w:bidi="ar-SY"/>
        </w:rPr>
        <w:t xml:space="preserve"> قدم رَسُولُ اللهِ</w:t>
      </w:r>
      <w:r w:rsidR="00147857" w:rsidRPr="004A3642">
        <w:rPr>
          <w:rFonts w:ascii="Abo-thar" w:hAnsi="Abo-thar" w:cs="KFGQPC Uthman Taha Naskh"/>
          <w:b/>
          <w:bCs/>
          <w:sz w:val="28"/>
          <w:rtl/>
          <w:lang w:bidi="ar-SY"/>
        </w:rPr>
        <w:t xml:space="preserve"> </w:t>
      </w:r>
      <w:r w:rsidR="003C7AEB" w:rsidRPr="003C7AEB">
        <w:rPr>
          <w:rFonts w:ascii="Abo-thar" w:hAnsi="Abo-thar" w:cs="CTraditional Arabic"/>
          <w:sz w:val="28"/>
          <w:rtl/>
          <w:lang w:bidi="ar-SY"/>
        </w:rPr>
        <w:t>ص</w:t>
      </w:r>
      <w:r w:rsidR="00147857" w:rsidRPr="004A3642">
        <w:rPr>
          <w:rFonts w:ascii="Abo-thar" w:hAnsi="Abo-thar" w:cs="KFGQPC Uthman Taha Naskh"/>
          <w:sz w:val="28"/>
          <w:rtl/>
          <w:lang w:bidi="ar-SY"/>
        </w:rPr>
        <w:t xml:space="preserve"> </w:t>
      </w:r>
      <w:r w:rsidRPr="004A3642">
        <w:rPr>
          <w:rFonts w:ascii="Abo-thar" w:hAnsi="Abo-thar" w:cs="KFGQPC Uthman Taha Naskh"/>
          <w:b/>
          <w:bCs/>
          <w:sz w:val="28"/>
          <w:rtl/>
          <w:lang w:bidi="ar-SY"/>
        </w:rPr>
        <w:t>مِنْ غَزَاةٍ لَهُ ف</w:t>
      </w:r>
      <w:r w:rsidRPr="004A3642">
        <w:rPr>
          <w:rFonts w:ascii="Abo-thar" w:hAnsi="Abo-thar" w:cs="KFGQPC Uthman Taha Naskh" w:hint="cs"/>
          <w:b/>
          <w:bCs/>
          <w:sz w:val="28"/>
          <w:rtl/>
          <w:lang w:bidi="ar-SY"/>
        </w:rPr>
        <w:t>َ</w:t>
      </w:r>
      <w:r w:rsidRPr="004A3642">
        <w:rPr>
          <w:rFonts w:ascii="Abo-thar" w:hAnsi="Abo-thar" w:cs="KFGQPC Uthman Taha Naskh"/>
          <w:b/>
          <w:bCs/>
          <w:sz w:val="28"/>
          <w:rtl/>
          <w:lang w:bidi="ar-SY"/>
        </w:rPr>
        <w:t>أ</w:t>
      </w:r>
      <w:r w:rsidRPr="004A3642">
        <w:rPr>
          <w:rFonts w:ascii="Abo-thar" w:hAnsi="Abo-thar" w:cs="KFGQPC Uthman Taha Naskh" w:hint="cs"/>
          <w:b/>
          <w:bCs/>
          <w:sz w:val="28"/>
          <w:rtl/>
          <w:lang w:bidi="ar-SY"/>
        </w:rPr>
        <w:t>َ</w:t>
      </w:r>
      <w:r w:rsidRPr="004A3642">
        <w:rPr>
          <w:rFonts w:ascii="Abo-thar" w:hAnsi="Abo-thar" w:cs="KFGQPC Uthman Taha Naskh"/>
          <w:b/>
          <w:bCs/>
          <w:sz w:val="28"/>
          <w:rtl/>
          <w:lang w:bidi="ar-SY"/>
        </w:rPr>
        <w:t>ت</w:t>
      </w:r>
      <w:r w:rsidRPr="004A3642">
        <w:rPr>
          <w:rFonts w:ascii="Abo-thar" w:hAnsi="Abo-thar" w:cs="KFGQPC Uthman Taha Naskh" w:hint="cs"/>
          <w:b/>
          <w:bCs/>
          <w:sz w:val="28"/>
          <w:rtl/>
          <w:lang w:bidi="ar-SY"/>
        </w:rPr>
        <w:t>َ</w:t>
      </w:r>
      <w:r w:rsidRPr="004A3642">
        <w:rPr>
          <w:rFonts w:ascii="Abo-thar" w:hAnsi="Abo-thar" w:cs="KFGQPC Uthman Taha Naskh"/>
          <w:b/>
          <w:bCs/>
          <w:sz w:val="28"/>
          <w:rtl/>
          <w:lang w:bidi="ar-SY"/>
        </w:rPr>
        <w:t>ى ف</w:t>
      </w:r>
      <w:r w:rsidRPr="004A3642">
        <w:rPr>
          <w:rFonts w:ascii="Abo-thar" w:hAnsi="Abo-thar" w:cs="KFGQPC Uthman Taha Naskh" w:hint="cs"/>
          <w:b/>
          <w:bCs/>
          <w:sz w:val="28"/>
          <w:rtl/>
          <w:lang w:bidi="ar-SY"/>
        </w:rPr>
        <w:t>َ</w:t>
      </w:r>
      <w:r w:rsidRPr="004A3642">
        <w:rPr>
          <w:rFonts w:ascii="Abo-thar" w:hAnsi="Abo-thar" w:cs="KFGQPC Uthman Taha Naskh"/>
          <w:b/>
          <w:bCs/>
          <w:sz w:val="28"/>
          <w:rtl/>
          <w:lang w:bidi="ar-SY"/>
        </w:rPr>
        <w:t>اط</w:t>
      </w:r>
      <w:r w:rsidRPr="004A3642">
        <w:rPr>
          <w:rFonts w:ascii="Abo-thar" w:hAnsi="Abo-thar" w:cs="KFGQPC Uthman Taha Naskh" w:hint="cs"/>
          <w:b/>
          <w:bCs/>
          <w:sz w:val="28"/>
          <w:rtl/>
          <w:lang w:bidi="ar-SY"/>
        </w:rPr>
        <w:t>ِ</w:t>
      </w:r>
      <w:r w:rsidRPr="004A3642">
        <w:rPr>
          <w:rFonts w:ascii="Abo-thar" w:hAnsi="Abo-thar" w:cs="KFGQPC Uthman Taha Naskh"/>
          <w:b/>
          <w:bCs/>
          <w:sz w:val="28"/>
          <w:rtl/>
          <w:lang w:bidi="ar-SY"/>
        </w:rPr>
        <w:t>م</w:t>
      </w:r>
      <w:r w:rsidRPr="004A3642">
        <w:rPr>
          <w:rFonts w:ascii="Abo-thar" w:hAnsi="Abo-thar" w:cs="KFGQPC Uthman Taha Naskh" w:hint="cs"/>
          <w:b/>
          <w:bCs/>
          <w:sz w:val="28"/>
          <w:rtl/>
          <w:lang w:bidi="ar-SY"/>
        </w:rPr>
        <w:t>َ</w:t>
      </w:r>
      <w:r w:rsidRPr="004A3642">
        <w:rPr>
          <w:rFonts w:ascii="Abo-thar" w:hAnsi="Abo-thar" w:cs="KFGQPC Uthman Taha Naskh"/>
          <w:b/>
          <w:bCs/>
          <w:sz w:val="28"/>
          <w:rtl/>
          <w:lang w:bidi="ar-SY"/>
        </w:rPr>
        <w:t>ة</w:t>
      </w:r>
      <w:r w:rsidRPr="004A3642">
        <w:rPr>
          <w:rFonts w:ascii="Abo-thar" w:hAnsi="Abo-thar" w:cs="KFGQPC Uthman Taha Naskh" w:hint="cs"/>
          <w:b/>
          <w:bCs/>
          <w:sz w:val="28"/>
          <w:rtl/>
          <w:lang w:bidi="ar-SY"/>
        </w:rPr>
        <w:t>َ</w:t>
      </w:r>
      <w:r w:rsidRPr="004A3642">
        <w:rPr>
          <w:rFonts w:ascii="Abo-thar" w:hAnsi="Abo-thar" w:cs="KFGQPC Uthman Taha Naskh"/>
          <w:sz w:val="28"/>
          <w:rtl/>
          <w:lang w:bidi="ar-SY"/>
        </w:rPr>
        <w:t xml:space="preserve"> </w:t>
      </w:r>
      <w:r w:rsidR="00217AB4" w:rsidRPr="004A3642">
        <w:rPr>
          <w:rFonts w:ascii="Abo-thar" w:hAnsi="Abo-thar" w:cs="KFGQPC Uthman Taha Naskh" w:hint="cs"/>
          <w:sz w:val="28"/>
          <w:rtl/>
          <w:lang w:bidi="ar-SY"/>
        </w:rPr>
        <w:t>(</w:t>
      </w:r>
      <w:r w:rsidRPr="004A3642">
        <w:rPr>
          <w:rFonts w:ascii="Abo-thar" w:hAnsi="Abo-thar" w:cs="KFGQPC Uthman Taha Naskh" w:hint="cs"/>
          <w:sz w:val="28"/>
          <w:rtl/>
          <w:lang w:bidi="ar-SY"/>
        </w:rPr>
        <w:t>وكان من عادة رسول الله إذا رجع من سفرٍ أن يبدأ بزيارة بيت فاطمة</w:t>
      </w:r>
      <w:r w:rsidR="00217AB4" w:rsidRPr="004A3642">
        <w:rPr>
          <w:rFonts w:ascii="Abo-thar" w:hAnsi="Abo-thar" w:cs="KFGQPC Uthman Taha Naskh" w:hint="cs"/>
          <w:sz w:val="28"/>
          <w:rtl/>
          <w:lang w:bidi="ar-SY"/>
        </w:rPr>
        <w:t>)</w:t>
      </w:r>
      <w:r w:rsidR="00217AB4" w:rsidRPr="00833C06">
        <w:rPr>
          <w:rFonts w:ascii="mylotus" w:hAnsi="mylotus" w:cs="Arabic11 BT"/>
          <w:b/>
          <w:sz w:val="28"/>
          <w:vertAlign w:val="superscript"/>
          <w:rtl/>
          <w:lang w:bidi="ar-SY"/>
        </w:rPr>
        <w:t>(</w:t>
      </w:r>
      <w:r w:rsidRPr="00833C06">
        <w:rPr>
          <w:rStyle w:val="FootnoteReference"/>
          <w:rFonts w:ascii="mylotus" w:hAnsi="mylotus" w:cs="Arabic11 BT"/>
          <w:b/>
          <w:sz w:val="28"/>
          <w:rtl/>
          <w:lang w:bidi="ar-SY"/>
        </w:rPr>
        <w:footnoteReference w:id="130"/>
      </w:r>
      <w:r w:rsidR="00217AB4" w:rsidRPr="00833C06">
        <w:rPr>
          <w:rFonts w:ascii="mylotus" w:hAnsi="mylotus" w:cs="Arabic11 BT"/>
          <w:b/>
          <w:sz w:val="28"/>
          <w:vertAlign w:val="superscript"/>
          <w:rtl/>
          <w:lang w:bidi="ar-SY"/>
        </w:rPr>
        <w:t>)</w:t>
      </w:r>
      <w:r w:rsidRPr="004A3642">
        <w:rPr>
          <w:rFonts w:cs="KFGQPC Uthman Taha Naskh"/>
          <w:sz w:val="28"/>
          <w:rtl/>
          <w:lang w:bidi="ar-SY"/>
        </w:rPr>
        <w:t xml:space="preserve"> </w:t>
      </w:r>
      <w:r w:rsidRPr="004A3642">
        <w:rPr>
          <w:rFonts w:ascii="Abo-thar" w:hAnsi="Abo-thar" w:cs="KFGQPC Uthman Taha Naskh"/>
          <w:b/>
          <w:bCs/>
          <w:sz w:val="28"/>
          <w:rtl/>
          <w:lang w:bidi="ar-SY"/>
        </w:rPr>
        <w:t>ف</w:t>
      </w:r>
      <w:r w:rsidRPr="004A3642">
        <w:rPr>
          <w:rFonts w:ascii="Abo-thar" w:hAnsi="Abo-thar" w:cs="KFGQPC Uthman Taha Naskh" w:hint="cs"/>
          <w:b/>
          <w:bCs/>
          <w:sz w:val="28"/>
          <w:rtl/>
          <w:lang w:bidi="ar-SY"/>
        </w:rPr>
        <w:t>َ</w:t>
      </w:r>
      <w:r w:rsidRPr="004A3642">
        <w:rPr>
          <w:rFonts w:ascii="Abo-thar" w:hAnsi="Abo-thar" w:cs="KFGQPC Uthman Taha Naskh"/>
          <w:b/>
          <w:bCs/>
          <w:sz w:val="28"/>
          <w:rtl/>
          <w:lang w:bidi="ar-SY"/>
        </w:rPr>
        <w:t>إذ</w:t>
      </w:r>
      <w:r w:rsidRPr="004A3642">
        <w:rPr>
          <w:rFonts w:ascii="Abo-thar" w:hAnsi="Abo-thar" w:cs="KFGQPC Uthman Taha Naskh" w:hint="cs"/>
          <w:b/>
          <w:bCs/>
          <w:sz w:val="28"/>
          <w:rtl/>
          <w:lang w:bidi="ar-SY"/>
        </w:rPr>
        <w:t>َ</w:t>
      </w:r>
      <w:r w:rsidRPr="004A3642">
        <w:rPr>
          <w:rFonts w:ascii="Abo-thar" w:hAnsi="Abo-thar" w:cs="KFGQPC Uthman Taha Naskh"/>
          <w:b/>
          <w:bCs/>
          <w:sz w:val="28"/>
          <w:rtl/>
          <w:lang w:bidi="ar-SY"/>
        </w:rPr>
        <w:t>ا ه</w:t>
      </w:r>
      <w:r w:rsidRPr="004A3642">
        <w:rPr>
          <w:rFonts w:ascii="Abo-thar" w:hAnsi="Abo-thar" w:cs="KFGQPC Uthman Taha Naskh" w:hint="cs"/>
          <w:b/>
          <w:bCs/>
          <w:sz w:val="28"/>
          <w:rtl/>
          <w:lang w:bidi="ar-SY"/>
        </w:rPr>
        <w:t>ُ</w:t>
      </w:r>
      <w:r w:rsidRPr="004A3642">
        <w:rPr>
          <w:rFonts w:ascii="Abo-thar" w:hAnsi="Abo-thar" w:cs="KFGQPC Uthman Taha Naskh"/>
          <w:b/>
          <w:bCs/>
          <w:sz w:val="28"/>
          <w:rtl/>
          <w:lang w:bidi="ar-SY"/>
        </w:rPr>
        <w:t>و</w:t>
      </w:r>
      <w:r w:rsidRPr="004A3642">
        <w:rPr>
          <w:rFonts w:ascii="Abo-thar" w:hAnsi="Abo-thar" w:cs="KFGQPC Uthman Taha Naskh" w:hint="cs"/>
          <w:b/>
          <w:bCs/>
          <w:sz w:val="28"/>
          <w:rtl/>
          <w:lang w:bidi="ar-SY"/>
        </w:rPr>
        <w:t>َ</w:t>
      </w:r>
      <w:r w:rsidRPr="004A3642">
        <w:rPr>
          <w:rFonts w:ascii="Abo-thar" w:hAnsi="Abo-thar" w:cs="KFGQPC Uthman Taha Naskh"/>
          <w:b/>
          <w:bCs/>
          <w:sz w:val="28"/>
          <w:rtl/>
          <w:lang w:bidi="ar-SY"/>
        </w:rPr>
        <w:t xml:space="preserve"> يَمْسَحُ عَلَى</w:t>
      </w:r>
      <w:r w:rsidRPr="004A3642">
        <w:rPr>
          <w:rFonts w:cs="KFGQPC Uthman Taha Naskh"/>
          <w:b/>
          <w:bCs/>
          <w:sz w:val="28"/>
          <w:rtl/>
          <w:lang w:bidi="ar-SY"/>
        </w:rPr>
        <w:t xml:space="preserve"> </w:t>
      </w:r>
      <w:r w:rsidRPr="004A3642">
        <w:rPr>
          <w:rFonts w:ascii="Abo-thar" w:hAnsi="Abo-thar" w:cs="KFGQPC Uthman Taha Naskh"/>
          <w:b/>
          <w:bCs/>
          <w:sz w:val="28"/>
          <w:rtl/>
          <w:lang w:bidi="ar-SY"/>
        </w:rPr>
        <w:t>بَابِهَا</w:t>
      </w:r>
      <w:r w:rsidR="00217AB4" w:rsidRPr="00833C06">
        <w:rPr>
          <w:rFonts w:ascii="mylotus" w:hAnsi="mylotus" w:cs="Arabic11 BT"/>
          <w:b/>
          <w:sz w:val="28"/>
          <w:vertAlign w:val="superscript"/>
          <w:rtl/>
          <w:lang w:bidi="ar-SY"/>
        </w:rPr>
        <w:t>(</w:t>
      </w:r>
      <w:r w:rsidRPr="00833C06">
        <w:rPr>
          <w:rStyle w:val="FootnoteReference"/>
          <w:rFonts w:ascii="mylotus" w:hAnsi="mylotus" w:cs="Arabic11 BT"/>
          <w:b/>
          <w:sz w:val="28"/>
          <w:rtl/>
          <w:lang w:bidi="ar-SY"/>
        </w:rPr>
        <w:footnoteReference w:id="131"/>
      </w:r>
      <w:r w:rsidR="00217AB4" w:rsidRPr="00833C06">
        <w:rPr>
          <w:rFonts w:ascii="mylotus" w:hAnsi="mylotus" w:cs="Arabic11 BT"/>
          <w:b/>
          <w:sz w:val="28"/>
          <w:vertAlign w:val="superscript"/>
          <w:rtl/>
          <w:lang w:bidi="ar-SY"/>
        </w:rPr>
        <w:t>)</w:t>
      </w:r>
      <w:r w:rsidRPr="004A3642">
        <w:rPr>
          <w:rFonts w:ascii="Abo-thar" w:hAnsi="Abo-thar" w:cs="KFGQPC Uthman Taha Naskh"/>
          <w:sz w:val="28"/>
          <w:rtl/>
          <w:lang w:bidi="ar-SY"/>
        </w:rPr>
        <w:t xml:space="preserve"> </w:t>
      </w:r>
      <w:r w:rsidRPr="004A3642">
        <w:rPr>
          <w:rFonts w:ascii="Abo-thar" w:hAnsi="Abo-thar" w:cs="KFGQPC Uthman Taha Naskh"/>
          <w:b/>
          <w:bCs/>
          <w:sz w:val="28"/>
          <w:rtl/>
          <w:lang w:bidi="ar-SY"/>
        </w:rPr>
        <w:t>وَرَأَى عَلَى الحَسَنِ وَالحُسَيْنِ ق</w:t>
      </w:r>
      <w:r w:rsidRPr="004A3642">
        <w:rPr>
          <w:rFonts w:ascii="Abo-thar" w:hAnsi="Abo-thar" w:cs="KFGQPC Uthman Taha Naskh" w:hint="cs"/>
          <w:b/>
          <w:bCs/>
          <w:sz w:val="28"/>
          <w:rtl/>
          <w:lang w:bidi="ar-SY"/>
        </w:rPr>
        <w:t>ُ</w:t>
      </w:r>
      <w:r w:rsidRPr="004A3642">
        <w:rPr>
          <w:rFonts w:ascii="Abo-thar" w:hAnsi="Abo-thar" w:cs="KFGQPC Uthman Taha Naskh"/>
          <w:b/>
          <w:bCs/>
          <w:sz w:val="28"/>
          <w:rtl/>
          <w:lang w:bidi="ar-SY"/>
        </w:rPr>
        <w:t>لْبَيْنِ</w:t>
      </w:r>
      <w:r w:rsidRPr="004A3642">
        <w:rPr>
          <w:rFonts w:cs="KFGQPC Uthman Taha Naskh"/>
          <w:b/>
          <w:bCs/>
          <w:sz w:val="28"/>
          <w:rtl/>
          <w:lang w:bidi="ar-SY"/>
        </w:rPr>
        <w:t xml:space="preserve"> </w:t>
      </w:r>
      <w:r w:rsidRPr="004A3642">
        <w:rPr>
          <w:rFonts w:ascii="Abo-thar" w:hAnsi="Abo-thar" w:cs="KFGQPC Uthman Taha Naskh"/>
          <w:b/>
          <w:bCs/>
          <w:sz w:val="28"/>
          <w:rtl/>
          <w:lang w:bidi="ar-SY"/>
        </w:rPr>
        <w:t>مِنْ فِضَّةٍ</w:t>
      </w:r>
      <w:r w:rsidR="00217AB4" w:rsidRPr="00833C06">
        <w:rPr>
          <w:rFonts w:cs="Arabic11 BT"/>
          <w:b/>
          <w:sz w:val="28"/>
          <w:vertAlign w:val="superscript"/>
          <w:rtl/>
          <w:lang w:bidi="ar-SY"/>
        </w:rPr>
        <w:t>(</w:t>
      </w:r>
      <w:r w:rsidRPr="00833C06">
        <w:rPr>
          <w:rStyle w:val="FootnoteReference"/>
          <w:rFonts w:cs="Arabic11 BT"/>
          <w:b/>
          <w:sz w:val="28"/>
          <w:rtl/>
          <w:lang w:bidi="ar-SY"/>
        </w:rPr>
        <w:footnoteReference w:id="132"/>
      </w:r>
      <w:r w:rsidR="00217AB4" w:rsidRPr="00833C06">
        <w:rPr>
          <w:rFonts w:cs="Arabic11 BT"/>
          <w:b/>
          <w:sz w:val="28"/>
          <w:vertAlign w:val="superscript"/>
          <w:rtl/>
          <w:lang w:bidi="ar-SY"/>
        </w:rPr>
        <w:t>)</w:t>
      </w:r>
      <w:r w:rsidRPr="004A3642">
        <w:rPr>
          <w:rFonts w:ascii="Abo-thar" w:hAnsi="Abo-thar" w:cs="KFGQPC Uthman Taha Naskh"/>
          <w:b/>
          <w:bCs/>
          <w:sz w:val="28"/>
          <w:rtl/>
          <w:lang w:bidi="ar-SY"/>
        </w:rPr>
        <w:t>فَرَجَعَ رسول</w:t>
      </w:r>
      <w:r w:rsidRPr="004A3642">
        <w:rPr>
          <w:rFonts w:ascii="Abo-thar" w:hAnsi="Abo-thar" w:cs="KFGQPC Uthman Taha Naskh" w:hint="cs"/>
          <w:b/>
          <w:bCs/>
          <w:sz w:val="28"/>
          <w:rtl/>
          <w:lang w:bidi="ar-SY"/>
        </w:rPr>
        <w:t>ُ</w:t>
      </w:r>
      <w:r w:rsidRPr="004A3642">
        <w:rPr>
          <w:rFonts w:ascii="Abo-thar" w:hAnsi="Abo-thar" w:cs="KFGQPC Uthman Taha Naskh"/>
          <w:b/>
          <w:bCs/>
          <w:sz w:val="28"/>
          <w:rtl/>
          <w:lang w:bidi="ar-SY"/>
        </w:rPr>
        <w:t xml:space="preserve"> الله</w:t>
      </w:r>
      <w:r w:rsidRPr="004A3642">
        <w:rPr>
          <w:rFonts w:ascii="Abo-thar" w:hAnsi="Abo-thar" w:cs="KFGQPC Uthman Taha Naskh" w:hint="cs"/>
          <w:b/>
          <w:bCs/>
          <w:sz w:val="28"/>
          <w:rtl/>
          <w:lang w:bidi="ar-SY"/>
        </w:rPr>
        <w:t>ِ</w:t>
      </w:r>
      <w:r w:rsidR="00147857" w:rsidRPr="004A3642">
        <w:rPr>
          <w:rFonts w:ascii="Abo-thar" w:hAnsi="Abo-thar" w:cs="KFGQPC Uthman Taha Naskh"/>
          <w:b/>
          <w:bCs/>
          <w:sz w:val="28"/>
          <w:rtl/>
          <w:lang w:bidi="ar-SY"/>
        </w:rPr>
        <w:t xml:space="preserve"> </w:t>
      </w:r>
      <w:r w:rsidR="003C7AEB" w:rsidRPr="003C7AEB">
        <w:rPr>
          <w:rFonts w:ascii="Abo-thar" w:hAnsi="Abo-thar" w:cs="CTraditional Arabic"/>
          <w:sz w:val="28"/>
          <w:rtl/>
          <w:lang w:bidi="ar-SY"/>
        </w:rPr>
        <w:t>ص</w:t>
      </w:r>
      <w:r w:rsidR="00147857" w:rsidRPr="004A3642">
        <w:rPr>
          <w:rFonts w:ascii="Abo-thar" w:hAnsi="Abo-thar" w:cs="KFGQPC Uthman Taha Naskh"/>
          <w:sz w:val="28"/>
          <w:rtl/>
          <w:lang w:bidi="ar-SY"/>
        </w:rPr>
        <w:t xml:space="preserve"> </w:t>
      </w:r>
      <w:r w:rsidRPr="004A3642">
        <w:rPr>
          <w:rFonts w:ascii="Abo-thar" w:hAnsi="Abo-thar" w:cs="KFGQPC Uthman Taha Naskh"/>
          <w:b/>
          <w:bCs/>
          <w:sz w:val="28"/>
          <w:rtl/>
          <w:lang w:bidi="ar-SY"/>
        </w:rPr>
        <w:t>فَلَمَّا رَأَتْ فَاطِمَةُ ذَلِكَ ظَنَّتْ أَنَّهُ لَمْ يَدْخُلْ عَلَيْهَا مِنْ أَجْلِ مَا رَأَى فَهَتَكَتْ السِّتْرَ وَنَزَعَتْ الق</w:t>
      </w:r>
      <w:r w:rsidRPr="004A3642">
        <w:rPr>
          <w:rFonts w:ascii="Abo-thar" w:hAnsi="Abo-thar" w:cs="KFGQPC Uthman Taha Naskh" w:hint="cs"/>
          <w:b/>
          <w:bCs/>
          <w:sz w:val="28"/>
          <w:rtl/>
          <w:lang w:bidi="ar-SY"/>
        </w:rPr>
        <w:t>ُ</w:t>
      </w:r>
      <w:r w:rsidRPr="004A3642">
        <w:rPr>
          <w:rFonts w:ascii="Abo-thar" w:hAnsi="Abo-thar" w:cs="KFGQPC Uthman Taha Naskh"/>
          <w:b/>
          <w:bCs/>
          <w:sz w:val="28"/>
          <w:rtl/>
          <w:lang w:bidi="ar-SY"/>
        </w:rPr>
        <w:t>لْبَيْنِ مِنْ الصَّبِيَّيْنِ فَقَطَعَتْهُمَا فَبَكَى الصَّبِيَّانِ فَقَسَمَتْهُ بَيْنَهُمَا فَانْطَلَقَا إِلَى رَسُولِ اللهِ</w:t>
      </w:r>
      <w:r w:rsidR="00147857" w:rsidRPr="004A3642">
        <w:rPr>
          <w:rFonts w:ascii="Abo-thar" w:hAnsi="Abo-thar" w:cs="KFGQPC Uthman Taha Naskh"/>
          <w:b/>
          <w:bCs/>
          <w:sz w:val="28"/>
          <w:rtl/>
          <w:lang w:bidi="ar-SY"/>
        </w:rPr>
        <w:t xml:space="preserve"> </w:t>
      </w:r>
      <w:r w:rsidR="003C7AEB" w:rsidRPr="003C7AEB">
        <w:rPr>
          <w:rFonts w:ascii="Abo-thar" w:hAnsi="Abo-thar" w:cs="CTraditional Arabic"/>
          <w:sz w:val="28"/>
          <w:rtl/>
          <w:lang w:bidi="ar-SY"/>
        </w:rPr>
        <w:t>ص</w:t>
      </w:r>
      <w:r w:rsidR="00147857" w:rsidRPr="004A3642">
        <w:rPr>
          <w:rFonts w:ascii="Abo-thar" w:hAnsi="Abo-thar" w:cs="KFGQPC Uthman Taha Naskh"/>
          <w:sz w:val="28"/>
          <w:rtl/>
          <w:lang w:bidi="ar-SY"/>
        </w:rPr>
        <w:t xml:space="preserve"> </w:t>
      </w:r>
      <w:r w:rsidRPr="004A3642">
        <w:rPr>
          <w:rFonts w:ascii="Abo-thar" w:hAnsi="Abo-thar" w:cs="KFGQPC Uthman Taha Naskh"/>
          <w:b/>
          <w:bCs/>
          <w:sz w:val="28"/>
          <w:rtl/>
          <w:lang w:bidi="ar-SY"/>
        </w:rPr>
        <w:t>وَهُمَا يَبْكِيَانِ فَأَخَذَهُ رَسُولُ اللهِ</w:t>
      </w:r>
      <w:r w:rsidR="00147857" w:rsidRPr="004A3642">
        <w:rPr>
          <w:rFonts w:ascii="Abo-thar" w:hAnsi="Abo-thar" w:cs="KFGQPC Uthman Taha Naskh"/>
          <w:b/>
          <w:bCs/>
          <w:sz w:val="28"/>
          <w:rtl/>
          <w:lang w:bidi="ar-SY"/>
        </w:rPr>
        <w:t xml:space="preserve"> </w:t>
      </w:r>
      <w:r w:rsidR="003C7AEB" w:rsidRPr="003C7AEB">
        <w:rPr>
          <w:rFonts w:ascii="Abo-thar" w:hAnsi="Abo-thar" w:cs="CTraditional Arabic"/>
          <w:sz w:val="28"/>
          <w:rtl/>
          <w:lang w:bidi="ar-SY"/>
        </w:rPr>
        <w:t>ص</w:t>
      </w:r>
      <w:r w:rsidR="00147857" w:rsidRPr="004A3642">
        <w:rPr>
          <w:rFonts w:ascii="Abo-thar" w:hAnsi="Abo-thar" w:cs="KFGQPC Uthman Taha Naskh"/>
          <w:sz w:val="28"/>
          <w:rtl/>
          <w:lang w:bidi="ar-SY"/>
        </w:rPr>
        <w:t xml:space="preserve"> </w:t>
      </w:r>
      <w:r w:rsidRPr="004A3642">
        <w:rPr>
          <w:rFonts w:ascii="Abo-thar" w:hAnsi="Abo-thar" w:cs="KFGQPC Uthman Taha Naskh"/>
          <w:b/>
          <w:bCs/>
          <w:sz w:val="28"/>
          <w:rtl/>
          <w:lang w:bidi="ar-SY"/>
        </w:rPr>
        <w:t>مِنْهُمَا فَقَالَ</w:t>
      </w:r>
      <w:r w:rsidR="00217AB4" w:rsidRPr="004A3642">
        <w:rPr>
          <w:rFonts w:ascii="Abo-thar" w:hAnsi="Abo-thar" w:cs="KFGQPC Uthman Taha Naskh" w:hint="cs"/>
          <w:b/>
          <w:bCs/>
          <w:sz w:val="28"/>
          <w:rtl/>
          <w:lang w:bidi="ar-SY"/>
        </w:rPr>
        <w:t>:</w:t>
      </w:r>
      <w:r w:rsidRPr="004A3642">
        <w:rPr>
          <w:rFonts w:ascii="Abo-thar" w:hAnsi="Abo-thar" w:cs="KFGQPC Uthman Taha Naskh"/>
          <w:b/>
          <w:bCs/>
          <w:sz w:val="28"/>
          <w:rtl/>
          <w:lang w:bidi="ar-SY"/>
        </w:rPr>
        <w:t xml:space="preserve"> يَا ثَوْبَانُ اذْهَبْ بِهَذَا إِلَى بَنِي فُلَانٍ </w:t>
      </w:r>
      <w:r w:rsidR="00217AB4" w:rsidRPr="004A3642">
        <w:rPr>
          <w:rFonts w:ascii="Abo-thar" w:hAnsi="Abo-thar" w:cs="KFGQPC Uthman Taha Naskh" w:hint="cs"/>
          <w:b/>
          <w:bCs/>
          <w:sz w:val="28"/>
          <w:rtl/>
          <w:lang w:bidi="ar-SY"/>
        </w:rPr>
        <w:t>-</w:t>
      </w:r>
      <w:r w:rsidRPr="004A3642">
        <w:rPr>
          <w:rFonts w:ascii="Abo-thar" w:hAnsi="Abo-thar" w:cs="KFGQPC Uthman Taha Naskh" w:hint="cs"/>
          <w:b/>
          <w:bCs/>
          <w:sz w:val="28"/>
          <w:rtl/>
          <w:lang w:bidi="ar-SY"/>
        </w:rPr>
        <w:t xml:space="preserve"> </w:t>
      </w:r>
      <w:r w:rsidRPr="004A3642">
        <w:rPr>
          <w:rFonts w:ascii="Abo-thar" w:hAnsi="Abo-thar" w:cs="KFGQPC Uthman Taha Naskh"/>
          <w:b/>
          <w:bCs/>
          <w:sz w:val="28"/>
          <w:rtl/>
          <w:lang w:bidi="ar-SY"/>
        </w:rPr>
        <w:t xml:space="preserve">أَهْلُ بَيْتٍ بِالمَدِينَةِ </w:t>
      </w:r>
      <w:r w:rsidR="00217AB4" w:rsidRPr="004A3642">
        <w:rPr>
          <w:rFonts w:ascii="Abo-thar" w:hAnsi="Abo-thar" w:cs="KFGQPC Uthman Taha Naskh" w:hint="cs"/>
          <w:b/>
          <w:bCs/>
          <w:sz w:val="28"/>
          <w:rtl/>
          <w:lang w:bidi="ar-SY"/>
        </w:rPr>
        <w:t>-</w:t>
      </w:r>
      <w:r w:rsidRPr="004A3642">
        <w:rPr>
          <w:rFonts w:ascii="Abo-thar" w:hAnsi="Abo-thar" w:cs="KFGQPC Uthman Taha Naskh" w:hint="cs"/>
          <w:b/>
          <w:bCs/>
          <w:sz w:val="28"/>
          <w:rtl/>
          <w:lang w:bidi="ar-SY"/>
        </w:rPr>
        <w:t xml:space="preserve"> فَ</w:t>
      </w:r>
      <w:r w:rsidRPr="004A3642">
        <w:rPr>
          <w:rFonts w:ascii="Abo-thar" w:hAnsi="Abo-thar" w:cs="KFGQPC Uthman Taha Naskh"/>
          <w:b/>
          <w:bCs/>
          <w:sz w:val="28"/>
          <w:rtl/>
          <w:lang w:bidi="ar-SY"/>
        </w:rPr>
        <w:t>اشْتَرِ لِفَاطِمَةَ قِلَادَةً مِنْ عَصَبٍ</w:t>
      </w:r>
      <w:r w:rsidR="00217AB4" w:rsidRPr="00833C06">
        <w:rPr>
          <w:rFonts w:cs="Arabic11 BT"/>
          <w:b/>
          <w:sz w:val="28"/>
          <w:vertAlign w:val="superscript"/>
          <w:rtl/>
          <w:lang w:bidi="ar-SY"/>
        </w:rPr>
        <w:t>(</w:t>
      </w:r>
      <w:r w:rsidRPr="00833C06">
        <w:rPr>
          <w:rStyle w:val="FootnoteReference"/>
          <w:rFonts w:cs="Arabic11 BT"/>
          <w:b/>
          <w:sz w:val="28"/>
          <w:rtl/>
          <w:lang w:bidi="ar-SY"/>
        </w:rPr>
        <w:footnoteReference w:id="133"/>
      </w:r>
      <w:r w:rsidR="00217AB4" w:rsidRPr="00833C06">
        <w:rPr>
          <w:rFonts w:cs="Arabic11 BT"/>
          <w:b/>
          <w:sz w:val="28"/>
          <w:vertAlign w:val="superscript"/>
          <w:rtl/>
          <w:lang w:bidi="ar-SY"/>
        </w:rPr>
        <w:t>)</w:t>
      </w:r>
      <w:r w:rsidRPr="004A3642">
        <w:rPr>
          <w:rFonts w:ascii="Abo-thar" w:hAnsi="Abo-thar" w:cs="KFGQPC Uthman Taha Naskh"/>
          <w:sz w:val="28"/>
          <w:rtl/>
          <w:lang w:bidi="ar-SY"/>
        </w:rPr>
        <w:t xml:space="preserve"> </w:t>
      </w:r>
      <w:r w:rsidRPr="004A3642">
        <w:rPr>
          <w:rFonts w:ascii="Abo-thar" w:hAnsi="Abo-thar" w:cs="KFGQPC Uthman Taha Naskh"/>
          <w:b/>
          <w:bCs/>
          <w:sz w:val="28"/>
          <w:rtl/>
          <w:lang w:bidi="ar-SY"/>
        </w:rPr>
        <w:t>وَسِوَارَيْنِ مِنْ عَاجٍ فَإِنَّ هَؤُلَاءِ أَهْلُ بَيْتِي وَلَا</w:t>
      </w:r>
      <w:r w:rsidRPr="004A3642">
        <w:rPr>
          <w:rFonts w:cs="Times New Roman" w:hint="cs"/>
          <w:b/>
          <w:bCs/>
          <w:sz w:val="28"/>
          <w:rtl/>
          <w:lang w:bidi="ar-SY"/>
        </w:rPr>
        <w:t> </w:t>
      </w:r>
      <w:r w:rsidRPr="004A3642">
        <w:rPr>
          <w:rFonts w:ascii="Abo-thar" w:hAnsi="Abo-thar" w:cs="KFGQPC Uthman Taha Naskh"/>
          <w:b/>
          <w:bCs/>
          <w:sz w:val="28"/>
          <w:rtl/>
          <w:lang w:bidi="ar-SY"/>
        </w:rPr>
        <w:t xml:space="preserve">أُحِبُّ أَنْ </w:t>
      </w:r>
      <w:r w:rsidRPr="004A3642">
        <w:rPr>
          <w:rFonts w:ascii="Abo-thar" w:hAnsi="Abo-thar" w:cs="KFGQPC Uthman Taha Naskh" w:hint="cs"/>
          <w:b/>
          <w:bCs/>
          <w:sz w:val="28"/>
          <w:rtl/>
          <w:lang w:bidi="ar-SY"/>
        </w:rPr>
        <w:t>يَذْهَبوا</w:t>
      </w:r>
      <w:r w:rsidRPr="004A3642">
        <w:rPr>
          <w:rFonts w:ascii="Abo-thar" w:hAnsi="Abo-thar" w:cs="KFGQPC Uthman Taha Naskh"/>
          <w:b/>
          <w:bCs/>
          <w:sz w:val="28"/>
          <w:rtl/>
          <w:lang w:bidi="ar-SY"/>
        </w:rPr>
        <w:t xml:space="preserve"> طَيِّبَاتِهِمْ فِي حَيَاتِهِمْ الدُّنْيَا</w:t>
      </w:r>
      <w:r w:rsidR="00217AB4" w:rsidRPr="004A3642">
        <w:rPr>
          <w:rFonts w:ascii="Abo-thar" w:hAnsi="Abo-thar" w:cs="KFGQPC Uthman Taha Naskh" w:hint="cs"/>
          <w:sz w:val="28"/>
          <w:rtl/>
          <w:lang w:bidi="ar-SY"/>
        </w:rPr>
        <w:t>!</w:t>
      </w:r>
      <w:r w:rsidR="00EF2588" w:rsidRPr="004A3642">
        <w:rPr>
          <w:rFonts w:ascii="Abo-thar" w:hAnsi="Abo-thar" w:cs="KFGQPC Uthman Taha Naskh" w:hint="cs"/>
          <w:sz w:val="28"/>
          <w:rtl/>
          <w:lang w:bidi="ar-SY"/>
        </w:rPr>
        <w:t>»</w:t>
      </w:r>
      <w:r w:rsidR="00217AB4" w:rsidRPr="0021507A">
        <w:rPr>
          <w:rFonts w:cs="Arabic11 BT"/>
          <w:b/>
          <w:sz w:val="28"/>
          <w:vertAlign w:val="superscript"/>
          <w:rtl/>
          <w:lang w:bidi="ar-SY"/>
        </w:rPr>
        <w:t>(</w:t>
      </w:r>
      <w:r w:rsidRPr="0021507A">
        <w:rPr>
          <w:rStyle w:val="FootnoteReference"/>
          <w:rFonts w:cs="Arabic11 BT"/>
          <w:b/>
          <w:sz w:val="28"/>
          <w:rtl/>
          <w:lang w:bidi="ar-SY"/>
        </w:rPr>
        <w:footnoteReference w:id="134"/>
      </w:r>
      <w:r w:rsidR="00217AB4" w:rsidRPr="0021507A">
        <w:rPr>
          <w:rFonts w:cs="Arabic11 BT"/>
          <w:b/>
          <w:sz w:val="28"/>
          <w:vertAlign w:val="superscript"/>
          <w:rtl/>
          <w:lang w:bidi="ar-SY"/>
        </w:rPr>
        <w:t>)</w:t>
      </w:r>
      <w:r w:rsidR="00217AB4" w:rsidRPr="003F3B94">
        <w:rPr>
          <w:rFonts w:ascii="Abo-thar" w:hAnsi="Abo-thar" w:hint="cs"/>
          <w:sz w:val="28"/>
          <w:rtl/>
          <w:lang w:bidi="ar-SY"/>
        </w:rPr>
        <w:t>.</w:t>
      </w:r>
    </w:p>
    <w:p w:rsidR="005C664D" w:rsidRPr="003F3B94" w:rsidRDefault="005C664D" w:rsidP="003F3B94">
      <w:pPr>
        <w:pStyle w:val="a0"/>
        <w:rPr>
          <w:rFonts w:hint="cs"/>
          <w:rtl/>
          <w:lang w:bidi="ar-SY"/>
        </w:rPr>
      </w:pPr>
      <w:r w:rsidRPr="003F3B94">
        <w:rPr>
          <w:rFonts w:ascii="Abo-thar" w:hAnsi="Abo-thar" w:hint="cs"/>
          <w:sz w:val="28"/>
          <w:rtl/>
          <w:lang w:bidi="ar-SY"/>
        </w:rPr>
        <w:t xml:space="preserve">وفي قصة أخرى مشابهة أيضاً </w:t>
      </w:r>
      <w:r w:rsidRPr="004A3642">
        <w:rPr>
          <w:rFonts w:ascii="Abo-thar" w:hAnsi="Abo-thar" w:cs="KFGQPC Uthman Taha Naskh" w:hint="cs"/>
          <w:sz w:val="28"/>
          <w:rtl/>
          <w:lang w:bidi="ar-SY"/>
        </w:rPr>
        <w:t>أن رسول الله</w:t>
      </w:r>
      <w:r w:rsidR="00147857" w:rsidRPr="004A3642">
        <w:rPr>
          <w:rFonts w:ascii="Abo-thar" w:hAnsi="Abo-thar" w:cs="KFGQPC Uthman Taha Naskh" w:hint="cs"/>
          <w:sz w:val="28"/>
          <w:rtl/>
          <w:lang w:bidi="ar-SY"/>
        </w:rPr>
        <w:t xml:space="preserve"> </w:t>
      </w:r>
      <w:r w:rsidR="003C7AEB" w:rsidRPr="003C7AEB">
        <w:rPr>
          <w:rFonts w:ascii="Abo-thar" w:hAnsi="Abo-thar" w:cs="CTraditional Arabic"/>
          <w:sz w:val="28"/>
          <w:rtl/>
          <w:lang w:bidi="ar-SY"/>
        </w:rPr>
        <w:t>ص</w:t>
      </w:r>
      <w:r w:rsidR="00147857" w:rsidRPr="004A3642">
        <w:rPr>
          <w:rFonts w:ascii="Abo-thar" w:hAnsi="Abo-thar" w:cs="KFGQPC Uthman Taha Naskh"/>
          <w:sz w:val="28"/>
          <w:rtl/>
          <w:lang w:bidi="ar-SY"/>
        </w:rPr>
        <w:t xml:space="preserve"> </w:t>
      </w:r>
      <w:r w:rsidRPr="004A3642">
        <w:rPr>
          <w:rFonts w:ascii="Abo-thar" w:hAnsi="Abo-thar" w:cs="KFGQPC Uthman Taha Naskh"/>
          <w:sz w:val="28"/>
          <w:rtl/>
          <w:lang w:bidi="ar-SY"/>
        </w:rPr>
        <w:t>قَدِمَ مِنْ سَفَرٍ</w:t>
      </w:r>
      <w:r w:rsidRPr="004A3642">
        <w:rPr>
          <w:rFonts w:ascii="Abo-thar" w:hAnsi="Abo-thar" w:cs="KFGQPC Uthman Taha Naskh" w:hint="cs"/>
          <w:sz w:val="28"/>
          <w:rtl/>
          <w:lang w:bidi="ar-SY"/>
        </w:rPr>
        <w:t xml:space="preserve"> مرَّةً فرأى على فاطمة بعضَ الحليِّ والزينةِ [</w:t>
      </w:r>
      <w:r w:rsidRPr="004A3642">
        <w:rPr>
          <w:rFonts w:ascii="Abo-thar" w:hAnsi="Abo-thar" w:cs="KFGQPC Uthman Taha Naskh"/>
          <w:b/>
          <w:bCs/>
          <w:sz w:val="28"/>
          <w:rtl/>
          <w:lang w:bidi="ar-SY"/>
        </w:rPr>
        <w:t>مَسَكَتَيْنِ مِنْ وَرِقٍ وَقِلَادَةً وَقُرْطَيْنِ وَسِتْراً لِبَابِ البَيْتِ</w:t>
      </w:r>
      <w:r w:rsidRPr="004A3642">
        <w:rPr>
          <w:rFonts w:ascii="Abo-thar" w:hAnsi="Abo-thar" w:cs="KFGQPC Uthman Taha Naskh" w:hint="cs"/>
          <w:b/>
          <w:bCs/>
          <w:sz w:val="28"/>
          <w:rtl/>
          <w:lang w:bidi="ar-SY"/>
        </w:rPr>
        <w:t xml:space="preserve">] فعرفت بوجهه الغضب من ذلك </w:t>
      </w:r>
      <w:r w:rsidRPr="004A3642">
        <w:rPr>
          <w:rFonts w:ascii="Abo-thar" w:hAnsi="Abo-thar" w:cs="KFGQPC Uthman Taha Naskh"/>
          <w:b/>
          <w:bCs/>
          <w:sz w:val="28"/>
          <w:rtl/>
          <w:lang w:bidi="ar-SY"/>
        </w:rPr>
        <w:t>فَنَزَعَتْ قِلَادَتَهَا وَقُرْطَيْهَا وَمَسَكَتَيْهَا وَنَزَعَتِ السِّتْرَ فَبَعَثَتْ بِهِ إِلَى رَسُولِ اللهِ</w:t>
      </w:r>
      <w:r w:rsidR="00147857" w:rsidRPr="004A3642">
        <w:rPr>
          <w:rFonts w:ascii="Abo-thar" w:hAnsi="Abo-thar" w:cs="KFGQPC Uthman Taha Naskh"/>
          <w:b/>
          <w:bCs/>
          <w:sz w:val="28"/>
          <w:rtl/>
          <w:lang w:bidi="ar-SY"/>
        </w:rPr>
        <w:t xml:space="preserve"> </w:t>
      </w:r>
      <w:r w:rsidR="003C7AEB" w:rsidRPr="003C7AEB">
        <w:rPr>
          <w:rFonts w:ascii="Abo-thar" w:hAnsi="Abo-thar" w:cs="CTraditional Arabic"/>
          <w:sz w:val="28"/>
          <w:rtl/>
          <w:lang w:bidi="ar-SY"/>
        </w:rPr>
        <w:t>ص</w:t>
      </w:r>
      <w:r w:rsidR="00147857" w:rsidRPr="004A3642">
        <w:rPr>
          <w:rFonts w:ascii="Abo-thar" w:hAnsi="Abo-thar" w:cs="KFGQPC Uthman Taha Naskh"/>
          <w:sz w:val="28"/>
          <w:rtl/>
          <w:lang w:bidi="ar-SY"/>
        </w:rPr>
        <w:t xml:space="preserve"> </w:t>
      </w:r>
      <w:r w:rsidRPr="004A3642">
        <w:rPr>
          <w:rFonts w:ascii="Abo-thar" w:hAnsi="Abo-thar" w:cs="KFGQPC Uthman Taha Naskh"/>
          <w:b/>
          <w:bCs/>
          <w:sz w:val="28"/>
          <w:rtl/>
          <w:lang w:bidi="ar-SY"/>
        </w:rPr>
        <w:t>وَقَالَتْ لِلرَّسُولِ قُلْ لَهُ</w:t>
      </w:r>
      <w:r w:rsidR="00217AB4" w:rsidRPr="004A3642">
        <w:rPr>
          <w:rFonts w:ascii="Abo-thar" w:hAnsi="Abo-thar" w:cs="KFGQPC Uthman Taha Naskh" w:hint="cs"/>
          <w:b/>
          <w:bCs/>
          <w:sz w:val="28"/>
          <w:rtl/>
          <w:lang w:bidi="ar-SY"/>
        </w:rPr>
        <w:t>:</w:t>
      </w:r>
      <w:r w:rsidRPr="004A3642">
        <w:rPr>
          <w:rFonts w:ascii="Abo-thar" w:hAnsi="Abo-thar" w:cs="KFGQPC Uthman Taha Naskh"/>
          <w:b/>
          <w:bCs/>
          <w:sz w:val="28"/>
          <w:rtl/>
          <w:lang w:bidi="ar-SY"/>
        </w:rPr>
        <w:t xml:space="preserve"> تَقْرَأُ عَلَيْكَ ابْنَتُكَ السَّلَامَ وَتَقُولُ اجْعَلْ هَذَا فِي سَبِيلِ اللهِ</w:t>
      </w:r>
      <w:r w:rsidR="00217AB4" w:rsidRPr="004A3642">
        <w:rPr>
          <w:rFonts w:ascii="Abo-thar" w:hAnsi="Abo-thar" w:cs="KFGQPC Uthman Taha Naskh" w:hint="cs"/>
          <w:b/>
          <w:bCs/>
          <w:sz w:val="28"/>
          <w:rtl/>
          <w:lang w:bidi="ar-SY"/>
        </w:rPr>
        <w:t>.</w:t>
      </w:r>
      <w:r w:rsidRPr="004A3642">
        <w:rPr>
          <w:rFonts w:ascii="Abo-thar" w:hAnsi="Abo-thar" w:cs="KFGQPC Uthman Taha Naskh"/>
          <w:b/>
          <w:bCs/>
          <w:sz w:val="28"/>
          <w:rtl/>
          <w:lang w:bidi="ar-SY"/>
        </w:rPr>
        <w:t xml:space="preserve"> فَلَمَّا أَتَاهُ قَالَ</w:t>
      </w:r>
      <w:r w:rsidR="00147857" w:rsidRPr="004A3642">
        <w:rPr>
          <w:rFonts w:ascii="Abo-thar" w:hAnsi="Abo-thar" w:cs="KFGQPC Uthman Taha Naskh" w:hint="cs"/>
          <w:b/>
          <w:bCs/>
          <w:sz w:val="28"/>
          <w:rtl/>
          <w:lang w:bidi="ar-SY"/>
        </w:rPr>
        <w:t xml:space="preserve"> </w:t>
      </w:r>
      <w:r w:rsidR="003C7AEB" w:rsidRPr="003C7AEB">
        <w:rPr>
          <w:rFonts w:ascii="Abo-thar" w:hAnsi="Abo-thar" w:cs="CTraditional Arabic"/>
          <w:sz w:val="28"/>
          <w:rtl/>
          <w:lang w:bidi="ar-SY"/>
        </w:rPr>
        <w:t>ص</w:t>
      </w:r>
      <w:r w:rsidR="00217AB4" w:rsidRPr="004A3642">
        <w:rPr>
          <w:rFonts w:ascii="Abo-thar" w:hAnsi="Abo-thar" w:cs="KFGQPC Uthman Taha Naskh"/>
          <w:sz w:val="28"/>
          <w:rtl/>
          <w:lang w:bidi="ar-SY"/>
        </w:rPr>
        <w:t>:</w:t>
      </w:r>
      <w:r w:rsidRPr="004A3642">
        <w:rPr>
          <w:rFonts w:ascii="Abo-thar" w:hAnsi="Abo-thar" w:cs="KFGQPC Uthman Taha Naskh"/>
          <w:b/>
          <w:bCs/>
          <w:sz w:val="28"/>
          <w:rtl/>
          <w:lang w:bidi="ar-SY"/>
        </w:rPr>
        <w:t xml:space="preserve"> </w:t>
      </w:r>
      <w:r w:rsidR="00EF2588" w:rsidRPr="004A3642">
        <w:rPr>
          <w:rFonts w:ascii="Abo-thar" w:hAnsi="Abo-thar" w:cs="KFGQPC Uthman Taha Naskh" w:hint="cs"/>
          <w:b/>
          <w:bCs/>
          <w:sz w:val="28"/>
          <w:rtl/>
          <w:lang w:bidi="ar-SY"/>
        </w:rPr>
        <w:t>«</w:t>
      </w:r>
      <w:r w:rsidRPr="004A3642">
        <w:rPr>
          <w:rFonts w:ascii="Abo-thar" w:hAnsi="Abo-thar" w:cs="KFGQPC Uthman Taha Naskh"/>
          <w:b/>
          <w:bCs/>
          <w:sz w:val="28"/>
          <w:rtl/>
          <w:lang w:bidi="ar-SY"/>
        </w:rPr>
        <w:t>فَعَلَتْ فِدَاهَا أَبُوهَا</w:t>
      </w:r>
      <w:r w:rsidR="00217AB4" w:rsidRPr="004A3642">
        <w:rPr>
          <w:rFonts w:ascii="Abo-thar" w:hAnsi="Abo-thar" w:cs="KFGQPC Uthman Taha Naskh" w:hint="cs"/>
          <w:b/>
          <w:bCs/>
          <w:sz w:val="28"/>
          <w:rtl/>
          <w:lang w:bidi="ar-SY"/>
        </w:rPr>
        <w:t>.</w:t>
      </w:r>
      <w:r w:rsidRPr="004A3642">
        <w:rPr>
          <w:rFonts w:ascii="Abo-thar" w:hAnsi="Abo-thar" w:cs="KFGQPC Uthman Taha Naskh"/>
          <w:b/>
          <w:bCs/>
          <w:sz w:val="28"/>
          <w:rtl/>
          <w:lang w:bidi="ar-SY"/>
        </w:rPr>
        <w:t xml:space="preserve"> فَعَلَتْ فِدَاهَا أَبُوهَا</w:t>
      </w:r>
      <w:r w:rsidR="00217AB4" w:rsidRPr="004A3642">
        <w:rPr>
          <w:rFonts w:ascii="Abo-thar" w:hAnsi="Abo-thar" w:cs="KFGQPC Uthman Taha Naskh" w:hint="cs"/>
          <w:b/>
          <w:bCs/>
          <w:sz w:val="28"/>
          <w:rtl/>
          <w:lang w:bidi="ar-SY"/>
        </w:rPr>
        <w:t>.</w:t>
      </w:r>
      <w:r w:rsidRPr="004A3642">
        <w:rPr>
          <w:rFonts w:ascii="Abo-thar" w:hAnsi="Abo-thar" w:cs="KFGQPC Uthman Taha Naskh"/>
          <w:b/>
          <w:bCs/>
          <w:sz w:val="28"/>
          <w:rtl/>
          <w:lang w:bidi="ar-SY"/>
        </w:rPr>
        <w:t xml:space="preserve"> ثَلَاثَ مَرَّاتٍ</w:t>
      </w:r>
      <w:r w:rsidR="00EF2588" w:rsidRPr="004A3642">
        <w:rPr>
          <w:rFonts w:ascii="Abo-thar" w:hAnsi="Abo-thar" w:cs="KFGQPC Uthman Taha Naskh" w:hint="cs"/>
          <w:sz w:val="28"/>
          <w:rtl/>
          <w:lang w:bidi="ar-SY"/>
        </w:rPr>
        <w:t>»</w:t>
      </w:r>
      <w:r w:rsidR="00217AB4" w:rsidRPr="0021507A">
        <w:rPr>
          <w:rFonts w:cs="Arabic11 BT"/>
          <w:b/>
          <w:sz w:val="28"/>
          <w:vertAlign w:val="superscript"/>
          <w:rtl/>
          <w:lang w:bidi="ar-SY"/>
        </w:rPr>
        <w:t>(</w:t>
      </w:r>
      <w:r w:rsidRPr="0021507A">
        <w:rPr>
          <w:rStyle w:val="FootnoteReference"/>
          <w:rFonts w:cs="Arabic11 BT"/>
          <w:b/>
          <w:sz w:val="28"/>
          <w:rtl/>
          <w:lang w:bidi="ar-SY"/>
        </w:rPr>
        <w:footnoteReference w:id="135"/>
      </w:r>
      <w:r w:rsidR="00217AB4" w:rsidRPr="0021507A">
        <w:rPr>
          <w:rFonts w:cs="Arabic11 BT"/>
          <w:b/>
          <w:sz w:val="28"/>
          <w:vertAlign w:val="superscript"/>
          <w:rtl/>
          <w:lang w:bidi="ar-SY"/>
        </w:rPr>
        <w:t>)</w:t>
      </w:r>
      <w:r w:rsidR="00217AB4" w:rsidRPr="003F3B94">
        <w:rPr>
          <w:rFonts w:ascii="Abo-thar" w:hAnsi="Abo-thar" w:hint="cs"/>
          <w:sz w:val="28"/>
          <w:rtl/>
          <w:lang w:bidi="ar-SY"/>
        </w:rPr>
        <w:t>.</w:t>
      </w:r>
    </w:p>
    <w:p w:rsidR="005C664D" w:rsidRPr="003F3B94" w:rsidRDefault="005C664D" w:rsidP="003F3B94">
      <w:pPr>
        <w:pStyle w:val="a0"/>
        <w:rPr>
          <w:rFonts w:hint="cs"/>
          <w:rtl/>
          <w:lang w:bidi="ar-SY"/>
        </w:rPr>
      </w:pPr>
      <w:r w:rsidRPr="003F3B94">
        <w:rPr>
          <w:rFonts w:ascii="Abo-thar" w:hAnsi="Abo-thar" w:hint="cs"/>
          <w:sz w:val="28"/>
          <w:rtl/>
          <w:lang w:bidi="ar-SY"/>
        </w:rPr>
        <w:t>تلك كانت سيرة رسول الله</w:t>
      </w:r>
      <w:r w:rsidR="00147857" w:rsidRPr="003F3B94">
        <w:rPr>
          <w:rFonts w:ascii="Abo-thar" w:hAnsi="Abo-thar" w:hint="cs"/>
          <w:sz w:val="28"/>
          <w:rtl/>
          <w:lang w:bidi="ar-SY"/>
        </w:rPr>
        <w:t xml:space="preserve"> </w:t>
      </w:r>
      <w:r w:rsidR="003C7AEB" w:rsidRPr="003C7AEB">
        <w:rPr>
          <w:rFonts w:ascii="Abo-thar" w:hAnsi="Abo-thar" w:cs="CTraditional Arabic"/>
          <w:sz w:val="28"/>
          <w:rtl/>
          <w:lang w:bidi="ar-SY"/>
        </w:rPr>
        <w:t>ص</w:t>
      </w:r>
      <w:r w:rsidR="00147857" w:rsidRPr="003F3B94">
        <w:rPr>
          <w:rFonts w:ascii="Abo-thar" w:hAnsi="Abo-thar"/>
          <w:sz w:val="28"/>
          <w:rtl/>
          <w:lang w:bidi="ar-SY"/>
        </w:rPr>
        <w:t xml:space="preserve"> </w:t>
      </w:r>
      <w:r w:rsidRPr="003F3B94">
        <w:rPr>
          <w:rFonts w:ascii="Abo-thar" w:hAnsi="Abo-thar" w:hint="cs"/>
          <w:sz w:val="28"/>
          <w:rtl/>
          <w:lang w:bidi="ar-SY"/>
        </w:rPr>
        <w:t>وسنته في قرابته وأهل بيته</w:t>
      </w:r>
      <w:r w:rsidR="00217AB4" w:rsidRPr="003F3B94">
        <w:rPr>
          <w:rFonts w:ascii="Abo-thar" w:hAnsi="Abo-thar" w:hint="cs"/>
          <w:sz w:val="28"/>
          <w:rtl/>
          <w:lang w:bidi="ar-SY"/>
        </w:rPr>
        <w:t>،</w:t>
      </w:r>
      <w:r w:rsidRPr="003F3B94">
        <w:rPr>
          <w:rFonts w:ascii="Abo-thar" w:hAnsi="Abo-thar" w:hint="cs"/>
          <w:sz w:val="28"/>
          <w:rtl/>
          <w:lang w:bidi="ar-SY"/>
        </w:rPr>
        <w:t xml:space="preserve"> ونكتفي بهذا المختصر الذي ذكرناه</w:t>
      </w:r>
      <w:r w:rsidR="00217AB4" w:rsidRPr="003F3B94">
        <w:rPr>
          <w:rFonts w:ascii="Abo-thar" w:hAnsi="Abo-thar" w:hint="cs"/>
          <w:sz w:val="28"/>
          <w:rtl/>
          <w:lang w:bidi="ar-SY"/>
        </w:rPr>
        <w:t>.</w:t>
      </w:r>
    </w:p>
    <w:p w:rsidR="005C664D" w:rsidRPr="003F3B94" w:rsidRDefault="005C664D" w:rsidP="003F3B94">
      <w:pPr>
        <w:pStyle w:val="a0"/>
        <w:rPr>
          <w:rFonts w:hint="cs"/>
          <w:rtl/>
          <w:lang w:bidi="ar-SY"/>
        </w:rPr>
      </w:pPr>
      <w:r w:rsidRPr="003F3B94">
        <w:rPr>
          <w:rFonts w:ascii="Abo-thar" w:hAnsi="Abo-thar" w:hint="cs"/>
          <w:sz w:val="28"/>
          <w:rtl/>
          <w:lang w:bidi="ar-SY"/>
        </w:rPr>
        <w:t>أما سيرة أمير المؤمنين علي بن أبي طالب</w:t>
      </w:r>
      <w:r w:rsidR="00147857" w:rsidRPr="003F3B94">
        <w:rPr>
          <w:rFonts w:ascii="Abo-thar" w:hAnsi="Abo-thar" w:hint="cs"/>
          <w:sz w:val="28"/>
          <w:rtl/>
          <w:lang w:bidi="ar-SY"/>
        </w:rPr>
        <w:t xml:space="preserve"> </w:t>
      </w:r>
      <w:r w:rsidR="003C7AEB" w:rsidRPr="003C7AEB">
        <w:rPr>
          <w:rFonts w:ascii="Abo-thar" w:hAnsi="Abo-thar" w:cs="CTraditional Arabic"/>
          <w:sz w:val="28"/>
          <w:rtl/>
          <w:lang w:bidi="ar-SY"/>
        </w:rPr>
        <w:t>÷</w:t>
      </w:r>
      <w:r w:rsidR="00147857" w:rsidRPr="003F3B94">
        <w:rPr>
          <w:rFonts w:ascii="Abo-thar" w:hAnsi="Abo-thar"/>
          <w:sz w:val="28"/>
          <w:rtl/>
          <w:lang w:bidi="ar-SY"/>
        </w:rPr>
        <w:t xml:space="preserve"> </w:t>
      </w:r>
      <w:r w:rsidRPr="003F3B94">
        <w:rPr>
          <w:rFonts w:ascii="Abo-thar" w:hAnsi="Abo-thar" w:hint="cs"/>
          <w:sz w:val="28"/>
          <w:rtl/>
          <w:lang w:bidi="ar-SY"/>
        </w:rPr>
        <w:t>بالنسبة إلى تمييز أي فرد أو أي أسرة أو أصحاب نسب معين في تقسيم الأموال فهي أوضح من أن تحتاج إلى شرح أو بيان</w:t>
      </w:r>
      <w:r w:rsidR="00217AB4" w:rsidRPr="003F3B94">
        <w:rPr>
          <w:rFonts w:ascii="Abo-thar" w:hAnsi="Abo-thar" w:hint="cs"/>
          <w:sz w:val="28"/>
          <w:rtl/>
          <w:lang w:bidi="ar-SY"/>
        </w:rPr>
        <w:t>؛</w:t>
      </w:r>
      <w:r w:rsidRPr="003F3B94">
        <w:rPr>
          <w:rFonts w:ascii="Abo-thar" w:hAnsi="Abo-thar" w:hint="cs"/>
          <w:sz w:val="28"/>
          <w:rtl/>
          <w:lang w:bidi="ar-SY"/>
        </w:rPr>
        <w:t xml:space="preserve"> فقد كان حضرته يقول دائماً</w:t>
      </w:r>
      <w:r w:rsidR="00217AB4" w:rsidRPr="003F3B94">
        <w:rPr>
          <w:rFonts w:ascii="Abo-thar" w:hAnsi="Abo-thar" w:hint="cs"/>
          <w:sz w:val="28"/>
          <w:rtl/>
          <w:lang w:bidi="ar-SY"/>
        </w:rPr>
        <w:t>:</w:t>
      </w:r>
      <w:r w:rsidRPr="003F3B94">
        <w:rPr>
          <w:rFonts w:ascii="Abo-thar" w:hAnsi="Abo-thar" w:hint="cs"/>
          <w:sz w:val="28"/>
          <w:rtl/>
          <w:lang w:bidi="ar-SY"/>
        </w:rPr>
        <w:t xml:space="preserve"> </w:t>
      </w:r>
      <w:r w:rsidR="00EF2588" w:rsidRPr="004A3642">
        <w:rPr>
          <w:rFonts w:ascii="Abo-thar" w:hAnsi="Abo-thar" w:cs="KFGQPC Uthman Taha Naskh" w:hint="cs"/>
          <w:sz w:val="28"/>
          <w:rtl/>
          <w:lang w:bidi="ar-SY"/>
        </w:rPr>
        <w:t>«</w:t>
      </w:r>
      <w:r w:rsidRPr="004A3642">
        <w:rPr>
          <w:rFonts w:cs="KFGQPC Uthman Taha Naskh"/>
          <w:b/>
          <w:bCs/>
          <w:sz w:val="28"/>
          <w:rtl/>
          <w:lang w:bidi="ar-SY"/>
        </w:rPr>
        <w:t xml:space="preserve">إِنِّي نَظَرْتُ فِي كِتَابِ اللهِ فَلَمْ أَجِدْ لِوُلْدِ إِسْمَاعِيلَ </w:t>
      </w:r>
      <w:r w:rsidR="00217AB4" w:rsidRPr="004A3642">
        <w:rPr>
          <w:rFonts w:cs="KFGQPC Uthman Taha Naskh" w:hint="cs"/>
          <w:sz w:val="28"/>
          <w:rtl/>
          <w:lang w:bidi="ar-SY"/>
        </w:rPr>
        <w:t>(</w:t>
      </w:r>
      <w:r w:rsidRPr="004A3642">
        <w:rPr>
          <w:rFonts w:cs="KFGQPC Uthman Taha Naskh" w:hint="cs"/>
          <w:sz w:val="28"/>
          <w:rtl/>
          <w:lang w:bidi="ar-SY"/>
        </w:rPr>
        <w:t>مثل قريش وبني هاشم</w:t>
      </w:r>
      <w:r w:rsidR="00217AB4" w:rsidRPr="004A3642">
        <w:rPr>
          <w:rFonts w:cs="KFGQPC Uthman Taha Naskh" w:hint="cs"/>
          <w:sz w:val="28"/>
          <w:rtl/>
          <w:lang w:bidi="ar-SY"/>
        </w:rPr>
        <w:t>)</w:t>
      </w:r>
      <w:r w:rsidRPr="004A3642">
        <w:rPr>
          <w:rFonts w:cs="KFGQPC Uthman Taha Naskh" w:hint="cs"/>
          <w:b/>
          <w:bCs/>
          <w:sz w:val="28"/>
          <w:rtl/>
          <w:lang w:bidi="ar-SY"/>
        </w:rPr>
        <w:t xml:space="preserve"> </w:t>
      </w:r>
      <w:r w:rsidRPr="004A3642">
        <w:rPr>
          <w:rFonts w:cs="KFGQPC Uthman Taha Naskh"/>
          <w:b/>
          <w:bCs/>
          <w:sz w:val="28"/>
          <w:rtl/>
          <w:lang w:bidi="ar-SY"/>
        </w:rPr>
        <w:t xml:space="preserve">عَلَى وُلْدِ إِسْحَاقَ </w:t>
      </w:r>
      <w:r w:rsidR="00217AB4" w:rsidRPr="004A3642">
        <w:rPr>
          <w:rFonts w:cs="KFGQPC Uthman Taha Naskh" w:hint="cs"/>
          <w:sz w:val="28"/>
          <w:rtl/>
          <w:lang w:bidi="ar-SY"/>
        </w:rPr>
        <w:t>(</w:t>
      </w:r>
      <w:r w:rsidRPr="004A3642">
        <w:rPr>
          <w:rFonts w:cs="KFGQPC Uthman Taha Naskh" w:hint="cs"/>
          <w:sz w:val="28"/>
          <w:rtl/>
          <w:lang w:bidi="ar-SY"/>
        </w:rPr>
        <w:t>بني إسرائيل واليهود</w:t>
      </w:r>
      <w:r w:rsidR="00217AB4" w:rsidRPr="004A3642">
        <w:rPr>
          <w:rFonts w:cs="KFGQPC Uthman Taha Naskh" w:hint="cs"/>
          <w:sz w:val="28"/>
          <w:rtl/>
          <w:lang w:bidi="ar-SY"/>
        </w:rPr>
        <w:t>)</w:t>
      </w:r>
      <w:r w:rsidRPr="004A3642">
        <w:rPr>
          <w:rFonts w:cs="KFGQPC Uthman Taha Naskh" w:hint="cs"/>
          <w:b/>
          <w:bCs/>
          <w:sz w:val="28"/>
          <w:rtl/>
          <w:lang w:bidi="ar-SY"/>
        </w:rPr>
        <w:t xml:space="preserve"> </w:t>
      </w:r>
      <w:r w:rsidRPr="004A3642">
        <w:rPr>
          <w:rFonts w:cs="KFGQPC Uthman Taha Naskh"/>
          <w:b/>
          <w:bCs/>
          <w:sz w:val="28"/>
          <w:rtl/>
          <w:lang w:bidi="ar-SY"/>
        </w:rPr>
        <w:t>فَضْلا</w:t>
      </w:r>
      <w:r w:rsidRPr="004A3642">
        <w:rPr>
          <w:rFonts w:ascii="Abo-thar" w:hAnsi="Abo-thar" w:cs="KFGQPC Uthman Taha Naskh" w:hint="cs"/>
          <w:b/>
          <w:bCs/>
          <w:sz w:val="28"/>
          <w:rtl/>
          <w:lang w:bidi="ar-SY"/>
        </w:rPr>
        <w:t>ً</w:t>
      </w:r>
      <w:r w:rsidR="00EF2588" w:rsidRPr="004A3642">
        <w:rPr>
          <w:rFonts w:ascii="Abo-thar" w:hAnsi="Abo-thar" w:cs="KFGQPC Uthman Taha Naskh" w:hint="cs"/>
          <w:sz w:val="28"/>
          <w:rtl/>
          <w:lang w:bidi="ar-SY"/>
        </w:rPr>
        <w:t>»</w:t>
      </w:r>
      <w:r w:rsidR="00217AB4" w:rsidRPr="003F3B94">
        <w:rPr>
          <w:rFonts w:ascii="Abo-thar" w:hAnsi="Abo-thar" w:hint="cs"/>
          <w:sz w:val="28"/>
          <w:rtl/>
          <w:lang w:bidi="ar-SY"/>
        </w:rPr>
        <w:t>.</w:t>
      </w:r>
      <w:r w:rsidRPr="003F3B94">
        <w:rPr>
          <w:rFonts w:ascii="Abo-thar" w:hAnsi="Abo-thar" w:hint="cs"/>
          <w:sz w:val="28"/>
          <w:rtl/>
          <w:lang w:bidi="ar-SY"/>
        </w:rPr>
        <w:t xml:space="preserve"> ورغم أن أهم سبب لمعارضة بعض الناس لعليٍّ</w:t>
      </w:r>
      <w:r w:rsidR="00147857" w:rsidRPr="003F3B94">
        <w:rPr>
          <w:rFonts w:ascii="Abo-thar" w:hAnsi="Abo-thar" w:hint="cs"/>
          <w:sz w:val="28"/>
          <w:rtl/>
          <w:lang w:bidi="ar-SY"/>
        </w:rPr>
        <w:t xml:space="preserve"> </w:t>
      </w:r>
      <w:r w:rsidR="003C7AEB" w:rsidRPr="003C7AEB">
        <w:rPr>
          <w:rFonts w:ascii="Abo-thar" w:hAnsi="Abo-thar" w:cs="CTraditional Arabic"/>
          <w:sz w:val="28"/>
          <w:rtl/>
          <w:lang w:bidi="ar-SY"/>
        </w:rPr>
        <w:t>÷</w:t>
      </w:r>
      <w:r w:rsidR="00147857" w:rsidRPr="003F3B94">
        <w:rPr>
          <w:rFonts w:ascii="Abo-thar" w:hAnsi="Abo-thar"/>
          <w:sz w:val="28"/>
          <w:rtl/>
          <w:lang w:bidi="ar-SY"/>
        </w:rPr>
        <w:t xml:space="preserve"> </w:t>
      </w:r>
      <w:r w:rsidRPr="003F3B94">
        <w:rPr>
          <w:rFonts w:ascii="Abo-thar" w:hAnsi="Abo-thar" w:hint="cs"/>
          <w:sz w:val="28"/>
          <w:rtl/>
          <w:lang w:bidi="ar-SY"/>
        </w:rPr>
        <w:t>كان أمر المال حيث لم يكن الإمام يفضِّل في العطاء شريفاً على مشروف ولا عربِيّاً على عجميٍّ ولا أبيضَ على أسودَ ولا سيِّداً على عَبْدٍ ولم يكن يعطِ أحداً ديناراً زيادةً على غيره</w:t>
      </w:r>
      <w:r w:rsidR="00217AB4" w:rsidRPr="003F3B94">
        <w:rPr>
          <w:rFonts w:ascii="Abo-thar" w:hAnsi="Abo-thar" w:hint="cs"/>
          <w:sz w:val="28"/>
          <w:rtl/>
          <w:lang w:bidi="ar-SY"/>
        </w:rPr>
        <w:t>!</w:t>
      </w:r>
      <w:r w:rsidRPr="003F3B94">
        <w:rPr>
          <w:rFonts w:ascii="Abo-thar" w:hAnsi="Abo-thar" w:hint="cs"/>
          <w:sz w:val="28"/>
          <w:rtl/>
          <w:lang w:bidi="ar-SY"/>
        </w:rPr>
        <w:t xml:space="preserve"> ولهذا السبب بالذات لقي كل ما لقيه من أذى وعنت ومصائب إذْ إنه انتهج هذا النهج منذ أول يوم لخلافته</w:t>
      </w:r>
      <w:r w:rsidR="00217AB4" w:rsidRPr="003F3B94">
        <w:rPr>
          <w:rFonts w:ascii="Abo-thar" w:hAnsi="Abo-thar" w:hint="cs"/>
          <w:sz w:val="28"/>
          <w:rtl/>
          <w:lang w:bidi="ar-SY"/>
        </w:rPr>
        <w:t>،</w:t>
      </w:r>
      <w:r w:rsidRPr="003F3B94">
        <w:rPr>
          <w:rFonts w:ascii="Abo-thar" w:hAnsi="Abo-thar" w:hint="cs"/>
          <w:sz w:val="28"/>
          <w:rtl/>
          <w:lang w:bidi="ar-SY"/>
        </w:rPr>
        <w:t xml:space="preserve"> كما يروي ابن أبي الحدي</w:t>
      </w:r>
      <w:r w:rsidR="00652969" w:rsidRPr="003F3B94">
        <w:rPr>
          <w:rFonts w:ascii="Abo-thar" w:hAnsi="Abo-thar" w:hint="cs"/>
          <w:sz w:val="28"/>
          <w:rtl/>
          <w:lang w:bidi="ar-SY"/>
        </w:rPr>
        <w:t>د في شرحه لنهج البلاغة:</w:t>
      </w:r>
      <w:r w:rsidRPr="003F3B94">
        <w:rPr>
          <w:rFonts w:ascii="Abo-thar" w:hAnsi="Abo-thar" w:hint="cs"/>
          <w:sz w:val="28"/>
          <w:rtl/>
          <w:lang w:bidi="ar-SY"/>
        </w:rPr>
        <w:t xml:space="preserve"> </w:t>
      </w:r>
    </w:p>
    <w:p w:rsidR="005C664D" w:rsidRPr="003F3B94" w:rsidRDefault="00EF2588" w:rsidP="003F3B94">
      <w:pPr>
        <w:pStyle w:val="a0"/>
        <w:rPr>
          <w:rFonts w:hint="cs"/>
          <w:rtl/>
          <w:lang w:bidi="ar-SY"/>
        </w:rPr>
      </w:pPr>
      <w:r w:rsidRPr="004A3642">
        <w:rPr>
          <w:rFonts w:ascii="Abo-thar" w:hAnsi="Abo-thar" w:cs="KFGQPC Uthman Taha Naskh" w:hint="cs"/>
          <w:sz w:val="28"/>
          <w:rtl/>
          <w:lang w:bidi="ar-SY"/>
        </w:rPr>
        <w:t>«</w:t>
      </w:r>
      <w:r w:rsidR="005C664D" w:rsidRPr="004A3642">
        <w:rPr>
          <w:rFonts w:ascii="Abo-thar" w:hAnsi="Abo-thar" w:cs="KFGQPC Uthman Taha Naskh" w:hint="cs"/>
          <w:sz w:val="28"/>
          <w:rtl/>
          <w:lang w:bidi="ar-SY"/>
        </w:rPr>
        <w:t xml:space="preserve">رَوَى </w:t>
      </w:r>
      <w:r w:rsidR="005C664D" w:rsidRPr="004A3642">
        <w:rPr>
          <w:rFonts w:ascii="Abo-thar" w:hAnsi="Abo-thar" w:cs="KFGQPC Uthman Taha Naskh"/>
          <w:b/>
          <w:bCs/>
          <w:sz w:val="28"/>
          <w:rtl/>
          <w:lang w:bidi="ar-SY"/>
        </w:rPr>
        <w:t>عَلِيُّ بْنُ مُحَمَّدِ بْنِ أَبِي سَيْفٍ المَدَائِنِيِّ عَنْ فُضَيْلِ بْنِ الجَعْدِ قَال</w:t>
      </w:r>
      <w:r w:rsidR="00217AB4" w:rsidRPr="004A3642">
        <w:rPr>
          <w:rFonts w:ascii="Abo-thar" w:hAnsi="Abo-thar" w:cs="KFGQPC Uthman Taha Naskh" w:hint="cs"/>
          <w:b/>
          <w:bCs/>
          <w:sz w:val="28"/>
          <w:rtl/>
          <w:lang w:bidi="ar-SY"/>
        </w:rPr>
        <w:t>:</w:t>
      </w:r>
      <w:r w:rsidR="005C664D" w:rsidRPr="004A3642">
        <w:rPr>
          <w:rFonts w:ascii="Abo-thar" w:hAnsi="Abo-thar" w:cs="KFGQPC Uthman Taha Naskh" w:hint="cs"/>
          <w:b/>
          <w:bCs/>
          <w:sz w:val="28"/>
          <w:rtl/>
          <w:lang w:bidi="ar-SY"/>
        </w:rPr>
        <w:t xml:space="preserve"> </w:t>
      </w:r>
      <w:r w:rsidR="005C664D" w:rsidRPr="004A3642">
        <w:rPr>
          <w:rFonts w:ascii="Abo-thar" w:hAnsi="Abo-thar" w:cs="KFGQPC Uthman Taha Naskh"/>
          <w:b/>
          <w:bCs/>
          <w:sz w:val="28"/>
          <w:rtl/>
          <w:lang w:bidi="ar-SY"/>
        </w:rPr>
        <w:t xml:space="preserve">آكَدُ الأَسْبَابِ كَانَ فِي تَقَاعُدِ العَرَبِ عَنْ أَمِيرِ المُؤْمِنِينَ </w:t>
      </w:r>
      <w:r w:rsidR="003C7AEB" w:rsidRPr="003C7AEB">
        <w:rPr>
          <w:rFonts w:ascii="Abo-thar" w:hAnsi="Abo-thar" w:cs="CTraditional Arabic"/>
          <w:b/>
          <w:sz w:val="28"/>
          <w:rtl/>
          <w:lang w:bidi="ar-SY"/>
        </w:rPr>
        <w:t>÷</w:t>
      </w:r>
      <w:r w:rsidR="005C664D" w:rsidRPr="004A3642">
        <w:rPr>
          <w:rFonts w:ascii="Abo-thar" w:hAnsi="Abo-thar" w:cs="KFGQPC Uthman Taha Naskh"/>
          <w:b/>
          <w:bCs/>
          <w:sz w:val="28"/>
          <w:rtl/>
          <w:lang w:bidi="ar-SY"/>
        </w:rPr>
        <w:t xml:space="preserve"> أَمْرُ المَالِ</w:t>
      </w:r>
      <w:r w:rsidR="00217AB4" w:rsidRPr="004A3642">
        <w:rPr>
          <w:rFonts w:ascii="Abo-thar" w:hAnsi="Abo-thar" w:cs="KFGQPC Uthman Taha Naskh"/>
          <w:b/>
          <w:bCs/>
          <w:sz w:val="28"/>
          <w:rtl/>
          <w:lang w:bidi="ar-SY"/>
        </w:rPr>
        <w:t>،</w:t>
      </w:r>
      <w:r w:rsidR="005C664D" w:rsidRPr="004A3642">
        <w:rPr>
          <w:rFonts w:ascii="Abo-thar" w:hAnsi="Abo-thar" w:cs="KFGQPC Uthman Taha Naskh"/>
          <w:b/>
          <w:bCs/>
          <w:sz w:val="28"/>
          <w:rtl/>
          <w:lang w:bidi="ar-SY"/>
        </w:rPr>
        <w:t xml:space="preserve"> فَإِنَّهُ لَمْ يَكُنْ يُفَضِّلُ شَرِيفاً عَلَى مَشْرُوفٍ</w:t>
      </w:r>
      <w:r w:rsidR="00217AB4" w:rsidRPr="004A3642">
        <w:rPr>
          <w:rFonts w:ascii="Abo-thar" w:hAnsi="Abo-thar" w:cs="KFGQPC Uthman Taha Naskh"/>
          <w:b/>
          <w:bCs/>
          <w:sz w:val="28"/>
          <w:rtl/>
          <w:lang w:bidi="ar-SY"/>
        </w:rPr>
        <w:t>،</w:t>
      </w:r>
      <w:r w:rsidR="005C664D" w:rsidRPr="004A3642">
        <w:rPr>
          <w:rFonts w:ascii="Abo-thar" w:hAnsi="Abo-thar" w:cs="KFGQPC Uthman Taha Naskh"/>
          <w:b/>
          <w:bCs/>
          <w:sz w:val="28"/>
          <w:rtl/>
          <w:lang w:bidi="ar-SY"/>
        </w:rPr>
        <w:t xml:space="preserve"> وَلَا عَرَبِيّاً عَلَى عَجَمِيٍّ</w:t>
      </w:r>
      <w:r w:rsidR="00217AB4" w:rsidRPr="004A3642">
        <w:rPr>
          <w:rFonts w:ascii="Abo-thar" w:hAnsi="Abo-thar" w:cs="KFGQPC Uthman Taha Naskh" w:hint="cs"/>
          <w:sz w:val="28"/>
          <w:rtl/>
          <w:lang w:bidi="ar-SY"/>
        </w:rPr>
        <w:t>...</w:t>
      </w:r>
      <w:r w:rsidRPr="004A3642">
        <w:rPr>
          <w:rFonts w:ascii="Abo-thar" w:hAnsi="Abo-thar" w:cs="KFGQPC Uthman Taha Naskh" w:hint="cs"/>
          <w:sz w:val="28"/>
          <w:rtl/>
          <w:lang w:bidi="ar-SY"/>
        </w:rPr>
        <w:t>»</w:t>
      </w:r>
      <w:r w:rsidR="00217AB4" w:rsidRPr="0021507A">
        <w:rPr>
          <w:rFonts w:cs="Arabic11 BT"/>
          <w:b/>
          <w:sz w:val="28"/>
          <w:vertAlign w:val="superscript"/>
          <w:rtl/>
          <w:lang w:bidi="ar-SY"/>
        </w:rPr>
        <w:t>(</w:t>
      </w:r>
      <w:r w:rsidR="005C664D" w:rsidRPr="0021507A">
        <w:rPr>
          <w:rStyle w:val="FootnoteReference"/>
          <w:rFonts w:cs="Arabic11 BT"/>
          <w:b/>
          <w:sz w:val="28"/>
          <w:rtl/>
          <w:lang w:bidi="ar-SY"/>
        </w:rPr>
        <w:footnoteReference w:id="136"/>
      </w:r>
      <w:r w:rsidR="00217AB4" w:rsidRPr="0021507A">
        <w:rPr>
          <w:rFonts w:cs="Arabic11 BT"/>
          <w:b/>
          <w:sz w:val="28"/>
          <w:vertAlign w:val="superscript"/>
          <w:rtl/>
          <w:lang w:bidi="ar-SY"/>
        </w:rPr>
        <w:t>)</w:t>
      </w:r>
      <w:r w:rsidR="00217AB4" w:rsidRPr="003F3B94">
        <w:rPr>
          <w:rFonts w:hint="cs"/>
          <w:sz w:val="28"/>
          <w:rtl/>
          <w:lang w:bidi="ar-SY"/>
        </w:rPr>
        <w:t>.</w:t>
      </w:r>
    </w:p>
    <w:p w:rsidR="005C664D" w:rsidRPr="003F3B94" w:rsidRDefault="005C664D" w:rsidP="00833C06">
      <w:pPr>
        <w:pStyle w:val="a0"/>
        <w:ind w:left="624" w:hanging="340"/>
        <w:rPr>
          <w:rFonts w:hint="cs"/>
          <w:rtl/>
        </w:rPr>
      </w:pPr>
      <w:r w:rsidRPr="003F3B94">
        <w:rPr>
          <w:rFonts w:hint="cs"/>
          <w:sz w:val="28"/>
          <w:rtl/>
          <w:lang w:bidi="ar-SY"/>
        </w:rPr>
        <w:t>ألف</w:t>
      </w:r>
      <w:r w:rsidR="00217AB4" w:rsidRPr="003F3B94">
        <w:rPr>
          <w:rFonts w:hint="cs"/>
          <w:sz w:val="28"/>
          <w:rtl/>
          <w:lang w:bidi="ar-SY"/>
        </w:rPr>
        <w:t>-</w:t>
      </w:r>
      <w:r w:rsidRPr="003F3B94">
        <w:rPr>
          <w:rFonts w:hint="cs"/>
          <w:sz w:val="28"/>
          <w:rtl/>
          <w:lang w:bidi="ar-SY"/>
        </w:rPr>
        <w:t xml:space="preserve"> عندما اعترض عليه طلحة والزبير لأنه لم يميزهما على غيرهما في العطاء بل ساوى بينهما وبين أيَّ فرد عاديٍّ من أفراد الأمة</w:t>
      </w:r>
      <w:r w:rsidR="00217AB4" w:rsidRPr="003F3B94">
        <w:rPr>
          <w:rFonts w:hint="cs"/>
          <w:sz w:val="28"/>
          <w:rtl/>
          <w:lang w:bidi="ar-SY"/>
        </w:rPr>
        <w:t>،</w:t>
      </w:r>
      <w:r w:rsidRPr="003F3B94">
        <w:rPr>
          <w:rFonts w:hint="cs"/>
          <w:sz w:val="28"/>
          <w:rtl/>
          <w:lang w:bidi="ar-SY"/>
        </w:rPr>
        <w:t xml:space="preserve"> قال لهما بكل صراحة</w:t>
      </w:r>
      <w:r w:rsidR="00147857" w:rsidRPr="003F3B94">
        <w:rPr>
          <w:rFonts w:hint="cs"/>
          <w:sz w:val="28"/>
          <w:rtl/>
          <w:lang w:bidi="ar-SY"/>
        </w:rPr>
        <w:t xml:space="preserve"> و</w:t>
      </w:r>
      <w:r w:rsidRPr="003F3B94">
        <w:rPr>
          <w:rFonts w:hint="cs"/>
          <w:sz w:val="28"/>
          <w:rtl/>
          <w:lang w:bidi="ar-SY"/>
        </w:rPr>
        <w:t>وضوح</w:t>
      </w:r>
      <w:r w:rsidR="00217AB4" w:rsidRPr="003F3B94">
        <w:rPr>
          <w:rFonts w:hint="cs"/>
          <w:sz w:val="28"/>
          <w:rtl/>
          <w:lang w:bidi="ar-SY"/>
        </w:rPr>
        <w:t>:</w:t>
      </w:r>
      <w:r w:rsidRPr="003F3B94">
        <w:rPr>
          <w:rFonts w:hint="cs"/>
          <w:sz w:val="28"/>
          <w:rtl/>
          <w:lang w:bidi="ar-SY"/>
        </w:rPr>
        <w:t xml:space="preserve"> </w:t>
      </w:r>
      <w:r w:rsidR="00EF2588" w:rsidRPr="004A3642">
        <w:rPr>
          <w:rFonts w:cs="KFGQPC Uthman Taha Naskh" w:hint="cs"/>
          <w:sz w:val="28"/>
          <w:rtl/>
          <w:lang w:bidi="ar-SY"/>
        </w:rPr>
        <w:t>«</w:t>
      </w:r>
      <w:r w:rsidRPr="004A3642">
        <w:rPr>
          <w:rFonts w:cs="KFGQPC Uthman Taha Naskh"/>
          <w:b/>
          <w:bCs/>
          <w:sz w:val="28"/>
          <w:rtl/>
          <w:lang w:bidi="ar-SY"/>
        </w:rPr>
        <w:t>لا وَلكنكما شريكاي في الف</w:t>
      </w:r>
      <w:r w:rsidRPr="004A3642">
        <w:rPr>
          <w:rFonts w:cs="KFGQPC Uthman Taha Naskh" w:hint="cs"/>
          <w:b/>
          <w:bCs/>
          <w:sz w:val="28"/>
          <w:rtl/>
          <w:lang w:bidi="ar-SY"/>
        </w:rPr>
        <w:t>ي</w:t>
      </w:r>
      <w:r w:rsidRPr="004A3642">
        <w:rPr>
          <w:rFonts w:cs="KFGQPC Uthman Taha Naskh"/>
          <w:b/>
          <w:bCs/>
          <w:sz w:val="28"/>
          <w:rtl/>
          <w:lang w:bidi="ar-SY"/>
        </w:rPr>
        <w:t>‏ء</w:t>
      </w:r>
      <w:r w:rsidRPr="004A3642">
        <w:rPr>
          <w:rFonts w:cs="KFGQPC Uthman Taha Naskh" w:hint="cs"/>
          <w:b/>
          <w:bCs/>
          <w:sz w:val="28"/>
          <w:rtl/>
          <w:lang w:bidi="ar-SY"/>
        </w:rPr>
        <w:t xml:space="preserve"> والله </w:t>
      </w:r>
      <w:r w:rsidRPr="004A3642">
        <w:rPr>
          <w:rFonts w:cs="KFGQPC Uthman Taha Naskh"/>
          <w:b/>
          <w:bCs/>
          <w:sz w:val="28"/>
          <w:rtl/>
          <w:lang w:bidi="ar-SY"/>
        </w:rPr>
        <w:t xml:space="preserve">لا أستأثر عليكما وَلا على عبد </w:t>
      </w:r>
      <w:r w:rsidRPr="004A3642">
        <w:rPr>
          <w:rFonts w:cs="KFGQPC Uthman Taha Naskh" w:hint="cs"/>
          <w:b/>
          <w:bCs/>
          <w:sz w:val="28"/>
          <w:rtl/>
          <w:lang w:bidi="ar-SY"/>
        </w:rPr>
        <w:t>[</w:t>
      </w:r>
      <w:r w:rsidRPr="004A3642">
        <w:rPr>
          <w:rFonts w:cs="KFGQPC Uthman Taha Naskh"/>
          <w:b/>
          <w:bCs/>
          <w:sz w:val="28"/>
          <w:rtl/>
          <w:lang w:bidi="ar-SY"/>
        </w:rPr>
        <w:t>حبش</w:t>
      </w:r>
      <w:r w:rsidRPr="004A3642">
        <w:rPr>
          <w:rFonts w:cs="KFGQPC Uthman Taha Naskh" w:hint="cs"/>
          <w:b/>
          <w:bCs/>
          <w:sz w:val="28"/>
          <w:rtl/>
          <w:lang w:bidi="ar-SY"/>
        </w:rPr>
        <w:t>ي]</w:t>
      </w:r>
      <w:r w:rsidRPr="004A3642">
        <w:rPr>
          <w:rFonts w:cs="KFGQPC Uthman Taha Naskh"/>
          <w:b/>
          <w:bCs/>
          <w:sz w:val="28"/>
          <w:rtl/>
          <w:lang w:bidi="ar-SY"/>
        </w:rPr>
        <w:t xml:space="preserve"> مجدع بدرهم فما دونه لا أنا وَلا و</w:t>
      </w:r>
      <w:r w:rsidRPr="004A3642">
        <w:rPr>
          <w:rFonts w:cs="KFGQPC Uthman Taha Naskh" w:hint="cs"/>
          <w:b/>
          <w:bCs/>
          <w:sz w:val="28"/>
          <w:rtl/>
          <w:lang w:bidi="ar-SY"/>
        </w:rPr>
        <w:t>َ</w:t>
      </w:r>
      <w:r w:rsidRPr="004A3642">
        <w:rPr>
          <w:rFonts w:cs="KFGQPC Uthman Taha Naskh"/>
          <w:b/>
          <w:bCs/>
          <w:sz w:val="28"/>
          <w:rtl/>
          <w:lang w:bidi="ar-SY"/>
        </w:rPr>
        <w:t>ل</w:t>
      </w:r>
      <w:r w:rsidRPr="004A3642">
        <w:rPr>
          <w:rFonts w:cs="KFGQPC Uthman Taha Naskh" w:hint="cs"/>
          <w:b/>
          <w:bCs/>
          <w:sz w:val="28"/>
          <w:rtl/>
          <w:lang w:bidi="ar-SY"/>
        </w:rPr>
        <w:t>َ</w:t>
      </w:r>
      <w:r w:rsidRPr="004A3642">
        <w:rPr>
          <w:rFonts w:cs="KFGQPC Uthman Taha Naskh"/>
          <w:b/>
          <w:bCs/>
          <w:sz w:val="28"/>
          <w:rtl/>
          <w:lang w:bidi="ar-SY"/>
        </w:rPr>
        <w:t>د</w:t>
      </w:r>
      <w:r w:rsidRPr="004A3642">
        <w:rPr>
          <w:rFonts w:cs="KFGQPC Uthman Taha Naskh" w:hint="cs"/>
          <w:b/>
          <w:bCs/>
          <w:sz w:val="28"/>
          <w:rtl/>
          <w:lang w:bidi="ar-SY"/>
        </w:rPr>
        <w:t>َ</w:t>
      </w:r>
      <w:r w:rsidRPr="004A3642">
        <w:rPr>
          <w:rFonts w:cs="KFGQPC Uthman Taha Naskh"/>
          <w:b/>
          <w:bCs/>
          <w:sz w:val="28"/>
          <w:rtl/>
          <w:lang w:bidi="ar-SY"/>
        </w:rPr>
        <w:t>اي هذان‏</w:t>
      </w:r>
      <w:r w:rsidRPr="004A3642">
        <w:rPr>
          <w:rFonts w:cs="KFGQPC Uthman Taha Naskh" w:hint="cs"/>
          <w:b/>
          <w:bCs/>
          <w:sz w:val="28"/>
          <w:rtl/>
          <w:lang w:bidi="ar-SY"/>
        </w:rPr>
        <w:t xml:space="preserve"> الحسن والحسين</w:t>
      </w:r>
      <w:r w:rsidR="00EF2588" w:rsidRPr="004A3642">
        <w:rPr>
          <w:rFonts w:cs="KFGQPC Uthman Taha Naskh" w:hint="cs"/>
          <w:sz w:val="28"/>
          <w:rtl/>
          <w:lang w:bidi="ar-SY"/>
        </w:rPr>
        <w:t>»</w:t>
      </w:r>
      <w:r w:rsidR="00217AB4" w:rsidRPr="0021507A">
        <w:rPr>
          <w:rFonts w:cs="Arabic11 BT"/>
          <w:b/>
          <w:sz w:val="28"/>
          <w:vertAlign w:val="superscript"/>
          <w:rtl/>
          <w:lang w:bidi="ar-SY"/>
        </w:rPr>
        <w:t>(</w:t>
      </w:r>
      <w:r w:rsidRPr="0021507A">
        <w:rPr>
          <w:rStyle w:val="FootnoteReference"/>
          <w:rFonts w:cs="Arabic11 BT"/>
          <w:b/>
          <w:sz w:val="28"/>
          <w:rtl/>
          <w:lang w:bidi="ar-SY"/>
        </w:rPr>
        <w:footnoteReference w:id="137"/>
      </w:r>
      <w:r w:rsidR="00217AB4" w:rsidRPr="0021507A">
        <w:rPr>
          <w:rFonts w:cs="Arabic11 BT"/>
          <w:b/>
          <w:sz w:val="28"/>
          <w:vertAlign w:val="superscript"/>
          <w:rtl/>
          <w:lang w:bidi="ar-SY"/>
        </w:rPr>
        <w:t>)</w:t>
      </w:r>
      <w:r w:rsidR="00217AB4" w:rsidRPr="003F3B94">
        <w:rPr>
          <w:rFonts w:hint="cs"/>
          <w:sz w:val="28"/>
          <w:rtl/>
          <w:lang w:bidi="ar-SY"/>
        </w:rPr>
        <w:t>.</w:t>
      </w:r>
    </w:p>
    <w:p w:rsidR="005C664D" w:rsidRPr="003F3B94" w:rsidRDefault="005C664D" w:rsidP="00833C06">
      <w:pPr>
        <w:pStyle w:val="a0"/>
        <w:ind w:left="624" w:hanging="340"/>
        <w:rPr>
          <w:rFonts w:hint="cs"/>
          <w:rtl/>
        </w:rPr>
      </w:pPr>
      <w:r w:rsidRPr="003F3B94">
        <w:rPr>
          <w:rFonts w:hint="cs"/>
          <w:sz w:val="28"/>
          <w:rtl/>
        </w:rPr>
        <w:t>ب</w:t>
      </w:r>
      <w:r w:rsidR="00217AB4" w:rsidRPr="003F3B94">
        <w:rPr>
          <w:rFonts w:hint="cs"/>
          <w:sz w:val="28"/>
          <w:rtl/>
        </w:rPr>
        <w:t>-</w:t>
      </w:r>
      <w:r w:rsidRPr="003F3B94">
        <w:rPr>
          <w:rFonts w:hint="cs"/>
          <w:sz w:val="28"/>
          <w:rtl/>
        </w:rPr>
        <w:t xml:space="preserve"> جاء «نهج البلاغة»</w:t>
      </w:r>
      <w:r w:rsidR="00217AB4" w:rsidRPr="003F3B94">
        <w:rPr>
          <w:rFonts w:hint="cs"/>
          <w:sz w:val="28"/>
          <w:rtl/>
        </w:rPr>
        <w:t>:</w:t>
      </w:r>
      <w:r w:rsidRPr="003F3B94">
        <w:rPr>
          <w:rFonts w:hint="cs"/>
          <w:sz w:val="28"/>
          <w:rtl/>
        </w:rPr>
        <w:t xml:space="preserve"> </w:t>
      </w:r>
      <w:r w:rsidR="00EF2588" w:rsidRPr="004A3642">
        <w:rPr>
          <w:rFonts w:cs="KFGQPC Uthman Taha Naskh" w:hint="cs"/>
          <w:sz w:val="28"/>
          <w:rtl/>
        </w:rPr>
        <w:t>«</w:t>
      </w:r>
      <w:r w:rsidRPr="004A3642">
        <w:rPr>
          <w:rFonts w:cs="KFGQPC Uthman Taha Naskh"/>
          <w:b/>
          <w:bCs/>
          <w:sz w:val="28"/>
          <w:rtl/>
        </w:rPr>
        <w:t xml:space="preserve">وَمن كلام له </w:t>
      </w:r>
      <w:r w:rsidRPr="004A3642">
        <w:rPr>
          <w:rFonts w:ascii="Abo-thar" w:hAnsi="Abo-thar" w:cs="KFGQPC Uthman Taha Naskh" w:hint="cs"/>
          <w:b/>
          <w:bCs/>
          <w:sz w:val="28"/>
          <w:rtl/>
        </w:rPr>
        <w:t>ِ</w:t>
      </w:r>
      <w:r w:rsidR="003C7AEB" w:rsidRPr="003C7AEB">
        <w:rPr>
          <w:rFonts w:ascii="Abo-thar" w:hAnsi="Abo-thar" w:cs="CTraditional Arabic"/>
          <w:sz w:val="28"/>
          <w:rtl/>
        </w:rPr>
        <w:t>÷</w:t>
      </w:r>
      <w:r w:rsidR="00147857" w:rsidRPr="004A3642">
        <w:rPr>
          <w:rFonts w:ascii="Abo-thar" w:hAnsi="Abo-thar" w:cs="KFGQPC Uthman Taha Naskh"/>
          <w:sz w:val="28"/>
          <w:rtl/>
        </w:rPr>
        <w:t xml:space="preserve"> </w:t>
      </w:r>
      <w:r w:rsidRPr="004A3642">
        <w:rPr>
          <w:rFonts w:cs="KFGQPC Uthman Taha Naskh"/>
          <w:b/>
          <w:bCs/>
          <w:sz w:val="28"/>
          <w:rtl/>
        </w:rPr>
        <w:t>لما عوتب على التسوية في العطاء</w:t>
      </w:r>
      <w:r w:rsidR="00217AB4" w:rsidRPr="004A3642">
        <w:rPr>
          <w:rFonts w:cs="KFGQPC Uthman Taha Naskh" w:hint="cs"/>
          <w:b/>
          <w:bCs/>
          <w:sz w:val="28"/>
          <w:rtl/>
        </w:rPr>
        <w:t>:</w:t>
      </w:r>
      <w:r w:rsidR="00147857" w:rsidRPr="004A3642">
        <w:rPr>
          <w:rFonts w:cs="KFGQPC Uthman Taha Naskh" w:hint="cs"/>
          <w:b/>
          <w:bCs/>
          <w:sz w:val="28"/>
          <w:rtl/>
        </w:rPr>
        <w:t xml:space="preserve"> </w:t>
      </w:r>
      <w:r w:rsidRPr="004A3642">
        <w:rPr>
          <w:rFonts w:cs="KFGQPC Uthman Taha Naskh"/>
          <w:b/>
          <w:bCs/>
          <w:sz w:val="28"/>
          <w:rtl/>
        </w:rPr>
        <w:t>أَتَأْمُرُونِّي أَنْ أَطْلُبَ النَّصْ</w:t>
      </w:r>
      <w:r w:rsidRPr="004A3642">
        <w:rPr>
          <w:rFonts w:cs="KFGQPC Uthman Taha Naskh" w:hint="cs"/>
          <w:b/>
          <w:bCs/>
          <w:sz w:val="28"/>
          <w:rtl/>
        </w:rPr>
        <w:t>ـ</w:t>
      </w:r>
      <w:r w:rsidRPr="004A3642">
        <w:rPr>
          <w:rFonts w:cs="KFGQPC Uthman Taha Naskh"/>
          <w:b/>
          <w:bCs/>
          <w:sz w:val="28"/>
          <w:rtl/>
        </w:rPr>
        <w:t>رَ بِالجَوْرِ فِيمَنْ وُلِّيتُ عَلَيْهِ</w:t>
      </w:r>
      <w:r w:rsidR="00217AB4" w:rsidRPr="004A3642">
        <w:rPr>
          <w:rFonts w:cs="KFGQPC Uthman Taha Naskh" w:hint="cs"/>
          <w:b/>
          <w:bCs/>
          <w:sz w:val="28"/>
          <w:rtl/>
        </w:rPr>
        <w:t>؟!</w:t>
      </w:r>
      <w:r w:rsidRPr="004A3642">
        <w:rPr>
          <w:rFonts w:cs="KFGQPC Uthman Taha Naskh"/>
          <w:b/>
          <w:bCs/>
          <w:sz w:val="28"/>
          <w:rtl/>
        </w:rPr>
        <w:t xml:space="preserve"> وَاللهِ لَا أَطُورُ بِهِ مَا سَمَرَ سَمِيرٌ وَمَا أَمَّ نَجْمٌ فِي السَّمَاءِ نَجْماً</w:t>
      </w:r>
      <w:r w:rsidR="00217AB4" w:rsidRPr="004A3642">
        <w:rPr>
          <w:rFonts w:cs="KFGQPC Uthman Taha Naskh" w:hint="cs"/>
          <w:b/>
          <w:bCs/>
          <w:sz w:val="28"/>
          <w:rtl/>
        </w:rPr>
        <w:t>.</w:t>
      </w:r>
      <w:r w:rsidR="00147857" w:rsidRPr="004A3642">
        <w:rPr>
          <w:rFonts w:cs="KFGQPC Uthman Taha Naskh" w:hint="cs"/>
          <w:b/>
          <w:bCs/>
          <w:sz w:val="28"/>
          <w:rtl/>
        </w:rPr>
        <w:t xml:space="preserve"> </w:t>
      </w:r>
      <w:r w:rsidRPr="004A3642">
        <w:rPr>
          <w:rFonts w:cs="KFGQPC Uthman Taha Naskh"/>
          <w:b/>
          <w:bCs/>
          <w:sz w:val="28"/>
          <w:rtl/>
        </w:rPr>
        <w:t>لَوْ كَانَ المَالُ لِي لَسَوَّيْتُ بَيْنَهُمْ فَكَيْفَ وَإِنَّمَا المَالُ مَالُ اللهِ</w:t>
      </w:r>
      <w:r w:rsidR="00FB6445" w:rsidRPr="004A3642">
        <w:rPr>
          <w:rFonts w:cs="KFGQPC Uthman Taha Naskh" w:hint="cs"/>
          <w:b/>
          <w:bCs/>
          <w:sz w:val="28"/>
          <w:rtl/>
        </w:rPr>
        <w:t>»</w:t>
      </w:r>
      <w:r w:rsidR="00FA394B" w:rsidRPr="0021507A">
        <w:rPr>
          <w:rFonts w:cs="Arabic11 BT"/>
          <w:sz w:val="28"/>
          <w:vertAlign w:val="superscript"/>
          <w:rtl/>
        </w:rPr>
        <w:t>(</w:t>
      </w:r>
      <w:r w:rsidR="00FA394B" w:rsidRPr="0021507A">
        <w:rPr>
          <w:rStyle w:val="FootnoteReference"/>
          <w:rFonts w:cs="Arabic11 BT"/>
          <w:sz w:val="28"/>
          <w:rtl/>
        </w:rPr>
        <w:footnoteReference w:id="138"/>
      </w:r>
      <w:r w:rsidR="00FA394B" w:rsidRPr="0021507A">
        <w:rPr>
          <w:rFonts w:cs="Arabic11 BT"/>
          <w:sz w:val="28"/>
          <w:vertAlign w:val="superscript"/>
          <w:rtl/>
        </w:rPr>
        <w:t>)</w:t>
      </w:r>
      <w:r w:rsidR="00FB6445" w:rsidRPr="003F3B94">
        <w:rPr>
          <w:rFonts w:hint="cs"/>
          <w:sz w:val="28"/>
          <w:rtl/>
        </w:rPr>
        <w:t>.</w:t>
      </w:r>
    </w:p>
    <w:p w:rsidR="005C664D" w:rsidRPr="003F3B94" w:rsidRDefault="005C664D" w:rsidP="00833C06">
      <w:pPr>
        <w:pStyle w:val="a0"/>
        <w:ind w:left="624" w:hanging="340"/>
        <w:rPr>
          <w:rFonts w:hint="cs"/>
          <w:rtl/>
        </w:rPr>
      </w:pPr>
      <w:r w:rsidRPr="003F3B94">
        <w:rPr>
          <w:rFonts w:hint="cs"/>
          <w:sz w:val="28"/>
          <w:rtl/>
        </w:rPr>
        <w:t>ج</w:t>
      </w:r>
      <w:r w:rsidR="00217AB4" w:rsidRPr="003F3B94">
        <w:rPr>
          <w:rFonts w:hint="cs"/>
          <w:sz w:val="28"/>
          <w:rtl/>
        </w:rPr>
        <w:t>-</w:t>
      </w:r>
      <w:r w:rsidRPr="003F3B94">
        <w:rPr>
          <w:rFonts w:hint="cs"/>
          <w:sz w:val="28"/>
          <w:rtl/>
        </w:rPr>
        <w:t xml:space="preserve"> وفي روضة الكافي </w:t>
      </w:r>
      <w:r w:rsidR="00FA394B" w:rsidRPr="003F3B94">
        <w:rPr>
          <w:rFonts w:hint="cs"/>
          <w:sz w:val="28"/>
          <w:rtl/>
        </w:rPr>
        <w:t>و وسائل الشيعة</w:t>
      </w:r>
      <w:r w:rsidR="00217AB4" w:rsidRPr="003F3B94">
        <w:rPr>
          <w:rFonts w:hint="cs"/>
          <w:sz w:val="28"/>
          <w:rtl/>
        </w:rPr>
        <w:t>:</w:t>
      </w:r>
      <w:r w:rsidRPr="003F3B94">
        <w:rPr>
          <w:rFonts w:hint="cs"/>
          <w:sz w:val="28"/>
          <w:rtl/>
        </w:rPr>
        <w:t xml:space="preserve"> </w:t>
      </w:r>
      <w:r w:rsidR="00EF2588" w:rsidRPr="004A3642">
        <w:rPr>
          <w:rFonts w:cs="KFGQPC Uthman Taha Naskh" w:hint="cs"/>
          <w:sz w:val="28"/>
          <w:rtl/>
        </w:rPr>
        <w:t>«</w:t>
      </w:r>
      <w:r w:rsidR="00217AB4" w:rsidRPr="004A3642">
        <w:rPr>
          <w:rFonts w:cs="KFGQPC Uthman Taha Naskh" w:hint="cs"/>
          <w:sz w:val="28"/>
          <w:rtl/>
        </w:rPr>
        <w:t>...</w:t>
      </w:r>
      <w:r w:rsidRPr="004A3642">
        <w:rPr>
          <w:rFonts w:cs="KFGQPC Uthman Taha Naskh"/>
          <w:b/>
          <w:bCs/>
          <w:sz w:val="28"/>
          <w:rtl/>
        </w:rPr>
        <w:t xml:space="preserve">عَنْ مُحَمَّدِ بْنِ مُسْلِمٍ عَنْ أَبِي عَبْدِ اللهِ </w:t>
      </w:r>
      <w:r w:rsidR="00BC4BA9" w:rsidRPr="00BC4BA9">
        <w:rPr>
          <w:rFonts w:cs="CTraditional Arabic" w:hint="cs"/>
          <w:b/>
          <w:sz w:val="28"/>
          <w:rtl/>
        </w:rPr>
        <w:t>÷</w:t>
      </w:r>
      <w:r w:rsidRPr="004A3642">
        <w:rPr>
          <w:rFonts w:cs="KFGQPC Uthman Taha Naskh"/>
          <w:b/>
          <w:bCs/>
          <w:sz w:val="28"/>
          <w:rtl/>
        </w:rPr>
        <w:t xml:space="preserve"> قَالَ</w:t>
      </w:r>
      <w:r w:rsidR="00217AB4" w:rsidRPr="004A3642">
        <w:rPr>
          <w:rFonts w:cs="KFGQPC Uthman Taha Naskh" w:hint="cs"/>
          <w:b/>
          <w:bCs/>
          <w:sz w:val="28"/>
          <w:rtl/>
        </w:rPr>
        <w:t>:</w:t>
      </w:r>
      <w:r w:rsidRPr="004A3642">
        <w:rPr>
          <w:rFonts w:cs="KFGQPC Uthman Taha Naskh"/>
          <w:b/>
          <w:bCs/>
          <w:sz w:val="28"/>
          <w:rtl/>
        </w:rPr>
        <w:t xml:space="preserve"> لَمَّا وُلِّيَ عَلِيٌّ </w:t>
      </w:r>
      <w:r w:rsidR="00BC4BA9" w:rsidRPr="00BC4BA9">
        <w:rPr>
          <w:rFonts w:cs="CTraditional Arabic" w:hint="cs"/>
          <w:b/>
          <w:sz w:val="28"/>
          <w:rtl/>
        </w:rPr>
        <w:t>÷</w:t>
      </w:r>
      <w:r w:rsidRPr="004A3642">
        <w:rPr>
          <w:rFonts w:cs="KFGQPC Uthman Taha Naskh"/>
          <w:b/>
          <w:bCs/>
          <w:sz w:val="28"/>
          <w:rtl/>
        </w:rPr>
        <w:t xml:space="preserve"> صَعِدَ المِنْبَرَ فَحَمِدَ اللهَ وَأَثْنَى عَلَيْهِ ثُمَّ قَالَ</w:t>
      </w:r>
      <w:r w:rsidR="00217AB4" w:rsidRPr="004A3642">
        <w:rPr>
          <w:rFonts w:cs="KFGQPC Uthman Taha Naskh" w:hint="cs"/>
          <w:b/>
          <w:bCs/>
          <w:sz w:val="28"/>
          <w:rtl/>
        </w:rPr>
        <w:t>:</w:t>
      </w:r>
      <w:r w:rsidRPr="004A3642">
        <w:rPr>
          <w:rFonts w:cs="KFGQPC Uthman Taha Naskh"/>
          <w:b/>
          <w:bCs/>
          <w:sz w:val="28"/>
          <w:rtl/>
        </w:rPr>
        <w:t xml:space="preserve"> أَمَا إِنِّي وَاللهِ مَا أَرْزَؤُكُمْ</w:t>
      </w:r>
      <w:r w:rsidR="00217AB4" w:rsidRPr="004A3642">
        <w:rPr>
          <w:rFonts w:cs="KFGQPC Uthman Taha Naskh"/>
          <w:b/>
          <w:sz w:val="28"/>
          <w:vertAlign w:val="superscript"/>
          <w:rtl/>
        </w:rPr>
        <w:t>(</w:t>
      </w:r>
      <w:r w:rsidRPr="004A3642">
        <w:rPr>
          <w:rStyle w:val="FootnoteReference"/>
          <w:rFonts w:cs="KFGQPC Uthman Taha Naskh"/>
          <w:b/>
          <w:sz w:val="28"/>
          <w:rtl/>
        </w:rPr>
        <w:footnoteReference w:id="139"/>
      </w:r>
      <w:r w:rsidR="00217AB4" w:rsidRPr="004A3642">
        <w:rPr>
          <w:rFonts w:cs="KFGQPC Uthman Taha Naskh"/>
          <w:b/>
          <w:sz w:val="28"/>
          <w:vertAlign w:val="superscript"/>
          <w:rtl/>
        </w:rPr>
        <w:t>)</w:t>
      </w:r>
      <w:r w:rsidRPr="004A3642">
        <w:rPr>
          <w:rFonts w:cs="KFGQPC Uthman Taha Naskh"/>
          <w:b/>
          <w:bCs/>
          <w:sz w:val="28"/>
          <w:rtl/>
        </w:rPr>
        <w:t>مِنْ فَيْئِكُمْ هَذَا دِرْهَماً مَا قَامَ لِي عِذْقٌ بِيَثْرِبَ</w:t>
      </w:r>
      <w:r w:rsidR="00217AB4" w:rsidRPr="004A3642">
        <w:rPr>
          <w:rFonts w:cs="KFGQPC Uthman Taha Naskh" w:hint="cs"/>
          <w:b/>
          <w:bCs/>
          <w:sz w:val="28"/>
          <w:rtl/>
        </w:rPr>
        <w:t>،</w:t>
      </w:r>
      <w:r w:rsidRPr="004A3642">
        <w:rPr>
          <w:rFonts w:cs="KFGQPC Uthman Taha Naskh"/>
          <w:b/>
          <w:bCs/>
          <w:sz w:val="28"/>
          <w:rtl/>
        </w:rPr>
        <w:t xml:space="preserve"> فَلْتَصْدُقْكُمْ أَنْفُسُكُمْ</w:t>
      </w:r>
      <w:r w:rsidR="00217AB4" w:rsidRPr="004A3642">
        <w:rPr>
          <w:rFonts w:cs="KFGQPC Uthman Taha Naskh" w:hint="cs"/>
          <w:b/>
          <w:bCs/>
          <w:sz w:val="28"/>
          <w:rtl/>
        </w:rPr>
        <w:t>،</w:t>
      </w:r>
      <w:r w:rsidRPr="004A3642">
        <w:rPr>
          <w:rFonts w:cs="KFGQPC Uthman Taha Naskh"/>
          <w:b/>
          <w:bCs/>
          <w:sz w:val="28"/>
          <w:rtl/>
        </w:rPr>
        <w:t xml:space="preserve"> أَفَتَرَوْنِي مَانِعاً نَفْسِي وَمُعْطِيَكُمْ</w:t>
      </w:r>
      <w:r w:rsidR="00217AB4" w:rsidRPr="004A3642">
        <w:rPr>
          <w:rFonts w:cs="KFGQPC Uthman Taha Naskh" w:hint="cs"/>
          <w:b/>
          <w:bCs/>
          <w:sz w:val="28"/>
          <w:rtl/>
        </w:rPr>
        <w:t>؟؟</w:t>
      </w:r>
      <w:r w:rsidR="00147857" w:rsidRPr="004A3642">
        <w:rPr>
          <w:rFonts w:cs="KFGQPC Uthman Taha Naskh" w:hint="cs"/>
          <w:b/>
          <w:bCs/>
          <w:sz w:val="28"/>
          <w:rtl/>
        </w:rPr>
        <w:t xml:space="preserve"> </w:t>
      </w:r>
      <w:r w:rsidRPr="004A3642">
        <w:rPr>
          <w:rFonts w:cs="KFGQPC Uthman Taha Naskh"/>
          <w:b/>
          <w:bCs/>
          <w:sz w:val="28"/>
          <w:rtl/>
        </w:rPr>
        <w:t>قَالَ</w:t>
      </w:r>
      <w:r w:rsidR="00217AB4" w:rsidRPr="004A3642">
        <w:rPr>
          <w:rFonts w:cs="KFGQPC Uthman Taha Naskh" w:hint="cs"/>
          <w:b/>
          <w:bCs/>
          <w:sz w:val="28"/>
          <w:rtl/>
        </w:rPr>
        <w:t>:</w:t>
      </w:r>
      <w:r w:rsidRPr="004A3642">
        <w:rPr>
          <w:rFonts w:cs="KFGQPC Uthman Taha Naskh"/>
          <w:b/>
          <w:bCs/>
          <w:sz w:val="28"/>
          <w:rtl/>
        </w:rPr>
        <w:t xml:space="preserve"> فَقَامَ إِلَيْهِ عَقِيلٌ كَرَّمَ اللهُ وَجْهَهُ فَقَالَ</w:t>
      </w:r>
      <w:r w:rsidR="00217AB4" w:rsidRPr="004A3642">
        <w:rPr>
          <w:rFonts w:cs="KFGQPC Uthman Taha Naskh" w:hint="cs"/>
          <w:b/>
          <w:bCs/>
          <w:sz w:val="28"/>
          <w:rtl/>
        </w:rPr>
        <w:t>:</w:t>
      </w:r>
      <w:r w:rsidRPr="004A3642">
        <w:rPr>
          <w:rFonts w:cs="KFGQPC Uthman Taha Naskh"/>
          <w:b/>
          <w:bCs/>
          <w:sz w:val="28"/>
          <w:rtl/>
        </w:rPr>
        <w:t xml:space="preserve"> فَتَجْعَلُنِي وَأَسْوَدَ فِي المَدِينَةِ سَوَاءً</w:t>
      </w:r>
      <w:r w:rsidR="00217AB4" w:rsidRPr="004A3642">
        <w:rPr>
          <w:rFonts w:cs="KFGQPC Uthman Taha Naskh" w:hint="cs"/>
          <w:b/>
          <w:bCs/>
          <w:sz w:val="28"/>
          <w:rtl/>
        </w:rPr>
        <w:t>؟؟</w:t>
      </w:r>
      <w:r w:rsidRPr="004A3642">
        <w:rPr>
          <w:rFonts w:cs="KFGQPC Uthman Taha Naskh"/>
          <w:b/>
          <w:bCs/>
          <w:sz w:val="28"/>
          <w:rtl/>
        </w:rPr>
        <w:t xml:space="preserve"> فَقَالَ</w:t>
      </w:r>
      <w:r w:rsidR="00217AB4" w:rsidRPr="004A3642">
        <w:rPr>
          <w:rFonts w:cs="KFGQPC Uthman Taha Naskh" w:hint="cs"/>
          <w:b/>
          <w:bCs/>
          <w:sz w:val="28"/>
          <w:rtl/>
        </w:rPr>
        <w:t>:</w:t>
      </w:r>
      <w:r w:rsidRPr="004A3642">
        <w:rPr>
          <w:rFonts w:cs="KFGQPC Uthman Taha Naskh"/>
          <w:b/>
          <w:bCs/>
          <w:sz w:val="28"/>
          <w:rtl/>
        </w:rPr>
        <w:t xml:space="preserve"> اجْلِسْ مَا كَانَ هَاهُنَا أَحَدٌ يَتَكَلَّمُ غَيْرُكَ وَمَا فَضْلُكَ عَلَيْهِ إِلَّا بِسَابِقَةٍ أَوْ تَقْوَى</w:t>
      </w:r>
      <w:r w:rsidR="00FB6445" w:rsidRPr="004A3642">
        <w:rPr>
          <w:rFonts w:cs="KFGQPC Uthman Taha Naskh" w:hint="cs"/>
          <w:b/>
          <w:bCs/>
          <w:sz w:val="28"/>
          <w:rtl/>
        </w:rPr>
        <w:t>»</w:t>
      </w:r>
      <w:r w:rsidR="00217AB4" w:rsidRPr="0021507A">
        <w:rPr>
          <w:rFonts w:cs="Arabic11 BT"/>
          <w:b/>
          <w:sz w:val="28"/>
          <w:vertAlign w:val="superscript"/>
          <w:rtl/>
        </w:rPr>
        <w:t>(</w:t>
      </w:r>
      <w:r w:rsidRPr="0021507A">
        <w:rPr>
          <w:rStyle w:val="FootnoteReference"/>
          <w:rFonts w:cs="Arabic11 BT"/>
          <w:b/>
          <w:sz w:val="28"/>
          <w:rtl/>
        </w:rPr>
        <w:footnoteReference w:id="140"/>
      </w:r>
      <w:r w:rsidR="00217AB4" w:rsidRPr="0021507A">
        <w:rPr>
          <w:rFonts w:cs="Arabic11 BT"/>
          <w:b/>
          <w:sz w:val="28"/>
          <w:vertAlign w:val="superscript"/>
          <w:rtl/>
        </w:rPr>
        <w:t>)</w:t>
      </w:r>
      <w:r w:rsidR="00217AB4" w:rsidRPr="003F3B94">
        <w:rPr>
          <w:rFonts w:hint="cs"/>
          <w:sz w:val="28"/>
          <w:rtl/>
        </w:rPr>
        <w:t>.</w:t>
      </w:r>
    </w:p>
    <w:p w:rsidR="005C664D" w:rsidRPr="003F3B94" w:rsidRDefault="005C664D" w:rsidP="00833C06">
      <w:pPr>
        <w:pStyle w:val="a0"/>
        <w:ind w:left="624" w:firstLine="0"/>
        <w:rPr>
          <w:rFonts w:hint="cs"/>
          <w:rtl/>
        </w:rPr>
      </w:pPr>
      <w:r w:rsidRPr="003F3B94">
        <w:rPr>
          <w:rFonts w:hint="cs"/>
          <w:sz w:val="28"/>
          <w:rtl/>
        </w:rPr>
        <w:t>أي أنه لو كان هناك فضلٌ لأحد على أحد فهو التفاضل في السابقة في الإسلام أو في التقوى</w:t>
      </w:r>
      <w:r w:rsidR="00147857" w:rsidRPr="003F3B94">
        <w:rPr>
          <w:rFonts w:hint="cs"/>
          <w:sz w:val="28"/>
          <w:rtl/>
        </w:rPr>
        <w:t xml:space="preserve"> و</w:t>
      </w:r>
      <w:r w:rsidRPr="003F3B94">
        <w:rPr>
          <w:rFonts w:hint="cs"/>
          <w:sz w:val="28"/>
          <w:rtl/>
        </w:rPr>
        <w:t>أجر كلا الأمرين عند الله وحده يوم القيامة</w:t>
      </w:r>
      <w:r w:rsidR="00217AB4" w:rsidRPr="003F3B94">
        <w:rPr>
          <w:rFonts w:hint="cs"/>
          <w:sz w:val="28"/>
          <w:rtl/>
        </w:rPr>
        <w:t>.</w:t>
      </w:r>
    </w:p>
    <w:p w:rsidR="005C664D" w:rsidRPr="003F3B94" w:rsidRDefault="005C664D" w:rsidP="00833C06">
      <w:pPr>
        <w:pStyle w:val="a0"/>
        <w:spacing w:after="0"/>
        <w:ind w:left="624" w:hanging="340"/>
        <w:rPr>
          <w:rFonts w:hint="cs"/>
          <w:rtl/>
        </w:rPr>
      </w:pPr>
      <w:r w:rsidRPr="003F3B94">
        <w:rPr>
          <w:rFonts w:hint="cs"/>
          <w:sz w:val="28"/>
          <w:rtl/>
        </w:rPr>
        <w:t xml:space="preserve">د </w:t>
      </w:r>
      <w:r w:rsidRPr="003F3B94">
        <w:rPr>
          <w:rFonts w:cs="Times New Roman" w:hint="cs"/>
          <w:sz w:val="28"/>
          <w:rtl/>
        </w:rPr>
        <w:t>–</w:t>
      </w:r>
      <w:r w:rsidRPr="003F3B94">
        <w:rPr>
          <w:rFonts w:hint="cs"/>
          <w:sz w:val="28"/>
          <w:rtl/>
        </w:rPr>
        <w:t xml:space="preserve"> </w:t>
      </w:r>
      <w:r w:rsidRPr="003F3B94">
        <w:rPr>
          <w:rFonts w:ascii="mylotus" w:hAnsi="mylotus" w:hint="cs"/>
          <w:sz w:val="28"/>
          <w:rtl/>
        </w:rPr>
        <w:t>في</w:t>
      </w:r>
      <w:r w:rsidRPr="003F3B94">
        <w:rPr>
          <w:rFonts w:hint="cs"/>
          <w:sz w:val="28"/>
          <w:rtl/>
        </w:rPr>
        <w:t xml:space="preserve"> </w:t>
      </w:r>
      <w:r w:rsidRPr="003F3B94">
        <w:rPr>
          <w:rFonts w:ascii="mylotus" w:hAnsi="mylotus" w:hint="cs"/>
          <w:sz w:val="28"/>
          <w:rtl/>
        </w:rPr>
        <w:t>المجلد</w:t>
      </w:r>
      <w:r w:rsidRPr="003F3B94">
        <w:rPr>
          <w:rFonts w:hint="cs"/>
          <w:sz w:val="28"/>
          <w:rtl/>
        </w:rPr>
        <w:t xml:space="preserve"> </w:t>
      </w:r>
      <w:r w:rsidRPr="003F3B94">
        <w:rPr>
          <w:rFonts w:ascii="mylotus" w:hAnsi="mylotus" w:hint="cs"/>
          <w:sz w:val="28"/>
          <w:rtl/>
        </w:rPr>
        <w:t>الثامن</w:t>
      </w:r>
      <w:r w:rsidRPr="003F3B94">
        <w:rPr>
          <w:rFonts w:hint="cs"/>
          <w:sz w:val="28"/>
          <w:rtl/>
        </w:rPr>
        <w:t xml:space="preserve"> </w:t>
      </w:r>
      <w:r w:rsidRPr="003F3B94">
        <w:rPr>
          <w:rFonts w:ascii="mylotus" w:hAnsi="mylotus" w:hint="cs"/>
          <w:sz w:val="28"/>
          <w:rtl/>
        </w:rPr>
        <w:t>من</w:t>
      </w:r>
      <w:r w:rsidRPr="003F3B94">
        <w:rPr>
          <w:rFonts w:hint="cs"/>
          <w:sz w:val="28"/>
          <w:rtl/>
        </w:rPr>
        <w:t xml:space="preserve"> </w:t>
      </w:r>
      <w:r w:rsidRPr="003F3B94">
        <w:rPr>
          <w:rFonts w:ascii="mylotus" w:hAnsi="mylotus" w:hint="cs"/>
          <w:sz w:val="28"/>
          <w:rtl/>
        </w:rPr>
        <w:t>بحار</w:t>
      </w:r>
      <w:r w:rsidRPr="003F3B94">
        <w:rPr>
          <w:rFonts w:hint="cs"/>
          <w:sz w:val="28"/>
          <w:rtl/>
        </w:rPr>
        <w:t xml:space="preserve"> </w:t>
      </w:r>
      <w:r w:rsidRPr="003F3B94">
        <w:rPr>
          <w:rFonts w:ascii="mylotus" w:hAnsi="mylotus" w:hint="cs"/>
          <w:sz w:val="28"/>
          <w:rtl/>
        </w:rPr>
        <w:t>الأنوار</w:t>
      </w:r>
      <w:r w:rsidRPr="003F3B94">
        <w:rPr>
          <w:rFonts w:hint="cs"/>
          <w:sz w:val="28"/>
          <w:rtl/>
        </w:rPr>
        <w:t xml:space="preserve"> </w:t>
      </w:r>
      <w:r w:rsidRPr="003F3B94">
        <w:rPr>
          <w:rFonts w:ascii="mylotus" w:hAnsi="mylotus" w:hint="cs"/>
          <w:sz w:val="28"/>
          <w:rtl/>
        </w:rPr>
        <w:t>نقلاً</w:t>
      </w:r>
      <w:r w:rsidRPr="003F3B94">
        <w:rPr>
          <w:rFonts w:hint="cs"/>
          <w:sz w:val="28"/>
          <w:rtl/>
        </w:rPr>
        <w:t xml:space="preserve"> </w:t>
      </w:r>
      <w:r w:rsidRPr="003F3B94">
        <w:rPr>
          <w:rFonts w:ascii="mylotus" w:hAnsi="mylotus" w:hint="cs"/>
          <w:sz w:val="28"/>
          <w:rtl/>
        </w:rPr>
        <w:t>عن</w:t>
      </w:r>
      <w:r w:rsidRPr="003F3B94">
        <w:rPr>
          <w:rFonts w:hint="cs"/>
          <w:sz w:val="28"/>
          <w:rtl/>
        </w:rPr>
        <w:t xml:space="preserve"> </w:t>
      </w:r>
      <w:r w:rsidRPr="003F3B94">
        <w:rPr>
          <w:rFonts w:ascii="mylotus" w:hAnsi="mylotus" w:hint="cs"/>
          <w:sz w:val="28"/>
          <w:rtl/>
        </w:rPr>
        <w:t>كتاب</w:t>
      </w:r>
      <w:r w:rsidRPr="003F3B94">
        <w:rPr>
          <w:rFonts w:hint="cs"/>
          <w:sz w:val="28"/>
          <w:rtl/>
        </w:rPr>
        <w:t xml:space="preserve"> </w:t>
      </w:r>
      <w:r w:rsidRPr="003F3B94">
        <w:rPr>
          <w:rFonts w:ascii="mylotus" w:hAnsi="mylotus" w:hint="cs"/>
          <w:sz w:val="28"/>
          <w:rtl/>
        </w:rPr>
        <w:t>الكافي</w:t>
      </w:r>
      <w:r w:rsidR="00217AB4" w:rsidRPr="003F3B94">
        <w:rPr>
          <w:rFonts w:hint="cs"/>
          <w:sz w:val="28"/>
          <w:rtl/>
        </w:rPr>
        <w:t>:</w:t>
      </w:r>
      <w:r w:rsidRPr="003F3B94">
        <w:rPr>
          <w:rFonts w:hint="cs"/>
          <w:sz w:val="28"/>
          <w:rtl/>
        </w:rPr>
        <w:t xml:space="preserve"> </w:t>
      </w:r>
      <w:r w:rsidR="00EF2588" w:rsidRPr="004A3642">
        <w:rPr>
          <w:rFonts w:cs="KFGQPC Uthman Taha Naskh" w:hint="cs"/>
          <w:sz w:val="28"/>
          <w:rtl/>
        </w:rPr>
        <w:t>«</w:t>
      </w:r>
      <w:r w:rsidR="00217AB4" w:rsidRPr="004A3642">
        <w:rPr>
          <w:rFonts w:cs="KFGQPC Uthman Taha Naskh" w:hint="cs"/>
          <w:sz w:val="28"/>
          <w:rtl/>
        </w:rPr>
        <w:t>..</w:t>
      </w:r>
      <w:r w:rsidRPr="004A3642">
        <w:rPr>
          <w:rFonts w:cs="KFGQPC Uthman Taha Naskh" w:hint="cs"/>
          <w:sz w:val="28"/>
          <w:rtl/>
        </w:rPr>
        <w:t xml:space="preserve"> </w:t>
      </w:r>
      <w:r w:rsidRPr="004A3642">
        <w:rPr>
          <w:rFonts w:cs="KFGQPC Uthman Taha Naskh" w:hint="cs"/>
          <w:b/>
          <w:bCs/>
          <w:sz w:val="28"/>
          <w:rtl/>
        </w:rPr>
        <w:t>عَ</w:t>
      </w:r>
      <w:r w:rsidRPr="004A3642">
        <w:rPr>
          <w:rFonts w:cs="KFGQPC Uthman Taha Naskh"/>
          <w:b/>
          <w:bCs/>
          <w:sz w:val="28"/>
          <w:rtl/>
        </w:rPr>
        <w:t>نْ يَعْقُوبَ بْنِ يَزِيدَ عَنْ مُحَمَّدِ بْنِ جَعْفَرٍ العَقَبِيِّ رَفَعَهُ قَالَ</w:t>
      </w:r>
      <w:r w:rsidR="00217AB4" w:rsidRPr="004A3642">
        <w:rPr>
          <w:rFonts w:cs="KFGQPC Uthman Taha Naskh" w:hint="cs"/>
          <w:b/>
          <w:bCs/>
          <w:sz w:val="28"/>
          <w:rtl/>
        </w:rPr>
        <w:t>:</w:t>
      </w:r>
      <w:r w:rsidRPr="004A3642">
        <w:rPr>
          <w:rFonts w:cs="KFGQPC Uthman Taha Naskh"/>
          <w:b/>
          <w:bCs/>
          <w:sz w:val="28"/>
          <w:rtl/>
        </w:rPr>
        <w:t xml:space="preserve"> خَطَبَ أَمِيرُ المُؤْمِنِينَ </w:t>
      </w:r>
      <w:r w:rsidR="00BC4BA9" w:rsidRPr="00BC4BA9">
        <w:rPr>
          <w:rFonts w:cs="CTraditional Arabic" w:hint="cs"/>
          <w:b/>
          <w:sz w:val="28"/>
          <w:rtl/>
        </w:rPr>
        <w:t>÷</w:t>
      </w:r>
      <w:r w:rsidRPr="004A3642">
        <w:rPr>
          <w:rFonts w:cs="KFGQPC Uthman Taha Naskh"/>
          <w:b/>
          <w:bCs/>
          <w:sz w:val="28"/>
          <w:rtl/>
        </w:rPr>
        <w:t xml:space="preserve"> فَحَمِدَ اللهَ وَأَثْنَى عَلَيْهِ ثُمَّ قَالَ</w:t>
      </w:r>
      <w:r w:rsidR="00217AB4" w:rsidRPr="004A3642">
        <w:rPr>
          <w:rFonts w:cs="KFGQPC Uthman Taha Naskh" w:hint="cs"/>
          <w:b/>
          <w:bCs/>
          <w:sz w:val="28"/>
          <w:rtl/>
        </w:rPr>
        <w:t>:</w:t>
      </w:r>
      <w:r w:rsidRPr="004A3642">
        <w:rPr>
          <w:rFonts w:cs="KFGQPC Uthman Taha Naskh"/>
          <w:b/>
          <w:bCs/>
          <w:sz w:val="28"/>
          <w:rtl/>
        </w:rPr>
        <w:t xml:space="preserve"> أَيُّهَا النَّاسُ إِنَّ آدَمَ لَمْ يَلِدْ عَبْداً وَلَا أَمَةً وَإِنَّ النَّاسَ كُلَّهُمْ أَحْرَارٌ وَلَكِنَّ اللهَ خَوَّلَ بَعْضَكُمْ بَعْضاً فَمَنْ كَانَ لَهُ بَلَاءٌ فَصَبَرَ فِي الخَيْرِ فَلَا يَمُنَّ بِهِ عَلَى اللهِ عَزَّ وَجَلَّ أَلَا وَقَدْ حَضَرَ شَيْ‏ءٌ وَنَحْنُ مُسَوُّونَ فِيهِ بَيْنَ الأَسْوَدِ وَالأَحْمَرِ فَقَالَ مَرْوَانُ لِطَلْحَةَ وَالزُّبَيْرِ مَا أَرَادَ بِهَذَا غَيْرَكُمَا قَالَ فَأَعْطَى كُلَّ وَاحِدٍ ثَلَاثَةَ دَنَانِيرَ وَأَعْطَى رَجُلًا مِنَ الأَنْصَارِ ثَلَاثَةَ دَنَانِيرَ وَجَاءَ بَعْدُ غُلَامٌ أَسْوَدُ فَأَعْطَاهُ ثَلَاثَةَ دَنَانِيرَ فَقَالَ الأَنْصَارِيُّ</w:t>
      </w:r>
      <w:r w:rsidR="00217AB4" w:rsidRPr="004A3642">
        <w:rPr>
          <w:rFonts w:cs="KFGQPC Uthman Taha Naskh" w:hint="cs"/>
          <w:b/>
          <w:bCs/>
          <w:sz w:val="28"/>
          <w:rtl/>
        </w:rPr>
        <w:t>:</w:t>
      </w:r>
      <w:r w:rsidRPr="004A3642">
        <w:rPr>
          <w:rFonts w:cs="KFGQPC Uthman Taha Naskh"/>
          <w:b/>
          <w:bCs/>
          <w:sz w:val="28"/>
          <w:rtl/>
        </w:rPr>
        <w:t xml:space="preserve"> يَا أَمِيرَ المُؤْمِنِينَ</w:t>
      </w:r>
      <w:r w:rsidR="00217AB4" w:rsidRPr="004A3642">
        <w:rPr>
          <w:rFonts w:cs="KFGQPC Uthman Taha Naskh" w:hint="cs"/>
          <w:b/>
          <w:bCs/>
          <w:sz w:val="28"/>
          <w:rtl/>
        </w:rPr>
        <w:t>!</w:t>
      </w:r>
      <w:r w:rsidRPr="004A3642">
        <w:rPr>
          <w:rFonts w:cs="KFGQPC Uthman Taha Naskh"/>
          <w:b/>
          <w:bCs/>
          <w:sz w:val="28"/>
          <w:rtl/>
        </w:rPr>
        <w:t xml:space="preserve"> هَذَا غُلَامٌ أَعْتَقْتُهُ بالأَمْسِ تَجْعَلُنِي وَإِيَّاهُ سَوَاءً فَقَالَ</w:t>
      </w:r>
      <w:r w:rsidR="00217AB4" w:rsidRPr="004A3642">
        <w:rPr>
          <w:rFonts w:cs="KFGQPC Uthman Taha Naskh" w:hint="cs"/>
          <w:b/>
          <w:bCs/>
          <w:sz w:val="28"/>
          <w:rtl/>
        </w:rPr>
        <w:t>:</w:t>
      </w:r>
      <w:r w:rsidRPr="004A3642">
        <w:rPr>
          <w:rFonts w:cs="KFGQPC Uthman Taha Naskh"/>
          <w:b/>
          <w:bCs/>
          <w:sz w:val="28"/>
          <w:rtl/>
        </w:rPr>
        <w:t xml:space="preserve"> </w:t>
      </w:r>
      <w:r w:rsidRPr="004A3642">
        <w:rPr>
          <w:rFonts w:ascii="Lotus Linotype" w:hAnsi="Lotus Linotype" w:cs="KFGQPC Uthman Taha Naskh"/>
          <w:b/>
          <w:bCs/>
          <w:sz w:val="28"/>
          <w:rtl/>
        </w:rPr>
        <w:t>«</w:t>
      </w:r>
      <w:r w:rsidRPr="004A3642">
        <w:rPr>
          <w:rFonts w:cs="KFGQPC Uthman Taha Naskh"/>
          <w:b/>
          <w:bCs/>
          <w:sz w:val="28"/>
          <w:rtl/>
        </w:rPr>
        <w:t>إِنِّي نَظَرْتُ فِي كِتَابِ اللهِ فَلَمْ أَجِدْ لِوُلْدِ إِسْمَاعِيلَ عَلَى وُلْدِ إِسْحَاقَ فَضْلًا</w:t>
      </w:r>
      <w:r w:rsidRPr="004A3642">
        <w:rPr>
          <w:rFonts w:ascii="Lotus Linotype" w:hAnsi="Lotus Linotype" w:cs="KFGQPC Uthman Taha Naskh"/>
          <w:b/>
          <w:bCs/>
          <w:sz w:val="28"/>
          <w:rtl/>
        </w:rPr>
        <w:t>»</w:t>
      </w:r>
      <w:r w:rsidR="00EF2588" w:rsidRPr="003F3B94">
        <w:rPr>
          <w:rFonts w:hint="cs"/>
          <w:sz w:val="28"/>
          <w:rtl/>
        </w:rPr>
        <w:t>»</w:t>
      </w:r>
      <w:r w:rsidR="00217AB4" w:rsidRPr="0021507A">
        <w:rPr>
          <w:rFonts w:cs="Arabic11 BT"/>
          <w:b/>
          <w:sz w:val="28"/>
          <w:vertAlign w:val="superscript"/>
          <w:rtl/>
        </w:rPr>
        <w:t>(</w:t>
      </w:r>
      <w:r w:rsidRPr="0021507A">
        <w:rPr>
          <w:rStyle w:val="FootnoteReference"/>
          <w:rFonts w:cs="Arabic11 BT"/>
          <w:b/>
          <w:sz w:val="28"/>
          <w:rtl/>
        </w:rPr>
        <w:footnoteReference w:id="141"/>
      </w:r>
      <w:r w:rsidR="00217AB4" w:rsidRPr="0021507A">
        <w:rPr>
          <w:rFonts w:cs="Arabic11 BT"/>
          <w:b/>
          <w:sz w:val="28"/>
          <w:vertAlign w:val="superscript"/>
          <w:rtl/>
        </w:rPr>
        <w:t>)</w:t>
      </w:r>
      <w:r w:rsidR="00217AB4" w:rsidRPr="003F3B94">
        <w:rPr>
          <w:rFonts w:hint="cs"/>
          <w:sz w:val="28"/>
          <w:rtl/>
        </w:rPr>
        <w:t>.</w:t>
      </w:r>
    </w:p>
    <w:p w:rsidR="005C664D" w:rsidRPr="003F3B94" w:rsidRDefault="005C664D" w:rsidP="00833C06">
      <w:pPr>
        <w:pStyle w:val="a0"/>
        <w:ind w:left="624" w:firstLine="0"/>
        <w:rPr>
          <w:rFonts w:hint="cs"/>
          <w:rtl/>
        </w:rPr>
      </w:pPr>
      <w:r w:rsidRPr="003F3B94">
        <w:rPr>
          <w:rFonts w:hint="cs"/>
          <w:sz w:val="28"/>
          <w:rtl/>
        </w:rPr>
        <w:t>وهذه المقولة الأخيرة كانت شعار علي ومبد</w:t>
      </w:r>
      <w:r w:rsidR="00F91B5E" w:rsidRPr="003F3B94">
        <w:rPr>
          <w:rFonts w:hint="cs"/>
          <w:sz w:val="28"/>
          <w:rtl/>
        </w:rPr>
        <w:t>أ</w:t>
      </w:r>
      <w:r w:rsidRPr="003F3B94">
        <w:rPr>
          <w:rFonts w:hint="cs"/>
          <w:sz w:val="28"/>
          <w:rtl/>
        </w:rPr>
        <w:t xml:space="preserve">ه الذي تعلمه من كتاب الله بأن أولاد إسماعيل </w:t>
      </w:r>
      <w:r w:rsidR="00F91B5E" w:rsidRPr="003F3B94">
        <w:rPr>
          <w:rFonts w:hint="cs"/>
          <w:sz w:val="28"/>
          <w:rtl/>
        </w:rPr>
        <w:t>- الذين</w:t>
      </w:r>
      <w:r w:rsidRPr="003F3B94">
        <w:rPr>
          <w:rFonts w:hint="cs"/>
          <w:sz w:val="28"/>
          <w:rtl/>
        </w:rPr>
        <w:t xml:space="preserve"> زبدتهم قريش وب</w:t>
      </w:r>
      <w:r w:rsidR="00F91B5E" w:rsidRPr="003F3B94">
        <w:rPr>
          <w:rFonts w:hint="cs"/>
          <w:sz w:val="28"/>
          <w:rtl/>
        </w:rPr>
        <w:t>نو</w:t>
      </w:r>
      <w:r w:rsidRPr="003F3B94">
        <w:rPr>
          <w:rFonts w:hint="cs"/>
          <w:sz w:val="28"/>
          <w:rtl/>
        </w:rPr>
        <w:t xml:space="preserve"> هاشم</w:t>
      </w:r>
      <w:r w:rsidR="00F91B5E" w:rsidRPr="003F3B94">
        <w:rPr>
          <w:rFonts w:hint="cs"/>
          <w:sz w:val="28"/>
          <w:rtl/>
        </w:rPr>
        <w:t xml:space="preserve"> -</w:t>
      </w:r>
      <w:r w:rsidRPr="003F3B94">
        <w:rPr>
          <w:rFonts w:hint="cs"/>
          <w:sz w:val="28"/>
          <w:rtl/>
        </w:rPr>
        <w:t xml:space="preserve"> ليس لهم فضيلة من النواحي المادية على أولاد إسحق الذين كانوا في ذلك اليوم وهم اليوم كذلك أسوأ</w:t>
      </w:r>
      <w:r w:rsidR="00147857" w:rsidRPr="003F3B94">
        <w:rPr>
          <w:rFonts w:hint="cs"/>
          <w:sz w:val="28"/>
          <w:rtl/>
        </w:rPr>
        <w:t xml:space="preserve"> و</w:t>
      </w:r>
      <w:r w:rsidRPr="003F3B94">
        <w:rPr>
          <w:rFonts w:hint="cs"/>
          <w:sz w:val="28"/>
          <w:rtl/>
        </w:rPr>
        <w:t>أحقر خلق الله وهم اليهود</w:t>
      </w:r>
      <w:r w:rsidR="00217AB4" w:rsidRPr="003F3B94">
        <w:rPr>
          <w:rFonts w:hint="cs"/>
          <w:sz w:val="28"/>
          <w:rtl/>
        </w:rPr>
        <w:t>،</w:t>
      </w:r>
      <w:r w:rsidRPr="003F3B94">
        <w:rPr>
          <w:rFonts w:hint="cs"/>
          <w:sz w:val="28"/>
          <w:rtl/>
        </w:rPr>
        <w:t xml:space="preserve"> بل جميع الخلق يجب أن يأكلوا مثل بعضهم ويلبسوا مثل بعضهم ويعيشوا مثل بعضهم إلى أن يعودوا إلى ربهم ويلقى كل واحد منهم نتيجة عمله</w:t>
      </w:r>
      <w:r w:rsidR="00217AB4" w:rsidRPr="003F3B94">
        <w:rPr>
          <w:rFonts w:hint="cs"/>
          <w:sz w:val="28"/>
          <w:rtl/>
        </w:rPr>
        <w:t>.</w:t>
      </w:r>
    </w:p>
    <w:p w:rsidR="005C664D" w:rsidRPr="003F3B94" w:rsidRDefault="005C664D" w:rsidP="00833C06">
      <w:pPr>
        <w:pStyle w:val="a0"/>
        <w:spacing w:after="0"/>
        <w:ind w:left="624" w:hanging="340"/>
        <w:rPr>
          <w:rFonts w:hint="cs"/>
          <w:rtl/>
        </w:rPr>
      </w:pPr>
      <w:r w:rsidRPr="003F3B94">
        <w:rPr>
          <w:rFonts w:hint="cs"/>
          <w:sz w:val="28"/>
          <w:rtl/>
        </w:rPr>
        <w:t xml:space="preserve">هـ </w:t>
      </w:r>
      <w:r w:rsidR="00217AB4" w:rsidRPr="003F3B94">
        <w:rPr>
          <w:rFonts w:hint="cs"/>
          <w:sz w:val="28"/>
          <w:rtl/>
        </w:rPr>
        <w:t>-</w:t>
      </w:r>
      <w:r w:rsidRPr="003F3B94">
        <w:rPr>
          <w:rFonts w:hint="cs"/>
          <w:sz w:val="28"/>
          <w:rtl/>
        </w:rPr>
        <w:t xml:space="preserve"> روى المجلسي ف</w:t>
      </w:r>
      <w:r w:rsidR="00F91B5E" w:rsidRPr="003F3B94">
        <w:rPr>
          <w:rFonts w:hint="cs"/>
          <w:sz w:val="28"/>
          <w:rtl/>
        </w:rPr>
        <w:t>ي المجلد الثامن من بحار الأنوار</w:t>
      </w:r>
      <w:r w:rsidRPr="003F3B94">
        <w:rPr>
          <w:rFonts w:hint="cs"/>
          <w:sz w:val="28"/>
          <w:rtl/>
        </w:rPr>
        <w:t xml:space="preserve"> وابن الأثير في </w:t>
      </w:r>
      <w:r w:rsidR="00147857" w:rsidRPr="003F3B94">
        <w:rPr>
          <w:rFonts w:hint="cs"/>
          <w:sz w:val="28"/>
          <w:rtl/>
        </w:rPr>
        <w:t>«</w:t>
      </w:r>
      <w:r w:rsidRPr="003F3B94">
        <w:rPr>
          <w:rFonts w:hint="cs"/>
          <w:sz w:val="28"/>
          <w:rtl/>
        </w:rPr>
        <w:t>الكامل في التاريخ» قصة مبايعة الناس حضرة أمير المؤمنين بعد مقتل عثمان إلى أن وصل إلى القول</w:t>
      </w:r>
      <w:r w:rsidR="00217AB4" w:rsidRPr="003F3B94">
        <w:rPr>
          <w:rFonts w:hint="cs"/>
          <w:sz w:val="28"/>
          <w:rtl/>
        </w:rPr>
        <w:t>:</w:t>
      </w:r>
      <w:r w:rsidRPr="003F3B94">
        <w:rPr>
          <w:rFonts w:hint="cs"/>
          <w:sz w:val="28"/>
          <w:rtl/>
        </w:rPr>
        <w:t xml:space="preserve"> </w:t>
      </w:r>
      <w:r w:rsidR="00EF2588" w:rsidRPr="004A3642">
        <w:rPr>
          <w:rFonts w:cs="KFGQPC Uthman Taha Naskh" w:hint="cs"/>
          <w:sz w:val="28"/>
          <w:rtl/>
        </w:rPr>
        <w:t>«</w:t>
      </w:r>
      <w:r w:rsidRPr="004A3642">
        <w:rPr>
          <w:rFonts w:cs="KFGQPC Uthman Taha Naskh"/>
          <w:b/>
          <w:bCs/>
          <w:sz w:val="28"/>
          <w:rtl/>
        </w:rPr>
        <w:t xml:space="preserve">فَلَمَّا أَصْبَحُوا يَوْمَ الْبَيْعَةِ وَهُوَ يَوْمُ الجُمُعَةِ حَضَرَ النَّاسُ المَسْجِدَ وَجَاءَ عَلِيٌّ </w:t>
      </w:r>
      <w:r w:rsidR="00BC4BA9" w:rsidRPr="00BC4BA9">
        <w:rPr>
          <w:rFonts w:cs="CTraditional Arabic" w:hint="cs"/>
          <w:b/>
          <w:sz w:val="28"/>
          <w:rtl/>
        </w:rPr>
        <w:t>÷</w:t>
      </w:r>
      <w:r w:rsidRPr="004A3642">
        <w:rPr>
          <w:rFonts w:cs="KFGQPC Uthman Taha Naskh"/>
          <w:b/>
          <w:bCs/>
          <w:sz w:val="28"/>
          <w:rtl/>
        </w:rPr>
        <w:t xml:space="preserve"> فَصَعِدَ المِنْبَرَ وَقَالَ</w:t>
      </w:r>
      <w:r w:rsidR="00217AB4" w:rsidRPr="004A3642">
        <w:rPr>
          <w:rFonts w:cs="KFGQPC Uthman Taha Naskh" w:hint="cs"/>
          <w:b/>
          <w:bCs/>
          <w:sz w:val="28"/>
          <w:rtl/>
        </w:rPr>
        <w:t>:</w:t>
      </w:r>
      <w:r w:rsidRPr="004A3642">
        <w:rPr>
          <w:rFonts w:cs="KFGQPC Uthman Taha Naskh"/>
          <w:b/>
          <w:bCs/>
          <w:sz w:val="28"/>
          <w:rtl/>
        </w:rPr>
        <w:t xml:space="preserve"> أَيُّهَا النَّاسُ عَنْ مَلَإٍ وَإِذْنٍ إِنَّ هَذَا أَمْرُكُمْ لَيْسَ لِأَحَدٍ فِيهِ حَقٌّ إِلَّا مَنْ أَمَّرْتُمْ وَقَدِ افْتَرَقْنَا بِالْأَمْسِ عَلَى أَمْرٍ وَكُنْتُ كَارِهاً لِأَمْرِكُمْ فَأَبَيْتُمْ إِلَّا أَنْ أَكُونَ عَلَيْكُمْ أَلَا وَإِنَّهُ لَيْسَ لِي دُونَكُمْ إِلَّا مَفَاتِيحُ مَا لَكُمْ مَعِي وَلَيْسَ لِي أَنْ آخُذَ دِرْهَماً دُونَكُمْ فَإِنْ شِئْتُمْ قَعَدْتُ لَكُمْ وَإِلَّا فَلَا آخُذُ عَلَى أَحَدٍ فَقَالُوا نَحْنُ عَلَى مَا فَارَقْنَاكَ عَلَيْهِ بِالْأَمْسِ فَقَالَ اللَّهُمَّ اشْهَد</w:t>
      </w:r>
      <w:r w:rsidR="00EF2588" w:rsidRPr="004A3642">
        <w:rPr>
          <w:rFonts w:cs="KFGQPC Uthman Taha Naskh" w:hint="cs"/>
          <w:sz w:val="28"/>
          <w:rtl/>
        </w:rPr>
        <w:t>»</w:t>
      </w:r>
      <w:r w:rsidR="00217AB4" w:rsidRPr="003F3B94">
        <w:rPr>
          <w:rFonts w:hint="cs"/>
          <w:sz w:val="28"/>
          <w:rtl/>
        </w:rPr>
        <w:t>.</w:t>
      </w:r>
    </w:p>
    <w:p w:rsidR="005C664D" w:rsidRPr="00833C06" w:rsidRDefault="005C664D" w:rsidP="00833C06">
      <w:pPr>
        <w:pStyle w:val="a0"/>
        <w:ind w:left="624" w:firstLine="0"/>
        <w:rPr>
          <w:rFonts w:hint="cs"/>
          <w:spacing w:val="-2"/>
          <w:rtl/>
        </w:rPr>
      </w:pPr>
      <w:r w:rsidRPr="00833C06">
        <w:rPr>
          <w:rFonts w:hint="cs"/>
          <w:spacing w:val="-2"/>
          <w:sz w:val="28"/>
          <w:rtl/>
        </w:rPr>
        <w:t>ثم نقل قصة اعتراض طلحة والزبير على أمير المؤمنين بسبب تسويته في العطاء وأن أمير المؤمنين سألهما</w:t>
      </w:r>
      <w:r w:rsidR="00217AB4" w:rsidRPr="00833C06">
        <w:rPr>
          <w:rFonts w:hint="cs"/>
          <w:spacing w:val="-2"/>
          <w:sz w:val="28"/>
          <w:rtl/>
        </w:rPr>
        <w:t>:</w:t>
      </w:r>
      <w:r w:rsidR="00833C06" w:rsidRPr="00833C06">
        <w:rPr>
          <w:rFonts w:hint="cs"/>
          <w:spacing w:val="-2"/>
          <w:sz w:val="28"/>
          <w:rtl/>
        </w:rPr>
        <w:t xml:space="preserve"> </w:t>
      </w:r>
      <w:r w:rsidR="00EF2588" w:rsidRPr="00833C06">
        <w:rPr>
          <w:rFonts w:cs="KFGQPC Uthman Taha Naskh" w:hint="cs"/>
          <w:spacing w:val="-2"/>
          <w:sz w:val="28"/>
          <w:rtl/>
        </w:rPr>
        <w:t>«</w:t>
      </w:r>
      <w:r w:rsidRPr="00833C06">
        <w:rPr>
          <w:rFonts w:cs="KFGQPC Uthman Taha Naskh"/>
          <w:b/>
          <w:bCs/>
          <w:spacing w:val="-2"/>
          <w:sz w:val="28"/>
          <w:rtl/>
        </w:rPr>
        <w:t>قَالَ فَمَا الَّذِي كَرِهْتُمَا مِنْ أَمْرِي حَتَّى رَأَيْتُمَا خِلَافِي</w:t>
      </w:r>
      <w:r w:rsidR="00217AB4" w:rsidRPr="00833C06">
        <w:rPr>
          <w:rFonts w:cs="KFGQPC Uthman Taha Naskh" w:hint="cs"/>
          <w:b/>
          <w:bCs/>
          <w:spacing w:val="-2"/>
          <w:sz w:val="28"/>
          <w:rtl/>
        </w:rPr>
        <w:t>؟؟</w:t>
      </w:r>
      <w:r w:rsidRPr="00833C06">
        <w:rPr>
          <w:rFonts w:cs="KFGQPC Uthman Taha Naskh"/>
          <w:b/>
          <w:bCs/>
          <w:spacing w:val="-2"/>
          <w:sz w:val="28"/>
          <w:rtl/>
        </w:rPr>
        <w:t xml:space="preserve"> قَالَا</w:t>
      </w:r>
      <w:r w:rsidR="00217AB4" w:rsidRPr="00833C06">
        <w:rPr>
          <w:rFonts w:cs="KFGQPC Uthman Taha Naskh" w:hint="cs"/>
          <w:b/>
          <w:bCs/>
          <w:spacing w:val="-2"/>
          <w:sz w:val="28"/>
          <w:rtl/>
        </w:rPr>
        <w:t>:</w:t>
      </w:r>
      <w:r w:rsidRPr="00833C06">
        <w:rPr>
          <w:rFonts w:cs="KFGQPC Uthman Taha Naskh"/>
          <w:b/>
          <w:bCs/>
          <w:spacing w:val="-2"/>
          <w:sz w:val="28"/>
          <w:rtl/>
        </w:rPr>
        <w:t xml:space="preserve"> خِلَافَكَ عُمَرَ بْنَ الخَطَّابِ فِي الْقَسْمِ</w:t>
      </w:r>
      <w:r w:rsidR="00217AB4" w:rsidRPr="00833C06">
        <w:rPr>
          <w:rFonts w:cs="KFGQPC Uthman Taha Naskh" w:hint="cs"/>
          <w:b/>
          <w:bCs/>
          <w:spacing w:val="-2"/>
          <w:sz w:val="28"/>
          <w:rtl/>
        </w:rPr>
        <w:t>.</w:t>
      </w:r>
      <w:r w:rsidRPr="00833C06">
        <w:rPr>
          <w:rFonts w:cs="KFGQPC Uthman Taha Naskh"/>
          <w:b/>
          <w:bCs/>
          <w:spacing w:val="-2"/>
          <w:sz w:val="28"/>
          <w:rtl/>
        </w:rPr>
        <w:t xml:space="preserve"> إِنَّكَ جَعَلْتَ حَقَّنَا فِي الْقَسْمِ كَحَقِّ غَيْرِنَا وَسَوَّيْتَ بَيْنَنَا وَبَيْنَ مَنْ لَا</w:t>
      </w:r>
      <w:r w:rsidRPr="00833C06">
        <w:rPr>
          <w:rFonts w:cs="Times New Roman" w:hint="cs"/>
          <w:b/>
          <w:bCs/>
          <w:spacing w:val="-2"/>
          <w:sz w:val="28"/>
          <w:rtl/>
        </w:rPr>
        <w:t> </w:t>
      </w:r>
      <w:r w:rsidRPr="00833C06">
        <w:rPr>
          <w:rFonts w:cs="KFGQPC Uthman Taha Naskh"/>
          <w:b/>
          <w:bCs/>
          <w:spacing w:val="-2"/>
          <w:sz w:val="28"/>
          <w:rtl/>
        </w:rPr>
        <w:t>يُمَاثِلُنَا فِيمَا أَفَاءَ اللهُ تَعَالَى بِأَسْيَافِنَا وَرِمَاحِنَا وَأَوْجَفْنَا عَلَيْهِ بِخَيْلِنَا وَرَجِلِنَا وَظَهَرَتْ عَلَيْهِ دَعَوْتُنَا وَأَخَذْنَاهُ قَسْراً وَقَهْراً مِمَّنْ لَا يَرَى الْإِسْلَامَ إِلَّا كَرْهاً</w:t>
      </w:r>
      <w:r w:rsidR="00EF2588" w:rsidRPr="00833C06">
        <w:rPr>
          <w:rFonts w:cs="KFGQPC Uthman Taha Naskh" w:hint="cs"/>
          <w:spacing w:val="-2"/>
          <w:sz w:val="28"/>
          <w:rtl/>
        </w:rPr>
        <w:t>»</w:t>
      </w:r>
      <w:r w:rsidR="00217AB4" w:rsidRPr="00833C06">
        <w:rPr>
          <w:rFonts w:cs="Arabic11 BT"/>
          <w:b/>
          <w:spacing w:val="-2"/>
          <w:sz w:val="28"/>
          <w:vertAlign w:val="superscript"/>
          <w:rtl/>
        </w:rPr>
        <w:t>(</w:t>
      </w:r>
      <w:r w:rsidRPr="00833C06">
        <w:rPr>
          <w:rStyle w:val="FootnoteReference"/>
          <w:rFonts w:cs="Arabic11 BT"/>
          <w:b/>
          <w:spacing w:val="-2"/>
          <w:sz w:val="28"/>
          <w:rtl/>
        </w:rPr>
        <w:footnoteReference w:id="142"/>
      </w:r>
      <w:r w:rsidR="00217AB4" w:rsidRPr="00833C06">
        <w:rPr>
          <w:rFonts w:cs="Arabic11 BT"/>
          <w:b/>
          <w:spacing w:val="-2"/>
          <w:sz w:val="28"/>
          <w:vertAlign w:val="superscript"/>
          <w:rtl/>
        </w:rPr>
        <w:t>)</w:t>
      </w:r>
      <w:r w:rsidR="00217AB4" w:rsidRPr="00833C06">
        <w:rPr>
          <w:spacing w:val="-2"/>
          <w:sz w:val="28"/>
          <w:rtl/>
        </w:rPr>
        <w:t>.</w:t>
      </w:r>
    </w:p>
    <w:p w:rsidR="005C664D" w:rsidRPr="003F3B94" w:rsidRDefault="005C664D" w:rsidP="00833C06">
      <w:pPr>
        <w:pStyle w:val="a0"/>
        <w:ind w:left="624" w:firstLine="0"/>
        <w:rPr>
          <w:rFonts w:hint="cs"/>
          <w:rtl/>
        </w:rPr>
      </w:pPr>
      <w:r w:rsidRPr="003F3B94">
        <w:rPr>
          <w:rFonts w:hint="cs"/>
          <w:sz w:val="28"/>
          <w:rtl/>
        </w:rPr>
        <w:t>وبعد أن ينقل إجابة أمير المؤمنين عَلَى اعتراضاتهما بالتفصيل ينقل أن أمير المؤمنين قال لهما بشأن تسويته بينهما وبين سائر الناس في العطاء</w:t>
      </w:r>
      <w:r w:rsidR="00217AB4" w:rsidRPr="003F3B94">
        <w:rPr>
          <w:rFonts w:hint="cs"/>
          <w:sz w:val="28"/>
          <w:rtl/>
        </w:rPr>
        <w:t>:</w:t>
      </w:r>
      <w:r w:rsidR="00833C06">
        <w:rPr>
          <w:rFonts w:hint="cs"/>
          <w:sz w:val="28"/>
          <w:rtl/>
        </w:rPr>
        <w:t xml:space="preserve"> </w:t>
      </w:r>
      <w:r w:rsidR="00EF2588" w:rsidRPr="004A3642">
        <w:rPr>
          <w:rFonts w:ascii="Abo-thar" w:hAnsi="Abo-thar" w:cs="KFGQPC Uthman Taha Naskh" w:hint="cs"/>
          <w:sz w:val="28"/>
          <w:rtl/>
        </w:rPr>
        <w:t>«</w:t>
      </w:r>
      <w:r w:rsidRPr="004A3642">
        <w:rPr>
          <w:rFonts w:ascii="Abo-thar" w:hAnsi="Abo-thar" w:cs="KFGQPC Uthman Taha Naskh"/>
          <w:b/>
          <w:bCs/>
          <w:sz w:val="28"/>
          <w:rtl/>
        </w:rPr>
        <w:t>وَأَمَّا الْقَسْمُ وَالْأُسْوَةُ فَإِنَّ ذَلِكَ أَمْرٌ لَمْ أَحْكُمْ فِيهِ بَادِئَ بَدْءٍ قَدْ وَجَدْتُ أَنَا وَأَنْتُمَا رَسُولَ اللهِ</w:t>
      </w:r>
      <w:r w:rsidR="00147857" w:rsidRPr="004A3642">
        <w:rPr>
          <w:rFonts w:ascii="Abo-thar" w:hAnsi="Abo-thar" w:cs="KFGQPC Uthman Taha Naskh"/>
          <w:b/>
          <w:bCs/>
          <w:sz w:val="28"/>
          <w:rtl/>
        </w:rPr>
        <w:t xml:space="preserve"> </w:t>
      </w:r>
      <w:r w:rsidR="003C7AEB" w:rsidRPr="003C7AEB">
        <w:rPr>
          <w:rFonts w:ascii="Abo-thar" w:hAnsi="Abo-thar" w:cs="CTraditional Arabic"/>
          <w:sz w:val="28"/>
          <w:rtl/>
        </w:rPr>
        <w:t>ص</w:t>
      </w:r>
      <w:r w:rsidR="00147857" w:rsidRPr="004A3642">
        <w:rPr>
          <w:rFonts w:ascii="Abo-thar" w:hAnsi="Abo-thar" w:cs="KFGQPC Uthman Taha Naskh"/>
          <w:sz w:val="28"/>
          <w:rtl/>
        </w:rPr>
        <w:t xml:space="preserve"> </w:t>
      </w:r>
      <w:r w:rsidRPr="004A3642">
        <w:rPr>
          <w:rFonts w:ascii="Abo-thar" w:hAnsi="Abo-thar" w:cs="KFGQPC Uthman Taha Naskh"/>
          <w:b/>
          <w:bCs/>
          <w:sz w:val="28"/>
          <w:rtl/>
        </w:rPr>
        <w:t>يَحْكُمُ بِذَلِكَ وَكِتَابُ اللهِ نَاطِقٌ بِهِ وَهُوَ الْكِتَابُ الَّذِي لا يَأْتِيهِ الْباطِلُ مِنْ بَيْنِ يَدَيْهِ وَلا مِنْ خَلْفِهِ تَنْزِيلٌ مِنْ حَكِيمٍ حَمِيدٍ وَأَمَّا قَوْلُكُمَا جَعَلْتَ فَيْئَنَا وَمَا أَفَاءَتْهُ سُيُوفُنَا وَرِمَاحُنَا سَوَاءً بَيْنَنَا وَبَيْنَ غَيْرِنَا فَقَدِيماً سَبَقَ إِلَى الْإِسْلَامِ قَوْمٌ وَنَصَرُوهُ بِسُيُوفِهِمْ وَرِمَاحِهِمْ فَلَمْ يُفَضِّلْهُمْ رَسُولُ اللهِ</w:t>
      </w:r>
      <w:r w:rsidR="00147857" w:rsidRPr="004A3642">
        <w:rPr>
          <w:rFonts w:ascii="Abo-thar" w:hAnsi="Abo-thar" w:cs="KFGQPC Uthman Taha Naskh"/>
          <w:b/>
          <w:bCs/>
          <w:sz w:val="28"/>
          <w:rtl/>
        </w:rPr>
        <w:t xml:space="preserve"> </w:t>
      </w:r>
      <w:r w:rsidR="003C7AEB" w:rsidRPr="003C7AEB">
        <w:rPr>
          <w:rFonts w:ascii="Abo-thar" w:hAnsi="Abo-thar" w:cs="CTraditional Arabic"/>
          <w:sz w:val="28"/>
          <w:rtl/>
        </w:rPr>
        <w:t>ص</w:t>
      </w:r>
      <w:r w:rsidR="00147857" w:rsidRPr="004A3642">
        <w:rPr>
          <w:rFonts w:ascii="Abo-thar" w:hAnsi="Abo-thar" w:cs="KFGQPC Uthman Taha Naskh"/>
          <w:sz w:val="28"/>
          <w:rtl/>
        </w:rPr>
        <w:t xml:space="preserve"> </w:t>
      </w:r>
      <w:r w:rsidRPr="004A3642">
        <w:rPr>
          <w:rFonts w:ascii="Abo-thar" w:hAnsi="Abo-thar" w:cs="KFGQPC Uthman Taha Naskh"/>
          <w:b/>
          <w:bCs/>
          <w:sz w:val="28"/>
          <w:rtl/>
        </w:rPr>
        <w:t>فِي الْقَسْمِ وَلَا آثَرَهُمْ بِالسَّبْقِ وَاللهُ سُبْحَانَهُ مُوَفٍّ السَّابِقَ وَالْمُجَاهِدَ يَوْمَ الْقِيَامَةِ أَعْمَالَهُمْ وَلَيْسَ لَكُمَا وَاللهِ عِنْدِي وَلَا</w:t>
      </w:r>
      <w:r w:rsidRPr="004A3642">
        <w:rPr>
          <w:rFonts w:cs="Times New Roman" w:hint="cs"/>
          <w:b/>
          <w:bCs/>
          <w:sz w:val="28"/>
          <w:rtl/>
        </w:rPr>
        <w:t> </w:t>
      </w:r>
      <w:r w:rsidRPr="004A3642">
        <w:rPr>
          <w:rFonts w:ascii="Abo-thar" w:hAnsi="Abo-thar" w:cs="KFGQPC Uthman Taha Naskh"/>
          <w:b/>
          <w:bCs/>
          <w:sz w:val="28"/>
          <w:rtl/>
        </w:rPr>
        <w:t>لِغَيْرِكُمَا إِلَّا هَذَا</w:t>
      </w:r>
      <w:r w:rsidR="00EF2588" w:rsidRPr="004A3642">
        <w:rPr>
          <w:rFonts w:ascii="Abo-thar" w:hAnsi="Abo-thar" w:cs="KFGQPC Uthman Taha Naskh" w:hint="cs"/>
          <w:sz w:val="28"/>
          <w:rtl/>
        </w:rPr>
        <w:t>»</w:t>
      </w:r>
      <w:r w:rsidR="00217AB4" w:rsidRPr="0021507A">
        <w:rPr>
          <w:rFonts w:cs="Arabic11 BT"/>
          <w:b/>
          <w:sz w:val="28"/>
          <w:vertAlign w:val="superscript"/>
          <w:rtl/>
        </w:rPr>
        <w:t>(</w:t>
      </w:r>
      <w:r w:rsidRPr="0021507A">
        <w:rPr>
          <w:rStyle w:val="FootnoteReference"/>
          <w:rFonts w:cs="Arabic11 BT"/>
          <w:b/>
          <w:sz w:val="28"/>
          <w:rtl/>
        </w:rPr>
        <w:footnoteReference w:id="143"/>
      </w:r>
      <w:r w:rsidR="00217AB4" w:rsidRPr="0021507A">
        <w:rPr>
          <w:rFonts w:cs="Arabic11 BT"/>
          <w:b/>
          <w:sz w:val="28"/>
          <w:vertAlign w:val="superscript"/>
          <w:rtl/>
        </w:rPr>
        <w:t>)</w:t>
      </w:r>
      <w:r w:rsidR="00217AB4" w:rsidRPr="003F3B94">
        <w:rPr>
          <w:sz w:val="28"/>
          <w:rtl/>
        </w:rPr>
        <w:t>.</w:t>
      </w:r>
    </w:p>
    <w:p w:rsidR="005C664D" w:rsidRPr="003F3B94" w:rsidRDefault="005C664D" w:rsidP="00833C06">
      <w:pPr>
        <w:pStyle w:val="a0"/>
        <w:ind w:left="624" w:hanging="340"/>
        <w:rPr>
          <w:rFonts w:hint="cs"/>
          <w:rtl/>
        </w:rPr>
      </w:pPr>
      <w:r w:rsidRPr="003F3B94">
        <w:rPr>
          <w:rFonts w:ascii="Abo-thar" w:hAnsi="Abo-thar" w:hint="cs"/>
          <w:sz w:val="28"/>
          <w:rtl/>
        </w:rPr>
        <w:t>و</w:t>
      </w:r>
      <w:r w:rsidR="00217AB4" w:rsidRPr="003F3B94">
        <w:rPr>
          <w:rFonts w:ascii="Abo-thar" w:hAnsi="Abo-thar" w:hint="cs"/>
          <w:sz w:val="28"/>
          <w:rtl/>
        </w:rPr>
        <w:t>-</w:t>
      </w:r>
      <w:r w:rsidR="00F91B5E" w:rsidRPr="003F3B94">
        <w:rPr>
          <w:rFonts w:ascii="Abo-thar" w:hAnsi="Abo-thar" w:hint="cs"/>
          <w:sz w:val="28"/>
          <w:rtl/>
        </w:rPr>
        <w:t xml:space="preserve"> وفي «المناقب» لابن شهر</w:t>
      </w:r>
      <w:r w:rsidRPr="003F3B94">
        <w:rPr>
          <w:rFonts w:ascii="Abo-thar" w:hAnsi="Abo-thar" w:hint="cs"/>
          <w:sz w:val="28"/>
          <w:rtl/>
        </w:rPr>
        <w:t>آشوب</w:t>
      </w:r>
      <w:r w:rsidR="00217AB4" w:rsidRPr="003F3B94">
        <w:rPr>
          <w:rFonts w:ascii="Abo-thar" w:hAnsi="Abo-thar" w:hint="cs"/>
          <w:sz w:val="28"/>
          <w:rtl/>
        </w:rPr>
        <w:t>:</w:t>
      </w:r>
      <w:r w:rsidRPr="003F3B94">
        <w:rPr>
          <w:rFonts w:ascii="Abo-thar" w:hAnsi="Abo-thar" w:hint="cs"/>
          <w:sz w:val="28"/>
          <w:rtl/>
        </w:rPr>
        <w:t xml:space="preserve"> </w:t>
      </w:r>
      <w:r w:rsidR="00EF2588" w:rsidRPr="004A3642">
        <w:rPr>
          <w:rFonts w:ascii="Abo-thar" w:hAnsi="Abo-thar" w:cs="KFGQPC Uthman Taha Naskh" w:hint="cs"/>
          <w:sz w:val="28"/>
          <w:rtl/>
        </w:rPr>
        <w:t>«</w:t>
      </w:r>
      <w:r w:rsidRPr="004A3642">
        <w:rPr>
          <w:rFonts w:ascii="Abo-thar" w:hAnsi="Abo-thar" w:cs="KFGQPC Uthman Taha Naskh"/>
          <w:b/>
          <w:bCs/>
          <w:sz w:val="28"/>
          <w:rtl/>
        </w:rPr>
        <w:t>عن أبي الهيثم بن التيهان</w:t>
      </w:r>
      <w:r w:rsidR="00147857" w:rsidRPr="004A3642">
        <w:rPr>
          <w:rFonts w:ascii="Abo-thar" w:hAnsi="Abo-thar" w:cs="KFGQPC Uthman Taha Naskh"/>
          <w:b/>
          <w:bCs/>
          <w:sz w:val="28"/>
          <w:rtl/>
        </w:rPr>
        <w:t xml:space="preserve"> و</w:t>
      </w:r>
      <w:r w:rsidRPr="004A3642">
        <w:rPr>
          <w:rFonts w:ascii="Abo-thar" w:hAnsi="Abo-thar" w:cs="KFGQPC Uthman Taha Naskh"/>
          <w:b/>
          <w:bCs/>
          <w:sz w:val="28"/>
          <w:rtl/>
        </w:rPr>
        <w:t>عبد الله بن أبي رافع أن طلحة</w:t>
      </w:r>
      <w:r w:rsidR="00147857" w:rsidRPr="004A3642">
        <w:rPr>
          <w:rFonts w:ascii="Abo-thar" w:hAnsi="Abo-thar" w:cs="KFGQPC Uthman Taha Naskh"/>
          <w:b/>
          <w:bCs/>
          <w:sz w:val="28"/>
          <w:rtl/>
        </w:rPr>
        <w:t xml:space="preserve"> و</w:t>
      </w:r>
      <w:r w:rsidRPr="004A3642">
        <w:rPr>
          <w:rFonts w:ascii="Abo-thar" w:hAnsi="Abo-thar" w:cs="KFGQPC Uthman Taha Naskh"/>
          <w:b/>
          <w:bCs/>
          <w:sz w:val="28"/>
          <w:rtl/>
        </w:rPr>
        <w:t>الزبير جاءا</w:t>
      </w:r>
      <w:r w:rsidRPr="004A3642">
        <w:rPr>
          <w:rFonts w:ascii="Abo-thar" w:hAnsi="Abo-thar" w:cs="KFGQPC Uthman Taha Naskh" w:hint="cs"/>
          <w:b/>
          <w:bCs/>
          <w:sz w:val="28"/>
          <w:rtl/>
        </w:rPr>
        <w:t xml:space="preserve"> </w:t>
      </w:r>
      <w:r w:rsidRPr="004A3642">
        <w:rPr>
          <w:rFonts w:ascii="Abo-thar" w:hAnsi="Abo-thar" w:cs="KFGQPC Uthman Taha Naskh"/>
          <w:b/>
          <w:bCs/>
          <w:sz w:val="28"/>
          <w:rtl/>
        </w:rPr>
        <w:t>إلى أمير المؤمنين</w:t>
      </w:r>
      <w:r w:rsidR="00147857" w:rsidRPr="004A3642">
        <w:rPr>
          <w:rFonts w:ascii="Abo-thar" w:hAnsi="Abo-thar" w:cs="KFGQPC Uthman Taha Naskh"/>
          <w:b/>
          <w:bCs/>
          <w:sz w:val="28"/>
          <w:rtl/>
        </w:rPr>
        <w:t xml:space="preserve"> و</w:t>
      </w:r>
      <w:r w:rsidRPr="004A3642">
        <w:rPr>
          <w:rFonts w:ascii="Abo-thar" w:hAnsi="Abo-thar" w:cs="KFGQPC Uthman Taha Naskh"/>
          <w:b/>
          <w:bCs/>
          <w:sz w:val="28"/>
          <w:rtl/>
        </w:rPr>
        <w:t>قالا</w:t>
      </w:r>
      <w:r w:rsidR="00217AB4" w:rsidRPr="004A3642">
        <w:rPr>
          <w:rFonts w:ascii="Abo-thar" w:hAnsi="Abo-thar" w:cs="KFGQPC Uthman Taha Naskh" w:hint="cs"/>
          <w:b/>
          <w:bCs/>
          <w:sz w:val="28"/>
          <w:rtl/>
        </w:rPr>
        <w:t>:</w:t>
      </w:r>
      <w:r w:rsidRPr="004A3642">
        <w:rPr>
          <w:rFonts w:ascii="Abo-thar" w:hAnsi="Abo-thar" w:cs="KFGQPC Uthman Taha Naskh"/>
          <w:b/>
          <w:bCs/>
          <w:sz w:val="28"/>
          <w:rtl/>
        </w:rPr>
        <w:t xml:space="preserve"> لَيْسَ كَذَلِكَ كَانَ يُعْطِينَا عُمَرُ</w:t>
      </w:r>
      <w:r w:rsidR="00217AB4" w:rsidRPr="004A3642">
        <w:rPr>
          <w:rFonts w:ascii="Abo-thar" w:hAnsi="Abo-thar" w:cs="KFGQPC Uthman Taha Naskh" w:hint="cs"/>
          <w:b/>
          <w:bCs/>
          <w:sz w:val="28"/>
          <w:rtl/>
        </w:rPr>
        <w:t>!</w:t>
      </w:r>
      <w:r w:rsidRPr="004A3642">
        <w:rPr>
          <w:rFonts w:ascii="Abo-thar" w:hAnsi="Abo-thar" w:cs="KFGQPC Uthman Taha Naskh"/>
          <w:b/>
          <w:bCs/>
          <w:sz w:val="28"/>
          <w:rtl/>
        </w:rPr>
        <w:t xml:space="preserve"> قَالَ</w:t>
      </w:r>
      <w:r w:rsidR="00217AB4" w:rsidRPr="004A3642">
        <w:rPr>
          <w:rFonts w:ascii="Abo-thar" w:hAnsi="Abo-thar" w:cs="KFGQPC Uthman Taha Naskh" w:hint="cs"/>
          <w:b/>
          <w:bCs/>
          <w:sz w:val="28"/>
          <w:rtl/>
        </w:rPr>
        <w:t>:</w:t>
      </w:r>
      <w:r w:rsidRPr="004A3642">
        <w:rPr>
          <w:rFonts w:ascii="Abo-thar" w:hAnsi="Abo-thar" w:cs="KFGQPC Uthman Taha Naskh"/>
          <w:b/>
          <w:bCs/>
          <w:sz w:val="28"/>
          <w:rtl/>
        </w:rPr>
        <w:t xml:space="preserve"> فَمَا كَانَ يُعْطِيكُمَا رَسُولُ اللهِ</w:t>
      </w:r>
      <w:r w:rsidR="00147857" w:rsidRPr="004A3642">
        <w:rPr>
          <w:rFonts w:ascii="Abo-thar" w:hAnsi="Abo-thar" w:cs="KFGQPC Uthman Taha Naskh"/>
          <w:b/>
          <w:bCs/>
          <w:sz w:val="28"/>
          <w:rtl/>
        </w:rPr>
        <w:t xml:space="preserve"> </w:t>
      </w:r>
      <w:r w:rsidR="003C7AEB" w:rsidRPr="003C7AEB">
        <w:rPr>
          <w:rFonts w:ascii="Abo-thar" w:hAnsi="Abo-thar" w:cs="CTraditional Arabic"/>
          <w:sz w:val="28"/>
          <w:rtl/>
        </w:rPr>
        <w:t>ص</w:t>
      </w:r>
      <w:r w:rsidR="00217AB4" w:rsidRPr="004A3642">
        <w:rPr>
          <w:rFonts w:ascii="Abo-thar" w:hAnsi="Abo-thar" w:cs="KFGQPC Uthman Taha Naskh"/>
          <w:sz w:val="28"/>
          <w:rtl/>
        </w:rPr>
        <w:t>؟</w:t>
      </w:r>
      <w:r w:rsidRPr="004A3642">
        <w:rPr>
          <w:rFonts w:ascii="Abo-thar" w:hAnsi="Abo-thar" w:cs="KFGQPC Uthman Taha Naskh"/>
          <w:b/>
          <w:bCs/>
          <w:sz w:val="28"/>
          <w:rtl/>
        </w:rPr>
        <w:t xml:space="preserve"> فَسَكَتَا</w:t>
      </w:r>
      <w:r w:rsidR="00217AB4" w:rsidRPr="004A3642">
        <w:rPr>
          <w:rFonts w:ascii="Abo-thar" w:hAnsi="Abo-thar" w:cs="KFGQPC Uthman Taha Naskh" w:hint="cs"/>
          <w:b/>
          <w:bCs/>
          <w:sz w:val="28"/>
          <w:rtl/>
        </w:rPr>
        <w:t>.</w:t>
      </w:r>
      <w:r w:rsidRPr="004A3642">
        <w:rPr>
          <w:rFonts w:ascii="Abo-thar" w:hAnsi="Abo-thar" w:cs="KFGQPC Uthman Taha Naskh"/>
          <w:b/>
          <w:bCs/>
          <w:sz w:val="28"/>
          <w:rtl/>
        </w:rPr>
        <w:t xml:space="preserve"> قَالَ</w:t>
      </w:r>
      <w:r w:rsidR="00217AB4" w:rsidRPr="004A3642">
        <w:rPr>
          <w:rFonts w:ascii="Abo-thar" w:hAnsi="Abo-thar" w:cs="KFGQPC Uthman Taha Naskh" w:hint="cs"/>
          <w:b/>
          <w:bCs/>
          <w:sz w:val="28"/>
          <w:rtl/>
        </w:rPr>
        <w:t>:</w:t>
      </w:r>
      <w:r w:rsidRPr="004A3642">
        <w:rPr>
          <w:rFonts w:ascii="Abo-thar" w:hAnsi="Abo-thar" w:cs="KFGQPC Uthman Taha Naskh"/>
          <w:b/>
          <w:bCs/>
          <w:sz w:val="28"/>
          <w:rtl/>
        </w:rPr>
        <w:t xml:space="preserve"> أَلَيْسَ كَانَ رَسُولُ اللهِ يَقْسِمُ بِالسَّوِيَّةِ بَيْنَ المُسْلِمِينَ</w:t>
      </w:r>
      <w:r w:rsidR="00217AB4" w:rsidRPr="004A3642">
        <w:rPr>
          <w:rFonts w:ascii="Abo-thar" w:hAnsi="Abo-thar" w:cs="KFGQPC Uthman Taha Naskh" w:hint="cs"/>
          <w:b/>
          <w:bCs/>
          <w:sz w:val="28"/>
          <w:rtl/>
        </w:rPr>
        <w:t>؟</w:t>
      </w:r>
      <w:r w:rsidRPr="004A3642">
        <w:rPr>
          <w:rFonts w:ascii="Abo-thar" w:hAnsi="Abo-thar" w:cs="KFGQPC Uthman Taha Naskh"/>
          <w:b/>
          <w:bCs/>
          <w:sz w:val="28"/>
          <w:rtl/>
        </w:rPr>
        <w:t xml:space="preserve"> قَالَا</w:t>
      </w:r>
      <w:r w:rsidR="00217AB4" w:rsidRPr="004A3642">
        <w:rPr>
          <w:rFonts w:ascii="Abo-thar" w:hAnsi="Abo-thar" w:cs="KFGQPC Uthman Taha Naskh" w:hint="cs"/>
          <w:b/>
          <w:bCs/>
          <w:sz w:val="28"/>
          <w:rtl/>
        </w:rPr>
        <w:t>:</w:t>
      </w:r>
      <w:r w:rsidRPr="004A3642">
        <w:rPr>
          <w:rFonts w:ascii="Abo-thar" w:hAnsi="Abo-thar" w:cs="KFGQPC Uthman Taha Naskh"/>
          <w:b/>
          <w:bCs/>
          <w:sz w:val="28"/>
          <w:rtl/>
        </w:rPr>
        <w:t xml:space="preserve"> نَعَمْ</w:t>
      </w:r>
      <w:r w:rsidR="00217AB4" w:rsidRPr="004A3642">
        <w:rPr>
          <w:rFonts w:ascii="Abo-thar" w:hAnsi="Abo-thar" w:cs="KFGQPC Uthman Taha Naskh" w:hint="cs"/>
          <w:b/>
          <w:bCs/>
          <w:sz w:val="28"/>
          <w:rtl/>
        </w:rPr>
        <w:t>.</w:t>
      </w:r>
      <w:r w:rsidRPr="004A3642">
        <w:rPr>
          <w:rFonts w:ascii="Abo-thar" w:hAnsi="Abo-thar" w:cs="KFGQPC Uthman Taha Naskh"/>
          <w:b/>
          <w:bCs/>
          <w:sz w:val="28"/>
          <w:rtl/>
        </w:rPr>
        <w:t xml:space="preserve"> قَالَ</w:t>
      </w:r>
      <w:r w:rsidR="00217AB4" w:rsidRPr="004A3642">
        <w:rPr>
          <w:rFonts w:ascii="Abo-thar" w:hAnsi="Abo-thar" w:cs="KFGQPC Uthman Taha Naskh" w:hint="cs"/>
          <w:b/>
          <w:bCs/>
          <w:sz w:val="28"/>
          <w:rtl/>
        </w:rPr>
        <w:t>:</w:t>
      </w:r>
      <w:r w:rsidRPr="004A3642">
        <w:rPr>
          <w:rFonts w:ascii="Abo-thar" w:hAnsi="Abo-thar" w:cs="KFGQPC Uthman Taha Naskh"/>
          <w:b/>
          <w:bCs/>
          <w:sz w:val="28"/>
          <w:rtl/>
        </w:rPr>
        <w:t xml:space="preserve"> فَسُنَّةُ رَسُولِ اللهِ</w:t>
      </w:r>
      <w:r w:rsidR="00147857" w:rsidRPr="004A3642">
        <w:rPr>
          <w:rFonts w:ascii="Abo-thar" w:hAnsi="Abo-thar" w:cs="KFGQPC Uthman Taha Naskh"/>
          <w:b/>
          <w:bCs/>
          <w:sz w:val="28"/>
          <w:rtl/>
        </w:rPr>
        <w:t xml:space="preserve"> </w:t>
      </w:r>
      <w:r w:rsidR="003C7AEB" w:rsidRPr="003C7AEB">
        <w:rPr>
          <w:rFonts w:ascii="Abo-thar" w:hAnsi="Abo-thar" w:cs="CTraditional Arabic"/>
          <w:sz w:val="28"/>
          <w:rtl/>
        </w:rPr>
        <w:t>ص</w:t>
      </w:r>
      <w:r w:rsidR="00147857" w:rsidRPr="004A3642">
        <w:rPr>
          <w:rFonts w:ascii="Abo-thar" w:hAnsi="Abo-thar" w:cs="KFGQPC Uthman Taha Naskh"/>
          <w:sz w:val="28"/>
          <w:rtl/>
        </w:rPr>
        <w:t xml:space="preserve"> </w:t>
      </w:r>
      <w:r w:rsidRPr="004A3642">
        <w:rPr>
          <w:rFonts w:ascii="Abo-thar" w:hAnsi="Abo-thar" w:cs="KFGQPC Uthman Taha Naskh"/>
          <w:b/>
          <w:bCs/>
          <w:sz w:val="28"/>
          <w:rtl/>
        </w:rPr>
        <w:t>أَوْلَى بِالِاتِّبَاعِ عِنْدَكُمْ أَمْ سُنَّةُ عُمَرَ</w:t>
      </w:r>
      <w:r w:rsidR="00217AB4" w:rsidRPr="004A3642">
        <w:rPr>
          <w:rFonts w:ascii="Abo-thar" w:hAnsi="Abo-thar" w:cs="KFGQPC Uthman Taha Naskh" w:hint="cs"/>
          <w:b/>
          <w:bCs/>
          <w:sz w:val="28"/>
          <w:rtl/>
        </w:rPr>
        <w:t>؟</w:t>
      </w:r>
      <w:r w:rsidRPr="004A3642">
        <w:rPr>
          <w:rFonts w:ascii="Abo-thar" w:hAnsi="Abo-thar" w:cs="KFGQPC Uthman Taha Naskh"/>
          <w:b/>
          <w:bCs/>
          <w:sz w:val="28"/>
          <w:rtl/>
        </w:rPr>
        <w:t xml:space="preserve"> قَالَا</w:t>
      </w:r>
      <w:r w:rsidR="00217AB4" w:rsidRPr="004A3642">
        <w:rPr>
          <w:rFonts w:ascii="Abo-thar" w:hAnsi="Abo-thar" w:cs="KFGQPC Uthman Taha Naskh" w:hint="cs"/>
          <w:b/>
          <w:bCs/>
          <w:sz w:val="28"/>
          <w:rtl/>
        </w:rPr>
        <w:t>:</w:t>
      </w:r>
      <w:r w:rsidRPr="004A3642">
        <w:rPr>
          <w:rFonts w:ascii="Abo-thar" w:hAnsi="Abo-thar" w:cs="KFGQPC Uthman Taha Naskh"/>
          <w:b/>
          <w:bCs/>
          <w:sz w:val="28"/>
          <w:rtl/>
        </w:rPr>
        <w:t xml:space="preserve"> سُنَّةُ رَسُولِ اللهِ</w:t>
      </w:r>
      <w:r w:rsidR="00147857" w:rsidRPr="004A3642">
        <w:rPr>
          <w:rFonts w:ascii="Abo-thar" w:hAnsi="Abo-thar" w:cs="KFGQPC Uthman Taha Naskh"/>
          <w:b/>
          <w:bCs/>
          <w:sz w:val="28"/>
          <w:rtl/>
        </w:rPr>
        <w:t xml:space="preserve"> </w:t>
      </w:r>
      <w:r w:rsidR="003C7AEB" w:rsidRPr="003C7AEB">
        <w:rPr>
          <w:rFonts w:ascii="Abo-thar" w:hAnsi="Abo-thar" w:cs="CTraditional Arabic"/>
          <w:sz w:val="28"/>
          <w:rtl/>
        </w:rPr>
        <w:t>ص</w:t>
      </w:r>
      <w:r w:rsidR="00147857" w:rsidRPr="004A3642">
        <w:rPr>
          <w:rFonts w:ascii="Abo-thar" w:hAnsi="Abo-thar" w:cs="KFGQPC Uthman Taha Naskh"/>
          <w:sz w:val="28"/>
          <w:rtl/>
        </w:rPr>
        <w:t xml:space="preserve"> </w:t>
      </w:r>
      <w:r w:rsidRPr="004A3642">
        <w:rPr>
          <w:rFonts w:ascii="Abo-thar" w:hAnsi="Abo-thar" w:cs="KFGQPC Uthman Taha Naskh"/>
          <w:b/>
          <w:bCs/>
          <w:sz w:val="28"/>
          <w:rtl/>
        </w:rPr>
        <w:t>يَا أَمِيرَ المُؤْمِنِينَ</w:t>
      </w:r>
      <w:r w:rsidR="00217AB4" w:rsidRPr="004A3642">
        <w:rPr>
          <w:rFonts w:ascii="Abo-thar" w:hAnsi="Abo-thar" w:cs="KFGQPC Uthman Taha Naskh" w:hint="cs"/>
          <w:b/>
          <w:bCs/>
          <w:sz w:val="28"/>
          <w:rtl/>
        </w:rPr>
        <w:t>.</w:t>
      </w:r>
      <w:r w:rsidRPr="004A3642">
        <w:rPr>
          <w:rFonts w:ascii="Abo-thar" w:hAnsi="Abo-thar" w:cs="KFGQPC Uthman Taha Naskh"/>
          <w:b/>
          <w:bCs/>
          <w:sz w:val="28"/>
          <w:rtl/>
        </w:rPr>
        <w:t xml:space="preserve"> لَنَا سَابِقَةٌ وَعَنَاءٌ وَقَرَابَةٌ</w:t>
      </w:r>
      <w:r w:rsidR="00217AB4" w:rsidRPr="004A3642">
        <w:rPr>
          <w:rFonts w:ascii="Abo-thar" w:hAnsi="Abo-thar" w:cs="KFGQPC Uthman Taha Naskh" w:hint="cs"/>
          <w:b/>
          <w:bCs/>
          <w:sz w:val="28"/>
          <w:rtl/>
        </w:rPr>
        <w:t>.</w:t>
      </w:r>
      <w:r w:rsidRPr="004A3642">
        <w:rPr>
          <w:rFonts w:ascii="Abo-thar" w:hAnsi="Abo-thar" w:cs="KFGQPC Uthman Taha Naskh"/>
          <w:b/>
          <w:bCs/>
          <w:sz w:val="28"/>
          <w:rtl/>
        </w:rPr>
        <w:t xml:space="preserve"> قَالَ</w:t>
      </w:r>
      <w:r w:rsidR="00217AB4" w:rsidRPr="004A3642">
        <w:rPr>
          <w:rFonts w:ascii="Abo-thar" w:hAnsi="Abo-thar" w:cs="KFGQPC Uthman Taha Naskh" w:hint="cs"/>
          <w:b/>
          <w:bCs/>
          <w:sz w:val="28"/>
          <w:rtl/>
        </w:rPr>
        <w:t>:</w:t>
      </w:r>
      <w:r w:rsidRPr="004A3642">
        <w:rPr>
          <w:rFonts w:ascii="Abo-thar" w:hAnsi="Abo-thar" w:cs="KFGQPC Uthman Taha Naskh"/>
          <w:b/>
          <w:bCs/>
          <w:sz w:val="28"/>
          <w:rtl/>
        </w:rPr>
        <w:t xml:space="preserve"> سَابِقَتُكُمَا أَسْبَقُ أَمْ سَابِقَتِي</w:t>
      </w:r>
      <w:r w:rsidR="00217AB4" w:rsidRPr="004A3642">
        <w:rPr>
          <w:rFonts w:ascii="Abo-thar" w:hAnsi="Abo-thar" w:cs="KFGQPC Uthman Taha Naskh" w:hint="cs"/>
          <w:b/>
          <w:bCs/>
          <w:sz w:val="28"/>
          <w:rtl/>
        </w:rPr>
        <w:t>؟</w:t>
      </w:r>
      <w:r w:rsidRPr="004A3642">
        <w:rPr>
          <w:rFonts w:ascii="Abo-thar" w:hAnsi="Abo-thar" w:cs="KFGQPC Uthman Taha Naskh"/>
          <w:b/>
          <w:bCs/>
          <w:sz w:val="28"/>
          <w:rtl/>
        </w:rPr>
        <w:t xml:space="preserve"> قَالَا</w:t>
      </w:r>
      <w:r w:rsidR="00217AB4" w:rsidRPr="004A3642">
        <w:rPr>
          <w:rFonts w:ascii="Abo-thar" w:hAnsi="Abo-thar" w:cs="KFGQPC Uthman Taha Naskh" w:hint="cs"/>
          <w:b/>
          <w:bCs/>
          <w:sz w:val="28"/>
          <w:rtl/>
        </w:rPr>
        <w:t>:</w:t>
      </w:r>
      <w:r w:rsidRPr="004A3642">
        <w:rPr>
          <w:rFonts w:ascii="Abo-thar" w:hAnsi="Abo-thar" w:cs="KFGQPC Uthman Taha Naskh"/>
          <w:b/>
          <w:bCs/>
          <w:sz w:val="28"/>
          <w:rtl/>
        </w:rPr>
        <w:t xml:space="preserve"> سَابِقَتُكَ</w:t>
      </w:r>
      <w:r w:rsidR="00217AB4" w:rsidRPr="004A3642">
        <w:rPr>
          <w:rFonts w:ascii="Abo-thar" w:hAnsi="Abo-thar" w:cs="KFGQPC Uthman Taha Naskh" w:hint="cs"/>
          <w:b/>
          <w:bCs/>
          <w:sz w:val="28"/>
          <w:rtl/>
        </w:rPr>
        <w:t>.</w:t>
      </w:r>
      <w:r w:rsidRPr="004A3642">
        <w:rPr>
          <w:rFonts w:ascii="Abo-thar" w:hAnsi="Abo-thar" w:cs="KFGQPC Uthman Taha Naskh"/>
          <w:b/>
          <w:bCs/>
          <w:sz w:val="28"/>
          <w:rtl/>
        </w:rPr>
        <w:t xml:space="preserve"> قَالَ</w:t>
      </w:r>
      <w:r w:rsidR="00217AB4" w:rsidRPr="004A3642">
        <w:rPr>
          <w:rFonts w:ascii="Abo-thar" w:hAnsi="Abo-thar" w:cs="KFGQPC Uthman Taha Naskh" w:hint="cs"/>
          <w:b/>
          <w:bCs/>
          <w:sz w:val="28"/>
          <w:rtl/>
        </w:rPr>
        <w:t>:</w:t>
      </w:r>
      <w:r w:rsidRPr="004A3642">
        <w:rPr>
          <w:rFonts w:ascii="Abo-thar" w:hAnsi="Abo-thar" w:cs="KFGQPC Uthman Taha Naskh"/>
          <w:b/>
          <w:bCs/>
          <w:sz w:val="28"/>
          <w:rtl/>
        </w:rPr>
        <w:t xml:space="preserve"> فَقَرَابَتُكُمَا أَمْ قَرَابَتِي</w:t>
      </w:r>
      <w:r w:rsidR="00217AB4" w:rsidRPr="004A3642">
        <w:rPr>
          <w:rFonts w:ascii="Abo-thar" w:hAnsi="Abo-thar" w:cs="KFGQPC Uthman Taha Naskh" w:hint="cs"/>
          <w:b/>
          <w:bCs/>
          <w:sz w:val="28"/>
          <w:rtl/>
        </w:rPr>
        <w:t>؟</w:t>
      </w:r>
      <w:r w:rsidRPr="004A3642">
        <w:rPr>
          <w:rFonts w:ascii="Abo-thar" w:hAnsi="Abo-thar" w:cs="KFGQPC Uthman Taha Naskh"/>
          <w:b/>
          <w:bCs/>
          <w:sz w:val="28"/>
          <w:rtl/>
        </w:rPr>
        <w:t xml:space="preserve"> قَالَا</w:t>
      </w:r>
      <w:r w:rsidR="00217AB4" w:rsidRPr="004A3642">
        <w:rPr>
          <w:rFonts w:ascii="Abo-thar" w:hAnsi="Abo-thar" w:cs="KFGQPC Uthman Taha Naskh" w:hint="cs"/>
          <w:b/>
          <w:bCs/>
          <w:sz w:val="28"/>
          <w:rtl/>
        </w:rPr>
        <w:t>:</w:t>
      </w:r>
      <w:r w:rsidRPr="004A3642">
        <w:rPr>
          <w:rFonts w:ascii="Abo-thar" w:hAnsi="Abo-thar" w:cs="KFGQPC Uthman Taha Naskh"/>
          <w:b/>
          <w:bCs/>
          <w:sz w:val="28"/>
          <w:rtl/>
        </w:rPr>
        <w:t xml:space="preserve"> قَرَابَتُكَ</w:t>
      </w:r>
      <w:r w:rsidR="00217AB4" w:rsidRPr="004A3642">
        <w:rPr>
          <w:rFonts w:ascii="Abo-thar" w:hAnsi="Abo-thar" w:cs="KFGQPC Uthman Taha Naskh" w:hint="cs"/>
          <w:b/>
          <w:bCs/>
          <w:sz w:val="28"/>
          <w:rtl/>
        </w:rPr>
        <w:t>.</w:t>
      </w:r>
      <w:r w:rsidRPr="004A3642">
        <w:rPr>
          <w:rFonts w:ascii="Abo-thar" w:hAnsi="Abo-thar" w:cs="KFGQPC Uthman Taha Naskh"/>
          <w:b/>
          <w:bCs/>
          <w:sz w:val="28"/>
          <w:rtl/>
        </w:rPr>
        <w:t xml:space="preserve"> قَالَ فَعَنَاؤُكُمَا أَعْظَمُ مِنْ عَنَائِي</w:t>
      </w:r>
      <w:r w:rsidR="00217AB4" w:rsidRPr="004A3642">
        <w:rPr>
          <w:rFonts w:ascii="Abo-thar" w:hAnsi="Abo-thar" w:cs="KFGQPC Uthman Taha Naskh" w:hint="cs"/>
          <w:b/>
          <w:bCs/>
          <w:sz w:val="28"/>
          <w:rtl/>
        </w:rPr>
        <w:t>؟</w:t>
      </w:r>
      <w:r w:rsidRPr="004A3642">
        <w:rPr>
          <w:rFonts w:ascii="Abo-thar" w:hAnsi="Abo-thar" w:cs="KFGQPC Uthman Taha Naskh"/>
          <w:b/>
          <w:bCs/>
          <w:sz w:val="28"/>
          <w:rtl/>
        </w:rPr>
        <w:t xml:space="preserve"> قَالَا</w:t>
      </w:r>
      <w:r w:rsidR="00217AB4" w:rsidRPr="004A3642">
        <w:rPr>
          <w:rFonts w:ascii="Abo-thar" w:hAnsi="Abo-thar" w:cs="KFGQPC Uthman Taha Naskh" w:hint="cs"/>
          <w:b/>
          <w:bCs/>
          <w:sz w:val="28"/>
          <w:rtl/>
        </w:rPr>
        <w:t>:</w:t>
      </w:r>
      <w:r w:rsidRPr="004A3642">
        <w:rPr>
          <w:rFonts w:ascii="Abo-thar" w:hAnsi="Abo-thar" w:cs="KFGQPC Uthman Taha Naskh"/>
          <w:b/>
          <w:bCs/>
          <w:sz w:val="28"/>
          <w:rtl/>
        </w:rPr>
        <w:t xml:space="preserve"> عَنَاؤُكَ</w:t>
      </w:r>
      <w:r w:rsidR="00217AB4" w:rsidRPr="004A3642">
        <w:rPr>
          <w:rFonts w:ascii="Abo-thar" w:hAnsi="Abo-thar" w:cs="KFGQPC Uthman Taha Naskh" w:hint="cs"/>
          <w:b/>
          <w:bCs/>
          <w:sz w:val="28"/>
          <w:rtl/>
        </w:rPr>
        <w:t>.</w:t>
      </w:r>
      <w:r w:rsidRPr="004A3642">
        <w:rPr>
          <w:rFonts w:ascii="Abo-thar" w:hAnsi="Abo-thar" w:cs="KFGQPC Uthman Taha Naskh"/>
          <w:b/>
          <w:bCs/>
          <w:sz w:val="28"/>
          <w:rtl/>
        </w:rPr>
        <w:t xml:space="preserve"> قَالَ</w:t>
      </w:r>
      <w:r w:rsidR="00217AB4" w:rsidRPr="004A3642">
        <w:rPr>
          <w:rFonts w:ascii="Abo-thar" w:hAnsi="Abo-thar" w:cs="KFGQPC Uthman Taha Naskh" w:hint="cs"/>
          <w:b/>
          <w:bCs/>
          <w:sz w:val="28"/>
          <w:rtl/>
        </w:rPr>
        <w:t>:</w:t>
      </w:r>
      <w:r w:rsidRPr="004A3642">
        <w:rPr>
          <w:rFonts w:ascii="Abo-thar" w:hAnsi="Abo-thar" w:cs="KFGQPC Uthman Taha Naskh"/>
          <w:b/>
          <w:bCs/>
          <w:sz w:val="28"/>
          <w:rtl/>
        </w:rPr>
        <w:t xml:space="preserve"> فَوَ اللهِ مَا أَنَا وَأَجِيرِي هَذَا إِلَّا بِمَنْزِلَةٍ وَاحِدَة</w:t>
      </w:r>
      <w:r w:rsidR="00147857" w:rsidRPr="004A3642">
        <w:rPr>
          <w:rFonts w:ascii="Abo-thar" w:hAnsi="Abo-thar" w:cs="KFGQPC Uthman Taha Naskh" w:hint="cs"/>
          <w:b/>
          <w:bCs/>
          <w:sz w:val="28"/>
          <w:rtl/>
        </w:rPr>
        <w:t xml:space="preserve"> و</w:t>
      </w:r>
      <w:r w:rsidRPr="004A3642">
        <w:rPr>
          <w:rFonts w:ascii="Abo-thar" w:hAnsi="Abo-thar" w:cs="KFGQPC Uthman Taha Naskh"/>
          <w:b/>
          <w:bCs/>
          <w:sz w:val="28"/>
          <w:rtl/>
        </w:rPr>
        <w:t>أوم</w:t>
      </w:r>
      <w:r w:rsidRPr="004A3642">
        <w:rPr>
          <w:rFonts w:ascii="Abo-thar" w:hAnsi="Abo-thar" w:cs="KFGQPC Uthman Taha Naskh" w:hint="cs"/>
          <w:b/>
          <w:bCs/>
          <w:sz w:val="28"/>
          <w:rtl/>
        </w:rPr>
        <w:t>أ</w:t>
      </w:r>
      <w:r w:rsidRPr="004A3642">
        <w:rPr>
          <w:rFonts w:ascii="Abo-thar" w:hAnsi="Abo-thar" w:cs="KFGQPC Uthman Taha Naskh"/>
          <w:b/>
          <w:bCs/>
          <w:sz w:val="28"/>
          <w:rtl/>
        </w:rPr>
        <w:t xml:space="preserve"> بيده إلى الأجير</w:t>
      </w:r>
      <w:r w:rsidR="00EF2588" w:rsidRPr="004A3642">
        <w:rPr>
          <w:rFonts w:ascii="Abo-thar" w:hAnsi="Abo-thar" w:cs="KFGQPC Uthman Taha Naskh" w:hint="cs"/>
          <w:sz w:val="28"/>
          <w:rtl/>
        </w:rPr>
        <w:t>»</w:t>
      </w:r>
      <w:r w:rsidR="00F91B5E" w:rsidRPr="0021507A">
        <w:rPr>
          <w:rFonts w:ascii="Abo-thar" w:hAnsi="Abo-thar" w:cs="Arabic11 BT"/>
          <w:sz w:val="28"/>
          <w:vertAlign w:val="superscript"/>
          <w:rtl/>
        </w:rPr>
        <w:t>(</w:t>
      </w:r>
      <w:r w:rsidR="00F91B5E" w:rsidRPr="0021507A">
        <w:rPr>
          <w:rStyle w:val="FootnoteReference"/>
          <w:rFonts w:ascii="Abo-thar" w:hAnsi="Abo-thar" w:cs="Arabic11 BT"/>
          <w:sz w:val="28"/>
          <w:rtl/>
        </w:rPr>
        <w:footnoteReference w:id="144"/>
      </w:r>
      <w:r w:rsidR="00F91B5E" w:rsidRPr="0021507A">
        <w:rPr>
          <w:rFonts w:ascii="Abo-thar" w:hAnsi="Abo-thar" w:cs="Arabic11 BT"/>
          <w:sz w:val="28"/>
          <w:vertAlign w:val="superscript"/>
          <w:rtl/>
        </w:rPr>
        <w:t>)</w:t>
      </w:r>
      <w:r w:rsidR="00217AB4" w:rsidRPr="003F3B94">
        <w:rPr>
          <w:rFonts w:ascii="Abo-thar" w:hAnsi="Abo-thar" w:hint="cs"/>
          <w:sz w:val="28"/>
          <w:rtl/>
        </w:rPr>
        <w:t>.</w:t>
      </w:r>
    </w:p>
    <w:p w:rsidR="005C664D" w:rsidRPr="003F3B94" w:rsidRDefault="005C664D" w:rsidP="003F3B94">
      <w:pPr>
        <w:pStyle w:val="a0"/>
        <w:rPr>
          <w:rFonts w:hint="cs"/>
          <w:rtl/>
        </w:rPr>
      </w:pPr>
      <w:r w:rsidRPr="003F3B94">
        <w:rPr>
          <w:rFonts w:ascii="Abo-thar" w:hAnsi="Abo-thar" w:hint="cs"/>
          <w:sz w:val="28"/>
          <w:rtl/>
        </w:rPr>
        <w:t>هكذا كان سلوك أمير المؤمنين مع رجال قريش</w:t>
      </w:r>
      <w:r w:rsidR="00147857" w:rsidRPr="003F3B94">
        <w:rPr>
          <w:rFonts w:ascii="Abo-thar" w:hAnsi="Abo-thar" w:hint="cs"/>
          <w:sz w:val="28"/>
          <w:rtl/>
        </w:rPr>
        <w:t xml:space="preserve"> و</w:t>
      </w:r>
      <w:r w:rsidRPr="003F3B94">
        <w:rPr>
          <w:rFonts w:ascii="Abo-thar" w:hAnsi="Abo-thar" w:hint="cs"/>
          <w:sz w:val="28"/>
          <w:rtl/>
        </w:rPr>
        <w:t>أقربائه البعيدين عنه نَسَبِيَّاً هذا رغم أن «الزبير بن العوام» كان ابن عمته أي ابن صفية بنت عبدالمطلب</w:t>
      </w:r>
      <w:r w:rsidR="00217AB4" w:rsidRPr="003F3B94">
        <w:rPr>
          <w:rFonts w:ascii="Abo-thar" w:hAnsi="Abo-thar" w:hint="cs"/>
          <w:sz w:val="28"/>
          <w:rtl/>
        </w:rPr>
        <w:t>.</w:t>
      </w:r>
    </w:p>
    <w:p w:rsidR="005C664D" w:rsidRPr="003F3B94" w:rsidRDefault="005C664D" w:rsidP="003F3B94">
      <w:pPr>
        <w:pStyle w:val="a0"/>
        <w:rPr>
          <w:rFonts w:hint="cs"/>
          <w:rtl/>
        </w:rPr>
      </w:pPr>
      <w:r w:rsidRPr="003F3B94">
        <w:rPr>
          <w:rFonts w:ascii="Abo-thar" w:hAnsi="Abo-thar" w:hint="cs"/>
          <w:sz w:val="28"/>
          <w:rtl/>
        </w:rPr>
        <w:t xml:space="preserve">الآن لنرَ كيف سلوك أمير المؤمنين </w:t>
      </w:r>
      <w:r w:rsidR="003C7AEB" w:rsidRPr="003C7AEB">
        <w:rPr>
          <w:rFonts w:ascii="Abo-thar" w:hAnsi="Abo-thar" w:cs="CTraditional Arabic" w:hint="cs"/>
          <w:sz w:val="28"/>
          <w:rtl/>
        </w:rPr>
        <w:t>÷</w:t>
      </w:r>
      <w:r w:rsidRPr="003F3B94">
        <w:rPr>
          <w:rFonts w:ascii="Abo-thar" w:hAnsi="Abo-thar" w:hint="cs"/>
          <w:sz w:val="28"/>
          <w:rtl/>
        </w:rPr>
        <w:t xml:space="preserve"> مع أقربائه الأدنين ومع أبناء هاشم وعبد المطلب</w:t>
      </w:r>
      <w:r w:rsidR="00147857" w:rsidRPr="003F3B94">
        <w:rPr>
          <w:rFonts w:ascii="Abo-thar" w:hAnsi="Abo-thar" w:hint="cs"/>
          <w:sz w:val="28"/>
          <w:rtl/>
        </w:rPr>
        <w:t xml:space="preserve"> و</w:t>
      </w:r>
      <w:r w:rsidRPr="003F3B94">
        <w:rPr>
          <w:rFonts w:ascii="Abo-thar" w:hAnsi="Abo-thar" w:hint="cs"/>
          <w:sz w:val="28"/>
          <w:rtl/>
        </w:rPr>
        <w:t>أبي طالب وأي امتياز كان يرى لهم على غيرهم من المسلمين</w:t>
      </w:r>
      <w:r w:rsidR="00217AB4" w:rsidRPr="003F3B94">
        <w:rPr>
          <w:rFonts w:ascii="Abo-thar" w:hAnsi="Abo-thar" w:hint="cs"/>
          <w:sz w:val="28"/>
          <w:rtl/>
        </w:rPr>
        <w:t>:</w:t>
      </w:r>
    </w:p>
    <w:p w:rsidR="005C664D" w:rsidRPr="003F3B94" w:rsidRDefault="005C664D" w:rsidP="00833C06">
      <w:pPr>
        <w:pStyle w:val="a0"/>
        <w:rPr>
          <w:rFonts w:hint="cs"/>
          <w:rtl/>
        </w:rPr>
      </w:pPr>
      <w:r w:rsidRPr="003F3B94">
        <w:rPr>
          <w:rFonts w:ascii="Abo-thar" w:hAnsi="Abo-thar" w:hint="cs"/>
          <w:sz w:val="28"/>
          <w:rtl/>
        </w:rPr>
        <w:t>1</w:t>
      </w:r>
      <w:r w:rsidR="00217AB4" w:rsidRPr="003F3B94">
        <w:rPr>
          <w:rFonts w:ascii="Abo-thar" w:hAnsi="Abo-thar" w:hint="cs"/>
          <w:sz w:val="28"/>
          <w:rtl/>
        </w:rPr>
        <w:t>-</w:t>
      </w:r>
      <w:r w:rsidRPr="003F3B94">
        <w:rPr>
          <w:rFonts w:ascii="Abo-thar" w:hAnsi="Abo-thar" w:hint="cs"/>
          <w:sz w:val="28"/>
          <w:rtl/>
        </w:rPr>
        <w:t xml:space="preserve"> رُوِيَ في الكتب الموثوقة لاسيما في «نهج البلاغة» تلك الخطبة الشهيرة عن أمير المؤمنين والتي تبدأ بجملة</w:t>
      </w:r>
      <w:r w:rsidR="00217AB4" w:rsidRPr="003F3B94">
        <w:rPr>
          <w:rFonts w:ascii="Abo-thar" w:hAnsi="Abo-thar" w:hint="cs"/>
          <w:sz w:val="28"/>
          <w:rtl/>
        </w:rPr>
        <w:t>:</w:t>
      </w:r>
      <w:r w:rsidR="00833C06">
        <w:rPr>
          <w:rFonts w:ascii="Abo-thar" w:hAnsi="Abo-thar" w:hint="cs"/>
          <w:sz w:val="28"/>
          <w:rtl/>
        </w:rPr>
        <w:t xml:space="preserve"> </w:t>
      </w:r>
      <w:r w:rsidR="00EF2588" w:rsidRPr="004A3642">
        <w:rPr>
          <w:rFonts w:ascii="Abo-thar" w:hAnsi="Abo-thar" w:cs="KFGQPC Uthman Taha Naskh" w:hint="cs"/>
          <w:sz w:val="28"/>
          <w:rtl/>
        </w:rPr>
        <w:t>«</w:t>
      </w:r>
      <w:r w:rsidRPr="004A3642">
        <w:rPr>
          <w:rFonts w:ascii="Abo-thar" w:hAnsi="Abo-thar" w:cs="KFGQPC Uthman Taha Naskh"/>
          <w:b/>
          <w:bCs/>
          <w:sz w:val="28"/>
          <w:rtl/>
        </w:rPr>
        <w:t>وَ اللهِ لَأَنْ أَبِيتَ عَلَى حَسَكِ السَّعْدَانِ مُسَهَّداً أَوْ أُجَرَّ فِي الْأَغْلَالِ مُصَفَّداً أَحَبُّ إِلَيَّ مِنْ أَنْ أَلْقَى اللهَ وَرَسُولَهُ يَوْمَ الْقِيَامَةِ ظَالِماً لِبَعْضِ الْعِبَادِ وَغَاصِباً لِش</w:t>
      </w:r>
      <w:r w:rsidRPr="004A3642">
        <w:rPr>
          <w:rFonts w:ascii="Abo-thar" w:hAnsi="Abo-thar" w:cs="KFGQPC Uthman Taha Naskh" w:hint="cs"/>
          <w:b/>
          <w:bCs/>
          <w:sz w:val="28"/>
          <w:rtl/>
        </w:rPr>
        <w:t>َيءٍ</w:t>
      </w:r>
      <w:r w:rsidRPr="004A3642">
        <w:rPr>
          <w:rFonts w:ascii="Abo-thar" w:hAnsi="Abo-thar" w:cs="KFGQPC Uthman Taha Naskh"/>
          <w:b/>
          <w:bCs/>
          <w:sz w:val="28"/>
          <w:rtl/>
        </w:rPr>
        <w:t xml:space="preserve"> مِنَ الحُطَام‏</w:t>
      </w:r>
      <w:r w:rsidR="00217AB4" w:rsidRPr="004A3642">
        <w:rPr>
          <w:rFonts w:ascii="Abo-thar" w:hAnsi="Abo-thar" w:cs="KFGQPC Uthman Taha Naskh" w:hint="cs"/>
          <w:b/>
          <w:bCs/>
          <w:sz w:val="28"/>
          <w:rtl/>
        </w:rPr>
        <w:t>...</w:t>
      </w:r>
      <w:r w:rsidR="00EF2588" w:rsidRPr="004A3642">
        <w:rPr>
          <w:rFonts w:ascii="Abo-thar" w:hAnsi="Abo-thar" w:cs="KFGQPC Uthman Taha Naskh" w:hint="cs"/>
          <w:sz w:val="28"/>
          <w:rtl/>
        </w:rPr>
        <w:t>»</w:t>
      </w:r>
      <w:r w:rsidR="00147857" w:rsidRPr="003F3B94">
        <w:rPr>
          <w:rFonts w:ascii="Abo-thar" w:hAnsi="Abo-thar" w:hint="cs"/>
          <w:sz w:val="28"/>
          <w:rtl/>
        </w:rPr>
        <w:t xml:space="preserve"> </w:t>
      </w:r>
      <w:r w:rsidRPr="003F3B94">
        <w:rPr>
          <w:rFonts w:ascii="Abo-thar" w:hAnsi="Abo-thar" w:hint="cs"/>
          <w:sz w:val="28"/>
          <w:rtl/>
        </w:rPr>
        <w:t>حتى يصل إلى قوله</w:t>
      </w:r>
      <w:r w:rsidR="00217AB4" w:rsidRPr="003F3B94">
        <w:rPr>
          <w:rFonts w:ascii="Abo-thar" w:hAnsi="Abo-thar" w:hint="cs"/>
          <w:sz w:val="28"/>
          <w:rtl/>
        </w:rPr>
        <w:t>:</w:t>
      </w:r>
      <w:r w:rsidRPr="003F3B94">
        <w:rPr>
          <w:rFonts w:ascii="Abo-thar" w:hAnsi="Abo-thar" w:hint="cs"/>
          <w:sz w:val="28"/>
          <w:rtl/>
        </w:rPr>
        <w:t xml:space="preserve"> </w:t>
      </w:r>
      <w:r w:rsidR="00EF2588" w:rsidRPr="004A3642">
        <w:rPr>
          <w:rFonts w:ascii="Abo-thar" w:hAnsi="Abo-thar" w:cs="KFGQPC Uthman Taha Naskh" w:hint="cs"/>
          <w:sz w:val="28"/>
          <w:rtl/>
        </w:rPr>
        <w:t>«</w:t>
      </w:r>
      <w:r w:rsidRPr="004A3642">
        <w:rPr>
          <w:rFonts w:ascii="Abo-thar" w:hAnsi="Abo-thar" w:cs="KFGQPC Uthman Taha Naskh"/>
          <w:b/>
          <w:bCs/>
          <w:sz w:val="28"/>
          <w:rtl/>
        </w:rPr>
        <w:t>وَاللهِ لَقَدْ رَأَيْتُ عَقِيلًا وَقَدْ أَمْلَقَ حَتَّى اسْتَمَاحَنِي مِنْ بُرِّكُمْ صَاعاً وَرَأَيْتُ صِبْيَانَهُ شُعْثَ الشُّعُورِ غُبْرَ الْأَلْوَانِ مِنْ فَقْرِهِمْ كَأَنَّمَا سُوِّدَتْ وُجُوهُهُمْ بِالْعِظْلِمِ وَعَاوَدَنِي مُؤَكِّداً وَكَرَّرَ عَلَيَّ الْقَوْلَ مُرَدِّداً فَأَصْغَيْتُ إِلَيْهِ سَمْعِي فَظَنَّ أَنِّي أَبِيعُهُ دِينِي وَأَتَّبِعُ قِيَادَهُ مُفَارِقاً طَرِيقَتِي فَأَحْمَيْتُ‏</w:t>
      </w:r>
      <w:r w:rsidRPr="004A3642">
        <w:rPr>
          <w:rFonts w:ascii="Abo-thar" w:hAnsi="Abo-thar" w:cs="KFGQPC Uthman Taha Naskh" w:hint="cs"/>
          <w:b/>
          <w:bCs/>
          <w:sz w:val="28"/>
          <w:rtl/>
        </w:rPr>
        <w:t xml:space="preserve"> </w:t>
      </w:r>
      <w:r w:rsidRPr="004A3642">
        <w:rPr>
          <w:rFonts w:ascii="Abo-thar" w:hAnsi="Abo-thar" w:cs="KFGQPC Uthman Taha Naskh"/>
          <w:b/>
          <w:bCs/>
          <w:sz w:val="28"/>
          <w:rtl/>
        </w:rPr>
        <w:t>لَهُ حَدِيدَةً ثُمَّ أَدْنَيْتُهَا مِنْ جِسْمِهِ لِيَعْتَبِرَ بِهَا فَضَجَّ ضَجِيجَ ذِي دَنَفٍ مِنْ أَلَمِهَا وَكَادَ أَنْ يَحْتَرِقَ مِنْ مِيسَمِهَا فَقُلْتُ لَهُ</w:t>
      </w:r>
      <w:r w:rsidR="00217AB4" w:rsidRPr="004A3642">
        <w:rPr>
          <w:rFonts w:ascii="Abo-thar" w:hAnsi="Abo-thar" w:cs="KFGQPC Uthman Taha Naskh" w:hint="cs"/>
          <w:b/>
          <w:bCs/>
          <w:sz w:val="28"/>
          <w:rtl/>
        </w:rPr>
        <w:t>:</w:t>
      </w:r>
      <w:r w:rsidRPr="004A3642">
        <w:rPr>
          <w:rFonts w:ascii="Abo-thar" w:hAnsi="Abo-thar" w:cs="KFGQPC Uthman Taha Naskh"/>
          <w:b/>
          <w:bCs/>
          <w:sz w:val="28"/>
          <w:rtl/>
        </w:rPr>
        <w:t xml:space="preserve"> ثَكِلَتْكَ الثَّوَاكِلُ يَا عَقِيلُ</w:t>
      </w:r>
      <w:r w:rsidR="00217AB4" w:rsidRPr="004A3642">
        <w:rPr>
          <w:rFonts w:ascii="Abo-thar" w:hAnsi="Abo-thar" w:cs="KFGQPC Uthman Taha Naskh" w:hint="cs"/>
          <w:b/>
          <w:bCs/>
          <w:sz w:val="28"/>
          <w:rtl/>
        </w:rPr>
        <w:t>!</w:t>
      </w:r>
      <w:r w:rsidRPr="004A3642">
        <w:rPr>
          <w:rFonts w:ascii="Abo-thar" w:hAnsi="Abo-thar" w:cs="KFGQPC Uthman Taha Naskh"/>
          <w:b/>
          <w:bCs/>
          <w:sz w:val="28"/>
          <w:rtl/>
        </w:rPr>
        <w:t xml:space="preserve"> أَتَئِنُّ مِنْ حَدِيدَةٍ أَحْمَاهَا إِنْسَانُهَا لِلَعِبِهِ وَتَجُرُّنِي إِلَى نَارٍ سَجَرَهَا جَبَّارُهَا لِغَضَبِهِ</w:t>
      </w:r>
      <w:r w:rsidR="00217AB4" w:rsidRPr="004A3642">
        <w:rPr>
          <w:rFonts w:ascii="Abo-thar" w:hAnsi="Abo-thar" w:cs="KFGQPC Uthman Taha Naskh" w:hint="cs"/>
          <w:b/>
          <w:bCs/>
          <w:sz w:val="28"/>
          <w:rtl/>
        </w:rPr>
        <w:t>؟؟</w:t>
      </w:r>
      <w:r w:rsidRPr="004A3642">
        <w:rPr>
          <w:rFonts w:ascii="Abo-thar" w:hAnsi="Abo-thar" w:cs="KFGQPC Uthman Taha Naskh"/>
          <w:b/>
          <w:bCs/>
          <w:sz w:val="28"/>
          <w:rtl/>
        </w:rPr>
        <w:t xml:space="preserve"> أَتَئِنُّ مِنَ الْأَذَى وَلَا أَئِنُّ مِنْ لَظ</w:t>
      </w:r>
      <w:r w:rsidRPr="004A3642">
        <w:rPr>
          <w:rFonts w:ascii="Abo-thar" w:hAnsi="Abo-thar" w:cs="KFGQPC Uthman Taha Naskh" w:hint="cs"/>
          <w:b/>
          <w:bCs/>
          <w:sz w:val="28"/>
          <w:rtl/>
        </w:rPr>
        <w:t>ى</w:t>
      </w:r>
      <w:r w:rsidR="00217AB4" w:rsidRPr="004A3642">
        <w:rPr>
          <w:rFonts w:ascii="Abo-thar" w:hAnsi="Abo-thar" w:cs="KFGQPC Uthman Taha Naskh" w:hint="cs"/>
          <w:b/>
          <w:bCs/>
          <w:sz w:val="28"/>
          <w:rtl/>
        </w:rPr>
        <w:t>؟!</w:t>
      </w:r>
      <w:r w:rsidR="00EF2588" w:rsidRPr="004A3642">
        <w:rPr>
          <w:rFonts w:ascii="Abo-thar" w:hAnsi="Abo-thar" w:cs="KFGQPC Uthman Taha Naskh" w:hint="cs"/>
          <w:sz w:val="28"/>
          <w:rtl/>
        </w:rPr>
        <w:t>»</w:t>
      </w:r>
      <w:r w:rsidR="00F91B5E" w:rsidRPr="0021507A">
        <w:rPr>
          <w:rFonts w:ascii="Abo-thar" w:hAnsi="Abo-thar" w:cs="Arabic11 BT"/>
          <w:sz w:val="28"/>
          <w:vertAlign w:val="superscript"/>
          <w:rtl/>
        </w:rPr>
        <w:t>(</w:t>
      </w:r>
      <w:r w:rsidR="00F91B5E" w:rsidRPr="0021507A">
        <w:rPr>
          <w:rStyle w:val="FootnoteReference"/>
          <w:rFonts w:ascii="Abo-thar" w:hAnsi="Abo-thar" w:cs="Arabic11 BT"/>
          <w:sz w:val="28"/>
          <w:rtl/>
        </w:rPr>
        <w:footnoteReference w:id="145"/>
      </w:r>
      <w:r w:rsidR="00F91B5E" w:rsidRPr="0021507A">
        <w:rPr>
          <w:rFonts w:ascii="Abo-thar" w:hAnsi="Abo-thar" w:cs="Arabic11 BT"/>
          <w:sz w:val="28"/>
          <w:vertAlign w:val="superscript"/>
          <w:rtl/>
        </w:rPr>
        <w:t>)</w:t>
      </w:r>
      <w:r w:rsidR="00217AB4" w:rsidRPr="003F3B94">
        <w:rPr>
          <w:rFonts w:ascii="Abo-thar" w:hAnsi="Abo-thar" w:hint="cs"/>
          <w:sz w:val="28"/>
          <w:rtl/>
        </w:rPr>
        <w:t>.</w:t>
      </w:r>
    </w:p>
    <w:p w:rsidR="005C664D" w:rsidRPr="003F3B94" w:rsidRDefault="005C664D" w:rsidP="003F3B94">
      <w:pPr>
        <w:pStyle w:val="a0"/>
        <w:rPr>
          <w:rFonts w:hint="cs"/>
          <w:rtl/>
        </w:rPr>
      </w:pPr>
      <w:r w:rsidRPr="003F3B94">
        <w:rPr>
          <w:rFonts w:ascii="Abo-thar" w:hAnsi="Abo-thar" w:hint="cs"/>
          <w:sz w:val="28"/>
          <w:rtl/>
        </w:rPr>
        <w:t>وكما نعلم لم يستطع عقيل أن يقتنع بحقه من بيت المال في حكومة عدل عَلِيٍّ</w:t>
      </w:r>
      <w:r w:rsidR="00147857" w:rsidRPr="003F3B94">
        <w:rPr>
          <w:rFonts w:ascii="Abo-thar" w:hAnsi="Abo-thar" w:hint="cs"/>
          <w:sz w:val="28"/>
          <w:rtl/>
        </w:rPr>
        <w:t xml:space="preserve"> </w:t>
      </w:r>
      <w:r w:rsidR="003C7AEB" w:rsidRPr="003C7AEB">
        <w:rPr>
          <w:rFonts w:ascii="Abo-thar" w:hAnsi="Abo-thar" w:cs="CTraditional Arabic"/>
          <w:sz w:val="28"/>
          <w:rtl/>
        </w:rPr>
        <w:t>÷</w:t>
      </w:r>
      <w:r w:rsidR="00147857" w:rsidRPr="003F3B94">
        <w:rPr>
          <w:rFonts w:ascii="Abo-thar" w:hAnsi="Abo-thar"/>
          <w:sz w:val="28"/>
          <w:rtl/>
        </w:rPr>
        <w:t xml:space="preserve"> </w:t>
      </w:r>
      <w:r w:rsidRPr="003F3B94">
        <w:rPr>
          <w:rFonts w:ascii="Abo-thar" w:hAnsi="Abo-thar" w:hint="cs"/>
          <w:sz w:val="28"/>
          <w:rtl/>
        </w:rPr>
        <w:t>فذهب إلى معاوية [فأغدق عليه العطاء]</w:t>
      </w:r>
      <w:r w:rsidR="00217AB4" w:rsidRPr="003F3B94">
        <w:rPr>
          <w:rFonts w:ascii="Abo-thar" w:hAnsi="Abo-thar" w:hint="cs"/>
          <w:sz w:val="28"/>
          <w:rtl/>
        </w:rPr>
        <w:t>!</w:t>
      </w:r>
    </w:p>
    <w:p w:rsidR="005C664D" w:rsidRPr="003F3B94" w:rsidRDefault="005C664D" w:rsidP="00833C06">
      <w:pPr>
        <w:pStyle w:val="a0"/>
        <w:rPr>
          <w:rFonts w:hint="cs"/>
          <w:rtl/>
        </w:rPr>
      </w:pPr>
      <w:r w:rsidRPr="003F3B94">
        <w:rPr>
          <w:rFonts w:ascii="Abo-thar" w:hAnsi="Abo-thar" w:hint="cs"/>
          <w:sz w:val="28"/>
          <w:rtl/>
        </w:rPr>
        <w:t>2</w:t>
      </w:r>
      <w:r w:rsidR="00217AB4" w:rsidRPr="003F3B94">
        <w:rPr>
          <w:rFonts w:ascii="Abo-thar" w:hAnsi="Abo-thar" w:hint="cs"/>
          <w:sz w:val="28"/>
          <w:rtl/>
        </w:rPr>
        <w:t>-</w:t>
      </w:r>
      <w:r w:rsidRPr="003F3B94">
        <w:rPr>
          <w:rFonts w:ascii="Abo-thar" w:hAnsi="Abo-thar" w:hint="cs"/>
          <w:sz w:val="28"/>
          <w:rtl/>
        </w:rPr>
        <w:t xml:space="preserve"> روى السيوطي في كتابه «تاريخ الخلفاء</w:t>
      </w:r>
      <w:r w:rsidR="00F91B5E" w:rsidRPr="003F3B94">
        <w:rPr>
          <w:rFonts w:ascii="Abo-thar" w:hAnsi="Abo-thar" w:hint="cs"/>
          <w:sz w:val="28"/>
          <w:rtl/>
        </w:rPr>
        <w:t xml:space="preserve">» </w:t>
      </w:r>
      <w:r w:rsidRPr="003F3B94">
        <w:rPr>
          <w:rFonts w:ascii="Abo-thar" w:hAnsi="Abo-thar" w:hint="cs"/>
          <w:sz w:val="28"/>
          <w:rtl/>
        </w:rPr>
        <w:t>ما نصه</w:t>
      </w:r>
      <w:r w:rsidR="00217AB4" w:rsidRPr="003F3B94">
        <w:rPr>
          <w:rFonts w:ascii="Abo-thar" w:hAnsi="Abo-thar" w:hint="cs"/>
          <w:sz w:val="28"/>
          <w:rtl/>
        </w:rPr>
        <w:t>:</w:t>
      </w:r>
      <w:r w:rsidR="00833C06">
        <w:rPr>
          <w:rFonts w:ascii="Abo-thar" w:hAnsi="Abo-thar" w:hint="cs"/>
          <w:sz w:val="28"/>
          <w:rtl/>
        </w:rPr>
        <w:t xml:space="preserve"> </w:t>
      </w:r>
      <w:r w:rsidR="00EF2588" w:rsidRPr="004A3642">
        <w:rPr>
          <w:rFonts w:ascii="Abo-thar" w:hAnsi="Abo-thar" w:cs="KFGQPC Uthman Taha Naskh" w:hint="cs"/>
          <w:sz w:val="28"/>
          <w:rtl/>
        </w:rPr>
        <w:t>«</w:t>
      </w:r>
      <w:r w:rsidRPr="004A3642">
        <w:rPr>
          <w:rFonts w:ascii="Abo-thar" w:hAnsi="Abo-thar" w:cs="KFGQPC Uthman Taha Naskh"/>
          <w:b/>
          <w:bCs/>
          <w:sz w:val="28"/>
          <w:rtl/>
        </w:rPr>
        <w:t>وأخرج ابن عساكر عن حميد بن هلال أن عقيل بن أبي طالب سأل علياً فقال إني محتاج وإني فقير فأعطني</w:t>
      </w:r>
      <w:r w:rsidR="00217AB4" w:rsidRPr="004A3642">
        <w:rPr>
          <w:rFonts w:ascii="Abo-thar" w:hAnsi="Abo-thar" w:cs="KFGQPC Uthman Taha Naskh" w:hint="cs"/>
          <w:b/>
          <w:bCs/>
          <w:sz w:val="28"/>
          <w:rtl/>
        </w:rPr>
        <w:t>.</w:t>
      </w:r>
      <w:r w:rsidRPr="004A3642">
        <w:rPr>
          <w:rFonts w:ascii="Abo-thar" w:hAnsi="Abo-thar" w:cs="KFGQPC Uthman Taha Naskh"/>
          <w:b/>
          <w:bCs/>
          <w:sz w:val="28"/>
          <w:rtl/>
        </w:rPr>
        <w:t xml:space="preserve"> فقال</w:t>
      </w:r>
      <w:r w:rsidR="00217AB4" w:rsidRPr="004A3642">
        <w:rPr>
          <w:rFonts w:ascii="Abo-thar" w:hAnsi="Abo-thar" w:cs="KFGQPC Uthman Taha Naskh" w:hint="cs"/>
          <w:b/>
          <w:bCs/>
          <w:sz w:val="28"/>
          <w:rtl/>
        </w:rPr>
        <w:t>:</w:t>
      </w:r>
      <w:r w:rsidRPr="004A3642">
        <w:rPr>
          <w:rFonts w:ascii="Abo-thar" w:hAnsi="Abo-thar" w:cs="KFGQPC Uthman Taha Naskh"/>
          <w:b/>
          <w:bCs/>
          <w:sz w:val="28"/>
          <w:rtl/>
        </w:rPr>
        <w:t xml:space="preserve"> اصبر حتى يخرج عطائي مع المسلمين فأعطيك معهم</w:t>
      </w:r>
      <w:r w:rsidR="00217AB4" w:rsidRPr="004A3642">
        <w:rPr>
          <w:rFonts w:ascii="Abo-thar" w:hAnsi="Abo-thar" w:cs="KFGQPC Uthman Taha Naskh" w:hint="cs"/>
          <w:b/>
          <w:bCs/>
          <w:sz w:val="28"/>
          <w:rtl/>
        </w:rPr>
        <w:t>.</w:t>
      </w:r>
      <w:r w:rsidRPr="004A3642">
        <w:rPr>
          <w:rFonts w:ascii="Abo-thar" w:hAnsi="Abo-thar" w:cs="KFGQPC Uthman Taha Naskh"/>
          <w:b/>
          <w:bCs/>
          <w:sz w:val="28"/>
          <w:rtl/>
        </w:rPr>
        <w:t xml:space="preserve"> فألح</w:t>
      </w:r>
      <w:r w:rsidRPr="004A3642">
        <w:rPr>
          <w:rFonts w:ascii="Abo-thar" w:hAnsi="Abo-thar" w:cs="KFGQPC Uthman Taha Naskh" w:hint="cs"/>
          <w:b/>
          <w:bCs/>
          <w:sz w:val="28"/>
          <w:rtl/>
        </w:rPr>
        <w:t>َّ</w:t>
      </w:r>
      <w:r w:rsidRPr="004A3642">
        <w:rPr>
          <w:rFonts w:ascii="Abo-thar" w:hAnsi="Abo-thar" w:cs="KFGQPC Uthman Taha Naskh"/>
          <w:b/>
          <w:bCs/>
          <w:sz w:val="28"/>
          <w:rtl/>
        </w:rPr>
        <w:t xml:space="preserve"> عليه فقال لرجل</w:t>
      </w:r>
      <w:r w:rsidR="00217AB4" w:rsidRPr="004A3642">
        <w:rPr>
          <w:rFonts w:ascii="Abo-thar" w:hAnsi="Abo-thar" w:cs="KFGQPC Uthman Taha Naskh"/>
          <w:b/>
          <w:bCs/>
          <w:sz w:val="28"/>
          <w:rtl/>
        </w:rPr>
        <w:t>:</w:t>
      </w:r>
      <w:r w:rsidRPr="004A3642">
        <w:rPr>
          <w:rFonts w:ascii="Abo-thar" w:hAnsi="Abo-thar" w:cs="KFGQPC Uthman Taha Naskh"/>
          <w:b/>
          <w:bCs/>
          <w:sz w:val="28"/>
          <w:rtl/>
        </w:rPr>
        <w:t xml:space="preserve"> خذ بيده وانطلق به إلى حوانيت أهل السوق فقل</w:t>
      </w:r>
      <w:r w:rsidR="00217AB4" w:rsidRPr="004A3642">
        <w:rPr>
          <w:rFonts w:ascii="Abo-thar" w:hAnsi="Abo-thar" w:cs="KFGQPC Uthman Taha Naskh"/>
          <w:b/>
          <w:bCs/>
          <w:sz w:val="28"/>
          <w:rtl/>
        </w:rPr>
        <w:t>:</w:t>
      </w:r>
      <w:r w:rsidRPr="004A3642">
        <w:rPr>
          <w:rFonts w:ascii="Abo-thar" w:hAnsi="Abo-thar" w:cs="KFGQPC Uthman Taha Naskh"/>
          <w:b/>
          <w:bCs/>
          <w:sz w:val="28"/>
          <w:rtl/>
        </w:rPr>
        <w:t xml:space="preserve"> دق هذه الأقفال وخذ ما في هذه الحوانيت</w:t>
      </w:r>
      <w:r w:rsidR="00217AB4" w:rsidRPr="004A3642">
        <w:rPr>
          <w:rFonts w:ascii="Abo-thar" w:hAnsi="Abo-thar" w:cs="KFGQPC Uthman Taha Naskh" w:hint="cs"/>
          <w:b/>
          <w:bCs/>
          <w:sz w:val="28"/>
          <w:rtl/>
        </w:rPr>
        <w:t>،</w:t>
      </w:r>
      <w:r w:rsidRPr="004A3642">
        <w:rPr>
          <w:rFonts w:ascii="Abo-thar" w:hAnsi="Abo-thar" w:cs="KFGQPC Uthman Taha Naskh"/>
          <w:b/>
          <w:bCs/>
          <w:sz w:val="28"/>
          <w:rtl/>
        </w:rPr>
        <w:t xml:space="preserve"> قال</w:t>
      </w:r>
      <w:r w:rsidR="00217AB4" w:rsidRPr="004A3642">
        <w:rPr>
          <w:rFonts w:ascii="Abo-thar" w:hAnsi="Abo-thar" w:cs="KFGQPC Uthman Taha Naskh" w:hint="cs"/>
          <w:b/>
          <w:bCs/>
          <w:sz w:val="28"/>
          <w:rtl/>
        </w:rPr>
        <w:t>:</w:t>
      </w:r>
      <w:r w:rsidRPr="004A3642">
        <w:rPr>
          <w:rFonts w:ascii="Abo-thar" w:hAnsi="Abo-thar" w:cs="KFGQPC Uthman Taha Naskh"/>
          <w:b/>
          <w:bCs/>
          <w:sz w:val="28"/>
          <w:rtl/>
        </w:rPr>
        <w:t xml:space="preserve"> تريد أن تتخذني سارقاً</w:t>
      </w:r>
      <w:r w:rsidR="00217AB4" w:rsidRPr="004A3642">
        <w:rPr>
          <w:rFonts w:ascii="Abo-thar" w:hAnsi="Abo-thar" w:cs="KFGQPC Uthman Taha Naskh" w:hint="cs"/>
          <w:b/>
          <w:bCs/>
          <w:sz w:val="28"/>
          <w:rtl/>
        </w:rPr>
        <w:t>؟؟</w:t>
      </w:r>
      <w:r w:rsidRPr="004A3642">
        <w:rPr>
          <w:rFonts w:ascii="Abo-thar" w:hAnsi="Abo-thar" w:cs="KFGQPC Uthman Taha Naskh"/>
          <w:b/>
          <w:bCs/>
          <w:sz w:val="28"/>
          <w:rtl/>
        </w:rPr>
        <w:t xml:space="preserve"> قال</w:t>
      </w:r>
      <w:r w:rsidR="00217AB4" w:rsidRPr="004A3642">
        <w:rPr>
          <w:rFonts w:ascii="Abo-thar" w:hAnsi="Abo-thar" w:cs="KFGQPC Uthman Taha Naskh"/>
          <w:b/>
          <w:bCs/>
          <w:sz w:val="28"/>
          <w:rtl/>
        </w:rPr>
        <w:t>:</w:t>
      </w:r>
      <w:r w:rsidRPr="004A3642">
        <w:rPr>
          <w:rFonts w:ascii="Abo-thar" w:hAnsi="Abo-thar" w:cs="KFGQPC Uthman Taha Naskh"/>
          <w:b/>
          <w:bCs/>
          <w:sz w:val="28"/>
          <w:rtl/>
        </w:rPr>
        <w:t xml:space="preserve"> وأنت تريد أن تتخذني سارقاً أن آخذ أموال المسلمين فأعطيكها دونهم</w:t>
      </w:r>
      <w:r w:rsidR="00217AB4" w:rsidRPr="004A3642">
        <w:rPr>
          <w:rFonts w:ascii="Abo-thar" w:hAnsi="Abo-thar" w:cs="KFGQPC Uthman Taha Naskh" w:hint="cs"/>
          <w:b/>
          <w:bCs/>
          <w:sz w:val="28"/>
          <w:rtl/>
        </w:rPr>
        <w:t>؟!</w:t>
      </w:r>
      <w:r w:rsidRPr="004A3642">
        <w:rPr>
          <w:rFonts w:ascii="Abo-thar" w:hAnsi="Abo-thar" w:cs="KFGQPC Uthman Taha Naskh"/>
          <w:b/>
          <w:bCs/>
          <w:sz w:val="28"/>
          <w:rtl/>
        </w:rPr>
        <w:t xml:space="preserve"> قال</w:t>
      </w:r>
      <w:r w:rsidR="00217AB4" w:rsidRPr="004A3642">
        <w:rPr>
          <w:rFonts w:ascii="Abo-thar" w:hAnsi="Abo-thar" w:cs="KFGQPC Uthman Taha Naskh" w:hint="cs"/>
          <w:b/>
          <w:bCs/>
          <w:sz w:val="28"/>
          <w:rtl/>
        </w:rPr>
        <w:t>:</w:t>
      </w:r>
      <w:r w:rsidRPr="004A3642">
        <w:rPr>
          <w:rFonts w:ascii="Abo-thar" w:hAnsi="Abo-thar" w:cs="KFGQPC Uthman Taha Naskh"/>
          <w:b/>
          <w:bCs/>
          <w:sz w:val="28"/>
          <w:rtl/>
        </w:rPr>
        <w:t xml:space="preserve"> ل</w:t>
      </w:r>
      <w:r w:rsidRPr="004A3642">
        <w:rPr>
          <w:rFonts w:ascii="Abo-thar" w:hAnsi="Abo-thar" w:cs="KFGQPC Uthman Taha Naskh" w:hint="cs"/>
          <w:b/>
          <w:bCs/>
          <w:sz w:val="28"/>
          <w:rtl/>
        </w:rPr>
        <w:t>لآ</w:t>
      </w:r>
      <w:r w:rsidRPr="004A3642">
        <w:rPr>
          <w:rFonts w:ascii="Abo-thar" w:hAnsi="Abo-thar" w:cs="KFGQPC Uthman Taha Naskh"/>
          <w:b/>
          <w:bCs/>
          <w:sz w:val="28"/>
          <w:rtl/>
        </w:rPr>
        <w:t>تين معاوية قال</w:t>
      </w:r>
      <w:r w:rsidR="00217AB4" w:rsidRPr="004A3642">
        <w:rPr>
          <w:rFonts w:ascii="Abo-thar" w:hAnsi="Abo-thar" w:cs="KFGQPC Uthman Taha Naskh"/>
          <w:b/>
          <w:bCs/>
          <w:sz w:val="28"/>
          <w:rtl/>
        </w:rPr>
        <w:t>:</w:t>
      </w:r>
      <w:r w:rsidRPr="004A3642">
        <w:rPr>
          <w:rFonts w:ascii="Abo-thar" w:hAnsi="Abo-thar" w:cs="KFGQPC Uthman Taha Naskh"/>
          <w:b/>
          <w:bCs/>
          <w:sz w:val="28"/>
          <w:rtl/>
        </w:rPr>
        <w:t xml:space="preserve"> أنت وذاك فأتى معاوية فسأله فأعطاه مائة ألف ثم قال اصعد على المنبر فاذكر ما أولاك به على وما أوليتك فصعد فحمد الله وأثنى عليه ثم قال أيها الناس إني أخبركم أني أردت علياً على دينه فاختار دينه وأني أردت معاوية على دينه فاختارني على دينه</w:t>
      </w:r>
      <w:r w:rsidR="00EF2588" w:rsidRPr="004A3642">
        <w:rPr>
          <w:rFonts w:ascii="Abo-thar" w:hAnsi="Abo-thar" w:cs="KFGQPC Uthman Taha Naskh" w:hint="cs"/>
          <w:sz w:val="28"/>
          <w:rtl/>
        </w:rPr>
        <w:t>»</w:t>
      </w:r>
      <w:r w:rsidR="00F91B5E" w:rsidRPr="0021507A">
        <w:rPr>
          <w:rFonts w:ascii="Abo-thar" w:hAnsi="Abo-thar" w:cs="Arabic11 BT"/>
          <w:sz w:val="28"/>
          <w:vertAlign w:val="superscript"/>
          <w:rtl/>
        </w:rPr>
        <w:t>(</w:t>
      </w:r>
      <w:r w:rsidR="00F91B5E" w:rsidRPr="0021507A">
        <w:rPr>
          <w:rStyle w:val="FootnoteReference"/>
          <w:rFonts w:ascii="Abo-thar" w:hAnsi="Abo-thar" w:cs="Arabic11 BT"/>
          <w:sz w:val="28"/>
          <w:rtl/>
        </w:rPr>
        <w:footnoteReference w:id="146"/>
      </w:r>
      <w:r w:rsidR="00F91B5E" w:rsidRPr="0021507A">
        <w:rPr>
          <w:rFonts w:ascii="Abo-thar" w:hAnsi="Abo-thar" w:cs="Arabic11 BT"/>
          <w:sz w:val="28"/>
          <w:vertAlign w:val="superscript"/>
          <w:rtl/>
        </w:rPr>
        <w:t>)</w:t>
      </w:r>
      <w:r w:rsidR="00217AB4" w:rsidRPr="003F3B94">
        <w:rPr>
          <w:rFonts w:ascii="Abo-thar" w:hAnsi="Abo-thar" w:hint="cs"/>
          <w:sz w:val="28"/>
          <w:rtl/>
        </w:rPr>
        <w:t>.</w:t>
      </w:r>
    </w:p>
    <w:p w:rsidR="005C664D" w:rsidRPr="003F3B94" w:rsidRDefault="005C664D" w:rsidP="00833C06">
      <w:pPr>
        <w:pStyle w:val="a0"/>
        <w:rPr>
          <w:rFonts w:hint="cs"/>
          <w:rtl/>
        </w:rPr>
      </w:pPr>
      <w:r w:rsidRPr="003F3B94">
        <w:rPr>
          <w:rFonts w:ascii="Abo-thar" w:hAnsi="Abo-thar" w:hint="cs"/>
          <w:sz w:val="28"/>
          <w:rtl/>
        </w:rPr>
        <w:t>3</w:t>
      </w:r>
      <w:r w:rsidR="00217AB4" w:rsidRPr="003F3B94">
        <w:rPr>
          <w:rFonts w:ascii="Abo-thar" w:hAnsi="Abo-thar" w:hint="cs"/>
          <w:sz w:val="28"/>
          <w:rtl/>
        </w:rPr>
        <w:t>-</w:t>
      </w:r>
      <w:r w:rsidR="00147857" w:rsidRPr="003F3B94">
        <w:rPr>
          <w:rFonts w:ascii="Abo-thar" w:hAnsi="Abo-thar" w:hint="cs"/>
          <w:sz w:val="28"/>
          <w:rtl/>
        </w:rPr>
        <w:t xml:space="preserve"> و</w:t>
      </w:r>
      <w:r w:rsidRPr="003F3B94">
        <w:rPr>
          <w:rFonts w:ascii="Abo-thar" w:hAnsi="Abo-thar" w:hint="cs"/>
          <w:sz w:val="28"/>
          <w:rtl/>
        </w:rPr>
        <w:t>روى ابن أبي الحديد في شرحه على نهج البلاغة</w:t>
      </w:r>
      <w:r w:rsidR="00217AB4" w:rsidRPr="003F3B94">
        <w:rPr>
          <w:rFonts w:ascii="Abo-thar" w:hAnsi="Abo-thar" w:hint="cs"/>
          <w:sz w:val="28"/>
          <w:rtl/>
        </w:rPr>
        <w:t>،</w:t>
      </w:r>
      <w:r w:rsidR="00147857" w:rsidRPr="003F3B94">
        <w:rPr>
          <w:rFonts w:ascii="Abo-thar" w:hAnsi="Abo-thar" w:hint="cs"/>
          <w:sz w:val="28"/>
          <w:rtl/>
        </w:rPr>
        <w:t xml:space="preserve"> و</w:t>
      </w:r>
      <w:r w:rsidRPr="003F3B94">
        <w:rPr>
          <w:rFonts w:ascii="Abo-thar" w:hAnsi="Abo-thar" w:hint="cs"/>
          <w:sz w:val="28"/>
          <w:rtl/>
        </w:rPr>
        <w:t xml:space="preserve">المجلسي </w:t>
      </w:r>
      <w:r w:rsidR="00217AB4" w:rsidRPr="003F3B94">
        <w:rPr>
          <w:rFonts w:ascii="Abo-thar" w:hAnsi="Abo-thar" w:hint="cs"/>
          <w:sz w:val="28"/>
          <w:rtl/>
        </w:rPr>
        <w:t>(</w:t>
      </w:r>
      <w:r w:rsidRPr="003F3B94">
        <w:rPr>
          <w:rFonts w:ascii="Abo-thar" w:hAnsi="Abo-thar" w:hint="cs"/>
          <w:sz w:val="28"/>
          <w:rtl/>
        </w:rPr>
        <w:t>رحمه الله</w:t>
      </w:r>
      <w:r w:rsidR="00217AB4" w:rsidRPr="003F3B94">
        <w:rPr>
          <w:rFonts w:ascii="Abo-thar" w:hAnsi="Abo-thar" w:hint="cs"/>
          <w:sz w:val="28"/>
          <w:rtl/>
        </w:rPr>
        <w:t>)</w:t>
      </w:r>
      <w:r w:rsidRPr="003F3B94">
        <w:rPr>
          <w:rFonts w:ascii="Abo-thar" w:hAnsi="Abo-thar" w:hint="cs"/>
          <w:sz w:val="28"/>
          <w:rtl/>
        </w:rPr>
        <w:t xml:space="preserve"> في المجلد الثامن من بحار الأنوار</w:t>
      </w:r>
      <w:r w:rsidR="00217AB4" w:rsidRPr="003F3B94">
        <w:rPr>
          <w:rFonts w:ascii="Abo-thar" w:hAnsi="Abo-thar" w:hint="cs"/>
          <w:sz w:val="28"/>
          <w:rtl/>
        </w:rPr>
        <w:t>:</w:t>
      </w:r>
      <w:r w:rsidRPr="003F3B94">
        <w:rPr>
          <w:rFonts w:ascii="Abo-thar" w:hAnsi="Abo-thar" w:hint="cs"/>
          <w:sz w:val="28"/>
          <w:rtl/>
        </w:rPr>
        <w:t xml:space="preserve"> </w:t>
      </w:r>
      <w:r w:rsidR="00EF2588" w:rsidRPr="004A3642">
        <w:rPr>
          <w:rFonts w:ascii="Abo-thar" w:hAnsi="Abo-thar" w:cs="KFGQPC Uthman Taha Naskh" w:hint="cs"/>
          <w:sz w:val="28"/>
          <w:rtl/>
        </w:rPr>
        <w:t>«</w:t>
      </w:r>
      <w:r w:rsidRPr="004A3642">
        <w:rPr>
          <w:rFonts w:ascii="Abo-thar" w:hAnsi="Abo-thar" w:cs="KFGQPC Uthman Taha Naskh"/>
          <w:b/>
          <w:bCs/>
          <w:sz w:val="28"/>
          <w:rtl/>
        </w:rPr>
        <w:t>عَنْ هَارُونَ بْنِ سَعْدٍ قَالَ</w:t>
      </w:r>
      <w:r w:rsidR="00217AB4" w:rsidRPr="004A3642">
        <w:rPr>
          <w:rFonts w:ascii="Abo-thar" w:hAnsi="Abo-thar" w:cs="KFGQPC Uthman Taha Naskh" w:hint="cs"/>
          <w:b/>
          <w:bCs/>
          <w:sz w:val="28"/>
          <w:rtl/>
        </w:rPr>
        <w:t>:</w:t>
      </w:r>
      <w:r w:rsidRPr="004A3642">
        <w:rPr>
          <w:rFonts w:ascii="Abo-thar" w:hAnsi="Abo-thar" w:cs="KFGQPC Uthman Taha Naskh"/>
          <w:b/>
          <w:bCs/>
          <w:sz w:val="28"/>
          <w:rtl/>
        </w:rPr>
        <w:t xml:space="preserve"> قَالَ عَبْدُ اللهِ بْنُ جَعْفَرِ بْنِ أَبِي طَالِبٍ لِعَلِيٍّ</w:t>
      </w:r>
      <w:r w:rsidR="003C7AEB" w:rsidRPr="003C7AEB">
        <w:rPr>
          <w:rFonts w:ascii="Abo-thar" w:hAnsi="Abo-thar" w:cs="CTraditional Arabic"/>
          <w:b/>
          <w:sz w:val="28"/>
          <w:rtl/>
        </w:rPr>
        <w:t>÷</w:t>
      </w:r>
      <w:r w:rsidR="00217AB4" w:rsidRPr="004A3642">
        <w:rPr>
          <w:rFonts w:ascii="Abo-thar" w:hAnsi="Abo-thar" w:cs="KFGQPC Uthman Taha Naskh" w:hint="cs"/>
          <w:b/>
          <w:bCs/>
          <w:sz w:val="28"/>
          <w:rtl/>
        </w:rPr>
        <w:t>:</w:t>
      </w:r>
      <w:r w:rsidRPr="004A3642">
        <w:rPr>
          <w:rFonts w:ascii="Abo-thar" w:hAnsi="Abo-thar" w:cs="KFGQPC Uthman Taha Naskh"/>
          <w:b/>
          <w:bCs/>
          <w:sz w:val="28"/>
          <w:rtl/>
        </w:rPr>
        <w:t xml:space="preserve"> يَا أَمِيرَ المُؤْمِنِينَ</w:t>
      </w:r>
      <w:r w:rsidR="00217AB4" w:rsidRPr="004A3642">
        <w:rPr>
          <w:rFonts w:ascii="Abo-thar" w:hAnsi="Abo-thar" w:cs="KFGQPC Uthman Taha Naskh" w:hint="cs"/>
          <w:b/>
          <w:bCs/>
          <w:sz w:val="28"/>
          <w:rtl/>
        </w:rPr>
        <w:t>!</w:t>
      </w:r>
      <w:r w:rsidRPr="004A3642">
        <w:rPr>
          <w:rFonts w:ascii="Abo-thar" w:hAnsi="Abo-thar" w:cs="KFGQPC Uthman Taha Naskh"/>
          <w:b/>
          <w:bCs/>
          <w:sz w:val="28"/>
          <w:rtl/>
        </w:rPr>
        <w:t xml:space="preserve"> لَوْ أَمَرْتَ لِي</w:t>
      </w:r>
      <w:r w:rsidR="00F91B5E" w:rsidRPr="004A3642">
        <w:rPr>
          <w:rFonts w:ascii="Abo-thar" w:hAnsi="Abo-thar" w:cs="KFGQPC Uthman Taha Naskh"/>
          <w:b/>
          <w:bCs/>
          <w:sz w:val="28"/>
          <w:rtl/>
        </w:rPr>
        <w:t xml:space="preserve"> بِمَعُونَةٍ أَوْ نَفَقَةٍ فَوَ</w:t>
      </w:r>
      <w:r w:rsidRPr="004A3642">
        <w:rPr>
          <w:rFonts w:ascii="Abo-thar" w:hAnsi="Abo-thar" w:cs="KFGQPC Uthman Taha Naskh"/>
          <w:b/>
          <w:bCs/>
          <w:sz w:val="28"/>
          <w:rtl/>
        </w:rPr>
        <w:t>اللهِ مَا لِي نَفَقَةٌ إِلَّا أَنْ أَبِيعَ دَابَّتِي</w:t>
      </w:r>
      <w:r w:rsidR="00217AB4" w:rsidRPr="004A3642">
        <w:rPr>
          <w:rFonts w:ascii="Abo-thar" w:hAnsi="Abo-thar" w:cs="KFGQPC Uthman Taha Naskh"/>
          <w:b/>
          <w:bCs/>
          <w:sz w:val="28"/>
          <w:rtl/>
        </w:rPr>
        <w:t>.</w:t>
      </w:r>
      <w:r w:rsidRPr="004A3642">
        <w:rPr>
          <w:rFonts w:ascii="Abo-thar" w:hAnsi="Abo-thar" w:cs="KFGQPC Uthman Taha Naskh"/>
          <w:b/>
          <w:bCs/>
          <w:sz w:val="28"/>
          <w:rtl/>
        </w:rPr>
        <w:t xml:space="preserve"> فَقَالَ لَا وَاللهِ</w:t>
      </w:r>
      <w:r w:rsidR="00217AB4" w:rsidRPr="004A3642">
        <w:rPr>
          <w:rFonts w:ascii="Abo-thar" w:hAnsi="Abo-thar" w:cs="KFGQPC Uthman Taha Naskh"/>
          <w:b/>
          <w:bCs/>
          <w:sz w:val="28"/>
          <w:rtl/>
        </w:rPr>
        <w:t>،</w:t>
      </w:r>
      <w:r w:rsidRPr="004A3642">
        <w:rPr>
          <w:rFonts w:ascii="Abo-thar" w:hAnsi="Abo-thar" w:cs="KFGQPC Uthman Taha Naskh"/>
          <w:b/>
          <w:bCs/>
          <w:sz w:val="28"/>
          <w:rtl/>
        </w:rPr>
        <w:t xml:space="preserve"> مَا أَجِدُ لَكَ شَيْئاً إِلَّا أَنْ تَأْمُرَ عَمَّكَ يَسْرِقُ فَيُعْطِيكَ</w:t>
      </w:r>
      <w:r w:rsidR="00217AB4" w:rsidRPr="004A3642">
        <w:rPr>
          <w:rFonts w:ascii="Abo-thar" w:hAnsi="Abo-thar" w:cs="KFGQPC Uthman Taha Naskh" w:hint="cs"/>
          <w:b/>
          <w:bCs/>
          <w:sz w:val="28"/>
          <w:rtl/>
        </w:rPr>
        <w:t>!</w:t>
      </w:r>
      <w:r w:rsidR="00EF2588" w:rsidRPr="004A3642">
        <w:rPr>
          <w:rFonts w:ascii="Abo-thar" w:hAnsi="Abo-thar" w:cs="KFGQPC Uthman Taha Naskh" w:hint="cs"/>
          <w:sz w:val="28"/>
          <w:rtl/>
        </w:rPr>
        <w:t>»</w:t>
      </w:r>
      <w:r w:rsidR="00F91B5E" w:rsidRPr="0021507A">
        <w:rPr>
          <w:rFonts w:ascii="Abo-thar" w:hAnsi="Abo-thar" w:cs="Arabic11 BT"/>
          <w:sz w:val="28"/>
          <w:vertAlign w:val="superscript"/>
          <w:rtl/>
        </w:rPr>
        <w:t>(</w:t>
      </w:r>
      <w:r w:rsidR="00F91B5E" w:rsidRPr="0021507A">
        <w:rPr>
          <w:rStyle w:val="FootnoteReference"/>
          <w:rFonts w:ascii="Abo-thar" w:hAnsi="Abo-thar" w:cs="Arabic11 BT"/>
          <w:sz w:val="28"/>
          <w:rtl/>
        </w:rPr>
        <w:footnoteReference w:id="147"/>
      </w:r>
      <w:r w:rsidR="00F91B5E" w:rsidRPr="0021507A">
        <w:rPr>
          <w:rFonts w:ascii="Abo-thar" w:hAnsi="Abo-thar" w:cs="Arabic11 BT"/>
          <w:sz w:val="28"/>
          <w:vertAlign w:val="superscript"/>
          <w:rtl/>
        </w:rPr>
        <w:t>)</w:t>
      </w:r>
      <w:r w:rsidR="00F91B5E" w:rsidRPr="003F3B94">
        <w:rPr>
          <w:rFonts w:ascii="Abo-thar" w:hAnsi="Abo-thar" w:hint="cs"/>
          <w:sz w:val="28"/>
          <w:rtl/>
        </w:rPr>
        <w:t>.</w:t>
      </w:r>
    </w:p>
    <w:p w:rsidR="005C664D" w:rsidRPr="003F3B94" w:rsidRDefault="005C664D" w:rsidP="003F3B94">
      <w:pPr>
        <w:pStyle w:val="a0"/>
        <w:rPr>
          <w:rFonts w:hint="cs"/>
          <w:rtl/>
        </w:rPr>
      </w:pPr>
      <w:r w:rsidRPr="003F3B94">
        <w:rPr>
          <w:rFonts w:ascii="Abo-thar" w:hAnsi="Abo-thar" w:hint="cs"/>
          <w:sz w:val="28"/>
          <w:rtl/>
        </w:rPr>
        <w:t>4</w:t>
      </w:r>
      <w:r w:rsidR="00217AB4" w:rsidRPr="003F3B94">
        <w:rPr>
          <w:rFonts w:ascii="Abo-thar" w:hAnsi="Abo-thar" w:hint="cs"/>
          <w:sz w:val="28"/>
          <w:rtl/>
        </w:rPr>
        <w:t>-</w:t>
      </w:r>
      <w:r w:rsidRPr="003F3B94">
        <w:rPr>
          <w:rFonts w:ascii="Abo-thar" w:hAnsi="Abo-thar" w:hint="cs"/>
          <w:sz w:val="28"/>
          <w:rtl/>
        </w:rPr>
        <w:t xml:space="preserve"> روى ال</w:t>
      </w:r>
      <w:r w:rsidRPr="003F3B94">
        <w:rPr>
          <w:rFonts w:ascii="Abo-thar" w:hAnsi="Abo-thar"/>
          <w:sz w:val="28"/>
          <w:rtl/>
        </w:rPr>
        <w:t xml:space="preserve">شيخ </w:t>
      </w:r>
      <w:r w:rsidRPr="003F3B94">
        <w:rPr>
          <w:rFonts w:ascii="Abo-thar" w:hAnsi="Abo-thar" w:hint="cs"/>
          <w:sz w:val="28"/>
          <w:rtl/>
        </w:rPr>
        <w:t>«</w:t>
      </w:r>
      <w:r w:rsidRPr="003F3B94">
        <w:rPr>
          <w:rFonts w:ascii="Abo-thar" w:hAnsi="Abo-thar"/>
          <w:sz w:val="28"/>
          <w:rtl/>
        </w:rPr>
        <w:t xml:space="preserve">ورام بن </w:t>
      </w:r>
      <w:r w:rsidRPr="003F3B94">
        <w:rPr>
          <w:rFonts w:ascii="Abo-thar" w:hAnsi="Abo-thar" w:hint="cs"/>
          <w:sz w:val="28"/>
          <w:rtl/>
        </w:rPr>
        <w:t>أ</w:t>
      </w:r>
      <w:r w:rsidRPr="003F3B94">
        <w:rPr>
          <w:rFonts w:ascii="Abo-thar" w:hAnsi="Abo-thar"/>
          <w:sz w:val="28"/>
          <w:rtl/>
        </w:rPr>
        <w:t>بى فراس</w:t>
      </w:r>
      <w:r w:rsidRPr="003F3B94">
        <w:rPr>
          <w:rFonts w:ascii="Abo-thar" w:hAnsi="Abo-thar" w:hint="cs"/>
          <w:sz w:val="28"/>
          <w:rtl/>
        </w:rPr>
        <w:t>»</w:t>
      </w:r>
      <w:r w:rsidR="00217AB4" w:rsidRPr="0021507A">
        <w:rPr>
          <w:rFonts w:cs="Arabic11 BT"/>
          <w:b/>
          <w:sz w:val="28"/>
          <w:vertAlign w:val="superscript"/>
          <w:rtl/>
        </w:rPr>
        <w:t>(</w:t>
      </w:r>
      <w:r w:rsidRPr="0021507A">
        <w:rPr>
          <w:rStyle w:val="FootnoteReference"/>
          <w:rFonts w:cs="Arabic11 BT"/>
          <w:b/>
          <w:sz w:val="28"/>
          <w:rtl/>
        </w:rPr>
        <w:footnoteReference w:id="148"/>
      </w:r>
      <w:r w:rsidR="00217AB4" w:rsidRPr="0021507A">
        <w:rPr>
          <w:rFonts w:cs="Arabic11 BT"/>
          <w:b/>
          <w:sz w:val="28"/>
          <w:vertAlign w:val="superscript"/>
          <w:rtl/>
        </w:rPr>
        <w:t>)</w:t>
      </w:r>
      <w:r w:rsidRPr="003F3B94">
        <w:rPr>
          <w:sz w:val="28"/>
          <w:rtl/>
        </w:rPr>
        <w:t xml:space="preserve"> </w:t>
      </w:r>
      <w:r w:rsidRPr="003F3B94">
        <w:rPr>
          <w:rFonts w:ascii="Abo-thar" w:hAnsi="Abo-thar" w:hint="cs"/>
          <w:sz w:val="28"/>
          <w:rtl/>
        </w:rPr>
        <w:t>في «مجموعة ورام» والشيخ الطوسي في كتابه الشريف «تهذيب الأحكام» قصة استعارة ابنة أمير المؤمنين عقد لؤلؤ من بيت المال</w:t>
      </w:r>
      <w:r w:rsidR="00217AB4" w:rsidRPr="003F3B94">
        <w:rPr>
          <w:rFonts w:ascii="Abo-thar" w:hAnsi="Abo-thar" w:hint="cs"/>
          <w:sz w:val="28"/>
          <w:rtl/>
        </w:rPr>
        <w:t>،</w:t>
      </w:r>
      <w:r w:rsidRPr="003F3B94">
        <w:rPr>
          <w:rFonts w:ascii="Abo-thar" w:hAnsi="Abo-thar" w:hint="cs"/>
          <w:sz w:val="28"/>
          <w:rtl/>
        </w:rPr>
        <w:t xml:space="preserve"> وفيما يلي نصها</w:t>
      </w:r>
      <w:r w:rsidR="00217AB4" w:rsidRPr="003F3B94">
        <w:rPr>
          <w:rFonts w:ascii="Abo-thar" w:hAnsi="Abo-thar" w:hint="cs"/>
          <w:sz w:val="28"/>
          <w:rtl/>
        </w:rPr>
        <w:t>:</w:t>
      </w:r>
    </w:p>
    <w:p w:rsidR="005C664D" w:rsidRPr="00833C06" w:rsidRDefault="00EF2588" w:rsidP="00CD18FE">
      <w:pPr>
        <w:pStyle w:val="a0"/>
        <w:rPr>
          <w:rFonts w:hint="cs"/>
          <w:spacing w:val="-2"/>
          <w:rtl/>
        </w:rPr>
      </w:pPr>
      <w:r w:rsidRPr="00833C06">
        <w:rPr>
          <w:rFonts w:ascii="Abo-thar" w:hAnsi="Abo-thar" w:cs="KFGQPC Uthman Taha Naskh" w:hint="cs"/>
          <w:spacing w:val="-2"/>
          <w:sz w:val="28"/>
          <w:rtl/>
        </w:rPr>
        <w:t>«</w:t>
      </w:r>
      <w:r w:rsidR="005C664D" w:rsidRPr="00833C06">
        <w:rPr>
          <w:rFonts w:ascii="Abo-thar" w:hAnsi="Abo-thar" w:cs="KFGQPC Uthman Taha Naskh"/>
          <w:b/>
          <w:bCs/>
          <w:spacing w:val="-2"/>
          <w:sz w:val="28"/>
          <w:rtl/>
        </w:rPr>
        <w:t>عَنْ عَلِيِّ بْنِ أَبِي رَافِعٍ قَالَ</w:t>
      </w:r>
      <w:r w:rsidR="00CD18FE">
        <w:rPr>
          <w:rFonts w:ascii="Abo-thar" w:hAnsi="Abo-thar" w:cs="KFGQPC Uthman Taha Naskh" w:hint="cs"/>
          <w:b/>
          <w:bCs/>
          <w:spacing w:val="-2"/>
          <w:sz w:val="28"/>
          <w:rtl/>
        </w:rPr>
        <w:t>:</w:t>
      </w:r>
      <w:r w:rsidR="005C664D" w:rsidRPr="00833C06">
        <w:rPr>
          <w:rFonts w:ascii="Abo-thar" w:hAnsi="Abo-thar" w:cs="KFGQPC Uthman Taha Naskh"/>
          <w:b/>
          <w:bCs/>
          <w:spacing w:val="-2"/>
          <w:sz w:val="28"/>
          <w:rtl/>
        </w:rPr>
        <w:t xml:space="preserve"> كُنْتُ عَلَى بَيْتِ مَالِ عَلِيِّ بْنِ أَبِي طَالِبٍ </w:t>
      </w:r>
      <w:r w:rsidR="00BC4BA9" w:rsidRPr="00833C06">
        <w:rPr>
          <w:rFonts w:ascii="Abo-thar" w:hAnsi="Abo-thar" w:cs="CTraditional Arabic" w:hint="cs"/>
          <w:b/>
          <w:spacing w:val="-2"/>
          <w:sz w:val="28"/>
          <w:rtl/>
        </w:rPr>
        <w:t>÷</w:t>
      </w:r>
      <w:r w:rsidR="005C664D" w:rsidRPr="00833C06">
        <w:rPr>
          <w:rFonts w:ascii="Abo-thar" w:hAnsi="Abo-thar" w:cs="KFGQPC Uthman Taha Naskh"/>
          <w:b/>
          <w:bCs/>
          <w:spacing w:val="-2"/>
          <w:sz w:val="28"/>
          <w:rtl/>
        </w:rPr>
        <w:t xml:space="preserve"> وَكَاتِبَهُ وَكَانَ فِي بَيْتِ مَالِهِ عِقْدُ لُؤْلُؤٍ كَانَ أَصَابَهُ يَوْمَ الْبَصْرَةِ قَالَ</w:t>
      </w:r>
      <w:r w:rsidR="00CD18FE">
        <w:rPr>
          <w:rFonts w:ascii="Abo-thar" w:hAnsi="Abo-thar" w:cs="KFGQPC Uthman Taha Naskh" w:hint="cs"/>
          <w:b/>
          <w:bCs/>
          <w:spacing w:val="-2"/>
          <w:sz w:val="28"/>
          <w:rtl/>
        </w:rPr>
        <w:t>:</w:t>
      </w:r>
      <w:r w:rsidR="005C664D" w:rsidRPr="00833C06">
        <w:rPr>
          <w:rFonts w:ascii="Abo-thar" w:hAnsi="Abo-thar" w:cs="KFGQPC Uthman Taha Naskh"/>
          <w:b/>
          <w:bCs/>
          <w:spacing w:val="-2"/>
          <w:sz w:val="28"/>
          <w:rtl/>
        </w:rPr>
        <w:t xml:space="preserve"> فَأَرْسَلَتْ إِلَيَّ بِنْتُ عَلِيِّ بْنِ أَبِي طَالِبٍ </w:t>
      </w:r>
      <w:r w:rsidR="00BC4BA9" w:rsidRPr="00833C06">
        <w:rPr>
          <w:rFonts w:ascii="Abo-thar" w:hAnsi="Abo-thar" w:cs="CTraditional Arabic"/>
          <w:b/>
          <w:spacing w:val="-2"/>
          <w:sz w:val="28"/>
          <w:rtl/>
        </w:rPr>
        <w:t>÷</w:t>
      </w:r>
      <w:r w:rsidR="005C664D" w:rsidRPr="00833C06">
        <w:rPr>
          <w:rFonts w:ascii="Abo-thar" w:hAnsi="Abo-thar" w:cs="KFGQPC Uthman Taha Naskh"/>
          <w:b/>
          <w:bCs/>
          <w:spacing w:val="-2"/>
          <w:sz w:val="28"/>
          <w:rtl/>
        </w:rPr>
        <w:t xml:space="preserve"> فَقَالَتْ لِي</w:t>
      </w:r>
      <w:r w:rsidR="00CD18FE">
        <w:rPr>
          <w:rFonts w:ascii="Abo-thar" w:hAnsi="Abo-thar" w:cs="KFGQPC Uthman Taha Naskh" w:hint="cs"/>
          <w:b/>
          <w:bCs/>
          <w:spacing w:val="-2"/>
          <w:sz w:val="28"/>
          <w:rtl/>
        </w:rPr>
        <w:t>:</w:t>
      </w:r>
      <w:r w:rsidR="005C664D" w:rsidRPr="00833C06">
        <w:rPr>
          <w:rFonts w:ascii="Abo-thar" w:hAnsi="Abo-thar" w:cs="KFGQPC Uthman Taha Naskh"/>
          <w:b/>
          <w:bCs/>
          <w:spacing w:val="-2"/>
          <w:sz w:val="28"/>
          <w:rtl/>
        </w:rPr>
        <w:t xml:space="preserve"> بَلَغَنِي أَنَّ فِي بَيْتِ مَالِ أَمِيرِ المُؤْمِنِينَ </w:t>
      </w:r>
      <w:r w:rsidR="00BC4BA9" w:rsidRPr="00833C06">
        <w:rPr>
          <w:rFonts w:ascii="Abo-thar" w:hAnsi="Abo-thar" w:cs="CTraditional Arabic"/>
          <w:b/>
          <w:spacing w:val="-2"/>
          <w:sz w:val="28"/>
          <w:rtl/>
        </w:rPr>
        <w:t>÷</w:t>
      </w:r>
      <w:r w:rsidR="005C664D" w:rsidRPr="00833C06">
        <w:rPr>
          <w:rFonts w:ascii="Abo-thar" w:hAnsi="Abo-thar" w:cs="KFGQPC Uthman Taha Naskh"/>
          <w:b/>
          <w:bCs/>
          <w:spacing w:val="-2"/>
          <w:sz w:val="28"/>
          <w:rtl/>
        </w:rPr>
        <w:t xml:space="preserve"> عِقْدَ لُؤْلُؤٍ وَهُوَ فِي يَدِكَ وَأَنَا أُحِبُّ أَنْ تُعِيرَنِيهِ أَتَجَمَّلُ بِهِ فِي أَيَّامِ عِيدِ الْأَضْحَى فَأَرْسَلْتُ إِلَيْهَا عَارِيَّةً مَضْمُونَةً مَرْدُودَةً يَا بِنْتَ أَمِيرِ المُؤْمِنِينَ فَقَالَتْ</w:t>
      </w:r>
      <w:r w:rsidR="00CD18FE">
        <w:rPr>
          <w:rFonts w:ascii="Abo-thar" w:hAnsi="Abo-thar" w:cs="KFGQPC Uthman Taha Naskh" w:hint="cs"/>
          <w:b/>
          <w:bCs/>
          <w:spacing w:val="-2"/>
          <w:sz w:val="28"/>
          <w:rtl/>
        </w:rPr>
        <w:t>:</w:t>
      </w:r>
      <w:r w:rsidR="005C664D" w:rsidRPr="00833C06">
        <w:rPr>
          <w:rFonts w:ascii="Abo-thar" w:hAnsi="Abo-thar" w:cs="KFGQPC Uthman Taha Naskh"/>
          <w:b/>
          <w:bCs/>
          <w:spacing w:val="-2"/>
          <w:sz w:val="28"/>
          <w:rtl/>
        </w:rPr>
        <w:t xml:space="preserve"> نَعَمْ عَارِيَّةً مَضْمُونَةً مَرْدُودَةً بَعْدَ ثَلَاثَةِ أَيَّامٍ فَدَفَعْتُهُ إِلَيْهَا وَإِنَّ أَمِيرَ المُؤْمِنِينَ </w:t>
      </w:r>
      <w:r w:rsidR="00BC4BA9" w:rsidRPr="00833C06">
        <w:rPr>
          <w:rFonts w:ascii="Abo-thar" w:hAnsi="Abo-thar" w:cs="CTraditional Arabic" w:hint="cs"/>
          <w:b/>
          <w:spacing w:val="-2"/>
          <w:sz w:val="28"/>
          <w:rtl/>
        </w:rPr>
        <w:t>÷</w:t>
      </w:r>
      <w:r w:rsidR="005C664D" w:rsidRPr="00833C06">
        <w:rPr>
          <w:rFonts w:ascii="Abo-thar" w:hAnsi="Abo-thar" w:cs="KFGQPC Uthman Taha Naskh"/>
          <w:b/>
          <w:bCs/>
          <w:spacing w:val="-2"/>
          <w:sz w:val="28"/>
          <w:rtl/>
        </w:rPr>
        <w:t xml:space="preserve"> رَآهُ عَلَيْهَا فَعَرَفَهُ فَقَالَ لَهَا</w:t>
      </w:r>
      <w:r w:rsidR="00CD18FE">
        <w:rPr>
          <w:rFonts w:ascii="Abo-thar" w:hAnsi="Abo-thar" w:cs="KFGQPC Uthman Taha Naskh" w:hint="cs"/>
          <w:b/>
          <w:bCs/>
          <w:spacing w:val="-2"/>
          <w:sz w:val="28"/>
          <w:rtl/>
        </w:rPr>
        <w:t>:</w:t>
      </w:r>
      <w:r w:rsidR="005C664D" w:rsidRPr="00833C06">
        <w:rPr>
          <w:rFonts w:ascii="Abo-thar" w:hAnsi="Abo-thar" w:cs="KFGQPC Uthman Taha Naskh"/>
          <w:b/>
          <w:bCs/>
          <w:spacing w:val="-2"/>
          <w:sz w:val="28"/>
          <w:rtl/>
        </w:rPr>
        <w:t xml:space="preserve"> مِنْ أَيْنَ صَارَ إِلَيْكِ هَذَا الْعِقْدُ</w:t>
      </w:r>
      <w:r w:rsidR="00217AB4" w:rsidRPr="00833C06">
        <w:rPr>
          <w:rFonts w:ascii="Abo-thar" w:hAnsi="Abo-thar" w:cs="KFGQPC Uthman Taha Naskh" w:hint="cs"/>
          <w:b/>
          <w:bCs/>
          <w:spacing w:val="-2"/>
          <w:sz w:val="28"/>
          <w:rtl/>
        </w:rPr>
        <w:t>؟</w:t>
      </w:r>
      <w:r w:rsidR="005C664D" w:rsidRPr="00833C06">
        <w:rPr>
          <w:rFonts w:ascii="Abo-thar" w:hAnsi="Abo-thar" w:cs="KFGQPC Uthman Taha Naskh"/>
          <w:b/>
          <w:bCs/>
          <w:spacing w:val="-2"/>
          <w:sz w:val="28"/>
          <w:rtl/>
        </w:rPr>
        <w:t xml:space="preserve"> فَقَالَتِ</w:t>
      </w:r>
      <w:r w:rsidR="00217AB4" w:rsidRPr="00833C06">
        <w:rPr>
          <w:rFonts w:ascii="Abo-thar" w:hAnsi="Abo-thar" w:cs="KFGQPC Uthman Taha Naskh" w:hint="cs"/>
          <w:b/>
          <w:bCs/>
          <w:spacing w:val="-2"/>
          <w:sz w:val="28"/>
          <w:rtl/>
        </w:rPr>
        <w:t>:</w:t>
      </w:r>
      <w:r w:rsidR="005C664D" w:rsidRPr="00833C06">
        <w:rPr>
          <w:rFonts w:ascii="Abo-thar" w:hAnsi="Abo-thar" w:cs="KFGQPC Uthman Taha Naskh"/>
          <w:b/>
          <w:bCs/>
          <w:spacing w:val="-2"/>
          <w:sz w:val="28"/>
          <w:rtl/>
        </w:rPr>
        <w:t xml:space="preserve"> اسْتَعَرْتُهُ مِنْ عَلِيِّ بْنِ أَبِي رَافِعٍ خَازِنِ بَيْتِ مَالِ أَمِيرِ المُؤْمِنِينَ لِأَتَزَيَّنَ بِهِ فِي الْعِيدِ ثُمَّ أَرُدُّهُ</w:t>
      </w:r>
      <w:r w:rsidR="00217AB4" w:rsidRPr="00833C06">
        <w:rPr>
          <w:rFonts w:ascii="Abo-thar" w:hAnsi="Abo-thar" w:cs="KFGQPC Uthman Taha Naskh" w:hint="cs"/>
          <w:b/>
          <w:bCs/>
          <w:spacing w:val="-2"/>
          <w:sz w:val="28"/>
          <w:rtl/>
        </w:rPr>
        <w:t>.</w:t>
      </w:r>
      <w:r w:rsidR="005C664D" w:rsidRPr="00833C06">
        <w:rPr>
          <w:rFonts w:ascii="Abo-thar" w:hAnsi="Abo-thar" w:cs="KFGQPC Uthman Taha Naskh"/>
          <w:b/>
          <w:bCs/>
          <w:spacing w:val="-2"/>
          <w:sz w:val="28"/>
          <w:rtl/>
        </w:rPr>
        <w:t xml:space="preserve"> قَالَ</w:t>
      </w:r>
      <w:r w:rsidR="00CD18FE">
        <w:rPr>
          <w:rFonts w:ascii="Abo-thar" w:hAnsi="Abo-thar" w:cs="KFGQPC Uthman Taha Naskh" w:hint="cs"/>
          <w:b/>
          <w:bCs/>
          <w:spacing w:val="-2"/>
          <w:sz w:val="28"/>
          <w:rtl/>
        </w:rPr>
        <w:t>:</w:t>
      </w:r>
      <w:r w:rsidR="005C664D" w:rsidRPr="00833C06">
        <w:rPr>
          <w:rFonts w:ascii="Abo-thar" w:hAnsi="Abo-thar" w:cs="KFGQPC Uthman Taha Naskh"/>
          <w:b/>
          <w:bCs/>
          <w:spacing w:val="-2"/>
          <w:sz w:val="28"/>
          <w:rtl/>
        </w:rPr>
        <w:t xml:space="preserve"> فَبَعَثَ إِلَيَّ أَمِيرُ المُؤْمِنِينَ</w:t>
      </w:r>
      <w:r w:rsidR="00BC4BA9" w:rsidRPr="00833C06">
        <w:rPr>
          <w:rFonts w:ascii="Abo-thar" w:hAnsi="Abo-thar" w:cs="CTraditional Arabic" w:hint="cs"/>
          <w:b/>
          <w:spacing w:val="-2"/>
          <w:sz w:val="28"/>
          <w:rtl/>
        </w:rPr>
        <w:t>÷</w:t>
      </w:r>
      <w:r w:rsidR="005C664D" w:rsidRPr="00833C06">
        <w:rPr>
          <w:rFonts w:ascii="Abo-thar" w:hAnsi="Abo-thar" w:cs="KFGQPC Uthman Taha Naskh"/>
          <w:b/>
          <w:bCs/>
          <w:spacing w:val="-2"/>
          <w:sz w:val="28"/>
          <w:rtl/>
        </w:rPr>
        <w:t xml:space="preserve"> فَجِئْتُهُ</w:t>
      </w:r>
      <w:r w:rsidR="00217AB4" w:rsidRPr="00833C06">
        <w:rPr>
          <w:rFonts w:ascii="Abo-thar" w:hAnsi="Abo-thar" w:cs="KFGQPC Uthman Taha Naskh" w:hint="cs"/>
          <w:b/>
          <w:bCs/>
          <w:spacing w:val="-2"/>
          <w:sz w:val="28"/>
          <w:rtl/>
        </w:rPr>
        <w:t>،</w:t>
      </w:r>
      <w:r w:rsidR="005C664D" w:rsidRPr="00833C06">
        <w:rPr>
          <w:rFonts w:ascii="Abo-thar" w:hAnsi="Abo-thar" w:cs="KFGQPC Uthman Taha Naskh"/>
          <w:b/>
          <w:bCs/>
          <w:spacing w:val="-2"/>
          <w:sz w:val="28"/>
          <w:rtl/>
        </w:rPr>
        <w:t xml:space="preserve"> فَقَالَ لِي</w:t>
      </w:r>
      <w:r w:rsidR="00217AB4" w:rsidRPr="00833C06">
        <w:rPr>
          <w:rFonts w:ascii="Abo-thar" w:hAnsi="Abo-thar" w:cs="KFGQPC Uthman Taha Naskh" w:hint="cs"/>
          <w:b/>
          <w:bCs/>
          <w:spacing w:val="-2"/>
          <w:sz w:val="28"/>
          <w:rtl/>
        </w:rPr>
        <w:t>:</w:t>
      </w:r>
      <w:r w:rsidR="005C664D" w:rsidRPr="00833C06">
        <w:rPr>
          <w:rFonts w:ascii="Abo-thar" w:hAnsi="Abo-thar" w:cs="KFGQPC Uthman Taha Naskh"/>
          <w:b/>
          <w:bCs/>
          <w:spacing w:val="-2"/>
          <w:sz w:val="28"/>
          <w:rtl/>
        </w:rPr>
        <w:t xml:space="preserve"> أَتَخُونُ المُسْلِمِينَ يَا ابْنَ أَبِي رَافِعٍ</w:t>
      </w:r>
      <w:r w:rsidR="00217AB4" w:rsidRPr="00833C06">
        <w:rPr>
          <w:rFonts w:ascii="Abo-thar" w:hAnsi="Abo-thar" w:cs="KFGQPC Uthman Taha Naskh" w:hint="cs"/>
          <w:b/>
          <w:bCs/>
          <w:spacing w:val="-2"/>
          <w:sz w:val="28"/>
          <w:rtl/>
        </w:rPr>
        <w:t>؟</w:t>
      </w:r>
      <w:r w:rsidR="005C664D" w:rsidRPr="00833C06">
        <w:rPr>
          <w:rFonts w:ascii="Abo-thar" w:hAnsi="Abo-thar" w:cs="KFGQPC Uthman Taha Naskh"/>
          <w:b/>
          <w:bCs/>
          <w:spacing w:val="-2"/>
          <w:sz w:val="28"/>
          <w:rtl/>
        </w:rPr>
        <w:t xml:space="preserve"> فَقُلْتُ لَهُ</w:t>
      </w:r>
      <w:r w:rsidR="00217AB4" w:rsidRPr="00833C06">
        <w:rPr>
          <w:rFonts w:ascii="Abo-thar" w:hAnsi="Abo-thar" w:cs="KFGQPC Uthman Taha Naskh" w:hint="cs"/>
          <w:b/>
          <w:bCs/>
          <w:spacing w:val="-2"/>
          <w:sz w:val="28"/>
          <w:rtl/>
        </w:rPr>
        <w:t>:</w:t>
      </w:r>
      <w:r w:rsidR="005C664D" w:rsidRPr="00833C06">
        <w:rPr>
          <w:rFonts w:ascii="Abo-thar" w:hAnsi="Abo-thar" w:cs="KFGQPC Uthman Taha Naskh"/>
          <w:b/>
          <w:bCs/>
          <w:spacing w:val="-2"/>
          <w:sz w:val="28"/>
          <w:rtl/>
        </w:rPr>
        <w:t xml:space="preserve"> مَعَاذَ اللهِ أَنْ أَخُونَ المُسْلِمِينَ</w:t>
      </w:r>
      <w:r w:rsidR="00217AB4" w:rsidRPr="00833C06">
        <w:rPr>
          <w:rFonts w:ascii="Abo-thar" w:hAnsi="Abo-thar" w:cs="KFGQPC Uthman Taha Naskh" w:hint="cs"/>
          <w:b/>
          <w:bCs/>
          <w:spacing w:val="-2"/>
          <w:sz w:val="28"/>
          <w:rtl/>
        </w:rPr>
        <w:t>!</w:t>
      </w:r>
      <w:r w:rsidR="005C664D" w:rsidRPr="00833C06">
        <w:rPr>
          <w:rFonts w:ascii="Abo-thar" w:hAnsi="Abo-thar" w:cs="KFGQPC Uthman Taha Naskh"/>
          <w:b/>
          <w:bCs/>
          <w:spacing w:val="-2"/>
          <w:sz w:val="28"/>
          <w:rtl/>
        </w:rPr>
        <w:t xml:space="preserve"> فَقَالَ</w:t>
      </w:r>
      <w:r w:rsidR="00217AB4" w:rsidRPr="00833C06">
        <w:rPr>
          <w:rFonts w:ascii="Abo-thar" w:hAnsi="Abo-thar" w:cs="KFGQPC Uthman Taha Naskh" w:hint="cs"/>
          <w:b/>
          <w:bCs/>
          <w:spacing w:val="-2"/>
          <w:sz w:val="28"/>
          <w:rtl/>
        </w:rPr>
        <w:t>:</w:t>
      </w:r>
      <w:r w:rsidR="005C664D" w:rsidRPr="00833C06">
        <w:rPr>
          <w:rFonts w:ascii="Abo-thar" w:hAnsi="Abo-thar" w:cs="KFGQPC Uthman Taha Naskh"/>
          <w:b/>
          <w:bCs/>
          <w:spacing w:val="-2"/>
          <w:sz w:val="28"/>
          <w:rtl/>
        </w:rPr>
        <w:t xml:space="preserve"> كَيْفَ أَعَرْتَ بِنْتَ أَمِيرِ المُؤْمِنِينَ الْعِقْدَ الَّذِي فِي بَيْتِ مَالِ المُسْلِمِينَ بِغَيْرِ إِذْنِي وَرِضَاهُمْ</w:t>
      </w:r>
      <w:r w:rsidR="00217AB4" w:rsidRPr="00833C06">
        <w:rPr>
          <w:rFonts w:ascii="Abo-thar" w:hAnsi="Abo-thar" w:cs="KFGQPC Uthman Taha Naskh" w:hint="cs"/>
          <w:b/>
          <w:bCs/>
          <w:spacing w:val="-2"/>
          <w:sz w:val="28"/>
          <w:rtl/>
        </w:rPr>
        <w:t>؟</w:t>
      </w:r>
      <w:r w:rsidR="005C664D" w:rsidRPr="00833C06">
        <w:rPr>
          <w:rFonts w:ascii="Abo-thar" w:hAnsi="Abo-thar" w:cs="KFGQPC Uthman Taha Naskh"/>
          <w:b/>
          <w:bCs/>
          <w:spacing w:val="-2"/>
          <w:sz w:val="28"/>
          <w:rtl/>
        </w:rPr>
        <w:t xml:space="preserve"> فَقُلْتُ</w:t>
      </w:r>
      <w:r w:rsidR="00CD18FE">
        <w:rPr>
          <w:rFonts w:ascii="Abo-thar" w:hAnsi="Abo-thar" w:cs="KFGQPC Uthman Taha Naskh" w:hint="cs"/>
          <w:b/>
          <w:bCs/>
          <w:spacing w:val="-2"/>
          <w:sz w:val="28"/>
          <w:rtl/>
        </w:rPr>
        <w:t>:</w:t>
      </w:r>
      <w:r w:rsidR="005C664D" w:rsidRPr="00833C06">
        <w:rPr>
          <w:rFonts w:ascii="Abo-thar" w:hAnsi="Abo-thar" w:cs="KFGQPC Uthman Taha Naskh"/>
          <w:b/>
          <w:bCs/>
          <w:spacing w:val="-2"/>
          <w:sz w:val="28"/>
          <w:rtl/>
        </w:rPr>
        <w:t xml:space="preserve"> يَا أَمِيرَ المُؤْمِنِينَ</w:t>
      </w:r>
      <w:r w:rsidR="00CD18FE">
        <w:rPr>
          <w:rFonts w:ascii="Abo-thar" w:hAnsi="Abo-thar" w:cs="KFGQPC Uthman Taha Naskh" w:hint="cs"/>
          <w:b/>
          <w:bCs/>
          <w:spacing w:val="-2"/>
          <w:sz w:val="28"/>
          <w:rtl/>
        </w:rPr>
        <w:t>!</w:t>
      </w:r>
      <w:r w:rsidR="005C664D" w:rsidRPr="00833C06">
        <w:rPr>
          <w:rFonts w:ascii="Abo-thar" w:hAnsi="Abo-thar" w:cs="KFGQPC Uthman Taha Naskh"/>
          <w:b/>
          <w:bCs/>
          <w:spacing w:val="-2"/>
          <w:sz w:val="28"/>
          <w:rtl/>
        </w:rPr>
        <w:t xml:space="preserve"> إِنَّهَا ابْنَتُكَ وَسَأَلَتْنِي أَنْ أُعِيرَهَا إِيَّاهُ تَتَزَيَّنُ‏</w:t>
      </w:r>
      <w:r w:rsidR="005C664D" w:rsidRPr="00833C06">
        <w:rPr>
          <w:rFonts w:ascii="Abo-thar" w:hAnsi="Abo-thar" w:cs="KFGQPC Uthman Taha Naskh" w:hint="cs"/>
          <w:b/>
          <w:bCs/>
          <w:spacing w:val="-2"/>
          <w:sz w:val="28"/>
          <w:rtl/>
        </w:rPr>
        <w:t xml:space="preserve"> </w:t>
      </w:r>
      <w:r w:rsidR="005C664D" w:rsidRPr="00833C06">
        <w:rPr>
          <w:rFonts w:ascii="Abo-thar" w:hAnsi="Abo-thar" w:cs="KFGQPC Uthman Taha Naskh"/>
          <w:b/>
          <w:bCs/>
          <w:spacing w:val="-2"/>
          <w:sz w:val="28"/>
          <w:rtl/>
        </w:rPr>
        <w:t>بِهِ فَأَعَرْتُهَا إِيَّاهُ عَارِيَّةً مَضْمُونَةً مَرْدُودَةً فَضَمِنْتُهُ فِي مَالِي وَعَلَيَّ أَنْ أَرُدَّهُ سَلِيماً إِلَى مَوْضِعِهِ</w:t>
      </w:r>
      <w:r w:rsidR="00217AB4" w:rsidRPr="00833C06">
        <w:rPr>
          <w:rFonts w:ascii="Abo-thar" w:hAnsi="Abo-thar" w:cs="KFGQPC Uthman Taha Naskh" w:hint="cs"/>
          <w:b/>
          <w:bCs/>
          <w:spacing w:val="-2"/>
          <w:sz w:val="28"/>
          <w:rtl/>
        </w:rPr>
        <w:t>.</w:t>
      </w:r>
      <w:r w:rsidR="005C664D" w:rsidRPr="00833C06">
        <w:rPr>
          <w:rFonts w:ascii="Abo-thar" w:hAnsi="Abo-thar" w:cs="KFGQPC Uthman Taha Naskh"/>
          <w:b/>
          <w:bCs/>
          <w:spacing w:val="-2"/>
          <w:sz w:val="28"/>
          <w:rtl/>
        </w:rPr>
        <w:t xml:space="preserve"> قَالَ</w:t>
      </w:r>
      <w:r w:rsidR="00CD18FE">
        <w:rPr>
          <w:rFonts w:ascii="Abo-thar" w:hAnsi="Abo-thar" w:cs="KFGQPC Uthman Taha Naskh" w:hint="cs"/>
          <w:b/>
          <w:bCs/>
          <w:spacing w:val="-2"/>
          <w:sz w:val="28"/>
          <w:rtl/>
        </w:rPr>
        <w:t>:</w:t>
      </w:r>
      <w:r w:rsidR="005C664D" w:rsidRPr="00833C06">
        <w:rPr>
          <w:rFonts w:ascii="Abo-thar" w:hAnsi="Abo-thar" w:cs="KFGQPC Uthman Taha Naskh"/>
          <w:b/>
          <w:bCs/>
          <w:spacing w:val="-2"/>
          <w:sz w:val="28"/>
          <w:rtl/>
        </w:rPr>
        <w:t xml:space="preserve"> فَرُدَّهُ مِنْ يَوْمِكَ وَإِيَّاكَ أَنْ تَعُودَ لِمِثْلِ هَذَا فَتَنَالَكَ عُقُوبَتِي ثُمَّ قَالَ</w:t>
      </w:r>
      <w:r w:rsidR="00CD18FE">
        <w:rPr>
          <w:rFonts w:ascii="Abo-thar" w:hAnsi="Abo-thar" w:cs="KFGQPC Uthman Taha Naskh" w:hint="cs"/>
          <w:b/>
          <w:bCs/>
          <w:spacing w:val="-2"/>
          <w:sz w:val="28"/>
          <w:rtl/>
        </w:rPr>
        <w:t>:</w:t>
      </w:r>
      <w:r w:rsidR="005C664D" w:rsidRPr="00833C06">
        <w:rPr>
          <w:rFonts w:ascii="Abo-thar" w:hAnsi="Abo-thar" w:cs="KFGQPC Uthman Taha Naskh"/>
          <w:b/>
          <w:bCs/>
          <w:spacing w:val="-2"/>
          <w:sz w:val="28"/>
          <w:rtl/>
        </w:rPr>
        <w:t xml:space="preserve"> أَوْلَى لِابْنَتِي لَوْ كَانَتْ أَخَذَتِ الْعِقْدَ عَلَى غَيْرِ عَارِيَّةٍ مَضْمُونَةٍ مَرْدُودَةٍ لَكَانَتْ إِذَنْ أَوَّلَ هَاشِمِيَّةٍ قُطِعَتْ يَدُهَا فِي سَرِقَةٍ قَالَ</w:t>
      </w:r>
      <w:r w:rsidR="00CD18FE">
        <w:rPr>
          <w:rFonts w:ascii="Abo-thar" w:hAnsi="Abo-thar" w:cs="KFGQPC Uthman Taha Naskh" w:hint="cs"/>
          <w:b/>
          <w:bCs/>
          <w:spacing w:val="-2"/>
          <w:sz w:val="28"/>
          <w:rtl/>
        </w:rPr>
        <w:t>:</w:t>
      </w:r>
      <w:r w:rsidR="005C664D" w:rsidRPr="00833C06">
        <w:rPr>
          <w:rFonts w:ascii="Abo-thar" w:hAnsi="Abo-thar" w:cs="KFGQPC Uthman Taha Naskh"/>
          <w:b/>
          <w:bCs/>
          <w:spacing w:val="-2"/>
          <w:sz w:val="28"/>
          <w:rtl/>
        </w:rPr>
        <w:t xml:space="preserve"> فَبَلَغَ مَقَالَتُهُ ابْنَتَهُ فَقَالَتْ لَهُ</w:t>
      </w:r>
      <w:r w:rsidR="00CD18FE">
        <w:rPr>
          <w:rFonts w:ascii="Abo-thar" w:hAnsi="Abo-thar" w:cs="KFGQPC Uthman Taha Naskh" w:hint="cs"/>
          <w:b/>
          <w:bCs/>
          <w:spacing w:val="-2"/>
          <w:sz w:val="28"/>
          <w:rtl/>
        </w:rPr>
        <w:t>:</w:t>
      </w:r>
      <w:r w:rsidR="005C664D" w:rsidRPr="00833C06">
        <w:rPr>
          <w:rFonts w:ascii="Abo-thar" w:hAnsi="Abo-thar" w:cs="KFGQPC Uthman Taha Naskh"/>
          <w:b/>
          <w:bCs/>
          <w:spacing w:val="-2"/>
          <w:sz w:val="28"/>
          <w:rtl/>
        </w:rPr>
        <w:t xml:space="preserve"> يَا أَمِيرَ المُؤْمِنِينَ</w:t>
      </w:r>
      <w:r w:rsidR="00CD18FE">
        <w:rPr>
          <w:rFonts w:ascii="Abo-thar" w:hAnsi="Abo-thar" w:cs="KFGQPC Uthman Taha Naskh" w:hint="cs"/>
          <w:b/>
          <w:bCs/>
          <w:spacing w:val="-2"/>
          <w:sz w:val="28"/>
          <w:rtl/>
        </w:rPr>
        <w:t>!</w:t>
      </w:r>
      <w:r w:rsidR="005C664D" w:rsidRPr="00833C06">
        <w:rPr>
          <w:rFonts w:ascii="Abo-thar" w:hAnsi="Abo-thar" w:cs="KFGQPC Uthman Taha Naskh"/>
          <w:b/>
          <w:bCs/>
          <w:spacing w:val="-2"/>
          <w:sz w:val="28"/>
          <w:rtl/>
        </w:rPr>
        <w:t xml:space="preserve"> أَنَا ابْنَتُكَ وَبَضْعَةٌ مِنْكَ فَمَنْ أَحَقُّ بِلُبْسِهِ مِنِّي فَقَالَ لَهَا أَمِيرُ المُؤْمِنِينَ </w:t>
      </w:r>
      <w:r w:rsidR="00BC4BA9" w:rsidRPr="00833C06">
        <w:rPr>
          <w:rFonts w:ascii="Abo-thar" w:hAnsi="Abo-thar" w:cs="CTraditional Arabic"/>
          <w:b/>
          <w:spacing w:val="-2"/>
          <w:sz w:val="28"/>
          <w:rtl/>
        </w:rPr>
        <w:t>÷</w:t>
      </w:r>
      <w:r w:rsidR="00CD18FE">
        <w:rPr>
          <w:rFonts w:ascii="Abo-thar" w:hAnsi="Abo-thar" w:cs="KFGQPC Uthman Taha Naskh" w:hint="cs"/>
          <w:b/>
          <w:bCs/>
          <w:spacing w:val="-2"/>
          <w:sz w:val="28"/>
          <w:rtl/>
        </w:rPr>
        <w:t>:</w:t>
      </w:r>
      <w:r w:rsidR="005C664D" w:rsidRPr="00833C06">
        <w:rPr>
          <w:rFonts w:ascii="Abo-thar" w:hAnsi="Abo-thar" w:cs="KFGQPC Uthman Taha Naskh"/>
          <w:b/>
          <w:bCs/>
          <w:spacing w:val="-2"/>
          <w:sz w:val="28"/>
          <w:rtl/>
        </w:rPr>
        <w:t xml:space="preserve"> يَا بِنْتَ عَلِيِّ بْنِ أَبِي طَالِبٍ</w:t>
      </w:r>
      <w:r w:rsidR="00CD18FE">
        <w:rPr>
          <w:rFonts w:ascii="Abo-thar" w:hAnsi="Abo-thar" w:cs="KFGQPC Uthman Taha Naskh" w:hint="cs"/>
          <w:b/>
          <w:bCs/>
          <w:spacing w:val="-2"/>
          <w:sz w:val="28"/>
          <w:rtl/>
        </w:rPr>
        <w:t>!</w:t>
      </w:r>
      <w:r w:rsidR="005C664D" w:rsidRPr="00833C06">
        <w:rPr>
          <w:rFonts w:ascii="Abo-thar" w:hAnsi="Abo-thar" w:cs="KFGQPC Uthman Taha Naskh"/>
          <w:b/>
          <w:bCs/>
          <w:spacing w:val="-2"/>
          <w:sz w:val="28"/>
          <w:rtl/>
        </w:rPr>
        <w:t xml:space="preserve"> لَا تَذْهَبَنَّ بِنَفْسِكِ عَنِ الحَقِّ أَ كُلُّ نِسَاءِ المُهَاجِرِينَ تَتَزَيَّنُ فِي هَذَا الْعِيدِ بِمِثْلِ هَذَا</w:t>
      </w:r>
      <w:r w:rsidR="00CD18FE">
        <w:rPr>
          <w:rFonts w:ascii="Abo-thar" w:hAnsi="Abo-thar" w:cs="KFGQPC Uthman Taha Naskh" w:hint="cs"/>
          <w:b/>
          <w:bCs/>
          <w:spacing w:val="-2"/>
          <w:sz w:val="28"/>
          <w:rtl/>
        </w:rPr>
        <w:t>؟</w:t>
      </w:r>
      <w:r w:rsidR="005C664D" w:rsidRPr="00833C06">
        <w:rPr>
          <w:rFonts w:ascii="Abo-thar" w:hAnsi="Abo-thar" w:cs="KFGQPC Uthman Taha Naskh"/>
          <w:b/>
          <w:bCs/>
          <w:spacing w:val="-2"/>
          <w:sz w:val="28"/>
          <w:rtl/>
        </w:rPr>
        <w:t xml:space="preserve"> قَالَ</w:t>
      </w:r>
      <w:r w:rsidR="00CD18FE">
        <w:rPr>
          <w:rFonts w:ascii="Abo-thar" w:hAnsi="Abo-thar" w:cs="KFGQPC Uthman Taha Naskh" w:hint="cs"/>
          <w:b/>
          <w:bCs/>
          <w:spacing w:val="-2"/>
          <w:sz w:val="28"/>
          <w:rtl/>
        </w:rPr>
        <w:t>:</w:t>
      </w:r>
      <w:r w:rsidR="005C664D" w:rsidRPr="00833C06">
        <w:rPr>
          <w:rFonts w:ascii="Abo-thar" w:hAnsi="Abo-thar" w:cs="KFGQPC Uthman Taha Naskh"/>
          <w:b/>
          <w:bCs/>
          <w:spacing w:val="-2"/>
          <w:sz w:val="28"/>
          <w:rtl/>
        </w:rPr>
        <w:t xml:space="preserve"> فَقَبَضْتُهُ مِنْهَا وَرَدَدْتُهُ إِلَى مَوْضِعِهِ</w:t>
      </w:r>
      <w:r w:rsidR="00FB6445" w:rsidRPr="00833C06">
        <w:rPr>
          <w:rFonts w:ascii="Abo-thar" w:hAnsi="Abo-thar" w:cs="KFGQPC Uthman Taha Naskh" w:hint="cs"/>
          <w:b/>
          <w:bCs/>
          <w:spacing w:val="-2"/>
          <w:sz w:val="28"/>
          <w:rtl/>
        </w:rPr>
        <w:t>»</w:t>
      </w:r>
      <w:r w:rsidR="00F91B5E" w:rsidRPr="00833C06">
        <w:rPr>
          <w:rFonts w:ascii="Abo-thar" w:hAnsi="Abo-thar" w:cs="Arabic11 BT"/>
          <w:spacing w:val="-2"/>
          <w:sz w:val="28"/>
          <w:vertAlign w:val="superscript"/>
          <w:rtl/>
        </w:rPr>
        <w:t>(</w:t>
      </w:r>
      <w:r w:rsidR="00F91B5E" w:rsidRPr="00833C06">
        <w:rPr>
          <w:rStyle w:val="FootnoteReference"/>
          <w:rFonts w:ascii="Abo-thar" w:hAnsi="Abo-thar" w:cs="Arabic11 BT"/>
          <w:spacing w:val="-2"/>
          <w:sz w:val="28"/>
          <w:rtl/>
        </w:rPr>
        <w:footnoteReference w:id="149"/>
      </w:r>
      <w:r w:rsidR="00F91B5E" w:rsidRPr="00833C06">
        <w:rPr>
          <w:rFonts w:ascii="Abo-thar" w:hAnsi="Abo-thar" w:cs="Arabic11 BT"/>
          <w:spacing w:val="-2"/>
          <w:sz w:val="28"/>
          <w:vertAlign w:val="superscript"/>
          <w:rtl/>
        </w:rPr>
        <w:t>)</w:t>
      </w:r>
      <w:r w:rsidR="00217AB4" w:rsidRPr="00833C06">
        <w:rPr>
          <w:rFonts w:ascii="Abo-thar" w:hAnsi="Abo-thar" w:hint="cs"/>
          <w:spacing w:val="-2"/>
          <w:sz w:val="28"/>
          <w:rtl/>
        </w:rPr>
        <w:t>.</w:t>
      </w:r>
    </w:p>
    <w:p w:rsidR="005C664D" w:rsidRPr="00C761A3" w:rsidRDefault="005C664D" w:rsidP="003F3B94">
      <w:pPr>
        <w:pStyle w:val="a0"/>
        <w:rPr>
          <w:rFonts w:hint="cs"/>
          <w:spacing w:val="-6"/>
          <w:rtl/>
        </w:rPr>
      </w:pPr>
      <w:r w:rsidRPr="00C761A3">
        <w:rPr>
          <w:rFonts w:ascii="Abo-thar" w:hAnsi="Abo-thar" w:hint="cs"/>
          <w:spacing w:val="-6"/>
          <w:sz w:val="28"/>
          <w:rtl/>
        </w:rPr>
        <w:t>5</w:t>
      </w:r>
      <w:r w:rsidR="00217AB4" w:rsidRPr="00C761A3">
        <w:rPr>
          <w:rFonts w:ascii="Abo-thar" w:hAnsi="Abo-thar" w:hint="cs"/>
          <w:spacing w:val="-6"/>
          <w:sz w:val="28"/>
          <w:rtl/>
        </w:rPr>
        <w:t>-</w:t>
      </w:r>
      <w:r w:rsidRPr="00C761A3">
        <w:rPr>
          <w:rFonts w:ascii="Abo-thar" w:hAnsi="Abo-thar" w:hint="cs"/>
          <w:spacing w:val="-6"/>
          <w:sz w:val="28"/>
          <w:rtl/>
        </w:rPr>
        <w:t xml:space="preserve"> وروى ابن أبي الحديد قصة أخذ الحسين بن علي </w:t>
      </w:r>
      <w:r w:rsidR="00BC4BA9" w:rsidRPr="00C761A3">
        <w:rPr>
          <w:rFonts w:ascii="Abo-thar" w:hAnsi="Abo-thar" w:cs="CTraditional Arabic" w:hint="cs"/>
          <w:spacing w:val="-6"/>
          <w:sz w:val="28"/>
          <w:rtl/>
        </w:rPr>
        <w:t>÷</w:t>
      </w:r>
      <w:r w:rsidRPr="00C761A3">
        <w:rPr>
          <w:rFonts w:ascii="Abo-thar" w:hAnsi="Abo-thar" w:hint="cs"/>
          <w:spacing w:val="-6"/>
          <w:sz w:val="28"/>
          <w:rtl/>
        </w:rPr>
        <w:t xml:space="preserve"> رطلاً من العسل من بيت المال على سبيل القرض لضيف نزل به</w:t>
      </w:r>
      <w:r w:rsidR="00217AB4" w:rsidRPr="00C761A3">
        <w:rPr>
          <w:rFonts w:ascii="Abo-thar" w:hAnsi="Abo-thar" w:hint="cs"/>
          <w:spacing w:val="-6"/>
          <w:sz w:val="28"/>
          <w:rtl/>
        </w:rPr>
        <w:t>،</w:t>
      </w:r>
      <w:r w:rsidRPr="00C761A3">
        <w:rPr>
          <w:rFonts w:ascii="Abo-thar" w:hAnsi="Abo-thar" w:hint="cs"/>
          <w:spacing w:val="-6"/>
          <w:sz w:val="28"/>
          <w:rtl/>
        </w:rPr>
        <w:t xml:space="preserve"> وما كان من رد فعل أبيه الغاضب لما علم بذلك</w:t>
      </w:r>
      <w:r w:rsidR="00217AB4" w:rsidRPr="00C761A3">
        <w:rPr>
          <w:rFonts w:ascii="Abo-thar" w:hAnsi="Abo-thar" w:hint="cs"/>
          <w:spacing w:val="-6"/>
          <w:sz w:val="28"/>
          <w:rtl/>
        </w:rPr>
        <w:t>،</w:t>
      </w:r>
      <w:r w:rsidRPr="00C761A3">
        <w:rPr>
          <w:rFonts w:ascii="Abo-thar" w:hAnsi="Abo-thar" w:hint="cs"/>
          <w:spacing w:val="-6"/>
          <w:sz w:val="28"/>
          <w:rtl/>
        </w:rPr>
        <w:t xml:space="preserve"> وفيما يلي نص القصة</w:t>
      </w:r>
      <w:r w:rsidR="00217AB4" w:rsidRPr="00C761A3">
        <w:rPr>
          <w:rFonts w:ascii="Abo-thar" w:hAnsi="Abo-thar" w:hint="cs"/>
          <w:spacing w:val="-6"/>
          <w:sz w:val="28"/>
          <w:rtl/>
        </w:rPr>
        <w:t>:</w:t>
      </w:r>
    </w:p>
    <w:p w:rsidR="005C664D" w:rsidRPr="003F3B94" w:rsidRDefault="005C664D" w:rsidP="003F3B94">
      <w:pPr>
        <w:pStyle w:val="a0"/>
        <w:rPr>
          <w:rFonts w:hint="cs"/>
          <w:rtl/>
        </w:rPr>
      </w:pPr>
      <w:r w:rsidRPr="004A3642">
        <w:rPr>
          <w:rFonts w:ascii="Abo-thar" w:hAnsi="Abo-thar" w:cs="KFGQPC Uthman Taha Naskh" w:hint="cs"/>
          <w:sz w:val="28"/>
          <w:rtl/>
        </w:rPr>
        <w:t xml:space="preserve"> </w:t>
      </w:r>
      <w:r w:rsidR="00EF2588" w:rsidRPr="004A3642">
        <w:rPr>
          <w:rFonts w:ascii="Abo-thar" w:hAnsi="Abo-thar" w:cs="KFGQPC Uthman Taha Naskh" w:hint="cs"/>
          <w:sz w:val="28"/>
          <w:rtl/>
        </w:rPr>
        <w:t>«</w:t>
      </w:r>
      <w:r w:rsidRPr="004A3642">
        <w:rPr>
          <w:rFonts w:ascii="Abo-thar" w:hAnsi="Abo-thar" w:cs="KFGQPC Uthman Taha Naskh"/>
          <w:b/>
          <w:bCs/>
          <w:sz w:val="28"/>
          <w:rtl/>
        </w:rPr>
        <w:t>سأل معاوية</w:t>
      </w:r>
      <w:r w:rsidRPr="004A3642">
        <w:rPr>
          <w:rFonts w:ascii="Abo-thar" w:hAnsi="Abo-thar" w:cs="KFGQPC Uthman Taha Naskh" w:hint="cs"/>
          <w:b/>
          <w:bCs/>
          <w:sz w:val="28"/>
          <w:rtl/>
        </w:rPr>
        <w:t>ُ</w:t>
      </w:r>
      <w:r w:rsidRPr="004A3642">
        <w:rPr>
          <w:rFonts w:ascii="Abo-thar" w:hAnsi="Abo-thar" w:cs="KFGQPC Uthman Taha Naskh"/>
          <w:b/>
          <w:bCs/>
          <w:sz w:val="28"/>
          <w:rtl/>
        </w:rPr>
        <w:t xml:space="preserve"> عقيل</w:t>
      </w:r>
      <w:r w:rsidRPr="004A3642">
        <w:rPr>
          <w:rFonts w:ascii="Abo-thar" w:hAnsi="Abo-thar" w:cs="KFGQPC Uthman Taha Naskh" w:hint="cs"/>
          <w:b/>
          <w:bCs/>
          <w:sz w:val="28"/>
          <w:rtl/>
        </w:rPr>
        <w:t>اً</w:t>
      </w:r>
      <w:r w:rsidRPr="004A3642">
        <w:rPr>
          <w:rFonts w:ascii="Abo-thar" w:hAnsi="Abo-thar" w:cs="KFGQPC Uthman Taha Naskh"/>
          <w:b/>
          <w:bCs/>
          <w:sz w:val="28"/>
          <w:rtl/>
        </w:rPr>
        <w:t xml:space="preserve"> رحمه الله عن قصة الحديدة المحماة المذكورة</w:t>
      </w:r>
      <w:r w:rsidR="00217AB4" w:rsidRPr="004A3642">
        <w:rPr>
          <w:rFonts w:ascii="Abo-thar" w:hAnsi="Abo-thar" w:cs="KFGQPC Uthman Taha Naskh"/>
          <w:b/>
          <w:bCs/>
          <w:sz w:val="28"/>
          <w:rtl/>
        </w:rPr>
        <w:t>،</w:t>
      </w:r>
      <w:r w:rsidRPr="004A3642">
        <w:rPr>
          <w:rFonts w:ascii="Abo-thar" w:hAnsi="Abo-thar" w:cs="KFGQPC Uthman Taha Naskh"/>
          <w:b/>
          <w:bCs/>
          <w:sz w:val="28"/>
          <w:rtl/>
        </w:rPr>
        <w:t xml:space="preserve"> فبكى وقال</w:t>
      </w:r>
      <w:r w:rsidR="00217AB4" w:rsidRPr="004A3642">
        <w:rPr>
          <w:rFonts w:ascii="Abo-thar" w:hAnsi="Abo-thar" w:cs="KFGQPC Uthman Taha Naskh"/>
          <w:b/>
          <w:bCs/>
          <w:sz w:val="28"/>
          <w:rtl/>
        </w:rPr>
        <w:t>:</w:t>
      </w:r>
      <w:r w:rsidRPr="004A3642">
        <w:rPr>
          <w:rFonts w:ascii="Abo-thar" w:hAnsi="Abo-thar" w:cs="KFGQPC Uthman Taha Naskh"/>
          <w:b/>
          <w:bCs/>
          <w:sz w:val="28"/>
          <w:rtl/>
        </w:rPr>
        <w:t xml:space="preserve"> أنا </w:t>
      </w:r>
      <w:r w:rsidRPr="004A3642">
        <w:rPr>
          <w:rFonts w:ascii="Abo-thar" w:hAnsi="Abo-thar" w:cs="KFGQPC Uthman Taha Naskh" w:hint="cs"/>
          <w:b/>
          <w:bCs/>
          <w:sz w:val="28"/>
          <w:rtl/>
        </w:rPr>
        <w:t>أحدثك</w:t>
      </w:r>
      <w:r w:rsidRPr="004A3642">
        <w:rPr>
          <w:rFonts w:ascii="Abo-thar" w:hAnsi="Abo-thar" w:cs="KFGQPC Uthman Taha Naskh"/>
          <w:b/>
          <w:bCs/>
          <w:sz w:val="28"/>
          <w:rtl/>
        </w:rPr>
        <w:t xml:space="preserve"> يا معاوية عنه</w:t>
      </w:r>
      <w:r w:rsidR="00217AB4" w:rsidRPr="004A3642">
        <w:rPr>
          <w:rFonts w:ascii="Abo-thar" w:hAnsi="Abo-thar" w:cs="KFGQPC Uthman Taha Naskh"/>
          <w:b/>
          <w:bCs/>
          <w:sz w:val="28"/>
          <w:rtl/>
        </w:rPr>
        <w:t>،</w:t>
      </w:r>
      <w:r w:rsidRPr="004A3642">
        <w:rPr>
          <w:rFonts w:ascii="Abo-thar" w:hAnsi="Abo-thar" w:cs="KFGQPC Uthman Taha Naskh"/>
          <w:b/>
          <w:bCs/>
          <w:sz w:val="28"/>
          <w:rtl/>
        </w:rPr>
        <w:t xml:space="preserve"> ثم </w:t>
      </w:r>
      <w:r w:rsidRPr="004A3642">
        <w:rPr>
          <w:rFonts w:ascii="Abo-thar" w:hAnsi="Abo-thar" w:cs="KFGQPC Uthman Taha Naskh" w:hint="cs"/>
          <w:b/>
          <w:bCs/>
          <w:sz w:val="28"/>
          <w:rtl/>
        </w:rPr>
        <w:t>أحدثك</w:t>
      </w:r>
      <w:r w:rsidRPr="004A3642">
        <w:rPr>
          <w:rFonts w:ascii="Abo-thar" w:hAnsi="Abo-thar" w:cs="KFGQPC Uthman Taha Naskh"/>
          <w:b/>
          <w:bCs/>
          <w:sz w:val="28"/>
          <w:rtl/>
        </w:rPr>
        <w:t xml:space="preserve"> عما سألت</w:t>
      </w:r>
      <w:r w:rsidR="00217AB4" w:rsidRPr="004A3642">
        <w:rPr>
          <w:rFonts w:ascii="Abo-thar" w:hAnsi="Abo-thar" w:cs="KFGQPC Uthman Taha Naskh"/>
          <w:b/>
          <w:bCs/>
          <w:sz w:val="28"/>
          <w:rtl/>
        </w:rPr>
        <w:t>،</w:t>
      </w:r>
      <w:r w:rsidRPr="004A3642">
        <w:rPr>
          <w:rFonts w:ascii="Abo-thar" w:hAnsi="Abo-thar" w:cs="KFGQPC Uthman Taha Naskh"/>
          <w:b/>
          <w:bCs/>
          <w:sz w:val="28"/>
          <w:rtl/>
        </w:rPr>
        <w:t xml:space="preserve"> نزل بالحسين ابنه ضيف</w:t>
      </w:r>
      <w:r w:rsidR="00217AB4" w:rsidRPr="004A3642">
        <w:rPr>
          <w:rFonts w:ascii="Abo-thar" w:hAnsi="Abo-thar" w:cs="KFGQPC Uthman Taha Naskh"/>
          <w:b/>
          <w:bCs/>
          <w:sz w:val="28"/>
          <w:rtl/>
        </w:rPr>
        <w:t>،</w:t>
      </w:r>
      <w:r w:rsidRPr="004A3642">
        <w:rPr>
          <w:rFonts w:ascii="Abo-thar" w:hAnsi="Abo-thar" w:cs="KFGQPC Uthman Taha Naskh"/>
          <w:b/>
          <w:bCs/>
          <w:sz w:val="28"/>
          <w:rtl/>
        </w:rPr>
        <w:t xml:space="preserve"> فاستسلف درهما اشترى به خبزا</w:t>
      </w:r>
      <w:r w:rsidRPr="004A3642">
        <w:rPr>
          <w:rFonts w:ascii="Abo-thar" w:hAnsi="Abo-thar" w:cs="KFGQPC Uthman Taha Naskh" w:hint="cs"/>
          <w:b/>
          <w:bCs/>
          <w:sz w:val="28"/>
          <w:rtl/>
        </w:rPr>
        <w:t>ً</w:t>
      </w:r>
      <w:r w:rsidR="00217AB4" w:rsidRPr="004A3642">
        <w:rPr>
          <w:rFonts w:ascii="Abo-thar" w:hAnsi="Abo-thar" w:cs="KFGQPC Uthman Taha Naskh"/>
          <w:b/>
          <w:bCs/>
          <w:sz w:val="28"/>
          <w:rtl/>
        </w:rPr>
        <w:t>،</w:t>
      </w:r>
      <w:r w:rsidRPr="004A3642">
        <w:rPr>
          <w:rFonts w:ascii="Abo-thar" w:hAnsi="Abo-thar" w:cs="KFGQPC Uthman Taha Naskh"/>
          <w:b/>
          <w:bCs/>
          <w:sz w:val="28"/>
          <w:rtl/>
        </w:rPr>
        <w:t xml:space="preserve"> واحتاج إلى ال</w:t>
      </w:r>
      <w:r w:rsidRPr="004A3642">
        <w:rPr>
          <w:rFonts w:ascii="Abo-thar" w:hAnsi="Abo-thar" w:cs="KFGQPC Uthman Taha Naskh" w:hint="cs"/>
          <w:b/>
          <w:bCs/>
          <w:sz w:val="28"/>
          <w:rtl/>
        </w:rPr>
        <w:t>أ</w:t>
      </w:r>
      <w:r w:rsidRPr="004A3642">
        <w:rPr>
          <w:rFonts w:ascii="Abo-thar" w:hAnsi="Abo-thar" w:cs="KFGQPC Uthman Taha Naskh"/>
          <w:b/>
          <w:bCs/>
          <w:sz w:val="28"/>
          <w:rtl/>
        </w:rPr>
        <w:t>دام</w:t>
      </w:r>
      <w:r w:rsidR="00217AB4" w:rsidRPr="004A3642">
        <w:rPr>
          <w:rFonts w:ascii="Abo-thar" w:hAnsi="Abo-thar" w:cs="KFGQPC Uthman Taha Naskh"/>
          <w:b/>
          <w:bCs/>
          <w:sz w:val="28"/>
          <w:rtl/>
        </w:rPr>
        <w:t>،</w:t>
      </w:r>
      <w:r w:rsidRPr="004A3642">
        <w:rPr>
          <w:rFonts w:ascii="Abo-thar" w:hAnsi="Abo-thar" w:cs="KFGQPC Uthman Taha Naskh"/>
          <w:b/>
          <w:bCs/>
          <w:sz w:val="28"/>
          <w:rtl/>
        </w:rPr>
        <w:t xml:space="preserve"> فطلب من قنبر خادمهم أن يفتح له زقا</w:t>
      </w:r>
      <w:r w:rsidRPr="004A3642">
        <w:rPr>
          <w:rFonts w:ascii="Abo-thar" w:hAnsi="Abo-thar" w:cs="KFGQPC Uthman Taha Naskh" w:hint="cs"/>
          <w:b/>
          <w:bCs/>
          <w:sz w:val="28"/>
          <w:rtl/>
        </w:rPr>
        <w:t>ً</w:t>
      </w:r>
      <w:r w:rsidRPr="004A3642">
        <w:rPr>
          <w:rFonts w:ascii="Abo-thar" w:hAnsi="Abo-thar" w:cs="KFGQPC Uthman Taha Naskh"/>
          <w:b/>
          <w:bCs/>
          <w:sz w:val="28"/>
          <w:rtl/>
        </w:rPr>
        <w:t xml:space="preserve"> من زقاق عسل جاءتهم من اليمن</w:t>
      </w:r>
      <w:r w:rsidR="00217AB4" w:rsidRPr="004A3642">
        <w:rPr>
          <w:rFonts w:ascii="Abo-thar" w:hAnsi="Abo-thar" w:cs="KFGQPC Uthman Taha Naskh"/>
          <w:b/>
          <w:bCs/>
          <w:sz w:val="28"/>
          <w:rtl/>
        </w:rPr>
        <w:t>،</w:t>
      </w:r>
      <w:r w:rsidRPr="004A3642">
        <w:rPr>
          <w:rFonts w:ascii="Abo-thar" w:hAnsi="Abo-thar" w:cs="KFGQPC Uthman Taha Naskh"/>
          <w:b/>
          <w:bCs/>
          <w:sz w:val="28"/>
          <w:rtl/>
        </w:rPr>
        <w:t xml:space="preserve"> فأخذ منه رطلا</w:t>
      </w:r>
      <w:r w:rsidRPr="004A3642">
        <w:rPr>
          <w:rFonts w:ascii="Abo-thar" w:hAnsi="Abo-thar" w:cs="KFGQPC Uthman Taha Naskh" w:hint="cs"/>
          <w:b/>
          <w:bCs/>
          <w:sz w:val="28"/>
          <w:rtl/>
        </w:rPr>
        <w:t>ً</w:t>
      </w:r>
      <w:r w:rsidR="00217AB4" w:rsidRPr="004A3642">
        <w:rPr>
          <w:rFonts w:ascii="Abo-thar" w:hAnsi="Abo-thar" w:cs="KFGQPC Uthman Taha Naskh"/>
          <w:b/>
          <w:bCs/>
          <w:sz w:val="28"/>
          <w:rtl/>
        </w:rPr>
        <w:t>،</w:t>
      </w:r>
      <w:r w:rsidRPr="004A3642">
        <w:rPr>
          <w:rFonts w:ascii="Abo-thar" w:hAnsi="Abo-thar" w:cs="KFGQPC Uthman Taha Naskh"/>
          <w:b/>
          <w:bCs/>
          <w:sz w:val="28"/>
          <w:rtl/>
        </w:rPr>
        <w:t xml:space="preserve"> فلم</w:t>
      </w:r>
      <w:r w:rsidRPr="004A3642">
        <w:rPr>
          <w:rFonts w:ascii="Abo-thar" w:hAnsi="Abo-thar" w:cs="KFGQPC Uthman Taha Naskh" w:hint="cs"/>
          <w:b/>
          <w:bCs/>
          <w:sz w:val="28"/>
          <w:rtl/>
        </w:rPr>
        <w:t>ّ</w:t>
      </w:r>
      <w:r w:rsidRPr="004A3642">
        <w:rPr>
          <w:rFonts w:ascii="Abo-thar" w:hAnsi="Abo-thar" w:cs="KFGQPC Uthman Taha Naskh"/>
          <w:b/>
          <w:bCs/>
          <w:sz w:val="28"/>
          <w:rtl/>
        </w:rPr>
        <w:t>ا طلبها ليقسمها قال</w:t>
      </w:r>
      <w:r w:rsidR="00217AB4" w:rsidRPr="004A3642">
        <w:rPr>
          <w:rFonts w:ascii="Abo-thar" w:hAnsi="Abo-thar" w:cs="KFGQPC Uthman Taha Naskh"/>
          <w:b/>
          <w:bCs/>
          <w:sz w:val="28"/>
          <w:rtl/>
        </w:rPr>
        <w:t>:</w:t>
      </w:r>
      <w:r w:rsidRPr="004A3642">
        <w:rPr>
          <w:rFonts w:ascii="Abo-thar" w:hAnsi="Abo-thar" w:cs="KFGQPC Uthman Taha Naskh"/>
          <w:b/>
          <w:bCs/>
          <w:sz w:val="28"/>
          <w:rtl/>
        </w:rPr>
        <w:t xml:space="preserve"> «يا قنبر أظن أنه حدث في هذا الزق حدث»</w:t>
      </w:r>
      <w:r w:rsidR="00217AB4" w:rsidRPr="004A3642">
        <w:rPr>
          <w:rFonts w:ascii="Abo-thar" w:hAnsi="Abo-thar" w:cs="KFGQPC Uthman Taha Naskh"/>
          <w:b/>
          <w:bCs/>
          <w:sz w:val="28"/>
          <w:rtl/>
        </w:rPr>
        <w:t>.</w:t>
      </w:r>
      <w:r w:rsidRPr="004A3642">
        <w:rPr>
          <w:rFonts w:ascii="Abo-thar" w:hAnsi="Abo-thar" w:cs="KFGQPC Uthman Taha Naskh" w:hint="cs"/>
          <w:b/>
          <w:bCs/>
          <w:sz w:val="28"/>
          <w:rtl/>
        </w:rPr>
        <w:t xml:space="preserve"> </w:t>
      </w:r>
      <w:r w:rsidRPr="004A3642">
        <w:rPr>
          <w:rFonts w:ascii="Abo-thar" w:hAnsi="Abo-thar" w:cs="KFGQPC Uthman Taha Naskh"/>
          <w:b/>
          <w:bCs/>
          <w:sz w:val="28"/>
          <w:rtl/>
        </w:rPr>
        <w:t>قال</w:t>
      </w:r>
      <w:r w:rsidR="00217AB4" w:rsidRPr="004A3642">
        <w:rPr>
          <w:rFonts w:ascii="Abo-thar" w:hAnsi="Abo-thar" w:cs="KFGQPC Uthman Taha Naskh"/>
          <w:b/>
          <w:bCs/>
          <w:sz w:val="28"/>
          <w:rtl/>
        </w:rPr>
        <w:t>:</w:t>
      </w:r>
      <w:r w:rsidRPr="004A3642">
        <w:rPr>
          <w:rFonts w:ascii="Abo-thar" w:hAnsi="Abo-thar" w:cs="KFGQPC Uthman Taha Naskh"/>
          <w:b/>
          <w:bCs/>
          <w:sz w:val="28"/>
          <w:rtl/>
        </w:rPr>
        <w:t xml:space="preserve"> نعم يا أمير المؤمنين</w:t>
      </w:r>
      <w:r w:rsidR="00217AB4" w:rsidRPr="004A3642">
        <w:rPr>
          <w:rFonts w:ascii="Abo-thar" w:hAnsi="Abo-thar" w:cs="KFGQPC Uthman Taha Naskh"/>
          <w:b/>
          <w:bCs/>
          <w:sz w:val="28"/>
          <w:rtl/>
        </w:rPr>
        <w:t>،</w:t>
      </w:r>
      <w:r w:rsidRPr="004A3642">
        <w:rPr>
          <w:rFonts w:ascii="Abo-thar" w:hAnsi="Abo-thar" w:cs="KFGQPC Uthman Taha Naskh"/>
          <w:b/>
          <w:bCs/>
          <w:sz w:val="28"/>
          <w:rtl/>
        </w:rPr>
        <w:t xml:space="preserve"> وأخبره</w:t>
      </w:r>
      <w:r w:rsidR="00217AB4" w:rsidRPr="004A3642">
        <w:rPr>
          <w:rFonts w:ascii="Abo-thar" w:hAnsi="Abo-thar" w:cs="KFGQPC Uthman Taha Naskh"/>
          <w:b/>
          <w:bCs/>
          <w:sz w:val="28"/>
          <w:rtl/>
        </w:rPr>
        <w:t>،</w:t>
      </w:r>
      <w:r w:rsidRPr="004A3642">
        <w:rPr>
          <w:rFonts w:ascii="Abo-thar" w:hAnsi="Abo-thar" w:cs="KFGQPC Uthman Taha Naskh"/>
          <w:b/>
          <w:bCs/>
          <w:sz w:val="28"/>
          <w:rtl/>
        </w:rPr>
        <w:t xml:space="preserve"> فغضب وقال</w:t>
      </w:r>
      <w:r w:rsidR="00217AB4" w:rsidRPr="004A3642">
        <w:rPr>
          <w:rFonts w:ascii="Abo-thar" w:hAnsi="Abo-thar" w:cs="KFGQPC Uthman Taha Naskh"/>
          <w:b/>
          <w:bCs/>
          <w:sz w:val="28"/>
          <w:rtl/>
        </w:rPr>
        <w:t>:</w:t>
      </w:r>
      <w:r w:rsidRPr="004A3642">
        <w:rPr>
          <w:rFonts w:ascii="Abo-thar" w:hAnsi="Abo-thar" w:cs="KFGQPC Uthman Taha Naskh"/>
          <w:b/>
          <w:bCs/>
          <w:sz w:val="28"/>
          <w:rtl/>
        </w:rPr>
        <w:t xml:space="preserve"> «عل</w:t>
      </w:r>
      <w:r w:rsidRPr="004A3642">
        <w:rPr>
          <w:rFonts w:ascii="Abo-thar" w:hAnsi="Abo-thar" w:cs="KFGQPC Uthman Taha Naskh" w:hint="cs"/>
          <w:b/>
          <w:bCs/>
          <w:sz w:val="28"/>
          <w:rtl/>
        </w:rPr>
        <w:t>يَّ</w:t>
      </w:r>
      <w:r w:rsidRPr="004A3642">
        <w:rPr>
          <w:rFonts w:ascii="Abo-thar" w:hAnsi="Abo-thar" w:cs="KFGQPC Uthman Taha Naskh"/>
          <w:b/>
          <w:bCs/>
          <w:sz w:val="28"/>
          <w:rtl/>
        </w:rPr>
        <w:t xml:space="preserve"> بحسين»</w:t>
      </w:r>
      <w:r w:rsidR="00217AB4" w:rsidRPr="004A3642">
        <w:rPr>
          <w:rFonts w:ascii="Abo-thar" w:hAnsi="Abo-thar" w:cs="KFGQPC Uthman Taha Naskh"/>
          <w:b/>
          <w:bCs/>
          <w:sz w:val="28"/>
          <w:rtl/>
        </w:rPr>
        <w:t>،</w:t>
      </w:r>
      <w:r w:rsidRPr="004A3642">
        <w:rPr>
          <w:rFonts w:ascii="Abo-thar" w:hAnsi="Abo-thar" w:cs="KFGQPC Uthman Taha Naskh"/>
          <w:b/>
          <w:bCs/>
          <w:sz w:val="28"/>
          <w:rtl/>
        </w:rPr>
        <w:t xml:space="preserve"> ورفع الدرة فقال</w:t>
      </w:r>
      <w:r w:rsidR="00217AB4" w:rsidRPr="004A3642">
        <w:rPr>
          <w:rFonts w:ascii="Abo-thar" w:hAnsi="Abo-thar" w:cs="KFGQPC Uthman Taha Naskh"/>
          <w:b/>
          <w:bCs/>
          <w:sz w:val="28"/>
          <w:rtl/>
        </w:rPr>
        <w:t>:</w:t>
      </w:r>
      <w:r w:rsidRPr="004A3642">
        <w:rPr>
          <w:rFonts w:ascii="Abo-thar" w:hAnsi="Abo-thar" w:cs="KFGQPC Uthman Taha Naskh"/>
          <w:b/>
          <w:bCs/>
          <w:sz w:val="28"/>
          <w:rtl/>
        </w:rPr>
        <w:t xml:space="preserve"> «بحق عمي جعفر» </w:t>
      </w:r>
      <w:r w:rsidR="00217AB4" w:rsidRPr="004A3642">
        <w:rPr>
          <w:rFonts w:ascii="Abo-thar" w:hAnsi="Abo-thar" w:cs="KFGQPC Uthman Taha Naskh"/>
          <w:b/>
          <w:bCs/>
          <w:sz w:val="28"/>
          <w:rtl/>
        </w:rPr>
        <w:t>-</w:t>
      </w:r>
      <w:r w:rsidRPr="004A3642">
        <w:rPr>
          <w:rFonts w:ascii="Abo-thar" w:hAnsi="Abo-thar" w:cs="KFGQPC Uthman Taha Naskh"/>
          <w:b/>
          <w:bCs/>
          <w:sz w:val="28"/>
          <w:rtl/>
        </w:rPr>
        <w:t xml:space="preserve"> وكان إذا سئل بحق جعفر سكن </w:t>
      </w:r>
      <w:r w:rsidR="00217AB4" w:rsidRPr="004A3642">
        <w:rPr>
          <w:rFonts w:ascii="Abo-thar" w:hAnsi="Abo-thar" w:cs="KFGQPC Uthman Taha Naskh"/>
          <w:b/>
          <w:bCs/>
          <w:sz w:val="28"/>
          <w:rtl/>
        </w:rPr>
        <w:t>-</w:t>
      </w:r>
      <w:r w:rsidRPr="004A3642">
        <w:rPr>
          <w:rFonts w:ascii="Abo-thar" w:hAnsi="Abo-thar" w:cs="KFGQPC Uthman Taha Naskh"/>
          <w:b/>
          <w:bCs/>
          <w:sz w:val="28"/>
          <w:rtl/>
        </w:rPr>
        <w:t xml:space="preserve"> فقال له</w:t>
      </w:r>
      <w:r w:rsidR="00217AB4" w:rsidRPr="004A3642">
        <w:rPr>
          <w:rFonts w:ascii="Abo-thar" w:hAnsi="Abo-thar" w:cs="KFGQPC Uthman Taha Naskh"/>
          <w:b/>
          <w:bCs/>
          <w:sz w:val="28"/>
          <w:rtl/>
        </w:rPr>
        <w:t>:</w:t>
      </w:r>
      <w:r w:rsidRPr="004A3642">
        <w:rPr>
          <w:rFonts w:ascii="Abo-thar" w:hAnsi="Abo-thar" w:cs="KFGQPC Uthman Taha Naskh"/>
          <w:b/>
          <w:bCs/>
          <w:sz w:val="28"/>
          <w:rtl/>
        </w:rPr>
        <w:t xml:space="preserve"> «ما حملك إذ أخذت منه قبل القسمة</w:t>
      </w:r>
      <w:r w:rsidR="00217AB4" w:rsidRPr="004A3642">
        <w:rPr>
          <w:rFonts w:ascii="Abo-thar" w:hAnsi="Abo-thar" w:cs="KFGQPC Uthman Taha Naskh"/>
          <w:b/>
          <w:bCs/>
          <w:sz w:val="28"/>
          <w:rtl/>
        </w:rPr>
        <w:t>؟</w:t>
      </w:r>
      <w:r w:rsidRPr="004A3642">
        <w:rPr>
          <w:rFonts w:ascii="Abo-thar" w:hAnsi="Abo-thar" w:cs="KFGQPC Uthman Taha Naskh"/>
          <w:b/>
          <w:bCs/>
          <w:sz w:val="28"/>
          <w:rtl/>
        </w:rPr>
        <w:t>» قال</w:t>
      </w:r>
      <w:r w:rsidR="00217AB4" w:rsidRPr="004A3642">
        <w:rPr>
          <w:rFonts w:ascii="Abo-thar" w:hAnsi="Abo-thar" w:cs="KFGQPC Uthman Taha Naskh"/>
          <w:b/>
          <w:bCs/>
          <w:sz w:val="28"/>
          <w:rtl/>
        </w:rPr>
        <w:t>:</w:t>
      </w:r>
      <w:r w:rsidRPr="004A3642">
        <w:rPr>
          <w:rFonts w:ascii="Abo-thar" w:hAnsi="Abo-thar" w:cs="KFGQPC Uthman Taha Naskh"/>
          <w:b/>
          <w:bCs/>
          <w:sz w:val="28"/>
          <w:rtl/>
        </w:rPr>
        <w:t xml:space="preserve"> «إن لنا</w:t>
      </w:r>
      <w:r w:rsidRPr="004A3642">
        <w:rPr>
          <w:rFonts w:ascii="Abo-thar" w:hAnsi="Abo-thar" w:cs="KFGQPC Uthman Taha Naskh" w:hint="cs"/>
          <w:b/>
          <w:bCs/>
          <w:sz w:val="28"/>
          <w:rtl/>
        </w:rPr>
        <w:t xml:space="preserve"> </w:t>
      </w:r>
      <w:r w:rsidRPr="004A3642">
        <w:rPr>
          <w:rFonts w:ascii="Abo-thar" w:hAnsi="Abo-thar" w:cs="KFGQPC Uthman Taha Naskh"/>
          <w:b/>
          <w:bCs/>
          <w:sz w:val="28"/>
          <w:rtl/>
        </w:rPr>
        <w:t>فيه حقا</w:t>
      </w:r>
      <w:r w:rsidRPr="004A3642">
        <w:rPr>
          <w:rFonts w:ascii="Abo-thar" w:hAnsi="Abo-thar" w:cs="KFGQPC Uthman Taha Naskh" w:hint="cs"/>
          <w:b/>
          <w:bCs/>
          <w:sz w:val="28"/>
          <w:rtl/>
        </w:rPr>
        <w:t>ً</w:t>
      </w:r>
      <w:r w:rsidR="00217AB4" w:rsidRPr="004A3642">
        <w:rPr>
          <w:rFonts w:ascii="Abo-thar" w:hAnsi="Abo-thar" w:cs="KFGQPC Uthman Taha Naskh"/>
          <w:b/>
          <w:bCs/>
          <w:sz w:val="28"/>
          <w:rtl/>
        </w:rPr>
        <w:t>،</w:t>
      </w:r>
      <w:r w:rsidRPr="004A3642">
        <w:rPr>
          <w:rFonts w:ascii="Abo-thar" w:hAnsi="Abo-thar" w:cs="KFGQPC Uthman Taha Naskh"/>
          <w:b/>
          <w:bCs/>
          <w:sz w:val="28"/>
          <w:rtl/>
        </w:rPr>
        <w:t xml:space="preserve"> فإذا أعطيناه رددناه»</w:t>
      </w:r>
      <w:r w:rsidR="00217AB4" w:rsidRPr="004A3642">
        <w:rPr>
          <w:rFonts w:ascii="Abo-thar" w:hAnsi="Abo-thar" w:cs="KFGQPC Uthman Taha Naskh"/>
          <w:b/>
          <w:bCs/>
          <w:sz w:val="28"/>
          <w:rtl/>
        </w:rPr>
        <w:t>.</w:t>
      </w:r>
      <w:r w:rsidRPr="004A3642">
        <w:rPr>
          <w:rFonts w:ascii="Abo-thar" w:hAnsi="Abo-thar" w:cs="KFGQPC Uthman Taha Naskh"/>
          <w:b/>
          <w:bCs/>
          <w:sz w:val="28"/>
          <w:rtl/>
        </w:rPr>
        <w:t xml:space="preserve"> قال</w:t>
      </w:r>
      <w:r w:rsidR="00217AB4" w:rsidRPr="004A3642">
        <w:rPr>
          <w:rFonts w:ascii="Abo-thar" w:hAnsi="Abo-thar" w:cs="KFGQPC Uthman Taha Naskh"/>
          <w:b/>
          <w:bCs/>
          <w:sz w:val="28"/>
          <w:rtl/>
        </w:rPr>
        <w:t>:</w:t>
      </w:r>
      <w:r w:rsidRPr="004A3642">
        <w:rPr>
          <w:rFonts w:ascii="Abo-thar" w:hAnsi="Abo-thar" w:cs="KFGQPC Uthman Taha Naskh"/>
          <w:b/>
          <w:bCs/>
          <w:sz w:val="28"/>
          <w:rtl/>
        </w:rPr>
        <w:t xml:space="preserve"> «فداك أبوك وإن كان لك فيه حق فليس لك أن تنتفع بحقك قبل أن ينتفع المسلمون بحقوقهم</w:t>
      </w:r>
      <w:r w:rsidR="00217AB4" w:rsidRPr="004A3642">
        <w:rPr>
          <w:rFonts w:ascii="Abo-thar" w:hAnsi="Abo-thar" w:cs="KFGQPC Uthman Taha Naskh"/>
          <w:b/>
          <w:bCs/>
          <w:sz w:val="28"/>
          <w:rtl/>
        </w:rPr>
        <w:t>،</w:t>
      </w:r>
      <w:r w:rsidRPr="004A3642">
        <w:rPr>
          <w:rFonts w:ascii="Abo-thar" w:hAnsi="Abo-thar" w:cs="KFGQPC Uthman Taha Naskh"/>
          <w:b/>
          <w:bCs/>
          <w:sz w:val="28"/>
          <w:rtl/>
        </w:rPr>
        <w:t xml:space="preserve"> أما لولا أني رأيت رسول الله صلى الله عليه وآله يقبل ثنيتك ل</w:t>
      </w:r>
      <w:r w:rsidRPr="004A3642">
        <w:rPr>
          <w:rFonts w:ascii="Abo-thar" w:hAnsi="Abo-thar" w:cs="KFGQPC Uthman Taha Naskh" w:hint="cs"/>
          <w:b/>
          <w:bCs/>
          <w:sz w:val="28"/>
          <w:rtl/>
        </w:rPr>
        <w:t>أ</w:t>
      </w:r>
      <w:r w:rsidRPr="004A3642">
        <w:rPr>
          <w:rFonts w:ascii="Abo-thar" w:hAnsi="Abo-thar" w:cs="KFGQPC Uthman Taha Naskh"/>
          <w:b/>
          <w:bCs/>
          <w:sz w:val="28"/>
          <w:rtl/>
        </w:rPr>
        <w:t>وجعتك ضربا</w:t>
      </w:r>
      <w:r w:rsidRPr="004A3642">
        <w:rPr>
          <w:rFonts w:ascii="Abo-thar" w:hAnsi="Abo-thar" w:cs="KFGQPC Uthman Taha Naskh" w:hint="cs"/>
          <w:b/>
          <w:bCs/>
          <w:sz w:val="28"/>
          <w:rtl/>
        </w:rPr>
        <w:t>ً</w:t>
      </w:r>
      <w:r w:rsidRPr="004A3642">
        <w:rPr>
          <w:rFonts w:ascii="Abo-thar" w:hAnsi="Abo-thar" w:cs="KFGQPC Uthman Taha Naskh"/>
          <w:b/>
          <w:bCs/>
          <w:sz w:val="28"/>
          <w:rtl/>
        </w:rPr>
        <w:t>»</w:t>
      </w:r>
      <w:r w:rsidR="00217AB4" w:rsidRPr="004A3642">
        <w:rPr>
          <w:rFonts w:ascii="Abo-thar" w:hAnsi="Abo-thar" w:cs="KFGQPC Uthman Taha Naskh"/>
          <w:b/>
          <w:bCs/>
          <w:sz w:val="28"/>
          <w:rtl/>
        </w:rPr>
        <w:t>،</w:t>
      </w:r>
      <w:r w:rsidRPr="004A3642">
        <w:rPr>
          <w:rFonts w:ascii="Abo-thar" w:hAnsi="Abo-thar" w:cs="KFGQPC Uthman Taha Naskh"/>
          <w:b/>
          <w:bCs/>
          <w:sz w:val="28"/>
          <w:rtl/>
        </w:rPr>
        <w:t xml:space="preserve"> ثم دفع إلى قنبر درهما كان مصرورا</w:t>
      </w:r>
      <w:r w:rsidRPr="004A3642">
        <w:rPr>
          <w:rFonts w:ascii="Abo-thar" w:hAnsi="Abo-thar" w:cs="KFGQPC Uthman Taha Naskh" w:hint="cs"/>
          <w:b/>
          <w:bCs/>
          <w:sz w:val="28"/>
          <w:rtl/>
        </w:rPr>
        <w:t>ً</w:t>
      </w:r>
      <w:r w:rsidRPr="004A3642">
        <w:rPr>
          <w:rFonts w:ascii="Abo-thar" w:hAnsi="Abo-thar" w:cs="KFGQPC Uthman Taha Naskh"/>
          <w:b/>
          <w:bCs/>
          <w:sz w:val="28"/>
          <w:rtl/>
        </w:rPr>
        <w:t xml:space="preserve"> في ردائه وقال</w:t>
      </w:r>
      <w:r w:rsidR="00217AB4" w:rsidRPr="004A3642">
        <w:rPr>
          <w:rFonts w:ascii="Abo-thar" w:hAnsi="Abo-thar" w:cs="KFGQPC Uthman Taha Naskh"/>
          <w:b/>
          <w:bCs/>
          <w:sz w:val="28"/>
          <w:rtl/>
        </w:rPr>
        <w:t>:</w:t>
      </w:r>
      <w:r w:rsidRPr="004A3642">
        <w:rPr>
          <w:rFonts w:ascii="Abo-thar" w:hAnsi="Abo-thar" w:cs="KFGQPC Uthman Taha Naskh"/>
          <w:b/>
          <w:bCs/>
          <w:sz w:val="28"/>
          <w:rtl/>
        </w:rPr>
        <w:t xml:space="preserve"> «اشتر</w:t>
      </w:r>
      <w:r w:rsidRPr="004A3642">
        <w:rPr>
          <w:rFonts w:ascii="Abo-thar" w:hAnsi="Abo-thar" w:cs="KFGQPC Uthman Taha Naskh" w:hint="cs"/>
          <w:b/>
          <w:bCs/>
          <w:sz w:val="28"/>
          <w:rtl/>
        </w:rPr>
        <w:t xml:space="preserve"> </w:t>
      </w:r>
      <w:r w:rsidRPr="004A3642">
        <w:rPr>
          <w:rFonts w:ascii="Abo-thar" w:hAnsi="Abo-thar" w:cs="KFGQPC Uthman Taha Naskh"/>
          <w:b/>
          <w:bCs/>
          <w:sz w:val="28"/>
          <w:rtl/>
        </w:rPr>
        <w:t>به خير عسل تقدر عليه»</w:t>
      </w:r>
      <w:r w:rsidR="00217AB4" w:rsidRPr="004A3642">
        <w:rPr>
          <w:rFonts w:ascii="Abo-thar" w:hAnsi="Abo-thar" w:cs="KFGQPC Uthman Taha Naskh"/>
          <w:b/>
          <w:bCs/>
          <w:sz w:val="28"/>
          <w:rtl/>
        </w:rPr>
        <w:t>.</w:t>
      </w:r>
      <w:r w:rsidRPr="004A3642">
        <w:rPr>
          <w:rFonts w:ascii="Abo-thar" w:hAnsi="Abo-thar" w:cs="KFGQPC Uthman Taha Naskh"/>
          <w:b/>
          <w:bCs/>
          <w:sz w:val="28"/>
          <w:rtl/>
        </w:rPr>
        <w:t xml:space="preserve"> قال عقيل</w:t>
      </w:r>
      <w:r w:rsidR="00217AB4" w:rsidRPr="004A3642">
        <w:rPr>
          <w:rFonts w:ascii="Abo-thar" w:hAnsi="Abo-thar" w:cs="KFGQPC Uthman Taha Naskh"/>
          <w:b/>
          <w:bCs/>
          <w:sz w:val="28"/>
          <w:rtl/>
        </w:rPr>
        <w:t>:</w:t>
      </w:r>
      <w:r w:rsidRPr="004A3642">
        <w:rPr>
          <w:rFonts w:ascii="Abo-thar" w:hAnsi="Abo-thar" w:cs="KFGQPC Uthman Taha Naskh"/>
          <w:b/>
          <w:bCs/>
          <w:sz w:val="28"/>
          <w:rtl/>
        </w:rPr>
        <w:t xml:space="preserve"> والله لكأن</w:t>
      </w:r>
      <w:r w:rsidRPr="004A3642">
        <w:rPr>
          <w:rFonts w:ascii="Abo-thar" w:hAnsi="Abo-thar" w:cs="KFGQPC Uthman Taha Naskh" w:hint="cs"/>
          <w:b/>
          <w:bCs/>
          <w:sz w:val="28"/>
          <w:rtl/>
        </w:rPr>
        <w:t>ي</w:t>
      </w:r>
      <w:r w:rsidRPr="004A3642">
        <w:rPr>
          <w:rFonts w:ascii="Abo-thar" w:hAnsi="Abo-thar" w:cs="KFGQPC Uthman Taha Naskh"/>
          <w:b/>
          <w:bCs/>
          <w:sz w:val="28"/>
          <w:rtl/>
        </w:rPr>
        <w:t xml:space="preserve"> أنظر إلى يدي علي</w:t>
      </w:r>
      <w:r w:rsidRPr="004A3642">
        <w:rPr>
          <w:rFonts w:ascii="Abo-thar" w:hAnsi="Abo-thar" w:cs="KFGQPC Uthman Taha Naskh" w:hint="cs"/>
          <w:b/>
          <w:bCs/>
          <w:sz w:val="28"/>
          <w:rtl/>
        </w:rPr>
        <w:t>ٍّ</w:t>
      </w:r>
      <w:r w:rsidRPr="004A3642">
        <w:rPr>
          <w:rFonts w:ascii="Abo-thar" w:hAnsi="Abo-thar" w:cs="KFGQPC Uthman Taha Naskh"/>
          <w:b/>
          <w:bCs/>
          <w:sz w:val="28"/>
          <w:rtl/>
        </w:rPr>
        <w:t xml:space="preserve"> وهي على فم الزق</w:t>
      </w:r>
      <w:r w:rsidR="00147857" w:rsidRPr="004A3642">
        <w:rPr>
          <w:rFonts w:ascii="Abo-thar" w:hAnsi="Abo-thar" w:cs="KFGQPC Uthman Taha Naskh"/>
          <w:b/>
          <w:bCs/>
          <w:sz w:val="28"/>
          <w:rtl/>
        </w:rPr>
        <w:t xml:space="preserve"> و</w:t>
      </w:r>
      <w:r w:rsidRPr="004A3642">
        <w:rPr>
          <w:rFonts w:ascii="Abo-thar" w:hAnsi="Abo-thar" w:cs="KFGQPC Uthman Taha Naskh"/>
          <w:b/>
          <w:bCs/>
          <w:sz w:val="28"/>
          <w:rtl/>
        </w:rPr>
        <w:t>قنبر يقلب العسل فيه ثم شده وجعل يبكي ويقول</w:t>
      </w:r>
      <w:r w:rsidR="00217AB4" w:rsidRPr="004A3642">
        <w:rPr>
          <w:rFonts w:ascii="Abo-thar" w:hAnsi="Abo-thar" w:cs="KFGQPC Uthman Taha Naskh"/>
          <w:b/>
          <w:bCs/>
          <w:sz w:val="28"/>
          <w:rtl/>
        </w:rPr>
        <w:t>:</w:t>
      </w:r>
      <w:r w:rsidRPr="004A3642">
        <w:rPr>
          <w:rFonts w:ascii="Abo-thar" w:hAnsi="Abo-thar" w:cs="KFGQPC Uthman Taha Naskh"/>
          <w:b/>
          <w:bCs/>
          <w:sz w:val="28"/>
          <w:rtl/>
        </w:rPr>
        <w:t xml:space="preserve"> «اللهم اغفر للحسين فإنه لم يعلم</w:t>
      </w:r>
      <w:r w:rsidR="00EF2588" w:rsidRPr="004A3642">
        <w:rPr>
          <w:rFonts w:ascii="Abo-thar" w:hAnsi="Abo-thar" w:cs="KFGQPC Uthman Taha Naskh"/>
          <w:b/>
          <w:bCs/>
          <w:sz w:val="28"/>
          <w:rtl/>
        </w:rPr>
        <w:t>»</w:t>
      </w:r>
      <w:r w:rsidR="00217AB4" w:rsidRPr="0021507A">
        <w:rPr>
          <w:rFonts w:cs="Arabic11 BT"/>
          <w:b/>
          <w:sz w:val="28"/>
          <w:vertAlign w:val="superscript"/>
          <w:rtl/>
        </w:rPr>
        <w:t>(</w:t>
      </w:r>
      <w:r w:rsidRPr="0021507A">
        <w:rPr>
          <w:rStyle w:val="FootnoteReference"/>
          <w:rFonts w:cs="Arabic11 BT"/>
          <w:b/>
          <w:sz w:val="28"/>
          <w:rtl/>
        </w:rPr>
        <w:footnoteReference w:id="150"/>
      </w:r>
      <w:r w:rsidR="00217AB4" w:rsidRPr="0021507A">
        <w:rPr>
          <w:rFonts w:cs="Arabic11 BT"/>
          <w:b/>
          <w:sz w:val="28"/>
          <w:vertAlign w:val="superscript"/>
          <w:rtl/>
        </w:rPr>
        <w:t>)</w:t>
      </w:r>
      <w:r w:rsidR="00217AB4" w:rsidRPr="003F3B94">
        <w:rPr>
          <w:sz w:val="28"/>
          <w:rtl/>
        </w:rPr>
        <w:t>.</w:t>
      </w:r>
    </w:p>
    <w:p w:rsidR="005C664D" w:rsidRPr="003F3B94" w:rsidRDefault="005C664D" w:rsidP="003F3B94">
      <w:pPr>
        <w:pStyle w:val="a0"/>
        <w:rPr>
          <w:rFonts w:hint="cs"/>
          <w:rtl/>
        </w:rPr>
      </w:pPr>
      <w:r w:rsidRPr="003F3B94">
        <w:rPr>
          <w:rFonts w:hint="cs"/>
          <w:sz w:val="28"/>
          <w:rtl/>
        </w:rPr>
        <w:t>تلك كانت بعض القصص التي يوجد عشرات أمثالها حول تصرّف عليٍّ</w:t>
      </w:r>
      <w:r w:rsidR="00147857" w:rsidRPr="003F3B94">
        <w:rPr>
          <w:rFonts w:hint="cs"/>
          <w:sz w:val="28"/>
          <w:rtl/>
        </w:rPr>
        <w:t xml:space="preserve"> </w:t>
      </w:r>
      <w:r w:rsidR="003C7AEB" w:rsidRPr="003C7AEB">
        <w:rPr>
          <w:rFonts w:ascii="Abo-thar" w:hAnsi="Abo-thar" w:cs="CTraditional Arabic"/>
          <w:sz w:val="28"/>
          <w:rtl/>
        </w:rPr>
        <w:t>÷</w:t>
      </w:r>
      <w:r w:rsidR="00147857" w:rsidRPr="003F3B94">
        <w:rPr>
          <w:rFonts w:ascii="Abo-thar" w:hAnsi="Abo-thar"/>
          <w:sz w:val="28"/>
          <w:rtl/>
        </w:rPr>
        <w:t xml:space="preserve"> </w:t>
      </w:r>
      <w:r w:rsidRPr="003F3B94">
        <w:rPr>
          <w:rFonts w:hint="cs"/>
          <w:sz w:val="28"/>
          <w:rtl/>
        </w:rPr>
        <w:t>مع أقربائه</w:t>
      </w:r>
      <w:r w:rsidR="00147857" w:rsidRPr="003F3B94">
        <w:rPr>
          <w:rFonts w:hint="cs"/>
          <w:sz w:val="28"/>
          <w:rtl/>
        </w:rPr>
        <w:t xml:space="preserve"> و</w:t>
      </w:r>
      <w:r w:rsidRPr="003F3B94">
        <w:rPr>
          <w:rFonts w:hint="cs"/>
          <w:sz w:val="28"/>
          <w:rtl/>
        </w:rPr>
        <w:t>أبنائه بشأن المال العام</w:t>
      </w:r>
      <w:r w:rsidR="00217AB4" w:rsidRPr="003F3B94">
        <w:rPr>
          <w:rFonts w:hint="cs"/>
          <w:sz w:val="28"/>
          <w:rtl/>
        </w:rPr>
        <w:t>.</w:t>
      </w:r>
      <w:r w:rsidRPr="003F3B94">
        <w:rPr>
          <w:rFonts w:hint="cs"/>
          <w:sz w:val="28"/>
          <w:rtl/>
        </w:rPr>
        <w:t xml:space="preserve"> </w:t>
      </w:r>
    </w:p>
    <w:p w:rsidR="005C664D" w:rsidRPr="003F3B94" w:rsidRDefault="005C664D" w:rsidP="003F3B94">
      <w:pPr>
        <w:pStyle w:val="a0"/>
        <w:rPr>
          <w:rFonts w:hint="cs"/>
          <w:rtl/>
        </w:rPr>
      </w:pPr>
      <w:r w:rsidRPr="003F3B94">
        <w:rPr>
          <w:rFonts w:hint="cs"/>
          <w:sz w:val="28"/>
          <w:rtl/>
        </w:rPr>
        <w:t>فإذا كان الأمر كذلك فليت شعري كيف يتسنَّى لمدَّعي التشيُّع لعليٍّ</w:t>
      </w:r>
      <w:r w:rsidR="00147857" w:rsidRPr="003F3B94">
        <w:rPr>
          <w:rFonts w:hint="cs"/>
          <w:sz w:val="28"/>
          <w:rtl/>
        </w:rPr>
        <w:t xml:space="preserve"> </w:t>
      </w:r>
      <w:r w:rsidR="003C7AEB" w:rsidRPr="003C7AEB">
        <w:rPr>
          <w:rFonts w:ascii="Abo-thar" w:hAnsi="Abo-thar" w:cs="CTraditional Arabic"/>
          <w:sz w:val="28"/>
          <w:rtl/>
        </w:rPr>
        <w:t>÷</w:t>
      </w:r>
      <w:r w:rsidR="00147857" w:rsidRPr="003F3B94">
        <w:rPr>
          <w:rFonts w:ascii="Abo-thar" w:hAnsi="Abo-thar"/>
          <w:sz w:val="28"/>
          <w:rtl/>
        </w:rPr>
        <w:t xml:space="preserve"> </w:t>
      </w:r>
      <w:r w:rsidRPr="003F3B94">
        <w:rPr>
          <w:rFonts w:hint="cs"/>
          <w:sz w:val="28"/>
          <w:rtl/>
        </w:rPr>
        <w:t>الذين يزعمون أنهم يتَّبعونه</w:t>
      </w:r>
      <w:r w:rsidR="00217AB4" w:rsidRPr="003F3B94">
        <w:rPr>
          <w:rFonts w:hint="cs"/>
          <w:sz w:val="28"/>
          <w:rtl/>
        </w:rPr>
        <w:t>،</w:t>
      </w:r>
      <w:r w:rsidRPr="003F3B94">
        <w:rPr>
          <w:rFonts w:hint="cs"/>
          <w:sz w:val="28"/>
          <w:rtl/>
        </w:rPr>
        <w:t xml:space="preserve"> أن يزعموا انطباق سلوكهم مع سلوك أمير المؤمنين أو يزعموا أن مذهبهم الذي يطلقون عليه مذهب الشيعة ينتسب لحضرته</w:t>
      </w:r>
      <w:r w:rsidR="00147857" w:rsidRPr="003F3B94">
        <w:rPr>
          <w:rFonts w:hint="cs"/>
          <w:sz w:val="28"/>
          <w:rtl/>
        </w:rPr>
        <w:t xml:space="preserve"> </w:t>
      </w:r>
      <w:r w:rsidR="003C7AEB" w:rsidRPr="003C7AEB">
        <w:rPr>
          <w:rFonts w:ascii="Abo-thar" w:hAnsi="Abo-thar" w:cs="CTraditional Arabic"/>
          <w:sz w:val="28"/>
          <w:rtl/>
        </w:rPr>
        <w:t>÷</w:t>
      </w:r>
      <w:r w:rsidR="00217AB4" w:rsidRPr="003F3B94">
        <w:rPr>
          <w:rFonts w:ascii="Abo-thar" w:hAnsi="Abo-thar"/>
          <w:sz w:val="28"/>
          <w:rtl/>
        </w:rPr>
        <w:t>!</w:t>
      </w:r>
      <w:r w:rsidRPr="003F3B94">
        <w:rPr>
          <w:rFonts w:hint="cs"/>
          <w:sz w:val="28"/>
          <w:rtl/>
        </w:rPr>
        <w:t xml:space="preserve"> </w:t>
      </w:r>
    </w:p>
    <w:p w:rsidR="005C664D" w:rsidRPr="003F3B94" w:rsidRDefault="005C664D" w:rsidP="003F3B94">
      <w:pPr>
        <w:pStyle w:val="a0"/>
        <w:rPr>
          <w:rFonts w:hint="cs"/>
          <w:rtl/>
        </w:rPr>
      </w:pPr>
      <w:r w:rsidRPr="003F3B94">
        <w:rPr>
          <w:rFonts w:hint="cs"/>
          <w:sz w:val="28"/>
          <w:rtl/>
        </w:rPr>
        <w:t>هل يمكن أن يدّعوا أن عليَّاً</w:t>
      </w:r>
      <w:r w:rsidR="00147857" w:rsidRPr="003F3B94">
        <w:rPr>
          <w:rFonts w:hint="cs"/>
          <w:sz w:val="28"/>
          <w:rtl/>
        </w:rPr>
        <w:t xml:space="preserve"> </w:t>
      </w:r>
      <w:r w:rsidR="003C7AEB" w:rsidRPr="003C7AEB">
        <w:rPr>
          <w:rFonts w:ascii="Abo-thar" w:hAnsi="Abo-thar" w:cs="CTraditional Arabic"/>
          <w:sz w:val="28"/>
          <w:rtl/>
        </w:rPr>
        <w:t>÷</w:t>
      </w:r>
      <w:r w:rsidR="00147857" w:rsidRPr="003F3B94">
        <w:rPr>
          <w:rFonts w:ascii="Abo-thar" w:hAnsi="Abo-thar"/>
          <w:sz w:val="28"/>
          <w:rtl/>
        </w:rPr>
        <w:t xml:space="preserve"> </w:t>
      </w:r>
      <w:r w:rsidRPr="003F3B94">
        <w:rPr>
          <w:rFonts w:hint="cs"/>
          <w:sz w:val="28"/>
          <w:rtl/>
        </w:rPr>
        <w:t>لم يكن له علم بذلك الخمس الذي يتحدثون عنه أو كان له علم لكنه أهدر حق َّبني هاشم وضيَّع حق أقربائه الثابت وحرمهم بتصرفه ذاك من حقوقهم المالية</w:t>
      </w:r>
      <w:r w:rsidR="00217AB4" w:rsidRPr="003F3B94">
        <w:rPr>
          <w:rFonts w:hint="cs"/>
          <w:sz w:val="28"/>
          <w:rtl/>
        </w:rPr>
        <w:t>؟!</w:t>
      </w:r>
      <w:r w:rsidRPr="003F3B94">
        <w:rPr>
          <w:rFonts w:hint="cs"/>
          <w:sz w:val="28"/>
          <w:rtl/>
        </w:rPr>
        <w:t xml:space="preserve"> ذاك الذي </w:t>
      </w:r>
      <w:r w:rsidRPr="003F3B94">
        <w:rPr>
          <w:rFonts w:hint="cs"/>
          <w:b/>
          <w:bCs/>
          <w:sz w:val="28"/>
          <w:rtl/>
        </w:rPr>
        <w:t xml:space="preserve">لم يكن يرضى أن يظلم نملةً بسلبها حبة شعيرٍ جَلَبَتْها لنفسها ولو أُعطي مقابل ذلك </w:t>
      </w:r>
      <w:r w:rsidRPr="003F3B94">
        <w:rPr>
          <w:rFonts w:ascii="Abo-thar" w:hAnsi="Abo-thar"/>
          <w:b/>
          <w:bCs/>
          <w:sz w:val="28"/>
          <w:rtl/>
        </w:rPr>
        <w:t>الأَقَالِيمَ السَّـبْعَةَ بِمَا تَحْتَ أَفْلَاكِهَا</w:t>
      </w:r>
      <w:r w:rsidR="00217AB4" w:rsidRPr="003F3B94">
        <w:rPr>
          <w:rFonts w:ascii="Abo-thar" w:hAnsi="Abo-thar" w:hint="cs"/>
          <w:b/>
          <w:bCs/>
          <w:sz w:val="28"/>
          <w:rtl/>
        </w:rPr>
        <w:t>!</w:t>
      </w:r>
      <w:r w:rsidRPr="003F3B94">
        <w:rPr>
          <w:rFonts w:hint="cs"/>
          <w:sz w:val="28"/>
          <w:rtl/>
        </w:rPr>
        <w:t xml:space="preserve"> وذاك الذي كان يقسم بالله العظيم</w:t>
      </w:r>
      <w:r w:rsidR="00217AB4" w:rsidRPr="003F3B94">
        <w:rPr>
          <w:rFonts w:hint="cs"/>
          <w:sz w:val="28"/>
          <w:rtl/>
        </w:rPr>
        <w:t>:</w:t>
      </w:r>
      <w:r w:rsidRPr="003F3B94">
        <w:rPr>
          <w:rFonts w:hint="cs"/>
          <w:sz w:val="28"/>
          <w:rtl/>
        </w:rPr>
        <w:t xml:space="preserve"> </w:t>
      </w:r>
      <w:r w:rsidRPr="004A3642">
        <w:rPr>
          <w:rFonts w:ascii="Abo-thar" w:hAnsi="Abo-thar" w:cs="KFGQPC Uthman Taha Naskh"/>
          <w:b/>
          <w:bCs/>
          <w:sz w:val="28"/>
          <w:rtl/>
        </w:rPr>
        <w:t xml:space="preserve">لَأَنْ </w:t>
      </w:r>
      <w:r w:rsidRPr="004A3642">
        <w:rPr>
          <w:rFonts w:ascii="Abo-thar" w:hAnsi="Abo-thar" w:cs="KFGQPC Uthman Taha Naskh" w:hint="cs"/>
          <w:b/>
          <w:bCs/>
          <w:sz w:val="28"/>
          <w:rtl/>
        </w:rPr>
        <w:t>يَ</w:t>
      </w:r>
      <w:r w:rsidRPr="004A3642">
        <w:rPr>
          <w:rFonts w:ascii="Abo-thar" w:hAnsi="Abo-thar" w:cs="KFGQPC Uthman Taha Naskh"/>
          <w:b/>
          <w:bCs/>
          <w:sz w:val="28"/>
          <w:rtl/>
        </w:rPr>
        <w:t xml:space="preserve">بِيتَ عَلَى حَسَكِ السَّعْدَانِ مُسَهَّداً أَوْ </w:t>
      </w:r>
      <w:r w:rsidRPr="004A3642">
        <w:rPr>
          <w:rFonts w:ascii="Abo-thar" w:hAnsi="Abo-thar" w:cs="KFGQPC Uthman Taha Naskh" w:hint="cs"/>
          <w:b/>
          <w:bCs/>
          <w:sz w:val="28"/>
          <w:rtl/>
        </w:rPr>
        <w:t>يُـ</w:t>
      </w:r>
      <w:r w:rsidRPr="004A3642">
        <w:rPr>
          <w:rFonts w:ascii="Abo-thar" w:hAnsi="Abo-thar" w:cs="KFGQPC Uthman Taha Naskh"/>
          <w:b/>
          <w:bCs/>
          <w:sz w:val="28"/>
          <w:rtl/>
        </w:rPr>
        <w:t>جَرَّ فِي الْأَغْلَالِ مُصَفَّداً أَحَبُّ إِ</w:t>
      </w:r>
      <w:r w:rsidRPr="004A3642">
        <w:rPr>
          <w:rFonts w:ascii="Abo-thar" w:hAnsi="Abo-thar" w:cs="KFGQPC Uthman Taha Naskh" w:hint="cs"/>
          <w:b/>
          <w:bCs/>
          <w:sz w:val="28"/>
          <w:rtl/>
        </w:rPr>
        <w:t>لَيْهِ</w:t>
      </w:r>
      <w:r w:rsidRPr="004A3642">
        <w:rPr>
          <w:rFonts w:ascii="Abo-thar" w:hAnsi="Abo-thar" w:cs="KFGQPC Uthman Taha Naskh"/>
          <w:b/>
          <w:bCs/>
          <w:sz w:val="28"/>
          <w:rtl/>
        </w:rPr>
        <w:t xml:space="preserve"> مِنْ أَنْ </w:t>
      </w:r>
      <w:r w:rsidRPr="004A3642">
        <w:rPr>
          <w:rFonts w:ascii="Abo-thar" w:hAnsi="Abo-thar" w:cs="KFGQPC Uthman Taha Naskh" w:hint="cs"/>
          <w:b/>
          <w:bCs/>
          <w:sz w:val="28"/>
          <w:rtl/>
        </w:rPr>
        <w:t>يَ</w:t>
      </w:r>
      <w:r w:rsidRPr="004A3642">
        <w:rPr>
          <w:rFonts w:ascii="Abo-thar" w:hAnsi="Abo-thar" w:cs="KFGQPC Uthman Taha Naskh"/>
          <w:b/>
          <w:bCs/>
          <w:sz w:val="28"/>
          <w:rtl/>
        </w:rPr>
        <w:t>لْقَى اللهَ وَرَسُولَهُ يَوْمَ الْقِيَامَةِ ظَالِماً لِبَعْضِ الْعِبَادِ</w:t>
      </w:r>
      <w:r w:rsidR="00217AB4" w:rsidRPr="004A3642">
        <w:rPr>
          <w:rFonts w:cs="KFGQPC Uthman Taha Naskh" w:hint="cs"/>
          <w:sz w:val="28"/>
          <w:rtl/>
        </w:rPr>
        <w:t>!</w:t>
      </w:r>
      <w:r w:rsidRPr="003F3B94">
        <w:rPr>
          <w:rFonts w:hint="cs"/>
          <w:sz w:val="28"/>
          <w:rtl/>
        </w:rPr>
        <w:t xml:space="preserve"> ومع ذلك يتجاهل هذا الإمام الماجد الكريم حق بني هاشم في الخمس ولا يعطيهم أي امتياز مالي على الآخرين</w:t>
      </w:r>
      <w:r w:rsidR="00217AB4" w:rsidRPr="003F3B94">
        <w:rPr>
          <w:rFonts w:hint="cs"/>
          <w:sz w:val="28"/>
          <w:rtl/>
        </w:rPr>
        <w:t>،</w:t>
      </w:r>
      <w:r w:rsidRPr="003F3B94">
        <w:rPr>
          <w:rFonts w:hint="cs"/>
          <w:sz w:val="28"/>
          <w:rtl/>
        </w:rPr>
        <w:t xml:space="preserve"> بل يساوي بينهم وبين عامة المسلمين</w:t>
      </w:r>
      <w:r w:rsidR="00217AB4" w:rsidRPr="003F3B94">
        <w:rPr>
          <w:rFonts w:hint="cs"/>
          <w:sz w:val="28"/>
          <w:rtl/>
        </w:rPr>
        <w:t>،</w:t>
      </w:r>
      <w:r w:rsidRPr="003F3B94">
        <w:rPr>
          <w:rFonts w:hint="cs"/>
          <w:sz w:val="28"/>
          <w:rtl/>
        </w:rPr>
        <w:t xml:space="preserve"> ويقول بكل صراحة في هذا الصدد</w:t>
      </w:r>
      <w:r w:rsidR="00217AB4" w:rsidRPr="003F3B94">
        <w:rPr>
          <w:rFonts w:hint="cs"/>
          <w:sz w:val="28"/>
          <w:rtl/>
        </w:rPr>
        <w:t>:</w:t>
      </w:r>
      <w:r w:rsidRPr="003F3B94">
        <w:rPr>
          <w:rFonts w:hint="cs"/>
          <w:sz w:val="28"/>
          <w:rtl/>
        </w:rPr>
        <w:t xml:space="preserve"> </w:t>
      </w:r>
      <w:r w:rsidR="00EF2588" w:rsidRPr="004A3642">
        <w:rPr>
          <w:rFonts w:cs="KFGQPC Uthman Taha Naskh" w:hint="cs"/>
          <w:sz w:val="28"/>
          <w:rtl/>
        </w:rPr>
        <w:t>«</w:t>
      </w:r>
      <w:r w:rsidRPr="004A3642">
        <w:rPr>
          <w:rFonts w:cs="KFGQPC Uthman Taha Naskh"/>
          <w:b/>
          <w:bCs/>
          <w:sz w:val="28"/>
          <w:rtl/>
        </w:rPr>
        <w:t>إِنِّي نَظَرْتُ فِي كِتَابِ اللهِ فَلَمْ أَجِدْ لِوُلْدِ إِسْمَاعِيلَ عَلَى وُلْدِ إِسْحَاقَ فَضْلًا</w:t>
      </w:r>
      <w:r w:rsidR="00EF2588" w:rsidRPr="004A3642">
        <w:rPr>
          <w:rFonts w:cs="KFGQPC Uthman Taha Naskh"/>
          <w:sz w:val="28"/>
          <w:rtl/>
        </w:rPr>
        <w:t>»</w:t>
      </w:r>
      <w:r w:rsidR="00217AB4" w:rsidRPr="0021507A">
        <w:rPr>
          <w:rFonts w:cs="Arabic11 BT"/>
          <w:b/>
          <w:sz w:val="28"/>
          <w:vertAlign w:val="superscript"/>
          <w:rtl/>
        </w:rPr>
        <w:t>(</w:t>
      </w:r>
      <w:r w:rsidRPr="0021507A">
        <w:rPr>
          <w:rStyle w:val="FootnoteReference"/>
          <w:rFonts w:cs="Arabic11 BT"/>
          <w:b/>
          <w:sz w:val="28"/>
          <w:rtl/>
        </w:rPr>
        <w:footnoteReference w:id="151"/>
      </w:r>
      <w:r w:rsidR="00217AB4" w:rsidRPr="0021507A">
        <w:rPr>
          <w:rFonts w:cs="Arabic11 BT"/>
          <w:b/>
          <w:sz w:val="28"/>
          <w:vertAlign w:val="superscript"/>
          <w:rtl/>
        </w:rPr>
        <w:t>)</w:t>
      </w:r>
      <w:r w:rsidR="00217AB4" w:rsidRPr="003F3B94">
        <w:rPr>
          <w:rFonts w:hint="cs"/>
          <w:sz w:val="28"/>
          <w:rtl/>
        </w:rPr>
        <w:t>.</w:t>
      </w:r>
    </w:p>
    <w:p w:rsidR="005C664D" w:rsidRPr="00833C06" w:rsidRDefault="005C664D" w:rsidP="003F3B94">
      <w:pPr>
        <w:pStyle w:val="a0"/>
        <w:rPr>
          <w:rFonts w:hint="cs"/>
          <w:spacing w:val="-2"/>
          <w:rtl/>
        </w:rPr>
      </w:pPr>
      <w:r w:rsidRPr="00833C06">
        <w:rPr>
          <w:rFonts w:hint="cs"/>
          <w:spacing w:val="-2"/>
          <w:sz w:val="28"/>
          <w:rtl/>
        </w:rPr>
        <w:t xml:space="preserve">أو كما ذكر صاحب كتاب </w:t>
      </w:r>
      <w:r w:rsidRPr="00833C06">
        <w:rPr>
          <w:rFonts w:ascii="Lotus Linotype" w:hAnsi="Lotus Linotype"/>
          <w:spacing w:val="-2"/>
          <w:sz w:val="28"/>
          <w:rtl/>
        </w:rPr>
        <w:t>«</w:t>
      </w:r>
      <w:r w:rsidRPr="00833C06">
        <w:rPr>
          <w:rFonts w:ascii="Lotus Linotype" w:hAnsi="Lotus Linotype" w:hint="cs"/>
          <w:spacing w:val="-2"/>
          <w:sz w:val="28"/>
          <w:rtl/>
        </w:rPr>
        <w:t>الغارات</w:t>
      </w:r>
      <w:r w:rsidRPr="00833C06">
        <w:rPr>
          <w:rFonts w:ascii="Lotus Linotype" w:hAnsi="Lotus Linotype"/>
          <w:spacing w:val="-2"/>
          <w:sz w:val="28"/>
          <w:rtl/>
        </w:rPr>
        <w:t>»</w:t>
      </w:r>
      <w:r w:rsidRPr="00833C06">
        <w:rPr>
          <w:rFonts w:ascii="Lotus Linotype" w:hAnsi="Lotus Linotype" w:hint="cs"/>
          <w:spacing w:val="-2"/>
          <w:sz w:val="28"/>
          <w:rtl/>
        </w:rPr>
        <w:t xml:space="preserve"> </w:t>
      </w:r>
      <w:r w:rsidR="00EF2588" w:rsidRPr="00833C06">
        <w:rPr>
          <w:rFonts w:ascii="Lotus Linotype" w:hAnsi="Lotus Linotype" w:cs="KFGQPC Uthman Taha Naskh" w:hint="cs"/>
          <w:spacing w:val="-2"/>
          <w:sz w:val="28"/>
          <w:rtl/>
        </w:rPr>
        <w:t>«</w:t>
      </w:r>
      <w:r w:rsidRPr="00833C06">
        <w:rPr>
          <w:rFonts w:ascii="Lotus Linotype" w:hAnsi="Lotus Linotype" w:cs="KFGQPC Uthman Taha Naskh"/>
          <w:b/>
          <w:bCs/>
          <w:spacing w:val="-2"/>
          <w:sz w:val="28"/>
          <w:rtl/>
        </w:rPr>
        <w:t xml:space="preserve">عَنْ أَبِي إِسْحَاقَ الهَمْدَانِيِّ أَنَّ امْرَأَتَيْنِ أَتَتَا عَلِيّاً </w:t>
      </w:r>
      <w:r w:rsidR="00BC4BA9" w:rsidRPr="00833C06">
        <w:rPr>
          <w:rFonts w:ascii="Lotus Linotype" w:hAnsi="Lotus Linotype" w:cs="CTraditional Arabic" w:hint="cs"/>
          <w:b/>
          <w:spacing w:val="-2"/>
          <w:sz w:val="28"/>
          <w:rtl/>
        </w:rPr>
        <w:t>÷</w:t>
      </w:r>
      <w:r w:rsidRPr="00833C06">
        <w:rPr>
          <w:rFonts w:ascii="Lotus Linotype" w:hAnsi="Lotus Linotype" w:cs="KFGQPC Uthman Taha Naskh"/>
          <w:b/>
          <w:bCs/>
          <w:spacing w:val="-2"/>
          <w:sz w:val="28"/>
          <w:rtl/>
        </w:rPr>
        <w:t xml:space="preserve"> عِنْدَ الْقِسْمَةِ إِحْدَاهُمَا مِنَ الْعَرَبِ وَالْأُخْرَى مِنَ المَوَالِي فَأَعْطَى كُلَّ وَاحِدَةٍ خَمْسَةً وَعِشْرِينَ دِرْهَماً وَكُرّاً مِنَ الطَّعَامِ فَقَالَتِ الْعَرَبِيَّةُ</w:t>
      </w:r>
      <w:r w:rsidR="00217AB4" w:rsidRPr="00833C06">
        <w:rPr>
          <w:rFonts w:ascii="Lotus Linotype" w:hAnsi="Lotus Linotype" w:cs="KFGQPC Uthman Taha Naskh" w:hint="cs"/>
          <w:b/>
          <w:bCs/>
          <w:spacing w:val="-2"/>
          <w:sz w:val="28"/>
          <w:rtl/>
        </w:rPr>
        <w:t>:</w:t>
      </w:r>
      <w:r w:rsidRPr="00833C06">
        <w:rPr>
          <w:rFonts w:ascii="Lotus Linotype" w:hAnsi="Lotus Linotype" w:cs="KFGQPC Uthman Taha Naskh"/>
          <w:b/>
          <w:bCs/>
          <w:spacing w:val="-2"/>
          <w:sz w:val="28"/>
          <w:rtl/>
        </w:rPr>
        <w:t xml:space="preserve"> يَا أَمِيرَ المُؤْمِنِينَ</w:t>
      </w:r>
      <w:r w:rsidR="00217AB4" w:rsidRPr="00833C06">
        <w:rPr>
          <w:rFonts w:ascii="Lotus Linotype" w:hAnsi="Lotus Linotype" w:cs="KFGQPC Uthman Taha Naskh" w:hint="cs"/>
          <w:b/>
          <w:bCs/>
          <w:spacing w:val="-2"/>
          <w:sz w:val="28"/>
          <w:rtl/>
        </w:rPr>
        <w:t>!</w:t>
      </w:r>
      <w:r w:rsidRPr="00833C06">
        <w:rPr>
          <w:rFonts w:ascii="Lotus Linotype" w:hAnsi="Lotus Linotype" w:cs="KFGQPC Uthman Taha Naskh"/>
          <w:b/>
          <w:bCs/>
          <w:spacing w:val="-2"/>
          <w:sz w:val="28"/>
          <w:rtl/>
        </w:rPr>
        <w:t xml:space="preserve"> إِنِّي امْرَأَةٌ مِنَ الْعَرَبِ وَهَذِهِ امْرَأَةٌ مِنَ الْعَجَمِ</w:t>
      </w:r>
      <w:r w:rsidR="00217AB4" w:rsidRPr="00833C06">
        <w:rPr>
          <w:rFonts w:ascii="Lotus Linotype" w:hAnsi="Lotus Linotype" w:cs="KFGQPC Uthman Taha Naskh" w:hint="cs"/>
          <w:b/>
          <w:bCs/>
          <w:spacing w:val="-2"/>
          <w:sz w:val="28"/>
          <w:rtl/>
        </w:rPr>
        <w:t>؟!</w:t>
      </w:r>
      <w:r w:rsidRPr="00833C06">
        <w:rPr>
          <w:rFonts w:ascii="Lotus Linotype" w:hAnsi="Lotus Linotype" w:cs="KFGQPC Uthman Taha Naskh"/>
          <w:b/>
          <w:bCs/>
          <w:spacing w:val="-2"/>
          <w:sz w:val="28"/>
          <w:rtl/>
        </w:rPr>
        <w:t xml:space="preserve"> فَقَالَ عَلِيٌّ </w:t>
      </w:r>
      <w:r w:rsidR="00BC4BA9" w:rsidRPr="00833C06">
        <w:rPr>
          <w:rFonts w:ascii="Lotus Linotype" w:hAnsi="Lotus Linotype" w:cs="CTraditional Arabic" w:hint="cs"/>
          <w:b/>
          <w:spacing w:val="-2"/>
          <w:sz w:val="28"/>
          <w:rtl/>
        </w:rPr>
        <w:t>÷</w:t>
      </w:r>
      <w:r w:rsidR="00217AB4" w:rsidRPr="00833C06">
        <w:rPr>
          <w:rFonts w:ascii="Lotus Linotype" w:hAnsi="Lotus Linotype" w:cs="KFGQPC Uthman Taha Naskh" w:hint="cs"/>
          <w:b/>
          <w:bCs/>
          <w:spacing w:val="-2"/>
          <w:sz w:val="28"/>
          <w:rtl/>
        </w:rPr>
        <w:t>:</w:t>
      </w:r>
      <w:r w:rsidRPr="00833C06">
        <w:rPr>
          <w:rFonts w:ascii="Lotus Linotype" w:hAnsi="Lotus Linotype" w:cs="KFGQPC Uthman Taha Naskh"/>
          <w:b/>
          <w:bCs/>
          <w:spacing w:val="-2"/>
          <w:sz w:val="28"/>
          <w:rtl/>
        </w:rPr>
        <w:t xml:space="preserve"> وَ</w:t>
      </w:r>
      <w:r w:rsidRPr="00833C06">
        <w:rPr>
          <w:rFonts w:ascii="Lotus Linotype" w:hAnsi="Lotus Linotype" w:cs="KFGQPC Uthman Taha Naskh" w:hint="cs"/>
          <w:b/>
          <w:bCs/>
          <w:spacing w:val="-2"/>
          <w:sz w:val="28"/>
          <w:rtl/>
        </w:rPr>
        <w:t>اللهِ</w:t>
      </w:r>
      <w:r w:rsidRPr="00833C06">
        <w:rPr>
          <w:rFonts w:ascii="Lotus Linotype" w:hAnsi="Lotus Linotype" w:cs="KFGQPC Uthman Taha Naskh"/>
          <w:b/>
          <w:bCs/>
          <w:spacing w:val="-2"/>
          <w:sz w:val="28"/>
          <w:rtl/>
        </w:rPr>
        <w:t xml:space="preserve"> لَا أَجِدُ لِبَنِي إِسْمَاعِيلَ فِي هَذَا الْفَيْ‏ءِ</w:t>
      </w:r>
      <w:r w:rsidR="00217AB4" w:rsidRPr="00833C06">
        <w:rPr>
          <w:rFonts w:cs="Arabic11 BT"/>
          <w:b/>
          <w:spacing w:val="-2"/>
          <w:sz w:val="28"/>
          <w:vertAlign w:val="superscript"/>
          <w:rtl/>
        </w:rPr>
        <w:t>(</w:t>
      </w:r>
      <w:r w:rsidRPr="00833C06">
        <w:rPr>
          <w:rStyle w:val="FootnoteReference"/>
          <w:rFonts w:cs="Arabic11 BT"/>
          <w:b/>
          <w:spacing w:val="-2"/>
          <w:sz w:val="28"/>
          <w:rtl/>
        </w:rPr>
        <w:footnoteReference w:id="152"/>
      </w:r>
      <w:r w:rsidR="00217AB4" w:rsidRPr="00833C06">
        <w:rPr>
          <w:rFonts w:cs="Arabic11 BT"/>
          <w:b/>
          <w:spacing w:val="-2"/>
          <w:sz w:val="28"/>
          <w:vertAlign w:val="superscript"/>
          <w:rtl/>
        </w:rPr>
        <w:t>)</w:t>
      </w:r>
      <w:r w:rsidRPr="00833C06">
        <w:rPr>
          <w:rFonts w:ascii="Lotus Linotype" w:hAnsi="Lotus Linotype" w:cs="KFGQPC Uthman Taha Naskh"/>
          <w:b/>
          <w:bCs/>
          <w:spacing w:val="-2"/>
          <w:sz w:val="28"/>
          <w:rtl/>
        </w:rPr>
        <w:t xml:space="preserve"> فَضْلًا عَلَى بَنِي إِسْحَاق</w:t>
      </w:r>
      <w:r w:rsidR="00EF2588" w:rsidRPr="00833C06">
        <w:rPr>
          <w:rFonts w:ascii="Lotus Linotype" w:hAnsi="Lotus Linotype" w:cs="KFGQPC Uthman Taha Naskh" w:hint="cs"/>
          <w:spacing w:val="-2"/>
          <w:sz w:val="28"/>
          <w:rtl/>
        </w:rPr>
        <w:t>»</w:t>
      </w:r>
      <w:r w:rsidR="00217AB4" w:rsidRPr="00833C06">
        <w:rPr>
          <w:rFonts w:cs="Arabic11 BT"/>
          <w:b/>
          <w:spacing w:val="-2"/>
          <w:sz w:val="28"/>
          <w:vertAlign w:val="superscript"/>
          <w:rtl/>
        </w:rPr>
        <w:t>(</w:t>
      </w:r>
      <w:r w:rsidRPr="00833C06">
        <w:rPr>
          <w:rStyle w:val="FootnoteReference"/>
          <w:rFonts w:cs="Arabic11 BT"/>
          <w:b/>
          <w:spacing w:val="-2"/>
          <w:sz w:val="28"/>
          <w:rtl/>
        </w:rPr>
        <w:footnoteReference w:id="153"/>
      </w:r>
      <w:r w:rsidR="00217AB4" w:rsidRPr="00833C06">
        <w:rPr>
          <w:rFonts w:cs="Arabic11 BT"/>
          <w:b/>
          <w:spacing w:val="-2"/>
          <w:sz w:val="28"/>
          <w:vertAlign w:val="superscript"/>
          <w:rtl/>
        </w:rPr>
        <w:t>)</w:t>
      </w:r>
      <w:r w:rsidR="00217AB4" w:rsidRPr="00833C06">
        <w:rPr>
          <w:rFonts w:ascii="Lotus Linotype" w:hAnsi="Lotus Linotype" w:hint="cs"/>
          <w:spacing w:val="-2"/>
          <w:sz w:val="28"/>
          <w:rtl/>
        </w:rPr>
        <w:t>.</w:t>
      </w:r>
      <w:r w:rsidRPr="00833C06">
        <w:rPr>
          <w:rFonts w:ascii="Lotus Linotype" w:hAnsi="Lotus Linotype"/>
          <w:spacing w:val="-2"/>
          <w:sz w:val="28"/>
          <w:rtl/>
        </w:rPr>
        <w:t>‏</w:t>
      </w:r>
    </w:p>
    <w:p w:rsidR="005C664D" w:rsidRPr="00995B26" w:rsidRDefault="005C664D" w:rsidP="00CA287B">
      <w:pPr>
        <w:pStyle w:val="a0"/>
        <w:rPr>
          <w:rFonts w:hint="cs"/>
          <w:rtl/>
          <w:lang w:bidi="ar-SY"/>
        </w:rPr>
      </w:pPr>
      <w:r w:rsidRPr="003F3B94">
        <w:rPr>
          <w:rFonts w:ascii="Abo-thar" w:hAnsi="Abo-thar" w:hint="cs"/>
          <w:sz w:val="28"/>
          <w:rtl/>
        </w:rPr>
        <w:t>أما ما قالوه من أن الصدقة حُرِّمت [للأبد] على بني هاشم وعلى ذوي النسب الشريف إلى النبي</w:t>
      </w:r>
      <w:r w:rsidR="00147857" w:rsidRPr="003F3B94">
        <w:rPr>
          <w:rFonts w:ascii="Abo-thar" w:hAnsi="Abo-thar" w:hint="cs"/>
          <w:sz w:val="28"/>
          <w:rtl/>
        </w:rPr>
        <w:t xml:space="preserve"> </w:t>
      </w:r>
      <w:r w:rsidR="003C7AEB" w:rsidRPr="003C7AEB">
        <w:rPr>
          <w:rFonts w:ascii="Abo-thar" w:hAnsi="Abo-thar" w:cs="CTraditional Arabic"/>
          <w:sz w:val="28"/>
          <w:rtl/>
        </w:rPr>
        <w:t>ص</w:t>
      </w:r>
      <w:r w:rsidR="00147857" w:rsidRPr="003F3B94">
        <w:rPr>
          <w:rFonts w:ascii="Abo-thar" w:hAnsi="Abo-thar"/>
          <w:sz w:val="28"/>
          <w:rtl/>
        </w:rPr>
        <w:t xml:space="preserve"> </w:t>
      </w:r>
      <w:r w:rsidRPr="003F3B94">
        <w:rPr>
          <w:rFonts w:ascii="Abo-thar" w:hAnsi="Abo-thar" w:hint="cs"/>
          <w:sz w:val="28"/>
          <w:rtl/>
        </w:rPr>
        <w:t>لذا جعل الله لهم الخمس لتعويضهم عن حرمانهم من الصدقات</w:t>
      </w:r>
      <w:r w:rsidR="00217AB4" w:rsidRPr="003F3B94">
        <w:rPr>
          <w:rFonts w:ascii="Abo-thar" w:hAnsi="Abo-thar" w:hint="cs"/>
          <w:sz w:val="28"/>
          <w:rtl/>
        </w:rPr>
        <w:t>،</w:t>
      </w:r>
      <w:r w:rsidRPr="003F3B94">
        <w:rPr>
          <w:rFonts w:ascii="Abo-thar" w:hAnsi="Abo-thar" w:hint="cs"/>
          <w:sz w:val="28"/>
          <w:rtl/>
        </w:rPr>
        <w:t xml:space="preserve"> فإن هذا الادعاء لا يصدِّقُهُ القرآن وليس هذا فحسب بل إن القرآن ينطق بضده ويثبت أن الصدقة حلال زلال حتى لمن كانوا من أولاد النبي المباشرين</w:t>
      </w:r>
      <w:r w:rsidR="00217AB4" w:rsidRPr="003F3B94">
        <w:rPr>
          <w:rFonts w:ascii="Abo-thar" w:hAnsi="Abo-thar" w:hint="cs"/>
          <w:sz w:val="28"/>
          <w:rtl/>
        </w:rPr>
        <w:t>،</w:t>
      </w:r>
      <w:r w:rsidRPr="003F3B94">
        <w:rPr>
          <w:rFonts w:ascii="Abo-thar" w:hAnsi="Abo-thar" w:hint="cs"/>
          <w:sz w:val="28"/>
          <w:rtl/>
        </w:rPr>
        <w:t xml:space="preserve"> حيث نقرأ قول رب العالمين في كتابه المحكم في سورة يوسف</w:t>
      </w:r>
      <w:r w:rsidR="00217AB4" w:rsidRPr="003F3B94">
        <w:rPr>
          <w:rFonts w:ascii="Abo-thar" w:hAnsi="Abo-thar" w:hint="cs"/>
          <w:sz w:val="28"/>
          <w:rtl/>
        </w:rPr>
        <w:t>:</w:t>
      </w:r>
      <w:r w:rsidR="00147857" w:rsidRPr="003F3B94">
        <w:rPr>
          <w:rFonts w:ascii="Abo-thar" w:hAnsi="Abo-thar" w:hint="cs"/>
          <w:sz w:val="28"/>
          <w:rtl/>
        </w:rPr>
        <w:t xml:space="preserve"> </w:t>
      </w:r>
      <w:r w:rsidR="006C78B4" w:rsidRPr="00995B26">
        <w:rPr>
          <w:rFonts w:ascii="Traditional Arabic" w:hAnsi="Traditional Arabic" w:cs="Traditional Arabic"/>
          <w:rtl/>
        </w:rPr>
        <w:t>﴿</w:t>
      </w:r>
      <w:r w:rsidR="006C78B4" w:rsidRPr="0067048A">
        <w:rPr>
          <w:rStyle w:val="Char3"/>
          <w:rFonts w:hint="eastAsia"/>
          <w:rtl/>
        </w:rPr>
        <w:t>فَلَمَّا</w:t>
      </w:r>
      <w:r w:rsidR="006C78B4" w:rsidRPr="0067048A">
        <w:rPr>
          <w:rStyle w:val="Char3"/>
          <w:rtl/>
        </w:rPr>
        <w:t xml:space="preserve"> </w:t>
      </w:r>
      <w:r w:rsidR="006C78B4" w:rsidRPr="0067048A">
        <w:rPr>
          <w:rStyle w:val="Char3"/>
          <w:rFonts w:hint="eastAsia"/>
          <w:rtl/>
        </w:rPr>
        <w:t>دَخَلُواْ</w:t>
      </w:r>
      <w:r w:rsidR="006C78B4" w:rsidRPr="0067048A">
        <w:rPr>
          <w:rStyle w:val="Char3"/>
          <w:rtl/>
        </w:rPr>
        <w:t xml:space="preserve"> </w:t>
      </w:r>
      <w:r w:rsidR="006C78B4" w:rsidRPr="0067048A">
        <w:rPr>
          <w:rStyle w:val="Char3"/>
          <w:rFonts w:hint="eastAsia"/>
          <w:rtl/>
        </w:rPr>
        <w:t>عَلَي</w:t>
      </w:r>
      <w:r w:rsidR="006C78B4" w:rsidRPr="0067048A">
        <w:rPr>
          <w:rStyle w:val="Char3"/>
          <w:rFonts w:hint="cs"/>
          <w:rtl/>
        </w:rPr>
        <w:t>ۡ</w:t>
      </w:r>
      <w:r w:rsidR="006C78B4" w:rsidRPr="0067048A">
        <w:rPr>
          <w:rStyle w:val="Char3"/>
          <w:rFonts w:hint="eastAsia"/>
          <w:rtl/>
        </w:rPr>
        <w:t>هِ</w:t>
      </w:r>
      <w:r w:rsidR="006C78B4" w:rsidRPr="0067048A">
        <w:rPr>
          <w:rStyle w:val="Char3"/>
          <w:rtl/>
        </w:rPr>
        <w:t xml:space="preserve"> </w:t>
      </w:r>
      <w:r w:rsidR="006C78B4" w:rsidRPr="0067048A">
        <w:rPr>
          <w:rStyle w:val="Char3"/>
          <w:rFonts w:hint="eastAsia"/>
          <w:rtl/>
        </w:rPr>
        <w:t>قَالُواْ</w:t>
      </w:r>
      <w:r w:rsidR="006C78B4" w:rsidRPr="0067048A">
        <w:rPr>
          <w:rStyle w:val="Char3"/>
          <w:rtl/>
        </w:rPr>
        <w:t xml:space="preserve"> </w:t>
      </w:r>
      <w:r w:rsidR="006C78B4" w:rsidRPr="0067048A">
        <w:rPr>
          <w:rStyle w:val="Char3"/>
          <w:rFonts w:hint="eastAsia"/>
          <w:rtl/>
        </w:rPr>
        <w:t>يَ</w:t>
      </w:r>
      <w:r w:rsidR="006C78B4" w:rsidRPr="0067048A">
        <w:rPr>
          <w:rStyle w:val="Char3"/>
          <w:rFonts w:hint="cs"/>
          <w:rtl/>
        </w:rPr>
        <w:t>ٰٓ</w:t>
      </w:r>
      <w:r w:rsidR="006C78B4" w:rsidRPr="0067048A">
        <w:rPr>
          <w:rStyle w:val="Char3"/>
          <w:rFonts w:hint="eastAsia"/>
          <w:rtl/>
        </w:rPr>
        <w:t>أَيُّهَا</w:t>
      </w:r>
      <w:r w:rsidR="006C78B4" w:rsidRPr="0067048A">
        <w:rPr>
          <w:rStyle w:val="Char3"/>
          <w:rtl/>
        </w:rPr>
        <w:t xml:space="preserve"> </w:t>
      </w:r>
      <w:r w:rsidR="006C78B4" w:rsidRPr="0067048A">
        <w:rPr>
          <w:rStyle w:val="Char3"/>
          <w:rFonts w:hint="cs"/>
          <w:rtl/>
        </w:rPr>
        <w:t>ٱ</w:t>
      </w:r>
      <w:r w:rsidR="006C78B4" w:rsidRPr="0067048A">
        <w:rPr>
          <w:rStyle w:val="Char3"/>
          <w:rFonts w:hint="eastAsia"/>
          <w:rtl/>
        </w:rPr>
        <w:t>ل</w:t>
      </w:r>
      <w:r w:rsidR="006C78B4" w:rsidRPr="0067048A">
        <w:rPr>
          <w:rStyle w:val="Char3"/>
          <w:rFonts w:hint="cs"/>
          <w:rtl/>
        </w:rPr>
        <w:t>ۡ</w:t>
      </w:r>
      <w:r w:rsidR="006C78B4" w:rsidRPr="0067048A">
        <w:rPr>
          <w:rStyle w:val="Char3"/>
          <w:rFonts w:hint="eastAsia"/>
          <w:rtl/>
        </w:rPr>
        <w:t>عَزِيزُ</w:t>
      </w:r>
      <w:r w:rsidR="006C78B4" w:rsidRPr="0067048A">
        <w:rPr>
          <w:rStyle w:val="Char3"/>
          <w:rtl/>
        </w:rPr>
        <w:t xml:space="preserve"> </w:t>
      </w:r>
      <w:r w:rsidR="006C78B4" w:rsidRPr="0067048A">
        <w:rPr>
          <w:rStyle w:val="Char3"/>
          <w:rFonts w:hint="eastAsia"/>
          <w:rtl/>
        </w:rPr>
        <w:t>مَسَّنَا</w:t>
      </w:r>
      <w:r w:rsidR="006C78B4" w:rsidRPr="0067048A">
        <w:rPr>
          <w:rStyle w:val="Char3"/>
          <w:rtl/>
        </w:rPr>
        <w:t xml:space="preserve"> </w:t>
      </w:r>
      <w:r w:rsidR="006C78B4" w:rsidRPr="0067048A">
        <w:rPr>
          <w:rStyle w:val="Char3"/>
          <w:rFonts w:hint="eastAsia"/>
          <w:rtl/>
        </w:rPr>
        <w:t>وَأَه</w:t>
      </w:r>
      <w:r w:rsidR="006C78B4" w:rsidRPr="0067048A">
        <w:rPr>
          <w:rStyle w:val="Char3"/>
          <w:rFonts w:hint="cs"/>
          <w:rtl/>
        </w:rPr>
        <w:t>ۡ</w:t>
      </w:r>
      <w:r w:rsidR="006C78B4" w:rsidRPr="0067048A">
        <w:rPr>
          <w:rStyle w:val="Char3"/>
          <w:rFonts w:hint="eastAsia"/>
          <w:rtl/>
        </w:rPr>
        <w:t>لَنَا</w:t>
      </w:r>
      <w:r w:rsidR="006C78B4" w:rsidRPr="0067048A">
        <w:rPr>
          <w:rStyle w:val="Char3"/>
          <w:rtl/>
        </w:rPr>
        <w:t xml:space="preserve"> </w:t>
      </w:r>
      <w:r w:rsidR="006C78B4" w:rsidRPr="0067048A">
        <w:rPr>
          <w:rStyle w:val="Char3"/>
          <w:rFonts w:hint="cs"/>
          <w:rtl/>
        </w:rPr>
        <w:t>ٱ</w:t>
      </w:r>
      <w:r w:rsidR="006C78B4" w:rsidRPr="0067048A">
        <w:rPr>
          <w:rStyle w:val="Char3"/>
          <w:rFonts w:hint="eastAsia"/>
          <w:rtl/>
        </w:rPr>
        <w:t>لضُّرُّ</w:t>
      </w:r>
      <w:r w:rsidR="006C78B4" w:rsidRPr="0067048A">
        <w:rPr>
          <w:rStyle w:val="Char3"/>
          <w:rtl/>
        </w:rPr>
        <w:t xml:space="preserve"> </w:t>
      </w:r>
      <w:r w:rsidR="006C78B4" w:rsidRPr="0067048A">
        <w:rPr>
          <w:rStyle w:val="Char3"/>
          <w:rFonts w:hint="eastAsia"/>
          <w:rtl/>
        </w:rPr>
        <w:t>وَجِئ</w:t>
      </w:r>
      <w:r w:rsidR="006C78B4" w:rsidRPr="0067048A">
        <w:rPr>
          <w:rStyle w:val="Char3"/>
          <w:rFonts w:hint="cs"/>
          <w:rtl/>
        </w:rPr>
        <w:t>ۡ</w:t>
      </w:r>
      <w:r w:rsidR="006C78B4" w:rsidRPr="0067048A">
        <w:rPr>
          <w:rStyle w:val="Char3"/>
          <w:rFonts w:hint="eastAsia"/>
          <w:rtl/>
        </w:rPr>
        <w:t>نَا</w:t>
      </w:r>
      <w:r w:rsidR="006C78B4" w:rsidRPr="0067048A">
        <w:rPr>
          <w:rStyle w:val="Char3"/>
          <w:rtl/>
        </w:rPr>
        <w:t xml:space="preserve"> </w:t>
      </w:r>
      <w:r w:rsidR="006C78B4" w:rsidRPr="0067048A">
        <w:rPr>
          <w:rStyle w:val="Char3"/>
          <w:rFonts w:hint="eastAsia"/>
          <w:rtl/>
        </w:rPr>
        <w:t>بِبِضَ</w:t>
      </w:r>
      <w:r w:rsidR="006C78B4" w:rsidRPr="0067048A">
        <w:rPr>
          <w:rStyle w:val="Char3"/>
          <w:rFonts w:hint="cs"/>
          <w:rtl/>
        </w:rPr>
        <w:t>ٰ</w:t>
      </w:r>
      <w:r w:rsidR="006C78B4" w:rsidRPr="0067048A">
        <w:rPr>
          <w:rStyle w:val="Char3"/>
          <w:rFonts w:hint="eastAsia"/>
          <w:rtl/>
        </w:rPr>
        <w:t>عَة</w:t>
      </w:r>
      <w:r w:rsidR="006C78B4" w:rsidRPr="0067048A">
        <w:rPr>
          <w:rStyle w:val="Char3"/>
          <w:rFonts w:hint="cs"/>
          <w:rtl/>
        </w:rPr>
        <w:t>ٖ</w:t>
      </w:r>
      <w:r w:rsidR="006C78B4" w:rsidRPr="0067048A">
        <w:rPr>
          <w:rStyle w:val="Char3"/>
          <w:rtl/>
        </w:rPr>
        <w:t xml:space="preserve"> </w:t>
      </w:r>
      <w:r w:rsidR="006C78B4" w:rsidRPr="0067048A">
        <w:rPr>
          <w:rStyle w:val="Char3"/>
          <w:rFonts w:hint="eastAsia"/>
          <w:rtl/>
        </w:rPr>
        <w:t>مُّز</w:t>
      </w:r>
      <w:r w:rsidR="006C78B4" w:rsidRPr="0067048A">
        <w:rPr>
          <w:rStyle w:val="Char3"/>
          <w:rFonts w:hint="cs"/>
          <w:rtl/>
        </w:rPr>
        <w:t>ۡ</w:t>
      </w:r>
      <w:r w:rsidR="006C78B4" w:rsidRPr="0067048A">
        <w:rPr>
          <w:rStyle w:val="Char3"/>
          <w:rFonts w:hint="eastAsia"/>
          <w:rtl/>
        </w:rPr>
        <w:t>جَى</w:t>
      </w:r>
      <w:r w:rsidR="006C78B4" w:rsidRPr="0067048A">
        <w:rPr>
          <w:rStyle w:val="Char3"/>
          <w:rFonts w:hint="cs"/>
          <w:rtl/>
        </w:rPr>
        <w:t>ٰ</w:t>
      </w:r>
      <w:r w:rsidR="006C78B4" w:rsidRPr="0067048A">
        <w:rPr>
          <w:rStyle w:val="Char3"/>
          <w:rFonts w:hint="eastAsia"/>
          <w:rtl/>
        </w:rPr>
        <w:t>ة</w:t>
      </w:r>
      <w:r w:rsidR="006C78B4" w:rsidRPr="0067048A">
        <w:rPr>
          <w:rStyle w:val="Char3"/>
          <w:rFonts w:hint="cs"/>
          <w:rtl/>
        </w:rPr>
        <w:t>ٖ</w:t>
      </w:r>
      <w:r w:rsidR="006C78B4" w:rsidRPr="0067048A">
        <w:rPr>
          <w:rStyle w:val="Char3"/>
          <w:rtl/>
        </w:rPr>
        <w:t xml:space="preserve"> </w:t>
      </w:r>
      <w:r w:rsidR="006C78B4" w:rsidRPr="0067048A">
        <w:rPr>
          <w:rStyle w:val="Char3"/>
          <w:rFonts w:hint="eastAsia"/>
          <w:rtl/>
        </w:rPr>
        <w:t>فَأَو</w:t>
      </w:r>
      <w:r w:rsidR="006C78B4" w:rsidRPr="0067048A">
        <w:rPr>
          <w:rStyle w:val="Char3"/>
          <w:rFonts w:hint="cs"/>
          <w:rtl/>
        </w:rPr>
        <w:t>ۡ</w:t>
      </w:r>
      <w:r w:rsidR="006C78B4" w:rsidRPr="0067048A">
        <w:rPr>
          <w:rStyle w:val="Char3"/>
          <w:rFonts w:hint="eastAsia"/>
          <w:rtl/>
        </w:rPr>
        <w:t>فِ</w:t>
      </w:r>
      <w:r w:rsidR="006C78B4" w:rsidRPr="0067048A">
        <w:rPr>
          <w:rStyle w:val="Char3"/>
          <w:rtl/>
        </w:rPr>
        <w:t xml:space="preserve"> </w:t>
      </w:r>
      <w:r w:rsidR="006C78B4" w:rsidRPr="0067048A">
        <w:rPr>
          <w:rStyle w:val="Char3"/>
          <w:rFonts w:hint="eastAsia"/>
          <w:rtl/>
        </w:rPr>
        <w:t>لَنَا</w:t>
      </w:r>
      <w:r w:rsidR="006C78B4" w:rsidRPr="0067048A">
        <w:rPr>
          <w:rStyle w:val="Char3"/>
          <w:rtl/>
        </w:rPr>
        <w:t xml:space="preserve"> </w:t>
      </w:r>
      <w:r w:rsidR="006C78B4" w:rsidRPr="0067048A">
        <w:rPr>
          <w:rStyle w:val="Char3"/>
          <w:rFonts w:hint="cs"/>
          <w:rtl/>
        </w:rPr>
        <w:t>ٱ</w:t>
      </w:r>
      <w:r w:rsidR="006C78B4" w:rsidRPr="0067048A">
        <w:rPr>
          <w:rStyle w:val="Char3"/>
          <w:rFonts w:hint="eastAsia"/>
          <w:rtl/>
        </w:rPr>
        <w:t>ل</w:t>
      </w:r>
      <w:r w:rsidR="006C78B4" w:rsidRPr="0067048A">
        <w:rPr>
          <w:rStyle w:val="Char3"/>
          <w:rFonts w:hint="cs"/>
          <w:rtl/>
        </w:rPr>
        <w:t>ۡ</w:t>
      </w:r>
      <w:r w:rsidR="006C78B4" w:rsidRPr="0067048A">
        <w:rPr>
          <w:rStyle w:val="Char3"/>
          <w:rFonts w:hint="eastAsia"/>
          <w:rtl/>
        </w:rPr>
        <w:t>كَي</w:t>
      </w:r>
      <w:r w:rsidR="006C78B4" w:rsidRPr="0067048A">
        <w:rPr>
          <w:rStyle w:val="Char3"/>
          <w:rFonts w:hint="cs"/>
          <w:rtl/>
        </w:rPr>
        <w:t>ۡ</w:t>
      </w:r>
      <w:r w:rsidR="006C78B4" w:rsidRPr="0067048A">
        <w:rPr>
          <w:rStyle w:val="Char3"/>
          <w:rFonts w:hint="eastAsia"/>
          <w:rtl/>
        </w:rPr>
        <w:t>لَ</w:t>
      </w:r>
      <w:r w:rsidR="006C78B4" w:rsidRPr="0067048A">
        <w:rPr>
          <w:rStyle w:val="Char3"/>
          <w:rtl/>
        </w:rPr>
        <w:t xml:space="preserve"> </w:t>
      </w:r>
      <w:r w:rsidR="006C78B4" w:rsidRPr="0067048A">
        <w:rPr>
          <w:rStyle w:val="Char3"/>
          <w:rFonts w:hint="eastAsia"/>
          <w:rtl/>
        </w:rPr>
        <w:t>وَتَصَدَّق</w:t>
      </w:r>
      <w:r w:rsidR="006C78B4" w:rsidRPr="0067048A">
        <w:rPr>
          <w:rStyle w:val="Char3"/>
          <w:rFonts w:hint="cs"/>
          <w:rtl/>
        </w:rPr>
        <w:t>ۡ</w:t>
      </w:r>
      <w:r w:rsidR="006C78B4" w:rsidRPr="0067048A">
        <w:rPr>
          <w:rStyle w:val="Char3"/>
          <w:rtl/>
        </w:rPr>
        <w:t xml:space="preserve"> </w:t>
      </w:r>
      <w:r w:rsidR="006C78B4" w:rsidRPr="0067048A">
        <w:rPr>
          <w:rStyle w:val="Char3"/>
          <w:rFonts w:hint="eastAsia"/>
          <w:rtl/>
        </w:rPr>
        <w:t>عَلَي</w:t>
      </w:r>
      <w:r w:rsidR="006C78B4" w:rsidRPr="0067048A">
        <w:rPr>
          <w:rStyle w:val="Char3"/>
          <w:rFonts w:hint="cs"/>
          <w:rtl/>
        </w:rPr>
        <w:t>ۡ</w:t>
      </w:r>
      <w:r w:rsidR="006C78B4" w:rsidRPr="0067048A">
        <w:rPr>
          <w:rStyle w:val="Char3"/>
          <w:rFonts w:hint="eastAsia"/>
          <w:rtl/>
        </w:rPr>
        <w:t>نَا</w:t>
      </w:r>
      <w:r w:rsidR="006C78B4" w:rsidRPr="0067048A">
        <w:rPr>
          <w:rStyle w:val="Char3"/>
          <w:rFonts w:hint="cs"/>
          <w:rtl/>
        </w:rPr>
        <w:t>ٓۖ</w:t>
      </w:r>
      <w:r w:rsidR="006C78B4" w:rsidRPr="0067048A">
        <w:rPr>
          <w:rStyle w:val="Char3"/>
          <w:rtl/>
        </w:rPr>
        <w:t xml:space="preserve"> </w:t>
      </w:r>
      <w:r w:rsidR="006C78B4" w:rsidRPr="0067048A">
        <w:rPr>
          <w:rStyle w:val="Char3"/>
          <w:rFonts w:hint="eastAsia"/>
          <w:rtl/>
        </w:rPr>
        <w:t>إِنَّ</w:t>
      </w:r>
      <w:r w:rsidR="006C78B4" w:rsidRPr="0067048A">
        <w:rPr>
          <w:rStyle w:val="Char3"/>
          <w:rtl/>
        </w:rPr>
        <w:t xml:space="preserve"> </w:t>
      </w:r>
      <w:r w:rsidR="006C78B4" w:rsidRPr="0067048A">
        <w:rPr>
          <w:rStyle w:val="Char3"/>
          <w:rFonts w:hint="cs"/>
          <w:rtl/>
        </w:rPr>
        <w:t>ٱ</w:t>
      </w:r>
      <w:r w:rsidR="006C78B4" w:rsidRPr="0067048A">
        <w:rPr>
          <w:rStyle w:val="Char3"/>
          <w:rFonts w:hint="eastAsia"/>
          <w:rtl/>
        </w:rPr>
        <w:t>للَّهَ</w:t>
      </w:r>
      <w:r w:rsidR="006C78B4" w:rsidRPr="0067048A">
        <w:rPr>
          <w:rStyle w:val="Char3"/>
          <w:rtl/>
        </w:rPr>
        <w:t xml:space="preserve"> </w:t>
      </w:r>
      <w:r w:rsidR="006C78B4" w:rsidRPr="0067048A">
        <w:rPr>
          <w:rStyle w:val="Char3"/>
          <w:rFonts w:hint="eastAsia"/>
          <w:rtl/>
        </w:rPr>
        <w:t>يَج</w:t>
      </w:r>
      <w:r w:rsidR="006C78B4" w:rsidRPr="0067048A">
        <w:rPr>
          <w:rStyle w:val="Char3"/>
          <w:rFonts w:hint="cs"/>
          <w:rtl/>
        </w:rPr>
        <w:t>ۡ</w:t>
      </w:r>
      <w:r w:rsidR="006C78B4" w:rsidRPr="0067048A">
        <w:rPr>
          <w:rStyle w:val="Char3"/>
          <w:rFonts w:hint="eastAsia"/>
          <w:rtl/>
        </w:rPr>
        <w:t>زِي</w:t>
      </w:r>
      <w:r w:rsidR="006C78B4" w:rsidRPr="0067048A">
        <w:rPr>
          <w:rStyle w:val="Char3"/>
          <w:rtl/>
        </w:rPr>
        <w:t xml:space="preserve"> </w:t>
      </w:r>
      <w:r w:rsidR="006C78B4" w:rsidRPr="0067048A">
        <w:rPr>
          <w:rStyle w:val="Char3"/>
          <w:rFonts w:hint="cs"/>
          <w:rtl/>
        </w:rPr>
        <w:t>ٱ</w:t>
      </w:r>
      <w:r w:rsidR="006C78B4" w:rsidRPr="0067048A">
        <w:rPr>
          <w:rStyle w:val="Char3"/>
          <w:rFonts w:hint="eastAsia"/>
          <w:rtl/>
        </w:rPr>
        <w:t>ل</w:t>
      </w:r>
      <w:r w:rsidR="006C78B4" w:rsidRPr="0067048A">
        <w:rPr>
          <w:rStyle w:val="Char3"/>
          <w:rFonts w:hint="cs"/>
          <w:rtl/>
        </w:rPr>
        <w:t>ۡ</w:t>
      </w:r>
      <w:r w:rsidR="006C78B4" w:rsidRPr="0067048A">
        <w:rPr>
          <w:rStyle w:val="Char3"/>
          <w:rFonts w:hint="eastAsia"/>
          <w:rtl/>
        </w:rPr>
        <w:t>مُتَصَدِّقِينَ</w:t>
      </w:r>
      <w:r w:rsidR="006C78B4" w:rsidRPr="0067048A">
        <w:rPr>
          <w:rStyle w:val="Char3"/>
          <w:rtl/>
        </w:rPr>
        <w:t xml:space="preserve"> </w:t>
      </w:r>
      <w:r w:rsidR="006C78B4" w:rsidRPr="0067048A">
        <w:rPr>
          <w:rStyle w:val="Char3"/>
          <w:rFonts w:hint="cs"/>
          <w:rtl/>
        </w:rPr>
        <w:t>٨٨</w:t>
      </w:r>
      <w:r w:rsidR="006C78B4" w:rsidRPr="00995B26">
        <w:rPr>
          <w:rFonts w:ascii="Traditional Arabic" w:hAnsi="Traditional Arabic" w:cs="Traditional Arabic"/>
          <w:rtl/>
        </w:rPr>
        <w:t>﴾</w:t>
      </w:r>
      <w:r w:rsidRPr="00995B26">
        <w:rPr>
          <w:rFonts w:ascii="Abo-thar" w:hAnsi="Abo-thar" w:hint="cs"/>
          <w:sz w:val="28"/>
          <w:rtl/>
          <w:lang w:bidi="ar-SY"/>
        </w:rPr>
        <w:t xml:space="preserve"> </w:t>
      </w:r>
      <w:r w:rsidR="006C78B4" w:rsidRPr="003108CB">
        <w:rPr>
          <w:rStyle w:val="Char2"/>
          <w:rFonts w:hint="cs"/>
          <w:rtl/>
        </w:rPr>
        <w:t>[</w:t>
      </w:r>
      <w:r w:rsidRPr="003108CB">
        <w:rPr>
          <w:rStyle w:val="Char2"/>
          <w:rFonts w:hint="cs"/>
          <w:rtl/>
        </w:rPr>
        <w:t>يوسف</w:t>
      </w:r>
      <w:r w:rsidR="006C78B4" w:rsidRPr="003108CB">
        <w:rPr>
          <w:rStyle w:val="Char2"/>
          <w:rFonts w:hint="cs"/>
          <w:rtl/>
        </w:rPr>
        <w:t xml:space="preserve">: </w:t>
      </w:r>
      <w:r w:rsidRPr="003108CB">
        <w:rPr>
          <w:rStyle w:val="Char2"/>
          <w:rFonts w:hint="cs"/>
          <w:rtl/>
        </w:rPr>
        <w:t>88</w:t>
      </w:r>
      <w:r w:rsidR="006C78B4" w:rsidRPr="003108CB">
        <w:rPr>
          <w:rStyle w:val="Char2"/>
          <w:rFonts w:hint="cs"/>
          <w:rtl/>
        </w:rPr>
        <w:t>]</w:t>
      </w:r>
      <w:r w:rsidR="00217AB4" w:rsidRPr="00995B26">
        <w:rPr>
          <w:rFonts w:ascii="Abo-thar" w:hAnsi="Abo-thar" w:hint="cs"/>
          <w:sz w:val="28"/>
          <w:rtl/>
          <w:lang w:bidi="ar-SY"/>
        </w:rPr>
        <w:t>.</w:t>
      </w:r>
    </w:p>
    <w:p w:rsidR="005C664D" w:rsidRPr="003F3B94" w:rsidRDefault="005C664D" w:rsidP="003F3B94">
      <w:pPr>
        <w:pStyle w:val="a0"/>
        <w:rPr>
          <w:rFonts w:hint="cs"/>
          <w:rtl/>
          <w:lang w:bidi="ar-SY"/>
        </w:rPr>
      </w:pPr>
      <w:r w:rsidRPr="003F3B94">
        <w:rPr>
          <w:rFonts w:ascii="Abo-thar" w:hAnsi="Abo-thar" w:hint="cs"/>
          <w:sz w:val="28"/>
          <w:rtl/>
          <w:lang w:bidi="ar-SY"/>
        </w:rPr>
        <w:t>فانظروا كيف طلب أولاد النبي يعقوب المباشرين من عزيز مصر الذي كان في نظرهم شخصا غريباً</w:t>
      </w:r>
      <w:r w:rsidR="00147857" w:rsidRPr="003F3B94">
        <w:rPr>
          <w:rFonts w:ascii="Abo-thar" w:hAnsi="Abo-thar" w:hint="cs"/>
          <w:sz w:val="28"/>
          <w:rtl/>
          <w:lang w:bidi="ar-SY"/>
        </w:rPr>
        <w:t xml:space="preserve"> و</w:t>
      </w:r>
      <w:r w:rsidRPr="003F3B94">
        <w:rPr>
          <w:rFonts w:ascii="Abo-thar" w:hAnsi="Abo-thar" w:hint="cs"/>
          <w:sz w:val="28"/>
          <w:rtl/>
          <w:lang w:bidi="ar-SY"/>
        </w:rPr>
        <w:t>ربما كان وثنياً وعلى الأقل كان خارجاً عن دينهم وملتهم</w:t>
      </w:r>
      <w:r w:rsidR="00217AB4" w:rsidRPr="003F3B94">
        <w:rPr>
          <w:rFonts w:ascii="Abo-thar" w:hAnsi="Abo-thar" w:hint="cs"/>
          <w:sz w:val="28"/>
          <w:rtl/>
          <w:lang w:bidi="ar-SY"/>
        </w:rPr>
        <w:t>،</w:t>
      </w:r>
      <w:r w:rsidRPr="003F3B94">
        <w:rPr>
          <w:rFonts w:ascii="Abo-thar" w:hAnsi="Abo-thar" w:hint="cs"/>
          <w:sz w:val="28"/>
          <w:rtl/>
          <w:lang w:bidi="ar-SY"/>
        </w:rPr>
        <w:t xml:space="preserve"> ومع ذلك طلبوا منه أن يتصدق عليهم ولم يعتبروا ذلك مخالفاً لكرامتهم أو لكونهم أولاد نبيٍّ من أنبياء الله تعالى</w:t>
      </w:r>
      <w:r w:rsidR="00217AB4" w:rsidRPr="003F3B94">
        <w:rPr>
          <w:rFonts w:ascii="Abo-thar" w:hAnsi="Abo-thar" w:hint="cs"/>
          <w:sz w:val="28"/>
          <w:rtl/>
          <w:lang w:bidi="ar-SY"/>
        </w:rPr>
        <w:t>.</w:t>
      </w:r>
      <w:r w:rsidRPr="003F3B94">
        <w:rPr>
          <w:rFonts w:ascii="Abo-thar" w:hAnsi="Abo-thar" w:hint="cs"/>
          <w:sz w:val="28"/>
          <w:rtl/>
          <w:lang w:bidi="ar-SY"/>
        </w:rPr>
        <w:t xml:space="preserve"> ولابد من ملاحظة عدة نقاط في فهم</w:t>
      </w:r>
      <w:r w:rsidR="00147857" w:rsidRPr="003F3B94">
        <w:rPr>
          <w:rFonts w:ascii="Abo-thar" w:hAnsi="Abo-thar" w:hint="cs"/>
          <w:sz w:val="28"/>
          <w:rtl/>
          <w:lang w:bidi="ar-SY"/>
        </w:rPr>
        <w:t xml:space="preserve"> و</w:t>
      </w:r>
      <w:r w:rsidRPr="003F3B94">
        <w:rPr>
          <w:rFonts w:ascii="Abo-thar" w:hAnsi="Abo-thar" w:hint="cs"/>
          <w:sz w:val="28"/>
          <w:rtl/>
          <w:lang w:bidi="ar-SY"/>
        </w:rPr>
        <w:t>تفسير هذه الآية الكريمة</w:t>
      </w:r>
      <w:r w:rsidR="00217AB4" w:rsidRPr="003F3B94">
        <w:rPr>
          <w:rFonts w:ascii="Abo-thar" w:hAnsi="Abo-thar" w:hint="cs"/>
          <w:sz w:val="28"/>
          <w:rtl/>
          <w:lang w:bidi="ar-SY"/>
        </w:rPr>
        <w:t>:</w:t>
      </w:r>
    </w:p>
    <w:p w:rsidR="005C664D" w:rsidRPr="003F3B94" w:rsidRDefault="005C664D" w:rsidP="00C761A3">
      <w:pPr>
        <w:pStyle w:val="a0"/>
        <w:ind w:left="624" w:hanging="340"/>
        <w:rPr>
          <w:rFonts w:hint="cs"/>
          <w:rtl/>
        </w:rPr>
      </w:pPr>
      <w:r w:rsidRPr="003F3B94">
        <w:rPr>
          <w:rFonts w:ascii="Abo-thar" w:hAnsi="Abo-thar" w:hint="cs"/>
          <w:sz w:val="28"/>
          <w:rtl/>
          <w:lang w:bidi="ar-SY"/>
        </w:rPr>
        <w:t>1</w:t>
      </w:r>
      <w:r w:rsidR="00217AB4" w:rsidRPr="003F3B94">
        <w:rPr>
          <w:rFonts w:ascii="Abo-thar" w:hAnsi="Abo-thar" w:hint="cs"/>
          <w:sz w:val="28"/>
          <w:rtl/>
          <w:lang w:bidi="ar-SY"/>
        </w:rPr>
        <w:t>-</w:t>
      </w:r>
      <w:r w:rsidRPr="003F3B94">
        <w:rPr>
          <w:rFonts w:ascii="Abo-thar" w:hAnsi="Abo-thar" w:hint="cs"/>
          <w:sz w:val="28"/>
          <w:rtl/>
          <w:lang w:bidi="ar-SY"/>
        </w:rPr>
        <w:t xml:space="preserve"> أن طلب التصدق عليهم إنما كان في ذلك الوقت الذي كان أخوهم </w:t>
      </w:r>
      <w:r w:rsidRPr="003F3B94">
        <w:rPr>
          <w:rFonts w:ascii="Lotus Linotype" w:hAnsi="Lotus Linotype"/>
          <w:sz w:val="28"/>
          <w:rtl/>
          <w:lang w:bidi="ar-SY"/>
        </w:rPr>
        <w:t>«</w:t>
      </w:r>
      <w:r w:rsidRPr="003F3B94">
        <w:rPr>
          <w:rFonts w:ascii="Lotus Linotype" w:hAnsi="Lotus Linotype" w:hint="cs"/>
          <w:sz w:val="28"/>
          <w:rtl/>
          <w:lang w:bidi="ar-SY"/>
        </w:rPr>
        <w:t>بنيامين</w:t>
      </w:r>
      <w:r w:rsidRPr="003F3B94">
        <w:rPr>
          <w:rFonts w:ascii="Lotus Linotype" w:hAnsi="Lotus Linotype"/>
          <w:sz w:val="28"/>
          <w:rtl/>
          <w:lang w:bidi="ar-SY"/>
        </w:rPr>
        <w:t>»</w:t>
      </w:r>
      <w:r w:rsidRPr="003F3B94">
        <w:rPr>
          <w:rFonts w:ascii="Lotus Linotype" w:hAnsi="Lotus Linotype" w:hint="cs"/>
          <w:sz w:val="28"/>
          <w:rtl/>
          <w:lang w:bidi="ar-SY"/>
        </w:rPr>
        <w:t xml:space="preserve"> قد قُبض عليهم بتهمة السرقة</w:t>
      </w:r>
      <w:r w:rsidR="00217AB4" w:rsidRPr="003F3B94">
        <w:rPr>
          <w:rFonts w:ascii="Lotus Linotype" w:hAnsi="Lotus Linotype" w:hint="cs"/>
          <w:sz w:val="28"/>
          <w:rtl/>
          <w:lang w:bidi="ar-SY"/>
        </w:rPr>
        <w:t>،</w:t>
      </w:r>
      <w:r w:rsidRPr="003F3B94">
        <w:rPr>
          <w:rFonts w:ascii="Lotus Linotype" w:hAnsi="Lotus Linotype" w:hint="cs"/>
          <w:sz w:val="28"/>
          <w:rtl/>
          <w:lang w:bidi="ar-SY"/>
        </w:rPr>
        <w:t xml:space="preserve"> ولا ريب أن دولة مصر كانت تنظر إلى بني إسرائيل الذين كانوا يخالفونها في الدين والعقيدة بعين العداوة والكراهية</w:t>
      </w:r>
      <w:r w:rsidR="00217AB4" w:rsidRPr="003F3B94">
        <w:rPr>
          <w:rFonts w:ascii="Lotus Linotype" w:hAnsi="Lotus Linotype" w:hint="cs"/>
          <w:sz w:val="28"/>
          <w:rtl/>
          <w:lang w:bidi="ar-SY"/>
        </w:rPr>
        <w:t>.</w:t>
      </w:r>
    </w:p>
    <w:p w:rsidR="005C664D" w:rsidRPr="00995B26" w:rsidRDefault="005C664D" w:rsidP="00C761A3">
      <w:pPr>
        <w:pStyle w:val="a0"/>
        <w:ind w:left="624" w:hanging="340"/>
        <w:rPr>
          <w:rFonts w:hint="cs"/>
          <w:rtl/>
          <w:lang w:bidi="ar-SY"/>
        </w:rPr>
      </w:pPr>
      <w:r w:rsidRPr="003F3B94">
        <w:rPr>
          <w:rFonts w:ascii="Abo-thar" w:hAnsi="Abo-thar" w:hint="cs"/>
          <w:sz w:val="28"/>
          <w:rtl/>
          <w:lang w:bidi="ar-SY"/>
        </w:rPr>
        <w:t>2</w:t>
      </w:r>
      <w:r w:rsidR="00217AB4" w:rsidRPr="003F3B94">
        <w:rPr>
          <w:rFonts w:ascii="Abo-thar" w:hAnsi="Abo-thar" w:hint="cs"/>
          <w:sz w:val="28"/>
          <w:rtl/>
          <w:lang w:bidi="ar-SY"/>
        </w:rPr>
        <w:t>-</w:t>
      </w:r>
      <w:r w:rsidRPr="003F3B94">
        <w:rPr>
          <w:rFonts w:ascii="Abo-thar" w:hAnsi="Abo-thar" w:hint="cs"/>
          <w:sz w:val="28"/>
          <w:rtl/>
          <w:lang w:bidi="ar-SY"/>
        </w:rPr>
        <w:t xml:space="preserve"> ذكرت في الآية جملة</w:t>
      </w:r>
      <w:r w:rsidR="00217AB4" w:rsidRPr="003F3B94">
        <w:rPr>
          <w:rFonts w:ascii="Abo-thar" w:hAnsi="Abo-thar" w:hint="cs"/>
          <w:sz w:val="28"/>
          <w:rtl/>
          <w:lang w:bidi="ar-SY"/>
        </w:rPr>
        <w:t>:</w:t>
      </w:r>
      <w:r w:rsidRPr="003F3B94">
        <w:rPr>
          <w:rFonts w:ascii="Abo-thar" w:hAnsi="Abo-thar" w:hint="cs"/>
          <w:sz w:val="28"/>
          <w:rtl/>
          <w:lang w:bidi="ar-SY"/>
        </w:rPr>
        <w:t xml:space="preserve"> </w:t>
      </w:r>
      <w:r w:rsidR="006C78B4" w:rsidRPr="00995B26">
        <w:rPr>
          <w:rFonts w:cs="Traditional Arabic" w:hint="cs"/>
          <w:rtl/>
          <w:lang w:bidi="fa-IR"/>
        </w:rPr>
        <w:t>﴿</w:t>
      </w:r>
      <w:r w:rsidR="006C78B4" w:rsidRPr="0067048A">
        <w:rPr>
          <w:rStyle w:val="Char3"/>
          <w:rFonts w:hint="eastAsia"/>
          <w:rtl/>
        </w:rPr>
        <w:t>يَ</w:t>
      </w:r>
      <w:r w:rsidR="006C78B4" w:rsidRPr="0067048A">
        <w:rPr>
          <w:rStyle w:val="Char3"/>
          <w:rFonts w:hint="cs"/>
          <w:rtl/>
        </w:rPr>
        <w:t>ٰٓ</w:t>
      </w:r>
      <w:r w:rsidR="006C78B4" w:rsidRPr="0067048A">
        <w:rPr>
          <w:rStyle w:val="Char3"/>
          <w:rFonts w:hint="eastAsia"/>
          <w:rtl/>
        </w:rPr>
        <w:t>أَيُّهَا</w:t>
      </w:r>
      <w:r w:rsidR="006C78B4" w:rsidRPr="0067048A">
        <w:rPr>
          <w:rStyle w:val="Char3"/>
          <w:rtl/>
        </w:rPr>
        <w:t xml:space="preserve"> </w:t>
      </w:r>
      <w:r w:rsidR="006C78B4" w:rsidRPr="0067048A">
        <w:rPr>
          <w:rStyle w:val="Char3"/>
          <w:rFonts w:hint="cs"/>
          <w:rtl/>
        </w:rPr>
        <w:t>ٱ</w:t>
      </w:r>
      <w:r w:rsidR="006C78B4" w:rsidRPr="0067048A">
        <w:rPr>
          <w:rStyle w:val="Char3"/>
          <w:rFonts w:hint="eastAsia"/>
          <w:rtl/>
        </w:rPr>
        <w:t>ل</w:t>
      </w:r>
      <w:r w:rsidR="006C78B4" w:rsidRPr="0067048A">
        <w:rPr>
          <w:rStyle w:val="Char3"/>
          <w:rFonts w:hint="cs"/>
          <w:rtl/>
        </w:rPr>
        <w:t>ۡ</w:t>
      </w:r>
      <w:r w:rsidR="006C78B4" w:rsidRPr="0067048A">
        <w:rPr>
          <w:rStyle w:val="Char3"/>
          <w:rFonts w:hint="eastAsia"/>
          <w:rtl/>
        </w:rPr>
        <w:t>عَزِيزُ</w:t>
      </w:r>
      <w:r w:rsidR="006C78B4" w:rsidRPr="00995B26">
        <w:rPr>
          <w:rFonts w:cs="Traditional Arabic" w:hint="cs"/>
          <w:rtl/>
          <w:lang w:bidi="fa-IR"/>
        </w:rPr>
        <w:t>﴾</w:t>
      </w:r>
      <w:r w:rsidRPr="00995B26">
        <w:rPr>
          <w:rFonts w:ascii="Abo-thar" w:hAnsi="Abo-thar" w:hint="cs"/>
          <w:sz w:val="28"/>
          <w:rtl/>
          <w:lang w:bidi="ar-SY"/>
        </w:rPr>
        <w:t xml:space="preserve"> حتى لا يقول المتشبِّثون بكل حُجَّة إن أخوة يوسف إنما طلبوا الصدقة من أخيهم </w:t>
      </w:r>
      <w:r w:rsidRPr="00995B26">
        <w:rPr>
          <w:rFonts w:ascii="Lotus Linotype" w:hAnsi="Lotus Linotype"/>
          <w:sz w:val="28"/>
          <w:rtl/>
          <w:lang w:bidi="ar-SY"/>
        </w:rPr>
        <w:t>«</w:t>
      </w:r>
      <w:r w:rsidRPr="00995B26">
        <w:rPr>
          <w:rFonts w:ascii="Lotus Linotype" w:hAnsi="Lotus Linotype" w:hint="cs"/>
          <w:sz w:val="28"/>
          <w:rtl/>
          <w:lang w:bidi="ar-SY"/>
        </w:rPr>
        <w:t>يوسف</w:t>
      </w:r>
      <w:r w:rsidRPr="00995B26">
        <w:rPr>
          <w:rFonts w:ascii="Lotus Linotype" w:hAnsi="Lotus Linotype"/>
          <w:sz w:val="28"/>
          <w:rtl/>
          <w:lang w:bidi="ar-SY"/>
        </w:rPr>
        <w:t>»</w:t>
      </w:r>
      <w:r w:rsidRPr="00995B26">
        <w:rPr>
          <w:rFonts w:ascii="Abo-thar" w:hAnsi="Abo-thar" w:hint="cs"/>
          <w:sz w:val="28"/>
          <w:rtl/>
          <w:lang w:bidi="ar-SY"/>
        </w:rPr>
        <w:t xml:space="preserve"> وأن تصدق ابن النبي على مثله ليس حراماً</w:t>
      </w:r>
      <w:r w:rsidR="00217AB4" w:rsidRPr="00995B26">
        <w:rPr>
          <w:rFonts w:ascii="Abo-thar" w:hAnsi="Abo-thar" w:hint="cs"/>
          <w:sz w:val="28"/>
          <w:rtl/>
          <w:lang w:bidi="ar-SY"/>
        </w:rPr>
        <w:t>،</w:t>
      </w:r>
      <w:r w:rsidRPr="00995B26">
        <w:rPr>
          <w:rFonts w:ascii="Abo-thar" w:hAnsi="Abo-thar" w:hint="cs"/>
          <w:sz w:val="28"/>
          <w:rtl/>
          <w:lang w:bidi="ar-SY"/>
        </w:rPr>
        <w:t xml:space="preserve"> بل جاءت كلمة العزيز كما جاءت قبل ذلك في السورة في قوله تعالى</w:t>
      </w:r>
      <w:r w:rsidR="00217AB4" w:rsidRPr="00995B26">
        <w:rPr>
          <w:rFonts w:ascii="Abo-thar" w:hAnsi="Abo-thar" w:hint="cs"/>
          <w:sz w:val="28"/>
          <w:rtl/>
          <w:lang w:bidi="ar-SY"/>
        </w:rPr>
        <w:t>:</w:t>
      </w:r>
      <w:r w:rsidRPr="00995B26">
        <w:rPr>
          <w:rFonts w:ascii="Abo-thar" w:hAnsi="Abo-thar" w:hint="cs"/>
          <w:sz w:val="28"/>
          <w:rtl/>
          <w:lang w:bidi="ar-SY"/>
        </w:rPr>
        <w:t xml:space="preserve"> </w:t>
      </w:r>
      <w:r w:rsidR="006C78B4" w:rsidRPr="00995B26">
        <w:rPr>
          <w:rFonts w:ascii="Abo-thar" w:hAnsi="Abo-thar" w:cs="Traditional Arabic" w:hint="cs"/>
          <w:sz w:val="28"/>
          <w:rtl/>
          <w:lang w:bidi="ar-SY"/>
        </w:rPr>
        <w:t>﴿</w:t>
      </w:r>
      <w:r w:rsidR="006C78B4" w:rsidRPr="0067048A">
        <w:rPr>
          <w:rStyle w:val="Char3"/>
          <w:rFonts w:hint="eastAsia"/>
          <w:rtl/>
        </w:rPr>
        <w:t>وَقَالَ</w:t>
      </w:r>
      <w:r w:rsidR="006C78B4" w:rsidRPr="0067048A">
        <w:rPr>
          <w:rStyle w:val="Char3"/>
          <w:rtl/>
        </w:rPr>
        <w:t xml:space="preserve"> </w:t>
      </w:r>
      <w:r w:rsidR="006C78B4" w:rsidRPr="0067048A">
        <w:rPr>
          <w:rStyle w:val="Char3"/>
          <w:rFonts w:hint="eastAsia"/>
          <w:rtl/>
        </w:rPr>
        <w:t>نِس</w:t>
      </w:r>
      <w:r w:rsidR="006C78B4" w:rsidRPr="0067048A">
        <w:rPr>
          <w:rStyle w:val="Char3"/>
          <w:rFonts w:hint="cs"/>
          <w:rtl/>
        </w:rPr>
        <w:t>ۡ</w:t>
      </w:r>
      <w:r w:rsidR="006C78B4" w:rsidRPr="0067048A">
        <w:rPr>
          <w:rStyle w:val="Char3"/>
          <w:rFonts w:hint="eastAsia"/>
          <w:rtl/>
        </w:rPr>
        <w:t>وَة</w:t>
      </w:r>
      <w:r w:rsidR="006C78B4" w:rsidRPr="0067048A">
        <w:rPr>
          <w:rStyle w:val="Char3"/>
          <w:rFonts w:hint="cs"/>
          <w:rtl/>
        </w:rPr>
        <w:t>ٞ</w:t>
      </w:r>
      <w:r w:rsidR="006C78B4" w:rsidRPr="0067048A">
        <w:rPr>
          <w:rStyle w:val="Char3"/>
          <w:rtl/>
        </w:rPr>
        <w:t xml:space="preserve"> </w:t>
      </w:r>
      <w:r w:rsidR="006C78B4" w:rsidRPr="0067048A">
        <w:rPr>
          <w:rStyle w:val="Char3"/>
          <w:rFonts w:hint="eastAsia"/>
          <w:rtl/>
        </w:rPr>
        <w:t>فِي</w:t>
      </w:r>
      <w:r w:rsidR="006C78B4" w:rsidRPr="0067048A">
        <w:rPr>
          <w:rStyle w:val="Char3"/>
          <w:rtl/>
        </w:rPr>
        <w:t xml:space="preserve"> </w:t>
      </w:r>
      <w:r w:rsidR="006C78B4" w:rsidRPr="0067048A">
        <w:rPr>
          <w:rStyle w:val="Char3"/>
          <w:rFonts w:hint="cs"/>
          <w:rtl/>
        </w:rPr>
        <w:t>ٱ</w:t>
      </w:r>
      <w:r w:rsidR="006C78B4" w:rsidRPr="0067048A">
        <w:rPr>
          <w:rStyle w:val="Char3"/>
          <w:rFonts w:hint="eastAsia"/>
          <w:rtl/>
        </w:rPr>
        <w:t>ل</w:t>
      </w:r>
      <w:r w:rsidR="006C78B4" w:rsidRPr="0067048A">
        <w:rPr>
          <w:rStyle w:val="Char3"/>
          <w:rFonts w:hint="cs"/>
          <w:rtl/>
        </w:rPr>
        <w:t>ۡ</w:t>
      </w:r>
      <w:r w:rsidR="006C78B4" w:rsidRPr="0067048A">
        <w:rPr>
          <w:rStyle w:val="Char3"/>
          <w:rFonts w:hint="eastAsia"/>
          <w:rtl/>
        </w:rPr>
        <w:t>مَدِينَةِ</w:t>
      </w:r>
      <w:r w:rsidR="006C78B4" w:rsidRPr="0067048A">
        <w:rPr>
          <w:rStyle w:val="Char3"/>
          <w:rtl/>
        </w:rPr>
        <w:t xml:space="preserve"> </w:t>
      </w:r>
      <w:r w:rsidR="006C78B4" w:rsidRPr="0067048A">
        <w:rPr>
          <w:rStyle w:val="Char3"/>
          <w:rFonts w:hint="cs"/>
          <w:rtl/>
        </w:rPr>
        <w:t>ٱ</w:t>
      </w:r>
      <w:r w:rsidR="006C78B4" w:rsidRPr="0067048A">
        <w:rPr>
          <w:rStyle w:val="Char3"/>
          <w:rFonts w:hint="eastAsia"/>
          <w:rtl/>
        </w:rPr>
        <w:t>م</w:t>
      </w:r>
      <w:r w:rsidR="006C78B4" w:rsidRPr="0067048A">
        <w:rPr>
          <w:rStyle w:val="Char3"/>
          <w:rFonts w:hint="cs"/>
          <w:rtl/>
        </w:rPr>
        <w:t>ۡ</w:t>
      </w:r>
      <w:r w:rsidR="006C78B4" w:rsidRPr="0067048A">
        <w:rPr>
          <w:rStyle w:val="Char3"/>
          <w:rFonts w:hint="eastAsia"/>
          <w:rtl/>
        </w:rPr>
        <w:t>رَأَتُ</w:t>
      </w:r>
      <w:r w:rsidR="006C78B4" w:rsidRPr="0067048A">
        <w:rPr>
          <w:rStyle w:val="Char3"/>
          <w:rtl/>
        </w:rPr>
        <w:t xml:space="preserve"> </w:t>
      </w:r>
      <w:r w:rsidR="006C78B4" w:rsidRPr="0067048A">
        <w:rPr>
          <w:rStyle w:val="Char3"/>
          <w:rFonts w:hint="cs"/>
          <w:rtl/>
        </w:rPr>
        <w:t>ٱ</w:t>
      </w:r>
      <w:r w:rsidR="006C78B4" w:rsidRPr="0067048A">
        <w:rPr>
          <w:rStyle w:val="Char3"/>
          <w:rFonts w:hint="eastAsia"/>
          <w:rtl/>
        </w:rPr>
        <w:t>ل</w:t>
      </w:r>
      <w:r w:rsidR="006C78B4" w:rsidRPr="0067048A">
        <w:rPr>
          <w:rStyle w:val="Char3"/>
          <w:rFonts w:hint="cs"/>
          <w:rtl/>
        </w:rPr>
        <w:t>ۡ</w:t>
      </w:r>
      <w:r w:rsidR="006C78B4" w:rsidRPr="0067048A">
        <w:rPr>
          <w:rStyle w:val="Char3"/>
          <w:rFonts w:hint="eastAsia"/>
          <w:rtl/>
        </w:rPr>
        <w:t>عَزِيزِ</w:t>
      </w:r>
      <w:r w:rsidR="006C78B4" w:rsidRPr="0067048A">
        <w:rPr>
          <w:rStyle w:val="Char3"/>
          <w:rtl/>
        </w:rPr>
        <w:t xml:space="preserve"> </w:t>
      </w:r>
      <w:r w:rsidR="006C78B4" w:rsidRPr="0067048A">
        <w:rPr>
          <w:rStyle w:val="Char3"/>
          <w:rFonts w:hint="eastAsia"/>
          <w:rtl/>
        </w:rPr>
        <w:t>تُرَ</w:t>
      </w:r>
      <w:r w:rsidR="006C78B4" w:rsidRPr="0067048A">
        <w:rPr>
          <w:rStyle w:val="Char3"/>
          <w:rFonts w:hint="cs"/>
          <w:rtl/>
        </w:rPr>
        <w:t>ٰ</w:t>
      </w:r>
      <w:r w:rsidR="006C78B4" w:rsidRPr="0067048A">
        <w:rPr>
          <w:rStyle w:val="Char3"/>
          <w:rFonts w:hint="eastAsia"/>
          <w:rtl/>
        </w:rPr>
        <w:t>وِدُ</w:t>
      </w:r>
      <w:r w:rsidR="006C78B4" w:rsidRPr="0067048A">
        <w:rPr>
          <w:rStyle w:val="Char3"/>
          <w:rtl/>
        </w:rPr>
        <w:t xml:space="preserve"> </w:t>
      </w:r>
      <w:r w:rsidR="006C78B4" w:rsidRPr="0067048A">
        <w:rPr>
          <w:rStyle w:val="Char3"/>
          <w:rFonts w:hint="eastAsia"/>
          <w:rtl/>
        </w:rPr>
        <w:t>فَتَى</w:t>
      </w:r>
      <w:r w:rsidR="006C78B4" w:rsidRPr="0067048A">
        <w:rPr>
          <w:rStyle w:val="Char3"/>
          <w:rFonts w:hint="cs"/>
          <w:rtl/>
        </w:rPr>
        <w:t>ٰ</w:t>
      </w:r>
      <w:r w:rsidR="006C78B4" w:rsidRPr="0067048A">
        <w:rPr>
          <w:rStyle w:val="Char3"/>
          <w:rFonts w:hint="eastAsia"/>
          <w:rtl/>
        </w:rPr>
        <w:t>هَا</w:t>
      </w:r>
      <w:r w:rsidR="006C78B4" w:rsidRPr="0067048A">
        <w:rPr>
          <w:rStyle w:val="Char3"/>
          <w:rtl/>
        </w:rPr>
        <w:t xml:space="preserve"> </w:t>
      </w:r>
      <w:r w:rsidR="006C78B4" w:rsidRPr="0067048A">
        <w:rPr>
          <w:rStyle w:val="Char3"/>
          <w:rFonts w:hint="eastAsia"/>
          <w:rtl/>
        </w:rPr>
        <w:t>عَن</w:t>
      </w:r>
      <w:r w:rsidR="006C78B4" w:rsidRPr="0067048A">
        <w:rPr>
          <w:rStyle w:val="Char3"/>
          <w:rtl/>
        </w:rPr>
        <w:t xml:space="preserve"> </w:t>
      </w:r>
      <w:r w:rsidR="006C78B4" w:rsidRPr="0067048A">
        <w:rPr>
          <w:rStyle w:val="Char3"/>
          <w:rFonts w:hint="eastAsia"/>
          <w:rtl/>
        </w:rPr>
        <w:t>نَّف</w:t>
      </w:r>
      <w:r w:rsidR="006C78B4" w:rsidRPr="0067048A">
        <w:rPr>
          <w:rStyle w:val="Char3"/>
          <w:rFonts w:hint="cs"/>
          <w:rtl/>
        </w:rPr>
        <w:t>ۡ</w:t>
      </w:r>
      <w:r w:rsidR="006C78B4" w:rsidRPr="0067048A">
        <w:rPr>
          <w:rStyle w:val="Char3"/>
          <w:rFonts w:hint="eastAsia"/>
          <w:rtl/>
        </w:rPr>
        <w:t>سِهِ</w:t>
      </w:r>
      <w:r w:rsidR="006C78B4" w:rsidRPr="0067048A">
        <w:rPr>
          <w:rStyle w:val="Char3"/>
          <w:rFonts w:hint="cs"/>
          <w:rtl/>
        </w:rPr>
        <w:t>ۦ</w:t>
      </w:r>
      <w:r w:rsidR="006C78B4" w:rsidRPr="00995B26">
        <w:rPr>
          <w:rFonts w:ascii="Abo-thar" w:hAnsi="Abo-thar" w:cs="Traditional Arabic" w:hint="cs"/>
          <w:sz w:val="28"/>
          <w:rtl/>
          <w:lang w:bidi="ar-SY"/>
        </w:rPr>
        <w:t>﴾</w:t>
      </w:r>
      <w:r w:rsidRPr="00995B26">
        <w:rPr>
          <w:rFonts w:ascii="Abo-thar" w:hAnsi="Abo-thar"/>
          <w:sz w:val="28"/>
          <w:rtl/>
          <w:lang w:bidi="ar-SY"/>
        </w:rPr>
        <w:t xml:space="preserve"> </w:t>
      </w:r>
      <w:r w:rsidRPr="003108CB">
        <w:rPr>
          <w:rStyle w:val="Char2"/>
          <w:rtl/>
        </w:rPr>
        <w:t>[يوسف</w:t>
      </w:r>
      <w:r w:rsidR="006C78B4" w:rsidRPr="003108CB">
        <w:rPr>
          <w:rStyle w:val="Char2"/>
          <w:rFonts w:hint="cs"/>
          <w:rtl/>
        </w:rPr>
        <w:t xml:space="preserve">: </w:t>
      </w:r>
      <w:r w:rsidRPr="003108CB">
        <w:rPr>
          <w:rStyle w:val="Char2"/>
          <w:rtl/>
        </w:rPr>
        <w:t>30]</w:t>
      </w:r>
      <w:r w:rsidR="00217AB4" w:rsidRPr="00995B26">
        <w:rPr>
          <w:rFonts w:ascii="Abo-thar" w:hAnsi="Abo-thar" w:hint="cs"/>
          <w:sz w:val="28"/>
          <w:rtl/>
          <w:lang w:bidi="ar-SY"/>
        </w:rPr>
        <w:t>،</w:t>
      </w:r>
      <w:r w:rsidRPr="00995B26">
        <w:rPr>
          <w:rFonts w:ascii="Abo-thar" w:hAnsi="Abo-thar" w:hint="cs"/>
          <w:sz w:val="28"/>
          <w:rtl/>
          <w:lang w:bidi="ar-SY"/>
        </w:rPr>
        <w:t xml:space="preserve"> مما يبين بوضوح أن لقب </w:t>
      </w:r>
      <w:r w:rsidRPr="00995B26">
        <w:rPr>
          <w:rFonts w:ascii="Lotus Linotype" w:hAnsi="Lotus Linotype"/>
          <w:sz w:val="28"/>
          <w:rtl/>
          <w:lang w:bidi="ar-SY"/>
        </w:rPr>
        <w:t>«</w:t>
      </w:r>
      <w:r w:rsidRPr="00995B26">
        <w:rPr>
          <w:rFonts w:ascii="Lotus Linotype" w:hAnsi="Lotus Linotype" w:hint="cs"/>
          <w:sz w:val="28"/>
          <w:rtl/>
          <w:lang w:bidi="ar-SY"/>
        </w:rPr>
        <w:t>العزيز</w:t>
      </w:r>
      <w:r w:rsidRPr="00995B26">
        <w:rPr>
          <w:rFonts w:ascii="Lotus Linotype" w:hAnsi="Lotus Linotype"/>
          <w:sz w:val="28"/>
          <w:rtl/>
          <w:lang w:bidi="ar-SY"/>
        </w:rPr>
        <w:t>»</w:t>
      </w:r>
      <w:r w:rsidRPr="00995B26">
        <w:rPr>
          <w:rFonts w:ascii="Lotus Linotype" w:hAnsi="Lotus Linotype" w:hint="cs"/>
          <w:sz w:val="28"/>
          <w:rtl/>
          <w:lang w:bidi="ar-SY"/>
        </w:rPr>
        <w:t xml:space="preserve"> خاص برئيس وزراء البلاد ولا</w:t>
      </w:r>
      <w:r w:rsidRPr="00995B26">
        <w:rPr>
          <w:rFonts w:ascii="Lotus Linotype" w:hAnsi="Lotus Linotype" w:hint="eastAsia"/>
          <w:sz w:val="28"/>
          <w:rtl/>
          <w:lang w:bidi="ar-SY"/>
        </w:rPr>
        <w:t> </w:t>
      </w:r>
      <w:r w:rsidRPr="00995B26">
        <w:rPr>
          <w:rFonts w:ascii="Lotus Linotype" w:hAnsi="Lotus Linotype" w:hint="cs"/>
          <w:sz w:val="28"/>
          <w:rtl/>
          <w:lang w:bidi="ar-SY"/>
        </w:rPr>
        <w:t>علاقة له بيوسف</w:t>
      </w:r>
      <w:r w:rsidR="00217AB4" w:rsidRPr="00995B26">
        <w:rPr>
          <w:rFonts w:ascii="Lotus Linotype" w:hAnsi="Lotus Linotype" w:hint="cs"/>
          <w:sz w:val="28"/>
          <w:rtl/>
          <w:lang w:bidi="ar-SY"/>
        </w:rPr>
        <w:t>.</w:t>
      </w:r>
    </w:p>
    <w:p w:rsidR="005C664D" w:rsidRPr="00995B26" w:rsidRDefault="005C664D" w:rsidP="00C761A3">
      <w:pPr>
        <w:pStyle w:val="a0"/>
        <w:ind w:left="624" w:hanging="340"/>
        <w:rPr>
          <w:rFonts w:hint="cs"/>
          <w:rtl/>
          <w:lang w:bidi="ar-SY"/>
        </w:rPr>
      </w:pPr>
      <w:r w:rsidRPr="003F3B94">
        <w:rPr>
          <w:rFonts w:ascii="Abo-thar" w:hAnsi="Abo-thar" w:hint="cs"/>
          <w:sz w:val="28"/>
          <w:rtl/>
          <w:lang w:bidi="ar-SY"/>
        </w:rPr>
        <w:t>3</w:t>
      </w:r>
      <w:r w:rsidR="00217AB4" w:rsidRPr="003F3B94">
        <w:rPr>
          <w:rFonts w:ascii="Abo-thar" w:hAnsi="Abo-thar" w:hint="cs"/>
          <w:sz w:val="28"/>
          <w:rtl/>
          <w:lang w:bidi="ar-SY"/>
        </w:rPr>
        <w:t>-</w:t>
      </w:r>
      <w:r w:rsidRPr="003F3B94">
        <w:rPr>
          <w:rFonts w:ascii="Abo-thar" w:hAnsi="Abo-thar" w:hint="cs"/>
          <w:sz w:val="28"/>
          <w:rtl/>
          <w:lang w:bidi="ar-SY"/>
        </w:rPr>
        <w:t xml:space="preserve"> جاء في الآية الكريمة قيد</w:t>
      </w:r>
      <w:r w:rsidR="006C78B4" w:rsidRPr="003F3B94">
        <w:rPr>
          <w:rFonts w:ascii="Abo-thar" w:hAnsi="Abo-thar" w:hint="cs"/>
          <w:sz w:val="28"/>
          <w:rtl/>
          <w:lang w:bidi="ar-SY"/>
        </w:rPr>
        <w:t xml:space="preserve"> </w:t>
      </w:r>
      <w:r w:rsidR="006C78B4" w:rsidRPr="00995B26">
        <w:rPr>
          <w:rFonts w:ascii="Abo-thar" w:hAnsi="Abo-thar" w:cs="Traditional Arabic" w:hint="cs"/>
          <w:sz w:val="28"/>
          <w:rtl/>
          <w:lang w:bidi="ar-SY"/>
        </w:rPr>
        <w:t>﴿</w:t>
      </w:r>
      <w:r w:rsidR="006C78B4" w:rsidRPr="0067048A">
        <w:rPr>
          <w:rStyle w:val="Char3"/>
          <w:rFonts w:hint="eastAsia"/>
          <w:rtl/>
        </w:rPr>
        <w:t>مَسَّنَا</w:t>
      </w:r>
      <w:r w:rsidR="006C78B4" w:rsidRPr="0067048A">
        <w:rPr>
          <w:rStyle w:val="Char3"/>
          <w:rtl/>
        </w:rPr>
        <w:t xml:space="preserve"> </w:t>
      </w:r>
      <w:r w:rsidR="006C78B4" w:rsidRPr="0067048A">
        <w:rPr>
          <w:rStyle w:val="Char3"/>
          <w:rFonts w:hint="eastAsia"/>
          <w:rtl/>
        </w:rPr>
        <w:t>وَأَه</w:t>
      </w:r>
      <w:r w:rsidR="006C78B4" w:rsidRPr="0067048A">
        <w:rPr>
          <w:rStyle w:val="Char3"/>
          <w:rFonts w:hint="cs"/>
          <w:rtl/>
        </w:rPr>
        <w:t>ۡ</w:t>
      </w:r>
      <w:r w:rsidR="006C78B4" w:rsidRPr="0067048A">
        <w:rPr>
          <w:rStyle w:val="Char3"/>
          <w:rFonts w:hint="eastAsia"/>
          <w:rtl/>
        </w:rPr>
        <w:t>لَنَا</w:t>
      </w:r>
      <w:r w:rsidR="006C78B4" w:rsidRPr="0067048A">
        <w:rPr>
          <w:rStyle w:val="Char3"/>
          <w:rtl/>
        </w:rPr>
        <w:t xml:space="preserve"> </w:t>
      </w:r>
      <w:r w:rsidR="006C78B4" w:rsidRPr="0067048A">
        <w:rPr>
          <w:rStyle w:val="Char3"/>
          <w:rFonts w:hint="cs"/>
          <w:rtl/>
        </w:rPr>
        <w:t>ٱ</w:t>
      </w:r>
      <w:r w:rsidR="006C78B4" w:rsidRPr="0067048A">
        <w:rPr>
          <w:rStyle w:val="Char3"/>
          <w:rFonts w:hint="eastAsia"/>
          <w:rtl/>
        </w:rPr>
        <w:t>لضُّرُّ</w:t>
      </w:r>
      <w:r w:rsidR="006C78B4" w:rsidRPr="00995B26">
        <w:rPr>
          <w:rFonts w:ascii="Abo-thar" w:hAnsi="Abo-thar" w:cs="Traditional Arabic" w:hint="cs"/>
          <w:sz w:val="28"/>
          <w:rtl/>
          <w:lang w:bidi="ar-SY"/>
        </w:rPr>
        <w:t>﴾</w:t>
      </w:r>
      <w:r w:rsidRPr="00995B26">
        <w:rPr>
          <w:rFonts w:ascii="Abo-thar" w:hAnsi="Abo-thar" w:hint="cs"/>
          <w:sz w:val="28"/>
          <w:rtl/>
          <w:lang w:bidi="ar-SY"/>
        </w:rPr>
        <w:t xml:space="preserve"> </w:t>
      </w:r>
      <w:r w:rsidRPr="003108CB">
        <w:rPr>
          <w:rStyle w:val="Char2"/>
          <w:rtl/>
        </w:rPr>
        <w:t>[يوسف</w:t>
      </w:r>
      <w:r w:rsidR="006C78B4" w:rsidRPr="003108CB">
        <w:rPr>
          <w:rStyle w:val="Char2"/>
          <w:rFonts w:hint="cs"/>
          <w:rtl/>
        </w:rPr>
        <w:t xml:space="preserve">: </w:t>
      </w:r>
      <w:r w:rsidRPr="003108CB">
        <w:rPr>
          <w:rStyle w:val="Char2"/>
          <w:rtl/>
        </w:rPr>
        <w:t>88]</w:t>
      </w:r>
      <w:r w:rsidR="00217AB4" w:rsidRPr="00995B26">
        <w:rPr>
          <w:rFonts w:ascii="Abo-thar" w:hAnsi="Abo-thar" w:hint="cs"/>
          <w:sz w:val="28"/>
          <w:rtl/>
          <w:lang w:bidi="ar-SY"/>
        </w:rPr>
        <w:t>،</w:t>
      </w:r>
      <w:r w:rsidRPr="00995B26">
        <w:rPr>
          <w:rFonts w:ascii="Abo-thar" w:hAnsi="Abo-thar" w:hint="cs"/>
          <w:sz w:val="28"/>
          <w:rtl/>
          <w:lang w:bidi="ar-SY"/>
        </w:rPr>
        <w:t xml:space="preserve"> وهذا القيد والشرط يسري في جميع آخذي الصدقات</w:t>
      </w:r>
      <w:r w:rsidR="00217AB4" w:rsidRPr="00995B26">
        <w:rPr>
          <w:rFonts w:ascii="Abo-thar" w:hAnsi="Abo-thar" w:hint="cs"/>
          <w:sz w:val="28"/>
          <w:rtl/>
          <w:lang w:bidi="ar-SY"/>
        </w:rPr>
        <w:t>،</w:t>
      </w:r>
      <w:r w:rsidRPr="00995B26">
        <w:rPr>
          <w:rFonts w:ascii="Abo-thar" w:hAnsi="Abo-thar" w:hint="cs"/>
          <w:sz w:val="28"/>
          <w:rtl/>
          <w:lang w:bidi="ar-SY"/>
        </w:rPr>
        <w:t xml:space="preserve"> ولا ينحصر بأولاد الأنبياء فكل من كان مضطراً ومحتاجاً كان له الحق في أخذ الصدقات أو الاستفادة والارتزاق منها هو وأهله</w:t>
      </w:r>
      <w:r w:rsidR="00217AB4" w:rsidRPr="00995B26">
        <w:rPr>
          <w:rFonts w:ascii="Abo-thar" w:hAnsi="Abo-thar" w:hint="cs"/>
          <w:sz w:val="28"/>
          <w:rtl/>
          <w:lang w:bidi="ar-SY"/>
        </w:rPr>
        <w:t>.</w:t>
      </w:r>
    </w:p>
    <w:p w:rsidR="005C664D" w:rsidRPr="00995B26" w:rsidRDefault="005C664D" w:rsidP="00191B46">
      <w:pPr>
        <w:pStyle w:val="a0"/>
        <w:ind w:left="624" w:hanging="340"/>
        <w:rPr>
          <w:rFonts w:hint="cs"/>
          <w:rtl/>
          <w:lang w:bidi="ar-SY"/>
        </w:rPr>
      </w:pPr>
      <w:r w:rsidRPr="003F3B94">
        <w:rPr>
          <w:rFonts w:ascii="Abo-thar" w:hAnsi="Abo-thar" w:hint="cs"/>
          <w:sz w:val="28"/>
          <w:rtl/>
          <w:lang w:bidi="ar-SY"/>
        </w:rPr>
        <w:t>4</w:t>
      </w:r>
      <w:r w:rsidR="00217AB4" w:rsidRPr="003F3B94">
        <w:rPr>
          <w:rFonts w:ascii="Abo-thar" w:hAnsi="Abo-thar" w:hint="cs"/>
          <w:sz w:val="28"/>
          <w:rtl/>
          <w:lang w:bidi="ar-SY"/>
        </w:rPr>
        <w:t>-</w:t>
      </w:r>
      <w:r w:rsidRPr="003F3B94">
        <w:rPr>
          <w:rFonts w:ascii="Abo-thar" w:hAnsi="Abo-thar" w:hint="cs"/>
          <w:sz w:val="28"/>
          <w:rtl/>
          <w:lang w:bidi="ar-SY"/>
        </w:rPr>
        <w:t xml:space="preserve"> جاءت في الآية الكريمة جملة</w:t>
      </w:r>
      <w:r w:rsidR="006C78B4" w:rsidRPr="003F3B94">
        <w:rPr>
          <w:rFonts w:ascii="Abo-thar" w:hAnsi="Abo-thar" w:hint="cs"/>
          <w:sz w:val="28"/>
          <w:rtl/>
          <w:lang w:bidi="ar-SY"/>
        </w:rPr>
        <w:t xml:space="preserve">: </w:t>
      </w:r>
      <w:r w:rsidR="006C78B4" w:rsidRPr="00191B46">
        <w:rPr>
          <w:rFonts w:ascii="Abo-thar" w:hAnsi="Abo-thar" w:cs="Traditional Arabic" w:hint="cs"/>
          <w:sz w:val="27"/>
          <w:rtl/>
          <w:lang w:bidi="ar-SY"/>
        </w:rPr>
        <w:t>﴿</w:t>
      </w:r>
      <w:r w:rsidR="006C78B4" w:rsidRPr="00191B46">
        <w:rPr>
          <w:rFonts w:ascii="KFGQPC Uthmanic Script HAFS" w:cs="KFGQPC Uthmanic Script HAFS" w:hint="eastAsia"/>
          <w:sz w:val="27"/>
          <w:rtl/>
        </w:rPr>
        <w:t>وَجِئ</w:t>
      </w:r>
      <w:r w:rsidR="006C78B4" w:rsidRPr="00191B46">
        <w:rPr>
          <w:rFonts w:ascii="KFGQPC Uthmanic Script HAFS" w:cs="KFGQPC Uthmanic Script HAFS" w:hint="cs"/>
          <w:sz w:val="27"/>
          <w:rtl/>
        </w:rPr>
        <w:t>ۡ</w:t>
      </w:r>
      <w:r w:rsidR="006C78B4" w:rsidRPr="00191B46">
        <w:rPr>
          <w:rFonts w:ascii="KFGQPC Uthmanic Script HAFS" w:cs="KFGQPC Uthmanic Script HAFS" w:hint="eastAsia"/>
          <w:sz w:val="27"/>
          <w:rtl/>
        </w:rPr>
        <w:t>نَا</w:t>
      </w:r>
      <w:r w:rsidR="006C78B4" w:rsidRPr="00191B46">
        <w:rPr>
          <w:rFonts w:ascii="KFGQPC Uthmanic Script HAFS" w:cs="KFGQPC Uthmanic Script HAFS"/>
          <w:sz w:val="27"/>
          <w:rtl/>
        </w:rPr>
        <w:t xml:space="preserve"> </w:t>
      </w:r>
      <w:r w:rsidR="006C78B4" w:rsidRPr="00191B46">
        <w:rPr>
          <w:rFonts w:ascii="KFGQPC Uthmanic Script HAFS" w:cs="KFGQPC Uthmanic Script HAFS" w:hint="eastAsia"/>
          <w:sz w:val="27"/>
          <w:rtl/>
        </w:rPr>
        <w:t>بِبِضَ</w:t>
      </w:r>
      <w:r w:rsidR="006C78B4" w:rsidRPr="00191B46">
        <w:rPr>
          <w:rFonts w:ascii="KFGQPC Uthmanic Script HAFS" w:cs="KFGQPC Uthmanic Script HAFS" w:hint="cs"/>
          <w:sz w:val="27"/>
          <w:rtl/>
        </w:rPr>
        <w:t>ٰ</w:t>
      </w:r>
      <w:r w:rsidR="006C78B4" w:rsidRPr="00191B46">
        <w:rPr>
          <w:rFonts w:ascii="KFGQPC Uthmanic Script HAFS" w:cs="KFGQPC Uthmanic Script HAFS" w:hint="eastAsia"/>
          <w:sz w:val="27"/>
          <w:rtl/>
        </w:rPr>
        <w:t>عَة</w:t>
      </w:r>
      <w:r w:rsidR="006C78B4" w:rsidRPr="00191B46">
        <w:rPr>
          <w:rFonts w:ascii="KFGQPC Uthmanic Script HAFS" w:cs="KFGQPC Uthmanic Script HAFS" w:hint="cs"/>
          <w:sz w:val="27"/>
          <w:rtl/>
        </w:rPr>
        <w:t>ٖ</w:t>
      </w:r>
      <w:r w:rsidR="006C78B4" w:rsidRPr="00191B46">
        <w:rPr>
          <w:rFonts w:ascii="KFGQPC Uthmanic Script HAFS" w:cs="KFGQPC Uthmanic Script HAFS"/>
          <w:sz w:val="27"/>
          <w:rtl/>
        </w:rPr>
        <w:t xml:space="preserve"> </w:t>
      </w:r>
      <w:r w:rsidR="006C78B4" w:rsidRPr="00191B46">
        <w:rPr>
          <w:rFonts w:ascii="KFGQPC Uthmanic Script HAFS" w:cs="KFGQPC Uthmanic Script HAFS" w:hint="eastAsia"/>
          <w:sz w:val="27"/>
          <w:rtl/>
        </w:rPr>
        <w:t>مُّز</w:t>
      </w:r>
      <w:r w:rsidR="006C78B4" w:rsidRPr="00191B46">
        <w:rPr>
          <w:rFonts w:ascii="KFGQPC Uthmanic Script HAFS" w:cs="KFGQPC Uthmanic Script HAFS" w:hint="cs"/>
          <w:sz w:val="27"/>
          <w:rtl/>
        </w:rPr>
        <w:t>ۡ</w:t>
      </w:r>
      <w:r w:rsidR="006C78B4" w:rsidRPr="00191B46">
        <w:rPr>
          <w:rFonts w:ascii="KFGQPC Uthmanic Script HAFS" w:cs="KFGQPC Uthmanic Script HAFS" w:hint="eastAsia"/>
          <w:sz w:val="27"/>
          <w:rtl/>
        </w:rPr>
        <w:t>جَى</w:t>
      </w:r>
      <w:r w:rsidR="006C78B4" w:rsidRPr="00191B46">
        <w:rPr>
          <w:rFonts w:ascii="KFGQPC Uthmanic Script HAFS" w:cs="KFGQPC Uthmanic Script HAFS" w:hint="cs"/>
          <w:sz w:val="27"/>
          <w:rtl/>
        </w:rPr>
        <w:t>ٰ</w:t>
      </w:r>
      <w:r w:rsidR="006C78B4" w:rsidRPr="00191B46">
        <w:rPr>
          <w:rFonts w:ascii="KFGQPC Uthmanic Script HAFS" w:cs="KFGQPC Uthmanic Script HAFS" w:hint="eastAsia"/>
          <w:sz w:val="27"/>
          <w:rtl/>
        </w:rPr>
        <w:t>ة</w:t>
      </w:r>
      <w:r w:rsidR="006C78B4" w:rsidRPr="00191B46">
        <w:rPr>
          <w:rFonts w:ascii="KFGQPC Uthmanic Script HAFS" w:cs="KFGQPC Uthmanic Script HAFS" w:hint="cs"/>
          <w:sz w:val="27"/>
          <w:rtl/>
        </w:rPr>
        <w:t>ٖ</w:t>
      </w:r>
      <w:r w:rsidR="006C78B4" w:rsidRPr="00191B46">
        <w:rPr>
          <w:rFonts w:ascii="KFGQPC Uthmanic Script HAFS" w:cs="KFGQPC Uthmanic Script HAFS"/>
          <w:sz w:val="27"/>
          <w:rtl/>
        </w:rPr>
        <w:t xml:space="preserve"> </w:t>
      </w:r>
      <w:r w:rsidR="006C78B4" w:rsidRPr="00191B46">
        <w:rPr>
          <w:rFonts w:ascii="KFGQPC Uthmanic Script HAFS" w:cs="KFGQPC Uthmanic Script HAFS" w:hint="eastAsia"/>
          <w:sz w:val="27"/>
          <w:rtl/>
        </w:rPr>
        <w:t>فَأَو</w:t>
      </w:r>
      <w:r w:rsidR="006C78B4" w:rsidRPr="00191B46">
        <w:rPr>
          <w:rFonts w:ascii="KFGQPC Uthmanic Script HAFS" w:cs="KFGQPC Uthmanic Script HAFS" w:hint="cs"/>
          <w:sz w:val="27"/>
          <w:rtl/>
        </w:rPr>
        <w:t>ۡ</w:t>
      </w:r>
      <w:r w:rsidR="006C78B4" w:rsidRPr="00191B46">
        <w:rPr>
          <w:rFonts w:ascii="KFGQPC Uthmanic Script HAFS" w:cs="KFGQPC Uthmanic Script HAFS" w:hint="eastAsia"/>
          <w:sz w:val="27"/>
          <w:rtl/>
        </w:rPr>
        <w:t>فِ</w:t>
      </w:r>
      <w:r w:rsidR="006C78B4" w:rsidRPr="00191B46">
        <w:rPr>
          <w:rFonts w:ascii="KFGQPC Uthmanic Script HAFS" w:cs="KFGQPC Uthmanic Script HAFS"/>
          <w:sz w:val="27"/>
          <w:rtl/>
        </w:rPr>
        <w:t xml:space="preserve"> </w:t>
      </w:r>
      <w:r w:rsidR="006C78B4" w:rsidRPr="00191B46">
        <w:rPr>
          <w:rFonts w:ascii="KFGQPC Uthmanic Script HAFS" w:cs="KFGQPC Uthmanic Script HAFS" w:hint="eastAsia"/>
          <w:sz w:val="27"/>
          <w:rtl/>
        </w:rPr>
        <w:t>لَنَا</w:t>
      </w:r>
      <w:r w:rsidR="006C78B4" w:rsidRPr="00191B46">
        <w:rPr>
          <w:rFonts w:ascii="KFGQPC Uthmanic Script HAFS" w:cs="KFGQPC Uthmanic Script HAFS"/>
          <w:sz w:val="27"/>
          <w:rtl/>
        </w:rPr>
        <w:t xml:space="preserve"> </w:t>
      </w:r>
      <w:r w:rsidR="006C78B4" w:rsidRPr="00191B46">
        <w:rPr>
          <w:rFonts w:ascii="KFGQPC Uthmanic Script HAFS" w:cs="KFGQPC Uthmanic Script HAFS" w:hint="cs"/>
          <w:sz w:val="27"/>
          <w:rtl/>
        </w:rPr>
        <w:t>ٱ</w:t>
      </w:r>
      <w:r w:rsidR="006C78B4" w:rsidRPr="00191B46">
        <w:rPr>
          <w:rFonts w:ascii="KFGQPC Uthmanic Script HAFS" w:cs="KFGQPC Uthmanic Script HAFS" w:hint="eastAsia"/>
          <w:sz w:val="27"/>
          <w:rtl/>
        </w:rPr>
        <w:t>ل</w:t>
      </w:r>
      <w:r w:rsidR="006C78B4" w:rsidRPr="00191B46">
        <w:rPr>
          <w:rFonts w:ascii="KFGQPC Uthmanic Script HAFS" w:cs="KFGQPC Uthmanic Script HAFS" w:hint="cs"/>
          <w:sz w:val="27"/>
          <w:rtl/>
        </w:rPr>
        <w:t>ۡ</w:t>
      </w:r>
      <w:r w:rsidR="006C78B4" w:rsidRPr="00191B46">
        <w:rPr>
          <w:rFonts w:ascii="KFGQPC Uthmanic Script HAFS" w:cs="KFGQPC Uthmanic Script HAFS" w:hint="eastAsia"/>
          <w:sz w:val="27"/>
          <w:rtl/>
        </w:rPr>
        <w:t>كَي</w:t>
      </w:r>
      <w:r w:rsidR="006C78B4" w:rsidRPr="00191B46">
        <w:rPr>
          <w:rFonts w:ascii="KFGQPC Uthmanic Script HAFS" w:cs="KFGQPC Uthmanic Script HAFS" w:hint="cs"/>
          <w:sz w:val="27"/>
          <w:rtl/>
        </w:rPr>
        <w:t>ۡ</w:t>
      </w:r>
      <w:r w:rsidR="006C78B4" w:rsidRPr="00191B46">
        <w:rPr>
          <w:rFonts w:ascii="KFGQPC Uthmanic Script HAFS" w:cs="KFGQPC Uthmanic Script HAFS" w:hint="eastAsia"/>
          <w:sz w:val="27"/>
          <w:rtl/>
        </w:rPr>
        <w:t>لَ</w:t>
      </w:r>
      <w:r w:rsidR="006C78B4" w:rsidRPr="00191B46">
        <w:rPr>
          <w:rFonts w:ascii="Abo-thar" w:hAnsi="Abo-thar" w:cs="Traditional Arabic" w:hint="cs"/>
          <w:sz w:val="27"/>
          <w:rtl/>
          <w:lang w:bidi="ar-SY"/>
        </w:rPr>
        <w:t>﴾</w:t>
      </w:r>
      <w:r w:rsidRPr="00995B26">
        <w:rPr>
          <w:rFonts w:ascii="Abo-thar" w:hAnsi="Abo-thar" w:hint="cs"/>
          <w:sz w:val="28"/>
          <w:rtl/>
          <w:lang w:bidi="ar-SY"/>
        </w:rPr>
        <w:t xml:space="preserve"> </w:t>
      </w:r>
      <w:r w:rsidRPr="00191B46">
        <w:rPr>
          <w:rStyle w:val="Char2"/>
          <w:sz w:val="22"/>
          <w:szCs w:val="22"/>
          <w:rtl/>
        </w:rPr>
        <w:t>[يوسف</w:t>
      </w:r>
      <w:r w:rsidR="006C78B4" w:rsidRPr="00191B46">
        <w:rPr>
          <w:rStyle w:val="Char2"/>
          <w:rFonts w:hint="cs"/>
          <w:sz w:val="22"/>
          <w:szCs w:val="22"/>
          <w:rtl/>
        </w:rPr>
        <w:t>:</w:t>
      </w:r>
      <w:r w:rsidRPr="00191B46">
        <w:rPr>
          <w:rStyle w:val="Char2"/>
          <w:sz w:val="22"/>
          <w:szCs w:val="22"/>
          <w:rtl/>
        </w:rPr>
        <w:t>88]</w:t>
      </w:r>
      <w:r w:rsidRPr="00191B46">
        <w:rPr>
          <w:rFonts w:ascii="Abo-thar" w:hAnsi="Abo-thar" w:hint="cs"/>
          <w:szCs w:val="24"/>
          <w:rtl/>
          <w:lang w:bidi="ar-SY"/>
        </w:rPr>
        <w:t xml:space="preserve"> </w:t>
      </w:r>
      <w:r w:rsidRPr="00995B26">
        <w:rPr>
          <w:rFonts w:ascii="Abo-thar" w:hAnsi="Abo-thar" w:hint="cs"/>
          <w:sz w:val="28"/>
          <w:rtl/>
          <w:lang w:bidi="ar-SY"/>
        </w:rPr>
        <w:t>لتدل على أنه عندما يعطِي ابنُ نبيٍّ شيئاً قليل القيمة لشخصٍ فيُجزى عليه فهذا ضرب من التصدّق</w:t>
      </w:r>
      <w:r w:rsidR="00217AB4" w:rsidRPr="00995B26">
        <w:rPr>
          <w:rFonts w:ascii="Abo-thar" w:hAnsi="Abo-thar" w:hint="cs"/>
          <w:sz w:val="28"/>
          <w:rtl/>
          <w:lang w:bidi="ar-SY"/>
        </w:rPr>
        <w:t>،</w:t>
      </w:r>
      <w:r w:rsidRPr="00995B26">
        <w:rPr>
          <w:rFonts w:ascii="Abo-thar" w:hAnsi="Abo-thar" w:hint="cs"/>
          <w:sz w:val="28"/>
          <w:rtl/>
          <w:lang w:bidi="ar-SY"/>
        </w:rPr>
        <w:t xml:space="preserve"> كما هو رائج اليوم من أن يقوم الشحاذون</w:t>
      </w:r>
      <w:r w:rsidR="00147857" w:rsidRPr="00995B26">
        <w:rPr>
          <w:rFonts w:ascii="Abo-thar" w:hAnsi="Abo-thar" w:hint="cs"/>
          <w:sz w:val="28"/>
          <w:rtl/>
          <w:lang w:bidi="ar-SY"/>
        </w:rPr>
        <w:t xml:space="preserve"> </w:t>
      </w:r>
      <w:r w:rsidRPr="00995B26">
        <w:rPr>
          <w:rFonts w:ascii="Abo-thar" w:hAnsi="Abo-thar" w:hint="cs"/>
          <w:sz w:val="28"/>
          <w:rtl/>
          <w:lang w:bidi="ar-SY"/>
        </w:rPr>
        <w:t xml:space="preserve">من السادة </w:t>
      </w:r>
      <w:r w:rsidR="00217AB4" w:rsidRPr="00995B26">
        <w:rPr>
          <w:rFonts w:ascii="Abo-thar" w:hAnsi="Abo-thar" w:hint="cs"/>
          <w:sz w:val="28"/>
          <w:rtl/>
          <w:lang w:bidi="ar-SY"/>
        </w:rPr>
        <w:t>(</w:t>
      </w:r>
      <w:r w:rsidRPr="00995B26">
        <w:rPr>
          <w:rFonts w:ascii="Abo-thar" w:hAnsi="Abo-thar" w:hint="cs"/>
          <w:sz w:val="28"/>
          <w:rtl/>
          <w:lang w:bidi="ar-SY"/>
        </w:rPr>
        <w:t>ذوي النسب الهاشمي</w:t>
      </w:r>
      <w:r w:rsidR="00217AB4" w:rsidRPr="00995B26">
        <w:rPr>
          <w:rFonts w:ascii="Abo-thar" w:hAnsi="Abo-thar" w:hint="cs"/>
          <w:sz w:val="28"/>
          <w:rtl/>
          <w:lang w:bidi="ar-SY"/>
        </w:rPr>
        <w:t>)</w:t>
      </w:r>
      <w:r w:rsidRPr="00995B26">
        <w:rPr>
          <w:rFonts w:ascii="Abo-thar" w:hAnsi="Abo-thar" w:hint="cs"/>
          <w:sz w:val="28"/>
          <w:rtl/>
          <w:lang w:bidi="ar-SY"/>
        </w:rPr>
        <w:t xml:space="preserve"> بإعطاء حبة سكاكر أو مُلَبَّس أو تمرة لشخص وينتظرون منه إحساناً مقابل ذلك ولو كان بقيمة تزيد على قيمة حبة الملبس أو التمرة فإن هذا يُعد صدقة عليهم وجائز عليهم أن يأخذوها طالما كانوا مساكين في فاقة واضطرار</w:t>
      </w:r>
      <w:r w:rsidR="00217AB4" w:rsidRPr="00995B26">
        <w:rPr>
          <w:rFonts w:ascii="Abo-thar" w:hAnsi="Abo-thar" w:hint="cs"/>
          <w:sz w:val="28"/>
          <w:rtl/>
          <w:lang w:bidi="ar-SY"/>
        </w:rPr>
        <w:t>،</w:t>
      </w:r>
      <w:r w:rsidRPr="00995B26">
        <w:rPr>
          <w:rFonts w:ascii="Abo-thar" w:hAnsi="Abo-thar" w:hint="cs"/>
          <w:sz w:val="28"/>
          <w:rtl/>
          <w:lang w:bidi="ar-SY"/>
        </w:rPr>
        <w:t xml:space="preserve"> وإلا فلا</w:t>
      </w:r>
      <w:r w:rsidR="00217AB4" w:rsidRPr="00995B26">
        <w:rPr>
          <w:rFonts w:ascii="Abo-thar" w:hAnsi="Abo-thar" w:hint="cs"/>
          <w:sz w:val="28"/>
          <w:rtl/>
          <w:lang w:bidi="ar-SY"/>
        </w:rPr>
        <w:t>.</w:t>
      </w:r>
    </w:p>
    <w:p w:rsidR="005C664D" w:rsidRPr="003F3B94" w:rsidRDefault="005C664D" w:rsidP="00C761A3">
      <w:pPr>
        <w:pStyle w:val="a0"/>
        <w:ind w:left="624" w:hanging="340"/>
        <w:rPr>
          <w:rFonts w:hint="cs"/>
          <w:rtl/>
          <w:lang w:bidi="ar-SY"/>
        </w:rPr>
      </w:pPr>
      <w:r w:rsidRPr="003F3B94">
        <w:rPr>
          <w:rFonts w:ascii="Abo-thar" w:hAnsi="Abo-thar" w:hint="cs"/>
          <w:sz w:val="28"/>
          <w:rtl/>
          <w:lang w:bidi="ar-SY"/>
        </w:rPr>
        <w:t>5</w:t>
      </w:r>
      <w:r w:rsidR="00217AB4" w:rsidRPr="003F3B94">
        <w:rPr>
          <w:rFonts w:ascii="Abo-thar" w:hAnsi="Abo-thar" w:hint="cs"/>
          <w:sz w:val="28"/>
          <w:rtl/>
          <w:lang w:bidi="ar-SY"/>
        </w:rPr>
        <w:t>-</w:t>
      </w:r>
      <w:r w:rsidRPr="003F3B94">
        <w:rPr>
          <w:rFonts w:ascii="Abo-thar" w:hAnsi="Abo-thar" w:hint="cs"/>
          <w:sz w:val="28"/>
          <w:rtl/>
          <w:lang w:bidi="ar-SY"/>
        </w:rPr>
        <w:t xml:space="preserve"> روح الآية الكريمة تدل على شرف وعلو المُحسن حتى ولو كان دينه باطلاً ودين المُحْسَنُ إليه حقّاً</w:t>
      </w:r>
      <w:r w:rsidR="00217AB4" w:rsidRPr="003F3B94">
        <w:rPr>
          <w:rFonts w:ascii="Abo-thar" w:hAnsi="Abo-thar" w:hint="cs"/>
          <w:sz w:val="28"/>
          <w:rtl/>
          <w:lang w:bidi="ar-SY"/>
        </w:rPr>
        <w:t>،</w:t>
      </w:r>
      <w:r w:rsidRPr="003F3B94">
        <w:rPr>
          <w:rFonts w:ascii="Abo-thar" w:hAnsi="Abo-thar" w:hint="cs"/>
          <w:sz w:val="28"/>
          <w:rtl/>
          <w:lang w:bidi="ar-SY"/>
        </w:rPr>
        <w:t xml:space="preserve"> لأن مقام الإحسان مقام رفيع حتى ولو كان صاحبُهُ كافراً [واليد العليا خير من اليد السفلى]</w:t>
      </w:r>
      <w:r w:rsidR="00217AB4" w:rsidRPr="003F3B94">
        <w:rPr>
          <w:rFonts w:ascii="Abo-thar" w:hAnsi="Abo-thar" w:hint="cs"/>
          <w:sz w:val="28"/>
          <w:rtl/>
          <w:lang w:bidi="ar-SY"/>
        </w:rPr>
        <w:t>.</w:t>
      </w:r>
    </w:p>
    <w:p w:rsidR="005C664D" w:rsidRPr="003F3B94" w:rsidRDefault="005C664D" w:rsidP="00C761A3">
      <w:pPr>
        <w:pStyle w:val="a0"/>
        <w:ind w:left="624" w:hanging="340"/>
        <w:rPr>
          <w:rFonts w:hint="cs"/>
          <w:rtl/>
          <w:lang w:bidi="ar-SY"/>
        </w:rPr>
      </w:pPr>
      <w:r w:rsidRPr="003F3B94">
        <w:rPr>
          <w:rFonts w:ascii="Abo-thar" w:hAnsi="Abo-thar" w:hint="cs"/>
          <w:sz w:val="28"/>
          <w:rtl/>
          <w:lang w:bidi="ar-SY"/>
        </w:rPr>
        <w:t>6</w:t>
      </w:r>
      <w:r w:rsidR="00217AB4" w:rsidRPr="003F3B94">
        <w:rPr>
          <w:rFonts w:ascii="Abo-thar" w:hAnsi="Abo-thar" w:hint="cs"/>
          <w:sz w:val="28"/>
          <w:rtl/>
          <w:lang w:bidi="ar-SY"/>
        </w:rPr>
        <w:t>-</w:t>
      </w:r>
      <w:r w:rsidRPr="003F3B94">
        <w:rPr>
          <w:rFonts w:ascii="Abo-thar" w:hAnsi="Abo-thar" w:hint="cs"/>
          <w:sz w:val="28"/>
          <w:rtl/>
          <w:lang w:bidi="ar-SY"/>
        </w:rPr>
        <w:t xml:space="preserve"> الآية تعلمنا أدب</w:t>
      </w:r>
      <w:r w:rsidR="00147857" w:rsidRPr="003F3B94">
        <w:rPr>
          <w:rFonts w:ascii="Abo-thar" w:hAnsi="Abo-thar" w:hint="cs"/>
          <w:sz w:val="28"/>
          <w:rtl/>
          <w:lang w:bidi="ar-SY"/>
        </w:rPr>
        <w:t xml:space="preserve"> و</w:t>
      </w:r>
      <w:r w:rsidRPr="003F3B94">
        <w:rPr>
          <w:rFonts w:ascii="Abo-thar" w:hAnsi="Abo-thar" w:hint="cs"/>
          <w:sz w:val="28"/>
          <w:rtl/>
          <w:lang w:bidi="ar-SY"/>
        </w:rPr>
        <w:t>تواضع الآخذ تجاه المنفِق عليه وأنه ينبغي عليه احترام المحسن إليه</w:t>
      </w:r>
      <w:r w:rsidR="00217AB4" w:rsidRPr="003F3B94">
        <w:rPr>
          <w:rFonts w:ascii="Abo-thar" w:hAnsi="Abo-thar" w:hint="cs"/>
          <w:sz w:val="28"/>
          <w:rtl/>
          <w:lang w:bidi="ar-SY"/>
        </w:rPr>
        <w:t>.</w:t>
      </w:r>
    </w:p>
    <w:p w:rsidR="005C664D" w:rsidRPr="003F3B94" w:rsidRDefault="005C664D" w:rsidP="00C761A3">
      <w:pPr>
        <w:pStyle w:val="a0"/>
        <w:ind w:left="624" w:hanging="340"/>
        <w:rPr>
          <w:rFonts w:hint="cs"/>
          <w:rtl/>
          <w:lang w:bidi="ar-SY"/>
        </w:rPr>
      </w:pPr>
      <w:r w:rsidRPr="003F3B94">
        <w:rPr>
          <w:rFonts w:ascii="Abo-thar" w:hAnsi="Abo-thar" w:hint="cs"/>
          <w:sz w:val="28"/>
          <w:rtl/>
          <w:lang w:bidi="ar-SY"/>
        </w:rPr>
        <w:t xml:space="preserve">إذا كان الأمر كذلك فكيف كانت الصدقة </w:t>
      </w:r>
      <w:r w:rsidRPr="003F3B94">
        <w:rPr>
          <w:rFonts w:cs="Times New Roman" w:hint="cs"/>
          <w:sz w:val="28"/>
          <w:rtl/>
          <w:lang w:bidi="ar-SY"/>
        </w:rPr>
        <w:t>–</w:t>
      </w:r>
      <w:r w:rsidRPr="003F3B94">
        <w:rPr>
          <w:rFonts w:ascii="Abo-thar" w:hAnsi="Abo-thar" w:hint="cs"/>
          <w:sz w:val="28"/>
          <w:rtl/>
          <w:lang w:bidi="ar-SY"/>
        </w:rPr>
        <w:t xml:space="preserve"> بنص القرآن </w:t>
      </w:r>
      <w:r w:rsidR="00217AB4" w:rsidRPr="003F3B94">
        <w:rPr>
          <w:rFonts w:ascii="Abo-thar" w:hAnsi="Abo-thar" w:hint="cs"/>
          <w:sz w:val="28"/>
          <w:rtl/>
          <w:lang w:bidi="ar-SY"/>
        </w:rPr>
        <w:t>-</w:t>
      </w:r>
      <w:r w:rsidRPr="003F3B94">
        <w:rPr>
          <w:rFonts w:ascii="Abo-thar" w:hAnsi="Abo-thar" w:hint="cs"/>
          <w:sz w:val="28"/>
          <w:rtl/>
          <w:lang w:bidi="ar-SY"/>
        </w:rPr>
        <w:t xml:space="preserve"> حلال على أولاد يعقوب الذين هم أولاد مباشرون ليعقوب بن إسحق بن إبراهيم أبي الموحّدين أي كانوا أولاد أنبياء أبا عن جد</w:t>
      </w:r>
      <w:r w:rsidR="00217AB4" w:rsidRPr="003F3B94">
        <w:rPr>
          <w:rFonts w:ascii="Abo-thar" w:hAnsi="Abo-thar" w:hint="cs"/>
          <w:sz w:val="28"/>
          <w:rtl/>
          <w:lang w:bidi="ar-SY"/>
        </w:rPr>
        <w:t>،</w:t>
      </w:r>
      <w:r w:rsidRPr="003F3B94">
        <w:rPr>
          <w:rFonts w:ascii="Abo-thar" w:hAnsi="Abo-thar" w:hint="cs"/>
          <w:sz w:val="28"/>
          <w:rtl/>
          <w:lang w:bidi="ar-SY"/>
        </w:rPr>
        <w:t xml:space="preserve"> ولكنها حرام على أحفاد الحارث وأبي لهب </w:t>
      </w:r>
      <w:r w:rsidR="00217AB4" w:rsidRPr="003F3B94">
        <w:rPr>
          <w:rFonts w:ascii="Abo-thar" w:hAnsi="Abo-thar" w:hint="cs"/>
          <w:sz w:val="28"/>
          <w:rtl/>
          <w:lang w:bidi="ar-SY"/>
        </w:rPr>
        <w:t>(</w:t>
      </w:r>
      <w:r w:rsidRPr="003F3B94">
        <w:rPr>
          <w:rFonts w:ascii="Abo-thar" w:hAnsi="Abo-thar" w:hint="cs"/>
          <w:sz w:val="28"/>
          <w:rtl/>
          <w:lang w:bidi="ar-SY"/>
        </w:rPr>
        <w:t>عبد العُزَّى</w:t>
      </w:r>
      <w:r w:rsidR="00217AB4" w:rsidRPr="003F3B94">
        <w:rPr>
          <w:rFonts w:ascii="Abo-thar" w:hAnsi="Abo-thar" w:hint="cs"/>
          <w:sz w:val="28"/>
          <w:rtl/>
          <w:lang w:bidi="ar-SY"/>
        </w:rPr>
        <w:t>)</w:t>
      </w:r>
      <w:r w:rsidRPr="003F3B94">
        <w:rPr>
          <w:rFonts w:ascii="Abo-thar" w:hAnsi="Abo-thar" w:hint="cs"/>
          <w:sz w:val="28"/>
          <w:rtl/>
          <w:lang w:bidi="ar-SY"/>
        </w:rPr>
        <w:t xml:space="preserve"> بسبب شرف نسبهم رغم أن آباءهم كانوا عباد أصنام مشركين</w:t>
      </w:r>
      <w:r w:rsidR="00217AB4" w:rsidRPr="003F3B94">
        <w:rPr>
          <w:rFonts w:ascii="Abo-thar" w:hAnsi="Abo-thar" w:hint="cs"/>
          <w:sz w:val="28"/>
          <w:rtl/>
          <w:lang w:bidi="ar-SY"/>
        </w:rPr>
        <w:t>،</w:t>
      </w:r>
      <w:r w:rsidR="00147857" w:rsidRPr="003F3B94">
        <w:rPr>
          <w:rFonts w:ascii="Abo-thar" w:hAnsi="Abo-thar" w:hint="cs"/>
          <w:sz w:val="28"/>
          <w:rtl/>
          <w:lang w:bidi="ar-SY"/>
        </w:rPr>
        <w:t xml:space="preserve"> و</w:t>
      </w:r>
      <w:r w:rsidRPr="003F3B94">
        <w:rPr>
          <w:rFonts w:ascii="Abo-thar" w:hAnsi="Abo-thar" w:hint="cs"/>
          <w:sz w:val="28"/>
          <w:rtl/>
          <w:lang w:bidi="ar-SY"/>
        </w:rPr>
        <w:t>وجب لأجل ذلك أن يعطوا من ذلك الخمس الذي يقولون به</w:t>
      </w:r>
      <w:r w:rsidR="00217AB4" w:rsidRPr="003F3B94">
        <w:rPr>
          <w:rFonts w:ascii="Abo-thar" w:hAnsi="Abo-thar" w:hint="cs"/>
          <w:sz w:val="28"/>
          <w:rtl/>
          <w:lang w:bidi="ar-SY"/>
        </w:rPr>
        <w:t>؟!</w:t>
      </w:r>
      <w:r w:rsidR="00147857" w:rsidRPr="003F3B94">
        <w:rPr>
          <w:rFonts w:ascii="Abo-thar" w:hAnsi="Abo-thar" w:hint="cs"/>
          <w:sz w:val="28"/>
          <w:rtl/>
          <w:lang w:bidi="ar-SY"/>
        </w:rPr>
        <w:t xml:space="preserve"> </w:t>
      </w:r>
      <w:r w:rsidRPr="003F3B94">
        <w:rPr>
          <w:rFonts w:ascii="Abo-thar" w:hAnsi="Abo-thar" w:hint="cs"/>
          <w:sz w:val="28"/>
          <w:rtl/>
          <w:lang w:bidi="ar-SY"/>
        </w:rPr>
        <w:t>إن هذا التمييز أيا كان صاحبه مخالفٌ للعقل والوجدان ولشريعة القرآن الحقَّة ولا علاقة له بالنبيّ والأئمّة</w:t>
      </w:r>
      <w:r w:rsidR="00217AB4" w:rsidRPr="003F3B94">
        <w:rPr>
          <w:rFonts w:ascii="Abo-thar" w:hAnsi="Abo-thar" w:hint="cs"/>
          <w:sz w:val="28"/>
          <w:rtl/>
          <w:lang w:bidi="ar-SY"/>
        </w:rPr>
        <w:t>.</w:t>
      </w:r>
      <w:r w:rsidRPr="003F3B94">
        <w:rPr>
          <w:rFonts w:ascii="Abo-thar" w:hAnsi="Abo-thar" w:hint="cs"/>
          <w:sz w:val="28"/>
          <w:rtl/>
          <w:lang w:bidi="ar-SY"/>
        </w:rPr>
        <w:t xml:space="preserve"> والواقع أننا إذا دققنا النظر في</w:t>
      </w:r>
      <w:r w:rsidR="00147857" w:rsidRPr="003F3B94">
        <w:rPr>
          <w:rFonts w:ascii="Abo-thar" w:hAnsi="Abo-thar" w:hint="cs"/>
          <w:sz w:val="28"/>
          <w:rtl/>
          <w:lang w:bidi="ar-SY"/>
        </w:rPr>
        <w:t xml:space="preserve"> </w:t>
      </w:r>
      <w:r w:rsidRPr="003F3B94">
        <w:rPr>
          <w:rFonts w:ascii="Abo-thar" w:hAnsi="Abo-thar" w:hint="cs"/>
          <w:sz w:val="28"/>
          <w:rtl/>
          <w:lang w:bidi="ar-SY"/>
        </w:rPr>
        <w:t>قضية حرمة الصدقة على آل محمد</w:t>
      </w:r>
      <w:r w:rsidR="00147857" w:rsidRPr="003F3B94">
        <w:rPr>
          <w:rFonts w:ascii="Abo-thar" w:hAnsi="Abo-thar" w:hint="cs"/>
          <w:sz w:val="28"/>
          <w:rtl/>
          <w:lang w:bidi="ar-SY"/>
        </w:rPr>
        <w:t xml:space="preserve"> </w:t>
      </w:r>
      <w:r w:rsidR="003C7AEB" w:rsidRPr="003C7AEB">
        <w:rPr>
          <w:rFonts w:ascii="Abo-thar" w:hAnsi="Abo-thar" w:cs="CTraditional Arabic"/>
          <w:sz w:val="28"/>
          <w:rtl/>
          <w:lang w:bidi="ar-SY"/>
        </w:rPr>
        <w:t>ص</w:t>
      </w:r>
      <w:r w:rsidR="00147857" w:rsidRPr="003F3B94">
        <w:rPr>
          <w:rFonts w:ascii="Abo-thar" w:hAnsi="Abo-thar"/>
          <w:sz w:val="28"/>
          <w:rtl/>
          <w:lang w:bidi="ar-SY"/>
        </w:rPr>
        <w:t xml:space="preserve"> </w:t>
      </w:r>
      <w:r w:rsidRPr="003F3B94">
        <w:rPr>
          <w:rFonts w:ascii="Abo-thar" w:hAnsi="Abo-thar" w:hint="cs"/>
          <w:sz w:val="28"/>
          <w:rtl/>
          <w:lang w:bidi="ar-SY"/>
        </w:rPr>
        <w:t>التي اشتهرت استناداً إلى بعض الأحاديث الضعيفة وبحثنا حقيقتها في كتب الأخبار والسيرة لوجدنا أن المسألة ليست على ذلك النحو الذي اشتهر</w:t>
      </w:r>
      <w:r w:rsidR="00217AB4" w:rsidRPr="003F3B94">
        <w:rPr>
          <w:rFonts w:ascii="Abo-thar" w:hAnsi="Abo-thar" w:hint="cs"/>
          <w:sz w:val="28"/>
          <w:rtl/>
          <w:lang w:bidi="ar-SY"/>
        </w:rPr>
        <w:t>،</w:t>
      </w:r>
      <w:r w:rsidRPr="003F3B94">
        <w:rPr>
          <w:rFonts w:ascii="Abo-thar" w:hAnsi="Abo-thar" w:hint="cs"/>
          <w:sz w:val="28"/>
          <w:rtl/>
          <w:lang w:bidi="ar-SY"/>
        </w:rPr>
        <w:t xml:space="preserve"> بل حقيقة القضية أنه في بدء تشريع فريضة الزكاة</w:t>
      </w:r>
      <w:r w:rsidR="00217AB4" w:rsidRPr="003F3B94">
        <w:rPr>
          <w:rFonts w:ascii="Abo-thar" w:hAnsi="Abo-thar" w:hint="cs"/>
          <w:sz w:val="28"/>
          <w:rtl/>
          <w:lang w:bidi="ar-SY"/>
        </w:rPr>
        <w:t>،</w:t>
      </w:r>
      <w:r w:rsidRPr="003F3B94">
        <w:rPr>
          <w:rFonts w:ascii="Abo-thar" w:hAnsi="Abo-thar" w:hint="cs"/>
          <w:sz w:val="28"/>
          <w:rtl/>
          <w:lang w:bidi="ar-SY"/>
        </w:rPr>
        <w:t xml:space="preserve"> لما كان دفع الزكاة أمراً ثقيلاً في البداية على المسلمين الجدد </w:t>
      </w:r>
      <w:r w:rsidR="00217AB4" w:rsidRPr="003F3B94">
        <w:rPr>
          <w:rFonts w:ascii="Abo-thar" w:hAnsi="Abo-thar" w:hint="cs"/>
          <w:sz w:val="28"/>
          <w:rtl/>
          <w:lang w:bidi="ar-SY"/>
        </w:rPr>
        <w:t>(</w:t>
      </w:r>
      <w:r w:rsidRPr="003F3B94">
        <w:rPr>
          <w:rFonts w:ascii="Abo-thar" w:hAnsi="Abo-thar" w:hint="cs"/>
          <w:sz w:val="28"/>
          <w:rtl/>
          <w:lang w:bidi="ar-SY"/>
        </w:rPr>
        <w:t>كما بينا الدلائل على كراهتهم لذلك في كتابنا الزكاة</w:t>
      </w:r>
      <w:r w:rsidR="00217AB4" w:rsidRPr="003F3B94">
        <w:rPr>
          <w:rFonts w:ascii="Abo-thar" w:hAnsi="Abo-thar" w:hint="cs"/>
          <w:sz w:val="28"/>
          <w:rtl/>
          <w:lang w:bidi="ar-SY"/>
        </w:rPr>
        <w:t>)</w:t>
      </w:r>
      <w:r w:rsidRPr="003F3B94">
        <w:rPr>
          <w:rFonts w:ascii="Abo-thar" w:hAnsi="Abo-thar" w:hint="cs"/>
          <w:sz w:val="28"/>
          <w:rtl/>
          <w:lang w:bidi="ar-SY"/>
        </w:rPr>
        <w:t xml:space="preserve"> مما جعل بعض حديثي العهد بالإسلام يحاول الخيانة في هذا المجال بإخفاء أمواله التي كانت تتألف عادة في ذلك الزمن من إبل وبقر</w:t>
      </w:r>
      <w:r w:rsidR="00147857" w:rsidRPr="003F3B94">
        <w:rPr>
          <w:rFonts w:ascii="Abo-thar" w:hAnsi="Abo-thar" w:hint="cs"/>
          <w:sz w:val="28"/>
          <w:rtl/>
          <w:lang w:bidi="ar-SY"/>
        </w:rPr>
        <w:t xml:space="preserve"> و</w:t>
      </w:r>
      <w:r w:rsidRPr="003F3B94">
        <w:rPr>
          <w:rFonts w:ascii="Abo-thar" w:hAnsi="Abo-thar" w:hint="cs"/>
          <w:sz w:val="28"/>
          <w:rtl/>
          <w:lang w:bidi="ar-SY"/>
        </w:rPr>
        <w:t>شياه أو أحياناً من أموال نقدية من ذهب وفضة لكي لا يدفع ما يستحق عليه لعامل الصدقات المرسل إليهم من قِبَل رسول الله</w:t>
      </w:r>
      <w:r w:rsidR="00147857" w:rsidRPr="003F3B94">
        <w:rPr>
          <w:rFonts w:ascii="Abo-thar" w:hAnsi="Abo-thar" w:hint="cs"/>
          <w:sz w:val="28"/>
          <w:rtl/>
          <w:lang w:bidi="ar-SY"/>
        </w:rPr>
        <w:t xml:space="preserve"> </w:t>
      </w:r>
      <w:r w:rsidR="003C7AEB" w:rsidRPr="003C7AEB">
        <w:rPr>
          <w:rFonts w:ascii="Abo-thar" w:hAnsi="Abo-thar" w:cs="CTraditional Arabic"/>
          <w:sz w:val="28"/>
          <w:rtl/>
          <w:lang w:bidi="ar-SY"/>
        </w:rPr>
        <w:t>ص</w:t>
      </w:r>
      <w:r w:rsidR="00217AB4" w:rsidRPr="003F3B94">
        <w:rPr>
          <w:rFonts w:ascii="Abo-thar" w:hAnsi="Abo-thar"/>
          <w:sz w:val="28"/>
          <w:rtl/>
          <w:lang w:bidi="ar-SY"/>
        </w:rPr>
        <w:t>،</w:t>
      </w:r>
      <w:r w:rsidRPr="003F3B94">
        <w:rPr>
          <w:rFonts w:ascii="Abo-thar" w:hAnsi="Abo-thar" w:hint="cs"/>
          <w:sz w:val="28"/>
          <w:rtl/>
          <w:lang w:bidi="ar-SY"/>
        </w:rPr>
        <w:t xml:space="preserve"> فأمر رسول الله أن يتم أخذ شطر أموال هؤلاء الخائنين إضافة إلى أخذ مال الزكاة منهم كغرامة مالية وعقاب على ما قاموا به من خيانة بشأن الزكاة</w:t>
      </w:r>
      <w:r w:rsidR="00217AB4" w:rsidRPr="003F3B94">
        <w:rPr>
          <w:rFonts w:ascii="Abo-thar" w:hAnsi="Abo-thar" w:hint="cs"/>
          <w:sz w:val="28"/>
          <w:rtl/>
          <w:lang w:bidi="ar-SY"/>
        </w:rPr>
        <w:t>،</w:t>
      </w:r>
      <w:r w:rsidRPr="003F3B94">
        <w:rPr>
          <w:rFonts w:ascii="Abo-thar" w:hAnsi="Abo-thar" w:hint="cs"/>
          <w:sz w:val="28"/>
          <w:rtl/>
          <w:lang w:bidi="ar-SY"/>
        </w:rPr>
        <w:t xml:space="preserve"> وعندئذٍ حَرَّمَ رسول الله</w:t>
      </w:r>
      <w:r w:rsidR="00147857" w:rsidRPr="003F3B94">
        <w:rPr>
          <w:rFonts w:ascii="Abo-thar" w:hAnsi="Abo-thar" w:hint="cs"/>
          <w:sz w:val="28"/>
          <w:rtl/>
          <w:lang w:bidi="ar-SY"/>
        </w:rPr>
        <w:t xml:space="preserve"> </w:t>
      </w:r>
      <w:r w:rsidR="003C7AEB" w:rsidRPr="003C7AEB">
        <w:rPr>
          <w:rFonts w:ascii="Abo-thar" w:hAnsi="Abo-thar" w:cs="CTraditional Arabic"/>
          <w:sz w:val="28"/>
          <w:rtl/>
          <w:lang w:bidi="ar-SY"/>
        </w:rPr>
        <w:t>ص</w:t>
      </w:r>
      <w:r w:rsidR="00147857" w:rsidRPr="003F3B94">
        <w:rPr>
          <w:rFonts w:ascii="Abo-thar" w:hAnsi="Abo-thar"/>
          <w:sz w:val="28"/>
          <w:rtl/>
          <w:lang w:bidi="ar-SY"/>
        </w:rPr>
        <w:t xml:space="preserve"> </w:t>
      </w:r>
      <w:r w:rsidRPr="003F3B94">
        <w:rPr>
          <w:rFonts w:ascii="Abo-thar" w:hAnsi="Abo-thar" w:hint="cs"/>
          <w:sz w:val="28"/>
          <w:rtl/>
          <w:lang w:bidi="ar-SY"/>
        </w:rPr>
        <w:t>الاستفادة من هذه الغرامة المالية على محمد وآل محمد</w:t>
      </w:r>
      <w:r w:rsidR="00147857" w:rsidRPr="003F3B94">
        <w:rPr>
          <w:rFonts w:ascii="Abo-thar" w:hAnsi="Abo-thar" w:hint="cs"/>
          <w:sz w:val="28"/>
          <w:rtl/>
          <w:lang w:bidi="ar-SY"/>
        </w:rPr>
        <w:t xml:space="preserve"> </w:t>
      </w:r>
      <w:r w:rsidR="003C7AEB" w:rsidRPr="003C7AEB">
        <w:rPr>
          <w:rFonts w:ascii="Abo-thar" w:hAnsi="Abo-thar" w:cs="CTraditional Arabic"/>
          <w:sz w:val="28"/>
          <w:rtl/>
          <w:lang w:bidi="ar-SY"/>
        </w:rPr>
        <w:t>ص</w:t>
      </w:r>
      <w:r w:rsidR="00147857" w:rsidRPr="003F3B94">
        <w:rPr>
          <w:rFonts w:ascii="Abo-thar" w:hAnsi="Abo-thar"/>
          <w:sz w:val="28"/>
          <w:rtl/>
          <w:lang w:bidi="ar-SY"/>
        </w:rPr>
        <w:t xml:space="preserve"> </w:t>
      </w:r>
      <w:r w:rsidRPr="003F3B94">
        <w:rPr>
          <w:rFonts w:ascii="Abo-thar" w:hAnsi="Abo-thar" w:hint="cs"/>
          <w:sz w:val="28"/>
          <w:rtl/>
          <w:lang w:bidi="ar-SY"/>
        </w:rPr>
        <w:t>فلم يكن يعطهم منها</w:t>
      </w:r>
      <w:r w:rsidR="00217AB4" w:rsidRPr="003F3B94">
        <w:rPr>
          <w:rFonts w:ascii="Abo-thar" w:hAnsi="Abo-thar" w:hint="cs"/>
          <w:sz w:val="28"/>
          <w:rtl/>
          <w:lang w:bidi="ar-SY"/>
        </w:rPr>
        <w:t>،</w:t>
      </w:r>
      <w:r w:rsidRPr="003F3B94">
        <w:rPr>
          <w:rFonts w:ascii="Abo-thar" w:hAnsi="Abo-thar" w:hint="cs"/>
          <w:sz w:val="28"/>
          <w:rtl/>
          <w:lang w:bidi="ar-SY"/>
        </w:rPr>
        <w:t xml:space="preserve"> ولكن أخذ هذه الغرامة نُسِخَ فيما بعد</w:t>
      </w:r>
      <w:r w:rsidR="00217AB4" w:rsidRPr="003F3B94">
        <w:rPr>
          <w:rFonts w:ascii="Abo-thar" w:hAnsi="Abo-thar" w:hint="cs"/>
          <w:sz w:val="28"/>
          <w:rtl/>
          <w:lang w:bidi="ar-SY"/>
        </w:rPr>
        <w:t>،</w:t>
      </w:r>
      <w:r w:rsidRPr="003F3B94">
        <w:rPr>
          <w:rFonts w:ascii="Abo-thar" w:hAnsi="Abo-thar" w:hint="cs"/>
          <w:sz w:val="28"/>
          <w:rtl/>
          <w:lang w:bidi="ar-SY"/>
        </w:rPr>
        <w:t xml:space="preserve"> كما نجد ذلك واضحاً فيما رواه البيهقيُّ في السنن الكبرى</w:t>
      </w:r>
      <w:r w:rsidR="00217AB4" w:rsidRPr="003F3B94">
        <w:rPr>
          <w:rFonts w:ascii="Abo-thar" w:hAnsi="Abo-thar" w:hint="cs"/>
          <w:sz w:val="28"/>
          <w:rtl/>
          <w:lang w:bidi="ar-SY"/>
        </w:rPr>
        <w:t>:</w:t>
      </w:r>
      <w:r w:rsidR="00147857" w:rsidRPr="003F3B94">
        <w:rPr>
          <w:rFonts w:ascii="Abo-thar" w:hAnsi="Abo-thar" w:hint="cs"/>
          <w:sz w:val="28"/>
          <w:rtl/>
          <w:lang w:bidi="ar-SY"/>
        </w:rPr>
        <w:t xml:space="preserve"> </w:t>
      </w:r>
      <w:r w:rsidR="00EF2588" w:rsidRPr="004A3642">
        <w:rPr>
          <w:rFonts w:ascii="Abo-thar" w:hAnsi="Abo-thar" w:cs="KFGQPC Uthman Taha Naskh" w:hint="cs"/>
          <w:sz w:val="28"/>
          <w:rtl/>
          <w:lang w:bidi="ar-SY"/>
        </w:rPr>
        <w:t>«</w:t>
      </w:r>
      <w:r w:rsidRPr="004A3642">
        <w:rPr>
          <w:rFonts w:ascii="Abo-thar" w:hAnsi="Abo-thar" w:cs="KFGQPC Uthman Taha Naskh" w:hint="eastAsia"/>
          <w:sz w:val="28"/>
          <w:rtl/>
          <w:lang w:bidi="ar-SY"/>
        </w:rPr>
        <w:t>عَنْ</w:t>
      </w:r>
      <w:r w:rsidRPr="004A3642">
        <w:rPr>
          <w:rFonts w:ascii="Abo-thar" w:hAnsi="Abo-thar" w:cs="KFGQPC Uthman Taha Naskh"/>
          <w:sz w:val="28"/>
          <w:rtl/>
          <w:lang w:bidi="ar-SY"/>
        </w:rPr>
        <w:t xml:space="preserve"> </w:t>
      </w:r>
      <w:r w:rsidRPr="004A3642">
        <w:rPr>
          <w:rFonts w:ascii="Abo-thar" w:hAnsi="Abo-thar" w:cs="KFGQPC Uthman Taha Naskh" w:hint="eastAsia"/>
          <w:sz w:val="28"/>
          <w:rtl/>
          <w:lang w:bidi="ar-SY"/>
        </w:rPr>
        <w:t>بَهْزِ</w:t>
      </w:r>
      <w:r w:rsidRPr="004A3642">
        <w:rPr>
          <w:rFonts w:ascii="Abo-thar" w:hAnsi="Abo-thar" w:cs="KFGQPC Uthman Taha Naskh"/>
          <w:sz w:val="28"/>
          <w:rtl/>
          <w:lang w:bidi="ar-SY"/>
        </w:rPr>
        <w:t xml:space="preserve"> </w:t>
      </w:r>
      <w:r w:rsidRPr="004A3642">
        <w:rPr>
          <w:rFonts w:ascii="Abo-thar" w:hAnsi="Abo-thar" w:cs="KFGQPC Uthman Taha Naskh" w:hint="eastAsia"/>
          <w:sz w:val="28"/>
          <w:rtl/>
          <w:lang w:bidi="ar-SY"/>
        </w:rPr>
        <w:t>بْنِ</w:t>
      </w:r>
      <w:r w:rsidRPr="004A3642">
        <w:rPr>
          <w:rFonts w:ascii="Abo-thar" w:hAnsi="Abo-thar" w:cs="KFGQPC Uthman Taha Naskh"/>
          <w:sz w:val="28"/>
          <w:rtl/>
          <w:lang w:bidi="ar-SY"/>
        </w:rPr>
        <w:t xml:space="preserve"> </w:t>
      </w:r>
      <w:r w:rsidRPr="004A3642">
        <w:rPr>
          <w:rFonts w:ascii="Abo-thar" w:hAnsi="Abo-thar" w:cs="KFGQPC Uthman Taha Naskh" w:hint="eastAsia"/>
          <w:sz w:val="28"/>
          <w:rtl/>
          <w:lang w:bidi="ar-SY"/>
        </w:rPr>
        <w:t>حَكِيمِ</w:t>
      </w:r>
      <w:r w:rsidRPr="004A3642">
        <w:rPr>
          <w:rFonts w:ascii="Abo-thar" w:hAnsi="Abo-thar" w:cs="KFGQPC Uthman Taha Naskh"/>
          <w:sz w:val="28"/>
          <w:rtl/>
          <w:lang w:bidi="ar-SY"/>
        </w:rPr>
        <w:t xml:space="preserve"> </w:t>
      </w:r>
      <w:r w:rsidRPr="004A3642">
        <w:rPr>
          <w:rFonts w:ascii="Abo-thar" w:hAnsi="Abo-thar" w:cs="KFGQPC Uthman Taha Naskh" w:hint="eastAsia"/>
          <w:sz w:val="28"/>
          <w:rtl/>
          <w:lang w:bidi="ar-SY"/>
        </w:rPr>
        <w:t>بْنِ</w:t>
      </w:r>
      <w:r w:rsidRPr="004A3642">
        <w:rPr>
          <w:rFonts w:ascii="Abo-thar" w:hAnsi="Abo-thar" w:cs="KFGQPC Uthman Taha Naskh"/>
          <w:sz w:val="28"/>
          <w:rtl/>
          <w:lang w:bidi="ar-SY"/>
        </w:rPr>
        <w:t xml:space="preserve"> </w:t>
      </w:r>
      <w:r w:rsidRPr="004A3642">
        <w:rPr>
          <w:rFonts w:ascii="Abo-thar" w:hAnsi="Abo-thar" w:cs="KFGQPC Uthman Taha Naskh" w:hint="eastAsia"/>
          <w:sz w:val="28"/>
          <w:rtl/>
          <w:lang w:bidi="ar-SY"/>
        </w:rPr>
        <w:t>مُعَاوِيَةَ</w:t>
      </w:r>
      <w:r w:rsidRPr="004A3642">
        <w:rPr>
          <w:rFonts w:ascii="Abo-thar" w:hAnsi="Abo-thar" w:cs="KFGQPC Uthman Taha Naskh"/>
          <w:sz w:val="28"/>
          <w:rtl/>
          <w:lang w:bidi="ar-SY"/>
        </w:rPr>
        <w:t xml:space="preserve"> </w:t>
      </w:r>
      <w:r w:rsidRPr="004A3642">
        <w:rPr>
          <w:rFonts w:ascii="Abo-thar" w:hAnsi="Abo-thar" w:cs="KFGQPC Uthman Taha Naskh" w:hint="eastAsia"/>
          <w:sz w:val="28"/>
          <w:rtl/>
          <w:lang w:bidi="ar-SY"/>
        </w:rPr>
        <w:t>عَنْ</w:t>
      </w:r>
      <w:r w:rsidRPr="004A3642">
        <w:rPr>
          <w:rFonts w:ascii="Abo-thar" w:hAnsi="Abo-thar" w:cs="KFGQPC Uthman Taha Naskh"/>
          <w:sz w:val="28"/>
          <w:rtl/>
          <w:lang w:bidi="ar-SY"/>
        </w:rPr>
        <w:t xml:space="preserve"> </w:t>
      </w:r>
      <w:r w:rsidRPr="004A3642">
        <w:rPr>
          <w:rFonts w:ascii="Abo-thar" w:hAnsi="Abo-thar" w:cs="KFGQPC Uthman Taha Naskh" w:hint="eastAsia"/>
          <w:sz w:val="28"/>
          <w:rtl/>
          <w:lang w:bidi="ar-SY"/>
        </w:rPr>
        <w:t>أَبِيهِ</w:t>
      </w:r>
      <w:r w:rsidRPr="004A3642">
        <w:rPr>
          <w:rFonts w:ascii="Abo-thar" w:hAnsi="Abo-thar" w:cs="KFGQPC Uthman Taha Naskh"/>
          <w:sz w:val="28"/>
          <w:rtl/>
          <w:lang w:bidi="ar-SY"/>
        </w:rPr>
        <w:t xml:space="preserve"> </w:t>
      </w:r>
      <w:r w:rsidRPr="004A3642">
        <w:rPr>
          <w:rFonts w:ascii="Abo-thar" w:hAnsi="Abo-thar" w:cs="KFGQPC Uthman Taha Naskh" w:hint="eastAsia"/>
          <w:sz w:val="28"/>
          <w:rtl/>
          <w:lang w:bidi="ar-SY"/>
        </w:rPr>
        <w:t>عَنْ</w:t>
      </w:r>
      <w:r w:rsidRPr="004A3642">
        <w:rPr>
          <w:rFonts w:ascii="Abo-thar" w:hAnsi="Abo-thar" w:cs="KFGQPC Uthman Taha Naskh"/>
          <w:sz w:val="28"/>
          <w:rtl/>
          <w:lang w:bidi="ar-SY"/>
        </w:rPr>
        <w:t xml:space="preserve"> </w:t>
      </w:r>
      <w:r w:rsidRPr="004A3642">
        <w:rPr>
          <w:rFonts w:ascii="Abo-thar" w:hAnsi="Abo-thar" w:cs="KFGQPC Uthman Taha Naskh" w:hint="eastAsia"/>
          <w:sz w:val="28"/>
          <w:rtl/>
          <w:lang w:bidi="ar-SY"/>
        </w:rPr>
        <w:t>جَدِّهِ</w:t>
      </w:r>
      <w:r w:rsidRPr="004A3642">
        <w:rPr>
          <w:rFonts w:ascii="Abo-thar" w:hAnsi="Abo-thar" w:cs="KFGQPC Uthman Taha Naskh"/>
          <w:sz w:val="28"/>
          <w:rtl/>
          <w:lang w:bidi="ar-SY"/>
        </w:rPr>
        <w:t xml:space="preserve"> </w:t>
      </w:r>
      <w:r w:rsidRPr="004A3642">
        <w:rPr>
          <w:rFonts w:ascii="Abo-thar" w:hAnsi="Abo-thar" w:cs="KFGQPC Uthman Taha Naskh" w:hint="eastAsia"/>
          <w:sz w:val="28"/>
          <w:rtl/>
          <w:lang w:bidi="ar-SY"/>
        </w:rPr>
        <w:t>قَالَ</w:t>
      </w:r>
      <w:r w:rsidRPr="004A3642">
        <w:rPr>
          <w:rFonts w:ascii="Abo-thar" w:hAnsi="Abo-thar" w:cs="KFGQPC Uthman Taha Naskh"/>
          <w:sz w:val="28"/>
          <w:rtl/>
          <w:lang w:bidi="ar-SY"/>
        </w:rPr>
        <w:t xml:space="preserve"> </w:t>
      </w:r>
      <w:r w:rsidRPr="004A3642">
        <w:rPr>
          <w:rFonts w:ascii="Abo-thar" w:hAnsi="Abo-thar" w:cs="KFGQPC Uthman Taha Naskh" w:hint="eastAsia"/>
          <w:sz w:val="28"/>
          <w:rtl/>
          <w:lang w:bidi="ar-SY"/>
        </w:rPr>
        <w:t>سَمِعْتُ</w:t>
      </w:r>
      <w:r w:rsidRPr="004A3642">
        <w:rPr>
          <w:rFonts w:ascii="Abo-thar" w:hAnsi="Abo-thar" w:cs="KFGQPC Uthman Taha Naskh"/>
          <w:sz w:val="28"/>
          <w:rtl/>
          <w:lang w:bidi="ar-SY"/>
        </w:rPr>
        <w:t xml:space="preserve"> </w:t>
      </w:r>
      <w:r w:rsidRPr="004A3642">
        <w:rPr>
          <w:rFonts w:ascii="Abo-thar" w:hAnsi="Abo-thar" w:cs="KFGQPC Uthman Taha Naskh" w:hint="eastAsia"/>
          <w:sz w:val="28"/>
          <w:rtl/>
          <w:lang w:bidi="ar-SY"/>
        </w:rPr>
        <w:t>رَسُولَ</w:t>
      </w:r>
      <w:r w:rsidRPr="004A3642">
        <w:rPr>
          <w:rFonts w:ascii="Abo-thar" w:hAnsi="Abo-thar" w:cs="KFGQPC Uthman Taha Naskh"/>
          <w:sz w:val="28"/>
          <w:rtl/>
          <w:lang w:bidi="ar-SY"/>
        </w:rPr>
        <w:t xml:space="preserve"> </w:t>
      </w:r>
      <w:r w:rsidRPr="004A3642">
        <w:rPr>
          <w:rFonts w:ascii="Abo-thar" w:hAnsi="Abo-thar" w:cs="KFGQPC Uthman Taha Naskh" w:hint="eastAsia"/>
          <w:sz w:val="28"/>
          <w:rtl/>
          <w:lang w:bidi="ar-SY"/>
        </w:rPr>
        <w:t>اللهِ</w:t>
      </w:r>
      <w:r w:rsidRPr="004A3642">
        <w:rPr>
          <w:rFonts w:ascii="Abo-thar" w:hAnsi="Abo-thar" w:cs="KFGQPC Uthman Taha Naskh"/>
          <w:sz w:val="28"/>
          <w:rtl/>
          <w:lang w:bidi="ar-SY"/>
        </w:rPr>
        <w:t xml:space="preserve"> </w:t>
      </w:r>
      <w:r w:rsidR="00217AB4" w:rsidRPr="004A3642">
        <w:rPr>
          <w:rFonts w:ascii="Abo-thar" w:hAnsi="Abo-thar" w:cs="KFGQPC Uthman Taha Naskh"/>
          <w:sz w:val="28"/>
          <w:rtl/>
          <w:lang w:bidi="ar-SY"/>
        </w:rPr>
        <w:t>-</w:t>
      </w:r>
      <w:r w:rsidR="00BC4BA9" w:rsidRPr="00BC4BA9">
        <w:rPr>
          <w:rFonts w:ascii="Abo-thar" w:hAnsi="Abo-thar" w:cs="CTraditional Arabic" w:hint="eastAsia"/>
          <w:sz w:val="28"/>
          <w:rtl/>
          <w:lang w:bidi="ar-SY"/>
        </w:rPr>
        <w:t>ص</w:t>
      </w:r>
      <w:r w:rsidR="00217AB4" w:rsidRPr="004A3642">
        <w:rPr>
          <w:rFonts w:ascii="Abo-thar" w:hAnsi="Abo-thar" w:cs="KFGQPC Uthman Taha Naskh"/>
          <w:sz w:val="28"/>
          <w:rtl/>
          <w:lang w:bidi="ar-SY"/>
        </w:rPr>
        <w:t>-</w:t>
      </w:r>
      <w:r w:rsidRPr="004A3642">
        <w:rPr>
          <w:rFonts w:ascii="Abo-thar" w:hAnsi="Abo-thar" w:cs="KFGQPC Uthman Taha Naskh"/>
          <w:sz w:val="28"/>
          <w:rtl/>
          <w:lang w:bidi="ar-SY"/>
        </w:rPr>
        <w:t xml:space="preserve"> </w:t>
      </w:r>
      <w:r w:rsidRPr="004A3642">
        <w:rPr>
          <w:rFonts w:ascii="Abo-thar" w:hAnsi="Abo-thar" w:cs="KFGQPC Uthman Taha Naskh" w:hint="eastAsia"/>
          <w:sz w:val="28"/>
          <w:rtl/>
          <w:lang w:bidi="ar-SY"/>
        </w:rPr>
        <w:t>يَقُولُ</w:t>
      </w:r>
      <w:r w:rsidR="00217AB4" w:rsidRPr="004A3642">
        <w:rPr>
          <w:rFonts w:ascii="Abo-thar" w:hAnsi="Abo-thar" w:cs="KFGQPC Uthman Taha Naskh"/>
          <w:sz w:val="28"/>
          <w:rtl/>
          <w:lang w:bidi="ar-SY"/>
        </w:rPr>
        <w:t>:</w:t>
      </w:r>
      <w:r w:rsidR="00191B46">
        <w:rPr>
          <w:rFonts w:ascii="Abo-thar" w:hAnsi="Abo-thar" w:cs="KFGQPC Uthman Taha Naskh" w:hint="cs"/>
          <w:sz w:val="28"/>
          <w:rtl/>
          <w:lang w:bidi="ar-SY"/>
        </w:rPr>
        <w:t xml:space="preserve"> </w:t>
      </w:r>
      <w:r w:rsidR="00147857" w:rsidRPr="004A3642">
        <w:rPr>
          <w:rFonts w:ascii="Abo-thar" w:hAnsi="Abo-thar" w:cs="KFGQPC Uthman Taha Naskh" w:hint="eastAsia"/>
          <w:sz w:val="28"/>
          <w:rtl/>
          <w:lang w:bidi="ar-SY"/>
        </w:rPr>
        <w:t>«</w:t>
      </w:r>
      <w:r w:rsidRPr="004A3642">
        <w:rPr>
          <w:rFonts w:ascii="Abo-thar" w:hAnsi="Abo-thar" w:cs="KFGQPC Uthman Taha Naskh" w:hint="eastAsia"/>
          <w:b/>
          <w:bCs/>
          <w:sz w:val="28"/>
          <w:rtl/>
          <w:lang w:bidi="ar-SY"/>
        </w:rPr>
        <w:t>فِى</w:t>
      </w:r>
      <w:r w:rsidRPr="004A3642">
        <w:rPr>
          <w:rFonts w:ascii="Abo-thar" w:hAnsi="Abo-thar" w:cs="KFGQPC Uthman Taha Naskh"/>
          <w:b/>
          <w:bCs/>
          <w:sz w:val="28"/>
          <w:rtl/>
          <w:lang w:bidi="ar-SY"/>
        </w:rPr>
        <w:t xml:space="preserve"> </w:t>
      </w:r>
      <w:r w:rsidRPr="004A3642">
        <w:rPr>
          <w:rFonts w:ascii="Abo-thar" w:hAnsi="Abo-thar" w:cs="KFGQPC Uthman Taha Naskh" w:hint="eastAsia"/>
          <w:b/>
          <w:bCs/>
          <w:sz w:val="28"/>
          <w:rtl/>
          <w:lang w:bidi="ar-SY"/>
        </w:rPr>
        <w:t>كُلِّ</w:t>
      </w:r>
      <w:r w:rsidRPr="004A3642">
        <w:rPr>
          <w:rFonts w:ascii="Abo-thar" w:hAnsi="Abo-thar" w:cs="KFGQPC Uthman Taha Naskh"/>
          <w:b/>
          <w:bCs/>
          <w:sz w:val="28"/>
          <w:rtl/>
          <w:lang w:bidi="ar-SY"/>
        </w:rPr>
        <w:t xml:space="preserve"> </w:t>
      </w:r>
      <w:r w:rsidRPr="004A3642">
        <w:rPr>
          <w:rFonts w:ascii="Abo-thar" w:hAnsi="Abo-thar" w:cs="KFGQPC Uthman Taha Naskh" w:hint="eastAsia"/>
          <w:b/>
          <w:bCs/>
          <w:sz w:val="28"/>
          <w:rtl/>
          <w:lang w:bidi="ar-SY"/>
        </w:rPr>
        <w:t>أَرْبَعِينَ</w:t>
      </w:r>
      <w:r w:rsidRPr="004A3642">
        <w:rPr>
          <w:rFonts w:ascii="Abo-thar" w:hAnsi="Abo-thar" w:cs="KFGQPC Uthman Taha Naskh"/>
          <w:b/>
          <w:bCs/>
          <w:sz w:val="28"/>
          <w:rtl/>
          <w:lang w:bidi="ar-SY"/>
        </w:rPr>
        <w:t xml:space="preserve"> </w:t>
      </w:r>
      <w:r w:rsidRPr="004A3642">
        <w:rPr>
          <w:rFonts w:ascii="Abo-thar" w:hAnsi="Abo-thar" w:cs="KFGQPC Uthman Taha Naskh" w:hint="eastAsia"/>
          <w:b/>
          <w:bCs/>
          <w:sz w:val="28"/>
          <w:rtl/>
          <w:lang w:bidi="ar-SY"/>
        </w:rPr>
        <w:t>مِنَ</w:t>
      </w:r>
      <w:r w:rsidRPr="004A3642">
        <w:rPr>
          <w:rFonts w:ascii="Abo-thar" w:hAnsi="Abo-thar" w:cs="KFGQPC Uthman Taha Naskh"/>
          <w:b/>
          <w:bCs/>
          <w:sz w:val="28"/>
          <w:rtl/>
          <w:lang w:bidi="ar-SY"/>
        </w:rPr>
        <w:t xml:space="preserve"> </w:t>
      </w:r>
      <w:r w:rsidRPr="004A3642">
        <w:rPr>
          <w:rFonts w:ascii="Abo-thar" w:hAnsi="Abo-thar" w:cs="KFGQPC Uthman Taha Naskh" w:hint="eastAsia"/>
          <w:b/>
          <w:bCs/>
          <w:sz w:val="28"/>
          <w:rtl/>
          <w:lang w:bidi="ar-SY"/>
        </w:rPr>
        <w:t>الإِبِلِ</w:t>
      </w:r>
      <w:r w:rsidRPr="004A3642">
        <w:rPr>
          <w:rFonts w:ascii="Abo-thar" w:hAnsi="Abo-thar" w:cs="KFGQPC Uthman Taha Naskh"/>
          <w:b/>
          <w:bCs/>
          <w:sz w:val="28"/>
          <w:rtl/>
          <w:lang w:bidi="ar-SY"/>
        </w:rPr>
        <w:t xml:space="preserve"> </w:t>
      </w:r>
      <w:r w:rsidR="00920257" w:rsidRPr="004A3642">
        <w:rPr>
          <w:rFonts w:ascii="Abo-thar" w:hAnsi="Abo-thar" w:cs="KFGQPC Uthman Taha Naskh" w:hint="cs"/>
          <w:b/>
          <w:bCs/>
          <w:sz w:val="28"/>
          <w:rtl/>
          <w:lang w:bidi="ar-SY"/>
        </w:rPr>
        <w:t>ال</w:t>
      </w:r>
      <w:r w:rsidRPr="004A3642">
        <w:rPr>
          <w:rFonts w:ascii="Abo-thar" w:hAnsi="Abo-thar" w:cs="KFGQPC Uthman Taha Naskh" w:hint="eastAsia"/>
          <w:b/>
          <w:bCs/>
          <w:sz w:val="28"/>
          <w:rtl/>
          <w:lang w:bidi="ar-SY"/>
        </w:rPr>
        <w:t>سَّائِمَةِ</w:t>
      </w:r>
      <w:r w:rsidRPr="004A3642">
        <w:rPr>
          <w:rFonts w:ascii="Abo-thar" w:hAnsi="Abo-thar" w:cs="KFGQPC Uthman Taha Naskh"/>
          <w:b/>
          <w:bCs/>
          <w:sz w:val="28"/>
          <w:rtl/>
          <w:lang w:bidi="ar-SY"/>
        </w:rPr>
        <w:t xml:space="preserve"> </w:t>
      </w:r>
      <w:r w:rsidRPr="004A3642">
        <w:rPr>
          <w:rFonts w:ascii="Abo-thar" w:hAnsi="Abo-thar" w:cs="KFGQPC Uthman Taha Naskh" w:hint="eastAsia"/>
          <w:b/>
          <w:bCs/>
          <w:sz w:val="28"/>
          <w:rtl/>
          <w:lang w:bidi="ar-SY"/>
        </w:rPr>
        <w:t>ابْنَةُ</w:t>
      </w:r>
      <w:r w:rsidRPr="004A3642">
        <w:rPr>
          <w:rFonts w:ascii="Abo-thar" w:hAnsi="Abo-thar" w:cs="KFGQPC Uthman Taha Naskh"/>
          <w:b/>
          <w:bCs/>
          <w:sz w:val="28"/>
          <w:rtl/>
          <w:lang w:bidi="ar-SY"/>
        </w:rPr>
        <w:t xml:space="preserve"> </w:t>
      </w:r>
      <w:r w:rsidRPr="004A3642">
        <w:rPr>
          <w:rFonts w:ascii="Abo-thar" w:hAnsi="Abo-thar" w:cs="KFGQPC Uthman Taha Naskh" w:hint="eastAsia"/>
          <w:b/>
          <w:bCs/>
          <w:sz w:val="28"/>
          <w:rtl/>
          <w:lang w:bidi="ar-SY"/>
        </w:rPr>
        <w:t>لَبُونٍ</w:t>
      </w:r>
      <w:r w:rsidRPr="004A3642">
        <w:rPr>
          <w:rFonts w:ascii="Abo-thar" w:hAnsi="Abo-thar" w:cs="KFGQPC Uthman Taha Naskh"/>
          <w:b/>
          <w:bCs/>
          <w:sz w:val="28"/>
          <w:rtl/>
          <w:lang w:bidi="ar-SY"/>
        </w:rPr>
        <w:t xml:space="preserve"> </w:t>
      </w:r>
      <w:r w:rsidRPr="004A3642">
        <w:rPr>
          <w:rFonts w:ascii="Abo-thar" w:hAnsi="Abo-thar" w:cs="KFGQPC Uthman Taha Naskh" w:hint="eastAsia"/>
          <w:b/>
          <w:bCs/>
          <w:sz w:val="28"/>
          <w:rtl/>
          <w:lang w:bidi="ar-SY"/>
        </w:rPr>
        <w:t>مَنْ</w:t>
      </w:r>
      <w:r w:rsidRPr="004A3642">
        <w:rPr>
          <w:rFonts w:ascii="Abo-thar" w:hAnsi="Abo-thar" w:cs="KFGQPC Uthman Taha Naskh"/>
          <w:b/>
          <w:bCs/>
          <w:sz w:val="28"/>
          <w:rtl/>
          <w:lang w:bidi="ar-SY"/>
        </w:rPr>
        <w:t xml:space="preserve"> </w:t>
      </w:r>
      <w:r w:rsidRPr="004A3642">
        <w:rPr>
          <w:rFonts w:ascii="Abo-thar" w:hAnsi="Abo-thar" w:cs="KFGQPC Uthman Taha Naskh" w:hint="eastAsia"/>
          <w:b/>
          <w:bCs/>
          <w:sz w:val="28"/>
          <w:rtl/>
          <w:lang w:bidi="ar-SY"/>
        </w:rPr>
        <w:t>أَعْطَاهَا</w:t>
      </w:r>
      <w:r w:rsidRPr="004A3642">
        <w:rPr>
          <w:rFonts w:ascii="Abo-thar" w:hAnsi="Abo-thar" w:cs="KFGQPC Uthman Taha Naskh"/>
          <w:b/>
          <w:bCs/>
          <w:sz w:val="28"/>
          <w:rtl/>
          <w:lang w:bidi="ar-SY"/>
        </w:rPr>
        <w:t xml:space="preserve"> </w:t>
      </w:r>
      <w:r w:rsidRPr="004A3642">
        <w:rPr>
          <w:rFonts w:ascii="Abo-thar" w:hAnsi="Abo-thar" w:cs="KFGQPC Uthman Taha Naskh" w:hint="eastAsia"/>
          <w:b/>
          <w:bCs/>
          <w:sz w:val="28"/>
          <w:rtl/>
          <w:lang w:bidi="ar-SY"/>
        </w:rPr>
        <w:t>مُؤْتَجِرًا</w:t>
      </w:r>
      <w:r w:rsidRPr="004A3642">
        <w:rPr>
          <w:rFonts w:ascii="Abo-thar" w:hAnsi="Abo-thar" w:cs="KFGQPC Uthman Taha Naskh"/>
          <w:b/>
          <w:bCs/>
          <w:sz w:val="28"/>
          <w:rtl/>
          <w:lang w:bidi="ar-SY"/>
        </w:rPr>
        <w:t xml:space="preserve"> </w:t>
      </w:r>
      <w:r w:rsidR="00217AB4" w:rsidRPr="004A3642">
        <w:rPr>
          <w:rFonts w:ascii="Abo-thar" w:hAnsi="Abo-thar" w:cs="KFGQPC Uthman Taha Naskh" w:hint="cs"/>
          <w:sz w:val="28"/>
          <w:rtl/>
          <w:lang w:bidi="ar-SY"/>
        </w:rPr>
        <w:t>(</w:t>
      </w:r>
      <w:r w:rsidRPr="004A3642">
        <w:rPr>
          <w:rFonts w:ascii="Abo-thar" w:hAnsi="Abo-thar" w:cs="KFGQPC Uthman Taha Naskh" w:hint="cs"/>
          <w:sz w:val="28"/>
          <w:rtl/>
          <w:lang w:bidi="ar-SY"/>
        </w:rPr>
        <w:t>أي راضياً ومحتسباً أجره عند الله</w:t>
      </w:r>
      <w:r w:rsidR="00217AB4" w:rsidRPr="004A3642">
        <w:rPr>
          <w:rFonts w:ascii="Abo-thar" w:hAnsi="Abo-thar" w:cs="KFGQPC Uthman Taha Naskh" w:hint="cs"/>
          <w:sz w:val="28"/>
          <w:rtl/>
          <w:lang w:bidi="ar-SY"/>
        </w:rPr>
        <w:t>)</w:t>
      </w:r>
      <w:r w:rsidRPr="004A3642">
        <w:rPr>
          <w:rFonts w:ascii="Abo-thar" w:hAnsi="Abo-thar" w:cs="KFGQPC Uthman Taha Naskh" w:hint="cs"/>
          <w:b/>
          <w:bCs/>
          <w:sz w:val="28"/>
          <w:rtl/>
          <w:lang w:bidi="ar-SY"/>
        </w:rPr>
        <w:t xml:space="preserve"> </w:t>
      </w:r>
      <w:r w:rsidRPr="004A3642">
        <w:rPr>
          <w:rFonts w:ascii="Abo-thar" w:hAnsi="Abo-thar" w:cs="KFGQPC Uthman Taha Naskh" w:hint="eastAsia"/>
          <w:b/>
          <w:bCs/>
          <w:sz w:val="28"/>
          <w:rtl/>
          <w:lang w:bidi="ar-SY"/>
        </w:rPr>
        <w:t>فَلَهُ</w:t>
      </w:r>
      <w:r w:rsidRPr="004A3642">
        <w:rPr>
          <w:rFonts w:ascii="Abo-thar" w:hAnsi="Abo-thar" w:cs="KFGQPC Uthman Taha Naskh"/>
          <w:b/>
          <w:bCs/>
          <w:sz w:val="28"/>
          <w:rtl/>
          <w:lang w:bidi="ar-SY"/>
        </w:rPr>
        <w:t xml:space="preserve"> </w:t>
      </w:r>
      <w:r w:rsidRPr="004A3642">
        <w:rPr>
          <w:rFonts w:ascii="Abo-thar" w:hAnsi="Abo-thar" w:cs="KFGQPC Uthman Taha Naskh" w:hint="eastAsia"/>
          <w:b/>
          <w:bCs/>
          <w:sz w:val="28"/>
          <w:rtl/>
          <w:lang w:bidi="ar-SY"/>
        </w:rPr>
        <w:t>أَجْرُهَا</w:t>
      </w:r>
      <w:r w:rsidR="00217AB4" w:rsidRPr="004A3642">
        <w:rPr>
          <w:rFonts w:ascii="Abo-thar" w:hAnsi="Abo-thar" w:cs="KFGQPC Uthman Taha Naskh"/>
          <w:b/>
          <w:bCs/>
          <w:sz w:val="28"/>
          <w:rtl/>
          <w:lang w:bidi="ar-SY"/>
        </w:rPr>
        <w:t>،</w:t>
      </w:r>
      <w:r w:rsidRPr="004A3642">
        <w:rPr>
          <w:rFonts w:ascii="Abo-thar" w:hAnsi="Abo-thar" w:cs="KFGQPC Uthman Taha Naskh"/>
          <w:b/>
          <w:bCs/>
          <w:sz w:val="28"/>
          <w:rtl/>
          <w:lang w:bidi="ar-SY"/>
        </w:rPr>
        <w:t xml:space="preserve"> </w:t>
      </w:r>
      <w:r w:rsidRPr="004A3642">
        <w:rPr>
          <w:rFonts w:ascii="Abo-thar" w:hAnsi="Abo-thar" w:cs="KFGQPC Uthman Taha Naskh" w:hint="eastAsia"/>
          <w:b/>
          <w:bCs/>
          <w:sz w:val="28"/>
          <w:rtl/>
          <w:lang w:bidi="ar-SY"/>
        </w:rPr>
        <w:t>وَمَنْ</w:t>
      </w:r>
      <w:r w:rsidRPr="004A3642">
        <w:rPr>
          <w:rFonts w:ascii="Abo-thar" w:hAnsi="Abo-thar" w:cs="KFGQPC Uthman Taha Naskh"/>
          <w:b/>
          <w:bCs/>
          <w:sz w:val="28"/>
          <w:rtl/>
          <w:lang w:bidi="ar-SY"/>
        </w:rPr>
        <w:t xml:space="preserve"> </w:t>
      </w:r>
      <w:r w:rsidRPr="004A3642">
        <w:rPr>
          <w:rFonts w:ascii="Abo-thar" w:hAnsi="Abo-thar" w:cs="KFGQPC Uthman Taha Naskh" w:hint="eastAsia"/>
          <w:b/>
          <w:bCs/>
          <w:sz w:val="28"/>
          <w:rtl/>
          <w:lang w:bidi="ar-SY"/>
        </w:rPr>
        <w:t>كَتَمَهَا</w:t>
      </w:r>
      <w:r w:rsidRPr="004A3642">
        <w:rPr>
          <w:rFonts w:ascii="Abo-thar" w:hAnsi="Abo-thar" w:cs="KFGQPC Uthman Taha Naskh"/>
          <w:b/>
          <w:bCs/>
          <w:sz w:val="28"/>
          <w:rtl/>
          <w:lang w:bidi="ar-SY"/>
        </w:rPr>
        <w:t xml:space="preserve"> </w:t>
      </w:r>
      <w:r w:rsidRPr="004A3642">
        <w:rPr>
          <w:rFonts w:ascii="Abo-thar" w:hAnsi="Abo-thar" w:cs="KFGQPC Uthman Taha Naskh" w:hint="eastAsia"/>
          <w:b/>
          <w:bCs/>
          <w:sz w:val="28"/>
          <w:rtl/>
          <w:lang w:bidi="ar-SY"/>
        </w:rPr>
        <w:t>فَإِنَّا</w:t>
      </w:r>
      <w:r w:rsidRPr="004A3642">
        <w:rPr>
          <w:rFonts w:ascii="Abo-thar" w:hAnsi="Abo-thar" w:cs="KFGQPC Uthman Taha Naskh"/>
          <w:b/>
          <w:bCs/>
          <w:sz w:val="28"/>
          <w:rtl/>
          <w:lang w:bidi="ar-SY"/>
        </w:rPr>
        <w:t xml:space="preserve"> </w:t>
      </w:r>
      <w:r w:rsidRPr="004A3642">
        <w:rPr>
          <w:rFonts w:ascii="Abo-thar" w:hAnsi="Abo-thar" w:cs="KFGQPC Uthman Taha Naskh" w:hint="eastAsia"/>
          <w:b/>
          <w:bCs/>
          <w:sz w:val="28"/>
          <w:rtl/>
          <w:lang w:bidi="ar-SY"/>
        </w:rPr>
        <w:t>آخِذُوهَا</w:t>
      </w:r>
      <w:r w:rsidRPr="004A3642">
        <w:rPr>
          <w:rFonts w:ascii="Abo-thar" w:hAnsi="Abo-thar" w:cs="KFGQPC Uthman Taha Naskh"/>
          <w:b/>
          <w:bCs/>
          <w:sz w:val="28"/>
          <w:rtl/>
          <w:lang w:bidi="ar-SY"/>
        </w:rPr>
        <w:t xml:space="preserve"> </w:t>
      </w:r>
      <w:r w:rsidRPr="004A3642">
        <w:rPr>
          <w:rFonts w:ascii="Abo-thar" w:hAnsi="Abo-thar" w:cs="KFGQPC Uthman Taha Naskh" w:hint="eastAsia"/>
          <w:b/>
          <w:bCs/>
          <w:sz w:val="28"/>
          <w:rtl/>
          <w:lang w:bidi="ar-SY"/>
        </w:rPr>
        <w:t>وَشَطْرَ</w:t>
      </w:r>
      <w:r w:rsidRPr="004A3642">
        <w:rPr>
          <w:rFonts w:ascii="Abo-thar" w:hAnsi="Abo-thar" w:cs="KFGQPC Uthman Taha Naskh"/>
          <w:b/>
          <w:bCs/>
          <w:sz w:val="28"/>
          <w:rtl/>
          <w:lang w:bidi="ar-SY"/>
        </w:rPr>
        <w:t xml:space="preserve"> </w:t>
      </w:r>
      <w:r w:rsidRPr="004A3642">
        <w:rPr>
          <w:rFonts w:ascii="Abo-thar" w:hAnsi="Abo-thar" w:cs="KFGQPC Uthman Taha Naskh" w:hint="eastAsia"/>
          <w:b/>
          <w:bCs/>
          <w:sz w:val="28"/>
          <w:rtl/>
          <w:lang w:bidi="ar-SY"/>
        </w:rPr>
        <w:t>إِبِلِهِ</w:t>
      </w:r>
      <w:r w:rsidRPr="004A3642">
        <w:rPr>
          <w:rFonts w:ascii="Abo-thar" w:hAnsi="Abo-thar" w:cs="KFGQPC Uthman Taha Naskh"/>
          <w:b/>
          <w:bCs/>
          <w:sz w:val="28"/>
          <w:rtl/>
          <w:lang w:bidi="ar-SY"/>
        </w:rPr>
        <w:t xml:space="preserve"> </w:t>
      </w:r>
      <w:r w:rsidRPr="004A3642">
        <w:rPr>
          <w:rFonts w:ascii="Abo-thar" w:hAnsi="Abo-thar" w:cs="KFGQPC Uthman Taha Naskh" w:hint="eastAsia"/>
          <w:b/>
          <w:bCs/>
          <w:sz w:val="28"/>
          <w:rtl/>
          <w:lang w:bidi="ar-SY"/>
        </w:rPr>
        <w:t>عَزِيمَةً</w:t>
      </w:r>
      <w:r w:rsidRPr="004A3642">
        <w:rPr>
          <w:rFonts w:ascii="Abo-thar" w:hAnsi="Abo-thar" w:cs="KFGQPC Uthman Taha Naskh"/>
          <w:b/>
          <w:bCs/>
          <w:sz w:val="28"/>
          <w:rtl/>
          <w:lang w:bidi="ar-SY"/>
        </w:rPr>
        <w:t xml:space="preserve"> </w:t>
      </w:r>
      <w:r w:rsidRPr="004A3642">
        <w:rPr>
          <w:rFonts w:ascii="Abo-thar" w:hAnsi="Abo-thar" w:cs="KFGQPC Uthman Taha Naskh" w:hint="eastAsia"/>
          <w:b/>
          <w:bCs/>
          <w:sz w:val="28"/>
          <w:rtl/>
          <w:lang w:bidi="ar-SY"/>
        </w:rPr>
        <w:t>مِنْ</w:t>
      </w:r>
      <w:r w:rsidRPr="004A3642">
        <w:rPr>
          <w:rFonts w:ascii="Abo-thar" w:hAnsi="Abo-thar" w:cs="KFGQPC Uthman Taha Naskh"/>
          <w:b/>
          <w:bCs/>
          <w:sz w:val="28"/>
          <w:rtl/>
          <w:lang w:bidi="ar-SY"/>
        </w:rPr>
        <w:t xml:space="preserve"> </w:t>
      </w:r>
      <w:r w:rsidRPr="004A3642">
        <w:rPr>
          <w:rFonts w:ascii="Abo-thar" w:hAnsi="Abo-thar" w:cs="KFGQPC Uthman Taha Naskh" w:hint="eastAsia"/>
          <w:b/>
          <w:bCs/>
          <w:sz w:val="28"/>
          <w:rtl/>
          <w:lang w:bidi="ar-SY"/>
        </w:rPr>
        <w:t>عَزَمَاتِ</w:t>
      </w:r>
      <w:r w:rsidRPr="004A3642">
        <w:rPr>
          <w:rFonts w:ascii="Abo-thar" w:hAnsi="Abo-thar" w:cs="KFGQPC Uthman Taha Naskh"/>
          <w:b/>
          <w:bCs/>
          <w:sz w:val="28"/>
          <w:rtl/>
          <w:lang w:bidi="ar-SY"/>
        </w:rPr>
        <w:t xml:space="preserve"> </w:t>
      </w:r>
      <w:r w:rsidRPr="004A3642">
        <w:rPr>
          <w:rFonts w:ascii="Abo-thar" w:hAnsi="Abo-thar" w:cs="KFGQPC Uthman Taha Naskh" w:hint="eastAsia"/>
          <w:b/>
          <w:bCs/>
          <w:sz w:val="28"/>
          <w:rtl/>
          <w:lang w:bidi="ar-SY"/>
        </w:rPr>
        <w:t>رَبِّكَ</w:t>
      </w:r>
      <w:r w:rsidRPr="004A3642">
        <w:rPr>
          <w:rFonts w:ascii="Abo-thar" w:hAnsi="Abo-thar" w:cs="KFGQPC Uthman Taha Naskh"/>
          <w:b/>
          <w:bCs/>
          <w:sz w:val="28"/>
          <w:rtl/>
          <w:lang w:bidi="ar-SY"/>
        </w:rPr>
        <w:t xml:space="preserve"> </w:t>
      </w:r>
      <w:r w:rsidRPr="004A3642">
        <w:rPr>
          <w:rFonts w:ascii="Abo-thar" w:hAnsi="Abo-thar" w:cs="KFGQPC Uthman Taha Naskh" w:hint="eastAsia"/>
          <w:b/>
          <w:bCs/>
          <w:sz w:val="28"/>
          <w:rtl/>
          <w:lang w:bidi="ar-SY"/>
        </w:rPr>
        <w:t>لاَ</w:t>
      </w:r>
      <w:r w:rsidRPr="004A3642">
        <w:rPr>
          <w:rFonts w:ascii="Abo-thar" w:hAnsi="Abo-thar" w:cs="KFGQPC Uthman Taha Naskh"/>
          <w:b/>
          <w:bCs/>
          <w:sz w:val="28"/>
          <w:rtl/>
          <w:lang w:bidi="ar-SY"/>
        </w:rPr>
        <w:t xml:space="preserve"> </w:t>
      </w:r>
      <w:r w:rsidRPr="004A3642">
        <w:rPr>
          <w:rFonts w:ascii="Abo-thar" w:hAnsi="Abo-thar" w:cs="KFGQPC Uthman Taha Naskh" w:hint="eastAsia"/>
          <w:b/>
          <w:bCs/>
          <w:sz w:val="28"/>
          <w:rtl/>
          <w:lang w:bidi="ar-SY"/>
        </w:rPr>
        <w:t>يَحِلُّ</w:t>
      </w:r>
      <w:r w:rsidRPr="004A3642">
        <w:rPr>
          <w:rFonts w:ascii="Abo-thar" w:hAnsi="Abo-thar" w:cs="KFGQPC Uthman Taha Naskh"/>
          <w:b/>
          <w:bCs/>
          <w:sz w:val="28"/>
          <w:rtl/>
          <w:lang w:bidi="ar-SY"/>
        </w:rPr>
        <w:t xml:space="preserve"> </w:t>
      </w:r>
      <w:r w:rsidRPr="004A3642">
        <w:rPr>
          <w:rFonts w:ascii="Abo-thar" w:hAnsi="Abo-thar" w:cs="KFGQPC Uthman Taha Naskh" w:hint="eastAsia"/>
          <w:b/>
          <w:bCs/>
          <w:sz w:val="28"/>
          <w:rtl/>
          <w:lang w:bidi="ar-SY"/>
        </w:rPr>
        <w:t>لِمُحَمَّدٍ</w:t>
      </w:r>
      <w:r w:rsidRPr="004A3642">
        <w:rPr>
          <w:rFonts w:ascii="Abo-thar" w:hAnsi="Abo-thar" w:cs="KFGQPC Uthman Taha Naskh"/>
          <w:b/>
          <w:bCs/>
          <w:sz w:val="28"/>
          <w:rtl/>
          <w:lang w:bidi="ar-SY"/>
        </w:rPr>
        <w:t xml:space="preserve"> </w:t>
      </w:r>
      <w:r w:rsidRPr="004A3642">
        <w:rPr>
          <w:rFonts w:ascii="Abo-thar" w:hAnsi="Abo-thar" w:cs="KFGQPC Uthman Taha Naskh" w:hint="eastAsia"/>
          <w:b/>
          <w:bCs/>
          <w:sz w:val="28"/>
          <w:rtl/>
          <w:lang w:bidi="ar-SY"/>
        </w:rPr>
        <w:t>وَلاَ</w:t>
      </w:r>
      <w:r w:rsidRPr="004A3642">
        <w:rPr>
          <w:rFonts w:ascii="Abo-thar" w:hAnsi="Abo-thar" w:cs="KFGQPC Uthman Taha Naskh"/>
          <w:b/>
          <w:bCs/>
          <w:sz w:val="28"/>
          <w:rtl/>
          <w:lang w:bidi="ar-SY"/>
        </w:rPr>
        <w:t xml:space="preserve"> </w:t>
      </w:r>
      <w:r w:rsidRPr="004A3642">
        <w:rPr>
          <w:rFonts w:ascii="Abo-thar" w:hAnsi="Abo-thar" w:cs="KFGQPC Uthman Taha Naskh" w:hint="eastAsia"/>
          <w:b/>
          <w:bCs/>
          <w:sz w:val="28"/>
          <w:rtl/>
          <w:lang w:bidi="ar-SY"/>
        </w:rPr>
        <w:t>لآلِ</w:t>
      </w:r>
      <w:r w:rsidRPr="004A3642">
        <w:rPr>
          <w:rFonts w:ascii="Abo-thar" w:hAnsi="Abo-thar" w:cs="KFGQPC Uthman Taha Naskh"/>
          <w:b/>
          <w:bCs/>
          <w:sz w:val="28"/>
          <w:rtl/>
          <w:lang w:bidi="ar-SY"/>
        </w:rPr>
        <w:t xml:space="preserve"> </w:t>
      </w:r>
      <w:r w:rsidRPr="004A3642">
        <w:rPr>
          <w:rFonts w:ascii="Abo-thar" w:hAnsi="Abo-thar" w:cs="KFGQPC Uthman Taha Naskh" w:hint="eastAsia"/>
          <w:b/>
          <w:bCs/>
          <w:sz w:val="28"/>
          <w:rtl/>
          <w:lang w:bidi="ar-SY"/>
        </w:rPr>
        <w:t>مُحَمَّدٍ»</w:t>
      </w:r>
      <w:r w:rsidR="00217AB4" w:rsidRPr="003F3B94">
        <w:rPr>
          <w:rFonts w:ascii="Abo-thar" w:hAnsi="Abo-thar"/>
          <w:b/>
          <w:bCs/>
          <w:sz w:val="28"/>
          <w:rtl/>
          <w:lang w:bidi="ar-SY"/>
        </w:rPr>
        <w:t>.</w:t>
      </w:r>
      <w:r w:rsidRPr="003F3B94">
        <w:rPr>
          <w:rFonts w:ascii="Abo-thar" w:hAnsi="Abo-thar"/>
          <w:b/>
          <w:bCs/>
          <w:sz w:val="28"/>
          <w:rtl/>
          <w:lang w:bidi="ar-SY"/>
        </w:rPr>
        <w:t xml:space="preserve"> </w:t>
      </w:r>
      <w:r w:rsidRPr="003F3B94">
        <w:rPr>
          <w:rFonts w:ascii="Abo-thar" w:hAnsi="Abo-thar" w:hint="eastAsia"/>
          <w:b/>
          <w:bCs/>
          <w:sz w:val="28"/>
          <w:rtl/>
          <w:lang w:bidi="ar-SY"/>
        </w:rPr>
        <w:t>كَذَلِكَ</w:t>
      </w:r>
      <w:r w:rsidRPr="003F3B94">
        <w:rPr>
          <w:rFonts w:ascii="Abo-thar" w:hAnsi="Abo-thar"/>
          <w:b/>
          <w:bCs/>
          <w:sz w:val="28"/>
          <w:rtl/>
          <w:lang w:bidi="ar-SY"/>
        </w:rPr>
        <w:t xml:space="preserve"> </w:t>
      </w:r>
      <w:r w:rsidRPr="003F3B94">
        <w:rPr>
          <w:rFonts w:ascii="Abo-thar" w:hAnsi="Abo-thar" w:hint="eastAsia"/>
          <w:b/>
          <w:bCs/>
          <w:sz w:val="28"/>
          <w:rtl/>
          <w:lang w:bidi="ar-SY"/>
        </w:rPr>
        <w:t>رَوَاهُ</w:t>
      </w:r>
      <w:r w:rsidRPr="003F3B94">
        <w:rPr>
          <w:rFonts w:ascii="Abo-thar" w:hAnsi="Abo-thar"/>
          <w:b/>
          <w:bCs/>
          <w:sz w:val="28"/>
          <w:rtl/>
          <w:lang w:bidi="ar-SY"/>
        </w:rPr>
        <w:t xml:space="preserve"> </w:t>
      </w:r>
      <w:r w:rsidRPr="003F3B94">
        <w:rPr>
          <w:rFonts w:ascii="Abo-thar" w:hAnsi="Abo-thar" w:hint="eastAsia"/>
          <w:b/>
          <w:bCs/>
          <w:sz w:val="28"/>
          <w:rtl/>
          <w:lang w:bidi="ar-SY"/>
        </w:rPr>
        <w:t>جَمَاعَةٌ</w:t>
      </w:r>
      <w:r w:rsidRPr="003F3B94">
        <w:rPr>
          <w:rFonts w:ascii="Abo-thar" w:hAnsi="Abo-thar"/>
          <w:b/>
          <w:bCs/>
          <w:sz w:val="28"/>
          <w:rtl/>
          <w:lang w:bidi="ar-SY"/>
        </w:rPr>
        <w:t xml:space="preserve"> </w:t>
      </w:r>
      <w:r w:rsidRPr="003F3B94">
        <w:rPr>
          <w:rFonts w:ascii="Abo-thar" w:hAnsi="Abo-thar" w:hint="eastAsia"/>
          <w:b/>
          <w:bCs/>
          <w:sz w:val="28"/>
          <w:rtl/>
          <w:lang w:bidi="ar-SY"/>
        </w:rPr>
        <w:t>عَنْ</w:t>
      </w:r>
      <w:r w:rsidRPr="003F3B94">
        <w:rPr>
          <w:rFonts w:ascii="Abo-thar" w:hAnsi="Abo-thar"/>
          <w:b/>
          <w:bCs/>
          <w:sz w:val="28"/>
          <w:rtl/>
          <w:lang w:bidi="ar-SY"/>
        </w:rPr>
        <w:t xml:space="preserve"> </w:t>
      </w:r>
      <w:r w:rsidRPr="003F3B94">
        <w:rPr>
          <w:rFonts w:ascii="Abo-thar" w:hAnsi="Abo-thar" w:hint="eastAsia"/>
          <w:b/>
          <w:bCs/>
          <w:sz w:val="28"/>
          <w:rtl/>
          <w:lang w:bidi="ar-SY"/>
        </w:rPr>
        <w:t>بَهْزِ</w:t>
      </w:r>
      <w:r w:rsidRPr="003F3B94">
        <w:rPr>
          <w:rFonts w:ascii="Abo-thar" w:hAnsi="Abo-thar"/>
          <w:b/>
          <w:bCs/>
          <w:sz w:val="28"/>
          <w:rtl/>
          <w:lang w:bidi="ar-SY"/>
        </w:rPr>
        <w:t xml:space="preserve"> </w:t>
      </w:r>
      <w:r w:rsidRPr="003F3B94">
        <w:rPr>
          <w:rFonts w:ascii="Abo-thar" w:hAnsi="Abo-thar" w:hint="eastAsia"/>
          <w:b/>
          <w:bCs/>
          <w:sz w:val="28"/>
          <w:rtl/>
          <w:lang w:bidi="ar-SY"/>
        </w:rPr>
        <w:t>بْنِ</w:t>
      </w:r>
      <w:r w:rsidRPr="003F3B94">
        <w:rPr>
          <w:rFonts w:ascii="Abo-thar" w:hAnsi="Abo-thar"/>
          <w:b/>
          <w:bCs/>
          <w:sz w:val="28"/>
          <w:rtl/>
          <w:lang w:bidi="ar-SY"/>
        </w:rPr>
        <w:t xml:space="preserve"> </w:t>
      </w:r>
      <w:r w:rsidRPr="003F3B94">
        <w:rPr>
          <w:rFonts w:ascii="Abo-thar" w:hAnsi="Abo-thar" w:hint="eastAsia"/>
          <w:b/>
          <w:bCs/>
          <w:sz w:val="28"/>
          <w:rtl/>
          <w:lang w:bidi="ar-SY"/>
        </w:rPr>
        <w:t>حَكِيمٍ</w:t>
      </w:r>
      <w:r w:rsidRPr="003F3B94">
        <w:rPr>
          <w:rFonts w:ascii="Abo-thar" w:hAnsi="Abo-thar"/>
          <w:b/>
          <w:bCs/>
          <w:sz w:val="28"/>
          <w:rtl/>
          <w:lang w:bidi="ar-SY"/>
        </w:rPr>
        <w:t xml:space="preserve"> </w:t>
      </w:r>
      <w:r w:rsidRPr="003F3B94">
        <w:rPr>
          <w:rFonts w:ascii="Abo-thar" w:hAnsi="Abo-thar" w:hint="eastAsia"/>
          <w:b/>
          <w:bCs/>
          <w:sz w:val="28"/>
          <w:rtl/>
          <w:lang w:bidi="ar-SY"/>
        </w:rPr>
        <w:t>وَقَالَ</w:t>
      </w:r>
      <w:r w:rsidRPr="003F3B94">
        <w:rPr>
          <w:rFonts w:ascii="Abo-thar" w:hAnsi="Abo-thar"/>
          <w:b/>
          <w:bCs/>
          <w:sz w:val="28"/>
          <w:rtl/>
          <w:lang w:bidi="ar-SY"/>
        </w:rPr>
        <w:t xml:space="preserve"> </w:t>
      </w:r>
      <w:r w:rsidRPr="003F3B94">
        <w:rPr>
          <w:rFonts w:ascii="Abo-thar" w:hAnsi="Abo-thar" w:hint="eastAsia"/>
          <w:b/>
          <w:bCs/>
          <w:sz w:val="28"/>
          <w:rtl/>
          <w:lang w:bidi="ar-SY"/>
        </w:rPr>
        <w:t>أَكْثَرُهُمْ</w:t>
      </w:r>
      <w:r w:rsidR="00217AB4" w:rsidRPr="003F3B94">
        <w:rPr>
          <w:rFonts w:ascii="Abo-thar" w:hAnsi="Abo-thar"/>
          <w:b/>
          <w:bCs/>
          <w:sz w:val="28"/>
          <w:rtl/>
          <w:lang w:bidi="ar-SY"/>
        </w:rPr>
        <w:t>:</w:t>
      </w:r>
      <w:r w:rsidRPr="003F3B94">
        <w:rPr>
          <w:rFonts w:ascii="Abo-thar" w:hAnsi="Abo-thar"/>
          <w:b/>
          <w:bCs/>
          <w:sz w:val="28"/>
          <w:rtl/>
          <w:lang w:bidi="ar-SY"/>
        </w:rPr>
        <w:t xml:space="preserve"> </w:t>
      </w:r>
      <w:r w:rsidRPr="004A3642">
        <w:rPr>
          <w:rFonts w:ascii="Abo-thar" w:hAnsi="Abo-thar" w:cs="KFGQPC Uthman Taha Naskh" w:hint="eastAsia"/>
          <w:b/>
          <w:bCs/>
          <w:sz w:val="28"/>
          <w:rtl/>
          <w:lang w:bidi="ar-SY"/>
        </w:rPr>
        <w:t>عَزْمَةً</w:t>
      </w:r>
      <w:r w:rsidRPr="004A3642">
        <w:rPr>
          <w:rFonts w:ascii="Abo-thar" w:hAnsi="Abo-thar" w:cs="KFGQPC Uthman Taha Naskh"/>
          <w:b/>
          <w:bCs/>
          <w:sz w:val="28"/>
          <w:rtl/>
          <w:lang w:bidi="ar-SY"/>
        </w:rPr>
        <w:t xml:space="preserve"> </w:t>
      </w:r>
      <w:r w:rsidRPr="004A3642">
        <w:rPr>
          <w:rFonts w:ascii="Abo-thar" w:hAnsi="Abo-thar" w:cs="KFGQPC Uthman Taha Naskh" w:hint="eastAsia"/>
          <w:b/>
          <w:bCs/>
          <w:sz w:val="28"/>
          <w:rtl/>
          <w:lang w:bidi="ar-SY"/>
        </w:rPr>
        <w:t>مِنْ</w:t>
      </w:r>
      <w:r w:rsidRPr="004A3642">
        <w:rPr>
          <w:rFonts w:ascii="Abo-thar" w:hAnsi="Abo-thar" w:cs="KFGQPC Uthman Taha Naskh"/>
          <w:b/>
          <w:bCs/>
          <w:sz w:val="28"/>
          <w:rtl/>
          <w:lang w:bidi="ar-SY"/>
        </w:rPr>
        <w:t xml:space="preserve"> </w:t>
      </w:r>
      <w:r w:rsidRPr="004A3642">
        <w:rPr>
          <w:rFonts w:ascii="Abo-thar" w:hAnsi="Abo-thar" w:cs="KFGQPC Uthman Taha Naskh" w:hint="eastAsia"/>
          <w:b/>
          <w:bCs/>
          <w:sz w:val="28"/>
          <w:rtl/>
          <w:lang w:bidi="ar-SY"/>
        </w:rPr>
        <w:t>عَزَمَاتِ</w:t>
      </w:r>
      <w:r w:rsidRPr="004A3642">
        <w:rPr>
          <w:rFonts w:ascii="Abo-thar" w:hAnsi="Abo-thar" w:cs="KFGQPC Uthman Taha Naskh"/>
          <w:b/>
          <w:bCs/>
          <w:sz w:val="28"/>
          <w:rtl/>
          <w:lang w:bidi="ar-SY"/>
        </w:rPr>
        <w:t xml:space="preserve"> </w:t>
      </w:r>
      <w:r w:rsidRPr="004A3642">
        <w:rPr>
          <w:rFonts w:ascii="Abo-thar" w:hAnsi="Abo-thar" w:cs="KFGQPC Uthman Taha Naskh" w:hint="eastAsia"/>
          <w:b/>
          <w:bCs/>
          <w:sz w:val="28"/>
          <w:rtl/>
          <w:lang w:bidi="ar-SY"/>
        </w:rPr>
        <w:t>رَبِّنَا</w:t>
      </w:r>
      <w:r w:rsidR="00FB6445" w:rsidRPr="003F3B94">
        <w:rPr>
          <w:rFonts w:ascii="Abo-thar" w:hAnsi="Abo-thar"/>
          <w:b/>
          <w:bCs/>
          <w:sz w:val="28"/>
          <w:rtl/>
          <w:lang w:bidi="ar-SY"/>
        </w:rPr>
        <w:t>»</w:t>
      </w:r>
      <w:r w:rsidR="00920257" w:rsidRPr="0021507A">
        <w:rPr>
          <w:rFonts w:ascii="Abo-thar" w:hAnsi="Abo-thar" w:cs="Arabic11 BT"/>
          <w:sz w:val="28"/>
          <w:vertAlign w:val="superscript"/>
          <w:rtl/>
          <w:lang w:bidi="ar-SY"/>
        </w:rPr>
        <w:t>(</w:t>
      </w:r>
      <w:r w:rsidR="00920257" w:rsidRPr="0021507A">
        <w:rPr>
          <w:rStyle w:val="FootnoteReference"/>
          <w:rFonts w:ascii="Abo-thar" w:hAnsi="Abo-thar" w:cs="Arabic11 BT"/>
          <w:sz w:val="28"/>
          <w:rtl/>
          <w:lang w:bidi="ar-SY"/>
        </w:rPr>
        <w:footnoteReference w:id="154"/>
      </w:r>
      <w:r w:rsidR="00920257" w:rsidRPr="0021507A">
        <w:rPr>
          <w:rFonts w:ascii="Abo-thar" w:hAnsi="Abo-thar" w:cs="Arabic11 BT"/>
          <w:sz w:val="28"/>
          <w:vertAlign w:val="superscript"/>
          <w:rtl/>
          <w:lang w:bidi="ar-SY"/>
        </w:rPr>
        <w:t>)</w:t>
      </w:r>
      <w:r w:rsidR="00FB6445" w:rsidRPr="003F3B94">
        <w:rPr>
          <w:rFonts w:ascii="Abo-thar" w:hAnsi="Abo-thar" w:hint="cs"/>
          <w:sz w:val="28"/>
          <w:rtl/>
          <w:lang w:bidi="ar-SY"/>
        </w:rPr>
        <w:t>.</w:t>
      </w:r>
    </w:p>
    <w:p w:rsidR="005C664D" w:rsidRPr="003F3B94" w:rsidRDefault="005C664D" w:rsidP="003F3B94">
      <w:pPr>
        <w:pStyle w:val="a0"/>
        <w:rPr>
          <w:rFonts w:hint="cs"/>
          <w:rtl/>
          <w:lang w:bidi="ar-SY"/>
        </w:rPr>
      </w:pPr>
      <w:r w:rsidRPr="003F3B94">
        <w:rPr>
          <w:rFonts w:ascii="Abo-thar" w:hAnsi="Abo-thar" w:hint="cs"/>
          <w:sz w:val="28"/>
          <w:rtl/>
          <w:lang w:bidi="ar-SY"/>
        </w:rPr>
        <w:t>ثم عقَّب البيهقيُّ على الحديث قائلاً</w:t>
      </w:r>
      <w:r w:rsidR="00217AB4" w:rsidRPr="003F3B94">
        <w:rPr>
          <w:rFonts w:ascii="Abo-thar" w:hAnsi="Abo-thar" w:hint="cs"/>
          <w:sz w:val="28"/>
          <w:rtl/>
          <w:lang w:bidi="ar-SY"/>
        </w:rPr>
        <w:t>:</w:t>
      </w:r>
      <w:r w:rsidRPr="003F3B94">
        <w:rPr>
          <w:rFonts w:ascii="Abo-thar" w:hAnsi="Abo-thar" w:hint="cs"/>
          <w:sz w:val="28"/>
          <w:rtl/>
          <w:lang w:bidi="ar-SY"/>
        </w:rPr>
        <w:t xml:space="preserve"> </w:t>
      </w:r>
      <w:r w:rsidR="00EF2588" w:rsidRPr="004A3642">
        <w:rPr>
          <w:rFonts w:ascii="Abo-thar" w:hAnsi="Abo-thar" w:cs="KFGQPC Uthman Taha Naskh" w:hint="cs"/>
          <w:sz w:val="28"/>
          <w:rtl/>
          <w:lang w:bidi="ar-SY"/>
        </w:rPr>
        <w:t>«</w:t>
      </w:r>
      <w:r w:rsidRPr="004A3642">
        <w:rPr>
          <w:rFonts w:ascii="Abo-thar" w:hAnsi="Abo-thar" w:cs="KFGQPC Uthman Taha Naskh" w:hint="eastAsia"/>
          <w:b/>
          <w:bCs/>
          <w:sz w:val="28"/>
          <w:rtl/>
          <w:lang w:bidi="ar-SY"/>
        </w:rPr>
        <w:t>وَقَدْ</w:t>
      </w:r>
      <w:r w:rsidRPr="004A3642">
        <w:rPr>
          <w:rFonts w:ascii="Abo-thar" w:hAnsi="Abo-thar" w:cs="KFGQPC Uthman Taha Naskh"/>
          <w:b/>
          <w:bCs/>
          <w:sz w:val="28"/>
          <w:rtl/>
          <w:lang w:bidi="ar-SY"/>
        </w:rPr>
        <w:t xml:space="preserve"> </w:t>
      </w:r>
      <w:r w:rsidRPr="004A3642">
        <w:rPr>
          <w:rFonts w:ascii="Abo-thar" w:hAnsi="Abo-thar" w:cs="KFGQPC Uthman Taha Naskh" w:hint="eastAsia"/>
          <w:b/>
          <w:bCs/>
          <w:sz w:val="28"/>
          <w:rtl/>
          <w:lang w:bidi="ar-SY"/>
        </w:rPr>
        <w:t>كَانَ</w:t>
      </w:r>
      <w:r w:rsidRPr="004A3642">
        <w:rPr>
          <w:rFonts w:ascii="Abo-thar" w:hAnsi="Abo-thar" w:cs="KFGQPC Uthman Taha Naskh"/>
          <w:b/>
          <w:bCs/>
          <w:sz w:val="28"/>
          <w:rtl/>
          <w:lang w:bidi="ar-SY"/>
        </w:rPr>
        <w:t xml:space="preserve"> </w:t>
      </w:r>
      <w:r w:rsidRPr="004A3642">
        <w:rPr>
          <w:rFonts w:ascii="Abo-thar" w:hAnsi="Abo-thar" w:cs="KFGQPC Uthman Taha Naskh" w:hint="eastAsia"/>
          <w:b/>
          <w:bCs/>
          <w:sz w:val="28"/>
          <w:rtl/>
          <w:lang w:bidi="ar-SY"/>
        </w:rPr>
        <w:t>تَضْعِيفُ</w:t>
      </w:r>
      <w:r w:rsidRPr="004A3642">
        <w:rPr>
          <w:rFonts w:ascii="Abo-thar" w:hAnsi="Abo-thar" w:cs="KFGQPC Uthman Taha Naskh"/>
          <w:b/>
          <w:bCs/>
          <w:sz w:val="28"/>
          <w:rtl/>
          <w:lang w:bidi="ar-SY"/>
        </w:rPr>
        <w:t xml:space="preserve"> </w:t>
      </w:r>
      <w:r w:rsidRPr="004A3642">
        <w:rPr>
          <w:rFonts w:ascii="Abo-thar" w:hAnsi="Abo-thar" w:cs="KFGQPC Uthman Taha Naskh" w:hint="eastAsia"/>
          <w:b/>
          <w:bCs/>
          <w:sz w:val="28"/>
          <w:rtl/>
          <w:lang w:bidi="ar-SY"/>
        </w:rPr>
        <w:t>الْغَرَامَةِ</w:t>
      </w:r>
      <w:r w:rsidRPr="004A3642">
        <w:rPr>
          <w:rFonts w:ascii="Abo-thar" w:hAnsi="Abo-thar" w:cs="KFGQPC Uthman Taha Naskh"/>
          <w:b/>
          <w:bCs/>
          <w:sz w:val="28"/>
          <w:rtl/>
          <w:lang w:bidi="ar-SY"/>
        </w:rPr>
        <w:t xml:space="preserve"> </w:t>
      </w:r>
      <w:r w:rsidRPr="004A3642">
        <w:rPr>
          <w:rFonts w:ascii="Abo-thar" w:hAnsi="Abo-thar" w:cs="KFGQPC Uthman Taha Naskh" w:hint="eastAsia"/>
          <w:b/>
          <w:bCs/>
          <w:sz w:val="28"/>
          <w:rtl/>
          <w:lang w:bidi="ar-SY"/>
        </w:rPr>
        <w:t>عَلَى</w:t>
      </w:r>
      <w:r w:rsidRPr="004A3642">
        <w:rPr>
          <w:rFonts w:ascii="Abo-thar" w:hAnsi="Abo-thar" w:cs="KFGQPC Uthman Taha Naskh"/>
          <w:b/>
          <w:bCs/>
          <w:sz w:val="28"/>
          <w:rtl/>
          <w:lang w:bidi="ar-SY"/>
        </w:rPr>
        <w:t xml:space="preserve"> </w:t>
      </w:r>
      <w:r w:rsidRPr="004A3642">
        <w:rPr>
          <w:rFonts w:ascii="Abo-thar" w:hAnsi="Abo-thar" w:cs="KFGQPC Uthman Taha Naskh" w:hint="eastAsia"/>
          <w:b/>
          <w:bCs/>
          <w:sz w:val="28"/>
          <w:rtl/>
          <w:lang w:bidi="ar-SY"/>
        </w:rPr>
        <w:t>مَنْ</w:t>
      </w:r>
      <w:r w:rsidRPr="004A3642">
        <w:rPr>
          <w:rFonts w:ascii="Abo-thar" w:hAnsi="Abo-thar" w:cs="KFGQPC Uthman Taha Naskh"/>
          <w:b/>
          <w:bCs/>
          <w:sz w:val="28"/>
          <w:rtl/>
          <w:lang w:bidi="ar-SY"/>
        </w:rPr>
        <w:t xml:space="preserve"> </w:t>
      </w:r>
      <w:r w:rsidRPr="004A3642">
        <w:rPr>
          <w:rFonts w:ascii="Abo-thar" w:hAnsi="Abo-thar" w:cs="KFGQPC Uthman Taha Naskh" w:hint="eastAsia"/>
          <w:b/>
          <w:bCs/>
          <w:sz w:val="28"/>
          <w:rtl/>
          <w:lang w:bidi="ar-SY"/>
        </w:rPr>
        <w:t>سَرَقَ</w:t>
      </w:r>
      <w:r w:rsidRPr="004A3642">
        <w:rPr>
          <w:rFonts w:ascii="Abo-thar" w:hAnsi="Abo-thar" w:cs="KFGQPC Uthman Taha Naskh"/>
          <w:b/>
          <w:bCs/>
          <w:sz w:val="28"/>
          <w:rtl/>
          <w:lang w:bidi="ar-SY"/>
        </w:rPr>
        <w:t xml:space="preserve"> </w:t>
      </w:r>
      <w:r w:rsidR="00217AB4" w:rsidRPr="004A3642">
        <w:rPr>
          <w:rFonts w:ascii="Abo-thar" w:hAnsi="Abo-thar" w:cs="KFGQPC Uthman Taha Naskh" w:hint="cs"/>
          <w:sz w:val="28"/>
          <w:rtl/>
          <w:lang w:bidi="ar-SY"/>
        </w:rPr>
        <w:t>(</w:t>
      </w:r>
      <w:r w:rsidRPr="004A3642">
        <w:rPr>
          <w:rFonts w:ascii="Abo-thar" w:hAnsi="Abo-thar" w:cs="KFGQPC Uthman Taha Naskh" w:hint="cs"/>
          <w:sz w:val="28"/>
          <w:rtl/>
          <w:lang w:bidi="ar-SY"/>
        </w:rPr>
        <w:t>أي أخفى أمواله ليتهرَّب من دفع الزكاة ويسرق حق الفقير</w:t>
      </w:r>
      <w:r w:rsidR="00217AB4" w:rsidRPr="004A3642">
        <w:rPr>
          <w:rFonts w:ascii="Abo-thar" w:hAnsi="Abo-thar" w:cs="KFGQPC Uthman Taha Naskh" w:hint="cs"/>
          <w:sz w:val="28"/>
          <w:rtl/>
          <w:lang w:bidi="ar-SY"/>
        </w:rPr>
        <w:t>)</w:t>
      </w:r>
      <w:r w:rsidRPr="004A3642">
        <w:rPr>
          <w:rFonts w:ascii="Abo-thar" w:hAnsi="Abo-thar" w:cs="KFGQPC Uthman Taha Naskh" w:hint="cs"/>
          <w:b/>
          <w:bCs/>
          <w:sz w:val="28"/>
          <w:rtl/>
          <w:lang w:bidi="ar-SY"/>
        </w:rPr>
        <w:t xml:space="preserve"> </w:t>
      </w:r>
      <w:r w:rsidRPr="004A3642">
        <w:rPr>
          <w:rFonts w:ascii="Abo-thar" w:hAnsi="Abo-thar" w:cs="KFGQPC Uthman Taha Naskh" w:hint="eastAsia"/>
          <w:b/>
          <w:bCs/>
          <w:sz w:val="28"/>
          <w:rtl/>
          <w:lang w:bidi="ar-SY"/>
        </w:rPr>
        <w:t>فِى</w:t>
      </w:r>
      <w:r w:rsidRPr="004A3642">
        <w:rPr>
          <w:rFonts w:ascii="Abo-thar" w:hAnsi="Abo-thar" w:cs="KFGQPC Uthman Taha Naskh"/>
          <w:b/>
          <w:bCs/>
          <w:sz w:val="28"/>
          <w:rtl/>
          <w:lang w:bidi="ar-SY"/>
        </w:rPr>
        <w:t xml:space="preserve"> </w:t>
      </w:r>
      <w:r w:rsidRPr="004A3642">
        <w:rPr>
          <w:rFonts w:ascii="Abo-thar" w:hAnsi="Abo-thar" w:cs="KFGQPC Uthman Taha Naskh" w:hint="eastAsia"/>
          <w:b/>
          <w:bCs/>
          <w:sz w:val="28"/>
          <w:rtl/>
          <w:lang w:bidi="ar-SY"/>
        </w:rPr>
        <w:t>ابْتِدَاءِ</w:t>
      </w:r>
      <w:r w:rsidRPr="004A3642">
        <w:rPr>
          <w:rFonts w:ascii="Abo-thar" w:hAnsi="Abo-thar" w:cs="KFGQPC Uthman Taha Naskh"/>
          <w:b/>
          <w:bCs/>
          <w:sz w:val="28"/>
          <w:rtl/>
          <w:lang w:bidi="ar-SY"/>
        </w:rPr>
        <w:t xml:space="preserve"> </w:t>
      </w:r>
      <w:r w:rsidRPr="004A3642">
        <w:rPr>
          <w:rFonts w:ascii="Abo-thar" w:hAnsi="Abo-thar" w:cs="KFGQPC Uthman Taha Naskh" w:hint="eastAsia"/>
          <w:b/>
          <w:bCs/>
          <w:sz w:val="28"/>
          <w:rtl/>
          <w:lang w:bidi="ar-SY"/>
        </w:rPr>
        <w:t>الإِسْلاَمِ</w:t>
      </w:r>
      <w:r w:rsidR="00217AB4" w:rsidRPr="004A3642">
        <w:rPr>
          <w:rFonts w:ascii="Abo-thar" w:hAnsi="Abo-thar" w:cs="KFGQPC Uthman Taha Naskh" w:hint="cs"/>
          <w:b/>
          <w:bCs/>
          <w:sz w:val="28"/>
          <w:rtl/>
          <w:lang w:bidi="ar-SY"/>
        </w:rPr>
        <w:t>،</w:t>
      </w:r>
      <w:r w:rsidRPr="004A3642">
        <w:rPr>
          <w:rFonts w:ascii="Abo-thar" w:hAnsi="Abo-thar" w:cs="KFGQPC Uthman Taha Naskh"/>
          <w:b/>
          <w:bCs/>
          <w:sz w:val="28"/>
          <w:rtl/>
          <w:lang w:bidi="ar-SY"/>
        </w:rPr>
        <w:t xml:space="preserve"> </w:t>
      </w:r>
      <w:r w:rsidRPr="004A3642">
        <w:rPr>
          <w:rFonts w:ascii="Abo-thar" w:hAnsi="Abo-thar" w:cs="KFGQPC Uthman Taha Naskh" w:hint="eastAsia"/>
          <w:b/>
          <w:bCs/>
          <w:sz w:val="28"/>
          <w:rtl/>
          <w:lang w:bidi="ar-SY"/>
        </w:rPr>
        <w:t>ثُمَّ</w:t>
      </w:r>
      <w:r w:rsidRPr="004A3642">
        <w:rPr>
          <w:rFonts w:ascii="Abo-thar" w:hAnsi="Abo-thar" w:cs="KFGQPC Uthman Taha Naskh"/>
          <w:b/>
          <w:bCs/>
          <w:sz w:val="28"/>
          <w:rtl/>
          <w:lang w:bidi="ar-SY"/>
        </w:rPr>
        <w:t xml:space="preserve"> </w:t>
      </w:r>
      <w:r w:rsidRPr="004A3642">
        <w:rPr>
          <w:rFonts w:ascii="Abo-thar" w:hAnsi="Abo-thar" w:cs="KFGQPC Uthman Taha Naskh" w:hint="eastAsia"/>
          <w:b/>
          <w:bCs/>
          <w:sz w:val="28"/>
          <w:rtl/>
          <w:lang w:bidi="ar-SY"/>
        </w:rPr>
        <w:t>صَارَ</w:t>
      </w:r>
      <w:r w:rsidRPr="004A3642">
        <w:rPr>
          <w:rFonts w:ascii="Abo-thar" w:hAnsi="Abo-thar" w:cs="KFGQPC Uthman Taha Naskh"/>
          <w:b/>
          <w:bCs/>
          <w:sz w:val="28"/>
          <w:rtl/>
          <w:lang w:bidi="ar-SY"/>
        </w:rPr>
        <w:t xml:space="preserve"> </w:t>
      </w:r>
      <w:r w:rsidRPr="004A3642">
        <w:rPr>
          <w:rFonts w:ascii="Abo-thar" w:hAnsi="Abo-thar" w:cs="KFGQPC Uthman Taha Naskh" w:hint="eastAsia"/>
          <w:b/>
          <w:bCs/>
          <w:sz w:val="28"/>
          <w:rtl/>
          <w:lang w:bidi="ar-SY"/>
        </w:rPr>
        <w:t>مَنْسُوخًا</w:t>
      </w:r>
      <w:r w:rsidR="00EF2588" w:rsidRPr="004A3642">
        <w:rPr>
          <w:rFonts w:ascii="Abo-thar" w:hAnsi="Abo-thar" w:cs="KFGQPC Uthman Taha Naskh" w:hint="cs"/>
          <w:sz w:val="28"/>
          <w:rtl/>
          <w:lang w:bidi="ar-SY"/>
        </w:rPr>
        <w:t>»</w:t>
      </w:r>
      <w:r w:rsidR="00920257" w:rsidRPr="0021507A">
        <w:rPr>
          <w:rFonts w:ascii="Abo-thar" w:hAnsi="Abo-thar" w:cs="Arabic11 BT"/>
          <w:sz w:val="28"/>
          <w:vertAlign w:val="superscript"/>
          <w:rtl/>
          <w:lang w:bidi="ar-SY"/>
        </w:rPr>
        <w:t>(</w:t>
      </w:r>
      <w:r w:rsidR="00920257" w:rsidRPr="0021507A">
        <w:rPr>
          <w:rStyle w:val="FootnoteReference"/>
          <w:rFonts w:ascii="Abo-thar" w:hAnsi="Abo-thar" w:cs="Arabic11 BT"/>
          <w:sz w:val="28"/>
          <w:rtl/>
          <w:lang w:bidi="ar-SY"/>
        </w:rPr>
        <w:footnoteReference w:id="155"/>
      </w:r>
      <w:r w:rsidR="00920257" w:rsidRPr="0021507A">
        <w:rPr>
          <w:rFonts w:ascii="Abo-thar" w:hAnsi="Abo-thar" w:cs="Arabic11 BT"/>
          <w:sz w:val="28"/>
          <w:vertAlign w:val="superscript"/>
          <w:rtl/>
          <w:lang w:bidi="ar-SY"/>
        </w:rPr>
        <w:t>)</w:t>
      </w:r>
      <w:r w:rsidR="00217AB4" w:rsidRPr="003F3B94">
        <w:rPr>
          <w:rFonts w:ascii="Abo-thar" w:hAnsi="Abo-thar" w:hint="cs"/>
          <w:sz w:val="28"/>
          <w:rtl/>
          <w:lang w:bidi="ar-SY"/>
        </w:rPr>
        <w:t>.</w:t>
      </w:r>
    </w:p>
    <w:p w:rsidR="005C664D" w:rsidRPr="003F3B94" w:rsidRDefault="005C664D" w:rsidP="003F3B94">
      <w:pPr>
        <w:pStyle w:val="a0"/>
        <w:rPr>
          <w:rFonts w:hint="cs"/>
          <w:rtl/>
        </w:rPr>
      </w:pPr>
      <w:r w:rsidRPr="003F3B94">
        <w:rPr>
          <w:rFonts w:ascii="Abo-thar" w:hAnsi="Abo-thar" w:hint="cs"/>
          <w:sz w:val="28"/>
          <w:rtl/>
          <w:lang w:bidi="ar-SY"/>
        </w:rPr>
        <w:t xml:space="preserve">وقد رُوي هذا الحديث في سنن النسائي </w:t>
      </w:r>
      <w:r w:rsidR="00217AB4" w:rsidRPr="003F3B94">
        <w:rPr>
          <w:rFonts w:ascii="Abo-thar" w:hAnsi="Abo-thar" w:hint="cs"/>
          <w:sz w:val="28"/>
          <w:rtl/>
          <w:lang w:bidi="ar-SY"/>
        </w:rPr>
        <w:t>(</w:t>
      </w:r>
      <w:r w:rsidRPr="003F3B94">
        <w:rPr>
          <w:rFonts w:ascii="Abo-thar" w:hAnsi="Abo-thar" w:hint="cs"/>
          <w:sz w:val="28"/>
          <w:rtl/>
          <w:lang w:bidi="ar-SY"/>
        </w:rPr>
        <w:t>ج5</w:t>
      </w:r>
      <w:r w:rsidR="00920257" w:rsidRPr="003F3B94">
        <w:rPr>
          <w:rFonts w:ascii="Abo-thar" w:hAnsi="Abo-thar" w:hint="cs"/>
          <w:sz w:val="28"/>
          <w:rtl/>
          <w:lang w:bidi="ar-SY"/>
        </w:rPr>
        <w:t xml:space="preserve">، </w:t>
      </w:r>
      <w:r w:rsidRPr="003F3B94">
        <w:rPr>
          <w:rFonts w:ascii="Abo-thar" w:hAnsi="Abo-thar" w:hint="cs"/>
          <w:sz w:val="28"/>
          <w:rtl/>
          <w:lang w:bidi="ar-SY"/>
        </w:rPr>
        <w:t>ص 12</w:t>
      </w:r>
      <w:r w:rsidR="00217AB4" w:rsidRPr="003F3B94">
        <w:rPr>
          <w:rFonts w:ascii="Abo-thar" w:hAnsi="Abo-thar" w:hint="cs"/>
          <w:sz w:val="28"/>
          <w:rtl/>
          <w:lang w:bidi="ar-SY"/>
        </w:rPr>
        <w:t>)</w:t>
      </w:r>
      <w:r w:rsidR="00217AB4" w:rsidRPr="0021507A">
        <w:rPr>
          <w:rFonts w:cs="Arabic11 BT"/>
          <w:b/>
          <w:sz w:val="28"/>
          <w:vertAlign w:val="superscript"/>
          <w:rtl/>
          <w:lang w:bidi="ar-SY"/>
        </w:rPr>
        <w:t>(</w:t>
      </w:r>
      <w:r w:rsidRPr="0021507A">
        <w:rPr>
          <w:rStyle w:val="FootnoteReference"/>
          <w:rFonts w:cs="Arabic11 BT"/>
          <w:b/>
          <w:sz w:val="28"/>
          <w:rtl/>
          <w:lang w:bidi="ar-SY"/>
        </w:rPr>
        <w:footnoteReference w:id="156"/>
      </w:r>
      <w:r w:rsidR="00217AB4" w:rsidRPr="0021507A">
        <w:rPr>
          <w:rFonts w:cs="Arabic11 BT"/>
          <w:b/>
          <w:sz w:val="28"/>
          <w:vertAlign w:val="superscript"/>
          <w:rtl/>
          <w:lang w:bidi="ar-SY"/>
        </w:rPr>
        <w:t>)</w:t>
      </w:r>
      <w:r w:rsidRPr="003F3B94">
        <w:rPr>
          <w:sz w:val="28"/>
          <w:rtl/>
          <w:lang w:bidi="ar-SY"/>
        </w:rPr>
        <w:t xml:space="preserve"> </w:t>
      </w:r>
      <w:r w:rsidRPr="003F3B94">
        <w:rPr>
          <w:rFonts w:hint="cs"/>
          <w:sz w:val="28"/>
          <w:rtl/>
          <w:lang w:bidi="ar-SY"/>
        </w:rPr>
        <w:t>وقال المُحشِّي</w:t>
      </w:r>
      <w:r w:rsidR="00217AB4" w:rsidRPr="003F3B94">
        <w:rPr>
          <w:rFonts w:hint="cs"/>
          <w:sz w:val="28"/>
          <w:rtl/>
          <w:lang w:bidi="ar-SY"/>
        </w:rPr>
        <w:t>:</w:t>
      </w:r>
      <w:r w:rsidRPr="003F3B94">
        <w:rPr>
          <w:rFonts w:hint="cs"/>
          <w:sz w:val="28"/>
          <w:rtl/>
          <w:lang w:bidi="ar-SY"/>
        </w:rPr>
        <w:t xml:space="preserve"> </w:t>
      </w:r>
      <w:r w:rsidR="00EF2588" w:rsidRPr="003F3B94">
        <w:rPr>
          <w:rFonts w:hint="cs"/>
          <w:sz w:val="28"/>
          <w:rtl/>
          <w:lang w:bidi="ar-SY"/>
        </w:rPr>
        <w:t>«</w:t>
      </w:r>
      <w:r w:rsidRPr="003F3B94">
        <w:rPr>
          <w:rFonts w:hint="cs"/>
          <w:sz w:val="28"/>
          <w:rtl/>
          <w:lang w:bidi="ar-SY"/>
        </w:rPr>
        <w:t>وهذا الحديث منسوخٌ</w:t>
      </w:r>
      <w:r w:rsidR="00EF2588" w:rsidRPr="003F3B94">
        <w:rPr>
          <w:rFonts w:hint="cs"/>
          <w:sz w:val="28"/>
          <w:rtl/>
          <w:lang w:bidi="ar-SY"/>
        </w:rPr>
        <w:t>»</w:t>
      </w:r>
      <w:r w:rsidR="00217AB4" w:rsidRPr="003F3B94">
        <w:rPr>
          <w:rFonts w:hint="cs"/>
          <w:sz w:val="28"/>
          <w:rtl/>
          <w:lang w:bidi="ar-SY"/>
        </w:rPr>
        <w:t>.</w:t>
      </w:r>
      <w:r w:rsidRPr="003F3B94">
        <w:rPr>
          <w:rFonts w:hint="cs"/>
          <w:sz w:val="28"/>
          <w:rtl/>
          <w:lang w:bidi="ar-SY"/>
        </w:rPr>
        <w:t xml:space="preserve"> أي أن أخذ الغرامة</w:t>
      </w:r>
      <w:r w:rsidR="00147857" w:rsidRPr="003F3B94">
        <w:rPr>
          <w:rFonts w:hint="cs"/>
          <w:sz w:val="28"/>
          <w:rtl/>
          <w:lang w:bidi="ar-SY"/>
        </w:rPr>
        <w:t xml:space="preserve"> و</w:t>
      </w:r>
      <w:r w:rsidRPr="003F3B94">
        <w:rPr>
          <w:rFonts w:hint="cs"/>
          <w:sz w:val="28"/>
          <w:rtl/>
          <w:lang w:bidi="ar-SY"/>
        </w:rPr>
        <w:t>تحريم الصدقة على محمد وآل محمد منسوخان</w:t>
      </w:r>
      <w:r w:rsidR="00217AB4" w:rsidRPr="003F3B94">
        <w:rPr>
          <w:rFonts w:hint="cs"/>
          <w:sz w:val="28"/>
          <w:rtl/>
          <w:lang w:bidi="ar-SY"/>
        </w:rPr>
        <w:t>.</w:t>
      </w:r>
      <w:r w:rsidRPr="003F3B94">
        <w:rPr>
          <w:rFonts w:hint="cs"/>
          <w:sz w:val="28"/>
          <w:rtl/>
          <w:lang w:bidi="ar-SY"/>
        </w:rPr>
        <w:t xml:space="preserve"> وتؤيد الشواهد التي ستأتي لاحقاً هذا المدَّعى</w:t>
      </w:r>
      <w:r w:rsidR="00217AB4" w:rsidRPr="003F3B94">
        <w:rPr>
          <w:rFonts w:hint="cs"/>
          <w:sz w:val="28"/>
          <w:rtl/>
          <w:lang w:bidi="ar-SY"/>
        </w:rPr>
        <w:t>.</w:t>
      </w:r>
      <w:r w:rsidRPr="003F3B94">
        <w:rPr>
          <w:rFonts w:hint="cs"/>
          <w:sz w:val="28"/>
          <w:rtl/>
          <w:lang w:bidi="ar-SY"/>
        </w:rPr>
        <w:t xml:space="preserve"> فتبيَّن إذن أنه لما كان دفع الزكاة على بعض المسلمين شديداً</w:t>
      </w:r>
      <w:r w:rsidR="00147857" w:rsidRPr="003F3B94">
        <w:rPr>
          <w:rFonts w:hint="cs"/>
          <w:sz w:val="28"/>
          <w:rtl/>
          <w:lang w:bidi="ar-SY"/>
        </w:rPr>
        <w:t xml:space="preserve"> و</w:t>
      </w:r>
      <w:r w:rsidRPr="003F3B94">
        <w:rPr>
          <w:rFonts w:hint="cs"/>
          <w:sz w:val="28"/>
          <w:rtl/>
          <w:lang w:bidi="ar-SY"/>
        </w:rPr>
        <w:t>غير مستساغ كان رسول الله</w:t>
      </w:r>
      <w:r w:rsidR="00147857" w:rsidRPr="003F3B94">
        <w:rPr>
          <w:rFonts w:hint="cs"/>
          <w:sz w:val="28"/>
          <w:rtl/>
          <w:lang w:bidi="ar-SY"/>
        </w:rPr>
        <w:t xml:space="preserve"> </w:t>
      </w:r>
      <w:r w:rsidR="003C7AEB" w:rsidRPr="003C7AEB">
        <w:rPr>
          <w:rFonts w:ascii="Abo-thar" w:hAnsi="Abo-thar" w:cs="CTraditional Arabic"/>
          <w:sz w:val="28"/>
          <w:rtl/>
          <w:lang w:bidi="ar-SY"/>
        </w:rPr>
        <w:t>ص</w:t>
      </w:r>
      <w:r w:rsidR="00147857" w:rsidRPr="003F3B94">
        <w:rPr>
          <w:rFonts w:ascii="Abo-thar" w:hAnsi="Abo-thar"/>
          <w:sz w:val="28"/>
          <w:rtl/>
          <w:lang w:bidi="ar-SY"/>
        </w:rPr>
        <w:t xml:space="preserve"> </w:t>
      </w:r>
      <w:r w:rsidRPr="003F3B94">
        <w:rPr>
          <w:rFonts w:ascii="Abo-thar" w:hAnsi="Abo-thar" w:hint="cs"/>
          <w:sz w:val="28"/>
          <w:rtl/>
          <w:lang w:bidi="ar-SY"/>
        </w:rPr>
        <w:t xml:space="preserve">يأخذها منهم بشدة وقوة حتى ولو استدعى الأمر قتالهم عليها كما شرحنا كل ذلك في كتابنا </w:t>
      </w:r>
      <w:r w:rsidRPr="003F3B94">
        <w:rPr>
          <w:rFonts w:ascii="Lotus Linotype" w:hAnsi="Lotus Linotype"/>
          <w:sz w:val="28"/>
          <w:rtl/>
          <w:lang w:bidi="ar-SY"/>
        </w:rPr>
        <w:t>«</w:t>
      </w:r>
      <w:r w:rsidRPr="003F3B94">
        <w:rPr>
          <w:rFonts w:ascii="Lotus Linotype" w:hAnsi="Lotus Linotype" w:hint="cs"/>
          <w:sz w:val="28"/>
          <w:rtl/>
          <w:lang w:bidi="ar-SY"/>
        </w:rPr>
        <w:t>الزكاة</w:t>
      </w:r>
      <w:r w:rsidRPr="003F3B94">
        <w:rPr>
          <w:rFonts w:ascii="Lotus Linotype" w:hAnsi="Lotus Linotype"/>
          <w:sz w:val="28"/>
          <w:rtl/>
          <w:lang w:bidi="ar-SY"/>
        </w:rPr>
        <w:t>»</w:t>
      </w:r>
      <w:r w:rsidRPr="003F3B94">
        <w:rPr>
          <w:rFonts w:ascii="Abo-thar" w:hAnsi="Abo-thar" w:hint="cs"/>
          <w:sz w:val="28"/>
          <w:rtl/>
          <w:lang w:bidi="ar-SY"/>
        </w:rPr>
        <w:t xml:space="preserve"> ولذلك واحترازاً من أي تهمة باطلة قد يبثها المنافقون وبعض ضعاف الإيمان من أنه</w:t>
      </w:r>
      <w:r w:rsidR="00147857" w:rsidRPr="003F3B94">
        <w:rPr>
          <w:rFonts w:ascii="Abo-thar" w:hAnsi="Abo-thar" w:hint="cs"/>
          <w:sz w:val="28"/>
          <w:rtl/>
          <w:lang w:bidi="ar-SY"/>
        </w:rPr>
        <w:t xml:space="preserve"> </w:t>
      </w:r>
      <w:r w:rsidR="003C7AEB" w:rsidRPr="003C7AEB">
        <w:rPr>
          <w:rFonts w:ascii="Abo-thar" w:hAnsi="Abo-thar" w:cs="CTraditional Arabic"/>
          <w:sz w:val="28"/>
          <w:rtl/>
          <w:lang w:bidi="ar-SY"/>
        </w:rPr>
        <w:t>ص</w:t>
      </w:r>
      <w:r w:rsidR="00147857" w:rsidRPr="003F3B94">
        <w:rPr>
          <w:rFonts w:ascii="Abo-thar" w:hAnsi="Abo-thar"/>
          <w:sz w:val="28"/>
          <w:rtl/>
          <w:lang w:bidi="ar-SY"/>
        </w:rPr>
        <w:t xml:space="preserve"> </w:t>
      </w:r>
      <w:r w:rsidRPr="003F3B94">
        <w:rPr>
          <w:rFonts w:ascii="Abo-thar" w:hAnsi="Abo-thar" w:hint="cs"/>
          <w:sz w:val="28"/>
          <w:rtl/>
          <w:lang w:bidi="ar-SY"/>
        </w:rPr>
        <w:t>يفعل ذلك ليأكل منهم هذا المال</w:t>
      </w:r>
      <w:r w:rsidR="00920257" w:rsidRPr="003F3B94">
        <w:rPr>
          <w:rFonts w:ascii="Abo-thar" w:hAnsi="Abo-thar" w:hint="cs"/>
          <w:sz w:val="28"/>
          <w:rtl/>
          <w:lang w:bidi="ar-SY"/>
        </w:rPr>
        <w:t>،</w:t>
      </w:r>
      <w:r w:rsidRPr="003F3B94">
        <w:rPr>
          <w:rFonts w:ascii="Abo-thar" w:hAnsi="Abo-thar" w:hint="cs"/>
          <w:sz w:val="28"/>
          <w:rtl/>
          <w:lang w:bidi="ar-SY"/>
        </w:rPr>
        <w:t xml:space="preserve"> حرمها رسول الله</w:t>
      </w:r>
      <w:r w:rsidR="00147857" w:rsidRPr="003F3B94">
        <w:rPr>
          <w:rFonts w:ascii="Abo-thar" w:hAnsi="Abo-thar" w:hint="cs"/>
          <w:sz w:val="28"/>
          <w:rtl/>
          <w:lang w:bidi="ar-SY"/>
        </w:rPr>
        <w:t xml:space="preserve"> </w:t>
      </w:r>
      <w:r w:rsidR="003C7AEB" w:rsidRPr="003C7AEB">
        <w:rPr>
          <w:rFonts w:ascii="Abo-thar" w:hAnsi="Abo-thar" w:cs="CTraditional Arabic"/>
          <w:sz w:val="28"/>
          <w:rtl/>
          <w:lang w:bidi="ar-SY"/>
        </w:rPr>
        <w:t>ص</w:t>
      </w:r>
      <w:r w:rsidR="00147857" w:rsidRPr="003F3B94">
        <w:rPr>
          <w:rFonts w:ascii="Abo-thar" w:hAnsi="Abo-thar"/>
          <w:sz w:val="28"/>
          <w:rtl/>
          <w:lang w:bidi="ar-SY"/>
        </w:rPr>
        <w:t xml:space="preserve"> </w:t>
      </w:r>
      <w:r w:rsidRPr="003F3B94">
        <w:rPr>
          <w:rFonts w:ascii="Abo-thar" w:hAnsi="Abo-thar" w:hint="cs"/>
          <w:sz w:val="28"/>
          <w:rtl/>
          <w:lang w:bidi="ar-SY"/>
        </w:rPr>
        <w:t>على نفسه وعلى آله حتى لا يفسح أي مجال للشيطان ليلقي الشبهة في أذهان البعض بأنه إنما يتشدد كل هذا التشدد في أخذ الزكاة لأنه يريد أن يرتزق منها هو وأسرته وأقرباؤه</w:t>
      </w:r>
      <w:r w:rsidR="00217AB4" w:rsidRPr="003F3B94">
        <w:rPr>
          <w:rFonts w:ascii="Abo-thar" w:hAnsi="Abo-thar" w:hint="cs"/>
          <w:sz w:val="28"/>
          <w:rtl/>
          <w:lang w:bidi="ar-SY"/>
        </w:rPr>
        <w:t>،</w:t>
      </w:r>
      <w:r w:rsidRPr="003F3B94">
        <w:rPr>
          <w:rFonts w:ascii="Abo-thar" w:hAnsi="Abo-thar" w:hint="cs"/>
          <w:sz w:val="28"/>
          <w:rtl/>
          <w:lang w:bidi="ar-SY"/>
        </w:rPr>
        <w:t xml:space="preserve"> ونحن نعلم أنه في ذلك الزمن كان معاش النبيِّ ونسائه</w:t>
      </w:r>
      <w:r w:rsidR="00147857" w:rsidRPr="003F3B94">
        <w:rPr>
          <w:rFonts w:ascii="Abo-thar" w:hAnsi="Abo-thar" w:hint="cs"/>
          <w:sz w:val="28"/>
          <w:rtl/>
          <w:lang w:bidi="ar-SY"/>
        </w:rPr>
        <w:t xml:space="preserve"> و</w:t>
      </w:r>
      <w:r w:rsidRPr="003F3B94">
        <w:rPr>
          <w:rFonts w:ascii="Abo-thar" w:hAnsi="Abo-thar" w:hint="cs"/>
          <w:sz w:val="28"/>
          <w:rtl/>
          <w:lang w:bidi="ar-SY"/>
        </w:rPr>
        <w:t>أبنائه يؤمَّن عن طريق الفيء الذي أفاءه الله عليه من أموال بني النضير</w:t>
      </w:r>
      <w:r w:rsidR="00217AB4" w:rsidRPr="003F3B94">
        <w:rPr>
          <w:rFonts w:ascii="Abo-thar" w:hAnsi="Abo-thar" w:hint="cs"/>
          <w:sz w:val="28"/>
          <w:rtl/>
          <w:lang w:bidi="ar-SY"/>
        </w:rPr>
        <w:t>،</w:t>
      </w:r>
      <w:r w:rsidRPr="003F3B94">
        <w:rPr>
          <w:rFonts w:ascii="Abo-thar" w:hAnsi="Abo-thar" w:hint="cs"/>
          <w:sz w:val="28"/>
          <w:rtl/>
          <w:lang w:bidi="ar-SY"/>
        </w:rPr>
        <w:t xml:space="preserve"> ومن غنائم خيبر وأمثالها</w:t>
      </w:r>
      <w:r w:rsidR="00217AB4" w:rsidRPr="0021507A">
        <w:rPr>
          <w:rFonts w:cs="Arabic11 BT"/>
          <w:b/>
          <w:sz w:val="28"/>
          <w:vertAlign w:val="superscript"/>
          <w:rtl/>
          <w:lang w:bidi="ar-SY"/>
        </w:rPr>
        <w:t>(</w:t>
      </w:r>
      <w:r w:rsidRPr="0021507A">
        <w:rPr>
          <w:rStyle w:val="FootnoteReference"/>
          <w:rFonts w:cs="Arabic11 BT"/>
          <w:b/>
          <w:sz w:val="28"/>
          <w:rtl/>
          <w:lang w:bidi="ar-SY"/>
        </w:rPr>
        <w:footnoteReference w:id="157"/>
      </w:r>
      <w:r w:rsidR="00217AB4" w:rsidRPr="0021507A">
        <w:rPr>
          <w:rFonts w:cs="Arabic11 BT"/>
          <w:b/>
          <w:sz w:val="28"/>
          <w:vertAlign w:val="superscript"/>
          <w:rtl/>
          <w:lang w:bidi="ar-SY"/>
        </w:rPr>
        <w:t>)</w:t>
      </w:r>
      <w:r w:rsidR="00217AB4" w:rsidRPr="003F3B94">
        <w:rPr>
          <w:rFonts w:ascii="Abo-thar" w:hAnsi="Abo-thar" w:hint="cs"/>
          <w:sz w:val="28"/>
          <w:rtl/>
          <w:lang w:bidi="ar-SY"/>
        </w:rPr>
        <w:t>،</w:t>
      </w:r>
      <w:r w:rsidRPr="003F3B94">
        <w:rPr>
          <w:rFonts w:ascii="Abo-thar" w:hAnsi="Abo-thar" w:hint="cs"/>
          <w:sz w:val="28"/>
          <w:rtl/>
          <w:lang w:bidi="ar-SY"/>
        </w:rPr>
        <w:t xml:space="preserve"> إذ إن تلك الأموال كانت أموال الكفار ولم يكن في ارتزاق رسول الله</w:t>
      </w:r>
      <w:r w:rsidR="00147857" w:rsidRPr="003F3B94">
        <w:rPr>
          <w:rFonts w:ascii="Abo-thar" w:hAnsi="Abo-thar" w:hint="cs"/>
          <w:sz w:val="28"/>
          <w:rtl/>
          <w:lang w:bidi="ar-SY"/>
        </w:rPr>
        <w:t xml:space="preserve"> </w:t>
      </w:r>
      <w:r w:rsidR="003C7AEB" w:rsidRPr="003C7AEB">
        <w:rPr>
          <w:rFonts w:ascii="Abo-thar" w:hAnsi="Abo-thar" w:cs="CTraditional Arabic"/>
          <w:sz w:val="28"/>
          <w:rtl/>
          <w:lang w:bidi="ar-SY"/>
        </w:rPr>
        <w:t>ص</w:t>
      </w:r>
      <w:r w:rsidR="00147857" w:rsidRPr="003F3B94">
        <w:rPr>
          <w:rFonts w:ascii="Abo-thar" w:hAnsi="Abo-thar"/>
          <w:sz w:val="28"/>
          <w:rtl/>
          <w:lang w:bidi="ar-SY"/>
        </w:rPr>
        <w:t xml:space="preserve"> </w:t>
      </w:r>
      <w:r w:rsidR="00147857" w:rsidRPr="003F3B94">
        <w:rPr>
          <w:rFonts w:ascii="Abo-thar" w:hAnsi="Abo-thar" w:hint="cs"/>
          <w:sz w:val="28"/>
          <w:rtl/>
          <w:lang w:bidi="ar-SY"/>
        </w:rPr>
        <w:t>و</w:t>
      </w:r>
      <w:r w:rsidRPr="003F3B94">
        <w:rPr>
          <w:rFonts w:ascii="Abo-thar" w:hAnsi="Abo-thar" w:hint="cs"/>
          <w:sz w:val="28"/>
          <w:rtl/>
          <w:lang w:bidi="ar-SY"/>
        </w:rPr>
        <w:t>أهل بيته منها أي ضغط على المسلمين أو أمر غير مستساغ يثقل عليهم تحمّله</w:t>
      </w:r>
      <w:r w:rsidR="00217AB4" w:rsidRPr="003F3B94">
        <w:rPr>
          <w:rFonts w:ascii="Abo-thar" w:hAnsi="Abo-thar" w:hint="cs"/>
          <w:sz w:val="28"/>
          <w:rtl/>
          <w:lang w:bidi="ar-SY"/>
        </w:rPr>
        <w:t>،</w:t>
      </w:r>
      <w:r w:rsidRPr="003F3B94">
        <w:rPr>
          <w:rFonts w:ascii="Abo-thar" w:hAnsi="Abo-thar" w:hint="cs"/>
          <w:sz w:val="28"/>
          <w:rtl/>
          <w:lang w:bidi="ar-SY"/>
        </w:rPr>
        <w:t xml:space="preserve"> بل كان النبي</w:t>
      </w:r>
      <w:r w:rsidR="00147857" w:rsidRPr="003F3B94">
        <w:rPr>
          <w:rFonts w:ascii="Abo-thar" w:hAnsi="Abo-thar" w:hint="cs"/>
          <w:sz w:val="28"/>
          <w:rtl/>
          <w:lang w:bidi="ar-SY"/>
        </w:rPr>
        <w:t xml:space="preserve"> </w:t>
      </w:r>
      <w:r w:rsidR="003C7AEB" w:rsidRPr="003C7AEB">
        <w:rPr>
          <w:rFonts w:ascii="Abo-thar" w:hAnsi="Abo-thar" w:cs="CTraditional Arabic"/>
          <w:sz w:val="28"/>
          <w:rtl/>
          <w:lang w:bidi="ar-SY"/>
        </w:rPr>
        <w:t>ص</w:t>
      </w:r>
      <w:r w:rsidR="00147857" w:rsidRPr="003F3B94">
        <w:rPr>
          <w:rFonts w:ascii="Abo-thar" w:hAnsi="Abo-thar"/>
          <w:sz w:val="28"/>
          <w:rtl/>
          <w:lang w:bidi="ar-SY"/>
        </w:rPr>
        <w:t xml:space="preserve"> </w:t>
      </w:r>
      <w:r w:rsidRPr="003F3B94">
        <w:rPr>
          <w:rFonts w:ascii="Abo-thar" w:hAnsi="Abo-thar" w:hint="cs"/>
          <w:sz w:val="28"/>
          <w:rtl/>
          <w:lang w:bidi="ar-SY"/>
        </w:rPr>
        <w:t>لا</w:t>
      </w:r>
      <w:r w:rsidRPr="003F3B94">
        <w:rPr>
          <w:rFonts w:cs="Times New Roman" w:hint="cs"/>
          <w:sz w:val="28"/>
          <w:rtl/>
          <w:lang w:bidi="ar-SY"/>
        </w:rPr>
        <w:t> </w:t>
      </w:r>
      <w:r w:rsidRPr="003F3B94">
        <w:rPr>
          <w:rFonts w:ascii="Abo-thar" w:hAnsi="Abo-thar" w:hint="cs"/>
          <w:sz w:val="28"/>
          <w:rtl/>
          <w:lang w:bidi="ar-SY"/>
        </w:rPr>
        <w:t xml:space="preserve">يوظف أقرباءه بوظيفة جباية الصدقات </w:t>
      </w:r>
      <w:r w:rsidRPr="003F3B94">
        <w:rPr>
          <w:rFonts w:cs="Times New Roman" w:hint="cs"/>
          <w:sz w:val="28"/>
          <w:rtl/>
          <w:lang w:bidi="ar-SY"/>
        </w:rPr>
        <w:t>–</w:t>
      </w:r>
      <w:r w:rsidRPr="003F3B94">
        <w:rPr>
          <w:rFonts w:ascii="Abo-thar" w:hAnsi="Abo-thar" w:hint="cs"/>
          <w:sz w:val="28"/>
          <w:rtl/>
          <w:lang w:bidi="ar-SY"/>
        </w:rPr>
        <w:t xml:space="preserve"> كما مر بيانه من قبل </w:t>
      </w:r>
      <w:r w:rsidR="00217AB4" w:rsidRPr="003F3B94">
        <w:rPr>
          <w:rFonts w:ascii="Abo-thar" w:hAnsi="Abo-thar" w:hint="cs"/>
          <w:sz w:val="28"/>
          <w:rtl/>
          <w:lang w:bidi="ar-SY"/>
        </w:rPr>
        <w:t>-</w:t>
      </w:r>
      <w:r w:rsidRPr="003F3B94">
        <w:rPr>
          <w:rFonts w:ascii="Abo-thar" w:hAnsi="Abo-thar" w:hint="cs"/>
          <w:sz w:val="28"/>
          <w:rtl/>
          <w:lang w:bidi="ar-SY"/>
        </w:rPr>
        <w:t xml:space="preserve"> لشدة احترازه من تلك التهمة</w:t>
      </w:r>
      <w:r w:rsidR="00217AB4" w:rsidRPr="003F3B94">
        <w:rPr>
          <w:rFonts w:ascii="Abo-thar" w:hAnsi="Abo-thar" w:hint="cs"/>
          <w:sz w:val="28"/>
          <w:rtl/>
          <w:lang w:bidi="ar-SY"/>
        </w:rPr>
        <w:t>.</w:t>
      </w:r>
      <w:r w:rsidRPr="003F3B94">
        <w:rPr>
          <w:rFonts w:ascii="Abo-thar" w:hAnsi="Abo-thar" w:hint="cs"/>
          <w:sz w:val="28"/>
          <w:rtl/>
          <w:lang w:bidi="ar-SY"/>
        </w:rPr>
        <w:t xml:space="preserve"> </w:t>
      </w:r>
    </w:p>
    <w:p w:rsidR="005C664D" w:rsidRPr="003F3B94" w:rsidRDefault="005C664D" w:rsidP="003F3B94">
      <w:pPr>
        <w:pStyle w:val="a0"/>
        <w:rPr>
          <w:rFonts w:hint="cs"/>
          <w:rtl/>
          <w:lang w:bidi="ar-SY"/>
        </w:rPr>
      </w:pPr>
      <w:r w:rsidRPr="003F3B94">
        <w:rPr>
          <w:rFonts w:hint="cs"/>
          <w:sz w:val="28"/>
          <w:rtl/>
          <w:lang w:bidi="ar-SY"/>
        </w:rPr>
        <w:t>ولكن بعد رحيل النبي</w:t>
      </w:r>
      <w:r w:rsidR="00147857" w:rsidRPr="003F3B94">
        <w:rPr>
          <w:rFonts w:hint="cs"/>
          <w:sz w:val="28"/>
          <w:rtl/>
          <w:lang w:bidi="ar-SY"/>
        </w:rPr>
        <w:t xml:space="preserve"> </w:t>
      </w:r>
      <w:r w:rsidR="003C7AEB" w:rsidRPr="003C7AEB">
        <w:rPr>
          <w:rFonts w:ascii="Abo-thar" w:hAnsi="Abo-thar" w:cs="CTraditional Arabic"/>
          <w:sz w:val="28"/>
          <w:rtl/>
          <w:lang w:bidi="ar-SY"/>
        </w:rPr>
        <w:t>ص</w:t>
      </w:r>
      <w:r w:rsidR="00147857" w:rsidRPr="003F3B94">
        <w:rPr>
          <w:rFonts w:ascii="Abo-thar" w:hAnsi="Abo-thar"/>
          <w:sz w:val="28"/>
          <w:rtl/>
          <w:lang w:bidi="ar-SY"/>
        </w:rPr>
        <w:t xml:space="preserve"> </w:t>
      </w:r>
      <w:r w:rsidRPr="003F3B94">
        <w:rPr>
          <w:rFonts w:ascii="Abo-thar" w:hAnsi="Abo-thar" w:hint="cs"/>
          <w:sz w:val="28"/>
          <w:rtl/>
          <w:lang w:bidi="ar-SY"/>
        </w:rPr>
        <w:t>لم تعد الخشية من مثل تلك التهمة مطروحةً</w:t>
      </w:r>
      <w:r w:rsidR="00217AB4" w:rsidRPr="003F3B94">
        <w:rPr>
          <w:rFonts w:ascii="Abo-thar" w:hAnsi="Abo-thar" w:hint="cs"/>
          <w:sz w:val="28"/>
          <w:rtl/>
          <w:lang w:bidi="ar-SY"/>
        </w:rPr>
        <w:t>،</w:t>
      </w:r>
      <w:r w:rsidRPr="003F3B94">
        <w:rPr>
          <w:rFonts w:ascii="Abo-thar" w:hAnsi="Abo-thar" w:hint="cs"/>
          <w:sz w:val="28"/>
          <w:rtl/>
          <w:lang w:bidi="ar-SY"/>
        </w:rPr>
        <w:t xml:space="preserve"> لذا رأينا أن تحريم الصدقة على آل محمد</w:t>
      </w:r>
      <w:r w:rsidR="00147857" w:rsidRPr="003F3B94">
        <w:rPr>
          <w:rFonts w:ascii="Abo-thar" w:hAnsi="Abo-thar" w:hint="cs"/>
          <w:sz w:val="28"/>
          <w:rtl/>
          <w:lang w:bidi="ar-SY"/>
        </w:rPr>
        <w:t xml:space="preserve"> </w:t>
      </w:r>
      <w:r w:rsidR="003C7AEB" w:rsidRPr="003C7AEB">
        <w:rPr>
          <w:rFonts w:ascii="Abo-thar" w:hAnsi="Abo-thar" w:cs="CTraditional Arabic"/>
          <w:sz w:val="28"/>
          <w:rtl/>
          <w:lang w:bidi="ar-SY"/>
        </w:rPr>
        <w:t>ص</w:t>
      </w:r>
      <w:r w:rsidR="00147857" w:rsidRPr="003F3B94">
        <w:rPr>
          <w:rFonts w:ascii="Abo-thar" w:hAnsi="Abo-thar"/>
          <w:sz w:val="28"/>
          <w:rtl/>
          <w:lang w:bidi="ar-SY"/>
        </w:rPr>
        <w:t xml:space="preserve"> </w:t>
      </w:r>
      <w:r w:rsidRPr="003F3B94">
        <w:rPr>
          <w:rFonts w:ascii="Abo-thar" w:hAnsi="Abo-thar" w:hint="cs"/>
          <w:sz w:val="28"/>
          <w:rtl/>
          <w:lang w:bidi="ar-SY"/>
        </w:rPr>
        <w:t>فقد فلسفته ومعناه</w:t>
      </w:r>
      <w:r w:rsidR="00217AB4" w:rsidRPr="003F3B94">
        <w:rPr>
          <w:rFonts w:ascii="Abo-thar" w:hAnsi="Abo-thar" w:hint="cs"/>
          <w:sz w:val="28"/>
          <w:rtl/>
          <w:lang w:bidi="ar-SY"/>
        </w:rPr>
        <w:t>،</w:t>
      </w:r>
      <w:r w:rsidRPr="003F3B94">
        <w:rPr>
          <w:rFonts w:ascii="Abo-thar" w:hAnsi="Abo-thar" w:hint="cs"/>
          <w:sz w:val="28"/>
          <w:rtl/>
          <w:lang w:bidi="ar-SY"/>
        </w:rPr>
        <w:t xml:space="preserve"> وصار أهل بيت النبي وأقرباؤه</w:t>
      </w:r>
      <w:r w:rsidR="00147857" w:rsidRPr="003F3B94">
        <w:rPr>
          <w:rFonts w:ascii="Abo-thar" w:hAnsi="Abo-thar" w:hint="cs"/>
          <w:sz w:val="28"/>
          <w:rtl/>
          <w:lang w:bidi="ar-SY"/>
        </w:rPr>
        <w:t xml:space="preserve"> و</w:t>
      </w:r>
      <w:r w:rsidRPr="003F3B94">
        <w:rPr>
          <w:rFonts w:ascii="Abo-thar" w:hAnsi="Abo-thar" w:hint="cs"/>
          <w:sz w:val="28"/>
          <w:rtl/>
          <w:lang w:bidi="ar-SY"/>
        </w:rPr>
        <w:t>نساء النبيِّ والأشخاص الذين كانوا يُعَدُّون زمن حضرته من ذوي قرباه يستفيدون من بيت المال ويرتزقون منه كسائر المسلمين رغم أن أحد أهم مصادر أموال بيت المال هي أخذ الصدقات وأموال الزكاة كما تشهد لذلك كتب التواريخ والسِّيَر</w:t>
      </w:r>
      <w:r w:rsidR="00147857" w:rsidRPr="003F3B94">
        <w:rPr>
          <w:rFonts w:ascii="Abo-thar" w:hAnsi="Abo-thar" w:hint="cs"/>
          <w:sz w:val="28"/>
          <w:rtl/>
          <w:lang w:bidi="ar-SY"/>
        </w:rPr>
        <w:t xml:space="preserve"> و</w:t>
      </w:r>
      <w:r w:rsidRPr="003F3B94">
        <w:rPr>
          <w:rFonts w:ascii="Abo-thar" w:hAnsi="Abo-thar" w:hint="cs"/>
          <w:sz w:val="28"/>
          <w:rtl/>
          <w:lang w:bidi="ar-SY"/>
        </w:rPr>
        <w:t>تصرِّح به الأحاديث الصحيحة الموثوقة</w:t>
      </w:r>
      <w:r w:rsidR="00217AB4" w:rsidRPr="003F3B94">
        <w:rPr>
          <w:rFonts w:ascii="Abo-thar" w:hAnsi="Abo-thar" w:hint="cs"/>
          <w:sz w:val="28"/>
          <w:rtl/>
          <w:lang w:bidi="ar-SY"/>
        </w:rPr>
        <w:t>،</w:t>
      </w:r>
      <w:r w:rsidRPr="003F3B94">
        <w:rPr>
          <w:rFonts w:ascii="Abo-thar" w:hAnsi="Abo-thar" w:hint="cs"/>
          <w:sz w:val="28"/>
          <w:rtl/>
          <w:lang w:bidi="ar-SY"/>
        </w:rPr>
        <w:t xml:space="preserve"> وسنذكر بعض الشواهد على ذلك في الصفحات المقبلة إن شاء الله</w:t>
      </w:r>
      <w:r w:rsidR="00217AB4" w:rsidRPr="003F3B94">
        <w:rPr>
          <w:rFonts w:ascii="Abo-thar" w:hAnsi="Abo-thar" w:hint="cs"/>
          <w:sz w:val="28"/>
          <w:rtl/>
          <w:lang w:bidi="ar-SY"/>
        </w:rPr>
        <w:t>،</w:t>
      </w:r>
      <w:r w:rsidR="00147857" w:rsidRPr="003F3B94">
        <w:rPr>
          <w:rFonts w:ascii="Abo-thar" w:hAnsi="Abo-thar" w:hint="cs"/>
          <w:sz w:val="28"/>
          <w:rtl/>
          <w:lang w:bidi="ar-SY"/>
        </w:rPr>
        <w:t xml:space="preserve"> و</w:t>
      </w:r>
      <w:r w:rsidRPr="003F3B94">
        <w:rPr>
          <w:rFonts w:ascii="Abo-thar" w:hAnsi="Abo-thar" w:hint="cs"/>
          <w:sz w:val="28"/>
          <w:rtl/>
          <w:lang w:bidi="ar-SY"/>
        </w:rPr>
        <w:t>سنذكر أحاديثَ من كتب الحديث الشيعية المعتمدة تبين أن تلك الصدقات ومال الزكاة إنما</w:t>
      </w:r>
      <w:r w:rsidR="00147857" w:rsidRPr="003F3B94">
        <w:rPr>
          <w:rFonts w:ascii="Abo-thar" w:hAnsi="Abo-thar" w:hint="cs"/>
          <w:sz w:val="28"/>
          <w:rtl/>
          <w:lang w:bidi="ar-SY"/>
        </w:rPr>
        <w:t xml:space="preserve"> </w:t>
      </w:r>
      <w:r w:rsidRPr="003F3B94">
        <w:rPr>
          <w:rFonts w:ascii="Abo-thar" w:hAnsi="Abo-thar" w:hint="cs"/>
          <w:sz w:val="28"/>
          <w:rtl/>
          <w:lang w:bidi="ar-SY"/>
        </w:rPr>
        <w:t>كانت محرّمةً على شخص النبيِّ الأكرم فقط وكانت هذه الحرمة سارية أيضاً على الأشخاص الذين كانوا مباشرةً تحت كنفه أي الذين كان</w:t>
      </w:r>
      <w:r w:rsidR="00147857" w:rsidRPr="003F3B94">
        <w:rPr>
          <w:rFonts w:ascii="Abo-thar" w:hAnsi="Abo-thar" w:hint="cs"/>
          <w:sz w:val="28"/>
          <w:rtl/>
          <w:lang w:bidi="ar-SY"/>
        </w:rPr>
        <w:t xml:space="preserve"> </w:t>
      </w:r>
      <w:r w:rsidR="003C7AEB" w:rsidRPr="003C7AEB">
        <w:rPr>
          <w:rFonts w:ascii="Abo-thar" w:hAnsi="Abo-thar" w:cs="CTraditional Arabic"/>
          <w:sz w:val="28"/>
          <w:rtl/>
          <w:lang w:bidi="ar-SY"/>
        </w:rPr>
        <w:t>ص</w:t>
      </w:r>
      <w:r w:rsidR="00147857" w:rsidRPr="003F3B94">
        <w:rPr>
          <w:rFonts w:ascii="Abo-thar" w:hAnsi="Abo-thar"/>
          <w:sz w:val="28"/>
          <w:rtl/>
          <w:lang w:bidi="ar-SY"/>
        </w:rPr>
        <w:t xml:space="preserve"> </w:t>
      </w:r>
      <w:r w:rsidRPr="003F3B94">
        <w:rPr>
          <w:rFonts w:ascii="Abo-thar" w:hAnsi="Abo-thar" w:hint="cs"/>
          <w:sz w:val="28"/>
          <w:rtl/>
          <w:lang w:bidi="ar-SY"/>
        </w:rPr>
        <w:t>يعيلهم وينفق عليهم بوصفهم عياله وأبنائه الذين تجب عليه إعالتهم</w:t>
      </w:r>
      <w:r w:rsidR="00217AB4" w:rsidRPr="003F3B94">
        <w:rPr>
          <w:rFonts w:ascii="Abo-thar" w:hAnsi="Abo-thar" w:hint="cs"/>
          <w:sz w:val="28"/>
          <w:rtl/>
          <w:lang w:bidi="ar-SY"/>
        </w:rPr>
        <w:t>،</w:t>
      </w:r>
      <w:r w:rsidRPr="003F3B94">
        <w:rPr>
          <w:rFonts w:ascii="Abo-thar" w:hAnsi="Abo-thar" w:hint="cs"/>
          <w:sz w:val="28"/>
          <w:rtl/>
          <w:lang w:bidi="ar-SY"/>
        </w:rPr>
        <w:t xml:space="preserve"> كما جاء بيان ذلك في «تهذيب الأحكام» للشيخ الطوسي وفي </w:t>
      </w:r>
      <w:r w:rsidRPr="003F3B94">
        <w:rPr>
          <w:rFonts w:ascii="Lotus Linotype" w:hAnsi="Lotus Linotype"/>
          <w:sz w:val="28"/>
          <w:rtl/>
          <w:lang w:bidi="ar-SY"/>
        </w:rPr>
        <w:t>«</w:t>
      </w:r>
      <w:r w:rsidRPr="003F3B94">
        <w:rPr>
          <w:rFonts w:ascii="Lotus Linotype" w:hAnsi="Lotus Linotype" w:hint="cs"/>
          <w:sz w:val="28"/>
          <w:rtl/>
          <w:lang w:bidi="ar-SY"/>
        </w:rPr>
        <w:t>الكافي</w:t>
      </w:r>
      <w:r w:rsidRPr="003F3B94">
        <w:rPr>
          <w:rFonts w:ascii="Lotus Linotype" w:hAnsi="Lotus Linotype"/>
          <w:sz w:val="28"/>
          <w:rtl/>
          <w:lang w:bidi="ar-SY"/>
        </w:rPr>
        <w:t>»</w:t>
      </w:r>
      <w:r w:rsidRPr="003F3B94">
        <w:rPr>
          <w:rFonts w:ascii="Abo-thar" w:hAnsi="Abo-thar" w:hint="cs"/>
          <w:sz w:val="28"/>
          <w:rtl/>
          <w:lang w:bidi="ar-SY"/>
        </w:rPr>
        <w:t xml:space="preserve"> للكُلَيْنِيّ</w:t>
      </w:r>
      <w:r w:rsidR="00217AB4" w:rsidRPr="003F3B94">
        <w:rPr>
          <w:rFonts w:ascii="Abo-thar" w:hAnsi="Abo-thar" w:hint="cs"/>
          <w:sz w:val="28"/>
          <w:rtl/>
          <w:lang w:bidi="ar-SY"/>
        </w:rPr>
        <w:t>:</w:t>
      </w:r>
    </w:p>
    <w:p w:rsidR="005C664D" w:rsidRPr="003F3B94" w:rsidRDefault="005C664D" w:rsidP="003F3B94">
      <w:pPr>
        <w:pStyle w:val="a0"/>
        <w:rPr>
          <w:rFonts w:hint="cs"/>
          <w:rtl/>
          <w:lang w:bidi="ar-SY"/>
        </w:rPr>
      </w:pPr>
      <w:r w:rsidRPr="003F3B94">
        <w:rPr>
          <w:rFonts w:ascii="Abo-thar" w:hAnsi="Abo-thar" w:hint="cs"/>
          <w:sz w:val="28"/>
          <w:rtl/>
          <w:lang w:bidi="ar-SY"/>
        </w:rPr>
        <w:t>1</w:t>
      </w:r>
      <w:r w:rsidR="00217AB4" w:rsidRPr="003F3B94">
        <w:rPr>
          <w:rFonts w:ascii="Abo-thar" w:hAnsi="Abo-thar" w:hint="cs"/>
          <w:sz w:val="28"/>
          <w:rtl/>
          <w:lang w:bidi="ar-SY"/>
        </w:rPr>
        <w:t>-</w:t>
      </w:r>
      <w:r w:rsidR="00EF2588" w:rsidRPr="004A3642">
        <w:rPr>
          <w:rFonts w:ascii="Abo-thar" w:hAnsi="Abo-thar" w:cs="KFGQPC Uthman Taha Naskh" w:hint="cs"/>
          <w:sz w:val="28"/>
          <w:rtl/>
          <w:lang w:bidi="ar-SY"/>
        </w:rPr>
        <w:t>«</w:t>
      </w:r>
      <w:r w:rsidRPr="004A3642">
        <w:rPr>
          <w:rFonts w:ascii="Abo-thar" w:hAnsi="Abo-thar" w:cs="KFGQPC Uthman Taha Naskh"/>
          <w:sz w:val="28"/>
          <w:rtl/>
          <w:lang w:bidi="ar-SY"/>
        </w:rPr>
        <w:t xml:space="preserve">عَنْ </w:t>
      </w:r>
      <w:r w:rsidRPr="004A3642">
        <w:rPr>
          <w:rFonts w:ascii="Abo-thar" w:hAnsi="Abo-thar" w:cs="KFGQPC Uthman Taha Naskh" w:hint="cs"/>
          <w:sz w:val="28"/>
          <w:rtl/>
          <w:lang w:bidi="ar-SY"/>
        </w:rPr>
        <w:t xml:space="preserve">حضرة الباقر وحضرة الصادق </w:t>
      </w:r>
      <w:r w:rsidR="003C7AEB" w:rsidRPr="003C7AEB">
        <w:rPr>
          <w:rFonts w:ascii="Abo-thar" w:hAnsi="Abo-thar" w:cs="CTraditional Arabic" w:hint="cs"/>
          <w:sz w:val="28"/>
          <w:rtl/>
          <w:lang w:bidi="ar-SY"/>
        </w:rPr>
        <w:t>إ</w:t>
      </w:r>
      <w:r w:rsidRPr="004A3642">
        <w:rPr>
          <w:rFonts w:ascii="Abo-thar" w:hAnsi="Abo-thar" w:cs="KFGQPC Uthman Taha Naskh"/>
          <w:sz w:val="28"/>
          <w:rtl/>
          <w:lang w:bidi="ar-SY"/>
        </w:rPr>
        <w:t xml:space="preserve"> قَالَا</w:t>
      </w:r>
      <w:r w:rsidR="00217AB4" w:rsidRPr="004A3642">
        <w:rPr>
          <w:rFonts w:ascii="Abo-thar" w:hAnsi="Abo-thar" w:cs="KFGQPC Uthman Taha Naskh" w:hint="cs"/>
          <w:sz w:val="28"/>
          <w:rtl/>
          <w:lang w:bidi="ar-SY"/>
        </w:rPr>
        <w:t>:</w:t>
      </w:r>
      <w:r w:rsidRPr="004A3642">
        <w:rPr>
          <w:rFonts w:ascii="Abo-thar" w:hAnsi="Abo-thar" w:cs="KFGQPC Uthman Taha Naskh"/>
          <w:sz w:val="28"/>
          <w:rtl/>
          <w:lang w:bidi="ar-SY"/>
        </w:rPr>
        <w:t xml:space="preserve"> قَالَ رَسُولُ </w:t>
      </w:r>
      <w:r w:rsidRPr="004A3642">
        <w:rPr>
          <w:rFonts w:ascii="Abo-thar" w:hAnsi="Abo-thar" w:cs="KFGQPC Uthman Taha Naskh" w:hint="cs"/>
          <w:sz w:val="28"/>
          <w:rtl/>
          <w:lang w:bidi="ar-SY"/>
        </w:rPr>
        <w:t>اللهِ</w:t>
      </w:r>
      <w:r w:rsidR="00147857" w:rsidRPr="004A3642">
        <w:rPr>
          <w:rFonts w:ascii="Abo-thar" w:hAnsi="Abo-thar" w:cs="KFGQPC Uthman Taha Naskh"/>
          <w:sz w:val="28"/>
          <w:rtl/>
          <w:lang w:bidi="ar-SY"/>
        </w:rPr>
        <w:t xml:space="preserve"> </w:t>
      </w:r>
      <w:r w:rsidR="003C7AEB" w:rsidRPr="003C7AEB">
        <w:rPr>
          <w:rFonts w:ascii="Abo-thar" w:hAnsi="Abo-thar" w:cs="CTraditional Arabic"/>
          <w:sz w:val="28"/>
          <w:rtl/>
          <w:lang w:bidi="ar-SY"/>
        </w:rPr>
        <w:t>ص</w:t>
      </w:r>
      <w:r w:rsidR="00217AB4" w:rsidRPr="004A3642">
        <w:rPr>
          <w:rFonts w:ascii="Abo-thar" w:hAnsi="Abo-thar" w:cs="KFGQPC Uthman Taha Naskh"/>
          <w:sz w:val="28"/>
          <w:rtl/>
          <w:lang w:bidi="ar-SY"/>
        </w:rPr>
        <w:t>:</w:t>
      </w:r>
      <w:r w:rsidRPr="004A3642">
        <w:rPr>
          <w:rFonts w:ascii="Abo-thar" w:hAnsi="Abo-thar" w:cs="KFGQPC Uthman Taha Naskh"/>
          <w:sz w:val="28"/>
          <w:rtl/>
          <w:lang w:bidi="ar-SY"/>
        </w:rPr>
        <w:t xml:space="preserve"> </w:t>
      </w:r>
      <w:r w:rsidRPr="004A3642">
        <w:rPr>
          <w:rFonts w:ascii="Abo-thar" w:hAnsi="Abo-thar" w:cs="KFGQPC Uthman Taha Naskh"/>
          <w:b/>
          <w:bCs/>
          <w:sz w:val="28"/>
          <w:rtl/>
          <w:lang w:bidi="ar-SY"/>
        </w:rPr>
        <w:t xml:space="preserve">إِنَّ الصَّدَقَةَ أَوْسَاخُ أَيْدِي النَّاسِ وَإِنَّ </w:t>
      </w:r>
      <w:r w:rsidRPr="004A3642">
        <w:rPr>
          <w:rFonts w:ascii="Abo-thar" w:hAnsi="Abo-thar" w:cs="KFGQPC Uthman Taha Naskh" w:hint="cs"/>
          <w:b/>
          <w:bCs/>
          <w:sz w:val="28"/>
          <w:rtl/>
          <w:lang w:bidi="ar-SY"/>
        </w:rPr>
        <w:t>اللهَ</w:t>
      </w:r>
      <w:r w:rsidRPr="004A3642">
        <w:rPr>
          <w:rFonts w:ascii="Abo-thar" w:hAnsi="Abo-thar" w:cs="KFGQPC Uthman Taha Naskh"/>
          <w:b/>
          <w:bCs/>
          <w:sz w:val="28"/>
          <w:rtl/>
          <w:lang w:bidi="ar-SY"/>
        </w:rPr>
        <w:t xml:space="preserve"> حَرَّمَ عَلَيَّ مِنْهَا وَمِنْ غَيْرِهَا مَا قَدْ حَرَّمَهُ</w:t>
      </w:r>
      <w:r w:rsidR="00217AB4" w:rsidRPr="004A3642">
        <w:rPr>
          <w:rFonts w:ascii="Abo-thar" w:hAnsi="Abo-thar" w:cs="KFGQPC Uthman Taha Naskh" w:hint="cs"/>
          <w:sz w:val="28"/>
          <w:rtl/>
          <w:lang w:bidi="ar-SY"/>
        </w:rPr>
        <w:t>...</w:t>
      </w:r>
      <w:r w:rsidR="00EF2588" w:rsidRPr="004A3642">
        <w:rPr>
          <w:rFonts w:ascii="Abo-thar" w:hAnsi="Abo-thar" w:cs="KFGQPC Uthman Taha Naskh" w:hint="cs"/>
          <w:sz w:val="28"/>
          <w:rtl/>
          <w:lang w:bidi="ar-SY"/>
        </w:rPr>
        <w:t>»</w:t>
      </w:r>
      <w:r w:rsidR="00920257" w:rsidRPr="0021507A">
        <w:rPr>
          <w:rFonts w:ascii="Abo-thar" w:hAnsi="Abo-thar" w:cs="Arabic11 BT"/>
          <w:sz w:val="28"/>
          <w:vertAlign w:val="superscript"/>
          <w:rtl/>
          <w:lang w:bidi="ar-SY"/>
        </w:rPr>
        <w:t>(</w:t>
      </w:r>
      <w:r w:rsidR="00920257" w:rsidRPr="0021507A">
        <w:rPr>
          <w:rStyle w:val="FootnoteReference"/>
          <w:rFonts w:ascii="Abo-thar" w:hAnsi="Abo-thar" w:cs="Arabic11 BT"/>
          <w:sz w:val="28"/>
          <w:rtl/>
          <w:lang w:bidi="ar-SY"/>
        </w:rPr>
        <w:footnoteReference w:id="158"/>
      </w:r>
      <w:r w:rsidR="00920257" w:rsidRPr="0021507A">
        <w:rPr>
          <w:rFonts w:ascii="Abo-thar" w:hAnsi="Abo-thar" w:cs="Arabic11 BT"/>
          <w:sz w:val="28"/>
          <w:vertAlign w:val="superscript"/>
          <w:rtl/>
          <w:lang w:bidi="ar-SY"/>
        </w:rPr>
        <w:t>)</w:t>
      </w:r>
      <w:r w:rsidR="00217AB4" w:rsidRPr="003F3B94">
        <w:rPr>
          <w:rFonts w:ascii="Abo-thar" w:hAnsi="Abo-thar" w:hint="cs"/>
          <w:sz w:val="28"/>
          <w:rtl/>
          <w:lang w:bidi="ar-SY"/>
        </w:rPr>
        <w:t>.</w:t>
      </w:r>
    </w:p>
    <w:p w:rsidR="005C664D" w:rsidRPr="003F3B94" w:rsidRDefault="005C664D" w:rsidP="003F3B94">
      <w:pPr>
        <w:pStyle w:val="a0"/>
        <w:rPr>
          <w:rFonts w:hint="cs"/>
          <w:rtl/>
        </w:rPr>
      </w:pPr>
      <w:r w:rsidRPr="003F3B94">
        <w:rPr>
          <w:rFonts w:ascii="Abo-thar" w:hAnsi="Abo-thar" w:hint="cs"/>
          <w:sz w:val="28"/>
          <w:rtl/>
        </w:rPr>
        <w:t>فهذا الحديث يبين أنه إنما حُرِّمت الصدقةُ على النبيِّ لكونها أوساخ أيدي الناس أي ناتجة عن كدهم وعرق جبينهم</w:t>
      </w:r>
      <w:r w:rsidR="00217AB4" w:rsidRPr="003F3B94">
        <w:rPr>
          <w:rFonts w:ascii="Abo-thar" w:hAnsi="Abo-thar" w:hint="cs"/>
          <w:sz w:val="28"/>
          <w:rtl/>
        </w:rPr>
        <w:t>،</w:t>
      </w:r>
      <w:r w:rsidR="00147857" w:rsidRPr="003F3B94">
        <w:rPr>
          <w:rFonts w:ascii="Abo-thar" w:hAnsi="Abo-thar" w:hint="cs"/>
          <w:sz w:val="28"/>
          <w:rtl/>
        </w:rPr>
        <w:t xml:space="preserve"> </w:t>
      </w:r>
      <w:r w:rsidRPr="003F3B94">
        <w:rPr>
          <w:rFonts w:ascii="Abo-thar" w:hAnsi="Abo-thar" w:hint="cs"/>
          <w:sz w:val="28"/>
          <w:rtl/>
        </w:rPr>
        <w:t>لأنه من الممكن أن يرى بعض الناس في أخذ النبيِّ من صدقاتهم أخذه لأجرٍ على رسالته</w:t>
      </w:r>
      <w:r w:rsidR="00217AB4" w:rsidRPr="003F3B94">
        <w:rPr>
          <w:rFonts w:ascii="Abo-thar" w:hAnsi="Abo-thar" w:hint="cs"/>
          <w:sz w:val="28"/>
          <w:rtl/>
        </w:rPr>
        <w:t>،</w:t>
      </w:r>
      <w:r w:rsidRPr="003F3B94">
        <w:rPr>
          <w:rFonts w:ascii="Abo-thar" w:hAnsi="Abo-thar" w:hint="cs"/>
          <w:sz w:val="28"/>
          <w:rtl/>
        </w:rPr>
        <w:t xml:space="preserve"> فكما كان أخذ أي أجر ماديٍّ على رسالته حراماً عليه</w:t>
      </w:r>
      <w:r w:rsidR="00147857" w:rsidRPr="003F3B94">
        <w:rPr>
          <w:rFonts w:ascii="Abo-thar" w:hAnsi="Abo-thar" w:hint="cs"/>
          <w:sz w:val="28"/>
          <w:rtl/>
        </w:rPr>
        <w:t xml:space="preserve"> </w:t>
      </w:r>
      <w:r w:rsidR="003C7AEB" w:rsidRPr="003C7AEB">
        <w:rPr>
          <w:rFonts w:ascii="Abo-thar" w:hAnsi="Abo-thar" w:cs="CTraditional Arabic"/>
          <w:sz w:val="28"/>
          <w:rtl/>
        </w:rPr>
        <w:t>ص</w:t>
      </w:r>
      <w:r w:rsidR="00147857" w:rsidRPr="003F3B94">
        <w:rPr>
          <w:rFonts w:ascii="Abo-thar" w:hAnsi="Abo-thar"/>
          <w:sz w:val="28"/>
          <w:rtl/>
        </w:rPr>
        <w:t xml:space="preserve"> </w:t>
      </w:r>
      <w:r w:rsidRPr="003F3B94">
        <w:rPr>
          <w:rFonts w:ascii="Abo-thar" w:hAnsi="Abo-thar" w:hint="cs"/>
          <w:sz w:val="28"/>
          <w:rtl/>
        </w:rPr>
        <w:t>كذلك كان أخذه لمال الصدقات من أيدي الناس</w:t>
      </w:r>
      <w:r w:rsidR="00217AB4" w:rsidRPr="003F3B94">
        <w:rPr>
          <w:rFonts w:ascii="Abo-thar" w:hAnsi="Abo-thar" w:hint="cs"/>
          <w:sz w:val="28"/>
          <w:rtl/>
        </w:rPr>
        <w:t>،</w:t>
      </w:r>
      <w:r w:rsidRPr="003F3B94">
        <w:rPr>
          <w:rFonts w:ascii="Abo-thar" w:hAnsi="Abo-thar" w:hint="cs"/>
          <w:sz w:val="28"/>
          <w:rtl/>
        </w:rPr>
        <w:t xml:space="preserve"> خاصَّةً أن رسول الله قد أغناه الله بما أفاءه عليه من أموال الكفار لذا كان تحريم أموال الصدقات عليه من خصوصياته التي اختص بها ضمن مجموعة من الأمور الأخرى التي كانت حراماً عليه وحده دون غيره</w:t>
      </w:r>
      <w:r w:rsidR="00217AB4" w:rsidRPr="003F3B94">
        <w:rPr>
          <w:rFonts w:ascii="Abo-thar" w:hAnsi="Abo-thar" w:hint="cs"/>
          <w:sz w:val="28"/>
          <w:rtl/>
        </w:rPr>
        <w:t>،</w:t>
      </w:r>
      <w:r w:rsidRPr="003F3B94">
        <w:rPr>
          <w:rFonts w:ascii="Abo-thar" w:hAnsi="Abo-thar" w:hint="cs"/>
          <w:sz w:val="28"/>
          <w:rtl/>
        </w:rPr>
        <w:t xml:space="preserve"> مما فصلنا بيانه في الحاشية في الصفحات السابقة</w:t>
      </w:r>
      <w:r w:rsidR="00217AB4" w:rsidRPr="003F3B94">
        <w:rPr>
          <w:rFonts w:ascii="Abo-thar" w:hAnsi="Abo-thar" w:hint="cs"/>
          <w:sz w:val="28"/>
          <w:rtl/>
        </w:rPr>
        <w:t>.</w:t>
      </w:r>
    </w:p>
    <w:p w:rsidR="005C664D" w:rsidRPr="00995B26" w:rsidRDefault="00BD2796" w:rsidP="007D2B8A">
      <w:pPr>
        <w:pStyle w:val="a5"/>
        <w:rPr>
          <w:rFonts w:hint="cs"/>
          <w:rtl/>
          <w:lang w:bidi="ar-SY"/>
        </w:rPr>
      </w:pPr>
      <w:bookmarkStart w:id="82" w:name="_Toc387843060"/>
      <w:r w:rsidRPr="00995B26">
        <w:rPr>
          <w:rFonts w:hint="cs"/>
          <w:rtl/>
          <w:lang w:bidi="ar-SY"/>
        </w:rPr>
        <w:t>4- نقض القول بتحريم الصدقة على بني هاشم</w:t>
      </w:r>
      <w:bookmarkEnd w:id="82"/>
    </w:p>
    <w:p w:rsidR="005C664D" w:rsidRPr="003F3B94" w:rsidRDefault="005C664D" w:rsidP="003F3B94">
      <w:pPr>
        <w:pStyle w:val="a0"/>
        <w:rPr>
          <w:rFonts w:hint="cs"/>
          <w:rtl/>
          <w:lang w:bidi="ar-SY"/>
        </w:rPr>
      </w:pPr>
      <w:r w:rsidRPr="003F3B94">
        <w:rPr>
          <w:rFonts w:ascii="Abo-thar" w:hAnsi="Abo-thar" w:hint="cs"/>
          <w:sz w:val="28"/>
          <w:rtl/>
          <w:lang w:bidi="ar-SY"/>
        </w:rPr>
        <w:t>ذكر العلامة</w:t>
      </w:r>
      <w:r w:rsidR="00920257" w:rsidRPr="003F3B94">
        <w:rPr>
          <w:rFonts w:ascii="Abo-thar" w:hAnsi="Abo-thar" w:hint="cs"/>
          <w:sz w:val="28"/>
          <w:rtl/>
          <w:lang w:bidi="ar-SY"/>
        </w:rPr>
        <w:t xml:space="preserve"> الحلي في كتابه «تذكرة الفقهاء»</w:t>
      </w:r>
      <w:r w:rsidRPr="003F3B94">
        <w:rPr>
          <w:rFonts w:ascii="Abo-thar" w:hAnsi="Abo-thar" w:hint="cs"/>
          <w:sz w:val="28"/>
          <w:rtl/>
          <w:lang w:bidi="ar-SY"/>
        </w:rPr>
        <w:t xml:space="preserve"> بعض </w:t>
      </w:r>
      <w:r w:rsidRPr="003F3B94">
        <w:rPr>
          <w:rFonts w:ascii="Abo-thar" w:hAnsi="Abo-thar"/>
          <w:sz w:val="28"/>
          <w:rtl/>
          <w:lang w:bidi="ar-SY"/>
        </w:rPr>
        <w:t>خصائص</w:t>
      </w:r>
      <w:r w:rsidRPr="003F3B94">
        <w:rPr>
          <w:rFonts w:ascii="Abo-thar" w:hAnsi="Abo-thar" w:hint="cs"/>
          <w:sz w:val="28"/>
          <w:rtl/>
          <w:lang w:bidi="ar-SY"/>
        </w:rPr>
        <w:t xml:space="preserve"> رسول الله</w:t>
      </w:r>
      <w:r w:rsidR="00147857" w:rsidRPr="003F3B94">
        <w:rPr>
          <w:rFonts w:ascii="Abo-thar" w:hAnsi="Abo-thar" w:hint="cs"/>
          <w:sz w:val="28"/>
          <w:rtl/>
          <w:lang w:bidi="ar-SY"/>
        </w:rPr>
        <w:t xml:space="preserve"> </w:t>
      </w:r>
      <w:r w:rsidR="003C7AEB" w:rsidRPr="003C7AEB">
        <w:rPr>
          <w:rFonts w:ascii="Abo-thar" w:hAnsi="Abo-thar" w:cs="CTraditional Arabic"/>
          <w:sz w:val="28"/>
          <w:rtl/>
          <w:lang w:bidi="ar-SY"/>
        </w:rPr>
        <w:t>ص</w:t>
      </w:r>
      <w:r w:rsidR="00147857" w:rsidRPr="003F3B94">
        <w:rPr>
          <w:rFonts w:ascii="Abo-thar" w:hAnsi="Abo-thar"/>
          <w:sz w:val="28"/>
          <w:rtl/>
          <w:lang w:bidi="ar-SY"/>
        </w:rPr>
        <w:t xml:space="preserve"> </w:t>
      </w:r>
      <w:r w:rsidRPr="003F3B94">
        <w:rPr>
          <w:rFonts w:ascii="Abo-thar" w:hAnsi="Abo-thar" w:hint="cs"/>
          <w:sz w:val="28"/>
          <w:rtl/>
          <w:lang w:bidi="ar-SY"/>
        </w:rPr>
        <w:t>التي اختص بها دون سائر أمته فقال ما ملخصه</w:t>
      </w:r>
      <w:r w:rsidR="00217AB4" w:rsidRPr="003F3B94">
        <w:rPr>
          <w:rFonts w:ascii="Abo-thar" w:hAnsi="Abo-thar" w:hint="cs"/>
          <w:sz w:val="28"/>
          <w:rtl/>
          <w:lang w:bidi="ar-SY"/>
        </w:rPr>
        <w:t>:</w:t>
      </w:r>
    </w:p>
    <w:p w:rsidR="005C664D" w:rsidRPr="003F3B94" w:rsidRDefault="005C664D" w:rsidP="003F3B94">
      <w:pPr>
        <w:pStyle w:val="a0"/>
        <w:rPr>
          <w:rFonts w:hint="cs"/>
          <w:rtl/>
          <w:lang w:bidi="ar-SY"/>
        </w:rPr>
      </w:pPr>
      <w:r w:rsidRPr="003F3B94">
        <w:rPr>
          <w:rFonts w:ascii="Abo-thar" w:hAnsi="Abo-thar"/>
          <w:sz w:val="28"/>
          <w:rtl/>
          <w:lang w:bidi="ar-SY"/>
        </w:rPr>
        <w:t>فأما الواجبات عليه دون غيره من أمته أمور</w:t>
      </w:r>
      <w:r w:rsidRPr="003F3B94">
        <w:rPr>
          <w:rFonts w:ascii="Abo-thar" w:hAnsi="Abo-thar" w:hint="cs"/>
          <w:sz w:val="28"/>
          <w:rtl/>
          <w:lang w:bidi="ar-SY"/>
        </w:rPr>
        <w:t>ٌ</w:t>
      </w:r>
      <w:r w:rsidR="00217AB4" w:rsidRPr="003F3B94">
        <w:rPr>
          <w:rFonts w:ascii="Abo-thar" w:hAnsi="Abo-thar" w:hint="cs"/>
          <w:sz w:val="28"/>
          <w:rtl/>
          <w:lang w:bidi="ar-SY"/>
        </w:rPr>
        <w:t>:</w:t>
      </w:r>
    </w:p>
    <w:p w:rsidR="005C664D" w:rsidRPr="00995B26" w:rsidRDefault="00217AB4" w:rsidP="003E3D26">
      <w:pPr>
        <w:pStyle w:val="a0"/>
        <w:rPr>
          <w:rFonts w:hint="cs"/>
          <w:rtl/>
          <w:lang w:bidi="ar-SY"/>
        </w:rPr>
      </w:pPr>
      <w:r w:rsidRPr="003F3B94">
        <w:rPr>
          <w:rFonts w:ascii="Abo-thar" w:hAnsi="Abo-thar" w:hint="cs"/>
          <w:sz w:val="28"/>
          <w:rtl/>
          <w:lang w:bidi="ar-SY"/>
        </w:rPr>
        <w:t>(</w:t>
      </w:r>
      <w:r w:rsidR="005C664D" w:rsidRPr="003F3B94">
        <w:rPr>
          <w:rFonts w:ascii="Abo-thar" w:hAnsi="Abo-thar" w:hint="cs"/>
          <w:sz w:val="28"/>
          <w:rtl/>
          <w:lang w:bidi="ar-SY"/>
        </w:rPr>
        <w:t>1</w:t>
      </w:r>
      <w:r w:rsidRPr="003F3B94">
        <w:rPr>
          <w:rFonts w:ascii="Abo-thar" w:hAnsi="Abo-thar" w:hint="cs"/>
          <w:sz w:val="28"/>
          <w:rtl/>
          <w:lang w:bidi="ar-SY"/>
        </w:rPr>
        <w:t>)</w:t>
      </w:r>
      <w:r w:rsidR="005C664D" w:rsidRPr="003F3B94">
        <w:rPr>
          <w:rFonts w:ascii="Abo-thar" w:hAnsi="Abo-thar"/>
          <w:sz w:val="28"/>
          <w:rtl/>
          <w:lang w:bidi="ar-SY"/>
        </w:rPr>
        <w:t xml:space="preserve"> السواك</w:t>
      </w:r>
      <w:r w:rsidRPr="003F3B94">
        <w:rPr>
          <w:rFonts w:ascii="Abo-thar" w:hAnsi="Abo-thar" w:hint="cs"/>
          <w:sz w:val="28"/>
          <w:rtl/>
          <w:lang w:bidi="ar-SY"/>
        </w:rPr>
        <w:t>.</w:t>
      </w:r>
      <w:r w:rsidR="005C664D" w:rsidRPr="003F3B94">
        <w:rPr>
          <w:rFonts w:ascii="Abo-thar" w:hAnsi="Abo-thar"/>
          <w:sz w:val="28"/>
          <w:rtl/>
          <w:lang w:bidi="ar-SY"/>
        </w:rPr>
        <w:t xml:space="preserve"> </w:t>
      </w:r>
      <w:r w:rsidRPr="003F3B94">
        <w:rPr>
          <w:rFonts w:ascii="Abo-thar" w:hAnsi="Abo-thar" w:hint="cs"/>
          <w:sz w:val="28"/>
          <w:rtl/>
          <w:lang w:bidi="ar-SY"/>
        </w:rPr>
        <w:t>(</w:t>
      </w:r>
      <w:r w:rsidR="005C664D" w:rsidRPr="003F3B94">
        <w:rPr>
          <w:rFonts w:ascii="Abo-thar" w:hAnsi="Abo-thar" w:hint="cs"/>
          <w:sz w:val="28"/>
          <w:rtl/>
          <w:lang w:bidi="ar-SY"/>
        </w:rPr>
        <w:t>2</w:t>
      </w:r>
      <w:r w:rsidRPr="003F3B94">
        <w:rPr>
          <w:rFonts w:ascii="Abo-thar" w:hAnsi="Abo-thar" w:hint="cs"/>
          <w:sz w:val="28"/>
          <w:rtl/>
          <w:lang w:bidi="ar-SY"/>
        </w:rPr>
        <w:t>)</w:t>
      </w:r>
      <w:r w:rsidR="005C664D" w:rsidRPr="003F3B94">
        <w:rPr>
          <w:rFonts w:ascii="Abo-thar" w:hAnsi="Abo-thar"/>
          <w:sz w:val="28"/>
          <w:rtl/>
          <w:lang w:bidi="ar-SY"/>
        </w:rPr>
        <w:t xml:space="preserve"> الوتر</w:t>
      </w:r>
      <w:r w:rsidRPr="003F3B94">
        <w:rPr>
          <w:rFonts w:ascii="Abo-thar" w:hAnsi="Abo-thar" w:hint="cs"/>
          <w:sz w:val="28"/>
          <w:rtl/>
          <w:lang w:bidi="ar-SY"/>
        </w:rPr>
        <w:t>.</w:t>
      </w:r>
      <w:r w:rsidR="005C664D" w:rsidRPr="003F3B94">
        <w:rPr>
          <w:rFonts w:ascii="Abo-thar" w:hAnsi="Abo-thar"/>
          <w:sz w:val="28"/>
          <w:rtl/>
          <w:lang w:bidi="ar-SY"/>
        </w:rPr>
        <w:t xml:space="preserve"> </w:t>
      </w:r>
      <w:r w:rsidRPr="003F3B94">
        <w:rPr>
          <w:rFonts w:ascii="Abo-thar" w:hAnsi="Abo-thar" w:hint="cs"/>
          <w:sz w:val="28"/>
          <w:rtl/>
          <w:lang w:bidi="ar-SY"/>
        </w:rPr>
        <w:t>(</w:t>
      </w:r>
      <w:r w:rsidR="005C664D" w:rsidRPr="003F3B94">
        <w:rPr>
          <w:rFonts w:ascii="Abo-thar" w:hAnsi="Abo-thar" w:hint="cs"/>
          <w:sz w:val="28"/>
          <w:rtl/>
          <w:lang w:bidi="ar-SY"/>
        </w:rPr>
        <w:t>3</w:t>
      </w:r>
      <w:r w:rsidRPr="003F3B94">
        <w:rPr>
          <w:rFonts w:ascii="Abo-thar" w:hAnsi="Abo-thar" w:hint="cs"/>
          <w:sz w:val="28"/>
          <w:rtl/>
          <w:lang w:bidi="ar-SY"/>
        </w:rPr>
        <w:t>)</w:t>
      </w:r>
      <w:r w:rsidR="005C664D" w:rsidRPr="003F3B94">
        <w:rPr>
          <w:rFonts w:ascii="Abo-thar" w:hAnsi="Abo-thar"/>
          <w:sz w:val="28"/>
          <w:rtl/>
          <w:lang w:bidi="ar-SY"/>
        </w:rPr>
        <w:t xml:space="preserve"> الأضحية</w:t>
      </w:r>
      <w:r w:rsidRPr="003F3B94">
        <w:rPr>
          <w:rFonts w:ascii="Abo-thar" w:hAnsi="Abo-thar" w:hint="cs"/>
          <w:sz w:val="28"/>
          <w:rtl/>
          <w:lang w:bidi="ar-SY"/>
        </w:rPr>
        <w:t>.</w:t>
      </w:r>
      <w:r w:rsidR="00147857" w:rsidRPr="003F3B94">
        <w:rPr>
          <w:rFonts w:ascii="Abo-thar" w:hAnsi="Abo-thar" w:hint="cs"/>
          <w:sz w:val="28"/>
          <w:rtl/>
          <w:lang w:bidi="ar-SY"/>
        </w:rPr>
        <w:t xml:space="preserve"> </w:t>
      </w:r>
      <w:r w:rsidR="005C664D" w:rsidRPr="003F3B94">
        <w:rPr>
          <w:rFonts w:ascii="Abo-thar" w:hAnsi="Abo-thar"/>
          <w:sz w:val="28"/>
          <w:rtl/>
          <w:lang w:bidi="ar-SY"/>
        </w:rPr>
        <w:t>رُوِيَ عَنْهُ</w:t>
      </w:r>
      <w:r w:rsidR="00147857" w:rsidRPr="003F3B94">
        <w:rPr>
          <w:rFonts w:ascii="Abo-thar" w:hAnsi="Abo-thar"/>
          <w:sz w:val="28"/>
          <w:rtl/>
          <w:lang w:bidi="ar-SY"/>
        </w:rPr>
        <w:t xml:space="preserve"> </w:t>
      </w:r>
      <w:r w:rsidR="003C7AEB" w:rsidRPr="003C7AEB">
        <w:rPr>
          <w:rFonts w:ascii="Abo-thar" w:hAnsi="Abo-thar" w:cs="CTraditional Arabic"/>
          <w:sz w:val="28"/>
          <w:rtl/>
          <w:lang w:bidi="ar-SY"/>
        </w:rPr>
        <w:t>ص</w:t>
      </w:r>
      <w:r w:rsidR="00147857" w:rsidRPr="003F3B94">
        <w:rPr>
          <w:rFonts w:ascii="Abo-thar" w:hAnsi="Abo-thar"/>
          <w:sz w:val="28"/>
          <w:rtl/>
          <w:lang w:bidi="ar-SY"/>
        </w:rPr>
        <w:t xml:space="preserve"> </w:t>
      </w:r>
      <w:r w:rsidR="005C664D" w:rsidRPr="003F3B94">
        <w:rPr>
          <w:rFonts w:ascii="Abo-thar" w:hAnsi="Abo-thar"/>
          <w:sz w:val="28"/>
          <w:rtl/>
          <w:lang w:bidi="ar-SY"/>
        </w:rPr>
        <w:t>أَنَّهُ قَالَ</w:t>
      </w:r>
      <w:r w:rsidRPr="003F3B94">
        <w:rPr>
          <w:rFonts w:ascii="Abo-thar" w:hAnsi="Abo-thar" w:hint="cs"/>
          <w:sz w:val="28"/>
          <w:rtl/>
          <w:lang w:bidi="ar-SY"/>
        </w:rPr>
        <w:t>:</w:t>
      </w:r>
      <w:r w:rsidR="005C664D" w:rsidRPr="003F3B94">
        <w:rPr>
          <w:rFonts w:ascii="Abo-thar" w:hAnsi="Abo-thar" w:hint="cs"/>
          <w:sz w:val="28"/>
          <w:rtl/>
          <w:lang w:bidi="ar-SY"/>
        </w:rPr>
        <w:t xml:space="preserve"> </w:t>
      </w:r>
      <w:r w:rsidR="00EF2588" w:rsidRPr="004A3642">
        <w:rPr>
          <w:rFonts w:ascii="Abo-thar" w:hAnsi="Abo-thar" w:cs="KFGQPC Uthman Taha Naskh" w:hint="cs"/>
          <w:sz w:val="28"/>
          <w:rtl/>
          <w:lang w:bidi="ar-SY"/>
        </w:rPr>
        <w:t>«</w:t>
      </w:r>
      <w:r w:rsidR="005C664D" w:rsidRPr="004A3642">
        <w:rPr>
          <w:rFonts w:ascii="Abo-thar" w:hAnsi="Abo-thar" w:cs="KFGQPC Uthman Taha Naskh"/>
          <w:b/>
          <w:bCs/>
          <w:sz w:val="28"/>
          <w:rtl/>
          <w:lang w:bidi="ar-SY"/>
        </w:rPr>
        <w:t>ثَلَاثٌ كُتِبَ عَلَيَّ وَلَمْ يُكْتَبْ عَلَيْكُمْ السِّوَاكُ وَالْوَتْرُ وَالْأُضْحِيَّةُ</w:t>
      </w:r>
      <w:r w:rsidR="00EF2588" w:rsidRPr="004A3642">
        <w:rPr>
          <w:rFonts w:ascii="Abo-thar" w:hAnsi="Abo-thar" w:cs="KFGQPC Uthman Taha Naskh" w:hint="cs"/>
          <w:sz w:val="28"/>
          <w:rtl/>
          <w:lang w:bidi="ar-SY"/>
        </w:rPr>
        <w:t>»</w:t>
      </w:r>
      <w:r w:rsidRPr="0021507A">
        <w:rPr>
          <w:rFonts w:cs="Arabic11 BT"/>
          <w:b/>
          <w:sz w:val="28"/>
          <w:vertAlign w:val="superscript"/>
          <w:rtl/>
          <w:lang w:bidi="ar-SY"/>
        </w:rPr>
        <w:t>(</w:t>
      </w:r>
      <w:r w:rsidR="005C664D" w:rsidRPr="0021507A">
        <w:rPr>
          <w:rStyle w:val="FootnoteReference"/>
          <w:rFonts w:cs="Arabic11 BT"/>
          <w:b/>
          <w:sz w:val="28"/>
          <w:rtl/>
          <w:lang w:bidi="ar-SY"/>
        </w:rPr>
        <w:footnoteReference w:id="159"/>
      </w:r>
      <w:r w:rsidRPr="0021507A">
        <w:rPr>
          <w:rFonts w:cs="Arabic11 BT"/>
          <w:b/>
          <w:sz w:val="28"/>
          <w:vertAlign w:val="superscript"/>
          <w:rtl/>
          <w:lang w:bidi="ar-SY"/>
        </w:rPr>
        <w:t>)</w:t>
      </w:r>
      <w:r w:rsidRPr="003F3B94">
        <w:rPr>
          <w:rFonts w:ascii="Abo-thar" w:hAnsi="Abo-thar" w:hint="cs"/>
          <w:sz w:val="28"/>
          <w:rtl/>
          <w:lang w:bidi="ar-SY"/>
        </w:rPr>
        <w:t>.</w:t>
      </w:r>
      <w:r w:rsidR="005C664D" w:rsidRPr="003F3B94">
        <w:rPr>
          <w:rFonts w:ascii="Abo-thar" w:hAnsi="Abo-thar" w:hint="cs"/>
          <w:sz w:val="28"/>
          <w:rtl/>
          <w:lang w:bidi="ar-SY"/>
        </w:rPr>
        <w:t xml:space="preserve"> </w:t>
      </w:r>
      <w:r w:rsidRPr="003F3B94">
        <w:rPr>
          <w:rFonts w:ascii="Abo-thar" w:hAnsi="Abo-thar" w:hint="cs"/>
          <w:sz w:val="28"/>
          <w:rtl/>
          <w:lang w:bidi="ar-SY"/>
        </w:rPr>
        <w:t>(</w:t>
      </w:r>
      <w:r w:rsidR="005C664D" w:rsidRPr="003F3B94">
        <w:rPr>
          <w:rFonts w:ascii="Abo-thar" w:hAnsi="Abo-thar" w:hint="cs"/>
          <w:sz w:val="28"/>
          <w:rtl/>
          <w:lang w:bidi="ar-SY"/>
        </w:rPr>
        <w:t>4</w:t>
      </w:r>
      <w:r w:rsidRPr="003F3B94">
        <w:rPr>
          <w:rFonts w:ascii="Abo-thar" w:hAnsi="Abo-thar" w:hint="cs"/>
          <w:sz w:val="28"/>
          <w:rtl/>
          <w:lang w:bidi="ar-SY"/>
        </w:rPr>
        <w:t>)</w:t>
      </w:r>
      <w:r w:rsidR="005C664D" w:rsidRPr="003F3B94">
        <w:rPr>
          <w:rFonts w:ascii="Abo-thar" w:hAnsi="Abo-thar" w:hint="cs"/>
          <w:sz w:val="28"/>
          <w:rtl/>
          <w:lang w:bidi="ar-SY"/>
        </w:rPr>
        <w:t xml:space="preserve"> قيام الليل لقوله تعالى</w:t>
      </w:r>
      <w:r w:rsidRPr="003F3B94">
        <w:rPr>
          <w:rFonts w:ascii="Abo-thar" w:hAnsi="Abo-thar" w:hint="cs"/>
          <w:sz w:val="28"/>
          <w:rtl/>
          <w:lang w:bidi="ar-SY"/>
        </w:rPr>
        <w:t>:</w:t>
      </w:r>
      <w:r w:rsidR="005C664D" w:rsidRPr="003F3B94">
        <w:rPr>
          <w:rFonts w:ascii="Abo-thar" w:hAnsi="Abo-thar" w:hint="cs"/>
          <w:sz w:val="28"/>
          <w:rtl/>
          <w:lang w:bidi="ar-SY"/>
        </w:rPr>
        <w:t xml:space="preserve"> </w:t>
      </w:r>
      <w:r w:rsidR="006C78B4" w:rsidRPr="00995B26">
        <w:rPr>
          <w:rFonts w:cs="Traditional Arabic"/>
          <w:sz w:val="28"/>
          <w:rtl/>
          <w:lang w:bidi="fa-IR"/>
        </w:rPr>
        <w:t>﴿</w:t>
      </w:r>
      <w:r w:rsidR="006C78B4" w:rsidRPr="0067048A">
        <w:rPr>
          <w:rFonts w:ascii="KFGQPC Uthmanic Script HAFS" w:cs="KFGQPC Uthmanic Script HAFS" w:hint="eastAsia"/>
          <w:sz w:val="28"/>
          <w:szCs w:val="28"/>
          <w:rtl/>
        </w:rPr>
        <w:t>وَمِنَ</w:t>
      </w:r>
      <w:r w:rsidR="006C78B4" w:rsidRPr="0067048A">
        <w:rPr>
          <w:rFonts w:ascii="KFGQPC Uthmanic Script HAFS" w:cs="KFGQPC Uthmanic Script HAFS"/>
          <w:sz w:val="28"/>
          <w:szCs w:val="28"/>
          <w:rtl/>
        </w:rPr>
        <w:t xml:space="preserve"> </w:t>
      </w:r>
      <w:r w:rsidR="006C78B4" w:rsidRPr="0067048A">
        <w:rPr>
          <w:rFonts w:ascii="KFGQPC Uthmanic Script HAFS" w:cs="KFGQPC Uthmanic Script HAFS" w:hint="cs"/>
          <w:sz w:val="28"/>
          <w:szCs w:val="28"/>
          <w:rtl/>
        </w:rPr>
        <w:t>ٱ</w:t>
      </w:r>
      <w:r w:rsidR="006C78B4" w:rsidRPr="0067048A">
        <w:rPr>
          <w:rFonts w:ascii="KFGQPC Uthmanic Script HAFS" w:cs="KFGQPC Uthmanic Script HAFS" w:hint="eastAsia"/>
          <w:sz w:val="28"/>
          <w:szCs w:val="28"/>
          <w:rtl/>
        </w:rPr>
        <w:t>لَّي</w:t>
      </w:r>
      <w:r w:rsidR="006C78B4" w:rsidRPr="0067048A">
        <w:rPr>
          <w:rFonts w:ascii="KFGQPC Uthmanic Script HAFS" w:cs="KFGQPC Uthmanic Script HAFS" w:hint="cs"/>
          <w:sz w:val="28"/>
          <w:szCs w:val="28"/>
          <w:rtl/>
        </w:rPr>
        <w:t>ۡ</w:t>
      </w:r>
      <w:r w:rsidR="006C78B4" w:rsidRPr="0067048A">
        <w:rPr>
          <w:rFonts w:ascii="KFGQPC Uthmanic Script HAFS" w:cs="KFGQPC Uthmanic Script HAFS" w:hint="eastAsia"/>
          <w:sz w:val="28"/>
          <w:szCs w:val="28"/>
          <w:rtl/>
        </w:rPr>
        <w:t>لِ</w:t>
      </w:r>
      <w:r w:rsidR="006C78B4" w:rsidRPr="0067048A">
        <w:rPr>
          <w:rFonts w:ascii="KFGQPC Uthmanic Script HAFS" w:cs="KFGQPC Uthmanic Script HAFS"/>
          <w:sz w:val="28"/>
          <w:szCs w:val="28"/>
          <w:rtl/>
        </w:rPr>
        <w:t xml:space="preserve"> </w:t>
      </w:r>
      <w:r w:rsidR="006C78B4" w:rsidRPr="0067048A">
        <w:rPr>
          <w:rFonts w:ascii="KFGQPC Uthmanic Script HAFS" w:cs="KFGQPC Uthmanic Script HAFS" w:hint="eastAsia"/>
          <w:sz w:val="28"/>
          <w:szCs w:val="28"/>
          <w:rtl/>
        </w:rPr>
        <w:t>فَتَهَجَّد</w:t>
      </w:r>
      <w:r w:rsidR="006C78B4" w:rsidRPr="0067048A">
        <w:rPr>
          <w:rFonts w:ascii="KFGQPC Uthmanic Script HAFS" w:cs="KFGQPC Uthmanic Script HAFS" w:hint="cs"/>
          <w:sz w:val="28"/>
          <w:szCs w:val="28"/>
          <w:rtl/>
        </w:rPr>
        <w:t>ۡ</w:t>
      </w:r>
      <w:r w:rsidR="006C78B4" w:rsidRPr="0067048A">
        <w:rPr>
          <w:rFonts w:ascii="KFGQPC Uthmanic Script HAFS" w:cs="KFGQPC Uthmanic Script HAFS"/>
          <w:sz w:val="28"/>
          <w:szCs w:val="28"/>
          <w:rtl/>
        </w:rPr>
        <w:t xml:space="preserve"> </w:t>
      </w:r>
      <w:r w:rsidR="006C78B4" w:rsidRPr="0067048A">
        <w:rPr>
          <w:rFonts w:ascii="KFGQPC Uthmanic Script HAFS" w:cs="KFGQPC Uthmanic Script HAFS" w:hint="eastAsia"/>
          <w:sz w:val="28"/>
          <w:szCs w:val="28"/>
          <w:rtl/>
        </w:rPr>
        <w:t>بِهِ</w:t>
      </w:r>
      <w:r w:rsidR="006C78B4" w:rsidRPr="0067048A">
        <w:rPr>
          <w:rFonts w:ascii="KFGQPC Uthmanic Script HAFS" w:cs="KFGQPC Uthmanic Script HAFS" w:hint="cs"/>
          <w:sz w:val="28"/>
          <w:szCs w:val="28"/>
          <w:rtl/>
        </w:rPr>
        <w:t>ۦ</w:t>
      </w:r>
      <w:r w:rsidR="006C78B4" w:rsidRPr="0067048A">
        <w:rPr>
          <w:rFonts w:ascii="KFGQPC Uthmanic Script HAFS" w:cs="KFGQPC Uthmanic Script HAFS"/>
          <w:sz w:val="28"/>
          <w:szCs w:val="28"/>
          <w:rtl/>
        </w:rPr>
        <w:t xml:space="preserve"> </w:t>
      </w:r>
      <w:r w:rsidR="006C78B4" w:rsidRPr="0067048A">
        <w:rPr>
          <w:rFonts w:ascii="KFGQPC Uthmanic Script HAFS" w:cs="KFGQPC Uthmanic Script HAFS" w:hint="eastAsia"/>
          <w:sz w:val="28"/>
          <w:szCs w:val="28"/>
          <w:rtl/>
        </w:rPr>
        <w:t>نَافِلَة</w:t>
      </w:r>
      <w:r w:rsidR="006C78B4" w:rsidRPr="0067048A">
        <w:rPr>
          <w:rFonts w:ascii="KFGQPC Uthmanic Script HAFS" w:cs="KFGQPC Uthmanic Script HAFS" w:hint="cs"/>
          <w:sz w:val="28"/>
          <w:szCs w:val="28"/>
          <w:rtl/>
        </w:rPr>
        <w:t>ٗ</w:t>
      </w:r>
      <w:r w:rsidR="006C78B4" w:rsidRPr="0067048A">
        <w:rPr>
          <w:rFonts w:ascii="KFGQPC Uthmanic Script HAFS" w:cs="KFGQPC Uthmanic Script HAFS"/>
          <w:sz w:val="28"/>
          <w:szCs w:val="28"/>
          <w:rtl/>
        </w:rPr>
        <w:t xml:space="preserve"> </w:t>
      </w:r>
      <w:r w:rsidR="006C78B4" w:rsidRPr="0067048A">
        <w:rPr>
          <w:rFonts w:ascii="KFGQPC Uthmanic Script HAFS" w:cs="KFGQPC Uthmanic Script HAFS" w:hint="eastAsia"/>
          <w:sz w:val="28"/>
          <w:szCs w:val="28"/>
          <w:rtl/>
        </w:rPr>
        <w:t>لَّكَ</w:t>
      </w:r>
      <w:r w:rsidR="006C78B4" w:rsidRPr="00995B26">
        <w:rPr>
          <w:rFonts w:cs="KFGQPC Uthman Taha Naskh" w:hint="cs"/>
          <w:sz w:val="28"/>
          <w:rtl/>
          <w:lang w:bidi="fa-IR"/>
        </w:rPr>
        <w:t>...</w:t>
      </w:r>
      <w:r w:rsidR="006C78B4" w:rsidRPr="00995B26">
        <w:rPr>
          <w:rFonts w:cs="Traditional Arabic" w:hint="cs"/>
          <w:sz w:val="28"/>
          <w:rtl/>
          <w:lang w:bidi="fa-IR"/>
        </w:rPr>
        <w:t>﴾</w:t>
      </w:r>
      <w:r w:rsidR="005C664D" w:rsidRPr="00995B26">
        <w:rPr>
          <w:rFonts w:ascii="Abo-thar" w:hAnsi="Abo-thar"/>
          <w:sz w:val="28"/>
          <w:rtl/>
          <w:lang w:bidi="ar-SY"/>
        </w:rPr>
        <w:t xml:space="preserve"> </w:t>
      </w:r>
      <w:r w:rsidR="005C664D" w:rsidRPr="003108CB">
        <w:rPr>
          <w:rStyle w:val="Char2"/>
          <w:rtl/>
        </w:rPr>
        <w:t>[الإسراء</w:t>
      </w:r>
      <w:r w:rsidR="006C78B4" w:rsidRPr="003108CB">
        <w:rPr>
          <w:rStyle w:val="Char2"/>
          <w:rFonts w:hint="cs"/>
          <w:rtl/>
        </w:rPr>
        <w:t xml:space="preserve">: </w:t>
      </w:r>
      <w:r w:rsidR="005C664D" w:rsidRPr="003108CB">
        <w:rPr>
          <w:rStyle w:val="Char2"/>
          <w:rtl/>
        </w:rPr>
        <w:t>79]</w:t>
      </w:r>
      <w:r w:rsidRPr="00995B26">
        <w:rPr>
          <w:rFonts w:ascii="Abo-thar" w:hAnsi="Abo-thar" w:hint="cs"/>
          <w:sz w:val="28"/>
          <w:rtl/>
          <w:lang w:bidi="ar-SY"/>
        </w:rPr>
        <w:t>.</w:t>
      </w:r>
      <w:r w:rsidR="005C664D" w:rsidRPr="00995B26">
        <w:rPr>
          <w:rFonts w:ascii="Abo-thar" w:hAnsi="Abo-thar" w:hint="cs"/>
          <w:sz w:val="28"/>
          <w:rtl/>
          <w:lang w:bidi="ar-SY"/>
        </w:rPr>
        <w:t xml:space="preserve"> </w:t>
      </w:r>
      <w:r w:rsidRPr="00995B26">
        <w:rPr>
          <w:rFonts w:ascii="Abo-thar" w:hAnsi="Abo-thar" w:hint="cs"/>
          <w:sz w:val="28"/>
          <w:rtl/>
          <w:lang w:bidi="ar-SY"/>
        </w:rPr>
        <w:t>(</w:t>
      </w:r>
      <w:r w:rsidR="005C664D" w:rsidRPr="00995B26">
        <w:rPr>
          <w:rFonts w:ascii="Abo-thar" w:hAnsi="Abo-thar" w:hint="cs"/>
          <w:sz w:val="28"/>
          <w:rtl/>
          <w:lang w:bidi="ar-SY"/>
        </w:rPr>
        <w:t>5</w:t>
      </w:r>
      <w:r w:rsidRPr="00995B26">
        <w:rPr>
          <w:rFonts w:ascii="Abo-thar" w:hAnsi="Abo-thar" w:hint="cs"/>
          <w:sz w:val="28"/>
          <w:rtl/>
          <w:lang w:bidi="ar-SY"/>
        </w:rPr>
        <w:t>)</w:t>
      </w:r>
      <w:r w:rsidR="005C664D" w:rsidRPr="00995B26">
        <w:rPr>
          <w:rFonts w:ascii="Abo-thar" w:hAnsi="Abo-thar"/>
          <w:sz w:val="28"/>
          <w:rtl/>
          <w:lang w:bidi="ar-SY"/>
        </w:rPr>
        <w:t xml:space="preserve"> تحريم زوجاته صلى الله عليه وآله اللواتي مات عنهن على غيره تحريما</w:t>
      </w:r>
      <w:r w:rsidR="005C664D" w:rsidRPr="00995B26">
        <w:rPr>
          <w:rFonts w:ascii="Abo-thar" w:hAnsi="Abo-thar" w:hint="cs"/>
          <w:sz w:val="28"/>
          <w:rtl/>
          <w:lang w:bidi="ar-SY"/>
        </w:rPr>
        <w:t>ً</w:t>
      </w:r>
      <w:r w:rsidR="005C664D" w:rsidRPr="00995B26">
        <w:rPr>
          <w:rFonts w:ascii="Abo-thar" w:hAnsi="Abo-thar"/>
          <w:sz w:val="28"/>
          <w:rtl/>
          <w:lang w:bidi="ar-SY"/>
        </w:rPr>
        <w:t xml:space="preserve"> مؤب</w:t>
      </w:r>
      <w:r w:rsidR="005C664D" w:rsidRPr="00995B26">
        <w:rPr>
          <w:rFonts w:ascii="Abo-thar" w:hAnsi="Abo-thar" w:hint="cs"/>
          <w:sz w:val="28"/>
          <w:rtl/>
          <w:lang w:bidi="ar-SY"/>
        </w:rPr>
        <w:t>َّ</w:t>
      </w:r>
      <w:r w:rsidR="005C664D" w:rsidRPr="00995B26">
        <w:rPr>
          <w:rFonts w:ascii="Abo-thar" w:hAnsi="Abo-thar"/>
          <w:sz w:val="28"/>
          <w:rtl/>
          <w:lang w:bidi="ar-SY"/>
        </w:rPr>
        <w:t>دا</w:t>
      </w:r>
      <w:r w:rsidR="005C664D" w:rsidRPr="00995B26">
        <w:rPr>
          <w:rFonts w:ascii="Abo-thar" w:hAnsi="Abo-thar" w:hint="cs"/>
          <w:sz w:val="28"/>
          <w:rtl/>
          <w:lang w:bidi="ar-SY"/>
        </w:rPr>
        <w:t>ً</w:t>
      </w:r>
      <w:r w:rsidR="005C664D" w:rsidRPr="00995B26">
        <w:rPr>
          <w:rFonts w:ascii="Abo-thar" w:hAnsi="Abo-thar"/>
          <w:sz w:val="28"/>
          <w:rtl/>
          <w:lang w:bidi="ar-SY"/>
        </w:rPr>
        <w:t xml:space="preserve"> قال الله تعالى</w:t>
      </w:r>
      <w:r w:rsidRPr="00995B26">
        <w:rPr>
          <w:rFonts w:ascii="Abo-thar" w:hAnsi="Abo-thar" w:hint="cs"/>
          <w:sz w:val="28"/>
          <w:rtl/>
          <w:lang w:bidi="ar-SY"/>
        </w:rPr>
        <w:t>:</w:t>
      </w:r>
      <w:r w:rsidR="006C78B4" w:rsidRPr="00995B26">
        <w:rPr>
          <w:rFonts w:ascii="Abo-thar" w:hAnsi="Abo-thar" w:hint="cs"/>
          <w:sz w:val="28"/>
          <w:rtl/>
          <w:lang w:bidi="ar-SY"/>
        </w:rPr>
        <w:t xml:space="preserve"> </w:t>
      </w:r>
      <w:r w:rsidR="006C78B4" w:rsidRPr="00995B26">
        <w:rPr>
          <w:rFonts w:ascii="Abo-thar" w:hAnsi="Abo-thar" w:cs="Traditional Arabic" w:hint="cs"/>
          <w:sz w:val="28"/>
          <w:rtl/>
          <w:lang w:bidi="ar-SY"/>
        </w:rPr>
        <w:t>﴿</w:t>
      </w:r>
      <w:r w:rsidR="006C78B4" w:rsidRPr="00995B26">
        <w:rPr>
          <w:rFonts w:ascii="KFGQPC Uthmanic Script HAFS" w:cs="KFGQPC Uthmanic Script HAFS" w:hint="eastAsia"/>
          <w:sz w:val="29"/>
          <w:szCs w:val="29"/>
          <w:rtl/>
          <w:lang w:bidi="fa-IR"/>
        </w:rPr>
        <w:t>وَمَا</w:t>
      </w:r>
      <w:r w:rsidR="006C78B4" w:rsidRPr="00995B26">
        <w:rPr>
          <w:rFonts w:ascii="KFGQPC Uthmanic Script HAFS" w:cs="KFGQPC Uthmanic Script HAFS"/>
          <w:sz w:val="29"/>
          <w:szCs w:val="29"/>
          <w:rtl/>
          <w:lang w:bidi="fa-IR"/>
        </w:rPr>
        <w:t xml:space="preserve"> </w:t>
      </w:r>
      <w:r w:rsidR="006C78B4" w:rsidRPr="00995B26">
        <w:rPr>
          <w:rFonts w:ascii="KFGQPC Uthmanic Script HAFS" w:cs="KFGQPC Uthmanic Script HAFS" w:hint="eastAsia"/>
          <w:sz w:val="29"/>
          <w:szCs w:val="29"/>
          <w:rtl/>
          <w:lang w:bidi="fa-IR"/>
        </w:rPr>
        <w:t>كَانَ</w:t>
      </w:r>
      <w:r w:rsidR="006C78B4" w:rsidRPr="00995B26">
        <w:rPr>
          <w:rFonts w:ascii="KFGQPC Uthmanic Script HAFS" w:cs="KFGQPC Uthmanic Script HAFS"/>
          <w:sz w:val="29"/>
          <w:szCs w:val="29"/>
          <w:rtl/>
          <w:lang w:bidi="fa-IR"/>
        </w:rPr>
        <w:t xml:space="preserve"> </w:t>
      </w:r>
      <w:r w:rsidR="006C78B4" w:rsidRPr="00995B26">
        <w:rPr>
          <w:rFonts w:ascii="KFGQPC Uthmanic Script HAFS" w:cs="KFGQPC Uthmanic Script HAFS" w:hint="eastAsia"/>
          <w:sz w:val="29"/>
          <w:szCs w:val="29"/>
          <w:rtl/>
          <w:lang w:bidi="fa-IR"/>
        </w:rPr>
        <w:t>لَكُم</w:t>
      </w:r>
      <w:r w:rsidR="006C78B4" w:rsidRPr="00995B26">
        <w:rPr>
          <w:rFonts w:ascii="KFGQPC Uthmanic Script HAFS" w:cs="KFGQPC Uthmanic Script HAFS" w:hint="cs"/>
          <w:sz w:val="29"/>
          <w:szCs w:val="29"/>
          <w:rtl/>
          <w:lang w:bidi="fa-IR"/>
        </w:rPr>
        <w:t>ۡ</w:t>
      </w:r>
      <w:r w:rsidR="006C78B4" w:rsidRPr="00995B26">
        <w:rPr>
          <w:rFonts w:ascii="KFGQPC Uthmanic Script HAFS" w:cs="KFGQPC Uthmanic Script HAFS"/>
          <w:sz w:val="29"/>
          <w:szCs w:val="29"/>
          <w:rtl/>
          <w:lang w:bidi="fa-IR"/>
        </w:rPr>
        <w:t xml:space="preserve"> </w:t>
      </w:r>
      <w:r w:rsidR="006C78B4" w:rsidRPr="00995B26">
        <w:rPr>
          <w:rFonts w:ascii="KFGQPC Uthmanic Script HAFS" w:cs="KFGQPC Uthmanic Script HAFS" w:hint="eastAsia"/>
          <w:sz w:val="29"/>
          <w:szCs w:val="29"/>
          <w:rtl/>
          <w:lang w:bidi="fa-IR"/>
        </w:rPr>
        <w:t>أَن</w:t>
      </w:r>
      <w:r w:rsidR="006C78B4" w:rsidRPr="00995B26">
        <w:rPr>
          <w:rFonts w:ascii="KFGQPC Uthmanic Script HAFS" w:cs="KFGQPC Uthmanic Script HAFS"/>
          <w:sz w:val="29"/>
          <w:szCs w:val="29"/>
          <w:rtl/>
          <w:lang w:bidi="fa-IR"/>
        </w:rPr>
        <w:t xml:space="preserve"> </w:t>
      </w:r>
      <w:r w:rsidR="006C78B4" w:rsidRPr="00995B26">
        <w:rPr>
          <w:rFonts w:ascii="KFGQPC Uthmanic Script HAFS" w:cs="KFGQPC Uthmanic Script HAFS" w:hint="eastAsia"/>
          <w:sz w:val="29"/>
          <w:szCs w:val="29"/>
          <w:rtl/>
          <w:lang w:bidi="fa-IR"/>
        </w:rPr>
        <w:t>تُؤ</w:t>
      </w:r>
      <w:r w:rsidR="006C78B4" w:rsidRPr="00995B26">
        <w:rPr>
          <w:rFonts w:ascii="KFGQPC Uthmanic Script HAFS" w:cs="KFGQPC Uthmanic Script HAFS" w:hint="cs"/>
          <w:sz w:val="29"/>
          <w:szCs w:val="29"/>
          <w:rtl/>
          <w:lang w:bidi="fa-IR"/>
        </w:rPr>
        <w:t>ۡ</w:t>
      </w:r>
      <w:r w:rsidR="006C78B4" w:rsidRPr="00995B26">
        <w:rPr>
          <w:rFonts w:ascii="KFGQPC Uthmanic Script HAFS" w:cs="KFGQPC Uthmanic Script HAFS" w:hint="eastAsia"/>
          <w:sz w:val="29"/>
          <w:szCs w:val="29"/>
          <w:rtl/>
          <w:lang w:bidi="fa-IR"/>
        </w:rPr>
        <w:t>ذُواْ</w:t>
      </w:r>
      <w:r w:rsidR="006C78B4" w:rsidRPr="00995B26">
        <w:rPr>
          <w:rFonts w:ascii="KFGQPC Uthmanic Script HAFS" w:cs="KFGQPC Uthmanic Script HAFS"/>
          <w:sz w:val="29"/>
          <w:szCs w:val="29"/>
          <w:rtl/>
          <w:lang w:bidi="fa-IR"/>
        </w:rPr>
        <w:t xml:space="preserve"> </w:t>
      </w:r>
      <w:r w:rsidR="006C78B4" w:rsidRPr="00995B26">
        <w:rPr>
          <w:rFonts w:ascii="KFGQPC Uthmanic Script HAFS" w:cs="KFGQPC Uthmanic Script HAFS" w:hint="eastAsia"/>
          <w:sz w:val="29"/>
          <w:szCs w:val="29"/>
          <w:rtl/>
          <w:lang w:bidi="fa-IR"/>
        </w:rPr>
        <w:t>رَسُولَ</w:t>
      </w:r>
      <w:r w:rsidR="006C78B4" w:rsidRPr="00995B26">
        <w:rPr>
          <w:rFonts w:ascii="KFGQPC Uthmanic Script HAFS" w:cs="KFGQPC Uthmanic Script HAFS"/>
          <w:sz w:val="29"/>
          <w:szCs w:val="29"/>
          <w:rtl/>
          <w:lang w:bidi="fa-IR"/>
        </w:rPr>
        <w:t xml:space="preserve"> </w:t>
      </w:r>
      <w:r w:rsidR="006C78B4" w:rsidRPr="00995B26">
        <w:rPr>
          <w:rFonts w:ascii="KFGQPC Uthmanic Script HAFS" w:cs="KFGQPC Uthmanic Script HAFS" w:hint="cs"/>
          <w:sz w:val="29"/>
          <w:szCs w:val="29"/>
          <w:rtl/>
          <w:lang w:bidi="fa-IR"/>
        </w:rPr>
        <w:t>ٱ</w:t>
      </w:r>
      <w:r w:rsidR="006C78B4" w:rsidRPr="00995B26">
        <w:rPr>
          <w:rFonts w:ascii="KFGQPC Uthmanic Script HAFS" w:cs="KFGQPC Uthmanic Script HAFS" w:hint="eastAsia"/>
          <w:sz w:val="29"/>
          <w:szCs w:val="29"/>
          <w:rtl/>
          <w:lang w:bidi="fa-IR"/>
        </w:rPr>
        <w:t>للَّهِ</w:t>
      </w:r>
      <w:r w:rsidR="006C78B4" w:rsidRPr="00995B26">
        <w:rPr>
          <w:rFonts w:ascii="KFGQPC Uthmanic Script HAFS" w:cs="KFGQPC Uthmanic Script HAFS"/>
          <w:sz w:val="29"/>
          <w:szCs w:val="29"/>
          <w:rtl/>
          <w:lang w:bidi="fa-IR"/>
        </w:rPr>
        <w:t xml:space="preserve"> </w:t>
      </w:r>
      <w:r w:rsidR="006C78B4" w:rsidRPr="00995B26">
        <w:rPr>
          <w:rFonts w:ascii="KFGQPC Uthmanic Script HAFS" w:cs="KFGQPC Uthmanic Script HAFS" w:hint="eastAsia"/>
          <w:sz w:val="29"/>
          <w:szCs w:val="29"/>
          <w:rtl/>
          <w:lang w:bidi="fa-IR"/>
        </w:rPr>
        <w:t>وَلَا</w:t>
      </w:r>
      <w:r w:rsidR="006C78B4" w:rsidRPr="00995B26">
        <w:rPr>
          <w:rFonts w:ascii="KFGQPC Uthmanic Script HAFS" w:cs="KFGQPC Uthmanic Script HAFS" w:hint="cs"/>
          <w:sz w:val="29"/>
          <w:szCs w:val="29"/>
          <w:rtl/>
          <w:lang w:bidi="fa-IR"/>
        </w:rPr>
        <w:t>ٓ</w:t>
      </w:r>
      <w:r w:rsidR="006C78B4" w:rsidRPr="00995B26">
        <w:rPr>
          <w:rFonts w:ascii="KFGQPC Uthmanic Script HAFS" w:cs="KFGQPC Uthmanic Script HAFS"/>
          <w:sz w:val="29"/>
          <w:szCs w:val="29"/>
          <w:rtl/>
          <w:lang w:bidi="fa-IR"/>
        </w:rPr>
        <w:t xml:space="preserve"> </w:t>
      </w:r>
      <w:r w:rsidR="006C78B4" w:rsidRPr="00995B26">
        <w:rPr>
          <w:rFonts w:ascii="KFGQPC Uthmanic Script HAFS" w:cs="KFGQPC Uthmanic Script HAFS" w:hint="eastAsia"/>
          <w:sz w:val="29"/>
          <w:szCs w:val="29"/>
          <w:rtl/>
          <w:lang w:bidi="fa-IR"/>
        </w:rPr>
        <w:t>أَن</w:t>
      </w:r>
      <w:r w:rsidR="006C78B4" w:rsidRPr="00995B26">
        <w:rPr>
          <w:rFonts w:ascii="KFGQPC Uthmanic Script HAFS" w:cs="KFGQPC Uthmanic Script HAFS"/>
          <w:sz w:val="29"/>
          <w:szCs w:val="29"/>
          <w:rtl/>
          <w:lang w:bidi="fa-IR"/>
        </w:rPr>
        <w:t xml:space="preserve"> </w:t>
      </w:r>
      <w:r w:rsidR="006C78B4" w:rsidRPr="00995B26">
        <w:rPr>
          <w:rFonts w:ascii="KFGQPC Uthmanic Script HAFS" w:cs="KFGQPC Uthmanic Script HAFS" w:hint="eastAsia"/>
          <w:sz w:val="29"/>
          <w:szCs w:val="29"/>
          <w:rtl/>
          <w:lang w:bidi="fa-IR"/>
        </w:rPr>
        <w:t>تَنكِحُو</w:t>
      </w:r>
      <w:r w:rsidR="006C78B4" w:rsidRPr="00995B26">
        <w:rPr>
          <w:rFonts w:ascii="KFGQPC Uthmanic Script HAFS" w:cs="KFGQPC Uthmanic Script HAFS" w:hint="cs"/>
          <w:sz w:val="29"/>
          <w:szCs w:val="29"/>
          <w:rtl/>
          <w:lang w:bidi="fa-IR"/>
        </w:rPr>
        <w:t>ٓ</w:t>
      </w:r>
      <w:r w:rsidR="006C78B4" w:rsidRPr="00995B26">
        <w:rPr>
          <w:rFonts w:ascii="KFGQPC Uthmanic Script HAFS" w:cs="KFGQPC Uthmanic Script HAFS" w:hint="eastAsia"/>
          <w:sz w:val="29"/>
          <w:szCs w:val="29"/>
          <w:rtl/>
          <w:lang w:bidi="fa-IR"/>
        </w:rPr>
        <w:t>اْ</w:t>
      </w:r>
      <w:r w:rsidR="006C78B4" w:rsidRPr="00995B26">
        <w:rPr>
          <w:rFonts w:ascii="KFGQPC Uthmanic Script HAFS" w:cs="KFGQPC Uthmanic Script HAFS"/>
          <w:sz w:val="29"/>
          <w:szCs w:val="29"/>
          <w:rtl/>
          <w:lang w:bidi="fa-IR"/>
        </w:rPr>
        <w:t xml:space="preserve"> </w:t>
      </w:r>
      <w:r w:rsidR="006C78B4" w:rsidRPr="00995B26">
        <w:rPr>
          <w:rFonts w:ascii="KFGQPC Uthmanic Script HAFS" w:cs="KFGQPC Uthmanic Script HAFS" w:hint="eastAsia"/>
          <w:sz w:val="29"/>
          <w:szCs w:val="29"/>
          <w:rtl/>
          <w:lang w:bidi="fa-IR"/>
        </w:rPr>
        <w:t>أَز</w:t>
      </w:r>
      <w:r w:rsidR="006C78B4" w:rsidRPr="00995B26">
        <w:rPr>
          <w:rFonts w:ascii="KFGQPC Uthmanic Script HAFS" w:cs="KFGQPC Uthmanic Script HAFS" w:hint="cs"/>
          <w:sz w:val="29"/>
          <w:szCs w:val="29"/>
          <w:rtl/>
          <w:lang w:bidi="fa-IR"/>
        </w:rPr>
        <w:t>ۡ</w:t>
      </w:r>
      <w:r w:rsidR="006C78B4" w:rsidRPr="00995B26">
        <w:rPr>
          <w:rFonts w:ascii="KFGQPC Uthmanic Script HAFS" w:cs="KFGQPC Uthmanic Script HAFS" w:hint="eastAsia"/>
          <w:sz w:val="29"/>
          <w:szCs w:val="29"/>
          <w:rtl/>
          <w:lang w:bidi="fa-IR"/>
        </w:rPr>
        <w:t>وَ</w:t>
      </w:r>
      <w:r w:rsidR="006C78B4" w:rsidRPr="00995B26">
        <w:rPr>
          <w:rFonts w:ascii="KFGQPC Uthmanic Script HAFS" w:cs="KFGQPC Uthmanic Script HAFS" w:hint="cs"/>
          <w:sz w:val="29"/>
          <w:szCs w:val="29"/>
          <w:rtl/>
          <w:lang w:bidi="fa-IR"/>
        </w:rPr>
        <w:t>ٰ</w:t>
      </w:r>
      <w:r w:rsidR="006C78B4" w:rsidRPr="00995B26">
        <w:rPr>
          <w:rFonts w:ascii="KFGQPC Uthmanic Script HAFS" w:cs="KFGQPC Uthmanic Script HAFS" w:hint="eastAsia"/>
          <w:sz w:val="29"/>
          <w:szCs w:val="29"/>
          <w:rtl/>
          <w:lang w:bidi="fa-IR"/>
        </w:rPr>
        <w:t>جَهُ</w:t>
      </w:r>
      <w:r w:rsidR="006C78B4" w:rsidRPr="00995B26">
        <w:rPr>
          <w:rFonts w:ascii="KFGQPC Uthmanic Script HAFS" w:cs="KFGQPC Uthmanic Script HAFS" w:hint="cs"/>
          <w:sz w:val="29"/>
          <w:szCs w:val="29"/>
          <w:rtl/>
          <w:lang w:bidi="fa-IR"/>
        </w:rPr>
        <w:t>ۥ</w:t>
      </w:r>
      <w:r w:rsidR="006C78B4" w:rsidRPr="00995B26">
        <w:rPr>
          <w:rFonts w:ascii="KFGQPC Uthmanic Script HAFS" w:cs="KFGQPC Uthmanic Script HAFS"/>
          <w:sz w:val="29"/>
          <w:szCs w:val="29"/>
          <w:rtl/>
          <w:lang w:bidi="fa-IR"/>
        </w:rPr>
        <w:t xml:space="preserve"> </w:t>
      </w:r>
      <w:r w:rsidR="006C78B4" w:rsidRPr="00995B26">
        <w:rPr>
          <w:rFonts w:ascii="KFGQPC Uthmanic Script HAFS" w:cs="KFGQPC Uthmanic Script HAFS" w:hint="eastAsia"/>
          <w:sz w:val="29"/>
          <w:szCs w:val="29"/>
          <w:rtl/>
          <w:lang w:bidi="fa-IR"/>
        </w:rPr>
        <w:t>مِن</w:t>
      </w:r>
      <w:r w:rsidR="006C78B4" w:rsidRPr="00995B26">
        <w:rPr>
          <w:rFonts w:ascii="KFGQPC Uthmanic Script HAFS" w:cs="KFGQPC Uthmanic Script HAFS" w:hint="cs"/>
          <w:sz w:val="29"/>
          <w:szCs w:val="29"/>
          <w:rtl/>
          <w:lang w:bidi="fa-IR"/>
        </w:rPr>
        <w:t>ۢ</w:t>
      </w:r>
      <w:r w:rsidR="006C78B4" w:rsidRPr="00995B26">
        <w:rPr>
          <w:rFonts w:ascii="KFGQPC Uthmanic Script HAFS" w:cs="KFGQPC Uthmanic Script HAFS"/>
          <w:sz w:val="29"/>
          <w:szCs w:val="29"/>
          <w:rtl/>
          <w:lang w:bidi="fa-IR"/>
        </w:rPr>
        <w:t xml:space="preserve"> </w:t>
      </w:r>
      <w:r w:rsidR="006C78B4" w:rsidRPr="00995B26">
        <w:rPr>
          <w:rFonts w:ascii="KFGQPC Uthmanic Script HAFS" w:cs="KFGQPC Uthmanic Script HAFS" w:hint="eastAsia"/>
          <w:sz w:val="29"/>
          <w:szCs w:val="29"/>
          <w:rtl/>
          <w:lang w:bidi="fa-IR"/>
        </w:rPr>
        <w:t>بَع</w:t>
      </w:r>
      <w:r w:rsidR="006C78B4" w:rsidRPr="00995B26">
        <w:rPr>
          <w:rFonts w:ascii="KFGQPC Uthmanic Script HAFS" w:cs="KFGQPC Uthmanic Script HAFS" w:hint="cs"/>
          <w:sz w:val="29"/>
          <w:szCs w:val="29"/>
          <w:rtl/>
          <w:lang w:bidi="fa-IR"/>
        </w:rPr>
        <w:t>ۡ</w:t>
      </w:r>
      <w:r w:rsidR="006C78B4" w:rsidRPr="00995B26">
        <w:rPr>
          <w:rFonts w:ascii="KFGQPC Uthmanic Script HAFS" w:cs="KFGQPC Uthmanic Script HAFS" w:hint="eastAsia"/>
          <w:sz w:val="29"/>
          <w:szCs w:val="29"/>
          <w:rtl/>
          <w:lang w:bidi="fa-IR"/>
        </w:rPr>
        <w:t>دِهِ</w:t>
      </w:r>
      <w:r w:rsidR="006C78B4" w:rsidRPr="00995B26">
        <w:rPr>
          <w:rFonts w:ascii="KFGQPC Uthmanic Script HAFS" w:cs="KFGQPC Uthmanic Script HAFS" w:hint="cs"/>
          <w:sz w:val="29"/>
          <w:szCs w:val="29"/>
          <w:rtl/>
          <w:lang w:bidi="fa-IR"/>
        </w:rPr>
        <w:t>ۦ</w:t>
      </w:r>
      <w:r w:rsidR="006C78B4" w:rsidRPr="00995B26">
        <w:rPr>
          <w:rFonts w:ascii="Abo-thar" w:hAnsi="Abo-thar" w:cs="Traditional Arabic" w:hint="cs"/>
          <w:sz w:val="28"/>
          <w:rtl/>
          <w:lang w:bidi="ar-SY"/>
        </w:rPr>
        <w:t>﴾</w:t>
      </w:r>
      <w:r w:rsidR="005C664D" w:rsidRPr="00995B26">
        <w:rPr>
          <w:rFonts w:ascii="Abo-thar" w:hAnsi="Abo-thar"/>
          <w:sz w:val="28"/>
          <w:rtl/>
          <w:lang w:bidi="ar-SY"/>
        </w:rPr>
        <w:t xml:space="preserve"> </w:t>
      </w:r>
      <w:r w:rsidR="005C664D" w:rsidRPr="003108CB">
        <w:rPr>
          <w:rStyle w:val="Char2"/>
          <w:rtl/>
        </w:rPr>
        <w:t>[الأحزاب</w:t>
      </w:r>
      <w:r w:rsidR="006C78B4" w:rsidRPr="003108CB">
        <w:rPr>
          <w:rStyle w:val="Char2"/>
          <w:rFonts w:hint="cs"/>
          <w:rtl/>
        </w:rPr>
        <w:t xml:space="preserve">: </w:t>
      </w:r>
      <w:r w:rsidR="005C664D" w:rsidRPr="003108CB">
        <w:rPr>
          <w:rStyle w:val="Char2"/>
          <w:rtl/>
        </w:rPr>
        <w:t>53]</w:t>
      </w:r>
      <w:r w:rsidRPr="00995B26">
        <w:rPr>
          <w:rFonts w:ascii="Abo-thar" w:hAnsi="Abo-thar" w:hint="cs"/>
          <w:sz w:val="28"/>
          <w:rtl/>
          <w:lang w:bidi="ar-SY"/>
        </w:rPr>
        <w:t>.</w:t>
      </w:r>
      <w:r w:rsidR="005C664D" w:rsidRPr="00995B26">
        <w:rPr>
          <w:rFonts w:ascii="Abo-thar" w:hAnsi="Abo-thar" w:hint="cs"/>
          <w:sz w:val="28"/>
          <w:rtl/>
          <w:lang w:bidi="ar-SY"/>
        </w:rPr>
        <w:t xml:space="preserve"> </w:t>
      </w:r>
      <w:r w:rsidRPr="00995B26">
        <w:rPr>
          <w:rFonts w:ascii="Abo-thar" w:hAnsi="Abo-thar" w:hint="cs"/>
          <w:sz w:val="28"/>
          <w:rtl/>
          <w:lang w:bidi="ar-SY"/>
        </w:rPr>
        <w:t>(</w:t>
      </w:r>
      <w:r w:rsidR="005C664D" w:rsidRPr="00995B26">
        <w:rPr>
          <w:rFonts w:ascii="Abo-thar" w:hAnsi="Abo-thar" w:hint="cs"/>
          <w:sz w:val="28"/>
          <w:rtl/>
          <w:lang w:bidi="ar-SY"/>
        </w:rPr>
        <w:t>6</w:t>
      </w:r>
      <w:r w:rsidRPr="00995B26">
        <w:rPr>
          <w:rFonts w:ascii="Abo-thar" w:hAnsi="Abo-thar" w:hint="cs"/>
          <w:sz w:val="28"/>
          <w:rtl/>
          <w:lang w:bidi="ar-SY"/>
        </w:rPr>
        <w:t>)</w:t>
      </w:r>
      <w:r w:rsidR="005C664D" w:rsidRPr="00995B26">
        <w:rPr>
          <w:rFonts w:ascii="Abo-thar" w:hAnsi="Abo-thar" w:hint="cs"/>
          <w:sz w:val="28"/>
          <w:rtl/>
          <w:lang w:bidi="ar-SY"/>
        </w:rPr>
        <w:t xml:space="preserve"> جواز دخوله المسجد ولو كان جنباً</w:t>
      </w:r>
      <w:r w:rsidRPr="00995B26">
        <w:rPr>
          <w:rFonts w:ascii="Abo-thar" w:hAnsi="Abo-thar" w:hint="cs"/>
          <w:sz w:val="28"/>
          <w:rtl/>
          <w:lang w:bidi="ar-SY"/>
        </w:rPr>
        <w:t>.</w:t>
      </w:r>
      <w:r w:rsidR="005C664D" w:rsidRPr="00995B26">
        <w:rPr>
          <w:rFonts w:ascii="Abo-thar" w:hAnsi="Abo-thar" w:hint="cs"/>
          <w:sz w:val="28"/>
          <w:rtl/>
          <w:lang w:bidi="ar-SY"/>
        </w:rPr>
        <w:t xml:space="preserve"> </w:t>
      </w:r>
      <w:r w:rsidR="007C6940">
        <w:rPr>
          <w:rFonts w:ascii="Abo-thar" w:hAnsi="Abo-thar" w:hint="cs"/>
          <w:sz w:val="28"/>
          <w:rtl/>
          <w:lang w:bidi="ar-SY"/>
        </w:rPr>
        <w:t xml:space="preserve">   </w:t>
      </w:r>
      <w:r w:rsidRPr="00995B26">
        <w:rPr>
          <w:rFonts w:ascii="Abo-thar" w:hAnsi="Abo-thar" w:hint="cs"/>
          <w:sz w:val="28"/>
          <w:rtl/>
          <w:lang w:bidi="ar-SY"/>
        </w:rPr>
        <w:t>(</w:t>
      </w:r>
      <w:r w:rsidR="005C664D" w:rsidRPr="00995B26">
        <w:rPr>
          <w:rFonts w:ascii="Abo-thar" w:hAnsi="Abo-thar" w:hint="cs"/>
          <w:sz w:val="28"/>
          <w:rtl/>
          <w:lang w:bidi="ar-SY"/>
        </w:rPr>
        <w:t>7</w:t>
      </w:r>
      <w:r w:rsidRPr="00995B26">
        <w:rPr>
          <w:rFonts w:ascii="Abo-thar" w:hAnsi="Abo-thar" w:hint="cs"/>
          <w:sz w:val="28"/>
          <w:rtl/>
          <w:lang w:bidi="ar-SY"/>
        </w:rPr>
        <w:t>)</w:t>
      </w:r>
      <w:r w:rsidR="005C664D" w:rsidRPr="00995B26">
        <w:rPr>
          <w:rFonts w:ascii="Abo-thar" w:hAnsi="Abo-thar" w:hint="cs"/>
          <w:sz w:val="28"/>
          <w:rtl/>
          <w:lang w:bidi="ar-SY"/>
        </w:rPr>
        <w:t xml:space="preserve"> جواز زواجه من أكثر من أربع كما يدل عليه عدد زوجاته</w:t>
      </w:r>
      <w:r w:rsidR="00147857" w:rsidRPr="00995B26">
        <w:rPr>
          <w:rFonts w:ascii="Abo-thar" w:hAnsi="Abo-thar" w:hint="cs"/>
          <w:sz w:val="28"/>
          <w:rtl/>
          <w:lang w:bidi="ar-SY"/>
        </w:rPr>
        <w:t xml:space="preserve"> </w:t>
      </w:r>
      <w:r w:rsidR="003C7AEB" w:rsidRPr="003C7AEB">
        <w:rPr>
          <w:rFonts w:ascii="Abo-thar" w:hAnsi="Abo-thar" w:cs="CTraditional Arabic"/>
          <w:sz w:val="28"/>
          <w:rtl/>
          <w:lang w:bidi="ar-SY"/>
        </w:rPr>
        <w:t>ص</w:t>
      </w:r>
      <w:r w:rsidRPr="00995B26">
        <w:rPr>
          <w:rFonts w:ascii="Abo-thar" w:hAnsi="Abo-thar"/>
          <w:sz w:val="28"/>
          <w:rtl/>
          <w:lang w:bidi="ar-SY"/>
        </w:rPr>
        <w:t>.</w:t>
      </w:r>
      <w:r w:rsidR="005C664D" w:rsidRPr="00995B26">
        <w:rPr>
          <w:rFonts w:ascii="Abo-thar" w:hAnsi="Abo-thar" w:hint="cs"/>
          <w:sz w:val="28"/>
          <w:rtl/>
        </w:rPr>
        <w:t xml:space="preserve"> </w:t>
      </w:r>
      <w:r w:rsidRPr="00995B26">
        <w:rPr>
          <w:rFonts w:ascii="Abo-thar" w:hAnsi="Abo-thar" w:hint="cs"/>
          <w:sz w:val="28"/>
          <w:rtl/>
        </w:rPr>
        <w:t>(</w:t>
      </w:r>
      <w:r w:rsidR="005C664D" w:rsidRPr="00995B26">
        <w:rPr>
          <w:rFonts w:ascii="Abo-thar" w:hAnsi="Abo-thar" w:hint="cs"/>
          <w:sz w:val="28"/>
          <w:rtl/>
        </w:rPr>
        <w:t>8</w:t>
      </w:r>
      <w:r w:rsidRPr="00995B26">
        <w:rPr>
          <w:rFonts w:ascii="Abo-thar" w:hAnsi="Abo-thar" w:hint="cs"/>
          <w:sz w:val="28"/>
          <w:rtl/>
        </w:rPr>
        <w:t>)</w:t>
      </w:r>
      <w:r w:rsidR="005C664D" w:rsidRPr="00995B26">
        <w:rPr>
          <w:rFonts w:ascii="Abo-thar" w:hAnsi="Abo-thar" w:hint="cs"/>
          <w:sz w:val="28"/>
          <w:rtl/>
        </w:rPr>
        <w:t xml:space="preserve"> جواز النكاح بلفظ الهبة</w:t>
      </w:r>
      <w:r w:rsidRPr="00995B26">
        <w:rPr>
          <w:rFonts w:ascii="Abo-thar" w:hAnsi="Abo-thar" w:hint="cs"/>
          <w:sz w:val="28"/>
          <w:rtl/>
        </w:rPr>
        <w:t>:</w:t>
      </w:r>
      <w:r w:rsidR="006C78B4" w:rsidRPr="00995B26">
        <w:rPr>
          <w:rFonts w:ascii="Abo-thar" w:hAnsi="Abo-thar" w:hint="cs"/>
          <w:sz w:val="28"/>
          <w:rtl/>
        </w:rPr>
        <w:t xml:space="preserve"> </w:t>
      </w:r>
      <w:r w:rsidR="006C78B4" w:rsidRPr="00995B26">
        <w:rPr>
          <w:rFonts w:ascii="Abo-thar" w:hAnsi="Abo-thar" w:cs="Traditional Arabic" w:hint="cs"/>
          <w:sz w:val="28"/>
          <w:rtl/>
        </w:rPr>
        <w:t>﴿</w:t>
      </w:r>
      <w:r w:rsidR="006C78B4" w:rsidRPr="00995B26">
        <w:rPr>
          <w:rFonts w:ascii="KFGQPC Uthmanic Script HAFS" w:cs="KFGQPC Uthmanic Script HAFS" w:hint="eastAsia"/>
          <w:sz w:val="29"/>
          <w:szCs w:val="29"/>
          <w:rtl/>
        </w:rPr>
        <w:t>إِن</w:t>
      </w:r>
      <w:r w:rsidR="006C78B4" w:rsidRPr="00995B26">
        <w:rPr>
          <w:rFonts w:ascii="KFGQPC Uthmanic Script HAFS" w:cs="KFGQPC Uthmanic Script HAFS"/>
          <w:sz w:val="29"/>
          <w:szCs w:val="29"/>
          <w:rtl/>
        </w:rPr>
        <w:t xml:space="preserve"> </w:t>
      </w:r>
      <w:r w:rsidR="006C78B4" w:rsidRPr="00995B26">
        <w:rPr>
          <w:rFonts w:ascii="KFGQPC Uthmanic Script HAFS" w:cs="KFGQPC Uthmanic Script HAFS" w:hint="eastAsia"/>
          <w:sz w:val="29"/>
          <w:szCs w:val="29"/>
          <w:rtl/>
        </w:rPr>
        <w:t>وَهَبَت</w:t>
      </w:r>
      <w:r w:rsidR="006C78B4" w:rsidRPr="00995B26">
        <w:rPr>
          <w:rFonts w:ascii="KFGQPC Uthmanic Script HAFS" w:cs="KFGQPC Uthmanic Script HAFS" w:hint="cs"/>
          <w:sz w:val="29"/>
          <w:szCs w:val="29"/>
          <w:rtl/>
        </w:rPr>
        <w:t>ۡ</w:t>
      </w:r>
      <w:r w:rsidR="006C78B4" w:rsidRPr="00995B26">
        <w:rPr>
          <w:rFonts w:ascii="KFGQPC Uthmanic Script HAFS" w:cs="KFGQPC Uthmanic Script HAFS"/>
          <w:sz w:val="29"/>
          <w:szCs w:val="29"/>
          <w:rtl/>
        </w:rPr>
        <w:t xml:space="preserve"> </w:t>
      </w:r>
      <w:r w:rsidR="006C78B4" w:rsidRPr="00995B26">
        <w:rPr>
          <w:rFonts w:ascii="KFGQPC Uthmanic Script HAFS" w:cs="KFGQPC Uthmanic Script HAFS" w:hint="eastAsia"/>
          <w:sz w:val="29"/>
          <w:szCs w:val="29"/>
          <w:rtl/>
        </w:rPr>
        <w:t>نَف</w:t>
      </w:r>
      <w:r w:rsidR="006C78B4" w:rsidRPr="00995B26">
        <w:rPr>
          <w:rFonts w:ascii="KFGQPC Uthmanic Script HAFS" w:cs="KFGQPC Uthmanic Script HAFS" w:hint="cs"/>
          <w:sz w:val="29"/>
          <w:szCs w:val="29"/>
          <w:rtl/>
        </w:rPr>
        <w:t>ۡ</w:t>
      </w:r>
      <w:r w:rsidR="006C78B4" w:rsidRPr="00995B26">
        <w:rPr>
          <w:rFonts w:ascii="KFGQPC Uthmanic Script HAFS" w:cs="KFGQPC Uthmanic Script HAFS" w:hint="eastAsia"/>
          <w:sz w:val="29"/>
          <w:szCs w:val="29"/>
          <w:rtl/>
        </w:rPr>
        <w:t>سَهَا</w:t>
      </w:r>
      <w:r w:rsidR="006C78B4" w:rsidRPr="00995B26">
        <w:rPr>
          <w:rFonts w:ascii="KFGQPC Uthmanic Script HAFS" w:cs="KFGQPC Uthmanic Script HAFS"/>
          <w:sz w:val="29"/>
          <w:szCs w:val="29"/>
          <w:rtl/>
        </w:rPr>
        <w:t xml:space="preserve"> </w:t>
      </w:r>
      <w:r w:rsidR="006C78B4" w:rsidRPr="00995B26">
        <w:rPr>
          <w:rFonts w:ascii="KFGQPC Uthmanic Script HAFS" w:cs="KFGQPC Uthmanic Script HAFS" w:hint="eastAsia"/>
          <w:sz w:val="29"/>
          <w:szCs w:val="29"/>
          <w:rtl/>
        </w:rPr>
        <w:t>لِلنَّبِيِّ</w:t>
      </w:r>
      <w:r w:rsidR="006C78B4" w:rsidRPr="00995B26">
        <w:rPr>
          <w:rFonts w:ascii="KFGQPC Uthmanic Script HAFS" w:cs="KFGQPC Uthmanic Script HAFS"/>
          <w:sz w:val="29"/>
          <w:szCs w:val="29"/>
          <w:rtl/>
        </w:rPr>
        <w:t xml:space="preserve"> </w:t>
      </w:r>
      <w:r w:rsidR="006C78B4" w:rsidRPr="00995B26">
        <w:rPr>
          <w:rFonts w:ascii="KFGQPC Uthmanic Script HAFS" w:cs="KFGQPC Uthmanic Script HAFS" w:hint="eastAsia"/>
          <w:sz w:val="29"/>
          <w:szCs w:val="29"/>
          <w:rtl/>
        </w:rPr>
        <w:t>إِن</w:t>
      </w:r>
      <w:r w:rsidR="006C78B4" w:rsidRPr="00995B26">
        <w:rPr>
          <w:rFonts w:ascii="KFGQPC Uthmanic Script HAFS" w:cs="KFGQPC Uthmanic Script HAFS" w:hint="cs"/>
          <w:sz w:val="29"/>
          <w:szCs w:val="29"/>
          <w:rtl/>
        </w:rPr>
        <w:t>ۡ</w:t>
      </w:r>
      <w:r w:rsidR="006C78B4" w:rsidRPr="00995B26">
        <w:rPr>
          <w:rFonts w:ascii="KFGQPC Uthmanic Script HAFS" w:cs="KFGQPC Uthmanic Script HAFS"/>
          <w:sz w:val="29"/>
          <w:szCs w:val="29"/>
          <w:rtl/>
        </w:rPr>
        <w:t xml:space="preserve"> </w:t>
      </w:r>
      <w:r w:rsidR="006C78B4" w:rsidRPr="00995B26">
        <w:rPr>
          <w:rFonts w:ascii="KFGQPC Uthmanic Script HAFS" w:cs="KFGQPC Uthmanic Script HAFS" w:hint="eastAsia"/>
          <w:sz w:val="29"/>
          <w:szCs w:val="29"/>
          <w:rtl/>
        </w:rPr>
        <w:t>أَرَادَ</w:t>
      </w:r>
      <w:r w:rsidR="006C78B4" w:rsidRPr="00995B26">
        <w:rPr>
          <w:rFonts w:ascii="KFGQPC Uthmanic Script HAFS" w:cs="KFGQPC Uthmanic Script HAFS"/>
          <w:sz w:val="29"/>
          <w:szCs w:val="29"/>
          <w:rtl/>
        </w:rPr>
        <w:t xml:space="preserve"> </w:t>
      </w:r>
      <w:r w:rsidR="006C78B4" w:rsidRPr="00995B26">
        <w:rPr>
          <w:rFonts w:ascii="KFGQPC Uthmanic Script HAFS" w:cs="KFGQPC Uthmanic Script HAFS" w:hint="cs"/>
          <w:sz w:val="29"/>
          <w:szCs w:val="29"/>
          <w:rtl/>
        </w:rPr>
        <w:t>ٱ</w:t>
      </w:r>
      <w:r w:rsidR="006C78B4" w:rsidRPr="00995B26">
        <w:rPr>
          <w:rFonts w:ascii="KFGQPC Uthmanic Script HAFS" w:cs="KFGQPC Uthmanic Script HAFS" w:hint="eastAsia"/>
          <w:sz w:val="29"/>
          <w:szCs w:val="29"/>
          <w:rtl/>
        </w:rPr>
        <w:t>لنَّبِيُّ</w:t>
      </w:r>
      <w:r w:rsidR="006C78B4" w:rsidRPr="00995B26">
        <w:rPr>
          <w:rFonts w:ascii="KFGQPC Uthmanic Script HAFS" w:cs="KFGQPC Uthmanic Script HAFS"/>
          <w:sz w:val="29"/>
          <w:szCs w:val="29"/>
          <w:rtl/>
        </w:rPr>
        <w:t xml:space="preserve"> </w:t>
      </w:r>
      <w:r w:rsidR="006C78B4" w:rsidRPr="00995B26">
        <w:rPr>
          <w:rFonts w:ascii="KFGQPC Uthmanic Script HAFS" w:cs="KFGQPC Uthmanic Script HAFS" w:hint="eastAsia"/>
          <w:sz w:val="29"/>
          <w:szCs w:val="29"/>
          <w:rtl/>
        </w:rPr>
        <w:t>أَن</w:t>
      </w:r>
      <w:r w:rsidR="006C78B4" w:rsidRPr="00995B26">
        <w:rPr>
          <w:rFonts w:ascii="KFGQPC Uthmanic Script HAFS" w:cs="KFGQPC Uthmanic Script HAFS"/>
          <w:sz w:val="29"/>
          <w:szCs w:val="29"/>
          <w:rtl/>
        </w:rPr>
        <w:t xml:space="preserve"> </w:t>
      </w:r>
      <w:r w:rsidR="006C78B4" w:rsidRPr="00995B26">
        <w:rPr>
          <w:rFonts w:ascii="KFGQPC Uthmanic Script HAFS" w:cs="KFGQPC Uthmanic Script HAFS" w:hint="eastAsia"/>
          <w:sz w:val="29"/>
          <w:szCs w:val="29"/>
          <w:rtl/>
        </w:rPr>
        <w:t>يَس</w:t>
      </w:r>
      <w:r w:rsidR="006C78B4" w:rsidRPr="00995B26">
        <w:rPr>
          <w:rFonts w:ascii="KFGQPC Uthmanic Script HAFS" w:cs="KFGQPC Uthmanic Script HAFS" w:hint="cs"/>
          <w:sz w:val="29"/>
          <w:szCs w:val="29"/>
          <w:rtl/>
        </w:rPr>
        <w:t>ۡ</w:t>
      </w:r>
      <w:r w:rsidR="006C78B4" w:rsidRPr="00995B26">
        <w:rPr>
          <w:rFonts w:ascii="KFGQPC Uthmanic Script HAFS" w:cs="KFGQPC Uthmanic Script HAFS" w:hint="eastAsia"/>
          <w:sz w:val="29"/>
          <w:szCs w:val="29"/>
          <w:rtl/>
        </w:rPr>
        <w:t>تَنكِحَهَا</w:t>
      </w:r>
      <w:r w:rsidR="006C78B4" w:rsidRPr="00995B26">
        <w:rPr>
          <w:rFonts w:ascii="Abo-thar" w:hAnsi="Abo-thar" w:cs="Traditional Arabic" w:hint="cs"/>
          <w:sz w:val="28"/>
          <w:rtl/>
        </w:rPr>
        <w:t>﴾</w:t>
      </w:r>
      <w:r w:rsidR="005C664D" w:rsidRPr="00995B26">
        <w:rPr>
          <w:rFonts w:ascii="Abo-thar" w:hAnsi="Abo-thar"/>
          <w:sz w:val="28"/>
          <w:rtl/>
          <w:lang w:bidi="ar-SY"/>
        </w:rPr>
        <w:t xml:space="preserve"> </w:t>
      </w:r>
      <w:r w:rsidR="005C664D" w:rsidRPr="003108CB">
        <w:rPr>
          <w:rStyle w:val="Char2"/>
          <w:rtl/>
        </w:rPr>
        <w:t>[الأحزاب</w:t>
      </w:r>
      <w:r w:rsidR="006C78B4" w:rsidRPr="003108CB">
        <w:rPr>
          <w:rStyle w:val="Char2"/>
          <w:rFonts w:hint="cs"/>
          <w:rtl/>
        </w:rPr>
        <w:t xml:space="preserve">: </w:t>
      </w:r>
      <w:r w:rsidR="005C664D" w:rsidRPr="003108CB">
        <w:rPr>
          <w:rStyle w:val="Char2"/>
          <w:rtl/>
        </w:rPr>
        <w:t>50]</w:t>
      </w:r>
      <w:r w:rsidRPr="00995B26">
        <w:rPr>
          <w:rFonts w:ascii="Abo-thar" w:hAnsi="Abo-thar" w:hint="cs"/>
          <w:sz w:val="28"/>
          <w:rtl/>
          <w:lang w:bidi="ar-SY"/>
        </w:rPr>
        <w:t>.</w:t>
      </w:r>
      <w:r w:rsidR="007C6940">
        <w:rPr>
          <w:rFonts w:ascii="Abo-thar" w:hAnsi="Abo-thar" w:hint="cs"/>
          <w:sz w:val="28"/>
          <w:rtl/>
          <w:lang w:bidi="ar-SY"/>
        </w:rPr>
        <w:t xml:space="preserve">             </w:t>
      </w:r>
      <w:r w:rsidR="005C664D" w:rsidRPr="00995B26">
        <w:rPr>
          <w:rFonts w:ascii="Abo-thar" w:hAnsi="Abo-thar" w:hint="cs"/>
          <w:sz w:val="28"/>
          <w:rtl/>
          <w:lang w:bidi="ar-SY"/>
        </w:rPr>
        <w:t xml:space="preserve"> </w:t>
      </w:r>
      <w:r w:rsidRPr="00995B26">
        <w:rPr>
          <w:rFonts w:ascii="Abo-thar" w:hAnsi="Abo-thar" w:hint="cs"/>
          <w:sz w:val="28"/>
          <w:rtl/>
          <w:lang w:bidi="ar-SY"/>
        </w:rPr>
        <w:t>(</w:t>
      </w:r>
      <w:r w:rsidR="005C664D" w:rsidRPr="00995B26">
        <w:rPr>
          <w:rFonts w:ascii="Abo-thar" w:hAnsi="Abo-thar" w:hint="cs"/>
          <w:sz w:val="28"/>
          <w:rtl/>
          <w:lang w:bidi="ar-SY"/>
        </w:rPr>
        <w:t>9</w:t>
      </w:r>
      <w:r w:rsidRPr="00995B26">
        <w:rPr>
          <w:rFonts w:ascii="Abo-thar" w:hAnsi="Abo-thar" w:hint="cs"/>
          <w:sz w:val="28"/>
          <w:rtl/>
          <w:lang w:bidi="ar-SY"/>
        </w:rPr>
        <w:t>)</w:t>
      </w:r>
      <w:r w:rsidR="005C664D" w:rsidRPr="00995B26">
        <w:rPr>
          <w:rFonts w:ascii="Abo-thar" w:hAnsi="Abo-thar" w:hint="cs"/>
          <w:sz w:val="28"/>
          <w:rtl/>
          <w:lang w:bidi="ar-SY"/>
        </w:rPr>
        <w:t xml:space="preserve"> وجوب الصلاة عليه</w:t>
      </w:r>
      <w:r w:rsidRPr="00995B26">
        <w:rPr>
          <w:rFonts w:ascii="Abo-thar" w:hAnsi="Abo-thar" w:hint="cs"/>
          <w:sz w:val="28"/>
          <w:rtl/>
          <w:lang w:bidi="ar-SY"/>
        </w:rPr>
        <w:t>:</w:t>
      </w:r>
      <w:r w:rsidR="006C78B4" w:rsidRPr="00995B26">
        <w:rPr>
          <w:rFonts w:ascii="Abo-thar" w:hAnsi="Abo-thar" w:hint="cs"/>
          <w:sz w:val="28"/>
          <w:rtl/>
          <w:lang w:bidi="ar-SY"/>
        </w:rPr>
        <w:t xml:space="preserve"> </w:t>
      </w:r>
      <w:r w:rsidR="006C78B4" w:rsidRPr="00995B26">
        <w:rPr>
          <w:rFonts w:ascii="Abo-thar" w:hAnsi="Abo-thar" w:cs="Traditional Arabic" w:hint="cs"/>
          <w:sz w:val="28"/>
          <w:rtl/>
          <w:lang w:bidi="ar-SY"/>
        </w:rPr>
        <w:t>﴿</w:t>
      </w:r>
      <w:r w:rsidR="006C78B4" w:rsidRPr="00995B26">
        <w:rPr>
          <w:rFonts w:ascii="KFGQPC Uthmanic Script HAFS" w:cs="KFGQPC Uthmanic Script HAFS" w:hint="eastAsia"/>
          <w:sz w:val="29"/>
          <w:szCs w:val="29"/>
          <w:rtl/>
        </w:rPr>
        <w:t>يَ</w:t>
      </w:r>
      <w:r w:rsidR="006C78B4" w:rsidRPr="00995B26">
        <w:rPr>
          <w:rFonts w:ascii="KFGQPC Uthmanic Script HAFS" w:cs="KFGQPC Uthmanic Script HAFS" w:hint="cs"/>
          <w:sz w:val="29"/>
          <w:szCs w:val="29"/>
          <w:rtl/>
        </w:rPr>
        <w:t>ٰٓ</w:t>
      </w:r>
      <w:r w:rsidR="006C78B4" w:rsidRPr="00995B26">
        <w:rPr>
          <w:rFonts w:ascii="KFGQPC Uthmanic Script HAFS" w:cs="KFGQPC Uthmanic Script HAFS" w:hint="eastAsia"/>
          <w:sz w:val="29"/>
          <w:szCs w:val="29"/>
          <w:rtl/>
        </w:rPr>
        <w:t>أَيُّهَا</w:t>
      </w:r>
      <w:r w:rsidR="006C78B4" w:rsidRPr="00995B26">
        <w:rPr>
          <w:rFonts w:ascii="KFGQPC Uthmanic Script HAFS" w:cs="KFGQPC Uthmanic Script HAFS"/>
          <w:sz w:val="29"/>
          <w:szCs w:val="29"/>
          <w:rtl/>
        </w:rPr>
        <w:t xml:space="preserve"> </w:t>
      </w:r>
      <w:r w:rsidR="006C78B4" w:rsidRPr="00995B26">
        <w:rPr>
          <w:rFonts w:ascii="KFGQPC Uthmanic Script HAFS" w:cs="KFGQPC Uthmanic Script HAFS" w:hint="cs"/>
          <w:sz w:val="29"/>
          <w:szCs w:val="29"/>
          <w:rtl/>
        </w:rPr>
        <w:t>ٱ</w:t>
      </w:r>
      <w:r w:rsidR="006C78B4" w:rsidRPr="00995B26">
        <w:rPr>
          <w:rFonts w:ascii="KFGQPC Uthmanic Script HAFS" w:cs="KFGQPC Uthmanic Script HAFS" w:hint="eastAsia"/>
          <w:sz w:val="29"/>
          <w:szCs w:val="29"/>
          <w:rtl/>
        </w:rPr>
        <w:t>لَّذِينَ</w:t>
      </w:r>
      <w:r w:rsidR="006C78B4" w:rsidRPr="00995B26">
        <w:rPr>
          <w:rFonts w:ascii="KFGQPC Uthmanic Script HAFS" w:cs="KFGQPC Uthmanic Script HAFS"/>
          <w:sz w:val="29"/>
          <w:szCs w:val="29"/>
          <w:rtl/>
        </w:rPr>
        <w:t xml:space="preserve"> </w:t>
      </w:r>
      <w:r w:rsidR="006C78B4" w:rsidRPr="00995B26">
        <w:rPr>
          <w:rFonts w:ascii="KFGQPC Uthmanic Script HAFS" w:cs="KFGQPC Uthmanic Script HAFS" w:hint="eastAsia"/>
          <w:sz w:val="29"/>
          <w:szCs w:val="29"/>
          <w:rtl/>
        </w:rPr>
        <w:t>ءَامَنُواْ</w:t>
      </w:r>
      <w:r w:rsidR="006C78B4" w:rsidRPr="00995B26">
        <w:rPr>
          <w:rFonts w:ascii="KFGQPC Uthmanic Script HAFS" w:cs="KFGQPC Uthmanic Script HAFS"/>
          <w:sz w:val="29"/>
          <w:szCs w:val="29"/>
          <w:rtl/>
        </w:rPr>
        <w:t xml:space="preserve"> </w:t>
      </w:r>
      <w:r w:rsidR="006C78B4" w:rsidRPr="00995B26">
        <w:rPr>
          <w:rFonts w:ascii="KFGQPC Uthmanic Script HAFS" w:cs="KFGQPC Uthmanic Script HAFS" w:hint="eastAsia"/>
          <w:sz w:val="29"/>
          <w:szCs w:val="29"/>
          <w:rtl/>
        </w:rPr>
        <w:t>صَلُّواْ</w:t>
      </w:r>
      <w:r w:rsidR="006C78B4" w:rsidRPr="00995B26">
        <w:rPr>
          <w:rFonts w:ascii="KFGQPC Uthmanic Script HAFS" w:cs="KFGQPC Uthmanic Script HAFS"/>
          <w:sz w:val="29"/>
          <w:szCs w:val="29"/>
          <w:rtl/>
        </w:rPr>
        <w:t xml:space="preserve"> </w:t>
      </w:r>
      <w:r w:rsidR="006C78B4" w:rsidRPr="00995B26">
        <w:rPr>
          <w:rFonts w:ascii="KFGQPC Uthmanic Script HAFS" w:cs="KFGQPC Uthmanic Script HAFS" w:hint="eastAsia"/>
          <w:sz w:val="29"/>
          <w:szCs w:val="29"/>
          <w:rtl/>
        </w:rPr>
        <w:t>عَلَي</w:t>
      </w:r>
      <w:r w:rsidR="006C78B4" w:rsidRPr="00995B26">
        <w:rPr>
          <w:rFonts w:ascii="KFGQPC Uthmanic Script HAFS" w:cs="KFGQPC Uthmanic Script HAFS" w:hint="cs"/>
          <w:sz w:val="29"/>
          <w:szCs w:val="29"/>
          <w:rtl/>
        </w:rPr>
        <w:t>ۡ</w:t>
      </w:r>
      <w:r w:rsidR="006C78B4" w:rsidRPr="00995B26">
        <w:rPr>
          <w:rFonts w:ascii="KFGQPC Uthmanic Script HAFS" w:cs="KFGQPC Uthmanic Script HAFS" w:hint="eastAsia"/>
          <w:sz w:val="29"/>
          <w:szCs w:val="29"/>
          <w:rtl/>
        </w:rPr>
        <w:t>هِ</w:t>
      </w:r>
      <w:r w:rsidR="006C78B4" w:rsidRPr="00995B26">
        <w:rPr>
          <w:rFonts w:ascii="KFGQPC Uthmanic Script HAFS" w:cs="KFGQPC Uthmanic Script HAFS"/>
          <w:sz w:val="29"/>
          <w:szCs w:val="29"/>
          <w:rtl/>
        </w:rPr>
        <w:t xml:space="preserve"> </w:t>
      </w:r>
      <w:r w:rsidR="006C78B4" w:rsidRPr="00995B26">
        <w:rPr>
          <w:rFonts w:ascii="KFGQPC Uthmanic Script HAFS" w:cs="KFGQPC Uthmanic Script HAFS" w:hint="eastAsia"/>
          <w:sz w:val="29"/>
          <w:szCs w:val="29"/>
          <w:rtl/>
        </w:rPr>
        <w:t>وَسَلِّمُواْ</w:t>
      </w:r>
      <w:r w:rsidR="006C78B4" w:rsidRPr="00995B26">
        <w:rPr>
          <w:rFonts w:ascii="KFGQPC Uthmanic Script HAFS" w:cs="KFGQPC Uthmanic Script HAFS"/>
          <w:sz w:val="29"/>
          <w:szCs w:val="29"/>
          <w:rtl/>
        </w:rPr>
        <w:t xml:space="preserve"> </w:t>
      </w:r>
      <w:r w:rsidR="006C78B4" w:rsidRPr="00995B26">
        <w:rPr>
          <w:rFonts w:ascii="KFGQPC Uthmanic Script HAFS" w:cs="KFGQPC Uthmanic Script HAFS" w:hint="eastAsia"/>
          <w:sz w:val="29"/>
          <w:szCs w:val="29"/>
          <w:rtl/>
        </w:rPr>
        <w:t>تَس</w:t>
      </w:r>
      <w:r w:rsidR="006C78B4" w:rsidRPr="00995B26">
        <w:rPr>
          <w:rFonts w:ascii="KFGQPC Uthmanic Script HAFS" w:cs="KFGQPC Uthmanic Script HAFS" w:hint="cs"/>
          <w:sz w:val="29"/>
          <w:szCs w:val="29"/>
          <w:rtl/>
        </w:rPr>
        <w:t>ۡ</w:t>
      </w:r>
      <w:r w:rsidR="006C78B4" w:rsidRPr="00995B26">
        <w:rPr>
          <w:rFonts w:ascii="KFGQPC Uthmanic Script HAFS" w:cs="KFGQPC Uthmanic Script HAFS" w:hint="eastAsia"/>
          <w:sz w:val="29"/>
          <w:szCs w:val="29"/>
          <w:rtl/>
        </w:rPr>
        <w:t>لِيمًا</w:t>
      </w:r>
      <w:r w:rsidR="006C78B4" w:rsidRPr="00995B26">
        <w:rPr>
          <w:rFonts w:ascii="Abo-thar" w:hAnsi="Abo-thar" w:cs="Traditional Arabic" w:hint="cs"/>
          <w:sz w:val="28"/>
          <w:rtl/>
          <w:lang w:bidi="ar-SY"/>
        </w:rPr>
        <w:t>﴾</w:t>
      </w:r>
      <w:r w:rsidR="005C664D" w:rsidRPr="00995B26">
        <w:rPr>
          <w:rFonts w:ascii="Abo-thar" w:hAnsi="Abo-thar"/>
          <w:sz w:val="28"/>
          <w:rtl/>
          <w:lang w:bidi="ar-SY"/>
        </w:rPr>
        <w:t xml:space="preserve"> </w:t>
      </w:r>
      <w:r w:rsidR="005C664D" w:rsidRPr="003108CB">
        <w:rPr>
          <w:rStyle w:val="Char2"/>
          <w:rtl/>
        </w:rPr>
        <w:t>[الأحزاب</w:t>
      </w:r>
      <w:r w:rsidR="006C78B4" w:rsidRPr="003108CB">
        <w:rPr>
          <w:rStyle w:val="Char2"/>
          <w:rFonts w:hint="cs"/>
          <w:rtl/>
        </w:rPr>
        <w:t>:</w:t>
      </w:r>
      <w:r w:rsidR="005C664D" w:rsidRPr="003108CB">
        <w:rPr>
          <w:rStyle w:val="Char2"/>
          <w:rtl/>
        </w:rPr>
        <w:t>56]</w:t>
      </w:r>
      <w:r w:rsidR="00920257" w:rsidRPr="0021507A">
        <w:rPr>
          <w:rFonts w:ascii="Abo-thar" w:hAnsi="Abo-thar" w:cs="Arabic11 BT"/>
          <w:sz w:val="28"/>
          <w:vertAlign w:val="superscript"/>
          <w:rtl/>
          <w:lang w:bidi="ar-SY"/>
        </w:rPr>
        <w:t>(</w:t>
      </w:r>
      <w:r w:rsidR="00920257" w:rsidRPr="0021507A">
        <w:rPr>
          <w:rStyle w:val="FootnoteReference"/>
          <w:rFonts w:ascii="Abo-thar" w:hAnsi="Abo-thar" w:cs="Arabic11 BT"/>
          <w:sz w:val="28"/>
          <w:rtl/>
          <w:lang w:bidi="ar-SY"/>
        </w:rPr>
        <w:footnoteReference w:id="160"/>
      </w:r>
      <w:r w:rsidR="00920257" w:rsidRPr="0021507A">
        <w:rPr>
          <w:rFonts w:ascii="Abo-thar" w:hAnsi="Abo-thar" w:cs="Arabic11 BT"/>
          <w:sz w:val="28"/>
          <w:vertAlign w:val="superscript"/>
          <w:rtl/>
          <w:lang w:bidi="ar-SY"/>
        </w:rPr>
        <w:t>)</w:t>
      </w:r>
      <w:r w:rsidR="003E3D26">
        <w:rPr>
          <w:rFonts w:hint="cs"/>
          <w:rtl/>
          <w:lang w:bidi="ar-SY"/>
        </w:rPr>
        <w:t>.</w:t>
      </w:r>
    </w:p>
    <w:p w:rsidR="005C664D" w:rsidRPr="003F3B94" w:rsidRDefault="005C664D" w:rsidP="003F3B94">
      <w:pPr>
        <w:pStyle w:val="a0"/>
        <w:rPr>
          <w:rFonts w:hint="cs"/>
          <w:rtl/>
          <w:lang w:bidi="ar-SY"/>
        </w:rPr>
      </w:pPr>
      <w:r w:rsidRPr="003F3B94">
        <w:rPr>
          <w:rFonts w:ascii="Abo-thar" w:hAnsi="Abo-thar" w:hint="cs"/>
          <w:sz w:val="28"/>
          <w:rtl/>
          <w:lang w:bidi="ar-SY"/>
        </w:rPr>
        <w:t>وأما ما سقط من قلم العلامة الحلي وهو من خصائص النبي كما تصرح به آيات الكتاب من أن مراعاة هذا الأمور هي من خصائصه</w:t>
      </w:r>
      <w:r w:rsidR="00147857" w:rsidRPr="003F3B94">
        <w:rPr>
          <w:rFonts w:ascii="Abo-thar" w:hAnsi="Abo-thar" w:hint="cs"/>
          <w:sz w:val="28"/>
          <w:rtl/>
          <w:lang w:bidi="ar-SY"/>
        </w:rPr>
        <w:t xml:space="preserve"> </w:t>
      </w:r>
      <w:r w:rsidR="003C7AEB" w:rsidRPr="003C7AEB">
        <w:rPr>
          <w:rFonts w:ascii="Abo-thar" w:hAnsi="Abo-thar" w:cs="CTraditional Arabic"/>
          <w:sz w:val="28"/>
          <w:rtl/>
          <w:lang w:bidi="ar-SY"/>
        </w:rPr>
        <w:t>ص</w:t>
      </w:r>
      <w:r w:rsidR="00217AB4" w:rsidRPr="003F3B94">
        <w:rPr>
          <w:rFonts w:ascii="Abo-thar" w:hAnsi="Abo-thar"/>
          <w:sz w:val="28"/>
          <w:rtl/>
          <w:lang w:bidi="ar-SY"/>
        </w:rPr>
        <w:t>:</w:t>
      </w:r>
      <w:r w:rsidRPr="003F3B94">
        <w:rPr>
          <w:rFonts w:ascii="Abo-thar" w:hAnsi="Abo-thar" w:hint="cs"/>
          <w:sz w:val="28"/>
          <w:rtl/>
          <w:lang w:bidi="ar-SY"/>
        </w:rPr>
        <w:t xml:space="preserve"> </w:t>
      </w:r>
    </w:p>
    <w:p w:rsidR="005C664D" w:rsidRPr="00995B26" w:rsidRDefault="005C664D" w:rsidP="007C6940">
      <w:pPr>
        <w:pStyle w:val="a0"/>
        <w:ind w:left="624" w:hanging="340"/>
        <w:rPr>
          <w:rFonts w:hint="cs"/>
          <w:rtl/>
          <w:lang w:bidi="ar-SY"/>
        </w:rPr>
      </w:pPr>
      <w:r w:rsidRPr="003F3B94">
        <w:rPr>
          <w:rFonts w:ascii="Abo-thar" w:hAnsi="Abo-thar" w:hint="cs"/>
          <w:sz w:val="28"/>
          <w:rtl/>
          <w:lang w:bidi="ar-SY"/>
        </w:rPr>
        <w:t>ألف</w:t>
      </w:r>
      <w:r w:rsidR="00217AB4" w:rsidRPr="003F3B94">
        <w:rPr>
          <w:rFonts w:ascii="Abo-thar" w:hAnsi="Abo-thar" w:hint="cs"/>
          <w:sz w:val="28"/>
          <w:rtl/>
          <w:lang w:bidi="ar-SY"/>
        </w:rPr>
        <w:t>-</w:t>
      </w:r>
      <w:r w:rsidRPr="003F3B94">
        <w:rPr>
          <w:rFonts w:ascii="Abo-thar" w:hAnsi="Abo-thar" w:hint="cs"/>
          <w:sz w:val="28"/>
          <w:rtl/>
          <w:lang w:bidi="ar-SY"/>
        </w:rPr>
        <w:t xml:space="preserve"> حرمة رفع الصوت فوق صوت النبي</w:t>
      </w:r>
      <w:r w:rsidR="00147857" w:rsidRPr="003F3B94">
        <w:rPr>
          <w:rFonts w:ascii="Abo-thar" w:hAnsi="Abo-thar" w:hint="cs"/>
          <w:sz w:val="28"/>
          <w:rtl/>
          <w:lang w:bidi="ar-SY"/>
        </w:rPr>
        <w:t xml:space="preserve"> </w:t>
      </w:r>
      <w:r w:rsidR="003C7AEB" w:rsidRPr="003C7AEB">
        <w:rPr>
          <w:rFonts w:ascii="Abo-thar" w:hAnsi="Abo-thar" w:cs="CTraditional Arabic"/>
          <w:sz w:val="28"/>
          <w:rtl/>
          <w:lang w:bidi="ar-SY"/>
        </w:rPr>
        <w:t>ص</w:t>
      </w:r>
      <w:r w:rsidR="00217AB4" w:rsidRPr="003F3B94">
        <w:rPr>
          <w:rFonts w:ascii="Abo-thar" w:hAnsi="Abo-thar"/>
          <w:sz w:val="28"/>
          <w:rtl/>
          <w:lang w:bidi="ar-SY"/>
        </w:rPr>
        <w:t>:</w:t>
      </w:r>
      <w:r w:rsidR="006C78B4" w:rsidRPr="003F3B94">
        <w:rPr>
          <w:rFonts w:ascii="Abo-thar" w:hAnsi="Abo-thar" w:hint="cs"/>
          <w:sz w:val="28"/>
          <w:rtl/>
          <w:lang w:bidi="ar-SY"/>
        </w:rPr>
        <w:t xml:space="preserve"> </w:t>
      </w:r>
      <w:r w:rsidR="006C78B4" w:rsidRPr="00995B26">
        <w:rPr>
          <w:rFonts w:cs="Traditional Arabic"/>
          <w:sz w:val="28"/>
          <w:rtl/>
          <w:lang w:bidi="fa-IR"/>
        </w:rPr>
        <w:t>﴿</w:t>
      </w:r>
      <w:r w:rsidR="006C78B4" w:rsidRPr="0067048A">
        <w:rPr>
          <w:rFonts w:ascii="KFGQPC Uthmanic Script HAFS" w:cs="KFGQPC Uthmanic Script HAFS" w:hint="eastAsia"/>
          <w:sz w:val="28"/>
          <w:szCs w:val="28"/>
          <w:rtl/>
        </w:rPr>
        <w:t>يَ</w:t>
      </w:r>
      <w:r w:rsidR="006C78B4" w:rsidRPr="0067048A">
        <w:rPr>
          <w:rFonts w:ascii="KFGQPC Uthmanic Script HAFS" w:cs="KFGQPC Uthmanic Script HAFS" w:hint="cs"/>
          <w:sz w:val="28"/>
          <w:szCs w:val="28"/>
          <w:rtl/>
        </w:rPr>
        <w:t>ٰٓ</w:t>
      </w:r>
      <w:r w:rsidR="006C78B4" w:rsidRPr="0067048A">
        <w:rPr>
          <w:rFonts w:ascii="KFGQPC Uthmanic Script HAFS" w:cs="KFGQPC Uthmanic Script HAFS" w:hint="eastAsia"/>
          <w:sz w:val="28"/>
          <w:szCs w:val="28"/>
          <w:rtl/>
        </w:rPr>
        <w:t>أَيُّهَا</w:t>
      </w:r>
      <w:r w:rsidR="006C78B4" w:rsidRPr="0067048A">
        <w:rPr>
          <w:rFonts w:ascii="KFGQPC Uthmanic Script HAFS" w:cs="KFGQPC Uthmanic Script HAFS"/>
          <w:sz w:val="28"/>
          <w:szCs w:val="28"/>
          <w:rtl/>
        </w:rPr>
        <w:t xml:space="preserve"> </w:t>
      </w:r>
      <w:r w:rsidR="006C78B4" w:rsidRPr="0067048A">
        <w:rPr>
          <w:rFonts w:ascii="KFGQPC Uthmanic Script HAFS" w:cs="KFGQPC Uthmanic Script HAFS" w:hint="cs"/>
          <w:sz w:val="28"/>
          <w:szCs w:val="28"/>
          <w:rtl/>
        </w:rPr>
        <w:t>ٱ</w:t>
      </w:r>
      <w:r w:rsidR="006C78B4" w:rsidRPr="0067048A">
        <w:rPr>
          <w:rFonts w:ascii="KFGQPC Uthmanic Script HAFS" w:cs="KFGQPC Uthmanic Script HAFS" w:hint="eastAsia"/>
          <w:sz w:val="28"/>
          <w:szCs w:val="28"/>
          <w:rtl/>
        </w:rPr>
        <w:t>لَّذِينَ</w:t>
      </w:r>
      <w:r w:rsidR="006C78B4" w:rsidRPr="0067048A">
        <w:rPr>
          <w:rFonts w:ascii="KFGQPC Uthmanic Script HAFS" w:cs="KFGQPC Uthmanic Script HAFS"/>
          <w:sz w:val="28"/>
          <w:szCs w:val="28"/>
          <w:rtl/>
        </w:rPr>
        <w:t xml:space="preserve"> </w:t>
      </w:r>
      <w:r w:rsidR="006C78B4" w:rsidRPr="0067048A">
        <w:rPr>
          <w:rFonts w:ascii="KFGQPC Uthmanic Script HAFS" w:cs="KFGQPC Uthmanic Script HAFS" w:hint="eastAsia"/>
          <w:sz w:val="28"/>
          <w:szCs w:val="28"/>
          <w:rtl/>
        </w:rPr>
        <w:t>ءَامَنُواْ</w:t>
      </w:r>
      <w:r w:rsidR="006C78B4" w:rsidRPr="0067048A">
        <w:rPr>
          <w:rFonts w:ascii="KFGQPC Uthmanic Script HAFS" w:cs="KFGQPC Uthmanic Script HAFS"/>
          <w:sz w:val="28"/>
          <w:szCs w:val="28"/>
          <w:rtl/>
        </w:rPr>
        <w:t xml:space="preserve"> </w:t>
      </w:r>
      <w:r w:rsidR="006C78B4" w:rsidRPr="0067048A">
        <w:rPr>
          <w:rFonts w:ascii="KFGQPC Uthmanic Script HAFS" w:cs="KFGQPC Uthmanic Script HAFS" w:hint="eastAsia"/>
          <w:sz w:val="28"/>
          <w:szCs w:val="28"/>
          <w:rtl/>
        </w:rPr>
        <w:t>لَا</w:t>
      </w:r>
      <w:r w:rsidR="006C78B4" w:rsidRPr="0067048A">
        <w:rPr>
          <w:rFonts w:ascii="KFGQPC Uthmanic Script HAFS" w:cs="KFGQPC Uthmanic Script HAFS"/>
          <w:sz w:val="28"/>
          <w:szCs w:val="28"/>
          <w:rtl/>
        </w:rPr>
        <w:t xml:space="preserve"> </w:t>
      </w:r>
      <w:r w:rsidR="006C78B4" w:rsidRPr="0067048A">
        <w:rPr>
          <w:rFonts w:ascii="KFGQPC Uthmanic Script HAFS" w:cs="KFGQPC Uthmanic Script HAFS" w:hint="eastAsia"/>
          <w:sz w:val="28"/>
          <w:szCs w:val="28"/>
          <w:rtl/>
        </w:rPr>
        <w:t>تَر</w:t>
      </w:r>
      <w:r w:rsidR="006C78B4" w:rsidRPr="0067048A">
        <w:rPr>
          <w:rFonts w:ascii="KFGQPC Uthmanic Script HAFS" w:cs="KFGQPC Uthmanic Script HAFS" w:hint="cs"/>
          <w:sz w:val="28"/>
          <w:szCs w:val="28"/>
          <w:rtl/>
        </w:rPr>
        <w:t>ۡ</w:t>
      </w:r>
      <w:r w:rsidR="006C78B4" w:rsidRPr="0067048A">
        <w:rPr>
          <w:rFonts w:ascii="KFGQPC Uthmanic Script HAFS" w:cs="KFGQPC Uthmanic Script HAFS" w:hint="eastAsia"/>
          <w:sz w:val="28"/>
          <w:szCs w:val="28"/>
          <w:rtl/>
        </w:rPr>
        <w:t>فَعُو</w:t>
      </w:r>
      <w:r w:rsidR="006C78B4" w:rsidRPr="0067048A">
        <w:rPr>
          <w:rFonts w:ascii="KFGQPC Uthmanic Script HAFS" w:cs="KFGQPC Uthmanic Script HAFS" w:hint="cs"/>
          <w:sz w:val="28"/>
          <w:szCs w:val="28"/>
          <w:rtl/>
        </w:rPr>
        <w:t>ٓ</w:t>
      </w:r>
      <w:r w:rsidR="006C78B4" w:rsidRPr="0067048A">
        <w:rPr>
          <w:rFonts w:ascii="KFGQPC Uthmanic Script HAFS" w:cs="KFGQPC Uthmanic Script HAFS" w:hint="eastAsia"/>
          <w:sz w:val="28"/>
          <w:szCs w:val="28"/>
          <w:rtl/>
        </w:rPr>
        <w:t>اْ</w:t>
      </w:r>
      <w:r w:rsidR="006C78B4" w:rsidRPr="0067048A">
        <w:rPr>
          <w:rFonts w:ascii="KFGQPC Uthmanic Script HAFS" w:cs="KFGQPC Uthmanic Script HAFS"/>
          <w:sz w:val="28"/>
          <w:szCs w:val="28"/>
          <w:rtl/>
        </w:rPr>
        <w:t xml:space="preserve"> </w:t>
      </w:r>
      <w:r w:rsidR="006C78B4" w:rsidRPr="0067048A">
        <w:rPr>
          <w:rFonts w:ascii="KFGQPC Uthmanic Script HAFS" w:cs="KFGQPC Uthmanic Script HAFS" w:hint="eastAsia"/>
          <w:sz w:val="28"/>
          <w:szCs w:val="28"/>
          <w:rtl/>
        </w:rPr>
        <w:t>أَص</w:t>
      </w:r>
      <w:r w:rsidR="006C78B4" w:rsidRPr="0067048A">
        <w:rPr>
          <w:rFonts w:ascii="KFGQPC Uthmanic Script HAFS" w:cs="KFGQPC Uthmanic Script HAFS" w:hint="cs"/>
          <w:sz w:val="28"/>
          <w:szCs w:val="28"/>
          <w:rtl/>
        </w:rPr>
        <w:t>ۡ</w:t>
      </w:r>
      <w:r w:rsidR="006C78B4" w:rsidRPr="0067048A">
        <w:rPr>
          <w:rFonts w:ascii="KFGQPC Uthmanic Script HAFS" w:cs="KFGQPC Uthmanic Script HAFS" w:hint="eastAsia"/>
          <w:sz w:val="28"/>
          <w:szCs w:val="28"/>
          <w:rtl/>
        </w:rPr>
        <w:t>وَ</w:t>
      </w:r>
      <w:r w:rsidR="006C78B4" w:rsidRPr="0067048A">
        <w:rPr>
          <w:rFonts w:ascii="KFGQPC Uthmanic Script HAFS" w:cs="KFGQPC Uthmanic Script HAFS" w:hint="cs"/>
          <w:sz w:val="28"/>
          <w:szCs w:val="28"/>
          <w:rtl/>
        </w:rPr>
        <w:t>ٰ</w:t>
      </w:r>
      <w:r w:rsidR="006C78B4" w:rsidRPr="0067048A">
        <w:rPr>
          <w:rFonts w:ascii="KFGQPC Uthmanic Script HAFS" w:cs="KFGQPC Uthmanic Script HAFS" w:hint="eastAsia"/>
          <w:sz w:val="28"/>
          <w:szCs w:val="28"/>
          <w:rtl/>
        </w:rPr>
        <w:t>تَكُم</w:t>
      </w:r>
      <w:r w:rsidR="006C78B4" w:rsidRPr="0067048A">
        <w:rPr>
          <w:rFonts w:ascii="KFGQPC Uthmanic Script HAFS" w:cs="KFGQPC Uthmanic Script HAFS" w:hint="cs"/>
          <w:sz w:val="28"/>
          <w:szCs w:val="28"/>
          <w:rtl/>
        </w:rPr>
        <w:t>ۡ</w:t>
      </w:r>
      <w:r w:rsidR="006C78B4" w:rsidRPr="0067048A">
        <w:rPr>
          <w:rFonts w:ascii="KFGQPC Uthmanic Script HAFS" w:cs="KFGQPC Uthmanic Script HAFS"/>
          <w:sz w:val="28"/>
          <w:szCs w:val="28"/>
          <w:rtl/>
        </w:rPr>
        <w:t xml:space="preserve"> </w:t>
      </w:r>
      <w:r w:rsidR="006C78B4" w:rsidRPr="0067048A">
        <w:rPr>
          <w:rFonts w:ascii="KFGQPC Uthmanic Script HAFS" w:cs="KFGQPC Uthmanic Script HAFS" w:hint="eastAsia"/>
          <w:sz w:val="28"/>
          <w:szCs w:val="28"/>
          <w:rtl/>
        </w:rPr>
        <w:t>فَو</w:t>
      </w:r>
      <w:r w:rsidR="006C78B4" w:rsidRPr="0067048A">
        <w:rPr>
          <w:rFonts w:ascii="KFGQPC Uthmanic Script HAFS" w:cs="KFGQPC Uthmanic Script HAFS" w:hint="cs"/>
          <w:sz w:val="28"/>
          <w:szCs w:val="28"/>
          <w:rtl/>
        </w:rPr>
        <w:t>ۡ</w:t>
      </w:r>
      <w:r w:rsidR="006C78B4" w:rsidRPr="0067048A">
        <w:rPr>
          <w:rFonts w:ascii="KFGQPC Uthmanic Script HAFS" w:cs="KFGQPC Uthmanic Script HAFS" w:hint="eastAsia"/>
          <w:sz w:val="28"/>
          <w:szCs w:val="28"/>
          <w:rtl/>
        </w:rPr>
        <w:t>قَ</w:t>
      </w:r>
      <w:r w:rsidR="006C78B4" w:rsidRPr="0067048A">
        <w:rPr>
          <w:rFonts w:ascii="KFGQPC Uthmanic Script HAFS" w:cs="KFGQPC Uthmanic Script HAFS"/>
          <w:sz w:val="28"/>
          <w:szCs w:val="28"/>
          <w:rtl/>
        </w:rPr>
        <w:t xml:space="preserve"> </w:t>
      </w:r>
      <w:r w:rsidR="006C78B4" w:rsidRPr="0067048A">
        <w:rPr>
          <w:rFonts w:ascii="KFGQPC Uthmanic Script HAFS" w:cs="KFGQPC Uthmanic Script HAFS" w:hint="eastAsia"/>
          <w:sz w:val="28"/>
          <w:szCs w:val="28"/>
          <w:rtl/>
        </w:rPr>
        <w:t>صَو</w:t>
      </w:r>
      <w:r w:rsidR="006C78B4" w:rsidRPr="0067048A">
        <w:rPr>
          <w:rFonts w:ascii="KFGQPC Uthmanic Script HAFS" w:cs="KFGQPC Uthmanic Script HAFS" w:hint="cs"/>
          <w:sz w:val="28"/>
          <w:szCs w:val="28"/>
          <w:rtl/>
        </w:rPr>
        <w:t>ۡ</w:t>
      </w:r>
      <w:r w:rsidR="006C78B4" w:rsidRPr="0067048A">
        <w:rPr>
          <w:rFonts w:ascii="KFGQPC Uthmanic Script HAFS" w:cs="KFGQPC Uthmanic Script HAFS" w:hint="eastAsia"/>
          <w:sz w:val="28"/>
          <w:szCs w:val="28"/>
          <w:rtl/>
        </w:rPr>
        <w:t>تِ</w:t>
      </w:r>
      <w:r w:rsidR="006C78B4" w:rsidRPr="0067048A">
        <w:rPr>
          <w:rFonts w:ascii="KFGQPC Uthmanic Script HAFS" w:cs="KFGQPC Uthmanic Script HAFS"/>
          <w:sz w:val="28"/>
          <w:szCs w:val="28"/>
          <w:rtl/>
        </w:rPr>
        <w:t xml:space="preserve"> </w:t>
      </w:r>
      <w:r w:rsidR="006C78B4" w:rsidRPr="0067048A">
        <w:rPr>
          <w:rFonts w:ascii="KFGQPC Uthmanic Script HAFS" w:cs="KFGQPC Uthmanic Script HAFS" w:hint="cs"/>
          <w:sz w:val="28"/>
          <w:szCs w:val="28"/>
          <w:rtl/>
        </w:rPr>
        <w:t>ٱ</w:t>
      </w:r>
      <w:r w:rsidR="006C78B4" w:rsidRPr="0067048A">
        <w:rPr>
          <w:rFonts w:ascii="KFGQPC Uthmanic Script HAFS" w:cs="KFGQPC Uthmanic Script HAFS" w:hint="eastAsia"/>
          <w:sz w:val="28"/>
          <w:szCs w:val="28"/>
          <w:rtl/>
        </w:rPr>
        <w:t>لنَّبِيِّ</w:t>
      </w:r>
      <w:r w:rsidR="006C78B4" w:rsidRPr="0067048A">
        <w:rPr>
          <w:rFonts w:ascii="KFGQPC Uthmanic Script HAFS" w:cs="KFGQPC Uthmanic Script HAFS"/>
          <w:sz w:val="28"/>
          <w:szCs w:val="28"/>
          <w:rtl/>
        </w:rPr>
        <w:t xml:space="preserve"> </w:t>
      </w:r>
      <w:r w:rsidR="006C78B4" w:rsidRPr="0067048A">
        <w:rPr>
          <w:rFonts w:ascii="KFGQPC Uthmanic Script HAFS" w:cs="KFGQPC Uthmanic Script HAFS" w:hint="eastAsia"/>
          <w:sz w:val="28"/>
          <w:szCs w:val="28"/>
          <w:rtl/>
        </w:rPr>
        <w:t>وَلَا</w:t>
      </w:r>
      <w:r w:rsidR="006C78B4" w:rsidRPr="0067048A">
        <w:rPr>
          <w:rFonts w:ascii="KFGQPC Uthmanic Script HAFS" w:cs="KFGQPC Uthmanic Script HAFS"/>
          <w:sz w:val="28"/>
          <w:szCs w:val="28"/>
          <w:rtl/>
        </w:rPr>
        <w:t xml:space="preserve"> </w:t>
      </w:r>
      <w:r w:rsidR="006C78B4" w:rsidRPr="0067048A">
        <w:rPr>
          <w:rFonts w:ascii="KFGQPC Uthmanic Script HAFS" w:cs="KFGQPC Uthmanic Script HAFS" w:hint="eastAsia"/>
          <w:sz w:val="28"/>
          <w:szCs w:val="28"/>
          <w:rtl/>
        </w:rPr>
        <w:t>تَج</w:t>
      </w:r>
      <w:r w:rsidR="006C78B4" w:rsidRPr="0067048A">
        <w:rPr>
          <w:rFonts w:ascii="KFGQPC Uthmanic Script HAFS" w:cs="KFGQPC Uthmanic Script HAFS" w:hint="cs"/>
          <w:sz w:val="28"/>
          <w:szCs w:val="28"/>
          <w:rtl/>
        </w:rPr>
        <w:t>ۡ</w:t>
      </w:r>
      <w:r w:rsidR="006C78B4" w:rsidRPr="0067048A">
        <w:rPr>
          <w:rFonts w:ascii="KFGQPC Uthmanic Script HAFS" w:cs="KFGQPC Uthmanic Script HAFS" w:hint="eastAsia"/>
          <w:sz w:val="28"/>
          <w:szCs w:val="28"/>
          <w:rtl/>
        </w:rPr>
        <w:t>هَرُواْ</w:t>
      </w:r>
      <w:r w:rsidR="006C78B4" w:rsidRPr="0067048A">
        <w:rPr>
          <w:rFonts w:ascii="KFGQPC Uthmanic Script HAFS" w:cs="KFGQPC Uthmanic Script HAFS"/>
          <w:sz w:val="28"/>
          <w:szCs w:val="28"/>
          <w:rtl/>
        </w:rPr>
        <w:t xml:space="preserve"> </w:t>
      </w:r>
      <w:r w:rsidR="006C78B4" w:rsidRPr="0067048A">
        <w:rPr>
          <w:rFonts w:ascii="KFGQPC Uthmanic Script HAFS" w:cs="KFGQPC Uthmanic Script HAFS" w:hint="eastAsia"/>
          <w:sz w:val="28"/>
          <w:szCs w:val="28"/>
          <w:rtl/>
        </w:rPr>
        <w:t>لَهُ</w:t>
      </w:r>
      <w:r w:rsidR="006C78B4" w:rsidRPr="0067048A">
        <w:rPr>
          <w:rFonts w:ascii="KFGQPC Uthmanic Script HAFS" w:cs="KFGQPC Uthmanic Script HAFS" w:hint="cs"/>
          <w:sz w:val="28"/>
          <w:szCs w:val="28"/>
          <w:rtl/>
        </w:rPr>
        <w:t>ۥ</w:t>
      </w:r>
      <w:r w:rsidR="006C78B4" w:rsidRPr="0067048A">
        <w:rPr>
          <w:rFonts w:ascii="KFGQPC Uthmanic Script HAFS" w:cs="KFGQPC Uthmanic Script HAFS"/>
          <w:sz w:val="28"/>
          <w:szCs w:val="28"/>
          <w:rtl/>
        </w:rPr>
        <w:t xml:space="preserve"> </w:t>
      </w:r>
      <w:r w:rsidR="006C78B4" w:rsidRPr="0067048A">
        <w:rPr>
          <w:rFonts w:ascii="KFGQPC Uthmanic Script HAFS" w:cs="KFGQPC Uthmanic Script HAFS" w:hint="eastAsia"/>
          <w:sz w:val="28"/>
          <w:szCs w:val="28"/>
          <w:rtl/>
        </w:rPr>
        <w:t>بِ</w:t>
      </w:r>
      <w:r w:rsidR="006C78B4" w:rsidRPr="0067048A">
        <w:rPr>
          <w:rFonts w:ascii="KFGQPC Uthmanic Script HAFS" w:cs="KFGQPC Uthmanic Script HAFS" w:hint="cs"/>
          <w:sz w:val="28"/>
          <w:szCs w:val="28"/>
          <w:rtl/>
        </w:rPr>
        <w:t>ٱ</w:t>
      </w:r>
      <w:r w:rsidR="006C78B4" w:rsidRPr="0067048A">
        <w:rPr>
          <w:rFonts w:ascii="KFGQPC Uthmanic Script HAFS" w:cs="KFGQPC Uthmanic Script HAFS" w:hint="eastAsia"/>
          <w:sz w:val="28"/>
          <w:szCs w:val="28"/>
          <w:rtl/>
        </w:rPr>
        <w:t>ل</w:t>
      </w:r>
      <w:r w:rsidR="006C78B4" w:rsidRPr="0067048A">
        <w:rPr>
          <w:rFonts w:ascii="KFGQPC Uthmanic Script HAFS" w:cs="KFGQPC Uthmanic Script HAFS" w:hint="cs"/>
          <w:sz w:val="28"/>
          <w:szCs w:val="28"/>
          <w:rtl/>
        </w:rPr>
        <w:t>ۡ</w:t>
      </w:r>
      <w:r w:rsidR="006C78B4" w:rsidRPr="0067048A">
        <w:rPr>
          <w:rFonts w:ascii="KFGQPC Uthmanic Script HAFS" w:cs="KFGQPC Uthmanic Script HAFS" w:hint="eastAsia"/>
          <w:sz w:val="28"/>
          <w:szCs w:val="28"/>
          <w:rtl/>
        </w:rPr>
        <w:t>قَو</w:t>
      </w:r>
      <w:r w:rsidR="006C78B4" w:rsidRPr="0067048A">
        <w:rPr>
          <w:rFonts w:ascii="KFGQPC Uthmanic Script HAFS" w:cs="KFGQPC Uthmanic Script HAFS" w:hint="cs"/>
          <w:sz w:val="28"/>
          <w:szCs w:val="28"/>
          <w:rtl/>
        </w:rPr>
        <w:t>ۡ</w:t>
      </w:r>
      <w:r w:rsidR="006C78B4" w:rsidRPr="0067048A">
        <w:rPr>
          <w:rFonts w:ascii="KFGQPC Uthmanic Script HAFS" w:cs="KFGQPC Uthmanic Script HAFS" w:hint="eastAsia"/>
          <w:sz w:val="28"/>
          <w:szCs w:val="28"/>
          <w:rtl/>
        </w:rPr>
        <w:t>لِ</w:t>
      </w:r>
      <w:r w:rsidR="006C78B4" w:rsidRPr="00995B26">
        <w:rPr>
          <w:rFonts w:cs="KFGQPC Uthman Taha Naskh" w:hint="cs"/>
          <w:sz w:val="28"/>
          <w:rtl/>
          <w:lang w:bidi="fa-IR"/>
        </w:rPr>
        <w:t>...</w:t>
      </w:r>
      <w:r w:rsidR="006C78B4" w:rsidRPr="00995B26">
        <w:rPr>
          <w:rFonts w:cs="Traditional Arabic" w:hint="cs"/>
          <w:sz w:val="28"/>
          <w:rtl/>
          <w:lang w:bidi="fa-IR"/>
        </w:rPr>
        <w:t>﴾</w:t>
      </w:r>
      <w:r w:rsidR="006C78B4" w:rsidRPr="00995B26">
        <w:rPr>
          <w:rFonts w:hint="cs"/>
          <w:sz w:val="28"/>
          <w:rtl/>
          <w:lang w:bidi="fa-IR"/>
        </w:rPr>
        <w:t>.</w:t>
      </w:r>
      <w:r w:rsidR="006C78B4" w:rsidRPr="00995B26">
        <w:rPr>
          <w:sz w:val="28"/>
          <w:rtl/>
          <w:lang w:bidi="fa-IR"/>
        </w:rPr>
        <w:t xml:space="preserve"> </w:t>
      </w:r>
      <w:r w:rsidR="006C78B4" w:rsidRPr="00995B26">
        <w:rPr>
          <w:rFonts w:ascii="Abo-thar" w:hAnsi="Abo-thar" w:hint="cs"/>
          <w:sz w:val="28"/>
          <w:rtl/>
          <w:lang w:bidi="fa-IR"/>
        </w:rPr>
        <w:t xml:space="preserve"> </w:t>
      </w:r>
      <w:r w:rsidRPr="003108CB">
        <w:rPr>
          <w:rStyle w:val="Char2"/>
          <w:rtl/>
        </w:rPr>
        <w:t>[الحجرات</w:t>
      </w:r>
      <w:r w:rsidR="006C78B4" w:rsidRPr="003108CB">
        <w:rPr>
          <w:rStyle w:val="Char2"/>
          <w:rFonts w:hint="cs"/>
          <w:rtl/>
        </w:rPr>
        <w:t xml:space="preserve">: </w:t>
      </w:r>
      <w:r w:rsidRPr="003108CB">
        <w:rPr>
          <w:rStyle w:val="Char2"/>
          <w:rtl/>
        </w:rPr>
        <w:t>2]</w:t>
      </w:r>
      <w:r w:rsidR="00217AB4" w:rsidRPr="00995B26">
        <w:rPr>
          <w:rFonts w:ascii="Abo-thar" w:hAnsi="Abo-thar" w:hint="cs"/>
          <w:sz w:val="28"/>
          <w:rtl/>
          <w:lang w:bidi="ar-SY"/>
        </w:rPr>
        <w:t>.</w:t>
      </w:r>
    </w:p>
    <w:p w:rsidR="005C664D" w:rsidRPr="00995B26" w:rsidRDefault="005C664D" w:rsidP="007C6940">
      <w:pPr>
        <w:pStyle w:val="a0"/>
        <w:ind w:left="624" w:hanging="340"/>
        <w:rPr>
          <w:rFonts w:hint="cs"/>
          <w:rtl/>
          <w:lang w:bidi="ar-SY"/>
        </w:rPr>
      </w:pPr>
      <w:r w:rsidRPr="003F3B94">
        <w:rPr>
          <w:rFonts w:ascii="Abo-thar" w:hAnsi="Abo-thar" w:hint="cs"/>
          <w:sz w:val="28"/>
          <w:rtl/>
          <w:lang w:bidi="ar-SY"/>
        </w:rPr>
        <w:t>ب</w:t>
      </w:r>
      <w:r w:rsidR="00217AB4" w:rsidRPr="003F3B94">
        <w:rPr>
          <w:rFonts w:ascii="Abo-thar" w:hAnsi="Abo-thar" w:hint="cs"/>
          <w:sz w:val="28"/>
          <w:rtl/>
          <w:lang w:bidi="ar-SY"/>
        </w:rPr>
        <w:t>-</w:t>
      </w:r>
      <w:r w:rsidRPr="003F3B94">
        <w:rPr>
          <w:rFonts w:ascii="Abo-thar" w:hAnsi="Abo-thar" w:hint="cs"/>
          <w:sz w:val="28"/>
          <w:rtl/>
          <w:lang w:bidi="ar-SY"/>
        </w:rPr>
        <w:t xml:space="preserve"> عدم جواز مناداة النبي</w:t>
      </w:r>
      <w:r w:rsidR="00147857" w:rsidRPr="003F3B94">
        <w:rPr>
          <w:rFonts w:ascii="Abo-thar" w:hAnsi="Abo-thar" w:hint="cs"/>
          <w:sz w:val="28"/>
          <w:rtl/>
          <w:lang w:bidi="ar-SY"/>
        </w:rPr>
        <w:t xml:space="preserve"> </w:t>
      </w:r>
      <w:r w:rsidR="003C7AEB" w:rsidRPr="003C7AEB">
        <w:rPr>
          <w:rFonts w:ascii="Abo-thar" w:hAnsi="Abo-thar" w:cs="CTraditional Arabic"/>
          <w:sz w:val="28"/>
          <w:rtl/>
          <w:lang w:bidi="ar-SY"/>
        </w:rPr>
        <w:t>ص</w:t>
      </w:r>
      <w:r w:rsidR="00147857" w:rsidRPr="003F3B94">
        <w:rPr>
          <w:rFonts w:ascii="Abo-thar" w:hAnsi="Abo-thar"/>
          <w:sz w:val="28"/>
          <w:rtl/>
          <w:lang w:bidi="ar-SY"/>
        </w:rPr>
        <w:t xml:space="preserve"> </w:t>
      </w:r>
      <w:r w:rsidRPr="003F3B94">
        <w:rPr>
          <w:rFonts w:ascii="Abo-thar" w:hAnsi="Abo-thar" w:hint="cs"/>
          <w:sz w:val="28"/>
          <w:rtl/>
          <w:lang w:bidi="ar-SY"/>
        </w:rPr>
        <w:t>من وراء حجراته المباركة</w:t>
      </w:r>
      <w:r w:rsidR="00217AB4" w:rsidRPr="003F3B94">
        <w:rPr>
          <w:rFonts w:ascii="Abo-thar" w:hAnsi="Abo-thar" w:hint="cs"/>
          <w:sz w:val="28"/>
          <w:rtl/>
          <w:lang w:bidi="ar-SY"/>
        </w:rPr>
        <w:t>:</w:t>
      </w:r>
      <w:r w:rsidR="006C78B4" w:rsidRPr="003F3B94">
        <w:rPr>
          <w:rFonts w:ascii="Abo-thar" w:hAnsi="Abo-thar" w:hint="cs"/>
          <w:sz w:val="28"/>
          <w:rtl/>
          <w:lang w:bidi="ar-SY"/>
        </w:rPr>
        <w:t xml:space="preserve"> </w:t>
      </w:r>
      <w:r w:rsidR="006C78B4" w:rsidRPr="00995B26">
        <w:rPr>
          <w:rFonts w:ascii="KFGQPC Uthmanic Script HAFS" w:cs="Traditional Arabic" w:hint="cs"/>
          <w:sz w:val="28"/>
          <w:rtl/>
          <w:lang w:bidi="fa-IR"/>
        </w:rPr>
        <w:t>﴿</w:t>
      </w:r>
      <w:r w:rsidR="006C78B4" w:rsidRPr="0067048A">
        <w:rPr>
          <w:rFonts w:ascii="KFGQPC Uthmanic Script HAFS" w:cs="KFGQPC Uthmanic Script HAFS" w:hint="eastAsia"/>
          <w:sz w:val="28"/>
          <w:szCs w:val="28"/>
          <w:rtl/>
          <w:lang w:bidi="fa-IR"/>
        </w:rPr>
        <w:t>إِنَّ</w:t>
      </w:r>
      <w:r w:rsidR="006C78B4" w:rsidRPr="0067048A">
        <w:rPr>
          <w:rFonts w:ascii="KFGQPC Uthmanic Script HAFS" w:cs="KFGQPC Uthmanic Script HAFS"/>
          <w:sz w:val="28"/>
          <w:szCs w:val="28"/>
          <w:rtl/>
          <w:lang w:bidi="fa-IR"/>
        </w:rPr>
        <w:t xml:space="preserve"> </w:t>
      </w:r>
      <w:r w:rsidR="006C78B4" w:rsidRPr="0067048A">
        <w:rPr>
          <w:rFonts w:ascii="KFGQPC Uthmanic Script HAFS" w:cs="KFGQPC Uthmanic Script HAFS" w:hint="cs"/>
          <w:sz w:val="28"/>
          <w:szCs w:val="28"/>
          <w:rtl/>
          <w:lang w:bidi="fa-IR"/>
        </w:rPr>
        <w:t>ٱ</w:t>
      </w:r>
      <w:r w:rsidR="006C78B4" w:rsidRPr="0067048A">
        <w:rPr>
          <w:rFonts w:ascii="KFGQPC Uthmanic Script HAFS" w:cs="KFGQPC Uthmanic Script HAFS" w:hint="eastAsia"/>
          <w:sz w:val="28"/>
          <w:szCs w:val="28"/>
          <w:rtl/>
          <w:lang w:bidi="fa-IR"/>
        </w:rPr>
        <w:t>لَّذِينَ</w:t>
      </w:r>
      <w:r w:rsidR="006C78B4" w:rsidRPr="0067048A">
        <w:rPr>
          <w:rFonts w:ascii="KFGQPC Uthmanic Script HAFS" w:cs="KFGQPC Uthmanic Script HAFS"/>
          <w:sz w:val="28"/>
          <w:szCs w:val="28"/>
          <w:rtl/>
          <w:lang w:bidi="fa-IR"/>
        </w:rPr>
        <w:t xml:space="preserve"> </w:t>
      </w:r>
      <w:r w:rsidR="006C78B4" w:rsidRPr="0067048A">
        <w:rPr>
          <w:rFonts w:ascii="KFGQPC Uthmanic Script HAFS" w:cs="KFGQPC Uthmanic Script HAFS" w:hint="eastAsia"/>
          <w:sz w:val="28"/>
          <w:szCs w:val="28"/>
          <w:rtl/>
          <w:lang w:bidi="fa-IR"/>
        </w:rPr>
        <w:t>يُنَادُونَكَ</w:t>
      </w:r>
      <w:r w:rsidR="006C78B4" w:rsidRPr="0067048A">
        <w:rPr>
          <w:rFonts w:ascii="KFGQPC Uthmanic Script HAFS" w:cs="KFGQPC Uthmanic Script HAFS"/>
          <w:sz w:val="28"/>
          <w:szCs w:val="28"/>
          <w:rtl/>
          <w:lang w:bidi="fa-IR"/>
        </w:rPr>
        <w:t xml:space="preserve"> </w:t>
      </w:r>
      <w:r w:rsidR="006C78B4" w:rsidRPr="0067048A">
        <w:rPr>
          <w:rFonts w:ascii="KFGQPC Uthmanic Script HAFS" w:cs="KFGQPC Uthmanic Script HAFS" w:hint="eastAsia"/>
          <w:sz w:val="28"/>
          <w:szCs w:val="28"/>
          <w:rtl/>
          <w:lang w:bidi="fa-IR"/>
        </w:rPr>
        <w:t>مِن</w:t>
      </w:r>
      <w:r w:rsidR="006C78B4" w:rsidRPr="0067048A">
        <w:rPr>
          <w:rFonts w:ascii="KFGQPC Uthmanic Script HAFS" w:cs="KFGQPC Uthmanic Script HAFS"/>
          <w:sz w:val="28"/>
          <w:szCs w:val="28"/>
          <w:rtl/>
          <w:lang w:bidi="fa-IR"/>
        </w:rPr>
        <w:t xml:space="preserve"> </w:t>
      </w:r>
      <w:r w:rsidR="006C78B4" w:rsidRPr="0067048A">
        <w:rPr>
          <w:rFonts w:ascii="KFGQPC Uthmanic Script HAFS" w:cs="KFGQPC Uthmanic Script HAFS" w:hint="eastAsia"/>
          <w:sz w:val="28"/>
          <w:szCs w:val="28"/>
          <w:rtl/>
          <w:lang w:bidi="fa-IR"/>
        </w:rPr>
        <w:t>وَرَا</w:t>
      </w:r>
      <w:r w:rsidR="006C78B4" w:rsidRPr="0067048A">
        <w:rPr>
          <w:rFonts w:ascii="KFGQPC Uthmanic Script HAFS" w:cs="KFGQPC Uthmanic Script HAFS" w:hint="cs"/>
          <w:sz w:val="28"/>
          <w:szCs w:val="28"/>
          <w:rtl/>
          <w:lang w:bidi="fa-IR"/>
        </w:rPr>
        <w:t>ٓ</w:t>
      </w:r>
      <w:r w:rsidR="006C78B4" w:rsidRPr="0067048A">
        <w:rPr>
          <w:rFonts w:ascii="KFGQPC Uthmanic Script HAFS" w:cs="KFGQPC Uthmanic Script HAFS" w:hint="eastAsia"/>
          <w:sz w:val="28"/>
          <w:szCs w:val="28"/>
          <w:rtl/>
          <w:lang w:bidi="fa-IR"/>
        </w:rPr>
        <w:t>ءِ</w:t>
      </w:r>
      <w:r w:rsidR="006C78B4" w:rsidRPr="0067048A">
        <w:rPr>
          <w:rFonts w:ascii="KFGQPC Uthmanic Script HAFS" w:cs="KFGQPC Uthmanic Script HAFS"/>
          <w:sz w:val="28"/>
          <w:szCs w:val="28"/>
          <w:rtl/>
          <w:lang w:bidi="fa-IR"/>
        </w:rPr>
        <w:t xml:space="preserve"> </w:t>
      </w:r>
      <w:r w:rsidR="006C78B4" w:rsidRPr="0067048A">
        <w:rPr>
          <w:rFonts w:ascii="KFGQPC Uthmanic Script HAFS" w:cs="KFGQPC Uthmanic Script HAFS" w:hint="cs"/>
          <w:sz w:val="28"/>
          <w:szCs w:val="28"/>
          <w:rtl/>
          <w:lang w:bidi="fa-IR"/>
        </w:rPr>
        <w:t>ٱ</w:t>
      </w:r>
      <w:r w:rsidR="006C78B4" w:rsidRPr="0067048A">
        <w:rPr>
          <w:rFonts w:ascii="KFGQPC Uthmanic Script HAFS" w:cs="KFGQPC Uthmanic Script HAFS" w:hint="eastAsia"/>
          <w:sz w:val="28"/>
          <w:szCs w:val="28"/>
          <w:rtl/>
          <w:lang w:bidi="fa-IR"/>
        </w:rPr>
        <w:t>ل</w:t>
      </w:r>
      <w:r w:rsidR="006C78B4" w:rsidRPr="0067048A">
        <w:rPr>
          <w:rFonts w:ascii="KFGQPC Uthmanic Script HAFS" w:cs="KFGQPC Uthmanic Script HAFS" w:hint="cs"/>
          <w:sz w:val="28"/>
          <w:szCs w:val="28"/>
          <w:rtl/>
          <w:lang w:bidi="fa-IR"/>
        </w:rPr>
        <w:t>ۡ</w:t>
      </w:r>
      <w:r w:rsidR="006C78B4" w:rsidRPr="0067048A">
        <w:rPr>
          <w:rFonts w:ascii="KFGQPC Uthmanic Script HAFS" w:cs="KFGQPC Uthmanic Script HAFS" w:hint="eastAsia"/>
          <w:sz w:val="28"/>
          <w:szCs w:val="28"/>
          <w:rtl/>
          <w:lang w:bidi="fa-IR"/>
        </w:rPr>
        <w:t>حُجُرَ</w:t>
      </w:r>
      <w:r w:rsidR="006C78B4" w:rsidRPr="0067048A">
        <w:rPr>
          <w:rFonts w:ascii="KFGQPC Uthmanic Script HAFS" w:cs="KFGQPC Uthmanic Script HAFS" w:hint="cs"/>
          <w:sz w:val="28"/>
          <w:szCs w:val="28"/>
          <w:rtl/>
          <w:lang w:bidi="fa-IR"/>
        </w:rPr>
        <w:t>ٰ</w:t>
      </w:r>
      <w:r w:rsidR="006C78B4" w:rsidRPr="0067048A">
        <w:rPr>
          <w:rFonts w:ascii="KFGQPC Uthmanic Script HAFS" w:cs="KFGQPC Uthmanic Script HAFS" w:hint="eastAsia"/>
          <w:sz w:val="28"/>
          <w:szCs w:val="28"/>
          <w:rtl/>
          <w:lang w:bidi="fa-IR"/>
        </w:rPr>
        <w:t>تِ</w:t>
      </w:r>
      <w:r w:rsidR="006C78B4" w:rsidRPr="0067048A">
        <w:rPr>
          <w:rFonts w:ascii="KFGQPC Uthmanic Script HAFS" w:cs="KFGQPC Uthmanic Script HAFS"/>
          <w:sz w:val="28"/>
          <w:szCs w:val="28"/>
          <w:rtl/>
          <w:lang w:bidi="fa-IR"/>
        </w:rPr>
        <w:t xml:space="preserve"> </w:t>
      </w:r>
      <w:r w:rsidR="006C78B4" w:rsidRPr="0067048A">
        <w:rPr>
          <w:rFonts w:ascii="KFGQPC Uthmanic Script HAFS" w:cs="KFGQPC Uthmanic Script HAFS" w:hint="eastAsia"/>
          <w:sz w:val="28"/>
          <w:szCs w:val="28"/>
          <w:rtl/>
          <w:lang w:bidi="fa-IR"/>
        </w:rPr>
        <w:t>أَك</w:t>
      </w:r>
      <w:r w:rsidR="006C78B4" w:rsidRPr="0067048A">
        <w:rPr>
          <w:rFonts w:ascii="KFGQPC Uthmanic Script HAFS" w:cs="KFGQPC Uthmanic Script HAFS" w:hint="cs"/>
          <w:sz w:val="28"/>
          <w:szCs w:val="28"/>
          <w:rtl/>
          <w:lang w:bidi="fa-IR"/>
        </w:rPr>
        <w:t>ۡ</w:t>
      </w:r>
      <w:r w:rsidR="006C78B4" w:rsidRPr="0067048A">
        <w:rPr>
          <w:rFonts w:ascii="KFGQPC Uthmanic Script HAFS" w:cs="KFGQPC Uthmanic Script HAFS" w:hint="eastAsia"/>
          <w:sz w:val="28"/>
          <w:szCs w:val="28"/>
          <w:rtl/>
          <w:lang w:bidi="fa-IR"/>
        </w:rPr>
        <w:t>ثَرُهُم</w:t>
      </w:r>
      <w:r w:rsidR="006C78B4" w:rsidRPr="0067048A">
        <w:rPr>
          <w:rFonts w:ascii="KFGQPC Uthmanic Script HAFS" w:cs="KFGQPC Uthmanic Script HAFS" w:hint="cs"/>
          <w:sz w:val="28"/>
          <w:szCs w:val="28"/>
          <w:rtl/>
          <w:lang w:bidi="fa-IR"/>
        </w:rPr>
        <w:t>ۡ</w:t>
      </w:r>
      <w:r w:rsidR="006C78B4" w:rsidRPr="0067048A">
        <w:rPr>
          <w:rFonts w:ascii="KFGQPC Uthmanic Script HAFS" w:cs="KFGQPC Uthmanic Script HAFS"/>
          <w:sz w:val="28"/>
          <w:szCs w:val="28"/>
          <w:rtl/>
          <w:lang w:bidi="fa-IR"/>
        </w:rPr>
        <w:t xml:space="preserve"> </w:t>
      </w:r>
      <w:r w:rsidR="006C78B4" w:rsidRPr="0067048A">
        <w:rPr>
          <w:rFonts w:ascii="KFGQPC Uthmanic Script HAFS" w:cs="KFGQPC Uthmanic Script HAFS" w:hint="eastAsia"/>
          <w:sz w:val="28"/>
          <w:szCs w:val="28"/>
          <w:rtl/>
          <w:lang w:bidi="fa-IR"/>
        </w:rPr>
        <w:t>لَا</w:t>
      </w:r>
      <w:r w:rsidR="006C78B4" w:rsidRPr="0067048A">
        <w:rPr>
          <w:rFonts w:ascii="KFGQPC Uthmanic Script HAFS" w:cs="KFGQPC Uthmanic Script HAFS"/>
          <w:sz w:val="28"/>
          <w:szCs w:val="28"/>
          <w:rtl/>
          <w:lang w:bidi="fa-IR"/>
        </w:rPr>
        <w:t xml:space="preserve"> </w:t>
      </w:r>
      <w:r w:rsidR="006C78B4" w:rsidRPr="0067048A">
        <w:rPr>
          <w:rFonts w:ascii="KFGQPC Uthmanic Script HAFS" w:cs="KFGQPC Uthmanic Script HAFS" w:hint="eastAsia"/>
          <w:sz w:val="28"/>
          <w:szCs w:val="28"/>
          <w:rtl/>
          <w:lang w:bidi="fa-IR"/>
        </w:rPr>
        <w:t>يَع</w:t>
      </w:r>
      <w:r w:rsidR="006C78B4" w:rsidRPr="0067048A">
        <w:rPr>
          <w:rFonts w:ascii="KFGQPC Uthmanic Script HAFS" w:cs="KFGQPC Uthmanic Script HAFS" w:hint="cs"/>
          <w:sz w:val="28"/>
          <w:szCs w:val="28"/>
          <w:rtl/>
          <w:lang w:bidi="fa-IR"/>
        </w:rPr>
        <w:t>ۡ</w:t>
      </w:r>
      <w:r w:rsidR="006C78B4" w:rsidRPr="0067048A">
        <w:rPr>
          <w:rFonts w:ascii="KFGQPC Uthmanic Script HAFS" w:cs="KFGQPC Uthmanic Script HAFS" w:hint="eastAsia"/>
          <w:sz w:val="28"/>
          <w:szCs w:val="28"/>
          <w:rtl/>
          <w:lang w:bidi="fa-IR"/>
        </w:rPr>
        <w:t>قِلُونَ</w:t>
      </w:r>
      <w:r w:rsidR="006C78B4" w:rsidRPr="0067048A">
        <w:rPr>
          <w:rFonts w:ascii="KFGQPC Uthmanic Script HAFS" w:cs="KFGQPC Uthmanic Script HAFS"/>
          <w:sz w:val="28"/>
          <w:szCs w:val="28"/>
          <w:rtl/>
          <w:lang w:bidi="fa-IR"/>
        </w:rPr>
        <w:t xml:space="preserve"> </w:t>
      </w:r>
      <w:r w:rsidR="006C78B4" w:rsidRPr="0067048A">
        <w:rPr>
          <w:rFonts w:ascii="KFGQPC Uthmanic Script HAFS" w:cs="KFGQPC Uthmanic Script HAFS" w:hint="cs"/>
          <w:sz w:val="28"/>
          <w:szCs w:val="28"/>
          <w:rtl/>
          <w:lang w:bidi="fa-IR"/>
        </w:rPr>
        <w:t>٤</w:t>
      </w:r>
      <w:r w:rsidR="006C78B4" w:rsidRPr="00995B26">
        <w:rPr>
          <w:rFonts w:cs="Traditional Arabic"/>
          <w:sz w:val="28"/>
          <w:rtl/>
          <w:lang w:bidi="fa-IR"/>
        </w:rPr>
        <w:t>﴾</w:t>
      </w:r>
      <w:r w:rsidR="006C78B4" w:rsidRPr="00995B26">
        <w:rPr>
          <w:sz w:val="28"/>
          <w:rtl/>
          <w:lang w:bidi="fa-IR"/>
        </w:rPr>
        <w:t xml:space="preserve"> </w:t>
      </w:r>
      <w:r w:rsidRPr="00995B26">
        <w:rPr>
          <w:rFonts w:ascii="Abo-thar" w:hAnsi="Abo-thar"/>
          <w:sz w:val="28"/>
          <w:rtl/>
          <w:lang w:bidi="ar-SY"/>
        </w:rPr>
        <w:t xml:space="preserve"> </w:t>
      </w:r>
      <w:r w:rsidRPr="003108CB">
        <w:rPr>
          <w:rStyle w:val="Char2"/>
          <w:rtl/>
        </w:rPr>
        <w:t>[الحجرات</w:t>
      </w:r>
      <w:r w:rsidR="006C78B4" w:rsidRPr="003108CB">
        <w:rPr>
          <w:rStyle w:val="Char2"/>
          <w:rFonts w:hint="cs"/>
          <w:rtl/>
        </w:rPr>
        <w:t xml:space="preserve">: </w:t>
      </w:r>
      <w:r w:rsidRPr="003108CB">
        <w:rPr>
          <w:rStyle w:val="Char2"/>
          <w:rtl/>
        </w:rPr>
        <w:t>4]</w:t>
      </w:r>
      <w:r w:rsidR="00217AB4" w:rsidRPr="00995B26">
        <w:rPr>
          <w:rFonts w:ascii="Abo-thar" w:hAnsi="Abo-thar" w:hint="cs"/>
          <w:sz w:val="28"/>
          <w:rtl/>
          <w:lang w:bidi="ar-SY"/>
        </w:rPr>
        <w:t>.</w:t>
      </w:r>
    </w:p>
    <w:p w:rsidR="005C664D" w:rsidRPr="00995B26" w:rsidRDefault="005C664D" w:rsidP="007C6940">
      <w:pPr>
        <w:pStyle w:val="a0"/>
        <w:ind w:left="624" w:hanging="340"/>
        <w:rPr>
          <w:rFonts w:hint="cs"/>
          <w:rtl/>
          <w:lang w:bidi="ar-SY"/>
        </w:rPr>
      </w:pPr>
      <w:r w:rsidRPr="003F3B94">
        <w:rPr>
          <w:rFonts w:ascii="Abo-thar" w:hAnsi="Abo-thar" w:hint="cs"/>
          <w:sz w:val="28"/>
          <w:rtl/>
          <w:lang w:bidi="ar-SY"/>
        </w:rPr>
        <w:t>ج</w:t>
      </w:r>
      <w:r w:rsidR="00217AB4" w:rsidRPr="003F3B94">
        <w:rPr>
          <w:rFonts w:ascii="Abo-thar" w:hAnsi="Abo-thar" w:hint="cs"/>
          <w:sz w:val="28"/>
          <w:rtl/>
          <w:lang w:bidi="ar-SY"/>
        </w:rPr>
        <w:t>-</w:t>
      </w:r>
      <w:r w:rsidRPr="003F3B94">
        <w:rPr>
          <w:rFonts w:ascii="Abo-thar" w:hAnsi="Abo-thar" w:hint="cs"/>
          <w:sz w:val="28"/>
          <w:rtl/>
          <w:lang w:bidi="ar-SY"/>
        </w:rPr>
        <w:t xml:space="preserve"> تميز نساء النبي</w:t>
      </w:r>
      <w:r w:rsidR="00147857" w:rsidRPr="003F3B94">
        <w:rPr>
          <w:rFonts w:ascii="Abo-thar" w:hAnsi="Abo-thar" w:hint="cs"/>
          <w:sz w:val="28"/>
          <w:rtl/>
          <w:lang w:bidi="ar-SY"/>
        </w:rPr>
        <w:t xml:space="preserve"> </w:t>
      </w:r>
      <w:r w:rsidR="003C7AEB" w:rsidRPr="003C7AEB">
        <w:rPr>
          <w:rFonts w:ascii="Abo-thar" w:hAnsi="Abo-thar" w:cs="CTraditional Arabic"/>
          <w:sz w:val="28"/>
          <w:rtl/>
          <w:lang w:bidi="ar-SY"/>
        </w:rPr>
        <w:t>ص</w:t>
      </w:r>
      <w:r w:rsidR="00147857" w:rsidRPr="003F3B94">
        <w:rPr>
          <w:rFonts w:ascii="Abo-thar" w:hAnsi="Abo-thar"/>
          <w:sz w:val="28"/>
          <w:rtl/>
          <w:lang w:bidi="ar-SY"/>
        </w:rPr>
        <w:t xml:space="preserve"> و</w:t>
      </w:r>
      <w:r w:rsidRPr="003F3B94">
        <w:rPr>
          <w:rFonts w:ascii="Abo-thar" w:hAnsi="Abo-thar" w:hint="cs"/>
          <w:sz w:val="28"/>
          <w:rtl/>
          <w:lang w:bidi="ar-SY"/>
        </w:rPr>
        <w:t>افتراقهم عن سائر النساء</w:t>
      </w:r>
      <w:r w:rsidR="00217AB4" w:rsidRPr="003F3B94">
        <w:rPr>
          <w:rFonts w:ascii="Abo-thar" w:hAnsi="Abo-thar" w:hint="cs"/>
          <w:sz w:val="28"/>
          <w:rtl/>
          <w:lang w:bidi="ar-SY"/>
        </w:rPr>
        <w:t>:</w:t>
      </w:r>
      <w:r w:rsidR="006C78B4" w:rsidRPr="003F3B94">
        <w:rPr>
          <w:rFonts w:ascii="Abo-thar" w:hAnsi="Abo-thar" w:hint="cs"/>
          <w:sz w:val="28"/>
          <w:rtl/>
          <w:lang w:bidi="ar-SY"/>
        </w:rPr>
        <w:t xml:space="preserve"> </w:t>
      </w:r>
      <w:r w:rsidR="006C78B4" w:rsidRPr="00995B26">
        <w:rPr>
          <w:rFonts w:cs="Traditional Arabic" w:hint="cs"/>
          <w:sz w:val="28"/>
          <w:rtl/>
          <w:lang w:bidi="fa-IR"/>
        </w:rPr>
        <w:t>﴿</w:t>
      </w:r>
      <w:r w:rsidR="006C78B4" w:rsidRPr="0067048A">
        <w:rPr>
          <w:rFonts w:ascii="KFGQPC Uthmanic Script HAFS" w:cs="KFGQPC Uthmanic Script HAFS" w:hint="eastAsia"/>
          <w:sz w:val="28"/>
          <w:szCs w:val="28"/>
          <w:rtl/>
          <w:lang w:bidi="fa-IR"/>
        </w:rPr>
        <w:t>يَ</w:t>
      </w:r>
      <w:r w:rsidR="006C78B4" w:rsidRPr="0067048A">
        <w:rPr>
          <w:rFonts w:ascii="KFGQPC Uthmanic Script HAFS" w:cs="KFGQPC Uthmanic Script HAFS" w:hint="cs"/>
          <w:sz w:val="28"/>
          <w:szCs w:val="28"/>
          <w:rtl/>
          <w:lang w:bidi="fa-IR"/>
        </w:rPr>
        <w:t>ٰ</w:t>
      </w:r>
      <w:r w:rsidR="006C78B4" w:rsidRPr="0067048A">
        <w:rPr>
          <w:rFonts w:ascii="KFGQPC Uthmanic Script HAFS" w:cs="KFGQPC Uthmanic Script HAFS" w:hint="eastAsia"/>
          <w:sz w:val="28"/>
          <w:szCs w:val="28"/>
          <w:rtl/>
          <w:lang w:bidi="fa-IR"/>
        </w:rPr>
        <w:t>نِسَا</w:t>
      </w:r>
      <w:r w:rsidR="006C78B4" w:rsidRPr="0067048A">
        <w:rPr>
          <w:rFonts w:ascii="KFGQPC Uthmanic Script HAFS" w:cs="KFGQPC Uthmanic Script HAFS" w:hint="cs"/>
          <w:sz w:val="28"/>
          <w:szCs w:val="28"/>
          <w:rtl/>
          <w:lang w:bidi="fa-IR"/>
        </w:rPr>
        <w:t>ٓ</w:t>
      </w:r>
      <w:r w:rsidR="006C78B4" w:rsidRPr="0067048A">
        <w:rPr>
          <w:rFonts w:ascii="KFGQPC Uthmanic Script HAFS" w:cs="KFGQPC Uthmanic Script HAFS" w:hint="eastAsia"/>
          <w:sz w:val="28"/>
          <w:szCs w:val="28"/>
          <w:rtl/>
          <w:lang w:bidi="fa-IR"/>
        </w:rPr>
        <w:t>ءَ</w:t>
      </w:r>
      <w:r w:rsidR="006C78B4" w:rsidRPr="0067048A">
        <w:rPr>
          <w:rFonts w:ascii="KFGQPC Uthmanic Script HAFS" w:cs="KFGQPC Uthmanic Script HAFS"/>
          <w:sz w:val="28"/>
          <w:szCs w:val="28"/>
          <w:rtl/>
          <w:lang w:bidi="fa-IR"/>
        </w:rPr>
        <w:t xml:space="preserve"> </w:t>
      </w:r>
      <w:r w:rsidR="006C78B4" w:rsidRPr="0067048A">
        <w:rPr>
          <w:rFonts w:ascii="KFGQPC Uthmanic Script HAFS" w:cs="KFGQPC Uthmanic Script HAFS" w:hint="cs"/>
          <w:sz w:val="28"/>
          <w:szCs w:val="28"/>
          <w:rtl/>
          <w:lang w:bidi="fa-IR"/>
        </w:rPr>
        <w:t>ٱ</w:t>
      </w:r>
      <w:r w:rsidR="006C78B4" w:rsidRPr="0067048A">
        <w:rPr>
          <w:rFonts w:ascii="KFGQPC Uthmanic Script HAFS" w:cs="KFGQPC Uthmanic Script HAFS" w:hint="eastAsia"/>
          <w:sz w:val="28"/>
          <w:szCs w:val="28"/>
          <w:rtl/>
          <w:lang w:bidi="fa-IR"/>
        </w:rPr>
        <w:t>لنَّبِيِّ</w:t>
      </w:r>
      <w:r w:rsidR="006C78B4" w:rsidRPr="0067048A">
        <w:rPr>
          <w:rFonts w:ascii="KFGQPC Uthmanic Script HAFS" w:cs="KFGQPC Uthmanic Script HAFS"/>
          <w:sz w:val="28"/>
          <w:szCs w:val="28"/>
          <w:rtl/>
          <w:lang w:bidi="fa-IR"/>
        </w:rPr>
        <w:t xml:space="preserve"> </w:t>
      </w:r>
      <w:r w:rsidR="006C78B4" w:rsidRPr="0067048A">
        <w:rPr>
          <w:rFonts w:ascii="KFGQPC Uthmanic Script HAFS" w:cs="KFGQPC Uthmanic Script HAFS" w:hint="eastAsia"/>
          <w:sz w:val="28"/>
          <w:szCs w:val="28"/>
          <w:rtl/>
          <w:lang w:bidi="fa-IR"/>
        </w:rPr>
        <w:t>لَس</w:t>
      </w:r>
      <w:r w:rsidR="006C78B4" w:rsidRPr="0067048A">
        <w:rPr>
          <w:rFonts w:ascii="KFGQPC Uthmanic Script HAFS" w:cs="KFGQPC Uthmanic Script HAFS" w:hint="cs"/>
          <w:sz w:val="28"/>
          <w:szCs w:val="28"/>
          <w:rtl/>
          <w:lang w:bidi="fa-IR"/>
        </w:rPr>
        <w:t>ۡ</w:t>
      </w:r>
      <w:r w:rsidR="006C78B4" w:rsidRPr="0067048A">
        <w:rPr>
          <w:rFonts w:ascii="KFGQPC Uthmanic Script HAFS" w:cs="KFGQPC Uthmanic Script HAFS" w:hint="eastAsia"/>
          <w:sz w:val="28"/>
          <w:szCs w:val="28"/>
          <w:rtl/>
          <w:lang w:bidi="fa-IR"/>
        </w:rPr>
        <w:t>تُنَّ</w:t>
      </w:r>
      <w:r w:rsidR="006C78B4" w:rsidRPr="0067048A">
        <w:rPr>
          <w:rFonts w:ascii="KFGQPC Uthmanic Script HAFS" w:cs="KFGQPC Uthmanic Script HAFS"/>
          <w:sz w:val="28"/>
          <w:szCs w:val="28"/>
          <w:rtl/>
          <w:lang w:bidi="fa-IR"/>
        </w:rPr>
        <w:t xml:space="preserve"> </w:t>
      </w:r>
      <w:r w:rsidR="006C78B4" w:rsidRPr="0067048A">
        <w:rPr>
          <w:rFonts w:ascii="KFGQPC Uthmanic Script HAFS" w:cs="KFGQPC Uthmanic Script HAFS" w:hint="eastAsia"/>
          <w:sz w:val="28"/>
          <w:szCs w:val="28"/>
          <w:rtl/>
          <w:lang w:bidi="fa-IR"/>
        </w:rPr>
        <w:t>كَأَحَد</w:t>
      </w:r>
      <w:r w:rsidR="006C78B4" w:rsidRPr="0067048A">
        <w:rPr>
          <w:rFonts w:ascii="KFGQPC Uthmanic Script HAFS" w:cs="KFGQPC Uthmanic Script HAFS" w:hint="cs"/>
          <w:sz w:val="28"/>
          <w:szCs w:val="28"/>
          <w:rtl/>
          <w:lang w:bidi="fa-IR"/>
        </w:rPr>
        <w:t>ٖ</w:t>
      </w:r>
      <w:r w:rsidR="006C78B4" w:rsidRPr="0067048A">
        <w:rPr>
          <w:rFonts w:ascii="KFGQPC Uthmanic Script HAFS" w:cs="KFGQPC Uthmanic Script HAFS"/>
          <w:sz w:val="28"/>
          <w:szCs w:val="28"/>
          <w:rtl/>
          <w:lang w:bidi="fa-IR"/>
        </w:rPr>
        <w:t xml:space="preserve"> </w:t>
      </w:r>
      <w:r w:rsidR="006C78B4" w:rsidRPr="0067048A">
        <w:rPr>
          <w:rFonts w:ascii="KFGQPC Uthmanic Script HAFS" w:cs="KFGQPC Uthmanic Script HAFS" w:hint="eastAsia"/>
          <w:sz w:val="28"/>
          <w:szCs w:val="28"/>
          <w:rtl/>
          <w:lang w:bidi="fa-IR"/>
        </w:rPr>
        <w:t>مِّنَ</w:t>
      </w:r>
      <w:r w:rsidR="006C78B4" w:rsidRPr="0067048A">
        <w:rPr>
          <w:rFonts w:ascii="KFGQPC Uthmanic Script HAFS" w:cs="KFGQPC Uthmanic Script HAFS"/>
          <w:sz w:val="28"/>
          <w:szCs w:val="28"/>
          <w:rtl/>
          <w:lang w:bidi="fa-IR"/>
        </w:rPr>
        <w:t xml:space="preserve"> </w:t>
      </w:r>
      <w:r w:rsidR="006C78B4" w:rsidRPr="0067048A">
        <w:rPr>
          <w:rFonts w:ascii="KFGQPC Uthmanic Script HAFS" w:cs="KFGQPC Uthmanic Script HAFS" w:hint="cs"/>
          <w:sz w:val="28"/>
          <w:szCs w:val="28"/>
          <w:rtl/>
          <w:lang w:bidi="fa-IR"/>
        </w:rPr>
        <w:t>ٱ</w:t>
      </w:r>
      <w:r w:rsidR="006C78B4" w:rsidRPr="0067048A">
        <w:rPr>
          <w:rFonts w:ascii="KFGQPC Uthmanic Script HAFS" w:cs="KFGQPC Uthmanic Script HAFS" w:hint="eastAsia"/>
          <w:sz w:val="28"/>
          <w:szCs w:val="28"/>
          <w:rtl/>
          <w:lang w:bidi="fa-IR"/>
        </w:rPr>
        <w:t>لنِّسَا</w:t>
      </w:r>
      <w:r w:rsidR="006C78B4" w:rsidRPr="0067048A">
        <w:rPr>
          <w:rFonts w:ascii="KFGQPC Uthmanic Script HAFS" w:cs="KFGQPC Uthmanic Script HAFS" w:hint="cs"/>
          <w:sz w:val="28"/>
          <w:szCs w:val="28"/>
          <w:rtl/>
          <w:lang w:bidi="fa-IR"/>
        </w:rPr>
        <w:t>ٓ</w:t>
      </w:r>
      <w:r w:rsidR="006C78B4" w:rsidRPr="0067048A">
        <w:rPr>
          <w:rFonts w:ascii="KFGQPC Uthmanic Script HAFS" w:cs="KFGQPC Uthmanic Script HAFS" w:hint="eastAsia"/>
          <w:sz w:val="28"/>
          <w:szCs w:val="28"/>
          <w:rtl/>
          <w:lang w:bidi="fa-IR"/>
        </w:rPr>
        <w:t>ءِ</w:t>
      </w:r>
      <w:r w:rsidR="006C78B4" w:rsidRPr="0067048A">
        <w:rPr>
          <w:rFonts w:ascii="KFGQPC Uthmanic Script HAFS" w:cs="KFGQPC Uthmanic Script HAFS"/>
          <w:sz w:val="28"/>
          <w:szCs w:val="28"/>
          <w:rtl/>
          <w:lang w:bidi="fa-IR"/>
        </w:rPr>
        <w:t xml:space="preserve"> </w:t>
      </w:r>
      <w:r w:rsidR="006C78B4" w:rsidRPr="0067048A">
        <w:rPr>
          <w:rFonts w:ascii="KFGQPC Uthmanic Script HAFS" w:cs="KFGQPC Uthmanic Script HAFS" w:hint="eastAsia"/>
          <w:sz w:val="28"/>
          <w:szCs w:val="28"/>
          <w:rtl/>
          <w:lang w:bidi="fa-IR"/>
        </w:rPr>
        <w:t>إِنِ</w:t>
      </w:r>
      <w:r w:rsidR="006C78B4" w:rsidRPr="0067048A">
        <w:rPr>
          <w:rFonts w:ascii="KFGQPC Uthmanic Script HAFS" w:cs="KFGQPC Uthmanic Script HAFS"/>
          <w:sz w:val="28"/>
          <w:szCs w:val="28"/>
          <w:rtl/>
          <w:lang w:bidi="fa-IR"/>
        </w:rPr>
        <w:t xml:space="preserve"> </w:t>
      </w:r>
      <w:r w:rsidR="006C78B4" w:rsidRPr="0067048A">
        <w:rPr>
          <w:rFonts w:ascii="KFGQPC Uthmanic Script HAFS" w:cs="KFGQPC Uthmanic Script HAFS" w:hint="cs"/>
          <w:sz w:val="28"/>
          <w:szCs w:val="28"/>
          <w:rtl/>
          <w:lang w:bidi="fa-IR"/>
        </w:rPr>
        <w:t>ٱ</w:t>
      </w:r>
      <w:r w:rsidR="006C78B4" w:rsidRPr="0067048A">
        <w:rPr>
          <w:rFonts w:ascii="KFGQPC Uthmanic Script HAFS" w:cs="KFGQPC Uthmanic Script HAFS" w:hint="eastAsia"/>
          <w:sz w:val="28"/>
          <w:szCs w:val="28"/>
          <w:rtl/>
          <w:lang w:bidi="fa-IR"/>
        </w:rPr>
        <w:t>تَّقَي</w:t>
      </w:r>
      <w:r w:rsidR="006C78B4" w:rsidRPr="0067048A">
        <w:rPr>
          <w:rFonts w:ascii="KFGQPC Uthmanic Script HAFS" w:cs="KFGQPC Uthmanic Script HAFS" w:hint="cs"/>
          <w:sz w:val="28"/>
          <w:szCs w:val="28"/>
          <w:rtl/>
          <w:lang w:bidi="fa-IR"/>
        </w:rPr>
        <w:t>ۡ</w:t>
      </w:r>
      <w:r w:rsidR="006C78B4" w:rsidRPr="0067048A">
        <w:rPr>
          <w:rFonts w:ascii="KFGQPC Uthmanic Script HAFS" w:cs="KFGQPC Uthmanic Script HAFS" w:hint="eastAsia"/>
          <w:sz w:val="28"/>
          <w:szCs w:val="28"/>
          <w:rtl/>
          <w:lang w:bidi="fa-IR"/>
        </w:rPr>
        <w:t>تُنَّ</w:t>
      </w:r>
      <w:r w:rsidR="006C78B4" w:rsidRPr="0067048A">
        <w:rPr>
          <w:rFonts w:ascii="KFGQPC Uthmanic Script HAFS" w:cs="KFGQPC Uthmanic Script HAFS" w:hint="cs"/>
          <w:sz w:val="28"/>
          <w:szCs w:val="28"/>
          <w:rtl/>
          <w:lang w:bidi="fa-IR"/>
        </w:rPr>
        <w:t>ۚ</w:t>
      </w:r>
      <w:r w:rsidR="006C78B4" w:rsidRPr="0067048A">
        <w:rPr>
          <w:rFonts w:ascii="KFGQPC Uthmanic Script HAFS" w:cs="KFGQPC Uthmanic Script HAFS"/>
          <w:sz w:val="28"/>
          <w:szCs w:val="28"/>
          <w:rtl/>
          <w:lang w:bidi="fa-IR"/>
        </w:rPr>
        <w:t xml:space="preserve"> </w:t>
      </w:r>
      <w:r w:rsidR="006C78B4" w:rsidRPr="0067048A">
        <w:rPr>
          <w:rFonts w:ascii="KFGQPC Uthmanic Script HAFS" w:cs="KFGQPC Uthmanic Script HAFS" w:hint="eastAsia"/>
          <w:sz w:val="28"/>
          <w:szCs w:val="28"/>
          <w:rtl/>
          <w:lang w:bidi="fa-IR"/>
        </w:rPr>
        <w:t>فَلَا</w:t>
      </w:r>
      <w:r w:rsidR="006C78B4" w:rsidRPr="0067048A">
        <w:rPr>
          <w:rFonts w:ascii="KFGQPC Uthmanic Script HAFS" w:cs="KFGQPC Uthmanic Script HAFS"/>
          <w:sz w:val="28"/>
          <w:szCs w:val="28"/>
          <w:rtl/>
          <w:lang w:bidi="fa-IR"/>
        </w:rPr>
        <w:t xml:space="preserve"> </w:t>
      </w:r>
      <w:r w:rsidR="006C78B4" w:rsidRPr="0067048A">
        <w:rPr>
          <w:rFonts w:ascii="KFGQPC Uthmanic Script HAFS" w:cs="KFGQPC Uthmanic Script HAFS" w:hint="eastAsia"/>
          <w:sz w:val="28"/>
          <w:szCs w:val="28"/>
          <w:rtl/>
          <w:lang w:bidi="fa-IR"/>
        </w:rPr>
        <w:t>تَخ</w:t>
      </w:r>
      <w:r w:rsidR="006C78B4" w:rsidRPr="0067048A">
        <w:rPr>
          <w:rFonts w:ascii="KFGQPC Uthmanic Script HAFS" w:cs="KFGQPC Uthmanic Script HAFS" w:hint="cs"/>
          <w:sz w:val="28"/>
          <w:szCs w:val="28"/>
          <w:rtl/>
          <w:lang w:bidi="fa-IR"/>
        </w:rPr>
        <w:t>ۡ</w:t>
      </w:r>
      <w:r w:rsidR="006C78B4" w:rsidRPr="0067048A">
        <w:rPr>
          <w:rFonts w:ascii="KFGQPC Uthmanic Script HAFS" w:cs="KFGQPC Uthmanic Script HAFS" w:hint="eastAsia"/>
          <w:sz w:val="28"/>
          <w:szCs w:val="28"/>
          <w:rtl/>
          <w:lang w:bidi="fa-IR"/>
        </w:rPr>
        <w:t>ضَع</w:t>
      </w:r>
      <w:r w:rsidR="006C78B4" w:rsidRPr="0067048A">
        <w:rPr>
          <w:rFonts w:ascii="KFGQPC Uthmanic Script HAFS" w:cs="KFGQPC Uthmanic Script HAFS" w:hint="cs"/>
          <w:sz w:val="28"/>
          <w:szCs w:val="28"/>
          <w:rtl/>
          <w:lang w:bidi="fa-IR"/>
        </w:rPr>
        <w:t>ۡ</w:t>
      </w:r>
      <w:r w:rsidR="006C78B4" w:rsidRPr="0067048A">
        <w:rPr>
          <w:rFonts w:ascii="KFGQPC Uthmanic Script HAFS" w:cs="KFGQPC Uthmanic Script HAFS" w:hint="eastAsia"/>
          <w:sz w:val="28"/>
          <w:szCs w:val="28"/>
          <w:rtl/>
          <w:lang w:bidi="fa-IR"/>
        </w:rPr>
        <w:t>نَ</w:t>
      </w:r>
      <w:r w:rsidR="006C78B4" w:rsidRPr="0067048A">
        <w:rPr>
          <w:rFonts w:ascii="KFGQPC Uthmanic Script HAFS" w:cs="KFGQPC Uthmanic Script HAFS"/>
          <w:sz w:val="28"/>
          <w:szCs w:val="28"/>
          <w:rtl/>
          <w:lang w:bidi="fa-IR"/>
        </w:rPr>
        <w:t xml:space="preserve"> </w:t>
      </w:r>
      <w:r w:rsidR="006C78B4" w:rsidRPr="0067048A">
        <w:rPr>
          <w:rFonts w:ascii="KFGQPC Uthmanic Script HAFS" w:cs="KFGQPC Uthmanic Script HAFS" w:hint="eastAsia"/>
          <w:sz w:val="28"/>
          <w:szCs w:val="28"/>
          <w:rtl/>
          <w:lang w:bidi="fa-IR"/>
        </w:rPr>
        <w:t>بِ</w:t>
      </w:r>
      <w:r w:rsidR="006C78B4" w:rsidRPr="0067048A">
        <w:rPr>
          <w:rFonts w:ascii="KFGQPC Uthmanic Script HAFS" w:cs="KFGQPC Uthmanic Script HAFS" w:hint="cs"/>
          <w:sz w:val="28"/>
          <w:szCs w:val="28"/>
          <w:rtl/>
          <w:lang w:bidi="fa-IR"/>
        </w:rPr>
        <w:t>ٱ</w:t>
      </w:r>
      <w:r w:rsidR="006C78B4" w:rsidRPr="0067048A">
        <w:rPr>
          <w:rFonts w:ascii="KFGQPC Uthmanic Script HAFS" w:cs="KFGQPC Uthmanic Script HAFS" w:hint="eastAsia"/>
          <w:sz w:val="28"/>
          <w:szCs w:val="28"/>
          <w:rtl/>
          <w:lang w:bidi="fa-IR"/>
        </w:rPr>
        <w:t>ل</w:t>
      </w:r>
      <w:r w:rsidR="006C78B4" w:rsidRPr="0067048A">
        <w:rPr>
          <w:rFonts w:ascii="KFGQPC Uthmanic Script HAFS" w:cs="KFGQPC Uthmanic Script HAFS" w:hint="cs"/>
          <w:sz w:val="28"/>
          <w:szCs w:val="28"/>
          <w:rtl/>
          <w:lang w:bidi="fa-IR"/>
        </w:rPr>
        <w:t>ۡ</w:t>
      </w:r>
      <w:r w:rsidR="006C78B4" w:rsidRPr="0067048A">
        <w:rPr>
          <w:rFonts w:ascii="KFGQPC Uthmanic Script HAFS" w:cs="KFGQPC Uthmanic Script HAFS" w:hint="eastAsia"/>
          <w:sz w:val="28"/>
          <w:szCs w:val="28"/>
          <w:rtl/>
          <w:lang w:bidi="fa-IR"/>
        </w:rPr>
        <w:t>قَو</w:t>
      </w:r>
      <w:r w:rsidR="006C78B4" w:rsidRPr="0067048A">
        <w:rPr>
          <w:rFonts w:ascii="KFGQPC Uthmanic Script HAFS" w:cs="KFGQPC Uthmanic Script HAFS" w:hint="cs"/>
          <w:sz w:val="28"/>
          <w:szCs w:val="28"/>
          <w:rtl/>
          <w:lang w:bidi="fa-IR"/>
        </w:rPr>
        <w:t>ۡ</w:t>
      </w:r>
      <w:r w:rsidR="006C78B4" w:rsidRPr="0067048A">
        <w:rPr>
          <w:rFonts w:ascii="KFGQPC Uthmanic Script HAFS" w:cs="KFGQPC Uthmanic Script HAFS" w:hint="eastAsia"/>
          <w:sz w:val="28"/>
          <w:szCs w:val="28"/>
          <w:rtl/>
          <w:lang w:bidi="fa-IR"/>
        </w:rPr>
        <w:t>لِ</w:t>
      </w:r>
      <w:r w:rsidR="006C78B4" w:rsidRPr="0067048A">
        <w:rPr>
          <w:rFonts w:ascii="KFGQPC Uthmanic Script HAFS" w:cs="KFGQPC Uthmanic Script HAFS"/>
          <w:sz w:val="28"/>
          <w:szCs w:val="28"/>
          <w:rtl/>
          <w:lang w:bidi="fa-IR"/>
        </w:rPr>
        <w:t xml:space="preserve"> </w:t>
      </w:r>
      <w:r w:rsidR="006C78B4" w:rsidRPr="0067048A">
        <w:rPr>
          <w:rFonts w:ascii="KFGQPC Uthmanic Script HAFS" w:cs="KFGQPC Uthmanic Script HAFS" w:hint="eastAsia"/>
          <w:sz w:val="28"/>
          <w:szCs w:val="28"/>
          <w:rtl/>
          <w:lang w:bidi="fa-IR"/>
        </w:rPr>
        <w:t>فَيَط</w:t>
      </w:r>
      <w:r w:rsidR="006C78B4" w:rsidRPr="0067048A">
        <w:rPr>
          <w:rFonts w:ascii="KFGQPC Uthmanic Script HAFS" w:cs="KFGQPC Uthmanic Script HAFS" w:hint="cs"/>
          <w:sz w:val="28"/>
          <w:szCs w:val="28"/>
          <w:rtl/>
          <w:lang w:bidi="fa-IR"/>
        </w:rPr>
        <w:t>ۡ</w:t>
      </w:r>
      <w:r w:rsidR="006C78B4" w:rsidRPr="0067048A">
        <w:rPr>
          <w:rFonts w:ascii="KFGQPC Uthmanic Script HAFS" w:cs="KFGQPC Uthmanic Script HAFS" w:hint="eastAsia"/>
          <w:sz w:val="28"/>
          <w:szCs w:val="28"/>
          <w:rtl/>
          <w:lang w:bidi="fa-IR"/>
        </w:rPr>
        <w:t>مَعَ</w:t>
      </w:r>
      <w:r w:rsidR="006C78B4" w:rsidRPr="0067048A">
        <w:rPr>
          <w:rFonts w:ascii="KFGQPC Uthmanic Script HAFS" w:cs="KFGQPC Uthmanic Script HAFS"/>
          <w:sz w:val="28"/>
          <w:szCs w:val="28"/>
          <w:rtl/>
          <w:lang w:bidi="fa-IR"/>
        </w:rPr>
        <w:t xml:space="preserve"> </w:t>
      </w:r>
      <w:r w:rsidR="006C78B4" w:rsidRPr="0067048A">
        <w:rPr>
          <w:rFonts w:ascii="KFGQPC Uthmanic Script HAFS" w:cs="KFGQPC Uthmanic Script HAFS" w:hint="cs"/>
          <w:sz w:val="28"/>
          <w:szCs w:val="28"/>
          <w:rtl/>
          <w:lang w:bidi="fa-IR"/>
        </w:rPr>
        <w:t>ٱ</w:t>
      </w:r>
      <w:r w:rsidR="006C78B4" w:rsidRPr="0067048A">
        <w:rPr>
          <w:rFonts w:ascii="KFGQPC Uthmanic Script HAFS" w:cs="KFGQPC Uthmanic Script HAFS" w:hint="eastAsia"/>
          <w:sz w:val="28"/>
          <w:szCs w:val="28"/>
          <w:rtl/>
          <w:lang w:bidi="fa-IR"/>
        </w:rPr>
        <w:t>لَّذِي</w:t>
      </w:r>
      <w:r w:rsidR="006C78B4" w:rsidRPr="0067048A">
        <w:rPr>
          <w:rFonts w:ascii="KFGQPC Uthmanic Script HAFS" w:cs="KFGQPC Uthmanic Script HAFS"/>
          <w:sz w:val="28"/>
          <w:szCs w:val="28"/>
          <w:rtl/>
          <w:lang w:bidi="fa-IR"/>
        </w:rPr>
        <w:t xml:space="preserve"> </w:t>
      </w:r>
      <w:r w:rsidR="006C78B4" w:rsidRPr="0067048A">
        <w:rPr>
          <w:rFonts w:ascii="KFGQPC Uthmanic Script HAFS" w:cs="KFGQPC Uthmanic Script HAFS" w:hint="eastAsia"/>
          <w:sz w:val="28"/>
          <w:szCs w:val="28"/>
          <w:rtl/>
          <w:lang w:bidi="fa-IR"/>
        </w:rPr>
        <w:t>فِي</w:t>
      </w:r>
      <w:r w:rsidR="006C78B4" w:rsidRPr="0067048A">
        <w:rPr>
          <w:rFonts w:ascii="KFGQPC Uthmanic Script HAFS" w:cs="KFGQPC Uthmanic Script HAFS"/>
          <w:sz w:val="28"/>
          <w:szCs w:val="28"/>
          <w:rtl/>
          <w:lang w:bidi="fa-IR"/>
        </w:rPr>
        <w:t xml:space="preserve"> </w:t>
      </w:r>
      <w:r w:rsidR="006C78B4" w:rsidRPr="0067048A">
        <w:rPr>
          <w:rFonts w:ascii="KFGQPC Uthmanic Script HAFS" w:cs="KFGQPC Uthmanic Script HAFS" w:hint="eastAsia"/>
          <w:sz w:val="28"/>
          <w:szCs w:val="28"/>
          <w:rtl/>
          <w:lang w:bidi="fa-IR"/>
        </w:rPr>
        <w:t>قَل</w:t>
      </w:r>
      <w:r w:rsidR="006C78B4" w:rsidRPr="0067048A">
        <w:rPr>
          <w:rFonts w:ascii="KFGQPC Uthmanic Script HAFS" w:cs="KFGQPC Uthmanic Script HAFS" w:hint="cs"/>
          <w:sz w:val="28"/>
          <w:szCs w:val="28"/>
          <w:rtl/>
          <w:lang w:bidi="fa-IR"/>
        </w:rPr>
        <w:t>ۡ</w:t>
      </w:r>
      <w:r w:rsidR="006C78B4" w:rsidRPr="0067048A">
        <w:rPr>
          <w:rFonts w:ascii="KFGQPC Uthmanic Script HAFS" w:cs="KFGQPC Uthmanic Script HAFS" w:hint="eastAsia"/>
          <w:sz w:val="28"/>
          <w:szCs w:val="28"/>
          <w:rtl/>
          <w:lang w:bidi="fa-IR"/>
        </w:rPr>
        <w:t>بِهِ</w:t>
      </w:r>
      <w:r w:rsidR="006C78B4" w:rsidRPr="0067048A">
        <w:rPr>
          <w:rFonts w:ascii="KFGQPC Uthmanic Script HAFS" w:cs="KFGQPC Uthmanic Script HAFS" w:hint="cs"/>
          <w:sz w:val="28"/>
          <w:szCs w:val="28"/>
          <w:rtl/>
          <w:lang w:bidi="fa-IR"/>
        </w:rPr>
        <w:t>ۦ</w:t>
      </w:r>
      <w:r w:rsidR="006C78B4" w:rsidRPr="0067048A">
        <w:rPr>
          <w:rFonts w:ascii="KFGQPC Uthmanic Script HAFS" w:cs="KFGQPC Uthmanic Script HAFS"/>
          <w:sz w:val="28"/>
          <w:szCs w:val="28"/>
          <w:rtl/>
          <w:lang w:bidi="fa-IR"/>
        </w:rPr>
        <w:t xml:space="preserve"> </w:t>
      </w:r>
      <w:r w:rsidR="006C78B4" w:rsidRPr="0067048A">
        <w:rPr>
          <w:rFonts w:ascii="KFGQPC Uthmanic Script HAFS" w:cs="KFGQPC Uthmanic Script HAFS" w:hint="eastAsia"/>
          <w:sz w:val="28"/>
          <w:szCs w:val="28"/>
          <w:rtl/>
          <w:lang w:bidi="fa-IR"/>
        </w:rPr>
        <w:t>مَرَض</w:t>
      </w:r>
      <w:r w:rsidR="006C78B4" w:rsidRPr="0067048A">
        <w:rPr>
          <w:rFonts w:ascii="KFGQPC Uthmanic Script HAFS" w:cs="KFGQPC Uthmanic Script HAFS" w:hint="cs"/>
          <w:sz w:val="28"/>
          <w:szCs w:val="28"/>
          <w:rtl/>
          <w:lang w:bidi="fa-IR"/>
        </w:rPr>
        <w:t>ٞ</w:t>
      </w:r>
      <w:r w:rsidR="006C78B4" w:rsidRPr="0067048A">
        <w:rPr>
          <w:rFonts w:ascii="KFGQPC Uthmanic Script HAFS" w:cs="KFGQPC Uthmanic Script HAFS"/>
          <w:sz w:val="28"/>
          <w:szCs w:val="28"/>
          <w:rtl/>
          <w:lang w:bidi="fa-IR"/>
        </w:rPr>
        <w:t xml:space="preserve"> </w:t>
      </w:r>
      <w:r w:rsidR="006C78B4" w:rsidRPr="0067048A">
        <w:rPr>
          <w:rFonts w:ascii="KFGQPC Uthmanic Script HAFS" w:cs="KFGQPC Uthmanic Script HAFS" w:hint="eastAsia"/>
          <w:sz w:val="28"/>
          <w:szCs w:val="28"/>
          <w:rtl/>
          <w:lang w:bidi="fa-IR"/>
        </w:rPr>
        <w:t>وَقُل</w:t>
      </w:r>
      <w:r w:rsidR="006C78B4" w:rsidRPr="0067048A">
        <w:rPr>
          <w:rFonts w:ascii="KFGQPC Uthmanic Script HAFS" w:cs="KFGQPC Uthmanic Script HAFS" w:hint="cs"/>
          <w:sz w:val="28"/>
          <w:szCs w:val="28"/>
          <w:rtl/>
          <w:lang w:bidi="fa-IR"/>
        </w:rPr>
        <w:t>ۡ</w:t>
      </w:r>
      <w:r w:rsidR="006C78B4" w:rsidRPr="0067048A">
        <w:rPr>
          <w:rFonts w:ascii="KFGQPC Uthmanic Script HAFS" w:cs="KFGQPC Uthmanic Script HAFS" w:hint="eastAsia"/>
          <w:sz w:val="28"/>
          <w:szCs w:val="28"/>
          <w:rtl/>
          <w:lang w:bidi="fa-IR"/>
        </w:rPr>
        <w:t>نَ</w:t>
      </w:r>
      <w:r w:rsidR="006C78B4" w:rsidRPr="0067048A">
        <w:rPr>
          <w:rFonts w:ascii="KFGQPC Uthmanic Script HAFS" w:cs="KFGQPC Uthmanic Script HAFS"/>
          <w:sz w:val="28"/>
          <w:szCs w:val="28"/>
          <w:rtl/>
          <w:lang w:bidi="fa-IR"/>
        </w:rPr>
        <w:t xml:space="preserve"> </w:t>
      </w:r>
      <w:r w:rsidR="006C78B4" w:rsidRPr="0067048A">
        <w:rPr>
          <w:rFonts w:ascii="KFGQPC Uthmanic Script HAFS" w:cs="KFGQPC Uthmanic Script HAFS" w:hint="eastAsia"/>
          <w:sz w:val="28"/>
          <w:szCs w:val="28"/>
          <w:rtl/>
          <w:lang w:bidi="fa-IR"/>
        </w:rPr>
        <w:t>قَو</w:t>
      </w:r>
      <w:r w:rsidR="006C78B4" w:rsidRPr="0067048A">
        <w:rPr>
          <w:rFonts w:ascii="KFGQPC Uthmanic Script HAFS" w:cs="KFGQPC Uthmanic Script HAFS" w:hint="cs"/>
          <w:sz w:val="28"/>
          <w:szCs w:val="28"/>
          <w:rtl/>
          <w:lang w:bidi="fa-IR"/>
        </w:rPr>
        <w:t>ۡ</w:t>
      </w:r>
      <w:r w:rsidR="006C78B4" w:rsidRPr="0067048A">
        <w:rPr>
          <w:rFonts w:ascii="KFGQPC Uthmanic Script HAFS" w:cs="KFGQPC Uthmanic Script HAFS" w:hint="eastAsia"/>
          <w:sz w:val="28"/>
          <w:szCs w:val="28"/>
          <w:rtl/>
          <w:lang w:bidi="fa-IR"/>
        </w:rPr>
        <w:t>ل</w:t>
      </w:r>
      <w:r w:rsidR="006C78B4" w:rsidRPr="0067048A">
        <w:rPr>
          <w:rFonts w:ascii="KFGQPC Uthmanic Script HAFS" w:cs="KFGQPC Uthmanic Script HAFS" w:hint="cs"/>
          <w:sz w:val="28"/>
          <w:szCs w:val="28"/>
          <w:rtl/>
          <w:lang w:bidi="fa-IR"/>
        </w:rPr>
        <w:t>ٗ</w:t>
      </w:r>
      <w:r w:rsidR="006C78B4" w:rsidRPr="0067048A">
        <w:rPr>
          <w:rFonts w:ascii="KFGQPC Uthmanic Script HAFS" w:cs="KFGQPC Uthmanic Script HAFS" w:hint="eastAsia"/>
          <w:sz w:val="28"/>
          <w:szCs w:val="28"/>
          <w:rtl/>
          <w:lang w:bidi="fa-IR"/>
        </w:rPr>
        <w:t>ا</w:t>
      </w:r>
      <w:r w:rsidR="006C78B4" w:rsidRPr="0067048A">
        <w:rPr>
          <w:rFonts w:ascii="KFGQPC Uthmanic Script HAFS" w:cs="KFGQPC Uthmanic Script HAFS"/>
          <w:sz w:val="28"/>
          <w:szCs w:val="28"/>
          <w:rtl/>
          <w:lang w:bidi="fa-IR"/>
        </w:rPr>
        <w:t xml:space="preserve"> </w:t>
      </w:r>
      <w:r w:rsidR="006C78B4" w:rsidRPr="0067048A">
        <w:rPr>
          <w:rFonts w:ascii="KFGQPC Uthmanic Script HAFS" w:cs="KFGQPC Uthmanic Script HAFS" w:hint="eastAsia"/>
          <w:sz w:val="28"/>
          <w:szCs w:val="28"/>
          <w:rtl/>
          <w:lang w:bidi="fa-IR"/>
        </w:rPr>
        <w:t>مَّع</w:t>
      </w:r>
      <w:r w:rsidR="006C78B4" w:rsidRPr="0067048A">
        <w:rPr>
          <w:rFonts w:ascii="KFGQPC Uthmanic Script HAFS" w:cs="KFGQPC Uthmanic Script HAFS" w:hint="cs"/>
          <w:sz w:val="28"/>
          <w:szCs w:val="28"/>
          <w:rtl/>
          <w:lang w:bidi="fa-IR"/>
        </w:rPr>
        <w:t>ۡ</w:t>
      </w:r>
      <w:r w:rsidR="006C78B4" w:rsidRPr="0067048A">
        <w:rPr>
          <w:rFonts w:ascii="KFGQPC Uthmanic Script HAFS" w:cs="KFGQPC Uthmanic Script HAFS" w:hint="eastAsia"/>
          <w:sz w:val="28"/>
          <w:szCs w:val="28"/>
          <w:rtl/>
          <w:lang w:bidi="fa-IR"/>
        </w:rPr>
        <w:t>رُوف</w:t>
      </w:r>
      <w:r w:rsidR="006C78B4" w:rsidRPr="0067048A">
        <w:rPr>
          <w:rFonts w:ascii="KFGQPC Uthmanic Script HAFS" w:cs="KFGQPC Uthmanic Script HAFS" w:hint="cs"/>
          <w:sz w:val="28"/>
          <w:szCs w:val="28"/>
          <w:rtl/>
          <w:lang w:bidi="fa-IR"/>
        </w:rPr>
        <w:t>ٗ</w:t>
      </w:r>
      <w:r w:rsidR="006C78B4" w:rsidRPr="0067048A">
        <w:rPr>
          <w:rFonts w:ascii="KFGQPC Uthmanic Script HAFS" w:cs="KFGQPC Uthmanic Script HAFS" w:hint="eastAsia"/>
          <w:sz w:val="28"/>
          <w:szCs w:val="28"/>
          <w:rtl/>
          <w:lang w:bidi="fa-IR"/>
        </w:rPr>
        <w:t>ا</w:t>
      </w:r>
      <w:r w:rsidR="006C78B4" w:rsidRPr="0067048A">
        <w:rPr>
          <w:rFonts w:ascii="KFGQPC Uthmanic Script HAFS" w:cs="KFGQPC Uthmanic Script HAFS"/>
          <w:sz w:val="28"/>
          <w:szCs w:val="28"/>
          <w:rtl/>
          <w:lang w:bidi="fa-IR"/>
        </w:rPr>
        <w:t xml:space="preserve"> </w:t>
      </w:r>
      <w:r w:rsidR="006C78B4" w:rsidRPr="0067048A">
        <w:rPr>
          <w:rFonts w:ascii="KFGQPC Uthmanic Script HAFS" w:cs="KFGQPC Uthmanic Script HAFS" w:hint="cs"/>
          <w:sz w:val="28"/>
          <w:szCs w:val="28"/>
          <w:rtl/>
          <w:lang w:bidi="fa-IR"/>
        </w:rPr>
        <w:t>٣٢</w:t>
      </w:r>
      <w:r w:rsidR="006C78B4" w:rsidRPr="00995B26">
        <w:rPr>
          <w:rFonts w:ascii="Abo-thar" w:hAnsi="Abo-thar" w:cs="Traditional Arabic" w:hint="cs"/>
          <w:sz w:val="28"/>
          <w:rtl/>
          <w:lang w:bidi="ar-SY"/>
        </w:rPr>
        <w:t>﴾</w:t>
      </w:r>
      <w:r w:rsidRPr="00995B26">
        <w:rPr>
          <w:rFonts w:ascii="Abo-thar" w:hAnsi="Abo-thar"/>
          <w:sz w:val="28"/>
          <w:rtl/>
          <w:lang w:bidi="ar-SY"/>
        </w:rPr>
        <w:t xml:space="preserve"> </w:t>
      </w:r>
      <w:r w:rsidRPr="003108CB">
        <w:rPr>
          <w:rStyle w:val="Char2"/>
          <w:rtl/>
        </w:rPr>
        <w:t>[الأحزاب</w:t>
      </w:r>
      <w:r w:rsidR="006C78B4" w:rsidRPr="003108CB">
        <w:rPr>
          <w:rStyle w:val="Char2"/>
          <w:rFonts w:hint="cs"/>
          <w:rtl/>
        </w:rPr>
        <w:t xml:space="preserve">: </w:t>
      </w:r>
      <w:r w:rsidRPr="003108CB">
        <w:rPr>
          <w:rStyle w:val="Char2"/>
          <w:rtl/>
        </w:rPr>
        <w:t>32]</w:t>
      </w:r>
      <w:r w:rsidR="00217AB4" w:rsidRPr="00995B26">
        <w:rPr>
          <w:rFonts w:ascii="Abo-thar" w:hAnsi="Abo-thar" w:hint="cs"/>
          <w:sz w:val="28"/>
          <w:rtl/>
          <w:lang w:bidi="ar-SY"/>
        </w:rPr>
        <w:t>.</w:t>
      </w:r>
    </w:p>
    <w:p w:rsidR="005C664D" w:rsidRPr="003F3B94" w:rsidRDefault="005C664D" w:rsidP="003F3B94">
      <w:pPr>
        <w:pStyle w:val="a0"/>
        <w:rPr>
          <w:rFonts w:hint="cs"/>
          <w:rtl/>
        </w:rPr>
      </w:pPr>
      <w:r w:rsidRPr="003F3B94">
        <w:rPr>
          <w:rFonts w:ascii="Abo-thar" w:hAnsi="Abo-thar" w:hint="cs"/>
          <w:sz w:val="28"/>
          <w:rtl/>
          <w:lang w:bidi="ar-SY"/>
        </w:rPr>
        <w:t>تلك كانت بعض الامتيازات والخصائص الخاصة برسول الله</w:t>
      </w:r>
      <w:r w:rsidR="00147857" w:rsidRPr="003F3B94">
        <w:rPr>
          <w:rFonts w:ascii="Abo-thar" w:hAnsi="Abo-thar" w:hint="cs"/>
          <w:sz w:val="28"/>
          <w:rtl/>
          <w:lang w:bidi="ar-SY"/>
        </w:rPr>
        <w:t xml:space="preserve"> </w:t>
      </w:r>
      <w:r w:rsidR="003C7AEB" w:rsidRPr="003C7AEB">
        <w:rPr>
          <w:rFonts w:ascii="Abo-thar" w:hAnsi="Abo-thar" w:cs="CTraditional Arabic"/>
          <w:sz w:val="28"/>
          <w:rtl/>
          <w:lang w:bidi="ar-SY"/>
        </w:rPr>
        <w:t>ص</w:t>
      </w:r>
      <w:r w:rsidR="00147857" w:rsidRPr="003F3B94">
        <w:rPr>
          <w:rFonts w:ascii="Abo-thar" w:hAnsi="Abo-thar"/>
          <w:sz w:val="28"/>
          <w:rtl/>
          <w:lang w:bidi="ar-SY"/>
        </w:rPr>
        <w:t xml:space="preserve"> </w:t>
      </w:r>
      <w:r w:rsidRPr="003F3B94">
        <w:rPr>
          <w:rFonts w:ascii="Abo-thar" w:hAnsi="Abo-thar" w:hint="cs"/>
          <w:sz w:val="28"/>
          <w:rtl/>
          <w:lang w:bidi="ar-SY"/>
        </w:rPr>
        <w:t>مما كان لابد من مراعاته زمن حيات النبي</w:t>
      </w:r>
      <w:r w:rsidR="00147857" w:rsidRPr="003F3B94">
        <w:rPr>
          <w:rFonts w:ascii="Abo-thar" w:hAnsi="Abo-thar" w:hint="cs"/>
          <w:sz w:val="28"/>
          <w:rtl/>
          <w:lang w:bidi="ar-SY"/>
        </w:rPr>
        <w:t xml:space="preserve"> </w:t>
      </w:r>
      <w:r w:rsidR="003C7AEB" w:rsidRPr="003C7AEB">
        <w:rPr>
          <w:rFonts w:ascii="Abo-thar" w:hAnsi="Abo-thar" w:cs="CTraditional Arabic"/>
          <w:sz w:val="28"/>
          <w:rtl/>
          <w:lang w:bidi="ar-SY"/>
        </w:rPr>
        <w:t>ص</w:t>
      </w:r>
      <w:r w:rsidR="00147857" w:rsidRPr="003F3B94">
        <w:rPr>
          <w:rFonts w:ascii="Abo-thar" w:hAnsi="Abo-thar"/>
          <w:sz w:val="28"/>
          <w:rtl/>
          <w:lang w:bidi="ar-SY"/>
        </w:rPr>
        <w:t xml:space="preserve"> </w:t>
      </w:r>
      <w:r w:rsidRPr="003F3B94">
        <w:rPr>
          <w:rFonts w:ascii="Abo-thar" w:hAnsi="Abo-thar" w:hint="cs"/>
          <w:sz w:val="28"/>
          <w:rtl/>
          <w:lang w:bidi="ar-SY"/>
        </w:rPr>
        <w:t>بالنسبة إلى ما يتعلق به</w:t>
      </w:r>
      <w:r w:rsidR="00147857" w:rsidRPr="003F3B94">
        <w:rPr>
          <w:rFonts w:ascii="Abo-thar" w:hAnsi="Abo-thar" w:hint="cs"/>
          <w:sz w:val="28"/>
          <w:rtl/>
          <w:lang w:bidi="ar-SY"/>
        </w:rPr>
        <w:t xml:space="preserve"> </w:t>
      </w:r>
      <w:r w:rsidR="003C7AEB" w:rsidRPr="003C7AEB">
        <w:rPr>
          <w:rFonts w:ascii="Abo-thar" w:hAnsi="Abo-thar" w:cs="CTraditional Arabic"/>
          <w:sz w:val="28"/>
          <w:rtl/>
          <w:lang w:bidi="ar-SY"/>
        </w:rPr>
        <w:t>ص</w:t>
      </w:r>
      <w:r w:rsidR="00217AB4" w:rsidRPr="003F3B94">
        <w:rPr>
          <w:rFonts w:ascii="Abo-thar" w:hAnsi="Abo-thar"/>
          <w:sz w:val="28"/>
          <w:rtl/>
          <w:lang w:bidi="ar-SY"/>
        </w:rPr>
        <w:t>،</w:t>
      </w:r>
      <w:r w:rsidRPr="003F3B94">
        <w:rPr>
          <w:rFonts w:ascii="Abo-thar" w:hAnsi="Abo-thar" w:hint="cs"/>
          <w:sz w:val="28"/>
          <w:rtl/>
          <w:lang w:bidi="ar-SY"/>
        </w:rPr>
        <w:t xml:space="preserve"> أو زمن حيات زوجاته مما كان يتعلَّق بهن من خصائصه</w:t>
      </w:r>
      <w:r w:rsidR="00217AB4" w:rsidRPr="003F3B94">
        <w:rPr>
          <w:rFonts w:ascii="Abo-thar" w:hAnsi="Abo-thar" w:hint="cs"/>
          <w:sz w:val="28"/>
          <w:rtl/>
          <w:lang w:bidi="ar-SY"/>
        </w:rPr>
        <w:t>.</w:t>
      </w:r>
      <w:r w:rsidR="00147857" w:rsidRPr="003F3B94">
        <w:rPr>
          <w:rFonts w:ascii="Abo-thar" w:hAnsi="Abo-thar" w:hint="cs"/>
          <w:sz w:val="28"/>
          <w:rtl/>
          <w:lang w:bidi="ar-SY"/>
        </w:rPr>
        <w:t xml:space="preserve"> </w:t>
      </w:r>
      <w:r w:rsidRPr="003F3B94">
        <w:rPr>
          <w:rFonts w:ascii="Abo-thar" w:hAnsi="Abo-thar" w:hint="cs"/>
          <w:sz w:val="28"/>
          <w:rtl/>
          <w:lang w:bidi="ar-SY"/>
        </w:rPr>
        <w:t>أما بعد رحيل النبي</w:t>
      </w:r>
      <w:r w:rsidR="00147857" w:rsidRPr="003F3B94">
        <w:rPr>
          <w:rFonts w:ascii="Abo-thar" w:hAnsi="Abo-thar" w:hint="cs"/>
          <w:sz w:val="28"/>
          <w:rtl/>
          <w:lang w:bidi="ar-SY"/>
        </w:rPr>
        <w:t xml:space="preserve"> </w:t>
      </w:r>
      <w:r w:rsidR="003C7AEB" w:rsidRPr="003C7AEB">
        <w:rPr>
          <w:rFonts w:ascii="Abo-thar" w:hAnsi="Abo-thar" w:cs="CTraditional Arabic"/>
          <w:sz w:val="28"/>
          <w:rtl/>
          <w:lang w:bidi="ar-SY"/>
        </w:rPr>
        <w:t>ص</w:t>
      </w:r>
      <w:r w:rsidR="00147857" w:rsidRPr="003F3B94">
        <w:rPr>
          <w:rFonts w:ascii="Abo-thar" w:hAnsi="Abo-thar"/>
          <w:sz w:val="28"/>
          <w:rtl/>
          <w:lang w:bidi="ar-SY"/>
        </w:rPr>
        <w:t xml:space="preserve"> </w:t>
      </w:r>
      <w:r w:rsidRPr="003F3B94">
        <w:rPr>
          <w:rFonts w:ascii="Abo-thar" w:hAnsi="Abo-thar" w:hint="cs"/>
          <w:sz w:val="28"/>
          <w:rtl/>
          <w:lang w:bidi="ar-SY"/>
        </w:rPr>
        <w:t>فقد انتفى موضوع هذه الخصائص اللهم إلا وجوب الصلوة والسلام على حضرته والذي هو مطلوب من باب الاستغفار والدعاء لجميع المؤمنين المتوفين</w:t>
      </w:r>
      <w:r w:rsidR="00217AB4" w:rsidRPr="003F3B94">
        <w:rPr>
          <w:rFonts w:ascii="Abo-thar" w:hAnsi="Abo-thar" w:hint="cs"/>
          <w:sz w:val="28"/>
          <w:rtl/>
          <w:lang w:bidi="ar-SY"/>
        </w:rPr>
        <w:t>.</w:t>
      </w:r>
    </w:p>
    <w:p w:rsidR="005C664D" w:rsidRPr="00995B26" w:rsidRDefault="005C664D" w:rsidP="003F3B94">
      <w:pPr>
        <w:pStyle w:val="a0"/>
        <w:rPr>
          <w:rFonts w:hint="cs"/>
          <w:rtl/>
          <w:lang w:bidi="ar-SY"/>
        </w:rPr>
      </w:pPr>
      <w:r w:rsidRPr="003F3B94">
        <w:rPr>
          <w:rFonts w:ascii="Abo-thar" w:hAnsi="Abo-thar" w:hint="cs"/>
          <w:sz w:val="28"/>
          <w:rtl/>
        </w:rPr>
        <w:t>فإذا فرضنا أنه كان للنبي</w:t>
      </w:r>
      <w:r w:rsidR="00147857" w:rsidRPr="003F3B94">
        <w:rPr>
          <w:rFonts w:ascii="Abo-thar" w:hAnsi="Abo-thar" w:hint="cs"/>
          <w:sz w:val="28"/>
          <w:rtl/>
        </w:rPr>
        <w:t xml:space="preserve"> </w:t>
      </w:r>
      <w:r w:rsidR="003C7AEB" w:rsidRPr="003C7AEB">
        <w:rPr>
          <w:rFonts w:ascii="Abo-thar" w:hAnsi="Abo-thar" w:cs="CTraditional Arabic"/>
          <w:sz w:val="28"/>
          <w:rtl/>
        </w:rPr>
        <w:t>ص</w:t>
      </w:r>
      <w:r w:rsidR="00147857" w:rsidRPr="003F3B94">
        <w:rPr>
          <w:rFonts w:ascii="Abo-thar" w:hAnsi="Abo-thar"/>
          <w:sz w:val="28"/>
          <w:rtl/>
        </w:rPr>
        <w:t xml:space="preserve"> </w:t>
      </w:r>
      <w:r w:rsidRPr="003F3B94">
        <w:rPr>
          <w:rFonts w:ascii="Abo-thar" w:hAnsi="Abo-thar" w:hint="cs"/>
          <w:sz w:val="28"/>
          <w:rtl/>
        </w:rPr>
        <w:t>سهم خاص من خمس الغنائم أو كان محرَّمٌ عليه أو مكروهٌ عليه أن يأخذ من أموال الزكاة</w:t>
      </w:r>
      <w:r w:rsidR="00217AB4" w:rsidRPr="003F3B94">
        <w:rPr>
          <w:rFonts w:ascii="Abo-thar" w:hAnsi="Abo-thar" w:hint="cs"/>
          <w:sz w:val="28"/>
          <w:rtl/>
        </w:rPr>
        <w:t>،</w:t>
      </w:r>
      <w:r w:rsidRPr="003F3B94">
        <w:rPr>
          <w:rFonts w:ascii="Abo-thar" w:hAnsi="Abo-thar" w:hint="cs"/>
          <w:sz w:val="28"/>
          <w:rtl/>
        </w:rPr>
        <w:t xml:space="preserve"> فإن هذا كان من خصائصه المتعلِّقة بزمن حياته</w:t>
      </w:r>
      <w:r w:rsidR="00147857" w:rsidRPr="003F3B94">
        <w:rPr>
          <w:rFonts w:ascii="Abo-thar" w:hAnsi="Abo-thar" w:hint="cs"/>
          <w:sz w:val="28"/>
          <w:rtl/>
        </w:rPr>
        <w:t xml:space="preserve"> </w:t>
      </w:r>
      <w:r w:rsidR="003C7AEB" w:rsidRPr="003C7AEB">
        <w:rPr>
          <w:rFonts w:ascii="Abo-thar" w:hAnsi="Abo-thar" w:cs="CTraditional Arabic"/>
          <w:sz w:val="28"/>
          <w:rtl/>
        </w:rPr>
        <w:t>ص</w:t>
      </w:r>
      <w:r w:rsidR="00147857" w:rsidRPr="003F3B94">
        <w:rPr>
          <w:rFonts w:ascii="Abo-thar" w:hAnsi="Abo-thar"/>
          <w:sz w:val="28"/>
          <w:rtl/>
        </w:rPr>
        <w:t xml:space="preserve"> </w:t>
      </w:r>
      <w:r w:rsidRPr="003F3B94">
        <w:rPr>
          <w:rFonts w:ascii="Abo-thar" w:hAnsi="Abo-thar" w:hint="cs"/>
          <w:sz w:val="28"/>
          <w:rtl/>
        </w:rPr>
        <w:t xml:space="preserve">ولم يعد لها موضوع </w:t>
      </w:r>
      <w:r w:rsidR="00920257" w:rsidRPr="003F3B94">
        <w:rPr>
          <w:rFonts w:ascii="Abo-thar" w:hAnsi="Abo-thar" w:hint="cs"/>
          <w:sz w:val="28"/>
          <w:rtl/>
        </w:rPr>
        <w:t>وتطبيق</w:t>
      </w:r>
      <w:r w:rsidRPr="003F3B94">
        <w:rPr>
          <w:rFonts w:ascii="Abo-thar" w:hAnsi="Abo-thar" w:hint="cs"/>
          <w:sz w:val="28"/>
          <w:rtl/>
        </w:rPr>
        <w:t xml:space="preserve"> بعد انتقاله إلى ربه</w:t>
      </w:r>
      <w:r w:rsidR="00217AB4" w:rsidRPr="003F3B94">
        <w:rPr>
          <w:rFonts w:ascii="Abo-thar" w:hAnsi="Abo-thar" w:hint="cs"/>
          <w:sz w:val="28"/>
          <w:rtl/>
        </w:rPr>
        <w:t>،</w:t>
      </w:r>
      <w:r w:rsidRPr="003F3B94">
        <w:rPr>
          <w:rFonts w:ascii="Abo-thar" w:hAnsi="Abo-thar" w:hint="cs"/>
          <w:sz w:val="28"/>
          <w:rtl/>
        </w:rPr>
        <w:t xml:space="preserve"> فلا يصل سهم خمسه إلى أحد ولا تسري حرمة الأكل من الصدقة على أحد بعد رحيله</w:t>
      </w:r>
      <w:r w:rsidR="00147857" w:rsidRPr="003F3B94">
        <w:rPr>
          <w:rFonts w:ascii="Abo-thar" w:hAnsi="Abo-thar" w:hint="cs"/>
          <w:sz w:val="28"/>
          <w:rtl/>
        </w:rPr>
        <w:t xml:space="preserve"> </w:t>
      </w:r>
      <w:r w:rsidR="003C7AEB" w:rsidRPr="003C7AEB">
        <w:rPr>
          <w:rFonts w:ascii="Abo-thar" w:hAnsi="Abo-thar" w:cs="CTraditional Arabic"/>
          <w:sz w:val="28"/>
          <w:rtl/>
        </w:rPr>
        <w:t>ص</w:t>
      </w:r>
      <w:r w:rsidR="00217AB4" w:rsidRPr="003F3B94">
        <w:rPr>
          <w:rFonts w:ascii="Abo-thar" w:hAnsi="Abo-thar"/>
          <w:sz w:val="28"/>
          <w:rtl/>
        </w:rPr>
        <w:t>،</w:t>
      </w:r>
      <w:r w:rsidRPr="003F3B94">
        <w:rPr>
          <w:rFonts w:ascii="Abo-thar" w:hAnsi="Abo-thar" w:hint="cs"/>
          <w:sz w:val="28"/>
          <w:rtl/>
        </w:rPr>
        <w:t xml:space="preserve"> أن كل هذه الأمور من خصائصه حال حياته وقد قال تعالى</w:t>
      </w:r>
      <w:r w:rsidR="00217AB4" w:rsidRPr="003F3B94">
        <w:rPr>
          <w:rFonts w:ascii="Abo-thar" w:hAnsi="Abo-thar" w:hint="cs"/>
          <w:sz w:val="28"/>
          <w:rtl/>
        </w:rPr>
        <w:t>:</w:t>
      </w:r>
      <w:r w:rsidR="006C78B4" w:rsidRPr="003F3B94">
        <w:rPr>
          <w:rFonts w:ascii="Abo-thar" w:hAnsi="Abo-thar" w:hint="cs"/>
          <w:sz w:val="28"/>
          <w:rtl/>
        </w:rPr>
        <w:t xml:space="preserve"> </w:t>
      </w:r>
      <w:r w:rsidR="006C78B4" w:rsidRPr="00995B26">
        <w:rPr>
          <w:rFonts w:ascii="Traditional Arabic" w:hAnsi="Traditional Arabic" w:cs="Traditional Arabic"/>
          <w:rtl/>
        </w:rPr>
        <w:t>﴿</w:t>
      </w:r>
      <w:r w:rsidR="006C78B4" w:rsidRPr="0067048A">
        <w:rPr>
          <w:rFonts w:ascii="KFGQPC Uthmanic Script HAFS" w:cs="KFGQPC Uthmanic Script HAFS" w:hint="eastAsia"/>
          <w:szCs w:val="28"/>
          <w:rtl/>
        </w:rPr>
        <w:t>إِنَّكَ</w:t>
      </w:r>
      <w:r w:rsidR="006C78B4" w:rsidRPr="0067048A">
        <w:rPr>
          <w:rFonts w:ascii="KFGQPC Uthmanic Script HAFS" w:cs="KFGQPC Uthmanic Script HAFS"/>
          <w:szCs w:val="28"/>
          <w:rtl/>
        </w:rPr>
        <w:t xml:space="preserve"> </w:t>
      </w:r>
      <w:r w:rsidR="006C78B4" w:rsidRPr="0067048A">
        <w:rPr>
          <w:rFonts w:ascii="KFGQPC Uthmanic Script HAFS" w:cs="KFGQPC Uthmanic Script HAFS" w:hint="eastAsia"/>
          <w:szCs w:val="28"/>
          <w:rtl/>
        </w:rPr>
        <w:t>مَيِّت</w:t>
      </w:r>
      <w:r w:rsidR="006C78B4" w:rsidRPr="0067048A">
        <w:rPr>
          <w:rFonts w:ascii="KFGQPC Uthmanic Script HAFS" w:cs="KFGQPC Uthmanic Script HAFS" w:hint="cs"/>
          <w:szCs w:val="28"/>
          <w:rtl/>
        </w:rPr>
        <w:t>ٞ</w:t>
      </w:r>
      <w:r w:rsidR="006C78B4" w:rsidRPr="0067048A">
        <w:rPr>
          <w:rFonts w:ascii="KFGQPC Uthmanic Script HAFS" w:cs="KFGQPC Uthmanic Script HAFS"/>
          <w:szCs w:val="28"/>
          <w:rtl/>
        </w:rPr>
        <w:t xml:space="preserve"> </w:t>
      </w:r>
      <w:r w:rsidR="006C78B4" w:rsidRPr="0067048A">
        <w:rPr>
          <w:rFonts w:ascii="KFGQPC Uthmanic Script HAFS" w:cs="KFGQPC Uthmanic Script HAFS" w:hint="eastAsia"/>
          <w:szCs w:val="28"/>
          <w:rtl/>
        </w:rPr>
        <w:t>وَإِنَّهُم</w:t>
      </w:r>
      <w:r w:rsidR="006C78B4" w:rsidRPr="0067048A">
        <w:rPr>
          <w:rFonts w:ascii="KFGQPC Uthmanic Script HAFS" w:cs="KFGQPC Uthmanic Script HAFS"/>
          <w:szCs w:val="28"/>
          <w:rtl/>
        </w:rPr>
        <w:t xml:space="preserve"> </w:t>
      </w:r>
      <w:r w:rsidR="006C78B4" w:rsidRPr="0067048A">
        <w:rPr>
          <w:rFonts w:ascii="KFGQPC Uthmanic Script HAFS" w:cs="KFGQPC Uthmanic Script HAFS" w:hint="eastAsia"/>
          <w:szCs w:val="28"/>
          <w:rtl/>
        </w:rPr>
        <w:t>مَّيِّتُونَ</w:t>
      </w:r>
      <w:r w:rsidR="006C78B4" w:rsidRPr="00995B26">
        <w:rPr>
          <w:rFonts w:ascii="Traditional Arabic" w:hAnsi="Traditional Arabic" w:cs="Traditional Arabic"/>
          <w:rtl/>
        </w:rPr>
        <w:t>﴾</w:t>
      </w:r>
      <w:r w:rsidRPr="00995B26">
        <w:rPr>
          <w:rFonts w:ascii="Abo-thar" w:hAnsi="Abo-thar"/>
          <w:sz w:val="28"/>
          <w:rtl/>
          <w:lang w:bidi="ar-SY"/>
        </w:rPr>
        <w:t xml:space="preserve"> </w:t>
      </w:r>
      <w:r w:rsidRPr="003108CB">
        <w:rPr>
          <w:rStyle w:val="Char2"/>
          <w:rtl/>
        </w:rPr>
        <w:t>[الزُّمر</w:t>
      </w:r>
      <w:r w:rsidR="006C78B4" w:rsidRPr="003108CB">
        <w:rPr>
          <w:rStyle w:val="Char2"/>
          <w:rFonts w:hint="cs"/>
          <w:rtl/>
        </w:rPr>
        <w:t xml:space="preserve">: </w:t>
      </w:r>
      <w:r w:rsidRPr="003108CB">
        <w:rPr>
          <w:rStyle w:val="Char2"/>
          <w:rtl/>
        </w:rPr>
        <w:t>30]</w:t>
      </w:r>
      <w:r w:rsidR="00217AB4" w:rsidRPr="00995B26">
        <w:rPr>
          <w:rFonts w:ascii="Abo-thar" w:hAnsi="Abo-thar"/>
          <w:sz w:val="28"/>
          <w:rtl/>
          <w:lang w:bidi="ar-SY"/>
        </w:rPr>
        <w:t>.</w:t>
      </w:r>
    </w:p>
    <w:p w:rsidR="005C664D" w:rsidRPr="003F3B94" w:rsidRDefault="005C664D" w:rsidP="003F3B94">
      <w:pPr>
        <w:pStyle w:val="a0"/>
        <w:rPr>
          <w:rFonts w:hint="cs"/>
          <w:rtl/>
          <w:lang w:bidi="ar-SY"/>
        </w:rPr>
      </w:pPr>
      <w:r w:rsidRPr="007C6940">
        <w:rPr>
          <w:rFonts w:ascii="Abo-thar" w:hAnsi="Abo-thar" w:hint="cs"/>
          <w:b/>
          <w:bCs/>
          <w:sz w:val="28"/>
          <w:rtl/>
          <w:lang w:bidi="ar-SY"/>
        </w:rPr>
        <w:t>الحديث الثاني</w:t>
      </w:r>
      <w:r w:rsidRPr="003F3B94">
        <w:rPr>
          <w:rFonts w:ascii="Abo-thar" w:hAnsi="Abo-thar" w:hint="cs"/>
          <w:sz w:val="28"/>
          <w:rtl/>
          <w:lang w:bidi="ar-SY"/>
        </w:rPr>
        <w:t xml:space="preserve"> الذي ينقض حديث حرمة الصدقة على بني هاشم حديثٌ رواه الكُلَيْنِيُّ في «الكافي»</w:t>
      </w:r>
      <w:r w:rsidR="00217AB4" w:rsidRPr="0021507A">
        <w:rPr>
          <w:rFonts w:cs="Arabic11 BT"/>
          <w:b/>
          <w:sz w:val="28"/>
          <w:vertAlign w:val="superscript"/>
          <w:rtl/>
          <w:lang w:bidi="ar-SY"/>
        </w:rPr>
        <w:t>(</w:t>
      </w:r>
      <w:r w:rsidRPr="0021507A">
        <w:rPr>
          <w:rStyle w:val="FootnoteReference"/>
          <w:rFonts w:cs="Arabic11 BT"/>
          <w:b/>
          <w:sz w:val="28"/>
          <w:rtl/>
          <w:lang w:bidi="ar-SY"/>
        </w:rPr>
        <w:footnoteReference w:id="161"/>
      </w:r>
      <w:r w:rsidR="00217AB4" w:rsidRPr="0021507A">
        <w:rPr>
          <w:rFonts w:cs="Arabic11 BT"/>
          <w:b/>
          <w:sz w:val="28"/>
          <w:vertAlign w:val="superscript"/>
          <w:rtl/>
          <w:lang w:bidi="ar-SY"/>
        </w:rPr>
        <w:t>)</w:t>
      </w:r>
      <w:r w:rsidRPr="003F3B94">
        <w:rPr>
          <w:sz w:val="28"/>
          <w:rtl/>
          <w:lang w:bidi="ar-SY"/>
        </w:rPr>
        <w:t xml:space="preserve"> </w:t>
      </w:r>
      <w:r w:rsidRPr="003F3B94">
        <w:rPr>
          <w:rFonts w:ascii="Abo-thar" w:hAnsi="Abo-thar" w:hint="cs"/>
          <w:sz w:val="28"/>
          <w:rtl/>
          <w:lang w:bidi="ar-SY"/>
        </w:rPr>
        <w:t>والصدوق في «من لا يحضره الفقيه»</w:t>
      </w:r>
      <w:r w:rsidR="00217AB4" w:rsidRPr="0021507A">
        <w:rPr>
          <w:rFonts w:cs="Arabic11 BT"/>
          <w:b/>
          <w:sz w:val="28"/>
          <w:vertAlign w:val="superscript"/>
          <w:rtl/>
          <w:lang w:bidi="ar-SY"/>
        </w:rPr>
        <w:t>(</w:t>
      </w:r>
      <w:r w:rsidRPr="0021507A">
        <w:rPr>
          <w:rStyle w:val="FootnoteReference"/>
          <w:rFonts w:cs="Arabic11 BT"/>
          <w:b/>
          <w:sz w:val="28"/>
          <w:rtl/>
          <w:lang w:bidi="ar-SY"/>
        </w:rPr>
        <w:footnoteReference w:id="162"/>
      </w:r>
      <w:r w:rsidR="00217AB4" w:rsidRPr="0021507A">
        <w:rPr>
          <w:rFonts w:cs="Arabic11 BT"/>
          <w:b/>
          <w:sz w:val="28"/>
          <w:vertAlign w:val="superscript"/>
          <w:rtl/>
          <w:lang w:bidi="ar-SY"/>
        </w:rPr>
        <w:t>)</w:t>
      </w:r>
      <w:r w:rsidR="00147857" w:rsidRPr="003F3B94">
        <w:rPr>
          <w:sz w:val="28"/>
          <w:rtl/>
          <w:lang w:bidi="ar-SY"/>
        </w:rPr>
        <w:t xml:space="preserve"> و</w:t>
      </w:r>
      <w:r w:rsidRPr="003F3B94">
        <w:rPr>
          <w:rFonts w:ascii="Abo-thar" w:hAnsi="Abo-thar" w:hint="cs"/>
          <w:sz w:val="28"/>
          <w:rtl/>
          <w:lang w:bidi="ar-SY"/>
        </w:rPr>
        <w:t>الطوسي في «التهذيب»</w:t>
      </w:r>
      <w:r w:rsidR="00217AB4" w:rsidRPr="0021507A">
        <w:rPr>
          <w:rStyle w:val="FootnoteReference"/>
          <w:rFonts w:cs="Arabic11 BT"/>
          <w:b/>
          <w:sz w:val="28"/>
          <w:rtl/>
          <w:lang w:bidi="ar-SY"/>
        </w:rPr>
        <w:t>(</w:t>
      </w:r>
      <w:r w:rsidRPr="0021507A">
        <w:rPr>
          <w:rStyle w:val="FootnoteReference"/>
          <w:rFonts w:cs="Arabic11 BT"/>
          <w:b/>
          <w:sz w:val="28"/>
          <w:rtl/>
          <w:lang w:bidi="ar-SY"/>
        </w:rPr>
        <w:footnoteReference w:id="163"/>
      </w:r>
      <w:r w:rsidR="00217AB4" w:rsidRPr="0021507A">
        <w:rPr>
          <w:rStyle w:val="FootnoteReference"/>
          <w:rFonts w:cs="Arabic11 BT"/>
          <w:b/>
          <w:sz w:val="28"/>
          <w:rtl/>
          <w:lang w:bidi="ar-SY"/>
        </w:rPr>
        <w:t>)</w:t>
      </w:r>
      <w:r w:rsidRPr="003F3B94">
        <w:rPr>
          <w:rFonts w:ascii="Abo-thar" w:hAnsi="Abo-thar" w:hint="cs"/>
          <w:sz w:val="28"/>
          <w:rtl/>
          <w:lang w:bidi="ar-SY"/>
        </w:rPr>
        <w:t xml:space="preserve"> بأسانيدهم</w:t>
      </w:r>
      <w:r w:rsidR="00217AB4" w:rsidRPr="0021507A">
        <w:rPr>
          <w:rFonts w:cs="Arabic11 BT"/>
          <w:b/>
          <w:sz w:val="28"/>
          <w:vertAlign w:val="superscript"/>
          <w:rtl/>
          <w:lang w:bidi="ar-SY"/>
        </w:rPr>
        <w:t>(</w:t>
      </w:r>
      <w:r w:rsidRPr="0021507A">
        <w:rPr>
          <w:rStyle w:val="FootnoteReference"/>
          <w:rFonts w:cs="Arabic11 BT"/>
          <w:b/>
          <w:sz w:val="28"/>
          <w:rtl/>
          <w:lang w:bidi="ar-SY"/>
        </w:rPr>
        <w:footnoteReference w:id="164"/>
      </w:r>
      <w:r w:rsidR="00217AB4" w:rsidRPr="0021507A">
        <w:rPr>
          <w:rFonts w:cs="Arabic11 BT"/>
          <w:b/>
          <w:sz w:val="28"/>
          <w:vertAlign w:val="superscript"/>
          <w:rtl/>
          <w:lang w:bidi="ar-SY"/>
        </w:rPr>
        <w:t>)</w:t>
      </w:r>
      <w:r w:rsidR="00217AB4" w:rsidRPr="003F3B94">
        <w:rPr>
          <w:rFonts w:ascii="Abo-thar" w:hAnsi="Abo-thar" w:hint="cs"/>
          <w:sz w:val="28"/>
          <w:rtl/>
          <w:lang w:bidi="ar-SY"/>
        </w:rPr>
        <w:t>:</w:t>
      </w:r>
      <w:r w:rsidRPr="003F3B94">
        <w:rPr>
          <w:rFonts w:ascii="Abo-thar" w:hAnsi="Abo-thar" w:hint="cs"/>
          <w:sz w:val="28"/>
          <w:rtl/>
          <w:lang w:bidi="ar-SY"/>
        </w:rPr>
        <w:t xml:space="preserve"> </w:t>
      </w:r>
      <w:r w:rsidR="00EF2588" w:rsidRPr="004A3642">
        <w:rPr>
          <w:rFonts w:ascii="Abo-thar" w:hAnsi="Abo-thar" w:cs="KFGQPC Uthman Taha Naskh" w:hint="cs"/>
          <w:sz w:val="28"/>
          <w:rtl/>
          <w:lang w:bidi="ar-SY"/>
        </w:rPr>
        <w:t>«</w:t>
      </w:r>
      <w:r w:rsidR="00217AB4" w:rsidRPr="004A3642">
        <w:rPr>
          <w:rFonts w:ascii="Abo-thar" w:hAnsi="Abo-thar" w:cs="KFGQPC Uthman Taha Naskh" w:hint="cs"/>
          <w:sz w:val="28"/>
          <w:rtl/>
          <w:lang w:bidi="ar-SY"/>
        </w:rPr>
        <w:t>...</w:t>
      </w:r>
      <w:r w:rsidRPr="004A3642">
        <w:rPr>
          <w:rFonts w:ascii="Abo-thar" w:hAnsi="Abo-thar" w:cs="KFGQPC Uthman Taha Naskh"/>
          <w:b/>
          <w:bCs/>
          <w:sz w:val="28"/>
          <w:rtl/>
          <w:lang w:bidi="ar-SY"/>
        </w:rPr>
        <w:t xml:space="preserve">عَنْ أَبِي عَبْدِ اللهِ </w:t>
      </w:r>
      <w:r w:rsidR="00BC4BA9" w:rsidRPr="00BC4BA9">
        <w:rPr>
          <w:rFonts w:ascii="Abo-thar" w:hAnsi="Abo-thar" w:cs="CTraditional Arabic"/>
          <w:b/>
          <w:sz w:val="28"/>
          <w:rtl/>
          <w:lang w:bidi="ar-SY"/>
        </w:rPr>
        <w:t>÷</w:t>
      </w:r>
      <w:r w:rsidRPr="004A3642">
        <w:rPr>
          <w:rFonts w:ascii="Abo-thar" w:hAnsi="Abo-thar" w:cs="KFGQPC Uthman Taha Naskh"/>
          <w:b/>
          <w:bCs/>
          <w:sz w:val="28"/>
          <w:rtl/>
          <w:lang w:bidi="ar-SY"/>
        </w:rPr>
        <w:t xml:space="preserve"> قَالَ أَعْطُوا الزَّكَاة</w:t>
      </w:r>
      <w:r w:rsidRPr="004A3642">
        <w:rPr>
          <w:rFonts w:ascii="Abo-thar" w:hAnsi="Abo-thar" w:cs="KFGQPC Uthman Taha Naskh" w:hint="cs"/>
          <w:b/>
          <w:bCs/>
          <w:sz w:val="28"/>
          <w:rtl/>
          <w:lang w:bidi="ar-SY"/>
        </w:rPr>
        <w:t>َ</w:t>
      </w:r>
      <w:r w:rsidRPr="004A3642">
        <w:rPr>
          <w:rFonts w:ascii="Abo-thar" w:hAnsi="Abo-thar" w:cs="KFGQPC Uthman Taha Naskh"/>
          <w:b/>
          <w:bCs/>
          <w:sz w:val="28"/>
          <w:rtl/>
          <w:lang w:bidi="ar-SY"/>
        </w:rPr>
        <w:t xml:space="preserve"> بَنِي هَاشِمٍ مَنْ أَرَادَهَا مِنْهُمْ فَإِنَّهَا تَحِلُّ لَ</w:t>
      </w:r>
      <w:r w:rsidRPr="004A3642">
        <w:rPr>
          <w:rFonts w:ascii="Abo-thar" w:hAnsi="Abo-thar" w:cs="KFGQPC Uthman Taha Naskh" w:hint="cs"/>
          <w:b/>
          <w:bCs/>
          <w:sz w:val="28"/>
          <w:rtl/>
          <w:lang w:bidi="ar-SY"/>
        </w:rPr>
        <w:t>ـ</w:t>
      </w:r>
      <w:r w:rsidRPr="004A3642">
        <w:rPr>
          <w:rFonts w:ascii="Abo-thar" w:hAnsi="Abo-thar" w:cs="KFGQPC Uthman Taha Naskh"/>
          <w:b/>
          <w:bCs/>
          <w:sz w:val="28"/>
          <w:rtl/>
          <w:lang w:bidi="ar-SY"/>
        </w:rPr>
        <w:t>هُمْ</w:t>
      </w:r>
      <w:r w:rsidR="00217AB4" w:rsidRPr="004A3642">
        <w:rPr>
          <w:rFonts w:ascii="Abo-thar" w:hAnsi="Abo-thar" w:cs="KFGQPC Uthman Taha Naskh" w:hint="cs"/>
          <w:b/>
          <w:bCs/>
          <w:sz w:val="28"/>
          <w:rtl/>
          <w:lang w:bidi="ar-SY"/>
        </w:rPr>
        <w:t>،</w:t>
      </w:r>
      <w:r w:rsidRPr="004A3642">
        <w:rPr>
          <w:rFonts w:ascii="Abo-thar" w:hAnsi="Abo-thar" w:cs="KFGQPC Uthman Taha Naskh"/>
          <w:b/>
          <w:bCs/>
          <w:sz w:val="28"/>
          <w:rtl/>
          <w:lang w:bidi="ar-SY"/>
        </w:rPr>
        <w:t xml:space="preserve"> وَإِنَّمَا تَحْرُمُ عَلَى النَّبِيِّ</w:t>
      </w:r>
      <w:r w:rsidR="00147857" w:rsidRPr="004A3642">
        <w:rPr>
          <w:rFonts w:ascii="Abo-thar" w:hAnsi="Abo-thar" w:cs="KFGQPC Uthman Taha Naskh"/>
          <w:b/>
          <w:bCs/>
          <w:sz w:val="28"/>
          <w:rtl/>
          <w:lang w:bidi="ar-SY"/>
        </w:rPr>
        <w:t xml:space="preserve"> </w:t>
      </w:r>
      <w:r w:rsidR="003C7AEB" w:rsidRPr="003C7AEB">
        <w:rPr>
          <w:rFonts w:ascii="Abo-thar" w:hAnsi="Abo-thar" w:cs="CTraditional Arabic"/>
          <w:sz w:val="28"/>
          <w:rtl/>
          <w:lang w:bidi="ar-SY"/>
        </w:rPr>
        <w:t>ص</w:t>
      </w:r>
      <w:r w:rsidR="00147857" w:rsidRPr="004A3642">
        <w:rPr>
          <w:rFonts w:ascii="Abo-thar" w:hAnsi="Abo-thar" w:cs="KFGQPC Uthman Taha Naskh"/>
          <w:sz w:val="28"/>
          <w:rtl/>
          <w:lang w:bidi="ar-SY"/>
        </w:rPr>
        <w:t xml:space="preserve"> </w:t>
      </w:r>
      <w:r w:rsidRPr="004A3642">
        <w:rPr>
          <w:rFonts w:ascii="Abo-thar" w:hAnsi="Abo-thar" w:cs="KFGQPC Uthman Taha Naskh"/>
          <w:b/>
          <w:bCs/>
          <w:sz w:val="28"/>
          <w:rtl/>
          <w:lang w:bidi="ar-SY"/>
        </w:rPr>
        <w:t>وَعَلَى الْإِمَامِ الَّذِي يَكُونُ بَعْدَهُ وَعَلَى الْأَئِمَّةِ</w:t>
      </w:r>
      <w:r w:rsidR="00EF2588" w:rsidRPr="004A3642">
        <w:rPr>
          <w:rFonts w:ascii="Abo-thar" w:hAnsi="Abo-thar" w:cs="KFGQPC Uthman Taha Naskh"/>
          <w:sz w:val="28"/>
          <w:rtl/>
          <w:lang w:bidi="ar-SY"/>
        </w:rPr>
        <w:t>»</w:t>
      </w:r>
      <w:r w:rsidR="00217AB4" w:rsidRPr="003F3B94">
        <w:rPr>
          <w:rFonts w:ascii="Abo-thar" w:hAnsi="Abo-thar" w:hint="cs"/>
          <w:sz w:val="28"/>
          <w:rtl/>
          <w:lang w:bidi="ar-SY"/>
        </w:rPr>
        <w:t>.</w:t>
      </w:r>
      <w:r w:rsidRPr="003F3B94">
        <w:rPr>
          <w:rFonts w:ascii="Abo-thar" w:hAnsi="Abo-thar"/>
          <w:sz w:val="28"/>
          <w:rtl/>
          <w:lang w:bidi="ar-SY"/>
        </w:rPr>
        <w:t xml:space="preserve"> </w:t>
      </w:r>
    </w:p>
    <w:p w:rsidR="005C664D" w:rsidRPr="00995B26" w:rsidRDefault="005C664D" w:rsidP="003F3B94">
      <w:pPr>
        <w:pStyle w:val="a0"/>
        <w:rPr>
          <w:rFonts w:hint="cs"/>
          <w:rtl/>
          <w:lang w:bidi="ar-SY"/>
        </w:rPr>
      </w:pPr>
      <w:r w:rsidRPr="007C6940">
        <w:rPr>
          <w:rFonts w:ascii="Abo-thar" w:hAnsi="Abo-thar" w:hint="cs"/>
          <w:b/>
          <w:bCs/>
          <w:sz w:val="28"/>
          <w:rtl/>
          <w:lang w:bidi="ar-SY"/>
        </w:rPr>
        <w:t>الحديث الثالث</w:t>
      </w:r>
      <w:r w:rsidR="00217AB4" w:rsidRPr="003F3B94">
        <w:rPr>
          <w:rFonts w:ascii="Abo-thar" w:hAnsi="Abo-thar" w:hint="cs"/>
          <w:sz w:val="28"/>
          <w:rtl/>
          <w:lang w:bidi="ar-SY"/>
        </w:rPr>
        <w:t>:</w:t>
      </w:r>
      <w:r w:rsidR="00147857" w:rsidRPr="003F3B94">
        <w:rPr>
          <w:rFonts w:ascii="Abo-thar" w:hAnsi="Abo-thar" w:hint="cs"/>
          <w:sz w:val="28"/>
          <w:rtl/>
          <w:lang w:bidi="ar-SY"/>
        </w:rPr>
        <w:t xml:space="preserve"> </w:t>
      </w:r>
      <w:r w:rsidRPr="003F3B94">
        <w:rPr>
          <w:rFonts w:ascii="Abo-thar" w:hAnsi="Abo-thar" w:hint="cs"/>
          <w:sz w:val="28"/>
          <w:rtl/>
          <w:lang w:bidi="ar-SY"/>
        </w:rPr>
        <w:t>في كتاب «</w:t>
      </w:r>
      <w:r w:rsidRPr="003F3B94">
        <w:rPr>
          <w:rFonts w:ascii="Abo-thar" w:hAnsi="Abo-thar" w:hint="cs"/>
          <w:b/>
          <w:bCs/>
          <w:sz w:val="28"/>
          <w:rtl/>
          <w:lang w:bidi="ar-SY"/>
        </w:rPr>
        <w:t>المحاسن</w:t>
      </w:r>
      <w:r w:rsidRPr="003F3B94">
        <w:rPr>
          <w:rFonts w:ascii="Abo-thar" w:hAnsi="Abo-thar" w:hint="cs"/>
          <w:sz w:val="28"/>
          <w:rtl/>
          <w:lang w:bidi="ar-SY"/>
        </w:rPr>
        <w:t xml:space="preserve">» لأحمد </w:t>
      </w:r>
      <w:r w:rsidRPr="003F3B94">
        <w:rPr>
          <w:rFonts w:ascii="Abo-thar" w:hAnsi="Abo-thar"/>
          <w:sz w:val="28"/>
          <w:rtl/>
          <w:lang w:bidi="ar-SY"/>
        </w:rPr>
        <w:t>بن محمد بن خالد</w:t>
      </w:r>
      <w:r w:rsidRPr="003F3B94">
        <w:rPr>
          <w:rFonts w:ascii="Abo-thar" w:hAnsi="Abo-thar" w:hint="cs"/>
          <w:sz w:val="28"/>
          <w:rtl/>
          <w:lang w:bidi="ar-SY"/>
        </w:rPr>
        <w:t xml:space="preserve"> البرقي</w:t>
      </w:r>
      <w:r w:rsidR="00217AB4" w:rsidRPr="0021507A">
        <w:rPr>
          <w:rFonts w:cs="Arabic11 BT"/>
          <w:b/>
          <w:sz w:val="28"/>
          <w:vertAlign w:val="superscript"/>
          <w:rtl/>
          <w:lang w:bidi="ar-SY"/>
        </w:rPr>
        <w:t>(</w:t>
      </w:r>
      <w:r w:rsidRPr="0021507A">
        <w:rPr>
          <w:rStyle w:val="FootnoteReference"/>
          <w:rFonts w:cs="Arabic11 BT"/>
          <w:b/>
          <w:sz w:val="28"/>
          <w:rtl/>
          <w:lang w:bidi="ar-SY"/>
        </w:rPr>
        <w:footnoteReference w:id="165"/>
      </w:r>
      <w:r w:rsidR="00217AB4" w:rsidRPr="0021507A">
        <w:rPr>
          <w:rFonts w:cs="Arabic11 BT"/>
          <w:b/>
          <w:sz w:val="28"/>
          <w:vertAlign w:val="superscript"/>
          <w:rtl/>
          <w:lang w:bidi="ar-SY"/>
        </w:rPr>
        <w:t>)</w:t>
      </w:r>
      <w:r w:rsidRPr="003F3B94">
        <w:rPr>
          <w:rFonts w:ascii="Abo-thar" w:hAnsi="Abo-thar" w:hint="cs"/>
          <w:sz w:val="28"/>
          <w:rtl/>
          <w:lang w:bidi="ar-SY"/>
        </w:rPr>
        <w:t xml:space="preserve"> الذي يُعد من كتب حديث الشيعة المعتبرة حديثٌ عن </w:t>
      </w:r>
      <w:r w:rsidR="00EF2588" w:rsidRPr="004A3642">
        <w:rPr>
          <w:rFonts w:ascii="Abo-thar" w:hAnsi="Abo-thar" w:cs="KFGQPC Uthman Taha Naskh" w:hint="cs"/>
          <w:sz w:val="28"/>
          <w:rtl/>
          <w:lang w:bidi="ar-SY"/>
        </w:rPr>
        <w:t>«</w:t>
      </w:r>
      <w:r w:rsidRPr="004A3642">
        <w:rPr>
          <w:rFonts w:ascii="Abo-thar" w:hAnsi="Abo-thar" w:cs="KFGQPC Uthman Taha Naskh"/>
          <w:b/>
          <w:bCs/>
          <w:sz w:val="28"/>
          <w:rtl/>
          <w:lang w:bidi="ar-SY"/>
        </w:rPr>
        <w:t>عَنْ عَبْدِ اللهِ بْنِ عَجْلَانَ قَالَ</w:t>
      </w:r>
      <w:r w:rsidR="00217AB4" w:rsidRPr="004A3642">
        <w:rPr>
          <w:rFonts w:ascii="Abo-thar" w:hAnsi="Abo-thar" w:cs="KFGQPC Uthman Taha Naskh" w:hint="cs"/>
          <w:b/>
          <w:bCs/>
          <w:sz w:val="28"/>
          <w:rtl/>
          <w:lang w:bidi="ar-SY"/>
        </w:rPr>
        <w:t>:</w:t>
      </w:r>
      <w:r w:rsidRPr="004A3642">
        <w:rPr>
          <w:rFonts w:ascii="Abo-thar" w:hAnsi="Abo-thar" w:cs="KFGQPC Uthman Taha Naskh"/>
          <w:b/>
          <w:bCs/>
          <w:sz w:val="28"/>
          <w:rtl/>
          <w:lang w:bidi="ar-SY"/>
        </w:rPr>
        <w:t xml:space="preserve"> سَأَلْتُ أَبَا جَعْفَرٍ </w:t>
      </w:r>
      <w:r w:rsidR="00BC4BA9" w:rsidRPr="00BC4BA9">
        <w:rPr>
          <w:rFonts w:ascii="Abo-thar" w:hAnsi="Abo-thar" w:cs="CTraditional Arabic" w:hint="cs"/>
          <w:b/>
          <w:sz w:val="28"/>
          <w:rtl/>
          <w:lang w:bidi="ar-SY"/>
        </w:rPr>
        <w:t>÷</w:t>
      </w:r>
      <w:r w:rsidRPr="004A3642">
        <w:rPr>
          <w:rFonts w:ascii="Abo-thar" w:hAnsi="Abo-thar" w:cs="KFGQPC Uthman Taha Naskh"/>
          <w:b/>
          <w:bCs/>
          <w:sz w:val="28"/>
          <w:rtl/>
          <w:lang w:bidi="ar-SY"/>
        </w:rPr>
        <w:t xml:space="preserve"> عَنْ قَوْلِ اللهِ تَعَالَى</w:t>
      </w:r>
      <w:r w:rsidR="00217AB4" w:rsidRPr="004A3642">
        <w:rPr>
          <w:rFonts w:ascii="Abo-thar" w:hAnsi="Abo-thar" w:cs="KFGQPC Uthman Taha Naskh" w:hint="cs"/>
          <w:b/>
          <w:bCs/>
          <w:sz w:val="28"/>
          <w:rtl/>
          <w:lang w:bidi="ar-SY"/>
        </w:rPr>
        <w:t>:</w:t>
      </w:r>
      <w:r w:rsidRPr="003F3B94">
        <w:rPr>
          <w:rFonts w:ascii="Abo-thar" w:hAnsi="Abo-thar"/>
          <w:b/>
          <w:bCs/>
          <w:sz w:val="28"/>
          <w:rtl/>
          <w:lang w:bidi="ar-SY"/>
        </w:rPr>
        <w:t xml:space="preserve"> </w:t>
      </w:r>
      <w:r w:rsidR="006C78B4" w:rsidRPr="00995B26">
        <w:rPr>
          <w:rFonts w:ascii="Abo-thar" w:hAnsi="Abo-thar" w:cs="Traditional Arabic" w:hint="cs"/>
          <w:sz w:val="28"/>
          <w:rtl/>
          <w:lang w:bidi="ar-SY"/>
        </w:rPr>
        <w:t>﴿</w:t>
      </w:r>
      <w:r w:rsidR="006C78B4" w:rsidRPr="0067048A">
        <w:rPr>
          <w:rFonts w:ascii="KFGQPC Uthmanic Script HAFS" w:cs="KFGQPC Uthmanic Script HAFS" w:hint="eastAsia"/>
          <w:sz w:val="28"/>
          <w:szCs w:val="28"/>
          <w:rtl/>
        </w:rPr>
        <w:t>قُل</w:t>
      </w:r>
      <w:r w:rsidR="006C78B4" w:rsidRPr="0067048A">
        <w:rPr>
          <w:rFonts w:ascii="KFGQPC Uthmanic Script HAFS" w:cs="KFGQPC Uthmanic Script HAFS"/>
          <w:sz w:val="28"/>
          <w:szCs w:val="28"/>
          <w:rtl/>
        </w:rPr>
        <w:t xml:space="preserve"> </w:t>
      </w:r>
      <w:r w:rsidR="006C78B4" w:rsidRPr="0067048A">
        <w:rPr>
          <w:rFonts w:ascii="KFGQPC Uthmanic Script HAFS" w:cs="KFGQPC Uthmanic Script HAFS" w:hint="eastAsia"/>
          <w:sz w:val="28"/>
          <w:szCs w:val="28"/>
          <w:rtl/>
        </w:rPr>
        <w:t>لَّا</w:t>
      </w:r>
      <w:r w:rsidR="006C78B4" w:rsidRPr="0067048A">
        <w:rPr>
          <w:rFonts w:ascii="KFGQPC Uthmanic Script HAFS" w:cs="KFGQPC Uthmanic Script HAFS" w:hint="cs"/>
          <w:sz w:val="28"/>
          <w:szCs w:val="28"/>
          <w:rtl/>
        </w:rPr>
        <w:t>ٓ</w:t>
      </w:r>
      <w:r w:rsidR="006C78B4" w:rsidRPr="0067048A">
        <w:rPr>
          <w:rFonts w:ascii="KFGQPC Uthmanic Script HAFS" w:cs="KFGQPC Uthmanic Script HAFS"/>
          <w:sz w:val="28"/>
          <w:szCs w:val="28"/>
          <w:rtl/>
        </w:rPr>
        <w:t xml:space="preserve"> </w:t>
      </w:r>
      <w:r w:rsidR="006C78B4" w:rsidRPr="0067048A">
        <w:rPr>
          <w:rFonts w:ascii="KFGQPC Uthmanic Script HAFS" w:cs="KFGQPC Uthmanic Script HAFS" w:hint="eastAsia"/>
          <w:sz w:val="28"/>
          <w:szCs w:val="28"/>
          <w:rtl/>
        </w:rPr>
        <w:t>أَس</w:t>
      </w:r>
      <w:r w:rsidR="006C78B4" w:rsidRPr="0067048A">
        <w:rPr>
          <w:rFonts w:ascii="KFGQPC Uthmanic Script HAFS" w:cs="KFGQPC Uthmanic Script HAFS" w:hint="cs"/>
          <w:sz w:val="28"/>
          <w:szCs w:val="28"/>
          <w:rtl/>
        </w:rPr>
        <w:t>ۡ</w:t>
      </w:r>
      <w:r w:rsidR="006C78B4" w:rsidRPr="0067048A">
        <w:rPr>
          <w:rFonts w:ascii="KFGQPC Uthmanic Script HAFS" w:cs="KFGQPC Uthmanic Script HAFS" w:hint="eastAsia"/>
          <w:sz w:val="28"/>
          <w:szCs w:val="28"/>
          <w:rtl/>
        </w:rPr>
        <w:t>‍</w:t>
      </w:r>
      <w:r w:rsidR="006C78B4" w:rsidRPr="0067048A">
        <w:rPr>
          <w:rFonts w:ascii="KFGQPC Uthmanic Script HAFS" w:cs="KFGQPC Uthmanic Script HAFS" w:hint="cs"/>
          <w:sz w:val="28"/>
          <w:szCs w:val="28"/>
          <w:rtl/>
        </w:rPr>
        <w:t>ٔ</w:t>
      </w:r>
      <w:r w:rsidR="006C78B4" w:rsidRPr="0067048A">
        <w:rPr>
          <w:rFonts w:ascii="KFGQPC Uthmanic Script HAFS" w:cs="KFGQPC Uthmanic Script HAFS" w:hint="eastAsia"/>
          <w:sz w:val="28"/>
          <w:szCs w:val="28"/>
          <w:rtl/>
        </w:rPr>
        <w:t>َلُكُم</w:t>
      </w:r>
      <w:r w:rsidR="006C78B4" w:rsidRPr="0067048A">
        <w:rPr>
          <w:rFonts w:ascii="KFGQPC Uthmanic Script HAFS" w:cs="KFGQPC Uthmanic Script HAFS" w:hint="cs"/>
          <w:sz w:val="28"/>
          <w:szCs w:val="28"/>
          <w:rtl/>
        </w:rPr>
        <w:t>ۡ</w:t>
      </w:r>
      <w:r w:rsidR="006C78B4" w:rsidRPr="0067048A">
        <w:rPr>
          <w:rFonts w:ascii="KFGQPC Uthmanic Script HAFS" w:cs="KFGQPC Uthmanic Script HAFS"/>
          <w:sz w:val="28"/>
          <w:szCs w:val="28"/>
          <w:rtl/>
        </w:rPr>
        <w:t xml:space="preserve"> </w:t>
      </w:r>
      <w:r w:rsidR="006C78B4" w:rsidRPr="0067048A">
        <w:rPr>
          <w:rFonts w:ascii="KFGQPC Uthmanic Script HAFS" w:cs="KFGQPC Uthmanic Script HAFS" w:hint="eastAsia"/>
          <w:sz w:val="28"/>
          <w:szCs w:val="28"/>
          <w:rtl/>
        </w:rPr>
        <w:t>عَلَي</w:t>
      </w:r>
      <w:r w:rsidR="006C78B4" w:rsidRPr="0067048A">
        <w:rPr>
          <w:rFonts w:ascii="KFGQPC Uthmanic Script HAFS" w:cs="KFGQPC Uthmanic Script HAFS" w:hint="cs"/>
          <w:sz w:val="28"/>
          <w:szCs w:val="28"/>
          <w:rtl/>
        </w:rPr>
        <w:t>ۡ</w:t>
      </w:r>
      <w:r w:rsidR="006C78B4" w:rsidRPr="0067048A">
        <w:rPr>
          <w:rFonts w:ascii="KFGQPC Uthmanic Script HAFS" w:cs="KFGQPC Uthmanic Script HAFS" w:hint="eastAsia"/>
          <w:sz w:val="28"/>
          <w:szCs w:val="28"/>
          <w:rtl/>
        </w:rPr>
        <w:t>هِ</w:t>
      </w:r>
      <w:r w:rsidR="006C78B4" w:rsidRPr="0067048A">
        <w:rPr>
          <w:rFonts w:ascii="KFGQPC Uthmanic Script HAFS" w:cs="KFGQPC Uthmanic Script HAFS"/>
          <w:sz w:val="28"/>
          <w:szCs w:val="28"/>
          <w:rtl/>
        </w:rPr>
        <w:t xml:space="preserve"> </w:t>
      </w:r>
      <w:r w:rsidR="006C78B4" w:rsidRPr="0067048A">
        <w:rPr>
          <w:rFonts w:ascii="KFGQPC Uthmanic Script HAFS" w:cs="KFGQPC Uthmanic Script HAFS" w:hint="eastAsia"/>
          <w:sz w:val="28"/>
          <w:szCs w:val="28"/>
          <w:rtl/>
        </w:rPr>
        <w:t>أَج</w:t>
      </w:r>
      <w:r w:rsidR="006C78B4" w:rsidRPr="0067048A">
        <w:rPr>
          <w:rFonts w:ascii="KFGQPC Uthmanic Script HAFS" w:cs="KFGQPC Uthmanic Script HAFS" w:hint="cs"/>
          <w:sz w:val="28"/>
          <w:szCs w:val="28"/>
          <w:rtl/>
        </w:rPr>
        <w:t>ۡ</w:t>
      </w:r>
      <w:r w:rsidR="006C78B4" w:rsidRPr="0067048A">
        <w:rPr>
          <w:rFonts w:ascii="KFGQPC Uthmanic Script HAFS" w:cs="KFGQPC Uthmanic Script HAFS" w:hint="eastAsia"/>
          <w:sz w:val="28"/>
          <w:szCs w:val="28"/>
          <w:rtl/>
        </w:rPr>
        <w:t>رًا</w:t>
      </w:r>
      <w:r w:rsidR="006C78B4" w:rsidRPr="0067048A">
        <w:rPr>
          <w:rFonts w:ascii="KFGQPC Uthmanic Script HAFS" w:cs="KFGQPC Uthmanic Script HAFS"/>
          <w:sz w:val="28"/>
          <w:szCs w:val="28"/>
          <w:rtl/>
        </w:rPr>
        <w:t xml:space="preserve"> </w:t>
      </w:r>
      <w:r w:rsidR="006C78B4" w:rsidRPr="0067048A">
        <w:rPr>
          <w:rFonts w:ascii="KFGQPC Uthmanic Script HAFS" w:cs="KFGQPC Uthmanic Script HAFS" w:hint="eastAsia"/>
          <w:sz w:val="28"/>
          <w:szCs w:val="28"/>
          <w:rtl/>
        </w:rPr>
        <w:t>إِلَّا</w:t>
      </w:r>
      <w:r w:rsidR="006C78B4" w:rsidRPr="0067048A">
        <w:rPr>
          <w:rFonts w:ascii="KFGQPC Uthmanic Script HAFS" w:cs="KFGQPC Uthmanic Script HAFS"/>
          <w:sz w:val="28"/>
          <w:szCs w:val="28"/>
          <w:rtl/>
        </w:rPr>
        <w:t xml:space="preserve"> </w:t>
      </w:r>
      <w:r w:rsidR="006C78B4" w:rsidRPr="0067048A">
        <w:rPr>
          <w:rFonts w:ascii="KFGQPC Uthmanic Script HAFS" w:cs="KFGQPC Uthmanic Script HAFS" w:hint="cs"/>
          <w:sz w:val="28"/>
          <w:szCs w:val="28"/>
          <w:rtl/>
        </w:rPr>
        <w:t>ٱ</w:t>
      </w:r>
      <w:r w:rsidR="006C78B4" w:rsidRPr="0067048A">
        <w:rPr>
          <w:rFonts w:ascii="KFGQPC Uthmanic Script HAFS" w:cs="KFGQPC Uthmanic Script HAFS" w:hint="eastAsia"/>
          <w:sz w:val="28"/>
          <w:szCs w:val="28"/>
          <w:rtl/>
        </w:rPr>
        <w:t>ل</w:t>
      </w:r>
      <w:r w:rsidR="006C78B4" w:rsidRPr="0067048A">
        <w:rPr>
          <w:rFonts w:ascii="KFGQPC Uthmanic Script HAFS" w:cs="KFGQPC Uthmanic Script HAFS" w:hint="cs"/>
          <w:sz w:val="28"/>
          <w:szCs w:val="28"/>
          <w:rtl/>
        </w:rPr>
        <w:t>ۡ</w:t>
      </w:r>
      <w:r w:rsidR="006C78B4" w:rsidRPr="0067048A">
        <w:rPr>
          <w:rFonts w:ascii="KFGQPC Uthmanic Script HAFS" w:cs="KFGQPC Uthmanic Script HAFS" w:hint="eastAsia"/>
          <w:sz w:val="28"/>
          <w:szCs w:val="28"/>
          <w:rtl/>
        </w:rPr>
        <w:t>مَوَدَّةَ</w:t>
      </w:r>
      <w:r w:rsidR="006C78B4" w:rsidRPr="0067048A">
        <w:rPr>
          <w:rFonts w:ascii="KFGQPC Uthmanic Script HAFS" w:cs="KFGQPC Uthmanic Script HAFS"/>
          <w:sz w:val="28"/>
          <w:szCs w:val="28"/>
          <w:rtl/>
        </w:rPr>
        <w:t xml:space="preserve"> </w:t>
      </w:r>
      <w:r w:rsidR="006C78B4" w:rsidRPr="0067048A">
        <w:rPr>
          <w:rFonts w:ascii="KFGQPC Uthmanic Script HAFS" w:cs="KFGQPC Uthmanic Script HAFS" w:hint="eastAsia"/>
          <w:sz w:val="28"/>
          <w:szCs w:val="28"/>
          <w:rtl/>
        </w:rPr>
        <w:t>فِي</w:t>
      </w:r>
      <w:r w:rsidR="006C78B4" w:rsidRPr="0067048A">
        <w:rPr>
          <w:rFonts w:ascii="KFGQPC Uthmanic Script HAFS" w:cs="KFGQPC Uthmanic Script HAFS"/>
          <w:sz w:val="28"/>
          <w:szCs w:val="28"/>
          <w:rtl/>
        </w:rPr>
        <w:t xml:space="preserve"> </w:t>
      </w:r>
      <w:r w:rsidR="006C78B4" w:rsidRPr="0067048A">
        <w:rPr>
          <w:rFonts w:ascii="KFGQPC Uthmanic Script HAFS" w:cs="KFGQPC Uthmanic Script HAFS" w:hint="cs"/>
          <w:sz w:val="28"/>
          <w:szCs w:val="28"/>
          <w:rtl/>
        </w:rPr>
        <w:t>ٱ</w:t>
      </w:r>
      <w:r w:rsidR="006C78B4" w:rsidRPr="0067048A">
        <w:rPr>
          <w:rFonts w:ascii="KFGQPC Uthmanic Script HAFS" w:cs="KFGQPC Uthmanic Script HAFS" w:hint="eastAsia"/>
          <w:sz w:val="28"/>
          <w:szCs w:val="28"/>
          <w:rtl/>
        </w:rPr>
        <w:t>ل</w:t>
      </w:r>
      <w:r w:rsidR="006C78B4" w:rsidRPr="0067048A">
        <w:rPr>
          <w:rFonts w:ascii="KFGQPC Uthmanic Script HAFS" w:cs="KFGQPC Uthmanic Script HAFS" w:hint="cs"/>
          <w:sz w:val="28"/>
          <w:szCs w:val="28"/>
          <w:rtl/>
        </w:rPr>
        <w:t>ۡ</w:t>
      </w:r>
      <w:r w:rsidR="006C78B4" w:rsidRPr="0067048A">
        <w:rPr>
          <w:rFonts w:ascii="KFGQPC Uthmanic Script HAFS" w:cs="KFGQPC Uthmanic Script HAFS" w:hint="eastAsia"/>
          <w:sz w:val="28"/>
          <w:szCs w:val="28"/>
          <w:rtl/>
        </w:rPr>
        <w:t>قُر</w:t>
      </w:r>
      <w:r w:rsidR="006C78B4" w:rsidRPr="0067048A">
        <w:rPr>
          <w:rFonts w:ascii="KFGQPC Uthmanic Script HAFS" w:cs="KFGQPC Uthmanic Script HAFS" w:hint="cs"/>
          <w:sz w:val="28"/>
          <w:szCs w:val="28"/>
          <w:rtl/>
        </w:rPr>
        <w:t>ۡ</w:t>
      </w:r>
      <w:r w:rsidR="006C78B4" w:rsidRPr="0067048A">
        <w:rPr>
          <w:rFonts w:ascii="KFGQPC Uthmanic Script HAFS" w:cs="KFGQPC Uthmanic Script HAFS" w:hint="eastAsia"/>
          <w:sz w:val="28"/>
          <w:szCs w:val="28"/>
          <w:rtl/>
        </w:rPr>
        <w:t>بَى</w:t>
      </w:r>
      <w:r w:rsidR="006C78B4" w:rsidRPr="0067048A">
        <w:rPr>
          <w:rFonts w:ascii="KFGQPC Uthmanic Script HAFS" w:cs="KFGQPC Uthmanic Script HAFS" w:hint="cs"/>
          <w:sz w:val="28"/>
          <w:szCs w:val="28"/>
          <w:rtl/>
        </w:rPr>
        <w:t>ٰ</w:t>
      </w:r>
      <w:r w:rsidR="006C78B4" w:rsidRPr="00995B26">
        <w:rPr>
          <w:rFonts w:ascii="Abo-thar" w:hAnsi="Abo-thar" w:cs="Traditional Arabic" w:hint="cs"/>
          <w:sz w:val="28"/>
          <w:rtl/>
          <w:lang w:bidi="ar-SY"/>
        </w:rPr>
        <w:t>﴾</w:t>
      </w:r>
      <w:r w:rsidRPr="00995B26">
        <w:rPr>
          <w:rFonts w:ascii="Abo-thar" w:hAnsi="Abo-thar"/>
          <w:b/>
          <w:bCs/>
          <w:sz w:val="28"/>
          <w:rtl/>
          <w:lang w:bidi="ar-SY"/>
        </w:rPr>
        <w:t>‏</w:t>
      </w:r>
      <w:r w:rsidRPr="00995B26">
        <w:rPr>
          <w:rFonts w:ascii="Abo-thar" w:hAnsi="Abo-thar" w:hint="cs"/>
          <w:b/>
          <w:bCs/>
          <w:sz w:val="28"/>
          <w:rtl/>
          <w:lang w:bidi="ar-SY"/>
        </w:rPr>
        <w:t xml:space="preserve"> </w:t>
      </w:r>
      <w:r w:rsidRPr="003108CB">
        <w:rPr>
          <w:rStyle w:val="Char2"/>
          <w:rFonts w:hint="cs"/>
          <w:rtl/>
        </w:rPr>
        <w:t>[الشورى</w:t>
      </w:r>
      <w:r w:rsidR="006C78B4" w:rsidRPr="003108CB">
        <w:rPr>
          <w:rStyle w:val="Char2"/>
          <w:rFonts w:hint="cs"/>
          <w:rtl/>
        </w:rPr>
        <w:t xml:space="preserve">: </w:t>
      </w:r>
      <w:r w:rsidRPr="003108CB">
        <w:rPr>
          <w:rStyle w:val="Char2"/>
          <w:rFonts w:hint="cs"/>
          <w:rtl/>
        </w:rPr>
        <w:t>23]</w:t>
      </w:r>
      <w:r w:rsidR="00217AB4" w:rsidRPr="00995B26">
        <w:rPr>
          <w:rFonts w:ascii="Abo-thar" w:hAnsi="Abo-thar" w:hint="cs"/>
          <w:b/>
          <w:bCs/>
          <w:sz w:val="28"/>
          <w:rtl/>
          <w:lang w:bidi="ar-SY"/>
        </w:rPr>
        <w:t>؟</w:t>
      </w:r>
      <w:r w:rsidR="00147857" w:rsidRPr="00995B26">
        <w:rPr>
          <w:rFonts w:ascii="Abo-thar" w:hAnsi="Abo-thar" w:hint="cs"/>
          <w:b/>
          <w:bCs/>
          <w:sz w:val="28"/>
          <w:rtl/>
          <w:lang w:bidi="ar-SY"/>
        </w:rPr>
        <w:t xml:space="preserve"> </w:t>
      </w:r>
      <w:r w:rsidRPr="004A3642">
        <w:rPr>
          <w:rFonts w:ascii="Abo-thar" w:hAnsi="Abo-thar" w:cs="KFGQPC Uthman Taha Naskh"/>
          <w:b/>
          <w:bCs/>
          <w:sz w:val="28"/>
          <w:rtl/>
          <w:lang w:bidi="ar-SY"/>
        </w:rPr>
        <w:t>فَقَالَ</w:t>
      </w:r>
      <w:r w:rsidR="00217AB4" w:rsidRPr="004A3642">
        <w:rPr>
          <w:rFonts w:ascii="Abo-thar" w:hAnsi="Abo-thar" w:cs="KFGQPC Uthman Taha Naskh" w:hint="cs"/>
          <w:b/>
          <w:bCs/>
          <w:sz w:val="28"/>
          <w:rtl/>
          <w:lang w:bidi="ar-SY"/>
        </w:rPr>
        <w:t>:</w:t>
      </w:r>
      <w:r w:rsidRPr="004A3642">
        <w:rPr>
          <w:rFonts w:ascii="Abo-thar" w:hAnsi="Abo-thar" w:cs="KFGQPC Uthman Taha Naskh"/>
          <w:b/>
          <w:bCs/>
          <w:sz w:val="28"/>
          <w:rtl/>
          <w:lang w:bidi="ar-SY"/>
        </w:rPr>
        <w:t xml:space="preserve"> نَعَمْ هُمُ الْأَئِمَّةُ الَّذِينَ لَا يَأْكُلُونَ الصَّدَقَةَ وَلَا تَحِلُّ لَهُم‏</w:t>
      </w:r>
      <w:r w:rsidR="00EF2588" w:rsidRPr="004A3642">
        <w:rPr>
          <w:rFonts w:ascii="Abo-thar" w:hAnsi="Abo-thar" w:cs="KFGQPC Uthman Taha Naskh" w:hint="cs"/>
          <w:sz w:val="28"/>
          <w:rtl/>
          <w:lang w:bidi="ar-SY"/>
        </w:rPr>
        <w:t>»</w:t>
      </w:r>
      <w:r w:rsidR="00217AB4" w:rsidRPr="0021507A">
        <w:rPr>
          <w:rFonts w:cs="Arabic11 BT"/>
          <w:b/>
          <w:sz w:val="28"/>
          <w:vertAlign w:val="superscript"/>
          <w:rtl/>
          <w:lang w:bidi="ar-SY"/>
        </w:rPr>
        <w:t>(</w:t>
      </w:r>
      <w:r w:rsidRPr="0021507A">
        <w:rPr>
          <w:rStyle w:val="FootnoteReference"/>
          <w:rFonts w:cs="Arabic11 BT"/>
          <w:b/>
          <w:sz w:val="28"/>
          <w:rtl/>
          <w:lang w:bidi="ar-SY"/>
        </w:rPr>
        <w:footnoteReference w:id="166"/>
      </w:r>
      <w:r w:rsidR="00217AB4" w:rsidRPr="0021507A">
        <w:rPr>
          <w:rFonts w:cs="Arabic11 BT"/>
          <w:b/>
          <w:sz w:val="28"/>
          <w:vertAlign w:val="superscript"/>
          <w:rtl/>
          <w:lang w:bidi="ar-SY"/>
        </w:rPr>
        <w:t>)</w:t>
      </w:r>
      <w:r w:rsidR="00217AB4" w:rsidRPr="00995B26">
        <w:rPr>
          <w:rFonts w:ascii="Abo-thar" w:hAnsi="Abo-thar" w:hint="cs"/>
          <w:sz w:val="28"/>
          <w:rtl/>
          <w:lang w:bidi="ar-SY"/>
        </w:rPr>
        <w:t>.</w:t>
      </w:r>
    </w:p>
    <w:p w:rsidR="005C664D" w:rsidRPr="003F3B94" w:rsidRDefault="005C664D" w:rsidP="003F3B94">
      <w:pPr>
        <w:pStyle w:val="a0"/>
        <w:rPr>
          <w:rFonts w:hint="cs"/>
          <w:rtl/>
          <w:lang w:bidi="ar-SY"/>
        </w:rPr>
      </w:pPr>
      <w:r w:rsidRPr="007C6940">
        <w:rPr>
          <w:rFonts w:ascii="Abo-thar" w:hAnsi="Abo-thar" w:hint="cs"/>
          <w:b/>
          <w:bCs/>
          <w:sz w:val="28"/>
          <w:rtl/>
          <w:lang w:bidi="ar-SY"/>
        </w:rPr>
        <w:t>الحديث الرابع</w:t>
      </w:r>
      <w:r w:rsidR="00217AB4" w:rsidRPr="003F3B94">
        <w:rPr>
          <w:rFonts w:ascii="Abo-thar" w:hAnsi="Abo-thar" w:hint="cs"/>
          <w:sz w:val="28"/>
          <w:rtl/>
          <w:lang w:bidi="ar-SY"/>
        </w:rPr>
        <w:t>:</w:t>
      </w:r>
      <w:r w:rsidRPr="003F3B94">
        <w:rPr>
          <w:rFonts w:ascii="Abo-thar" w:hAnsi="Abo-thar" w:hint="cs"/>
          <w:sz w:val="28"/>
          <w:rtl/>
          <w:lang w:bidi="ar-SY"/>
        </w:rPr>
        <w:t xml:space="preserve"> الذي يخالف ويناقض أحاديث حرمة الصدقة على بني هاشم</w:t>
      </w:r>
      <w:r w:rsidR="00217AB4" w:rsidRPr="003F3B94">
        <w:rPr>
          <w:rFonts w:ascii="Abo-thar" w:hAnsi="Abo-thar" w:hint="cs"/>
          <w:sz w:val="28"/>
          <w:rtl/>
          <w:lang w:bidi="ar-SY"/>
        </w:rPr>
        <w:t>،</w:t>
      </w:r>
      <w:r w:rsidRPr="003F3B94">
        <w:rPr>
          <w:rFonts w:ascii="Abo-thar" w:hAnsi="Abo-thar" w:hint="cs"/>
          <w:sz w:val="28"/>
          <w:rtl/>
          <w:lang w:bidi="ar-SY"/>
        </w:rPr>
        <w:t xml:space="preserve"> ما رواه الشيخ الطوسي في «التهذيب»</w:t>
      </w:r>
      <w:r w:rsidR="00217AB4" w:rsidRPr="003F3B94">
        <w:rPr>
          <w:rFonts w:ascii="Abo-thar" w:hAnsi="Abo-thar" w:hint="cs"/>
          <w:sz w:val="28"/>
          <w:rtl/>
          <w:lang w:bidi="ar-SY"/>
        </w:rPr>
        <w:t>:</w:t>
      </w:r>
    </w:p>
    <w:p w:rsidR="005C664D" w:rsidRPr="003F3B94" w:rsidRDefault="00EF2588" w:rsidP="003F3B94">
      <w:pPr>
        <w:pStyle w:val="a0"/>
        <w:rPr>
          <w:rFonts w:hint="cs"/>
          <w:rtl/>
          <w:lang w:bidi="ar-SY"/>
        </w:rPr>
      </w:pPr>
      <w:r w:rsidRPr="004A3642">
        <w:rPr>
          <w:rFonts w:ascii="Abo-thar" w:hAnsi="Abo-thar" w:cs="KFGQPC Uthman Taha Naskh" w:hint="cs"/>
          <w:sz w:val="28"/>
          <w:rtl/>
          <w:lang w:bidi="ar-SY"/>
        </w:rPr>
        <w:t>«</w:t>
      </w:r>
      <w:r w:rsidR="005C664D" w:rsidRPr="004A3642">
        <w:rPr>
          <w:rFonts w:ascii="Abo-thar" w:hAnsi="Abo-thar" w:cs="KFGQPC Uthman Taha Naskh"/>
          <w:b/>
          <w:bCs/>
          <w:sz w:val="28"/>
          <w:rtl/>
          <w:lang w:bidi="ar-SY"/>
        </w:rPr>
        <w:t xml:space="preserve">عَنْ عَبْدِ الرَّحْمَنِ بْنِ الحَجَّاجِ عَنْ أَبِي عَبْدِ اللهِ </w:t>
      </w:r>
      <w:r w:rsidR="00BC4BA9" w:rsidRPr="00BC4BA9">
        <w:rPr>
          <w:rFonts w:ascii="Abo-thar" w:hAnsi="Abo-thar" w:cs="CTraditional Arabic" w:hint="cs"/>
          <w:b/>
          <w:sz w:val="28"/>
          <w:rtl/>
          <w:lang w:bidi="ar-SY"/>
        </w:rPr>
        <w:t>÷</w:t>
      </w:r>
      <w:r w:rsidR="005C664D" w:rsidRPr="004A3642">
        <w:rPr>
          <w:rFonts w:ascii="Abo-thar" w:hAnsi="Abo-thar" w:cs="KFGQPC Uthman Taha Naskh"/>
          <w:b/>
          <w:bCs/>
          <w:sz w:val="28"/>
          <w:rtl/>
          <w:lang w:bidi="ar-SY"/>
        </w:rPr>
        <w:t xml:space="preserve"> أَنَّهُ قَالَ</w:t>
      </w:r>
      <w:r w:rsidR="00217AB4" w:rsidRPr="004A3642">
        <w:rPr>
          <w:rFonts w:ascii="Abo-thar" w:hAnsi="Abo-thar" w:cs="KFGQPC Uthman Taha Naskh" w:hint="cs"/>
          <w:b/>
          <w:bCs/>
          <w:sz w:val="28"/>
          <w:rtl/>
          <w:lang w:bidi="ar-SY"/>
        </w:rPr>
        <w:t>:</w:t>
      </w:r>
      <w:r w:rsidR="005C664D" w:rsidRPr="004A3642">
        <w:rPr>
          <w:rFonts w:ascii="Abo-thar" w:hAnsi="Abo-thar" w:cs="KFGQPC Uthman Taha Naskh"/>
          <w:b/>
          <w:bCs/>
          <w:sz w:val="28"/>
          <w:rtl/>
          <w:lang w:bidi="ar-SY"/>
        </w:rPr>
        <w:t xml:space="preserve"> لَوْ حُرِّمَتْ عَلَيْنَا الصَّدَقَةُ لَمْ يَحِلَّ لَنَا أَنْ نَخْرُجَ إِلَى مَكَّةَ لِأَنَّ كُلَّ مَاءٍ بَيْنَ مَكَّةَ</w:t>
      </w:r>
      <w:r w:rsidR="005C664D" w:rsidRPr="004A3642">
        <w:rPr>
          <w:rFonts w:ascii="Abo-thar" w:hAnsi="Abo-thar" w:cs="KFGQPC Uthman Taha Naskh" w:hint="cs"/>
          <w:b/>
          <w:bCs/>
          <w:sz w:val="28"/>
          <w:rtl/>
          <w:lang w:bidi="ar-SY"/>
        </w:rPr>
        <w:t xml:space="preserve"> وَ</w:t>
      </w:r>
      <w:r w:rsidR="005C664D" w:rsidRPr="004A3642">
        <w:rPr>
          <w:rFonts w:ascii="Abo-thar" w:hAnsi="Abo-thar" w:cs="KFGQPC Uthman Taha Naskh"/>
          <w:b/>
          <w:bCs/>
          <w:sz w:val="28"/>
          <w:rtl/>
          <w:lang w:bidi="ar-SY"/>
        </w:rPr>
        <w:t>الْمَدِينَةِ فَهُوَ صَدَقَةٌ</w:t>
      </w:r>
      <w:r w:rsidRPr="004A3642">
        <w:rPr>
          <w:rFonts w:ascii="Abo-thar" w:hAnsi="Abo-thar" w:cs="KFGQPC Uthman Taha Naskh" w:hint="cs"/>
          <w:sz w:val="28"/>
          <w:rtl/>
          <w:lang w:bidi="ar-SY"/>
        </w:rPr>
        <w:t>»</w:t>
      </w:r>
      <w:r w:rsidR="00920257" w:rsidRPr="0021507A">
        <w:rPr>
          <w:rFonts w:ascii="Abo-thar" w:hAnsi="Abo-thar" w:cs="Arabic11 BT"/>
          <w:sz w:val="28"/>
          <w:vertAlign w:val="superscript"/>
          <w:rtl/>
          <w:lang w:bidi="ar-SY"/>
        </w:rPr>
        <w:t>(</w:t>
      </w:r>
      <w:r w:rsidR="00920257" w:rsidRPr="0021507A">
        <w:rPr>
          <w:rStyle w:val="FootnoteReference"/>
          <w:rFonts w:ascii="Abo-thar" w:hAnsi="Abo-thar" w:cs="Arabic11 BT"/>
          <w:sz w:val="28"/>
          <w:rtl/>
          <w:lang w:bidi="ar-SY"/>
        </w:rPr>
        <w:footnoteReference w:id="167"/>
      </w:r>
      <w:r w:rsidR="00920257" w:rsidRPr="0021507A">
        <w:rPr>
          <w:rFonts w:ascii="Abo-thar" w:hAnsi="Abo-thar" w:cs="Arabic11 BT"/>
          <w:sz w:val="28"/>
          <w:vertAlign w:val="superscript"/>
          <w:rtl/>
          <w:lang w:bidi="ar-SY"/>
        </w:rPr>
        <w:t>)</w:t>
      </w:r>
      <w:r w:rsidR="00217AB4" w:rsidRPr="003F3B94">
        <w:rPr>
          <w:rFonts w:ascii="Abo-thar" w:hAnsi="Abo-thar" w:hint="cs"/>
          <w:sz w:val="28"/>
          <w:rtl/>
          <w:lang w:bidi="ar-SY"/>
        </w:rPr>
        <w:t>.</w:t>
      </w:r>
    </w:p>
    <w:p w:rsidR="005C664D" w:rsidRPr="003F3B94" w:rsidRDefault="005C664D" w:rsidP="003F3B94">
      <w:pPr>
        <w:pStyle w:val="a0"/>
        <w:rPr>
          <w:rFonts w:hint="cs"/>
          <w:rtl/>
        </w:rPr>
      </w:pPr>
      <w:r w:rsidRPr="003F3B94">
        <w:rPr>
          <w:rFonts w:ascii="Abo-thar" w:hAnsi="Abo-thar" w:hint="cs"/>
          <w:sz w:val="28"/>
          <w:rtl/>
          <w:lang w:bidi="ar-SY"/>
        </w:rPr>
        <w:t>حقيقةً لو أن الزكاة كانت محرمة فعلاً على بني هاشم [ولو كانوا فقراء] لما بقي منهم اليوم أحد فوق الأرض ولانقرضوا جميعاً</w:t>
      </w:r>
      <w:r w:rsidR="00217AB4" w:rsidRPr="003F3B94">
        <w:rPr>
          <w:rFonts w:ascii="Abo-thar" w:hAnsi="Abo-thar" w:hint="cs"/>
          <w:sz w:val="28"/>
          <w:rtl/>
          <w:lang w:bidi="ar-SY"/>
        </w:rPr>
        <w:t>!</w:t>
      </w:r>
      <w:r w:rsidRPr="003F3B94">
        <w:rPr>
          <w:rFonts w:ascii="Abo-thar" w:hAnsi="Abo-thar" w:hint="cs"/>
          <w:sz w:val="28"/>
          <w:rtl/>
          <w:lang w:bidi="ar-SY"/>
        </w:rPr>
        <w:t xml:space="preserve"> لأن معظم المؤسسات الخيرية الاجتماعية لا سيما في بلاد الحجاز إنما تأسست من أموال الزكاة</w:t>
      </w:r>
      <w:r w:rsidR="00217AB4" w:rsidRPr="003F3B94">
        <w:rPr>
          <w:rFonts w:ascii="Abo-thar" w:hAnsi="Abo-thar" w:hint="cs"/>
          <w:sz w:val="28"/>
          <w:rtl/>
          <w:lang w:bidi="ar-SY"/>
        </w:rPr>
        <w:t>،</w:t>
      </w:r>
      <w:r w:rsidRPr="003F3B94">
        <w:rPr>
          <w:rFonts w:ascii="Abo-thar" w:hAnsi="Abo-thar" w:hint="cs"/>
          <w:sz w:val="28"/>
          <w:rtl/>
          <w:lang w:bidi="ar-SY"/>
        </w:rPr>
        <w:t xml:space="preserve"> فكل بئر حُفِرَ وكل ماء تم توصيله وكل نُزُلٍ للمسافرين تم بناؤه وكل ما يمكن أن يطلق عليه </w:t>
      </w:r>
      <w:r w:rsidRPr="003F3B94">
        <w:rPr>
          <w:rFonts w:ascii="Lotus Linotype" w:hAnsi="Lotus Linotype"/>
          <w:sz w:val="28"/>
          <w:rtl/>
          <w:lang w:bidi="ar-SY"/>
        </w:rPr>
        <w:t>«</w:t>
      </w:r>
      <w:r w:rsidRPr="003F3B94">
        <w:rPr>
          <w:rFonts w:ascii="Lotus Linotype" w:hAnsi="Lotus Linotype" w:hint="cs"/>
          <w:sz w:val="28"/>
          <w:rtl/>
          <w:lang w:bidi="ar-SY"/>
        </w:rPr>
        <w:t>في سبيل الله</w:t>
      </w:r>
      <w:r w:rsidRPr="003F3B94">
        <w:rPr>
          <w:rFonts w:ascii="Lotus Linotype" w:hAnsi="Lotus Linotype"/>
          <w:sz w:val="28"/>
          <w:rtl/>
          <w:lang w:bidi="ar-SY"/>
        </w:rPr>
        <w:t>»</w:t>
      </w:r>
      <w:r w:rsidRPr="003F3B94">
        <w:rPr>
          <w:rFonts w:ascii="Abo-thar" w:hAnsi="Abo-thar" w:hint="cs"/>
          <w:sz w:val="28"/>
          <w:rtl/>
          <w:lang w:bidi="ar-SY"/>
        </w:rPr>
        <w:t xml:space="preserve"> إنما تم تمو</w:t>
      </w:r>
      <w:r w:rsidR="00920257" w:rsidRPr="003F3B94">
        <w:rPr>
          <w:rFonts w:ascii="Abo-thar" w:hAnsi="Abo-thar" w:hint="cs"/>
          <w:sz w:val="28"/>
          <w:rtl/>
          <w:lang w:bidi="ar-SY"/>
        </w:rPr>
        <w:t>يله من مال الزكاة التي أحد مصار</w:t>
      </w:r>
      <w:r w:rsidRPr="003F3B94">
        <w:rPr>
          <w:rFonts w:ascii="Abo-thar" w:hAnsi="Abo-thar" w:hint="cs"/>
          <w:sz w:val="28"/>
          <w:rtl/>
          <w:lang w:bidi="ar-SY"/>
        </w:rPr>
        <w:t xml:space="preserve">فها </w:t>
      </w:r>
      <w:r w:rsidRPr="003F3B94">
        <w:rPr>
          <w:rFonts w:ascii="Lotus Linotype" w:hAnsi="Lotus Linotype"/>
          <w:sz w:val="28"/>
          <w:rtl/>
          <w:lang w:bidi="ar-SY"/>
        </w:rPr>
        <w:t>«</w:t>
      </w:r>
      <w:r w:rsidRPr="003F3B94">
        <w:rPr>
          <w:rFonts w:ascii="Lotus Linotype" w:hAnsi="Lotus Linotype" w:hint="cs"/>
          <w:sz w:val="28"/>
          <w:rtl/>
          <w:lang w:bidi="ar-SY"/>
        </w:rPr>
        <w:t>في سبيل الله</w:t>
      </w:r>
      <w:r w:rsidRPr="003F3B94">
        <w:rPr>
          <w:rFonts w:ascii="Lotus Linotype" w:hAnsi="Lotus Linotype"/>
          <w:sz w:val="28"/>
          <w:rtl/>
          <w:lang w:bidi="ar-SY"/>
        </w:rPr>
        <w:t>»</w:t>
      </w:r>
      <w:r w:rsidR="00217AB4" w:rsidRPr="003F3B94">
        <w:rPr>
          <w:rFonts w:ascii="Abo-thar" w:hAnsi="Abo-thar" w:hint="cs"/>
          <w:sz w:val="28"/>
          <w:rtl/>
          <w:lang w:bidi="ar-SY"/>
        </w:rPr>
        <w:t>،</w:t>
      </w:r>
      <w:r w:rsidRPr="003F3B94">
        <w:rPr>
          <w:rFonts w:ascii="Abo-thar" w:hAnsi="Abo-thar" w:hint="cs"/>
          <w:sz w:val="28"/>
          <w:rtl/>
          <w:lang w:bidi="ar-SY"/>
        </w:rPr>
        <w:t xml:space="preserve"> فهل يمكن لنبيّ الرحمة أن يوقع قرابته</w:t>
      </w:r>
      <w:r w:rsidR="00147857" w:rsidRPr="003F3B94">
        <w:rPr>
          <w:rFonts w:ascii="Abo-thar" w:hAnsi="Abo-thar" w:hint="cs"/>
          <w:sz w:val="28"/>
          <w:rtl/>
          <w:lang w:bidi="ar-SY"/>
        </w:rPr>
        <w:t xml:space="preserve"> و</w:t>
      </w:r>
      <w:r w:rsidRPr="003F3B94">
        <w:rPr>
          <w:rFonts w:ascii="Abo-thar" w:hAnsi="Abo-thar" w:hint="cs"/>
          <w:sz w:val="28"/>
          <w:rtl/>
          <w:lang w:bidi="ar-SY"/>
        </w:rPr>
        <w:t>ذريته في مثل هذا العسر وهذه المشقة والحرمان</w:t>
      </w:r>
      <w:r w:rsidR="00217AB4" w:rsidRPr="003F3B94">
        <w:rPr>
          <w:rFonts w:ascii="Abo-thar" w:hAnsi="Abo-thar" w:hint="cs"/>
          <w:sz w:val="28"/>
          <w:rtl/>
          <w:lang w:bidi="ar-SY"/>
        </w:rPr>
        <w:t>؟!</w:t>
      </w:r>
      <w:r w:rsidR="00147857" w:rsidRPr="003F3B94">
        <w:rPr>
          <w:rFonts w:ascii="Abo-thar" w:hAnsi="Abo-thar" w:hint="cs"/>
          <w:sz w:val="28"/>
          <w:rtl/>
          <w:lang w:bidi="ar-SY"/>
        </w:rPr>
        <w:t xml:space="preserve"> </w:t>
      </w:r>
      <w:r w:rsidR="00920257" w:rsidRPr="003F3B94">
        <w:rPr>
          <w:rFonts w:ascii="Abo-thar" w:hAnsi="Abo-thar" w:hint="cs"/>
          <w:sz w:val="28"/>
          <w:rtl/>
          <w:lang w:bidi="ar-SY"/>
        </w:rPr>
        <w:t>ولو</w:t>
      </w:r>
      <w:r w:rsidRPr="003F3B94">
        <w:rPr>
          <w:rFonts w:ascii="Abo-thar" w:hAnsi="Abo-thar" w:hint="cs"/>
          <w:sz w:val="28"/>
          <w:rtl/>
          <w:lang w:bidi="ar-SY"/>
        </w:rPr>
        <w:t xml:space="preserve"> قبلنا بأن الله جعل لهم </w:t>
      </w:r>
      <w:r w:rsidRPr="003F3B94">
        <w:rPr>
          <w:rFonts w:ascii="Lotus Linotype" w:hAnsi="Lotus Linotype"/>
          <w:sz w:val="28"/>
          <w:rtl/>
          <w:lang w:bidi="ar-SY"/>
        </w:rPr>
        <w:t>«</w:t>
      </w:r>
      <w:r w:rsidRPr="003F3B94">
        <w:rPr>
          <w:rFonts w:ascii="Lotus Linotype" w:hAnsi="Lotus Linotype" w:hint="cs"/>
          <w:sz w:val="28"/>
          <w:rtl/>
          <w:lang w:bidi="ar-SY"/>
        </w:rPr>
        <w:t>الخمس</w:t>
      </w:r>
      <w:r w:rsidRPr="003F3B94">
        <w:rPr>
          <w:rFonts w:ascii="Lotus Linotype" w:hAnsi="Lotus Linotype"/>
          <w:sz w:val="28"/>
          <w:rtl/>
          <w:lang w:bidi="ar-SY"/>
        </w:rPr>
        <w:t>»</w:t>
      </w:r>
      <w:r w:rsidRPr="003F3B94">
        <w:rPr>
          <w:rFonts w:ascii="Lotus Linotype" w:hAnsi="Lotus Linotype" w:hint="cs"/>
          <w:sz w:val="28"/>
          <w:rtl/>
          <w:lang w:bidi="ar-SY"/>
        </w:rPr>
        <w:t xml:space="preserve"> بدلاً من حرمانهم من مال الصدقة</w:t>
      </w:r>
      <w:r w:rsidR="00217AB4" w:rsidRPr="003F3B94">
        <w:rPr>
          <w:rFonts w:ascii="Lotus Linotype" w:hAnsi="Lotus Linotype" w:hint="cs"/>
          <w:sz w:val="28"/>
          <w:rtl/>
          <w:lang w:bidi="ar-SY"/>
        </w:rPr>
        <w:t>،</w:t>
      </w:r>
      <w:r w:rsidRPr="003F3B94">
        <w:rPr>
          <w:rFonts w:ascii="Lotus Linotype" w:hAnsi="Lotus Linotype" w:hint="cs"/>
          <w:sz w:val="28"/>
          <w:rtl/>
          <w:lang w:bidi="ar-SY"/>
        </w:rPr>
        <w:t xml:space="preserve"> وقد علمنا بما لا</w:t>
      </w:r>
      <w:r w:rsidRPr="003F3B94">
        <w:rPr>
          <w:rFonts w:cs="Times New Roman" w:hint="cs"/>
          <w:sz w:val="28"/>
          <w:rtl/>
          <w:lang w:bidi="ar-SY"/>
        </w:rPr>
        <w:t> </w:t>
      </w:r>
      <w:r w:rsidRPr="003F3B94">
        <w:rPr>
          <w:rFonts w:ascii="Lotus Linotype" w:hAnsi="Lotus Linotype" w:hint="cs"/>
          <w:sz w:val="28"/>
          <w:rtl/>
          <w:lang w:bidi="ar-SY"/>
        </w:rPr>
        <w:t>ي</w:t>
      </w:r>
      <w:r w:rsidR="00920257" w:rsidRPr="003F3B94">
        <w:rPr>
          <w:rFonts w:ascii="Lotus Linotype" w:hAnsi="Lotus Linotype" w:hint="cs"/>
          <w:sz w:val="28"/>
          <w:rtl/>
          <w:lang w:bidi="ar-SY"/>
        </w:rPr>
        <w:t>ُ</w:t>
      </w:r>
      <w:r w:rsidRPr="003F3B94">
        <w:rPr>
          <w:rFonts w:ascii="Lotus Linotype" w:hAnsi="Lotus Linotype" w:hint="cs"/>
          <w:sz w:val="28"/>
          <w:rtl/>
          <w:lang w:bidi="ar-SY"/>
        </w:rPr>
        <w:t>بق</w:t>
      </w:r>
      <w:r w:rsidR="00920257" w:rsidRPr="003F3B94">
        <w:rPr>
          <w:rFonts w:ascii="Lotus Linotype" w:hAnsi="Lotus Linotype" w:hint="cs"/>
          <w:sz w:val="28"/>
          <w:rtl/>
          <w:lang w:bidi="ar-SY"/>
        </w:rPr>
        <w:t>ِ</w:t>
      </w:r>
      <w:r w:rsidRPr="003F3B94">
        <w:rPr>
          <w:rFonts w:ascii="Lotus Linotype" w:hAnsi="Lotus Linotype" w:hint="cs"/>
          <w:sz w:val="28"/>
          <w:rtl/>
          <w:lang w:bidi="ar-SY"/>
        </w:rPr>
        <w:t>ي مج</w:t>
      </w:r>
      <w:r w:rsidR="00920257" w:rsidRPr="003F3B94">
        <w:rPr>
          <w:rFonts w:ascii="Lotus Linotype" w:hAnsi="Lotus Linotype" w:hint="cs"/>
          <w:sz w:val="28"/>
          <w:rtl/>
          <w:lang w:bidi="ar-SY"/>
        </w:rPr>
        <w:t>ا</w:t>
      </w:r>
      <w:r w:rsidRPr="003F3B94">
        <w:rPr>
          <w:rFonts w:ascii="Lotus Linotype" w:hAnsi="Lotus Linotype" w:hint="cs"/>
          <w:sz w:val="28"/>
          <w:rtl/>
          <w:lang w:bidi="ar-SY"/>
        </w:rPr>
        <w:t>لاً للشك بأن الخمس هو من غنائم الحرب فقط</w:t>
      </w:r>
      <w:r w:rsidR="00217AB4" w:rsidRPr="003F3B94">
        <w:rPr>
          <w:rFonts w:ascii="Lotus Linotype" w:hAnsi="Lotus Linotype" w:hint="cs"/>
          <w:sz w:val="28"/>
          <w:rtl/>
          <w:lang w:bidi="ar-SY"/>
        </w:rPr>
        <w:t>،</w:t>
      </w:r>
      <w:r w:rsidRPr="003F3B94">
        <w:rPr>
          <w:rFonts w:ascii="Lotus Linotype" w:hAnsi="Lotus Linotype" w:hint="cs"/>
          <w:sz w:val="28"/>
          <w:rtl/>
          <w:lang w:bidi="ar-SY"/>
        </w:rPr>
        <w:t xml:space="preserve"> فعندما لا تكون هناك حروب ولا غنائم</w:t>
      </w:r>
      <w:r w:rsidR="00217AB4" w:rsidRPr="003F3B94">
        <w:rPr>
          <w:rFonts w:ascii="Lotus Linotype" w:hAnsi="Lotus Linotype" w:hint="cs"/>
          <w:sz w:val="28"/>
          <w:rtl/>
          <w:lang w:bidi="ar-SY"/>
        </w:rPr>
        <w:t>،</w:t>
      </w:r>
      <w:r w:rsidRPr="003F3B94">
        <w:rPr>
          <w:rFonts w:ascii="Lotus Linotype" w:hAnsi="Lotus Linotype" w:hint="cs"/>
          <w:sz w:val="28"/>
          <w:rtl/>
          <w:lang w:bidi="ar-SY"/>
        </w:rPr>
        <w:t xml:space="preserve"> فما ذا يكون مصير المساكين من بني هاشم</w:t>
      </w:r>
      <w:r w:rsidR="00217AB4" w:rsidRPr="003F3B94">
        <w:rPr>
          <w:rFonts w:ascii="Lotus Linotype" w:hAnsi="Lotus Linotype" w:hint="cs"/>
          <w:sz w:val="28"/>
          <w:rtl/>
          <w:lang w:bidi="ar-SY"/>
        </w:rPr>
        <w:t>؟؟</w:t>
      </w:r>
    </w:p>
    <w:p w:rsidR="005C664D" w:rsidRPr="003F3B94" w:rsidRDefault="005C664D" w:rsidP="003F3B94">
      <w:pPr>
        <w:pStyle w:val="a0"/>
        <w:rPr>
          <w:rFonts w:hint="cs"/>
          <w:rtl/>
          <w:lang w:bidi="ar-SY"/>
        </w:rPr>
      </w:pPr>
      <w:r w:rsidRPr="007C6940">
        <w:rPr>
          <w:rFonts w:ascii="Abo-thar" w:hAnsi="Abo-thar" w:hint="cs"/>
          <w:b/>
          <w:bCs/>
          <w:sz w:val="28"/>
          <w:rtl/>
          <w:lang w:bidi="ar-SY"/>
        </w:rPr>
        <w:t>الحديث الخامس</w:t>
      </w:r>
      <w:r w:rsidR="00217AB4" w:rsidRPr="003F3B94">
        <w:rPr>
          <w:rFonts w:ascii="Abo-thar" w:hAnsi="Abo-thar" w:hint="cs"/>
          <w:sz w:val="28"/>
          <w:rtl/>
          <w:lang w:bidi="ar-SY"/>
        </w:rPr>
        <w:t>:</w:t>
      </w:r>
      <w:r w:rsidR="00147857" w:rsidRPr="003F3B94">
        <w:rPr>
          <w:rFonts w:ascii="Abo-thar" w:hAnsi="Abo-thar" w:hint="cs"/>
          <w:sz w:val="28"/>
          <w:rtl/>
          <w:lang w:bidi="ar-SY"/>
        </w:rPr>
        <w:t xml:space="preserve"> </w:t>
      </w:r>
      <w:r w:rsidRPr="003F3B94">
        <w:rPr>
          <w:rFonts w:ascii="Abo-thar" w:hAnsi="Abo-thar" w:hint="cs"/>
          <w:sz w:val="28"/>
          <w:rtl/>
          <w:lang w:bidi="ar-SY"/>
        </w:rPr>
        <w:t>رواه الشيخ الطوسي في «التهذيب» بإسناده عن محمد بن يعقوب الكُلَيْنِيّ</w:t>
      </w:r>
      <w:r w:rsidR="00920257" w:rsidRPr="003F3B94">
        <w:rPr>
          <w:rFonts w:ascii="Abo-thar" w:hAnsi="Abo-thar" w:hint="cs"/>
          <w:sz w:val="28"/>
          <w:rtl/>
          <w:lang w:bidi="ar-SY"/>
        </w:rPr>
        <w:t>،</w:t>
      </w:r>
      <w:r w:rsidR="00147857" w:rsidRPr="003F3B94">
        <w:rPr>
          <w:rFonts w:ascii="Abo-thar" w:hAnsi="Abo-thar" w:hint="cs"/>
          <w:sz w:val="28"/>
          <w:rtl/>
          <w:lang w:bidi="ar-SY"/>
        </w:rPr>
        <w:t xml:space="preserve"> و</w:t>
      </w:r>
      <w:r w:rsidRPr="003F3B94">
        <w:rPr>
          <w:rFonts w:ascii="Abo-thar" w:hAnsi="Abo-thar" w:hint="cs"/>
          <w:sz w:val="28"/>
          <w:rtl/>
          <w:lang w:bidi="ar-SY"/>
        </w:rPr>
        <w:t xml:space="preserve">رواه الشيخ المفيد في </w:t>
      </w:r>
      <w:r w:rsidRPr="003F3B94">
        <w:rPr>
          <w:rFonts w:ascii="Lotus Linotype" w:hAnsi="Lotus Linotype"/>
          <w:sz w:val="28"/>
          <w:rtl/>
          <w:lang w:bidi="ar-SY"/>
        </w:rPr>
        <w:t>«</w:t>
      </w:r>
      <w:r w:rsidRPr="003F3B94">
        <w:rPr>
          <w:rFonts w:ascii="Lotus Linotype" w:hAnsi="Lotus Linotype" w:hint="cs"/>
          <w:sz w:val="28"/>
          <w:rtl/>
          <w:lang w:bidi="ar-SY"/>
        </w:rPr>
        <w:t>المقنعة</w:t>
      </w:r>
      <w:r w:rsidRPr="003F3B94">
        <w:rPr>
          <w:rFonts w:ascii="Lotus Linotype" w:hAnsi="Lotus Linotype"/>
          <w:sz w:val="28"/>
          <w:rtl/>
          <w:lang w:bidi="ar-SY"/>
        </w:rPr>
        <w:t>»</w:t>
      </w:r>
      <w:r w:rsidRPr="003F3B94">
        <w:rPr>
          <w:rFonts w:ascii="Abo-thar" w:hAnsi="Abo-thar" w:hint="cs"/>
          <w:sz w:val="28"/>
          <w:rtl/>
          <w:lang w:bidi="ar-SY"/>
        </w:rPr>
        <w:t xml:space="preserve"> بإسناده عن جعفر </w:t>
      </w:r>
      <w:r w:rsidRPr="003F3B94">
        <w:rPr>
          <w:rFonts w:ascii="Abo-thar" w:hAnsi="Abo-thar" w:hint="eastAsia"/>
          <w:sz w:val="28"/>
          <w:rtl/>
          <w:lang w:bidi="ar-SY"/>
        </w:rPr>
        <w:t>بن إبراهيم</w:t>
      </w:r>
      <w:r w:rsidRPr="003F3B94">
        <w:rPr>
          <w:rFonts w:ascii="Abo-thar" w:hAnsi="Abo-thar" w:hint="cs"/>
          <w:sz w:val="28"/>
          <w:rtl/>
          <w:lang w:bidi="ar-SY"/>
        </w:rPr>
        <w:t xml:space="preserve"> الهاشمي</w:t>
      </w:r>
      <w:r w:rsidR="00920257" w:rsidRPr="003F3B94">
        <w:rPr>
          <w:rFonts w:ascii="Abo-thar" w:hAnsi="Abo-thar" w:hint="cs"/>
          <w:sz w:val="28"/>
          <w:rtl/>
          <w:lang w:bidi="ar-SY"/>
        </w:rPr>
        <w:t>،</w:t>
      </w:r>
      <w:r w:rsidR="00147857" w:rsidRPr="003F3B94">
        <w:rPr>
          <w:rFonts w:ascii="Abo-thar" w:hAnsi="Abo-thar" w:hint="cs"/>
          <w:sz w:val="28"/>
          <w:rtl/>
          <w:lang w:bidi="ar-SY"/>
        </w:rPr>
        <w:t xml:space="preserve"> و</w:t>
      </w:r>
      <w:r w:rsidRPr="003F3B94">
        <w:rPr>
          <w:rFonts w:ascii="Abo-thar" w:hAnsi="Abo-thar" w:hint="cs"/>
          <w:sz w:val="28"/>
          <w:rtl/>
          <w:lang w:bidi="ar-SY"/>
        </w:rPr>
        <w:t xml:space="preserve">الشيخ </w:t>
      </w:r>
      <w:r w:rsidRPr="003F3B94">
        <w:rPr>
          <w:rFonts w:ascii="Lotus Linotype" w:hAnsi="Lotus Linotype" w:hint="cs"/>
          <w:sz w:val="28"/>
          <w:rtl/>
          <w:lang w:bidi="ar-SY"/>
        </w:rPr>
        <w:t xml:space="preserve">الحرّ العاملي في </w:t>
      </w:r>
      <w:r w:rsidRPr="003F3B94">
        <w:rPr>
          <w:rFonts w:ascii="Lotus Linotype" w:hAnsi="Lotus Linotype"/>
          <w:sz w:val="28"/>
          <w:rtl/>
          <w:lang w:bidi="ar-SY"/>
        </w:rPr>
        <w:t>«</w:t>
      </w:r>
      <w:r w:rsidRPr="003F3B94">
        <w:rPr>
          <w:rFonts w:ascii="Lotus Linotype" w:hAnsi="Lotus Linotype" w:hint="cs"/>
          <w:sz w:val="28"/>
          <w:rtl/>
          <w:lang w:bidi="ar-SY"/>
        </w:rPr>
        <w:t>وسائل الشيعة</w:t>
      </w:r>
      <w:r w:rsidRPr="003F3B94">
        <w:rPr>
          <w:rFonts w:ascii="Lotus Linotype" w:hAnsi="Lotus Linotype"/>
          <w:sz w:val="28"/>
          <w:rtl/>
          <w:lang w:bidi="ar-SY"/>
        </w:rPr>
        <w:t>»</w:t>
      </w:r>
      <w:r w:rsidRPr="003F3B94">
        <w:rPr>
          <w:rFonts w:ascii="Lotus Linotype" w:hAnsi="Lotus Linotype" w:hint="cs"/>
          <w:sz w:val="28"/>
          <w:rtl/>
          <w:lang w:bidi="ar-SY"/>
        </w:rPr>
        <w:t xml:space="preserve"> نقلاً عن الكافي </w:t>
      </w:r>
      <w:r w:rsidRPr="003F3B94">
        <w:rPr>
          <w:rFonts w:ascii="Abo-thar" w:hAnsi="Abo-thar" w:hint="cs"/>
          <w:sz w:val="28"/>
          <w:rtl/>
          <w:lang w:bidi="ar-SY"/>
        </w:rPr>
        <w:t xml:space="preserve">للكُلَيْنِيّ ومضمونه ونتيجته مضمون الحديث السابق من أن جميع المياه </w:t>
      </w:r>
      <w:r w:rsidRPr="003F3B94">
        <w:rPr>
          <w:rFonts w:ascii="Abo-thar" w:hAnsi="Abo-thar" w:hint="cs"/>
          <w:b/>
          <w:bCs/>
          <w:sz w:val="28"/>
          <w:rtl/>
          <w:lang w:bidi="ar-SY"/>
        </w:rPr>
        <w:t xml:space="preserve">والآبار </w:t>
      </w:r>
      <w:r w:rsidRPr="003F3B94">
        <w:rPr>
          <w:rFonts w:ascii="Abo-thar" w:hAnsi="Abo-thar"/>
          <w:b/>
          <w:bCs/>
          <w:sz w:val="28"/>
          <w:rtl/>
          <w:lang w:bidi="ar-SY"/>
        </w:rPr>
        <w:t>بَيْنَ مَكَّةَ</w:t>
      </w:r>
      <w:r w:rsidRPr="003F3B94">
        <w:rPr>
          <w:rFonts w:ascii="Abo-thar" w:hAnsi="Abo-thar" w:hint="cs"/>
          <w:b/>
          <w:bCs/>
          <w:sz w:val="28"/>
          <w:rtl/>
          <w:lang w:bidi="ar-SY"/>
        </w:rPr>
        <w:t xml:space="preserve"> وَ</w:t>
      </w:r>
      <w:r w:rsidRPr="003F3B94">
        <w:rPr>
          <w:rFonts w:ascii="Abo-thar" w:hAnsi="Abo-thar"/>
          <w:b/>
          <w:bCs/>
          <w:sz w:val="28"/>
          <w:rtl/>
          <w:lang w:bidi="ar-SY"/>
        </w:rPr>
        <w:t xml:space="preserve">المَدِينَةِ </w:t>
      </w:r>
      <w:r w:rsidRPr="003F3B94">
        <w:rPr>
          <w:rFonts w:ascii="Abo-thar" w:hAnsi="Abo-thar" w:hint="cs"/>
          <w:b/>
          <w:bCs/>
          <w:sz w:val="28"/>
          <w:rtl/>
          <w:lang w:bidi="ar-SY"/>
        </w:rPr>
        <w:t>إنما تم تأمينها بواسطة أموال الصدقة والزكاة</w:t>
      </w:r>
      <w:r w:rsidR="00920257" w:rsidRPr="0021507A">
        <w:rPr>
          <w:rFonts w:ascii="Abo-thar" w:hAnsi="Abo-thar" w:cs="Arabic11 BT"/>
          <w:b/>
          <w:sz w:val="28"/>
          <w:vertAlign w:val="superscript"/>
          <w:rtl/>
          <w:lang w:bidi="ar-SY"/>
        </w:rPr>
        <w:t>(</w:t>
      </w:r>
      <w:r w:rsidR="00920257" w:rsidRPr="0021507A">
        <w:rPr>
          <w:rStyle w:val="FootnoteReference"/>
          <w:rFonts w:ascii="Abo-thar" w:hAnsi="Abo-thar" w:cs="Arabic11 BT"/>
          <w:b/>
          <w:sz w:val="28"/>
          <w:rtl/>
          <w:lang w:bidi="ar-SY"/>
        </w:rPr>
        <w:footnoteReference w:id="168"/>
      </w:r>
      <w:r w:rsidR="00920257" w:rsidRPr="0021507A">
        <w:rPr>
          <w:rFonts w:ascii="Abo-thar" w:hAnsi="Abo-thar" w:cs="Arabic11 BT"/>
          <w:b/>
          <w:sz w:val="28"/>
          <w:vertAlign w:val="superscript"/>
          <w:rtl/>
          <w:lang w:bidi="ar-SY"/>
        </w:rPr>
        <w:t>)</w:t>
      </w:r>
      <w:r w:rsidR="00EB4B38" w:rsidRPr="003F3B94">
        <w:rPr>
          <w:rFonts w:ascii="Abo-thar" w:hAnsi="Abo-thar" w:hint="cs"/>
          <w:b/>
          <w:bCs/>
          <w:sz w:val="28"/>
          <w:rtl/>
          <w:lang w:bidi="ar-SY"/>
        </w:rPr>
        <w:t>،</w:t>
      </w:r>
      <w:r w:rsidRPr="003F3B94">
        <w:rPr>
          <w:rFonts w:ascii="Abo-thar" w:hAnsi="Abo-thar" w:hint="cs"/>
          <w:b/>
          <w:bCs/>
          <w:sz w:val="28"/>
          <w:rtl/>
          <w:lang w:bidi="ar-SY"/>
        </w:rPr>
        <w:t xml:space="preserve"> </w:t>
      </w:r>
      <w:r w:rsidRPr="003F3B94">
        <w:rPr>
          <w:rFonts w:ascii="Abo-thar" w:hAnsi="Abo-thar" w:hint="cs"/>
          <w:sz w:val="28"/>
          <w:rtl/>
          <w:lang w:bidi="ar-SY"/>
        </w:rPr>
        <w:t>فلو كانت الاستفادة من مال الزكاة محرمة على بني هاشم لتدمرت حياتهم وهلكوا</w:t>
      </w:r>
      <w:r w:rsidR="00217AB4" w:rsidRPr="003F3B94">
        <w:rPr>
          <w:rFonts w:ascii="Abo-thar" w:hAnsi="Abo-thar" w:hint="cs"/>
          <w:sz w:val="28"/>
          <w:rtl/>
          <w:lang w:bidi="ar-SY"/>
        </w:rPr>
        <w:t>!</w:t>
      </w:r>
    </w:p>
    <w:p w:rsidR="005C664D" w:rsidRPr="003F3B94" w:rsidRDefault="005C664D" w:rsidP="003F3B94">
      <w:pPr>
        <w:pStyle w:val="a0"/>
        <w:rPr>
          <w:rFonts w:hint="cs"/>
          <w:rtl/>
          <w:lang w:bidi="ar-SY"/>
        </w:rPr>
      </w:pPr>
      <w:r w:rsidRPr="003F3B94">
        <w:rPr>
          <w:rFonts w:ascii="Abo-thar" w:hAnsi="Abo-thar" w:hint="cs"/>
          <w:sz w:val="28"/>
          <w:rtl/>
          <w:lang w:bidi="ar-SY"/>
        </w:rPr>
        <w:t>هذه الأحاديث تناقض وتعارض أحاديث تحريم الصدقة على بني هاشم</w:t>
      </w:r>
      <w:r w:rsidR="00217AB4" w:rsidRPr="003F3B94">
        <w:rPr>
          <w:rFonts w:ascii="Abo-thar" w:hAnsi="Abo-thar" w:hint="cs"/>
          <w:sz w:val="28"/>
          <w:rtl/>
          <w:lang w:bidi="ar-SY"/>
        </w:rPr>
        <w:t>،</w:t>
      </w:r>
      <w:r w:rsidRPr="003F3B94">
        <w:rPr>
          <w:rFonts w:ascii="Abo-thar" w:hAnsi="Abo-thar" w:hint="cs"/>
          <w:sz w:val="28"/>
          <w:rtl/>
          <w:lang w:bidi="ar-SY"/>
        </w:rPr>
        <w:t xml:space="preserve"> ويضاف إليها سيرة الأئمة المعصومين</w:t>
      </w:r>
      <w:r w:rsidR="00147857" w:rsidRPr="003F3B94">
        <w:rPr>
          <w:rFonts w:ascii="Abo-thar" w:hAnsi="Abo-thar" w:hint="cs"/>
          <w:sz w:val="28"/>
          <w:rtl/>
          <w:lang w:bidi="ar-SY"/>
        </w:rPr>
        <w:t xml:space="preserve"> </w:t>
      </w:r>
      <w:r w:rsidR="00963EFD" w:rsidRPr="00963EFD">
        <w:rPr>
          <w:rFonts w:ascii="Abo-thar" w:hAnsi="Abo-thar" w:cs="CTraditional Arabic"/>
          <w:sz w:val="28"/>
          <w:rtl/>
          <w:lang w:bidi="ar-SY"/>
        </w:rPr>
        <w:t>‡</w:t>
      </w:r>
      <w:r w:rsidR="00147857" w:rsidRPr="003F3B94">
        <w:rPr>
          <w:rFonts w:ascii="Abo-thar" w:hAnsi="Abo-thar"/>
          <w:sz w:val="28"/>
          <w:rtl/>
          <w:lang w:bidi="ar-SY"/>
        </w:rPr>
        <w:t xml:space="preserve"> </w:t>
      </w:r>
      <w:r w:rsidRPr="003F3B94">
        <w:rPr>
          <w:rFonts w:ascii="Abo-thar" w:hAnsi="Abo-thar" w:hint="cs"/>
          <w:sz w:val="28"/>
          <w:rtl/>
          <w:lang w:bidi="ar-SY"/>
        </w:rPr>
        <w:t>في الاستفادة والأكل من مال الزكاة والتي تخالف وتناقض القول بتحريم الأكل من الزكاة عليهم</w:t>
      </w:r>
      <w:r w:rsidR="00217AB4" w:rsidRPr="003F3B94">
        <w:rPr>
          <w:rFonts w:ascii="Abo-thar" w:hAnsi="Abo-thar" w:hint="cs"/>
          <w:sz w:val="28"/>
          <w:rtl/>
          <w:lang w:bidi="ar-SY"/>
        </w:rPr>
        <w:t>.</w:t>
      </w:r>
    </w:p>
    <w:p w:rsidR="005C664D" w:rsidRPr="007C6940" w:rsidRDefault="005C664D" w:rsidP="003E3D26">
      <w:pPr>
        <w:pStyle w:val="a0"/>
        <w:rPr>
          <w:rFonts w:hint="cs"/>
          <w:spacing w:val="-2"/>
          <w:rtl/>
        </w:rPr>
      </w:pPr>
      <w:r w:rsidRPr="007C6940">
        <w:rPr>
          <w:rFonts w:ascii="Abo-thar" w:hAnsi="Abo-thar" w:hint="cs"/>
          <w:spacing w:val="-2"/>
          <w:sz w:val="28"/>
          <w:rtl/>
          <w:lang w:bidi="ar-SY"/>
        </w:rPr>
        <w:t>ونقول بشكل أساسي إن حرمان رسول الله</w:t>
      </w:r>
      <w:r w:rsidR="00147857" w:rsidRPr="007C6940">
        <w:rPr>
          <w:rFonts w:ascii="Abo-thar" w:hAnsi="Abo-thar" w:hint="cs"/>
          <w:spacing w:val="-2"/>
          <w:sz w:val="28"/>
          <w:rtl/>
          <w:lang w:bidi="ar-SY"/>
        </w:rPr>
        <w:t xml:space="preserve"> </w:t>
      </w:r>
      <w:r w:rsidR="003C7AEB" w:rsidRPr="007C6940">
        <w:rPr>
          <w:rFonts w:ascii="Abo-thar" w:hAnsi="Abo-thar" w:cs="CTraditional Arabic"/>
          <w:spacing w:val="-2"/>
          <w:sz w:val="28"/>
          <w:rtl/>
          <w:lang w:bidi="ar-SY"/>
        </w:rPr>
        <w:t>ص</w:t>
      </w:r>
      <w:r w:rsidR="00147857" w:rsidRPr="007C6940">
        <w:rPr>
          <w:rFonts w:ascii="Abo-thar" w:hAnsi="Abo-thar"/>
          <w:spacing w:val="-2"/>
          <w:sz w:val="28"/>
          <w:rtl/>
          <w:lang w:bidi="ar-SY"/>
        </w:rPr>
        <w:t xml:space="preserve"> </w:t>
      </w:r>
      <w:r w:rsidR="003E3D26">
        <w:rPr>
          <w:rFonts w:ascii="Abo-thar" w:hAnsi="Abo-thar" w:hint="cs"/>
          <w:spacing w:val="-2"/>
          <w:sz w:val="28"/>
          <w:rtl/>
          <w:lang w:bidi="ar-SY"/>
        </w:rPr>
        <w:t>لبن</w:t>
      </w:r>
      <w:r w:rsidRPr="007C6940">
        <w:rPr>
          <w:rFonts w:ascii="Abo-thar" w:hAnsi="Abo-thar" w:hint="cs"/>
          <w:spacing w:val="-2"/>
          <w:sz w:val="28"/>
          <w:rtl/>
          <w:lang w:bidi="ar-SY"/>
        </w:rPr>
        <w:t>ي هاشم من حق الاستفادة من مال الزكاة ليس عليه أي دليل من كتاب الله</w:t>
      </w:r>
      <w:r w:rsidR="00217AB4" w:rsidRPr="007C6940">
        <w:rPr>
          <w:rFonts w:ascii="Abo-thar" w:hAnsi="Abo-thar" w:hint="cs"/>
          <w:spacing w:val="-2"/>
          <w:sz w:val="28"/>
          <w:rtl/>
          <w:lang w:bidi="ar-SY"/>
        </w:rPr>
        <w:t>.</w:t>
      </w:r>
      <w:r w:rsidRPr="007C6940">
        <w:rPr>
          <w:rFonts w:ascii="Abo-thar" w:hAnsi="Abo-thar" w:hint="cs"/>
          <w:spacing w:val="-2"/>
          <w:sz w:val="28"/>
          <w:rtl/>
          <w:lang w:bidi="ar-SY"/>
        </w:rPr>
        <w:t xml:space="preserve"> ولم يكن لهذا الموضوع في بداية الإسلام أي جانب تشريعي عام بل كان عملاً مستنداً إلى اختيار النبي</w:t>
      </w:r>
      <w:r w:rsidR="00147857" w:rsidRPr="007C6940">
        <w:rPr>
          <w:rFonts w:ascii="Abo-thar" w:hAnsi="Abo-thar" w:hint="cs"/>
          <w:spacing w:val="-2"/>
          <w:sz w:val="28"/>
          <w:rtl/>
          <w:lang w:bidi="ar-SY"/>
        </w:rPr>
        <w:t xml:space="preserve"> </w:t>
      </w:r>
      <w:r w:rsidR="003C7AEB" w:rsidRPr="007C6940">
        <w:rPr>
          <w:rFonts w:ascii="Abo-thar" w:hAnsi="Abo-thar" w:cs="CTraditional Arabic"/>
          <w:spacing w:val="-2"/>
          <w:sz w:val="28"/>
          <w:rtl/>
          <w:lang w:bidi="ar-SY"/>
        </w:rPr>
        <w:t>ص</w:t>
      </w:r>
      <w:r w:rsidR="00147857" w:rsidRPr="007C6940">
        <w:rPr>
          <w:rFonts w:ascii="Abo-thar" w:hAnsi="Abo-thar"/>
          <w:spacing w:val="-2"/>
          <w:sz w:val="28"/>
          <w:rtl/>
          <w:lang w:bidi="ar-SY"/>
        </w:rPr>
        <w:t xml:space="preserve"> </w:t>
      </w:r>
      <w:r w:rsidRPr="007C6940">
        <w:rPr>
          <w:rFonts w:ascii="Abo-thar" w:hAnsi="Abo-thar" w:hint="cs"/>
          <w:spacing w:val="-2"/>
          <w:sz w:val="28"/>
          <w:rtl/>
          <w:lang w:bidi="ar-SY"/>
        </w:rPr>
        <w:t>نفسه</w:t>
      </w:r>
      <w:r w:rsidR="00217AB4" w:rsidRPr="007C6940">
        <w:rPr>
          <w:rFonts w:ascii="Abo-thar" w:hAnsi="Abo-thar" w:hint="cs"/>
          <w:spacing w:val="-2"/>
          <w:sz w:val="28"/>
          <w:rtl/>
          <w:lang w:bidi="ar-SY"/>
        </w:rPr>
        <w:t>،</w:t>
      </w:r>
      <w:r w:rsidR="00147857" w:rsidRPr="007C6940">
        <w:rPr>
          <w:rFonts w:ascii="Abo-thar" w:hAnsi="Abo-thar" w:hint="cs"/>
          <w:spacing w:val="-2"/>
          <w:sz w:val="28"/>
          <w:rtl/>
          <w:lang w:bidi="ar-SY"/>
        </w:rPr>
        <w:t xml:space="preserve"> </w:t>
      </w:r>
      <w:r w:rsidRPr="007C6940">
        <w:rPr>
          <w:rFonts w:ascii="Abo-thar" w:hAnsi="Abo-thar" w:hint="cs"/>
          <w:spacing w:val="-2"/>
          <w:sz w:val="28"/>
          <w:rtl/>
          <w:lang w:bidi="ar-SY"/>
        </w:rPr>
        <w:t>الذي لم يسمح لنفسه ولا لأهل بيته أن يأكلوا من أموال الزكاة حال حياته الشريفة</w:t>
      </w:r>
      <w:r w:rsidR="00147857" w:rsidRPr="007C6940">
        <w:rPr>
          <w:rFonts w:ascii="Abo-thar" w:hAnsi="Abo-thar" w:hint="cs"/>
          <w:spacing w:val="-2"/>
          <w:sz w:val="28"/>
          <w:rtl/>
          <w:lang w:bidi="ar-SY"/>
        </w:rPr>
        <w:t xml:space="preserve"> </w:t>
      </w:r>
      <w:r w:rsidR="003C7AEB" w:rsidRPr="007C6940">
        <w:rPr>
          <w:rFonts w:ascii="Abo-thar" w:hAnsi="Abo-thar" w:cs="CTraditional Arabic"/>
          <w:spacing w:val="-2"/>
          <w:sz w:val="28"/>
          <w:rtl/>
          <w:lang w:bidi="ar-SY"/>
        </w:rPr>
        <w:t>ص</w:t>
      </w:r>
      <w:r w:rsidR="00147857" w:rsidRPr="007C6940">
        <w:rPr>
          <w:rFonts w:ascii="Abo-thar" w:hAnsi="Abo-thar"/>
          <w:spacing w:val="-2"/>
          <w:sz w:val="28"/>
          <w:rtl/>
          <w:lang w:bidi="ar-SY"/>
        </w:rPr>
        <w:t xml:space="preserve"> </w:t>
      </w:r>
      <w:r w:rsidRPr="007C6940">
        <w:rPr>
          <w:rFonts w:ascii="Abo-thar" w:hAnsi="Abo-thar" w:hint="cs"/>
          <w:spacing w:val="-2"/>
          <w:sz w:val="28"/>
          <w:rtl/>
          <w:lang w:bidi="ar-SY"/>
        </w:rPr>
        <w:t xml:space="preserve">والحكمة من ذلك حسبما يبدو لنا هي أن لا يدع مجالاً لأحد أن يأتي إلى ذهنه أن النبي إنما ادعى الرسالة كي يحصِّل </w:t>
      </w:r>
      <w:r w:rsidRPr="007C6940">
        <w:rPr>
          <w:rFonts w:cs="Times New Roman" w:hint="cs"/>
          <w:spacing w:val="-2"/>
          <w:sz w:val="28"/>
          <w:rtl/>
          <w:lang w:bidi="ar-SY"/>
        </w:rPr>
        <w:t>–</w:t>
      </w:r>
      <w:r w:rsidRPr="007C6940">
        <w:rPr>
          <w:rFonts w:ascii="Abo-thar" w:hAnsi="Abo-thar" w:hint="cs"/>
          <w:spacing w:val="-2"/>
          <w:sz w:val="28"/>
          <w:rtl/>
          <w:lang w:bidi="ar-SY"/>
        </w:rPr>
        <w:t xml:space="preserve"> </w:t>
      </w:r>
      <w:r w:rsidRPr="007C6940">
        <w:rPr>
          <w:rFonts w:ascii="mylotus" w:hAnsi="mylotus" w:hint="cs"/>
          <w:spacing w:val="-2"/>
          <w:sz w:val="28"/>
          <w:rtl/>
          <w:lang w:bidi="ar-SY"/>
        </w:rPr>
        <w:t>كما</w:t>
      </w:r>
      <w:r w:rsidRPr="007C6940">
        <w:rPr>
          <w:rFonts w:ascii="Abo-thar" w:hAnsi="Abo-thar" w:hint="cs"/>
          <w:spacing w:val="-2"/>
          <w:sz w:val="28"/>
          <w:rtl/>
          <w:lang w:bidi="ar-SY"/>
        </w:rPr>
        <w:t xml:space="preserve"> </w:t>
      </w:r>
      <w:r w:rsidRPr="007C6940">
        <w:rPr>
          <w:rFonts w:ascii="mylotus" w:hAnsi="mylotus" w:hint="cs"/>
          <w:spacing w:val="-2"/>
          <w:sz w:val="28"/>
          <w:rtl/>
          <w:lang w:bidi="ar-SY"/>
        </w:rPr>
        <w:t>يفعل</w:t>
      </w:r>
      <w:r w:rsidRPr="007C6940">
        <w:rPr>
          <w:rFonts w:ascii="Abo-thar" w:hAnsi="Abo-thar" w:hint="cs"/>
          <w:spacing w:val="-2"/>
          <w:sz w:val="28"/>
          <w:rtl/>
          <w:lang w:bidi="ar-SY"/>
        </w:rPr>
        <w:t xml:space="preserve"> </w:t>
      </w:r>
      <w:r w:rsidRPr="007C6940">
        <w:rPr>
          <w:rFonts w:ascii="mylotus" w:hAnsi="mylotus" w:hint="cs"/>
          <w:spacing w:val="-2"/>
          <w:sz w:val="28"/>
          <w:rtl/>
          <w:lang w:bidi="ar-SY"/>
        </w:rPr>
        <w:t>طلاب</w:t>
      </w:r>
      <w:r w:rsidRPr="007C6940">
        <w:rPr>
          <w:rFonts w:ascii="Abo-thar" w:hAnsi="Abo-thar" w:hint="cs"/>
          <w:spacing w:val="-2"/>
          <w:sz w:val="28"/>
          <w:rtl/>
          <w:lang w:bidi="ar-SY"/>
        </w:rPr>
        <w:t xml:space="preserve"> </w:t>
      </w:r>
      <w:r w:rsidRPr="007C6940">
        <w:rPr>
          <w:rFonts w:ascii="mylotus" w:hAnsi="mylotus" w:hint="cs"/>
          <w:spacing w:val="-2"/>
          <w:sz w:val="28"/>
          <w:rtl/>
          <w:lang w:bidi="ar-SY"/>
        </w:rPr>
        <w:t>الدنيا</w:t>
      </w:r>
      <w:r w:rsidRPr="007C6940">
        <w:rPr>
          <w:rFonts w:cs="Times New Roman" w:hint="cs"/>
          <w:spacing w:val="-2"/>
          <w:sz w:val="28"/>
          <w:rtl/>
          <w:lang w:bidi="ar-SY"/>
        </w:rPr>
        <w:t>–</w:t>
      </w:r>
      <w:r w:rsidRPr="007C6940">
        <w:rPr>
          <w:rFonts w:ascii="Abo-thar" w:hAnsi="Abo-thar" w:hint="cs"/>
          <w:spacing w:val="-2"/>
          <w:sz w:val="28"/>
          <w:rtl/>
          <w:lang w:bidi="ar-SY"/>
        </w:rPr>
        <w:t xml:space="preserve"> المال ووسائل العيش والرفاهية لنفسه ولأهله</w:t>
      </w:r>
      <w:r w:rsidR="00217AB4" w:rsidRPr="007C6940">
        <w:rPr>
          <w:rFonts w:ascii="Abo-thar" w:hAnsi="Abo-thar" w:hint="cs"/>
          <w:spacing w:val="-2"/>
          <w:sz w:val="28"/>
          <w:rtl/>
          <w:lang w:bidi="ar-SY"/>
        </w:rPr>
        <w:t>،</w:t>
      </w:r>
      <w:r w:rsidRPr="007C6940">
        <w:rPr>
          <w:rFonts w:ascii="Abo-thar" w:hAnsi="Abo-thar" w:hint="cs"/>
          <w:spacing w:val="-2"/>
          <w:sz w:val="28"/>
          <w:rtl/>
          <w:lang w:bidi="ar-SY"/>
        </w:rPr>
        <w:t xml:space="preserve"> لا سيما أن أخذ الزكاة كان في بداية الإسلام بمثابة حمل ثقيل على بعض حديثي العهد بالإسلام مما حدا ببعضهم إلى الارتداد عن دينه لهذا الغرض ليخلص من دفع الزكاة</w:t>
      </w:r>
      <w:r w:rsidR="00217AB4" w:rsidRPr="007C6940">
        <w:rPr>
          <w:rFonts w:ascii="Abo-thar" w:hAnsi="Abo-thar" w:hint="cs"/>
          <w:spacing w:val="-2"/>
          <w:sz w:val="28"/>
          <w:rtl/>
          <w:lang w:bidi="ar-SY"/>
        </w:rPr>
        <w:t>،</w:t>
      </w:r>
      <w:r w:rsidRPr="007C6940">
        <w:rPr>
          <w:rFonts w:ascii="Abo-thar" w:hAnsi="Abo-thar" w:hint="cs"/>
          <w:spacing w:val="-2"/>
          <w:sz w:val="28"/>
          <w:rtl/>
          <w:lang w:bidi="ar-SY"/>
        </w:rPr>
        <w:t xml:space="preserve"> إلى الحد الذي جعل النبيَّ</w:t>
      </w:r>
      <w:r w:rsidR="00147857" w:rsidRPr="007C6940">
        <w:rPr>
          <w:rFonts w:ascii="Abo-thar" w:hAnsi="Abo-thar" w:hint="cs"/>
          <w:spacing w:val="-2"/>
          <w:sz w:val="28"/>
          <w:rtl/>
          <w:lang w:bidi="ar-SY"/>
        </w:rPr>
        <w:t xml:space="preserve"> </w:t>
      </w:r>
      <w:r w:rsidR="003C7AEB" w:rsidRPr="007C6940">
        <w:rPr>
          <w:rFonts w:ascii="Abo-thar" w:hAnsi="Abo-thar" w:cs="CTraditional Arabic"/>
          <w:spacing w:val="-2"/>
          <w:sz w:val="28"/>
          <w:rtl/>
          <w:lang w:bidi="ar-SY"/>
        </w:rPr>
        <w:t>ص</w:t>
      </w:r>
      <w:r w:rsidR="00147857" w:rsidRPr="007C6940">
        <w:rPr>
          <w:rFonts w:ascii="Abo-thar" w:hAnsi="Abo-thar"/>
          <w:spacing w:val="-2"/>
          <w:sz w:val="28"/>
          <w:rtl/>
          <w:lang w:bidi="ar-SY"/>
        </w:rPr>
        <w:t xml:space="preserve"> </w:t>
      </w:r>
      <w:r w:rsidR="00217AB4" w:rsidRPr="007C6940">
        <w:rPr>
          <w:rFonts w:ascii="Abo-thar" w:hAnsi="Abo-thar" w:hint="cs"/>
          <w:spacing w:val="-2"/>
          <w:sz w:val="28"/>
          <w:rtl/>
          <w:lang w:bidi="ar-SY"/>
        </w:rPr>
        <w:t>-</w:t>
      </w:r>
      <w:r w:rsidRPr="007C6940">
        <w:rPr>
          <w:rFonts w:ascii="Abo-thar" w:hAnsi="Abo-thar" w:hint="cs"/>
          <w:spacing w:val="-2"/>
          <w:sz w:val="28"/>
          <w:rtl/>
          <w:lang w:bidi="ar-SY"/>
        </w:rPr>
        <w:t xml:space="preserve"> كما أوضحنا ذلك في كتابنا </w:t>
      </w:r>
      <w:r w:rsidRPr="007C6940">
        <w:rPr>
          <w:rFonts w:ascii="Lotus Linotype" w:hAnsi="Lotus Linotype"/>
          <w:spacing w:val="-2"/>
          <w:sz w:val="28"/>
          <w:rtl/>
          <w:lang w:bidi="ar-SY"/>
        </w:rPr>
        <w:t>«</w:t>
      </w:r>
      <w:r w:rsidRPr="007C6940">
        <w:rPr>
          <w:rFonts w:ascii="Lotus Linotype" w:hAnsi="Lotus Linotype" w:hint="cs"/>
          <w:spacing w:val="-2"/>
          <w:sz w:val="28"/>
          <w:rtl/>
          <w:lang w:bidi="ar-SY"/>
        </w:rPr>
        <w:t>الزكاة</w:t>
      </w:r>
      <w:r w:rsidRPr="007C6940">
        <w:rPr>
          <w:rFonts w:ascii="Lotus Linotype" w:hAnsi="Lotus Linotype"/>
          <w:spacing w:val="-2"/>
          <w:sz w:val="28"/>
          <w:rtl/>
          <w:lang w:bidi="ar-SY"/>
        </w:rPr>
        <w:t>»</w:t>
      </w:r>
      <w:r w:rsidRPr="007C6940">
        <w:rPr>
          <w:rFonts w:ascii="Lotus Linotype" w:hAnsi="Lotus Linotype" w:hint="cs"/>
          <w:spacing w:val="-2"/>
          <w:sz w:val="28"/>
          <w:rtl/>
          <w:lang w:bidi="ar-SY"/>
        </w:rPr>
        <w:t xml:space="preserve"> </w:t>
      </w:r>
      <w:r w:rsidR="00217AB4" w:rsidRPr="007C6940">
        <w:rPr>
          <w:rFonts w:ascii="Lotus Linotype" w:hAnsi="Lotus Linotype" w:hint="cs"/>
          <w:spacing w:val="-2"/>
          <w:sz w:val="28"/>
          <w:rtl/>
          <w:lang w:bidi="ar-SY"/>
        </w:rPr>
        <w:t>-</w:t>
      </w:r>
      <w:r w:rsidRPr="007C6940">
        <w:rPr>
          <w:rFonts w:ascii="Abo-thar" w:hAnsi="Abo-thar" w:hint="cs"/>
          <w:spacing w:val="-2"/>
          <w:sz w:val="28"/>
          <w:rtl/>
          <w:lang w:bidi="ar-SY"/>
        </w:rPr>
        <w:t xml:space="preserve"> يحارب مانعي الزكاة</w:t>
      </w:r>
      <w:r w:rsidR="00217AB4" w:rsidRPr="007C6940">
        <w:rPr>
          <w:rFonts w:ascii="Abo-thar" w:hAnsi="Abo-thar" w:hint="cs"/>
          <w:spacing w:val="-2"/>
          <w:sz w:val="28"/>
          <w:rtl/>
          <w:lang w:bidi="ar-SY"/>
        </w:rPr>
        <w:t>،</w:t>
      </w:r>
      <w:r w:rsidRPr="007C6940">
        <w:rPr>
          <w:rFonts w:ascii="Abo-thar" w:hAnsi="Abo-thar" w:hint="cs"/>
          <w:spacing w:val="-2"/>
          <w:sz w:val="28"/>
          <w:rtl/>
          <w:lang w:bidi="ar-SY"/>
        </w:rPr>
        <w:t xml:space="preserve"> فيقتل رجالهم</w:t>
      </w:r>
      <w:r w:rsidR="00147857" w:rsidRPr="007C6940">
        <w:rPr>
          <w:rFonts w:ascii="Abo-thar" w:hAnsi="Abo-thar" w:hint="cs"/>
          <w:spacing w:val="-2"/>
          <w:sz w:val="28"/>
          <w:rtl/>
          <w:lang w:bidi="ar-SY"/>
        </w:rPr>
        <w:t xml:space="preserve"> و</w:t>
      </w:r>
      <w:r w:rsidRPr="007C6940">
        <w:rPr>
          <w:rFonts w:ascii="Abo-thar" w:hAnsi="Abo-thar" w:hint="cs"/>
          <w:spacing w:val="-2"/>
          <w:sz w:val="28"/>
          <w:rtl/>
          <w:lang w:bidi="ar-SY"/>
        </w:rPr>
        <w:t>يأسر نساءهم وفرض غرامة مالية على أولئك الذين يتظاهرون بالطاعة والاستعداد لدفع زكاة أموالهم ولكنهم كانوا يخونون بكتمان حقيقة ما يملكونه من أموال</w:t>
      </w:r>
      <w:r w:rsidR="00217AB4" w:rsidRPr="007C6940">
        <w:rPr>
          <w:rFonts w:ascii="Abo-thar" w:hAnsi="Abo-thar" w:hint="cs"/>
          <w:spacing w:val="-2"/>
          <w:sz w:val="28"/>
          <w:rtl/>
          <w:lang w:bidi="ar-SY"/>
        </w:rPr>
        <w:t>،</w:t>
      </w:r>
      <w:r w:rsidRPr="007C6940">
        <w:rPr>
          <w:rFonts w:ascii="Abo-thar" w:hAnsi="Abo-thar" w:hint="cs"/>
          <w:spacing w:val="-2"/>
          <w:sz w:val="28"/>
          <w:rtl/>
          <w:lang w:bidi="ar-SY"/>
        </w:rPr>
        <w:t xml:space="preserve"> ففرض عليهم غرامة أن تؤخذ نصف أموالهم</w:t>
      </w:r>
      <w:r w:rsidR="00217AB4" w:rsidRPr="007C6940">
        <w:rPr>
          <w:rFonts w:ascii="Abo-thar" w:hAnsi="Abo-thar" w:hint="cs"/>
          <w:spacing w:val="-2"/>
          <w:sz w:val="28"/>
          <w:rtl/>
          <w:lang w:bidi="ar-SY"/>
        </w:rPr>
        <w:t>،</w:t>
      </w:r>
      <w:r w:rsidRPr="007C6940">
        <w:rPr>
          <w:rFonts w:ascii="Abo-thar" w:hAnsi="Abo-thar" w:hint="cs"/>
          <w:spacing w:val="-2"/>
          <w:sz w:val="28"/>
          <w:rtl/>
          <w:lang w:bidi="ar-SY"/>
        </w:rPr>
        <w:t xml:space="preserve"> ولأجل ذلك كله كان يحترز من أن يأتي لذهن أي أحد من الناس أي تفكير بأنه إنما يفعل ذلك لمصلحته الشخصية ولينفق هذه الأموال على نفسه</w:t>
      </w:r>
      <w:r w:rsidR="00147857" w:rsidRPr="007C6940">
        <w:rPr>
          <w:rFonts w:ascii="Abo-thar" w:hAnsi="Abo-thar" w:hint="cs"/>
          <w:spacing w:val="-2"/>
          <w:sz w:val="28"/>
          <w:rtl/>
          <w:lang w:bidi="ar-SY"/>
        </w:rPr>
        <w:t xml:space="preserve"> و</w:t>
      </w:r>
      <w:r w:rsidRPr="007C6940">
        <w:rPr>
          <w:rFonts w:ascii="Abo-thar" w:hAnsi="Abo-thar" w:hint="cs"/>
          <w:spacing w:val="-2"/>
          <w:sz w:val="28"/>
          <w:rtl/>
          <w:lang w:bidi="ar-SY"/>
        </w:rPr>
        <w:t>على أهله وأولاده وقرابته لذا حرم أكل الصدقة على نفسه وعلى آله</w:t>
      </w:r>
      <w:r w:rsidR="00217AB4" w:rsidRPr="007C6940">
        <w:rPr>
          <w:rFonts w:ascii="Abo-thar" w:hAnsi="Abo-thar" w:hint="cs"/>
          <w:spacing w:val="-2"/>
          <w:sz w:val="28"/>
          <w:rtl/>
          <w:lang w:bidi="ar-SY"/>
        </w:rPr>
        <w:t>،</w:t>
      </w:r>
      <w:r w:rsidR="00147857" w:rsidRPr="007C6940">
        <w:rPr>
          <w:rFonts w:ascii="Abo-thar" w:hAnsi="Abo-thar" w:hint="cs"/>
          <w:spacing w:val="-2"/>
          <w:sz w:val="28"/>
          <w:rtl/>
          <w:lang w:bidi="ar-SY"/>
        </w:rPr>
        <w:t xml:space="preserve"> </w:t>
      </w:r>
      <w:r w:rsidRPr="007C6940">
        <w:rPr>
          <w:rFonts w:ascii="Abo-thar" w:hAnsi="Abo-thar" w:hint="cs"/>
          <w:spacing w:val="-2"/>
          <w:sz w:val="28"/>
          <w:rtl/>
          <w:lang w:bidi="ar-SY"/>
        </w:rPr>
        <w:t>ليعرف الجميع أنه إنما يجبي الزكاة لتأمين حاجات الفقراء</w:t>
      </w:r>
      <w:r w:rsidR="00147857" w:rsidRPr="007C6940">
        <w:rPr>
          <w:rFonts w:ascii="Abo-thar" w:hAnsi="Abo-thar" w:hint="cs"/>
          <w:spacing w:val="-2"/>
          <w:sz w:val="28"/>
          <w:rtl/>
          <w:lang w:bidi="ar-SY"/>
        </w:rPr>
        <w:t xml:space="preserve"> و</w:t>
      </w:r>
      <w:r w:rsidRPr="007C6940">
        <w:rPr>
          <w:rFonts w:ascii="Abo-thar" w:hAnsi="Abo-thar" w:hint="cs"/>
          <w:spacing w:val="-2"/>
          <w:sz w:val="28"/>
          <w:rtl/>
          <w:lang w:bidi="ar-SY"/>
        </w:rPr>
        <w:t xml:space="preserve">ليصرفها في </w:t>
      </w:r>
      <w:r w:rsidRPr="007C6940">
        <w:rPr>
          <w:rFonts w:ascii="Lotus Linotype" w:hAnsi="Lotus Linotype"/>
          <w:spacing w:val="-2"/>
          <w:sz w:val="28"/>
          <w:rtl/>
          <w:lang w:bidi="ar-SY"/>
        </w:rPr>
        <w:t>«</w:t>
      </w:r>
      <w:r w:rsidRPr="007C6940">
        <w:rPr>
          <w:rFonts w:ascii="Lotus Linotype" w:hAnsi="Lotus Linotype" w:hint="cs"/>
          <w:spacing w:val="-2"/>
          <w:sz w:val="28"/>
          <w:rtl/>
          <w:lang w:bidi="ar-SY"/>
        </w:rPr>
        <w:t>سبيل الله</w:t>
      </w:r>
      <w:r w:rsidRPr="007C6940">
        <w:rPr>
          <w:rFonts w:ascii="Lotus Linotype" w:hAnsi="Lotus Linotype"/>
          <w:spacing w:val="-2"/>
          <w:sz w:val="28"/>
          <w:rtl/>
          <w:lang w:bidi="ar-SY"/>
        </w:rPr>
        <w:t>»</w:t>
      </w:r>
      <w:r w:rsidR="00217AB4" w:rsidRPr="007C6940">
        <w:rPr>
          <w:rFonts w:ascii="Lotus Linotype" w:hAnsi="Lotus Linotype" w:hint="cs"/>
          <w:spacing w:val="-2"/>
          <w:sz w:val="28"/>
          <w:rtl/>
          <w:lang w:bidi="ar-SY"/>
        </w:rPr>
        <w:t>.</w:t>
      </w:r>
    </w:p>
    <w:p w:rsidR="005C664D" w:rsidRPr="00995B26" w:rsidRDefault="005C664D" w:rsidP="003F3B94">
      <w:pPr>
        <w:pStyle w:val="a0"/>
        <w:rPr>
          <w:rFonts w:hint="cs"/>
          <w:rtl/>
        </w:rPr>
      </w:pPr>
      <w:r w:rsidRPr="003F3B94">
        <w:rPr>
          <w:rFonts w:ascii="Lotus Linotype" w:hAnsi="Lotus Linotype" w:hint="cs"/>
          <w:sz w:val="28"/>
          <w:rtl/>
        </w:rPr>
        <w:t>ولما لم يكن لمثل هذه التحريمات التي يحرمها رسول الله</w:t>
      </w:r>
      <w:r w:rsidR="00147857" w:rsidRPr="003F3B94">
        <w:rPr>
          <w:rFonts w:ascii="Lotus Linotype" w:hAnsi="Lotus Linotype" w:hint="cs"/>
          <w:sz w:val="28"/>
          <w:rtl/>
        </w:rPr>
        <w:t xml:space="preserve"> </w:t>
      </w:r>
      <w:r w:rsidR="003C7AEB" w:rsidRPr="003C7AEB">
        <w:rPr>
          <w:rFonts w:ascii="Abo-thar" w:hAnsi="Abo-thar" w:cs="CTraditional Arabic"/>
          <w:sz w:val="28"/>
          <w:rtl/>
        </w:rPr>
        <w:t>ص</w:t>
      </w:r>
      <w:r w:rsidR="00147857" w:rsidRPr="003F3B94">
        <w:rPr>
          <w:rFonts w:ascii="Abo-thar" w:hAnsi="Abo-thar"/>
          <w:sz w:val="28"/>
          <w:rtl/>
        </w:rPr>
        <w:t xml:space="preserve"> </w:t>
      </w:r>
      <w:r w:rsidRPr="003F3B94">
        <w:rPr>
          <w:rFonts w:ascii="Abo-thar" w:hAnsi="Abo-thar" w:hint="cs"/>
          <w:sz w:val="28"/>
          <w:rtl/>
        </w:rPr>
        <w:t xml:space="preserve">على نفسه </w:t>
      </w:r>
      <w:r w:rsidR="00217AB4" w:rsidRPr="003F3B94">
        <w:rPr>
          <w:rFonts w:ascii="Abo-thar" w:hAnsi="Abo-thar" w:hint="cs"/>
          <w:sz w:val="28"/>
          <w:rtl/>
        </w:rPr>
        <w:t>-</w:t>
      </w:r>
      <w:r w:rsidRPr="003F3B94">
        <w:rPr>
          <w:rFonts w:ascii="Abo-thar" w:hAnsi="Abo-thar" w:hint="cs"/>
          <w:sz w:val="28"/>
          <w:rtl/>
        </w:rPr>
        <w:t xml:space="preserve">التي ذكرنا نماذج منها في الصفحات الماضية </w:t>
      </w:r>
      <w:r w:rsidRPr="003F3B94">
        <w:rPr>
          <w:rFonts w:cs="Times New Roman" w:hint="cs"/>
          <w:sz w:val="28"/>
          <w:rtl/>
        </w:rPr>
        <w:t>–</w:t>
      </w:r>
      <w:r w:rsidRPr="003F3B94">
        <w:rPr>
          <w:rFonts w:ascii="Abo-thar" w:hAnsi="Abo-thar" w:hint="cs"/>
          <w:sz w:val="28"/>
          <w:rtl/>
        </w:rPr>
        <w:t xml:space="preserve"> جانب تشريعي عام</w:t>
      </w:r>
      <w:r w:rsidR="00217AB4" w:rsidRPr="003F3B94">
        <w:rPr>
          <w:rFonts w:ascii="Abo-thar" w:hAnsi="Abo-thar" w:hint="cs"/>
          <w:sz w:val="28"/>
          <w:rtl/>
        </w:rPr>
        <w:t>،</w:t>
      </w:r>
      <w:r w:rsidRPr="003F3B94">
        <w:rPr>
          <w:rFonts w:ascii="Abo-thar" w:hAnsi="Abo-thar" w:hint="cs"/>
          <w:sz w:val="28"/>
          <w:rtl/>
        </w:rPr>
        <w:t xml:space="preserve"> ولا كان مما يُطلب من الناس أن يتأسوا به ويتبعوه لذا لا نجد لها أي إشارة إليها في كتاب الله</w:t>
      </w:r>
      <w:r w:rsidR="00217AB4" w:rsidRPr="003F3B94">
        <w:rPr>
          <w:rFonts w:ascii="Abo-thar" w:hAnsi="Abo-thar" w:hint="cs"/>
          <w:sz w:val="28"/>
          <w:rtl/>
        </w:rPr>
        <w:t>،</w:t>
      </w:r>
      <w:r w:rsidRPr="003F3B94">
        <w:rPr>
          <w:rFonts w:ascii="Abo-thar" w:hAnsi="Abo-thar" w:hint="cs"/>
          <w:sz w:val="28"/>
          <w:rtl/>
        </w:rPr>
        <w:t xml:space="preserve"> بل إن القرآن لما رأى أن بعض التحريمات التي حرمها رسول الله على نفسه قد تقتدي به أمته فيها</w:t>
      </w:r>
      <w:r w:rsidR="00217AB4" w:rsidRPr="003F3B94">
        <w:rPr>
          <w:rFonts w:ascii="Abo-thar" w:hAnsi="Abo-thar" w:hint="cs"/>
          <w:sz w:val="28"/>
          <w:rtl/>
        </w:rPr>
        <w:t>،</w:t>
      </w:r>
      <w:r w:rsidRPr="003F3B94">
        <w:rPr>
          <w:rFonts w:ascii="Abo-thar" w:hAnsi="Abo-thar" w:hint="cs"/>
          <w:sz w:val="28"/>
          <w:rtl/>
        </w:rPr>
        <w:t xml:space="preserve"> نهى بصراحة</w:t>
      </w:r>
      <w:r w:rsidR="00147857" w:rsidRPr="003F3B94">
        <w:rPr>
          <w:rFonts w:ascii="Abo-thar" w:hAnsi="Abo-thar" w:hint="cs"/>
          <w:sz w:val="28"/>
          <w:rtl/>
        </w:rPr>
        <w:t xml:space="preserve"> و</w:t>
      </w:r>
      <w:r w:rsidRPr="003F3B94">
        <w:rPr>
          <w:rFonts w:ascii="Abo-thar" w:hAnsi="Abo-thar" w:hint="cs"/>
          <w:sz w:val="28"/>
          <w:rtl/>
        </w:rPr>
        <w:t>وضوح عن هذه التحريمات</w:t>
      </w:r>
      <w:r w:rsidR="00217AB4" w:rsidRPr="003F3B94">
        <w:rPr>
          <w:rFonts w:ascii="Abo-thar" w:hAnsi="Abo-thar" w:hint="cs"/>
          <w:sz w:val="28"/>
          <w:rtl/>
        </w:rPr>
        <w:t>،</w:t>
      </w:r>
      <w:r w:rsidRPr="003F3B94">
        <w:rPr>
          <w:rFonts w:ascii="Abo-thar" w:hAnsi="Abo-thar" w:hint="cs"/>
          <w:sz w:val="28"/>
          <w:rtl/>
        </w:rPr>
        <w:t xml:space="preserve"> مثل قصة تحريم النبي العسل على نفسه أو تحريم معاشرة مارية القبطية على نفسه</w:t>
      </w:r>
      <w:r w:rsidR="00217AB4" w:rsidRPr="003F3B94">
        <w:rPr>
          <w:rFonts w:ascii="Abo-thar" w:hAnsi="Abo-thar" w:hint="cs"/>
          <w:sz w:val="28"/>
          <w:rtl/>
        </w:rPr>
        <w:t>،</w:t>
      </w:r>
      <w:r w:rsidRPr="003F3B94">
        <w:rPr>
          <w:rFonts w:ascii="Abo-thar" w:hAnsi="Abo-thar" w:hint="cs"/>
          <w:sz w:val="28"/>
          <w:rtl/>
        </w:rPr>
        <w:t xml:space="preserve"> والتي عاتبه عليها ربه </w:t>
      </w:r>
      <w:r w:rsidRPr="003F3B94">
        <w:rPr>
          <w:rFonts w:cs="Times New Roman" w:hint="cs"/>
          <w:sz w:val="28"/>
          <w:rtl/>
        </w:rPr>
        <w:t>–</w:t>
      </w:r>
      <w:r w:rsidRPr="003F3B94">
        <w:rPr>
          <w:rFonts w:ascii="Abo-thar" w:hAnsi="Abo-thar" w:hint="cs"/>
          <w:sz w:val="28"/>
          <w:rtl/>
        </w:rPr>
        <w:t xml:space="preserve"> إذ لم يكن فيها أي مصلحة </w:t>
      </w:r>
      <w:r w:rsidRPr="003F3B94">
        <w:rPr>
          <w:rFonts w:cs="Times New Roman" w:hint="cs"/>
          <w:sz w:val="28"/>
          <w:rtl/>
        </w:rPr>
        <w:t>–</w:t>
      </w:r>
      <w:r w:rsidRPr="003F3B94">
        <w:rPr>
          <w:rFonts w:ascii="Abo-thar" w:hAnsi="Abo-thar" w:hint="cs"/>
          <w:sz w:val="28"/>
          <w:rtl/>
        </w:rPr>
        <w:t xml:space="preserve"> فقال له سبحانه</w:t>
      </w:r>
      <w:r w:rsidR="00217AB4" w:rsidRPr="003F3B94">
        <w:rPr>
          <w:rFonts w:ascii="Abo-thar" w:hAnsi="Abo-thar" w:hint="cs"/>
          <w:sz w:val="28"/>
          <w:rtl/>
        </w:rPr>
        <w:t>:</w:t>
      </w:r>
      <w:r w:rsidR="006C78B4" w:rsidRPr="003F3B94">
        <w:rPr>
          <w:rFonts w:ascii="Abo-thar" w:hAnsi="Abo-thar" w:hint="cs"/>
          <w:sz w:val="28"/>
          <w:rtl/>
        </w:rPr>
        <w:t xml:space="preserve"> </w:t>
      </w:r>
      <w:r w:rsidR="006C78B4" w:rsidRPr="00995B26">
        <w:rPr>
          <w:rFonts w:ascii="Abo-thar" w:hAnsi="Abo-thar" w:cs="Traditional Arabic" w:hint="cs"/>
          <w:sz w:val="28"/>
          <w:rtl/>
        </w:rPr>
        <w:t>﴿</w:t>
      </w:r>
      <w:r w:rsidR="006C78B4" w:rsidRPr="00995B26">
        <w:rPr>
          <w:rFonts w:ascii="KFGQPC Uthmanic Script HAFS" w:cs="KFGQPC Uthmanic Script HAFS" w:hint="eastAsia"/>
          <w:sz w:val="29"/>
          <w:szCs w:val="29"/>
          <w:rtl/>
        </w:rPr>
        <w:t>يَ</w:t>
      </w:r>
      <w:r w:rsidR="006C78B4" w:rsidRPr="00995B26">
        <w:rPr>
          <w:rFonts w:ascii="KFGQPC Uthmanic Script HAFS" w:cs="KFGQPC Uthmanic Script HAFS" w:hint="cs"/>
          <w:sz w:val="29"/>
          <w:szCs w:val="29"/>
          <w:rtl/>
        </w:rPr>
        <w:t>ٰٓ</w:t>
      </w:r>
      <w:r w:rsidR="006C78B4" w:rsidRPr="00995B26">
        <w:rPr>
          <w:rFonts w:ascii="KFGQPC Uthmanic Script HAFS" w:cs="KFGQPC Uthmanic Script HAFS" w:hint="eastAsia"/>
          <w:sz w:val="29"/>
          <w:szCs w:val="29"/>
          <w:rtl/>
        </w:rPr>
        <w:t>أَيُّهَا</w:t>
      </w:r>
      <w:r w:rsidR="006C78B4" w:rsidRPr="00995B26">
        <w:rPr>
          <w:rFonts w:ascii="KFGQPC Uthmanic Script HAFS" w:cs="KFGQPC Uthmanic Script HAFS"/>
          <w:sz w:val="29"/>
          <w:szCs w:val="29"/>
          <w:rtl/>
        </w:rPr>
        <w:t xml:space="preserve"> </w:t>
      </w:r>
      <w:r w:rsidR="006C78B4" w:rsidRPr="00995B26">
        <w:rPr>
          <w:rFonts w:ascii="KFGQPC Uthmanic Script HAFS" w:cs="KFGQPC Uthmanic Script HAFS" w:hint="cs"/>
          <w:sz w:val="29"/>
          <w:szCs w:val="29"/>
          <w:rtl/>
        </w:rPr>
        <w:t>ٱ</w:t>
      </w:r>
      <w:r w:rsidR="006C78B4" w:rsidRPr="00995B26">
        <w:rPr>
          <w:rFonts w:ascii="KFGQPC Uthmanic Script HAFS" w:cs="KFGQPC Uthmanic Script HAFS" w:hint="eastAsia"/>
          <w:sz w:val="29"/>
          <w:szCs w:val="29"/>
          <w:rtl/>
        </w:rPr>
        <w:t>لنَّبِيُّ</w:t>
      </w:r>
      <w:r w:rsidR="006C78B4" w:rsidRPr="00995B26">
        <w:rPr>
          <w:rFonts w:ascii="KFGQPC Uthmanic Script HAFS" w:cs="KFGQPC Uthmanic Script HAFS"/>
          <w:sz w:val="29"/>
          <w:szCs w:val="29"/>
          <w:rtl/>
        </w:rPr>
        <w:t xml:space="preserve"> </w:t>
      </w:r>
      <w:r w:rsidR="006C78B4" w:rsidRPr="00995B26">
        <w:rPr>
          <w:rFonts w:ascii="KFGQPC Uthmanic Script HAFS" w:cs="KFGQPC Uthmanic Script HAFS" w:hint="eastAsia"/>
          <w:sz w:val="29"/>
          <w:szCs w:val="29"/>
          <w:rtl/>
        </w:rPr>
        <w:t>لِمَ</w:t>
      </w:r>
      <w:r w:rsidR="006C78B4" w:rsidRPr="00995B26">
        <w:rPr>
          <w:rFonts w:ascii="KFGQPC Uthmanic Script HAFS" w:cs="KFGQPC Uthmanic Script HAFS"/>
          <w:sz w:val="29"/>
          <w:szCs w:val="29"/>
          <w:rtl/>
        </w:rPr>
        <w:t xml:space="preserve"> </w:t>
      </w:r>
      <w:r w:rsidR="006C78B4" w:rsidRPr="00995B26">
        <w:rPr>
          <w:rFonts w:ascii="KFGQPC Uthmanic Script HAFS" w:cs="KFGQPC Uthmanic Script HAFS" w:hint="eastAsia"/>
          <w:sz w:val="29"/>
          <w:szCs w:val="29"/>
          <w:rtl/>
        </w:rPr>
        <w:t>تُحَرِّمُ</w:t>
      </w:r>
      <w:r w:rsidR="006C78B4" w:rsidRPr="00995B26">
        <w:rPr>
          <w:rFonts w:ascii="KFGQPC Uthmanic Script HAFS" w:cs="KFGQPC Uthmanic Script HAFS"/>
          <w:sz w:val="29"/>
          <w:szCs w:val="29"/>
          <w:rtl/>
        </w:rPr>
        <w:t xml:space="preserve"> </w:t>
      </w:r>
      <w:r w:rsidR="006C78B4" w:rsidRPr="00995B26">
        <w:rPr>
          <w:rFonts w:ascii="KFGQPC Uthmanic Script HAFS" w:cs="KFGQPC Uthmanic Script HAFS" w:hint="eastAsia"/>
          <w:sz w:val="29"/>
          <w:szCs w:val="29"/>
          <w:rtl/>
        </w:rPr>
        <w:t>مَا</w:t>
      </w:r>
      <w:r w:rsidR="006C78B4" w:rsidRPr="00995B26">
        <w:rPr>
          <w:rFonts w:ascii="KFGQPC Uthmanic Script HAFS" w:cs="KFGQPC Uthmanic Script HAFS" w:hint="cs"/>
          <w:sz w:val="29"/>
          <w:szCs w:val="29"/>
          <w:rtl/>
        </w:rPr>
        <w:t>ٓ</w:t>
      </w:r>
      <w:r w:rsidR="006C78B4" w:rsidRPr="00995B26">
        <w:rPr>
          <w:rFonts w:ascii="KFGQPC Uthmanic Script HAFS" w:cs="KFGQPC Uthmanic Script HAFS"/>
          <w:sz w:val="29"/>
          <w:szCs w:val="29"/>
          <w:rtl/>
        </w:rPr>
        <w:t xml:space="preserve"> </w:t>
      </w:r>
      <w:r w:rsidR="006C78B4" w:rsidRPr="00995B26">
        <w:rPr>
          <w:rFonts w:ascii="KFGQPC Uthmanic Script HAFS" w:cs="KFGQPC Uthmanic Script HAFS" w:hint="eastAsia"/>
          <w:sz w:val="29"/>
          <w:szCs w:val="29"/>
          <w:rtl/>
        </w:rPr>
        <w:t>أَحَلَّ</w:t>
      </w:r>
      <w:r w:rsidR="006C78B4" w:rsidRPr="00995B26">
        <w:rPr>
          <w:rFonts w:ascii="KFGQPC Uthmanic Script HAFS" w:cs="KFGQPC Uthmanic Script HAFS"/>
          <w:sz w:val="29"/>
          <w:szCs w:val="29"/>
          <w:rtl/>
        </w:rPr>
        <w:t xml:space="preserve"> </w:t>
      </w:r>
      <w:r w:rsidR="006C78B4" w:rsidRPr="00995B26">
        <w:rPr>
          <w:rFonts w:ascii="KFGQPC Uthmanic Script HAFS" w:cs="KFGQPC Uthmanic Script HAFS" w:hint="cs"/>
          <w:sz w:val="29"/>
          <w:szCs w:val="29"/>
          <w:rtl/>
        </w:rPr>
        <w:t>ٱ</w:t>
      </w:r>
      <w:r w:rsidR="006C78B4" w:rsidRPr="00995B26">
        <w:rPr>
          <w:rFonts w:ascii="KFGQPC Uthmanic Script HAFS" w:cs="KFGQPC Uthmanic Script HAFS" w:hint="eastAsia"/>
          <w:sz w:val="29"/>
          <w:szCs w:val="29"/>
          <w:rtl/>
        </w:rPr>
        <w:t>للَّهُ</w:t>
      </w:r>
      <w:r w:rsidR="006C78B4" w:rsidRPr="00995B26">
        <w:rPr>
          <w:rFonts w:ascii="KFGQPC Uthmanic Script HAFS" w:cs="KFGQPC Uthmanic Script HAFS"/>
          <w:sz w:val="29"/>
          <w:szCs w:val="29"/>
          <w:rtl/>
        </w:rPr>
        <w:t xml:space="preserve"> </w:t>
      </w:r>
      <w:r w:rsidR="006C78B4" w:rsidRPr="00995B26">
        <w:rPr>
          <w:rFonts w:ascii="KFGQPC Uthmanic Script HAFS" w:cs="KFGQPC Uthmanic Script HAFS" w:hint="eastAsia"/>
          <w:sz w:val="29"/>
          <w:szCs w:val="29"/>
          <w:rtl/>
        </w:rPr>
        <w:t>لَكَ</w:t>
      </w:r>
      <w:r w:rsidR="006C78B4" w:rsidRPr="00995B26">
        <w:rPr>
          <w:rFonts w:ascii="KFGQPC Uthmanic Script HAFS" w:cs="KFGQPC Uthmanic Script HAFS" w:hint="cs"/>
          <w:sz w:val="29"/>
          <w:szCs w:val="29"/>
          <w:rtl/>
        </w:rPr>
        <w:t>ۖ</w:t>
      </w:r>
      <w:r w:rsidR="006C78B4" w:rsidRPr="00995B26">
        <w:rPr>
          <w:rFonts w:ascii="KFGQPC Uthmanic Script HAFS" w:cs="KFGQPC Uthmanic Script HAFS"/>
          <w:sz w:val="29"/>
          <w:szCs w:val="29"/>
          <w:rtl/>
        </w:rPr>
        <w:t xml:space="preserve"> </w:t>
      </w:r>
      <w:r w:rsidR="006C78B4" w:rsidRPr="00995B26">
        <w:rPr>
          <w:rFonts w:ascii="KFGQPC Uthmanic Script HAFS" w:cs="KFGQPC Uthmanic Script HAFS" w:hint="eastAsia"/>
          <w:sz w:val="29"/>
          <w:szCs w:val="29"/>
          <w:rtl/>
        </w:rPr>
        <w:t>تَب</w:t>
      </w:r>
      <w:r w:rsidR="006C78B4" w:rsidRPr="00995B26">
        <w:rPr>
          <w:rFonts w:ascii="KFGQPC Uthmanic Script HAFS" w:cs="KFGQPC Uthmanic Script HAFS" w:hint="cs"/>
          <w:sz w:val="29"/>
          <w:szCs w:val="29"/>
          <w:rtl/>
        </w:rPr>
        <w:t>ۡ</w:t>
      </w:r>
      <w:r w:rsidR="006C78B4" w:rsidRPr="00995B26">
        <w:rPr>
          <w:rFonts w:ascii="KFGQPC Uthmanic Script HAFS" w:cs="KFGQPC Uthmanic Script HAFS" w:hint="eastAsia"/>
          <w:sz w:val="29"/>
          <w:szCs w:val="29"/>
          <w:rtl/>
        </w:rPr>
        <w:t>تَغِي</w:t>
      </w:r>
      <w:r w:rsidR="006C78B4" w:rsidRPr="00995B26">
        <w:rPr>
          <w:rFonts w:ascii="KFGQPC Uthmanic Script HAFS" w:cs="KFGQPC Uthmanic Script HAFS"/>
          <w:sz w:val="29"/>
          <w:szCs w:val="29"/>
          <w:rtl/>
        </w:rPr>
        <w:t xml:space="preserve"> </w:t>
      </w:r>
      <w:r w:rsidR="006C78B4" w:rsidRPr="00995B26">
        <w:rPr>
          <w:rFonts w:ascii="KFGQPC Uthmanic Script HAFS" w:cs="KFGQPC Uthmanic Script HAFS" w:hint="eastAsia"/>
          <w:sz w:val="29"/>
          <w:szCs w:val="29"/>
          <w:rtl/>
        </w:rPr>
        <w:t>مَر</w:t>
      </w:r>
      <w:r w:rsidR="006C78B4" w:rsidRPr="00995B26">
        <w:rPr>
          <w:rFonts w:ascii="KFGQPC Uthmanic Script HAFS" w:cs="KFGQPC Uthmanic Script HAFS" w:hint="cs"/>
          <w:sz w:val="29"/>
          <w:szCs w:val="29"/>
          <w:rtl/>
        </w:rPr>
        <w:t>ۡ</w:t>
      </w:r>
      <w:r w:rsidR="006C78B4" w:rsidRPr="00995B26">
        <w:rPr>
          <w:rFonts w:ascii="KFGQPC Uthmanic Script HAFS" w:cs="KFGQPC Uthmanic Script HAFS" w:hint="eastAsia"/>
          <w:sz w:val="29"/>
          <w:szCs w:val="29"/>
          <w:rtl/>
        </w:rPr>
        <w:t>ضَاتَ</w:t>
      </w:r>
      <w:r w:rsidR="006C78B4" w:rsidRPr="00995B26">
        <w:rPr>
          <w:rFonts w:ascii="KFGQPC Uthmanic Script HAFS" w:cs="KFGQPC Uthmanic Script HAFS"/>
          <w:sz w:val="29"/>
          <w:szCs w:val="29"/>
          <w:rtl/>
        </w:rPr>
        <w:t xml:space="preserve"> </w:t>
      </w:r>
      <w:r w:rsidR="006C78B4" w:rsidRPr="00995B26">
        <w:rPr>
          <w:rFonts w:ascii="KFGQPC Uthmanic Script HAFS" w:cs="KFGQPC Uthmanic Script HAFS" w:hint="eastAsia"/>
          <w:sz w:val="29"/>
          <w:szCs w:val="29"/>
          <w:rtl/>
        </w:rPr>
        <w:t>أَز</w:t>
      </w:r>
      <w:r w:rsidR="006C78B4" w:rsidRPr="00995B26">
        <w:rPr>
          <w:rFonts w:ascii="KFGQPC Uthmanic Script HAFS" w:cs="KFGQPC Uthmanic Script HAFS" w:hint="cs"/>
          <w:sz w:val="29"/>
          <w:szCs w:val="29"/>
          <w:rtl/>
        </w:rPr>
        <w:t>ۡ</w:t>
      </w:r>
      <w:r w:rsidR="006C78B4" w:rsidRPr="00995B26">
        <w:rPr>
          <w:rFonts w:ascii="KFGQPC Uthmanic Script HAFS" w:cs="KFGQPC Uthmanic Script HAFS" w:hint="eastAsia"/>
          <w:sz w:val="29"/>
          <w:szCs w:val="29"/>
          <w:rtl/>
        </w:rPr>
        <w:t>وَ</w:t>
      </w:r>
      <w:r w:rsidR="006C78B4" w:rsidRPr="00995B26">
        <w:rPr>
          <w:rFonts w:ascii="KFGQPC Uthmanic Script HAFS" w:cs="KFGQPC Uthmanic Script HAFS" w:hint="cs"/>
          <w:sz w:val="29"/>
          <w:szCs w:val="29"/>
          <w:rtl/>
        </w:rPr>
        <w:t>ٰ</w:t>
      </w:r>
      <w:r w:rsidR="006C78B4" w:rsidRPr="00995B26">
        <w:rPr>
          <w:rFonts w:ascii="KFGQPC Uthmanic Script HAFS" w:cs="KFGQPC Uthmanic Script HAFS" w:hint="eastAsia"/>
          <w:sz w:val="29"/>
          <w:szCs w:val="29"/>
          <w:rtl/>
        </w:rPr>
        <w:t>جِكَ</w:t>
      </w:r>
      <w:r w:rsidR="006C78B4" w:rsidRPr="00995B26">
        <w:rPr>
          <w:rFonts w:ascii="KFGQPC Uthmanic Script HAFS" w:cs="Times New Roman" w:hint="cs"/>
          <w:sz w:val="29"/>
          <w:szCs w:val="29"/>
          <w:rtl/>
        </w:rPr>
        <w:t>...</w:t>
      </w:r>
      <w:r w:rsidR="006C78B4" w:rsidRPr="00995B26">
        <w:rPr>
          <w:rFonts w:ascii="Abo-thar" w:hAnsi="Abo-thar" w:cs="Traditional Arabic" w:hint="cs"/>
          <w:sz w:val="28"/>
          <w:rtl/>
        </w:rPr>
        <w:t>﴾</w:t>
      </w:r>
      <w:r w:rsidRPr="00995B26">
        <w:rPr>
          <w:rFonts w:ascii="Abo-thar" w:hAnsi="Abo-thar" w:hint="cs"/>
          <w:sz w:val="28"/>
          <w:rtl/>
        </w:rPr>
        <w:t xml:space="preserve"> </w:t>
      </w:r>
      <w:r w:rsidRPr="003108CB">
        <w:rPr>
          <w:rStyle w:val="Char2"/>
          <w:rtl/>
        </w:rPr>
        <w:t>[التحريم</w:t>
      </w:r>
      <w:r w:rsidR="006C78B4" w:rsidRPr="003108CB">
        <w:rPr>
          <w:rStyle w:val="Char2"/>
          <w:rFonts w:hint="cs"/>
          <w:rtl/>
        </w:rPr>
        <w:t xml:space="preserve">: </w:t>
      </w:r>
      <w:r w:rsidRPr="003108CB">
        <w:rPr>
          <w:rStyle w:val="Char2"/>
          <w:rtl/>
        </w:rPr>
        <w:t>1]</w:t>
      </w:r>
      <w:r w:rsidR="00217AB4" w:rsidRPr="00995B26">
        <w:rPr>
          <w:rFonts w:ascii="Abo-thar" w:hAnsi="Abo-thar" w:hint="cs"/>
          <w:sz w:val="28"/>
          <w:rtl/>
          <w:lang w:bidi="ar-SY"/>
        </w:rPr>
        <w:t>،</w:t>
      </w:r>
      <w:r w:rsidRPr="00995B26">
        <w:rPr>
          <w:rFonts w:ascii="Abo-thar" w:hAnsi="Abo-thar" w:hint="cs"/>
          <w:sz w:val="28"/>
          <w:rtl/>
          <w:lang w:bidi="ar-SY"/>
        </w:rPr>
        <w:t xml:space="preserve"> أما سائر التحريمات التي حرمها رسول الله</w:t>
      </w:r>
      <w:r w:rsidR="00147857" w:rsidRPr="00995B26">
        <w:rPr>
          <w:rFonts w:ascii="Abo-thar" w:hAnsi="Abo-thar" w:hint="cs"/>
          <w:sz w:val="28"/>
          <w:rtl/>
          <w:lang w:bidi="ar-SY"/>
        </w:rPr>
        <w:t xml:space="preserve"> </w:t>
      </w:r>
      <w:r w:rsidR="003C7AEB" w:rsidRPr="003C7AEB">
        <w:rPr>
          <w:rFonts w:ascii="Abo-thar" w:hAnsi="Abo-thar" w:cs="CTraditional Arabic"/>
          <w:sz w:val="28"/>
          <w:rtl/>
          <w:lang w:bidi="ar-SY"/>
        </w:rPr>
        <w:t>ص</w:t>
      </w:r>
      <w:r w:rsidR="00147857" w:rsidRPr="00995B26">
        <w:rPr>
          <w:rFonts w:ascii="Abo-thar" w:hAnsi="Abo-thar"/>
          <w:sz w:val="28"/>
          <w:rtl/>
          <w:lang w:bidi="ar-SY"/>
        </w:rPr>
        <w:t xml:space="preserve"> </w:t>
      </w:r>
      <w:r w:rsidRPr="00995B26">
        <w:rPr>
          <w:rFonts w:ascii="Abo-thar" w:hAnsi="Abo-thar" w:hint="cs"/>
          <w:sz w:val="28"/>
          <w:rtl/>
        </w:rPr>
        <w:t>على نفسه كتحريمه على نفسه أكل البصل والثوم والكراث النيِّئ وأكل كل ما له رائحة كريهة</w:t>
      </w:r>
      <w:r w:rsidR="00217AB4" w:rsidRPr="00995B26">
        <w:rPr>
          <w:rFonts w:ascii="Abo-thar" w:hAnsi="Abo-thar" w:hint="cs"/>
          <w:sz w:val="28"/>
          <w:rtl/>
        </w:rPr>
        <w:t>،</w:t>
      </w:r>
      <w:r w:rsidRPr="00995B26">
        <w:rPr>
          <w:rFonts w:ascii="Abo-thar" w:hAnsi="Abo-thar" w:hint="cs"/>
          <w:sz w:val="28"/>
          <w:rtl/>
        </w:rPr>
        <w:t xml:space="preserve"> والأكل من الصدقة فلم ينهه الله تعالى عنها لأن فيها مصلحة لنفس الرسول</w:t>
      </w:r>
      <w:r w:rsidR="00147857" w:rsidRPr="00995B26">
        <w:rPr>
          <w:rFonts w:ascii="Abo-thar" w:hAnsi="Abo-thar" w:hint="cs"/>
          <w:sz w:val="28"/>
          <w:rtl/>
        </w:rPr>
        <w:t xml:space="preserve"> </w:t>
      </w:r>
      <w:r w:rsidR="003C7AEB" w:rsidRPr="003C7AEB">
        <w:rPr>
          <w:rFonts w:ascii="Abo-thar" w:hAnsi="Abo-thar" w:cs="CTraditional Arabic"/>
          <w:sz w:val="28"/>
          <w:rtl/>
          <w:lang w:bidi="ar-SY"/>
        </w:rPr>
        <w:t>ص</w:t>
      </w:r>
      <w:r w:rsidR="00217AB4" w:rsidRPr="00995B26">
        <w:rPr>
          <w:rFonts w:ascii="Abo-thar" w:hAnsi="Abo-thar"/>
          <w:sz w:val="28"/>
          <w:rtl/>
          <w:lang w:bidi="ar-SY"/>
        </w:rPr>
        <w:t>.</w:t>
      </w:r>
      <w:r w:rsidRPr="00995B26">
        <w:rPr>
          <w:rFonts w:ascii="Abo-thar" w:hAnsi="Abo-thar" w:hint="cs"/>
          <w:sz w:val="28"/>
          <w:rtl/>
        </w:rPr>
        <w:t xml:space="preserve"> ويوجد أمثلة ونظائر لمثل هذه الحوادث في أنبياء الأمم السالفة</w:t>
      </w:r>
      <w:r w:rsidR="00217AB4" w:rsidRPr="00995B26">
        <w:rPr>
          <w:rFonts w:ascii="Abo-thar" w:hAnsi="Abo-thar" w:hint="cs"/>
          <w:sz w:val="28"/>
          <w:rtl/>
        </w:rPr>
        <w:t>،</w:t>
      </w:r>
      <w:r w:rsidRPr="00995B26">
        <w:rPr>
          <w:rFonts w:ascii="Abo-thar" w:hAnsi="Abo-thar" w:hint="cs"/>
          <w:sz w:val="28"/>
          <w:rtl/>
        </w:rPr>
        <w:t xml:space="preserve"> حيث كان النبي من الأنبياء يحرم أحياناً على نفسه شيئاً لمصلحة أقل بكثير</w:t>
      </w:r>
      <w:r w:rsidR="00217AB4" w:rsidRPr="00995B26">
        <w:rPr>
          <w:rFonts w:ascii="Abo-thar" w:hAnsi="Abo-thar" w:hint="cs"/>
          <w:sz w:val="28"/>
          <w:rtl/>
        </w:rPr>
        <w:t>،</w:t>
      </w:r>
      <w:r w:rsidRPr="00995B26">
        <w:rPr>
          <w:rFonts w:ascii="Abo-thar" w:hAnsi="Abo-thar" w:hint="cs"/>
          <w:sz w:val="28"/>
          <w:rtl/>
        </w:rPr>
        <w:t xml:space="preserve"> ولكن هذا التحريم كان يأخذ مع الأسف جانباً تشريعياً ويعتبره أتباع ذلك النبي من الفرائض الواجبة</w:t>
      </w:r>
      <w:r w:rsidR="00217AB4" w:rsidRPr="00995B26">
        <w:rPr>
          <w:rFonts w:ascii="Abo-thar" w:hAnsi="Abo-thar" w:hint="cs"/>
          <w:sz w:val="28"/>
          <w:rtl/>
        </w:rPr>
        <w:t>،</w:t>
      </w:r>
      <w:r w:rsidRPr="00995B26">
        <w:rPr>
          <w:rFonts w:ascii="Abo-thar" w:hAnsi="Abo-thar" w:hint="cs"/>
          <w:sz w:val="28"/>
          <w:rtl/>
        </w:rPr>
        <w:t xml:space="preserve"> مع أن النبيَّ لم يقصد أبداً ذلك الأمر</w:t>
      </w:r>
      <w:r w:rsidR="00217AB4" w:rsidRPr="00995B26">
        <w:rPr>
          <w:rFonts w:ascii="Abo-thar" w:hAnsi="Abo-thar" w:hint="cs"/>
          <w:sz w:val="28"/>
          <w:rtl/>
        </w:rPr>
        <w:t>.</w:t>
      </w:r>
      <w:r w:rsidRPr="00995B26">
        <w:rPr>
          <w:rFonts w:ascii="Abo-thar" w:hAnsi="Abo-thar" w:hint="cs"/>
          <w:sz w:val="28"/>
          <w:rtl/>
        </w:rPr>
        <w:t xml:space="preserve"> </w:t>
      </w:r>
    </w:p>
    <w:p w:rsidR="005C664D" w:rsidRDefault="005C664D" w:rsidP="003E3D26">
      <w:pPr>
        <w:pStyle w:val="a0"/>
        <w:rPr>
          <w:rFonts w:hint="cs"/>
          <w:rtl/>
          <w:lang w:bidi="ar-SY"/>
        </w:rPr>
      </w:pPr>
      <w:r w:rsidRPr="003F3B94">
        <w:rPr>
          <w:rFonts w:ascii="Abo-thar" w:hAnsi="Abo-thar" w:hint="cs"/>
          <w:sz w:val="28"/>
          <w:rtl/>
        </w:rPr>
        <w:t xml:space="preserve">من ذلك تحريم إسرائيل </w:t>
      </w:r>
      <w:r w:rsidR="00217AB4" w:rsidRPr="003F3B94">
        <w:rPr>
          <w:rFonts w:ascii="Abo-thar" w:hAnsi="Abo-thar" w:hint="cs"/>
          <w:sz w:val="28"/>
          <w:rtl/>
        </w:rPr>
        <w:t>(</w:t>
      </w:r>
      <w:r w:rsidRPr="003F3B94">
        <w:rPr>
          <w:rFonts w:ascii="Abo-thar" w:hAnsi="Abo-thar" w:hint="cs"/>
          <w:sz w:val="28"/>
          <w:rtl/>
        </w:rPr>
        <w:t>أي النبي يعقوب</w:t>
      </w:r>
      <w:r w:rsidR="00217AB4" w:rsidRPr="003F3B94">
        <w:rPr>
          <w:rFonts w:ascii="Abo-thar" w:hAnsi="Abo-thar" w:hint="cs"/>
          <w:sz w:val="28"/>
          <w:rtl/>
        </w:rPr>
        <w:t>)</w:t>
      </w:r>
      <w:r w:rsidRPr="003F3B94">
        <w:rPr>
          <w:rFonts w:ascii="Abo-thar" w:hAnsi="Abo-thar" w:hint="cs"/>
          <w:sz w:val="28"/>
          <w:rtl/>
        </w:rPr>
        <w:t xml:space="preserve"> لحم الجمل على نفسه</w:t>
      </w:r>
      <w:r w:rsidR="00217AB4" w:rsidRPr="003F3B94">
        <w:rPr>
          <w:rFonts w:ascii="Abo-thar" w:hAnsi="Abo-thar" w:hint="cs"/>
          <w:sz w:val="28"/>
          <w:rtl/>
        </w:rPr>
        <w:t>،</w:t>
      </w:r>
      <w:r w:rsidRPr="003F3B94">
        <w:rPr>
          <w:rFonts w:ascii="Abo-thar" w:hAnsi="Abo-thar" w:hint="cs"/>
          <w:sz w:val="28"/>
          <w:rtl/>
        </w:rPr>
        <w:t xml:space="preserve"> لأن الأكل منه كان مضرّاً بسلامته</w:t>
      </w:r>
      <w:r w:rsidR="00217AB4" w:rsidRPr="003F3B94">
        <w:rPr>
          <w:rFonts w:ascii="Abo-thar" w:hAnsi="Abo-thar" w:hint="cs"/>
          <w:sz w:val="28"/>
          <w:rtl/>
        </w:rPr>
        <w:t>،</w:t>
      </w:r>
      <w:r w:rsidRPr="003F3B94">
        <w:rPr>
          <w:rFonts w:ascii="Abo-thar" w:hAnsi="Abo-thar" w:hint="cs"/>
          <w:sz w:val="28"/>
          <w:rtl/>
        </w:rPr>
        <w:t xml:space="preserve"> وفي هذا نقرأ قوله تعالى</w:t>
      </w:r>
      <w:r w:rsidR="00217AB4" w:rsidRPr="003F3B94">
        <w:rPr>
          <w:rFonts w:ascii="Abo-thar" w:hAnsi="Abo-thar" w:hint="cs"/>
          <w:sz w:val="28"/>
          <w:rtl/>
        </w:rPr>
        <w:t>:</w:t>
      </w:r>
      <w:r w:rsidR="006C78B4" w:rsidRPr="003F3B94">
        <w:rPr>
          <w:rFonts w:ascii="Abo-thar" w:hAnsi="Abo-thar" w:hint="cs"/>
          <w:sz w:val="28"/>
          <w:rtl/>
        </w:rPr>
        <w:t xml:space="preserve"> </w:t>
      </w:r>
      <w:r w:rsidR="006C78B4" w:rsidRPr="00995B26">
        <w:rPr>
          <w:rFonts w:ascii="Abo-thar" w:hAnsi="Abo-thar" w:cs="Traditional Arabic" w:hint="cs"/>
          <w:sz w:val="28"/>
          <w:rtl/>
        </w:rPr>
        <w:t>﴿</w:t>
      </w:r>
      <w:r w:rsidR="006C78B4" w:rsidRPr="0067048A">
        <w:rPr>
          <w:rFonts w:ascii="KFGQPC Uthmanic Script HAFS" w:cs="KFGQPC Uthmanic Script HAFS" w:hint="eastAsia"/>
          <w:sz w:val="28"/>
          <w:szCs w:val="28"/>
          <w:rtl/>
        </w:rPr>
        <w:t>كُلُّ</w:t>
      </w:r>
      <w:r w:rsidR="006C78B4" w:rsidRPr="0067048A">
        <w:rPr>
          <w:rFonts w:ascii="KFGQPC Uthmanic Script HAFS" w:cs="KFGQPC Uthmanic Script HAFS"/>
          <w:sz w:val="28"/>
          <w:szCs w:val="28"/>
          <w:rtl/>
        </w:rPr>
        <w:t xml:space="preserve"> </w:t>
      </w:r>
      <w:r w:rsidR="006C78B4" w:rsidRPr="0067048A">
        <w:rPr>
          <w:rFonts w:ascii="KFGQPC Uthmanic Script HAFS" w:cs="KFGQPC Uthmanic Script HAFS" w:hint="cs"/>
          <w:sz w:val="28"/>
          <w:szCs w:val="28"/>
          <w:rtl/>
        </w:rPr>
        <w:t>ٱ</w:t>
      </w:r>
      <w:r w:rsidR="006C78B4" w:rsidRPr="0067048A">
        <w:rPr>
          <w:rFonts w:ascii="KFGQPC Uthmanic Script HAFS" w:cs="KFGQPC Uthmanic Script HAFS" w:hint="eastAsia"/>
          <w:sz w:val="28"/>
          <w:szCs w:val="28"/>
          <w:rtl/>
        </w:rPr>
        <w:t>لطَّعَامِ</w:t>
      </w:r>
      <w:r w:rsidR="006C78B4" w:rsidRPr="0067048A">
        <w:rPr>
          <w:rFonts w:ascii="KFGQPC Uthmanic Script HAFS" w:cs="KFGQPC Uthmanic Script HAFS"/>
          <w:sz w:val="28"/>
          <w:szCs w:val="28"/>
          <w:rtl/>
        </w:rPr>
        <w:t xml:space="preserve"> </w:t>
      </w:r>
      <w:r w:rsidR="006C78B4" w:rsidRPr="0067048A">
        <w:rPr>
          <w:rFonts w:ascii="KFGQPC Uthmanic Script HAFS" w:cs="KFGQPC Uthmanic Script HAFS" w:hint="eastAsia"/>
          <w:sz w:val="28"/>
          <w:szCs w:val="28"/>
          <w:rtl/>
        </w:rPr>
        <w:t>كَانَ</w:t>
      </w:r>
      <w:r w:rsidR="006C78B4" w:rsidRPr="0067048A">
        <w:rPr>
          <w:rFonts w:ascii="KFGQPC Uthmanic Script HAFS" w:cs="KFGQPC Uthmanic Script HAFS"/>
          <w:sz w:val="28"/>
          <w:szCs w:val="28"/>
          <w:rtl/>
        </w:rPr>
        <w:t xml:space="preserve"> </w:t>
      </w:r>
      <w:r w:rsidR="006C78B4" w:rsidRPr="0067048A">
        <w:rPr>
          <w:rFonts w:ascii="KFGQPC Uthmanic Script HAFS" w:cs="KFGQPC Uthmanic Script HAFS" w:hint="eastAsia"/>
          <w:sz w:val="28"/>
          <w:szCs w:val="28"/>
          <w:rtl/>
        </w:rPr>
        <w:t>حِلّ</w:t>
      </w:r>
      <w:r w:rsidR="006C78B4" w:rsidRPr="0067048A">
        <w:rPr>
          <w:rFonts w:ascii="KFGQPC Uthmanic Script HAFS" w:cs="KFGQPC Uthmanic Script HAFS" w:hint="cs"/>
          <w:sz w:val="28"/>
          <w:szCs w:val="28"/>
          <w:rtl/>
        </w:rPr>
        <w:t>ٗ</w:t>
      </w:r>
      <w:r w:rsidR="006C78B4" w:rsidRPr="0067048A">
        <w:rPr>
          <w:rFonts w:ascii="KFGQPC Uthmanic Script HAFS" w:cs="KFGQPC Uthmanic Script HAFS" w:hint="eastAsia"/>
          <w:sz w:val="28"/>
          <w:szCs w:val="28"/>
          <w:rtl/>
        </w:rPr>
        <w:t>ا</w:t>
      </w:r>
      <w:r w:rsidR="006C78B4" w:rsidRPr="0067048A">
        <w:rPr>
          <w:rFonts w:ascii="KFGQPC Uthmanic Script HAFS" w:cs="KFGQPC Uthmanic Script HAFS"/>
          <w:sz w:val="28"/>
          <w:szCs w:val="28"/>
          <w:rtl/>
        </w:rPr>
        <w:t xml:space="preserve"> </w:t>
      </w:r>
      <w:r w:rsidR="006C78B4" w:rsidRPr="0067048A">
        <w:rPr>
          <w:rFonts w:ascii="KFGQPC Uthmanic Script HAFS" w:cs="KFGQPC Uthmanic Script HAFS" w:hint="eastAsia"/>
          <w:sz w:val="28"/>
          <w:szCs w:val="28"/>
          <w:rtl/>
        </w:rPr>
        <w:t>لِّبَنِي</w:t>
      </w:r>
      <w:r w:rsidR="006C78B4" w:rsidRPr="0067048A">
        <w:rPr>
          <w:rFonts w:ascii="KFGQPC Uthmanic Script HAFS" w:cs="KFGQPC Uthmanic Script HAFS" w:hint="cs"/>
          <w:sz w:val="28"/>
          <w:szCs w:val="28"/>
          <w:rtl/>
        </w:rPr>
        <w:t>ٓ</w:t>
      </w:r>
      <w:r w:rsidR="006C78B4" w:rsidRPr="0067048A">
        <w:rPr>
          <w:rFonts w:ascii="KFGQPC Uthmanic Script HAFS" w:cs="KFGQPC Uthmanic Script HAFS"/>
          <w:sz w:val="28"/>
          <w:szCs w:val="28"/>
          <w:rtl/>
        </w:rPr>
        <w:t xml:space="preserve"> </w:t>
      </w:r>
      <w:r w:rsidR="006C78B4" w:rsidRPr="0067048A">
        <w:rPr>
          <w:rFonts w:ascii="KFGQPC Uthmanic Script HAFS" w:cs="KFGQPC Uthmanic Script HAFS" w:hint="eastAsia"/>
          <w:sz w:val="28"/>
          <w:szCs w:val="28"/>
          <w:rtl/>
        </w:rPr>
        <w:t>إِس</w:t>
      </w:r>
      <w:r w:rsidR="006C78B4" w:rsidRPr="0067048A">
        <w:rPr>
          <w:rFonts w:ascii="KFGQPC Uthmanic Script HAFS" w:cs="KFGQPC Uthmanic Script HAFS" w:hint="cs"/>
          <w:sz w:val="28"/>
          <w:szCs w:val="28"/>
          <w:rtl/>
        </w:rPr>
        <w:t>ۡ</w:t>
      </w:r>
      <w:r w:rsidR="006C78B4" w:rsidRPr="0067048A">
        <w:rPr>
          <w:rFonts w:ascii="KFGQPC Uthmanic Script HAFS" w:cs="KFGQPC Uthmanic Script HAFS" w:hint="eastAsia"/>
          <w:sz w:val="28"/>
          <w:szCs w:val="28"/>
          <w:rtl/>
        </w:rPr>
        <w:t>رَ</w:t>
      </w:r>
      <w:r w:rsidR="006C78B4" w:rsidRPr="0067048A">
        <w:rPr>
          <w:rFonts w:ascii="KFGQPC Uthmanic Script HAFS" w:cs="KFGQPC Uthmanic Script HAFS" w:hint="cs"/>
          <w:sz w:val="28"/>
          <w:szCs w:val="28"/>
          <w:rtl/>
        </w:rPr>
        <w:t>ٰٓ</w:t>
      </w:r>
      <w:r w:rsidR="006C78B4" w:rsidRPr="0067048A">
        <w:rPr>
          <w:rFonts w:ascii="KFGQPC Uthmanic Script HAFS" w:cs="KFGQPC Uthmanic Script HAFS" w:hint="eastAsia"/>
          <w:sz w:val="28"/>
          <w:szCs w:val="28"/>
          <w:rtl/>
        </w:rPr>
        <w:t>ءِيلَ</w:t>
      </w:r>
      <w:r w:rsidR="006C78B4" w:rsidRPr="0067048A">
        <w:rPr>
          <w:rFonts w:ascii="KFGQPC Uthmanic Script HAFS" w:cs="KFGQPC Uthmanic Script HAFS"/>
          <w:sz w:val="28"/>
          <w:szCs w:val="28"/>
          <w:rtl/>
        </w:rPr>
        <w:t xml:space="preserve"> </w:t>
      </w:r>
      <w:r w:rsidR="006C78B4" w:rsidRPr="0067048A">
        <w:rPr>
          <w:rFonts w:ascii="KFGQPC Uthmanic Script HAFS" w:cs="KFGQPC Uthmanic Script HAFS" w:hint="eastAsia"/>
          <w:sz w:val="28"/>
          <w:szCs w:val="28"/>
          <w:rtl/>
        </w:rPr>
        <w:t>إِلَّا</w:t>
      </w:r>
      <w:r w:rsidR="006C78B4" w:rsidRPr="0067048A">
        <w:rPr>
          <w:rFonts w:ascii="KFGQPC Uthmanic Script HAFS" w:cs="KFGQPC Uthmanic Script HAFS"/>
          <w:sz w:val="28"/>
          <w:szCs w:val="28"/>
          <w:rtl/>
        </w:rPr>
        <w:t xml:space="preserve"> </w:t>
      </w:r>
      <w:r w:rsidR="006C78B4" w:rsidRPr="0067048A">
        <w:rPr>
          <w:rFonts w:ascii="KFGQPC Uthmanic Script HAFS" w:cs="KFGQPC Uthmanic Script HAFS" w:hint="eastAsia"/>
          <w:sz w:val="28"/>
          <w:szCs w:val="28"/>
          <w:rtl/>
        </w:rPr>
        <w:t>مَا</w:t>
      </w:r>
      <w:r w:rsidR="006C78B4" w:rsidRPr="0067048A">
        <w:rPr>
          <w:rFonts w:ascii="KFGQPC Uthmanic Script HAFS" w:cs="KFGQPC Uthmanic Script HAFS"/>
          <w:sz w:val="28"/>
          <w:szCs w:val="28"/>
          <w:rtl/>
        </w:rPr>
        <w:t xml:space="preserve"> </w:t>
      </w:r>
      <w:r w:rsidR="006C78B4" w:rsidRPr="0067048A">
        <w:rPr>
          <w:rFonts w:ascii="KFGQPC Uthmanic Script HAFS" w:cs="KFGQPC Uthmanic Script HAFS" w:hint="eastAsia"/>
          <w:sz w:val="28"/>
          <w:szCs w:val="28"/>
          <w:rtl/>
        </w:rPr>
        <w:t>حَرَّمَ</w:t>
      </w:r>
      <w:r w:rsidR="006C78B4" w:rsidRPr="0067048A">
        <w:rPr>
          <w:rFonts w:ascii="KFGQPC Uthmanic Script HAFS" w:cs="KFGQPC Uthmanic Script HAFS"/>
          <w:sz w:val="28"/>
          <w:szCs w:val="28"/>
          <w:rtl/>
        </w:rPr>
        <w:t xml:space="preserve"> </w:t>
      </w:r>
      <w:r w:rsidR="006C78B4" w:rsidRPr="0067048A">
        <w:rPr>
          <w:rFonts w:ascii="KFGQPC Uthmanic Script HAFS" w:cs="KFGQPC Uthmanic Script HAFS" w:hint="eastAsia"/>
          <w:sz w:val="28"/>
          <w:szCs w:val="28"/>
          <w:rtl/>
        </w:rPr>
        <w:t>إِس</w:t>
      </w:r>
      <w:r w:rsidR="006C78B4" w:rsidRPr="0067048A">
        <w:rPr>
          <w:rFonts w:ascii="KFGQPC Uthmanic Script HAFS" w:cs="KFGQPC Uthmanic Script HAFS" w:hint="cs"/>
          <w:sz w:val="28"/>
          <w:szCs w:val="28"/>
          <w:rtl/>
        </w:rPr>
        <w:t>ۡ</w:t>
      </w:r>
      <w:r w:rsidR="006C78B4" w:rsidRPr="0067048A">
        <w:rPr>
          <w:rFonts w:ascii="KFGQPC Uthmanic Script HAFS" w:cs="KFGQPC Uthmanic Script HAFS" w:hint="eastAsia"/>
          <w:sz w:val="28"/>
          <w:szCs w:val="28"/>
          <w:rtl/>
        </w:rPr>
        <w:t>رَ</w:t>
      </w:r>
      <w:r w:rsidR="006C78B4" w:rsidRPr="0067048A">
        <w:rPr>
          <w:rFonts w:ascii="KFGQPC Uthmanic Script HAFS" w:cs="KFGQPC Uthmanic Script HAFS" w:hint="cs"/>
          <w:sz w:val="28"/>
          <w:szCs w:val="28"/>
          <w:rtl/>
        </w:rPr>
        <w:t>ٰٓ</w:t>
      </w:r>
      <w:r w:rsidR="006C78B4" w:rsidRPr="0067048A">
        <w:rPr>
          <w:rFonts w:ascii="KFGQPC Uthmanic Script HAFS" w:cs="KFGQPC Uthmanic Script HAFS" w:hint="eastAsia"/>
          <w:sz w:val="28"/>
          <w:szCs w:val="28"/>
          <w:rtl/>
        </w:rPr>
        <w:t>ءِيلُ</w:t>
      </w:r>
      <w:r w:rsidR="006C78B4" w:rsidRPr="0067048A">
        <w:rPr>
          <w:rFonts w:ascii="KFGQPC Uthmanic Script HAFS" w:cs="KFGQPC Uthmanic Script HAFS"/>
          <w:sz w:val="28"/>
          <w:szCs w:val="28"/>
          <w:rtl/>
        </w:rPr>
        <w:t xml:space="preserve"> </w:t>
      </w:r>
      <w:r w:rsidR="006C78B4" w:rsidRPr="0067048A">
        <w:rPr>
          <w:rFonts w:ascii="KFGQPC Uthmanic Script HAFS" w:cs="KFGQPC Uthmanic Script HAFS" w:hint="eastAsia"/>
          <w:sz w:val="28"/>
          <w:szCs w:val="28"/>
          <w:rtl/>
        </w:rPr>
        <w:t>عَلَى</w:t>
      </w:r>
      <w:r w:rsidR="006C78B4" w:rsidRPr="0067048A">
        <w:rPr>
          <w:rFonts w:ascii="KFGQPC Uthmanic Script HAFS" w:cs="KFGQPC Uthmanic Script HAFS" w:hint="cs"/>
          <w:sz w:val="28"/>
          <w:szCs w:val="28"/>
          <w:rtl/>
        </w:rPr>
        <w:t>ٰ</w:t>
      </w:r>
      <w:r w:rsidR="006C78B4" w:rsidRPr="0067048A">
        <w:rPr>
          <w:rFonts w:ascii="KFGQPC Uthmanic Script HAFS" w:cs="KFGQPC Uthmanic Script HAFS"/>
          <w:sz w:val="28"/>
          <w:szCs w:val="28"/>
          <w:rtl/>
        </w:rPr>
        <w:t xml:space="preserve"> </w:t>
      </w:r>
      <w:r w:rsidR="006C78B4" w:rsidRPr="0067048A">
        <w:rPr>
          <w:rFonts w:ascii="KFGQPC Uthmanic Script HAFS" w:cs="KFGQPC Uthmanic Script HAFS" w:hint="eastAsia"/>
          <w:sz w:val="28"/>
          <w:szCs w:val="28"/>
          <w:rtl/>
        </w:rPr>
        <w:t>نَف</w:t>
      </w:r>
      <w:r w:rsidR="006C78B4" w:rsidRPr="0067048A">
        <w:rPr>
          <w:rFonts w:ascii="KFGQPC Uthmanic Script HAFS" w:cs="KFGQPC Uthmanic Script HAFS" w:hint="cs"/>
          <w:sz w:val="28"/>
          <w:szCs w:val="28"/>
          <w:rtl/>
        </w:rPr>
        <w:t>ۡ</w:t>
      </w:r>
      <w:r w:rsidR="006C78B4" w:rsidRPr="0067048A">
        <w:rPr>
          <w:rFonts w:ascii="KFGQPC Uthmanic Script HAFS" w:cs="KFGQPC Uthmanic Script HAFS" w:hint="eastAsia"/>
          <w:sz w:val="28"/>
          <w:szCs w:val="28"/>
          <w:rtl/>
        </w:rPr>
        <w:t>سِهِ</w:t>
      </w:r>
      <w:r w:rsidR="006C78B4" w:rsidRPr="0067048A">
        <w:rPr>
          <w:rFonts w:ascii="KFGQPC Uthmanic Script HAFS" w:cs="KFGQPC Uthmanic Script HAFS" w:hint="cs"/>
          <w:sz w:val="28"/>
          <w:szCs w:val="28"/>
          <w:rtl/>
        </w:rPr>
        <w:t>ۦ</w:t>
      </w:r>
      <w:r w:rsidR="006C78B4" w:rsidRPr="0067048A">
        <w:rPr>
          <w:rFonts w:ascii="KFGQPC Uthmanic Script HAFS" w:cs="KFGQPC Uthmanic Script HAFS"/>
          <w:sz w:val="28"/>
          <w:szCs w:val="28"/>
          <w:rtl/>
        </w:rPr>
        <w:t xml:space="preserve"> </w:t>
      </w:r>
      <w:r w:rsidR="006C78B4" w:rsidRPr="0067048A">
        <w:rPr>
          <w:rFonts w:ascii="KFGQPC Uthmanic Script HAFS" w:cs="KFGQPC Uthmanic Script HAFS" w:hint="eastAsia"/>
          <w:sz w:val="28"/>
          <w:szCs w:val="28"/>
          <w:rtl/>
        </w:rPr>
        <w:t>مِن</w:t>
      </w:r>
      <w:r w:rsidR="006C78B4" w:rsidRPr="0067048A">
        <w:rPr>
          <w:rFonts w:ascii="KFGQPC Uthmanic Script HAFS" w:cs="KFGQPC Uthmanic Script HAFS"/>
          <w:sz w:val="28"/>
          <w:szCs w:val="28"/>
          <w:rtl/>
        </w:rPr>
        <w:t xml:space="preserve"> </w:t>
      </w:r>
      <w:r w:rsidR="006C78B4" w:rsidRPr="0067048A">
        <w:rPr>
          <w:rFonts w:ascii="KFGQPC Uthmanic Script HAFS" w:cs="KFGQPC Uthmanic Script HAFS" w:hint="eastAsia"/>
          <w:sz w:val="28"/>
          <w:szCs w:val="28"/>
          <w:rtl/>
        </w:rPr>
        <w:t>قَب</w:t>
      </w:r>
      <w:r w:rsidR="006C78B4" w:rsidRPr="0067048A">
        <w:rPr>
          <w:rFonts w:ascii="KFGQPC Uthmanic Script HAFS" w:cs="KFGQPC Uthmanic Script HAFS" w:hint="cs"/>
          <w:sz w:val="28"/>
          <w:szCs w:val="28"/>
          <w:rtl/>
        </w:rPr>
        <w:t>ۡ</w:t>
      </w:r>
      <w:r w:rsidR="006C78B4" w:rsidRPr="0067048A">
        <w:rPr>
          <w:rFonts w:ascii="KFGQPC Uthmanic Script HAFS" w:cs="KFGQPC Uthmanic Script HAFS" w:hint="eastAsia"/>
          <w:sz w:val="28"/>
          <w:szCs w:val="28"/>
          <w:rtl/>
        </w:rPr>
        <w:t>لِ</w:t>
      </w:r>
      <w:r w:rsidR="006C78B4" w:rsidRPr="0067048A">
        <w:rPr>
          <w:rFonts w:ascii="KFGQPC Uthmanic Script HAFS" w:cs="KFGQPC Uthmanic Script HAFS"/>
          <w:sz w:val="28"/>
          <w:szCs w:val="28"/>
          <w:rtl/>
        </w:rPr>
        <w:t xml:space="preserve"> </w:t>
      </w:r>
      <w:r w:rsidR="006C78B4" w:rsidRPr="0067048A">
        <w:rPr>
          <w:rFonts w:ascii="KFGQPC Uthmanic Script HAFS" w:cs="KFGQPC Uthmanic Script HAFS" w:hint="eastAsia"/>
          <w:sz w:val="28"/>
          <w:szCs w:val="28"/>
          <w:rtl/>
        </w:rPr>
        <w:t>أَن</w:t>
      </w:r>
      <w:r w:rsidR="006C78B4" w:rsidRPr="0067048A">
        <w:rPr>
          <w:rFonts w:ascii="KFGQPC Uthmanic Script HAFS" w:cs="KFGQPC Uthmanic Script HAFS"/>
          <w:sz w:val="28"/>
          <w:szCs w:val="28"/>
          <w:rtl/>
        </w:rPr>
        <w:t xml:space="preserve"> </w:t>
      </w:r>
      <w:r w:rsidR="006C78B4" w:rsidRPr="0067048A">
        <w:rPr>
          <w:rFonts w:ascii="KFGQPC Uthmanic Script HAFS" w:cs="KFGQPC Uthmanic Script HAFS" w:hint="eastAsia"/>
          <w:sz w:val="28"/>
          <w:szCs w:val="28"/>
          <w:rtl/>
        </w:rPr>
        <w:t>تُنَزَّلَ</w:t>
      </w:r>
      <w:r w:rsidR="006C78B4" w:rsidRPr="0067048A">
        <w:rPr>
          <w:rFonts w:ascii="KFGQPC Uthmanic Script HAFS" w:cs="KFGQPC Uthmanic Script HAFS"/>
          <w:sz w:val="28"/>
          <w:szCs w:val="28"/>
          <w:rtl/>
        </w:rPr>
        <w:t xml:space="preserve"> </w:t>
      </w:r>
      <w:r w:rsidR="006C78B4" w:rsidRPr="0067048A">
        <w:rPr>
          <w:rFonts w:ascii="KFGQPC Uthmanic Script HAFS" w:cs="KFGQPC Uthmanic Script HAFS" w:hint="cs"/>
          <w:sz w:val="28"/>
          <w:szCs w:val="28"/>
          <w:rtl/>
        </w:rPr>
        <w:t>ٱ</w:t>
      </w:r>
      <w:r w:rsidR="006C78B4" w:rsidRPr="0067048A">
        <w:rPr>
          <w:rFonts w:ascii="KFGQPC Uthmanic Script HAFS" w:cs="KFGQPC Uthmanic Script HAFS" w:hint="eastAsia"/>
          <w:sz w:val="28"/>
          <w:szCs w:val="28"/>
          <w:rtl/>
        </w:rPr>
        <w:t>لتَّو</w:t>
      </w:r>
      <w:r w:rsidR="006C78B4" w:rsidRPr="0067048A">
        <w:rPr>
          <w:rFonts w:ascii="KFGQPC Uthmanic Script HAFS" w:cs="KFGQPC Uthmanic Script HAFS" w:hint="cs"/>
          <w:sz w:val="28"/>
          <w:szCs w:val="28"/>
          <w:rtl/>
        </w:rPr>
        <w:t>ۡ</w:t>
      </w:r>
      <w:r w:rsidR="006C78B4" w:rsidRPr="0067048A">
        <w:rPr>
          <w:rFonts w:ascii="KFGQPC Uthmanic Script HAFS" w:cs="KFGQPC Uthmanic Script HAFS" w:hint="eastAsia"/>
          <w:sz w:val="28"/>
          <w:szCs w:val="28"/>
          <w:rtl/>
        </w:rPr>
        <w:t>رَى</w:t>
      </w:r>
      <w:r w:rsidR="006C78B4" w:rsidRPr="0067048A">
        <w:rPr>
          <w:rFonts w:ascii="KFGQPC Uthmanic Script HAFS" w:cs="KFGQPC Uthmanic Script HAFS" w:hint="cs"/>
          <w:sz w:val="28"/>
          <w:szCs w:val="28"/>
          <w:rtl/>
        </w:rPr>
        <w:t>ٰ</w:t>
      </w:r>
      <w:r w:rsidR="006C78B4" w:rsidRPr="0067048A">
        <w:rPr>
          <w:rFonts w:ascii="KFGQPC Uthmanic Script HAFS" w:cs="KFGQPC Uthmanic Script HAFS" w:hint="eastAsia"/>
          <w:sz w:val="28"/>
          <w:szCs w:val="28"/>
          <w:rtl/>
        </w:rPr>
        <w:t>ةُ</w:t>
      </w:r>
      <w:r w:rsidR="006C78B4" w:rsidRPr="00995B26">
        <w:rPr>
          <w:rFonts w:ascii="KFGQPC Uthmanic Script HAFS" w:cs="Times New Roman" w:hint="cs"/>
          <w:sz w:val="28"/>
          <w:rtl/>
        </w:rPr>
        <w:t>...</w:t>
      </w:r>
      <w:r w:rsidR="006C78B4" w:rsidRPr="00995B26">
        <w:rPr>
          <w:rFonts w:ascii="Abo-thar" w:hAnsi="Abo-thar" w:cs="Traditional Arabic" w:hint="cs"/>
          <w:sz w:val="28"/>
          <w:rtl/>
        </w:rPr>
        <w:t>﴾</w:t>
      </w:r>
      <w:r w:rsidR="006C78B4" w:rsidRPr="00995B26">
        <w:rPr>
          <w:rFonts w:ascii="Abo-thar" w:hAnsi="Abo-thar" w:hint="cs"/>
          <w:sz w:val="28"/>
          <w:rtl/>
        </w:rPr>
        <w:t xml:space="preserve"> </w:t>
      </w:r>
      <w:r w:rsidRPr="003108CB">
        <w:rPr>
          <w:rStyle w:val="Char2"/>
          <w:rtl/>
        </w:rPr>
        <w:t>[آل عمران</w:t>
      </w:r>
      <w:r w:rsidR="006C78B4" w:rsidRPr="003108CB">
        <w:rPr>
          <w:rStyle w:val="Char2"/>
          <w:rFonts w:hint="cs"/>
          <w:rtl/>
        </w:rPr>
        <w:t xml:space="preserve">: </w:t>
      </w:r>
      <w:r w:rsidRPr="003108CB">
        <w:rPr>
          <w:rStyle w:val="Char2"/>
          <w:rtl/>
        </w:rPr>
        <w:t>93]</w:t>
      </w:r>
      <w:r w:rsidR="00217AB4" w:rsidRPr="00995B26">
        <w:rPr>
          <w:rFonts w:ascii="Abo-thar" w:hAnsi="Abo-thar" w:hint="cs"/>
          <w:sz w:val="28"/>
          <w:rtl/>
          <w:lang w:bidi="ar-SY"/>
        </w:rPr>
        <w:t>،</w:t>
      </w:r>
      <w:r w:rsidRPr="00995B26">
        <w:rPr>
          <w:rFonts w:ascii="Abo-thar" w:hAnsi="Abo-thar" w:hint="cs"/>
          <w:sz w:val="28"/>
          <w:rtl/>
          <w:lang w:bidi="ar-SY"/>
        </w:rPr>
        <w:t xml:space="preserve"> ولكن لسوء الحظ أعطى اليهود لهذا التحريم جانباً تشريعيّاً</w:t>
      </w:r>
      <w:r w:rsidR="00147857" w:rsidRPr="00995B26">
        <w:rPr>
          <w:rFonts w:ascii="Abo-thar" w:hAnsi="Abo-thar" w:hint="cs"/>
          <w:sz w:val="28"/>
          <w:rtl/>
          <w:lang w:bidi="ar-SY"/>
        </w:rPr>
        <w:t xml:space="preserve"> و</w:t>
      </w:r>
      <w:r w:rsidRPr="00995B26">
        <w:rPr>
          <w:rFonts w:ascii="Abo-thar" w:hAnsi="Abo-thar" w:hint="cs"/>
          <w:sz w:val="28"/>
          <w:rtl/>
          <w:lang w:bidi="ar-SY"/>
        </w:rPr>
        <w:t>اعتقدوا أنه حكم الله الأبدي فحرموا على أنفسهم أكل لحمل الجمل</w:t>
      </w:r>
      <w:r w:rsidR="00217AB4" w:rsidRPr="00995B26">
        <w:rPr>
          <w:rFonts w:ascii="Abo-thar" w:hAnsi="Abo-thar" w:hint="cs"/>
          <w:sz w:val="28"/>
          <w:rtl/>
          <w:lang w:bidi="ar-SY"/>
        </w:rPr>
        <w:t>!!!</w:t>
      </w:r>
      <w:r w:rsidR="00147857" w:rsidRPr="00995B26">
        <w:rPr>
          <w:rFonts w:ascii="Abo-thar" w:hAnsi="Abo-thar" w:hint="cs"/>
          <w:sz w:val="28"/>
          <w:rtl/>
          <w:lang w:bidi="ar-SY"/>
        </w:rPr>
        <w:t xml:space="preserve"> </w:t>
      </w:r>
      <w:r w:rsidRPr="00995B26">
        <w:rPr>
          <w:rFonts w:ascii="Abo-thar" w:hAnsi="Abo-thar" w:hint="cs"/>
          <w:sz w:val="28"/>
          <w:rtl/>
          <w:lang w:bidi="ar-SY"/>
        </w:rPr>
        <w:t>وهذا التعدي لحدود الله وتجاوزها موجود للأسف في جميع الأمم والملل</w:t>
      </w:r>
      <w:r w:rsidR="00217AB4" w:rsidRPr="00995B26">
        <w:rPr>
          <w:rFonts w:ascii="Abo-thar" w:hAnsi="Abo-thar" w:hint="cs"/>
          <w:sz w:val="28"/>
          <w:rtl/>
          <w:lang w:bidi="ar-SY"/>
        </w:rPr>
        <w:t>،</w:t>
      </w:r>
      <w:r w:rsidRPr="00995B26">
        <w:rPr>
          <w:rFonts w:ascii="Abo-thar" w:hAnsi="Abo-thar" w:hint="cs"/>
          <w:sz w:val="28"/>
          <w:rtl/>
          <w:lang w:bidi="ar-SY"/>
        </w:rPr>
        <w:t xml:space="preserve"> وفي هذه المسألة وقع تجاوز كثير في مذهب الشيعة</w:t>
      </w:r>
      <w:r w:rsidR="00217AB4" w:rsidRPr="00995B26">
        <w:rPr>
          <w:rFonts w:ascii="Abo-thar" w:hAnsi="Abo-thar" w:hint="cs"/>
          <w:sz w:val="28"/>
          <w:rtl/>
          <w:lang w:bidi="ar-SY"/>
        </w:rPr>
        <w:t>،</w:t>
      </w:r>
      <w:r w:rsidRPr="00995B26">
        <w:rPr>
          <w:rFonts w:ascii="Abo-thar" w:hAnsi="Abo-thar" w:hint="cs"/>
          <w:sz w:val="28"/>
          <w:rtl/>
          <w:lang w:bidi="ar-SY"/>
        </w:rPr>
        <w:t xml:space="preserve"> حتى وصل الأمر إلى أن بعض الأحاديث حرَّمت أخذ مال الزكاة حتى على الشيعيّ</w:t>
      </w:r>
      <w:r w:rsidR="00217AB4" w:rsidRPr="00995B26">
        <w:rPr>
          <w:rFonts w:ascii="Abo-thar" w:hAnsi="Abo-thar" w:hint="cs"/>
          <w:sz w:val="28"/>
          <w:rtl/>
          <w:lang w:bidi="ar-SY"/>
        </w:rPr>
        <w:t>،</w:t>
      </w:r>
      <w:r w:rsidRPr="00995B26">
        <w:rPr>
          <w:rFonts w:ascii="Abo-thar" w:hAnsi="Abo-thar" w:hint="cs"/>
          <w:sz w:val="28"/>
          <w:rtl/>
          <w:lang w:bidi="ar-SY"/>
        </w:rPr>
        <w:t xml:space="preserve"> لأنه أخوك ولا ينبغي أن توسخه بزكاة مالك</w:t>
      </w:r>
      <w:r w:rsidR="00217AB4" w:rsidRPr="00995B26">
        <w:rPr>
          <w:rFonts w:ascii="Abo-thar" w:hAnsi="Abo-thar" w:hint="cs"/>
          <w:sz w:val="28"/>
          <w:rtl/>
          <w:lang w:bidi="ar-SY"/>
        </w:rPr>
        <w:t>!!</w:t>
      </w:r>
      <w:r w:rsidRPr="00995B26">
        <w:rPr>
          <w:rFonts w:ascii="Abo-thar" w:hAnsi="Abo-thar" w:hint="cs"/>
          <w:sz w:val="28"/>
          <w:rtl/>
          <w:lang w:bidi="ar-SY"/>
        </w:rPr>
        <w:t xml:space="preserve"> تقول الرواية ما نصه</w:t>
      </w:r>
      <w:r w:rsidR="00217AB4" w:rsidRPr="00995B26">
        <w:rPr>
          <w:rFonts w:ascii="Abo-thar" w:hAnsi="Abo-thar" w:hint="cs"/>
          <w:sz w:val="28"/>
          <w:rtl/>
          <w:lang w:bidi="ar-SY"/>
        </w:rPr>
        <w:t>:</w:t>
      </w:r>
      <w:r w:rsidRPr="00995B26">
        <w:rPr>
          <w:rFonts w:ascii="Abo-thar" w:hAnsi="Abo-thar" w:hint="cs"/>
          <w:sz w:val="28"/>
          <w:rtl/>
          <w:lang w:bidi="ar-SY"/>
        </w:rPr>
        <w:t xml:space="preserve"> </w:t>
      </w:r>
      <w:r w:rsidR="00EF2588" w:rsidRPr="003E3D26">
        <w:rPr>
          <w:rFonts w:ascii="Abo-thar" w:hAnsi="Abo-thar" w:cs="KFGQPC Uthman Taha Naskh" w:hint="cs"/>
          <w:sz w:val="28"/>
          <w:rtl/>
          <w:lang w:bidi="ar-SY"/>
        </w:rPr>
        <w:t>«</w:t>
      </w:r>
      <w:r w:rsidRPr="003E3D26">
        <w:rPr>
          <w:rFonts w:ascii="Abo-thar" w:hAnsi="Abo-thar" w:cs="KFGQPC Uthman Taha Naskh"/>
          <w:sz w:val="28"/>
          <w:rtl/>
          <w:lang w:bidi="ar-SY"/>
        </w:rPr>
        <w:t>وَلْيَكُنْ مَا تُعْطُونَهُ إِخْوَانَكُمُ المُسْتَبْصِ</w:t>
      </w:r>
      <w:r w:rsidRPr="003E3D26">
        <w:rPr>
          <w:rFonts w:ascii="Abo-thar" w:hAnsi="Abo-thar" w:cs="KFGQPC Uthman Taha Naskh" w:hint="cs"/>
          <w:sz w:val="28"/>
          <w:rtl/>
          <w:lang w:bidi="ar-SY"/>
        </w:rPr>
        <w:t>ـ</w:t>
      </w:r>
      <w:r w:rsidRPr="003E3D26">
        <w:rPr>
          <w:rFonts w:ascii="Abo-thar" w:hAnsi="Abo-thar" w:cs="KFGQPC Uthman Taha Naskh"/>
          <w:sz w:val="28"/>
          <w:rtl/>
          <w:lang w:bidi="ar-SY"/>
        </w:rPr>
        <w:t>رِينَ مِنَ الْبِرِّ وَارْفَعُوهُمْ عَنِ الزَّكَاةِ وَالصَّدَقَاتِ وَنَزِّهُوهُمْ عَنْ أَنْ تَصُبُّوا عَلَيْهِمْ أَوْسَاخَكُمْ أَ يُحِبُّ أَحَدُكُمْ أَنْ يَغْسِلَ وَسَخَ بَدَنِهِ ثُمَّ يَصُبَّهُ عَلَى أَخِيهِ</w:t>
      </w:r>
      <w:r w:rsidR="003E3D26">
        <w:rPr>
          <w:rFonts w:ascii="Abo-thar" w:hAnsi="Abo-thar" w:cs="KFGQPC Uthman Taha Naskh" w:hint="cs"/>
          <w:sz w:val="28"/>
          <w:rtl/>
          <w:lang w:bidi="ar-SY"/>
        </w:rPr>
        <w:t>؟</w:t>
      </w:r>
      <w:r w:rsidRPr="003E3D26">
        <w:rPr>
          <w:rFonts w:ascii="Abo-thar" w:hAnsi="Abo-thar" w:cs="KFGQPC Uthman Taha Naskh"/>
          <w:sz w:val="28"/>
          <w:rtl/>
          <w:lang w:bidi="ar-SY"/>
        </w:rPr>
        <w:t xml:space="preserve"> إِنَّ وَسَخَ الذُّنُوبِ أَعْظَمُ مِنْ وَسَخِ الْبَدَنِ فَلَا تُوَسِّخُوا بِهَا إِخْوَانَكُمُ المُؤْمِنِينَ</w:t>
      </w:r>
      <w:r w:rsidR="00217AB4" w:rsidRPr="003E3D26">
        <w:rPr>
          <w:rFonts w:ascii="Abo-thar" w:hAnsi="Abo-thar" w:cs="KFGQPC Uthman Taha Naskh" w:hint="cs"/>
          <w:sz w:val="28"/>
          <w:rtl/>
          <w:lang w:bidi="ar-SY"/>
        </w:rPr>
        <w:t>!!</w:t>
      </w:r>
      <w:r w:rsidR="00EF2588" w:rsidRPr="003E3D26">
        <w:rPr>
          <w:rFonts w:ascii="Abo-thar" w:hAnsi="Abo-thar" w:cs="KFGQPC Uthman Taha Naskh" w:hint="cs"/>
          <w:sz w:val="28"/>
          <w:rtl/>
          <w:lang w:bidi="ar-SY"/>
        </w:rPr>
        <w:t>»</w:t>
      </w:r>
      <w:r w:rsidRPr="00995B26">
        <w:rPr>
          <w:rFonts w:ascii="Abo-thar" w:hAnsi="Abo-thar" w:hint="cs"/>
          <w:sz w:val="28"/>
          <w:rtl/>
          <w:lang w:bidi="ar-SY"/>
        </w:rPr>
        <w:t xml:space="preserve"> </w:t>
      </w:r>
      <w:r w:rsidR="00217AB4" w:rsidRPr="00995B26">
        <w:rPr>
          <w:rFonts w:ascii="Abo-thar" w:hAnsi="Abo-thar" w:hint="cs"/>
          <w:sz w:val="28"/>
          <w:rtl/>
          <w:lang w:bidi="ar-SY"/>
        </w:rPr>
        <w:t>(</w:t>
      </w:r>
      <w:r w:rsidRPr="00995B26">
        <w:rPr>
          <w:rFonts w:ascii="Abo-thar" w:hAnsi="Abo-thar" w:hint="cs"/>
          <w:sz w:val="28"/>
          <w:rtl/>
          <w:lang w:bidi="ar-SY"/>
        </w:rPr>
        <w:t>من التفسير [المنسوب] للإمام [الحسن العسكري]</w:t>
      </w:r>
      <w:r w:rsidR="00217AB4" w:rsidRPr="00995B26">
        <w:rPr>
          <w:rFonts w:ascii="Abo-thar" w:hAnsi="Abo-thar" w:hint="cs"/>
          <w:sz w:val="28"/>
          <w:rtl/>
          <w:lang w:bidi="ar-SY"/>
        </w:rPr>
        <w:t>)</w:t>
      </w:r>
      <w:r w:rsidR="00217AB4" w:rsidRPr="0021507A">
        <w:rPr>
          <w:rFonts w:cs="Arabic11 BT"/>
          <w:b/>
          <w:sz w:val="28"/>
          <w:vertAlign w:val="superscript"/>
          <w:rtl/>
          <w:lang w:bidi="ar-SY"/>
        </w:rPr>
        <w:t>(</w:t>
      </w:r>
      <w:r w:rsidRPr="0021507A">
        <w:rPr>
          <w:rStyle w:val="FootnoteReference"/>
          <w:rFonts w:cs="Arabic11 BT"/>
          <w:b/>
          <w:sz w:val="28"/>
          <w:rtl/>
          <w:lang w:bidi="ar-SY"/>
        </w:rPr>
        <w:footnoteReference w:id="169"/>
      </w:r>
      <w:r w:rsidR="00217AB4" w:rsidRPr="0021507A">
        <w:rPr>
          <w:rFonts w:cs="Arabic11 BT"/>
          <w:b/>
          <w:sz w:val="28"/>
          <w:vertAlign w:val="superscript"/>
          <w:rtl/>
          <w:lang w:bidi="ar-SY"/>
        </w:rPr>
        <w:t>)</w:t>
      </w:r>
      <w:r w:rsidR="00217AB4" w:rsidRPr="00995B26">
        <w:rPr>
          <w:rFonts w:ascii="Abo-thar" w:hAnsi="Abo-thar" w:hint="cs"/>
          <w:sz w:val="28"/>
          <w:rtl/>
          <w:lang w:bidi="ar-SY"/>
        </w:rPr>
        <w:t>.</w:t>
      </w:r>
    </w:p>
    <w:p w:rsidR="00071132" w:rsidRPr="003F3B94" w:rsidRDefault="00071132" w:rsidP="003F3B94">
      <w:pPr>
        <w:pStyle w:val="a0"/>
        <w:rPr>
          <w:rtl/>
          <w:lang w:bidi="ar-SY"/>
        </w:rPr>
        <w:sectPr w:rsidR="00071132" w:rsidRPr="003F3B94" w:rsidSect="00010AE3">
          <w:headerReference w:type="default" r:id="rId27"/>
          <w:footnotePr>
            <w:numRestart w:val="eachPage"/>
          </w:footnotePr>
          <w:type w:val="oddPage"/>
          <w:pgSz w:w="9356" w:h="13608" w:code="34"/>
          <w:pgMar w:top="964" w:right="1134" w:bottom="1134" w:left="964" w:header="0" w:footer="851" w:gutter="0"/>
          <w:cols w:space="708"/>
          <w:titlePg/>
          <w:bidi/>
          <w:rtlGutter/>
          <w:docGrid w:linePitch="360"/>
        </w:sectPr>
      </w:pPr>
    </w:p>
    <w:p w:rsidR="00BD2796" w:rsidRPr="00995B26" w:rsidRDefault="00BD2796" w:rsidP="00071132">
      <w:pPr>
        <w:pStyle w:val="Heading1"/>
        <w:rPr>
          <w:rFonts w:hint="cs"/>
          <w:rtl/>
        </w:rPr>
      </w:pPr>
      <w:bookmarkStart w:id="83" w:name="_Toc387843061"/>
      <w:r w:rsidRPr="00995B26">
        <w:rPr>
          <w:rFonts w:hint="cs"/>
          <w:rtl/>
        </w:rPr>
        <w:t>الفصل الثالث</w:t>
      </w:r>
      <w:r w:rsidR="00071132">
        <w:rPr>
          <w:rtl/>
        </w:rPr>
        <w:br/>
      </w:r>
      <w:r w:rsidRPr="00995B26">
        <w:rPr>
          <w:rFonts w:hint="cs"/>
          <w:rtl/>
        </w:rPr>
        <w:t>استفادة أهل البيت من الزكاة والصدقات</w:t>
      </w:r>
      <w:bookmarkEnd w:id="83"/>
    </w:p>
    <w:p w:rsidR="005C664D" w:rsidRPr="003F3B94" w:rsidRDefault="005C664D" w:rsidP="003F3B94">
      <w:pPr>
        <w:pStyle w:val="a0"/>
        <w:rPr>
          <w:rFonts w:hint="cs"/>
          <w:rtl/>
          <w:lang w:bidi="ar-SY"/>
        </w:rPr>
      </w:pPr>
      <w:r w:rsidRPr="003F3B94">
        <w:rPr>
          <w:rFonts w:ascii="Abo-thar" w:hAnsi="Abo-thar" w:hint="cs"/>
          <w:sz w:val="28"/>
          <w:rtl/>
          <w:lang w:bidi="ar-SY"/>
        </w:rPr>
        <w:t xml:space="preserve">سنبحث في هذا الفصل نوعين من أخذ الزكاة من قبل الأئمة </w:t>
      </w:r>
      <w:r w:rsidR="00217AB4" w:rsidRPr="003F3B94">
        <w:rPr>
          <w:rFonts w:ascii="Abo-thar" w:hAnsi="Abo-thar" w:hint="cs"/>
          <w:sz w:val="28"/>
          <w:rtl/>
          <w:lang w:bidi="ar-SY"/>
        </w:rPr>
        <w:t>(</w:t>
      </w:r>
      <w:r w:rsidR="00EB4B38" w:rsidRPr="003F3B94">
        <w:rPr>
          <w:rFonts w:ascii="Abo-thar" w:hAnsi="Abo-thar" w:hint="cs"/>
          <w:sz w:val="28"/>
          <w:rtl/>
          <w:lang w:bidi="ar-SY"/>
        </w:rPr>
        <w:t>الا</w:t>
      </w:r>
      <w:r w:rsidRPr="003F3B94">
        <w:rPr>
          <w:rFonts w:ascii="Abo-thar" w:hAnsi="Abo-thar" w:hint="cs"/>
          <w:sz w:val="28"/>
          <w:rtl/>
          <w:lang w:bidi="ar-SY"/>
        </w:rPr>
        <w:t>ثني عشر</w:t>
      </w:r>
      <w:r w:rsidR="00217AB4" w:rsidRPr="003F3B94">
        <w:rPr>
          <w:rFonts w:ascii="Abo-thar" w:hAnsi="Abo-thar" w:hint="cs"/>
          <w:sz w:val="28"/>
          <w:rtl/>
          <w:lang w:bidi="ar-SY"/>
        </w:rPr>
        <w:t>):</w:t>
      </w:r>
    </w:p>
    <w:p w:rsidR="005C664D" w:rsidRPr="003F3B94" w:rsidRDefault="005C664D" w:rsidP="003F3B94">
      <w:pPr>
        <w:pStyle w:val="a0"/>
        <w:rPr>
          <w:rFonts w:hint="cs"/>
          <w:rtl/>
          <w:lang w:bidi="ar-SY"/>
        </w:rPr>
      </w:pPr>
      <w:r w:rsidRPr="003F3B94">
        <w:rPr>
          <w:rFonts w:ascii="Abo-thar" w:hAnsi="Abo-thar" w:hint="cs"/>
          <w:sz w:val="28"/>
          <w:rtl/>
          <w:lang w:bidi="ar-SY"/>
        </w:rPr>
        <w:t>الأول</w:t>
      </w:r>
      <w:r w:rsidR="00217AB4" w:rsidRPr="003F3B94">
        <w:rPr>
          <w:rFonts w:ascii="Abo-thar" w:hAnsi="Abo-thar" w:hint="cs"/>
          <w:sz w:val="28"/>
          <w:rtl/>
          <w:lang w:bidi="ar-SY"/>
        </w:rPr>
        <w:t>:</w:t>
      </w:r>
      <w:r w:rsidRPr="003F3B94">
        <w:rPr>
          <w:rFonts w:ascii="Abo-thar" w:hAnsi="Abo-thar" w:hint="cs"/>
          <w:sz w:val="28"/>
          <w:rtl/>
          <w:lang w:bidi="ar-SY"/>
        </w:rPr>
        <w:t xml:space="preserve"> أن حضـرات الأئمة</w:t>
      </w:r>
      <w:r w:rsidR="00147857" w:rsidRPr="003F3B94">
        <w:rPr>
          <w:rFonts w:ascii="Abo-thar" w:hAnsi="Abo-thar" w:hint="cs"/>
          <w:sz w:val="28"/>
          <w:rtl/>
          <w:lang w:bidi="ar-SY"/>
        </w:rPr>
        <w:t xml:space="preserve"> </w:t>
      </w:r>
      <w:r w:rsidR="00963EFD" w:rsidRPr="00963EFD">
        <w:rPr>
          <w:rFonts w:ascii="Abo-thar" w:hAnsi="Abo-thar" w:cs="CTraditional Arabic"/>
          <w:sz w:val="28"/>
          <w:rtl/>
          <w:lang w:bidi="ar-SY"/>
        </w:rPr>
        <w:t>‡</w:t>
      </w:r>
      <w:r w:rsidR="00147857" w:rsidRPr="003F3B94">
        <w:rPr>
          <w:rFonts w:ascii="Abo-thar" w:hAnsi="Abo-thar"/>
          <w:sz w:val="28"/>
          <w:rtl/>
          <w:lang w:bidi="ar-SY"/>
        </w:rPr>
        <w:t xml:space="preserve"> </w:t>
      </w:r>
      <w:r w:rsidRPr="003F3B94">
        <w:rPr>
          <w:rFonts w:ascii="Abo-thar" w:hAnsi="Abo-thar" w:hint="cs"/>
          <w:sz w:val="28"/>
          <w:rtl/>
          <w:lang w:bidi="ar-SY"/>
        </w:rPr>
        <w:t>كانوا أنفسهم يأخذون الزكاة مباشرةً من المعطين لها</w:t>
      </w:r>
      <w:r w:rsidR="00217AB4" w:rsidRPr="003F3B94">
        <w:rPr>
          <w:rFonts w:ascii="Abo-thar" w:hAnsi="Abo-thar" w:hint="cs"/>
          <w:sz w:val="28"/>
          <w:rtl/>
          <w:lang w:bidi="ar-SY"/>
        </w:rPr>
        <w:t>.</w:t>
      </w:r>
    </w:p>
    <w:p w:rsidR="005C664D" w:rsidRPr="003F3B94" w:rsidRDefault="005C664D" w:rsidP="003F3B94">
      <w:pPr>
        <w:pStyle w:val="a0"/>
        <w:rPr>
          <w:rFonts w:hint="cs"/>
          <w:rtl/>
          <w:lang w:bidi="ar-SY"/>
        </w:rPr>
      </w:pPr>
      <w:r w:rsidRPr="003F3B94">
        <w:rPr>
          <w:rFonts w:ascii="Abo-thar" w:hAnsi="Abo-thar" w:hint="cs"/>
          <w:sz w:val="28"/>
          <w:rtl/>
          <w:lang w:bidi="ar-SY"/>
        </w:rPr>
        <w:t>الثاني</w:t>
      </w:r>
      <w:r w:rsidR="00217AB4" w:rsidRPr="003F3B94">
        <w:rPr>
          <w:rFonts w:ascii="Abo-thar" w:hAnsi="Abo-thar" w:hint="cs"/>
          <w:sz w:val="28"/>
          <w:rtl/>
          <w:lang w:bidi="ar-SY"/>
        </w:rPr>
        <w:t>:</w:t>
      </w:r>
      <w:r w:rsidRPr="003F3B94">
        <w:rPr>
          <w:rFonts w:ascii="Abo-thar" w:hAnsi="Abo-thar" w:hint="cs"/>
          <w:sz w:val="28"/>
          <w:rtl/>
          <w:lang w:bidi="ar-SY"/>
        </w:rPr>
        <w:t xml:space="preserve"> أنهم كانوا يقبلون الجوائز والهدايا والعطايا من خلفاء وسلاطين زمانهم</w:t>
      </w:r>
      <w:r w:rsidR="00217AB4" w:rsidRPr="003F3B94">
        <w:rPr>
          <w:rFonts w:ascii="Abo-thar" w:hAnsi="Abo-thar" w:hint="cs"/>
          <w:sz w:val="28"/>
          <w:rtl/>
          <w:lang w:bidi="ar-SY"/>
        </w:rPr>
        <w:t>.</w:t>
      </w:r>
    </w:p>
    <w:p w:rsidR="00BD2796" w:rsidRPr="00995B26" w:rsidRDefault="00BD2796" w:rsidP="007D2B8A">
      <w:pPr>
        <w:pStyle w:val="a5"/>
        <w:rPr>
          <w:rFonts w:hint="cs"/>
          <w:rtl/>
          <w:lang w:bidi="ar-SY"/>
        </w:rPr>
      </w:pPr>
      <w:bookmarkStart w:id="84" w:name="_Toc387843062"/>
      <w:r w:rsidRPr="00995B26">
        <w:rPr>
          <w:rFonts w:hint="cs"/>
          <w:rtl/>
          <w:lang w:bidi="ar-SY"/>
        </w:rPr>
        <w:t>1- أخذ أهل البيت الزكاةَ من الناس</w:t>
      </w:r>
      <w:bookmarkEnd w:id="84"/>
    </w:p>
    <w:p w:rsidR="005C664D" w:rsidRPr="003F3B94" w:rsidRDefault="005C664D" w:rsidP="003F3B94">
      <w:pPr>
        <w:pStyle w:val="a0"/>
        <w:rPr>
          <w:rFonts w:hint="cs"/>
          <w:rtl/>
          <w:lang w:bidi="ar-SY"/>
        </w:rPr>
      </w:pPr>
      <w:r w:rsidRPr="003F3B94">
        <w:rPr>
          <w:rFonts w:ascii="Abo-thar" w:hAnsi="Abo-thar" w:hint="cs"/>
          <w:sz w:val="28"/>
          <w:rtl/>
          <w:lang w:bidi="ar-SY"/>
        </w:rPr>
        <w:t>أما الأخبار حول القسم الأول</w:t>
      </w:r>
      <w:r w:rsidR="00217AB4" w:rsidRPr="003F3B94">
        <w:rPr>
          <w:rFonts w:ascii="Abo-thar" w:hAnsi="Abo-thar" w:hint="cs"/>
          <w:sz w:val="28"/>
          <w:rtl/>
          <w:lang w:bidi="ar-SY"/>
        </w:rPr>
        <w:t>:</w:t>
      </w:r>
      <w:r w:rsidRPr="003F3B94">
        <w:rPr>
          <w:rFonts w:ascii="Abo-thar" w:hAnsi="Abo-thar" w:hint="cs"/>
          <w:sz w:val="28"/>
          <w:rtl/>
          <w:lang w:bidi="ar-SY"/>
        </w:rPr>
        <w:t xml:space="preserve"> فقد روى الشيخ الصدوق في «من لا يحضره الفقيه»</w:t>
      </w:r>
      <w:r w:rsidR="00147857" w:rsidRPr="003F3B94">
        <w:rPr>
          <w:rFonts w:ascii="Abo-thar" w:hAnsi="Abo-thar" w:hint="cs"/>
          <w:sz w:val="28"/>
          <w:rtl/>
          <w:lang w:bidi="ar-SY"/>
        </w:rPr>
        <w:t xml:space="preserve"> و</w:t>
      </w:r>
      <w:r w:rsidRPr="003F3B94">
        <w:rPr>
          <w:rFonts w:ascii="Abo-thar" w:hAnsi="Abo-thar" w:hint="cs"/>
          <w:sz w:val="28"/>
          <w:rtl/>
          <w:lang w:bidi="ar-SY"/>
        </w:rPr>
        <w:t>الشيخ الطوسي في «التهذيب» قالا</w:t>
      </w:r>
      <w:r w:rsidR="00217AB4" w:rsidRPr="003F3B94">
        <w:rPr>
          <w:rFonts w:ascii="Abo-thar" w:hAnsi="Abo-thar" w:hint="cs"/>
          <w:sz w:val="28"/>
          <w:rtl/>
          <w:lang w:bidi="ar-SY"/>
        </w:rPr>
        <w:t>:</w:t>
      </w:r>
      <w:r w:rsidRPr="003F3B94">
        <w:rPr>
          <w:rFonts w:ascii="Abo-thar" w:hAnsi="Abo-thar" w:hint="cs"/>
          <w:sz w:val="28"/>
          <w:rtl/>
          <w:lang w:bidi="ar-SY"/>
        </w:rPr>
        <w:t xml:space="preserve"> </w:t>
      </w:r>
      <w:r w:rsidR="00EF2588" w:rsidRPr="004A3642">
        <w:rPr>
          <w:rFonts w:ascii="Abo-thar" w:hAnsi="Abo-thar" w:cs="KFGQPC Uthman Taha Naskh" w:hint="cs"/>
          <w:sz w:val="28"/>
          <w:rtl/>
          <w:lang w:bidi="ar-SY"/>
        </w:rPr>
        <w:t>«</w:t>
      </w:r>
      <w:r w:rsidRPr="004A3642">
        <w:rPr>
          <w:rFonts w:ascii="Abo-thar" w:hAnsi="Abo-thar" w:cs="KFGQPC Uthman Taha Naskh"/>
          <w:b/>
          <w:bCs/>
          <w:sz w:val="28"/>
          <w:rtl/>
          <w:lang w:bidi="ar-SY"/>
        </w:rPr>
        <w:t xml:space="preserve">وَ رَوَى مُحَمَّدُ بْنُ إِسْمَاعِيلَ بْنِ بَزِيعٍ قَالَ بَعَثْتُ إِلَى الرِّضَا </w:t>
      </w:r>
      <w:r w:rsidR="00BC4BA9" w:rsidRPr="00BC4BA9">
        <w:rPr>
          <w:rFonts w:ascii="Abo-thar" w:hAnsi="Abo-thar" w:cs="CTraditional Arabic"/>
          <w:b/>
          <w:sz w:val="28"/>
          <w:rtl/>
          <w:lang w:bidi="ar-SY"/>
        </w:rPr>
        <w:t>÷</w:t>
      </w:r>
      <w:r w:rsidRPr="004A3642">
        <w:rPr>
          <w:rFonts w:ascii="Abo-thar" w:hAnsi="Abo-thar" w:cs="KFGQPC Uthman Taha Naskh"/>
          <w:b/>
          <w:bCs/>
          <w:sz w:val="28"/>
          <w:rtl/>
          <w:lang w:bidi="ar-SY"/>
        </w:rPr>
        <w:t xml:space="preserve"> بِدَنَانِيرَ مِنْ قِبَلِ بَعْضِ أَهْلِي وَكَتَبْتُ إِلَيْهِ أُخْبِرُهُ أَنَّ فِيهَا زَكَاةً خَمْسَةٌ وَسَبْعُونَ وَالْبَاقِيَ صِلَةٌ فَكَتَبَ </w:t>
      </w:r>
      <w:r w:rsidR="00BC4BA9" w:rsidRPr="00BC4BA9">
        <w:rPr>
          <w:rFonts w:ascii="Abo-thar" w:hAnsi="Abo-thar" w:cs="CTraditional Arabic"/>
          <w:b/>
          <w:sz w:val="28"/>
          <w:rtl/>
          <w:lang w:bidi="ar-SY"/>
        </w:rPr>
        <w:t>÷</w:t>
      </w:r>
      <w:r w:rsidRPr="004A3642">
        <w:rPr>
          <w:rFonts w:ascii="Abo-thar" w:hAnsi="Abo-thar" w:cs="KFGQPC Uthman Taha Naskh"/>
          <w:b/>
          <w:bCs/>
          <w:sz w:val="28"/>
          <w:rtl/>
          <w:lang w:bidi="ar-SY"/>
        </w:rPr>
        <w:t xml:space="preserve"> بِخَطِّهِ قَبَضْتُ وَبَعَثْتُ إِلَيْهِ بِدَنَانِيرَ لِي وَلِغَيْرِي وَكَتَبْتُ إِلَيْهِ أَنَّهَا مِنْ فِطْرَةِ الْعِيَالِ فَكَتَبَ </w:t>
      </w:r>
      <w:r w:rsidR="00BC4BA9" w:rsidRPr="00BC4BA9">
        <w:rPr>
          <w:rFonts w:ascii="Abo-thar" w:hAnsi="Abo-thar" w:cs="CTraditional Arabic"/>
          <w:b/>
          <w:sz w:val="28"/>
          <w:rtl/>
          <w:lang w:bidi="ar-SY"/>
        </w:rPr>
        <w:t>÷</w:t>
      </w:r>
      <w:r w:rsidRPr="004A3642">
        <w:rPr>
          <w:rFonts w:ascii="Abo-thar" w:hAnsi="Abo-thar" w:cs="KFGQPC Uthman Taha Naskh"/>
          <w:b/>
          <w:bCs/>
          <w:sz w:val="28"/>
          <w:rtl/>
          <w:lang w:bidi="ar-SY"/>
        </w:rPr>
        <w:t xml:space="preserve"> بِخَطِّهِ</w:t>
      </w:r>
      <w:r w:rsidR="003E3D26">
        <w:rPr>
          <w:rFonts w:ascii="Abo-thar" w:hAnsi="Abo-thar" w:cs="KFGQPC Uthman Taha Naskh" w:hint="cs"/>
          <w:b/>
          <w:bCs/>
          <w:sz w:val="28"/>
          <w:rtl/>
          <w:lang w:bidi="ar-SY"/>
        </w:rPr>
        <w:t>:</w:t>
      </w:r>
      <w:r w:rsidRPr="004A3642">
        <w:rPr>
          <w:rFonts w:ascii="Abo-thar" w:hAnsi="Abo-thar" w:cs="KFGQPC Uthman Taha Naskh"/>
          <w:b/>
          <w:bCs/>
          <w:sz w:val="28"/>
          <w:rtl/>
          <w:lang w:bidi="ar-SY"/>
        </w:rPr>
        <w:t xml:space="preserve"> قَبَضْتُ</w:t>
      </w:r>
      <w:r w:rsidR="00EF2588" w:rsidRPr="004A3642">
        <w:rPr>
          <w:rFonts w:ascii="Abo-thar" w:hAnsi="Abo-thar" w:cs="KFGQPC Uthman Taha Naskh" w:hint="cs"/>
          <w:sz w:val="28"/>
          <w:rtl/>
          <w:lang w:bidi="ar-SY"/>
        </w:rPr>
        <w:t>»</w:t>
      </w:r>
      <w:r w:rsidR="00217AB4" w:rsidRPr="0021507A">
        <w:rPr>
          <w:rFonts w:cs="Arabic11 BT"/>
          <w:b/>
          <w:sz w:val="28"/>
          <w:vertAlign w:val="superscript"/>
          <w:rtl/>
          <w:lang w:bidi="ar-SY"/>
        </w:rPr>
        <w:t>(</w:t>
      </w:r>
      <w:r w:rsidRPr="0021507A">
        <w:rPr>
          <w:rStyle w:val="FootnoteReference"/>
          <w:rFonts w:cs="Arabic11 BT"/>
          <w:b/>
          <w:sz w:val="28"/>
          <w:rtl/>
          <w:lang w:bidi="ar-SY"/>
        </w:rPr>
        <w:footnoteReference w:id="170"/>
      </w:r>
      <w:r w:rsidR="00217AB4" w:rsidRPr="0021507A">
        <w:rPr>
          <w:rFonts w:cs="Arabic11 BT"/>
          <w:b/>
          <w:sz w:val="28"/>
          <w:vertAlign w:val="superscript"/>
          <w:rtl/>
          <w:lang w:bidi="ar-SY"/>
        </w:rPr>
        <w:t>)</w:t>
      </w:r>
      <w:r w:rsidR="00217AB4" w:rsidRPr="003F3B94">
        <w:rPr>
          <w:rFonts w:ascii="Abo-thar" w:hAnsi="Abo-thar" w:hint="cs"/>
          <w:sz w:val="28"/>
          <w:rtl/>
          <w:lang w:bidi="ar-SY"/>
        </w:rPr>
        <w:t>.</w:t>
      </w:r>
    </w:p>
    <w:p w:rsidR="005C664D" w:rsidRPr="003F3B94" w:rsidRDefault="005C664D" w:rsidP="003F3B94">
      <w:pPr>
        <w:pStyle w:val="a0"/>
        <w:rPr>
          <w:rFonts w:hint="cs"/>
          <w:rtl/>
        </w:rPr>
      </w:pPr>
      <w:r w:rsidRPr="003F3B94">
        <w:rPr>
          <w:rFonts w:ascii="Abo-thar" w:hAnsi="Abo-thar" w:hint="cs"/>
          <w:sz w:val="28"/>
          <w:rtl/>
          <w:lang w:bidi="ar-SY"/>
        </w:rPr>
        <w:t xml:space="preserve">وقد روى الكُلَيْنِيّ في </w:t>
      </w:r>
      <w:r w:rsidRPr="003F3B94">
        <w:rPr>
          <w:rFonts w:ascii="Lotus Linotype" w:hAnsi="Lotus Linotype"/>
          <w:sz w:val="28"/>
          <w:rtl/>
          <w:lang w:bidi="ar-SY"/>
        </w:rPr>
        <w:t>«</w:t>
      </w:r>
      <w:r w:rsidRPr="003F3B94">
        <w:rPr>
          <w:rFonts w:ascii="Lotus Linotype" w:hAnsi="Lotus Linotype" w:hint="cs"/>
          <w:sz w:val="28"/>
          <w:rtl/>
          <w:lang w:bidi="ar-SY"/>
        </w:rPr>
        <w:t>الكافي</w:t>
      </w:r>
      <w:r w:rsidRPr="003F3B94">
        <w:rPr>
          <w:rFonts w:ascii="Lotus Linotype" w:hAnsi="Lotus Linotype"/>
          <w:sz w:val="28"/>
          <w:rtl/>
          <w:lang w:bidi="ar-SY"/>
        </w:rPr>
        <w:t>»</w:t>
      </w:r>
      <w:r w:rsidRPr="003F3B94">
        <w:rPr>
          <w:rFonts w:ascii="Abo-thar" w:hAnsi="Abo-thar" w:hint="cs"/>
          <w:sz w:val="28"/>
          <w:rtl/>
          <w:lang w:bidi="ar-SY"/>
        </w:rPr>
        <w:t xml:space="preserve"> هذا الحديث عن </w:t>
      </w:r>
      <w:r w:rsidRPr="003F3B94">
        <w:rPr>
          <w:rFonts w:ascii="Lotus Linotype" w:hAnsi="Lotus Linotype"/>
          <w:sz w:val="28"/>
          <w:rtl/>
          <w:lang w:bidi="ar-SY"/>
        </w:rPr>
        <w:t>«</w:t>
      </w:r>
      <w:r w:rsidRPr="003F3B94">
        <w:rPr>
          <w:rFonts w:ascii="Abo-thar" w:hAnsi="Abo-thar"/>
          <w:b/>
          <w:bCs/>
          <w:sz w:val="28"/>
          <w:rtl/>
          <w:lang w:bidi="ar-SY"/>
        </w:rPr>
        <w:t>مُحَمَّد</w:t>
      </w:r>
      <w:r w:rsidRPr="003F3B94">
        <w:rPr>
          <w:rFonts w:ascii="Abo-thar" w:hAnsi="Abo-thar" w:hint="cs"/>
          <w:b/>
          <w:bCs/>
          <w:sz w:val="28"/>
          <w:rtl/>
          <w:lang w:bidi="ar-SY"/>
        </w:rPr>
        <w:t>ِ</w:t>
      </w:r>
      <w:r w:rsidRPr="003F3B94">
        <w:rPr>
          <w:rFonts w:ascii="Abo-thar" w:hAnsi="Abo-thar"/>
          <w:b/>
          <w:bCs/>
          <w:sz w:val="28"/>
          <w:rtl/>
          <w:lang w:bidi="ar-SY"/>
        </w:rPr>
        <w:t xml:space="preserve"> بْن</w:t>
      </w:r>
      <w:r w:rsidRPr="003F3B94">
        <w:rPr>
          <w:rFonts w:ascii="Abo-thar" w:hAnsi="Abo-thar" w:hint="cs"/>
          <w:b/>
          <w:bCs/>
          <w:sz w:val="28"/>
          <w:rtl/>
          <w:lang w:bidi="ar-SY"/>
        </w:rPr>
        <w:t>ِ</w:t>
      </w:r>
      <w:r w:rsidRPr="003F3B94">
        <w:rPr>
          <w:rFonts w:ascii="Abo-thar" w:hAnsi="Abo-thar"/>
          <w:b/>
          <w:bCs/>
          <w:sz w:val="28"/>
          <w:rtl/>
          <w:lang w:bidi="ar-SY"/>
        </w:rPr>
        <w:t xml:space="preserve"> إِسْمَاعِيلَ</w:t>
      </w:r>
      <w:r w:rsidRPr="003F3B94">
        <w:rPr>
          <w:rFonts w:ascii="Lotus Linotype" w:hAnsi="Lotus Linotype"/>
          <w:sz w:val="28"/>
          <w:rtl/>
          <w:lang w:bidi="ar-SY"/>
        </w:rPr>
        <w:t>»</w:t>
      </w:r>
      <w:r w:rsidRPr="003F3B94">
        <w:rPr>
          <w:rFonts w:ascii="Lotus Linotype" w:hAnsi="Lotus Linotype" w:hint="cs"/>
          <w:sz w:val="28"/>
          <w:rtl/>
          <w:lang w:bidi="ar-SY"/>
        </w:rPr>
        <w:t xml:space="preserve"> وذكر إضافة إلى كلمة قبضتُ</w:t>
      </w:r>
      <w:r w:rsidR="00217AB4" w:rsidRPr="003F3B94">
        <w:rPr>
          <w:rFonts w:ascii="Lotus Linotype" w:hAnsi="Lotus Linotype" w:hint="cs"/>
          <w:sz w:val="28"/>
          <w:rtl/>
          <w:lang w:bidi="ar-SY"/>
        </w:rPr>
        <w:t>،</w:t>
      </w:r>
      <w:r w:rsidRPr="003F3B94">
        <w:rPr>
          <w:rFonts w:ascii="Lotus Linotype" w:hAnsi="Lotus Linotype" w:hint="cs"/>
          <w:sz w:val="28"/>
          <w:rtl/>
          <w:lang w:bidi="ar-SY"/>
        </w:rPr>
        <w:t xml:space="preserve"> كلمة </w:t>
      </w:r>
      <w:r w:rsidRPr="003F3B94">
        <w:rPr>
          <w:rFonts w:ascii="Lotus Linotype" w:hAnsi="Lotus Linotype"/>
          <w:sz w:val="28"/>
          <w:rtl/>
          <w:lang w:bidi="ar-SY"/>
        </w:rPr>
        <w:t>«</w:t>
      </w:r>
      <w:r w:rsidRPr="003F3B94">
        <w:rPr>
          <w:rFonts w:ascii="Lotus Linotype" w:hAnsi="Lotus Linotype" w:hint="cs"/>
          <w:sz w:val="28"/>
          <w:rtl/>
          <w:lang w:bidi="ar-SY"/>
        </w:rPr>
        <w:t>قبلتُ</w:t>
      </w:r>
      <w:r w:rsidRPr="003F3B94">
        <w:rPr>
          <w:rFonts w:ascii="Lotus Linotype" w:hAnsi="Lotus Linotype"/>
          <w:sz w:val="28"/>
          <w:rtl/>
          <w:lang w:bidi="ar-SY"/>
        </w:rPr>
        <w:t>»</w:t>
      </w:r>
      <w:r w:rsidR="00217AB4" w:rsidRPr="0021507A">
        <w:rPr>
          <w:rFonts w:cs="Arabic11 BT"/>
          <w:b/>
          <w:sz w:val="28"/>
          <w:vertAlign w:val="superscript"/>
          <w:rtl/>
          <w:lang w:bidi="ar-SY"/>
        </w:rPr>
        <w:t>(</w:t>
      </w:r>
      <w:r w:rsidRPr="0021507A">
        <w:rPr>
          <w:rStyle w:val="FootnoteReference"/>
          <w:rFonts w:cs="Arabic11 BT"/>
          <w:b/>
          <w:sz w:val="28"/>
          <w:rtl/>
          <w:lang w:bidi="ar-SY"/>
        </w:rPr>
        <w:footnoteReference w:id="171"/>
      </w:r>
      <w:r w:rsidR="00217AB4" w:rsidRPr="0021507A">
        <w:rPr>
          <w:rFonts w:cs="Arabic11 BT"/>
          <w:b/>
          <w:sz w:val="28"/>
          <w:vertAlign w:val="superscript"/>
          <w:rtl/>
          <w:lang w:bidi="ar-SY"/>
        </w:rPr>
        <w:t>)</w:t>
      </w:r>
      <w:r w:rsidR="00217AB4" w:rsidRPr="003F3B94">
        <w:rPr>
          <w:rFonts w:ascii="Lotus Linotype" w:hAnsi="Lotus Linotype" w:hint="cs"/>
          <w:sz w:val="28"/>
          <w:rtl/>
          <w:lang w:bidi="ar-SY"/>
        </w:rPr>
        <w:t>،</w:t>
      </w:r>
      <w:r w:rsidRPr="003F3B94">
        <w:rPr>
          <w:rFonts w:ascii="Abo-thar" w:hAnsi="Abo-thar" w:hint="cs"/>
          <w:sz w:val="28"/>
          <w:rtl/>
          <w:lang w:bidi="ar-SY"/>
        </w:rPr>
        <w:t xml:space="preserve"> مما يدل على أن الإمام اعتبر المال حقه الخاص لأن كلمة </w:t>
      </w:r>
      <w:r w:rsidRPr="003F3B94">
        <w:rPr>
          <w:rFonts w:ascii="Lotus Linotype" w:hAnsi="Lotus Linotype"/>
          <w:sz w:val="28"/>
          <w:rtl/>
          <w:lang w:bidi="ar-SY"/>
        </w:rPr>
        <w:t>«</w:t>
      </w:r>
      <w:r w:rsidRPr="003F3B94">
        <w:rPr>
          <w:rFonts w:ascii="Lotus Linotype" w:hAnsi="Lotus Linotype" w:hint="cs"/>
          <w:sz w:val="28"/>
          <w:rtl/>
          <w:lang w:bidi="ar-SY"/>
        </w:rPr>
        <w:t>قبلتُ</w:t>
      </w:r>
      <w:r w:rsidRPr="003F3B94">
        <w:rPr>
          <w:rFonts w:ascii="Lotus Linotype" w:hAnsi="Lotus Linotype"/>
          <w:sz w:val="28"/>
          <w:rtl/>
          <w:lang w:bidi="ar-SY"/>
        </w:rPr>
        <w:t>»</w:t>
      </w:r>
      <w:r w:rsidRPr="003F3B94">
        <w:rPr>
          <w:rFonts w:ascii="Lotus Linotype" w:hAnsi="Lotus Linotype" w:hint="cs"/>
          <w:sz w:val="28"/>
          <w:rtl/>
          <w:lang w:bidi="ar-SY"/>
        </w:rPr>
        <w:t xml:space="preserve"> تدل على قبول الحقّ</w:t>
      </w:r>
      <w:r w:rsidR="00217AB4" w:rsidRPr="003F3B94">
        <w:rPr>
          <w:rFonts w:ascii="Lotus Linotype" w:hAnsi="Lotus Linotype" w:hint="cs"/>
          <w:sz w:val="28"/>
          <w:rtl/>
          <w:lang w:bidi="ar-SY"/>
        </w:rPr>
        <w:t>.</w:t>
      </w:r>
    </w:p>
    <w:p w:rsidR="005C664D" w:rsidRPr="003F3B94" w:rsidRDefault="005C664D" w:rsidP="003E3D26">
      <w:pPr>
        <w:pStyle w:val="a0"/>
        <w:rPr>
          <w:rFonts w:hint="cs"/>
          <w:rtl/>
          <w:lang w:bidi="ar-SY"/>
        </w:rPr>
      </w:pPr>
      <w:r w:rsidRPr="003F3B94">
        <w:rPr>
          <w:rFonts w:ascii="Abo-thar" w:hAnsi="Abo-thar" w:hint="cs"/>
          <w:sz w:val="28"/>
          <w:rtl/>
          <w:lang w:bidi="ar-SY"/>
        </w:rPr>
        <w:t xml:space="preserve">والخبر الثاني رواه أيضاً الكُلَيْنِيّ في </w:t>
      </w:r>
      <w:r w:rsidRPr="003F3B94">
        <w:rPr>
          <w:rFonts w:ascii="Lotus Linotype" w:hAnsi="Lotus Linotype" w:hint="cs"/>
          <w:sz w:val="28"/>
          <w:rtl/>
          <w:lang w:bidi="ar-SY"/>
        </w:rPr>
        <w:t>الكافي</w:t>
      </w:r>
      <w:r w:rsidR="00217AB4" w:rsidRPr="003F3B94">
        <w:rPr>
          <w:rFonts w:ascii="Abo-thar" w:hAnsi="Abo-thar" w:hint="cs"/>
          <w:sz w:val="28"/>
          <w:rtl/>
          <w:lang w:bidi="ar-SY"/>
        </w:rPr>
        <w:t>:</w:t>
      </w:r>
      <w:r w:rsidRPr="003F3B94">
        <w:rPr>
          <w:rFonts w:ascii="Abo-thar" w:hAnsi="Abo-thar" w:hint="cs"/>
          <w:sz w:val="28"/>
          <w:rtl/>
          <w:lang w:bidi="ar-SY"/>
        </w:rPr>
        <w:t xml:space="preserve"> </w:t>
      </w:r>
      <w:r w:rsidR="00EF2588" w:rsidRPr="004A3642">
        <w:rPr>
          <w:rFonts w:ascii="Abo-thar" w:hAnsi="Abo-thar" w:cs="KFGQPC Uthman Taha Naskh" w:hint="cs"/>
          <w:sz w:val="28"/>
          <w:rtl/>
          <w:lang w:bidi="ar-SY"/>
        </w:rPr>
        <w:t>«</w:t>
      </w:r>
      <w:r w:rsidRPr="004A3642">
        <w:rPr>
          <w:rFonts w:ascii="Abo-thar" w:hAnsi="Abo-thar" w:cs="KFGQPC Uthman Taha Naskh"/>
          <w:b/>
          <w:bCs/>
          <w:sz w:val="28"/>
          <w:rtl/>
          <w:lang w:bidi="ar-SY"/>
        </w:rPr>
        <w:t>عَنْ أَيُّوبَ بْنِ نُوحٍ قَالَ كَتَبْتُ إِلَى أَبِي الحَسَنِ</w:t>
      </w:r>
      <w:r w:rsidR="00BC4BA9" w:rsidRPr="00BC4BA9">
        <w:rPr>
          <w:rFonts w:ascii="Abo-thar" w:hAnsi="Abo-thar" w:cs="CTraditional Arabic" w:hint="cs"/>
          <w:b/>
          <w:sz w:val="28"/>
          <w:rtl/>
          <w:lang w:bidi="ar-SY"/>
        </w:rPr>
        <w:t>÷</w:t>
      </w:r>
      <w:r w:rsidR="00217AB4" w:rsidRPr="004A3642">
        <w:rPr>
          <w:rFonts w:ascii="Abo-thar" w:hAnsi="Abo-thar" w:cs="KFGQPC Uthman Taha Naskh" w:hint="cs"/>
          <w:b/>
          <w:bCs/>
          <w:sz w:val="28"/>
          <w:rtl/>
          <w:lang w:bidi="ar-SY"/>
        </w:rPr>
        <w:t>:</w:t>
      </w:r>
      <w:r w:rsidRPr="004A3642">
        <w:rPr>
          <w:rFonts w:ascii="Abo-thar" w:hAnsi="Abo-thar" w:cs="KFGQPC Uthman Taha Naskh"/>
          <w:b/>
          <w:bCs/>
          <w:sz w:val="28"/>
          <w:rtl/>
          <w:lang w:bidi="ar-SY"/>
        </w:rPr>
        <w:t xml:space="preserve"> أَنَّ قَوْماً يَسْأَلُونِّي عَنِ الْفِطْرَةِ وَيَسْأَلُونِّي أَنْ يَحْمِلُوا قِيمَتَهَا إِلَيْكَ وَقَدْ بَعَثَ إِلَيْكَ هَذَا الرَّجُلُ عَامَ أَوَّلٍ وَسَأَلَنِي أَنْ أَسْأَلَكَ فَنَسِيتُ ذَلِكَ وَقَدْ بَعَثَ إِلَيْكَ الْعَامَ عَنْ كُلِّ رَأْسٍ مِنْ عِيَالِهِ بِدِرْهَمٍ عَنْ قِيمَةِ تِسْعَةِ أَرْطَالِ تَمْرٍ بِدِرْهَمٍ فَرَأْيُكَ جَعَلَنِيَ اللهُ فِدَاكَ فِي ذَلِكَ</w:t>
      </w:r>
      <w:r w:rsidR="00217AB4" w:rsidRPr="004A3642">
        <w:rPr>
          <w:rFonts w:ascii="Abo-thar" w:hAnsi="Abo-thar" w:cs="KFGQPC Uthman Taha Naskh" w:hint="cs"/>
          <w:b/>
          <w:bCs/>
          <w:sz w:val="28"/>
          <w:rtl/>
          <w:lang w:bidi="ar-SY"/>
        </w:rPr>
        <w:t>؟</w:t>
      </w:r>
      <w:r w:rsidR="003E3D26">
        <w:rPr>
          <w:rFonts w:ascii="Abo-thar" w:hAnsi="Abo-thar" w:cs="KFGQPC Uthman Taha Naskh" w:hint="cs"/>
          <w:b/>
          <w:bCs/>
          <w:sz w:val="28"/>
          <w:rtl/>
          <w:lang w:bidi="ar-SY"/>
        </w:rPr>
        <w:t xml:space="preserve"> </w:t>
      </w:r>
      <w:r w:rsidRPr="004A3642">
        <w:rPr>
          <w:rFonts w:ascii="Abo-thar" w:hAnsi="Abo-thar" w:cs="KFGQPC Uthman Taha Naskh"/>
          <w:b/>
          <w:bCs/>
          <w:sz w:val="28"/>
          <w:rtl/>
          <w:lang w:bidi="ar-SY"/>
        </w:rPr>
        <w:t>فَكَتَبَ</w:t>
      </w:r>
      <w:r w:rsidR="00BC4BA9" w:rsidRPr="00BC4BA9">
        <w:rPr>
          <w:rFonts w:ascii="Abo-thar" w:hAnsi="Abo-thar" w:cs="CTraditional Arabic" w:hint="cs"/>
          <w:b/>
          <w:sz w:val="28"/>
          <w:rtl/>
          <w:lang w:bidi="ar-SY"/>
        </w:rPr>
        <w:t>÷</w:t>
      </w:r>
      <w:r w:rsidR="00217AB4" w:rsidRPr="004A3642">
        <w:rPr>
          <w:rFonts w:ascii="Abo-thar" w:hAnsi="Abo-thar" w:cs="KFGQPC Uthman Taha Naskh" w:hint="cs"/>
          <w:b/>
          <w:bCs/>
          <w:sz w:val="28"/>
          <w:rtl/>
          <w:lang w:bidi="ar-SY"/>
        </w:rPr>
        <w:t>:</w:t>
      </w:r>
      <w:r w:rsidRPr="004A3642">
        <w:rPr>
          <w:rFonts w:ascii="Abo-thar" w:hAnsi="Abo-thar" w:cs="KFGQPC Uthman Taha Naskh"/>
          <w:b/>
          <w:bCs/>
          <w:sz w:val="28"/>
          <w:rtl/>
          <w:lang w:bidi="ar-SY"/>
        </w:rPr>
        <w:t xml:space="preserve"> الْفِطْرَةُ قَدْ كَثُرَ السُّؤَالُ عَنْهَا وَأَنَا أَكْرَهُ كُلَّ مَا أَدَّى إِلَى الشُّهْرَةِ فَاقْطَعُوا ذِكْرَ ذَلِكَ فَاقْبِضْ مِمَّنْ دَفَعَ لَهَا وَأَمْسِكْ عَمَّنْ لَمْ يَدْفَعْ</w:t>
      </w:r>
      <w:r w:rsidR="00EF2588" w:rsidRPr="004A3642">
        <w:rPr>
          <w:rFonts w:ascii="Abo-thar" w:hAnsi="Abo-thar" w:cs="KFGQPC Uthman Taha Naskh"/>
          <w:sz w:val="28"/>
          <w:rtl/>
          <w:lang w:bidi="ar-SY"/>
        </w:rPr>
        <w:t>»</w:t>
      </w:r>
      <w:r w:rsidR="00217AB4" w:rsidRPr="0021507A">
        <w:rPr>
          <w:rFonts w:cs="Arabic11 BT"/>
          <w:b/>
          <w:sz w:val="28"/>
          <w:vertAlign w:val="superscript"/>
          <w:rtl/>
          <w:lang w:bidi="ar-SY"/>
        </w:rPr>
        <w:t>(</w:t>
      </w:r>
      <w:r w:rsidRPr="0021507A">
        <w:rPr>
          <w:rStyle w:val="FootnoteReference"/>
          <w:rFonts w:cs="Arabic11 BT"/>
          <w:b/>
          <w:sz w:val="28"/>
          <w:rtl/>
          <w:lang w:bidi="ar-SY"/>
        </w:rPr>
        <w:footnoteReference w:id="172"/>
      </w:r>
      <w:r w:rsidR="00217AB4" w:rsidRPr="0021507A">
        <w:rPr>
          <w:rFonts w:cs="Arabic11 BT"/>
          <w:b/>
          <w:sz w:val="28"/>
          <w:vertAlign w:val="superscript"/>
          <w:rtl/>
          <w:lang w:bidi="ar-SY"/>
        </w:rPr>
        <w:t>)</w:t>
      </w:r>
      <w:r w:rsidR="00217AB4" w:rsidRPr="003F3B94">
        <w:rPr>
          <w:rFonts w:ascii="Abo-thar" w:hAnsi="Abo-thar" w:hint="cs"/>
          <w:sz w:val="28"/>
          <w:rtl/>
          <w:lang w:bidi="ar-SY"/>
        </w:rPr>
        <w:t>.</w:t>
      </w:r>
    </w:p>
    <w:p w:rsidR="005C664D" w:rsidRPr="003F3B94" w:rsidRDefault="005C664D" w:rsidP="003F3B94">
      <w:pPr>
        <w:pStyle w:val="a0"/>
        <w:rPr>
          <w:rFonts w:hint="cs"/>
          <w:rtl/>
          <w:lang w:bidi="ar-SY"/>
        </w:rPr>
      </w:pPr>
      <w:r w:rsidRPr="003F3B94">
        <w:rPr>
          <w:rFonts w:ascii="Abo-thar" w:hAnsi="Abo-thar" w:hint="cs"/>
          <w:sz w:val="28"/>
          <w:rtl/>
          <w:lang w:bidi="ar-SY"/>
        </w:rPr>
        <w:t>وثمة أحاديث أخرى أيضاً في هذا الباب لا مجال الآن للإطالة بذكرها</w:t>
      </w:r>
      <w:r w:rsidR="00217AB4" w:rsidRPr="003F3B94">
        <w:rPr>
          <w:rFonts w:ascii="Abo-thar" w:hAnsi="Abo-thar" w:hint="cs"/>
          <w:sz w:val="28"/>
          <w:rtl/>
          <w:lang w:bidi="ar-SY"/>
        </w:rPr>
        <w:t>.</w:t>
      </w:r>
      <w:r w:rsidRPr="003F3B94">
        <w:rPr>
          <w:rFonts w:ascii="Abo-thar" w:hAnsi="Abo-thar" w:hint="cs"/>
          <w:sz w:val="28"/>
          <w:rtl/>
          <w:lang w:bidi="ar-SY"/>
        </w:rPr>
        <w:t xml:space="preserve"> ونحن نحمل أخذ الإمام أي الحاكم السياسي والديني في الإسلام لمال زكاة الفطرة ومال الزكاة</w:t>
      </w:r>
      <w:r w:rsidR="00217AB4" w:rsidRPr="003F3B94">
        <w:rPr>
          <w:rFonts w:ascii="Abo-thar" w:hAnsi="Abo-thar" w:hint="cs"/>
          <w:sz w:val="28"/>
          <w:rtl/>
          <w:lang w:bidi="ar-SY"/>
        </w:rPr>
        <w:t>،</w:t>
      </w:r>
      <w:r w:rsidRPr="003F3B94">
        <w:rPr>
          <w:rFonts w:ascii="Abo-thar" w:hAnsi="Abo-thar" w:hint="cs"/>
          <w:sz w:val="28"/>
          <w:rtl/>
          <w:lang w:bidi="ar-SY"/>
        </w:rPr>
        <w:t xml:space="preserve"> على أنه يريد توزيعها على المستحقين لها الذين يعرفهم</w:t>
      </w:r>
      <w:r w:rsidR="00217AB4" w:rsidRPr="003F3B94">
        <w:rPr>
          <w:rFonts w:ascii="Abo-thar" w:hAnsi="Abo-thar" w:hint="cs"/>
          <w:sz w:val="28"/>
          <w:rtl/>
          <w:lang w:bidi="ar-SY"/>
        </w:rPr>
        <w:t>،</w:t>
      </w:r>
      <w:r w:rsidRPr="003F3B94">
        <w:rPr>
          <w:rFonts w:ascii="Abo-thar" w:hAnsi="Abo-thar" w:hint="cs"/>
          <w:sz w:val="28"/>
          <w:rtl/>
          <w:lang w:bidi="ar-SY"/>
        </w:rPr>
        <w:t xml:space="preserve"> كما يُستفاد من ال</w:t>
      </w:r>
      <w:r w:rsidR="00920257" w:rsidRPr="003F3B94">
        <w:rPr>
          <w:rFonts w:ascii="Abo-thar" w:hAnsi="Abo-thar" w:hint="cs"/>
          <w:sz w:val="28"/>
          <w:rtl/>
          <w:lang w:bidi="ar-SY"/>
        </w:rPr>
        <w:t xml:space="preserve">حديث الذي رواه الشيخ الطوسي في </w:t>
      </w:r>
      <w:r w:rsidRPr="003F3B94">
        <w:rPr>
          <w:rFonts w:ascii="Abo-thar" w:hAnsi="Abo-thar" w:hint="cs"/>
          <w:sz w:val="28"/>
          <w:rtl/>
          <w:lang w:bidi="ar-SY"/>
        </w:rPr>
        <w:t>التهذيب</w:t>
      </w:r>
      <w:r w:rsidR="00217AB4" w:rsidRPr="003F3B94">
        <w:rPr>
          <w:rFonts w:ascii="Abo-thar" w:hAnsi="Abo-thar" w:hint="cs"/>
          <w:sz w:val="28"/>
          <w:rtl/>
          <w:lang w:bidi="ar-SY"/>
        </w:rPr>
        <w:t>:</w:t>
      </w:r>
      <w:r w:rsidR="00147857" w:rsidRPr="003F3B94">
        <w:rPr>
          <w:rFonts w:ascii="Abo-thar" w:hAnsi="Abo-thar" w:hint="cs"/>
          <w:sz w:val="28"/>
          <w:rtl/>
          <w:lang w:bidi="ar-SY"/>
        </w:rPr>
        <w:t xml:space="preserve"> </w:t>
      </w:r>
    </w:p>
    <w:p w:rsidR="005C664D" w:rsidRPr="003F3B94" w:rsidRDefault="00EF2588" w:rsidP="003F3B94">
      <w:pPr>
        <w:pStyle w:val="a0"/>
        <w:rPr>
          <w:rFonts w:hint="cs"/>
          <w:rtl/>
          <w:lang w:bidi="ar-SY"/>
        </w:rPr>
      </w:pPr>
      <w:r w:rsidRPr="004A3642">
        <w:rPr>
          <w:rFonts w:ascii="Abo-thar" w:hAnsi="Abo-thar" w:cs="KFGQPC Uthman Taha Naskh" w:hint="cs"/>
          <w:sz w:val="28"/>
          <w:rtl/>
          <w:lang w:bidi="ar-SY"/>
        </w:rPr>
        <w:t>«</w:t>
      </w:r>
      <w:r w:rsidR="005C664D" w:rsidRPr="004A3642">
        <w:rPr>
          <w:rFonts w:ascii="Abo-thar" w:hAnsi="Abo-thar" w:cs="KFGQPC Uthman Taha Naskh"/>
          <w:b/>
          <w:bCs/>
          <w:sz w:val="28"/>
          <w:rtl/>
          <w:lang w:bidi="ar-SY"/>
        </w:rPr>
        <w:t xml:space="preserve">عَنِ الْفُضَيْلِ عَنْ أَبِي عَبْدِ اللهِ </w:t>
      </w:r>
      <w:r w:rsidR="00BC4BA9" w:rsidRPr="00BC4BA9">
        <w:rPr>
          <w:rFonts w:ascii="Abo-thar" w:hAnsi="Abo-thar" w:cs="CTraditional Arabic" w:hint="cs"/>
          <w:b/>
          <w:sz w:val="28"/>
          <w:rtl/>
          <w:lang w:bidi="ar-SY"/>
        </w:rPr>
        <w:t>÷</w:t>
      </w:r>
      <w:r w:rsidR="005C664D" w:rsidRPr="004A3642">
        <w:rPr>
          <w:rFonts w:ascii="Abo-thar" w:hAnsi="Abo-thar" w:cs="KFGQPC Uthman Taha Naskh"/>
          <w:b/>
          <w:bCs/>
          <w:sz w:val="28"/>
          <w:rtl/>
          <w:lang w:bidi="ar-SY"/>
        </w:rPr>
        <w:t xml:space="preserve"> قَالَ كَانَ جَدِّي </w:t>
      </w:r>
      <w:r w:rsidR="00BC4BA9" w:rsidRPr="00BC4BA9">
        <w:rPr>
          <w:rFonts w:ascii="Abo-thar" w:hAnsi="Abo-thar" w:cs="CTraditional Arabic" w:hint="cs"/>
          <w:b/>
          <w:sz w:val="28"/>
          <w:rtl/>
          <w:lang w:bidi="ar-SY"/>
        </w:rPr>
        <w:t>÷</w:t>
      </w:r>
      <w:r w:rsidR="005C664D" w:rsidRPr="004A3642">
        <w:rPr>
          <w:rFonts w:ascii="Abo-thar" w:hAnsi="Abo-thar" w:cs="KFGQPC Uthman Taha Naskh" w:hint="cs"/>
          <w:b/>
          <w:bCs/>
          <w:sz w:val="28"/>
          <w:rtl/>
          <w:lang w:bidi="ar-SY"/>
        </w:rPr>
        <w:t xml:space="preserve"> </w:t>
      </w:r>
      <w:r w:rsidR="005C664D" w:rsidRPr="004A3642">
        <w:rPr>
          <w:rFonts w:ascii="Abo-thar" w:hAnsi="Abo-thar" w:cs="KFGQPC Uthman Taha Naskh"/>
          <w:b/>
          <w:bCs/>
          <w:sz w:val="28"/>
          <w:rtl/>
          <w:lang w:bidi="ar-SY"/>
        </w:rPr>
        <w:t xml:space="preserve">يُعْطِي فِطْرَتَهُ الضُّعَفَاءَ وَمَنْ لَا يَجِدُ وَمَنْ لَا يَتَوَلَّى قَالَ وَقَالَ أَبُو عَبْدِ اللهِ </w:t>
      </w:r>
      <w:r w:rsidR="00BC4BA9" w:rsidRPr="00BC4BA9">
        <w:rPr>
          <w:rFonts w:ascii="Abo-thar" w:hAnsi="Abo-thar" w:cs="CTraditional Arabic" w:hint="cs"/>
          <w:b/>
          <w:sz w:val="28"/>
          <w:rtl/>
          <w:lang w:bidi="ar-SY"/>
        </w:rPr>
        <w:t>÷</w:t>
      </w:r>
      <w:r w:rsidR="005C664D" w:rsidRPr="004A3642">
        <w:rPr>
          <w:rFonts w:ascii="Abo-thar" w:hAnsi="Abo-thar" w:cs="KFGQPC Uthman Taha Naskh"/>
          <w:b/>
          <w:bCs/>
          <w:sz w:val="28"/>
          <w:rtl/>
          <w:lang w:bidi="ar-SY"/>
        </w:rPr>
        <w:t xml:space="preserve"> هِيَ لِأَهْلِهَا إِلَّا أَنْ لَا تَجِدَهُمْ فَإِنْ لَمْ تَجِدْهُمْ فَلِمَنْ لَا يَنْصِبُ وَلَا تَنْقُلْ مِنْ أَرْضٍ إِلَى أَرْضٍ وَقَالَ</w:t>
      </w:r>
      <w:r w:rsidR="00217AB4" w:rsidRPr="004A3642">
        <w:rPr>
          <w:rFonts w:ascii="Abo-thar" w:hAnsi="Abo-thar" w:cs="KFGQPC Uthman Taha Naskh" w:hint="cs"/>
          <w:b/>
          <w:bCs/>
          <w:sz w:val="28"/>
          <w:rtl/>
          <w:lang w:bidi="ar-SY"/>
        </w:rPr>
        <w:t>:</w:t>
      </w:r>
      <w:r w:rsidR="005C664D" w:rsidRPr="004A3642">
        <w:rPr>
          <w:rFonts w:ascii="Abo-thar" w:hAnsi="Abo-thar" w:cs="KFGQPC Uthman Taha Naskh"/>
          <w:b/>
          <w:bCs/>
          <w:sz w:val="28"/>
          <w:rtl/>
          <w:lang w:bidi="ar-SY"/>
        </w:rPr>
        <w:t xml:space="preserve"> الْإِمَامُ أَعْلَمُ يَضَعُهَا حَيْثُ يَشَاءُ وَيَصْنَعُ فِيهَا مَا يَرَى</w:t>
      </w:r>
      <w:r w:rsidRPr="004A3642">
        <w:rPr>
          <w:rFonts w:ascii="Abo-thar" w:hAnsi="Abo-thar" w:cs="KFGQPC Uthman Taha Naskh" w:hint="cs"/>
          <w:sz w:val="28"/>
          <w:rtl/>
          <w:lang w:bidi="ar-SY"/>
        </w:rPr>
        <w:t>»</w:t>
      </w:r>
      <w:r w:rsidR="00217AB4" w:rsidRPr="0021507A">
        <w:rPr>
          <w:rFonts w:cs="Arabic11 BT"/>
          <w:b/>
          <w:sz w:val="28"/>
          <w:vertAlign w:val="superscript"/>
          <w:rtl/>
          <w:lang w:bidi="ar-SY"/>
        </w:rPr>
        <w:t>(</w:t>
      </w:r>
      <w:r w:rsidR="005C664D" w:rsidRPr="0021507A">
        <w:rPr>
          <w:rStyle w:val="FootnoteReference"/>
          <w:rFonts w:cs="Arabic11 BT"/>
          <w:b/>
          <w:sz w:val="28"/>
          <w:rtl/>
          <w:lang w:bidi="ar-SY"/>
        </w:rPr>
        <w:footnoteReference w:id="173"/>
      </w:r>
      <w:r w:rsidR="00217AB4" w:rsidRPr="0021507A">
        <w:rPr>
          <w:rFonts w:cs="Arabic11 BT"/>
          <w:b/>
          <w:sz w:val="28"/>
          <w:vertAlign w:val="superscript"/>
          <w:rtl/>
          <w:lang w:bidi="ar-SY"/>
        </w:rPr>
        <w:t>)</w:t>
      </w:r>
      <w:r w:rsidR="00217AB4" w:rsidRPr="003F3B94">
        <w:rPr>
          <w:rFonts w:ascii="Abo-thar" w:hAnsi="Abo-thar" w:hint="cs"/>
          <w:sz w:val="28"/>
          <w:rtl/>
          <w:lang w:bidi="ar-SY"/>
        </w:rPr>
        <w:t>.</w:t>
      </w:r>
    </w:p>
    <w:p w:rsidR="005C664D" w:rsidRPr="003F3B94" w:rsidRDefault="005C664D" w:rsidP="003F3B94">
      <w:pPr>
        <w:pStyle w:val="a0"/>
        <w:rPr>
          <w:rFonts w:hint="cs"/>
          <w:rtl/>
          <w:lang w:bidi="ar-SY"/>
        </w:rPr>
      </w:pPr>
      <w:r w:rsidRPr="003F3B94">
        <w:rPr>
          <w:rFonts w:ascii="Abo-thar" w:hAnsi="Abo-thar" w:hint="cs"/>
          <w:sz w:val="28"/>
          <w:rtl/>
          <w:lang w:bidi="ar-SY"/>
        </w:rPr>
        <w:t>هذا على الرغم أنه ليس لدينا دليل من الأخبار حول تقسيم الإمام بنفسه لتلك الأموال على مستحقيها</w:t>
      </w:r>
      <w:r w:rsidR="00217AB4" w:rsidRPr="003F3B94">
        <w:rPr>
          <w:rFonts w:ascii="Abo-thar" w:hAnsi="Abo-thar" w:hint="cs"/>
          <w:sz w:val="28"/>
          <w:rtl/>
          <w:lang w:bidi="ar-SY"/>
        </w:rPr>
        <w:t>.</w:t>
      </w:r>
    </w:p>
    <w:p w:rsidR="00BD2796" w:rsidRPr="00995B26" w:rsidRDefault="002D2B10" w:rsidP="007D2B8A">
      <w:pPr>
        <w:pStyle w:val="a5"/>
        <w:rPr>
          <w:rFonts w:hint="cs"/>
          <w:rtl/>
          <w:lang w:bidi="ar-SY"/>
        </w:rPr>
      </w:pPr>
      <w:bookmarkStart w:id="85" w:name="_Toc387843063"/>
      <w:r w:rsidRPr="00995B26">
        <w:rPr>
          <w:rFonts w:hint="cs"/>
          <w:rtl/>
          <w:lang w:bidi="ar-SY"/>
        </w:rPr>
        <w:t xml:space="preserve">2- أخذ أهل البيت </w:t>
      </w:r>
      <w:r w:rsidR="00BD2796" w:rsidRPr="00995B26">
        <w:rPr>
          <w:rFonts w:hint="cs"/>
          <w:rtl/>
          <w:lang w:bidi="ar-SY"/>
        </w:rPr>
        <w:t>سهمهم من بيت المال، وقبولهم هدايا الخلفاء</w:t>
      </w:r>
      <w:bookmarkEnd w:id="85"/>
    </w:p>
    <w:p w:rsidR="005C664D" w:rsidRPr="003F3B94" w:rsidRDefault="005C664D" w:rsidP="003E3D26">
      <w:pPr>
        <w:pStyle w:val="a0"/>
        <w:rPr>
          <w:rFonts w:hint="cs"/>
          <w:rtl/>
        </w:rPr>
      </w:pPr>
      <w:r w:rsidRPr="003F3B94">
        <w:rPr>
          <w:rFonts w:ascii="Abo-thar" w:hAnsi="Abo-thar" w:hint="cs"/>
          <w:sz w:val="28"/>
          <w:rtl/>
          <w:lang w:bidi="ar-SY"/>
        </w:rPr>
        <w:t>1</w:t>
      </w:r>
      <w:r w:rsidR="00217AB4" w:rsidRPr="003F3B94">
        <w:rPr>
          <w:rFonts w:ascii="Abo-thar" w:hAnsi="Abo-thar" w:hint="cs"/>
          <w:sz w:val="28"/>
          <w:rtl/>
          <w:lang w:bidi="ar-SY"/>
        </w:rPr>
        <w:t>-</w:t>
      </w:r>
      <w:r w:rsidRPr="003F3B94">
        <w:rPr>
          <w:rFonts w:ascii="Abo-thar" w:hAnsi="Abo-thar" w:hint="cs"/>
          <w:sz w:val="28"/>
          <w:rtl/>
          <w:lang w:bidi="ar-SY"/>
        </w:rPr>
        <w:t xml:space="preserve"> في قضية تصرف الخليفة الأول في أرض فدك بعد رحيل رسول الله</w:t>
      </w:r>
      <w:r w:rsidR="00147857" w:rsidRPr="003F3B94">
        <w:rPr>
          <w:rFonts w:ascii="Abo-thar" w:hAnsi="Abo-thar" w:hint="cs"/>
          <w:sz w:val="28"/>
          <w:rtl/>
          <w:lang w:bidi="ar-SY"/>
        </w:rPr>
        <w:t xml:space="preserve"> </w:t>
      </w:r>
      <w:r w:rsidR="003C7AEB" w:rsidRPr="003C7AEB">
        <w:rPr>
          <w:rFonts w:ascii="Abo-thar" w:hAnsi="Abo-thar" w:cs="CTraditional Arabic"/>
          <w:sz w:val="28"/>
          <w:rtl/>
          <w:lang w:bidi="ar-SY"/>
        </w:rPr>
        <w:t>ص</w:t>
      </w:r>
      <w:r w:rsidR="00147857" w:rsidRPr="003F3B94">
        <w:rPr>
          <w:rFonts w:ascii="Abo-thar" w:hAnsi="Abo-thar"/>
          <w:sz w:val="28"/>
          <w:rtl/>
          <w:lang w:bidi="ar-SY"/>
        </w:rPr>
        <w:t xml:space="preserve"> </w:t>
      </w:r>
      <w:r w:rsidRPr="003F3B94">
        <w:rPr>
          <w:rFonts w:ascii="Abo-thar" w:hAnsi="Abo-thar" w:hint="cs"/>
          <w:sz w:val="28"/>
          <w:rtl/>
          <w:lang w:bidi="ar-SY"/>
        </w:rPr>
        <w:t xml:space="preserve">نرى أنه لما اشتكت ابنة النبي فاطمة الزهراء </w:t>
      </w:r>
      <w:r w:rsidR="008B3243" w:rsidRPr="008B3243">
        <w:rPr>
          <w:rFonts w:ascii="Abo-thar" w:hAnsi="Abo-thar" w:cs="CTraditional Arabic" w:hint="cs"/>
          <w:sz w:val="28"/>
          <w:rtl/>
          <w:lang w:bidi="ar-SY"/>
        </w:rPr>
        <w:t>‘</w:t>
      </w:r>
      <w:r w:rsidRPr="003F3B94">
        <w:rPr>
          <w:rFonts w:ascii="Abo-thar" w:hAnsi="Abo-thar" w:hint="cs"/>
          <w:sz w:val="28"/>
          <w:rtl/>
          <w:lang w:bidi="ar-SY"/>
        </w:rPr>
        <w:t xml:space="preserve"> من غصبها فدك واعترضت على ذلك بسؤالها</w:t>
      </w:r>
      <w:r w:rsidR="00217AB4" w:rsidRPr="003F3B94">
        <w:rPr>
          <w:rFonts w:ascii="Abo-thar" w:hAnsi="Abo-thar" w:hint="cs"/>
          <w:sz w:val="28"/>
          <w:rtl/>
          <w:lang w:bidi="ar-SY"/>
        </w:rPr>
        <w:t>:</w:t>
      </w:r>
      <w:r w:rsidRPr="003F3B94">
        <w:rPr>
          <w:rFonts w:ascii="Abo-thar" w:hAnsi="Abo-thar" w:hint="cs"/>
          <w:sz w:val="28"/>
          <w:rtl/>
          <w:lang w:bidi="ar-SY"/>
        </w:rPr>
        <w:t xml:space="preserve"> كيف سيكون مصيرها ومعاش أولادها إذا أُخِذَتْ منها فدك</w:t>
      </w:r>
      <w:r w:rsidR="00217AB4" w:rsidRPr="003F3B94">
        <w:rPr>
          <w:rFonts w:ascii="Abo-thar" w:hAnsi="Abo-thar" w:hint="cs"/>
          <w:sz w:val="28"/>
          <w:rtl/>
          <w:lang w:bidi="ar-SY"/>
        </w:rPr>
        <w:t>؟</w:t>
      </w:r>
      <w:r w:rsidRPr="003F3B94">
        <w:rPr>
          <w:rFonts w:ascii="Abo-thar" w:hAnsi="Abo-thar" w:hint="cs"/>
          <w:sz w:val="28"/>
          <w:rtl/>
          <w:lang w:bidi="ar-SY"/>
        </w:rPr>
        <w:t xml:space="preserve"> أجابها أبو بكر</w:t>
      </w:r>
      <w:r w:rsidR="00217AB4" w:rsidRPr="003F3B94">
        <w:rPr>
          <w:rFonts w:ascii="Abo-thar" w:hAnsi="Abo-thar" w:hint="cs"/>
          <w:sz w:val="28"/>
          <w:rtl/>
          <w:lang w:bidi="ar-SY"/>
        </w:rPr>
        <w:t>-</w:t>
      </w:r>
      <w:r w:rsidRPr="003F3B94">
        <w:rPr>
          <w:rFonts w:ascii="Abo-thar" w:hAnsi="Abo-thar" w:hint="cs"/>
          <w:sz w:val="28"/>
          <w:rtl/>
          <w:lang w:bidi="ar-SY"/>
        </w:rPr>
        <w:t xml:space="preserve"> طبق لروايات نقلها المجلسي في المجلد الثامن من بحار الأنوار </w:t>
      </w:r>
      <w:r w:rsidR="00217AB4" w:rsidRPr="003F3B94">
        <w:rPr>
          <w:rFonts w:ascii="Abo-thar" w:hAnsi="Abo-thar" w:hint="cs"/>
          <w:sz w:val="28"/>
          <w:rtl/>
          <w:lang w:bidi="ar-SY"/>
        </w:rPr>
        <w:t>(</w:t>
      </w:r>
      <w:r w:rsidRPr="003F3B94">
        <w:rPr>
          <w:rFonts w:ascii="Abo-thar" w:hAnsi="Abo-thar" w:hint="cs"/>
          <w:sz w:val="28"/>
          <w:rtl/>
          <w:lang w:bidi="ar-SY"/>
        </w:rPr>
        <w:t>ص103</w:t>
      </w:r>
      <w:r w:rsidR="00217AB4" w:rsidRPr="003F3B94">
        <w:rPr>
          <w:rFonts w:ascii="Abo-thar" w:hAnsi="Abo-thar" w:hint="cs"/>
          <w:sz w:val="28"/>
          <w:rtl/>
          <w:lang w:bidi="ar-SY"/>
        </w:rPr>
        <w:t>)</w:t>
      </w:r>
      <w:r w:rsidRPr="003F3B94">
        <w:rPr>
          <w:rFonts w:ascii="Abo-thar" w:hAnsi="Abo-thar" w:hint="cs"/>
          <w:sz w:val="28"/>
          <w:rtl/>
          <w:lang w:bidi="ar-SY"/>
        </w:rPr>
        <w:t xml:space="preserve"> طبع تبريز </w:t>
      </w:r>
      <w:r w:rsidRPr="003F3B94">
        <w:rPr>
          <w:rFonts w:cs="Times New Roman" w:hint="cs"/>
          <w:sz w:val="28"/>
          <w:rtl/>
          <w:lang w:bidi="ar-SY"/>
        </w:rPr>
        <w:t>–</w:t>
      </w:r>
      <w:r w:rsidRPr="003F3B94">
        <w:rPr>
          <w:rFonts w:ascii="Abo-thar" w:hAnsi="Abo-thar" w:hint="cs"/>
          <w:sz w:val="28"/>
          <w:rtl/>
          <w:lang w:bidi="ar-SY"/>
        </w:rPr>
        <w:t xml:space="preserve"> بأن لها حقها كسائر المسلمين من بيت المال</w:t>
      </w:r>
      <w:r w:rsidR="00217AB4" w:rsidRPr="003F3B94">
        <w:rPr>
          <w:rFonts w:ascii="Abo-thar" w:hAnsi="Abo-thar" w:hint="cs"/>
          <w:sz w:val="28"/>
          <w:rtl/>
          <w:lang w:bidi="ar-SY"/>
        </w:rPr>
        <w:t>،</w:t>
      </w:r>
      <w:r w:rsidRPr="003F3B94">
        <w:rPr>
          <w:rFonts w:ascii="Abo-thar" w:hAnsi="Abo-thar" w:hint="cs"/>
          <w:sz w:val="28"/>
          <w:rtl/>
          <w:lang w:bidi="ar-SY"/>
        </w:rPr>
        <w:t xml:space="preserve"> وفيما يلي نص رواية المجلسي</w:t>
      </w:r>
      <w:r w:rsidR="00217AB4" w:rsidRPr="003F3B94">
        <w:rPr>
          <w:rFonts w:ascii="Abo-thar" w:hAnsi="Abo-thar" w:hint="cs"/>
          <w:sz w:val="28"/>
          <w:rtl/>
          <w:lang w:bidi="ar-SY"/>
        </w:rPr>
        <w:t>:</w:t>
      </w:r>
      <w:r w:rsidR="00147857" w:rsidRPr="003F3B94">
        <w:rPr>
          <w:rFonts w:ascii="Abo-thar" w:hAnsi="Abo-thar" w:hint="cs"/>
          <w:sz w:val="28"/>
          <w:rtl/>
          <w:lang w:bidi="ar-SY"/>
        </w:rPr>
        <w:t xml:space="preserve"> </w:t>
      </w:r>
      <w:r w:rsidR="00EF2588" w:rsidRPr="004A3642">
        <w:rPr>
          <w:rFonts w:ascii="Abo-thar" w:hAnsi="Abo-thar" w:cs="KFGQPC Uthman Taha Naskh" w:hint="cs"/>
          <w:sz w:val="28"/>
          <w:rtl/>
          <w:lang w:bidi="ar-SY"/>
        </w:rPr>
        <w:t>«</w:t>
      </w:r>
      <w:r w:rsidRPr="004A3642">
        <w:rPr>
          <w:rFonts w:ascii="Abo-thar" w:hAnsi="Abo-thar" w:cs="KFGQPC Uthman Taha Naskh" w:hint="cs"/>
          <w:b/>
          <w:bCs/>
          <w:sz w:val="28"/>
          <w:rtl/>
          <w:lang w:bidi="ar-SY"/>
        </w:rPr>
        <w:t>وَفِ</w:t>
      </w:r>
      <w:r w:rsidRPr="004A3642">
        <w:rPr>
          <w:rFonts w:ascii="Abo-thar" w:hAnsi="Abo-thar" w:cs="KFGQPC Uthman Taha Naskh"/>
          <w:b/>
          <w:bCs/>
          <w:sz w:val="28"/>
          <w:rtl/>
          <w:lang w:bidi="ar-SY"/>
        </w:rPr>
        <w:t xml:space="preserve">ي رِوَايَةٍ أُخْرَى أَنَّ فَاطِمَةَ </w:t>
      </w:r>
      <w:r w:rsidR="003E3D26">
        <w:rPr>
          <w:rFonts w:ascii="Abo-thar" w:hAnsi="Abo-thar" w:cs="CTraditional Arabic" w:hint="cs"/>
          <w:b/>
          <w:sz w:val="28"/>
          <w:rtl/>
          <w:lang w:bidi="ar-SY"/>
        </w:rPr>
        <w:t>‘</w:t>
      </w:r>
      <w:r w:rsidRPr="004A3642">
        <w:rPr>
          <w:rFonts w:ascii="Abo-thar" w:hAnsi="Abo-thar" w:cs="KFGQPC Uthman Taha Naskh"/>
          <w:b/>
          <w:bCs/>
          <w:sz w:val="28"/>
          <w:rtl/>
          <w:lang w:bidi="ar-SY"/>
        </w:rPr>
        <w:t xml:space="preserve"> وَالْعَبَّاسَ أَتَيَا أَبَا بَكْرٍ</w:t>
      </w:r>
      <w:r w:rsidR="00217AB4" w:rsidRPr="004A3642">
        <w:rPr>
          <w:rFonts w:ascii="Abo-thar" w:hAnsi="Abo-thar" w:cs="KFGQPC Uthman Taha Naskh"/>
          <w:b/>
          <w:bCs/>
          <w:sz w:val="28"/>
          <w:rtl/>
          <w:lang w:bidi="ar-SY"/>
        </w:rPr>
        <w:t>..</w:t>
      </w:r>
      <w:r w:rsidRPr="004A3642">
        <w:rPr>
          <w:rFonts w:ascii="Abo-thar" w:hAnsi="Abo-thar" w:cs="KFGQPC Uthman Taha Naskh"/>
          <w:b/>
          <w:bCs/>
          <w:sz w:val="28"/>
          <w:rtl/>
          <w:lang w:bidi="ar-SY"/>
        </w:rPr>
        <w:t xml:space="preserve"> يَلْتَمِسَانِ مِيرَاثَهُمَا مِنْ رَسُولِ اللهِ</w:t>
      </w:r>
      <w:r w:rsidR="00147857" w:rsidRPr="004A3642">
        <w:rPr>
          <w:rFonts w:ascii="Abo-thar" w:hAnsi="Abo-thar" w:cs="KFGQPC Uthman Taha Naskh"/>
          <w:b/>
          <w:bCs/>
          <w:sz w:val="28"/>
          <w:rtl/>
          <w:lang w:bidi="ar-SY"/>
        </w:rPr>
        <w:t xml:space="preserve"> </w:t>
      </w:r>
      <w:r w:rsidR="003C7AEB" w:rsidRPr="003C7AEB">
        <w:rPr>
          <w:rFonts w:ascii="Abo-thar" w:hAnsi="Abo-thar" w:cs="CTraditional Arabic"/>
          <w:sz w:val="28"/>
          <w:rtl/>
          <w:lang w:bidi="ar-SY"/>
        </w:rPr>
        <w:t>ص</w:t>
      </w:r>
      <w:r w:rsidR="00147857" w:rsidRPr="004A3642">
        <w:rPr>
          <w:rFonts w:ascii="Abo-thar" w:hAnsi="Abo-thar" w:cs="KFGQPC Uthman Taha Naskh"/>
          <w:sz w:val="28"/>
          <w:rtl/>
          <w:lang w:bidi="ar-SY"/>
        </w:rPr>
        <w:t xml:space="preserve"> </w:t>
      </w:r>
      <w:r w:rsidRPr="004A3642">
        <w:rPr>
          <w:rFonts w:ascii="Abo-thar" w:hAnsi="Abo-thar" w:cs="KFGQPC Uthman Taha Naskh"/>
          <w:b/>
          <w:bCs/>
          <w:sz w:val="28"/>
          <w:rtl/>
          <w:lang w:bidi="ar-SY"/>
        </w:rPr>
        <w:t>وَهُمَا حِينَئِذٍ يَطْلُبَانِ أَرْضَهُ مِنْ فَدَكَ وَسَهْمَهُ مِنْ خَيْبَرَ</w:t>
      </w:r>
      <w:r w:rsidR="00217AB4" w:rsidRPr="004A3642">
        <w:rPr>
          <w:rFonts w:ascii="Abo-thar" w:hAnsi="Abo-thar" w:cs="KFGQPC Uthman Taha Naskh"/>
          <w:b/>
          <w:bCs/>
          <w:sz w:val="28"/>
          <w:rtl/>
          <w:lang w:bidi="ar-SY"/>
        </w:rPr>
        <w:t>،</w:t>
      </w:r>
      <w:r w:rsidRPr="004A3642">
        <w:rPr>
          <w:rFonts w:ascii="Abo-thar" w:hAnsi="Abo-thar" w:cs="KFGQPC Uthman Taha Naskh"/>
          <w:b/>
          <w:bCs/>
          <w:sz w:val="28"/>
          <w:rtl/>
          <w:lang w:bidi="ar-SY"/>
        </w:rPr>
        <w:t xml:space="preserve"> فَقَالَ أَبُو بَكْرٍ</w:t>
      </w:r>
      <w:r w:rsidR="003E3D26">
        <w:rPr>
          <w:rFonts w:ascii="Abo-thar" w:hAnsi="Abo-thar" w:cs="KFGQPC Uthman Taha Naskh" w:hint="cs"/>
          <w:b/>
          <w:bCs/>
          <w:sz w:val="28"/>
          <w:rtl/>
          <w:lang w:bidi="ar-SY"/>
        </w:rPr>
        <w:t>:</w:t>
      </w:r>
      <w:r w:rsidRPr="004A3642">
        <w:rPr>
          <w:rFonts w:ascii="Abo-thar" w:hAnsi="Abo-thar" w:cs="KFGQPC Uthman Taha Naskh"/>
          <w:b/>
          <w:bCs/>
          <w:sz w:val="28"/>
          <w:rtl/>
          <w:lang w:bidi="ar-SY"/>
        </w:rPr>
        <w:t xml:space="preserve"> إِنِّي سَمِعْتُ رَسُولَ اللهِ</w:t>
      </w:r>
      <w:r w:rsidR="00EF2588" w:rsidRPr="004A3642">
        <w:rPr>
          <w:rFonts w:ascii="Abo-thar" w:hAnsi="Abo-thar" w:cs="KFGQPC Uthman Taha Naskh" w:hint="cs"/>
          <w:b/>
          <w:bCs/>
          <w:sz w:val="28"/>
          <w:rtl/>
          <w:lang w:bidi="ar-SY"/>
        </w:rPr>
        <w:t xml:space="preserve"> </w:t>
      </w:r>
      <w:r w:rsidR="003E3D26">
        <w:rPr>
          <w:rFonts w:ascii="Abo-thar" w:hAnsi="Abo-thar" w:cs="CTraditional Arabic" w:hint="cs"/>
          <w:sz w:val="28"/>
          <w:rtl/>
          <w:lang w:bidi="ar-SY"/>
        </w:rPr>
        <w:t>ص</w:t>
      </w:r>
      <w:r w:rsidR="00EF2588" w:rsidRPr="004A3642">
        <w:rPr>
          <w:rFonts w:ascii="Abo-thar" w:hAnsi="Abo-thar" w:cs="KFGQPC Uthman Taha Naskh"/>
          <w:sz w:val="28"/>
          <w:rtl/>
          <w:lang w:bidi="ar-SY"/>
        </w:rPr>
        <w:t xml:space="preserve"> </w:t>
      </w:r>
      <w:r w:rsidRPr="004A3642">
        <w:rPr>
          <w:rFonts w:ascii="Abo-thar" w:hAnsi="Abo-thar" w:cs="KFGQPC Uthman Taha Naskh"/>
          <w:b/>
          <w:bCs/>
          <w:sz w:val="28"/>
          <w:rtl/>
          <w:lang w:bidi="ar-SY"/>
        </w:rPr>
        <w:t>قَالَ</w:t>
      </w:r>
      <w:r w:rsidR="00217AB4" w:rsidRPr="004A3642">
        <w:rPr>
          <w:rFonts w:ascii="Abo-thar" w:hAnsi="Abo-thar" w:cs="KFGQPC Uthman Taha Naskh" w:hint="cs"/>
          <w:b/>
          <w:bCs/>
          <w:sz w:val="28"/>
          <w:rtl/>
          <w:lang w:bidi="ar-SY"/>
        </w:rPr>
        <w:t>:</w:t>
      </w:r>
      <w:r w:rsidRPr="004A3642">
        <w:rPr>
          <w:rFonts w:ascii="Abo-thar" w:hAnsi="Abo-thar" w:cs="KFGQPC Uthman Taha Naskh"/>
          <w:b/>
          <w:bCs/>
          <w:sz w:val="28"/>
          <w:rtl/>
          <w:lang w:bidi="ar-SY"/>
        </w:rPr>
        <w:t xml:space="preserve"> لَا</w:t>
      </w:r>
      <w:r w:rsidRPr="004A3642">
        <w:rPr>
          <w:rFonts w:cs="Times New Roman" w:hint="cs"/>
          <w:b/>
          <w:bCs/>
          <w:sz w:val="28"/>
          <w:rtl/>
          <w:lang w:bidi="ar-SY"/>
        </w:rPr>
        <w:t> </w:t>
      </w:r>
      <w:r w:rsidRPr="004A3642">
        <w:rPr>
          <w:rFonts w:ascii="Abo-thar" w:hAnsi="Abo-thar" w:cs="KFGQPC Uthman Taha Naskh"/>
          <w:b/>
          <w:bCs/>
          <w:sz w:val="28"/>
          <w:rtl/>
          <w:lang w:bidi="ar-SY"/>
        </w:rPr>
        <w:t>نُوَرِّثُ مَا تَرَكْنَا صَدَقَةٌ</w:t>
      </w:r>
      <w:r w:rsidR="00217AB4" w:rsidRPr="004A3642">
        <w:rPr>
          <w:rFonts w:ascii="Abo-thar" w:hAnsi="Abo-thar" w:cs="KFGQPC Uthman Taha Naskh"/>
          <w:b/>
          <w:bCs/>
          <w:sz w:val="28"/>
          <w:u w:val="single"/>
          <w:rtl/>
          <w:lang w:bidi="ar-SY"/>
        </w:rPr>
        <w:t>،</w:t>
      </w:r>
      <w:r w:rsidRPr="004A3642">
        <w:rPr>
          <w:rFonts w:ascii="Abo-thar" w:hAnsi="Abo-thar" w:cs="KFGQPC Uthman Taha Naskh"/>
          <w:b/>
          <w:bCs/>
          <w:sz w:val="28"/>
          <w:u w:val="single"/>
          <w:rtl/>
          <w:lang w:bidi="ar-SY"/>
        </w:rPr>
        <w:t xml:space="preserve"> إِنَّمَا يَأْكُلُ آلُ مُحَمَّدٍ مِنْ هَذَا المَالِ</w:t>
      </w:r>
      <w:r w:rsidR="00217AB4" w:rsidRPr="004A3642">
        <w:rPr>
          <w:rFonts w:ascii="Abo-thar" w:hAnsi="Abo-thar" w:cs="KFGQPC Uthman Taha Naskh" w:hint="cs"/>
          <w:b/>
          <w:bCs/>
          <w:sz w:val="28"/>
          <w:rtl/>
          <w:lang w:bidi="ar-SY"/>
        </w:rPr>
        <w:t>.</w:t>
      </w:r>
      <w:r w:rsidR="00EB4B38" w:rsidRPr="004A3642">
        <w:rPr>
          <w:rFonts w:ascii="Abo-thar" w:hAnsi="Abo-thar" w:cs="KFGQPC Uthman Taha Naskh" w:hint="cs"/>
          <w:b/>
          <w:bCs/>
          <w:sz w:val="28"/>
          <w:rtl/>
          <w:lang w:bidi="ar-SY"/>
        </w:rPr>
        <w:t>.</w:t>
      </w:r>
      <w:r w:rsidR="00217AB4" w:rsidRPr="004A3642">
        <w:rPr>
          <w:rFonts w:ascii="Abo-thar" w:hAnsi="Abo-thar" w:cs="KFGQPC Uthman Taha Naskh" w:hint="cs"/>
          <w:b/>
          <w:bCs/>
          <w:sz w:val="28"/>
          <w:rtl/>
          <w:lang w:bidi="ar-SY"/>
        </w:rPr>
        <w:t>.</w:t>
      </w:r>
      <w:r w:rsidR="00EF2588" w:rsidRPr="004A3642">
        <w:rPr>
          <w:rFonts w:ascii="Abo-thar" w:hAnsi="Abo-thar" w:cs="KFGQPC Uthman Taha Naskh" w:hint="cs"/>
          <w:sz w:val="28"/>
          <w:rtl/>
          <w:lang w:bidi="ar-SY"/>
        </w:rPr>
        <w:t>»</w:t>
      </w:r>
      <w:r w:rsidR="00217AB4" w:rsidRPr="0021507A">
        <w:rPr>
          <w:rFonts w:cs="Arabic11 BT"/>
          <w:b/>
          <w:sz w:val="28"/>
          <w:vertAlign w:val="superscript"/>
          <w:rtl/>
          <w:lang w:bidi="ar-SY"/>
        </w:rPr>
        <w:t>(</w:t>
      </w:r>
      <w:r w:rsidRPr="0021507A">
        <w:rPr>
          <w:rStyle w:val="FootnoteReference"/>
          <w:rFonts w:cs="Arabic11 BT"/>
          <w:b/>
          <w:sz w:val="28"/>
          <w:rtl/>
          <w:lang w:bidi="ar-SY"/>
        </w:rPr>
        <w:footnoteReference w:id="174"/>
      </w:r>
      <w:r w:rsidR="00217AB4" w:rsidRPr="0021507A">
        <w:rPr>
          <w:rFonts w:cs="Arabic11 BT"/>
          <w:b/>
          <w:sz w:val="28"/>
          <w:vertAlign w:val="superscript"/>
          <w:rtl/>
          <w:lang w:bidi="ar-SY"/>
        </w:rPr>
        <w:t>)</w:t>
      </w:r>
      <w:r w:rsidR="00217AB4" w:rsidRPr="003F3B94">
        <w:rPr>
          <w:sz w:val="28"/>
          <w:rtl/>
          <w:lang w:bidi="ar-SY"/>
        </w:rPr>
        <w:t>.</w:t>
      </w:r>
      <w:r w:rsidRPr="003F3B94">
        <w:rPr>
          <w:rFonts w:ascii="Abo-thar" w:hAnsi="Abo-thar" w:hint="cs"/>
          <w:sz w:val="28"/>
          <w:rtl/>
          <w:lang w:bidi="ar-SY"/>
        </w:rPr>
        <w:t xml:space="preserve"> مما يثبت ما قلناه من أن الأكل من الصدقة ومن بيت المال جائز وحلال بالنسبة إلى جميع المستحقين للأخذ من بيت المال أيا كان نسبهم أو طبقتهم</w:t>
      </w:r>
      <w:r w:rsidR="00217AB4" w:rsidRPr="003F3B94">
        <w:rPr>
          <w:rFonts w:ascii="Abo-thar" w:hAnsi="Abo-thar" w:hint="cs"/>
          <w:sz w:val="28"/>
          <w:rtl/>
          <w:lang w:bidi="ar-SY"/>
        </w:rPr>
        <w:t>.</w:t>
      </w:r>
      <w:r w:rsidRPr="003F3B94">
        <w:rPr>
          <w:rFonts w:ascii="Abo-thar" w:hAnsi="Abo-thar" w:hint="cs"/>
          <w:sz w:val="28"/>
          <w:rtl/>
          <w:lang w:bidi="ar-SY"/>
        </w:rPr>
        <w:t xml:space="preserve"> وجاء في روايات عديدة أخرى من طرق العامة والخاصة أحاديثُ متفقةٌ تقريباً في لفظها ومعناها تفيد أن أبا بكر قال</w:t>
      </w:r>
      <w:r w:rsidR="00217AB4" w:rsidRPr="003F3B94">
        <w:rPr>
          <w:rFonts w:ascii="Abo-thar" w:hAnsi="Abo-thar" w:hint="cs"/>
          <w:sz w:val="28"/>
          <w:rtl/>
          <w:lang w:bidi="ar-SY"/>
        </w:rPr>
        <w:t>:</w:t>
      </w:r>
      <w:r w:rsidRPr="003F3B94">
        <w:rPr>
          <w:rFonts w:ascii="Abo-thar" w:hAnsi="Abo-thar" w:hint="cs"/>
          <w:sz w:val="28"/>
          <w:rtl/>
          <w:lang w:bidi="ar-SY"/>
        </w:rPr>
        <w:t xml:space="preserve"> </w:t>
      </w:r>
      <w:r w:rsidR="00EF2588" w:rsidRPr="004A3642">
        <w:rPr>
          <w:rFonts w:ascii="Abo-thar" w:hAnsi="Abo-thar" w:cs="KFGQPC Uthman Taha Naskh" w:hint="cs"/>
          <w:sz w:val="28"/>
          <w:rtl/>
          <w:lang w:bidi="ar-SY"/>
        </w:rPr>
        <w:t>«</w:t>
      </w:r>
      <w:r w:rsidRPr="004A3642">
        <w:rPr>
          <w:rFonts w:ascii="Abo-thar" w:hAnsi="Abo-thar" w:cs="KFGQPC Uthman Taha Naskh"/>
          <w:b/>
          <w:bCs/>
          <w:sz w:val="28"/>
          <w:rtl/>
          <w:lang w:bidi="ar-SY"/>
        </w:rPr>
        <w:t>وَإِنِّي أُشْهِدُ اللهَ وَكَفَى بِهِ شَهِيداً أَنِّي سَمِعْتُ رَسُولَ اللهِ</w:t>
      </w:r>
      <w:r w:rsidR="00EF2588" w:rsidRPr="004A3642">
        <w:rPr>
          <w:rFonts w:ascii="Abo-thar" w:hAnsi="Abo-thar" w:cs="KFGQPC Uthman Taha Naskh"/>
          <w:b/>
          <w:bCs/>
          <w:sz w:val="28"/>
          <w:rtl/>
          <w:lang w:bidi="ar-SY"/>
        </w:rPr>
        <w:t xml:space="preserve"> </w:t>
      </w:r>
      <w:r w:rsidR="003E3D26">
        <w:rPr>
          <w:rFonts w:ascii="Abo-thar" w:hAnsi="Abo-thar" w:cs="CTraditional Arabic" w:hint="cs"/>
          <w:sz w:val="28"/>
          <w:rtl/>
          <w:lang w:bidi="ar-SY"/>
        </w:rPr>
        <w:t>ص</w:t>
      </w:r>
      <w:r w:rsidR="00EF2588" w:rsidRPr="004A3642">
        <w:rPr>
          <w:rFonts w:ascii="Abo-thar" w:hAnsi="Abo-thar" w:cs="KFGQPC Uthman Taha Naskh"/>
          <w:sz w:val="28"/>
          <w:rtl/>
          <w:lang w:bidi="ar-SY"/>
        </w:rPr>
        <w:t xml:space="preserve"> </w:t>
      </w:r>
      <w:r w:rsidRPr="004A3642">
        <w:rPr>
          <w:rFonts w:ascii="Abo-thar" w:hAnsi="Abo-thar" w:cs="KFGQPC Uthman Taha Naskh"/>
          <w:b/>
          <w:bCs/>
          <w:sz w:val="28"/>
          <w:rtl/>
          <w:lang w:bidi="ar-SY"/>
        </w:rPr>
        <w:t>يَقُولُ</w:t>
      </w:r>
      <w:r w:rsidR="00217AB4" w:rsidRPr="004A3642">
        <w:rPr>
          <w:rFonts w:ascii="Abo-thar" w:hAnsi="Abo-thar" w:cs="KFGQPC Uthman Taha Naskh" w:hint="cs"/>
          <w:b/>
          <w:bCs/>
          <w:sz w:val="28"/>
          <w:rtl/>
          <w:lang w:bidi="ar-SY"/>
        </w:rPr>
        <w:t>:</w:t>
      </w:r>
      <w:r w:rsidRPr="004A3642">
        <w:rPr>
          <w:rFonts w:ascii="Abo-thar" w:hAnsi="Abo-thar" w:cs="KFGQPC Uthman Taha Naskh"/>
          <w:b/>
          <w:bCs/>
          <w:sz w:val="28"/>
          <w:rtl/>
          <w:lang w:bidi="ar-SY"/>
        </w:rPr>
        <w:t xml:space="preserve"> </w:t>
      </w:r>
      <w:r w:rsidRPr="004A3642">
        <w:rPr>
          <w:rFonts w:ascii="Lotus Linotype" w:hAnsi="Lotus Linotype" w:cs="KFGQPC Uthman Taha Naskh"/>
          <w:b/>
          <w:bCs/>
          <w:sz w:val="28"/>
          <w:rtl/>
          <w:lang w:bidi="ar-SY"/>
        </w:rPr>
        <w:t>«</w:t>
      </w:r>
      <w:r w:rsidRPr="004A3642">
        <w:rPr>
          <w:rFonts w:ascii="Abo-thar" w:hAnsi="Abo-thar" w:cs="KFGQPC Uthman Taha Naskh"/>
          <w:b/>
          <w:bCs/>
          <w:sz w:val="28"/>
          <w:rtl/>
          <w:lang w:bidi="ar-SY"/>
        </w:rPr>
        <w:t>نَحْنُ مَعَاشِرَ الْأَنْبِيَاءِ لَا نُوَرِّثُ ذَهَباً وَلَا</w:t>
      </w:r>
      <w:r w:rsidRPr="004A3642">
        <w:rPr>
          <w:rFonts w:cs="Times New Roman" w:hint="cs"/>
          <w:b/>
          <w:bCs/>
          <w:sz w:val="28"/>
          <w:rtl/>
          <w:lang w:bidi="ar-SY"/>
        </w:rPr>
        <w:t> </w:t>
      </w:r>
      <w:r w:rsidRPr="004A3642">
        <w:rPr>
          <w:rFonts w:ascii="Abo-thar" w:hAnsi="Abo-thar" w:cs="KFGQPC Uthman Taha Naskh"/>
          <w:b/>
          <w:bCs/>
          <w:sz w:val="28"/>
          <w:rtl/>
          <w:lang w:bidi="ar-SY"/>
        </w:rPr>
        <w:t>فِضَّةً وَلَا</w:t>
      </w:r>
      <w:r w:rsidRPr="004A3642">
        <w:rPr>
          <w:rFonts w:cs="Times New Roman" w:hint="cs"/>
          <w:b/>
          <w:bCs/>
          <w:sz w:val="28"/>
          <w:rtl/>
          <w:lang w:bidi="ar-SY"/>
        </w:rPr>
        <w:t> </w:t>
      </w:r>
      <w:r w:rsidRPr="004A3642">
        <w:rPr>
          <w:rFonts w:ascii="Abo-thar" w:hAnsi="Abo-thar" w:cs="KFGQPC Uthman Taha Naskh"/>
          <w:b/>
          <w:bCs/>
          <w:sz w:val="28"/>
          <w:rtl/>
          <w:lang w:bidi="ar-SY"/>
        </w:rPr>
        <w:t>دَاراً وَلَا</w:t>
      </w:r>
      <w:r w:rsidRPr="004A3642">
        <w:rPr>
          <w:rFonts w:cs="Times New Roman" w:hint="cs"/>
          <w:b/>
          <w:bCs/>
          <w:sz w:val="28"/>
          <w:rtl/>
          <w:lang w:bidi="ar-SY"/>
        </w:rPr>
        <w:t> </w:t>
      </w:r>
      <w:r w:rsidRPr="004A3642">
        <w:rPr>
          <w:rFonts w:ascii="Abo-thar" w:hAnsi="Abo-thar" w:cs="KFGQPC Uthman Taha Naskh"/>
          <w:b/>
          <w:bCs/>
          <w:sz w:val="28"/>
          <w:rtl/>
          <w:lang w:bidi="ar-SY"/>
        </w:rPr>
        <w:t>عَقَاراً وَإِنَّمَا نُوَرِّثُ الْكُتُبَ وَالْحِكْمَةَ وَالْعِلْمَ وَالنُّبُوَّةَ</w:t>
      </w:r>
      <w:r w:rsidR="00217AB4" w:rsidRPr="004A3642">
        <w:rPr>
          <w:rFonts w:ascii="Abo-thar" w:hAnsi="Abo-thar" w:cs="KFGQPC Uthman Taha Naskh"/>
          <w:b/>
          <w:bCs/>
          <w:sz w:val="28"/>
          <w:rtl/>
          <w:lang w:bidi="ar-SY"/>
        </w:rPr>
        <w:t>،</w:t>
      </w:r>
      <w:r w:rsidRPr="004A3642">
        <w:rPr>
          <w:rFonts w:ascii="Abo-thar" w:hAnsi="Abo-thar" w:cs="KFGQPC Uthman Taha Naskh"/>
          <w:b/>
          <w:bCs/>
          <w:sz w:val="28"/>
          <w:rtl/>
          <w:lang w:bidi="ar-SY"/>
        </w:rPr>
        <w:t xml:space="preserve"> وَمَا كَانَ لَنَا مِنْ طُعْمَةٍ فَلِوَلِيِّ الْأَمْرِ بَعْدَنَا أَنْ يَحْكُمَ فِيهِ بِحُكْمِهِ</w:t>
      </w:r>
      <w:r w:rsidRPr="004A3642">
        <w:rPr>
          <w:rFonts w:ascii="Lotus Linotype" w:hAnsi="Lotus Linotype" w:cs="KFGQPC Uthman Taha Naskh"/>
          <w:b/>
          <w:bCs/>
          <w:sz w:val="28"/>
          <w:rtl/>
          <w:lang w:bidi="ar-SY"/>
        </w:rPr>
        <w:t>»</w:t>
      </w:r>
      <w:r w:rsidR="00217AB4" w:rsidRPr="003F3B94">
        <w:rPr>
          <w:rFonts w:ascii="Abo-thar" w:hAnsi="Abo-thar" w:hint="cs"/>
          <w:b/>
          <w:bCs/>
          <w:sz w:val="28"/>
          <w:rtl/>
          <w:lang w:bidi="ar-SY"/>
        </w:rPr>
        <w:t>...</w:t>
      </w:r>
      <w:r w:rsidR="00EF2588" w:rsidRPr="003F3B94">
        <w:rPr>
          <w:rFonts w:ascii="Abo-thar" w:hAnsi="Abo-thar" w:hint="cs"/>
          <w:sz w:val="28"/>
          <w:rtl/>
          <w:lang w:bidi="ar-SY"/>
        </w:rPr>
        <w:t>»</w:t>
      </w:r>
      <w:r w:rsidR="00217AB4" w:rsidRPr="0021507A">
        <w:rPr>
          <w:rFonts w:cs="Arabic11 BT"/>
          <w:b/>
          <w:sz w:val="28"/>
          <w:vertAlign w:val="superscript"/>
          <w:rtl/>
          <w:lang w:bidi="ar-SY"/>
        </w:rPr>
        <w:t>(</w:t>
      </w:r>
      <w:r w:rsidRPr="0021507A">
        <w:rPr>
          <w:rStyle w:val="FootnoteReference"/>
          <w:rFonts w:cs="Arabic11 BT"/>
          <w:b/>
          <w:sz w:val="28"/>
          <w:rtl/>
          <w:lang w:bidi="ar-SY"/>
        </w:rPr>
        <w:footnoteReference w:id="175"/>
      </w:r>
      <w:r w:rsidR="00217AB4" w:rsidRPr="0021507A">
        <w:rPr>
          <w:rFonts w:cs="Arabic11 BT"/>
          <w:b/>
          <w:sz w:val="28"/>
          <w:vertAlign w:val="superscript"/>
          <w:rtl/>
          <w:lang w:bidi="ar-SY"/>
        </w:rPr>
        <w:t>)</w:t>
      </w:r>
      <w:r w:rsidR="00217AB4" w:rsidRPr="003F3B94">
        <w:rPr>
          <w:sz w:val="28"/>
          <w:rtl/>
          <w:lang w:bidi="ar-SY"/>
        </w:rPr>
        <w:t>.</w:t>
      </w:r>
    </w:p>
    <w:p w:rsidR="005C664D" w:rsidRPr="003F3B94" w:rsidRDefault="005C664D" w:rsidP="003F3B94">
      <w:pPr>
        <w:pStyle w:val="a0"/>
        <w:rPr>
          <w:rFonts w:hint="cs"/>
          <w:rtl/>
        </w:rPr>
      </w:pPr>
      <w:r w:rsidRPr="003F3B94">
        <w:rPr>
          <w:rFonts w:hint="cs"/>
          <w:sz w:val="28"/>
          <w:rtl/>
        </w:rPr>
        <w:t>أي أن ولي الأمر هو الذي يحدد أمر صرف المعاش للمستحقين</w:t>
      </w:r>
      <w:r w:rsidR="00217AB4" w:rsidRPr="003F3B94">
        <w:rPr>
          <w:rFonts w:hint="cs"/>
          <w:sz w:val="28"/>
          <w:rtl/>
        </w:rPr>
        <w:t>،</w:t>
      </w:r>
      <w:r w:rsidRPr="003F3B94">
        <w:rPr>
          <w:rFonts w:hint="cs"/>
          <w:sz w:val="28"/>
          <w:rtl/>
        </w:rPr>
        <w:t xml:space="preserve"> فهذا يدل على أن معاش وارتزاق أهل بيت رسول الله</w:t>
      </w:r>
      <w:r w:rsidR="00147857" w:rsidRPr="003F3B94">
        <w:rPr>
          <w:rFonts w:hint="cs"/>
          <w:sz w:val="28"/>
          <w:rtl/>
        </w:rPr>
        <w:t xml:space="preserve"> </w:t>
      </w:r>
      <w:r w:rsidR="003C7AEB" w:rsidRPr="003C7AEB">
        <w:rPr>
          <w:rFonts w:ascii="Abo-thar" w:hAnsi="Abo-thar" w:cs="CTraditional Arabic"/>
          <w:sz w:val="28"/>
          <w:rtl/>
        </w:rPr>
        <w:t>ص</w:t>
      </w:r>
      <w:r w:rsidR="00147857" w:rsidRPr="003F3B94">
        <w:rPr>
          <w:rFonts w:ascii="Abo-thar" w:hAnsi="Abo-thar"/>
          <w:sz w:val="28"/>
          <w:rtl/>
        </w:rPr>
        <w:t xml:space="preserve"> </w:t>
      </w:r>
      <w:r w:rsidRPr="003F3B94">
        <w:rPr>
          <w:rFonts w:hint="cs"/>
          <w:sz w:val="28"/>
          <w:rtl/>
        </w:rPr>
        <w:t>بعد رحيله يُعْطى من بيت المال كما يُعطَى سائر المسلمين</w:t>
      </w:r>
      <w:r w:rsidR="00217AB4" w:rsidRPr="003F3B94">
        <w:rPr>
          <w:rFonts w:hint="cs"/>
          <w:sz w:val="28"/>
          <w:rtl/>
        </w:rPr>
        <w:t>،</w:t>
      </w:r>
      <w:r w:rsidR="00147857" w:rsidRPr="003F3B94">
        <w:rPr>
          <w:rFonts w:hint="cs"/>
          <w:sz w:val="28"/>
          <w:rtl/>
        </w:rPr>
        <w:t xml:space="preserve"> و</w:t>
      </w:r>
      <w:r w:rsidRPr="003F3B94">
        <w:rPr>
          <w:rFonts w:hint="cs"/>
          <w:sz w:val="28"/>
          <w:rtl/>
        </w:rPr>
        <w:t xml:space="preserve">لا يمنع أن فاطمة الزهراء </w:t>
      </w:r>
      <w:r w:rsidR="008B3243" w:rsidRPr="008B3243">
        <w:rPr>
          <w:rFonts w:cs="CTraditional Arabic" w:hint="cs"/>
          <w:sz w:val="28"/>
          <w:rtl/>
        </w:rPr>
        <w:t>‘</w:t>
      </w:r>
      <w:r w:rsidRPr="003F3B94">
        <w:rPr>
          <w:rFonts w:hint="cs"/>
          <w:sz w:val="28"/>
          <w:rtl/>
        </w:rPr>
        <w:t xml:space="preserve"> اعترضت على القسم الأول من الحديث الذي رواه أبو بكر أي عبارة </w:t>
      </w:r>
      <w:r w:rsidRPr="003F3B94">
        <w:rPr>
          <w:rFonts w:ascii="Lotus Linotype" w:hAnsi="Lotus Linotype"/>
          <w:sz w:val="28"/>
          <w:rtl/>
        </w:rPr>
        <w:t>«</w:t>
      </w:r>
      <w:r w:rsidRPr="003F3B94">
        <w:rPr>
          <w:rFonts w:ascii="Lotus Linotype" w:hAnsi="Lotus Linotype" w:hint="cs"/>
          <w:sz w:val="28"/>
          <w:rtl/>
        </w:rPr>
        <w:t>لا نُوْرَث</w:t>
      </w:r>
      <w:r w:rsidRPr="003F3B94">
        <w:rPr>
          <w:rFonts w:ascii="Lotus Linotype" w:hAnsi="Lotus Linotype"/>
          <w:sz w:val="28"/>
          <w:rtl/>
        </w:rPr>
        <w:t>»</w:t>
      </w:r>
      <w:r w:rsidRPr="003F3B94">
        <w:rPr>
          <w:rFonts w:ascii="Lotus Linotype" w:hAnsi="Lotus Linotype" w:hint="cs"/>
          <w:sz w:val="28"/>
          <w:rtl/>
        </w:rPr>
        <w:t xml:space="preserve"> واحتجَّت على عدم صحته بآياتٍ من كتاب الله</w:t>
      </w:r>
      <w:r w:rsidR="00217AB4" w:rsidRPr="003F3B94">
        <w:rPr>
          <w:rFonts w:ascii="Lotus Linotype" w:hAnsi="Lotus Linotype" w:hint="cs"/>
          <w:sz w:val="28"/>
          <w:rtl/>
        </w:rPr>
        <w:t>،</w:t>
      </w:r>
      <w:r w:rsidRPr="003F3B94">
        <w:rPr>
          <w:rFonts w:ascii="Lotus Linotype" w:hAnsi="Lotus Linotype" w:hint="cs"/>
          <w:sz w:val="28"/>
          <w:rtl/>
        </w:rPr>
        <w:t xml:space="preserve"> لكنها</w:t>
      </w:r>
      <w:r w:rsidRPr="003F3B94">
        <w:rPr>
          <w:rFonts w:hint="cs"/>
          <w:sz w:val="28"/>
          <w:rtl/>
        </w:rPr>
        <w:t xml:space="preserve"> لم تعترض على القسم الآخر من الحديث أي قوله </w:t>
      </w:r>
      <w:r w:rsidRPr="004A3642">
        <w:rPr>
          <w:rFonts w:ascii="Lotus Linotype" w:hAnsi="Lotus Linotype" w:cs="KFGQPC Uthman Taha Naskh"/>
          <w:sz w:val="28"/>
          <w:rtl/>
        </w:rPr>
        <w:t>«</w:t>
      </w:r>
      <w:r w:rsidRPr="004A3642">
        <w:rPr>
          <w:rFonts w:ascii="Abo-thar" w:hAnsi="Abo-thar" w:cs="KFGQPC Uthman Taha Naskh"/>
          <w:b/>
          <w:bCs/>
          <w:sz w:val="28"/>
          <w:rtl/>
        </w:rPr>
        <w:t>إِنَّمَا يَأْكُلُ آلُ مُحَمَّدٍ مِنْ هَذَا المَالِ</w:t>
      </w:r>
      <w:r w:rsidRPr="004A3642">
        <w:rPr>
          <w:rFonts w:ascii="Lotus Linotype" w:hAnsi="Lotus Linotype" w:cs="KFGQPC Uthman Taha Naskh"/>
          <w:sz w:val="28"/>
          <w:rtl/>
        </w:rPr>
        <w:t>»</w:t>
      </w:r>
      <w:r w:rsidRPr="003F3B94">
        <w:rPr>
          <w:rFonts w:hint="cs"/>
          <w:sz w:val="28"/>
          <w:rtl/>
        </w:rPr>
        <w:t xml:space="preserve"> والذي يفيد أن من مسؤولية الحاكم أن يؤمن معاش أسرة رسول الله</w:t>
      </w:r>
      <w:r w:rsidR="00147857" w:rsidRPr="003F3B94">
        <w:rPr>
          <w:rFonts w:hint="cs"/>
          <w:sz w:val="28"/>
          <w:rtl/>
        </w:rPr>
        <w:t xml:space="preserve"> </w:t>
      </w:r>
      <w:r w:rsidR="003C7AEB" w:rsidRPr="003C7AEB">
        <w:rPr>
          <w:rFonts w:ascii="Abo-thar" w:hAnsi="Abo-thar" w:cs="CTraditional Arabic"/>
          <w:sz w:val="28"/>
          <w:rtl/>
        </w:rPr>
        <w:t>ص</w:t>
      </w:r>
      <w:r w:rsidR="00147857" w:rsidRPr="003F3B94">
        <w:rPr>
          <w:rFonts w:ascii="Abo-thar" w:hAnsi="Abo-thar"/>
          <w:sz w:val="28"/>
          <w:rtl/>
        </w:rPr>
        <w:t xml:space="preserve"> </w:t>
      </w:r>
      <w:r w:rsidRPr="003F3B94">
        <w:rPr>
          <w:rFonts w:hint="cs"/>
          <w:sz w:val="28"/>
          <w:rtl/>
        </w:rPr>
        <w:t>بعد رحيله من بيت المال</w:t>
      </w:r>
      <w:r w:rsidR="00217AB4" w:rsidRPr="003F3B94">
        <w:rPr>
          <w:rFonts w:hint="cs"/>
          <w:sz w:val="28"/>
          <w:rtl/>
        </w:rPr>
        <w:t>.</w:t>
      </w:r>
      <w:r w:rsidRPr="003F3B94">
        <w:rPr>
          <w:rFonts w:hint="cs"/>
          <w:sz w:val="28"/>
          <w:rtl/>
        </w:rPr>
        <w:t xml:space="preserve"> </w:t>
      </w:r>
    </w:p>
    <w:p w:rsidR="005C664D" w:rsidRPr="003F3B94" w:rsidRDefault="005C664D" w:rsidP="003F3B94">
      <w:pPr>
        <w:pStyle w:val="a0"/>
        <w:rPr>
          <w:rFonts w:hint="cs"/>
          <w:rtl/>
        </w:rPr>
      </w:pPr>
      <w:r w:rsidRPr="003F3B94">
        <w:rPr>
          <w:rFonts w:hint="cs"/>
          <w:sz w:val="28"/>
          <w:rtl/>
        </w:rPr>
        <w:t>هذا ولما كانت تلك الحادثة قد وقعت في محضر من أصحاب رسول الله</w:t>
      </w:r>
      <w:r w:rsidR="00147857" w:rsidRPr="003F3B94">
        <w:rPr>
          <w:rFonts w:ascii="Abo-thar" w:hAnsi="Abo-thar"/>
          <w:sz w:val="28"/>
          <w:rtl/>
        </w:rPr>
        <w:t xml:space="preserve"> </w:t>
      </w:r>
      <w:r w:rsidR="003C7AEB" w:rsidRPr="003C7AEB">
        <w:rPr>
          <w:rFonts w:ascii="Abo-thar" w:hAnsi="Abo-thar" w:cs="CTraditional Arabic"/>
          <w:sz w:val="28"/>
          <w:rtl/>
        </w:rPr>
        <w:t>ص</w:t>
      </w:r>
      <w:r w:rsidR="00147857" w:rsidRPr="003F3B94">
        <w:rPr>
          <w:rFonts w:ascii="Abo-thar" w:hAnsi="Abo-thar"/>
          <w:sz w:val="28"/>
          <w:rtl/>
        </w:rPr>
        <w:t xml:space="preserve"> </w:t>
      </w:r>
      <w:r w:rsidRPr="003F3B94">
        <w:rPr>
          <w:rFonts w:ascii="Abo-thar" w:hAnsi="Abo-thar" w:hint="cs"/>
          <w:sz w:val="28"/>
          <w:rtl/>
        </w:rPr>
        <w:t>الذين مدحهم القرآن وأثنى عليهم ولم يعترض أحد منهم على هذا الأمر فإن هذا دليل قاطع أن أبا بكر كان صادقاً ومصيباً فيما رواه</w:t>
      </w:r>
      <w:r w:rsidR="00217AB4" w:rsidRPr="003F3B94">
        <w:rPr>
          <w:rFonts w:ascii="Abo-thar" w:hAnsi="Abo-thar" w:hint="cs"/>
          <w:sz w:val="28"/>
          <w:rtl/>
        </w:rPr>
        <w:t>،</w:t>
      </w:r>
      <w:r w:rsidRPr="003F3B94">
        <w:rPr>
          <w:rFonts w:ascii="Abo-thar" w:hAnsi="Abo-thar" w:hint="cs"/>
          <w:sz w:val="28"/>
          <w:rtl/>
        </w:rPr>
        <w:t xml:space="preserve"> خاصة أننا نرى عامة أهل بيت النبي</w:t>
      </w:r>
      <w:r w:rsidR="00147857" w:rsidRPr="003F3B94">
        <w:rPr>
          <w:rFonts w:ascii="Abo-thar" w:hAnsi="Abo-thar" w:hint="cs"/>
          <w:sz w:val="28"/>
          <w:rtl/>
        </w:rPr>
        <w:t xml:space="preserve"> </w:t>
      </w:r>
      <w:r w:rsidR="003C7AEB" w:rsidRPr="003C7AEB">
        <w:rPr>
          <w:rFonts w:ascii="Abo-thar" w:hAnsi="Abo-thar" w:cs="CTraditional Arabic"/>
          <w:sz w:val="28"/>
          <w:rtl/>
        </w:rPr>
        <w:t>ص</w:t>
      </w:r>
      <w:r w:rsidR="00147857" w:rsidRPr="003F3B94">
        <w:rPr>
          <w:rFonts w:ascii="Abo-thar" w:hAnsi="Abo-thar"/>
          <w:sz w:val="28"/>
          <w:rtl/>
        </w:rPr>
        <w:t xml:space="preserve"> </w:t>
      </w:r>
      <w:r w:rsidRPr="003F3B94">
        <w:rPr>
          <w:rFonts w:ascii="Abo-thar" w:hAnsi="Abo-thar" w:hint="cs"/>
          <w:sz w:val="28"/>
          <w:rtl/>
        </w:rPr>
        <w:t>قد صدَّقوا قول أبي بكر عملياً إذْ كانوا يأخذون عطاءهم من بيت المال الذي أحد مصادر أمواله هو يقيناً وبالتأكيد الزكاةُ والصدقات</w:t>
      </w:r>
      <w:r w:rsidR="00217AB4" w:rsidRPr="003F3B94">
        <w:rPr>
          <w:rFonts w:ascii="Abo-thar" w:hAnsi="Abo-thar" w:hint="cs"/>
          <w:sz w:val="28"/>
          <w:rtl/>
        </w:rPr>
        <w:t>.</w:t>
      </w:r>
      <w:r w:rsidRPr="003F3B94">
        <w:rPr>
          <w:rFonts w:ascii="Abo-thar" w:hAnsi="Abo-thar" w:hint="cs"/>
          <w:sz w:val="28"/>
          <w:rtl/>
        </w:rPr>
        <w:t xml:space="preserve"> وكذلك بعد أن وضع عمر الدواوين كان أهل بيت رسول الله</w:t>
      </w:r>
      <w:r w:rsidR="00147857" w:rsidRPr="003F3B94">
        <w:rPr>
          <w:rFonts w:ascii="Abo-thar" w:hAnsi="Abo-thar" w:hint="cs"/>
          <w:sz w:val="28"/>
          <w:rtl/>
        </w:rPr>
        <w:t xml:space="preserve"> </w:t>
      </w:r>
      <w:r w:rsidR="003C7AEB" w:rsidRPr="003C7AEB">
        <w:rPr>
          <w:rFonts w:ascii="Abo-thar" w:hAnsi="Abo-thar" w:cs="CTraditional Arabic"/>
          <w:sz w:val="28"/>
          <w:rtl/>
        </w:rPr>
        <w:t>ص</w:t>
      </w:r>
      <w:r w:rsidR="00147857" w:rsidRPr="003F3B94">
        <w:rPr>
          <w:rFonts w:ascii="Abo-thar" w:hAnsi="Abo-thar"/>
          <w:sz w:val="28"/>
          <w:rtl/>
        </w:rPr>
        <w:t xml:space="preserve"> </w:t>
      </w:r>
      <w:r w:rsidRPr="003F3B94">
        <w:rPr>
          <w:rFonts w:ascii="Abo-thar" w:hAnsi="Abo-thar" w:hint="cs"/>
          <w:sz w:val="28"/>
          <w:rtl/>
        </w:rPr>
        <w:t>وآله يأخذون سهمهم من بيت المال</w:t>
      </w:r>
      <w:r w:rsidR="00217AB4" w:rsidRPr="003F3B94">
        <w:rPr>
          <w:rFonts w:ascii="Abo-thar" w:hAnsi="Abo-thar" w:hint="cs"/>
          <w:sz w:val="28"/>
          <w:rtl/>
        </w:rPr>
        <w:t>.</w:t>
      </w:r>
    </w:p>
    <w:p w:rsidR="005C664D" w:rsidRPr="003F3B94" w:rsidRDefault="005C664D" w:rsidP="007C6940">
      <w:pPr>
        <w:pStyle w:val="a0"/>
        <w:rPr>
          <w:rFonts w:hint="cs"/>
          <w:rtl/>
        </w:rPr>
      </w:pPr>
      <w:r w:rsidRPr="003F3B94">
        <w:rPr>
          <w:rFonts w:hint="cs"/>
          <w:sz w:val="28"/>
          <w:rtl/>
        </w:rPr>
        <w:t>2</w:t>
      </w:r>
      <w:r w:rsidR="00217AB4" w:rsidRPr="003F3B94">
        <w:rPr>
          <w:rFonts w:hint="cs"/>
          <w:sz w:val="28"/>
          <w:rtl/>
        </w:rPr>
        <w:t>-</w:t>
      </w:r>
      <w:r w:rsidR="00147857" w:rsidRPr="003F3B94">
        <w:rPr>
          <w:rFonts w:hint="cs"/>
          <w:sz w:val="28"/>
          <w:rtl/>
        </w:rPr>
        <w:t xml:space="preserve"> و</w:t>
      </w:r>
      <w:r w:rsidRPr="003F3B94">
        <w:rPr>
          <w:rFonts w:hint="cs"/>
          <w:sz w:val="28"/>
          <w:rtl/>
        </w:rPr>
        <w:t>جاء في جميع التواريخ والسير</w:t>
      </w:r>
      <w:r w:rsidR="00217AB4" w:rsidRPr="003F3B94">
        <w:rPr>
          <w:rFonts w:hint="cs"/>
          <w:sz w:val="28"/>
          <w:rtl/>
        </w:rPr>
        <w:t>،</w:t>
      </w:r>
      <w:r w:rsidR="00147857" w:rsidRPr="003F3B94">
        <w:rPr>
          <w:rFonts w:hint="cs"/>
          <w:sz w:val="28"/>
          <w:rtl/>
        </w:rPr>
        <w:t xml:space="preserve"> و</w:t>
      </w:r>
      <w:r w:rsidRPr="003F3B94">
        <w:rPr>
          <w:rFonts w:hint="cs"/>
          <w:sz w:val="28"/>
          <w:rtl/>
        </w:rPr>
        <w:t>منها ما نقله المجلسي في بحار الأنوار</w:t>
      </w:r>
      <w:r w:rsidR="00217AB4" w:rsidRPr="0021507A">
        <w:rPr>
          <w:rFonts w:cs="Arabic11 BT"/>
          <w:b/>
          <w:sz w:val="28"/>
          <w:vertAlign w:val="superscript"/>
          <w:rtl/>
        </w:rPr>
        <w:t>(</w:t>
      </w:r>
      <w:r w:rsidRPr="0021507A">
        <w:rPr>
          <w:rStyle w:val="FootnoteReference"/>
          <w:rFonts w:cs="Arabic11 BT"/>
          <w:b/>
          <w:sz w:val="28"/>
          <w:rtl/>
        </w:rPr>
        <w:footnoteReference w:id="176"/>
      </w:r>
      <w:r w:rsidR="00217AB4" w:rsidRPr="0021507A">
        <w:rPr>
          <w:rFonts w:cs="Arabic11 BT"/>
          <w:b/>
          <w:sz w:val="28"/>
          <w:vertAlign w:val="superscript"/>
          <w:rtl/>
        </w:rPr>
        <w:t>)</w:t>
      </w:r>
      <w:r w:rsidR="00147857" w:rsidRPr="003F3B94">
        <w:rPr>
          <w:sz w:val="28"/>
          <w:rtl/>
        </w:rPr>
        <w:t xml:space="preserve"> </w:t>
      </w:r>
      <w:r w:rsidRPr="003F3B94">
        <w:rPr>
          <w:rFonts w:hint="cs"/>
          <w:sz w:val="28"/>
          <w:rtl/>
        </w:rPr>
        <w:t>قال</w:t>
      </w:r>
      <w:r w:rsidR="00217AB4" w:rsidRPr="003F3B94">
        <w:rPr>
          <w:rFonts w:hint="cs"/>
          <w:sz w:val="28"/>
          <w:rtl/>
        </w:rPr>
        <w:t>:</w:t>
      </w:r>
      <w:r w:rsidRPr="003F3B94">
        <w:rPr>
          <w:rFonts w:hint="cs"/>
          <w:sz w:val="28"/>
          <w:rtl/>
        </w:rPr>
        <w:t xml:space="preserve"> </w:t>
      </w:r>
      <w:r w:rsidR="00EF2588" w:rsidRPr="004A3642">
        <w:rPr>
          <w:rFonts w:cs="KFGQPC Uthman Taha Naskh" w:hint="cs"/>
          <w:sz w:val="28"/>
          <w:rtl/>
        </w:rPr>
        <w:t>«</w:t>
      </w:r>
      <w:r w:rsidRPr="004A3642">
        <w:rPr>
          <w:rFonts w:cs="KFGQPC Uthman Taha Naskh"/>
          <w:b/>
          <w:bCs/>
          <w:sz w:val="28"/>
          <w:rtl/>
        </w:rPr>
        <w:t xml:space="preserve">وكان </w:t>
      </w:r>
      <w:r w:rsidR="00217AB4" w:rsidRPr="004A3642">
        <w:rPr>
          <w:rFonts w:cs="KFGQPC Uthman Taha Naskh" w:hint="cs"/>
          <w:b/>
          <w:bCs/>
          <w:sz w:val="28"/>
          <w:rtl/>
        </w:rPr>
        <w:t>(</w:t>
      </w:r>
      <w:r w:rsidRPr="004A3642">
        <w:rPr>
          <w:rFonts w:cs="KFGQPC Uthman Taha Naskh" w:hint="cs"/>
          <w:b/>
          <w:bCs/>
          <w:sz w:val="28"/>
          <w:rtl/>
        </w:rPr>
        <w:t>عمر بن الخطاب</w:t>
      </w:r>
      <w:r w:rsidR="00217AB4" w:rsidRPr="004A3642">
        <w:rPr>
          <w:rFonts w:cs="KFGQPC Uthman Taha Naskh" w:hint="cs"/>
          <w:b/>
          <w:bCs/>
          <w:sz w:val="28"/>
          <w:rtl/>
        </w:rPr>
        <w:t>)</w:t>
      </w:r>
      <w:r w:rsidRPr="004A3642">
        <w:rPr>
          <w:rFonts w:cs="KFGQPC Uthman Taha Naskh" w:hint="cs"/>
          <w:b/>
          <w:bCs/>
          <w:sz w:val="28"/>
          <w:rtl/>
        </w:rPr>
        <w:t xml:space="preserve"> </w:t>
      </w:r>
      <w:r w:rsidRPr="004A3642">
        <w:rPr>
          <w:rFonts w:cs="KFGQPC Uthman Taha Naskh"/>
          <w:b/>
          <w:bCs/>
          <w:sz w:val="28"/>
          <w:rtl/>
        </w:rPr>
        <w:t>فرض للعباس خمسة وعشرين ألفاً</w:t>
      </w:r>
      <w:r w:rsidR="00217AB4" w:rsidRPr="004A3642">
        <w:rPr>
          <w:rFonts w:cs="KFGQPC Uthman Taha Naskh"/>
          <w:b/>
          <w:bCs/>
          <w:sz w:val="28"/>
          <w:rtl/>
        </w:rPr>
        <w:t>،</w:t>
      </w:r>
      <w:r w:rsidRPr="004A3642">
        <w:rPr>
          <w:rFonts w:cs="KFGQPC Uthman Taha Naskh"/>
          <w:b/>
          <w:bCs/>
          <w:sz w:val="28"/>
          <w:rtl/>
        </w:rPr>
        <w:t xml:space="preserve"> وقيل</w:t>
      </w:r>
      <w:r w:rsidR="00217AB4" w:rsidRPr="004A3642">
        <w:rPr>
          <w:rFonts w:cs="KFGQPC Uthman Taha Naskh"/>
          <w:b/>
          <w:bCs/>
          <w:sz w:val="28"/>
          <w:rtl/>
        </w:rPr>
        <w:t>:</w:t>
      </w:r>
      <w:r w:rsidRPr="004A3642">
        <w:rPr>
          <w:rFonts w:cs="KFGQPC Uthman Taha Naskh"/>
          <w:b/>
          <w:bCs/>
          <w:sz w:val="28"/>
          <w:rtl/>
        </w:rPr>
        <w:t xml:space="preserve"> اثني عشر </w:t>
      </w:r>
      <w:r w:rsidRPr="004A3642">
        <w:rPr>
          <w:rFonts w:cs="KFGQPC Uthman Taha Naskh" w:hint="cs"/>
          <w:b/>
          <w:bCs/>
          <w:sz w:val="28"/>
          <w:rtl/>
        </w:rPr>
        <w:t>أ</w:t>
      </w:r>
      <w:r w:rsidRPr="004A3642">
        <w:rPr>
          <w:rFonts w:cs="KFGQPC Uthman Taha Naskh"/>
          <w:b/>
          <w:bCs/>
          <w:sz w:val="28"/>
          <w:rtl/>
        </w:rPr>
        <w:t>لفاً</w:t>
      </w:r>
      <w:r w:rsidR="00217AB4" w:rsidRPr="004A3642">
        <w:rPr>
          <w:rFonts w:cs="KFGQPC Uthman Taha Naskh"/>
          <w:b/>
          <w:bCs/>
          <w:sz w:val="28"/>
          <w:rtl/>
        </w:rPr>
        <w:t>،</w:t>
      </w:r>
      <w:r w:rsidRPr="004A3642">
        <w:rPr>
          <w:rFonts w:cs="KFGQPC Uthman Taha Naskh"/>
          <w:b/>
          <w:bCs/>
          <w:sz w:val="28"/>
          <w:rtl/>
        </w:rPr>
        <w:t xml:space="preserve"> وأعطى نساء النبي</w:t>
      </w:r>
      <w:r w:rsidR="00147857" w:rsidRPr="004A3642">
        <w:rPr>
          <w:rFonts w:cs="KFGQPC Uthman Taha Naskh"/>
          <w:b/>
          <w:bCs/>
          <w:sz w:val="28"/>
          <w:rtl/>
        </w:rPr>
        <w:t xml:space="preserve"> </w:t>
      </w:r>
      <w:r w:rsidR="003C7AEB" w:rsidRPr="003C7AEB">
        <w:rPr>
          <w:rFonts w:ascii="Abo-thar" w:hAnsi="Abo-thar" w:cs="CTraditional Arabic"/>
          <w:sz w:val="28"/>
          <w:rtl/>
        </w:rPr>
        <w:t>ص</w:t>
      </w:r>
      <w:r w:rsidR="00147857" w:rsidRPr="004A3642">
        <w:rPr>
          <w:rFonts w:ascii="Abo-thar" w:hAnsi="Abo-thar" w:cs="KFGQPC Uthman Taha Naskh"/>
          <w:sz w:val="28"/>
          <w:rtl/>
        </w:rPr>
        <w:t xml:space="preserve"> </w:t>
      </w:r>
      <w:r w:rsidRPr="004A3642">
        <w:rPr>
          <w:rFonts w:cs="KFGQPC Uthman Taha Naskh"/>
          <w:b/>
          <w:bCs/>
          <w:sz w:val="28"/>
          <w:rtl/>
        </w:rPr>
        <w:t>عش</w:t>
      </w:r>
      <w:r w:rsidRPr="004A3642">
        <w:rPr>
          <w:rFonts w:cs="KFGQPC Uthman Taha Naskh" w:hint="cs"/>
          <w:b/>
          <w:bCs/>
          <w:sz w:val="28"/>
          <w:rtl/>
        </w:rPr>
        <w:t>ـ</w:t>
      </w:r>
      <w:r w:rsidRPr="004A3642">
        <w:rPr>
          <w:rFonts w:cs="KFGQPC Uthman Taha Naskh"/>
          <w:b/>
          <w:bCs/>
          <w:sz w:val="28"/>
          <w:rtl/>
        </w:rPr>
        <w:t>رة آلاف عشرة آلاف</w:t>
      </w:r>
      <w:r w:rsidR="00217AB4" w:rsidRPr="004A3642">
        <w:rPr>
          <w:rFonts w:cs="KFGQPC Uthman Taha Naskh"/>
          <w:b/>
          <w:bCs/>
          <w:sz w:val="28"/>
          <w:rtl/>
        </w:rPr>
        <w:t>،</w:t>
      </w:r>
      <w:r w:rsidRPr="004A3642">
        <w:rPr>
          <w:rFonts w:cs="KFGQPC Uthman Taha Naskh"/>
          <w:b/>
          <w:bCs/>
          <w:sz w:val="28"/>
          <w:rtl/>
        </w:rPr>
        <w:t xml:space="preserve"> إلا من جرى عليها الملك</w:t>
      </w:r>
      <w:r w:rsidR="00217AB4" w:rsidRPr="004A3642">
        <w:rPr>
          <w:rFonts w:cs="KFGQPC Uthman Taha Naskh"/>
          <w:b/>
          <w:bCs/>
          <w:sz w:val="28"/>
          <w:rtl/>
        </w:rPr>
        <w:t>.</w:t>
      </w:r>
      <w:r w:rsidRPr="004A3642">
        <w:rPr>
          <w:rFonts w:cs="KFGQPC Uthman Taha Naskh"/>
          <w:b/>
          <w:bCs/>
          <w:sz w:val="28"/>
          <w:rtl/>
        </w:rPr>
        <w:t xml:space="preserve"> فقال نسوة رسول</w:t>
      </w:r>
      <w:r w:rsidR="007C6940">
        <w:rPr>
          <w:rFonts w:cs="KFGQPC Uthman Taha Naskh" w:hint="cs"/>
          <w:b/>
          <w:bCs/>
          <w:sz w:val="28"/>
          <w:rtl/>
        </w:rPr>
        <w:t>‌</w:t>
      </w:r>
      <w:r w:rsidRPr="004A3642">
        <w:rPr>
          <w:rFonts w:cs="KFGQPC Uthman Taha Naskh"/>
          <w:b/>
          <w:bCs/>
          <w:sz w:val="28"/>
          <w:rtl/>
        </w:rPr>
        <w:t>الله</w:t>
      </w:r>
      <w:r w:rsidR="003C7AEB" w:rsidRPr="003C7AEB">
        <w:rPr>
          <w:rFonts w:ascii="Abo-thar" w:hAnsi="Abo-thar" w:cs="CTraditional Arabic"/>
          <w:sz w:val="28"/>
          <w:rtl/>
        </w:rPr>
        <w:t>ص</w:t>
      </w:r>
      <w:r w:rsidR="00217AB4" w:rsidRPr="004A3642">
        <w:rPr>
          <w:rFonts w:ascii="Abo-thar" w:hAnsi="Abo-thar" w:cs="KFGQPC Uthman Taha Naskh"/>
          <w:sz w:val="28"/>
          <w:rtl/>
        </w:rPr>
        <w:t>:</w:t>
      </w:r>
      <w:r w:rsidRPr="004A3642">
        <w:rPr>
          <w:rFonts w:cs="KFGQPC Uthman Taha Naskh"/>
          <w:b/>
          <w:bCs/>
          <w:sz w:val="28"/>
          <w:rtl/>
        </w:rPr>
        <w:t xml:space="preserve"> ما كان رسول الله</w:t>
      </w:r>
      <w:r w:rsidR="00147857" w:rsidRPr="004A3642">
        <w:rPr>
          <w:rFonts w:cs="KFGQPC Uthman Taha Naskh" w:hint="cs"/>
          <w:b/>
          <w:bCs/>
          <w:sz w:val="28"/>
          <w:rtl/>
        </w:rPr>
        <w:t xml:space="preserve"> </w:t>
      </w:r>
      <w:r w:rsidR="003C7AEB" w:rsidRPr="003C7AEB">
        <w:rPr>
          <w:rFonts w:ascii="Abo-thar" w:hAnsi="Abo-thar" w:cs="CTraditional Arabic"/>
          <w:sz w:val="28"/>
          <w:rtl/>
        </w:rPr>
        <w:t>ص</w:t>
      </w:r>
      <w:r w:rsidR="00147857" w:rsidRPr="004A3642">
        <w:rPr>
          <w:rFonts w:ascii="Abo-thar" w:hAnsi="Abo-thar" w:cs="KFGQPC Uthman Taha Naskh"/>
          <w:sz w:val="28"/>
          <w:rtl/>
        </w:rPr>
        <w:t xml:space="preserve"> </w:t>
      </w:r>
      <w:r w:rsidRPr="004A3642">
        <w:rPr>
          <w:rFonts w:cs="KFGQPC Uthman Taha Naskh"/>
          <w:b/>
          <w:bCs/>
          <w:sz w:val="28"/>
          <w:rtl/>
        </w:rPr>
        <w:t>يفضلنا عليهن في القسمة</w:t>
      </w:r>
      <w:r w:rsidR="00217AB4" w:rsidRPr="004A3642">
        <w:rPr>
          <w:rFonts w:cs="KFGQPC Uthman Taha Naskh"/>
          <w:b/>
          <w:bCs/>
          <w:sz w:val="28"/>
          <w:rtl/>
        </w:rPr>
        <w:t>،</w:t>
      </w:r>
      <w:r w:rsidRPr="004A3642">
        <w:rPr>
          <w:rFonts w:cs="KFGQPC Uthman Taha Naskh"/>
          <w:b/>
          <w:bCs/>
          <w:sz w:val="28"/>
          <w:rtl/>
        </w:rPr>
        <w:t xml:space="preserve"> فسو بيننا</w:t>
      </w:r>
      <w:r w:rsidR="00217AB4" w:rsidRPr="004A3642">
        <w:rPr>
          <w:rFonts w:cs="KFGQPC Uthman Taha Naskh"/>
          <w:b/>
          <w:bCs/>
          <w:sz w:val="28"/>
          <w:rtl/>
        </w:rPr>
        <w:t>؛</w:t>
      </w:r>
      <w:r w:rsidRPr="004A3642">
        <w:rPr>
          <w:rFonts w:cs="KFGQPC Uthman Taha Naskh"/>
          <w:b/>
          <w:bCs/>
          <w:sz w:val="28"/>
          <w:rtl/>
        </w:rPr>
        <w:t xml:space="preserve"> ففعل</w:t>
      </w:r>
      <w:r w:rsidR="00F456DF" w:rsidRPr="004A3642">
        <w:rPr>
          <w:rFonts w:cs="KFGQPC Uthman Taha Naskh" w:hint="cs"/>
          <w:b/>
          <w:bCs/>
          <w:sz w:val="28"/>
          <w:rtl/>
        </w:rPr>
        <w:t>»</w:t>
      </w:r>
      <w:r w:rsidR="00217AB4" w:rsidRPr="0021507A">
        <w:rPr>
          <w:rFonts w:cs="Arabic11 BT"/>
          <w:b/>
          <w:sz w:val="28"/>
          <w:vertAlign w:val="superscript"/>
          <w:rtl/>
        </w:rPr>
        <w:t>(</w:t>
      </w:r>
      <w:r w:rsidRPr="0021507A">
        <w:rPr>
          <w:rStyle w:val="FootnoteReference"/>
          <w:rFonts w:cs="Arabic11 BT"/>
          <w:b/>
          <w:sz w:val="28"/>
          <w:rtl/>
        </w:rPr>
        <w:footnoteReference w:id="177"/>
      </w:r>
      <w:r w:rsidR="00217AB4" w:rsidRPr="0021507A">
        <w:rPr>
          <w:rFonts w:cs="Arabic11 BT"/>
          <w:b/>
          <w:sz w:val="28"/>
          <w:vertAlign w:val="superscript"/>
          <w:rtl/>
        </w:rPr>
        <w:t>)</w:t>
      </w:r>
      <w:r w:rsidR="00217AB4" w:rsidRPr="003F3B94">
        <w:rPr>
          <w:rFonts w:hint="cs"/>
          <w:sz w:val="28"/>
          <w:rtl/>
        </w:rPr>
        <w:t>.</w:t>
      </w:r>
    </w:p>
    <w:p w:rsidR="005C664D" w:rsidRPr="003F3B94" w:rsidRDefault="005C664D" w:rsidP="003F3B94">
      <w:pPr>
        <w:pStyle w:val="a0"/>
        <w:rPr>
          <w:rtl/>
          <w:lang w:bidi="ar-SY"/>
        </w:rPr>
      </w:pPr>
      <w:r w:rsidRPr="003F3B94">
        <w:rPr>
          <w:rFonts w:hint="cs"/>
          <w:sz w:val="28"/>
          <w:rtl/>
        </w:rPr>
        <w:t xml:space="preserve">وفي حديث تقسيم الخمس الذي رواه </w:t>
      </w:r>
      <w:r w:rsidRPr="003F3B94">
        <w:rPr>
          <w:rFonts w:ascii="Abo-thar" w:hAnsi="Abo-thar" w:hint="cs"/>
          <w:sz w:val="28"/>
          <w:rtl/>
        </w:rPr>
        <w:t xml:space="preserve">الكُلَيْنِيّ في </w:t>
      </w:r>
      <w:r w:rsidRPr="003F3B94">
        <w:rPr>
          <w:rFonts w:ascii="Lotus Linotype" w:hAnsi="Lotus Linotype"/>
          <w:sz w:val="28"/>
          <w:rtl/>
        </w:rPr>
        <w:t>«</w:t>
      </w:r>
      <w:r w:rsidRPr="003F3B94">
        <w:rPr>
          <w:rFonts w:ascii="Lotus Linotype" w:hAnsi="Lotus Linotype" w:hint="cs"/>
          <w:sz w:val="28"/>
          <w:rtl/>
        </w:rPr>
        <w:t>الكافي</w:t>
      </w:r>
      <w:r w:rsidRPr="003F3B94">
        <w:rPr>
          <w:rFonts w:ascii="Lotus Linotype" w:hAnsi="Lotus Linotype"/>
          <w:sz w:val="28"/>
          <w:rtl/>
        </w:rPr>
        <w:t>»</w:t>
      </w:r>
      <w:r w:rsidR="00217AB4" w:rsidRPr="0021507A">
        <w:rPr>
          <w:rFonts w:cs="Arabic11 BT"/>
          <w:b/>
          <w:sz w:val="28"/>
          <w:vertAlign w:val="superscript"/>
          <w:rtl/>
        </w:rPr>
        <w:t>(</w:t>
      </w:r>
      <w:r w:rsidRPr="0021507A">
        <w:rPr>
          <w:rStyle w:val="FootnoteReference"/>
          <w:rFonts w:cs="Arabic11 BT"/>
          <w:b/>
          <w:sz w:val="28"/>
          <w:rtl/>
        </w:rPr>
        <w:footnoteReference w:id="178"/>
      </w:r>
      <w:r w:rsidR="00217AB4" w:rsidRPr="0021507A">
        <w:rPr>
          <w:rFonts w:cs="Arabic11 BT"/>
          <w:b/>
          <w:sz w:val="28"/>
          <w:vertAlign w:val="superscript"/>
          <w:rtl/>
        </w:rPr>
        <w:t>)</w:t>
      </w:r>
      <w:r w:rsidRPr="003F3B94">
        <w:rPr>
          <w:sz w:val="28"/>
          <w:rtl/>
        </w:rPr>
        <w:t xml:space="preserve"> </w:t>
      </w:r>
      <w:r w:rsidRPr="003F3B94">
        <w:rPr>
          <w:rFonts w:hint="cs"/>
          <w:sz w:val="28"/>
          <w:rtl/>
        </w:rPr>
        <w:t xml:space="preserve">بسنده </w:t>
      </w:r>
      <w:r w:rsidRPr="003F3B94">
        <w:rPr>
          <w:sz w:val="28"/>
          <w:rtl/>
        </w:rPr>
        <w:t xml:space="preserve">عَنْ حَمَّادِ بْنِ عِيسَى عَنْ بَعْضِ أَصْحَابِنَا عَنِ الْعَبْدِ الصَّالِحِ </w:t>
      </w:r>
      <w:r w:rsidR="00217AB4" w:rsidRPr="003F3B94">
        <w:rPr>
          <w:rFonts w:hint="cs"/>
          <w:sz w:val="28"/>
          <w:rtl/>
        </w:rPr>
        <w:t>(</w:t>
      </w:r>
      <w:r w:rsidRPr="003F3B94">
        <w:rPr>
          <w:rFonts w:hint="cs"/>
          <w:sz w:val="28"/>
          <w:rtl/>
        </w:rPr>
        <w:t>أي الإمام موسى بن جعفر</w:t>
      </w:r>
      <w:r w:rsidR="00147857" w:rsidRPr="003F3B94">
        <w:rPr>
          <w:rFonts w:hint="cs"/>
          <w:sz w:val="28"/>
          <w:rtl/>
        </w:rPr>
        <w:t xml:space="preserve"> </w:t>
      </w:r>
      <w:r w:rsidR="003C7AEB" w:rsidRPr="003C7AEB">
        <w:rPr>
          <w:rFonts w:ascii="Abo-thar" w:hAnsi="Abo-thar" w:cs="CTraditional Arabic"/>
          <w:sz w:val="28"/>
          <w:rtl/>
        </w:rPr>
        <w:t>÷</w:t>
      </w:r>
      <w:r w:rsidR="00217AB4" w:rsidRPr="003F3B94">
        <w:rPr>
          <w:rFonts w:ascii="Abo-thar" w:hAnsi="Abo-thar"/>
          <w:sz w:val="28"/>
          <w:rtl/>
        </w:rPr>
        <w:t>)</w:t>
      </w:r>
      <w:r w:rsidRPr="003F3B94">
        <w:rPr>
          <w:sz w:val="28"/>
          <w:rtl/>
        </w:rPr>
        <w:t xml:space="preserve"> </w:t>
      </w:r>
      <w:r w:rsidRPr="003F3B94">
        <w:rPr>
          <w:rFonts w:hint="cs"/>
          <w:sz w:val="28"/>
          <w:rtl/>
        </w:rPr>
        <w:t>عبارة</w:t>
      </w:r>
      <w:r w:rsidR="00217AB4" w:rsidRPr="003F3B94">
        <w:rPr>
          <w:rFonts w:hint="cs"/>
          <w:sz w:val="28"/>
          <w:rtl/>
        </w:rPr>
        <w:t>:</w:t>
      </w:r>
      <w:r w:rsidRPr="003F3B94">
        <w:rPr>
          <w:rFonts w:hint="cs"/>
          <w:sz w:val="28"/>
          <w:rtl/>
        </w:rPr>
        <w:t xml:space="preserve"> </w:t>
      </w:r>
      <w:r w:rsidR="00EF2588" w:rsidRPr="003762F6">
        <w:rPr>
          <w:rFonts w:cs="KFGQPC Uthman Taha Naskh" w:hint="cs"/>
          <w:sz w:val="28"/>
          <w:rtl/>
        </w:rPr>
        <w:t>«</w:t>
      </w:r>
      <w:r w:rsidR="00217AB4" w:rsidRPr="003762F6">
        <w:rPr>
          <w:rFonts w:cs="KFGQPC Uthman Taha Naskh" w:hint="cs"/>
          <w:sz w:val="28"/>
          <w:rtl/>
        </w:rPr>
        <w:t>...</w:t>
      </w:r>
      <w:r w:rsidRPr="003762F6">
        <w:rPr>
          <w:rFonts w:cs="KFGQPC Uthman Taha Naskh"/>
          <w:sz w:val="28"/>
          <w:rtl/>
        </w:rPr>
        <w:t xml:space="preserve">فَسَهْمُ </w:t>
      </w:r>
      <w:r w:rsidRPr="003762F6">
        <w:rPr>
          <w:rFonts w:cs="KFGQPC Uthman Taha Naskh" w:hint="cs"/>
          <w:sz w:val="28"/>
          <w:rtl/>
        </w:rPr>
        <w:t>اللهِ</w:t>
      </w:r>
      <w:r w:rsidRPr="003762F6">
        <w:rPr>
          <w:rFonts w:cs="KFGQPC Uthman Taha Naskh"/>
          <w:sz w:val="28"/>
          <w:rtl/>
        </w:rPr>
        <w:t xml:space="preserve"> وَسَهْمُ رَسُولِ </w:t>
      </w:r>
      <w:r w:rsidRPr="003762F6">
        <w:rPr>
          <w:rFonts w:cs="KFGQPC Uthman Taha Naskh" w:hint="cs"/>
          <w:sz w:val="28"/>
          <w:rtl/>
        </w:rPr>
        <w:t>اللهِ</w:t>
      </w:r>
      <w:r w:rsidRPr="003762F6">
        <w:rPr>
          <w:rFonts w:cs="KFGQPC Uthman Taha Naskh"/>
          <w:sz w:val="28"/>
          <w:rtl/>
        </w:rPr>
        <w:t xml:space="preserve"> لِأُولِي الْأَمْرِ مِنْ بَعْدِ رَسُولِ </w:t>
      </w:r>
      <w:r w:rsidRPr="003762F6">
        <w:rPr>
          <w:rFonts w:cs="KFGQPC Uthman Taha Naskh" w:hint="cs"/>
          <w:sz w:val="28"/>
          <w:rtl/>
        </w:rPr>
        <w:t>اللهِ</w:t>
      </w:r>
      <w:r w:rsidR="00147857" w:rsidRPr="003762F6">
        <w:rPr>
          <w:rFonts w:cs="KFGQPC Uthman Taha Naskh" w:hint="cs"/>
          <w:sz w:val="28"/>
          <w:rtl/>
        </w:rPr>
        <w:t xml:space="preserve"> </w:t>
      </w:r>
      <w:r w:rsidR="003C7AEB" w:rsidRPr="003C7AEB">
        <w:rPr>
          <w:rFonts w:ascii="Abo-thar" w:hAnsi="Abo-thar" w:cs="CTraditional Arabic"/>
          <w:sz w:val="28"/>
          <w:rtl/>
        </w:rPr>
        <w:t>ص</w:t>
      </w:r>
      <w:r w:rsidR="00217AB4" w:rsidRPr="003762F6">
        <w:rPr>
          <w:rFonts w:ascii="Abo-thar" w:hAnsi="Abo-thar" w:cs="KFGQPC Uthman Taha Naskh"/>
          <w:sz w:val="28"/>
          <w:rtl/>
        </w:rPr>
        <w:t>.</w:t>
      </w:r>
      <w:r w:rsidR="00217AB4" w:rsidRPr="003762F6">
        <w:rPr>
          <w:rFonts w:cs="KFGQPC Uthman Taha Naskh" w:hint="cs"/>
          <w:sz w:val="28"/>
          <w:rtl/>
        </w:rPr>
        <w:t>..</w:t>
      </w:r>
      <w:r w:rsidRPr="003762F6">
        <w:rPr>
          <w:rFonts w:cs="KFGQPC Uthman Taha Naskh" w:hint="cs"/>
          <w:sz w:val="28"/>
          <w:rtl/>
        </w:rPr>
        <w:t xml:space="preserve"> </w:t>
      </w:r>
      <w:r w:rsidRPr="003762F6">
        <w:rPr>
          <w:rFonts w:cs="KFGQPC Uthman Taha Naskh"/>
          <w:sz w:val="28"/>
          <w:rtl/>
        </w:rPr>
        <w:t>وَلَهُ نِصْفُ الْخُمُسِ كَمَلًا وَنِصْفُ الْخُمُسِ الْبَاقِي بَيْنَ أَهْلِ بَيْتِهِ فَسَهْمٌ لِيَتَامَاهُمْ وَسَهْمٌ لِمَسَاكِينِهِمْ</w:t>
      </w:r>
      <w:r w:rsidR="00147857" w:rsidRPr="003762F6">
        <w:rPr>
          <w:rFonts w:cs="KFGQPC Uthman Taha Naskh"/>
          <w:sz w:val="28"/>
          <w:rtl/>
        </w:rPr>
        <w:t xml:space="preserve"> و</w:t>
      </w:r>
      <w:r w:rsidRPr="003762F6">
        <w:rPr>
          <w:rFonts w:cs="KFGQPC Uthman Taha Naskh"/>
          <w:sz w:val="28"/>
          <w:rtl/>
        </w:rPr>
        <w:t>سَهْمٌ لِأَبْنَاءِ سَبِيلِهِمْ يُقْسَمُ بَيْنَهُمْ عَلَى الْكِتَابِ وَالسُّنَّةِ مَا يَسْتَغْنُونَ بِهِ فِي سَنَتِهِمْ فَإِنْ فَضَلَ عَنْهُمْ شَيْ‏ءٌ فَهُوَ لِلْوَالِي وَإِنْ عَجَزَ أَوْ نَقَصَ عَنِ اسْتِغْنَائِهِمْ كَانَ عَلَى الْوَالِي أَنْ يُنْفِقَ مِنْ عِنْدِهِ بِقَدْرِ مَا يَسْتَغْنُونَ بِهِ</w:t>
      </w:r>
      <w:r w:rsidR="00217AB4" w:rsidRPr="003762F6">
        <w:rPr>
          <w:rFonts w:cs="KFGQPC Uthman Taha Naskh"/>
          <w:sz w:val="28"/>
          <w:rtl/>
        </w:rPr>
        <w:t>.</w:t>
      </w:r>
      <w:r w:rsidR="00217AB4" w:rsidRPr="003762F6">
        <w:rPr>
          <w:rFonts w:cs="KFGQPC Uthman Taha Naskh" w:hint="cs"/>
          <w:sz w:val="28"/>
          <w:rtl/>
        </w:rPr>
        <w:t>.</w:t>
      </w:r>
      <w:r w:rsidRPr="003762F6">
        <w:rPr>
          <w:rFonts w:cs="KFGQPC Uthman Taha Naskh" w:hint="cs"/>
          <w:sz w:val="28"/>
          <w:rtl/>
        </w:rPr>
        <w:t>الحديث</w:t>
      </w:r>
      <w:r w:rsidR="00EF2588" w:rsidRPr="003762F6">
        <w:rPr>
          <w:rFonts w:cs="KFGQPC Uthman Taha Naskh" w:hint="cs"/>
          <w:sz w:val="28"/>
          <w:rtl/>
        </w:rPr>
        <w:t>»</w:t>
      </w:r>
      <w:r w:rsidR="00217AB4" w:rsidRPr="003F3B94">
        <w:rPr>
          <w:rFonts w:hint="cs"/>
          <w:sz w:val="28"/>
          <w:rtl/>
        </w:rPr>
        <w:t>،</w:t>
      </w:r>
      <w:r w:rsidRPr="003F3B94">
        <w:rPr>
          <w:rFonts w:hint="cs"/>
          <w:sz w:val="28"/>
          <w:rtl/>
        </w:rPr>
        <w:t xml:space="preserve"> وبغض النظر عن أن هذا الحديث مجهولٌ ومُرسَلٌ [أي غير صحيح]</w:t>
      </w:r>
      <w:r w:rsidR="00217AB4" w:rsidRPr="003F3B94">
        <w:rPr>
          <w:rFonts w:hint="cs"/>
          <w:sz w:val="28"/>
          <w:rtl/>
        </w:rPr>
        <w:t>،</w:t>
      </w:r>
      <w:r w:rsidRPr="003F3B94">
        <w:rPr>
          <w:rFonts w:hint="cs"/>
          <w:sz w:val="28"/>
          <w:rtl/>
        </w:rPr>
        <w:t xml:space="preserve"> فإن عبارته تبين أن للوالي الحق أن يعطي فقراء السادة </w:t>
      </w:r>
      <w:r w:rsidRPr="003F3B94">
        <w:rPr>
          <w:rFonts w:hint="cs"/>
          <w:b/>
          <w:bCs/>
          <w:i/>
          <w:iCs/>
          <w:sz w:val="28"/>
          <w:rtl/>
        </w:rPr>
        <w:t>سهماً من بيت المال</w:t>
      </w:r>
      <w:r w:rsidRPr="003F3B94">
        <w:rPr>
          <w:rFonts w:hint="cs"/>
          <w:sz w:val="28"/>
          <w:rtl/>
        </w:rPr>
        <w:t xml:space="preserve"> [من غير الخمس إذا لم يكفهم الخمس]</w:t>
      </w:r>
      <w:r w:rsidR="00217AB4" w:rsidRPr="003F3B94">
        <w:rPr>
          <w:rFonts w:hint="cs"/>
          <w:sz w:val="28"/>
          <w:rtl/>
        </w:rPr>
        <w:t>.</w:t>
      </w:r>
    </w:p>
    <w:p w:rsidR="005C664D" w:rsidRPr="003F3B94" w:rsidRDefault="005C664D" w:rsidP="003F3B94">
      <w:pPr>
        <w:pStyle w:val="a0"/>
        <w:rPr>
          <w:rFonts w:hint="cs"/>
          <w:rtl/>
        </w:rPr>
      </w:pPr>
      <w:r w:rsidRPr="003F3B94">
        <w:rPr>
          <w:rFonts w:hint="cs"/>
          <w:sz w:val="28"/>
          <w:rtl/>
        </w:rPr>
        <w:t>3</w:t>
      </w:r>
      <w:r w:rsidR="00217AB4" w:rsidRPr="003F3B94">
        <w:rPr>
          <w:rFonts w:hint="cs"/>
          <w:sz w:val="28"/>
          <w:rtl/>
        </w:rPr>
        <w:t>-</w:t>
      </w:r>
      <w:r w:rsidRPr="003F3B94">
        <w:rPr>
          <w:rFonts w:hint="cs"/>
          <w:sz w:val="28"/>
          <w:rtl/>
        </w:rPr>
        <w:t xml:space="preserve"> وكتب المؤرخ اليعقوبي في تاريخه حول موضوع ديوان عمر يقول</w:t>
      </w:r>
      <w:r w:rsidR="00217AB4" w:rsidRPr="003F3B94">
        <w:rPr>
          <w:rFonts w:hint="cs"/>
          <w:sz w:val="28"/>
          <w:rtl/>
        </w:rPr>
        <w:t>:</w:t>
      </w:r>
      <w:r w:rsidRPr="003F3B94">
        <w:rPr>
          <w:rFonts w:hint="cs"/>
          <w:sz w:val="28"/>
          <w:rtl/>
        </w:rPr>
        <w:t xml:space="preserve"> </w:t>
      </w:r>
      <w:r w:rsidR="00EF2588" w:rsidRPr="003F3B94">
        <w:rPr>
          <w:rFonts w:hint="cs"/>
          <w:sz w:val="28"/>
          <w:rtl/>
        </w:rPr>
        <w:t>«</w:t>
      </w:r>
      <w:r w:rsidRPr="003F3B94">
        <w:rPr>
          <w:b/>
          <w:bCs/>
          <w:sz w:val="28"/>
          <w:rtl/>
        </w:rPr>
        <w:t>دو</w:t>
      </w:r>
      <w:r w:rsidRPr="003F3B94">
        <w:rPr>
          <w:rFonts w:hint="cs"/>
          <w:b/>
          <w:bCs/>
          <w:sz w:val="28"/>
          <w:rtl/>
        </w:rPr>
        <w:t>َّ</w:t>
      </w:r>
      <w:r w:rsidRPr="003F3B94">
        <w:rPr>
          <w:b/>
          <w:bCs/>
          <w:sz w:val="28"/>
          <w:rtl/>
        </w:rPr>
        <w:t>ن ع</w:t>
      </w:r>
      <w:r w:rsidRPr="003F3B94">
        <w:rPr>
          <w:rFonts w:hint="cs"/>
          <w:b/>
          <w:bCs/>
          <w:sz w:val="28"/>
          <w:rtl/>
        </w:rPr>
        <w:t>ُ</w:t>
      </w:r>
      <w:r w:rsidRPr="003F3B94">
        <w:rPr>
          <w:b/>
          <w:bCs/>
          <w:sz w:val="28"/>
          <w:rtl/>
        </w:rPr>
        <w:t>م</w:t>
      </w:r>
      <w:r w:rsidRPr="003F3B94">
        <w:rPr>
          <w:rFonts w:hint="cs"/>
          <w:b/>
          <w:bCs/>
          <w:sz w:val="28"/>
          <w:rtl/>
        </w:rPr>
        <w:t>َ</w:t>
      </w:r>
      <w:r w:rsidRPr="003F3B94">
        <w:rPr>
          <w:b/>
          <w:bCs/>
          <w:sz w:val="28"/>
          <w:rtl/>
        </w:rPr>
        <w:t>ر</w:t>
      </w:r>
      <w:r w:rsidRPr="003F3B94">
        <w:rPr>
          <w:rFonts w:hint="cs"/>
          <w:b/>
          <w:bCs/>
          <w:sz w:val="28"/>
          <w:rtl/>
        </w:rPr>
        <w:t>ُ</w:t>
      </w:r>
      <w:r w:rsidRPr="003F3B94">
        <w:rPr>
          <w:b/>
          <w:bCs/>
          <w:sz w:val="28"/>
          <w:rtl/>
        </w:rPr>
        <w:t xml:space="preserve"> الدواوين</w:t>
      </w:r>
      <w:r w:rsidRPr="003F3B94">
        <w:rPr>
          <w:rFonts w:hint="cs"/>
          <w:b/>
          <w:bCs/>
          <w:sz w:val="28"/>
          <w:rtl/>
        </w:rPr>
        <w:t>َ</w:t>
      </w:r>
      <w:r w:rsidRPr="003F3B94">
        <w:rPr>
          <w:b/>
          <w:bCs/>
          <w:sz w:val="28"/>
          <w:rtl/>
        </w:rPr>
        <w:t xml:space="preserve"> وفرض</w:t>
      </w:r>
      <w:r w:rsidRPr="003F3B94">
        <w:rPr>
          <w:rFonts w:hint="cs"/>
          <w:b/>
          <w:bCs/>
          <w:sz w:val="28"/>
          <w:rtl/>
        </w:rPr>
        <w:t>َ</w:t>
      </w:r>
      <w:r w:rsidRPr="003F3B94">
        <w:rPr>
          <w:b/>
          <w:bCs/>
          <w:sz w:val="28"/>
          <w:rtl/>
        </w:rPr>
        <w:t xml:space="preserve"> العطاء</w:t>
      </w:r>
      <w:r w:rsidRPr="003F3B94">
        <w:rPr>
          <w:rFonts w:hint="cs"/>
          <w:b/>
          <w:bCs/>
          <w:sz w:val="28"/>
          <w:rtl/>
        </w:rPr>
        <w:t>َ</w:t>
      </w:r>
      <w:r w:rsidRPr="003F3B94">
        <w:rPr>
          <w:b/>
          <w:bCs/>
          <w:sz w:val="28"/>
          <w:rtl/>
        </w:rPr>
        <w:t xml:space="preserve"> سنة عشرين</w:t>
      </w:r>
      <w:r w:rsidR="00217AB4" w:rsidRPr="003F3B94">
        <w:rPr>
          <w:b/>
          <w:bCs/>
          <w:sz w:val="28"/>
          <w:rtl/>
        </w:rPr>
        <w:t>،</w:t>
      </w:r>
      <w:r w:rsidRPr="003F3B94">
        <w:rPr>
          <w:b/>
          <w:bCs/>
          <w:sz w:val="28"/>
          <w:rtl/>
        </w:rPr>
        <w:t xml:space="preserve"> وقال</w:t>
      </w:r>
      <w:r w:rsidR="00217AB4" w:rsidRPr="003F3B94">
        <w:rPr>
          <w:b/>
          <w:bCs/>
          <w:sz w:val="28"/>
          <w:rtl/>
        </w:rPr>
        <w:t>:</w:t>
      </w:r>
      <w:r w:rsidRPr="003F3B94">
        <w:rPr>
          <w:b/>
          <w:bCs/>
          <w:sz w:val="28"/>
          <w:rtl/>
        </w:rPr>
        <w:t xml:space="preserve"> قد كثرت الأموال</w:t>
      </w:r>
      <w:r w:rsidR="00217AB4" w:rsidRPr="003F3B94">
        <w:rPr>
          <w:b/>
          <w:bCs/>
          <w:sz w:val="28"/>
          <w:rtl/>
        </w:rPr>
        <w:t>.</w:t>
      </w:r>
      <w:r w:rsidRPr="003F3B94">
        <w:rPr>
          <w:b/>
          <w:bCs/>
          <w:sz w:val="28"/>
          <w:rtl/>
        </w:rPr>
        <w:t xml:space="preserve"> فأشير عليه أن يجعل ديوانا</w:t>
      </w:r>
      <w:r w:rsidRPr="003F3B94">
        <w:rPr>
          <w:rFonts w:hint="cs"/>
          <w:b/>
          <w:bCs/>
          <w:sz w:val="28"/>
          <w:rtl/>
        </w:rPr>
        <w:t>ً</w:t>
      </w:r>
      <w:r w:rsidR="00217AB4" w:rsidRPr="003F3B94">
        <w:rPr>
          <w:b/>
          <w:bCs/>
          <w:sz w:val="28"/>
          <w:rtl/>
        </w:rPr>
        <w:t>،</w:t>
      </w:r>
      <w:r w:rsidRPr="003F3B94">
        <w:rPr>
          <w:b/>
          <w:bCs/>
          <w:sz w:val="28"/>
          <w:rtl/>
        </w:rPr>
        <w:t xml:space="preserve"> فدعا عقيل بن أبي طالب</w:t>
      </w:r>
      <w:r w:rsidR="00217AB4" w:rsidRPr="003F3B94">
        <w:rPr>
          <w:b/>
          <w:bCs/>
          <w:sz w:val="28"/>
          <w:rtl/>
        </w:rPr>
        <w:t>،</w:t>
      </w:r>
      <w:r w:rsidRPr="003F3B94">
        <w:rPr>
          <w:b/>
          <w:bCs/>
          <w:sz w:val="28"/>
          <w:rtl/>
        </w:rPr>
        <w:t xml:space="preserve"> ومخرمة بن نوفل</w:t>
      </w:r>
      <w:r w:rsidR="00217AB4" w:rsidRPr="003F3B94">
        <w:rPr>
          <w:b/>
          <w:bCs/>
          <w:sz w:val="28"/>
          <w:rtl/>
        </w:rPr>
        <w:t>،</w:t>
      </w:r>
      <w:r w:rsidRPr="003F3B94">
        <w:rPr>
          <w:b/>
          <w:bCs/>
          <w:sz w:val="28"/>
          <w:rtl/>
        </w:rPr>
        <w:t xml:space="preserve"> وجبير بن مطعم بن نوفل بن عبد مناف</w:t>
      </w:r>
      <w:r w:rsidR="00217AB4" w:rsidRPr="003F3B94">
        <w:rPr>
          <w:b/>
          <w:bCs/>
          <w:sz w:val="28"/>
          <w:rtl/>
        </w:rPr>
        <w:t>،</w:t>
      </w:r>
      <w:r w:rsidRPr="003F3B94">
        <w:rPr>
          <w:b/>
          <w:bCs/>
          <w:sz w:val="28"/>
          <w:rtl/>
        </w:rPr>
        <w:t xml:space="preserve"> وقال</w:t>
      </w:r>
      <w:r w:rsidR="00217AB4" w:rsidRPr="003F3B94">
        <w:rPr>
          <w:b/>
          <w:bCs/>
          <w:sz w:val="28"/>
          <w:rtl/>
        </w:rPr>
        <w:t>:</w:t>
      </w:r>
      <w:r w:rsidRPr="003F3B94">
        <w:rPr>
          <w:b/>
          <w:bCs/>
          <w:sz w:val="28"/>
          <w:rtl/>
        </w:rPr>
        <w:t xml:space="preserve"> اكتبوا الناس على منازلهم</w:t>
      </w:r>
      <w:r w:rsidR="00217AB4" w:rsidRPr="003F3B94">
        <w:rPr>
          <w:b/>
          <w:bCs/>
          <w:sz w:val="28"/>
          <w:rtl/>
        </w:rPr>
        <w:t>.</w:t>
      </w:r>
      <w:r w:rsidRPr="003F3B94">
        <w:rPr>
          <w:b/>
          <w:bCs/>
          <w:sz w:val="28"/>
          <w:rtl/>
        </w:rPr>
        <w:t xml:space="preserve"> وابدءوا ببني عبد مناف</w:t>
      </w:r>
      <w:r w:rsidR="00217AB4" w:rsidRPr="003F3B94">
        <w:rPr>
          <w:b/>
          <w:bCs/>
          <w:sz w:val="28"/>
          <w:rtl/>
        </w:rPr>
        <w:t>.</w:t>
      </w:r>
      <w:r w:rsidRPr="003F3B94">
        <w:rPr>
          <w:b/>
          <w:bCs/>
          <w:sz w:val="28"/>
          <w:rtl/>
        </w:rPr>
        <w:t xml:space="preserve"> فكتب أول الناس علي</w:t>
      </w:r>
      <w:r w:rsidRPr="003F3B94">
        <w:rPr>
          <w:rFonts w:hint="cs"/>
          <w:b/>
          <w:bCs/>
          <w:sz w:val="28"/>
          <w:rtl/>
        </w:rPr>
        <w:t>ّ</w:t>
      </w:r>
      <w:r w:rsidRPr="003F3B94">
        <w:rPr>
          <w:b/>
          <w:bCs/>
          <w:sz w:val="28"/>
          <w:rtl/>
        </w:rPr>
        <w:t xml:space="preserve"> بن أبي طالب في خمسة آلاف</w:t>
      </w:r>
      <w:r w:rsidR="00217AB4" w:rsidRPr="003F3B94">
        <w:rPr>
          <w:b/>
          <w:bCs/>
          <w:sz w:val="28"/>
          <w:rtl/>
        </w:rPr>
        <w:t>،</w:t>
      </w:r>
      <w:r w:rsidRPr="003F3B94">
        <w:rPr>
          <w:b/>
          <w:bCs/>
          <w:sz w:val="28"/>
          <w:rtl/>
        </w:rPr>
        <w:t xml:space="preserve"> والحسن بن علي</w:t>
      </w:r>
      <w:r w:rsidRPr="003F3B94">
        <w:rPr>
          <w:rFonts w:hint="cs"/>
          <w:b/>
          <w:bCs/>
          <w:sz w:val="28"/>
          <w:rtl/>
        </w:rPr>
        <w:t>ّ</w:t>
      </w:r>
      <w:r w:rsidRPr="003F3B94">
        <w:rPr>
          <w:b/>
          <w:bCs/>
          <w:sz w:val="28"/>
          <w:rtl/>
        </w:rPr>
        <w:t xml:space="preserve"> في ثلاثة آلاف</w:t>
      </w:r>
      <w:r w:rsidR="00217AB4" w:rsidRPr="003F3B94">
        <w:rPr>
          <w:b/>
          <w:bCs/>
          <w:sz w:val="28"/>
          <w:rtl/>
        </w:rPr>
        <w:t>،</w:t>
      </w:r>
      <w:r w:rsidRPr="003F3B94">
        <w:rPr>
          <w:b/>
          <w:bCs/>
          <w:sz w:val="28"/>
          <w:rtl/>
        </w:rPr>
        <w:t xml:space="preserve"> والحسين بن علي</w:t>
      </w:r>
      <w:r w:rsidRPr="003F3B94">
        <w:rPr>
          <w:rFonts w:hint="cs"/>
          <w:b/>
          <w:bCs/>
          <w:sz w:val="28"/>
          <w:rtl/>
        </w:rPr>
        <w:t>ّ</w:t>
      </w:r>
      <w:r w:rsidRPr="003F3B94">
        <w:rPr>
          <w:b/>
          <w:bCs/>
          <w:sz w:val="28"/>
          <w:rtl/>
        </w:rPr>
        <w:t xml:space="preserve"> في ثلاثة آلاف</w:t>
      </w:r>
      <w:r w:rsidR="00217AB4" w:rsidRPr="003F3B94">
        <w:rPr>
          <w:b/>
          <w:bCs/>
          <w:sz w:val="28"/>
          <w:rtl/>
        </w:rPr>
        <w:t>،</w:t>
      </w:r>
      <w:r w:rsidR="003E3D26">
        <w:rPr>
          <w:b/>
          <w:bCs/>
          <w:sz w:val="28"/>
          <w:rtl/>
        </w:rPr>
        <w:t xml:space="preserve"> وقيل بدأ بالعباس بن عبد</w:t>
      </w:r>
      <w:r w:rsidRPr="003F3B94">
        <w:rPr>
          <w:b/>
          <w:bCs/>
          <w:sz w:val="28"/>
          <w:rtl/>
        </w:rPr>
        <w:t>المطلب في ثلاثة آلاف</w:t>
      </w:r>
      <w:r w:rsidR="00217AB4" w:rsidRPr="003F3B94">
        <w:rPr>
          <w:b/>
          <w:bCs/>
          <w:sz w:val="28"/>
          <w:rtl/>
        </w:rPr>
        <w:t>،</w:t>
      </w:r>
      <w:r w:rsidRPr="003F3B94">
        <w:rPr>
          <w:b/>
          <w:bCs/>
          <w:sz w:val="28"/>
          <w:rtl/>
        </w:rPr>
        <w:t xml:space="preserve"> وكل</w:t>
      </w:r>
      <w:r w:rsidRPr="003F3B94">
        <w:rPr>
          <w:rFonts w:hint="cs"/>
          <w:b/>
          <w:bCs/>
          <w:sz w:val="28"/>
          <w:rtl/>
        </w:rPr>
        <w:t>ّ</w:t>
      </w:r>
      <w:r w:rsidRPr="003F3B94">
        <w:rPr>
          <w:b/>
          <w:bCs/>
          <w:sz w:val="28"/>
          <w:rtl/>
        </w:rPr>
        <w:t xml:space="preserve"> من شهد بدراً من قريش في ثلاثة آلاف</w:t>
      </w:r>
      <w:r w:rsidR="00217AB4" w:rsidRPr="003F3B94">
        <w:rPr>
          <w:rFonts w:hint="cs"/>
          <w:b/>
          <w:bCs/>
          <w:sz w:val="28"/>
          <w:rtl/>
        </w:rPr>
        <w:t>...</w:t>
      </w:r>
      <w:r w:rsidR="00217AB4" w:rsidRPr="003F3B94">
        <w:rPr>
          <w:b/>
          <w:bCs/>
          <w:sz w:val="28"/>
          <w:rtl/>
        </w:rPr>
        <w:t>.</w:t>
      </w:r>
      <w:r w:rsidR="00EF2588" w:rsidRPr="003F3B94">
        <w:rPr>
          <w:rFonts w:hint="cs"/>
          <w:sz w:val="28"/>
          <w:rtl/>
        </w:rPr>
        <w:t>»</w:t>
      </w:r>
      <w:r w:rsidR="00920257" w:rsidRPr="0021507A">
        <w:rPr>
          <w:rFonts w:cs="Arabic11 BT"/>
          <w:sz w:val="28"/>
          <w:vertAlign w:val="superscript"/>
          <w:rtl/>
        </w:rPr>
        <w:t>(</w:t>
      </w:r>
      <w:r w:rsidR="00920257" w:rsidRPr="0021507A">
        <w:rPr>
          <w:rStyle w:val="FootnoteReference"/>
          <w:rFonts w:cs="Arabic11 BT"/>
          <w:sz w:val="28"/>
          <w:rtl/>
        </w:rPr>
        <w:footnoteReference w:id="179"/>
      </w:r>
      <w:r w:rsidR="00920257" w:rsidRPr="0021507A">
        <w:rPr>
          <w:rFonts w:cs="Arabic11 BT"/>
          <w:sz w:val="28"/>
          <w:vertAlign w:val="superscript"/>
          <w:rtl/>
        </w:rPr>
        <w:t>)</w:t>
      </w:r>
      <w:r w:rsidR="00217AB4" w:rsidRPr="003F3B94">
        <w:rPr>
          <w:rFonts w:hint="cs"/>
          <w:sz w:val="28"/>
          <w:rtl/>
        </w:rPr>
        <w:t>.</w:t>
      </w:r>
    </w:p>
    <w:p w:rsidR="005C664D" w:rsidRPr="003F3B94" w:rsidRDefault="005C664D" w:rsidP="003F3B94">
      <w:pPr>
        <w:pStyle w:val="a0"/>
        <w:rPr>
          <w:rFonts w:hint="cs"/>
          <w:rtl/>
        </w:rPr>
      </w:pPr>
      <w:r w:rsidRPr="003F3B94">
        <w:rPr>
          <w:rFonts w:hint="cs"/>
          <w:sz w:val="28"/>
          <w:rtl/>
        </w:rPr>
        <w:t>فهذا الخبر يدل على أن الخليفة أعطى جميع الرعيّة بم</w:t>
      </w:r>
      <w:r w:rsidR="00920257" w:rsidRPr="003F3B94">
        <w:rPr>
          <w:rFonts w:hint="cs"/>
          <w:sz w:val="28"/>
          <w:rtl/>
        </w:rPr>
        <w:t>ن</w:t>
      </w:r>
      <w:r w:rsidRPr="003F3B94">
        <w:rPr>
          <w:rFonts w:hint="cs"/>
          <w:sz w:val="28"/>
          <w:rtl/>
        </w:rPr>
        <w:t xml:space="preserve"> فيهم بني هاشم سهماً قرَّره لهم من بيت مال المسلمين وقد قبلوا هذا العطاء وأخذوه وكانوا يعيشون منه ويصرفونه</w:t>
      </w:r>
      <w:r w:rsidR="00217AB4" w:rsidRPr="003F3B94">
        <w:rPr>
          <w:rFonts w:hint="cs"/>
          <w:sz w:val="28"/>
          <w:rtl/>
        </w:rPr>
        <w:t>،</w:t>
      </w:r>
      <w:r w:rsidRPr="003F3B94">
        <w:rPr>
          <w:rFonts w:hint="cs"/>
          <w:sz w:val="28"/>
          <w:rtl/>
        </w:rPr>
        <w:t xml:space="preserve"> ولم يُسْمع أن أحداً منهم اعترض على ذلك </w:t>
      </w:r>
      <w:r w:rsidR="00920257" w:rsidRPr="003F3B94">
        <w:rPr>
          <w:rFonts w:hint="cs"/>
          <w:sz w:val="28"/>
          <w:rtl/>
        </w:rPr>
        <w:t>أو</w:t>
      </w:r>
      <w:r w:rsidRPr="003F3B94">
        <w:rPr>
          <w:rFonts w:hint="cs"/>
          <w:sz w:val="28"/>
          <w:rtl/>
        </w:rPr>
        <w:t xml:space="preserve"> أتى بأي كلام عن حليَّة أو حرمة أموال بيت المال التي تتكون من الصدقات على بني هاشم أو غيرهم</w:t>
      </w:r>
      <w:r w:rsidR="00217AB4" w:rsidRPr="003F3B94">
        <w:rPr>
          <w:rFonts w:hint="cs"/>
          <w:sz w:val="28"/>
          <w:rtl/>
        </w:rPr>
        <w:t>.</w:t>
      </w:r>
    </w:p>
    <w:p w:rsidR="005C664D" w:rsidRPr="007C6940" w:rsidRDefault="005C664D" w:rsidP="003F3B94">
      <w:pPr>
        <w:pStyle w:val="a0"/>
        <w:rPr>
          <w:rFonts w:hint="cs"/>
          <w:spacing w:val="-2"/>
          <w:rtl/>
        </w:rPr>
      </w:pPr>
      <w:r w:rsidRPr="007C6940">
        <w:rPr>
          <w:rFonts w:hint="cs"/>
          <w:spacing w:val="-2"/>
          <w:sz w:val="28"/>
          <w:rtl/>
        </w:rPr>
        <w:t>4</w:t>
      </w:r>
      <w:r w:rsidR="00217AB4" w:rsidRPr="007C6940">
        <w:rPr>
          <w:rFonts w:hint="cs"/>
          <w:spacing w:val="-2"/>
          <w:sz w:val="28"/>
          <w:rtl/>
        </w:rPr>
        <w:t>-</w:t>
      </w:r>
      <w:r w:rsidRPr="007C6940">
        <w:rPr>
          <w:rFonts w:hint="cs"/>
          <w:spacing w:val="-2"/>
          <w:sz w:val="28"/>
          <w:rtl/>
        </w:rPr>
        <w:t xml:space="preserve"> جاء في كتاب </w:t>
      </w:r>
      <w:r w:rsidRPr="007C6940">
        <w:rPr>
          <w:rFonts w:ascii="Lotus Linotype" w:hAnsi="Lotus Linotype"/>
          <w:spacing w:val="-2"/>
          <w:sz w:val="28"/>
          <w:rtl/>
        </w:rPr>
        <w:t>«</w:t>
      </w:r>
      <w:r w:rsidRPr="007C6940">
        <w:rPr>
          <w:rFonts w:ascii="Lotus Linotype" w:hAnsi="Lotus Linotype" w:hint="cs"/>
          <w:spacing w:val="-2"/>
          <w:sz w:val="28"/>
          <w:rtl/>
        </w:rPr>
        <w:t>الخراج</w:t>
      </w:r>
      <w:r w:rsidRPr="007C6940">
        <w:rPr>
          <w:rFonts w:ascii="Lotus Linotype" w:hAnsi="Lotus Linotype"/>
          <w:spacing w:val="-2"/>
          <w:sz w:val="28"/>
          <w:rtl/>
        </w:rPr>
        <w:t>»</w:t>
      </w:r>
      <w:r w:rsidRPr="007C6940">
        <w:rPr>
          <w:rFonts w:ascii="Lotus Linotype" w:hAnsi="Lotus Linotype" w:hint="cs"/>
          <w:spacing w:val="-2"/>
          <w:sz w:val="28"/>
          <w:rtl/>
        </w:rPr>
        <w:t xml:space="preserve"> لأبي يوسف القاضي</w:t>
      </w:r>
      <w:r w:rsidR="00920257" w:rsidRPr="007C6940">
        <w:rPr>
          <w:rFonts w:ascii="Lotus Linotype" w:hAnsi="Lotus Linotype" w:hint="cs"/>
          <w:spacing w:val="-2"/>
          <w:sz w:val="28"/>
          <w:rtl/>
        </w:rPr>
        <w:t>،</w:t>
      </w:r>
      <w:r w:rsidRPr="007C6940">
        <w:rPr>
          <w:rFonts w:ascii="Lotus Linotype" w:hAnsi="Lotus Linotype" w:hint="cs"/>
          <w:spacing w:val="-2"/>
          <w:sz w:val="28"/>
          <w:rtl/>
        </w:rPr>
        <w:t xml:space="preserve"> </w:t>
      </w:r>
      <w:r w:rsidR="00920257" w:rsidRPr="007C6940">
        <w:rPr>
          <w:rFonts w:ascii="Lotus Linotype" w:hAnsi="Lotus Linotype" w:hint="cs"/>
          <w:spacing w:val="-2"/>
          <w:sz w:val="28"/>
          <w:rtl/>
        </w:rPr>
        <w:t>و</w:t>
      </w:r>
      <w:r w:rsidRPr="007C6940">
        <w:rPr>
          <w:rFonts w:ascii="Lotus Linotype" w:hAnsi="Lotus Linotype" w:hint="cs"/>
          <w:spacing w:val="-2"/>
          <w:sz w:val="28"/>
          <w:rtl/>
        </w:rPr>
        <w:t xml:space="preserve">كتاب </w:t>
      </w:r>
      <w:r w:rsidRPr="007C6940">
        <w:rPr>
          <w:rFonts w:ascii="Lotus Linotype" w:hAnsi="Lotus Linotype"/>
          <w:spacing w:val="-2"/>
          <w:sz w:val="28"/>
          <w:rtl/>
        </w:rPr>
        <w:t>«</w:t>
      </w:r>
      <w:r w:rsidRPr="007C6940">
        <w:rPr>
          <w:rFonts w:ascii="Lotus Linotype" w:hAnsi="Lotus Linotype" w:hint="cs"/>
          <w:spacing w:val="-2"/>
          <w:sz w:val="28"/>
          <w:rtl/>
        </w:rPr>
        <w:t>الأموال</w:t>
      </w:r>
      <w:r w:rsidRPr="007C6940">
        <w:rPr>
          <w:rFonts w:ascii="Lotus Linotype" w:hAnsi="Lotus Linotype"/>
          <w:spacing w:val="-2"/>
          <w:sz w:val="28"/>
          <w:rtl/>
        </w:rPr>
        <w:t>»</w:t>
      </w:r>
      <w:r w:rsidR="00920257" w:rsidRPr="007C6940">
        <w:rPr>
          <w:rFonts w:ascii="Lotus Linotype" w:hAnsi="Lotus Linotype" w:hint="cs"/>
          <w:spacing w:val="-2"/>
          <w:sz w:val="28"/>
          <w:rtl/>
        </w:rPr>
        <w:t xml:space="preserve"> لأبي عبيد القاسم بن سلام</w:t>
      </w:r>
      <w:r w:rsidR="00217AB4" w:rsidRPr="007C6940">
        <w:rPr>
          <w:rFonts w:ascii="Lotus Linotype" w:hAnsi="Lotus Linotype" w:hint="cs"/>
          <w:spacing w:val="-2"/>
          <w:sz w:val="28"/>
          <w:rtl/>
        </w:rPr>
        <w:t>:</w:t>
      </w:r>
      <w:r w:rsidRPr="007C6940">
        <w:rPr>
          <w:rFonts w:ascii="Lotus Linotype" w:hAnsi="Lotus Linotype" w:hint="cs"/>
          <w:spacing w:val="-2"/>
          <w:sz w:val="28"/>
          <w:rtl/>
        </w:rPr>
        <w:t xml:space="preserve"> </w:t>
      </w:r>
      <w:r w:rsidR="00EF2588" w:rsidRPr="007C6940">
        <w:rPr>
          <w:rFonts w:hint="cs"/>
          <w:spacing w:val="-2"/>
          <w:sz w:val="28"/>
          <w:rtl/>
        </w:rPr>
        <w:t>«</w:t>
      </w:r>
      <w:r w:rsidRPr="007C6940">
        <w:rPr>
          <w:b/>
          <w:bCs/>
          <w:spacing w:val="-2"/>
          <w:sz w:val="28"/>
          <w:rtl/>
        </w:rPr>
        <w:t xml:space="preserve">ففرض </w:t>
      </w:r>
      <w:r w:rsidR="00147857" w:rsidRPr="007C6940">
        <w:rPr>
          <w:rFonts w:hint="cs"/>
          <w:spacing w:val="-2"/>
          <w:sz w:val="28"/>
          <w:rtl/>
        </w:rPr>
        <w:t>[</w:t>
      </w:r>
      <w:r w:rsidRPr="007C6940">
        <w:rPr>
          <w:rFonts w:hint="cs"/>
          <w:spacing w:val="-2"/>
          <w:sz w:val="28"/>
          <w:rtl/>
        </w:rPr>
        <w:t>أي عُمَرُ]</w:t>
      </w:r>
      <w:r w:rsidRPr="007C6940">
        <w:rPr>
          <w:rFonts w:hint="cs"/>
          <w:b/>
          <w:bCs/>
          <w:spacing w:val="-2"/>
          <w:sz w:val="28"/>
          <w:rtl/>
        </w:rPr>
        <w:t xml:space="preserve"> </w:t>
      </w:r>
      <w:r w:rsidRPr="007C6940">
        <w:rPr>
          <w:b/>
          <w:bCs/>
          <w:spacing w:val="-2"/>
          <w:sz w:val="28"/>
          <w:rtl/>
        </w:rPr>
        <w:t>للمهاجرين والأنصار ممن شهد بدرا</w:t>
      </w:r>
      <w:r w:rsidRPr="007C6940">
        <w:rPr>
          <w:rFonts w:hint="cs"/>
          <w:b/>
          <w:bCs/>
          <w:spacing w:val="-2"/>
          <w:sz w:val="28"/>
          <w:rtl/>
        </w:rPr>
        <w:t>ً</w:t>
      </w:r>
      <w:r w:rsidRPr="007C6940">
        <w:rPr>
          <w:b/>
          <w:bCs/>
          <w:spacing w:val="-2"/>
          <w:sz w:val="28"/>
          <w:rtl/>
        </w:rPr>
        <w:t xml:space="preserve"> خمسة آلاف خمسة آلاف</w:t>
      </w:r>
      <w:r w:rsidR="00217AB4" w:rsidRPr="007C6940">
        <w:rPr>
          <w:b/>
          <w:bCs/>
          <w:spacing w:val="-2"/>
          <w:sz w:val="28"/>
          <w:rtl/>
        </w:rPr>
        <w:t>،</w:t>
      </w:r>
      <w:r w:rsidRPr="007C6940">
        <w:rPr>
          <w:b/>
          <w:bCs/>
          <w:spacing w:val="-2"/>
          <w:sz w:val="28"/>
          <w:rtl/>
        </w:rPr>
        <w:t xml:space="preserve"> وفرض لمن كان إسلامه كإسلام </w:t>
      </w:r>
      <w:r w:rsidRPr="007C6940">
        <w:rPr>
          <w:rFonts w:hint="cs"/>
          <w:b/>
          <w:bCs/>
          <w:spacing w:val="-2"/>
          <w:sz w:val="28"/>
          <w:rtl/>
        </w:rPr>
        <w:t>أ</w:t>
      </w:r>
      <w:r w:rsidRPr="007C6940">
        <w:rPr>
          <w:b/>
          <w:bCs/>
          <w:spacing w:val="-2"/>
          <w:sz w:val="28"/>
          <w:rtl/>
        </w:rPr>
        <w:t>هل بدر أربعة آلاف أربعة آلاف</w:t>
      </w:r>
      <w:r w:rsidR="00217AB4" w:rsidRPr="007C6940">
        <w:rPr>
          <w:b/>
          <w:bCs/>
          <w:spacing w:val="-2"/>
          <w:sz w:val="28"/>
          <w:rtl/>
        </w:rPr>
        <w:t>،</w:t>
      </w:r>
      <w:r w:rsidRPr="007C6940">
        <w:rPr>
          <w:b/>
          <w:bCs/>
          <w:spacing w:val="-2"/>
          <w:sz w:val="28"/>
          <w:rtl/>
        </w:rPr>
        <w:t xml:space="preserve"> وفرض لأزواج النبي</w:t>
      </w:r>
      <w:r w:rsidR="00147857" w:rsidRPr="007C6940">
        <w:rPr>
          <w:b/>
          <w:bCs/>
          <w:spacing w:val="-2"/>
          <w:sz w:val="28"/>
          <w:rtl/>
        </w:rPr>
        <w:t xml:space="preserve"> </w:t>
      </w:r>
      <w:r w:rsidR="003C7AEB" w:rsidRPr="007C6940">
        <w:rPr>
          <w:rFonts w:ascii="Abo-thar" w:hAnsi="Abo-thar" w:cs="CTraditional Arabic"/>
          <w:spacing w:val="-2"/>
          <w:sz w:val="28"/>
          <w:rtl/>
        </w:rPr>
        <w:t>ص</w:t>
      </w:r>
      <w:r w:rsidR="00147857" w:rsidRPr="007C6940">
        <w:rPr>
          <w:rFonts w:ascii="Abo-thar" w:hAnsi="Abo-thar"/>
          <w:spacing w:val="-2"/>
          <w:sz w:val="28"/>
          <w:rtl/>
        </w:rPr>
        <w:t xml:space="preserve"> </w:t>
      </w:r>
      <w:r w:rsidRPr="007C6940">
        <w:rPr>
          <w:b/>
          <w:bCs/>
          <w:spacing w:val="-2"/>
          <w:sz w:val="28"/>
          <w:rtl/>
        </w:rPr>
        <w:t>اثني عشر ألفا</w:t>
      </w:r>
      <w:r w:rsidRPr="007C6940">
        <w:rPr>
          <w:rFonts w:hint="cs"/>
          <w:b/>
          <w:bCs/>
          <w:spacing w:val="-2"/>
          <w:sz w:val="28"/>
          <w:rtl/>
        </w:rPr>
        <w:t>ً</w:t>
      </w:r>
      <w:r w:rsidRPr="007C6940">
        <w:rPr>
          <w:b/>
          <w:bCs/>
          <w:spacing w:val="-2"/>
          <w:sz w:val="28"/>
          <w:rtl/>
        </w:rPr>
        <w:t xml:space="preserve"> اثني عشر ألفا</w:t>
      </w:r>
      <w:r w:rsidRPr="007C6940">
        <w:rPr>
          <w:rFonts w:hint="cs"/>
          <w:b/>
          <w:bCs/>
          <w:spacing w:val="-2"/>
          <w:sz w:val="28"/>
          <w:rtl/>
        </w:rPr>
        <w:t>ً</w:t>
      </w:r>
      <w:r w:rsidR="00217AB4" w:rsidRPr="007C6940">
        <w:rPr>
          <w:spacing w:val="-2"/>
          <w:sz w:val="28"/>
          <w:rtl/>
        </w:rPr>
        <w:t>.</w:t>
      </w:r>
      <w:r w:rsidR="00217AB4" w:rsidRPr="007C6940">
        <w:rPr>
          <w:rFonts w:hint="cs"/>
          <w:spacing w:val="-2"/>
          <w:sz w:val="28"/>
          <w:rtl/>
        </w:rPr>
        <w:t>..</w:t>
      </w:r>
      <w:r w:rsidR="00147857" w:rsidRPr="007C6940">
        <w:rPr>
          <w:rFonts w:hint="cs"/>
          <w:spacing w:val="-2"/>
          <w:sz w:val="28"/>
          <w:rtl/>
        </w:rPr>
        <w:t xml:space="preserve"> </w:t>
      </w:r>
      <w:r w:rsidR="00217AB4" w:rsidRPr="007C6940">
        <w:rPr>
          <w:rFonts w:hint="cs"/>
          <w:spacing w:val="-2"/>
          <w:sz w:val="28"/>
          <w:rtl/>
        </w:rPr>
        <w:t>(</w:t>
      </w:r>
      <w:r w:rsidRPr="007C6940">
        <w:rPr>
          <w:rFonts w:hint="cs"/>
          <w:spacing w:val="-2"/>
          <w:sz w:val="28"/>
          <w:rtl/>
        </w:rPr>
        <w:t>إلى قوله</w:t>
      </w:r>
      <w:r w:rsidR="00217AB4" w:rsidRPr="007C6940">
        <w:rPr>
          <w:rFonts w:hint="cs"/>
          <w:spacing w:val="-2"/>
          <w:sz w:val="28"/>
          <w:rtl/>
        </w:rPr>
        <w:t>):...</w:t>
      </w:r>
      <w:r w:rsidRPr="007C6940">
        <w:rPr>
          <w:rFonts w:hint="cs"/>
          <w:spacing w:val="-2"/>
          <w:sz w:val="28"/>
          <w:rtl/>
        </w:rPr>
        <w:t xml:space="preserve"> </w:t>
      </w:r>
      <w:r w:rsidRPr="007C6940">
        <w:rPr>
          <w:b/>
          <w:bCs/>
          <w:spacing w:val="-2"/>
          <w:sz w:val="28"/>
          <w:rtl/>
        </w:rPr>
        <w:t>وفرض للعباس عم رسول الله</w:t>
      </w:r>
      <w:r w:rsidR="00147857" w:rsidRPr="007C6940">
        <w:rPr>
          <w:b/>
          <w:bCs/>
          <w:spacing w:val="-2"/>
          <w:sz w:val="28"/>
          <w:rtl/>
        </w:rPr>
        <w:t xml:space="preserve"> </w:t>
      </w:r>
      <w:r w:rsidR="003C7AEB" w:rsidRPr="007C6940">
        <w:rPr>
          <w:rFonts w:ascii="Abo-thar" w:hAnsi="Abo-thar" w:cs="CTraditional Arabic"/>
          <w:spacing w:val="-2"/>
          <w:sz w:val="28"/>
          <w:rtl/>
        </w:rPr>
        <w:t>ص</w:t>
      </w:r>
      <w:r w:rsidR="00147857" w:rsidRPr="007C6940">
        <w:rPr>
          <w:rFonts w:ascii="Abo-thar" w:hAnsi="Abo-thar"/>
          <w:spacing w:val="-2"/>
          <w:sz w:val="28"/>
          <w:rtl/>
        </w:rPr>
        <w:t xml:space="preserve"> </w:t>
      </w:r>
      <w:r w:rsidRPr="007C6940">
        <w:rPr>
          <w:b/>
          <w:bCs/>
          <w:spacing w:val="-2"/>
          <w:sz w:val="28"/>
          <w:rtl/>
        </w:rPr>
        <w:t>اثني عشر ألفا</w:t>
      </w:r>
      <w:r w:rsidRPr="007C6940">
        <w:rPr>
          <w:rFonts w:hint="cs"/>
          <w:b/>
          <w:bCs/>
          <w:spacing w:val="-2"/>
          <w:sz w:val="28"/>
          <w:rtl/>
        </w:rPr>
        <w:t>ً</w:t>
      </w:r>
      <w:r w:rsidR="001E0DB7" w:rsidRPr="007C6940">
        <w:rPr>
          <w:b/>
          <w:bCs/>
          <w:spacing w:val="-2"/>
          <w:sz w:val="28"/>
          <w:rtl/>
        </w:rPr>
        <w:t>،</w:t>
      </w:r>
      <w:r w:rsidRPr="007C6940">
        <w:rPr>
          <w:b/>
          <w:bCs/>
          <w:spacing w:val="-2"/>
          <w:sz w:val="28"/>
          <w:rtl/>
        </w:rPr>
        <w:t xml:space="preserve"> وفرض لأسامة بن زيد أربعة آلاف</w:t>
      </w:r>
      <w:r w:rsidR="001E0DB7" w:rsidRPr="007C6940">
        <w:rPr>
          <w:b/>
          <w:bCs/>
          <w:spacing w:val="-2"/>
          <w:sz w:val="28"/>
          <w:rtl/>
        </w:rPr>
        <w:t>،</w:t>
      </w:r>
      <w:r w:rsidR="00217AB4" w:rsidRPr="007C6940">
        <w:rPr>
          <w:rFonts w:hint="cs"/>
          <w:b/>
          <w:bCs/>
          <w:spacing w:val="-2"/>
          <w:sz w:val="28"/>
          <w:rtl/>
        </w:rPr>
        <w:t>...</w:t>
      </w:r>
      <w:r w:rsidR="00147857" w:rsidRPr="007C6940">
        <w:rPr>
          <w:rFonts w:hint="cs"/>
          <w:b/>
          <w:bCs/>
          <w:spacing w:val="-2"/>
          <w:sz w:val="28"/>
          <w:rtl/>
        </w:rPr>
        <w:t xml:space="preserve"> </w:t>
      </w:r>
      <w:r w:rsidRPr="007C6940">
        <w:rPr>
          <w:b/>
          <w:bCs/>
          <w:spacing w:val="-2"/>
          <w:sz w:val="28"/>
          <w:rtl/>
        </w:rPr>
        <w:t>وفرض للحسن والحسين خمسة آلاف</w:t>
      </w:r>
      <w:r w:rsidR="001E0DB7" w:rsidRPr="007C6940">
        <w:rPr>
          <w:b/>
          <w:bCs/>
          <w:spacing w:val="-2"/>
          <w:sz w:val="28"/>
          <w:rtl/>
        </w:rPr>
        <w:t>،</w:t>
      </w:r>
      <w:r w:rsidRPr="007C6940">
        <w:rPr>
          <w:b/>
          <w:bCs/>
          <w:spacing w:val="-2"/>
          <w:sz w:val="28"/>
          <w:rtl/>
        </w:rPr>
        <w:t xml:space="preserve"> ألحقهما بأبيهما لمكانهما من رسول الله</w:t>
      </w:r>
      <w:r w:rsidR="00147857" w:rsidRPr="007C6940">
        <w:rPr>
          <w:b/>
          <w:bCs/>
          <w:spacing w:val="-2"/>
          <w:sz w:val="28"/>
          <w:rtl/>
        </w:rPr>
        <w:t xml:space="preserve"> </w:t>
      </w:r>
      <w:r w:rsidR="003C7AEB" w:rsidRPr="007C6940">
        <w:rPr>
          <w:rFonts w:ascii="Abo-thar" w:hAnsi="Abo-thar" w:cs="CTraditional Arabic"/>
          <w:spacing w:val="-2"/>
          <w:sz w:val="28"/>
          <w:rtl/>
        </w:rPr>
        <w:t>ص</w:t>
      </w:r>
      <w:r w:rsidR="00217AB4" w:rsidRPr="007C6940">
        <w:rPr>
          <w:rFonts w:ascii="Abo-thar" w:hAnsi="Abo-thar"/>
          <w:spacing w:val="-2"/>
          <w:sz w:val="28"/>
          <w:rtl/>
        </w:rPr>
        <w:t>.</w:t>
      </w:r>
      <w:r w:rsidRPr="007C6940">
        <w:rPr>
          <w:rFonts w:hint="cs"/>
          <w:b/>
          <w:bCs/>
          <w:spacing w:val="-2"/>
          <w:sz w:val="28"/>
          <w:rtl/>
        </w:rPr>
        <w:t xml:space="preserve"> </w:t>
      </w:r>
      <w:r w:rsidRPr="007C6940">
        <w:rPr>
          <w:b/>
          <w:bCs/>
          <w:spacing w:val="-2"/>
          <w:sz w:val="28"/>
          <w:rtl/>
        </w:rPr>
        <w:t>وفرض لأبناء المهاجرين والأنصار ألفين ألفين</w:t>
      </w:r>
      <w:r w:rsidR="00217AB4" w:rsidRPr="007C6940">
        <w:rPr>
          <w:rFonts w:hint="cs"/>
          <w:b/>
          <w:bCs/>
          <w:spacing w:val="-2"/>
          <w:sz w:val="28"/>
          <w:rtl/>
        </w:rPr>
        <w:t>..</w:t>
      </w:r>
      <w:r w:rsidR="00147857" w:rsidRPr="007C6940">
        <w:rPr>
          <w:rFonts w:hint="cs"/>
          <w:spacing w:val="-2"/>
          <w:sz w:val="28"/>
          <w:rtl/>
        </w:rPr>
        <w:t xml:space="preserve"> </w:t>
      </w:r>
      <w:r w:rsidRPr="007C6940">
        <w:rPr>
          <w:rFonts w:hint="cs"/>
          <w:spacing w:val="-2"/>
          <w:sz w:val="28"/>
          <w:rtl/>
        </w:rPr>
        <w:t>إلى آخر الخبر</w:t>
      </w:r>
      <w:r w:rsidR="00EF2588" w:rsidRPr="007C6940">
        <w:rPr>
          <w:rFonts w:hint="cs"/>
          <w:spacing w:val="-2"/>
          <w:sz w:val="28"/>
          <w:rtl/>
        </w:rPr>
        <w:t>»</w:t>
      </w:r>
      <w:r w:rsidR="00217AB4" w:rsidRPr="007C6940">
        <w:rPr>
          <w:rFonts w:cs="Arabic11 BT"/>
          <w:b/>
          <w:spacing w:val="-2"/>
          <w:sz w:val="28"/>
          <w:vertAlign w:val="superscript"/>
          <w:rtl/>
        </w:rPr>
        <w:t>(</w:t>
      </w:r>
      <w:r w:rsidRPr="007C6940">
        <w:rPr>
          <w:rStyle w:val="FootnoteReference"/>
          <w:rFonts w:cs="Arabic11 BT"/>
          <w:b/>
          <w:spacing w:val="-2"/>
          <w:sz w:val="28"/>
          <w:rtl/>
        </w:rPr>
        <w:footnoteReference w:id="180"/>
      </w:r>
      <w:r w:rsidR="00217AB4" w:rsidRPr="007C6940">
        <w:rPr>
          <w:rFonts w:cs="Arabic11 BT"/>
          <w:b/>
          <w:spacing w:val="-2"/>
          <w:sz w:val="28"/>
          <w:vertAlign w:val="superscript"/>
          <w:rtl/>
        </w:rPr>
        <w:t>)</w:t>
      </w:r>
      <w:r w:rsidR="00217AB4" w:rsidRPr="007C6940">
        <w:rPr>
          <w:rFonts w:hint="cs"/>
          <w:spacing w:val="-2"/>
          <w:sz w:val="28"/>
          <w:rtl/>
        </w:rPr>
        <w:t>.</w:t>
      </w:r>
    </w:p>
    <w:p w:rsidR="005C664D" w:rsidRPr="003F3B94" w:rsidRDefault="005C664D" w:rsidP="003F3B94">
      <w:pPr>
        <w:pStyle w:val="a0"/>
        <w:rPr>
          <w:rFonts w:hint="cs"/>
          <w:rtl/>
        </w:rPr>
      </w:pPr>
      <w:r w:rsidRPr="003F3B94">
        <w:rPr>
          <w:rFonts w:hint="cs"/>
          <w:sz w:val="28"/>
          <w:rtl/>
        </w:rPr>
        <w:t>ومن الجدير بالذكر أن هذا التفاضل والتمايز في العطاء بحسب السابقة والمنزلة في الإسلام الذي اعتمده عمر في ديوانه لم يكن صائباً بل كان مخالفاً لروح [المساواة في] الإسلام</w:t>
      </w:r>
      <w:r w:rsidR="00217AB4" w:rsidRPr="003F3B94">
        <w:rPr>
          <w:rFonts w:hint="cs"/>
          <w:sz w:val="28"/>
          <w:rtl/>
        </w:rPr>
        <w:t>،</w:t>
      </w:r>
      <w:r w:rsidRPr="003F3B94">
        <w:rPr>
          <w:rFonts w:hint="cs"/>
          <w:sz w:val="28"/>
          <w:rtl/>
        </w:rPr>
        <w:t xml:space="preserve"> ولم يكن مقبولاً</w:t>
      </w:r>
      <w:r w:rsidR="00217AB4" w:rsidRPr="003F3B94">
        <w:rPr>
          <w:rFonts w:hint="cs"/>
          <w:sz w:val="28"/>
          <w:rtl/>
        </w:rPr>
        <w:t>،</w:t>
      </w:r>
      <w:r w:rsidRPr="003F3B94">
        <w:rPr>
          <w:rFonts w:hint="cs"/>
          <w:sz w:val="28"/>
          <w:rtl/>
        </w:rPr>
        <w:t xml:space="preserve"> وقد روى المؤرخون</w:t>
      </w:r>
      <w:r w:rsidRPr="003F3B94">
        <w:rPr>
          <w:sz w:val="28"/>
          <w:rtl/>
        </w:rPr>
        <w:t xml:space="preserve"> </w:t>
      </w:r>
      <w:r w:rsidRPr="003F3B94">
        <w:rPr>
          <w:rFonts w:hint="cs"/>
          <w:sz w:val="28"/>
          <w:rtl/>
        </w:rPr>
        <w:t>أنه ندم على ذلك في آخر عمره و</w:t>
      </w:r>
      <w:r w:rsidRPr="003F3B94">
        <w:rPr>
          <w:sz w:val="28"/>
          <w:rtl/>
        </w:rPr>
        <w:t xml:space="preserve">عزم على تبديل سياسة التفضيل في العطاء </w:t>
      </w:r>
      <w:r w:rsidRPr="003F3B94">
        <w:rPr>
          <w:rFonts w:hint="cs"/>
          <w:sz w:val="28"/>
          <w:rtl/>
        </w:rPr>
        <w:t>لكن الأجل لم يمهله</w:t>
      </w:r>
      <w:r w:rsidR="00217AB4" w:rsidRPr="0021507A">
        <w:rPr>
          <w:rFonts w:cs="Arabic11 BT"/>
          <w:b/>
          <w:sz w:val="28"/>
          <w:vertAlign w:val="superscript"/>
          <w:rtl/>
        </w:rPr>
        <w:t>(</w:t>
      </w:r>
      <w:r w:rsidRPr="0021507A">
        <w:rPr>
          <w:rStyle w:val="FootnoteReference"/>
          <w:rFonts w:cs="Arabic11 BT"/>
          <w:b/>
          <w:sz w:val="28"/>
          <w:rtl/>
        </w:rPr>
        <w:footnoteReference w:id="181"/>
      </w:r>
      <w:r w:rsidR="00217AB4" w:rsidRPr="0021507A">
        <w:rPr>
          <w:rFonts w:cs="Arabic11 BT"/>
          <w:b/>
          <w:sz w:val="28"/>
          <w:vertAlign w:val="superscript"/>
          <w:rtl/>
        </w:rPr>
        <w:t>)</w:t>
      </w:r>
      <w:r w:rsidR="00217AB4" w:rsidRPr="003F3B94">
        <w:rPr>
          <w:rFonts w:hint="cs"/>
          <w:sz w:val="28"/>
          <w:rtl/>
        </w:rPr>
        <w:t>.</w:t>
      </w:r>
      <w:r w:rsidRPr="003F3B94">
        <w:rPr>
          <w:rFonts w:hint="cs"/>
          <w:sz w:val="28"/>
          <w:rtl/>
        </w:rPr>
        <w:t xml:space="preserve"> وعلى كل حال فالقصد من هذا الشاهد أن بني هاشم كان شأنهم شأن سائر المسلمين يأخذون سهماً من بيت مال المسلمين حسبما قرَّره لهم الخليفة ولم يُسْمَع عن أحد منهم أي كلام حول حرمة مثل هذا العطاء عليهم [رغم أن من مصادره الزكاة]</w:t>
      </w:r>
      <w:r w:rsidR="00217AB4" w:rsidRPr="003F3B94">
        <w:rPr>
          <w:rFonts w:hint="cs"/>
          <w:sz w:val="28"/>
          <w:rtl/>
        </w:rPr>
        <w:t>.</w:t>
      </w:r>
    </w:p>
    <w:p w:rsidR="005C664D" w:rsidRPr="003F3B94" w:rsidRDefault="005C664D" w:rsidP="003E3D26">
      <w:pPr>
        <w:pStyle w:val="a0"/>
        <w:rPr>
          <w:rFonts w:hint="cs"/>
          <w:rtl/>
          <w:lang w:bidi="ar-SY"/>
        </w:rPr>
      </w:pPr>
      <w:r w:rsidRPr="003F3B94">
        <w:rPr>
          <w:rFonts w:hint="cs"/>
          <w:sz w:val="28"/>
          <w:rtl/>
        </w:rPr>
        <w:t>5</w:t>
      </w:r>
      <w:r w:rsidR="00217AB4" w:rsidRPr="003F3B94">
        <w:rPr>
          <w:rFonts w:hint="cs"/>
          <w:sz w:val="28"/>
          <w:rtl/>
        </w:rPr>
        <w:t>-</w:t>
      </w:r>
      <w:r w:rsidRPr="003F3B94">
        <w:rPr>
          <w:rFonts w:hint="cs"/>
          <w:sz w:val="28"/>
          <w:rtl/>
        </w:rPr>
        <w:t xml:space="preserve"> روى </w:t>
      </w:r>
      <w:r w:rsidRPr="003F3B94">
        <w:rPr>
          <w:rFonts w:ascii="Abo-thar" w:hAnsi="Abo-thar" w:hint="cs"/>
          <w:sz w:val="28"/>
          <w:rtl/>
        </w:rPr>
        <w:t xml:space="preserve">الشيخ الطوسي في </w:t>
      </w:r>
      <w:r w:rsidR="00594ADC" w:rsidRPr="003F3B94">
        <w:rPr>
          <w:rFonts w:ascii="Abo-thar" w:hAnsi="Abo-thar" w:hint="cs"/>
          <w:sz w:val="28"/>
          <w:rtl/>
        </w:rPr>
        <w:t>«</w:t>
      </w:r>
      <w:r w:rsidRPr="003F3B94">
        <w:rPr>
          <w:rFonts w:ascii="Abo-thar" w:hAnsi="Abo-thar" w:hint="cs"/>
          <w:sz w:val="28"/>
          <w:rtl/>
        </w:rPr>
        <w:t>التهذيب</w:t>
      </w:r>
      <w:r w:rsidR="00594ADC" w:rsidRPr="003F3B94">
        <w:rPr>
          <w:rFonts w:ascii="Abo-thar" w:hAnsi="Abo-thar" w:hint="cs"/>
          <w:sz w:val="28"/>
          <w:rtl/>
        </w:rPr>
        <w:t xml:space="preserve">»، </w:t>
      </w:r>
      <w:r w:rsidRPr="003F3B94">
        <w:rPr>
          <w:rFonts w:ascii="Abo-thar" w:hAnsi="Abo-thar" w:hint="cs"/>
          <w:sz w:val="28"/>
          <w:rtl/>
        </w:rPr>
        <w:t>والعلامة الحلي في «منتهى المطلب»</w:t>
      </w:r>
      <w:r w:rsidR="00594ADC" w:rsidRPr="003F3B94">
        <w:rPr>
          <w:rFonts w:ascii="Abo-thar" w:hAnsi="Abo-thar" w:hint="cs"/>
          <w:sz w:val="28"/>
          <w:rtl/>
        </w:rPr>
        <w:t>،</w:t>
      </w:r>
      <w:r w:rsidRPr="003F3B94">
        <w:rPr>
          <w:rFonts w:ascii="Abo-thar" w:hAnsi="Abo-thar" w:hint="cs"/>
          <w:sz w:val="28"/>
          <w:rtl/>
        </w:rPr>
        <w:t xml:space="preserve"> والحميري</w:t>
      </w:r>
      <w:r w:rsidR="00217AB4" w:rsidRPr="0021507A">
        <w:rPr>
          <w:rFonts w:cs="Arabic11 BT"/>
          <w:b/>
          <w:sz w:val="28"/>
          <w:vertAlign w:val="superscript"/>
          <w:rtl/>
        </w:rPr>
        <w:t>(</w:t>
      </w:r>
      <w:r w:rsidRPr="0021507A">
        <w:rPr>
          <w:rStyle w:val="FootnoteReference"/>
          <w:rFonts w:cs="Arabic11 BT"/>
          <w:b/>
          <w:sz w:val="28"/>
          <w:rtl/>
        </w:rPr>
        <w:footnoteReference w:id="182"/>
      </w:r>
      <w:r w:rsidR="00217AB4" w:rsidRPr="0021507A">
        <w:rPr>
          <w:rFonts w:cs="Arabic11 BT"/>
          <w:b/>
          <w:sz w:val="28"/>
          <w:vertAlign w:val="superscript"/>
          <w:rtl/>
        </w:rPr>
        <w:t>)</w:t>
      </w:r>
      <w:r w:rsidRPr="003F3B94">
        <w:rPr>
          <w:sz w:val="28"/>
          <w:rtl/>
        </w:rPr>
        <w:t xml:space="preserve"> </w:t>
      </w:r>
      <w:r w:rsidRPr="003F3B94">
        <w:rPr>
          <w:rFonts w:ascii="Abo-thar" w:hAnsi="Abo-thar" w:hint="cs"/>
          <w:sz w:val="28"/>
          <w:rtl/>
        </w:rPr>
        <w:t>في «قرب الإسناد»</w:t>
      </w:r>
      <w:r w:rsidR="00594ADC" w:rsidRPr="003F3B94">
        <w:rPr>
          <w:rFonts w:ascii="Abo-thar" w:hAnsi="Abo-thar" w:hint="cs"/>
          <w:sz w:val="28"/>
          <w:rtl/>
        </w:rPr>
        <w:t>،</w:t>
      </w:r>
      <w:r w:rsidRPr="003F3B94">
        <w:rPr>
          <w:rFonts w:ascii="Abo-thar" w:hAnsi="Abo-thar" w:hint="cs"/>
          <w:sz w:val="28"/>
          <w:rtl/>
        </w:rPr>
        <w:t xml:space="preserve"> والحر العاملي في «وسائل الشيعة»</w:t>
      </w:r>
      <w:r w:rsidR="00217AB4" w:rsidRPr="003F3B94">
        <w:rPr>
          <w:rFonts w:ascii="Abo-thar" w:hAnsi="Abo-thar" w:hint="cs"/>
          <w:sz w:val="28"/>
          <w:rtl/>
        </w:rPr>
        <w:t>:</w:t>
      </w:r>
      <w:r w:rsidR="00147857" w:rsidRPr="003F3B94">
        <w:rPr>
          <w:rFonts w:ascii="Abo-thar" w:hAnsi="Abo-thar" w:hint="cs"/>
          <w:sz w:val="28"/>
          <w:rtl/>
        </w:rPr>
        <w:t xml:space="preserve"> </w:t>
      </w:r>
      <w:r w:rsidR="00EF2588" w:rsidRPr="003762F6">
        <w:rPr>
          <w:rFonts w:ascii="Abo-thar" w:hAnsi="Abo-thar" w:cs="KFGQPC Uthman Taha Naskh" w:hint="cs"/>
          <w:sz w:val="28"/>
          <w:rtl/>
          <w:lang w:bidi="ar-SY"/>
        </w:rPr>
        <w:t>«</w:t>
      </w:r>
      <w:r w:rsidRPr="003762F6">
        <w:rPr>
          <w:rFonts w:ascii="Abo-thar" w:hAnsi="Abo-thar" w:cs="KFGQPC Uthman Taha Naskh"/>
          <w:b/>
          <w:bCs/>
          <w:sz w:val="28"/>
          <w:rtl/>
          <w:lang w:bidi="ar-SY"/>
        </w:rPr>
        <w:t xml:space="preserve">عَنْ أَبَانٍ عَنْ يَحْيَى بْنِ أَبِي الْعَلَاءِ عَنْ أَبِي عَبْدِ اللهِ </w:t>
      </w:r>
      <w:r w:rsidR="00BC4BA9" w:rsidRPr="00BC4BA9">
        <w:rPr>
          <w:rFonts w:ascii="Abo-thar" w:hAnsi="Abo-thar" w:cs="CTraditional Arabic"/>
          <w:b/>
          <w:sz w:val="28"/>
          <w:rtl/>
          <w:lang w:bidi="ar-SY"/>
        </w:rPr>
        <w:t>÷</w:t>
      </w:r>
      <w:r w:rsidRPr="003762F6">
        <w:rPr>
          <w:rFonts w:ascii="Abo-thar" w:hAnsi="Abo-thar" w:cs="KFGQPC Uthman Taha Naskh"/>
          <w:b/>
          <w:bCs/>
          <w:sz w:val="28"/>
          <w:rtl/>
          <w:lang w:bidi="ar-SY"/>
        </w:rPr>
        <w:t xml:space="preserve"> عَنْ أَبِيهِ </w:t>
      </w:r>
      <w:r w:rsidR="00BC4BA9" w:rsidRPr="00BC4BA9">
        <w:rPr>
          <w:rFonts w:ascii="Abo-thar" w:hAnsi="Abo-thar" w:cs="CTraditional Arabic"/>
          <w:b/>
          <w:sz w:val="28"/>
          <w:rtl/>
          <w:lang w:bidi="ar-SY"/>
        </w:rPr>
        <w:t>÷</w:t>
      </w:r>
      <w:r w:rsidRPr="003762F6">
        <w:rPr>
          <w:rFonts w:ascii="Abo-thar" w:hAnsi="Abo-thar" w:cs="KFGQPC Uthman Taha Naskh"/>
          <w:b/>
          <w:bCs/>
          <w:sz w:val="28"/>
          <w:rtl/>
          <w:lang w:bidi="ar-SY"/>
        </w:rPr>
        <w:t xml:space="preserve"> أَنَّ الحَسَنَ وَالْحُسَيْنَ </w:t>
      </w:r>
      <w:r w:rsidR="003E3D26">
        <w:rPr>
          <w:rFonts w:ascii="Abo-thar" w:hAnsi="Abo-thar" w:cs="CTraditional Arabic" w:hint="cs"/>
          <w:b/>
          <w:sz w:val="28"/>
          <w:rtl/>
          <w:lang w:bidi="ar-SY"/>
        </w:rPr>
        <w:t>إ</w:t>
      </w:r>
      <w:r w:rsidRPr="003762F6">
        <w:rPr>
          <w:rFonts w:ascii="Abo-thar" w:hAnsi="Abo-thar" w:cs="KFGQPC Uthman Taha Naskh"/>
          <w:b/>
          <w:bCs/>
          <w:sz w:val="28"/>
          <w:rtl/>
          <w:lang w:bidi="ar-SY"/>
        </w:rPr>
        <w:t xml:space="preserve"> كَانَا يَقْبَلَانِ جَوَائِزَ مُعَاوِيَةَ</w:t>
      </w:r>
      <w:r w:rsidR="00F456DF" w:rsidRPr="003762F6">
        <w:rPr>
          <w:rFonts w:ascii="Abo-thar" w:hAnsi="Abo-thar" w:cs="KFGQPC Uthman Taha Naskh" w:hint="cs"/>
          <w:b/>
          <w:bCs/>
          <w:sz w:val="28"/>
          <w:rtl/>
          <w:lang w:bidi="ar-SY"/>
        </w:rPr>
        <w:t>»</w:t>
      </w:r>
      <w:r w:rsidR="00594ADC" w:rsidRPr="0021507A">
        <w:rPr>
          <w:rFonts w:ascii="Abo-thar" w:hAnsi="Abo-thar" w:cs="Arabic11 BT"/>
          <w:sz w:val="28"/>
          <w:vertAlign w:val="superscript"/>
          <w:rtl/>
          <w:lang w:bidi="ar-SY"/>
        </w:rPr>
        <w:t>(</w:t>
      </w:r>
      <w:r w:rsidR="00594ADC" w:rsidRPr="0021507A">
        <w:rPr>
          <w:rStyle w:val="FootnoteReference"/>
          <w:rFonts w:ascii="Abo-thar" w:hAnsi="Abo-thar" w:cs="Arabic11 BT"/>
          <w:sz w:val="28"/>
          <w:rtl/>
          <w:lang w:bidi="ar-SY"/>
        </w:rPr>
        <w:footnoteReference w:id="183"/>
      </w:r>
      <w:r w:rsidR="00594ADC" w:rsidRPr="0021507A">
        <w:rPr>
          <w:rFonts w:ascii="Abo-thar" w:hAnsi="Abo-thar" w:cs="Arabic11 BT"/>
          <w:sz w:val="28"/>
          <w:vertAlign w:val="superscript"/>
          <w:rtl/>
          <w:lang w:bidi="ar-SY"/>
        </w:rPr>
        <w:t>)</w:t>
      </w:r>
      <w:r w:rsidR="00594ADC" w:rsidRPr="003F3B94">
        <w:rPr>
          <w:rFonts w:ascii="Abo-thar" w:hAnsi="Abo-thar" w:hint="cs"/>
          <w:sz w:val="28"/>
          <w:rtl/>
          <w:lang w:bidi="ar-SY"/>
        </w:rPr>
        <w:t>.</w:t>
      </w:r>
    </w:p>
    <w:p w:rsidR="005C664D" w:rsidRPr="003F3B94" w:rsidRDefault="005C664D" w:rsidP="007C6940">
      <w:pPr>
        <w:pStyle w:val="a0"/>
        <w:rPr>
          <w:rFonts w:hint="cs"/>
          <w:rtl/>
          <w:lang w:bidi="ar-SY"/>
        </w:rPr>
      </w:pPr>
      <w:r w:rsidRPr="003F3B94">
        <w:rPr>
          <w:rFonts w:hint="cs"/>
          <w:sz w:val="28"/>
          <w:rtl/>
          <w:lang w:bidi="ar-SY"/>
        </w:rPr>
        <w:t>6</w:t>
      </w:r>
      <w:r w:rsidR="00217AB4" w:rsidRPr="003F3B94">
        <w:rPr>
          <w:rFonts w:hint="cs"/>
          <w:sz w:val="28"/>
          <w:rtl/>
          <w:lang w:bidi="ar-SY"/>
        </w:rPr>
        <w:t>-</w:t>
      </w:r>
      <w:r w:rsidRPr="003F3B94">
        <w:rPr>
          <w:rFonts w:hint="cs"/>
          <w:sz w:val="28"/>
          <w:rtl/>
          <w:lang w:bidi="ar-SY"/>
        </w:rPr>
        <w:t xml:space="preserve"> روى </w:t>
      </w:r>
      <w:r w:rsidRPr="003F3B94">
        <w:rPr>
          <w:sz w:val="28"/>
          <w:rtl/>
          <w:lang w:bidi="ar-SY"/>
        </w:rPr>
        <w:t xml:space="preserve">أَحْمَدُ بْنُ عَلِيِّ بْنِ أَبِي طَالِبٍ الطَّبْرِسِيُّ </w:t>
      </w:r>
      <w:r w:rsidRPr="003F3B94">
        <w:rPr>
          <w:rFonts w:hint="cs"/>
          <w:sz w:val="28"/>
          <w:rtl/>
          <w:lang w:bidi="ar-SY"/>
        </w:rPr>
        <w:t>في «</w:t>
      </w:r>
      <w:r w:rsidRPr="003F3B94">
        <w:rPr>
          <w:sz w:val="28"/>
          <w:rtl/>
          <w:lang w:bidi="ar-SY"/>
        </w:rPr>
        <w:t>ال</w:t>
      </w:r>
      <w:r w:rsidRPr="003F3B94">
        <w:rPr>
          <w:rFonts w:hint="cs"/>
          <w:sz w:val="28"/>
          <w:rtl/>
          <w:lang w:bidi="ar-SY"/>
        </w:rPr>
        <w:t>ا</w:t>
      </w:r>
      <w:r w:rsidRPr="003F3B94">
        <w:rPr>
          <w:sz w:val="28"/>
          <w:rtl/>
          <w:lang w:bidi="ar-SY"/>
        </w:rPr>
        <w:t>حْتِجَاجِ</w:t>
      </w:r>
      <w:r w:rsidRPr="003F3B94">
        <w:rPr>
          <w:rFonts w:hint="cs"/>
          <w:sz w:val="28"/>
          <w:rtl/>
          <w:lang w:bidi="ar-SY"/>
        </w:rPr>
        <w:t>»</w:t>
      </w:r>
      <w:r w:rsidR="00217AB4" w:rsidRPr="003F3B94">
        <w:rPr>
          <w:rFonts w:hint="cs"/>
          <w:sz w:val="28"/>
          <w:rtl/>
          <w:lang w:bidi="ar-SY"/>
        </w:rPr>
        <w:t>:</w:t>
      </w:r>
      <w:r w:rsidR="00147857" w:rsidRPr="003F3B94">
        <w:rPr>
          <w:rFonts w:hint="cs"/>
          <w:sz w:val="28"/>
          <w:rtl/>
          <w:lang w:bidi="ar-SY"/>
        </w:rPr>
        <w:t xml:space="preserve"> </w:t>
      </w:r>
      <w:r w:rsidR="00EF2588" w:rsidRPr="003762F6">
        <w:rPr>
          <w:rFonts w:cs="KFGQPC Uthman Taha Naskh" w:hint="cs"/>
          <w:sz w:val="28"/>
          <w:rtl/>
          <w:lang w:bidi="ar-SY"/>
        </w:rPr>
        <w:t>«</w:t>
      </w:r>
      <w:r w:rsidRPr="003762F6">
        <w:rPr>
          <w:rFonts w:cs="KFGQPC Uthman Taha Naskh"/>
          <w:b/>
          <w:bCs/>
          <w:sz w:val="28"/>
          <w:rtl/>
          <w:lang w:bidi="ar-SY"/>
        </w:rPr>
        <w:t xml:space="preserve">عَنِ </w:t>
      </w:r>
      <w:r w:rsidRPr="003762F6">
        <w:rPr>
          <w:rFonts w:cs="KFGQPC Uthman Taha Naskh" w:hint="cs"/>
          <w:b/>
          <w:bCs/>
          <w:sz w:val="28"/>
          <w:rtl/>
          <w:lang w:bidi="ar-SY"/>
        </w:rPr>
        <w:t>حضرة الإمام ال</w:t>
      </w:r>
      <w:r w:rsidRPr="003762F6">
        <w:rPr>
          <w:rFonts w:cs="KFGQPC Uthman Taha Naskh"/>
          <w:b/>
          <w:bCs/>
          <w:sz w:val="28"/>
          <w:rtl/>
          <w:lang w:bidi="ar-SY"/>
        </w:rPr>
        <w:t>حُسَيْنِ</w:t>
      </w:r>
      <w:r w:rsidR="00BC4BA9" w:rsidRPr="00BC4BA9">
        <w:rPr>
          <w:rFonts w:cs="CTraditional Arabic"/>
          <w:b/>
          <w:sz w:val="28"/>
          <w:rtl/>
          <w:lang w:bidi="ar-SY"/>
        </w:rPr>
        <w:t>÷</w:t>
      </w:r>
      <w:r w:rsidRPr="003762F6">
        <w:rPr>
          <w:rFonts w:cs="KFGQPC Uthman Taha Naskh"/>
          <w:b/>
          <w:bCs/>
          <w:sz w:val="28"/>
          <w:rtl/>
          <w:lang w:bidi="ar-SY"/>
        </w:rPr>
        <w:t xml:space="preserve"> أَنَّهُ كَتَبَ كِتَاباً إِلَى مُعَاوِيَةَ</w:t>
      </w:r>
      <w:r w:rsidR="00217AB4" w:rsidRPr="003762F6">
        <w:rPr>
          <w:rFonts w:cs="KFGQPC Uthman Taha Naskh" w:hint="cs"/>
          <w:b/>
          <w:bCs/>
          <w:sz w:val="28"/>
          <w:rtl/>
          <w:lang w:bidi="ar-SY"/>
        </w:rPr>
        <w:t>،</w:t>
      </w:r>
      <w:r w:rsidRPr="003762F6">
        <w:rPr>
          <w:rFonts w:cs="KFGQPC Uthman Taha Naskh"/>
          <w:b/>
          <w:bCs/>
          <w:sz w:val="28"/>
          <w:rtl/>
          <w:lang w:bidi="ar-SY"/>
        </w:rPr>
        <w:t xml:space="preserve"> وَذَكَرَ الْكِتَابَ</w:t>
      </w:r>
      <w:r w:rsidR="00217AB4" w:rsidRPr="003762F6">
        <w:rPr>
          <w:rFonts w:cs="KFGQPC Uthman Taha Naskh" w:hint="cs"/>
          <w:b/>
          <w:bCs/>
          <w:sz w:val="28"/>
          <w:rtl/>
          <w:lang w:bidi="ar-SY"/>
        </w:rPr>
        <w:t>،</w:t>
      </w:r>
      <w:r w:rsidRPr="003762F6">
        <w:rPr>
          <w:rFonts w:cs="KFGQPC Uthman Taha Naskh"/>
          <w:b/>
          <w:bCs/>
          <w:sz w:val="28"/>
          <w:rtl/>
          <w:lang w:bidi="ar-SY"/>
        </w:rPr>
        <w:t xml:space="preserve"> وَفِيهِ تَقْرِيعٌ عَظِيمٌ وَتَوْبِيخٌ بَلِيغٌ</w:t>
      </w:r>
      <w:r w:rsidR="00217AB4" w:rsidRPr="003762F6">
        <w:rPr>
          <w:rFonts w:cs="KFGQPC Uthman Taha Naskh" w:hint="cs"/>
          <w:b/>
          <w:bCs/>
          <w:sz w:val="28"/>
          <w:rtl/>
          <w:lang w:bidi="ar-SY"/>
        </w:rPr>
        <w:t>.</w:t>
      </w:r>
      <w:r w:rsidRPr="003762F6">
        <w:rPr>
          <w:rFonts w:cs="KFGQPC Uthman Taha Naskh"/>
          <w:b/>
          <w:bCs/>
          <w:sz w:val="28"/>
          <w:rtl/>
          <w:lang w:bidi="ar-SY"/>
        </w:rPr>
        <w:t xml:space="preserve"> قَالَ</w:t>
      </w:r>
      <w:r w:rsidR="00217AB4" w:rsidRPr="003762F6">
        <w:rPr>
          <w:rFonts w:cs="KFGQPC Uthman Taha Naskh" w:hint="cs"/>
          <w:b/>
          <w:bCs/>
          <w:sz w:val="28"/>
          <w:rtl/>
          <w:lang w:bidi="ar-SY"/>
        </w:rPr>
        <w:t>:</w:t>
      </w:r>
      <w:r w:rsidRPr="003762F6">
        <w:rPr>
          <w:rFonts w:cs="KFGQPC Uthman Taha Naskh"/>
          <w:b/>
          <w:bCs/>
          <w:sz w:val="28"/>
          <w:rtl/>
          <w:lang w:bidi="ar-SY"/>
        </w:rPr>
        <w:t xml:space="preserve"> فَمَا كَتَبَ إِلَيْهِ مُعَاوِيَةُ بِش</w:t>
      </w:r>
      <w:r w:rsidRPr="003762F6">
        <w:rPr>
          <w:rFonts w:cs="KFGQPC Uthman Taha Naskh" w:hint="cs"/>
          <w:b/>
          <w:bCs/>
          <w:sz w:val="28"/>
          <w:rtl/>
          <w:lang w:bidi="ar-SY"/>
        </w:rPr>
        <w:t>ـ</w:t>
      </w:r>
      <w:r w:rsidRPr="003762F6">
        <w:rPr>
          <w:rFonts w:cs="KFGQPC Uthman Taha Naskh"/>
          <w:b/>
          <w:bCs/>
          <w:sz w:val="28"/>
          <w:rtl/>
          <w:lang w:bidi="ar-SY"/>
        </w:rPr>
        <w:t>َيْ‏ءٍ يَسُوؤُهُ</w:t>
      </w:r>
      <w:r w:rsidR="00217AB4" w:rsidRPr="003762F6">
        <w:rPr>
          <w:rFonts w:cs="KFGQPC Uthman Taha Naskh" w:hint="cs"/>
          <w:b/>
          <w:bCs/>
          <w:sz w:val="28"/>
          <w:rtl/>
          <w:lang w:bidi="ar-SY"/>
        </w:rPr>
        <w:t>،</w:t>
      </w:r>
      <w:r w:rsidRPr="003762F6">
        <w:rPr>
          <w:rFonts w:cs="KFGQPC Uthman Taha Naskh"/>
          <w:b/>
          <w:bCs/>
          <w:sz w:val="28"/>
          <w:rtl/>
          <w:lang w:bidi="ar-SY"/>
        </w:rPr>
        <w:t xml:space="preserve"> وَكَانَ يَبْعَثُ إِلَيْهِ فِي كُلِّ سَنَةٍ أَلْفَ أَلْفِ دِرْهَمٍ سِوَى عُرُوضٍ وَهَدَايَا مِنْ كُلِّ ضَرْبٍ</w:t>
      </w:r>
      <w:r w:rsidR="00EF2588" w:rsidRPr="003762F6">
        <w:rPr>
          <w:rFonts w:cs="KFGQPC Uthman Taha Naskh" w:hint="cs"/>
          <w:sz w:val="28"/>
          <w:rtl/>
          <w:lang w:bidi="ar-SY"/>
        </w:rPr>
        <w:t>»</w:t>
      </w:r>
      <w:r w:rsidR="00217AB4" w:rsidRPr="0021507A">
        <w:rPr>
          <w:rFonts w:cs="Arabic11 BT"/>
          <w:b/>
          <w:sz w:val="28"/>
          <w:vertAlign w:val="superscript"/>
          <w:rtl/>
          <w:lang w:bidi="ar-SY"/>
        </w:rPr>
        <w:t>(</w:t>
      </w:r>
      <w:r w:rsidRPr="0021507A">
        <w:rPr>
          <w:rStyle w:val="FootnoteReference"/>
          <w:rFonts w:cs="Arabic11 BT"/>
          <w:b/>
          <w:sz w:val="28"/>
          <w:rtl/>
          <w:lang w:bidi="ar-SY"/>
        </w:rPr>
        <w:footnoteReference w:id="184"/>
      </w:r>
      <w:r w:rsidR="00217AB4" w:rsidRPr="0021507A">
        <w:rPr>
          <w:rFonts w:cs="Arabic11 BT"/>
          <w:b/>
          <w:sz w:val="28"/>
          <w:vertAlign w:val="superscript"/>
          <w:rtl/>
          <w:lang w:bidi="ar-SY"/>
        </w:rPr>
        <w:t>)</w:t>
      </w:r>
      <w:r w:rsidR="00217AB4" w:rsidRPr="003F3B94">
        <w:rPr>
          <w:rFonts w:hint="cs"/>
          <w:sz w:val="28"/>
          <w:rtl/>
          <w:lang w:bidi="ar-SY"/>
        </w:rPr>
        <w:t>.</w:t>
      </w:r>
      <w:r w:rsidR="00147857" w:rsidRPr="003F3B94">
        <w:rPr>
          <w:rFonts w:hint="cs"/>
          <w:sz w:val="28"/>
          <w:rtl/>
          <w:lang w:bidi="ar-SY"/>
        </w:rPr>
        <w:t xml:space="preserve"> </w:t>
      </w:r>
      <w:r w:rsidRPr="003F3B94">
        <w:rPr>
          <w:rFonts w:hint="cs"/>
          <w:sz w:val="28"/>
          <w:rtl/>
          <w:lang w:bidi="ar-SY"/>
        </w:rPr>
        <w:t xml:space="preserve">حتى ذكروا أنه كان يبعث إليه بحمل بعير من الطيب والعطور وكان الحسين </w:t>
      </w:r>
      <w:r w:rsidR="00BC4BA9" w:rsidRPr="00BC4BA9">
        <w:rPr>
          <w:rFonts w:cs="CTraditional Arabic" w:hint="cs"/>
          <w:sz w:val="28"/>
          <w:rtl/>
          <w:lang w:bidi="ar-SY"/>
        </w:rPr>
        <w:t>÷</w:t>
      </w:r>
      <w:r w:rsidRPr="003F3B94">
        <w:rPr>
          <w:rFonts w:hint="cs"/>
          <w:sz w:val="28"/>
          <w:rtl/>
          <w:lang w:bidi="ar-SY"/>
        </w:rPr>
        <w:t xml:space="preserve"> يقبلها ويأخذها</w:t>
      </w:r>
      <w:r w:rsidR="00217AB4" w:rsidRPr="003F3B94">
        <w:rPr>
          <w:rFonts w:hint="cs"/>
          <w:sz w:val="28"/>
          <w:rtl/>
          <w:lang w:bidi="ar-SY"/>
        </w:rPr>
        <w:t>.</w:t>
      </w:r>
    </w:p>
    <w:p w:rsidR="005C664D" w:rsidRPr="003F3B94" w:rsidRDefault="005C664D" w:rsidP="003F3B94">
      <w:pPr>
        <w:pStyle w:val="a0"/>
        <w:rPr>
          <w:rFonts w:hint="cs"/>
          <w:rtl/>
        </w:rPr>
      </w:pPr>
      <w:r w:rsidRPr="003F3B94">
        <w:rPr>
          <w:rFonts w:hint="cs"/>
          <w:sz w:val="28"/>
          <w:rtl/>
          <w:lang w:bidi="ar-SY"/>
        </w:rPr>
        <w:t>ولعلَّ قائلٍ يقول</w:t>
      </w:r>
      <w:r w:rsidR="00217AB4" w:rsidRPr="003F3B94">
        <w:rPr>
          <w:rFonts w:hint="cs"/>
          <w:sz w:val="28"/>
          <w:rtl/>
          <w:lang w:bidi="ar-SY"/>
        </w:rPr>
        <w:t>:</w:t>
      </w:r>
      <w:r w:rsidRPr="003F3B94">
        <w:rPr>
          <w:rFonts w:hint="cs"/>
          <w:sz w:val="28"/>
          <w:rtl/>
          <w:lang w:bidi="ar-SY"/>
        </w:rPr>
        <w:t xml:space="preserve"> إن هذه الأموال التي كان الأئمة والآخرون من آل الرسول</w:t>
      </w:r>
      <w:r w:rsidR="00147857" w:rsidRPr="003F3B94">
        <w:rPr>
          <w:rFonts w:hint="cs"/>
          <w:sz w:val="28"/>
          <w:rtl/>
          <w:lang w:bidi="ar-SY"/>
        </w:rPr>
        <w:t xml:space="preserve"> </w:t>
      </w:r>
      <w:r w:rsidR="003C7AEB" w:rsidRPr="003C7AEB">
        <w:rPr>
          <w:rFonts w:ascii="Abo-thar" w:hAnsi="Abo-thar" w:cs="CTraditional Arabic"/>
          <w:sz w:val="28"/>
          <w:rtl/>
          <w:lang w:bidi="ar-SY"/>
        </w:rPr>
        <w:t>ص</w:t>
      </w:r>
      <w:r w:rsidR="00147857" w:rsidRPr="003F3B94">
        <w:rPr>
          <w:rFonts w:ascii="Abo-thar" w:hAnsi="Abo-thar"/>
          <w:sz w:val="28"/>
          <w:rtl/>
          <w:lang w:bidi="ar-SY"/>
        </w:rPr>
        <w:t xml:space="preserve"> </w:t>
      </w:r>
      <w:r w:rsidRPr="003F3B94">
        <w:rPr>
          <w:rFonts w:ascii="Abo-thar" w:hAnsi="Abo-thar" w:hint="cs"/>
          <w:sz w:val="28"/>
          <w:rtl/>
          <w:lang w:bidi="ar-SY"/>
        </w:rPr>
        <w:t>يأخذونها من الخلفا</w:t>
      </w:r>
      <w:r w:rsidRPr="003F3B94">
        <w:rPr>
          <w:rFonts w:hint="cs"/>
          <w:sz w:val="28"/>
          <w:rtl/>
          <w:lang w:bidi="ar-SY"/>
        </w:rPr>
        <w:t>ء إنما كانت من الخراج والغنائم والجزية</w:t>
      </w:r>
      <w:r w:rsidR="00217AB4" w:rsidRPr="003F3B94">
        <w:rPr>
          <w:rFonts w:hint="cs"/>
          <w:sz w:val="28"/>
          <w:rtl/>
          <w:lang w:bidi="ar-SY"/>
        </w:rPr>
        <w:t>،</w:t>
      </w:r>
      <w:r w:rsidRPr="003F3B94">
        <w:rPr>
          <w:rFonts w:hint="cs"/>
          <w:sz w:val="28"/>
          <w:rtl/>
          <w:lang w:bidi="ar-SY"/>
        </w:rPr>
        <w:t xml:space="preserve"> وليست من مال الزكاة</w:t>
      </w:r>
      <w:r w:rsidR="00217AB4" w:rsidRPr="003F3B94">
        <w:rPr>
          <w:rFonts w:hint="cs"/>
          <w:sz w:val="28"/>
          <w:rtl/>
          <w:lang w:bidi="ar-SY"/>
        </w:rPr>
        <w:t>.</w:t>
      </w:r>
      <w:r w:rsidRPr="003F3B94">
        <w:rPr>
          <w:rFonts w:hint="cs"/>
          <w:sz w:val="28"/>
          <w:rtl/>
          <w:lang w:bidi="ar-SY"/>
        </w:rPr>
        <w:t xml:space="preserve"> ولكن هذا القول غير صائب لأنه لم يكن للخلفاء في أي يوم من الأيام خزانتان لبيت المال إحداهما لأموال الزكاة والأخرى لأموال الفيء والخراج ونحوهما</w:t>
      </w:r>
      <w:r w:rsidR="00217AB4" w:rsidRPr="003F3B94">
        <w:rPr>
          <w:rFonts w:hint="cs"/>
          <w:sz w:val="28"/>
          <w:rtl/>
          <w:lang w:bidi="ar-SY"/>
        </w:rPr>
        <w:t>،</w:t>
      </w:r>
      <w:r w:rsidRPr="003F3B94">
        <w:rPr>
          <w:rFonts w:hint="cs"/>
          <w:sz w:val="28"/>
          <w:rtl/>
          <w:lang w:bidi="ar-SY"/>
        </w:rPr>
        <w:t xml:space="preserve"> بل كانت جميع الأموال تصب في بيت مال واحد</w:t>
      </w:r>
      <w:r w:rsidR="00217AB4" w:rsidRPr="003F3B94">
        <w:rPr>
          <w:rFonts w:hint="cs"/>
          <w:sz w:val="28"/>
          <w:rtl/>
          <w:lang w:bidi="ar-SY"/>
        </w:rPr>
        <w:t>.</w:t>
      </w:r>
    </w:p>
    <w:p w:rsidR="005C664D" w:rsidRPr="003F3B94" w:rsidRDefault="005C664D" w:rsidP="003E3D26">
      <w:pPr>
        <w:pStyle w:val="a0"/>
        <w:rPr>
          <w:rFonts w:hint="cs"/>
          <w:rtl/>
          <w:lang w:bidi="ar-SY"/>
        </w:rPr>
      </w:pPr>
      <w:r w:rsidRPr="003F3B94">
        <w:rPr>
          <w:rFonts w:hint="cs"/>
          <w:sz w:val="28"/>
          <w:rtl/>
          <w:lang w:bidi="ar-SY"/>
        </w:rPr>
        <w:t>7</w:t>
      </w:r>
      <w:r w:rsidR="00217AB4" w:rsidRPr="003F3B94">
        <w:rPr>
          <w:rFonts w:hint="cs"/>
          <w:sz w:val="28"/>
          <w:rtl/>
          <w:lang w:bidi="ar-SY"/>
        </w:rPr>
        <w:t>-</w:t>
      </w:r>
      <w:r w:rsidRPr="003F3B94">
        <w:rPr>
          <w:rFonts w:hint="cs"/>
          <w:sz w:val="28"/>
          <w:rtl/>
          <w:lang w:bidi="ar-SY"/>
        </w:rPr>
        <w:t xml:space="preserve"> وروى </w:t>
      </w:r>
      <w:r w:rsidRPr="003F3B94">
        <w:rPr>
          <w:sz w:val="28"/>
          <w:rtl/>
          <w:lang w:bidi="ar-SY"/>
        </w:rPr>
        <w:t xml:space="preserve">الحِمْيَرِيّ </w:t>
      </w:r>
      <w:r w:rsidRPr="003F3B94">
        <w:rPr>
          <w:rFonts w:hint="cs"/>
          <w:sz w:val="28"/>
          <w:rtl/>
          <w:lang w:bidi="ar-SY"/>
        </w:rPr>
        <w:t>«قرب الإسناد»</w:t>
      </w:r>
      <w:r w:rsidR="00217AB4" w:rsidRPr="003F3B94">
        <w:rPr>
          <w:rFonts w:hint="cs"/>
          <w:sz w:val="28"/>
          <w:rtl/>
          <w:lang w:bidi="ar-SY"/>
        </w:rPr>
        <w:t>:</w:t>
      </w:r>
      <w:r w:rsidRPr="003F3B94">
        <w:rPr>
          <w:rFonts w:hint="cs"/>
          <w:sz w:val="28"/>
          <w:rtl/>
          <w:lang w:bidi="ar-SY"/>
        </w:rPr>
        <w:t xml:space="preserve"> </w:t>
      </w:r>
      <w:r w:rsidR="00EF2588" w:rsidRPr="003762F6">
        <w:rPr>
          <w:rFonts w:cs="KFGQPC Uthman Taha Naskh" w:hint="cs"/>
          <w:sz w:val="28"/>
          <w:rtl/>
          <w:lang w:bidi="ar-SY"/>
        </w:rPr>
        <w:t>«</w:t>
      </w:r>
      <w:r w:rsidRPr="003762F6">
        <w:rPr>
          <w:rFonts w:cs="KFGQPC Uthman Taha Naskh"/>
          <w:b/>
          <w:bCs/>
          <w:sz w:val="28"/>
          <w:rtl/>
          <w:lang w:bidi="ar-SY"/>
        </w:rPr>
        <w:t xml:space="preserve">عَنِ‏الحَسَنِ بْنِ ظَرِيفٍ عَنِ الحُسَيْنِ بْنِ عُلْوَانَ عَنْ جَعْفَرِ بْنِ مُحَمَّدٍ عَنْ أَبِيهِ </w:t>
      </w:r>
      <w:r w:rsidR="00BC4BA9" w:rsidRPr="00BC4BA9">
        <w:rPr>
          <w:rFonts w:cs="CTraditional Arabic"/>
          <w:b/>
          <w:sz w:val="28"/>
          <w:rtl/>
          <w:lang w:bidi="ar-SY"/>
        </w:rPr>
        <w:t>÷</w:t>
      </w:r>
      <w:r w:rsidRPr="003762F6">
        <w:rPr>
          <w:rFonts w:cs="KFGQPC Uthman Taha Naskh"/>
          <w:b/>
          <w:bCs/>
          <w:sz w:val="28"/>
          <w:rtl/>
          <w:lang w:bidi="ar-SY"/>
        </w:rPr>
        <w:t xml:space="preserve"> أَنَّ الحَسَنَ وَالحُسَيْنَ </w:t>
      </w:r>
      <w:r w:rsidR="003E3D26">
        <w:rPr>
          <w:rFonts w:cs="CTraditional Arabic" w:hint="cs"/>
          <w:b/>
          <w:sz w:val="28"/>
          <w:rtl/>
          <w:lang w:bidi="ar-SY"/>
        </w:rPr>
        <w:t>إ</w:t>
      </w:r>
      <w:r w:rsidRPr="003762F6">
        <w:rPr>
          <w:rFonts w:cs="KFGQPC Uthman Taha Naskh"/>
          <w:b/>
          <w:bCs/>
          <w:sz w:val="28"/>
          <w:rtl/>
          <w:lang w:bidi="ar-SY"/>
        </w:rPr>
        <w:t xml:space="preserve"> كَانَا يُغْمِزَانِ مُعَاوِيَةَ وَيَقَعَانِ فِيهِ وَيَقْبَلَانِ جَوَائِزَهُ</w:t>
      </w:r>
      <w:r w:rsidR="00EF2588" w:rsidRPr="003762F6">
        <w:rPr>
          <w:rFonts w:cs="KFGQPC Uthman Taha Naskh" w:hint="cs"/>
          <w:sz w:val="28"/>
          <w:rtl/>
          <w:lang w:bidi="ar-SY"/>
        </w:rPr>
        <w:t>»</w:t>
      </w:r>
      <w:r w:rsidR="00217AB4" w:rsidRPr="0021507A">
        <w:rPr>
          <w:rFonts w:cs="Arabic11 BT"/>
          <w:b/>
          <w:sz w:val="28"/>
          <w:vertAlign w:val="superscript"/>
          <w:rtl/>
          <w:lang w:bidi="ar-SY"/>
        </w:rPr>
        <w:t>(</w:t>
      </w:r>
      <w:r w:rsidRPr="0021507A">
        <w:rPr>
          <w:rStyle w:val="FootnoteReference"/>
          <w:rFonts w:cs="Arabic11 BT"/>
          <w:b/>
          <w:sz w:val="28"/>
          <w:rtl/>
          <w:lang w:bidi="ar-SY"/>
        </w:rPr>
        <w:footnoteReference w:id="185"/>
      </w:r>
      <w:r w:rsidR="00217AB4" w:rsidRPr="0021507A">
        <w:rPr>
          <w:rFonts w:cs="Arabic11 BT"/>
          <w:b/>
          <w:sz w:val="28"/>
          <w:vertAlign w:val="superscript"/>
          <w:rtl/>
          <w:lang w:bidi="ar-SY"/>
        </w:rPr>
        <w:t>)</w:t>
      </w:r>
      <w:r w:rsidR="00217AB4" w:rsidRPr="003F3B94">
        <w:rPr>
          <w:rFonts w:hint="cs"/>
          <w:sz w:val="28"/>
          <w:rtl/>
          <w:lang w:bidi="ar-SY"/>
        </w:rPr>
        <w:t>.</w:t>
      </w:r>
    </w:p>
    <w:p w:rsidR="005C664D" w:rsidRPr="003F3B94" w:rsidRDefault="005C664D" w:rsidP="003F3B94">
      <w:pPr>
        <w:pStyle w:val="a0"/>
        <w:rPr>
          <w:rFonts w:hint="cs"/>
          <w:rtl/>
          <w:lang w:bidi="ar-SY"/>
        </w:rPr>
      </w:pPr>
      <w:r w:rsidRPr="003F3B94">
        <w:rPr>
          <w:rFonts w:hint="cs"/>
          <w:sz w:val="28"/>
          <w:rtl/>
          <w:lang w:bidi="ar-SY"/>
        </w:rPr>
        <w:t>8</w:t>
      </w:r>
      <w:r w:rsidR="00217AB4" w:rsidRPr="003F3B94">
        <w:rPr>
          <w:rFonts w:hint="cs"/>
          <w:sz w:val="28"/>
          <w:rtl/>
          <w:lang w:bidi="ar-SY"/>
        </w:rPr>
        <w:t>-</w:t>
      </w:r>
      <w:r w:rsidR="00147857" w:rsidRPr="003F3B94">
        <w:rPr>
          <w:rFonts w:hint="cs"/>
          <w:sz w:val="28"/>
          <w:rtl/>
          <w:lang w:bidi="ar-SY"/>
        </w:rPr>
        <w:t xml:space="preserve"> و</w:t>
      </w:r>
      <w:r w:rsidRPr="003F3B94">
        <w:rPr>
          <w:rFonts w:hint="cs"/>
          <w:sz w:val="28"/>
          <w:rtl/>
          <w:lang w:bidi="ar-SY"/>
        </w:rPr>
        <w:t>رو</w:t>
      </w:r>
      <w:r w:rsidR="00EA0122" w:rsidRPr="003F3B94">
        <w:rPr>
          <w:rFonts w:hint="cs"/>
          <w:sz w:val="28"/>
          <w:rtl/>
          <w:lang w:bidi="ar-SY"/>
        </w:rPr>
        <w:t>ى الغزالي في «إحياء علوم الدين»:</w:t>
      </w:r>
      <w:r w:rsidRPr="003F3B94">
        <w:rPr>
          <w:rFonts w:hint="cs"/>
          <w:sz w:val="28"/>
          <w:rtl/>
          <w:lang w:bidi="ar-SY"/>
        </w:rPr>
        <w:t xml:space="preserve"> </w:t>
      </w:r>
      <w:r w:rsidR="00EF2588" w:rsidRPr="003762F6">
        <w:rPr>
          <w:rFonts w:cs="KFGQPC Uthman Taha Naskh" w:hint="cs"/>
          <w:sz w:val="28"/>
          <w:rtl/>
          <w:lang w:bidi="ar-SY"/>
        </w:rPr>
        <w:t>«</w:t>
      </w:r>
      <w:r w:rsidRPr="003762F6">
        <w:rPr>
          <w:rFonts w:cs="KFGQPC Uthman Taha Naskh"/>
          <w:b/>
          <w:bCs/>
          <w:sz w:val="28"/>
          <w:rtl/>
          <w:lang w:bidi="ar-SY"/>
        </w:rPr>
        <w:t>ولما قدم الحسن بن علي رضي الله عنهما على معاوية فقال</w:t>
      </w:r>
      <w:r w:rsidR="003E3D26">
        <w:rPr>
          <w:rFonts w:cs="KFGQPC Uthman Taha Naskh" w:hint="cs"/>
          <w:b/>
          <w:bCs/>
          <w:sz w:val="28"/>
          <w:rtl/>
          <w:lang w:bidi="ar-SY"/>
        </w:rPr>
        <w:t>:</w:t>
      </w:r>
      <w:r w:rsidRPr="003762F6">
        <w:rPr>
          <w:rFonts w:cs="KFGQPC Uthman Taha Naskh"/>
          <w:b/>
          <w:bCs/>
          <w:sz w:val="28"/>
          <w:rtl/>
          <w:lang w:bidi="ar-SY"/>
        </w:rPr>
        <w:t xml:space="preserve"> لأجيزك بجائزة لم أجزها أحدا قبلك من العرب ولا أجيزها أحدا</w:t>
      </w:r>
      <w:r w:rsidRPr="003762F6">
        <w:rPr>
          <w:rFonts w:cs="KFGQPC Uthman Taha Naskh" w:hint="cs"/>
          <w:b/>
          <w:bCs/>
          <w:sz w:val="28"/>
          <w:rtl/>
          <w:lang w:bidi="ar-SY"/>
        </w:rPr>
        <w:t>ً</w:t>
      </w:r>
      <w:r w:rsidRPr="003762F6">
        <w:rPr>
          <w:rFonts w:cs="KFGQPC Uthman Taha Naskh"/>
          <w:b/>
          <w:bCs/>
          <w:sz w:val="28"/>
          <w:rtl/>
          <w:lang w:bidi="ar-SY"/>
        </w:rPr>
        <w:t xml:space="preserve"> بعدك من العرب</w:t>
      </w:r>
      <w:r w:rsidR="00217AB4" w:rsidRPr="003762F6">
        <w:rPr>
          <w:rFonts w:cs="KFGQPC Uthman Taha Naskh" w:hint="cs"/>
          <w:b/>
          <w:bCs/>
          <w:sz w:val="28"/>
          <w:rtl/>
          <w:lang w:bidi="ar-SY"/>
        </w:rPr>
        <w:t>،</w:t>
      </w:r>
      <w:r w:rsidRPr="003762F6">
        <w:rPr>
          <w:rFonts w:cs="KFGQPC Uthman Taha Naskh"/>
          <w:b/>
          <w:bCs/>
          <w:sz w:val="28"/>
          <w:rtl/>
          <w:lang w:bidi="ar-SY"/>
        </w:rPr>
        <w:t xml:space="preserve"> قال</w:t>
      </w:r>
      <w:r w:rsidR="003E3D26">
        <w:rPr>
          <w:rFonts w:cs="KFGQPC Uthman Taha Naskh" w:hint="cs"/>
          <w:b/>
          <w:bCs/>
          <w:sz w:val="28"/>
          <w:rtl/>
          <w:lang w:bidi="ar-SY"/>
        </w:rPr>
        <w:t>:</w:t>
      </w:r>
      <w:r w:rsidRPr="003762F6">
        <w:rPr>
          <w:rFonts w:cs="KFGQPC Uthman Taha Naskh"/>
          <w:b/>
          <w:bCs/>
          <w:sz w:val="28"/>
          <w:rtl/>
          <w:lang w:bidi="ar-SY"/>
        </w:rPr>
        <w:t xml:space="preserve"> فأعطاه أربعمائة ألف درهم فأخذها</w:t>
      </w:r>
      <w:r w:rsidR="00EF2588" w:rsidRPr="003762F6">
        <w:rPr>
          <w:rFonts w:cs="KFGQPC Uthman Taha Naskh" w:hint="cs"/>
          <w:sz w:val="28"/>
          <w:rtl/>
          <w:lang w:bidi="ar-SY"/>
        </w:rPr>
        <w:t>»</w:t>
      </w:r>
      <w:r w:rsidR="00EA0122" w:rsidRPr="0021507A">
        <w:rPr>
          <w:rFonts w:cs="Arabic11 BT"/>
          <w:sz w:val="28"/>
          <w:vertAlign w:val="superscript"/>
          <w:rtl/>
          <w:lang w:bidi="ar-SY"/>
        </w:rPr>
        <w:t>(</w:t>
      </w:r>
      <w:r w:rsidR="00EA0122" w:rsidRPr="0021507A">
        <w:rPr>
          <w:rStyle w:val="FootnoteReference"/>
          <w:rFonts w:cs="Arabic11 BT"/>
          <w:sz w:val="28"/>
          <w:rtl/>
          <w:lang w:bidi="ar-SY"/>
        </w:rPr>
        <w:footnoteReference w:id="186"/>
      </w:r>
      <w:r w:rsidR="00EA0122" w:rsidRPr="0021507A">
        <w:rPr>
          <w:rFonts w:cs="Arabic11 BT"/>
          <w:sz w:val="28"/>
          <w:vertAlign w:val="superscript"/>
          <w:rtl/>
          <w:lang w:bidi="ar-SY"/>
        </w:rPr>
        <w:t>)</w:t>
      </w:r>
      <w:r w:rsidR="00217AB4" w:rsidRPr="003F3B94">
        <w:rPr>
          <w:rFonts w:hint="cs"/>
          <w:sz w:val="28"/>
          <w:rtl/>
          <w:lang w:bidi="ar-SY"/>
        </w:rPr>
        <w:t>.</w:t>
      </w:r>
    </w:p>
    <w:p w:rsidR="005C664D" w:rsidRPr="003F3B94" w:rsidRDefault="005C664D" w:rsidP="007C6940">
      <w:pPr>
        <w:pStyle w:val="a0"/>
        <w:rPr>
          <w:rFonts w:hint="cs"/>
          <w:rtl/>
          <w:lang w:bidi="ar-SY"/>
        </w:rPr>
      </w:pPr>
      <w:r w:rsidRPr="003F3B94">
        <w:rPr>
          <w:rFonts w:hint="cs"/>
          <w:sz w:val="28"/>
          <w:rtl/>
          <w:lang w:bidi="ar-SY"/>
        </w:rPr>
        <w:t>9</w:t>
      </w:r>
      <w:r w:rsidR="00217AB4" w:rsidRPr="003F3B94">
        <w:rPr>
          <w:rFonts w:hint="cs"/>
          <w:sz w:val="28"/>
          <w:rtl/>
          <w:lang w:bidi="ar-SY"/>
        </w:rPr>
        <w:t>-</w:t>
      </w:r>
      <w:r w:rsidR="00147857" w:rsidRPr="003F3B94">
        <w:rPr>
          <w:rFonts w:hint="cs"/>
          <w:sz w:val="28"/>
          <w:rtl/>
          <w:lang w:bidi="ar-SY"/>
        </w:rPr>
        <w:t xml:space="preserve"> و</w:t>
      </w:r>
      <w:r w:rsidRPr="003F3B94">
        <w:rPr>
          <w:rFonts w:hint="cs"/>
          <w:sz w:val="28"/>
          <w:rtl/>
          <w:lang w:bidi="ar-SY"/>
        </w:rPr>
        <w:t xml:space="preserve">روى أبو الفرج الأصفهاني في </w:t>
      </w:r>
      <w:r w:rsidRPr="003F3B94">
        <w:rPr>
          <w:rFonts w:ascii="Lotus Linotype" w:hAnsi="Lotus Linotype"/>
          <w:sz w:val="28"/>
          <w:rtl/>
          <w:lang w:bidi="ar-SY"/>
        </w:rPr>
        <w:t>«</w:t>
      </w:r>
      <w:r w:rsidRPr="003F3B94">
        <w:rPr>
          <w:rFonts w:ascii="Lotus Linotype" w:hAnsi="Lotus Linotype" w:hint="cs"/>
          <w:sz w:val="28"/>
          <w:rtl/>
          <w:lang w:bidi="ar-SY"/>
        </w:rPr>
        <w:t>الأغاني</w:t>
      </w:r>
      <w:r w:rsidRPr="003F3B94">
        <w:rPr>
          <w:rFonts w:ascii="Lotus Linotype" w:hAnsi="Lotus Linotype"/>
          <w:sz w:val="28"/>
          <w:rtl/>
          <w:lang w:bidi="ar-SY"/>
        </w:rPr>
        <w:t>»</w:t>
      </w:r>
      <w:r w:rsidRPr="003F3B94">
        <w:rPr>
          <w:rFonts w:ascii="Lotus Linotype" w:hAnsi="Lotus Linotype" w:hint="cs"/>
          <w:sz w:val="28"/>
          <w:rtl/>
          <w:lang w:bidi="ar-SY"/>
        </w:rPr>
        <w:t xml:space="preserve"> في قصة زواج مصعب بن الزبير من سكينة ابنة حضرة سيد الشهداء</w:t>
      </w:r>
      <w:r w:rsidR="00147857" w:rsidRPr="003F3B94">
        <w:rPr>
          <w:rFonts w:ascii="Lotus Linotype" w:hAnsi="Lotus Linotype" w:hint="cs"/>
          <w:sz w:val="28"/>
          <w:rtl/>
          <w:lang w:bidi="ar-SY"/>
        </w:rPr>
        <w:t xml:space="preserve"> </w:t>
      </w:r>
      <w:r w:rsidR="003C7AEB" w:rsidRPr="003C7AEB">
        <w:rPr>
          <w:rFonts w:ascii="Abo-thar" w:hAnsi="Abo-thar" w:cs="CTraditional Arabic"/>
          <w:sz w:val="28"/>
          <w:rtl/>
          <w:lang w:bidi="ar-SY"/>
        </w:rPr>
        <w:t>÷</w:t>
      </w:r>
      <w:r w:rsidR="00217AB4" w:rsidRPr="003F3B94">
        <w:rPr>
          <w:rFonts w:ascii="Abo-thar" w:hAnsi="Abo-thar"/>
          <w:sz w:val="28"/>
          <w:rtl/>
          <w:lang w:bidi="ar-SY"/>
        </w:rPr>
        <w:t>:</w:t>
      </w:r>
      <w:r w:rsidRPr="003F3B94">
        <w:rPr>
          <w:rFonts w:ascii="Lotus Linotype" w:hAnsi="Lotus Linotype" w:hint="cs"/>
          <w:sz w:val="28"/>
          <w:rtl/>
          <w:lang w:bidi="ar-SY"/>
        </w:rPr>
        <w:t xml:space="preserve"> </w:t>
      </w:r>
      <w:r w:rsidR="00EF2588" w:rsidRPr="003762F6">
        <w:rPr>
          <w:rFonts w:ascii="Lotus Linotype" w:hAnsi="Lotus Linotype" w:cs="KFGQPC Uthman Taha Naskh" w:hint="cs"/>
          <w:sz w:val="28"/>
          <w:rtl/>
          <w:lang w:bidi="ar-SY"/>
        </w:rPr>
        <w:t>«</w:t>
      </w:r>
      <w:r w:rsidRPr="003762F6">
        <w:rPr>
          <w:rFonts w:ascii="Lotus Linotype" w:hAnsi="Lotus Linotype" w:cs="KFGQPC Uthman Taha Naskh"/>
          <w:b/>
          <w:bCs/>
          <w:sz w:val="28"/>
          <w:rtl/>
          <w:lang w:bidi="ar-SY"/>
        </w:rPr>
        <w:t>زوجه إياها أخوها علي بن الحسين</w:t>
      </w:r>
      <w:r w:rsidR="00217AB4" w:rsidRPr="003762F6">
        <w:rPr>
          <w:rFonts w:ascii="Lotus Linotype" w:hAnsi="Lotus Linotype" w:cs="KFGQPC Uthman Taha Naskh"/>
          <w:b/>
          <w:bCs/>
          <w:sz w:val="28"/>
          <w:rtl/>
          <w:lang w:bidi="ar-SY"/>
        </w:rPr>
        <w:t>،</w:t>
      </w:r>
      <w:r w:rsidRPr="003762F6">
        <w:rPr>
          <w:rFonts w:ascii="Lotus Linotype" w:hAnsi="Lotus Linotype" w:cs="KFGQPC Uthman Taha Naskh"/>
          <w:b/>
          <w:bCs/>
          <w:sz w:val="28"/>
          <w:rtl/>
          <w:lang w:bidi="ar-SY"/>
        </w:rPr>
        <w:t xml:space="preserve"> ومهرها مصعب ألف ألف درهم</w:t>
      </w:r>
      <w:r w:rsidR="00217AB4" w:rsidRPr="003762F6">
        <w:rPr>
          <w:rFonts w:ascii="Lotus Linotype" w:hAnsi="Lotus Linotype" w:cs="KFGQPC Uthman Taha Naskh"/>
          <w:b/>
          <w:bCs/>
          <w:sz w:val="28"/>
          <w:rtl/>
          <w:lang w:bidi="ar-SY"/>
        </w:rPr>
        <w:t>.</w:t>
      </w:r>
      <w:r w:rsidRPr="003762F6">
        <w:rPr>
          <w:rFonts w:ascii="Lotus Linotype" w:hAnsi="Lotus Linotype" w:cs="KFGQPC Uthman Taha Naskh" w:hint="cs"/>
          <w:b/>
          <w:bCs/>
          <w:sz w:val="28"/>
          <w:rtl/>
          <w:lang w:bidi="ar-SY"/>
        </w:rPr>
        <w:t xml:space="preserve"> </w:t>
      </w:r>
      <w:r w:rsidRPr="003762F6">
        <w:rPr>
          <w:rFonts w:ascii="Lotus Linotype" w:hAnsi="Lotus Linotype" w:cs="KFGQPC Uthman Taha Naskh"/>
          <w:b/>
          <w:bCs/>
          <w:sz w:val="28"/>
          <w:rtl/>
          <w:lang w:bidi="ar-SY"/>
        </w:rPr>
        <w:t>قال مصعب</w:t>
      </w:r>
      <w:r w:rsidR="00217AB4" w:rsidRPr="003762F6">
        <w:rPr>
          <w:rFonts w:ascii="Lotus Linotype" w:hAnsi="Lotus Linotype" w:cs="KFGQPC Uthman Taha Naskh"/>
          <w:b/>
          <w:bCs/>
          <w:sz w:val="28"/>
          <w:rtl/>
          <w:lang w:bidi="ar-SY"/>
        </w:rPr>
        <w:t>:</w:t>
      </w:r>
      <w:r w:rsidRPr="003762F6">
        <w:rPr>
          <w:rFonts w:ascii="Lotus Linotype" w:hAnsi="Lotus Linotype" w:cs="KFGQPC Uthman Taha Naskh"/>
          <w:b/>
          <w:bCs/>
          <w:sz w:val="28"/>
          <w:rtl/>
          <w:lang w:bidi="ar-SY"/>
        </w:rPr>
        <w:t xml:space="preserve"> وحدثني مصعب بن عثمان</w:t>
      </w:r>
      <w:r w:rsidR="00217AB4" w:rsidRPr="003762F6">
        <w:rPr>
          <w:rFonts w:ascii="Lotus Linotype" w:hAnsi="Lotus Linotype" w:cs="KFGQPC Uthman Taha Naskh"/>
          <w:b/>
          <w:bCs/>
          <w:sz w:val="28"/>
          <w:rtl/>
          <w:lang w:bidi="ar-SY"/>
        </w:rPr>
        <w:t>:</w:t>
      </w:r>
      <w:r w:rsidRPr="003762F6">
        <w:rPr>
          <w:rFonts w:ascii="Lotus Linotype" w:hAnsi="Lotus Linotype" w:cs="KFGQPC Uthman Taha Naskh"/>
          <w:b/>
          <w:bCs/>
          <w:sz w:val="28"/>
          <w:rtl/>
          <w:lang w:bidi="ar-SY"/>
        </w:rPr>
        <w:t xml:space="preserve"> أن علي بن الحسين أخاها حملها إليه</w:t>
      </w:r>
      <w:r w:rsidR="00217AB4" w:rsidRPr="003762F6">
        <w:rPr>
          <w:rFonts w:ascii="Lotus Linotype" w:hAnsi="Lotus Linotype" w:cs="KFGQPC Uthman Taha Naskh"/>
          <w:b/>
          <w:bCs/>
          <w:sz w:val="28"/>
          <w:rtl/>
          <w:lang w:bidi="ar-SY"/>
        </w:rPr>
        <w:t>،</w:t>
      </w:r>
      <w:r w:rsidRPr="003762F6">
        <w:rPr>
          <w:rFonts w:ascii="Lotus Linotype" w:hAnsi="Lotus Linotype" w:cs="KFGQPC Uthman Taha Naskh"/>
          <w:b/>
          <w:bCs/>
          <w:sz w:val="28"/>
          <w:rtl/>
          <w:lang w:bidi="ar-SY"/>
        </w:rPr>
        <w:t xml:space="preserve"> فأعطاه أربعين ألف دينار</w:t>
      </w:r>
      <w:r w:rsidR="00F456DF" w:rsidRPr="003762F6">
        <w:rPr>
          <w:rFonts w:ascii="Lotus Linotype" w:hAnsi="Lotus Linotype" w:cs="KFGQPC Uthman Taha Naskh"/>
          <w:b/>
          <w:bCs/>
          <w:sz w:val="28"/>
          <w:rtl/>
          <w:lang w:bidi="ar-SY"/>
        </w:rPr>
        <w:t>»</w:t>
      </w:r>
      <w:r w:rsidR="001A5B6D" w:rsidRPr="0021507A">
        <w:rPr>
          <w:rFonts w:ascii="Lotus Linotype" w:hAnsi="Lotus Linotype" w:cs="Arabic11 BT"/>
          <w:sz w:val="28"/>
          <w:vertAlign w:val="superscript"/>
          <w:rtl/>
          <w:lang w:bidi="ar-SY"/>
        </w:rPr>
        <w:t>(</w:t>
      </w:r>
      <w:r w:rsidR="001A5B6D" w:rsidRPr="0021507A">
        <w:rPr>
          <w:rStyle w:val="FootnoteReference"/>
          <w:rFonts w:ascii="Lotus Linotype" w:hAnsi="Lotus Linotype" w:cs="Arabic11 BT"/>
          <w:sz w:val="28"/>
          <w:rtl/>
          <w:lang w:bidi="ar-SY"/>
        </w:rPr>
        <w:footnoteReference w:id="187"/>
      </w:r>
      <w:r w:rsidR="001A5B6D" w:rsidRPr="0021507A">
        <w:rPr>
          <w:rFonts w:ascii="Lotus Linotype" w:hAnsi="Lotus Linotype" w:cs="Arabic11 BT"/>
          <w:sz w:val="28"/>
          <w:vertAlign w:val="superscript"/>
          <w:rtl/>
          <w:lang w:bidi="ar-SY"/>
        </w:rPr>
        <w:t>)</w:t>
      </w:r>
      <w:r w:rsidR="00217AB4" w:rsidRPr="003F3B94">
        <w:rPr>
          <w:rFonts w:ascii="Lotus Linotype" w:hAnsi="Lotus Linotype" w:hint="cs"/>
          <w:sz w:val="28"/>
          <w:rtl/>
          <w:lang w:bidi="ar-SY"/>
        </w:rPr>
        <w:t>.</w:t>
      </w:r>
    </w:p>
    <w:p w:rsidR="005C664D" w:rsidRPr="003F3B94" w:rsidRDefault="005C664D" w:rsidP="003F3B94">
      <w:pPr>
        <w:pStyle w:val="a0"/>
        <w:rPr>
          <w:rFonts w:hint="cs"/>
          <w:rtl/>
          <w:lang w:bidi="ar-SY"/>
        </w:rPr>
      </w:pPr>
      <w:r w:rsidRPr="003F3B94">
        <w:rPr>
          <w:rFonts w:ascii="Lotus Linotype" w:hAnsi="Lotus Linotype" w:hint="cs"/>
          <w:sz w:val="28"/>
          <w:rtl/>
          <w:lang w:bidi="ar-SY"/>
        </w:rPr>
        <w:t>أي أن حضرة الإمام زين العابدين علي بن الحسين</w:t>
      </w:r>
      <w:r w:rsidR="00147857" w:rsidRPr="003F3B94">
        <w:rPr>
          <w:rFonts w:ascii="Lotus Linotype" w:hAnsi="Lotus Linotype" w:hint="cs"/>
          <w:sz w:val="28"/>
          <w:rtl/>
          <w:lang w:bidi="ar-SY"/>
        </w:rPr>
        <w:t xml:space="preserve"> </w:t>
      </w:r>
      <w:r w:rsidR="003C7AEB" w:rsidRPr="003C7AEB">
        <w:rPr>
          <w:rFonts w:ascii="Abo-thar" w:hAnsi="Abo-thar" w:cs="CTraditional Arabic"/>
          <w:sz w:val="28"/>
          <w:rtl/>
          <w:lang w:bidi="ar-SY"/>
        </w:rPr>
        <w:t>÷</w:t>
      </w:r>
      <w:r w:rsidR="00147857" w:rsidRPr="003F3B94">
        <w:rPr>
          <w:rFonts w:ascii="Abo-thar" w:hAnsi="Abo-thar"/>
          <w:sz w:val="28"/>
          <w:rtl/>
          <w:lang w:bidi="ar-SY"/>
        </w:rPr>
        <w:t xml:space="preserve"> </w:t>
      </w:r>
      <w:r w:rsidRPr="003F3B94">
        <w:rPr>
          <w:rFonts w:ascii="Lotus Linotype" w:hAnsi="Lotus Linotype" w:hint="cs"/>
          <w:sz w:val="28"/>
          <w:rtl/>
          <w:lang w:bidi="ar-SY"/>
        </w:rPr>
        <w:t>لما حمل أخته سكينة إلى مصعب بن الزبير [الذي كان والي المدينة من قبل أخيه عبد الله بن الزبير]</w:t>
      </w:r>
      <w:r w:rsidRPr="003F3B94">
        <w:rPr>
          <w:rFonts w:hint="cs"/>
          <w:sz w:val="28"/>
          <w:rtl/>
          <w:lang w:bidi="ar-SY"/>
        </w:rPr>
        <w:t xml:space="preserve"> أجازه مصعب بن الزبير وأكرمه بمكرمة مقدارها أربعين ألف دينار</w:t>
      </w:r>
      <w:r w:rsidR="00217AB4" w:rsidRPr="003F3B94">
        <w:rPr>
          <w:rFonts w:hint="cs"/>
          <w:sz w:val="28"/>
          <w:rtl/>
          <w:lang w:bidi="ar-SY"/>
        </w:rPr>
        <w:t>،</w:t>
      </w:r>
      <w:r w:rsidRPr="003F3B94">
        <w:rPr>
          <w:rFonts w:hint="cs"/>
          <w:sz w:val="28"/>
          <w:rtl/>
          <w:lang w:bidi="ar-SY"/>
        </w:rPr>
        <w:t xml:space="preserve"> فقبل الإمام زين العابدين الجائزة وأخذها</w:t>
      </w:r>
      <w:r w:rsidR="00217AB4" w:rsidRPr="003F3B94">
        <w:rPr>
          <w:rFonts w:hint="cs"/>
          <w:sz w:val="28"/>
          <w:rtl/>
          <w:lang w:bidi="ar-SY"/>
        </w:rPr>
        <w:t>.</w:t>
      </w:r>
    </w:p>
    <w:p w:rsidR="005C664D" w:rsidRPr="003F3B94" w:rsidRDefault="005C664D" w:rsidP="007C6940">
      <w:pPr>
        <w:pStyle w:val="a0"/>
        <w:rPr>
          <w:rFonts w:hint="cs"/>
          <w:rtl/>
          <w:lang w:bidi="ar-SY"/>
        </w:rPr>
      </w:pPr>
      <w:r w:rsidRPr="003F3B94">
        <w:rPr>
          <w:rFonts w:hint="cs"/>
          <w:sz w:val="28"/>
          <w:rtl/>
          <w:lang w:bidi="ar-SY"/>
        </w:rPr>
        <w:t xml:space="preserve">10 </w:t>
      </w:r>
      <w:r w:rsidRPr="003F3B94">
        <w:rPr>
          <w:rFonts w:cs="Times New Roman" w:hint="cs"/>
          <w:sz w:val="28"/>
          <w:rtl/>
          <w:lang w:bidi="ar-SY"/>
        </w:rPr>
        <w:t>–</w:t>
      </w:r>
      <w:r w:rsidR="00147857" w:rsidRPr="003F3B94">
        <w:rPr>
          <w:rFonts w:hint="cs"/>
          <w:sz w:val="28"/>
          <w:rtl/>
          <w:lang w:bidi="ar-SY"/>
        </w:rPr>
        <w:t xml:space="preserve"> و</w:t>
      </w:r>
      <w:r w:rsidRPr="003F3B94">
        <w:rPr>
          <w:rFonts w:hint="cs"/>
          <w:sz w:val="28"/>
          <w:rtl/>
          <w:lang w:bidi="ar-SY"/>
        </w:rPr>
        <w:t xml:space="preserve">روى ابن سعد في </w:t>
      </w:r>
      <w:r w:rsidRPr="003F3B94">
        <w:rPr>
          <w:rFonts w:ascii="Lotus Linotype" w:hAnsi="Lotus Linotype"/>
          <w:sz w:val="28"/>
          <w:rtl/>
          <w:lang w:bidi="ar-SY"/>
        </w:rPr>
        <w:t>«</w:t>
      </w:r>
      <w:r w:rsidRPr="003F3B94">
        <w:rPr>
          <w:rFonts w:ascii="Lotus Linotype" w:hAnsi="Lotus Linotype" w:hint="cs"/>
          <w:sz w:val="28"/>
          <w:rtl/>
          <w:lang w:bidi="ar-SY"/>
        </w:rPr>
        <w:t>الطبقات الكبرى</w:t>
      </w:r>
      <w:r w:rsidRPr="003F3B94">
        <w:rPr>
          <w:rFonts w:ascii="Lotus Linotype" w:hAnsi="Lotus Linotype"/>
          <w:sz w:val="28"/>
          <w:rtl/>
          <w:lang w:bidi="ar-SY"/>
        </w:rPr>
        <w:t>»</w:t>
      </w:r>
      <w:r w:rsidR="00217AB4" w:rsidRPr="003F3B94">
        <w:rPr>
          <w:rFonts w:ascii="Lotus Linotype" w:hAnsi="Lotus Linotype" w:hint="cs"/>
          <w:sz w:val="28"/>
          <w:rtl/>
          <w:lang w:bidi="ar-SY"/>
        </w:rPr>
        <w:t>:</w:t>
      </w:r>
      <w:r w:rsidRPr="003F3B94">
        <w:rPr>
          <w:rFonts w:ascii="Lotus Linotype" w:hAnsi="Lotus Linotype" w:hint="cs"/>
          <w:sz w:val="28"/>
          <w:rtl/>
          <w:lang w:bidi="ar-SY"/>
        </w:rPr>
        <w:t xml:space="preserve"> </w:t>
      </w:r>
      <w:r w:rsidR="00EF2588" w:rsidRPr="003762F6">
        <w:rPr>
          <w:rFonts w:ascii="Lotus Linotype" w:hAnsi="Lotus Linotype" w:cs="KFGQPC Uthman Taha Naskh" w:hint="cs"/>
          <w:sz w:val="28"/>
          <w:rtl/>
          <w:lang w:bidi="ar-SY"/>
        </w:rPr>
        <w:t>«</w:t>
      </w:r>
      <w:r w:rsidRPr="003762F6">
        <w:rPr>
          <w:rFonts w:ascii="Lotus Linotype" w:hAnsi="Lotus Linotype" w:cs="KFGQPC Uthman Taha Naskh" w:hint="eastAsia"/>
          <w:b/>
          <w:bCs/>
          <w:sz w:val="28"/>
          <w:rtl/>
          <w:lang w:bidi="ar-SY"/>
        </w:rPr>
        <w:t>قال</w:t>
      </w:r>
      <w:r w:rsidR="00217AB4" w:rsidRPr="003762F6">
        <w:rPr>
          <w:rFonts w:ascii="Lotus Linotype" w:hAnsi="Lotus Linotype" w:cs="KFGQPC Uthman Taha Naskh"/>
          <w:b/>
          <w:bCs/>
          <w:sz w:val="28"/>
          <w:rtl/>
          <w:lang w:bidi="ar-SY"/>
        </w:rPr>
        <w:t>:</w:t>
      </w:r>
      <w:r w:rsidRPr="003762F6">
        <w:rPr>
          <w:rFonts w:ascii="Lotus Linotype" w:hAnsi="Lotus Linotype" w:cs="KFGQPC Uthman Taha Naskh"/>
          <w:b/>
          <w:bCs/>
          <w:sz w:val="28"/>
          <w:rtl/>
          <w:lang w:bidi="ar-SY"/>
        </w:rPr>
        <w:t xml:space="preserve"> </w:t>
      </w:r>
      <w:r w:rsidRPr="003762F6">
        <w:rPr>
          <w:rFonts w:ascii="Lotus Linotype" w:hAnsi="Lotus Linotype" w:cs="KFGQPC Uthman Taha Naskh" w:hint="eastAsia"/>
          <w:b/>
          <w:bCs/>
          <w:sz w:val="28"/>
          <w:rtl/>
          <w:lang w:bidi="ar-SY"/>
        </w:rPr>
        <w:t>أخبرنا</w:t>
      </w:r>
      <w:r w:rsidRPr="003762F6">
        <w:rPr>
          <w:rFonts w:ascii="Lotus Linotype" w:hAnsi="Lotus Linotype" w:cs="KFGQPC Uthman Taha Naskh"/>
          <w:b/>
          <w:bCs/>
          <w:sz w:val="28"/>
          <w:rtl/>
          <w:lang w:bidi="ar-SY"/>
        </w:rPr>
        <w:t xml:space="preserve"> </w:t>
      </w:r>
      <w:r w:rsidRPr="003762F6">
        <w:rPr>
          <w:rFonts w:ascii="Lotus Linotype" w:hAnsi="Lotus Linotype" w:cs="KFGQPC Uthman Taha Naskh" w:hint="eastAsia"/>
          <w:b/>
          <w:bCs/>
          <w:sz w:val="28"/>
          <w:rtl/>
          <w:lang w:bidi="ar-SY"/>
        </w:rPr>
        <w:t>علي</w:t>
      </w:r>
      <w:r w:rsidRPr="003762F6">
        <w:rPr>
          <w:rFonts w:ascii="Lotus Linotype" w:hAnsi="Lotus Linotype" w:cs="KFGQPC Uthman Taha Naskh"/>
          <w:b/>
          <w:bCs/>
          <w:sz w:val="28"/>
          <w:rtl/>
          <w:lang w:bidi="ar-SY"/>
        </w:rPr>
        <w:t xml:space="preserve"> </w:t>
      </w:r>
      <w:r w:rsidRPr="003762F6">
        <w:rPr>
          <w:rFonts w:ascii="Lotus Linotype" w:hAnsi="Lotus Linotype" w:cs="KFGQPC Uthman Taha Naskh" w:hint="eastAsia"/>
          <w:b/>
          <w:bCs/>
          <w:sz w:val="28"/>
          <w:rtl/>
          <w:lang w:bidi="ar-SY"/>
        </w:rPr>
        <w:t>بن</w:t>
      </w:r>
      <w:r w:rsidRPr="003762F6">
        <w:rPr>
          <w:rFonts w:ascii="Lotus Linotype" w:hAnsi="Lotus Linotype" w:cs="KFGQPC Uthman Taha Naskh"/>
          <w:b/>
          <w:bCs/>
          <w:sz w:val="28"/>
          <w:rtl/>
          <w:lang w:bidi="ar-SY"/>
        </w:rPr>
        <w:t xml:space="preserve"> </w:t>
      </w:r>
      <w:r w:rsidRPr="003762F6">
        <w:rPr>
          <w:rFonts w:ascii="Lotus Linotype" w:hAnsi="Lotus Linotype" w:cs="KFGQPC Uthman Taha Naskh" w:hint="eastAsia"/>
          <w:b/>
          <w:bCs/>
          <w:sz w:val="28"/>
          <w:rtl/>
          <w:lang w:bidi="ar-SY"/>
        </w:rPr>
        <w:t>محمد</w:t>
      </w:r>
      <w:r w:rsidRPr="003762F6">
        <w:rPr>
          <w:rFonts w:ascii="Lotus Linotype" w:hAnsi="Lotus Linotype" w:cs="KFGQPC Uthman Taha Naskh"/>
          <w:b/>
          <w:bCs/>
          <w:sz w:val="28"/>
          <w:rtl/>
          <w:lang w:bidi="ar-SY"/>
        </w:rPr>
        <w:t xml:space="preserve"> </w:t>
      </w:r>
      <w:r w:rsidRPr="003762F6">
        <w:rPr>
          <w:rFonts w:ascii="Lotus Linotype" w:hAnsi="Lotus Linotype" w:cs="KFGQPC Uthman Taha Naskh" w:hint="eastAsia"/>
          <w:b/>
          <w:bCs/>
          <w:sz w:val="28"/>
          <w:rtl/>
          <w:lang w:bidi="ar-SY"/>
        </w:rPr>
        <w:t>عن</w:t>
      </w:r>
      <w:r w:rsidRPr="003762F6">
        <w:rPr>
          <w:rFonts w:ascii="Lotus Linotype" w:hAnsi="Lotus Linotype" w:cs="KFGQPC Uthman Taha Naskh"/>
          <w:b/>
          <w:bCs/>
          <w:sz w:val="28"/>
          <w:rtl/>
          <w:lang w:bidi="ar-SY"/>
        </w:rPr>
        <w:t xml:space="preserve"> </w:t>
      </w:r>
      <w:r w:rsidRPr="003762F6">
        <w:rPr>
          <w:rFonts w:ascii="Lotus Linotype" w:hAnsi="Lotus Linotype" w:cs="KFGQPC Uthman Taha Naskh" w:hint="eastAsia"/>
          <w:b/>
          <w:bCs/>
          <w:sz w:val="28"/>
          <w:rtl/>
          <w:lang w:bidi="ar-SY"/>
        </w:rPr>
        <w:t>سعيد</w:t>
      </w:r>
      <w:r w:rsidRPr="003762F6">
        <w:rPr>
          <w:rFonts w:ascii="Lotus Linotype" w:hAnsi="Lotus Linotype" w:cs="KFGQPC Uthman Taha Naskh"/>
          <w:b/>
          <w:bCs/>
          <w:sz w:val="28"/>
          <w:rtl/>
          <w:lang w:bidi="ar-SY"/>
        </w:rPr>
        <w:t xml:space="preserve"> </w:t>
      </w:r>
      <w:r w:rsidRPr="003762F6">
        <w:rPr>
          <w:rFonts w:ascii="Lotus Linotype" w:hAnsi="Lotus Linotype" w:cs="KFGQPC Uthman Taha Naskh" w:hint="eastAsia"/>
          <w:b/>
          <w:bCs/>
          <w:sz w:val="28"/>
          <w:rtl/>
          <w:lang w:bidi="ar-SY"/>
        </w:rPr>
        <w:t>بن</w:t>
      </w:r>
      <w:r w:rsidRPr="003762F6">
        <w:rPr>
          <w:rFonts w:ascii="Lotus Linotype" w:hAnsi="Lotus Linotype" w:cs="KFGQPC Uthman Taha Naskh"/>
          <w:b/>
          <w:bCs/>
          <w:sz w:val="28"/>
          <w:rtl/>
          <w:lang w:bidi="ar-SY"/>
        </w:rPr>
        <w:t xml:space="preserve"> </w:t>
      </w:r>
      <w:r w:rsidRPr="003762F6">
        <w:rPr>
          <w:rFonts w:ascii="Lotus Linotype" w:hAnsi="Lotus Linotype" w:cs="KFGQPC Uthman Taha Naskh" w:hint="eastAsia"/>
          <w:b/>
          <w:bCs/>
          <w:sz w:val="28"/>
          <w:rtl/>
          <w:lang w:bidi="ar-SY"/>
        </w:rPr>
        <w:t>خالد</w:t>
      </w:r>
      <w:r w:rsidRPr="003762F6">
        <w:rPr>
          <w:rFonts w:ascii="Lotus Linotype" w:hAnsi="Lotus Linotype" w:cs="KFGQPC Uthman Taha Naskh"/>
          <w:b/>
          <w:bCs/>
          <w:sz w:val="28"/>
          <w:rtl/>
          <w:lang w:bidi="ar-SY"/>
        </w:rPr>
        <w:t xml:space="preserve"> </w:t>
      </w:r>
      <w:r w:rsidRPr="003762F6">
        <w:rPr>
          <w:rFonts w:ascii="Lotus Linotype" w:hAnsi="Lotus Linotype" w:cs="KFGQPC Uthman Taha Naskh" w:hint="eastAsia"/>
          <w:b/>
          <w:bCs/>
          <w:sz w:val="28"/>
          <w:rtl/>
          <w:lang w:bidi="ar-SY"/>
        </w:rPr>
        <w:t>عن</w:t>
      </w:r>
      <w:r w:rsidRPr="003762F6">
        <w:rPr>
          <w:rFonts w:ascii="Lotus Linotype" w:hAnsi="Lotus Linotype" w:cs="KFGQPC Uthman Taha Naskh"/>
          <w:b/>
          <w:bCs/>
          <w:sz w:val="28"/>
          <w:rtl/>
          <w:lang w:bidi="ar-SY"/>
        </w:rPr>
        <w:t xml:space="preserve"> </w:t>
      </w:r>
      <w:r w:rsidRPr="003762F6">
        <w:rPr>
          <w:rFonts w:ascii="Lotus Linotype" w:hAnsi="Lotus Linotype" w:cs="KFGQPC Uthman Taha Naskh" w:hint="eastAsia"/>
          <w:b/>
          <w:bCs/>
          <w:sz w:val="28"/>
          <w:rtl/>
          <w:lang w:bidi="ar-SY"/>
        </w:rPr>
        <w:t>المقبري</w:t>
      </w:r>
      <w:r w:rsidRPr="003762F6">
        <w:rPr>
          <w:rFonts w:ascii="Lotus Linotype" w:hAnsi="Lotus Linotype" w:cs="KFGQPC Uthman Taha Naskh"/>
          <w:b/>
          <w:bCs/>
          <w:sz w:val="28"/>
          <w:rtl/>
          <w:lang w:bidi="ar-SY"/>
        </w:rPr>
        <w:t xml:space="preserve"> </w:t>
      </w:r>
      <w:r w:rsidRPr="003762F6">
        <w:rPr>
          <w:rFonts w:ascii="Lotus Linotype" w:hAnsi="Lotus Linotype" w:cs="KFGQPC Uthman Taha Naskh" w:hint="eastAsia"/>
          <w:b/>
          <w:bCs/>
          <w:sz w:val="28"/>
          <w:rtl/>
          <w:lang w:bidi="ar-SY"/>
        </w:rPr>
        <w:t>قال</w:t>
      </w:r>
      <w:r w:rsidR="00217AB4" w:rsidRPr="003762F6">
        <w:rPr>
          <w:rFonts w:ascii="Lotus Linotype" w:hAnsi="Lotus Linotype" w:cs="KFGQPC Uthman Taha Naskh"/>
          <w:b/>
          <w:bCs/>
          <w:sz w:val="28"/>
          <w:rtl/>
          <w:lang w:bidi="ar-SY"/>
        </w:rPr>
        <w:t>:</w:t>
      </w:r>
      <w:r w:rsidRPr="003762F6">
        <w:rPr>
          <w:rFonts w:ascii="Lotus Linotype" w:hAnsi="Lotus Linotype" w:cs="KFGQPC Uthman Taha Naskh" w:hint="cs"/>
          <w:b/>
          <w:bCs/>
          <w:sz w:val="28"/>
          <w:rtl/>
          <w:lang w:bidi="ar-SY"/>
        </w:rPr>
        <w:t xml:space="preserve"> </w:t>
      </w:r>
      <w:r w:rsidRPr="003762F6">
        <w:rPr>
          <w:rFonts w:ascii="Lotus Linotype" w:hAnsi="Lotus Linotype" w:cs="KFGQPC Uthman Taha Naskh"/>
          <w:b/>
          <w:bCs/>
          <w:sz w:val="28"/>
          <w:rtl/>
          <w:lang w:bidi="ar-SY"/>
        </w:rPr>
        <w:t>بعث المختار إلى عل</w:t>
      </w:r>
      <w:r w:rsidRPr="003762F6">
        <w:rPr>
          <w:rFonts w:ascii="Lotus Linotype" w:hAnsi="Lotus Linotype" w:cs="KFGQPC Uthman Taha Naskh" w:hint="cs"/>
          <w:b/>
          <w:bCs/>
          <w:sz w:val="28"/>
          <w:rtl/>
          <w:lang w:bidi="ar-SY"/>
        </w:rPr>
        <w:t>يِّ</w:t>
      </w:r>
      <w:r w:rsidRPr="003762F6">
        <w:rPr>
          <w:rFonts w:ascii="Lotus Linotype" w:hAnsi="Lotus Linotype" w:cs="KFGQPC Uthman Taha Naskh"/>
          <w:b/>
          <w:bCs/>
          <w:sz w:val="28"/>
          <w:rtl/>
          <w:lang w:bidi="ar-SY"/>
        </w:rPr>
        <w:t xml:space="preserve"> بن حسين</w:t>
      </w:r>
      <w:r w:rsidR="00147857" w:rsidRPr="003762F6">
        <w:rPr>
          <w:rFonts w:ascii="Lotus Linotype" w:hAnsi="Lotus Linotype" w:cs="KFGQPC Uthman Taha Naskh"/>
          <w:b/>
          <w:bCs/>
          <w:sz w:val="28"/>
          <w:rtl/>
          <w:lang w:bidi="ar-SY"/>
        </w:rPr>
        <w:t xml:space="preserve"> </w:t>
      </w:r>
      <w:r w:rsidR="003C7AEB" w:rsidRPr="003C7AEB">
        <w:rPr>
          <w:rFonts w:ascii="Abo-thar" w:hAnsi="Abo-thar" w:cs="CTraditional Arabic"/>
          <w:sz w:val="28"/>
          <w:rtl/>
          <w:lang w:bidi="ar-SY"/>
        </w:rPr>
        <w:t>÷</w:t>
      </w:r>
      <w:r w:rsidR="00147857" w:rsidRPr="003762F6">
        <w:rPr>
          <w:rFonts w:ascii="Abo-thar" w:hAnsi="Abo-thar" w:cs="KFGQPC Uthman Taha Naskh"/>
          <w:sz w:val="28"/>
          <w:rtl/>
          <w:lang w:bidi="ar-SY"/>
        </w:rPr>
        <w:t xml:space="preserve"> </w:t>
      </w:r>
      <w:r w:rsidRPr="003762F6">
        <w:rPr>
          <w:rFonts w:ascii="Lotus Linotype" w:hAnsi="Lotus Linotype" w:cs="KFGQPC Uthman Taha Naskh"/>
          <w:b/>
          <w:bCs/>
          <w:sz w:val="28"/>
          <w:rtl/>
          <w:lang w:bidi="ar-SY"/>
        </w:rPr>
        <w:t>بمائة ألف</w:t>
      </w:r>
      <w:r w:rsidR="00217AB4" w:rsidRPr="003762F6">
        <w:rPr>
          <w:rFonts w:ascii="Lotus Linotype" w:hAnsi="Lotus Linotype" w:cs="KFGQPC Uthman Taha Naskh" w:hint="cs"/>
          <w:b/>
          <w:bCs/>
          <w:sz w:val="28"/>
          <w:rtl/>
          <w:lang w:bidi="ar-SY"/>
        </w:rPr>
        <w:t>،</w:t>
      </w:r>
      <w:r w:rsidR="00147857" w:rsidRPr="003762F6">
        <w:rPr>
          <w:rFonts w:ascii="Lotus Linotype" w:hAnsi="Lotus Linotype" w:cs="KFGQPC Uthman Taha Naskh" w:hint="cs"/>
          <w:b/>
          <w:bCs/>
          <w:sz w:val="28"/>
          <w:rtl/>
          <w:lang w:bidi="ar-SY"/>
        </w:rPr>
        <w:t xml:space="preserve"> </w:t>
      </w:r>
      <w:r w:rsidRPr="003762F6">
        <w:rPr>
          <w:rFonts w:ascii="Lotus Linotype" w:hAnsi="Lotus Linotype" w:cs="KFGQPC Uthman Taha Naskh"/>
          <w:b/>
          <w:bCs/>
          <w:sz w:val="28"/>
          <w:rtl/>
          <w:lang w:bidi="ar-SY"/>
        </w:rPr>
        <w:t>ف</w:t>
      </w:r>
      <w:r w:rsidRPr="003762F6">
        <w:rPr>
          <w:rFonts w:ascii="Lotus Linotype" w:hAnsi="Lotus Linotype" w:cs="KFGQPC Uthman Taha Naskh" w:hint="cs"/>
          <w:b/>
          <w:bCs/>
          <w:sz w:val="28"/>
          <w:rtl/>
          <w:lang w:bidi="ar-SY"/>
        </w:rPr>
        <w:t>َ</w:t>
      </w:r>
      <w:r w:rsidRPr="003762F6">
        <w:rPr>
          <w:rFonts w:ascii="Lotus Linotype" w:hAnsi="Lotus Linotype" w:cs="KFGQPC Uthman Taha Naskh"/>
          <w:b/>
          <w:bCs/>
          <w:sz w:val="28"/>
          <w:rtl/>
          <w:lang w:bidi="ar-SY"/>
        </w:rPr>
        <w:t>ك</w:t>
      </w:r>
      <w:r w:rsidRPr="003762F6">
        <w:rPr>
          <w:rFonts w:ascii="Lotus Linotype" w:hAnsi="Lotus Linotype" w:cs="KFGQPC Uthman Taha Naskh" w:hint="cs"/>
          <w:b/>
          <w:bCs/>
          <w:sz w:val="28"/>
          <w:rtl/>
          <w:lang w:bidi="ar-SY"/>
        </w:rPr>
        <w:t>َ</w:t>
      </w:r>
      <w:r w:rsidRPr="003762F6">
        <w:rPr>
          <w:rFonts w:ascii="Lotus Linotype" w:hAnsi="Lotus Linotype" w:cs="KFGQPC Uthman Taha Naskh"/>
          <w:b/>
          <w:bCs/>
          <w:sz w:val="28"/>
          <w:rtl/>
          <w:lang w:bidi="ar-SY"/>
        </w:rPr>
        <w:t>ر</w:t>
      </w:r>
      <w:r w:rsidRPr="003762F6">
        <w:rPr>
          <w:rFonts w:ascii="Lotus Linotype" w:hAnsi="Lotus Linotype" w:cs="KFGQPC Uthman Taha Naskh" w:hint="cs"/>
          <w:b/>
          <w:bCs/>
          <w:sz w:val="28"/>
          <w:rtl/>
          <w:lang w:bidi="ar-SY"/>
        </w:rPr>
        <w:t>ِ</w:t>
      </w:r>
      <w:r w:rsidRPr="003762F6">
        <w:rPr>
          <w:rFonts w:ascii="Lotus Linotype" w:hAnsi="Lotus Linotype" w:cs="KFGQPC Uthman Taha Naskh"/>
          <w:b/>
          <w:bCs/>
          <w:sz w:val="28"/>
          <w:rtl/>
          <w:lang w:bidi="ar-SY"/>
        </w:rPr>
        <w:t>ه</w:t>
      </w:r>
      <w:r w:rsidRPr="003762F6">
        <w:rPr>
          <w:rFonts w:ascii="Lotus Linotype" w:hAnsi="Lotus Linotype" w:cs="KFGQPC Uthman Taha Naskh" w:hint="cs"/>
          <w:b/>
          <w:bCs/>
          <w:sz w:val="28"/>
          <w:rtl/>
          <w:lang w:bidi="ar-SY"/>
        </w:rPr>
        <w:t>َ</w:t>
      </w:r>
      <w:r w:rsidRPr="003762F6">
        <w:rPr>
          <w:rFonts w:ascii="Lotus Linotype" w:hAnsi="Lotus Linotype" w:cs="KFGQPC Uthman Taha Naskh"/>
          <w:b/>
          <w:bCs/>
          <w:sz w:val="28"/>
          <w:rtl/>
          <w:lang w:bidi="ar-SY"/>
        </w:rPr>
        <w:t xml:space="preserve"> أن يقبلها وخاف أن يرد</w:t>
      </w:r>
      <w:r w:rsidRPr="003762F6">
        <w:rPr>
          <w:rFonts w:ascii="Lotus Linotype" w:hAnsi="Lotus Linotype" w:cs="KFGQPC Uthman Taha Naskh" w:hint="cs"/>
          <w:b/>
          <w:bCs/>
          <w:sz w:val="28"/>
          <w:rtl/>
          <w:lang w:bidi="ar-SY"/>
        </w:rPr>
        <w:t>ّ</w:t>
      </w:r>
      <w:r w:rsidRPr="003762F6">
        <w:rPr>
          <w:rFonts w:ascii="Lotus Linotype" w:hAnsi="Lotus Linotype" w:cs="KFGQPC Uthman Taha Naskh"/>
          <w:b/>
          <w:bCs/>
          <w:sz w:val="28"/>
          <w:rtl/>
          <w:lang w:bidi="ar-SY"/>
        </w:rPr>
        <w:t>ها فأخذها فاحتبسها عنده</w:t>
      </w:r>
      <w:r w:rsidR="00217AB4" w:rsidRPr="003762F6">
        <w:rPr>
          <w:rFonts w:ascii="Lotus Linotype" w:hAnsi="Lotus Linotype" w:cs="KFGQPC Uthman Taha Naskh"/>
          <w:b/>
          <w:bCs/>
          <w:sz w:val="28"/>
          <w:rtl/>
          <w:lang w:bidi="ar-SY"/>
        </w:rPr>
        <w:t>،</w:t>
      </w:r>
      <w:r w:rsidRPr="003762F6">
        <w:rPr>
          <w:rFonts w:ascii="Lotus Linotype" w:hAnsi="Lotus Linotype" w:cs="KFGQPC Uthman Taha Naskh"/>
          <w:b/>
          <w:bCs/>
          <w:sz w:val="28"/>
          <w:rtl/>
          <w:lang w:bidi="ar-SY"/>
        </w:rPr>
        <w:t xml:space="preserve"> فلما ق</w:t>
      </w:r>
      <w:r w:rsidRPr="003762F6">
        <w:rPr>
          <w:rFonts w:ascii="Lotus Linotype" w:hAnsi="Lotus Linotype" w:cs="KFGQPC Uthman Taha Naskh" w:hint="cs"/>
          <w:b/>
          <w:bCs/>
          <w:sz w:val="28"/>
          <w:rtl/>
          <w:lang w:bidi="ar-SY"/>
        </w:rPr>
        <w:t>ُ</w:t>
      </w:r>
      <w:r w:rsidRPr="003762F6">
        <w:rPr>
          <w:rFonts w:ascii="Lotus Linotype" w:hAnsi="Lotus Linotype" w:cs="KFGQPC Uthman Taha Naskh"/>
          <w:b/>
          <w:bCs/>
          <w:sz w:val="28"/>
          <w:rtl/>
          <w:lang w:bidi="ar-SY"/>
        </w:rPr>
        <w:t>ت</w:t>
      </w:r>
      <w:r w:rsidRPr="003762F6">
        <w:rPr>
          <w:rFonts w:ascii="Lotus Linotype" w:hAnsi="Lotus Linotype" w:cs="KFGQPC Uthman Taha Naskh" w:hint="cs"/>
          <w:b/>
          <w:bCs/>
          <w:sz w:val="28"/>
          <w:rtl/>
          <w:lang w:bidi="ar-SY"/>
        </w:rPr>
        <w:t>ِ</w:t>
      </w:r>
      <w:r w:rsidRPr="003762F6">
        <w:rPr>
          <w:rFonts w:ascii="Lotus Linotype" w:hAnsi="Lotus Linotype" w:cs="KFGQPC Uthman Taha Naskh"/>
          <w:b/>
          <w:bCs/>
          <w:sz w:val="28"/>
          <w:rtl/>
          <w:lang w:bidi="ar-SY"/>
        </w:rPr>
        <w:t>ل</w:t>
      </w:r>
      <w:r w:rsidRPr="003762F6">
        <w:rPr>
          <w:rFonts w:ascii="Lotus Linotype" w:hAnsi="Lotus Linotype" w:cs="KFGQPC Uthman Taha Naskh" w:hint="cs"/>
          <w:b/>
          <w:bCs/>
          <w:sz w:val="28"/>
          <w:rtl/>
          <w:lang w:bidi="ar-SY"/>
        </w:rPr>
        <w:t>َ</w:t>
      </w:r>
      <w:r w:rsidRPr="003762F6">
        <w:rPr>
          <w:rFonts w:ascii="Lotus Linotype" w:hAnsi="Lotus Linotype" w:cs="KFGQPC Uthman Taha Naskh"/>
          <w:b/>
          <w:bCs/>
          <w:sz w:val="28"/>
          <w:rtl/>
          <w:lang w:bidi="ar-SY"/>
        </w:rPr>
        <w:t xml:space="preserve"> المختار كتب علي بن حسين</w:t>
      </w:r>
      <w:r w:rsidR="00147857" w:rsidRPr="003762F6">
        <w:rPr>
          <w:rFonts w:ascii="Lotus Linotype" w:hAnsi="Lotus Linotype" w:cs="KFGQPC Uthman Taha Naskh"/>
          <w:b/>
          <w:bCs/>
          <w:sz w:val="28"/>
          <w:rtl/>
          <w:lang w:bidi="ar-SY"/>
        </w:rPr>
        <w:t xml:space="preserve"> </w:t>
      </w:r>
      <w:r w:rsidR="003C7AEB" w:rsidRPr="003C7AEB">
        <w:rPr>
          <w:rFonts w:ascii="Abo-thar" w:hAnsi="Abo-thar" w:cs="CTraditional Arabic"/>
          <w:sz w:val="28"/>
          <w:rtl/>
          <w:lang w:bidi="ar-SY"/>
        </w:rPr>
        <w:t>÷</w:t>
      </w:r>
      <w:r w:rsidR="00147857" w:rsidRPr="003762F6">
        <w:rPr>
          <w:rFonts w:ascii="Abo-thar" w:hAnsi="Abo-thar" w:cs="KFGQPC Uthman Taha Naskh"/>
          <w:sz w:val="28"/>
          <w:rtl/>
          <w:lang w:bidi="ar-SY"/>
        </w:rPr>
        <w:t xml:space="preserve"> </w:t>
      </w:r>
      <w:r w:rsidRPr="003762F6">
        <w:rPr>
          <w:rFonts w:ascii="Lotus Linotype" w:hAnsi="Lotus Linotype" w:cs="KFGQPC Uthman Taha Naskh"/>
          <w:b/>
          <w:bCs/>
          <w:sz w:val="28"/>
          <w:rtl/>
          <w:lang w:bidi="ar-SY"/>
        </w:rPr>
        <w:t>إلى عبد الملك بن مروان</w:t>
      </w:r>
      <w:r w:rsidR="00217AB4" w:rsidRPr="003762F6">
        <w:rPr>
          <w:rFonts w:ascii="Lotus Linotype" w:hAnsi="Lotus Linotype" w:cs="KFGQPC Uthman Taha Naskh"/>
          <w:b/>
          <w:bCs/>
          <w:sz w:val="28"/>
          <w:rtl/>
          <w:lang w:bidi="ar-SY"/>
        </w:rPr>
        <w:t>:</w:t>
      </w:r>
      <w:r w:rsidRPr="003762F6">
        <w:rPr>
          <w:rFonts w:ascii="Lotus Linotype" w:hAnsi="Lotus Linotype" w:cs="KFGQPC Uthman Taha Naskh"/>
          <w:b/>
          <w:bCs/>
          <w:sz w:val="28"/>
          <w:rtl/>
          <w:lang w:bidi="ar-SY"/>
        </w:rPr>
        <w:t xml:space="preserve"> إن المختار بعث إلي</w:t>
      </w:r>
      <w:r w:rsidRPr="003762F6">
        <w:rPr>
          <w:rFonts w:ascii="Lotus Linotype" w:hAnsi="Lotus Linotype" w:cs="KFGQPC Uthman Taha Naskh" w:hint="cs"/>
          <w:b/>
          <w:bCs/>
          <w:sz w:val="28"/>
          <w:rtl/>
          <w:lang w:bidi="ar-SY"/>
        </w:rPr>
        <w:t>َّ</w:t>
      </w:r>
      <w:r w:rsidRPr="003762F6">
        <w:rPr>
          <w:rFonts w:ascii="Lotus Linotype" w:hAnsi="Lotus Linotype" w:cs="KFGQPC Uthman Taha Naskh"/>
          <w:b/>
          <w:bCs/>
          <w:sz w:val="28"/>
          <w:rtl/>
          <w:lang w:bidi="ar-SY"/>
        </w:rPr>
        <w:t xml:space="preserve"> بمائة ألف درهم فكرهت أن أرد</w:t>
      </w:r>
      <w:r w:rsidRPr="003762F6">
        <w:rPr>
          <w:rFonts w:ascii="Lotus Linotype" w:hAnsi="Lotus Linotype" w:cs="KFGQPC Uthman Taha Naskh" w:hint="cs"/>
          <w:b/>
          <w:bCs/>
          <w:sz w:val="28"/>
          <w:rtl/>
          <w:lang w:bidi="ar-SY"/>
        </w:rPr>
        <w:t>ّ</w:t>
      </w:r>
      <w:r w:rsidRPr="003762F6">
        <w:rPr>
          <w:rFonts w:ascii="Lotus Linotype" w:hAnsi="Lotus Linotype" w:cs="KFGQPC Uthman Taha Naskh"/>
          <w:b/>
          <w:bCs/>
          <w:sz w:val="28"/>
          <w:rtl/>
          <w:lang w:bidi="ar-SY"/>
        </w:rPr>
        <w:t>ها وكرهت أن آخذها فهي عندي فابعث من يقبضها</w:t>
      </w:r>
      <w:r w:rsidR="00217AB4" w:rsidRPr="003762F6">
        <w:rPr>
          <w:rFonts w:ascii="Lotus Linotype" w:hAnsi="Lotus Linotype" w:cs="KFGQPC Uthman Taha Naskh"/>
          <w:b/>
          <w:bCs/>
          <w:sz w:val="28"/>
          <w:rtl/>
          <w:lang w:bidi="ar-SY"/>
        </w:rPr>
        <w:t>.</w:t>
      </w:r>
      <w:r w:rsidRPr="003762F6">
        <w:rPr>
          <w:rFonts w:ascii="Lotus Linotype" w:hAnsi="Lotus Linotype" w:cs="KFGQPC Uthman Taha Naskh"/>
          <w:b/>
          <w:bCs/>
          <w:sz w:val="28"/>
          <w:rtl/>
          <w:lang w:bidi="ar-SY"/>
        </w:rPr>
        <w:t xml:space="preserve"> فكتب إليه عبد الملك</w:t>
      </w:r>
      <w:r w:rsidR="00217AB4" w:rsidRPr="003762F6">
        <w:rPr>
          <w:rFonts w:ascii="Lotus Linotype" w:hAnsi="Lotus Linotype" w:cs="KFGQPC Uthman Taha Naskh"/>
          <w:b/>
          <w:bCs/>
          <w:sz w:val="28"/>
          <w:rtl/>
          <w:lang w:bidi="ar-SY"/>
        </w:rPr>
        <w:t>:</w:t>
      </w:r>
      <w:r w:rsidRPr="003762F6">
        <w:rPr>
          <w:rFonts w:ascii="Lotus Linotype" w:hAnsi="Lotus Linotype" w:cs="KFGQPC Uthman Taha Naskh"/>
          <w:b/>
          <w:bCs/>
          <w:sz w:val="28"/>
          <w:rtl/>
          <w:lang w:bidi="ar-SY"/>
        </w:rPr>
        <w:t xml:space="preserve"> يا بن عم</w:t>
      </w:r>
      <w:r w:rsidR="00217AB4" w:rsidRPr="003762F6">
        <w:rPr>
          <w:rFonts w:ascii="Lotus Linotype" w:hAnsi="Lotus Linotype" w:cs="KFGQPC Uthman Taha Naskh" w:hint="cs"/>
          <w:b/>
          <w:bCs/>
          <w:sz w:val="28"/>
          <w:rtl/>
          <w:lang w:bidi="ar-SY"/>
        </w:rPr>
        <w:t>!</w:t>
      </w:r>
      <w:r w:rsidRPr="003762F6">
        <w:rPr>
          <w:rFonts w:ascii="Lotus Linotype" w:hAnsi="Lotus Linotype" w:cs="KFGQPC Uthman Taha Naskh"/>
          <w:b/>
          <w:bCs/>
          <w:sz w:val="28"/>
          <w:rtl/>
          <w:lang w:bidi="ar-SY"/>
        </w:rPr>
        <w:t xml:space="preserve"> خذها فقد طيبتها لك</w:t>
      </w:r>
      <w:r w:rsidR="00217AB4" w:rsidRPr="003762F6">
        <w:rPr>
          <w:rFonts w:ascii="Lotus Linotype" w:hAnsi="Lotus Linotype" w:cs="KFGQPC Uthman Taha Naskh"/>
          <w:b/>
          <w:bCs/>
          <w:sz w:val="28"/>
          <w:rtl/>
          <w:lang w:bidi="ar-SY"/>
        </w:rPr>
        <w:t>،</w:t>
      </w:r>
      <w:r w:rsidRPr="003762F6">
        <w:rPr>
          <w:rFonts w:ascii="Lotus Linotype" w:hAnsi="Lotus Linotype" w:cs="KFGQPC Uthman Taha Naskh"/>
          <w:b/>
          <w:bCs/>
          <w:sz w:val="28"/>
          <w:rtl/>
          <w:lang w:bidi="ar-SY"/>
        </w:rPr>
        <w:t xml:space="preserve"> فقبلها</w:t>
      </w:r>
      <w:r w:rsidR="00F456DF" w:rsidRPr="003762F6">
        <w:rPr>
          <w:rFonts w:ascii="Lotus Linotype" w:hAnsi="Lotus Linotype" w:cs="KFGQPC Uthman Taha Naskh"/>
          <w:b/>
          <w:bCs/>
          <w:sz w:val="28"/>
          <w:rtl/>
          <w:lang w:bidi="ar-SY"/>
        </w:rPr>
        <w:t>»</w:t>
      </w:r>
      <w:r w:rsidR="001A5B6D" w:rsidRPr="0021507A">
        <w:rPr>
          <w:rFonts w:ascii="Lotus Linotype" w:hAnsi="Lotus Linotype" w:cs="Arabic11 BT"/>
          <w:sz w:val="28"/>
          <w:vertAlign w:val="superscript"/>
          <w:rtl/>
          <w:lang w:bidi="ar-SY"/>
        </w:rPr>
        <w:t>(</w:t>
      </w:r>
      <w:r w:rsidR="001A5B6D" w:rsidRPr="0021507A">
        <w:rPr>
          <w:rStyle w:val="FootnoteReference"/>
          <w:rFonts w:ascii="Lotus Linotype" w:hAnsi="Lotus Linotype" w:cs="Arabic11 BT"/>
          <w:sz w:val="28"/>
          <w:rtl/>
          <w:lang w:bidi="ar-SY"/>
        </w:rPr>
        <w:footnoteReference w:id="188"/>
      </w:r>
      <w:r w:rsidR="001A5B6D" w:rsidRPr="0021507A">
        <w:rPr>
          <w:rFonts w:ascii="Lotus Linotype" w:hAnsi="Lotus Linotype" w:cs="Arabic11 BT"/>
          <w:sz w:val="28"/>
          <w:vertAlign w:val="superscript"/>
          <w:rtl/>
          <w:lang w:bidi="ar-SY"/>
        </w:rPr>
        <w:t>)</w:t>
      </w:r>
      <w:r w:rsidR="00217AB4" w:rsidRPr="003F3B94">
        <w:rPr>
          <w:rFonts w:ascii="Lotus Linotype" w:hAnsi="Lotus Linotype" w:hint="cs"/>
          <w:sz w:val="28"/>
          <w:rtl/>
          <w:lang w:bidi="ar-SY"/>
        </w:rPr>
        <w:t>.</w:t>
      </w:r>
    </w:p>
    <w:p w:rsidR="005C664D" w:rsidRPr="003F3B94" w:rsidRDefault="005C664D" w:rsidP="00A46D86">
      <w:pPr>
        <w:pStyle w:val="a0"/>
        <w:rPr>
          <w:rFonts w:hint="cs"/>
          <w:rtl/>
          <w:lang w:bidi="ar-SY"/>
        </w:rPr>
      </w:pPr>
      <w:r w:rsidRPr="003F3B94">
        <w:rPr>
          <w:rFonts w:hint="cs"/>
          <w:sz w:val="28"/>
          <w:rtl/>
          <w:lang w:bidi="ar-SY"/>
        </w:rPr>
        <w:t>11</w:t>
      </w:r>
      <w:r w:rsidR="00217AB4" w:rsidRPr="003F3B94">
        <w:rPr>
          <w:rFonts w:hint="cs"/>
          <w:sz w:val="28"/>
          <w:rtl/>
          <w:lang w:bidi="ar-SY"/>
        </w:rPr>
        <w:t>-</w:t>
      </w:r>
      <w:r w:rsidR="00147857" w:rsidRPr="003F3B94">
        <w:rPr>
          <w:rFonts w:hint="cs"/>
          <w:sz w:val="28"/>
          <w:rtl/>
          <w:lang w:bidi="ar-SY"/>
        </w:rPr>
        <w:t xml:space="preserve"> و</w:t>
      </w:r>
      <w:r w:rsidRPr="003F3B94">
        <w:rPr>
          <w:rFonts w:hint="cs"/>
          <w:sz w:val="28"/>
          <w:rtl/>
          <w:lang w:bidi="ar-SY"/>
        </w:rPr>
        <w:t>روى القطب الراوندي</w:t>
      </w:r>
      <w:r w:rsidR="00217AB4" w:rsidRPr="0021507A">
        <w:rPr>
          <w:rFonts w:cs="Arabic11 BT"/>
          <w:b/>
          <w:sz w:val="28"/>
          <w:vertAlign w:val="superscript"/>
          <w:rtl/>
          <w:lang w:bidi="ar-SY"/>
        </w:rPr>
        <w:t>(</w:t>
      </w:r>
      <w:r w:rsidRPr="0021507A">
        <w:rPr>
          <w:rStyle w:val="FootnoteReference"/>
          <w:rFonts w:cs="Arabic11 BT"/>
          <w:b/>
          <w:sz w:val="28"/>
          <w:rtl/>
          <w:lang w:bidi="ar-SY"/>
        </w:rPr>
        <w:footnoteReference w:id="189"/>
      </w:r>
      <w:r w:rsidR="00217AB4" w:rsidRPr="0021507A">
        <w:rPr>
          <w:rFonts w:cs="Arabic11 BT"/>
          <w:b/>
          <w:sz w:val="28"/>
          <w:vertAlign w:val="superscript"/>
          <w:rtl/>
          <w:lang w:bidi="ar-SY"/>
        </w:rPr>
        <w:t>)</w:t>
      </w:r>
      <w:r w:rsidRPr="003F3B94">
        <w:rPr>
          <w:sz w:val="28"/>
          <w:rtl/>
          <w:lang w:bidi="ar-SY"/>
        </w:rPr>
        <w:t xml:space="preserve"> </w:t>
      </w:r>
      <w:r w:rsidRPr="003F3B94">
        <w:rPr>
          <w:rFonts w:hint="cs"/>
          <w:sz w:val="28"/>
          <w:rtl/>
          <w:lang w:bidi="ar-SY"/>
        </w:rPr>
        <w:t xml:space="preserve">في كتابه </w:t>
      </w:r>
      <w:r w:rsidRPr="003F3B94">
        <w:rPr>
          <w:rFonts w:ascii="Lotus Linotype" w:hAnsi="Lotus Linotype"/>
          <w:sz w:val="28"/>
          <w:rtl/>
          <w:lang w:bidi="ar-SY"/>
        </w:rPr>
        <w:t>«</w:t>
      </w:r>
      <w:r w:rsidRPr="003F3B94">
        <w:rPr>
          <w:rFonts w:ascii="Lotus Linotype" w:hAnsi="Lotus Linotype" w:hint="cs"/>
          <w:sz w:val="28"/>
          <w:rtl/>
          <w:lang w:bidi="ar-SY"/>
        </w:rPr>
        <w:t>الخرائج والجرائح</w:t>
      </w:r>
      <w:r w:rsidRPr="003F3B94">
        <w:rPr>
          <w:rFonts w:ascii="Lotus Linotype" w:hAnsi="Lotus Linotype"/>
          <w:sz w:val="28"/>
          <w:rtl/>
          <w:lang w:bidi="ar-SY"/>
        </w:rPr>
        <w:t>»</w:t>
      </w:r>
      <w:r w:rsidR="001A5B6D" w:rsidRPr="003F3B94">
        <w:rPr>
          <w:rFonts w:ascii="Lotus Linotype" w:hAnsi="Lotus Linotype" w:hint="cs"/>
          <w:sz w:val="28"/>
          <w:rtl/>
          <w:lang w:bidi="ar-SY"/>
        </w:rPr>
        <w:t>، و</w:t>
      </w:r>
      <w:r w:rsidRPr="003F3B94">
        <w:rPr>
          <w:rFonts w:ascii="Lotus Linotype" w:hAnsi="Lotus Linotype" w:hint="cs"/>
          <w:sz w:val="28"/>
          <w:rtl/>
          <w:lang w:bidi="ar-SY"/>
        </w:rPr>
        <w:t xml:space="preserve">المجلسي في المجلد 11 من البحار نقلاً عن كتاب </w:t>
      </w:r>
      <w:r w:rsidRPr="003F3B94">
        <w:rPr>
          <w:rFonts w:ascii="Lotus Linotype" w:hAnsi="Lotus Linotype"/>
          <w:sz w:val="28"/>
          <w:rtl/>
          <w:lang w:bidi="ar-SY"/>
        </w:rPr>
        <w:t>«</w:t>
      </w:r>
      <w:r w:rsidRPr="003F3B94">
        <w:rPr>
          <w:rFonts w:ascii="Lotus Linotype" w:hAnsi="Lotus Linotype" w:hint="cs"/>
          <w:sz w:val="28"/>
          <w:rtl/>
          <w:lang w:bidi="ar-SY"/>
        </w:rPr>
        <w:t>كشف اليقين</w:t>
      </w:r>
      <w:r w:rsidRPr="003F3B94">
        <w:rPr>
          <w:rFonts w:ascii="Lotus Linotype" w:hAnsi="Lotus Linotype"/>
          <w:sz w:val="28"/>
          <w:rtl/>
          <w:lang w:bidi="ar-SY"/>
        </w:rPr>
        <w:t>»</w:t>
      </w:r>
      <w:r w:rsidRPr="003F3B94">
        <w:rPr>
          <w:rFonts w:ascii="Lotus Linotype" w:hAnsi="Lotus Linotype" w:hint="cs"/>
          <w:sz w:val="28"/>
          <w:rtl/>
          <w:lang w:bidi="ar-SY"/>
        </w:rPr>
        <w:t xml:space="preserve"> ضمن بيان معجزات حضرة الإمام زين العابدين</w:t>
      </w:r>
      <w:r w:rsidR="00147857" w:rsidRPr="003F3B94">
        <w:rPr>
          <w:rFonts w:ascii="Lotus Linotype" w:hAnsi="Lotus Linotype" w:hint="cs"/>
          <w:sz w:val="28"/>
          <w:rtl/>
          <w:lang w:bidi="ar-SY"/>
        </w:rPr>
        <w:t xml:space="preserve"> </w:t>
      </w:r>
      <w:r w:rsidR="003C7AEB" w:rsidRPr="003C7AEB">
        <w:rPr>
          <w:rFonts w:ascii="Abo-thar" w:hAnsi="Abo-thar" w:cs="CTraditional Arabic"/>
          <w:sz w:val="28"/>
          <w:rtl/>
          <w:lang w:bidi="ar-SY"/>
        </w:rPr>
        <w:t>÷</w:t>
      </w:r>
      <w:r w:rsidR="001A5B6D" w:rsidRPr="003F3B94">
        <w:rPr>
          <w:rFonts w:ascii="Abo-thar" w:hAnsi="Abo-thar" w:hint="cs"/>
          <w:sz w:val="28"/>
          <w:rtl/>
          <w:lang w:bidi="ar-SY"/>
        </w:rPr>
        <w:t>،</w:t>
      </w:r>
      <w:r w:rsidR="00147857" w:rsidRPr="003F3B94">
        <w:rPr>
          <w:rFonts w:ascii="Abo-thar" w:hAnsi="Abo-thar"/>
          <w:sz w:val="28"/>
          <w:rtl/>
          <w:lang w:bidi="ar-SY"/>
        </w:rPr>
        <w:t xml:space="preserve"> </w:t>
      </w:r>
      <w:r w:rsidRPr="003F3B94">
        <w:rPr>
          <w:rFonts w:hint="cs"/>
          <w:sz w:val="28"/>
          <w:rtl/>
          <w:lang w:bidi="ar-SY"/>
        </w:rPr>
        <w:t>فقالوا</w:t>
      </w:r>
      <w:r w:rsidR="00217AB4" w:rsidRPr="003F3B94">
        <w:rPr>
          <w:rFonts w:hint="cs"/>
          <w:sz w:val="28"/>
          <w:rtl/>
          <w:lang w:bidi="ar-SY"/>
        </w:rPr>
        <w:t>:</w:t>
      </w:r>
      <w:r w:rsidR="007C6940">
        <w:rPr>
          <w:rFonts w:hint="cs"/>
          <w:rtl/>
        </w:rPr>
        <w:t xml:space="preserve"> </w:t>
      </w:r>
      <w:r w:rsidR="00EF2588" w:rsidRPr="003762F6">
        <w:rPr>
          <w:rFonts w:cs="KFGQPC Uthman Taha Naskh" w:hint="cs"/>
          <w:sz w:val="28"/>
          <w:rtl/>
        </w:rPr>
        <w:t>«</w:t>
      </w:r>
      <w:r w:rsidRPr="003762F6">
        <w:rPr>
          <w:rFonts w:cs="KFGQPC Uthman Taha Naskh"/>
          <w:b/>
          <w:bCs/>
          <w:sz w:val="28"/>
          <w:rtl/>
        </w:rPr>
        <w:t xml:space="preserve">رُوِيَ أَنَّ الحَجَّاجَ بْنَ يُوسُفَ كَتَبَ إِلَى عَبْدِ المَلِكِ بْنِ مَرْوَانَ إِنْ أَرَدْتَ أَنْ يَثْبُتَ مُلْكُكَ فَاقْتُلْ عَلِيَّ بْنَ الحُسَيْنِ </w:t>
      </w:r>
      <w:r w:rsidR="00BC4BA9" w:rsidRPr="00BC4BA9">
        <w:rPr>
          <w:rFonts w:cs="CTraditional Arabic"/>
          <w:b/>
          <w:sz w:val="28"/>
          <w:rtl/>
        </w:rPr>
        <w:t>÷</w:t>
      </w:r>
      <w:r w:rsidRPr="003762F6">
        <w:rPr>
          <w:rFonts w:cs="KFGQPC Uthman Taha Naskh"/>
          <w:b/>
          <w:bCs/>
          <w:sz w:val="28"/>
          <w:rtl/>
        </w:rPr>
        <w:t xml:space="preserve"> فَكَتَبَ عَبْدُ المَلِكِ إِلَيْهِ</w:t>
      </w:r>
      <w:r w:rsidR="00A46D86">
        <w:rPr>
          <w:rFonts w:cs="KFGQPC Uthman Taha Naskh" w:hint="cs"/>
          <w:b/>
          <w:bCs/>
          <w:sz w:val="28"/>
          <w:rtl/>
        </w:rPr>
        <w:t>:</w:t>
      </w:r>
      <w:r w:rsidRPr="003762F6">
        <w:rPr>
          <w:rFonts w:cs="KFGQPC Uthman Taha Naskh"/>
          <w:b/>
          <w:bCs/>
          <w:sz w:val="28"/>
          <w:rtl/>
        </w:rPr>
        <w:t xml:space="preserve"> أَمَّا بَعْدُ</w:t>
      </w:r>
      <w:r w:rsidR="00A46D86">
        <w:rPr>
          <w:rFonts w:cs="KFGQPC Uthman Taha Naskh" w:hint="cs"/>
          <w:b/>
          <w:bCs/>
          <w:sz w:val="28"/>
          <w:rtl/>
        </w:rPr>
        <w:t>!</w:t>
      </w:r>
      <w:r w:rsidRPr="003762F6">
        <w:rPr>
          <w:rFonts w:cs="KFGQPC Uthman Taha Naskh"/>
          <w:b/>
          <w:bCs/>
          <w:sz w:val="28"/>
          <w:rtl/>
        </w:rPr>
        <w:t xml:space="preserve"> فَجَنِّبْنِي دِمَاءَ بَنِي هَاشِمٍ وَاحْقُنْهَا فَإِنِّي رَأَيْتُ آلَ أَبِي سُفْيَانَ لَمَّا أَوْلَعُوا فِيهَا لَمْ يَلْبَثُوا إِلَى أَنْ أَزَالَ اللهُ المُلْكَ عَنْهُمْ وَبَعَثَ بِالْكِتَابِ سِرّاً أَيْضاً فَكَتَبَ عَلِيُّ بْنُ الحُسَيْنِ </w:t>
      </w:r>
      <w:r w:rsidR="00BC4BA9" w:rsidRPr="00BC4BA9">
        <w:rPr>
          <w:rFonts w:cs="CTraditional Arabic"/>
          <w:b/>
          <w:sz w:val="28"/>
          <w:rtl/>
        </w:rPr>
        <w:t>÷</w:t>
      </w:r>
      <w:r w:rsidRPr="003762F6">
        <w:rPr>
          <w:rFonts w:cs="KFGQPC Uthman Taha Naskh"/>
          <w:b/>
          <w:bCs/>
          <w:sz w:val="28"/>
          <w:rtl/>
        </w:rPr>
        <w:t xml:space="preserve"> إِلَى‏</w:t>
      </w:r>
      <w:r w:rsidRPr="003762F6">
        <w:rPr>
          <w:rFonts w:cs="KFGQPC Uthman Taha Naskh" w:hint="cs"/>
          <w:b/>
          <w:bCs/>
          <w:sz w:val="28"/>
          <w:rtl/>
        </w:rPr>
        <w:t xml:space="preserve"> </w:t>
      </w:r>
      <w:r w:rsidRPr="003762F6">
        <w:rPr>
          <w:rFonts w:cs="KFGQPC Uthman Taha Naskh"/>
          <w:b/>
          <w:bCs/>
          <w:sz w:val="28"/>
          <w:rtl/>
        </w:rPr>
        <w:t>عَبْدِ المَلِكِ فِي السَّاعَةِ الَّتِي أَنْفَذَ فِيهَا الْكِتَابَ إِلَى الحَجَّاجِ وَقَفْتُ عَلَى مَا كَتَبْتَ فِي دِمَاءِ بَنِي هَاشِمٍ وَقَدْ شَكَرَ اللهُ لَكَ ذَلِكَ وَثَبَّتَ لَكَ مُلْكَكَ وَزَادَ فِي عُمُرِكَ وَبَعَثَ بِهِ مَعَ غُلَامٍ لَهُ بِتَارِيخِ السَّاعَةِ الَّتِي أَنْفَذَ فِيهَا عَبْدُالمَلِكِ كِتَابَهُ إِلَى الحَجَّاجِ فَلَمَّا قَدِمَ الْغُلَامُ أَوْصَلَ الْكِتَابَ إِلَيْهِ فَنَظَرَ عَبْدُ المَلِكِ فِي تَارِيخِ الْكِتَابِ فَوَجَدَهُ مُوَافِقاً لِتَارِيخِ كِتَابِهِ فَلَمْ يَشُكَّ فِي صِدْقِ زَيْنِ الْعَابِدِينَ فَفَرِحَ بِذَلِكَ وَبَعَثَ إِلَيْهِ بِوِقْرِ دَنَانِيرَ وَسَأَلَهُ أَنْ يَبْسُطَ إِلَيْهِ بِجَمِيعِ حَوَائِجِهِ وَحَوَائِجِ أَهْلِ بَيْتِهِ وَمَوَالِيهِ</w:t>
      </w:r>
      <w:r w:rsidR="00F456DF" w:rsidRPr="003762F6">
        <w:rPr>
          <w:rFonts w:cs="KFGQPC Uthman Taha Naskh" w:hint="cs"/>
          <w:b/>
          <w:bCs/>
          <w:sz w:val="28"/>
          <w:rtl/>
        </w:rPr>
        <w:t>»</w:t>
      </w:r>
      <w:r w:rsidR="00217AB4" w:rsidRPr="0021507A">
        <w:rPr>
          <w:rFonts w:cs="Arabic11 BT"/>
          <w:b/>
          <w:sz w:val="28"/>
          <w:vertAlign w:val="superscript"/>
          <w:rtl/>
        </w:rPr>
        <w:t>(</w:t>
      </w:r>
      <w:r w:rsidRPr="0021507A">
        <w:rPr>
          <w:rStyle w:val="FootnoteReference"/>
          <w:rFonts w:cs="Arabic11 BT"/>
          <w:b/>
          <w:sz w:val="28"/>
          <w:rtl/>
        </w:rPr>
        <w:footnoteReference w:id="190"/>
      </w:r>
      <w:r w:rsidR="00217AB4" w:rsidRPr="0021507A">
        <w:rPr>
          <w:rFonts w:cs="Arabic11 BT"/>
          <w:b/>
          <w:sz w:val="28"/>
          <w:vertAlign w:val="superscript"/>
          <w:rtl/>
        </w:rPr>
        <w:t>)</w:t>
      </w:r>
      <w:r w:rsidR="00217AB4" w:rsidRPr="003F3B94">
        <w:rPr>
          <w:sz w:val="28"/>
          <w:rtl/>
        </w:rPr>
        <w:t>.</w:t>
      </w:r>
    </w:p>
    <w:p w:rsidR="005C664D" w:rsidRPr="003F3B94" w:rsidRDefault="005C664D" w:rsidP="003F3B94">
      <w:pPr>
        <w:pStyle w:val="a0"/>
        <w:rPr>
          <w:rFonts w:hint="cs"/>
          <w:rtl/>
          <w:lang w:bidi="ar-SY"/>
        </w:rPr>
      </w:pPr>
      <w:r w:rsidRPr="003F3B94">
        <w:rPr>
          <w:rFonts w:hint="cs"/>
          <w:sz w:val="28"/>
          <w:rtl/>
          <w:lang w:bidi="ar-SY"/>
        </w:rPr>
        <w:t>12</w:t>
      </w:r>
      <w:r w:rsidR="00217AB4" w:rsidRPr="003F3B94">
        <w:rPr>
          <w:rFonts w:hint="cs"/>
          <w:sz w:val="28"/>
          <w:rtl/>
          <w:lang w:bidi="ar-SY"/>
        </w:rPr>
        <w:t>-</w:t>
      </w:r>
      <w:r w:rsidR="00147857" w:rsidRPr="003F3B94">
        <w:rPr>
          <w:rFonts w:hint="cs"/>
          <w:sz w:val="28"/>
          <w:rtl/>
          <w:lang w:bidi="ar-SY"/>
        </w:rPr>
        <w:t xml:space="preserve"> و</w:t>
      </w:r>
      <w:r w:rsidRPr="003F3B94">
        <w:rPr>
          <w:rFonts w:hint="cs"/>
          <w:sz w:val="28"/>
          <w:rtl/>
          <w:lang w:bidi="ar-SY"/>
        </w:rPr>
        <w:t xml:space="preserve">في </w:t>
      </w:r>
      <w:r w:rsidR="00147857" w:rsidRPr="003F3B94">
        <w:rPr>
          <w:rFonts w:ascii="Lotus Linotype" w:hAnsi="Lotus Linotype"/>
          <w:sz w:val="28"/>
          <w:rtl/>
          <w:lang w:bidi="ar-SY"/>
        </w:rPr>
        <w:t>«</w:t>
      </w:r>
      <w:r w:rsidRPr="003F3B94">
        <w:rPr>
          <w:rFonts w:ascii="Lotus Linotype" w:hAnsi="Lotus Linotype"/>
          <w:sz w:val="28"/>
          <w:rtl/>
          <w:lang w:bidi="ar-SY"/>
        </w:rPr>
        <w:t>مستدرك</w:t>
      </w:r>
      <w:r w:rsidR="001A5B6D" w:rsidRPr="003F3B94">
        <w:rPr>
          <w:rFonts w:ascii="Lotus Linotype" w:hAnsi="Lotus Linotype" w:hint="cs"/>
          <w:sz w:val="28"/>
          <w:rtl/>
          <w:lang w:bidi="ar-SY"/>
        </w:rPr>
        <w:t xml:space="preserve"> </w:t>
      </w:r>
      <w:r w:rsidRPr="003F3B94">
        <w:rPr>
          <w:rFonts w:ascii="Lotus Linotype" w:hAnsi="Lotus Linotype"/>
          <w:sz w:val="28"/>
          <w:rtl/>
          <w:lang w:bidi="ar-SY"/>
        </w:rPr>
        <w:t>‏الوسائل»</w:t>
      </w:r>
      <w:r w:rsidRPr="003F3B94">
        <w:rPr>
          <w:rFonts w:ascii="Lotus Linotype" w:hAnsi="Lotus Linotype" w:hint="cs"/>
          <w:sz w:val="28"/>
          <w:rtl/>
          <w:lang w:bidi="ar-SY"/>
        </w:rPr>
        <w:t xml:space="preserve"> نقلاً عن كتاب </w:t>
      </w:r>
      <w:r w:rsidRPr="003F3B94">
        <w:rPr>
          <w:rFonts w:ascii="Lotus Linotype" w:hAnsi="Lotus Linotype"/>
          <w:sz w:val="28"/>
          <w:rtl/>
          <w:lang w:bidi="ar-SY"/>
        </w:rPr>
        <w:t xml:space="preserve">فَتْحِ الْأَبْوَابِ </w:t>
      </w:r>
      <w:r w:rsidRPr="003F3B94">
        <w:rPr>
          <w:rFonts w:ascii="Lotus Linotype" w:hAnsi="Lotus Linotype" w:hint="cs"/>
          <w:sz w:val="28"/>
          <w:rtl/>
          <w:lang w:bidi="ar-SY"/>
        </w:rPr>
        <w:t>ل</w:t>
      </w:r>
      <w:r w:rsidRPr="003F3B94">
        <w:rPr>
          <w:rFonts w:ascii="Lotus Linotype" w:hAnsi="Lotus Linotype"/>
          <w:sz w:val="28"/>
          <w:rtl/>
          <w:lang w:bidi="ar-SY"/>
        </w:rPr>
        <w:t>لسَّيِّد</w:t>
      </w:r>
      <w:r w:rsidRPr="003F3B94">
        <w:rPr>
          <w:rFonts w:ascii="Lotus Linotype" w:hAnsi="Lotus Linotype" w:hint="cs"/>
          <w:sz w:val="28"/>
          <w:rtl/>
          <w:lang w:bidi="ar-SY"/>
        </w:rPr>
        <w:t>ِ</w:t>
      </w:r>
      <w:r w:rsidRPr="003F3B94">
        <w:rPr>
          <w:rFonts w:ascii="Lotus Linotype" w:hAnsi="Lotus Linotype"/>
          <w:sz w:val="28"/>
          <w:rtl/>
          <w:lang w:bidi="ar-SY"/>
        </w:rPr>
        <w:t xml:space="preserve"> عَلِيّ</w:t>
      </w:r>
      <w:r w:rsidRPr="003F3B94">
        <w:rPr>
          <w:rFonts w:ascii="Lotus Linotype" w:hAnsi="Lotus Linotype" w:hint="cs"/>
          <w:sz w:val="28"/>
          <w:rtl/>
          <w:lang w:bidi="ar-SY"/>
        </w:rPr>
        <w:t>ِ</w:t>
      </w:r>
      <w:r w:rsidRPr="003F3B94">
        <w:rPr>
          <w:rFonts w:ascii="Lotus Linotype" w:hAnsi="Lotus Linotype"/>
          <w:sz w:val="28"/>
          <w:rtl/>
          <w:lang w:bidi="ar-SY"/>
        </w:rPr>
        <w:t xml:space="preserve"> بْن</w:t>
      </w:r>
      <w:r w:rsidRPr="003F3B94">
        <w:rPr>
          <w:rFonts w:ascii="Lotus Linotype" w:hAnsi="Lotus Linotype" w:hint="cs"/>
          <w:sz w:val="28"/>
          <w:rtl/>
          <w:lang w:bidi="ar-SY"/>
        </w:rPr>
        <w:t>ِ</w:t>
      </w:r>
      <w:r w:rsidRPr="003F3B94">
        <w:rPr>
          <w:rFonts w:ascii="Lotus Linotype" w:hAnsi="Lotus Linotype"/>
          <w:sz w:val="28"/>
          <w:rtl/>
          <w:lang w:bidi="ar-SY"/>
        </w:rPr>
        <w:t xml:space="preserve"> طَاوُسٍ</w:t>
      </w:r>
      <w:r w:rsidR="00217AB4" w:rsidRPr="003F3B94">
        <w:rPr>
          <w:rFonts w:ascii="Lotus Linotype" w:hAnsi="Lotus Linotype" w:hint="cs"/>
          <w:sz w:val="28"/>
          <w:rtl/>
          <w:lang w:bidi="ar-SY"/>
        </w:rPr>
        <w:t>:</w:t>
      </w:r>
      <w:r w:rsidRPr="003F3B94">
        <w:rPr>
          <w:rFonts w:ascii="Lotus Linotype" w:hAnsi="Lotus Linotype" w:hint="cs"/>
          <w:sz w:val="28"/>
          <w:rtl/>
          <w:lang w:bidi="ar-SY"/>
        </w:rPr>
        <w:t xml:space="preserve"> بسنده </w:t>
      </w:r>
      <w:r w:rsidR="00EF2588" w:rsidRPr="003762F6">
        <w:rPr>
          <w:rFonts w:ascii="Lotus Linotype" w:hAnsi="Lotus Linotype" w:cs="KFGQPC Uthman Taha Naskh" w:hint="cs"/>
          <w:sz w:val="28"/>
          <w:rtl/>
          <w:lang w:bidi="ar-SY"/>
        </w:rPr>
        <w:t>«</w:t>
      </w:r>
      <w:r w:rsidRPr="003762F6">
        <w:rPr>
          <w:rFonts w:ascii="Lotus Linotype" w:hAnsi="Lotus Linotype" w:cs="KFGQPC Uthman Taha Naskh"/>
          <w:b/>
          <w:bCs/>
          <w:sz w:val="28"/>
          <w:rtl/>
          <w:lang w:bidi="ar-SY"/>
        </w:rPr>
        <w:t>عَنْ سُفْيَانَ بْنِ عُيَيْنَةَ عَنِ الزُّهْرِيِّ قَالَ</w:t>
      </w:r>
      <w:r w:rsidR="00A46D86">
        <w:rPr>
          <w:rFonts w:ascii="Lotus Linotype" w:hAnsi="Lotus Linotype" w:cs="KFGQPC Uthman Taha Naskh" w:hint="cs"/>
          <w:b/>
          <w:bCs/>
          <w:sz w:val="28"/>
          <w:rtl/>
          <w:lang w:bidi="ar-SY"/>
        </w:rPr>
        <w:t>:</w:t>
      </w:r>
      <w:r w:rsidRPr="003762F6">
        <w:rPr>
          <w:rFonts w:ascii="Lotus Linotype" w:hAnsi="Lotus Linotype" w:cs="KFGQPC Uthman Taha Naskh"/>
          <w:b/>
          <w:bCs/>
          <w:sz w:val="28"/>
          <w:rtl/>
          <w:lang w:bidi="ar-SY"/>
        </w:rPr>
        <w:t xml:space="preserve"> دَخَلْتُ مَعَ عَلِيِّ بْنِ الحُسَيْنِ </w:t>
      </w:r>
      <w:r w:rsidR="00BC4BA9" w:rsidRPr="00BC4BA9">
        <w:rPr>
          <w:rFonts w:ascii="Lotus Linotype" w:hAnsi="Lotus Linotype" w:cs="CTraditional Arabic" w:hint="cs"/>
          <w:b/>
          <w:sz w:val="28"/>
          <w:rtl/>
          <w:lang w:bidi="ar-SY"/>
        </w:rPr>
        <w:t>÷</w:t>
      </w:r>
      <w:r w:rsidRPr="003762F6">
        <w:rPr>
          <w:rFonts w:ascii="Lotus Linotype" w:hAnsi="Lotus Linotype" w:cs="KFGQPC Uthman Taha Naskh"/>
          <w:b/>
          <w:bCs/>
          <w:sz w:val="28"/>
          <w:rtl/>
          <w:lang w:bidi="ar-SY"/>
        </w:rPr>
        <w:t xml:space="preserve"> عَلَى عَبْدِ المَلِكِ بْنِ مَرْوَانَ فَاسْتَعْظَمَ عَبْدُ المَلِكِ مَا رَأَى مِنْ أَثَرِ السُّجُودِ بَيْنَ عَيْنَيْ عَلِيِّ بْنِ الحُسَيْنِ </w:t>
      </w:r>
      <w:r w:rsidR="00BC4BA9" w:rsidRPr="00BC4BA9">
        <w:rPr>
          <w:rFonts w:ascii="Lotus Linotype" w:hAnsi="Lotus Linotype" w:cs="CTraditional Arabic" w:hint="cs"/>
          <w:b/>
          <w:sz w:val="28"/>
          <w:rtl/>
          <w:lang w:bidi="ar-SY"/>
        </w:rPr>
        <w:t>÷</w:t>
      </w:r>
      <w:r w:rsidR="00217AB4" w:rsidRPr="003762F6">
        <w:rPr>
          <w:rFonts w:ascii="Lotus Linotype" w:hAnsi="Lotus Linotype" w:cs="KFGQPC Uthman Taha Naskh" w:hint="cs"/>
          <w:b/>
          <w:bCs/>
          <w:sz w:val="28"/>
          <w:rtl/>
          <w:lang w:bidi="ar-SY"/>
        </w:rPr>
        <w:t>.</w:t>
      </w:r>
      <w:r w:rsidRPr="003762F6">
        <w:rPr>
          <w:rFonts w:ascii="Lotus Linotype" w:hAnsi="Lotus Linotype" w:cs="KFGQPC Uthman Taha Naskh"/>
          <w:b/>
          <w:bCs/>
          <w:sz w:val="28"/>
          <w:rtl/>
          <w:lang w:bidi="ar-SY"/>
        </w:rPr>
        <w:t xml:space="preserve"> إِلَى أَنْ قَالَ</w:t>
      </w:r>
      <w:r w:rsidR="00217AB4" w:rsidRPr="003762F6">
        <w:rPr>
          <w:rFonts w:ascii="Lotus Linotype" w:hAnsi="Lotus Linotype" w:cs="KFGQPC Uthman Taha Naskh" w:hint="cs"/>
          <w:b/>
          <w:bCs/>
          <w:sz w:val="28"/>
          <w:rtl/>
          <w:lang w:bidi="ar-SY"/>
        </w:rPr>
        <w:t>:</w:t>
      </w:r>
      <w:r w:rsidRPr="003762F6">
        <w:rPr>
          <w:rFonts w:ascii="Lotus Linotype" w:hAnsi="Lotus Linotype" w:cs="KFGQPC Uthman Taha Naskh"/>
          <w:b/>
          <w:bCs/>
          <w:sz w:val="28"/>
          <w:rtl/>
          <w:lang w:bidi="ar-SY"/>
        </w:rPr>
        <w:t xml:space="preserve"> ثُمَّ أَقْبَلَ يَسْأَلُهُ عَنْ حَاجَاتِهِ وَمِمَّا قَصَدَ لَهُ فَشَفَّعَهُ فِيمَنْ شَفَعَ وَوَصَلَهُ بِمَالٍ</w:t>
      </w:r>
      <w:r w:rsidR="00EF2588" w:rsidRPr="003762F6">
        <w:rPr>
          <w:rFonts w:ascii="Lotus Linotype" w:hAnsi="Lotus Linotype" w:cs="KFGQPC Uthman Taha Naskh" w:hint="cs"/>
          <w:sz w:val="28"/>
          <w:rtl/>
          <w:lang w:bidi="ar-SY"/>
        </w:rPr>
        <w:t>»</w:t>
      </w:r>
      <w:r w:rsidR="001A5B6D" w:rsidRPr="0021507A">
        <w:rPr>
          <w:rFonts w:ascii="Lotus Linotype" w:hAnsi="Lotus Linotype" w:cs="Arabic11 BT"/>
          <w:sz w:val="28"/>
          <w:vertAlign w:val="superscript"/>
          <w:rtl/>
          <w:lang w:bidi="ar-SY"/>
        </w:rPr>
        <w:t>(</w:t>
      </w:r>
      <w:r w:rsidR="001A5B6D" w:rsidRPr="0021507A">
        <w:rPr>
          <w:rStyle w:val="FootnoteReference"/>
          <w:rFonts w:ascii="Lotus Linotype" w:hAnsi="Lotus Linotype" w:cs="Arabic11 BT"/>
          <w:sz w:val="28"/>
          <w:rtl/>
          <w:lang w:bidi="ar-SY"/>
        </w:rPr>
        <w:footnoteReference w:id="191"/>
      </w:r>
      <w:r w:rsidR="001A5B6D" w:rsidRPr="0021507A">
        <w:rPr>
          <w:rFonts w:ascii="Lotus Linotype" w:hAnsi="Lotus Linotype" w:cs="Arabic11 BT"/>
          <w:sz w:val="28"/>
          <w:vertAlign w:val="superscript"/>
          <w:rtl/>
          <w:lang w:bidi="ar-SY"/>
        </w:rPr>
        <w:t>)</w:t>
      </w:r>
      <w:r w:rsidR="00217AB4" w:rsidRPr="003F3B94">
        <w:rPr>
          <w:rFonts w:ascii="Lotus Linotype" w:hAnsi="Lotus Linotype" w:hint="cs"/>
          <w:sz w:val="28"/>
          <w:rtl/>
          <w:lang w:bidi="ar-SY"/>
        </w:rPr>
        <w:t>.</w:t>
      </w:r>
    </w:p>
    <w:p w:rsidR="005C664D" w:rsidRPr="003F3B94" w:rsidRDefault="005C664D" w:rsidP="006C7313">
      <w:pPr>
        <w:pStyle w:val="a0"/>
        <w:rPr>
          <w:rFonts w:hint="cs"/>
          <w:rtl/>
          <w:lang w:bidi="ar-SY"/>
        </w:rPr>
      </w:pPr>
      <w:r w:rsidRPr="003F3B94">
        <w:rPr>
          <w:rFonts w:ascii="Lotus Linotype" w:hAnsi="Lotus Linotype" w:hint="cs"/>
          <w:sz w:val="28"/>
          <w:rtl/>
          <w:lang w:bidi="ar-SY"/>
        </w:rPr>
        <w:t>13</w:t>
      </w:r>
      <w:r w:rsidR="00217AB4" w:rsidRPr="003F3B94">
        <w:rPr>
          <w:rFonts w:ascii="Lotus Linotype" w:hAnsi="Lotus Linotype" w:hint="cs"/>
          <w:sz w:val="28"/>
          <w:rtl/>
          <w:lang w:bidi="ar-SY"/>
        </w:rPr>
        <w:t>-</w:t>
      </w:r>
      <w:r w:rsidR="00147857" w:rsidRPr="003F3B94">
        <w:rPr>
          <w:rFonts w:ascii="Lotus Linotype" w:hAnsi="Lotus Linotype" w:hint="cs"/>
          <w:sz w:val="28"/>
          <w:rtl/>
          <w:lang w:bidi="ar-SY"/>
        </w:rPr>
        <w:t xml:space="preserve"> و</w:t>
      </w:r>
      <w:r w:rsidRPr="003F3B94">
        <w:rPr>
          <w:rFonts w:ascii="Lotus Linotype" w:hAnsi="Lotus Linotype" w:hint="cs"/>
          <w:sz w:val="28"/>
          <w:rtl/>
          <w:lang w:bidi="ar-SY"/>
        </w:rPr>
        <w:t xml:space="preserve">روى المجلسيُّ في </w:t>
      </w:r>
      <w:r w:rsidRPr="003F3B94">
        <w:rPr>
          <w:rFonts w:ascii="Lotus Linotype" w:hAnsi="Lotus Linotype"/>
          <w:sz w:val="28"/>
          <w:rtl/>
          <w:lang w:bidi="ar-SY"/>
        </w:rPr>
        <w:t>«</w:t>
      </w:r>
      <w:r w:rsidRPr="003F3B94">
        <w:rPr>
          <w:rFonts w:ascii="Lotus Linotype" w:hAnsi="Lotus Linotype" w:hint="cs"/>
          <w:sz w:val="28"/>
          <w:rtl/>
          <w:lang w:bidi="ar-SY"/>
        </w:rPr>
        <w:t>بحار الأنوار</w:t>
      </w:r>
      <w:r w:rsidRPr="003F3B94">
        <w:rPr>
          <w:rFonts w:ascii="Lotus Linotype" w:hAnsi="Lotus Linotype"/>
          <w:sz w:val="28"/>
          <w:rtl/>
          <w:lang w:bidi="ar-SY"/>
        </w:rPr>
        <w:t>»</w:t>
      </w:r>
      <w:r w:rsidRPr="003F3B94">
        <w:rPr>
          <w:rFonts w:ascii="Lotus Linotype" w:hAnsi="Lotus Linotype" w:hint="cs"/>
          <w:sz w:val="28"/>
          <w:rtl/>
          <w:lang w:bidi="ar-SY"/>
        </w:rPr>
        <w:t xml:space="preserve"> </w:t>
      </w:r>
      <w:r w:rsidR="00217AB4" w:rsidRPr="003F3B94">
        <w:rPr>
          <w:rFonts w:ascii="Lotus Linotype" w:hAnsi="Lotus Linotype" w:hint="cs"/>
          <w:sz w:val="28"/>
          <w:rtl/>
          <w:lang w:bidi="ar-SY"/>
        </w:rPr>
        <w:t>(</w:t>
      </w:r>
      <w:r w:rsidRPr="003F3B94">
        <w:rPr>
          <w:rFonts w:ascii="Lotus Linotype" w:hAnsi="Lotus Linotype" w:hint="cs"/>
          <w:sz w:val="28"/>
          <w:rtl/>
          <w:lang w:bidi="ar-SY"/>
        </w:rPr>
        <w:t>ج11</w:t>
      </w:r>
      <w:r w:rsidR="00920257" w:rsidRPr="003F3B94">
        <w:rPr>
          <w:rFonts w:ascii="Lotus Linotype" w:hAnsi="Lotus Linotype" w:hint="cs"/>
          <w:sz w:val="28"/>
          <w:rtl/>
          <w:lang w:bidi="ar-SY"/>
        </w:rPr>
        <w:t xml:space="preserve">، </w:t>
      </w:r>
      <w:r w:rsidRPr="003F3B94">
        <w:rPr>
          <w:rFonts w:ascii="Lotus Linotype" w:hAnsi="Lotus Linotype" w:hint="cs"/>
          <w:sz w:val="28"/>
          <w:rtl/>
          <w:lang w:bidi="ar-SY"/>
        </w:rPr>
        <w:t>ص2</w:t>
      </w:r>
      <w:r w:rsidR="00217AB4" w:rsidRPr="003F3B94">
        <w:rPr>
          <w:rFonts w:ascii="Lotus Linotype" w:hAnsi="Lotus Linotype" w:hint="cs"/>
          <w:sz w:val="28"/>
          <w:rtl/>
          <w:lang w:bidi="ar-SY"/>
        </w:rPr>
        <w:t>،</w:t>
      </w:r>
      <w:r w:rsidRPr="003F3B94">
        <w:rPr>
          <w:rFonts w:ascii="Lotus Linotype" w:hAnsi="Lotus Linotype" w:hint="cs"/>
          <w:sz w:val="28"/>
          <w:rtl/>
          <w:lang w:bidi="ar-SY"/>
        </w:rPr>
        <w:t xml:space="preserve"> طبع تبريز</w:t>
      </w:r>
      <w:r w:rsidR="00217AB4" w:rsidRPr="003F3B94">
        <w:rPr>
          <w:rFonts w:ascii="Lotus Linotype" w:hAnsi="Lotus Linotype" w:hint="cs"/>
          <w:sz w:val="28"/>
          <w:rtl/>
          <w:lang w:bidi="ar-SY"/>
        </w:rPr>
        <w:t>)</w:t>
      </w:r>
      <w:r w:rsidRPr="003F3B94">
        <w:rPr>
          <w:rFonts w:ascii="Lotus Linotype" w:hAnsi="Lotus Linotype" w:hint="cs"/>
          <w:sz w:val="28"/>
          <w:rtl/>
          <w:lang w:bidi="ar-SY"/>
        </w:rPr>
        <w:t xml:space="preserve"> [نقلاً عن كتاب المحاسن للبرقي] قال</w:t>
      </w:r>
      <w:r w:rsidR="00217AB4" w:rsidRPr="003F3B94">
        <w:rPr>
          <w:rFonts w:ascii="Lotus Linotype" w:hAnsi="Lotus Linotype" w:hint="cs"/>
          <w:sz w:val="28"/>
          <w:rtl/>
          <w:lang w:bidi="ar-SY"/>
        </w:rPr>
        <w:t>:</w:t>
      </w:r>
      <w:r w:rsidR="007C6940">
        <w:rPr>
          <w:rFonts w:ascii="Lotus Linotype" w:hAnsi="Lotus Linotype" w:hint="cs"/>
          <w:sz w:val="28"/>
          <w:rtl/>
          <w:lang w:bidi="ar-SY"/>
        </w:rPr>
        <w:t xml:space="preserve"> </w:t>
      </w:r>
      <w:r w:rsidR="00EF2588" w:rsidRPr="003762F6">
        <w:rPr>
          <w:rFonts w:ascii="Lotus Linotype" w:hAnsi="Lotus Linotype" w:cs="KFGQPC Uthman Taha Naskh" w:hint="cs"/>
          <w:sz w:val="28"/>
          <w:rtl/>
          <w:lang w:bidi="ar-SY"/>
        </w:rPr>
        <w:t>«</w:t>
      </w:r>
      <w:r w:rsidRPr="003762F6">
        <w:rPr>
          <w:rFonts w:ascii="Lotus Linotype" w:hAnsi="Lotus Linotype" w:cs="KFGQPC Uthman Taha Naskh"/>
          <w:b/>
          <w:bCs/>
          <w:sz w:val="28"/>
          <w:rtl/>
          <w:lang w:bidi="ar-SY"/>
        </w:rPr>
        <w:t>بَلَغَ عَبْدَ المَلِكِ أَنَّ سَيْفَ رَسُولِ اللهِ</w:t>
      </w:r>
      <w:r w:rsidR="00147857" w:rsidRPr="003762F6">
        <w:rPr>
          <w:rFonts w:ascii="Lotus Linotype" w:hAnsi="Lotus Linotype" w:cs="KFGQPC Uthman Taha Naskh"/>
          <w:b/>
          <w:bCs/>
          <w:sz w:val="28"/>
          <w:rtl/>
          <w:lang w:bidi="ar-SY"/>
        </w:rPr>
        <w:t xml:space="preserve"> </w:t>
      </w:r>
      <w:r w:rsidR="003C7AEB" w:rsidRPr="003C7AEB">
        <w:rPr>
          <w:rFonts w:ascii="Abo-thar" w:hAnsi="Abo-thar" w:cs="CTraditional Arabic"/>
          <w:sz w:val="28"/>
          <w:rtl/>
          <w:lang w:bidi="ar-SY"/>
        </w:rPr>
        <w:t>ص</w:t>
      </w:r>
      <w:r w:rsidR="00147857" w:rsidRPr="003762F6">
        <w:rPr>
          <w:rFonts w:ascii="Abo-thar" w:hAnsi="Abo-thar" w:cs="KFGQPC Uthman Taha Naskh"/>
          <w:sz w:val="28"/>
          <w:rtl/>
          <w:lang w:bidi="ar-SY"/>
        </w:rPr>
        <w:t xml:space="preserve"> </w:t>
      </w:r>
      <w:r w:rsidRPr="003762F6">
        <w:rPr>
          <w:rFonts w:ascii="Lotus Linotype" w:hAnsi="Lotus Linotype" w:cs="KFGQPC Uthman Taha Naskh"/>
          <w:b/>
          <w:bCs/>
          <w:sz w:val="28"/>
          <w:rtl/>
          <w:lang w:bidi="ar-SY"/>
        </w:rPr>
        <w:t xml:space="preserve">عِنْدَهُ </w:t>
      </w:r>
      <w:r w:rsidR="00217AB4" w:rsidRPr="003762F6">
        <w:rPr>
          <w:rFonts w:ascii="Lotus Linotype" w:hAnsi="Lotus Linotype" w:cs="KFGQPC Uthman Taha Naskh" w:hint="cs"/>
          <w:b/>
          <w:bCs/>
          <w:sz w:val="28"/>
          <w:rtl/>
          <w:lang w:bidi="ar-SY"/>
        </w:rPr>
        <w:t>(</w:t>
      </w:r>
      <w:r w:rsidRPr="003762F6">
        <w:rPr>
          <w:rFonts w:ascii="Lotus Linotype" w:hAnsi="Lotus Linotype" w:cs="KFGQPC Uthman Taha Naskh" w:hint="cs"/>
          <w:b/>
          <w:bCs/>
          <w:sz w:val="28"/>
          <w:rtl/>
          <w:lang w:bidi="ar-SY"/>
        </w:rPr>
        <w:t>أي عند الإمام علي بن الحسين زين العابدين</w:t>
      </w:r>
      <w:r w:rsidR="00217AB4" w:rsidRPr="003762F6">
        <w:rPr>
          <w:rFonts w:ascii="Lotus Linotype" w:hAnsi="Lotus Linotype" w:cs="KFGQPC Uthman Taha Naskh" w:hint="cs"/>
          <w:b/>
          <w:bCs/>
          <w:sz w:val="28"/>
          <w:rtl/>
          <w:lang w:bidi="ar-SY"/>
        </w:rPr>
        <w:t>)</w:t>
      </w:r>
      <w:r w:rsidRPr="003762F6">
        <w:rPr>
          <w:rFonts w:ascii="Lotus Linotype" w:hAnsi="Lotus Linotype" w:cs="KFGQPC Uthman Taha Naskh" w:hint="cs"/>
          <w:b/>
          <w:bCs/>
          <w:sz w:val="28"/>
          <w:rtl/>
          <w:lang w:bidi="ar-SY"/>
        </w:rPr>
        <w:t xml:space="preserve"> </w:t>
      </w:r>
      <w:r w:rsidRPr="003762F6">
        <w:rPr>
          <w:rFonts w:ascii="Lotus Linotype" w:hAnsi="Lotus Linotype" w:cs="KFGQPC Uthman Taha Naskh"/>
          <w:b/>
          <w:bCs/>
          <w:sz w:val="28"/>
          <w:rtl/>
          <w:lang w:bidi="ar-SY"/>
        </w:rPr>
        <w:t>فَبَعَثَ يَسْتَوْهِبُهُ مِنْهُ وَيَسْأَلُهُ الحَاجَةَ</w:t>
      </w:r>
      <w:r w:rsidR="00217AB4" w:rsidRPr="003762F6">
        <w:rPr>
          <w:rFonts w:ascii="Lotus Linotype" w:hAnsi="Lotus Linotype" w:cs="KFGQPC Uthman Taha Naskh" w:hint="cs"/>
          <w:b/>
          <w:bCs/>
          <w:sz w:val="28"/>
          <w:rtl/>
          <w:lang w:bidi="ar-SY"/>
        </w:rPr>
        <w:t>،</w:t>
      </w:r>
      <w:r w:rsidRPr="003762F6">
        <w:rPr>
          <w:rFonts w:ascii="Lotus Linotype" w:hAnsi="Lotus Linotype" w:cs="KFGQPC Uthman Taha Naskh"/>
          <w:b/>
          <w:bCs/>
          <w:sz w:val="28"/>
          <w:rtl/>
          <w:lang w:bidi="ar-SY"/>
        </w:rPr>
        <w:t xml:space="preserve"> فَأَبَى عَلَيْهِ</w:t>
      </w:r>
      <w:r w:rsidR="00217AB4" w:rsidRPr="003762F6">
        <w:rPr>
          <w:rFonts w:ascii="Lotus Linotype" w:hAnsi="Lotus Linotype" w:cs="KFGQPC Uthman Taha Naskh" w:hint="cs"/>
          <w:b/>
          <w:bCs/>
          <w:sz w:val="28"/>
          <w:rtl/>
          <w:lang w:bidi="ar-SY"/>
        </w:rPr>
        <w:t>.</w:t>
      </w:r>
      <w:r w:rsidRPr="003762F6">
        <w:rPr>
          <w:rFonts w:ascii="Lotus Linotype" w:hAnsi="Lotus Linotype" w:cs="KFGQPC Uthman Taha Naskh"/>
          <w:b/>
          <w:bCs/>
          <w:sz w:val="28"/>
          <w:rtl/>
          <w:lang w:bidi="ar-SY"/>
        </w:rPr>
        <w:t xml:space="preserve"> فَكَتَبَ إِلَيْهِ عَبْدُ المَلِكِ يُهَدِّدُهُ وَ</w:t>
      </w:r>
      <w:r w:rsidRPr="003762F6">
        <w:rPr>
          <w:rFonts w:ascii="Lotus Linotype" w:hAnsi="Lotus Linotype" w:cs="KFGQPC Uthman Taha Naskh"/>
          <w:b/>
          <w:bCs/>
          <w:sz w:val="28"/>
          <w:u w:val="single"/>
          <w:rtl/>
          <w:lang w:bidi="ar-SY"/>
        </w:rPr>
        <w:t>أَنَّهُ يَقْطَعُ رِزْقَهُ مِنْ بَيْتِ المَالِ</w:t>
      </w:r>
      <w:r w:rsidRPr="003762F6">
        <w:rPr>
          <w:rFonts w:ascii="Lotus Linotype" w:hAnsi="Lotus Linotype" w:cs="KFGQPC Uthman Taha Naskh"/>
          <w:b/>
          <w:bCs/>
          <w:sz w:val="28"/>
          <w:rtl/>
          <w:lang w:bidi="ar-SY"/>
        </w:rPr>
        <w:t xml:space="preserve"> فَأَجَابَهُ </w:t>
      </w:r>
      <w:r w:rsidR="00BC4BA9" w:rsidRPr="00BC4BA9">
        <w:rPr>
          <w:rFonts w:ascii="Lotus Linotype" w:hAnsi="Lotus Linotype" w:cs="CTraditional Arabic" w:hint="cs"/>
          <w:b/>
          <w:sz w:val="28"/>
          <w:rtl/>
          <w:lang w:bidi="ar-SY"/>
        </w:rPr>
        <w:t>÷</w:t>
      </w:r>
      <w:r w:rsidR="00217AB4" w:rsidRPr="003762F6">
        <w:rPr>
          <w:rFonts w:ascii="Lotus Linotype" w:hAnsi="Lotus Linotype" w:cs="KFGQPC Uthman Taha Naskh" w:hint="cs"/>
          <w:b/>
          <w:bCs/>
          <w:sz w:val="28"/>
          <w:rtl/>
          <w:lang w:bidi="ar-SY"/>
        </w:rPr>
        <w:t>:</w:t>
      </w:r>
      <w:r w:rsidRPr="003762F6">
        <w:rPr>
          <w:rFonts w:ascii="Lotus Linotype" w:hAnsi="Lotus Linotype" w:cs="KFGQPC Uthman Taha Naskh"/>
          <w:b/>
          <w:bCs/>
          <w:sz w:val="28"/>
          <w:rtl/>
          <w:lang w:bidi="ar-SY"/>
        </w:rPr>
        <w:t xml:space="preserve"> أَمَّا بَعْدُ</w:t>
      </w:r>
      <w:r w:rsidR="00A46D86">
        <w:rPr>
          <w:rFonts w:ascii="Lotus Linotype" w:hAnsi="Lotus Linotype" w:cs="KFGQPC Uthman Taha Naskh" w:hint="cs"/>
          <w:b/>
          <w:bCs/>
          <w:sz w:val="28"/>
          <w:rtl/>
          <w:lang w:bidi="ar-SY"/>
        </w:rPr>
        <w:t>!</w:t>
      </w:r>
      <w:r w:rsidRPr="003762F6">
        <w:rPr>
          <w:rFonts w:ascii="Lotus Linotype" w:hAnsi="Lotus Linotype" w:cs="KFGQPC Uthman Taha Naskh"/>
          <w:b/>
          <w:bCs/>
          <w:sz w:val="28"/>
          <w:rtl/>
          <w:lang w:bidi="ar-SY"/>
        </w:rPr>
        <w:t xml:space="preserve"> فَإِنَّ اللهَ ضَمِنَ لِلْمُتَّقِينَ المَخْرَجَ مِنْ حَيْثُ يَكْرَهُونَ وَالرِّزْقَ مِنْ حَيْثُ لَا يَحْتَسِبُونَ وَقَالَ جَلَّ ذِكْرُهُ</w:t>
      </w:r>
      <w:r w:rsidR="00A46D86">
        <w:rPr>
          <w:rFonts w:ascii="Lotus Linotype" w:hAnsi="Lotus Linotype" w:cs="KFGQPC Uthman Taha Naskh" w:hint="cs"/>
          <w:b/>
          <w:bCs/>
          <w:sz w:val="28"/>
          <w:rtl/>
          <w:lang w:bidi="ar-SY"/>
        </w:rPr>
        <w:t>:</w:t>
      </w:r>
      <w:r w:rsidR="006C7313">
        <w:rPr>
          <w:rFonts w:ascii="Lotus Linotype" w:hAnsi="Lotus Linotype" w:cs="KFGQPC Uthman Taha Naskh" w:hint="cs"/>
          <w:b/>
          <w:bCs/>
          <w:sz w:val="28"/>
          <w:rtl/>
          <w:lang w:bidi="ar-SY"/>
        </w:rPr>
        <w:t xml:space="preserve"> </w:t>
      </w:r>
      <w:r w:rsidR="006C7313" w:rsidRPr="006C7313">
        <w:rPr>
          <w:rFonts w:ascii="KFGQPC Uthman Taha Naskh" w:cs="KFGQPC Uthman Taha Naskh" w:hint="cs"/>
          <w:sz w:val="26"/>
          <w:szCs w:val="25"/>
          <w:rtl/>
        </w:rPr>
        <w:t>﴿</w:t>
      </w:r>
      <w:r w:rsidR="006C7313" w:rsidRPr="006C7313">
        <w:rPr>
          <w:rStyle w:val="Char3"/>
          <w:rFonts w:hint="eastAsia"/>
          <w:rtl/>
        </w:rPr>
        <w:t>إِنَّ</w:t>
      </w:r>
      <w:r w:rsidR="006C7313" w:rsidRPr="006C7313">
        <w:rPr>
          <w:rStyle w:val="Char3"/>
          <w:rtl/>
        </w:rPr>
        <w:t xml:space="preserve"> </w:t>
      </w:r>
      <w:r w:rsidR="006C7313" w:rsidRPr="006C7313">
        <w:rPr>
          <w:rStyle w:val="Char3"/>
          <w:rFonts w:hint="cs"/>
          <w:rtl/>
        </w:rPr>
        <w:t>ٱ</w:t>
      </w:r>
      <w:r w:rsidR="006C7313" w:rsidRPr="006C7313">
        <w:rPr>
          <w:rStyle w:val="Char3"/>
          <w:rFonts w:hint="eastAsia"/>
          <w:rtl/>
        </w:rPr>
        <w:t>للَّهَ</w:t>
      </w:r>
      <w:r w:rsidR="006C7313" w:rsidRPr="006C7313">
        <w:rPr>
          <w:rStyle w:val="Char3"/>
          <w:rtl/>
        </w:rPr>
        <w:t xml:space="preserve"> </w:t>
      </w:r>
      <w:r w:rsidR="006C7313" w:rsidRPr="006C7313">
        <w:rPr>
          <w:rStyle w:val="Char3"/>
          <w:rFonts w:hint="eastAsia"/>
          <w:rtl/>
        </w:rPr>
        <w:t>لَا</w:t>
      </w:r>
      <w:r w:rsidR="006C7313" w:rsidRPr="006C7313">
        <w:rPr>
          <w:rStyle w:val="Char3"/>
          <w:rtl/>
        </w:rPr>
        <w:t xml:space="preserve"> </w:t>
      </w:r>
      <w:r w:rsidR="006C7313" w:rsidRPr="006C7313">
        <w:rPr>
          <w:rStyle w:val="Char3"/>
          <w:rFonts w:hint="eastAsia"/>
          <w:rtl/>
        </w:rPr>
        <w:t>يُحِبُّ</w:t>
      </w:r>
      <w:r w:rsidR="006C7313" w:rsidRPr="006C7313">
        <w:rPr>
          <w:rStyle w:val="Char3"/>
          <w:rtl/>
        </w:rPr>
        <w:t xml:space="preserve"> </w:t>
      </w:r>
      <w:r w:rsidR="006C7313" w:rsidRPr="006C7313">
        <w:rPr>
          <w:rStyle w:val="Char3"/>
          <w:rFonts w:hint="eastAsia"/>
          <w:rtl/>
        </w:rPr>
        <w:t>كُلَّ</w:t>
      </w:r>
      <w:r w:rsidR="006C7313" w:rsidRPr="006C7313">
        <w:rPr>
          <w:rStyle w:val="Char3"/>
          <w:rtl/>
        </w:rPr>
        <w:t xml:space="preserve"> </w:t>
      </w:r>
      <w:r w:rsidR="006C7313" w:rsidRPr="006C7313">
        <w:rPr>
          <w:rStyle w:val="Char3"/>
          <w:rFonts w:hint="eastAsia"/>
          <w:rtl/>
        </w:rPr>
        <w:t>خَوَّان</w:t>
      </w:r>
      <w:r w:rsidR="006C7313" w:rsidRPr="006C7313">
        <w:rPr>
          <w:rStyle w:val="Char3"/>
          <w:rFonts w:hint="cs"/>
          <w:rtl/>
        </w:rPr>
        <w:t>ٖ</w:t>
      </w:r>
      <w:r w:rsidR="006C7313" w:rsidRPr="006C7313">
        <w:rPr>
          <w:rStyle w:val="Char3"/>
          <w:rtl/>
        </w:rPr>
        <w:t xml:space="preserve"> </w:t>
      </w:r>
      <w:r w:rsidR="006C7313" w:rsidRPr="006C7313">
        <w:rPr>
          <w:rStyle w:val="Char3"/>
          <w:rFonts w:hint="eastAsia"/>
          <w:rtl/>
        </w:rPr>
        <w:t>كَفُورٍ</w:t>
      </w:r>
      <w:r w:rsidR="006C7313" w:rsidRPr="006C7313">
        <w:rPr>
          <w:rStyle w:val="Char3"/>
          <w:rtl/>
        </w:rPr>
        <w:t xml:space="preserve"> </w:t>
      </w:r>
      <w:r w:rsidR="006C7313" w:rsidRPr="006C7313">
        <w:rPr>
          <w:rStyle w:val="Char3"/>
          <w:rFonts w:hint="cs"/>
          <w:rtl/>
        </w:rPr>
        <w:t>٣٨</w:t>
      </w:r>
      <w:r w:rsidR="006C7313" w:rsidRPr="006C7313">
        <w:rPr>
          <w:rFonts w:ascii="KFGQPC Uthman Taha Naskh" w:cs="KFGQPC Uthman Taha Naskh" w:hint="cs"/>
          <w:sz w:val="26"/>
          <w:szCs w:val="25"/>
          <w:rtl/>
        </w:rPr>
        <w:t>﴾</w:t>
      </w:r>
      <w:r w:rsidR="006C7313">
        <w:rPr>
          <w:rFonts w:ascii="KFGQPC Uthman Taha Naskh" w:cs="KFGQPC Uthman Taha Naskh"/>
          <w:sz w:val="28"/>
          <w:rtl/>
        </w:rPr>
        <w:t xml:space="preserve"> </w:t>
      </w:r>
      <w:r w:rsidR="006C7313" w:rsidRPr="006C7313">
        <w:rPr>
          <w:rStyle w:val="Char2"/>
          <w:rtl/>
        </w:rPr>
        <w:t>[</w:t>
      </w:r>
      <w:r w:rsidR="006C7313" w:rsidRPr="006C7313">
        <w:rPr>
          <w:rStyle w:val="Char2"/>
          <w:rFonts w:hint="eastAsia"/>
          <w:rtl/>
        </w:rPr>
        <w:t>الحج</w:t>
      </w:r>
      <w:r w:rsidR="006C7313" w:rsidRPr="006C7313">
        <w:rPr>
          <w:rStyle w:val="Char2"/>
          <w:rtl/>
        </w:rPr>
        <w:t xml:space="preserve">: </w:t>
      </w:r>
      <w:r w:rsidR="006C7313" w:rsidRPr="006C7313">
        <w:rPr>
          <w:rStyle w:val="Char2"/>
          <w:rFonts w:hint="cs"/>
          <w:rtl/>
        </w:rPr>
        <w:t>٣٨</w:t>
      </w:r>
      <w:r w:rsidR="006C7313" w:rsidRPr="006C7313">
        <w:rPr>
          <w:rStyle w:val="Char2"/>
          <w:rtl/>
        </w:rPr>
        <w:t>]</w:t>
      </w:r>
      <w:r w:rsidR="006C7313">
        <w:rPr>
          <w:rFonts w:ascii="KFGQPC Uthman Taha Naskh" w:cs="KFGQPC Uthman Taha Naskh"/>
          <w:sz w:val="28"/>
          <w:rtl/>
        </w:rPr>
        <w:t xml:space="preserve"> </w:t>
      </w:r>
      <w:r w:rsidRPr="003762F6">
        <w:rPr>
          <w:rFonts w:ascii="Lotus Linotype" w:hAnsi="Lotus Linotype" w:cs="KFGQPC Uthman Taha Naskh"/>
          <w:b/>
          <w:bCs/>
          <w:sz w:val="28"/>
          <w:rtl/>
          <w:lang w:bidi="ar-SY"/>
        </w:rPr>
        <w:t>فَانْظُرْ أَيُّنَا أَوْلَى بِهَذِهِ الْآيَةِ فِي حِلْمِهِ وَتَوَاضُعِه</w:t>
      </w:r>
      <w:r w:rsidR="00217AB4" w:rsidRPr="003762F6">
        <w:rPr>
          <w:rFonts w:ascii="Lotus Linotype" w:hAnsi="Lotus Linotype" w:cs="KFGQPC Uthman Taha Naskh" w:hint="cs"/>
          <w:b/>
          <w:bCs/>
          <w:sz w:val="28"/>
          <w:rtl/>
          <w:lang w:bidi="ar-SY"/>
        </w:rPr>
        <w:t>...</w:t>
      </w:r>
      <w:r w:rsidR="00EF2588" w:rsidRPr="003762F6">
        <w:rPr>
          <w:rFonts w:ascii="Lotus Linotype" w:hAnsi="Lotus Linotype" w:cs="KFGQPC Uthman Taha Naskh" w:hint="cs"/>
          <w:sz w:val="28"/>
          <w:rtl/>
          <w:lang w:bidi="ar-SY"/>
        </w:rPr>
        <w:t>»</w:t>
      </w:r>
      <w:r w:rsidR="00217AB4" w:rsidRPr="0021507A">
        <w:rPr>
          <w:rFonts w:cs="Arabic11 BT"/>
          <w:b/>
          <w:sz w:val="28"/>
          <w:vertAlign w:val="superscript"/>
          <w:rtl/>
          <w:lang w:bidi="ar-SY"/>
        </w:rPr>
        <w:t>(</w:t>
      </w:r>
      <w:r w:rsidRPr="0021507A">
        <w:rPr>
          <w:rStyle w:val="FootnoteReference"/>
          <w:rFonts w:cs="Arabic11 BT"/>
          <w:b/>
          <w:sz w:val="28"/>
          <w:rtl/>
          <w:lang w:bidi="ar-SY"/>
        </w:rPr>
        <w:footnoteReference w:id="192"/>
      </w:r>
      <w:r w:rsidR="00217AB4" w:rsidRPr="0021507A">
        <w:rPr>
          <w:rFonts w:cs="Arabic11 BT"/>
          <w:b/>
          <w:sz w:val="28"/>
          <w:vertAlign w:val="superscript"/>
          <w:rtl/>
          <w:lang w:bidi="ar-SY"/>
        </w:rPr>
        <w:t>)</w:t>
      </w:r>
      <w:r w:rsidR="00217AB4" w:rsidRPr="003F3B94">
        <w:rPr>
          <w:rFonts w:ascii="Lotus Linotype" w:hAnsi="Lotus Linotype" w:hint="cs"/>
          <w:sz w:val="28"/>
          <w:rtl/>
          <w:lang w:bidi="ar-SY"/>
        </w:rPr>
        <w:t>.</w:t>
      </w:r>
    </w:p>
    <w:p w:rsidR="005C664D" w:rsidRPr="003F3B94" w:rsidRDefault="005C664D" w:rsidP="003F3B94">
      <w:pPr>
        <w:pStyle w:val="a0"/>
        <w:rPr>
          <w:rFonts w:hint="cs"/>
          <w:rtl/>
          <w:lang w:bidi="ar-SY"/>
        </w:rPr>
      </w:pPr>
      <w:r w:rsidRPr="003F3B94">
        <w:rPr>
          <w:rFonts w:ascii="Lotus Linotype" w:hAnsi="Lotus Linotype" w:hint="cs"/>
          <w:sz w:val="28"/>
          <w:rtl/>
          <w:lang w:bidi="ar-SY"/>
        </w:rPr>
        <w:t>فهذه الرواية تدل على أن معاش وارتزاق حضرة الإمام زين العابدين كان في ذلك الزمن من مال بيت المال</w:t>
      </w:r>
      <w:r w:rsidR="00217AB4" w:rsidRPr="003F3B94">
        <w:rPr>
          <w:rFonts w:ascii="Lotus Linotype" w:hAnsi="Lotus Linotype" w:hint="cs"/>
          <w:sz w:val="28"/>
          <w:rtl/>
          <w:lang w:bidi="ar-SY"/>
        </w:rPr>
        <w:t>.</w:t>
      </w:r>
      <w:r w:rsidRPr="003F3B94">
        <w:rPr>
          <w:rFonts w:ascii="Lotus Linotype" w:hAnsi="Lotus Linotype" w:hint="cs"/>
          <w:sz w:val="28"/>
          <w:rtl/>
          <w:lang w:bidi="ar-SY"/>
        </w:rPr>
        <w:t xml:space="preserve"> </w:t>
      </w:r>
    </w:p>
    <w:p w:rsidR="005C664D" w:rsidRPr="003F3B94" w:rsidRDefault="005C664D" w:rsidP="007C6940">
      <w:pPr>
        <w:pStyle w:val="a0"/>
        <w:rPr>
          <w:rFonts w:hint="cs"/>
          <w:rtl/>
          <w:lang w:bidi="ar-SY"/>
        </w:rPr>
      </w:pPr>
      <w:r w:rsidRPr="003F3B94">
        <w:rPr>
          <w:rFonts w:ascii="Lotus Linotype" w:hAnsi="Lotus Linotype" w:hint="cs"/>
          <w:sz w:val="28"/>
          <w:rtl/>
          <w:lang w:bidi="ar-SY"/>
        </w:rPr>
        <w:t>14</w:t>
      </w:r>
      <w:r w:rsidR="00217AB4" w:rsidRPr="003F3B94">
        <w:rPr>
          <w:rFonts w:ascii="Lotus Linotype" w:hAnsi="Lotus Linotype" w:hint="cs"/>
          <w:sz w:val="28"/>
          <w:rtl/>
          <w:lang w:bidi="ar-SY"/>
        </w:rPr>
        <w:t>-</w:t>
      </w:r>
      <w:r w:rsidRPr="003F3B94">
        <w:rPr>
          <w:rFonts w:ascii="Lotus Linotype" w:hAnsi="Lotus Linotype" w:hint="cs"/>
          <w:sz w:val="28"/>
          <w:rtl/>
          <w:lang w:bidi="ar-SY"/>
        </w:rPr>
        <w:t xml:space="preserve"> روى ابن سعد في </w:t>
      </w:r>
      <w:r w:rsidRPr="003F3B94">
        <w:rPr>
          <w:rFonts w:ascii="Lotus Linotype" w:hAnsi="Lotus Linotype"/>
          <w:sz w:val="28"/>
          <w:rtl/>
          <w:lang w:bidi="ar-SY"/>
        </w:rPr>
        <w:t>«</w:t>
      </w:r>
      <w:r w:rsidRPr="003F3B94">
        <w:rPr>
          <w:rFonts w:ascii="Lotus Linotype" w:hAnsi="Lotus Linotype" w:hint="cs"/>
          <w:sz w:val="28"/>
          <w:rtl/>
          <w:lang w:bidi="ar-SY"/>
        </w:rPr>
        <w:t>الطبقات الكبرى</w:t>
      </w:r>
      <w:r w:rsidRPr="003F3B94">
        <w:rPr>
          <w:rFonts w:ascii="Lotus Linotype" w:hAnsi="Lotus Linotype"/>
          <w:sz w:val="28"/>
          <w:rtl/>
          <w:lang w:bidi="ar-SY"/>
        </w:rPr>
        <w:t>»</w:t>
      </w:r>
      <w:r w:rsidR="00217AB4" w:rsidRPr="003F3B94">
        <w:rPr>
          <w:rFonts w:ascii="Lotus Linotype" w:hAnsi="Lotus Linotype" w:hint="cs"/>
          <w:sz w:val="28"/>
          <w:rtl/>
          <w:lang w:bidi="ar-SY"/>
        </w:rPr>
        <w:t>:</w:t>
      </w:r>
      <w:r w:rsidRPr="003F3B94">
        <w:rPr>
          <w:rFonts w:ascii="Lotus Linotype" w:hAnsi="Lotus Linotype" w:hint="cs"/>
          <w:sz w:val="28"/>
          <w:rtl/>
          <w:lang w:bidi="ar-SY"/>
        </w:rPr>
        <w:t xml:space="preserve"> </w:t>
      </w:r>
      <w:r w:rsidR="00EF2588" w:rsidRPr="003762F6">
        <w:rPr>
          <w:rFonts w:ascii="Lotus Linotype" w:hAnsi="Lotus Linotype" w:cs="KFGQPC Uthman Taha Naskh" w:hint="cs"/>
          <w:sz w:val="28"/>
          <w:rtl/>
          <w:lang w:bidi="ar-SY"/>
        </w:rPr>
        <w:t>«</w:t>
      </w:r>
      <w:r w:rsidRPr="003762F6">
        <w:rPr>
          <w:rFonts w:ascii="Lotus Linotype" w:hAnsi="Lotus Linotype" w:cs="KFGQPC Uthman Taha Naskh"/>
          <w:b/>
          <w:bCs/>
          <w:sz w:val="28"/>
          <w:rtl/>
          <w:lang w:bidi="ar-SY"/>
        </w:rPr>
        <w:t>أخبرنا محمد بن عمر قال</w:t>
      </w:r>
      <w:r w:rsidR="00217AB4" w:rsidRPr="003762F6">
        <w:rPr>
          <w:rFonts w:ascii="Lotus Linotype" w:hAnsi="Lotus Linotype" w:cs="KFGQPC Uthman Taha Naskh"/>
          <w:b/>
          <w:bCs/>
          <w:sz w:val="28"/>
          <w:rtl/>
          <w:lang w:bidi="ar-SY"/>
        </w:rPr>
        <w:t>:</w:t>
      </w:r>
      <w:r w:rsidRPr="003762F6">
        <w:rPr>
          <w:rFonts w:ascii="Lotus Linotype" w:hAnsi="Lotus Linotype" w:cs="KFGQPC Uthman Taha Naskh"/>
          <w:b/>
          <w:bCs/>
          <w:sz w:val="28"/>
          <w:rtl/>
          <w:lang w:bidi="ar-SY"/>
        </w:rPr>
        <w:t xml:space="preserve"> حدثنا معاوية بن عبد الله بن عبيد الله بن أبي رافع عن أبيه قال</w:t>
      </w:r>
      <w:r w:rsidR="00217AB4" w:rsidRPr="003762F6">
        <w:rPr>
          <w:rFonts w:ascii="Lotus Linotype" w:hAnsi="Lotus Linotype" w:cs="KFGQPC Uthman Taha Naskh"/>
          <w:b/>
          <w:bCs/>
          <w:sz w:val="28"/>
          <w:rtl/>
          <w:lang w:bidi="ar-SY"/>
        </w:rPr>
        <w:t>:</w:t>
      </w:r>
      <w:r w:rsidRPr="003762F6">
        <w:rPr>
          <w:rFonts w:ascii="Lotus Linotype" w:hAnsi="Lotus Linotype" w:cs="KFGQPC Uthman Taha Naskh"/>
          <w:b/>
          <w:bCs/>
          <w:sz w:val="28"/>
          <w:rtl/>
          <w:lang w:bidi="ar-SY"/>
        </w:rPr>
        <w:t xml:space="preserve"> لما صار محمد بن علي </w:t>
      </w:r>
      <w:r w:rsidRPr="003762F6">
        <w:rPr>
          <w:rFonts w:ascii="Lotus Linotype" w:hAnsi="Lotus Linotype" w:cs="KFGQPC Uthman Taha Naskh" w:hint="cs"/>
          <w:b/>
          <w:bCs/>
          <w:sz w:val="28"/>
          <w:rtl/>
          <w:lang w:bidi="ar-SY"/>
        </w:rPr>
        <w:t xml:space="preserve">[ابن الحنفيَّة] </w:t>
      </w:r>
      <w:r w:rsidRPr="003762F6">
        <w:rPr>
          <w:rFonts w:ascii="Lotus Linotype" w:hAnsi="Lotus Linotype" w:cs="KFGQPC Uthman Taha Naskh"/>
          <w:b/>
          <w:bCs/>
          <w:sz w:val="28"/>
          <w:rtl/>
          <w:lang w:bidi="ar-SY"/>
        </w:rPr>
        <w:t>إلى المدينة وبنى داره بالبقيع</w:t>
      </w:r>
      <w:r w:rsidRPr="003762F6">
        <w:rPr>
          <w:rFonts w:ascii="Lotus Linotype" w:hAnsi="Lotus Linotype" w:cs="KFGQPC Uthman Taha Naskh" w:hint="cs"/>
          <w:b/>
          <w:bCs/>
          <w:sz w:val="28"/>
          <w:rtl/>
          <w:lang w:bidi="ar-SY"/>
        </w:rPr>
        <w:t xml:space="preserve"> </w:t>
      </w:r>
      <w:r w:rsidRPr="003762F6">
        <w:rPr>
          <w:rFonts w:ascii="Lotus Linotype" w:hAnsi="Lotus Linotype" w:cs="KFGQPC Uthman Taha Naskh"/>
          <w:b/>
          <w:bCs/>
          <w:sz w:val="28"/>
          <w:rtl/>
          <w:lang w:bidi="ar-SY"/>
        </w:rPr>
        <w:t xml:space="preserve">كتب إلى عبد الملك </w:t>
      </w:r>
      <w:r w:rsidRPr="003762F6">
        <w:rPr>
          <w:rFonts w:ascii="Lotus Linotype" w:hAnsi="Lotus Linotype" w:cs="KFGQPC Uthman Taha Naskh" w:hint="cs"/>
          <w:b/>
          <w:bCs/>
          <w:sz w:val="28"/>
          <w:rtl/>
          <w:lang w:bidi="ar-SY"/>
        </w:rPr>
        <w:t xml:space="preserve">[بن مروان] </w:t>
      </w:r>
      <w:r w:rsidRPr="003762F6">
        <w:rPr>
          <w:rFonts w:ascii="Lotus Linotype" w:hAnsi="Lotus Linotype" w:cs="KFGQPC Uthman Taha Naskh"/>
          <w:b/>
          <w:bCs/>
          <w:sz w:val="28"/>
          <w:rtl/>
          <w:lang w:bidi="ar-SY"/>
        </w:rPr>
        <w:t>يستأذنه في الوفود عليه</w:t>
      </w:r>
      <w:r w:rsidR="00217AB4" w:rsidRPr="003762F6">
        <w:rPr>
          <w:rFonts w:ascii="Lotus Linotype" w:hAnsi="Lotus Linotype" w:cs="KFGQPC Uthman Taha Naskh"/>
          <w:b/>
          <w:bCs/>
          <w:sz w:val="28"/>
          <w:rtl/>
          <w:lang w:bidi="ar-SY"/>
        </w:rPr>
        <w:t>،</w:t>
      </w:r>
      <w:r w:rsidRPr="003762F6">
        <w:rPr>
          <w:rFonts w:ascii="Lotus Linotype" w:hAnsi="Lotus Linotype" w:cs="KFGQPC Uthman Taha Naskh"/>
          <w:b/>
          <w:bCs/>
          <w:sz w:val="28"/>
          <w:rtl/>
          <w:lang w:bidi="ar-SY"/>
        </w:rPr>
        <w:t xml:space="preserve"> فكتب إليه عبد الملك يأذن له</w:t>
      </w:r>
      <w:r w:rsidR="00217AB4" w:rsidRPr="003762F6">
        <w:rPr>
          <w:rFonts w:ascii="Lotus Linotype" w:hAnsi="Lotus Linotype" w:cs="KFGQPC Uthman Taha Naskh"/>
          <w:b/>
          <w:bCs/>
          <w:sz w:val="28"/>
          <w:rtl/>
          <w:lang w:bidi="ar-SY"/>
        </w:rPr>
        <w:t>.</w:t>
      </w:r>
      <w:r w:rsidR="00217AB4" w:rsidRPr="003762F6">
        <w:rPr>
          <w:rFonts w:ascii="Lotus Linotype" w:hAnsi="Lotus Linotype" w:cs="KFGQPC Uthman Taha Naskh" w:hint="cs"/>
          <w:b/>
          <w:bCs/>
          <w:sz w:val="28"/>
          <w:rtl/>
          <w:lang w:bidi="ar-SY"/>
        </w:rPr>
        <w:t>.</w:t>
      </w:r>
      <w:r w:rsidRPr="003762F6">
        <w:rPr>
          <w:rFonts w:ascii="Lotus Linotype" w:hAnsi="Lotus Linotype" w:cs="KFGQPC Uthman Taha Naskh"/>
          <w:b/>
          <w:bCs/>
          <w:sz w:val="28"/>
          <w:rtl/>
          <w:lang w:bidi="ar-SY"/>
        </w:rPr>
        <w:t xml:space="preserve"> فقدم على عبد الملك بدمشق فاستأذن عليه فأذن له وأمر له بمنزل قريب منه</w:t>
      </w:r>
      <w:r w:rsidR="00217AB4" w:rsidRPr="003762F6">
        <w:rPr>
          <w:rFonts w:ascii="Lotus Linotype" w:hAnsi="Lotus Linotype" w:cs="KFGQPC Uthman Taha Naskh"/>
          <w:b/>
          <w:bCs/>
          <w:sz w:val="28"/>
          <w:rtl/>
          <w:lang w:bidi="ar-SY"/>
        </w:rPr>
        <w:t>،</w:t>
      </w:r>
      <w:r w:rsidRPr="003762F6">
        <w:rPr>
          <w:rFonts w:ascii="Lotus Linotype" w:hAnsi="Lotus Linotype" w:cs="KFGQPC Uthman Taha Naskh"/>
          <w:b/>
          <w:bCs/>
          <w:sz w:val="28"/>
          <w:rtl/>
          <w:lang w:bidi="ar-SY"/>
        </w:rPr>
        <w:t xml:space="preserve"> وأمر أن يجرى عليه نزل يكفيه ويكفي من معه</w:t>
      </w:r>
      <w:r w:rsidR="00217AB4" w:rsidRPr="003762F6">
        <w:rPr>
          <w:rFonts w:ascii="Lotus Linotype" w:hAnsi="Lotus Linotype" w:cs="KFGQPC Uthman Taha Naskh"/>
          <w:b/>
          <w:bCs/>
          <w:sz w:val="28"/>
          <w:rtl/>
          <w:lang w:bidi="ar-SY"/>
        </w:rPr>
        <w:t>..</w:t>
      </w:r>
      <w:r w:rsidR="00217AB4" w:rsidRPr="003762F6">
        <w:rPr>
          <w:rFonts w:ascii="Lotus Linotype" w:hAnsi="Lotus Linotype" w:cs="KFGQPC Uthman Taha Naskh" w:hint="cs"/>
          <w:b/>
          <w:bCs/>
          <w:sz w:val="28"/>
          <w:rtl/>
          <w:lang w:bidi="ar-SY"/>
        </w:rPr>
        <w:t>.</w:t>
      </w:r>
      <w:r w:rsidRPr="003762F6">
        <w:rPr>
          <w:rFonts w:ascii="Lotus Linotype" w:hAnsi="Lotus Linotype" w:cs="KFGQPC Uthman Taha Naskh"/>
          <w:b/>
          <w:bCs/>
          <w:sz w:val="28"/>
          <w:rtl/>
          <w:lang w:bidi="ar-SY"/>
        </w:rPr>
        <w:t xml:space="preserve"> فلما مضى من ذلك شهر أو قريب منه كلم عبد الملك خاليا</w:t>
      </w:r>
      <w:r w:rsidRPr="003762F6">
        <w:rPr>
          <w:rFonts w:ascii="Lotus Linotype" w:hAnsi="Lotus Linotype" w:cs="KFGQPC Uthman Taha Naskh" w:hint="cs"/>
          <w:b/>
          <w:bCs/>
          <w:sz w:val="28"/>
          <w:rtl/>
          <w:lang w:bidi="ar-SY"/>
        </w:rPr>
        <w:t>ً</w:t>
      </w:r>
      <w:r w:rsidRPr="003762F6">
        <w:rPr>
          <w:rFonts w:ascii="Lotus Linotype" w:hAnsi="Lotus Linotype" w:cs="KFGQPC Uthman Taha Naskh"/>
          <w:b/>
          <w:bCs/>
          <w:sz w:val="28"/>
          <w:rtl/>
          <w:lang w:bidi="ar-SY"/>
        </w:rPr>
        <w:t xml:space="preserve"> فذكر قرابته ورحمه وأمره </w:t>
      </w:r>
      <w:r w:rsidRPr="003762F6">
        <w:rPr>
          <w:rFonts w:ascii="Lotus Linotype" w:hAnsi="Lotus Linotype" w:cs="KFGQPC Uthman Taha Naskh" w:hint="cs"/>
          <w:b/>
          <w:bCs/>
          <w:sz w:val="28"/>
          <w:rtl/>
          <w:lang w:bidi="ar-SY"/>
        </w:rPr>
        <w:t xml:space="preserve">[عبد الملك] </w:t>
      </w:r>
      <w:r w:rsidRPr="003762F6">
        <w:rPr>
          <w:rFonts w:ascii="Lotus Linotype" w:hAnsi="Lotus Linotype" w:cs="KFGQPC Uthman Taha Naskh"/>
          <w:b/>
          <w:bCs/>
          <w:sz w:val="28"/>
          <w:rtl/>
          <w:lang w:bidi="ar-SY"/>
        </w:rPr>
        <w:t xml:space="preserve">أن يرفع </w:t>
      </w:r>
      <w:r w:rsidRPr="003762F6">
        <w:rPr>
          <w:rFonts w:ascii="Lotus Linotype" w:hAnsi="Lotus Linotype" w:cs="KFGQPC Uthman Taha Naskh" w:hint="cs"/>
          <w:b/>
          <w:bCs/>
          <w:sz w:val="28"/>
          <w:rtl/>
          <w:lang w:bidi="ar-SY"/>
        </w:rPr>
        <w:t xml:space="preserve">[إليه] </w:t>
      </w:r>
      <w:r w:rsidRPr="003762F6">
        <w:rPr>
          <w:rFonts w:ascii="Lotus Linotype" w:hAnsi="Lotus Linotype" w:cs="KFGQPC Uthman Taha Naskh"/>
          <w:b/>
          <w:bCs/>
          <w:sz w:val="28"/>
          <w:rtl/>
          <w:lang w:bidi="ar-SY"/>
        </w:rPr>
        <w:t>حوائجه</w:t>
      </w:r>
      <w:r w:rsidR="00217AB4" w:rsidRPr="003762F6">
        <w:rPr>
          <w:rFonts w:ascii="Lotus Linotype" w:hAnsi="Lotus Linotype" w:cs="KFGQPC Uthman Taha Naskh"/>
          <w:b/>
          <w:bCs/>
          <w:sz w:val="28"/>
          <w:rtl/>
          <w:lang w:bidi="ar-SY"/>
        </w:rPr>
        <w:t>.</w:t>
      </w:r>
      <w:r w:rsidRPr="003762F6">
        <w:rPr>
          <w:rFonts w:ascii="Lotus Linotype" w:hAnsi="Lotus Linotype" w:cs="KFGQPC Uthman Taha Naskh"/>
          <w:b/>
          <w:bCs/>
          <w:sz w:val="28"/>
          <w:rtl/>
          <w:lang w:bidi="ar-SY"/>
        </w:rPr>
        <w:t xml:space="preserve"> فرفع محمد </w:t>
      </w:r>
      <w:r w:rsidRPr="003762F6">
        <w:rPr>
          <w:rFonts w:ascii="Lotus Linotype" w:hAnsi="Lotus Linotype" w:cs="KFGQPC Uthman Taha Naskh" w:hint="cs"/>
          <w:b/>
          <w:bCs/>
          <w:sz w:val="28"/>
          <w:rtl/>
          <w:lang w:bidi="ar-SY"/>
        </w:rPr>
        <w:t xml:space="preserve">[بن الحنفية] </w:t>
      </w:r>
      <w:r w:rsidRPr="003762F6">
        <w:rPr>
          <w:rFonts w:ascii="Lotus Linotype" w:hAnsi="Lotus Linotype" w:cs="KFGQPC Uthman Taha Naskh"/>
          <w:b/>
          <w:bCs/>
          <w:sz w:val="28"/>
          <w:rtl/>
          <w:lang w:bidi="ar-SY"/>
        </w:rPr>
        <w:t>دينه وحوائجه وفرائض لولده ولغيرهم من حامته ومواليه فأجابه عبد الملك إلى ذلك كله</w:t>
      </w:r>
      <w:r w:rsidR="00217AB4" w:rsidRPr="003762F6">
        <w:rPr>
          <w:rFonts w:ascii="Lotus Linotype" w:hAnsi="Lotus Linotype" w:cs="KFGQPC Uthman Taha Naskh"/>
          <w:b/>
          <w:bCs/>
          <w:sz w:val="28"/>
          <w:rtl/>
          <w:lang w:bidi="ar-SY"/>
        </w:rPr>
        <w:t>.</w:t>
      </w:r>
      <w:r w:rsidR="00217AB4" w:rsidRPr="003762F6">
        <w:rPr>
          <w:rFonts w:ascii="Lotus Linotype" w:hAnsi="Lotus Linotype" w:cs="KFGQPC Uthman Taha Naskh" w:hint="cs"/>
          <w:b/>
          <w:bCs/>
          <w:sz w:val="28"/>
          <w:rtl/>
          <w:lang w:bidi="ar-SY"/>
        </w:rPr>
        <w:t>.</w:t>
      </w:r>
      <w:r w:rsidRPr="003762F6">
        <w:rPr>
          <w:rFonts w:ascii="Lotus Linotype" w:hAnsi="Lotus Linotype" w:cs="KFGQPC Uthman Taha Naskh"/>
          <w:b/>
          <w:bCs/>
          <w:sz w:val="28"/>
          <w:rtl/>
          <w:lang w:bidi="ar-SY"/>
        </w:rPr>
        <w:t xml:space="preserve"> فلم يبق له حاجة إلا قضاها</w:t>
      </w:r>
      <w:r w:rsidR="006C7313">
        <w:rPr>
          <w:rFonts w:ascii="Lotus Linotype" w:hAnsi="Lotus Linotype" w:cs="KFGQPC Uthman Taha Naskh" w:hint="cs"/>
          <w:sz w:val="28"/>
          <w:rtl/>
          <w:lang w:bidi="ar-SY"/>
        </w:rPr>
        <w:t>...</w:t>
      </w:r>
      <w:r w:rsidR="00EF2588" w:rsidRPr="003762F6">
        <w:rPr>
          <w:rFonts w:ascii="Lotus Linotype" w:hAnsi="Lotus Linotype" w:cs="KFGQPC Uthman Taha Naskh" w:hint="cs"/>
          <w:sz w:val="28"/>
          <w:rtl/>
          <w:lang w:bidi="ar-SY"/>
        </w:rPr>
        <w:t>»</w:t>
      </w:r>
      <w:r w:rsidR="009C37E9" w:rsidRPr="0021507A">
        <w:rPr>
          <w:rFonts w:ascii="Lotus Linotype" w:hAnsi="Lotus Linotype" w:cs="Arabic11 BT"/>
          <w:sz w:val="28"/>
          <w:vertAlign w:val="superscript"/>
          <w:rtl/>
          <w:lang w:bidi="ar-SY"/>
        </w:rPr>
        <w:t>(</w:t>
      </w:r>
      <w:r w:rsidR="009C37E9" w:rsidRPr="0021507A">
        <w:rPr>
          <w:rStyle w:val="FootnoteReference"/>
          <w:rFonts w:ascii="Lotus Linotype" w:hAnsi="Lotus Linotype" w:cs="Arabic11 BT"/>
          <w:sz w:val="28"/>
          <w:rtl/>
          <w:lang w:bidi="ar-SY"/>
        </w:rPr>
        <w:footnoteReference w:id="193"/>
      </w:r>
      <w:r w:rsidR="009C37E9" w:rsidRPr="0021507A">
        <w:rPr>
          <w:rFonts w:ascii="Lotus Linotype" w:hAnsi="Lotus Linotype" w:cs="Arabic11 BT"/>
          <w:sz w:val="28"/>
          <w:vertAlign w:val="superscript"/>
          <w:rtl/>
          <w:lang w:bidi="ar-SY"/>
        </w:rPr>
        <w:t>)</w:t>
      </w:r>
      <w:r w:rsidR="00217AB4" w:rsidRPr="003F3B94">
        <w:rPr>
          <w:rFonts w:ascii="Lotus Linotype" w:hAnsi="Lotus Linotype" w:hint="cs"/>
          <w:sz w:val="28"/>
          <w:rtl/>
          <w:lang w:bidi="ar-SY"/>
        </w:rPr>
        <w:t>.</w:t>
      </w:r>
      <w:r w:rsidRPr="003F3B94">
        <w:rPr>
          <w:rFonts w:ascii="Lotus Linotype" w:hAnsi="Lotus Linotype" w:hint="cs"/>
          <w:sz w:val="28"/>
          <w:rtl/>
          <w:lang w:bidi="ar-SY"/>
        </w:rPr>
        <w:t xml:space="preserve"> </w:t>
      </w:r>
    </w:p>
    <w:p w:rsidR="005C664D" w:rsidRPr="003F3B94" w:rsidRDefault="005C664D" w:rsidP="007C6940">
      <w:pPr>
        <w:pStyle w:val="a0"/>
        <w:rPr>
          <w:rFonts w:hint="cs"/>
          <w:rtl/>
          <w:lang w:bidi="ar-SY"/>
        </w:rPr>
      </w:pPr>
      <w:r w:rsidRPr="003F3B94">
        <w:rPr>
          <w:rFonts w:ascii="Lotus Linotype" w:hAnsi="Lotus Linotype" w:hint="cs"/>
          <w:sz w:val="28"/>
          <w:rtl/>
          <w:lang w:bidi="ar-SY"/>
        </w:rPr>
        <w:t>15</w:t>
      </w:r>
      <w:r w:rsidR="00217AB4" w:rsidRPr="003F3B94">
        <w:rPr>
          <w:rFonts w:ascii="Lotus Linotype" w:hAnsi="Lotus Linotype" w:hint="cs"/>
          <w:sz w:val="28"/>
          <w:rtl/>
          <w:lang w:bidi="ar-SY"/>
        </w:rPr>
        <w:t>-</w:t>
      </w:r>
      <w:r w:rsidRPr="003F3B94">
        <w:rPr>
          <w:rFonts w:ascii="Lotus Linotype" w:hAnsi="Lotus Linotype" w:hint="cs"/>
          <w:sz w:val="28"/>
          <w:rtl/>
          <w:lang w:bidi="ar-SY"/>
        </w:rPr>
        <w:t xml:space="preserve"> روى النوري الطبرسي في </w:t>
      </w:r>
      <w:r w:rsidRPr="003F3B94">
        <w:rPr>
          <w:rFonts w:ascii="Lotus Linotype" w:hAnsi="Lotus Linotype"/>
          <w:sz w:val="28"/>
          <w:rtl/>
          <w:lang w:bidi="ar-SY"/>
        </w:rPr>
        <w:t>«</w:t>
      </w:r>
      <w:r w:rsidRPr="003F3B94">
        <w:rPr>
          <w:rFonts w:ascii="Lotus Linotype" w:hAnsi="Lotus Linotype" w:hint="cs"/>
          <w:sz w:val="28"/>
          <w:rtl/>
          <w:lang w:bidi="ar-SY"/>
        </w:rPr>
        <w:t>مستدرك الوسائل</w:t>
      </w:r>
      <w:r w:rsidR="009C37E9" w:rsidRPr="003F3B94">
        <w:rPr>
          <w:rFonts w:ascii="Lotus Linotype" w:hAnsi="Lotus Linotype"/>
          <w:sz w:val="28"/>
          <w:rtl/>
          <w:lang w:bidi="ar-SY"/>
        </w:rPr>
        <w:t>»</w:t>
      </w:r>
      <w:r w:rsidRPr="003F3B94">
        <w:rPr>
          <w:rFonts w:ascii="Lotus Linotype" w:hAnsi="Lotus Linotype" w:hint="cs"/>
          <w:sz w:val="28"/>
          <w:rtl/>
          <w:lang w:bidi="ar-SY"/>
        </w:rPr>
        <w:t xml:space="preserve"> قال</w:t>
      </w:r>
      <w:r w:rsidR="00217AB4" w:rsidRPr="003F3B94">
        <w:rPr>
          <w:rFonts w:ascii="Lotus Linotype" w:hAnsi="Lotus Linotype" w:hint="cs"/>
          <w:sz w:val="28"/>
          <w:rtl/>
          <w:lang w:bidi="ar-SY"/>
        </w:rPr>
        <w:t>:</w:t>
      </w:r>
      <w:r w:rsidR="007C6940">
        <w:rPr>
          <w:rFonts w:ascii="Lotus Linotype" w:hAnsi="Lotus Linotype" w:hint="cs"/>
          <w:sz w:val="28"/>
          <w:rtl/>
          <w:lang w:bidi="ar-SY"/>
        </w:rPr>
        <w:t xml:space="preserve"> </w:t>
      </w:r>
      <w:r w:rsidR="00EF2588" w:rsidRPr="003762F6">
        <w:rPr>
          <w:rFonts w:ascii="Lotus Linotype" w:hAnsi="Lotus Linotype" w:cs="KFGQPC Uthman Taha Naskh" w:hint="cs"/>
          <w:sz w:val="28"/>
          <w:rtl/>
          <w:lang w:bidi="ar-SY"/>
        </w:rPr>
        <w:t>«</w:t>
      </w:r>
      <w:r w:rsidRPr="003762F6">
        <w:rPr>
          <w:rFonts w:ascii="Lotus Linotype" w:hAnsi="Lotus Linotype" w:cs="KFGQPC Uthman Taha Naskh"/>
          <w:b/>
          <w:bCs/>
          <w:sz w:val="28"/>
          <w:rtl/>
          <w:lang w:bidi="ar-SY"/>
        </w:rPr>
        <w:t>السَّيِّدُ عَلِيُّ بْنُ طَاوُسٍ فِي أَمَانِ الْأَخْطَارِ</w:t>
      </w:r>
      <w:r w:rsidR="00217AB4" w:rsidRPr="003762F6">
        <w:rPr>
          <w:rFonts w:ascii="Lotus Linotype" w:hAnsi="Lotus Linotype" w:cs="KFGQPC Uthman Taha Naskh"/>
          <w:b/>
          <w:bCs/>
          <w:sz w:val="28"/>
          <w:rtl/>
          <w:lang w:bidi="ar-SY"/>
        </w:rPr>
        <w:t>،</w:t>
      </w:r>
      <w:r w:rsidRPr="003762F6">
        <w:rPr>
          <w:rFonts w:ascii="Lotus Linotype" w:hAnsi="Lotus Linotype" w:cs="KFGQPC Uthman Taha Naskh"/>
          <w:b/>
          <w:bCs/>
          <w:sz w:val="28"/>
          <w:rtl/>
          <w:lang w:bidi="ar-SY"/>
        </w:rPr>
        <w:t xml:space="preserve"> نَقْلًا عَنْ كِتَابِ دَلَائِلِ الْإِمَامَةِ تَصْنِيفِ مُحَمَّدِ بْنِ جَرِيرٍ الطَّبَرِيِّ الْإِمَامِيِّ مِنْ أَخْبَارِ مُعْجِزَاتِ مَوْلَانَا مُحَمَّدِ بْنِ عَلِيٍّ </w:t>
      </w:r>
      <w:r w:rsidR="00BC4BA9" w:rsidRPr="00BC4BA9">
        <w:rPr>
          <w:rFonts w:ascii="Lotus Linotype" w:hAnsi="Lotus Linotype" w:cs="CTraditional Arabic" w:hint="cs"/>
          <w:b/>
          <w:sz w:val="28"/>
          <w:rtl/>
          <w:lang w:bidi="ar-SY"/>
        </w:rPr>
        <w:t>÷</w:t>
      </w:r>
      <w:r w:rsidRPr="003762F6">
        <w:rPr>
          <w:rFonts w:ascii="Lotus Linotype" w:hAnsi="Lotus Linotype" w:cs="KFGQPC Uthman Taha Naskh"/>
          <w:b/>
          <w:bCs/>
          <w:sz w:val="28"/>
          <w:rtl/>
          <w:lang w:bidi="ar-SY"/>
        </w:rPr>
        <w:t xml:space="preserve"> بِإِسْنَادِهِ عَنِ الصَّادِقِ </w:t>
      </w:r>
      <w:r w:rsidR="00BC4BA9" w:rsidRPr="00BC4BA9">
        <w:rPr>
          <w:rFonts w:ascii="Lotus Linotype" w:hAnsi="Lotus Linotype" w:cs="CTraditional Arabic"/>
          <w:b/>
          <w:sz w:val="28"/>
          <w:rtl/>
          <w:lang w:bidi="ar-SY"/>
        </w:rPr>
        <w:t>÷</w:t>
      </w:r>
      <w:r w:rsidRPr="003762F6">
        <w:rPr>
          <w:rFonts w:ascii="Lotus Linotype" w:hAnsi="Lotus Linotype" w:cs="KFGQPC Uthman Taha Naskh"/>
          <w:b/>
          <w:bCs/>
          <w:sz w:val="28"/>
          <w:rtl/>
          <w:lang w:bidi="ar-SY"/>
        </w:rPr>
        <w:t xml:space="preserve"> ذَكَرَ خَبَراً طَوِيلًا فِي أَمْرِ هِشَامٍ بِإِشْخَاصِهِ وَإِشْخَاصِ أَبِيهِ </w:t>
      </w:r>
      <w:r w:rsidR="00BC4BA9" w:rsidRPr="00BC4BA9">
        <w:rPr>
          <w:rFonts w:ascii="Lotus Linotype" w:hAnsi="Lotus Linotype" w:cs="CTraditional Arabic"/>
          <w:b/>
          <w:sz w:val="28"/>
          <w:rtl/>
          <w:lang w:bidi="ar-SY"/>
        </w:rPr>
        <w:t>÷</w:t>
      </w:r>
      <w:r w:rsidRPr="003762F6">
        <w:rPr>
          <w:rFonts w:ascii="Lotus Linotype" w:hAnsi="Lotus Linotype" w:cs="KFGQPC Uthman Taha Naskh"/>
          <w:b/>
          <w:bCs/>
          <w:sz w:val="28"/>
          <w:rtl/>
          <w:lang w:bidi="ar-SY"/>
        </w:rPr>
        <w:t xml:space="preserve"> إِلَى الشَّامِ وَمَا جَرَى بَيْنَهُ وَبَيْنَهُمَا </w:t>
      </w:r>
      <w:r w:rsidR="00BC4BA9" w:rsidRPr="00BC4BA9">
        <w:rPr>
          <w:rFonts w:ascii="Lotus Linotype" w:hAnsi="Lotus Linotype" w:cs="CTraditional Arabic"/>
          <w:b/>
          <w:sz w:val="28"/>
          <w:rtl/>
          <w:lang w:bidi="ar-SY"/>
        </w:rPr>
        <w:t>÷</w:t>
      </w:r>
      <w:r w:rsidRPr="003762F6">
        <w:rPr>
          <w:rFonts w:ascii="Lotus Linotype" w:hAnsi="Lotus Linotype" w:cs="KFGQPC Uthman Taha Naskh"/>
          <w:b/>
          <w:bCs/>
          <w:sz w:val="28"/>
          <w:rtl/>
          <w:lang w:bidi="ar-SY"/>
        </w:rPr>
        <w:t xml:space="preserve"> إِلَى أَنْ قَالَ </w:t>
      </w:r>
      <w:r w:rsidR="00BC4BA9" w:rsidRPr="00BC4BA9">
        <w:rPr>
          <w:rFonts w:ascii="Lotus Linotype" w:hAnsi="Lotus Linotype" w:cs="CTraditional Arabic"/>
          <w:b/>
          <w:sz w:val="28"/>
          <w:rtl/>
          <w:lang w:bidi="ar-SY"/>
        </w:rPr>
        <w:t>÷</w:t>
      </w:r>
      <w:r w:rsidR="006C7313">
        <w:rPr>
          <w:rFonts w:ascii="Lotus Linotype" w:hAnsi="Lotus Linotype" w:cs="KFGQPC Uthman Taha Naskh" w:hint="cs"/>
          <w:b/>
          <w:bCs/>
          <w:sz w:val="28"/>
          <w:rtl/>
          <w:lang w:bidi="ar-SY"/>
        </w:rPr>
        <w:t>:</w:t>
      </w:r>
      <w:r w:rsidRPr="003762F6">
        <w:rPr>
          <w:rFonts w:ascii="Lotus Linotype" w:hAnsi="Lotus Linotype" w:cs="KFGQPC Uthman Taha Naskh"/>
          <w:b/>
          <w:bCs/>
          <w:sz w:val="28"/>
          <w:rtl/>
          <w:lang w:bidi="ar-SY"/>
        </w:rPr>
        <w:t xml:space="preserve"> فَبَعَثَ إِلَيْنَا بِالْجَائِزَةِ وَأَمَرَنَا أَنْ نَنْصَرِفَ إِلَى المَدِينَةِ الخَبَرَ</w:t>
      </w:r>
      <w:r w:rsidR="00EF2588" w:rsidRPr="003762F6">
        <w:rPr>
          <w:rFonts w:ascii="Lotus Linotype" w:hAnsi="Lotus Linotype" w:cs="KFGQPC Uthman Taha Naskh" w:hint="cs"/>
          <w:sz w:val="28"/>
          <w:rtl/>
          <w:lang w:bidi="ar-SY"/>
        </w:rPr>
        <w:t>»</w:t>
      </w:r>
      <w:r w:rsidR="009C37E9" w:rsidRPr="0021507A">
        <w:rPr>
          <w:rFonts w:ascii="Lotus Linotype" w:hAnsi="Lotus Linotype" w:cs="Arabic11 BT"/>
          <w:sz w:val="28"/>
          <w:vertAlign w:val="superscript"/>
          <w:rtl/>
          <w:lang w:bidi="ar-SY"/>
        </w:rPr>
        <w:t>(</w:t>
      </w:r>
      <w:r w:rsidR="009C37E9" w:rsidRPr="0021507A">
        <w:rPr>
          <w:rStyle w:val="FootnoteReference"/>
          <w:rFonts w:ascii="Lotus Linotype" w:hAnsi="Lotus Linotype" w:cs="Arabic11 BT"/>
          <w:sz w:val="28"/>
          <w:rtl/>
          <w:lang w:bidi="ar-SY"/>
        </w:rPr>
        <w:footnoteReference w:id="194"/>
      </w:r>
      <w:r w:rsidR="009C37E9" w:rsidRPr="0021507A">
        <w:rPr>
          <w:rFonts w:ascii="Lotus Linotype" w:hAnsi="Lotus Linotype" w:cs="Arabic11 BT"/>
          <w:sz w:val="28"/>
          <w:vertAlign w:val="superscript"/>
          <w:rtl/>
          <w:lang w:bidi="ar-SY"/>
        </w:rPr>
        <w:t>)</w:t>
      </w:r>
      <w:r w:rsidR="00217AB4" w:rsidRPr="003F3B94">
        <w:rPr>
          <w:rFonts w:ascii="Lotus Linotype" w:hAnsi="Lotus Linotype" w:hint="cs"/>
          <w:sz w:val="28"/>
          <w:rtl/>
          <w:lang w:bidi="ar-SY"/>
        </w:rPr>
        <w:t>.</w:t>
      </w:r>
    </w:p>
    <w:p w:rsidR="005C664D" w:rsidRPr="003F3B94" w:rsidRDefault="005C664D" w:rsidP="006C7313">
      <w:pPr>
        <w:pStyle w:val="a0"/>
        <w:rPr>
          <w:rFonts w:hint="cs"/>
          <w:rtl/>
          <w:lang w:bidi="ar-SY"/>
        </w:rPr>
      </w:pPr>
      <w:r w:rsidRPr="003F3B94">
        <w:rPr>
          <w:rFonts w:ascii="Lotus Linotype" w:hAnsi="Lotus Linotype" w:hint="cs"/>
          <w:sz w:val="28"/>
          <w:rtl/>
          <w:lang w:bidi="ar-SY"/>
        </w:rPr>
        <w:t>16</w:t>
      </w:r>
      <w:r w:rsidR="00217AB4" w:rsidRPr="003F3B94">
        <w:rPr>
          <w:rFonts w:ascii="Lotus Linotype" w:hAnsi="Lotus Linotype" w:hint="cs"/>
          <w:sz w:val="28"/>
          <w:rtl/>
          <w:lang w:bidi="ar-SY"/>
        </w:rPr>
        <w:t>-</w:t>
      </w:r>
      <w:r w:rsidR="00147857" w:rsidRPr="003F3B94">
        <w:rPr>
          <w:rFonts w:ascii="Lotus Linotype" w:hAnsi="Lotus Linotype" w:hint="cs"/>
          <w:sz w:val="28"/>
          <w:rtl/>
          <w:lang w:bidi="ar-SY"/>
        </w:rPr>
        <w:t xml:space="preserve"> و</w:t>
      </w:r>
      <w:r w:rsidRPr="003F3B94">
        <w:rPr>
          <w:rFonts w:ascii="Lotus Linotype" w:hAnsi="Lotus Linotype" w:hint="cs"/>
          <w:sz w:val="28"/>
          <w:rtl/>
          <w:lang w:bidi="ar-SY"/>
        </w:rPr>
        <w:t xml:space="preserve">روى النوري الطبرسي في </w:t>
      </w:r>
      <w:r w:rsidRPr="003F3B94">
        <w:rPr>
          <w:rFonts w:ascii="Lotus Linotype" w:hAnsi="Lotus Linotype"/>
          <w:sz w:val="28"/>
          <w:rtl/>
          <w:lang w:bidi="ar-SY"/>
        </w:rPr>
        <w:t>«</w:t>
      </w:r>
      <w:r w:rsidRPr="003F3B94">
        <w:rPr>
          <w:rFonts w:ascii="Lotus Linotype" w:hAnsi="Lotus Linotype" w:hint="cs"/>
          <w:sz w:val="28"/>
          <w:rtl/>
          <w:lang w:bidi="ar-SY"/>
        </w:rPr>
        <w:t>مستدرك الوسائل</w:t>
      </w:r>
      <w:r w:rsidRPr="003F3B94">
        <w:rPr>
          <w:rFonts w:ascii="Lotus Linotype" w:hAnsi="Lotus Linotype"/>
          <w:sz w:val="28"/>
          <w:rtl/>
          <w:lang w:bidi="ar-SY"/>
        </w:rPr>
        <w:t>»</w:t>
      </w:r>
      <w:r w:rsidR="009C37E9" w:rsidRPr="003F3B94">
        <w:rPr>
          <w:rFonts w:ascii="Lotus Linotype" w:hAnsi="Lotus Linotype" w:hint="cs"/>
          <w:sz w:val="28"/>
          <w:rtl/>
          <w:lang w:bidi="ar-SY"/>
        </w:rPr>
        <w:t xml:space="preserve"> ف</w:t>
      </w:r>
      <w:r w:rsidRPr="003F3B94">
        <w:rPr>
          <w:rFonts w:ascii="Lotus Linotype" w:hAnsi="Lotus Linotype" w:hint="cs"/>
          <w:sz w:val="28"/>
          <w:rtl/>
          <w:lang w:bidi="ar-SY"/>
        </w:rPr>
        <w:t>قال</w:t>
      </w:r>
      <w:r w:rsidR="00217AB4" w:rsidRPr="003F3B94">
        <w:rPr>
          <w:rFonts w:ascii="Lotus Linotype" w:hAnsi="Lotus Linotype" w:hint="cs"/>
          <w:sz w:val="28"/>
          <w:rtl/>
          <w:lang w:bidi="ar-SY"/>
        </w:rPr>
        <w:t>:</w:t>
      </w:r>
      <w:r w:rsidR="007C6940">
        <w:rPr>
          <w:rFonts w:ascii="Lotus Linotype" w:hAnsi="Lotus Linotype" w:hint="cs"/>
          <w:sz w:val="28"/>
          <w:rtl/>
          <w:lang w:bidi="ar-SY"/>
        </w:rPr>
        <w:t xml:space="preserve"> </w:t>
      </w:r>
      <w:r w:rsidR="00EF2588" w:rsidRPr="003762F6">
        <w:rPr>
          <w:rFonts w:ascii="Lotus Linotype" w:hAnsi="Lotus Linotype" w:cs="KFGQPC Uthman Taha Naskh" w:hint="cs"/>
          <w:sz w:val="28"/>
          <w:rtl/>
          <w:lang w:bidi="ar-SY"/>
        </w:rPr>
        <w:t>«</w:t>
      </w:r>
      <w:r w:rsidRPr="003762F6">
        <w:rPr>
          <w:rFonts w:ascii="Lotus Linotype" w:hAnsi="Lotus Linotype" w:cs="KFGQPC Uthman Taha Naskh"/>
          <w:b/>
          <w:bCs/>
          <w:sz w:val="28"/>
          <w:rtl/>
          <w:lang w:bidi="ar-SY"/>
        </w:rPr>
        <w:t>ابْنَا بِسْطَامَ فِي طِبِّ الْأَئِمَّةِ</w:t>
      </w:r>
      <w:r w:rsidR="00217AB4" w:rsidRPr="003762F6">
        <w:rPr>
          <w:rFonts w:ascii="Lotus Linotype" w:hAnsi="Lotus Linotype" w:cs="KFGQPC Uthman Taha Naskh"/>
          <w:b/>
          <w:bCs/>
          <w:sz w:val="28"/>
          <w:rtl/>
          <w:lang w:bidi="ar-SY"/>
        </w:rPr>
        <w:t>،</w:t>
      </w:r>
      <w:r w:rsidRPr="003762F6">
        <w:rPr>
          <w:rFonts w:ascii="Lotus Linotype" w:hAnsi="Lotus Linotype" w:cs="KFGQPC Uthman Taha Naskh"/>
          <w:b/>
          <w:bCs/>
          <w:sz w:val="28"/>
          <w:rtl/>
          <w:lang w:bidi="ar-SY"/>
        </w:rPr>
        <w:t xml:space="preserve"> عَنِ الْأَشْعَثِ بْنِ عَبْدِ اللهِ عَنْ مُحَمَّدِ بْنِ‏</w:t>
      </w:r>
      <w:r w:rsidRPr="003762F6">
        <w:rPr>
          <w:rFonts w:ascii="Lotus Linotype" w:hAnsi="Lotus Linotype" w:cs="KFGQPC Uthman Taha Naskh" w:hint="cs"/>
          <w:b/>
          <w:bCs/>
          <w:sz w:val="28"/>
          <w:rtl/>
          <w:lang w:bidi="ar-SY"/>
        </w:rPr>
        <w:t xml:space="preserve"> </w:t>
      </w:r>
      <w:r w:rsidRPr="003762F6">
        <w:rPr>
          <w:rFonts w:ascii="Lotus Linotype" w:hAnsi="Lotus Linotype" w:cs="KFGQPC Uthman Taha Naskh"/>
          <w:b/>
          <w:bCs/>
          <w:sz w:val="28"/>
          <w:rtl/>
          <w:lang w:bidi="ar-SY"/>
        </w:rPr>
        <w:t>عِيسَى عَنْ أَبِي الحَسَنِ الرِّضَا عَنْ مُوسَى بْنِ جَعْفَرٍ</w:t>
      </w:r>
      <w:r w:rsidR="00BC4BA9" w:rsidRPr="00BC4BA9">
        <w:rPr>
          <w:rFonts w:ascii="Lotus Linotype" w:hAnsi="Lotus Linotype" w:cs="CTraditional Arabic"/>
          <w:b/>
          <w:sz w:val="28"/>
          <w:rtl/>
          <w:lang w:bidi="ar-SY"/>
        </w:rPr>
        <w:t>÷</w:t>
      </w:r>
      <w:r w:rsidRPr="003762F6">
        <w:rPr>
          <w:rFonts w:ascii="Lotus Linotype" w:hAnsi="Lotus Linotype" w:cs="KFGQPC Uthman Taha Naskh"/>
          <w:b/>
          <w:bCs/>
          <w:sz w:val="28"/>
          <w:rtl/>
          <w:lang w:bidi="ar-SY"/>
        </w:rPr>
        <w:t xml:space="preserve"> قَالَ</w:t>
      </w:r>
      <w:r w:rsidR="006C7313">
        <w:rPr>
          <w:rFonts w:ascii="Lotus Linotype" w:hAnsi="Lotus Linotype" w:cs="KFGQPC Uthman Taha Naskh" w:hint="cs"/>
          <w:b/>
          <w:bCs/>
          <w:sz w:val="28"/>
          <w:rtl/>
          <w:lang w:bidi="ar-SY"/>
        </w:rPr>
        <w:t>:</w:t>
      </w:r>
      <w:r w:rsidRPr="003762F6">
        <w:rPr>
          <w:rFonts w:ascii="Lotus Linotype" w:hAnsi="Lotus Linotype" w:cs="KFGQPC Uthman Taha Naskh"/>
          <w:b/>
          <w:bCs/>
          <w:sz w:val="28"/>
          <w:rtl/>
          <w:lang w:bidi="ar-SY"/>
        </w:rPr>
        <w:t xml:space="preserve"> لَمَّا طَلَبَ أَبُو الدَّوَانِيقِ أَبَا عَبْدِ اللهِ </w:t>
      </w:r>
      <w:r w:rsidR="00BC4BA9" w:rsidRPr="00BC4BA9">
        <w:rPr>
          <w:rFonts w:ascii="Lotus Linotype" w:hAnsi="Lotus Linotype" w:cs="CTraditional Arabic"/>
          <w:b/>
          <w:sz w:val="28"/>
          <w:rtl/>
          <w:lang w:bidi="ar-SY"/>
        </w:rPr>
        <w:t>÷</w:t>
      </w:r>
      <w:r w:rsidRPr="003762F6">
        <w:rPr>
          <w:rFonts w:ascii="Lotus Linotype" w:hAnsi="Lotus Linotype" w:cs="KFGQPC Uthman Taha Naskh"/>
          <w:b/>
          <w:bCs/>
          <w:sz w:val="28"/>
          <w:rtl/>
          <w:lang w:bidi="ar-SY"/>
        </w:rPr>
        <w:t xml:space="preserve"> وَهَمَّ بِقَتْلِهِ فَأَخَذَهُ صَاحِبُ المَدِينَةِ وَوَجَّهَ بِهِ إِلَيْهِ إِلَى أَنْ ذَكَرَ دُخُولَهُ </w:t>
      </w:r>
      <w:r w:rsidR="00BC4BA9" w:rsidRPr="00BC4BA9">
        <w:rPr>
          <w:rFonts w:ascii="Lotus Linotype" w:hAnsi="Lotus Linotype" w:cs="CTraditional Arabic"/>
          <w:b/>
          <w:sz w:val="28"/>
          <w:rtl/>
          <w:lang w:bidi="ar-SY"/>
        </w:rPr>
        <w:t>÷</w:t>
      </w:r>
      <w:r w:rsidRPr="003762F6">
        <w:rPr>
          <w:rFonts w:ascii="Lotus Linotype" w:hAnsi="Lotus Linotype" w:cs="KFGQPC Uthman Taha Naskh"/>
          <w:b/>
          <w:bCs/>
          <w:sz w:val="28"/>
          <w:rtl/>
          <w:lang w:bidi="ar-SY"/>
        </w:rPr>
        <w:t xml:space="preserve"> عَلَيْهِ قَالَ ثُمَّ أَمَرَهُ بِالِانْصِرَافِ وَحَبَاهُ وَأَعْطَاهُ فَأَبَى أَنْ يَقْبَلَ شَيْئاً وَقَالَ يَا أَمِيرَ المُؤْمِنِينَ أَنَا فِي غَنَاءٍ وَكِفَايَةٍ وَخَيْرٍ كَثِيرٍ فَإِذَا هَمَمْتَ بِبِرِّي فَعَلَيْكَ بِالْمُتَخَلِّفِينَ مِنْ أَهْلِ بَيْتِي فَارْفَعْ عَنْهُمُ الْقَتْلَ</w:t>
      </w:r>
      <w:r w:rsidR="00217AB4" w:rsidRPr="003762F6">
        <w:rPr>
          <w:rFonts w:ascii="Lotus Linotype" w:hAnsi="Lotus Linotype" w:cs="KFGQPC Uthman Taha Naskh" w:hint="cs"/>
          <w:b/>
          <w:bCs/>
          <w:sz w:val="28"/>
          <w:rtl/>
          <w:lang w:bidi="ar-SY"/>
        </w:rPr>
        <w:t>.</w:t>
      </w:r>
      <w:r w:rsidRPr="003762F6">
        <w:rPr>
          <w:rFonts w:ascii="Lotus Linotype" w:hAnsi="Lotus Linotype" w:cs="KFGQPC Uthman Taha Naskh"/>
          <w:b/>
          <w:bCs/>
          <w:sz w:val="28"/>
          <w:rtl/>
          <w:lang w:bidi="ar-SY"/>
        </w:rPr>
        <w:t xml:space="preserve"> قَالَ</w:t>
      </w:r>
      <w:r w:rsidR="00217AB4" w:rsidRPr="003762F6">
        <w:rPr>
          <w:rFonts w:ascii="Lotus Linotype" w:hAnsi="Lotus Linotype" w:cs="KFGQPC Uthman Taha Naskh" w:hint="cs"/>
          <w:b/>
          <w:bCs/>
          <w:sz w:val="28"/>
          <w:rtl/>
          <w:lang w:bidi="ar-SY"/>
        </w:rPr>
        <w:t>:</w:t>
      </w:r>
      <w:r w:rsidRPr="003762F6">
        <w:rPr>
          <w:rFonts w:ascii="Lotus Linotype" w:hAnsi="Lotus Linotype" w:cs="KFGQPC Uthman Taha Naskh"/>
          <w:b/>
          <w:bCs/>
          <w:sz w:val="28"/>
          <w:rtl/>
          <w:lang w:bidi="ar-SY"/>
        </w:rPr>
        <w:t xml:space="preserve"> قَدْ قَبِلْتُ يَا أَبَا عَبْدِ اللهِ وَقَدْ أَمَرْتُ بِمِائَةِ أَلْفِ دِرْهَمٍ فَفَرِّقْ بَيْنَهُمْ فَقَالَ</w:t>
      </w:r>
      <w:r w:rsidR="006C7313">
        <w:rPr>
          <w:rFonts w:ascii="Lotus Linotype" w:hAnsi="Lotus Linotype" w:cs="KFGQPC Uthman Taha Naskh" w:hint="cs"/>
          <w:b/>
          <w:bCs/>
          <w:sz w:val="28"/>
          <w:rtl/>
          <w:lang w:bidi="ar-SY"/>
        </w:rPr>
        <w:t>:</w:t>
      </w:r>
      <w:r w:rsidRPr="003762F6">
        <w:rPr>
          <w:rFonts w:ascii="Lotus Linotype" w:hAnsi="Lotus Linotype" w:cs="KFGQPC Uthman Taha Naskh"/>
          <w:b/>
          <w:bCs/>
          <w:sz w:val="28"/>
          <w:rtl/>
          <w:lang w:bidi="ar-SY"/>
        </w:rPr>
        <w:t xml:space="preserve"> وَصَلْتَ الرَّحِمَ يَا أَمِيرَ المُؤْمِنِينَ الخَبَرَ</w:t>
      </w:r>
      <w:r w:rsidR="00EF2588" w:rsidRPr="003762F6">
        <w:rPr>
          <w:rFonts w:ascii="Lotus Linotype" w:hAnsi="Lotus Linotype" w:cs="KFGQPC Uthman Taha Naskh" w:hint="cs"/>
          <w:sz w:val="28"/>
          <w:rtl/>
          <w:lang w:bidi="ar-SY"/>
        </w:rPr>
        <w:t>»</w:t>
      </w:r>
      <w:r w:rsidR="009C37E9" w:rsidRPr="0021507A">
        <w:rPr>
          <w:rFonts w:ascii="Lotus Linotype" w:hAnsi="Lotus Linotype" w:cs="Arabic11 BT"/>
          <w:sz w:val="28"/>
          <w:vertAlign w:val="superscript"/>
          <w:rtl/>
          <w:lang w:bidi="ar-SY"/>
        </w:rPr>
        <w:t>(</w:t>
      </w:r>
      <w:r w:rsidR="009C37E9" w:rsidRPr="0021507A">
        <w:rPr>
          <w:rStyle w:val="FootnoteReference"/>
          <w:rFonts w:ascii="Lotus Linotype" w:hAnsi="Lotus Linotype" w:cs="Arabic11 BT"/>
          <w:sz w:val="28"/>
          <w:rtl/>
          <w:lang w:bidi="ar-SY"/>
        </w:rPr>
        <w:footnoteReference w:id="195"/>
      </w:r>
      <w:r w:rsidR="009C37E9" w:rsidRPr="0021507A">
        <w:rPr>
          <w:rFonts w:ascii="Lotus Linotype" w:hAnsi="Lotus Linotype" w:cs="Arabic11 BT"/>
          <w:sz w:val="28"/>
          <w:vertAlign w:val="superscript"/>
          <w:rtl/>
          <w:lang w:bidi="ar-SY"/>
        </w:rPr>
        <w:t>)</w:t>
      </w:r>
      <w:r w:rsidR="00217AB4" w:rsidRPr="003F3B94">
        <w:rPr>
          <w:rFonts w:ascii="Lotus Linotype" w:hAnsi="Lotus Linotype" w:hint="cs"/>
          <w:sz w:val="28"/>
          <w:rtl/>
          <w:lang w:bidi="ar-SY"/>
        </w:rPr>
        <w:t>.</w:t>
      </w:r>
    </w:p>
    <w:p w:rsidR="005C664D" w:rsidRPr="003F3B94" w:rsidRDefault="005C664D" w:rsidP="007C6940">
      <w:pPr>
        <w:pStyle w:val="a0"/>
        <w:rPr>
          <w:rFonts w:hint="cs"/>
          <w:rtl/>
        </w:rPr>
      </w:pPr>
      <w:r w:rsidRPr="003F3B94">
        <w:rPr>
          <w:rFonts w:ascii="Lotus Linotype" w:hAnsi="Lotus Linotype" w:hint="cs"/>
          <w:sz w:val="28"/>
          <w:rtl/>
          <w:lang w:bidi="ar-SY"/>
        </w:rPr>
        <w:t>17</w:t>
      </w:r>
      <w:r w:rsidR="00217AB4" w:rsidRPr="003F3B94">
        <w:rPr>
          <w:rFonts w:ascii="Lotus Linotype" w:hAnsi="Lotus Linotype" w:hint="cs"/>
          <w:sz w:val="28"/>
          <w:rtl/>
          <w:lang w:bidi="ar-SY"/>
        </w:rPr>
        <w:t>-</w:t>
      </w:r>
      <w:r w:rsidR="00147857" w:rsidRPr="003F3B94">
        <w:rPr>
          <w:rFonts w:ascii="Lotus Linotype" w:hAnsi="Lotus Linotype" w:hint="cs"/>
          <w:sz w:val="28"/>
          <w:rtl/>
          <w:lang w:bidi="ar-SY"/>
        </w:rPr>
        <w:t xml:space="preserve"> و</w:t>
      </w:r>
      <w:r w:rsidRPr="003F3B94">
        <w:rPr>
          <w:rFonts w:ascii="Lotus Linotype" w:hAnsi="Lotus Linotype" w:hint="cs"/>
          <w:sz w:val="28"/>
          <w:rtl/>
          <w:lang w:bidi="ar-SY"/>
        </w:rPr>
        <w:t xml:space="preserve">روى </w:t>
      </w:r>
      <w:r w:rsidRPr="003F3B94">
        <w:rPr>
          <w:rFonts w:ascii="Lotus Linotype" w:hAnsi="Lotus Linotype"/>
          <w:sz w:val="28"/>
          <w:rtl/>
          <w:lang w:bidi="ar-SY"/>
        </w:rPr>
        <w:t xml:space="preserve">الشَّيْخُ المُفِيدُ </w:t>
      </w:r>
      <w:r w:rsidRPr="003F3B94">
        <w:rPr>
          <w:rFonts w:ascii="Lotus Linotype" w:hAnsi="Lotus Linotype" w:hint="cs"/>
          <w:sz w:val="28"/>
          <w:rtl/>
          <w:lang w:bidi="ar-SY"/>
        </w:rPr>
        <w:t xml:space="preserve">في كتابه </w:t>
      </w:r>
      <w:r w:rsidRPr="003F3B94">
        <w:rPr>
          <w:rFonts w:ascii="Lotus Linotype" w:hAnsi="Lotus Linotype"/>
          <w:sz w:val="28"/>
          <w:rtl/>
          <w:lang w:bidi="ar-SY"/>
        </w:rPr>
        <w:t>«</w:t>
      </w:r>
      <w:r w:rsidRPr="003F3B94">
        <w:rPr>
          <w:rFonts w:ascii="Lotus Linotype" w:hAnsi="Lotus Linotype"/>
          <w:b/>
          <w:bCs/>
          <w:sz w:val="28"/>
          <w:rtl/>
          <w:lang w:bidi="ar-SY"/>
        </w:rPr>
        <w:t>ال</w:t>
      </w:r>
      <w:r w:rsidRPr="003F3B94">
        <w:rPr>
          <w:rFonts w:ascii="Lotus Linotype" w:hAnsi="Lotus Linotype" w:hint="cs"/>
          <w:b/>
          <w:bCs/>
          <w:sz w:val="28"/>
          <w:rtl/>
          <w:lang w:bidi="ar-SY"/>
        </w:rPr>
        <w:t>ا</w:t>
      </w:r>
      <w:r w:rsidRPr="003F3B94">
        <w:rPr>
          <w:rFonts w:ascii="Lotus Linotype" w:hAnsi="Lotus Linotype"/>
          <w:b/>
          <w:bCs/>
          <w:sz w:val="28"/>
          <w:rtl/>
          <w:lang w:bidi="ar-SY"/>
        </w:rPr>
        <w:t>خْتِصَاصِ</w:t>
      </w:r>
      <w:r w:rsidRPr="003F3B94">
        <w:rPr>
          <w:rFonts w:ascii="Lotus Linotype" w:hAnsi="Lotus Linotype"/>
          <w:sz w:val="28"/>
          <w:rtl/>
          <w:lang w:bidi="ar-SY"/>
        </w:rPr>
        <w:t>»</w:t>
      </w:r>
      <w:r w:rsidR="00217AB4" w:rsidRPr="003F3B94">
        <w:rPr>
          <w:rFonts w:ascii="Lotus Linotype" w:hAnsi="Lotus Linotype" w:hint="cs"/>
          <w:sz w:val="28"/>
          <w:rtl/>
          <w:lang w:bidi="ar-SY"/>
        </w:rPr>
        <w:t>:</w:t>
      </w:r>
      <w:r w:rsidRPr="003F3B94">
        <w:rPr>
          <w:rFonts w:ascii="Lotus Linotype" w:hAnsi="Lotus Linotype" w:hint="cs"/>
          <w:sz w:val="28"/>
          <w:rtl/>
          <w:lang w:bidi="ar-SY"/>
        </w:rPr>
        <w:t xml:space="preserve"> </w:t>
      </w:r>
      <w:r w:rsidR="00EF2588" w:rsidRPr="003762F6">
        <w:rPr>
          <w:rFonts w:ascii="Lotus Linotype" w:hAnsi="Lotus Linotype" w:cs="KFGQPC Uthman Taha Naskh" w:hint="cs"/>
          <w:sz w:val="28"/>
          <w:rtl/>
          <w:lang w:bidi="ar-SY"/>
        </w:rPr>
        <w:t>«</w:t>
      </w:r>
      <w:r w:rsidRPr="003762F6">
        <w:rPr>
          <w:rFonts w:ascii="Lotus Linotype" w:hAnsi="Lotus Linotype" w:cs="KFGQPC Uthman Taha Naskh"/>
          <w:b/>
          <w:bCs/>
          <w:sz w:val="28"/>
          <w:rtl/>
          <w:lang w:bidi="ar-SY"/>
        </w:rPr>
        <w:t xml:space="preserve">عَنْ مُحَمَّدِ بْنِ الحَسَنِ بْنِ الْوَلِيدِ عَنْ أَحْمَدَ بْنِ إِدْرِيسَ عَنْ مُحَمَّدِ بْنِ أَحْمَدَ عَنْ مُحَمَّدِ بْنِ إِسْمَاعِيلَ الْعَلَوِيِّ قَالَ حَدَّثَنِي مُحَمَّدُ بْنُ الزَّبْرِقَانِ الدَّامَغَانِيُّ قَالَ قَالَ أَبُو الحَسَنِ مُوسَى بْنُ جَعْفَرٍ </w:t>
      </w:r>
      <w:r w:rsidR="00BC4BA9" w:rsidRPr="00BC4BA9">
        <w:rPr>
          <w:rFonts w:ascii="Lotus Linotype" w:hAnsi="Lotus Linotype" w:cs="CTraditional Arabic"/>
          <w:b/>
          <w:sz w:val="28"/>
          <w:rtl/>
          <w:lang w:bidi="ar-SY"/>
        </w:rPr>
        <w:t>÷</w:t>
      </w:r>
      <w:r w:rsidR="00217AB4" w:rsidRPr="003762F6">
        <w:rPr>
          <w:rFonts w:ascii="Lotus Linotype" w:hAnsi="Lotus Linotype" w:cs="KFGQPC Uthman Taha Naskh" w:hint="cs"/>
          <w:b/>
          <w:bCs/>
          <w:sz w:val="28"/>
          <w:rtl/>
          <w:lang w:bidi="ar-SY"/>
        </w:rPr>
        <w:t>:</w:t>
      </w:r>
      <w:r w:rsidRPr="003762F6">
        <w:rPr>
          <w:rFonts w:ascii="Lotus Linotype" w:hAnsi="Lotus Linotype" w:cs="KFGQPC Uthman Taha Naskh"/>
          <w:b/>
          <w:bCs/>
          <w:sz w:val="28"/>
          <w:rtl/>
          <w:lang w:bidi="ar-SY"/>
        </w:rPr>
        <w:t xml:space="preserve"> لَمَّا أَمَرَ هَارُونُ الرَّشِيدُ بِحَمْلِي دَخَلْتُ عَلَيْهِ فَسَلَّمْتُ فَلَمْ يَرُدَّ السَّلَامَ</w:t>
      </w:r>
      <w:r w:rsidR="00217AB4" w:rsidRPr="003762F6">
        <w:rPr>
          <w:rFonts w:ascii="Lotus Linotype" w:hAnsi="Lotus Linotype" w:cs="KFGQPC Uthman Taha Naskh" w:hint="cs"/>
          <w:b/>
          <w:bCs/>
          <w:sz w:val="28"/>
          <w:rtl/>
          <w:lang w:bidi="ar-SY"/>
        </w:rPr>
        <w:t>...</w:t>
      </w:r>
      <w:r w:rsidRPr="003762F6">
        <w:rPr>
          <w:rFonts w:ascii="Lotus Linotype" w:hAnsi="Lotus Linotype" w:cs="KFGQPC Uthman Taha Naskh" w:hint="cs"/>
          <w:b/>
          <w:bCs/>
          <w:sz w:val="28"/>
          <w:rtl/>
          <w:lang w:bidi="ar-SY"/>
        </w:rPr>
        <w:t xml:space="preserve"> </w:t>
      </w:r>
      <w:r w:rsidR="00217AB4" w:rsidRPr="003762F6">
        <w:rPr>
          <w:rFonts w:ascii="Lotus Linotype" w:hAnsi="Lotus Linotype" w:cs="KFGQPC Uthman Taha Naskh" w:hint="cs"/>
          <w:sz w:val="28"/>
          <w:rtl/>
          <w:lang w:bidi="ar-SY"/>
        </w:rPr>
        <w:t>(</w:t>
      </w:r>
      <w:r w:rsidRPr="003762F6">
        <w:rPr>
          <w:rFonts w:ascii="Lotus Linotype" w:hAnsi="Lotus Linotype" w:cs="KFGQPC Uthman Taha Naskh"/>
          <w:sz w:val="28"/>
          <w:rtl/>
          <w:lang w:bidi="ar-SY"/>
        </w:rPr>
        <w:t>إِلَى أَنْ قَالَ فِي آخِرِ الحَدِيثِ وَهُوَ طَوِيلٌ</w:t>
      </w:r>
      <w:r w:rsidR="00217AB4" w:rsidRPr="003762F6">
        <w:rPr>
          <w:rFonts w:ascii="Lotus Linotype" w:hAnsi="Lotus Linotype" w:cs="KFGQPC Uthman Taha Naskh" w:hint="cs"/>
          <w:sz w:val="28"/>
          <w:rtl/>
          <w:lang w:bidi="ar-SY"/>
        </w:rPr>
        <w:t>)</w:t>
      </w:r>
      <w:r w:rsidR="00147857" w:rsidRPr="003762F6">
        <w:rPr>
          <w:rFonts w:ascii="Lotus Linotype" w:hAnsi="Lotus Linotype" w:cs="KFGQPC Uthman Taha Naskh" w:hint="cs"/>
          <w:b/>
          <w:bCs/>
          <w:sz w:val="28"/>
          <w:rtl/>
          <w:lang w:bidi="ar-SY"/>
        </w:rPr>
        <w:t xml:space="preserve"> </w:t>
      </w:r>
      <w:r w:rsidRPr="003762F6">
        <w:rPr>
          <w:rFonts w:ascii="Lotus Linotype" w:hAnsi="Lotus Linotype" w:cs="KFGQPC Uthman Taha Naskh"/>
          <w:b/>
          <w:bCs/>
          <w:sz w:val="28"/>
          <w:rtl/>
          <w:lang w:bidi="ar-SY"/>
        </w:rPr>
        <w:t>فَقَالَ يَعْنِي هَارُونَ</w:t>
      </w:r>
      <w:r w:rsidR="00217AB4" w:rsidRPr="003762F6">
        <w:rPr>
          <w:rFonts w:ascii="Lotus Linotype" w:hAnsi="Lotus Linotype" w:cs="KFGQPC Uthman Taha Naskh" w:hint="cs"/>
          <w:b/>
          <w:bCs/>
          <w:sz w:val="28"/>
          <w:rtl/>
          <w:lang w:bidi="ar-SY"/>
        </w:rPr>
        <w:t>:</w:t>
      </w:r>
      <w:r w:rsidRPr="003762F6">
        <w:rPr>
          <w:rFonts w:ascii="Lotus Linotype" w:hAnsi="Lotus Linotype" w:cs="KFGQPC Uthman Taha Naskh"/>
          <w:b/>
          <w:bCs/>
          <w:sz w:val="28"/>
          <w:rtl/>
          <w:lang w:bidi="ar-SY"/>
        </w:rPr>
        <w:t xml:space="preserve"> أَحْسَنْتَ وَهُوَ</w:t>
      </w:r>
      <w:r w:rsidRPr="003762F6">
        <w:rPr>
          <w:rFonts w:ascii="Lotus Linotype" w:hAnsi="Lotus Linotype" w:cs="KFGQPC Uthman Taha Naskh" w:hint="cs"/>
          <w:b/>
          <w:bCs/>
          <w:sz w:val="28"/>
          <w:rtl/>
          <w:lang w:bidi="ar-SY"/>
        </w:rPr>
        <w:t xml:space="preserve"> </w:t>
      </w:r>
      <w:r w:rsidRPr="003762F6">
        <w:rPr>
          <w:rFonts w:ascii="Lotus Linotype" w:hAnsi="Lotus Linotype" w:cs="KFGQPC Uthman Taha Naskh"/>
          <w:b/>
          <w:bCs/>
          <w:sz w:val="28"/>
          <w:rtl/>
          <w:lang w:bidi="ar-SY"/>
        </w:rPr>
        <w:t>كَلَامٌ مُوجَزٌ جَامِعٌ فَارْفَعْ حَوَائِجَكَ يَا مُوسَى</w:t>
      </w:r>
      <w:r w:rsidR="00217AB4" w:rsidRPr="003762F6">
        <w:rPr>
          <w:rFonts w:ascii="Lotus Linotype" w:hAnsi="Lotus Linotype" w:cs="KFGQPC Uthman Taha Naskh" w:hint="cs"/>
          <w:b/>
          <w:bCs/>
          <w:sz w:val="28"/>
          <w:rtl/>
          <w:lang w:bidi="ar-SY"/>
        </w:rPr>
        <w:t>.</w:t>
      </w:r>
      <w:r w:rsidRPr="003762F6">
        <w:rPr>
          <w:rFonts w:ascii="Lotus Linotype" w:hAnsi="Lotus Linotype" w:cs="KFGQPC Uthman Taha Naskh"/>
          <w:b/>
          <w:bCs/>
          <w:sz w:val="28"/>
          <w:rtl/>
          <w:lang w:bidi="ar-SY"/>
        </w:rPr>
        <w:t xml:space="preserve"> فَقُلْتُ</w:t>
      </w:r>
      <w:r w:rsidR="00217AB4" w:rsidRPr="003762F6">
        <w:rPr>
          <w:rFonts w:ascii="Lotus Linotype" w:hAnsi="Lotus Linotype" w:cs="KFGQPC Uthman Taha Naskh" w:hint="cs"/>
          <w:b/>
          <w:bCs/>
          <w:sz w:val="28"/>
          <w:rtl/>
          <w:lang w:bidi="ar-SY"/>
        </w:rPr>
        <w:t>:</w:t>
      </w:r>
      <w:r w:rsidRPr="003762F6">
        <w:rPr>
          <w:rFonts w:ascii="Lotus Linotype" w:hAnsi="Lotus Linotype" w:cs="KFGQPC Uthman Taha Naskh"/>
          <w:b/>
          <w:bCs/>
          <w:sz w:val="28"/>
          <w:rtl/>
          <w:lang w:bidi="ar-SY"/>
        </w:rPr>
        <w:t xml:space="preserve"> يَا أَمِيرَ المُؤْمِنِينَ</w:t>
      </w:r>
      <w:r w:rsidR="00217AB4" w:rsidRPr="003762F6">
        <w:rPr>
          <w:rFonts w:ascii="Lotus Linotype" w:hAnsi="Lotus Linotype" w:cs="KFGQPC Uthman Taha Naskh" w:hint="cs"/>
          <w:b/>
          <w:bCs/>
          <w:sz w:val="28"/>
          <w:rtl/>
          <w:lang w:bidi="ar-SY"/>
        </w:rPr>
        <w:t>!</w:t>
      </w:r>
      <w:r w:rsidRPr="003762F6">
        <w:rPr>
          <w:rFonts w:ascii="Lotus Linotype" w:hAnsi="Lotus Linotype" w:cs="KFGQPC Uthman Taha Naskh"/>
          <w:b/>
          <w:bCs/>
          <w:sz w:val="28"/>
          <w:rtl/>
          <w:lang w:bidi="ar-SY"/>
        </w:rPr>
        <w:t xml:space="preserve"> أَوَّلُ حَاجَتِي إِلَيْكَ أَنْ تَأْذَنَ لِي فِي الِانْصِرَافِ إِلَى أَهْلِي</w:t>
      </w:r>
      <w:r w:rsidR="00217AB4" w:rsidRPr="003762F6">
        <w:rPr>
          <w:rFonts w:ascii="Lotus Linotype" w:hAnsi="Lotus Linotype" w:cs="KFGQPC Uthman Taha Naskh" w:hint="cs"/>
          <w:b/>
          <w:bCs/>
          <w:sz w:val="28"/>
          <w:rtl/>
          <w:lang w:bidi="ar-SY"/>
        </w:rPr>
        <w:t>..</w:t>
      </w:r>
      <w:r w:rsidRPr="003762F6">
        <w:rPr>
          <w:rFonts w:ascii="Lotus Linotype" w:hAnsi="Lotus Linotype" w:cs="KFGQPC Uthman Taha Naskh"/>
          <w:b/>
          <w:bCs/>
          <w:sz w:val="28"/>
          <w:rtl/>
          <w:lang w:bidi="ar-SY"/>
        </w:rPr>
        <w:t xml:space="preserve"> </w:t>
      </w:r>
      <w:r w:rsidR="00217AB4" w:rsidRPr="003762F6">
        <w:rPr>
          <w:rFonts w:ascii="Lotus Linotype" w:hAnsi="Lotus Linotype" w:cs="KFGQPC Uthman Taha Naskh" w:hint="cs"/>
          <w:sz w:val="28"/>
          <w:rtl/>
          <w:lang w:bidi="ar-SY"/>
        </w:rPr>
        <w:t>(</w:t>
      </w:r>
      <w:r w:rsidRPr="003762F6">
        <w:rPr>
          <w:rFonts w:ascii="Lotus Linotype" w:hAnsi="Lotus Linotype" w:cs="KFGQPC Uthman Taha Naskh"/>
          <w:sz w:val="28"/>
          <w:rtl/>
          <w:lang w:bidi="ar-SY"/>
        </w:rPr>
        <w:t>إِلَى أَنْ قَالَ</w:t>
      </w:r>
      <w:r w:rsidR="00217AB4" w:rsidRPr="003762F6">
        <w:rPr>
          <w:rFonts w:ascii="Lotus Linotype" w:hAnsi="Lotus Linotype" w:cs="KFGQPC Uthman Taha Naskh" w:hint="cs"/>
          <w:sz w:val="28"/>
          <w:rtl/>
          <w:lang w:bidi="ar-SY"/>
        </w:rPr>
        <w:t>)</w:t>
      </w:r>
      <w:r w:rsidRPr="003762F6">
        <w:rPr>
          <w:rFonts w:ascii="Lotus Linotype" w:hAnsi="Lotus Linotype" w:cs="KFGQPC Uthman Taha Naskh"/>
          <w:b/>
          <w:bCs/>
          <w:sz w:val="28"/>
          <w:rtl/>
          <w:lang w:bidi="ar-SY"/>
        </w:rPr>
        <w:t xml:space="preserve"> فَقَالَ</w:t>
      </w:r>
      <w:r w:rsidR="00217AB4" w:rsidRPr="003762F6">
        <w:rPr>
          <w:rFonts w:ascii="Lotus Linotype" w:hAnsi="Lotus Linotype" w:cs="KFGQPC Uthman Taha Naskh" w:hint="cs"/>
          <w:b/>
          <w:bCs/>
          <w:sz w:val="28"/>
          <w:rtl/>
          <w:lang w:bidi="ar-SY"/>
        </w:rPr>
        <w:t>:</w:t>
      </w:r>
      <w:r w:rsidRPr="003762F6">
        <w:rPr>
          <w:rFonts w:ascii="Lotus Linotype" w:hAnsi="Lotus Linotype" w:cs="KFGQPC Uthman Taha Naskh"/>
          <w:b/>
          <w:bCs/>
          <w:sz w:val="28"/>
          <w:rtl/>
          <w:lang w:bidi="ar-SY"/>
        </w:rPr>
        <w:t xml:space="preserve"> ازْدَدْ</w:t>
      </w:r>
      <w:r w:rsidR="00217AB4" w:rsidRPr="003762F6">
        <w:rPr>
          <w:rFonts w:ascii="Lotus Linotype" w:hAnsi="Lotus Linotype" w:cs="KFGQPC Uthman Taha Naskh" w:hint="cs"/>
          <w:b/>
          <w:bCs/>
          <w:sz w:val="28"/>
          <w:rtl/>
          <w:lang w:bidi="ar-SY"/>
        </w:rPr>
        <w:t>!</w:t>
      </w:r>
      <w:r w:rsidRPr="003762F6">
        <w:rPr>
          <w:rFonts w:ascii="Lotus Linotype" w:hAnsi="Lotus Linotype" w:cs="KFGQPC Uthman Taha Naskh"/>
          <w:b/>
          <w:bCs/>
          <w:sz w:val="28"/>
          <w:rtl/>
          <w:lang w:bidi="ar-SY"/>
        </w:rPr>
        <w:t xml:space="preserve"> فَقُلْتُ</w:t>
      </w:r>
      <w:r w:rsidR="00217AB4" w:rsidRPr="003762F6">
        <w:rPr>
          <w:rFonts w:ascii="Lotus Linotype" w:hAnsi="Lotus Linotype" w:cs="KFGQPC Uthman Taha Naskh" w:hint="cs"/>
          <w:b/>
          <w:bCs/>
          <w:sz w:val="28"/>
          <w:rtl/>
          <w:lang w:bidi="ar-SY"/>
        </w:rPr>
        <w:t>:</w:t>
      </w:r>
      <w:r w:rsidRPr="003762F6">
        <w:rPr>
          <w:rFonts w:ascii="Lotus Linotype" w:hAnsi="Lotus Linotype" w:cs="KFGQPC Uthman Taha Naskh"/>
          <w:b/>
          <w:bCs/>
          <w:sz w:val="28"/>
          <w:rtl/>
          <w:lang w:bidi="ar-SY"/>
        </w:rPr>
        <w:t xml:space="preserve"> عَلَيَّ عِيَالٌ كَثِيرٌ وَأَعْيُنُنَا بَعْدَ اللهِ مَمْدُودَةٌ إِلَى فَضْلِ أَمِيرِ المُؤْمِنِينَ وَعَادَتِهِ</w:t>
      </w:r>
      <w:r w:rsidR="00217AB4" w:rsidRPr="003762F6">
        <w:rPr>
          <w:rFonts w:ascii="Lotus Linotype" w:hAnsi="Lotus Linotype" w:cs="KFGQPC Uthman Taha Naskh" w:hint="cs"/>
          <w:b/>
          <w:bCs/>
          <w:sz w:val="28"/>
          <w:rtl/>
          <w:lang w:bidi="ar-SY"/>
        </w:rPr>
        <w:t>.</w:t>
      </w:r>
      <w:r w:rsidRPr="003762F6">
        <w:rPr>
          <w:rFonts w:ascii="Lotus Linotype" w:hAnsi="Lotus Linotype" w:cs="KFGQPC Uthman Taha Naskh"/>
          <w:b/>
          <w:bCs/>
          <w:sz w:val="28"/>
          <w:rtl/>
          <w:lang w:bidi="ar-SY"/>
        </w:rPr>
        <w:t xml:space="preserve"> فَأَمَرَ لِي بِمِائَةِ أَلْفِ دِرْهَمٍ وَكِسْوَةٍ وَحَمَلَنِي وَرَدَّنِي إِلَى أَهْلِي مُكَرَّماً</w:t>
      </w:r>
      <w:r w:rsidR="00EF2588" w:rsidRPr="003762F6">
        <w:rPr>
          <w:rFonts w:ascii="Lotus Linotype" w:hAnsi="Lotus Linotype" w:cs="KFGQPC Uthman Taha Naskh" w:hint="cs"/>
          <w:sz w:val="28"/>
          <w:rtl/>
          <w:lang w:bidi="ar-SY"/>
        </w:rPr>
        <w:t>»</w:t>
      </w:r>
      <w:r w:rsidR="00217AB4" w:rsidRPr="0021507A">
        <w:rPr>
          <w:rFonts w:cs="Arabic11 BT"/>
          <w:b/>
          <w:sz w:val="28"/>
          <w:vertAlign w:val="superscript"/>
          <w:rtl/>
          <w:lang w:bidi="ar-SY"/>
        </w:rPr>
        <w:t>(</w:t>
      </w:r>
      <w:r w:rsidRPr="0021507A">
        <w:rPr>
          <w:rStyle w:val="FootnoteReference"/>
          <w:rFonts w:cs="Arabic11 BT"/>
          <w:b/>
          <w:sz w:val="28"/>
          <w:rtl/>
          <w:lang w:bidi="ar-SY"/>
        </w:rPr>
        <w:footnoteReference w:id="196"/>
      </w:r>
      <w:r w:rsidR="00217AB4" w:rsidRPr="0021507A">
        <w:rPr>
          <w:rFonts w:cs="Arabic11 BT"/>
          <w:b/>
          <w:sz w:val="28"/>
          <w:vertAlign w:val="superscript"/>
          <w:rtl/>
          <w:lang w:bidi="ar-SY"/>
        </w:rPr>
        <w:t>)</w:t>
      </w:r>
      <w:r w:rsidR="00217AB4" w:rsidRPr="003F3B94">
        <w:rPr>
          <w:rFonts w:ascii="Lotus Linotype" w:hAnsi="Lotus Linotype" w:hint="cs"/>
          <w:sz w:val="28"/>
          <w:rtl/>
          <w:lang w:bidi="ar-SY"/>
        </w:rPr>
        <w:t>.</w:t>
      </w:r>
    </w:p>
    <w:p w:rsidR="005C664D" w:rsidRPr="003F3B94" w:rsidRDefault="005C664D" w:rsidP="007C6940">
      <w:pPr>
        <w:pStyle w:val="a0"/>
        <w:rPr>
          <w:rFonts w:hint="cs"/>
          <w:rtl/>
        </w:rPr>
      </w:pPr>
      <w:r w:rsidRPr="003F3B94">
        <w:rPr>
          <w:rFonts w:ascii="Lotus Linotype" w:hAnsi="Lotus Linotype" w:hint="cs"/>
          <w:sz w:val="28"/>
          <w:rtl/>
        </w:rPr>
        <w:t>18</w:t>
      </w:r>
      <w:r w:rsidR="00217AB4" w:rsidRPr="003F3B94">
        <w:rPr>
          <w:rFonts w:ascii="Lotus Linotype" w:hAnsi="Lotus Linotype" w:hint="cs"/>
          <w:sz w:val="28"/>
          <w:rtl/>
        </w:rPr>
        <w:t>-</w:t>
      </w:r>
      <w:r w:rsidRPr="003F3B94">
        <w:rPr>
          <w:rFonts w:ascii="Lotus Linotype" w:hAnsi="Lotus Linotype" w:hint="cs"/>
          <w:sz w:val="28"/>
          <w:rtl/>
        </w:rPr>
        <w:t xml:space="preserve"> وقال اليافعي في </w:t>
      </w:r>
      <w:r w:rsidRPr="003F3B94">
        <w:rPr>
          <w:rFonts w:ascii="Lotus Linotype" w:hAnsi="Lotus Linotype"/>
          <w:sz w:val="28"/>
          <w:rtl/>
        </w:rPr>
        <w:t>«</w:t>
      </w:r>
      <w:r w:rsidRPr="003F3B94">
        <w:rPr>
          <w:rFonts w:ascii="Lotus Linotype" w:hAnsi="Lotus Linotype" w:hint="cs"/>
          <w:sz w:val="28"/>
          <w:rtl/>
        </w:rPr>
        <w:t>مرآة الجنان</w:t>
      </w:r>
      <w:r w:rsidRPr="003F3B94">
        <w:rPr>
          <w:rFonts w:ascii="Lotus Linotype" w:hAnsi="Lotus Linotype"/>
          <w:sz w:val="28"/>
          <w:rtl/>
        </w:rPr>
        <w:t>»</w:t>
      </w:r>
      <w:r w:rsidR="00217AB4" w:rsidRPr="0021507A">
        <w:rPr>
          <w:rFonts w:cs="Arabic11 BT"/>
          <w:b/>
          <w:sz w:val="28"/>
          <w:vertAlign w:val="superscript"/>
          <w:rtl/>
        </w:rPr>
        <w:t>(</w:t>
      </w:r>
      <w:r w:rsidRPr="0021507A">
        <w:rPr>
          <w:rStyle w:val="FootnoteReference"/>
          <w:rFonts w:cs="Arabic11 BT"/>
          <w:b/>
          <w:sz w:val="28"/>
          <w:rtl/>
        </w:rPr>
        <w:footnoteReference w:id="197"/>
      </w:r>
      <w:r w:rsidR="00217AB4" w:rsidRPr="0021507A">
        <w:rPr>
          <w:rFonts w:cs="Arabic11 BT"/>
          <w:b/>
          <w:sz w:val="28"/>
          <w:vertAlign w:val="superscript"/>
          <w:rtl/>
        </w:rPr>
        <w:t>)</w:t>
      </w:r>
      <w:r w:rsidR="00217AB4" w:rsidRPr="003F3B94">
        <w:rPr>
          <w:rFonts w:ascii="Lotus Linotype" w:hAnsi="Lotus Linotype" w:hint="cs"/>
          <w:sz w:val="28"/>
          <w:rtl/>
        </w:rPr>
        <w:t>:</w:t>
      </w:r>
      <w:r w:rsidRPr="003F3B94">
        <w:rPr>
          <w:rFonts w:ascii="Lotus Linotype" w:hAnsi="Lotus Linotype" w:hint="cs"/>
          <w:sz w:val="28"/>
          <w:rtl/>
        </w:rPr>
        <w:t xml:space="preserve"> </w:t>
      </w:r>
      <w:r w:rsidR="00EF2588" w:rsidRPr="003762F6">
        <w:rPr>
          <w:rFonts w:ascii="Lotus Linotype" w:hAnsi="Lotus Linotype" w:cs="KFGQPC Uthman Taha Naskh" w:hint="cs"/>
          <w:sz w:val="28"/>
          <w:rtl/>
        </w:rPr>
        <w:t>«</w:t>
      </w:r>
      <w:r w:rsidRPr="003762F6">
        <w:rPr>
          <w:rFonts w:ascii="Lotus Linotype" w:hAnsi="Lotus Linotype" w:cs="KFGQPC Uthman Taha Naskh"/>
          <w:b/>
          <w:bCs/>
          <w:sz w:val="28"/>
          <w:rtl/>
        </w:rPr>
        <w:t xml:space="preserve">قال الربيع وأرسل </w:t>
      </w:r>
      <w:r w:rsidRPr="003762F6">
        <w:rPr>
          <w:rFonts w:ascii="Lotus Linotype" w:hAnsi="Lotus Linotype" w:cs="KFGQPC Uthman Taha Naskh" w:hint="cs"/>
          <w:b/>
          <w:bCs/>
          <w:sz w:val="28"/>
          <w:rtl/>
        </w:rPr>
        <w:t>إ</w:t>
      </w:r>
      <w:r w:rsidRPr="003762F6">
        <w:rPr>
          <w:rFonts w:ascii="Lotus Linotype" w:hAnsi="Lotus Linotype" w:cs="KFGQPC Uthman Taha Naskh"/>
          <w:b/>
          <w:bCs/>
          <w:sz w:val="28"/>
          <w:rtl/>
        </w:rPr>
        <w:t>لي</w:t>
      </w:r>
      <w:r w:rsidRPr="003762F6">
        <w:rPr>
          <w:rFonts w:ascii="Lotus Linotype" w:hAnsi="Lotus Linotype" w:cs="KFGQPC Uthman Taha Naskh" w:hint="cs"/>
          <w:b/>
          <w:bCs/>
          <w:sz w:val="28"/>
          <w:rtl/>
        </w:rPr>
        <w:t>َّ</w:t>
      </w:r>
      <w:r w:rsidRPr="003762F6">
        <w:rPr>
          <w:rFonts w:ascii="Lotus Linotype" w:hAnsi="Lotus Linotype" w:cs="KFGQPC Uthman Taha Naskh"/>
          <w:b/>
          <w:bCs/>
          <w:sz w:val="28"/>
          <w:rtl/>
        </w:rPr>
        <w:t xml:space="preserve"> المهدي </w:t>
      </w:r>
      <w:r w:rsidRPr="003762F6">
        <w:rPr>
          <w:rFonts w:ascii="Lotus Linotype" w:hAnsi="Lotus Linotype" w:cs="KFGQPC Uthman Taha Naskh" w:hint="cs"/>
          <w:b/>
          <w:bCs/>
          <w:sz w:val="28"/>
          <w:rtl/>
        </w:rPr>
        <w:t xml:space="preserve">[أي المهدي العباسي والد هارون الرشيد] </w:t>
      </w:r>
      <w:r w:rsidRPr="003762F6">
        <w:rPr>
          <w:rFonts w:ascii="Lotus Linotype" w:hAnsi="Lotus Linotype" w:cs="KFGQPC Uthman Taha Naskh"/>
          <w:b/>
          <w:bCs/>
          <w:sz w:val="28"/>
          <w:rtl/>
        </w:rPr>
        <w:t>ليلاً</w:t>
      </w:r>
      <w:r w:rsidR="00217AB4" w:rsidRPr="003762F6">
        <w:rPr>
          <w:rFonts w:ascii="Lotus Linotype" w:hAnsi="Lotus Linotype" w:cs="KFGQPC Uthman Taha Naskh"/>
          <w:b/>
          <w:bCs/>
          <w:sz w:val="28"/>
          <w:rtl/>
        </w:rPr>
        <w:t>،</w:t>
      </w:r>
      <w:r w:rsidRPr="003762F6">
        <w:rPr>
          <w:rFonts w:ascii="Lotus Linotype" w:hAnsi="Lotus Linotype" w:cs="KFGQPC Uthman Taha Naskh" w:hint="cs"/>
          <w:b/>
          <w:bCs/>
          <w:sz w:val="28"/>
          <w:rtl/>
        </w:rPr>
        <w:t xml:space="preserve"> </w:t>
      </w:r>
      <w:r w:rsidRPr="003762F6">
        <w:rPr>
          <w:rFonts w:ascii="Lotus Linotype" w:hAnsi="Lotus Linotype" w:cs="KFGQPC Uthman Taha Naskh"/>
          <w:b/>
          <w:bCs/>
          <w:sz w:val="28"/>
          <w:rtl/>
        </w:rPr>
        <w:t>فراعني ذلك</w:t>
      </w:r>
      <w:r w:rsidR="00217AB4" w:rsidRPr="003762F6">
        <w:rPr>
          <w:rFonts w:ascii="Lotus Linotype" w:hAnsi="Lotus Linotype" w:cs="KFGQPC Uthman Taha Naskh"/>
          <w:b/>
          <w:bCs/>
          <w:sz w:val="28"/>
          <w:rtl/>
        </w:rPr>
        <w:t>،</w:t>
      </w:r>
      <w:r w:rsidRPr="003762F6">
        <w:rPr>
          <w:rFonts w:ascii="Lotus Linotype" w:hAnsi="Lotus Linotype" w:cs="KFGQPC Uthman Taha Naskh" w:hint="cs"/>
          <w:b/>
          <w:bCs/>
          <w:sz w:val="28"/>
          <w:rtl/>
        </w:rPr>
        <w:t xml:space="preserve"> </w:t>
      </w:r>
      <w:r w:rsidRPr="003762F6">
        <w:rPr>
          <w:rFonts w:ascii="Lotus Linotype" w:hAnsi="Lotus Linotype" w:cs="KFGQPC Uthman Taha Naskh"/>
          <w:b/>
          <w:bCs/>
          <w:sz w:val="28"/>
          <w:rtl/>
        </w:rPr>
        <w:t>فجئته فإذا هو يقرأ هذه الآية</w:t>
      </w:r>
      <w:r w:rsidR="00217AB4" w:rsidRPr="003762F6">
        <w:rPr>
          <w:rFonts w:ascii="Lotus Linotype" w:hAnsi="Lotus Linotype" w:cs="KFGQPC Uthman Taha Naskh"/>
          <w:b/>
          <w:bCs/>
          <w:sz w:val="28"/>
          <w:rtl/>
        </w:rPr>
        <w:t>،</w:t>
      </w:r>
      <w:r w:rsidRPr="003762F6">
        <w:rPr>
          <w:rFonts w:ascii="Lotus Linotype" w:hAnsi="Lotus Linotype" w:cs="KFGQPC Uthman Taha Naskh" w:hint="cs"/>
          <w:b/>
          <w:bCs/>
          <w:sz w:val="28"/>
          <w:rtl/>
        </w:rPr>
        <w:t xml:space="preserve"> </w:t>
      </w:r>
      <w:r w:rsidRPr="003762F6">
        <w:rPr>
          <w:rFonts w:ascii="Lotus Linotype" w:hAnsi="Lotus Linotype" w:cs="KFGQPC Uthman Taha Naskh"/>
          <w:b/>
          <w:bCs/>
          <w:sz w:val="28"/>
          <w:rtl/>
        </w:rPr>
        <w:t>وكان أحسن الناس صوتاً</w:t>
      </w:r>
      <w:r w:rsidR="00217AB4" w:rsidRPr="003762F6">
        <w:rPr>
          <w:rFonts w:ascii="Lotus Linotype" w:hAnsi="Lotus Linotype" w:cs="KFGQPC Uthman Taha Naskh"/>
          <w:b/>
          <w:bCs/>
          <w:sz w:val="28"/>
          <w:rtl/>
        </w:rPr>
        <w:t>،</w:t>
      </w:r>
      <w:r w:rsidRPr="003762F6">
        <w:rPr>
          <w:rFonts w:ascii="Lotus Linotype" w:hAnsi="Lotus Linotype" w:cs="KFGQPC Uthman Taha Naskh" w:hint="cs"/>
          <w:b/>
          <w:bCs/>
          <w:sz w:val="28"/>
          <w:rtl/>
        </w:rPr>
        <w:t xml:space="preserve"> </w:t>
      </w:r>
      <w:r w:rsidRPr="003762F6">
        <w:rPr>
          <w:rFonts w:ascii="Lotus Linotype" w:hAnsi="Lotus Linotype" w:cs="KFGQPC Uthman Taha Naskh"/>
          <w:b/>
          <w:bCs/>
          <w:sz w:val="28"/>
          <w:rtl/>
        </w:rPr>
        <w:t>وقال علي</w:t>
      </w:r>
      <w:r w:rsidRPr="003762F6">
        <w:rPr>
          <w:rFonts w:ascii="Lotus Linotype" w:hAnsi="Lotus Linotype" w:cs="KFGQPC Uthman Taha Naskh" w:hint="cs"/>
          <w:b/>
          <w:bCs/>
          <w:sz w:val="28"/>
          <w:rtl/>
        </w:rPr>
        <w:t>َّ</w:t>
      </w:r>
      <w:r w:rsidRPr="003762F6">
        <w:rPr>
          <w:rFonts w:ascii="Lotus Linotype" w:hAnsi="Lotus Linotype" w:cs="KFGQPC Uthman Taha Naskh"/>
          <w:b/>
          <w:bCs/>
          <w:sz w:val="28"/>
          <w:rtl/>
        </w:rPr>
        <w:t xml:space="preserve"> بموسى بن جعفر</w:t>
      </w:r>
      <w:r w:rsidR="00217AB4" w:rsidRPr="003762F6">
        <w:rPr>
          <w:rFonts w:ascii="Lotus Linotype" w:hAnsi="Lotus Linotype" w:cs="KFGQPC Uthman Taha Naskh"/>
          <w:b/>
          <w:bCs/>
          <w:sz w:val="28"/>
          <w:rtl/>
        </w:rPr>
        <w:t>،</w:t>
      </w:r>
      <w:r w:rsidRPr="003762F6">
        <w:rPr>
          <w:rFonts w:ascii="Lotus Linotype" w:hAnsi="Lotus Linotype" w:cs="KFGQPC Uthman Taha Naskh" w:hint="cs"/>
          <w:b/>
          <w:bCs/>
          <w:sz w:val="28"/>
          <w:rtl/>
        </w:rPr>
        <w:t xml:space="preserve"> </w:t>
      </w:r>
      <w:r w:rsidRPr="003762F6">
        <w:rPr>
          <w:rFonts w:ascii="Lotus Linotype" w:hAnsi="Lotus Linotype" w:cs="KFGQPC Uthman Taha Naskh"/>
          <w:b/>
          <w:bCs/>
          <w:sz w:val="28"/>
          <w:rtl/>
        </w:rPr>
        <w:t>فجئته به فعانقه وأجلسه إلى جانبه وقال</w:t>
      </w:r>
      <w:r w:rsidR="00217AB4" w:rsidRPr="003762F6">
        <w:rPr>
          <w:rFonts w:ascii="Lotus Linotype" w:hAnsi="Lotus Linotype" w:cs="KFGQPC Uthman Taha Naskh"/>
          <w:b/>
          <w:bCs/>
          <w:sz w:val="28"/>
          <w:rtl/>
        </w:rPr>
        <w:t>:</w:t>
      </w:r>
      <w:r w:rsidRPr="003762F6">
        <w:rPr>
          <w:rFonts w:ascii="Lotus Linotype" w:hAnsi="Lotus Linotype" w:cs="KFGQPC Uthman Taha Naskh"/>
          <w:b/>
          <w:bCs/>
          <w:sz w:val="28"/>
          <w:rtl/>
        </w:rPr>
        <w:t xml:space="preserve"> يا أبا الحسن إني رأيت أمير المؤمنين علي بن أبي طالب رضي الله عنه في النوم يقرأ عل</w:t>
      </w:r>
      <w:r w:rsidRPr="003762F6">
        <w:rPr>
          <w:rFonts w:ascii="Lotus Linotype" w:hAnsi="Lotus Linotype" w:cs="KFGQPC Uthman Taha Naskh" w:hint="cs"/>
          <w:b/>
          <w:bCs/>
          <w:sz w:val="28"/>
          <w:rtl/>
        </w:rPr>
        <w:t>يَّ</w:t>
      </w:r>
      <w:r w:rsidRPr="003762F6">
        <w:rPr>
          <w:rFonts w:ascii="Lotus Linotype" w:hAnsi="Lotus Linotype" w:cs="KFGQPC Uthman Taha Naskh"/>
          <w:b/>
          <w:bCs/>
          <w:sz w:val="28"/>
          <w:rtl/>
        </w:rPr>
        <w:t xml:space="preserve"> كذا</w:t>
      </w:r>
      <w:r w:rsidR="00217AB4" w:rsidRPr="003762F6">
        <w:rPr>
          <w:rFonts w:ascii="Lotus Linotype" w:hAnsi="Lotus Linotype" w:cs="KFGQPC Uthman Taha Naskh"/>
          <w:b/>
          <w:bCs/>
          <w:sz w:val="28"/>
          <w:rtl/>
        </w:rPr>
        <w:t>،</w:t>
      </w:r>
      <w:r w:rsidRPr="003762F6">
        <w:rPr>
          <w:rFonts w:ascii="Lotus Linotype" w:hAnsi="Lotus Linotype" w:cs="KFGQPC Uthman Taha Naskh" w:hint="cs"/>
          <w:b/>
          <w:bCs/>
          <w:sz w:val="28"/>
          <w:rtl/>
        </w:rPr>
        <w:t xml:space="preserve"> </w:t>
      </w:r>
      <w:r w:rsidRPr="003762F6">
        <w:rPr>
          <w:rFonts w:ascii="Lotus Linotype" w:hAnsi="Lotus Linotype" w:cs="KFGQPC Uthman Taha Naskh"/>
          <w:b/>
          <w:bCs/>
          <w:sz w:val="28"/>
          <w:rtl/>
        </w:rPr>
        <w:t>فتؤمنني أن تخرج عل</w:t>
      </w:r>
      <w:r w:rsidRPr="003762F6">
        <w:rPr>
          <w:rFonts w:ascii="Lotus Linotype" w:hAnsi="Lotus Linotype" w:cs="KFGQPC Uthman Taha Naskh" w:hint="cs"/>
          <w:b/>
          <w:bCs/>
          <w:sz w:val="28"/>
          <w:rtl/>
        </w:rPr>
        <w:t>ي</w:t>
      </w:r>
      <w:r w:rsidRPr="003762F6">
        <w:rPr>
          <w:rFonts w:ascii="Lotus Linotype" w:hAnsi="Lotus Linotype" w:cs="KFGQPC Uthman Taha Naskh"/>
          <w:b/>
          <w:bCs/>
          <w:sz w:val="28"/>
          <w:rtl/>
        </w:rPr>
        <w:t xml:space="preserve"> أو عل</w:t>
      </w:r>
      <w:r w:rsidRPr="003762F6">
        <w:rPr>
          <w:rFonts w:ascii="Lotus Linotype" w:hAnsi="Lotus Linotype" w:cs="KFGQPC Uthman Taha Naskh" w:hint="cs"/>
          <w:b/>
          <w:bCs/>
          <w:sz w:val="28"/>
          <w:rtl/>
        </w:rPr>
        <w:t>ى</w:t>
      </w:r>
      <w:r w:rsidRPr="003762F6">
        <w:rPr>
          <w:rFonts w:ascii="Lotus Linotype" w:hAnsi="Lotus Linotype" w:cs="KFGQPC Uthman Taha Naskh"/>
          <w:b/>
          <w:bCs/>
          <w:sz w:val="28"/>
          <w:rtl/>
        </w:rPr>
        <w:t xml:space="preserve"> أحد من أولادي</w:t>
      </w:r>
      <w:r w:rsidR="00217AB4" w:rsidRPr="003762F6">
        <w:rPr>
          <w:rFonts w:ascii="Lotus Linotype" w:hAnsi="Lotus Linotype" w:cs="KFGQPC Uthman Taha Naskh" w:hint="cs"/>
          <w:b/>
          <w:bCs/>
          <w:sz w:val="28"/>
          <w:rtl/>
        </w:rPr>
        <w:t>؟؟</w:t>
      </w:r>
      <w:r w:rsidRPr="003762F6">
        <w:rPr>
          <w:rFonts w:ascii="Lotus Linotype" w:hAnsi="Lotus Linotype" w:cs="KFGQPC Uthman Taha Naskh" w:hint="cs"/>
          <w:b/>
          <w:bCs/>
          <w:sz w:val="28"/>
          <w:rtl/>
        </w:rPr>
        <w:t xml:space="preserve"> </w:t>
      </w:r>
      <w:r w:rsidRPr="003762F6">
        <w:rPr>
          <w:rFonts w:ascii="Lotus Linotype" w:hAnsi="Lotus Linotype" w:cs="KFGQPC Uthman Taha Naskh"/>
          <w:b/>
          <w:bCs/>
          <w:sz w:val="28"/>
          <w:rtl/>
        </w:rPr>
        <w:t>فقال</w:t>
      </w:r>
      <w:r w:rsidR="00217AB4" w:rsidRPr="003762F6">
        <w:rPr>
          <w:rFonts w:ascii="Lotus Linotype" w:hAnsi="Lotus Linotype" w:cs="KFGQPC Uthman Taha Naskh"/>
          <w:b/>
          <w:bCs/>
          <w:sz w:val="28"/>
          <w:rtl/>
        </w:rPr>
        <w:t>:</w:t>
      </w:r>
      <w:r w:rsidRPr="003762F6">
        <w:rPr>
          <w:rFonts w:ascii="Lotus Linotype" w:hAnsi="Lotus Linotype" w:cs="KFGQPC Uthman Taha Naskh"/>
          <w:b/>
          <w:bCs/>
          <w:sz w:val="28"/>
          <w:rtl/>
        </w:rPr>
        <w:t>و الله لا فعلت ذلك</w:t>
      </w:r>
      <w:r w:rsidR="00217AB4" w:rsidRPr="003762F6">
        <w:rPr>
          <w:rFonts w:ascii="Lotus Linotype" w:hAnsi="Lotus Linotype" w:cs="KFGQPC Uthman Taha Naskh"/>
          <w:b/>
          <w:bCs/>
          <w:sz w:val="28"/>
          <w:rtl/>
        </w:rPr>
        <w:t>،</w:t>
      </w:r>
      <w:r w:rsidRPr="003762F6">
        <w:rPr>
          <w:rFonts w:ascii="Lotus Linotype" w:hAnsi="Lotus Linotype" w:cs="KFGQPC Uthman Taha Naskh" w:hint="cs"/>
          <w:b/>
          <w:bCs/>
          <w:sz w:val="28"/>
          <w:rtl/>
        </w:rPr>
        <w:t xml:space="preserve"> </w:t>
      </w:r>
      <w:r w:rsidRPr="003762F6">
        <w:rPr>
          <w:rFonts w:ascii="Lotus Linotype" w:hAnsi="Lotus Linotype" w:cs="KFGQPC Uthman Taha Naskh"/>
          <w:b/>
          <w:bCs/>
          <w:sz w:val="28"/>
          <w:rtl/>
        </w:rPr>
        <w:t>وما هو من شأني</w:t>
      </w:r>
      <w:r w:rsidR="00217AB4" w:rsidRPr="003762F6">
        <w:rPr>
          <w:rFonts w:ascii="Lotus Linotype" w:hAnsi="Lotus Linotype" w:cs="KFGQPC Uthman Taha Naskh"/>
          <w:b/>
          <w:bCs/>
          <w:sz w:val="28"/>
          <w:rtl/>
        </w:rPr>
        <w:t>،</w:t>
      </w:r>
      <w:r w:rsidRPr="003762F6">
        <w:rPr>
          <w:rFonts w:ascii="Lotus Linotype" w:hAnsi="Lotus Linotype" w:cs="KFGQPC Uthman Taha Naskh" w:hint="cs"/>
          <w:b/>
          <w:bCs/>
          <w:sz w:val="28"/>
          <w:rtl/>
        </w:rPr>
        <w:t xml:space="preserve"> </w:t>
      </w:r>
      <w:r w:rsidRPr="003762F6">
        <w:rPr>
          <w:rFonts w:ascii="Lotus Linotype" w:hAnsi="Lotus Linotype" w:cs="KFGQPC Uthman Taha Naskh"/>
          <w:b/>
          <w:bCs/>
          <w:sz w:val="28"/>
          <w:rtl/>
        </w:rPr>
        <w:t>قال</w:t>
      </w:r>
      <w:r w:rsidR="00217AB4" w:rsidRPr="003762F6">
        <w:rPr>
          <w:rFonts w:ascii="Lotus Linotype" w:hAnsi="Lotus Linotype" w:cs="KFGQPC Uthman Taha Naskh"/>
          <w:b/>
          <w:bCs/>
          <w:sz w:val="28"/>
          <w:rtl/>
        </w:rPr>
        <w:t>:</w:t>
      </w:r>
      <w:r w:rsidRPr="003762F6">
        <w:rPr>
          <w:rFonts w:ascii="Lotus Linotype" w:hAnsi="Lotus Linotype" w:cs="KFGQPC Uthman Taha Naskh"/>
          <w:b/>
          <w:bCs/>
          <w:sz w:val="28"/>
          <w:rtl/>
        </w:rPr>
        <w:t>صدقت أعطوه ثلاثة آلاف دينار</w:t>
      </w:r>
      <w:r w:rsidR="00217AB4" w:rsidRPr="003762F6">
        <w:rPr>
          <w:rFonts w:ascii="Lotus Linotype" w:hAnsi="Lotus Linotype" w:cs="KFGQPC Uthman Taha Naskh"/>
          <w:b/>
          <w:bCs/>
          <w:sz w:val="28"/>
          <w:rtl/>
        </w:rPr>
        <w:t>،</w:t>
      </w:r>
      <w:r w:rsidRPr="003762F6">
        <w:rPr>
          <w:rFonts w:ascii="Lotus Linotype" w:hAnsi="Lotus Linotype" w:cs="KFGQPC Uthman Taha Naskh" w:hint="cs"/>
          <w:b/>
          <w:bCs/>
          <w:sz w:val="28"/>
          <w:rtl/>
        </w:rPr>
        <w:t xml:space="preserve"> </w:t>
      </w:r>
      <w:r w:rsidRPr="003762F6">
        <w:rPr>
          <w:rFonts w:ascii="Lotus Linotype" w:hAnsi="Lotus Linotype" w:cs="KFGQPC Uthman Taha Naskh"/>
          <w:b/>
          <w:bCs/>
          <w:sz w:val="28"/>
          <w:rtl/>
        </w:rPr>
        <w:t>ورده إل</w:t>
      </w:r>
      <w:r w:rsidRPr="003762F6">
        <w:rPr>
          <w:rFonts w:ascii="Lotus Linotype" w:hAnsi="Lotus Linotype" w:cs="KFGQPC Uthman Taha Naskh" w:hint="cs"/>
          <w:b/>
          <w:bCs/>
          <w:sz w:val="28"/>
          <w:rtl/>
        </w:rPr>
        <w:t>ى</w:t>
      </w:r>
      <w:r w:rsidRPr="003762F6">
        <w:rPr>
          <w:rFonts w:ascii="Lotus Linotype" w:hAnsi="Lotus Linotype" w:cs="KFGQPC Uthman Taha Naskh"/>
          <w:b/>
          <w:bCs/>
          <w:sz w:val="28"/>
          <w:rtl/>
        </w:rPr>
        <w:t xml:space="preserve"> أهله إلى المدينة</w:t>
      </w:r>
      <w:r w:rsidR="00F456DF" w:rsidRPr="003762F6">
        <w:rPr>
          <w:rFonts w:ascii="Lotus Linotype" w:hAnsi="Lotus Linotype" w:cs="KFGQPC Uthman Taha Naskh" w:hint="cs"/>
          <w:b/>
          <w:bCs/>
          <w:sz w:val="28"/>
          <w:rtl/>
        </w:rPr>
        <w:t>»</w:t>
      </w:r>
      <w:r w:rsidR="009C37E9" w:rsidRPr="0021507A">
        <w:rPr>
          <w:rFonts w:ascii="Lotus Linotype" w:hAnsi="Lotus Linotype" w:cs="Arabic11 BT"/>
          <w:sz w:val="28"/>
          <w:vertAlign w:val="superscript"/>
          <w:rtl/>
        </w:rPr>
        <w:t>(</w:t>
      </w:r>
      <w:r w:rsidR="009C37E9" w:rsidRPr="0021507A">
        <w:rPr>
          <w:rStyle w:val="FootnoteReference"/>
          <w:rFonts w:ascii="Lotus Linotype" w:hAnsi="Lotus Linotype" w:cs="Arabic11 BT"/>
          <w:sz w:val="28"/>
          <w:rtl/>
        </w:rPr>
        <w:footnoteReference w:id="198"/>
      </w:r>
      <w:r w:rsidR="009C37E9" w:rsidRPr="0021507A">
        <w:rPr>
          <w:rFonts w:ascii="Lotus Linotype" w:hAnsi="Lotus Linotype" w:cs="Arabic11 BT"/>
          <w:sz w:val="28"/>
          <w:vertAlign w:val="superscript"/>
          <w:rtl/>
        </w:rPr>
        <w:t>)</w:t>
      </w:r>
      <w:r w:rsidR="00217AB4" w:rsidRPr="003F3B94">
        <w:rPr>
          <w:rFonts w:ascii="Lotus Linotype" w:hAnsi="Lotus Linotype" w:hint="cs"/>
          <w:sz w:val="28"/>
          <w:rtl/>
        </w:rPr>
        <w:t>.</w:t>
      </w:r>
    </w:p>
    <w:p w:rsidR="005C664D" w:rsidRPr="003F3B94" w:rsidRDefault="005C664D" w:rsidP="003762F6">
      <w:pPr>
        <w:pStyle w:val="a0"/>
        <w:rPr>
          <w:rFonts w:hint="cs"/>
          <w:rtl/>
        </w:rPr>
      </w:pPr>
      <w:r w:rsidRPr="003F3B94">
        <w:rPr>
          <w:rFonts w:ascii="Lotus Linotype" w:hAnsi="Lotus Linotype" w:hint="cs"/>
          <w:sz w:val="28"/>
          <w:rtl/>
        </w:rPr>
        <w:t>19</w:t>
      </w:r>
      <w:r w:rsidR="00217AB4" w:rsidRPr="003F3B94">
        <w:rPr>
          <w:rFonts w:ascii="Lotus Linotype" w:hAnsi="Lotus Linotype" w:hint="cs"/>
          <w:sz w:val="28"/>
          <w:rtl/>
        </w:rPr>
        <w:t>-</w:t>
      </w:r>
      <w:r w:rsidRPr="003F3B94">
        <w:rPr>
          <w:rFonts w:ascii="Lotus Linotype" w:hAnsi="Lotus Linotype" w:hint="cs"/>
          <w:sz w:val="28"/>
          <w:rtl/>
        </w:rPr>
        <w:t xml:space="preserve"> وفي الكتاب السابق ذاته رواية عن </w:t>
      </w:r>
      <w:r w:rsidRPr="003F3B94">
        <w:rPr>
          <w:rFonts w:ascii="Lotus Linotype" w:hAnsi="Lotus Linotype"/>
          <w:sz w:val="28"/>
          <w:rtl/>
        </w:rPr>
        <w:t>هارون الرشيد قال</w:t>
      </w:r>
      <w:r w:rsidR="00217AB4" w:rsidRPr="003F3B94">
        <w:rPr>
          <w:rFonts w:ascii="Lotus Linotype" w:hAnsi="Lotus Linotype"/>
          <w:sz w:val="28"/>
          <w:rtl/>
        </w:rPr>
        <w:t>:</w:t>
      </w:r>
      <w:r w:rsidR="009C37E9" w:rsidRPr="003F3B94">
        <w:rPr>
          <w:rFonts w:ascii="Lotus Linotype" w:hAnsi="Lotus Linotype" w:hint="cs"/>
          <w:sz w:val="28"/>
          <w:rtl/>
        </w:rPr>
        <w:t xml:space="preserve"> </w:t>
      </w:r>
      <w:r w:rsidR="003762F6" w:rsidRPr="003762F6">
        <w:rPr>
          <w:rFonts w:cs="KFGQPC Uthman Taha Naskh" w:hint="cs"/>
          <w:sz w:val="28"/>
          <w:rtl/>
        </w:rPr>
        <w:t>«</w:t>
      </w:r>
      <w:r w:rsidRPr="003762F6">
        <w:rPr>
          <w:rFonts w:ascii="Lotus Linotype" w:hAnsi="Lotus Linotype" w:cs="KFGQPC Uthman Taha Naskh"/>
          <w:b/>
          <w:bCs/>
          <w:sz w:val="28"/>
          <w:rtl/>
        </w:rPr>
        <w:t>رأيت في المنام كأن حسيناً قد أتاني ومعه حربة</w:t>
      </w:r>
      <w:r w:rsidR="00217AB4" w:rsidRPr="003762F6">
        <w:rPr>
          <w:rFonts w:ascii="Lotus Linotype" w:hAnsi="Lotus Linotype" w:cs="KFGQPC Uthman Taha Naskh"/>
          <w:b/>
          <w:bCs/>
          <w:sz w:val="28"/>
          <w:rtl/>
        </w:rPr>
        <w:t>،</w:t>
      </w:r>
      <w:r w:rsidRPr="003762F6">
        <w:rPr>
          <w:rFonts w:ascii="Lotus Linotype" w:hAnsi="Lotus Linotype" w:cs="KFGQPC Uthman Taha Naskh"/>
          <w:b/>
          <w:bCs/>
          <w:sz w:val="28"/>
          <w:rtl/>
        </w:rPr>
        <w:t>وقال إن خليت عن موسى بن جعفر الساعة وإلا نحرتك بهذه الحربة</w:t>
      </w:r>
      <w:r w:rsidR="00217AB4" w:rsidRPr="003762F6">
        <w:rPr>
          <w:rFonts w:ascii="Lotus Linotype" w:hAnsi="Lotus Linotype" w:cs="KFGQPC Uthman Taha Naskh"/>
          <w:b/>
          <w:bCs/>
          <w:sz w:val="28"/>
          <w:rtl/>
        </w:rPr>
        <w:t>،</w:t>
      </w:r>
      <w:r w:rsidRPr="003762F6">
        <w:rPr>
          <w:rFonts w:ascii="Lotus Linotype" w:hAnsi="Lotus Linotype" w:cs="KFGQPC Uthman Taha Naskh" w:hint="cs"/>
          <w:b/>
          <w:bCs/>
          <w:sz w:val="28"/>
          <w:rtl/>
        </w:rPr>
        <w:t xml:space="preserve"> </w:t>
      </w:r>
      <w:r w:rsidRPr="003762F6">
        <w:rPr>
          <w:rFonts w:ascii="Lotus Linotype" w:hAnsi="Lotus Linotype" w:cs="KFGQPC Uthman Taha Naskh"/>
          <w:b/>
          <w:bCs/>
          <w:sz w:val="28"/>
          <w:rtl/>
        </w:rPr>
        <w:t>فاذهب فخل عنه</w:t>
      </w:r>
      <w:r w:rsidR="00217AB4" w:rsidRPr="003762F6">
        <w:rPr>
          <w:rFonts w:ascii="Lotus Linotype" w:hAnsi="Lotus Linotype" w:cs="KFGQPC Uthman Taha Naskh"/>
          <w:b/>
          <w:bCs/>
          <w:sz w:val="28"/>
          <w:rtl/>
        </w:rPr>
        <w:t>،</w:t>
      </w:r>
      <w:r w:rsidRPr="003762F6">
        <w:rPr>
          <w:rFonts w:ascii="Lotus Linotype" w:hAnsi="Lotus Linotype" w:cs="KFGQPC Uthman Taha Naskh" w:hint="cs"/>
          <w:b/>
          <w:bCs/>
          <w:sz w:val="28"/>
          <w:rtl/>
        </w:rPr>
        <w:t xml:space="preserve"> </w:t>
      </w:r>
      <w:r w:rsidRPr="003762F6">
        <w:rPr>
          <w:rFonts w:ascii="Lotus Linotype" w:hAnsi="Lotus Linotype" w:cs="KFGQPC Uthman Taha Naskh"/>
          <w:b/>
          <w:bCs/>
          <w:sz w:val="28"/>
          <w:rtl/>
        </w:rPr>
        <w:t>وأعطه ثلاثين ألف درهم</w:t>
      </w:r>
      <w:r w:rsidR="00217AB4" w:rsidRPr="003762F6">
        <w:rPr>
          <w:rFonts w:ascii="Lotus Linotype" w:hAnsi="Lotus Linotype" w:cs="KFGQPC Uthman Taha Naskh"/>
          <w:b/>
          <w:bCs/>
          <w:sz w:val="28"/>
          <w:rtl/>
        </w:rPr>
        <w:t>،</w:t>
      </w:r>
      <w:r w:rsidRPr="003762F6">
        <w:rPr>
          <w:rFonts w:ascii="Lotus Linotype" w:hAnsi="Lotus Linotype" w:cs="KFGQPC Uthman Taha Naskh" w:hint="cs"/>
          <w:b/>
          <w:bCs/>
          <w:sz w:val="28"/>
          <w:rtl/>
        </w:rPr>
        <w:t xml:space="preserve"> </w:t>
      </w:r>
      <w:r w:rsidRPr="003762F6">
        <w:rPr>
          <w:rFonts w:ascii="Lotus Linotype" w:hAnsi="Lotus Linotype" w:cs="KFGQPC Uthman Taha Naskh"/>
          <w:b/>
          <w:bCs/>
          <w:sz w:val="28"/>
          <w:rtl/>
        </w:rPr>
        <w:t>وقل له إن أحببت المقام قبلنا فلك ما تحب</w:t>
      </w:r>
      <w:r w:rsidR="00217AB4" w:rsidRPr="003762F6">
        <w:rPr>
          <w:rFonts w:ascii="Lotus Linotype" w:hAnsi="Lotus Linotype" w:cs="KFGQPC Uthman Taha Naskh"/>
          <w:b/>
          <w:bCs/>
          <w:sz w:val="28"/>
          <w:rtl/>
        </w:rPr>
        <w:t>،</w:t>
      </w:r>
      <w:r w:rsidRPr="003762F6">
        <w:rPr>
          <w:rFonts w:ascii="Lotus Linotype" w:hAnsi="Lotus Linotype" w:cs="KFGQPC Uthman Taha Naskh" w:hint="cs"/>
          <w:b/>
          <w:bCs/>
          <w:sz w:val="28"/>
          <w:rtl/>
        </w:rPr>
        <w:t xml:space="preserve"> </w:t>
      </w:r>
      <w:r w:rsidRPr="003762F6">
        <w:rPr>
          <w:rFonts w:ascii="Lotus Linotype" w:hAnsi="Lotus Linotype" w:cs="KFGQPC Uthman Taha Naskh"/>
          <w:b/>
          <w:bCs/>
          <w:sz w:val="28"/>
          <w:rtl/>
        </w:rPr>
        <w:t>وإن أحببت المضي إلى المدينة فالإذن في ذلك لك</w:t>
      </w:r>
      <w:r w:rsidR="00217AB4" w:rsidRPr="003762F6">
        <w:rPr>
          <w:rFonts w:ascii="Lotus Linotype" w:hAnsi="Lotus Linotype" w:cs="KFGQPC Uthman Taha Naskh" w:hint="cs"/>
          <w:b/>
          <w:bCs/>
          <w:sz w:val="28"/>
          <w:rtl/>
        </w:rPr>
        <w:t>...</w:t>
      </w:r>
      <w:r w:rsidRPr="003762F6">
        <w:rPr>
          <w:rFonts w:ascii="Lotus Linotype" w:hAnsi="Lotus Linotype" w:cs="KFGQPC Uthman Taha Naskh" w:hint="cs"/>
          <w:b/>
          <w:bCs/>
          <w:sz w:val="28"/>
          <w:rtl/>
        </w:rPr>
        <w:t xml:space="preserve"> فأتاه هارون </w:t>
      </w:r>
      <w:r w:rsidRPr="003762F6">
        <w:rPr>
          <w:rFonts w:ascii="Lotus Linotype" w:hAnsi="Lotus Linotype" w:cs="KFGQPC Uthman Taha Naskh"/>
          <w:b/>
          <w:bCs/>
          <w:sz w:val="28"/>
          <w:rtl/>
        </w:rPr>
        <w:t>وأعطاه ما أمره به</w:t>
      </w:r>
      <w:r w:rsidR="00217AB4" w:rsidRPr="003762F6">
        <w:rPr>
          <w:rFonts w:ascii="Lotus Linotype" w:hAnsi="Lotus Linotype" w:cs="KFGQPC Uthman Taha Naskh" w:hint="cs"/>
          <w:sz w:val="28"/>
          <w:rtl/>
        </w:rPr>
        <w:t>...</w:t>
      </w:r>
      <w:r w:rsidR="003762F6" w:rsidRPr="003762F6">
        <w:rPr>
          <w:rFonts w:cs="KFGQPC Uthman Taha Naskh" w:hint="cs"/>
          <w:sz w:val="28"/>
          <w:rtl/>
        </w:rPr>
        <w:t xml:space="preserve"> »</w:t>
      </w:r>
      <w:r w:rsidR="003762F6" w:rsidRPr="0021507A">
        <w:rPr>
          <w:rFonts w:ascii="Lotus Linotype" w:hAnsi="Lotus Linotype" w:cs="Arabic11 BT"/>
          <w:sz w:val="28"/>
          <w:vertAlign w:val="superscript"/>
          <w:rtl/>
        </w:rPr>
        <w:t xml:space="preserve"> </w:t>
      </w:r>
      <w:r w:rsidR="009C37E9" w:rsidRPr="0021507A">
        <w:rPr>
          <w:rFonts w:ascii="Lotus Linotype" w:hAnsi="Lotus Linotype" w:cs="Arabic11 BT"/>
          <w:sz w:val="28"/>
          <w:vertAlign w:val="superscript"/>
          <w:rtl/>
        </w:rPr>
        <w:t>(</w:t>
      </w:r>
      <w:r w:rsidR="009C37E9" w:rsidRPr="0021507A">
        <w:rPr>
          <w:rStyle w:val="FootnoteReference"/>
          <w:rFonts w:ascii="Lotus Linotype" w:hAnsi="Lotus Linotype" w:cs="Arabic11 BT"/>
          <w:sz w:val="28"/>
          <w:rtl/>
        </w:rPr>
        <w:footnoteReference w:id="199"/>
      </w:r>
      <w:r w:rsidR="009C37E9" w:rsidRPr="0021507A">
        <w:rPr>
          <w:rFonts w:ascii="Lotus Linotype" w:hAnsi="Lotus Linotype" w:cs="Arabic11 BT"/>
          <w:sz w:val="28"/>
          <w:vertAlign w:val="superscript"/>
          <w:rtl/>
        </w:rPr>
        <w:t>)</w:t>
      </w:r>
    </w:p>
    <w:p w:rsidR="005C664D" w:rsidRPr="003F3B94" w:rsidRDefault="005C664D" w:rsidP="007C6940">
      <w:pPr>
        <w:pStyle w:val="a0"/>
        <w:rPr>
          <w:rFonts w:hint="cs"/>
          <w:rtl/>
        </w:rPr>
      </w:pPr>
      <w:r w:rsidRPr="003F3B94">
        <w:rPr>
          <w:rFonts w:ascii="Lotus Linotype" w:hAnsi="Lotus Linotype" w:hint="cs"/>
          <w:sz w:val="28"/>
          <w:rtl/>
        </w:rPr>
        <w:t>20</w:t>
      </w:r>
      <w:r w:rsidR="007C6940">
        <w:rPr>
          <w:rFonts w:ascii="Lotus Linotype" w:hAnsi="Lotus Linotype" w:hint="cs"/>
          <w:sz w:val="28"/>
          <w:rtl/>
        </w:rPr>
        <w:t>-</w:t>
      </w:r>
      <w:r w:rsidRPr="003F3B94">
        <w:rPr>
          <w:rFonts w:ascii="Lotus Linotype" w:hAnsi="Lotus Linotype" w:hint="cs"/>
          <w:sz w:val="28"/>
          <w:rtl/>
        </w:rPr>
        <w:t xml:space="preserve"> وفي المجلد الثاني من الكتاب السابق «مرآة الجنان»</w:t>
      </w:r>
      <w:r w:rsidRPr="003F3B94">
        <w:rPr>
          <w:sz w:val="28"/>
          <w:rtl/>
        </w:rPr>
        <w:t xml:space="preserve"> </w:t>
      </w:r>
      <w:r w:rsidRPr="003F3B94">
        <w:rPr>
          <w:rFonts w:hint="cs"/>
          <w:sz w:val="28"/>
          <w:rtl/>
        </w:rPr>
        <w:t>يروي اليافعي فيقول</w:t>
      </w:r>
      <w:r w:rsidR="00217AB4" w:rsidRPr="003F3B94">
        <w:rPr>
          <w:rFonts w:hint="cs"/>
          <w:sz w:val="28"/>
          <w:rtl/>
        </w:rPr>
        <w:t>:</w:t>
      </w:r>
      <w:r w:rsidRPr="003F3B94">
        <w:rPr>
          <w:rFonts w:hint="cs"/>
          <w:sz w:val="28"/>
          <w:rtl/>
        </w:rPr>
        <w:t xml:space="preserve"> </w:t>
      </w:r>
      <w:r w:rsidR="00EF2588" w:rsidRPr="003762F6">
        <w:rPr>
          <w:rFonts w:cs="KFGQPC Uthman Taha Naskh" w:hint="cs"/>
          <w:sz w:val="28"/>
          <w:rtl/>
        </w:rPr>
        <w:t>«</w:t>
      </w:r>
      <w:r w:rsidRPr="003762F6">
        <w:rPr>
          <w:rFonts w:cs="KFGQPC Uthman Taha Naskh" w:hint="cs"/>
          <w:b/>
          <w:bCs/>
          <w:sz w:val="28"/>
          <w:rtl/>
        </w:rPr>
        <w:t>وقال</w:t>
      </w:r>
      <w:r w:rsidRPr="003762F6">
        <w:rPr>
          <w:rFonts w:cs="KFGQPC Uthman Taha Naskh"/>
          <w:b/>
          <w:bCs/>
          <w:sz w:val="28"/>
          <w:rtl/>
        </w:rPr>
        <w:t xml:space="preserve"> المأمون يوماً لعلي</w:t>
      </w:r>
      <w:r w:rsidRPr="003762F6">
        <w:rPr>
          <w:rFonts w:cs="KFGQPC Uthman Taha Naskh" w:hint="cs"/>
          <w:b/>
          <w:bCs/>
          <w:sz w:val="28"/>
          <w:rtl/>
        </w:rPr>
        <w:t>ِّ</w:t>
      </w:r>
      <w:r w:rsidRPr="003762F6">
        <w:rPr>
          <w:rFonts w:cs="KFGQPC Uthman Taha Naskh"/>
          <w:b/>
          <w:bCs/>
          <w:sz w:val="28"/>
          <w:rtl/>
        </w:rPr>
        <w:t xml:space="preserve"> بن موسى </w:t>
      </w:r>
      <w:r w:rsidR="00217AB4" w:rsidRPr="003762F6">
        <w:rPr>
          <w:rFonts w:cs="KFGQPC Uthman Taha Naskh" w:hint="cs"/>
          <w:b/>
          <w:bCs/>
          <w:sz w:val="28"/>
          <w:rtl/>
        </w:rPr>
        <w:t>(</w:t>
      </w:r>
      <w:r w:rsidRPr="003762F6">
        <w:rPr>
          <w:rFonts w:cs="KFGQPC Uthman Taha Naskh" w:hint="cs"/>
          <w:b/>
          <w:bCs/>
          <w:sz w:val="28"/>
          <w:rtl/>
        </w:rPr>
        <w:t>أي الإمام الرضا</w:t>
      </w:r>
      <w:r w:rsidR="00147857" w:rsidRPr="003762F6">
        <w:rPr>
          <w:rFonts w:cs="KFGQPC Uthman Taha Naskh" w:hint="cs"/>
          <w:b/>
          <w:bCs/>
          <w:sz w:val="28"/>
          <w:rtl/>
        </w:rPr>
        <w:t xml:space="preserve"> </w:t>
      </w:r>
      <w:r w:rsidR="003C7AEB" w:rsidRPr="003C7AEB">
        <w:rPr>
          <w:rFonts w:ascii="Abo-thar" w:hAnsi="Abo-thar" w:cs="CTraditional Arabic"/>
          <w:b/>
          <w:sz w:val="28"/>
          <w:rtl/>
        </w:rPr>
        <w:t>÷</w:t>
      </w:r>
      <w:r w:rsidR="00217AB4" w:rsidRPr="003762F6">
        <w:rPr>
          <w:rFonts w:ascii="Abo-thar" w:hAnsi="Abo-thar" w:cs="KFGQPC Uthman Taha Naskh"/>
          <w:b/>
          <w:bCs/>
          <w:sz w:val="28"/>
          <w:rtl/>
        </w:rPr>
        <w:t>)</w:t>
      </w:r>
      <w:r w:rsidR="00217AB4" w:rsidRPr="003762F6">
        <w:rPr>
          <w:rFonts w:cs="KFGQPC Uthman Taha Naskh"/>
          <w:b/>
          <w:bCs/>
          <w:sz w:val="28"/>
          <w:rtl/>
        </w:rPr>
        <w:t>:</w:t>
      </w:r>
      <w:r w:rsidRPr="003762F6">
        <w:rPr>
          <w:rFonts w:cs="KFGQPC Uthman Taha Naskh"/>
          <w:b/>
          <w:bCs/>
          <w:sz w:val="28"/>
          <w:rtl/>
        </w:rPr>
        <w:t xml:space="preserve"> ما يقول بنو أبيك </w:t>
      </w:r>
      <w:r w:rsidR="00217AB4" w:rsidRPr="003762F6">
        <w:rPr>
          <w:rFonts w:cs="KFGQPC Uthman Taha Naskh" w:hint="cs"/>
          <w:b/>
          <w:bCs/>
          <w:sz w:val="28"/>
          <w:rtl/>
        </w:rPr>
        <w:t>(</w:t>
      </w:r>
      <w:r w:rsidRPr="003762F6">
        <w:rPr>
          <w:rFonts w:cs="KFGQPC Uthman Taha Naskh" w:hint="cs"/>
          <w:b/>
          <w:bCs/>
          <w:sz w:val="28"/>
          <w:rtl/>
        </w:rPr>
        <w:t>أي أولاد عليٍّ</w:t>
      </w:r>
      <w:r w:rsidR="00147857" w:rsidRPr="003762F6">
        <w:rPr>
          <w:rFonts w:cs="KFGQPC Uthman Taha Naskh" w:hint="cs"/>
          <w:b/>
          <w:bCs/>
          <w:sz w:val="28"/>
          <w:rtl/>
        </w:rPr>
        <w:t xml:space="preserve"> </w:t>
      </w:r>
      <w:r w:rsidR="003C7AEB" w:rsidRPr="003C7AEB">
        <w:rPr>
          <w:rFonts w:ascii="Abo-thar" w:hAnsi="Abo-thar" w:cs="CTraditional Arabic"/>
          <w:b/>
          <w:sz w:val="28"/>
          <w:rtl/>
        </w:rPr>
        <w:t>÷</w:t>
      </w:r>
      <w:r w:rsidR="00217AB4" w:rsidRPr="003762F6">
        <w:rPr>
          <w:rFonts w:ascii="Abo-thar" w:hAnsi="Abo-thar" w:cs="KFGQPC Uthman Taha Naskh"/>
          <w:b/>
          <w:bCs/>
          <w:sz w:val="28"/>
          <w:rtl/>
        </w:rPr>
        <w:t>)</w:t>
      </w:r>
      <w:r w:rsidRPr="003762F6">
        <w:rPr>
          <w:rFonts w:ascii="Abo-thar" w:hAnsi="Abo-thar" w:cs="KFGQPC Uthman Taha Naskh" w:hint="cs"/>
          <w:b/>
          <w:bCs/>
          <w:sz w:val="28"/>
          <w:rtl/>
        </w:rPr>
        <w:t xml:space="preserve"> </w:t>
      </w:r>
      <w:r w:rsidRPr="003762F6">
        <w:rPr>
          <w:rFonts w:cs="KFGQPC Uthman Taha Naskh"/>
          <w:b/>
          <w:bCs/>
          <w:sz w:val="28"/>
          <w:rtl/>
        </w:rPr>
        <w:t>في جدنا العباس بن عبد المطلب</w:t>
      </w:r>
      <w:r w:rsidR="00217AB4" w:rsidRPr="003762F6">
        <w:rPr>
          <w:rFonts w:cs="KFGQPC Uthman Taha Naskh"/>
          <w:b/>
          <w:bCs/>
          <w:sz w:val="28"/>
          <w:rtl/>
        </w:rPr>
        <w:t>؟</w:t>
      </w:r>
      <w:r w:rsidRPr="003762F6">
        <w:rPr>
          <w:rFonts w:cs="KFGQPC Uthman Taha Naskh"/>
          <w:b/>
          <w:bCs/>
          <w:sz w:val="28"/>
          <w:rtl/>
        </w:rPr>
        <w:t xml:space="preserve"> فقال</w:t>
      </w:r>
      <w:r w:rsidR="00217AB4" w:rsidRPr="003762F6">
        <w:rPr>
          <w:rFonts w:cs="KFGQPC Uthman Taha Naskh"/>
          <w:b/>
          <w:bCs/>
          <w:sz w:val="28"/>
          <w:rtl/>
        </w:rPr>
        <w:t>:</w:t>
      </w:r>
      <w:r w:rsidRPr="003762F6">
        <w:rPr>
          <w:rFonts w:cs="KFGQPC Uthman Taha Naskh"/>
          <w:b/>
          <w:bCs/>
          <w:sz w:val="28"/>
          <w:rtl/>
        </w:rPr>
        <w:t xml:space="preserve"> ما يقولون</w:t>
      </w:r>
      <w:r w:rsidR="00217AB4" w:rsidRPr="003762F6">
        <w:rPr>
          <w:rFonts w:cs="KFGQPC Uthman Taha Naskh"/>
          <w:b/>
          <w:bCs/>
          <w:sz w:val="28"/>
          <w:rtl/>
        </w:rPr>
        <w:t>؟</w:t>
      </w:r>
      <w:r w:rsidRPr="003762F6">
        <w:rPr>
          <w:rFonts w:cs="KFGQPC Uthman Taha Naskh"/>
          <w:b/>
          <w:bCs/>
          <w:sz w:val="28"/>
          <w:rtl/>
        </w:rPr>
        <w:t xml:space="preserve"> رجل فرض الله طاعة بنيه على خلقه</w:t>
      </w:r>
      <w:r w:rsidR="00217AB4" w:rsidRPr="003762F6">
        <w:rPr>
          <w:rFonts w:cs="KFGQPC Uthman Taha Naskh" w:hint="cs"/>
          <w:b/>
          <w:bCs/>
          <w:sz w:val="28"/>
          <w:rtl/>
        </w:rPr>
        <w:t>!</w:t>
      </w:r>
      <w:r w:rsidRPr="003762F6">
        <w:rPr>
          <w:rFonts w:cs="KFGQPC Uthman Taha Naskh"/>
          <w:b/>
          <w:bCs/>
          <w:sz w:val="28"/>
          <w:rtl/>
        </w:rPr>
        <w:t xml:space="preserve"> فأمر له بألف ألف درهم</w:t>
      </w:r>
      <w:r w:rsidR="00217AB4" w:rsidRPr="003762F6">
        <w:rPr>
          <w:rFonts w:cs="KFGQPC Uthman Taha Naskh" w:hint="cs"/>
          <w:b/>
          <w:bCs/>
          <w:sz w:val="28"/>
          <w:rtl/>
        </w:rPr>
        <w:t>!!</w:t>
      </w:r>
      <w:r w:rsidR="00EF2588" w:rsidRPr="003762F6">
        <w:rPr>
          <w:rFonts w:cs="KFGQPC Uthman Taha Naskh" w:hint="cs"/>
          <w:sz w:val="28"/>
          <w:rtl/>
        </w:rPr>
        <w:t>»</w:t>
      </w:r>
      <w:r w:rsidR="009C37E9" w:rsidRPr="003F3B94">
        <w:rPr>
          <w:rFonts w:ascii="Lotus Linotype" w:hAnsi="Lotus Linotype"/>
          <w:sz w:val="28"/>
          <w:vertAlign w:val="superscript"/>
          <w:rtl/>
        </w:rPr>
        <w:t xml:space="preserve"> </w:t>
      </w:r>
      <w:r w:rsidR="009C37E9" w:rsidRPr="0021507A">
        <w:rPr>
          <w:rFonts w:ascii="Lotus Linotype" w:hAnsi="Lotus Linotype" w:cs="Arabic11 BT"/>
          <w:sz w:val="28"/>
          <w:vertAlign w:val="superscript"/>
          <w:rtl/>
        </w:rPr>
        <w:t>(</w:t>
      </w:r>
      <w:r w:rsidR="009C37E9" w:rsidRPr="0021507A">
        <w:rPr>
          <w:rStyle w:val="FootnoteReference"/>
          <w:rFonts w:ascii="Lotus Linotype" w:hAnsi="Lotus Linotype" w:cs="Arabic11 BT"/>
          <w:sz w:val="28"/>
          <w:rtl/>
        </w:rPr>
        <w:footnoteReference w:id="200"/>
      </w:r>
      <w:r w:rsidR="009C37E9" w:rsidRPr="0021507A">
        <w:rPr>
          <w:rFonts w:ascii="Lotus Linotype" w:hAnsi="Lotus Linotype" w:cs="Arabic11 BT"/>
          <w:sz w:val="28"/>
          <w:vertAlign w:val="superscript"/>
          <w:rtl/>
        </w:rPr>
        <w:t>)</w:t>
      </w:r>
      <w:r w:rsidR="00217AB4" w:rsidRPr="003F3B94">
        <w:rPr>
          <w:rFonts w:hint="cs"/>
          <w:sz w:val="28"/>
          <w:rtl/>
        </w:rPr>
        <w:t>.</w:t>
      </w:r>
    </w:p>
    <w:p w:rsidR="005C664D" w:rsidRPr="003F3B94" w:rsidRDefault="005C664D" w:rsidP="006C7313">
      <w:pPr>
        <w:pStyle w:val="a0"/>
        <w:rPr>
          <w:rtl/>
        </w:rPr>
      </w:pPr>
      <w:r w:rsidRPr="003F3B94">
        <w:rPr>
          <w:rFonts w:hint="cs"/>
          <w:sz w:val="28"/>
          <w:rtl/>
        </w:rPr>
        <w:t>21</w:t>
      </w:r>
      <w:r w:rsidR="00217AB4" w:rsidRPr="003F3B94">
        <w:rPr>
          <w:rFonts w:hint="cs"/>
          <w:sz w:val="28"/>
          <w:rtl/>
        </w:rPr>
        <w:t>-</w:t>
      </w:r>
      <w:r w:rsidR="00147857" w:rsidRPr="003F3B94">
        <w:rPr>
          <w:rFonts w:hint="cs"/>
          <w:sz w:val="28"/>
          <w:rtl/>
        </w:rPr>
        <w:t xml:space="preserve"> </w:t>
      </w:r>
      <w:r w:rsidRPr="003F3B94">
        <w:rPr>
          <w:sz w:val="28"/>
          <w:rtl/>
        </w:rPr>
        <w:t>وَفِي مُهَجِ الدَّعَوَاتِ</w:t>
      </w:r>
      <w:r w:rsidRPr="003F3B94">
        <w:rPr>
          <w:rFonts w:hint="cs"/>
          <w:sz w:val="28"/>
          <w:rtl/>
        </w:rPr>
        <w:t xml:space="preserve"> للسيد ابن طاوس</w:t>
      </w:r>
      <w:r w:rsidR="00217AB4" w:rsidRPr="003F3B94">
        <w:rPr>
          <w:rFonts w:hint="cs"/>
          <w:sz w:val="28"/>
          <w:rtl/>
        </w:rPr>
        <w:t>..</w:t>
      </w:r>
      <w:r w:rsidRPr="003F3B94">
        <w:rPr>
          <w:rFonts w:hint="cs"/>
          <w:sz w:val="28"/>
          <w:rtl/>
        </w:rPr>
        <w:t xml:space="preserve"> بسنده </w:t>
      </w:r>
      <w:r w:rsidR="00EF2588" w:rsidRPr="003762F6">
        <w:rPr>
          <w:rFonts w:cs="KFGQPC Uthman Taha Naskh" w:hint="cs"/>
          <w:sz w:val="28"/>
          <w:rtl/>
        </w:rPr>
        <w:t>«</w:t>
      </w:r>
      <w:r w:rsidRPr="003762F6">
        <w:rPr>
          <w:rFonts w:cs="KFGQPC Uthman Taha Naskh" w:hint="cs"/>
          <w:b/>
          <w:bCs/>
          <w:sz w:val="28"/>
          <w:rtl/>
        </w:rPr>
        <w:t xml:space="preserve">عن </w:t>
      </w:r>
      <w:r w:rsidRPr="003762F6">
        <w:rPr>
          <w:rFonts w:cs="KFGQPC Uthman Taha Naskh"/>
          <w:b/>
          <w:bCs/>
          <w:sz w:val="28"/>
          <w:rtl/>
        </w:rPr>
        <w:t>حَكِيمَة</w:t>
      </w:r>
      <w:r w:rsidRPr="003762F6">
        <w:rPr>
          <w:rFonts w:cs="KFGQPC Uthman Taha Naskh" w:hint="cs"/>
          <w:b/>
          <w:bCs/>
          <w:sz w:val="28"/>
          <w:rtl/>
        </w:rPr>
        <w:t>َ</w:t>
      </w:r>
      <w:r w:rsidRPr="003762F6">
        <w:rPr>
          <w:rFonts w:cs="KFGQPC Uthman Taha Naskh"/>
          <w:b/>
          <w:bCs/>
          <w:sz w:val="28"/>
          <w:rtl/>
        </w:rPr>
        <w:t xml:space="preserve"> بِنْت</w:t>
      </w:r>
      <w:r w:rsidRPr="003762F6">
        <w:rPr>
          <w:rFonts w:cs="KFGQPC Uthman Taha Naskh" w:hint="cs"/>
          <w:b/>
          <w:bCs/>
          <w:sz w:val="28"/>
          <w:rtl/>
        </w:rPr>
        <w:t>ِ</w:t>
      </w:r>
      <w:r w:rsidRPr="003762F6">
        <w:rPr>
          <w:rFonts w:cs="KFGQPC Uthman Taha Naskh"/>
          <w:b/>
          <w:bCs/>
          <w:sz w:val="28"/>
          <w:rtl/>
        </w:rPr>
        <w:t xml:space="preserve"> مُحَمَّدِ بْنِ عَلِيِّ بْنِ مُوسَى بْنِ جَعْفَرٍ عَمَّةُ أَبِي مُحَمَّدٍ الحَسَنِ بْنِ عَلِيٍّ </w:t>
      </w:r>
      <w:r w:rsidR="00BC4BA9" w:rsidRPr="00BC4BA9">
        <w:rPr>
          <w:rFonts w:cs="CTraditional Arabic"/>
          <w:b/>
          <w:sz w:val="28"/>
          <w:rtl/>
        </w:rPr>
        <w:t>÷</w:t>
      </w:r>
      <w:r w:rsidRPr="003762F6">
        <w:rPr>
          <w:rFonts w:cs="KFGQPC Uthman Taha Naskh"/>
          <w:b/>
          <w:bCs/>
          <w:sz w:val="28"/>
          <w:rtl/>
        </w:rPr>
        <w:t xml:space="preserve"> </w:t>
      </w:r>
      <w:r w:rsidR="00217AB4" w:rsidRPr="003762F6">
        <w:rPr>
          <w:rFonts w:cs="KFGQPC Uthman Taha Naskh" w:hint="cs"/>
          <w:b/>
          <w:bCs/>
          <w:sz w:val="28"/>
          <w:rtl/>
        </w:rPr>
        <w:t>-</w:t>
      </w:r>
      <w:r w:rsidRPr="003762F6">
        <w:rPr>
          <w:rFonts w:cs="KFGQPC Uthman Taha Naskh" w:hint="cs"/>
          <w:b/>
          <w:bCs/>
          <w:sz w:val="28"/>
          <w:rtl/>
        </w:rPr>
        <w:t xml:space="preserve"> وَ</w:t>
      </w:r>
      <w:r w:rsidRPr="003762F6">
        <w:rPr>
          <w:rFonts w:cs="KFGQPC Uthman Taha Naskh"/>
          <w:b/>
          <w:bCs/>
          <w:sz w:val="28"/>
          <w:rtl/>
        </w:rPr>
        <w:t>ذَكَرَ قِصَّةً طَوِيلَةً جَرَتْ بَيْنَ أَبِيهَا</w:t>
      </w:r>
      <w:r w:rsidR="00BC4BA9" w:rsidRPr="00BC4BA9">
        <w:rPr>
          <w:rFonts w:cs="CTraditional Arabic"/>
          <w:b/>
          <w:sz w:val="28"/>
          <w:rtl/>
        </w:rPr>
        <w:t>÷</w:t>
      </w:r>
      <w:r w:rsidRPr="003762F6">
        <w:rPr>
          <w:rFonts w:cs="KFGQPC Uthman Taha Naskh"/>
          <w:b/>
          <w:bCs/>
          <w:sz w:val="28"/>
          <w:rtl/>
        </w:rPr>
        <w:t xml:space="preserve"> وَبَيْنَ زَوْجَتِهِ أُمِّ الْفَضْلِ بِنْتِ المَأْمُونِ وَفِيهَا ذِكْرُ الحِرْزِ المَشْهُورِ بِحِرْزِ الجَوَادِ</w:t>
      </w:r>
      <w:r w:rsidR="00BC4BA9" w:rsidRPr="00BC4BA9">
        <w:rPr>
          <w:rFonts w:cs="CTraditional Arabic"/>
          <w:b/>
          <w:sz w:val="28"/>
          <w:rtl/>
        </w:rPr>
        <w:t>÷</w:t>
      </w:r>
      <w:r w:rsidR="00217AB4" w:rsidRPr="003762F6">
        <w:rPr>
          <w:rFonts w:cs="KFGQPC Uthman Taha Naskh" w:hint="cs"/>
          <w:b/>
          <w:bCs/>
          <w:sz w:val="28"/>
          <w:rtl/>
        </w:rPr>
        <w:t>-</w:t>
      </w:r>
      <w:r w:rsidRPr="003762F6">
        <w:rPr>
          <w:rFonts w:cs="KFGQPC Uthman Taha Naskh" w:hint="cs"/>
          <w:b/>
          <w:bCs/>
          <w:sz w:val="28"/>
          <w:rtl/>
        </w:rPr>
        <w:t xml:space="preserve"> </w:t>
      </w:r>
      <w:r w:rsidRPr="003762F6">
        <w:rPr>
          <w:rFonts w:cs="KFGQPC Uthman Taha Naskh"/>
          <w:b/>
          <w:bCs/>
          <w:sz w:val="28"/>
          <w:rtl/>
        </w:rPr>
        <w:t>إِلَى أَنْ قَالَتْ</w:t>
      </w:r>
      <w:r w:rsidR="00217AB4" w:rsidRPr="003762F6">
        <w:rPr>
          <w:rFonts w:cs="KFGQPC Uthman Taha Naskh" w:hint="cs"/>
          <w:b/>
          <w:bCs/>
          <w:sz w:val="28"/>
          <w:rtl/>
        </w:rPr>
        <w:t>:</w:t>
      </w:r>
      <w:r w:rsidR="00147857" w:rsidRPr="003762F6">
        <w:rPr>
          <w:rFonts w:cs="KFGQPC Uthman Taha Naskh" w:hint="cs"/>
          <w:b/>
          <w:bCs/>
          <w:sz w:val="28"/>
          <w:rtl/>
        </w:rPr>
        <w:t xml:space="preserve"> </w:t>
      </w:r>
      <w:r w:rsidR="00EF2588" w:rsidRPr="003762F6">
        <w:rPr>
          <w:rFonts w:cs="KFGQPC Uthman Taha Naskh" w:hint="cs"/>
          <w:b/>
          <w:bCs/>
          <w:sz w:val="28"/>
          <w:rtl/>
        </w:rPr>
        <w:t>«</w:t>
      </w:r>
      <w:r w:rsidRPr="003762F6">
        <w:rPr>
          <w:rFonts w:cs="KFGQPC Uthman Taha Naskh"/>
          <w:b/>
          <w:bCs/>
          <w:sz w:val="28"/>
          <w:rtl/>
        </w:rPr>
        <w:t xml:space="preserve">قَالَ المَأْمُونُ لِيَاسِرٍ سِرْ إِلَى ابْنِ الرِّضَا </w:t>
      </w:r>
      <w:r w:rsidR="00BC4BA9" w:rsidRPr="00BC4BA9">
        <w:rPr>
          <w:rFonts w:cs="CTraditional Arabic"/>
          <w:b/>
          <w:sz w:val="28"/>
          <w:rtl/>
        </w:rPr>
        <w:t>÷</w:t>
      </w:r>
      <w:r w:rsidRPr="003762F6">
        <w:rPr>
          <w:rFonts w:cs="KFGQPC Uthman Taha Naskh"/>
          <w:b/>
          <w:bCs/>
          <w:sz w:val="28"/>
          <w:rtl/>
        </w:rPr>
        <w:t xml:space="preserve"> وَأَبْلِغْهُ عَنِّي السَّلَامَ وَاحْمِلْ إِلَيْهِ عِشْرِينَ أَلْفَ دِينَارٍ</w:t>
      </w:r>
      <w:r w:rsidR="00217AB4" w:rsidRPr="003762F6">
        <w:rPr>
          <w:rFonts w:cs="KFGQPC Uthman Taha Naskh" w:hint="cs"/>
          <w:b/>
          <w:bCs/>
          <w:sz w:val="28"/>
          <w:rtl/>
        </w:rPr>
        <w:t>..</w:t>
      </w:r>
      <w:r w:rsidR="00EF2588" w:rsidRPr="003762F6">
        <w:rPr>
          <w:rFonts w:cs="KFGQPC Uthman Taha Naskh"/>
          <w:b/>
          <w:bCs/>
          <w:sz w:val="28"/>
          <w:rtl/>
        </w:rPr>
        <w:t>»</w:t>
      </w:r>
      <w:r w:rsidR="00217AB4" w:rsidRPr="0021507A">
        <w:rPr>
          <w:rFonts w:cs="Arabic11 BT"/>
          <w:b/>
          <w:sz w:val="28"/>
          <w:vertAlign w:val="superscript"/>
          <w:rtl/>
        </w:rPr>
        <w:t>(</w:t>
      </w:r>
      <w:r w:rsidRPr="0021507A">
        <w:rPr>
          <w:rStyle w:val="FootnoteReference"/>
          <w:rFonts w:cs="Arabic11 BT"/>
          <w:b/>
          <w:sz w:val="28"/>
          <w:rtl/>
        </w:rPr>
        <w:footnoteReference w:id="201"/>
      </w:r>
      <w:r w:rsidR="00217AB4" w:rsidRPr="0021507A">
        <w:rPr>
          <w:rFonts w:cs="Arabic11 BT"/>
          <w:b/>
          <w:sz w:val="28"/>
          <w:vertAlign w:val="superscript"/>
          <w:rtl/>
        </w:rPr>
        <w:t>)</w:t>
      </w:r>
      <w:r w:rsidR="00217AB4" w:rsidRPr="003F3B94">
        <w:rPr>
          <w:rFonts w:hint="cs"/>
          <w:sz w:val="28"/>
          <w:rtl/>
        </w:rPr>
        <w:t>.</w:t>
      </w:r>
    </w:p>
    <w:p w:rsidR="009C37E9" w:rsidRPr="003F3B94" w:rsidRDefault="005C664D" w:rsidP="007C6940">
      <w:pPr>
        <w:pStyle w:val="a0"/>
        <w:spacing w:after="0"/>
        <w:rPr>
          <w:rFonts w:hint="cs"/>
          <w:rtl/>
        </w:rPr>
      </w:pPr>
      <w:r w:rsidRPr="003F3B94">
        <w:rPr>
          <w:rFonts w:hint="cs"/>
          <w:sz w:val="28"/>
          <w:rtl/>
        </w:rPr>
        <w:t>22</w:t>
      </w:r>
      <w:r w:rsidR="00217AB4" w:rsidRPr="003F3B94">
        <w:rPr>
          <w:rFonts w:hint="cs"/>
          <w:sz w:val="28"/>
          <w:rtl/>
        </w:rPr>
        <w:t>-</w:t>
      </w:r>
      <w:r w:rsidRPr="003F3B94">
        <w:rPr>
          <w:rFonts w:hint="cs"/>
          <w:sz w:val="28"/>
          <w:rtl/>
        </w:rPr>
        <w:t xml:space="preserve"> وفي </w:t>
      </w:r>
      <w:r w:rsidRPr="003F3B94">
        <w:rPr>
          <w:sz w:val="28"/>
          <w:rtl/>
        </w:rPr>
        <w:t>«</w:t>
      </w:r>
      <w:r w:rsidRPr="003F3B94">
        <w:rPr>
          <w:rFonts w:hint="cs"/>
          <w:sz w:val="28"/>
          <w:rtl/>
        </w:rPr>
        <w:t>مرآة الجنان</w:t>
      </w:r>
      <w:r w:rsidRPr="003F3B94">
        <w:rPr>
          <w:sz w:val="28"/>
          <w:rtl/>
        </w:rPr>
        <w:t>»</w:t>
      </w:r>
      <w:r w:rsidRPr="003F3B94">
        <w:rPr>
          <w:rFonts w:hint="cs"/>
          <w:sz w:val="28"/>
          <w:rtl/>
        </w:rPr>
        <w:t xml:space="preserve"> لليافعي أيضاً</w:t>
      </w:r>
      <w:r w:rsidR="00217AB4" w:rsidRPr="003F3B94">
        <w:rPr>
          <w:rFonts w:hint="cs"/>
          <w:sz w:val="28"/>
          <w:rtl/>
        </w:rPr>
        <w:t>:</w:t>
      </w:r>
      <w:r w:rsidRPr="003F3B94">
        <w:rPr>
          <w:rFonts w:hint="cs"/>
          <w:sz w:val="28"/>
          <w:rtl/>
        </w:rPr>
        <w:t xml:space="preserve"> </w:t>
      </w:r>
      <w:r w:rsidR="00EF2588" w:rsidRPr="003762F6">
        <w:rPr>
          <w:rFonts w:cs="KFGQPC Uthman Taha Naskh" w:hint="cs"/>
          <w:sz w:val="28"/>
          <w:rtl/>
        </w:rPr>
        <w:t>«</w:t>
      </w:r>
      <w:r w:rsidRPr="003762F6">
        <w:rPr>
          <w:rFonts w:cs="KFGQPC Uthman Taha Naskh"/>
          <w:b/>
          <w:bCs/>
          <w:sz w:val="28"/>
          <w:rtl/>
        </w:rPr>
        <w:t>وفيها</w:t>
      </w:r>
      <w:r w:rsidRPr="003762F6">
        <w:rPr>
          <w:rFonts w:cs="KFGQPC Uthman Taha Naskh" w:hint="cs"/>
          <w:b/>
          <w:bCs/>
          <w:sz w:val="28"/>
          <w:rtl/>
        </w:rPr>
        <w:t xml:space="preserve"> </w:t>
      </w:r>
      <w:r w:rsidR="00217AB4" w:rsidRPr="003762F6">
        <w:rPr>
          <w:rFonts w:cs="KFGQPC Uthman Taha Naskh" w:hint="cs"/>
          <w:b/>
          <w:bCs/>
          <w:sz w:val="28"/>
          <w:rtl/>
        </w:rPr>
        <w:t>(</w:t>
      </w:r>
      <w:r w:rsidRPr="003762F6">
        <w:rPr>
          <w:rFonts w:cs="KFGQPC Uthman Taha Naskh" w:hint="cs"/>
          <w:b/>
          <w:bCs/>
          <w:sz w:val="28"/>
          <w:rtl/>
        </w:rPr>
        <w:t xml:space="preserve">أي في سنة </w:t>
      </w:r>
      <w:r w:rsidRPr="003762F6">
        <w:rPr>
          <w:rFonts w:cs="KFGQPC Uthman Taha Naskh" w:hint="eastAsia"/>
          <w:b/>
          <w:bCs/>
          <w:sz w:val="28"/>
          <w:rtl/>
        </w:rPr>
        <w:t>عشرين</w:t>
      </w:r>
      <w:r w:rsidRPr="003762F6">
        <w:rPr>
          <w:rFonts w:cs="KFGQPC Uthman Taha Naskh"/>
          <w:b/>
          <w:bCs/>
          <w:sz w:val="28"/>
          <w:rtl/>
        </w:rPr>
        <w:t xml:space="preserve"> </w:t>
      </w:r>
      <w:r w:rsidRPr="003762F6">
        <w:rPr>
          <w:rFonts w:cs="KFGQPC Uthman Taha Naskh" w:hint="eastAsia"/>
          <w:b/>
          <w:bCs/>
          <w:sz w:val="28"/>
          <w:rtl/>
        </w:rPr>
        <w:t>ومائتين</w:t>
      </w:r>
      <w:r w:rsidR="00217AB4" w:rsidRPr="003762F6">
        <w:rPr>
          <w:rFonts w:cs="KFGQPC Uthman Taha Naskh" w:hint="cs"/>
          <w:b/>
          <w:bCs/>
          <w:sz w:val="28"/>
          <w:rtl/>
        </w:rPr>
        <w:t>)</w:t>
      </w:r>
      <w:r w:rsidR="00217AB4" w:rsidRPr="003762F6">
        <w:rPr>
          <w:rFonts w:cs="KFGQPC Uthman Taha Naskh"/>
          <w:b/>
          <w:bCs/>
          <w:sz w:val="28"/>
          <w:rtl/>
        </w:rPr>
        <w:t>:</w:t>
      </w:r>
      <w:r w:rsidRPr="003762F6">
        <w:rPr>
          <w:rFonts w:cs="KFGQPC Uthman Taha Naskh"/>
          <w:b/>
          <w:bCs/>
          <w:sz w:val="28"/>
          <w:rtl/>
        </w:rPr>
        <w:t xml:space="preserve"> توفي الشريف أبو جعفر محمد الجواد بن علي الرض</w:t>
      </w:r>
      <w:r w:rsidRPr="003762F6">
        <w:rPr>
          <w:rFonts w:cs="KFGQPC Uthman Taha Naskh" w:hint="cs"/>
          <w:b/>
          <w:bCs/>
          <w:sz w:val="28"/>
          <w:rtl/>
        </w:rPr>
        <w:t>ا</w:t>
      </w:r>
      <w:r w:rsidRPr="003762F6">
        <w:rPr>
          <w:rFonts w:cs="KFGQPC Uthman Taha Naskh"/>
          <w:b/>
          <w:bCs/>
          <w:sz w:val="28"/>
          <w:rtl/>
        </w:rPr>
        <w:t xml:space="preserve"> بن موسى الكاظم بن جعفر الصادق بن محمد الباقر</w:t>
      </w:r>
      <w:r w:rsidR="00217AB4" w:rsidRPr="003762F6">
        <w:rPr>
          <w:rFonts w:cs="KFGQPC Uthman Taha Naskh"/>
          <w:b/>
          <w:bCs/>
          <w:sz w:val="28"/>
          <w:rtl/>
        </w:rPr>
        <w:t>،</w:t>
      </w:r>
      <w:r w:rsidRPr="003762F6">
        <w:rPr>
          <w:rFonts w:cs="KFGQPC Uthman Taha Naskh" w:hint="cs"/>
          <w:b/>
          <w:bCs/>
          <w:sz w:val="28"/>
          <w:rtl/>
        </w:rPr>
        <w:t xml:space="preserve"> </w:t>
      </w:r>
      <w:r w:rsidRPr="003762F6">
        <w:rPr>
          <w:rFonts w:cs="KFGQPC Uthman Taha Naskh"/>
          <w:b/>
          <w:bCs/>
          <w:sz w:val="28"/>
          <w:rtl/>
        </w:rPr>
        <w:t>وعمره خمس وعشرون سنة</w:t>
      </w:r>
      <w:r w:rsidR="00217AB4" w:rsidRPr="003762F6">
        <w:rPr>
          <w:rFonts w:cs="KFGQPC Uthman Taha Naskh"/>
          <w:b/>
          <w:bCs/>
          <w:sz w:val="28"/>
          <w:rtl/>
        </w:rPr>
        <w:t>،</w:t>
      </w:r>
      <w:r w:rsidRPr="003762F6">
        <w:rPr>
          <w:rFonts w:cs="KFGQPC Uthman Taha Naskh"/>
          <w:b/>
          <w:bCs/>
          <w:sz w:val="28"/>
          <w:rtl/>
        </w:rPr>
        <w:t xml:space="preserve"> وكان المأمون قد نوه بذكره</w:t>
      </w:r>
      <w:r w:rsidR="00217AB4" w:rsidRPr="003762F6">
        <w:rPr>
          <w:rFonts w:cs="KFGQPC Uthman Taha Naskh"/>
          <w:b/>
          <w:bCs/>
          <w:sz w:val="28"/>
          <w:rtl/>
        </w:rPr>
        <w:t>،</w:t>
      </w:r>
      <w:r w:rsidRPr="003762F6">
        <w:rPr>
          <w:rFonts w:cs="KFGQPC Uthman Taha Naskh"/>
          <w:b/>
          <w:bCs/>
          <w:sz w:val="28"/>
          <w:rtl/>
        </w:rPr>
        <w:t xml:space="preserve"> وزوجه بابنته</w:t>
      </w:r>
      <w:r w:rsidR="00217AB4" w:rsidRPr="003762F6">
        <w:rPr>
          <w:rFonts w:cs="KFGQPC Uthman Taha Naskh"/>
          <w:b/>
          <w:bCs/>
          <w:sz w:val="28"/>
          <w:rtl/>
        </w:rPr>
        <w:t>،</w:t>
      </w:r>
      <w:r w:rsidRPr="003762F6">
        <w:rPr>
          <w:rFonts w:cs="KFGQPC Uthman Taha Naskh"/>
          <w:b/>
          <w:bCs/>
          <w:sz w:val="28"/>
          <w:rtl/>
        </w:rPr>
        <w:t xml:space="preserve"> وسكن بها المدينة</w:t>
      </w:r>
      <w:r w:rsidR="00217AB4" w:rsidRPr="003762F6">
        <w:rPr>
          <w:rFonts w:cs="KFGQPC Uthman Taha Naskh"/>
          <w:b/>
          <w:bCs/>
          <w:sz w:val="28"/>
          <w:rtl/>
        </w:rPr>
        <w:t>،</w:t>
      </w:r>
      <w:r w:rsidRPr="003762F6">
        <w:rPr>
          <w:rFonts w:cs="KFGQPC Uthman Taha Naskh"/>
          <w:b/>
          <w:bCs/>
          <w:sz w:val="28"/>
          <w:rtl/>
        </w:rPr>
        <w:t xml:space="preserve"> وكان المأمون ينفذ إليه في السنة ألف ألف درهم</w:t>
      </w:r>
      <w:r w:rsidR="00EF2588" w:rsidRPr="003762F6">
        <w:rPr>
          <w:rFonts w:cs="KFGQPC Uthman Taha Naskh" w:hint="cs"/>
          <w:sz w:val="28"/>
          <w:rtl/>
        </w:rPr>
        <w:t>»</w:t>
      </w:r>
      <w:r w:rsidR="009C37E9" w:rsidRPr="0021507A">
        <w:rPr>
          <w:rFonts w:cs="Arabic11 BT"/>
          <w:sz w:val="28"/>
          <w:vertAlign w:val="superscript"/>
          <w:rtl/>
        </w:rPr>
        <w:t>(</w:t>
      </w:r>
      <w:r w:rsidR="009C37E9" w:rsidRPr="0021507A">
        <w:rPr>
          <w:rStyle w:val="FootnoteReference"/>
          <w:rFonts w:cs="Arabic11 BT"/>
          <w:sz w:val="28"/>
          <w:rtl/>
        </w:rPr>
        <w:footnoteReference w:id="202"/>
      </w:r>
      <w:r w:rsidR="009C37E9" w:rsidRPr="0021507A">
        <w:rPr>
          <w:rFonts w:cs="Arabic11 BT"/>
          <w:sz w:val="28"/>
          <w:vertAlign w:val="superscript"/>
          <w:rtl/>
        </w:rPr>
        <w:t>)</w:t>
      </w:r>
      <w:r w:rsidR="00217AB4" w:rsidRPr="003F3B94">
        <w:rPr>
          <w:rFonts w:hint="cs"/>
          <w:sz w:val="28"/>
          <w:rtl/>
        </w:rPr>
        <w:t>.</w:t>
      </w:r>
      <w:r w:rsidR="00147857" w:rsidRPr="003F3B94">
        <w:rPr>
          <w:rFonts w:hint="cs"/>
          <w:sz w:val="28"/>
          <w:rtl/>
        </w:rPr>
        <w:t xml:space="preserve"> </w:t>
      </w:r>
    </w:p>
    <w:p w:rsidR="005C664D" w:rsidRPr="003F3B94" w:rsidRDefault="005C664D" w:rsidP="003F3B94">
      <w:pPr>
        <w:pStyle w:val="a0"/>
        <w:rPr>
          <w:rFonts w:hint="cs"/>
          <w:rtl/>
        </w:rPr>
      </w:pPr>
      <w:r w:rsidRPr="003F3B94">
        <w:rPr>
          <w:rFonts w:hint="cs"/>
          <w:sz w:val="28"/>
          <w:rtl/>
        </w:rPr>
        <w:t>وفي تاريخ اليعقوبي</w:t>
      </w:r>
      <w:r w:rsidR="00217AB4" w:rsidRPr="003F3B94">
        <w:rPr>
          <w:rFonts w:hint="cs"/>
          <w:sz w:val="28"/>
          <w:rtl/>
        </w:rPr>
        <w:t>:</w:t>
      </w:r>
      <w:r w:rsidRPr="003F3B94">
        <w:rPr>
          <w:rFonts w:hint="cs"/>
          <w:sz w:val="28"/>
          <w:rtl/>
        </w:rPr>
        <w:t xml:space="preserve"> </w:t>
      </w:r>
      <w:r w:rsidR="00EF2588" w:rsidRPr="003762F6">
        <w:rPr>
          <w:rFonts w:cs="KFGQPC Uthman Taha Naskh" w:hint="cs"/>
          <w:sz w:val="28"/>
          <w:rtl/>
        </w:rPr>
        <w:t>«</w:t>
      </w:r>
      <w:r w:rsidRPr="003762F6">
        <w:rPr>
          <w:rFonts w:cs="KFGQPC Uthman Taha Naskh"/>
          <w:b/>
          <w:bCs/>
          <w:sz w:val="28"/>
          <w:rtl/>
        </w:rPr>
        <w:t>وزو</w:t>
      </w:r>
      <w:r w:rsidRPr="003762F6">
        <w:rPr>
          <w:rFonts w:cs="KFGQPC Uthman Taha Naskh" w:hint="cs"/>
          <w:b/>
          <w:bCs/>
          <w:sz w:val="28"/>
          <w:rtl/>
        </w:rPr>
        <w:t>َّ</w:t>
      </w:r>
      <w:r w:rsidRPr="003762F6">
        <w:rPr>
          <w:rFonts w:cs="KFGQPC Uthman Taha Naskh"/>
          <w:b/>
          <w:bCs/>
          <w:sz w:val="28"/>
          <w:rtl/>
        </w:rPr>
        <w:t xml:space="preserve">ج </w:t>
      </w:r>
      <w:r w:rsidR="00217AB4" w:rsidRPr="003762F6">
        <w:rPr>
          <w:rFonts w:cs="KFGQPC Uthman Taha Naskh" w:hint="cs"/>
          <w:b/>
          <w:bCs/>
          <w:sz w:val="28"/>
          <w:rtl/>
        </w:rPr>
        <w:t>(</w:t>
      </w:r>
      <w:r w:rsidRPr="003762F6">
        <w:rPr>
          <w:rFonts w:cs="KFGQPC Uthman Taha Naskh" w:hint="cs"/>
          <w:b/>
          <w:bCs/>
          <w:sz w:val="28"/>
          <w:rtl/>
        </w:rPr>
        <w:t>المأمون العباسي</w:t>
      </w:r>
      <w:r w:rsidR="00217AB4" w:rsidRPr="003762F6">
        <w:rPr>
          <w:rFonts w:cs="KFGQPC Uthman Taha Naskh" w:hint="cs"/>
          <w:b/>
          <w:bCs/>
          <w:sz w:val="28"/>
          <w:rtl/>
        </w:rPr>
        <w:t>)</w:t>
      </w:r>
      <w:r w:rsidRPr="003762F6">
        <w:rPr>
          <w:rFonts w:cs="KFGQPC Uthman Taha Naskh" w:hint="cs"/>
          <w:b/>
          <w:bCs/>
          <w:sz w:val="28"/>
          <w:rtl/>
        </w:rPr>
        <w:t xml:space="preserve"> </w:t>
      </w:r>
      <w:r w:rsidRPr="003762F6">
        <w:rPr>
          <w:rFonts w:cs="KFGQPC Uthman Taha Naskh"/>
          <w:b/>
          <w:bCs/>
          <w:sz w:val="28"/>
          <w:rtl/>
        </w:rPr>
        <w:t>محمد</w:t>
      </w:r>
      <w:r w:rsidRPr="003762F6">
        <w:rPr>
          <w:rFonts w:cs="KFGQPC Uthman Taha Naskh" w:hint="cs"/>
          <w:b/>
          <w:bCs/>
          <w:sz w:val="28"/>
          <w:rtl/>
        </w:rPr>
        <w:t>َ</w:t>
      </w:r>
      <w:r w:rsidRPr="003762F6">
        <w:rPr>
          <w:rFonts w:cs="KFGQPC Uthman Taha Naskh"/>
          <w:b/>
          <w:bCs/>
          <w:sz w:val="28"/>
          <w:rtl/>
        </w:rPr>
        <w:t xml:space="preserve"> بن الرضا ابن</w:t>
      </w:r>
      <w:r w:rsidRPr="003762F6">
        <w:rPr>
          <w:rFonts w:cs="KFGQPC Uthman Taha Naskh" w:hint="cs"/>
          <w:b/>
          <w:bCs/>
          <w:sz w:val="28"/>
          <w:rtl/>
        </w:rPr>
        <w:t>َ</w:t>
      </w:r>
      <w:r w:rsidRPr="003762F6">
        <w:rPr>
          <w:rFonts w:cs="KFGQPC Uthman Taha Naskh"/>
          <w:b/>
          <w:bCs/>
          <w:sz w:val="28"/>
          <w:rtl/>
        </w:rPr>
        <w:t>ت</w:t>
      </w:r>
      <w:r w:rsidRPr="003762F6">
        <w:rPr>
          <w:rFonts w:cs="KFGQPC Uthman Taha Naskh" w:hint="cs"/>
          <w:b/>
          <w:bCs/>
          <w:sz w:val="28"/>
          <w:rtl/>
        </w:rPr>
        <w:t>َ</w:t>
      </w:r>
      <w:r w:rsidRPr="003762F6">
        <w:rPr>
          <w:rFonts w:cs="KFGQPC Uthman Taha Naskh"/>
          <w:b/>
          <w:bCs/>
          <w:sz w:val="28"/>
          <w:rtl/>
        </w:rPr>
        <w:t>ه أم</w:t>
      </w:r>
      <w:r w:rsidRPr="003762F6">
        <w:rPr>
          <w:rFonts w:cs="KFGQPC Uthman Taha Naskh" w:hint="cs"/>
          <w:b/>
          <w:bCs/>
          <w:sz w:val="28"/>
          <w:rtl/>
        </w:rPr>
        <w:t>َّ</w:t>
      </w:r>
      <w:r w:rsidRPr="003762F6">
        <w:rPr>
          <w:rFonts w:cs="KFGQPC Uthman Taha Naskh"/>
          <w:b/>
          <w:bCs/>
          <w:sz w:val="28"/>
          <w:rtl/>
        </w:rPr>
        <w:t xml:space="preserve"> الفضل وأمر له بألفي ألف درهم</w:t>
      </w:r>
      <w:r w:rsidR="00217AB4" w:rsidRPr="003762F6">
        <w:rPr>
          <w:rFonts w:cs="KFGQPC Uthman Taha Naskh"/>
          <w:b/>
          <w:bCs/>
          <w:sz w:val="28"/>
          <w:rtl/>
        </w:rPr>
        <w:t>،</w:t>
      </w:r>
      <w:r w:rsidRPr="003762F6">
        <w:rPr>
          <w:rFonts w:cs="KFGQPC Uthman Taha Naskh"/>
          <w:b/>
          <w:bCs/>
          <w:sz w:val="28"/>
          <w:rtl/>
        </w:rPr>
        <w:t xml:space="preserve"> وقال</w:t>
      </w:r>
      <w:r w:rsidR="00217AB4" w:rsidRPr="003762F6">
        <w:rPr>
          <w:rFonts w:cs="KFGQPC Uthman Taha Naskh"/>
          <w:b/>
          <w:bCs/>
          <w:sz w:val="28"/>
          <w:rtl/>
        </w:rPr>
        <w:t>:</w:t>
      </w:r>
      <w:r w:rsidRPr="003762F6">
        <w:rPr>
          <w:rFonts w:cs="KFGQPC Uthman Taha Naskh"/>
          <w:b/>
          <w:bCs/>
          <w:sz w:val="28"/>
          <w:rtl/>
        </w:rPr>
        <w:t xml:space="preserve"> إني أحببت أن أكون جداً لامرئ ولده رسول الله وعلي بن أبي طالب</w:t>
      </w:r>
      <w:r w:rsidR="00217AB4" w:rsidRPr="003762F6">
        <w:rPr>
          <w:rFonts w:cs="KFGQPC Uthman Taha Naskh" w:hint="cs"/>
          <w:b/>
          <w:bCs/>
          <w:sz w:val="28"/>
          <w:rtl/>
        </w:rPr>
        <w:t>،</w:t>
      </w:r>
      <w:r w:rsidRPr="003762F6">
        <w:rPr>
          <w:rFonts w:cs="KFGQPC Uthman Taha Naskh"/>
          <w:b/>
          <w:bCs/>
          <w:sz w:val="28"/>
          <w:rtl/>
        </w:rPr>
        <w:t xml:space="preserve"> فلم تلد منه</w:t>
      </w:r>
      <w:r w:rsidR="00F456DF" w:rsidRPr="003762F6">
        <w:rPr>
          <w:rFonts w:cs="KFGQPC Uthman Taha Naskh" w:hint="cs"/>
          <w:b/>
          <w:bCs/>
          <w:sz w:val="28"/>
          <w:rtl/>
        </w:rPr>
        <w:t>»</w:t>
      </w:r>
      <w:r w:rsidR="009C37E9" w:rsidRPr="0021507A">
        <w:rPr>
          <w:rFonts w:cs="Arabic11 BT"/>
          <w:b/>
          <w:sz w:val="28"/>
          <w:vertAlign w:val="superscript"/>
          <w:rtl/>
        </w:rPr>
        <w:t>(</w:t>
      </w:r>
      <w:r w:rsidR="009C37E9" w:rsidRPr="0021507A">
        <w:rPr>
          <w:rStyle w:val="FootnoteReference"/>
          <w:rFonts w:cs="Arabic11 BT"/>
          <w:b/>
          <w:sz w:val="28"/>
          <w:rtl/>
        </w:rPr>
        <w:footnoteReference w:id="203"/>
      </w:r>
      <w:r w:rsidR="009C37E9" w:rsidRPr="0021507A">
        <w:rPr>
          <w:rFonts w:cs="Arabic11 BT"/>
          <w:b/>
          <w:sz w:val="28"/>
          <w:vertAlign w:val="superscript"/>
          <w:rtl/>
        </w:rPr>
        <w:t>)</w:t>
      </w:r>
      <w:r w:rsidR="00217AB4" w:rsidRPr="003F3B94">
        <w:rPr>
          <w:rFonts w:hint="cs"/>
          <w:b/>
          <w:bCs/>
          <w:sz w:val="28"/>
          <w:rtl/>
        </w:rPr>
        <w:t>.</w:t>
      </w:r>
    </w:p>
    <w:p w:rsidR="005C664D" w:rsidRPr="003F3B94" w:rsidRDefault="005C664D" w:rsidP="003F3B94">
      <w:pPr>
        <w:pStyle w:val="a0"/>
        <w:rPr>
          <w:rFonts w:hint="cs"/>
          <w:rtl/>
        </w:rPr>
      </w:pPr>
      <w:r w:rsidRPr="003F3B94">
        <w:rPr>
          <w:rFonts w:hint="cs"/>
          <w:sz w:val="28"/>
          <w:rtl/>
        </w:rPr>
        <w:t>23</w:t>
      </w:r>
      <w:r w:rsidR="00217AB4" w:rsidRPr="003F3B94">
        <w:rPr>
          <w:rFonts w:hint="cs"/>
          <w:sz w:val="28"/>
          <w:rtl/>
        </w:rPr>
        <w:t>-</w:t>
      </w:r>
      <w:r w:rsidR="00147857" w:rsidRPr="003F3B94">
        <w:rPr>
          <w:rFonts w:hint="cs"/>
          <w:sz w:val="28"/>
          <w:rtl/>
        </w:rPr>
        <w:t xml:space="preserve"> </w:t>
      </w:r>
      <w:r w:rsidRPr="003F3B94">
        <w:rPr>
          <w:rFonts w:hint="cs"/>
          <w:sz w:val="28"/>
          <w:rtl/>
        </w:rPr>
        <w:t xml:space="preserve">وَرَوَى </w:t>
      </w:r>
      <w:r w:rsidRPr="003F3B94">
        <w:rPr>
          <w:sz w:val="28"/>
          <w:rtl/>
        </w:rPr>
        <w:t>الشَّيْخُ المُفِيدُ فِي الْإِرْشَادِ</w:t>
      </w:r>
      <w:r w:rsidR="00217AB4" w:rsidRPr="003F3B94">
        <w:rPr>
          <w:sz w:val="28"/>
          <w:rtl/>
        </w:rPr>
        <w:t>،</w:t>
      </w:r>
      <w:r w:rsidRPr="003F3B94">
        <w:rPr>
          <w:sz w:val="28"/>
          <w:rtl/>
        </w:rPr>
        <w:t xml:space="preserve"> عَنْ جَعْفَرِ بْنِ مُحَمَّدِ بْنِ قُولَوَيْهِ عَنْ مُحَمَّدِ بْنِ يَعْقُوبَ الْكُلَيْنِيِّ عَنْ عَلِيِّ بْنِ مُحَمَّدٍ عَنْ إِبْرَاهِيمَ بْنِ مُحَمَّدٍ الطَّاهِرِيِّ قَالَ</w:t>
      </w:r>
      <w:r w:rsidR="00217AB4" w:rsidRPr="003F3B94">
        <w:rPr>
          <w:rFonts w:hint="cs"/>
          <w:sz w:val="28"/>
          <w:rtl/>
        </w:rPr>
        <w:t>:</w:t>
      </w:r>
      <w:r w:rsidRPr="003F3B94">
        <w:rPr>
          <w:sz w:val="28"/>
          <w:rtl/>
        </w:rPr>
        <w:t xml:space="preserve"> </w:t>
      </w:r>
      <w:r w:rsidR="00EF2588" w:rsidRPr="003762F6">
        <w:rPr>
          <w:rFonts w:cs="KFGQPC Uthman Taha Naskh" w:hint="cs"/>
          <w:sz w:val="28"/>
          <w:rtl/>
        </w:rPr>
        <w:t>«</w:t>
      </w:r>
      <w:r w:rsidRPr="003762F6">
        <w:rPr>
          <w:rFonts w:cs="KFGQPC Uthman Taha Naskh"/>
          <w:b/>
          <w:bCs/>
          <w:sz w:val="28"/>
          <w:rtl/>
        </w:rPr>
        <w:t xml:space="preserve">مَرِضَ المُتَوَكِّلُ وَذَكَرَ كَيْفِيَّةَ شِفَائِهِ بِمُعَالَجَةِ الْإِمَامِ أَبِي الحَسَنِ </w:t>
      </w:r>
      <w:r w:rsidR="00BC4BA9" w:rsidRPr="00BC4BA9">
        <w:rPr>
          <w:rFonts w:cs="CTraditional Arabic"/>
          <w:b/>
          <w:sz w:val="28"/>
          <w:rtl/>
        </w:rPr>
        <w:t>÷</w:t>
      </w:r>
      <w:r w:rsidRPr="003762F6">
        <w:rPr>
          <w:rFonts w:cs="KFGQPC Uthman Taha Naskh"/>
          <w:b/>
          <w:bCs/>
          <w:sz w:val="28"/>
          <w:rtl/>
        </w:rPr>
        <w:t xml:space="preserve"> وَأَنَّ أُمَّهُ حَمَلَتْ إِلَيْهِ </w:t>
      </w:r>
      <w:r w:rsidR="00BC4BA9" w:rsidRPr="00BC4BA9">
        <w:rPr>
          <w:rFonts w:cs="CTraditional Arabic"/>
          <w:b/>
          <w:sz w:val="28"/>
          <w:rtl/>
        </w:rPr>
        <w:t>÷</w:t>
      </w:r>
      <w:r w:rsidRPr="003762F6">
        <w:rPr>
          <w:rFonts w:cs="KFGQPC Uthman Taha Naskh"/>
          <w:b/>
          <w:bCs/>
          <w:sz w:val="28"/>
          <w:rtl/>
        </w:rPr>
        <w:t xml:space="preserve"> عَشَرَةَ آلَافِ دِينَارٍ لَمَّا بُشِّرَتْ بِعَافِيَةِ وَلَدِهَا</w:t>
      </w:r>
      <w:r w:rsidR="00217AB4" w:rsidRPr="003762F6">
        <w:rPr>
          <w:rFonts w:cs="KFGQPC Uthman Taha Naskh" w:hint="cs"/>
          <w:sz w:val="28"/>
          <w:rtl/>
        </w:rPr>
        <w:t>.</w:t>
      </w:r>
      <w:r w:rsidR="006C7313">
        <w:rPr>
          <w:rFonts w:cs="KFGQPC Uthman Taha Naskh" w:hint="cs"/>
          <w:sz w:val="28"/>
          <w:rtl/>
        </w:rPr>
        <w:t>..</w:t>
      </w:r>
      <w:r w:rsidR="00EF2588" w:rsidRPr="003762F6">
        <w:rPr>
          <w:rFonts w:cs="KFGQPC Uthman Taha Naskh" w:hint="cs"/>
          <w:sz w:val="28"/>
          <w:rtl/>
        </w:rPr>
        <w:t>»</w:t>
      </w:r>
      <w:r w:rsidR="00217AB4" w:rsidRPr="0021507A">
        <w:rPr>
          <w:rFonts w:cs="Arabic11 BT"/>
          <w:b/>
          <w:sz w:val="28"/>
          <w:vertAlign w:val="superscript"/>
          <w:rtl/>
        </w:rPr>
        <w:t>(</w:t>
      </w:r>
      <w:r w:rsidRPr="0021507A">
        <w:rPr>
          <w:rStyle w:val="FootnoteReference"/>
          <w:rFonts w:cs="Arabic11 BT"/>
          <w:b/>
          <w:sz w:val="28"/>
          <w:rtl/>
        </w:rPr>
        <w:footnoteReference w:id="204"/>
      </w:r>
      <w:r w:rsidR="00217AB4" w:rsidRPr="0021507A">
        <w:rPr>
          <w:rFonts w:cs="Arabic11 BT"/>
          <w:b/>
          <w:sz w:val="28"/>
          <w:vertAlign w:val="superscript"/>
          <w:rtl/>
        </w:rPr>
        <w:t>)</w:t>
      </w:r>
      <w:r w:rsidR="00217AB4" w:rsidRPr="003F3B94">
        <w:rPr>
          <w:rFonts w:hint="cs"/>
          <w:sz w:val="28"/>
          <w:rtl/>
        </w:rPr>
        <w:t>.</w:t>
      </w:r>
    </w:p>
    <w:p w:rsidR="005C664D" w:rsidRPr="003F3B94" w:rsidRDefault="005C664D" w:rsidP="007C6940">
      <w:pPr>
        <w:pStyle w:val="a0"/>
        <w:rPr>
          <w:rFonts w:hint="cs"/>
          <w:rtl/>
        </w:rPr>
      </w:pPr>
      <w:r w:rsidRPr="003F3B94">
        <w:rPr>
          <w:rFonts w:hint="cs"/>
          <w:sz w:val="28"/>
          <w:rtl/>
        </w:rPr>
        <w:t>24</w:t>
      </w:r>
      <w:r w:rsidR="00217AB4" w:rsidRPr="003F3B94">
        <w:rPr>
          <w:rFonts w:hint="cs"/>
          <w:sz w:val="28"/>
          <w:rtl/>
        </w:rPr>
        <w:t>-</w:t>
      </w:r>
      <w:r w:rsidR="00147857" w:rsidRPr="003F3B94">
        <w:rPr>
          <w:rFonts w:hint="cs"/>
          <w:sz w:val="28"/>
          <w:rtl/>
        </w:rPr>
        <w:t xml:space="preserve"> و</w:t>
      </w:r>
      <w:r w:rsidRPr="003F3B94">
        <w:rPr>
          <w:rFonts w:hint="cs"/>
          <w:sz w:val="28"/>
          <w:rtl/>
        </w:rPr>
        <w:t xml:space="preserve">روى المؤرخ </w:t>
      </w:r>
      <w:r w:rsidRPr="003F3B94">
        <w:rPr>
          <w:sz w:val="28"/>
          <w:rtl/>
        </w:rPr>
        <w:t xml:space="preserve">عَلِيُّ بْنُ الحُسَيْنِ المَسْعُودِيُّ فِي </w:t>
      </w:r>
      <w:r w:rsidRPr="003F3B94">
        <w:rPr>
          <w:rFonts w:ascii="Lotus Linotype" w:hAnsi="Lotus Linotype"/>
          <w:sz w:val="28"/>
          <w:rtl/>
        </w:rPr>
        <w:t>«</w:t>
      </w:r>
      <w:r w:rsidRPr="003F3B94">
        <w:rPr>
          <w:sz w:val="28"/>
          <w:rtl/>
        </w:rPr>
        <w:t>مُرُوجِ الذَّهَبِ</w:t>
      </w:r>
      <w:r w:rsidRPr="003F3B94">
        <w:rPr>
          <w:rFonts w:ascii="Lotus Linotype" w:hAnsi="Lotus Linotype"/>
          <w:sz w:val="28"/>
          <w:rtl/>
        </w:rPr>
        <w:t>»</w:t>
      </w:r>
      <w:r w:rsidRPr="003F3B94">
        <w:rPr>
          <w:sz w:val="28"/>
          <w:rtl/>
        </w:rPr>
        <w:t xml:space="preserve"> قَالَ</w:t>
      </w:r>
      <w:r w:rsidR="00217AB4" w:rsidRPr="003F3B94">
        <w:rPr>
          <w:rFonts w:hint="cs"/>
          <w:sz w:val="28"/>
          <w:rtl/>
        </w:rPr>
        <w:t>:</w:t>
      </w:r>
      <w:r w:rsidRPr="003F3B94">
        <w:rPr>
          <w:sz w:val="28"/>
          <w:rtl/>
        </w:rPr>
        <w:t xml:space="preserve"> </w:t>
      </w:r>
      <w:r w:rsidR="00EF2588" w:rsidRPr="003762F6">
        <w:rPr>
          <w:rFonts w:cs="KFGQPC Uthman Taha Naskh" w:hint="cs"/>
          <w:sz w:val="28"/>
          <w:rtl/>
        </w:rPr>
        <w:t>«</w:t>
      </w:r>
      <w:r w:rsidRPr="003762F6">
        <w:rPr>
          <w:rFonts w:cs="KFGQPC Uthman Taha Naskh"/>
          <w:b/>
          <w:bCs/>
          <w:sz w:val="28"/>
          <w:rtl/>
        </w:rPr>
        <w:t xml:space="preserve">سُعِيَ إِلَى المُتَوَكِّلِ بِعَلِيِّ بْنِ مُحَمَّدٍ الجَوَادِ </w:t>
      </w:r>
      <w:r w:rsidR="00BC4BA9" w:rsidRPr="00BC4BA9">
        <w:rPr>
          <w:rFonts w:cs="CTraditional Arabic"/>
          <w:b/>
          <w:sz w:val="28"/>
          <w:rtl/>
        </w:rPr>
        <w:t>÷</w:t>
      </w:r>
      <w:r w:rsidRPr="003762F6">
        <w:rPr>
          <w:rFonts w:cs="KFGQPC Uthman Taha Naskh"/>
          <w:b/>
          <w:bCs/>
          <w:sz w:val="28"/>
          <w:rtl/>
        </w:rPr>
        <w:t xml:space="preserve"> إِلَى أَنْ ذَكَرَ بَعْثَهُ جَمَاعَةً مِنَ الْأَتْرَاكِ فَهَجَمُوا دَارَهُ لَيْلًا وَحَمَلُوهُ إِلَيْهِ إِلَى أَنْ قَالَ</w:t>
      </w:r>
      <w:r w:rsidR="00260DE3">
        <w:rPr>
          <w:rFonts w:cs="KFGQPC Uthman Taha Naskh" w:hint="cs"/>
          <w:b/>
          <w:bCs/>
          <w:sz w:val="28"/>
          <w:rtl/>
        </w:rPr>
        <w:t>:</w:t>
      </w:r>
      <w:r w:rsidRPr="003762F6">
        <w:rPr>
          <w:rFonts w:cs="KFGQPC Uthman Taha Naskh"/>
          <w:b/>
          <w:bCs/>
          <w:sz w:val="28"/>
          <w:rtl/>
        </w:rPr>
        <w:t xml:space="preserve"> فَبَكَى المُتَوَكِّلُ حَتَّى بَلَّتْ لِحْيَتَهُ دُمُوعُ عَيْنَيْهِ وَبَكَى الحَاضِرُونَ وَدَفَعَ إِلَى عَلِيٍّ</w:t>
      </w:r>
      <w:r w:rsidR="00BC4BA9" w:rsidRPr="00BC4BA9">
        <w:rPr>
          <w:rFonts w:cs="CTraditional Arabic"/>
          <w:b/>
          <w:sz w:val="28"/>
          <w:rtl/>
        </w:rPr>
        <w:t>÷</w:t>
      </w:r>
      <w:r w:rsidRPr="003762F6">
        <w:rPr>
          <w:rFonts w:cs="KFGQPC Uthman Taha Naskh"/>
          <w:b/>
          <w:bCs/>
          <w:sz w:val="28"/>
          <w:rtl/>
        </w:rPr>
        <w:t xml:space="preserve"> أَرْبَعَةَ آلَافِ دِينَارٍ ثُمَّ رَدَّهُ إِلَى مَنْزِلِهِ مُكَرَّماً</w:t>
      </w:r>
      <w:r w:rsidR="00EF2588" w:rsidRPr="003762F6">
        <w:rPr>
          <w:rFonts w:cs="KFGQPC Uthman Taha Naskh" w:hint="cs"/>
          <w:sz w:val="28"/>
          <w:rtl/>
        </w:rPr>
        <w:t>»</w:t>
      </w:r>
      <w:r w:rsidR="00217AB4" w:rsidRPr="0021507A">
        <w:rPr>
          <w:rFonts w:cs="Arabic11 BT"/>
          <w:b/>
          <w:sz w:val="28"/>
          <w:vertAlign w:val="superscript"/>
          <w:rtl/>
        </w:rPr>
        <w:t>(</w:t>
      </w:r>
      <w:r w:rsidRPr="0021507A">
        <w:rPr>
          <w:rStyle w:val="FootnoteReference"/>
          <w:rFonts w:cs="Arabic11 BT"/>
          <w:b/>
          <w:sz w:val="28"/>
          <w:rtl/>
        </w:rPr>
        <w:footnoteReference w:id="205"/>
      </w:r>
      <w:r w:rsidR="00217AB4" w:rsidRPr="0021507A">
        <w:rPr>
          <w:rFonts w:cs="Arabic11 BT"/>
          <w:b/>
          <w:sz w:val="28"/>
          <w:vertAlign w:val="superscript"/>
          <w:rtl/>
        </w:rPr>
        <w:t>)</w:t>
      </w:r>
      <w:r w:rsidR="00217AB4" w:rsidRPr="003F3B94">
        <w:rPr>
          <w:rFonts w:hint="cs"/>
          <w:sz w:val="28"/>
          <w:rtl/>
        </w:rPr>
        <w:t>.</w:t>
      </w:r>
    </w:p>
    <w:p w:rsidR="005C664D" w:rsidRPr="003F3B94" w:rsidRDefault="005C664D" w:rsidP="003F3B94">
      <w:pPr>
        <w:pStyle w:val="a0"/>
        <w:rPr>
          <w:rFonts w:hint="cs"/>
          <w:rtl/>
        </w:rPr>
      </w:pPr>
      <w:r w:rsidRPr="003F3B94">
        <w:rPr>
          <w:rFonts w:hint="cs"/>
          <w:sz w:val="28"/>
          <w:rtl/>
        </w:rPr>
        <w:t>25</w:t>
      </w:r>
      <w:r w:rsidR="00217AB4" w:rsidRPr="003F3B94">
        <w:rPr>
          <w:rFonts w:hint="cs"/>
          <w:sz w:val="28"/>
          <w:rtl/>
        </w:rPr>
        <w:t>-</w:t>
      </w:r>
      <w:r w:rsidRPr="003F3B94">
        <w:rPr>
          <w:rFonts w:hint="cs"/>
          <w:sz w:val="28"/>
          <w:rtl/>
        </w:rPr>
        <w:t xml:space="preserve"> وفي قصة إحضار المتوكل لحضرة الإمام الهادي [علي بن محمد] </w:t>
      </w:r>
      <w:r w:rsidR="003C7AEB" w:rsidRPr="003C7AEB">
        <w:rPr>
          <w:rFonts w:cs="CTraditional Arabic" w:hint="cs"/>
          <w:sz w:val="28"/>
          <w:rtl/>
        </w:rPr>
        <w:t>إ</w:t>
      </w:r>
      <w:r w:rsidR="00217AB4" w:rsidRPr="003F3B94">
        <w:rPr>
          <w:rFonts w:hint="cs"/>
          <w:sz w:val="28"/>
          <w:rtl/>
        </w:rPr>
        <w:t>،</w:t>
      </w:r>
      <w:r w:rsidRPr="003F3B94">
        <w:rPr>
          <w:rFonts w:hint="cs"/>
          <w:sz w:val="28"/>
          <w:rtl/>
        </w:rPr>
        <w:t xml:space="preserve"> وقراءة الإمام الهادي للأبيات الشهيرة</w:t>
      </w:r>
      <w:r w:rsidR="00217AB4" w:rsidRPr="003F3B94">
        <w:rPr>
          <w:rFonts w:hint="cs"/>
          <w:sz w:val="28"/>
          <w:rtl/>
        </w:rPr>
        <w:t>:</w:t>
      </w:r>
      <w:r w:rsidRPr="003F3B94">
        <w:rPr>
          <w:rFonts w:hint="cs"/>
          <w:sz w:val="28"/>
          <w:rtl/>
        </w:rPr>
        <w:t xml:space="preserve"> </w:t>
      </w:r>
    </w:p>
    <w:p w:rsidR="005C664D" w:rsidRPr="003F3B94" w:rsidRDefault="005C664D" w:rsidP="007C6940">
      <w:pPr>
        <w:pStyle w:val="a0"/>
        <w:ind w:firstLine="0"/>
        <w:jc w:val="center"/>
        <w:rPr>
          <w:rtl/>
        </w:rPr>
      </w:pPr>
      <w:r w:rsidRPr="003F3B94">
        <w:rPr>
          <w:sz w:val="28"/>
          <w:rtl/>
        </w:rPr>
        <w:t>بَاتُوا عَلَى قُلَلِ الْأَجْبَالِ تَحْرُسُهُمْ</w:t>
      </w:r>
      <w:r w:rsidR="007C6940">
        <w:rPr>
          <w:rFonts w:hint="cs"/>
          <w:sz w:val="28"/>
          <w:rtl/>
        </w:rPr>
        <w:tab/>
      </w:r>
      <w:r w:rsidR="00147857" w:rsidRPr="003F3B94">
        <w:rPr>
          <w:sz w:val="28"/>
          <w:rtl/>
        </w:rPr>
        <w:t xml:space="preserve"> </w:t>
      </w:r>
      <w:r w:rsidRPr="003F3B94">
        <w:rPr>
          <w:sz w:val="28"/>
          <w:rtl/>
        </w:rPr>
        <w:t>غُلْبُ الرِّجَالِ فَلَمْ تَنْفَعْهُمُ الْقُلَل‏</w:t>
      </w:r>
    </w:p>
    <w:p w:rsidR="005C664D" w:rsidRPr="003F3B94" w:rsidRDefault="005C664D" w:rsidP="003F3B94">
      <w:pPr>
        <w:pStyle w:val="a0"/>
        <w:rPr>
          <w:rFonts w:hint="cs"/>
          <w:rtl/>
        </w:rPr>
      </w:pPr>
      <w:r w:rsidRPr="003F3B94">
        <w:rPr>
          <w:sz w:val="28"/>
          <w:rtl/>
        </w:rPr>
        <w:t>قَالَ</w:t>
      </w:r>
      <w:r w:rsidR="00217AB4" w:rsidRPr="003F3B94">
        <w:rPr>
          <w:rFonts w:hint="cs"/>
          <w:sz w:val="28"/>
          <w:rtl/>
        </w:rPr>
        <w:t>:</w:t>
      </w:r>
      <w:r w:rsidRPr="003F3B94">
        <w:rPr>
          <w:sz w:val="28"/>
          <w:rtl/>
        </w:rPr>
        <w:t xml:space="preserve"> فَبَكَى المُتَوَكِّلُ حَتَّى بَلَّتْ لِحْيَتَهُ دُمُوعُ عَيْنَيْهِ وَبَكَى الحَاضِرُونَ</w:t>
      </w:r>
      <w:r w:rsidRPr="003F3B94">
        <w:rPr>
          <w:b/>
          <w:bCs/>
          <w:sz w:val="28"/>
          <w:rtl/>
        </w:rPr>
        <w:t xml:space="preserve"> وَ</w:t>
      </w:r>
      <w:r w:rsidRPr="003F3B94">
        <w:rPr>
          <w:rFonts w:hint="cs"/>
          <w:b/>
          <w:bCs/>
          <w:sz w:val="28"/>
          <w:rtl/>
        </w:rPr>
        <w:t>قَالَ</w:t>
      </w:r>
      <w:r w:rsidR="00217AB4" w:rsidRPr="003F3B94">
        <w:rPr>
          <w:rFonts w:hint="cs"/>
          <w:b/>
          <w:bCs/>
          <w:sz w:val="28"/>
          <w:rtl/>
        </w:rPr>
        <w:t>:</w:t>
      </w:r>
      <w:r w:rsidRPr="003F3B94">
        <w:rPr>
          <w:rFonts w:hint="cs"/>
          <w:b/>
          <w:bCs/>
          <w:sz w:val="28"/>
          <w:rtl/>
        </w:rPr>
        <w:t xml:space="preserve"> يا أَبَا الحَسَن عَلَيْكَ دَيْنٌ</w:t>
      </w:r>
      <w:r w:rsidR="00217AB4" w:rsidRPr="003F3B94">
        <w:rPr>
          <w:rFonts w:hint="cs"/>
          <w:b/>
          <w:bCs/>
          <w:sz w:val="28"/>
          <w:rtl/>
        </w:rPr>
        <w:t>؟</w:t>
      </w:r>
      <w:r w:rsidRPr="003F3B94">
        <w:rPr>
          <w:rFonts w:hint="cs"/>
          <w:b/>
          <w:bCs/>
          <w:sz w:val="28"/>
          <w:rtl/>
        </w:rPr>
        <w:t xml:space="preserve"> قَالَ</w:t>
      </w:r>
      <w:r w:rsidR="00217AB4" w:rsidRPr="003F3B94">
        <w:rPr>
          <w:rFonts w:hint="cs"/>
          <w:b/>
          <w:bCs/>
          <w:sz w:val="28"/>
          <w:rtl/>
        </w:rPr>
        <w:t>:</w:t>
      </w:r>
      <w:r w:rsidRPr="003F3B94">
        <w:rPr>
          <w:rFonts w:hint="cs"/>
          <w:b/>
          <w:bCs/>
          <w:sz w:val="28"/>
          <w:rtl/>
        </w:rPr>
        <w:t xml:space="preserve"> نَعَمْ </w:t>
      </w:r>
      <w:r w:rsidRPr="003F3B94">
        <w:rPr>
          <w:b/>
          <w:bCs/>
          <w:sz w:val="28"/>
          <w:rtl/>
        </w:rPr>
        <w:t>أَرْبَعَة</w:t>
      </w:r>
      <w:r w:rsidRPr="003F3B94">
        <w:rPr>
          <w:rFonts w:hint="cs"/>
          <w:b/>
          <w:bCs/>
          <w:sz w:val="28"/>
          <w:rtl/>
        </w:rPr>
        <w:t>ُ</w:t>
      </w:r>
      <w:r w:rsidRPr="003F3B94">
        <w:rPr>
          <w:b/>
          <w:bCs/>
          <w:sz w:val="28"/>
          <w:rtl/>
        </w:rPr>
        <w:t xml:space="preserve"> آلَافِ دِينَارٍ</w:t>
      </w:r>
      <w:r w:rsidR="00217AB4" w:rsidRPr="003F3B94">
        <w:rPr>
          <w:rFonts w:hint="cs"/>
          <w:b/>
          <w:bCs/>
          <w:sz w:val="28"/>
          <w:rtl/>
        </w:rPr>
        <w:t>،</w:t>
      </w:r>
      <w:r w:rsidRPr="003F3B94">
        <w:rPr>
          <w:rFonts w:hint="cs"/>
          <w:b/>
          <w:bCs/>
          <w:sz w:val="28"/>
          <w:rtl/>
        </w:rPr>
        <w:t xml:space="preserve"> فأمَرَ بدفْعِهَا إلَيْهِ</w:t>
      </w:r>
      <w:r w:rsidR="00147857" w:rsidRPr="003F3B94">
        <w:rPr>
          <w:rFonts w:hint="cs"/>
          <w:b/>
          <w:bCs/>
          <w:sz w:val="28"/>
          <w:rtl/>
        </w:rPr>
        <w:t xml:space="preserve"> </w:t>
      </w:r>
      <w:r w:rsidRPr="003F3B94">
        <w:rPr>
          <w:b/>
          <w:bCs/>
          <w:sz w:val="28"/>
          <w:rtl/>
        </w:rPr>
        <w:t>وَرَدَّهُ إِلَى مَنْزِلِهِ مُكَرَّماً</w:t>
      </w:r>
      <w:r w:rsidR="00217AB4" w:rsidRPr="0021507A">
        <w:rPr>
          <w:rFonts w:cs="Arabic11 BT"/>
          <w:b/>
          <w:sz w:val="28"/>
          <w:vertAlign w:val="superscript"/>
          <w:rtl/>
        </w:rPr>
        <w:t>(</w:t>
      </w:r>
      <w:r w:rsidRPr="0021507A">
        <w:rPr>
          <w:rStyle w:val="FootnoteReference"/>
          <w:rFonts w:cs="Arabic11 BT"/>
          <w:b/>
          <w:sz w:val="28"/>
          <w:rtl/>
        </w:rPr>
        <w:footnoteReference w:id="206"/>
      </w:r>
      <w:r w:rsidR="00217AB4" w:rsidRPr="0021507A">
        <w:rPr>
          <w:rFonts w:cs="Arabic11 BT"/>
          <w:b/>
          <w:sz w:val="28"/>
          <w:vertAlign w:val="superscript"/>
          <w:rtl/>
        </w:rPr>
        <w:t>)</w:t>
      </w:r>
      <w:r w:rsidR="00217AB4" w:rsidRPr="003F3B94">
        <w:rPr>
          <w:rFonts w:hint="cs"/>
          <w:sz w:val="28"/>
          <w:rtl/>
        </w:rPr>
        <w:t>.</w:t>
      </w:r>
    </w:p>
    <w:p w:rsidR="00B20083" w:rsidRPr="003F3B94" w:rsidRDefault="00B20083" w:rsidP="00A33EB8">
      <w:pPr>
        <w:widowControl w:val="0"/>
        <w:jc w:val="center"/>
        <w:rPr>
          <w:rFonts w:ascii="mylotus" w:hAnsi="mylotus" w:cs="mylotus"/>
          <w:b/>
          <w:bCs/>
          <w:sz w:val="28"/>
          <w:rtl/>
        </w:rPr>
      </w:pPr>
      <w:r w:rsidRPr="00A33EB8">
        <w:rPr>
          <w:rFonts w:ascii="mylotus" w:hAnsi="mylotus" w:cs="B Lotus"/>
          <w:b/>
          <w:bCs/>
          <w:sz w:val="28"/>
          <w:rtl/>
        </w:rPr>
        <w:t>***</w:t>
      </w:r>
    </w:p>
    <w:p w:rsidR="005C664D" w:rsidRPr="007C6940" w:rsidRDefault="005C664D" w:rsidP="00430501">
      <w:pPr>
        <w:pStyle w:val="a0"/>
        <w:rPr>
          <w:rFonts w:hint="cs"/>
          <w:spacing w:val="-3"/>
          <w:rtl/>
          <w:lang w:bidi="ar-SY"/>
        </w:rPr>
      </w:pPr>
      <w:r w:rsidRPr="007C6940">
        <w:rPr>
          <w:rFonts w:hint="cs"/>
          <w:spacing w:val="-3"/>
          <w:sz w:val="28"/>
          <w:rtl/>
        </w:rPr>
        <w:t xml:space="preserve">لقد روينا في هذه الرسالة بعض النماذج عن أخبار ما كان يأخذه الأئمة </w:t>
      </w:r>
      <w:r w:rsidR="00217AB4" w:rsidRPr="007C6940">
        <w:rPr>
          <w:rFonts w:hint="cs"/>
          <w:spacing w:val="-3"/>
          <w:sz w:val="28"/>
          <w:rtl/>
        </w:rPr>
        <w:t>(</w:t>
      </w:r>
      <w:r w:rsidRPr="007C6940">
        <w:rPr>
          <w:rFonts w:hint="cs"/>
          <w:spacing w:val="-3"/>
          <w:sz w:val="28"/>
          <w:rtl/>
        </w:rPr>
        <w:t>الإثني عشـر</w:t>
      </w:r>
      <w:r w:rsidR="00217AB4" w:rsidRPr="007C6940">
        <w:rPr>
          <w:rFonts w:hint="cs"/>
          <w:spacing w:val="-3"/>
          <w:sz w:val="28"/>
          <w:rtl/>
        </w:rPr>
        <w:t>)</w:t>
      </w:r>
      <w:r w:rsidRPr="007C6940">
        <w:rPr>
          <w:rFonts w:hint="cs"/>
          <w:spacing w:val="-3"/>
          <w:sz w:val="28"/>
          <w:rtl/>
        </w:rPr>
        <w:t xml:space="preserve"> فقط ويقبلوه من أموال بيت المال دون أن يُسْمع منهم أي كلام بشأن حِلِّيَة أو حُرمة زكاة بيت المال عليهم</w:t>
      </w:r>
      <w:r w:rsidR="00217AB4" w:rsidRPr="007C6940">
        <w:rPr>
          <w:rFonts w:hint="cs"/>
          <w:spacing w:val="-3"/>
          <w:sz w:val="28"/>
          <w:rtl/>
        </w:rPr>
        <w:t>،</w:t>
      </w:r>
      <w:r w:rsidRPr="007C6940">
        <w:rPr>
          <w:rFonts w:hint="cs"/>
          <w:spacing w:val="-3"/>
          <w:sz w:val="28"/>
          <w:rtl/>
        </w:rPr>
        <w:t xml:space="preserve"> والحال أننا لو تقصَّينا جميع الأخبار لرأينا أن الأمر كان أشد من ذلك وأن الأموال التي كان بقية بني هاشم يقبلونها من الخلفاء وغيرهم يصعب إحصاؤها وحسابها</w:t>
      </w:r>
      <w:r w:rsidR="00217AB4" w:rsidRPr="007C6940">
        <w:rPr>
          <w:rFonts w:hint="cs"/>
          <w:spacing w:val="-3"/>
          <w:sz w:val="28"/>
          <w:rtl/>
        </w:rPr>
        <w:t>!</w:t>
      </w:r>
      <w:r w:rsidRPr="007C6940">
        <w:rPr>
          <w:rFonts w:hint="cs"/>
          <w:spacing w:val="-3"/>
          <w:sz w:val="28"/>
          <w:rtl/>
        </w:rPr>
        <w:t xml:space="preserve"> فعلى سبيل المثال يروي المرحوم </w:t>
      </w:r>
      <w:r w:rsidRPr="007C6940">
        <w:rPr>
          <w:spacing w:val="-3"/>
          <w:sz w:val="28"/>
          <w:rtl/>
        </w:rPr>
        <w:t>«</w:t>
      </w:r>
      <w:r w:rsidRPr="007C6940">
        <w:rPr>
          <w:rFonts w:hint="cs"/>
          <w:spacing w:val="-3"/>
          <w:sz w:val="28"/>
          <w:rtl/>
        </w:rPr>
        <w:t>السيد علي خان المدني</w:t>
      </w:r>
      <w:r w:rsidRPr="007C6940">
        <w:rPr>
          <w:spacing w:val="-3"/>
          <w:sz w:val="28"/>
          <w:rtl/>
        </w:rPr>
        <w:t>»</w:t>
      </w:r>
      <w:r w:rsidRPr="007C6940">
        <w:rPr>
          <w:rFonts w:hint="cs"/>
          <w:spacing w:val="-3"/>
          <w:sz w:val="28"/>
          <w:rtl/>
        </w:rPr>
        <w:t xml:space="preserve"> </w:t>
      </w:r>
      <w:r w:rsidR="00217AB4" w:rsidRPr="007C6940">
        <w:rPr>
          <w:rFonts w:hint="cs"/>
          <w:spacing w:val="-3"/>
          <w:sz w:val="28"/>
          <w:rtl/>
        </w:rPr>
        <w:t>(</w:t>
      </w:r>
      <w:r w:rsidRPr="007C6940">
        <w:rPr>
          <w:rFonts w:hint="cs"/>
          <w:spacing w:val="-3"/>
          <w:sz w:val="28"/>
          <w:rtl/>
        </w:rPr>
        <w:t>1120هـ</w:t>
      </w:r>
      <w:r w:rsidR="00217AB4" w:rsidRPr="007C6940">
        <w:rPr>
          <w:rFonts w:hint="cs"/>
          <w:spacing w:val="-3"/>
          <w:sz w:val="28"/>
          <w:rtl/>
        </w:rPr>
        <w:t>)</w:t>
      </w:r>
      <w:r w:rsidRPr="007C6940">
        <w:rPr>
          <w:rFonts w:hint="cs"/>
          <w:spacing w:val="-3"/>
          <w:sz w:val="28"/>
          <w:rtl/>
        </w:rPr>
        <w:t xml:space="preserve"> في «الدرجات الرفيعة في طبقات الشيعة» </w:t>
      </w:r>
      <w:r w:rsidR="00217AB4" w:rsidRPr="007C6940">
        <w:rPr>
          <w:rFonts w:hint="cs"/>
          <w:spacing w:val="-3"/>
          <w:sz w:val="28"/>
          <w:rtl/>
        </w:rPr>
        <w:t>(</w:t>
      </w:r>
      <w:r w:rsidRPr="007C6940">
        <w:rPr>
          <w:rFonts w:hint="cs"/>
          <w:spacing w:val="-3"/>
          <w:sz w:val="28"/>
          <w:rtl/>
        </w:rPr>
        <w:t>ص175</w:t>
      </w:r>
      <w:r w:rsidR="00217AB4" w:rsidRPr="007C6940">
        <w:rPr>
          <w:rFonts w:hint="cs"/>
          <w:spacing w:val="-3"/>
          <w:sz w:val="28"/>
          <w:rtl/>
        </w:rPr>
        <w:t>)</w:t>
      </w:r>
      <w:r w:rsidRPr="007C6940">
        <w:rPr>
          <w:rFonts w:hint="cs"/>
          <w:spacing w:val="-3"/>
          <w:sz w:val="28"/>
          <w:rtl/>
        </w:rPr>
        <w:t xml:space="preserve"> فيقول</w:t>
      </w:r>
      <w:r w:rsidR="00217AB4" w:rsidRPr="007C6940">
        <w:rPr>
          <w:rFonts w:hint="cs"/>
          <w:spacing w:val="-3"/>
          <w:sz w:val="28"/>
          <w:rtl/>
        </w:rPr>
        <w:t>:</w:t>
      </w:r>
      <w:r w:rsidRPr="007C6940">
        <w:rPr>
          <w:rFonts w:hint="cs"/>
          <w:spacing w:val="-3"/>
          <w:sz w:val="28"/>
          <w:rtl/>
        </w:rPr>
        <w:t xml:space="preserve"> </w:t>
      </w:r>
      <w:r w:rsidR="00EF2588" w:rsidRPr="007C6940">
        <w:rPr>
          <w:rFonts w:cs="KFGQPC Uthman Taha Naskh" w:hint="cs"/>
          <w:spacing w:val="-3"/>
          <w:sz w:val="28"/>
          <w:rtl/>
        </w:rPr>
        <w:t>«</w:t>
      </w:r>
      <w:r w:rsidRPr="007C6940">
        <w:rPr>
          <w:rFonts w:cs="KFGQPC Uthman Taha Naskh"/>
          <w:b/>
          <w:bCs/>
          <w:spacing w:val="-3"/>
          <w:sz w:val="28"/>
          <w:rtl/>
        </w:rPr>
        <w:t>زو</w:t>
      </w:r>
      <w:r w:rsidRPr="007C6940">
        <w:rPr>
          <w:rFonts w:cs="KFGQPC Uthman Taha Naskh" w:hint="cs"/>
          <w:b/>
          <w:bCs/>
          <w:spacing w:val="-3"/>
          <w:sz w:val="28"/>
          <w:rtl/>
        </w:rPr>
        <w:t>َّ</w:t>
      </w:r>
      <w:r w:rsidRPr="007C6940">
        <w:rPr>
          <w:rFonts w:cs="KFGQPC Uthman Taha Naskh"/>
          <w:b/>
          <w:bCs/>
          <w:spacing w:val="-3"/>
          <w:sz w:val="28"/>
          <w:rtl/>
        </w:rPr>
        <w:t xml:space="preserve">ج عبد الله بن جعفر ابنته أم كلثوم من الحجاج على </w:t>
      </w:r>
      <w:r w:rsidRPr="007C6940">
        <w:rPr>
          <w:rFonts w:cs="KFGQPC Uthman Taha Naskh" w:hint="cs"/>
          <w:b/>
          <w:bCs/>
          <w:spacing w:val="-3"/>
          <w:sz w:val="28"/>
          <w:rtl/>
        </w:rPr>
        <w:t>ألف</w:t>
      </w:r>
      <w:r w:rsidR="00430501">
        <w:rPr>
          <w:rFonts w:cs="KFGQPC Uthman Taha Naskh" w:hint="cs"/>
          <w:b/>
          <w:bCs/>
          <w:spacing w:val="-3"/>
          <w:sz w:val="28"/>
          <w:rtl/>
        </w:rPr>
        <w:t>ي</w:t>
      </w:r>
      <w:r w:rsidRPr="007C6940">
        <w:rPr>
          <w:rFonts w:cs="KFGQPC Uthman Taha Naskh"/>
          <w:b/>
          <w:bCs/>
          <w:spacing w:val="-3"/>
          <w:sz w:val="28"/>
          <w:rtl/>
        </w:rPr>
        <w:t xml:space="preserve"> </w:t>
      </w:r>
      <w:r w:rsidRPr="007C6940">
        <w:rPr>
          <w:rFonts w:cs="KFGQPC Uthman Taha Naskh" w:hint="cs"/>
          <w:b/>
          <w:bCs/>
          <w:spacing w:val="-3"/>
          <w:sz w:val="28"/>
          <w:rtl/>
        </w:rPr>
        <w:t>ألف</w:t>
      </w:r>
      <w:r w:rsidRPr="007C6940">
        <w:rPr>
          <w:rFonts w:cs="KFGQPC Uthman Taha Naskh"/>
          <w:b/>
          <w:bCs/>
          <w:spacing w:val="-3"/>
          <w:sz w:val="28"/>
          <w:rtl/>
        </w:rPr>
        <w:t xml:space="preserve"> </w:t>
      </w:r>
      <w:r w:rsidR="00217AB4" w:rsidRPr="007C6940">
        <w:rPr>
          <w:rFonts w:cs="KFGQPC Uthman Taha Naskh" w:hint="cs"/>
          <w:spacing w:val="-3"/>
          <w:sz w:val="28"/>
          <w:u w:val="single"/>
          <w:rtl/>
        </w:rPr>
        <w:t>(</w:t>
      </w:r>
      <w:r w:rsidRPr="007C6940">
        <w:rPr>
          <w:rFonts w:cs="KFGQPC Uthman Taha Naskh" w:hint="cs"/>
          <w:spacing w:val="-3"/>
          <w:sz w:val="28"/>
          <w:u w:val="single"/>
          <w:rtl/>
        </w:rPr>
        <w:t>أي مليونين</w:t>
      </w:r>
      <w:r w:rsidR="00217AB4" w:rsidRPr="007C6940">
        <w:rPr>
          <w:rFonts w:cs="KFGQPC Uthman Taha Naskh" w:hint="cs"/>
          <w:spacing w:val="-3"/>
          <w:sz w:val="28"/>
          <w:u w:val="single"/>
          <w:rtl/>
        </w:rPr>
        <w:t>)</w:t>
      </w:r>
      <w:r w:rsidRPr="007C6940">
        <w:rPr>
          <w:rFonts w:cs="KFGQPC Uthman Taha Naskh" w:hint="cs"/>
          <w:b/>
          <w:bCs/>
          <w:spacing w:val="-3"/>
          <w:sz w:val="28"/>
          <w:rtl/>
        </w:rPr>
        <w:t xml:space="preserve"> </w:t>
      </w:r>
      <w:r w:rsidRPr="007C6940">
        <w:rPr>
          <w:rFonts w:cs="KFGQPC Uthman Taha Naskh"/>
          <w:b/>
          <w:bCs/>
          <w:spacing w:val="-3"/>
          <w:sz w:val="28"/>
          <w:rtl/>
        </w:rPr>
        <w:t>في السر</w:t>
      </w:r>
      <w:r w:rsidRPr="007C6940">
        <w:rPr>
          <w:rFonts w:cs="KFGQPC Uthman Taha Naskh" w:hint="cs"/>
          <w:b/>
          <w:bCs/>
          <w:spacing w:val="-3"/>
          <w:sz w:val="28"/>
          <w:rtl/>
        </w:rPr>
        <w:t>ّ</w:t>
      </w:r>
      <w:r w:rsidRPr="007C6940">
        <w:rPr>
          <w:rFonts w:cs="KFGQPC Uthman Taha Naskh"/>
          <w:b/>
          <w:bCs/>
          <w:spacing w:val="-3"/>
          <w:sz w:val="28"/>
          <w:rtl/>
        </w:rPr>
        <w:t xml:space="preserve"> </w:t>
      </w:r>
      <w:r w:rsidRPr="007C6940">
        <w:rPr>
          <w:rFonts w:cs="KFGQPC Uthman Taha Naskh" w:hint="cs"/>
          <w:b/>
          <w:bCs/>
          <w:spacing w:val="-3"/>
          <w:sz w:val="28"/>
          <w:rtl/>
        </w:rPr>
        <w:t>وخمسمائة</w:t>
      </w:r>
      <w:r w:rsidRPr="007C6940">
        <w:rPr>
          <w:rFonts w:cs="KFGQPC Uthman Taha Naskh"/>
          <w:b/>
          <w:bCs/>
          <w:spacing w:val="-3"/>
          <w:sz w:val="28"/>
          <w:rtl/>
        </w:rPr>
        <w:t xml:space="preserve"> </w:t>
      </w:r>
      <w:r w:rsidRPr="007C6940">
        <w:rPr>
          <w:rFonts w:cs="KFGQPC Uthman Taha Naskh" w:hint="cs"/>
          <w:b/>
          <w:bCs/>
          <w:spacing w:val="-3"/>
          <w:sz w:val="28"/>
          <w:rtl/>
        </w:rPr>
        <w:t>أ</w:t>
      </w:r>
      <w:r w:rsidRPr="007C6940">
        <w:rPr>
          <w:rFonts w:cs="KFGQPC Uthman Taha Naskh"/>
          <w:b/>
          <w:bCs/>
          <w:spacing w:val="-3"/>
          <w:sz w:val="28"/>
          <w:rtl/>
        </w:rPr>
        <w:t>لف في العلانية وحملها إليه إلى العراق فمكثت عنده ثمانية أشهر</w:t>
      </w:r>
      <w:r w:rsidR="00EF2588" w:rsidRPr="007C6940">
        <w:rPr>
          <w:rFonts w:cs="KFGQPC Uthman Taha Naskh" w:hint="cs"/>
          <w:spacing w:val="-3"/>
          <w:sz w:val="28"/>
          <w:rtl/>
        </w:rPr>
        <w:t>»</w:t>
      </w:r>
      <w:r w:rsidR="00217AB4" w:rsidRPr="007C6940">
        <w:rPr>
          <w:rFonts w:cs="Arabic11 BT"/>
          <w:b/>
          <w:spacing w:val="-3"/>
          <w:sz w:val="28"/>
          <w:vertAlign w:val="superscript"/>
          <w:rtl/>
        </w:rPr>
        <w:t>(</w:t>
      </w:r>
      <w:r w:rsidRPr="007C6940">
        <w:rPr>
          <w:rStyle w:val="FootnoteReference"/>
          <w:rFonts w:cs="Arabic11 BT"/>
          <w:b/>
          <w:spacing w:val="-3"/>
          <w:sz w:val="28"/>
          <w:rtl/>
        </w:rPr>
        <w:footnoteReference w:id="207"/>
      </w:r>
      <w:r w:rsidR="00217AB4" w:rsidRPr="007C6940">
        <w:rPr>
          <w:rFonts w:cs="Arabic11 BT" w:hint="cs"/>
          <w:b/>
          <w:spacing w:val="-3"/>
          <w:sz w:val="28"/>
          <w:vertAlign w:val="superscript"/>
          <w:rtl/>
        </w:rPr>
        <w:t>)</w:t>
      </w:r>
      <w:r w:rsidR="00217AB4" w:rsidRPr="007C6940">
        <w:rPr>
          <w:rFonts w:hint="cs"/>
          <w:spacing w:val="-3"/>
          <w:sz w:val="28"/>
          <w:rtl/>
        </w:rPr>
        <w:t>.</w:t>
      </w:r>
    </w:p>
    <w:p w:rsidR="005C664D" w:rsidRPr="003F3B94" w:rsidRDefault="005C664D" w:rsidP="003F3B94">
      <w:pPr>
        <w:pStyle w:val="a0"/>
        <w:rPr>
          <w:rFonts w:hint="cs"/>
          <w:rtl/>
          <w:lang w:bidi="ar-SY"/>
        </w:rPr>
      </w:pPr>
      <w:r w:rsidRPr="003F3B94">
        <w:rPr>
          <w:rFonts w:hint="cs"/>
          <w:sz w:val="28"/>
          <w:rtl/>
          <w:lang w:bidi="ar-SY"/>
        </w:rPr>
        <w:t xml:space="preserve">وجميع هذه الأموال التي كانت تُدْفَع إلى حضرات </w:t>
      </w:r>
      <w:r w:rsidRPr="003F3B94">
        <w:rPr>
          <w:rFonts w:ascii="Abo-thar" w:hAnsi="Abo-thar" w:hint="cs"/>
          <w:sz w:val="28"/>
          <w:rtl/>
          <w:lang w:bidi="ar-SY"/>
        </w:rPr>
        <w:t xml:space="preserve">الأئمة المعصومين </w:t>
      </w:r>
      <w:r w:rsidRPr="003F3B94">
        <w:rPr>
          <w:rFonts w:hint="cs"/>
          <w:sz w:val="28"/>
          <w:rtl/>
          <w:lang w:bidi="ar-SY"/>
        </w:rPr>
        <w:t>وغيرهم من بني هاشم إنما كانت تدفع من بيت المال</w:t>
      </w:r>
      <w:r w:rsidR="00217AB4" w:rsidRPr="003F3B94">
        <w:rPr>
          <w:rFonts w:hint="cs"/>
          <w:sz w:val="28"/>
          <w:rtl/>
          <w:lang w:bidi="ar-SY"/>
        </w:rPr>
        <w:t>،</w:t>
      </w:r>
      <w:r w:rsidRPr="003F3B94">
        <w:rPr>
          <w:rFonts w:hint="cs"/>
          <w:sz w:val="28"/>
          <w:rtl/>
          <w:lang w:bidi="ar-SY"/>
        </w:rPr>
        <w:t xml:space="preserve"> وكان أهم مصدر لبيت المال في تلك الأزمنة أموال الزكاة</w:t>
      </w:r>
      <w:r w:rsidR="00217AB4" w:rsidRPr="003F3B94">
        <w:rPr>
          <w:rFonts w:hint="cs"/>
          <w:sz w:val="28"/>
          <w:rtl/>
          <w:lang w:bidi="ar-SY"/>
        </w:rPr>
        <w:t>،</w:t>
      </w:r>
      <w:r w:rsidRPr="003F3B94">
        <w:rPr>
          <w:rFonts w:hint="cs"/>
          <w:sz w:val="28"/>
          <w:rtl/>
          <w:lang w:bidi="ar-SY"/>
        </w:rPr>
        <w:t xml:space="preserve"> إضافة إلى خراج الأراضي والجزية التي تؤخذ من أهل الذمة</w:t>
      </w:r>
      <w:r w:rsidR="00217AB4" w:rsidRPr="003F3B94">
        <w:rPr>
          <w:rFonts w:hint="cs"/>
          <w:sz w:val="28"/>
          <w:rtl/>
          <w:lang w:bidi="ar-SY"/>
        </w:rPr>
        <w:t>،</w:t>
      </w:r>
      <w:r w:rsidRPr="003F3B94">
        <w:rPr>
          <w:rFonts w:hint="cs"/>
          <w:sz w:val="28"/>
          <w:rtl/>
          <w:lang w:bidi="ar-SY"/>
        </w:rPr>
        <w:t xml:space="preserve"> وأحياناً غنائم الحروب</w:t>
      </w:r>
      <w:r w:rsidR="00217AB4" w:rsidRPr="003F3B94">
        <w:rPr>
          <w:rFonts w:hint="cs"/>
          <w:sz w:val="28"/>
          <w:rtl/>
          <w:lang w:bidi="ar-SY"/>
        </w:rPr>
        <w:t>،</w:t>
      </w:r>
      <w:r w:rsidRPr="003F3B94">
        <w:rPr>
          <w:rFonts w:hint="cs"/>
          <w:sz w:val="28"/>
          <w:rtl/>
          <w:lang w:bidi="ar-SY"/>
        </w:rPr>
        <w:t xml:space="preserve"> ولكن أموال الزكاة كانت تشكل قسماً مهماً من أموال بيت المال</w:t>
      </w:r>
      <w:r w:rsidR="00217AB4" w:rsidRPr="003F3B94">
        <w:rPr>
          <w:rFonts w:hint="cs"/>
          <w:sz w:val="28"/>
          <w:rtl/>
          <w:lang w:bidi="ar-SY"/>
        </w:rPr>
        <w:t>،</w:t>
      </w:r>
      <w:r w:rsidRPr="003F3B94">
        <w:rPr>
          <w:rFonts w:hint="cs"/>
          <w:sz w:val="28"/>
          <w:rtl/>
          <w:lang w:bidi="ar-SY"/>
        </w:rPr>
        <w:t xml:space="preserve"> ومن الواضح تماماً أنه في ذلك الزمن لم يكن هناك بيت مال خاص بأموال الزكاة وآخر خاص بسائر الأموال كالخراج والجزية والغنائم حتى يُقال أن ما كان الأئمة وبنو هاشم يأخذونه إنما كان من الخراج ونحوه من الفيء</w:t>
      </w:r>
      <w:r w:rsidR="00217AB4" w:rsidRPr="003F3B94">
        <w:rPr>
          <w:rFonts w:hint="cs"/>
          <w:sz w:val="28"/>
          <w:rtl/>
          <w:lang w:bidi="ar-SY"/>
        </w:rPr>
        <w:t>!</w:t>
      </w:r>
    </w:p>
    <w:p w:rsidR="005C664D" w:rsidRPr="00995B26" w:rsidRDefault="005C664D" w:rsidP="00430501">
      <w:pPr>
        <w:pStyle w:val="a0"/>
        <w:rPr>
          <w:rFonts w:hint="cs"/>
          <w:rtl/>
          <w:lang w:bidi="ar-SY"/>
        </w:rPr>
      </w:pPr>
      <w:r w:rsidRPr="003F3B94">
        <w:rPr>
          <w:rFonts w:hint="cs"/>
          <w:sz w:val="28"/>
          <w:rtl/>
          <w:lang w:bidi="ar-SY"/>
        </w:rPr>
        <w:t xml:space="preserve">فإذا عرفنا ذلك فكيف إذن يمكن أن يُقال </w:t>
      </w:r>
      <w:r w:rsidR="00430501">
        <w:rPr>
          <w:rFonts w:hint="cs"/>
          <w:sz w:val="28"/>
          <w:rtl/>
          <w:lang w:bidi="ar-SY"/>
        </w:rPr>
        <w:t>إ</w:t>
      </w:r>
      <w:r w:rsidRPr="003F3B94">
        <w:rPr>
          <w:rFonts w:hint="cs"/>
          <w:sz w:val="28"/>
          <w:rtl/>
          <w:lang w:bidi="ar-SY"/>
        </w:rPr>
        <w:t>ن مال الصدقة</w:t>
      </w:r>
      <w:r w:rsidR="00147857" w:rsidRPr="003F3B94">
        <w:rPr>
          <w:rFonts w:hint="cs"/>
          <w:sz w:val="28"/>
          <w:rtl/>
          <w:lang w:bidi="ar-SY"/>
        </w:rPr>
        <w:t xml:space="preserve"> و</w:t>
      </w:r>
      <w:r w:rsidRPr="003F3B94">
        <w:rPr>
          <w:rFonts w:hint="cs"/>
          <w:sz w:val="28"/>
          <w:rtl/>
          <w:lang w:bidi="ar-SY"/>
        </w:rPr>
        <w:t>الزكاة كان محرما على بني هاشم وآل رسول الله</w:t>
      </w:r>
      <w:r w:rsidR="00147857" w:rsidRPr="003F3B94">
        <w:rPr>
          <w:rFonts w:hint="cs"/>
          <w:sz w:val="28"/>
          <w:rtl/>
          <w:lang w:bidi="ar-SY"/>
        </w:rPr>
        <w:t xml:space="preserve"> </w:t>
      </w:r>
      <w:r w:rsidR="003C7AEB" w:rsidRPr="003C7AEB">
        <w:rPr>
          <w:rFonts w:ascii="Abo-thar" w:hAnsi="Abo-thar" w:cs="CTraditional Arabic"/>
          <w:sz w:val="28"/>
          <w:rtl/>
          <w:lang w:bidi="ar-SY"/>
        </w:rPr>
        <w:t>ص</w:t>
      </w:r>
      <w:r w:rsidR="00147857" w:rsidRPr="003F3B94">
        <w:rPr>
          <w:rFonts w:ascii="Abo-thar" w:hAnsi="Abo-thar"/>
          <w:sz w:val="28"/>
          <w:rtl/>
          <w:lang w:bidi="ar-SY"/>
        </w:rPr>
        <w:t xml:space="preserve"> </w:t>
      </w:r>
      <w:r w:rsidRPr="003F3B94">
        <w:rPr>
          <w:rFonts w:ascii="Abo-thar" w:hAnsi="Abo-thar" w:hint="cs"/>
          <w:sz w:val="28"/>
          <w:rtl/>
          <w:lang w:bidi="ar-SY"/>
        </w:rPr>
        <w:t>بعد وفاته</w:t>
      </w:r>
      <w:r w:rsidR="00217AB4" w:rsidRPr="003F3B94">
        <w:rPr>
          <w:rFonts w:ascii="Abo-thar" w:hAnsi="Abo-thar" w:hint="cs"/>
          <w:sz w:val="28"/>
          <w:rtl/>
          <w:lang w:bidi="ar-SY"/>
        </w:rPr>
        <w:t>؟</w:t>
      </w:r>
      <w:r w:rsidRPr="003F3B94">
        <w:rPr>
          <w:rFonts w:ascii="Abo-thar" w:hAnsi="Abo-thar" w:hint="cs"/>
          <w:sz w:val="28"/>
          <w:rtl/>
          <w:lang w:bidi="ar-SY"/>
        </w:rPr>
        <w:t xml:space="preserve"> ولماذا ينبغي أن يكون محرَّماً عليهم أصلاً</w:t>
      </w:r>
      <w:r w:rsidR="00217AB4" w:rsidRPr="003F3B94">
        <w:rPr>
          <w:rFonts w:ascii="Abo-thar" w:hAnsi="Abo-thar" w:hint="cs"/>
          <w:sz w:val="28"/>
          <w:rtl/>
          <w:lang w:bidi="ar-SY"/>
        </w:rPr>
        <w:t>.</w:t>
      </w:r>
      <w:r w:rsidR="00147857" w:rsidRPr="003F3B94">
        <w:rPr>
          <w:rFonts w:ascii="Abo-thar" w:hAnsi="Abo-thar" w:hint="cs"/>
          <w:sz w:val="28"/>
          <w:rtl/>
          <w:lang w:bidi="ar-SY"/>
        </w:rPr>
        <w:t xml:space="preserve"> </w:t>
      </w:r>
      <w:r w:rsidRPr="003F3B94">
        <w:rPr>
          <w:rFonts w:ascii="Abo-thar" w:hAnsi="Abo-thar" w:hint="cs"/>
          <w:sz w:val="28"/>
          <w:rtl/>
          <w:lang w:bidi="ar-SY"/>
        </w:rPr>
        <w:t>وهل دين الإسلام إلا دين الله تعالى الواحد الذي بعث به جميع الأنبياء السالفين ودعوا الناس إليه</w:t>
      </w:r>
      <w:r w:rsidR="00217AB4" w:rsidRPr="003F3B94">
        <w:rPr>
          <w:rFonts w:ascii="Abo-thar" w:hAnsi="Abo-thar" w:hint="cs"/>
          <w:sz w:val="28"/>
          <w:rtl/>
          <w:lang w:bidi="ar-SY"/>
        </w:rPr>
        <w:t>،</w:t>
      </w:r>
      <w:r w:rsidRPr="003F3B94">
        <w:rPr>
          <w:rFonts w:ascii="Abo-thar" w:hAnsi="Abo-thar" w:hint="cs"/>
          <w:sz w:val="28"/>
          <w:rtl/>
          <w:lang w:bidi="ar-SY"/>
        </w:rPr>
        <w:t xml:space="preserve"> والحقيقة إن الإسلام هو دين الله الواحد من آدم إلى الخاتَم</w:t>
      </w:r>
      <w:r w:rsidR="00217AB4" w:rsidRPr="003F3B94">
        <w:rPr>
          <w:rFonts w:ascii="Abo-thar" w:hAnsi="Abo-thar" w:hint="cs"/>
          <w:sz w:val="28"/>
          <w:rtl/>
          <w:lang w:bidi="ar-SY"/>
        </w:rPr>
        <w:t>.</w:t>
      </w:r>
      <w:r w:rsidRPr="003F3B94">
        <w:rPr>
          <w:rFonts w:ascii="Abo-thar" w:hAnsi="Abo-thar" w:hint="cs"/>
          <w:sz w:val="28"/>
          <w:rtl/>
          <w:lang w:bidi="ar-SY"/>
        </w:rPr>
        <w:t xml:space="preserve"> ألم يكن نبي الإسلام هو النبي الخاتم الذي دعا إلى دين الله</w:t>
      </w:r>
      <w:r w:rsidR="00217AB4" w:rsidRPr="003F3B94">
        <w:rPr>
          <w:rFonts w:ascii="Abo-thar" w:hAnsi="Abo-thar" w:hint="cs"/>
          <w:sz w:val="28"/>
          <w:rtl/>
          <w:lang w:bidi="ar-SY"/>
        </w:rPr>
        <w:t>؟</w:t>
      </w:r>
      <w:r w:rsidR="006C78B4" w:rsidRPr="003F3B94">
        <w:rPr>
          <w:rFonts w:ascii="Abo-thar" w:hAnsi="Abo-thar" w:hint="cs"/>
          <w:sz w:val="28"/>
          <w:rtl/>
          <w:lang w:bidi="ar-SY"/>
        </w:rPr>
        <w:t xml:space="preserve"> </w:t>
      </w:r>
      <w:r w:rsidRPr="003F3B94">
        <w:rPr>
          <w:rFonts w:ascii="Abo-thar" w:hAnsi="Abo-thar" w:hint="cs"/>
          <w:sz w:val="28"/>
          <w:rtl/>
          <w:lang w:bidi="ar-SY"/>
        </w:rPr>
        <w:t xml:space="preserve"> </w:t>
      </w:r>
      <w:r w:rsidR="006C78B4" w:rsidRPr="00995B26">
        <w:rPr>
          <w:rFonts w:cs="Traditional Arabic"/>
          <w:rtl/>
          <w:lang w:bidi="fa-IR"/>
        </w:rPr>
        <w:t>﴿</w:t>
      </w:r>
      <w:r w:rsidR="006C78B4" w:rsidRPr="0067048A">
        <w:rPr>
          <w:rFonts w:ascii="KFGQPC Uthmanic Script HAFS" w:cs="KFGQPC Uthmanic Script HAFS" w:hint="eastAsia"/>
          <w:szCs w:val="28"/>
          <w:rtl/>
        </w:rPr>
        <w:t>قُل</w:t>
      </w:r>
      <w:r w:rsidR="006C78B4" w:rsidRPr="0067048A">
        <w:rPr>
          <w:rFonts w:ascii="KFGQPC Uthmanic Script HAFS" w:cs="KFGQPC Uthmanic Script HAFS" w:hint="cs"/>
          <w:szCs w:val="28"/>
          <w:rtl/>
        </w:rPr>
        <w:t>ۡ</w:t>
      </w:r>
      <w:r w:rsidR="006C78B4" w:rsidRPr="0067048A">
        <w:rPr>
          <w:rFonts w:ascii="KFGQPC Uthmanic Script HAFS" w:cs="KFGQPC Uthmanic Script HAFS"/>
          <w:szCs w:val="28"/>
          <w:rtl/>
        </w:rPr>
        <w:t xml:space="preserve"> </w:t>
      </w:r>
      <w:r w:rsidR="006C78B4" w:rsidRPr="0067048A">
        <w:rPr>
          <w:rFonts w:ascii="KFGQPC Uthmanic Script HAFS" w:cs="KFGQPC Uthmanic Script HAFS" w:hint="eastAsia"/>
          <w:szCs w:val="28"/>
          <w:rtl/>
        </w:rPr>
        <w:t>مَا</w:t>
      </w:r>
      <w:r w:rsidR="006C78B4" w:rsidRPr="0067048A">
        <w:rPr>
          <w:rFonts w:ascii="KFGQPC Uthmanic Script HAFS" w:cs="KFGQPC Uthmanic Script HAFS"/>
          <w:szCs w:val="28"/>
          <w:rtl/>
        </w:rPr>
        <w:t xml:space="preserve"> </w:t>
      </w:r>
      <w:r w:rsidR="006C78B4" w:rsidRPr="0067048A">
        <w:rPr>
          <w:rFonts w:ascii="KFGQPC Uthmanic Script HAFS" w:cs="KFGQPC Uthmanic Script HAFS" w:hint="eastAsia"/>
          <w:szCs w:val="28"/>
          <w:rtl/>
        </w:rPr>
        <w:t>كُنتُ</w:t>
      </w:r>
      <w:r w:rsidR="006C78B4" w:rsidRPr="0067048A">
        <w:rPr>
          <w:rFonts w:ascii="KFGQPC Uthmanic Script HAFS" w:cs="KFGQPC Uthmanic Script HAFS"/>
          <w:szCs w:val="28"/>
          <w:rtl/>
        </w:rPr>
        <w:t xml:space="preserve"> </w:t>
      </w:r>
      <w:r w:rsidR="006C78B4" w:rsidRPr="0067048A">
        <w:rPr>
          <w:rFonts w:ascii="KFGQPC Uthmanic Script HAFS" w:cs="KFGQPC Uthmanic Script HAFS" w:hint="eastAsia"/>
          <w:szCs w:val="28"/>
          <w:rtl/>
        </w:rPr>
        <w:t>بِد</w:t>
      </w:r>
      <w:r w:rsidR="006C78B4" w:rsidRPr="0067048A">
        <w:rPr>
          <w:rFonts w:ascii="KFGQPC Uthmanic Script HAFS" w:cs="KFGQPC Uthmanic Script HAFS" w:hint="cs"/>
          <w:szCs w:val="28"/>
          <w:rtl/>
        </w:rPr>
        <w:t>ۡ</w:t>
      </w:r>
      <w:r w:rsidR="006C78B4" w:rsidRPr="0067048A">
        <w:rPr>
          <w:rFonts w:ascii="KFGQPC Uthmanic Script HAFS" w:cs="KFGQPC Uthmanic Script HAFS" w:hint="eastAsia"/>
          <w:szCs w:val="28"/>
          <w:rtl/>
        </w:rPr>
        <w:t>ع</w:t>
      </w:r>
      <w:r w:rsidR="006C78B4" w:rsidRPr="0067048A">
        <w:rPr>
          <w:rFonts w:ascii="KFGQPC Uthmanic Script HAFS" w:cs="KFGQPC Uthmanic Script HAFS" w:hint="cs"/>
          <w:szCs w:val="28"/>
          <w:rtl/>
        </w:rPr>
        <w:t>ٗ</w:t>
      </w:r>
      <w:r w:rsidR="006C78B4" w:rsidRPr="0067048A">
        <w:rPr>
          <w:rFonts w:ascii="KFGQPC Uthmanic Script HAFS" w:cs="KFGQPC Uthmanic Script HAFS" w:hint="eastAsia"/>
          <w:szCs w:val="28"/>
          <w:rtl/>
        </w:rPr>
        <w:t>ا</w:t>
      </w:r>
      <w:r w:rsidR="006C78B4" w:rsidRPr="0067048A">
        <w:rPr>
          <w:rFonts w:ascii="KFGQPC Uthmanic Script HAFS" w:cs="KFGQPC Uthmanic Script HAFS"/>
          <w:szCs w:val="28"/>
          <w:rtl/>
        </w:rPr>
        <w:t xml:space="preserve"> </w:t>
      </w:r>
      <w:r w:rsidR="006C78B4" w:rsidRPr="0067048A">
        <w:rPr>
          <w:rFonts w:ascii="KFGQPC Uthmanic Script HAFS" w:cs="KFGQPC Uthmanic Script HAFS" w:hint="eastAsia"/>
          <w:szCs w:val="28"/>
          <w:rtl/>
        </w:rPr>
        <w:t>مِّنَ</w:t>
      </w:r>
      <w:r w:rsidR="006C78B4" w:rsidRPr="0067048A">
        <w:rPr>
          <w:rFonts w:ascii="KFGQPC Uthmanic Script HAFS" w:cs="KFGQPC Uthmanic Script HAFS"/>
          <w:szCs w:val="28"/>
          <w:rtl/>
        </w:rPr>
        <w:t xml:space="preserve"> </w:t>
      </w:r>
      <w:r w:rsidR="006C78B4" w:rsidRPr="0067048A">
        <w:rPr>
          <w:rFonts w:ascii="KFGQPC Uthmanic Script HAFS" w:cs="KFGQPC Uthmanic Script HAFS" w:hint="cs"/>
          <w:szCs w:val="28"/>
          <w:rtl/>
        </w:rPr>
        <w:t>ٱ</w:t>
      </w:r>
      <w:r w:rsidR="006C78B4" w:rsidRPr="0067048A">
        <w:rPr>
          <w:rFonts w:ascii="KFGQPC Uthmanic Script HAFS" w:cs="KFGQPC Uthmanic Script HAFS" w:hint="eastAsia"/>
          <w:szCs w:val="28"/>
          <w:rtl/>
        </w:rPr>
        <w:t>لرُّسُلِ</w:t>
      </w:r>
      <w:r w:rsidR="006C78B4" w:rsidRPr="00995B26">
        <w:rPr>
          <w:rFonts w:cs="KFGQPC Uthman Taha Naskh" w:hint="cs"/>
          <w:rtl/>
          <w:lang w:bidi="fa-IR"/>
        </w:rPr>
        <w:t>...</w:t>
      </w:r>
      <w:r w:rsidR="006C78B4" w:rsidRPr="00995B26">
        <w:rPr>
          <w:rFonts w:cs="Traditional Arabic" w:hint="cs"/>
          <w:rtl/>
          <w:lang w:bidi="fa-IR"/>
        </w:rPr>
        <w:t>﴾</w:t>
      </w:r>
      <w:r w:rsidR="006C78B4" w:rsidRPr="00995B26">
        <w:rPr>
          <w:rFonts w:cs="B Lotus" w:hint="cs"/>
          <w:rtl/>
          <w:lang w:bidi="fa-IR"/>
        </w:rPr>
        <w:t>.</w:t>
      </w:r>
      <w:r w:rsidRPr="00995B26">
        <w:rPr>
          <w:sz w:val="28"/>
          <w:rtl/>
          <w:lang w:bidi="ar-SY"/>
        </w:rPr>
        <w:t xml:space="preserve"> </w:t>
      </w:r>
      <w:r w:rsidRPr="003108CB">
        <w:rPr>
          <w:rStyle w:val="Char2"/>
          <w:rtl/>
        </w:rPr>
        <w:t>[الأحقاف</w:t>
      </w:r>
      <w:r w:rsidR="006C78B4" w:rsidRPr="003108CB">
        <w:rPr>
          <w:rStyle w:val="Char2"/>
          <w:rFonts w:hint="cs"/>
          <w:rtl/>
        </w:rPr>
        <w:t xml:space="preserve">: </w:t>
      </w:r>
      <w:r w:rsidRPr="003108CB">
        <w:rPr>
          <w:rStyle w:val="Char2"/>
          <w:rtl/>
        </w:rPr>
        <w:t>9]</w:t>
      </w:r>
      <w:r w:rsidR="00217AB4" w:rsidRPr="00995B26">
        <w:rPr>
          <w:rFonts w:hint="cs"/>
          <w:sz w:val="28"/>
          <w:rtl/>
          <w:lang w:bidi="ar-SY"/>
        </w:rPr>
        <w:t>،</w:t>
      </w:r>
      <w:r w:rsidRPr="00995B26">
        <w:rPr>
          <w:rFonts w:hint="cs"/>
          <w:sz w:val="28"/>
          <w:rtl/>
          <w:lang w:bidi="ar-SY"/>
        </w:rPr>
        <w:t xml:space="preserve"> أوليست أحكام هذا الدين الأبدية هي الأحكام التي أنزلت على من سبقه من الأنبياء</w:t>
      </w:r>
      <w:r w:rsidR="00217AB4" w:rsidRPr="00995B26">
        <w:rPr>
          <w:rFonts w:hint="cs"/>
          <w:sz w:val="28"/>
          <w:rtl/>
          <w:lang w:bidi="ar-SY"/>
        </w:rPr>
        <w:t>؟</w:t>
      </w:r>
      <w:r w:rsidR="006C78B4" w:rsidRPr="00995B26">
        <w:rPr>
          <w:rFonts w:hint="cs"/>
          <w:sz w:val="28"/>
          <w:rtl/>
          <w:lang w:bidi="ar-SY"/>
        </w:rPr>
        <w:t xml:space="preserve"> </w:t>
      </w:r>
      <w:r w:rsidR="006C78B4" w:rsidRPr="00995B26">
        <w:rPr>
          <w:rFonts w:cs="Traditional Arabic" w:hint="cs"/>
          <w:sz w:val="28"/>
          <w:rtl/>
          <w:lang w:bidi="ar-SY"/>
        </w:rPr>
        <w:t>﴿</w:t>
      </w:r>
      <w:r w:rsidR="006C78B4" w:rsidRPr="0067048A">
        <w:rPr>
          <w:rFonts w:ascii="KFGQPC Uthmanic Script HAFS" w:cs="KFGQPC Uthmanic Script HAFS" w:hint="eastAsia"/>
          <w:sz w:val="28"/>
          <w:szCs w:val="28"/>
          <w:rtl/>
        </w:rPr>
        <w:t>مَّا</w:t>
      </w:r>
      <w:r w:rsidR="006C78B4" w:rsidRPr="0067048A">
        <w:rPr>
          <w:rFonts w:ascii="KFGQPC Uthmanic Script HAFS" w:cs="KFGQPC Uthmanic Script HAFS"/>
          <w:sz w:val="28"/>
          <w:szCs w:val="28"/>
          <w:rtl/>
        </w:rPr>
        <w:t xml:space="preserve"> </w:t>
      </w:r>
      <w:r w:rsidR="006C78B4" w:rsidRPr="0067048A">
        <w:rPr>
          <w:rFonts w:ascii="KFGQPC Uthmanic Script HAFS" w:cs="KFGQPC Uthmanic Script HAFS" w:hint="eastAsia"/>
          <w:sz w:val="28"/>
          <w:szCs w:val="28"/>
          <w:rtl/>
        </w:rPr>
        <w:t>يُقَالُ</w:t>
      </w:r>
      <w:r w:rsidR="006C78B4" w:rsidRPr="0067048A">
        <w:rPr>
          <w:rFonts w:ascii="KFGQPC Uthmanic Script HAFS" w:cs="KFGQPC Uthmanic Script HAFS"/>
          <w:sz w:val="28"/>
          <w:szCs w:val="28"/>
          <w:rtl/>
        </w:rPr>
        <w:t xml:space="preserve"> </w:t>
      </w:r>
      <w:r w:rsidR="006C78B4" w:rsidRPr="0067048A">
        <w:rPr>
          <w:rFonts w:ascii="KFGQPC Uthmanic Script HAFS" w:cs="KFGQPC Uthmanic Script HAFS" w:hint="eastAsia"/>
          <w:sz w:val="28"/>
          <w:szCs w:val="28"/>
          <w:rtl/>
        </w:rPr>
        <w:t>لَكَ</w:t>
      </w:r>
      <w:r w:rsidR="006C78B4" w:rsidRPr="0067048A">
        <w:rPr>
          <w:rFonts w:ascii="KFGQPC Uthmanic Script HAFS" w:cs="KFGQPC Uthmanic Script HAFS"/>
          <w:sz w:val="28"/>
          <w:szCs w:val="28"/>
          <w:rtl/>
        </w:rPr>
        <w:t xml:space="preserve"> </w:t>
      </w:r>
      <w:r w:rsidR="006C78B4" w:rsidRPr="0067048A">
        <w:rPr>
          <w:rFonts w:ascii="KFGQPC Uthmanic Script HAFS" w:cs="KFGQPC Uthmanic Script HAFS" w:hint="eastAsia"/>
          <w:sz w:val="28"/>
          <w:szCs w:val="28"/>
          <w:rtl/>
        </w:rPr>
        <w:t>إِلَّا</w:t>
      </w:r>
      <w:r w:rsidR="006C78B4" w:rsidRPr="0067048A">
        <w:rPr>
          <w:rFonts w:ascii="KFGQPC Uthmanic Script HAFS" w:cs="KFGQPC Uthmanic Script HAFS"/>
          <w:sz w:val="28"/>
          <w:szCs w:val="28"/>
          <w:rtl/>
        </w:rPr>
        <w:t xml:space="preserve"> </w:t>
      </w:r>
      <w:r w:rsidR="006C78B4" w:rsidRPr="0067048A">
        <w:rPr>
          <w:rFonts w:ascii="KFGQPC Uthmanic Script HAFS" w:cs="KFGQPC Uthmanic Script HAFS" w:hint="eastAsia"/>
          <w:sz w:val="28"/>
          <w:szCs w:val="28"/>
          <w:rtl/>
        </w:rPr>
        <w:t>مَا</w:t>
      </w:r>
      <w:r w:rsidR="006C78B4" w:rsidRPr="0067048A">
        <w:rPr>
          <w:rFonts w:ascii="KFGQPC Uthmanic Script HAFS" w:cs="KFGQPC Uthmanic Script HAFS"/>
          <w:sz w:val="28"/>
          <w:szCs w:val="28"/>
          <w:rtl/>
        </w:rPr>
        <w:t xml:space="preserve"> </w:t>
      </w:r>
      <w:r w:rsidR="006C78B4" w:rsidRPr="0067048A">
        <w:rPr>
          <w:rFonts w:ascii="KFGQPC Uthmanic Script HAFS" w:cs="KFGQPC Uthmanic Script HAFS" w:hint="eastAsia"/>
          <w:sz w:val="28"/>
          <w:szCs w:val="28"/>
          <w:rtl/>
        </w:rPr>
        <w:t>قَد</w:t>
      </w:r>
      <w:r w:rsidR="006C78B4" w:rsidRPr="0067048A">
        <w:rPr>
          <w:rFonts w:ascii="KFGQPC Uthmanic Script HAFS" w:cs="KFGQPC Uthmanic Script HAFS" w:hint="cs"/>
          <w:sz w:val="28"/>
          <w:szCs w:val="28"/>
          <w:rtl/>
        </w:rPr>
        <w:t>ۡ</w:t>
      </w:r>
      <w:r w:rsidR="006C78B4" w:rsidRPr="0067048A">
        <w:rPr>
          <w:rFonts w:ascii="KFGQPC Uthmanic Script HAFS" w:cs="KFGQPC Uthmanic Script HAFS"/>
          <w:sz w:val="28"/>
          <w:szCs w:val="28"/>
          <w:rtl/>
        </w:rPr>
        <w:t xml:space="preserve"> </w:t>
      </w:r>
      <w:r w:rsidR="006C78B4" w:rsidRPr="0067048A">
        <w:rPr>
          <w:rFonts w:ascii="KFGQPC Uthmanic Script HAFS" w:cs="KFGQPC Uthmanic Script HAFS" w:hint="eastAsia"/>
          <w:sz w:val="28"/>
          <w:szCs w:val="28"/>
          <w:rtl/>
        </w:rPr>
        <w:t>قِيلَ</w:t>
      </w:r>
      <w:r w:rsidR="006C78B4" w:rsidRPr="0067048A">
        <w:rPr>
          <w:rFonts w:ascii="KFGQPC Uthmanic Script HAFS" w:cs="KFGQPC Uthmanic Script HAFS"/>
          <w:sz w:val="28"/>
          <w:szCs w:val="28"/>
          <w:rtl/>
        </w:rPr>
        <w:t xml:space="preserve"> </w:t>
      </w:r>
      <w:r w:rsidR="006C78B4" w:rsidRPr="0067048A">
        <w:rPr>
          <w:rFonts w:ascii="KFGQPC Uthmanic Script HAFS" w:cs="KFGQPC Uthmanic Script HAFS" w:hint="eastAsia"/>
          <w:sz w:val="28"/>
          <w:szCs w:val="28"/>
          <w:rtl/>
        </w:rPr>
        <w:t>لِلرُّسُلِ</w:t>
      </w:r>
      <w:r w:rsidR="006C78B4" w:rsidRPr="0067048A">
        <w:rPr>
          <w:rFonts w:ascii="KFGQPC Uthmanic Script HAFS" w:cs="KFGQPC Uthmanic Script HAFS"/>
          <w:sz w:val="28"/>
          <w:szCs w:val="28"/>
          <w:rtl/>
        </w:rPr>
        <w:t xml:space="preserve"> </w:t>
      </w:r>
      <w:r w:rsidR="006C78B4" w:rsidRPr="0067048A">
        <w:rPr>
          <w:rFonts w:ascii="KFGQPC Uthmanic Script HAFS" w:cs="KFGQPC Uthmanic Script HAFS" w:hint="eastAsia"/>
          <w:sz w:val="28"/>
          <w:szCs w:val="28"/>
          <w:rtl/>
        </w:rPr>
        <w:t>مِن</w:t>
      </w:r>
      <w:r w:rsidR="006C78B4" w:rsidRPr="0067048A">
        <w:rPr>
          <w:rFonts w:ascii="KFGQPC Uthmanic Script HAFS" w:cs="KFGQPC Uthmanic Script HAFS"/>
          <w:sz w:val="28"/>
          <w:szCs w:val="28"/>
          <w:rtl/>
        </w:rPr>
        <w:t xml:space="preserve"> </w:t>
      </w:r>
      <w:r w:rsidR="006C78B4" w:rsidRPr="0067048A">
        <w:rPr>
          <w:rFonts w:ascii="KFGQPC Uthmanic Script HAFS" w:cs="KFGQPC Uthmanic Script HAFS" w:hint="eastAsia"/>
          <w:sz w:val="28"/>
          <w:szCs w:val="28"/>
          <w:rtl/>
        </w:rPr>
        <w:t>قَب</w:t>
      </w:r>
      <w:r w:rsidR="006C78B4" w:rsidRPr="0067048A">
        <w:rPr>
          <w:rFonts w:ascii="KFGQPC Uthmanic Script HAFS" w:cs="KFGQPC Uthmanic Script HAFS" w:hint="cs"/>
          <w:sz w:val="28"/>
          <w:szCs w:val="28"/>
          <w:rtl/>
        </w:rPr>
        <w:t>ۡ</w:t>
      </w:r>
      <w:r w:rsidR="006C78B4" w:rsidRPr="0067048A">
        <w:rPr>
          <w:rFonts w:ascii="KFGQPC Uthmanic Script HAFS" w:cs="KFGQPC Uthmanic Script HAFS" w:hint="eastAsia"/>
          <w:sz w:val="28"/>
          <w:szCs w:val="28"/>
          <w:rtl/>
        </w:rPr>
        <w:t>لِكَ</w:t>
      </w:r>
      <w:r w:rsidR="006C78B4" w:rsidRPr="00995B26">
        <w:rPr>
          <w:rFonts w:ascii="KFGQPC Uthmanic Script HAFS" w:cs="Times New Roman" w:hint="cs"/>
          <w:sz w:val="28"/>
          <w:rtl/>
        </w:rPr>
        <w:t>...</w:t>
      </w:r>
      <w:r w:rsidR="006C78B4" w:rsidRPr="00995B26">
        <w:rPr>
          <w:rFonts w:cs="Traditional Arabic" w:hint="cs"/>
          <w:sz w:val="28"/>
          <w:rtl/>
          <w:lang w:bidi="ar-SY"/>
        </w:rPr>
        <w:t>﴾</w:t>
      </w:r>
      <w:r w:rsidRPr="00995B26">
        <w:rPr>
          <w:sz w:val="28"/>
          <w:rtl/>
          <w:lang w:bidi="ar-SY"/>
        </w:rPr>
        <w:t xml:space="preserve"> </w:t>
      </w:r>
      <w:r w:rsidRPr="003108CB">
        <w:rPr>
          <w:rStyle w:val="Char2"/>
          <w:rtl/>
        </w:rPr>
        <w:t>[فصلت</w:t>
      </w:r>
      <w:r w:rsidR="006C78B4" w:rsidRPr="003108CB">
        <w:rPr>
          <w:rStyle w:val="Char2"/>
          <w:rFonts w:hint="cs"/>
          <w:rtl/>
        </w:rPr>
        <w:t xml:space="preserve">: </w:t>
      </w:r>
      <w:r w:rsidRPr="003108CB">
        <w:rPr>
          <w:rStyle w:val="Char2"/>
          <w:rtl/>
        </w:rPr>
        <w:t>43]</w:t>
      </w:r>
      <w:r w:rsidR="00217AB4" w:rsidRPr="00995B26">
        <w:rPr>
          <w:rFonts w:hint="cs"/>
          <w:sz w:val="28"/>
          <w:rtl/>
          <w:lang w:bidi="ar-SY"/>
        </w:rPr>
        <w:t>.</w:t>
      </w:r>
    </w:p>
    <w:p w:rsidR="009C37E9" w:rsidRPr="003F3B94" w:rsidRDefault="005C664D" w:rsidP="003F3B94">
      <w:pPr>
        <w:pStyle w:val="a0"/>
        <w:rPr>
          <w:rFonts w:hint="cs"/>
          <w:rtl/>
          <w:lang w:bidi="ar-SY"/>
        </w:rPr>
      </w:pPr>
      <w:r w:rsidRPr="003F3B94">
        <w:rPr>
          <w:rFonts w:hint="cs"/>
          <w:sz w:val="28"/>
          <w:rtl/>
          <w:lang w:bidi="ar-SY"/>
        </w:rPr>
        <w:t>فأين نجد في رسالات الأنبياء الماضين تعاليم تحرِّم أموال بيت المال وأموال الزكاة والصدقات على جميع أبناء الأنبياء وأحفادهم إلى يوم القيامة</w:t>
      </w:r>
      <w:r w:rsidR="00217AB4" w:rsidRPr="003F3B94">
        <w:rPr>
          <w:rFonts w:hint="cs"/>
          <w:sz w:val="28"/>
          <w:rtl/>
          <w:lang w:bidi="ar-SY"/>
        </w:rPr>
        <w:t>؟</w:t>
      </w:r>
      <w:r w:rsidRPr="003F3B94">
        <w:rPr>
          <w:rFonts w:hint="cs"/>
          <w:sz w:val="28"/>
          <w:rtl/>
          <w:lang w:bidi="ar-SY"/>
        </w:rPr>
        <w:t xml:space="preserve"> كيف والقرآن الكريم ينصُّ بصراحةٍ على أن أولاد يعقوب </w:t>
      </w:r>
      <w:r w:rsidR="003C7AEB" w:rsidRPr="003C7AEB">
        <w:rPr>
          <w:rFonts w:cs="CTraditional Arabic" w:hint="cs"/>
          <w:sz w:val="28"/>
          <w:rtl/>
          <w:lang w:bidi="ar-SY"/>
        </w:rPr>
        <w:t>÷</w:t>
      </w:r>
      <w:r w:rsidRPr="003F3B94">
        <w:rPr>
          <w:rFonts w:hint="cs"/>
          <w:sz w:val="28"/>
          <w:rtl/>
          <w:lang w:bidi="ar-SY"/>
        </w:rPr>
        <w:t xml:space="preserve"> طلبوا من عزيز مصر أن يتصدق عليهم</w:t>
      </w:r>
      <w:r w:rsidR="00217AB4" w:rsidRPr="003F3B94">
        <w:rPr>
          <w:rFonts w:hint="cs"/>
          <w:sz w:val="28"/>
          <w:rtl/>
          <w:lang w:bidi="ar-SY"/>
        </w:rPr>
        <w:t>،</w:t>
      </w:r>
      <w:r w:rsidRPr="003F3B94">
        <w:rPr>
          <w:rFonts w:hint="cs"/>
          <w:sz w:val="28"/>
          <w:rtl/>
          <w:lang w:bidi="ar-SY"/>
        </w:rPr>
        <w:t xml:space="preserve"> فكيف تجوز الصدقة على أولاد النبي يعقوب</w:t>
      </w:r>
      <w:r w:rsidR="00147857" w:rsidRPr="003F3B94">
        <w:rPr>
          <w:rFonts w:hint="cs"/>
          <w:sz w:val="28"/>
          <w:rtl/>
          <w:lang w:bidi="ar-SY"/>
        </w:rPr>
        <w:t xml:space="preserve"> </w:t>
      </w:r>
      <w:r w:rsidR="003C7AEB" w:rsidRPr="003C7AEB">
        <w:rPr>
          <w:rFonts w:ascii="Abo-thar" w:hAnsi="Abo-thar" w:cs="CTraditional Arabic"/>
          <w:sz w:val="28"/>
          <w:rtl/>
          <w:lang w:bidi="ar-SY"/>
        </w:rPr>
        <w:t>÷</w:t>
      </w:r>
      <w:r w:rsidR="00147857" w:rsidRPr="003F3B94">
        <w:rPr>
          <w:rFonts w:ascii="Abo-thar" w:hAnsi="Abo-thar"/>
          <w:sz w:val="28"/>
          <w:rtl/>
          <w:lang w:bidi="ar-SY"/>
        </w:rPr>
        <w:t xml:space="preserve"> </w:t>
      </w:r>
      <w:r w:rsidRPr="003F3B94">
        <w:rPr>
          <w:rFonts w:hint="cs"/>
          <w:sz w:val="28"/>
          <w:rtl/>
          <w:lang w:bidi="ar-SY"/>
        </w:rPr>
        <w:t>المباشرين</w:t>
      </w:r>
      <w:r w:rsidR="00147857" w:rsidRPr="003F3B94">
        <w:rPr>
          <w:rFonts w:hint="cs"/>
          <w:sz w:val="28"/>
          <w:rtl/>
          <w:lang w:bidi="ar-SY"/>
        </w:rPr>
        <w:t xml:space="preserve"> و</w:t>
      </w:r>
      <w:r w:rsidRPr="003F3B94">
        <w:rPr>
          <w:rFonts w:hint="cs"/>
          <w:sz w:val="28"/>
          <w:rtl/>
          <w:lang w:bidi="ar-SY"/>
        </w:rPr>
        <w:t>تحرم على أقرباء النبي محمد</w:t>
      </w:r>
      <w:r w:rsidR="00147857" w:rsidRPr="003F3B94">
        <w:rPr>
          <w:rFonts w:hint="cs"/>
          <w:sz w:val="28"/>
          <w:rtl/>
          <w:lang w:bidi="ar-SY"/>
        </w:rPr>
        <w:t xml:space="preserve"> </w:t>
      </w:r>
      <w:r w:rsidR="003C7AEB" w:rsidRPr="003C7AEB">
        <w:rPr>
          <w:rFonts w:ascii="Abo-thar" w:hAnsi="Abo-thar" w:cs="CTraditional Arabic"/>
          <w:sz w:val="28"/>
          <w:rtl/>
          <w:lang w:bidi="ar-SY"/>
        </w:rPr>
        <w:t>ص</w:t>
      </w:r>
      <w:r w:rsidR="00147857" w:rsidRPr="003F3B94">
        <w:rPr>
          <w:rFonts w:ascii="Abo-thar" w:hAnsi="Abo-thar"/>
          <w:sz w:val="28"/>
          <w:rtl/>
          <w:lang w:bidi="ar-SY"/>
        </w:rPr>
        <w:t xml:space="preserve"> </w:t>
      </w:r>
      <w:r w:rsidRPr="003F3B94">
        <w:rPr>
          <w:rFonts w:ascii="Abo-thar" w:hAnsi="Abo-thar" w:hint="cs"/>
          <w:sz w:val="28"/>
          <w:rtl/>
          <w:lang w:bidi="ar-SY"/>
        </w:rPr>
        <w:t>ال</w:t>
      </w:r>
      <w:r w:rsidRPr="003F3B94">
        <w:rPr>
          <w:rFonts w:hint="cs"/>
          <w:sz w:val="28"/>
          <w:rtl/>
          <w:lang w:bidi="ar-SY"/>
        </w:rPr>
        <w:t>بعيدين في قرابتهم أو المنتسبين إلى أفراد أسرته حتى لو كانوا من المهجورين والمتروكين</w:t>
      </w:r>
      <w:r w:rsidR="00217AB4" w:rsidRPr="003F3B94">
        <w:rPr>
          <w:rFonts w:hint="cs"/>
          <w:sz w:val="28"/>
          <w:rtl/>
          <w:lang w:bidi="ar-SY"/>
        </w:rPr>
        <w:t>؟!</w:t>
      </w:r>
      <w:r w:rsidRPr="003F3B94">
        <w:rPr>
          <w:rFonts w:hint="cs"/>
          <w:sz w:val="28"/>
          <w:rtl/>
          <w:lang w:bidi="ar-SY"/>
        </w:rPr>
        <w:t xml:space="preserve"> وهل يعتبر مثل هذا الحرمان من مال الزكاة الصدقة تمييزاً لهم وتفضيلاً</w:t>
      </w:r>
      <w:r w:rsidR="00217AB4" w:rsidRPr="003F3B94">
        <w:rPr>
          <w:rFonts w:hint="cs"/>
          <w:sz w:val="28"/>
          <w:rtl/>
          <w:lang w:bidi="ar-SY"/>
        </w:rPr>
        <w:t>؟؟</w:t>
      </w:r>
      <w:r w:rsidRPr="003F3B94">
        <w:rPr>
          <w:rFonts w:hint="cs"/>
          <w:sz w:val="28"/>
          <w:rtl/>
          <w:lang w:bidi="ar-SY"/>
        </w:rPr>
        <w:t xml:space="preserve"> </w:t>
      </w:r>
      <w:r w:rsidR="00217AB4" w:rsidRPr="003F3B94">
        <w:rPr>
          <w:rFonts w:hint="cs"/>
          <w:sz w:val="28"/>
          <w:rtl/>
          <w:lang w:bidi="ar-SY"/>
        </w:rPr>
        <w:t>(</w:t>
      </w:r>
      <w:r w:rsidRPr="003F3B94">
        <w:rPr>
          <w:rFonts w:hint="cs"/>
          <w:sz w:val="28"/>
          <w:rtl/>
          <w:lang w:bidi="ar-SY"/>
        </w:rPr>
        <w:t>ربما لو لم يُجْعل لهم ذلك الخمس الذي يتحدثون عنه أي خمس جميع أموال الدنيا</w:t>
      </w:r>
      <w:r w:rsidR="00217AB4" w:rsidRPr="003F3B94">
        <w:rPr>
          <w:rFonts w:hint="cs"/>
          <w:sz w:val="28"/>
          <w:rtl/>
          <w:lang w:bidi="ar-SY"/>
        </w:rPr>
        <w:t>،</w:t>
      </w:r>
      <w:r w:rsidRPr="003F3B94">
        <w:rPr>
          <w:rFonts w:hint="cs"/>
          <w:sz w:val="28"/>
          <w:rtl/>
          <w:lang w:bidi="ar-SY"/>
        </w:rPr>
        <w:t xml:space="preserve"> لكان من الممكن أن نعتبر أن في ذلك نوع</w:t>
      </w:r>
      <w:r w:rsidR="009C37E9" w:rsidRPr="003F3B94">
        <w:rPr>
          <w:rFonts w:hint="cs"/>
          <w:sz w:val="28"/>
          <w:rtl/>
          <w:lang w:bidi="ar-SY"/>
        </w:rPr>
        <w:t>ًا</w:t>
      </w:r>
      <w:r w:rsidRPr="003F3B94">
        <w:rPr>
          <w:rFonts w:hint="cs"/>
          <w:sz w:val="28"/>
          <w:rtl/>
          <w:lang w:bidi="ar-SY"/>
        </w:rPr>
        <w:t xml:space="preserve"> من الامتياز لهم</w:t>
      </w:r>
      <w:r w:rsidR="00217AB4" w:rsidRPr="003F3B94">
        <w:rPr>
          <w:rFonts w:hint="cs"/>
          <w:sz w:val="28"/>
          <w:rtl/>
          <w:lang w:bidi="ar-SY"/>
        </w:rPr>
        <w:t>!!).</w:t>
      </w:r>
      <w:r w:rsidR="00147857" w:rsidRPr="003F3B94">
        <w:rPr>
          <w:rFonts w:hint="cs"/>
          <w:sz w:val="28"/>
          <w:rtl/>
          <w:lang w:bidi="ar-SY"/>
        </w:rPr>
        <w:t xml:space="preserve"> </w:t>
      </w:r>
    </w:p>
    <w:p w:rsidR="005C664D" w:rsidRPr="003F3B94" w:rsidRDefault="005C664D" w:rsidP="003F3B94">
      <w:pPr>
        <w:pStyle w:val="a0"/>
        <w:rPr>
          <w:rFonts w:hint="cs"/>
          <w:rtl/>
        </w:rPr>
      </w:pPr>
      <w:r w:rsidRPr="003F3B94">
        <w:rPr>
          <w:rFonts w:hint="cs"/>
          <w:sz w:val="28"/>
          <w:rtl/>
          <w:lang w:bidi="ar-SY"/>
        </w:rPr>
        <w:t>إن قانون تحريم الصدقة على بني هاشم لم يُطبَّق أبداً</w:t>
      </w:r>
      <w:r w:rsidR="00217AB4" w:rsidRPr="003F3B94">
        <w:rPr>
          <w:rFonts w:hint="cs"/>
          <w:sz w:val="28"/>
          <w:rtl/>
          <w:lang w:bidi="ar-SY"/>
        </w:rPr>
        <w:t>،</w:t>
      </w:r>
      <w:r w:rsidRPr="003F3B94">
        <w:rPr>
          <w:rFonts w:hint="cs"/>
          <w:sz w:val="28"/>
          <w:rtl/>
          <w:lang w:bidi="ar-SY"/>
        </w:rPr>
        <w:t xml:space="preserve"> اللهم إلا في حياة النبي</w:t>
      </w:r>
      <w:r w:rsidR="00147857" w:rsidRPr="003F3B94">
        <w:rPr>
          <w:rFonts w:hint="cs"/>
          <w:sz w:val="28"/>
          <w:rtl/>
          <w:lang w:bidi="ar-SY"/>
        </w:rPr>
        <w:t xml:space="preserve"> </w:t>
      </w:r>
      <w:r w:rsidR="003C7AEB" w:rsidRPr="003C7AEB">
        <w:rPr>
          <w:rFonts w:ascii="Abo-thar" w:hAnsi="Abo-thar" w:cs="CTraditional Arabic"/>
          <w:sz w:val="28"/>
          <w:rtl/>
          <w:lang w:bidi="ar-SY"/>
        </w:rPr>
        <w:t>ص</w:t>
      </w:r>
      <w:r w:rsidR="00147857" w:rsidRPr="003F3B94">
        <w:rPr>
          <w:rFonts w:ascii="Abo-thar" w:hAnsi="Abo-thar"/>
          <w:sz w:val="28"/>
          <w:rtl/>
          <w:lang w:bidi="ar-SY"/>
        </w:rPr>
        <w:t xml:space="preserve"> </w:t>
      </w:r>
      <w:r w:rsidRPr="003F3B94">
        <w:rPr>
          <w:rFonts w:ascii="Abo-thar" w:hAnsi="Abo-thar" w:hint="cs"/>
          <w:sz w:val="28"/>
          <w:rtl/>
          <w:lang w:bidi="ar-SY"/>
        </w:rPr>
        <w:t>الذي حرمه على واحد أو اثنين من آله من باب الاحتراز والاحتياط ودفع التهمة</w:t>
      </w:r>
      <w:r w:rsidR="00217AB4" w:rsidRPr="003F3B94">
        <w:rPr>
          <w:rFonts w:ascii="Abo-thar" w:hAnsi="Abo-thar" w:hint="cs"/>
          <w:sz w:val="28"/>
          <w:rtl/>
          <w:lang w:bidi="ar-SY"/>
        </w:rPr>
        <w:t>،</w:t>
      </w:r>
      <w:r w:rsidRPr="003F3B94">
        <w:rPr>
          <w:rFonts w:ascii="Abo-thar" w:hAnsi="Abo-thar" w:hint="cs"/>
          <w:sz w:val="28"/>
          <w:rtl/>
          <w:lang w:bidi="ar-SY"/>
        </w:rPr>
        <w:t xml:space="preserve"> ولكن مباشرةً بعد وفاته</w:t>
      </w:r>
      <w:r w:rsidR="00147857" w:rsidRPr="003F3B94">
        <w:rPr>
          <w:rFonts w:ascii="Abo-thar" w:hAnsi="Abo-thar" w:hint="cs"/>
          <w:sz w:val="28"/>
          <w:rtl/>
          <w:lang w:bidi="ar-SY"/>
        </w:rPr>
        <w:t xml:space="preserve"> </w:t>
      </w:r>
      <w:r w:rsidR="003C7AEB" w:rsidRPr="003C7AEB">
        <w:rPr>
          <w:rFonts w:ascii="Abo-thar" w:hAnsi="Abo-thar" w:cs="CTraditional Arabic"/>
          <w:sz w:val="28"/>
          <w:rtl/>
          <w:lang w:bidi="ar-SY"/>
        </w:rPr>
        <w:t>ص</w:t>
      </w:r>
      <w:r w:rsidR="00217AB4" w:rsidRPr="003F3B94">
        <w:rPr>
          <w:rFonts w:ascii="Abo-thar" w:hAnsi="Abo-thar"/>
          <w:sz w:val="28"/>
          <w:rtl/>
          <w:lang w:bidi="ar-SY"/>
        </w:rPr>
        <w:t>،</w:t>
      </w:r>
      <w:r w:rsidRPr="003F3B94">
        <w:rPr>
          <w:rFonts w:ascii="Abo-thar" w:hAnsi="Abo-thar" w:hint="cs"/>
          <w:sz w:val="28"/>
          <w:rtl/>
          <w:lang w:bidi="ar-SY"/>
        </w:rPr>
        <w:t xml:space="preserve"> طبقاً لما صرَّحت به جميع كتب التاريخ</w:t>
      </w:r>
      <w:r w:rsidR="00217AB4" w:rsidRPr="003F3B94">
        <w:rPr>
          <w:rFonts w:ascii="Abo-thar" w:hAnsi="Abo-thar" w:hint="cs"/>
          <w:sz w:val="28"/>
          <w:rtl/>
          <w:lang w:bidi="ar-SY"/>
        </w:rPr>
        <w:t>،</w:t>
      </w:r>
      <w:r w:rsidRPr="003F3B94">
        <w:rPr>
          <w:rFonts w:ascii="Abo-thar" w:hAnsi="Abo-thar" w:hint="cs"/>
          <w:sz w:val="28"/>
          <w:rtl/>
          <w:lang w:bidi="ar-SY"/>
        </w:rPr>
        <w:t xml:space="preserve"> أخذ جميع أهل بيته وآله وقرابته الأدنون والبعيدون من مال بيت المال وأكلوا منه أسوة بسائر المسلمين</w:t>
      </w:r>
      <w:r w:rsidR="00217AB4" w:rsidRPr="003F3B94">
        <w:rPr>
          <w:rFonts w:ascii="Abo-thar" w:hAnsi="Abo-thar" w:hint="cs"/>
          <w:sz w:val="28"/>
          <w:rtl/>
          <w:lang w:bidi="ar-SY"/>
        </w:rPr>
        <w:t>!</w:t>
      </w:r>
    </w:p>
    <w:p w:rsidR="005C664D" w:rsidRPr="003F3B94" w:rsidRDefault="005C664D" w:rsidP="003F3B94">
      <w:pPr>
        <w:pStyle w:val="a0"/>
        <w:rPr>
          <w:rFonts w:hint="cs"/>
          <w:rtl/>
          <w:lang w:bidi="ar-SY"/>
        </w:rPr>
      </w:pPr>
      <w:r w:rsidRPr="003F3B94">
        <w:rPr>
          <w:rFonts w:ascii="Abo-thar" w:hAnsi="Abo-thar" w:hint="cs"/>
          <w:sz w:val="28"/>
          <w:rtl/>
        </w:rPr>
        <w:t>إن عمدة دليل من قالوا بتحريم الصدقة على بني هاشم ومستمسكهم عدة أحاديث ضعيفة ومتناقضة جاءت في كتب الشيعة وأحياناً في كتب أهل السنَّة أيضاً</w:t>
      </w:r>
      <w:r w:rsidR="00217AB4" w:rsidRPr="003F3B94">
        <w:rPr>
          <w:rFonts w:ascii="Abo-thar" w:hAnsi="Abo-thar" w:hint="cs"/>
          <w:sz w:val="28"/>
          <w:rtl/>
        </w:rPr>
        <w:t>،</w:t>
      </w:r>
      <w:r w:rsidRPr="003F3B94">
        <w:rPr>
          <w:rFonts w:ascii="Abo-thar" w:hAnsi="Abo-thar" w:hint="cs"/>
          <w:sz w:val="28"/>
          <w:rtl/>
        </w:rPr>
        <w:t xml:space="preserve"> وأغلب تلك الأحاديث مرويَّةٌ عن </w:t>
      </w:r>
      <w:r w:rsidRPr="003F3B94">
        <w:rPr>
          <w:rFonts w:ascii="Lotus Linotype" w:hAnsi="Lotus Linotype"/>
          <w:sz w:val="28"/>
          <w:rtl/>
        </w:rPr>
        <w:t>«</w:t>
      </w:r>
      <w:r w:rsidRPr="003F3B94">
        <w:rPr>
          <w:rFonts w:hint="cs"/>
          <w:b/>
          <w:bCs/>
          <w:sz w:val="28"/>
          <w:rtl/>
        </w:rPr>
        <w:t>ع</w:t>
      </w:r>
      <w:r w:rsidRPr="003F3B94">
        <w:rPr>
          <w:b/>
          <w:bCs/>
          <w:sz w:val="28"/>
          <w:rtl/>
        </w:rPr>
        <w:t>َلِيّ</w:t>
      </w:r>
      <w:r w:rsidRPr="003F3B94">
        <w:rPr>
          <w:rFonts w:hint="cs"/>
          <w:b/>
          <w:bCs/>
          <w:sz w:val="28"/>
          <w:rtl/>
        </w:rPr>
        <w:t>ِ</w:t>
      </w:r>
      <w:r w:rsidRPr="003F3B94">
        <w:rPr>
          <w:b/>
          <w:bCs/>
          <w:sz w:val="28"/>
          <w:rtl/>
        </w:rPr>
        <w:t xml:space="preserve"> بْن</w:t>
      </w:r>
      <w:r w:rsidRPr="003F3B94">
        <w:rPr>
          <w:rFonts w:hint="cs"/>
          <w:b/>
          <w:bCs/>
          <w:sz w:val="28"/>
          <w:rtl/>
        </w:rPr>
        <w:t>ِ</w:t>
      </w:r>
      <w:r w:rsidRPr="003F3B94">
        <w:rPr>
          <w:b/>
          <w:bCs/>
          <w:sz w:val="28"/>
          <w:rtl/>
        </w:rPr>
        <w:t xml:space="preserve"> الحَسَن</w:t>
      </w:r>
      <w:r w:rsidRPr="003F3B94">
        <w:rPr>
          <w:rFonts w:hint="cs"/>
          <w:b/>
          <w:bCs/>
          <w:sz w:val="28"/>
          <w:rtl/>
        </w:rPr>
        <w:t>ِ</w:t>
      </w:r>
      <w:r w:rsidRPr="003F3B94">
        <w:rPr>
          <w:b/>
          <w:bCs/>
          <w:sz w:val="28"/>
          <w:rtl/>
        </w:rPr>
        <w:t xml:space="preserve"> بْنِ فَضَّالٍ</w:t>
      </w:r>
      <w:r w:rsidRPr="003F3B94">
        <w:rPr>
          <w:rFonts w:ascii="Lotus Linotype" w:hAnsi="Lotus Linotype"/>
          <w:sz w:val="28"/>
          <w:rtl/>
        </w:rPr>
        <w:t>»</w:t>
      </w:r>
      <w:r w:rsidRPr="003F3B94">
        <w:rPr>
          <w:rFonts w:ascii="Abo-thar" w:hAnsi="Abo-thar" w:hint="cs"/>
          <w:sz w:val="28"/>
          <w:rtl/>
        </w:rPr>
        <w:t xml:space="preserve"> الذي بيَّنَّا في كتابنا </w:t>
      </w:r>
      <w:r w:rsidRPr="003F3B94">
        <w:rPr>
          <w:rFonts w:ascii="Lotus Linotype" w:hAnsi="Lotus Linotype"/>
          <w:sz w:val="28"/>
          <w:rtl/>
        </w:rPr>
        <w:t>«</w:t>
      </w:r>
      <w:r w:rsidRPr="003F3B94">
        <w:rPr>
          <w:rFonts w:ascii="Lotus Linotype" w:hAnsi="Lotus Linotype" w:hint="cs"/>
          <w:sz w:val="28"/>
          <w:rtl/>
        </w:rPr>
        <w:t>الزكاة</w:t>
      </w:r>
      <w:r w:rsidRPr="003F3B94">
        <w:rPr>
          <w:rFonts w:ascii="Lotus Linotype" w:hAnsi="Lotus Linotype"/>
          <w:sz w:val="28"/>
          <w:rtl/>
        </w:rPr>
        <w:t>»</w:t>
      </w:r>
      <w:r w:rsidRPr="003F3B94">
        <w:rPr>
          <w:rFonts w:ascii="Lotus Linotype" w:hAnsi="Lotus Linotype" w:hint="cs"/>
          <w:sz w:val="28"/>
          <w:rtl/>
        </w:rPr>
        <w:t xml:space="preserve"> دلائل ضعفه وفساده</w:t>
      </w:r>
      <w:r w:rsidR="00217AB4" w:rsidRPr="003F3B94">
        <w:rPr>
          <w:rFonts w:ascii="Lotus Linotype" w:hAnsi="Lotus Linotype" w:hint="cs"/>
          <w:sz w:val="28"/>
          <w:rtl/>
        </w:rPr>
        <w:t>،</w:t>
      </w:r>
      <w:r w:rsidRPr="003F3B94">
        <w:rPr>
          <w:rFonts w:ascii="Lotus Linotype" w:hAnsi="Lotus Linotype" w:hint="cs"/>
          <w:sz w:val="28"/>
          <w:rtl/>
        </w:rPr>
        <w:t xml:space="preserve"> وذكرنا مختصراً عن ذلك فيما تقدم من كتابنا هذا</w:t>
      </w:r>
      <w:r w:rsidR="00217AB4" w:rsidRPr="003F3B94">
        <w:rPr>
          <w:rFonts w:ascii="Lotus Linotype" w:hAnsi="Lotus Linotype" w:hint="cs"/>
          <w:sz w:val="28"/>
          <w:rtl/>
        </w:rPr>
        <w:t>.</w:t>
      </w:r>
      <w:r w:rsidR="00147857" w:rsidRPr="003F3B94">
        <w:rPr>
          <w:rFonts w:ascii="Lotus Linotype" w:hAnsi="Lotus Linotype" w:hint="cs"/>
          <w:sz w:val="28"/>
          <w:rtl/>
        </w:rPr>
        <w:t xml:space="preserve"> </w:t>
      </w:r>
      <w:r w:rsidRPr="003F3B94">
        <w:rPr>
          <w:rFonts w:ascii="Lotus Linotype" w:hAnsi="Lotus Linotype" w:hint="cs"/>
          <w:sz w:val="28"/>
          <w:rtl/>
        </w:rPr>
        <w:t>فقد روى هذا الرجل</w:t>
      </w:r>
      <w:r w:rsidR="00217AB4" w:rsidRPr="003F3B94">
        <w:rPr>
          <w:rFonts w:ascii="Lotus Linotype" w:hAnsi="Lotus Linotype" w:hint="cs"/>
          <w:sz w:val="28"/>
          <w:rtl/>
        </w:rPr>
        <w:t>،</w:t>
      </w:r>
      <w:r w:rsidRPr="003F3B94">
        <w:rPr>
          <w:rFonts w:ascii="Lotus Linotype" w:hAnsi="Lotus Linotype" w:hint="cs"/>
          <w:sz w:val="28"/>
          <w:rtl/>
        </w:rPr>
        <w:t xml:space="preserve"> طبقاً لما نقله </w:t>
      </w:r>
      <w:r w:rsidRPr="003F3B94">
        <w:rPr>
          <w:rFonts w:hint="cs"/>
          <w:sz w:val="28"/>
          <w:rtl/>
        </w:rPr>
        <w:t xml:space="preserve">الشيخ الطوسي في </w:t>
      </w:r>
      <w:r w:rsidRPr="003F3B94">
        <w:rPr>
          <w:rFonts w:ascii="Lotus Linotype" w:hAnsi="Lotus Linotype"/>
          <w:sz w:val="28"/>
          <w:rtl/>
        </w:rPr>
        <w:t>«</w:t>
      </w:r>
      <w:r w:rsidRPr="003F3B94">
        <w:rPr>
          <w:rFonts w:ascii="Lotus Linotype" w:hAnsi="Lotus Linotype" w:hint="cs"/>
          <w:sz w:val="28"/>
          <w:rtl/>
        </w:rPr>
        <w:t>التهذيب</w:t>
      </w:r>
      <w:r w:rsidRPr="003F3B94">
        <w:rPr>
          <w:rFonts w:ascii="Lotus Linotype" w:hAnsi="Lotus Linotype"/>
          <w:sz w:val="28"/>
          <w:rtl/>
        </w:rPr>
        <w:t>»</w:t>
      </w:r>
      <w:r w:rsidRPr="003F3B94">
        <w:rPr>
          <w:rFonts w:ascii="Lotus Linotype" w:hAnsi="Lotus Linotype" w:hint="cs"/>
          <w:sz w:val="28"/>
          <w:rtl/>
        </w:rPr>
        <w:t xml:space="preserve"> </w:t>
      </w:r>
      <w:r w:rsidR="00147857" w:rsidRPr="003F3B94">
        <w:rPr>
          <w:rFonts w:ascii="Lotus Linotype" w:hAnsi="Lotus Linotype" w:hint="cs"/>
          <w:sz w:val="28"/>
          <w:rtl/>
        </w:rPr>
        <w:t>و</w:t>
      </w:r>
      <w:r w:rsidRPr="003F3B94">
        <w:rPr>
          <w:rFonts w:ascii="Lotus Linotype" w:hAnsi="Lotus Linotype" w:hint="cs"/>
          <w:sz w:val="28"/>
          <w:rtl/>
        </w:rPr>
        <w:t xml:space="preserve">نقله عنه الحرّ العامليّ في </w:t>
      </w:r>
      <w:r w:rsidRPr="003F3B94">
        <w:rPr>
          <w:rFonts w:ascii="Lotus Linotype" w:hAnsi="Lotus Linotype"/>
          <w:sz w:val="28"/>
          <w:rtl/>
        </w:rPr>
        <w:t>«</w:t>
      </w:r>
      <w:r w:rsidRPr="003F3B94">
        <w:rPr>
          <w:rFonts w:ascii="Lotus Linotype" w:hAnsi="Lotus Linotype" w:hint="cs"/>
          <w:sz w:val="28"/>
          <w:rtl/>
        </w:rPr>
        <w:t>وسائل الشيعة</w:t>
      </w:r>
      <w:r w:rsidRPr="003F3B94">
        <w:rPr>
          <w:rFonts w:ascii="Lotus Linotype" w:hAnsi="Lotus Linotype"/>
          <w:sz w:val="28"/>
          <w:rtl/>
        </w:rPr>
        <w:t>»</w:t>
      </w:r>
      <w:r w:rsidRPr="003F3B94">
        <w:rPr>
          <w:rFonts w:hint="cs"/>
          <w:sz w:val="28"/>
          <w:rtl/>
        </w:rPr>
        <w:t xml:space="preserve"> بإسناده فقال</w:t>
      </w:r>
      <w:r w:rsidR="00217AB4" w:rsidRPr="003F3B94">
        <w:rPr>
          <w:rFonts w:hint="cs"/>
          <w:sz w:val="28"/>
          <w:rtl/>
        </w:rPr>
        <w:t>:</w:t>
      </w:r>
      <w:r w:rsidRPr="003F3B94">
        <w:rPr>
          <w:rFonts w:hint="cs"/>
          <w:sz w:val="28"/>
          <w:rtl/>
        </w:rPr>
        <w:t xml:space="preserve"> </w:t>
      </w:r>
      <w:r w:rsidR="00EF2588" w:rsidRPr="003762F6">
        <w:rPr>
          <w:rFonts w:cs="KFGQPC Uthman Taha Naskh" w:hint="cs"/>
          <w:sz w:val="28"/>
          <w:rtl/>
        </w:rPr>
        <w:t>«</w:t>
      </w:r>
      <w:r w:rsidRPr="003762F6">
        <w:rPr>
          <w:rFonts w:cs="KFGQPC Uthman Taha Naskh" w:hint="cs"/>
          <w:b/>
          <w:bCs/>
          <w:sz w:val="28"/>
          <w:rtl/>
        </w:rPr>
        <w:t>ع</w:t>
      </w:r>
      <w:r w:rsidRPr="003762F6">
        <w:rPr>
          <w:rFonts w:cs="KFGQPC Uthman Taha Naskh"/>
          <w:b/>
          <w:bCs/>
          <w:sz w:val="28"/>
          <w:rtl/>
        </w:rPr>
        <w:t xml:space="preserve">َلِيُّ بْنُ الحَسَنِ بْنِ فَضَّالٍ عَنْ جَعْفَرِ بْنِ مُحَمَّدِ بْنِ حَكِيمٍ عَنْ جَمِيلِ بْنِ دَرَّاجٍ عَنْ أَبِي عَبْدِ اللهِ </w:t>
      </w:r>
      <w:r w:rsidR="00BC4BA9" w:rsidRPr="00BC4BA9">
        <w:rPr>
          <w:rFonts w:cs="CTraditional Arabic"/>
          <w:b/>
          <w:sz w:val="28"/>
          <w:rtl/>
        </w:rPr>
        <w:t>÷</w:t>
      </w:r>
      <w:r w:rsidRPr="003762F6">
        <w:rPr>
          <w:rFonts w:cs="KFGQPC Uthman Taha Naskh"/>
          <w:b/>
          <w:bCs/>
          <w:sz w:val="28"/>
          <w:rtl/>
        </w:rPr>
        <w:t xml:space="preserve"> قَالَ</w:t>
      </w:r>
      <w:r w:rsidR="00217AB4" w:rsidRPr="003762F6">
        <w:rPr>
          <w:rFonts w:cs="KFGQPC Uthman Taha Naskh" w:hint="cs"/>
          <w:b/>
          <w:bCs/>
          <w:sz w:val="28"/>
          <w:rtl/>
        </w:rPr>
        <w:t>:</w:t>
      </w:r>
      <w:r w:rsidRPr="003762F6">
        <w:rPr>
          <w:rFonts w:cs="KFGQPC Uthman Taha Naskh"/>
          <w:b/>
          <w:bCs/>
          <w:sz w:val="28"/>
          <w:rtl/>
        </w:rPr>
        <w:t xml:space="preserve"> سَأَلْتُهُ هَلْ تَحِلُّ لِبَنِي هَاشِمٍ الصَّدَقَةُ</w:t>
      </w:r>
      <w:r w:rsidR="00217AB4" w:rsidRPr="003762F6">
        <w:rPr>
          <w:rFonts w:cs="KFGQPC Uthman Taha Naskh" w:hint="cs"/>
          <w:b/>
          <w:bCs/>
          <w:sz w:val="28"/>
          <w:rtl/>
        </w:rPr>
        <w:t>؟</w:t>
      </w:r>
      <w:r w:rsidRPr="003762F6">
        <w:rPr>
          <w:rFonts w:cs="KFGQPC Uthman Taha Naskh"/>
          <w:b/>
          <w:bCs/>
          <w:sz w:val="28"/>
          <w:rtl/>
        </w:rPr>
        <w:t xml:space="preserve"> قَالَ</w:t>
      </w:r>
      <w:r w:rsidR="00217AB4" w:rsidRPr="003762F6">
        <w:rPr>
          <w:rFonts w:cs="KFGQPC Uthman Taha Naskh" w:hint="cs"/>
          <w:b/>
          <w:bCs/>
          <w:sz w:val="28"/>
          <w:rtl/>
        </w:rPr>
        <w:t>:</w:t>
      </w:r>
      <w:r w:rsidRPr="003762F6">
        <w:rPr>
          <w:rFonts w:cs="KFGQPC Uthman Taha Naskh"/>
          <w:b/>
          <w:bCs/>
          <w:sz w:val="28"/>
          <w:rtl/>
        </w:rPr>
        <w:t xml:space="preserve"> لَا</w:t>
      </w:r>
      <w:r w:rsidR="00217AB4" w:rsidRPr="003762F6">
        <w:rPr>
          <w:rFonts w:cs="KFGQPC Uthman Taha Naskh" w:hint="cs"/>
          <w:b/>
          <w:bCs/>
          <w:sz w:val="28"/>
          <w:rtl/>
        </w:rPr>
        <w:t>.</w:t>
      </w:r>
      <w:r w:rsidRPr="003762F6">
        <w:rPr>
          <w:rFonts w:cs="KFGQPC Uthman Taha Naskh"/>
          <w:b/>
          <w:bCs/>
          <w:sz w:val="28"/>
          <w:rtl/>
        </w:rPr>
        <w:t xml:space="preserve"> قُلْتُ</w:t>
      </w:r>
      <w:r w:rsidR="00217AB4" w:rsidRPr="003762F6">
        <w:rPr>
          <w:rFonts w:cs="KFGQPC Uthman Taha Naskh"/>
          <w:b/>
          <w:bCs/>
          <w:sz w:val="28"/>
          <w:rtl/>
        </w:rPr>
        <w:t>:</w:t>
      </w:r>
      <w:r w:rsidRPr="003762F6">
        <w:rPr>
          <w:rFonts w:cs="KFGQPC Uthman Taha Naskh"/>
          <w:b/>
          <w:bCs/>
          <w:sz w:val="28"/>
          <w:rtl/>
        </w:rPr>
        <w:t>تَحِلُّ لِمَوَالِيهِمْ</w:t>
      </w:r>
      <w:r w:rsidR="00217AB4" w:rsidRPr="003762F6">
        <w:rPr>
          <w:rFonts w:cs="KFGQPC Uthman Taha Naskh" w:hint="cs"/>
          <w:b/>
          <w:bCs/>
          <w:sz w:val="28"/>
          <w:rtl/>
        </w:rPr>
        <w:t>؟</w:t>
      </w:r>
      <w:r w:rsidRPr="003762F6">
        <w:rPr>
          <w:rFonts w:cs="KFGQPC Uthman Taha Naskh"/>
          <w:b/>
          <w:bCs/>
          <w:sz w:val="28"/>
          <w:rtl/>
        </w:rPr>
        <w:t xml:space="preserve"> قَالَ</w:t>
      </w:r>
      <w:r w:rsidR="00217AB4" w:rsidRPr="003762F6">
        <w:rPr>
          <w:rFonts w:cs="KFGQPC Uthman Taha Naskh" w:hint="cs"/>
          <w:b/>
          <w:bCs/>
          <w:sz w:val="28"/>
          <w:rtl/>
        </w:rPr>
        <w:t>:</w:t>
      </w:r>
      <w:r w:rsidRPr="003762F6">
        <w:rPr>
          <w:rFonts w:cs="KFGQPC Uthman Taha Naskh"/>
          <w:b/>
          <w:bCs/>
          <w:sz w:val="28"/>
          <w:rtl/>
        </w:rPr>
        <w:t xml:space="preserve"> تَحِلُّ لِمَوَالِيهِمْ وَلَا تَحِلُّ لَهُمْ إِلَّا صَدَقَاتُ بَعْضِهِمْ عَلَى بَعْضٍ</w:t>
      </w:r>
      <w:r w:rsidR="00EF2588" w:rsidRPr="003762F6">
        <w:rPr>
          <w:rFonts w:cs="KFGQPC Uthman Taha Naskh" w:hint="cs"/>
          <w:sz w:val="28"/>
          <w:rtl/>
        </w:rPr>
        <w:t>»</w:t>
      </w:r>
      <w:r w:rsidR="00B20083" w:rsidRPr="0021507A">
        <w:rPr>
          <w:rFonts w:cs="Arabic11 BT"/>
          <w:sz w:val="28"/>
          <w:vertAlign w:val="superscript"/>
          <w:rtl/>
        </w:rPr>
        <w:t>(</w:t>
      </w:r>
      <w:r w:rsidR="00B20083" w:rsidRPr="0021507A">
        <w:rPr>
          <w:rStyle w:val="FootnoteReference"/>
          <w:rFonts w:cs="Arabic11 BT"/>
          <w:sz w:val="28"/>
          <w:rtl/>
        </w:rPr>
        <w:footnoteReference w:id="208"/>
      </w:r>
      <w:r w:rsidR="00B20083" w:rsidRPr="0021507A">
        <w:rPr>
          <w:rFonts w:cs="Arabic11 BT"/>
          <w:sz w:val="28"/>
          <w:vertAlign w:val="superscript"/>
          <w:rtl/>
        </w:rPr>
        <w:t>)</w:t>
      </w:r>
      <w:r w:rsidR="00217AB4" w:rsidRPr="003F3B94">
        <w:rPr>
          <w:rFonts w:hint="cs"/>
          <w:sz w:val="28"/>
          <w:rtl/>
        </w:rPr>
        <w:t>.</w:t>
      </w:r>
    </w:p>
    <w:p w:rsidR="005C664D" w:rsidRPr="003F3B94" w:rsidRDefault="005C664D" w:rsidP="00C13A30">
      <w:pPr>
        <w:pStyle w:val="a0"/>
        <w:rPr>
          <w:rFonts w:hint="cs"/>
          <w:rtl/>
          <w:lang w:bidi="ar-SY"/>
        </w:rPr>
      </w:pPr>
      <w:r w:rsidRPr="003F3B94">
        <w:rPr>
          <w:rFonts w:hint="cs"/>
          <w:sz w:val="28"/>
          <w:rtl/>
          <w:lang w:bidi="ar-SY"/>
        </w:rPr>
        <w:t xml:space="preserve">ولكن هذا الشخص ذاته روى </w:t>
      </w:r>
      <w:r w:rsidR="00217AB4" w:rsidRPr="003F3B94">
        <w:rPr>
          <w:rFonts w:hint="cs"/>
          <w:sz w:val="28"/>
          <w:rtl/>
          <w:lang w:bidi="ar-SY"/>
        </w:rPr>
        <w:t>-</w:t>
      </w:r>
      <w:r w:rsidRPr="003F3B94">
        <w:rPr>
          <w:rFonts w:hint="cs"/>
          <w:sz w:val="28"/>
          <w:rtl/>
          <w:lang w:bidi="ar-SY"/>
        </w:rPr>
        <w:t xml:space="preserve"> طبقاً لما نقله الشيخ الطوسي في </w:t>
      </w:r>
      <w:r w:rsidRPr="003F3B94">
        <w:rPr>
          <w:rFonts w:ascii="Lotus Linotype" w:hAnsi="Lotus Linotype"/>
          <w:sz w:val="28"/>
          <w:rtl/>
          <w:lang w:bidi="ar-SY"/>
        </w:rPr>
        <w:t>«</w:t>
      </w:r>
      <w:r w:rsidRPr="003F3B94">
        <w:rPr>
          <w:rFonts w:ascii="Lotus Linotype" w:hAnsi="Lotus Linotype" w:hint="cs"/>
          <w:sz w:val="28"/>
          <w:rtl/>
          <w:lang w:bidi="ar-SY"/>
        </w:rPr>
        <w:t>التهذيب</w:t>
      </w:r>
      <w:r w:rsidRPr="003F3B94">
        <w:rPr>
          <w:rFonts w:ascii="Lotus Linotype" w:hAnsi="Lotus Linotype"/>
          <w:sz w:val="28"/>
          <w:rtl/>
          <w:lang w:bidi="ar-SY"/>
        </w:rPr>
        <w:t>»</w:t>
      </w:r>
      <w:r w:rsidR="009C37E9" w:rsidRPr="003F3B94">
        <w:rPr>
          <w:rFonts w:hint="cs"/>
          <w:sz w:val="28"/>
          <w:rtl/>
          <w:lang w:bidi="ar-SY"/>
        </w:rPr>
        <w:t>،</w:t>
      </w:r>
      <w:r w:rsidRPr="003F3B94">
        <w:rPr>
          <w:rFonts w:hint="cs"/>
          <w:sz w:val="28"/>
          <w:rtl/>
          <w:lang w:bidi="ar-SY"/>
        </w:rPr>
        <w:t xml:space="preserve"> ونقله عنه </w:t>
      </w:r>
      <w:r w:rsidRPr="003F3B94">
        <w:rPr>
          <w:rFonts w:ascii="Lotus Linotype" w:hAnsi="Lotus Linotype" w:hint="cs"/>
          <w:sz w:val="28"/>
          <w:rtl/>
          <w:lang w:bidi="ar-SY"/>
        </w:rPr>
        <w:t xml:space="preserve">الحرّ العامليّ في </w:t>
      </w:r>
      <w:r w:rsidR="009C37E9" w:rsidRPr="003F3B94">
        <w:rPr>
          <w:rFonts w:ascii="Lotus Linotype" w:hAnsi="Lotus Linotype" w:hint="cs"/>
          <w:sz w:val="28"/>
          <w:rtl/>
          <w:lang w:bidi="ar-SY"/>
        </w:rPr>
        <w:t>الوسائل</w:t>
      </w:r>
      <w:r w:rsidRPr="003F3B94">
        <w:rPr>
          <w:rFonts w:ascii="Lotus Linotype" w:hAnsi="Lotus Linotype" w:hint="cs"/>
          <w:sz w:val="28"/>
          <w:rtl/>
          <w:lang w:bidi="ar-SY"/>
        </w:rPr>
        <w:t xml:space="preserve"> </w:t>
      </w:r>
      <w:r w:rsidR="00B20083" w:rsidRPr="003F3B94">
        <w:rPr>
          <w:rFonts w:ascii="Lotus Linotype" w:hAnsi="Lotus Linotype" w:hint="cs"/>
          <w:sz w:val="28"/>
          <w:rtl/>
          <w:lang w:bidi="ar-SY"/>
        </w:rPr>
        <w:t>قال</w:t>
      </w:r>
      <w:r w:rsidR="00217AB4" w:rsidRPr="003F3B94">
        <w:rPr>
          <w:rFonts w:ascii="Lotus Linotype" w:hAnsi="Lotus Linotype" w:hint="cs"/>
          <w:sz w:val="28"/>
          <w:rtl/>
          <w:lang w:bidi="ar-SY"/>
        </w:rPr>
        <w:t>:</w:t>
      </w:r>
      <w:r w:rsidRPr="003F3B94">
        <w:rPr>
          <w:rFonts w:ascii="Lotus Linotype" w:hAnsi="Lotus Linotype" w:hint="cs"/>
          <w:sz w:val="28"/>
          <w:rtl/>
          <w:lang w:bidi="ar-SY"/>
        </w:rPr>
        <w:t xml:space="preserve"> </w:t>
      </w:r>
      <w:r w:rsidR="009C37E9" w:rsidRPr="000E2C23">
        <w:rPr>
          <w:rFonts w:cs="KFGQPC Uthman Taha Naskh"/>
          <w:b/>
          <w:bCs/>
          <w:sz w:val="28"/>
          <w:rtl/>
          <w:lang w:bidi="ar-SY"/>
        </w:rPr>
        <w:t>وَ</w:t>
      </w:r>
      <w:r w:rsidRPr="000E2C23">
        <w:rPr>
          <w:rFonts w:cs="KFGQPC Uthman Taha Naskh"/>
          <w:b/>
          <w:bCs/>
          <w:sz w:val="28"/>
          <w:rtl/>
          <w:lang w:bidi="ar-SY"/>
        </w:rPr>
        <w:t>رَوَاهُ الشَّيْخُ بِإِسْنَادِهِ عَنْ عَلِيِّ بْنِ الحَسَنِ بْنِ فَضَّالٍ</w:t>
      </w:r>
      <w:r w:rsidR="00217AB4" w:rsidRPr="000E2C23">
        <w:rPr>
          <w:rFonts w:cs="KFGQPC Uthman Taha Naskh"/>
          <w:b/>
          <w:bCs/>
          <w:sz w:val="28"/>
          <w:rtl/>
          <w:lang w:bidi="ar-SY"/>
        </w:rPr>
        <w:t>.</w:t>
      </w:r>
      <w:r w:rsidR="00217AB4" w:rsidRPr="000E2C23">
        <w:rPr>
          <w:rFonts w:cs="KFGQPC Uthman Taha Naskh" w:hint="cs"/>
          <w:b/>
          <w:bCs/>
          <w:sz w:val="28"/>
          <w:rtl/>
          <w:lang w:bidi="ar-SY"/>
        </w:rPr>
        <w:t>..</w:t>
      </w:r>
      <w:r w:rsidR="00147857" w:rsidRPr="000E2C23">
        <w:rPr>
          <w:rFonts w:cs="KFGQPC Uthman Taha Naskh" w:hint="cs"/>
          <w:b/>
          <w:bCs/>
          <w:sz w:val="28"/>
          <w:rtl/>
          <w:lang w:bidi="ar-SY"/>
        </w:rPr>
        <w:t xml:space="preserve"> </w:t>
      </w:r>
      <w:r w:rsidRPr="000E2C23">
        <w:rPr>
          <w:rFonts w:cs="KFGQPC Uthman Taha Naskh"/>
          <w:b/>
          <w:bCs/>
          <w:sz w:val="28"/>
          <w:rtl/>
          <w:lang w:bidi="ar-SY"/>
        </w:rPr>
        <w:t>عَنْ أَبِي عَبْدِاللهِ</w:t>
      </w:r>
      <w:r w:rsidRPr="003F3B94">
        <w:rPr>
          <w:b/>
          <w:bCs/>
          <w:sz w:val="28"/>
          <w:rtl/>
          <w:lang w:bidi="ar-SY"/>
        </w:rPr>
        <w:t xml:space="preserve"> </w:t>
      </w:r>
      <w:r w:rsidR="00BC4BA9" w:rsidRPr="00BC4BA9">
        <w:rPr>
          <w:rFonts w:cs="CTraditional Arabic"/>
          <w:b/>
          <w:sz w:val="28"/>
          <w:rtl/>
          <w:lang w:bidi="ar-SY"/>
        </w:rPr>
        <w:t>÷</w:t>
      </w:r>
      <w:r w:rsidRPr="003F3B94">
        <w:rPr>
          <w:b/>
          <w:bCs/>
          <w:sz w:val="28"/>
          <w:rtl/>
          <w:lang w:bidi="ar-SY"/>
        </w:rPr>
        <w:t xml:space="preserve"> </w:t>
      </w:r>
      <w:r w:rsidRPr="000E2C23">
        <w:rPr>
          <w:rFonts w:cs="KFGQPC Uthman Taha Naskh"/>
          <w:b/>
          <w:bCs/>
          <w:sz w:val="28"/>
          <w:rtl/>
          <w:lang w:bidi="ar-SY"/>
        </w:rPr>
        <w:t>أَنَّهُ قَالَ</w:t>
      </w:r>
      <w:r w:rsidR="00217AB4" w:rsidRPr="000E2C23">
        <w:rPr>
          <w:rFonts w:cs="KFGQPC Uthman Taha Naskh" w:hint="cs"/>
          <w:b/>
          <w:bCs/>
          <w:sz w:val="28"/>
          <w:rtl/>
          <w:lang w:bidi="ar-SY"/>
        </w:rPr>
        <w:t>:</w:t>
      </w:r>
      <w:r w:rsidRPr="000E2C23">
        <w:rPr>
          <w:rFonts w:cs="KFGQPC Uthman Taha Naskh"/>
          <w:b/>
          <w:bCs/>
          <w:sz w:val="28"/>
          <w:rtl/>
          <w:lang w:bidi="ar-SY"/>
        </w:rPr>
        <w:t xml:space="preserve"> أَعْطُوا الزَّكَاةَ مَنْ أَرَادَهَا مِنْ بَنِي هَاشِمٍ </w:t>
      </w:r>
      <w:r w:rsidRPr="000E2C23">
        <w:rPr>
          <w:rFonts w:cs="KFGQPC Uthman Taha Naskh"/>
          <w:b/>
          <w:bCs/>
          <w:sz w:val="28"/>
          <w:u w:val="single"/>
          <w:rtl/>
          <w:lang w:bidi="ar-SY"/>
        </w:rPr>
        <w:t>فَإِنَّهَا تَحِلُّ لَهُمْ</w:t>
      </w:r>
      <w:r w:rsidR="00217AB4" w:rsidRPr="000E2C23">
        <w:rPr>
          <w:rFonts w:cs="KFGQPC Uthman Taha Naskh" w:hint="cs"/>
          <w:b/>
          <w:bCs/>
          <w:sz w:val="28"/>
          <w:rtl/>
          <w:lang w:bidi="ar-SY"/>
        </w:rPr>
        <w:t>!</w:t>
      </w:r>
      <w:r w:rsidRPr="000E2C23">
        <w:rPr>
          <w:rFonts w:cs="KFGQPC Uthman Taha Naskh"/>
          <w:b/>
          <w:bCs/>
          <w:sz w:val="28"/>
          <w:rtl/>
          <w:lang w:bidi="ar-SY"/>
        </w:rPr>
        <w:t xml:space="preserve"> وَإِنَّمَا تَحْرُمُ عَلَى النَّبِيِّ</w:t>
      </w:r>
      <w:r w:rsidR="00147857" w:rsidRPr="003F3B94">
        <w:rPr>
          <w:b/>
          <w:bCs/>
          <w:sz w:val="28"/>
          <w:rtl/>
          <w:lang w:bidi="ar-SY"/>
        </w:rPr>
        <w:t xml:space="preserve"> </w:t>
      </w:r>
      <w:r w:rsidR="003C7AEB" w:rsidRPr="003C7AEB">
        <w:rPr>
          <w:rFonts w:ascii="Abo-thar" w:hAnsi="Abo-thar" w:cs="CTraditional Arabic"/>
          <w:sz w:val="28"/>
          <w:rtl/>
          <w:lang w:bidi="ar-SY"/>
        </w:rPr>
        <w:t>ص</w:t>
      </w:r>
      <w:r w:rsidR="00147857" w:rsidRPr="003F3B94">
        <w:rPr>
          <w:rFonts w:ascii="Abo-thar" w:hAnsi="Abo-thar"/>
          <w:sz w:val="28"/>
          <w:rtl/>
          <w:lang w:bidi="ar-SY"/>
        </w:rPr>
        <w:t xml:space="preserve"> </w:t>
      </w:r>
      <w:r w:rsidRPr="000E2C23">
        <w:rPr>
          <w:rFonts w:cs="KFGQPC Uthman Taha Naskh"/>
          <w:b/>
          <w:bCs/>
          <w:sz w:val="28"/>
          <w:rtl/>
          <w:lang w:bidi="ar-SY"/>
        </w:rPr>
        <w:t>وَعَلَى الْإِمَامِ الَّذِي مِنْ بَعْدِهِ وَعَلَى الْأَئِمَّةِ</w:t>
      </w:r>
      <w:r w:rsidRPr="003F3B94">
        <w:rPr>
          <w:b/>
          <w:bCs/>
          <w:sz w:val="28"/>
          <w:rtl/>
          <w:lang w:bidi="ar-SY"/>
        </w:rPr>
        <w:t xml:space="preserve"> </w:t>
      </w:r>
      <w:r w:rsidR="00C13A30">
        <w:rPr>
          <w:rFonts w:cs="CTraditional Arabic" w:hint="cs"/>
          <w:b/>
          <w:sz w:val="28"/>
          <w:rtl/>
          <w:lang w:bidi="ar-SY"/>
        </w:rPr>
        <w:t>‡</w:t>
      </w:r>
      <w:r w:rsidR="009C37E9" w:rsidRPr="0021507A">
        <w:rPr>
          <w:rFonts w:cs="Arabic11 BT"/>
          <w:sz w:val="28"/>
          <w:vertAlign w:val="superscript"/>
          <w:rtl/>
          <w:lang w:bidi="ar-SY"/>
        </w:rPr>
        <w:t>(</w:t>
      </w:r>
      <w:r w:rsidR="009C37E9" w:rsidRPr="0021507A">
        <w:rPr>
          <w:rStyle w:val="FootnoteReference"/>
          <w:rFonts w:cs="Arabic11 BT"/>
          <w:sz w:val="28"/>
          <w:rtl/>
          <w:lang w:bidi="ar-SY"/>
        </w:rPr>
        <w:footnoteReference w:id="209"/>
      </w:r>
      <w:r w:rsidR="009C37E9" w:rsidRPr="0021507A">
        <w:rPr>
          <w:rFonts w:cs="Arabic11 BT"/>
          <w:sz w:val="28"/>
          <w:vertAlign w:val="superscript"/>
          <w:rtl/>
          <w:lang w:bidi="ar-SY"/>
        </w:rPr>
        <w:t>)</w:t>
      </w:r>
      <w:r w:rsidR="00217AB4" w:rsidRPr="003F3B94">
        <w:rPr>
          <w:rFonts w:hint="cs"/>
          <w:sz w:val="28"/>
          <w:rtl/>
          <w:lang w:bidi="ar-SY"/>
        </w:rPr>
        <w:t>.</w:t>
      </w:r>
    </w:p>
    <w:p w:rsidR="00B20083" w:rsidRPr="003F3B94" w:rsidRDefault="005C664D" w:rsidP="003F3B94">
      <w:pPr>
        <w:pStyle w:val="a0"/>
        <w:rPr>
          <w:rFonts w:hint="cs"/>
          <w:rtl/>
          <w:lang w:bidi="ar-SY"/>
        </w:rPr>
      </w:pPr>
      <w:r w:rsidRPr="003F3B94">
        <w:rPr>
          <w:rFonts w:hint="cs"/>
          <w:sz w:val="28"/>
          <w:rtl/>
          <w:lang w:bidi="ar-SY"/>
        </w:rPr>
        <w:t>وحقا لا يدري الإنسان أيُّ مذهب ودين كان يتبعه أولئك الرواة</w:t>
      </w:r>
      <w:r w:rsidR="00217AB4" w:rsidRPr="003F3B94">
        <w:rPr>
          <w:rFonts w:hint="cs"/>
          <w:sz w:val="28"/>
          <w:rtl/>
          <w:lang w:bidi="ar-SY"/>
        </w:rPr>
        <w:t>؟</w:t>
      </w:r>
      <w:r w:rsidRPr="003F3B94">
        <w:rPr>
          <w:rFonts w:hint="cs"/>
          <w:sz w:val="28"/>
          <w:rtl/>
          <w:lang w:bidi="ar-SY"/>
        </w:rPr>
        <w:t xml:space="preserve"> وإن كانوا مسلمين فكيف كانوا يعملون بهذه الأحكام</w:t>
      </w:r>
      <w:r w:rsidR="00217AB4" w:rsidRPr="003F3B94">
        <w:rPr>
          <w:rFonts w:hint="cs"/>
          <w:sz w:val="28"/>
          <w:rtl/>
          <w:lang w:bidi="ar-SY"/>
        </w:rPr>
        <w:t>؟؟</w:t>
      </w:r>
      <w:r w:rsidRPr="003F3B94">
        <w:rPr>
          <w:rFonts w:hint="cs"/>
          <w:sz w:val="28"/>
          <w:rtl/>
          <w:lang w:bidi="ar-SY"/>
        </w:rPr>
        <w:t xml:space="preserve"> فمرة ينقلون عن الإمام تحريم شيءٍ ومرة أخرى ينقلون عن قول الإمام ذاته تحليل الشيء نفسه</w:t>
      </w:r>
      <w:r w:rsidR="00217AB4" w:rsidRPr="003F3B94">
        <w:rPr>
          <w:rFonts w:hint="cs"/>
          <w:sz w:val="28"/>
          <w:rtl/>
          <w:lang w:bidi="ar-SY"/>
        </w:rPr>
        <w:t>!!</w:t>
      </w:r>
      <w:r w:rsidRPr="003F3B94">
        <w:rPr>
          <w:rFonts w:hint="cs"/>
          <w:sz w:val="28"/>
          <w:rtl/>
          <w:lang w:bidi="ar-SY"/>
        </w:rPr>
        <w:t xml:space="preserve"> </w:t>
      </w:r>
      <w:r w:rsidRPr="003F3B94">
        <w:rPr>
          <w:rFonts w:hint="cs"/>
          <w:b/>
          <w:bCs/>
          <w:sz w:val="28"/>
          <w:rtl/>
          <w:lang w:bidi="ar-SY"/>
        </w:rPr>
        <w:t>نَ</w:t>
      </w:r>
      <w:r w:rsidRPr="003F3B94">
        <w:rPr>
          <w:b/>
          <w:bCs/>
          <w:sz w:val="28"/>
          <w:rtl/>
          <w:lang w:bidi="ar-SY"/>
        </w:rPr>
        <w:t xml:space="preserve">عُوذُ </w:t>
      </w:r>
      <w:r w:rsidRPr="003F3B94">
        <w:rPr>
          <w:rFonts w:hint="cs"/>
          <w:b/>
          <w:bCs/>
          <w:sz w:val="28"/>
          <w:rtl/>
          <w:lang w:bidi="ar-SY"/>
        </w:rPr>
        <w:t>بِاللهِ</w:t>
      </w:r>
      <w:r w:rsidRPr="003F3B94">
        <w:rPr>
          <w:b/>
          <w:bCs/>
          <w:sz w:val="28"/>
          <w:rtl/>
          <w:lang w:bidi="ar-SY"/>
        </w:rPr>
        <w:t xml:space="preserve"> مِنْ هَمَزَاتِ الشَّيَاطِينِ</w:t>
      </w:r>
      <w:r w:rsidR="00217AB4" w:rsidRPr="003F3B94">
        <w:rPr>
          <w:rFonts w:hint="cs"/>
          <w:sz w:val="28"/>
          <w:rtl/>
          <w:lang w:bidi="ar-SY"/>
        </w:rPr>
        <w:t>!!</w:t>
      </w:r>
      <w:r w:rsidR="00147857" w:rsidRPr="003F3B94">
        <w:rPr>
          <w:rFonts w:hint="cs"/>
          <w:sz w:val="28"/>
          <w:rtl/>
          <w:lang w:bidi="ar-SY"/>
        </w:rPr>
        <w:t xml:space="preserve"> </w:t>
      </w:r>
    </w:p>
    <w:p w:rsidR="00B20083" w:rsidRPr="003F3B94" w:rsidRDefault="00B20083" w:rsidP="00A33EB8">
      <w:pPr>
        <w:widowControl w:val="0"/>
        <w:jc w:val="center"/>
        <w:rPr>
          <w:rFonts w:ascii="mylotus" w:hAnsi="mylotus" w:cs="mylotus"/>
          <w:b/>
          <w:bCs/>
          <w:sz w:val="28"/>
          <w:rtl/>
        </w:rPr>
      </w:pPr>
      <w:r w:rsidRPr="00A33EB8">
        <w:rPr>
          <w:rFonts w:ascii="mylotus" w:hAnsi="mylotus" w:cs="B Lotus"/>
          <w:b/>
          <w:bCs/>
          <w:sz w:val="28"/>
          <w:rtl/>
        </w:rPr>
        <w:t>***</w:t>
      </w:r>
    </w:p>
    <w:p w:rsidR="005C664D" w:rsidRPr="003F3B94" w:rsidRDefault="005C664D" w:rsidP="003F3B94">
      <w:pPr>
        <w:pStyle w:val="a0"/>
        <w:rPr>
          <w:rFonts w:hint="cs"/>
          <w:rtl/>
          <w:lang w:bidi="ar-SY"/>
        </w:rPr>
      </w:pPr>
      <w:r w:rsidRPr="003F3B94">
        <w:rPr>
          <w:rFonts w:hint="cs"/>
          <w:sz w:val="28"/>
          <w:rtl/>
          <w:lang w:bidi="ar-SY"/>
        </w:rPr>
        <w:t>لو دققنا النظر في الأحاديث التي اتفق على روايتها الخاصة والعامة في هذا الموضوع لرأينا أن قضية التحريم لم تكن كما يفسرها الغلاة بل كانت نوعاً من الكراهة لا أكثر</w:t>
      </w:r>
      <w:r w:rsidR="00217AB4" w:rsidRPr="003F3B94">
        <w:rPr>
          <w:rFonts w:hint="cs"/>
          <w:sz w:val="28"/>
          <w:rtl/>
          <w:lang w:bidi="ar-SY"/>
        </w:rPr>
        <w:t>،</w:t>
      </w:r>
      <w:r w:rsidRPr="003F3B94">
        <w:rPr>
          <w:rFonts w:hint="cs"/>
          <w:sz w:val="28"/>
          <w:rtl/>
          <w:lang w:bidi="ar-SY"/>
        </w:rPr>
        <w:t xml:space="preserve"> وفيما يلي بعض النصوص التي تشهد على ذلك</w:t>
      </w:r>
      <w:r w:rsidR="00217AB4" w:rsidRPr="003F3B94">
        <w:rPr>
          <w:rFonts w:hint="cs"/>
          <w:sz w:val="28"/>
          <w:rtl/>
          <w:lang w:bidi="ar-SY"/>
        </w:rPr>
        <w:t>:</w:t>
      </w:r>
    </w:p>
    <w:p w:rsidR="005C664D" w:rsidRPr="003F3B94" w:rsidRDefault="005C664D" w:rsidP="000E2C23">
      <w:pPr>
        <w:pStyle w:val="a0"/>
        <w:ind w:left="624" w:hanging="340"/>
        <w:rPr>
          <w:rtl/>
          <w:lang w:bidi="ar-SY"/>
        </w:rPr>
      </w:pPr>
      <w:r w:rsidRPr="003F3B94">
        <w:rPr>
          <w:rFonts w:hint="cs"/>
          <w:sz w:val="28"/>
          <w:rtl/>
          <w:lang w:bidi="ar-SY"/>
        </w:rPr>
        <w:t>1</w:t>
      </w:r>
      <w:r w:rsidR="00217AB4" w:rsidRPr="003F3B94">
        <w:rPr>
          <w:rFonts w:hint="cs"/>
          <w:sz w:val="28"/>
          <w:rtl/>
          <w:lang w:bidi="ar-SY"/>
        </w:rPr>
        <w:t>-</w:t>
      </w:r>
      <w:r w:rsidR="00147857" w:rsidRPr="003F3B94">
        <w:rPr>
          <w:rFonts w:hint="cs"/>
          <w:sz w:val="28"/>
          <w:rtl/>
          <w:lang w:bidi="ar-SY"/>
        </w:rPr>
        <w:t xml:space="preserve"> </w:t>
      </w:r>
      <w:r w:rsidRPr="003F3B94">
        <w:rPr>
          <w:rFonts w:hint="cs"/>
          <w:sz w:val="28"/>
          <w:rtl/>
          <w:lang w:bidi="ar-SY"/>
        </w:rPr>
        <w:t xml:space="preserve">نقل الحر العاملي في وسائل الشيعة عن </w:t>
      </w:r>
      <w:r w:rsidRPr="003F3B94">
        <w:rPr>
          <w:sz w:val="28"/>
          <w:rtl/>
          <w:lang w:bidi="ar-SY"/>
        </w:rPr>
        <w:t>الْفَضْل</w:t>
      </w:r>
      <w:r w:rsidRPr="003F3B94">
        <w:rPr>
          <w:rFonts w:hint="cs"/>
          <w:sz w:val="28"/>
          <w:rtl/>
          <w:lang w:bidi="ar-SY"/>
        </w:rPr>
        <w:t>ِ</w:t>
      </w:r>
      <w:r w:rsidRPr="003F3B94">
        <w:rPr>
          <w:sz w:val="28"/>
          <w:rtl/>
          <w:lang w:bidi="ar-SY"/>
        </w:rPr>
        <w:t xml:space="preserve"> بْن</w:t>
      </w:r>
      <w:r w:rsidRPr="003F3B94">
        <w:rPr>
          <w:rFonts w:hint="cs"/>
          <w:sz w:val="28"/>
          <w:rtl/>
          <w:lang w:bidi="ar-SY"/>
        </w:rPr>
        <w:t>ِ</w:t>
      </w:r>
      <w:r w:rsidRPr="003F3B94">
        <w:rPr>
          <w:sz w:val="28"/>
          <w:rtl/>
          <w:lang w:bidi="ar-SY"/>
        </w:rPr>
        <w:t xml:space="preserve"> الحَسَنِ الطَّبْرِسِيّ</w:t>
      </w:r>
      <w:r w:rsidRPr="003F3B94">
        <w:rPr>
          <w:rFonts w:hint="cs"/>
          <w:sz w:val="28"/>
          <w:rtl/>
          <w:lang w:bidi="ar-SY"/>
        </w:rPr>
        <w:t>ِ</w:t>
      </w:r>
      <w:r w:rsidRPr="003F3B94">
        <w:rPr>
          <w:sz w:val="28"/>
          <w:rtl/>
          <w:lang w:bidi="ar-SY"/>
        </w:rPr>
        <w:t xml:space="preserve"> فِي صَحِيفَةِ الرِّضَا</w:t>
      </w:r>
      <w:r w:rsidR="00BC4BA9" w:rsidRPr="00BC4BA9">
        <w:rPr>
          <w:rFonts w:cs="CTraditional Arabic"/>
          <w:sz w:val="28"/>
          <w:rtl/>
          <w:lang w:bidi="ar-SY"/>
        </w:rPr>
        <w:t>÷</w:t>
      </w:r>
      <w:r w:rsidRPr="003F3B94">
        <w:rPr>
          <w:sz w:val="28"/>
          <w:rtl/>
          <w:lang w:bidi="ar-SY"/>
        </w:rPr>
        <w:t xml:space="preserve"> بِإِسْنَادِهِ قَالَ قَالَ رَسُولُ اللهِ</w:t>
      </w:r>
      <w:r w:rsidR="00147857" w:rsidRPr="003F3B94">
        <w:rPr>
          <w:sz w:val="28"/>
          <w:rtl/>
          <w:lang w:bidi="ar-SY"/>
        </w:rPr>
        <w:t xml:space="preserve"> </w:t>
      </w:r>
      <w:r w:rsidR="003C7AEB" w:rsidRPr="003C7AEB">
        <w:rPr>
          <w:rFonts w:ascii="Abo-thar" w:hAnsi="Abo-thar" w:cs="CTraditional Arabic"/>
          <w:sz w:val="28"/>
          <w:rtl/>
          <w:lang w:bidi="ar-SY"/>
        </w:rPr>
        <w:t>ص</w:t>
      </w:r>
      <w:r w:rsidR="00217AB4" w:rsidRPr="003F3B94">
        <w:rPr>
          <w:rFonts w:ascii="Abo-thar" w:hAnsi="Abo-thar"/>
          <w:sz w:val="28"/>
          <w:rtl/>
          <w:lang w:bidi="ar-SY"/>
        </w:rPr>
        <w:t>:</w:t>
      </w:r>
      <w:r w:rsidRPr="003F3B94">
        <w:rPr>
          <w:sz w:val="28"/>
          <w:rtl/>
          <w:lang w:bidi="ar-SY"/>
        </w:rPr>
        <w:t xml:space="preserve"> </w:t>
      </w:r>
      <w:r w:rsidR="00EF2588" w:rsidRPr="003762F6">
        <w:rPr>
          <w:rFonts w:cs="KFGQPC Uthman Taha Naskh" w:hint="cs"/>
          <w:sz w:val="28"/>
          <w:rtl/>
          <w:lang w:bidi="ar-SY"/>
        </w:rPr>
        <w:t>«</w:t>
      </w:r>
      <w:r w:rsidRPr="003762F6">
        <w:rPr>
          <w:rFonts w:cs="KFGQPC Uthman Taha Naskh"/>
          <w:b/>
          <w:bCs/>
          <w:sz w:val="28"/>
          <w:rtl/>
          <w:lang w:bidi="ar-SY"/>
        </w:rPr>
        <w:t>إِنَّا أَهْلُ بَيْتٍ لَا تَحِلُّ لَنَا الصَّدَقَةُ وَأُمِرْنَا بِإِسْبَاغِ الْوُضُوءِ وَأَنْ لَا نُنْزِيَ حِمَاراً عَلَى عَتِيقَةٍ</w:t>
      </w:r>
      <w:r w:rsidR="00EF2588" w:rsidRPr="003762F6">
        <w:rPr>
          <w:rFonts w:cs="KFGQPC Uthman Taha Naskh" w:hint="cs"/>
          <w:sz w:val="28"/>
          <w:rtl/>
          <w:lang w:bidi="ar-SY"/>
        </w:rPr>
        <w:t>»</w:t>
      </w:r>
      <w:r w:rsidR="00217AB4" w:rsidRPr="0021507A">
        <w:rPr>
          <w:rFonts w:cs="Arabic11 BT"/>
          <w:b/>
          <w:sz w:val="28"/>
          <w:vertAlign w:val="superscript"/>
          <w:rtl/>
          <w:lang w:bidi="ar-SY"/>
        </w:rPr>
        <w:t>(</w:t>
      </w:r>
      <w:r w:rsidRPr="0021507A">
        <w:rPr>
          <w:rStyle w:val="FootnoteReference"/>
          <w:rFonts w:cs="Arabic11 BT"/>
          <w:b/>
          <w:sz w:val="28"/>
          <w:rtl/>
          <w:lang w:bidi="ar-SY"/>
        </w:rPr>
        <w:footnoteReference w:id="210"/>
      </w:r>
      <w:r w:rsidR="00217AB4" w:rsidRPr="0021507A">
        <w:rPr>
          <w:rFonts w:cs="Arabic11 BT"/>
          <w:b/>
          <w:sz w:val="28"/>
          <w:vertAlign w:val="superscript"/>
          <w:rtl/>
          <w:lang w:bidi="ar-SY"/>
        </w:rPr>
        <w:t>)</w:t>
      </w:r>
      <w:r w:rsidR="00217AB4" w:rsidRPr="003F3B94">
        <w:rPr>
          <w:sz w:val="28"/>
          <w:rtl/>
          <w:lang w:bidi="ar-SY"/>
        </w:rPr>
        <w:t>.</w:t>
      </w:r>
    </w:p>
    <w:p w:rsidR="005C664D" w:rsidRPr="003F3B94" w:rsidRDefault="005C664D" w:rsidP="000E2C23">
      <w:pPr>
        <w:pStyle w:val="a0"/>
        <w:ind w:left="624" w:hanging="340"/>
        <w:rPr>
          <w:rFonts w:hint="cs"/>
          <w:rtl/>
          <w:lang w:bidi="ar-SY"/>
        </w:rPr>
      </w:pPr>
      <w:r w:rsidRPr="003F3B94">
        <w:rPr>
          <w:rFonts w:hint="cs"/>
          <w:sz w:val="28"/>
          <w:rtl/>
          <w:lang w:bidi="ar-SY"/>
        </w:rPr>
        <w:t>2</w:t>
      </w:r>
      <w:r w:rsidR="00217AB4" w:rsidRPr="003F3B94">
        <w:rPr>
          <w:rFonts w:hint="cs"/>
          <w:sz w:val="28"/>
          <w:rtl/>
          <w:lang w:bidi="ar-SY"/>
        </w:rPr>
        <w:t>-</w:t>
      </w:r>
      <w:r w:rsidRPr="003F3B94">
        <w:rPr>
          <w:rFonts w:hint="cs"/>
          <w:sz w:val="28"/>
          <w:rtl/>
          <w:lang w:bidi="ar-SY"/>
        </w:rPr>
        <w:t xml:space="preserve"> وفي سنن البيهقي </w:t>
      </w:r>
      <w:r w:rsidR="00217AB4" w:rsidRPr="003F3B94">
        <w:rPr>
          <w:rFonts w:hint="cs"/>
          <w:sz w:val="28"/>
          <w:rtl/>
          <w:lang w:bidi="ar-SY"/>
        </w:rPr>
        <w:t>(</w:t>
      </w:r>
      <w:r w:rsidRPr="003F3B94">
        <w:rPr>
          <w:rFonts w:hint="cs"/>
          <w:sz w:val="28"/>
          <w:rtl/>
          <w:lang w:bidi="ar-SY"/>
        </w:rPr>
        <w:t>ج7</w:t>
      </w:r>
      <w:r w:rsidR="00920257" w:rsidRPr="003F3B94">
        <w:rPr>
          <w:rFonts w:hint="cs"/>
          <w:sz w:val="28"/>
          <w:rtl/>
          <w:lang w:bidi="ar-SY"/>
        </w:rPr>
        <w:t xml:space="preserve">، </w:t>
      </w:r>
      <w:r w:rsidRPr="003F3B94">
        <w:rPr>
          <w:rFonts w:hint="cs"/>
          <w:sz w:val="28"/>
          <w:rtl/>
          <w:lang w:bidi="ar-SY"/>
        </w:rPr>
        <w:t>ص30</w:t>
      </w:r>
      <w:r w:rsidR="00217AB4" w:rsidRPr="003F3B94">
        <w:rPr>
          <w:rFonts w:hint="cs"/>
          <w:sz w:val="28"/>
          <w:rtl/>
          <w:lang w:bidi="ar-SY"/>
        </w:rPr>
        <w:t>)</w:t>
      </w:r>
      <w:r w:rsidRPr="003F3B94">
        <w:rPr>
          <w:rFonts w:hint="cs"/>
          <w:sz w:val="28"/>
          <w:rtl/>
          <w:lang w:bidi="ar-SY"/>
        </w:rPr>
        <w:t xml:space="preserve"> بسنده عن </w:t>
      </w:r>
      <w:r w:rsidR="00EF2588" w:rsidRPr="003762F6">
        <w:rPr>
          <w:rFonts w:cs="KFGQPC Uthman Taha Naskh" w:hint="cs"/>
          <w:sz w:val="28"/>
          <w:rtl/>
          <w:lang w:bidi="ar-SY"/>
        </w:rPr>
        <w:t>«</w:t>
      </w:r>
      <w:r w:rsidRPr="003762F6">
        <w:rPr>
          <w:rFonts w:cs="KFGQPC Uthman Taha Naskh" w:hint="eastAsia"/>
          <w:b/>
          <w:bCs/>
          <w:sz w:val="28"/>
          <w:rtl/>
          <w:lang w:bidi="ar-SY"/>
        </w:rPr>
        <w:t>عَبْد</w:t>
      </w:r>
      <w:r w:rsidRPr="003762F6">
        <w:rPr>
          <w:rFonts w:cs="KFGQPC Uthman Taha Naskh" w:hint="cs"/>
          <w:b/>
          <w:bCs/>
          <w:sz w:val="28"/>
          <w:rtl/>
          <w:lang w:bidi="ar-SY"/>
        </w:rPr>
        <w:t>ِ</w:t>
      </w:r>
      <w:r w:rsidRPr="003762F6">
        <w:rPr>
          <w:rFonts w:cs="KFGQPC Uthman Taha Naskh"/>
          <w:b/>
          <w:bCs/>
          <w:sz w:val="28"/>
          <w:rtl/>
          <w:lang w:bidi="ar-SY"/>
        </w:rPr>
        <w:t xml:space="preserve"> </w:t>
      </w:r>
      <w:r w:rsidRPr="003762F6">
        <w:rPr>
          <w:rFonts w:cs="KFGQPC Uthman Taha Naskh" w:hint="eastAsia"/>
          <w:b/>
          <w:bCs/>
          <w:sz w:val="28"/>
          <w:rtl/>
          <w:lang w:bidi="ar-SY"/>
        </w:rPr>
        <w:t>اللهِ</w:t>
      </w:r>
      <w:r w:rsidRPr="003762F6">
        <w:rPr>
          <w:rFonts w:cs="KFGQPC Uthman Taha Naskh"/>
          <w:b/>
          <w:bCs/>
          <w:sz w:val="28"/>
          <w:rtl/>
          <w:lang w:bidi="ar-SY"/>
        </w:rPr>
        <w:t xml:space="preserve"> </w:t>
      </w:r>
      <w:r w:rsidRPr="003762F6">
        <w:rPr>
          <w:rFonts w:cs="KFGQPC Uthman Taha Naskh" w:hint="eastAsia"/>
          <w:b/>
          <w:bCs/>
          <w:sz w:val="28"/>
          <w:rtl/>
          <w:lang w:bidi="ar-SY"/>
        </w:rPr>
        <w:t>بْن</w:t>
      </w:r>
      <w:r w:rsidRPr="003762F6">
        <w:rPr>
          <w:rFonts w:cs="KFGQPC Uthman Taha Naskh" w:hint="cs"/>
          <w:b/>
          <w:bCs/>
          <w:sz w:val="28"/>
          <w:rtl/>
          <w:lang w:bidi="ar-SY"/>
        </w:rPr>
        <w:t>ِ</w:t>
      </w:r>
      <w:r w:rsidRPr="003762F6">
        <w:rPr>
          <w:rFonts w:cs="KFGQPC Uthman Taha Naskh"/>
          <w:b/>
          <w:bCs/>
          <w:sz w:val="28"/>
          <w:rtl/>
          <w:lang w:bidi="ar-SY"/>
        </w:rPr>
        <w:t xml:space="preserve"> </w:t>
      </w:r>
      <w:r w:rsidRPr="003762F6">
        <w:rPr>
          <w:rFonts w:cs="KFGQPC Uthman Taha Naskh" w:hint="eastAsia"/>
          <w:b/>
          <w:bCs/>
          <w:sz w:val="28"/>
          <w:rtl/>
          <w:lang w:bidi="ar-SY"/>
        </w:rPr>
        <w:t>عُبَيْدِ</w:t>
      </w:r>
      <w:r w:rsidRPr="003762F6">
        <w:rPr>
          <w:rFonts w:cs="KFGQPC Uthman Taha Naskh"/>
          <w:b/>
          <w:bCs/>
          <w:sz w:val="28"/>
          <w:rtl/>
          <w:lang w:bidi="ar-SY"/>
        </w:rPr>
        <w:t xml:space="preserve"> </w:t>
      </w:r>
      <w:r w:rsidRPr="003762F6">
        <w:rPr>
          <w:rFonts w:cs="KFGQPC Uthman Taha Naskh" w:hint="eastAsia"/>
          <w:b/>
          <w:bCs/>
          <w:sz w:val="28"/>
          <w:rtl/>
          <w:lang w:bidi="ar-SY"/>
        </w:rPr>
        <w:t>اللهِ</w:t>
      </w:r>
      <w:r w:rsidRPr="003762F6">
        <w:rPr>
          <w:rFonts w:cs="KFGQPC Uthman Taha Naskh"/>
          <w:b/>
          <w:bCs/>
          <w:sz w:val="28"/>
          <w:rtl/>
          <w:lang w:bidi="ar-SY"/>
        </w:rPr>
        <w:t xml:space="preserve"> </w:t>
      </w:r>
      <w:r w:rsidRPr="003762F6">
        <w:rPr>
          <w:rFonts w:cs="KFGQPC Uthman Taha Naskh" w:hint="eastAsia"/>
          <w:b/>
          <w:bCs/>
          <w:sz w:val="28"/>
          <w:rtl/>
          <w:lang w:bidi="ar-SY"/>
        </w:rPr>
        <w:t>بْنِ</w:t>
      </w:r>
      <w:r w:rsidRPr="003762F6">
        <w:rPr>
          <w:rFonts w:cs="KFGQPC Uthman Taha Naskh"/>
          <w:b/>
          <w:bCs/>
          <w:sz w:val="28"/>
          <w:rtl/>
          <w:lang w:bidi="ar-SY"/>
        </w:rPr>
        <w:t xml:space="preserve"> </w:t>
      </w:r>
      <w:r w:rsidRPr="003762F6">
        <w:rPr>
          <w:rFonts w:cs="KFGQPC Uthman Taha Naskh" w:hint="eastAsia"/>
          <w:b/>
          <w:bCs/>
          <w:sz w:val="28"/>
          <w:rtl/>
          <w:lang w:bidi="ar-SY"/>
        </w:rPr>
        <w:t>الْعَبَّاسِ</w:t>
      </w:r>
      <w:r w:rsidRPr="003762F6">
        <w:rPr>
          <w:rFonts w:cs="KFGQPC Uthman Taha Naskh"/>
          <w:b/>
          <w:bCs/>
          <w:sz w:val="28"/>
          <w:rtl/>
          <w:lang w:bidi="ar-SY"/>
        </w:rPr>
        <w:t xml:space="preserve"> </w:t>
      </w:r>
      <w:r w:rsidRPr="003762F6">
        <w:rPr>
          <w:rFonts w:cs="KFGQPC Uthman Taha Naskh" w:hint="eastAsia"/>
          <w:b/>
          <w:bCs/>
          <w:sz w:val="28"/>
          <w:rtl/>
          <w:lang w:bidi="ar-SY"/>
        </w:rPr>
        <w:t>قَالَ</w:t>
      </w:r>
      <w:r w:rsidR="00217AB4" w:rsidRPr="003762F6">
        <w:rPr>
          <w:rFonts w:cs="KFGQPC Uthman Taha Naskh"/>
          <w:b/>
          <w:bCs/>
          <w:sz w:val="28"/>
          <w:rtl/>
          <w:lang w:bidi="ar-SY"/>
        </w:rPr>
        <w:t>:</w:t>
      </w:r>
      <w:r w:rsidRPr="003762F6">
        <w:rPr>
          <w:rFonts w:cs="KFGQPC Uthman Taha Naskh"/>
          <w:b/>
          <w:bCs/>
          <w:sz w:val="28"/>
          <w:rtl/>
          <w:lang w:bidi="ar-SY"/>
        </w:rPr>
        <w:t xml:space="preserve"> </w:t>
      </w:r>
      <w:r w:rsidRPr="003762F6">
        <w:rPr>
          <w:rFonts w:cs="KFGQPC Uthman Taha Naskh" w:hint="eastAsia"/>
          <w:b/>
          <w:bCs/>
          <w:sz w:val="28"/>
          <w:rtl/>
          <w:lang w:bidi="ar-SY"/>
        </w:rPr>
        <w:t>كُنَّا</w:t>
      </w:r>
      <w:r w:rsidRPr="003762F6">
        <w:rPr>
          <w:rFonts w:cs="KFGQPC Uthman Taha Naskh"/>
          <w:b/>
          <w:bCs/>
          <w:sz w:val="28"/>
          <w:rtl/>
          <w:lang w:bidi="ar-SY"/>
        </w:rPr>
        <w:t xml:space="preserve"> </w:t>
      </w:r>
      <w:r w:rsidRPr="003762F6">
        <w:rPr>
          <w:rFonts w:cs="KFGQPC Uthman Taha Naskh" w:hint="eastAsia"/>
          <w:b/>
          <w:bCs/>
          <w:sz w:val="28"/>
          <w:rtl/>
          <w:lang w:bidi="ar-SY"/>
        </w:rPr>
        <w:t>جُلُوسا</w:t>
      </w:r>
      <w:r w:rsidRPr="003762F6">
        <w:rPr>
          <w:rFonts w:cs="KFGQPC Uthman Taha Naskh" w:hint="cs"/>
          <w:b/>
          <w:bCs/>
          <w:sz w:val="28"/>
          <w:rtl/>
          <w:lang w:bidi="ar-SY"/>
        </w:rPr>
        <w:t>ً</w:t>
      </w:r>
      <w:r w:rsidRPr="003762F6">
        <w:rPr>
          <w:rFonts w:cs="KFGQPC Uthman Taha Naskh"/>
          <w:b/>
          <w:bCs/>
          <w:sz w:val="28"/>
          <w:rtl/>
          <w:lang w:bidi="ar-SY"/>
        </w:rPr>
        <w:t xml:space="preserve"> </w:t>
      </w:r>
      <w:r w:rsidRPr="003762F6">
        <w:rPr>
          <w:rFonts w:cs="KFGQPC Uthman Taha Naskh" w:hint="eastAsia"/>
          <w:b/>
          <w:bCs/>
          <w:sz w:val="28"/>
          <w:rtl/>
          <w:lang w:bidi="ar-SY"/>
        </w:rPr>
        <w:t>عِنْدَ</w:t>
      </w:r>
      <w:r w:rsidRPr="003762F6">
        <w:rPr>
          <w:rFonts w:cs="KFGQPC Uthman Taha Naskh"/>
          <w:b/>
          <w:bCs/>
          <w:sz w:val="28"/>
          <w:rtl/>
          <w:lang w:bidi="ar-SY"/>
        </w:rPr>
        <w:t xml:space="preserve"> </w:t>
      </w:r>
      <w:r w:rsidRPr="003762F6">
        <w:rPr>
          <w:rFonts w:cs="KFGQPC Uthman Taha Naskh" w:hint="eastAsia"/>
          <w:b/>
          <w:bCs/>
          <w:sz w:val="28"/>
          <w:rtl/>
          <w:lang w:bidi="ar-SY"/>
        </w:rPr>
        <w:t>ابْنِ</w:t>
      </w:r>
      <w:r w:rsidRPr="003762F6">
        <w:rPr>
          <w:rFonts w:cs="KFGQPC Uthman Taha Naskh"/>
          <w:b/>
          <w:bCs/>
          <w:sz w:val="28"/>
          <w:rtl/>
          <w:lang w:bidi="ar-SY"/>
        </w:rPr>
        <w:t xml:space="preserve"> </w:t>
      </w:r>
      <w:r w:rsidRPr="003762F6">
        <w:rPr>
          <w:rFonts w:cs="KFGQPC Uthman Taha Naskh" w:hint="eastAsia"/>
          <w:b/>
          <w:bCs/>
          <w:sz w:val="28"/>
          <w:rtl/>
          <w:lang w:bidi="ar-SY"/>
        </w:rPr>
        <w:t>عَبَّاسٍ</w:t>
      </w:r>
      <w:r w:rsidRPr="003762F6">
        <w:rPr>
          <w:rFonts w:cs="KFGQPC Uthman Taha Naskh"/>
          <w:b/>
          <w:bCs/>
          <w:sz w:val="28"/>
          <w:rtl/>
          <w:lang w:bidi="ar-SY"/>
        </w:rPr>
        <w:t xml:space="preserve"> </w:t>
      </w:r>
      <w:r w:rsidRPr="003762F6">
        <w:rPr>
          <w:rFonts w:cs="KFGQPC Uthman Taha Naskh" w:hint="eastAsia"/>
          <w:b/>
          <w:bCs/>
          <w:sz w:val="28"/>
          <w:rtl/>
          <w:lang w:bidi="ar-SY"/>
        </w:rPr>
        <w:t>رَضِ</w:t>
      </w:r>
      <w:r w:rsidRPr="003762F6">
        <w:rPr>
          <w:rFonts w:cs="KFGQPC Uthman Taha Naskh" w:hint="cs"/>
          <w:b/>
          <w:bCs/>
          <w:sz w:val="28"/>
          <w:rtl/>
          <w:lang w:bidi="ar-SY"/>
        </w:rPr>
        <w:t>يَ</w:t>
      </w:r>
      <w:r w:rsidRPr="003762F6">
        <w:rPr>
          <w:rFonts w:cs="KFGQPC Uthman Taha Naskh"/>
          <w:b/>
          <w:bCs/>
          <w:sz w:val="28"/>
          <w:rtl/>
          <w:lang w:bidi="ar-SY"/>
        </w:rPr>
        <w:t xml:space="preserve"> </w:t>
      </w:r>
      <w:r w:rsidRPr="003762F6">
        <w:rPr>
          <w:rFonts w:cs="KFGQPC Uthman Taha Naskh" w:hint="eastAsia"/>
          <w:b/>
          <w:bCs/>
          <w:sz w:val="28"/>
          <w:rtl/>
          <w:lang w:bidi="ar-SY"/>
        </w:rPr>
        <w:t>اللهُ</w:t>
      </w:r>
      <w:r w:rsidRPr="003762F6">
        <w:rPr>
          <w:rFonts w:cs="KFGQPC Uthman Taha Naskh"/>
          <w:b/>
          <w:bCs/>
          <w:sz w:val="28"/>
          <w:rtl/>
          <w:lang w:bidi="ar-SY"/>
        </w:rPr>
        <w:t xml:space="preserve"> </w:t>
      </w:r>
      <w:r w:rsidRPr="003762F6">
        <w:rPr>
          <w:rFonts w:cs="KFGQPC Uthman Taha Naskh" w:hint="eastAsia"/>
          <w:b/>
          <w:bCs/>
          <w:sz w:val="28"/>
          <w:rtl/>
          <w:lang w:bidi="ar-SY"/>
        </w:rPr>
        <w:t>عَنْهُمَا</w:t>
      </w:r>
      <w:r w:rsidRPr="003762F6">
        <w:rPr>
          <w:rFonts w:cs="KFGQPC Uthman Taha Naskh"/>
          <w:b/>
          <w:bCs/>
          <w:sz w:val="28"/>
          <w:rtl/>
          <w:lang w:bidi="ar-SY"/>
        </w:rPr>
        <w:t xml:space="preserve"> </w:t>
      </w:r>
      <w:r w:rsidRPr="003762F6">
        <w:rPr>
          <w:rFonts w:cs="KFGQPC Uthman Taha Naskh" w:hint="eastAsia"/>
          <w:b/>
          <w:bCs/>
          <w:sz w:val="28"/>
          <w:rtl/>
          <w:lang w:bidi="ar-SY"/>
        </w:rPr>
        <w:t>فِ</w:t>
      </w:r>
      <w:r w:rsidRPr="003762F6">
        <w:rPr>
          <w:rFonts w:cs="KFGQPC Uthman Taha Naskh" w:hint="cs"/>
          <w:b/>
          <w:bCs/>
          <w:sz w:val="28"/>
          <w:rtl/>
          <w:lang w:bidi="ar-SY"/>
        </w:rPr>
        <w:t>ي</w:t>
      </w:r>
      <w:r w:rsidRPr="003762F6">
        <w:rPr>
          <w:rFonts w:cs="KFGQPC Uthman Taha Naskh"/>
          <w:b/>
          <w:bCs/>
          <w:sz w:val="28"/>
          <w:rtl/>
          <w:lang w:bidi="ar-SY"/>
        </w:rPr>
        <w:t xml:space="preserve"> </w:t>
      </w:r>
      <w:r w:rsidRPr="003762F6">
        <w:rPr>
          <w:rFonts w:cs="KFGQPC Uthman Taha Naskh" w:hint="eastAsia"/>
          <w:b/>
          <w:bCs/>
          <w:sz w:val="28"/>
          <w:rtl/>
          <w:lang w:bidi="ar-SY"/>
        </w:rPr>
        <w:t>فِتْيَةٍ</w:t>
      </w:r>
      <w:r w:rsidRPr="003762F6">
        <w:rPr>
          <w:rFonts w:cs="KFGQPC Uthman Taha Naskh"/>
          <w:b/>
          <w:bCs/>
          <w:sz w:val="28"/>
          <w:rtl/>
          <w:lang w:bidi="ar-SY"/>
        </w:rPr>
        <w:t xml:space="preserve"> </w:t>
      </w:r>
      <w:r w:rsidRPr="003762F6">
        <w:rPr>
          <w:rFonts w:cs="KFGQPC Uthman Taha Naskh" w:hint="eastAsia"/>
          <w:b/>
          <w:bCs/>
          <w:sz w:val="28"/>
          <w:rtl/>
          <w:lang w:bidi="ar-SY"/>
        </w:rPr>
        <w:t>مِنْ</w:t>
      </w:r>
      <w:r w:rsidRPr="003762F6">
        <w:rPr>
          <w:rFonts w:cs="KFGQPC Uthman Taha Naskh"/>
          <w:b/>
          <w:bCs/>
          <w:sz w:val="28"/>
          <w:rtl/>
          <w:lang w:bidi="ar-SY"/>
        </w:rPr>
        <w:t xml:space="preserve"> </w:t>
      </w:r>
      <w:r w:rsidRPr="003762F6">
        <w:rPr>
          <w:rFonts w:cs="KFGQPC Uthman Taha Naskh" w:hint="eastAsia"/>
          <w:b/>
          <w:bCs/>
          <w:sz w:val="28"/>
          <w:rtl/>
          <w:lang w:bidi="ar-SY"/>
        </w:rPr>
        <w:t>بَنِ</w:t>
      </w:r>
      <w:r w:rsidRPr="003762F6">
        <w:rPr>
          <w:rFonts w:cs="KFGQPC Uthman Taha Naskh" w:hint="cs"/>
          <w:b/>
          <w:bCs/>
          <w:sz w:val="28"/>
          <w:rtl/>
          <w:lang w:bidi="ar-SY"/>
        </w:rPr>
        <w:t>ي</w:t>
      </w:r>
      <w:r w:rsidRPr="003762F6">
        <w:rPr>
          <w:rFonts w:cs="KFGQPC Uthman Taha Naskh"/>
          <w:b/>
          <w:bCs/>
          <w:sz w:val="28"/>
          <w:rtl/>
          <w:lang w:bidi="ar-SY"/>
        </w:rPr>
        <w:t xml:space="preserve"> </w:t>
      </w:r>
      <w:r w:rsidRPr="003762F6">
        <w:rPr>
          <w:rFonts w:cs="KFGQPC Uthman Taha Naskh" w:hint="eastAsia"/>
          <w:b/>
          <w:bCs/>
          <w:sz w:val="28"/>
          <w:rtl/>
          <w:lang w:bidi="ar-SY"/>
        </w:rPr>
        <w:t>هَاشِمٍ</w:t>
      </w:r>
      <w:r w:rsidRPr="003762F6">
        <w:rPr>
          <w:rFonts w:cs="KFGQPC Uthman Taha Naskh"/>
          <w:b/>
          <w:bCs/>
          <w:sz w:val="28"/>
          <w:rtl/>
          <w:lang w:bidi="ar-SY"/>
        </w:rPr>
        <w:t xml:space="preserve"> </w:t>
      </w:r>
      <w:r w:rsidRPr="003762F6">
        <w:rPr>
          <w:rFonts w:cs="KFGQPC Uthman Taha Naskh" w:hint="eastAsia"/>
          <w:b/>
          <w:bCs/>
          <w:sz w:val="28"/>
          <w:rtl/>
          <w:lang w:bidi="ar-SY"/>
        </w:rPr>
        <w:t>فَقَالَ</w:t>
      </w:r>
      <w:r w:rsidR="00217AB4" w:rsidRPr="003762F6">
        <w:rPr>
          <w:rFonts w:cs="KFGQPC Uthman Taha Naskh"/>
          <w:b/>
          <w:bCs/>
          <w:sz w:val="28"/>
          <w:rtl/>
          <w:lang w:bidi="ar-SY"/>
        </w:rPr>
        <w:t>:</w:t>
      </w:r>
      <w:r w:rsidRPr="003762F6">
        <w:rPr>
          <w:rFonts w:cs="KFGQPC Uthman Taha Naskh"/>
          <w:b/>
          <w:bCs/>
          <w:sz w:val="28"/>
          <w:rtl/>
          <w:lang w:bidi="ar-SY"/>
        </w:rPr>
        <w:t xml:space="preserve"> </w:t>
      </w:r>
      <w:r w:rsidRPr="003762F6">
        <w:rPr>
          <w:rFonts w:cs="KFGQPC Uthman Taha Naskh" w:hint="eastAsia"/>
          <w:b/>
          <w:bCs/>
          <w:sz w:val="28"/>
          <w:rtl/>
          <w:lang w:bidi="ar-SY"/>
        </w:rPr>
        <w:t>وَاللَّهِ</w:t>
      </w:r>
      <w:r w:rsidRPr="003762F6">
        <w:rPr>
          <w:rFonts w:cs="KFGQPC Uthman Taha Naskh"/>
          <w:b/>
          <w:bCs/>
          <w:sz w:val="28"/>
          <w:rtl/>
          <w:lang w:bidi="ar-SY"/>
        </w:rPr>
        <w:t xml:space="preserve"> </w:t>
      </w:r>
      <w:r w:rsidRPr="003762F6">
        <w:rPr>
          <w:rFonts w:cs="KFGQPC Uthman Taha Naskh" w:hint="eastAsia"/>
          <w:b/>
          <w:bCs/>
          <w:sz w:val="28"/>
          <w:rtl/>
          <w:lang w:bidi="ar-SY"/>
        </w:rPr>
        <w:t>مَا</w:t>
      </w:r>
      <w:r w:rsidRPr="003762F6">
        <w:rPr>
          <w:rFonts w:cs="KFGQPC Uthman Taha Naskh"/>
          <w:b/>
          <w:bCs/>
          <w:sz w:val="28"/>
          <w:rtl/>
          <w:lang w:bidi="ar-SY"/>
        </w:rPr>
        <w:t xml:space="preserve"> </w:t>
      </w:r>
      <w:r w:rsidRPr="003762F6">
        <w:rPr>
          <w:rFonts w:cs="KFGQPC Uthman Taha Naskh" w:hint="eastAsia"/>
          <w:b/>
          <w:bCs/>
          <w:sz w:val="28"/>
          <w:rtl/>
          <w:lang w:bidi="ar-SY"/>
        </w:rPr>
        <w:t>اخْتَصَّنَا</w:t>
      </w:r>
      <w:r w:rsidRPr="003762F6">
        <w:rPr>
          <w:rFonts w:cs="KFGQPC Uthman Taha Naskh"/>
          <w:b/>
          <w:bCs/>
          <w:sz w:val="28"/>
          <w:rtl/>
          <w:lang w:bidi="ar-SY"/>
        </w:rPr>
        <w:t xml:space="preserve"> </w:t>
      </w:r>
      <w:r w:rsidRPr="003762F6">
        <w:rPr>
          <w:rFonts w:cs="KFGQPC Uthman Taha Naskh" w:hint="eastAsia"/>
          <w:b/>
          <w:bCs/>
          <w:sz w:val="28"/>
          <w:rtl/>
          <w:lang w:bidi="ar-SY"/>
        </w:rPr>
        <w:t>رَسُولُ</w:t>
      </w:r>
      <w:r w:rsidRPr="003762F6">
        <w:rPr>
          <w:rFonts w:cs="KFGQPC Uthman Taha Naskh"/>
          <w:b/>
          <w:bCs/>
          <w:sz w:val="28"/>
          <w:rtl/>
          <w:lang w:bidi="ar-SY"/>
        </w:rPr>
        <w:t xml:space="preserve"> </w:t>
      </w:r>
      <w:r w:rsidRPr="003762F6">
        <w:rPr>
          <w:rFonts w:cs="KFGQPC Uthman Taha Naskh" w:hint="eastAsia"/>
          <w:b/>
          <w:bCs/>
          <w:sz w:val="28"/>
          <w:rtl/>
          <w:lang w:bidi="ar-SY"/>
        </w:rPr>
        <w:t>اللهِ</w:t>
      </w:r>
      <w:r w:rsidR="00147857" w:rsidRPr="003762F6">
        <w:rPr>
          <w:rFonts w:cs="KFGQPC Uthman Taha Naskh"/>
          <w:b/>
          <w:bCs/>
          <w:sz w:val="28"/>
          <w:rtl/>
          <w:lang w:bidi="ar-SY"/>
        </w:rPr>
        <w:t xml:space="preserve"> </w:t>
      </w:r>
      <w:r w:rsidR="003C7AEB" w:rsidRPr="003C7AEB">
        <w:rPr>
          <w:rFonts w:ascii="Abo-thar" w:hAnsi="Abo-thar" w:cs="CTraditional Arabic"/>
          <w:sz w:val="28"/>
          <w:rtl/>
          <w:lang w:bidi="ar-SY"/>
        </w:rPr>
        <w:t>ص</w:t>
      </w:r>
      <w:r w:rsidR="00147857" w:rsidRPr="003762F6">
        <w:rPr>
          <w:rFonts w:ascii="Abo-thar" w:hAnsi="Abo-thar" w:cs="KFGQPC Uthman Taha Naskh"/>
          <w:sz w:val="28"/>
          <w:rtl/>
          <w:lang w:bidi="ar-SY"/>
        </w:rPr>
        <w:t xml:space="preserve"> </w:t>
      </w:r>
      <w:r w:rsidRPr="003762F6">
        <w:rPr>
          <w:rFonts w:cs="KFGQPC Uthman Taha Naskh" w:hint="eastAsia"/>
          <w:b/>
          <w:bCs/>
          <w:sz w:val="28"/>
          <w:rtl/>
          <w:lang w:bidi="ar-SY"/>
        </w:rPr>
        <w:t>بِشَ</w:t>
      </w:r>
      <w:r w:rsidRPr="003762F6">
        <w:rPr>
          <w:rFonts w:cs="KFGQPC Uthman Taha Naskh" w:hint="cs"/>
          <w:b/>
          <w:bCs/>
          <w:sz w:val="28"/>
          <w:rtl/>
          <w:lang w:bidi="ar-SY"/>
        </w:rPr>
        <w:t>ي</w:t>
      </w:r>
      <w:r w:rsidRPr="003762F6">
        <w:rPr>
          <w:rFonts w:cs="KFGQPC Uthman Taha Naskh" w:hint="eastAsia"/>
          <w:b/>
          <w:bCs/>
          <w:sz w:val="28"/>
          <w:rtl/>
          <w:lang w:bidi="ar-SY"/>
        </w:rPr>
        <w:t>ءٍ</w:t>
      </w:r>
      <w:r w:rsidRPr="003762F6">
        <w:rPr>
          <w:rFonts w:cs="KFGQPC Uthman Taha Naskh"/>
          <w:b/>
          <w:bCs/>
          <w:sz w:val="28"/>
          <w:rtl/>
          <w:lang w:bidi="ar-SY"/>
        </w:rPr>
        <w:t xml:space="preserve"> </w:t>
      </w:r>
      <w:r w:rsidRPr="003762F6">
        <w:rPr>
          <w:rFonts w:cs="KFGQPC Uthman Taha Naskh" w:hint="eastAsia"/>
          <w:b/>
          <w:bCs/>
          <w:sz w:val="28"/>
          <w:rtl/>
          <w:lang w:bidi="ar-SY"/>
        </w:rPr>
        <w:t>دُونَ</w:t>
      </w:r>
      <w:r w:rsidRPr="003762F6">
        <w:rPr>
          <w:rFonts w:cs="KFGQPC Uthman Taha Naskh"/>
          <w:b/>
          <w:bCs/>
          <w:sz w:val="28"/>
          <w:rtl/>
          <w:lang w:bidi="ar-SY"/>
        </w:rPr>
        <w:t xml:space="preserve"> </w:t>
      </w:r>
      <w:r w:rsidRPr="003762F6">
        <w:rPr>
          <w:rFonts w:cs="KFGQPC Uthman Taha Naskh" w:hint="eastAsia"/>
          <w:b/>
          <w:bCs/>
          <w:sz w:val="28"/>
          <w:rtl/>
          <w:lang w:bidi="ar-SY"/>
        </w:rPr>
        <w:t>النَّاسِ</w:t>
      </w:r>
      <w:r w:rsidRPr="003762F6">
        <w:rPr>
          <w:rFonts w:cs="KFGQPC Uthman Taha Naskh"/>
          <w:b/>
          <w:bCs/>
          <w:sz w:val="28"/>
          <w:rtl/>
          <w:lang w:bidi="ar-SY"/>
        </w:rPr>
        <w:t xml:space="preserve"> </w:t>
      </w:r>
      <w:r w:rsidRPr="003762F6">
        <w:rPr>
          <w:rFonts w:cs="KFGQPC Uthman Taha Naskh" w:hint="eastAsia"/>
          <w:b/>
          <w:bCs/>
          <w:sz w:val="28"/>
          <w:rtl/>
          <w:lang w:bidi="ar-SY"/>
        </w:rPr>
        <w:t>إِلاَّ</w:t>
      </w:r>
      <w:r w:rsidRPr="003762F6">
        <w:rPr>
          <w:rFonts w:cs="KFGQPC Uthman Taha Naskh"/>
          <w:b/>
          <w:bCs/>
          <w:sz w:val="28"/>
          <w:rtl/>
          <w:lang w:bidi="ar-SY"/>
        </w:rPr>
        <w:t xml:space="preserve"> </w:t>
      </w:r>
      <w:r w:rsidRPr="003762F6">
        <w:rPr>
          <w:rFonts w:cs="KFGQPC Uthman Taha Naskh" w:hint="eastAsia"/>
          <w:b/>
          <w:bCs/>
          <w:sz w:val="28"/>
          <w:rtl/>
          <w:lang w:bidi="ar-SY"/>
        </w:rPr>
        <w:t>ثَلاَثٍ</w:t>
      </w:r>
      <w:r w:rsidR="00217AB4" w:rsidRPr="003762F6">
        <w:rPr>
          <w:rFonts w:cs="KFGQPC Uthman Taha Naskh"/>
          <w:b/>
          <w:bCs/>
          <w:sz w:val="28"/>
          <w:rtl/>
          <w:lang w:bidi="ar-SY"/>
        </w:rPr>
        <w:t>:</w:t>
      </w:r>
      <w:r w:rsidRPr="003762F6">
        <w:rPr>
          <w:rFonts w:cs="KFGQPC Uthman Taha Naskh"/>
          <w:b/>
          <w:bCs/>
          <w:sz w:val="28"/>
          <w:rtl/>
          <w:lang w:bidi="ar-SY"/>
        </w:rPr>
        <w:t xml:space="preserve"> </w:t>
      </w:r>
      <w:r w:rsidRPr="003762F6">
        <w:rPr>
          <w:rFonts w:cs="KFGQPC Uthman Taha Naskh" w:hint="eastAsia"/>
          <w:b/>
          <w:bCs/>
          <w:sz w:val="28"/>
          <w:rtl/>
          <w:lang w:bidi="ar-SY"/>
        </w:rPr>
        <w:t>أَمَرَنَا</w:t>
      </w:r>
      <w:r w:rsidRPr="003762F6">
        <w:rPr>
          <w:rFonts w:cs="KFGQPC Uthman Taha Naskh"/>
          <w:b/>
          <w:bCs/>
          <w:sz w:val="28"/>
          <w:rtl/>
          <w:lang w:bidi="ar-SY"/>
        </w:rPr>
        <w:t xml:space="preserve"> </w:t>
      </w:r>
      <w:r w:rsidRPr="003762F6">
        <w:rPr>
          <w:rFonts w:cs="KFGQPC Uthman Taha Naskh" w:hint="eastAsia"/>
          <w:b/>
          <w:bCs/>
          <w:sz w:val="28"/>
          <w:rtl/>
          <w:lang w:bidi="ar-SY"/>
        </w:rPr>
        <w:t>أَنْ</w:t>
      </w:r>
      <w:r w:rsidRPr="003762F6">
        <w:rPr>
          <w:rFonts w:cs="KFGQPC Uthman Taha Naskh"/>
          <w:b/>
          <w:bCs/>
          <w:sz w:val="28"/>
          <w:rtl/>
          <w:lang w:bidi="ar-SY"/>
        </w:rPr>
        <w:t xml:space="preserve"> </w:t>
      </w:r>
      <w:r w:rsidRPr="003762F6">
        <w:rPr>
          <w:rFonts w:cs="KFGQPC Uthman Taha Naskh" w:hint="eastAsia"/>
          <w:b/>
          <w:bCs/>
          <w:sz w:val="28"/>
          <w:rtl/>
          <w:lang w:bidi="ar-SY"/>
        </w:rPr>
        <w:t>نُسْبِغَ</w:t>
      </w:r>
      <w:r w:rsidRPr="003762F6">
        <w:rPr>
          <w:rFonts w:cs="KFGQPC Uthman Taha Naskh"/>
          <w:b/>
          <w:bCs/>
          <w:sz w:val="28"/>
          <w:rtl/>
          <w:lang w:bidi="ar-SY"/>
        </w:rPr>
        <w:t xml:space="preserve"> </w:t>
      </w:r>
      <w:r w:rsidRPr="003762F6">
        <w:rPr>
          <w:rFonts w:cs="KFGQPC Uthman Taha Naskh" w:hint="eastAsia"/>
          <w:b/>
          <w:bCs/>
          <w:sz w:val="28"/>
          <w:rtl/>
          <w:lang w:bidi="ar-SY"/>
        </w:rPr>
        <w:t>الْوُضُوءَ</w:t>
      </w:r>
      <w:r w:rsidRPr="003762F6">
        <w:rPr>
          <w:rFonts w:cs="KFGQPC Uthman Taha Naskh"/>
          <w:b/>
          <w:bCs/>
          <w:sz w:val="28"/>
          <w:rtl/>
          <w:lang w:bidi="ar-SY"/>
        </w:rPr>
        <w:t xml:space="preserve"> </w:t>
      </w:r>
      <w:r w:rsidRPr="003762F6">
        <w:rPr>
          <w:rFonts w:cs="KFGQPC Uthman Taha Naskh" w:hint="eastAsia"/>
          <w:b/>
          <w:bCs/>
          <w:sz w:val="28"/>
          <w:rtl/>
          <w:lang w:bidi="ar-SY"/>
        </w:rPr>
        <w:t>وَأَمَرَنَا</w:t>
      </w:r>
      <w:r w:rsidRPr="003762F6">
        <w:rPr>
          <w:rFonts w:cs="KFGQPC Uthman Taha Naskh"/>
          <w:b/>
          <w:bCs/>
          <w:sz w:val="28"/>
          <w:rtl/>
          <w:lang w:bidi="ar-SY"/>
        </w:rPr>
        <w:t xml:space="preserve"> </w:t>
      </w:r>
      <w:r w:rsidRPr="003762F6">
        <w:rPr>
          <w:rFonts w:cs="KFGQPC Uthman Taha Naskh" w:hint="eastAsia"/>
          <w:b/>
          <w:bCs/>
          <w:sz w:val="28"/>
          <w:rtl/>
          <w:lang w:bidi="ar-SY"/>
        </w:rPr>
        <w:t>أَنْ</w:t>
      </w:r>
      <w:r w:rsidRPr="003762F6">
        <w:rPr>
          <w:rFonts w:cs="KFGQPC Uthman Taha Naskh"/>
          <w:b/>
          <w:bCs/>
          <w:sz w:val="28"/>
          <w:rtl/>
          <w:lang w:bidi="ar-SY"/>
        </w:rPr>
        <w:t xml:space="preserve"> </w:t>
      </w:r>
      <w:r w:rsidRPr="003762F6">
        <w:rPr>
          <w:rFonts w:cs="KFGQPC Uthman Taha Naskh" w:hint="eastAsia"/>
          <w:b/>
          <w:bCs/>
          <w:sz w:val="28"/>
          <w:rtl/>
          <w:lang w:bidi="ar-SY"/>
        </w:rPr>
        <w:t>لاَ</w:t>
      </w:r>
      <w:r w:rsidRPr="003762F6">
        <w:rPr>
          <w:rFonts w:cs="KFGQPC Uthman Taha Naskh"/>
          <w:b/>
          <w:bCs/>
          <w:sz w:val="28"/>
          <w:rtl/>
          <w:lang w:bidi="ar-SY"/>
        </w:rPr>
        <w:t xml:space="preserve"> </w:t>
      </w:r>
      <w:r w:rsidRPr="003762F6">
        <w:rPr>
          <w:rFonts w:cs="KFGQPC Uthman Taha Naskh" w:hint="eastAsia"/>
          <w:b/>
          <w:bCs/>
          <w:sz w:val="28"/>
          <w:rtl/>
          <w:lang w:bidi="ar-SY"/>
        </w:rPr>
        <w:t>نَأْكُلَ</w:t>
      </w:r>
      <w:r w:rsidRPr="003762F6">
        <w:rPr>
          <w:rFonts w:cs="KFGQPC Uthman Taha Naskh"/>
          <w:b/>
          <w:bCs/>
          <w:sz w:val="28"/>
          <w:rtl/>
          <w:lang w:bidi="ar-SY"/>
        </w:rPr>
        <w:t xml:space="preserve"> </w:t>
      </w:r>
      <w:r w:rsidRPr="003762F6">
        <w:rPr>
          <w:rFonts w:cs="KFGQPC Uthman Taha Naskh" w:hint="eastAsia"/>
          <w:b/>
          <w:bCs/>
          <w:sz w:val="28"/>
          <w:rtl/>
          <w:lang w:bidi="ar-SY"/>
        </w:rPr>
        <w:t>الصَّدَقَةَ</w:t>
      </w:r>
      <w:r w:rsidRPr="003762F6">
        <w:rPr>
          <w:rFonts w:cs="KFGQPC Uthman Taha Naskh"/>
          <w:b/>
          <w:bCs/>
          <w:sz w:val="28"/>
          <w:rtl/>
          <w:lang w:bidi="ar-SY"/>
        </w:rPr>
        <w:t xml:space="preserve"> </w:t>
      </w:r>
      <w:r w:rsidRPr="003762F6">
        <w:rPr>
          <w:rFonts w:cs="KFGQPC Uthman Taha Naskh" w:hint="eastAsia"/>
          <w:b/>
          <w:bCs/>
          <w:sz w:val="28"/>
          <w:rtl/>
          <w:lang w:bidi="ar-SY"/>
        </w:rPr>
        <w:t>وَلاَ</w:t>
      </w:r>
      <w:r w:rsidRPr="003762F6">
        <w:rPr>
          <w:rFonts w:cs="KFGQPC Uthman Taha Naskh"/>
          <w:b/>
          <w:bCs/>
          <w:sz w:val="28"/>
          <w:rtl/>
          <w:lang w:bidi="ar-SY"/>
        </w:rPr>
        <w:t xml:space="preserve"> </w:t>
      </w:r>
      <w:r w:rsidRPr="003762F6">
        <w:rPr>
          <w:rFonts w:cs="KFGQPC Uthman Taha Naskh" w:hint="eastAsia"/>
          <w:b/>
          <w:bCs/>
          <w:sz w:val="28"/>
          <w:rtl/>
          <w:lang w:bidi="ar-SY"/>
        </w:rPr>
        <w:t>نُنْزِ</w:t>
      </w:r>
      <w:r w:rsidRPr="003762F6">
        <w:rPr>
          <w:rFonts w:cs="KFGQPC Uthman Taha Naskh" w:hint="cs"/>
          <w:b/>
          <w:bCs/>
          <w:sz w:val="28"/>
          <w:rtl/>
          <w:lang w:bidi="ar-SY"/>
        </w:rPr>
        <w:t>يَ</w:t>
      </w:r>
      <w:r w:rsidRPr="003762F6">
        <w:rPr>
          <w:rFonts w:cs="KFGQPC Uthman Taha Naskh"/>
          <w:b/>
          <w:bCs/>
          <w:sz w:val="28"/>
          <w:rtl/>
          <w:lang w:bidi="ar-SY"/>
        </w:rPr>
        <w:t xml:space="preserve"> ال</w:t>
      </w:r>
      <w:r w:rsidRPr="003762F6">
        <w:rPr>
          <w:rFonts w:cs="KFGQPC Uthman Taha Naskh" w:hint="eastAsia"/>
          <w:b/>
          <w:bCs/>
          <w:sz w:val="28"/>
          <w:rtl/>
          <w:lang w:bidi="ar-SY"/>
        </w:rPr>
        <w:t>حُمُرَ</w:t>
      </w:r>
      <w:r w:rsidRPr="003762F6">
        <w:rPr>
          <w:rFonts w:cs="KFGQPC Uthman Taha Naskh"/>
          <w:b/>
          <w:bCs/>
          <w:sz w:val="28"/>
          <w:rtl/>
          <w:lang w:bidi="ar-SY"/>
        </w:rPr>
        <w:t xml:space="preserve"> </w:t>
      </w:r>
      <w:r w:rsidRPr="003762F6">
        <w:rPr>
          <w:rFonts w:cs="KFGQPC Uthman Taha Naskh" w:hint="eastAsia"/>
          <w:b/>
          <w:bCs/>
          <w:sz w:val="28"/>
          <w:rtl/>
          <w:lang w:bidi="ar-SY"/>
        </w:rPr>
        <w:t>عَلَى</w:t>
      </w:r>
      <w:r w:rsidRPr="003762F6">
        <w:rPr>
          <w:rFonts w:cs="KFGQPC Uthman Taha Naskh"/>
          <w:b/>
          <w:bCs/>
          <w:sz w:val="28"/>
          <w:rtl/>
          <w:lang w:bidi="ar-SY"/>
        </w:rPr>
        <w:t xml:space="preserve"> ال</w:t>
      </w:r>
      <w:r w:rsidRPr="003762F6">
        <w:rPr>
          <w:rFonts w:cs="KFGQPC Uthman Taha Naskh" w:hint="eastAsia"/>
          <w:b/>
          <w:bCs/>
          <w:sz w:val="28"/>
          <w:rtl/>
          <w:lang w:bidi="ar-SY"/>
        </w:rPr>
        <w:t>خَيْلِ</w:t>
      </w:r>
      <w:r w:rsidR="00EF2588" w:rsidRPr="003762F6">
        <w:rPr>
          <w:rFonts w:cs="KFGQPC Uthman Taha Naskh" w:hint="cs"/>
          <w:sz w:val="28"/>
          <w:rtl/>
          <w:lang w:bidi="ar-SY"/>
        </w:rPr>
        <w:t>»</w:t>
      </w:r>
      <w:r w:rsidR="00F456DF" w:rsidRPr="003F3B94">
        <w:rPr>
          <w:rFonts w:hint="cs"/>
          <w:sz w:val="28"/>
          <w:rtl/>
          <w:lang w:bidi="ar-SY"/>
        </w:rPr>
        <w:t>.</w:t>
      </w:r>
    </w:p>
    <w:p w:rsidR="005C664D" w:rsidRPr="003F3B94" w:rsidRDefault="005C664D" w:rsidP="003F3B94">
      <w:pPr>
        <w:pStyle w:val="a0"/>
        <w:rPr>
          <w:rFonts w:hint="cs"/>
          <w:rtl/>
          <w:lang w:bidi="ar-SY"/>
        </w:rPr>
      </w:pPr>
      <w:r w:rsidRPr="003F3B94">
        <w:rPr>
          <w:rFonts w:hint="cs"/>
          <w:sz w:val="28"/>
          <w:rtl/>
          <w:lang w:bidi="ar-SY"/>
        </w:rPr>
        <w:t>فكما نلاحظ جُعل أكل بني هاشم للصدقة بمنزلة ومرتبة نزو الحمر على الخيل</w:t>
      </w:r>
      <w:r w:rsidR="00217AB4" w:rsidRPr="003F3B94">
        <w:rPr>
          <w:rFonts w:hint="cs"/>
          <w:sz w:val="28"/>
          <w:rtl/>
          <w:lang w:bidi="ar-SY"/>
        </w:rPr>
        <w:t>!</w:t>
      </w:r>
      <w:r w:rsidRPr="003F3B94">
        <w:rPr>
          <w:rFonts w:hint="cs"/>
          <w:sz w:val="28"/>
          <w:rtl/>
          <w:lang w:bidi="ar-SY"/>
        </w:rPr>
        <w:t xml:space="preserve"> وهو عمل لا يصل أبداً إلى مرتبة الحرمة التي توجب العقاب على مرتكبه بل هو عمل مكروه يجتنبه كل رجل شريفٍ</w:t>
      </w:r>
      <w:r w:rsidR="00217AB4" w:rsidRPr="003F3B94">
        <w:rPr>
          <w:rFonts w:hint="cs"/>
          <w:sz w:val="28"/>
          <w:rtl/>
          <w:lang w:bidi="ar-SY"/>
        </w:rPr>
        <w:t>.</w:t>
      </w:r>
    </w:p>
    <w:p w:rsidR="005C664D" w:rsidRPr="003F3B94" w:rsidRDefault="005C664D" w:rsidP="000E2C23">
      <w:pPr>
        <w:pStyle w:val="a0"/>
        <w:rPr>
          <w:rFonts w:hint="cs"/>
          <w:rtl/>
          <w:lang w:bidi="ar-SY"/>
        </w:rPr>
      </w:pPr>
      <w:r w:rsidRPr="003F3B94">
        <w:rPr>
          <w:rFonts w:hint="cs"/>
          <w:sz w:val="28"/>
          <w:rtl/>
          <w:lang w:bidi="ar-SY"/>
        </w:rPr>
        <w:t>وأما الحجة الثانية التي تمسَّك بها القائلون بتحريم الصدقة على بني هاشم بعد النبيِّ فهي قول النبي</w:t>
      </w:r>
      <w:r w:rsidR="00147857" w:rsidRPr="003F3B94">
        <w:rPr>
          <w:rFonts w:hint="cs"/>
          <w:sz w:val="28"/>
          <w:rtl/>
          <w:lang w:bidi="ar-SY"/>
        </w:rPr>
        <w:t xml:space="preserve"> </w:t>
      </w:r>
      <w:r w:rsidR="003C7AEB" w:rsidRPr="003C7AEB">
        <w:rPr>
          <w:rFonts w:ascii="Abo-thar" w:hAnsi="Abo-thar" w:cs="CTraditional Arabic"/>
          <w:sz w:val="28"/>
          <w:rtl/>
          <w:lang w:bidi="ar-SY"/>
        </w:rPr>
        <w:t>ص</w:t>
      </w:r>
      <w:r w:rsidR="00147857" w:rsidRPr="003F3B94">
        <w:rPr>
          <w:rFonts w:ascii="Abo-thar" w:hAnsi="Abo-thar"/>
          <w:sz w:val="28"/>
          <w:rtl/>
          <w:lang w:bidi="ar-SY"/>
        </w:rPr>
        <w:t xml:space="preserve"> </w:t>
      </w:r>
      <w:r w:rsidRPr="003F3B94">
        <w:rPr>
          <w:rFonts w:ascii="Abo-thar" w:hAnsi="Abo-thar" w:hint="cs"/>
          <w:sz w:val="28"/>
          <w:rtl/>
          <w:lang w:bidi="ar-SY"/>
        </w:rPr>
        <w:t xml:space="preserve">عن </w:t>
      </w:r>
      <w:r w:rsidRPr="003F3B94">
        <w:rPr>
          <w:rFonts w:hint="cs"/>
          <w:sz w:val="28"/>
          <w:rtl/>
          <w:lang w:bidi="ar-SY"/>
        </w:rPr>
        <w:t>مال الزكاة والصدقة أنه</w:t>
      </w:r>
      <w:r w:rsidR="00217AB4" w:rsidRPr="003F3B94">
        <w:rPr>
          <w:rFonts w:hint="cs"/>
          <w:sz w:val="28"/>
          <w:rtl/>
          <w:lang w:bidi="ar-SY"/>
        </w:rPr>
        <w:t>:</w:t>
      </w:r>
      <w:r w:rsidRPr="003F3B94">
        <w:rPr>
          <w:rFonts w:hint="cs"/>
          <w:sz w:val="28"/>
          <w:rtl/>
          <w:lang w:bidi="ar-SY"/>
        </w:rPr>
        <w:t xml:space="preserve"> </w:t>
      </w:r>
      <w:r w:rsidRPr="003F3B94">
        <w:rPr>
          <w:sz w:val="28"/>
          <w:rtl/>
          <w:lang w:bidi="ar-SY"/>
        </w:rPr>
        <w:t>«</w:t>
      </w:r>
      <w:r w:rsidRPr="003F3B94">
        <w:rPr>
          <w:rFonts w:hint="cs"/>
          <w:b/>
          <w:bCs/>
          <w:sz w:val="28"/>
          <w:rtl/>
          <w:lang w:bidi="ar-SY"/>
        </w:rPr>
        <w:t>أوساخ أيدي الناس</w:t>
      </w:r>
      <w:r w:rsidRPr="003F3B94">
        <w:rPr>
          <w:sz w:val="28"/>
          <w:rtl/>
          <w:lang w:bidi="ar-SY"/>
        </w:rPr>
        <w:t>»</w:t>
      </w:r>
      <w:r w:rsidR="00217AB4" w:rsidRPr="003F3B94">
        <w:rPr>
          <w:rFonts w:hint="cs"/>
          <w:sz w:val="28"/>
          <w:rtl/>
          <w:lang w:bidi="ar-SY"/>
        </w:rPr>
        <w:t>،</w:t>
      </w:r>
      <w:r w:rsidRPr="003F3B94">
        <w:rPr>
          <w:rFonts w:hint="cs"/>
          <w:sz w:val="28"/>
          <w:rtl/>
          <w:lang w:bidi="ar-SY"/>
        </w:rPr>
        <w:t xml:space="preserve"> أي أنه من كد يمينهم وعرق جبينهم</w:t>
      </w:r>
      <w:r w:rsidR="00217AB4" w:rsidRPr="003F3B94">
        <w:rPr>
          <w:rFonts w:hint="cs"/>
          <w:sz w:val="28"/>
          <w:rtl/>
          <w:lang w:bidi="ar-SY"/>
        </w:rPr>
        <w:t>،</w:t>
      </w:r>
      <w:r w:rsidR="00147857" w:rsidRPr="003F3B94">
        <w:rPr>
          <w:rFonts w:hint="cs"/>
          <w:sz w:val="28"/>
          <w:rtl/>
          <w:lang w:bidi="ar-SY"/>
        </w:rPr>
        <w:t xml:space="preserve"> و</w:t>
      </w:r>
      <w:r w:rsidRPr="003F3B94">
        <w:rPr>
          <w:rFonts w:hint="cs"/>
          <w:sz w:val="28"/>
          <w:rtl/>
          <w:lang w:bidi="ar-SY"/>
        </w:rPr>
        <w:t>بعبارة أبسط</w:t>
      </w:r>
      <w:r w:rsidR="00217AB4" w:rsidRPr="003F3B94">
        <w:rPr>
          <w:rFonts w:hint="cs"/>
          <w:sz w:val="28"/>
          <w:rtl/>
          <w:lang w:bidi="ar-SY"/>
        </w:rPr>
        <w:t>:</w:t>
      </w:r>
      <w:r w:rsidRPr="003F3B94">
        <w:rPr>
          <w:rFonts w:hint="cs"/>
          <w:sz w:val="28"/>
          <w:rtl/>
          <w:lang w:bidi="ar-SY"/>
        </w:rPr>
        <w:t xml:space="preserve"> إنها من كدح الناس وتعبهم</w:t>
      </w:r>
      <w:r w:rsidR="00217AB4" w:rsidRPr="003F3B94">
        <w:rPr>
          <w:rFonts w:hint="cs"/>
          <w:sz w:val="28"/>
          <w:rtl/>
          <w:lang w:bidi="ar-SY"/>
        </w:rPr>
        <w:t>،</w:t>
      </w:r>
      <w:r w:rsidRPr="003F3B94">
        <w:rPr>
          <w:rFonts w:hint="cs"/>
          <w:sz w:val="28"/>
          <w:rtl/>
          <w:lang w:bidi="ar-SY"/>
        </w:rPr>
        <w:t xml:space="preserve"> فلا يجوز لنبي هاشم الأكل منها</w:t>
      </w:r>
      <w:r w:rsidR="00217AB4" w:rsidRPr="003F3B94">
        <w:rPr>
          <w:rFonts w:hint="cs"/>
          <w:sz w:val="28"/>
          <w:rtl/>
          <w:lang w:bidi="ar-SY"/>
        </w:rPr>
        <w:t>،</w:t>
      </w:r>
      <w:r w:rsidRPr="003F3B94">
        <w:rPr>
          <w:rFonts w:hint="cs"/>
          <w:sz w:val="28"/>
          <w:rtl/>
          <w:lang w:bidi="ar-SY"/>
        </w:rPr>
        <w:t xml:space="preserve"> وهذا المعنى نجده فيما رواه الكليني في </w:t>
      </w:r>
      <w:r w:rsidRPr="003F3B94">
        <w:rPr>
          <w:sz w:val="28"/>
          <w:rtl/>
          <w:lang w:bidi="ar-SY"/>
        </w:rPr>
        <w:t>الكافي</w:t>
      </w:r>
      <w:r w:rsidR="00217AB4" w:rsidRPr="003F3B94">
        <w:rPr>
          <w:rFonts w:hint="cs"/>
          <w:sz w:val="28"/>
          <w:rtl/>
          <w:lang w:bidi="ar-SY"/>
        </w:rPr>
        <w:t>،</w:t>
      </w:r>
      <w:r w:rsidRPr="003F3B94">
        <w:rPr>
          <w:rFonts w:hint="cs"/>
          <w:sz w:val="28"/>
          <w:rtl/>
          <w:lang w:bidi="ar-SY"/>
        </w:rPr>
        <w:t xml:space="preserve"> </w:t>
      </w:r>
      <w:r w:rsidR="00217AB4" w:rsidRPr="003F3B94">
        <w:rPr>
          <w:rFonts w:hint="cs"/>
          <w:sz w:val="28"/>
          <w:rtl/>
          <w:lang w:bidi="ar-SY"/>
        </w:rPr>
        <w:t>(</w:t>
      </w:r>
      <w:r w:rsidRPr="003F3B94">
        <w:rPr>
          <w:sz w:val="28"/>
          <w:rtl/>
          <w:lang w:bidi="ar-SY"/>
        </w:rPr>
        <w:t>ج 4</w:t>
      </w:r>
      <w:r w:rsidR="00920257" w:rsidRPr="003F3B94">
        <w:rPr>
          <w:rFonts w:hint="cs"/>
          <w:sz w:val="28"/>
          <w:rtl/>
          <w:lang w:bidi="ar-SY"/>
        </w:rPr>
        <w:t xml:space="preserve">، </w:t>
      </w:r>
      <w:r w:rsidRPr="003F3B94">
        <w:rPr>
          <w:sz w:val="28"/>
          <w:rtl/>
          <w:lang w:bidi="ar-SY"/>
        </w:rPr>
        <w:t>ص 58</w:t>
      </w:r>
      <w:r w:rsidR="00217AB4" w:rsidRPr="003F3B94">
        <w:rPr>
          <w:rFonts w:hint="cs"/>
          <w:sz w:val="28"/>
          <w:rtl/>
          <w:lang w:bidi="ar-SY"/>
        </w:rPr>
        <w:t>)</w:t>
      </w:r>
      <w:r w:rsidRPr="003F3B94">
        <w:rPr>
          <w:rFonts w:hint="cs"/>
          <w:sz w:val="28"/>
          <w:rtl/>
          <w:lang w:bidi="ar-SY"/>
        </w:rPr>
        <w:t xml:space="preserve"> فقال</w:t>
      </w:r>
      <w:r w:rsidR="00217AB4" w:rsidRPr="003F3B94">
        <w:rPr>
          <w:rFonts w:hint="cs"/>
          <w:sz w:val="28"/>
          <w:rtl/>
          <w:lang w:bidi="ar-SY"/>
        </w:rPr>
        <w:t>:</w:t>
      </w:r>
      <w:r w:rsidR="00147857" w:rsidRPr="003F3B94">
        <w:rPr>
          <w:rFonts w:hint="cs"/>
          <w:sz w:val="28"/>
          <w:rtl/>
          <w:lang w:bidi="ar-SY"/>
        </w:rPr>
        <w:t xml:space="preserve"> </w:t>
      </w:r>
      <w:r w:rsidR="00EF2588" w:rsidRPr="003762F6">
        <w:rPr>
          <w:rFonts w:cs="KFGQPC Uthman Taha Naskh" w:hint="cs"/>
          <w:sz w:val="28"/>
          <w:rtl/>
          <w:lang w:bidi="ar-SY"/>
        </w:rPr>
        <w:t>«</w:t>
      </w:r>
      <w:r w:rsidRPr="003762F6">
        <w:rPr>
          <w:rFonts w:cs="KFGQPC Uthman Taha Naskh"/>
          <w:sz w:val="28"/>
          <w:rtl/>
          <w:lang w:bidi="ar-SY"/>
        </w:rPr>
        <w:t>عَلِيُّ بْنُ إِبْرَاهِيمَ عَنْ أَبِيهِ عَنْ حَمَّادٍ عَنْ حَرِيزٍ عَنْ مُحَمَّدِ بْنِ مُسْلِمٍ وَأَبِي بَصِيرٍ وَزُرَارَةَ عَنْ أَبِي جَعْفَرٍ وَأَبِي عَبْدِ اللهِ</w:t>
      </w:r>
      <w:r w:rsidR="00BC4BA9" w:rsidRPr="00BC4BA9">
        <w:rPr>
          <w:rFonts w:cs="CTraditional Arabic"/>
          <w:sz w:val="28"/>
          <w:rtl/>
          <w:lang w:bidi="ar-SY"/>
        </w:rPr>
        <w:t>÷</w:t>
      </w:r>
      <w:r w:rsidRPr="003762F6">
        <w:rPr>
          <w:rFonts w:cs="KFGQPC Uthman Taha Naskh"/>
          <w:sz w:val="28"/>
          <w:rtl/>
          <w:lang w:bidi="ar-SY"/>
        </w:rPr>
        <w:t xml:space="preserve"> قَالَا</w:t>
      </w:r>
      <w:r w:rsidR="00217AB4" w:rsidRPr="003762F6">
        <w:rPr>
          <w:rFonts w:cs="KFGQPC Uthman Taha Naskh" w:hint="cs"/>
          <w:b/>
          <w:bCs/>
          <w:sz w:val="28"/>
          <w:rtl/>
          <w:lang w:bidi="ar-SY"/>
        </w:rPr>
        <w:t>:</w:t>
      </w:r>
      <w:r w:rsidRPr="003762F6">
        <w:rPr>
          <w:rFonts w:cs="KFGQPC Uthman Taha Naskh"/>
          <w:b/>
          <w:bCs/>
          <w:sz w:val="28"/>
          <w:rtl/>
          <w:lang w:bidi="ar-SY"/>
        </w:rPr>
        <w:t xml:space="preserve"> قَالَ رَسُولُ اللهِ</w:t>
      </w:r>
      <w:r w:rsidR="00147857" w:rsidRPr="003762F6">
        <w:rPr>
          <w:rFonts w:cs="KFGQPC Uthman Taha Naskh"/>
          <w:b/>
          <w:bCs/>
          <w:sz w:val="28"/>
          <w:rtl/>
          <w:lang w:bidi="ar-SY"/>
        </w:rPr>
        <w:t xml:space="preserve"> </w:t>
      </w:r>
      <w:r w:rsidR="003C7AEB" w:rsidRPr="003C7AEB">
        <w:rPr>
          <w:rFonts w:ascii="Abo-thar" w:hAnsi="Abo-thar" w:cs="CTraditional Arabic"/>
          <w:sz w:val="28"/>
          <w:rtl/>
          <w:lang w:bidi="ar-SY"/>
        </w:rPr>
        <w:t>ص</w:t>
      </w:r>
      <w:r w:rsidR="00217AB4" w:rsidRPr="003762F6">
        <w:rPr>
          <w:rFonts w:ascii="Abo-thar" w:hAnsi="Abo-thar" w:cs="KFGQPC Uthman Taha Naskh"/>
          <w:sz w:val="28"/>
          <w:rtl/>
          <w:lang w:bidi="ar-SY"/>
        </w:rPr>
        <w:t>:</w:t>
      </w:r>
      <w:r w:rsidRPr="003762F6">
        <w:rPr>
          <w:rFonts w:cs="KFGQPC Uthman Taha Naskh" w:hint="cs"/>
          <w:b/>
          <w:bCs/>
          <w:sz w:val="28"/>
          <w:rtl/>
          <w:lang w:bidi="ar-SY"/>
        </w:rPr>
        <w:t xml:space="preserve"> </w:t>
      </w:r>
      <w:r w:rsidRPr="003762F6">
        <w:rPr>
          <w:rFonts w:cs="KFGQPC Uthman Taha Naskh"/>
          <w:b/>
          <w:bCs/>
          <w:sz w:val="28"/>
          <w:rtl/>
          <w:lang w:bidi="ar-SY"/>
        </w:rPr>
        <w:t>إِنَّ الصَّدَقَةَ أَوْسَاخُ أَيْدِي النَّاسِ وَإِنَّ اللهَ قَدْ حَرَّمَ عَلَيَّ مِنْهَا وَمِنْ غَيْرِهَا مَا قَدْ حَرَّمَهُ وَإِنَّ الصَّدَقَةَ لَا تَحِلُّ لِبَنِي عَبْدِ المُطَّلِبِ</w:t>
      </w:r>
      <w:r w:rsidR="00EF2588" w:rsidRPr="003762F6">
        <w:rPr>
          <w:rFonts w:cs="KFGQPC Uthman Taha Naskh" w:hint="cs"/>
          <w:sz w:val="28"/>
          <w:rtl/>
          <w:lang w:bidi="ar-SY"/>
        </w:rPr>
        <w:t>»</w:t>
      </w:r>
      <w:r w:rsidR="00217AB4" w:rsidRPr="003F3B94">
        <w:rPr>
          <w:rFonts w:hint="cs"/>
          <w:sz w:val="28"/>
          <w:rtl/>
          <w:lang w:bidi="ar-SY"/>
        </w:rPr>
        <w:t>.</w:t>
      </w:r>
      <w:r w:rsidR="00147857" w:rsidRPr="003F3B94">
        <w:rPr>
          <w:rFonts w:hint="cs"/>
          <w:sz w:val="28"/>
          <w:rtl/>
          <w:lang w:bidi="ar-SY"/>
        </w:rPr>
        <w:t xml:space="preserve"> </w:t>
      </w:r>
      <w:r w:rsidRPr="003F3B94">
        <w:rPr>
          <w:rFonts w:hint="cs"/>
          <w:sz w:val="28"/>
          <w:rtl/>
          <w:lang w:bidi="ar-SY"/>
        </w:rPr>
        <w:t>وقد سبق أن شرحنا هذا الحديث</w:t>
      </w:r>
      <w:r w:rsidR="00217AB4" w:rsidRPr="003F3B94">
        <w:rPr>
          <w:rFonts w:hint="cs"/>
          <w:sz w:val="28"/>
          <w:rtl/>
          <w:lang w:bidi="ar-SY"/>
        </w:rPr>
        <w:t>.</w:t>
      </w:r>
    </w:p>
    <w:p w:rsidR="005C664D" w:rsidRPr="003F3B94" w:rsidRDefault="005C664D" w:rsidP="003F3B94">
      <w:pPr>
        <w:pStyle w:val="a0"/>
        <w:rPr>
          <w:rFonts w:hint="cs"/>
          <w:rtl/>
        </w:rPr>
      </w:pPr>
      <w:r w:rsidRPr="003F3B94">
        <w:rPr>
          <w:rFonts w:hint="cs"/>
          <w:sz w:val="28"/>
          <w:rtl/>
          <w:lang w:bidi="ar-SY"/>
        </w:rPr>
        <w:t xml:space="preserve">وفي </w:t>
      </w:r>
      <w:r w:rsidRPr="003F3B94">
        <w:rPr>
          <w:sz w:val="28"/>
          <w:rtl/>
          <w:lang w:bidi="ar-SY"/>
        </w:rPr>
        <w:t>السنن الكبرى للبيهق</w:t>
      </w:r>
      <w:r w:rsidRPr="003F3B94">
        <w:rPr>
          <w:rFonts w:hint="cs"/>
          <w:sz w:val="28"/>
          <w:rtl/>
          <w:lang w:bidi="ar-SY"/>
        </w:rPr>
        <w:t>ي</w:t>
      </w:r>
      <w:r w:rsidRPr="003F3B94">
        <w:rPr>
          <w:sz w:val="28"/>
          <w:rtl/>
          <w:lang w:bidi="ar-SY"/>
        </w:rPr>
        <w:t xml:space="preserve"> </w:t>
      </w:r>
      <w:r w:rsidRPr="003F3B94">
        <w:rPr>
          <w:rFonts w:hint="cs"/>
          <w:sz w:val="28"/>
          <w:rtl/>
          <w:lang w:bidi="ar-SY"/>
        </w:rPr>
        <w:t xml:space="preserve">قصة مجيء </w:t>
      </w:r>
      <w:r w:rsidRPr="003F3B94">
        <w:rPr>
          <w:sz w:val="28"/>
          <w:rtl/>
          <w:lang w:bidi="ar-SY"/>
        </w:rPr>
        <w:t>رَبِيعَة</w:t>
      </w:r>
      <w:r w:rsidRPr="003F3B94">
        <w:rPr>
          <w:rFonts w:hint="cs"/>
          <w:sz w:val="28"/>
          <w:rtl/>
          <w:lang w:bidi="ar-SY"/>
        </w:rPr>
        <w:t>َ</w:t>
      </w:r>
      <w:r w:rsidRPr="003F3B94">
        <w:rPr>
          <w:sz w:val="28"/>
          <w:rtl/>
          <w:lang w:bidi="ar-SY"/>
        </w:rPr>
        <w:t xml:space="preserve"> بْن</w:t>
      </w:r>
      <w:r w:rsidRPr="003F3B94">
        <w:rPr>
          <w:rFonts w:hint="cs"/>
          <w:sz w:val="28"/>
          <w:rtl/>
          <w:lang w:bidi="ar-SY"/>
        </w:rPr>
        <w:t>ِ</w:t>
      </w:r>
      <w:r w:rsidRPr="003F3B94">
        <w:rPr>
          <w:sz w:val="28"/>
          <w:rtl/>
          <w:lang w:bidi="ar-SY"/>
        </w:rPr>
        <w:t xml:space="preserve"> الحَارِثِ وَالْعَبَّاس</w:t>
      </w:r>
      <w:r w:rsidRPr="003F3B94">
        <w:rPr>
          <w:rFonts w:hint="cs"/>
          <w:sz w:val="28"/>
          <w:rtl/>
          <w:lang w:bidi="ar-SY"/>
        </w:rPr>
        <w:t>ِ</w:t>
      </w:r>
      <w:r w:rsidRPr="003F3B94">
        <w:rPr>
          <w:sz w:val="28"/>
          <w:rtl/>
          <w:lang w:bidi="ar-SY"/>
        </w:rPr>
        <w:t xml:space="preserve"> بْن</w:t>
      </w:r>
      <w:r w:rsidRPr="003F3B94">
        <w:rPr>
          <w:rFonts w:hint="cs"/>
          <w:sz w:val="28"/>
          <w:rtl/>
          <w:lang w:bidi="ar-SY"/>
        </w:rPr>
        <w:t>ِ</w:t>
      </w:r>
      <w:r w:rsidRPr="003F3B94">
        <w:rPr>
          <w:sz w:val="28"/>
          <w:rtl/>
          <w:lang w:bidi="ar-SY"/>
        </w:rPr>
        <w:t xml:space="preserve"> عَبْدِ المُطَّلِبِ </w:t>
      </w:r>
      <w:r w:rsidRPr="003F3B94">
        <w:rPr>
          <w:rFonts w:hint="cs"/>
          <w:sz w:val="28"/>
          <w:rtl/>
          <w:lang w:bidi="ar-SY"/>
        </w:rPr>
        <w:t>إ</w:t>
      </w:r>
      <w:r w:rsidRPr="003F3B94">
        <w:rPr>
          <w:sz w:val="28"/>
          <w:rtl/>
          <w:lang w:bidi="ar-SY"/>
        </w:rPr>
        <w:t>ِلَى رَسُولِ اللهِ</w:t>
      </w:r>
      <w:r w:rsidR="00147857" w:rsidRPr="003F3B94">
        <w:rPr>
          <w:sz w:val="28"/>
          <w:rtl/>
          <w:lang w:bidi="ar-SY"/>
        </w:rPr>
        <w:t xml:space="preserve"> </w:t>
      </w:r>
      <w:r w:rsidR="003C7AEB" w:rsidRPr="003C7AEB">
        <w:rPr>
          <w:rFonts w:ascii="Abo-thar" w:hAnsi="Abo-thar" w:cs="CTraditional Arabic"/>
          <w:sz w:val="28"/>
          <w:rtl/>
          <w:lang w:bidi="ar-SY"/>
        </w:rPr>
        <w:t>ص</w:t>
      </w:r>
      <w:r w:rsidR="00147857" w:rsidRPr="003F3B94">
        <w:rPr>
          <w:rFonts w:ascii="Abo-thar" w:hAnsi="Abo-thar"/>
          <w:sz w:val="28"/>
          <w:rtl/>
          <w:lang w:bidi="ar-SY"/>
        </w:rPr>
        <w:t xml:space="preserve"> </w:t>
      </w:r>
      <w:r w:rsidRPr="003F3B94">
        <w:rPr>
          <w:rFonts w:hint="cs"/>
          <w:sz w:val="28"/>
          <w:rtl/>
          <w:lang w:bidi="ar-SY"/>
        </w:rPr>
        <w:t>ليسألوه أن يعمل أولادهما في الصدقات</w:t>
      </w:r>
      <w:r w:rsidR="00217AB4" w:rsidRPr="003F3B94">
        <w:rPr>
          <w:rFonts w:hint="cs"/>
          <w:sz w:val="28"/>
          <w:rtl/>
          <w:lang w:bidi="ar-SY"/>
        </w:rPr>
        <w:t>،</w:t>
      </w:r>
      <w:r w:rsidRPr="003F3B94">
        <w:rPr>
          <w:rFonts w:hint="cs"/>
          <w:sz w:val="28"/>
          <w:rtl/>
          <w:lang w:bidi="ar-SY"/>
        </w:rPr>
        <w:t xml:space="preserve"> وأنهما قالا</w:t>
      </w:r>
      <w:r w:rsidR="00217AB4" w:rsidRPr="003F3B94">
        <w:rPr>
          <w:rFonts w:hint="cs"/>
          <w:sz w:val="28"/>
          <w:rtl/>
          <w:lang w:bidi="ar-SY"/>
        </w:rPr>
        <w:t>:</w:t>
      </w:r>
      <w:r w:rsidR="00147857" w:rsidRPr="003F3B94">
        <w:rPr>
          <w:rFonts w:hint="cs"/>
          <w:sz w:val="28"/>
          <w:rtl/>
          <w:lang w:bidi="ar-SY"/>
        </w:rPr>
        <w:t xml:space="preserve"> </w:t>
      </w:r>
      <w:r w:rsidR="00EF2588" w:rsidRPr="003762F6">
        <w:rPr>
          <w:rFonts w:cs="KFGQPC Uthman Taha Naskh" w:hint="cs"/>
          <w:sz w:val="28"/>
          <w:rtl/>
          <w:lang w:bidi="ar-SY"/>
        </w:rPr>
        <w:t>«</w:t>
      </w:r>
      <w:r w:rsidRPr="003762F6">
        <w:rPr>
          <w:rFonts w:cs="KFGQPC Uthman Taha Naskh"/>
          <w:b/>
          <w:bCs/>
          <w:sz w:val="28"/>
          <w:rtl/>
          <w:lang w:bidi="ar-SY"/>
        </w:rPr>
        <w:t>جِئْنَاكَ لِتُؤَمِّرَنَا عَلَى بَعْضِ هَذِهِ الصَّدَقَاتِ فَنُؤَدِّ</w:t>
      </w:r>
      <w:r w:rsidRPr="003762F6">
        <w:rPr>
          <w:rFonts w:cs="KFGQPC Uthman Taha Naskh" w:hint="cs"/>
          <w:b/>
          <w:bCs/>
          <w:sz w:val="28"/>
          <w:rtl/>
          <w:lang w:bidi="ar-SY"/>
        </w:rPr>
        <w:t>يَ</w:t>
      </w:r>
      <w:r w:rsidRPr="003762F6">
        <w:rPr>
          <w:rFonts w:cs="KFGQPC Uthman Taha Naskh"/>
          <w:b/>
          <w:bCs/>
          <w:sz w:val="28"/>
          <w:rtl/>
          <w:lang w:bidi="ar-SY"/>
        </w:rPr>
        <w:t xml:space="preserve"> إِلَيْكَ مَا يُؤَدِّى النَّاسُ وَنُصِيبَ كَمَا يُصِيبُ النَّاسُ فَسَكَتَ طَوِيلاً فَأَرَدْنَا أَنْ نُكَلِّمَهُ وَجَعَلَتْ زَيْنَبُ رَضِ</w:t>
      </w:r>
      <w:r w:rsidRPr="003762F6">
        <w:rPr>
          <w:rFonts w:cs="KFGQPC Uthman Taha Naskh" w:hint="cs"/>
          <w:b/>
          <w:bCs/>
          <w:sz w:val="28"/>
          <w:rtl/>
          <w:lang w:bidi="ar-SY"/>
        </w:rPr>
        <w:t>يَ</w:t>
      </w:r>
      <w:r w:rsidRPr="003762F6">
        <w:rPr>
          <w:rFonts w:cs="KFGQPC Uthman Taha Naskh"/>
          <w:b/>
          <w:bCs/>
          <w:sz w:val="28"/>
          <w:rtl/>
          <w:lang w:bidi="ar-SY"/>
        </w:rPr>
        <w:t xml:space="preserve"> اللهُ عَنْهَا تُلْمِعُ إِلَيْنَا مِنْ وَرَاءِ الحِجَابِ أَنْ لاَ تُكَلِّمَاهُ ثُمَّ قَالَ</w:t>
      </w:r>
      <w:r w:rsidR="00217AB4" w:rsidRPr="003762F6">
        <w:rPr>
          <w:rFonts w:cs="KFGQPC Uthman Taha Naskh"/>
          <w:b/>
          <w:bCs/>
          <w:sz w:val="28"/>
          <w:rtl/>
          <w:lang w:bidi="ar-SY"/>
        </w:rPr>
        <w:t>:</w:t>
      </w:r>
      <w:r w:rsidR="00C13A30">
        <w:rPr>
          <w:rFonts w:cs="KFGQPC Uthman Taha Naskh" w:hint="cs"/>
          <w:b/>
          <w:bCs/>
          <w:sz w:val="28"/>
          <w:rtl/>
          <w:lang w:bidi="ar-SY"/>
        </w:rPr>
        <w:t xml:space="preserve"> </w:t>
      </w:r>
      <w:r w:rsidRPr="003762F6">
        <w:rPr>
          <w:rFonts w:cs="KFGQPC Uthman Taha Naskh"/>
          <w:b/>
          <w:bCs/>
          <w:sz w:val="28"/>
          <w:rtl/>
          <w:lang w:bidi="ar-SY"/>
        </w:rPr>
        <w:t>«إِنَّ الصَّدَقَةَ لاَ</w:t>
      </w:r>
      <w:r w:rsidRPr="003762F6">
        <w:rPr>
          <w:rFonts w:cs="Times New Roman" w:hint="cs"/>
          <w:b/>
          <w:bCs/>
          <w:sz w:val="28"/>
          <w:rtl/>
          <w:lang w:bidi="ar-SY"/>
        </w:rPr>
        <w:t> </w:t>
      </w:r>
      <w:r w:rsidRPr="003762F6">
        <w:rPr>
          <w:rFonts w:cs="KFGQPC Uthman Taha Naskh"/>
          <w:b/>
          <w:bCs/>
          <w:sz w:val="28"/>
          <w:rtl/>
          <w:lang w:bidi="ar-SY"/>
        </w:rPr>
        <w:t>تَنْبَغِ</w:t>
      </w:r>
      <w:r w:rsidRPr="003762F6">
        <w:rPr>
          <w:rFonts w:cs="KFGQPC Uthman Taha Naskh" w:hint="cs"/>
          <w:b/>
          <w:bCs/>
          <w:sz w:val="28"/>
          <w:rtl/>
          <w:lang w:bidi="ar-SY"/>
        </w:rPr>
        <w:t>ي</w:t>
      </w:r>
      <w:r w:rsidRPr="003762F6">
        <w:rPr>
          <w:rFonts w:cs="KFGQPC Uthman Taha Naskh"/>
          <w:b/>
          <w:bCs/>
          <w:sz w:val="28"/>
          <w:rtl/>
          <w:lang w:bidi="ar-SY"/>
        </w:rPr>
        <w:t xml:space="preserve"> لآلِ مُحَمَّدٍ إِنَّمَا هِ</w:t>
      </w:r>
      <w:r w:rsidRPr="003762F6">
        <w:rPr>
          <w:rFonts w:cs="KFGQPC Uthman Taha Naskh" w:hint="cs"/>
          <w:b/>
          <w:bCs/>
          <w:sz w:val="28"/>
          <w:rtl/>
          <w:lang w:bidi="ar-SY"/>
        </w:rPr>
        <w:t>يَ</w:t>
      </w:r>
      <w:r w:rsidRPr="003762F6">
        <w:rPr>
          <w:rFonts w:cs="KFGQPC Uthman Taha Naskh"/>
          <w:b/>
          <w:bCs/>
          <w:sz w:val="28"/>
          <w:rtl/>
          <w:lang w:bidi="ar-SY"/>
        </w:rPr>
        <w:t xml:space="preserve"> أَوْسَاخُ النَّاسِ</w:t>
      </w:r>
      <w:r w:rsidR="00EF2588" w:rsidRPr="003762F6">
        <w:rPr>
          <w:rFonts w:ascii="Lotus Linotype" w:hAnsi="Lotus Linotype" w:cs="KFGQPC Uthman Taha Naskh"/>
          <w:sz w:val="28"/>
          <w:rtl/>
          <w:lang w:bidi="ar-SY"/>
        </w:rPr>
        <w:t>»</w:t>
      </w:r>
      <w:r w:rsidR="00B20083" w:rsidRPr="0021507A">
        <w:rPr>
          <w:rFonts w:ascii="Lotus Linotype" w:hAnsi="Lotus Linotype" w:cs="Arabic11 BT"/>
          <w:sz w:val="28"/>
          <w:vertAlign w:val="superscript"/>
          <w:rtl/>
          <w:lang w:bidi="ar-SY"/>
        </w:rPr>
        <w:t>(</w:t>
      </w:r>
      <w:r w:rsidR="00B20083" w:rsidRPr="0021507A">
        <w:rPr>
          <w:rStyle w:val="FootnoteReference"/>
          <w:rFonts w:cs="Arabic11 BT"/>
          <w:sz w:val="28"/>
          <w:rtl/>
          <w:lang w:bidi="ar-SY"/>
        </w:rPr>
        <w:footnoteReference w:id="211"/>
      </w:r>
      <w:r w:rsidR="00B20083" w:rsidRPr="0021507A">
        <w:rPr>
          <w:rFonts w:ascii="Lotus Linotype" w:hAnsi="Lotus Linotype" w:cs="Arabic11 BT"/>
          <w:sz w:val="28"/>
          <w:vertAlign w:val="superscript"/>
          <w:rtl/>
          <w:lang w:bidi="ar-SY"/>
        </w:rPr>
        <w:t>)</w:t>
      </w:r>
      <w:r w:rsidR="00217AB4" w:rsidRPr="003F3B94">
        <w:rPr>
          <w:rFonts w:hint="cs"/>
          <w:sz w:val="28"/>
          <w:rtl/>
          <w:lang w:bidi="ar-SY"/>
        </w:rPr>
        <w:t>.</w:t>
      </w:r>
    </w:p>
    <w:p w:rsidR="005C664D" w:rsidRPr="003F3B94" w:rsidRDefault="005C664D" w:rsidP="000E2C23">
      <w:pPr>
        <w:pStyle w:val="a0"/>
        <w:rPr>
          <w:rFonts w:hint="cs"/>
          <w:rtl/>
        </w:rPr>
      </w:pPr>
      <w:r w:rsidRPr="003F3B94">
        <w:rPr>
          <w:rFonts w:hint="cs"/>
          <w:sz w:val="28"/>
          <w:rtl/>
        </w:rPr>
        <w:t>هذه الأحاديث لو دلَّت على الحرمة أو الكراهة فإ</w:t>
      </w:r>
      <w:r w:rsidR="000E2C23">
        <w:rPr>
          <w:rFonts w:hint="cs"/>
          <w:sz w:val="28"/>
          <w:rtl/>
        </w:rPr>
        <w:t>نها تكون مخصوصةً بزمن حياة رسول</w:t>
      </w:r>
      <w:r w:rsidR="000E2C23">
        <w:rPr>
          <w:rFonts w:cs="Times New Roman" w:hint="cs"/>
          <w:sz w:val="28"/>
          <w:rtl/>
        </w:rPr>
        <w:t>‌</w:t>
      </w:r>
      <w:r w:rsidRPr="003F3B94">
        <w:rPr>
          <w:rFonts w:hint="cs"/>
          <w:sz w:val="28"/>
          <w:rtl/>
        </w:rPr>
        <w:t>الله</w:t>
      </w:r>
      <w:r w:rsidR="003C7AEB" w:rsidRPr="003C7AEB">
        <w:rPr>
          <w:rFonts w:ascii="Abo-thar" w:hAnsi="Abo-thar" w:cs="CTraditional Arabic"/>
          <w:sz w:val="28"/>
          <w:rtl/>
        </w:rPr>
        <w:t>ص</w:t>
      </w:r>
      <w:r w:rsidR="00217AB4" w:rsidRPr="003F3B94">
        <w:rPr>
          <w:rFonts w:ascii="Abo-thar" w:hAnsi="Abo-thar"/>
          <w:sz w:val="28"/>
          <w:rtl/>
        </w:rPr>
        <w:t>،</w:t>
      </w:r>
      <w:r w:rsidRPr="003F3B94">
        <w:rPr>
          <w:rFonts w:ascii="Abo-thar" w:hAnsi="Abo-thar" w:hint="cs"/>
          <w:sz w:val="28"/>
          <w:rtl/>
        </w:rPr>
        <w:t xml:space="preserve"> هذا مع أننا لا نجد أي دليل على ذلك من كتاب الله</w:t>
      </w:r>
      <w:r w:rsidR="00217AB4" w:rsidRPr="003F3B94">
        <w:rPr>
          <w:rFonts w:ascii="Abo-thar" w:hAnsi="Abo-thar" w:hint="cs"/>
          <w:sz w:val="28"/>
          <w:rtl/>
        </w:rPr>
        <w:t>،</w:t>
      </w:r>
      <w:r w:rsidRPr="003F3B94">
        <w:rPr>
          <w:rFonts w:ascii="Abo-thar" w:hAnsi="Abo-thar" w:hint="cs"/>
          <w:sz w:val="28"/>
          <w:rtl/>
        </w:rPr>
        <w:t xml:space="preserve"> ولو تمم تطبيق هذا المبدأ فعلاً</w:t>
      </w:r>
      <w:r w:rsidR="00217AB4" w:rsidRPr="003F3B94">
        <w:rPr>
          <w:rFonts w:ascii="Abo-thar" w:hAnsi="Abo-thar" w:hint="cs"/>
          <w:sz w:val="28"/>
          <w:rtl/>
        </w:rPr>
        <w:t>،</w:t>
      </w:r>
      <w:r w:rsidRPr="003F3B94">
        <w:rPr>
          <w:rFonts w:ascii="Abo-thar" w:hAnsi="Abo-thar" w:hint="cs"/>
          <w:sz w:val="28"/>
          <w:rtl/>
        </w:rPr>
        <w:t xml:space="preserve"> فعندما لا توجد الغنائم الحربية فإن فقراء بني هاشم سيقعون في مشقة بالغة</w:t>
      </w:r>
      <w:r w:rsidR="00217AB4" w:rsidRPr="003F3B94">
        <w:rPr>
          <w:rFonts w:ascii="Abo-thar" w:hAnsi="Abo-thar" w:hint="cs"/>
          <w:sz w:val="28"/>
          <w:rtl/>
        </w:rPr>
        <w:t>!</w:t>
      </w:r>
      <w:r w:rsidRPr="003F3B94">
        <w:rPr>
          <w:rFonts w:ascii="Abo-thar" w:hAnsi="Abo-thar" w:hint="cs"/>
          <w:sz w:val="28"/>
          <w:rtl/>
        </w:rPr>
        <w:t xml:space="preserve"> لأن هذه الأحاديث إن صحت فإنها قيلت في زمن كانت الغنائم الحربية فيه وافرة لدى الدولة الإسلامية</w:t>
      </w:r>
      <w:r w:rsidR="00217AB4" w:rsidRPr="003F3B94">
        <w:rPr>
          <w:rFonts w:ascii="Abo-thar" w:hAnsi="Abo-thar" w:hint="cs"/>
          <w:sz w:val="28"/>
          <w:rtl/>
        </w:rPr>
        <w:t>،</w:t>
      </w:r>
      <w:r w:rsidRPr="003F3B94">
        <w:rPr>
          <w:rFonts w:ascii="Abo-thar" w:hAnsi="Abo-thar" w:hint="cs"/>
          <w:sz w:val="28"/>
          <w:rtl/>
        </w:rPr>
        <w:t xml:space="preserve"> فكان المحرومون من بنو هاشم يستطيعون الاعتماد على نصيبٍ من خمس تلك الغنائم ليعوِّضوا حرمانهم من الصدقة</w:t>
      </w:r>
      <w:r w:rsidR="00217AB4" w:rsidRPr="003F3B94">
        <w:rPr>
          <w:rFonts w:ascii="Abo-thar" w:hAnsi="Abo-thar" w:hint="cs"/>
          <w:sz w:val="28"/>
          <w:rtl/>
        </w:rPr>
        <w:t>،</w:t>
      </w:r>
      <w:r w:rsidRPr="003F3B94">
        <w:rPr>
          <w:rFonts w:ascii="Abo-thar" w:hAnsi="Abo-thar" w:hint="cs"/>
          <w:sz w:val="28"/>
          <w:rtl/>
        </w:rPr>
        <w:t xml:space="preserve"> أما في الزمن الذي لم يعد فيه أي وجود لخمس غنائم القتال فإن مثل ذلك التحريم سيكون ظالماً جداً ولا يمكن لدين الله الحقِّ أن يشرِّع مثل هذا الظلم</w:t>
      </w:r>
      <w:r w:rsidR="00217AB4" w:rsidRPr="003F3B94">
        <w:rPr>
          <w:rFonts w:ascii="Abo-thar" w:hAnsi="Abo-thar" w:hint="cs"/>
          <w:sz w:val="28"/>
          <w:rtl/>
        </w:rPr>
        <w:t>.</w:t>
      </w:r>
      <w:r w:rsidR="00147857" w:rsidRPr="003F3B94">
        <w:rPr>
          <w:rFonts w:ascii="Abo-thar" w:hAnsi="Abo-thar" w:hint="cs"/>
          <w:sz w:val="28"/>
          <w:rtl/>
        </w:rPr>
        <w:t xml:space="preserve"> </w:t>
      </w:r>
    </w:p>
    <w:p w:rsidR="005C664D" w:rsidRPr="003F3B94" w:rsidRDefault="005C664D" w:rsidP="003F3B94">
      <w:pPr>
        <w:pStyle w:val="a0"/>
        <w:rPr>
          <w:rFonts w:hint="cs"/>
          <w:rtl/>
        </w:rPr>
      </w:pPr>
      <w:r w:rsidRPr="003F3B94">
        <w:rPr>
          <w:rFonts w:ascii="Abo-thar" w:hAnsi="Abo-thar" w:hint="cs"/>
          <w:sz w:val="28"/>
          <w:rtl/>
        </w:rPr>
        <w:t>أما تعويض ذلك الحرمان واستدراكه من خمس أرباح المكاسب الذي راج في عصرنا</w:t>
      </w:r>
      <w:r w:rsidR="00147857" w:rsidRPr="003F3B94">
        <w:rPr>
          <w:rFonts w:ascii="Abo-thar" w:hAnsi="Abo-thar" w:hint="cs"/>
          <w:sz w:val="28"/>
          <w:rtl/>
        </w:rPr>
        <w:t xml:space="preserve"> و</w:t>
      </w:r>
      <w:r w:rsidRPr="003F3B94">
        <w:rPr>
          <w:rFonts w:ascii="Abo-thar" w:hAnsi="Abo-thar" w:hint="cs"/>
          <w:sz w:val="28"/>
          <w:rtl/>
        </w:rPr>
        <w:t>اعتبر حرمانهم من الصدقة علة لإعطائهم هذا الخمس</w:t>
      </w:r>
      <w:r w:rsidR="00217AB4" w:rsidRPr="003F3B94">
        <w:rPr>
          <w:rFonts w:ascii="Abo-thar" w:hAnsi="Abo-thar" w:hint="cs"/>
          <w:sz w:val="28"/>
          <w:rtl/>
        </w:rPr>
        <w:t>،</w:t>
      </w:r>
      <w:r w:rsidRPr="003F3B94">
        <w:rPr>
          <w:rFonts w:ascii="Abo-thar" w:hAnsi="Abo-thar" w:hint="cs"/>
          <w:sz w:val="28"/>
          <w:rtl/>
        </w:rPr>
        <w:t xml:space="preserve"> فإنه من أعجب العجب</w:t>
      </w:r>
      <w:r w:rsidR="00217AB4" w:rsidRPr="003F3B94">
        <w:rPr>
          <w:rFonts w:ascii="Abo-thar" w:hAnsi="Abo-thar" w:hint="cs"/>
          <w:sz w:val="28"/>
          <w:rtl/>
        </w:rPr>
        <w:t>!!</w:t>
      </w:r>
      <w:r w:rsidRPr="003F3B94">
        <w:rPr>
          <w:rFonts w:ascii="Abo-thar" w:hAnsi="Abo-thar" w:hint="cs"/>
          <w:sz w:val="28"/>
          <w:rtl/>
        </w:rPr>
        <w:t xml:space="preserve"> أولاً</w:t>
      </w:r>
      <w:r w:rsidR="00217AB4" w:rsidRPr="003F3B94">
        <w:rPr>
          <w:rFonts w:ascii="Abo-thar" w:hAnsi="Abo-thar" w:hint="cs"/>
          <w:sz w:val="28"/>
          <w:rtl/>
        </w:rPr>
        <w:t>:</w:t>
      </w:r>
      <w:r w:rsidRPr="003F3B94">
        <w:rPr>
          <w:rFonts w:ascii="Abo-thar" w:hAnsi="Abo-thar" w:hint="cs"/>
          <w:sz w:val="28"/>
          <w:rtl/>
        </w:rPr>
        <w:t xml:space="preserve"> لم يأتِ في أي حديثٍ من الأحاديث التي ورد فيها تحريم الصدقة على بني هاشم ذكرٌ لهذا التعويض والتدارك لذلك الحرمان</w:t>
      </w:r>
      <w:r w:rsidR="00217AB4" w:rsidRPr="003F3B94">
        <w:rPr>
          <w:rFonts w:ascii="Abo-thar" w:hAnsi="Abo-thar" w:hint="cs"/>
          <w:sz w:val="28"/>
          <w:rtl/>
        </w:rPr>
        <w:t>،</w:t>
      </w:r>
      <w:r w:rsidR="00147857" w:rsidRPr="003F3B94">
        <w:rPr>
          <w:rFonts w:ascii="Abo-thar" w:hAnsi="Abo-thar" w:hint="cs"/>
          <w:sz w:val="28"/>
          <w:rtl/>
        </w:rPr>
        <w:t xml:space="preserve"> </w:t>
      </w:r>
      <w:r w:rsidRPr="003F3B94">
        <w:rPr>
          <w:rFonts w:ascii="Abo-thar" w:hAnsi="Abo-thar" w:hint="cs"/>
          <w:sz w:val="28"/>
          <w:rtl/>
        </w:rPr>
        <w:t>اللهم خمس غنائم القتال</w:t>
      </w:r>
      <w:r w:rsidR="00217AB4" w:rsidRPr="003F3B94">
        <w:rPr>
          <w:rFonts w:ascii="Abo-thar" w:hAnsi="Abo-thar" w:hint="cs"/>
          <w:sz w:val="28"/>
          <w:rtl/>
        </w:rPr>
        <w:t>،</w:t>
      </w:r>
      <w:r w:rsidRPr="003F3B94">
        <w:rPr>
          <w:rFonts w:ascii="Abo-thar" w:hAnsi="Abo-thar" w:hint="cs"/>
          <w:sz w:val="28"/>
          <w:rtl/>
        </w:rPr>
        <w:t xml:space="preserve"> وهو حديث مرسل</w:t>
      </w:r>
      <w:r w:rsidR="00217AB4" w:rsidRPr="003F3B94">
        <w:rPr>
          <w:rFonts w:ascii="Abo-thar" w:hAnsi="Abo-thar" w:hint="cs"/>
          <w:sz w:val="28"/>
          <w:rtl/>
        </w:rPr>
        <w:t>!؟</w:t>
      </w:r>
      <w:r w:rsidR="00147857" w:rsidRPr="003F3B94">
        <w:rPr>
          <w:rFonts w:ascii="Abo-thar" w:hAnsi="Abo-thar" w:hint="cs"/>
          <w:sz w:val="28"/>
          <w:rtl/>
        </w:rPr>
        <w:t xml:space="preserve"> </w:t>
      </w:r>
      <w:r w:rsidRPr="003F3B94">
        <w:rPr>
          <w:rFonts w:ascii="Abo-thar" w:hAnsi="Abo-thar" w:hint="cs"/>
          <w:sz w:val="28"/>
          <w:rtl/>
        </w:rPr>
        <w:t>وثانياً</w:t>
      </w:r>
      <w:r w:rsidR="00217AB4" w:rsidRPr="003F3B94">
        <w:rPr>
          <w:rFonts w:ascii="Abo-thar" w:hAnsi="Abo-thar" w:hint="cs"/>
          <w:sz w:val="28"/>
          <w:rtl/>
        </w:rPr>
        <w:t>:</w:t>
      </w:r>
      <w:r w:rsidRPr="003F3B94">
        <w:rPr>
          <w:rFonts w:ascii="Abo-thar" w:hAnsi="Abo-thar" w:hint="cs"/>
          <w:sz w:val="28"/>
          <w:rtl/>
        </w:rPr>
        <w:t xml:space="preserve"> إن جعل خمس أرباح المكاسب بدلاً وعوضاً عن تحريم الصدقة من أعجب الاختراعات والبدع الشائعة</w:t>
      </w:r>
      <w:r w:rsidR="00217AB4" w:rsidRPr="003F3B94">
        <w:rPr>
          <w:rFonts w:ascii="Abo-thar" w:hAnsi="Abo-thar" w:hint="cs"/>
          <w:sz w:val="28"/>
          <w:rtl/>
        </w:rPr>
        <w:t>!</w:t>
      </w:r>
      <w:r w:rsidRPr="003F3B94">
        <w:rPr>
          <w:rFonts w:ascii="Abo-thar" w:hAnsi="Abo-thar" w:hint="cs"/>
          <w:sz w:val="28"/>
          <w:rtl/>
        </w:rPr>
        <w:t xml:space="preserve"> لأن خمس أرباح المكاسب لا حجة ولا برهان عليه من الكتاب والسنَّة</w:t>
      </w:r>
      <w:r w:rsidR="00217AB4" w:rsidRPr="003F3B94">
        <w:rPr>
          <w:rFonts w:ascii="Abo-thar" w:hAnsi="Abo-thar" w:hint="cs"/>
          <w:sz w:val="28"/>
          <w:rtl/>
        </w:rPr>
        <w:t>،</w:t>
      </w:r>
      <w:r w:rsidRPr="003F3B94">
        <w:rPr>
          <w:rFonts w:ascii="Abo-thar" w:hAnsi="Abo-thar" w:hint="cs"/>
          <w:sz w:val="28"/>
          <w:rtl/>
        </w:rPr>
        <w:t xml:space="preserve"> وعلى فرض ثبوته فلا يختص ببني هاشم بل يختص بإمام المسلمين حصراً</w:t>
      </w:r>
      <w:r w:rsidR="00217AB4" w:rsidRPr="003F3B94">
        <w:rPr>
          <w:rFonts w:ascii="Abo-thar" w:hAnsi="Abo-thar" w:hint="cs"/>
          <w:sz w:val="28"/>
          <w:rtl/>
        </w:rPr>
        <w:t>.</w:t>
      </w:r>
    </w:p>
    <w:p w:rsidR="005C664D" w:rsidRPr="003F3B94" w:rsidRDefault="005C664D" w:rsidP="003F3B94">
      <w:pPr>
        <w:pStyle w:val="a0"/>
        <w:rPr>
          <w:rFonts w:hint="cs"/>
          <w:rtl/>
        </w:rPr>
      </w:pPr>
      <w:r w:rsidRPr="003F3B94">
        <w:rPr>
          <w:rFonts w:ascii="Abo-thar" w:hAnsi="Abo-thar" w:hint="cs"/>
          <w:sz w:val="28"/>
          <w:rtl/>
        </w:rPr>
        <w:t>وثالثاً</w:t>
      </w:r>
      <w:r w:rsidR="00217AB4" w:rsidRPr="003F3B94">
        <w:rPr>
          <w:rFonts w:ascii="Abo-thar" w:hAnsi="Abo-thar" w:hint="cs"/>
          <w:sz w:val="28"/>
          <w:rtl/>
        </w:rPr>
        <w:t>:</w:t>
      </w:r>
      <w:r w:rsidRPr="003F3B94">
        <w:rPr>
          <w:rFonts w:ascii="Abo-thar" w:hAnsi="Abo-thar" w:hint="cs"/>
          <w:sz w:val="28"/>
          <w:rtl/>
        </w:rPr>
        <w:t xml:space="preserve"> إذا كانت الزكاة التي تُعَدُّ ضريبةً ماليّةً عادلةً للغاية ومفروضة ضمن شروط وقيود عديدة على الأغنياء من الدرجة الأولى</w:t>
      </w:r>
      <w:r w:rsidR="00217AB4" w:rsidRPr="003F3B94">
        <w:rPr>
          <w:rFonts w:ascii="Abo-thar" w:hAnsi="Abo-thar" w:hint="cs"/>
          <w:sz w:val="28"/>
          <w:rtl/>
        </w:rPr>
        <w:t>،</w:t>
      </w:r>
      <w:r w:rsidRPr="003F3B94">
        <w:rPr>
          <w:rFonts w:ascii="Abo-thar" w:hAnsi="Abo-thar" w:hint="cs"/>
          <w:sz w:val="28"/>
          <w:rtl/>
        </w:rPr>
        <w:t xml:space="preserve"> بحيث أنها لا تجب إلا لمن امتلك ثلاثين أو أربعين بقرة سائمة غير معلوفة وغير عاملة أو أربعين غنمة كذا وكذا أو امتلك مقداراً جيداً من الذهب أو الفضة المنقوشين المسكوكين بسكة المعاملة أو امتلك عروضاً للتجارة حيث تكرَّم الفقهاء بإيصال درجة وجوب زكاتها إلى الاستحباب وأوجبوا واحداً من أربعين من قيمتها زكاةً</w:t>
      </w:r>
      <w:r w:rsidR="00217AB4" w:rsidRPr="003F3B94">
        <w:rPr>
          <w:rFonts w:ascii="Abo-thar" w:hAnsi="Abo-thar" w:hint="cs"/>
          <w:sz w:val="28"/>
          <w:rtl/>
        </w:rPr>
        <w:t>..</w:t>
      </w:r>
      <w:r w:rsidRPr="003F3B94">
        <w:rPr>
          <w:rFonts w:ascii="Abo-thar" w:hAnsi="Abo-thar" w:hint="cs"/>
          <w:sz w:val="28"/>
          <w:rtl/>
        </w:rPr>
        <w:t xml:space="preserve"> إذا كانت هذه الزكاة بكل هذه الشرط والقيود </w:t>
      </w:r>
      <w:r w:rsidRPr="003F3B94">
        <w:rPr>
          <w:rFonts w:ascii="Lotus Linotype" w:hAnsi="Lotus Linotype"/>
          <w:sz w:val="28"/>
          <w:rtl/>
        </w:rPr>
        <w:t>«</w:t>
      </w:r>
      <w:r w:rsidRPr="003F3B94">
        <w:rPr>
          <w:rFonts w:ascii="Abo-thar" w:hAnsi="Abo-thar" w:hint="cs"/>
          <w:b/>
          <w:bCs/>
          <w:sz w:val="28"/>
          <w:rtl/>
        </w:rPr>
        <w:t>أوساخ أيدي الناس</w:t>
      </w:r>
      <w:r w:rsidRPr="003F3B94">
        <w:rPr>
          <w:rFonts w:ascii="Lotus Linotype" w:hAnsi="Lotus Linotype"/>
          <w:sz w:val="28"/>
          <w:rtl/>
        </w:rPr>
        <w:t>»</w:t>
      </w:r>
      <w:r w:rsidRPr="003F3B94">
        <w:rPr>
          <w:rFonts w:ascii="Abo-thar" w:hAnsi="Abo-thar" w:hint="cs"/>
          <w:sz w:val="28"/>
          <w:rtl/>
        </w:rPr>
        <w:t xml:space="preserve"> التي يحرم على بني هاشم مثلاً أن يستفيدوا ويُرْزَقُوا منها </w:t>
      </w:r>
      <w:r w:rsidRPr="003F3B94">
        <w:rPr>
          <w:rFonts w:hint="cs"/>
          <w:sz w:val="28"/>
          <w:rtl/>
        </w:rPr>
        <w:t>[</w:t>
      </w:r>
      <w:r w:rsidRPr="003F3B94">
        <w:rPr>
          <w:rFonts w:ascii="Abo-thar" w:hAnsi="Abo-thar" w:hint="cs"/>
          <w:sz w:val="28"/>
          <w:rtl/>
        </w:rPr>
        <w:t>ولو كانوا بحاجة ماسة]</w:t>
      </w:r>
      <w:r w:rsidR="00217AB4" w:rsidRPr="003F3B94">
        <w:rPr>
          <w:rFonts w:ascii="Abo-thar" w:hAnsi="Abo-thar" w:hint="cs"/>
          <w:sz w:val="28"/>
          <w:rtl/>
        </w:rPr>
        <w:t>،</w:t>
      </w:r>
      <w:r w:rsidRPr="003F3B94">
        <w:rPr>
          <w:rFonts w:ascii="Abo-thar" w:hAnsi="Abo-thar" w:hint="cs"/>
          <w:sz w:val="28"/>
          <w:rtl/>
        </w:rPr>
        <w:t xml:space="preserve"> فكيف يُبَاح لهم خمسُ أرباح المكاسب التي أوجبها فقهاء زماننا على أدنى ما يكسبه كل حمّال وبقّال وحطَّاب وكنَّاس حتى ولو بلغ خمس ريالات زائدة على نفقته السنوية وليس أمامه أي مهرب عن أدائها</w:t>
      </w:r>
      <w:r w:rsidR="00217AB4" w:rsidRPr="003F3B94">
        <w:rPr>
          <w:rFonts w:ascii="Abo-thar" w:hAnsi="Abo-thar" w:hint="cs"/>
          <w:sz w:val="28"/>
          <w:rtl/>
        </w:rPr>
        <w:t>؟؟</w:t>
      </w:r>
      <w:r w:rsidRPr="003F3B94">
        <w:rPr>
          <w:rFonts w:ascii="Abo-thar" w:hAnsi="Abo-thar" w:hint="cs"/>
          <w:sz w:val="28"/>
          <w:rtl/>
        </w:rPr>
        <w:t xml:space="preserve"> أفليست هذه أوساخ أيدي الناس وكد يمينهم وعرق جبينهم</w:t>
      </w:r>
      <w:r w:rsidR="00217AB4" w:rsidRPr="003F3B94">
        <w:rPr>
          <w:rFonts w:ascii="Abo-thar" w:hAnsi="Abo-thar" w:hint="cs"/>
          <w:sz w:val="28"/>
          <w:rtl/>
        </w:rPr>
        <w:t>؟!!</w:t>
      </w:r>
      <w:r w:rsidR="00147857" w:rsidRPr="003F3B94">
        <w:rPr>
          <w:rFonts w:ascii="Abo-thar" w:hAnsi="Abo-thar" w:hint="cs"/>
          <w:sz w:val="28"/>
          <w:rtl/>
        </w:rPr>
        <w:t xml:space="preserve"> </w:t>
      </w:r>
      <w:r w:rsidRPr="003F3B94">
        <w:rPr>
          <w:rFonts w:ascii="Abo-thar" w:hAnsi="Abo-thar" w:hint="cs"/>
          <w:sz w:val="28"/>
          <w:rtl/>
        </w:rPr>
        <w:t>أما زكاة من يمتلك مائة غنمة أو أكثر بل حتى يمكنه أن يمتلك ألف غنمة ويجد مع ذلك حججاً</w:t>
      </w:r>
      <w:r w:rsidR="00147857" w:rsidRPr="003F3B94">
        <w:rPr>
          <w:rFonts w:ascii="Abo-thar" w:hAnsi="Abo-thar" w:hint="cs"/>
          <w:sz w:val="28"/>
          <w:rtl/>
        </w:rPr>
        <w:t xml:space="preserve"> و</w:t>
      </w:r>
      <w:r w:rsidRPr="003F3B94">
        <w:rPr>
          <w:rFonts w:ascii="Abo-thar" w:hAnsi="Abo-thar" w:hint="cs"/>
          <w:sz w:val="28"/>
          <w:rtl/>
        </w:rPr>
        <w:t xml:space="preserve">أعذاراً تخلِّصه من دفع أي زكاة عليها فهذه تعتبر من </w:t>
      </w:r>
      <w:r w:rsidRPr="003F3B94">
        <w:rPr>
          <w:rFonts w:ascii="Lotus Linotype" w:hAnsi="Lotus Linotype"/>
          <w:sz w:val="28"/>
          <w:rtl/>
        </w:rPr>
        <w:t>«</w:t>
      </w:r>
      <w:r w:rsidRPr="003F3B94">
        <w:rPr>
          <w:rFonts w:ascii="Abo-thar" w:hAnsi="Abo-thar" w:hint="cs"/>
          <w:b/>
          <w:bCs/>
          <w:sz w:val="28"/>
          <w:rtl/>
        </w:rPr>
        <w:t>أوساخ أيدي الناس</w:t>
      </w:r>
      <w:r w:rsidRPr="003F3B94">
        <w:rPr>
          <w:rFonts w:ascii="Lotus Linotype" w:hAnsi="Lotus Linotype"/>
          <w:sz w:val="28"/>
          <w:rtl/>
        </w:rPr>
        <w:t>»</w:t>
      </w:r>
      <w:r w:rsidR="00217AB4" w:rsidRPr="003F3B94">
        <w:rPr>
          <w:rFonts w:ascii="Abo-thar" w:hAnsi="Abo-thar" w:hint="cs"/>
          <w:sz w:val="28"/>
          <w:rtl/>
        </w:rPr>
        <w:t>!!!</w:t>
      </w:r>
      <w:r w:rsidR="00147857" w:rsidRPr="003F3B94">
        <w:rPr>
          <w:rFonts w:ascii="Abo-thar" w:hAnsi="Abo-thar" w:hint="cs"/>
          <w:sz w:val="28"/>
          <w:rtl/>
        </w:rPr>
        <w:t xml:space="preserve"> و</w:t>
      </w:r>
      <w:r w:rsidRPr="003F3B94">
        <w:rPr>
          <w:rFonts w:ascii="Abo-thar" w:hAnsi="Abo-thar" w:hint="cs"/>
          <w:sz w:val="28"/>
          <w:rtl/>
        </w:rPr>
        <w:t>لتتضح الصورة أكثر نستعرض فيما يلي الأعذار</w:t>
      </w:r>
      <w:r w:rsidR="00147857" w:rsidRPr="003F3B94">
        <w:rPr>
          <w:rFonts w:ascii="Abo-thar" w:hAnsi="Abo-thar" w:hint="cs"/>
          <w:sz w:val="28"/>
          <w:rtl/>
        </w:rPr>
        <w:t xml:space="preserve"> و</w:t>
      </w:r>
      <w:r w:rsidRPr="003F3B94">
        <w:rPr>
          <w:rFonts w:ascii="Abo-thar" w:hAnsi="Abo-thar" w:hint="cs"/>
          <w:sz w:val="28"/>
          <w:rtl/>
        </w:rPr>
        <w:t xml:space="preserve">الحجج التي يضعها الفقهاء تحت تصرف من يملك </w:t>
      </w:r>
      <w:r w:rsidR="00755AAC">
        <w:rPr>
          <w:rFonts w:ascii="Abo-thar" w:hAnsi="Abo-thar" w:hint="cs"/>
          <w:sz w:val="28"/>
          <w:rtl/>
        </w:rPr>
        <w:t>مائة</w:t>
      </w:r>
      <w:r w:rsidRPr="003F3B94">
        <w:rPr>
          <w:rFonts w:ascii="Abo-thar" w:hAnsi="Abo-thar" w:hint="cs"/>
          <w:sz w:val="28"/>
          <w:rtl/>
        </w:rPr>
        <w:t xml:space="preserve"> أو مئات من رؤوس الغنم والتي تعفيه من دفع زكاتها</w:t>
      </w:r>
      <w:r w:rsidR="00217AB4" w:rsidRPr="003F3B94">
        <w:rPr>
          <w:rFonts w:ascii="Abo-thar" w:hAnsi="Abo-thar" w:hint="cs"/>
          <w:sz w:val="28"/>
          <w:rtl/>
        </w:rPr>
        <w:t>:</w:t>
      </w:r>
    </w:p>
    <w:p w:rsidR="005C664D" w:rsidRPr="003F3B94" w:rsidRDefault="005C664D" w:rsidP="000E2C23">
      <w:pPr>
        <w:pStyle w:val="a0"/>
        <w:ind w:left="624" w:hanging="340"/>
        <w:rPr>
          <w:rFonts w:hint="cs"/>
          <w:rtl/>
        </w:rPr>
      </w:pPr>
      <w:r w:rsidRPr="003F3B94">
        <w:rPr>
          <w:rFonts w:ascii="Abo-thar" w:hAnsi="Abo-thar" w:hint="cs"/>
          <w:sz w:val="28"/>
          <w:rtl/>
        </w:rPr>
        <w:t>ألف</w:t>
      </w:r>
      <w:r w:rsidR="00217AB4" w:rsidRPr="003F3B94">
        <w:rPr>
          <w:rFonts w:ascii="Abo-thar" w:hAnsi="Abo-thar" w:hint="cs"/>
          <w:sz w:val="28"/>
          <w:rtl/>
        </w:rPr>
        <w:t>:</w:t>
      </w:r>
      <w:r w:rsidRPr="003F3B94">
        <w:rPr>
          <w:rFonts w:ascii="Abo-thar" w:hAnsi="Abo-thar" w:hint="cs"/>
          <w:sz w:val="28"/>
          <w:rtl/>
        </w:rPr>
        <w:t xml:space="preserve"> تُعفى م</w:t>
      </w:r>
      <w:r w:rsidR="00755AAC">
        <w:rPr>
          <w:rFonts w:ascii="Abo-thar" w:hAnsi="Abo-thar" w:hint="cs"/>
          <w:sz w:val="28"/>
          <w:rtl/>
        </w:rPr>
        <w:t>ا</w:t>
      </w:r>
      <w:r w:rsidRPr="003F3B94">
        <w:rPr>
          <w:rFonts w:ascii="Abo-thar" w:hAnsi="Abo-thar" w:hint="cs"/>
          <w:sz w:val="28"/>
          <w:rtl/>
        </w:rPr>
        <w:t>ئة رأس من تلك الأغنام من الزكاة إذا كان يُسْتَفَاد منها لتأمين الحليب لاستهلاك أهله وعياله</w:t>
      </w:r>
      <w:r w:rsidR="00217AB4" w:rsidRPr="003F3B94">
        <w:rPr>
          <w:rFonts w:ascii="Abo-thar" w:hAnsi="Abo-thar" w:hint="cs"/>
          <w:sz w:val="28"/>
          <w:rtl/>
        </w:rPr>
        <w:t>.</w:t>
      </w:r>
    </w:p>
    <w:p w:rsidR="005C664D" w:rsidRPr="003F3B94" w:rsidRDefault="005C664D" w:rsidP="000E2C23">
      <w:pPr>
        <w:pStyle w:val="a0"/>
        <w:ind w:left="624" w:hanging="340"/>
        <w:rPr>
          <w:rFonts w:hint="cs"/>
          <w:rtl/>
        </w:rPr>
      </w:pPr>
      <w:r w:rsidRPr="003F3B94">
        <w:rPr>
          <w:rFonts w:ascii="Abo-thar" w:hAnsi="Abo-thar" w:hint="cs"/>
          <w:sz w:val="28"/>
          <w:rtl/>
        </w:rPr>
        <w:t>ب</w:t>
      </w:r>
      <w:r w:rsidR="00217AB4" w:rsidRPr="003F3B94">
        <w:rPr>
          <w:rFonts w:ascii="Abo-thar" w:hAnsi="Abo-thar" w:hint="cs"/>
          <w:sz w:val="28"/>
          <w:rtl/>
        </w:rPr>
        <w:t>-</w:t>
      </w:r>
      <w:r w:rsidRPr="003F3B94">
        <w:rPr>
          <w:rFonts w:ascii="Abo-thar" w:hAnsi="Abo-thar" w:hint="cs"/>
          <w:sz w:val="28"/>
          <w:rtl/>
        </w:rPr>
        <w:t xml:space="preserve"> تُعفى م</w:t>
      </w:r>
      <w:r w:rsidR="00755AAC">
        <w:rPr>
          <w:rFonts w:ascii="Abo-thar" w:hAnsi="Abo-thar" w:hint="cs"/>
          <w:sz w:val="28"/>
          <w:rtl/>
        </w:rPr>
        <w:t>ا</w:t>
      </w:r>
      <w:r w:rsidRPr="003F3B94">
        <w:rPr>
          <w:rFonts w:ascii="Abo-thar" w:hAnsi="Abo-thar" w:hint="cs"/>
          <w:sz w:val="28"/>
          <w:rtl/>
        </w:rPr>
        <w:t>ئة رأس من تلك الأغنام من الزكاة إذا كانت ذكوراً تستخدم كفحل الضراب [أي أن هذه الأغنام لا تُعد ضمن النصاب أصلاً]</w:t>
      </w:r>
      <w:r w:rsidR="00217AB4" w:rsidRPr="003F3B94">
        <w:rPr>
          <w:rFonts w:ascii="Abo-thar" w:hAnsi="Abo-thar" w:hint="cs"/>
          <w:sz w:val="28"/>
          <w:rtl/>
        </w:rPr>
        <w:t>.</w:t>
      </w:r>
    </w:p>
    <w:p w:rsidR="005C664D" w:rsidRPr="003F3B94" w:rsidRDefault="005C664D" w:rsidP="000E2C23">
      <w:pPr>
        <w:pStyle w:val="a0"/>
        <w:ind w:left="624" w:hanging="340"/>
        <w:rPr>
          <w:rFonts w:hint="cs"/>
          <w:rtl/>
        </w:rPr>
      </w:pPr>
      <w:r w:rsidRPr="003F3B94">
        <w:rPr>
          <w:rFonts w:ascii="Abo-thar" w:hAnsi="Abo-thar" w:hint="cs"/>
          <w:sz w:val="28"/>
          <w:rtl/>
        </w:rPr>
        <w:t>ج</w:t>
      </w:r>
      <w:r w:rsidR="00217AB4" w:rsidRPr="003F3B94">
        <w:rPr>
          <w:rFonts w:ascii="Abo-thar" w:hAnsi="Abo-thar" w:hint="cs"/>
          <w:sz w:val="28"/>
          <w:rtl/>
        </w:rPr>
        <w:t>-</w:t>
      </w:r>
      <w:r w:rsidRPr="003F3B94">
        <w:rPr>
          <w:rFonts w:ascii="Abo-thar" w:hAnsi="Abo-thar" w:hint="cs"/>
          <w:sz w:val="28"/>
          <w:rtl/>
        </w:rPr>
        <w:t xml:space="preserve"> تُعفى ثلاثم</w:t>
      </w:r>
      <w:r w:rsidR="00755AAC">
        <w:rPr>
          <w:rFonts w:ascii="Abo-thar" w:hAnsi="Abo-thar" w:hint="cs"/>
          <w:sz w:val="28"/>
          <w:rtl/>
        </w:rPr>
        <w:t>ا</w:t>
      </w:r>
      <w:r w:rsidRPr="003F3B94">
        <w:rPr>
          <w:rFonts w:ascii="Abo-thar" w:hAnsi="Abo-thar" w:hint="cs"/>
          <w:sz w:val="28"/>
          <w:rtl/>
        </w:rPr>
        <w:t>ئة رأس من تلك الأغنام من الزكاة إذا كانت متفرقة في عشر قرىً لكي يعيدها له الذين كانوا قد استأجروها منه</w:t>
      </w:r>
      <w:r w:rsidR="00217AB4" w:rsidRPr="003F3B94">
        <w:rPr>
          <w:rFonts w:ascii="Abo-thar" w:hAnsi="Abo-thar" w:hint="cs"/>
          <w:sz w:val="28"/>
          <w:rtl/>
        </w:rPr>
        <w:t>،</w:t>
      </w:r>
      <w:r w:rsidRPr="003F3B94">
        <w:rPr>
          <w:rFonts w:ascii="Abo-thar" w:hAnsi="Abo-thar" w:hint="cs"/>
          <w:sz w:val="28"/>
          <w:rtl/>
        </w:rPr>
        <w:t xml:space="preserve"> ولم يكن أيّ واحدٍ من أولئك المستأجرين في أي قرية يمتلك ما يصل إلى أربعين رأساً يتواجدون في كل السنة في مكان واحد</w:t>
      </w:r>
      <w:r w:rsidR="00217AB4" w:rsidRPr="003F3B94">
        <w:rPr>
          <w:rFonts w:ascii="Abo-thar" w:hAnsi="Abo-thar" w:hint="cs"/>
          <w:sz w:val="28"/>
          <w:rtl/>
        </w:rPr>
        <w:t>،</w:t>
      </w:r>
      <w:r w:rsidRPr="003F3B94">
        <w:rPr>
          <w:rFonts w:ascii="Abo-thar" w:hAnsi="Abo-thar" w:hint="cs"/>
          <w:sz w:val="28"/>
          <w:rtl/>
        </w:rPr>
        <w:t xml:space="preserve"> فبهذا لا تشملهم الزكاة</w:t>
      </w:r>
      <w:r w:rsidR="00217AB4" w:rsidRPr="003F3B94">
        <w:rPr>
          <w:rFonts w:ascii="Abo-thar" w:hAnsi="Abo-thar" w:hint="cs"/>
          <w:sz w:val="28"/>
          <w:rtl/>
        </w:rPr>
        <w:t>!</w:t>
      </w:r>
    </w:p>
    <w:p w:rsidR="005C664D" w:rsidRPr="003F3B94" w:rsidRDefault="005C664D" w:rsidP="000E2C23">
      <w:pPr>
        <w:pStyle w:val="a0"/>
        <w:ind w:left="624" w:hanging="340"/>
        <w:rPr>
          <w:rFonts w:hint="cs"/>
          <w:rtl/>
        </w:rPr>
      </w:pPr>
      <w:r w:rsidRPr="003F3B94">
        <w:rPr>
          <w:rFonts w:ascii="Abo-thar" w:hAnsi="Abo-thar" w:hint="cs"/>
          <w:sz w:val="28"/>
          <w:rtl/>
        </w:rPr>
        <w:t>د</w:t>
      </w:r>
      <w:r w:rsidR="00217AB4" w:rsidRPr="003F3B94">
        <w:rPr>
          <w:rFonts w:ascii="Abo-thar" w:hAnsi="Abo-thar" w:hint="cs"/>
          <w:sz w:val="28"/>
          <w:rtl/>
        </w:rPr>
        <w:t>-</w:t>
      </w:r>
      <w:r w:rsidR="00147857" w:rsidRPr="003F3B94">
        <w:rPr>
          <w:rFonts w:ascii="Abo-thar" w:hAnsi="Abo-thar" w:hint="cs"/>
          <w:sz w:val="28"/>
          <w:rtl/>
        </w:rPr>
        <w:t xml:space="preserve"> و</w:t>
      </w:r>
      <w:r w:rsidRPr="003F3B94">
        <w:rPr>
          <w:rFonts w:ascii="Abo-thar" w:hAnsi="Abo-thar" w:hint="cs"/>
          <w:sz w:val="28"/>
          <w:rtl/>
        </w:rPr>
        <w:t>تُعفى أربعم</w:t>
      </w:r>
      <w:r w:rsidR="00755AAC">
        <w:rPr>
          <w:rFonts w:ascii="Abo-thar" w:hAnsi="Abo-thar" w:hint="cs"/>
          <w:sz w:val="28"/>
          <w:rtl/>
        </w:rPr>
        <w:t>ا</w:t>
      </w:r>
      <w:r w:rsidRPr="003F3B94">
        <w:rPr>
          <w:rFonts w:ascii="Abo-thar" w:hAnsi="Abo-thar" w:hint="cs"/>
          <w:sz w:val="28"/>
          <w:rtl/>
        </w:rPr>
        <w:t xml:space="preserve">ئة رأس من تلك الأغنام من الزكاة لأن صاحبها </w:t>
      </w:r>
      <w:r w:rsidRPr="003F3B94">
        <w:rPr>
          <w:rFonts w:cs="Times New Roman" w:hint="cs"/>
          <w:sz w:val="28"/>
          <w:rtl/>
        </w:rPr>
        <w:t>–</w:t>
      </w:r>
      <w:r w:rsidRPr="003F3B94">
        <w:rPr>
          <w:rFonts w:ascii="Abo-thar" w:hAnsi="Abo-thar" w:hint="cs"/>
          <w:sz w:val="28"/>
          <w:rtl/>
        </w:rPr>
        <w:t xml:space="preserve"> بسبب عدم كفاية الأعشاب في المرعى لإطعامها </w:t>
      </w:r>
      <w:r w:rsidRPr="003F3B94">
        <w:rPr>
          <w:rFonts w:cs="Times New Roman" w:hint="cs"/>
          <w:sz w:val="28"/>
          <w:rtl/>
        </w:rPr>
        <w:t>–</w:t>
      </w:r>
      <w:r w:rsidRPr="003F3B94">
        <w:rPr>
          <w:rFonts w:ascii="Abo-thar" w:hAnsi="Abo-thar" w:hint="cs"/>
          <w:sz w:val="28"/>
          <w:rtl/>
        </w:rPr>
        <w:t xml:space="preserve"> يقوم بتقديم العلف لها يومياً أو مرة بالأسبوع أو حتى مرة بالشهر من تبن البرسيم أو الشعير أو غيرها من العلف الذي يعطي للمواشي</w:t>
      </w:r>
      <w:r w:rsidR="00217AB4" w:rsidRPr="003F3B94">
        <w:rPr>
          <w:rFonts w:ascii="Abo-thar" w:hAnsi="Abo-thar" w:hint="cs"/>
          <w:sz w:val="28"/>
          <w:rtl/>
        </w:rPr>
        <w:t>،</w:t>
      </w:r>
      <w:r w:rsidRPr="003F3B94">
        <w:rPr>
          <w:rFonts w:ascii="Abo-thar" w:hAnsi="Abo-thar" w:hint="cs"/>
          <w:sz w:val="28"/>
          <w:rtl/>
        </w:rPr>
        <w:t xml:space="preserve"> أو يحفظها في الشتاء داخل الحظيرة ويعلفها فيها</w:t>
      </w:r>
      <w:r w:rsidR="00217AB4" w:rsidRPr="003F3B94">
        <w:rPr>
          <w:rFonts w:ascii="Abo-thar" w:hAnsi="Abo-thar" w:hint="cs"/>
          <w:sz w:val="28"/>
          <w:rtl/>
        </w:rPr>
        <w:t>،</w:t>
      </w:r>
      <w:r w:rsidRPr="003F3B94">
        <w:rPr>
          <w:rFonts w:ascii="Abo-thar" w:hAnsi="Abo-thar" w:hint="cs"/>
          <w:sz w:val="28"/>
          <w:rtl/>
        </w:rPr>
        <w:t xml:space="preserve"> وذلك لأن الأنعام المعلوفة معفيَّةٌ من الزكاة ولو علفت مدة قليلة في السنة</w:t>
      </w:r>
      <w:r w:rsidR="00217AB4" w:rsidRPr="003F3B94">
        <w:rPr>
          <w:rFonts w:ascii="Abo-thar" w:hAnsi="Abo-thar" w:hint="cs"/>
          <w:sz w:val="28"/>
          <w:rtl/>
        </w:rPr>
        <w:t>.</w:t>
      </w:r>
    </w:p>
    <w:p w:rsidR="005C664D" w:rsidRPr="003F3B94" w:rsidRDefault="005C664D" w:rsidP="000E2C23">
      <w:pPr>
        <w:pStyle w:val="a0"/>
        <w:ind w:left="624" w:hanging="340"/>
        <w:rPr>
          <w:rFonts w:hint="cs"/>
          <w:rtl/>
        </w:rPr>
      </w:pPr>
      <w:r w:rsidRPr="003F3B94">
        <w:rPr>
          <w:rFonts w:ascii="Abo-thar" w:hAnsi="Abo-thar" w:hint="cs"/>
          <w:sz w:val="28"/>
          <w:rtl/>
        </w:rPr>
        <w:t xml:space="preserve">هـ </w:t>
      </w:r>
      <w:r w:rsidR="00217AB4" w:rsidRPr="003F3B94">
        <w:rPr>
          <w:rFonts w:ascii="Abo-thar" w:hAnsi="Abo-thar" w:hint="cs"/>
          <w:sz w:val="28"/>
          <w:rtl/>
        </w:rPr>
        <w:t>-</w:t>
      </w:r>
      <w:r w:rsidRPr="003F3B94">
        <w:rPr>
          <w:rFonts w:ascii="Abo-thar" w:hAnsi="Abo-thar" w:hint="cs"/>
          <w:sz w:val="28"/>
          <w:rtl/>
        </w:rPr>
        <w:t xml:space="preserve"> وبالكاد يمكن استخراج مائة غنمة من الألف رأس من كل تلك القيود والشروط </w:t>
      </w:r>
      <w:r w:rsidR="00755AAC">
        <w:rPr>
          <w:rFonts w:cs="Times New Roman"/>
          <w:sz w:val="28"/>
          <w:rtl/>
        </w:rPr>
        <w:br/>
      </w:r>
      <w:r w:rsidRPr="003F3B94">
        <w:rPr>
          <w:rFonts w:cs="Times New Roman" w:hint="cs"/>
          <w:sz w:val="28"/>
          <w:rtl/>
        </w:rPr>
        <w:t>–</w:t>
      </w:r>
      <w:r w:rsidRPr="003F3B94">
        <w:rPr>
          <w:rFonts w:ascii="Abo-thar" w:hAnsi="Abo-thar" w:hint="cs"/>
          <w:sz w:val="28"/>
          <w:rtl/>
        </w:rPr>
        <w:t xml:space="preserve"> أو قُلْ الأعذار والحجج </w:t>
      </w:r>
      <w:r w:rsidR="00217AB4" w:rsidRPr="003F3B94">
        <w:rPr>
          <w:rFonts w:ascii="Abo-thar" w:hAnsi="Abo-thar" w:hint="cs"/>
          <w:sz w:val="28"/>
          <w:rtl/>
        </w:rPr>
        <w:t>-</w:t>
      </w:r>
      <w:r w:rsidRPr="003F3B94">
        <w:rPr>
          <w:rFonts w:ascii="Abo-thar" w:hAnsi="Abo-thar" w:hint="cs"/>
          <w:sz w:val="28"/>
          <w:rtl/>
        </w:rPr>
        <w:t xml:space="preserve"> لوجوب الزكاة فيها إذ إن شرط كونها سائمة </w:t>
      </w:r>
      <w:r w:rsidR="00217AB4" w:rsidRPr="003F3B94">
        <w:rPr>
          <w:rFonts w:ascii="Abo-thar" w:hAnsi="Abo-thar" w:hint="cs"/>
          <w:sz w:val="28"/>
          <w:rtl/>
        </w:rPr>
        <w:t>(</w:t>
      </w:r>
      <w:r w:rsidRPr="003F3B94">
        <w:rPr>
          <w:rFonts w:ascii="Abo-thar" w:hAnsi="Abo-thar" w:hint="cs"/>
          <w:sz w:val="28"/>
          <w:rtl/>
        </w:rPr>
        <w:t>غير معلوفة</w:t>
      </w:r>
      <w:r w:rsidR="00217AB4" w:rsidRPr="003F3B94">
        <w:rPr>
          <w:rFonts w:ascii="Abo-thar" w:hAnsi="Abo-thar" w:hint="cs"/>
          <w:sz w:val="28"/>
          <w:rtl/>
        </w:rPr>
        <w:t>)</w:t>
      </w:r>
      <w:r w:rsidRPr="003F3B94">
        <w:rPr>
          <w:rFonts w:ascii="Abo-thar" w:hAnsi="Abo-thar" w:hint="cs"/>
          <w:sz w:val="28"/>
          <w:rtl/>
        </w:rPr>
        <w:t xml:space="preserve"> تمام الحَوْل شرط صعب جداً بالكاد يمكن استخراج مائة من كل تلك الألف يتحقق فيها هذا الشرط</w:t>
      </w:r>
      <w:r w:rsidR="00217AB4" w:rsidRPr="003F3B94">
        <w:rPr>
          <w:rFonts w:ascii="Abo-thar" w:hAnsi="Abo-thar" w:hint="cs"/>
          <w:sz w:val="28"/>
          <w:rtl/>
        </w:rPr>
        <w:t>،</w:t>
      </w:r>
      <w:r w:rsidRPr="003F3B94">
        <w:rPr>
          <w:rFonts w:ascii="Abo-thar" w:hAnsi="Abo-thar" w:hint="cs"/>
          <w:sz w:val="28"/>
          <w:rtl/>
        </w:rPr>
        <w:t xml:space="preserve"> وعندئذ فسيكون الواجب في هذه المائة هو غنمة واحدة يمكن أخذها من المالك كزكاة لغنمه</w:t>
      </w:r>
      <w:r w:rsidR="00217AB4" w:rsidRPr="003F3B94">
        <w:rPr>
          <w:rFonts w:ascii="Abo-thar" w:hAnsi="Abo-thar" w:hint="cs"/>
          <w:sz w:val="28"/>
          <w:rtl/>
        </w:rPr>
        <w:t>!</w:t>
      </w:r>
      <w:r w:rsidR="00147857" w:rsidRPr="003F3B94">
        <w:rPr>
          <w:rFonts w:ascii="Abo-thar" w:hAnsi="Abo-thar" w:hint="cs"/>
          <w:sz w:val="28"/>
          <w:rtl/>
        </w:rPr>
        <w:t xml:space="preserve"> </w:t>
      </w:r>
      <w:r w:rsidRPr="003F3B94">
        <w:rPr>
          <w:rFonts w:ascii="Abo-thar" w:hAnsi="Abo-thar" w:hint="cs"/>
          <w:sz w:val="28"/>
          <w:rtl/>
        </w:rPr>
        <w:t>وفي الحقيقة يكون المالك قد أدى غنمة واحدة زكاةً على ألف رأس الشياه التي يملكها</w:t>
      </w:r>
      <w:r w:rsidR="00217AB4" w:rsidRPr="003F3B94">
        <w:rPr>
          <w:rFonts w:ascii="Abo-thar" w:hAnsi="Abo-thar" w:hint="cs"/>
          <w:sz w:val="28"/>
          <w:rtl/>
        </w:rPr>
        <w:t>!!</w:t>
      </w:r>
      <w:r w:rsidR="00147857" w:rsidRPr="003F3B94">
        <w:rPr>
          <w:rFonts w:ascii="Abo-thar" w:hAnsi="Abo-thar" w:hint="cs"/>
          <w:sz w:val="28"/>
          <w:rtl/>
        </w:rPr>
        <w:t xml:space="preserve"> </w:t>
      </w:r>
      <w:r w:rsidRPr="003F3B94">
        <w:rPr>
          <w:rFonts w:ascii="Abo-thar" w:hAnsi="Abo-thar" w:hint="cs"/>
          <w:sz w:val="28"/>
          <w:rtl/>
        </w:rPr>
        <w:t xml:space="preserve">ولكن هذه الشاة الواحدة [التي لا تشكل شيئاً بالنسبة لثروة المالك] تحرم على الفقراء من بني هاشم لأنها تُعتبر </w:t>
      </w:r>
      <w:r w:rsidRPr="003F3B94">
        <w:rPr>
          <w:rFonts w:ascii="Lotus Linotype" w:hAnsi="Lotus Linotype"/>
          <w:sz w:val="28"/>
          <w:rtl/>
        </w:rPr>
        <w:t>«</w:t>
      </w:r>
      <w:r w:rsidRPr="003F3B94">
        <w:rPr>
          <w:rFonts w:ascii="Abo-thar" w:hAnsi="Abo-thar" w:hint="cs"/>
          <w:b/>
          <w:bCs/>
          <w:sz w:val="28"/>
          <w:rtl/>
        </w:rPr>
        <w:t>أوساخ أيدي الناس</w:t>
      </w:r>
      <w:r w:rsidRPr="003F3B94">
        <w:rPr>
          <w:rFonts w:ascii="Lotus Linotype" w:hAnsi="Lotus Linotype"/>
          <w:sz w:val="28"/>
          <w:rtl/>
        </w:rPr>
        <w:t>»</w:t>
      </w:r>
      <w:r w:rsidR="00217AB4" w:rsidRPr="003F3B94">
        <w:rPr>
          <w:rFonts w:ascii="Abo-thar" w:hAnsi="Abo-thar" w:hint="cs"/>
          <w:sz w:val="28"/>
          <w:rtl/>
        </w:rPr>
        <w:t>!!</w:t>
      </w:r>
    </w:p>
    <w:p w:rsidR="005C664D" w:rsidRPr="003F3B94" w:rsidRDefault="005C664D" w:rsidP="003F3B94">
      <w:pPr>
        <w:pStyle w:val="a0"/>
        <w:rPr>
          <w:rFonts w:hint="cs"/>
          <w:rtl/>
        </w:rPr>
      </w:pPr>
      <w:r w:rsidRPr="003F3B94">
        <w:rPr>
          <w:rFonts w:ascii="Abo-thar" w:hAnsi="Abo-thar" w:hint="cs"/>
          <w:sz w:val="28"/>
          <w:rtl/>
        </w:rPr>
        <w:t xml:space="preserve">أو مثال آخر أن يكون لرجل غني </w:t>
      </w:r>
      <w:r w:rsidR="00755AAC">
        <w:rPr>
          <w:rFonts w:ascii="Abo-thar" w:hAnsi="Abo-thar" w:hint="cs"/>
          <w:sz w:val="28"/>
          <w:rtl/>
        </w:rPr>
        <w:t>مائة</w:t>
      </w:r>
      <w:r w:rsidRPr="003F3B94">
        <w:rPr>
          <w:rFonts w:ascii="Abo-thar" w:hAnsi="Abo-thar" w:hint="cs"/>
          <w:sz w:val="28"/>
          <w:rtl/>
        </w:rPr>
        <w:t xml:space="preserve"> مثقال [دينار] من الذهب أو أكثر</w:t>
      </w:r>
      <w:r w:rsidR="00217AB4" w:rsidRPr="003F3B94">
        <w:rPr>
          <w:rFonts w:ascii="Abo-thar" w:hAnsi="Abo-thar" w:hint="cs"/>
          <w:sz w:val="28"/>
          <w:rtl/>
        </w:rPr>
        <w:t>:</w:t>
      </w:r>
    </w:p>
    <w:p w:rsidR="005C664D" w:rsidRPr="003F3B94" w:rsidRDefault="005C664D" w:rsidP="003F3B94">
      <w:pPr>
        <w:pStyle w:val="a0"/>
        <w:rPr>
          <w:rFonts w:hint="cs"/>
          <w:rtl/>
        </w:rPr>
      </w:pPr>
      <w:r w:rsidRPr="003F3B94">
        <w:rPr>
          <w:rFonts w:ascii="Abo-thar" w:hAnsi="Abo-thar" w:hint="cs"/>
          <w:sz w:val="28"/>
          <w:rtl/>
        </w:rPr>
        <w:t>كمية منه تكون على شكل سبيكة ذهب</w:t>
      </w:r>
      <w:r w:rsidR="00217AB4" w:rsidRPr="003F3B94">
        <w:rPr>
          <w:rFonts w:ascii="Abo-thar" w:hAnsi="Abo-thar" w:hint="cs"/>
          <w:sz w:val="28"/>
          <w:rtl/>
        </w:rPr>
        <w:t>،</w:t>
      </w:r>
      <w:r w:rsidRPr="003F3B94">
        <w:rPr>
          <w:rFonts w:ascii="Abo-thar" w:hAnsi="Abo-thar" w:hint="cs"/>
          <w:sz w:val="28"/>
          <w:rtl/>
        </w:rPr>
        <w:t xml:space="preserve"> وكمية أخرى على شكل أواني وكمية ثالثة على شكل حُلِيّ للزينة فكل هذه لن تكون فيها زكاة أبداً</w:t>
      </w:r>
      <w:r w:rsidR="00217AB4" w:rsidRPr="003F3B94">
        <w:rPr>
          <w:rFonts w:ascii="Abo-thar" w:hAnsi="Abo-thar" w:hint="cs"/>
          <w:sz w:val="28"/>
          <w:rtl/>
        </w:rPr>
        <w:t>،</w:t>
      </w:r>
      <w:r w:rsidRPr="003F3B94">
        <w:rPr>
          <w:rFonts w:ascii="Abo-thar" w:hAnsi="Abo-thar" w:hint="cs"/>
          <w:sz w:val="28"/>
          <w:rtl/>
        </w:rPr>
        <w:t xml:space="preserve"> فإذا اتفق لهذا الرجل الغني أن كان لديه عشرون أشرفياً [اسم عملة ذهبية مسكوكة] بقيت طوال السنة في زاوية من صندوق أو على طرف رفٍّ في الغرفة ولم يستطع أن يخرجها من شمول الزكاة لها بتلك الأعذار فإن كل ما يجب عليه أن يدفعه منها هو واحد من أربعين من قيمتها فقط أي نصف مثقال</w:t>
      </w:r>
      <w:r w:rsidR="00217AB4" w:rsidRPr="003F3B94">
        <w:rPr>
          <w:rFonts w:ascii="Abo-thar" w:hAnsi="Abo-thar" w:hint="cs"/>
          <w:sz w:val="28"/>
          <w:rtl/>
        </w:rPr>
        <w:t>!</w:t>
      </w:r>
      <w:r w:rsidRPr="003F3B94">
        <w:rPr>
          <w:rFonts w:ascii="Abo-thar" w:hAnsi="Abo-thar" w:hint="cs"/>
          <w:sz w:val="28"/>
          <w:rtl/>
        </w:rPr>
        <w:t xml:space="preserve"> ولكن النصف مثقال هذا الذي يمكن القول أنه يشكل واحد بالألف من ثروة هذا الرجل الغني من الذهب</w:t>
      </w:r>
      <w:r w:rsidR="00217AB4" w:rsidRPr="003F3B94">
        <w:rPr>
          <w:rFonts w:ascii="Abo-thar" w:hAnsi="Abo-thar" w:hint="cs"/>
          <w:sz w:val="28"/>
          <w:rtl/>
        </w:rPr>
        <w:t>،</w:t>
      </w:r>
      <w:r w:rsidRPr="003F3B94">
        <w:rPr>
          <w:rFonts w:ascii="Abo-thar" w:hAnsi="Abo-thar" w:hint="cs"/>
          <w:sz w:val="28"/>
          <w:rtl/>
        </w:rPr>
        <w:t xml:space="preserve"> بمجرد أن يؤخذ منه زكاةً لماله يصبح من </w:t>
      </w:r>
      <w:r w:rsidRPr="003F3B94">
        <w:rPr>
          <w:rFonts w:ascii="Lotus Linotype" w:hAnsi="Lotus Linotype"/>
          <w:sz w:val="28"/>
          <w:rtl/>
        </w:rPr>
        <w:t>«</w:t>
      </w:r>
      <w:r w:rsidRPr="003F3B94">
        <w:rPr>
          <w:rFonts w:ascii="Abo-thar" w:hAnsi="Abo-thar" w:hint="cs"/>
          <w:b/>
          <w:bCs/>
          <w:sz w:val="28"/>
          <w:rtl/>
        </w:rPr>
        <w:t>أوساخ أيدي الناس</w:t>
      </w:r>
      <w:r w:rsidRPr="003F3B94">
        <w:rPr>
          <w:rFonts w:ascii="Lotus Linotype" w:hAnsi="Lotus Linotype"/>
          <w:sz w:val="28"/>
          <w:rtl/>
        </w:rPr>
        <w:t>»</w:t>
      </w:r>
      <w:r w:rsidR="00217AB4" w:rsidRPr="003F3B94">
        <w:rPr>
          <w:rFonts w:ascii="Abo-thar" w:hAnsi="Abo-thar" w:hint="cs"/>
          <w:sz w:val="28"/>
          <w:rtl/>
        </w:rPr>
        <w:t>!</w:t>
      </w:r>
      <w:r w:rsidRPr="003F3B94">
        <w:rPr>
          <w:rFonts w:ascii="Abo-thar" w:hAnsi="Abo-thar" w:hint="cs"/>
          <w:sz w:val="28"/>
          <w:rtl/>
        </w:rPr>
        <w:t xml:space="preserve"> أي من كد يمينهم وعرق جبينهم وبالتالي فيحرم على فقراء بني هاشم أن يأخذوا منه شيئاً</w:t>
      </w:r>
      <w:r w:rsidR="00217AB4" w:rsidRPr="003F3B94">
        <w:rPr>
          <w:rFonts w:ascii="Abo-thar" w:hAnsi="Abo-thar" w:hint="cs"/>
          <w:sz w:val="28"/>
          <w:rtl/>
        </w:rPr>
        <w:t>؟!</w:t>
      </w:r>
    </w:p>
    <w:p w:rsidR="005C664D" w:rsidRPr="003F3B94" w:rsidRDefault="005C664D" w:rsidP="003F3B94">
      <w:pPr>
        <w:pStyle w:val="a0"/>
        <w:rPr>
          <w:rFonts w:hint="cs"/>
          <w:rtl/>
        </w:rPr>
      </w:pPr>
      <w:r w:rsidRPr="003F3B94">
        <w:rPr>
          <w:rFonts w:ascii="Abo-thar" w:hAnsi="Abo-thar" w:hint="cs"/>
          <w:sz w:val="28"/>
          <w:rtl/>
        </w:rPr>
        <w:t>والأمر ذاته ينطبق على أصحاب الجِمال والأبقار والفضة المسكوكة مما لا نعرف في زمننا أحداً تشمله الزكاة منهم</w:t>
      </w:r>
      <w:r w:rsidR="00217AB4" w:rsidRPr="003F3B94">
        <w:rPr>
          <w:rFonts w:ascii="Abo-thar" w:hAnsi="Abo-thar" w:hint="cs"/>
          <w:sz w:val="28"/>
          <w:rtl/>
        </w:rPr>
        <w:t>!</w:t>
      </w:r>
      <w:r w:rsidRPr="003F3B94">
        <w:rPr>
          <w:rFonts w:ascii="Abo-thar" w:hAnsi="Abo-thar" w:hint="cs"/>
          <w:sz w:val="28"/>
          <w:rtl/>
        </w:rPr>
        <w:t xml:space="preserve"> وكذلك أصحاب آلاف الألوف من أرواق البنكنوت</w:t>
      </w:r>
      <w:r w:rsidR="00147857" w:rsidRPr="003F3B94">
        <w:rPr>
          <w:rFonts w:ascii="Abo-thar" w:hAnsi="Abo-thar" w:hint="cs"/>
          <w:sz w:val="28"/>
          <w:rtl/>
        </w:rPr>
        <w:t xml:space="preserve"> و</w:t>
      </w:r>
      <w:r w:rsidRPr="003F3B94">
        <w:rPr>
          <w:rFonts w:ascii="Abo-thar" w:hAnsi="Abo-thar" w:hint="cs"/>
          <w:sz w:val="28"/>
          <w:rtl/>
        </w:rPr>
        <w:t xml:space="preserve">أوراق بهادر </w:t>
      </w:r>
      <w:r w:rsidR="00217AB4" w:rsidRPr="003F3B94">
        <w:rPr>
          <w:rFonts w:ascii="Abo-thar" w:hAnsi="Abo-thar" w:hint="cs"/>
          <w:sz w:val="28"/>
          <w:rtl/>
        </w:rPr>
        <w:t>(</w:t>
      </w:r>
      <w:r w:rsidRPr="003F3B94">
        <w:rPr>
          <w:rFonts w:ascii="Abo-thar" w:hAnsi="Abo-thar" w:hint="cs"/>
          <w:sz w:val="28"/>
          <w:rtl/>
        </w:rPr>
        <w:t>العملة الورقية</w:t>
      </w:r>
      <w:r w:rsidR="00217AB4" w:rsidRPr="003F3B94">
        <w:rPr>
          <w:rFonts w:ascii="Abo-thar" w:hAnsi="Abo-thar" w:hint="cs"/>
          <w:sz w:val="28"/>
          <w:rtl/>
        </w:rPr>
        <w:t>)</w:t>
      </w:r>
      <w:r w:rsidR="00147857" w:rsidRPr="003F3B94">
        <w:rPr>
          <w:rFonts w:ascii="Abo-thar" w:hAnsi="Abo-thar" w:hint="cs"/>
          <w:sz w:val="28"/>
          <w:rtl/>
        </w:rPr>
        <w:t xml:space="preserve"> و</w:t>
      </w:r>
      <w:r w:rsidRPr="003F3B94">
        <w:rPr>
          <w:rFonts w:ascii="Abo-thar" w:hAnsi="Abo-thar" w:hint="cs"/>
          <w:sz w:val="28"/>
          <w:rtl/>
        </w:rPr>
        <w:t>الشيكات والكمبيالات</w:t>
      </w:r>
      <w:r w:rsidR="00217AB4" w:rsidRPr="003F3B94">
        <w:rPr>
          <w:rFonts w:ascii="Abo-thar" w:hAnsi="Abo-thar" w:hint="cs"/>
          <w:sz w:val="28"/>
          <w:rtl/>
        </w:rPr>
        <w:t>،</w:t>
      </w:r>
      <w:r w:rsidRPr="003F3B94">
        <w:rPr>
          <w:rFonts w:ascii="Abo-thar" w:hAnsi="Abo-thar" w:hint="cs"/>
          <w:sz w:val="28"/>
          <w:rtl/>
        </w:rPr>
        <w:t xml:space="preserve"> فإذا اتفق أن وجب شيء من الزكاة عليهم</w:t>
      </w:r>
      <w:r w:rsidRPr="003F3B94">
        <w:rPr>
          <w:rFonts w:hint="cs"/>
          <w:sz w:val="28"/>
          <w:rtl/>
        </w:rPr>
        <w:t xml:space="preserve"> </w:t>
      </w:r>
      <w:r w:rsidRPr="003F3B94">
        <w:rPr>
          <w:rFonts w:cs="Times New Roman" w:hint="cs"/>
          <w:sz w:val="28"/>
          <w:rtl/>
        </w:rPr>
        <w:t>–</w:t>
      </w:r>
      <w:r w:rsidRPr="003F3B94">
        <w:rPr>
          <w:rFonts w:ascii="Abo-thar" w:hAnsi="Abo-thar" w:hint="cs"/>
          <w:sz w:val="28"/>
          <w:rtl/>
        </w:rPr>
        <w:t xml:space="preserve"> طبقا لفتوى علماء عصرنا </w:t>
      </w:r>
      <w:r w:rsidRPr="003F3B94">
        <w:rPr>
          <w:rFonts w:cs="Times New Roman" w:hint="cs"/>
          <w:sz w:val="28"/>
          <w:rtl/>
        </w:rPr>
        <w:t>–</w:t>
      </w:r>
      <w:r w:rsidRPr="003F3B94">
        <w:rPr>
          <w:rFonts w:ascii="Abo-thar" w:hAnsi="Abo-thar" w:hint="cs"/>
          <w:sz w:val="28"/>
          <w:rtl/>
        </w:rPr>
        <w:t xml:space="preserve"> فعندئذ يكون هذا المال محرَّم على فقراء بني هاشم لأنه من </w:t>
      </w:r>
      <w:r w:rsidRPr="003F3B94">
        <w:rPr>
          <w:rFonts w:ascii="Lotus Linotype" w:hAnsi="Lotus Linotype"/>
          <w:sz w:val="28"/>
          <w:rtl/>
        </w:rPr>
        <w:t>«</w:t>
      </w:r>
      <w:r w:rsidRPr="003F3B94">
        <w:rPr>
          <w:rFonts w:ascii="Abo-thar" w:hAnsi="Abo-thar" w:hint="cs"/>
          <w:b/>
          <w:bCs/>
          <w:sz w:val="28"/>
          <w:rtl/>
        </w:rPr>
        <w:t>أوساخ أيدي الناس</w:t>
      </w:r>
      <w:r w:rsidRPr="003F3B94">
        <w:rPr>
          <w:rFonts w:ascii="Lotus Linotype" w:hAnsi="Lotus Linotype"/>
          <w:sz w:val="28"/>
          <w:rtl/>
        </w:rPr>
        <w:t>»</w:t>
      </w:r>
      <w:r w:rsidR="00217AB4" w:rsidRPr="003F3B94">
        <w:rPr>
          <w:rFonts w:ascii="Abo-thar" w:hAnsi="Abo-thar" w:hint="cs"/>
          <w:sz w:val="28"/>
          <w:rtl/>
        </w:rPr>
        <w:t>!</w:t>
      </w:r>
      <w:r w:rsidRPr="003F3B94">
        <w:rPr>
          <w:rFonts w:ascii="Abo-thar" w:hAnsi="Abo-thar" w:hint="cs"/>
          <w:sz w:val="28"/>
          <w:rtl/>
        </w:rPr>
        <w:t xml:space="preserve"> أي من كد يمينهم وعرق جبينهم</w:t>
      </w:r>
      <w:r w:rsidR="00147857" w:rsidRPr="003F3B94">
        <w:rPr>
          <w:rFonts w:ascii="Abo-thar" w:hAnsi="Abo-thar" w:hint="cs"/>
          <w:sz w:val="28"/>
          <w:rtl/>
        </w:rPr>
        <w:t xml:space="preserve"> و</w:t>
      </w:r>
      <w:r w:rsidRPr="003F3B94">
        <w:rPr>
          <w:rFonts w:ascii="Abo-thar" w:hAnsi="Abo-thar" w:hint="cs"/>
          <w:sz w:val="28"/>
          <w:rtl/>
        </w:rPr>
        <w:t>ناتج كدحهم وتعبهم</w:t>
      </w:r>
      <w:r w:rsidR="00217AB4" w:rsidRPr="003F3B94">
        <w:rPr>
          <w:rFonts w:ascii="Abo-thar" w:hAnsi="Abo-thar" w:hint="cs"/>
          <w:sz w:val="28"/>
          <w:rtl/>
        </w:rPr>
        <w:t>،</w:t>
      </w:r>
      <w:r w:rsidRPr="003F3B94">
        <w:rPr>
          <w:rFonts w:ascii="Abo-thar" w:hAnsi="Abo-thar" w:hint="cs"/>
          <w:sz w:val="28"/>
          <w:rtl/>
        </w:rPr>
        <w:t xml:space="preserve"> فلا يجوز للمنتسبين إلى رسول الله أن يُرزقوا منه</w:t>
      </w:r>
      <w:r w:rsidR="00217AB4" w:rsidRPr="003F3B94">
        <w:rPr>
          <w:rFonts w:ascii="Abo-thar" w:hAnsi="Abo-thar" w:hint="cs"/>
          <w:sz w:val="28"/>
          <w:rtl/>
        </w:rPr>
        <w:t>!!</w:t>
      </w:r>
    </w:p>
    <w:p w:rsidR="005C664D" w:rsidRPr="003F3B94" w:rsidRDefault="005C664D" w:rsidP="003F3B94">
      <w:pPr>
        <w:pStyle w:val="a0"/>
        <w:rPr>
          <w:rFonts w:hint="cs"/>
          <w:rtl/>
        </w:rPr>
      </w:pPr>
      <w:r w:rsidRPr="003F3B94">
        <w:rPr>
          <w:rFonts w:ascii="Abo-thar" w:hAnsi="Abo-thar" w:hint="cs"/>
          <w:sz w:val="28"/>
          <w:rtl/>
        </w:rPr>
        <w:t>ولكن بني هاشم هؤلاء يجوز لهم أن يرتزقوا من تعب يد كل حمال</w:t>
      </w:r>
      <w:r w:rsidR="00147857" w:rsidRPr="003F3B94">
        <w:rPr>
          <w:rFonts w:ascii="Abo-thar" w:hAnsi="Abo-thar" w:hint="cs"/>
          <w:sz w:val="28"/>
          <w:rtl/>
        </w:rPr>
        <w:t xml:space="preserve"> و</w:t>
      </w:r>
      <w:r w:rsidRPr="003F3B94">
        <w:rPr>
          <w:rFonts w:ascii="Abo-thar" w:hAnsi="Abo-thar" w:hint="cs"/>
          <w:sz w:val="28"/>
          <w:rtl/>
        </w:rPr>
        <w:t>عجوز غزالة</w:t>
      </w:r>
      <w:r w:rsidR="00147857" w:rsidRPr="003F3B94">
        <w:rPr>
          <w:rFonts w:ascii="Abo-thar" w:hAnsi="Abo-thar" w:hint="cs"/>
          <w:sz w:val="28"/>
          <w:rtl/>
        </w:rPr>
        <w:t xml:space="preserve"> و</w:t>
      </w:r>
      <w:r w:rsidRPr="003F3B94">
        <w:rPr>
          <w:rFonts w:ascii="Abo-thar" w:hAnsi="Abo-thar" w:hint="cs"/>
          <w:sz w:val="28"/>
          <w:rtl/>
        </w:rPr>
        <w:t>كد يمينهما</w:t>
      </w:r>
      <w:r w:rsidR="00147857" w:rsidRPr="003F3B94">
        <w:rPr>
          <w:rFonts w:ascii="Abo-thar" w:hAnsi="Abo-thar" w:hint="cs"/>
          <w:sz w:val="28"/>
          <w:rtl/>
        </w:rPr>
        <w:t xml:space="preserve"> و</w:t>
      </w:r>
      <w:r w:rsidRPr="003F3B94">
        <w:rPr>
          <w:rFonts w:ascii="Abo-thar" w:hAnsi="Abo-thar" w:hint="cs"/>
          <w:sz w:val="28"/>
          <w:rtl/>
        </w:rPr>
        <w:t>عرق جبينهما ولو بلغ مقداره خمس ريالات فائضة عن نفقتهما السنوية</w:t>
      </w:r>
      <w:r w:rsidR="00217AB4" w:rsidRPr="003F3B94">
        <w:rPr>
          <w:rFonts w:ascii="Abo-thar" w:hAnsi="Abo-thar" w:hint="cs"/>
          <w:sz w:val="28"/>
          <w:rtl/>
        </w:rPr>
        <w:t>!!!</w:t>
      </w:r>
    </w:p>
    <w:p w:rsidR="005C664D" w:rsidRPr="003F3B94" w:rsidRDefault="005C664D" w:rsidP="003F3B94">
      <w:pPr>
        <w:pStyle w:val="a0"/>
        <w:rPr>
          <w:rFonts w:hint="cs"/>
          <w:rtl/>
        </w:rPr>
      </w:pPr>
      <w:r w:rsidRPr="003F3B94">
        <w:rPr>
          <w:rFonts w:ascii="Abo-thar" w:hAnsi="Abo-thar" w:hint="cs"/>
          <w:sz w:val="28"/>
          <w:rtl/>
        </w:rPr>
        <w:t xml:space="preserve">والآن لنلقِ نظرةً على الرسائل الفقهية العمليَّة التي تتضمَّن فتاوى السادة الفقهاء في زماننا لنرى كيف أنقذ آيات الله وحججه البالغة بني هاشم من الارتزاق من </w:t>
      </w:r>
      <w:r w:rsidRPr="003F3B94">
        <w:rPr>
          <w:rFonts w:ascii="Lotus Linotype" w:hAnsi="Lotus Linotype"/>
          <w:sz w:val="28"/>
          <w:rtl/>
        </w:rPr>
        <w:t>«</w:t>
      </w:r>
      <w:r w:rsidRPr="003F3B94">
        <w:rPr>
          <w:rFonts w:ascii="Abo-thar" w:hAnsi="Abo-thar" w:hint="cs"/>
          <w:sz w:val="28"/>
          <w:rtl/>
        </w:rPr>
        <w:t>أوساخ أيدي الناس</w:t>
      </w:r>
      <w:r w:rsidRPr="003F3B94">
        <w:rPr>
          <w:rFonts w:ascii="Lotus Linotype" w:hAnsi="Lotus Linotype"/>
          <w:sz w:val="28"/>
          <w:rtl/>
        </w:rPr>
        <w:t>»</w:t>
      </w:r>
      <w:r w:rsidR="00217AB4" w:rsidRPr="003F3B94">
        <w:rPr>
          <w:rFonts w:ascii="Lotus Linotype" w:hAnsi="Lotus Linotype" w:hint="cs"/>
          <w:sz w:val="28"/>
          <w:rtl/>
        </w:rPr>
        <w:t>!</w:t>
      </w:r>
      <w:r w:rsidRPr="003F3B94">
        <w:rPr>
          <w:rFonts w:ascii="Lotus Linotype" w:hAnsi="Lotus Linotype" w:hint="cs"/>
          <w:sz w:val="28"/>
          <w:rtl/>
        </w:rPr>
        <w:t xml:space="preserve"> إذْ أوجبوا في رسائلهم الفقهية العملية </w:t>
      </w:r>
      <w:r w:rsidRPr="003F3B94">
        <w:rPr>
          <w:rFonts w:ascii="Abo-thar" w:hAnsi="Abo-thar" w:hint="cs"/>
          <w:sz w:val="28"/>
          <w:rtl/>
        </w:rPr>
        <w:t>الخمس على جميع أنواع ال</w:t>
      </w:r>
      <w:r w:rsidRPr="003F3B94">
        <w:rPr>
          <w:rFonts w:hint="eastAsia"/>
          <w:sz w:val="28"/>
          <w:rtl/>
        </w:rPr>
        <w:t>أرباح</w:t>
      </w:r>
      <w:r w:rsidRPr="003F3B94">
        <w:rPr>
          <w:sz w:val="28"/>
          <w:rtl/>
        </w:rPr>
        <w:t xml:space="preserve"> </w:t>
      </w:r>
      <w:r w:rsidRPr="003F3B94">
        <w:rPr>
          <w:rFonts w:hint="cs"/>
          <w:sz w:val="28"/>
          <w:rtl/>
        </w:rPr>
        <w:t xml:space="preserve">الناتجة من </w:t>
      </w:r>
      <w:r w:rsidRPr="003F3B94">
        <w:rPr>
          <w:rFonts w:hint="eastAsia"/>
          <w:sz w:val="28"/>
          <w:rtl/>
        </w:rPr>
        <w:t>التجارات</w:t>
      </w:r>
      <w:r w:rsidRPr="003F3B94">
        <w:rPr>
          <w:sz w:val="28"/>
          <w:rtl/>
        </w:rPr>
        <w:t xml:space="preserve"> </w:t>
      </w:r>
      <w:r w:rsidRPr="003F3B94">
        <w:rPr>
          <w:rFonts w:hint="eastAsia"/>
          <w:sz w:val="28"/>
          <w:rtl/>
        </w:rPr>
        <w:t>والزراعات والصناعات</w:t>
      </w:r>
      <w:r w:rsidRPr="003F3B94">
        <w:rPr>
          <w:rFonts w:hint="cs"/>
          <w:sz w:val="28"/>
          <w:rtl/>
        </w:rPr>
        <w:t xml:space="preserve"> وجميع أنوع المكاسب وجعلوا لنبي هاشم </w:t>
      </w:r>
      <w:r w:rsidR="00217AB4" w:rsidRPr="003F3B94">
        <w:rPr>
          <w:rFonts w:hint="cs"/>
          <w:sz w:val="28"/>
          <w:rtl/>
        </w:rPr>
        <w:t>(</w:t>
      </w:r>
      <w:r w:rsidRPr="003F3B94">
        <w:rPr>
          <w:rFonts w:hint="cs"/>
          <w:sz w:val="28"/>
          <w:rtl/>
        </w:rPr>
        <w:t>الذين يسمون اصطلاحاً بالسادة</w:t>
      </w:r>
      <w:r w:rsidR="00217AB4" w:rsidRPr="003F3B94">
        <w:rPr>
          <w:rFonts w:hint="cs"/>
          <w:sz w:val="28"/>
          <w:rtl/>
        </w:rPr>
        <w:t>)</w:t>
      </w:r>
      <w:r w:rsidRPr="003F3B94">
        <w:rPr>
          <w:rFonts w:hint="cs"/>
          <w:sz w:val="28"/>
          <w:rtl/>
        </w:rPr>
        <w:t xml:space="preserve"> الحق بالارتزاق منها</w:t>
      </w:r>
      <w:r w:rsidR="00217AB4" w:rsidRPr="003F3B94">
        <w:rPr>
          <w:rFonts w:hint="cs"/>
          <w:sz w:val="28"/>
          <w:rtl/>
        </w:rPr>
        <w:t>،</w:t>
      </w:r>
      <w:r w:rsidRPr="003F3B94">
        <w:rPr>
          <w:rFonts w:hint="cs"/>
          <w:sz w:val="28"/>
          <w:rtl/>
        </w:rPr>
        <w:t xml:space="preserve"> إضافةً إلى السادة الفقهاء أنفسهم الذين لهم سهم أكثر من هذا الخمس</w:t>
      </w:r>
      <w:r w:rsidR="00217AB4" w:rsidRPr="003F3B94">
        <w:rPr>
          <w:rFonts w:hint="cs"/>
          <w:sz w:val="28"/>
          <w:rtl/>
        </w:rPr>
        <w:t>،</w:t>
      </w:r>
      <w:r w:rsidRPr="003F3B94">
        <w:rPr>
          <w:rFonts w:hint="cs"/>
          <w:sz w:val="28"/>
          <w:rtl/>
        </w:rPr>
        <w:t xml:space="preserve"> فمثلاً يقول أحدهم في الصفحة 163 من رسالته العملية خلال تعداده للأموال التي يشملها الخمس</w:t>
      </w:r>
      <w:r w:rsidR="00217AB4" w:rsidRPr="003F3B94">
        <w:rPr>
          <w:rFonts w:hint="cs"/>
          <w:sz w:val="28"/>
          <w:rtl/>
        </w:rPr>
        <w:t>:</w:t>
      </w:r>
    </w:p>
    <w:p w:rsidR="005C664D" w:rsidRPr="003F3B94" w:rsidRDefault="00EF2588" w:rsidP="003F3B94">
      <w:pPr>
        <w:pStyle w:val="a0"/>
        <w:rPr>
          <w:rFonts w:hint="cs"/>
          <w:rtl/>
        </w:rPr>
      </w:pPr>
      <w:r w:rsidRPr="003F3B94">
        <w:rPr>
          <w:rFonts w:hint="cs"/>
          <w:sz w:val="28"/>
          <w:rtl/>
        </w:rPr>
        <w:t>«</w:t>
      </w:r>
      <w:r w:rsidR="005C664D" w:rsidRPr="003F3B94">
        <w:rPr>
          <w:b/>
          <w:bCs/>
          <w:sz w:val="28"/>
          <w:rtl/>
        </w:rPr>
        <w:t>الخامس</w:t>
      </w:r>
      <w:r w:rsidR="00217AB4" w:rsidRPr="003F3B94">
        <w:rPr>
          <w:rFonts w:hint="cs"/>
          <w:b/>
          <w:bCs/>
          <w:sz w:val="28"/>
          <w:rtl/>
        </w:rPr>
        <w:t>:</w:t>
      </w:r>
      <w:r w:rsidR="005C664D" w:rsidRPr="003F3B94">
        <w:rPr>
          <w:b/>
          <w:bCs/>
          <w:sz w:val="28"/>
          <w:rtl/>
        </w:rPr>
        <w:t xml:space="preserve"> ما يفضل عن مؤ</w:t>
      </w:r>
      <w:r w:rsidR="005C664D" w:rsidRPr="003F3B94">
        <w:rPr>
          <w:rFonts w:hint="cs"/>
          <w:b/>
          <w:bCs/>
          <w:sz w:val="28"/>
          <w:rtl/>
        </w:rPr>
        <w:t>و</w:t>
      </w:r>
      <w:r w:rsidR="005C664D" w:rsidRPr="003F3B94">
        <w:rPr>
          <w:b/>
          <w:bCs/>
          <w:sz w:val="28"/>
          <w:rtl/>
        </w:rPr>
        <w:t>نة السنة له</w:t>
      </w:r>
      <w:r w:rsidR="00147857" w:rsidRPr="003F3B94">
        <w:rPr>
          <w:b/>
          <w:bCs/>
          <w:sz w:val="28"/>
          <w:rtl/>
        </w:rPr>
        <w:t xml:space="preserve"> و</w:t>
      </w:r>
      <w:r w:rsidR="005C664D" w:rsidRPr="003F3B94">
        <w:rPr>
          <w:b/>
          <w:bCs/>
          <w:sz w:val="28"/>
          <w:rtl/>
        </w:rPr>
        <w:t>لع</w:t>
      </w:r>
      <w:r w:rsidR="002834A4" w:rsidRPr="003F3B94">
        <w:rPr>
          <w:rFonts w:hint="cs"/>
          <w:b/>
          <w:bCs/>
          <w:sz w:val="28"/>
          <w:rtl/>
        </w:rPr>
        <w:t>ـ</w:t>
      </w:r>
      <w:r w:rsidR="005C664D" w:rsidRPr="003F3B94">
        <w:rPr>
          <w:b/>
          <w:bCs/>
          <w:sz w:val="28"/>
          <w:rtl/>
        </w:rPr>
        <w:t>ياله من أرباح التجارات ومن سائر التكس</w:t>
      </w:r>
      <w:r w:rsidR="002834A4" w:rsidRPr="003F3B94">
        <w:rPr>
          <w:rFonts w:hint="cs"/>
          <w:b/>
          <w:bCs/>
          <w:sz w:val="28"/>
          <w:rtl/>
        </w:rPr>
        <w:t>ُّ</w:t>
      </w:r>
      <w:r w:rsidR="005C664D" w:rsidRPr="003F3B94">
        <w:rPr>
          <w:b/>
          <w:bCs/>
          <w:sz w:val="28"/>
          <w:rtl/>
        </w:rPr>
        <w:t xml:space="preserve">بات من الصناعات والزراعات </w:t>
      </w:r>
      <w:r w:rsidR="005C664D" w:rsidRPr="003F3B94">
        <w:rPr>
          <w:rFonts w:hint="cs"/>
          <w:b/>
          <w:bCs/>
          <w:sz w:val="28"/>
          <w:rtl/>
        </w:rPr>
        <w:t xml:space="preserve">وأعمال الأجرة مهما قلَّت مثل الصيد والاحتطاب </w:t>
      </w:r>
      <w:r w:rsidR="00217AB4" w:rsidRPr="003F3B94">
        <w:rPr>
          <w:rFonts w:hint="cs"/>
          <w:b/>
          <w:bCs/>
          <w:sz w:val="28"/>
          <w:rtl/>
        </w:rPr>
        <w:t>(</w:t>
      </w:r>
      <w:r w:rsidR="005C664D" w:rsidRPr="003F3B94">
        <w:rPr>
          <w:rFonts w:hint="cs"/>
          <w:b/>
          <w:bCs/>
          <w:sz w:val="28"/>
          <w:rtl/>
        </w:rPr>
        <w:t>جمع الحطب وتقطيعه وبيعه</w:t>
      </w:r>
      <w:r w:rsidR="00217AB4" w:rsidRPr="003F3B94">
        <w:rPr>
          <w:rFonts w:hint="cs"/>
          <w:b/>
          <w:bCs/>
          <w:sz w:val="28"/>
          <w:rtl/>
        </w:rPr>
        <w:t>)</w:t>
      </w:r>
      <w:r w:rsidR="005C664D" w:rsidRPr="003F3B94">
        <w:rPr>
          <w:rFonts w:hint="cs"/>
          <w:b/>
          <w:bCs/>
          <w:sz w:val="28"/>
          <w:rtl/>
        </w:rPr>
        <w:t xml:space="preserve"> وقطف الثمار وجلبها وبيعها وأجرة السقاية أو العمل بالأجرة حتى بالعبودية </w:t>
      </w:r>
      <w:r w:rsidR="00217AB4" w:rsidRPr="003F3B94">
        <w:rPr>
          <w:rFonts w:hint="cs"/>
          <w:b/>
          <w:bCs/>
          <w:sz w:val="28"/>
          <w:rtl/>
        </w:rPr>
        <w:t>(</w:t>
      </w:r>
      <w:r w:rsidR="005C664D" w:rsidRPr="003F3B94">
        <w:rPr>
          <w:rFonts w:hint="cs"/>
          <w:b/>
          <w:bCs/>
          <w:sz w:val="28"/>
          <w:rtl/>
        </w:rPr>
        <w:t>الرق</w:t>
      </w:r>
      <w:r w:rsidR="00217AB4" w:rsidRPr="003F3B94">
        <w:rPr>
          <w:rFonts w:hint="cs"/>
          <w:b/>
          <w:bCs/>
          <w:sz w:val="28"/>
          <w:rtl/>
        </w:rPr>
        <w:t>)</w:t>
      </w:r>
      <w:r w:rsidR="005C664D" w:rsidRPr="003F3B94">
        <w:rPr>
          <w:rFonts w:hint="cs"/>
          <w:b/>
          <w:bCs/>
          <w:sz w:val="28"/>
          <w:rtl/>
        </w:rPr>
        <w:t xml:space="preserve"> وتعليم الأطفال وقطف الأعشاب أو علف الصحراء وجمع العسل من الجبال والعمل كأجير وعامل أو ساعي بريد وأخذ الأجرة أو الجعالة على العمل ونحو ذلك</w:t>
      </w:r>
      <w:r w:rsidR="00217AB4" w:rsidRPr="003F3B94">
        <w:rPr>
          <w:rFonts w:hint="cs"/>
          <w:b/>
          <w:bCs/>
          <w:sz w:val="28"/>
          <w:rtl/>
        </w:rPr>
        <w:t>...</w:t>
      </w:r>
      <w:r w:rsidRPr="003F3B94">
        <w:rPr>
          <w:rFonts w:hint="cs"/>
          <w:sz w:val="28"/>
          <w:rtl/>
        </w:rPr>
        <w:t>»</w:t>
      </w:r>
      <w:r w:rsidR="00217AB4" w:rsidRPr="0021507A">
        <w:rPr>
          <w:rFonts w:cs="Arabic11 BT"/>
          <w:b/>
          <w:sz w:val="28"/>
          <w:vertAlign w:val="superscript"/>
          <w:rtl/>
        </w:rPr>
        <w:t>(</w:t>
      </w:r>
      <w:r w:rsidR="005C664D" w:rsidRPr="0021507A">
        <w:rPr>
          <w:rStyle w:val="FootnoteReference"/>
          <w:rFonts w:cs="Arabic11 BT"/>
          <w:b/>
          <w:sz w:val="28"/>
          <w:rtl/>
        </w:rPr>
        <w:footnoteReference w:id="212"/>
      </w:r>
      <w:r w:rsidR="00217AB4" w:rsidRPr="0021507A">
        <w:rPr>
          <w:rFonts w:cs="Arabic11 BT"/>
          <w:b/>
          <w:sz w:val="28"/>
          <w:vertAlign w:val="superscript"/>
          <w:rtl/>
        </w:rPr>
        <w:t>)</w:t>
      </w:r>
      <w:r w:rsidR="00217AB4" w:rsidRPr="003F3B94">
        <w:rPr>
          <w:rFonts w:hint="cs"/>
          <w:sz w:val="28"/>
          <w:rtl/>
        </w:rPr>
        <w:t>.</w:t>
      </w:r>
    </w:p>
    <w:p w:rsidR="005C664D" w:rsidRPr="003F3B94" w:rsidRDefault="005C664D" w:rsidP="003F3B94">
      <w:pPr>
        <w:pStyle w:val="a0"/>
        <w:rPr>
          <w:rFonts w:hint="cs"/>
          <w:rtl/>
        </w:rPr>
      </w:pPr>
      <w:r w:rsidRPr="003F3B94">
        <w:rPr>
          <w:rFonts w:hint="cs"/>
          <w:sz w:val="28"/>
          <w:rtl/>
        </w:rPr>
        <w:t xml:space="preserve">وكرَّر آية الله آخر في </w:t>
      </w:r>
      <w:r w:rsidR="00217AB4" w:rsidRPr="003F3B94">
        <w:rPr>
          <w:rFonts w:hint="cs"/>
          <w:sz w:val="28"/>
          <w:rtl/>
        </w:rPr>
        <w:t>(</w:t>
      </w:r>
      <w:r w:rsidRPr="003F3B94">
        <w:rPr>
          <w:rFonts w:hint="cs"/>
          <w:sz w:val="28"/>
          <w:rtl/>
        </w:rPr>
        <w:t>ص95</w:t>
      </w:r>
      <w:r w:rsidR="00217AB4" w:rsidRPr="003F3B94">
        <w:rPr>
          <w:rFonts w:hint="cs"/>
          <w:sz w:val="28"/>
          <w:rtl/>
        </w:rPr>
        <w:t>)</w:t>
      </w:r>
      <w:r w:rsidRPr="003F3B94">
        <w:rPr>
          <w:rFonts w:hint="cs"/>
          <w:sz w:val="28"/>
          <w:rtl/>
        </w:rPr>
        <w:t xml:space="preserve"> عين تلك العبارات في رسالته</w:t>
      </w:r>
      <w:r w:rsidR="00217AB4" w:rsidRPr="003F3B94">
        <w:rPr>
          <w:rFonts w:hint="cs"/>
          <w:sz w:val="28"/>
          <w:rtl/>
        </w:rPr>
        <w:t>!</w:t>
      </w:r>
    </w:p>
    <w:p w:rsidR="005C664D" w:rsidRPr="003F3B94" w:rsidRDefault="005C664D" w:rsidP="003F3B94">
      <w:pPr>
        <w:pStyle w:val="a0"/>
        <w:rPr>
          <w:rFonts w:hint="cs"/>
          <w:rtl/>
        </w:rPr>
      </w:pPr>
      <w:r w:rsidRPr="003F3B94">
        <w:rPr>
          <w:rFonts w:hint="cs"/>
          <w:sz w:val="28"/>
          <w:rtl/>
        </w:rPr>
        <w:t xml:space="preserve">وذكر آية الله مرحوم آخر </w:t>
      </w:r>
      <w:r w:rsidR="00217AB4" w:rsidRPr="003F3B94">
        <w:rPr>
          <w:rFonts w:hint="cs"/>
          <w:sz w:val="28"/>
          <w:rtl/>
        </w:rPr>
        <w:t>(</w:t>
      </w:r>
      <w:r w:rsidRPr="003F3B94">
        <w:rPr>
          <w:rFonts w:hint="cs"/>
          <w:sz w:val="28"/>
          <w:rtl/>
        </w:rPr>
        <w:t>ص55</w:t>
      </w:r>
      <w:r w:rsidR="00217AB4" w:rsidRPr="003F3B94">
        <w:rPr>
          <w:rFonts w:hint="cs"/>
          <w:sz w:val="28"/>
          <w:rtl/>
        </w:rPr>
        <w:t>)</w:t>
      </w:r>
      <w:r w:rsidRPr="003F3B94">
        <w:rPr>
          <w:rFonts w:hint="cs"/>
          <w:sz w:val="28"/>
          <w:rtl/>
        </w:rPr>
        <w:t xml:space="preserve"> عين هذه العبارات في رسالته وأضاف إليها الكسب الناتج من العمل بالبناء</w:t>
      </w:r>
      <w:r w:rsidR="00147857" w:rsidRPr="003F3B94">
        <w:rPr>
          <w:rFonts w:hint="cs"/>
          <w:sz w:val="28"/>
          <w:rtl/>
        </w:rPr>
        <w:t xml:space="preserve"> و</w:t>
      </w:r>
      <w:r w:rsidRPr="003F3B94">
        <w:rPr>
          <w:rFonts w:hint="cs"/>
          <w:sz w:val="28"/>
          <w:rtl/>
        </w:rPr>
        <w:t>الوساطة العقارية</w:t>
      </w:r>
      <w:r w:rsidR="00147857" w:rsidRPr="003F3B94">
        <w:rPr>
          <w:rFonts w:hint="cs"/>
          <w:sz w:val="28"/>
          <w:rtl/>
        </w:rPr>
        <w:t xml:space="preserve"> و</w:t>
      </w:r>
      <w:r w:rsidRPr="003F3B94">
        <w:rPr>
          <w:rFonts w:hint="cs"/>
          <w:sz w:val="28"/>
          <w:rtl/>
        </w:rPr>
        <w:t>الخياطة والغزل والطحن وغسل الألبسة والحمل وصناعة الأحذية أو إصلاحها أو بيعها وحتى بيع الألبسة الداخلية</w:t>
      </w:r>
      <w:r w:rsidR="00217AB4" w:rsidRPr="003F3B94">
        <w:rPr>
          <w:rFonts w:hint="cs"/>
          <w:sz w:val="28"/>
          <w:rtl/>
        </w:rPr>
        <w:t>...</w:t>
      </w:r>
    </w:p>
    <w:p w:rsidR="005C664D" w:rsidRPr="003F3B94" w:rsidRDefault="005C664D" w:rsidP="003F3B94">
      <w:pPr>
        <w:pStyle w:val="a0"/>
        <w:rPr>
          <w:rFonts w:hint="cs"/>
          <w:rtl/>
        </w:rPr>
      </w:pPr>
      <w:r w:rsidRPr="003F3B94">
        <w:rPr>
          <w:rFonts w:hint="cs"/>
          <w:sz w:val="28"/>
          <w:rtl/>
        </w:rPr>
        <w:t xml:space="preserve">وكرَّر آية الله آخر كان له مرجعية عامة وتامة في عصرنا في </w:t>
      </w:r>
      <w:r w:rsidR="00217AB4" w:rsidRPr="003F3B94">
        <w:rPr>
          <w:rFonts w:hint="cs"/>
          <w:sz w:val="28"/>
          <w:rtl/>
        </w:rPr>
        <w:t>(</w:t>
      </w:r>
      <w:r w:rsidRPr="003F3B94">
        <w:rPr>
          <w:rFonts w:hint="cs"/>
          <w:sz w:val="28"/>
          <w:rtl/>
        </w:rPr>
        <w:t>ص 148</w:t>
      </w:r>
      <w:r w:rsidR="00217AB4" w:rsidRPr="003F3B94">
        <w:rPr>
          <w:rFonts w:hint="cs"/>
          <w:sz w:val="28"/>
          <w:rtl/>
        </w:rPr>
        <w:t>)</w:t>
      </w:r>
      <w:r w:rsidRPr="003F3B94">
        <w:rPr>
          <w:rFonts w:hint="cs"/>
          <w:sz w:val="28"/>
          <w:rtl/>
        </w:rPr>
        <w:t xml:space="preserve"> في رسالته العبارة المذكورة أعلاه</w:t>
      </w:r>
      <w:r w:rsidR="00217AB4" w:rsidRPr="003F3B94">
        <w:rPr>
          <w:rFonts w:hint="cs"/>
          <w:sz w:val="28"/>
          <w:rtl/>
        </w:rPr>
        <w:t>،</w:t>
      </w:r>
      <w:r w:rsidRPr="003F3B94">
        <w:rPr>
          <w:rFonts w:hint="cs"/>
          <w:sz w:val="28"/>
          <w:rtl/>
        </w:rPr>
        <w:t xml:space="preserve"> كما فعل المرجع الأعظم في عصرنا في </w:t>
      </w:r>
      <w:r w:rsidR="00217AB4" w:rsidRPr="003F3B94">
        <w:rPr>
          <w:rFonts w:hint="cs"/>
          <w:sz w:val="28"/>
          <w:rtl/>
        </w:rPr>
        <w:t>(</w:t>
      </w:r>
      <w:r w:rsidRPr="003F3B94">
        <w:rPr>
          <w:rFonts w:hint="cs"/>
          <w:sz w:val="28"/>
          <w:rtl/>
        </w:rPr>
        <w:t>ص385</w:t>
      </w:r>
      <w:r w:rsidR="00217AB4" w:rsidRPr="003F3B94">
        <w:rPr>
          <w:rFonts w:hint="cs"/>
          <w:sz w:val="28"/>
          <w:rtl/>
        </w:rPr>
        <w:t>)</w:t>
      </w:r>
      <w:r w:rsidRPr="003F3B94">
        <w:rPr>
          <w:rFonts w:hint="cs"/>
          <w:sz w:val="28"/>
          <w:rtl/>
        </w:rPr>
        <w:t xml:space="preserve"> من رسالته حيث نقل العبارة ذاتها بشيء من التقديم والتأخير لجُمَلها</w:t>
      </w:r>
      <w:r w:rsidR="00217AB4" w:rsidRPr="003F3B94">
        <w:rPr>
          <w:rFonts w:hint="cs"/>
          <w:sz w:val="28"/>
          <w:rtl/>
        </w:rPr>
        <w:t>،</w:t>
      </w:r>
      <w:r w:rsidRPr="003F3B94">
        <w:rPr>
          <w:rFonts w:hint="cs"/>
          <w:sz w:val="28"/>
          <w:rtl/>
        </w:rPr>
        <w:t xml:space="preserve"> وهكذا فعل سائر آيات الله العظام</w:t>
      </w:r>
      <w:r w:rsidR="00217AB4" w:rsidRPr="003F3B94">
        <w:rPr>
          <w:rFonts w:hint="cs"/>
          <w:sz w:val="28"/>
          <w:rtl/>
        </w:rPr>
        <w:t>!!</w:t>
      </w:r>
      <w:r w:rsidRPr="003F3B94">
        <w:rPr>
          <w:rFonts w:hint="cs"/>
          <w:sz w:val="28"/>
          <w:rtl/>
        </w:rPr>
        <w:t xml:space="preserve"> كلهم يكرر نص الفتوى ذاتها وكأنها آية محكمة من آيات القرآن المجيد لا بد من تكرارها دون أي تصرف أو تحريف فيها</w:t>
      </w:r>
      <w:r w:rsidR="00217AB4" w:rsidRPr="003F3B94">
        <w:rPr>
          <w:rFonts w:hint="cs"/>
          <w:sz w:val="28"/>
          <w:rtl/>
        </w:rPr>
        <w:t>!!</w:t>
      </w:r>
    </w:p>
    <w:p w:rsidR="005C664D" w:rsidRPr="003F3B94" w:rsidRDefault="005C664D" w:rsidP="003F3B94">
      <w:pPr>
        <w:pStyle w:val="a0"/>
        <w:rPr>
          <w:rFonts w:hint="cs"/>
          <w:rtl/>
        </w:rPr>
      </w:pPr>
      <w:r w:rsidRPr="003F3B94">
        <w:rPr>
          <w:rFonts w:hint="cs"/>
          <w:sz w:val="28"/>
          <w:rtl/>
        </w:rPr>
        <w:t>فكما تلاحظون</w:t>
      </w:r>
      <w:r w:rsidR="00217AB4" w:rsidRPr="003F3B94">
        <w:rPr>
          <w:rFonts w:hint="cs"/>
          <w:sz w:val="28"/>
          <w:rtl/>
        </w:rPr>
        <w:t>،</w:t>
      </w:r>
      <w:r w:rsidRPr="003F3B94">
        <w:rPr>
          <w:rFonts w:hint="cs"/>
          <w:sz w:val="28"/>
          <w:rtl/>
        </w:rPr>
        <w:t xml:space="preserve"> إذا كسب ذلك العامل المسكين الذي يعمل حمالاً أو كناساً أو تلك المرأة المسكينة التي تعمل بالغزل أو غسل الملابس أو ذلك الأجير أو العامل الذي يعمل ويعرق من الصباح حتى المساء</w:t>
      </w:r>
      <w:r w:rsidR="00217AB4" w:rsidRPr="003F3B94">
        <w:rPr>
          <w:rFonts w:hint="cs"/>
          <w:sz w:val="28"/>
          <w:rtl/>
        </w:rPr>
        <w:t>،</w:t>
      </w:r>
      <w:r w:rsidRPr="003F3B94">
        <w:rPr>
          <w:rFonts w:hint="cs"/>
          <w:sz w:val="28"/>
          <w:rtl/>
        </w:rPr>
        <w:t xml:space="preserve"> خمسَ ريالاتٍ</w:t>
      </w:r>
      <w:r w:rsidR="00217AB4" w:rsidRPr="003F3B94">
        <w:rPr>
          <w:rFonts w:hint="cs"/>
          <w:sz w:val="28"/>
          <w:rtl/>
        </w:rPr>
        <w:t>،</w:t>
      </w:r>
      <w:r w:rsidRPr="003F3B94">
        <w:rPr>
          <w:rFonts w:hint="cs"/>
          <w:sz w:val="28"/>
          <w:rtl/>
        </w:rPr>
        <w:t xml:space="preserve"> وجب عليه أداء خُمُسها إلى بني هاشم</w:t>
      </w:r>
      <w:r w:rsidR="00147857" w:rsidRPr="003F3B94">
        <w:rPr>
          <w:rFonts w:hint="cs"/>
          <w:sz w:val="28"/>
          <w:rtl/>
        </w:rPr>
        <w:t xml:space="preserve"> و</w:t>
      </w:r>
      <w:r w:rsidRPr="003F3B94">
        <w:rPr>
          <w:rFonts w:hint="cs"/>
          <w:sz w:val="28"/>
          <w:rtl/>
        </w:rPr>
        <w:t>المنتسبين في نسبهم إلى رسول الله كي يعيشوا منها</w:t>
      </w:r>
      <w:r w:rsidR="00217AB4" w:rsidRPr="003F3B94">
        <w:rPr>
          <w:rFonts w:hint="cs"/>
          <w:sz w:val="28"/>
          <w:rtl/>
        </w:rPr>
        <w:t>.</w:t>
      </w:r>
      <w:r w:rsidRPr="003F3B94">
        <w:rPr>
          <w:rFonts w:hint="cs"/>
          <w:sz w:val="28"/>
          <w:rtl/>
        </w:rPr>
        <w:t xml:space="preserve"> </w:t>
      </w:r>
    </w:p>
    <w:p w:rsidR="005C664D" w:rsidRPr="003F3B94" w:rsidRDefault="005C664D" w:rsidP="003F3B94">
      <w:pPr>
        <w:pStyle w:val="a0"/>
        <w:rPr>
          <w:rFonts w:hint="cs"/>
          <w:rtl/>
        </w:rPr>
      </w:pPr>
      <w:r w:rsidRPr="003F3B94">
        <w:rPr>
          <w:rFonts w:hint="cs"/>
          <w:sz w:val="28"/>
          <w:rtl/>
        </w:rPr>
        <w:t>أليست هذا المال أوساخ أيدي الناس</w:t>
      </w:r>
      <w:r w:rsidR="00217AB4" w:rsidRPr="003F3B94">
        <w:rPr>
          <w:rFonts w:hint="cs"/>
          <w:sz w:val="28"/>
          <w:rtl/>
        </w:rPr>
        <w:t>!!</w:t>
      </w:r>
      <w:r w:rsidRPr="003F3B94">
        <w:rPr>
          <w:rFonts w:hint="cs"/>
          <w:sz w:val="28"/>
          <w:rtl/>
        </w:rPr>
        <w:t xml:space="preserve"> ألم يأتِ نتيجة كد يمينهم</w:t>
      </w:r>
      <w:r w:rsidR="00147857" w:rsidRPr="003F3B94">
        <w:rPr>
          <w:rFonts w:hint="cs"/>
          <w:sz w:val="28"/>
          <w:rtl/>
        </w:rPr>
        <w:t xml:space="preserve"> و</w:t>
      </w:r>
      <w:r w:rsidRPr="003F3B94">
        <w:rPr>
          <w:rFonts w:hint="cs"/>
          <w:sz w:val="28"/>
          <w:rtl/>
        </w:rPr>
        <w:t>عرق جبينهم</w:t>
      </w:r>
      <w:r w:rsidR="00217AB4" w:rsidRPr="003F3B94">
        <w:rPr>
          <w:rFonts w:hint="cs"/>
          <w:sz w:val="28"/>
          <w:rtl/>
        </w:rPr>
        <w:t>؟!</w:t>
      </w:r>
      <w:r w:rsidRPr="003F3B94">
        <w:rPr>
          <w:rFonts w:hint="cs"/>
          <w:sz w:val="28"/>
          <w:rtl/>
        </w:rPr>
        <w:t xml:space="preserve"> فكيف أصبح حلالاً زلالاً على بني هاشم كحليب أمهم</w:t>
      </w:r>
      <w:r w:rsidR="00217AB4" w:rsidRPr="003F3B94">
        <w:rPr>
          <w:rFonts w:hint="cs"/>
          <w:sz w:val="28"/>
          <w:rtl/>
        </w:rPr>
        <w:t>؟!!!</w:t>
      </w:r>
    </w:p>
    <w:p w:rsidR="005C664D" w:rsidRPr="003F3B94" w:rsidRDefault="005C664D" w:rsidP="003F3B94">
      <w:pPr>
        <w:pStyle w:val="a0"/>
        <w:rPr>
          <w:rFonts w:hint="cs"/>
          <w:rtl/>
        </w:rPr>
      </w:pPr>
      <w:r w:rsidRPr="003F3B94">
        <w:rPr>
          <w:rFonts w:hint="cs"/>
          <w:sz w:val="28"/>
          <w:rtl/>
        </w:rPr>
        <w:t xml:space="preserve">أما نسبة واحد من أربعين من أصل ألف أو واحد بالألف من أصل مئات الآلاف من أموال ذلك الرجل الغنيّ فإنها تعتبر مالاً حراماً على بني هاشم لأنها </w:t>
      </w:r>
      <w:r w:rsidRPr="003F3B94">
        <w:rPr>
          <w:rFonts w:ascii="Abo-thar" w:hAnsi="Abo-thar" w:hint="cs"/>
          <w:sz w:val="28"/>
          <w:rtl/>
        </w:rPr>
        <w:t xml:space="preserve">من </w:t>
      </w:r>
      <w:r w:rsidRPr="003F3B94">
        <w:rPr>
          <w:rFonts w:ascii="Lotus Linotype" w:hAnsi="Lotus Linotype"/>
          <w:sz w:val="28"/>
          <w:rtl/>
        </w:rPr>
        <w:t>«</w:t>
      </w:r>
      <w:r w:rsidRPr="003F3B94">
        <w:rPr>
          <w:rFonts w:ascii="Abo-thar" w:hAnsi="Abo-thar" w:hint="cs"/>
          <w:sz w:val="28"/>
          <w:rtl/>
        </w:rPr>
        <w:t>أوساخ أيدي الناس</w:t>
      </w:r>
      <w:r w:rsidRPr="003F3B94">
        <w:rPr>
          <w:rFonts w:ascii="Lotus Linotype" w:hAnsi="Lotus Linotype"/>
          <w:sz w:val="28"/>
          <w:rtl/>
        </w:rPr>
        <w:t>»</w:t>
      </w:r>
      <w:r w:rsidR="00217AB4" w:rsidRPr="003F3B94">
        <w:rPr>
          <w:rFonts w:ascii="Lotus Linotype" w:hAnsi="Lotus Linotype" w:hint="cs"/>
          <w:sz w:val="28"/>
          <w:rtl/>
        </w:rPr>
        <w:t>،</w:t>
      </w:r>
      <w:r w:rsidR="00147857" w:rsidRPr="003F3B94">
        <w:rPr>
          <w:rFonts w:ascii="Lotus Linotype" w:hAnsi="Lotus Linotype" w:hint="cs"/>
          <w:sz w:val="28"/>
          <w:rtl/>
        </w:rPr>
        <w:t xml:space="preserve"> و</w:t>
      </w:r>
      <w:r w:rsidRPr="003F3B94">
        <w:rPr>
          <w:rFonts w:hint="cs"/>
          <w:sz w:val="28"/>
          <w:rtl/>
        </w:rPr>
        <w:t>ناتجة عن عرق جبين ذلك الغني وكد يمينه</w:t>
      </w:r>
      <w:r w:rsidR="00217AB4" w:rsidRPr="003F3B94">
        <w:rPr>
          <w:rFonts w:hint="cs"/>
          <w:sz w:val="28"/>
          <w:rtl/>
        </w:rPr>
        <w:t>!!</w:t>
      </w:r>
    </w:p>
    <w:p w:rsidR="005C664D" w:rsidRPr="003F3B94" w:rsidRDefault="005C664D" w:rsidP="003F3B94">
      <w:pPr>
        <w:pStyle w:val="a0"/>
        <w:rPr>
          <w:rFonts w:hint="cs"/>
          <w:rtl/>
        </w:rPr>
      </w:pPr>
      <w:r w:rsidRPr="003F3B94">
        <w:rPr>
          <w:rFonts w:hint="cs"/>
          <w:sz w:val="28"/>
          <w:rtl/>
        </w:rPr>
        <w:t>هذا ما قلت أنه من أعجب العجب التي يصاب كل من يسمعها بالدهشة ولا ينقضي منه العجب</w:t>
      </w:r>
      <w:r w:rsidR="00217AB4" w:rsidRPr="003F3B94">
        <w:rPr>
          <w:rFonts w:hint="cs"/>
          <w:sz w:val="28"/>
          <w:rtl/>
        </w:rPr>
        <w:t>!!</w:t>
      </w:r>
      <w:r w:rsidR="00147857" w:rsidRPr="003F3B94">
        <w:rPr>
          <w:rFonts w:hint="cs"/>
          <w:sz w:val="28"/>
          <w:rtl/>
        </w:rPr>
        <w:t xml:space="preserve"> </w:t>
      </w:r>
      <w:r w:rsidRPr="003F3B94">
        <w:rPr>
          <w:rFonts w:hint="cs"/>
          <w:sz w:val="28"/>
          <w:rtl/>
        </w:rPr>
        <w:t>وإذا سألنا أحدهم فقلنا</w:t>
      </w:r>
      <w:r w:rsidR="00217AB4" w:rsidRPr="003F3B94">
        <w:rPr>
          <w:rFonts w:hint="cs"/>
          <w:sz w:val="28"/>
          <w:rtl/>
        </w:rPr>
        <w:t>:</w:t>
      </w:r>
    </w:p>
    <w:p w:rsidR="005C664D" w:rsidRPr="003F3B94" w:rsidRDefault="005C664D" w:rsidP="003F3B94">
      <w:pPr>
        <w:pStyle w:val="a0"/>
        <w:rPr>
          <w:rFonts w:hint="cs"/>
          <w:rtl/>
        </w:rPr>
      </w:pPr>
      <w:r w:rsidRPr="003F3B94">
        <w:rPr>
          <w:rFonts w:hint="cs"/>
          <w:sz w:val="28"/>
          <w:rtl/>
        </w:rPr>
        <w:t>أولاً</w:t>
      </w:r>
      <w:r w:rsidR="00217AB4" w:rsidRPr="003F3B94">
        <w:rPr>
          <w:rFonts w:hint="cs"/>
          <w:sz w:val="28"/>
          <w:rtl/>
        </w:rPr>
        <w:t>:</w:t>
      </w:r>
      <w:r w:rsidRPr="003F3B94">
        <w:rPr>
          <w:rFonts w:hint="cs"/>
          <w:sz w:val="28"/>
          <w:rtl/>
        </w:rPr>
        <w:t xml:space="preserve"> ما الدليل على أن تلك الزكاة التي تقولون بها هي </w:t>
      </w:r>
      <w:r w:rsidRPr="003F3B94">
        <w:rPr>
          <w:rFonts w:ascii="Abo-thar" w:hAnsi="Abo-thar" w:hint="cs"/>
          <w:sz w:val="28"/>
          <w:rtl/>
        </w:rPr>
        <w:t xml:space="preserve">من </w:t>
      </w:r>
      <w:r w:rsidRPr="003F3B94">
        <w:rPr>
          <w:rFonts w:ascii="Lotus Linotype" w:hAnsi="Lotus Linotype"/>
          <w:sz w:val="28"/>
          <w:rtl/>
        </w:rPr>
        <w:t>«</w:t>
      </w:r>
      <w:r w:rsidRPr="003F3B94">
        <w:rPr>
          <w:rFonts w:ascii="Abo-thar" w:hAnsi="Abo-thar" w:hint="cs"/>
          <w:sz w:val="28"/>
          <w:rtl/>
        </w:rPr>
        <w:t>أوساخ أيدي الناس</w:t>
      </w:r>
      <w:r w:rsidRPr="003F3B94">
        <w:rPr>
          <w:rFonts w:ascii="Lotus Linotype" w:hAnsi="Lotus Linotype"/>
          <w:sz w:val="28"/>
          <w:rtl/>
        </w:rPr>
        <w:t>»</w:t>
      </w:r>
      <w:r w:rsidRPr="003F3B94">
        <w:rPr>
          <w:rFonts w:ascii="Lotus Linotype" w:hAnsi="Lotus Linotype" w:hint="cs"/>
          <w:sz w:val="28"/>
          <w:rtl/>
        </w:rPr>
        <w:t xml:space="preserve"> أمّا هذا الخمس الذي تقولون به ليس </w:t>
      </w:r>
      <w:r w:rsidRPr="003F3B94">
        <w:rPr>
          <w:rFonts w:ascii="Abo-thar" w:hAnsi="Abo-thar" w:hint="cs"/>
          <w:sz w:val="28"/>
          <w:rtl/>
        </w:rPr>
        <w:t xml:space="preserve">من </w:t>
      </w:r>
      <w:r w:rsidRPr="003F3B94">
        <w:rPr>
          <w:rFonts w:ascii="Lotus Linotype" w:hAnsi="Lotus Linotype"/>
          <w:sz w:val="28"/>
          <w:rtl/>
        </w:rPr>
        <w:t>«</w:t>
      </w:r>
      <w:r w:rsidRPr="003F3B94">
        <w:rPr>
          <w:rFonts w:ascii="Abo-thar" w:hAnsi="Abo-thar" w:hint="cs"/>
          <w:sz w:val="28"/>
          <w:rtl/>
        </w:rPr>
        <w:t>أوساخ أيدي الناس</w:t>
      </w:r>
      <w:r w:rsidRPr="003F3B94">
        <w:rPr>
          <w:rFonts w:ascii="Lotus Linotype" w:hAnsi="Lotus Linotype"/>
          <w:sz w:val="28"/>
          <w:rtl/>
        </w:rPr>
        <w:t>»</w:t>
      </w:r>
      <w:r w:rsidR="00217AB4" w:rsidRPr="003F3B94">
        <w:rPr>
          <w:rFonts w:ascii="Lotus Linotype" w:hAnsi="Lotus Linotype" w:hint="cs"/>
          <w:sz w:val="28"/>
          <w:rtl/>
        </w:rPr>
        <w:t>؟!</w:t>
      </w:r>
      <w:r w:rsidR="00147857" w:rsidRPr="003F3B94">
        <w:rPr>
          <w:rFonts w:ascii="Lotus Linotype" w:hAnsi="Lotus Linotype" w:hint="cs"/>
          <w:sz w:val="28"/>
          <w:rtl/>
        </w:rPr>
        <w:t xml:space="preserve"> </w:t>
      </w:r>
      <w:r w:rsidRPr="003F3B94">
        <w:rPr>
          <w:rFonts w:hint="cs"/>
          <w:sz w:val="28"/>
          <w:rtl/>
        </w:rPr>
        <w:t xml:space="preserve">هذا والحال أنه مهما كان الإنسان بارعاً في تسخير عقول الناس فإنه لا يمكنه أن يسخِّر عقل الناس وفهمهم إلى هذا الحدّ بأن يقنعهم بأن تلك الزكاة بكل تلك الشروط والقيود </w:t>
      </w:r>
      <w:r w:rsidRPr="003F3B94">
        <w:rPr>
          <w:rFonts w:ascii="Abo-thar" w:hAnsi="Abo-thar" w:hint="cs"/>
          <w:sz w:val="28"/>
          <w:rtl/>
        </w:rPr>
        <w:t xml:space="preserve">من </w:t>
      </w:r>
      <w:r w:rsidRPr="003F3B94">
        <w:rPr>
          <w:rFonts w:ascii="Lotus Linotype" w:hAnsi="Lotus Linotype"/>
          <w:sz w:val="28"/>
          <w:rtl/>
        </w:rPr>
        <w:t>«</w:t>
      </w:r>
      <w:r w:rsidRPr="003F3B94">
        <w:rPr>
          <w:rFonts w:ascii="Abo-thar" w:hAnsi="Abo-thar" w:hint="cs"/>
          <w:sz w:val="28"/>
          <w:rtl/>
        </w:rPr>
        <w:t>أوساخ أيدي الناس</w:t>
      </w:r>
      <w:r w:rsidRPr="003F3B94">
        <w:rPr>
          <w:rFonts w:ascii="Lotus Linotype" w:hAnsi="Lotus Linotype"/>
          <w:sz w:val="28"/>
          <w:rtl/>
        </w:rPr>
        <w:t>»</w:t>
      </w:r>
      <w:r w:rsidRPr="003F3B94">
        <w:rPr>
          <w:rFonts w:ascii="Lotus Linotype" w:hAnsi="Lotus Linotype" w:hint="cs"/>
          <w:sz w:val="28"/>
          <w:rtl/>
        </w:rPr>
        <w:t xml:space="preserve"> أما هذا الخمس الذي يؤخذ من كل عامل وحمَّال وأجير وغزَّال وكنَّاس وغسَّال للألبسة</w:t>
      </w:r>
      <w:r w:rsidRPr="003F3B94">
        <w:rPr>
          <w:rFonts w:hint="cs"/>
          <w:sz w:val="28"/>
          <w:rtl/>
        </w:rPr>
        <w:t xml:space="preserve"> فإنه ليس </w:t>
      </w:r>
      <w:r w:rsidRPr="003F3B94">
        <w:rPr>
          <w:rFonts w:ascii="Abo-thar" w:hAnsi="Abo-thar" w:hint="cs"/>
          <w:sz w:val="28"/>
          <w:rtl/>
        </w:rPr>
        <w:t xml:space="preserve">من </w:t>
      </w:r>
      <w:r w:rsidRPr="003F3B94">
        <w:rPr>
          <w:rFonts w:ascii="Lotus Linotype" w:hAnsi="Lotus Linotype"/>
          <w:sz w:val="28"/>
          <w:rtl/>
        </w:rPr>
        <w:t>«</w:t>
      </w:r>
      <w:r w:rsidRPr="003F3B94">
        <w:rPr>
          <w:rFonts w:ascii="Abo-thar" w:hAnsi="Abo-thar" w:hint="cs"/>
          <w:sz w:val="28"/>
          <w:rtl/>
        </w:rPr>
        <w:t>أوساخ أيدي الناس</w:t>
      </w:r>
      <w:r w:rsidRPr="003F3B94">
        <w:rPr>
          <w:rFonts w:ascii="Lotus Linotype" w:hAnsi="Lotus Linotype"/>
          <w:sz w:val="28"/>
          <w:rtl/>
        </w:rPr>
        <w:t>»</w:t>
      </w:r>
      <w:r w:rsidR="00217AB4" w:rsidRPr="003F3B94">
        <w:rPr>
          <w:rFonts w:ascii="Lotus Linotype" w:hAnsi="Lotus Linotype" w:hint="cs"/>
          <w:sz w:val="28"/>
          <w:rtl/>
        </w:rPr>
        <w:t>!؟</w:t>
      </w:r>
    </w:p>
    <w:p w:rsidR="005C664D" w:rsidRPr="003F3B94" w:rsidRDefault="005C664D" w:rsidP="003F3B94">
      <w:pPr>
        <w:pStyle w:val="a0"/>
        <w:rPr>
          <w:rFonts w:hint="cs"/>
          <w:rtl/>
        </w:rPr>
      </w:pPr>
      <w:r w:rsidRPr="003F3B94">
        <w:rPr>
          <w:rFonts w:hint="cs"/>
          <w:sz w:val="28"/>
          <w:rtl/>
        </w:rPr>
        <w:t>ثانياً</w:t>
      </w:r>
      <w:r w:rsidR="00217AB4" w:rsidRPr="003F3B94">
        <w:rPr>
          <w:rFonts w:hint="cs"/>
          <w:sz w:val="28"/>
          <w:rtl/>
        </w:rPr>
        <w:t>:</w:t>
      </w:r>
      <w:r w:rsidRPr="003F3B94">
        <w:rPr>
          <w:rFonts w:hint="cs"/>
          <w:sz w:val="28"/>
          <w:rtl/>
        </w:rPr>
        <w:t xml:space="preserve"> بأي دليل تم استبدال تلك الزكاة بذلك الخمس</w:t>
      </w:r>
      <w:r w:rsidR="00217AB4" w:rsidRPr="003F3B94">
        <w:rPr>
          <w:rFonts w:hint="cs"/>
          <w:sz w:val="28"/>
          <w:rtl/>
        </w:rPr>
        <w:t>؟</w:t>
      </w:r>
      <w:r w:rsidRPr="003F3B94">
        <w:rPr>
          <w:rFonts w:hint="cs"/>
          <w:sz w:val="28"/>
          <w:rtl/>
        </w:rPr>
        <w:t xml:space="preserve"> هذا في</w:t>
      </w:r>
      <w:r w:rsidR="00147857" w:rsidRPr="003F3B94">
        <w:rPr>
          <w:rFonts w:hint="cs"/>
          <w:sz w:val="28"/>
          <w:rtl/>
        </w:rPr>
        <w:t xml:space="preserve"> </w:t>
      </w:r>
      <w:r w:rsidRPr="003F3B94">
        <w:rPr>
          <w:rFonts w:hint="cs"/>
          <w:sz w:val="28"/>
          <w:rtl/>
        </w:rPr>
        <w:t xml:space="preserve">حين أنّه في ذلك الحديث المرسل الذي جاءت فيه عبارة </w:t>
      </w:r>
      <w:r w:rsidRPr="003762F6">
        <w:rPr>
          <w:rFonts w:ascii="Lotus Linotype" w:hAnsi="Lotus Linotype" w:cs="KFGQPC Uthman Taha Naskh"/>
          <w:sz w:val="28"/>
          <w:rtl/>
        </w:rPr>
        <w:t>«</w:t>
      </w:r>
      <w:r w:rsidRPr="003762F6">
        <w:rPr>
          <w:rFonts w:cs="KFGQPC Uthman Taha Naskh"/>
          <w:b/>
          <w:bCs/>
          <w:sz w:val="28"/>
          <w:rtl/>
        </w:rPr>
        <w:t xml:space="preserve">أَوْسَاخِ </w:t>
      </w:r>
      <w:r w:rsidRPr="003762F6">
        <w:rPr>
          <w:rFonts w:cs="KFGQPC Uthman Taha Naskh" w:hint="cs"/>
          <w:b/>
          <w:bCs/>
          <w:sz w:val="28"/>
          <w:rtl/>
        </w:rPr>
        <w:t xml:space="preserve">أَيْدِي </w:t>
      </w:r>
      <w:r w:rsidRPr="003762F6">
        <w:rPr>
          <w:rFonts w:cs="KFGQPC Uthman Taha Naskh"/>
          <w:b/>
          <w:bCs/>
          <w:sz w:val="28"/>
          <w:rtl/>
        </w:rPr>
        <w:t>النَّاسِ</w:t>
      </w:r>
      <w:r w:rsidRPr="003762F6">
        <w:rPr>
          <w:rFonts w:ascii="Lotus Linotype" w:hAnsi="Lotus Linotype" w:cs="KFGQPC Uthman Taha Naskh"/>
          <w:sz w:val="28"/>
          <w:rtl/>
        </w:rPr>
        <w:t>»</w:t>
      </w:r>
      <w:r w:rsidR="00217AB4" w:rsidRPr="003F3B94">
        <w:rPr>
          <w:rFonts w:hint="cs"/>
          <w:sz w:val="28"/>
          <w:rtl/>
        </w:rPr>
        <w:t>،</w:t>
      </w:r>
      <w:r w:rsidRPr="003F3B94">
        <w:rPr>
          <w:rFonts w:hint="cs"/>
          <w:sz w:val="28"/>
          <w:rtl/>
        </w:rPr>
        <w:t xml:space="preserve"> أي حديث الكافي</w:t>
      </w:r>
      <w:r w:rsidR="00217AB4" w:rsidRPr="0021507A">
        <w:rPr>
          <w:rFonts w:cs="Arabic11 BT"/>
          <w:b/>
          <w:sz w:val="28"/>
          <w:vertAlign w:val="superscript"/>
          <w:rtl/>
        </w:rPr>
        <w:t>(</w:t>
      </w:r>
      <w:r w:rsidRPr="0021507A">
        <w:rPr>
          <w:rStyle w:val="FootnoteReference"/>
          <w:rFonts w:cs="Arabic11 BT"/>
          <w:b/>
          <w:sz w:val="28"/>
          <w:rtl/>
        </w:rPr>
        <w:footnoteReference w:id="213"/>
      </w:r>
      <w:r w:rsidR="00217AB4" w:rsidRPr="0021507A">
        <w:rPr>
          <w:rFonts w:cs="Arabic11 BT"/>
          <w:b/>
          <w:sz w:val="28"/>
          <w:vertAlign w:val="superscript"/>
          <w:rtl/>
        </w:rPr>
        <w:t>)</w:t>
      </w:r>
      <w:r w:rsidRPr="003F3B94">
        <w:rPr>
          <w:rFonts w:hint="cs"/>
          <w:sz w:val="28"/>
          <w:rtl/>
        </w:rPr>
        <w:t xml:space="preserve"> عن </w:t>
      </w:r>
      <w:r w:rsidRPr="003F3B94">
        <w:rPr>
          <w:sz w:val="28"/>
          <w:rtl/>
        </w:rPr>
        <w:t>عَلِيّ</w:t>
      </w:r>
      <w:r w:rsidRPr="003F3B94">
        <w:rPr>
          <w:rFonts w:hint="cs"/>
          <w:sz w:val="28"/>
          <w:rtl/>
        </w:rPr>
        <w:t>ِ</w:t>
      </w:r>
      <w:r w:rsidRPr="003F3B94">
        <w:rPr>
          <w:sz w:val="28"/>
          <w:rtl/>
        </w:rPr>
        <w:t xml:space="preserve"> بْن</w:t>
      </w:r>
      <w:r w:rsidRPr="003F3B94">
        <w:rPr>
          <w:rFonts w:hint="cs"/>
          <w:sz w:val="28"/>
          <w:rtl/>
        </w:rPr>
        <w:t>ِ</w:t>
      </w:r>
      <w:r w:rsidRPr="003F3B94">
        <w:rPr>
          <w:sz w:val="28"/>
          <w:rtl/>
        </w:rPr>
        <w:t xml:space="preserve"> إِبْرَاهِيمَ</w:t>
      </w:r>
      <w:r w:rsidRPr="003F3B94">
        <w:rPr>
          <w:rFonts w:hint="cs"/>
          <w:sz w:val="28"/>
          <w:rtl/>
        </w:rPr>
        <w:t xml:space="preserve"> </w:t>
      </w:r>
      <w:r w:rsidRPr="003F3B94">
        <w:rPr>
          <w:sz w:val="28"/>
          <w:rtl/>
        </w:rPr>
        <w:t>بْنِ هَاشِمٍ عَنْ أَبِيهِ عَنْ حَمَّادِ بْنِ عِيسَى عَنْ بَعْضِ أَصْحَابِنَا</w:t>
      </w:r>
      <w:r w:rsidRPr="003F3B94">
        <w:rPr>
          <w:rFonts w:hint="cs"/>
          <w:sz w:val="28"/>
          <w:rtl/>
        </w:rPr>
        <w:t xml:space="preserve"> </w:t>
      </w:r>
      <w:r w:rsidRPr="003F3B94">
        <w:rPr>
          <w:rFonts w:cs="Times New Roman" w:hint="cs"/>
          <w:sz w:val="28"/>
          <w:rtl/>
        </w:rPr>
        <w:t>–</w:t>
      </w:r>
      <w:r w:rsidRPr="003F3B94">
        <w:rPr>
          <w:rFonts w:hint="cs"/>
          <w:sz w:val="28"/>
          <w:rtl/>
        </w:rPr>
        <w:t xml:space="preserve"> </w:t>
      </w:r>
      <w:r w:rsidRPr="003F3B94">
        <w:rPr>
          <w:rFonts w:ascii="mylotus" w:hAnsi="mylotus" w:hint="cs"/>
          <w:sz w:val="28"/>
          <w:rtl/>
        </w:rPr>
        <w:t>الذي</w:t>
      </w:r>
      <w:r w:rsidRPr="003F3B94">
        <w:rPr>
          <w:rFonts w:hint="cs"/>
          <w:sz w:val="28"/>
          <w:rtl/>
        </w:rPr>
        <w:t xml:space="preserve"> </w:t>
      </w:r>
      <w:r w:rsidRPr="003F3B94">
        <w:rPr>
          <w:rFonts w:ascii="mylotus" w:hAnsi="mylotus" w:hint="cs"/>
          <w:sz w:val="28"/>
          <w:rtl/>
        </w:rPr>
        <w:t>لا</w:t>
      </w:r>
      <w:r w:rsidRPr="003F3B94">
        <w:rPr>
          <w:rFonts w:hint="cs"/>
          <w:sz w:val="28"/>
          <w:rtl/>
        </w:rPr>
        <w:t xml:space="preserve"> </w:t>
      </w:r>
      <w:r w:rsidRPr="003F3B94">
        <w:rPr>
          <w:rFonts w:ascii="mylotus" w:hAnsi="mylotus" w:hint="cs"/>
          <w:sz w:val="28"/>
          <w:rtl/>
        </w:rPr>
        <w:t>نعلم</w:t>
      </w:r>
      <w:r w:rsidR="00147857" w:rsidRPr="003F3B94">
        <w:rPr>
          <w:rFonts w:hint="cs"/>
          <w:sz w:val="28"/>
          <w:rtl/>
        </w:rPr>
        <w:t xml:space="preserve"> </w:t>
      </w:r>
      <w:r w:rsidRPr="003F3B94">
        <w:rPr>
          <w:rFonts w:hint="cs"/>
          <w:sz w:val="28"/>
          <w:rtl/>
        </w:rPr>
        <w:t>من هو</w:t>
      </w:r>
      <w:r w:rsidR="00217AB4" w:rsidRPr="003F3B94">
        <w:rPr>
          <w:rFonts w:hint="cs"/>
          <w:sz w:val="28"/>
          <w:rtl/>
        </w:rPr>
        <w:t>؟</w:t>
      </w:r>
      <w:r w:rsidRPr="003F3B94">
        <w:rPr>
          <w:rFonts w:hint="cs"/>
          <w:sz w:val="28"/>
          <w:rtl/>
        </w:rPr>
        <w:t xml:space="preserve"> </w:t>
      </w:r>
      <w:r w:rsidRPr="003F3B94">
        <w:rPr>
          <w:rFonts w:cs="Times New Roman" w:hint="cs"/>
          <w:sz w:val="28"/>
          <w:rtl/>
        </w:rPr>
        <w:t>–</w:t>
      </w:r>
      <w:r w:rsidRPr="003F3B94">
        <w:rPr>
          <w:rFonts w:hint="cs"/>
          <w:sz w:val="28"/>
          <w:rtl/>
        </w:rPr>
        <w:t xml:space="preserve"> </w:t>
      </w:r>
      <w:r w:rsidRPr="003F3B94">
        <w:rPr>
          <w:rFonts w:ascii="mylotus" w:hAnsi="mylotus" w:hint="cs"/>
          <w:sz w:val="28"/>
          <w:rtl/>
        </w:rPr>
        <w:t>والذي</w:t>
      </w:r>
      <w:r w:rsidRPr="003F3B94">
        <w:rPr>
          <w:rFonts w:hint="cs"/>
          <w:sz w:val="28"/>
          <w:rtl/>
        </w:rPr>
        <w:t xml:space="preserve"> </w:t>
      </w:r>
      <w:r w:rsidRPr="003F3B94">
        <w:rPr>
          <w:rFonts w:ascii="mylotus" w:hAnsi="mylotus" w:hint="cs"/>
          <w:sz w:val="28"/>
          <w:rtl/>
        </w:rPr>
        <w:t>جاء</w:t>
      </w:r>
      <w:r w:rsidRPr="003F3B94">
        <w:rPr>
          <w:rFonts w:hint="cs"/>
          <w:sz w:val="28"/>
          <w:rtl/>
        </w:rPr>
        <w:t xml:space="preserve"> </w:t>
      </w:r>
      <w:r w:rsidRPr="003F3B94">
        <w:rPr>
          <w:rFonts w:ascii="mylotus" w:hAnsi="mylotus" w:hint="cs"/>
          <w:sz w:val="28"/>
          <w:rtl/>
        </w:rPr>
        <w:t>فيه</w:t>
      </w:r>
      <w:r w:rsidR="00217AB4" w:rsidRPr="003F3B94">
        <w:rPr>
          <w:rFonts w:hint="cs"/>
          <w:sz w:val="28"/>
          <w:rtl/>
        </w:rPr>
        <w:t>:</w:t>
      </w:r>
      <w:r w:rsidRPr="003F3B94">
        <w:rPr>
          <w:rFonts w:hint="cs"/>
          <w:sz w:val="28"/>
          <w:rtl/>
        </w:rPr>
        <w:t xml:space="preserve"> </w:t>
      </w:r>
      <w:r w:rsidR="00EF2588" w:rsidRPr="003762F6">
        <w:rPr>
          <w:rFonts w:cs="KFGQPC Uthman Taha Naskh" w:hint="cs"/>
          <w:sz w:val="28"/>
          <w:rtl/>
        </w:rPr>
        <w:t>«</w:t>
      </w:r>
      <w:r w:rsidRPr="003762F6">
        <w:rPr>
          <w:rFonts w:cs="KFGQPC Uthman Taha Naskh"/>
          <w:b/>
          <w:bCs/>
          <w:sz w:val="28"/>
          <w:rtl/>
        </w:rPr>
        <w:t>الخُمُسُ مِنْ خَمْسَةِ أَشْيَاءَ مِنَ الْغَنَائِمِ وَالْغَوْصِ وَمِنَ الْكُنُوزِ وَمِنَ المَعَادِنِ وَالمَلَّاحَةِ</w:t>
      </w:r>
      <w:r w:rsidR="00217AB4" w:rsidRPr="003762F6">
        <w:rPr>
          <w:rFonts w:cs="KFGQPC Uthman Taha Naskh" w:hint="cs"/>
          <w:b/>
          <w:bCs/>
          <w:sz w:val="28"/>
          <w:rtl/>
        </w:rPr>
        <w:t>.</w:t>
      </w:r>
      <w:r w:rsidR="00217AB4" w:rsidRPr="003762F6">
        <w:rPr>
          <w:rFonts w:cs="KFGQPC Uthman Taha Naskh" w:hint="cs"/>
          <w:sz w:val="28"/>
          <w:rtl/>
        </w:rPr>
        <w:t>..</w:t>
      </w:r>
      <w:r w:rsidR="00EF2588" w:rsidRPr="003762F6">
        <w:rPr>
          <w:rFonts w:cs="KFGQPC Uthman Taha Naskh" w:hint="cs"/>
          <w:sz w:val="28"/>
          <w:rtl/>
        </w:rPr>
        <w:t>»</w:t>
      </w:r>
      <w:r w:rsidR="00217AB4" w:rsidRPr="003F3B94">
        <w:rPr>
          <w:rFonts w:hint="cs"/>
          <w:sz w:val="28"/>
          <w:rtl/>
        </w:rPr>
        <w:t>،</w:t>
      </w:r>
      <w:r w:rsidRPr="003F3B94">
        <w:rPr>
          <w:rFonts w:hint="cs"/>
          <w:sz w:val="28"/>
          <w:rtl/>
        </w:rPr>
        <w:t xml:space="preserve"> جاء</w:t>
      </w:r>
      <w:r w:rsidR="00147857" w:rsidRPr="003F3B94">
        <w:rPr>
          <w:rFonts w:hint="cs"/>
          <w:sz w:val="28"/>
          <w:rtl/>
        </w:rPr>
        <w:t xml:space="preserve"> </w:t>
      </w:r>
      <w:r w:rsidRPr="003F3B94">
        <w:rPr>
          <w:rFonts w:hint="cs"/>
          <w:sz w:val="28"/>
          <w:rtl/>
        </w:rPr>
        <w:t>في هذا الحديث ذاته</w:t>
      </w:r>
      <w:r w:rsidR="00217AB4" w:rsidRPr="003F3B94">
        <w:rPr>
          <w:rFonts w:hint="cs"/>
          <w:sz w:val="28"/>
          <w:rtl/>
        </w:rPr>
        <w:t>،</w:t>
      </w:r>
      <w:r w:rsidRPr="003F3B94">
        <w:rPr>
          <w:rFonts w:hint="cs"/>
          <w:sz w:val="28"/>
          <w:rtl/>
        </w:rPr>
        <w:t xml:space="preserve"> رغم أن عباراته ناقصة ومضطربة</w:t>
      </w:r>
      <w:r w:rsidR="00217AB4" w:rsidRPr="003F3B94">
        <w:rPr>
          <w:rFonts w:hint="cs"/>
          <w:sz w:val="28"/>
          <w:rtl/>
        </w:rPr>
        <w:t>،</w:t>
      </w:r>
      <w:r w:rsidRPr="003F3B94">
        <w:rPr>
          <w:rFonts w:hint="cs"/>
          <w:sz w:val="28"/>
          <w:rtl/>
        </w:rPr>
        <w:t xml:space="preserve"> قول الإمام بصراحة</w:t>
      </w:r>
      <w:r w:rsidR="00217AB4" w:rsidRPr="003F3B94">
        <w:rPr>
          <w:rFonts w:hint="cs"/>
          <w:sz w:val="28"/>
          <w:rtl/>
        </w:rPr>
        <w:t>:</w:t>
      </w:r>
      <w:r w:rsidRPr="003F3B94">
        <w:rPr>
          <w:rFonts w:hint="cs"/>
          <w:sz w:val="28"/>
          <w:rtl/>
        </w:rPr>
        <w:t xml:space="preserve"> </w:t>
      </w:r>
      <w:r w:rsidR="00EF2588" w:rsidRPr="003762F6">
        <w:rPr>
          <w:rFonts w:cs="KFGQPC Uthman Taha Naskh" w:hint="cs"/>
          <w:sz w:val="28"/>
          <w:rtl/>
        </w:rPr>
        <w:t>«</w:t>
      </w:r>
      <w:r w:rsidRPr="003762F6">
        <w:rPr>
          <w:rFonts w:cs="KFGQPC Uthman Taha Naskh"/>
          <w:b/>
          <w:bCs/>
          <w:sz w:val="28"/>
          <w:rtl/>
        </w:rPr>
        <w:t xml:space="preserve">وَ يُقْسَمُ الْأَرْبَعَةُ الْأَخْمَاسِ </w:t>
      </w:r>
      <w:r w:rsidRPr="003762F6">
        <w:rPr>
          <w:rFonts w:cs="KFGQPC Uthman Taha Naskh"/>
          <w:b/>
          <w:bCs/>
          <w:sz w:val="28"/>
          <w:u w:val="single"/>
          <w:rtl/>
        </w:rPr>
        <w:t>بَيْنَ مَنْ قَاتَلَ عَلَيْهِ</w:t>
      </w:r>
      <w:r w:rsidRPr="003762F6">
        <w:rPr>
          <w:rFonts w:cs="KFGQPC Uthman Taha Naskh"/>
          <w:b/>
          <w:bCs/>
          <w:sz w:val="28"/>
          <w:rtl/>
        </w:rPr>
        <w:t xml:space="preserve"> وَوَلِيَ ذَلِكَ وَيُقْسَمُ بَيْنَهُمُ الخُمُسُ عَلَى سِتَّةِ أَسْهُمٍ</w:t>
      </w:r>
      <w:r w:rsidR="00217AB4" w:rsidRPr="003762F6">
        <w:rPr>
          <w:rFonts w:cs="KFGQPC Uthman Taha Naskh" w:hint="cs"/>
          <w:sz w:val="28"/>
          <w:rtl/>
        </w:rPr>
        <w:t>...</w:t>
      </w:r>
      <w:r w:rsidR="00EF2588" w:rsidRPr="003762F6">
        <w:rPr>
          <w:rFonts w:cs="KFGQPC Uthman Taha Naskh" w:hint="cs"/>
          <w:sz w:val="28"/>
          <w:rtl/>
        </w:rPr>
        <w:t>»</w:t>
      </w:r>
      <w:r w:rsidR="00217AB4" w:rsidRPr="003F3B94">
        <w:rPr>
          <w:rFonts w:hint="cs"/>
          <w:sz w:val="28"/>
          <w:rtl/>
        </w:rPr>
        <w:t>.</w:t>
      </w:r>
      <w:r w:rsidRPr="003F3B94">
        <w:rPr>
          <w:rFonts w:hint="cs"/>
          <w:sz w:val="28"/>
          <w:rtl/>
        </w:rPr>
        <w:t xml:space="preserve"> ثم بعد أن يبين أن خمس غنائم الحرب هذا يُقَسَّم إلى </w:t>
      </w:r>
      <w:r w:rsidRPr="003F3B94">
        <w:rPr>
          <w:sz w:val="28"/>
          <w:rtl/>
        </w:rPr>
        <w:t>سِتَّةِ أَسْهُمٍ‏</w:t>
      </w:r>
      <w:r w:rsidR="00217AB4" w:rsidRPr="003F3B94">
        <w:rPr>
          <w:rFonts w:hint="cs"/>
          <w:sz w:val="28"/>
          <w:rtl/>
        </w:rPr>
        <w:t>:</w:t>
      </w:r>
      <w:r w:rsidRPr="003F3B94">
        <w:rPr>
          <w:rFonts w:hint="cs"/>
          <w:sz w:val="28"/>
          <w:rtl/>
        </w:rPr>
        <w:t xml:space="preserve"> ويختصُّ ثلاثةُ أسهم منها بِال</w:t>
      </w:r>
      <w:r w:rsidRPr="003F3B94">
        <w:rPr>
          <w:sz w:val="28"/>
          <w:rtl/>
        </w:rPr>
        <w:t>يَتَامَى وَ</w:t>
      </w:r>
      <w:r w:rsidRPr="003F3B94">
        <w:rPr>
          <w:rFonts w:hint="cs"/>
          <w:sz w:val="28"/>
          <w:rtl/>
        </w:rPr>
        <w:t>ال</w:t>
      </w:r>
      <w:r w:rsidRPr="003F3B94">
        <w:rPr>
          <w:sz w:val="28"/>
          <w:rtl/>
        </w:rPr>
        <w:t>مَسَاكِينِ وَأَبْنَاءِ السَّبِيلِ</w:t>
      </w:r>
      <w:r w:rsidRPr="003F3B94">
        <w:rPr>
          <w:rFonts w:hint="cs"/>
          <w:sz w:val="28"/>
          <w:rtl/>
        </w:rPr>
        <w:t xml:space="preserve"> من بني هاشم فقط</w:t>
      </w:r>
      <w:r w:rsidR="00217AB4" w:rsidRPr="003F3B94">
        <w:rPr>
          <w:rFonts w:hint="cs"/>
          <w:sz w:val="28"/>
          <w:rtl/>
        </w:rPr>
        <w:t>،</w:t>
      </w:r>
      <w:r w:rsidRPr="003F3B94">
        <w:rPr>
          <w:rFonts w:hint="cs"/>
          <w:sz w:val="28"/>
          <w:rtl/>
        </w:rPr>
        <w:t xml:space="preserve"> يقول</w:t>
      </w:r>
      <w:r w:rsidR="00217AB4" w:rsidRPr="003F3B94">
        <w:rPr>
          <w:rFonts w:hint="cs"/>
          <w:sz w:val="28"/>
          <w:rtl/>
        </w:rPr>
        <w:t>:</w:t>
      </w:r>
      <w:r w:rsidRPr="003F3B94">
        <w:rPr>
          <w:rFonts w:hint="cs"/>
          <w:sz w:val="28"/>
          <w:rtl/>
        </w:rPr>
        <w:t xml:space="preserve"> </w:t>
      </w:r>
      <w:r w:rsidR="00EF2588" w:rsidRPr="003762F6">
        <w:rPr>
          <w:rFonts w:cs="KFGQPC Uthman Taha Naskh" w:hint="cs"/>
          <w:sz w:val="28"/>
          <w:rtl/>
        </w:rPr>
        <w:t>«</w:t>
      </w:r>
      <w:r w:rsidRPr="003762F6">
        <w:rPr>
          <w:rFonts w:cs="KFGQPC Uthman Taha Naskh"/>
          <w:b/>
          <w:bCs/>
          <w:sz w:val="28"/>
          <w:rtl/>
        </w:rPr>
        <w:t>عِوَضاً ل</w:t>
      </w:r>
      <w:r w:rsidRPr="003762F6">
        <w:rPr>
          <w:rFonts w:cs="KFGQPC Uthman Taha Naskh" w:hint="cs"/>
          <w:b/>
          <w:bCs/>
          <w:sz w:val="28"/>
          <w:rtl/>
        </w:rPr>
        <w:t>َـ</w:t>
      </w:r>
      <w:r w:rsidRPr="003762F6">
        <w:rPr>
          <w:rFonts w:cs="KFGQPC Uthman Taha Naskh"/>
          <w:b/>
          <w:bCs/>
          <w:sz w:val="28"/>
          <w:rtl/>
        </w:rPr>
        <w:t>هُمْ مِنْ صَدَقَاتِ النَّاسِ تَنْزِيهاً مِنَ اللهِ ل</w:t>
      </w:r>
      <w:r w:rsidRPr="003762F6">
        <w:rPr>
          <w:rFonts w:cs="KFGQPC Uthman Taha Naskh" w:hint="cs"/>
          <w:b/>
          <w:bCs/>
          <w:sz w:val="28"/>
          <w:rtl/>
        </w:rPr>
        <w:t>َـ</w:t>
      </w:r>
      <w:r w:rsidRPr="003762F6">
        <w:rPr>
          <w:rFonts w:cs="KFGQPC Uthman Taha Naskh"/>
          <w:b/>
          <w:bCs/>
          <w:sz w:val="28"/>
          <w:rtl/>
        </w:rPr>
        <w:t>هُمْ لِقَرَابَتِهِمْ بِرَسُولِ اللهِ</w:t>
      </w:r>
      <w:r w:rsidR="00147857" w:rsidRPr="003762F6">
        <w:rPr>
          <w:rFonts w:cs="KFGQPC Uthman Taha Naskh"/>
          <w:b/>
          <w:bCs/>
          <w:sz w:val="28"/>
          <w:rtl/>
        </w:rPr>
        <w:t xml:space="preserve"> </w:t>
      </w:r>
      <w:r w:rsidR="003C7AEB" w:rsidRPr="003C7AEB">
        <w:rPr>
          <w:rFonts w:ascii="Abo-thar" w:hAnsi="Abo-thar" w:cs="CTraditional Arabic"/>
          <w:sz w:val="28"/>
          <w:rtl/>
        </w:rPr>
        <w:t>ص</w:t>
      </w:r>
      <w:r w:rsidR="00147857" w:rsidRPr="003762F6">
        <w:rPr>
          <w:rFonts w:ascii="Abo-thar" w:hAnsi="Abo-thar" w:cs="KFGQPC Uthman Taha Naskh"/>
          <w:sz w:val="28"/>
          <w:rtl/>
        </w:rPr>
        <w:t xml:space="preserve"> </w:t>
      </w:r>
      <w:r w:rsidRPr="003762F6">
        <w:rPr>
          <w:rFonts w:cs="KFGQPC Uthman Taha Naskh"/>
          <w:b/>
          <w:bCs/>
          <w:sz w:val="28"/>
          <w:rtl/>
        </w:rPr>
        <w:t>وَكَرَامَةً مِنَ اللهِ ل</w:t>
      </w:r>
      <w:r w:rsidRPr="003762F6">
        <w:rPr>
          <w:rFonts w:cs="KFGQPC Uthman Taha Naskh" w:hint="cs"/>
          <w:b/>
          <w:bCs/>
          <w:sz w:val="28"/>
          <w:rtl/>
        </w:rPr>
        <w:t>َـ</w:t>
      </w:r>
      <w:r w:rsidRPr="003762F6">
        <w:rPr>
          <w:rFonts w:cs="KFGQPC Uthman Taha Naskh"/>
          <w:b/>
          <w:bCs/>
          <w:sz w:val="28"/>
          <w:rtl/>
        </w:rPr>
        <w:t>هُمْ عَنْ أَوْسَاخِ النَّاسِ فَجَعَلَ ل</w:t>
      </w:r>
      <w:r w:rsidRPr="003762F6">
        <w:rPr>
          <w:rFonts w:cs="KFGQPC Uthman Taha Naskh" w:hint="cs"/>
          <w:b/>
          <w:bCs/>
          <w:sz w:val="28"/>
          <w:rtl/>
        </w:rPr>
        <w:t>َـ</w:t>
      </w:r>
      <w:r w:rsidRPr="003762F6">
        <w:rPr>
          <w:rFonts w:cs="KFGQPC Uthman Taha Naskh"/>
          <w:b/>
          <w:bCs/>
          <w:sz w:val="28"/>
          <w:rtl/>
        </w:rPr>
        <w:t>هُمْ خَاصَّةً مِنْ عِنْدِهِ مَا يُغْنِيهِمْ بِهِ عَنْ أَنْ يُصَيِّرَهُمْ فِي مَوْضِعِ الذُّلِّ وَالمَسْكَنَةِ</w:t>
      </w:r>
      <w:r w:rsidR="00217AB4" w:rsidRPr="003762F6">
        <w:rPr>
          <w:rFonts w:cs="KFGQPC Uthman Taha Naskh" w:hint="cs"/>
          <w:sz w:val="28"/>
          <w:rtl/>
        </w:rPr>
        <w:t>..</w:t>
      </w:r>
      <w:r w:rsidR="00EF2588" w:rsidRPr="003762F6">
        <w:rPr>
          <w:rFonts w:cs="KFGQPC Uthman Taha Naskh" w:hint="cs"/>
          <w:sz w:val="28"/>
          <w:rtl/>
        </w:rPr>
        <w:t>»</w:t>
      </w:r>
      <w:r w:rsidR="00217AB4" w:rsidRPr="003F3B94">
        <w:rPr>
          <w:rFonts w:hint="cs"/>
          <w:sz w:val="28"/>
          <w:rtl/>
        </w:rPr>
        <w:t>.</w:t>
      </w:r>
    </w:p>
    <w:p w:rsidR="005C664D" w:rsidRPr="003F3B94" w:rsidRDefault="005C664D" w:rsidP="003F3B94">
      <w:pPr>
        <w:pStyle w:val="a0"/>
        <w:rPr>
          <w:rFonts w:hint="cs"/>
          <w:rtl/>
        </w:rPr>
      </w:pPr>
      <w:r w:rsidRPr="003F3B94">
        <w:rPr>
          <w:rFonts w:hint="cs"/>
          <w:sz w:val="28"/>
          <w:rtl/>
        </w:rPr>
        <w:t>فحتَّى لو كان هذا الحديث صحيحاً</w:t>
      </w:r>
      <w:r w:rsidR="00147857" w:rsidRPr="003F3B94">
        <w:rPr>
          <w:rFonts w:hint="cs"/>
          <w:sz w:val="28"/>
          <w:rtl/>
        </w:rPr>
        <w:t xml:space="preserve"> و</w:t>
      </w:r>
      <w:r w:rsidRPr="003F3B94">
        <w:rPr>
          <w:rFonts w:hint="cs"/>
          <w:sz w:val="28"/>
          <w:rtl/>
        </w:rPr>
        <w:t xml:space="preserve">كان القرآن المجيدُ يصدِّقُهُ </w:t>
      </w:r>
      <w:r w:rsidR="00217AB4" w:rsidRPr="003F3B94">
        <w:rPr>
          <w:rFonts w:hint="cs"/>
          <w:sz w:val="28"/>
          <w:rtl/>
        </w:rPr>
        <w:t>(</w:t>
      </w:r>
      <w:r w:rsidRPr="003F3B94">
        <w:rPr>
          <w:rFonts w:hint="cs"/>
          <w:sz w:val="28"/>
          <w:rtl/>
        </w:rPr>
        <w:t>وهو فاقد لهذا الشرط في الواقع</w:t>
      </w:r>
      <w:r w:rsidR="00217AB4" w:rsidRPr="003F3B94">
        <w:rPr>
          <w:rFonts w:hint="cs"/>
          <w:sz w:val="28"/>
          <w:rtl/>
        </w:rPr>
        <w:t>)</w:t>
      </w:r>
      <w:r w:rsidRPr="003F3B94">
        <w:rPr>
          <w:rFonts w:hint="cs"/>
          <w:sz w:val="28"/>
          <w:rtl/>
        </w:rPr>
        <w:t xml:space="preserve"> مع ذلك لا يمكن أبداً أن يُسْتَنْبَط منه مثل هذا الحكم الموجب لأداء الخمس من أجرة كل عامل بما في ذلك العامل العادي والزبَّال </w:t>
      </w:r>
      <w:r w:rsidR="00217AB4" w:rsidRPr="003F3B94">
        <w:rPr>
          <w:rFonts w:hint="cs"/>
          <w:sz w:val="28"/>
          <w:rtl/>
        </w:rPr>
        <w:t>(</w:t>
      </w:r>
      <w:r w:rsidRPr="003F3B94">
        <w:rPr>
          <w:rFonts w:hint="cs"/>
          <w:sz w:val="28"/>
          <w:rtl/>
        </w:rPr>
        <w:t>الكنَّاس</w:t>
      </w:r>
      <w:r w:rsidR="00217AB4" w:rsidRPr="003F3B94">
        <w:rPr>
          <w:rFonts w:hint="cs"/>
          <w:sz w:val="28"/>
          <w:rtl/>
        </w:rPr>
        <w:t>)</w:t>
      </w:r>
      <w:r w:rsidRPr="003F3B94">
        <w:rPr>
          <w:rFonts w:hint="cs"/>
          <w:sz w:val="28"/>
          <w:rtl/>
        </w:rPr>
        <w:t xml:space="preserve"> والعتَّال </w:t>
      </w:r>
      <w:r w:rsidR="00217AB4" w:rsidRPr="003F3B94">
        <w:rPr>
          <w:rFonts w:hint="cs"/>
          <w:sz w:val="28"/>
          <w:rtl/>
        </w:rPr>
        <w:t>(</w:t>
      </w:r>
      <w:r w:rsidRPr="003F3B94">
        <w:rPr>
          <w:rFonts w:hint="cs"/>
          <w:sz w:val="28"/>
          <w:rtl/>
        </w:rPr>
        <w:t>الحمَّال</w:t>
      </w:r>
      <w:r w:rsidR="00217AB4" w:rsidRPr="003F3B94">
        <w:rPr>
          <w:rFonts w:hint="cs"/>
          <w:sz w:val="28"/>
          <w:rtl/>
        </w:rPr>
        <w:t>)</w:t>
      </w:r>
      <w:r w:rsidRPr="003F3B94">
        <w:rPr>
          <w:rFonts w:hint="cs"/>
          <w:sz w:val="28"/>
          <w:rtl/>
        </w:rPr>
        <w:t xml:space="preserve"> وغزَّال الخيوط </w:t>
      </w:r>
      <w:r w:rsidR="00217AB4" w:rsidRPr="003F3B94">
        <w:rPr>
          <w:rFonts w:hint="cs"/>
          <w:sz w:val="28"/>
          <w:rtl/>
        </w:rPr>
        <w:t>(</w:t>
      </w:r>
      <w:r w:rsidRPr="003F3B94">
        <w:rPr>
          <w:rFonts w:hint="cs"/>
          <w:sz w:val="28"/>
          <w:rtl/>
        </w:rPr>
        <w:t>على الدولاب</w:t>
      </w:r>
      <w:r w:rsidR="00217AB4" w:rsidRPr="003F3B94">
        <w:rPr>
          <w:rFonts w:hint="cs"/>
          <w:sz w:val="28"/>
          <w:rtl/>
        </w:rPr>
        <w:t>)</w:t>
      </w:r>
      <w:r w:rsidRPr="003F3B94">
        <w:rPr>
          <w:rFonts w:hint="cs"/>
          <w:sz w:val="28"/>
          <w:rtl/>
        </w:rPr>
        <w:t xml:space="preserve"> وغسَّال الألبسة</w:t>
      </w:r>
      <w:r w:rsidR="00217AB4" w:rsidRPr="003F3B94">
        <w:rPr>
          <w:rFonts w:hint="cs"/>
          <w:sz w:val="28"/>
          <w:rtl/>
        </w:rPr>
        <w:t>،</w:t>
      </w:r>
      <w:r w:rsidRPr="003F3B94">
        <w:rPr>
          <w:rFonts w:hint="cs"/>
          <w:sz w:val="28"/>
          <w:rtl/>
        </w:rPr>
        <w:t xml:space="preserve"> وإعطائه للسادة من بني هاشم</w:t>
      </w:r>
      <w:r w:rsidR="00217AB4" w:rsidRPr="003F3B94">
        <w:rPr>
          <w:rFonts w:hint="cs"/>
          <w:sz w:val="28"/>
          <w:rtl/>
        </w:rPr>
        <w:t>،</w:t>
      </w:r>
      <w:r w:rsidRPr="003F3B94">
        <w:rPr>
          <w:rFonts w:hint="cs"/>
          <w:sz w:val="28"/>
          <w:rtl/>
        </w:rPr>
        <w:t xml:space="preserve"> بل ما يُسْتنبط بوضوح من نص الحديث وصريح عبارته أن هذا الخمس هو خمس غنائم الحرب كما تفيده جملة</w:t>
      </w:r>
      <w:r w:rsidR="00217AB4" w:rsidRPr="003F3B94">
        <w:rPr>
          <w:rFonts w:hint="cs"/>
          <w:sz w:val="28"/>
          <w:rtl/>
        </w:rPr>
        <w:t>:</w:t>
      </w:r>
      <w:r w:rsidRPr="003F3B94">
        <w:rPr>
          <w:rFonts w:hint="cs"/>
          <w:sz w:val="28"/>
          <w:rtl/>
        </w:rPr>
        <w:t xml:space="preserve"> </w:t>
      </w:r>
      <w:r w:rsidR="00217AB4" w:rsidRPr="003F3B94">
        <w:rPr>
          <w:rFonts w:hint="cs"/>
          <w:sz w:val="28"/>
          <w:rtl/>
        </w:rPr>
        <w:t>(</w:t>
      </w:r>
      <w:r w:rsidRPr="003F3B94">
        <w:rPr>
          <w:b/>
          <w:bCs/>
          <w:sz w:val="28"/>
          <w:u w:val="single"/>
          <w:rtl/>
        </w:rPr>
        <w:t>بَيْنَ مَنْ قَاتَلَ عَلَيْهِ</w:t>
      </w:r>
      <w:r w:rsidR="00217AB4" w:rsidRPr="003F3B94">
        <w:rPr>
          <w:rFonts w:hint="cs"/>
          <w:sz w:val="28"/>
          <w:rtl/>
        </w:rPr>
        <w:t>)،</w:t>
      </w:r>
      <w:r w:rsidRPr="003F3B94">
        <w:rPr>
          <w:rFonts w:hint="cs"/>
          <w:sz w:val="28"/>
          <w:rtl/>
        </w:rPr>
        <w:t xml:space="preserve"> فما علاقة ذلك بخمس كد يمن وعرق جبين الحمالين والكناسين وعمال البناء</w:t>
      </w:r>
      <w:r w:rsidR="00147857" w:rsidRPr="003F3B94">
        <w:rPr>
          <w:rFonts w:hint="cs"/>
          <w:sz w:val="28"/>
          <w:rtl/>
        </w:rPr>
        <w:t xml:space="preserve"> و</w:t>
      </w:r>
      <w:r w:rsidRPr="003F3B94">
        <w:rPr>
          <w:rFonts w:hint="cs"/>
          <w:sz w:val="28"/>
          <w:rtl/>
        </w:rPr>
        <w:t>الخياطين والغزالين وغسالي الألبسة</w:t>
      </w:r>
      <w:r w:rsidR="002834A4" w:rsidRPr="003F3B94">
        <w:rPr>
          <w:rFonts w:hint="cs"/>
          <w:sz w:val="28"/>
          <w:rtl/>
        </w:rPr>
        <w:t>؟؟!</w:t>
      </w:r>
      <w:r w:rsidR="00147857" w:rsidRPr="003F3B94">
        <w:rPr>
          <w:rFonts w:hint="cs"/>
          <w:sz w:val="28"/>
          <w:rtl/>
        </w:rPr>
        <w:t xml:space="preserve"> </w:t>
      </w:r>
      <w:r w:rsidRPr="003F3B94">
        <w:rPr>
          <w:rFonts w:hint="cs"/>
          <w:sz w:val="28"/>
          <w:rtl/>
        </w:rPr>
        <w:t>لو كان لوجوب أداء خمس أرباح المكاسب حقيقة لكان مختصَّاً بالإمام الذي هو رئيس البلاد</w:t>
      </w:r>
      <w:r w:rsidR="00217AB4" w:rsidRPr="003F3B94">
        <w:rPr>
          <w:rFonts w:hint="cs"/>
          <w:sz w:val="28"/>
          <w:rtl/>
        </w:rPr>
        <w:t>،</w:t>
      </w:r>
      <w:r w:rsidRPr="003F3B94">
        <w:rPr>
          <w:rFonts w:hint="cs"/>
          <w:sz w:val="28"/>
          <w:rtl/>
        </w:rPr>
        <w:t xml:space="preserve"> وإذا كان المراد منه الإمام المعصوم من الأ</w:t>
      </w:r>
      <w:r w:rsidR="002834A4" w:rsidRPr="003F3B94">
        <w:rPr>
          <w:rFonts w:hint="cs"/>
          <w:sz w:val="28"/>
          <w:rtl/>
        </w:rPr>
        <w:t>ئمة الا</w:t>
      </w:r>
      <w:r w:rsidRPr="003F3B94">
        <w:rPr>
          <w:rFonts w:hint="cs"/>
          <w:sz w:val="28"/>
          <w:rtl/>
        </w:rPr>
        <w:t>ثني عشر</w:t>
      </w:r>
      <w:r w:rsidR="00217AB4" w:rsidRPr="003F3B94">
        <w:rPr>
          <w:rFonts w:hint="cs"/>
          <w:sz w:val="28"/>
          <w:rtl/>
        </w:rPr>
        <w:t>،</w:t>
      </w:r>
      <w:r w:rsidRPr="003F3B94">
        <w:rPr>
          <w:rFonts w:hint="cs"/>
          <w:sz w:val="28"/>
          <w:rtl/>
        </w:rPr>
        <w:t xml:space="preserve"> فقد جاء عن أولئك السادة الكرام </w:t>
      </w:r>
      <w:r w:rsidR="00963EFD" w:rsidRPr="00963EFD">
        <w:rPr>
          <w:rFonts w:cs="CTraditional Arabic" w:hint="cs"/>
          <w:sz w:val="28"/>
          <w:rtl/>
        </w:rPr>
        <w:t>‡</w:t>
      </w:r>
      <w:r w:rsidRPr="003F3B94">
        <w:rPr>
          <w:rFonts w:hint="cs"/>
          <w:sz w:val="28"/>
          <w:rtl/>
        </w:rPr>
        <w:t xml:space="preserve"> في أكثر من عشرين حديثاً أنهم وهبوا سهمهم هذا من الخمس إلى شيعتهم</w:t>
      </w:r>
      <w:r w:rsidR="00217AB4" w:rsidRPr="003F3B94">
        <w:rPr>
          <w:rFonts w:hint="cs"/>
          <w:sz w:val="28"/>
          <w:rtl/>
        </w:rPr>
        <w:t>،</w:t>
      </w:r>
      <w:r w:rsidRPr="003F3B94">
        <w:rPr>
          <w:rFonts w:hint="cs"/>
          <w:sz w:val="28"/>
          <w:rtl/>
        </w:rPr>
        <w:t xml:space="preserve"> وهذا ما سنبحثه لاحقاً إن شاء الله في فصل خاص</w:t>
      </w:r>
      <w:r w:rsidR="00217AB4" w:rsidRPr="003F3B94">
        <w:rPr>
          <w:rFonts w:hint="cs"/>
          <w:sz w:val="28"/>
          <w:rtl/>
        </w:rPr>
        <w:t>،</w:t>
      </w:r>
      <w:r w:rsidRPr="003F3B94">
        <w:rPr>
          <w:rFonts w:hint="cs"/>
          <w:sz w:val="28"/>
          <w:rtl/>
        </w:rPr>
        <w:t xml:space="preserve"> أمّا الواقع فإن القضية سالبة بانتفاء الموضوع</w:t>
      </w:r>
      <w:r w:rsidR="00217AB4" w:rsidRPr="003F3B94">
        <w:rPr>
          <w:rFonts w:hint="cs"/>
          <w:sz w:val="28"/>
          <w:rtl/>
        </w:rPr>
        <w:t>.</w:t>
      </w:r>
    </w:p>
    <w:p w:rsidR="005C664D" w:rsidRPr="003F3B94" w:rsidRDefault="005C664D" w:rsidP="003F3B94">
      <w:pPr>
        <w:pStyle w:val="a0"/>
        <w:rPr>
          <w:rFonts w:hint="cs"/>
          <w:rtl/>
        </w:rPr>
      </w:pPr>
      <w:r w:rsidRPr="003F3B94">
        <w:rPr>
          <w:rFonts w:hint="cs"/>
          <w:sz w:val="28"/>
          <w:rtl/>
        </w:rPr>
        <w:t>قطعاً</w:t>
      </w:r>
      <w:r w:rsidR="00147857" w:rsidRPr="003F3B94">
        <w:rPr>
          <w:rFonts w:hint="cs"/>
          <w:sz w:val="28"/>
          <w:rtl/>
        </w:rPr>
        <w:t xml:space="preserve"> و</w:t>
      </w:r>
      <w:r w:rsidRPr="003F3B94">
        <w:rPr>
          <w:rFonts w:hint="cs"/>
          <w:sz w:val="28"/>
          <w:rtl/>
        </w:rPr>
        <w:t>يقيناً ليس لديهم إجابة على سؤالنا هذا</w:t>
      </w:r>
      <w:r w:rsidR="00217AB4" w:rsidRPr="003F3B94">
        <w:rPr>
          <w:rFonts w:hint="cs"/>
          <w:sz w:val="28"/>
          <w:rtl/>
        </w:rPr>
        <w:t>،</w:t>
      </w:r>
      <w:r w:rsidRPr="003F3B94">
        <w:rPr>
          <w:rFonts w:hint="cs"/>
          <w:sz w:val="28"/>
          <w:rtl/>
        </w:rPr>
        <w:t xml:space="preserve"> ولو كان لديهم حجة أو برهان فليأتوا به</w:t>
      </w:r>
      <w:r w:rsidR="00217AB4" w:rsidRPr="003F3B94">
        <w:rPr>
          <w:rFonts w:hint="cs"/>
          <w:sz w:val="28"/>
          <w:rtl/>
        </w:rPr>
        <w:t>،</w:t>
      </w:r>
      <w:r w:rsidRPr="003F3B94">
        <w:rPr>
          <w:rFonts w:hint="cs"/>
          <w:sz w:val="28"/>
          <w:rtl/>
        </w:rPr>
        <w:t xml:space="preserve"> </w:t>
      </w:r>
      <w:r w:rsidRPr="003F3B94">
        <w:rPr>
          <w:rFonts w:hint="cs"/>
          <w:b/>
          <w:bCs/>
          <w:sz w:val="28"/>
          <w:rtl/>
        </w:rPr>
        <w:t>ف</w:t>
      </w:r>
      <w:r w:rsidRPr="003F3B94">
        <w:rPr>
          <w:b/>
          <w:bCs/>
          <w:sz w:val="28"/>
          <w:rtl/>
        </w:rPr>
        <w:t>إِنْ لَمْ تَفْعَ</w:t>
      </w:r>
      <w:r w:rsidR="002834A4" w:rsidRPr="003F3B94">
        <w:rPr>
          <w:rFonts w:hint="cs"/>
          <w:b/>
          <w:bCs/>
          <w:sz w:val="28"/>
          <w:rtl/>
        </w:rPr>
        <w:t>ـ</w:t>
      </w:r>
      <w:r w:rsidRPr="003F3B94">
        <w:rPr>
          <w:b/>
          <w:bCs/>
          <w:sz w:val="28"/>
          <w:rtl/>
        </w:rPr>
        <w:t>لُوا وَلَنْ تَفْعَ</w:t>
      </w:r>
      <w:r w:rsidR="002834A4" w:rsidRPr="003F3B94">
        <w:rPr>
          <w:rFonts w:hint="cs"/>
          <w:b/>
          <w:bCs/>
          <w:sz w:val="28"/>
          <w:rtl/>
        </w:rPr>
        <w:t>ـ</w:t>
      </w:r>
      <w:r w:rsidRPr="003F3B94">
        <w:rPr>
          <w:b/>
          <w:bCs/>
          <w:sz w:val="28"/>
          <w:rtl/>
        </w:rPr>
        <w:t>لُوا فَاتَّقُو</w:t>
      </w:r>
      <w:r w:rsidRPr="003F3B94">
        <w:rPr>
          <w:rFonts w:hint="cs"/>
          <w:b/>
          <w:bCs/>
          <w:sz w:val="28"/>
          <w:rtl/>
        </w:rPr>
        <w:t>ا الله</w:t>
      </w:r>
      <w:r w:rsidR="00F12888">
        <w:rPr>
          <w:rFonts w:hint="cs"/>
          <w:sz w:val="28"/>
          <w:rtl/>
        </w:rPr>
        <w:t>َ</w:t>
      </w:r>
      <w:r w:rsidR="00217AB4" w:rsidRPr="003F3B94">
        <w:rPr>
          <w:rFonts w:hint="cs"/>
          <w:sz w:val="28"/>
          <w:rtl/>
        </w:rPr>
        <w:t>.</w:t>
      </w:r>
    </w:p>
    <w:p w:rsidR="005C664D" w:rsidRDefault="005C664D" w:rsidP="003F3B94">
      <w:pPr>
        <w:pStyle w:val="a0"/>
        <w:rPr>
          <w:rFonts w:hint="cs"/>
          <w:rtl/>
        </w:rPr>
      </w:pPr>
      <w:r w:rsidRPr="003F3B94">
        <w:rPr>
          <w:rFonts w:hint="cs"/>
          <w:sz w:val="28"/>
          <w:rtl/>
        </w:rPr>
        <w:t xml:space="preserve">أما لو تم الاكتفاء في مسألة الخمس بالغنائم الحربية </w:t>
      </w:r>
      <w:r w:rsidR="00217AB4" w:rsidRPr="003F3B94">
        <w:rPr>
          <w:rFonts w:hint="cs"/>
          <w:sz w:val="28"/>
          <w:rtl/>
        </w:rPr>
        <w:t>(</w:t>
      </w:r>
      <w:r w:rsidRPr="003F3B94">
        <w:rPr>
          <w:rFonts w:hint="cs"/>
          <w:sz w:val="28"/>
          <w:rtl/>
        </w:rPr>
        <w:t>كما هي حقيقة الأمر فعلاً</w:t>
      </w:r>
      <w:r w:rsidR="00217AB4" w:rsidRPr="003F3B94">
        <w:rPr>
          <w:rFonts w:hint="cs"/>
          <w:sz w:val="28"/>
          <w:rtl/>
        </w:rPr>
        <w:t>)</w:t>
      </w:r>
      <w:r w:rsidRPr="003F3B94">
        <w:rPr>
          <w:rFonts w:hint="cs"/>
          <w:sz w:val="28"/>
          <w:rtl/>
        </w:rPr>
        <w:t xml:space="preserve"> لأمكن قبول موضوع هذا الخمس بكل سهولة</w:t>
      </w:r>
      <w:r w:rsidR="00217AB4" w:rsidRPr="003F3B94">
        <w:rPr>
          <w:rFonts w:hint="cs"/>
          <w:sz w:val="28"/>
          <w:rtl/>
        </w:rPr>
        <w:t>،</w:t>
      </w:r>
      <w:r w:rsidRPr="003F3B94">
        <w:rPr>
          <w:rFonts w:hint="cs"/>
          <w:sz w:val="28"/>
          <w:rtl/>
        </w:rPr>
        <w:t xml:space="preserve"> إذ يُقال عندئذٍ إنه لما كانت الزكاة ناتجة عن تعب وكدّ المسلمين</w:t>
      </w:r>
      <w:r w:rsidR="00147857" w:rsidRPr="003F3B94">
        <w:rPr>
          <w:rFonts w:hint="cs"/>
          <w:sz w:val="28"/>
          <w:rtl/>
        </w:rPr>
        <w:t xml:space="preserve"> و</w:t>
      </w:r>
      <w:r w:rsidRPr="003F3B94">
        <w:rPr>
          <w:rFonts w:hint="cs"/>
          <w:sz w:val="28"/>
          <w:rtl/>
        </w:rPr>
        <w:t>لم يُرِدْ النبي</w:t>
      </w:r>
      <w:r w:rsidR="00147857" w:rsidRPr="003F3B94">
        <w:rPr>
          <w:rFonts w:hint="cs"/>
          <w:sz w:val="28"/>
          <w:rtl/>
        </w:rPr>
        <w:t xml:space="preserve"> </w:t>
      </w:r>
      <w:r w:rsidR="003C7AEB" w:rsidRPr="003C7AEB">
        <w:rPr>
          <w:rFonts w:ascii="Abo-thar" w:hAnsi="Abo-thar" w:cs="CTraditional Arabic"/>
          <w:sz w:val="28"/>
          <w:rtl/>
        </w:rPr>
        <w:t>ص</w:t>
      </w:r>
      <w:r w:rsidR="00147857" w:rsidRPr="003F3B94">
        <w:rPr>
          <w:rFonts w:ascii="Abo-thar" w:hAnsi="Abo-thar"/>
          <w:sz w:val="28"/>
          <w:rtl/>
        </w:rPr>
        <w:t xml:space="preserve"> </w:t>
      </w:r>
      <w:r w:rsidR="00217AB4" w:rsidRPr="003F3B94">
        <w:rPr>
          <w:rFonts w:ascii="Abo-thar" w:hAnsi="Abo-thar" w:hint="cs"/>
          <w:sz w:val="28"/>
          <w:rtl/>
        </w:rPr>
        <w:t>-</w:t>
      </w:r>
      <w:r w:rsidRPr="003F3B94">
        <w:rPr>
          <w:rFonts w:ascii="Abo-thar" w:hAnsi="Abo-thar" w:hint="cs"/>
          <w:sz w:val="28"/>
          <w:rtl/>
        </w:rPr>
        <w:t xml:space="preserve"> اتباعاً لأمر ربه الذي علمه فقال</w:t>
      </w:r>
      <w:r w:rsidR="00217AB4" w:rsidRPr="003F3B94">
        <w:rPr>
          <w:rFonts w:ascii="Abo-thar" w:hAnsi="Abo-thar" w:hint="cs"/>
          <w:sz w:val="28"/>
          <w:rtl/>
        </w:rPr>
        <w:t>:</w:t>
      </w:r>
      <w:r w:rsidR="006C78B4" w:rsidRPr="003F3B94">
        <w:rPr>
          <w:rFonts w:ascii="Abo-thar" w:hAnsi="Abo-thar" w:hint="cs"/>
          <w:sz w:val="28"/>
          <w:rtl/>
        </w:rPr>
        <w:t xml:space="preserve"> </w:t>
      </w:r>
      <w:r w:rsidR="006C78B4" w:rsidRPr="00995B26">
        <w:rPr>
          <w:rFonts w:ascii="Abo-thar" w:hAnsi="Abo-thar" w:cs="Traditional Arabic" w:hint="cs"/>
          <w:sz w:val="28"/>
          <w:rtl/>
        </w:rPr>
        <w:t>﴿</w:t>
      </w:r>
      <w:r w:rsidR="006C78B4" w:rsidRPr="0067048A">
        <w:rPr>
          <w:rFonts w:ascii="KFGQPC Uthmanic Script HAFS" w:cs="KFGQPC Uthmanic Script HAFS" w:hint="eastAsia"/>
          <w:sz w:val="28"/>
          <w:szCs w:val="28"/>
          <w:rtl/>
        </w:rPr>
        <w:t>قُل</w:t>
      </w:r>
      <w:r w:rsidR="006C78B4" w:rsidRPr="0067048A">
        <w:rPr>
          <w:rFonts w:ascii="KFGQPC Uthmanic Script HAFS" w:cs="KFGQPC Uthmanic Script HAFS"/>
          <w:sz w:val="28"/>
          <w:szCs w:val="28"/>
          <w:rtl/>
        </w:rPr>
        <w:t xml:space="preserve"> </w:t>
      </w:r>
      <w:r w:rsidR="006C78B4" w:rsidRPr="0067048A">
        <w:rPr>
          <w:rFonts w:ascii="KFGQPC Uthmanic Script HAFS" w:cs="KFGQPC Uthmanic Script HAFS" w:hint="eastAsia"/>
          <w:sz w:val="28"/>
          <w:szCs w:val="28"/>
          <w:rtl/>
        </w:rPr>
        <w:t>لَّا</w:t>
      </w:r>
      <w:r w:rsidR="006C78B4" w:rsidRPr="0067048A">
        <w:rPr>
          <w:rFonts w:ascii="KFGQPC Uthmanic Script HAFS" w:cs="KFGQPC Uthmanic Script HAFS" w:hint="cs"/>
          <w:sz w:val="28"/>
          <w:szCs w:val="28"/>
          <w:rtl/>
        </w:rPr>
        <w:t>ٓ</w:t>
      </w:r>
      <w:r w:rsidR="006C78B4" w:rsidRPr="0067048A">
        <w:rPr>
          <w:rFonts w:ascii="KFGQPC Uthmanic Script HAFS" w:cs="KFGQPC Uthmanic Script HAFS"/>
          <w:sz w:val="28"/>
          <w:szCs w:val="28"/>
          <w:rtl/>
        </w:rPr>
        <w:t xml:space="preserve"> </w:t>
      </w:r>
      <w:r w:rsidR="006C78B4" w:rsidRPr="0067048A">
        <w:rPr>
          <w:rFonts w:ascii="KFGQPC Uthmanic Script HAFS" w:cs="KFGQPC Uthmanic Script HAFS" w:hint="eastAsia"/>
          <w:sz w:val="28"/>
          <w:szCs w:val="28"/>
          <w:rtl/>
        </w:rPr>
        <w:t>أَس</w:t>
      </w:r>
      <w:r w:rsidR="006C78B4" w:rsidRPr="0067048A">
        <w:rPr>
          <w:rFonts w:ascii="KFGQPC Uthmanic Script HAFS" w:cs="KFGQPC Uthmanic Script HAFS" w:hint="cs"/>
          <w:sz w:val="28"/>
          <w:szCs w:val="28"/>
          <w:rtl/>
        </w:rPr>
        <w:t>ۡ</w:t>
      </w:r>
      <w:r w:rsidR="006C78B4" w:rsidRPr="0067048A">
        <w:rPr>
          <w:rFonts w:ascii="KFGQPC Uthmanic Script HAFS" w:cs="KFGQPC Uthmanic Script HAFS" w:hint="eastAsia"/>
          <w:sz w:val="28"/>
          <w:szCs w:val="28"/>
          <w:rtl/>
        </w:rPr>
        <w:t>‍</w:t>
      </w:r>
      <w:r w:rsidR="006C78B4" w:rsidRPr="0067048A">
        <w:rPr>
          <w:rFonts w:ascii="KFGQPC Uthmanic Script HAFS" w:cs="KFGQPC Uthmanic Script HAFS" w:hint="cs"/>
          <w:sz w:val="28"/>
          <w:szCs w:val="28"/>
          <w:rtl/>
        </w:rPr>
        <w:t>ٔ</w:t>
      </w:r>
      <w:r w:rsidR="006C78B4" w:rsidRPr="0067048A">
        <w:rPr>
          <w:rFonts w:ascii="KFGQPC Uthmanic Script HAFS" w:cs="KFGQPC Uthmanic Script HAFS" w:hint="eastAsia"/>
          <w:sz w:val="28"/>
          <w:szCs w:val="28"/>
          <w:rtl/>
        </w:rPr>
        <w:t>َلُكُم</w:t>
      </w:r>
      <w:r w:rsidR="006C78B4" w:rsidRPr="0067048A">
        <w:rPr>
          <w:rFonts w:ascii="KFGQPC Uthmanic Script HAFS" w:cs="KFGQPC Uthmanic Script HAFS" w:hint="cs"/>
          <w:sz w:val="28"/>
          <w:szCs w:val="28"/>
          <w:rtl/>
        </w:rPr>
        <w:t>ۡ</w:t>
      </w:r>
      <w:r w:rsidR="006C78B4" w:rsidRPr="0067048A">
        <w:rPr>
          <w:rFonts w:ascii="KFGQPC Uthmanic Script HAFS" w:cs="KFGQPC Uthmanic Script HAFS"/>
          <w:sz w:val="28"/>
          <w:szCs w:val="28"/>
          <w:rtl/>
        </w:rPr>
        <w:t xml:space="preserve"> </w:t>
      </w:r>
      <w:r w:rsidR="006C78B4" w:rsidRPr="0067048A">
        <w:rPr>
          <w:rFonts w:ascii="KFGQPC Uthmanic Script HAFS" w:cs="KFGQPC Uthmanic Script HAFS" w:hint="eastAsia"/>
          <w:sz w:val="28"/>
          <w:szCs w:val="28"/>
          <w:rtl/>
        </w:rPr>
        <w:t>عَلَي</w:t>
      </w:r>
      <w:r w:rsidR="006C78B4" w:rsidRPr="0067048A">
        <w:rPr>
          <w:rFonts w:ascii="KFGQPC Uthmanic Script HAFS" w:cs="KFGQPC Uthmanic Script HAFS" w:hint="cs"/>
          <w:sz w:val="28"/>
          <w:szCs w:val="28"/>
          <w:rtl/>
        </w:rPr>
        <w:t>ۡ</w:t>
      </w:r>
      <w:r w:rsidR="006C78B4" w:rsidRPr="0067048A">
        <w:rPr>
          <w:rFonts w:ascii="KFGQPC Uthmanic Script HAFS" w:cs="KFGQPC Uthmanic Script HAFS" w:hint="eastAsia"/>
          <w:sz w:val="28"/>
          <w:szCs w:val="28"/>
          <w:rtl/>
        </w:rPr>
        <w:t>هِ</w:t>
      </w:r>
      <w:r w:rsidR="006C78B4" w:rsidRPr="0067048A">
        <w:rPr>
          <w:rFonts w:ascii="KFGQPC Uthmanic Script HAFS" w:cs="KFGQPC Uthmanic Script HAFS"/>
          <w:sz w:val="28"/>
          <w:szCs w:val="28"/>
          <w:rtl/>
        </w:rPr>
        <w:t xml:space="preserve"> </w:t>
      </w:r>
      <w:r w:rsidR="006C78B4" w:rsidRPr="0067048A">
        <w:rPr>
          <w:rFonts w:ascii="KFGQPC Uthmanic Script HAFS" w:cs="KFGQPC Uthmanic Script HAFS" w:hint="eastAsia"/>
          <w:sz w:val="28"/>
          <w:szCs w:val="28"/>
          <w:rtl/>
        </w:rPr>
        <w:t>أَج</w:t>
      </w:r>
      <w:r w:rsidR="006C78B4" w:rsidRPr="0067048A">
        <w:rPr>
          <w:rFonts w:ascii="KFGQPC Uthmanic Script HAFS" w:cs="KFGQPC Uthmanic Script HAFS" w:hint="cs"/>
          <w:sz w:val="28"/>
          <w:szCs w:val="28"/>
          <w:rtl/>
        </w:rPr>
        <w:t>ۡ</w:t>
      </w:r>
      <w:r w:rsidR="006C78B4" w:rsidRPr="0067048A">
        <w:rPr>
          <w:rFonts w:ascii="KFGQPC Uthmanic Script HAFS" w:cs="KFGQPC Uthmanic Script HAFS" w:hint="eastAsia"/>
          <w:sz w:val="28"/>
          <w:szCs w:val="28"/>
          <w:rtl/>
        </w:rPr>
        <w:t>رًا</w:t>
      </w:r>
      <w:r w:rsidR="006C78B4" w:rsidRPr="00995B26">
        <w:rPr>
          <w:rFonts w:ascii="KFGQPC Uthmanic Script HAFS" w:cs="Times New Roman" w:hint="cs"/>
          <w:sz w:val="28"/>
          <w:rtl/>
        </w:rPr>
        <w:t>...</w:t>
      </w:r>
      <w:r w:rsidR="006C78B4" w:rsidRPr="00995B26">
        <w:rPr>
          <w:rFonts w:ascii="Abo-thar" w:hAnsi="Abo-thar" w:cs="Traditional Arabic" w:hint="cs"/>
          <w:sz w:val="28"/>
          <w:rtl/>
        </w:rPr>
        <w:t>﴾</w:t>
      </w:r>
      <w:r w:rsidR="006C78B4" w:rsidRPr="00995B26">
        <w:rPr>
          <w:rFonts w:hint="cs"/>
          <w:sz w:val="28"/>
          <w:rtl/>
        </w:rPr>
        <w:t xml:space="preserve"> </w:t>
      </w:r>
      <w:r w:rsidRPr="003108CB">
        <w:rPr>
          <w:rStyle w:val="Char2"/>
          <w:rtl/>
        </w:rPr>
        <w:t>[الأنعام</w:t>
      </w:r>
      <w:r w:rsidR="006C78B4" w:rsidRPr="003108CB">
        <w:rPr>
          <w:rStyle w:val="Char2"/>
          <w:rFonts w:hint="cs"/>
          <w:rtl/>
        </w:rPr>
        <w:t>:</w:t>
      </w:r>
      <w:r w:rsidRPr="003108CB">
        <w:rPr>
          <w:rStyle w:val="Char2"/>
          <w:rtl/>
        </w:rPr>
        <w:t>90]</w:t>
      </w:r>
      <w:r w:rsidR="006C78B4" w:rsidRPr="00995B26">
        <w:rPr>
          <w:rFonts w:hint="cs"/>
          <w:sz w:val="28"/>
          <w:rtl/>
        </w:rPr>
        <w:t>.</w:t>
      </w:r>
      <w:r w:rsidRPr="00995B26">
        <w:rPr>
          <w:rFonts w:hint="cs"/>
          <w:sz w:val="28"/>
          <w:rtl/>
        </w:rPr>
        <w:t xml:space="preserve"> لأسرته وأهل بيته أن يستفيدوا منها ويأكلوا منها</w:t>
      </w:r>
      <w:r w:rsidR="00217AB4" w:rsidRPr="00995B26">
        <w:rPr>
          <w:rFonts w:hint="cs"/>
          <w:sz w:val="28"/>
          <w:rtl/>
        </w:rPr>
        <w:t>،</w:t>
      </w:r>
      <w:r w:rsidRPr="00995B26">
        <w:rPr>
          <w:rFonts w:hint="cs"/>
          <w:sz w:val="28"/>
          <w:rtl/>
        </w:rPr>
        <w:t xml:space="preserve"> لذا حرمها على نفسه وعلى آله أو جعلها مكروهة</w:t>
      </w:r>
      <w:r w:rsidR="00217AB4" w:rsidRPr="00995B26">
        <w:rPr>
          <w:rFonts w:hint="cs"/>
          <w:sz w:val="28"/>
          <w:rtl/>
        </w:rPr>
        <w:t>،</w:t>
      </w:r>
      <w:r w:rsidRPr="00995B26">
        <w:rPr>
          <w:rFonts w:hint="cs"/>
          <w:sz w:val="28"/>
          <w:rtl/>
        </w:rPr>
        <w:t xml:space="preserve"> هذا بعكس الغنائم الحربية التي هي من أموال الكفار وقد وقعت بأيدي المسلمين وأصبحت بلا مالك</w:t>
      </w:r>
      <w:r w:rsidR="00217AB4" w:rsidRPr="00995B26">
        <w:rPr>
          <w:rFonts w:hint="cs"/>
          <w:sz w:val="28"/>
          <w:rtl/>
        </w:rPr>
        <w:t>،</w:t>
      </w:r>
      <w:r w:rsidRPr="00995B26">
        <w:rPr>
          <w:rFonts w:hint="cs"/>
          <w:sz w:val="28"/>
          <w:rtl/>
        </w:rPr>
        <w:t xml:space="preserve"> ولم تأتِ نتيجة عمل المسلمين وكد يمينهم بل هي كما يُقال</w:t>
      </w:r>
      <w:r w:rsidR="00217AB4" w:rsidRPr="00995B26">
        <w:rPr>
          <w:rFonts w:hint="cs"/>
          <w:sz w:val="28"/>
          <w:rtl/>
        </w:rPr>
        <w:t>:</w:t>
      </w:r>
      <w:r w:rsidRPr="00995B26">
        <w:rPr>
          <w:rFonts w:hint="cs"/>
          <w:sz w:val="28"/>
          <w:rtl/>
        </w:rPr>
        <w:t xml:space="preserve"> مال ساقه الله إلى المسلمين من فضله</w:t>
      </w:r>
      <w:r w:rsidR="00217AB4" w:rsidRPr="00995B26">
        <w:rPr>
          <w:rFonts w:hint="cs"/>
          <w:sz w:val="28"/>
          <w:rtl/>
        </w:rPr>
        <w:t>،</w:t>
      </w:r>
      <w:r w:rsidRPr="00995B26">
        <w:rPr>
          <w:rFonts w:hint="cs"/>
          <w:sz w:val="28"/>
          <w:rtl/>
        </w:rPr>
        <w:t xml:space="preserve"> لذا أجاز النبي</w:t>
      </w:r>
      <w:r w:rsidR="00147857" w:rsidRPr="00995B26">
        <w:rPr>
          <w:rFonts w:hint="cs"/>
          <w:sz w:val="28"/>
          <w:rtl/>
        </w:rPr>
        <w:t xml:space="preserve"> </w:t>
      </w:r>
      <w:r w:rsidR="003C7AEB" w:rsidRPr="003C7AEB">
        <w:rPr>
          <w:rFonts w:ascii="Abo-thar" w:hAnsi="Abo-thar" w:cs="CTraditional Arabic"/>
          <w:sz w:val="28"/>
          <w:rtl/>
          <w:lang w:bidi="ar-SY"/>
        </w:rPr>
        <w:t>ص</w:t>
      </w:r>
      <w:r w:rsidR="00147857" w:rsidRPr="00995B26">
        <w:rPr>
          <w:rFonts w:ascii="Abo-thar" w:hAnsi="Abo-thar"/>
          <w:sz w:val="28"/>
          <w:rtl/>
          <w:lang w:bidi="ar-SY"/>
        </w:rPr>
        <w:t xml:space="preserve"> </w:t>
      </w:r>
      <w:r w:rsidRPr="00995B26">
        <w:rPr>
          <w:rFonts w:hint="cs"/>
          <w:sz w:val="28"/>
          <w:rtl/>
        </w:rPr>
        <w:t>أخذ سهم منه لنفسه وأهل بيته</w:t>
      </w:r>
      <w:r w:rsidR="00217AB4" w:rsidRPr="00995B26">
        <w:rPr>
          <w:rFonts w:hint="cs"/>
          <w:sz w:val="28"/>
          <w:rtl/>
        </w:rPr>
        <w:t>.</w:t>
      </w:r>
      <w:r w:rsidR="00147857" w:rsidRPr="00995B26">
        <w:rPr>
          <w:rFonts w:hint="cs"/>
          <w:sz w:val="28"/>
          <w:rtl/>
        </w:rPr>
        <w:t xml:space="preserve"> </w:t>
      </w:r>
      <w:r w:rsidRPr="00995B26">
        <w:rPr>
          <w:rFonts w:hint="cs"/>
          <w:sz w:val="28"/>
          <w:rtl/>
        </w:rPr>
        <w:t>أما ماذا نقول بشأن ذلك الخمس العجيب الذي يقول به فقهاؤنا</w:t>
      </w:r>
      <w:r w:rsidR="00217AB4" w:rsidRPr="00995B26">
        <w:rPr>
          <w:rFonts w:hint="cs"/>
          <w:sz w:val="28"/>
          <w:rtl/>
        </w:rPr>
        <w:t>؟!!</w:t>
      </w:r>
      <w:r w:rsidR="006C78B4" w:rsidRPr="00995B26">
        <w:rPr>
          <w:rFonts w:hint="cs"/>
          <w:sz w:val="28"/>
          <w:rtl/>
        </w:rPr>
        <w:t>.</w:t>
      </w:r>
    </w:p>
    <w:p w:rsidR="00071132" w:rsidRPr="003F3B94" w:rsidRDefault="00071132" w:rsidP="003F3B94">
      <w:pPr>
        <w:pStyle w:val="a0"/>
        <w:rPr>
          <w:rtl/>
        </w:rPr>
        <w:sectPr w:rsidR="00071132" w:rsidRPr="003F3B94" w:rsidSect="00010AE3">
          <w:headerReference w:type="default" r:id="rId28"/>
          <w:footnotePr>
            <w:numRestart w:val="eachPage"/>
          </w:footnotePr>
          <w:type w:val="oddPage"/>
          <w:pgSz w:w="9356" w:h="13608" w:code="34"/>
          <w:pgMar w:top="964" w:right="1134" w:bottom="1134" w:left="964" w:header="0" w:footer="851" w:gutter="0"/>
          <w:cols w:space="708"/>
          <w:titlePg/>
          <w:bidi/>
          <w:rtlGutter/>
          <w:docGrid w:linePitch="360"/>
        </w:sectPr>
      </w:pPr>
    </w:p>
    <w:p w:rsidR="005C664D" w:rsidRPr="00995B26" w:rsidRDefault="00071132" w:rsidP="00071132">
      <w:pPr>
        <w:pStyle w:val="Heading1"/>
        <w:rPr>
          <w:rFonts w:hint="cs"/>
          <w:rtl/>
        </w:rPr>
      </w:pPr>
      <w:bookmarkStart w:id="86" w:name="_Toc387843064"/>
      <w:r>
        <w:rPr>
          <w:rFonts w:hint="cs"/>
          <w:rtl/>
        </w:rPr>
        <w:t>الفصل الرابع</w:t>
      </w:r>
      <w:r>
        <w:rPr>
          <w:rtl/>
        </w:rPr>
        <w:br/>
      </w:r>
      <w:r w:rsidR="003D6690" w:rsidRPr="00995B26">
        <w:rPr>
          <w:rFonts w:hint="cs"/>
          <w:rtl/>
        </w:rPr>
        <w:t>رسالة معنوية أم رعاية مادية</w:t>
      </w:r>
      <w:bookmarkEnd w:id="86"/>
    </w:p>
    <w:p w:rsidR="005C664D" w:rsidRPr="003F3B94" w:rsidRDefault="005C664D" w:rsidP="000E2C23">
      <w:pPr>
        <w:pStyle w:val="a0"/>
        <w:rPr>
          <w:rFonts w:hint="cs"/>
          <w:rtl/>
        </w:rPr>
      </w:pPr>
      <w:r w:rsidRPr="003F3B94">
        <w:rPr>
          <w:rFonts w:hint="cs"/>
          <w:sz w:val="28"/>
          <w:rtl/>
        </w:rPr>
        <w:t xml:space="preserve">إن </w:t>
      </w:r>
      <w:r w:rsidRPr="003F3B94">
        <w:rPr>
          <w:rFonts w:ascii="Lotus Linotype" w:hAnsi="Lotus Linotype"/>
          <w:sz w:val="28"/>
          <w:rtl/>
        </w:rPr>
        <w:t>«</w:t>
      </w:r>
      <w:r w:rsidRPr="003F3B94">
        <w:rPr>
          <w:rFonts w:ascii="Lotus Linotype" w:hAnsi="Lotus Linotype" w:hint="cs"/>
          <w:sz w:val="28"/>
          <w:rtl/>
        </w:rPr>
        <w:t>الخُمُس</w:t>
      </w:r>
      <w:r w:rsidRPr="003F3B94">
        <w:rPr>
          <w:rFonts w:ascii="Lotus Linotype" w:hAnsi="Lotus Linotype"/>
          <w:sz w:val="28"/>
          <w:rtl/>
        </w:rPr>
        <w:t>»</w:t>
      </w:r>
      <w:r w:rsidRPr="003F3B94">
        <w:rPr>
          <w:rFonts w:ascii="Lotus Linotype" w:hAnsi="Lotus Linotype" w:hint="cs"/>
          <w:sz w:val="28"/>
          <w:rtl/>
        </w:rPr>
        <w:t xml:space="preserve"> </w:t>
      </w:r>
      <w:r w:rsidRPr="003F3B94">
        <w:rPr>
          <w:rFonts w:hint="cs"/>
          <w:sz w:val="28"/>
          <w:rtl/>
        </w:rPr>
        <w:t>الذي جعله فقهاء الشيعة الإمامية للمنسوبين أو المنتسبين إلى نبي الإسلام</w:t>
      </w:r>
      <w:r w:rsidR="003C7AEB" w:rsidRPr="003C7AEB">
        <w:rPr>
          <w:rFonts w:ascii="Abo-thar" w:hAnsi="Abo-thar" w:cs="CTraditional Arabic"/>
          <w:sz w:val="28"/>
          <w:rtl/>
        </w:rPr>
        <w:t>ص</w:t>
      </w:r>
      <w:r w:rsidR="00147857" w:rsidRPr="003F3B94">
        <w:rPr>
          <w:rFonts w:ascii="Abo-thar" w:hAnsi="Abo-thar"/>
          <w:sz w:val="28"/>
          <w:rtl/>
        </w:rPr>
        <w:t xml:space="preserve"> </w:t>
      </w:r>
      <w:r w:rsidRPr="003F3B94">
        <w:rPr>
          <w:rFonts w:ascii="Abo-thar" w:hAnsi="Abo-thar" w:hint="cs"/>
          <w:sz w:val="28"/>
          <w:rtl/>
        </w:rPr>
        <w:t>هو بشكل عام خُمس جميع الثروات التي هي فوق الأرض</w:t>
      </w:r>
      <w:r w:rsidR="00217AB4" w:rsidRPr="003F3B94">
        <w:rPr>
          <w:rFonts w:ascii="Abo-thar" w:hAnsi="Abo-thar" w:hint="cs"/>
          <w:sz w:val="28"/>
          <w:rtl/>
        </w:rPr>
        <w:t>،</w:t>
      </w:r>
      <w:r w:rsidRPr="003F3B94">
        <w:rPr>
          <w:rFonts w:ascii="Abo-thar" w:hAnsi="Abo-thar" w:hint="cs"/>
          <w:sz w:val="28"/>
          <w:rtl/>
        </w:rPr>
        <w:t xml:space="preserve"> فإذا جاء يومٌ دخل فيه</w:t>
      </w:r>
      <w:r w:rsidRPr="003F3B94">
        <w:rPr>
          <w:rFonts w:hint="cs"/>
          <w:sz w:val="28"/>
          <w:rtl/>
        </w:rPr>
        <w:t xml:space="preserve"> </w:t>
      </w:r>
      <w:r w:rsidRPr="003F3B94">
        <w:rPr>
          <w:rFonts w:cs="Times New Roman" w:hint="cs"/>
          <w:sz w:val="28"/>
          <w:rtl/>
        </w:rPr>
        <w:t>–</w:t>
      </w:r>
      <w:r w:rsidRPr="003F3B94">
        <w:rPr>
          <w:rFonts w:ascii="Abo-thar" w:hAnsi="Abo-thar" w:hint="cs"/>
          <w:sz w:val="28"/>
          <w:rtl/>
        </w:rPr>
        <w:t xml:space="preserve"> إن شاء الله </w:t>
      </w:r>
      <w:r w:rsidRPr="003F3B94">
        <w:rPr>
          <w:rFonts w:cs="Times New Roman" w:hint="cs"/>
          <w:sz w:val="28"/>
          <w:rtl/>
        </w:rPr>
        <w:t>–</w:t>
      </w:r>
      <w:r w:rsidRPr="003F3B94">
        <w:rPr>
          <w:rFonts w:ascii="Abo-thar" w:hAnsi="Abo-thar" w:hint="cs"/>
          <w:sz w:val="28"/>
          <w:rtl/>
        </w:rPr>
        <w:t xml:space="preserve"> جميع الناس على وجه الأرض في الإسلام</w:t>
      </w:r>
      <w:r w:rsidR="00217AB4" w:rsidRPr="003F3B94">
        <w:rPr>
          <w:rFonts w:ascii="Abo-thar" w:hAnsi="Abo-thar" w:hint="cs"/>
          <w:sz w:val="28"/>
          <w:rtl/>
        </w:rPr>
        <w:t>،</w:t>
      </w:r>
      <w:r w:rsidRPr="003F3B94">
        <w:rPr>
          <w:rFonts w:ascii="Abo-thar" w:hAnsi="Abo-thar" w:hint="cs"/>
          <w:sz w:val="28"/>
          <w:rtl/>
        </w:rPr>
        <w:t xml:space="preserve"> فإن كلَّ من يدَّعي النسب الشريف عندئذٍ </w:t>
      </w:r>
      <w:r w:rsidR="00217AB4" w:rsidRPr="003F3B94">
        <w:rPr>
          <w:rFonts w:ascii="Abo-thar" w:hAnsi="Abo-thar" w:hint="cs"/>
          <w:sz w:val="28"/>
          <w:rtl/>
        </w:rPr>
        <w:t>-</w:t>
      </w:r>
      <w:r w:rsidRPr="003F3B94">
        <w:rPr>
          <w:rFonts w:ascii="Abo-thar" w:hAnsi="Abo-thar" w:hint="cs"/>
          <w:sz w:val="28"/>
          <w:rtl/>
        </w:rPr>
        <w:t xml:space="preserve"> سواء كان صادقاً في دعواه أم كاذباً </w:t>
      </w:r>
      <w:r w:rsidRPr="003F3B94">
        <w:rPr>
          <w:rFonts w:cs="Times New Roman" w:hint="cs"/>
          <w:sz w:val="28"/>
          <w:rtl/>
        </w:rPr>
        <w:t>–</w:t>
      </w:r>
      <w:r w:rsidRPr="003F3B94">
        <w:rPr>
          <w:rFonts w:ascii="Abo-thar" w:hAnsi="Abo-thar" w:hint="cs"/>
          <w:sz w:val="28"/>
          <w:rtl/>
        </w:rPr>
        <w:t xml:space="preserve"> وهم لا يزيد عددهم اليوم</w:t>
      </w:r>
      <w:r w:rsidR="00147857" w:rsidRPr="003F3B94">
        <w:rPr>
          <w:rFonts w:ascii="Abo-thar" w:hAnsi="Abo-thar" w:hint="cs"/>
          <w:sz w:val="28"/>
          <w:rtl/>
        </w:rPr>
        <w:t xml:space="preserve"> </w:t>
      </w:r>
      <w:r w:rsidRPr="003F3B94">
        <w:rPr>
          <w:rFonts w:ascii="Abo-thar" w:hAnsi="Abo-thar" w:hint="cs"/>
          <w:sz w:val="28"/>
          <w:rtl/>
        </w:rPr>
        <w:t>على ثلاثة ملايين</w:t>
      </w:r>
      <w:r w:rsidR="00217AB4" w:rsidRPr="003F3B94">
        <w:rPr>
          <w:rFonts w:ascii="Abo-thar" w:hAnsi="Abo-thar" w:hint="cs"/>
          <w:sz w:val="28"/>
          <w:rtl/>
        </w:rPr>
        <w:t>،</w:t>
      </w:r>
      <w:r w:rsidRPr="003F3B94">
        <w:rPr>
          <w:rFonts w:ascii="Abo-thar" w:hAnsi="Abo-thar" w:hint="cs"/>
          <w:sz w:val="28"/>
          <w:rtl/>
        </w:rPr>
        <w:t xml:space="preserve"> سيصله بناء على ذلك عدة مئات آلاف من التومانات كل يوم</w:t>
      </w:r>
      <w:r w:rsidR="00217AB4" w:rsidRPr="003F3B94">
        <w:rPr>
          <w:rFonts w:ascii="Abo-thar" w:hAnsi="Abo-thar" w:hint="cs"/>
          <w:sz w:val="28"/>
          <w:rtl/>
        </w:rPr>
        <w:t>!!</w:t>
      </w:r>
      <w:r w:rsidR="00147857" w:rsidRPr="003F3B94">
        <w:rPr>
          <w:rFonts w:ascii="Abo-thar" w:hAnsi="Abo-thar" w:hint="cs"/>
          <w:sz w:val="28"/>
          <w:rtl/>
        </w:rPr>
        <w:t xml:space="preserve"> </w:t>
      </w:r>
      <w:r w:rsidRPr="003F3B94">
        <w:rPr>
          <w:rFonts w:ascii="Abo-thar" w:hAnsi="Abo-thar" w:hint="cs"/>
          <w:sz w:val="28"/>
          <w:rtl/>
        </w:rPr>
        <w:t>ولو أخذنا بعين الاعتبار الناتج الإجمالي لدولة مثل إيران فقط والتي يُعدُّ ناتجها الإجمالي متوسطاً بالنسبة إلى ناتج البلدان الإسلامية الأخرى</w:t>
      </w:r>
      <w:r w:rsidR="00217AB4" w:rsidRPr="003F3B94">
        <w:rPr>
          <w:rFonts w:ascii="Abo-thar" w:hAnsi="Abo-thar" w:hint="cs"/>
          <w:sz w:val="28"/>
          <w:rtl/>
        </w:rPr>
        <w:t>،</w:t>
      </w:r>
      <w:r w:rsidRPr="003F3B94">
        <w:rPr>
          <w:rFonts w:ascii="Abo-thar" w:hAnsi="Abo-thar" w:hint="cs"/>
          <w:sz w:val="28"/>
          <w:rtl/>
        </w:rPr>
        <w:t xml:space="preserve"> في حين أن فيها سادة من بني هاشم أكثر مما في أي بلد آخر</w:t>
      </w:r>
      <w:r w:rsidR="00217AB4" w:rsidRPr="003F3B94">
        <w:rPr>
          <w:rFonts w:ascii="Abo-thar" w:hAnsi="Abo-thar" w:hint="cs"/>
          <w:sz w:val="28"/>
          <w:rtl/>
        </w:rPr>
        <w:t>،</w:t>
      </w:r>
      <w:r w:rsidR="00147857" w:rsidRPr="003F3B94">
        <w:rPr>
          <w:rFonts w:ascii="Abo-thar" w:hAnsi="Abo-thar" w:hint="cs"/>
          <w:sz w:val="28"/>
          <w:rtl/>
        </w:rPr>
        <w:t xml:space="preserve"> </w:t>
      </w:r>
      <w:r w:rsidRPr="003F3B94">
        <w:rPr>
          <w:rFonts w:ascii="Abo-thar" w:hAnsi="Abo-thar" w:hint="cs"/>
          <w:sz w:val="28"/>
          <w:rtl/>
        </w:rPr>
        <w:t>وأعطينا أولئك السادة</w:t>
      </w:r>
      <w:r w:rsidR="00147857" w:rsidRPr="003F3B94">
        <w:rPr>
          <w:rFonts w:ascii="Abo-thar" w:hAnsi="Abo-thar" w:hint="cs"/>
          <w:sz w:val="28"/>
          <w:rtl/>
        </w:rPr>
        <w:t xml:space="preserve"> </w:t>
      </w:r>
      <w:r w:rsidRPr="003F3B94">
        <w:rPr>
          <w:rFonts w:ascii="Abo-thar" w:hAnsi="Abo-thar" w:hint="cs"/>
          <w:sz w:val="28"/>
          <w:rtl/>
        </w:rPr>
        <w:t>خمس المعادن والكنوز وسائر أرباح المكاسب التي جعلها الفقهاء مشمولة بحكم الخمس</w:t>
      </w:r>
      <w:r w:rsidR="00217AB4" w:rsidRPr="003F3B94">
        <w:rPr>
          <w:rFonts w:ascii="Abo-thar" w:hAnsi="Abo-thar" w:hint="cs"/>
          <w:sz w:val="28"/>
          <w:rtl/>
        </w:rPr>
        <w:t>،</w:t>
      </w:r>
      <w:r w:rsidRPr="003F3B94">
        <w:rPr>
          <w:rFonts w:ascii="Abo-thar" w:hAnsi="Abo-thar" w:hint="cs"/>
          <w:sz w:val="28"/>
          <w:rtl/>
        </w:rPr>
        <w:t xml:space="preserve"> هذا ما عدا خمس غنائم الحرب التي لم يعد لها وجودٌ اليوم</w:t>
      </w:r>
      <w:r w:rsidR="00217AB4" w:rsidRPr="003F3B94">
        <w:rPr>
          <w:rFonts w:ascii="Abo-thar" w:hAnsi="Abo-thar" w:hint="cs"/>
          <w:sz w:val="28"/>
          <w:rtl/>
        </w:rPr>
        <w:t>،</w:t>
      </w:r>
      <w:r w:rsidRPr="003F3B94">
        <w:rPr>
          <w:rFonts w:ascii="Abo-thar" w:hAnsi="Abo-thar" w:hint="cs"/>
          <w:sz w:val="28"/>
          <w:rtl/>
        </w:rPr>
        <w:t xml:space="preserve"> لَنَالَ كل سيِّد منسوب للنبيّ ألف تومان على الأقل في اليوم الواحد</w:t>
      </w:r>
      <w:r w:rsidR="00217AB4" w:rsidRPr="003F3B94">
        <w:rPr>
          <w:rFonts w:ascii="Abo-thar" w:hAnsi="Abo-thar" w:hint="cs"/>
          <w:sz w:val="28"/>
          <w:rtl/>
        </w:rPr>
        <w:t>،</w:t>
      </w:r>
      <w:r w:rsidRPr="003F3B94">
        <w:rPr>
          <w:rFonts w:ascii="Abo-thar" w:hAnsi="Abo-thar" w:hint="cs"/>
          <w:sz w:val="28"/>
          <w:rtl/>
        </w:rPr>
        <w:t xml:space="preserve"> هذا علاوة على أن هؤلاء السادة يستطيعون </w:t>
      </w:r>
      <w:r w:rsidR="002834A4" w:rsidRPr="003F3B94">
        <w:rPr>
          <w:rFonts w:ascii="Abo-thar" w:hAnsi="Abo-thar" w:hint="cs"/>
          <w:sz w:val="28"/>
          <w:rtl/>
        </w:rPr>
        <w:t>الاستفادة</w:t>
      </w:r>
      <w:r w:rsidRPr="003F3B94">
        <w:rPr>
          <w:rFonts w:ascii="Abo-thar" w:hAnsi="Abo-thar" w:hint="cs"/>
          <w:sz w:val="28"/>
          <w:rtl/>
        </w:rPr>
        <w:t xml:space="preserve"> أيضاً من زكاة الهاشميين أمثالهم</w:t>
      </w:r>
      <w:r w:rsidR="00217AB4" w:rsidRPr="003F3B94">
        <w:rPr>
          <w:rFonts w:ascii="Abo-thar" w:hAnsi="Abo-thar" w:hint="cs"/>
          <w:sz w:val="28"/>
          <w:rtl/>
        </w:rPr>
        <w:t>،</w:t>
      </w:r>
      <w:r w:rsidR="002834A4" w:rsidRPr="003F3B94">
        <w:rPr>
          <w:rFonts w:ascii="Abo-thar" w:hAnsi="Abo-thar" w:hint="cs"/>
          <w:sz w:val="28"/>
          <w:rtl/>
        </w:rPr>
        <w:t xml:space="preserve"> بل يستطيعون</w:t>
      </w:r>
      <w:r w:rsidRPr="003F3B94">
        <w:rPr>
          <w:rFonts w:ascii="Abo-thar" w:hAnsi="Abo-thar" w:hint="cs"/>
          <w:sz w:val="28"/>
          <w:rtl/>
        </w:rPr>
        <w:t xml:space="preserve"> عند الضرورة </w:t>
      </w:r>
      <w:r w:rsidR="002834A4" w:rsidRPr="003F3B94">
        <w:rPr>
          <w:rFonts w:ascii="Abo-thar" w:hAnsi="Abo-thar" w:hint="cs"/>
          <w:sz w:val="28"/>
          <w:rtl/>
        </w:rPr>
        <w:t>الاستفادة</w:t>
      </w:r>
      <w:r w:rsidRPr="003F3B94">
        <w:rPr>
          <w:rFonts w:ascii="Abo-thar" w:hAnsi="Abo-thar" w:hint="cs"/>
          <w:sz w:val="28"/>
          <w:rtl/>
        </w:rPr>
        <w:t xml:space="preserve"> من زكاة غير السادة أي غير الهاشميين أيضاً</w:t>
      </w:r>
      <w:r w:rsidR="00217AB4" w:rsidRPr="003F3B94">
        <w:rPr>
          <w:rFonts w:ascii="Abo-thar" w:hAnsi="Abo-thar" w:hint="cs"/>
          <w:sz w:val="28"/>
          <w:rtl/>
        </w:rPr>
        <w:t>.</w:t>
      </w:r>
    </w:p>
    <w:p w:rsidR="005C664D" w:rsidRPr="00995B26" w:rsidRDefault="005C664D" w:rsidP="00F31172">
      <w:pPr>
        <w:pStyle w:val="a0"/>
        <w:rPr>
          <w:rFonts w:hint="cs"/>
          <w:rtl/>
        </w:rPr>
      </w:pPr>
      <w:r w:rsidRPr="003F3B94">
        <w:rPr>
          <w:rFonts w:ascii="Abo-thar" w:hAnsi="Abo-thar" w:hint="cs"/>
          <w:sz w:val="28"/>
          <w:rtl/>
          <w:lang w:bidi="ar-SY"/>
        </w:rPr>
        <w:t>حقاً ما هذا الميراث الذي تركه نبي الإسلام</w:t>
      </w:r>
      <w:r w:rsidR="001E0DB7" w:rsidRPr="003F3B94">
        <w:rPr>
          <w:rFonts w:ascii="Abo-thar" w:hAnsi="Abo-thar" w:hint="cs"/>
          <w:sz w:val="28"/>
          <w:rtl/>
          <w:lang w:bidi="ar-SY"/>
        </w:rPr>
        <w:t>،</w:t>
      </w:r>
      <w:r w:rsidRPr="003F3B94">
        <w:rPr>
          <w:rFonts w:ascii="Abo-thar" w:hAnsi="Abo-thar" w:hint="cs"/>
          <w:sz w:val="28"/>
          <w:rtl/>
          <w:lang w:bidi="ar-SY"/>
        </w:rPr>
        <w:t xml:space="preserve"> نبي الرحمة</w:t>
      </w:r>
      <w:r w:rsidR="001E0DB7" w:rsidRPr="003F3B94">
        <w:rPr>
          <w:rFonts w:ascii="Abo-thar" w:hAnsi="Abo-thar" w:hint="cs"/>
          <w:sz w:val="28"/>
          <w:rtl/>
          <w:lang w:bidi="ar-SY"/>
        </w:rPr>
        <w:t>،</w:t>
      </w:r>
      <w:r w:rsidRPr="003F3B94">
        <w:rPr>
          <w:rFonts w:ascii="Abo-thar" w:hAnsi="Abo-thar" w:hint="cs"/>
          <w:sz w:val="28"/>
          <w:rtl/>
          <w:lang w:bidi="ar-SY"/>
        </w:rPr>
        <w:t xml:space="preserve"> النبي الذي لا يسأل على رسالته أجراً</w:t>
      </w:r>
      <w:r w:rsidR="001E0DB7" w:rsidRPr="003F3B94">
        <w:rPr>
          <w:rFonts w:ascii="Abo-thar" w:hAnsi="Abo-thar" w:hint="cs"/>
          <w:sz w:val="28"/>
          <w:rtl/>
          <w:lang w:bidi="ar-SY"/>
        </w:rPr>
        <w:t>،</w:t>
      </w:r>
      <w:r w:rsidRPr="003F3B94">
        <w:rPr>
          <w:rFonts w:ascii="Abo-thar" w:hAnsi="Abo-thar" w:hint="cs"/>
          <w:sz w:val="28"/>
          <w:rtl/>
          <w:lang w:bidi="ar-SY"/>
        </w:rPr>
        <w:t xml:space="preserve"> لآله وذوي قرابته</w:t>
      </w:r>
      <w:r w:rsidR="00F31172">
        <w:rPr>
          <w:rFonts w:ascii="Abo-thar" w:hAnsi="Abo-thar" w:hint="cs"/>
          <w:sz w:val="28"/>
          <w:rtl/>
          <w:lang w:bidi="ar-SY"/>
        </w:rPr>
        <w:t>؟!</w:t>
      </w:r>
      <w:r w:rsidR="00147857" w:rsidRPr="003F3B94">
        <w:rPr>
          <w:rFonts w:ascii="Abo-thar" w:hAnsi="Abo-thar" w:hint="cs"/>
          <w:sz w:val="28"/>
          <w:rtl/>
          <w:lang w:bidi="ar-SY"/>
        </w:rPr>
        <w:t xml:space="preserve"> </w:t>
      </w:r>
      <w:r w:rsidRPr="003F3B94">
        <w:rPr>
          <w:rFonts w:ascii="Abo-thar" w:hAnsi="Abo-thar" w:hint="cs"/>
          <w:sz w:val="28"/>
          <w:rtl/>
          <w:lang w:bidi="ar-SY"/>
        </w:rPr>
        <w:t>هذا مع أنه بنص آيات القرآن كان يجب ألا يسأل أحداً أجراً</w:t>
      </w:r>
      <w:r w:rsidR="00147857" w:rsidRPr="003F3B94">
        <w:rPr>
          <w:rFonts w:ascii="Abo-thar" w:hAnsi="Abo-thar" w:hint="cs"/>
          <w:sz w:val="28"/>
          <w:rtl/>
          <w:lang w:bidi="ar-SY"/>
        </w:rPr>
        <w:t xml:space="preserve"> و</w:t>
      </w:r>
      <w:r w:rsidRPr="003F3B94">
        <w:rPr>
          <w:rFonts w:ascii="Abo-thar" w:hAnsi="Abo-thar" w:hint="cs"/>
          <w:sz w:val="28"/>
          <w:rtl/>
          <w:lang w:bidi="ar-SY"/>
        </w:rPr>
        <w:t>مالاً</w:t>
      </w:r>
      <w:r w:rsidR="00217AB4" w:rsidRPr="003F3B94">
        <w:rPr>
          <w:rFonts w:ascii="Abo-thar" w:hAnsi="Abo-thar" w:hint="cs"/>
          <w:sz w:val="28"/>
          <w:rtl/>
          <w:lang w:bidi="ar-SY"/>
        </w:rPr>
        <w:t>،</w:t>
      </w:r>
      <w:r w:rsidR="00147857" w:rsidRPr="003F3B94">
        <w:rPr>
          <w:rFonts w:ascii="Abo-thar" w:hAnsi="Abo-thar" w:hint="cs"/>
          <w:sz w:val="28"/>
          <w:rtl/>
          <w:lang w:bidi="ar-SY"/>
        </w:rPr>
        <w:t xml:space="preserve"> و</w:t>
      </w:r>
      <w:r w:rsidRPr="003F3B94">
        <w:rPr>
          <w:rFonts w:ascii="Abo-thar" w:hAnsi="Abo-thar" w:hint="cs"/>
          <w:sz w:val="28"/>
          <w:rtl/>
          <w:lang w:bidi="ar-SY"/>
        </w:rPr>
        <w:t>هو لم يسأل أحداً فعلاً</w:t>
      </w:r>
      <w:r w:rsidR="00217AB4" w:rsidRPr="003F3B94">
        <w:rPr>
          <w:rFonts w:ascii="Abo-thar" w:hAnsi="Abo-thar" w:hint="cs"/>
          <w:sz w:val="28"/>
          <w:rtl/>
          <w:lang w:bidi="ar-SY"/>
        </w:rPr>
        <w:t>،</w:t>
      </w:r>
      <w:r w:rsidRPr="003F3B94">
        <w:rPr>
          <w:rFonts w:ascii="Abo-thar" w:hAnsi="Abo-thar" w:hint="cs"/>
          <w:sz w:val="28"/>
          <w:rtl/>
          <w:lang w:bidi="ar-SY"/>
        </w:rPr>
        <w:t xml:space="preserve"> فما هذا المال إذن الذي طالب به وسأله </w:t>
      </w:r>
      <w:r w:rsidR="00217AB4" w:rsidRPr="003F3B94">
        <w:rPr>
          <w:rFonts w:ascii="Abo-thar" w:hAnsi="Abo-thar" w:hint="cs"/>
          <w:sz w:val="28"/>
          <w:rtl/>
          <w:lang w:bidi="ar-SY"/>
        </w:rPr>
        <w:t>(</w:t>
      </w:r>
      <w:r w:rsidRPr="003F3B94">
        <w:rPr>
          <w:rFonts w:ascii="Abo-thar" w:hAnsi="Abo-thar" w:hint="cs"/>
          <w:sz w:val="28"/>
          <w:rtl/>
          <w:lang w:bidi="ar-SY"/>
        </w:rPr>
        <w:t>هذا إن كان قد طالب بشيء فعلاً</w:t>
      </w:r>
      <w:r w:rsidR="00217AB4" w:rsidRPr="003F3B94">
        <w:rPr>
          <w:rFonts w:ascii="Abo-thar" w:hAnsi="Abo-thar" w:hint="cs"/>
          <w:sz w:val="28"/>
          <w:rtl/>
          <w:lang w:bidi="ar-SY"/>
        </w:rPr>
        <w:t>)؟!...</w:t>
      </w:r>
      <w:r w:rsidRPr="003F3B94">
        <w:rPr>
          <w:rFonts w:ascii="Abo-thar" w:hAnsi="Abo-thar" w:hint="cs"/>
          <w:sz w:val="28"/>
          <w:rtl/>
          <w:lang w:bidi="ar-SY"/>
        </w:rPr>
        <w:t xml:space="preserve"> أيُّ ملك جبار أو جنكيز سفاك ترك مثل هذا الميراث لقرابته وذريته</w:t>
      </w:r>
      <w:r w:rsidR="00217AB4" w:rsidRPr="003F3B94">
        <w:rPr>
          <w:rFonts w:ascii="Abo-thar" w:hAnsi="Abo-thar" w:hint="cs"/>
          <w:sz w:val="28"/>
          <w:rtl/>
          <w:lang w:bidi="ar-SY"/>
        </w:rPr>
        <w:t>؟!</w:t>
      </w:r>
      <w:r w:rsidRPr="003F3B94">
        <w:rPr>
          <w:rFonts w:ascii="Abo-thar" w:hAnsi="Abo-thar" w:hint="cs"/>
          <w:sz w:val="28"/>
          <w:rtl/>
          <w:lang w:bidi="ar-SY"/>
        </w:rPr>
        <w:t xml:space="preserve"> وبمعزل عن الأنبياء وحتى الملوك</w:t>
      </w:r>
      <w:r w:rsidR="00217AB4" w:rsidRPr="003F3B94">
        <w:rPr>
          <w:rFonts w:ascii="Abo-thar" w:hAnsi="Abo-thar" w:hint="cs"/>
          <w:sz w:val="28"/>
          <w:rtl/>
          <w:lang w:bidi="ar-SY"/>
        </w:rPr>
        <w:t>!</w:t>
      </w:r>
      <w:r w:rsidRPr="003F3B94">
        <w:rPr>
          <w:rFonts w:ascii="Abo-thar" w:hAnsi="Abo-thar" w:hint="cs"/>
          <w:sz w:val="28"/>
          <w:rtl/>
          <w:lang w:bidi="ar-SY"/>
        </w:rPr>
        <w:t xml:space="preserve"> هل ترك فرعون ونمرود وشداد الذين كانوا يدَّعون الإلهي</w:t>
      </w:r>
      <w:r w:rsidRPr="003F3B94">
        <w:rPr>
          <w:rFonts w:ascii="Abo-thar" w:hAnsi="Abo-thar" w:hint="eastAsia"/>
          <w:sz w:val="28"/>
          <w:rtl/>
          <w:lang w:bidi="ar-SY"/>
        </w:rPr>
        <w:t>ة</w:t>
      </w:r>
      <w:r w:rsidRPr="003F3B94">
        <w:rPr>
          <w:rFonts w:ascii="Abo-thar" w:hAnsi="Abo-thar" w:hint="cs"/>
          <w:sz w:val="28"/>
          <w:rtl/>
          <w:lang w:bidi="ar-SY"/>
        </w:rPr>
        <w:t xml:space="preserve"> مثل هذا الميراث لأحفادهم ذراريهم</w:t>
      </w:r>
      <w:r w:rsidR="00217AB4" w:rsidRPr="003F3B94">
        <w:rPr>
          <w:rFonts w:ascii="Abo-thar" w:hAnsi="Abo-thar" w:hint="cs"/>
          <w:sz w:val="28"/>
          <w:rtl/>
          <w:lang w:bidi="ar-SY"/>
        </w:rPr>
        <w:t>؟</w:t>
      </w:r>
      <w:r w:rsidRPr="003F3B94">
        <w:rPr>
          <w:rFonts w:ascii="Abo-thar" w:hAnsi="Abo-thar" w:hint="cs"/>
          <w:sz w:val="28"/>
          <w:rtl/>
          <w:lang w:bidi="ar-SY"/>
        </w:rPr>
        <w:t xml:space="preserve"> </w:t>
      </w:r>
      <w:r w:rsidRPr="003F3B94">
        <w:rPr>
          <w:rFonts w:ascii="Abo-thar" w:hAnsi="Abo-thar" w:hint="cs"/>
          <w:b/>
          <w:bCs/>
          <w:sz w:val="28"/>
          <w:rtl/>
          <w:lang w:bidi="ar-SY"/>
        </w:rPr>
        <w:t>نعوذ بالله هذا بهتان عظيم</w:t>
      </w:r>
      <w:r w:rsidR="00F31172">
        <w:rPr>
          <w:rFonts w:ascii="Abo-thar" w:hAnsi="Abo-thar" w:hint="cs"/>
          <w:sz w:val="28"/>
          <w:rtl/>
          <w:lang w:bidi="ar-SY"/>
        </w:rPr>
        <w:t>.</w:t>
      </w:r>
      <w:r w:rsidRPr="003F3B94">
        <w:rPr>
          <w:rFonts w:ascii="Abo-thar" w:hAnsi="Abo-thar" w:hint="cs"/>
          <w:sz w:val="28"/>
          <w:rtl/>
          <w:lang w:bidi="ar-SY"/>
        </w:rPr>
        <w:t xml:space="preserve"> ما أبشع هذه التهمة الكبيرة والبهتان العظيم الذي رموا به نبي الإسلام الكريم حتى نسبوا إليه ما يجعله من أكبر جبابرة الدنيا</w:t>
      </w:r>
      <w:r w:rsidR="00217AB4" w:rsidRPr="003F3B94">
        <w:rPr>
          <w:rFonts w:ascii="Abo-thar" w:hAnsi="Abo-thar" w:hint="cs"/>
          <w:sz w:val="28"/>
          <w:rtl/>
          <w:lang w:bidi="ar-SY"/>
        </w:rPr>
        <w:t>؟</w:t>
      </w:r>
      <w:r w:rsidRPr="003F3B94">
        <w:rPr>
          <w:rFonts w:ascii="Abo-thar" w:hAnsi="Abo-thar" w:hint="cs"/>
          <w:sz w:val="28"/>
          <w:rtl/>
          <w:lang w:bidi="ar-SY"/>
        </w:rPr>
        <w:t xml:space="preserve"> أليس هو نبي الإسلام ذاك الذي جاء في أكثر من ثمان آيات في القرآن أنه نادى قائلاً</w:t>
      </w:r>
      <w:r w:rsidR="00217AB4" w:rsidRPr="003F3B94">
        <w:rPr>
          <w:rFonts w:ascii="Abo-thar" w:hAnsi="Abo-thar" w:hint="cs"/>
          <w:sz w:val="28"/>
          <w:rtl/>
          <w:lang w:bidi="ar-SY"/>
        </w:rPr>
        <w:t>:</w:t>
      </w:r>
      <w:r w:rsidRPr="003F3B94">
        <w:rPr>
          <w:rFonts w:ascii="Abo-thar" w:hAnsi="Abo-thar" w:hint="cs"/>
          <w:sz w:val="28"/>
          <w:rtl/>
          <w:lang w:bidi="ar-SY"/>
        </w:rPr>
        <w:t xml:space="preserve"> </w:t>
      </w:r>
      <w:r w:rsidR="006C78B4" w:rsidRPr="00995B26">
        <w:rPr>
          <w:rFonts w:ascii="Abo-thar" w:hAnsi="Abo-thar" w:cs="Traditional Arabic" w:hint="cs"/>
          <w:sz w:val="28"/>
          <w:rtl/>
          <w:lang w:bidi="ar-SY"/>
        </w:rPr>
        <w:t>﴿</w:t>
      </w:r>
      <w:r w:rsidR="006C78B4" w:rsidRPr="0067048A">
        <w:rPr>
          <w:rFonts w:ascii="KFGQPC Uthmanic Script HAFS" w:cs="KFGQPC Uthmanic Script HAFS" w:hint="eastAsia"/>
          <w:sz w:val="28"/>
          <w:szCs w:val="28"/>
          <w:rtl/>
        </w:rPr>
        <w:t>قُل</w:t>
      </w:r>
      <w:r w:rsidR="006C78B4" w:rsidRPr="0067048A">
        <w:rPr>
          <w:rFonts w:ascii="KFGQPC Uthmanic Script HAFS" w:cs="KFGQPC Uthmanic Script HAFS"/>
          <w:sz w:val="28"/>
          <w:szCs w:val="28"/>
          <w:rtl/>
        </w:rPr>
        <w:t xml:space="preserve"> </w:t>
      </w:r>
      <w:r w:rsidR="006C78B4" w:rsidRPr="0067048A">
        <w:rPr>
          <w:rFonts w:ascii="KFGQPC Uthmanic Script HAFS" w:cs="KFGQPC Uthmanic Script HAFS" w:hint="eastAsia"/>
          <w:sz w:val="28"/>
          <w:szCs w:val="28"/>
          <w:rtl/>
        </w:rPr>
        <w:t>لَّا</w:t>
      </w:r>
      <w:r w:rsidR="006C78B4" w:rsidRPr="0067048A">
        <w:rPr>
          <w:rFonts w:ascii="KFGQPC Uthmanic Script HAFS" w:cs="KFGQPC Uthmanic Script HAFS" w:hint="cs"/>
          <w:sz w:val="28"/>
          <w:szCs w:val="28"/>
          <w:rtl/>
        </w:rPr>
        <w:t>ٓ</w:t>
      </w:r>
      <w:r w:rsidR="006C78B4" w:rsidRPr="0067048A">
        <w:rPr>
          <w:rFonts w:ascii="KFGQPC Uthmanic Script HAFS" w:cs="KFGQPC Uthmanic Script HAFS"/>
          <w:sz w:val="28"/>
          <w:szCs w:val="28"/>
          <w:rtl/>
        </w:rPr>
        <w:t xml:space="preserve"> </w:t>
      </w:r>
      <w:r w:rsidR="006C78B4" w:rsidRPr="0067048A">
        <w:rPr>
          <w:rFonts w:ascii="KFGQPC Uthmanic Script HAFS" w:cs="KFGQPC Uthmanic Script HAFS" w:hint="eastAsia"/>
          <w:sz w:val="28"/>
          <w:szCs w:val="28"/>
          <w:rtl/>
        </w:rPr>
        <w:t>أَس</w:t>
      </w:r>
      <w:r w:rsidR="006C78B4" w:rsidRPr="0067048A">
        <w:rPr>
          <w:rFonts w:ascii="KFGQPC Uthmanic Script HAFS" w:cs="KFGQPC Uthmanic Script HAFS" w:hint="cs"/>
          <w:sz w:val="28"/>
          <w:szCs w:val="28"/>
          <w:rtl/>
        </w:rPr>
        <w:t>ۡ</w:t>
      </w:r>
      <w:r w:rsidR="006C78B4" w:rsidRPr="0067048A">
        <w:rPr>
          <w:rFonts w:ascii="KFGQPC Uthmanic Script HAFS" w:cs="KFGQPC Uthmanic Script HAFS" w:hint="eastAsia"/>
          <w:sz w:val="28"/>
          <w:szCs w:val="28"/>
          <w:rtl/>
        </w:rPr>
        <w:t>‍</w:t>
      </w:r>
      <w:r w:rsidR="006C78B4" w:rsidRPr="0067048A">
        <w:rPr>
          <w:rFonts w:ascii="KFGQPC Uthmanic Script HAFS" w:cs="KFGQPC Uthmanic Script HAFS" w:hint="cs"/>
          <w:sz w:val="28"/>
          <w:szCs w:val="28"/>
          <w:rtl/>
        </w:rPr>
        <w:t>ٔ</w:t>
      </w:r>
      <w:r w:rsidR="006C78B4" w:rsidRPr="0067048A">
        <w:rPr>
          <w:rFonts w:ascii="KFGQPC Uthmanic Script HAFS" w:cs="KFGQPC Uthmanic Script HAFS" w:hint="eastAsia"/>
          <w:sz w:val="28"/>
          <w:szCs w:val="28"/>
          <w:rtl/>
        </w:rPr>
        <w:t>َلُكُم</w:t>
      </w:r>
      <w:r w:rsidR="006C78B4" w:rsidRPr="0067048A">
        <w:rPr>
          <w:rFonts w:ascii="KFGQPC Uthmanic Script HAFS" w:cs="KFGQPC Uthmanic Script HAFS" w:hint="cs"/>
          <w:sz w:val="28"/>
          <w:szCs w:val="28"/>
          <w:rtl/>
        </w:rPr>
        <w:t>ۡ</w:t>
      </w:r>
      <w:r w:rsidR="006C78B4" w:rsidRPr="0067048A">
        <w:rPr>
          <w:rFonts w:ascii="KFGQPC Uthmanic Script HAFS" w:cs="KFGQPC Uthmanic Script HAFS"/>
          <w:sz w:val="28"/>
          <w:szCs w:val="28"/>
          <w:rtl/>
        </w:rPr>
        <w:t xml:space="preserve"> </w:t>
      </w:r>
      <w:r w:rsidR="006C78B4" w:rsidRPr="0067048A">
        <w:rPr>
          <w:rFonts w:ascii="KFGQPC Uthmanic Script HAFS" w:cs="KFGQPC Uthmanic Script HAFS" w:hint="eastAsia"/>
          <w:sz w:val="28"/>
          <w:szCs w:val="28"/>
          <w:rtl/>
        </w:rPr>
        <w:t>عَلَي</w:t>
      </w:r>
      <w:r w:rsidR="006C78B4" w:rsidRPr="0067048A">
        <w:rPr>
          <w:rFonts w:ascii="KFGQPC Uthmanic Script HAFS" w:cs="KFGQPC Uthmanic Script HAFS" w:hint="cs"/>
          <w:sz w:val="28"/>
          <w:szCs w:val="28"/>
          <w:rtl/>
        </w:rPr>
        <w:t>ۡ</w:t>
      </w:r>
      <w:r w:rsidR="006C78B4" w:rsidRPr="0067048A">
        <w:rPr>
          <w:rFonts w:ascii="KFGQPC Uthmanic Script HAFS" w:cs="KFGQPC Uthmanic Script HAFS" w:hint="eastAsia"/>
          <w:sz w:val="28"/>
          <w:szCs w:val="28"/>
          <w:rtl/>
        </w:rPr>
        <w:t>هِ</w:t>
      </w:r>
      <w:r w:rsidR="006C78B4" w:rsidRPr="0067048A">
        <w:rPr>
          <w:rFonts w:ascii="KFGQPC Uthmanic Script HAFS" w:cs="KFGQPC Uthmanic Script HAFS"/>
          <w:sz w:val="28"/>
          <w:szCs w:val="28"/>
          <w:rtl/>
        </w:rPr>
        <w:t xml:space="preserve"> </w:t>
      </w:r>
      <w:r w:rsidR="006C78B4" w:rsidRPr="0067048A">
        <w:rPr>
          <w:rFonts w:ascii="KFGQPC Uthmanic Script HAFS" w:cs="KFGQPC Uthmanic Script HAFS" w:hint="eastAsia"/>
          <w:sz w:val="28"/>
          <w:szCs w:val="28"/>
          <w:rtl/>
        </w:rPr>
        <w:t>أَج</w:t>
      </w:r>
      <w:r w:rsidR="006C78B4" w:rsidRPr="0067048A">
        <w:rPr>
          <w:rFonts w:ascii="KFGQPC Uthmanic Script HAFS" w:cs="KFGQPC Uthmanic Script HAFS" w:hint="cs"/>
          <w:sz w:val="28"/>
          <w:szCs w:val="28"/>
          <w:rtl/>
        </w:rPr>
        <w:t>ۡ</w:t>
      </w:r>
      <w:r w:rsidR="006C78B4" w:rsidRPr="0067048A">
        <w:rPr>
          <w:rFonts w:ascii="KFGQPC Uthmanic Script HAFS" w:cs="KFGQPC Uthmanic Script HAFS" w:hint="eastAsia"/>
          <w:sz w:val="28"/>
          <w:szCs w:val="28"/>
          <w:rtl/>
        </w:rPr>
        <w:t>رًا</w:t>
      </w:r>
      <w:r w:rsidR="006C78B4" w:rsidRPr="00995B26">
        <w:rPr>
          <w:rFonts w:ascii="KFGQPC Uthmanic Script HAFS" w:cs="Times New Roman" w:hint="cs"/>
          <w:sz w:val="28"/>
          <w:rtl/>
        </w:rPr>
        <w:t>...</w:t>
      </w:r>
      <w:r w:rsidR="006C78B4" w:rsidRPr="00995B26">
        <w:rPr>
          <w:rFonts w:ascii="Abo-thar" w:hAnsi="Abo-thar" w:cs="Traditional Arabic" w:hint="cs"/>
          <w:sz w:val="28"/>
          <w:rtl/>
          <w:lang w:bidi="ar-SY"/>
        </w:rPr>
        <w:t>﴾</w:t>
      </w:r>
      <w:r w:rsidR="00217AB4" w:rsidRPr="00995B26">
        <w:rPr>
          <w:rFonts w:hint="cs"/>
          <w:sz w:val="28"/>
          <w:rtl/>
        </w:rPr>
        <w:t>؟!</w:t>
      </w:r>
      <w:r w:rsidR="006C78B4" w:rsidRPr="00995B26">
        <w:rPr>
          <w:rFonts w:hint="cs"/>
          <w:sz w:val="28"/>
          <w:rtl/>
        </w:rPr>
        <w:t>.</w:t>
      </w:r>
    </w:p>
    <w:p w:rsidR="003D6690" w:rsidRPr="00995B26" w:rsidRDefault="003D6690" w:rsidP="007D2B8A">
      <w:pPr>
        <w:pStyle w:val="a5"/>
        <w:rPr>
          <w:rFonts w:hint="cs"/>
          <w:rtl/>
        </w:rPr>
      </w:pPr>
      <w:bookmarkStart w:id="87" w:name="_Toc387843065"/>
      <w:r w:rsidRPr="00995B26">
        <w:rPr>
          <w:rFonts w:hint="cs"/>
          <w:rtl/>
        </w:rPr>
        <w:t>1- غِـنَى الأنبياء عن الأجر المادي</w:t>
      </w:r>
      <w:bookmarkEnd w:id="87"/>
    </w:p>
    <w:p w:rsidR="003D6690" w:rsidRPr="00995B26" w:rsidRDefault="005C664D" w:rsidP="003F3B94">
      <w:pPr>
        <w:pStyle w:val="a0"/>
        <w:rPr>
          <w:rFonts w:hint="cs"/>
          <w:rtl/>
        </w:rPr>
      </w:pPr>
      <w:r w:rsidRPr="003F3B94">
        <w:rPr>
          <w:rFonts w:hint="cs"/>
          <w:sz w:val="28"/>
          <w:rtl/>
        </w:rPr>
        <w:t>أساساً إن من خصائص جميع أنبياء الله بل كلِّ داعٍ محقٍّ ومبلِّغٍ صادقٍ أن لا</w:t>
      </w:r>
      <w:r w:rsidRPr="003F3B94">
        <w:rPr>
          <w:rFonts w:cs="Times New Roman" w:hint="cs"/>
          <w:sz w:val="28"/>
          <w:rtl/>
        </w:rPr>
        <w:t> </w:t>
      </w:r>
      <w:r w:rsidRPr="003F3B94">
        <w:rPr>
          <w:rFonts w:hint="cs"/>
          <w:sz w:val="28"/>
          <w:rtl/>
        </w:rPr>
        <w:t>يطلب من الناس أي مال أو جاه أو متاع على دعوته ورسالته</w:t>
      </w:r>
      <w:r w:rsidR="00217AB4" w:rsidRPr="003F3B94">
        <w:rPr>
          <w:rFonts w:hint="cs"/>
          <w:sz w:val="28"/>
          <w:rtl/>
        </w:rPr>
        <w:t>،</w:t>
      </w:r>
      <w:r w:rsidRPr="003F3B94">
        <w:rPr>
          <w:rFonts w:hint="cs"/>
          <w:sz w:val="28"/>
          <w:rtl/>
        </w:rPr>
        <w:t xml:space="preserve"> وينبغي أن يكون الأمر كذلك</w:t>
      </w:r>
      <w:r w:rsidR="00217AB4" w:rsidRPr="003F3B94">
        <w:rPr>
          <w:rFonts w:hint="cs"/>
          <w:sz w:val="28"/>
          <w:rtl/>
        </w:rPr>
        <w:t>،</w:t>
      </w:r>
      <w:r w:rsidRPr="003F3B94">
        <w:rPr>
          <w:rFonts w:hint="cs"/>
          <w:sz w:val="28"/>
          <w:rtl/>
        </w:rPr>
        <w:t xml:space="preserve"> لأن مال الدنيا هو مطلوب أهل الدنيا ومحبوبهم</w:t>
      </w:r>
      <w:r w:rsidR="00217AB4" w:rsidRPr="003F3B94">
        <w:rPr>
          <w:rFonts w:hint="cs"/>
          <w:sz w:val="28"/>
          <w:rtl/>
        </w:rPr>
        <w:t>،</w:t>
      </w:r>
      <w:r w:rsidRPr="003F3B94">
        <w:rPr>
          <w:rFonts w:hint="cs"/>
          <w:sz w:val="28"/>
          <w:rtl/>
        </w:rPr>
        <w:t xml:space="preserve"> وكلّ شخص في أي مكان في الدنيا إنما يتحرك ويسعى عادة للحصول على مال الدنيا</w:t>
      </w:r>
      <w:r w:rsidR="00217AB4" w:rsidRPr="003F3B94">
        <w:rPr>
          <w:rFonts w:hint="cs"/>
          <w:sz w:val="28"/>
          <w:rtl/>
        </w:rPr>
        <w:t>؟</w:t>
      </w:r>
      <w:r w:rsidRPr="003F3B94">
        <w:rPr>
          <w:rFonts w:hint="cs"/>
          <w:sz w:val="28"/>
          <w:rtl/>
        </w:rPr>
        <w:t xml:space="preserve"> فإذا التَفَتَ أنبياء الله في تبليغهم لرسالة الله أدنى التفات إلى ما بأيدي الناس من أموال لاتهمهم الناس فوراً بأن قصدهم من رسالتهم ليس سوى جمع المال وأن هدفهم هو الهدف العام ذاته الذي يسعى إليه أرباب الطمع الذين يريدون أن يجمعوا الثروة دون تعب</w:t>
      </w:r>
      <w:r w:rsidR="00217AB4" w:rsidRPr="003F3B94">
        <w:rPr>
          <w:rFonts w:hint="cs"/>
          <w:sz w:val="28"/>
          <w:rtl/>
        </w:rPr>
        <w:t>.</w:t>
      </w:r>
      <w:r w:rsidRPr="003F3B94">
        <w:rPr>
          <w:rFonts w:hint="cs"/>
          <w:sz w:val="28"/>
          <w:rtl/>
        </w:rPr>
        <w:t xml:space="preserve"> لهذا بينت آيات القرآن الكريمة أن شعار جميع الأنبياء هو</w:t>
      </w:r>
      <w:r w:rsidR="006C78B4" w:rsidRPr="003F3B94">
        <w:rPr>
          <w:rFonts w:hint="cs"/>
          <w:sz w:val="28"/>
          <w:rtl/>
        </w:rPr>
        <w:t xml:space="preserve"> </w:t>
      </w:r>
      <w:r w:rsidR="006C78B4" w:rsidRPr="00995B26">
        <w:rPr>
          <w:rFonts w:cs="Traditional Arabic" w:hint="cs"/>
          <w:sz w:val="28"/>
          <w:rtl/>
        </w:rPr>
        <w:t>﴿</w:t>
      </w:r>
      <w:r w:rsidR="006C78B4" w:rsidRPr="0067048A">
        <w:rPr>
          <w:rFonts w:ascii="KFGQPC Uthmanic Script HAFS" w:cs="KFGQPC Uthmanic Script HAFS" w:hint="eastAsia"/>
          <w:sz w:val="28"/>
          <w:szCs w:val="28"/>
          <w:rtl/>
        </w:rPr>
        <w:t>قُل</w:t>
      </w:r>
      <w:r w:rsidR="006C78B4" w:rsidRPr="0067048A">
        <w:rPr>
          <w:rFonts w:ascii="KFGQPC Uthmanic Script HAFS" w:cs="KFGQPC Uthmanic Script HAFS"/>
          <w:sz w:val="28"/>
          <w:szCs w:val="28"/>
          <w:rtl/>
        </w:rPr>
        <w:t xml:space="preserve"> </w:t>
      </w:r>
      <w:r w:rsidR="006C78B4" w:rsidRPr="0067048A">
        <w:rPr>
          <w:rFonts w:ascii="KFGQPC Uthmanic Script HAFS" w:cs="KFGQPC Uthmanic Script HAFS" w:hint="eastAsia"/>
          <w:sz w:val="28"/>
          <w:szCs w:val="28"/>
          <w:rtl/>
        </w:rPr>
        <w:t>لَّا</w:t>
      </w:r>
      <w:r w:rsidR="006C78B4" w:rsidRPr="0067048A">
        <w:rPr>
          <w:rFonts w:ascii="KFGQPC Uthmanic Script HAFS" w:cs="KFGQPC Uthmanic Script HAFS" w:hint="cs"/>
          <w:sz w:val="28"/>
          <w:szCs w:val="28"/>
          <w:rtl/>
        </w:rPr>
        <w:t>ٓ</w:t>
      </w:r>
      <w:r w:rsidR="006C78B4" w:rsidRPr="0067048A">
        <w:rPr>
          <w:rFonts w:ascii="KFGQPC Uthmanic Script HAFS" w:cs="KFGQPC Uthmanic Script HAFS"/>
          <w:sz w:val="28"/>
          <w:szCs w:val="28"/>
          <w:rtl/>
        </w:rPr>
        <w:t xml:space="preserve"> </w:t>
      </w:r>
      <w:r w:rsidR="006C78B4" w:rsidRPr="0067048A">
        <w:rPr>
          <w:rFonts w:ascii="KFGQPC Uthmanic Script HAFS" w:cs="KFGQPC Uthmanic Script HAFS" w:hint="eastAsia"/>
          <w:sz w:val="28"/>
          <w:szCs w:val="28"/>
          <w:rtl/>
        </w:rPr>
        <w:t>أَس</w:t>
      </w:r>
      <w:r w:rsidR="006C78B4" w:rsidRPr="0067048A">
        <w:rPr>
          <w:rFonts w:ascii="KFGQPC Uthmanic Script HAFS" w:cs="KFGQPC Uthmanic Script HAFS" w:hint="cs"/>
          <w:sz w:val="28"/>
          <w:szCs w:val="28"/>
          <w:rtl/>
        </w:rPr>
        <w:t>ۡ</w:t>
      </w:r>
      <w:r w:rsidR="006C78B4" w:rsidRPr="0067048A">
        <w:rPr>
          <w:rFonts w:ascii="KFGQPC Uthmanic Script HAFS" w:cs="KFGQPC Uthmanic Script HAFS" w:hint="eastAsia"/>
          <w:sz w:val="28"/>
          <w:szCs w:val="28"/>
          <w:rtl/>
        </w:rPr>
        <w:t>‍</w:t>
      </w:r>
      <w:r w:rsidR="006C78B4" w:rsidRPr="0067048A">
        <w:rPr>
          <w:rFonts w:ascii="KFGQPC Uthmanic Script HAFS" w:cs="KFGQPC Uthmanic Script HAFS" w:hint="cs"/>
          <w:sz w:val="28"/>
          <w:szCs w:val="28"/>
          <w:rtl/>
        </w:rPr>
        <w:t>ٔ</w:t>
      </w:r>
      <w:r w:rsidR="006C78B4" w:rsidRPr="0067048A">
        <w:rPr>
          <w:rFonts w:ascii="KFGQPC Uthmanic Script HAFS" w:cs="KFGQPC Uthmanic Script HAFS" w:hint="eastAsia"/>
          <w:sz w:val="28"/>
          <w:szCs w:val="28"/>
          <w:rtl/>
        </w:rPr>
        <w:t>َلُكُم</w:t>
      </w:r>
      <w:r w:rsidR="006C78B4" w:rsidRPr="0067048A">
        <w:rPr>
          <w:rFonts w:ascii="KFGQPC Uthmanic Script HAFS" w:cs="KFGQPC Uthmanic Script HAFS" w:hint="cs"/>
          <w:sz w:val="28"/>
          <w:szCs w:val="28"/>
          <w:rtl/>
        </w:rPr>
        <w:t>ۡ</w:t>
      </w:r>
      <w:r w:rsidR="006C78B4" w:rsidRPr="0067048A">
        <w:rPr>
          <w:rFonts w:ascii="KFGQPC Uthmanic Script HAFS" w:cs="KFGQPC Uthmanic Script HAFS"/>
          <w:sz w:val="28"/>
          <w:szCs w:val="28"/>
          <w:rtl/>
        </w:rPr>
        <w:t xml:space="preserve"> </w:t>
      </w:r>
      <w:r w:rsidR="006C78B4" w:rsidRPr="0067048A">
        <w:rPr>
          <w:rFonts w:ascii="KFGQPC Uthmanic Script HAFS" w:cs="KFGQPC Uthmanic Script HAFS" w:hint="eastAsia"/>
          <w:sz w:val="28"/>
          <w:szCs w:val="28"/>
          <w:rtl/>
        </w:rPr>
        <w:t>عَلَي</w:t>
      </w:r>
      <w:r w:rsidR="006C78B4" w:rsidRPr="0067048A">
        <w:rPr>
          <w:rFonts w:ascii="KFGQPC Uthmanic Script HAFS" w:cs="KFGQPC Uthmanic Script HAFS" w:hint="cs"/>
          <w:sz w:val="28"/>
          <w:szCs w:val="28"/>
          <w:rtl/>
        </w:rPr>
        <w:t>ۡ</w:t>
      </w:r>
      <w:r w:rsidR="006C78B4" w:rsidRPr="0067048A">
        <w:rPr>
          <w:rFonts w:ascii="KFGQPC Uthmanic Script HAFS" w:cs="KFGQPC Uthmanic Script HAFS" w:hint="eastAsia"/>
          <w:sz w:val="28"/>
          <w:szCs w:val="28"/>
          <w:rtl/>
        </w:rPr>
        <w:t>هِ</w:t>
      </w:r>
      <w:r w:rsidR="006C78B4" w:rsidRPr="0067048A">
        <w:rPr>
          <w:rFonts w:ascii="KFGQPC Uthmanic Script HAFS" w:cs="KFGQPC Uthmanic Script HAFS"/>
          <w:sz w:val="28"/>
          <w:szCs w:val="28"/>
          <w:rtl/>
        </w:rPr>
        <w:t xml:space="preserve"> </w:t>
      </w:r>
      <w:r w:rsidR="006C78B4" w:rsidRPr="0067048A">
        <w:rPr>
          <w:rFonts w:ascii="KFGQPC Uthmanic Script HAFS" w:cs="KFGQPC Uthmanic Script HAFS" w:hint="eastAsia"/>
          <w:sz w:val="28"/>
          <w:szCs w:val="28"/>
          <w:rtl/>
        </w:rPr>
        <w:t>أَج</w:t>
      </w:r>
      <w:r w:rsidR="006C78B4" w:rsidRPr="0067048A">
        <w:rPr>
          <w:rFonts w:ascii="KFGQPC Uthmanic Script HAFS" w:cs="KFGQPC Uthmanic Script HAFS" w:hint="cs"/>
          <w:sz w:val="28"/>
          <w:szCs w:val="28"/>
          <w:rtl/>
        </w:rPr>
        <w:t>ۡ</w:t>
      </w:r>
      <w:r w:rsidR="006C78B4" w:rsidRPr="0067048A">
        <w:rPr>
          <w:rFonts w:ascii="KFGQPC Uthmanic Script HAFS" w:cs="KFGQPC Uthmanic Script HAFS" w:hint="eastAsia"/>
          <w:sz w:val="28"/>
          <w:szCs w:val="28"/>
          <w:rtl/>
        </w:rPr>
        <w:t>رًا</w:t>
      </w:r>
      <w:r w:rsidR="006C78B4" w:rsidRPr="00995B26">
        <w:rPr>
          <w:rFonts w:ascii="KFGQPC Uthmanic Script HAFS" w:cs="Times New Roman" w:hint="cs"/>
          <w:sz w:val="28"/>
          <w:rtl/>
        </w:rPr>
        <w:t>...</w:t>
      </w:r>
      <w:r w:rsidR="006C78B4" w:rsidRPr="00995B26">
        <w:rPr>
          <w:rFonts w:cs="Traditional Arabic" w:hint="cs"/>
          <w:sz w:val="28"/>
          <w:rtl/>
        </w:rPr>
        <w:t>﴾</w:t>
      </w:r>
      <w:r w:rsidR="006C78B4" w:rsidRPr="00995B26">
        <w:rPr>
          <w:rFonts w:hint="cs"/>
          <w:sz w:val="28"/>
          <w:rtl/>
        </w:rPr>
        <w:t xml:space="preserve"> </w:t>
      </w:r>
      <w:r w:rsidRPr="003108CB">
        <w:rPr>
          <w:rStyle w:val="Char2"/>
          <w:rtl/>
        </w:rPr>
        <w:t>[الأنعام</w:t>
      </w:r>
      <w:r w:rsidR="006C78B4" w:rsidRPr="003108CB">
        <w:rPr>
          <w:rStyle w:val="Char2"/>
          <w:rFonts w:hint="cs"/>
          <w:rtl/>
        </w:rPr>
        <w:t xml:space="preserve">: </w:t>
      </w:r>
      <w:r w:rsidRPr="003108CB">
        <w:rPr>
          <w:rStyle w:val="Char2"/>
          <w:rtl/>
        </w:rPr>
        <w:t>90]</w:t>
      </w:r>
      <w:r w:rsidR="00217AB4" w:rsidRPr="00995B26">
        <w:rPr>
          <w:rFonts w:hint="cs"/>
          <w:sz w:val="28"/>
          <w:rtl/>
        </w:rPr>
        <w:t>.</w:t>
      </w:r>
    </w:p>
    <w:p w:rsidR="005C664D" w:rsidRPr="00995B26" w:rsidRDefault="005C664D" w:rsidP="00BB7301">
      <w:pPr>
        <w:pStyle w:val="a0"/>
        <w:ind w:left="624" w:hanging="340"/>
        <w:rPr>
          <w:rFonts w:hint="cs"/>
          <w:rtl/>
        </w:rPr>
      </w:pPr>
      <w:r w:rsidRPr="003F3B94">
        <w:rPr>
          <w:rFonts w:hint="cs"/>
          <w:sz w:val="28"/>
          <w:rtl/>
        </w:rPr>
        <w:t>1</w:t>
      </w:r>
      <w:r w:rsidR="00217AB4" w:rsidRPr="003F3B94">
        <w:rPr>
          <w:rFonts w:hint="cs"/>
          <w:sz w:val="28"/>
          <w:rtl/>
        </w:rPr>
        <w:t>-</w:t>
      </w:r>
      <w:r w:rsidRPr="003F3B94">
        <w:rPr>
          <w:rFonts w:hint="cs"/>
          <w:sz w:val="28"/>
          <w:rtl/>
        </w:rPr>
        <w:t xml:space="preserve"> يقول الله تعالى في سورة يونس الآية 72 عن لسان سيدنا نوح</w:t>
      </w:r>
      <w:r w:rsidR="00147857" w:rsidRPr="003F3B94">
        <w:rPr>
          <w:rFonts w:hint="cs"/>
          <w:sz w:val="28"/>
          <w:rtl/>
        </w:rPr>
        <w:t xml:space="preserve"> </w:t>
      </w:r>
      <w:r w:rsidR="003C7AEB" w:rsidRPr="003C7AEB">
        <w:rPr>
          <w:rFonts w:ascii="Abo-thar" w:hAnsi="Abo-thar" w:cs="CTraditional Arabic"/>
          <w:sz w:val="28"/>
          <w:rtl/>
        </w:rPr>
        <w:t>÷</w:t>
      </w:r>
      <w:r w:rsidR="00147857" w:rsidRPr="003F3B94">
        <w:rPr>
          <w:rFonts w:ascii="Abo-thar" w:hAnsi="Abo-thar"/>
          <w:sz w:val="28"/>
          <w:rtl/>
        </w:rPr>
        <w:t xml:space="preserve"> </w:t>
      </w:r>
      <w:r w:rsidRPr="003F3B94">
        <w:rPr>
          <w:rFonts w:hint="cs"/>
          <w:sz w:val="28"/>
          <w:rtl/>
        </w:rPr>
        <w:t>الذي كان أول أولي العزم من الأنبياء</w:t>
      </w:r>
      <w:r w:rsidR="00217AB4" w:rsidRPr="003F3B94">
        <w:rPr>
          <w:rFonts w:hint="cs"/>
          <w:sz w:val="28"/>
          <w:rtl/>
        </w:rPr>
        <w:t>:</w:t>
      </w:r>
      <w:r w:rsidR="006C78B4" w:rsidRPr="003F3B94">
        <w:rPr>
          <w:rFonts w:hint="cs"/>
          <w:sz w:val="28"/>
          <w:rtl/>
        </w:rPr>
        <w:t xml:space="preserve"> </w:t>
      </w:r>
      <w:r w:rsidR="006C78B4" w:rsidRPr="00995B26">
        <w:rPr>
          <w:rFonts w:cs="Traditional Arabic" w:hint="cs"/>
          <w:sz w:val="28"/>
          <w:rtl/>
        </w:rPr>
        <w:t>﴿</w:t>
      </w:r>
      <w:r w:rsidR="006C78B4" w:rsidRPr="0067048A">
        <w:rPr>
          <w:rFonts w:ascii="KFGQPC Uthmanic Script HAFS" w:cs="KFGQPC Uthmanic Script HAFS" w:hint="eastAsia"/>
          <w:sz w:val="28"/>
          <w:szCs w:val="28"/>
          <w:rtl/>
        </w:rPr>
        <w:t>فَإِن</w:t>
      </w:r>
      <w:r w:rsidR="006C78B4" w:rsidRPr="0067048A">
        <w:rPr>
          <w:rFonts w:ascii="KFGQPC Uthmanic Script HAFS" w:cs="KFGQPC Uthmanic Script HAFS"/>
          <w:sz w:val="28"/>
          <w:szCs w:val="28"/>
          <w:rtl/>
        </w:rPr>
        <w:t xml:space="preserve"> </w:t>
      </w:r>
      <w:r w:rsidR="006C78B4" w:rsidRPr="0067048A">
        <w:rPr>
          <w:rFonts w:ascii="KFGQPC Uthmanic Script HAFS" w:cs="KFGQPC Uthmanic Script HAFS" w:hint="eastAsia"/>
          <w:sz w:val="28"/>
          <w:szCs w:val="28"/>
          <w:rtl/>
        </w:rPr>
        <w:t>تَوَلَّي</w:t>
      </w:r>
      <w:r w:rsidR="006C78B4" w:rsidRPr="0067048A">
        <w:rPr>
          <w:rFonts w:ascii="KFGQPC Uthmanic Script HAFS" w:cs="KFGQPC Uthmanic Script HAFS" w:hint="cs"/>
          <w:sz w:val="28"/>
          <w:szCs w:val="28"/>
          <w:rtl/>
        </w:rPr>
        <w:t>ۡ</w:t>
      </w:r>
      <w:r w:rsidR="006C78B4" w:rsidRPr="0067048A">
        <w:rPr>
          <w:rFonts w:ascii="KFGQPC Uthmanic Script HAFS" w:cs="KFGQPC Uthmanic Script HAFS" w:hint="eastAsia"/>
          <w:sz w:val="28"/>
          <w:szCs w:val="28"/>
          <w:rtl/>
        </w:rPr>
        <w:t>تُم</w:t>
      </w:r>
      <w:r w:rsidR="006C78B4" w:rsidRPr="0067048A">
        <w:rPr>
          <w:rFonts w:ascii="KFGQPC Uthmanic Script HAFS" w:cs="KFGQPC Uthmanic Script HAFS" w:hint="cs"/>
          <w:sz w:val="28"/>
          <w:szCs w:val="28"/>
          <w:rtl/>
        </w:rPr>
        <w:t>ۡ</w:t>
      </w:r>
      <w:r w:rsidR="006C78B4" w:rsidRPr="0067048A">
        <w:rPr>
          <w:rFonts w:ascii="KFGQPC Uthmanic Script HAFS" w:cs="KFGQPC Uthmanic Script HAFS"/>
          <w:sz w:val="28"/>
          <w:szCs w:val="28"/>
          <w:rtl/>
        </w:rPr>
        <w:t xml:space="preserve"> </w:t>
      </w:r>
      <w:r w:rsidR="006C78B4" w:rsidRPr="0067048A">
        <w:rPr>
          <w:rFonts w:ascii="KFGQPC Uthmanic Script HAFS" w:cs="KFGQPC Uthmanic Script HAFS" w:hint="eastAsia"/>
          <w:sz w:val="28"/>
          <w:szCs w:val="28"/>
          <w:rtl/>
        </w:rPr>
        <w:t>فَمَا</w:t>
      </w:r>
      <w:r w:rsidR="006C78B4" w:rsidRPr="0067048A">
        <w:rPr>
          <w:rFonts w:ascii="KFGQPC Uthmanic Script HAFS" w:cs="KFGQPC Uthmanic Script HAFS"/>
          <w:sz w:val="28"/>
          <w:szCs w:val="28"/>
          <w:rtl/>
        </w:rPr>
        <w:t xml:space="preserve"> </w:t>
      </w:r>
      <w:r w:rsidR="006C78B4" w:rsidRPr="0067048A">
        <w:rPr>
          <w:rFonts w:ascii="KFGQPC Uthmanic Script HAFS" w:cs="KFGQPC Uthmanic Script HAFS" w:hint="eastAsia"/>
          <w:sz w:val="28"/>
          <w:szCs w:val="28"/>
          <w:rtl/>
        </w:rPr>
        <w:t>سَأَل</w:t>
      </w:r>
      <w:r w:rsidR="006C78B4" w:rsidRPr="0067048A">
        <w:rPr>
          <w:rFonts w:ascii="KFGQPC Uthmanic Script HAFS" w:cs="KFGQPC Uthmanic Script HAFS" w:hint="cs"/>
          <w:sz w:val="28"/>
          <w:szCs w:val="28"/>
          <w:rtl/>
        </w:rPr>
        <w:t>ۡ</w:t>
      </w:r>
      <w:r w:rsidR="006C78B4" w:rsidRPr="0067048A">
        <w:rPr>
          <w:rFonts w:ascii="KFGQPC Uthmanic Script HAFS" w:cs="KFGQPC Uthmanic Script HAFS" w:hint="eastAsia"/>
          <w:sz w:val="28"/>
          <w:szCs w:val="28"/>
          <w:rtl/>
        </w:rPr>
        <w:t>تُكُم</w:t>
      </w:r>
      <w:r w:rsidR="006C78B4" w:rsidRPr="0067048A">
        <w:rPr>
          <w:rFonts w:ascii="KFGQPC Uthmanic Script HAFS" w:cs="KFGQPC Uthmanic Script HAFS"/>
          <w:sz w:val="28"/>
          <w:szCs w:val="28"/>
          <w:rtl/>
        </w:rPr>
        <w:t xml:space="preserve"> </w:t>
      </w:r>
      <w:r w:rsidR="006C78B4" w:rsidRPr="0067048A">
        <w:rPr>
          <w:rFonts w:ascii="KFGQPC Uthmanic Script HAFS" w:cs="KFGQPC Uthmanic Script HAFS" w:hint="eastAsia"/>
          <w:sz w:val="28"/>
          <w:szCs w:val="28"/>
          <w:rtl/>
        </w:rPr>
        <w:t>مِّن</w:t>
      </w:r>
      <w:r w:rsidR="006C78B4" w:rsidRPr="0067048A">
        <w:rPr>
          <w:rFonts w:ascii="KFGQPC Uthmanic Script HAFS" w:cs="KFGQPC Uthmanic Script HAFS" w:hint="cs"/>
          <w:sz w:val="28"/>
          <w:szCs w:val="28"/>
          <w:rtl/>
        </w:rPr>
        <w:t>ۡ</w:t>
      </w:r>
      <w:r w:rsidR="006C78B4" w:rsidRPr="0067048A">
        <w:rPr>
          <w:rFonts w:ascii="KFGQPC Uthmanic Script HAFS" w:cs="KFGQPC Uthmanic Script HAFS"/>
          <w:sz w:val="28"/>
          <w:szCs w:val="28"/>
          <w:rtl/>
        </w:rPr>
        <w:t xml:space="preserve"> </w:t>
      </w:r>
      <w:r w:rsidR="006C78B4" w:rsidRPr="0067048A">
        <w:rPr>
          <w:rFonts w:ascii="KFGQPC Uthmanic Script HAFS" w:cs="KFGQPC Uthmanic Script HAFS" w:hint="eastAsia"/>
          <w:sz w:val="28"/>
          <w:szCs w:val="28"/>
          <w:rtl/>
        </w:rPr>
        <w:t>أَج</w:t>
      </w:r>
      <w:r w:rsidR="006C78B4" w:rsidRPr="0067048A">
        <w:rPr>
          <w:rFonts w:ascii="KFGQPC Uthmanic Script HAFS" w:cs="KFGQPC Uthmanic Script HAFS" w:hint="cs"/>
          <w:sz w:val="28"/>
          <w:szCs w:val="28"/>
          <w:rtl/>
        </w:rPr>
        <w:t>ۡ</w:t>
      </w:r>
      <w:r w:rsidR="006C78B4" w:rsidRPr="0067048A">
        <w:rPr>
          <w:rFonts w:ascii="KFGQPC Uthmanic Script HAFS" w:cs="KFGQPC Uthmanic Script HAFS" w:hint="eastAsia"/>
          <w:sz w:val="28"/>
          <w:szCs w:val="28"/>
          <w:rtl/>
        </w:rPr>
        <w:t>رٍ</w:t>
      </w:r>
      <w:r w:rsidR="006C78B4" w:rsidRPr="0067048A">
        <w:rPr>
          <w:rFonts w:ascii="KFGQPC Uthmanic Script HAFS" w:cs="KFGQPC Uthmanic Script HAFS" w:hint="cs"/>
          <w:sz w:val="28"/>
          <w:szCs w:val="28"/>
          <w:rtl/>
        </w:rPr>
        <w:t>ۖ</w:t>
      </w:r>
      <w:r w:rsidR="006C78B4" w:rsidRPr="0067048A">
        <w:rPr>
          <w:rFonts w:ascii="KFGQPC Uthmanic Script HAFS" w:cs="KFGQPC Uthmanic Script HAFS"/>
          <w:sz w:val="28"/>
          <w:szCs w:val="28"/>
          <w:rtl/>
        </w:rPr>
        <w:t xml:space="preserve"> </w:t>
      </w:r>
      <w:r w:rsidR="006C78B4" w:rsidRPr="0067048A">
        <w:rPr>
          <w:rFonts w:ascii="KFGQPC Uthmanic Script HAFS" w:cs="KFGQPC Uthmanic Script HAFS" w:hint="eastAsia"/>
          <w:sz w:val="28"/>
          <w:szCs w:val="28"/>
          <w:rtl/>
        </w:rPr>
        <w:t>إِن</w:t>
      </w:r>
      <w:r w:rsidR="006C78B4" w:rsidRPr="0067048A">
        <w:rPr>
          <w:rFonts w:ascii="KFGQPC Uthmanic Script HAFS" w:cs="KFGQPC Uthmanic Script HAFS" w:hint="cs"/>
          <w:sz w:val="28"/>
          <w:szCs w:val="28"/>
          <w:rtl/>
        </w:rPr>
        <w:t>ۡ</w:t>
      </w:r>
      <w:r w:rsidR="006C78B4" w:rsidRPr="0067048A">
        <w:rPr>
          <w:rFonts w:ascii="KFGQPC Uthmanic Script HAFS" w:cs="KFGQPC Uthmanic Script HAFS"/>
          <w:sz w:val="28"/>
          <w:szCs w:val="28"/>
          <w:rtl/>
        </w:rPr>
        <w:t xml:space="preserve"> </w:t>
      </w:r>
      <w:r w:rsidR="006C78B4" w:rsidRPr="0067048A">
        <w:rPr>
          <w:rFonts w:ascii="KFGQPC Uthmanic Script HAFS" w:cs="KFGQPC Uthmanic Script HAFS" w:hint="eastAsia"/>
          <w:sz w:val="28"/>
          <w:szCs w:val="28"/>
          <w:rtl/>
        </w:rPr>
        <w:t>أَج</w:t>
      </w:r>
      <w:r w:rsidR="006C78B4" w:rsidRPr="0067048A">
        <w:rPr>
          <w:rFonts w:ascii="KFGQPC Uthmanic Script HAFS" w:cs="KFGQPC Uthmanic Script HAFS" w:hint="cs"/>
          <w:sz w:val="28"/>
          <w:szCs w:val="28"/>
          <w:rtl/>
        </w:rPr>
        <w:t>ۡ</w:t>
      </w:r>
      <w:r w:rsidR="006C78B4" w:rsidRPr="0067048A">
        <w:rPr>
          <w:rFonts w:ascii="KFGQPC Uthmanic Script HAFS" w:cs="KFGQPC Uthmanic Script HAFS" w:hint="eastAsia"/>
          <w:sz w:val="28"/>
          <w:szCs w:val="28"/>
          <w:rtl/>
        </w:rPr>
        <w:t>رِيَ</w:t>
      </w:r>
      <w:r w:rsidR="006C78B4" w:rsidRPr="0067048A">
        <w:rPr>
          <w:rFonts w:ascii="KFGQPC Uthmanic Script HAFS" w:cs="KFGQPC Uthmanic Script HAFS"/>
          <w:sz w:val="28"/>
          <w:szCs w:val="28"/>
          <w:rtl/>
        </w:rPr>
        <w:t xml:space="preserve"> </w:t>
      </w:r>
      <w:r w:rsidR="006C78B4" w:rsidRPr="0067048A">
        <w:rPr>
          <w:rFonts w:ascii="KFGQPC Uthmanic Script HAFS" w:cs="KFGQPC Uthmanic Script HAFS" w:hint="eastAsia"/>
          <w:sz w:val="28"/>
          <w:szCs w:val="28"/>
          <w:rtl/>
        </w:rPr>
        <w:t>إِلَّا</w:t>
      </w:r>
      <w:r w:rsidR="006C78B4" w:rsidRPr="0067048A">
        <w:rPr>
          <w:rFonts w:ascii="KFGQPC Uthmanic Script HAFS" w:cs="KFGQPC Uthmanic Script HAFS"/>
          <w:sz w:val="28"/>
          <w:szCs w:val="28"/>
          <w:rtl/>
        </w:rPr>
        <w:t xml:space="preserve"> </w:t>
      </w:r>
      <w:r w:rsidR="006C78B4" w:rsidRPr="0067048A">
        <w:rPr>
          <w:rFonts w:ascii="KFGQPC Uthmanic Script HAFS" w:cs="KFGQPC Uthmanic Script HAFS" w:hint="eastAsia"/>
          <w:sz w:val="28"/>
          <w:szCs w:val="28"/>
          <w:rtl/>
        </w:rPr>
        <w:t>عَلَى</w:t>
      </w:r>
      <w:r w:rsidR="006C78B4" w:rsidRPr="0067048A">
        <w:rPr>
          <w:rFonts w:ascii="KFGQPC Uthmanic Script HAFS" w:cs="KFGQPC Uthmanic Script HAFS"/>
          <w:sz w:val="28"/>
          <w:szCs w:val="28"/>
          <w:rtl/>
        </w:rPr>
        <w:t xml:space="preserve"> </w:t>
      </w:r>
      <w:r w:rsidR="006C78B4" w:rsidRPr="0067048A">
        <w:rPr>
          <w:rFonts w:ascii="KFGQPC Uthmanic Script HAFS" w:cs="KFGQPC Uthmanic Script HAFS" w:hint="cs"/>
          <w:sz w:val="28"/>
          <w:szCs w:val="28"/>
          <w:rtl/>
        </w:rPr>
        <w:t>ٱ</w:t>
      </w:r>
      <w:r w:rsidR="006C78B4" w:rsidRPr="0067048A">
        <w:rPr>
          <w:rFonts w:ascii="KFGQPC Uthmanic Script HAFS" w:cs="KFGQPC Uthmanic Script HAFS" w:hint="eastAsia"/>
          <w:sz w:val="28"/>
          <w:szCs w:val="28"/>
          <w:rtl/>
        </w:rPr>
        <w:t>للَّهِ</w:t>
      </w:r>
      <w:r w:rsidR="006C78B4" w:rsidRPr="0067048A">
        <w:rPr>
          <w:rFonts w:ascii="KFGQPC Uthmanic Script HAFS" w:cs="KFGQPC Uthmanic Script HAFS" w:hint="cs"/>
          <w:sz w:val="28"/>
          <w:szCs w:val="28"/>
          <w:rtl/>
        </w:rPr>
        <w:t>ۖ</w:t>
      </w:r>
      <w:r w:rsidR="006C78B4" w:rsidRPr="0067048A">
        <w:rPr>
          <w:rFonts w:ascii="KFGQPC Uthmanic Script HAFS" w:cs="KFGQPC Uthmanic Script HAFS"/>
          <w:sz w:val="28"/>
          <w:szCs w:val="28"/>
          <w:rtl/>
        </w:rPr>
        <w:t xml:space="preserve"> </w:t>
      </w:r>
      <w:r w:rsidR="006C78B4" w:rsidRPr="0067048A">
        <w:rPr>
          <w:rFonts w:ascii="KFGQPC Uthmanic Script HAFS" w:cs="KFGQPC Uthmanic Script HAFS" w:hint="eastAsia"/>
          <w:sz w:val="28"/>
          <w:szCs w:val="28"/>
          <w:rtl/>
        </w:rPr>
        <w:t>وَأُمِر</w:t>
      </w:r>
      <w:r w:rsidR="006C78B4" w:rsidRPr="0067048A">
        <w:rPr>
          <w:rFonts w:ascii="KFGQPC Uthmanic Script HAFS" w:cs="KFGQPC Uthmanic Script HAFS" w:hint="cs"/>
          <w:sz w:val="28"/>
          <w:szCs w:val="28"/>
          <w:rtl/>
        </w:rPr>
        <w:t>ۡ</w:t>
      </w:r>
      <w:r w:rsidR="006C78B4" w:rsidRPr="0067048A">
        <w:rPr>
          <w:rFonts w:ascii="KFGQPC Uthmanic Script HAFS" w:cs="KFGQPC Uthmanic Script HAFS" w:hint="eastAsia"/>
          <w:sz w:val="28"/>
          <w:szCs w:val="28"/>
          <w:rtl/>
        </w:rPr>
        <w:t>تُ</w:t>
      </w:r>
      <w:r w:rsidR="006C78B4" w:rsidRPr="0067048A">
        <w:rPr>
          <w:rFonts w:ascii="KFGQPC Uthmanic Script HAFS" w:cs="KFGQPC Uthmanic Script HAFS"/>
          <w:sz w:val="28"/>
          <w:szCs w:val="28"/>
          <w:rtl/>
        </w:rPr>
        <w:t xml:space="preserve"> </w:t>
      </w:r>
      <w:r w:rsidR="006C78B4" w:rsidRPr="0067048A">
        <w:rPr>
          <w:rFonts w:ascii="KFGQPC Uthmanic Script HAFS" w:cs="KFGQPC Uthmanic Script HAFS" w:hint="eastAsia"/>
          <w:sz w:val="28"/>
          <w:szCs w:val="28"/>
          <w:rtl/>
        </w:rPr>
        <w:t>أَن</w:t>
      </w:r>
      <w:r w:rsidR="006C78B4" w:rsidRPr="0067048A">
        <w:rPr>
          <w:rFonts w:ascii="KFGQPC Uthmanic Script HAFS" w:cs="KFGQPC Uthmanic Script HAFS" w:hint="cs"/>
          <w:sz w:val="28"/>
          <w:szCs w:val="28"/>
          <w:rtl/>
        </w:rPr>
        <w:t>ۡ</w:t>
      </w:r>
      <w:r w:rsidR="006C78B4" w:rsidRPr="0067048A">
        <w:rPr>
          <w:rFonts w:ascii="KFGQPC Uthmanic Script HAFS" w:cs="KFGQPC Uthmanic Script HAFS"/>
          <w:sz w:val="28"/>
          <w:szCs w:val="28"/>
          <w:rtl/>
        </w:rPr>
        <w:t xml:space="preserve"> </w:t>
      </w:r>
      <w:r w:rsidR="006C78B4" w:rsidRPr="0067048A">
        <w:rPr>
          <w:rFonts w:ascii="KFGQPC Uthmanic Script HAFS" w:cs="KFGQPC Uthmanic Script HAFS" w:hint="eastAsia"/>
          <w:sz w:val="28"/>
          <w:szCs w:val="28"/>
          <w:rtl/>
        </w:rPr>
        <w:t>أَكُونَ</w:t>
      </w:r>
      <w:r w:rsidR="006C78B4" w:rsidRPr="0067048A">
        <w:rPr>
          <w:rFonts w:ascii="KFGQPC Uthmanic Script HAFS" w:cs="KFGQPC Uthmanic Script HAFS"/>
          <w:sz w:val="28"/>
          <w:szCs w:val="28"/>
          <w:rtl/>
        </w:rPr>
        <w:t xml:space="preserve"> </w:t>
      </w:r>
      <w:r w:rsidR="006C78B4" w:rsidRPr="0067048A">
        <w:rPr>
          <w:rFonts w:ascii="KFGQPC Uthmanic Script HAFS" w:cs="KFGQPC Uthmanic Script HAFS" w:hint="eastAsia"/>
          <w:sz w:val="28"/>
          <w:szCs w:val="28"/>
          <w:rtl/>
        </w:rPr>
        <w:t>مِنَ</w:t>
      </w:r>
      <w:r w:rsidR="006C78B4" w:rsidRPr="0067048A">
        <w:rPr>
          <w:rFonts w:ascii="KFGQPC Uthmanic Script HAFS" w:cs="KFGQPC Uthmanic Script HAFS"/>
          <w:sz w:val="28"/>
          <w:szCs w:val="28"/>
          <w:rtl/>
        </w:rPr>
        <w:t xml:space="preserve"> </w:t>
      </w:r>
      <w:r w:rsidR="006C78B4" w:rsidRPr="0067048A">
        <w:rPr>
          <w:rFonts w:ascii="KFGQPC Uthmanic Script HAFS" w:cs="KFGQPC Uthmanic Script HAFS" w:hint="cs"/>
          <w:sz w:val="28"/>
          <w:szCs w:val="28"/>
          <w:rtl/>
        </w:rPr>
        <w:t>ٱ</w:t>
      </w:r>
      <w:r w:rsidR="006C78B4" w:rsidRPr="0067048A">
        <w:rPr>
          <w:rFonts w:ascii="KFGQPC Uthmanic Script HAFS" w:cs="KFGQPC Uthmanic Script HAFS" w:hint="eastAsia"/>
          <w:sz w:val="28"/>
          <w:szCs w:val="28"/>
          <w:rtl/>
        </w:rPr>
        <w:t>ل</w:t>
      </w:r>
      <w:r w:rsidR="006C78B4" w:rsidRPr="0067048A">
        <w:rPr>
          <w:rFonts w:ascii="KFGQPC Uthmanic Script HAFS" w:cs="KFGQPC Uthmanic Script HAFS" w:hint="cs"/>
          <w:sz w:val="28"/>
          <w:szCs w:val="28"/>
          <w:rtl/>
        </w:rPr>
        <w:t>ۡ</w:t>
      </w:r>
      <w:r w:rsidR="006C78B4" w:rsidRPr="0067048A">
        <w:rPr>
          <w:rFonts w:ascii="KFGQPC Uthmanic Script HAFS" w:cs="KFGQPC Uthmanic Script HAFS" w:hint="eastAsia"/>
          <w:sz w:val="28"/>
          <w:szCs w:val="28"/>
          <w:rtl/>
        </w:rPr>
        <w:t>مُس</w:t>
      </w:r>
      <w:r w:rsidR="006C78B4" w:rsidRPr="0067048A">
        <w:rPr>
          <w:rFonts w:ascii="KFGQPC Uthmanic Script HAFS" w:cs="KFGQPC Uthmanic Script HAFS" w:hint="cs"/>
          <w:sz w:val="28"/>
          <w:szCs w:val="28"/>
          <w:rtl/>
        </w:rPr>
        <w:t>ۡ</w:t>
      </w:r>
      <w:r w:rsidR="006C78B4" w:rsidRPr="0067048A">
        <w:rPr>
          <w:rFonts w:ascii="KFGQPC Uthmanic Script HAFS" w:cs="KFGQPC Uthmanic Script HAFS" w:hint="eastAsia"/>
          <w:sz w:val="28"/>
          <w:szCs w:val="28"/>
          <w:rtl/>
        </w:rPr>
        <w:t>لِمِينَ</w:t>
      </w:r>
      <w:r w:rsidR="006C78B4" w:rsidRPr="00995B26">
        <w:rPr>
          <w:rFonts w:cs="Traditional Arabic" w:hint="cs"/>
          <w:sz w:val="28"/>
          <w:rtl/>
        </w:rPr>
        <w:t>﴾</w:t>
      </w:r>
      <w:r w:rsidR="00147857" w:rsidRPr="00995B26">
        <w:rPr>
          <w:rFonts w:hint="cs"/>
          <w:sz w:val="28"/>
          <w:rtl/>
        </w:rPr>
        <w:t xml:space="preserve"> </w:t>
      </w:r>
      <w:r w:rsidRPr="003108CB">
        <w:rPr>
          <w:rStyle w:val="Char2"/>
          <w:rtl/>
        </w:rPr>
        <w:t>[يونس</w:t>
      </w:r>
      <w:r w:rsidR="006C78B4" w:rsidRPr="003108CB">
        <w:rPr>
          <w:rStyle w:val="Char2"/>
          <w:rFonts w:hint="cs"/>
          <w:rtl/>
        </w:rPr>
        <w:t xml:space="preserve">: </w:t>
      </w:r>
      <w:r w:rsidRPr="003108CB">
        <w:rPr>
          <w:rStyle w:val="Char2"/>
          <w:rtl/>
        </w:rPr>
        <w:t>72]</w:t>
      </w:r>
      <w:r w:rsidR="00217AB4" w:rsidRPr="00995B26">
        <w:rPr>
          <w:rFonts w:hint="cs"/>
          <w:sz w:val="28"/>
          <w:rtl/>
        </w:rPr>
        <w:t>.</w:t>
      </w:r>
      <w:r w:rsidR="001E7D9F">
        <w:rPr>
          <w:rFonts w:hint="cs"/>
          <w:rtl/>
        </w:rPr>
        <w:t xml:space="preserve"> </w:t>
      </w:r>
    </w:p>
    <w:p w:rsidR="005C664D" w:rsidRPr="00995B26" w:rsidRDefault="005C664D" w:rsidP="000E2C23">
      <w:pPr>
        <w:pStyle w:val="a0"/>
        <w:ind w:left="624" w:hanging="340"/>
        <w:rPr>
          <w:rFonts w:hint="cs"/>
          <w:rtl/>
        </w:rPr>
      </w:pPr>
      <w:r w:rsidRPr="003F3B94">
        <w:rPr>
          <w:rFonts w:hint="cs"/>
          <w:sz w:val="28"/>
          <w:rtl/>
        </w:rPr>
        <w:t>2</w:t>
      </w:r>
      <w:r w:rsidR="00217AB4" w:rsidRPr="003F3B94">
        <w:rPr>
          <w:rFonts w:hint="cs"/>
          <w:sz w:val="28"/>
          <w:rtl/>
        </w:rPr>
        <w:t>-</w:t>
      </w:r>
      <w:r w:rsidRPr="003F3B94">
        <w:rPr>
          <w:rFonts w:hint="cs"/>
          <w:sz w:val="28"/>
          <w:rtl/>
        </w:rPr>
        <w:t xml:space="preserve"> وفي سورة هود الآية 29 يقول عن صاحب تلك الحضرة أيضاً</w:t>
      </w:r>
      <w:r w:rsidR="00147857" w:rsidRPr="003F3B94">
        <w:rPr>
          <w:rFonts w:hint="cs"/>
          <w:sz w:val="28"/>
          <w:rtl/>
        </w:rPr>
        <w:t xml:space="preserve"> </w:t>
      </w:r>
      <w:r w:rsidR="003C7AEB" w:rsidRPr="003C7AEB">
        <w:rPr>
          <w:rFonts w:ascii="Abo-thar" w:hAnsi="Abo-thar" w:cs="CTraditional Arabic"/>
          <w:sz w:val="28"/>
          <w:rtl/>
        </w:rPr>
        <w:t>÷</w:t>
      </w:r>
      <w:r w:rsidR="00217AB4" w:rsidRPr="003F3B94">
        <w:rPr>
          <w:rFonts w:ascii="Abo-thar" w:hAnsi="Abo-thar"/>
          <w:sz w:val="28"/>
          <w:rtl/>
        </w:rPr>
        <w:t>:</w:t>
      </w:r>
      <w:r w:rsidR="003D6690" w:rsidRPr="00995B26">
        <w:rPr>
          <w:rFonts w:cs="Traditional Arabic" w:hint="cs"/>
          <w:sz w:val="28"/>
          <w:rtl/>
        </w:rPr>
        <w:t xml:space="preserve"> </w:t>
      </w:r>
      <w:r w:rsidR="006C78B4" w:rsidRPr="00995B26">
        <w:rPr>
          <w:rFonts w:cs="Traditional Arabic" w:hint="cs"/>
          <w:sz w:val="28"/>
          <w:rtl/>
        </w:rPr>
        <w:t>﴿</w:t>
      </w:r>
      <w:r w:rsidR="006C78B4" w:rsidRPr="0067048A">
        <w:rPr>
          <w:rFonts w:ascii="KFGQPC Uthmanic Script HAFS" w:cs="KFGQPC Uthmanic Script HAFS" w:hint="eastAsia"/>
          <w:szCs w:val="28"/>
          <w:rtl/>
        </w:rPr>
        <w:t>وَيَ</w:t>
      </w:r>
      <w:r w:rsidR="006C78B4" w:rsidRPr="0067048A">
        <w:rPr>
          <w:rFonts w:ascii="KFGQPC Uthmanic Script HAFS" w:cs="KFGQPC Uthmanic Script HAFS" w:hint="cs"/>
          <w:szCs w:val="28"/>
          <w:rtl/>
        </w:rPr>
        <w:t>ٰ</w:t>
      </w:r>
      <w:r w:rsidR="006C78B4" w:rsidRPr="0067048A">
        <w:rPr>
          <w:rFonts w:ascii="KFGQPC Uthmanic Script HAFS" w:cs="KFGQPC Uthmanic Script HAFS" w:hint="eastAsia"/>
          <w:szCs w:val="28"/>
          <w:rtl/>
        </w:rPr>
        <w:t>قَو</w:t>
      </w:r>
      <w:r w:rsidR="006C78B4" w:rsidRPr="0067048A">
        <w:rPr>
          <w:rFonts w:ascii="KFGQPC Uthmanic Script HAFS" w:cs="KFGQPC Uthmanic Script HAFS" w:hint="cs"/>
          <w:szCs w:val="28"/>
          <w:rtl/>
        </w:rPr>
        <w:t>ۡ</w:t>
      </w:r>
      <w:r w:rsidR="006C78B4" w:rsidRPr="0067048A">
        <w:rPr>
          <w:rFonts w:ascii="KFGQPC Uthmanic Script HAFS" w:cs="KFGQPC Uthmanic Script HAFS" w:hint="eastAsia"/>
          <w:szCs w:val="28"/>
          <w:rtl/>
        </w:rPr>
        <w:t>مِ</w:t>
      </w:r>
      <w:r w:rsidR="006C78B4" w:rsidRPr="0067048A">
        <w:rPr>
          <w:rFonts w:ascii="KFGQPC Uthmanic Script HAFS" w:cs="KFGQPC Uthmanic Script HAFS"/>
          <w:szCs w:val="28"/>
          <w:rtl/>
        </w:rPr>
        <w:t xml:space="preserve"> </w:t>
      </w:r>
      <w:r w:rsidR="006C78B4" w:rsidRPr="0067048A">
        <w:rPr>
          <w:rFonts w:ascii="KFGQPC Uthmanic Script HAFS" w:cs="KFGQPC Uthmanic Script HAFS" w:hint="eastAsia"/>
          <w:szCs w:val="28"/>
          <w:rtl/>
        </w:rPr>
        <w:t>لَا</w:t>
      </w:r>
      <w:r w:rsidR="006C78B4" w:rsidRPr="0067048A">
        <w:rPr>
          <w:rFonts w:ascii="KFGQPC Uthmanic Script HAFS" w:cs="KFGQPC Uthmanic Script HAFS" w:hint="cs"/>
          <w:szCs w:val="28"/>
          <w:rtl/>
        </w:rPr>
        <w:t>ٓ</w:t>
      </w:r>
      <w:r w:rsidR="006C78B4" w:rsidRPr="0067048A">
        <w:rPr>
          <w:rFonts w:ascii="KFGQPC Uthmanic Script HAFS" w:cs="KFGQPC Uthmanic Script HAFS"/>
          <w:szCs w:val="28"/>
          <w:rtl/>
        </w:rPr>
        <w:t xml:space="preserve"> </w:t>
      </w:r>
      <w:r w:rsidR="006C78B4" w:rsidRPr="0067048A">
        <w:rPr>
          <w:rFonts w:ascii="KFGQPC Uthmanic Script HAFS" w:cs="KFGQPC Uthmanic Script HAFS" w:hint="eastAsia"/>
          <w:szCs w:val="28"/>
          <w:rtl/>
        </w:rPr>
        <w:t>أَس</w:t>
      </w:r>
      <w:r w:rsidR="006C78B4" w:rsidRPr="0067048A">
        <w:rPr>
          <w:rFonts w:ascii="KFGQPC Uthmanic Script HAFS" w:cs="KFGQPC Uthmanic Script HAFS" w:hint="cs"/>
          <w:szCs w:val="28"/>
          <w:rtl/>
        </w:rPr>
        <w:t>ۡ</w:t>
      </w:r>
      <w:r w:rsidR="006C78B4" w:rsidRPr="0067048A">
        <w:rPr>
          <w:rFonts w:ascii="KFGQPC Uthmanic Script HAFS" w:cs="KFGQPC Uthmanic Script HAFS" w:hint="eastAsia"/>
          <w:szCs w:val="28"/>
          <w:rtl/>
        </w:rPr>
        <w:t>‍</w:t>
      </w:r>
      <w:r w:rsidR="006C78B4" w:rsidRPr="0067048A">
        <w:rPr>
          <w:rFonts w:ascii="KFGQPC Uthmanic Script HAFS" w:cs="KFGQPC Uthmanic Script HAFS" w:hint="cs"/>
          <w:szCs w:val="28"/>
          <w:rtl/>
        </w:rPr>
        <w:t>ٔ</w:t>
      </w:r>
      <w:r w:rsidR="006C78B4" w:rsidRPr="0067048A">
        <w:rPr>
          <w:rFonts w:ascii="KFGQPC Uthmanic Script HAFS" w:cs="KFGQPC Uthmanic Script HAFS" w:hint="eastAsia"/>
          <w:szCs w:val="28"/>
          <w:rtl/>
        </w:rPr>
        <w:t>َلُكُم</w:t>
      </w:r>
      <w:r w:rsidR="006C78B4" w:rsidRPr="0067048A">
        <w:rPr>
          <w:rFonts w:ascii="KFGQPC Uthmanic Script HAFS" w:cs="KFGQPC Uthmanic Script HAFS" w:hint="cs"/>
          <w:szCs w:val="28"/>
          <w:rtl/>
        </w:rPr>
        <w:t>ۡ</w:t>
      </w:r>
      <w:r w:rsidR="006C78B4" w:rsidRPr="0067048A">
        <w:rPr>
          <w:rFonts w:ascii="KFGQPC Uthmanic Script HAFS" w:cs="KFGQPC Uthmanic Script HAFS"/>
          <w:szCs w:val="28"/>
          <w:rtl/>
        </w:rPr>
        <w:t xml:space="preserve"> </w:t>
      </w:r>
      <w:r w:rsidR="006C78B4" w:rsidRPr="0067048A">
        <w:rPr>
          <w:rFonts w:ascii="KFGQPC Uthmanic Script HAFS" w:cs="KFGQPC Uthmanic Script HAFS" w:hint="eastAsia"/>
          <w:szCs w:val="28"/>
          <w:rtl/>
        </w:rPr>
        <w:t>عَلَي</w:t>
      </w:r>
      <w:r w:rsidR="006C78B4" w:rsidRPr="0067048A">
        <w:rPr>
          <w:rFonts w:ascii="KFGQPC Uthmanic Script HAFS" w:cs="KFGQPC Uthmanic Script HAFS" w:hint="cs"/>
          <w:szCs w:val="28"/>
          <w:rtl/>
        </w:rPr>
        <w:t>ۡ</w:t>
      </w:r>
      <w:r w:rsidR="006C78B4" w:rsidRPr="0067048A">
        <w:rPr>
          <w:rFonts w:ascii="KFGQPC Uthmanic Script HAFS" w:cs="KFGQPC Uthmanic Script HAFS" w:hint="eastAsia"/>
          <w:szCs w:val="28"/>
          <w:rtl/>
        </w:rPr>
        <w:t>هِ</w:t>
      </w:r>
      <w:r w:rsidR="006C78B4" w:rsidRPr="0067048A">
        <w:rPr>
          <w:rFonts w:ascii="KFGQPC Uthmanic Script HAFS" w:cs="KFGQPC Uthmanic Script HAFS"/>
          <w:szCs w:val="28"/>
          <w:rtl/>
        </w:rPr>
        <w:t xml:space="preserve"> </w:t>
      </w:r>
      <w:r w:rsidR="006C78B4" w:rsidRPr="0067048A">
        <w:rPr>
          <w:rFonts w:ascii="KFGQPC Uthmanic Script HAFS" w:cs="KFGQPC Uthmanic Script HAFS" w:hint="eastAsia"/>
          <w:szCs w:val="28"/>
          <w:rtl/>
        </w:rPr>
        <w:t>مَالًا</w:t>
      </w:r>
      <w:r w:rsidR="006C78B4" w:rsidRPr="0067048A">
        <w:rPr>
          <w:rFonts w:ascii="KFGQPC Uthmanic Script HAFS" w:cs="KFGQPC Uthmanic Script HAFS" w:hint="cs"/>
          <w:szCs w:val="28"/>
          <w:rtl/>
        </w:rPr>
        <w:t>ۖ</w:t>
      </w:r>
      <w:r w:rsidR="006C78B4" w:rsidRPr="0067048A">
        <w:rPr>
          <w:rFonts w:ascii="KFGQPC Uthmanic Script HAFS" w:cs="KFGQPC Uthmanic Script HAFS"/>
          <w:szCs w:val="28"/>
          <w:rtl/>
        </w:rPr>
        <w:t xml:space="preserve"> </w:t>
      </w:r>
      <w:r w:rsidR="006C78B4" w:rsidRPr="0067048A">
        <w:rPr>
          <w:rFonts w:ascii="KFGQPC Uthmanic Script HAFS" w:cs="KFGQPC Uthmanic Script HAFS" w:hint="eastAsia"/>
          <w:szCs w:val="28"/>
          <w:rtl/>
        </w:rPr>
        <w:t>إِن</w:t>
      </w:r>
      <w:r w:rsidR="006C78B4" w:rsidRPr="0067048A">
        <w:rPr>
          <w:rFonts w:ascii="KFGQPC Uthmanic Script HAFS" w:cs="KFGQPC Uthmanic Script HAFS" w:hint="cs"/>
          <w:szCs w:val="28"/>
          <w:rtl/>
        </w:rPr>
        <w:t>ۡ</w:t>
      </w:r>
      <w:r w:rsidR="006C78B4" w:rsidRPr="0067048A">
        <w:rPr>
          <w:rFonts w:ascii="KFGQPC Uthmanic Script HAFS" w:cs="KFGQPC Uthmanic Script HAFS"/>
          <w:szCs w:val="28"/>
          <w:rtl/>
        </w:rPr>
        <w:t xml:space="preserve"> </w:t>
      </w:r>
      <w:r w:rsidR="006C78B4" w:rsidRPr="0067048A">
        <w:rPr>
          <w:rFonts w:ascii="KFGQPC Uthmanic Script HAFS" w:cs="KFGQPC Uthmanic Script HAFS" w:hint="eastAsia"/>
          <w:szCs w:val="28"/>
          <w:rtl/>
        </w:rPr>
        <w:t>أَج</w:t>
      </w:r>
      <w:r w:rsidR="006C78B4" w:rsidRPr="0067048A">
        <w:rPr>
          <w:rFonts w:ascii="KFGQPC Uthmanic Script HAFS" w:cs="KFGQPC Uthmanic Script HAFS" w:hint="cs"/>
          <w:szCs w:val="28"/>
          <w:rtl/>
        </w:rPr>
        <w:t>ۡ</w:t>
      </w:r>
      <w:r w:rsidR="006C78B4" w:rsidRPr="0067048A">
        <w:rPr>
          <w:rFonts w:ascii="KFGQPC Uthmanic Script HAFS" w:cs="KFGQPC Uthmanic Script HAFS" w:hint="eastAsia"/>
          <w:szCs w:val="28"/>
          <w:rtl/>
        </w:rPr>
        <w:t>رِيَ</w:t>
      </w:r>
      <w:r w:rsidR="006C78B4" w:rsidRPr="0067048A">
        <w:rPr>
          <w:rFonts w:ascii="KFGQPC Uthmanic Script HAFS" w:cs="KFGQPC Uthmanic Script HAFS"/>
          <w:szCs w:val="28"/>
          <w:rtl/>
        </w:rPr>
        <w:t xml:space="preserve"> </w:t>
      </w:r>
      <w:r w:rsidR="006C78B4" w:rsidRPr="0067048A">
        <w:rPr>
          <w:rFonts w:ascii="KFGQPC Uthmanic Script HAFS" w:cs="KFGQPC Uthmanic Script HAFS" w:hint="eastAsia"/>
          <w:szCs w:val="28"/>
          <w:rtl/>
        </w:rPr>
        <w:t>إِلَّا</w:t>
      </w:r>
      <w:r w:rsidR="006C78B4" w:rsidRPr="0067048A">
        <w:rPr>
          <w:rFonts w:ascii="KFGQPC Uthmanic Script HAFS" w:cs="KFGQPC Uthmanic Script HAFS"/>
          <w:szCs w:val="28"/>
          <w:rtl/>
        </w:rPr>
        <w:t xml:space="preserve"> </w:t>
      </w:r>
      <w:r w:rsidR="006C78B4" w:rsidRPr="0067048A">
        <w:rPr>
          <w:rFonts w:ascii="KFGQPC Uthmanic Script HAFS" w:cs="KFGQPC Uthmanic Script HAFS" w:hint="eastAsia"/>
          <w:szCs w:val="28"/>
          <w:rtl/>
        </w:rPr>
        <w:t>عَلَى</w:t>
      </w:r>
      <w:r w:rsidR="006C78B4" w:rsidRPr="0067048A">
        <w:rPr>
          <w:rFonts w:ascii="KFGQPC Uthmanic Script HAFS" w:cs="KFGQPC Uthmanic Script HAFS"/>
          <w:szCs w:val="28"/>
          <w:rtl/>
        </w:rPr>
        <w:t xml:space="preserve"> </w:t>
      </w:r>
      <w:r w:rsidR="006C78B4" w:rsidRPr="0067048A">
        <w:rPr>
          <w:rFonts w:ascii="KFGQPC Uthmanic Script HAFS" w:cs="KFGQPC Uthmanic Script HAFS" w:hint="cs"/>
          <w:szCs w:val="28"/>
          <w:rtl/>
        </w:rPr>
        <w:t>ٱ</w:t>
      </w:r>
      <w:r w:rsidR="006C78B4" w:rsidRPr="0067048A">
        <w:rPr>
          <w:rFonts w:ascii="KFGQPC Uthmanic Script HAFS" w:cs="KFGQPC Uthmanic Script HAFS" w:hint="eastAsia"/>
          <w:szCs w:val="28"/>
          <w:rtl/>
        </w:rPr>
        <w:t>للَّهِ</w:t>
      </w:r>
      <w:r w:rsidR="006C78B4" w:rsidRPr="00995B26">
        <w:rPr>
          <w:rFonts w:cs="Traditional Arabic" w:hint="cs"/>
          <w:sz w:val="28"/>
          <w:rtl/>
        </w:rPr>
        <w:t>﴾</w:t>
      </w:r>
      <w:r w:rsidRPr="00995B26">
        <w:rPr>
          <w:rFonts w:hint="cs"/>
          <w:sz w:val="28"/>
          <w:rtl/>
        </w:rPr>
        <w:t xml:space="preserve"> </w:t>
      </w:r>
      <w:r w:rsidRPr="003108CB">
        <w:rPr>
          <w:rStyle w:val="Char2"/>
          <w:rtl/>
        </w:rPr>
        <w:t>[هود</w:t>
      </w:r>
      <w:r w:rsidR="006C78B4" w:rsidRPr="003108CB">
        <w:rPr>
          <w:rStyle w:val="Char2"/>
          <w:rFonts w:hint="cs"/>
          <w:rtl/>
        </w:rPr>
        <w:t xml:space="preserve">: </w:t>
      </w:r>
      <w:r w:rsidRPr="003108CB">
        <w:rPr>
          <w:rStyle w:val="Char2"/>
          <w:rtl/>
        </w:rPr>
        <w:t>29]</w:t>
      </w:r>
      <w:r w:rsidR="00217AB4" w:rsidRPr="00995B26">
        <w:rPr>
          <w:rFonts w:hint="cs"/>
          <w:sz w:val="28"/>
          <w:rtl/>
        </w:rPr>
        <w:t>.</w:t>
      </w:r>
    </w:p>
    <w:p w:rsidR="005C664D" w:rsidRPr="003F3B94" w:rsidRDefault="005C664D" w:rsidP="000E2C23">
      <w:pPr>
        <w:pStyle w:val="a0"/>
        <w:ind w:left="624" w:hanging="340"/>
        <w:rPr>
          <w:rFonts w:hint="cs"/>
          <w:rtl/>
        </w:rPr>
      </w:pPr>
      <w:r w:rsidRPr="003F3B94">
        <w:rPr>
          <w:rFonts w:hint="cs"/>
          <w:sz w:val="28"/>
          <w:rtl/>
        </w:rPr>
        <w:t>3</w:t>
      </w:r>
      <w:r w:rsidR="00217AB4" w:rsidRPr="003F3B94">
        <w:rPr>
          <w:rFonts w:hint="cs"/>
          <w:sz w:val="28"/>
          <w:rtl/>
        </w:rPr>
        <w:t>-</w:t>
      </w:r>
      <w:r w:rsidRPr="003F3B94">
        <w:rPr>
          <w:rFonts w:hint="cs"/>
          <w:sz w:val="28"/>
          <w:rtl/>
        </w:rPr>
        <w:t xml:space="preserve"> وفي سورة الشعراء الآية 109 يقول عن حضرته أيضاً</w:t>
      </w:r>
      <w:r w:rsidR="00147857" w:rsidRPr="003F3B94">
        <w:rPr>
          <w:rFonts w:hint="cs"/>
          <w:sz w:val="28"/>
          <w:rtl/>
        </w:rPr>
        <w:t xml:space="preserve"> </w:t>
      </w:r>
      <w:r w:rsidR="003C7AEB" w:rsidRPr="003C7AEB">
        <w:rPr>
          <w:rFonts w:ascii="Abo-thar" w:hAnsi="Abo-thar" w:cs="CTraditional Arabic"/>
          <w:sz w:val="28"/>
          <w:rtl/>
        </w:rPr>
        <w:t>÷</w:t>
      </w:r>
      <w:r w:rsidR="00217AB4" w:rsidRPr="003F3B94">
        <w:rPr>
          <w:rFonts w:ascii="Abo-thar" w:hAnsi="Abo-thar"/>
          <w:sz w:val="28"/>
          <w:rtl/>
        </w:rPr>
        <w:t>:</w:t>
      </w:r>
      <w:r w:rsidR="000E2C23">
        <w:rPr>
          <w:rFonts w:ascii="Abo-thar" w:hAnsi="Abo-thar" w:hint="cs"/>
          <w:sz w:val="28"/>
          <w:rtl/>
        </w:rPr>
        <w:t xml:space="preserve"> </w:t>
      </w:r>
      <w:r w:rsidR="006C78B4" w:rsidRPr="00995B26">
        <w:rPr>
          <w:rFonts w:cs="Traditional Arabic" w:hint="cs"/>
          <w:sz w:val="28"/>
          <w:rtl/>
        </w:rPr>
        <w:t>﴿</w:t>
      </w:r>
      <w:r w:rsidR="006C78B4" w:rsidRPr="0067048A">
        <w:rPr>
          <w:rFonts w:ascii="KFGQPC Uthmanic Script HAFS" w:cs="KFGQPC Uthmanic Script HAFS" w:hint="eastAsia"/>
          <w:sz w:val="28"/>
          <w:szCs w:val="28"/>
          <w:rtl/>
        </w:rPr>
        <w:t>وَمَا</w:t>
      </w:r>
      <w:r w:rsidR="006C78B4" w:rsidRPr="0067048A">
        <w:rPr>
          <w:rFonts w:ascii="KFGQPC Uthmanic Script HAFS" w:cs="KFGQPC Uthmanic Script HAFS" w:hint="cs"/>
          <w:sz w:val="28"/>
          <w:szCs w:val="28"/>
          <w:rtl/>
        </w:rPr>
        <w:t>ٓ</w:t>
      </w:r>
      <w:r w:rsidR="006C78B4" w:rsidRPr="0067048A">
        <w:rPr>
          <w:rFonts w:ascii="KFGQPC Uthmanic Script HAFS" w:cs="KFGQPC Uthmanic Script HAFS"/>
          <w:sz w:val="28"/>
          <w:szCs w:val="28"/>
          <w:rtl/>
        </w:rPr>
        <w:t xml:space="preserve"> </w:t>
      </w:r>
      <w:r w:rsidR="006C78B4" w:rsidRPr="0067048A">
        <w:rPr>
          <w:rFonts w:ascii="KFGQPC Uthmanic Script HAFS" w:cs="KFGQPC Uthmanic Script HAFS" w:hint="eastAsia"/>
          <w:sz w:val="28"/>
          <w:szCs w:val="28"/>
          <w:rtl/>
        </w:rPr>
        <w:t>أَس</w:t>
      </w:r>
      <w:r w:rsidR="006C78B4" w:rsidRPr="0067048A">
        <w:rPr>
          <w:rFonts w:ascii="KFGQPC Uthmanic Script HAFS" w:cs="KFGQPC Uthmanic Script HAFS" w:hint="cs"/>
          <w:sz w:val="28"/>
          <w:szCs w:val="28"/>
          <w:rtl/>
        </w:rPr>
        <w:t>ۡ</w:t>
      </w:r>
      <w:r w:rsidR="006C78B4" w:rsidRPr="0067048A">
        <w:rPr>
          <w:rFonts w:ascii="KFGQPC Uthmanic Script HAFS" w:cs="KFGQPC Uthmanic Script HAFS" w:hint="eastAsia"/>
          <w:sz w:val="28"/>
          <w:szCs w:val="28"/>
          <w:rtl/>
        </w:rPr>
        <w:t>‍</w:t>
      </w:r>
      <w:r w:rsidR="006C78B4" w:rsidRPr="0067048A">
        <w:rPr>
          <w:rFonts w:ascii="KFGQPC Uthmanic Script HAFS" w:cs="KFGQPC Uthmanic Script HAFS" w:hint="cs"/>
          <w:sz w:val="28"/>
          <w:szCs w:val="28"/>
          <w:rtl/>
        </w:rPr>
        <w:t>ٔ</w:t>
      </w:r>
      <w:r w:rsidR="006C78B4" w:rsidRPr="0067048A">
        <w:rPr>
          <w:rFonts w:ascii="KFGQPC Uthmanic Script HAFS" w:cs="KFGQPC Uthmanic Script HAFS" w:hint="eastAsia"/>
          <w:sz w:val="28"/>
          <w:szCs w:val="28"/>
          <w:rtl/>
        </w:rPr>
        <w:t>َلُكُم</w:t>
      </w:r>
      <w:r w:rsidR="006C78B4" w:rsidRPr="0067048A">
        <w:rPr>
          <w:rFonts w:ascii="KFGQPC Uthmanic Script HAFS" w:cs="KFGQPC Uthmanic Script HAFS" w:hint="cs"/>
          <w:sz w:val="28"/>
          <w:szCs w:val="28"/>
          <w:rtl/>
        </w:rPr>
        <w:t>ۡ</w:t>
      </w:r>
      <w:r w:rsidR="006C78B4" w:rsidRPr="0067048A">
        <w:rPr>
          <w:rFonts w:ascii="KFGQPC Uthmanic Script HAFS" w:cs="KFGQPC Uthmanic Script HAFS"/>
          <w:sz w:val="28"/>
          <w:szCs w:val="28"/>
          <w:rtl/>
        </w:rPr>
        <w:t xml:space="preserve"> </w:t>
      </w:r>
      <w:r w:rsidR="006C78B4" w:rsidRPr="0067048A">
        <w:rPr>
          <w:rFonts w:ascii="KFGQPC Uthmanic Script HAFS" w:cs="KFGQPC Uthmanic Script HAFS" w:hint="eastAsia"/>
          <w:sz w:val="28"/>
          <w:szCs w:val="28"/>
          <w:rtl/>
        </w:rPr>
        <w:t>عَلَي</w:t>
      </w:r>
      <w:r w:rsidR="006C78B4" w:rsidRPr="0067048A">
        <w:rPr>
          <w:rFonts w:ascii="KFGQPC Uthmanic Script HAFS" w:cs="KFGQPC Uthmanic Script HAFS" w:hint="cs"/>
          <w:sz w:val="28"/>
          <w:szCs w:val="28"/>
          <w:rtl/>
        </w:rPr>
        <w:t>ۡ</w:t>
      </w:r>
      <w:r w:rsidR="006C78B4" w:rsidRPr="0067048A">
        <w:rPr>
          <w:rFonts w:ascii="KFGQPC Uthmanic Script HAFS" w:cs="KFGQPC Uthmanic Script HAFS" w:hint="eastAsia"/>
          <w:sz w:val="28"/>
          <w:szCs w:val="28"/>
          <w:rtl/>
        </w:rPr>
        <w:t>هِ</w:t>
      </w:r>
      <w:r w:rsidR="006C78B4" w:rsidRPr="0067048A">
        <w:rPr>
          <w:rFonts w:ascii="KFGQPC Uthmanic Script HAFS" w:cs="KFGQPC Uthmanic Script HAFS"/>
          <w:sz w:val="28"/>
          <w:szCs w:val="28"/>
          <w:rtl/>
        </w:rPr>
        <w:t xml:space="preserve"> </w:t>
      </w:r>
      <w:r w:rsidR="006C78B4" w:rsidRPr="0067048A">
        <w:rPr>
          <w:rFonts w:ascii="KFGQPC Uthmanic Script HAFS" w:cs="KFGQPC Uthmanic Script HAFS" w:hint="eastAsia"/>
          <w:sz w:val="28"/>
          <w:szCs w:val="28"/>
          <w:rtl/>
        </w:rPr>
        <w:t>مِن</w:t>
      </w:r>
      <w:r w:rsidR="006C78B4" w:rsidRPr="0067048A">
        <w:rPr>
          <w:rFonts w:ascii="KFGQPC Uthmanic Script HAFS" w:cs="KFGQPC Uthmanic Script HAFS" w:hint="cs"/>
          <w:sz w:val="28"/>
          <w:szCs w:val="28"/>
          <w:rtl/>
        </w:rPr>
        <w:t>ۡ</w:t>
      </w:r>
      <w:r w:rsidR="006C78B4" w:rsidRPr="0067048A">
        <w:rPr>
          <w:rFonts w:ascii="KFGQPC Uthmanic Script HAFS" w:cs="KFGQPC Uthmanic Script HAFS"/>
          <w:sz w:val="28"/>
          <w:szCs w:val="28"/>
          <w:rtl/>
        </w:rPr>
        <w:t xml:space="preserve"> </w:t>
      </w:r>
      <w:r w:rsidR="006C78B4" w:rsidRPr="0067048A">
        <w:rPr>
          <w:rFonts w:ascii="KFGQPC Uthmanic Script HAFS" w:cs="KFGQPC Uthmanic Script HAFS" w:hint="eastAsia"/>
          <w:sz w:val="28"/>
          <w:szCs w:val="28"/>
          <w:rtl/>
        </w:rPr>
        <w:t>أَج</w:t>
      </w:r>
      <w:r w:rsidR="006C78B4" w:rsidRPr="0067048A">
        <w:rPr>
          <w:rFonts w:ascii="KFGQPC Uthmanic Script HAFS" w:cs="KFGQPC Uthmanic Script HAFS" w:hint="cs"/>
          <w:sz w:val="28"/>
          <w:szCs w:val="28"/>
          <w:rtl/>
        </w:rPr>
        <w:t>ۡ</w:t>
      </w:r>
      <w:r w:rsidR="006C78B4" w:rsidRPr="0067048A">
        <w:rPr>
          <w:rFonts w:ascii="KFGQPC Uthmanic Script HAFS" w:cs="KFGQPC Uthmanic Script HAFS" w:hint="eastAsia"/>
          <w:sz w:val="28"/>
          <w:szCs w:val="28"/>
          <w:rtl/>
        </w:rPr>
        <w:t>رٍ</w:t>
      </w:r>
      <w:r w:rsidR="006C78B4" w:rsidRPr="0067048A">
        <w:rPr>
          <w:rFonts w:ascii="KFGQPC Uthmanic Script HAFS" w:cs="KFGQPC Uthmanic Script HAFS" w:hint="cs"/>
          <w:sz w:val="28"/>
          <w:szCs w:val="28"/>
          <w:rtl/>
        </w:rPr>
        <w:t>ۖ</w:t>
      </w:r>
      <w:r w:rsidR="006C78B4" w:rsidRPr="0067048A">
        <w:rPr>
          <w:rFonts w:ascii="KFGQPC Uthmanic Script HAFS" w:cs="KFGQPC Uthmanic Script HAFS"/>
          <w:sz w:val="28"/>
          <w:szCs w:val="28"/>
          <w:rtl/>
        </w:rPr>
        <w:t xml:space="preserve"> </w:t>
      </w:r>
      <w:r w:rsidR="006C78B4" w:rsidRPr="0067048A">
        <w:rPr>
          <w:rFonts w:ascii="KFGQPC Uthmanic Script HAFS" w:cs="KFGQPC Uthmanic Script HAFS" w:hint="eastAsia"/>
          <w:sz w:val="28"/>
          <w:szCs w:val="28"/>
          <w:rtl/>
        </w:rPr>
        <w:t>إِن</w:t>
      </w:r>
      <w:r w:rsidR="006C78B4" w:rsidRPr="0067048A">
        <w:rPr>
          <w:rFonts w:ascii="KFGQPC Uthmanic Script HAFS" w:cs="KFGQPC Uthmanic Script HAFS" w:hint="cs"/>
          <w:sz w:val="28"/>
          <w:szCs w:val="28"/>
          <w:rtl/>
        </w:rPr>
        <w:t>ۡ</w:t>
      </w:r>
      <w:r w:rsidR="006C78B4" w:rsidRPr="0067048A">
        <w:rPr>
          <w:rFonts w:ascii="KFGQPC Uthmanic Script HAFS" w:cs="KFGQPC Uthmanic Script HAFS"/>
          <w:sz w:val="28"/>
          <w:szCs w:val="28"/>
          <w:rtl/>
        </w:rPr>
        <w:t xml:space="preserve"> </w:t>
      </w:r>
      <w:r w:rsidR="006C78B4" w:rsidRPr="0067048A">
        <w:rPr>
          <w:rFonts w:ascii="KFGQPC Uthmanic Script HAFS" w:cs="KFGQPC Uthmanic Script HAFS" w:hint="eastAsia"/>
          <w:sz w:val="28"/>
          <w:szCs w:val="28"/>
          <w:rtl/>
        </w:rPr>
        <w:t>أَج</w:t>
      </w:r>
      <w:r w:rsidR="006C78B4" w:rsidRPr="0067048A">
        <w:rPr>
          <w:rFonts w:ascii="KFGQPC Uthmanic Script HAFS" w:cs="KFGQPC Uthmanic Script HAFS" w:hint="cs"/>
          <w:sz w:val="28"/>
          <w:szCs w:val="28"/>
          <w:rtl/>
        </w:rPr>
        <w:t>ۡ</w:t>
      </w:r>
      <w:r w:rsidR="006C78B4" w:rsidRPr="0067048A">
        <w:rPr>
          <w:rFonts w:ascii="KFGQPC Uthmanic Script HAFS" w:cs="KFGQPC Uthmanic Script HAFS" w:hint="eastAsia"/>
          <w:sz w:val="28"/>
          <w:szCs w:val="28"/>
          <w:rtl/>
        </w:rPr>
        <w:t>رِيَ</w:t>
      </w:r>
      <w:r w:rsidR="006C78B4" w:rsidRPr="0067048A">
        <w:rPr>
          <w:rFonts w:ascii="KFGQPC Uthmanic Script HAFS" w:cs="KFGQPC Uthmanic Script HAFS"/>
          <w:sz w:val="28"/>
          <w:szCs w:val="28"/>
          <w:rtl/>
        </w:rPr>
        <w:t xml:space="preserve"> </w:t>
      </w:r>
      <w:r w:rsidR="006C78B4" w:rsidRPr="0067048A">
        <w:rPr>
          <w:rFonts w:ascii="KFGQPC Uthmanic Script HAFS" w:cs="KFGQPC Uthmanic Script HAFS" w:hint="eastAsia"/>
          <w:sz w:val="28"/>
          <w:szCs w:val="28"/>
          <w:rtl/>
        </w:rPr>
        <w:t>إِلَّا</w:t>
      </w:r>
      <w:r w:rsidR="006C78B4" w:rsidRPr="0067048A">
        <w:rPr>
          <w:rFonts w:ascii="KFGQPC Uthmanic Script HAFS" w:cs="KFGQPC Uthmanic Script HAFS"/>
          <w:sz w:val="28"/>
          <w:szCs w:val="28"/>
          <w:rtl/>
        </w:rPr>
        <w:t xml:space="preserve"> </w:t>
      </w:r>
      <w:r w:rsidR="006C78B4" w:rsidRPr="0067048A">
        <w:rPr>
          <w:rFonts w:ascii="KFGQPC Uthmanic Script HAFS" w:cs="KFGQPC Uthmanic Script HAFS" w:hint="eastAsia"/>
          <w:sz w:val="28"/>
          <w:szCs w:val="28"/>
          <w:rtl/>
        </w:rPr>
        <w:t>عَلَى</w:t>
      </w:r>
      <w:r w:rsidR="006C78B4" w:rsidRPr="0067048A">
        <w:rPr>
          <w:rFonts w:ascii="KFGQPC Uthmanic Script HAFS" w:cs="KFGQPC Uthmanic Script HAFS" w:hint="cs"/>
          <w:sz w:val="28"/>
          <w:szCs w:val="28"/>
          <w:rtl/>
        </w:rPr>
        <w:t>ٰ</w:t>
      </w:r>
      <w:r w:rsidR="006C78B4" w:rsidRPr="0067048A">
        <w:rPr>
          <w:rFonts w:ascii="KFGQPC Uthmanic Script HAFS" w:cs="KFGQPC Uthmanic Script HAFS"/>
          <w:sz w:val="28"/>
          <w:szCs w:val="28"/>
          <w:rtl/>
        </w:rPr>
        <w:t xml:space="preserve"> </w:t>
      </w:r>
      <w:r w:rsidR="006C78B4" w:rsidRPr="0067048A">
        <w:rPr>
          <w:rFonts w:ascii="KFGQPC Uthmanic Script HAFS" w:cs="KFGQPC Uthmanic Script HAFS" w:hint="eastAsia"/>
          <w:sz w:val="28"/>
          <w:szCs w:val="28"/>
          <w:rtl/>
        </w:rPr>
        <w:t>رَبِّ</w:t>
      </w:r>
      <w:r w:rsidR="006C78B4" w:rsidRPr="0067048A">
        <w:rPr>
          <w:rFonts w:ascii="KFGQPC Uthmanic Script HAFS" w:cs="KFGQPC Uthmanic Script HAFS"/>
          <w:sz w:val="28"/>
          <w:szCs w:val="28"/>
          <w:rtl/>
        </w:rPr>
        <w:t xml:space="preserve"> </w:t>
      </w:r>
      <w:r w:rsidR="006C78B4" w:rsidRPr="0067048A">
        <w:rPr>
          <w:rFonts w:ascii="KFGQPC Uthmanic Script HAFS" w:cs="KFGQPC Uthmanic Script HAFS" w:hint="cs"/>
          <w:sz w:val="28"/>
          <w:szCs w:val="28"/>
          <w:rtl/>
        </w:rPr>
        <w:t>ٱ</w:t>
      </w:r>
      <w:r w:rsidR="006C78B4" w:rsidRPr="0067048A">
        <w:rPr>
          <w:rFonts w:ascii="KFGQPC Uthmanic Script HAFS" w:cs="KFGQPC Uthmanic Script HAFS" w:hint="eastAsia"/>
          <w:sz w:val="28"/>
          <w:szCs w:val="28"/>
          <w:rtl/>
        </w:rPr>
        <w:t>ل</w:t>
      </w:r>
      <w:r w:rsidR="006C78B4" w:rsidRPr="0067048A">
        <w:rPr>
          <w:rFonts w:ascii="KFGQPC Uthmanic Script HAFS" w:cs="KFGQPC Uthmanic Script HAFS" w:hint="cs"/>
          <w:sz w:val="28"/>
          <w:szCs w:val="28"/>
          <w:rtl/>
        </w:rPr>
        <w:t>ۡ</w:t>
      </w:r>
      <w:r w:rsidR="006C78B4" w:rsidRPr="0067048A">
        <w:rPr>
          <w:rFonts w:ascii="KFGQPC Uthmanic Script HAFS" w:cs="KFGQPC Uthmanic Script HAFS" w:hint="eastAsia"/>
          <w:sz w:val="28"/>
          <w:szCs w:val="28"/>
          <w:rtl/>
        </w:rPr>
        <w:t>عَ</w:t>
      </w:r>
      <w:r w:rsidR="006C78B4" w:rsidRPr="0067048A">
        <w:rPr>
          <w:rFonts w:ascii="KFGQPC Uthmanic Script HAFS" w:cs="KFGQPC Uthmanic Script HAFS" w:hint="cs"/>
          <w:sz w:val="28"/>
          <w:szCs w:val="28"/>
          <w:rtl/>
        </w:rPr>
        <w:t>ٰ</w:t>
      </w:r>
      <w:r w:rsidR="006C78B4" w:rsidRPr="0067048A">
        <w:rPr>
          <w:rFonts w:ascii="KFGQPC Uthmanic Script HAFS" w:cs="KFGQPC Uthmanic Script HAFS" w:hint="eastAsia"/>
          <w:sz w:val="28"/>
          <w:szCs w:val="28"/>
          <w:rtl/>
        </w:rPr>
        <w:t>لَمِينَ</w:t>
      </w:r>
      <w:r w:rsidR="006C78B4" w:rsidRPr="00995B26">
        <w:rPr>
          <w:rFonts w:cs="Traditional Arabic" w:hint="cs"/>
          <w:sz w:val="28"/>
          <w:rtl/>
        </w:rPr>
        <w:t>﴾</w:t>
      </w:r>
      <w:r w:rsidRPr="003F3B94">
        <w:rPr>
          <w:rFonts w:hint="cs"/>
          <w:sz w:val="28"/>
          <w:rtl/>
        </w:rPr>
        <w:t xml:space="preserve"> </w:t>
      </w:r>
      <w:r w:rsidRPr="003108CB">
        <w:rPr>
          <w:rStyle w:val="Char2"/>
          <w:rtl/>
        </w:rPr>
        <w:t>[الشعراء</w:t>
      </w:r>
      <w:r w:rsidR="006C78B4" w:rsidRPr="003108CB">
        <w:rPr>
          <w:rStyle w:val="Char2"/>
          <w:rFonts w:hint="cs"/>
          <w:rtl/>
        </w:rPr>
        <w:t xml:space="preserve">: </w:t>
      </w:r>
      <w:r w:rsidRPr="003108CB">
        <w:rPr>
          <w:rStyle w:val="Char2"/>
          <w:rtl/>
        </w:rPr>
        <w:t>109]</w:t>
      </w:r>
      <w:r w:rsidR="00217AB4" w:rsidRPr="003F3B94">
        <w:rPr>
          <w:rFonts w:hint="cs"/>
          <w:sz w:val="28"/>
          <w:rtl/>
        </w:rPr>
        <w:t>.</w:t>
      </w:r>
    </w:p>
    <w:p w:rsidR="005C664D" w:rsidRPr="003F3B94" w:rsidRDefault="005C664D" w:rsidP="000E2C23">
      <w:pPr>
        <w:pStyle w:val="a0"/>
        <w:ind w:left="624" w:hanging="340"/>
        <w:rPr>
          <w:rFonts w:hint="cs"/>
          <w:rtl/>
        </w:rPr>
      </w:pPr>
      <w:r w:rsidRPr="003F3B94">
        <w:rPr>
          <w:rFonts w:hint="cs"/>
          <w:sz w:val="28"/>
          <w:rtl/>
        </w:rPr>
        <w:t>4</w:t>
      </w:r>
      <w:r w:rsidR="00217AB4" w:rsidRPr="003F3B94">
        <w:rPr>
          <w:rFonts w:hint="cs"/>
          <w:sz w:val="28"/>
          <w:rtl/>
        </w:rPr>
        <w:t>-</w:t>
      </w:r>
      <w:r w:rsidRPr="003F3B94">
        <w:rPr>
          <w:rFonts w:hint="cs"/>
          <w:sz w:val="28"/>
          <w:rtl/>
        </w:rPr>
        <w:t xml:space="preserve"> ويقول حضرة الرب الودود عن لسان حضرة النبي هود</w:t>
      </w:r>
      <w:r w:rsidR="00147857" w:rsidRPr="003F3B94">
        <w:rPr>
          <w:rFonts w:hint="cs"/>
          <w:sz w:val="28"/>
          <w:rtl/>
        </w:rPr>
        <w:t xml:space="preserve"> </w:t>
      </w:r>
      <w:r w:rsidR="003C7AEB" w:rsidRPr="003C7AEB">
        <w:rPr>
          <w:rFonts w:ascii="Abo-thar" w:hAnsi="Abo-thar" w:cs="CTraditional Arabic"/>
          <w:sz w:val="28"/>
          <w:rtl/>
        </w:rPr>
        <w:t>÷</w:t>
      </w:r>
      <w:r w:rsidR="00217AB4" w:rsidRPr="003F3B94">
        <w:rPr>
          <w:rFonts w:ascii="Abo-thar" w:hAnsi="Abo-thar"/>
          <w:sz w:val="28"/>
          <w:rtl/>
        </w:rPr>
        <w:t>:</w:t>
      </w:r>
      <w:r w:rsidR="000E2C23">
        <w:rPr>
          <w:rFonts w:ascii="Abo-thar" w:hAnsi="Abo-thar" w:hint="cs"/>
          <w:sz w:val="28"/>
          <w:rtl/>
        </w:rPr>
        <w:t xml:space="preserve"> </w:t>
      </w:r>
      <w:r w:rsidR="006C78B4" w:rsidRPr="00995B26">
        <w:rPr>
          <w:rFonts w:cs="Traditional Arabic" w:hint="cs"/>
          <w:sz w:val="28"/>
          <w:rtl/>
        </w:rPr>
        <w:t>﴿</w:t>
      </w:r>
      <w:r w:rsidR="006C78B4" w:rsidRPr="0067048A">
        <w:rPr>
          <w:rFonts w:ascii="KFGQPC Uthmanic Script HAFS" w:cs="KFGQPC Uthmanic Script HAFS" w:hint="eastAsia"/>
          <w:sz w:val="28"/>
          <w:szCs w:val="28"/>
          <w:rtl/>
        </w:rPr>
        <w:t>يَ</w:t>
      </w:r>
      <w:r w:rsidR="006C78B4" w:rsidRPr="0067048A">
        <w:rPr>
          <w:rFonts w:ascii="KFGQPC Uthmanic Script HAFS" w:cs="KFGQPC Uthmanic Script HAFS" w:hint="cs"/>
          <w:sz w:val="28"/>
          <w:szCs w:val="28"/>
          <w:rtl/>
        </w:rPr>
        <w:t>ٰ</w:t>
      </w:r>
      <w:r w:rsidR="006C78B4" w:rsidRPr="0067048A">
        <w:rPr>
          <w:rFonts w:ascii="KFGQPC Uthmanic Script HAFS" w:cs="KFGQPC Uthmanic Script HAFS" w:hint="eastAsia"/>
          <w:sz w:val="28"/>
          <w:szCs w:val="28"/>
          <w:rtl/>
        </w:rPr>
        <w:t>قَو</w:t>
      </w:r>
      <w:r w:rsidR="006C78B4" w:rsidRPr="0067048A">
        <w:rPr>
          <w:rFonts w:ascii="KFGQPC Uthmanic Script HAFS" w:cs="KFGQPC Uthmanic Script HAFS" w:hint="cs"/>
          <w:sz w:val="28"/>
          <w:szCs w:val="28"/>
          <w:rtl/>
        </w:rPr>
        <w:t>ۡ</w:t>
      </w:r>
      <w:r w:rsidR="006C78B4" w:rsidRPr="0067048A">
        <w:rPr>
          <w:rFonts w:ascii="KFGQPC Uthmanic Script HAFS" w:cs="KFGQPC Uthmanic Script HAFS" w:hint="eastAsia"/>
          <w:sz w:val="28"/>
          <w:szCs w:val="28"/>
          <w:rtl/>
        </w:rPr>
        <w:t>مِ</w:t>
      </w:r>
      <w:r w:rsidR="006C78B4" w:rsidRPr="0067048A">
        <w:rPr>
          <w:rFonts w:ascii="KFGQPC Uthmanic Script HAFS" w:cs="KFGQPC Uthmanic Script HAFS"/>
          <w:sz w:val="28"/>
          <w:szCs w:val="28"/>
          <w:rtl/>
        </w:rPr>
        <w:t xml:space="preserve"> </w:t>
      </w:r>
      <w:r w:rsidR="006C78B4" w:rsidRPr="0067048A">
        <w:rPr>
          <w:rFonts w:ascii="KFGQPC Uthmanic Script HAFS" w:cs="KFGQPC Uthmanic Script HAFS" w:hint="eastAsia"/>
          <w:sz w:val="28"/>
          <w:szCs w:val="28"/>
          <w:rtl/>
        </w:rPr>
        <w:t>لَا</w:t>
      </w:r>
      <w:r w:rsidR="006C78B4" w:rsidRPr="0067048A">
        <w:rPr>
          <w:rFonts w:ascii="KFGQPC Uthmanic Script HAFS" w:cs="KFGQPC Uthmanic Script HAFS" w:hint="cs"/>
          <w:sz w:val="28"/>
          <w:szCs w:val="28"/>
          <w:rtl/>
        </w:rPr>
        <w:t>ٓ</w:t>
      </w:r>
      <w:r w:rsidR="006C78B4" w:rsidRPr="0067048A">
        <w:rPr>
          <w:rFonts w:ascii="KFGQPC Uthmanic Script HAFS" w:cs="KFGQPC Uthmanic Script HAFS"/>
          <w:sz w:val="28"/>
          <w:szCs w:val="28"/>
          <w:rtl/>
        </w:rPr>
        <w:t xml:space="preserve"> </w:t>
      </w:r>
      <w:r w:rsidR="006C78B4" w:rsidRPr="0067048A">
        <w:rPr>
          <w:rFonts w:ascii="KFGQPC Uthmanic Script HAFS" w:cs="KFGQPC Uthmanic Script HAFS" w:hint="eastAsia"/>
          <w:sz w:val="28"/>
          <w:szCs w:val="28"/>
          <w:rtl/>
        </w:rPr>
        <w:t>أَس</w:t>
      </w:r>
      <w:r w:rsidR="006C78B4" w:rsidRPr="0067048A">
        <w:rPr>
          <w:rFonts w:ascii="KFGQPC Uthmanic Script HAFS" w:cs="KFGQPC Uthmanic Script HAFS" w:hint="cs"/>
          <w:sz w:val="28"/>
          <w:szCs w:val="28"/>
          <w:rtl/>
        </w:rPr>
        <w:t>ۡ</w:t>
      </w:r>
      <w:r w:rsidR="006C78B4" w:rsidRPr="0067048A">
        <w:rPr>
          <w:rFonts w:ascii="KFGQPC Uthmanic Script HAFS" w:cs="KFGQPC Uthmanic Script HAFS" w:hint="eastAsia"/>
          <w:sz w:val="28"/>
          <w:szCs w:val="28"/>
          <w:rtl/>
        </w:rPr>
        <w:t>‍</w:t>
      </w:r>
      <w:r w:rsidR="006C78B4" w:rsidRPr="0067048A">
        <w:rPr>
          <w:rFonts w:ascii="KFGQPC Uthmanic Script HAFS" w:cs="KFGQPC Uthmanic Script HAFS" w:hint="cs"/>
          <w:sz w:val="28"/>
          <w:szCs w:val="28"/>
          <w:rtl/>
        </w:rPr>
        <w:t>ٔ</w:t>
      </w:r>
      <w:r w:rsidR="006C78B4" w:rsidRPr="0067048A">
        <w:rPr>
          <w:rFonts w:ascii="KFGQPC Uthmanic Script HAFS" w:cs="KFGQPC Uthmanic Script HAFS" w:hint="eastAsia"/>
          <w:sz w:val="28"/>
          <w:szCs w:val="28"/>
          <w:rtl/>
        </w:rPr>
        <w:t>َلُكُم</w:t>
      </w:r>
      <w:r w:rsidR="006C78B4" w:rsidRPr="0067048A">
        <w:rPr>
          <w:rFonts w:ascii="KFGQPC Uthmanic Script HAFS" w:cs="KFGQPC Uthmanic Script HAFS" w:hint="cs"/>
          <w:sz w:val="28"/>
          <w:szCs w:val="28"/>
          <w:rtl/>
        </w:rPr>
        <w:t>ۡ</w:t>
      </w:r>
      <w:r w:rsidR="006C78B4" w:rsidRPr="0067048A">
        <w:rPr>
          <w:rFonts w:ascii="KFGQPC Uthmanic Script HAFS" w:cs="KFGQPC Uthmanic Script HAFS"/>
          <w:sz w:val="28"/>
          <w:szCs w:val="28"/>
          <w:rtl/>
        </w:rPr>
        <w:t xml:space="preserve"> </w:t>
      </w:r>
      <w:r w:rsidR="006C78B4" w:rsidRPr="0067048A">
        <w:rPr>
          <w:rFonts w:ascii="KFGQPC Uthmanic Script HAFS" w:cs="KFGQPC Uthmanic Script HAFS" w:hint="eastAsia"/>
          <w:sz w:val="28"/>
          <w:szCs w:val="28"/>
          <w:rtl/>
        </w:rPr>
        <w:t>عَلَي</w:t>
      </w:r>
      <w:r w:rsidR="006C78B4" w:rsidRPr="0067048A">
        <w:rPr>
          <w:rFonts w:ascii="KFGQPC Uthmanic Script HAFS" w:cs="KFGQPC Uthmanic Script HAFS" w:hint="cs"/>
          <w:sz w:val="28"/>
          <w:szCs w:val="28"/>
          <w:rtl/>
        </w:rPr>
        <w:t>ۡ</w:t>
      </w:r>
      <w:r w:rsidR="006C78B4" w:rsidRPr="0067048A">
        <w:rPr>
          <w:rFonts w:ascii="KFGQPC Uthmanic Script HAFS" w:cs="KFGQPC Uthmanic Script HAFS" w:hint="eastAsia"/>
          <w:sz w:val="28"/>
          <w:szCs w:val="28"/>
          <w:rtl/>
        </w:rPr>
        <w:t>هِ</w:t>
      </w:r>
      <w:r w:rsidR="006C78B4" w:rsidRPr="0067048A">
        <w:rPr>
          <w:rFonts w:ascii="KFGQPC Uthmanic Script HAFS" w:cs="KFGQPC Uthmanic Script HAFS"/>
          <w:sz w:val="28"/>
          <w:szCs w:val="28"/>
          <w:rtl/>
        </w:rPr>
        <w:t xml:space="preserve"> </w:t>
      </w:r>
      <w:r w:rsidR="006C78B4" w:rsidRPr="0067048A">
        <w:rPr>
          <w:rFonts w:ascii="KFGQPC Uthmanic Script HAFS" w:cs="KFGQPC Uthmanic Script HAFS" w:hint="eastAsia"/>
          <w:sz w:val="28"/>
          <w:szCs w:val="28"/>
          <w:rtl/>
        </w:rPr>
        <w:t>أَج</w:t>
      </w:r>
      <w:r w:rsidR="006C78B4" w:rsidRPr="0067048A">
        <w:rPr>
          <w:rFonts w:ascii="KFGQPC Uthmanic Script HAFS" w:cs="KFGQPC Uthmanic Script HAFS" w:hint="cs"/>
          <w:sz w:val="28"/>
          <w:szCs w:val="28"/>
          <w:rtl/>
        </w:rPr>
        <w:t>ۡ</w:t>
      </w:r>
      <w:r w:rsidR="006C78B4" w:rsidRPr="0067048A">
        <w:rPr>
          <w:rFonts w:ascii="KFGQPC Uthmanic Script HAFS" w:cs="KFGQPC Uthmanic Script HAFS" w:hint="eastAsia"/>
          <w:sz w:val="28"/>
          <w:szCs w:val="28"/>
          <w:rtl/>
        </w:rPr>
        <w:t>رًا</w:t>
      </w:r>
      <w:r w:rsidR="006C78B4" w:rsidRPr="0067048A">
        <w:rPr>
          <w:rFonts w:ascii="KFGQPC Uthmanic Script HAFS" w:cs="KFGQPC Uthmanic Script HAFS" w:hint="cs"/>
          <w:sz w:val="28"/>
          <w:szCs w:val="28"/>
          <w:rtl/>
        </w:rPr>
        <w:t>ۖ</w:t>
      </w:r>
      <w:r w:rsidR="006C78B4" w:rsidRPr="0067048A">
        <w:rPr>
          <w:rFonts w:ascii="KFGQPC Uthmanic Script HAFS" w:cs="KFGQPC Uthmanic Script HAFS"/>
          <w:sz w:val="28"/>
          <w:szCs w:val="28"/>
          <w:rtl/>
        </w:rPr>
        <w:t xml:space="preserve"> </w:t>
      </w:r>
      <w:r w:rsidR="006C78B4" w:rsidRPr="0067048A">
        <w:rPr>
          <w:rFonts w:ascii="KFGQPC Uthmanic Script HAFS" w:cs="KFGQPC Uthmanic Script HAFS" w:hint="eastAsia"/>
          <w:sz w:val="28"/>
          <w:szCs w:val="28"/>
          <w:rtl/>
        </w:rPr>
        <w:t>إِن</w:t>
      </w:r>
      <w:r w:rsidR="006C78B4" w:rsidRPr="0067048A">
        <w:rPr>
          <w:rFonts w:ascii="KFGQPC Uthmanic Script HAFS" w:cs="KFGQPC Uthmanic Script HAFS" w:hint="cs"/>
          <w:sz w:val="28"/>
          <w:szCs w:val="28"/>
          <w:rtl/>
        </w:rPr>
        <w:t>ۡ</w:t>
      </w:r>
      <w:r w:rsidR="006C78B4" w:rsidRPr="0067048A">
        <w:rPr>
          <w:rFonts w:ascii="KFGQPC Uthmanic Script HAFS" w:cs="KFGQPC Uthmanic Script HAFS"/>
          <w:sz w:val="28"/>
          <w:szCs w:val="28"/>
          <w:rtl/>
        </w:rPr>
        <w:t xml:space="preserve"> </w:t>
      </w:r>
      <w:r w:rsidR="006C78B4" w:rsidRPr="0067048A">
        <w:rPr>
          <w:rFonts w:ascii="KFGQPC Uthmanic Script HAFS" w:cs="KFGQPC Uthmanic Script HAFS" w:hint="eastAsia"/>
          <w:sz w:val="28"/>
          <w:szCs w:val="28"/>
          <w:rtl/>
        </w:rPr>
        <w:t>أَج</w:t>
      </w:r>
      <w:r w:rsidR="006C78B4" w:rsidRPr="0067048A">
        <w:rPr>
          <w:rFonts w:ascii="KFGQPC Uthmanic Script HAFS" w:cs="KFGQPC Uthmanic Script HAFS" w:hint="cs"/>
          <w:sz w:val="28"/>
          <w:szCs w:val="28"/>
          <w:rtl/>
        </w:rPr>
        <w:t>ۡ</w:t>
      </w:r>
      <w:r w:rsidR="006C78B4" w:rsidRPr="0067048A">
        <w:rPr>
          <w:rFonts w:ascii="KFGQPC Uthmanic Script HAFS" w:cs="KFGQPC Uthmanic Script HAFS" w:hint="eastAsia"/>
          <w:sz w:val="28"/>
          <w:szCs w:val="28"/>
          <w:rtl/>
        </w:rPr>
        <w:t>رِيَ</w:t>
      </w:r>
      <w:r w:rsidR="006C78B4" w:rsidRPr="0067048A">
        <w:rPr>
          <w:rFonts w:ascii="KFGQPC Uthmanic Script HAFS" w:cs="KFGQPC Uthmanic Script HAFS"/>
          <w:sz w:val="28"/>
          <w:szCs w:val="28"/>
          <w:rtl/>
        </w:rPr>
        <w:t xml:space="preserve"> </w:t>
      </w:r>
      <w:r w:rsidR="006C78B4" w:rsidRPr="0067048A">
        <w:rPr>
          <w:rFonts w:ascii="KFGQPC Uthmanic Script HAFS" w:cs="KFGQPC Uthmanic Script HAFS" w:hint="eastAsia"/>
          <w:sz w:val="28"/>
          <w:szCs w:val="28"/>
          <w:rtl/>
        </w:rPr>
        <w:t>إِلَّا</w:t>
      </w:r>
      <w:r w:rsidR="006C78B4" w:rsidRPr="0067048A">
        <w:rPr>
          <w:rFonts w:ascii="KFGQPC Uthmanic Script HAFS" w:cs="KFGQPC Uthmanic Script HAFS"/>
          <w:sz w:val="28"/>
          <w:szCs w:val="28"/>
          <w:rtl/>
        </w:rPr>
        <w:t xml:space="preserve"> </w:t>
      </w:r>
      <w:r w:rsidR="006C78B4" w:rsidRPr="0067048A">
        <w:rPr>
          <w:rFonts w:ascii="KFGQPC Uthmanic Script HAFS" w:cs="KFGQPC Uthmanic Script HAFS" w:hint="eastAsia"/>
          <w:sz w:val="28"/>
          <w:szCs w:val="28"/>
          <w:rtl/>
        </w:rPr>
        <w:t>عَلَى</w:t>
      </w:r>
      <w:r w:rsidR="006C78B4" w:rsidRPr="0067048A">
        <w:rPr>
          <w:rFonts w:ascii="KFGQPC Uthmanic Script HAFS" w:cs="KFGQPC Uthmanic Script HAFS"/>
          <w:sz w:val="28"/>
          <w:szCs w:val="28"/>
          <w:rtl/>
        </w:rPr>
        <w:t xml:space="preserve"> </w:t>
      </w:r>
      <w:r w:rsidR="006C78B4" w:rsidRPr="0067048A">
        <w:rPr>
          <w:rFonts w:ascii="KFGQPC Uthmanic Script HAFS" w:cs="KFGQPC Uthmanic Script HAFS" w:hint="cs"/>
          <w:sz w:val="28"/>
          <w:szCs w:val="28"/>
          <w:rtl/>
        </w:rPr>
        <w:t>ٱ</w:t>
      </w:r>
      <w:r w:rsidR="006C78B4" w:rsidRPr="0067048A">
        <w:rPr>
          <w:rFonts w:ascii="KFGQPC Uthmanic Script HAFS" w:cs="KFGQPC Uthmanic Script HAFS" w:hint="eastAsia"/>
          <w:sz w:val="28"/>
          <w:szCs w:val="28"/>
          <w:rtl/>
        </w:rPr>
        <w:t>لَّذِي</w:t>
      </w:r>
      <w:r w:rsidR="006C78B4" w:rsidRPr="0067048A">
        <w:rPr>
          <w:rFonts w:ascii="KFGQPC Uthmanic Script HAFS" w:cs="KFGQPC Uthmanic Script HAFS"/>
          <w:sz w:val="28"/>
          <w:szCs w:val="28"/>
          <w:rtl/>
        </w:rPr>
        <w:t xml:space="preserve"> </w:t>
      </w:r>
      <w:r w:rsidR="006C78B4" w:rsidRPr="0067048A">
        <w:rPr>
          <w:rFonts w:ascii="KFGQPC Uthmanic Script HAFS" w:cs="KFGQPC Uthmanic Script HAFS" w:hint="eastAsia"/>
          <w:sz w:val="28"/>
          <w:szCs w:val="28"/>
          <w:rtl/>
        </w:rPr>
        <w:t>فَطَرَنِي</w:t>
      </w:r>
      <w:r w:rsidR="006C78B4" w:rsidRPr="0067048A">
        <w:rPr>
          <w:rFonts w:ascii="KFGQPC Uthmanic Script HAFS" w:cs="KFGQPC Uthmanic Script HAFS" w:hint="cs"/>
          <w:sz w:val="28"/>
          <w:szCs w:val="28"/>
          <w:rtl/>
        </w:rPr>
        <w:t>ٓۚ</w:t>
      </w:r>
      <w:r w:rsidR="006C78B4" w:rsidRPr="0067048A">
        <w:rPr>
          <w:rFonts w:ascii="KFGQPC Uthmanic Script HAFS" w:cs="KFGQPC Uthmanic Script HAFS"/>
          <w:sz w:val="28"/>
          <w:szCs w:val="28"/>
          <w:rtl/>
        </w:rPr>
        <w:t xml:space="preserve"> </w:t>
      </w:r>
      <w:r w:rsidR="006C78B4" w:rsidRPr="0067048A">
        <w:rPr>
          <w:rFonts w:ascii="KFGQPC Uthmanic Script HAFS" w:cs="KFGQPC Uthmanic Script HAFS" w:hint="eastAsia"/>
          <w:sz w:val="28"/>
          <w:szCs w:val="28"/>
          <w:rtl/>
        </w:rPr>
        <w:t>أَفَلَا</w:t>
      </w:r>
      <w:r w:rsidR="006C78B4" w:rsidRPr="0067048A">
        <w:rPr>
          <w:rFonts w:ascii="KFGQPC Uthmanic Script HAFS" w:cs="KFGQPC Uthmanic Script HAFS"/>
          <w:sz w:val="28"/>
          <w:szCs w:val="28"/>
          <w:rtl/>
        </w:rPr>
        <w:t xml:space="preserve"> </w:t>
      </w:r>
      <w:r w:rsidR="006C78B4" w:rsidRPr="0067048A">
        <w:rPr>
          <w:rFonts w:ascii="KFGQPC Uthmanic Script HAFS" w:cs="KFGQPC Uthmanic Script HAFS" w:hint="eastAsia"/>
          <w:sz w:val="28"/>
          <w:szCs w:val="28"/>
          <w:rtl/>
        </w:rPr>
        <w:t>تَع</w:t>
      </w:r>
      <w:r w:rsidR="006C78B4" w:rsidRPr="0067048A">
        <w:rPr>
          <w:rFonts w:ascii="KFGQPC Uthmanic Script HAFS" w:cs="KFGQPC Uthmanic Script HAFS" w:hint="cs"/>
          <w:sz w:val="28"/>
          <w:szCs w:val="28"/>
          <w:rtl/>
        </w:rPr>
        <w:t>ۡ</w:t>
      </w:r>
      <w:r w:rsidR="006C78B4" w:rsidRPr="0067048A">
        <w:rPr>
          <w:rFonts w:ascii="KFGQPC Uthmanic Script HAFS" w:cs="KFGQPC Uthmanic Script HAFS" w:hint="eastAsia"/>
          <w:sz w:val="28"/>
          <w:szCs w:val="28"/>
          <w:rtl/>
        </w:rPr>
        <w:t>قِلُونَ</w:t>
      </w:r>
      <w:r w:rsidR="006C78B4" w:rsidRPr="00995B26">
        <w:rPr>
          <w:rFonts w:cs="Traditional Arabic" w:hint="cs"/>
          <w:sz w:val="28"/>
          <w:rtl/>
        </w:rPr>
        <w:t>﴾</w:t>
      </w:r>
      <w:r w:rsidR="006C78B4" w:rsidRPr="003F3B94">
        <w:rPr>
          <w:rFonts w:hint="cs"/>
          <w:sz w:val="28"/>
          <w:rtl/>
        </w:rPr>
        <w:t xml:space="preserve"> </w:t>
      </w:r>
      <w:r w:rsidRPr="003108CB">
        <w:rPr>
          <w:rStyle w:val="Char2"/>
          <w:rtl/>
        </w:rPr>
        <w:t>[هود</w:t>
      </w:r>
      <w:r w:rsidR="002834A4" w:rsidRPr="003108CB">
        <w:rPr>
          <w:rStyle w:val="Char2"/>
          <w:rFonts w:hint="cs"/>
          <w:rtl/>
        </w:rPr>
        <w:t>:</w:t>
      </w:r>
      <w:r w:rsidR="00920257" w:rsidRPr="003108CB">
        <w:rPr>
          <w:rStyle w:val="Char2"/>
          <w:rtl/>
        </w:rPr>
        <w:t xml:space="preserve"> </w:t>
      </w:r>
      <w:r w:rsidRPr="003108CB">
        <w:rPr>
          <w:rStyle w:val="Char2"/>
          <w:rtl/>
        </w:rPr>
        <w:t>51]</w:t>
      </w:r>
      <w:r w:rsidR="00217AB4" w:rsidRPr="003F3B94">
        <w:rPr>
          <w:rFonts w:hint="cs"/>
          <w:sz w:val="28"/>
          <w:rtl/>
        </w:rPr>
        <w:t>.</w:t>
      </w:r>
    </w:p>
    <w:p w:rsidR="005C664D" w:rsidRPr="003F3B94" w:rsidRDefault="005C664D" w:rsidP="000E2C23">
      <w:pPr>
        <w:pStyle w:val="a0"/>
        <w:ind w:left="624" w:hanging="340"/>
        <w:rPr>
          <w:rFonts w:hint="cs"/>
          <w:rtl/>
        </w:rPr>
      </w:pPr>
      <w:r w:rsidRPr="003F3B94">
        <w:rPr>
          <w:rFonts w:hint="cs"/>
          <w:sz w:val="28"/>
          <w:rtl/>
        </w:rPr>
        <w:t>5</w:t>
      </w:r>
      <w:r w:rsidR="00217AB4" w:rsidRPr="003F3B94">
        <w:rPr>
          <w:rFonts w:hint="cs"/>
          <w:sz w:val="28"/>
          <w:rtl/>
        </w:rPr>
        <w:t>-</w:t>
      </w:r>
      <w:r w:rsidRPr="003F3B94">
        <w:rPr>
          <w:rFonts w:hint="cs"/>
          <w:sz w:val="28"/>
          <w:rtl/>
        </w:rPr>
        <w:t xml:space="preserve"> وفي سورة الشعراء الآية 127 يقول عن حضرته أيضاً</w:t>
      </w:r>
      <w:r w:rsidR="00147857" w:rsidRPr="003F3B94">
        <w:rPr>
          <w:rFonts w:hint="cs"/>
          <w:sz w:val="28"/>
          <w:rtl/>
        </w:rPr>
        <w:t xml:space="preserve"> </w:t>
      </w:r>
      <w:r w:rsidR="003C7AEB" w:rsidRPr="003C7AEB">
        <w:rPr>
          <w:rFonts w:ascii="Abo-thar" w:hAnsi="Abo-thar" w:cs="CTraditional Arabic"/>
          <w:sz w:val="28"/>
          <w:rtl/>
        </w:rPr>
        <w:t>÷</w:t>
      </w:r>
      <w:r w:rsidR="00217AB4" w:rsidRPr="003F3B94">
        <w:rPr>
          <w:rFonts w:ascii="Abo-thar" w:hAnsi="Abo-thar"/>
          <w:sz w:val="28"/>
          <w:rtl/>
        </w:rPr>
        <w:t>:</w:t>
      </w:r>
      <w:r w:rsidR="000E2C23">
        <w:rPr>
          <w:rFonts w:ascii="Abo-thar" w:hAnsi="Abo-thar" w:hint="cs"/>
          <w:sz w:val="28"/>
          <w:rtl/>
        </w:rPr>
        <w:t xml:space="preserve"> </w:t>
      </w:r>
      <w:r w:rsidR="006C78B4" w:rsidRPr="00995B26">
        <w:rPr>
          <w:rFonts w:cs="Traditional Arabic" w:hint="cs"/>
          <w:sz w:val="28"/>
          <w:rtl/>
        </w:rPr>
        <w:t>﴿</w:t>
      </w:r>
      <w:r w:rsidR="006C78B4" w:rsidRPr="0067048A">
        <w:rPr>
          <w:rFonts w:ascii="KFGQPC Uthmanic Script HAFS" w:cs="KFGQPC Uthmanic Script HAFS" w:hint="eastAsia"/>
          <w:sz w:val="28"/>
          <w:szCs w:val="28"/>
          <w:rtl/>
        </w:rPr>
        <w:t>وَمَا</w:t>
      </w:r>
      <w:r w:rsidR="006C78B4" w:rsidRPr="0067048A">
        <w:rPr>
          <w:rFonts w:ascii="KFGQPC Uthmanic Script HAFS" w:cs="KFGQPC Uthmanic Script HAFS" w:hint="cs"/>
          <w:sz w:val="28"/>
          <w:szCs w:val="28"/>
          <w:rtl/>
        </w:rPr>
        <w:t>ٓ</w:t>
      </w:r>
      <w:r w:rsidR="006C78B4" w:rsidRPr="0067048A">
        <w:rPr>
          <w:rFonts w:ascii="KFGQPC Uthmanic Script HAFS" w:cs="KFGQPC Uthmanic Script HAFS"/>
          <w:sz w:val="28"/>
          <w:szCs w:val="28"/>
          <w:rtl/>
        </w:rPr>
        <w:t xml:space="preserve"> </w:t>
      </w:r>
      <w:r w:rsidR="006C78B4" w:rsidRPr="0067048A">
        <w:rPr>
          <w:rFonts w:ascii="KFGQPC Uthmanic Script HAFS" w:cs="KFGQPC Uthmanic Script HAFS" w:hint="eastAsia"/>
          <w:sz w:val="28"/>
          <w:szCs w:val="28"/>
          <w:rtl/>
        </w:rPr>
        <w:t>أَس</w:t>
      </w:r>
      <w:r w:rsidR="006C78B4" w:rsidRPr="0067048A">
        <w:rPr>
          <w:rFonts w:ascii="KFGQPC Uthmanic Script HAFS" w:cs="KFGQPC Uthmanic Script HAFS" w:hint="cs"/>
          <w:sz w:val="28"/>
          <w:szCs w:val="28"/>
          <w:rtl/>
        </w:rPr>
        <w:t>ۡ</w:t>
      </w:r>
      <w:r w:rsidR="006C78B4" w:rsidRPr="0067048A">
        <w:rPr>
          <w:rFonts w:ascii="KFGQPC Uthmanic Script HAFS" w:cs="KFGQPC Uthmanic Script HAFS" w:hint="eastAsia"/>
          <w:sz w:val="28"/>
          <w:szCs w:val="28"/>
          <w:rtl/>
        </w:rPr>
        <w:t>‍</w:t>
      </w:r>
      <w:r w:rsidR="006C78B4" w:rsidRPr="0067048A">
        <w:rPr>
          <w:rFonts w:ascii="KFGQPC Uthmanic Script HAFS" w:cs="KFGQPC Uthmanic Script HAFS" w:hint="cs"/>
          <w:sz w:val="28"/>
          <w:szCs w:val="28"/>
          <w:rtl/>
        </w:rPr>
        <w:t>ٔ</w:t>
      </w:r>
      <w:r w:rsidR="006C78B4" w:rsidRPr="0067048A">
        <w:rPr>
          <w:rFonts w:ascii="KFGQPC Uthmanic Script HAFS" w:cs="KFGQPC Uthmanic Script HAFS" w:hint="eastAsia"/>
          <w:sz w:val="28"/>
          <w:szCs w:val="28"/>
          <w:rtl/>
        </w:rPr>
        <w:t>َلُكُم</w:t>
      </w:r>
      <w:r w:rsidR="006C78B4" w:rsidRPr="0067048A">
        <w:rPr>
          <w:rFonts w:ascii="KFGQPC Uthmanic Script HAFS" w:cs="KFGQPC Uthmanic Script HAFS" w:hint="cs"/>
          <w:sz w:val="28"/>
          <w:szCs w:val="28"/>
          <w:rtl/>
        </w:rPr>
        <w:t>ۡ</w:t>
      </w:r>
      <w:r w:rsidR="006C78B4" w:rsidRPr="0067048A">
        <w:rPr>
          <w:rFonts w:ascii="KFGQPC Uthmanic Script HAFS" w:cs="KFGQPC Uthmanic Script HAFS"/>
          <w:sz w:val="28"/>
          <w:szCs w:val="28"/>
          <w:rtl/>
        </w:rPr>
        <w:t xml:space="preserve"> </w:t>
      </w:r>
      <w:r w:rsidR="006C78B4" w:rsidRPr="0067048A">
        <w:rPr>
          <w:rFonts w:ascii="KFGQPC Uthmanic Script HAFS" w:cs="KFGQPC Uthmanic Script HAFS" w:hint="eastAsia"/>
          <w:sz w:val="28"/>
          <w:szCs w:val="28"/>
          <w:rtl/>
        </w:rPr>
        <w:t>عَلَي</w:t>
      </w:r>
      <w:r w:rsidR="006C78B4" w:rsidRPr="0067048A">
        <w:rPr>
          <w:rFonts w:ascii="KFGQPC Uthmanic Script HAFS" w:cs="KFGQPC Uthmanic Script HAFS" w:hint="cs"/>
          <w:sz w:val="28"/>
          <w:szCs w:val="28"/>
          <w:rtl/>
        </w:rPr>
        <w:t>ۡ</w:t>
      </w:r>
      <w:r w:rsidR="006C78B4" w:rsidRPr="0067048A">
        <w:rPr>
          <w:rFonts w:ascii="KFGQPC Uthmanic Script HAFS" w:cs="KFGQPC Uthmanic Script HAFS" w:hint="eastAsia"/>
          <w:sz w:val="28"/>
          <w:szCs w:val="28"/>
          <w:rtl/>
        </w:rPr>
        <w:t>هِ</w:t>
      </w:r>
      <w:r w:rsidR="006C78B4" w:rsidRPr="0067048A">
        <w:rPr>
          <w:rFonts w:ascii="KFGQPC Uthmanic Script HAFS" w:cs="KFGQPC Uthmanic Script HAFS"/>
          <w:sz w:val="28"/>
          <w:szCs w:val="28"/>
          <w:rtl/>
        </w:rPr>
        <w:t xml:space="preserve"> </w:t>
      </w:r>
      <w:r w:rsidR="006C78B4" w:rsidRPr="0067048A">
        <w:rPr>
          <w:rFonts w:ascii="KFGQPC Uthmanic Script HAFS" w:cs="KFGQPC Uthmanic Script HAFS" w:hint="eastAsia"/>
          <w:sz w:val="28"/>
          <w:szCs w:val="28"/>
          <w:rtl/>
        </w:rPr>
        <w:t>مِن</w:t>
      </w:r>
      <w:r w:rsidR="006C78B4" w:rsidRPr="0067048A">
        <w:rPr>
          <w:rFonts w:ascii="KFGQPC Uthmanic Script HAFS" w:cs="KFGQPC Uthmanic Script HAFS" w:hint="cs"/>
          <w:sz w:val="28"/>
          <w:szCs w:val="28"/>
          <w:rtl/>
        </w:rPr>
        <w:t>ۡ</w:t>
      </w:r>
      <w:r w:rsidR="006C78B4" w:rsidRPr="0067048A">
        <w:rPr>
          <w:rFonts w:ascii="KFGQPC Uthmanic Script HAFS" w:cs="KFGQPC Uthmanic Script HAFS"/>
          <w:sz w:val="28"/>
          <w:szCs w:val="28"/>
          <w:rtl/>
        </w:rPr>
        <w:t xml:space="preserve"> </w:t>
      </w:r>
      <w:r w:rsidR="006C78B4" w:rsidRPr="0067048A">
        <w:rPr>
          <w:rFonts w:ascii="KFGQPC Uthmanic Script HAFS" w:cs="KFGQPC Uthmanic Script HAFS" w:hint="eastAsia"/>
          <w:sz w:val="28"/>
          <w:szCs w:val="28"/>
          <w:rtl/>
        </w:rPr>
        <w:t>أَج</w:t>
      </w:r>
      <w:r w:rsidR="006C78B4" w:rsidRPr="0067048A">
        <w:rPr>
          <w:rFonts w:ascii="KFGQPC Uthmanic Script HAFS" w:cs="KFGQPC Uthmanic Script HAFS" w:hint="cs"/>
          <w:sz w:val="28"/>
          <w:szCs w:val="28"/>
          <w:rtl/>
        </w:rPr>
        <w:t>ۡ</w:t>
      </w:r>
      <w:r w:rsidR="006C78B4" w:rsidRPr="0067048A">
        <w:rPr>
          <w:rFonts w:ascii="KFGQPC Uthmanic Script HAFS" w:cs="KFGQPC Uthmanic Script HAFS" w:hint="eastAsia"/>
          <w:sz w:val="28"/>
          <w:szCs w:val="28"/>
          <w:rtl/>
        </w:rPr>
        <w:t>رٍ</w:t>
      </w:r>
      <w:r w:rsidR="006C78B4" w:rsidRPr="0067048A">
        <w:rPr>
          <w:rFonts w:ascii="KFGQPC Uthmanic Script HAFS" w:cs="KFGQPC Uthmanic Script HAFS" w:hint="cs"/>
          <w:sz w:val="28"/>
          <w:szCs w:val="28"/>
          <w:rtl/>
        </w:rPr>
        <w:t>ۖ</w:t>
      </w:r>
      <w:r w:rsidR="006C78B4" w:rsidRPr="0067048A">
        <w:rPr>
          <w:rFonts w:ascii="KFGQPC Uthmanic Script HAFS" w:cs="KFGQPC Uthmanic Script HAFS"/>
          <w:sz w:val="28"/>
          <w:szCs w:val="28"/>
          <w:rtl/>
        </w:rPr>
        <w:t xml:space="preserve"> </w:t>
      </w:r>
      <w:r w:rsidR="006C78B4" w:rsidRPr="0067048A">
        <w:rPr>
          <w:rFonts w:ascii="KFGQPC Uthmanic Script HAFS" w:cs="KFGQPC Uthmanic Script HAFS" w:hint="eastAsia"/>
          <w:sz w:val="28"/>
          <w:szCs w:val="28"/>
          <w:rtl/>
        </w:rPr>
        <w:t>إِن</w:t>
      </w:r>
      <w:r w:rsidR="006C78B4" w:rsidRPr="0067048A">
        <w:rPr>
          <w:rFonts w:ascii="KFGQPC Uthmanic Script HAFS" w:cs="KFGQPC Uthmanic Script HAFS" w:hint="cs"/>
          <w:sz w:val="28"/>
          <w:szCs w:val="28"/>
          <w:rtl/>
        </w:rPr>
        <w:t>ۡ</w:t>
      </w:r>
      <w:r w:rsidR="006C78B4" w:rsidRPr="0067048A">
        <w:rPr>
          <w:rFonts w:ascii="KFGQPC Uthmanic Script HAFS" w:cs="KFGQPC Uthmanic Script HAFS"/>
          <w:sz w:val="28"/>
          <w:szCs w:val="28"/>
          <w:rtl/>
        </w:rPr>
        <w:t xml:space="preserve"> </w:t>
      </w:r>
      <w:r w:rsidR="006C78B4" w:rsidRPr="0067048A">
        <w:rPr>
          <w:rFonts w:ascii="KFGQPC Uthmanic Script HAFS" w:cs="KFGQPC Uthmanic Script HAFS" w:hint="eastAsia"/>
          <w:sz w:val="28"/>
          <w:szCs w:val="28"/>
          <w:rtl/>
        </w:rPr>
        <w:t>أَج</w:t>
      </w:r>
      <w:r w:rsidR="006C78B4" w:rsidRPr="0067048A">
        <w:rPr>
          <w:rFonts w:ascii="KFGQPC Uthmanic Script HAFS" w:cs="KFGQPC Uthmanic Script HAFS" w:hint="cs"/>
          <w:sz w:val="28"/>
          <w:szCs w:val="28"/>
          <w:rtl/>
        </w:rPr>
        <w:t>ۡ</w:t>
      </w:r>
      <w:r w:rsidR="006C78B4" w:rsidRPr="0067048A">
        <w:rPr>
          <w:rFonts w:ascii="KFGQPC Uthmanic Script HAFS" w:cs="KFGQPC Uthmanic Script HAFS" w:hint="eastAsia"/>
          <w:sz w:val="28"/>
          <w:szCs w:val="28"/>
          <w:rtl/>
        </w:rPr>
        <w:t>رِيَ</w:t>
      </w:r>
      <w:r w:rsidR="006C78B4" w:rsidRPr="0067048A">
        <w:rPr>
          <w:rFonts w:ascii="KFGQPC Uthmanic Script HAFS" w:cs="KFGQPC Uthmanic Script HAFS"/>
          <w:sz w:val="28"/>
          <w:szCs w:val="28"/>
          <w:rtl/>
        </w:rPr>
        <w:t xml:space="preserve"> </w:t>
      </w:r>
      <w:r w:rsidR="006C78B4" w:rsidRPr="0067048A">
        <w:rPr>
          <w:rFonts w:ascii="KFGQPC Uthmanic Script HAFS" w:cs="KFGQPC Uthmanic Script HAFS" w:hint="eastAsia"/>
          <w:sz w:val="28"/>
          <w:szCs w:val="28"/>
          <w:rtl/>
        </w:rPr>
        <w:t>إِلَّا</w:t>
      </w:r>
      <w:r w:rsidR="006C78B4" w:rsidRPr="0067048A">
        <w:rPr>
          <w:rFonts w:ascii="KFGQPC Uthmanic Script HAFS" w:cs="KFGQPC Uthmanic Script HAFS"/>
          <w:sz w:val="28"/>
          <w:szCs w:val="28"/>
          <w:rtl/>
        </w:rPr>
        <w:t xml:space="preserve"> </w:t>
      </w:r>
      <w:r w:rsidR="006C78B4" w:rsidRPr="0067048A">
        <w:rPr>
          <w:rFonts w:ascii="KFGQPC Uthmanic Script HAFS" w:cs="KFGQPC Uthmanic Script HAFS" w:hint="eastAsia"/>
          <w:sz w:val="28"/>
          <w:szCs w:val="28"/>
          <w:rtl/>
        </w:rPr>
        <w:t>عَلَى</w:t>
      </w:r>
      <w:r w:rsidR="006C78B4" w:rsidRPr="0067048A">
        <w:rPr>
          <w:rFonts w:ascii="KFGQPC Uthmanic Script HAFS" w:cs="KFGQPC Uthmanic Script HAFS" w:hint="cs"/>
          <w:sz w:val="28"/>
          <w:szCs w:val="28"/>
          <w:rtl/>
        </w:rPr>
        <w:t>ٰ</w:t>
      </w:r>
      <w:r w:rsidR="006C78B4" w:rsidRPr="0067048A">
        <w:rPr>
          <w:rFonts w:ascii="KFGQPC Uthmanic Script HAFS" w:cs="KFGQPC Uthmanic Script HAFS"/>
          <w:sz w:val="28"/>
          <w:szCs w:val="28"/>
          <w:rtl/>
        </w:rPr>
        <w:t xml:space="preserve"> </w:t>
      </w:r>
      <w:r w:rsidR="006C78B4" w:rsidRPr="0067048A">
        <w:rPr>
          <w:rFonts w:ascii="KFGQPC Uthmanic Script HAFS" w:cs="KFGQPC Uthmanic Script HAFS" w:hint="eastAsia"/>
          <w:sz w:val="28"/>
          <w:szCs w:val="28"/>
          <w:rtl/>
        </w:rPr>
        <w:t>رَبِّ</w:t>
      </w:r>
      <w:r w:rsidR="006C78B4" w:rsidRPr="0067048A">
        <w:rPr>
          <w:rFonts w:ascii="KFGQPC Uthmanic Script HAFS" w:cs="KFGQPC Uthmanic Script HAFS"/>
          <w:sz w:val="28"/>
          <w:szCs w:val="28"/>
          <w:rtl/>
        </w:rPr>
        <w:t xml:space="preserve"> </w:t>
      </w:r>
      <w:r w:rsidR="006C78B4" w:rsidRPr="0067048A">
        <w:rPr>
          <w:rFonts w:ascii="KFGQPC Uthmanic Script HAFS" w:cs="KFGQPC Uthmanic Script HAFS" w:hint="cs"/>
          <w:sz w:val="28"/>
          <w:szCs w:val="28"/>
          <w:rtl/>
        </w:rPr>
        <w:t>ٱ</w:t>
      </w:r>
      <w:r w:rsidR="006C78B4" w:rsidRPr="0067048A">
        <w:rPr>
          <w:rFonts w:ascii="KFGQPC Uthmanic Script HAFS" w:cs="KFGQPC Uthmanic Script HAFS" w:hint="eastAsia"/>
          <w:sz w:val="28"/>
          <w:szCs w:val="28"/>
          <w:rtl/>
        </w:rPr>
        <w:t>ل</w:t>
      </w:r>
      <w:r w:rsidR="006C78B4" w:rsidRPr="0067048A">
        <w:rPr>
          <w:rFonts w:ascii="KFGQPC Uthmanic Script HAFS" w:cs="KFGQPC Uthmanic Script HAFS" w:hint="cs"/>
          <w:sz w:val="28"/>
          <w:szCs w:val="28"/>
          <w:rtl/>
        </w:rPr>
        <w:t>ۡ</w:t>
      </w:r>
      <w:r w:rsidR="006C78B4" w:rsidRPr="0067048A">
        <w:rPr>
          <w:rFonts w:ascii="KFGQPC Uthmanic Script HAFS" w:cs="KFGQPC Uthmanic Script HAFS" w:hint="eastAsia"/>
          <w:sz w:val="28"/>
          <w:szCs w:val="28"/>
          <w:rtl/>
        </w:rPr>
        <w:t>عَ</w:t>
      </w:r>
      <w:r w:rsidR="006C78B4" w:rsidRPr="0067048A">
        <w:rPr>
          <w:rFonts w:ascii="KFGQPC Uthmanic Script HAFS" w:cs="KFGQPC Uthmanic Script HAFS" w:hint="cs"/>
          <w:sz w:val="28"/>
          <w:szCs w:val="28"/>
          <w:rtl/>
        </w:rPr>
        <w:t>ٰ</w:t>
      </w:r>
      <w:r w:rsidR="006C78B4" w:rsidRPr="0067048A">
        <w:rPr>
          <w:rFonts w:ascii="KFGQPC Uthmanic Script HAFS" w:cs="KFGQPC Uthmanic Script HAFS" w:hint="eastAsia"/>
          <w:sz w:val="28"/>
          <w:szCs w:val="28"/>
          <w:rtl/>
        </w:rPr>
        <w:t>لَمِينَ</w:t>
      </w:r>
      <w:r w:rsidR="006C78B4" w:rsidRPr="00995B26">
        <w:rPr>
          <w:rFonts w:cs="Traditional Arabic" w:hint="cs"/>
          <w:sz w:val="28"/>
          <w:rtl/>
        </w:rPr>
        <w:t>﴾</w:t>
      </w:r>
      <w:r w:rsidRPr="003F3B94">
        <w:rPr>
          <w:rFonts w:hint="cs"/>
          <w:sz w:val="28"/>
          <w:rtl/>
        </w:rPr>
        <w:t xml:space="preserve"> </w:t>
      </w:r>
      <w:r w:rsidRPr="003108CB">
        <w:rPr>
          <w:rStyle w:val="Char2"/>
          <w:rtl/>
        </w:rPr>
        <w:t>[الشعراء</w:t>
      </w:r>
      <w:r w:rsidR="006C78B4" w:rsidRPr="003108CB">
        <w:rPr>
          <w:rStyle w:val="Char2"/>
          <w:rFonts w:hint="cs"/>
          <w:rtl/>
        </w:rPr>
        <w:t xml:space="preserve">: </w:t>
      </w:r>
      <w:r w:rsidRPr="003108CB">
        <w:rPr>
          <w:rStyle w:val="Char2"/>
          <w:rtl/>
        </w:rPr>
        <w:t>127]</w:t>
      </w:r>
      <w:r w:rsidR="00217AB4" w:rsidRPr="003F3B94">
        <w:rPr>
          <w:rFonts w:hint="cs"/>
          <w:sz w:val="28"/>
          <w:rtl/>
        </w:rPr>
        <w:t>.</w:t>
      </w:r>
    </w:p>
    <w:p w:rsidR="005C664D" w:rsidRPr="003F3B94" w:rsidRDefault="005C664D" w:rsidP="000E2C23">
      <w:pPr>
        <w:pStyle w:val="a0"/>
        <w:ind w:left="624" w:hanging="340"/>
        <w:rPr>
          <w:rFonts w:hint="cs"/>
          <w:rtl/>
        </w:rPr>
      </w:pPr>
      <w:r w:rsidRPr="003F3B94">
        <w:rPr>
          <w:rFonts w:hint="cs"/>
          <w:sz w:val="28"/>
          <w:rtl/>
        </w:rPr>
        <w:t>6</w:t>
      </w:r>
      <w:r w:rsidR="00217AB4" w:rsidRPr="003F3B94">
        <w:rPr>
          <w:rFonts w:hint="cs"/>
          <w:sz w:val="28"/>
          <w:rtl/>
        </w:rPr>
        <w:t>-</w:t>
      </w:r>
      <w:r w:rsidR="00147857" w:rsidRPr="003F3B94">
        <w:rPr>
          <w:rFonts w:hint="cs"/>
          <w:sz w:val="28"/>
          <w:rtl/>
        </w:rPr>
        <w:t xml:space="preserve"> و</w:t>
      </w:r>
      <w:r w:rsidRPr="003F3B94">
        <w:rPr>
          <w:rFonts w:hint="cs"/>
          <w:sz w:val="28"/>
          <w:rtl/>
        </w:rPr>
        <w:t>في السورة ذاتها يقول تعالى عن لسان حضرة النبي صالح</w:t>
      </w:r>
      <w:r w:rsidR="00147857" w:rsidRPr="003F3B94">
        <w:rPr>
          <w:rFonts w:hint="cs"/>
          <w:sz w:val="28"/>
          <w:rtl/>
        </w:rPr>
        <w:t xml:space="preserve"> </w:t>
      </w:r>
      <w:r w:rsidR="003C7AEB" w:rsidRPr="003C7AEB">
        <w:rPr>
          <w:rFonts w:ascii="Abo-thar" w:hAnsi="Abo-thar" w:cs="CTraditional Arabic"/>
          <w:sz w:val="28"/>
          <w:rtl/>
        </w:rPr>
        <w:t>÷</w:t>
      </w:r>
      <w:r w:rsidR="00217AB4" w:rsidRPr="003F3B94">
        <w:rPr>
          <w:rFonts w:ascii="Abo-thar" w:hAnsi="Abo-thar"/>
          <w:sz w:val="28"/>
          <w:rtl/>
        </w:rPr>
        <w:t>:</w:t>
      </w:r>
      <w:r w:rsidR="000E2C23">
        <w:rPr>
          <w:rFonts w:ascii="Abo-thar" w:hAnsi="Abo-thar" w:hint="cs"/>
          <w:sz w:val="28"/>
          <w:rtl/>
        </w:rPr>
        <w:t xml:space="preserve"> </w:t>
      </w:r>
      <w:r w:rsidR="006C78B4" w:rsidRPr="00995B26">
        <w:rPr>
          <w:rFonts w:cs="Traditional Arabic" w:hint="cs"/>
          <w:sz w:val="28"/>
          <w:rtl/>
        </w:rPr>
        <w:t>﴿</w:t>
      </w:r>
      <w:r w:rsidR="006C78B4" w:rsidRPr="0067048A">
        <w:rPr>
          <w:rFonts w:ascii="KFGQPC Uthmanic Script HAFS" w:cs="KFGQPC Uthmanic Script HAFS" w:hint="eastAsia"/>
          <w:sz w:val="28"/>
          <w:szCs w:val="28"/>
          <w:rtl/>
        </w:rPr>
        <w:t>وَمَا</w:t>
      </w:r>
      <w:r w:rsidR="006C78B4" w:rsidRPr="0067048A">
        <w:rPr>
          <w:rFonts w:ascii="KFGQPC Uthmanic Script HAFS" w:cs="KFGQPC Uthmanic Script HAFS" w:hint="cs"/>
          <w:sz w:val="28"/>
          <w:szCs w:val="28"/>
          <w:rtl/>
        </w:rPr>
        <w:t>ٓ</w:t>
      </w:r>
      <w:r w:rsidR="006C78B4" w:rsidRPr="0067048A">
        <w:rPr>
          <w:rFonts w:ascii="KFGQPC Uthmanic Script HAFS" w:cs="KFGQPC Uthmanic Script HAFS"/>
          <w:sz w:val="28"/>
          <w:szCs w:val="28"/>
          <w:rtl/>
        </w:rPr>
        <w:t xml:space="preserve"> </w:t>
      </w:r>
      <w:r w:rsidR="006C78B4" w:rsidRPr="0067048A">
        <w:rPr>
          <w:rFonts w:ascii="KFGQPC Uthmanic Script HAFS" w:cs="KFGQPC Uthmanic Script HAFS" w:hint="eastAsia"/>
          <w:sz w:val="28"/>
          <w:szCs w:val="28"/>
          <w:rtl/>
        </w:rPr>
        <w:t>أَس</w:t>
      </w:r>
      <w:r w:rsidR="006C78B4" w:rsidRPr="0067048A">
        <w:rPr>
          <w:rFonts w:ascii="KFGQPC Uthmanic Script HAFS" w:cs="KFGQPC Uthmanic Script HAFS" w:hint="cs"/>
          <w:sz w:val="28"/>
          <w:szCs w:val="28"/>
          <w:rtl/>
        </w:rPr>
        <w:t>ۡ</w:t>
      </w:r>
      <w:r w:rsidR="006C78B4" w:rsidRPr="0067048A">
        <w:rPr>
          <w:rFonts w:ascii="KFGQPC Uthmanic Script HAFS" w:cs="KFGQPC Uthmanic Script HAFS" w:hint="eastAsia"/>
          <w:sz w:val="28"/>
          <w:szCs w:val="28"/>
          <w:rtl/>
        </w:rPr>
        <w:t>‍</w:t>
      </w:r>
      <w:r w:rsidR="006C78B4" w:rsidRPr="0067048A">
        <w:rPr>
          <w:rFonts w:ascii="KFGQPC Uthmanic Script HAFS" w:cs="KFGQPC Uthmanic Script HAFS" w:hint="cs"/>
          <w:sz w:val="28"/>
          <w:szCs w:val="28"/>
          <w:rtl/>
        </w:rPr>
        <w:t>ٔ</w:t>
      </w:r>
      <w:r w:rsidR="006C78B4" w:rsidRPr="0067048A">
        <w:rPr>
          <w:rFonts w:ascii="KFGQPC Uthmanic Script HAFS" w:cs="KFGQPC Uthmanic Script HAFS" w:hint="eastAsia"/>
          <w:sz w:val="28"/>
          <w:szCs w:val="28"/>
          <w:rtl/>
        </w:rPr>
        <w:t>َلُكُم</w:t>
      </w:r>
      <w:r w:rsidR="006C78B4" w:rsidRPr="0067048A">
        <w:rPr>
          <w:rFonts w:ascii="KFGQPC Uthmanic Script HAFS" w:cs="KFGQPC Uthmanic Script HAFS" w:hint="cs"/>
          <w:sz w:val="28"/>
          <w:szCs w:val="28"/>
          <w:rtl/>
        </w:rPr>
        <w:t>ۡ</w:t>
      </w:r>
      <w:r w:rsidR="006C78B4" w:rsidRPr="0067048A">
        <w:rPr>
          <w:rFonts w:ascii="KFGQPC Uthmanic Script HAFS" w:cs="KFGQPC Uthmanic Script HAFS"/>
          <w:sz w:val="28"/>
          <w:szCs w:val="28"/>
          <w:rtl/>
        </w:rPr>
        <w:t xml:space="preserve"> </w:t>
      </w:r>
      <w:r w:rsidR="006C78B4" w:rsidRPr="0067048A">
        <w:rPr>
          <w:rFonts w:ascii="KFGQPC Uthmanic Script HAFS" w:cs="KFGQPC Uthmanic Script HAFS" w:hint="eastAsia"/>
          <w:sz w:val="28"/>
          <w:szCs w:val="28"/>
          <w:rtl/>
        </w:rPr>
        <w:t>عَلَي</w:t>
      </w:r>
      <w:r w:rsidR="006C78B4" w:rsidRPr="0067048A">
        <w:rPr>
          <w:rFonts w:ascii="KFGQPC Uthmanic Script HAFS" w:cs="KFGQPC Uthmanic Script HAFS" w:hint="cs"/>
          <w:sz w:val="28"/>
          <w:szCs w:val="28"/>
          <w:rtl/>
        </w:rPr>
        <w:t>ۡ</w:t>
      </w:r>
      <w:r w:rsidR="006C78B4" w:rsidRPr="0067048A">
        <w:rPr>
          <w:rFonts w:ascii="KFGQPC Uthmanic Script HAFS" w:cs="KFGQPC Uthmanic Script HAFS" w:hint="eastAsia"/>
          <w:sz w:val="28"/>
          <w:szCs w:val="28"/>
          <w:rtl/>
        </w:rPr>
        <w:t>هِ</w:t>
      </w:r>
      <w:r w:rsidR="006C78B4" w:rsidRPr="0067048A">
        <w:rPr>
          <w:rFonts w:ascii="KFGQPC Uthmanic Script HAFS" w:cs="KFGQPC Uthmanic Script HAFS"/>
          <w:sz w:val="28"/>
          <w:szCs w:val="28"/>
          <w:rtl/>
        </w:rPr>
        <w:t xml:space="preserve"> </w:t>
      </w:r>
      <w:r w:rsidR="006C78B4" w:rsidRPr="0067048A">
        <w:rPr>
          <w:rFonts w:ascii="KFGQPC Uthmanic Script HAFS" w:cs="KFGQPC Uthmanic Script HAFS" w:hint="eastAsia"/>
          <w:sz w:val="28"/>
          <w:szCs w:val="28"/>
          <w:rtl/>
        </w:rPr>
        <w:t>مِن</w:t>
      </w:r>
      <w:r w:rsidR="006C78B4" w:rsidRPr="0067048A">
        <w:rPr>
          <w:rFonts w:ascii="KFGQPC Uthmanic Script HAFS" w:cs="KFGQPC Uthmanic Script HAFS" w:hint="cs"/>
          <w:sz w:val="28"/>
          <w:szCs w:val="28"/>
          <w:rtl/>
        </w:rPr>
        <w:t>ۡ</w:t>
      </w:r>
      <w:r w:rsidR="006C78B4" w:rsidRPr="0067048A">
        <w:rPr>
          <w:rFonts w:ascii="KFGQPC Uthmanic Script HAFS" w:cs="KFGQPC Uthmanic Script HAFS"/>
          <w:sz w:val="28"/>
          <w:szCs w:val="28"/>
          <w:rtl/>
        </w:rPr>
        <w:t xml:space="preserve"> </w:t>
      </w:r>
      <w:r w:rsidR="006C78B4" w:rsidRPr="0067048A">
        <w:rPr>
          <w:rFonts w:ascii="KFGQPC Uthmanic Script HAFS" w:cs="KFGQPC Uthmanic Script HAFS" w:hint="eastAsia"/>
          <w:sz w:val="28"/>
          <w:szCs w:val="28"/>
          <w:rtl/>
        </w:rPr>
        <w:t>أَج</w:t>
      </w:r>
      <w:r w:rsidR="006C78B4" w:rsidRPr="0067048A">
        <w:rPr>
          <w:rFonts w:ascii="KFGQPC Uthmanic Script HAFS" w:cs="KFGQPC Uthmanic Script HAFS" w:hint="cs"/>
          <w:sz w:val="28"/>
          <w:szCs w:val="28"/>
          <w:rtl/>
        </w:rPr>
        <w:t>ۡ</w:t>
      </w:r>
      <w:r w:rsidR="006C78B4" w:rsidRPr="0067048A">
        <w:rPr>
          <w:rFonts w:ascii="KFGQPC Uthmanic Script HAFS" w:cs="KFGQPC Uthmanic Script HAFS" w:hint="eastAsia"/>
          <w:sz w:val="28"/>
          <w:szCs w:val="28"/>
          <w:rtl/>
        </w:rPr>
        <w:t>رٍ</w:t>
      </w:r>
      <w:r w:rsidR="006C78B4" w:rsidRPr="0067048A">
        <w:rPr>
          <w:rFonts w:ascii="KFGQPC Uthmanic Script HAFS" w:cs="KFGQPC Uthmanic Script HAFS" w:hint="cs"/>
          <w:sz w:val="28"/>
          <w:szCs w:val="28"/>
          <w:rtl/>
        </w:rPr>
        <w:t>ۖ</w:t>
      </w:r>
      <w:r w:rsidR="006C78B4" w:rsidRPr="0067048A">
        <w:rPr>
          <w:rFonts w:ascii="KFGQPC Uthmanic Script HAFS" w:cs="KFGQPC Uthmanic Script HAFS"/>
          <w:sz w:val="28"/>
          <w:szCs w:val="28"/>
          <w:rtl/>
        </w:rPr>
        <w:t xml:space="preserve"> </w:t>
      </w:r>
      <w:r w:rsidR="006C78B4" w:rsidRPr="0067048A">
        <w:rPr>
          <w:rFonts w:ascii="KFGQPC Uthmanic Script HAFS" w:cs="KFGQPC Uthmanic Script HAFS" w:hint="eastAsia"/>
          <w:sz w:val="28"/>
          <w:szCs w:val="28"/>
          <w:rtl/>
        </w:rPr>
        <w:t>إِن</w:t>
      </w:r>
      <w:r w:rsidR="006C78B4" w:rsidRPr="0067048A">
        <w:rPr>
          <w:rFonts w:ascii="KFGQPC Uthmanic Script HAFS" w:cs="KFGQPC Uthmanic Script HAFS" w:hint="cs"/>
          <w:sz w:val="28"/>
          <w:szCs w:val="28"/>
          <w:rtl/>
        </w:rPr>
        <w:t>ۡ</w:t>
      </w:r>
      <w:r w:rsidR="006C78B4" w:rsidRPr="0067048A">
        <w:rPr>
          <w:rFonts w:ascii="KFGQPC Uthmanic Script HAFS" w:cs="KFGQPC Uthmanic Script HAFS"/>
          <w:sz w:val="28"/>
          <w:szCs w:val="28"/>
          <w:rtl/>
        </w:rPr>
        <w:t xml:space="preserve"> </w:t>
      </w:r>
      <w:r w:rsidR="006C78B4" w:rsidRPr="0067048A">
        <w:rPr>
          <w:rFonts w:ascii="KFGQPC Uthmanic Script HAFS" w:cs="KFGQPC Uthmanic Script HAFS" w:hint="eastAsia"/>
          <w:sz w:val="28"/>
          <w:szCs w:val="28"/>
          <w:rtl/>
        </w:rPr>
        <w:t>أَج</w:t>
      </w:r>
      <w:r w:rsidR="006C78B4" w:rsidRPr="0067048A">
        <w:rPr>
          <w:rFonts w:ascii="KFGQPC Uthmanic Script HAFS" w:cs="KFGQPC Uthmanic Script HAFS" w:hint="cs"/>
          <w:sz w:val="28"/>
          <w:szCs w:val="28"/>
          <w:rtl/>
        </w:rPr>
        <w:t>ۡ</w:t>
      </w:r>
      <w:r w:rsidR="006C78B4" w:rsidRPr="0067048A">
        <w:rPr>
          <w:rFonts w:ascii="KFGQPC Uthmanic Script HAFS" w:cs="KFGQPC Uthmanic Script HAFS" w:hint="eastAsia"/>
          <w:sz w:val="28"/>
          <w:szCs w:val="28"/>
          <w:rtl/>
        </w:rPr>
        <w:t>رِيَ</w:t>
      </w:r>
      <w:r w:rsidR="006C78B4" w:rsidRPr="0067048A">
        <w:rPr>
          <w:rFonts w:ascii="KFGQPC Uthmanic Script HAFS" w:cs="KFGQPC Uthmanic Script HAFS"/>
          <w:sz w:val="28"/>
          <w:szCs w:val="28"/>
          <w:rtl/>
        </w:rPr>
        <w:t xml:space="preserve"> </w:t>
      </w:r>
      <w:r w:rsidR="006C78B4" w:rsidRPr="0067048A">
        <w:rPr>
          <w:rFonts w:ascii="KFGQPC Uthmanic Script HAFS" w:cs="KFGQPC Uthmanic Script HAFS" w:hint="eastAsia"/>
          <w:sz w:val="28"/>
          <w:szCs w:val="28"/>
          <w:rtl/>
        </w:rPr>
        <w:t>إِلَّا</w:t>
      </w:r>
      <w:r w:rsidR="006C78B4" w:rsidRPr="0067048A">
        <w:rPr>
          <w:rFonts w:ascii="KFGQPC Uthmanic Script HAFS" w:cs="KFGQPC Uthmanic Script HAFS"/>
          <w:sz w:val="28"/>
          <w:szCs w:val="28"/>
          <w:rtl/>
        </w:rPr>
        <w:t xml:space="preserve"> </w:t>
      </w:r>
      <w:r w:rsidR="006C78B4" w:rsidRPr="0067048A">
        <w:rPr>
          <w:rFonts w:ascii="KFGQPC Uthmanic Script HAFS" w:cs="KFGQPC Uthmanic Script HAFS" w:hint="eastAsia"/>
          <w:sz w:val="28"/>
          <w:szCs w:val="28"/>
          <w:rtl/>
        </w:rPr>
        <w:t>عَلَى</w:t>
      </w:r>
      <w:r w:rsidR="006C78B4" w:rsidRPr="0067048A">
        <w:rPr>
          <w:rFonts w:ascii="KFGQPC Uthmanic Script HAFS" w:cs="KFGQPC Uthmanic Script HAFS" w:hint="cs"/>
          <w:sz w:val="28"/>
          <w:szCs w:val="28"/>
          <w:rtl/>
        </w:rPr>
        <w:t>ٰ</w:t>
      </w:r>
      <w:r w:rsidR="006C78B4" w:rsidRPr="0067048A">
        <w:rPr>
          <w:rFonts w:ascii="KFGQPC Uthmanic Script HAFS" w:cs="KFGQPC Uthmanic Script HAFS"/>
          <w:sz w:val="28"/>
          <w:szCs w:val="28"/>
          <w:rtl/>
        </w:rPr>
        <w:t xml:space="preserve"> </w:t>
      </w:r>
      <w:r w:rsidR="006C78B4" w:rsidRPr="0067048A">
        <w:rPr>
          <w:rFonts w:ascii="KFGQPC Uthmanic Script HAFS" w:cs="KFGQPC Uthmanic Script HAFS" w:hint="eastAsia"/>
          <w:sz w:val="28"/>
          <w:szCs w:val="28"/>
          <w:rtl/>
        </w:rPr>
        <w:t>رَبِّ</w:t>
      </w:r>
      <w:r w:rsidR="006C78B4" w:rsidRPr="0067048A">
        <w:rPr>
          <w:rFonts w:ascii="KFGQPC Uthmanic Script HAFS" w:cs="KFGQPC Uthmanic Script HAFS"/>
          <w:sz w:val="28"/>
          <w:szCs w:val="28"/>
          <w:rtl/>
        </w:rPr>
        <w:t xml:space="preserve"> </w:t>
      </w:r>
      <w:r w:rsidR="006C78B4" w:rsidRPr="0067048A">
        <w:rPr>
          <w:rFonts w:ascii="KFGQPC Uthmanic Script HAFS" w:cs="KFGQPC Uthmanic Script HAFS" w:hint="cs"/>
          <w:sz w:val="28"/>
          <w:szCs w:val="28"/>
          <w:rtl/>
        </w:rPr>
        <w:t>ٱ</w:t>
      </w:r>
      <w:r w:rsidR="006C78B4" w:rsidRPr="0067048A">
        <w:rPr>
          <w:rFonts w:ascii="KFGQPC Uthmanic Script HAFS" w:cs="KFGQPC Uthmanic Script HAFS" w:hint="eastAsia"/>
          <w:sz w:val="28"/>
          <w:szCs w:val="28"/>
          <w:rtl/>
        </w:rPr>
        <w:t>ل</w:t>
      </w:r>
      <w:r w:rsidR="006C78B4" w:rsidRPr="0067048A">
        <w:rPr>
          <w:rFonts w:ascii="KFGQPC Uthmanic Script HAFS" w:cs="KFGQPC Uthmanic Script HAFS" w:hint="cs"/>
          <w:sz w:val="28"/>
          <w:szCs w:val="28"/>
          <w:rtl/>
        </w:rPr>
        <w:t>ۡ</w:t>
      </w:r>
      <w:r w:rsidR="006C78B4" w:rsidRPr="0067048A">
        <w:rPr>
          <w:rFonts w:ascii="KFGQPC Uthmanic Script HAFS" w:cs="KFGQPC Uthmanic Script HAFS" w:hint="eastAsia"/>
          <w:sz w:val="28"/>
          <w:szCs w:val="28"/>
          <w:rtl/>
        </w:rPr>
        <w:t>عَ</w:t>
      </w:r>
      <w:r w:rsidR="006C78B4" w:rsidRPr="0067048A">
        <w:rPr>
          <w:rFonts w:ascii="KFGQPC Uthmanic Script HAFS" w:cs="KFGQPC Uthmanic Script HAFS" w:hint="cs"/>
          <w:sz w:val="28"/>
          <w:szCs w:val="28"/>
          <w:rtl/>
        </w:rPr>
        <w:t>ٰ</w:t>
      </w:r>
      <w:r w:rsidR="006C78B4" w:rsidRPr="0067048A">
        <w:rPr>
          <w:rFonts w:ascii="KFGQPC Uthmanic Script HAFS" w:cs="KFGQPC Uthmanic Script HAFS" w:hint="eastAsia"/>
          <w:sz w:val="28"/>
          <w:szCs w:val="28"/>
          <w:rtl/>
        </w:rPr>
        <w:t>لَمِينَ</w:t>
      </w:r>
      <w:r w:rsidR="006C78B4" w:rsidRPr="00995B26">
        <w:rPr>
          <w:rFonts w:cs="Traditional Arabic" w:hint="cs"/>
          <w:sz w:val="28"/>
          <w:rtl/>
        </w:rPr>
        <w:t>﴾</w:t>
      </w:r>
      <w:r w:rsidR="006C78B4" w:rsidRPr="003F3B94">
        <w:rPr>
          <w:rFonts w:hint="cs"/>
          <w:sz w:val="28"/>
          <w:rtl/>
        </w:rPr>
        <w:t xml:space="preserve"> </w:t>
      </w:r>
      <w:r w:rsidRPr="003108CB">
        <w:rPr>
          <w:rStyle w:val="Char2"/>
          <w:rtl/>
        </w:rPr>
        <w:t>[الشعراء</w:t>
      </w:r>
      <w:r w:rsidR="006C78B4" w:rsidRPr="003108CB">
        <w:rPr>
          <w:rStyle w:val="Char2"/>
          <w:rFonts w:hint="cs"/>
          <w:rtl/>
        </w:rPr>
        <w:t xml:space="preserve">: </w:t>
      </w:r>
      <w:r w:rsidRPr="003108CB">
        <w:rPr>
          <w:rStyle w:val="Char2"/>
          <w:rtl/>
        </w:rPr>
        <w:t>145]</w:t>
      </w:r>
      <w:r w:rsidR="00217AB4" w:rsidRPr="003F3B94">
        <w:rPr>
          <w:rFonts w:hint="cs"/>
          <w:sz w:val="28"/>
          <w:rtl/>
        </w:rPr>
        <w:t>.</w:t>
      </w:r>
    </w:p>
    <w:p w:rsidR="005C664D" w:rsidRPr="00995B26" w:rsidRDefault="005C664D" w:rsidP="000E2C23">
      <w:pPr>
        <w:pStyle w:val="a0"/>
        <w:ind w:left="624" w:hanging="340"/>
        <w:rPr>
          <w:rFonts w:hint="cs"/>
          <w:rtl/>
        </w:rPr>
      </w:pPr>
      <w:r w:rsidRPr="003F3B94">
        <w:rPr>
          <w:rFonts w:hint="cs"/>
          <w:sz w:val="28"/>
          <w:rtl/>
        </w:rPr>
        <w:t>7</w:t>
      </w:r>
      <w:r w:rsidR="00217AB4" w:rsidRPr="003F3B94">
        <w:rPr>
          <w:rFonts w:hint="cs"/>
          <w:sz w:val="28"/>
          <w:rtl/>
        </w:rPr>
        <w:t>-</w:t>
      </w:r>
      <w:r w:rsidRPr="003F3B94">
        <w:rPr>
          <w:rFonts w:hint="cs"/>
          <w:sz w:val="28"/>
          <w:rtl/>
        </w:rPr>
        <w:t xml:space="preserve"> وفي السورة ذاتها الآية 164 يقول تعالى عن لسان حضرة لوط</w:t>
      </w:r>
      <w:r w:rsidR="00147857" w:rsidRPr="003F3B94">
        <w:rPr>
          <w:rFonts w:hint="cs"/>
          <w:sz w:val="28"/>
          <w:rtl/>
        </w:rPr>
        <w:t xml:space="preserve"> </w:t>
      </w:r>
      <w:r w:rsidR="003C7AEB" w:rsidRPr="003C7AEB">
        <w:rPr>
          <w:rFonts w:ascii="Abo-thar" w:hAnsi="Abo-thar" w:cs="CTraditional Arabic"/>
          <w:sz w:val="28"/>
          <w:rtl/>
        </w:rPr>
        <w:t>÷</w:t>
      </w:r>
      <w:r w:rsidR="00147857" w:rsidRPr="003F3B94">
        <w:rPr>
          <w:rFonts w:ascii="Abo-thar" w:hAnsi="Abo-thar"/>
          <w:sz w:val="28"/>
          <w:rtl/>
        </w:rPr>
        <w:t xml:space="preserve"> </w:t>
      </w:r>
      <w:r w:rsidRPr="003F3B94">
        <w:rPr>
          <w:rFonts w:hint="cs"/>
          <w:sz w:val="28"/>
          <w:rtl/>
        </w:rPr>
        <w:t>مخاطباً قومه</w:t>
      </w:r>
      <w:r w:rsidR="00217AB4" w:rsidRPr="003F3B94">
        <w:rPr>
          <w:rFonts w:hint="cs"/>
          <w:sz w:val="28"/>
          <w:rtl/>
        </w:rPr>
        <w:t>:</w:t>
      </w:r>
      <w:r w:rsidR="006C78B4" w:rsidRPr="003F3B94">
        <w:rPr>
          <w:rFonts w:hint="cs"/>
          <w:sz w:val="28"/>
          <w:rtl/>
        </w:rPr>
        <w:t xml:space="preserve"> </w:t>
      </w:r>
      <w:r w:rsidR="006C78B4" w:rsidRPr="00995B26">
        <w:rPr>
          <w:rFonts w:cs="Traditional Arabic" w:hint="cs"/>
          <w:sz w:val="28"/>
          <w:rtl/>
        </w:rPr>
        <w:t>﴿</w:t>
      </w:r>
      <w:r w:rsidR="006C78B4" w:rsidRPr="00995B26">
        <w:rPr>
          <w:rFonts w:ascii="KFGQPC Uthmanic Script HAFS" w:cs="KFGQPC Uthmanic Script HAFS" w:hint="eastAsia"/>
          <w:sz w:val="29"/>
          <w:szCs w:val="29"/>
          <w:rtl/>
        </w:rPr>
        <w:t>وَمَا</w:t>
      </w:r>
      <w:r w:rsidR="006C78B4" w:rsidRPr="00995B26">
        <w:rPr>
          <w:rFonts w:ascii="KFGQPC Uthmanic Script HAFS" w:cs="KFGQPC Uthmanic Script HAFS" w:hint="cs"/>
          <w:sz w:val="29"/>
          <w:szCs w:val="29"/>
          <w:rtl/>
        </w:rPr>
        <w:t>ٓ</w:t>
      </w:r>
      <w:r w:rsidR="006C78B4" w:rsidRPr="00995B26">
        <w:rPr>
          <w:rFonts w:ascii="KFGQPC Uthmanic Script HAFS" w:cs="KFGQPC Uthmanic Script HAFS"/>
          <w:sz w:val="29"/>
          <w:szCs w:val="29"/>
          <w:rtl/>
        </w:rPr>
        <w:t xml:space="preserve"> </w:t>
      </w:r>
      <w:r w:rsidR="006C78B4" w:rsidRPr="00995B26">
        <w:rPr>
          <w:rFonts w:ascii="KFGQPC Uthmanic Script HAFS" w:cs="KFGQPC Uthmanic Script HAFS" w:hint="eastAsia"/>
          <w:sz w:val="29"/>
          <w:szCs w:val="29"/>
          <w:rtl/>
        </w:rPr>
        <w:t>أَس</w:t>
      </w:r>
      <w:r w:rsidR="006C78B4" w:rsidRPr="00995B26">
        <w:rPr>
          <w:rFonts w:ascii="KFGQPC Uthmanic Script HAFS" w:cs="KFGQPC Uthmanic Script HAFS" w:hint="cs"/>
          <w:sz w:val="29"/>
          <w:szCs w:val="29"/>
          <w:rtl/>
        </w:rPr>
        <w:t>ۡ</w:t>
      </w:r>
      <w:r w:rsidR="006C78B4" w:rsidRPr="00995B26">
        <w:rPr>
          <w:rFonts w:ascii="KFGQPC Uthmanic Script HAFS" w:cs="KFGQPC Uthmanic Script HAFS" w:hint="eastAsia"/>
          <w:sz w:val="29"/>
          <w:szCs w:val="29"/>
          <w:rtl/>
        </w:rPr>
        <w:t>‍</w:t>
      </w:r>
      <w:r w:rsidR="006C78B4" w:rsidRPr="00995B26">
        <w:rPr>
          <w:rFonts w:ascii="KFGQPC Uthmanic Script HAFS" w:cs="KFGQPC Uthmanic Script HAFS" w:hint="cs"/>
          <w:sz w:val="29"/>
          <w:szCs w:val="29"/>
          <w:rtl/>
        </w:rPr>
        <w:t>ٔ</w:t>
      </w:r>
      <w:r w:rsidR="006C78B4" w:rsidRPr="00995B26">
        <w:rPr>
          <w:rFonts w:ascii="KFGQPC Uthmanic Script HAFS" w:cs="KFGQPC Uthmanic Script HAFS" w:hint="eastAsia"/>
          <w:sz w:val="29"/>
          <w:szCs w:val="29"/>
          <w:rtl/>
        </w:rPr>
        <w:t>َلُكُم</w:t>
      </w:r>
      <w:r w:rsidR="006C78B4" w:rsidRPr="00995B26">
        <w:rPr>
          <w:rFonts w:ascii="KFGQPC Uthmanic Script HAFS" w:cs="KFGQPC Uthmanic Script HAFS" w:hint="cs"/>
          <w:sz w:val="29"/>
          <w:szCs w:val="29"/>
          <w:rtl/>
        </w:rPr>
        <w:t>ۡ</w:t>
      </w:r>
      <w:r w:rsidR="006C78B4" w:rsidRPr="00995B26">
        <w:rPr>
          <w:rFonts w:ascii="KFGQPC Uthmanic Script HAFS" w:cs="KFGQPC Uthmanic Script HAFS"/>
          <w:sz w:val="29"/>
          <w:szCs w:val="29"/>
          <w:rtl/>
        </w:rPr>
        <w:t xml:space="preserve"> </w:t>
      </w:r>
      <w:r w:rsidR="006C78B4" w:rsidRPr="00995B26">
        <w:rPr>
          <w:rFonts w:ascii="KFGQPC Uthmanic Script HAFS" w:cs="KFGQPC Uthmanic Script HAFS" w:hint="eastAsia"/>
          <w:sz w:val="29"/>
          <w:szCs w:val="29"/>
          <w:rtl/>
        </w:rPr>
        <w:t>عَلَي</w:t>
      </w:r>
      <w:r w:rsidR="006C78B4" w:rsidRPr="00995B26">
        <w:rPr>
          <w:rFonts w:ascii="KFGQPC Uthmanic Script HAFS" w:cs="KFGQPC Uthmanic Script HAFS" w:hint="cs"/>
          <w:sz w:val="29"/>
          <w:szCs w:val="29"/>
          <w:rtl/>
        </w:rPr>
        <w:t>ۡ</w:t>
      </w:r>
      <w:r w:rsidR="006C78B4" w:rsidRPr="00995B26">
        <w:rPr>
          <w:rFonts w:ascii="KFGQPC Uthmanic Script HAFS" w:cs="KFGQPC Uthmanic Script HAFS" w:hint="eastAsia"/>
          <w:sz w:val="29"/>
          <w:szCs w:val="29"/>
          <w:rtl/>
        </w:rPr>
        <w:t>هِ</w:t>
      </w:r>
      <w:r w:rsidR="006C78B4" w:rsidRPr="00995B26">
        <w:rPr>
          <w:rFonts w:ascii="KFGQPC Uthmanic Script HAFS" w:cs="KFGQPC Uthmanic Script HAFS"/>
          <w:sz w:val="29"/>
          <w:szCs w:val="29"/>
          <w:rtl/>
        </w:rPr>
        <w:t xml:space="preserve"> </w:t>
      </w:r>
      <w:r w:rsidR="006C78B4" w:rsidRPr="00995B26">
        <w:rPr>
          <w:rFonts w:ascii="KFGQPC Uthmanic Script HAFS" w:cs="KFGQPC Uthmanic Script HAFS" w:hint="eastAsia"/>
          <w:sz w:val="29"/>
          <w:szCs w:val="29"/>
          <w:rtl/>
        </w:rPr>
        <w:t>مِن</w:t>
      </w:r>
      <w:r w:rsidR="006C78B4" w:rsidRPr="00995B26">
        <w:rPr>
          <w:rFonts w:ascii="KFGQPC Uthmanic Script HAFS" w:cs="KFGQPC Uthmanic Script HAFS" w:hint="cs"/>
          <w:sz w:val="29"/>
          <w:szCs w:val="29"/>
          <w:rtl/>
        </w:rPr>
        <w:t>ۡ</w:t>
      </w:r>
      <w:r w:rsidR="006C78B4" w:rsidRPr="00995B26">
        <w:rPr>
          <w:rFonts w:ascii="KFGQPC Uthmanic Script HAFS" w:cs="KFGQPC Uthmanic Script HAFS"/>
          <w:sz w:val="29"/>
          <w:szCs w:val="29"/>
          <w:rtl/>
        </w:rPr>
        <w:t xml:space="preserve"> </w:t>
      </w:r>
      <w:r w:rsidR="006C78B4" w:rsidRPr="00995B26">
        <w:rPr>
          <w:rFonts w:ascii="KFGQPC Uthmanic Script HAFS" w:cs="KFGQPC Uthmanic Script HAFS" w:hint="eastAsia"/>
          <w:sz w:val="29"/>
          <w:szCs w:val="29"/>
          <w:rtl/>
        </w:rPr>
        <w:t>أَج</w:t>
      </w:r>
      <w:r w:rsidR="006C78B4" w:rsidRPr="00995B26">
        <w:rPr>
          <w:rFonts w:ascii="KFGQPC Uthmanic Script HAFS" w:cs="KFGQPC Uthmanic Script HAFS" w:hint="cs"/>
          <w:sz w:val="29"/>
          <w:szCs w:val="29"/>
          <w:rtl/>
        </w:rPr>
        <w:t>ۡ</w:t>
      </w:r>
      <w:r w:rsidR="006C78B4" w:rsidRPr="00995B26">
        <w:rPr>
          <w:rFonts w:ascii="KFGQPC Uthmanic Script HAFS" w:cs="KFGQPC Uthmanic Script HAFS" w:hint="eastAsia"/>
          <w:sz w:val="29"/>
          <w:szCs w:val="29"/>
          <w:rtl/>
        </w:rPr>
        <w:t>رٍ</w:t>
      </w:r>
      <w:r w:rsidR="006C78B4" w:rsidRPr="00995B26">
        <w:rPr>
          <w:rFonts w:ascii="KFGQPC Uthmanic Script HAFS" w:cs="KFGQPC Uthmanic Script HAFS" w:hint="cs"/>
          <w:sz w:val="29"/>
          <w:szCs w:val="29"/>
          <w:rtl/>
        </w:rPr>
        <w:t>ۖ</w:t>
      </w:r>
      <w:r w:rsidR="006C78B4" w:rsidRPr="00995B26">
        <w:rPr>
          <w:rFonts w:ascii="KFGQPC Uthmanic Script HAFS" w:cs="KFGQPC Uthmanic Script HAFS"/>
          <w:sz w:val="29"/>
          <w:szCs w:val="29"/>
          <w:rtl/>
        </w:rPr>
        <w:t xml:space="preserve"> </w:t>
      </w:r>
      <w:r w:rsidR="006C78B4" w:rsidRPr="00995B26">
        <w:rPr>
          <w:rFonts w:ascii="KFGQPC Uthmanic Script HAFS" w:cs="KFGQPC Uthmanic Script HAFS" w:hint="eastAsia"/>
          <w:sz w:val="29"/>
          <w:szCs w:val="29"/>
          <w:rtl/>
        </w:rPr>
        <w:t>إِن</w:t>
      </w:r>
      <w:r w:rsidR="006C78B4" w:rsidRPr="00995B26">
        <w:rPr>
          <w:rFonts w:ascii="KFGQPC Uthmanic Script HAFS" w:cs="KFGQPC Uthmanic Script HAFS" w:hint="cs"/>
          <w:sz w:val="29"/>
          <w:szCs w:val="29"/>
          <w:rtl/>
        </w:rPr>
        <w:t>ۡ</w:t>
      </w:r>
      <w:r w:rsidR="006C78B4" w:rsidRPr="00995B26">
        <w:rPr>
          <w:rFonts w:ascii="KFGQPC Uthmanic Script HAFS" w:cs="KFGQPC Uthmanic Script HAFS"/>
          <w:sz w:val="29"/>
          <w:szCs w:val="29"/>
          <w:rtl/>
        </w:rPr>
        <w:t xml:space="preserve"> </w:t>
      </w:r>
      <w:r w:rsidR="006C78B4" w:rsidRPr="00995B26">
        <w:rPr>
          <w:rFonts w:ascii="KFGQPC Uthmanic Script HAFS" w:cs="KFGQPC Uthmanic Script HAFS" w:hint="eastAsia"/>
          <w:sz w:val="29"/>
          <w:szCs w:val="29"/>
          <w:rtl/>
        </w:rPr>
        <w:t>أَج</w:t>
      </w:r>
      <w:r w:rsidR="006C78B4" w:rsidRPr="00995B26">
        <w:rPr>
          <w:rFonts w:ascii="KFGQPC Uthmanic Script HAFS" w:cs="KFGQPC Uthmanic Script HAFS" w:hint="cs"/>
          <w:sz w:val="29"/>
          <w:szCs w:val="29"/>
          <w:rtl/>
        </w:rPr>
        <w:t>ۡ</w:t>
      </w:r>
      <w:r w:rsidR="006C78B4" w:rsidRPr="00995B26">
        <w:rPr>
          <w:rFonts w:ascii="KFGQPC Uthmanic Script HAFS" w:cs="KFGQPC Uthmanic Script HAFS" w:hint="eastAsia"/>
          <w:sz w:val="29"/>
          <w:szCs w:val="29"/>
          <w:rtl/>
        </w:rPr>
        <w:t>رِيَ</w:t>
      </w:r>
      <w:r w:rsidR="006C78B4" w:rsidRPr="00995B26">
        <w:rPr>
          <w:rFonts w:ascii="KFGQPC Uthmanic Script HAFS" w:cs="KFGQPC Uthmanic Script HAFS"/>
          <w:sz w:val="29"/>
          <w:szCs w:val="29"/>
          <w:rtl/>
        </w:rPr>
        <w:t xml:space="preserve"> </w:t>
      </w:r>
      <w:r w:rsidR="006C78B4" w:rsidRPr="00995B26">
        <w:rPr>
          <w:rFonts w:ascii="KFGQPC Uthmanic Script HAFS" w:cs="KFGQPC Uthmanic Script HAFS" w:hint="eastAsia"/>
          <w:sz w:val="29"/>
          <w:szCs w:val="29"/>
          <w:rtl/>
        </w:rPr>
        <w:t>إِلَّا</w:t>
      </w:r>
      <w:r w:rsidR="006C78B4" w:rsidRPr="00995B26">
        <w:rPr>
          <w:rFonts w:ascii="KFGQPC Uthmanic Script HAFS" w:cs="KFGQPC Uthmanic Script HAFS"/>
          <w:sz w:val="29"/>
          <w:szCs w:val="29"/>
          <w:rtl/>
        </w:rPr>
        <w:t xml:space="preserve"> </w:t>
      </w:r>
      <w:r w:rsidR="006C78B4" w:rsidRPr="00995B26">
        <w:rPr>
          <w:rFonts w:ascii="KFGQPC Uthmanic Script HAFS" w:cs="KFGQPC Uthmanic Script HAFS" w:hint="eastAsia"/>
          <w:sz w:val="29"/>
          <w:szCs w:val="29"/>
          <w:rtl/>
        </w:rPr>
        <w:t>عَلَى</w:t>
      </w:r>
      <w:r w:rsidR="006C78B4" w:rsidRPr="00995B26">
        <w:rPr>
          <w:rFonts w:ascii="KFGQPC Uthmanic Script HAFS" w:cs="KFGQPC Uthmanic Script HAFS" w:hint="cs"/>
          <w:sz w:val="29"/>
          <w:szCs w:val="29"/>
          <w:rtl/>
        </w:rPr>
        <w:t>ٰ</w:t>
      </w:r>
      <w:r w:rsidR="006C78B4" w:rsidRPr="00995B26">
        <w:rPr>
          <w:rFonts w:ascii="KFGQPC Uthmanic Script HAFS" w:cs="KFGQPC Uthmanic Script HAFS"/>
          <w:sz w:val="29"/>
          <w:szCs w:val="29"/>
          <w:rtl/>
        </w:rPr>
        <w:t xml:space="preserve"> </w:t>
      </w:r>
      <w:r w:rsidR="006C78B4" w:rsidRPr="00995B26">
        <w:rPr>
          <w:rFonts w:ascii="KFGQPC Uthmanic Script HAFS" w:cs="KFGQPC Uthmanic Script HAFS" w:hint="eastAsia"/>
          <w:sz w:val="29"/>
          <w:szCs w:val="29"/>
          <w:rtl/>
        </w:rPr>
        <w:t>رَبِّ</w:t>
      </w:r>
      <w:r w:rsidR="006C78B4" w:rsidRPr="00995B26">
        <w:rPr>
          <w:rFonts w:ascii="KFGQPC Uthmanic Script HAFS" w:cs="KFGQPC Uthmanic Script HAFS"/>
          <w:sz w:val="29"/>
          <w:szCs w:val="29"/>
          <w:rtl/>
        </w:rPr>
        <w:t xml:space="preserve"> </w:t>
      </w:r>
      <w:r w:rsidR="006C78B4" w:rsidRPr="00995B26">
        <w:rPr>
          <w:rFonts w:ascii="KFGQPC Uthmanic Script HAFS" w:cs="KFGQPC Uthmanic Script HAFS" w:hint="cs"/>
          <w:sz w:val="29"/>
          <w:szCs w:val="29"/>
          <w:rtl/>
        </w:rPr>
        <w:t>ٱ</w:t>
      </w:r>
      <w:r w:rsidR="006C78B4" w:rsidRPr="00995B26">
        <w:rPr>
          <w:rFonts w:ascii="KFGQPC Uthmanic Script HAFS" w:cs="KFGQPC Uthmanic Script HAFS" w:hint="eastAsia"/>
          <w:sz w:val="29"/>
          <w:szCs w:val="29"/>
          <w:rtl/>
        </w:rPr>
        <w:t>ل</w:t>
      </w:r>
      <w:r w:rsidR="006C78B4" w:rsidRPr="00995B26">
        <w:rPr>
          <w:rFonts w:ascii="KFGQPC Uthmanic Script HAFS" w:cs="KFGQPC Uthmanic Script HAFS" w:hint="cs"/>
          <w:sz w:val="29"/>
          <w:szCs w:val="29"/>
          <w:rtl/>
        </w:rPr>
        <w:t>ۡ</w:t>
      </w:r>
      <w:r w:rsidR="006C78B4" w:rsidRPr="00995B26">
        <w:rPr>
          <w:rFonts w:ascii="KFGQPC Uthmanic Script HAFS" w:cs="KFGQPC Uthmanic Script HAFS" w:hint="eastAsia"/>
          <w:sz w:val="29"/>
          <w:szCs w:val="29"/>
          <w:rtl/>
        </w:rPr>
        <w:t>عَ</w:t>
      </w:r>
      <w:r w:rsidR="006C78B4" w:rsidRPr="00995B26">
        <w:rPr>
          <w:rFonts w:ascii="KFGQPC Uthmanic Script HAFS" w:cs="KFGQPC Uthmanic Script HAFS" w:hint="cs"/>
          <w:sz w:val="29"/>
          <w:szCs w:val="29"/>
          <w:rtl/>
        </w:rPr>
        <w:t>ٰ</w:t>
      </w:r>
      <w:r w:rsidR="006C78B4" w:rsidRPr="00995B26">
        <w:rPr>
          <w:rFonts w:ascii="KFGQPC Uthmanic Script HAFS" w:cs="KFGQPC Uthmanic Script HAFS" w:hint="eastAsia"/>
          <w:sz w:val="29"/>
          <w:szCs w:val="29"/>
          <w:rtl/>
        </w:rPr>
        <w:t>لَمِينَ</w:t>
      </w:r>
      <w:r w:rsidR="006C78B4" w:rsidRPr="00995B26">
        <w:rPr>
          <w:rFonts w:cs="Traditional Arabic" w:hint="cs"/>
          <w:sz w:val="28"/>
          <w:rtl/>
        </w:rPr>
        <w:t>﴾</w:t>
      </w:r>
      <w:r w:rsidRPr="00995B26">
        <w:rPr>
          <w:rFonts w:hint="cs"/>
          <w:sz w:val="28"/>
          <w:rtl/>
        </w:rPr>
        <w:t xml:space="preserve"> </w:t>
      </w:r>
      <w:r w:rsidRPr="003108CB">
        <w:rPr>
          <w:rStyle w:val="Char2"/>
          <w:rtl/>
        </w:rPr>
        <w:t>[الشعراء</w:t>
      </w:r>
      <w:r w:rsidR="006C78B4" w:rsidRPr="003108CB">
        <w:rPr>
          <w:rStyle w:val="Char2"/>
          <w:rFonts w:hint="cs"/>
          <w:rtl/>
        </w:rPr>
        <w:t xml:space="preserve">: </w:t>
      </w:r>
      <w:r w:rsidRPr="003108CB">
        <w:rPr>
          <w:rStyle w:val="Char2"/>
          <w:rtl/>
        </w:rPr>
        <w:t>164]</w:t>
      </w:r>
      <w:r w:rsidR="00217AB4" w:rsidRPr="00995B26">
        <w:rPr>
          <w:rFonts w:hint="cs"/>
          <w:sz w:val="28"/>
          <w:rtl/>
        </w:rPr>
        <w:t>.</w:t>
      </w:r>
    </w:p>
    <w:p w:rsidR="005C664D" w:rsidRPr="003F3B94" w:rsidRDefault="005C664D" w:rsidP="000E2C23">
      <w:pPr>
        <w:pStyle w:val="a0"/>
        <w:ind w:left="624" w:hanging="340"/>
        <w:rPr>
          <w:rFonts w:hint="cs"/>
          <w:rtl/>
        </w:rPr>
      </w:pPr>
      <w:r w:rsidRPr="003F3B94">
        <w:rPr>
          <w:rFonts w:hint="cs"/>
          <w:sz w:val="28"/>
          <w:rtl/>
        </w:rPr>
        <w:t>8</w:t>
      </w:r>
      <w:r w:rsidR="00217AB4" w:rsidRPr="003F3B94">
        <w:rPr>
          <w:rFonts w:hint="cs"/>
          <w:sz w:val="28"/>
          <w:rtl/>
        </w:rPr>
        <w:t>-</w:t>
      </w:r>
      <w:r w:rsidRPr="003F3B94">
        <w:rPr>
          <w:rFonts w:hint="cs"/>
          <w:sz w:val="28"/>
          <w:rtl/>
        </w:rPr>
        <w:t xml:space="preserve"> وفي السورة ذاتها يقول عن لسان حضرة شعيب</w:t>
      </w:r>
      <w:r w:rsidR="00147857" w:rsidRPr="003F3B94">
        <w:rPr>
          <w:rFonts w:hint="cs"/>
          <w:sz w:val="28"/>
          <w:rtl/>
        </w:rPr>
        <w:t xml:space="preserve"> </w:t>
      </w:r>
      <w:r w:rsidR="003C7AEB" w:rsidRPr="003C7AEB">
        <w:rPr>
          <w:rFonts w:ascii="Abo-thar" w:hAnsi="Abo-thar" w:cs="CTraditional Arabic"/>
          <w:sz w:val="28"/>
          <w:rtl/>
        </w:rPr>
        <w:t>÷</w:t>
      </w:r>
      <w:r w:rsidR="00147857" w:rsidRPr="003F3B94">
        <w:rPr>
          <w:rFonts w:ascii="Abo-thar" w:hAnsi="Abo-thar"/>
          <w:sz w:val="28"/>
          <w:rtl/>
        </w:rPr>
        <w:t xml:space="preserve"> </w:t>
      </w:r>
      <w:r w:rsidRPr="003F3B94">
        <w:rPr>
          <w:rFonts w:hint="cs"/>
          <w:sz w:val="28"/>
          <w:rtl/>
        </w:rPr>
        <w:t>مُعْلناً في قومه</w:t>
      </w:r>
      <w:r w:rsidR="00217AB4" w:rsidRPr="003F3B94">
        <w:rPr>
          <w:rFonts w:hint="cs"/>
          <w:sz w:val="28"/>
          <w:rtl/>
        </w:rPr>
        <w:t>:</w:t>
      </w:r>
      <w:r w:rsidR="000E2C23">
        <w:rPr>
          <w:rFonts w:hint="cs"/>
          <w:sz w:val="28"/>
          <w:rtl/>
        </w:rPr>
        <w:t xml:space="preserve"> </w:t>
      </w:r>
      <w:r w:rsidR="006C78B4" w:rsidRPr="00995B26">
        <w:rPr>
          <w:rFonts w:cs="Traditional Arabic" w:hint="cs"/>
          <w:sz w:val="28"/>
          <w:rtl/>
        </w:rPr>
        <w:t>﴿</w:t>
      </w:r>
      <w:r w:rsidR="006C78B4" w:rsidRPr="0067048A">
        <w:rPr>
          <w:rFonts w:ascii="KFGQPC Uthmanic Script HAFS" w:cs="KFGQPC Uthmanic Script HAFS" w:hint="eastAsia"/>
          <w:sz w:val="28"/>
          <w:szCs w:val="28"/>
          <w:rtl/>
        </w:rPr>
        <w:t>وَمَا</w:t>
      </w:r>
      <w:r w:rsidR="006C78B4" w:rsidRPr="0067048A">
        <w:rPr>
          <w:rFonts w:ascii="KFGQPC Uthmanic Script HAFS" w:cs="KFGQPC Uthmanic Script HAFS" w:hint="cs"/>
          <w:sz w:val="28"/>
          <w:szCs w:val="28"/>
          <w:rtl/>
        </w:rPr>
        <w:t>ٓ</w:t>
      </w:r>
      <w:r w:rsidR="006C78B4" w:rsidRPr="0067048A">
        <w:rPr>
          <w:rFonts w:ascii="KFGQPC Uthmanic Script HAFS" w:cs="KFGQPC Uthmanic Script HAFS"/>
          <w:sz w:val="28"/>
          <w:szCs w:val="28"/>
          <w:rtl/>
        </w:rPr>
        <w:t xml:space="preserve"> </w:t>
      </w:r>
      <w:r w:rsidR="006C78B4" w:rsidRPr="0067048A">
        <w:rPr>
          <w:rFonts w:ascii="KFGQPC Uthmanic Script HAFS" w:cs="KFGQPC Uthmanic Script HAFS" w:hint="eastAsia"/>
          <w:sz w:val="28"/>
          <w:szCs w:val="28"/>
          <w:rtl/>
        </w:rPr>
        <w:t>أَس</w:t>
      </w:r>
      <w:r w:rsidR="006C78B4" w:rsidRPr="0067048A">
        <w:rPr>
          <w:rFonts w:ascii="KFGQPC Uthmanic Script HAFS" w:cs="KFGQPC Uthmanic Script HAFS" w:hint="cs"/>
          <w:sz w:val="28"/>
          <w:szCs w:val="28"/>
          <w:rtl/>
        </w:rPr>
        <w:t>ۡ</w:t>
      </w:r>
      <w:r w:rsidR="006C78B4" w:rsidRPr="0067048A">
        <w:rPr>
          <w:rFonts w:ascii="KFGQPC Uthmanic Script HAFS" w:cs="KFGQPC Uthmanic Script HAFS" w:hint="eastAsia"/>
          <w:sz w:val="28"/>
          <w:szCs w:val="28"/>
          <w:rtl/>
        </w:rPr>
        <w:t>‍</w:t>
      </w:r>
      <w:r w:rsidR="006C78B4" w:rsidRPr="0067048A">
        <w:rPr>
          <w:rFonts w:ascii="KFGQPC Uthmanic Script HAFS" w:cs="KFGQPC Uthmanic Script HAFS" w:hint="cs"/>
          <w:sz w:val="28"/>
          <w:szCs w:val="28"/>
          <w:rtl/>
        </w:rPr>
        <w:t>ٔ</w:t>
      </w:r>
      <w:r w:rsidR="006C78B4" w:rsidRPr="0067048A">
        <w:rPr>
          <w:rFonts w:ascii="KFGQPC Uthmanic Script HAFS" w:cs="KFGQPC Uthmanic Script HAFS" w:hint="eastAsia"/>
          <w:sz w:val="28"/>
          <w:szCs w:val="28"/>
          <w:rtl/>
        </w:rPr>
        <w:t>َلُكُم</w:t>
      </w:r>
      <w:r w:rsidR="006C78B4" w:rsidRPr="0067048A">
        <w:rPr>
          <w:rFonts w:ascii="KFGQPC Uthmanic Script HAFS" w:cs="KFGQPC Uthmanic Script HAFS" w:hint="cs"/>
          <w:sz w:val="28"/>
          <w:szCs w:val="28"/>
          <w:rtl/>
        </w:rPr>
        <w:t>ۡ</w:t>
      </w:r>
      <w:r w:rsidR="006C78B4" w:rsidRPr="0067048A">
        <w:rPr>
          <w:rFonts w:ascii="KFGQPC Uthmanic Script HAFS" w:cs="KFGQPC Uthmanic Script HAFS"/>
          <w:sz w:val="28"/>
          <w:szCs w:val="28"/>
          <w:rtl/>
        </w:rPr>
        <w:t xml:space="preserve"> </w:t>
      </w:r>
      <w:r w:rsidR="006C78B4" w:rsidRPr="0067048A">
        <w:rPr>
          <w:rFonts w:ascii="KFGQPC Uthmanic Script HAFS" w:cs="KFGQPC Uthmanic Script HAFS" w:hint="eastAsia"/>
          <w:sz w:val="28"/>
          <w:szCs w:val="28"/>
          <w:rtl/>
        </w:rPr>
        <w:t>عَلَي</w:t>
      </w:r>
      <w:r w:rsidR="006C78B4" w:rsidRPr="0067048A">
        <w:rPr>
          <w:rFonts w:ascii="KFGQPC Uthmanic Script HAFS" w:cs="KFGQPC Uthmanic Script HAFS" w:hint="cs"/>
          <w:sz w:val="28"/>
          <w:szCs w:val="28"/>
          <w:rtl/>
        </w:rPr>
        <w:t>ۡ</w:t>
      </w:r>
      <w:r w:rsidR="006C78B4" w:rsidRPr="0067048A">
        <w:rPr>
          <w:rFonts w:ascii="KFGQPC Uthmanic Script HAFS" w:cs="KFGQPC Uthmanic Script HAFS" w:hint="eastAsia"/>
          <w:sz w:val="28"/>
          <w:szCs w:val="28"/>
          <w:rtl/>
        </w:rPr>
        <w:t>هِ</w:t>
      </w:r>
      <w:r w:rsidR="006C78B4" w:rsidRPr="0067048A">
        <w:rPr>
          <w:rFonts w:ascii="KFGQPC Uthmanic Script HAFS" w:cs="KFGQPC Uthmanic Script HAFS"/>
          <w:sz w:val="28"/>
          <w:szCs w:val="28"/>
          <w:rtl/>
        </w:rPr>
        <w:t xml:space="preserve"> </w:t>
      </w:r>
      <w:r w:rsidR="006C78B4" w:rsidRPr="0067048A">
        <w:rPr>
          <w:rFonts w:ascii="KFGQPC Uthmanic Script HAFS" w:cs="KFGQPC Uthmanic Script HAFS" w:hint="eastAsia"/>
          <w:sz w:val="28"/>
          <w:szCs w:val="28"/>
          <w:rtl/>
        </w:rPr>
        <w:t>مِن</w:t>
      </w:r>
      <w:r w:rsidR="006C78B4" w:rsidRPr="0067048A">
        <w:rPr>
          <w:rFonts w:ascii="KFGQPC Uthmanic Script HAFS" w:cs="KFGQPC Uthmanic Script HAFS" w:hint="cs"/>
          <w:sz w:val="28"/>
          <w:szCs w:val="28"/>
          <w:rtl/>
        </w:rPr>
        <w:t>ۡ</w:t>
      </w:r>
      <w:r w:rsidR="006C78B4" w:rsidRPr="0067048A">
        <w:rPr>
          <w:rFonts w:ascii="KFGQPC Uthmanic Script HAFS" w:cs="KFGQPC Uthmanic Script HAFS"/>
          <w:sz w:val="28"/>
          <w:szCs w:val="28"/>
          <w:rtl/>
        </w:rPr>
        <w:t xml:space="preserve"> </w:t>
      </w:r>
      <w:r w:rsidR="006C78B4" w:rsidRPr="0067048A">
        <w:rPr>
          <w:rFonts w:ascii="KFGQPC Uthmanic Script HAFS" w:cs="KFGQPC Uthmanic Script HAFS" w:hint="eastAsia"/>
          <w:sz w:val="28"/>
          <w:szCs w:val="28"/>
          <w:rtl/>
        </w:rPr>
        <w:t>أَج</w:t>
      </w:r>
      <w:r w:rsidR="006C78B4" w:rsidRPr="0067048A">
        <w:rPr>
          <w:rFonts w:ascii="KFGQPC Uthmanic Script HAFS" w:cs="KFGQPC Uthmanic Script HAFS" w:hint="cs"/>
          <w:sz w:val="28"/>
          <w:szCs w:val="28"/>
          <w:rtl/>
        </w:rPr>
        <w:t>ۡ</w:t>
      </w:r>
      <w:r w:rsidR="006C78B4" w:rsidRPr="0067048A">
        <w:rPr>
          <w:rFonts w:ascii="KFGQPC Uthmanic Script HAFS" w:cs="KFGQPC Uthmanic Script HAFS" w:hint="eastAsia"/>
          <w:sz w:val="28"/>
          <w:szCs w:val="28"/>
          <w:rtl/>
        </w:rPr>
        <w:t>رٍ</w:t>
      </w:r>
      <w:r w:rsidR="006C78B4" w:rsidRPr="0067048A">
        <w:rPr>
          <w:rFonts w:ascii="KFGQPC Uthmanic Script HAFS" w:cs="KFGQPC Uthmanic Script HAFS" w:hint="cs"/>
          <w:sz w:val="28"/>
          <w:szCs w:val="28"/>
          <w:rtl/>
        </w:rPr>
        <w:t>ۖ</w:t>
      </w:r>
      <w:r w:rsidR="006C78B4" w:rsidRPr="0067048A">
        <w:rPr>
          <w:rFonts w:ascii="KFGQPC Uthmanic Script HAFS" w:cs="KFGQPC Uthmanic Script HAFS"/>
          <w:sz w:val="28"/>
          <w:szCs w:val="28"/>
          <w:rtl/>
        </w:rPr>
        <w:t xml:space="preserve"> </w:t>
      </w:r>
      <w:r w:rsidR="006C78B4" w:rsidRPr="0067048A">
        <w:rPr>
          <w:rFonts w:ascii="KFGQPC Uthmanic Script HAFS" w:cs="KFGQPC Uthmanic Script HAFS" w:hint="eastAsia"/>
          <w:sz w:val="28"/>
          <w:szCs w:val="28"/>
          <w:rtl/>
        </w:rPr>
        <w:t>إِن</w:t>
      </w:r>
      <w:r w:rsidR="006C78B4" w:rsidRPr="0067048A">
        <w:rPr>
          <w:rFonts w:ascii="KFGQPC Uthmanic Script HAFS" w:cs="KFGQPC Uthmanic Script HAFS" w:hint="cs"/>
          <w:sz w:val="28"/>
          <w:szCs w:val="28"/>
          <w:rtl/>
        </w:rPr>
        <w:t>ۡ</w:t>
      </w:r>
      <w:r w:rsidR="006C78B4" w:rsidRPr="0067048A">
        <w:rPr>
          <w:rFonts w:ascii="KFGQPC Uthmanic Script HAFS" w:cs="KFGQPC Uthmanic Script HAFS"/>
          <w:sz w:val="28"/>
          <w:szCs w:val="28"/>
          <w:rtl/>
        </w:rPr>
        <w:t xml:space="preserve"> </w:t>
      </w:r>
      <w:r w:rsidR="006C78B4" w:rsidRPr="0067048A">
        <w:rPr>
          <w:rFonts w:ascii="KFGQPC Uthmanic Script HAFS" w:cs="KFGQPC Uthmanic Script HAFS" w:hint="eastAsia"/>
          <w:sz w:val="28"/>
          <w:szCs w:val="28"/>
          <w:rtl/>
        </w:rPr>
        <w:t>أَج</w:t>
      </w:r>
      <w:r w:rsidR="006C78B4" w:rsidRPr="0067048A">
        <w:rPr>
          <w:rFonts w:ascii="KFGQPC Uthmanic Script HAFS" w:cs="KFGQPC Uthmanic Script HAFS" w:hint="cs"/>
          <w:sz w:val="28"/>
          <w:szCs w:val="28"/>
          <w:rtl/>
        </w:rPr>
        <w:t>ۡ</w:t>
      </w:r>
      <w:r w:rsidR="006C78B4" w:rsidRPr="0067048A">
        <w:rPr>
          <w:rFonts w:ascii="KFGQPC Uthmanic Script HAFS" w:cs="KFGQPC Uthmanic Script HAFS" w:hint="eastAsia"/>
          <w:sz w:val="28"/>
          <w:szCs w:val="28"/>
          <w:rtl/>
        </w:rPr>
        <w:t>رِيَ</w:t>
      </w:r>
      <w:r w:rsidR="006C78B4" w:rsidRPr="0067048A">
        <w:rPr>
          <w:rFonts w:ascii="KFGQPC Uthmanic Script HAFS" w:cs="KFGQPC Uthmanic Script HAFS"/>
          <w:sz w:val="28"/>
          <w:szCs w:val="28"/>
          <w:rtl/>
        </w:rPr>
        <w:t xml:space="preserve"> </w:t>
      </w:r>
      <w:r w:rsidR="006C78B4" w:rsidRPr="0067048A">
        <w:rPr>
          <w:rFonts w:ascii="KFGQPC Uthmanic Script HAFS" w:cs="KFGQPC Uthmanic Script HAFS" w:hint="eastAsia"/>
          <w:sz w:val="28"/>
          <w:szCs w:val="28"/>
          <w:rtl/>
        </w:rPr>
        <w:t>إِلَّا</w:t>
      </w:r>
      <w:r w:rsidR="006C78B4" w:rsidRPr="0067048A">
        <w:rPr>
          <w:rFonts w:ascii="KFGQPC Uthmanic Script HAFS" w:cs="KFGQPC Uthmanic Script HAFS"/>
          <w:sz w:val="28"/>
          <w:szCs w:val="28"/>
          <w:rtl/>
        </w:rPr>
        <w:t xml:space="preserve"> </w:t>
      </w:r>
      <w:r w:rsidR="006C78B4" w:rsidRPr="0067048A">
        <w:rPr>
          <w:rFonts w:ascii="KFGQPC Uthmanic Script HAFS" w:cs="KFGQPC Uthmanic Script HAFS" w:hint="eastAsia"/>
          <w:sz w:val="28"/>
          <w:szCs w:val="28"/>
          <w:rtl/>
        </w:rPr>
        <w:t>عَلَى</w:t>
      </w:r>
      <w:r w:rsidR="006C78B4" w:rsidRPr="0067048A">
        <w:rPr>
          <w:rFonts w:ascii="KFGQPC Uthmanic Script HAFS" w:cs="KFGQPC Uthmanic Script HAFS" w:hint="cs"/>
          <w:sz w:val="28"/>
          <w:szCs w:val="28"/>
          <w:rtl/>
        </w:rPr>
        <w:t>ٰ</w:t>
      </w:r>
      <w:r w:rsidR="006C78B4" w:rsidRPr="0067048A">
        <w:rPr>
          <w:rFonts w:ascii="KFGQPC Uthmanic Script HAFS" w:cs="KFGQPC Uthmanic Script HAFS"/>
          <w:sz w:val="28"/>
          <w:szCs w:val="28"/>
          <w:rtl/>
        </w:rPr>
        <w:t xml:space="preserve"> </w:t>
      </w:r>
      <w:r w:rsidR="006C78B4" w:rsidRPr="0067048A">
        <w:rPr>
          <w:rFonts w:ascii="KFGQPC Uthmanic Script HAFS" w:cs="KFGQPC Uthmanic Script HAFS" w:hint="eastAsia"/>
          <w:sz w:val="28"/>
          <w:szCs w:val="28"/>
          <w:rtl/>
        </w:rPr>
        <w:t>رَبِّ</w:t>
      </w:r>
      <w:r w:rsidR="006C78B4" w:rsidRPr="0067048A">
        <w:rPr>
          <w:rFonts w:ascii="KFGQPC Uthmanic Script HAFS" w:cs="KFGQPC Uthmanic Script HAFS"/>
          <w:sz w:val="28"/>
          <w:szCs w:val="28"/>
          <w:rtl/>
        </w:rPr>
        <w:t xml:space="preserve"> </w:t>
      </w:r>
      <w:r w:rsidR="006C78B4" w:rsidRPr="0067048A">
        <w:rPr>
          <w:rFonts w:ascii="KFGQPC Uthmanic Script HAFS" w:cs="KFGQPC Uthmanic Script HAFS" w:hint="cs"/>
          <w:sz w:val="28"/>
          <w:szCs w:val="28"/>
          <w:rtl/>
        </w:rPr>
        <w:t>ٱ</w:t>
      </w:r>
      <w:r w:rsidR="006C78B4" w:rsidRPr="0067048A">
        <w:rPr>
          <w:rFonts w:ascii="KFGQPC Uthmanic Script HAFS" w:cs="KFGQPC Uthmanic Script HAFS" w:hint="eastAsia"/>
          <w:sz w:val="28"/>
          <w:szCs w:val="28"/>
          <w:rtl/>
        </w:rPr>
        <w:t>ل</w:t>
      </w:r>
      <w:r w:rsidR="006C78B4" w:rsidRPr="0067048A">
        <w:rPr>
          <w:rFonts w:ascii="KFGQPC Uthmanic Script HAFS" w:cs="KFGQPC Uthmanic Script HAFS" w:hint="cs"/>
          <w:sz w:val="28"/>
          <w:szCs w:val="28"/>
          <w:rtl/>
        </w:rPr>
        <w:t>ۡ</w:t>
      </w:r>
      <w:r w:rsidR="006C78B4" w:rsidRPr="0067048A">
        <w:rPr>
          <w:rFonts w:ascii="KFGQPC Uthmanic Script HAFS" w:cs="KFGQPC Uthmanic Script HAFS" w:hint="eastAsia"/>
          <w:sz w:val="28"/>
          <w:szCs w:val="28"/>
          <w:rtl/>
        </w:rPr>
        <w:t>عَ</w:t>
      </w:r>
      <w:r w:rsidR="006C78B4" w:rsidRPr="0067048A">
        <w:rPr>
          <w:rFonts w:ascii="KFGQPC Uthmanic Script HAFS" w:cs="KFGQPC Uthmanic Script HAFS" w:hint="cs"/>
          <w:sz w:val="28"/>
          <w:szCs w:val="28"/>
          <w:rtl/>
        </w:rPr>
        <w:t>ٰ</w:t>
      </w:r>
      <w:r w:rsidR="006C78B4" w:rsidRPr="0067048A">
        <w:rPr>
          <w:rFonts w:ascii="KFGQPC Uthmanic Script HAFS" w:cs="KFGQPC Uthmanic Script HAFS" w:hint="eastAsia"/>
          <w:sz w:val="28"/>
          <w:szCs w:val="28"/>
          <w:rtl/>
        </w:rPr>
        <w:t>لَمِينَ</w:t>
      </w:r>
      <w:r w:rsidR="006C78B4" w:rsidRPr="00995B26">
        <w:rPr>
          <w:rFonts w:cs="Traditional Arabic" w:hint="cs"/>
          <w:sz w:val="28"/>
          <w:rtl/>
        </w:rPr>
        <w:t>﴾</w:t>
      </w:r>
      <w:r w:rsidRPr="003F3B94">
        <w:rPr>
          <w:rFonts w:hint="cs"/>
          <w:sz w:val="28"/>
          <w:rtl/>
        </w:rPr>
        <w:t xml:space="preserve"> </w:t>
      </w:r>
      <w:r w:rsidRPr="003108CB">
        <w:rPr>
          <w:rStyle w:val="Char2"/>
          <w:rtl/>
        </w:rPr>
        <w:t>[الشعراء</w:t>
      </w:r>
      <w:r w:rsidR="006C78B4" w:rsidRPr="003108CB">
        <w:rPr>
          <w:rStyle w:val="Char2"/>
          <w:rFonts w:hint="cs"/>
          <w:rtl/>
        </w:rPr>
        <w:t xml:space="preserve">: </w:t>
      </w:r>
      <w:r w:rsidRPr="003108CB">
        <w:rPr>
          <w:rStyle w:val="Char2"/>
          <w:rtl/>
        </w:rPr>
        <w:t>180]</w:t>
      </w:r>
      <w:r w:rsidR="00217AB4" w:rsidRPr="003F3B94">
        <w:rPr>
          <w:rFonts w:hint="cs"/>
          <w:sz w:val="28"/>
          <w:rtl/>
        </w:rPr>
        <w:t>.</w:t>
      </w:r>
    </w:p>
    <w:p w:rsidR="005C664D" w:rsidRPr="00995B26" w:rsidRDefault="005C664D" w:rsidP="003F3B94">
      <w:pPr>
        <w:pStyle w:val="a0"/>
        <w:rPr>
          <w:rFonts w:hint="cs"/>
          <w:rtl/>
        </w:rPr>
      </w:pPr>
      <w:r w:rsidRPr="003F3B94">
        <w:rPr>
          <w:rFonts w:hint="cs"/>
          <w:sz w:val="28"/>
          <w:rtl/>
        </w:rPr>
        <w:t>تدلُّ هذه الآيات على أن جميع الأنبياء الذين بعثوا في قرون متباعدة وأقوام مختلفة نادوا بصوت واحد ونداء واحد أن يا أيها الناس لا نسألكم</w:t>
      </w:r>
      <w:r w:rsidR="00147857" w:rsidRPr="003F3B94">
        <w:rPr>
          <w:rFonts w:hint="cs"/>
          <w:sz w:val="28"/>
          <w:rtl/>
        </w:rPr>
        <w:t xml:space="preserve"> </w:t>
      </w:r>
      <w:r w:rsidRPr="003F3B94">
        <w:rPr>
          <w:rFonts w:hint="cs"/>
          <w:sz w:val="28"/>
          <w:rtl/>
        </w:rPr>
        <w:t>أي أجر أو مال تلقاء تبليغنا إيّاكم رسالة الله وتلقاء ما نتحمّله من جهد ومتاعب ومشقات في هذا الصدد</w:t>
      </w:r>
      <w:r w:rsidR="00217AB4" w:rsidRPr="003F3B94">
        <w:rPr>
          <w:rFonts w:hint="cs"/>
          <w:sz w:val="28"/>
          <w:rtl/>
        </w:rPr>
        <w:t>،</w:t>
      </w:r>
      <w:r w:rsidRPr="003F3B94">
        <w:rPr>
          <w:rFonts w:hint="cs"/>
          <w:sz w:val="28"/>
          <w:rtl/>
        </w:rPr>
        <w:t xml:space="preserve"> لأن أجرنا على رب العالمين</w:t>
      </w:r>
      <w:r w:rsidR="00217AB4" w:rsidRPr="003F3B94">
        <w:rPr>
          <w:rFonts w:hint="cs"/>
          <w:sz w:val="28"/>
          <w:rtl/>
        </w:rPr>
        <w:t>.</w:t>
      </w:r>
      <w:r w:rsidR="00147857" w:rsidRPr="003F3B94">
        <w:rPr>
          <w:rFonts w:hint="cs"/>
          <w:sz w:val="28"/>
          <w:rtl/>
        </w:rPr>
        <w:t xml:space="preserve"> </w:t>
      </w:r>
      <w:r w:rsidRPr="003F3B94">
        <w:rPr>
          <w:rFonts w:hint="cs"/>
          <w:sz w:val="28"/>
          <w:rtl/>
        </w:rPr>
        <w:t>كما تُبيِّنُ الآيات أن سيرة جميع الأنبياء وسنتهم ونهجهم جميعاً سيرة واحدة ونهج واحد ليس فيه أي اختلاف لأنهم جميعاً أنبياء والأنبياء كلهم كشخص واحد</w:t>
      </w:r>
      <w:r w:rsidR="00217AB4" w:rsidRPr="003F3B94">
        <w:rPr>
          <w:rFonts w:hint="cs"/>
          <w:sz w:val="28"/>
          <w:rtl/>
        </w:rPr>
        <w:t>:</w:t>
      </w:r>
      <w:r w:rsidR="006C78B4" w:rsidRPr="003F3B94">
        <w:rPr>
          <w:rFonts w:hint="cs"/>
          <w:sz w:val="28"/>
          <w:rtl/>
        </w:rPr>
        <w:t xml:space="preserve"> </w:t>
      </w:r>
      <w:r w:rsidR="006C78B4" w:rsidRPr="00995B26">
        <w:rPr>
          <w:rFonts w:cs="Traditional Arabic" w:hint="cs"/>
          <w:sz w:val="28"/>
          <w:rtl/>
        </w:rPr>
        <w:t>﴿</w:t>
      </w:r>
      <w:r w:rsidR="006C78B4" w:rsidRPr="0067048A">
        <w:rPr>
          <w:rFonts w:ascii="KFGQPC Uthmanic Script HAFS" w:cs="KFGQPC Uthmanic Script HAFS" w:hint="eastAsia"/>
          <w:sz w:val="28"/>
          <w:szCs w:val="28"/>
          <w:rtl/>
        </w:rPr>
        <w:t>قُل</w:t>
      </w:r>
      <w:r w:rsidR="006C78B4" w:rsidRPr="0067048A">
        <w:rPr>
          <w:rFonts w:ascii="KFGQPC Uthmanic Script HAFS" w:cs="KFGQPC Uthmanic Script HAFS" w:hint="cs"/>
          <w:sz w:val="28"/>
          <w:szCs w:val="28"/>
          <w:rtl/>
        </w:rPr>
        <w:t>ۡ</w:t>
      </w:r>
      <w:r w:rsidR="006C78B4" w:rsidRPr="0067048A">
        <w:rPr>
          <w:rFonts w:ascii="KFGQPC Uthmanic Script HAFS" w:cs="KFGQPC Uthmanic Script HAFS"/>
          <w:sz w:val="28"/>
          <w:szCs w:val="28"/>
          <w:rtl/>
        </w:rPr>
        <w:t xml:space="preserve"> </w:t>
      </w:r>
      <w:r w:rsidR="006C78B4" w:rsidRPr="0067048A">
        <w:rPr>
          <w:rFonts w:ascii="KFGQPC Uthmanic Script HAFS" w:cs="KFGQPC Uthmanic Script HAFS" w:hint="eastAsia"/>
          <w:sz w:val="28"/>
          <w:szCs w:val="28"/>
          <w:rtl/>
        </w:rPr>
        <w:t>مَا</w:t>
      </w:r>
      <w:r w:rsidR="006C78B4" w:rsidRPr="0067048A">
        <w:rPr>
          <w:rFonts w:ascii="KFGQPC Uthmanic Script HAFS" w:cs="KFGQPC Uthmanic Script HAFS"/>
          <w:sz w:val="28"/>
          <w:szCs w:val="28"/>
          <w:rtl/>
        </w:rPr>
        <w:t xml:space="preserve"> </w:t>
      </w:r>
      <w:r w:rsidR="006C78B4" w:rsidRPr="0067048A">
        <w:rPr>
          <w:rFonts w:ascii="KFGQPC Uthmanic Script HAFS" w:cs="KFGQPC Uthmanic Script HAFS" w:hint="eastAsia"/>
          <w:sz w:val="28"/>
          <w:szCs w:val="28"/>
          <w:rtl/>
        </w:rPr>
        <w:t>كُنتُ</w:t>
      </w:r>
      <w:r w:rsidR="006C78B4" w:rsidRPr="0067048A">
        <w:rPr>
          <w:rFonts w:ascii="KFGQPC Uthmanic Script HAFS" w:cs="KFGQPC Uthmanic Script HAFS"/>
          <w:sz w:val="28"/>
          <w:szCs w:val="28"/>
          <w:rtl/>
        </w:rPr>
        <w:t xml:space="preserve"> </w:t>
      </w:r>
      <w:r w:rsidR="006C78B4" w:rsidRPr="0067048A">
        <w:rPr>
          <w:rFonts w:ascii="KFGQPC Uthmanic Script HAFS" w:cs="KFGQPC Uthmanic Script HAFS" w:hint="eastAsia"/>
          <w:sz w:val="28"/>
          <w:szCs w:val="28"/>
          <w:rtl/>
        </w:rPr>
        <w:t>بِد</w:t>
      </w:r>
      <w:r w:rsidR="006C78B4" w:rsidRPr="0067048A">
        <w:rPr>
          <w:rFonts w:ascii="KFGQPC Uthmanic Script HAFS" w:cs="KFGQPC Uthmanic Script HAFS" w:hint="cs"/>
          <w:sz w:val="28"/>
          <w:szCs w:val="28"/>
          <w:rtl/>
        </w:rPr>
        <w:t>ۡ</w:t>
      </w:r>
      <w:r w:rsidR="006C78B4" w:rsidRPr="0067048A">
        <w:rPr>
          <w:rFonts w:ascii="KFGQPC Uthmanic Script HAFS" w:cs="KFGQPC Uthmanic Script HAFS" w:hint="eastAsia"/>
          <w:sz w:val="28"/>
          <w:szCs w:val="28"/>
          <w:rtl/>
        </w:rPr>
        <w:t>ع</w:t>
      </w:r>
      <w:r w:rsidR="006C78B4" w:rsidRPr="0067048A">
        <w:rPr>
          <w:rFonts w:ascii="KFGQPC Uthmanic Script HAFS" w:cs="KFGQPC Uthmanic Script HAFS" w:hint="cs"/>
          <w:sz w:val="28"/>
          <w:szCs w:val="28"/>
          <w:rtl/>
        </w:rPr>
        <w:t>ٗ</w:t>
      </w:r>
      <w:r w:rsidR="006C78B4" w:rsidRPr="0067048A">
        <w:rPr>
          <w:rFonts w:ascii="KFGQPC Uthmanic Script HAFS" w:cs="KFGQPC Uthmanic Script HAFS" w:hint="eastAsia"/>
          <w:sz w:val="28"/>
          <w:szCs w:val="28"/>
          <w:rtl/>
        </w:rPr>
        <w:t>ا</w:t>
      </w:r>
      <w:r w:rsidR="006C78B4" w:rsidRPr="0067048A">
        <w:rPr>
          <w:rFonts w:ascii="KFGQPC Uthmanic Script HAFS" w:cs="KFGQPC Uthmanic Script HAFS"/>
          <w:sz w:val="28"/>
          <w:szCs w:val="28"/>
          <w:rtl/>
        </w:rPr>
        <w:t xml:space="preserve"> </w:t>
      </w:r>
      <w:r w:rsidR="006C78B4" w:rsidRPr="0067048A">
        <w:rPr>
          <w:rFonts w:ascii="KFGQPC Uthmanic Script HAFS" w:cs="KFGQPC Uthmanic Script HAFS" w:hint="eastAsia"/>
          <w:sz w:val="28"/>
          <w:szCs w:val="28"/>
          <w:rtl/>
        </w:rPr>
        <w:t>مِّنَ</w:t>
      </w:r>
      <w:r w:rsidR="006C78B4" w:rsidRPr="0067048A">
        <w:rPr>
          <w:rFonts w:ascii="KFGQPC Uthmanic Script HAFS" w:cs="KFGQPC Uthmanic Script HAFS"/>
          <w:sz w:val="28"/>
          <w:szCs w:val="28"/>
          <w:rtl/>
        </w:rPr>
        <w:t xml:space="preserve"> </w:t>
      </w:r>
      <w:r w:rsidR="006C78B4" w:rsidRPr="0067048A">
        <w:rPr>
          <w:rFonts w:ascii="KFGQPC Uthmanic Script HAFS" w:cs="KFGQPC Uthmanic Script HAFS" w:hint="cs"/>
          <w:sz w:val="28"/>
          <w:szCs w:val="28"/>
          <w:rtl/>
        </w:rPr>
        <w:t>ٱ</w:t>
      </w:r>
      <w:r w:rsidR="006C78B4" w:rsidRPr="0067048A">
        <w:rPr>
          <w:rFonts w:ascii="KFGQPC Uthmanic Script HAFS" w:cs="KFGQPC Uthmanic Script HAFS" w:hint="eastAsia"/>
          <w:sz w:val="28"/>
          <w:szCs w:val="28"/>
          <w:rtl/>
        </w:rPr>
        <w:t>لرُّسُلِ</w:t>
      </w:r>
      <w:r w:rsidR="006C78B4" w:rsidRPr="00995B26">
        <w:rPr>
          <w:rFonts w:ascii="KFGQPC Uthmanic Script HAFS" w:cs="Times New Roman" w:hint="cs"/>
          <w:sz w:val="28"/>
          <w:rtl/>
        </w:rPr>
        <w:t>...</w:t>
      </w:r>
      <w:r w:rsidR="006C78B4" w:rsidRPr="00995B26">
        <w:rPr>
          <w:rFonts w:cs="Traditional Arabic" w:hint="cs"/>
          <w:sz w:val="28"/>
          <w:rtl/>
        </w:rPr>
        <w:t>﴾</w:t>
      </w:r>
      <w:r w:rsidRPr="00995B26">
        <w:rPr>
          <w:rFonts w:hint="cs"/>
          <w:sz w:val="28"/>
          <w:rtl/>
        </w:rPr>
        <w:t xml:space="preserve"> </w:t>
      </w:r>
      <w:r w:rsidRPr="003108CB">
        <w:rPr>
          <w:rStyle w:val="Char2"/>
          <w:rFonts w:hint="cs"/>
          <w:rtl/>
        </w:rPr>
        <w:t>[الأحقاف</w:t>
      </w:r>
      <w:r w:rsidR="006C78B4" w:rsidRPr="003108CB">
        <w:rPr>
          <w:rStyle w:val="Char2"/>
          <w:rFonts w:hint="cs"/>
          <w:rtl/>
        </w:rPr>
        <w:t xml:space="preserve">: </w:t>
      </w:r>
      <w:r w:rsidRPr="003108CB">
        <w:rPr>
          <w:rStyle w:val="Char2"/>
          <w:rFonts w:hint="cs"/>
          <w:rtl/>
        </w:rPr>
        <w:t>9]</w:t>
      </w:r>
      <w:r w:rsidRPr="00995B26">
        <w:rPr>
          <w:rFonts w:hint="cs"/>
          <w:sz w:val="28"/>
          <w:rtl/>
        </w:rPr>
        <w:t xml:space="preserve"> و</w:t>
      </w:r>
      <w:r w:rsidR="006C78B4" w:rsidRPr="00995B26">
        <w:rPr>
          <w:rFonts w:hint="cs"/>
          <w:sz w:val="28"/>
          <w:rtl/>
        </w:rPr>
        <w:t xml:space="preserve"> </w:t>
      </w:r>
      <w:r w:rsidR="006C78B4" w:rsidRPr="00995B26">
        <w:rPr>
          <w:rFonts w:cs="Traditional Arabic" w:hint="cs"/>
          <w:sz w:val="28"/>
          <w:rtl/>
        </w:rPr>
        <w:t>﴿</w:t>
      </w:r>
      <w:r w:rsidR="006C78B4" w:rsidRPr="0067048A">
        <w:rPr>
          <w:rFonts w:ascii="KFGQPC Uthmanic Script HAFS" w:cs="KFGQPC Uthmanic Script HAFS" w:hint="eastAsia"/>
          <w:sz w:val="28"/>
          <w:szCs w:val="28"/>
          <w:rtl/>
        </w:rPr>
        <w:t>لَا</w:t>
      </w:r>
      <w:r w:rsidR="006C78B4" w:rsidRPr="0067048A">
        <w:rPr>
          <w:rFonts w:ascii="KFGQPC Uthmanic Script HAFS" w:cs="KFGQPC Uthmanic Script HAFS"/>
          <w:sz w:val="28"/>
          <w:szCs w:val="28"/>
          <w:rtl/>
        </w:rPr>
        <w:t xml:space="preserve"> </w:t>
      </w:r>
      <w:r w:rsidR="006C78B4" w:rsidRPr="0067048A">
        <w:rPr>
          <w:rFonts w:ascii="KFGQPC Uthmanic Script HAFS" w:cs="KFGQPC Uthmanic Script HAFS" w:hint="eastAsia"/>
          <w:sz w:val="28"/>
          <w:szCs w:val="28"/>
          <w:rtl/>
        </w:rPr>
        <w:t>نُفَرِّقُ</w:t>
      </w:r>
      <w:r w:rsidR="006C78B4" w:rsidRPr="0067048A">
        <w:rPr>
          <w:rFonts w:ascii="KFGQPC Uthmanic Script HAFS" w:cs="KFGQPC Uthmanic Script HAFS"/>
          <w:sz w:val="28"/>
          <w:szCs w:val="28"/>
          <w:rtl/>
        </w:rPr>
        <w:t xml:space="preserve"> </w:t>
      </w:r>
      <w:r w:rsidR="006C78B4" w:rsidRPr="0067048A">
        <w:rPr>
          <w:rFonts w:ascii="KFGQPC Uthmanic Script HAFS" w:cs="KFGQPC Uthmanic Script HAFS" w:hint="eastAsia"/>
          <w:sz w:val="28"/>
          <w:szCs w:val="28"/>
          <w:rtl/>
        </w:rPr>
        <w:t>بَي</w:t>
      </w:r>
      <w:r w:rsidR="006C78B4" w:rsidRPr="0067048A">
        <w:rPr>
          <w:rFonts w:ascii="KFGQPC Uthmanic Script HAFS" w:cs="KFGQPC Uthmanic Script HAFS" w:hint="cs"/>
          <w:sz w:val="28"/>
          <w:szCs w:val="28"/>
          <w:rtl/>
        </w:rPr>
        <w:t>ۡ</w:t>
      </w:r>
      <w:r w:rsidR="006C78B4" w:rsidRPr="0067048A">
        <w:rPr>
          <w:rFonts w:ascii="KFGQPC Uthmanic Script HAFS" w:cs="KFGQPC Uthmanic Script HAFS" w:hint="eastAsia"/>
          <w:sz w:val="28"/>
          <w:szCs w:val="28"/>
          <w:rtl/>
        </w:rPr>
        <w:t>نَ</w:t>
      </w:r>
      <w:r w:rsidR="006C78B4" w:rsidRPr="0067048A">
        <w:rPr>
          <w:rFonts w:ascii="KFGQPC Uthmanic Script HAFS" w:cs="KFGQPC Uthmanic Script HAFS"/>
          <w:sz w:val="28"/>
          <w:szCs w:val="28"/>
          <w:rtl/>
        </w:rPr>
        <w:t xml:space="preserve"> </w:t>
      </w:r>
      <w:r w:rsidR="006C78B4" w:rsidRPr="0067048A">
        <w:rPr>
          <w:rFonts w:ascii="KFGQPC Uthmanic Script HAFS" w:cs="KFGQPC Uthmanic Script HAFS" w:hint="eastAsia"/>
          <w:sz w:val="28"/>
          <w:szCs w:val="28"/>
          <w:rtl/>
        </w:rPr>
        <w:t>أَحَد</w:t>
      </w:r>
      <w:r w:rsidR="006C78B4" w:rsidRPr="0067048A">
        <w:rPr>
          <w:rFonts w:ascii="KFGQPC Uthmanic Script HAFS" w:cs="KFGQPC Uthmanic Script HAFS" w:hint="cs"/>
          <w:sz w:val="28"/>
          <w:szCs w:val="28"/>
          <w:rtl/>
        </w:rPr>
        <w:t>ٖ</w:t>
      </w:r>
      <w:r w:rsidR="006C78B4" w:rsidRPr="0067048A">
        <w:rPr>
          <w:rFonts w:ascii="KFGQPC Uthmanic Script HAFS" w:cs="KFGQPC Uthmanic Script HAFS"/>
          <w:sz w:val="28"/>
          <w:szCs w:val="28"/>
          <w:rtl/>
        </w:rPr>
        <w:t xml:space="preserve"> </w:t>
      </w:r>
      <w:r w:rsidR="006C78B4" w:rsidRPr="0067048A">
        <w:rPr>
          <w:rFonts w:ascii="KFGQPC Uthmanic Script HAFS" w:cs="KFGQPC Uthmanic Script HAFS" w:hint="eastAsia"/>
          <w:sz w:val="28"/>
          <w:szCs w:val="28"/>
          <w:rtl/>
        </w:rPr>
        <w:t>مِّن</w:t>
      </w:r>
      <w:r w:rsidR="006C78B4" w:rsidRPr="0067048A">
        <w:rPr>
          <w:rFonts w:ascii="KFGQPC Uthmanic Script HAFS" w:cs="KFGQPC Uthmanic Script HAFS" w:hint="cs"/>
          <w:sz w:val="28"/>
          <w:szCs w:val="28"/>
          <w:rtl/>
        </w:rPr>
        <w:t>ۡ</w:t>
      </w:r>
      <w:r w:rsidR="006C78B4" w:rsidRPr="0067048A">
        <w:rPr>
          <w:rFonts w:ascii="KFGQPC Uthmanic Script HAFS" w:cs="KFGQPC Uthmanic Script HAFS" w:hint="eastAsia"/>
          <w:sz w:val="28"/>
          <w:szCs w:val="28"/>
          <w:rtl/>
        </w:rPr>
        <w:t>هُم</w:t>
      </w:r>
      <w:r w:rsidR="006C78B4" w:rsidRPr="0067048A">
        <w:rPr>
          <w:rFonts w:ascii="KFGQPC Uthmanic Script HAFS" w:cs="KFGQPC Uthmanic Script HAFS" w:hint="cs"/>
          <w:sz w:val="28"/>
          <w:szCs w:val="28"/>
          <w:rtl/>
        </w:rPr>
        <w:t>ۡ</w:t>
      </w:r>
      <w:r w:rsidR="006C78B4" w:rsidRPr="00995B26">
        <w:rPr>
          <w:rFonts w:cs="Traditional Arabic" w:hint="cs"/>
          <w:sz w:val="28"/>
          <w:rtl/>
        </w:rPr>
        <w:t>﴾</w:t>
      </w:r>
      <w:r w:rsidR="006C78B4" w:rsidRPr="00995B26">
        <w:rPr>
          <w:rFonts w:hint="cs"/>
          <w:sz w:val="28"/>
          <w:rtl/>
        </w:rPr>
        <w:t xml:space="preserve"> </w:t>
      </w:r>
      <w:r w:rsidRPr="003108CB">
        <w:rPr>
          <w:rStyle w:val="Char2"/>
          <w:rFonts w:hint="cs"/>
          <w:rtl/>
        </w:rPr>
        <w:t>[البقرة</w:t>
      </w:r>
      <w:r w:rsidR="006C78B4" w:rsidRPr="003108CB">
        <w:rPr>
          <w:rStyle w:val="Char2"/>
          <w:rFonts w:hint="cs"/>
          <w:rtl/>
        </w:rPr>
        <w:t xml:space="preserve">: </w:t>
      </w:r>
      <w:r w:rsidRPr="003108CB">
        <w:rPr>
          <w:rStyle w:val="Char2"/>
          <w:rFonts w:hint="cs"/>
          <w:rtl/>
        </w:rPr>
        <w:t>136]</w:t>
      </w:r>
      <w:r w:rsidR="00217AB4" w:rsidRPr="00995B26">
        <w:rPr>
          <w:rFonts w:hint="cs"/>
          <w:sz w:val="28"/>
          <w:rtl/>
        </w:rPr>
        <w:t>.</w:t>
      </w:r>
    </w:p>
    <w:p w:rsidR="005C664D" w:rsidRPr="00995B26" w:rsidRDefault="005C664D" w:rsidP="003F3B94">
      <w:pPr>
        <w:pStyle w:val="a0"/>
        <w:rPr>
          <w:rFonts w:hint="cs"/>
          <w:rtl/>
        </w:rPr>
      </w:pPr>
      <w:r w:rsidRPr="003F3B94">
        <w:rPr>
          <w:rFonts w:hint="cs"/>
          <w:sz w:val="28"/>
          <w:rtl/>
        </w:rPr>
        <w:t>وليس الأنبياء فقط هم أصحاب شعار</w:t>
      </w:r>
      <w:r w:rsidR="006C78B4" w:rsidRPr="003F3B94">
        <w:rPr>
          <w:rFonts w:hint="cs"/>
          <w:sz w:val="28"/>
          <w:rtl/>
        </w:rPr>
        <w:t xml:space="preserve"> </w:t>
      </w:r>
      <w:r w:rsidR="006C78B4" w:rsidRPr="00995B26">
        <w:rPr>
          <w:rFonts w:cs="Traditional Arabic" w:hint="cs"/>
          <w:sz w:val="28"/>
          <w:rtl/>
        </w:rPr>
        <w:t>﴿</w:t>
      </w:r>
      <w:r w:rsidR="006C78B4" w:rsidRPr="0067048A">
        <w:rPr>
          <w:rFonts w:ascii="KFGQPC Uthmanic Script HAFS" w:cs="KFGQPC Uthmanic Script HAFS" w:hint="eastAsia"/>
          <w:sz w:val="28"/>
          <w:szCs w:val="28"/>
          <w:rtl/>
        </w:rPr>
        <w:t>لَا</w:t>
      </w:r>
      <w:r w:rsidR="006C78B4" w:rsidRPr="0067048A">
        <w:rPr>
          <w:rFonts w:ascii="KFGQPC Uthmanic Script HAFS" w:cs="KFGQPC Uthmanic Script HAFS" w:hint="cs"/>
          <w:sz w:val="28"/>
          <w:szCs w:val="28"/>
          <w:rtl/>
        </w:rPr>
        <w:t>ٓ</w:t>
      </w:r>
      <w:r w:rsidR="006C78B4" w:rsidRPr="0067048A">
        <w:rPr>
          <w:rFonts w:ascii="KFGQPC Uthmanic Script HAFS" w:cs="KFGQPC Uthmanic Script HAFS"/>
          <w:sz w:val="28"/>
          <w:szCs w:val="28"/>
          <w:rtl/>
        </w:rPr>
        <w:t xml:space="preserve"> </w:t>
      </w:r>
      <w:r w:rsidR="006C78B4" w:rsidRPr="0067048A">
        <w:rPr>
          <w:rFonts w:ascii="KFGQPC Uthmanic Script HAFS" w:cs="KFGQPC Uthmanic Script HAFS" w:hint="eastAsia"/>
          <w:sz w:val="28"/>
          <w:szCs w:val="28"/>
          <w:rtl/>
        </w:rPr>
        <w:t>أَس</w:t>
      </w:r>
      <w:r w:rsidR="006C78B4" w:rsidRPr="0067048A">
        <w:rPr>
          <w:rFonts w:ascii="KFGQPC Uthmanic Script HAFS" w:cs="KFGQPC Uthmanic Script HAFS" w:hint="cs"/>
          <w:sz w:val="28"/>
          <w:szCs w:val="28"/>
          <w:rtl/>
        </w:rPr>
        <w:t>ۡ</w:t>
      </w:r>
      <w:r w:rsidR="006C78B4" w:rsidRPr="0067048A">
        <w:rPr>
          <w:rFonts w:ascii="KFGQPC Uthmanic Script HAFS" w:cs="KFGQPC Uthmanic Script HAFS" w:hint="eastAsia"/>
          <w:sz w:val="28"/>
          <w:szCs w:val="28"/>
          <w:rtl/>
        </w:rPr>
        <w:t>‍</w:t>
      </w:r>
      <w:r w:rsidR="006C78B4" w:rsidRPr="0067048A">
        <w:rPr>
          <w:rFonts w:ascii="KFGQPC Uthmanic Script HAFS" w:cs="KFGQPC Uthmanic Script HAFS" w:hint="cs"/>
          <w:sz w:val="28"/>
          <w:szCs w:val="28"/>
          <w:rtl/>
        </w:rPr>
        <w:t>ٔ</w:t>
      </w:r>
      <w:r w:rsidR="006C78B4" w:rsidRPr="0067048A">
        <w:rPr>
          <w:rFonts w:ascii="KFGQPC Uthmanic Script HAFS" w:cs="KFGQPC Uthmanic Script HAFS" w:hint="eastAsia"/>
          <w:sz w:val="28"/>
          <w:szCs w:val="28"/>
          <w:rtl/>
        </w:rPr>
        <w:t>َلُكُم</w:t>
      </w:r>
      <w:r w:rsidR="006C78B4" w:rsidRPr="0067048A">
        <w:rPr>
          <w:rFonts w:ascii="KFGQPC Uthmanic Script HAFS" w:cs="KFGQPC Uthmanic Script HAFS" w:hint="cs"/>
          <w:sz w:val="28"/>
          <w:szCs w:val="28"/>
          <w:rtl/>
        </w:rPr>
        <w:t>ۡ</w:t>
      </w:r>
      <w:r w:rsidR="006C78B4" w:rsidRPr="0067048A">
        <w:rPr>
          <w:rFonts w:ascii="KFGQPC Uthmanic Script HAFS" w:cs="KFGQPC Uthmanic Script HAFS"/>
          <w:sz w:val="28"/>
          <w:szCs w:val="28"/>
          <w:rtl/>
        </w:rPr>
        <w:t xml:space="preserve"> </w:t>
      </w:r>
      <w:r w:rsidR="006C78B4" w:rsidRPr="0067048A">
        <w:rPr>
          <w:rFonts w:ascii="KFGQPC Uthmanic Script HAFS" w:cs="KFGQPC Uthmanic Script HAFS" w:hint="eastAsia"/>
          <w:sz w:val="28"/>
          <w:szCs w:val="28"/>
          <w:rtl/>
        </w:rPr>
        <w:t>عَلَي</w:t>
      </w:r>
      <w:r w:rsidR="006C78B4" w:rsidRPr="0067048A">
        <w:rPr>
          <w:rFonts w:ascii="KFGQPC Uthmanic Script HAFS" w:cs="KFGQPC Uthmanic Script HAFS" w:hint="cs"/>
          <w:sz w:val="28"/>
          <w:szCs w:val="28"/>
          <w:rtl/>
        </w:rPr>
        <w:t>ۡ</w:t>
      </w:r>
      <w:r w:rsidR="006C78B4" w:rsidRPr="0067048A">
        <w:rPr>
          <w:rFonts w:ascii="KFGQPC Uthmanic Script HAFS" w:cs="KFGQPC Uthmanic Script HAFS" w:hint="eastAsia"/>
          <w:sz w:val="28"/>
          <w:szCs w:val="28"/>
          <w:rtl/>
        </w:rPr>
        <w:t>هِ</w:t>
      </w:r>
      <w:r w:rsidR="006C78B4" w:rsidRPr="0067048A">
        <w:rPr>
          <w:rFonts w:ascii="KFGQPC Uthmanic Script HAFS" w:cs="KFGQPC Uthmanic Script HAFS"/>
          <w:sz w:val="28"/>
          <w:szCs w:val="28"/>
          <w:rtl/>
        </w:rPr>
        <w:t xml:space="preserve"> </w:t>
      </w:r>
      <w:r w:rsidR="006C78B4" w:rsidRPr="0067048A">
        <w:rPr>
          <w:rFonts w:ascii="KFGQPC Uthmanic Script HAFS" w:cs="KFGQPC Uthmanic Script HAFS" w:hint="eastAsia"/>
          <w:sz w:val="28"/>
          <w:szCs w:val="28"/>
          <w:rtl/>
        </w:rPr>
        <w:t>أَج</w:t>
      </w:r>
      <w:r w:rsidR="006C78B4" w:rsidRPr="0067048A">
        <w:rPr>
          <w:rFonts w:ascii="KFGQPC Uthmanic Script HAFS" w:cs="KFGQPC Uthmanic Script HAFS" w:hint="cs"/>
          <w:sz w:val="28"/>
          <w:szCs w:val="28"/>
          <w:rtl/>
        </w:rPr>
        <w:t>ۡ</w:t>
      </w:r>
      <w:r w:rsidR="006C78B4" w:rsidRPr="0067048A">
        <w:rPr>
          <w:rFonts w:ascii="KFGQPC Uthmanic Script HAFS" w:cs="KFGQPC Uthmanic Script HAFS" w:hint="eastAsia"/>
          <w:sz w:val="28"/>
          <w:szCs w:val="28"/>
          <w:rtl/>
        </w:rPr>
        <w:t>رًا</w:t>
      </w:r>
      <w:r w:rsidR="006C78B4" w:rsidRPr="00995B26">
        <w:rPr>
          <w:rFonts w:ascii="KFGQPC Uthmanic Script HAFS" w:cs="Times New Roman" w:hint="cs"/>
          <w:sz w:val="28"/>
          <w:rtl/>
        </w:rPr>
        <w:t>...</w:t>
      </w:r>
      <w:r w:rsidR="006C78B4" w:rsidRPr="00995B26">
        <w:rPr>
          <w:rFonts w:cs="Traditional Arabic" w:hint="cs"/>
          <w:sz w:val="28"/>
          <w:rtl/>
        </w:rPr>
        <w:t>﴾</w:t>
      </w:r>
      <w:r w:rsidR="006C78B4" w:rsidRPr="00995B26">
        <w:rPr>
          <w:rFonts w:hint="cs"/>
          <w:sz w:val="28"/>
          <w:rtl/>
        </w:rPr>
        <w:t xml:space="preserve">، </w:t>
      </w:r>
      <w:r w:rsidRPr="00995B26">
        <w:rPr>
          <w:rFonts w:hint="cs"/>
          <w:sz w:val="28"/>
          <w:rtl/>
        </w:rPr>
        <w:t>بل هذا شأن كل داع إلى الله ومبلغ للحق ومبين للآيات وهاد لطريق الصواب</w:t>
      </w:r>
      <w:r w:rsidR="001E0DB7" w:rsidRPr="00995B26">
        <w:rPr>
          <w:rFonts w:hint="cs"/>
          <w:sz w:val="28"/>
          <w:rtl/>
        </w:rPr>
        <w:t>،</w:t>
      </w:r>
      <w:r w:rsidRPr="00995B26">
        <w:rPr>
          <w:rFonts w:hint="cs"/>
          <w:sz w:val="28"/>
          <w:rtl/>
        </w:rPr>
        <w:t xml:space="preserve"> إلى الحد الذي بين فيه رب العالمين أن أهم علامة لدعاة الحق وأوضح دليل على صدقهم عدم سؤالهم أي أجر أو ثواب من الناس على دعوتهم</w:t>
      </w:r>
      <w:r w:rsidR="001E0DB7" w:rsidRPr="00995B26">
        <w:rPr>
          <w:rFonts w:hint="cs"/>
          <w:sz w:val="28"/>
          <w:rtl/>
        </w:rPr>
        <w:t>،</w:t>
      </w:r>
      <w:r w:rsidR="00147857" w:rsidRPr="00995B26">
        <w:rPr>
          <w:rFonts w:hint="cs"/>
          <w:sz w:val="28"/>
          <w:rtl/>
        </w:rPr>
        <w:t xml:space="preserve"> </w:t>
      </w:r>
      <w:r w:rsidRPr="00995B26">
        <w:rPr>
          <w:rFonts w:hint="cs"/>
          <w:sz w:val="28"/>
          <w:rtl/>
        </w:rPr>
        <w:t>كما جاء في الآية 21 من سورة «يس» على لسان مؤمن آل ياسين الذي قال لقومه</w:t>
      </w:r>
      <w:r w:rsidR="00217AB4" w:rsidRPr="00995B26">
        <w:rPr>
          <w:rFonts w:hint="cs"/>
          <w:sz w:val="28"/>
          <w:rtl/>
        </w:rPr>
        <w:t>:</w:t>
      </w:r>
      <w:r w:rsidR="00D739EA" w:rsidRPr="00995B26">
        <w:rPr>
          <w:rFonts w:hint="cs"/>
          <w:sz w:val="28"/>
          <w:rtl/>
        </w:rPr>
        <w:t xml:space="preserve"> </w:t>
      </w:r>
      <w:r w:rsidR="00D739EA" w:rsidRPr="00995B26">
        <w:rPr>
          <w:rFonts w:cs="Traditional Arabic" w:hint="cs"/>
          <w:sz w:val="28"/>
          <w:rtl/>
        </w:rPr>
        <w:t>﴿</w:t>
      </w:r>
      <w:r w:rsidR="00D739EA" w:rsidRPr="00995B26">
        <w:rPr>
          <w:rFonts w:ascii="KFGQPC Uthmanic Script HAFS" w:cs="KFGQPC Uthmanic Script HAFS" w:hint="cs"/>
          <w:sz w:val="29"/>
          <w:szCs w:val="29"/>
          <w:rtl/>
        </w:rPr>
        <w:t>ٱ</w:t>
      </w:r>
      <w:r w:rsidR="00D739EA" w:rsidRPr="00995B26">
        <w:rPr>
          <w:rFonts w:ascii="KFGQPC Uthmanic Script HAFS" w:cs="KFGQPC Uthmanic Script HAFS" w:hint="eastAsia"/>
          <w:sz w:val="29"/>
          <w:szCs w:val="29"/>
          <w:rtl/>
        </w:rPr>
        <w:t>تَّبِعُواْ</w:t>
      </w:r>
      <w:r w:rsidR="00D739EA" w:rsidRPr="00995B26">
        <w:rPr>
          <w:rFonts w:ascii="KFGQPC Uthmanic Script HAFS" w:cs="KFGQPC Uthmanic Script HAFS"/>
          <w:sz w:val="29"/>
          <w:szCs w:val="29"/>
          <w:rtl/>
        </w:rPr>
        <w:t xml:space="preserve"> </w:t>
      </w:r>
      <w:r w:rsidR="00D739EA" w:rsidRPr="00995B26">
        <w:rPr>
          <w:rFonts w:ascii="KFGQPC Uthmanic Script HAFS" w:cs="KFGQPC Uthmanic Script HAFS" w:hint="eastAsia"/>
          <w:sz w:val="29"/>
          <w:szCs w:val="29"/>
          <w:rtl/>
        </w:rPr>
        <w:t>مَن</w:t>
      </w:r>
      <w:r w:rsidR="00D739EA" w:rsidRPr="00995B26">
        <w:rPr>
          <w:rFonts w:ascii="KFGQPC Uthmanic Script HAFS" w:cs="KFGQPC Uthmanic Script HAFS"/>
          <w:sz w:val="29"/>
          <w:szCs w:val="29"/>
          <w:rtl/>
        </w:rPr>
        <w:t xml:space="preserve"> </w:t>
      </w:r>
      <w:r w:rsidR="00D739EA" w:rsidRPr="00995B26">
        <w:rPr>
          <w:rFonts w:ascii="KFGQPC Uthmanic Script HAFS" w:cs="KFGQPC Uthmanic Script HAFS" w:hint="eastAsia"/>
          <w:sz w:val="29"/>
          <w:szCs w:val="29"/>
          <w:rtl/>
        </w:rPr>
        <w:t>لَّا</w:t>
      </w:r>
      <w:r w:rsidR="00D739EA" w:rsidRPr="00995B26">
        <w:rPr>
          <w:rFonts w:ascii="KFGQPC Uthmanic Script HAFS" w:cs="KFGQPC Uthmanic Script HAFS"/>
          <w:sz w:val="29"/>
          <w:szCs w:val="29"/>
          <w:rtl/>
        </w:rPr>
        <w:t xml:space="preserve"> </w:t>
      </w:r>
      <w:r w:rsidR="00D739EA" w:rsidRPr="00995B26">
        <w:rPr>
          <w:rFonts w:ascii="KFGQPC Uthmanic Script HAFS" w:cs="KFGQPC Uthmanic Script HAFS" w:hint="eastAsia"/>
          <w:sz w:val="29"/>
          <w:szCs w:val="29"/>
          <w:rtl/>
        </w:rPr>
        <w:t>يَس</w:t>
      </w:r>
      <w:r w:rsidR="00D739EA" w:rsidRPr="00995B26">
        <w:rPr>
          <w:rFonts w:ascii="KFGQPC Uthmanic Script HAFS" w:cs="KFGQPC Uthmanic Script HAFS" w:hint="cs"/>
          <w:sz w:val="29"/>
          <w:szCs w:val="29"/>
          <w:rtl/>
        </w:rPr>
        <w:t>ۡ</w:t>
      </w:r>
      <w:r w:rsidR="00D739EA" w:rsidRPr="00995B26">
        <w:rPr>
          <w:rFonts w:ascii="KFGQPC Uthmanic Script HAFS" w:cs="KFGQPC Uthmanic Script HAFS" w:hint="eastAsia"/>
          <w:sz w:val="29"/>
          <w:szCs w:val="29"/>
          <w:rtl/>
        </w:rPr>
        <w:t>‍</w:t>
      </w:r>
      <w:r w:rsidR="00D739EA" w:rsidRPr="00995B26">
        <w:rPr>
          <w:rFonts w:ascii="KFGQPC Uthmanic Script HAFS" w:cs="KFGQPC Uthmanic Script HAFS" w:hint="cs"/>
          <w:sz w:val="29"/>
          <w:szCs w:val="29"/>
          <w:rtl/>
        </w:rPr>
        <w:t>ٔ</w:t>
      </w:r>
      <w:r w:rsidR="00D739EA" w:rsidRPr="00995B26">
        <w:rPr>
          <w:rFonts w:ascii="KFGQPC Uthmanic Script HAFS" w:cs="KFGQPC Uthmanic Script HAFS" w:hint="eastAsia"/>
          <w:sz w:val="29"/>
          <w:szCs w:val="29"/>
          <w:rtl/>
        </w:rPr>
        <w:t>َلُكُم</w:t>
      </w:r>
      <w:r w:rsidR="00D739EA" w:rsidRPr="00995B26">
        <w:rPr>
          <w:rFonts w:ascii="KFGQPC Uthmanic Script HAFS" w:cs="KFGQPC Uthmanic Script HAFS" w:hint="cs"/>
          <w:sz w:val="29"/>
          <w:szCs w:val="29"/>
          <w:rtl/>
        </w:rPr>
        <w:t>ۡ</w:t>
      </w:r>
      <w:r w:rsidR="00D739EA" w:rsidRPr="00995B26">
        <w:rPr>
          <w:rFonts w:ascii="KFGQPC Uthmanic Script HAFS" w:cs="KFGQPC Uthmanic Script HAFS"/>
          <w:sz w:val="29"/>
          <w:szCs w:val="29"/>
          <w:rtl/>
        </w:rPr>
        <w:t xml:space="preserve"> </w:t>
      </w:r>
      <w:r w:rsidR="00D739EA" w:rsidRPr="00995B26">
        <w:rPr>
          <w:rFonts w:ascii="KFGQPC Uthmanic Script HAFS" w:cs="KFGQPC Uthmanic Script HAFS" w:hint="eastAsia"/>
          <w:sz w:val="29"/>
          <w:szCs w:val="29"/>
          <w:rtl/>
        </w:rPr>
        <w:t>أَج</w:t>
      </w:r>
      <w:r w:rsidR="00D739EA" w:rsidRPr="00995B26">
        <w:rPr>
          <w:rFonts w:ascii="KFGQPC Uthmanic Script HAFS" w:cs="KFGQPC Uthmanic Script HAFS" w:hint="cs"/>
          <w:sz w:val="29"/>
          <w:szCs w:val="29"/>
          <w:rtl/>
        </w:rPr>
        <w:t>ۡ</w:t>
      </w:r>
      <w:r w:rsidR="00D739EA" w:rsidRPr="00995B26">
        <w:rPr>
          <w:rFonts w:ascii="KFGQPC Uthmanic Script HAFS" w:cs="KFGQPC Uthmanic Script HAFS" w:hint="eastAsia"/>
          <w:sz w:val="29"/>
          <w:szCs w:val="29"/>
          <w:rtl/>
        </w:rPr>
        <w:t>ر</w:t>
      </w:r>
      <w:r w:rsidR="00D739EA" w:rsidRPr="00995B26">
        <w:rPr>
          <w:rFonts w:ascii="KFGQPC Uthmanic Script HAFS" w:cs="KFGQPC Uthmanic Script HAFS" w:hint="cs"/>
          <w:sz w:val="29"/>
          <w:szCs w:val="29"/>
          <w:rtl/>
        </w:rPr>
        <w:t>ٗ</w:t>
      </w:r>
      <w:r w:rsidR="00D739EA" w:rsidRPr="00995B26">
        <w:rPr>
          <w:rFonts w:ascii="KFGQPC Uthmanic Script HAFS" w:cs="KFGQPC Uthmanic Script HAFS" w:hint="eastAsia"/>
          <w:sz w:val="29"/>
          <w:szCs w:val="29"/>
          <w:rtl/>
        </w:rPr>
        <w:t>ا</w:t>
      </w:r>
      <w:r w:rsidR="00D739EA" w:rsidRPr="00995B26">
        <w:rPr>
          <w:rFonts w:ascii="KFGQPC Uthmanic Script HAFS" w:cs="KFGQPC Uthmanic Script HAFS"/>
          <w:sz w:val="29"/>
          <w:szCs w:val="29"/>
          <w:rtl/>
        </w:rPr>
        <w:t xml:space="preserve"> </w:t>
      </w:r>
      <w:r w:rsidR="00D739EA" w:rsidRPr="00995B26">
        <w:rPr>
          <w:rFonts w:ascii="KFGQPC Uthmanic Script HAFS" w:cs="KFGQPC Uthmanic Script HAFS" w:hint="eastAsia"/>
          <w:sz w:val="29"/>
          <w:szCs w:val="29"/>
          <w:rtl/>
        </w:rPr>
        <w:t>وَهُم</w:t>
      </w:r>
      <w:r w:rsidR="00D739EA" w:rsidRPr="00995B26">
        <w:rPr>
          <w:rFonts w:ascii="KFGQPC Uthmanic Script HAFS" w:cs="KFGQPC Uthmanic Script HAFS"/>
          <w:sz w:val="29"/>
          <w:szCs w:val="29"/>
          <w:rtl/>
        </w:rPr>
        <w:t xml:space="preserve"> </w:t>
      </w:r>
      <w:r w:rsidR="00D739EA" w:rsidRPr="00995B26">
        <w:rPr>
          <w:rFonts w:ascii="KFGQPC Uthmanic Script HAFS" w:cs="KFGQPC Uthmanic Script HAFS" w:hint="eastAsia"/>
          <w:sz w:val="29"/>
          <w:szCs w:val="29"/>
          <w:rtl/>
        </w:rPr>
        <w:t>مُّه</w:t>
      </w:r>
      <w:r w:rsidR="00D739EA" w:rsidRPr="00995B26">
        <w:rPr>
          <w:rFonts w:ascii="KFGQPC Uthmanic Script HAFS" w:cs="KFGQPC Uthmanic Script HAFS" w:hint="cs"/>
          <w:sz w:val="29"/>
          <w:szCs w:val="29"/>
          <w:rtl/>
        </w:rPr>
        <w:t>ۡ</w:t>
      </w:r>
      <w:r w:rsidR="00D739EA" w:rsidRPr="00995B26">
        <w:rPr>
          <w:rFonts w:ascii="KFGQPC Uthmanic Script HAFS" w:cs="KFGQPC Uthmanic Script HAFS" w:hint="eastAsia"/>
          <w:sz w:val="29"/>
          <w:szCs w:val="29"/>
          <w:rtl/>
        </w:rPr>
        <w:t>تَدُونَ</w:t>
      </w:r>
      <w:r w:rsidR="00D739EA" w:rsidRPr="00995B26">
        <w:rPr>
          <w:rFonts w:ascii="KFGQPC Uthmanic Script HAFS" w:cs="KFGQPC Uthmanic Script HAFS"/>
          <w:sz w:val="29"/>
          <w:szCs w:val="29"/>
          <w:rtl/>
        </w:rPr>
        <w:t xml:space="preserve"> </w:t>
      </w:r>
      <w:r w:rsidR="00D739EA" w:rsidRPr="00995B26">
        <w:rPr>
          <w:rFonts w:ascii="KFGQPC Uthmanic Script HAFS" w:cs="KFGQPC Uthmanic Script HAFS" w:hint="cs"/>
          <w:sz w:val="29"/>
          <w:szCs w:val="29"/>
          <w:rtl/>
        </w:rPr>
        <w:t>٢١</w:t>
      </w:r>
      <w:r w:rsidR="00D739EA" w:rsidRPr="00995B26">
        <w:rPr>
          <w:rFonts w:cs="Traditional Arabic" w:hint="cs"/>
          <w:sz w:val="28"/>
          <w:rtl/>
        </w:rPr>
        <w:t>﴾</w:t>
      </w:r>
      <w:r w:rsidRPr="00995B26">
        <w:rPr>
          <w:sz w:val="28"/>
          <w:rtl/>
        </w:rPr>
        <w:t xml:space="preserve"> </w:t>
      </w:r>
      <w:r w:rsidRPr="003108CB">
        <w:rPr>
          <w:rStyle w:val="Char2"/>
          <w:rtl/>
        </w:rPr>
        <w:t>[يس</w:t>
      </w:r>
      <w:r w:rsidR="00D739EA" w:rsidRPr="003108CB">
        <w:rPr>
          <w:rStyle w:val="Char2"/>
          <w:rFonts w:hint="cs"/>
          <w:rtl/>
        </w:rPr>
        <w:t xml:space="preserve">: </w:t>
      </w:r>
      <w:r w:rsidRPr="003108CB">
        <w:rPr>
          <w:rStyle w:val="Char2"/>
          <w:rtl/>
        </w:rPr>
        <w:t>21]</w:t>
      </w:r>
      <w:r w:rsidR="00217AB4" w:rsidRPr="00995B26">
        <w:rPr>
          <w:rFonts w:hint="cs"/>
          <w:sz w:val="28"/>
          <w:rtl/>
        </w:rPr>
        <w:t>.</w:t>
      </w:r>
      <w:r w:rsidR="00147857" w:rsidRPr="00995B26">
        <w:rPr>
          <w:rFonts w:hint="cs"/>
          <w:sz w:val="28"/>
          <w:rtl/>
        </w:rPr>
        <w:t xml:space="preserve"> </w:t>
      </w:r>
      <w:r w:rsidRPr="00995B26">
        <w:rPr>
          <w:rFonts w:hint="cs"/>
          <w:sz w:val="28"/>
          <w:rtl/>
        </w:rPr>
        <w:t>فأول علامة كل نبي عدم سؤال قومه أي أجر أو جزاء على دعوته</w:t>
      </w:r>
      <w:r w:rsidR="00217AB4" w:rsidRPr="00995B26">
        <w:rPr>
          <w:rFonts w:hint="cs"/>
          <w:sz w:val="28"/>
          <w:rtl/>
        </w:rPr>
        <w:t>:</w:t>
      </w:r>
      <w:r w:rsidR="00D739EA" w:rsidRPr="00995B26">
        <w:rPr>
          <w:rFonts w:hint="cs"/>
          <w:sz w:val="28"/>
          <w:rtl/>
        </w:rPr>
        <w:t xml:space="preserve"> </w:t>
      </w:r>
      <w:r w:rsidR="00D739EA" w:rsidRPr="00995B26">
        <w:rPr>
          <w:rFonts w:cs="Traditional Arabic" w:hint="cs"/>
          <w:sz w:val="28"/>
          <w:rtl/>
        </w:rPr>
        <w:t>﴿</w:t>
      </w:r>
      <w:r w:rsidR="00D739EA" w:rsidRPr="0067048A">
        <w:rPr>
          <w:rFonts w:ascii="KFGQPC Uthmanic Script HAFS" w:cs="KFGQPC Uthmanic Script HAFS" w:hint="eastAsia"/>
          <w:sz w:val="28"/>
          <w:szCs w:val="28"/>
          <w:rtl/>
          <w:lang w:bidi="fa-IR"/>
        </w:rPr>
        <w:t>قَالَ</w:t>
      </w:r>
      <w:r w:rsidR="00D739EA" w:rsidRPr="0067048A">
        <w:rPr>
          <w:rFonts w:ascii="KFGQPC Uthmanic Script HAFS" w:cs="KFGQPC Uthmanic Script HAFS"/>
          <w:sz w:val="28"/>
          <w:szCs w:val="28"/>
          <w:rtl/>
          <w:lang w:bidi="fa-IR"/>
        </w:rPr>
        <w:t xml:space="preserve"> </w:t>
      </w:r>
      <w:r w:rsidR="00D739EA" w:rsidRPr="0067048A">
        <w:rPr>
          <w:rFonts w:ascii="KFGQPC Uthmanic Script HAFS" w:cs="KFGQPC Uthmanic Script HAFS" w:hint="eastAsia"/>
          <w:sz w:val="28"/>
          <w:szCs w:val="28"/>
          <w:rtl/>
          <w:lang w:bidi="fa-IR"/>
        </w:rPr>
        <w:t>يَ</w:t>
      </w:r>
      <w:r w:rsidR="00D739EA" w:rsidRPr="0067048A">
        <w:rPr>
          <w:rFonts w:ascii="KFGQPC Uthmanic Script HAFS" w:cs="KFGQPC Uthmanic Script HAFS" w:hint="cs"/>
          <w:sz w:val="28"/>
          <w:szCs w:val="28"/>
          <w:rtl/>
          <w:lang w:bidi="fa-IR"/>
        </w:rPr>
        <w:t>ٰ</w:t>
      </w:r>
      <w:r w:rsidR="00D739EA" w:rsidRPr="0067048A">
        <w:rPr>
          <w:rFonts w:ascii="KFGQPC Uthmanic Script HAFS" w:cs="KFGQPC Uthmanic Script HAFS" w:hint="eastAsia"/>
          <w:sz w:val="28"/>
          <w:szCs w:val="28"/>
          <w:rtl/>
          <w:lang w:bidi="fa-IR"/>
        </w:rPr>
        <w:t>قَو</w:t>
      </w:r>
      <w:r w:rsidR="00D739EA" w:rsidRPr="0067048A">
        <w:rPr>
          <w:rFonts w:ascii="KFGQPC Uthmanic Script HAFS" w:cs="KFGQPC Uthmanic Script HAFS" w:hint="cs"/>
          <w:sz w:val="28"/>
          <w:szCs w:val="28"/>
          <w:rtl/>
          <w:lang w:bidi="fa-IR"/>
        </w:rPr>
        <w:t>ۡ</w:t>
      </w:r>
      <w:r w:rsidR="00D739EA" w:rsidRPr="0067048A">
        <w:rPr>
          <w:rFonts w:ascii="KFGQPC Uthmanic Script HAFS" w:cs="KFGQPC Uthmanic Script HAFS" w:hint="eastAsia"/>
          <w:sz w:val="28"/>
          <w:szCs w:val="28"/>
          <w:rtl/>
          <w:lang w:bidi="fa-IR"/>
        </w:rPr>
        <w:t>مِ</w:t>
      </w:r>
      <w:r w:rsidR="00D739EA" w:rsidRPr="0067048A">
        <w:rPr>
          <w:rFonts w:ascii="KFGQPC Uthmanic Script HAFS" w:cs="KFGQPC Uthmanic Script HAFS"/>
          <w:sz w:val="28"/>
          <w:szCs w:val="28"/>
          <w:rtl/>
          <w:lang w:bidi="fa-IR"/>
        </w:rPr>
        <w:t xml:space="preserve"> </w:t>
      </w:r>
      <w:r w:rsidR="00D739EA" w:rsidRPr="0067048A">
        <w:rPr>
          <w:rFonts w:ascii="KFGQPC Uthmanic Script HAFS" w:cs="KFGQPC Uthmanic Script HAFS" w:hint="cs"/>
          <w:sz w:val="28"/>
          <w:szCs w:val="28"/>
          <w:rtl/>
          <w:lang w:bidi="fa-IR"/>
        </w:rPr>
        <w:t>ٱ</w:t>
      </w:r>
      <w:r w:rsidR="00D739EA" w:rsidRPr="0067048A">
        <w:rPr>
          <w:rFonts w:ascii="KFGQPC Uthmanic Script HAFS" w:cs="KFGQPC Uthmanic Script HAFS" w:hint="eastAsia"/>
          <w:sz w:val="28"/>
          <w:szCs w:val="28"/>
          <w:rtl/>
          <w:lang w:bidi="fa-IR"/>
        </w:rPr>
        <w:t>تَّبِعُواْ</w:t>
      </w:r>
      <w:r w:rsidR="00D739EA" w:rsidRPr="0067048A">
        <w:rPr>
          <w:rFonts w:ascii="KFGQPC Uthmanic Script HAFS" w:cs="KFGQPC Uthmanic Script HAFS"/>
          <w:sz w:val="28"/>
          <w:szCs w:val="28"/>
          <w:rtl/>
          <w:lang w:bidi="fa-IR"/>
        </w:rPr>
        <w:t xml:space="preserve"> </w:t>
      </w:r>
      <w:r w:rsidR="00D739EA" w:rsidRPr="0067048A">
        <w:rPr>
          <w:rFonts w:ascii="KFGQPC Uthmanic Script HAFS" w:cs="KFGQPC Uthmanic Script HAFS" w:hint="cs"/>
          <w:sz w:val="28"/>
          <w:szCs w:val="28"/>
          <w:rtl/>
          <w:lang w:bidi="fa-IR"/>
        </w:rPr>
        <w:t>ٱ</w:t>
      </w:r>
      <w:r w:rsidR="00D739EA" w:rsidRPr="0067048A">
        <w:rPr>
          <w:rFonts w:ascii="KFGQPC Uthmanic Script HAFS" w:cs="KFGQPC Uthmanic Script HAFS" w:hint="eastAsia"/>
          <w:sz w:val="28"/>
          <w:szCs w:val="28"/>
          <w:rtl/>
          <w:lang w:bidi="fa-IR"/>
        </w:rPr>
        <w:t>ل</w:t>
      </w:r>
      <w:r w:rsidR="00D739EA" w:rsidRPr="0067048A">
        <w:rPr>
          <w:rFonts w:ascii="KFGQPC Uthmanic Script HAFS" w:cs="KFGQPC Uthmanic Script HAFS" w:hint="cs"/>
          <w:sz w:val="28"/>
          <w:szCs w:val="28"/>
          <w:rtl/>
          <w:lang w:bidi="fa-IR"/>
        </w:rPr>
        <w:t>ۡ</w:t>
      </w:r>
      <w:r w:rsidR="00D739EA" w:rsidRPr="0067048A">
        <w:rPr>
          <w:rFonts w:ascii="KFGQPC Uthmanic Script HAFS" w:cs="KFGQPC Uthmanic Script HAFS" w:hint="eastAsia"/>
          <w:sz w:val="28"/>
          <w:szCs w:val="28"/>
          <w:rtl/>
          <w:lang w:bidi="fa-IR"/>
        </w:rPr>
        <w:t>مُر</w:t>
      </w:r>
      <w:r w:rsidR="00D739EA" w:rsidRPr="0067048A">
        <w:rPr>
          <w:rFonts w:ascii="KFGQPC Uthmanic Script HAFS" w:cs="KFGQPC Uthmanic Script HAFS" w:hint="cs"/>
          <w:sz w:val="28"/>
          <w:szCs w:val="28"/>
          <w:rtl/>
          <w:lang w:bidi="fa-IR"/>
        </w:rPr>
        <w:t>ۡ</w:t>
      </w:r>
      <w:r w:rsidR="00D739EA" w:rsidRPr="0067048A">
        <w:rPr>
          <w:rFonts w:ascii="KFGQPC Uthmanic Script HAFS" w:cs="KFGQPC Uthmanic Script HAFS" w:hint="eastAsia"/>
          <w:sz w:val="28"/>
          <w:szCs w:val="28"/>
          <w:rtl/>
          <w:lang w:bidi="fa-IR"/>
        </w:rPr>
        <w:t>سَلِينَ</w:t>
      </w:r>
      <w:r w:rsidR="00D739EA" w:rsidRPr="0067048A">
        <w:rPr>
          <w:rFonts w:ascii="KFGQPC Uthmanic Script HAFS" w:cs="KFGQPC Uthmanic Script HAFS"/>
          <w:sz w:val="28"/>
          <w:szCs w:val="28"/>
          <w:rtl/>
          <w:lang w:bidi="fa-IR"/>
        </w:rPr>
        <w:t xml:space="preserve"> </w:t>
      </w:r>
      <w:r w:rsidR="00D739EA" w:rsidRPr="0067048A">
        <w:rPr>
          <w:rFonts w:ascii="KFGQPC Uthmanic Script HAFS" w:cs="KFGQPC Uthmanic Script HAFS" w:hint="cs"/>
          <w:sz w:val="28"/>
          <w:szCs w:val="28"/>
          <w:rtl/>
          <w:lang w:bidi="fa-IR"/>
        </w:rPr>
        <w:t>٢٠</w:t>
      </w:r>
      <w:r w:rsidR="00D739EA" w:rsidRPr="0067048A">
        <w:rPr>
          <w:rFonts w:ascii="KFGQPC Uthmanic Script HAFS" w:cs="KFGQPC Uthmanic Script HAFS"/>
          <w:sz w:val="28"/>
          <w:szCs w:val="28"/>
          <w:rtl/>
          <w:lang w:bidi="fa-IR"/>
        </w:rPr>
        <w:t xml:space="preserve"> </w:t>
      </w:r>
      <w:r w:rsidR="00D739EA" w:rsidRPr="0067048A">
        <w:rPr>
          <w:rFonts w:ascii="KFGQPC Uthmanic Script HAFS" w:cs="KFGQPC Uthmanic Script HAFS" w:hint="cs"/>
          <w:sz w:val="28"/>
          <w:szCs w:val="28"/>
          <w:rtl/>
          <w:lang w:bidi="fa-IR"/>
        </w:rPr>
        <w:t>ٱ</w:t>
      </w:r>
      <w:r w:rsidR="00D739EA" w:rsidRPr="0067048A">
        <w:rPr>
          <w:rFonts w:ascii="KFGQPC Uthmanic Script HAFS" w:cs="KFGQPC Uthmanic Script HAFS" w:hint="eastAsia"/>
          <w:sz w:val="28"/>
          <w:szCs w:val="28"/>
          <w:rtl/>
          <w:lang w:bidi="fa-IR"/>
        </w:rPr>
        <w:t>تَّبِعُواْ</w:t>
      </w:r>
      <w:r w:rsidR="00D739EA" w:rsidRPr="0067048A">
        <w:rPr>
          <w:rFonts w:ascii="KFGQPC Uthmanic Script HAFS" w:cs="KFGQPC Uthmanic Script HAFS"/>
          <w:sz w:val="28"/>
          <w:szCs w:val="28"/>
          <w:rtl/>
          <w:lang w:bidi="fa-IR"/>
        </w:rPr>
        <w:t xml:space="preserve"> </w:t>
      </w:r>
      <w:r w:rsidR="00D739EA" w:rsidRPr="0067048A">
        <w:rPr>
          <w:rFonts w:ascii="KFGQPC Uthmanic Script HAFS" w:cs="KFGQPC Uthmanic Script HAFS" w:hint="eastAsia"/>
          <w:sz w:val="28"/>
          <w:szCs w:val="28"/>
          <w:rtl/>
          <w:lang w:bidi="fa-IR"/>
        </w:rPr>
        <w:t>مَن</w:t>
      </w:r>
      <w:r w:rsidR="00D739EA" w:rsidRPr="0067048A">
        <w:rPr>
          <w:rFonts w:ascii="KFGQPC Uthmanic Script HAFS" w:cs="KFGQPC Uthmanic Script HAFS"/>
          <w:sz w:val="28"/>
          <w:szCs w:val="28"/>
          <w:rtl/>
          <w:lang w:bidi="fa-IR"/>
        </w:rPr>
        <w:t xml:space="preserve"> </w:t>
      </w:r>
      <w:r w:rsidR="00D739EA" w:rsidRPr="0067048A">
        <w:rPr>
          <w:rFonts w:ascii="KFGQPC Uthmanic Script HAFS" w:cs="KFGQPC Uthmanic Script HAFS" w:hint="eastAsia"/>
          <w:sz w:val="28"/>
          <w:szCs w:val="28"/>
          <w:rtl/>
          <w:lang w:bidi="fa-IR"/>
        </w:rPr>
        <w:t>لَّا</w:t>
      </w:r>
      <w:r w:rsidR="00D739EA" w:rsidRPr="0067048A">
        <w:rPr>
          <w:rFonts w:ascii="KFGQPC Uthmanic Script HAFS" w:cs="KFGQPC Uthmanic Script HAFS"/>
          <w:sz w:val="28"/>
          <w:szCs w:val="28"/>
          <w:rtl/>
          <w:lang w:bidi="fa-IR"/>
        </w:rPr>
        <w:t xml:space="preserve"> </w:t>
      </w:r>
      <w:r w:rsidR="00D739EA" w:rsidRPr="0067048A">
        <w:rPr>
          <w:rFonts w:ascii="KFGQPC Uthmanic Script HAFS" w:cs="KFGQPC Uthmanic Script HAFS" w:hint="eastAsia"/>
          <w:sz w:val="28"/>
          <w:szCs w:val="28"/>
          <w:rtl/>
          <w:lang w:bidi="fa-IR"/>
        </w:rPr>
        <w:t>يَس</w:t>
      </w:r>
      <w:r w:rsidR="00D739EA" w:rsidRPr="0067048A">
        <w:rPr>
          <w:rFonts w:ascii="KFGQPC Uthmanic Script HAFS" w:cs="KFGQPC Uthmanic Script HAFS" w:hint="cs"/>
          <w:sz w:val="28"/>
          <w:szCs w:val="28"/>
          <w:rtl/>
          <w:lang w:bidi="fa-IR"/>
        </w:rPr>
        <w:t>ۡ</w:t>
      </w:r>
      <w:r w:rsidR="00D739EA" w:rsidRPr="0067048A">
        <w:rPr>
          <w:rFonts w:ascii="KFGQPC Uthmanic Script HAFS" w:cs="KFGQPC Uthmanic Script HAFS" w:hint="eastAsia"/>
          <w:sz w:val="28"/>
          <w:szCs w:val="28"/>
          <w:rtl/>
          <w:lang w:bidi="fa-IR"/>
        </w:rPr>
        <w:t>‍</w:t>
      </w:r>
      <w:r w:rsidR="00D739EA" w:rsidRPr="0067048A">
        <w:rPr>
          <w:rFonts w:ascii="KFGQPC Uthmanic Script HAFS" w:cs="KFGQPC Uthmanic Script HAFS" w:hint="cs"/>
          <w:sz w:val="28"/>
          <w:szCs w:val="28"/>
          <w:rtl/>
          <w:lang w:bidi="fa-IR"/>
        </w:rPr>
        <w:t>ٔ</w:t>
      </w:r>
      <w:r w:rsidR="00D739EA" w:rsidRPr="0067048A">
        <w:rPr>
          <w:rFonts w:ascii="KFGQPC Uthmanic Script HAFS" w:cs="KFGQPC Uthmanic Script HAFS" w:hint="eastAsia"/>
          <w:sz w:val="28"/>
          <w:szCs w:val="28"/>
          <w:rtl/>
          <w:lang w:bidi="fa-IR"/>
        </w:rPr>
        <w:t>َلُكُم</w:t>
      </w:r>
      <w:r w:rsidR="00D739EA" w:rsidRPr="0067048A">
        <w:rPr>
          <w:rFonts w:ascii="KFGQPC Uthmanic Script HAFS" w:cs="KFGQPC Uthmanic Script HAFS" w:hint="cs"/>
          <w:sz w:val="28"/>
          <w:szCs w:val="28"/>
          <w:rtl/>
          <w:lang w:bidi="fa-IR"/>
        </w:rPr>
        <w:t>ۡ</w:t>
      </w:r>
      <w:r w:rsidR="00D739EA" w:rsidRPr="0067048A">
        <w:rPr>
          <w:rFonts w:ascii="KFGQPC Uthmanic Script HAFS" w:cs="KFGQPC Uthmanic Script HAFS"/>
          <w:sz w:val="28"/>
          <w:szCs w:val="28"/>
          <w:rtl/>
          <w:lang w:bidi="fa-IR"/>
        </w:rPr>
        <w:t xml:space="preserve"> </w:t>
      </w:r>
      <w:r w:rsidR="00D739EA" w:rsidRPr="0067048A">
        <w:rPr>
          <w:rFonts w:ascii="KFGQPC Uthmanic Script HAFS" w:cs="KFGQPC Uthmanic Script HAFS" w:hint="eastAsia"/>
          <w:sz w:val="28"/>
          <w:szCs w:val="28"/>
          <w:rtl/>
          <w:lang w:bidi="fa-IR"/>
        </w:rPr>
        <w:t>أَج</w:t>
      </w:r>
      <w:r w:rsidR="00D739EA" w:rsidRPr="0067048A">
        <w:rPr>
          <w:rFonts w:ascii="KFGQPC Uthmanic Script HAFS" w:cs="KFGQPC Uthmanic Script HAFS" w:hint="cs"/>
          <w:sz w:val="28"/>
          <w:szCs w:val="28"/>
          <w:rtl/>
          <w:lang w:bidi="fa-IR"/>
        </w:rPr>
        <w:t>ۡ</w:t>
      </w:r>
      <w:r w:rsidR="00D739EA" w:rsidRPr="0067048A">
        <w:rPr>
          <w:rFonts w:ascii="KFGQPC Uthmanic Script HAFS" w:cs="KFGQPC Uthmanic Script HAFS" w:hint="eastAsia"/>
          <w:sz w:val="28"/>
          <w:szCs w:val="28"/>
          <w:rtl/>
          <w:lang w:bidi="fa-IR"/>
        </w:rPr>
        <w:t>ر</w:t>
      </w:r>
      <w:r w:rsidR="00D739EA" w:rsidRPr="0067048A">
        <w:rPr>
          <w:rFonts w:ascii="KFGQPC Uthmanic Script HAFS" w:cs="KFGQPC Uthmanic Script HAFS" w:hint="cs"/>
          <w:sz w:val="28"/>
          <w:szCs w:val="28"/>
          <w:rtl/>
          <w:lang w:bidi="fa-IR"/>
        </w:rPr>
        <w:t>ٗ</w:t>
      </w:r>
      <w:r w:rsidR="00D739EA" w:rsidRPr="0067048A">
        <w:rPr>
          <w:rFonts w:ascii="KFGQPC Uthmanic Script HAFS" w:cs="KFGQPC Uthmanic Script HAFS" w:hint="eastAsia"/>
          <w:sz w:val="28"/>
          <w:szCs w:val="28"/>
          <w:rtl/>
          <w:lang w:bidi="fa-IR"/>
        </w:rPr>
        <w:t>ا</w:t>
      </w:r>
      <w:r w:rsidR="00D739EA" w:rsidRPr="0067048A">
        <w:rPr>
          <w:rFonts w:ascii="KFGQPC Uthmanic Script HAFS" w:cs="KFGQPC Uthmanic Script HAFS"/>
          <w:sz w:val="28"/>
          <w:szCs w:val="28"/>
          <w:rtl/>
          <w:lang w:bidi="fa-IR"/>
        </w:rPr>
        <w:t xml:space="preserve"> </w:t>
      </w:r>
      <w:r w:rsidR="00D739EA" w:rsidRPr="0067048A">
        <w:rPr>
          <w:rFonts w:ascii="KFGQPC Uthmanic Script HAFS" w:cs="KFGQPC Uthmanic Script HAFS" w:hint="eastAsia"/>
          <w:sz w:val="28"/>
          <w:szCs w:val="28"/>
          <w:rtl/>
          <w:lang w:bidi="fa-IR"/>
        </w:rPr>
        <w:t>وَهُم</w:t>
      </w:r>
      <w:r w:rsidR="00D739EA" w:rsidRPr="0067048A">
        <w:rPr>
          <w:rFonts w:ascii="KFGQPC Uthmanic Script HAFS" w:cs="KFGQPC Uthmanic Script HAFS"/>
          <w:sz w:val="28"/>
          <w:szCs w:val="28"/>
          <w:rtl/>
          <w:lang w:bidi="fa-IR"/>
        </w:rPr>
        <w:t xml:space="preserve"> </w:t>
      </w:r>
      <w:r w:rsidR="00D739EA" w:rsidRPr="0067048A">
        <w:rPr>
          <w:rFonts w:ascii="KFGQPC Uthmanic Script HAFS" w:cs="KFGQPC Uthmanic Script HAFS" w:hint="eastAsia"/>
          <w:sz w:val="28"/>
          <w:szCs w:val="28"/>
          <w:rtl/>
          <w:lang w:bidi="fa-IR"/>
        </w:rPr>
        <w:t>مُّه</w:t>
      </w:r>
      <w:r w:rsidR="00D739EA" w:rsidRPr="0067048A">
        <w:rPr>
          <w:rFonts w:ascii="KFGQPC Uthmanic Script HAFS" w:cs="KFGQPC Uthmanic Script HAFS" w:hint="cs"/>
          <w:sz w:val="28"/>
          <w:szCs w:val="28"/>
          <w:rtl/>
          <w:lang w:bidi="fa-IR"/>
        </w:rPr>
        <w:t>ۡ</w:t>
      </w:r>
      <w:r w:rsidR="00D739EA" w:rsidRPr="0067048A">
        <w:rPr>
          <w:rFonts w:ascii="KFGQPC Uthmanic Script HAFS" w:cs="KFGQPC Uthmanic Script HAFS" w:hint="eastAsia"/>
          <w:sz w:val="28"/>
          <w:szCs w:val="28"/>
          <w:rtl/>
          <w:lang w:bidi="fa-IR"/>
        </w:rPr>
        <w:t>تَدُونَ</w:t>
      </w:r>
      <w:r w:rsidR="00D739EA" w:rsidRPr="0067048A">
        <w:rPr>
          <w:rFonts w:ascii="KFGQPC Uthmanic Script HAFS" w:cs="KFGQPC Uthmanic Script HAFS"/>
          <w:sz w:val="28"/>
          <w:szCs w:val="28"/>
          <w:rtl/>
          <w:lang w:bidi="fa-IR"/>
        </w:rPr>
        <w:t xml:space="preserve"> </w:t>
      </w:r>
      <w:r w:rsidR="00D739EA" w:rsidRPr="0067048A">
        <w:rPr>
          <w:rFonts w:ascii="KFGQPC Uthmanic Script HAFS" w:cs="KFGQPC Uthmanic Script HAFS" w:hint="cs"/>
          <w:sz w:val="28"/>
          <w:szCs w:val="28"/>
          <w:rtl/>
          <w:lang w:bidi="fa-IR"/>
        </w:rPr>
        <w:t>٢١</w:t>
      </w:r>
      <w:r w:rsidR="00D739EA" w:rsidRPr="00995B26">
        <w:rPr>
          <w:rFonts w:cs="Traditional Arabic" w:hint="cs"/>
          <w:sz w:val="28"/>
          <w:rtl/>
        </w:rPr>
        <w:t>﴾</w:t>
      </w:r>
      <w:r w:rsidR="002C4742">
        <w:rPr>
          <w:rStyle w:val="Char2"/>
          <w:rFonts w:hint="cs"/>
          <w:rtl/>
        </w:rPr>
        <w:t xml:space="preserve"> </w:t>
      </w:r>
      <w:r w:rsidRPr="003108CB">
        <w:rPr>
          <w:rStyle w:val="Char2"/>
          <w:rtl/>
        </w:rPr>
        <w:t>[يس</w:t>
      </w:r>
      <w:r w:rsidR="00D739EA" w:rsidRPr="003108CB">
        <w:rPr>
          <w:rStyle w:val="Char2"/>
          <w:rFonts w:hint="cs"/>
          <w:rtl/>
        </w:rPr>
        <w:t>:</w:t>
      </w:r>
      <w:r w:rsidRPr="003108CB">
        <w:rPr>
          <w:rStyle w:val="Char2"/>
          <w:rtl/>
        </w:rPr>
        <w:t>20</w:t>
      </w:r>
      <w:r w:rsidR="00217AB4" w:rsidRPr="003108CB">
        <w:rPr>
          <w:rStyle w:val="Char2"/>
          <w:rFonts w:hint="cs"/>
          <w:rtl/>
        </w:rPr>
        <w:t>-</w:t>
      </w:r>
      <w:r w:rsidRPr="003108CB">
        <w:rPr>
          <w:rStyle w:val="Char2"/>
          <w:rtl/>
        </w:rPr>
        <w:t>21]</w:t>
      </w:r>
    </w:p>
    <w:p w:rsidR="005C664D" w:rsidRPr="00995B26" w:rsidRDefault="005C664D" w:rsidP="003F3B94">
      <w:pPr>
        <w:pStyle w:val="a0"/>
        <w:rPr>
          <w:rFonts w:hint="cs"/>
          <w:rtl/>
        </w:rPr>
      </w:pPr>
      <w:r w:rsidRPr="003F3B94">
        <w:rPr>
          <w:rFonts w:hint="cs"/>
          <w:sz w:val="28"/>
          <w:rtl/>
        </w:rPr>
        <w:t>فلا يوجد أي امتياز مالي لأي نبي وأسرته</w:t>
      </w:r>
      <w:r w:rsidR="00147857" w:rsidRPr="003F3B94">
        <w:rPr>
          <w:rFonts w:hint="cs"/>
          <w:sz w:val="28"/>
          <w:rtl/>
        </w:rPr>
        <w:t xml:space="preserve"> و</w:t>
      </w:r>
      <w:r w:rsidRPr="003F3B94">
        <w:rPr>
          <w:rFonts w:hint="cs"/>
          <w:sz w:val="28"/>
          <w:rtl/>
        </w:rPr>
        <w:t>أقربائه</w:t>
      </w:r>
      <w:r w:rsidR="001E0DB7" w:rsidRPr="003F3B94">
        <w:rPr>
          <w:rFonts w:hint="cs"/>
          <w:sz w:val="28"/>
          <w:rtl/>
        </w:rPr>
        <w:t>،</w:t>
      </w:r>
      <w:r w:rsidR="00147857" w:rsidRPr="003F3B94">
        <w:rPr>
          <w:rFonts w:hint="cs"/>
          <w:sz w:val="28"/>
          <w:rtl/>
        </w:rPr>
        <w:t xml:space="preserve"> و</w:t>
      </w:r>
      <w:r w:rsidRPr="003F3B94">
        <w:rPr>
          <w:rFonts w:hint="cs"/>
          <w:sz w:val="28"/>
          <w:rtl/>
        </w:rPr>
        <w:t>نبي الإسلام نبيٌّ كسائر الأنبياء</w:t>
      </w:r>
      <w:r w:rsidR="00D739EA" w:rsidRPr="003F3B94">
        <w:rPr>
          <w:rFonts w:hint="cs"/>
          <w:sz w:val="28"/>
          <w:rtl/>
        </w:rPr>
        <w:t xml:space="preserve"> </w:t>
      </w:r>
      <w:r w:rsidR="00D739EA" w:rsidRPr="00995B26">
        <w:rPr>
          <w:rFonts w:cs="Traditional Arabic" w:hint="cs"/>
          <w:sz w:val="28"/>
          <w:rtl/>
        </w:rPr>
        <w:t>﴿</w:t>
      </w:r>
      <w:r w:rsidR="00D739EA" w:rsidRPr="0067048A">
        <w:rPr>
          <w:rFonts w:ascii="KFGQPC Uthmanic Script HAFS" w:cs="KFGQPC Uthmanic Script HAFS" w:hint="eastAsia"/>
          <w:sz w:val="28"/>
          <w:szCs w:val="28"/>
          <w:rtl/>
        </w:rPr>
        <w:t>هَ</w:t>
      </w:r>
      <w:r w:rsidR="00D739EA" w:rsidRPr="0067048A">
        <w:rPr>
          <w:rFonts w:ascii="KFGQPC Uthmanic Script HAFS" w:cs="KFGQPC Uthmanic Script HAFS" w:hint="cs"/>
          <w:sz w:val="28"/>
          <w:szCs w:val="28"/>
          <w:rtl/>
        </w:rPr>
        <w:t>ٰ</w:t>
      </w:r>
      <w:r w:rsidR="00D739EA" w:rsidRPr="0067048A">
        <w:rPr>
          <w:rFonts w:ascii="KFGQPC Uthmanic Script HAFS" w:cs="KFGQPC Uthmanic Script HAFS" w:hint="eastAsia"/>
          <w:sz w:val="28"/>
          <w:szCs w:val="28"/>
          <w:rtl/>
        </w:rPr>
        <w:t>ذَا</w:t>
      </w:r>
      <w:r w:rsidR="00D739EA" w:rsidRPr="0067048A">
        <w:rPr>
          <w:rFonts w:ascii="KFGQPC Uthmanic Script HAFS" w:cs="KFGQPC Uthmanic Script HAFS"/>
          <w:sz w:val="28"/>
          <w:szCs w:val="28"/>
          <w:rtl/>
        </w:rPr>
        <w:t xml:space="preserve"> </w:t>
      </w:r>
      <w:r w:rsidR="00D739EA" w:rsidRPr="0067048A">
        <w:rPr>
          <w:rFonts w:ascii="KFGQPC Uthmanic Script HAFS" w:cs="KFGQPC Uthmanic Script HAFS" w:hint="eastAsia"/>
          <w:sz w:val="28"/>
          <w:szCs w:val="28"/>
          <w:rtl/>
        </w:rPr>
        <w:t>نَذِير</w:t>
      </w:r>
      <w:r w:rsidR="00D739EA" w:rsidRPr="0067048A">
        <w:rPr>
          <w:rFonts w:ascii="KFGQPC Uthmanic Script HAFS" w:cs="KFGQPC Uthmanic Script HAFS" w:hint="cs"/>
          <w:sz w:val="28"/>
          <w:szCs w:val="28"/>
          <w:rtl/>
        </w:rPr>
        <w:t>ٞ</w:t>
      </w:r>
      <w:r w:rsidR="00D739EA" w:rsidRPr="0067048A">
        <w:rPr>
          <w:rFonts w:ascii="KFGQPC Uthmanic Script HAFS" w:cs="KFGQPC Uthmanic Script HAFS"/>
          <w:sz w:val="28"/>
          <w:szCs w:val="28"/>
          <w:rtl/>
        </w:rPr>
        <w:t xml:space="preserve"> </w:t>
      </w:r>
      <w:r w:rsidR="00D739EA" w:rsidRPr="0067048A">
        <w:rPr>
          <w:rFonts w:ascii="KFGQPC Uthmanic Script HAFS" w:cs="KFGQPC Uthmanic Script HAFS" w:hint="eastAsia"/>
          <w:sz w:val="28"/>
          <w:szCs w:val="28"/>
          <w:rtl/>
        </w:rPr>
        <w:t>مِّنَ</w:t>
      </w:r>
      <w:r w:rsidR="00D739EA" w:rsidRPr="0067048A">
        <w:rPr>
          <w:rFonts w:ascii="KFGQPC Uthmanic Script HAFS" w:cs="KFGQPC Uthmanic Script HAFS"/>
          <w:sz w:val="28"/>
          <w:szCs w:val="28"/>
          <w:rtl/>
        </w:rPr>
        <w:t xml:space="preserve"> </w:t>
      </w:r>
      <w:r w:rsidR="00D739EA" w:rsidRPr="0067048A">
        <w:rPr>
          <w:rFonts w:ascii="KFGQPC Uthmanic Script HAFS" w:cs="KFGQPC Uthmanic Script HAFS" w:hint="cs"/>
          <w:sz w:val="28"/>
          <w:szCs w:val="28"/>
          <w:rtl/>
        </w:rPr>
        <w:t>ٱ</w:t>
      </w:r>
      <w:r w:rsidR="00D739EA" w:rsidRPr="0067048A">
        <w:rPr>
          <w:rFonts w:ascii="KFGQPC Uthmanic Script HAFS" w:cs="KFGQPC Uthmanic Script HAFS" w:hint="eastAsia"/>
          <w:sz w:val="28"/>
          <w:szCs w:val="28"/>
          <w:rtl/>
        </w:rPr>
        <w:t>لنُّذُرِ</w:t>
      </w:r>
      <w:r w:rsidR="00D739EA" w:rsidRPr="0067048A">
        <w:rPr>
          <w:rFonts w:ascii="KFGQPC Uthmanic Script HAFS" w:cs="KFGQPC Uthmanic Script HAFS"/>
          <w:sz w:val="28"/>
          <w:szCs w:val="28"/>
          <w:rtl/>
        </w:rPr>
        <w:t xml:space="preserve"> </w:t>
      </w:r>
      <w:r w:rsidR="00D739EA" w:rsidRPr="0067048A">
        <w:rPr>
          <w:rFonts w:ascii="KFGQPC Uthmanic Script HAFS" w:cs="KFGQPC Uthmanic Script HAFS" w:hint="cs"/>
          <w:sz w:val="28"/>
          <w:szCs w:val="28"/>
          <w:rtl/>
        </w:rPr>
        <w:t>ٱ</w:t>
      </w:r>
      <w:r w:rsidR="00D739EA" w:rsidRPr="0067048A">
        <w:rPr>
          <w:rFonts w:ascii="KFGQPC Uthmanic Script HAFS" w:cs="KFGQPC Uthmanic Script HAFS" w:hint="eastAsia"/>
          <w:sz w:val="28"/>
          <w:szCs w:val="28"/>
          <w:rtl/>
        </w:rPr>
        <w:t>ل</w:t>
      </w:r>
      <w:r w:rsidR="00D739EA" w:rsidRPr="0067048A">
        <w:rPr>
          <w:rFonts w:ascii="KFGQPC Uthmanic Script HAFS" w:cs="KFGQPC Uthmanic Script HAFS" w:hint="cs"/>
          <w:sz w:val="28"/>
          <w:szCs w:val="28"/>
          <w:rtl/>
        </w:rPr>
        <w:t>ۡ</w:t>
      </w:r>
      <w:r w:rsidR="00D739EA" w:rsidRPr="0067048A">
        <w:rPr>
          <w:rFonts w:ascii="KFGQPC Uthmanic Script HAFS" w:cs="KFGQPC Uthmanic Script HAFS" w:hint="eastAsia"/>
          <w:sz w:val="28"/>
          <w:szCs w:val="28"/>
          <w:rtl/>
        </w:rPr>
        <w:t>أُولَى</w:t>
      </w:r>
      <w:r w:rsidR="00D739EA" w:rsidRPr="0067048A">
        <w:rPr>
          <w:rFonts w:ascii="KFGQPC Uthmanic Script HAFS" w:cs="KFGQPC Uthmanic Script HAFS" w:hint="cs"/>
          <w:sz w:val="28"/>
          <w:szCs w:val="28"/>
          <w:rtl/>
        </w:rPr>
        <w:t>ٰٓ</w:t>
      </w:r>
      <w:r w:rsidR="00D739EA" w:rsidRPr="00995B26">
        <w:rPr>
          <w:rFonts w:cs="Traditional Arabic" w:hint="cs"/>
          <w:sz w:val="28"/>
          <w:rtl/>
        </w:rPr>
        <w:t>﴾</w:t>
      </w:r>
      <w:r w:rsidRPr="00995B26">
        <w:rPr>
          <w:rFonts w:hint="cs"/>
          <w:sz w:val="28"/>
          <w:rtl/>
        </w:rPr>
        <w:t xml:space="preserve"> </w:t>
      </w:r>
      <w:r w:rsidRPr="003108CB">
        <w:rPr>
          <w:rStyle w:val="Char2"/>
          <w:rtl/>
        </w:rPr>
        <w:t>[النجم</w:t>
      </w:r>
      <w:r w:rsidR="00D739EA" w:rsidRPr="003108CB">
        <w:rPr>
          <w:rStyle w:val="Char2"/>
          <w:rFonts w:hint="cs"/>
          <w:rtl/>
        </w:rPr>
        <w:t xml:space="preserve">: </w:t>
      </w:r>
      <w:r w:rsidRPr="003108CB">
        <w:rPr>
          <w:rStyle w:val="Char2"/>
          <w:rtl/>
        </w:rPr>
        <w:t>56]</w:t>
      </w:r>
      <w:r w:rsidR="00217AB4" w:rsidRPr="00995B26">
        <w:rPr>
          <w:rFonts w:hint="cs"/>
          <w:sz w:val="28"/>
          <w:rtl/>
        </w:rPr>
        <w:t>.</w:t>
      </w:r>
      <w:r w:rsidR="00147857" w:rsidRPr="00995B26">
        <w:rPr>
          <w:rFonts w:hint="cs"/>
          <w:sz w:val="28"/>
          <w:rtl/>
        </w:rPr>
        <w:t xml:space="preserve"> </w:t>
      </w:r>
      <w:r w:rsidRPr="00995B26">
        <w:rPr>
          <w:rFonts w:hint="cs"/>
          <w:sz w:val="28"/>
          <w:rtl/>
        </w:rPr>
        <w:t>فحتى لو لم يكن هناك في القرآن الكريم أيُّ نصٍّ صريح أو كنائي أو إشارة إلى عدم اختصاص نبي آخر الزمان وأقربائه بأي مزية مالية</w:t>
      </w:r>
      <w:r w:rsidR="00217AB4" w:rsidRPr="00995B26">
        <w:rPr>
          <w:rFonts w:hint="cs"/>
          <w:sz w:val="28"/>
          <w:rtl/>
        </w:rPr>
        <w:t>،</w:t>
      </w:r>
      <w:r w:rsidRPr="00995B26">
        <w:rPr>
          <w:rFonts w:hint="cs"/>
          <w:sz w:val="28"/>
          <w:rtl/>
        </w:rPr>
        <w:t xml:space="preserve"> فإن تلك الآيات التي ذكرنا والتي تثبت عدم وجود تلك المزية لجميع الأنبياء كافية لثبوت مثل هذا الأمر لخاتمهم</w:t>
      </w:r>
      <w:r w:rsidR="001E0DB7" w:rsidRPr="00995B26">
        <w:rPr>
          <w:rFonts w:hint="cs"/>
          <w:sz w:val="28"/>
          <w:rtl/>
        </w:rPr>
        <w:t>،</w:t>
      </w:r>
      <w:r w:rsidRPr="00995B26">
        <w:rPr>
          <w:rFonts w:hint="cs"/>
          <w:sz w:val="28"/>
          <w:rtl/>
        </w:rPr>
        <w:t xml:space="preserve"> فكيف وقد جاءت ثمان آيات في القرآن الكريم بشكل خاص للتأكيد على هذا المعنى</w:t>
      </w:r>
      <w:r w:rsidR="00217AB4" w:rsidRPr="00995B26">
        <w:rPr>
          <w:rFonts w:hint="cs"/>
          <w:sz w:val="28"/>
          <w:rtl/>
        </w:rPr>
        <w:t>،</w:t>
      </w:r>
      <w:r w:rsidRPr="00995B26">
        <w:rPr>
          <w:rFonts w:hint="cs"/>
          <w:sz w:val="28"/>
          <w:rtl/>
        </w:rPr>
        <w:t xml:space="preserve"> وفيما يلي بيانها</w:t>
      </w:r>
      <w:r w:rsidR="00217AB4" w:rsidRPr="00995B26">
        <w:rPr>
          <w:rFonts w:hint="cs"/>
          <w:sz w:val="28"/>
          <w:rtl/>
        </w:rPr>
        <w:t>:</w:t>
      </w:r>
      <w:r w:rsidRPr="00995B26">
        <w:rPr>
          <w:rFonts w:hint="cs"/>
          <w:sz w:val="28"/>
          <w:rtl/>
        </w:rPr>
        <w:t xml:space="preserve"> </w:t>
      </w:r>
    </w:p>
    <w:p w:rsidR="005C664D" w:rsidRPr="00995B26" w:rsidRDefault="005C664D" w:rsidP="003C671C">
      <w:pPr>
        <w:pStyle w:val="a6"/>
        <w:rPr>
          <w:rFonts w:hint="cs"/>
          <w:rtl/>
        </w:rPr>
      </w:pPr>
      <w:bookmarkStart w:id="88" w:name="_Toc215490485"/>
      <w:bookmarkStart w:id="89" w:name="_Toc387843066"/>
      <w:r w:rsidRPr="00995B26">
        <w:rPr>
          <w:rFonts w:hint="cs"/>
          <w:rtl/>
        </w:rPr>
        <w:t>الآيات الخاصَّة بعدم اختصاص نبيِّ الإسلام</w:t>
      </w:r>
      <w:r w:rsidR="00147857" w:rsidRPr="00995B26">
        <w:rPr>
          <w:rFonts w:hint="cs"/>
          <w:rtl/>
        </w:rPr>
        <w:t xml:space="preserve"> </w:t>
      </w:r>
      <w:r w:rsidR="003C7AEB" w:rsidRPr="003C7AEB">
        <w:rPr>
          <w:rFonts w:cs="CTraditional Arabic"/>
          <w:bCs w:val="0"/>
          <w:rtl/>
        </w:rPr>
        <w:t>ص</w:t>
      </w:r>
      <w:r w:rsidR="00147857" w:rsidRPr="00995B26">
        <w:rPr>
          <w:rtl/>
        </w:rPr>
        <w:t xml:space="preserve"> </w:t>
      </w:r>
      <w:r w:rsidRPr="00995B26">
        <w:rPr>
          <w:rFonts w:hint="cs"/>
          <w:rtl/>
        </w:rPr>
        <w:t>أو تمييزه بأي استفادة من أيِّ أجْرٍ أو جزاءٍ ماليٍّ ع</w:t>
      </w:r>
      <w:r w:rsidR="002834A4" w:rsidRPr="00995B26">
        <w:rPr>
          <w:rFonts w:hint="cs"/>
          <w:rtl/>
        </w:rPr>
        <w:t>ـ</w:t>
      </w:r>
      <w:r w:rsidRPr="00995B26">
        <w:rPr>
          <w:rFonts w:hint="cs"/>
          <w:rtl/>
        </w:rPr>
        <w:t>لى رسالته</w:t>
      </w:r>
      <w:bookmarkEnd w:id="88"/>
      <w:r w:rsidR="009E3C80" w:rsidRPr="00995B26">
        <w:rPr>
          <w:rFonts w:hint="cs"/>
          <w:rtl/>
        </w:rPr>
        <w:t>:</w:t>
      </w:r>
      <w:bookmarkEnd w:id="89"/>
    </w:p>
    <w:p w:rsidR="005C664D" w:rsidRPr="003F3B94" w:rsidRDefault="005C664D" w:rsidP="003F3B94">
      <w:pPr>
        <w:pStyle w:val="a0"/>
        <w:rPr>
          <w:rFonts w:hint="cs"/>
          <w:rtl/>
        </w:rPr>
      </w:pPr>
      <w:r w:rsidRPr="003F3B94">
        <w:rPr>
          <w:rFonts w:hint="cs"/>
          <w:sz w:val="28"/>
          <w:rtl/>
        </w:rPr>
        <w:t>ذكرنا في الفقرة الماضية كيف أن رب العالمين بي</w:t>
      </w:r>
      <w:r w:rsidR="002834A4" w:rsidRPr="003F3B94">
        <w:rPr>
          <w:rFonts w:hint="cs"/>
          <w:sz w:val="28"/>
          <w:rtl/>
        </w:rPr>
        <w:t>َّ</w:t>
      </w:r>
      <w:r w:rsidRPr="003F3B94">
        <w:rPr>
          <w:rFonts w:hint="cs"/>
          <w:sz w:val="28"/>
          <w:rtl/>
        </w:rPr>
        <w:t>ن لنا في ثمان آيات كريمات من كتابه عدم طلب الأنبياء لأي أجر من الناس على رسالتهم</w:t>
      </w:r>
      <w:r w:rsidR="00217AB4" w:rsidRPr="003F3B94">
        <w:rPr>
          <w:rFonts w:hint="cs"/>
          <w:sz w:val="28"/>
          <w:rtl/>
        </w:rPr>
        <w:t>.</w:t>
      </w:r>
      <w:r w:rsidRPr="003F3B94">
        <w:rPr>
          <w:rFonts w:hint="cs"/>
          <w:sz w:val="28"/>
          <w:rtl/>
        </w:rPr>
        <w:t xml:space="preserve"> أما الآيات التي تتعلق بنبيِّ آخر الزمان</w:t>
      </w:r>
      <w:r w:rsidR="00147857" w:rsidRPr="003F3B94">
        <w:rPr>
          <w:rFonts w:hint="cs"/>
          <w:sz w:val="28"/>
          <w:rtl/>
        </w:rPr>
        <w:t xml:space="preserve"> </w:t>
      </w:r>
      <w:r w:rsidR="003C7AEB" w:rsidRPr="003C7AEB">
        <w:rPr>
          <w:rFonts w:ascii="Abo-thar" w:hAnsi="Abo-thar" w:cs="CTraditional Arabic" w:hint="cs"/>
          <w:sz w:val="28"/>
          <w:rtl/>
        </w:rPr>
        <w:t>ص</w:t>
      </w:r>
      <w:r w:rsidR="00147857" w:rsidRPr="003F3B94">
        <w:rPr>
          <w:rFonts w:ascii="Abo-thar" w:hAnsi="Abo-thar" w:hint="cs"/>
          <w:sz w:val="28"/>
          <w:rtl/>
        </w:rPr>
        <w:t xml:space="preserve"> </w:t>
      </w:r>
      <w:r w:rsidRPr="003F3B94">
        <w:rPr>
          <w:rFonts w:hint="cs"/>
          <w:sz w:val="28"/>
          <w:rtl/>
        </w:rPr>
        <w:t>بشكل خاص فهناك ثمان آيات صريحة أخرى في القرآن تبين بأوضح صورة عدم اختصاص حضرة النبيِّ</w:t>
      </w:r>
      <w:r w:rsidR="00147857" w:rsidRPr="003F3B94">
        <w:rPr>
          <w:rFonts w:hint="cs"/>
          <w:sz w:val="28"/>
          <w:rtl/>
        </w:rPr>
        <w:t xml:space="preserve"> </w:t>
      </w:r>
      <w:r w:rsidR="003C7AEB" w:rsidRPr="003C7AEB">
        <w:rPr>
          <w:rFonts w:ascii="Abo-thar" w:hAnsi="Abo-thar" w:cs="CTraditional Arabic"/>
          <w:sz w:val="28"/>
          <w:rtl/>
        </w:rPr>
        <w:t>ص</w:t>
      </w:r>
      <w:r w:rsidR="00147857" w:rsidRPr="003F3B94">
        <w:rPr>
          <w:rFonts w:ascii="Abo-thar" w:hAnsi="Abo-thar"/>
          <w:sz w:val="28"/>
          <w:rtl/>
        </w:rPr>
        <w:t xml:space="preserve"> </w:t>
      </w:r>
      <w:r w:rsidRPr="003F3B94">
        <w:rPr>
          <w:rFonts w:hint="cs"/>
          <w:sz w:val="28"/>
          <w:rtl/>
        </w:rPr>
        <w:t>بأيِّ مزيَّة ماليَّة كأجر على رسالته وفيما يلي هذه الآيات</w:t>
      </w:r>
      <w:r w:rsidR="00217AB4" w:rsidRPr="003F3B94">
        <w:rPr>
          <w:rFonts w:hint="cs"/>
          <w:sz w:val="28"/>
          <w:rtl/>
        </w:rPr>
        <w:t>:</w:t>
      </w:r>
    </w:p>
    <w:p w:rsidR="000E2C23" w:rsidRDefault="005C664D" w:rsidP="000E2C23">
      <w:pPr>
        <w:pStyle w:val="a0"/>
        <w:ind w:left="624" w:hanging="340"/>
        <w:rPr>
          <w:rFonts w:hint="cs"/>
          <w:sz w:val="28"/>
          <w:rtl/>
        </w:rPr>
      </w:pPr>
      <w:r w:rsidRPr="003F3B94">
        <w:rPr>
          <w:rFonts w:hint="cs"/>
          <w:sz w:val="28"/>
          <w:rtl/>
        </w:rPr>
        <w:t>1</w:t>
      </w:r>
      <w:r w:rsidR="00217AB4" w:rsidRPr="003F3B94">
        <w:rPr>
          <w:rFonts w:hint="cs"/>
          <w:sz w:val="28"/>
          <w:rtl/>
        </w:rPr>
        <w:t>-</w:t>
      </w:r>
      <w:r w:rsidRPr="003F3B94">
        <w:rPr>
          <w:rFonts w:hint="cs"/>
          <w:sz w:val="28"/>
          <w:rtl/>
        </w:rPr>
        <w:t xml:space="preserve"> في الآية 90 من سورة الأنعام يأمر رب العالمين رسوله الأعظم أن يبلغ الناس</w:t>
      </w:r>
      <w:r w:rsidR="00217AB4" w:rsidRPr="003F3B94">
        <w:rPr>
          <w:rFonts w:hint="cs"/>
          <w:sz w:val="28"/>
          <w:rtl/>
        </w:rPr>
        <w:t>:</w:t>
      </w:r>
    </w:p>
    <w:p w:rsidR="005C664D" w:rsidRPr="00995B26" w:rsidRDefault="00D739EA" w:rsidP="000E2C23">
      <w:pPr>
        <w:pStyle w:val="a0"/>
        <w:ind w:left="624" w:firstLine="0"/>
        <w:rPr>
          <w:rFonts w:hint="cs"/>
          <w:rtl/>
        </w:rPr>
      </w:pPr>
      <w:r w:rsidRPr="00995B26">
        <w:rPr>
          <w:rFonts w:cs="Traditional Arabic" w:hint="cs"/>
          <w:sz w:val="28"/>
          <w:rtl/>
        </w:rPr>
        <w:t>﴿</w:t>
      </w:r>
      <w:r w:rsidRPr="00995B26">
        <w:rPr>
          <w:rFonts w:ascii="KFGQPC Uthmanic Script HAFS" w:cs="KFGQPC Uthmanic Script HAFS" w:hint="eastAsia"/>
          <w:sz w:val="29"/>
          <w:szCs w:val="29"/>
          <w:rtl/>
        </w:rPr>
        <w:t>قُل</w:t>
      </w:r>
      <w:r w:rsidRPr="00995B26">
        <w:rPr>
          <w:rFonts w:ascii="KFGQPC Uthmanic Script HAFS" w:cs="KFGQPC Uthmanic Script HAFS"/>
          <w:sz w:val="29"/>
          <w:szCs w:val="29"/>
          <w:rtl/>
        </w:rPr>
        <w:t xml:space="preserve"> </w:t>
      </w:r>
      <w:r w:rsidRPr="00995B26">
        <w:rPr>
          <w:rFonts w:ascii="KFGQPC Uthmanic Script HAFS" w:cs="KFGQPC Uthmanic Script HAFS" w:hint="eastAsia"/>
          <w:sz w:val="29"/>
          <w:szCs w:val="29"/>
          <w:rtl/>
        </w:rPr>
        <w:t>لَّا</w:t>
      </w:r>
      <w:r w:rsidRPr="00995B26">
        <w:rPr>
          <w:rFonts w:ascii="KFGQPC Uthmanic Script HAFS" w:cs="KFGQPC Uthmanic Script HAFS" w:hint="cs"/>
          <w:sz w:val="29"/>
          <w:szCs w:val="29"/>
          <w:rtl/>
        </w:rPr>
        <w:t>ٓ</w:t>
      </w:r>
      <w:r w:rsidRPr="00995B26">
        <w:rPr>
          <w:rFonts w:ascii="KFGQPC Uthmanic Script HAFS" w:cs="KFGQPC Uthmanic Script HAFS"/>
          <w:sz w:val="29"/>
          <w:szCs w:val="29"/>
          <w:rtl/>
        </w:rPr>
        <w:t xml:space="preserve"> </w:t>
      </w:r>
      <w:r w:rsidRPr="00995B26">
        <w:rPr>
          <w:rFonts w:ascii="KFGQPC Uthmanic Script HAFS" w:cs="KFGQPC Uthmanic Script HAFS" w:hint="eastAsia"/>
          <w:sz w:val="29"/>
          <w:szCs w:val="29"/>
          <w:rtl/>
        </w:rPr>
        <w:t>أَس</w:t>
      </w:r>
      <w:r w:rsidRPr="00995B26">
        <w:rPr>
          <w:rFonts w:ascii="KFGQPC Uthmanic Script HAFS" w:cs="KFGQPC Uthmanic Script HAFS" w:hint="cs"/>
          <w:sz w:val="29"/>
          <w:szCs w:val="29"/>
          <w:rtl/>
        </w:rPr>
        <w:t>ۡ</w:t>
      </w:r>
      <w:r w:rsidRPr="00995B26">
        <w:rPr>
          <w:rFonts w:ascii="KFGQPC Uthmanic Script HAFS" w:cs="KFGQPC Uthmanic Script HAFS" w:hint="eastAsia"/>
          <w:sz w:val="29"/>
          <w:szCs w:val="29"/>
          <w:rtl/>
        </w:rPr>
        <w:t>‍</w:t>
      </w:r>
      <w:r w:rsidRPr="00995B26">
        <w:rPr>
          <w:rFonts w:ascii="KFGQPC Uthmanic Script HAFS" w:cs="KFGQPC Uthmanic Script HAFS" w:hint="cs"/>
          <w:sz w:val="29"/>
          <w:szCs w:val="29"/>
          <w:rtl/>
        </w:rPr>
        <w:t>ٔ</w:t>
      </w:r>
      <w:r w:rsidRPr="00995B26">
        <w:rPr>
          <w:rFonts w:ascii="KFGQPC Uthmanic Script HAFS" w:cs="KFGQPC Uthmanic Script HAFS" w:hint="eastAsia"/>
          <w:sz w:val="29"/>
          <w:szCs w:val="29"/>
          <w:rtl/>
        </w:rPr>
        <w:t>َلُكُم</w:t>
      </w:r>
      <w:r w:rsidRPr="00995B26">
        <w:rPr>
          <w:rFonts w:ascii="KFGQPC Uthmanic Script HAFS" w:cs="KFGQPC Uthmanic Script HAFS" w:hint="cs"/>
          <w:sz w:val="29"/>
          <w:szCs w:val="29"/>
          <w:rtl/>
        </w:rPr>
        <w:t>ۡ</w:t>
      </w:r>
      <w:r w:rsidRPr="00995B26">
        <w:rPr>
          <w:rFonts w:ascii="KFGQPC Uthmanic Script HAFS" w:cs="KFGQPC Uthmanic Script HAFS"/>
          <w:sz w:val="29"/>
          <w:szCs w:val="29"/>
          <w:rtl/>
        </w:rPr>
        <w:t xml:space="preserve"> </w:t>
      </w:r>
      <w:r w:rsidRPr="00995B26">
        <w:rPr>
          <w:rFonts w:ascii="KFGQPC Uthmanic Script HAFS" w:cs="KFGQPC Uthmanic Script HAFS" w:hint="eastAsia"/>
          <w:sz w:val="29"/>
          <w:szCs w:val="29"/>
          <w:rtl/>
        </w:rPr>
        <w:t>عَلَي</w:t>
      </w:r>
      <w:r w:rsidRPr="00995B26">
        <w:rPr>
          <w:rFonts w:ascii="KFGQPC Uthmanic Script HAFS" w:cs="KFGQPC Uthmanic Script HAFS" w:hint="cs"/>
          <w:sz w:val="29"/>
          <w:szCs w:val="29"/>
          <w:rtl/>
        </w:rPr>
        <w:t>ۡ</w:t>
      </w:r>
      <w:r w:rsidRPr="00995B26">
        <w:rPr>
          <w:rFonts w:ascii="KFGQPC Uthmanic Script HAFS" w:cs="KFGQPC Uthmanic Script HAFS" w:hint="eastAsia"/>
          <w:sz w:val="29"/>
          <w:szCs w:val="29"/>
          <w:rtl/>
        </w:rPr>
        <w:t>هِ</w:t>
      </w:r>
      <w:r w:rsidRPr="00995B26">
        <w:rPr>
          <w:rFonts w:ascii="KFGQPC Uthmanic Script HAFS" w:cs="KFGQPC Uthmanic Script HAFS"/>
          <w:sz w:val="29"/>
          <w:szCs w:val="29"/>
          <w:rtl/>
        </w:rPr>
        <w:t xml:space="preserve"> </w:t>
      </w:r>
      <w:r w:rsidRPr="00995B26">
        <w:rPr>
          <w:rFonts w:ascii="KFGQPC Uthmanic Script HAFS" w:cs="KFGQPC Uthmanic Script HAFS" w:hint="eastAsia"/>
          <w:sz w:val="29"/>
          <w:szCs w:val="29"/>
          <w:rtl/>
        </w:rPr>
        <w:t>أَج</w:t>
      </w:r>
      <w:r w:rsidRPr="00995B26">
        <w:rPr>
          <w:rFonts w:ascii="KFGQPC Uthmanic Script HAFS" w:cs="KFGQPC Uthmanic Script HAFS" w:hint="cs"/>
          <w:sz w:val="29"/>
          <w:szCs w:val="29"/>
          <w:rtl/>
        </w:rPr>
        <w:t>ۡ</w:t>
      </w:r>
      <w:r w:rsidRPr="00995B26">
        <w:rPr>
          <w:rFonts w:ascii="KFGQPC Uthmanic Script HAFS" w:cs="KFGQPC Uthmanic Script HAFS" w:hint="eastAsia"/>
          <w:sz w:val="29"/>
          <w:szCs w:val="29"/>
          <w:rtl/>
        </w:rPr>
        <w:t>رًا</w:t>
      </w:r>
      <w:r w:rsidRPr="00995B26">
        <w:rPr>
          <w:rFonts w:ascii="KFGQPC Uthmanic Script HAFS" w:cs="KFGQPC Uthmanic Script HAFS" w:hint="cs"/>
          <w:sz w:val="29"/>
          <w:szCs w:val="29"/>
          <w:rtl/>
        </w:rPr>
        <w:t>ۖ</w:t>
      </w:r>
      <w:r w:rsidRPr="00995B26">
        <w:rPr>
          <w:rFonts w:ascii="KFGQPC Uthmanic Script HAFS" w:cs="KFGQPC Uthmanic Script HAFS"/>
          <w:sz w:val="29"/>
          <w:szCs w:val="29"/>
          <w:rtl/>
        </w:rPr>
        <w:t xml:space="preserve"> </w:t>
      </w:r>
      <w:r w:rsidRPr="00995B26">
        <w:rPr>
          <w:rFonts w:ascii="KFGQPC Uthmanic Script HAFS" w:cs="KFGQPC Uthmanic Script HAFS" w:hint="eastAsia"/>
          <w:sz w:val="29"/>
          <w:szCs w:val="29"/>
          <w:rtl/>
        </w:rPr>
        <w:t>إِن</w:t>
      </w:r>
      <w:r w:rsidRPr="00995B26">
        <w:rPr>
          <w:rFonts w:ascii="KFGQPC Uthmanic Script HAFS" w:cs="KFGQPC Uthmanic Script HAFS" w:hint="cs"/>
          <w:sz w:val="29"/>
          <w:szCs w:val="29"/>
          <w:rtl/>
        </w:rPr>
        <w:t>ۡ</w:t>
      </w:r>
      <w:r w:rsidRPr="00995B26">
        <w:rPr>
          <w:rFonts w:ascii="KFGQPC Uthmanic Script HAFS" w:cs="KFGQPC Uthmanic Script HAFS"/>
          <w:sz w:val="29"/>
          <w:szCs w:val="29"/>
          <w:rtl/>
        </w:rPr>
        <w:t xml:space="preserve"> </w:t>
      </w:r>
      <w:r w:rsidRPr="00995B26">
        <w:rPr>
          <w:rFonts w:ascii="KFGQPC Uthmanic Script HAFS" w:cs="KFGQPC Uthmanic Script HAFS" w:hint="eastAsia"/>
          <w:sz w:val="29"/>
          <w:szCs w:val="29"/>
          <w:rtl/>
        </w:rPr>
        <w:t>هُوَ</w:t>
      </w:r>
      <w:r w:rsidRPr="00995B26">
        <w:rPr>
          <w:rFonts w:ascii="KFGQPC Uthmanic Script HAFS" w:cs="KFGQPC Uthmanic Script HAFS"/>
          <w:sz w:val="29"/>
          <w:szCs w:val="29"/>
          <w:rtl/>
        </w:rPr>
        <w:t xml:space="preserve"> </w:t>
      </w:r>
      <w:r w:rsidRPr="00995B26">
        <w:rPr>
          <w:rFonts w:ascii="KFGQPC Uthmanic Script HAFS" w:cs="KFGQPC Uthmanic Script HAFS" w:hint="eastAsia"/>
          <w:sz w:val="29"/>
          <w:szCs w:val="29"/>
          <w:rtl/>
        </w:rPr>
        <w:t>إِلَّا</w:t>
      </w:r>
      <w:r w:rsidRPr="00995B26">
        <w:rPr>
          <w:rFonts w:ascii="KFGQPC Uthmanic Script HAFS" w:cs="KFGQPC Uthmanic Script HAFS"/>
          <w:sz w:val="29"/>
          <w:szCs w:val="29"/>
          <w:rtl/>
        </w:rPr>
        <w:t xml:space="preserve"> </w:t>
      </w:r>
      <w:r w:rsidRPr="00995B26">
        <w:rPr>
          <w:rFonts w:ascii="KFGQPC Uthmanic Script HAFS" w:cs="KFGQPC Uthmanic Script HAFS" w:hint="eastAsia"/>
          <w:sz w:val="29"/>
          <w:szCs w:val="29"/>
          <w:rtl/>
        </w:rPr>
        <w:t>ذِك</w:t>
      </w:r>
      <w:r w:rsidRPr="00995B26">
        <w:rPr>
          <w:rFonts w:ascii="KFGQPC Uthmanic Script HAFS" w:cs="KFGQPC Uthmanic Script HAFS" w:hint="cs"/>
          <w:sz w:val="29"/>
          <w:szCs w:val="29"/>
          <w:rtl/>
        </w:rPr>
        <w:t>ۡ</w:t>
      </w:r>
      <w:r w:rsidRPr="00995B26">
        <w:rPr>
          <w:rFonts w:ascii="KFGQPC Uthmanic Script HAFS" w:cs="KFGQPC Uthmanic Script HAFS" w:hint="eastAsia"/>
          <w:sz w:val="29"/>
          <w:szCs w:val="29"/>
          <w:rtl/>
        </w:rPr>
        <w:t>رَى</w:t>
      </w:r>
      <w:r w:rsidRPr="00995B26">
        <w:rPr>
          <w:rFonts w:ascii="KFGQPC Uthmanic Script HAFS" w:cs="KFGQPC Uthmanic Script HAFS" w:hint="cs"/>
          <w:sz w:val="29"/>
          <w:szCs w:val="29"/>
          <w:rtl/>
        </w:rPr>
        <w:t>ٰ</w:t>
      </w:r>
      <w:r w:rsidRPr="00995B26">
        <w:rPr>
          <w:rFonts w:ascii="KFGQPC Uthmanic Script HAFS" w:cs="KFGQPC Uthmanic Script HAFS"/>
          <w:sz w:val="29"/>
          <w:szCs w:val="29"/>
          <w:rtl/>
        </w:rPr>
        <w:t xml:space="preserve"> </w:t>
      </w:r>
      <w:r w:rsidRPr="00995B26">
        <w:rPr>
          <w:rFonts w:ascii="KFGQPC Uthmanic Script HAFS" w:cs="KFGQPC Uthmanic Script HAFS" w:hint="eastAsia"/>
          <w:sz w:val="29"/>
          <w:szCs w:val="29"/>
          <w:rtl/>
        </w:rPr>
        <w:t>لِل</w:t>
      </w:r>
      <w:r w:rsidRPr="00995B26">
        <w:rPr>
          <w:rFonts w:ascii="KFGQPC Uthmanic Script HAFS" w:cs="KFGQPC Uthmanic Script HAFS" w:hint="cs"/>
          <w:sz w:val="29"/>
          <w:szCs w:val="29"/>
          <w:rtl/>
        </w:rPr>
        <w:t>ۡ</w:t>
      </w:r>
      <w:r w:rsidRPr="00995B26">
        <w:rPr>
          <w:rFonts w:ascii="KFGQPC Uthmanic Script HAFS" w:cs="KFGQPC Uthmanic Script HAFS" w:hint="eastAsia"/>
          <w:sz w:val="29"/>
          <w:szCs w:val="29"/>
          <w:rtl/>
        </w:rPr>
        <w:t>عَ</w:t>
      </w:r>
      <w:r w:rsidRPr="00995B26">
        <w:rPr>
          <w:rFonts w:ascii="KFGQPC Uthmanic Script HAFS" w:cs="KFGQPC Uthmanic Script HAFS" w:hint="cs"/>
          <w:sz w:val="29"/>
          <w:szCs w:val="29"/>
          <w:rtl/>
        </w:rPr>
        <w:t>ٰ</w:t>
      </w:r>
      <w:r w:rsidRPr="00995B26">
        <w:rPr>
          <w:rFonts w:ascii="KFGQPC Uthmanic Script HAFS" w:cs="KFGQPC Uthmanic Script HAFS" w:hint="eastAsia"/>
          <w:sz w:val="29"/>
          <w:szCs w:val="29"/>
          <w:rtl/>
        </w:rPr>
        <w:t>لَمِينَ</w:t>
      </w:r>
      <w:r w:rsidRPr="00995B26">
        <w:rPr>
          <w:rFonts w:cs="Traditional Arabic" w:hint="cs"/>
          <w:sz w:val="28"/>
          <w:rtl/>
        </w:rPr>
        <w:t>﴾</w:t>
      </w:r>
      <w:r w:rsidRPr="00995B26">
        <w:rPr>
          <w:rFonts w:hint="cs"/>
          <w:sz w:val="28"/>
          <w:rtl/>
        </w:rPr>
        <w:t xml:space="preserve"> </w:t>
      </w:r>
      <w:r w:rsidR="005C664D" w:rsidRPr="00995B26">
        <w:rPr>
          <w:rFonts w:hint="cs"/>
          <w:sz w:val="28"/>
          <w:rtl/>
        </w:rPr>
        <w:t xml:space="preserve"> </w:t>
      </w:r>
      <w:r w:rsidR="005C664D" w:rsidRPr="003108CB">
        <w:rPr>
          <w:rStyle w:val="Char2"/>
          <w:rtl/>
        </w:rPr>
        <w:t>[الأنعام</w:t>
      </w:r>
      <w:r w:rsidRPr="003108CB">
        <w:rPr>
          <w:rStyle w:val="Char2"/>
          <w:rFonts w:hint="cs"/>
          <w:rtl/>
        </w:rPr>
        <w:t>:</w:t>
      </w:r>
      <w:r w:rsidR="002834A4" w:rsidRPr="003108CB">
        <w:rPr>
          <w:rStyle w:val="Char2"/>
          <w:rFonts w:hint="cs"/>
          <w:rtl/>
        </w:rPr>
        <w:t xml:space="preserve"> </w:t>
      </w:r>
      <w:r w:rsidR="005C664D" w:rsidRPr="003108CB">
        <w:rPr>
          <w:rStyle w:val="Char2"/>
          <w:rtl/>
        </w:rPr>
        <w:t>90]</w:t>
      </w:r>
      <w:r w:rsidRPr="00995B26">
        <w:rPr>
          <w:rFonts w:hint="cs"/>
          <w:sz w:val="28"/>
          <w:rtl/>
        </w:rPr>
        <w:t>.</w:t>
      </w:r>
    </w:p>
    <w:p w:rsidR="005C664D" w:rsidRPr="003F3B94" w:rsidRDefault="005C664D" w:rsidP="000E2C23">
      <w:pPr>
        <w:pStyle w:val="a0"/>
        <w:ind w:left="624" w:hanging="340"/>
        <w:rPr>
          <w:rFonts w:hint="cs"/>
          <w:rtl/>
        </w:rPr>
      </w:pPr>
      <w:r w:rsidRPr="003F3B94">
        <w:rPr>
          <w:rFonts w:hint="cs"/>
          <w:sz w:val="28"/>
          <w:rtl/>
        </w:rPr>
        <w:t>2</w:t>
      </w:r>
      <w:r w:rsidR="00217AB4" w:rsidRPr="003F3B94">
        <w:rPr>
          <w:rFonts w:hint="cs"/>
          <w:sz w:val="28"/>
          <w:rtl/>
        </w:rPr>
        <w:t>-</w:t>
      </w:r>
      <w:r w:rsidRPr="003F3B94">
        <w:rPr>
          <w:rFonts w:hint="cs"/>
          <w:sz w:val="28"/>
          <w:rtl/>
        </w:rPr>
        <w:t xml:space="preserve"> ويقول تعالى في الآية 47 من سورة سبأ</w:t>
      </w:r>
      <w:r w:rsidR="00217AB4" w:rsidRPr="003F3B94">
        <w:rPr>
          <w:rFonts w:hint="cs"/>
          <w:sz w:val="28"/>
          <w:rtl/>
        </w:rPr>
        <w:t>:</w:t>
      </w:r>
    </w:p>
    <w:p w:rsidR="005C664D" w:rsidRPr="003F3B94" w:rsidRDefault="00D739EA" w:rsidP="000E2C23">
      <w:pPr>
        <w:pStyle w:val="a0"/>
        <w:ind w:left="624" w:firstLine="0"/>
        <w:rPr>
          <w:rFonts w:hint="cs"/>
          <w:rtl/>
        </w:rPr>
      </w:pPr>
      <w:r w:rsidRPr="00995B26">
        <w:rPr>
          <w:rFonts w:cs="Traditional Arabic" w:hint="cs"/>
          <w:sz w:val="28"/>
          <w:rtl/>
        </w:rPr>
        <w:t>﴿</w:t>
      </w:r>
      <w:r w:rsidRPr="0067048A">
        <w:rPr>
          <w:rFonts w:ascii="KFGQPC Uthmanic Script HAFS" w:cs="KFGQPC Uthmanic Script HAFS" w:hint="eastAsia"/>
          <w:sz w:val="28"/>
          <w:szCs w:val="28"/>
          <w:rtl/>
        </w:rPr>
        <w:t>قُل</w:t>
      </w:r>
      <w:r w:rsidRPr="0067048A">
        <w:rPr>
          <w:rFonts w:ascii="KFGQPC Uthmanic Script HAFS" w:cs="KFGQPC Uthmanic Script HAFS" w:hint="cs"/>
          <w:sz w:val="28"/>
          <w:szCs w:val="28"/>
          <w:rtl/>
        </w:rPr>
        <w:t>ۡ</w:t>
      </w:r>
      <w:r w:rsidRPr="0067048A">
        <w:rPr>
          <w:rFonts w:ascii="KFGQPC Uthmanic Script HAFS" w:cs="KFGQPC Uthmanic Script HAFS"/>
          <w:sz w:val="28"/>
          <w:szCs w:val="28"/>
          <w:rtl/>
        </w:rPr>
        <w:t xml:space="preserve"> </w:t>
      </w:r>
      <w:r w:rsidRPr="0067048A">
        <w:rPr>
          <w:rFonts w:ascii="KFGQPC Uthmanic Script HAFS" w:cs="KFGQPC Uthmanic Script HAFS" w:hint="eastAsia"/>
          <w:sz w:val="28"/>
          <w:szCs w:val="28"/>
          <w:rtl/>
        </w:rPr>
        <w:t>مَا</w:t>
      </w:r>
      <w:r w:rsidRPr="0067048A">
        <w:rPr>
          <w:rFonts w:ascii="KFGQPC Uthmanic Script HAFS" w:cs="KFGQPC Uthmanic Script HAFS"/>
          <w:sz w:val="28"/>
          <w:szCs w:val="28"/>
          <w:rtl/>
        </w:rPr>
        <w:t xml:space="preserve"> </w:t>
      </w:r>
      <w:r w:rsidRPr="0067048A">
        <w:rPr>
          <w:rFonts w:ascii="KFGQPC Uthmanic Script HAFS" w:cs="KFGQPC Uthmanic Script HAFS" w:hint="eastAsia"/>
          <w:sz w:val="28"/>
          <w:szCs w:val="28"/>
          <w:rtl/>
        </w:rPr>
        <w:t>سَأَل</w:t>
      </w:r>
      <w:r w:rsidRPr="0067048A">
        <w:rPr>
          <w:rFonts w:ascii="KFGQPC Uthmanic Script HAFS" w:cs="KFGQPC Uthmanic Script HAFS" w:hint="cs"/>
          <w:sz w:val="28"/>
          <w:szCs w:val="28"/>
          <w:rtl/>
        </w:rPr>
        <w:t>ۡ</w:t>
      </w:r>
      <w:r w:rsidRPr="0067048A">
        <w:rPr>
          <w:rFonts w:ascii="KFGQPC Uthmanic Script HAFS" w:cs="KFGQPC Uthmanic Script HAFS" w:hint="eastAsia"/>
          <w:sz w:val="28"/>
          <w:szCs w:val="28"/>
          <w:rtl/>
        </w:rPr>
        <w:t>تُكُم</w:t>
      </w:r>
      <w:r w:rsidRPr="0067048A">
        <w:rPr>
          <w:rFonts w:ascii="KFGQPC Uthmanic Script HAFS" w:cs="KFGQPC Uthmanic Script HAFS"/>
          <w:sz w:val="28"/>
          <w:szCs w:val="28"/>
          <w:rtl/>
        </w:rPr>
        <w:t xml:space="preserve"> </w:t>
      </w:r>
      <w:r w:rsidRPr="0067048A">
        <w:rPr>
          <w:rFonts w:ascii="KFGQPC Uthmanic Script HAFS" w:cs="KFGQPC Uthmanic Script HAFS" w:hint="eastAsia"/>
          <w:sz w:val="28"/>
          <w:szCs w:val="28"/>
          <w:rtl/>
        </w:rPr>
        <w:t>مِّن</w:t>
      </w:r>
      <w:r w:rsidRPr="0067048A">
        <w:rPr>
          <w:rFonts w:ascii="KFGQPC Uthmanic Script HAFS" w:cs="KFGQPC Uthmanic Script HAFS" w:hint="cs"/>
          <w:sz w:val="28"/>
          <w:szCs w:val="28"/>
          <w:rtl/>
        </w:rPr>
        <w:t>ۡ</w:t>
      </w:r>
      <w:r w:rsidRPr="0067048A">
        <w:rPr>
          <w:rFonts w:ascii="KFGQPC Uthmanic Script HAFS" w:cs="KFGQPC Uthmanic Script HAFS"/>
          <w:sz w:val="28"/>
          <w:szCs w:val="28"/>
          <w:rtl/>
        </w:rPr>
        <w:t xml:space="preserve"> </w:t>
      </w:r>
      <w:r w:rsidRPr="0067048A">
        <w:rPr>
          <w:rFonts w:ascii="KFGQPC Uthmanic Script HAFS" w:cs="KFGQPC Uthmanic Script HAFS" w:hint="eastAsia"/>
          <w:sz w:val="28"/>
          <w:szCs w:val="28"/>
          <w:rtl/>
        </w:rPr>
        <w:t>أَج</w:t>
      </w:r>
      <w:r w:rsidRPr="0067048A">
        <w:rPr>
          <w:rFonts w:ascii="KFGQPC Uthmanic Script HAFS" w:cs="KFGQPC Uthmanic Script HAFS" w:hint="cs"/>
          <w:sz w:val="28"/>
          <w:szCs w:val="28"/>
          <w:rtl/>
        </w:rPr>
        <w:t>ۡ</w:t>
      </w:r>
      <w:r w:rsidRPr="0067048A">
        <w:rPr>
          <w:rFonts w:ascii="KFGQPC Uthmanic Script HAFS" w:cs="KFGQPC Uthmanic Script HAFS" w:hint="eastAsia"/>
          <w:sz w:val="28"/>
          <w:szCs w:val="28"/>
          <w:rtl/>
        </w:rPr>
        <w:t>ر</w:t>
      </w:r>
      <w:r w:rsidRPr="0067048A">
        <w:rPr>
          <w:rFonts w:ascii="KFGQPC Uthmanic Script HAFS" w:cs="KFGQPC Uthmanic Script HAFS" w:hint="cs"/>
          <w:sz w:val="28"/>
          <w:szCs w:val="28"/>
          <w:rtl/>
        </w:rPr>
        <w:t>ٖ</w:t>
      </w:r>
      <w:r w:rsidRPr="0067048A">
        <w:rPr>
          <w:rFonts w:ascii="KFGQPC Uthmanic Script HAFS" w:cs="KFGQPC Uthmanic Script HAFS"/>
          <w:sz w:val="28"/>
          <w:szCs w:val="28"/>
          <w:rtl/>
        </w:rPr>
        <w:t xml:space="preserve"> </w:t>
      </w:r>
      <w:r w:rsidRPr="0067048A">
        <w:rPr>
          <w:rFonts w:ascii="KFGQPC Uthmanic Script HAFS" w:cs="KFGQPC Uthmanic Script HAFS" w:hint="eastAsia"/>
          <w:sz w:val="28"/>
          <w:szCs w:val="28"/>
          <w:rtl/>
        </w:rPr>
        <w:t>فَهُوَ</w:t>
      </w:r>
      <w:r w:rsidRPr="0067048A">
        <w:rPr>
          <w:rFonts w:ascii="KFGQPC Uthmanic Script HAFS" w:cs="KFGQPC Uthmanic Script HAFS"/>
          <w:sz w:val="28"/>
          <w:szCs w:val="28"/>
          <w:rtl/>
        </w:rPr>
        <w:t xml:space="preserve"> </w:t>
      </w:r>
      <w:r w:rsidRPr="0067048A">
        <w:rPr>
          <w:rFonts w:ascii="KFGQPC Uthmanic Script HAFS" w:cs="KFGQPC Uthmanic Script HAFS" w:hint="eastAsia"/>
          <w:sz w:val="28"/>
          <w:szCs w:val="28"/>
          <w:rtl/>
        </w:rPr>
        <w:t>لَكُم</w:t>
      </w:r>
      <w:r w:rsidRPr="0067048A">
        <w:rPr>
          <w:rFonts w:ascii="KFGQPC Uthmanic Script HAFS" w:cs="KFGQPC Uthmanic Script HAFS" w:hint="cs"/>
          <w:sz w:val="28"/>
          <w:szCs w:val="28"/>
          <w:rtl/>
        </w:rPr>
        <w:t>ۡۖ</w:t>
      </w:r>
      <w:r w:rsidRPr="0067048A">
        <w:rPr>
          <w:rFonts w:ascii="KFGQPC Uthmanic Script HAFS" w:cs="KFGQPC Uthmanic Script HAFS"/>
          <w:sz w:val="28"/>
          <w:szCs w:val="28"/>
          <w:rtl/>
        </w:rPr>
        <w:t xml:space="preserve"> </w:t>
      </w:r>
      <w:r w:rsidRPr="0067048A">
        <w:rPr>
          <w:rFonts w:ascii="KFGQPC Uthmanic Script HAFS" w:cs="KFGQPC Uthmanic Script HAFS" w:hint="eastAsia"/>
          <w:sz w:val="28"/>
          <w:szCs w:val="28"/>
          <w:rtl/>
        </w:rPr>
        <w:t>إِن</w:t>
      </w:r>
      <w:r w:rsidRPr="0067048A">
        <w:rPr>
          <w:rFonts w:ascii="KFGQPC Uthmanic Script HAFS" w:cs="KFGQPC Uthmanic Script HAFS" w:hint="cs"/>
          <w:sz w:val="28"/>
          <w:szCs w:val="28"/>
          <w:rtl/>
        </w:rPr>
        <w:t>ۡ</w:t>
      </w:r>
      <w:r w:rsidRPr="0067048A">
        <w:rPr>
          <w:rFonts w:ascii="KFGQPC Uthmanic Script HAFS" w:cs="KFGQPC Uthmanic Script HAFS"/>
          <w:sz w:val="28"/>
          <w:szCs w:val="28"/>
          <w:rtl/>
        </w:rPr>
        <w:t xml:space="preserve"> </w:t>
      </w:r>
      <w:r w:rsidRPr="0067048A">
        <w:rPr>
          <w:rFonts w:ascii="KFGQPC Uthmanic Script HAFS" w:cs="KFGQPC Uthmanic Script HAFS" w:hint="eastAsia"/>
          <w:sz w:val="28"/>
          <w:szCs w:val="28"/>
          <w:rtl/>
        </w:rPr>
        <w:t>أَج</w:t>
      </w:r>
      <w:r w:rsidRPr="0067048A">
        <w:rPr>
          <w:rFonts w:ascii="KFGQPC Uthmanic Script HAFS" w:cs="KFGQPC Uthmanic Script HAFS" w:hint="cs"/>
          <w:sz w:val="28"/>
          <w:szCs w:val="28"/>
          <w:rtl/>
        </w:rPr>
        <w:t>ۡ</w:t>
      </w:r>
      <w:r w:rsidRPr="0067048A">
        <w:rPr>
          <w:rFonts w:ascii="KFGQPC Uthmanic Script HAFS" w:cs="KFGQPC Uthmanic Script HAFS" w:hint="eastAsia"/>
          <w:sz w:val="28"/>
          <w:szCs w:val="28"/>
          <w:rtl/>
        </w:rPr>
        <w:t>رِيَ</w:t>
      </w:r>
      <w:r w:rsidRPr="0067048A">
        <w:rPr>
          <w:rFonts w:ascii="KFGQPC Uthmanic Script HAFS" w:cs="KFGQPC Uthmanic Script HAFS"/>
          <w:sz w:val="28"/>
          <w:szCs w:val="28"/>
          <w:rtl/>
        </w:rPr>
        <w:t xml:space="preserve"> </w:t>
      </w:r>
      <w:r w:rsidRPr="0067048A">
        <w:rPr>
          <w:rFonts w:ascii="KFGQPC Uthmanic Script HAFS" w:cs="KFGQPC Uthmanic Script HAFS" w:hint="eastAsia"/>
          <w:sz w:val="28"/>
          <w:szCs w:val="28"/>
          <w:rtl/>
        </w:rPr>
        <w:t>إِلَّا</w:t>
      </w:r>
      <w:r w:rsidRPr="0067048A">
        <w:rPr>
          <w:rFonts w:ascii="KFGQPC Uthmanic Script HAFS" w:cs="KFGQPC Uthmanic Script HAFS"/>
          <w:sz w:val="28"/>
          <w:szCs w:val="28"/>
          <w:rtl/>
        </w:rPr>
        <w:t xml:space="preserve"> </w:t>
      </w:r>
      <w:r w:rsidRPr="0067048A">
        <w:rPr>
          <w:rFonts w:ascii="KFGQPC Uthmanic Script HAFS" w:cs="KFGQPC Uthmanic Script HAFS" w:hint="eastAsia"/>
          <w:sz w:val="28"/>
          <w:szCs w:val="28"/>
          <w:rtl/>
        </w:rPr>
        <w:t>عَلَى</w:t>
      </w:r>
      <w:r w:rsidRPr="0067048A">
        <w:rPr>
          <w:rFonts w:ascii="KFGQPC Uthmanic Script HAFS" w:cs="KFGQPC Uthmanic Script HAFS"/>
          <w:sz w:val="28"/>
          <w:szCs w:val="28"/>
          <w:rtl/>
        </w:rPr>
        <w:t xml:space="preserve"> </w:t>
      </w:r>
      <w:r w:rsidRPr="0067048A">
        <w:rPr>
          <w:rFonts w:ascii="KFGQPC Uthmanic Script HAFS" w:cs="KFGQPC Uthmanic Script HAFS" w:hint="cs"/>
          <w:sz w:val="28"/>
          <w:szCs w:val="28"/>
          <w:rtl/>
        </w:rPr>
        <w:t>ٱ</w:t>
      </w:r>
      <w:r w:rsidRPr="0067048A">
        <w:rPr>
          <w:rFonts w:ascii="KFGQPC Uthmanic Script HAFS" w:cs="KFGQPC Uthmanic Script HAFS" w:hint="eastAsia"/>
          <w:sz w:val="28"/>
          <w:szCs w:val="28"/>
          <w:rtl/>
        </w:rPr>
        <w:t>للَّهِ</w:t>
      </w:r>
      <w:r w:rsidRPr="0067048A">
        <w:rPr>
          <w:rFonts w:ascii="KFGQPC Uthmanic Script HAFS" w:cs="KFGQPC Uthmanic Script HAFS" w:hint="cs"/>
          <w:sz w:val="28"/>
          <w:szCs w:val="28"/>
          <w:rtl/>
        </w:rPr>
        <w:t>ۖ</w:t>
      </w:r>
      <w:r w:rsidRPr="0067048A">
        <w:rPr>
          <w:rFonts w:ascii="KFGQPC Uthmanic Script HAFS" w:cs="KFGQPC Uthmanic Script HAFS"/>
          <w:sz w:val="28"/>
          <w:szCs w:val="28"/>
          <w:rtl/>
        </w:rPr>
        <w:t xml:space="preserve"> </w:t>
      </w:r>
      <w:r w:rsidRPr="0067048A">
        <w:rPr>
          <w:rFonts w:ascii="KFGQPC Uthmanic Script HAFS" w:cs="KFGQPC Uthmanic Script HAFS" w:hint="eastAsia"/>
          <w:sz w:val="28"/>
          <w:szCs w:val="28"/>
          <w:rtl/>
        </w:rPr>
        <w:t>وَهُوَ</w:t>
      </w:r>
      <w:r w:rsidRPr="0067048A">
        <w:rPr>
          <w:rFonts w:ascii="KFGQPC Uthmanic Script HAFS" w:cs="KFGQPC Uthmanic Script HAFS"/>
          <w:sz w:val="28"/>
          <w:szCs w:val="28"/>
          <w:rtl/>
        </w:rPr>
        <w:t xml:space="preserve"> </w:t>
      </w:r>
      <w:r w:rsidRPr="0067048A">
        <w:rPr>
          <w:rFonts w:ascii="KFGQPC Uthmanic Script HAFS" w:cs="KFGQPC Uthmanic Script HAFS" w:hint="eastAsia"/>
          <w:sz w:val="28"/>
          <w:szCs w:val="28"/>
          <w:rtl/>
        </w:rPr>
        <w:t>عَلَى</w:t>
      </w:r>
      <w:r w:rsidRPr="0067048A">
        <w:rPr>
          <w:rFonts w:ascii="KFGQPC Uthmanic Script HAFS" w:cs="KFGQPC Uthmanic Script HAFS" w:hint="cs"/>
          <w:sz w:val="28"/>
          <w:szCs w:val="28"/>
          <w:rtl/>
        </w:rPr>
        <w:t>ٰ</w:t>
      </w:r>
      <w:r w:rsidRPr="0067048A">
        <w:rPr>
          <w:rFonts w:ascii="KFGQPC Uthmanic Script HAFS" w:cs="KFGQPC Uthmanic Script HAFS"/>
          <w:sz w:val="28"/>
          <w:szCs w:val="28"/>
          <w:rtl/>
        </w:rPr>
        <w:t xml:space="preserve"> </w:t>
      </w:r>
      <w:r w:rsidRPr="0067048A">
        <w:rPr>
          <w:rFonts w:ascii="KFGQPC Uthmanic Script HAFS" w:cs="KFGQPC Uthmanic Script HAFS" w:hint="eastAsia"/>
          <w:sz w:val="28"/>
          <w:szCs w:val="28"/>
          <w:rtl/>
        </w:rPr>
        <w:t>كُلِّ</w:t>
      </w:r>
      <w:r w:rsidRPr="0067048A">
        <w:rPr>
          <w:rFonts w:ascii="KFGQPC Uthmanic Script HAFS" w:cs="KFGQPC Uthmanic Script HAFS"/>
          <w:sz w:val="28"/>
          <w:szCs w:val="28"/>
          <w:rtl/>
        </w:rPr>
        <w:t xml:space="preserve"> </w:t>
      </w:r>
      <w:r w:rsidRPr="0067048A">
        <w:rPr>
          <w:rFonts w:ascii="KFGQPC Uthmanic Script HAFS" w:cs="KFGQPC Uthmanic Script HAFS" w:hint="eastAsia"/>
          <w:sz w:val="28"/>
          <w:szCs w:val="28"/>
          <w:rtl/>
        </w:rPr>
        <w:t>شَي</w:t>
      </w:r>
      <w:r w:rsidRPr="0067048A">
        <w:rPr>
          <w:rFonts w:ascii="KFGQPC Uthmanic Script HAFS" w:cs="KFGQPC Uthmanic Script HAFS" w:hint="cs"/>
          <w:sz w:val="28"/>
          <w:szCs w:val="28"/>
          <w:rtl/>
        </w:rPr>
        <w:t>ۡ</w:t>
      </w:r>
      <w:r w:rsidRPr="0067048A">
        <w:rPr>
          <w:rFonts w:ascii="KFGQPC Uthmanic Script HAFS" w:cs="KFGQPC Uthmanic Script HAFS" w:hint="eastAsia"/>
          <w:sz w:val="28"/>
          <w:szCs w:val="28"/>
          <w:rtl/>
        </w:rPr>
        <w:t>ء</w:t>
      </w:r>
      <w:r w:rsidRPr="0067048A">
        <w:rPr>
          <w:rFonts w:ascii="KFGQPC Uthmanic Script HAFS" w:cs="KFGQPC Uthmanic Script HAFS" w:hint="cs"/>
          <w:sz w:val="28"/>
          <w:szCs w:val="28"/>
          <w:rtl/>
        </w:rPr>
        <w:t>ٖ</w:t>
      </w:r>
      <w:r w:rsidRPr="0067048A">
        <w:rPr>
          <w:rFonts w:ascii="KFGQPC Uthmanic Script HAFS" w:cs="KFGQPC Uthmanic Script HAFS"/>
          <w:sz w:val="28"/>
          <w:szCs w:val="28"/>
          <w:rtl/>
        </w:rPr>
        <w:t xml:space="preserve"> </w:t>
      </w:r>
      <w:r w:rsidRPr="0067048A">
        <w:rPr>
          <w:rFonts w:ascii="KFGQPC Uthmanic Script HAFS" w:cs="KFGQPC Uthmanic Script HAFS" w:hint="eastAsia"/>
          <w:sz w:val="28"/>
          <w:szCs w:val="28"/>
          <w:rtl/>
        </w:rPr>
        <w:t>شَهِيد</w:t>
      </w:r>
      <w:r w:rsidRPr="0067048A">
        <w:rPr>
          <w:rFonts w:ascii="KFGQPC Uthmanic Script HAFS" w:cs="KFGQPC Uthmanic Script HAFS" w:hint="cs"/>
          <w:sz w:val="28"/>
          <w:szCs w:val="28"/>
          <w:rtl/>
        </w:rPr>
        <w:t>ٞ</w:t>
      </w:r>
      <w:r w:rsidRPr="00995B26">
        <w:rPr>
          <w:rFonts w:cs="Traditional Arabic" w:hint="cs"/>
          <w:sz w:val="28"/>
          <w:rtl/>
        </w:rPr>
        <w:t>﴾</w:t>
      </w:r>
      <w:r w:rsidR="005C664D" w:rsidRPr="003F3B94">
        <w:rPr>
          <w:rFonts w:hint="cs"/>
          <w:sz w:val="28"/>
          <w:rtl/>
        </w:rPr>
        <w:t xml:space="preserve"> </w:t>
      </w:r>
      <w:r w:rsidR="005C664D" w:rsidRPr="003108CB">
        <w:rPr>
          <w:rStyle w:val="Char2"/>
          <w:rtl/>
        </w:rPr>
        <w:t>[سبأ</w:t>
      </w:r>
      <w:r w:rsidR="002834A4" w:rsidRPr="003108CB">
        <w:rPr>
          <w:rStyle w:val="Char2"/>
          <w:rFonts w:hint="cs"/>
          <w:rtl/>
        </w:rPr>
        <w:t>:</w:t>
      </w:r>
      <w:r w:rsidR="00920257" w:rsidRPr="003108CB">
        <w:rPr>
          <w:rStyle w:val="Char2"/>
          <w:rtl/>
        </w:rPr>
        <w:t xml:space="preserve"> </w:t>
      </w:r>
      <w:r w:rsidR="005C664D" w:rsidRPr="003108CB">
        <w:rPr>
          <w:rStyle w:val="Char2"/>
          <w:rtl/>
        </w:rPr>
        <w:t>47]</w:t>
      </w:r>
    </w:p>
    <w:p w:rsidR="005C664D" w:rsidRPr="003F3B94" w:rsidRDefault="005C664D" w:rsidP="000E2C23">
      <w:pPr>
        <w:pStyle w:val="a0"/>
        <w:ind w:left="624" w:hanging="340"/>
        <w:rPr>
          <w:rFonts w:hint="cs"/>
          <w:rtl/>
        </w:rPr>
      </w:pPr>
      <w:r w:rsidRPr="003F3B94">
        <w:rPr>
          <w:rFonts w:hint="cs"/>
          <w:sz w:val="28"/>
          <w:rtl/>
        </w:rPr>
        <w:t>3</w:t>
      </w:r>
      <w:r w:rsidR="00217AB4" w:rsidRPr="003F3B94">
        <w:rPr>
          <w:rFonts w:hint="cs"/>
          <w:sz w:val="28"/>
          <w:rtl/>
        </w:rPr>
        <w:t>-</w:t>
      </w:r>
      <w:r w:rsidRPr="003F3B94">
        <w:rPr>
          <w:rFonts w:hint="cs"/>
          <w:sz w:val="28"/>
          <w:rtl/>
        </w:rPr>
        <w:t xml:space="preserve"> ويقول تعالى أيضاً في سورة ص</w:t>
      </w:r>
      <w:r w:rsidR="00217AB4" w:rsidRPr="003F3B94">
        <w:rPr>
          <w:rFonts w:hint="cs"/>
          <w:sz w:val="28"/>
          <w:rtl/>
        </w:rPr>
        <w:t>:</w:t>
      </w:r>
    </w:p>
    <w:p w:rsidR="005C664D" w:rsidRPr="003F3B94" w:rsidRDefault="00D739EA" w:rsidP="000E2C23">
      <w:pPr>
        <w:pStyle w:val="a0"/>
        <w:ind w:left="624" w:firstLine="0"/>
        <w:rPr>
          <w:rFonts w:hint="cs"/>
          <w:rtl/>
        </w:rPr>
      </w:pPr>
      <w:r w:rsidRPr="00995B26">
        <w:rPr>
          <w:rFonts w:cs="Traditional Arabic" w:hint="cs"/>
          <w:sz w:val="28"/>
          <w:rtl/>
        </w:rPr>
        <w:t>﴿</w:t>
      </w:r>
      <w:r w:rsidRPr="0067048A">
        <w:rPr>
          <w:rFonts w:ascii="KFGQPC Uthmanic Script HAFS" w:cs="KFGQPC Uthmanic Script HAFS" w:hint="eastAsia"/>
          <w:sz w:val="28"/>
          <w:szCs w:val="28"/>
          <w:rtl/>
          <w:lang w:bidi="fa-IR"/>
        </w:rPr>
        <w:t>قُل</w:t>
      </w:r>
      <w:r w:rsidRPr="0067048A">
        <w:rPr>
          <w:rFonts w:ascii="KFGQPC Uthmanic Script HAFS" w:cs="KFGQPC Uthmanic Script HAFS" w:hint="cs"/>
          <w:sz w:val="28"/>
          <w:szCs w:val="28"/>
          <w:rtl/>
          <w:lang w:bidi="fa-IR"/>
        </w:rPr>
        <w:t>ۡ</w:t>
      </w:r>
      <w:r w:rsidRPr="0067048A">
        <w:rPr>
          <w:rFonts w:ascii="KFGQPC Uthmanic Script HAFS" w:cs="KFGQPC Uthmanic Script HAFS"/>
          <w:sz w:val="28"/>
          <w:szCs w:val="28"/>
          <w:rtl/>
          <w:lang w:bidi="fa-IR"/>
        </w:rPr>
        <w:t xml:space="preserve"> </w:t>
      </w:r>
      <w:r w:rsidRPr="0067048A">
        <w:rPr>
          <w:rFonts w:ascii="KFGQPC Uthmanic Script HAFS" w:cs="KFGQPC Uthmanic Script HAFS" w:hint="eastAsia"/>
          <w:sz w:val="28"/>
          <w:szCs w:val="28"/>
          <w:rtl/>
          <w:lang w:bidi="fa-IR"/>
        </w:rPr>
        <w:t>مَا</w:t>
      </w:r>
      <w:r w:rsidRPr="0067048A">
        <w:rPr>
          <w:rFonts w:ascii="KFGQPC Uthmanic Script HAFS" w:cs="KFGQPC Uthmanic Script HAFS" w:hint="cs"/>
          <w:sz w:val="28"/>
          <w:szCs w:val="28"/>
          <w:rtl/>
          <w:lang w:bidi="fa-IR"/>
        </w:rPr>
        <w:t>ٓ</w:t>
      </w:r>
      <w:r w:rsidRPr="0067048A">
        <w:rPr>
          <w:rFonts w:ascii="KFGQPC Uthmanic Script HAFS" w:cs="KFGQPC Uthmanic Script HAFS"/>
          <w:sz w:val="28"/>
          <w:szCs w:val="28"/>
          <w:rtl/>
          <w:lang w:bidi="fa-IR"/>
        </w:rPr>
        <w:t xml:space="preserve"> </w:t>
      </w:r>
      <w:r w:rsidRPr="0067048A">
        <w:rPr>
          <w:rFonts w:ascii="KFGQPC Uthmanic Script HAFS" w:cs="KFGQPC Uthmanic Script HAFS" w:hint="eastAsia"/>
          <w:sz w:val="28"/>
          <w:szCs w:val="28"/>
          <w:rtl/>
          <w:lang w:bidi="fa-IR"/>
        </w:rPr>
        <w:t>أَس</w:t>
      </w:r>
      <w:r w:rsidRPr="0067048A">
        <w:rPr>
          <w:rFonts w:ascii="KFGQPC Uthmanic Script HAFS" w:cs="KFGQPC Uthmanic Script HAFS" w:hint="cs"/>
          <w:sz w:val="28"/>
          <w:szCs w:val="28"/>
          <w:rtl/>
          <w:lang w:bidi="fa-IR"/>
        </w:rPr>
        <w:t>ۡ</w:t>
      </w:r>
      <w:r w:rsidRPr="0067048A">
        <w:rPr>
          <w:rFonts w:ascii="KFGQPC Uthmanic Script HAFS" w:cs="KFGQPC Uthmanic Script HAFS" w:hint="eastAsia"/>
          <w:sz w:val="28"/>
          <w:szCs w:val="28"/>
          <w:rtl/>
          <w:lang w:bidi="fa-IR"/>
        </w:rPr>
        <w:t>‍</w:t>
      </w:r>
      <w:r w:rsidRPr="0067048A">
        <w:rPr>
          <w:rFonts w:ascii="KFGQPC Uthmanic Script HAFS" w:cs="KFGQPC Uthmanic Script HAFS" w:hint="cs"/>
          <w:sz w:val="28"/>
          <w:szCs w:val="28"/>
          <w:rtl/>
          <w:lang w:bidi="fa-IR"/>
        </w:rPr>
        <w:t>ٔ</w:t>
      </w:r>
      <w:r w:rsidRPr="0067048A">
        <w:rPr>
          <w:rFonts w:ascii="KFGQPC Uthmanic Script HAFS" w:cs="KFGQPC Uthmanic Script HAFS" w:hint="eastAsia"/>
          <w:sz w:val="28"/>
          <w:szCs w:val="28"/>
          <w:rtl/>
          <w:lang w:bidi="fa-IR"/>
        </w:rPr>
        <w:t>َلُكُم</w:t>
      </w:r>
      <w:r w:rsidRPr="0067048A">
        <w:rPr>
          <w:rFonts w:ascii="KFGQPC Uthmanic Script HAFS" w:cs="KFGQPC Uthmanic Script HAFS" w:hint="cs"/>
          <w:sz w:val="28"/>
          <w:szCs w:val="28"/>
          <w:rtl/>
          <w:lang w:bidi="fa-IR"/>
        </w:rPr>
        <w:t>ۡ</w:t>
      </w:r>
      <w:r w:rsidRPr="0067048A">
        <w:rPr>
          <w:rFonts w:ascii="KFGQPC Uthmanic Script HAFS" w:cs="KFGQPC Uthmanic Script HAFS"/>
          <w:sz w:val="28"/>
          <w:szCs w:val="28"/>
          <w:rtl/>
          <w:lang w:bidi="fa-IR"/>
        </w:rPr>
        <w:t xml:space="preserve"> </w:t>
      </w:r>
      <w:r w:rsidRPr="0067048A">
        <w:rPr>
          <w:rFonts w:ascii="KFGQPC Uthmanic Script HAFS" w:cs="KFGQPC Uthmanic Script HAFS" w:hint="eastAsia"/>
          <w:sz w:val="28"/>
          <w:szCs w:val="28"/>
          <w:rtl/>
          <w:lang w:bidi="fa-IR"/>
        </w:rPr>
        <w:t>عَلَي</w:t>
      </w:r>
      <w:r w:rsidRPr="0067048A">
        <w:rPr>
          <w:rFonts w:ascii="KFGQPC Uthmanic Script HAFS" w:cs="KFGQPC Uthmanic Script HAFS" w:hint="cs"/>
          <w:sz w:val="28"/>
          <w:szCs w:val="28"/>
          <w:rtl/>
          <w:lang w:bidi="fa-IR"/>
        </w:rPr>
        <w:t>ۡ</w:t>
      </w:r>
      <w:r w:rsidRPr="0067048A">
        <w:rPr>
          <w:rFonts w:ascii="KFGQPC Uthmanic Script HAFS" w:cs="KFGQPC Uthmanic Script HAFS" w:hint="eastAsia"/>
          <w:sz w:val="28"/>
          <w:szCs w:val="28"/>
          <w:rtl/>
          <w:lang w:bidi="fa-IR"/>
        </w:rPr>
        <w:t>هِ</w:t>
      </w:r>
      <w:r w:rsidRPr="0067048A">
        <w:rPr>
          <w:rFonts w:ascii="KFGQPC Uthmanic Script HAFS" w:cs="KFGQPC Uthmanic Script HAFS"/>
          <w:sz w:val="28"/>
          <w:szCs w:val="28"/>
          <w:rtl/>
          <w:lang w:bidi="fa-IR"/>
        </w:rPr>
        <w:t xml:space="preserve"> </w:t>
      </w:r>
      <w:r w:rsidRPr="0067048A">
        <w:rPr>
          <w:rFonts w:ascii="KFGQPC Uthmanic Script HAFS" w:cs="KFGQPC Uthmanic Script HAFS" w:hint="eastAsia"/>
          <w:sz w:val="28"/>
          <w:szCs w:val="28"/>
          <w:rtl/>
          <w:lang w:bidi="fa-IR"/>
        </w:rPr>
        <w:t>مِن</w:t>
      </w:r>
      <w:r w:rsidRPr="0067048A">
        <w:rPr>
          <w:rFonts w:ascii="KFGQPC Uthmanic Script HAFS" w:cs="KFGQPC Uthmanic Script HAFS" w:hint="cs"/>
          <w:sz w:val="28"/>
          <w:szCs w:val="28"/>
          <w:rtl/>
          <w:lang w:bidi="fa-IR"/>
        </w:rPr>
        <w:t>ۡ</w:t>
      </w:r>
      <w:r w:rsidRPr="0067048A">
        <w:rPr>
          <w:rFonts w:ascii="KFGQPC Uthmanic Script HAFS" w:cs="KFGQPC Uthmanic Script HAFS"/>
          <w:sz w:val="28"/>
          <w:szCs w:val="28"/>
          <w:rtl/>
          <w:lang w:bidi="fa-IR"/>
        </w:rPr>
        <w:t xml:space="preserve"> </w:t>
      </w:r>
      <w:r w:rsidRPr="0067048A">
        <w:rPr>
          <w:rFonts w:ascii="KFGQPC Uthmanic Script HAFS" w:cs="KFGQPC Uthmanic Script HAFS" w:hint="eastAsia"/>
          <w:sz w:val="28"/>
          <w:szCs w:val="28"/>
          <w:rtl/>
          <w:lang w:bidi="fa-IR"/>
        </w:rPr>
        <w:t>أَج</w:t>
      </w:r>
      <w:r w:rsidRPr="0067048A">
        <w:rPr>
          <w:rFonts w:ascii="KFGQPC Uthmanic Script HAFS" w:cs="KFGQPC Uthmanic Script HAFS" w:hint="cs"/>
          <w:sz w:val="28"/>
          <w:szCs w:val="28"/>
          <w:rtl/>
          <w:lang w:bidi="fa-IR"/>
        </w:rPr>
        <w:t>ۡ</w:t>
      </w:r>
      <w:r w:rsidRPr="0067048A">
        <w:rPr>
          <w:rFonts w:ascii="KFGQPC Uthmanic Script HAFS" w:cs="KFGQPC Uthmanic Script HAFS" w:hint="eastAsia"/>
          <w:sz w:val="28"/>
          <w:szCs w:val="28"/>
          <w:rtl/>
          <w:lang w:bidi="fa-IR"/>
        </w:rPr>
        <w:t>ر</w:t>
      </w:r>
      <w:r w:rsidRPr="0067048A">
        <w:rPr>
          <w:rFonts w:ascii="KFGQPC Uthmanic Script HAFS" w:cs="KFGQPC Uthmanic Script HAFS" w:hint="cs"/>
          <w:sz w:val="28"/>
          <w:szCs w:val="28"/>
          <w:rtl/>
          <w:lang w:bidi="fa-IR"/>
        </w:rPr>
        <w:t>ٖ</w:t>
      </w:r>
      <w:r w:rsidRPr="0067048A">
        <w:rPr>
          <w:rFonts w:ascii="KFGQPC Uthmanic Script HAFS" w:cs="KFGQPC Uthmanic Script HAFS"/>
          <w:sz w:val="28"/>
          <w:szCs w:val="28"/>
          <w:rtl/>
          <w:lang w:bidi="fa-IR"/>
        </w:rPr>
        <w:t xml:space="preserve"> </w:t>
      </w:r>
      <w:r w:rsidRPr="0067048A">
        <w:rPr>
          <w:rFonts w:ascii="KFGQPC Uthmanic Script HAFS" w:cs="KFGQPC Uthmanic Script HAFS" w:hint="eastAsia"/>
          <w:sz w:val="28"/>
          <w:szCs w:val="28"/>
          <w:rtl/>
          <w:lang w:bidi="fa-IR"/>
        </w:rPr>
        <w:t>وَمَا</w:t>
      </w:r>
      <w:r w:rsidRPr="0067048A">
        <w:rPr>
          <w:rFonts w:ascii="KFGQPC Uthmanic Script HAFS" w:cs="KFGQPC Uthmanic Script HAFS" w:hint="cs"/>
          <w:sz w:val="28"/>
          <w:szCs w:val="28"/>
          <w:rtl/>
          <w:lang w:bidi="fa-IR"/>
        </w:rPr>
        <w:t>ٓ</w:t>
      </w:r>
      <w:r w:rsidRPr="0067048A">
        <w:rPr>
          <w:rFonts w:ascii="KFGQPC Uthmanic Script HAFS" w:cs="KFGQPC Uthmanic Script HAFS"/>
          <w:sz w:val="28"/>
          <w:szCs w:val="28"/>
          <w:rtl/>
          <w:lang w:bidi="fa-IR"/>
        </w:rPr>
        <w:t xml:space="preserve"> </w:t>
      </w:r>
      <w:r w:rsidRPr="0067048A">
        <w:rPr>
          <w:rFonts w:ascii="KFGQPC Uthmanic Script HAFS" w:cs="KFGQPC Uthmanic Script HAFS" w:hint="eastAsia"/>
          <w:sz w:val="28"/>
          <w:szCs w:val="28"/>
          <w:rtl/>
          <w:lang w:bidi="fa-IR"/>
        </w:rPr>
        <w:t>أَنَا</w:t>
      </w:r>
      <w:r w:rsidRPr="0067048A">
        <w:rPr>
          <w:rFonts w:ascii="KFGQPC Uthmanic Script HAFS" w:cs="KFGQPC Uthmanic Script HAFS" w:hint="cs"/>
          <w:sz w:val="28"/>
          <w:szCs w:val="28"/>
          <w:rtl/>
          <w:lang w:bidi="fa-IR"/>
        </w:rPr>
        <w:t>۠</w:t>
      </w:r>
      <w:r w:rsidRPr="0067048A">
        <w:rPr>
          <w:rFonts w:ascii="KFGQPC Uthmanic Script HAFS" w:cs="KFGQPC Uthmanic Script HAFS"/>
          <w:sz w:val="28"/>
          <w:szCs w:val="28"/>
          <w:rtl/>
          <w:lang w:bidi="fa-IR"/>
        </w:rPr>
        <w:t xml:space="preserve"> </w:t>
      </w:r>
      <w:r w:rsidRPr="0067048A">
        <w:rPr>
          <w:rFonts w:ascii="KFGQPC Uthmanic Script HAFS" w:cs="KFGQPC Uthmanic Script HAFS" w:hint="eastAsia"/>
          <w:sz w:val="28"/>
          <w:szCs w:val="28"/>
          <w:rtl/>
          <w:lang w:bidi="fa-IR"/>
        </w:rPr>
        <w:t>مِنَ</w:t>
      </w:r>
      <w:r w:rsidRPr="0067048A">
        <w:rPr>
          <w:rFonts w:ascii="KFGQPC Uthmanic Script HAFS" w:cs="KFGQPC Uthmanic Script HAFS"/>
          <w:sz w:val="28"/>
          <w:szCs w:val="28"/>
          <w:rtl/>
          <w:lang w:bidi="fa-IR"/>
        </w:rPr>
        <w:t xml:space="preserve"> </w:t>
      </w:r>
      <w:r w:rsidRPr="0067048A">
        <w:rPr>
          <w:rFonts w:ascii="KFGQPC Uthmanic Script HAFS" w:cs="KFGQPC Uthmanic Script HAFS" w:hint="cs"/>
          <w:sz w:val="28"/>
          <w:szCs w:val="28"/>
          <w:rtl/>
          <w:lang w:bidi="fa-IR"/>
        </w:rPr>
        <w:t>ٱ</w:t>
      </w:r>
      <w:r w:rsidRPr="0067048A">
        <w:rPr>
          <w:rFonts w:ascii="KFGQPC Uthmanic Script HAFS" w:cs="KFGQPC Uthmanic Script HAFS" w:hint="eastAsia"/>
          <w:sz w:val="28"/>
          <w:szCs w:val="28"/>
          <w:rtl/>
          <w:lang w:bidi="fa-IR"/>
        </w:rPr>
        <w:t>ل</w:t>
      </w:r>
      <w:r w:rsidRPr="0067048A">
        <w:rPr>
          <w:rFonts w:ascii="KFGQPC Uthmanic Script HAFS" w:cs="KFGQPC Uthmanic Script HAFS" w:hint="cs"/>
          <w:sz w:val="28"/>
          <w:szCs w:val="28"/>
          <w:rtl/>
          <w:lang w:bidi="fa-IR"/>
        </w:rPr>
        <w:t>ۡ</w:t>
      </w:r>
      <w:r w:rsidRPr="0067048A">
        <w:rPr>
          <w:rFonts w:ascii="KFGQPC Uthmanic Script HAFS" w:cs="KFGQPC Uthmanic Script HAFS" w:hint="eastAsia"/>
          <w:sz w:val="28"/>
          <w:szCs w:val="28"/>
          <w:rtl/>
          <w:lang w:bidi="fa-IR"/>
        </w:rPr>
        <w:t>مُتَكَلِّفِينَ</w:t>
      </w:r>
      <w:r w:rsidRPr="0067048A">
        <w:rPr>
          <w:rFonts w:ascii="KFGQPC Uthmanic Script HAFS" w:cs="KFGQPC Uthmanic Script HAFS"/>
          <w:sz w:val="28"/>
          <w:szCs w:val="28"/>
          <w:rtl/>
          <w:lang w:bidi="fa-IR"/>
        </w:rPr>
        <w:t xml:space="preserve"> </w:t>
      </w:r>
      <w:r w:rsidRPr="0067048A">
        <w:rPr>
          <w:rFonts w:ascii="KFGQPC Uthmanic Script HAFS" w:cs="KFGQPC Uthmanic Script HAFS" w:hint="cs"/>
          <w:sz w:val="28"/>
          <w:szCs w:val="28"/>
          <w:rtl/>
          <w:lang w:bidi="fa-IR"/>
        </w:rPr>
        <w:t>٨٦</w:t>
      </w:r>
      <w:r w:rsidRPr="0067048A">
        <w:rPr>
          <w:rFonts w:ascii="KFGQPC Uthmanic Script HAFS" w:cs="KFGQPC Uthmanic Script HAFS"/>
          <w:sz w:val="28"/>
          <w:szCs w:val="28"/>
          <w:rtl/>
          <w:lang w:bidi="fa-IR"/>
        </w:rPr>
        <w:t xml:space="preserve"> </w:t>
      </w:r>
      <w:r w:rsidRPr="0067048A">
        <w:rPr>
          <w:rFonts w:ascii="KFGQPC Uthmanic Script HAFS" w:cs="KFGQPC Uthmanic Script HAFS" w:hint="eastAsia"/>
          <w:sz w:val="28"/>
          <w:szCs w:val="28"/>
          <w:rtl/>
          <w:lang w:bidi="fa-IR"/>
        </w:rPr>
        <w:t>إِن</w:t>
      </w:r>
      <w:r w:rsidRPr="0067048A">
        <w:rPr>
          <w:rFonts w:ascii="KFGQPC Uthmanic Script HAFS" w:cs="KFGQPC Uthmanic Script HAFS" w:hint="cs"/>
          <w:sz w:val="28"/>
          <w:szCs w:val="28"/>
          <w:rtl/>
          <w:lang w:bidi="fa-IR"/>
        </w:rPr>
        <w:t>ۡ</w:t>
      </w:r>
      <w:r w:rsidRPr="0067048A">
        <w:rPr>
          <w:rFonts w:ascii="KFGQPC Uthmanic Script HAFS" w:cs="KFGQPC Uthmanic Script HAFS"/>
          <w:sz w:val="28"/>
          <w:szCs w:val="28"/>
          <w:rtl/>
          <w:lang w:bidi="fa-IR"/>
        </w:rPr>
        <w:t xml:space="preserve"> </w:t>
      </w:r>
      <w:r w:rsidRPr="0067048A">
        <w:rPr>
          <w:rFonts w:ascii="KFGQPC Uthmanic Script HAFS" w:cs="KFGQPC Uthmanic Script HAFS" w:hint="eastAsia"/>
          <w:sz w:val="28"/>
          <w:szCs w:val="28"/>
          <w:rtl/>
          <w:lang w:bidi="fa-IR"/>
        </w:rPr>
        <w:t>هُوَ</w:t>
      </w:r>
      <w:r w:rsidRPr="0067048A">
        <w:rPr>
          <w:rFonts w:ascii="KFGQPC Uthmanic Script HAFS" w:cs="KFGQPC Uthmanic Script HAFS"/>
          <w:sz w:val="28"/>
          <w:szCs w:val="28"/>
          <w:rtl/>
          <w:lang w:bidi="fa-IR"/>
        </w:rPr>
        <w:t xml:space="preserve"> </w:t>
      </w:r>
      <w:r w:rsidRPr="0067048A">
        <w:rPr>
          <w:rFonts w:ascii="KFGQPC Uthmanic Script HAFS" w:cs="KFGQPC Uthmanic Script HAFS" w:hint="eastAsia"/>
          <w:sz w:val="28"/>
          <w:szCs w:val="28"/>
          <w:rtl/>
          <w:lang w:bidi="fa-IR"/>
        </w:rPr>
        <w:t>إِلَّا</w:t>
      </w:r>
      <w:r w:rsidRPr="0067048A">
        <w:rPr>
          <w:rFonts w:ascii="KFGQPC Uthmanic Script HAFS" w:cs="KFGQPC Uthmanic Script HAFS"/>
          <w:sz w:val="28"/>
          <w:szCs w:val="28"/>
          <w:rtl/>
          <w:lang w:bidi="fa-IR"/>
        </w:rPr>
        <w:t xml:space="preserve"> </w:t>
      </w:r>
      <w:r w:rsidRPr="0067048A">
        <w:rPr>
          <w:rFonts w:ascii="KFGQPC Uthmanic Script HAFS" w:cs="KFGQPC Uthmanic Script HAFS" w:hint="eastAsia"/>
          <w:sz w:val="28"/>
          <w:szCs w:val="28"/>
          <w:rtl/>
          <w:lang w:bidi="fa-IR"/>
        </w:rPr>
        <w:t>ذِك</w:t>
      </w:r>
      <w:r w:rsidRPr="0067048A">
        <w:rPr>
          <w:rFonts w:ascii="KFGQPC Uthmanic Script HAFS" w:cs="KFGQPC Uthmanic Script HAFS" w:hint="cs"/>
          <w:sz w:val="28"/>
          <w:szCs w:val="28"/>
          <w:rtl/>
          <w:lang w:bidi="fa-IR"/>
        </w:rPr>
        <w:t>ۡ</w:t>
      </w:r>
      <w:r w:rsidRPr="0067048A">
        <w:rPr>
          <w:rFonts w:ascii="KFGQPC Uthmanic Script HAFS" w:cs="KFGQPC Uthmanic Script HAFS" w:hint="eastAsia"/>
          <w:sz w:val="28"/>
          <w:szCs w:val="28"/>
          <w:rtl/>
          <w:lang w:bidi="fa-IR"/>
        </w:rPr>
        <w:t>ر</w:t>
      </w:r>
      <w:r w:rsidRPr="0067048A">
        <w:rPr>
          <w:rFonts w:ascii="KFGQPC Uthmanic Script HAFS" w:cs="KFGQPC Uthmanic Script HAFS" w:hint="cs"/>
          <w:sz w:val="28"/>
          <w:szCs w:val="28"/>
          <w:rtl/>
          <w:lang w:bidi="fa-IR"/>
        </w:rPr>
        <w:t>ٞ</w:t>
      </w:r>
      <w:r w:rsidRPr="0067048A">
        <w:rPr>
          <w:rFonts w:ascii="KFGQPC Uthmanic Script HAFS" w:cs="KFGQPC Uthmanic Script HAFS"/>
          <w:sz w:val="28"/>
          <w:szCs w:val="28"/>
          <w:rtl/>
          <w:lang w:bidi="fa-IR"/>
        </w:rPr>
        <w:t xml:space="preserve"> </w:t>
      </w:r>
      <w:r w:rsidRPr="0067048A">
        <w:rPr>
          <w:rFonts w:ascii="KFGQPC Uthmanic Script HAFS" w:cs="KFGQPC Uthmanic Script HAFS" w:hint="eastAsia"/>
          <w:sz w:val="28"/>
          <w:szCs w:val="28"/>
          <w:rtl/>
          <w:lang w:bidi="fa-IR"/>
        </w:rPr>
        <w:t>لِّل</w:t>
      </w:r>
      <w:r w:rsidRPr="0067048A">
        <w:rPr>
          <w:rFonts w:ascii="KFGQPC Uthmanic Script HAFS" w:cs="KFGQPC Uthmanic Script HAFS" w:hint="cs"/>
          <w:sz w:val="28"/>
          <w:szCs w:val="28"/>
          <w:rtl/>
          <w:lang w:bidi="fa-IR"/>
        </w:rPr>
        <w:t>ۡ</w:t>
      </w:r>
      <w:r w:rsidRPr="0067048A">
        <w:rPr>
          <w:rFonts w:ascii="KFGQPC Uthmanic Script HAFS" w:cs="KFGQPC Uthmanic Script HAFS" w:hint="eastAsia"/>
          <w:sz w:val="28"/>
          <w:szCs w:val="28"/>
          <w:rtl/>
          <w:lang w:bidi="fa-IR"/>
        </w:rPr>
        <w:t>عَ</w:t>
      </w:r>
      <w:r w:rsidRPr="0067048A">
        <w:rPr>
          <w:rFonts w:ascii="KFGQPC Uthmanic Script HAFS" w:cs="KFGQPC Uthmanic Script HAFS" w:hint="cs"/>
          <w:sz w:val="28"/>
          <w:szCs w:val="28"/>
          <w:rtl/>
          <w:lang w:bidi="fa-IR"/>
        </w:rPr>
        <w:t>ٰ</w:t>
      </w:r>
      <w:r w:rsidRPr="0067048A">
        <w:rPr>
          <w:rFonts w:ascii="KFGQPC Uthmanic Script HAFS" w:cs="KFGQPC Uthmanic Script HAFS" w:hint="eastAsia"/>
          <w:sz w:val="28"/>
          <w:szCs w:val="28"/>
          <w:rtl/>
          <w:lang w:bidi="fa-IR"/>
        </w:rPr>
        <w:t>لَمِينَ</w:t>
      </w:r>
      <w:r w:rsidRPr="00995B26">
        <w:rPr>
          <w:rFonts w:cs="Traditional Arabic" w:hint="cs"/>
          <w:sz w:val="28"/>
          <w:rtl/>
        </w:rPr>
        <w:t>﴾</w:t>
      </w:r>
      <w:r w:rsidR="005C664D" w:rsidRPr="003F3B94">
        <w:rPr>
          <w:rFonts w:hint="cs"/>
          <w:sz w:val="28"/>
          <w:rtl/>
        </w:rPr>
        <w:t xml:space="preserve"> </w:t>
      </w:r>
      <w:r w:rsidR="005C664D" w:rsidRPr="003108CB">
        <w:rPr>
          <w:rStyle w:val="Char2"/>
          <w:rtl/>
        </w:rPr>
        <w:t>[ص</w:t>
      </w:r>
      <w:r w:rsidRPr="003108CB">
        <w:rPr>
          <w:rStyle w:val="Char2"/>
          <w:rFonts w:hint="cs"/>
          <w:rtl/>
        </w:rPr>
        <w:t xml:space="preserve">: </w:t>
      </w:r>
      <w:r w:rsidR="005C664D" w:rsidRPr="003108CB">
        <w:rPr>
          <w:rStyle w:val="Char2"/>
          <w:rtl/>
        </w:rPr>
        <w:t>86</w:t>
      </w:r>
      <w:r w:rsidR="00217AB4" w:rsidRPr="003108CB">
        <w:rPr>
          <w:rStyle w:val="Char2"/>
          <w:rFonts w:hint="cs"/>
          <w:rtl/>
        </w:rPr>
        <w:t>-</w:t>
      </w:r>
      <w:r w:rsidR="005C664D" w:rsidRPr="003108CB">
        <w:rPr>
          <w:rStyle w:val="Char2"/>
          <w:rtl/>
        </w:rPr>
        <w:t>87]</w:t>
      </w:r>
    </w:p>
    <w:p w:rsidR="005C664D" w:rsidRPr="003F3B94" w:rsidRDefault="005C664D" w:rsidP="000E2C23">
      <w:pPr>
        <w:pStyle w:val="a0"/>
        <w:ind w:left="624" w:hanging="340"/>
        <w:rPr>
          <w:rFonts w:hint="cs"/>
          <w:rtl/>
        </w:rPr>
      </w:pPr>
      <w:r w:rsidRPr="003F3B94">
        <w:rPr>
          <w:rFonts w:hint="cs"/>
          <w:sz w:val="28"/>
          <w:rtl/>
        </w:rPr>
        <w:t>4</w:t>
      </w:r>
      <w:r w:rsidR="00217AB4" w:rsidRPr="003F3B94">
        <w:rPr>
          <w:rFonts w:hint="cs"/>
          <w:sz w:val="28"/>
          <w:rtl/>
        </w:rPr>
        <w:t>-</w:t>
      </w:r>
      <w:r w:rsidRPr="003F3B94">
        <w:rPr>
          <w:rFonts w:hint="cs"/>
          <w:sz w:val="28"/>
          <w:rtl/>
        </w:rPr>
        <w:t xml:space="preserve"> ويقول تعالى أيضاً في سورة المؤمنون الآية 72</w:t>
      </w:r>
      <w:r w:rsidR="00217AB4" w:rsidRPr="003F3B94">
        <w:rPr>
          <w:rFonts w:hint="cs"/>
          <w:sz w:val="28"/>
          <w:rtl/>
        </w:rPr>
        <w:t>:</w:t>
      </w:r>
    </w:p>
    <w:p w:rsidR="005C664D" w:rsidRPr="003F3B94" w:rsidRDefault="00D739EA" w:rsidP="000E2C23">
      <w:pPr>
        <w:pStyle w:val="a0"/>
        <w:ind w:left="624" w:firstLine="0"/>
        <w:rPr>
          <w:rFonts w:hint="cs"/>
          <w:rtl/>
        </w:rPr>
      </w:pPr>
      <w:r w:rsidRPr="00995B26">
        <w:rPr>
          <w:rFonts w:cs="Traditional Arabic" w:hint="cs"/>
          <w:sz w:val="28"/>
          <w:rtl/>
        </w:rPr>
        <w:t>﴿</w:t>
      </w:r>
      <w:r w:rsidRPr="0067048A">
        <w:rPr>
          <w:rFonts w:ascii="KFGQPC Uthmanic Script HAFS" w:cs="KFGQPC Uthmanic Script HAFS" w:hint="eastAsia"/>
          <w:sz w:val="28"/>
          <w:szCs w:val="28"/>
          <w:rtl/>
        </w:rPr>
        <w:t>أَم</w:t>
      </w:r>
      <w:r w:rsidRPr="0067048A">
        <w:rPr>
          <w:rFonts w:ascii="KFGQPC Uthmanic Script HAFS" w:cs="KFGQPC Uthmanic Script HAFS" w:hint="cs"/>
          <w:sz w:val="28"/>
          <w:szCs w:val="28"/>
          <w:rtl/>
        </w:rPr>
        <w:t>ۡ</w:t>
      </w:r>
      <w:r w:rsidRPr="0067048A">
        <w:rPr>
          <w:rFonts w:ascii="KFGQPC Uthmanic Script HAFS" w:cs="KFGQPC Uthmanic Script HAFS"/>
          <w:sz w:val="28"/>
          <w:szCs w:val="28"/>
          <w:rtl/>
        </w:rPr>
        <w:t xml:space="preserve"> </w:t>
      </w:r>
      <w:r w:rsidRPr="0067048A">
        <w:rPr>
          <w:rFonts w:ascii="KFGQPC Uthmanic Script HAFS" w:cs="KFGQPC Uthmanic Script HAFS" w:hint="eastAsia"/>
          <w:sz w:val="28"/>
          <w:szCs w:val="28"/>
          <w:rtl/>
        </w:rPr>
        <w:t>تَس</w:t>
      </w:r>
      <w:r w:rsidRPr="0067048A">
        <w:rPr>
          <w:rFonts w:ascii="KFGQPC Uthmanic Script HAFS" w:cs="KFGQPC Uthmanic Script HAFS" w:hint="cs"/>
          <w:sz w:val="28"/>
          <w:szCs w:val="28"/>
          <w:rtl/>
        </w:rPr>
        <w:t>ۡ</w:t>
      </w:r>
      <w:r w:rsidRPr="0067048A">
        <w:rPr>
          <w:rFonts w:ascii="KFGQPC Uthmanic Script HAFS" w:cs="KFGQPC Uthmanic Script HAFS" w:hint="eastAsia"/>
          <w:sz w:val="28"/>
          <w:szCs w:val="28"/>
          <w:rtl/>
        </w:rPr>
        <w:t>‍</w:t>
      </w:r>
      <w:r w:rsidRPr="0067048A">
        <w:rPr>
          <w:rFonts w:ascii="KFGQPC Uthmanic Script HAFS" w:cs="KFGQPC Uthmanic Script HAFS" w:hint="cs"/>
          <w:sz w:val="28"/>
          <w:szCs w:val="28"/>
          <w:rtl/>
        </w:rPr>
        <w:t>ٔ</w:t>
      </w:r>
      <w:r w:rsidRPr="0067048A">
        <w:rPr>
          <w:rFonts w:ascii="KFGQPC Uthmanic Script HAFS" w:cs="KFGQPC Uthmanic Script HAFS" w:hint="eastAsia"/>
          <w:sz w:val="28"/>
          <w:szCs w:val="28"/>
          <w:rtl/>
        </w:rPr>
        <w:t>َلُهُم</w:t>
      </w:r>
      <w:r w:rsidRPr="0067048A">
        <w:rPr>
          <w:rFonts w:ascii="KFGQPC Uthmanic Script HAFS" w:cs="KFGQPC Uthmanic Script HAFS" w:hint="cs"/>
          <w:sz w:val="28"/>
          <w:szCs w:val="28"/>
          <w:rtl/>
        </w:rPr>
        <w:t>ۡ</w:t>
      </w:r>
      <w:r w:rsidRPr="0067048A">
        <w:rPr>
          <w:rFonts w:ascii="KFGQPC Uthmanic Script HAFS" w:cs="KFGQPC Uthmanic Script HAFS"/>
          <w:sz w:val="28"/>
          <w:szCs w:val="28"/>
          <w:rtl/>
        </w:rPr>
        <w:t xml:space="preserve"> </w:t>
      </w:r>
      <w:r w:rsidRPr="0067048A">
        <w:rPr>
          <w:rFonts w:ascii="KFGQPC Uthmanic Script HAFS" w:cs="KFGQPC Uthmanic Script HAFS" w:hint="eastAsia"/>
          <w:sz w:val="28"/>
          <w:szCs w:val="28"/>
          <w:rtl/>
        </w:rPr>
        <w:t>خَر</w:t>
      </w:r>
      <w:r w:rsidRPr="0067048A">
        <w:rPr>
          <w:rFonts w:ascii="KFGQPC Uthmanic Script HAFS" w:cs="KFGQPC Uthmanic Script HAFS" w:hint="cs"/>
          <w:sz w:val="28"/>
          <w:szCs w:val="28"/>
          <w:rtl/>
        </w:rPr>
        <w:t>ۡ</w:t>
      </w:r>
      <w:r w:rsidRPr="0067048A">
        <w:rPr>
          <w:rFonts w:ascii="KFGQPC Uthmanic Script HAFS" w:cs="KFGQPC Uthmanic Script HAFS" w:hint="eastAsia"/>
          <w:sz w:val="28"/>
          <w:szCs w:val="28"/>
          <w:rtl/>
        </w:rPr>
        <w:t>ج</w:t>
      </w:r>
      <w:r w:rsidRPr="0067048A">
        <w:rPr>
          <w:rFonts w:ascii="KFGQPC Uthmanic Script HAFS" w:cs="KFGQPC Uthmanic Script HAFS" w:hint="cs"/>
          <w:sz w:val="28"/>
          <w:szCs w:val="28"/>
          <w:rtl/>
        </w:rPr>
        <w:t>ٗ</w:t>
      </w:r>
      <w:r w:rsidRPr="0067048A">
        <w:rPr>
          <w:rFonts w:ascii="KFGQPC Uthmanic Script HAFS" w:cs="KFGQPC Uthmanic Script HAFS" w:hint="eastAsia"/>
          <w:sz w:val="28"/>
          <w:szCs w:val="28"/>
          <w:rtl/>
        </w:rPr>
        <w:t>ا</w:t>
      </w:r>
      <w:r w:rsidRPr="0067048A">
        <w:rPr>
          <w:rFonts w:ascii="KFGQPC Uthmanic Script HAFS" w:cs="KFGQPC Uthmanic Script HAFS"/>
          <w:sz w:val="28"/>
          <w:szCs w:val="28"/>
          <w:rtl/>
        </w:rPr>
        <w:t xml:space="preserve"> </w:t>
      </w:r>
      <w:r w:rsidRPr="0067048A">
        <w:rPr>
          <w:rFonts w:ascii="KFGQPC Uthmanic Script HAFS" w:cs="KFGQPC Uthmanic Script HAFS" w:hint="eastAsia"/>
          <w:sz w:val="28"/>
          <w:szCs w:val="28"/>
          <w:rtl/>
        </w:rPr>
        <w:t>فَخَرَاجُ</w:t>
      </w:r>
      <w:r w:rsidRPr="0067048A">
        <w:rPr>
          <w:rFonts w:ascii="KFGQPC Uthmanic Script HAFS" w:cs="KFGQPC Uthmanic Script HAFS"/>
          <w:sz w:val="28"/>
          <w:szCs w:val="28"/>
          <w:rtl/>
        </w:rPr>
        <w:t xml:space="preserve"> </w:t>
      </w:r>
      <w:r w:rsidRPr="0067048A">
        <w:rPr>
          <w:rFonts w:ascii="KFGQPC Uthmanic Script HAFS" w:cs="KFGQPC Uthmanic Script HAFS" w:hint="eastAsia"/>
          <w:sz w:val="28"/>
          <w:szCs w:val="28"/>
          <w:rtl/>
        </w:rPr>
        <w:t>رَبِّكَ</w:t>
      </w:r>
      <w:r w:rsidRPr="0067048A">
        <w:rPr>
          <w:rFonts w:ascii="KFGQPC Uthmanic Script HAFS" w:cs="KFGQPC Uthmanic Script HAFS"/>
          <w:sz w:val="28"/>
          <w:szCs w:val="28"/>
          <w:rtl/>
        </w:rPr>
        <w:t xml:space="preserve"> </w:t>
      </w:r>
      <w:r w:rsidRPr="0067048A">
        <w:rPr>
          <w:rFonts w:ascii="KFGQPC Uthmanic Script HAFS" w:cs="KFGQPC Uthmanic Script HAFS" w:hint="eastAsia"/>
          <w:sz w:val="28"/>
          <w:szCs w:val="28"/>
          <w:rtl/>
        </w:rPr>
        <w:t>خَي</w:t>
      </w:r>
      <w:r w:rsidRPr="0067048A">
        <w:rPr>
          <w:rFonts w:ascii="KFGQPC Uthmanic Script HAFS" w:cs="KFGQPC Uthmanic Script HAFS" w:hint="cs"/>
          <w:sz w:val="28"/>
          <w:szCs w:val="28"/>
          <w:rtl/>
        </w:rPr>
        <w:t>ۡ</w:t>
      </w:r>
      <w:r w:rsidRPr="0067048A">
        <w:rPr>
          <w:rFonts w:ascii="KFGQPC Uthmanic Script HAFS" w:cs="KFGQPC Uthmanic Script HAFS" w:hint="eastAsia"/>
          <w:sz w:val="28"/>
          <w:szCs w:val="28"/>
          <w:rtl/>
        </w:rPr>
        <w:t>ر</w:t>
      </w:r>
      <w:r w:rsidRPr="0067048A">
        <w:rPr>
          <w:rFonts w:ascii="KFGQPC Uthmanic Script HAFS" w:cs="KFGQPC Uthmanic Script HAFS" w:hint="cs"/>
          <w:sz w:val="28"/>
          <w:szCs w:val="28"/>
          <w:rtl/>
        </w:rPr>
        <w:t>ٞۖ</w:t>
      </w:r>
      <w:r w:rsidRPr="0067048A">
        <w:rPr>
          <w:rFonts w:ascii="KFGQPC Uthmanic Script HAFS" w:cs="KFGQPC Uthmanic Script HAFS"/>
          <w:sz w:val="28"/>
          <w:szCs w:val="28"/>
          <w:rtl/>
        </w:rPr>
        <w:t xml:space="preserve"> </w:t>
      </w:r>
      <w:r w:rsidRPr="0067048A">
        <w:rPr>
          <w:rFonts w:ascii="KFGQPC Uthmanic Script HAFS" w:cs="KFGQPC Uthmanic Script HAFS" w:hint="eastAsia"/>
          <w:sz w:val="28"/>
          <w:szCs w:val="28"/>
          <w:rtl/>
        </w:rPr>
        <w:t>وَهُوَ</w:t>
      </w:r>
      <w:r w:rsidRPr="0067048A">
        <w:rPr>
          <w:rFonts w:ascii="KFGQPC Uthmanic Script HAFS" w:cs="KFGQPC Uthmanic Script HAFS"/>
          <w:sz w:val="28"/>
          <w:szCs w:val="28"/>
          <w:rtl/>
        </w:rPr>
        <w:t xml:space="preserve"> </w:t>
      </w:r>
      <w:r w:rsidRPr="0067048A">
        <w:rPr>
          <w:rFonts w:ascii="KFGQPC Uthmanic Script HAFS" w:cs="KFGQPC Uthmanic Script HAFS" w:hint="eastAsia"/>
          <w:sz w:val="28"/>
          <w:szCs w:val="28"/>
          <w:rtl/>
        </w:rPr>
        <w:t>خَي</w:t>
      </w:r>
      <w:r w:rsidRPr="0067048A">
        <w:rPr>
          <w:rFonts w:ascii="KFGQPC Uthmanic Script HAFS" w:cs="KFGQPC Uthmanic Script HAFS" w:hint="cs"/>
          <w:sz w:val="28"/>
          <w:szCs w:val="28"/>
          <w:rtl/>
        </w:rPr>
        <w:t>ۡ</w:t>
      </w:r>
      <w:r w:rsidRPr="0067048A">
        <w:rPr>
          <w:rFonts w:ascii="KFGQPC Uthmanic Script HAFS" w:cs="KFGQPC Uthmanic Script HAFS" w:hint="eastAsia"/>
          <w:sz w:val="28"/>
          <w:szCs w:val="28"/>
          <w:rtl/>
        </w:rPr>
        <w:t>رُ</w:t>
      </w:r>
      <w:r w:rsidRPr="0067048A">
        <w:rPr>
          <w:rFonts w:ascii="KFGQPC Uthmanic Script HAFS" w:cs="KFGQPC Uthmanic Script HAFS"/>
          <w:sz w:val="28"/>
          <w:szCs w:val="28"/>
          <w:rtl/>
        </w:rPr>
        <w:t xml:space="preserve"> </w:t>
      </w:r>
      <w:r w:rsidRPr="0067048A">
        <w:rPr>
          <w:rFonts w:ascii="KFGQPC Uthmanic Script HAFS" w:cs="KFGQPC Uthmanic Script HAFS" w:hint="cs"/>
          <w:sz w:val="28"/>
          <w:szCs w:val="28"/>
          <w:rtl/>
        </w:rPr>
        <w:t>ٱ</w:t>
      </w:r>
      <w:r w:rsidRPr="0067048A">
        <w:rPr>
          <w:rFonts w:ascii="KFGQPC Uthmanic Script HAFS" w:cs="KFGQPC Uthmanic Script HAFS" w:hint="eastAsia"/>
          <w:sz w:val="28"/>
          <w:szCs w:val="28"/>
          <w:rtl/>
        </w:rPr>
        <w:t>لرَّ</w:t>
      </w:r>
      <w:r w:rsidRPr="0067048A">
        <w:rPr>
          <w:rFonts w:ascii="KFGQPC Uthmanic Script HAFS" w:cs="KFGQPC Uthmanic Script HAFS" w:hint="cs"/>
          <w:sz w:val="28"/>
          <w:szCs w:val="28"/>
          <w:rtl/>
        </w:rPr>
        <w:t>ٰ</w:t>
      </w:r>
      <w:r w:rsidRPr="0067048A">
        <w:rPr>
          <w:rFonts w:ascii="KFGQPC Uthmanic Script HAFS" w:cs="KFGQPC Uthmanic Script HAFS" w:hint="eastAsia"/>
          <w:sz w:val="28"/>
          <w:szCs w:val="28"/>
          <w:rtl/>
        </w:rPr>
        <w:t>زِقِينَ</w:t>
      </w:r>
      <w:r w:rsidRPr="00995B26">
        <w:rPr>
          <w:rFonts w:cs="Traditional Arabic" w:hint="cs"/>
          <w:sz w:val="28"/>
          <w:rtl/>
        </w:rPr>
        <w:t>﴾</w:t>
      </w:r>
      <w:r w:rsidR="005C664D" w:rsidRPr="003F3B94">
        <w:rPr>
          <w:rFonts w:hint="cs"/>
          <w:sz w:val="28"/>
          <w:rtl/>
        </w:rPr>
        <w:t xml:space="preserve"> </w:t>
      </w:r>
      <w:r w:rsidR="005C664D" w:rsidRPr="003108CB">
        <w:rPr>
          <w:rStyle w:val="Char2"/>
          <w:rtl/>
        </w:rPr>
        <w:t>[المؤمنون</w:t>
      </w:r>
      <w:r w:rsidRPr="003108CB">
        <w:rPr>
          <w:rStyle w:val="Char2"/>
          <w:rFonts w:hint="cs"/>
          <w:rtl/>
        </w:rPr>
        <w:t xml:space="preserve">: </w:t>
      </w:r>
      <w:r w:rsidR="005C664D" w:rsidRPr="003108CB">
        <w:rPr>
          <w:rStyle w:val="Char2"/>
          <w:rtl/>
        </w:rPr>
        <w:t>72]</w:t>
      </w:r>
    </w:p>
    <w:p w:rsidR="005C664D" w:rsidRPr="003F3B94" w:rsidRDefault="005C664D" w:rsidP="000E2C23">
      <w:pPr>
        <w:pStyle w:val="a0"/>
        <w:ind w:left="624" w:hanging="340"/>
        <w:rPr>
          <w:rFonts w:hint="cs"/>
          <w:rtl/>
        </w:rPr>
      </w:pPr>
      <w:r w:rsidRPr="003F3B94">
        <w:rPr>
          <w:rFonts w:hint="cs"/>
          <w:sz w:val="28"/>
          <w:rtl/>
        </w:rPr>
        <w:t>5</w:t>
      </w:r>
      <w:r w:rsidR="00217AB4" w:rsidRPr="003F3B94">
        <w:rPr>
          <w:rFonts w:hint="cs"/>
          <w:sz w:val="28"/>
          <w:rtl/>
        </w:rPr>
        <w:t>-</w:t>
      </w:r>
      <w:r w:rsidRPr="003F3B94">
        <w:rPr>
          <w:rFonts w:hint="cs"/>
          <w:sz w:val="28"/>
          <w:rtl/>
        </w:rPr>
        <w:t xml:space="preserve"> وفي الآية 40 من سورة الطور</w:t>
      </w:r>
      <w:r w:rsidR="00217AB4" w:rsidRPr="003F3B94">
        <w:rPr>
          <w:rFonts w:hint="cs"/>
          <w:sz w:val="28"/>
          <w:rtl/>
        </w:rPr>
        <w:t>،</w:t>
      </w:r>
      <w:r w:rsidRPr="003F3B94">
        <w:rPr>
          <w:rFonts w:hint="cs"/>
          <w:sz w:val="28"/>
          <w:rtl/>
        </w:rPr>
        <w:t xml:space="preserve"> يكرِّرُ تعالى هذا المعنى في معرض تأنيبه وتقريعه لمن أعرضوا عن قبول رسالة النبي</w:t>
      </w:r>
      <w:r w:rsidR="00147857" w:rsidRPr="003F3B94">
        <w:rPr>
          <w:rFonts w:hint="cs"/>
          <w:sz w:val="28"/>
          <w:rtl/>
        </w:rPr>
        <w:t xml:space="preserve"> </w:t>
      </w:r>
      <w:r w:rsidR="003C7AEB" w:rsidRPr="003C7AEB">
        <w:rPr>
          <w:rFonts w:ascii="Abo-thar" w:hAnsi="Abo-thar" w:cs="CTraditional Arabic"/>
          <w:sz w:val="28"/>
          <w:rtl/>
        </w:rPr>
        <w:t>ص</w:t>
      </w:r>
      <w:r w:rsidR="00147857" w:rsidRPr="003F3B94">
        <w:rPr>
          <w:rFonts w:ascii="Abo-thar" w:hAnsi="Abo-thar"/>
          <w:sz w:val="28"/>
          <w:rtl/>
        </w:rPr>
        <w:t xml:space="preserve"> </w:t>
      </w:r>
      <w:r w:rsidRPr="003F3B94">
        <w:rPr>
          <w:rFonts w:hint="cs"/>
          <w:sz w:val="28"/>
          <w:rtl/>
        </w:rPr>
        <w:t>فيقول</w:t>
      </w:r>
      <w:r w:rsidR="00217AB4" w:rsidRPr="003F3B94">
        <w:rPr>
          <w:rFonts w:hint="cs"/>
          <w:sz w:val="28"/>
          <w:rtl/>
        </w:rPr>
        <w:t>:</w:t>
      </w:r>
    </w:p>
    <w:p w:rsidR="005C664D" w:rsidRPr="003F3B94" w:rsidRDefault="00B06788" w:rsidP="000E2C23">
      <w:pPr>
        <w:pStyle w:val="a0"/>
        <w:ind w:left="624" w:firstLine="0"/>
        <w:rPr>
          <w:rFonts w:hint="cs"/>
          <w:rtl/>
        </w:rPr>
      </w:pPr>
      <w:r w:rsidRPr="00995B26">
        <w:rPr>
          <w:rFonts w:cs="Traditional Arabic" w:hint="cs"/>
          <w:sz w:val="28"/>
          <w:rtl/>
        </w:rPr>
        <w:t>﴿</w:t>
      </w:r>
      <w:r w:rsidRPr="0067048A">
        <w:rPr>
          <w:rFonts w:ascii="KFGQPC Uthmanic Script HAFS" w:cs="KFGQPC Uthmanic Script HAFS" w:hint="eastAsia"/>
          <w:sz w:val="28"/>
          <w:szCs w:val="28"/>
          <w:rtl/>
        </w:rPr>
        <w:t>أَم</w:t>
      </w:r>
      <w:r w:rsidRPr="0067048A">
        <w:rPr>
          <w:rFonts w:ascii="KFGQPC Uthmanic Script HAFS" w:cs="KFGQPC Uthmanic Script HAFS" w:hint="cs"/>
          <w:sz w:val="28"/>
          <w:szCs w:val="28"/>
          <w:rtl/>
        </w:rPr>
        <w:t>ۡ</w:t>
      </w:r>
      <w:r w:rsidRPr="0067048A">
        <w:rPr>
          <w:rFonts w:ascii="KFGQPC Uthmanic Script HAFS" w:cs="KFGQPC Uthmanic Script HAFS"/>
          <w:sz w:val="28"/>
          <w:szCs w:val="28"/>
          <w:rtl/>
        </w:rPr>
        <w:t xml:space="preserve"> </w:t>
      </w:r>
      <w:r w:rsidRPr="0067048A">
        <w:rPr>
          <w:rFonts w:ascii="KFGQPC Uthmanic Script HAFS" w:cs="KFGQPC Uthmanic Script HAFS" w:hint="eastAsia"/>
          <w:sz w:val="28"/>
          <w:szCs w:val="28"/>
          <w:rtl/>
        </w:rPr>
        <w:t>تَس</w:t>
      </w:r>
      <w:r w:rsidRPr="0067048A">
        <w:rPr>
          <w:rFonts w:ascii="KFGQPC Uthmanic Script HAFS" w:cs="KFGQPC Uthmanic Script HAFS" w:hint="cs"/>
          <w:sz w:val="28"/>
          <w:szCs w:val="28"/>
          <w:rtl/>
        </w:rPr>
        <w:t>ۡ</w:t>
      </w:r>
      <w:r w:rsidRPr="0067048A">
        <w:rPr>
          <w:rFonts w:ascii="KFGQPC Uthmanic Script HAFS" w:cs="KFGQPC Uthmanic Script HAFS" w:hint="eastAsia"/>
          <w:sz w:val="28"/>
          <w:szCs w:val="28"/>
          <w:rtl/>
        </w:rPr>
        <w:t>‍</w:t>
      </w:r>
      <w:r w:rsidRPr="0067048A">
        <w:rPr>
          <w:rFonts w:ascii="KFGQPC Uthmanic Script HAFS" w:cs="KFGQPC Uthmanic Script HAFS" w:hint="cs"/>
          <w:sz w:val="28"/>
          <w:szCs w:val="28"/>
          <w:rtl/>
        </w:rPr>
        <w:t>ٔ</w:t>
      </w:r>
      <w:r w:rsidRPr="0067048A">
        <w:rPr>
          <w:rFonts w:ascii="KFGQPC Uthmanic Script HAFS" w:cs="KFGQPC Uthmanic Script HAFS" w:hint="eastAsia"/>
          <w:sz w:val="28"/>
          <w:szCs w:val="28"/>
          <w:rtl/>
        </w:rPr>
        <w:t>َلُهُم</w:t>
      </w:r>
      <w:r w:rsidRPr="0067048A">
        <w:rPr>
          <w:rFonts w:ascii="KFGQPC Uthmanic Script HAFS" w:cs="KFGQPC Uthmanic Script HAFS" w:hint="cs"/>
          <w:sz w:val="28"/>
          <w:szCs w:val="28"/>
          <w:rtl/>
        </w:rPr>
        <w:t>ۡ</w:t>
      </w:r>
      <w:r w:rsidRPr="0067048A">
        <w:rPr>
          <w:rFonts w:ascii="KFGQPC Uthmanic Script HAFS" w:cs="KFGQPC Uthmanic Script HAFS"/>
          <w:sz w:val="28"/>
          <w:szCs w:val="28"/>
          <w:rtl/>
        </w:rPr>
        <w:t xml:space="preserve"> </w:t>
      </w:r>
      <w:r w:rsidRPr="0067048A">
        <w:rPr>
          <w:rFonts w:ascii="KFGQPC Uthmanic Script HAFS" w:cs="KFGQPC Uthmanic Script HAFS" w:hint="eastAsia"/>
          <w:sz w:val="28"/>
          <w:szCs w:val="28"/>
          <w:rtl/>
        </w:rPr>
        <w:t>أَج</w:t>
      </w:r>
      <w:r w:rsidRPr="0067048A">
        <w:rPr>
          <w:rFonts w:ascii="KFGQPC Uthmanic Script HAFS" w:cs="KFGQPC Uthmanic Script HAFS" w:hint="cs"/>
          <w:sz w:val="28"/>
          <w:szCs w:val="28"/>
          <w:rtl/>
        </w:rPr>
        <w:t>ۡ</w:t>
      </w:r>
      <w:r w:rsidRPr="0067048A">
        <w:rPr>
          <w:rFonts w:ascii="KFGQPC Uthmanic Script HAFS" w:cs="KFGQPC Uthmanic Script HAFS" w:hint="eastAsia"/>
          <w:sz w:val="28"/>
          <w:szCs w:val="28"/>
          <w:rtl/>
        </w:rPr>
        <w:t>ر</w:t>
      </w:r>
      <w:r w:rsidRPr="0067048A">
        <w:rPr>
          <w:rFonts w:ascii="KFGQPC Uthmanic Script HAFS" w:cs="KFGQPC Uthmanic Script HAFS" w:hint="cs"/>
          <w:sz w:val="28"/>
          <w:szCs w:val="28"/>
          <w:rtl/>
        </w:rPr>
        <w:t>ٗ</w:t>
      </w:r>
      <w:r w:rsidRPr="0067048A">
        <w:rPr>
          <w:rFonts w:ascii="KFGQPC Uthmanic Script HAFS" w:cs="KFGQPC Uthmanic Script HAFS" w:hint="eastAsia"/>
          <w:sz w:val="28"/>
          <w:szCs w:val="28"/>
          <w:rtl/>
        </w:rPr>
        <w:t>ا</w:t>
      </w:r>
      <w:r w:rsidRPr="0067048A">
        <w:rPr>
          <w:rFonts w:ascii="KFGQPC Uthmanic Script HAFS" w:cs="KFGQPC Uthmanic Script HAFS"/>
          <w:sz w:val="28"/>
          <w:szCs w:val="28"/>
          <w:rtl/>
        </w:rPr>
        <w:t xml:space="preserve"> </w:t>
      </w:r>
      <w:r w:rsidRPr="0067048A">
        <w:rPr>
          <w:rFonts w:ascii="KFGQPC Uthmanic Script HAFS" w:cs="KFGQPC Uthmanic Script HAFS" w:hint="eastAsia"/>
          <w:sz w:val="28"/>
          <w:szCs w:val="28"/>
          <w:rtl/>
        </w:rPr>
        <w:t>فَهُم</w:t>
      </w:r>
      <w:r w:rsidRPr="0067048A">
        <w:rPr>
          <w:rFonts w:ascii="KFGQPC Uthmanic Script HAFS" w:cs="KFGQPC Uthmanic Script HAFS"/>
          <w:sz w:val="28"/>
          <w:szCs w:val="28"/>
          <w:rtl/>
        </w:rPr>
        <w:t xml:space="preserve"> </w:t>
      </w:r>
      <w:r w:rsidRPr="0067048A">
        <w:rPr>
          <w:rFonts w:ascii="KFGQPC Uthmanic Script HAFS" w:cs="KFGQPC Uthmanic Script HAFS" w:hint="eastAsia"/>
          <w:sz w:val="28"/>
          <w:szCs w:val="28"/>
          <w:rtl/>
        </w:rPr>
        <w:t>مِّن</w:t>
      </w:r>
      <w:r w:rsidRPr="0067048A">
        <w:rPr>
          <w:rFonts w:ascii="KFGQPC Uthmanic Script HAFS" w:cs="KFGQPC Uthmanic Script HAFS"/>
          <w:sz w:val="28"/>
          <w:szCs w:val="28"/>
          <w:rtl/>
        </w:rPr>
        <w:t xml:space="preserve"> </w:t>
      </w:r>
      <w:r w:rsidRPr="0067048A">
        <w:rPr>
          <w:rFonts w:ascii="KFGQPC Uthmanic Script HAFS" w:cs="KFGQPC Uthmanic Script HAFS" w:hint="eastAsia"/>
          <w:sz w:val="28"/>
          <w:szCs w:val="28"/>
          <w:rtl/>
        </w:rPr>
        <w:t>مَّغ</w:t>
      </w:r>
      <w:r w:rsidRPr="0067048A">
        <w:rPr>
          <w:rFonts w:ascii="KFGQPC Uthmanic Script HAFS" w:cs="KFGQPC Uthmanic Script HAFS" w:hint="cs"/>
          <w:sz w:val="28"/>
          <w:szCs w:val="28"/>
          <w:rtl/>
        </w:rPr>
        <w:t>ۡ</w:t>
      </w:r>
      <w:r w:rsidRPr="0067048A">
        <w:rPr>
          <w:rFonts w:ascii="KFGQPC Uthmanic Script HAFS" w:cs="KFGQPC Uthmanic Script HAFS" w:hint="eastAsia"/>
          <w:sz w:val="28"/>
          <w:szCs w:val="28"/>
          <w:rtl/>
        </w:rPr>
        <w:t>رَم</w:t>
      </w:r>
      <w:r w:rsidRPr="0067048A">
        <w:rPr>
          <w:rFonts w:ascii="KFGQPC Uthmanic Script HAFS" w:cs="KFGQPC Uthmanic Script HAFS" w:hint="cs"/>
          <w:sz w:val="28"/>
          <w:szCs w:val="28"/>
          <w:rtl/>
        </w:rPr>
        <w:t>ٖ</w:t>
      </w:r>
      <w:r w:rsidRPr="0067048A">
        <w:rPr>
          <w:rFonts w:ascii="KFGQPC Uthmanic Script HAFS" w:cs="KFGQPC Uthmanic Script HAFS"/>
          <w:sz w:val="28"/>
          <w:szCs w:val="28"/>
          <w:rtl/>
        </w:rPr>
        <w:t xml:space="preserve"> </w:t>
      </w:r>
      <w:r w:rsidRPr="0067048A">
        <w:rPr>
          <w:rFonts w:ascii="KFGQPC Uthmanic Script HAFS" w:cs="KFGQPC Uthmanic Script HAFS" w:hint="eastAsia"/>
          <w:sz w:val="28"/>
          <w:szCs w:val="28"/>
          <w:rtl/>
        </w:rPr>
        <w:t>مُّث</w:t>
      </w:r>
      <w:r w:rsidRPr="0067048A">
        <w:rPr>
          <w:rFonts w:ascii="KFGQPC Uthmanic Script HAFS" w:cs="KFGQPC Uthmanic Script HAFS" w:hint="cs"/>
          <w:sz w:val="28"/>
          <w:szCs w:val="28"/>
          <w:rtl/>
        </w:rPr>
        <w:t>ۡ</w:t>
      </w:r>
      <w:r w:rsidRPr="0067048A">
        <w:rPr>
          <w:rFonts w:ascii="KFGQPC Uthmanic Script HAFS" w:cs="KFGQPC Uthmanic Script HAFS" w:hint="eastAsia"/>
          <w:sz w:val="28"/>
          <w:szCs w:val="28"/>
          <w:rtl/>
        </w:rPr>
        <w:t>قَلُونَ</w:t>
      </w:r>
      <w:r w:rsidRPr="00995B26">
        <w:rPr>
          <w:rFonts w:cs="Traditional Arabic" w:hint="cs"/>
          <w:sz w:val="28"/>
          <w:rtl/>
        </w:rPr>
        <w:t>﴾</w:t>
      </w:r>
      <w:r w:rsidR="005C664D" w:rsidRPr="003F3B94">
        <w:rPr>
          <w:rFonts w:hint="cs"/>
          <w:sz w:val="28"/>
          <w:rtl/>
        </w:rPr>
        <w:t xml:space="preserve"> </w:t>
      </w:r>
      <w:r w:rsidR="005C664D" w:rsidRPr="003108CB">
        <w:rPr>
          <w:rStyle w:val="Char2"/>
          <w:rtl/>
        </w:rPr>
        <w:t>[الطور</w:t>
      </w:r>
      <w:r w:rsidRPr="003108CB">
        <w:rPr>
          <w:rStyle w:val="Char2"/>
          <w:rFonts w:hint="cs"/>
          <w:rtl/>
        </w:rPr>
        <w:t xml:space="preserve">: </w:t>
      </w:r>
      <w:r w:rsidR="005C664D" w:rsidRPr="003108CB">
        <w:rPr>
          <w:rStyle w:val="Char2"/>
          <w:rtl/>
        </w:rPr>
        <w:t>40]</w:t>
      </w:r>
    </w:p>
    <w:p w:rsidR="005C664D" w:rsidRPr="003F3B94" w:rsidRDefault="005C664D" w:rsidP="000E2C23">
      <w:pPr>
        <w:pStyle w:val="a0"/>
        <w:ind w:left="624" w:hanging="340"/>
        <w:rPr>
          <w:rFonts w:hint="cs"/>
          <w:rtl/>
        </w:rPr>
      </w:pPr>
      <w:r w:rsidRPr="003F3B94">
        <w:rPr>
          <w:rFonts w:hint="cs"/>
          <w:sz w:val="28"/>
          <w:rtl/>
        </w:rPr>
        <w:t>6</w:t>
      </w:r>
      <w:r w:rsidR="00217AB4" w:rsidRPr="003F3B94">
        <w:rPr>
          <w:rFonts w:hint="cs"/>
          <w:sz w:val="28"/>
          <w:rtl/>
        </w:rPr>
        <w:t>-</w:t>
      </w:r>
      <w:r w:rsidRPr="003F3B94">
        <w:rPr>
          <w:rFonts w:hint="cs"/>
          <w:sz w:val="28"/>
          <w:rtl/>
        </w:rPr>
        <w:t xml:space="preserve"> ويقول تعالى أيضاً في سورة الفرقان</w:t>
      </w:r>
      <w:r w:rsidR="00217AB4" w:rsidRPr="003F3B94">
        <w:rPr>
          <w:rFonts w:hint="cs"/>
          <w:sz w:val="28"/>
          <w:rtl/>
        </w:rPr>
        <w:t>:</w:t>
      </w:r>
    </w:p>
    <w:p w:rsidR="005C664D" w:rsidRPr="003F3B94" w:rsidRDefault="00B06788" w:rsidP="000E2C23">
      <w:pPr>
        <w:pStyle w:val="a0"/>
        <w:ind w:left="624" w:firstLine="0"/>
        <w:rPr>
          <w:rFonts w:hint="cs"/>
          <w:rtl/>
        </w:rPr>
      </w:pPr>
      <w:r w:rsidRPr="00995B26">
        <w:rPr>
          <w:rFonts w:cs="Traditional Arabic" w:hint="cs"/>
          <w:sz w:val="28"/>
          <w:rtl/>
        </w:rPr>
        <w:t>﴿</w:t>
      </w:r>
      <w:r w:rsidRPr="0067048A">
        <w:rPr>
          <w:rFonts w:ascii="KFGQPC Uthmanic Script HAFS" w:cs="KFGQPC Uthmanic Script HAFS" w:hint="eastAsia"/>
          <w:sz w:val="28"/>
          <w:szCs w:val="28"/>
          <w:rtl/>
          <w:lang w:bidi="fa-IR"/>
        </w:rPr>
        <w:t>وَمَا</w:t>
      </w:r>
      <w:r w:rsidRPr="0067048A">
        <w:rPr>
          <w:rFonts w:ascii="KFGQPC Uthmanic Script HAFS" w:cs="KFGQPC Uthmanic Script HAFS" w:hint="cs"/>
          <w:sz w:val="28"/>
          <w:szCs w:val="28"/>
          <w:rtl/>
          <w:lang w:bidi="fa-IR"/>
        </w:rPr>
        <w:t>ٓ</w:t>
      </w:r>
      <w:r w:rsidRPr="0067048A">
        <w:rPr>
          <w:rFonts w:ascii="KFGQPC Uthmanic Script HAFS" w:cs="KFGQPC Uthmanic Script HAFS"/>
          <w:sz w:val="28"/>
          <w:szCs w:val="28"/>
          <w:rtl/>
          <w:lang w:bidi="fa-IR"/>
        </w:rPr>
        <w:t xml:space="preserve"> </w:t>
      </w:r>
      <w:r w:rsidRPr="0067048A">
        <w:rPr>
          <w:rFonts w:ascii="KFGQPC Uthmanic Script HAFS" w:cs="KFGQPC Uthmanic Script HAFS" w:hint="eastAsia"/>
          <w:sz w:val="28"/>
          <w:szCs w:val="28"/>
          <w:rtl/>
          <w:lang w:bidi="fa-IR"/>
        </w:rPr>
        <w:t>أَر</w:t>
      </w:r>
      <w:r w:rsidRPr="0067048A">
        <w:rPr>
          <w:rFonts w:ascii="KFGQPC Uthmanic Script HAFS" w:cs="KFGQPC Uthmanic Script HAFS" w:hint="cs"/>
          <w:sz w:val="28"/>
          <w:szCs w:val="28"/>
          <w:rtl/>
          <w:lang w:bidi="fa-IR"/>
        </w:rPr>
        <w:t>ۡ</w:t>
      </w:r>
      <w:r w:rsidRPr="0067048A">
        <w:rPr>
          <w:rFonts w:ascii="KFGQPC Uthmanic Script HAFS" w:cs="KFGQPC Uthmanic Script HAFS" w:hint="eastAsia"/>
          <w:sz w:val="28"/>
          <w:szCs w:val="28"/>
          <w:rtl/>
          <w:lang w:bidi="fa-IR"/>
        </w:rPr>
        <w:t>سَل</w:t>
      </w:r>
      <w:r w:rsidRPr="0067048A">
        <w:rPr>
          <w:rFonts w:ascii="KFGQPC Uthmanic Script HAFS" w:cs="KFGQPC Uthmanic Script HAFS" w:hint="cs"/>
          <w:sz w:val="28"/>
          <w:szCs w:val="28"/>
          <w:rtl/>
          <w:lang w:bidi="fa-IR"/>
        </w:rPr>
        <w:t>ۡ</w:t>
      </w:r>
      <w:r w:rsidRPr="0067048A">
        <w:rPr>
          <w:rFonts w:ascii="KFGQPC Uthmanic Script HAFS" w:cs="KFGQPC Uthmanic Script HAFS" w:hint="eastAsia"/>
          <w:sz w:val="28"/>
          <w:szCs w:val="28"/>
          <w:rtl/>
          <w:lang w:bidi="fa-IR"/>
        </w:rPr>
        <w:t>نَ</w:t>
      </w:r>
      <w:r w:rsidRPr="0067048A">
        <w:rPr>
          <w:rFonts w:ascii="KFGQPC Uthmanic Script HAFS" w:cs="KFGQPC Uthmanic Script HAFS" w:hint="cs"/>
          <w:sz w:val="28"/>
          <w:szCs w:val="28"/>
          <w:rtl/>
          <w:lang w:bidi="fa-IR"/>
        </w:rPr>
        <w:t>ٰ</w:t>
      </w:r>
      <w:r w:rsidRPr="0067048A">
        <w:rPr>
          <w:rFonts w:ascii="KFGQPC Uthmanic Script HAFS" w:cs="KFGQPC Uthmanic Script HAFS" w:hint="eastAsia"/>
          <w:sz w:val="28"/>
          <w:szCs w:val="28"/>
          <w:rtl/>
          <w:lang w:bidi="fa-IR"/>
        </w:rPr>
        <w:t>كَ</w:t>
      </w:r>
      <w:r w:rsidRPr="0067048A">
        <w:rPr>
          <w:rFonts w:ascii="KFGQPC Uthmanic Script HAFS" w:cs="KFGQPC Uthmanic Script HAFS"/>
          <w:sz w:val="28"/>
          <w:szCs w:val="28"/>
          <w:rtl/>
          <w:lang w:bidi="fa-IR"/>
        </w:rPr>
        <w:t xml:space="preserve"> </w:t>
      </w:r>
      <w:r w:rsidRPr="0067048A">
        <w:rPr>
          <w:rFonts w:ascii="KFGQPC Uthmanic Script HAFS" w:cs="KFGQPC Uthmanic Script HAFS" w:hint="eastAsia"/>
          <w:sz w:val="28"/>
          <w:szCs w:val="28"/>
          <w:rtl/>
          <w:lang w:bidi="fa-IR"/>
        </w:rPr>
        <w:t>إِلَّا</w:t>
      </w:r>
      <w:r w:rsidRPr="0067048A">
        <w:rPr>
          <w:rFonts w:ascii="KFGQPC Uthmanic Script HAFS" w:cs="KFGQPC Uthmanic Script HAFS"/>
          <w:sz w:val="28"/>
          <w:szCs w:val="28"/>
          <w:rtl/>
          <w:lang w:bidi="fa-IR"/>
        </w:rPr>
        <w:t xml:space="preserve"> </w:t>
      </w:r>
      <w:r w:rsidRPr="0067048A">
        <w:rPr>
          <w:rFonts w:ascii="KFGQPC Uthmanic Script HAFS" w:cs="KFGQPC Uthmanic Script HAFS" w:hint="eastAsia"/>
          <w:sz w:val="28"/>
          <w:szCs w:val="28"/>
          <w:rtl/>
          <w:lang w:bidi="fa-IR"/>
        </w:rPr>
        <w:t>مُبَشِّر</w:t>
      </w:r>
      <w:r w:rsidRPr="0067048A">
        <w:rPr>
          <w:rFonts w:ascii="KFGQPC Uthmanic Script HAFS" w:cs="KFGQPC Uthmanic Script HAFS" w:hint="cs"/>
          <w:sz w:val="28"/>
          <w:szCs w:val="28"/>
          <w:rtl/>
          <w:lang w:bidi="fa-IR"/>
        </w:rPr>
        <w:t>ٗ</w:t>
      </w:r>
      <w:r w:rsidRPr="0067048A">
        <w:rPr>
          <w:rFonts w:ascii="KFGQPC Uthmanic Script HAFS" w:cs="KFGQPC Uthmanic Script HAFS" w:hint="eastAsia"/>
          <w:sz w:val="28"/>
          <w:szCs w:val="28"/>
          <w:rtl/>
          <w:lang w:bidi="fa-IR"/>
        </w:rPr>
        <w:t>ا</w:t>
      </w:r>
      <w:r w:rsidRPr="0067048A">
        <w:rPr>
          <w:rFonts w:ascii="KFGQPC Uthmanic Script HAFS" w:cs="KFGQPC Uthmanic Script HAFS"/>
          <w:sz w:val="28"/>
          <w:szCs w:val="28"/>
          <w:rtl/>
          <w:lang w:bidi="fa-IR"/>
        </w:rPr>
        <w:t xml:space="preserve"> </w:t>
      </w:r>
      <w:r w:rsidRPr="0067048A">
        <w:rPr>
          <w:rFonts w:ascii="KFGQPC Uthmanic Script HAFS" w:cs="KFGQPC Uthmanic Script HAFS" w:hint="eastAsia"/>
          <w:sz w:val="28"/>
          <w:szCs w:val="28"/>
          <w:rtl/>
          <w:lang w:bidi="fa-IR"/>
        </w:rPr>
        <w:t>وَنَذِير</w:t>
      </w:r>
      <w:r w:rsidRPr="0067048A">
        <w:rPr>
          <w:rFonts w:ascii="KFGQPC Uthmanic Script HAFS" w:cs="KFGQPC Uthmanic Script HAFS" w:hint="cs"/>
          <w:sz w:val="28"/>
          <w:szCs w:val="28"/>
          <w:rtl/>
          <w:lang w:bidi="fa-IR"/>
        </w:rPr>
        <w:t>ٗ</w:t>
      </w:r>
      <w:r w:rsidRPr="0067048A">
        <w:rPr>
          <w:rFonts w:ascii="KFGQPC Uthmanic Script HAFS" w:cs="KFGQPC Uthmanic Script HAFS" w:hint="eastAsia"/>
          <w:sz w:val="28"/>
          <w:szCs w:val="28"/>
          <w:rtl/>
          <w:lang w:bidi="fa-IR"/>
        </w:rPr>
        <w:t>ا</w:t>
      </w:r>
      <w:r w:rsidRPr="0067048A">
        <w:rPr>
          <w:rFonts w:ascii="KFGQPC Uthmanic Script HAFS" w:cs="KFGQPC Uthmanic Script HAFS"/>
          <w:sz w:val="28"/>
          <w:szCs w:val="28"/>
          <w:rtl/>
          <w:lang w:bidi="fa-IR"/>
        </w:rPr>
        <w:t xml:space="preserve"> </w:t>
      </w:r>
      <w:r w:rsidRPr="0067048A">
        <w:rPr>
          <w:rFonts w:ascii="KFGQPC Uthmanic Script HAFS" w:cs="KFGQPC Uthmanic Script HAFS" w:hint="cs"/>
          <w:sz w:val="28"/>
          <w:szCs w:val="28"/>
          <w:rtl/>
          <w:lang w:bidi="fa-IR"/>
        </w:rPr>
        <w:t>٥٦</w:t>
      </w:r>
      <w:r w:rsidRPr="0067048A">
        <w:rPr>
          <w:rFonts w:ascii="KFGQPC Uthmanic Script HAFS" w:cs="KFGQPC Uthmanic Script HAFS"/>
          <w:sz w:val="28"/>
          <w:szCs w:val="28"/>
          <w:rtl/>
          <w:lang w:bidi="fa-IR"/>
        </w:rPr>
        <w:t xml:space="preserve"> </w:t>
      </w:r>
      <w:r w:rsidRPr="0067048A">
        <w:rPr>
          <w:rFonts w:ascii="KFGQPC Uthmanic Script HAFS" w:cs="KFGQPC Uthmanic Script HAFS" w:hint="eastAsia"/>
          <w:sz w:val="28"/>
          <w:szCs w:val="28"/>
          <w:rtl/>
          <w:lang w:bidi="fa-IR"/>
        </w:rPr>
        <w:t>قُل</w:t>
      </w:r>
      <w:r w:rsidRPr="0067048A">
        <w:rPr>
          <w:rFonts w:ascii="KFGQPC Uthmanic Script HAFS" w:cs="KFGQPC Uthmanic Script HAFS" w:hint="cs"/>
          <w:sz w:val="28"/>
          <w:szCs w:val="28"/>
          <w:rtl/>
          <w:lang w:bidi="fa-IR"/>
        </w:rPr>
        <w:t>ۡ</w:t>
      </w:r>
      <w:r w:rsidRPr="0067048A">
        <w:rPr>
          <w:rFonts w:ascii="KFGQPC Uthmanic Script HAFS" w:cs="KFGQPC Uthmanic Script HAFS"/>
          <w:sz w:val="28"/>
          <w:szCs w:val="28"/>
          <w:rtl/>
          <w:lang w:bidi="fa-IR"/>
        </w:rPr>
        <w:t xml:space="preserve"> </w:t>
      </w:r>
      <w:r w:rsidRPr="0067048A">
        <w:rPr>
          <w:rFonts w:ascii="KFGQPC Uthmanic Script HAFS" w:cs="KFGQPC Uthmanic Script HAFS" w:hint="eastAsia"/>
          <w:sz w:val="28"/>
          <w:szCs w:val="28"/>
          <w:rtl/>
          <w:lang w:bidi="fa-IR"/>
        </w:rPr>
        <w:t>مَا</w:t>
      </w:r>
      <w:r w:rsidRPr="0067048A">
        <w:rPr>
          <w:rFonts w:ascii="KFGQPC Uthmanic Script HAFS" w:cs="KFGQPC Uthmanic Script HAFS" w:hint="cs"/>
          <w:sz w:val="28"/>
          <w:szCs w:val="28"/>
          <w:rtl/>
          <w:lang w:bidi="fa-IR"/>
        </w:rPr>
        <w:t>ٓ</w:t>
      </w:r>
      <w:r w:rsidRPr="0067048A">
        <w:rPr>
          <w:rFonts w:ascii="KFGQPC Uthmanic Script HAFS" w:cs="KFGQPC Uthmanic Script HAFS"/>
          <w:sz w:val="28"/>
          <w:szCs w:val="28"/>
          <w:rtl/>
          <w:lang w:bidi="fa-IR"/>
        </w:rPr>
        <w:t xml:space="preserve"> </w:t>
      </w:r>
      <w:r w:rsidRPr="0067048A">
        <w:rPr>
          <w:rFonts w:ascii="KFGQPC Uthmanic Script HAFS" w:cs="KFGQPC Uthmanic Script HAFS" w:hint="eastAsia"/>
          <w:sz w:val="28"/>
          <w:szCs w:val="28"/>
          <w:rtl/>
          <w:lang w:bidi="fa-IR"/>
        </w:rPr>
        <w:t>أَس</w:t>
      </w:r>
      <w:r w:rsidRPr="0067048A">
        <w:rPr>
          <w:rFonts w:ascii="KFGQPC Uthmanic Script HAFS" w:cs="KFGQPC Uthmanic Script HAFS" w:hint="cs"/>
          <w:sz w:val="28"/>
          <w:szCs w:val="28"/>
          <w:rtl/>
          <w:lang w:bidi="fa-IR"/>
        </w:rPr>
        <w:t>ۡ</w:t>
      </w:r>
      <w:r w:rsidRPr="0067048A">
        <w:rPr>
          <w:rFonts w:ascii="KFGQPC Uthmanic Script HAFS" w:cs="KFGQPC Uthmanic Script HAFS" w:hint="eastAsia"/>
          <w:sz w:val="28"/>
          <w:szCs w:val="28"/>
          <w:rtl/>
          <w:lang w:bidi="fa-IR"/>
        </w:rPr>
        <w:t>‍</w:t>
      </w:r>
      <w:r w:rsidRPr="0067048A">
        <w:rPr>
          <w:rFonts w:ascii="KFGQPC Uthmanic Script HAFS" w:cs="KFGQPC Uthmanic Script HAFS" w:hint="cs"/>
          <w:sz w:val="28"/>
          <w:szCs w:val="28"/>
          <w:rtl/>
          <w:lang w:bidi="fa-IR"/>
        </w:rPr>
        <w:t>ٔ</w:t>
      </w:r>
      <w:r w:rsidRPr="0067048A">
        <w:rPr>
          <w:rFonts w:ascii="KFGQPC Uthmanic Script HAFS" w:cs="KFGQPC Uthmanic Script HAFS" w:hint="eastAsia"/>
          <w:sz w:val="28"/>
          <w:szCs w:val="28"/>
          <w:rtl/>
          <w:lang w:bidi="fa-IR"/>
        </w:rPr>
        <w:t>َلُكُم</w:t>
      </w:r>
      <w:r w:rsidRPr="0067048A">
        <w:rPr>
          <w:rFonts w:ascii="KFGQPC Uthmanic Script HAFS" w:cs="KFGQPC Uthmanic Script HAFS" w:hint="cs"/>
          <w:sz w:val="28"/>
          <w:szCs w:val="28"/>
          <w:rtl/>
          <w:lang w:bidi="fa-IR"/>
        </w:rPr>
        <w:t>ۡ</w:t>
      </w:r>
      <w:r w:rsidRPr="0067048A">
        <w:rPr>
          <w:rFonts w:ascii="KFGQPC Uthmanic Script HAFS" w:cs="KFGQPC Uthmanic Script HAFS"/>
          <w:sz w:val="28"/>
          <w:szCs w:val="28"/>
          <w:rtl/>
          <w:lang w:bidi="fa-IR"/>
        </w:rPr>
        <w:t xml:space="preserve"> </w:t>
      </w:r>
      <w:r w:rsidRPr="0067048A">
        <w:rPr>
          <w:rFonts w:ascii="KFGQPC Uthmanic Script HAFS" w:cs="KFGQPC Uthmanic Script HAFS" w:hint="eastAsia"/>
          <w:sz w:val="28"/>
          <w:szCs w:val="28"/>
          <w:rtl/>
          <w:lang w:bidi="fa-IR"/>
        </w:rPr>
        <w:t>عَلَي</w:t>
      </w:r>
      <w:r w:rsidRPr="0067048A">
        <w:rPr>
          <w:rFonts w:ascii="KFGQPC Uthmanic Script HAFS" w:cs="KFGQPC Uthmanic Script HAFS" w:hint="cs"/>
          <w:sz w:val="28"/>
          <w:szCs w:val="28"/>
          <w:rtl/>
          <w:lang w:bidi="fa-IR"/>
        </w:rPr>
        <w:t>ۡ</w:t>
      </w:r>
      <w:r w:rsidRPr="0067048A">
        <w:rPr>
          <w:rFonts w:ascii="KFGQPC Uthmanic Script HAFS" w:cs="KFGQPC Uthmanic Script HAFS" w:hint="eastAsia"/>
          <w:sz w:val="28"/>
          <w:szCs w:val="28"/>
          <w:rtl/>
          <w:lang w:bidi="fa-IR"/>
        </w:rPr>
        <w:t>هِ</w:t>
      </w:r>
      <w:r w:rsidRPr="0067048A">
        <w:rPr>
          <w:rFonts w:ascii="KFGQPC Uthmanic Script HAFS" w:cs="KFGQPC Uthmanic Script HAFS"/>
          <w:sz w:val="28"/>
          <w:szCs w:val="28"/>
          <w:rtl/>
          <w:lang w:bidi="fa-IR"/>
        </w:rPr>
        <w:t xml:space="preserve"> </w:t>
      </w:r>
      <w:r w:rsidRPr="0067048A">
        <w:rPr>
          <w:rFonts w:ascii="KFGQPC Uthmanic Script HAFS" w:cs="KFGQPC Uthmanic Script HAFS" w:hint="eastAsia"/>
          <w:sz w:val="28"/>
          <w:szCs w:val="28"/>
          <w:rtl/>
          <w:lang w:bidi="fa-IR"/>
        </w:rPr>
        <w:t>مِن</w:t>
      </w:r>
      <w:r w:rsidRPr="0067048A">
        <w:rPr>
          <w:rFonts w:ascii="KFGQPC Uthmanic Script HAFS" w:cs="KFGQPC Uthmanic Script HAFS" w:hint="cs"/>
          <w:sz w:val="28"/>
          <w:szCs w:val="28"/>
          <w:rtl/>
          <w:lang w:bidi="fa-IR"/>
        </w:rPr>
        <w:t>ۡ</w:t>
      </w:r>
      <w:r w:rsidRPr="0067048A">
        <w:rPr>
          <w:rFonts w:ascii="KFGQPC Uthmanic Script HAFS" w:cs="KFGQPC Uthmanic Script HAFS"/>
          <w:sz w:val="28"/>
          <w:szCs w:val="28"/>
          <w:rtl/>
          <w:lang w:bidi="fa-IR"/>
        </w:rPr>
        <w:t xml:space="preserve"> </w:t>
      </w:r>
      <w:r w:rsidRPr="0067048A">
        <w:rPr>
          <w:rFonts w:ascii="KFGQPC Uthmanic Script HAFS" w:cs="KFGQPC Uthmanic Script HAFS" w:hint="eastAsia"/>
          <w:sz w:val="28"/>
          <w:szCs w:val="28"/>
          <w:rtl/>
          <w:lang w:bidi="fa-IR"/>
        </w:rPr>
        <w:t>أَج</w:t>
      </w:r>
      <w:r w:rsidRPr="0067048A">
        <w:rPr>
          <w:rFonts w:ascii="KFGQPC Uthmanic Script HAFS" w:cs="KFGQPC Uthmanic Script HAFS" w:hint="cs"/>
          <w:sz w:val="28"/>
          <w:szCs w:val="28"/>
          <w:rtl/>
          <w:lang w:bidi="fa-IR"/>
        </w:rPr>
        <w:t>ۡ</w:t>
      </w:r>
      <w:r w:rsidRPr="0067048A">
        <w:rPr>
          <w:rFonts w:ascii="KFGQPC Uthmanic Script HAFS" w:cs="KFGQPC Uthmanic Script HAFS" w:hint="eastAsia"/>
          <w:sz w:val="28"/>
          <w:szCs w:val="28"/>
          <w:rtl/>
          <w:lang w:bidi="fa-IR"/>
        </w:rPr>
        <w:t>رٍ</w:t>
      </w:r>
      <w:r w:rsidRPr="0067048A">
        <w:rPr>
          <w:rFonts w:ascii="KFGQPC Uthmanic Script HAFS" w:cs="KFGQPC Uthmanic Script HAFS"/>
          <w:sz w:val="28"/>
          <w:szCs w:val="28"/>
          <w:rtl/>
          <w:lang w:bidi="fa-IR"/>
        </w:rPr>
        <w:t xml:space="preserve"> </w:t>
      </w:r>
      <w:r w:rsidRPr="0067048A">
        <w:rPr>
          <w:rFonts w:ascii="KFGQPC Uthmanic Script HAFS" w:cs="KFGQPC Uthmanic Script HAFS" w:hint="eastAsia"/>
          <w:sz w:val="28"/>
          <w:szCs w:val="28"/>
          <w:rtl/>
          <w:lang w:bidi="fa-IR"/>
        </w:rPr>
        <w:t>إِلَّا</w:t>
      </w:r>
      <w:r w:rsidRPr="0067048A">
        <w:rPr>
          <w:rFonts w:ascii="KFGQPC Uthmanic Script HAFS" w:cs="KFGQPC Uthmanic Script HAFS"/>
          <w:sz w:val="28"/>
          <w:szCs w:val="28"/>
          <w:rtl/>
          <w:lang w:bidi="fa-IR"/>
        </w:rPr>
        <w:t xml:space="preserve"> </w:t>
      </w:r>
      <w:r w:rsidRPr="0067048A">
        <w:rPr>
          <w:rFonts w:ascii="KFGQPC Uthmanic Script HAFS" w:cs="KFGQPC Uthmanic Script HAFS" w:hint="eastAsia"/>
          <w:sz w:val="28"/>
          <w:szCs w:val="28"/>
          <w:rtl/>
          <w:lang w:bidi="fa-IR"/>
        </w:rPr>
        <w:t>مَن</w:t>
      </w:r>
      <w:r w:rsidRPr="0067048A">
        <w:rPr>
          <w:rFonts w:ascii="KFGQPC Uthmanic Script HAFS" w:cs="KFGQPC Uthmanic Script HAFS"/>
          <w:sz w:val="28"/>
          <w:szCs w:val="28"/>
          <w:rtl/>
          <w:lang w:bidi="fa-IR"/>
        </w:rPr>
        <w:t xml:space="preserve"> </w:t>
      </w:r>
      <w:r w:rsidRPr="0067048A">
        <w:rPr>
          <w:rFonts w:ascii="KFGQPC Uthmanic Script HAFS" w:cs="KFGQPC Uthmanic Script HAFS" w:hint="eastAsia"/>
          <w:sz w:val="28"/>
          <w:szCs w:val="28"/>
          <w:rtl/>
          <w:lang w:bidi="fa-IR"/>
        </w:rPr>
        <w:t>شَا</w:t>
      </w:r>
      <w:r w:rsidRPr="0067048A">
        <w:rPr>
          <w:rFonts w:ascii="KFGQPC Uthmanic Script HAFS" w:cs="KFGQPC Uthmanic Script HAFS" w:hint="cs"/>
          <w:sz w:val="28"/>
          <w:szCs w:val="28"/>
          <w:rtl/>
          <w:lang w:bidi="fa-IR"/>
        </w:rPr>
        <w:t>ٓ</w:t>
      </w:r>
      <w:r w:rsidRPr="0067048A">
        <w:rPr>
          <w:rFonts w:ascii="KFGQPC Uthmanic Script HAFS" w:cs="KFGQPC Uthmanic Script HAFS" w:hint="eastAsia"/>
          <w:sz w:val="28"/>
          <w:szCs w:val="28"/>
          <w:rtl/>
          <w:lang w:bidi="fa-IR"/>
        </w:rPr>
        <w:t>ءَ</w:t>
      </w:r>
      <w:r w:rsidRPr="0067048A">
        <w:rPr>
          <w:rFonts w:ascii="KFGQPC Uthmanic Script HAFS" w:cs="KFGQPC Uthmanic Script HAFS"/>
          <w:sz w:val="28"/>
          <w:szCs w:val="28"/>
          <w:rtl/>
          <w:lang w:bidi="fa-IR"/>
        </w:rPr>
        <w:t xml:space="preserve"> </w:t>
      </w:r>
      <w:r w:rsidRPr="0067048A">
        <w:rPr>
          <w:rFonts w:ascii="KFGQPC Uthmanic Script HAFS" w:cs="KFGQPC Uthmanic Script HAFS" w:hint="eastAsia"/>
          <w:sz w:val="28"/>
          <w:szCs w:val="28"/>
          <w:rtl/>
          <w:lang w:bidi="fa-IR"/>
        </w:rPr>
        <w:t>أَن</w:t>
      </w:r>
      <w:r w:rsidRPr="0067048A">
        <w:rPr>
          <w:rFonts w:ascii="KFGQPC Uthmanic Script HAFS" w:cs="KFGQPC Uthmanic Script HAFS"/>
          <w:sz w:val="28"/>
          <w:szCs w:val="28"/>
          <w:rtl/>
          <w:lang w:bidi="fa-IR"/>
        </w:rPr>
        <w:t xml:space="preserve"> </w:t>
      </w:r>
      <w:r w:rsidRPr="0067048A">
        <w:rPr>
          <w:rFonts w:ascii="KFGQPC Uthmanic Script HAFS" w:cs="KFGQPC Uthmanic Script HAFS" w:hint="eastAsia"/>
          <w:sz w:val="28"/>
          <w:szCs w:val="28"/>
          <w:rtl/>
          <w:lang w:bidi="fa-IR"/>
        </w:rPr>
        <w:t>يَتَّخِذَ</w:t>
      </w:r>
      <w:r w:rsidRPr="0067048A">
        <w:rPr>
          <w:rFonts w:ascii="KFGQPC Uthmanic Script HAFS" w:cs="KFGQPC Uthmanic Script HAFS"/>
          <w:sz w:val="28"/>
          <w:szCs w:val="28"/>
          <w:rtl/>
          <w:lang w:bidi="fa-IR"/>
        </w:rPr>
        <w:t xml:space="preserve"> </w:t>
      </w:r>
      <w:r w:rsidRPr="0067048A">
        <w:rPr>
          <w:rFonts w:ascii="KFGQPC Uthmanic Script HAFS" w:cs="KFGQPC Uthmanic Script HAFS" w:hint="eastAsia"/>
          <w:sz w:val="28"/>
          <w:szCs w:val="28"/>
          <w:rtl/>
          <w:lang w:bidi="fa-IR"/>
        </w:rPr>
        <w:t>إِلَى</w:t>
      </w:r>
      <w:r w:rsidRPr="0067048A">
        <w:rPr>
          <w:rFonts w:ascii="KFGQPC Uthmanic Script HAFS" w:cs="KFGQPC Uthmanic Script HAFS" w:hint="cs"/>
          <w:sz w:val="28"/>
          <w:szCs w:val="28"/>
          <w:rtl/>
          <w:lang w:bidi="fa-IR"/>
        </w:rPr>
        <w:t>ٰ</w:t>
      </w:r>
      <w:r w:rsidRPr="0067048A">
        <w:rPr>
          <w:rFonts w:ascii="KFGQPC Uthmanic Script HAFS" w:cs="KFGQPC Uthmanic Script HAFS"/>
          <w:sz w:val="28"/>
          <w:szCs w:val="28"/>
          <w:rtl/>
          <w:lang w:bidi="fa-IR"/>
        </w:rPr>
        <w:t xml:space="preserve"> </w:t>
      </w:r>
      <w:r w:rsidRPr="0067048A">
        <w:rPr>
          <w:rFonts w:ascii="KFGQPC Uthmanic Script HAFS" w:cs="KFGQPC Uthmanic Script HAFS" w:hint="eastAsia"/>
          <w:sz w:val="28"/>
          <w:szCs w:val="28"/>
          <w:rtl/>
          <w:lang w:bidi="fa-IR"/>
        </w:rPr>
        <w:t>رَبِّهِ</w:t>
      </w:r>
      <w:r w:rsidRPr="0067048A">
        <w:rPr>
          <w:rFonts w:ascii="KFGQPC Uthmanic Script HAFS" w:cs="KFGQPC Uthmanic Script HAFS" w:hint="cs"/>
          <w:sz w:val="28"/>
          <w:szCs w:val="28"/>
          <w:rtl/>
          <w:lang w:bidi="fa-IR"/>
        </w:rPr>
        <w:t>ۦ</w:t>
      </w:r>
      <w:r w:rsidRPr="0067048A">
        <w:rPr>
          <w:rFonts w:ascii="KFGQPC Uthmanic Script HAFS" w:cs="KFGQPC Uthmanic Script HAFS"/>
          <w:sz w:val="28"/>
          <w:szCs w:val="28"/>
          <w:rtl/>
          <w:lang w:bidi="fa-IR"/>
        </w:rPr>
        <w:t xml:space="preserve"> </w:t>
      </w:r>
      <w:r w:rsidRPr="0067048A">
        <w:rPr>
          <w:rFonts w:ascii="KFGQPC Uthmanic Script HAFS" w:cs="KFGQPC Uthmanic Script HAFS" w:hint="eastAsia"/>
          <w:sz w:val="28"/>
          <w:szCs w:val="28"/>
          <w:rtl/>
          <w:lang w:bidi="fa-IR"/>
        </w:rPr>
        <w:t>سَبِيل</w:t>
      </w:r>
      <w:r w:rsidRPr="0067048A">
        <w:rPr>
          <w:rFonts w:ascii="KFGQPC Uthmanic Script HAFS" w:cs="KFGQPC Uthmanic Script HAFS" w:hint="cs"/>
          <w:sz w:val="28"/>
          <w:szCs w:val="28"/>
          <w:rtl/>
          <w:lang w:bidi="fa-IR"/>
        </w:rPr>
        <w:t>ٗ</w:t>
      </w:r>
      <w:r w:rsidRPr="0067048A">
        <w:rPr>
          <w:rFonts w:ascii="KFGQPC Uthmanic Script HAFS" w:cs="KFGQPC Uthmanic Script HAFS" w:hint="eastAsia"/>
          <w:sz w:val="28"/>
          <w:szCs w:val="28"/>
          <w:rtl/>
          <w:lang w:bidi="fa-IR"/>
        </w:rPr>
        <w:t>ا</w:t>
      </w:r>
      <w:r w:rsidRPr="00995B26">
        <w:rPr>
          <w:rFonts w:cs="Traditional Arabic" w:hint="cs"/>
          <w:sz w:val="28"/>
          <w:rtl/>
        </w:rPr>
        <w:t>﴾</w:t>
      </w:r>
      <w:r w:rsidR="005C664D" w:rsidRPr="003F3B94">
        <w:rPr>
          <w:rFonts w:hint="cs"/>
          <w:sz w:val="28"/>
          <w:rtl/>
        </w:rPr>
        <w:t xml:space="preserve"> </w:t>
      </w:r>
      <w:r w:rsidR="005C664D" w:rsidRPr="003108CB">
        <w:rPr>
          <w:rStyle w:val="Char2"/>
          <w:rtl/>
        </w:rPr>
        <w:t>[الفرقان</w:t>
      </w:r>
      <w:r w:rsidRPr="003108CB">
        <w:rPr>
          <w:rStyle w:val="Char2"/>
          <w:rFonts w:hint="cs"/>
          <w:rtl/>
        </w:rPr>
        <w:t xml:space="preserve">: </w:t>
      </w:r>
      <w:r w:rsidR="005C664D" w:rsidRPr="003108CB">
        <w:rPr>
          <w:rStyle w:val="Char2"/>
          <w:rFonts w:hint="cs"/>
          <w:rtl/>
        </w:rPr>
        <w:t>56</w:t>
      </w:r>
      <w:r w:rsidR="00217AB4" w:rsidRPr="003108CB">
        <w:rPr>
          <w:rStyle w:val="Char2"/>
          <w:rFonts w:hint="cs"/>
          <w:rtl/>
        </w:rPr>
        <w:t>-</w:t>
      </w:r>
      <w:r w:rsidR="005C664D" w:rsidRPr="003108CB">
        <w:rPr>
          <w:rStyle w:val="Char2"/>
          <w:rtl/>
        </w:rPr>
        <w:t>57]</w:t>
      </w:r>
    </w:p>
    <w:p w:rsidR="005C664D" w:rsidRPr="003F3B94" w:rsidRDefault="005C664D" w:rsidP="000E2C23">
      <w:pPr>
        <w:pStyle w:val="a0"/>
        <w:ind w:left="624" w:hanging="340"/>
        <w:rPr>
          <w:rFonts w:hint="cs"/>
          <w:rtl/>
        </w:rPr>
      </w:pPr>
      <w:r w:rsidRPr="003F3B94">
        <w:rPr>
          <w:rFonts w:hint="cs"/>
          <w:sz w:val="28"/>
          <w:rtl/>
        </w:rPr>
        <w:t>7</w:t>
      </w:r>
      <w:r w:rsidR="00217AB4" w:rsidRPr="003F3B94">
        <w:rPr>
          <w:rFonts w:hint="cs"/>
          <w:sz w:val="28"/>
          <w:rtl/>
        </w:rPr>
        <w:t>-</w:t>
      </w:r>
      <w:r w:rsidRPr="003F3B94">
        <w:rPr>
          <w:rFonts w:hint="cs"/>
          <w:sz w:val="28"/>
          <w:rtl/>
        </w:rPr>
        <w:t xml:space="preserve"> ويقول كذلك في سورة الشورى</w:t>
      </w:r>
      <w:r w:rsidR="00217AB4" w:rsidRPr="003F3B94">
        <w:rPr>
          <w:rFonts w:hint="cs"/>
          <w:sz w:val="28"/>
          <w:rtl/>
        </w:rPr>
        <w:t>:</w:t>
      </w:r>
    </w:p>
    <w:p w:rsidR="005C664D" w:rsidRPr="003F3B94" w:rsidRDefault="00B06788" w:rsidP="000E2C23">
      <w:pPr>
        <w:pStyle w:val="a0"/>
        <w:ind w:left="624" w:firstLine="0"/>
        <w:rPr>
          <w:rFonts w:hint="cs"/>
          <w:rtl/>
        </w:rPr>
      </w:pPr>
      <w:r w:rsidRPr="00995B26">
        <w:rPr>
          <w:rFonts w:cs="Traditional Arabic" w:hint="cs"/>
          <w:sz w:val="28"/>
          <w:rtl/>
        </w:rPr>
        <w:t>﴿</w:t>
      </w:r>
      <w:r w:rsidRPr="0067048A">
        <w:rPr>
          <w:rFonts w:ascii="KFGQPC Uthmanic Script HAFS" w:cs="KFGQPC Uthmanic Script HAFS" w:hint="eastAsia"/>
          <w:sz w:val="28"/>
          <w:szCs w:val="28"/>
          <w:rtl/>
        </w:rPr>
        <w:t>قُل</w:t>
      </w:r>
      <w:r w:rsidRPr="0067048A">
        <w:rPr>
          <w:rFonts w:ascii="KFGQPC Uthmanic Script HAFS" w:cs="KFGQPC Uthmanic Script HAFS"/>
          <w:sz w:val="28"/>
          <w:szCs w:val="28"/>
          <w:rtl/>
        </w:rPr>
        <w:t xml:space="preserve"> </w:t>
      </w:r>
      <w:r w:rsidRPr="0067048A">
        <w:rPr>
          <w:rFonts w:ascii="KFGQPC Uthmanic Script HAFS" w:cs="KFGQPC Uthmanic Script HAFS" w:hint="eastAsia"/>
          <w:sz w:val="28"/>
          <w:szCs w:val="28"/>
          <w:rtl/>
        </w:rPr>
        <w:t>لَّا</w:t>
      </w:r>
      <w:r w:rsidRPr="0067048A">
        <w:rPr>
          <w:rFonts w:ascii="KFGQPC Uthmanic Script HAFS" w:cs="KFGQPC Uthmanic Script HAFS" w:hint="cs"/>
          <w:sz w:val="28"/>
          <w:szCs w:val="28"/>
          <w:rtl/>
        </w:rPr>
        <w:t>ٓ</w:t>
      </w:r>
      <w:r w:rsidRPr="0067048A">
        <w:rPr>
          <w:rFonts w:ascii="KFGQPC Uthmanic Script HAFS" w:cs="KFGQPC Uthmanic Script HAFS"/>
          <w:sz w:val="28"/>
          <w:szCs w:val="28"/>
          <w:rtl/>
        </w:rPr>
        <w:t xml:space="preserve"> </w:t>
      </w:r>
      <w:r w:rsidRPr="0067048A">
        <w:rPr>
          <w:rFonts w:ascii="KFGQPC Uthmanic Script HAFS" w:cs="KFGQPC Uthmanic Script HAFS" w:hint="eastAsia"/>
          <w:sz w:val="28"/>
          <w:szCs w:val="28"/>
          <w:rtl/>
        </w:rPr>
        <w:t>أَس</w:t>
      </w:r>
      <w:r w:rsidRPr="0067048A">
        <w:rPr>
          <w:rFonts w:ascii="KFGQPC Uthmanic Script HAFS" w:cs="KFGQPC Uthmanic Script HAFS" w:hint="cs"/>
          <w:sz w:val="28"/>
          <w:szCs w:val="28"/>
          <w:rtl/>
        </w:rPr>
        <w:t>ۡ</w:t>
      </w:r>
      <w:r w:rsidRPr="0067048A">
        <w:rPr>
          <w:rFonts w:ascii="KFGQPC Uthmanic Script HAFS" w:cs="KFGQPC Uthmanic Script HAFS" w:hint="eastAsia"/>
          <w:sz w:val="28"/>
          <w:szCs w:val="28"/>
          <w:rtl/>
        </w:rPr>
        <w:t>‍</w:t>
      </w:r>
      <w:r w:rsidRPr="0067048A">
        <w:rPr>
          <w:rFonts w:ascii="KFGQPC Uthmanic Script HAFS" w:cs="KFGQPC Uthmanic Script HAFS" w:hint="cs"/>
          <w:sz w:val="28"/>
          <w:szCs w:val="28"/>
          <w:rtl/>
        </w:rPr>
        <w:t>ٔ</w:t>
      </w:r>
      <w:r w:rsidRPr="0067048A">
        <w:rPr>
          <w:rFonts w:ascii="KFGQPC Uthmanic Script HAFS" w:cs="KFGQPC Uthmanic Script HAFS" w:hint="eastAsia"/>
          <w:sz w:val="28"/>
          <w:szCs w:val="28"/>
          <w:rtl/>
        </w:rPr>
        <w:t>َلُكُم</w:t>
      </w:r>
      <w:r w:rsidRPr="0067048A">
        <w:rPr>
          <w:rFonts w:ascii="KFGQPC Uthmanic Script HAFS" w:cs="KFGQPC Uthmanic Script HAFS" w:hint="cs"/>
          <w:sz w:val="28"/>
          <w:szCs w:val="28"/>
          <w:rtl/>
        </w:rPr>
        <w:t>ۡ</w:t>
      </w:r>
      <w:r w:rsidRPr="0067048A">
        <w:rPr>
          <w:rFonts w:ascii="KFGQPC Uthmanic Script HAFS" w:cs="KFGQPC Uthmanic Script HAFS"/>
          <w:sz w:val="28"/>
          <w:szCs w:val="28"/>
          <w:rtl/>
        </w:rPr>
        <w:t xml:space="preserve"> </w:t>
      </w:r>
      <w:r w:rsidRPr="0067048A">
        <w:rPr>
          <w:rFonts w:ascii="KFGQPC Uthmanic Script HAFS" w:cs="KFGQPC Uthmanic Script HAFS" w:hint="eastAsia"/>
          <w:sz w:val="28"/>
          <w:szCs w:val="28"/>
          <w:rtl/>
        </w:rPr>
        <w:t>عَلَي</w:t>
      </w:r>
      <w:r w:rsidRPr="0067048A">
        <w:rPr>
          <w:rFonts w:ascii="KFGQPC Uthmanic Script HAFS" w:cs="KFGQPC Uthmanic Script HAFS" w:hint="cs"/>
          <w:sz w:val="28"/>
          <w:szCs w:val="28"/>
          <w:rtl/>
        </w:rPr>
        <w:t>ۡ</w:t>
      </w:r>
      <w:r w:rsidRPr="0067048A">
        <w:rPr>
          <w:rFonts w:ascii="KFGQPC Uthmanic Script HAFS" w:cs="KFGQPC Uthmanic Script HAFS" w:hint="eastAsia"/>
          <w:sz w:val="28"/>
          <w:szCs w:val="28"/>
          <w:rtl/>
        </w:rPr>
        <w:t>هِ</w:t>
      </w:r>
      <w:r w:rsidRPr="0067048A">
        <w:rPr>
          <w:rFonts w:ascii="KFGQPC Uthmanic Script HAFS" w:cs="KFGQPC Uthmanic Script HAFS"/>
          <w:sz w:val="28"/>
          <w:szCs w:val="28"/>
          <w:rtl/>
        </w:rPr>
        <w:t xml:space="preserve"> </w:t>
      </w:r>
      <w:r w:rsidRPr="0067048A">
        <w:rPr>
          <w:rFonts w:ascii="KFGQPC Uthmanic Script HAFS" w:cs="KFGQPC Uthmanic Script HAFS" w:hint="eastAsia"/>
          <w:sz w:val="28"/>
          <w:szCs w:val="28"/>
          <w:rtl/>
        </w:rPr>
        <w:t>أَج</w:t>
      </w:r>
      <w:r w:rsidRPr="0067048A">
        <w:rPr>
          <w:rFonts w:ascii="KFGQPC Uthmanic Script HAFS" w:cs="KFGQPC Uthmanic Script HAFS" w:hint="cs"/>
          <w:sz w:val="28"/>
          <w:szCs w:val="28"/>
          <w:rtl/>
        </w:rPr>
        <w:t>ۡ</w:t>
      </w:r>
      <w:r w:rsidRPr="0067048A">
        <w:rPr>
          <w:rFonts w:ascii="KFGQPC Uthmanic Script HAFS" w:cs="KFGQPC Uthmanic Script HAFS" w:hint="eastAsia"/>
          <w:sz w:val="28"/>
          <w:szCs w:val="28"/>
          <w:rtl/>
        </w:rPr>
        <w:t>رًا</w:t>
      </w:r>
      <w:r w:rsidRPr="0067048A">
        <w:rPr>
          <w:rFonts w:ascii="KFGQPC Uthmanic Script HAFS" w:cs="KFGQPC Uthmanic Script HAFS"/>
          <w:sz w:val="28"/>
          <w:szCs w:val="28"/>
          <w:rtl/>
        </w:rPr>
        <w:t xml:space="preserve"> </w:t>
      </w:r>
      <w:r w:rsidRPr="0067048A">
        <w:rPr>
          <w:rFonts w:ascii="KFGQPC Uthmanic Script HAFS" w:cs="KFGQPC Uthmanic Script HAFS" w:hint="eastAsia"/>
          <w:sz w:val="28"/>
          <w:szCs w:val="28"/>
          <w:rtl/>
        </w:rPr>
        <w:t>إِلَّا</w:t>
      </w:r>
      <w:r w:rsidRPr="0067048A">
        <w:rPr>
          <w:rFonts w:ascii="KFGQPC Uthmanic Script HAFS" w:cs="KFGQPC Uthmanic Script HAFS"/>
          <w:sz w:val="28"/>
          <w:szCs w:val="28"/>
          <w:rtl/>
        </w:rPr>
        <w:t xml:space="preserve"> </w:t>
      </w:r>
      <w:r w:rsidRPr="0067048A">
        <w:rPr>
          <w:rFonts w:ascii="KFGQPC Uthmanic Script HAFS" w:cs="KFGQPC Uthmanic Script HAFS" w:hint="cs"/>
          <w:sz w:val="28"/>
          <w:szCs w:val="28"/>
          <w:rtl/>
        </w:rPr>
        <w:t>ٱ</w:t>
      </w:r>
      <w:r w:rsidRPr="0067048A">
        <w:rPr>
          <w:rFonts w:ascii="KFGQPC Uthmanic Script HAFS" w:cs="KFGQPC Uthmanic Script HAFS" w:hint="eastAsia"/>
          <w:sz w:val="28"/>
          <w:szCs w:val="28"/>
          <w:rtl/>
        </w:rPr>
        <w:t>ل</w:t>
      </w:r>
      <w:r w:rsidRPr="0067048A">
        <w:rPr>
          <w:rFonts w:ascii="KFGQPC Uthmanic Script HAFS" w:cs="KFGQPC Uthmanic Script HAFS" w:hint="cs"/>
          <w:sz w:val="28"/>
          <w:szCs w:val="28"/>
          <w:rtl/>
        </w:rPr>
        <w:t>ۡ</w:t>
      </w:r>
      <w:r w:rsidRPr="0067048A">
        <w:rPr>
          <w:rFonts w:ascii="KFGQPC Uthmanic Script HAFS" w:cs="KFGQPC Uthmanic Script HAFS" w:hint="eastAsia"/>
          <w:sz w:val="28"/>
          <w:szCs w:val="28"/>
          <w:rtl/>
        </w:rPr>
        <w:t>مَوَدَّةَ</w:t>
      </w:r>
      <w:r w:rsidRPr="0067048A">
        <w:rPr>
          <w:rFonts w:ascii="KFGQPC Uthmanic Script HAFS" w:cs="KFGQPC Uthmanic Script HAFS"/>
          <w:sz w:val="28"/>
          <w:szCs w:val="28"/>
          <w:rtl/>
        </w:rPr>
        <w:t xml:space="preserve"> </w:t>
      </w:r>
      <w:r w:rsidRPr="0067048A">
        <w:rPr>
          <w:rFonts w:ascii="KFGQPC Uthmanic Script HAFS" w:cs="KFGQPC Uthmanic Script HAFS" w:hint="eastAsia"/>
          <w:sz w:val="28"/>
          <w:szCs w:val="28"/>
          <w:rtl/>
        </w:rPr>
        <w:t>فِي</w:t>
      </w:r>
      <w:r w:rsidRPr="0067048A">
        <w:rPr>
          <w:rFonts w:ascii="KFGQPC Uthmanic Script HAFS" w:cs="KFGQPC Uthmanic Script HAFS"/>
          <w:sz w:val="28"/>
          <w:szCs w:val="28"/>
          <w:rtl/>
        </w:rPr>
        <w:t xml:space="preserve"> </w:t>
      </w:r>
      <w:r w:rsidRPr="0067048A">
        <w:rPr>
          <w:rFonts w:ascii="KFGQPC Uthmanic Script HAFS" w:cs="KFGQPC Uthmanic Script HAFS" w:hint="cs"/>
          <w:sz w:val="28"/>
          <w:szCs w:val="28"/>
          <w:rtl/>
        </w:rPr>
        <w:t>ٱ</w:t>
      </w:r>
      <w:r w:rsidRPr="0067048A">
        <w:rPr>
          <w:rFonts w:ascii="KFGQPC Uthmanic Script HAFS" w:cs="KFGQPC Uthmanic Script HAFS" w:hint="eastAsia"/>
          <w:sz w:val="28"/>
          <w:szCs w:val="28"/>
          <w:rtl/>
        </w:rPr>
        <w:t>ل</w:t>
      </w:r>
      <w:r w:rsidRPr="0067048A">
        <w:rPr>
          <w:rFonts w:ascii="KFGQPC Uthmanic Script HAFS" w:cs="KFGQPC Uthmanic Script HAFS" w:hint="cs"/>
          <w:sz w:val="28"/>
          <w:szCs w:val="28"/>
          <w:rtl/>
        </w:rPr>
        <w:t>ۡ</w:t>
      </w:r>
      <w:r w:rsidRPr="0067048A">
        <w:rPr>
          <w:rFonts w:ascii="KFGQPC Uthmanic Script HAFS" w:cs="KFGQPC Uthmanic Script HAFS" w:hint="eastAsia"/>
          <w:sz w:val="28"/>
          <w:szCs w:val="28"/>
          <w:rtl/>
        </w:rPr>
        <w:t>قُر</w:t>
      </w:r>
      <w:r w:rsidRPr="0067048A">
        <w:rPr>
          <w:rFonts w:ascii="KFGQPC Uthmanic Script HAFS" w:cs="KFGQPC Uthmanic Script HAFS" w:hint="cs"/>
          <w:sz w:val="28"/>
          <w:szCs w:val="28"/>
          <w:rtl/>
        </w:rPr>
        <w:t>ۡ</w:t>
      </w:r>
      <w:r w:rsidRPr="0067048A">
        <w:rPr>
          <w:rFonts w:ascii="KFGQPC Uthmanic Script HAFS" w:cs="KFGQPC Uthmanic Script HAFS" w:hint="eastAsia"/>
          <w:sz w:val="28"/>
          <w:szCs w:val="28"/>
          <w:rtl/>
        </w:rPr>
        <w:t>بَى</w:t>
      </w:r>
      <w:r w:rsidRPr="0067048A">
        <w:rPr>
          <w:rFonts w:ascii="KFGQPC Uthmanic Script HAFS" w:cs="KFGQPC Uthmanic Script HAFS" w:hint="cs"/>
          <w:sz w:val="28"/>
          <w:szCs w:val="28"/>
          <w:rtl/>
        </w:rPr>
        <w:t>ٰ</w:t>
      </w:r>
      <w:r w:rsidRPr="00995B26">
        <w:rPr>
          <w:rFonts w:cs="Traditional Arabic" w:hint="cs"/>
          <w:sz w:val="28"/>
          <w:rtl/>
        </w:rPr>
        <w:t>﴾</w:t>
      </w:r>
      <w:r w:rsidR="00147857" w:rsidRPr="003F3B94">
        <w:rPr>
          <w:sz w:val="28"/>
          <w:rtl/>
        </w:rPr>
        <w:t xml:space="preserve"> </w:t>
      </w:r>
      <w:r w:rsidR="005C664D" w:rsidRPr="003108CB">
        <w:rPr>
          <w:rStyle w:val="Char2"/>
          <w:rtl/>
        </w:rPr>
        <w:t>[الشورى</w:t>
      </w:r>
      <w:r w:rsidRPr="003108CB">
        <w:rPr>
          <w:rStyle w:val="Char2"/>
          <w:rFonts w:hint="cs"/>
          <w:rtl/>
        </w:rPr>
        <w:t xml:space="preserve">: </w:t>
      </w:r>
      <w:r w:rsidR="005C664D" w:rsidRPr="003108CB">
        <w:rPr>
          <w:rStyle w:val="Char2"/>
          <w:rtl/>
        </w:rPr>
        <w:t>23]</w:t>
      </w:r>
    </w:p>
    <w:p w:rsidR="005C664D" w:rsidRPr="003F3B94" w:rsidRDefault="005C664D" w:rsidP="000E2C23">
      <w:pPr>
        <w:pStyle w:val="a0"/>
        <w:ind w:left="624" w:hanging="340"/>
        <w:rPr>
          <w:rFonts w:hint="cs"/>
          <w:rtl/>
        </w:rPr>
      </w:pPr>
      <w:r w:rsidRPr="003F3B94">
        <w:rPr>
          <w:rFonts w:hint="cs"/>
          <w:sz w:val="28"/>
          <w:rtl/>
        </w:rPr>
        <w:t>8</w:t>
      </w:r>
      <w:r w:rsidR="00217AB4" w:rsidRPr="003F3B94">
        <w:rPr>
          <w:rFonts w:hint="cs"/>
          <w:sz w:val="28"/>
          <w:rtl/>
        </w:rPr>
        <w:t>-</w:t>
      </w:r>
      <w:r w:rsidRPr="003F3B94">
        <w:rPr>
          <w:rFonts w:hint="cs"/>
          <w:sz w:val="28"/>
          <w:rtl/>
        </w:rPr>
        <w:t xml:space="preserve"> ويقول تعالى أيضاً في الآية 104 من سورة يوسف وهي سورة مدنية</w:t>
      </w:r>
      <w:r w:rsidR="00217AB4" w:rsidRPr="003F3B94">
        <w:rPr>
          <w:rFonts w:hint="cs"/>
          <w:sz w:val="28"/>
          <w:rtl/>
        </w:rPr>
        <w:t>:</w:t>
      </w:r>
    </w:p>
    <w:p w:rsidR="005C664D" w:rsidRPr="003F3B94" w:rsidRDefault="00B06788" w:rsidP="000E2C23">
      <w:pPr>
        <w:pStyle w:val="a0"/>
        <w:ind w:left="624" w:firstLine="0"/>
        <w:rPr>
          <w:rFonts w:hint="cs"/>
          <w:rtl/>
        </w:rPr>
      </w:pPr>
      <w:r w:rsidRPr="00995B26">
        <w:rPr>
          <w:rFonts w:cs="Traditional Arabic" w:hint="cs"/>
          <w:sz w:val="28"/>
          <w:rtl/>
        </w:rPr>
        <w:t>﴿</w:t>
      </w:r>
      <w:r w:rsidRPr="0067048A">
        <w:rPr>
          <w:rFonts w:ascii="KFGQPC Uthmanic Script HAFS" w:cs="KFGQPC Uthmanic Script HAFS" w:hint="eastAsia"/>
          <w:sz w:val="28"/>
          <w:szCs w:val="28"/>
          <w:rtl/>
        </w:rPr>
        <w:t>وَمَا</w:t>
      </w:r>
      <w:r w:rsidRPr="0067048A">
        <w:rPr>
          <w:rFonts w:ascii="KFGQPC Uthmanic Script HAFS" w:cs="KFGQPC Uthmanic Script HAFS"/>
          <w:sz w:val="28"/>
          <w:szCs w:val="28"/>
          <w:rtl/>
        </w:rPr>
        <w:t xml:space="preserve"> </w:t>
      </w:r>
      <w:r w:rsidRPr="0067048A">
        <w:rPr>
          <w:rFonts w:ascii="KFGQPC Uthmanic Script HAFS" w:cs="KFGQPC Uthmanic Script HAFS" w:hint="eastAsia"/>
          <w:sz w:val="28"/>
          <w:szCs w:val="28"/>
          <w:rtl/>
        </w:rPr>
        <w:t>تَس</w:t>
      </w:r>
      <w:r w:rsidRPr="0067048A">
        <w:rPr>
          <w:rFonts w:ascii="KFGQPC Uthmanic Script HAFS" w:cs="KFGQPC Uthmanic Script HAFS" w:hint="cs"/>
          <w:sz w:val="28"/>
          <w:szCs w:val="28"/>
          <w:rtl/>
        </w:rPr>
        <w:t>ۡ</w:t>
      </w:r>
      <w:r w:rsidRPr="0067048A">
        <w:rPr>
          <w:rFonts w:ascii="KFGQPC Uthmanic Script HAFS" w:cs="KFGQPC Uthmanic Script HAFS" w:hint="eastAsia"/>
          <w:sz w:val="28"/>
          <w:szCs w:val="28"/>
          <w:rtl/>
        </w:rPr>
        <w:t>‍</w:t>
      </w:r>
      <w:r w:rsidRPr="0067048A">
        <w:rPr>
          <w:rFonts w:ascii="KFGQPC Uthmanic Script HAFS" w:cs="KFGQPC Uthmanic Script HAFS" w:hint="cs"/>
          <w:sz w:val="28"/>
          <w:szCs w:val="28"/>
          <w:rtl/>
        </w:rPr>
        <w:t>ٔ</w:t>
      </w:r>
      <w:r w:rsidRPr="0067048A">
        <w:rPr>
          <w:rFonts w:ascii="KFGQPC Uthmanic Script HAFS" w:cs="KFGQPC Uthmanic Script HAFS" w:hint="eastAsia"/>
          <w:sz w:val="28"/>
          <w:szCs w:val="28"/>
          <w:rtl/>
        </w:rPr>
        <w:t>َلُهُم</w:t>
      </w:r>
      <w:r w:rsidRPr="0067048A">
        <w:rPr>
          <w:rFonts w:ascii="KFGQPC Uthmanic Script HAFS" w:cs="KFGQPC Uthmanic Script HAFS" w:hint="cs"/>
          <w:sz w:val="28"/>
          <w:szCs w:val="28"/>
          <w:rtl/>
        </w:rPr>
        <w:t>ۡ</w:t>
      </w:r>
      <w:r w:rsidRPr="0067048A">
        <w:rPr>
          <w:rFonts w:ascii="KFGQPC Uthmanic Script HAFS" w:cs="KFGQPC Uthmanic Script HAFS"/>
          <w:sz w:val="28"/>
          <w:szCs w:val="28"/>
          <w:rtl/>
        </w:rPr>
        <w:t xml:space="preserve"> </w:t>
      </w:r>
      <w:r w:rsidRPr="0067048A">
        <w:rPr>
          <w:rFonts w:ascii="KFGQPC Uthmanic Script HAFS" w:cs="KFGQPC Uthmanic Script HAFS" w:hint="eastAsia"/>
          <w:sz w:val="28"/>
          <w:szCs w:val="28"/>
          <w:rtl/>
        </w:rPr>
        <w:t>عَلَي</w:t>
      </w:r>
      <w:r w:rsidRPr="0067048A">
        <w:rPr>
          <w:rFonts w:ascii="KFGQPC Uthmanic Script HAFS" w:cs="KFGQPC Uthmanic Script HAFS" w:hint="cs"/>
          <w:sz w:val="28"/>
          <w:szCs w:val="28"/>
          <w:rtl/>
        </w:rPr>
        <w:t>ۡ</w:t>
      </w:r>
      <w:r w:rsidRPr="0067048A">
        <w:rPr>
          <w:rFonts w:ascii="KFGQPC Uthmanic Script HAFS" w:cs="KFGQPC Uthmanic Script HAFS" w:hint="eastAsia"/>
          <w:sz w:val="28"/>
          <w:szCs w:val="28"/>
          <w:rtl/>
        </w:rPr>
        <w:t>هِ</w:t>
      </w:r>
      <w:r w:rsidRPr="0067048A">
        <w:rPr>
          <w:rFonts w:ascii="KFGQPC Uthmanic Script HAFS" w:cs="KFGQPC Uthmanic Script HAFS"/>
          <w:sz w:val="28"/>
          <w:szCs w:val="28"/>
          <w:rtl/>
        </w:rPr>
        <w:t xml:space="preserve"> </w:t>
      </w:r>
      <w:r w:rsidRPr="0067048A">
        <w:rPr>
          <w:rFonts w:ascii="KFGQPC Uthmanic Script HAFS" w:cs="KFGQPC Uthmanic Script HAFS" w:hint="eastAsia"/>
          <w:sz w:val="28"/>
          <w:szCs w:val="28"/>
          <w:rtl/>
        </w:rPr>
        <w:t>مِن</w:t>
      </w:r>
      <w:r w:rsidRPr="0067048A">
        <w:rPr>
          <w:rFonts w:ascii="KFGQPC Uthmanic Script HAFS" w:cs="KFGQPC Uthmanic Script HAFS" w:hint="cs"/>
          <w:sz w:val="28"/>
          <w:szCs w:val="28"/>
          <w:rtl/>
        </w:rPr>
        <w:t>ۡ</w:t>
      </w:r>
      <w:r w:rsidRPr="0067048A">
        <w:rPr>
          <w:rFonts w:ascii="KFGQPC Uthmanic Script HAFS" w:cs="KFGQPC Uthmanic Script HAFS"/>
          <w:sz w:val="28"/>
          <w:szCs w:val="28"/>
          <w:rtl/>
        </w:rPr>
        <w:t xml:space="preserve"> </w:t>
      </w:r>
      <w:r w:rsidRPr="0067048A">
        <w:rPr>
          <w:rFonts w:ascii="KFGQPC Uthmanic Script HAFS" w:cs="KFGQPC Uthmanic Script HAFS" w:hint="eastAsia"/>
          <w:sz w:val="28"/>
          <w:szCs w:val="28"/>
          <w:rtl/>
        </w:rPr>
        <w:t>أَج</w:t>
      </w:r>
      <w:r w:rsidRPr="0067048A">
        <w:rPr>
          <w:rFonts w:ascii="KFGQPC Uthmanic Script HAFS" w:cs="KFGQPC Uthmanic Script HAFS" w:hint="cs"/>
          <w:sz w:val="28"/>
          <w:szCs w:val="28"/>
          <w:rtl/>
        </w:rPr>
        <w:t>ۡ</w:t>
      </w:r>
      <w:r w:rsidRPr="0067048A">
        <w:rPr>
          <w:rFonts w:ascii="KFGQPC Uthmanic Script HAFS" w:cs="KFGQPC Uthmanic Script HAFS" w:hint="eastAsia"/>
          <w:sz w:val="28"/>
          <w:szCs w:val="28"/>
          <w:rtl/>
        </w:rPr>
        <w:t>رٍ</w:t>
      </w:r>
      <w:r w:rsidRPr="0067048A">
        <w:rPr>
          <w:rFonts w:ascii="KFGQPC Uthmanic Script HAFS" w:cs="KFGQPC Uthmanic Script HAFS" w:hint="cs"/>
          <w:sz w:val="28"/>
          <w:szCs w:val="28"/>
          <w:rtl/>
        </w:rPr>
        <w:t>ۚ</w:t>
      </w:r>
      <w:r w:rsidRPr="0067048A">
        <w:rPr>
          <w:rFonts w:ascii="KFGQPC Uthmanic Script HAFS" w:cs="KFGQPC Uthmanic Script HAFS"/>
          <w:sz w:val="28"/>
          <w:szCs w:val="28"/>
          <w:rtl/>
        </w:rPr>
        <w:t xml:space="preserve"> </w:t>
      </w:r>
      <w:r w:rsidRPr="0067048A">
        <w:rPr>
          <w:rFonts w:ascii="KFGQPC Uthmanic Script HAFS" w:cs="KFGQPC Uthmanic Script HAFS" w:hint="eastAsia"/>
          <w:sz w:val="28"/>
          <w:szCs w:val="28"/>
          <w:rtl/>
        </w:rPr>
        <w:t>إِن</w:t>
      </w:r>
      <w:r w:rsidRPr="0067048A">
        <w:rPr>
          <w:rFonts w:ascii="KFGQPC Uthmanic Script HAFS" w:cs="KFGQPC Uthmanic Script HAFS" w:hint="cs"/>
          <w:sz w:val="28"/>
          <w:szCs w:val="28"/>
          <w:rtl/>
        </w:rPr>
        <w:t>ۡ</w:t>
      </w:r>
      <w:r w:rsidRPr="0067048A">
        <w:rPr>
          <w:rFonts w:ascii="KFGQPC Uthmanic Script HAFS" w:cs="KFGQPC Uthmanic Script HAFS"/>
          <w:sz w:val="28"/>
          <w:szCs w:val="28"/>
          <w:rtl/>
        </w:rPr>
        <w:t xml:space="preserve"> </w:t>
      </w:r>
      <w:r w:rsidRPr="0067048A">
        <w:rPr>
          <w:rFonts w:ascii="KFGQPC Uthmanic Script HAFS" w:cs="KFGQPC Uthmanic Script HAFS" w:hint="eastAsia"/>
          <w:sz w:val="28"/>
          <w:szCs w:val="28"/>
          <w:rtl/>
        </w:rPr>
        <w:t>هُوَ</w:t>
      </w:r>
      <w:r w:rsidRPr="0067048A">
        <w:rPr>
          <w:rFonts w:ascii="KFGQPC Uthmanic Script HAFS" w:cs="KFGQPC Uthmanic Script HAFS"/>
          <w:sz w:val="28"/>
          <w:szCs w:val="28"/>
          <w:rtl/>
        </w:rPr>
        <w:t xml:space="preserve"> </w:t>
      </w:r>
      <w:r w:rsidRPr="0067048A">
        <w:rPr>
          <w:rFonts w:ascii="KFGQPC Uthmanic Script HAFS" w:cs="KFGQPC Uthmanic Script HAFS" w:hint="eastAsia"/>
          <w:sz w:val="28"/>
          <w:szCs w:val="28"/>
          <w:rtl/>
        </w:rPr>
        <w:t>إِلَّا</w:t>
      </w:r>
      <w:r w:rsidRPr="0067048A">
        <w:rPr>
          <w:rFonts w:ascii="KFGQPC Uthmanic Script HAFS" w:cs="KFGQPC Uthmanic Script HAFS"/>
          <w:sz w:val="28"/>
          <w:szCs w:val="28"/>
          <w:rtl/>
        </w:rPr>
        <w:t xml:space="preserve"> </w:t>
      </w:r>
      <w:r w:rsidRPr="0067048A">
        <w:rPr>
          <w:rFonts w:ascii="KFGQPC Uthmanic Script HAFS" w:cs="KFGQPC Uthmanic Script HAFS" w:hint="eastAsia"/>
          <w:sz w:val="28"/>
          <w:szCs w:val="28"/>
          <w:rtl/>
        </w:rPr>
        <w:t>ذِك</w:t>
      </w:r>
      <w:r w:rsidRPr="0067048A">
        <w:rPr>
          <w:rFonts w:ascii="KFGQPC Uthmanic Script HAFS" w:cs="KFGQPC Uthmanic Script HAFS" w:hint="cs"/>
          <w:sz w:val="28"/>
          <w:szCs w:val="28"/>
          <w:rtl/>
        </w:rPr>
        <w:t>ۡ</w:t>
      </w:r>
      <w:r w:rsidRPr="0067048A">
        <w:rPr>
          <w:rFonts w:ascii="KFGQPC Uthmanic Script HAFS" w:cs="KFGQPC Uthmanic Script HAFS" w:hint="eastAsia"/>
          <w:sz w:val="28"/>
          <w:szCs w:val="28"/>
          <w:rtl/>
        </w:rPr>
        <w:t>ر</w:t>
      </w:r>
      <w:r w:rsidRPr="0067048A">
        <w:rPr>
          <w:rFonts w:ascii="KFGQPC Uthmanic Script HAFS" w:cs="KFGQPC Uthmanic Script HAFS" w:hint="cs"/>
          <w:sz w:val="28"/>
          <w:szCs w:val="28"/>
          <w:rtl/>
        </w:rPr>
        <w:t>ٞ</w:t>
      </w:r>
      <w:r w:rsidRPr="0067048A">
        <w:rPr>
          <w:rFonts w:ascii="KFGQPC Uthmanic Script HAFS" w:cs="KFGQPC Uthmanic Script HAFS"/>
          <w:sz w:val="28"/>
          <w:szCs w:val="28"/>
          <w:rtl/>
        </w:rPr>
        <w:t xml:space="preserve"> </w:t>
      </w:r>
      <w:r w:rsidRPr="0067048A">
        <w:rPr>
          <w:rFonts w:ascii="KFGQPC Uthmanic Script HAFS" w:cs="KFGQPC Uthmanic Script HAFS" w:hint="eastAsia"/>
          <w:sz w:val="28"/>
          <w:szCs w:val="28"/>
          <w:rtl/>
        </w:rPr>
        <w:t>لِّل</w:t>
      </w:r>
      <w:r w:rsidRPr="0067048A">
        <w:rPr>
          <w:rFonts w:ascii="KFGQPC Uthmanic Script HAFS" w:cs="KFGQPC Uthmanic Script HAFS" w:hint="cs"/>
          <w:sz w:val="28"/>
          <w:szCs w:val="28"/>
          <w:rtl/>
        </w:rPr>
        <w:t>ۡ</w:t>
      </w:r>
      <w:r w:rsidRPr="0067048A">
        <w:rPr>
          <w:rFonts w:ascii="KFGQPC Uthmanic Script HAFS" w:cs="KFGQPC Uthmanic Script HAFS" w:hint="eastAsia"/>
          <w:sz w:val="28"/>
          <w:szCs w:val="28"/>
          <w:rtl/>
        </w:rPr>
        <w:t>عَ</w:t>
      </w:r>
      <w:r w:rsidRPr="0067048A">
        <w:rPr>
          <w:rFonts w:ascii="KFGQPC Uthmanic Script HAFS" w:cs="KFGQPC Uthmanic Script HAFS" w:hint="cs"/>
          <w:sz w:val="28"/>
          <w:szCs w:val="28"/>
          <w:rtl/>
        </w:rPr>
        <w:t>ٰ</w:t>
      </w:r>
      <w:r w:rsidRPr="0067048A">
        <w:rPr>
          <w:rFonts w:ascii="KFGQPC Uthmanic Script HAFS" w:cs="KFGQPC Uthmanic Script HAFS" w:hint="eastAsia"/>
          <w:sz w:val="28"/>
          <w:szCs w:val="28"/>
          <w:rtl/>
        </w:rPr>
        <w:t>لَمِينَ</w:t>
      </w:r>
      <w:r w:rsidRPr="00995B26">
        <w:rPr>
          <w:rFonts w:cs="Traditional Arabic" w:hint="cs"/>
          <w:sz w:val="28"/>
          <w:rtl/>
        </w:rPr>
        <w:t>﴾</w:t>
      </w:r>
      <w:r w:rsidR="005C664D" w:rsidRPr="003F3B94">
        <w:rPr>
          <w:rFonts w:hint="cs"/>
          <w:sz w:val="28"/>
          <w:rtl/>
        </w:rPr>
        <w:t xml:space="preserve"> </w:t>
      </w:r>
      <w:r w:rsidR="005C664D" w:rsidRPr="003108CB">
        <w:rPr>
          <w:rStyle w:val="Char2"/>
          <w:rtl/>
        </w:rPr>
        <w:t>[يوسف</w:t>
      </w:r>
      <w:r w:rsidRPr="003108CB">
        <w:rPr>
          <w:rStyle w:val="Char2"/>
          <w:rFonts w:hint="cs"/>
          <w:rtl/>
        </w:rPr>
        <w:t xml:space="preserve">: </w:t>
      </w:r>
      <w:r w:rsidR="005C664D" w:rsidRPr="003108CB">
        <w:rPr>
          <w:rStyle w:val="Char2"/>
          <w:rtl/>
        </w:rPr>
        <w:t>104]</w:t>
      </w:r>
    </w:p>
    <w:p w:rsidR="005C664D" w:rsidRPr="003F3B94" w:rsidRDefault="005C664D" w:rsidP="003F3B94">
      <w:pPr>
        <w:pStyle w:val="a0"/>
        <w:rPr>
          <w:rFonts w:hint="cs"/>
          <w:rtl/>
        </w:rPr>
      </w:pPr>
      <w:r w:rsidRPr="003F3B94">
        <w:rPr>
          <w:rFonts w:hint="cs"/>
          <w:sz w:val="28"/>
          <w:rtl/>
        </w:rPr>
        <w:t>إذن</w:t>
      </w:r>
      <w:r w:rsidR="001E0DB7" w:rsidRPr="003F3B94">
        <w:rPr>
          <w:rFonts w:hint="cs"/>
          <w:sz w:val="28"/>
          <w:rtl/>
        </w:rPr>
        <w:t>،</w:t>
      </w:r>
      <w:r w:rsidRPr="003F3B94">
        <w:rPr>
          <w:rFonts w:hint="cs"/>
          <w:sz w:val="28"/>
          <w:rtl/>
        </w:rPr>
        <w:t xml:space="preserve"> بحكم سيرة عامة النبيِّين ونهجهم الواضح وبحكم الآيات الكريمات الخاصة بشأن عدم سؤال نبي آخر الزمان أي أجر أو مال من الناس تلقاء تبليغه إياهم رسالته</w:t>
      </w:r>
      <w:r w:rsidR="001E0DB7" w:rsidRPr="003F3B94">
        <w:rPr>
          <w:rFonts w:hint="cs"/>
          <w:sz w:val="28"/>
          <w:rtl/>
        </w:rPr>
        <w:t>،</w:t>
      </w:r>
      <w:r w:rsidRPr="003F3B94">
        <w:rPr>
          <w:rFonts w:hint="cs"/>
          <w:sz w:val="28"/>
          <w:rtl/>
        </w:rPr>
        <w:t xml:space="preserve"> فإنه يصبح من المُسَلَّم به تماماً أنه لا يمكن أن يكون للنبيّ</w:t>
      </w:r>
      <w:r w:rsidR="00147857" w:rsidRPr="003F3B94">
        <w:rPr>
          <w:rFonts w:hint="cs"/>
          <w:sz w:val="28"/>
          <w:rtl/>
        </w:rPr>
        <w:t xml:space="preserve"> </w:t>
      </w:r>
      <w:r w:rsidR="003C7AEB" w:rsidRPr="003C7AEB">
        <w:rPr>
          <w:rFonts w:ascii="Abo-thar" w:hAnsi="Abo-thar" w:cs="CTraditional Arabic" w:hint="cs"/>
          <w:sz w:val="28"/>
          <w:rtl/>
        </w:rPr>
        <w:t>ص</w:t>
      </w:r>
      <w:r w:rsidR="00147857" w:rsidRPr="003F3B94">
        <w:rPr>
          <w:rFonts w:ascii="Abo-thar" w:hAnsi="Abo-thar" w:hint="cs"/>
          <w:sz w:val="28"/>
          <w:rtl/>
        </w:rPr>
        <w:t xml:space="preserve"> </w:t>
      </w:r>
      <w:r w:rsidRPr="003F3B94">
        <w:rPr>
          <w:rFonts w:hint="cs"/>
          <w:sz w:val="28"/>
          <w:rtl/>
        </w:rPr>
        <w:t>أي امتيازات مالية له أو لأسرته</w:t>
      </w:r>
      <w:r w:rsidR="00217AB4" w:rsidRPr="003F3B94">
        <w:rPr>
          <w:rFonts w:hint="cs"/>
          <w:sz w:val="28"/>
          <w:rtl/>
        </w:rPr>
        <w:t>.</w:t>
      </w:r>
      <w:r w:rsidRPr="003F3B94">
        <w:rPr>
          <w:rFonts w:hint="cs"/>
          <w:sz w:val="28"/>
          <w:rtl/>
        </w:rPr>
        <w:t xml:space="preserve"> </w:t>
      </w:r>
    </w:p>
    <w:p w:rsidR="005C664D" w:rsidRPr="003F3B94" w:rsidRDefault="005C664D" w:rsidP="003F3B94">
      <w:pPr>
        <w:pStyle w:val="a0"/>
        <w:rPr>
          <w:rFonts w:hint="cs"/>
          <w:rtl/>
        </w:rPr>
      </w:pPr>
      <w:r w:rsidRPr="003F3B94">
        <w:rPr>
          <w:rFonts w:hint="cs"/>
          <w:sz w:val="28"/>
          <w:rtl/>
        </w:rPr>
        <w:t>إذا عرفنا ذلك فثمة سؤال يطرح نفسه</w:t>
      </w:r>
      <w:r w:rsidR="00217AB4" w:rsidRPr="003F3B94">
        <w:rPr>
          <w:rFonts w:hint="cs"/>
          <w:sz w:val="28"/>
          <w:rtl/>
        </w:rPr>
        <w:t>:</w:t>
      </w:r>
      <w:r w:rsidRPr="003F3B94">
        <w:rPr>
          <w:rFonts w:hint="cs"/>
          <w:sz w:val="28"/>
          <w:rtl/>
        </w:rPr>
        <w:t xml:space="preserve"> ما الدليل على وجوب أن يخصَّصَ خمس جميع ثروات الدنيا أو على الأقل خمس جميع ثروات المسلمين في العالم لأسرة واحدة معينة لا</w:t>
      </w:r>
      <w:r w:rsidRPr="003F3B94">
        <w:rPr>
          <w:rFonts w:cs="Times New Roman" w:hint="cs"/>
          <w:sz w:val="28"/>
          <w:rtl/>
        </w:rPr>
        <w:t> </w:t>
      </w:r>
      <w:r w:rsidRPr="003F3B94">
        <w:rPr>
          <w:rFonts w:hint="cs"/>
          <w:sz w:val="28"/>
          <w:rtl/>
        </w:rPr>
        <w:t xml:space="preserve">يزيد عدد أفرادها </w:t>
      </w:r>
      <w:r w:rsidR="00217AB4" w:rsidRPr="003F3B94">
        <w:rPr>
          <w:rFonts w:hint="cs"/>
          <w:sz w:val="28"/>
          <w:rtl/>
        </w:rPr>
        <w:t>-</w:t>
      </w:r>
      <w:r w:rsidRPr="003F3B94">
        <w:rPr>
          <w:rFonts w:hint="cs"/>
          <w:sz w:val="28"/>
          <w:rtl/>
        </w:rPr>
        <w:t xml:space="preserve"> سواء كانوا من أفرادها فعلاً أم مدَّعين لذلك </w:t>
      </w:r>
      <w:r w:rsidR="00217AB4" w:rsidRPr="003F3B94">
        <w:rPr>
          <w:rFonts w:hint="cs"/>
          <w:sz w:val="28"/>
          <w:rtl/>
        </w:rPr>
        <w:t>-</w:t>
      </w:r>
      <w:r w:rsidR="00147857" w:rsidRPr="003F3B94">
        <w:rPr>
          <w:rFonts w:hint="cs"/>
          <w:sz w:val="28"/>
          <w:rtl/>
        </w:rPr>
        <w:t xml:space="preserve"> </w:t>
      </w:r>
      <w:r w:rsidRPr="003F3B94">
        <w:rPr>
          <w:rFonts w:hint="cs"/>
          <w:sz w:val="28"/>
          <w:rtl/>
        </w:rPr>
        <w:t>عن واحد من كل ثلاث</w:t>
      </w:r>
      <w:r w:rsidR="00755AAC">
        <w:rPr>
          <w:rFonts w:hint="cs"/>
          <w:sz w:val="28"/>
          <w:rtl/>
        </w:rPr>
        <w:t>مائة</w:t>
      </w:r>
      <w:r w:rsidRPr="003F3B94">
        <w:rPr>
          <w:rFonts w:hint="cs"/>
          <w:sz w:val="28"/>
          <w:rtl/>
        </w:rPr>
        <w:t xml:space="preserve"> من المسلمين أو واحد بالمليون من جميع سكان العالم</w:t>
      </w:r>
      <w:r w:rsidR="00217AB4" w:rsidRPr="003F3B94">
        <w:rPr>
          <w:rFonts w:hint="cs"/>
          <w:sz w:val="28"/>
          <w:rtl/>
        </w:rPr>
        <w:t>؟</w:t>
      </w:r>
      <w:r w:rsidRPr="003F3B94">
        <w:rPr>
          <w:rFonts w:hint="cs"/>
          <w:sz w:val="28"/>
          <w:rtl/>
        </w:rPr>
        <w:t xml:space="preserve"> </w:t>
      </w:r>
    </w:p>
    <w:p w:rsidR="005C664D" w:rsidRPr="003F3B94" w:rsidRDefault="005C664D" w:rsidP="003F3B94">
      <w:pPr>
        <w:pStyle w:val="a0"/>
        <w:rPr>
          <w:rFonts w:hint="cs"/>
          <w:rtl/>
        </w:rPr>
      </w:pPr>
      <w:r w:rsidRPr="003F3B94">
        <w:rPr>
          <w:rFonts w:hint="cs"/>
          <w:sz w:val="28"/>
          <w:rtl/>
        </w:rPr>
        <w:t>وذلك لأنه طبقاً لفتاوى الفقهاء الماضيين</w:t>
      </w:r>
      <w:r w:rsidR="00147857" w:rsidRPr="003F3B94">
        <w:rPr>
          <w:rFonts w:hint="cs"/>
          <w:sz w:val="28"/>
          <w:rtl/>
        </w:rPr>
        <w:t xml:space="preserve"> و</w:t>
      </w:r>
      <w:r w:rsidRPr="003F3B94">
        <w:rPr>
          <w:rFonts w:hint="cs"/>
          <w:sz w:val="28"/>
          <w:rtl/>
        </w:rPr>
        <w:t>الحاضرين يجب أداء الخمس من خمسة وعشرين شيئاً بل أكثر من ذلك أي يجب أداء خمس جميع أنواع ثروات الدنيا التي بأيدي المسلمين للهاشميين الذين لا يوجد منهم أحد اليوم إلا أولاد فاطمة وربما أولاد العباس وعقيل</w:t>
      </w:r>
      <w:r w:rsidR="00217AB4" w:rsidRPr="003F3B94">
        <w:rPr>
          <w:rFonts w:hint="cs"/>
          <w:sz w:val="28"/>
          <w:rtl/>
        </w:rPr>
        <w:t>.</w:t>
      </w:r>
      <w:r w:rsidRPr="003F3B94">
        <w:rPr>
          <w:rFonts w:hint="cs"/>
          <w:sz w:val="28"/>
          <w:rtl/>
        </w:rPr>
        <w:t xml:space="preserve"> </w:t>
      </w:r>
    </w:p>
    <w:p w:rsidR="005C664D" w:rsidRPr="003F3B94" w:rsidRDefault="005C664D" w:rsidP="003F3B94">
      <w:pPr>
        <w:pStyle w:val="a0"/>
        <w:rPr>
          <w:rFonts w:hint="cs"/>
          <w:rtl/>
        </w:rPr>
      </w:pPr>
      <w:r w:rsidRPr="003F3B94">
        <w:rPr>
          <w:rFonts w:hint="cs"/>
          <w:sz w:val="28"/>
          <w:rtl/>
        </w:rPr>
        <w:t>وإذا صرفنا النظر عن آيات القرآن الكريمة وعن سيرة عامة النبيين ونهجهم</w:t>
      </w:r>
      <w:r w:rsidR="001E0DB7" w:rsidRPr="003F3B94">
        <w:rPr>
          <w:rFonts w:hint="cs"/>
          <w:sz w:val="28"/>
          <w:rtl/>
        </w:rPr>
        <w:t>،</w:t>
      </w:r>
      <w:r w:rsidRPr="003F3B94">
        <w:rPr>
          <w:rFonts w:hint="cs"/>
          <w:sz w:val="28"/>
          <w:rtl/>
        </w:rPr>
        <w:t xml:space="preserve"> فإن كل من يرجع إلى سيرة نبيِّ الإسلام</w:t>
      </w:r>
      <w:r w:rsidR="00147857" w:rsidRPr="003F3B94">
        <w:rPr>
          <w:rFonts w:ascii="Abo-thar" w:hAnsi="Abo-thar" w:hint="cs"/>
          <w:sz w:val="28"/>
          <w:rtl/>
        </w:rPr>
        <w:t xml:space="preserve"> </w:t>
      </w:r>
      <w:r w:rsidR="003C7AEB" w:rsidRPr="003C7AEB">
        <w:rPr>
          <w:rFonts w:ascii="Abo-thar" w:hAnsi="Abo-thar" w:cs="CTraditional Arabic" w:hint="cs"/>
          <w:sz w:val="28"/>
          <w:rtl/>
        </w:rPr>
        <w:t>ص</w:t>
      </w:r>
      <w:r w:rsidR="00147857" w:rsidRPr="003F3B94">
        <w:rPr>
          <w:rFonts w:ascii="Abo-thar" w:hAnsi="Abo-thar" w:hint="cs"/>
          <w:sz w:val="28"/>
          <w:rtl/>
        </w:rPr>
        <w:t xml:space="preserve"> </w:t>
      </w:r>
      <w:r w:rsidRPr="003F3B94">
        <w:rPr>
          <w:rFonts w:hint="cs"/>
          <w:sz w:val="28"/>
          <w:rtl/>
        </w:rPr>
        <w:t>يرى كيف أن ذلك النبي صاحب تلك السيرة العظيمة والمذهلة</w:t>
      </w:r>
      <w:r w:rsidR="001E0DB7" w:rsidRPr="003F3B94">
        <w:rPr>
          <w:rFonts w:hint="cs"/>
          <w:sz w:val="28"/>
          <w:rtl/>
        </w:rPr>
        <w:t>،</w:t>
      </w:r>
      <w:r w:rsidRPr="003F3B94">
        <w:rPr>
          <w:rFonts w:hint="cs"/>
          <w:sz w:val="28"/>
          <w:rtl/>
        </w:rPr>
        <w:t xml:space="preserve"> والمليئة بالفخار</w:t>
      </w:r>
      <w:r w:rsidR="001E0DB7" w:rsidRPr="003F3B94">
        <w:rPr>
          <w:rFonts w:hint="cs"/>
          <w:sz w:val="28"/>
          <w:rtl/>
        </w:rPr>
        <w:t>،</w:t>
      </w:r>
      <w:r w:rsidR="00147857" w:rsidRPr="003F3B94">
        <w:rPr>
          <w:rFonts w:hint="cs"/>
          <w:sz w:val="28"/>
          <w:rtl/>
        </w:rPr>
        <w:t xml:space="preserve"> و</w:t>
      </w:r>
      <w:r w:rsidRPr="003F3B94">
        <w:rPr>
          <w:rFonts w:hint="cs"/>
          <w:sz w:val="28"/>
          <w:rtl/>
        </w:rPr>
        <w:t>المحيرة للعقول</w:t>
      </w:r>
      <w:r w:rsidR="001E0DB7" w:rsidRPr="003F3B94">
        <w:rPr>
          <w:rFonts w:hint="cs"/>
          <w:sz w:val="28"/>
          <w:rtl/>
        </w:rPr>
        <w:t>،</w:t>
      </w:r>
      <w:r w:rsidRPr="003F3B94">
        <w:rPr>
          <w:rFonts w:hint="cs"/>
          <w:sz w:val="28"/>
          <w:rtl/>
        </w:rPr>
        <w:t xml:space="preserve"> الذي كان يمر عليه أشهر دون أن يوقد في بيته نار لطبخ الطعام</w:t>
      </w:r>
      <w:r w:rsidR="00147857" w:rsidRPr="003F3B94">
        <w:rPr>
          <w:rFonts w:hint="cs"/>
          <w:sz w:val="28"/>
          <w:rtl/>
        </w:rPr>
        <w:t xml:space="preserve"> و</w:t>
      </w:r>
      <w:r w:rsidRPr="003F3B94">
        <w:rPr>
          <w:rFonts w:hint="cs"/>
          <w:sz w:val="28"/>
          <w:rtl/>
        </w:rPr>
        <w:t>الذي كان يضع الحجر أحياناً على بطنه الشريفة من شدة الجوع</w:t>
      </w:r>
      <w:r w:rsidR="001E0DB7" w:rsidRPr="003F3B94">
        <w:rPr>
          <w:rFonts w:hint="cs"/>
          <w:sz w:val="28"/>
          <w:rtl/>
        </w:rPr>
        <w:t>،</w:t>
      </w:r>
      <w:r w:rsidRPr="003F3B94">
        <w:rPr>
          <w:rFonts w:hint="cs"/>
          <w:sz w:val="28"/>
          <w:rtl/>
        </w:rPr>
        <w:t xml:space="preserve"> ويوم رحيله من الدنيا رهن </w:t>
      </w:r>
      <w:r w:rsidR="00217AB4" w:rsidRPr="003F3B94">
        <w:rPr>
          <w:rFonts w:hint="cs"/>
          <w:sz w:val="28"/>
          <w:rtl/>
        </w:rPr>
        <w:t>-</w:t>
      </w:r>
      <w:r w:rsidR="009E3C80" w:rsidRPr="003F3B94">
        <w:rPr>
          <w:rFonts w:hint="cs"/>
          <w:sz w:val="28"/>
          <w:rtl/>
        </w:rPr>
        <w:t xml:space="preserve"> </w:t>
      </w:r>
      <w:r w:rsidRPr="003F3B94">
        <w:rPr>
          <w:rFonts w:hint="cs"/>
          <w:sz w:val="28"/>
          <w:rtl/>
        </w:rPr>
        <w:t>فداه أبي وأمي</w:t>
      </w:r>
      <w:r w:rsidR="009E3C80" w:rsidRPr="003F3B94">
        <w:rPr>
          <w:rFonts w:hint="cs"/>
          <w:sz w:val="28"/>
          <w:rtl/>
        </w:rPr>
        <w:t xml:space="preserve"> </w:t>
      </w:r>
      <w:r w:rsidR="00217AB4" w:rsidRPr="003F3B94">
        <w:rPr>
          <w:rFonts w:hint="cs"/>
          <w:sz w:val="28"/>
          <w:rtl/>
        </w:rPr>
        <w:t>-</w:t>
      </w:r>
      <w:r w:rsidRPr="003F3B94">
        <w:rPr>
          <w:rFonts w:hint="cs"/>
          <w:sz w:val="28"/>
          <w:rtl/>
        </w:rPr>
        <w:t xml:space="preserve"> درعه في بيت يهودي ليأخذ منه بضع دراهم ليفي بها قرضاً كان عليه</w:t>
      </w:r>
      <w:r w:rsidR="001E0DB7" w:rsidRPr="003F3B94">
        <w:rPr>
          <w:rFonts w:hint="cs"/>
          <w:sz w:val="28"/>
          <w:rtl/>
        </w:rPr>
        <w:t>،</w:t>
      </w:r>
      <w:r w:rsidRPr="003F3B94">
        <w:rPr>
          <w:rFonts w:hint="cs"/>
          <w:sz w:val="28"/>
          <w:rtl/>
        </w:rPr>
        <w:t xml:space="preserve"> والذي لم يرضَ أن يعطي ابنته خادمة تخدمها رغم كل مشقة الحياة التي كانت ابنته تعاني منها</w:t>
      </w:r>
      <w:r w:rsidR="00217AB4" w:rsidRPr="003F3B94">
        <w:rPr>
          <w:rFonts w:hint="cs"/>
          <w:sz w:val="28"/>
          <w:rtl/>
        </w:rPr>
        <w:t>،</w:t>
      </w:r>
      <w:r w:rsidRPr="003F3B94">
        <w:rPr>
          <w:rFonts w:hint="cs"/>
          <w:sz w:val="28"/>
          <w:rtl/>
        </w:rPr>
        <w:t xml:space="preserve"> هذا رغم وجود ثروات</w:t>
      </w:r>
      <w:r w:rsidR="00147857" w:rsidRPr="003F3B94">
        <w:rPr>
          <w:rFonts w:hint="cs"/>
          <w:sz w:val="28"/>
          <w:rtl/>
        </w:rPr>
        <w:t xml:space="preserve"> و</w:t>
      </w:r>
      <w:r w:rsidRPr="003F3B94">
        <w:rPr>
          <w:rFonts w:hint="cs"/>
          <w:sz w:val="28"/>
          <w:rtl/>
        </w:rPr>
        <w:t>إماء كثيرات تحت تصرفه</w:t>
      </w:r>
      <w:r w:rsidR="00147857" w:rsidRPr="003F3B94">
        <w:rPr>
          <w:rFonts w:hint="cs"/>
          <w:sz w:val="28"/>
          <w:rtl/>
        </w:rPr>
        <w:t xml:space="preserve"> </w:t>
      </w:r>
      <w:r w:rsidRPr="003F3B94">
        <w:rPr>
          <w:rFonts w:hint="cs"/>
          <w:sz w:val="28"/>
          <w:rtl/>
        </w:rPr>
        <w:t>[بوصفه رئيس الدولة] ومع ذلك لم يعطِ حبيبة الله ورسوله تلك ما طلبته بل علَّمها عِوَضاً عن ذلك التسبيحات المعروفة بتسبيحات فاطمة الزهراء</w:t>
      </w:r>
      <w:r w:rsidR="00217AB4" w:rsidRPr="003F3B94">
        <w:rPr>
          <w:rFonts w:hint="cs"/>
          <w:sz w:val="28"/>
          <w:rtl/>
        </w:rPr>
        <w:t>،</w:t>
      </w:r>
      <w:r w:rsidRPr="003F3B94">
        <w:rPr>
          <w:rFonts w:hint="cs"/>
          <w:sz w:val="28"/>
          <w:rtl/>
        </w:rPr>
        <w:t xml:space="preserve"> وكان لا يرغب أن تهتم ابنته أدنى اهتمام بزخارف الدنيا</w:t>
      </w:r>
      <w:r w:rsidR="00147857" w:rsidRPr="003F3B94">
        <w:rPr>
          <w:rFonts w:hint="cs"/>
          <w:sz w:val="28"/>
          <w:rtl/>
        </w:rPr>
        <w:t xml:space="preserve"> و</w:t>
      </w:r>
      <w:r w:rsidRPr="003F3B94">
        <w:rPr>
          <w:rFonts w:hint="cs"/>
          <w:sz w:val="28"/>
          <w:rtl/>
        </w:rPr>
        <w:t>زينتها</w:t>
      </w:r>
      <w:r w:rsidR="00147857" w:rsidRPr="003F3B94">
        <w:rPr>
          <w:rFonts w:hint="cs"/>
          <w:sz w:val="28"/>
          <w:rtl/>
        </w:rPr>
        <w:t xml:space="preserve"> و</w:t>
      </w:r>
      <w:r w:rsidRPr="003F3B94">
        <w:rPr>
          <w:rFonts w:hint="cs"/>
          <w:sz w:val="28"/>
          <w:rtl/>
        </w:rPr>
        <w:t>حليها</w:t>
      </w:r>
      <w:r w:rsidR="00217AB4" w:rsidRPr="003F3B94">
        <w:rPr>
          <w:rFonts w:hint="cs"/>
          <w:sz w:val="28"/>
          <w:rtl/>
        </w:rPr>
        <w:t>،</w:t>
      </w:r>
      <w:r w:rsidRPr="003F3B94">
        <w:rPr>
          <w:rFonts w:hint="cs"/>
          <w:sz w:val="28"/>
          <w:rtl/>
        </w:rPr>
        <w:t xml:space="preserve"> إلى درجة أنه لما رأى يوماً عقداً على جيد ابنته</w:t>
      </w:r>
      <w:r w:rsidR="00147857" w:rsidRPr="003F3B94">
        <w:rPr>
          <w:rFonts w:hint="cs"/>
          <w:sz w:val="28"/>
          <w:rtl/>
        </w:rPr>
        <w:t xml:space="preserve"> و</w:t>
      </w:r>
      <w:r w:rsidRPr="003F3B94">
        <w:rPr>
          <w:rFonts w:hint="cs"/>
          <w:sz w:val="28"/>
          <w:rtl/>
        </w:rPr>
        <w:t>خلاخل على أقدام أبنائها</w:t>
      </w:r>
      <w:r w:rsidR="00147857" w:rsidRPr="003F3B94">
        <w:rPr>
          <w:rFonts w:hint="cs"/>
          <w:sz w:val="28"/>
          <w:rtl/>
        </w:rPr>
        <w:t xml:space="preserve"> و</w:t>
      </w:r>
      <w:r w:rsidRPr="003F3B94">
        <w:rPr>
          <w:rFonts w:hint="cs"/>
          <w:sz w:val="28"/>
          <w:rtl/>
        </w:rPr>
        <w:t>ستارة مزينة على بيتها أعرض عن تلك الطاهرة المُطَهَّرة المظلومة</w:t>
      </w:r>
      <w:r w:rsidR="001E0DB7" w:rsidRPr="003F3B94">
        <w:rPr>
          <w:rFonts w:hint="cs"/>
          <w:sz w:val="28"/>
          <w:rtl/>
        </w:rPr>
        <w:t>،</w:t>
      </w:r>
      <w:r w:rsidRPr="003F3B94">
        <w:rPr>
          <w:rFonts w:hint="cs"/>
          <w:sz w:val="28"/>
          <w:rtl/>
        </w:rPr>
        <w:t xml:space="preserve"> حتى قامت تلك المعصومة بما قامت به</w:t>
      </w:r>
      <w:r w:rsidR="001E0DB7" w:rsidRPr="003F3B94">
        <w:rPr>
          <w:rFonts w:hint="cs"/>
          <w:sz w:val="28"/>
          <w:rtl/>
        </w:rPr>
        <w:t>،</w:t>
      </w:r>
      <w:r w:rsidRPr="003F3B94">
        <w:rPr>
          <w:rFonts w:hint="cs"/>
          <w:sz w:val="28"/>
          <w:rtl/>
        </w:rPr>
        <w:t xml:space="preserve"> مما بيناه فيما سبق</w:t>
      </w:r>
      <w:r w:rsidR="00217AB4" w:rsidRPr="003F3B94">
        <w:rPr>
          <w:rFonts w:hint="cs"/>
          <w:sz w:val="28"/>
          <w:rtl/>
        </w:rPr>
        <w:t>.</w:t>
      </w:r>
      <w:r w:rsidRPr="003F3B94">
        <w:rPr>
          <w:rFonts w:hint="cs"/>
          <w:sz w:val="28"/>
          <w:rtl/>
        </w:rPr>
        <w:t xml:space="preserve"> </w:t>
      </w:r>
    </w:p>
    <w:p w:rsidR="005C664D" w:rsidRPr="003F3B94" w:rsidRDefault="00147857" w:rsidP="003F3B94">
      <w:pPr>
        <w:pStyle w:val="a0"/>
        <w:rPr>
          <w:rFonts w:hint="cs"/>
          <w:rtl/>
        </w:rPr>
      </w:pPr>
      <w:r w:rsidRPr="003F3B94">
        <w:rPr>
          <w:rFonts w:hint="cs"/>
          <w:sz w:val="28"/>
          <w:rtl/>
        </w:rPr>
        <w:t xml:space="preserve"> </w:t>
      </w:r>
      <w:r w:rsidR="005C664D" w:rsidRPr="003F3B94">
        <w:rPr>
          <w:rFonts w:hint="cs"/>
          <w:sz w:val="28"/>
          <w:rtl/>
        </w:rPr>
        <w:t xml:space="preserve">فهل يمكن لمثل هذا النبي أن يفرض على أمته إعطاء خمس أرباح المكاسب والمعادن والغوص والغنائم والكنوز وخمسة وعشـرين شيئاً </w:t>
      </w:r>
      <w:r w:rsidR="00217AB4" w:rsidRPr="003F3B94">
        <w:rPr>
          <w:rFonts w:hint="cs"/>
          <w:sz w:val="28"/>
          <w:rtl/>
        </w:rPr>
        <w:t>-</w:t>
      </w:r>
      <w:r w:rsidR="005C664D" w:rsidRPr="003F3B94">
        <w:rPr>
          <w:rFonts w:hint="cs"/>
          <w:sz w:val="28"/>
          <w:rtl/>
        </w:rPr>
        <w:t xml:space="preserve"> حسب قول فقهاء السلف </w:t>
      </w:r>
      <w:r w:rsidR="005C664D" w:rsidRPr="003F3B94">
        <w:rPr>
          <w:rFonts w:cs="Times New Roman" w:hint="cs"/>
          <w:sz w:val="28"/>
          <w:rtl/>
        </w:rPr>
        <w:t>–</w:t>
      </w:r>
      <w:r w:rsidR="005C664D" w:rsidRPr="003F3B94">
        <w:rPr>
          <w:rFonts w:hint="cs"/>
          <w:sz w:val="28"/>
          <w:rtl/>
        </w:rPr>
        <w:t xml:space="preserve"> </w:t>
      </w:r>
      <w:r w:rsidR="005C664D" w:rsidRPr="003F3B94">
        <w:rPr>
          <w:rFonts w:ascii="mylotus" w:hAnsi="mylotus" w:hint="cs"/>
          <w:sz w:val="28"/>
          <w:rtl/>
        </w:rPr>
        <w:t>أي</w:t>
      </w:r>
      <w:r w:rsidR="005C664D" w:rsidRPr="003F3B94">
        <w:rPr>
          <w:rFonts w:hint="cs"/>
          <w:sz w:val="28"/>
          <w:rtl/>
        </w:rPr>
        <w:t xml:space="preserve"> </w:t>
      </w:r>
      <w:r w:rsidR="005C664D" w:rsidRPr="003F3B94">
        <w:rPr>
          <w:rFonts w:ascii="mylotus" w:hAnsi="mylotus" w:hint="cs"/>
          <w:sz w:val="28"/>
          <w:rtl/>
        </w:rPr>
        <w:t>خُمس</w:t>
      </w:r>
      <w:r w:rsidR="005C664D" w:rsidRPr="003F3B94">
        <w:rPr>
          <w:rFonts w:hint="cs"/>
          <w:sz w:val="28"/>
          <w:rtl/>
        </w:rPr>
        <w:t xml:space="preserve"> </w:t>
      </w:r>
      <w:r w:rsidR="005C664D" w:rsidRPr="003F3B94">
        <w:rPr>
          <w:rFonts w:ascii="mylotus" w:hAnsi="mylotus" w:hint="cs"/>
          <w:sz w:val="28"/>
          <w:rtl/>
        </w:rPr>
        <w:t>جميع</w:t>
      </w:r>
      <w:r w:rsidR="005C664D" w:rsidRPr="003F3B94">
        <w:rPr>
          <w:rFonts w:hint="cs"/>
          <w:sz w:val="28"/>
          <w:rtl/>
        </w:rPr>
        <w:t xml:space="preserve"> </w:t>
      </w:r>
      <w:r w:rsidR="005C664D" w:rsidRPr="003F3B94">
        <w:rPr>
          <w:rFonts w:ascii="mylotus" w:hAnsi="mylotus" w:hint="cs"/>
          <w:sz w:val="28"/>
          <w:rtl/>
        </w:rPr>
        <w:t>ثروات</w:t>
      </w:r>
      <w:r w:rsidR="005C664D" w:rsidRPr="003F3B94">
        <w:rPr>
          <w:rFonts w:hint="cs"/>
          <w:sz w:val="28"/>
          <w:rtl/>
        </w:rPr>
        <w:t xml:space="preserve"> </w:t>
      </w:r>
      <w:r w:rsidR="005C664D" w:rsidRPr="003F3B94">
        <w:rPr>
          <w:rFonts w:ascii="mylotus" w:hAnsi="mylotus" w:hint="cs"/>
          <w:sz w:val="28"/>
          <w:rtl/>
        </w:rPr>
        <w:t>الدنيا</w:t>
      </w:r>
      <w:r w:rsidR="00217AB4" w:rsidRPr="003F3B94">
        <w:rPr>
          <w:rFonts w:hint="cs"/>
          <w:sz w:val="28"/>
          <w:rtl/>
        </w:rPr>
        <w:t>،</w:t>
      </w:r>
      <w:r w:rsidR="005C664D" w:rsidRPr="003F3B94">
        <w:rPr>
          <w:rFonts w:hint="cs"/>
          <w:sz w:val="28"/>
          <w:rtl/>
        </w:rPr>
        <w:t xml:space="preserve"> لأقربائه الذين كانوا ذلك اليوم أولاد وأحفاد الحارث</w:t>
      </w:r>
      <w:r w:rsidRPr="003F3B94">
        <w:rPr>
          <w:rFonts w:hint="cs"/>
          <w:sz w:val="28"/>
          <w:rtl/>
        </w:rPr>
        <w:t xml:space="preserve"> و</w:t>
      </w:r>
      <w:r w:rsidR="005C664D" w:rsidRPr="003F3B94">
        <w:rPr>
          <w:rFonts w:hint="cs"/>
          <w:sz w:val="28"/>
          <w:rtl/>
        </w:rPr>
        <w:t>أبو لهب الكافرين الوثنيين المشركين أو لأحفاد ابنته من بعده</w:t>
      </w:r>
      <w:r w:rsidR="00217AB4" w:rsidRPr="003F3B94">
        <w:rPr>
          <w:rFonts w:hint="cs"/>
          <w:sz w:val="28"/>
          <w:rtl/>
        </w:rPr>
        <w:t>؟!</w:t>
      </w:r>
      <w:r w:rsidR="005C664D" w:rsidRPr="003F3B94">
        <w:rPr>
          <w:rFonts w:hint="cs"/>
          <w:sz w:val="28"/>
          <w:rtl/>
        </w:rPr>
        <w:t xml:space="preserve"> والذين لو جمعوا في بلد مثل إيران التي فيها من السادة الأشراف أكثر مما في أي بلد آخر في الدنيا لوصل لكل منهم أكثر من ألف تومان</w:t>
      </w:r>
      <w:r w:rsidR="00217AB4" w:rsidRPr="0021507A">
        <w:rPr>
          <w:rFonts w:cs="Arabic11 BT"/>
          <w:b/>
          <w:sz w:val="28"/>
          <w:vertAlign w:val="superscript"/>
          <w:rtl/>
        </w:rPr>
        <w:t>(</w:t>
      </w:r>
      <w:r w:rsidR="005C664D" w:rsidRPr="0021507A">
        <w:rPr>
          <w:rStyle w:val="FootnoteReference"/>
          <w:rFonts w:cs="Arabic11 BT"/>
          <w:b/>
          <w:sz w:val="28"/>
          <w:rtl/>
        </w:rPr>
        <w:footnoteReference w:id="214"/>
      </w:r>
      <w:r w:rsidR="00217AB4" w:rsidRPr="0021507A">
        <w:rPr>
          <w:rFonts w:cs="Arabic11 BT"/>
          <w:b/>
          <w:sz w:val="28"/>
          <w:vertAlign w:val="superscript"/>
          <w:rtl/>
        </w:rPr>
        <w:t>)</w:t>
      </w:r>
      <w:r w:rsidR="005C664D" w:rsidRPr="003F3B94">
        <w:rPr>
          <w:rFonts w:hint="cs"/>
          <w:sz w:val="28"/>
          <w:rtl/>
        </w:rPr>
        <w:t xml:space="preserve"> في اليوم</w:t>
      </w:r>
      <w:r w:rsidR="00217AB4" w:rsidRPr="003F3B94">
        <w:rPr>
          <w:rFonts w:hint="cs"/>
          <w:sz w:val="28"/>
          <w:rtl/>
        </w:rPr>
        <w:t>؟!!</w:t>
      </w:r>
      <w:r w:rsidR="005C664D" w:rsidRPr="003F3B94">
        <w:rPr>
          <w:rFonts w:hint="cs"/>
          <w:sz w:val="28"/>
          <w:rtl/>
        </w:rPr>
        <w:t xml:space="preserve"> هذا إضافة إلى أن نصف ذلك الخمس أي ما يسمى اصطلاحاً </w:t>
      </w:r>
      <w:r w:rsidR="005C664D" w:rsidRPr="003F3B94">
        <w:rPr>
          <w:rFonts w:hint="eastAsia"/>
          <w:sz w:val="28"/>
          <w:rtl/>
        </w:rPr>
        <w:t>«</w:t>
      </w:r>
      <w:r w:rsidR="005C664D" w:rsidRPr="003F3B94">
        <w:rPr>
          <w:rFonts w:hint="cs"/>
          <w:sz w:val="28"/>
          <w:rtl/>
        </w:rPr>
        <w:t>سهم الإمام</w:t>
      </w:r>
      <w:r w:rsidRPr="003F3B94">
        <w:rPr>
          <w:rFonts w:hint="cs"/>
          <w:sz w:val="28"/>
          <w:rtl/>
        </w:rPr>
        <w:t>»</w:t>
      </w:r>
      <w:r w:rsidR="005C664D" w:rsidRPr="003F3B94">
        <w:rPr>
          <w:rFonts w:hint="cs"/>
          <w:sz w:val="28"/>
          <w:rtl/>
        </w:rPr>
        <w:t xml:space="preserve"> يجب</w:t>
      </w:r>
      <w:r w:rsidR="002834A4" w:rsidRPr="003F3B94">
        <w:rPr>
          <w:rFonts w:hint="cs"/>
          <w:sz w:val="28"/>
          <w:rtl/>
        </w:rPr>
        <w:t>،</w:t>
      </w:r>
      <w:r w:rsidR="005C664D" w:rsidRPr="003F3B94">
        <w:rPr>
          <w:rFonts w:hint="cs"/>
          <w:sz w:val="28"/>
          <w:rtl/>
        </w:rPr>
        <w:t xml:space="preserve"> حسب فتاوى الفقهاء الماضين</w:t>
      </w:r>
      <w:r w:rsidR="002834A4" w:rsidRPr="003F3B94">
        <w:rPr>
          <w:rFonts w:hint="cs"/>
          <w:sz w:val="28"/>
          <w:rtl/>
        </w:rPr>
        <w:t>،</w:t>
      </w:r>
      <w:r w:rsidR="005C664D" w:rsidRPr="003F3B94">
        <w:rPr>
          <w:rFonts w:hint="cs"/>
          <w:sz w:val="28"/>
          <w:rtl/>
        </w:rPr>
        <w:t xml:space="preserve"> أن يدفن في البيادي إلى يوم ظهور إمام الزمان الذي سينادي تلك الثروات والكنوز ويدعوها فتحضر لعنده</w:t>
      </w:r>
      <w:r w:rsidR="00217AB4" w:rsidRPr="003F3B94">
        <w:rPr>
          <w:rFonts w:hint="cs"/>
          <w:sz w:val="28"/>
          <w:rtl/>
        </w:rPr>
        <w:t>!!</w:t>
      </w:r>
      <w:r w:rsidR="005C664D" w:rsidRPr="003F3B94">
        <w:rPr>
          <w:rFonts w:hint="cs"/>
          <w:sz w:val="28"/>
          <w:rtl/>
        </w:rPr>
        <w:t xml:space="preserve"> أو أن يعزل كل من يجب عليه الخمس سهم الإمام من ماله جانباً إلى حين ظهور حضرة القائم ليسلمه إليه إذا أدرك ظهوره قبل أن تدركه الوفاة فإن لم يدرك ظهوره فعليه أن يعهد به إلى شخص أمين ليسلمه بدوره إلى القائم حين قيامه</w:t>
      </w:r>
      <w:r w:rsidR="00217AB4" w:rsidRPr="003F3B94">
        <w:rPr>
          <w:rFonts w:hint="cs"/>
          <w:sz w:val="28"/>
          <w:rtl/>
        </w:rPr>
        <w:t>،</w:t>
      </w:r>
      <w:r w:rsidR="005C664D" w:rsidRPr="003F3B94">
        <w:rPr>
          <w:rFonts w:hint="cs"/>
          <w:sz w:val="28"/>
          <w:rtl/>
        </w:rPr>
        <w:t xml:space="preserve"> أو أن يرميه في البحر ليصل ليد إمام الزمان</w:t>
      </w:r>
      <w:r w:rsidR="00217AB4" w:rsidRPr="003F3B94">
        <w:rPr>
          <w:rFonts w:hint="cs"/>
          <w:sz w:val="28"/>
          <w:rtl/>
        </w:rPr>
        <w:t>!!!</w:t>
      </w:r>
    </w:p>
    <w:p w:rsidR="005C664D" w:rsidRPr="003F3B94" w:rsidRDefault="005C664D" w:rsidP="003F3B94">
      <w:pPr>
        <w:pStyle w:val="a0"/>
        <w:rPr>
          <w:rFonts w:hint="cs"/>
          <w:rtl/>
        </w:rPr>
      </w:pPr>
      <w:r w:rsidRPr="003F3B94">
        <w:rPr>
          <w:rFonts w:hint="cs"/>
          <w:sz w:val="28"/>
          <w:rtl/>
        </w:rPr>
        <w:t xml:space="preserve">أما حسب فتوى فقهاء اليوم فيجب إعطاء سهم الأمام للسادة </w:t>
      </w:r>
      <w:r w:rsidR="00217AB4" w:rsidRPr="003F3B94">
        <w:rPr>
          <w:rFonts w:hint="cs"/>
          <w:sz w:val="28"/>
          <w:rtl/>
        </w:rPr>
        <w:t>(</w:t>
      </w:r>
      <w:r w:rsidRPr="003F3B94">
        <w:rPr>
          <w:rFonts w:hint="cs"/>
          <w:sz w:val="28"/>
          <w:rtl/>
        </w:rPr>
        <w:t>المنسوبين للنبي</w:t>
      </w:r>
      <w:r w:rsidR="00147857" w:rsidRPr="003F3B94">
        <w:rPr>
          <w:rFonts w:hint="cs"/>
          <w:sz w:val="28"/>
          <w:rtl/>
        </w:rPr>
        <w:t xml:space="preserve"> </w:t>
      </w:r>
      <w:r w:rsidR="003C7AEB" w:rsidRPr="003C7AEB">
        <w:rPr>
          <w:rFonts w:cs="CTraditional Arabic" w:hint="cs"/>
          <w:sz w:val="28"/>
          <w:rtl/>
        </w:rPr>
        <w:t>ص</w:t>
      </w:r>
      <w:r w:rsidR="00217AB4" w:rsidRPr="003F3B94">
        <w:rPr>
          <w:rFonts w:hint="cs"/>
          <w:sz w:val="28"/>
          <w:rtl/>
        </w:rPr>
        <w:t>)</w:t>
      </w:r>
      <w:r w:rsidRPr="003F3B94">
        <w:rPr>
          <w:rFonts w:hint="cs"/>
          <w:sz w:val="28"/>
          <w:rtl/>
        </w:rPr>
        <w:t xml:space="preserve"> أو صرفه في مصارف لا يوجد أي دليل عليها وطبقاً لقول المرحوم كاشف الغطاء فإن مال الإمام مثل مال الكافر الحربي الذي يرى كل شخص أن له الحق في التصرف فيه</w:t>
      </w:r>
      <w:r w:rsidR="00217AB4" w:rsidRPr="003F3B94">
        <w:rPr>
          <w:rFonts w:hint="cs"/>
          <w:sz w:val="28"/>
          <w:rtl/>
        </w:rPr>
        <w:t>!!</w:t>
      </w:r>
    </w:p>
    <w:p w:rsidR="005C664D" w:rsidRPr="00995B26" w:rsidRDefault="005C664D" w:rsidP="003F3B94">
      <w:pPr>
        <w:pStyle w:val="a0"/>
        <w:rPr>
          <w:rFonts w:hint="cs"/>
          <w:rtl/>
        </w:rPr>
      </w:pPr>
      <w:r w:rsidRPr="003F3B94">
        <w:rPr>
          <w:rFonts w:hint="cs"/>
          <w:sz w:val="28"/>
          <w:rtl/>
        </w:rPr>
        <w:t>ولما كان الله تعالى قد أخذ على عاتقه حفظ رسول الله وحمايته من شر الناس وقال</w:t>
      </w:r>
      <w:r w:rsidR="00217AB4" w:rsidRPr="003F3B94">
        <w:rPr>
          <w:rFonts w:hint="cs"/>
          <w:sz w:val="28"/>
          <w:rtl/>
        </w:rPr>
        <w:t>:</w:t>
      </w:r>
      <w:r w:rsidR="00B06788" w:rsidRPr="003F3B94">
        <w:rPr>
          <w:rFonts w:hint="cs"/>
          <w:sz w:val="28"/>
          <w:rtl/>
        </w:rPr>
        <w:t xml:space="preserve"> </w:t>
      </w:r>
      <w:r w:rsidR="00B06788" w:rsidRPr="00995B26">
        <w:rPr>
          <w:rFonts w:cs="Traditional Arabic" w:hint="cs"/>
          <w:sz w:val="28"/>
          <w:rtl/>
        </w:rPr>
        <w:t>﴿</w:t>
      </w:r>
      <w:r w:rsidR="00B06788" w:rsidRPr="0067048A">
        <w:rPr>
          <w:rFonts w:ascii="KFGQPC Uthmanic Script HAFS" w:cs="KFGQPC Uthmanic Script HAFS" w:hint="eastAsia"/>
          <w:sz w:val="28"/>
          <w:szCs w:val="28"/>
          <w:rtl/>
        </w:rPr>
        <w:t>وَ</w:t>
      </w:r>
      <w:r w:rsidR="00B06788" w:rsidRPr="0067048A">
        <w:rPr>
          <w:rFonts w:ascii="KFGQPC Uthmanic Script HAFS" w:cs="KFGQPC Uthmanic Script HAFS" w:hint="cs"/>
          <w:sz w:val="28"/>
          <w:szCs w:val="28"/>
          <w:rtl/>
        </w:rPr>
        <w:t>ٱ</w:t>
      </w:r>
      <w:r w:rsidR="00B06788" w:rsidRPr="0067048A">
        <w:rPr>
          <w:rFonts w:ascii="KFGQPC Uthmanic Script HAFS" w:cs="KFGQPC Uthmanic Script HAFS" w:hint="eastAsia"/>
          <w:sz w:val="28"/>
          <w:szCs w:val="28"/>
          <w:rtl/>
        </w:rPr>
        <w:t>للَّهُ</w:t>
      </w:r>
      <w:r w:rsidR="00B06788" w:rsidRPr="0067048A">
        <w:rPr>
          <w:rFonts w:ascii="KFGQPC Uthmanic Script HAFS" w:cs="KFGQPC Uthmanic Script HAFS"/>
          <w:sz w:val="28"/>
          <w:szCs w:val="28"/>
          <w:rtl/>
        </w:rPr>
        <w:t xml:space="preserve"> </w:t>
      </w:r>
      <w:r w:rsidR="00B06788" w:rsidRPr="0067048A">
        <w:rPr>
          <w:rFonts w:ascii="KFGQPC Uthmanic Script HAFS" w:cs="KFGQPC Uthmanic Script HAFS" w:hint="eastAsia"/>
          <w:sz w:val="28"/>
          <w:szCs w:val="28"/>
          <w:rtl/>
        </w:rPr>
        <w:t>يَع</w:t>
      </w:r>
      <w:r w:rsidR="00B06788" w:rsidRPr="0067048A">
        <w:rPr>
          <w:rFonts w:ascii="KFGQPC Uthmanic Script HAFS" w:cs="KFGQPC Uthmanic Script HAFS" w:hint="cs"/>
          <w:sz w:val="28"/>
          <w:szCs w:val="28"/>
          <w:rtl/>
        </w:rPr>
        <w:t>ۡ</w:t>
      </w:r>
      <w:r w:rsidR="00B06788" w:rsidRPr="0067048A">
        <w:rPr>
          <w:rFonts w:ascii="KFGQPC Uthmanic Script HAFS" w:cs="KFGQPC Uthmanic Script HAFS" w:hint="eastAsia"/>
          <w:sz w:val="28"/>
          <w:szCs w:val="28"/>
          <w:rtl/>
        </w:rPr>
        <w:t>صِمُكَ</w:t>
      </w:r>
      <w:r w:rsidR="00B06788" w:rsidRPr="0067048A">
        <w:rPr>
          <w:rFonts w:ascii="KFGQPC Uthmanic Script HAFS" w:cs="KFGQPC Uthmanic Script HAFS"/>
          <w:sz w:val="28"/>
          <w:szCs w:val="28"/>
          <w:rtl/>
        </w:rPr>
        <w:t xml:space="preserve"> </w:t>
      </w:r>
      <w:r w:rsidR="00B06788" w:rsidRPr="0067048A">
        <w:rPr>
          <w:rFonts w:ascii="KFGQPC Uthmanic Script HAFS" w:cs="KFGQPC Uthmanic Script HAFS" w:hint="eastAsia"/>
          <w:sz w:val="28"/>
          <w:szCs w:val="28"/>
          <w:rtl/>
        </w:rPr>
        <w:t>مِنَ</w:t>
      </w:r>
      <w:r w:rsidR="00B06788" w:rsidRPr="0067048A">
        <w:rPr>
          <w:rFonts w:ascii="KFGQPC Uthmanic Script HAFS" w:cs="KFGQPC Uthmanic Script HAFS"/>
          <w:sz w:val="28"/>
          <w:szCs w:val="28"/>
          <w:rtl/>
        </w:rPr>
        <w:t xml:space="preserve"> </w:t>
      </w:r>
      <w:r w:rsidR="00B06788" w:rsidRPr="0067048A">
        <w:rPr>
          <w:rFonts w:ascii="KFGQPC Uthmanic Script HAFS" w:cs="KFGQPC Uthmanic Script HAFS" w:hint="cs"/>
          <w:sz w:val="28"/>
          <w:szCs w:val="28"/>
          <w:rtl/>
        </w:rPr>
        <w:t>ٱ</w:t>
      </w:r>
      <w:r w:rsidR="00B06788" w:rsidRPr="0067048A">
        <w:rPr>
          <w:rFonts w:ascii="KFGQPC Uthmanic Script HAFS" w:cs="KFGQPC Uthmanic Script HAFS" w:hint="eastAsia"/>
          <w:sz w:val="28"/>
          <w:szCs w:val="28"/>
          <w:rtl/>
        </w:rPr>
        <w:t>لنَّاسِ</w:t>
      </w:r>
      <w:r w:rsidR="00B06788" w:rsidRPr="00995B26">
        <w:rPr>
          <w:rFonts w:cs="Traditional Arabic" w:hint="cs"/>
          <w:sz w:val="28"/>
          <w:rtl/>
        </w:rPr>
        <w:t>﴾</w:t>
      </w:r>
      <w:r w:rsidRPr="00995B26">
        <w:rPr>
          <w:rFonts w:hint="cs"/>
          <w:sz w:val="28"/>
          <w:rtl/>
        </w:rPr>
        <w:t xml:space="preserve"> </w:t>
      </w:r>
      <w:r w:rsidRPr="003108CB">
        <w:rPr>
          <w:rStyle w:val="Char2"/>
          <w:rtl/>
        </w:rPr>
        <w:t>[المائدة</w:t>
      </w:r>
      <w:r w:rsidR="00B06788" w:rsidRPr="003108CB">
        <w:rPr>
          <w:rStyle w:val="Char2"/>
          <w:rFonts w:hint="cs"/>
          <w:rtl/>
        </w:rPr>
        <w:t xml:space="preserve">: </w:t>
      </w:r>
      <w:r w:rsidRPr="003108CB">
        <w:rPr>
          <w:rStyle w:val="Char2"/>
          <w:rtl/>
        </w:rPr>
        <w:t>67]</w:t>
      </w:r>
      <w:r w:rsidR="00217AB4" w:rsidRPr="00995B26">
        <w:rPr>
          <w:rFonts w:hint="cs"/>
          <w:sz w:val="28"/>
          <w:rtl/>
        </w:rPr>
        <w:t>،</w:t>
      </w:r>
      <w:r w:rsidRPr="00995B26">
        <w:rPr>
          <w:rFonts w:hint="cs"/>
          <w:sz w:val="28"/>
          <w:rtl/>
        </w:rPr>
        <w:t xml:space="preserve"> فإنه إضافة إلى أن آيات القرآن الكريمة وسيرة رسول الله المقدسة تكذِّب تماماً نسبة مثل ذلك الأمر لرسول الله</w:t>
      </w:r>
      <w:r w:rsidR="00147857" w:rsidRPr="00995B26">
        <w:rPr>
          <w:rFonts w:hint="cs"/>
          <w:sz w:val="28"/>
          <w:rtl/>
        </w:rPr>
        <w:t xml:space="preserve"> </w:t>
      </w:r>
      <w:r w:rsidR="003C7AEB" w:rsidRPr="003C7AEB">
        <w:rPr>
          <w:rFonts w:ascii="Abo-thar" w:hAnsi="Abo-thar" w:cs="CTraditional Arabic"/>
          <w:sz w:val="28"/>
          <w:rtl/>
          <w:lang w:bidi="ar-SY"/>
        </w:rPr>
        <w:t>ص</w:t>
      </w:r>
      <w:r w:rsidR="00147857" w:rsidRPr="00995B26">
        <w:rPr>
          <w:rFonts w:ascii="Abo-thar" w:hAnsi="Abo-thar"/>
          <w:sz w:val="28"/>
          <w:rtl/>
          <w:lang w:bidi="ar-SY"/>
        </w:rPr>
        <w:t xml:space="preserve"> </w:t>
      </w:r>
      <w:r w:rsidRPr="00995B26">
        <w:rPr>
          <w:rFonts w:hint="cs"/>
          <w:sz w:val="28"/>
          <w:rtl/>
        </w:rPr>
        <w:t>وتدفع عنه تماماً تلك التهمة</w:t>
      </w:r>
      <w:r w:rsidR="00217AB4" w:rsidRPr="00995B26">
        <w:rPr>
          <w:rFonts w:hint="cs"/>
          <w:sz w:val="28"/>
          <w:rtl/>
        </w:rPr>
        <w:t>،</w:t>
      </w:r>
      <w:r w:rsidR="00147857" w:rsidRPr="00995B26">
        <w:rPr>
          <w:rFonts w:hint="cs"/>
          <w:sz w:val="28"/>
          <w:rtl/>
        </w:rPr>
        <w:t xml:space="preserve"> </w:t>
      </w:r>
      <w:r w:rsidRPr="00995B26">
        <w:rPr>
          <w:rFonts w:hint="cs"/>
          <w:sz w:val="28"/>
          <w:rtl/>
        </w:rPr>
        <w:t xml:space="preserve">لم يُسَجَّل حتى حديث ضعيف واحد </w:t>
      </w:r>
      <w:r w:rsidR="00217AB4" w:rsidRPr="00995B26">
        <w:rPr>
          <w:rFonts w:hint="cs"/>
          <w:sz w:val="28"/>
          <w:rtl/>
        </w:rPr>
        <w:t>(</w:t>
      </w:r>
      <w:r w:rsidRPr="00995B26">
        <w:rPr>
          <w:rFonts w:hint="cs"/>
          <w:sz w:val="28"/>
          <w:rtl/>
        </w:rPr>
        <w:t>رغم وضع آلاف الأحاديث الكاذبة على لسانه</w:t>
      </w:r>
      <w:r w:rsidR="00147857" w:rsidRPr="00995B26">
        <w:rPr>
          <w:rFonts w:hint="cs"/>
          <w:sz w:val="28"/>
          <w:rtl/>
        </w:rPr>
        <w:t xml:space="preserve"> </w:t>
      </w:r>
      <w:r w:rsidR="003C7AEB" w:rsidRPr="003C7AEB">
        <w:rPr>
          <w:rFonts w:ascii="Abo-thar" w:hAnsi="Abo-thar" w:cs="CTraditional Arabic" w:hint="cs"/>
          <w:sz w:val="28"/>
          <w:rtl/>
        </w:rPr>
        <w:t>ص</w:t>
      </w:r>
      <w:r w:rsidR="00217AB4" w:rsidRPr="00995B26">
        <w:rPr>
          <w:rFonts w:ascii="Abo-thar" w:hAnsi="Abo-thar" w:hint="cs"/>
          <w:sz w:val="28"/>
          <w:rtl/>
        </w:rPr>
        <w:t>)</w:t>
      </w:r>
      <w:r w:rsidRPr="00995B26">
        <w:rPr>
          <w:rFonts w:hint="cs"/>
          <w:sz w:val="28"/>
          <w:rtl/>
        </w:rPr>
        <w:t xml:space="preserve"> بين جميع أحاديث الفريقين ينقل عن قول رسول الله</w:t>
      </w:r>
      <w:r w:rsidR="00147857" w:rsidRPr="00995B26">
        <w:rPr>
          <w:rFonts w:hint="cs"/>
          <w:sz w:val="28"/>
          <w:rtl/>
        </w:rPr>
        <w:t xml:space="preserve"> </w:t>
      </w:r>
      <w:r w:rsidR="003C7AEB" w:rsidRPr="003C7AEB">
        <w:rPr>
          <w:rFonts w:ascii="Abo-thar" w:hAnsi="Abo-thar" w:cs="CTraditional Arabic" w:hint="cs"/>
          <w:sz w:val="28"/>
          <w:rtl/>
        </w:rPr>
        <w:t>ص</w:t>
      </w:r>
      <w:r w:rsidR="00147857" w:rsidRPr="00995B26">
        <w:rPr>
          <w:rFonts w:ascii="Abo-thar" w:hAnsi="Abo-thar" w:hint="cs"/>
          <w:sz w:val="28"/>
          <w:rtl/>
        </w:rPr>
        <w:t xml:space="preserve"> </w:t>
      </w:r>
      <w:r w:rsidRPr="00995B26">
        <w:rPr>
          <w:rFonts w:hint="cs"/>
          <w:sz w:val="28"/>
          <w:rtl/>
        </w:rPr>
        <w:t>إيجابه أو استحبابه دفع ذلك الخمس العجيب</w:t>
      </w:r>
      <w:r w:rsidR="001E0DB7" w:rsidRPr="00995B26">
        <w:rPr>
          <w:rFonts w:hint="cs"/>
          <w:sz w:val="28"/>
          <w:rtl/>
        </w:rPr>
        <w:t>،</w:t>
      </w:r>
      <w:r w:rsidRPr="00995B26">
        <w:rPr>
          <w:rFonts w:hint="cs"/>
          <w:sz w:val="28"/>
          <w:rtl/>
        </w:rPr>
        <w:t xml:space="preserve"> وما هذا إلا لتتم الحجة على العالمين</w:t>
      </w:r>
      <w:r w:rsidR="00217AB4" w:rsidRPr="00995B26">
        <w:rPr>
          <w:rFonts w:hint="cs"/>
          <w:sz w:val="28"/>
          <w:rtl/>
        </w:rPr>
        <w:t>.</w:t>
      </w:r>
      <w:r w:rsidRPr="00995B26">
        <w:rPr>
          <w:rFonts w:hint="cs"/>
          <w:sz w:val="28"/>
          <w:rtl/>
        </w:rPr>
        <w:t xml:space="preserve"> </w:t>
      </w:r>
    </w:p>
    <w:p w:rsidR="000E2C23" w:rsidRDefault="00B06788" w:rsidP="000E2C23">
      <w:pPr>
        <w:pStyle w:val="a0"/>
        <w:ind w:left="284" w:firstLine="0"/>
        <w:rPr>
          <w:rFonts w:hint="cs"/>
          <w:sz w:val="28"/>
          <w:rtl/>
        </w:rPr>
      </w:pPr>
      <w:r w:rsidRPr="00995B26">
        <w:rPr>
          <w:rFonts w:cs="Traditional Arabic" w:hint="cs"/>
          <w:sz w:val="28"/>
          <w:rtl/>
        </w:rPr>
        <w:t>﴿</w:t>
      </w:r>
      <w:r w:rsidRPr="0067048A">
        <w:rPr>
          <w:rFonts w:ascii="KFGQPC Uthmanic Script HAFS" w:cs="KFGQPC Uthmanic Script HAFS" w:hint="eastAsia"/>
          <w:sz w:val="28"/>
          <w:szCs w:val="28"/>
          <w:rtl/>
        </w:rPr>
        <w:t>لِّيَه</w:t>
      </w:r>
      <w:r w:rsidRPr="0067048A">
        <w:rPr>
          <w:rFonts w:ascii="KFGQPC Uthmanic Script HAFS" w:cs="KFGQPC Uthmanic Script HAFS" w:hint="cs"/>
          <w:sz w:val="28"/>
          <w:szCs w:val="28"/>
          <w:rtl/>
        </w:rPr>
        <w:t>ۡ</w:t>
      </w:r>
      <w:r w:rsidRPr="0067048A">
        <w:rPr>
          <w:rFonts w:ascii="KFGQPC Uthmanic Script HAFS" w:cs="KFGQPC Uthmanic Script HAFS" w:hint="eastAsia"/>
          <w:sz w:val="28"/>
          <w:szCs w:val="28"/>
          <w:rtl/>
        </w:rPr>
        <w:t>لِكَ</w:t>
      </w:r>
      <w:r w:rsidRPr="0067048A">
        <w:rPr>
          <w:rFonts w:ascii="KFGQPC Uthmanic Script HAFS" w:cs="KFGQPC Uthmanic Script HAFS"/>
          <w:sz w:val="28"/>
          <w:szCs w:val="28"/>
          <w:rtl/>
        </w:rPr>
        <w:t xml:space="preserve"> </w:t>
      </w:r>
      <w:r w:rsidRPr="0067048A">
        <w:rPr>
          <w:rFonts w:ascii="KFGQPC Uthmanic Script HAFS" w:cs="KFGQPC Uthmanic Script HAFS" w:hint="eastAsia"/>
          <w:sz w:val="28"/>
          <w:szCs w:val="28"/>
          <w:rtl/>
        </w:rPr>
        <w:t>مَن</w:t>
      </w:r>
      <w:r w:rsidRPr="0067048A">
        <w:rPr>
          <w:rFonts w:ascii="KFGQPC Uthmanic Script HAFS" w:cs="KFGQPC Uthmanic Script HAFS" w:hint="cs"/>
          <w:sz w:val="28"/>
          <w:szCs w:val="28"/>
          <w:rtl/>
        </w:rPr>
        <w:t>ۡ</w:t>
      </w:r>
      <w:r w:rsidRPr="0067048A">
        <w:rPr>
          <w:rFonts w:ascii="KFGQPC Uthmanic Script HAFS" w:cs="KFGQPC Uthmanic Script HAFS"/>
          <w:sz w:val="28"/>
          <w:szCs w:val="28"/>
          <w:rtl/>
        </w:rPr>
        <w:t xml:space="preserve"> </w:t>
      </w:r>
      <w:r w:rsidRPr="0067048A">
        <w:rPr>
          <w:rFonts w:ascii="KFGQPC Uthmanic Script HAFS" w:cs="KFGQPC Uthmanic Script HAFS" w:hint="eastAsia"/>
          <w:sz w:val="28"/>
          <w:szCs w:val="28"/>
          <w:rtl/>
        </w:rPr>
        <w:t>هَلَكَ</w:t>
      </w:r>
      <w:r w:rsidRPr="0067048A">
        <w:rPr>
          <w:rFonts w:ascii="KFGQPC Uthmanic Script HAFS" w:cs="KFGQPC Uthmanic Script HAFS"/>
          <w:sz w:val="28"/>
          <w:szCs w:val="28"/>
          <w:rtl/>
        </w:rPr>
        <w:t xml:space="preserve"> </w:t>
      </w:r>
      <w:r w:rsidRPr="0067048A">
        <w:rPr>
          <w:rFonts w:ascii="KFGQPC Uthmanic Script HAFS" w:cs="KFGQPC Uthmanic Script HAFS" w:hint="eastAsia"/>
          <w:sz w:val="28"/>
          <w:szCs w:val="28"/>
          <w:rtl/>
        </w:rPr>
        <w:t>عَن</w:t>
      </w:r>
      <w:r w:rsidRPr="0067048A">
        <w:rPr>
          <w:rFonts w:ascii="KFGQPC Uthmanic Script HAFS" w:cs="KFGQPC Uthmanic Script HAFS" w:hint="cs"/>
          <w:sz w:val="28"/>
          <w:szCs w:val="28"/>
          <w:rtl/>
        </w:rPr>
        <w:t>ۢ</w:t>
      </w:r>
      <w:r w:rsidRPr="0067048A">
        <w:rPr>
          <w:rFonts w:ascii="KFGQPC Uthmanic Script HAFS" w:cs="KFGQPC Uthmanic Script HAFS"/>
          <w:sz w:val="28"/>
          <w:szCs w:val="28"/>
          <w:rtl/>
        </w:rPr>
        <w:t xml:space="preserve"> </w:t>
      </w:r>
      <w:r w:rsidRPr="0067048A">
        <w:rPr>
          <w:rFonts w:ascii="KFGQPC Uthmanic Script HAFS" w:cs="KFGQPC Uthmanic Script HAFS" w:hint="eastAsia"/>
          <w:sz w:val="28"/>
          <w:szCs w:val="28"/>
          <w:rtl/>
        </w:rPr>
        <w:t>بَيِّنَة</w:t>
      </w:r>
      <w:r w:rsidRPr="0067048A">
        <w:rPr>
          <w:rFonts w:ascii="KFGQPC Uthmanic Script HAFS" w:cs="KFGQPC Uthmanic Script HAFS" w:hint="cs"/>
          <w:sz w:val="28"/>
          <w:szCs w:val="28"/>
          <w:rtl/>
        </w:rPr>
        <w:t>ٖ</w:t>
      </w:r>
      <w:r w:rsidRPr="0067048A">
        <w:rPr>
          <w:rFonts w:ascii="KFGQPC Uthmanic Script HAFS" w:cs="KFGQPC Uthmanic Script HAFS"/>
          <w:sz w:val="28"/>
          <w:szCs w:val="28"/>
          <w:rtl/>
        </w:rPr>
        <w:t xml:space="preserve"> </w:t>
      </w:r>
      <w:r w:rsidRPr="0067048A">
        <w:rPr>
          <w:rFonts w:ascii="KFGQPC Uthmanic Script HAFS" w:cs="KFGQPC Uthmanic Script HAFS" w:hint="eastAsia"/>
          <w:sz w:val="28"/>
          <w:szCs w:val="28"/>
          <w:rtl/>
        </w:rPr>
        <w:t>وَيَح</w:t>
      </w:r>
      <w:r w:rsidRPr="0067048A">
        <w:rPr>
          <w:rFonts w:ascii="KFGQPC Uthmanic Script HAFS" w:cs="KFGQPC Uthmanic Script HAFS" w:hint="cs"/>
          <w:sz w:val="28"/>
          <w:szCs w:val="28"/>
          <w:rtl/>
        </w:rPr>
        <w:t>ۡ</w:t>
      </w:r>
      <w:r w:rsidRPr="0067048A">
        <w:rPr>
          <w:rFonts w:ascii="KFGQPC Uthmanic Script HAFS" w:cs="KFGQPC Uthmanic Script HAFS" w:hint="eastAsia"/>
          <w:sz w:val="28"/>
          <w:szCs w:val="28"/>
          <w:rtl/>
        </w:rPr>
        <w:t>يَى</w:t>
      </w:r>
      <w:r w:rsidRPr="0067048A">
        <w:rPr>
          <w:rFonts w:ascii="KFGQPC Uthmanic Script HAFS" w:cs="KFGQPC Uthmanic Script HAFS" w:hint="cs"/>
          <w:sz w:val="28"/>
          <w:szCs w:val="28"/>
          <w:rtl/>
        </w:rPr>
        <w:t>ٰ</w:t>
      </w:r>
      <w:r w:rsidRPr="0067048A">
        <w:rPr>
          <w:rFonts w:ascii="KFGQPC Uthmanic Script HAFS" w:cs="KFGQPC Uthmanic Script HAFS"/>
          <w:sz w:val="28"/>
          <w:szCs w:val="28"/>
          <w:rtl/>
        </w:rPr>
        <w:t xml:space="preserve"> </w:t>
      </w:r>
      <w:r w:rsidRPr="0067048A">
        <w:rPr>
          <w:rFonts w:ascii="KFGQPC Uthmanic Script HAFS" w:cs="KFGQPC Uthmanic Script HAFS" w:hint="eastAsia"/>
          <w:sz w:val="28"/>
          <w:szCs w:val="28"/>
          <w:rtl/>
        </w:rPr>
        <w:t>مَن</w:t>
      </w:r>
      <w:r w:rsidRPr="0067048A">
        <w:rPr>
          <w:rFonts w:ascii="KFGQPC Uthmanic Script HAFS" w:cs="KFGQPC Uthmanic Script HAFS" w:hint="cs"/>
          <w:sz w:val="28"/>
          <w:szCs w:val="28"/>
          <w:rtl/>
        </w:rPr>
        <w:t>ۡ</w:t>
      </w:r>
      <w:r w:rsidRPr="0067048A">
        <w:rPr>
          <w:rFonts w:ascii="KFGQPC Uthmanic Script HAFS" w:cs="KFGQPC Uthmanic Script HAFS"/>
          <w:sz w:val="28"/>
          <w:szCs w:val="28"/>
          <w:rtl/>
        </w:rPr>
        <w:t xml:space="preserve"> </w:t>
      </w:r>
      <w:r w:rsidRPr="0067048A">
        <w:rPr>
          <w:rFonts w:ascii="KFGQPC Uthmanic Script HAFS" w:cs="KFGQPC Uthmanic Script HAFS" w:hint="eastAsia"/>
          <w:sz w:val="28"/>
          <w:szCs w:val="28"/>
          <w:rtl/>
        </w:rPr>
        <w:t>حَيَّ</w:t>
      </w:r>
      <w:r w:rsidRPr="0067048A">
        <w:rPr>
          <w:rFonts w:ascii="KFGQPC Uthmanic Script HAFS" w:cs="KFGQPC Uthmanic Script HAFS"/>
          <w:sz w:val="28"/>
          <w:szCs w:val="28"/>
          <w:rtl/>
        </w:rPr>
        <w:t xml:space="preserve"> </w:t>
      </w:r>
      <w:r w:rsidRPr="0067048A">
        <w:rPr>
          <w:rFonts w:ascii="KFGQPC Uthmanic Script HAFS" w:cs="KFGQPC Uthmanic Script HAFS" w:hint="eastAsia"/>
          <w:sz w:val="28"/>
          <w:szCs w:val="28"/>
          <w:rtl/>
        </w:rPr>
        <w:t>عَن</w:t>
      </w:r>
      <w:r w:rsidRPr="0067048A">
        <w:rPr>
          <w:rFonts w:ascii="KFGQPC Uthmanic Script HAFS" w:cs="KFGQPC Uthmanic Script HAFS" w:hint="cs"/>
          <w:sz w:val="28"/>
          <w:szCs w:val="28"/>
          <w:rtl/>
        </w:rPr>
        <w:t>ۢ</w:t>
      </w:r>
      <w:r w:rsidRPr="0067048A">
        <w:rPr>
          <w:rFonts w:ascii="KFGQPC Uthmanic Script HAFS" w:cs="KFGQPC Uthmanic Script HAFS"/>
          <w:sz w:val="28"/>
          <w:szCs w:val="28"/>
          <w:rtl/>
        </w:rPr>
        <w:t xml:space="preserve"> </w:t>
      </w:r>
      <w:r w:rsidRPr="0067048A">
        <w:rPr>
          <w:rFonts w:ascii="KFGQPC Uthmanic Script HAFS" w:cs="KFGQPC Uthmanic Script HAFS" w:hint="eastAsia"/>
          <w:sz w:val="28"/>
          <w:szCs w:val="28"/>
          <w:rtl/>
        </w:rPr>
        <w:t>بَيِّنَة</w:t>
      </w:r>
      <w:r w:rsidRPr="0067048A">
        <w:rPr>
          <w:rFonts w:ascii="KFGQPC Uthmanic Script HAFS" w:cs="KFGQPC Uthmanic Script HAFS" w:hint="cs"/>
          <w:sz w:val="28"/>
          <w:szCs w:val="28"/>
          <w:rtl/>
        </w:rPr>
        <w:t>ٖۗ</w:t>
      </w:r>
      <w:r w:rsidRPr="0067048A">
        <w:rPr>
          <w:rFonts w:ascii="KFGQPC Uthmanic Script HAFS" w:cs="KFGQPC Uthmanic Script HAFS"/>
          <w:sz w:val="28"/>
          <w:szCs w:val="28"/>
          <w:rtl/>
        </w:rPr>
        <w:t xml:space="preserve"> </w:t>
      </w:r>
      <w:r w:rsidRPr="0067048A">
        <w:rPr>
          <w:rFonts w:ascii="KFGQPC Uthmanic Script HAFS" w:cs="KFGQPC Uthmanic Script HAFS" w:hint="eastAsia"/>
          <w:sz w:val="28"/>
          <w:szCs w:val="28"/>
          <w:rtl/>
        </w:rPr>
        <w:t>وَإِنَّ</w:t>
      </w:r>
      <w:r w:rsidRPr="0067048A">
        <w:rPr>
          <w:rFonts w:ascii="KFGQPC Uthmanic Script HAFS" w:cs="KFGQPC Uthmanic Script HAFS"/>
          <w:sz w:val="28"/>
          <w:szCs w:val="28"/>
          <w:rtl/>
        </w:rPr>
        <w:t xml:space="preserve"> </w:t>
      </w:r>
      <w:r w:rsidRPr="0067048A">
        <w:rPr>
          <w:rFonts w:ascii="KFGQPC Uthmanic Script HAFS" w:cs="KFGQPC Uthmanic Script HAFS" w:hint="cs"/>
          <w:sz w:val="28"/>
          <w:szCs w:val="28"/>
          <w:rtl/>
        </w:rPr>
        <w:t>ٱ</w:t>
      </w:r>
      <w:r w:rsidRPr="0067048A">
        <w:rPr>
          <w:rFonts w:ascii="KFGQPC Uthmanic Script HAFS" w:cs="KFGQPC Uthmanic Script HAFS" w:hint="eastAsia"/>
          <w:sz w:val="28"/>
          <w:szCs w:val="28"/>
          <w:rtl/>
        </w:rPr>
        <w:t>للَّهَ</w:t>
      </w:r>
      <w:r w:rsidRPr="0067048A">
        <w:rPr>
          <w:rFonts w:ascii="KFGQPC Uthmanic Script HAFS" w:cs="KFGQPC Uthmanic Script HAFS"/>
          <w:sz w:val="28"/>
          <w:szCs w:val="28"/>
          <w:rtl/>
        </w:rPr>
        <w:t xml:space="preserve"> </w:t>
      </w:r>
      <w:r w:rsidRPr="0067048A">
        <w:rPr>
          <w:rFonts w:ascii="KFGQPC Uthmanic Script HAFS" w:cs="KFGQPC Uthmanic Script HAFS" w:hint="eastAsia"/>
          <w:sz w:val="28"/>
          <w:szCs w:val="28"/>
          <w:rtl/>
        </w:rPr>
        <w:t>لَسَمِيعٌ</w:t>
      </w:r>
      <w:r w:rsidRPr="0067048A">
        <w:rPr>
          <w:rFonts w:ascii="KFGQPC Uthmanic Script HAFS" w:cs="KFGQPC Uthmanic Script HAFS"/>
          <w:sz w:val="28"/>
          <w:szCs w:val="28"/>
          <w:rtl/>
        </w:rPr>
        <w:t xml:space="preserve"> </w:t>
      </w:r>
      <w:r w:rsidRPr="0067048A">
        <w:rPr>
          <w:rFonts w:ascii="KFGQPC Uthmanic Script HAFS" w:cs="KFGQPC Uthmanic Script HAFS" w:hint="eastAsia"/>
          <w:sz w:val="28"/>
          <w:szCs w:val="28"/>
          <w:rtl/>
        </w:rPr>
        <w:t>عَلِيمٌ</w:t>
      </w:r>
      <w:r w:rsidRPr="00995B26">
        <w:rPr>
          <w:rFonts w:cs="Traditional Arabic" w:hint="cs"/>
          <w:sz w:val="28"/>
          <w:rtl/>
        </w:rPr>
        <w:t>﴾</w:t>
      </w:r>
      <w:r w:rsidRPr="003F3B94">
        <w:rPr>
          <w:rFonts w:hint="cs"/>
          <w:sz w:val="28"/>
          <w:rtl/>
        </w:rPr>
        <w:t xml:space="preserve"> </w:t>
      </w:r>
    </w:p>
    <w:p w:rsidR="003D6690" w:rsidRPr="003F3B94" w:rsidRDefault="005C664D" w:rsidP="000E2C23">
      <w:pPr>
        <w:pStyle w:val="a0"/>
        <w:ind w:left="284" w:firstLine="0"/>
        <w:jc w:val="right"/>
        <w:rPr>
          <w:rFonts w:hint="cs"/>
          <w:rtl/>
        </w:rPr>
      </w:pPr>
      <w:r w:rsidRPr="003108CB">
        <w:rPr>
          <w:rStyle w:val="Char2"/>
          <w:rtl/>
        </w:rPr>
        <w:t>[الأنفال</w:t>
      </w:r>
      <w:r w:rsidR="00B06788" w:rsidRPr="003108CB">
        <w:rPr>
          <w:rStyle w:val="Char2"/>
          <w:rFonts w:hint="cs"/>
          <w:rtl/>
        </w:rPr>
        <w:t xml:space="preserve">: </w:t>
      </w:r>
      <w:r w:rsidRPr="003108CB">
        <w:rPr>
          <w:rStyle w:val="Char2"/>
          <w:rtl/>
        </w:rPr>
        <w:t>42]</w:t>
      </w:r>
    </w:p>
    <w:p w:rsidR="003D6690" w:rsidRPr="00995B26" w:rsidRDefault="003D6690" w:rsidP="007D2B8A">
      <w:pPr>
        <w:pStyle w:val="a5"/>
        <w:rPr>
          <w:rFonts w:hint="cs"/>
          <w:rtl/>
        </w:rPr>
      </w:pPr>
      <w:bookmarkStart w:id="90" w:name="_Toc387843067"/>
      <w:r w:rsidRPr="00995B26">
        <w:rPr>
          <w:rFonts w:hint="cs"/>
          <w:rtl/>
        </w:rPr>
        <w:t>2- بيان بعض النقاط المتعلقة بالآية 23 من سورة الشورى</w:t>
      </w:r>
      <w:bookmarkEnd w:id="90"/>
    </w:p>
    <w:p w:rsidR="005C664D" w:rsidRPr="003F3B94" w:rsidRDefault="005C664D" w:rsidP="003F3B94">
      <w:pPr>
        <w:pStyle w:val="a0"/>
        <w:rPr>
          <w:rFonts w:hint="cs"/>
          <w:rtl/>
        </w:rPr>
      </w:pPr>
      <w:r w:rsidRPr="003F3B94">
        <w:rPr>
          <w:rFonts w:hint="cs"/>
          <w:sz w:val="28"/>
          <w:rtl/>
        </w:rPr>
        <w:t>هذه الآية واحدة من الآيات التي تبين عدم سؤال النبي أي أجر على رسالته</w:t>
      </w:r>
      <w:r w:rsidR="00217AB4" w:rsidRPr="003F3B94">
        <w:rPr>
          <w:rFonts w:hint="cs"/>
          <w:sz w:val="28"/>
          <w:rtl/>
        </w:rPr>
        <w:t>.</w:t>
      </w:r>
      <w:r w:rsidRPr="003F3B94">
        <w:rPr>
          <w:rFonts w:hint="cs"/>
          <w:sz w:val="28"/>
          <w:rtl/>
        </w:rPr>
        <w:t xml:space="preserve"> وقد وقع المخترعون للفضائل أو الغلاة في خطأ كبير وانحراف في فهم معنى هذه الآية</w:t>
      </w:r>
      <w:r w:rsidR="00147857" w:rsidRPr="003F3B94">
        <w:rPr>
          <w:rFonts w:hint="cs"/>
          <w:sz w:val="28"/>
          <w:rtl/>
        </w:rPr>
        <w:t xml:space="preserve"> و</w:t>
      </w:r>
      <w:r w:rsidRPr="003F3B94">
        <w:rPr>
          <w:rFonts w:hint="cs"/>
          <w:sz w:val="28"/>
          <w:rtl/>
        </w:rPr>
        <w:t>هدفها حيث استدلوا بها بشكل غير صحيح على ما يذهبون إليه مع أنها لا تدل على ذلك المعنى الذي أرادوه</w:t>
      </w:r>
      <w:r w:rsidR="00217AB4" w:rsidRPr="003F3B94">
        <w:rPr>
          <w:rFonts w:hint="cs"/>
          <w:sz w:val="28"/>
          <w:rtl/>
        </w:rPr>
        <w:t>.</w:t>
      </w:r>
      <w:r w:rsidRPr="003F3B94">
        <w:rPr>
          <w:rFonts w:hint="cs"/>
          <w:sz w:val="28"/>
          <w:rtl/>
        </w:rPr>
        <w:t xml:space="preserve"> فقد فسروها بأن معناها</w:t>
      </w:r>
      <w:r w:rsidR="00217AB4" w:rsidRPr="003F3B94">
        <w:rPr>
          <w:rFonts w:hint="cs"/>
          <w:sz w:val="28"/>
          <w:rtl/>
        </w:rPr>
        <w:t>:</w:t>
      </w:r>
      <w:r w:rsidRPr="003F3B94">
        <w:rPr>
          <w:rFonts w:hint="cs"/>
          <w:sz w:val="28"/>
          <w:rtl/>
        </w:rPr>
        <w:t xml:space="preserve"> </w:t>
      </w:r>
    </w:p>
    <w:p w:rsidR="005C664D" w:rsidRPr="003F3B94" w:rsidRDefault="005C664D" w:rsidP="003F3B94">
      <w:pPr>
        <w:pStyle w:val="a0"/>
        <w:rPr>
          <w:rFonts w:hint="cs"/>
          <w:rtl/>
        </w:rPr>
      </w:pPr>
      <w:r w:rsidRPr="003F3B94">
        <w:rPr>
          <w:rFonts w:hint="cs"/>
          <w:sz w:val="28"/>
          <w:rtl/>
        </w:rPr>
        <w:t>قل لا أسألكم على رسالتي أجراً سوى أن تودُّوا أقربائي</w:t>
      </w:r>
      <w:r w:rsidR="00217AB4" w:rsidRPr="003F3B94">
        <w:rPr>
          <w:rFonts w:hint="cs"/>
          <w:sz w:val="28"/>
          <w:rtl/>
        </w:rPr>
        <w:t>!!!</w:t>
      </w:r>
      <w:r w:rsidRPr="003F3B94">
        <w:rPr>
          <w:rFonts w:hint="cs"/>
          <w:sz w:val="28"/>
          <w:rtl/>
        </w:rPr>
        <w:t xml:space="preserve"> </w:t>
      </w:r>
    </w:p>
    <w:p w:rsidR="005C664D" w:rsidRPr="003F3B94" w:rsidRDefault="005C664D" w:rsidP="003F3B94">
      <w:pPr>
        <w:pStyle w:val="a0"/>
        <w:rPr>
          <w:rFonts w:hint="cs"/>
          <w:rtl/>
        </w:rPr>
      </w:pPr>
      <w:r w:rsidRPr="003F3B94">
        <w:rPr>
          <w:rFonts w:hint="cs"/>
          <w:sz w:val="28"/>
          <w:rtl/>
        </w:rPr>
        <w:t xml:space="preserve">ثم أضافوا إلى ذلك أن المراد من قرابته هنا عليٌّ وفاطمةُ والحسنين </w:t>
      </w:r>
      <w:r w:rsidR="00963EFD" w:rsidRPr="00963EFD">
        <w:rPr>
          <w:rFonts w:cs="CTraditional Arabic" w:hint="cs"/>
          <w:sz w:val="28"/>
          <w:rtl/>
        </w:rPr>
        <w:t>‡</w:t>
      </w:r>
      <w:r w:rsidRPr="003F3B94">
        <w:rPr>
          <w:rFonts w:hint="cs"/>
          <w:sz w:val="28"/>
          <w:rtl/>
        </w:rPr>
        <w:t xml:space="preserve"> فقط</w:t>
      </w:r>
      <w:r w:rsidR="001E0DB7" w:rsidRPr="003F3B94">
        <w:rPr>
          <w:rFonts w:hint="cs"/>
          <w:sz w:val="28"/>
          <w:rtl/>
        </w:rPr>
        <w:t>،</w:t>
      </w:r>
      <w:r w:rsidR="00147857" w:rsidRPr="003F3B94">
        <w:rPr>
          <w:rFonts w:hint="cs"/>
          <w:sz w:val="28"/>
          <w:rtl/>
        </w:rPr>
        <w:t xml:space="preserve"> و</w:t>
      </w:r>
      <w:r w:rsidRPr="003F3B94">
        <w:rPr>
          <w:rFonts w:hint="cs"/>
          <w:sz w:val="28"/>
          <w:rtl/>
        </w:rPr>
        <w:t>بنوا على هذه القاعدة أوهاماً</w:t>
      </w:r>
      <w:r w:rsidR="00147857" w:rsidRPr="003F3B94">
        <w:rPr>
          <w:rFonts w:hint="cs"/>
          <w:sz w:val="28"/>
          <w:rtl/>
        </w:rPr>
        <w:t xml:space="preserve"> و</w:t>
      </w:r>
      <w:r w:rsidRPr="003F3B94">
        <w:rPr>
          <w:rFonts w:hint="cs"/>
          <w:sz w:val="28"/>
          <w:rtl/>
        </w:rPr>
        <w:t>أخباراً موضوعة إذا قبلناها لوجب أن نعتبر القرآن محرَّفاً</w:t>
      </w:r>
      <w:r w:rsidR="00147857" w:rsidRPr="003F3B94">
        <w:rPr>
          <w:rFonts w:hint="cs"/>
          <w:sz w:val="28"/>
          <w:rtl/>
        </w:rPr>
        <w:t xml:space="preserve"> و</w:t>
      </w:r>
      <w:r w:rsidRPr="003F3B94">
        <w:rPr>
          <w:rFonts w:hint="cs"/>
          <w:sz w:val="28"/>
          <w:rtl/>
        </w:rPr>
        <w:t>لوجب أن نضع عقلنا</w:t>
      </w:r>
      <w:r w:rsidR="00147857" w:rsidRPr="003F3B94">
        <w:rPr>
          <w:rFonts w:hint="cs"/>
          <w:sz w:val="28"/>
          <w:rtl/>
        </w:rPr>
        <w:t xml:space="preserve"> و</w:t>
      </w:r>
      <w:r w:rsidRPr="003F3B94">
        <w:rPr>
          <w:rFonts w:hint="cs"/>
          <w:sz w:val="28"/>
          <w:rtl/>
        </w:rPr>
        <w:t>فهمنا جانباً</w:t>
      </w:r>
      <w:r w:rsidR="00217AB4" w:rsidRPr="003F3B94">
        <w:rPr>
          <w:rFonts w:hint="cs"/>
          <w:sz w:val="28"/>
          <w:rtl/>
        </w:rPr>
        <w:t>!</w:t>
      </w:r>
      <w:r w:rsidRPr="003F3B94">
        <w:rPr>
          <w:rFonts w:hint="cs"/>
          <w:sz w:val="28"/>
          <w:rtl/>
        </w:rPr>
        <w:t xml:space="preserve"> وفيما يلي الإشكالات الواردة على ذلك التفسير الذي ذكروه للآية</w:t>
      </w:r>
      <w:r w:rsidR="00217AB4" w:rsidRPr="003F3B94">
        <w:rPr>
          <w:rFonts w:hint="cs"/>
          <w:sz w:val="28"/>
          <w:rtl/>
        </w:rPr>
        <w:t>:</w:t>
      </w:r>
    </w:p>
    <w:p w:rsidR="005C664D" w:rsidRPr="003F3B94" w:rsidRDefault="005C664D" w:rsidP="003F3B94">
      <w:pPr>
        <w:pStyle w:val="a0"/>
        <w:rPr>
          <w:rFonts w:hint="cs"/>
          <w:rtl/>
        </w:rPr>
      </w:pPr>
      <w:r w:rsidRPr="003F3B94">
        <w:rPr>
          <w:rFonts w:hint="cs"/>
          <w:sz w:val="28"/>
          <w:rtl/>
        </w:rPr>
        <w:t>1</w:t>
      </w:r>
      <w:r w:rsidR="00217AB4" w:rsidRPr="003F3B94">
        <w:rPr>
          <w:rFonts w:hint="cs"/>
          <w:sz w:val="28"/>
          <w:rtl/>
        </w:rPr>
        <w:t>-</w:t>
      </w:r>
      <w:r w:rsidRPr="003F3B94">
        <w:rPr>
          <w:rFonts w:hint="cs"/>
          <w:sz w:val="28"/>
          <w:rtl/>
        </w:rPr>
        <w:t xml:space="preserve"> إن الآية الكريمة تؤيِّدُ وتكرِّرُ فكرة الآيات المشابهة الأخرى التي بيَّنت أن النبيَّ لم يسأل الناس شيئاً أجراً على رسالته</w:t>
      </w:r>
      <w:r w:rsidR="001E0DB7" w:rsidRPr="003F3B94">
        <w:rPr>
          <w:rFonts w:hint="cs"/>
          <w:sz w:val="28"/>
          <w:rtl/>
        </w:rPr>
        <w:t>،</w:t>
      </w:r>
      <w:r w:rsidRPr="003F3B94">
        <w:rPr>
          <w:rFonts w:hint="cs"/>
          <w:sz w:val="28"/>
          <w:rtl/>
        </w:rPr>
        <w:t xml:space="preserve"> كما بيَّنَّا الآيات الثماني حول هذا الموضوع قبل صفحات</w:t>
      </w:r>
      <w:r w:rsidR="001E0DB7" w:rsidRPr="003F3B94">
        <w:rPr>
          <w:rFonts w:hint="cs"/>
          <w:sz w:val="28"/>
          <w:rtl/>
        </w:rPr>
        <w:t>،</w:t>
      </w:r>
      <w:r w:rsidRPr="003F3B94">
        <w:rPr>
          <w:rFonts w:hint="cs"/>
          <w:sz w:val="28"/>
          <w:rtl/>
        </w:rPr>
        <w:t xml:space="preserve"> وقد بينا أن شعار جميع الأنبياء هو أنهم لا يسألون الناس أي أجرٍ على إبلاغهم رسالة ربهم ولا أجرة على هدايتهم لأقوامهم</w:t>
      </w:r>
      <w:r w:rsidR="001E0DB7" w:rsidRPr="003F3B94">
        <w:rPr>
          <w:rFonts w:hint="cs"/>
          <w:sz w:val="28"/>
          <w:rtl/>
        </w:rPr>
        <w:t>،</w:t>
      </w:r>
      <w:r w:rsidRPr="003F3B94">
        <w:rPr>
          <w:rFonts w:hint="cs"/>
          <w:sz w:val="28"/>
          <w:rtl/>
        </w:rPr>
        <w:t xml:space="preserve"> بل أجرهم في هذا الأمر على رب العالمين</w:t>
      </w:r>
      <w:r w:rsidR="001E0DB7" w:rsidRPr="003F3B94">
        <w:rPr>
          <w:rFonts w:hint="cs"/>
          <w:sz w:val="28"/>
          <w:rtl/>
        </w:rPr>
        <w:t>،</w:t>
      </w:r>
      <w:r w:rsidR="00147857" w:rsidRPr="003F3B94">
        <w:rPr>
          <w:rFonts w:hint="cs"/>
          <w:sz w:val="28"/>
          <w:rtl/>
        </w:rPr>
        <w:t xml:space="preserve"> و</w:t>
      </w:r>
      <w:r w:rsidRPr="003F3B94">
        <w:rPr>
          <w:rFonts w:hint="cs"/>
          <w:sz w:val="28"/>
          <w:rtl/>
        </w:rPr>
        <w:t>لا يمكن إطلاقاً حتى لمن لم يكن نبياً فضلاً عن النبي أن يؤكد عدم مطالبته بأي أجر على أمرٍ ما ثم يطالب في الوقت ذاته بأجرٍ على هذا الأمر وهو مودة أقربائه</w:t>
      </w:r>
      <w:r w:rsidR="00217AB4" w:rsidRPr="003F3B94">
        <w:rPr>
          <w:rFonts w:hint="cs"/>
          <w:sz w:val="28"/>
          <w:rtl/>
        </w:rPr>
        <w:t>!!</w:t>
      </w:r>
      <w:r w:rsidRPr="003F3B94">
        <w:rPr>
          <w:rFonts w:hint="cs"/>
          <w:sz w:val="28"/>
          <w:rtl/>
        </w:rPr>
        <w:t xml:space="preserve"> أي يتناقض في كلامه</w:t>
      </w:r>
      <w:r w:rsidR="00217AB4" w:rsidRPr="003F3B94">
        <w:rPr>
          <w:rFonts w:hint="cs"/>
          <w:sz w:val="28"/>
          <w:rtl/>
        </w:rPr>
        <w:t>!</w:t>
      </w:r>
      <w:r w:rsidRPr="003F3B94">
        <w:rPr>
          <w:rFonts w:hint="cs"/>
          <w:sz w:val="28"/>
          <w:rtl/>
        </w:rPr>
        <w:t xml:space="preserve"> </w:t>
      </w:r>
    </w:p>
    <w:p w:rsidR="005C664D" w:rsidRPr="003F3B94" w:rsidRDefault="005C664D" w:rsidP="003F3B94">
      <w:pPr>
        <w:pStyle w:val="a0"/>
        <w:rPr>
          <w:rFonts w:hint="cs"/>
          <w:rtl/>
        </w:rPr>
      </w:pPr>
      <w:r w:rsidRPr="003F3B94">
        <w:rPr>
          <w:rFonts w:hint="cs"/>
          <w:sz w:val="28"/>
          <w:rtl/>
        </w:rPr>
        <w:t>2</w:t>
      </w:r>
      <w:r w:rsidR="00217AB4" w:rsidRPr="003F3B94">
        <w:rPr>
          <w:rFonts w:hint="cs"/>
          <w:sz w:val="28"/>
          <w:rtl/>
        </w:rPr>
        <w:t>-</w:t>
      </w:r>
      <w:r w:rsidRPr="003F3B94">
        <w:rPr>
          <w:rFonts w:hint="cs"/>
          <w:sz w:val="28"/>
          <w:rtl/>
        </w:rPr>
        <w:t xml:space="preserve"> إن المودة أمر قلبي ولا يمكن المطالبة والتوصية به</w:t>
      </w:r>
      <w:r w:rsidR="001E0DB7" w:rsidRPr="003F3B94">
        <w:rPr>
          <w:rFonts w:hint="cs"/>
          <w:sz w:val="28"/>
          <w:rtl/>
        </w:rPr>
        <w:t>،</w:t>
      </w:r>
      <w:r w:rsidRPr="003F3B94">
        <w:rPr>
          <w:rFonts w:hint="cs"/>
          <w:sz w:val="28"/>
          <w:rtl/>
        </w:rPr>
        <w:t xml:space="preserve"> كما أن قرابة الشخص للإنسان </w:t>
      </w:r>
      <w:r w:rsidR="002834A4" w:rsidRPr="003F3B94">
        <w:rPr>
          <w:rFonts w:hint="cs"/>
          <w:sz w:val="28"/>
          <w:rtl/>
        </w:rPr>
        <w:t>و</w:t>
      </w:r>
      <w:r w:rsidRPr="003F3B94">
        <w:rPr>
          <w:rFonts w:hint="cs"/>
          <w:sz w:val="28"/>
          <w:rtl/>
        </w:rPr>
        <w:t>حدها لا يمكن أن تكون سبباً لمحبته</w:t>
      </w:r>
      <w:r w:rsidR="001E0DB7" w:rsidRPr="003F3B94">
        <w:rPr>
          <w:rFonts w:hint="cs"/>
          <w:sz w:val="28"/>
          <w:rtl/>
        </w:rPr>
        <w:t>،</w:t>
      </w:r>
      <w:r w:rsidRPr="003F3B94">
        <w:rPr>
          <w:rFonts w:hint="cs"/>
          <w:sz w:val="28"/>
          <w:rtl/>
        </w:rPr>
        <w:t xml:space="preserve"> فمطالبة الشخص الآخرين بأن تعالوا</w:t>
      </w:r>
      <w:r w:rsidR="00147857" w:rsidRPr="003F3B94">
        <w:rPr>
          <w:rFonts w:hint="cs"/>
          <w:sz w:val="28"/>
          <w:rtl/>
        </w:rPr>
        <w:t xml:space="preserve"> و</w:t>
      </w:r>
      <w:r w:rsidRPr="003F3B94">
        <w:rPr>
          <w:rFonts w:hint="cs"/>
          <w:sz w:val="28"/>
          <w:rtl/>
        </w:rPr>
        <w:t>أحبوا أقربائي غير مناسبة</w:t>
      </w:r>
      <w:r w:rsidR="00147857" w:rsidRPr="003F3B94">
        <w:rPr>
          <w:rFonts w:hint="cs"/>
          <w:sz w:val="28"/>
          <w:rtl/>
        </w:rPr>
        <w:t xml:space="preserve"> </w:t>
      </w:r>
      <w:r w:rsidR="002834A4" w:rsidRPr="003F3B94">
        <w:rPr>
          <w:rFonts w:hint="cs"/>
          <w:sz w:val="28"/>
          <w:rtl/>
        </w:rPr>
        <w:t>وتوقُّع</w:t>
      </w:r>
      <w:r w:rsidRPr="003F3B94">
        <w:rPr>
          <w:rFonts w:hint="cs"/>
          <w:sz w:val="28"/>
          <w:rtl/>
        </w:rPr>
        <w:t xml:space="preserve"> في غير محله</w:t>
      </w:r>
      <w:r w:rsidR="00217AB4" w:rsidRPr="003F3B94">
        <w:rPr>
          <w:rFonts w:hint="cs"/>
          <w:sz w:val="28"/>
          <w:rtl/>
        </w:rPr>
        <w:t>!</w:t>
      </w:r>
      <w:r w:rsidRPr="003F3B94">
        <w:rPr>
          <w:rFonts w:hint="cs"/>
          <w:sz w:val="28"/>
          <w:rtl/>
        </w:rPr>
        <w:t xml:space="preserve"> مثلها مثل قوله للآخرين أحبوني</w:t>
      </w:r>
      <w:r w:rsidR="00217AB4" w:rsidRPr="003F3B94">
        <w:rPr>
          <w:rFonts w:hint="cs"/>
          <w:sz w:val="28"/>
          <w:rtl/>
        </w:rPr>
        <w:t>!</w:t>
      </w:r>
      <w:r w:rsidRPr="003F3B94">
        <w:rPr>
          <w:rFonts w:hint="cs"/>
          <w:sz w:val="28"/>
          <w:rtl/>
        </w:rPr>
        <w:t xml:space="preserve"> </w:t>
      </w:r>
    </w:p>
    <w:p w:rsidR="005C664D" w:rsidRPr="00995B26" w:rsidRDefault="005C664D" w:rsidP="003F3B94">
      <w:pPr>
        <w:pStyle w:val="a0"/>
        <w:rPr>
          <w:rFonts w:hint="cs"/>
          <w:rtl/>
        </w:rPr>
      </w:pPr>
      <w:r w:rsidRPr="003F3B94">
        <w:rPr>
          <w:rFonts w:hint="cs"/>
          <w:sz w:val="28"/>
          <w:rtl/>
        </w:rPr>
        <w:t>3</w:t>
      </w:r>
      <w:r w:rsidR="00217AB4" w:rsidRPr="003F3B94">
        <w:rPr>
          <w:rFonts w:hint="cs"/>
          <w:sz w:val="28"/>
          <w:rtl/>
        </w:rPr>
        <w:t>-</w:t>
      </w:r>
      <w:r w:rsidRPr="003F3B94">
        <w:rPr>
          <w:rFonts w:hint="cs"/>
          <w:sz w:val="28"/>
          <w:rtl/>
        </w:rPr>
        <w:t xml:space="preserve"> إن كلمة </w:t>
      </w:r>
      <w:r w:rsidR="00B06788" w:rsidRPr="00995B26">
        <w:rPr>
          <w:rFonts w:cs="Traditional Arabic" w:hint="cs"/>
          <w:sz w:val="28"/>
          <w:rtl/>
        </w:rPr>
        <w:t>﴿</w:t>
      </w:r>
      <w:r w:rsidR="00B06788" w:rsidRPr="0067048A">
        <w:rPr>
          <w:rFonts w:ascii="KFGQPC Uthmanic Script HAFS" w:cs="KFGQPC Uthmanic Script HAFS" w:hint="cs"/>
          <w:sz w:val="28"/>
          <w:szCs w:val="28"/>
          <w:rtl/>
        </w:rPr>
        <w:t>ٱ</w:t>
      </w:r>
      <w:r w:rsidR="00B06788" w:rsidRPr="0067048A">
        <w:rPr>
          <w:rFonts w:ascii="KFGQPC Uthmanic Script HAFS" w:cs="KFGQPC Uthmanic Script HAFS" w:hint="eastAsia"/>
          <w:sz w:val="28"/>
          <w:szCs w:val="28"/>
          <w:rtl/>
        </w:rPr>
        <w:t>ل</w:t>
      </w:r>
      <w:r w:rsidR="00B06788" w:rsidRPr="0067048A">
        <w:rPr>
          <w:rFonts w:ascii="KFGQPC Uthmanic Script HAFS" w:cs="KFGQPC Uthmanic Script HAFS" w:hint="cs"/>
          <w:sz w:val="28"/>
          <w:szCs w:val="28"/>
          <w:rtl/>
        </w:rPr>
        <w:t>ۡ</w:t>
      </w:r>
      <w:r w:rsidR="00B06788" w:rsidRPr="0067048A">
        <w:rPr>
          <w:rFonts w:ascii="KFGQPC Uthmanic Script HAFS" w:cs="KFGQPC Uthmanic Script HAFS" w:hint="eastAsia"/>
          <w:sz w:val="28"/>
          <w:szCs w:val="28"/>
          <w:rtl/>
        </w:rPr>
        <w:t>قُر</w:t>
      </w:r>
      <w:r w:rsidR="00B06788" w:rsidRPr="0067048A">
        <w:rPr>
          <w:rFonts w:ascii="KFGQPC Uthmanic Script HAFS" w:cs="KFGQPC Uthmanic Script HAFS" w:hint="cs"/>
          <w:sz w:val="28"/>
          <w:szCs w:val="28"/>
          <w:rtl/>
        </w:rPr>
        <w:t>ۡ</w:t>
      </w:r>
      <w:r w:rsidR="00B06788" w:rsidRPr="0067048A">
        <w:rPr>
          <w:rFonts w:ascii="KFGQPC Uthmanic Script HAFS" w:cs="KFGQPC Uthmanic Script HAFS" w:hint="eastAsia"/>
          <w:sz w:val="28"/>
          <w:szCs w:val="28"/>
          <w:rtl/>
        </w:rPr>
        <w:t>بَى</w:t>
      </w:r>
      <w:r w:rsidR="00B06788" w:rsidRPr="0067048A">
        <w:rPr>
          <w:rFonts w:ascii="KFGQPC Uthmanic Script HAFS" w:cs="KFGQPC Uthmanic Script HAFS" w:hint="cs"/>
          <w:sz w:val="28"/>
          <w:szCs w:val="28"/>
          <w:rtl/>
        </w:rPr>
        <w:t>ٰ</w:t>
      </w:r>
      <w:r w:rsidR="00B06788" w:rsidRPr="00995B26">
        <w:rPr>
          <w:rFonts w:cs="Traditional Arabic" w:hint="cs"/>
          <w:sz w:val="28"/>
          <w:rtl/>
        </w:rPr>
        <w:t>﴾</w:t>
      </w:r>
      <w:r w:rsidR="00B06788" w:rsidRPr="00995B26">
        <w:rPr>
          <w:rFonts w:hint="cs"/>
          <w:sz w:val="28"/>
          <w:rtl/>
        </w:rPr>
        <w:t xml:space="preserve"> </w:t>
      </w:r>
      <w:r w:rsidRPr="00995B26">
        <w:rPr>
          <w:rFonts w:hint="cs"/>
          <w:sz w:val="28"/>
          <w:rtl/>
        </w:rPr>
        <w:t>هنا مصدر مثلها مثل كلمة زُلْفَى</w:t>
      </w:r>
      <w:r w:rsidR="00147857" w:rsidRPr="00995B26">
        <w:rPr>
          <w:rFonts w:hint="cs"/>
          <w:sz w:val="28"/>
          <w:rtl/>
        </w:rPr>
        <w:t xml:space="preserve"> و</w:t>
      </w:r>
      <w:r w:rsidRPr="00995B26">
        <w:rPr>
          <w:rFonts w:hint="cs"/>
          <w:sz w:val="28"/>
          <w:rtl/>
        </w:rPr>
        <w:t>الظاهر أن قُرْبَى إذا كانت قُرْبَة</w:t>
      </w:r>
      <w:r w:rsidRPr="00995B26">
        <w:rPr>
          <w:rFonts w:hint="cs"/>
          <w:sz w:val="28"/>
          <w:rtl/>
          <w:lang w:bidi="ar-SY"/>
        </w:rPr>
        <w:t>ً</w:t>
      </w:r>
      <w:r w:rsidR="001E0DB7" w:rsidRPr="00995B26">
        <w:rPr>
          <w:rFonts w:hint="cs"/>
          <w:sz w:val="28"/>
          <w:rtl/>
          <w:lang w:bidi="ar-SY"/>
        </w:rPr>
        <w:t>،</w:t>
      </w:r>
      <w:r w:rsidRPr="00995B26">
        <w:rPr>
          <w:rFonts w:hint="cs"/>
          <w:sz w:val="28"/>
          <w:rtl/>
          <w:lang w:bidi="ar-SY"/>
        </w:rPr>
        <w:t xml:space="preserve"> مثلها مثل زُلْفَةً </w:t>
      </w:r>
      <w:r w:rsidRPr="00995B26">
        <w:rPr>
          <w:rFonts w:hint="cs"/>
          <w:sz w:val="28"/>
          <w:rtl/>
        </w:rPr>
        <w:t>لا تؤدي معنى القرابة إذا لم تكن مضافة</w:t>
      </w:r>
      <w:r w:rsidR="00217AB4" w:rsidRPr="00995B26">
        <w:rPr>
          <w:rFonts w:hint="cs"/>
          <w:sz w:val="28"/>
          <w:rtl/>
        </w:rPr>
        <w:t>.</w:t>
      </w:r>
      <w:r w:rsidRPr="00995B26">
        <w:rPr>
          <w:rFonts w:hint="cs"/>
          <w:sz w:val="28"/>
          <w:rtl/>
        </w:rPr>
        <w:t xml:space="preserve"> </w:t>
      </w:r>
    </w:p>
    <w:p w:rsidR="005C664D" w:rsidRPr="00995B26" w:rsidRDefault="005C664D" w:rsidP="003F3B94">
      <w:pPr>
        <w:pStyle w:val="a0"/>
        <w:rPr>
          <w:rFonts w:hint="cs"/>
          <w:rtl/>
        </w:rPr>
      </w:pPr>
      <w:r w:rsidRPr="003F3B94">
        <w:rPr>
          <w:rFonts w:hint="cs"/>
          <w:sz w:val="28"/>
          <w:rtl/>
        </w:rPr>
        <w:t>4</w:t>
      </w:r>
      <w:r w:rsidR="00217AB4" w:rsidRPr="003F3B94">
        <w:rPr>
          <w:rFonts w:hint="cs"/>
          <w:sz w:val="28"/>
          <w:rtl/>
        </w:rPr>
        <w:t>-</w:t>
      </w:r>
      <w:r w:rsidRPr="003F3B94">
        <w:rPr>
          <w:rFonts w:hint="cs"/>
          <w:sz w:val="28"/>
          <w:rtl/>
        </w:rPr>
        <w:t xml:space="preserve"> إذا صرفنا النظر عن كل الإشكالات السابقة</w:t>
      </w:r>
      <w:r w:rsidR="00147857" w:rsidRPr="003F3B94">
        <w:rPr>
          <w:rFonts w:hint="cs"/>
          <w:sz w:val="28"/>
          <w:rtl/>
        </w:rPr>
        <w:t xml:space="preserve"> و</w:t>
      </w:r>
      <w:r w:rsidRPr="003F3B94">
        <w:rPr>
          <w:rFonts w:hint="cs"/>
          <w:sz w:val="28"/>
          <w:rtl/>
        </w:rPr>
        <w:t xml:space="preserve">اعتبرنا أن كلمة </w:t>
      </w:r>
      <w:r w:rsidR="00B06788" w:rsidRPr="00995B26">
        <w:rPr>
          <w:rFonts w:cs="Traditional Arabic" w:hint="cs"/>
          <w:sz w:val="28"/>
          <w:rtl/>
        </w:rPr>
        <w:t>﴿</w:t>
      </w:r>
      <w:r w:rsidR="00B06788" w:rsidRPr="0067048A">
        <w:rPr>
          <w:rFonts w:ascii="KFGQPC Uthmanic Script HAFS" w:cs="KFGQPC Uthmanic Script HAFS" w:hint="cs"/>
          <w:sz w:val="28"/>
          <w:szCs w:val="28"/>
          <w:rtl/>
        </w:rPr>
        <w:t>ٱ</w:t>
      </w:r>
      <w:r w:rsidR="00B06788" w:rsidRPr="0067048A">
        <w:rPr>
          <w:rFonts w:ascii="KFGQPC Uthmanic Script HAFS" w:cs="KFGQPC Uthmanic Script HAFS" w:hint="eastAsia"/>
          <w:sz w:val="28"/>
          <w:szCs w:val="28"/>
          <w:rtl/>
        </w:rPr>
        <w:t>ل</w:t>
      </w:r>
      <w:r w:rsidR="00B06788" w:rsidRPr="0067048A">
        <w:rPr>
          <w:rFonts w:ascii="KFGQPC Uthmanic Script HAFS" w:cs="KFGQPC Uthmanic Script HAFS" w:hint="cs"/>
          <w:sz w:val="28"/>
          <w:szCs w:val="28"/>
          <w:rtl/>
        </w:rPr>
        <w:t>ۡ</w:t>
      </w:r>
      <w:r w:rsidR="00B06788" w:rsidRPr="0067048A">
        <w:rPr>
          <w:rFonts w:ascii="KFGQPC Uthmanic Script HAFS" w:cs="KFGQPC Uthmanic Script HAFS" w:hint="eastAsia"/>
          <w:sz w:val="28"/>
          <w:szCs w:val="28"/>
          <w:rtl/>
        </w:rPr>
        <w:t>قُر</w:t>
      </w:r>
      <w:r w:rsidR="00B06788" w:rsidRPr="0067048A">
        <w:rPr>
          <w:rFonts w:ascii="KFGQPC Uthmanic Script HAFS" w:cs="KFGQPC Uthmanic Script HAFS" w:hint="cs"/>
          <w:sz w:val="28"/>
          <w:szCs w:val="28"/>
          <w:rtl/>
        </w:rPr>
        <w:t>ۡ</w:t>
      </w:r>
      <w:r w:rsidR="00B06788" w:rsidRPr="0067048A">
        <w:rPr>
          <w:rFonts w:ascii="KFGQPC Uthmanic Script HAFS" w:cs="KFGQPC Uthmanic Script HAFS" w:hint="eastAsia"/>
          <w:sz w:val="28"/>
          <w:szCs w:val="28"/>
          <w:rtl/>
        </w:rPr>
        <w:t>بَى</w:t>
      </w:r>
      <w:r w:rsidR="00B06788" w:rsidRPr="0067048A">
        <w:rPr>
          <w:rFonts w:ascii="KFGQPC Uthmanic Script HAFS" w:cs="KFGQPC Uthmanic Script HAFS" w:hint="cs"/>
          <w:sz w:val="28"/>
          <w:szCs w:val="28"/>
          <w:rtl/>
        </w:rPr>
        <w:t>ٰ</w:t>
      </w:r>
      <w:r w:rsidR="00B06788" w:rsidRPr="00995B26">
        <w:rPr>
          <w:rFonts w:cs="Traditional Arabic" w:hint="cs"/>
          <w:sz w:val="28"/>
          <w:rtl/>
        </w:rPr>
        <w:t>﴾</w:t>
      </w:r>
      <w:r w:rsidR="00B06788" w:rsidRPr="00995B26">
        <w:rPr>
          <w:rFonts w:hint="cs"/>
          <w:sz w:val="28"/>
          <w:rtl/>
        </w:rPr>
        <w:t xml:space="preserve"> </w:t>
      </w:r>
      <w:r w:rsidRPr="00995B26">
        <w:rPr>
          <w:rFonts w:hint="cs"/>
          <w:sz w:val="28"/>
          <w:rtl/>
        </w:rPr>
        <w:t>هنا معناها القرابة</w:t>
      </w:r>
      <w:r w:rsidR="001E0DB7" w:rsidRPr="00995B26">
        <w:rPr>
          <w:rFonts w:hint="cs"/>
          <w:sz w:val="28"/>
          <w:rtl/>
        </w:rPr>
        <w:t>،</w:t>
      </w:r>
      <w:r w:rsidRPr="00995B26">
        <w:rPr>
          <w:rFonts w:hint="cs"/>
          <w:sz w:val="28"/>
          <w:rtl/>
        </w:rPr>
        <w:t xml:space="preserve"> فإن هذه القرابة ستكون قرابةً عامة في حين أنه من المقطوع به أن ليس جميع أقرباء رسول الله يستحقون المودة</w:t>
      </w:r>
      <w:r w:rsidR="00147857" w:rsidRPr="00995B26">
        <w:rPr>
          <w:rFonts w:hint="cs"/>
          <w:sz w:val="28"/>
          <w:rtl/>
        </w:rPr>
        <w:t xml:space="preserve"> و</w:t>
      </w:r>
      <w:r w:rsidRPr="00995B26">
        <w:rPr>
          <w:rFonts w:hint="cs"/>
          <w:sz w:val="28"/>
          <w:rtl/>
        </w:rPr>
        <w:t>المحبة</w:t>
      </w:r>
      <w:r w:rsidR="001E0DB7" w:rsidRPr="00995B26">
        <w:rPr>
          <w:rFonts w:hint="cs"/>
          <w:sz w:val="28"/>
          <w:rtl/>
        </w:rPr>
        <w:t>،</w:t>
      </w:r>
      <w:r w:rsidRPr="00995B26">
        <w:rPr>
          <w:rFonts w:hint="cs"/>
          <w:sz w:val="28"/>
          <w:rtl/>
        </w:rPr>
        <w:t xml:space="preserve"> لأن كثيراً منهم كانوا أعداء لله ورسوله</w:t>
      </w:r>
      <w:r w:rsidR="00147857" w:rsidRPr="00995B26">
        <w:rPr>
          <w:rFonts w:hint="cs"/>
          <w:sz w:val="28"/>
          <w:rtl/>
        </w:rPr>
        <w:t xml:space="preserve"> و</w:t>
      </w:r>
      <w:r w:rsidRPr="00995B26">
        <w:rPr>
          <w:rFonts w:hint="cs"/>
          <w:sz w:val="28"/>
          <w:rtl/>
        </w:rPr>
        <w:t>قد نهت آيات عديدة في القرآن المجيد عن مودة أعداء الله</w:t>
      </w:r>
      <w:r w:rsidR="001E0DB7" w:rsidRPr="00995B26">
        <w:rPr>
          <w:rFonts w:hint="cs"/>
          <w:sz w:val="28"/>
          <w:rtl/>
        </w:rPr>
        <w:t>،</w:t>
      </w:r>
      <w:r w:rsidRPr="00995B26">
        <w:rPr>
          <w:rFonts w:hint="cs"/>
          <w:sz w:val="28"/>
          <w:rtl/>
        </w:rPr>
        <w:t xml:space="preserve"> بل إن من أركان دين الإسلام موالاة أولياء الله ومحبتهم ومعاداة أعداء الله والبراءة منهم وعندئذ فستكون هذه الآية – حسب هذا الفهم – مناقضة لآيات الولاء والبراء</w:t>
      </w:r>
      <w:r w:rsidR="001E0DB7" w:rsidRPr="00995B26">
        <w:rPr>
          <w:rFonts w:hint="cs"/>
          <w:sz w:val="28"/>
          <w:rtl/>
        </w:rPr>
        <w:t>،</w:t>
      </w:r>
      <w:r w:rsidRPr="00995B26">
        <w:rPr>
          <w:rFonts w:hint="cs"/>
          <w:sz w:val="28"/>
          <w:rtl/>
        </w:rPr>
        <w:t xml:space="preserve"> في حين أن القرآن منزه من كل اختلاف وتناقض</w:t>
      </w:r>
      <w:r w:rsidR="00217AB4" w:rsidRPr="00995B26">
        <w:rPr>
          <w:rFonts w:hint="cs"/>
          <w:sz w:val="28"/>
          <w:rtl/>
        </w:rPr>
        <w:t>:</w:t>
      </w:r>
      <w:r w:rsidR="00B06788" w:rsidRPr="00995B26">
        <w:rPr>
          <w:rFonts w:hint="cs"/>
          <w:sz w:val="28"/>
          <w:rtl/>
        </w:rPr>
        <w:t xml:space="preserve"> </w:t>
      </w:r>
      <w:r w:rsidR="00B06788" w:rsidRPr="00995B26">
        <w:rPr>
          <w:rFonts w:cs="Traditional Arabic" w:hint="cs"/>
          <w:sz w:val="28"/>
          <w:rtl/>
        </w:rPr>
        <w:t>﴿</w:t>
      </w:r>
      <w:r w:rsidR="00B06788" w:rsidRPr="0067048A">
        <w:rPr>
          <w:rFonts w:ascii="KFGQPC Uthmanic Script HAFS" w:cs="KFGQPC Uthmanic Script HAFS" w:hint="eastAsia"/>
          <w:sz w:val="28"/>
          <w:szCs w:val="28"/>
          <w:rtl/>
        </w:rPr>
        <w:t>أَفَلَا</w:t>
      </w:r>
      <w:r w:rsidR="00B06788" w:rsidRPr="0067048A">
        <w:rPr>
          <w:rFonts w:ascii="KFGQPC Uthmanic Script HAFS" w:cs="KFGQPC Uthmanic Script HAFS"/>
          <w:sz w:val="28"/>
          <w:szCs w:val="28"/>
          <w:rtl/>
        </w:rPr>
        <w:t xml:space="preserve"> </w:t>
      </w:r>
      <w:r w:rsidR="00B06788" w:rsidRPr="0067048A">
        <w:rPr>
          <w:rFonts w:ascii="KFGQPC Uthmanic Script HAFS" w:cs="KFGQPC Uthmanic Script HAFS" w:hint="eastAsia"/>
          <w:sz w:val="28"/>
          <w:szCs w:val="28"/>
          <w:rtl/>
        </w:rPr>
        <w:t>يَتَدَبَّرُونَ</w:t>
      </w:r>
      <w:r w:rsidR="00B06788" w:rsidRPr="0067048A">
        <w:rPr>
          <w:rFonts w:ascii="KFGQPC Uthmanic Script HAFS" w:cs="KFGQPC Uthmanic Script HAFS"/>
          <w:sz w:val="28"/>
          <w:szCs w:val="28"/>
          <w:rtl/>
        </w:rPr>
        <w:t xml:space="preserve"> </w:t>
      </w:r>
      <w:r w:rsidR="00B06788" w:rsidRPr="0067048A">
        <w:rPr>
          <w:rFonts w:ascii="KFGQPC Uthmanic Script HAFS" w:cs="KFGQPC Uthmanic Script HAFS" w:hint="cs"/>
          <w:sz w:val="28"/>
          <w:szCs w:val="28"/>
          <w:rtl/>
        </w:rPr>
        <w:t>ٱ</w:t>
      </w:r>
      <w:r w:rsidR="00B06788" w:rsidRPr="0067048A">
        <w:rPr>
          <w:rFonts w:ascii="KFGQPC Uthmanic Script HAFS" w:cs="KFGQPC Uthmanic Script HAFS" w:hint="eastAsia"/>
          <w:sz w:val="28"/>
          <w:szCs w:val="28"/>
          <w:rtl/>
        </w:rPr>
        <w:t>ل</w:t>
      </w:r>
      <w:r w:rsidR="00B06788" w:rsidRPr="0067048A">
        <w:rPr>
          <w:rFonts w:ascii="KFGQPC Uthmanic Script HAFS" w:cs="KFGQPC Uthmanic Script HAFS" w:hint="cs"/>
          <w:sz w:val="28"/>
          <w:szCs w:val="28"/>
          <w:rtl/>
        </w:rPr>
        <w:t>ۡ</w:t>
      </w:r>
      <w:r w:rsidR="00B06788" w:rsidRPr="0067048A">
        <w:rPr>
          <w:rFonts w:ascii="KFGQPC Uthmanic Script HAFS" w:cs="KFGQPC Uthmanic Script HAFS" w:hint="eastAsia"/>
          <w:sz w:val="28"/>
          <w:szCs w:val="28"/>
          <w:rtl/>
        </w:rPr>
        <w:t>قُر</w:t>
      </w:r>
      <w:r w:rsidR="00B06788" w:rsidRPr="0067048A">
        <w:rPr>
          <w:rFonts w:ascii="KFGQPC Uthmanic Script HAFS" w:cs="KFGQPC Uthmanic Script HAFS" w:hint="cs"/>
          <w:sz w:val="28"/>
          <w:szCs w:val="28"/>
          <w:rtl/>
        </w:rPr>
        <w:t>ۡ</w:t>
      </w:r>
      <w:r w:rsidR="00B06788" w:rsidRPr="0067048A">
        <w:rPr>
          <w:rFonts w:ascii="KFGQPC Uthmanic Script HAFS" w:cs="KFGQPC Uthmanic Script HAFS" w:hint="eastAsia"/>
          <w:sz w:val="28"/>
          <w:szCs w:val="28"/>
          <w:rtl/>
        </w:rPr>
        <w:t>ءَانَ</w:t>
      </w:r>
      <w:r w:rsidR="00B06788" w:rsidRPr="0067048A">
        <w:rPr>
          <w:rFonts w:ascii="KFGQPC Uthmanic Script HAFS" w:cs="KFGQPC Uthmanic Script HAFS" w:hint="cs"/>
          <w:sz w:val="28"/>
          <w:szCs w:val="28"/>
          <w:rtl/>
        </w:rPr>
        <w:t>ۚ</w:t>
      </w:r>
      <w:r w:rsidR="00B06788" w:rsidRPr="0067048A">
        <w:rPr>
          <w:rFonts w:ascii="KFGQPC Uthmanic Script HAFS" w:cs="KFGQPC Uthmanic Script HAFS"/>
          <w:sz w:val="28"/>
          <w:szCs w:val="28"/>
          <w:rtl/>
        </w:rPr>
        <w:t xml:space="preserve"> </w:t>
      </w:r>
      <w:r w:rsidR="00B06788" w:rsidRPr="0067048A">
        <w:rPr>
          <w:rFonts w:ascii="KFGQPC Uthmanic Script HAFS" w:cs="KFGQPC Uthmanic Script HAFS" w:hint="eastAsia"/>
          <w:sz w:val="28"/>
          <w:szCs w:val="28"/>
          <w:rtl/>
        </w:rPr>
        <w:t>وَلَو</w:t>
      </w:r>
      <w:r w:rsidR="00B06788" w:rsidRPr="0067048A">
        <w:rPr>
          <w:rFonts w:ascii="KFGQPC Uthmanic Script HAFS" w:cs="KFGQPC Uthmanic Script HAFS" w:hint="cs"/>
          <w:sz w:val="28"/>
          <w:szCs w:val="28"/>
          <w:rtl/>
        </w:rPr>
        <w:t>ۡ</w:t>
      </w:r>
      <w:r w:rsidR="00B06788" w:rsidRPr="0067048A">
        <w:rPr>
          <w:rFonts w:ascii="KFGQPC Uthmanic Script HAFS" w:cs="KFGQPC Uthmanic Script HAFS"/>
          <w:sz w:val="28"/>
          <w:szCs w:val="28"/>
          <w:rtl/>
        </w:rPr>
        <w:t xml:space="preserve"> </w:t>
      </w:r>
      <w:r w:rsidR="00B06788" w:rsidRPr="0067048A">
        <w:rPr>
          <w:rFonts w:ascii="KFGQPC Uthmanic Script HAFS" w:cs="KFGQPC Uthmanic Script HAFS" w:hint="eastAsia"/>
          <w:sz w:val="28"/>
          <w:szCs w:val="28"/>
          <w:rtl/>
        </w:rPr>
        <w:t>كَانَ</w:t>
      </w:r>
      <w:r w:rsidR="00B06788" w:rsidRPr="0067048A">
        <w:rPr>
          <w:rFonts w:ascii="KFGQPC Uthmanic Script HAFS" w:cs="KFGQPC Uthmanic Script HAFS"/>
          <w:sz w:val="28"/>
          <w:szCs w:val="28"/>
          <w:rtl/>
        </w:rPr>
        <w:t xml:space="preserve"> </w:t>
      </w:r>
      <w:r w:rsidR="00B06788" w:rsidRPr="0067048A">
        <w:rPr>
          <w:rFonts w:ascii="KFGQPC Uthmanic Script HAFS" w:cs="KFGQPC Uthmanic Script HAFS" w:hint="eastAsia"/>
          <w:sz w:val="28"/>
          <w:szCs w:val="28"/>
          <w:rtl/>
        </w:rPr>
        <w:t>مِن</w:t>
      </w:r>
      <w:r w:rsidR="00B06788" w:rsidRPr="0067048A">
        <w:rPr>
          <w:rFonts w:ascii="KFGQPC Uthmanic Script HAFS" w:cs="KFGQPC Uthmanic Script HAFS" w:hint="cs"/>
          <w:sz w:val="28"/>
          <w:szCs w:val="28"/>
          <w:rtl/>
        </w:rPr>
        <w:t>ۡ</w:t>
      </w:r>
      <w:r w:rsidR="00B06788" w:rsidRPr="0067048A">
        <w:rPr>
          <w:rFonts w:ascii="KFGQPC Uthmanic Script HAFS" w:cs="KFGQPC Uthmanic Script HAFS"/>
          <w:sz w:val="28"/>
          <w:szCs w:val="28"/>
          <w:rtl/>
        </w:rPr>
        <w:t xml:space="preserve"> </w:t>
      </w:r>
      <w:r w:rsidR="00B06788" w:rsidRPr="0067048A">
        <w:rPr>
          <w:rFonts w:ascii="KFGQPC Uthmanic Script HAFS" w:cs="KFGQPC Uthmanic Script HAFS" w:hint="eastAsia"/>
          <w:sz w:val="28"/>
          <w:szCs w:val="28"/>
          <w:rtl/>
        </w:rPr>
        <w:t>عِندِ</w:t>
      </w:r>
      <w:r w:rsidR="00B06788" w:rsidRPr="0067048A">
        <w:rPr>
          <w:rFonts w:ascii="KFGQPC Uthmanic Script HAFS" w:cs="KFGQPC Uthmanic Script HAFS"/>
          <w:sz w:val="28"/>
          <w:szCs w:val="28"/>
          <w:rtl/>
        </w:rPr>
        <w:t xml:space="preserve"> </w:t>
      </w:r>
      <w:r w:rsidR="00B06788" w:rsidRPr="0067048A">
        <w:rPr>
          <w:rFonts w:ascii="KFGQPC Uthmanic Script HAFS" w:cs="KFGQPC Uthmanic Script HAFS" w:hint="eastAsia"/>
          <w:sz w:val="28"/>
          <w:szCs w:val="28"/>
          <w:rtl/>
        </w:rPr>
        <w:t>غَي</w:t>
      </w:r>
      <w:r w:rsidR="00B06788" w:rsidRPr="0067048A">
        <w:rPr>
          <w:rFonts w:ascii="KFGQPC Uthmanic Script HAFS" w:cs="KFGQPC Uthmanic Script HAFS" w:hint="cs"/>
          <w:sz w:val="28"/>
          <w:szCs w:val="28"/>
          <w:rtl/>
        </w:rPr>
        <w:t>ۡ</w:t>
      </w:r>
      <w:r w:rsidR="00B06788" w:rsidRPr="0067048A">
        <w:rPr>
          <w:rFonts w:ascii="KFGQPC Uthmanic Script HAFS" w:cs="KFGQPC Uthmanic Script HAFS" w:hint="eastAsia"/>
          <w:sz w:val="28"/>
          <w:szCs w:val="28"/>
          <w:rtl/>
        </w:rPr>
        <w:t>رِ</w:t>
      </w:r>
      <w:r w:rsidR="00B06788" w:rsidRPr="0067048A">
        <w:rPr>
          <w:rFonts w:ascii="KFGQPC Uthmanic Script HAFS" w:cs="KFGQPC Uthmanic Script HAFS"/>
          <w:sz w:val="28"/>
          <w:szCs w:val="28"/>
          <w:rtl/>
        </w:rPr>
        <w:t xml:space="preserve"> </w:t>
      </w:r>
      <w:r w:rsidR="00B06788" w:rsidRPr="0067048A">
        <w:rPr>
          <w:rFonts w:ascii="KFGQPC Uthmanic Script HAFS" w:cs="KFGQPC Uthmanic Script HAFS" w:hint="cs"/>
          <w:sz w:val="28"/>
          <w:szCs w:val="28"/>
          <w:rtl/>
        </w:rPr>
        <w:t>ٱ</w:t>
      </w:r>
      <w:r w:rsidR="00B06788" w:rsidRPr="0067048A">
        <w:rPr>
          <w:rFonts w:ascii="KFGQPC Uthmanic Script HAFS" w:cs="KFGQPC Uthmanic Script HAFS" w:hint="eastAsia"/>
          <w:sz w:val="28"/>
          <w:szCs w:val="28"/>
          <w:rtl/>
        </w:rPr>
        <w:t>للَّهِ</w:t>
      </w:r>
      <w:r w:rsidR="00B06788" w:rsidRPr="0067048A">
        <w:rPr>
          <w:rFonts w:ascii="KFGQPC Uthmanic Script HAFS" w:cs="KFGQPC Uthmanic Script HAFS"/>
          <w:sz w:val="28"/>
          <w:szCs w:val="28"/>
          <w:rtl/>
        </w:rPr>
        <w:t xml:space="preserve"> </w:t>
      </w:r>
      <w:r w:rsidR="00B06788" w:rsidRPr="0067048A">
        <w:rPr>
          <w:rFonts w:ascii="KFGQPC Uthmanic Script HAFS" w:cs="KFGQPC Uthmanic Script HAFS" w:hint="eastAsia"/>
          <w:sz w:val="28"/>
          <w:szCs w:val="28"/>
          <w:rtl/>
        </w:rPr>
        <w:t>لَوَجَدُواْ</w:t>
      </w:r>
      <w:r w:rsidR="00B06788" w:rsidRPr="0067048A">
        <w:rPr>
          <w:rFonts w:ascii="KFGQPC Uthmanic Script HAFS" w:cs="KFGQPC Uthmanic Script HAFS"/>
          <w:sz w:val="28"/>
          <w:szCs w:val="28"/>
          <w:rtl/>
        </w:rPr>
        <w:t xml:space="preserve"> </w:t>
      </w:r>
      <w:r w:rsidR="00B06788" w:rsidRPr="0067048A">
        <w:rPr>
          <w:rFonts w:ascii="KFGQPC Uthmanic Script HAFS" w:cs="KFGQPC Uthmanic Script HAFS" w:hint="eastAsia"/>
          <w:sz w:val="28"/>
          <w:szCs w:val="28"/>
          <w:rtl/>
        </w:rPr>
        <w:t>فِيهِ</w:t>
      </w:r>
      <w:r w:rsidR="00B06788" w:rsidRPr="0067048A">
        <w:rPr>
          <w:rFonts w:ascii="KFGQPC Uthmanic Script HAFS" w:cs="KFGQPC Uthmanic Script HAFS"/>
          <w:sz w:val="28"/>
          <w:szCs w:val="28"/>
          <w:rtl/>
        </w:rPr>
        <w:t xml:space="preserve"> </w:t>
      </w:r>
      <w:r w:rsidR="00B06788" w:rsidRPr="0067048A">
        <w:rPr>
          <w:rFonts w:ascii="KFGQPC Uthmanic Script HAFS" w:cs="KFGQPC Uthmanic Script HAFS" w:hint="cs"/>
          <w:sz w:val="28"/>
          <w:szCs w:val="28"/>
          <w:rtl/>
        </w:rPr>
        <w:t>ٱ</w:t>
      </w:r>
      <w:r w:rsidR="00B06788" w:rsidRPr="0067048A">
        <w:rPr>
          <w:rFonts w:ascii="KFGQPC Uthmanic Script HAFS" w:cs="KFGQPC Uthmanic Script HAFS" w:hint="eastAsia"/>
          <w:sz w:val="28"/>
          <w:szCs w:val="28"/>
          <w:rtl/>
        </w:rPr>
        <w:t>خ</w:t>
      </w:r>
      <w:r w:rsidR="00B06788" w:rsidRPr="0067048A">
        <w:rPr>
          <w:rFonts w:ascii="KFGQPC Uthmanic Script HAFS" w:cs="KFGQPC Uthmanic Script HAFS" w:hint="cs"/>
          <w:sz w:val="28"/>
          <w:szCs w:val="28"/>
          <w:rtl/>
        </w:rPr>
        <w:t>ۡ</w:t>
      </w:r>
      <w:r w:rsidR="00B06788" w:rsidRPr="0067048A">
        <w:rPr>
          <w:rFonts w:ascii="KFGQPC Uthmanic Script HAFS" w:cs="KFGQPC Uthmanic Script HAFS" w:hint="eastAsia"/>
          <w:sz w:val="28"/>
          <w:szCs w:val="28"/>
          <w:rtl/>
        </w:rPr>
        <w:t>تِلَ</w:t>
      </w:r>
      <w:r w:rsidR="00B06788" w:rsidRPr="0067048A">
        <w:rPr>
          <w:rFonts w:ascii="KFGQPC Uthmanic Script HAFS" w:cs="KFGQPC Uthmanic Script HAFS" w:hint="cs"/>
          <w:sz w:val="28"/>
          <w:szCs w:val="28"/>
          <w:rtl/>
        </w:rPr>
        <w:t>ٰ</w:t>
      </w:r>
      <w:r w:rsidR="00B06788" w:rsidRPr="0067048A">
        <w:rPr>
          <w:rFonts w:ascii="KFGQPC Uthmanic Script HAFS" w:cs="KFGQPC Uthmanic Script HAFS" w:hint="eastAsia"/>
          <w:sz w:val="28"/>
          <w:szCs w:val="28"/>
          <w:rtl/>
        </w:rPr>
        <w:t>ف</w:t>
      </w:r>
      <w:r w:rsidR="00B06788" w:rsidRPr="0067048A">
        <w:rPr>
          <w:rFonts w:ascii="KFGQPC Uthmanic Script HAFS" w:cs="KFGQPC Uthmanic Script HAFS" w:hint="cs"/>
          <w:sz w:val="28"/>
          <w:szCs w:val="28"/>
          <w:rtl/>
        </w:rPr>
        <w:t>ٗ</w:t>
      </w:r>
      <w:r w:rsidR="00B06788" w:rsidRPr="0067048A">
        <w:rPr>
          <w:rFonts w:ascii="KFGQPC Uthmanic Script HAFS" w:cs="KFGQPC Uthmanic Script HAFS" w:hint="eastAsia"/>
          <w:sz w:val="28"/>
          <w:szCs w:val="28"/>
          <w:rtl/>
        </w:rPr>
        <w:t>ا</w:t>
      </w:r>
      <w:r w:rsidR="00B06788" w:rsidRPr="0067048A">
        <w:rPr>
          <w:rFonts w:ascii="KFGQPC Uthmanic Script HAFS" w:cs="KFGQPC Uthmanic Script HAFS"/>
          <w:sz w:val="28"/>
          <w:szCs w:val="28"/>
          <w:rtl/>
        </w:rPr>
        <w:t xml:space="preserve"> </w:t>
      </w:r>
      <w:r w:rsidR="00B06788" w:rsidRPr="0067048A">
        <w:rPr>
          <w:rFonts w:ascii="KFGQPC Uthmanic Script HAFS" w:cs="KFGQPC Uthmanic Script HAFS" w:hint="eastAsia"/>
          <w:sz w:val="28"/>
          <w:szCs w:val="28"/>
          <w:rtl/>
        </w:rPr>
        <w:t>كَثِير</w:t>
      </w:r>
      <w:r w:rsidR="00B06788" w:rsidRPr="0067048A">
        <w:rPr>
          <w:rFonts w:ascii="KFGQPC Uthmanic Script HAFS" w:cs="KFGQPC Uthmanic Script HAFS" w:hint="cs"/>
          <w:sz w:val="28"/>
          <w:szCs w:val="28"/>
          <w:rtl/>
        </w:rPr>
        <w:t>ٗ</w:t>
      </w:r>
      <w:r w:rsidR="00B06788" w:rsidRPr="0067048A">
        <w:rPr>
          <w:rFonts w:ascii="KFGQPC Uthmanic Script HAFS" w:cs="KFGQPC Uthmanic Script HAFS" w:hint="eastAsia"/>
          <w:sz w:val="28"/>
          <w:szCs w:val="28"/>
          <w:rtl/>
        </w:rPr>
        <w:t>ا</w:t>
      </w:r>
      <w:r w:rsidR="00B06788" w:rsidRPr="0067048A">
        <w:rPr>
          <w:rFonts w:ascii="KFGQPC Uthmanic Script HAFS" w:cs="KFGQPC Uthmanic Script HAFS"/>
          <w:sz w:val="28"/>
          <w:szCs w:val="28"/>
          <w:rtl/>
        </w:rPr>
        <w:t xml:space="preserve"> </w:t>
      </w:r>
      <w:r w:rsidR="00B06788" w:rsidRPr="0067048A">
        <w:rPr>
          <w:rFonts w:ascii="KFGQPC Uthmanic Script HAFS" w:cs="KFGQPC Uthmanic Script HAFS" w:hint="cs"/>
          <w:sz w:val="28"/>
          <w:szCs w:val="28"/>
          <w:rtl/>
        </w:rPr>
        <w:t>٨٢</w:t>
      </w:r>
      <w:r w:rsidR="00B06788" w:rsidRPr="00995B26">
        <w:rPr>
          <w:rFonts w:cs="Traditional Arabic" w:hint="cs"/>
          <w:sz w:val="28"/>
          <w:rtl/>
        </w:rPr>
        <w:t>﴾</w:t>
      </w:r>
      <w:r w:rsidRPr="00995B26">
        <w:rPr>
          <w:sz w:val="28"/>
          <w:rtl/>
        </w:rPr>
        <w:t xml:space="preserve"> </w:t>
      </w:r>
      <w:r w:rsidRPr="003108CB">
        <w:rPr>
          <w:rStyle w:val="Char2"/>
          <w:rtl/>
        </w:rPr>
        <w:t>[النساء</w:t>
      </w:r>
      <w:r w:rsidR="00B06788" w:rsidRPr="003108CB">
        <w:rPr>
          <w:rStyle w:val="Char2"/>
          <w:rFonts w:hint="cs"/>
          <w:rtl/>
        </w:rPr>
        <w:t xml:space="preserve">: </w:t>
      </w:r>
      <w:r w:rsidRPr="003108CB">
        <w:rPr>
          <w:rStyle w:val="Char2"/>
          <w:rtl/>
        </w:rPr>
        <w:t>82]</w:t>
      </w:r>
      <w:r w:rsidR="00217AB4" w:rsidRPr="00995B26">
        <w:rPr>
          <w:rFonts w:hint="cs"/>
          <w:sz w:val="28"/>
          <w:rtl/>
        </w:rPr>
        <w:t>.</w:t>
      </w:r>
      <w:r w:rsidRPr="00995B26">
        <w:rPr>
          <w:rFonts w:hint="cs"/>
          <w:sz w:val="28"/>
          <w:rtl/>
        </w:rPr>
        <w:t xml:space="preserve"> </w:t>
      </w:r>
    </w:p>
    <w:p w:rsidR="005C664D" w:rsidRPr="00995B26" w:rsidRDefault="005C664D" w:rsidP="003F3B94">
      <w:pPr>
        <w:pStyle w:val="a0"/>
        <w:rPr>
          <w:rFonts w:hint="cs"/>
          <w:rtl/>
        </w:rPr>
      </w:pPr>
      <w:r w:rsidRPr="003F3B94">
        <w:rPr>
          <w:rFonts w:hint="cs"/>
          <w:sz w:val="28"/>
          <w:rtl/>
        </w:rPr>
        <w:t>5</w:t>
      </w:r>
      <w:r w:rsidR="00217AB4" w:rsidRPr="003F3B94">
        <w:rPr>
          <w:rFonts w:hint="cs"/>
          <w:sz w:val="28"/>
          <w:rtl/>
        </w:rPr>
        <w:t>-</w:t>
      </w:r>
      <w:r w:rsidRPr="003F3B94">
        <w:rPr>
          <w:rFonts w:hint="cs"/>
          <w:sz w:val="28"/>
          <w:rtl/>
        </w:rPr>
        <w:t xml:space="preserve"> إذا فسرنا كلمة «</w:t>
      </w:r>
      <w:r w:rsidRPr="003F3B94">
        <w:rPr>
          <w:b/>
          <w:bCs/>
          <w:sz w:val="28"/>
          <w:rtl/>
        </w:rPr>
        <w:t>الْقُرْبَى</w:t>
      </w:r>
      <w:r w:rsidRPr="003F3B94">
        <w:rPr>
          <w:rFonts w:hint="cs"/>
          <w:sz w:val="28"/>
          <w:rtl/>
        </w:rPr>
        <w:t>» بمعنى القرابة</w:t>
      </w:r>
      <w:r w:rsidR="00147857" w:rsidRPr="003F3B94">
        <w:rPr>
          <w:rFonts w:hint="cs"/>
          <w:sz w:val="28"/>
          <w:rtl/>
        </w:rPr>
        <w:t xml:space="preserve"> و</w:t>
      </w:r>
      <w:r w:rsidRPr="003F3B94">
        <w:rPr>
          <w:rFonts w:hint="cs"/>
          <w:sz w:val="28"/>
          <w:rtl/>
        </w:rPr>
        <w:t xml:space="preserve">حصرنا القرابة بعلي وفاطمة والحسنين </w:t>
      </w:r>
      <w:r w:rsidR="00963EFD" w:rsidRPr="00963EFD">
        <w:rPr>
          <w:rFonts w:cs="CTraditional Arabic" w:hint="cs"/>
          <w:sz w:val="28"/>
          <w:rtl/>
        </w:rPr>
        <w:t>‡</w:t>
      </w:r>
      <w:r w:rsidRPr="003F3B94">
        <w:rPr>
          <w:rFonts w:hint="cs"/>
          <w:sz w:val="28"/>
          <w:rtl/>
        </w:rPr>
        <w:t xml:space="preserve"> لوقعنا في إشكال وهو أن الآية مكية أي نزلت قبل الهجرة فكيف تختص بأشخاص لم يولدوا بعد</w:t>
      </w:r>
      <w:r w:rsidR="00217AB4" w:rsidRPr="003F3B94">
        <w:rPr>
          <w:rFonts w:hint="cs"/>
          <w:sz w:val="28"/>
          <w:rtl/>
        </w:rPr>
        <w:t>؟!</w:t>
      </w:r>
      <w:r w:rsidRPr="003F3B94">
        <w:rPr>
          <w:rFonts w:hint="cs"/>
          <w:sz w:val="28"/>
          <w:rtl/>
        </w:rPr>
        <w:t xml:space="preserve"> أليس هذا مخالفا للعقل</w:t>
      </w:r>
      <w:r w:rsidR="00217AB4" w:rsidRPr="003F3B94">
        <w:rPr>
          <w:rFonts w:hint="cs"/>
          <w:sz w:val="28"/>
          <w:rtl/>
        </w:rPr>
        <w:t>،</w:t>
      </w:r>
      <w:r w:rsidRPr="003F3B94">
        <w:rPr>
          <w:rFonts w:hint="cs"/>
          <w:sz w:val="28"/>
          <w:rtl/>
        </w:rPr>
        <w:t xml:space="preserve"> والقرآن منزَّه عما يخالف العقل</w:t>
      </w:r>
      <w:r w:rsidR="00217AB4" w:rsidRPr="003F3B94">
        <w:rPr>
          <w:rFonts w:hint="cs"/>
          <w:sz w:val="28"/>
          <w:rtl/>
        </w:rPr>
        <w:t>.</w:t>
      </w:r>
      <w:r w:rsidR="00147857" w:rsidRPr="003F3B94">
        <w:rPr>
          <w:rFonts w:hint="cs"/>
          <w:sz w:val="28"/>
          <w:rtl/>
        </w:rPr>
        <w:t xml:space="preserve"> </w:t>
      </w:r>
      <w:r w:rsidRPr="003F3B94">
        <w:rPr>
          <w:rFonts w:hint="cs"/>
          <w:sz w:val="28"/>
          <w:rtl/>
        </w:rPr>
        <w:t>نعم لقد ادَّعى بعض المدَّعين أن الآية مدنية</w:t>
      </w:r>
      <w:r w:rsidR="001E0DB7" w:rsidRPr="003F3B94">
        <w:rPr>
          <w:rFonts w:hint="cs"/>
          <w:sz w:val="28"/>
          <w:rtl/>
        </w:rPr>
        <w:t>،</w:t>
      </w:r>
      <w:r w:rsidR="00147857" w:rsidRPr="003F3B94">
        <w:rPr>
          <w:rFonts w:hint="cs"/>
          <w:sz w:val="28"/>
          <w:rtl/>
        </w:rPr>
        <w:t xml:space="preserve"> و</w:t>
      </w:r>
      <w:r w:rsidRPr="003F3B94">
        <w:rPr>
          <w:rFonts w:hint="cs"/>
          <w:sz w:val="28"/>
          <w:rtl/>
        </w:rPr>
        <w:t>يبدوا أن قصدهم أن مخالفي آل الرسول ومحرِّفي كتاب الله وضعوا الآية في هذا الموضع [ليظهر أنها مكية]</w:t>
      </w:r>
      <w:r w:rsidR="001E0DB7" w:rsidRPr="003F3B94">
        <w:rPr>
          <w:rFonts w:hint="cs"/>
          <w:sz w:val="28"/>
          <w:rtl/>
        </w:rPr>
        <w:t>،</w:t>
      </w:r>
      <w:r w:rsidRPr="003F3B94">
        <w:rPr>
          <w:rFonts w:hint="cs"/>
          <w:sz w:val="28"/>
          <w:rtl/>
        </w:rPr>
        <w:t xml:space="preserve"> ولكن هذا الإدعاء يستتبع مئات الإشكالات والمفاسد</w:t>
      </w:r>
      <w:r w:rsidR="00217AB4" w:rsidRPr="003F3B94">
        <w:rPr>
          <w:rFonts w:hint="cs"/>
          <w:sz w:val="28"/>
          <w:rtl/>
        </w:rPr>
        <w:t>،</w:t>
      </w:r>
      <w:r w:rsidRPr="003F3B94">
        <w:rPr>
          <w:rFonts w:hint="cs"/>
          <w:sz w:val="28"/>
          <w:rtl/>
        </w:rPr>
        <w:t xml:space="preserve"> إضافة إلى مناقضته لحفظ القرآن من جانب الله المنَّان الذي ضمنه الله بقوله</w:t>
      </w:r>
      <w:r w:rsidR="00217AB4" w:rsidRPr="003F3B94">
        <w:rPr>
          <w:rFonts w:hint="cs"/>
          <w:sz w:val="28"/>
          <w:rtl/>
        </w:rPr>
        <w:t>:</w:t>
      </w:r>
      <w:r w:rsidR="00B06788" w:rsidRPr="003F3B94">
        <w:rPr>
          <w:rFonts w:hint="cs"/>
          <w:sz w:val="28"/>
          <w:rtl/>
        </w:rPr>
        <w:t xml:space="preserve"> </w:t>
      </w:r>
      <w:r w:rsidR="00B06788" w:rsidRPr="00995B26">
        <w:rPr>
          <w:rFonts w:cs="Traditional Arabic" w:hint="cs"/>
          <w:sz w:val="28"/>
          <w:rtl/>
        </w:rPr>
        <w:t>﴿</w:t>
      </w:r>
      <w:r w:rsidR="00B06788" w:rsidRPr="0067048A">
        <w:rPr>
          <w:rFonts w:ascii="KFGQPC Uthmanic Script HAFS" w:cs="KFGQPC Uthmanic Script HAFS" w:hint="eastAsia"/>
          <w:sz w:val="28"/>
          <w:szCs w:val="28"/>
          <w:rtl/>
        </w:rPr>
        <w:t>إِنَّا</w:t>
      </w:r>
      <w:r w:rsidR="00B06788" w:rsidRPr="0067048A">
        <w:rPr>
          <w:rFonts w:ascii="KFGQPC Uthmanic Script HAFS" w:cs="KFGQPC Uthmanic Script HAFS"/>
          <w:sz w:val="28"/>
          <w:szCs w:val="28"/>
          <w:rtl/>
        </w:rPr>
        <w:t xml:space="preserve"> </w:t>
      </w:r>
      <w:r w:rsidR="00B06788" w:rsidRPr="0067048A">
        <w:rPr>
          <w:rFonts w:ascii="KFGQPC Uthmanic Script HAFS" w:cs="KFGQPC Uthmanic Script HAFS" w:hint="eastAsia"/>
          <w:sz w:val="28"/>
          <w:szCs w:val="28"/>
          <w:rtl/>
        </w:rPr>
        <w:t>نَح</w:t>
      </w:r>
      <w:r w:rsidR="00B06788" w:rsidRPr="0067048A">
        <w:rPr>
          <w:rFonts w:ascii="KFGQPC Uthmanic Script HAFS" w:cs="KFGQPC Uthmanic Script HAFS" w:hint="cs"/>
          <w:sz w:val="28"/>
          <w:szCs w:val="28"/>
          <w:rtl/>
        </w:rPr>
        <w:t>ۡ</w:t>
      </w:r>
      <w:r w:rsidR="00B06788" w:rsidRPr="0067048A">
        <w:rPr>
          <w:rFonts w:ascii="KFGQPC Uthmanic Script HAFS" w:cs="KFGQPC Uthmanic Script HAFS" w:hint="eastAsia"/>
          <w:sz w:val="28"/>
          <w:szCs w:val="28"/>
          <w:rtl/>
        </w:rPr>
        <w:t>نُ</w:t>
      </w:r>
      <w:r w:rsidR="00B06788" w:rsidRPr="0067048A">
        <w:rPr>
          <w:rFonts w:ascii="KFGQPC Uthmanic Script HAFS" w:cs="KFGQPC Uthmanic Script HAFS"/>
          <w:sz w:val="28"/>
          <w:szCs w:val="28"/>
          <w:rtl/>
        </w:rPr>
        <w:t xml:space="preserve"> </w:t>
      </w:r>
      <w:r w:rsidR="00B06788" w:rsidRPr="0067048A">
        <w:rPr>
          <w:rFonts w:ascii="KFGQPC Uthmanic Script HAFS" w:cs="KFGQPC Uthmanic Script HAFS" w:hint="eastAsia"/>
          <w:sz w:val="28"/>
          <w:szCs w:val="28"/>
          <w:rtl/>
        </w:rPr>
        <w:t>نَزَّل</w:t>
      </w:r>
      <w:r w:rsidR="00B06788" w:rsidRPr="0067048A">
        <w:rPr>
          <w:rFonts w:ascii="KFGQPC Uthmanic Script HAFS" w:cs="KFGQPC Uthmanic Script HAFS" w:hint="cs"/>
          <w:sz w:val="28"/>
          <w:szCs w:val="28"/>
          <w:rtl/>
        </w:rPr>
        <w:t>ۡ</w:t>
      </w:r>
      <w:r w:rsidR="00B06788" w:rsidRPr="0067048A">
        <w:rPr>
          <w:rFonts w:ascii="KFGQPC Uthmanic Script HAFS" w:cs="KFGQPC Uthmanic Script HAFS" w:hint="eastAsia"/>
          <w:sz w:val="28"/>
          <w:szCs w:val="28"/>
          <w:rtl/>
        </w:rPr>
        <w:t>نَا</w:t>
      </w:r>
      <w:r w:rsidR="00B06788" w:rsidRPr="0067048A">
        <w:rPr>
          <w:rFonts w:ascii="KFGQPC Uthmanic Script HAFS" w:cs="KFGQPC Uthmanic Script HAFS"/>
          <w:sz w:val="28"/>
          <w:szCs w:val="28"/>
          <w:rtl/>
        </w:rPr>
        <w:t xml:space="preserve"> </w:t>
      </w:r>
      <w:r w:rsidR="00B06788" w:rsidRPr="0067048A">
        <w:rPr>
          <w:rFonts w:ascii="KFGQPC Uthmanic Script HAFS" w:cs="KFGQPC Uthmanic Script HAFS" w:hint="cs"/>
          <w:sz w:val="28"/>
          <w:szCs w:val="28"/>
          <w:rtl/>
        </w:rPr>
        <w:t>ٱ</w:t>
      </w:r>
      <w:r w:rsidR="00B06788" w:rsidRPr="0067048A">
        <w:rPr>
          <w:rFonts w:ascii="KFGQPC Uthmanic Script HAFS" w:cs="KFGQPC Uthmanic Script HAFS" w:hint="eastAsia"/>
          <w:sz w:val="28"/>
          <w:szCs w:val="28"/>
          <w:rtl/>
        </w:rPr>
        <w:t>لذِّك</w:t>
      </w:r>
      <w:r w:rsidR="00B06788" w:rsidRPr="0067048A">
        <w:rPr>
          <w:rFonts w:ascii="KFGQPC Uthmanic Script HAFS" w:cs="KFGQPC Uthmanic Script HAFS" w:hint="cs"/>
          <w:sz w:val="28"/>
          <w:szCs w:val="28"/>
          <w:rtl/>
        </w:rPr>
        <w:t>ۡ</w:t>
      </w:r>
      <w:r w:rsidR="00B06788" w:rsidRPr="0067048A">
        <w:rPr>
          <w:rFonts w:ascii="KFGQPC Uthmanic Script HAFS" w:cs="KFGQPC Uthmanic Script HAFS" w:hint="eastAsia"/>
          <w:sz w:val="28"/>
          <w:szCs w:val="28"/>
          <w:rtl/>
        </w:rPr>
        <w:t>رَ</w:t>
      </w:r>
      <w:r w:rsidR="00B06788" w:rsidRPr="0067048A">
        <w:rPr>
          <w:rFonts w:ascii="KFGQPC Uthmanic Script HAFS" w:cs="KFGQPC Uthmanic Script HAFS"/>
          <w:sz w:val="28"/>
          <w:szCs w:val="28"/>
          <w:rtl/>
        </w:rPr>
        <w:t xml:space="preserve"> </w:t>
      </w:r>
      <w:r w:rsidR="00B06788" w:rsidRPr="0067048A">
        <w:rPr>
          <w:rFonts w:ascii="KFGQPC Uthmanic Script HAFS" w:cs="KFGQPC Uthmanic Script HAFS" w:hint="eastAsia"/>
          <w:sz w:val="28"/>
          <w:szCs w:val="28"/>
          <w:rtl/>
        </w:rPr>
        <w:t>وَإِنَّا</w:t>
      </w:r>
      <w:r w:rsidR="00B06788" w:rsidRPr="0067048A">
        <w:rPr>
          <w:rFonts w:ascii="KFGQPC Uthmanic Script HAFS" w:cs="KFGQPC Uthmanic Script HAFS"/>
          <w:sz w:val="28"/>
          <w:szCs w:val="28"/>
          <w:rtl/>
        </w:rPr>
        <w:t xml:space="preserve"> </w:t>
      </w:r>
      <w:r w:rsidR="00B06788" w:rsidRPr="0067048A">
        <w:rPr>
          <w:rFonts w:ascii="KFGQPC Uthmanic Script HAFS" w:cs="KFGQPC Uthmanic Script HAFS" w:hint="eastAsia"/>
          <w:sz w:val="28"/>
          <w:szCs w:val="28"/>
          <w:rtl/>
        </w:rPr>
        <w:t>لَهُ</w:t>
      </w:r>
      <w:r w:rsidR="00B06788" w:rsidRPr="0067048A">
        <w:rPr>
          <w:rFonts w:ascii="KFGQPC Uthmanic Script HAFS" w:cs="KFGQPC Uthmanic Script HAFS" w:hint="cs"/>
          <w:sz w:val="28"/>
          <w:szCs w:val="28"/>
          <w:rtl/>
        </w:rPr>
        <w:t>ۥ</w:t>
      </w:r>
      <w:r w:rsidR="00B06788" w:rsidRPr="0067048A">
        <w:rPr>
          <w:rFonts w:ascii="KFGQPC Uthmanic Script HAFS" w:cs="KFGQPC Uthmanic Script HAFS"/>
          <w:sz w:val="28"/>
          <w:szCs w:val="28"/>
          <w:rtl/>
        </w:rPr>
        <w:t xml:space="preserve"> </w:t>
      </w:r>
      <w:r w:rsidR="00B06788" w:rsidRPr="0067048A">
        <w:rPr>
          <w:rFonts w:ascii="KFGQPC Uthmanic Script HAFS" w:cs="KFGQPC Uthmanic Script HAFS" w:hint="eastAsia"/>
          <w:sz w:val="28"/>
          <w:szCs w:val="28"/>
          <w:rtl/>
        </w:rPr>
        <w:t>لَحَ</w:t>
      </w:r>
      <w:r w:rsidR="00B06788" w:rsidRPr="0067048A">
        <w:rPr>
          <w:rFonts w:ascii="KFGQPC Uthmanic Script HAFS" w:cs="KFGQPC Uthmanic Script HAFS" w:hint="cs"/>
          <w:sz w:val="28"/>
          <w:szCs w:val="28"/>
          <w:rtl/>
        </w:rPr>
        <w:t>ٰ</w:t>
      </w:r>
      <w:r w:rsidR="00B06788" w:rsidRPr="0067048A">
        <w:rPr>
          <w:rFonts w:ascii="KFGQPC Uthmanic Script HAFS" w:cs="KFGQPC Uthmanic Script HAFS" w:hint="eastAsia"/>
          <w:sz w:val="28"/>
          <w:szCs w:val="28"/>
          <w:rtl/>
        </w:rPr>
        <w:t>فِظُونَ</w:t>
      </w:r>
      <w:r w:rsidR="00B06788" w:rsidRPr="0067048A">
        <w:rPr>
          <w:rFonts w:ascii="KFGQPC Uthmanic Script HAFS" w:cs="KFGQPC Uthmanic Script HAFS"/>
          <w:sz w:val="28"/>
          <w:szCs w:val="28"/>
          <w:rtl/>
        </w:rPr>
        <w:t xml:space="preserve"> </w:t>
      </w:r>
      <w:r w:rsidR="00B06788" w:rsidRPr="0067048A">
        <w:rPr>
          <w:rFonts w:ascii="KFGQPC Uthmanic Script HAFS" w:cs="KFGQPC Uthmanic Script HAFS" w:hint="cs"/>
          <w:sz w:val="28"/>
          <w:szCs w:val="28"/>
          <w:rtl/>
        </w:rPr>
        <w:t>٩</w:t>
      </w:r>
      <w:r w:rsidR="00B06788" w:rsidRPr="00995B26">
        <w:rPr>
          <w:rFonts w:cs="Traditional Arabic" w:hint="cs"/>
          <w:sz w:val="28"/>
          <w:rtl/>
        </w:rPr>
        <w:t>﴾</w:t>
      </w:r>
      <w:r w:rsidRPr="00995B26">
        <w:rPr>
          <w:rFonts w:hint="cs"/>
          <w:sz w:val="28"/>
          <w:rtl/>
        </w:rPr>
        <w:t xml:space="preserve"> </w:t>
      </w:r>
      <w:r w:rsidRPr="003108CB">
        <w:rPr>
          <w:rStyle w:val="Char2"/>
          <w:rtl/>
        </w:rPr>
        <w:t>[الحجر</w:t>
      </w:r>
      <w:r w:rsidR="00B06788" w:rsidRPr="003108CB">
        <w:rPr>
          <w:rStyle w:val="Char2"/>
          <w:rFonts w:hint="cs"/>
          <w:rtl/>
        </w:rPr>
        <w:t xml:space="preserve">: </w:t>
      </w:r>
      <w:r w:rsidRPr="003108CB">
        <w:rPr>
          <w:rStyle w:val="Char2"/>
          <w:rtl/>
        </w:rPr>
        <w:t>9]</w:t>
      </w:r>
      <w:r w:rsidR="00217AB4" w:rsidRPr="00995B26">
        <w:rPr>
          <w:rFonts w:hint="cs"/>
          <w:sz w:val="28"/>
          <w:rtl/>
        </w:rPr>
        <w:t>؛</w:t>
      </w:r>
      <w:r w:rsidRPr="00995B26">
        <w:rPr>
          <w:rFonts w:hint="cs"/>
          <w:sz w:val="28"/>
          <w:rtl/>
        </w:rPr>
        <w:t xml:space="preserve"> ولا يمكن للمسلم أن يقبل بمثل هذا الادِّعاء لأنه يجعل آخر كتاب سماوي مثله مثل الكتب السماوية الأخرى التي طالتها يد التحريف</w:t>
      </w:r>
      <w:r w:rsidR="00217AB4" w:rsidRPr="00995B26">
        <w:rPr>
          <w:rFonts w:hint="cs"/>
          <w:sz w:val="28"/>
          <w:rtl/>
        </w:rPr>
        <w:t>،</w:t>
      </w:r>
      <w:r w:rsidRPr="00995B26">
        <w:rPr>
          <w:rFonts w:hint="cs"/>
          <w:sz w:val="28"/>
          <w:rtl/>
        </w:rPr>
        <w:t xml:space="preserve"> ولما كان دين الإسلام آخر الأديان</w:t>
      </w:r>
      <w:r w:rsidR="00147857" w:rsidRPr="00995B26">
        <w:rPr>
          <w:rFonts w:hint="cs"/>
          <w:sz w:val="28"/>
          <w:rtl/>
        </w:rPr>
        <w:t xml:space="preserve"> و</w:t>
      </w:r>
      <w:r w:rsidRPr="00995B26">
        <w:rPr>
          <w:rFonts w:hint="cs"/>
          <w:sz w:val="28"/>
          <w:rtl/>
        </w:rPr>
        <w:t>نبيُّه خاتم الأنبياء والقرآن آخر الكتب السماوية فإن قبول مثل هذه التصرفات في كتاب الله سيلزم عنها أن يرسل الله نبياً آخر وينزل كتاباً آخر لهداية البشر ليحفظ كتابه الأخير من تصرفات الإنس</w:t>
      </w:r>
      <w:r w:rsidR="00147857" w:rsidRPr="00995B26">
        <w:rPr>
          <w:rFonts w:hint="cs"/>
          <w:sz w:val="28"/>
          <w:rtl/>
        </w:rPr>
        <w:t xml:space="preserve"> و</w:t>
      </w:r>
      <w:r w:rsidRPr="00995B26">
        <w:rPr>
          <w:rFonts w:hint="cs"/>
          <w:sz w:val="28"/>
          <w:rtl/>
        </w:rPr>
        <w:t>الجن</w:t>
      </w:r>
      <w:r w:rsidR="00217AB4" w:rsidRPr="00995B26">
        <w:rPr>
          <w:rFonts w:hint="cs"/>
          <w:sz w:val="28"/>
          <w:rtl/>
        </w:rPr>
        <w:t>!</w:t>
      </w:r>
      <w:r w:rsidR="00147857" w:rsidRPr="00995B26">
        <w:rPr>
          <w:rFonts w:hint="cs"/>
          <w:sz w:val="28"/>
          <w:rtl/>
        </w:rPr>
        <w:t xml:space="preserve"> و</w:t>
      </w:r>
      <w:r w:rsidRPr="00995B26">
        <w:rPr>
          <w:rFonts w:hint="cs"/>
          <w:sz w:val="28"/>
          <w:rtl/>
        </w:rPr>
        <w:t>ومثل هذا القول يُعَدُّ كفراً في ميزان الإسلام</w:t>
      </w:r>
      <w:r w:rsidR="00217AB4" w:rsidRPr="00995B26">
        <w:rPr>
          <w:rFonts w:hint="cs"/>
          <w:sz w:val="28"/>
          <w:rtl/>
        </w:rPr>
        <w:t>!</w:t>
      </w:r>
    </w:p>
    <w:p w:rsidR="005C664D" w:rsidRPr="003F3B94" w:rsidRDefault="005C664D" w:rsidP="003F3B94">
      <w:pPr>
        <w:pStyle w:val="a0"/>
        <w:rPr>
          <w:rFonts w:hint="cs"/>
          <w:rtl/>
        </w:rPr>
      </w:pPr>
      <w:r w:rsidRPr="003F3B94">
        <w:rPr>
          <w:rFonts w:hint="cs"/>
          <w:sz w:val="28"/>
          <w:rtl/>
        </w:rPr>
        <w:t>6</w:t>
      </w:r>
      <w:r w:rsidR="00217AB4" w:rsidRPr="003F3B94">
        <w:rPr>
          <w:rFonts w:hint="cs"/>
          <w:sz w:val="28"/>
          <w:rtl/>
        </w:rPr>
        <w:t>-</w:t>
      </w:r>
      <w:r w:rsidRPr="003F3B94">
        <w:rPr>
          <w:rFonts w:hint="cs"/>
          <w:sz w:val="28"/>
          <w:rtl/>
        </w:rPr>
        <w:t xml:space="preserve"> إذن فمن الثابت يقيناً أن الآية الكريمة نزلت في مكة</w:t>
      </w:r>
      <w:r w:rsidR="001E0DB7" w:rsidRPr="003F3B94">
        <w:rPr>
          <w:rFonts w:hint="cs"/>
          <w:sz w:val="28"/>
          <w:rtl/>
        </w:rPr>
        <w:t>،</w:t>
      </w:r>
      <w:r w:rsidRPr="003F3B94">
        <w:rPr>
          <w:rFonts w:hint="cs"/>
          <w:sz w:val="28"/>
          <w:rtl/>
        </w:rPr>
        <w:t xml:space="preserve"> فإذا صرفنا النظر عن سائر الإشكالات وقلنا إن رسول الله</w:t>
      </w:r>
      <w:r w:rsidR="00147857" w:rsidRPr="003F3B94">
        <w:rPr>
          <w:rFonts w:hint="cs"/>
          <w:sz w:val="28"/>
          <w:rtl/>
        </w:rPr>
        <w:t xml:space="preserve"> </w:t>
      </w:r>
      <w:r w:rsidR="003C7AEB" w:rsidRPr="003C7AEB">
        <w:rPr>
          <w:rFonts w:cs="CTraditional Arabic" w:hint="cs"/>
          <w:sz w:val="28"/>
          <w:rtl/>
        </w:rPr>
        <w:t>ص</w:t>
      </w:r>
      <w:r w:rsidR="00147857" w:rsidRPr="003F3B94">
        <w:rPr>
          <w:rFonts w:hint="cs"/>
          <w:sz w:val="28"/>
          <w:rtl/>
        </w:rPr>
        <w:t xml:space="preserve"> </w:t>
      </w:r>
      <w:r w:rsidRPr="003F3B94">
        <w:rPr>
          <w:rFonts w:hint="cs"/>
          <w:sz w:val="28"/>
          <w:rtl/>
        </w:rPr>
        <w:t>لم يطالب بأجرٍ على رسالته سوى أن نود قرابته ونحبهم</w:t>
      </w:r>
      <w:r w:rsidR="00217AB4" w:rsidRPr="003F3B94">
        <w:rPr>
          <w:rFonts w:hint="cs"/>
          <w:sz w:val="28"/>
          <w:rtl/>
        </w:rPr>
        <w:t>،</w:t>
      </w:r>
      <w:r w:rsidRPr="003F3B94">
        <w:rPr>
          <w:rFonts w:hint="cs"/>
          <w:sz w:val="28"/>
          <w:rtl/>
        </w:rPr>
        <w:t xml:space="preserve"> ونحن نعلم في الوقت ذاته أن أكثر ذوي قربى النبي</w:t>
      </w:r>
      <w:r w:rsidR="00147857" w:rsidRPr="003F3B94">
        <w:rPr>
          <w:rFonts w:hint="cs"/>
          <w:sz w:val="28"/>
          <w:rtl/>
        </w:rPr>
        <w:t xml:space="preserve"> </w:t>
      </w:r>
      <w:r w:rsidR="003C7AEB" w:rsidRPr="003C7AEB">
        <w:rPr>
          <w:rFonts w:ascii="Abo-thar" w:hAnsi="Abo-thar" w:cs="CTraditional Arabic"/>
          <w:sz w:val="28"/>
          <w:rtl/>
        </w:rPr>
        <w:t>ص</w:t>
      </w:r>
      <w:r w:rsidR="00147857" w:rsidRPr="003F3B94">
        <w:rPr>
          <w:rFonts w:ascii="Abo-thar" w:hAnsi="Abo-thar"/>
          <w:sz w:val="28"/>
          <w:rtl/>
        </w:rPr>
        <w:t xml:space="preserve"> </w:t>
      </w:r>
      <w:r w:rsidRPr="003F3B94">
        <w:rPr>
          <w:rFonts w:hint="cs"/>
          <w:sz w:val="28"/>
          <w:rtl/>
        </w:rPr>
        <w:t>حين نزول تلك الآية كانوا مشركين وأعداءً لِـلَّهِ ولرسوله مثل أبي لهب</w:t>
      </w:r>
      <w:r w:rsidR="00147857" w:rsidRPr="003F3B94">
        <w:rPr>
          <w:rFonts w:hint="cs"/>
          <w:sz w:val="28"/>
          <w:rtl/>
        </w:rPr>
        <w:t xml:space="preserve"> و</w:t>
      </w:r>
      <w:r w:rsidRPr="003F3B94">
        <w:rPr>
          <w:rFonts w:hint="cs"/>
          <w:sz w:val="28"/>
          <w:rtl/>
        </w:rPr>
        <w:t>العباس وعقيل وأصهرة رسول الله مثل عتبة وعتيبة أبناء أبي لهب وأبناء الحارث</w:t>
      </w:r>
      <w:r w:rsidR="00147857" w:rsidRPr="003F3B94">
        <w:rPr>
          <w:rFonts w:hint="cs"/>
          <w:sz w:val="28"/>
          <w:rtl/>
        </w:rPr>
        <w:t xml:space="preserve"> و</w:t>
      </w:r>
      <w:r w:rsidRPr="003F3B94">
        <w:rPr>
          <w:rFonts w:hint="cs"/>
          <w:sz w:val="28"/>
          <w:rtl/>
        </w:rPr>
        <w:t>العباس</w:t>
      </w:r>
      <w:r w:rsidR="00217AB4" w:rsidRPr="003F3B94">
        <w:rPr>
          <w:rFonts w:hint="cs"/>
          <w:sz w:val="28"/>
          <w:rtl/>
        </w:rPr>
        <w:t>،</w:t>
      </w:r>
      <w:r w:rsidRPr="003F3B94">
        <w:rPr>
          <w:rFonts w:hint="cs"/>
          <w:sz w:val="28"/>
          <w:rtl/>
        </w:rPr>
        <w:t xml:space="preserve"> فإنه من المحال أن يطلب رسول الله من المؤمنين أن يودوا مثل أعداء الله أولئك</w:t>
      </w:r>
      <w:r w:rsidR="00217AB4" w:rsidRPr="003F3B94">
        <w:rPr>
          <w:rFonts w:hint="cs"/>
          <w:sz w:val="28"/>
          <w:rtl/>
        </w:rPr>
        <w:t>.</w:t>
      </w:r>
      <w:r w:rsidRPr="003F3B94">
        <w:rPr>
          <w:rFonts w:hint="cs"/>
          <w:sz w:val="28"/>
          <w:rtl/>
        </w:rPr>
        <w:t xml:space="preserve"> </w:t>
      </w:r>
    </w:p>
    <w:p w:rsidR="005C664D" w:rsidRPr="00995B26" w:rsidRDefault="005C664D" w:rsidP="003F3B94">
      <w:pPr>
        <w:pStyle w:val="a0"/>
        <w:rPr>
          <w:rFonts w:hint="cs"/>
          <w:rtl/>
        </w:rPr>
      </w:pPr>
      <w:r w:rsidRPr="003F3B94">
        <w:rPr>
          <w:rFonts w:hint="cs"/>
          <w:sz w:val="28"/>
          <w:rtl/>
        </w:rPr>
        <w:t>7</w:t>
      </w:r>
      <w:r w:rsidR="00217AB4" w:rsidRPr="003F3B94">
        <w:rPr>
          <w:rFonts w:hint="cs"/>
          <w:sz w:val="28"/>
          <w:rtl/>
        </w:rPr>
        <w:t>-</w:t>
      </w:r>
      <w:r w:rsidRPr="003F3B94">
        <w:rPr>
          <w:rFonts w:hint="cs"/>
          <w:sz w:val="28"/>
          <w:rtl/>
        </w:rPr>
        <w:t xml:space="preserve"> جاءت في الآية الكريمة كلمة «</w:t>
      </w:r>
      <w:r w:rsidRPr="003F3B94">
        <w:rPr>
          <w:b/>
          <w:bCs/>
          <w:sz w:val="28"/>
          <w:rtl/>
        </w:rPr>
        <w:t>المَوَدَّة</w:t>
      </w:r>
      <w:r w:rsidRPr="003F3B94">
        <w:rPr>
          <w:rFonts w:hint="cs"/>
          <w:sz w:val="28"/>
          <w:rtl/>
        </w:rPr>
        <w:t>»</w:t>
      </w:r>
      <w:r w:rsidR="001E0DB7" w:rsidRPr="003F3B94">
        <w:rPr>
          <w:rFonts w:hint="cs"/>
          <w:sz w:val="28"/>
          <w:rtl/>
        </w:rPr>
        <w:t>،</w:t>
      </w:r>
      <w:r w:rsidRPr="003F3B94">
        <w:rPr>
          <w:rFonts w:hint="cs"/>
          <w:sz w:val="28"/>
          <w:rtl/>
        </w:rPr>
        <w:t xml:space="preserve"> وهذه الكلمة لا تدل على معنى المحبة الخالصة بل على نوع من المحبة المشوبة بعداوة سابقة والتي أصبحت المصلحة تقتضيها أي تقتضي هذه المحبة</w:t>
      </w:r>
      <w:r w:rsidR="001E0DB7" w:rsidRPr="003F3B94">
        <w:rPr>
          <w:rFonts w:hint="cs"/>
          <w:sz w:val="28"/>
          <w:rtl/>
        </w:rPr>
        <w:t>،</w:t>
      </w:r>
      <w:r w:rsidRPr="003F3B94">
        <w:rPr>
          <w:rFonts w:hint="cs"/>
          <w:sz w:val="28"/>
          <w:rtl/>
        </w:rPr>
        <w:t xml:space="preserve"> كما نجد هذا المعنى في الآيات التي وردت فيها هذه الكلمة ومشتقاتها كالآيات التالية</w:t>
      </w:r>
      <w:r w:rsidR="00217AB4" w:rsidRPr="003F3B94">
        <w:rPr>
          <w:rFonts w:hint="cs"/>
          <w:sz w:val="28"/>
          <w:rtl/>
        </w:rPr>
        <w:t>:</w:t>
      </w:r>
      <w:r w:rsidR="00B06788" w:rsidRPr="003F3B94">
        <w:rPr>
          <w:rFonts w:hint="cs"/>
          <w:sz w:val="28"/>
          <w:rtl/>
        </w:rPr>
        <w:t xml:space="preserve"> </w:t>
      </w:r>
      <w:r w:rsidR="00B06788" w:rsidRPr="00995B26">
        <w:rPr>
          <w:rFonts w:cs="Traditional Arabic" w:hint="cs"/>
          <w:sz w:val="28"/>
          <w:rtl/>
        </w:rPr>
        <w:t>﴿</w:t>
      </w:r>
      <w:r w:rsidR="00B06788" w:rsidRPr="0067048A">
        <w:rPr>
          <w:rFonts w:ascii="KFGQPC Uthmanic Script HAFS" w:cs="KFGQPC Uthmanic Script HAFS" w:hint="eastAsia"/>
          <w:sz w:val="28"/>
          <w:szCs w:val="28"/>
          <w:rtl/>
        </w:rPr>
        <w:t>يَو</w:t>
      </w:r>
      <w:r w:rsidR="00B06788" w:rsidRPr="0067048A">
        <w:rPr>
          <w:rFonts w:ascii="KFGQPC Uthmanic Script HAFS" w:cs="KFGQPC Uthmanic Script HAFS" w:hint="cs"/>
          <w:sz w:val="28"/>
          <w:szCs w:val="28"/>
          <w:rtl/>
        </w:rPr>
        <w:t>ۡ</w:t>
      </w:r>
      <w:r w:rsidR="00B06788" w:rsidRPr="0067048A">
        <w:rPr>
          <w:rFonts w:ascii="KFGQPC Uthmanic Script HAFS" w:cs="KFGQPC Uthmanic Script HAFS" w:hint="eastAsia"/>
          <w:sz w:val="28"/>
          <w:szCs w:val="28"/>
          <w:rtl/>
        </w:rPr>
        <w:t>مَ</w:t>
      </w:r>
      <w:r w:rsidR="00B06788" w:rsidRPr="0067048A">
        <w:rPr>
          <w:rFonts w:ascii="KFGQPC Uthmanic Script HAFS" w:cs="KFGQPC Uthmanic Script HAFS"/>
          <w:sz w:val="28"/>
          <w:szCs w:val="28"/>
          <w:rtl/>
        </w:rPr>
        <w:t xml:space="preserve"> </w:t>
      </w:r>
      <w:r w:rsidR="00B06788" w:rsidRPr="0067048A">
        <w:rPr>
          <w:rFonts w:ascii="KFGQPC Uthmanic Script HAFS" w:cs="KFGQPC Uthmanic Script HAFS" w:hint="eastAsia"/>
          <w:sz w:val="28"/>
          <w:szCs w:val="28"/>
          <w:rtl/>
        </w:rPr>
        <w:t>تَجِدُ</w:t>
      </w:r>
      <w:r w:rsidR="00B06788" w:rsidRPr="0067048A">
        <w:rPr>
          <w:rFonts w:ascii="KFGQPC Uthmanic Script HAFS" w:cs="KFGQPC Uthmanic Script HAFS"/>
          <w:sz w:val="28"/>
          <w:szCs w:val="28"/>
          <w:rtl/>
        </w:rPr>
        <w:t xml:space="preserve"> </w:t>
      </w:r>
      <w:r w:rsidR="00B06788" w:rsidRPr="0067048A">
        <w:rPr>
          <w:rFonts w:ascii="KFGQPC Uthmanic Script HAFS" w:cs="KFGQPC Uthmanic Script HAFS" w:hint="eastAsia"/>
          <w:sz w:val="28"/>
          <w:szCs w:val="28"/>
          <w:rtl/>
        </w:rPr>
        <w:t>كُلُّ</w:t>
      </w:r>
      <w:r w:rsidR="00B06788" w:rsidRPr="0067048A">
        <w:rPr>
          <w:rFonts w:ascii="KFGQPC Uthmanic Script HAFS" w:cs="KFGQPC Uthmanic Script HAFS"/>
          <w:sz w:val="28"/>
          <w:szCs w:val="28"/>
          <w:rtl/>
        </w:rPr>
        <w:t xml:space="preserve"> </w:t>
      </w:r>
      <w:r w:rsidR="00B06788" w:rsidRPr="0067048A">
        <w:rPr>
          <w:rFonts w:ascii="KFGQPC Uthmanic Script HAFS" w:cs="KFGQPC Uthmanic Script HAFS" w:hint="eastAsia"/>
          <w:sz w:val="28"/>
          <w:szCs w:val="28"/>
          <w:rtl/>
        </w:rPr>
        <w:t>نَف</w:t>
      </w:r>
      <w:r w:rsidR="00B06788" w:rsidRPr="0067048A">
        <w:rPr>
          <w:rFonts w:ascii="KFGQPC Uthmanic Script HAFS" w:cs="KFGQPC Uthmanic Script HAFS" w:hint="cs"/>
          <w:sz w:val="28"/>
          <w:szCs w:val="28"/>
          <w:rtl/>
        </w:rPr>
        <w:t>ۡ</w:t>
      </w:r>
      <w:r w:rsidR="00B06788" w:rsidRPr="0067048A">
        <w:rPr>
          <w:rFonts w:ascii="KFGQPC Uthmanic Script HAFS" w:cs="KFGQPC Uthmanic Script HAFS" w:hint="eastAsia"/>
          <w:sz w:val="28"/>
          <w:szCs w:val="28"/>
          <w:rtl/>
        </w:rPr>
        <w:t>س</w:t>
      </w:r>
      <w:r w:rsidR="00B06788" w:rsidRPr="0067048A">
        <w:rPr>
          <w:rFonts w:ascii="KFGQPC Uthmanic Script HAFS" w:cs="KFGQPC Uthmanic Script HAFS" w:hint="cs"/>
          <w:sz w:val="28"/>
          <w:szCs w:val="28"/>
          <w:rtl/>
        </w:rPr>
        <w:t>ٖ</w:t>
      </w:r>
      <w:r w:rsidR="00B06788" w:rsidRPr="0067048A">
        <w:rPr>
          <w:rFonts w:ascii="KFGQPC Uthmanic Script HAFS" w:cs="KFGQPC Uthmanic Script HAFS"/>
          <w:sz w:val="28"/>
          <w:szCs w:val="28"/>
          <w:rtl/>
        </w:rPr>
        <w:t xml:space="preserve"> </w:t>
      </w:r>
      <w:r w:rsidR="00B06788" w:rsidRPr="0067048A">
        <w:rPr>
          <w:rFonts w:ascii="KFGQPC Uthmanic Script HAFS" w:cs="KFGQPC Uthmanic Script HAFS" w:hint="eastAsia"/>
          <w:sz w:val="28"/>
          <w:szCs w:val="28"/>
          <w:rtl/>
        </w:rPr>
        <w:t>مَّا</w:t>
      </w:r>
      <w:r w:rsidR="00B06788" w:rsidRPr="0067048A">
        <w:rPr>
          <w:rFonts w:ascii="KFGQPC Uthmanic Script HAFS" w:cs="KFGQPC Uthmanic Script HAFS"/>
          <w:sz w:val="28"/>
          <w:szCs w:val="28"/>
          <w:rtl/>
        </w:rPr>
        <w:t xml:space="preserve"> </w:t>
      </w:r>
      <w:r w:rsidR="00B06788" w:rsidRPr="0067048A">
        <w:rPr>
          <w:rFonts w:ascii="KFGQPC Uthmanic Script HAFS" w:cs="KFGQPC Uthmanic Script HAFS" w:hint="eastAsia"/>
          <w:sz w:val="28"/>
          <w:szCs w:val="28"/>
          <w:rtl/>
        </w:rPr>
        <w:t>عَمِلَت</w:t>
      </w:r>
      <w:r w:rsidR="00B06788" w:rsidRPr="0067048A">
        <w:rPr>
          <w:rFonts w:ascii="KFGQPC Uthmanic Script HAFS" w:cs="KFGQPC Uthmanic Script HAFS" w:hint="cs"/>
          <w:sz w:val="28"/>
          <w:szCs w:val="28"/>
          <w:rtl/>
        </w:rPr>
        <w:t>ۡ</w:t>
      </w:r>
      <w:r w:rsidR="00B06788" w:rsidRPr="0067048A">
        <w:rPr>
          <w:rFonts w:ascii="KFGQPC Uthmanic Script HAFS" w:cs="KFGQPC Uthmanic Script HAFS"/>
          <w:sz w:val="28"/>
          <w:szCs w:val="28"/>
          <w:rtl/>
        </w:rPr>
        <w:t xml:space="preserve"> </w:t>
      </w:r>
      <w:r w:rsidR="00B06788" w:rsidRPr="0067048A">
        <w:rPr>
          <w:rFonts w:ascii="KFGQPC Uthmanic Script HAFS" w:cs="KFGQPC Uthmanic Script HAFS" w:hint="eastAsia"/>
          <w:sz w:val="28"/>
          <w:szCs w:val="28"/>
          <w:rtl/>
        </w:rPr>
        <w:t>مِن</w:t>
      </w:r>
      <w:r w:rsidR="00B06788" w:rsidRPr="0067048A">
        <w:rPr>
          <w:rFonts w:ascii="KFGQPC Uthmanic Script HAFS" w:cs="KFGQPC Uthmanic Script HAFS" w:hint="cs"/>
          <w:sz w:val="28"/>
          <w:szCs w:val="28"/>
          <w:rtl/>
        </w:rPr>
        <w:t>ۡ</w:t>
      </w:r>
      <w:r w:rsidR="00B06788" w:rsidRPr="0067048A">
        <w:rPr>
          <w:rFonts w:ascii="KFGQPC Uthmanic Script HAFS" w:cs="KFGQPC Uthmanic Script HAFS"/>
          <w:sz w:val="28"/>
          <w:szCs w:val="28"/>
          <w:rtl/>
        </w:rPr>
        <w:t xml:space="preserve"> </w:t>
      </w:r>
      <w:r w:rsidR="00B06788" w:rsidRPr="0067048A">
        <w:rPr>
          <w:rFonts w:ascii="KFGQPC Uthmanic Script HAFS" w:cs="KFGQPC Uthmanic Script HAFS" w:hint="eastAsia"/>
          <w:sz w:val="28"/>
          <w:szCs w:val="28"/>
          <w:rtl/>
        </w:rPr>
        <w:t>خَي</w:t>
      </w:r>
      <w:r w:rsidR="00B06788" w:rsidRPr="0067048A">
        <w:rPr>
          <w:rFonts w:ascii="KFGQPC Uthmanic Script HAFS" w:cs="KFGQPC Uthmanic Script HAFS" w:hint="cs"/>
          <w:sz w:val="28"/>
          <w:szCs w:val="28"/>
          <w:rtl/>
        </w:rPr>
        <w:t>ۡ</w:t>
      </w:r>
      <w:r w:rsidR="00B06788" w:rsidRPr="0067048A">
        <w:rPr>
          <w:rFonts w:ascii="KFGQPC Uthmanic Script HAFS" w:cs="KFGQPC Uthmanic Script HAFS" w:hint="eastAsia"/>
          <w:sz w:val="28"/>
          <w:szCs w:val="28"/>
          <w:rtl/>
        </w:rPr>
        <w:t>ر</w:t>
      </w:r>
      <w:r w:rsidR="00B06788" w:rsidRPr="0067048A">
        <w:rPr>
          <w:rFonts w:ascii="KFGQPC Uthmanic Script HAFS" w:cs="KFGQPC Uthmanic Script HAFS" w:hint="cs"/>
          <w:sz w:val="28"/>
          <w:szCs w:val="28"/>
          <w:rtl/>
        </w:rPr>
        <w:t>ٖ</w:t>
      </w:r>
      <w:r w:rsidR="00B06788" w:rsidRPr="0067048A">
        <w:rPr>
          <w:rFonts w:ascii="KFGQPC Uthmanic Script HAFS" w:cs="KFGQPC Uthmanic Script HAFS"/>
          <w:sz w:val="28"/>
          <w:szCs w:val="28"/>
          <w:rtl/>
        </w:rPr>
        <w:t xml:space="preserve"> </w:t>
      </w:r>
      <w:r w:rsidR="00B06788" w:rsidRPr="0067048A">
        <w:rPr>
          <w:rFonts w:ascii="KFGQPC Uthmanic Script HAFS" w:cs="KFGQPC Uthmanic Script HAFS" w:hint="eastAsia"/>
          <w:sz w:val="28"/>
          <w:szCs w:val="28"/>
          <w:rtl/>
        </w:rPr>
        <w:t>مُّح</w:t>
      </w:r>
      <w:r w:rsidR="00B06788" w:rsidRPr="0067048A">
        <w:rPr>
          <w:rFonts w:ascii="KFGQPC Uthmanic Script HAFS" w:cs="KFGQPC Uthmanic Script HAFS" w:hint="cs"/>
          <w:sz w:val="28"/>
          <w:szCs w:val="28"/>
          <w:rtl/>
        </w:rPr>
        <w:t>ۡ</w:t>
      </w:r>
      <w:r w:rsidR="00B06788" w:rsidRPr="0067048A">
        <w:rPr>
          <w:rFonts w:ascii="KFGQPC Uthmanic Script HAFS" w:cs="KFGQPC Uthmanic Script HAFS" w:hint="eastAsia"/>
          <w:sz w:val="28"/>
          <w:szCs w:val="28"/>
          <w:rtl/>
        </w:rPr>
        <w:t>ضَر</w:t>
      </w:r>
      <w:r w:rsidR="00B06788" w:rsidRPr="0067048A">
        <w:rPr>
          <w:rFonts w:ascii="KFGQPC Uthmanic Script HAFS" w:cs="KFGQPC Uthmanic Script HAFS" w:hint="cs"/>
          <w:sz w:val="28"/>
          <w:szCs w:val="28"/>
          <w:rtl/>
        </w:rPr>
        <w:t>ٗ</w:t>
      </w:r>
      <w:r w:rsidR="00B06788" w:rsidRPr="0067048A">
        <w:rPr>
          <w:rFonts w:ascii="KFGQPC Uthmanic Script HAFS" w:cs="KFGQPC Uthmanic Script HAFS" w:hint="eastAsia"/>
          <w:sz w:val="28"/>
          <w:szCs w:val="28"/>
          <w:rtl/>
        </w:rPr>
        <w:t>ا</w:t>
      </w:r>
      <w:r w:rsidR="00B06788" w:rsidRPr="0067048A">
        <w:rPr>
          <w:rFonts w:ascii="KFGQPC Uthmanic Script HAFS" w:cs="KFGQPC Uthmanic Script HAFS"/>
          <w:sz w:val="28"/>
          <w:szCs w:val="28"/>
          <w:rtl/>
        </w:rPr>
        <w:t xml:space="preserve"> </w:t>
      </w:r>
      <w:r w:rsidR="00B06788" w:rsidRPr="0067048A">
        <w:rPr>
          <w:rFonts w:ascii="KFGQPC Uthmanic Script HAFS" w:cs="KFGQPC Uthmanic Script HAFS" w:hint="eastAsia"/>
          <w:sz w:val="28"/>
          <w:szCs w:val="28"/>
          <w:rtl/>
        </w:rPr>
        <w:t>وَمَا</w:t>
      </w:r>
      <w:r w:rsidR="00B06788" w:rsidRPr="0067048A">
        <w:rPr>
          <w:rFonts w:ascii="KFGQPC Uthmanic Script HAFS" w:cs="KFGQPC Uthmanic Script HAFS"/>
          <w:sz w:val="28"/>
          <w:szCs w:val="28"/>
          <w:rtl/>
        </w:rPr>
        <w:t xml:space="preserve"> </w:t>
      </w:r>
      <w:r w:rsidR="00B06788" w:rsidRPr="0067048A">
        <w:rPr>
          <w:rFonts w:ascii="KFGQPC Uthmanic Script HAFS" w:cs="KFGQPC Uthmanic Script HAFS" w:hint="eastAsia"/>
          <w:sz w:val="28"/>
          <w:szCs w:val="28"/>
          <w:rtl/>
        </w:rPr>
        <w:t>عَمِلَت</w:t>
      </w:r>
      <w:r w:rsidR="00B06788" w:rsidRPr="0067048A">
        <w:rPr>
          <w:rFonts w:ascii="KFGQPC Uthmanic Script HAFS" w:cs="KFGQPC Uthmanic Script HAFS" w:hint="cs"/>
          <w:sz w:val="28"/>
          <w:szCs w:val="28"/>
          <w:rtl/>
        </w:rPr>
        <w:t>ۡ</w:t>
      </w:r>
      <w:r w:rsidR="00B06788" w:rsidRPr="0067048A">
        <w:rPr>
          <w:rFonts w:ascii="KFGQPC Uthmanic Script HAFS" w:cs="KFGQPC Uthmanic Script HAFS"/>
          <w:sz w:val="28"/>
          <w:szCs w:val="28"/>
          <w:rtl/>
        </w:rPr>
        <w:t xml:space="preserve"> </w:t>
      </w:r>
      <w:r w:rsidR="00B06788" w:rsidRPr="0067048A">
        <w:rPr>
          <w:rFonts w:ascii="KFGQPC Uthmanic Script HAFS" w:cs="KFGQPC Uthmanic Script HAFS" w:hint="eastAsia"/>
          <w:sz w:val="28"/>
          <w:szCs w:val="28"/>
          <w:rtl/>
        </w:rPr>
        <w:t>مِن</w:t>
      </w:r>
      <w:r w:rsidR="00B06788" w:rsidRPr="0067048A">
        <w:rPr>
          <w:rFonts w:ascii="KFGQPC Uthmanic Script HAFS" w:cs="KFGQPC Uthmanic Script HAFS"/>
          <w:sz w:val="28"/>
          <w:szCs w:val="28"/>
          <w:rtl/>
        </w:rPr>
        <w:t xml:space="preserve"> </w:t>
      </w:r>
      <w:r w:rsidR="00B06788" w:rsidRPr="0067048A">
        <w:rPr>
          <w:rFonts w:ascii="KFGQPC Uthmanic Script HAFS" w:cs="KFGQPC Uthmanic Script HAFS" w:hint="eastAsia"/>
          <w:sz w:val="28"/>
          <w:szCs w:val="28"/>
          <w:rtl/>
        </w:rPr>
        <w:t>سُو</w:t>
      </w:r>
      <w:r w:rsidR="00B06788" w:rsidRPr="0067048A">
        <w:rPr>
          <w:rFonts w:ascii="KFGQPC Uthmanic Script HAFS" w:cs="KFGQPC Uthmanic Script HAFS" w:hint="cs"/>
          <w:sz w:val="28"/>
          <w:szCs w:val="28"/>
          <w:rtl/>
        </w:rPr>
        <w:t>ٓ</w:t>
      </w:r>
      <w:r w:rsidR="00B06788" w:rsidRPr="0067048A">
        <w:rPr>
          <w:rFonts w:ascii="KFGQPC Uthmanic Script HAFS" w:cs="KFGQPC Uthmanic Script HAFS" w:hint="eastAsia"/>
          <w:sz w:val="28"/>
          <w:szCs w:val="28"/>
          <w:rtl/>
        </w:rPr>
        <w:t>ء</w:t>
      </w:r>
      <w:r w:rsidR="00B06788" w:rsidRPr="0067048A">
        <w:rPr>
          <w:rFonts w:ascii="KFGQPC Uthmanic Script HAFS" w:cs="KFGQPC Uthmanic Script HAFS" w:hint="cs"/>
          <w:sz w:val="28"/>
          <w:szCs w:val="28"/>
          <w:rtl/>
        </w:rPr>
        <w:t>ٖ</w:t>
      </w:r>
      <w:r w:rsidR="00B06788" w:rsidRPr="0067048A">
        <w:rPr>
          <w:rFonts w:ascii="KFGQPC Uthmanic Script HAFS" w:cs="KFGQPC Uthmanic Script HAFS"/>
          <w:sz w:val="28"/>
          <w:szCs w:val="28"/>
          <w:rtl/>
        </w:rPr>
        <w:t xml:space="preserve"> </w:t>
      </w:r>
      <w:r w:rsidR="00B06788" w:rsidRPr="0067048A">
        <w:rPr>
          <w:rFonts w:ascii="KFGQPC Uthmanic Script HAFS" w:cs="KFGQPC Uthmanic Script HAFS" w:hint="eastAsia"/>
          <w:sz w:val="28"/>
          <w:szCs w:val="28"/>
          <w:rtl/>
        </w:rPr>
        <w:t>تَوَدُّ</w:t>
      </w:r>
      <w:r w:rsidR="00B06788" w:rsidRPr="0067048A">
        <w:rPr>
          <w:rFonts w:ascii="KFGQPC Uthmanic Script HAFS" w:cs="KFGQPC Uthmanic Script HAFS"/>
          <w:sz w:val="28"/>
          <w:szCs w:val="28"/>
          <w:rtl/>
        </w:rPr>
        <w:t xml:space="preserve"> </w:t>
      </w:r>
      <w:r w:rsidR="00B06788" w:rsidRPr="0067048A">
        <w:rPr>
          <w:rFonts w:ascii="KFGQPC Uthmanic Script HAFS" w:cs="KFGQPC Uthmanic Script HAFS" w:hint="eastAsia"/>
          <w:sz w:val="28"/>
          <w:szCs w:val="28"/>
          <w:rtl/>
        </w:rPr>
        <w:t>لَو</w:t>
      </w:r>
      <w:r w:rsidR="00B06788" w:rsidRPr="0067048A">
        <w:rPr>
          <w:rFonts w:ascii="KFGQPC Uthmanic Script HAFS" w:cs="KFGQPC Uthmanic Script HAFS" w:hint="cs"/>
          <w:sz w:val="28"/>
          <w:szCs w:val="28"/>
          <w:rtl/>
        </w:rPr>
        <w:t>ۡ</w:t>
      </w:r>
      <w:r w:rsidR="00B06788" w:rsidRPr="0067048A">
        <w:rPr>
          <w:rFonts w:ascii="KFGQPC Uthmanic Script HAFS" w:cs="KFGQPC Uthmanic Script HAFS"/>
          <w:sz w:val="28"/>
          <w:szCs w:val="28"/>
          <w:rtl/>
        </w:rPr>
        <w:t xml:space="preserve"> </w:t>
      </w:r>
      <w:r w:rsidR="00B06788" w:rsidRPr="0067048A">
        <w:rPr>
          <w:rFonts w:ascii="KFGQPC Uthmanic Script HAFS" w:cs="KFGQPC Uthmanic Script HAFS" w:hint="eastAsia"/>
          <w:sz w:val="28"/>
          <w:szCs w:val="28"/>
          <w:rtl/>
        </w:rPr>
        <w:t>أَنَّ</w:t>
      </w:r>
      <w:r w:rsidR="00B06788" w:rsidRPr="0067048A">
        <w:rPr>
          <w:rFonts w:ascii="KFGQPC Uthmanic Script HAFS" w:cs="KFGQPC Uthmanic Script HAFS"/>
          <w:sz w:val="28"/>
          <w:szCs w:val="28"/>
          <w:rtl/>
        </w:rPr>
        <w:t xml:space="preserve"> </w:t>
      </w:r>
      <w:r w:rsidR="00B06788" w:rsidRPr="0067048A">
        <w:rPr>
          <w:rFonts w:ascii="KFGQPC Uthmanic Script HAFS" w:cs="KFGQPC Uthmanic Script HAFS" w:hint="eastAsia"/>
          <w:sz w:val="28"/>
          <w:szCs w:val="28"/>
          <w:rtl/>
        </w:rPr>
        <w:t>بَي</w:t>
      </w:r>
      <w:r w:rsidR="00B06788" w:rsidRPr="0067048A">
        <w:rPr>
          <w:rFonts w:ascii="KFGQPC Uthmanic Script HAFS" w:cs="KFGQPC Uthmanic Script HAFS" w:hint="cs"/>
          <w:sz w:val="28"/>
          <w:szCs w:val="28"/>
          <w:rtl/>
        </w:rPr>
        <w:t>ۡ</w:t>
      </w:r>
      <w:r w:rsidR="00B06788" w:rsidRPr="0067048A">
        <w:rPr>
          <w:rFonts w:ascii="KFGQPC Uthmanic Script HAFS" w:cs="KFGQPC Uthmanic Script HAFS" w:hint="eastAsia"/>
          <w:sz w:val="28"/>
          <w:szCs w:val="28"/>
          <w:rtl/>
        </w:rPr>
        <w:t>نَهَا</w:t>
      </w:r>
      <w:r w:rsidR="00B06788" w:rsidRPr="0067048A">
        <w:rPr>
          <w:rFonts w:ascii="KFGQPC Uthmanic Script HAFS" w:cs="KFGQPC Uthmanic Script HAFS"/>
          <w:sz w:val="28"/>
          <w:szCs w:val="28"/>
          <w:rtl/>
        </w:rPr>
        <w:t xml:space="preserve"> </w:t>
      </w:r>
      <w:r w:rsidR="00B06788" w:rsidRPr="0067048A">
        <w:rPr>
          <w:rFonts w:ascii="KFGQPC Uthmanic Script HAFS" w:cs="KFGQPC Uthmanic Script HAFS" w:hint="eastAsia"/>
          <w:sz w:val="28"/>
          <w:szCs w:val="28"/>
          <w:rtl/>
        </w:rPr>
        <w:t>وَبَي</w:t>
      </w:r>
      <w:r w:rsidR="00B06788" w:rsidRPr="0067048A">
        <w:rPr>
          <w:rFonts w:ascii="KFGQPC Uthmanic Script HAFS" w:cs="KFGQPC Uthmanic Script HAFS" w:hint="cs"/>
          <w:sz w:val="28"/>
          <w:szCs w:val="28"/>
          <w:rtl/>
        </w:rPr>
        <w:t>ۡ</w:t>
      </w:r>
      <w:r w:rsidR="00B06788" w:rsidRPr="0067048A">
        <w:rPr>
          <w:rFonts w:ascii="KFGQPC Uthmanic Script HAFS" w:cs="KFGQPC Uthmanic Script HAFS" w:hint="eastAsia"/>
          <w:sz w:val="28"/>
          <w:szCs w:val="28"/>
          <w:rtl/>
        </w:rPr>
        <w:t>نَهُ</w:t>
      </w:r>
      <w:r w:rsidR="00B06788" w:rsidRPr="0067048A">
        <w:rPr>
          <w:rFonts w:ascii="KFGQPC Uthmanic Script HAFS" w:cs="KFGQPC Uthmanic Script HAFS" w:hint="cs"/>
          <w:sz w:val="28"/>
          <w:szCs w:val="28"/>
          <w:rtl/>
        </w:rPr>
        <w:t>ۥٓ</w:t>
      </w:r>
      <w:r w:rsidR="00B06788" w:rsidRPr="0067048A">
        <w:rPr>
          <w:rFonts w:ascii="KFGQPC Uthmanic Script HAFS" w:cs="KFGQPC Uthmanic Script HAFS"/>
          <w:sz w:val="28"/>
          <w:szCs w:val="28"/>
          <w:rtl/>
        </w:rPr>
        <w:t xml:space="preserve"> </w:t>
      </w:r>
      <w:r w:rsidR="00B06788" w:rsidRPr="0067048A">
        <w:rPr>
          <w:rFonts w:ascii="KFGQPC Uthmanic Script HAFS" w:cs="KFGQPC Uthmanic Script HAFS" w:hint="eastAsia"/>
          <w:sz w:val="28"/>
          <w:szCs w:val="28"/>
          <w:rtl/>
        </w:rPr>
        <w:t>أَمَدَ</w:t>
      </w:r>
      <w:r w:rsidR="00B06788" w:rsidRPr="0067048A">
        <w:rPr>
          <w:rFonts w:ascii="KFGQPC Uthmanic Script HAFS" w:cs="KFGQPC Uthmanic Script HAFS" w:hint="cs"/>
          <w:sz w:val="28"/>
          <w:szCs w:val="28"/>
          <w:rtl/>
        </w:rPr>
        <w:t>ۢ</w:t>
      </w:r>
      <w:r w:rsidR="00B06788" w:rsidRPr="0067048A">
        <w:rPr>
          <w:rFonts w:ascii="KFGQPC Uthmanic Script HAFS" w:cs="KFGQPC Uthmanic Script HAFS" w:hint="eastAsia"/>
          <w:sz w:val="28"/>
          <w:szCs w:val="28"/>
          <w:rtl/>
        </w:rPr>
        <w:t>ا</w:t>
      </w:r>
      <w:r w:rsidR="00B06788" w:rsidRPr="0067048A">
        <w:rPr>
          <w:rFonts w:ascii="KFGQPC Uthmanic Script HAFS" w:cs="KFGQPC Uthmanic Script HAFS"/>
          <w:sz w:val="28"/>
          <w:szCs w:val="28"/>
          <w:rtl/>
        </w:rPr>
        <w:t xml:space="preserve"> </w:t>
      </w:r>
      <w:r w:rsidR="00B06788" w:rsidRPr="0067048A">
        <w:rPr>
          <w:rFonts w:ascii="KFGQPC Uthmanic Script HAFS" w:cs="KFGQPC Uthmanic Script HAFS" w:hint="eastAsia"/>
          <w:sz w:val="28"/>
          <w:szCs w:val="28"/>
          <w:rtl/>
        </w:rPr>
        <w:t>بَعِيد</w:t>
      </w:r>
      <w:r w:rsidR="00B06788" w:rsidRPr="0067048A">
        <w:rPr>
          <w:rFonts w:ascii="KFGQPC Uthmanic Script HAFS" w:cs="KFGQPC Uthmanic Script HAFS" w:hint="cs"/>
          <w:sz w:val="28"/>
          <w:szCs w:val="28"/>
          <w:rtl/>
        </w:rPr>
        <w:t>ٗ</w:t>
      </w:r>
      <w:r w:rsidR="00B06788" w:rsidRPr="0067048A">
        <w:rPr>
          <w:rFonts w:ascii="KFGQPC Uthmanic Script HAFS" w:cs="KFGQPC Uthmanic Script HAFS" w:hint="eastAsia"/>
          <w:sz w:val="28"/>
          <w:szCs w:val="28"/>
          <w:rtl/>
        </w:rPr>
        <w:t>ا</w:t>
      </w:r>
      <w:r w:rsidR="00B06788" w:rsidRPr="00995B26">
        <w:rPr>
          <w:rFonts w:cs="Traditional Arabic" w:hint="cs"/>
          <w:sz w:val="28"/>
          <w:rtl/>
        </w:rPr>
        <w:t>﴾</w:t>
      </w:r>
      <w:r w:rsidRPr="00995B26">
        <w:rPr>
          <w:sz w:val="28"/>
          <w:rtl/>
        </w:rPr>
        <w:t xml:space="preserve"> </w:t>
      </w:r>
      <w:r w:rsidRPr="003108CB">
        <w:rPr>
          <w:rStyle w:val="Char2"/>
          <w:rtl/>
        </w:rPr>
        <w:t>[آل عمران</w:t>
      </w:r>
      <w:r w:rsidR="00B06788" w:rsidRPr="003108CB">
        <w:rPr>
          <w:rStyle w:val="Char2"/>
          <w:rFonts w:hint="cs"/>
          <w:rtl/>
        </w:rPr>
        <w:t xml:space="preserve">: </w:t>
      </w:r>
      <w:r w:rsidRPr="003108CB">
        <w:rPr>
          <w:rStyle w:val="Char2"/>
          <w:rtl/>
        </w:rPr>
        <w:t>30]</w:t>
      </w:r>
      <w:r w:rsidR="009E3C80" w:rsidRPr="00995B26">
        <w:rPr>
          <w:rFonts w:hint="cs"/>
          <w:sz w:val="28"/>
          <w:rtl/>
        </w:rPr>
        <w:t xml:space="preserve"> </w:t>
      </w:r>
      <w:r w:rsidR="00B06788" w:rsidRPr="00995B26">
        <w:rPr>
          <w:rFonts w:cs="Traditional Arabic" w:hint="cs"/>
          <w:sz w:val="28"/>
          <w:rtl/>
        </w:rPr>
        <w:t>﴿</w:t>
      </w:r>
      <w:r w:rsidR="00B06788" w:rsidRPr="0067048A">
        <w:rPr>
          <w:rFonts w:ascii="KFGQPC Uthmanic Script HAFS" w:cs="KFGQPC Uthmanic Script HAFS" w:hint="eastAsia"/>
          <w:sz w:val="28"/>
          <w:szCs w:val="28"/>
          <w:rtl/>
        </w:rPr>
        <w:t>وَإِذ</w:t>
      </w:r>
      <w:r w:rsidR="00B06788" w:rsidRPr="0067048A">
        <w:rPr>
          <w:rFonts w:ascii="KFGQPC Uthmanic Script HAFS" w:cs="KFGQPC Uthmanic Script HAFS" w:hint="cs"/>
          <w:sz w:val="28"/>
          <w:szCs w:val="28"/>
          <w:rtl/>
        </w:rPr>
        <w:t>ۡ</w:t>
      </w:r>
      <w:r w:rsidR="00B06788" w:rsidRPr="0067048A">
        <w:rPr>
          <w:rFonts w:ascii="KFGQPC Uthmanic Script HAFS" w:cs="KFGQPC Uthmanic Script HAFS"/>
          <w:sz w:val="28"/>
          <w:szCs w:val="28"/>
          <w:rtl/>
        </w:rPr>
        <w:t xml:space="preserve"> </w:t>
      </w:r>
      <w:r w:rsidR="00B06788" w:rsidRPr="0067048A">
        <w:rPr>
          <w:rFonts w:ascii="KFGQPC Uthmanic Script HAFS" w:cs="KFGQPC Uthmanic Script HAFS" w:hint="eastAsia"/>
          <w:sz w:val="28"/>
          <w:szCs w:val="28"/>
          <w:rtl/>
        </w:rPr>
        <w:t>يَعِدُكُمُ</w:t>
      </w:r>
      <w:r w:rsidR="00B06788" w:rsidRPr="0067048A">
        <w:rPr>
          <w:rFonts w:ascii="KFGQPC Uthmanic Script HAFS" w:cs="KFGQPC Uthmanic Script HAFS"/>
          <w:sz w:val="28"/>
          <w:szCs w:val="28"/>
          <w:rtl/>
        </w:rPr>
        <w:t xml:space="preserve"> </w:t>
      </w:r>
      <w:r w:rsidR="00B06788" w:rsidRPr="0067048A">
        <w:rPr>
          <w:rFonts w:ascii="KFGQPC Uthmanic Script HAFS" w:cs="KFGQPC Uthmanic Script HAFS" w:hint="cs"/>
          <w:sz w:val="28"/>
          <w:szCs w:val="28"/>
          <w:rtl/>
        </w:rPr>
        <w:t>ٱ</w:t>
      </w:r>
      <w:r w:rsidR="00B06788" w:rsidRPr="0067048A">
        <w:rPr>
          <w:rFonts w:ascii="KFGQPC Uthmanic Script HAFS" w:cs="KFGQPC Uthmanic Script HAFS" w:hint="eastAsia"/>
          <w:sz w:val="28"/>
          <w:szCs w:val="28"/>
          <w:rtl/>
        </w:rPr>
        <w:t>للَّهُ</w:t>
      </w:r>
      <w:r w:rsidR="00B06788" w:rsidRPr="0067048A">
        <w:rPr>
          <w:rFonts w:ascii="KFGQPC Uthmanic Script HAFS" w:cs="KFGQPC Uthmanic Script HAFS"/>
          <w:sz w:val="28"/>
          <w:szCs w:val="28"/>
          <w:rtl/>
        </w:rPr>
        <w:t xml:space="preserve"> </w:t>
      </w:r>
      <w:r w:rsidR="00B06788" w:rsidRPr="0067048A">
        <w:rPr>
          <w:rFonts w:ascii="KFGQPC Uthmanic Script HAFS" w:cs="KFGQPC Uthmanic Script HAFS" w:hint="eastAsia"/>
          <w:sz w:val="28"/>
          <w:szCs w:val="28"/>
          <w:rtl/>
        </w:rPr>
        <w:t>إِح</w:t>
      </w:r>
      <w:r w:rsidR="00B06788" w:rsidRPr="0067048A">
        <w:rPr>
          <w:rFonts w:ascii="KFGQPC Uthmanic Script HAFS" w:cs="KFGQPC Uthmanic Script HAFS" w:hint="cs"/>
          <w:sz w:val="28"/>
          <w:szCs w:val="28"/>
          <w:rtl/>
        </w:rPr>
        <w:t>ۡ</w:t>
      </w:r>
      <w:r w:rsidR="00B06788" w:rsidRPr="0067048A">
        <w:rPr>
          <w:rFonts w:ascii="KFGQPC Uthmanic Script HAFS" w:cs="KFGQPC Uthmanic Script HAFS" w:hint="eastAsia"/>
          <w:sz w:val="28"/>
          <w:szCs w:val="28"/>
          <w:rtl/>
        </w:rPr>
        <w:t>دَى</w:t>
      </w:r>
      <w:r w:rsidR="00B06788" w:rsidRPr="0067048A">
        <w:rPr>
          <w:rFonts w:ascii="KFGQPC Uthmanic Script HAFS" w:cs="KFGQPC Uthmanic Script HAFS"/>
          <w:sz w:val="28"/>
          <w:szCs w:val="28"/>
          <w:rtl/>
        </w:rPr>
        <w:t xml:space="preserve"> </w:t>
      </w:r>
      <w:r w:rsidR="00B06788" w:rsidRPr="0067048A">
        <w:rPr>
          <w:rFonts w:ascii="KFGQPC Uthmanic Script HAFS" w:cs="KFGQPC Uthmanic Script HAFS" w:hint="cs"/>
          <w:sz w:val="28"/>
          <w:szCs w:val="28"/>
          <w:rtl/>
        </w:rPr>
        <w:t>ٱ</w:t>
      </w:r>
      <w:r w:rsidR="00B06788" w:rsidRPr="0067048A">
        <w:rPr>
          <w:rFonts w:ascii="KFGQPC Uthmanic Script HAFS" w:cs="KFGQPC Uthmanic Script HAFS" w:hint="eastAsia"/>
          <w:sz w:val="28"/>
          <w:szCs w:val="28"/>
          <w:rtl/>
        </w:rPr>
        <w:t>لطَّا</w:t>
      </w:r>
      <w:r w:rsidR="00B06788" w:rsidRPr="0067048A">
        <w:rPr>
          <w:rFonts w:ascii="KFGQPC Uthmanic Script HAFS" w:cs="KFGQPC Uthmanic Script HAFS" w:hint="cs"/>
          <w:sz w:val="28"/>
          <w:szCs w:val="28"/>
          <w:rtl/>
        </w:rPr>
        <w:t>ٓ</w:t>
      </w:r>
      <w:r w:rsidR="00B06788" w:rsidRPr="0067048A">
        <w:rPr>
          <w:rFonts w:ascii="KFGQPC Uthmanic Script HAFS" w:cs="KFGQPC Uthmanic Script HAFS" w:hint="eastAsia"/>
          <w:sz w:val="28"/>
          <w:szCs w:val="28"/>
          <w:rtl/>
        </w:rPr>
        <w:t>ئِفَتَي</w:t>
      </w:r>
      <w:r w:rsidR="00B06788" w:rsidRPr="0067048A">
        <w:rPr>
          <w:rFonts w:ascii="KFGQPC Uthmanic Script HAFS" w:cs="KFGQPC Uthmanic Script HAFS" w:hint="cs"/>
          <w:sz w:val="28"/>
          <w:szCs w:val="28"/>
          <w:rtl/>
        </w:rPr>
        <w:t>ۡ</w:t>
      </w:r>
      <w:r w:rsidR="00B06788" w:rsidRPr="0067048A">
        <w:rPr>
          <w:rFonts w:ascii="KFGQPC Uthmanic Script HAFS" w:cs="KFGQPC Uthmanic Script HAFS" w:hint="eastAsia"/>
          <w:sz w:val="28"/>
          <w:szCs w:val="28"/>
          <w:rtl/>
        </w:rPr>
        <w:t>نِ</w:t>
      </w:r>
      <w:r w:rsidR="00B06788" w:rsidRPr="0067048A">
        <w:rPr>
          <w:rFonts w:ascii="KFGQPC Uthmanic Script HAFS" w:cs="KFGQPC Uthmanic Script HAFS"/>
          <w:sz w:val="28"/>
          <w:szCs w:val="28"/>
          <w:rtl/>
        </w:rPr>
        <w:t xml:space="preserve"> </w:t>
      </w:r>
      <w:r w:rsidR="00B06788" w:rsidRPr="0067048A">
        <w:rPr>
          <w:rFonts w:ascii="KFGQPC Uthmanic Script HAFS" w:cs="KFGQPC Uthmanic Script HAFS" w:hint="eastAsia"/>
          <w:sz w:val="28"/>
          <w:szCs w:val="28"/>
          <w:rtl/>
        </w:rPr>
        <w:t>أَنَّهَا</w:t>
      </w:r>
      <w:r w:rsidR="00B06788" w:rsidRPr="0067048A">
        <w:rPr>
          <w:rFonts w:ascii="KFGQPC Uthmanic Script HAFS" w:cs="KFGQPC Uthmanic Script HAFS"/>
          <w:sz w:val="28"/>
          <w:szCs w:val="28"/>
          <w:rtl/>
        </w:rPr>
        <w:t xml:space="preserve"> </w:t>
      </w:r>
      <w:r w:rsidR="00B06788" w:rsidRPr="0067048A">
        <w:rPr>
          <w:rFonts w:ascii="KFGQPC Uthmanic Script HAFS" w:cs="KFGQPC Uthmanic Script HAFS" w:hint="eastAsia"/>
          <w:sz w:val="28"/>
          <w:szCs w:val="28"/>
          <w:rtl/>
        </w:rPr>
        <w:t>لَكُم</w:t>
      </w:r>
      <w:r w:rsidR="00B06788" w:rsidRPr="0067048A">
        <w:rPr>
          <w:rFonts w:ascii="KFGQPC Uthmanic Script HAFS" w:cs="KFGQPC Uthmanic Script HAFS" w:hint="cs"/>
          <w:sz w:val="28"/>
          <w:szCs w:val="28"/>
          <w:rtl/>
        </w:rPr>
        <w:t>ۡ</w:t>
      </w:r>
      <w:r w:rsidR="00B06788" w:rsidRPr="0067048A">
        <w:rPr>
          <w:rFonts w:ascii="KFGQPC Uthmanic Script HAFS" w:cs="KFGQPC Uthmanic Script HAFS"/>
          <w:sz w:val="28"/>
          <w:szCs w:val="28"/>
          <w:rtl/>
        </w:rPr>
        <w:t xml:space="preserve"> </w:t>
      </w:r>
      <w:r w:rsidR="00B06788" w:rsidRPr="0067048A">
        <w:rPr>
          <w:rFonts w:ascii="KFGQPC Uthmanic Script HAFS" w:cs="KFGQPC Uthmanic Script HAFS" w:hint="eastAsia"/>
          <w:sz w:val="28"/>
          <w:szCs w:val="28"/>
          <w:rtl/>
        </w:rPr>
        <w:t>وَتَوَدُّونَ</w:t>
      </w:r>
      <w:r w:rsidR="00B06788" w:rsidRPr="0067048A">
        <w:rPr>
          <w:rFonts w:ascii="KFGQPC Uthmanic Script HAFS" w:cs="KFGQPC Uthmanic Script HAFS"/>
          <w:sz w:val="28"/>
          <w:szCs w:val="28"/>
          <w:rtl/>
        </w:rPr>
        <w:t xml:space="preserve"> </w:t>
      </w:r>
      <w:r w:rsidR="00B06788" w:rsidRPr="0067048A">
        <w:rPr>
          <w:rFonts w:ascii="KFGQPC Uthmanic Script HAFS" w:cs="KFGQPC Uthmanic Script HAFS" w:hint="eastAsia"/>
          <w:sz w:val="28"/>
          <w:szCs w:val="28"/>
          <w:rtl/>
        </w:rPr>
        <w:t>أَنَّ</w:t>
      </w:r>
      <w:r w:rsidR="00B06788" w:rsidRPr="0067048A">
        <w:rPr>
          <w:rFonts w:ascii="KFGQPC Uthmanic Script HAFS" w:cs="KFGQPC Uthmanic Script HAFS"/>
          <w:sz w:val="28"/>
          <w:szCs w:val="28"/>
          <w:rtl/>
        </w:rPr>
        <w:t xml:space="preserve"> </w:t>
      </w:r>
      <w:r w:rsidR="00B06788" w:rsidRPr="0067048A">
        <w:rPr>
          <w:rFonts w:ascii="KFGQPC Uthmanic Script HAFS" w:cs="KFGQPC Uthmanic Script HAFS" w:hint="eastAsia"/>
          <w:sz w:val="28"/>
          <w:szCs w:val="28"/>
          <w:rtl/>
        </w:rPr>
        <w:t>غَي</w:t>
      </w:r>
      <w:r w:rsidR="00B06788" w:rsidRPr="0067048A">
        <w:rPr>
          <w:rFonts w:ascii="KFGQPC Uthmanic Script HAFS" w:cs="KFGQPC Uthmanic Script HAFS" w:hint="cs"/>
          <w:sz w:val="28"/>
          <w:szCs w:val="28"/>
          <w:rtl/>
        </w:rPr>
        <w:t>ۡ</w:t>
      </w:r>
      <w:r w:rsidR="00B06788" w:rsidRPr="0067048A">
        <w:rPr>
          <w:rFonts w:ascii="KFGQPC Uthmanic Script HAFS" w:cs="KFGQPC Uthmanic Script HAFS" w:hint="eastAsia"/>
          <w:sz w:val="28"/>
          <w:szCs w:val="28"/>
          <w:rtl/>
        </w:rPr>
        <w:t>رَ</w:t>
      </w:r>
      <w:r w:rsidR="00B06788" w:rsidRPr="0067048A">
        <w:rPr>
          <w:rFonts w:ascii="KFGQPC Uthmanic Script HAFS" w:cs="KFGQPC Uthmanic Script HAFS"/>
          <w:sz w:val="28"/>
          <w:szCs w:val="28"/>
          <w:rtl/>
        </w:rPr>
        <w:t xml:space="preserve"> </w:t>
      </w:r>
      <w:r w:rsidR="00B06788" w:rsidRPr="0067048A">
        <w:rPr>
          <w:rFonts w:ascii="KFGQPC Uthmanic Script HAFS" w:cs="KFGQPC Uthmanic Script HAFS" w:hint="eastAsia"/>
          <w:sz w:val="28"/>
          <w:szCs w:val="28"/>
          <w:rtl/>
        </w:rPr>
        <w:t>ذَاتِ</w:t>
      </w:r>
      <w:r w:rsidR="00B06788" w:rsidRPr="0067048A">
        <w:rPr>
          <w:rFonts w:ascii="KFGQPC Uthmanic Script HAFS" w:cs="KFGQPC Uthmanic Script HAFS"/>
          <w:sz w:val="28"/>
          <w:szCs w:val="28"/>
          <w:rtl/>
        </w:rPr>
        <w:t xml:space="preserve"> </w:t>
      </w:r>
      <w:r w:rsidR="00B06788" w:rsidRPr="0067048A">
        <w:rPr>
          <w:rFonts w:ascii="KFGQPC Uthmanic Script HAFS" w:cs="KFGQPC Uthmanic Script HAFS" w:hint="cs"/>
          <w:sz w:val="28"/>
          <w:szCs w:val="28"/>
          <w:rtl/>
        </w:rPr>
        <w:t>ٱ</w:t>
      </w:r>
      <w:r w:rsidR="00B06788" w:rsidRPr="0067048A">
        <w:rPr>
          <w:rFonts w:ascii="KFGQPC Uthmanic Script HAFS" w:cs="KFGQPC Uthmanic Script HAFS" w:hint="eastAsia"/>
          <w:sz w:val="28"/>
          <w:szCs w:val="28"/>
          <w:rtl/>
        </w:rPr>
        <w:t>لشَّو</w:t>
      </w:r>
      <w:r w:rsidR="00B06788" w:rsidRPr="0067048A">
        <w:rPr>
          <w:rFonts w:ascii="KFGQPC Uthmanic Script HAFS" w:cs="KFGQPC Uthmanic Script HAFS" w:hint="cs"/>
          <w:sz w:val="28"/>
          <w:szCs w:val="28"/>
          <w:rtl/>
        </w:rPr>
        <w:t>ۡ</w:t>
      </w:r>
      <w:r w:rsidR="00B06788" w:rsidRPr="0067048A">
        <w:rPr>
          <w:rFonts w:ascii="KFGQPC Uthmanic Script HAFS" w:cs="KFGQPC Uthmanic Script HAFS" w:hint="eastAsia"/>
          <w:sz w:val="28"/>
          <w:szCs w:val="28"/>
          <w:rtl/>
        </w:rPr>
        <w:t>كَةِ</w:t>
      </w:r>
      <w:r w:rsidR="00B06788" w:rsidRPr="0067048A">
        <w:rPr>
          <w:rFonts w:ascii="KFGQPC Uthmanic Script HAFS" w:cs="KFGQPC Uthmanic Script HAFS"/>
          <w:sz w:val="28"/>
          <w:szCs w:val="28"/>
          <w:rtl/>
        </w:rPr>
        <w:t xml:space="preserve"> </w:t>
      </w:r>
      <w:r w:rsidR="00B06788" w:rsidRPr="0067048A">
        <w:rPr>
          <w:rFonts w:ascii="KFGQPC Uthmanic Script HAFS" w:cs="KFGQPC Uthmanic Script HAFS" w:hint="eastAsia"/>
          <w:sz w:val="28"/>
          <w:szCs w:val="28"/>
          <w:rtl/>
        </w:rPr>
        <w:t>تَكُونُ</w:t>
      </w:r>
      <w:r w:rsidR="00B06788" w:rsidRPr="0067048A">
        <w:rPr>
          <w:rFonts w:ascii="KFGQPC Uthmanic Script HAFS" w:cs="KFGQPC Uthmanic Script HAFS"/>
          <w:sz w:val="28"/>
          <w:szCs w:val="28"/>
          <w:rtl/>
        </w:rPr>
        <w:t xml:space="preserve"> </w:t>
      </w:r>
      <w:r w:rsidR="00B06788" w:rsidRPr="0067048A">
        <w:rPr>
          <w:rFonts w:ascii="KFGQPC Uthmanic Script HAFS" w:cs="KFGQPC Uthmanic Script HAFS" w:hint="eastAsia"/>
          <w:sz w:val="28"/>
          <w:szCs w:val="28"/>
          <w:rtl/>
        </w:rPr>
        <w:t>لَكُم</w:t>
      </w:r>
      <w:r w:rsidR="00B06788" w:rsidRPr="0067048A">
        <w:rPr>
          <w:rFonts w:ascii="KFGQPC Uthmanic Script HAFS" w:cs="KFGQPC Uthmanic Script HAFS" w:hint="cs"/>
          <w:sz w:val="28"/>
          <w:szCs w:val="28"/>
          <w:rtl/>
        </w:rPr>
        <w:t>ۡ</w:t>
      </w:r>
      <w:r w:rsidR="00B06788" w:rsidRPr="00995B26">
        <w:rPr>
          <w:rFonts w:cs="Traditional Arabic" w:hint="cs"/>
          <w:sz w:val="28"/>
          <w:rtl/>
        </w:rPr>
        <w:t>﴾</w:t>
      </w:r>
      <w:r w:rsidR="00B06788" w:rsidRPr="00995B26">
        <w:rPr>
          <w:rFonts w:hint="cs"/>
          <w:sz w:val="28"/>
          <w:rtl/>
        </w:rPr>
        <w:t xml:space="preserve"> </w:t>
      </w:r>
      <w:r w:rsidRPr="003108CB">
        <w:rPr>
          <w:rStyle w:val="Char2"/>
          <w:rtl/>
        </w:rPr>
        <w:t>[الأنفال</w:t>
      </w:r>
      <w:r w:rsidR="00B06788" w:rsidRPr="003108CB">
        <w:rPr>
          <w:rStyle w:val="Char2"/>
          <w:rFonts w:hint="cs"/>
          <w:rtl/>
        </w:rPr>
        <w:t xml:space="preserve">: </w:t>
      </w:r>
      <w:r w:rsidRPr="003108CB">
        <w:rPr>
          <w:rStyle w:val="Char2"/>
          <w:rtl/>
        </w:rPr>
        <w:t>7]</w:t>
      </w:r>
      <w:r w:rsidR="009E3C80" w:rsidRPr="00995B26">
        <w:rPr>
          <w:rFonts w:hint="cs"/>
          <w:sz w:val="28"/>
          <w:rtl/>
        </w:rPr>
        <w:t xml:space="preserve"> </w:t>
      </w:r>
      <w:r w:rsidR="00B06788" w:rsidRPr="00995B26">
        <w:rPr>
          <w:rFonts w:cs="Traditional Arabic" w:hint="cs"/>
          <w:sz w:val="28"/>
          <w:rtl/>
        </w:rPr>
        <w:t>﴿</w:t>
      </w:r>
      <w:r w:rsidR="00B06788" w:rsidRPr="0067048A">
        <w:rPr>
          <w:rFonts w:ascii="KFGQPC Uthmanic Script HAFS" w:cs="KFGQPC Uthmanic Script HAFS" w:hint="eastAsia"/>
          <w:sz w:val="28"/>
          <w:szCs w:val="28"/>
          <w:rtl/>
        </w:rPr>
        <w:t>يَو</w:t>
      </w:r>
      <w:r w:rsidR="00B06788" w:rsidRPr="0067048A">
        <w:rPr>
          <w:rFonts w:ascii="KFGQPC Uthmanic Script HAFS" w:cs="KFGQPC Uthmanic Script HAFS" w:hint="cs"/>
          <w:sz w:val="28"/>
          <w:szCs w:val="28"/>
          <w:rtl/>
        </w:rPr>
        <w:t>ۡ</w:t>
      </w:r>
      <w:r w:rsidR="00B06788" w:rsidRPr="0067048A">
        <w:rPr>
          <w:rFonts w:ascii="KFGQPC Uthmanic Script HAFS" w:cs="KFGQPC Uthmanic Script HAFS" w:hint="eastAsia"/>
          <w:sz w:val="28"/>
          <w:szCs w:val="28"/>
          <w:rtl/>
        </w:rPr>
        <w:t>مَئِذ</w:t>
      </w:r>
      <w:r w:rsidR="00B06788" w:rsidRPr="0067048A">
        <w:rPr>
          <w:rFonts w:ascii="KFGQPC Uthmanic Script HAFS" w:cs="KFGQPC Uthmanic Script HAFS" w:hint="cs"/>
          <w:sz w:val="28"/>
          <w:szCs w:val="28"/>
          <w:rtl/>
        </w:rPr>
        <w:t>ٖ</w:t>
      </w:r>
      <w:r w:rsidR="00B06788" w:rsidRPr="0067048A">
        <w:rPr>
          <w:rFonts w:ascii="KFGQPC Uthmanic Script HAFS" w:cs="KFGQPC Uthmanic Script HAFS"/>
          <w:sz w:val="28"/>
          <w:szCs w:val="28"/>
          <w:rtl/>
        </w:rPr>
        <w:t xml:space="preserve"> </w:t>
      </w:r>
      <w:r w:rsidR="00B06788" w:rsidRPr="0067048A">
        <w:rPr>
          <w:rFonts w:ascii="KFGQPC Uthmanic Script HAFS" w:cs="KFGQPC Uthmanic Script HAFS" w:hint="eastAsia"/>
          <w:sz w:val="28"/>
          <w:szCs w:val="28"/>
          <w:rtl/>
        </w:rPr>
        <w:t>يَوَدُّ</w:t>
      </w:r>
      <w:r w:rsidR="00B06788" w:rsidRPr="0067048A">
        <w:rPr>
          <w:rFonts w:ascii="KFGQPC Uthmanic Script HAFS" w:cs="KFGQPC Uthmanic Script HAFS"/>
          <w:sz w:val="28"/>
          <w:szCs w:val="28"/>
          <w:rtl/>
        </w:rPr>
        <w:t xml:space="preserve"> </w:t>
      </w:r>
      <w:r w:rsidR="00B06788" w:rsidRPr="0067048A">
        <w:rPr>
          <w:rFonts w:ascii="KFGQPC Uthmanic Script HAFS" w:cs="KFGQPC Uthmanic Script HAFS" w:hint="cs"/>
          <w:sz w:val="28"/>
          <w:szCs w:val="28"/>
          <w:rtl/>
        </w:rPr>
        <w:t>ٱ</w:t>
      </w:r>
      <w:r w:rsidR="00B06788" w:rsidRPr="0067048A">
        <w:rPr>
          <w:rFonts w:ascii="KFGQPC Uthmanic Script HAFS" w:cs="KFGQPC Uthmanic Script HAFS" w:hint="eastAsia"/>
          <w:sz w:val="28"/>
          <w:szCs w:val="28"/>
          <w:rtl/>
        </w:rPr>
        <w:t>لَّذِينَ</w:t>
      </w:r>
      <w:r w:rsidR="00B06788" w:rsidRPr="0067048A">
        <w:rPr>
          <w:rFonts w:ascii="KFGQPC Uthmanic Script HAFS" w:cs="KFGQPC Uthmanic Script HAFS"/>
          <w:sz w:val="28"/>
          <w:szCs w:val="28"/>
          <w:rtl/>
        </w:rPr>
        <w:t xml:space="preserve"> </w:t>
      </w:r>
      <w:r w:rsidR="00B06788" w:rsidRPr="0067048A">
        <w:rPr>
          <w:rFonts w:ascii="KFGQPC Uthmanic Script HAFS" w:cs="KFGQPC Uthmanic Script HAFS" w:hint="eastAsia"/>
          <w:sz w:val="28"/>
          <w:szCs w:val="28"/>
          <w:rtl/>
        </w:rPr>
        <w:t>كَفَرُواْ</w:t>
      </w:r>
      <w:r w:rsidR="00B06788" w:rsidRPr="0067048A">
        <w:rPr>
          <w:rFonts w:ascii="KFGQPC Uthmanic Script HAFS" w:cs="KFGQPC Uthmanic Script HAFS"/>
          <w:sz w:val="28"/>
          <w:szCs w:val="28"/>
          <w:rtl/>
        </w:rPr>
        <w:t xml:space="preserve"> </w:t>
      </w:r>
      <w:r w:rsidR="00B06788" w:rsidRPr="0067048A">
        <w:rPr>
          <w:rFonts w:ascii="KFGQPC Uthmanic Script HAFS" w:cs="KFGQPC Uthmanic Script HAFS" w:hint="eastAsia"/>
          <w:sz w:val="28"/>
          <w:szCs w:val="28"/>
          <w:rtl/>
        </w:rPr>
        <w:t>وَعَصَوُاْ</w:t>
      </w:r>
      <w:r w:rsidR="00B06788" w:rsidRPr="0067048A">
        <w:rPr>
          <w:rFonts w:ascii="KFGQPC Uthmanic Script HAFS" w:cs="KFGQPC Uthmanic Script HAFS"/>
          <w:sz w:val="28"/>
          <w:szCs w:val="28"/>
          <w:rtl/>
        </w:rPr>
        <w:t xml:space="preserve"> </w:t>
      </w:r>
      <w:r w:rsidR="00B06788" w:rsidRPr="0067048A">
        <w:rPr>
          <w:rFonts w:ascii="KFGQPC Uthmanic Script HAFS" w:cs="KFGQPC Uthmanic Script HAFS" w:hint="cs"/>
          <w:sz w:val="28"/>
          <w:szCs w:val="28"/>
          <w:rtl/>
        </w:rPr>
        <w:t>ٱ</w:t>
      </w:r>
      <w:r w:rsidR="00B06788" w:rsidRPr="0067048A">
        <w:rPr>
          <w:rFonts w:ascii="KFGQPC Uthmanic Script HAFS" w:cs="KFGQPC Uthmanic Script HAFS" w:hint="eastAsia"/>
          <w:sz w:val="28"/>
          <w:szCs w:val="28"/>
          <w:rtl/>
        </w:rPr>
        <w:t>لرَّسُولَ</w:t>
      </w:r>
      <w:r w:rsidR="00B06788" w:rsidRPr="0067048A">
        <w:rPr>
          <w:rFonts w:ascii="KFGQPC Uthmanic Script HAFS" w:cs="KFGQPC Uthmanic Script HAFS"/>
          <w:sz w:val="28"/>
          <w:szCs w:val="28"/>
          <w:rtl/>
        </w:rPr>
        <w:t xml:space="preserve"> </w:t>
      </w:r>
      <w:r w:rsidR="00B06788" w:rsidRPr="0067048A">
        <w:rPr>
          <w:rFonts w:ascii="KFGQPC Uthmanic Script HAFS" w:cs="KFGQPC Uthmanic Script HAFS" w:hint="eastAsia"/>
          <w:sz w:val="28"/>
          <w:szCs w:val="28"/>
          <w:rtl/>
        </w:rPr>
        <w:t>لَو</w:t>
      </w:r>
      <w:r w:rsidR="00B06788" w:rsidRPr="0067048A">
        <w:rPr>
          <w:rFonts w:ascii="KFGQPC Uthmanic Script HAFS" w:cs="KFGQPC Uthmanic Script HAFS" w:hint="cs"/>
          <w:sz w:val="28"/>
          <w:szCs w:val="28"/>
          <w:rtl/>
        </w:rPr>
        <w:t>ۡ</w:t>
      </w:r>
      <w:r w:rsidR="00B06788" w:rsidRPr="0067048A">
        <w:rPr>
          <w:rFonts w:ascii="KFGQPC Uthmanic Script HAFS" w:cs="KFGQPC Uthmanic Script HAFS"/>
          <w:sz w:val="28"/>
          <w:szCs w:val="28"/>
          <w:rtl/>
        </w:rPr>
        <w:t xml:space="preserve"> </w:t>
      </w:r>
      <w:r w:rsidR="00B06788" w:rsidRPr="0067048A">
        <w:rPr>
          <w:rFonts w:ascii="KFGQPC Uthmanic Script HAFS" w:cs="KFGQPC Uthmanic Script HAFS" w:hint="eastAsia"/>
          <w:sz w:val="28"/>
          <w:szCs w:val="28"/>
          <w:rtl/>
        </w:rPr>
        <w:t>تُسَوَّى</w:t>
      </w:r>
      <w:r w:rsidR="00B06788" w:rsidRPr="0067048A">
        <w:rPr>
          <w:rFonts w:ascii="KFGQPC Uthmanic Script HAFS" w:cs="KFGQPC Uthmanic Script HAFS" w:hint="cs"/>
          <w:sz w:val="28"/>
          <w:szCs w:val="28"/>
          <w:rtl/>
        </w:rPr>
        <w:t>ٰ</w:t>
      </w:r>
      <w:r w:rsidR="00B06788" w:rsidRPr="0067048A">
        <w:rPr>
          <w:rFonts w:ascii="KFGQPC Uthmanic Script HAFS" w:cs="KFGQPC Uthmanic Script HAFS"/>
          <w:sz w:val="28"/>
          <w:szCs w:val="28"/>
          <w:rtl/>
        </w:rPr>
        <w:t xml:space="preserve"> </w:t>
      </w:r>
      <w:r w:rsidR="00B06788" w:rsidRPr="0067048A">
        <w:rPr>
          <w:rFonts w:ascii="KFGQPC Uthmanic Script HAFS" w:cs="KFGQPC Uthmanic Script HAFS" w:hint="eastAsia"/>
          <w:sz w:val="28"/>
          <w:szCs w:val="28"/>
          <w:rtl/>
        </w:rPr>
        <w:t>بِهِمُ</w:t>
      </w:r>
      <w:r w:rsidR="00B06788" w:rsidRPr="0067048A">
        <w:rPr>
          <w:rFonts w:ascii="KFGQPC Uthmanic Script HAFS" w:cs="KFGQPC Uthmanic Script HAFS"/>
          <w:sz w:val="28"/>
          <w:szCs w:val="28"/>
          <w:rtl/>
        </w:rPr>
        <w:t xml:space="preserve"> </w:t>
      </w:r>
      <w:r w:rsidR="00B06788" w:rsidRPr="0067048A">
        <w:rPr>
          <w:rFonts w:ascii="KFGQPC Uthmanic Script HAFS" w:cs="KFGQPC Uthmanic Script HAFS" w:hint="cs"/>
          <w:sz w:val="28"/>
          <w:szCs w:val="28"/>
          <w:rtl/>
        </w:rPr>
        <w:t>ٱ</w:t>
      </w:r>
      <w:r w:rsidR="00B06788" w:rsidRPr="0067048A">
        <w:rPr>
          <w:rFonts w:ascii="KFGQPC Uthmanic Script HAFS" w:cs="KFGQPC Uthmanic Script HAFS" w:hint="eastAsia"/>
          <w:sz w:val="28"/>
          <w:szCs w:val="28"/>
          <w:rtl/>
        </w:rPr>
        <w:t>ل</w:t>
      </w:r>
      <w:r w:rsidR="00B06788" w:rsidRPr="0067048A">
        <w:rPr>
          <w:rFonts w:ascii="KFGQPC Uthmanic Script HAFS" w:cs="KFGQPC Uthmanic Script HAFS" w:hint="cs"/>
          <w:sz w:val="28"/>
          <w:szCs w:val="28"/>
          <w:rtl/>
        </w:rPr>
        <w:t>ۡ</w:t>
      </w:r>
      <w:r w:rsidR="00B06788" w:rsidRPr="0067048A">
        <w:rPr>
          <w:rFonts w:ascii="KFGQPC Uthmanic Script HAFS" w:cs="KFGQPC Uthmanic Script HAFS" w:hint="eastAsia"/>
          <w:sz w:val="28"/>
          <w:szCs w:val="28"/>
          <w:rtl/>
        </w:rPr>
        <w:t>أَر</w:t>
      </w:r>
      <w:r w:rsidR="00B06788" w:rsidRPr="0067048A">
        <w:rPr>
          <w:rFonts w:ascii="KFGQPC Uthmanic Script HAFS" w:cs="KFGQPC Uthmanic Script HAFS" w:hint="cs"/>
          <w:sz w:val="28"/>
          <w:szCs w:val="28"/>
          <w:rtl/>
        </w:rPr>
        <w:t>ۡ</w:t>
      </w:r>
      <w:r w:rsidR="00B06788" w:rsidRPr="0067048A">
        <w:rPr>
          <w:rFonts w:ascii="KFGQPC Uthmanic Script HAFS" w:cs="KFGQPC Uthmanic Script HAFS" w:hint="eastAsia"/>
          <w:sz w:val="28"/>
          <w:szCs w:val="28"/>
          <w:rtl/>
        </w:rPr>
        <w:t>ضُ</w:t>
      </w:r>
      <w:r w:rsidR="00B06788" w:rsidRPr="0067048A">
        <w:rPr>
          <w:rFonts w:ascii="KFGQPC Uthmanic Script HAFS" w:cs="KFGQPC Uthmanic Script HAFS"/>
          <w:sz w:val="28"/>
          <w:szCs w:val="28"/>
          <w:rtl/>
        </w:rPr>
        <w:t xml:space="preserve"> </w:t>
      </w:r>
      <w:r w:rsidR="00B06788" w:rsidRPr="0067048A">
        <w:rPr>
          <w:rFonts w:ascii="KFGQPC Uthmanic Script HAFS" w:cs="KFGQPC Uthmanic Script HAFS" w:hint="eastAsia"/>
          <w:sz w:val="28"/>
          <w:szCs w:val="28"/>
          <w:rtl/>
        </w:rPr>
        <w:t>وَلَا</w:t>
      </w:r>
      <w:r w:rsidR="00B06788" w:rsidRPr="0067048A">
        <w:rPr>
          <w:rFonts w:ascii="KFGQPC Uthmanic Script HAFS" w:cs="KFGQPC Uthmanic Script HAFS"/>
          <w:sz w:val="28"/>
          <w:szCs w:val="28"/>
          <w:rtl/>
        </w:rPr>
        <w:t xml:space="preserve"> </w:t>
      </w:r>
      <w:r w:rsidR="00B06788" w:rsidRPr="0067048A">
        <w:rPr>
          <w:rFonts w:ascii="KFGQPC Uthmanic Script HAFS" w:cs="KFGQPC Uthmanic Script HAFS" w:hint="eastAsia"/>
          <w:sz w:val="28"/>
          <w:szCs w:val="28"/>
          <w:rtl/>
        </w:rPr>
        <w:t>يَك</w:t>
      </w:r>
      <w:r w:rsidR="00B06788" w:rsidRPr="0067048A">
        <w:rPr>
          <w:rFonts w:ascii="KFGQPC Uthmanic Script HAFS" w:cs="KFGQPC Uthmanic Script HAFS" w:hint="cs"/>
          <w:sz w:val="28"/>
          <w:szCs w:val="28"/>
          <w:rtl/>
        </w:rPr>
        <w:t>ۡ</w:t>
      </w:r>
      <w:r w:rsidR="00B06788" w:rsidRPr="0067048A">
        <w:rPr>
          <w:rFonts w:ascii="KFGQPC Uthmanic Script HAFS" w:cs="KFGQPC Uthmanic Script HAFS" w:hint="eastAsia"/>
          <w:sz w:val="28"/>
          <w:szCs w:val="28"/>
          <w:rtl/>
        </w:rPr>
        <w:t>تُمُونَ</w:t>
      </w:r>
      <w:r w:rsidR="00B06788" w:rsidRPr="0067048A">
        <w:rPr>
          <w:rFonts w:ascii="KFGQPC Uthmanic Script HAFS" w:cs="KFGQPC Uthmanic Script HAFS"/>
          <w:sz w:val="28"/>
          <w:szCs w:val="28"/>
          <w:rtl/>
        </w:rPr>
        <w:t xml:space="preserve"> </w:t>
      </w:r>
      <w:r w:rsidR="00B06788" w:rsidRPr="0067048A">
        <w:rPr>
          <w:rFonts w:ascii="KFGQPC Uthmanic Script HAFS" w:cs="KFGQPC Uthmanic Script HAFS" w:hint="cs"/>
          <w:sz w:val="28"/>
          <w:szCs w:val="28"/>
          <w:rtl/>
        </w:rPr>
        <w:t>ٱ</w:t>
      </w:r>
      <w:r w:rsidR="00B06788" w:rsidRPr="0067048A">
        <w:rPr>
          <w:rFonts w:ascii="KFGQPC Uthmanic Script HAFS" w:cs="KFGQPC Uthmanic Script HAFS" w:hint="eastAsia"/>
          <w:sz w:val="28"/>
          <w:szCs w:val="28"/>
          <w:rtl/>
        </w:rPr>
        <w:t>للَّهَ</w:t>
      </w:r>
      <w:r w:rsidR="00B06788" w:rsidRPr="0067048A">
        <w:rPr>
          <w:rFonts w:ascii="KFGQPC Uthmanic Script HAFS" w:cs="KFGQPC Uthmanic Script HAFS"/>
          <w:sz w:val="28"/>
          <w:szCs w:val="28"/>
          <w:rtl/>
        </w:rPr>
        <w:t xml:space="preserve"> </w:t>
      </w:r>
      <w:r w:rsidR="00B06788" w:rsidRPr="0067048A">
        <w:rPr>
          <w:rFonts w:ascii="KFGQPC Uthmanic Script HAFS" w:cs="KFGQPC Uthmanic Script HAFS" w:hint="eastAsia"/>
          <w:sz w:val="28"/>
          <w:szCs w:val="28"/>
          <w:rtl/>
        </w:rPr>
        <w:t>حَدِيث</w:t>
      </w:r>
      <w:r w:rsidR="00B06788" w:rsidRPr="0067048A">
        <w:rPr>
          <w:rFonts w:ascii="KFGQPC Uthmanic Script HAFS" w:cs="KFGQPC Uthmanic Script HAFS" w:hint="cs"/>
          <w:sz w:val="28"/>
          <w:szCs w:val="28"/>
          <w:rtl/>
        </w:rPr>
        <w:t>ٗ</w:t>
      </w:r>
      <w:r w:rsidR="00B06788" w:rsidRPr="0067048A">
        <w:rPr>
          <w:rFonts w:ascii="KFGQPC Uthmanic Script HAFS" w:cs="KFGQPC Uthmanic Script HAFS" w:hint="eastAsia"/>
          <w:sz w:val="28"/>
          <w:szCs w:val="28"/>
          <w:rtl/>
        </w:rPr>
        <w:t>ا</w:t>
      </w:r>
      <w:r w:rsidR="00B06788" w:rsidRPr="0067048A">
        <w:rPr>
          <w:rFonts w:ascii="KFGQPC Uthmanic Script HAFS" w:cs="KFGQPC Uthmanic Script HAFS"/>
          <w:sz w:val="28"/>
          <w:szCs w:val="28"/>
          <w:rtl/>
        </w:rPr>
        <w:t xml:space="preserve"> </w:t>
      </w:r>
      <w:r w:rsidR="00B06788" w:rsidRPr="0067048A">
        <w:rPr>
          <w:rFonts w:ascii="KFGQPC Uthmanic Script HAFS" w:cs="KFGQPC Uthmanic Script HAFS" w:hint="cs"/>
          <w:sz w:val="28"/>
          <w:szCs w:val="28"/>
          <w:rtl/>
        </w:rPr>
        <w:t>٤٢</w:t>
      </w:r>
      <w:r w:rsidR="00B06788" w:rsidRPr="00995B26">
        <w:rPr>
          <w:rFonts w:cs="Traditional Arabic" w:hint="cs"/>
          <w:sz w:val="28"/>
          <w:rtl/>
        </w:rPr>
        <w:t>﴾</w:t>
      </w:r>
      <w:r w:rsidR="00B06788" w:rsidRPr="00995B26">
        <w:rPr>
          <w:rFonts w:hint="cs"/>
          <w:sz w:val="28"/>
          <w:rtl/>
        </w:rPr>
        <w:t xml:space="preserve"> </w:t>
      </w:r>
      <w:r w:rsidRPr="003108CB">
        <w:rPr>
          <w:rStyle w:val="Char2"/>
          <w:rtl/>
        </w:rPr>
        <w:t>[النساء</w:t>
      </w:r>
      <w:r w:rsidR="00B06788" w:rsidRPr="003108CB">
        <w:rPr>
          <w:rStyle w:val="Char2"/>
          <w:rFonts w:hint="cs"/>
          <w:rtl/>
        </w:rPr>
        <w:t xml:space="preserve">: </w:t>
      </w:r>
      <w:r w:rsidRPr="003108CB">
        <w:rPr>
          <w:rStyle w:val="Char2"/>
          <w:rtl/>
        </w:rPr>
        <w:t>42]</w:t>
      </w:r>
      <w:r w:rsidR="00B06788" w:rsidRPr="00995B26">
        <w:rPr>
          <w:rFonts w:hint="cs"/>
          <w:sz w:val="28"/>
          <w:rtl/>
        </w:rPr>
        <w:t xml:space="preserve"> </w:t>
      </w:r>
      <w:r w:rsidR="00B06788" w:rsidRPr="00995B26">
        <w:rPr>
          <w:rFonts w:cs="Traditional Arabic" w:hint="cs"/>
          <w:sz w:val="28"/>
          <w:rtl/>
        </w:rPr>
        <w:t>﴿</w:t>
      </w:r>
      <w:r w:rsidR="00B06788" w:rsidRPr="0067048A">
        <w:rPr>
          <w:rFonts w:ascii="KFGQPC Uthmanic Script HAFS" w:cs="KFGQPC Uthmanic Script HAFS" w:hint="eastAsia"/>
          <w:sz w:val="28"/>
          <w:szCs w:val="28"/>
          <w:rtl/>
        </w:rPr>
        <w:t>وَدَّ</w:t>
      </w:r>
      <w:r w:rsidR="00B06788" w:rsidRPr="0067048A">
        <w:rPr>
          <w:rFonts w:ascii="KFGQPC Uthmanic Script HAFS" w:cs="KFGQPC Uthmanic Script HAFS"/>
          <w:sz w:val="28"/>
          <w:szCs w:val="28"/>
          <w:rtl/>
        </w:rPr>
        <w:t xml:space="preserve"> </w:t>
      </w:r>
      <w:r w:rsidR="00B06788" w:rsidRPr="0067048A">
        <w:rPr>
          <w:rFonts w:ascii="KFGQPC Uthmanic Script HAFS" w:cs="KFGQPC Uthmanic Script HAFS" w:hint="cs"/>
          <w:sz w:val="28"/>
          <w:szCs w:val="28"/>
          <w:rtl/>
        </w:rPr>
        <w:t>ٱ</w:t>
      </w:r>
      <w:r w:rsidR="00B06788" w:rsidRPr="0067048A">
        <w:rPr>
          <w:rFonts w:ascii="KFGQPC Uthmanic Script HAFS" w:cs="KFGQPC Uthmanic Script HAFS" w:hint="eastAsia"/>
          <w:sz w:val="28"/>
          <w:szCs w:val="28"/>
          <w:rtl/>
        </w:rPr>
        <w:t>لَّذِينَ</w:t>
      </w:r>
      <w:r w:rsidR="00B06788" w:rsidRPr="0067048A">
        <w:rPr>
          <w:rFonts w:ascii="KFGQPC Uthmanic Script HAFS" w:cs="KFGQPC Uthmanic Script HAFS"/>
          <w:sz w:val="28"/>
          <w:szCs w:val="28"/>
          <w:rtl/>
        </w:rPr>
        <w:t xml:space="preserve"> </w:t>
      </w:r>
      <w:r w:rsidR="00B06788" w:rsidRPr="0067048A">
        <w:rPr>
          <w:rFonts w:ascii="KFGQPC Uthmanic Script HAFS" w:cs="KFGQPC Uthmanic Script HAFS" w:hint="eastAsia"/>
          <w:sz w:val="28"/>
          <w:szCs w:val="28"/>
          <w:rtl/>
        </w:rPr>
        <w:t>كَفَرُواْ</w:t>
      </w:r>
      <w:r w:rsidR="00B06788" w:rsidRPr="0067048A">
        <w:rPr>
          <w:rFonts w:ascii="KFGQPC Uthmanic Script HAFS" w:cs="KFGQPC Uthmanic Script HAFS"/>
          <w:sz w:val="28"/>
          <w:szCs w:val="28"/>
          <w:rtl/>
        </w:rPr>
        <w:t xml:space="preserve"> </w:t>
      </w:r>
      <w:r w:rsidR="00B06788" w:rsidRPr="0067048A">
        <w:rPr>
          <w:rFonts w:ascii="KFGQPC Uthmanic Script HAFS" w:cs="KFGQPC Uthmanic Script HAFS" w:hint="eastAsia"/>
          <w:sz w:val="28"/>
          <w:szCs w:val="28"/>
          <w:rtl/>
        </w:rPr>
        <w:t>لَو</w:t>
      </w:r>
      <w:r w:rsidR="00B06788" w:rsidRPr="0067048A">
        <w:rPr>
          <w:rFonts w:ascii="KFGQPC Uthmanic Script HAFS" w:cs="KFGQPC Uthmanic Script HAFS" w:hint="cs"/>
          <w:sz w:val="28"/>
          <w:szCs w:val="28"/>
          <w:rtl/>
        </w:rPr>
        <w:t>ۡ</w:t>
      </w:r>
      <w:r w:rsidR="00B06788" w:rsidRPr="0067048A">
        <w:rPr>
          <w:rFonts w:ascii="KFGQPC Uthmanic Script HAFS" w:cs="KFGQPC Uthmanic Script HAFS"/>
          <w:sz w:val="28"/>
          <w:szCs w:val="28"/>
          <w:rtl/>
        </w:rPr>
        <w:t xml:space="preserve"> </w:t>
      </w:r>
      <w:r w:rsidR="00B06788" w:rsidRPr="0067048A">
        <w:rPr>
          <w:rFonts w:ascii="KFGQPC Uthmanic Script HAFS" w:cs="KFGQPC Uthmanic Script HAFS" w:hint="eastAsia"/>
          <w:sz w:val="28"/>
          <w:szCs w:val="28"/>
          <w:rtl/>
        </w:rPr>
        <w:t>تَغ</w:t>
      </w:r>
      <w:r w:rsidR="00B06788" w:rsidRPr="0067048A">
        <w:rPr>
          <w:rFonts w:ascii="KFGQPC Uthmanic Script HAFS" w:cs="KFGQPC Uthmanic Script HAFS" w:hint="cs"/>
          <w:sz w:val="28"/>
          <w:szCs w:val="28"/>
          <w:rtl/>
        </w:rPr>
        <w:t>ۡ</w:t>
      </w:r>
      <w:r w:rsidR="00B06788" w:rsidRPr="0067048A">
        <w:rPr>
          <w:rFonts w:ascii="KFGQPC Uthmanic Script HAFS" w:cs="KFGQPC Uthmanic Script HAFS" w:hint="eastAsia"/>
          <w:sz w:val="28"/>
          <w:szCs w:val="28"/>
          <w:rtl/>
        </w:rPr>
        <w:t>فُلُونَ</w:t>
      </w:r>
      <w:r w:rsidR="00B06788" w:rsidRPr="0067048A">
        <w:rPr>
          <w:rFonts w:ascii="KFGQPC Uthmanic Script HAFS" w:cs="KFGQPC Uthmanic Script HAFS"/>
          <w:sz w:val="28"/>
          <w:szCs w:val="28"/>
          <w:rtl/>
        </w:rPr>
        <w:t xml:space="preserve"> </w:t>
      </w:r>
      <w:r w:rsidR="00B06788" w:rsidRPr="0067048A">
        <w:rPr>
          <w:rFonts w:ascii="KFGQPC Uthmanic Script HAFS" w:cs="KFGQPC Uthmanic Script HAFS" w:hint="eastAsia"/>
          <w:sz w:val="28"/>
          <w:szCs w:val="28"/>
          <w:rtl/>
        </w:rPr>
        <w:t>عَن</w:t>
      </w:r>
      <w:r w:rsidR="00B06788" w:rsidRPr="0067048A">
        <w:rPr>
          <w:rFonts w:ascii="KFGQPC Uthmanic Script HAFS" w:cs="KFGQPC Uthmanic Script HAFS" w:hint="cs"/>
          <w:sz w:val="28"/>
          <w:szCs w:val="28"/>
          <w:rtl/>
        </w:rPr>
        <w:t>ۡ</w:t>
      </w:r>
      <w:r w:rsidR="00B06788" w:rsidRPr="0067048A">
        <w:rPr>
          <w:rFonts w:ascii="KFGQPC Uthmanic Script HAFS" w:cs="KFGQPC Uthmanic Script HAFS"/>
          <w:sz w:val="28"/>
          <w:szCs w:val="28"/>
          <w:rtl/>
        </w:rPr>
        <w:t xml:space="preserve"> </w:t>
      </w:r>
      <w:r w:rsidR="00B06788" w:rsidRPr="0067048A">
        <w:rPr>
          <w:rFonts w:ascii="KFGQPC Uthmanic Script HAFS" w:cs="KFGQPC Uthmanic Script HAFS" w:hint="eastAsia"/>
          <w:sz w:val="28"/>
          <w:szCs w:val="28"/>
          <w:rtl/>
        </w:rPr>
        <w:t>أَس</w:t>
      </w:r>
      <w:r w:rsidR="00B06788" w:rsidRPr="0067048A">
        <w:rPr>
          <w:rFonts w:ascii="KFGQPC Uthmanic Script HAFS" w:cs="KFGQPC Uthmanic Script HAFS" w:hint="cs"/>
          <w:sz w:val="28"/>
          <w:szCs w:val="28"/>
          <w:rtl/>
        </w:rPr>
        <w:t>ۡ</w:t>
      </w:r>
      <w:r w:rsidR="00B06788" w:rsidRPr="0067048A">
        <w:rPr>
          <w:rFonts w:ascii="KFGQPC Uthmanic Script HAFS" w:cs="KFGQPC Uthmanic Script HAFS" w:hint="eastAsia"/>
          <w:sz w:val="28"/>
          <w:szCs w:val="28"/>
          <w:rtl/>
        </w:rPr>
        <w:t>لِحَتِكُم</w:t>
      </w:r>
      <w:r w:rsidR="00B06788" w:rsidRPr="0067048A">
        <w:rPr>
          <w:rFonts w:ascii="KFGQPC Uthmanic Script HAFS" w:cs="KFGQPC Uthmanic Script HAFS" w:hint="cs"/>
          <w:sz w:val="28"/>
          <w:szCs w:val="28"/>
          <w:rtl/>
        </w:rPr>
        <w:t>ۡ</w:t>
      </w:r>
      <w:r w:rsidR="00B06788" w:rsidRPr="0067048A">
        <w:rPr>
          <w:rFonts w:ascii="KFGQPC Uthmanic Script HAFS" w:cs="KFGQPC Uthmanic Script HAFS"/>
          <w:sz w:val="28"/>
          <w:szCs w:val="28"/>
          <w:rtl/>
        </w:rPr>
        <w:t xml:space="preserve"> </w:t>
      </w:r>
      <w:r w:rsidR="00B06788" w:rsidRPr="0067048A">
        <w:rPr>
          <w:rFonts w:ascii="KFGQPC Uthmanic Script HAFS" w:cs="KFGQPC Uthmanic Script HAFS" w:hint="eastAsia"/>
          <w:sz w:val="28"/>
          <w:szCs w:val="28"/>
          <w:rtl/>
        </w:rPr>
        <w:t>وَأَم</w:t>
      </w:r>
      <w:r w:rsidR="00B06788" w:rsidRPr="0067048A">
        <w:rPr>
          <w:rFonts w:ascii="KFGQPC Uthmanic Script HAFS" w:cs="KFGQPC Uthmanic Script HAFS" w:hint="cs"/>
          <w:sz w:val="28"/>
          <w:szCs w:val="28"/>
          <w:rtl/>
        </w:rPr>
        <w:t>ۡ</w:t>
      </w:r>
      <w:r w:rsidR="00B06788" w:rsidRPr="0067048A">
        <w:rPr>
          <w:rFonts w:ascii="KFGQPC Uthmanic Script HAFS" w:cs="KFGQPC Uthmanic Script HAFS" w:hint="eastAsia"/>
          <w:sz w:val="28"/>
          <w:szCs w:val="28"/>
          <w:rtl/>
        </w:rPr>
        <w:t>تِعَتِكُم</w:t>
      </w:r>
      <w:r w:rsidR="00B06788" w:rsidRPr="0067048A">
        <w:rPr>
          <w:rFonts w:ascii="KFGQPC Uthmanic Script HAFS" w:cs="KFGQPC Uthmanic Script HAFS" w:hint="cs"/>
          <w:sz w:val="28"/>
          <w:szCs w:val="28"/>
          <w:rtl/>
        </w:rPr>
        <w:t>ۡ</w:t>
      </w:r>
      <w:r w:rsidR="00B06788" w:rsidRPr="0067048A">
        <w:rPr>
          <w:rFonts w:ascii="KFGQPC Uthmanic Script HAFS" w:cs="KFGQPC Uthmanic Script HAFS"/>
          <w:sz w:val="28"/>
          <w:szCs w:val="28"/>
          <w:rtl/>
        </w:rPr>
        <w:t xml:space="preserve"> </w:t>
      </w:r>
      <w:r w:rsidR="00B06788" w:rsidRPr="0067048A">
        <w:rPr>
          <w:rFonts w:ascii="KFGQPC Uthmanic Script HAFS" w:cs="KFGQPC Uthmanic Script HAFS" w:hint="eastAsia"/>
          <w:sz w:val="28"/>
          <w:szCs w:val="28"/>
          <w:rtl/>
        </w:rPr>
        <w:t>فَيَمِيلُونَ</w:t>
      </w:r>
      <w:r w:rsidR="00B06788" w:rsidRPr="0067048A">
        <w:rPr>
          <w:rFonts w:ascii="KFGQPC Uthmanic Script HAFS" w:cs="KFGQPC Uthmanic Script HAFS"/>
          <w:sz w:val="28"/>
          <w:szCs w:val="28"/>
          <w:rtl/>
        </w:rPr>
        <w:t xml:space="preserve"> </w:t>
      </w:r>
      <w:r w:rsidR="00B06788" w:rsidRPr="0067048A">
        <w:rPr>
          <w:rFonts w:ascii="KFGQPC Uthmanic Script HAFS" w:cs="KFGQPC Uthmanic Script HAFS" w:hint="eastAsia"/>
          <w:sz w:val="28"/>
          <w:szCs w:val="28"/>
          <w:rtl/>
        </w:rPr>
        <w:t>عَلَي</w:t>
      </w:r>
      <w:r w:rsidR="00B06788" w:rsidRPr="0067048A">
        <w:rPr>
          <w:rFonts w:ascii="KFGQPC Uthmanic Script HAFS" w:cs="KFGQPC Uthmanic Script HAFS" w:hint="cs"/>
          <w:sz w:val="28"/>
          <w:szCs w:val="28"/>
          <w:rtl/>
        </w:rPr>
        <w:t>ۡ</w:t>
      </w:r>
      <w:r w:rsidR="00B06788" w:rsidRPr="0067048A">
        <w:rPr>
          <w:rFonts w:ascii="KFGQPC Uthmanic Script HAFS" w:cs="KFGQPC Uthmanic Script HAFS" w:hint="eastAsia"/>
          <w:sz w:val="28"/>
          <w:szCs w:val="28"/>
          <w:rtl/>
        </w:rPr>
        <w:t>كُم</w:t>
      </w:r>
      <w:r w:rsidR="00B06788" w:rsidRPr="0067048A">
        <w:rPr>
          <w:rFonts w:ascii="KFGQPC Uthmanic Script HAFS" w:cs="KFGQPC Uthmanic Script HAFS"/>
          <w:sz w:val="28"/>
          <w:szCs w:val="28"/>
          <w:rtl/>
        </w:rPr>
        <w:t xml:space="preserve"> </w:t>
      </w:r>
      <w:r w:rsidR="00B06788" w:rsidRPr="0067048A">
        <w:rPr>
          <w:rFonts w:ascii="KFGQPC Uthmanic Script HAFS" w:cs="KFGQPC Uthmanic Script HAFS" w:hint="eastAsia"/>
          <w:sz w:val="28"/>
          <w:szCs w:val="28"/>
          <w:rtl/>
        </w:rPr>
        <w:t>مَّي</w:t>
      </w:r>
      <w:r w:rsidR="00B06788" w:rsidRPr="0067048A">
        <w:rPr>
          <w:rFonts w:ascii="KFGQPC Uthmanic Script HAFS" w:cs="KFGQPC Uthmanic Script HAFS" w:hint="cs"/>
          <w:sz w:val="28"/>
          <w:szCs w:val="28"/>
          <w:rtl/>
        </w:rPr>
        <w:t>ۡ</w:t>
      </w:r>
      <w:r w:rsidR="00B06788" w:rsidRPr="0067048A">
        <w:rPr>
          <w:rFonts w:ascii="KFGQPC Uthmanic Script HAFS" w:cs="KFGQPC Uthmanic Script HAFS" w:hint="eastAsia"/>
          <w:sz w:val="28"/>
          <w:szCs w:val="28"/>
          <w:rtl/>
        </w:rPr>
        <w:t>لَة</w:t>
      </w:r>
      <w:r w:rsidR="00B06788" w:rsidRPr="0067048A">
        <w:rPr>
          <w:rFonts w:ascii="KFGQPC Uthmanic Script HAFS" w:cs="KFGQPC Uthmanic Script HAFS" w:hint="cs"/>
          <w:sz w:val="28"/>
          <w:szCs w:val="28"/>
          <w:rtl/>
        </w:rPr>
        <w:t>ٗ</w:t>
      </w:r>
      <w:r w:rsidR="00B06788" w:rsidRPr="0067048A">
        <w:rPr>
          <w:rFonts w:ascii="KFGQPC Uthmanic Script HAFS" w:cs="KFGQPC Uthmanic Script HAFS"/>
          <w:sz w:val="28"/>
          <w:szCs w:val="28"/>
          <w:rtl/>
        </w:rPr>
        <w:t xml:space="preserve"> </w:t>
      </w:r>
      <w:r w:rsidR="00B06788" w:rsidRPr="0067048A">
        <w:rPr>
          <w:rFonts w:ascii="KFGQPC Uthmanic Script HAFS" w:cs="KFGQPC Uthmanic Script HAFS" w:hint="eastAsia"/>
          <w:sz w:val="28"/>
          <w:szCs w:val="28"/>
          <w:rtl/>
        </w:rPr>
        <w:t>وَ</w:t>
      </w:r>
      <w:r w:rsidR="00B06788" w:rsidRPr="0067048A">
        <w:rPr>
          <w:rFonts w:ascii="KFGQPC Uthmanic Script HAFS" w:cs="KFGQPC Uthmanic Script HAFS" w:hint="cs"/>
          <w:sz w:val="28"/>
          <w:szCs w:val="28"/>
          <w:rtl/>
        </w:rPr>
        <w:t>ٰ</w:t>
      </w:r>
      <w:r w:rsidR="00B06788" w:rsidRPr="0067048A">
        <w:rPr>
          <w:rFonts w:ascii="KFGQPC Uthmanic Script HAFS" w:cs="KFGQPC Uthmanic Script HAFS" w:hint="eastAsia"/>
          <w:sz w:val="28"/>
          <w:szCs w:val="28"/>
          <w:rtl/>
        </w:rPr>
        <w:t>حِدَة</w:t>
      </w:r>
      <w:r w:rsidR="00B06788" w:rsidRPr="0067048A">
        <w:rPr>
          <w:rFonts w:ascii="KFGQPC Uthmanic Script HAFS" w:cs="KFGQPC Uthmanic Script HAFS" w:hint="cs"/>
          <w:sz w:val="28"/>
          <w:szCs w:val="28"/>
          <w:rtl/>
        </w:rPr>
        <w:t>ٗ</w:t>
      </w:r>
      <w:r w:rsidR="00B06788" w:rsidRPr="00995B26">
        <w:rPr>
          <w:rFonts w:cs="Traditional Arabic" w:hint="cs"/>
          <w:sz w:val="28"/>
          <w:rtl/>
        </w:rPr>
        <w:t>﴾</w:t>
      </w:r>
      <w:r w:rsidRPr="00995B26">
        <w:rPr>
          <w:sz w:val="28"/>
          <w:rtl/>
        </w:rPr>
        <w:t xml:space="preserve"> </w:t>
      </w:r>
      <w:r w:rsidRPr="003108CB">
        <w:rPr>
          <w:rStyle w:val="Char2"/>
          <w:rtl/>
        </w:rPr>
        <w:t>[النساء</w:t>
      </w:r>
      <w:r w:rsidR="00B06788" w:rsidRPr="003108CB">
        <w:rPr>
          <w:rStyle w:val="Char2"/>
          <w:rFonts w:hint="cs"/>
          <w:rtl/>
        </w:rPr>
        <w:t xml:space="preserve">: </w:t>
      </w:r>
      <w:r w:rsidRPr="003108CB">
        <w:rPr>
          <w:rStyle w:val="Char2"/>
          <w:rtl/>
        </w:rPr>
        <w:t>102]</w:t>
      </w:r>
      <w:r w:rsidR="00B06788" w:rsidRPr="00995B26">
        <w:rPr>
          <w:rFonts w:hint="cs"/>
          <w:sz w:val="28"/>
          <w:rtl/>
        </w:rPr>
        <w:t xml:space="preserve"> </w:t>
      </w:r>
      <w:r w:rsidR="00B06788" w:rsidRPr="00995B26">
        <w:rPr>
          <w:rFonts w:cs="Traditional Arabic" w:hint="cs"/>
          <w:sz w:val="28"/>
          <w:rtl/>
        </w:rPr>
        <w:t>﴿</w:t>
      </w:r>
      <w:r w:rsidR="00B06788" w:rsidRPr="0067048A">
        <w:rPr>
          <w:rFonts w:ascii="KFGQPC Uthmanic Script HAFS" w:cs="KFGQPC Uthmanic Script HAFS" w:hint="eastAsia"/>
          <w:sz w:val="28"/>
          <w:szCs w:val="28"/>
          <w:rtl/>
        </w:rPr>
        <w:t>رُّبَمَا</w:t>
      </w:r>
      <w:r w:rsidR="00B06788" w:rsidRPr="0067048A">
        <w:rPr>
          <w:rFonts w:ascii="KFGQPC Uthmanic Script HAFS" w:cs="KFGQPC Uthmanic Script HAFS"/>
          <w:sz w:val="28"/>
          <w:szCs w:val="28"/>
          <w:rtl/>
        </w:rPr>
        <w:t xml:space="preserve"> </w:t>
      </w:r>
      <w:r w:rsidR="00B06788" w:rsidRPr="0067048A">
        <w:rPr>
          <w:rFonts w:ascii="KFGQPC Uthmanic Script HAFS" w:cs="KFGQPC Uthmanic Script HAFS" w:hint="eastAsia"/>
          <w:sz w:val="28"/>
          <w:szCs w:val="28"/>
          <w:rtl/>
        </w:rPr>
        <w:t>يَوَدُّ</w:t>
      </w:r>
      <w:r w:rsidR="00B06788" w:rsidRPr="0067048A">
        <w:rPr>
          <w:rFonts w:ascii="KFGQPC Uthmanic Script HAFS" w:cs="KFGQPC Uthmanic Script HAFS"/>
          <w:sz w:val="28"/>
          <w:szCs w:val="28"/>
          <w:rtl/>
        </w:rPr>
        <w:t xml:space="preserve"> </w:t>
      </w:r>
      <w:r w:rsidR="00B06788" w:rsidRPr="0067048A">
        <w:rPr>
          <w:rFonts w:ascii="KFGQPC Uthmanic Script HAFS" w:cs="KFGQPC Uthmanic Script HAFS" w:hint="cs"/>
          <w:sz w:val="28"/>
          <w:szCs w:val="28"/>
          <w:rtl/>
        </w:rPr>
        <w:t>ٱ</w:t>
      </w:r>
      <w:r w:rsidR="00B06788" w:rsidRPr="0067048A">
        <w:rPr>
          <w:rFonts w:ascii="KFGQPC Uthmanic Script HAFS" w:cs="KFGQPC Uthmanic Script HAFS" w:hint="eastAsia"/>
          <w:sz w:val="28"/>
          <w:szCs w:val="28"/>
          <w:rtl/>
        </w:rPr>
        <w:t>لَّذِينَ</w:t>
      </w:r>
      <w:r w:rsidR="00B06788" w:rsidRPr="0067048A">
        <w:rPr>
          <w:rFonts w:ascii="KFGQPC Uthmanic Script HAFS" w:cs="KFGQPC Uthmanic Script HAFS"/>
          <w:sz w:val="28"/>
          <w:szCs w:val="28"/>
          <w:rtl/>
        </w:rPr>
        <w:t xml:space="preserve"> </w:t>
      </w:r>
      <w:r w:rsidR="00B06788" w:rsidRPr="0067048A">
        <w:rPr>
          <w:rFonts w:ascii="KFGQPC Uthmanic Script HAFS" w:cs="KFGQPC Uthmanic Script HAFS" w:hint="eastAsia"/>
          <w:sz w:val="28"/>
          <w:szCs w:val="28"/>
          <w:rtl/>
        </w:rPr>
        <w:t>كَفَرُواْ</w:t>
      </w:r>
      <w:r w:rsidR="00B06788" w:rsidRPr="0067048A">
        <w:rPr>
          <w:rFonts w:ascii="KFGQPC Uthmanic Script HAFS" w:cs="KFGQPC Uthmanic Script HAFS"/>
          <w:sz w:val="28"/>
          <w:szCs w:val="28"/>
          <w:rtl/>
        </w:rPr>
        <w:t xml:space="preserve"> </w:t>
      </w:r>
      <w:r w:rsidR="00B06788" w:rsidRPr="0067048A">
        <w:rPr>
          <w:rFonts w:ascii="KFGQPC Uthmanic Script HAFS" w:cs="KFGQPC Uthmanic Script HAFS" w:hint="eastAsia"/>
          <w:sz w:val="28"/>
          <w:szCs w:val="28"/>
          <w:rtl/>
        </w:rPr>
        <w:t>لَو</w:t>
      </w:r>
      <w:r w:rsidR="00B06788" w:rsidRPr="0067048A">
        <w:rPr>
          <w:rFonts w:ascii="KFGQPC Uthmanic Script HAFS" w:cs="KFGQPC Uthmanic Script HAFS" w:hint="cs"/>
          <w:sz w:val="28"/>
          <w:szCs w:val="28"/>
          <w:rtl/>
        </w:rPr>
        <w:t>ۡ</w:t>
      </w:r>
      <w:r w:rsidR="00B06788" w:rsidRPr="0067048A">
        <w:rPr>
          <w:rFonts w:ascii="KFGQPC Uthmanic Script HAFS" w:cs="KFGQPC Uthmanic Script HAFS"/>
          <w:sz w:val="28"/>
          <w:szCs w:val="28"/>
          <w:rtl/>
        </w:rPr>
        <w:t xml:space="preserve"> </w:t>
      </w:r>
      <w:r w:rsidR="00B06788" w:rsidRPr="0067048A">
        <w:rPr>
          <w:rFonts w:ascii="KFGQPC Uthmanic Script HAFS" w:cs="KFGQPC Uthmanic Script HAFS" w:hint="eastAsia"/>
          <w:sz w:val="28"/>
          <w:szCs w:val="28"/>
          <w:rtl/>
        </w:rPr>
        <w:t>كَانُواْ</w:t>
      </w:r>
      <w:r w:rsidR="00B06788" w:rsidRPr="0067048A">
        <w:rPr>
          <w:rFonts w:ascii="KFGQPC Uthmanic Script HAFS" w:cs="KFGQPC Uthmanic Script HAFS"/>
          <w:sz w:val="28"/>
          <w:szCs w:val="28"/>
          <w:rtl/>
        </w:rPr>
        <w:t xml:space="preserve"> </w:t>
      </w:r>
      <w:r w:rsidR="00B06788" w:rsidRPr="0067048A">
        <w:rPr>
          <w:rFonts w:ascii="KFGQPC Uthmanic Script HAFS" w:cs="KFGQPC Uthmanic Script HAFS" w:hint="eastAsia"/>
          <w:sz w:val="28"/>
          <w:szCs w:val="28"/>
          <w:rtl/>
        </w:rPr>
        <w:t>مُس</w:t>
      </w:r>
      <w:r w:rsidR="00B06788" w:rsidRPr="0067048A">
        <w:rPr>
          <w:rFonts w:ascii="KFGQPC Uthmanic Script HAFS" w:cs="KFGQPC Uthmanic Script HAFS" w:hint="cs"/>
          <w:sz w:val="28"/>
          <w:szCs w:val="28"/>
          <w:rtl/>
        </w:rPr>
        <w:t>ۡ</w:t>
      </w:r>
      <w:r w:rsidR="00B06788" w:rsidRPr="0067048A">
        <w:rPr>
          <w:rFonts w:ascii="KFGQPC Uthmanic Script HAFS" w:cs="KFGQPC Uthmanic Script HAFS" w:hint="eastAsia"/>
          <w:sz w:val="28"/>
          <w:szCs w:val="28"/>
          <w:rtl/>
        </w:rPr>
        <w:t>لِمِينَ</w:t>
      </w:r>
      <w:r w:rsidR="00B06788" w:rsidRPr="0067048A">
        <w:rPr>
          <w:rFonts w:ascii="KFGQPC Uthmanic Script HAFS" w:cs="KFGQPC Uthmanic Script HAFS"/>
          <w:sz w:val="28"/>
          <w:szCs w:val="28"/>
          <w:rtl/>
        </w:rPr>
        <w:t xml:space="preserve"> </w:t>
      </w:r>
      <w:r w:rsidR="00B06788" w:rsidRPr="0067048A">
        <w:rPr>
          <w:rFonts w:ascii="KFGQPC Uthmanic Script HAFS" w:cs="KFGQPC Uthmanic Script HAFS" w:hint="cs"/>
          <w:sz w:val="28"/>
          <w:szCs w:val="28"/>
          <w:rtl/>
        </w:rPr>
        <w:t>٢</w:t>
      </w:r>
      <w:r w:rsidR="00B06788" w:rsidRPr="00995B26">
        <w:rPr>
          <w:rFonts w:cs="Traditional Arabic" w:hint="cs"/>
          <w:sz w:val="28"/>
          <w:rtl/>
        </w:rPr>
        <w:t>﴾</w:t>
      </w:r>
      <w:r w:rsidR="009E3C80" w:rsidRPr="00995B26">
        <w:rPr>
          <w:rFonts w:hint="cs"/>
          <w:sz w:val="28"/>
          <w:rtl/>
        </w:rPr>
        <w:t xml:space="preserve"> </w:t>
      </w:r>
      <w:r w:rsidRPr="003108CB">
        <w:rPr>
          <w:rStyle w:val="Char2"/>
          <w:rtl/>
        </w:rPr>
        <w:t>[الحجر</w:t>
      </w:r>
      <w:r w:rsidR="00B06788" w:rsidRPr="003108CB">
        <w:rPr>
          <w:rStyle w:val="Char2"/>
          <w:rFonts w:hint="cs"/>
          <w:rtl/>
        </w:rPr>
        <w:t xml:space="preserve">: </w:t>
      </w:r>
      <w:r w:rsidRPr="003108CB">
        <w:rPr>
          <w:rStyle w:val="Char2"/>
          <w:rtl/>
        </w:rPr>
        <w:t>2]</w:t>
      </w:r>
      <w:r w:rsidR="00B06788" w:rsidRPr="00995B26">
        <w:rPr>
          <w:rFonts w:hint="cs"/>
          <w:sz w:val="28"/>
          <w:rtl/>
        </w:rPr>
        <w:t xml:space="preserve"> </w:t>
      </w:r>
      <w:r w:rsidR="00B06788" w:rsidRPr="00995B26">
        <w:rPr>
          <w:rFonts w:cs="Traditional Arabic" w:hint="cs"/>
          <w:sz w:val="28"/>
          <w:rtl/>
        </w:rPr>
        <w:t>﴿</w:t>
      </w:r>
      <w:r w:rsidR="00B06788" w:rsidRPr="0067048A">
        <w:rPr>
          <w:rFonts w:ascii="KFGQPC Uthmanic Script HAFS" w:cs="KFGQPC Uthmanic Script HAFS" w:hint="eastAsia"/>
          <w:sz w:val="28"/>
          <w:szCs w:val="28"/>
          <w:rtl/>
        </w:rPr>
        <w:t>وَدَّت</w:t>
      </w:r>
      <w:r w:rsidR="00B06788" w:rsidRPr="0067048A">
        <w:rPr>
          <w:rFonts w:ascii="KFGQPC Uthmanic Script HAFS" w:cs="KFGQPC Uthmanic Script HAFS"/>
          <w:sz w:val="28"/>
          <w:szCs w:val="28"/>
          <w:rtl/>
        </w:rPr>
        <w:t xml:space="preserve"> </w:t>
      </w:r>
      <w:r w:rsidR="00B06788" w:rsidRPr="0067048A">
        <w:rPr>
          <w:rFonts w:ascii="KFGQPC Uthmanic Script HAFS" w:cs="KFGQPC Uthmanic Script HAFS" w:hint="eastAsia"/>
          <w:sz w:val="28"/>
          <w:szCs w:val="28"/>
          <w:rtl/>
        </w:rPr>
        <w:t>طَّا</w:t>
      </w:r>
      <w:r w:rsidR="00B06788" w:rsidRPr="0067048A">
        <w:rPr>
          <w:rFonts w:ascii="KFGQPC Uthmanic Script HAFS" w:cs="KFGQPC Uthmanic Script HAFS" w:hint="cs"/>
          <w:sz w:val="28"/>
          <w:szCs w:val="28"/>
          <w:rtl/>
        </w:rPr>
        <w:t>ٓ</w:t>
      </w:r>
      <w:r w:rsidR="00B06788" w:rsidRPr="0067048A">
        <w:rPr>
          <w:rFonts w:ascii="KFGQPC Uthmanic Script HAFS" w:cs="KFGQPC Uthmanic Script HAFS" w:hint="eastAsia"/>
          <w:sz w:val="28"/>
          <w:szCs w:val="28"/>
          <w:rtl/>
        </w:rPr>
        <w:t>ئِفَة</w:t>
      </w:r>
      <w:r w:rsidR="00B06788" w:rsidRPr="0067048A">
        <w:rPr>
          <w:rFonts w:ascii="KFGQPC Uthmanic Script HAFS" w:cs="KFGQPC Uthmanic Script HAFS" w:hint="cs"/>
          <w:sz w:val="28"/>
          <w:szCs w:val="28"/>
          <w:rtl/>
        </w:rPr>
        <w:t>ٞ</w:t>
      </w:r>
      <w:r w:rsidR="00B06788" w:rsidRPr="0067048A">
        <w:rPr>
          <w:rFonts w:ascii="KFGQPC Uthmanic Script HAFS" w:cs="KFGQPC Uthmanic Script HAFS"/>
          <w:sz w:val="28"/>
          <w:szCs w:val="28"/>
          <w:rtl/>
        </w:rPr>
        <w:t xml:space="preserve"> </w:t>
      </w:r>
      <w:r w:rsidR="00B06788" w:rsidRPr="0067048A">
        <w:rPr>
          <w:rFonts w:ascii="KFGQPC Uthmanic Script HAFS" w:cs="KFGQPC Uthmanic Script HAFS" w:hint="eastAsia"/>
          <w:sz w:val="28"/>
          <w:szCs w:val="28"/>
          <w:rtl/>
        </w:rPr>
        <w:t>مِّن</w:t>
      </w:r>
      <w:r w:rsidR="00B06788" w:rsidRPr="0067048A">
        <w:rPr>
          <w:rFonts w:ascii="KFGQPC Uthmanic Script HAFS" w:cs="KFGQPC Uthmanic Script HAFS" w:hint="cs"/>
          <w:sz w:val="28"/>
          <w:szCs w:val="28"/>
          <w:rtl/>
        </w:rPr>
        <w:t>ۡ</w:t>
      </w:r>
      <w:r w:rsidR="00B06788" w:rsidRPr="0067048A">
        <w:rPr>
          <w:rFonts w:ascii="KFGQPC Uthmanic Script HAFS" w:cs="KFGQPC Uthmanic Script HAFS"/>
          <w:sz w:val="28"/>
          <w:szCs w:val="28"/>
          <w:rtl/>
        </w:rPr>
        <w:t xml:space="preserve"> </w:t>
      </w:r>
      <w:r w:rsidR="00B06788" w:rsidRPr="0067048A">
        <w:rPr>
          <w:rFonts w:ascii="KFGQPC Uthmanic Script HAFS" w:cs="KFGQPC Uthmanic Script HAFS" w:hint="eastAsia"/>
          <w:sz w:val="28"/>
          <w:szCs w:val="28"/>
          <w:rtl/>
        </w:rPr>
        <w:t>أَه</w:t>
      </w:r>
      <w:r w:rsidR="00B06788" w:rsidRPr="0067048A">
        <w:rPr>
          <w:rFonts w:ascii="KFGQPC Uthmanic Script HAFS" w:cs="KFGQPC Uthmanic Script HAFS" w:hint="cs"/>
          <w:sz w:val="28"/>
          <w:szCs w:val="28"/>
          <w:rtl/>
        </w:rPr>
        <w:t>ۡ</w:t>
      </w:r>
      <w:r w:rsidR="00B06788" w:rsidRPr="0067048A">
        <w:rPr>
          <w:rFonts w:ascii="KFGQPC Uthmanic Script HAFS" w:cs="KFGQPC Uthmanic Script HAFS" w:hint="eastAsia"/>
          <w:sz w:val="28"/>
          <w:szCs w:val="28"/>
          <w:rtl/>
        </w:rPr>
        <w:t>لِ</w:t>
      </w:r>
      <w:r w:rsidR="00B06788" w:rsidRPr="0067048A">
        <w:rPr>
          <w:rFonts w:ascii="KFGQPC Uthmanic Script HAFS" w:cs="KFGQPC Uthmanic Script HAFS"/>
          <w:sz w:val="28"/>
          <w:szCs w:val="28"/>
          <w:rtl/>
        </w:rPr>
        <w:t xml:space="preserve"> </w:t>
      </w:r>
      <w:r w:rsidR="00B06788" w:rsidRPr="0067048A">
        <w:rPr>
          <w:rFonts w:ascii="KFGQPC Uthmanic Script HAFS" w:cs="KFGQPC Uthmanic Script HAFS" w:hint="cs"/>
          <w:sz w:val="28"/>
          <w:szCs w:val="28"/>
          <w:rtl/>
        </w:rPr>
        <w:t>ٱ</w:t>
      </w:r>
      <w:r w:rsidR="00B06788" w:rsidRPr="0067048A">
        <w:rPr>
          <w:rFonts w:ascii="KFGQPC Uthmanic Script HAFS" w:cs="KFGQPC Uthmanic Script HAFS" w:hint="eastAsia"/>
          <w:sz w:val="28"/>
          <w:szCs w:val="28"/>
          <w:rtl/>
        </w:rPr>
        <w:t>ل</w:t>
      </w:r>
      <w:r w:rsidR="00B06788" w:rsidRPr="0067048A">
        <w:rPr>
          <w:rFonts w:ascii="KFGQPC Uthmanic Script HAFS" w:cs="KFGQPC Uthmanic Script HAFS" w:hint="cs"/>
          <w:sz w:val="28"/>
          <w:szCs w:val="28"/>
          <w:rtl/>
        </w:rPr>
        <w:t>ۡ</w:t>
      </w:r>
      <w:r w:rsidR="00B06788" w:rsidRPr="0067048A">
        <w:rPr>
          <w:rFonts w:ascii="KFGQPC Uthmanic Script HAFS" w:cs="KFGQPC Uthmanic Script HAFS" w:hint="eastAsia"/>
          <w:sz w:val="28"/>
          <w:szCs w:val="28"/>
          <w:rtl/>
        </w:rPr>
        <w:t>كِتَ</w:t>
      </w:r>
      <w:r w:rsidR="00B06788" w:rsidRPr="0067048A">
        <w:rPr>
          <w:rFonts w:ascii="KFGQPC Uthmanic Script HAFS" w:cs="KFGQPC Uthmanic Script HAFS" w:hint="cs"/>
          <w:sz w:val="28"/>
          <w:szCs w:val="28"/>
          <w:rtl/>
        </w:rPr>
        <w:t>ٰ</w:t>
      </w:r>
      <w:r w:rsidR="00B06788" w:rsidRPr="0067048A">
        <w:rPr>
          <w:rFonts w:ascii="KFGQPC Uthmanic Script HAFS" w:cs="KFGQPC Uthmanic Script HAFS" w:hint="eastAsia"/>
          <w:sz w:val="28"/>
          <w:szCs w:val="28"/>
          <w:rtl/>
        </w:rPr>
        <w:t>بِ</w:t>
      </w:r>
      <w:r w:rsidR="00B06788" w:rsidRPr="0067048A">
        <w:rPr>
          <w:rFonts w:ascii="KFGQPC Uthmanic Script HAFS" w:cs="KFGQPC Uthmanic Script HAFS"/>
          <w:sz w:val="28"/>
          <w:szCs w:val="28"/>
          <w:rtl/>
        </w:rPr>
        <w:t xml:space="preserve"> </w:t>
      </w:r>
      <w:r w:rsidR="00B06788" w:rsidRPr="0067048A">
        <w:rPr>
          <w:rFonts w:ascii="KFGQPC Uthmanic Script HAFS" w:cs="KFGQPC Uthmanic Script HAFS" w:hint="eastAsia"/>
          <w:sz w:val="28"/>
          <w:szCs w:val="28"/>
          <w:rtl/>
        </w:rPr>
        <w:t>لَو</w:t>
      </w:r>
      <w:r w:rsidR="00B06788" w:rsidRPr="0067048A">
        <w:rPr>
          <w:rFonts w:ascii="KFGQPC Uthmanic Script HAFS" w:cs="KFGQPC Uthmanic Script HAFS" w:hint="cs"/>
          <w:sz w:val="28"/>
          <w:szCs w:val="28"/>
          <w:rtl/>
        </w:rPr>
        <w:t>ۡ</w:t>
      </w:r>
      <w:r w:rsidR="00B06788" w:rsidRPr="0067048A">
        <w:rPr>
          <w:rFonts w:ascii="KFGQPC Uthmanic Script HAFS" w:cs="KFGQPC Uthmanic Script HAFS"/>
          <w:sz w:val="28"/>
          <w:szCs w:val="28"/>
          <w:rtl/>
        </w:rPr>
        <w:t xml:space="preserve"> </w:t>
      </w:r>
      <w:r w:rsidR="00B06788" w:rsidRPr="0067048A">
        <w:rPr>
          <w:rFonts w:ascii="KFGQPC Uthmanic Script HAFS" w:cs="KFGQPC Uthmanic Script HAFS" w:hint="eastAsia"/>
          <w:sz w:val="28"/>
          <w:szCs w:val="28"/>
          <w:rtl/>
        </w:rPr>
        <w:t>يُضِلُّونَكُم</w:t>
      </w:r>
      <w:r w:rsidR="00B06788" w:rsidRPr="0067048A">
        <w:rPr>
          <w:rFonts w:ascii="KFGQPC Uthmanic Script HAFS" w:cs="KFGQPC Uthmanic Script HAFS" w:hint="cs"/>
          <w:sz w:val="28"/>
          <w:szCs w:val="28"/>
          <w:rtl/>
        </w:rPr>
        <w:t>ۡ</w:t>
      </w:r>
      <w:r w:rsidR="00B06788" w:rsidRPr="00995B26">
        <w:rPr>
          <w:rFonts w:cs="Traditional Arabic" w:hint="cs"/>
          <w:sz w:val="28"/>
          <w:rtl/>
        </w:rPr>
        <w:t>﴾</w:t>
      </w:r>
      <w:r w:rsidRPr="00995B26">
        <w:rPr>
          <w:sz w:val="28"/>
          <w:rtl/>
        </w:rPr>
        <w:t xml:space="preserve"> </w:t>
      </w:r>
      <w:r w:rsidRPr="003108CB">
        <w:rPr>
          <w:rStyle w:val="Char2"/>
          <w:rtl/>
        </w:rPr>
        <w:t>[آل عمران</w:t>
      </w:r>
      <w:r w:rsidR="00B06788" w:rsidRPr="003108CB">
        <w:rPr>
          <w:rStyle w:val="Char2"/>
          <w:rFonts w:hint="cs"/>
          <w:rtl/>
        </w:rPr>
        <w:t xml:space="preserve">: </w:t>
      </w:r>
      <w:r w:rsidRPr="003108CB">
        <w:rPr>
          <w:rStyle w:val="Char2"/>
          <w:rtl/>
        </w:rPr>
        <w:t>69]</w:t>
      </w:r>
      <w:r w:rsidR="00B06788" w:rsidRPr="00995B26">
        <w:rPr>
          <w:rFonts w:hint="cs"/>
          <w:sz w:val="28"/>
          <w:rtl/>
        </w:rPr>
        <w:t xml:space="preserve"> </w:t>
      </w:r>
      <w:r w:rsidR="00B06788" w:rsidRPr="00995B26">
        <w:rPr>
          <w:rFonts w:cs="Traditional Arabic" w:hint="cs"/>
          <w:sz w:val="28"/>
          <w:rtl/>
        </w:rPr>
        <w:t>﴿</w:t>
      </w:r>
      <w:r w:rsidR="00B06788" w:rsidRPr="0067048A">
        <w:rPr>
          <w:rFonts w:ascii="KFGQPC Uthmanic Script HAFS" w:cs="KFGQPC Uthmanic Script HAFS" w:hint="eastAsia"/>
          <w:sz w:val="28"/>
          <w:szCs w:val="28"/>
          <w:rtl/>
        </w:rPr>
        <w:t>يُبَصَّرُونَهُم</w:t>
      </w:r>
      <w:r w:rsidR="00B06788" w:rsidRPr="0067048A">
        <w:rPr>
          <w:rFonts w:ascii="KFGQPC Uthmanic Script HAFS" w:cs="KFGQPC Uthmanic Script HAFS" w:hint="cs"/>
          <w:sz w:val="28"/>
          <w:szCs w:val="28"/>
          <w:rtl/>
        </w:rPr>
        <w:t>ۡۚ</w:t>
      </w:r>
      <w:r w:rsidR="00B06788" w:rsidRPr="0067048A">
        <w:rPr>
          <w:rFonts w:ascii="KFGQPC Uthmanic Script HAFS" w:cs="KFGQPC Uthmanic Script HAFS"/>
          <w:sz w:val="28"/>
          <w:szCs w:val="28"/>
          <w:rtl/>
        </w:rPr>
        <w:t xml:space="preserve"> </w:t>
      </w:r>
      <w:r w:rsidR="00B06788" w:rsidRPr="0067048A">
        <w:rPr>
          <w:rFonts w:ascii="KFGQPC Uthmanic Script HAFS" w:cs="KFGQPC Uthmanic Script HAFS" w:hint="eastAsia"/>
          <w:sz w:val="28"/>
          <w:szCs w:val="28"/>
          <w:rtl/>
        </w:rPr>
        <w:t>يَوَدُّ</w:t>
      </w:r>
      <w:r w:rsidR="00B06788" w:rsidRPr="0067048A">
        <w:rPr>
          <w:rFonts w:ascii="KFGQPC Uthmanic Script HAFS" w:cs="KFGQPC Uthmanic Script HAFS"/>
          <w:sz w:val="28"/>
          <w:szCs w:val="28"/>
          <w:rtl/>
        </w:rPr>
        <w:t xml:space="preserve"> </w:t>
      </w:r>
      <w:r w:rsidR="00B06788" w:rsidRPr="0067048A">
        <w:rPr>
          <w:rFonts w:ascii="KFGQPC Uthmanic Script HAFS" w:cs="KFGQPC Uthmanic Script HAFS" w:hint="cs"/>
          <w:sz w:val="28"/>
          <w:szCs w:val="28"/>
          <w:rtl/>
        </w:rPr>
        <w:t>ٱ</w:t>
      </w:r>
      <w:r w:rsidR="00B06788" w:rsidRPr="0067048A">
        <w:rPr>
          <w:rFonts w:ascii="KFGQPC Uthmanic Script HAFS" w:cs="KFGQPC Uthmanic Script HAFS" w:hint="eastAsia"/>
          <w:sz w:val="28"/>
          <w:szCs w:val="28"/>
          <w:rtl/>
        </w:rPr>
        <w:t>ل</w:t>
      </w:r>
      <w:r w:rsidR="00B06788" w:rsidRPr="0067048A">
        <w:rPr>
          <w:rFonts w:ascii="KFGQPC Uthmanic Script HAFS" w:cs="KFGQPC Uthmanic Script HAFS" w:hint="cs"/>
          <w:sz w:val="28"/>
          <w:szCs w:val="28"/>
          <w:rtl/>
        </w:rPr>
        <w:t>ۡ</w:t>
      </w:r>
      <w:r w:rsidR="00B06788" w:rsidRPr="0067048A">
        <w:rPr>
          <w:rFonts w:ascii="KFGQPC Uthmanic Script HAFS" w:cs="KFGQPC Uthmanic Script HAFS" w:hint="eastAsia"/>
          <w:sz w:val="28"/>
          <w:szCs w:val="28"/>
          <w:rtl/>
        </w:rPr>
        <w:t>مُج</w:t>
      </w:r>
      <w:r w:rsidR="00B06788" w:rsidRPr="0067048A">
        <w:rPr>
          <w:rFonts w:ascii="KFGQPC Uthmanic Script HAFS" w:cs="KFGQPC Uthmanic Script HAFS" w:hint="cs"/>
          <w:sz w:val="28"/>
          <w:szCs w:val="28"/>
          <w:rtl/>
        </w:rPr>
        <w:t>ۡ</w:t>
      </w:r>
      <w:r w:rsidR="00B06788" w:rsidRPr="0067048A">
        <w:rPr>
          <w:rFonts w:ascii="KFGQPC Uthmanic Script HAFS" w:cs="KFGQPC Uthmanic Script HAFS" w:hint="eastAsia"/>
          <w:sz w:val="28"/>
          <w:szCs w:val="28"/>
          <w:rtl/>
        </w:rPr>
        <w:t>رِمُ</w:t>
      </w:r>
      <w:r w:rsidR="00B06788" w:rsidRPr="0067048A">
        <w:rPr>
          <w:rFonts w:ascii="KFGQPC Uthmanic Script HAFS" w:cs="KFGQPC Uthmanic Script HAFS"/>
          <w:sz w:val="28"/>
          <w:szCs w:val="28"/>
          <w:rtl/>
        </w:rPr>
        <w:t xml:space="preserve"> </w:t>
      </w:r>
      <w:r w:rsidR="00B06788" w:rsidRPr="0067048A">
        <w:rPr>
          <w:rFonts w:ascii="KFGQPC Uthmanic Script HAFS" w:cs="KFGQPC Uthmanic Script HAFS" w:hint="eastAsia"/>
          <w:sz w:val="28"/>
          <w:szCs w:val="28"/>
          <w:rtl/>
        </w:rPr>
        <w:t>لَو</w:t>
      </w:r>
      <w:r w:rsidR="00B06788" w:rsidRPr="0067048A">
        <w:rPr>
          <w:rFonts w:ascii="KFGQPC Uthmanic Script HAFS" w:cs="KFGQPC Uthmanic Script HAFS" w:hint="cs"/>
          <w:sz w:val="28"/>
          <w:szCs w:val="28"/>
          <w:rtl/>
        </w:rPr>
        <w:t>ۡ</w:t>
      </w:r>
      <w:r w:rsidR="00B06788" w:rsidRPr="0067048A">
        <w:rPr>
          <w:rFonts w:ascii="KFGQPC Uthmanic Script HAFS" w:cs="KFGQPC Uthmanic Script HAFS"/>
          <w:sz w:val="28"/>
          <w:szCs w:val="28"/>
          <w:rtl/>
        </w:rPr>
        <w:t xml:space="preserve"> </w:t>
      </w:r>
      <w:r w:rsidR="00B06788" w:rsidRPr="0067048A">
        <w:rPr>
          <w:rFonts w:ascii="KFGQPC Uthmanic Script HAFS" w:cs="KFGQPC Uthmanic Script HAFS" w:hint="eastAsia"/>
          <w:sz w:val="28"/>
          <w:szCs w:val="28"/>
          <w:rtl/>
        </w:rPr>
        <w:t>يَف</w:t>
      </w:r>
      <w:r w:rsidR="00B06788" w:rsidRPr="0067048A">
        <w:rPr>
          <w:rFonts w:ascii="KFGQPC Uthmanic Script HAFS" w:cs="KFGQPC Uthmanic Script HAFS" w:hint="cs"/>
          <w:sz w:val="28"/>
          <w:szCs w:val="28"/>
          <w:rtl/>
        </w:rPr>
        <w:t>ۡ</w:t>
      </w:r>
      <w:r w:rsidR="00B06788" w:rsidRPr="0067048A">
        <w:rPr>
          <w:rFonts w:ascii="KFGQPC Uthmanic Script HAFS" w:cs="KFGQPC Uthmanic Script HAFS" w:hint="eastAsia"/>
          <w:sz w:val="28"/>
          <w:szCs w:val="28"/>
          <w:rtl/>
        </w:rPr>
        <w:t>تَدِي</w:t>
      </w:r>
      <w:r w:rsidR="00B06788" w:rsidRPr="0067048A">
        <w:rPr>
          <w:rFonts w:ascii="KFGQPC Uthmanic Script HAFS" w:cs="KFGQPC Uthmanic Script HAFS"/>
          <w:sz w:val="28"/>
          <w:szCs w:val="28"/>
          <w:rtl/>
        </w:rPr>
        <w:t xml:space="preserve"> </w:t>
      </w:r>
      <w:r w:rsidR="00B06788" w:rsidRPr="0067048A">
        <w:rPr>
          <w:rFonts w:ascii="KFGQPC Uthmanic Script HAFS" w:cs="KFGQPC Uthmanic Script HAFS" w:hint="eastAsia"/>
          <w:sz w:val="28"/>
          <w:szCs w:val="28"/>
          <w:rtl/>
        </w:rPr>
        <w:t>مِن</w:t>
      </w:r>
      <w:r w:rsidR="00B06788" w:rsidRPr="0067048A">
        <w:rPr>
          <w:rFonts w:ascii="KFGQPC Uthmanic Script HAFS" w:cs="KFGQPC Uthmanic Script HAFS" w:hint="cs"/>
          <w:sz w:val="28"/>
          <w:szCs w:val="28"/>
          <w:rtl/>
        </w:rPr>
        <w:t>ۡ</w:t>
      </w:r>
      <w:r w:rsidR="00B06788" w:rsidRPr="0067048A">
        <w:rPr>
          <w:rFonts w:ascii="KFGQPC Uthmanic Script HAFS" w:cs="KFGQPC Uthmanic Script HAFS"/>
          <w:sz w:val="28"/>
          <w:szCs w:val="28"/>
          <w:rtl/>
        </w:rPr>
        <w:t xml:space="preserve"> </w:t>
      </w:r>
      <w:r w:rsidR="00B06788" w:rsidRPr="0067048A">
        <w:rPr>
          <w:rFonts w:ascii="KFGQPC Uthmanic Script HAFS" w:cs="KFGQPC Uthmanic Script HAFS" w:hint="eastAsia"/>
          <w:sz w:val="28"/>
          <w:szCs w:val="28"/>
          <w:rtl/>
        </w:rPr>
        <w:t>عَذَابِ</w:t>
      </w:r>
      <w:r w:rsidR="00B06788" w:rsidRPr="0067048A">
        <w:rPr>
          <w:rFonts w:ascii="KFGQPC Uthmanic Script HAFS" w:cs="KFGQPC Uthmanic Script HAFS"/>
          <w:sz w:val="28"/>
          <w:szCs w:val="28"/>
          <w:rtl/>
        </w:rPr>
        <w:t xml:space="preserve"> </w:t>
      </w:r>
      <w:r w:rsidR="00B06788" w:rsidRPr="0067048A">
        <w:rPr>
          <w:rFonts w:ascii="KFGQPC Uthmanic Script HAFS" w:cs="KFGQPC Uthmanic Script HAFS" w:hint="eastAsia"/>
          <w:sz w:val="28"/>
          <w:szCs w:val="28"/>
          <w:rtl/>
        </w:rPr>
        <w:t>يَو</w:t>
      </w:r>
      <w:r w:rsidR="00B06788" w:rsidRPr="0067048A">
        <w:rPr>
          <w:rFonts w:ascii="KFGQPC Uthmanic Script HAFS" w:cs="KFGQPC Uthmanic Script HAFS" w:hint="cs"/>
          <w:sz w:val="28"/>
          <w:szCs w:val="28"/>
          <w:rtl/>
        </w:rPr>
        <w:t>ۡ</w:t>
      </w:r>
      <w:r w:rsidR="00B06788" w:rsidRPr="0067048A">
        <w:rPr>
          <w:rFonts w:ascii="KFGQPC Uthmanic Script HAFS" w:cs="KFGQPC Uthmanic Script HAFS" w:hint="eastAsia"/>
          <w:sz w:val="28"/>
          <w:szCs w:val="28"/>
          <w:rtl/>
        </w:rPr>
        <w:t>مِئِذِ</w:t>
      </w:r>
      <w:r w:rsidR="00B06788" w:rsidRPr="0067048A">
        <w:rPr>
          <w:rFonts w:ascii="KFGQPC Uthmanic Script HAFS" w:cs="KFGQPC Uthmanic Script HAFS" w:hint="cs"/>
          <w:sz w:val="28"/>
          <w:szCs w:val="28"/>
          <w:rtl/>
        </w:rPr>
        <w:t>ۢ</w:t>
      </w:r>
      <w:r w:rsidR="00B06788" w:rsidRPr="0067048A">
        <w:rPr>
          <w:rFonts w:ascii="KFGQPC Uthmanic Script HAFS" w:cs="KFGQPC Uthmanic Script HAFS"/>
          <w:sz w:val="28"/>
          <w:szCs w:val="28"/>
          <w:rtl/>
        </w:rPr>
        <w:t xml:space="preserve"> </w:t>
      </w:r>
      <w:r w:rsidR="00B06788" w:rsidRPr="0067048A">
        <w:rPr>
          <w:rFonts w:ascii="KFGQPC Uthmanic Script HAFS" w:cs="KFGQPC Uthmanic Script HAFS" w:hint="eastAsia"/>
          <w:sz w:val="28"/>
          <w:szCs w:val="28"/>
          <w:rtl/>
        </w:rPr>
        <w:t>بِبَنِيهِ</w:t>
      </w:r>
      <w:r w:rsidR="00B06788" w:rsidRPr="0067048A">
        <w:rPr>
          <w:rFonts w:ascii="KFGQPC Uthmanic Script HAFS" w:cs="KFGQPC Uthmanic Script HAFS"/>
          <w:sz w:val="28"/>
          <w:szCs w:val="28"/>
          <w:rtl/>
        </w:rPr>
        <w:t xml:space="preserve"> </w:t>
      </w:r>
      <w:r w:rsidR="00B06788" w:rsidRPr="0067048A">
        <w:rPr>
          <w:rFonts w:ascii="KFGQPC Uthmanic Script HAFS" w:cs="KFGQPC Uthmanic Script HAFS" w:hint="cs"/>
          <w:sz w:val="28"/>
          <w:szCs w:val="28"/>
          <w:rtl/>
        </w:rPr>
        <w:t>١١</w:t>
      </w:r>
      <w:r w:rsidR="00B06788" w:rsidRPr="00995B26">
        <w:rPr>
          <w:rFonts w:cs="Traditional Arabic" w:hint="cs"/>
          <w:sz w:val="28"/>
          <w:rtl/>
        </w:rPr>
        <w:t>﴾</w:t>
      </w:r>
      <w:r w:rsidR="009E3C80" w:rsidRPr="00995B26">
        <w:rPr>
          <w:rFonts w:hint="cs"/>
          <w:sz w:val="28"/>
          <w:rtl/>
        </w:rPr>
        <w:t xml:space="preserve"> </w:t>
      </w:r>
      <w:r w:rsidRPr="003108CB">
        <w:rPr>
          <w:rStyle w:val="Char2"/>
          <w:rtl/>
        </w:rPr>
        <w:t>[المعارج</w:t>
      </w:r>
      <w:r w:rsidR="00B06788" w:rsidRPr="003108CB">
        <w:rPr>
          <w:rStyle w:val="Char2"/>
          <w:rFonts w:hint="cs"/>
          <w:rtl/>
        </w:rPr>
        <w:t xml:space="preserve">: </w:t>
      </w:r>
      <w:r w:rsidRPr="003108CB">
        <w:rPr>
          <w:rStyle w:val="Char2"/>
          <w:rtl/>
        </w:rPr>
        <w:t>11]</w:t>
      </w:r>
      <w:r w:rsidR="00B06788" w:rsidRPr="00995B26">
        <w:rPr>
          <w:rFonts w:hint="cs"/>
          <w:sz w:val="28"/>
          <w:rtl/>
        </w:rPr>
        <w:t xml:space="preserve"> </w:t>
      </w:r>
      <w:r w:rsidR="00B06788" w:rsidRPr="00995B26">
        <w:rPr>
          <w:rFonts w:cs="Traditional Arabic" w:hint="cs"/>
          <w:sz w:val="28"/>
          <w:rtl/>
        </w:rPr>
        <w:t>﴿</w:t>
      </w:r>
      <w:r w:rsidR="00B06788" w:rsidRPr="0067048A">
        <w:rPr>
          <w:rFonts w:ascii="KFGQPC Uthmanic Script HAFS" w:cs="KFGQPC Uthmanic Script HAFS" w:hint="eastAsia"/>
          <w:sz w:val="28"/>
          <w:szCs w:val="28"/>
          <w:rtl/>
        </w:rPr>
        <w:t>يَح</w:t>
      </w:r>
      <w:r w:rsidR="00B06788" w:rsidRPr="0067048A">
        <w:rPr>
          <w:rFonts w:ascii="KFGQPC Uthmanic Script HAFS" w:cs="KFGQPC Uthmanic Script HAFS" w:hint="cs"/>
          <w:sz w:val="28"/>
          <w:szCs w:val="28"/>
          <w:rtl/>
        </w:rPr>
        <w:t>ۡ</w:t>
      </w:r>
      <w:r w:rsidR="00B06788" w:rsidRPr="0067048A">
        <w:rPr>
          <w:rFonts w:ascii="KFGQPC Uthmanic Script HAFS" w:cs="KFGQPC Uthmanic Script HAFS" w:hint="eastAsia"/>
          <w:sz w:val="28"/>
          <w:szCs w:val="28"/>
          <w:rtl/>
        </w:rPr>
        <w:t>سَبُونَ</w:t>
      </w:r>
      <w:r w:rsidR="00B06788" w:rsidRPr="0067048A">
        <w:rPr>
          <w:rFonts w:ascii="KFGQPC Uthmanic Script HAFS" w:cs="KFGQPC Uthmanic Script HAFS"/>
          <w:sz w:val="28"/>
          <w:szCs w:val="28"/>
          <w:rtl/>
        </w:rPr>
        <w:t xml:space="preserve"> </w:t>
      </w:r>
      <w:r w:rsidR="00B06788" w:rsidRPr="0067048A">
        <w:rPr>
          <w:rFonts w:ascii="KFGQPC Uthmanic Script HAFS" w:cs="KFGQPC Uthmanic Script HAFS" w:hint="cs"/>
          <w:sz w:val="28"/>
          <w:szCs w:val="28"/>
          <w:rtl/>
        </w:rPr>
        <w:t>ٱ</w:t>
      </w:r>
      <w:r w:rsidR="00B06788" w:rsidRPr="0067048A">
        <w:rPr>
          <w:rFonts w:ascii="KFGQPC Uthmanic Script HAFS" w:cs="KFGQPC Uthmanic Script HAFS" w:hint="eastAsia"/>
          <w:sz w:val="28"/>
          <w:szCs w:val="28"/>
          <w:rtl/>
        </w:rPr>
        <w:t>ل</w:t>
      </w:r>
      <w:r w:rsidR="00B06788" w:rsidRPr="0067048A">
        <w:rPr>
          <w:rFonts w:ascii="KFGQPC Uthmanic Script HAFS" w:cs="KFGQPC Uthmanic Script HAFS" w:hint="cs"/>
          <w:sz w:val="28"/>
          <w:szCs w:val="28"/>
          <w:rtl/>
        </w:rPr>
        <w:t>ۡ</w:t>
      </w:r>
      <w:r w:rsidR="00B06788" w:rsidRPr="0067048A">
        <w:rPr>
          <w:rFonts w:ascii="KFGQPC Uthmanic Script HAFS" w:cs="KFGQPC Uthmanic Script HAFS" w:hint="eastAsia"/>
          <w:sz w:val="28"/>
          <w:szCs w:val="28"/>
          <w:rtl/>
        </w:rPr>
        <w:t>أَح</w:t>
      </w:r>
      <w:r w:rsidR="00B06788" w:rsidRPr="0067048A">
        <w:rPr>
          <w:rFonts w:ascii="KFGQPC Uthmanic Script HAFS" w:cs="KFGQPC Uthmanic Script HAFS" w:hint="cs"/>
          <w:sz w:val="28"/>
          <w:szCs w:val="28"/>
          <w:rtl/>
        </w:rPr>
        <w:t>ۡ</w:t>
      </w:r>
      <w:r w:rsidR="00B06788" w:rsidRPr="0067048A">
        <w:rPr>
          <w:rFonts w:ascii="KFGQPC Uthmanic Script HAFS" w:cs="KFGQPC Uthmanic Script HAFS" w:hint="eastAsia"/>
          <w:sz w:val="28"/>
          <w:szCs w:val="28"/>
          <w:rtl/>
        </w:rPr>
        <w:t>زَابَ</w:t>
      </w:r>
      <w:r w:rsidR="00B06788" w:rsidRPr="0067048A">
        <w:rPr>
          <w:rFonts w:ascii="KFGQPC Uthmanic Script HAFS" w:cs="KFGQPC Uthmanic Script HAFS"/>
          <w:sz w:val="28"/>
          <w:szCs w:val="28"/>
          <w:rtl/>
        </w:rPr>
        <w:t xml:space="preserve"> </w:t>
      </w:r>
      <w:r w:rsidR="00B06788" w:rsidRPr="0067048A">
        <w:rPr>
          <w:rFonts w:ascii="KFGQPC Uthmanic Script HAFS" w:cs="KFGQPC Uthmanic Script HAFS" w:hint="eastAsia"/>
          <w:sz w:val="28"/>
          <w:szCs w:val="28"/>
          <w:rtl/>
        </w:rPr>
        <w:t>لَم</w:t>
      </w:r>
      <w:r w:rsidR="00B06788" w:rsidRPr="0067048A">
        <w:rPr>
          <w:rFonts w:ascii="KFGQPC Uthmanic Script HAFS" w:cs="KFGQPC Uthmanic Script HAFS" w:hint="cs"/>
          <w:sz w:val="28"/>
          <w:szCs w:val="28"/>
          <w:rtl/>
        </w:rPr>
        <w:t>ۡ</w:t>
      </w:r>
      <w:r w:rsidR="00B06788" w:rsidRPr="0067048A">
        <w:rPr>
          <w:rFonts w:ascii="KFGQPC Uthmanic Script HAFS" w:cs="KFGQPC Uthmanic Script HAFS"/>
          <w:sz w:val="28"/>
          <w:szCs w:val="28"/>
          <w:rtl/>
        </w:rPr>
        <w:t xml:space="preserve"> </w:t>
      </w:r>
      <w:r w:rsidR="00B06788" w:rsidRPr="0067048A">
        <w:rPr>
          <w:rFonts w:ascii="KFGQPC Uthmanic Script HAFS" w:cs="KFGQPC Uthmanic Script HAFS" w:hint="eastAsia"/>
          <w:sz w:val="28"/>
          <w:szCs w:val="28"/>
          <w:rtl/>
        </w:rPr>
        <w:t>يَذ</w:t>
      </w:r>
      <w:r w:rsidR="00B06788" w:rsidRPr="0067048A">
        <w:rPr>
          <w:rFonts w:ascii="KFGQPC Uthmanic Script HAFS" w:cs="KFGQPC Uthmanic Script HAFS" w:hint="cs"/>
          <w:sz w:val="28"/>
          <w:szCs w:val="28"/>
          <w:rtl/>
        </w:rPr>
        <w:t>ۡ</w:t>
      </w:r>
      <w:r w:rsidR="00B06788" w:rsidRPr="0067048A">
        <w:rPr>
          <w:rFonts w:ascii="KFGQPC Uthmanic Script HAFS" w:cs="KFGQPC Uthmanic Script HAFS" w:hint="eastAsia"/>
          <w:sz w:val="28"/>
          <w:szCs w:val="28"/>
          <w:rtl/>
        </w:rPr>
        <w:t>هَبُواْ</w:t>
      </w:r>
      <w:r w:rsidR="00B06788" w:rsidRPr="0067048A">
        <w:rPr>
          <w:rFonts w:ascii="KFGQPC Uthmanic Script HAFS" w:cs="KFGQPC Uthmanic Script HAFS" w:hint="cs"/>
          <w:sz w:val="28"/>
          <w:szCs w:val="28"/>
          <w:rtl/>
        </w:rPr>
        <w:t>ۖ</w:t>
      </w:r>
      <w:r w:rsidR="00B06788" w:rsidRPr="0067048A">
        <w:rPr>
          <w:rFonts w:ascii="KFGQPC Uthmanic Script HAFS" w:cs="KFGQPC Uthmanic Script HAFS"/>
          <w:sz w:val="28"/>
          <w:szCs w:val="28"/>
          <w:rtl/>
        </w:rPr>
        <w:t xml:space="preserve"> </w:t>
      </w:r>
      <w:r w:rsidR="00B06788" w:rsidRPr="0067048A">
        <w:rPr>
          <w:rFonts w:ascii="KFGQPC Uthmanic Script HAFS" w:cs="KFGQPC Uthmanic Script HAFS" w:hint="eastAsia"/>
          <w:sz w:val="28"/>
          <w:szCs w:val="28"/>
          <w:rtl/>
        </w:rPr>
        <w:t>وَإِن</w:t>
      </w:r>
      <w:r w:rsidR="00B06788" w:rsidRPr="0067048A">
        <w:rPr>
          <w:rFonts w:ascii="KFGQPC Uthmanic Script HAFS" w:cs="KFGQPC Uthmanic Script HAFS"/>
          <w:sz w:val="28"/>
          <w:szCs w:val="28"/>
          <w:rtl/>
        </w:rPr>
        <w:t xml:space="preserve"> </w:t>
      </w:r>
      <w:r w:rsidR="00B06788" w:rsidRPr="0067048A">
        <w:rPr>
          <w:rFonts w:ascii="KFGQPC Uthmanic Script HAFS" w:cs="KFGQPC Uthmanic Script HAFS" w:hint="eastAsia"/>
          <w:sz w:val="28"/>
          <w:szCs w:val="28"/>
          <w:rtl/>
        </w:rPr>
        <w:t>يَأ</w:t>
      </w:r>
      <w:r w:rsidR="00B06788" w:rsidRPr="0067048A">
        <w:rPr>
          <w:rFonts w:ascii="KFGQPC Uthmanic Script HAFS" w:cs="KFGQPC Uthmanic Script HAFS" w:hint="cs"/>
          <w:sz w:val="28"/>
          <w:szCs w:val="28"/>
          <w:rtl/>
        </w:rPr>
        <w:t>ۡ</w:t>
      </w:r>
      <w:r w:rsidR="00B06788" w:rsidRPr="0067048A">
        <w:rPr>
          <w:rFonts w:ascii="KFGQPC Uthmanic Script HAFS" w:cs="KFGQPC Uthmanic Script HAFS" w:hint="eastAsia"/>
          <w:sz w:val="28"/>
          <w:szCs w:val="28"/>
          <w:rtl/>
        </w:rPr>
        <w:t>تِ</w:t>
      </w:r>
      <w:r w:rsidR="00B06788" w:rsidRPr="0067048A">
        <w:rPr>
          <w:rFonts w:ascii="KFGQPC Uthmanic Script HAFS" w:cs="KFGQPC Uthmanic Script HAFS"/>
          <w:sz w:val="28"/>
          <w:szCs w:val="28"/>
          <w:rtl/>
        </w:rPr>
        <w:t xml:space="preserve"> </w:t>
      </w:r>
      <w:r w:rsidR="00B06788" w:rsidRPr="0067048A">
        <w:rPr>
          <w:rFonts w:ascii="KFGQPC Uthmanic Script HAFS" w:cs="KFGQPC Uthmanic Script HAFS" w:hint="cs"/>
          <w:sz w:val="28"/>
          <w:szCs w:val="28"/>
          <w:rtl/>
        </w:rPr>
        <w:t>ٱ</w:t>
      </w:r>
      <w:r w:rsidR="00B06788" w:rsidRPr="0067048A">
        <w:rPr>
          <w:rFonts w:ascii="KFGQPC Uthmanic Script HAFS" w:cs="KFGQPC Uthmanic Script HAFS" w:hint="eastAsia"/>
          <w:sz w:val="28"/>
          <w:szCs w:val="28"/>
          <w:rtl/>
        </w:rPr>
        <w:t>ل</w:t>
      </w:r>
      <w:r w:rsidR="00B06788" w:rsidRPr="0067048A">
        <w:rPr>
          <w:rFonts w:ascii="KFGQPC Uthmanic Script HAFS" w:cs="KFGQPC Uthmanic Script HAFS" w:hint="cs"/>
          <w:sz w:val="28"/>
          <w:szCs w:val="28"/>
          <w:rtl/>
        </w:rPr>
        <w:t>ۡ</w:t>
      </w:r>
      <w:r w:rsidR="00B06788" w:rsidRPr="0067048A">
        <w:rPr>
          <w:rFonts w:ascii="KFGQPC Uthmanic Script HAFS" w:cs="KFGQPC Uthmanic Script HAFS" w:hint="eastAsia"/>
          <w:sz w:val="28"/>
          <w:szCs w:val="28"/>
          <w:rtl/>
        </w:rPr>
        <w:t>أَح</w:t>
      </w:r>
      <w:r w:rsidR="00B06788" w:rsidRPr="0067048A">
        <w:rPr>
          <w:rFonts w:ascii="KFGQPC Uthmanic Script HAFS" w:cs="KFGQPC Uthmanic Script HAFS" w:hint="cs"/>
          <w:sz w:val="28"/>
          <w:szCs w:val="28"/>
          <w:rtl/>
        </w:rPr>
        <w:t>ۡ</w:t>
      </w:r>
      <w:r w:rsidR="00B06788" w:rsidRPr="0067048A">
        <w:rPr>
          <w:rFonts w:ascii="KFGQPC Uthmanic Script HAFS" w:cs="KFGQPC Uthmanic Script HAFS" w:hint="eastAsia"/>
          <w:sz w:val="28"/>
          <w:szCs w:val="28"/>
          <w:rtl/>
        </w:rPr>
        <w:t>زَابُ</w:t>
      </w:r>
      <w:r w:rsidR="00B06788" w:rsidRPr="0067048A">
        <w:rPr>
          <w:rFonts w:ascii="KFGQPC Uthmanic Script HAFS" w:cs="KFGQPC Uthmanic Script HAFS"/>
          <w:sz w:val="28"/>
          <w:szCs w:val="28"/>
          <w:rtl/>
        </w:rPr>
        <w:t xml:space="preserve"> </w:t>
      </w:r>
      <w:r w:rsidR="00B06788" w:rsidRPr="0067048A">
        <w:rPr>
          <w:rFonts w:ascii="KFGQPC Uthmanic Script HAFS" w:cs="KFGQPC Uthmanic Script HAFS" w:hint="eastAsia"/>
          <w:sz w:val="28"/>
          <w:szCs w:val="28"/>
          <w:rtl/>
        </w:rPr>
        <w:t>يَوَدُّواْ</w:t>
      </w:r>
      <w:r w:rsidR="00B06788" w:rsidRPr="0067048A">
        <w:rPr>
          <w:rFonts w:ascii="KFGQPC Uthmanic Script HAFS" w:cs="KFGQPC Uthmanic Script HAFS"/>
          <w:sz w:val="28"/>
          <w:szCs w:val="28"/>
          <w:rtl/>
        </w:rPr>
        <w:t xml:space="preserve"> </w:t>
      </w:r>
      <w:r w:rsidR="00B06788" w:rsidRPr="0067048A">
        <w:rPr>
          <w:rFonts w:ascii="KFGQPC Uthmanic Script HAFS" w:cs="KFGQPC Uthmanic Script HAFS" w:hint="eastAsia"/>
          <w:sz w:val="28"/>
          <w:szCs w:val="28"/>
          <w:rtl/>
        </w:rPr>
        <w:t>لَو</w:t>
      </w:r>
      <w:r w:rsidR="00B06788" w:rsidRPr="0067048A">
        <w:rPr>
          <w:rFonts w:ascii="KFGQPC Uthmanic Script HAFS" w:cs="KFGQPC Uthmanic Script HAFS" w:hint="cs"/>
          <w:sz w:val="28"/>
          <w:szCs w:val="28"/>
          <w:rtl/>
        </w:rPr>
        <w:t>ۡ</w:t>
      </w:r>
      <w:r w:rsidR="00B06788" w:rsidRPr="0067048A">
        <w:rPr>
          <w:rFonts w:ascii="KFGQPC Uthmanic Script HAFS" w:cs="KFGQPC Uthmanic Script HAFS"/>
          <w:sz w:val="28"/>
          <w:szCs w:val="28"/>
          <w:rtl/>
        </w:rPr>
        <w:t xml:space="preserve"> </w:t>
      </w:r>
      <w:r w:rsidR="00B06788" w:rsidRPr="0067048A">
        <w:rPr>
          <w:rFonts w:ascii="KFGQPC Uthmanic Script HAFS" w:cs="KFGQPC Uthmanic Script HAFS" w:hint="eastAsia"/>
          <w:sz w:val="28"/>
          <w:szCs w:val="28"/>
          <w:rtl/>
        </w:rPr>
        <w:t>أَنَّهُم</w:t>
      </w:r>
      <w:r w:rsidR="00B06788" w:rsidRPr="0067048A">
        <w:rPr>
          <w:rFonts w:ascii="KFGQPC Uthmanic Script HAFS" w:cs="KFGQPC Uthmanic Script HAFS"/>
          <w:sz w:val="28"/>
          <w:szCs w:val="28"/>
          <w:rtl/>
        </w:rPr>
        <w:t xml:space="preserve"> </w:t>
      </w:r>
      <w:r w:rsidR="00B06788" w:rsidRPr="0067048A">
        <w:rPr>
          <w:rFonts w:ascii="KFGQPC Uthmanic Script HAFS" w:cs="KFGQPC Uthmanic Script HAFS" w:hint="eastAsia"/>
          <w:sz w:val="28"/>
          <w:szCs w:val="28"/>
          <w:rtl/>
        </w:rPr>
        <w:t>بَادُونَ</w:t>
      </w:r>
      <w:r w:rsidR="00B06788" w:rsidRPr="0067048A">
        <w:rPr>
          <w:rFonts w:ascii="KFGQPC Uthmanic Script HAFS" w:cs="KFGQPC Uthmanic Script HAFS"/>
          <w:sz w:val="28"/>
          <w:szCs w:val="28"/>
          <w:rtl/>
        </w:rPr>
        <w:t xml:space="preserve"> </w:t>
      </w:r>
      <w:r w:rsidR="00B06788" w:rsidRPr="0067048A">
        <w:rPr>
          <w:rFonts w:ascii="KFGQPC Uthmanic Script HAFS" w:cs="KFGQPC Uthmanic Script HAFS" w:hint="eastAsia"/>
          <w:sz w:val="28"/>
          <w:szCs w:val="28"/>
          <w:rtl/>
        </w:rPr>
        <w:t>فِي</w:t>
      </w:r>
      <w:r w:rsidR="00B06788" w:rsidRPr="0067048A">
        <w:rPr>
          <w:rFonts w:ascii="KFGQPC Uthmanic Script HAFS" w:cs="KFGQPC Uthmanic Script HAFS"/>
          <w:sz w:val="28"/>
          <w:szCs w:val="28"/>
          <w:rtl/>
        </w:rPr>
        <w:t xml:space="preserve"> </w:t>
      </w:r>
      <w:r w:rsidR="00B06788" w:rsidRPr="0067048A">
        <w:rPr>
          <w:rFonts w:ascii="KFGQPC Uthmanic Script HAFS" w:cs="KFGQPC Uthmanic Script HAFS" w:hint="cs"/>
          <w:sz w:val="28"/>
          <w:szCs w:val="28"/>
          <w:rtl/>
        </w:rPr>
        <w:t>ٱ</w:t>
      </w:r>
      <w:r w:rsidR="00B06788" w:rsidRPr="0067048A">
        <w:rPr>
          <w:rFonts w:ascii="KFGQPC Uthmanic Script HAFS" w:cs="KFGQPC Uthmanic Script HAFS" w:hint="eastAsia"/>
          <w:sz w:val="28"/>
          <w:szCs w:val="28"/>
          <w:rtl/>
        </w:rPr>
        <w:t>ل</w:t>
      </w:r>
      <w:r w:rsidR="00B06788" w:rsidRPr="0067048A">
        <w:rPr>
          <w:rFonts w:ascii="KFGQPC Uthmanic Script HAFS" w:cs="KFGQPC Uthmanic Script HAFS" w:hint="cs"/>
          <w:sz w:val="28"/>
          <w:szCs w:val="28"/>
          <w:rtl/>
        </w:rPr>
        <w:t>ۡ</w:t>
      </w:r>
      <w:r w:rsidR="00B06788" w:rsidRPr="0067048A">
        <w:rPr>
          <w:rFonts w:ascii="KFGQPC Uthmanic Script HAFS" w:cs="KFGQPC Uthmanic Script HAFS" w:hint="eastAsia"/>
          <w:sz w:val="28"/>
          <w:szCs w:val="28"/>
          <w:rtl/>
        </w:rPr>
        <w:t>أَع</w:t>
      </w:r>
      <w:r w:rsidR="00B06788" w:rsidRPr="0067048A">
        <w:rPr>
          <w:rFonts w:ascii="KFGQPC Uthmanic Script HAFS" w:cs="KFGQPC Uthmanic Script HAFS" w:hint="cs"/>
          <w:sz w:val="28"/>
          <w:szCs w:val="28"/>
          <w:rtl/>
        </w:rPr>
        <w:t>ۡ</w:t>
      </w:r>
      <w:r w:rsidR="00B06788" w:rsidRPr="0067048A">
        <w:rPr>
          <w:rFonts w:ascii="KFGQPC Uthmanic Script HAFS" w:cs="KFGQPC Uthmanic Script HAFS" w:hint="eastAsia"/>
          <w:sz w:val="28"/>
          <w:szCs w:val="28"/>
          <w:rtl/>
        </w:rPr>
        <w:t>رَابِ</w:t>
      </w:r>
      <w:r w:rsidR="00B06788" w:rsidRPr="0067048A">
        <w:rPr>
          <w:rFonts w:ascii="KFGQPC Uthmanic Script HAFS" w:cs="KFGQPC Uthmanic Script HAFS"/>
          <w:sz w:val="28"/>
          <w:szCs w:val="28"/>
          <w:rtl/>
        </w:rPr>
        <w:t xml:space="preserve"> </w:t>
      </w:r>
      <w:r w:rsidR="00B06788" w:rsidRPr="0067048A">
        <w:rPr>
          <w:rFonts w:ascii="KFGQPC Uthmanic Script HAFS" w:cs="KFGQPC Uthmanic Script HAFS" w:hint="eastAsia"/>
          <w:sz w:val="28"/>
          <w:szCs w:val="28"/>
          <w:rtl/>
        </w:rPr>
        <w:t>يَس</w:t>
      </w:r>
      <w:r w:rsidR="00B06788" w:rsidRPr="0067048A">
        <w:rPr>
          <w:rFonts w:ascii="KFGQPC Uthmanic Script HAFS" w:cs="KFGQPC Uthmanic Script HAFS" w:hint="cs"/>
          <w:sz w:val="28"/>
          <w:szCs w:val="28"/>
          <w:rtl/>
        </w:rPr>
        <w:t>ۡ</w:t>
      </w:r>
      <w:r w:rsidR="00B06788" w:rsidRPr="0067048A">
        <w:rPr>
          <w:rFonts w:ascii="KFGQPC Uthmanic Script HAFS" w:cs="KFGQPC Uthmanic Script HAFS" w:hint="eastAsia"/>
          <w:sz w:val="28"/>
          <w:szCs w:val="28"/>
          <w:rtl/>
        </w:rPr>
        <w:t>‍</w:t>
      </w:r>
      <w:r w:rsidR="00B06788" w:rsidRPr="0067048A">
        <w:rPr>
          <w:rFonts w:ascii="KFGQPC Uthmanic Script HAFS" w:cs="KFGQPC Uthmanic Script HAFS" w:hint="cs"/>
          <w:sz w:val="28"/>
          <w:szCs w:val="28"/>
          <w:rtl/>
        </w:rPr>
        <w:t>ٔ</w:t>
      </w:r>
      <w:r w:rsidR="00B06788" w:rsidRPr="0067048A">
        <w:rPr>
          <w:rFonts w:ascii="KFGQPC Uthmanic Script HAFS" w:cs="KFGQPC Uthmanic Script HAFS" w:hint="eastAsia"/>
          <w:sz w:val="28"/>
          <w:szCs w:val="28"/>
          <w:rtl/>
        </w:rPr>
        <w:t>َلُونَ</w:t>
      </w:r>
      <w:r w:rsidR="00B06788" w:rsidRPr="0067048A">
        <w:rPr>
          <w:rFonts w:ascii="KFGQPC Uthmanic Script HAFS" w:cs="KFGQPC Uthmanic Script HAFS"/>
          <w:sz w:val="28"/>
          <w:szCs w:val="28"/>
          <w:rtl/>
        </w:rPr>
        <w:t xml:space="preserve"> </w:t>
      </w:r>
      <w:r w:rsidR="00B06788" w:rsidRPr="0067048A">
        <w:rPr>
          <w:rFonts w:ascii="KFGQPC Uthmanic Script HAFS" w:cs="KFGQPC Uthmanic Script HAFS" w:hint="eastAsia"/>
          <w:sz w:val="28"/>
          <w:szCs w:val="28"/>
          <w:rtl/>
        </w:rPr>
        <w:t>عَن</w:t>
      </w:r>
      <w:r w:rsidR="00B06788" w:rsidRPr="0067048A">
        <w:rPr>
          <w:rFonts w:ascii="KFGQPC Uthmanic Script HAFS" w:cs="KFGQPC Uthmanic Script HAFS" w:hint="cs"/>
          <w:sz w:val="28"/>
          <w:szCs w:val="28"/>
          <w:rtl/>
        </w:rPr>
        <w:t>ۡ</w:t>
      </w:r>
      <w:r w:rsidR="00B06788" w:rsidRPr="0067048A">
        <w:rPr>
          <w:rFonts w:ascii="KFGQPC Uthmanic Script HAFS" w:cs="KFGQPC Uthmanic Script HAFS"/>
          <w:sz w:val="28"/>
          <w:szCs w:val="28"/>
          <w:rtl/>
        </w:rPr>
        <w:t xml:space="preserve"> </w:t>
      </w:r>
      <w:r w:rsidR="00B06788" w:rsidRPr="0067048A">
        <w:rPr>
          <w:rFonts w:ascii="KFGQPC Uthmanic Script HAFS" w:cs="KFGQPC Uthmanic Script HAFS" w:hint="eastAsia"/>
          <w:sz w:val="28"/>
          <w:szCs w:val="28"/>
          <w:rtl/>
        </w:rPr>
        <w:t>أَن</w:t>
      </w:r>
      <w:r w:rsidR="00B06788" w:rsidRPr="0067048A">
        <w:rPr>
          <w:rFonts w:ascii="KFGQPC Uthmanic Script HAFS" w:cs="KFGQPC Uthmanic Script HAFS" w:hint="cs"/>
          <w:sz w:val="28"/>
          <w:szCs w:val="28"/>
          <w:rtl/>
        </w:rPr>
        <w:t>ۢ</w:t>
      </w:r>
      <w:r w:rsidR="00B06788" w:rsidRPr="0067048A">
        <w:rPr>
          <w:rFonts w:ascii="KFGQPC Uthmanic Script HAFS" w:cs="KFGQPC Uthmanic Script HAFS" w:hint="eastAsia"/>
          <w:sz w:val="28"/>
          <w:szCs w:val="28"/>
          <w:rtl/>
        </w:rPr>
        <w:t>بَا</w:t>
      </w:r>
      <w:r w:rsidR="00B06788" w:rsidRPr="0067048A">
        <w:rPr>
          <w:rFonts w:ascii="KFGQPC Uthmanic Script HAFS" w:cs="KFGQPC Uthmanic Script HAFS" w:hint="cs"/>
          <w:sz w:val="28"/>
          <w:szCs w:val="28"/>
          <w:rtl/>
        </w:rPr>
        <w:t>ٓ</w:t>
      </w:r>
      <w:r w:rsidR="00B06788" w:rsidRPr="0067048A">
        <w:rPr>
          <w:rFonts w:ascii="KFGQPC Uthmanic Script HAFS" w:cs="KFGQPC Uthmanic Script HAFS" w:hint="eastAsia"/>
          <w:sz w:val="28"/>
          <w:szCs w:val="28"/>
          <w:rtl/>
        </w:rPr>
        <w:t>ئِكُم</w:t>
      </w:r>
      <w:r w:rsidR="00B06788" w:rsidRPr="0067048A">
        <w:rPr>
          <w:rFonts w:ascii="KFGQPC Uthmanic Script HAFS" w:cs="KFGQPC Uthmanic Script HAFS" w:hint="cs"/>
          <w:sz w:val="28"/>
          <w:szCs w:val="28"/>
          <w:rtl/>
        </w:rPr>
        <w:t>ۡ</w:t>
      </w:r>
      <w:r w:rsidR="00B06788" w:rsidRPr="00995B26">
        <w:rPr>
          <w:rFonts w:cs="Traditional Arabic" w:hint="cs"/>
          <w:sz w:val="28"/>
          <w:rtl/>
        </w:rPr>
        <w:t>﴾</w:t>
      </w:r>
      <w:r w:rsidR="009E3C80" w:rsidRPr="00995B26">
        <w:rPr>
          <w:rFonts w:hint="cs"/>
          <w:sz w:val="28"/>
          <w:rtl/>
        </w:rPr>
        <w:t xml:space="preserve"> </w:t>
      </w:r>
      <w:r w:rsidRPr="003108CB">
        <w:rPr>
          <w:rStyle w:val="Char2"/>
          <w:rtl/>
        </w:rPr>
        <w:t>[الأحزاب</w:t>
      </w:r>
      <w:r w:rsidR="00B06788" w:rsidRPr="003108CB">
        <w:rPr>
          <w:rStyle w:val="Char2"/>
          <w:rFonts w:hint="cs"/>
          <w:rtl/>
        </w:rPr>
        <w:t xml:space="preserve">: </w:t>
      </w:r>
      <w:r w:rsidRPr="003108CB">
        <w:rPr>
          <w:rStyle w:val="Char2"/>
          <w:rtl/>
        </w:rPr>
        <w:t>20]</w:t>
      </w:r>
      <w:r w:rsidR="009E3C80" w:rsidRPr="00995B26">
        <w:rPr>
          <w:rFonts w:hint="cs"/>
          <w:sz w:val="28"/>
          <w:rtl/>
        </w:rPr>
        <w:t xml:space="preserve"> </w:t>
      </w:r>
      <w:r w:rsidR="00B06788" w:rsidRPr="00995B26">
        <w:rPr>
          <w:rFonts w:cs="Traditional Arabic" w:hint="cs"/>
          <w:sz w:val="28"/>
          <w:rtl/>
        </w:rPr>
        <w:t>﴿</w:t>
      </w:r>
      <w:r w:rsidR="00B06788" w:rsidRPr="0067048A">
        <w:rPr>
          <w:rFonts w:ascii="KFGQPC Uthmanic Script HAFS" w:cs="KFGQPC Uthmanic Script HAFS" w:hint="eastAsia"/>
          <w:sz w:val="28"/>
          <w:szCs w:val="28"/>
          <w:rtl/>
        </w:rPr>
        <w:t>وَلَتَجِدَنَّ</w:t>
      </w:r>
      <w:r w:rsidR="00B06788" w:rsidRPr="0067048A">
        <w:rPr>
          <w:rFonts w:ascii="KFGQPC Uthmanic Script HAFS" w:cs="KFGQPC Uthmanic Script HAFS"/>
          <w:sz w:val="28"/>
          <w:szCs w:val="28"/>
          <w:rtl/>
        </w:rPr>
        <w:t xml:space="preserve"> </w:t>
      </w:r>
      <w:r w:rsidR="00B06788" w:rsidRPr="0067048A">
        <w:rPr>
          <w:rFonts w:ascii="KFGQPC Uthmanic Script HAFS" w:cs="KFGQPC Uthmanic Script HAFS" w:hint="eastAsia"/>
          <w:sz w:val="28"/>
          <w:szCs w:val="28"/>
          <w:rtl/>
        </w:rPr>
        <w:t>أَق</w:t>
      </w:r>
      <w:r w:rsidR="00B06788" w:rsidRPr="0067048A">
        <w:rPr>
          <w:rFonts w:ascii="KFGQPC Uthmanic Script HAFS" w:cs="KFGQPC Uthmanic Script HAFS" w:hint="cs"/>
          <w:sz w:val="28"/>
          <w:szCs w:val="28"/>
          <w:rtl/>
        </w:rPr>
        <w:t>ۡ</w:t>
      </w:r>
      <w:r w:rsidR="00B06788" w:rsidRPr="0067048A">
        <w:rPr>
          <w:rFonts w:ascii="KFGQPC Uthmanic Script HAFS" w:cs="KFGQPC Uthmanic Script HAFS" w:hint="eastAsia"/>
          <w:sz w:val="28"/>
          <w:szCs w:val="28"/>
          <w:rtl/>
        </w:rPr>
        <w:t>رَبَهُم</w:t>
      </w:r>
      <w:r w:rsidR="00B06788" w:rsidRPr="0067048A">
        <w:rPr>
          <w:rFonts w:ascii="KFGQPC Uthmanic Script HAFS" w:cs="KFGQPC Uthmanic Script HAFS"/>
          <w:sz w:val="28"/>
          <w:szCs w:val="28"/>
          <w:rtl/>
        </w:rPr>
        <w:t xml:space="preserve"> </w:t>
      </w:r>
      <w:r w:rsidR="00B06788" w:rsidRPr="0067048A">
        <w:rPr>
          <w:rFonts w:ascii="KFGQPC Uthmanic Script HAFS" w:cs="KFGQPC Uthmanic Script HAFS" w:hint="eastAsia"/>
          <w:sz w:val="28"/>
          <w:szCs w:val="28"/>
          <w:rtl/>
        </w:rPr>
        <w:t>مَّوَدَّة</w:t>
      </w:r>
      <w:r w:rsidR="00B06788" w:rsidRPr="0067048A">
        <w:rPr>
          <w:rFonts w:ascii="KFGQPC Uthmanic Script HAFS" w:cs="KFGQPC Uthmanic Script HAFS" w:hint="cs"/>
          <w:sz w:val="28"/>
          <w:szCs w:val="28"/>
          <w:rtl/>
        </w:rPr>
        <w:t>ٗ</w:t>
      </w:r>
      <w:r w:rsidR="00B06788" w:rsidRPr="0067048A">
        <w:rPr>
          <w:rFonts w:ascii="KFGQPC Uthmanic Script HAFS" w:cs="KFGQPC Uthmanic Script HAFS"/>
          <w:sz w:val="28"/>
          <w:szCs w:val="28"/>
          <w:rtl/>
        </w:rPr>
        <w:t xml:space="preserve"> </w:t>
      </w:r>
      <w:r w:rsidR="00B06788" w:rsidRPr="0067048A">
        <w:rPr>
          <w:rFonts w:ascii="KFGQPC Uthmanic Script HAFS" w:cs="KFGQPC Uthmanic Script HAFS" w:hint="eastAsia"/>
          <w:sz w:val="28"/>
          <w:szCs w:val="28"/>
          <w:rtl/>
        </w:rPr>
        <w:t>لِّلَّذِينَ</w:t>
      </w:r>
      <w:r w:rsidR="00B06788" w:rsidRPr="0067048A">
        <w:rPr>
          <w:rFonts w:ascii="KFGQPC Uthmanic Script HAFS" w:cs="KFGQPC Uthmanic Script HAFS"/>
          <w:sz w:val="28"/>
          <w:szCs w:val="28"/>
          <w:rtl/>
        </w:rPr>
        <w:t xml:space="preserve"> </w:t>
      </w:r>
      <w:r w:rsidR="00B06788" w:rsidRPr="0067048A">
        <w:rPr>
          <w:rFonts w:ascii="KFGQPC Uthmanic Script HAFS" w:cs="KFGQPC Uthmanic Script HAFS" w:hint="eastAsia"/>
          <w:sz w:val="28"/>
          <w:szCs w:val="28"/>
          <w:rtl/>
        </w:rPr>
        <w:t>ءَامَنُواْ</w:t>
      </w:r>
      <w:r w:rsidR="00B06788" w:rsidRPr="0067048A">
        <w:rPr>
          <w:rFonts w:ascii="KFGQPC Uthmanic Script HAFS" w:cs="KFGQPC Uthmanic Script HAFS"/>
          <w:sz w:val="28"/>
          <w:szCs w:val="28"/>
          <w:rtl/>
        </w:rPr>
        <w:t xml:space="preserve"> </w:t>
      </w:r>
      <w:r w:rsidR="00B06788" w:rsidRPr="0067048A">
        <w:rPr>
          <w:rFonts w:ascii="KFGQPC Uthmanic Script HAFS" w:cs="KFGQPC Uthmanic Script HAFS" w:hint="cs"/>
          <w:sz w:val="28"/>
          <w:szCs w:val="28"/>
          <w:rtl/>
        </w:rPr>
        <w:t>ٱ</w:t>
      </w:r>
      <w:r w:rsidR="00B06788" w:rsidRPr="0067048A">
        <w:rPr>
          <w:rFonts w:ascii="KFGQPC Uthmanic Script HAFS" w:cs="KFGQPC Uthmanic Script HAFS" w:hint="eastAsia"/>
          <w:sz w:val="28"/>
          <w:szCs w:val="28"/>
          <w:rtl/>
        </w:rPr>
        <w:t>لَّذِينَ</w:t>
      </w:r>
      <w:r w:rsidR="00B06788" w:rsidRPr="0067048A">
        <w:rPr>
          <w:rFonts w:ascii="KFGQPC Uthmanic Script HAFS" w:cs="KFGQPC Uthmanic Script HAFS"/>
          <w:sz w:val="28"/>
          <w:szCs w:val="28"/>
          <w:rtl/>
        </w:rPr>
        <w:t xml:space="preserve"> </w:t>
      </w:r>
      <w:r w:rsidR="00B06788" w:rsidRPr="0067048A">
        <w:rPr>
          <w:rFonts w:ascii="KFGQPC Uthmanic Script HAFS" w:cs="KFGQPC Uthmanic Script HAFS" w:hint="eastAsia"/>
          <w:sz w:val="28"/>
          <w:szCs w:val="28"/>
          <w:rtl/>
        </w:rPr>
        <w:t>قَالُو</w:t>
      </w:r>
      <w:r w:rsidR="00B06788" w:rsidRPr="0067048A">
        <w:rPr>
          <w:rFonts w:ascii="KFGQPC Uthmanic Script HAFS" w:cs="KFGQPC Uthmanic Script HAFS" w:hint="cs"/>
          <w:sz w:val="28"/>
          <w:szCs w:val="28"/>
          <w:rtl/>
        </w:rPr>
        <w:t>ٓ</w:t>
      </w:r>
      <w:r w:rsidR="00B06788" w:rsidRPr="0067048A">
        <w:rPr>
          <w:rFonts w:ascii="KFGQPC Uthmanic Script HAFS" w:cs="KFGQPC Uthmanic Script HAFS" w:hint="eastAsia"/>
          <w:sz w:val="28"/>
          <w:szCs w:val="28"/>
          <w:rtl/>
        </w:rPr>
        <w:t>اْ</w:t>
      </w:r>
      <w:r w:rsidR="00B06788" w:rsidRPr="0067048A">
        <w:rPr>
          <w:rFonts w:ascii="KFGQPC Uthmanic Script HAFS" w:cs="KFGQPC Uthmanic Script HAFS"/>
          <w:sz w:val="28"/>
          <w:szCs w:val="28"/>
          <w:rtl/>
        </w:rPr>
        <w:t xml:space="preserve"> </w:t>
      </w:r>
      <w:r w:rsidR="00B06788" w:rsidRPr="0067048A">
        <w:rPr>
          <w:rFonts w:ascii="KFGQPC Uthmanic Script HAFS" w:cs="KFGQPC Uthmanic Script HAFS" w:hint="eastAsia"/>
          <w:sz w:val="28"/>
          <w:szCs w:val="28"/>
          <w:rtl/>
        </w:rPr>
        <w:t>إِنَّا</w:t>
      </w:r>
      <w:r w:rsidR="00B06788" w:rsidRPr="0067048A">
        <w:rPr>
          <w:rFonts w:ascii="KFGQPC Uthmanic Script HAFS" w:cs="KFGQPC Uthmanic Script HAFS"/>
          <w:sz w:val="28"/>
          <w:szCs w:val="28"/>
          <w:rtl/>
        </w:rPr>
        <w:t xml:space="preserve"> </w:t>
      </w:r>
      <w:r w:rsidR="00B06788" w:rsidRPr="0067048A">
        <w:rPr>
          <w:rFonts w:ascii="KFGQPC Uthmanic Script HAFS" w:cs="KFGQPC Uthmanic Script HAFS" w:hint="eastAsia"/>
          <w:sz w:val="28"/>
          <w:szCs w:val="28"/>
          <w:rtl/>
        </w:rPr>
        <w:t>نَصَ</w:t>
      </w:r>
      <w:r w:rsidR="00B06788" w:rsidRPr="0067048A">
        <w:rPr>
          <w:rFonts w:ascii="KFGQPC Uthmanic Script HAFS" w:cs="KFGQPC Uthmanic Script HAFS" w:hint="cs"/>
          <w:sz w:val="28"/>
          <w:szCs w:val="28"/>
          <w:rtl/>
        </w:rPr>
        <w:t>ٰ</w:t>
      </w:r>
      <w:r w:rsidR="00B06788" w:rsidRPr="0067048A">
        <w:rPr>
          <w:rFonts w:ascii="KFGQPC Uthmanic Script HAFS" w:cs="KFGQPC Uthmanic Script HAFS" w:hint="eastAsia"/>
          <w:sz w:val="28"/>
          <w:szCs w:val="28"/>
          <w:rtl/>
        </w:rPr>
        <w:t>رَى</w:t>
      </w:r>
      <w:r w:rsidR="00B06788" w:rsidRPr="0067048A">
        <w:rPr>
          <w:rFonts w:ascii="KFGQPC Uthmanic Script HAFS" w:cs="KFGQPC Uthmanic Script HAFS" w:hint="cs"/>
          <w:sz w:val="28"/>
          <w:szCs w:val="28"/>
          <w:rtl/>
        </w:rPr>
        <w:t>ٰ</w:t>
      </w:r>
      <w:r w:rsidR="00B06788" w:rsidRPr="00995B26">
        <w:rPr>
          <w:rFonts w:cs="Traditional Arabic" w:hint="cs"/>
          <w:sz w:val="28"/>
          <w:rtl/>
        </w:rPr>
        <w:t>﴾</w:t>
      </w:r>
      <w:r w:rsidR="00B06788" w:rsidRPr="00995B26">
        <w:rPr>
          <w:rFonts w:hint="cs"/>
          <w:sz w:val="28"/>
          <w:rtl/>
        </w:rPr>
        <w:t xml:space="preserve"> </w:t>
      </w:r>
      <w:r w:rsidRPr="003108CB">
        <w:rPr>
          <w:rStyle w:val="Char2"/>
          <w:rtl/>
        </w:rPr>
        <w:t>[المائدة</w:t>
      </w:r>
      <w:r w:rsidR="00B06788" w:rsidRPr="003108CB">
        <w:rPr>
          <w:rStyle w:val="Char2"/>
          <w:rFonts w:hint="cs"/>
          <w:rtl/>
        </w:rPr>
        <w:t xml:space="preserve">: </w:t>
      </w:r>
      <w:r w:rsidRPr="003108CB">
        <w:rPr>
          <w:rStyle w:val="Char2"/>
          <w:rtl/>
        </w:rPr>
        <w:t>82]</w:t>
      </w:r>
      <w:r w:rsidR="009E3C80" w:rsidRPr="00995B26">
        <w:rPr>
          <w:rFonts w:hint="cs"/>
          <w:sz w:val="28"/>
          <w:rtl/>
        </w:rPr>
        <w:t xml:space="preserve"> </w:t>
      </w:r>
      <w:r w:rsidR="00B06788" w:rsidRPr="00995B26">
        <w:rPr>
          <w:rFonts w:cs="Traditional Arabic" w:hint="cs"/>
          <w:sz w:val="28"/>
          <w:rtl/>
        </w:rPr>
        <w:t>﴿</w:t>
      </w:r>
      <w:r w:rsidR="00B06788" w:rsidRPr="0067048A">
        <w:rPr>
          <w:rFonts w:ascii="KFGQPC Uthmanic Script HAFS" w:cs="KFGQPC Uthmanic Script HAFS" w:hint="eastAsia"/>
          <w:sz w:val="28"/>
          <w:szCs w:val="28"/>
          <w:rtl/>
        </w:rPr>
        <w:t>عَسَى</w:t>
      </w:r>
      <w:r w:rsidR="00B06788" w:rsidRPr="0067048A">
        <w:rPr>
          <w:rFonts w:ascii="KFGQPC Uthmanic Script HAFS" w:cs="KFGQPC Uthmanic Script HAFS"/>
          <w:sz w:val="28"/>
          <w:szCs w:val="28"/>
          <w:rtl/>
        </w:rPr>
        <w:t xml:space="preserve"> </w:t>
      </w:r>
      <w:r w:rsidR="00B06788" w:rsidRPr="0067048A">
        <w:rPr>
          <w:rFonts w:ascii="KFGQPC Uthmanic Script HAFS" w:cs="KFGQPC Uthmanic Script HAFS" w:hint="cs"/>
          <w:sz w:val="28"/>
          <w:szCs w:val="28"/>
          <w:rtl/>
        </w:rPr>
        <w:t>ٱ</w:t>
      </w:r>
      <w:r w:rsidR="00B06788" w:rsidRPr="0067048A">
        <w:rPr>
          <w:rFonts w:ascii="KFGQPC Uthmanic Script HAFS" w:cs="KFGQPC Uthmanic Script HAFS" w:hint="eastAsia"/>
          <w:sz w:val="28"/>
          <w:szCs w:val="28"/>
          <w:rtl/>
        </w:rPr>
        <w:t>للَّهُ</w:t>
      </w:r>
      <w:r w:rsidR="00B06788" w:rsidRPr="0067048A">
        <w:rPr>
          <w:rFonts w:ascii="KFGQPC Uthmanic Script HAFS" w:cs="KFGQPC Uthmanic Script HAFS"/>
          <w:sz w:val="28"/>
          <w:szCs w:val="28"/>
          <w:rtl/>
        </w:rPr>
        <w:t xml:space="preserve"> </w:t>
      </w:r>
      <w:r w:rsidR="00B06788" w:rsidRPr="0067048A">
        <w:rPr>
          <w:rFonts w:ascii="KFGQPC Uthmanic Script HAFS" w:cs="KFGQPC Uthmanic Script HAFS" w:hint="eastAsia"/>
          <w:sz w:val="28"/>
          <w:szCs w:val="28"/>
          <w:rtl/>
        </w:rPr>
        <w:t>أَن</w:t>
      </w:r>
      <w:r w:rsidR="00B06788" w:rsidRPr="0067048A">
        <w:rPr>
          <w:rFonts w:ascii="KFGQPC Uthmanic Script HAFS" w:cs="KFGQPC Uthmanic Script HAFS"/>
          <w:sz w:val="28"/>
          <w:szCs w:val="28"/>
          <w:rtl/>
        </w:rPr>
        <w:t xml:space="preserve"> </w:t>
      </w:r>
      <w:r w:rsidR="00B06788" w:rsidRPr="0067048A">
        <w:rPr>
          <w:rFonts w:ascii="KFGQPC Uthmanic Script HAFS" w:cs="KFGQPC Uthmanic Script HAFS" w:hint="eastAsia"/>
          <w:sz w:val="28"/>
          <w:szCs w:val="28"/>
          <w:rtl/>
        </w:rPr>
        <w:t>يَج</w:t>
      </w:r>
      <w:r w:rsidR="00B06788" w:rsidRPr="0067048A">
        <w:rPr>
          <w:rFonts w:ascii="KFGQPC Uthmanic Script HAFS" w:cs="KFGQPC Uthmanic Script HAFS" w:hint="cs"/>
          <w:sz w:val="28"/>
          <w:szCs w:val="28"/>
          <w:rtl/>
        </w:rPr>
        <w:t>ۡ</w:t>
      </w:r>
      <w:r w:rsidR="00B06788" w:rsidRPr="0067048A">
        <w:rPr>
          <w:rFonts w:ascii="KFGQPC Uthmanic Script HAFS" w:cs="KFGQPC Uthmanic Script HAFS" w:hint="eastAsia"/>
          <w:sz w:val="28"/>
          <w:szCs w:val="28"/>
          <w:rtl/>
        </w:rPr>
        <w:t>عَلَ</w:t>
      </w:r>
      <w:r w:rsidR="00B06788" w:rsidRPr="0067048A">
        <w:rPr>
          <w:rFonts w:ascii="KFGQPC Uthmanic Script HAFS" w:cs="KFGQPC Uthmanic Script HAFS"/>
          <w:sz w:val="28"/>
          <w:szCs w:val="28"/>
          <w:rtl/>
        </w:rPr>
        <w:t xml:space="preserve"> </w:t>
      </w:r>
      <w:r w:rsidR="00B06788" w:rsidRPr="0067048A">
        <w:rPr>
          <w:rFonts w:ascii="KFGQPC Uthmanic Script HAFS" w:cs="KFGQPC Uthmanic Script HAFS" w:hint="eastAsia"/>
          <w:sz w:val="28"/>
          <w:szCs w:val="28"/>
          <w:rtl/>
        </w:rPr>
        <w:t>بَي</w:t>
      </w:r>
      <w:r w:rsidR="00B06788" w:rsidRPr="0067048A">
        <w:rPr>
          <w:rFonts w:ascii="KFGQPC Uthmanic Script HAFS" w:cs="KFGQPC Uthmanic Script HAFS" w:hint="cs"/>
          <w:sz w:val="28"/>
          <w:szCs w:val="28"/>
          <w:rtl/>
        </w:rPr>
        <w:t>ۡ</w:t>
      </w:r>
      <w:r w:rsidR="00B06788" w:rsidRPr="0067048A">
        <w:rPr>
          <w:rFonts w:ascii="KFGQPC Uthmanic Script HAFS" w:cs="KFGQPC Uthmanic Script HAFS" w:hint="eastAsia"/>
          <w:sz w:val="28"/>
          <w:szCs w:val="28"/>
          <w:rtl/>
        </w:rPr>
        <w:t>نَكُم</w:t>
      </w:r>
      <w:r w:rsidR="00B06788" w:rsidRPr="0067048A">
        <w:rPr>
          <w:rFonts w:ascii="KFGQPC Uthmanic Script HAFS" w:cs="KFGQPC Uthmanic Script HAFS" w:hint="cs"/>
          <w:sz w:val="28"/>
          <w:szCs w:val="28"/>
          <w:rtl/>
        </w:rPr>
        <w:t>ۡ</w:t>
      </w:r>
      <w:r w:rsidR="00B06788" w:rsidRPr="0067048A">
        <w:rPr>
          <w:rFonts w:ascii="KFGQPC Uthmanic Script HAFS" w:cs="KFGQPC Uthmanic Script HAFS"/>
          <w:sz w:val="28"/>
          <w:szCs w:val="28"/>
          <w:rtl/>
        </w:rPr>
        <w:t xml:space="preserve"> </w:t>
      </w:r>
      <w:r w:rsidR="00B06788" w:rsidRPr="0067048A">
        <w:rPr>
          <w:rFonts w:ascii="KFGQPC Uthmanic Script HAFS" w:cs="KFGQPC Uthmanic Script HAFS" w:hint="eastAsia"/>
          <w:sz w:val="28"/>
          <w:szCs w:val="28"/>
          <w:rtl/>
        </w:rPr>
        <w:t>وَبَي</w:t>
      </w:r>
      <w:r w:rsidR="00B06788" w:rsidRPr="0067048A">
        <w:rPr>
          <w:rFonts w:ascii="KFGQPC Uthmanic Script HAFS" w:cs="KFGQPC Uthmanic Script HAFS" w:hint="cs"/>
          <w:sz w:val="28"/>
          <w:szCs w:val="28"/>
          <w:rtl/>
        </w:rPr>
        <w:t>ۡ</w:t>
      </w:r>
      <w:r w:rsidR="00B06788" w:rsidRPr="0067048A">
        <w:rPr>
          <w:rFonts w:ascii="KFGQPC Uthmanic Script HAFS" w:cs="KFGQPC Uthmanic Script HAFS" w:hint="eastAsia"/>
          <w:sz w:val="28"/>
          <w:szCs w:val="28"/>
          <w:rtl/>
        </w:rPr>
        <w:t>نَ</w:t>
      </w:r>
      <w:r w:rsidR="00B06788" w:rsidRPr="0067048A">
        <w:rPr>
          <w:rFonts w:ascii="KFGQPC Uthmanic Script HAFS" w:cs="KFGQPC Uthmanic Script HAFS"/>
          <w:sz w:val="28"/>
          <w:szCs w:val="28"/>
          <w:rtl/>
        </w:rPr>
        <w:t xml:space="preserve"> </w:t>
      </w:r>
      <w:r w:rsidR="00B06788" w:rsidRPr="0067048A">
        <w:rPr>
          <w:rFonts w:ascii="KFGQPC Uthmanic Script HAFS" w:cs="KFGQPC Uthmanic Script HAFS" w:hint="cs"/>
          <w:sz w:val="28"/>
          <w:szCs w:val="28"/>
          <w:rtl/>
        </w:rPr>
        <w:t>ٱ</w:t>
      </w:r>
      <w:r w:rsidR="00B06788" w:rsidRPr="0067048A">
        <w:rPr>
          <w:rFonts w:ascii="KFGQPC Uthmanic Script HAFS" w:cs="KFGQPC Uthmanic Script HAFS" w:hint="eastAsia"/>
          <w:sz w:val="28"/>
          <w:szCs w:val="28"/>
          <w:rtl/>
        </w:rPr>
        <w:t>لَّذِينَ</w:t>
      </w:r>
      <w:r w:rsidR="00B06788" w:rsidRPr="0067048A">
        <w:rPr>
          <w:rFonts w:ascii="KFGQPC Uthmanic Script HAFS" w:cs="KFGQPC Uthmanic Script HAFS"/>
          <w:sz w:val="28"/>
          <w:szCs w:val="28"/>
          <w:rtl/>
        </w:rPr>
        <w:t xml:space="preserve"> </w:t>
      </w:r>
      <w:r w:rsidR="00B06788" w:rsidRPr="0067048A">
        <w:rPr>
          <w:rFonts w:ascii="KFGQPC Uthmanic Script HAFS" w:cs="KFGQPC Uthmanic Script HAFS" w:hint="eastAsia"/>
          <w:sz w:val="28"/>
          <w:szCs w:val="28"/>
          <w:rtl/>
        </w:rPr>
        <w:t>عَادَي</w:t>
      </w:r>
      <w:r w:rsidR="00B06788" w:rsidRPr="0067048A">
        <w:rPr>
          <w:rFonts w:ascii="KFGQPC Uthmanic Script HAFS" w:cs="KFGQPC Uthmanic Script HAFS" w:hint="cs"/>
          <w:sz w:val="28"/>
          <w:szCs w:val="28"/>
          <w:rtl/>
        </w:rPr>
        <w:t>ۡ</w:t>
      </w:r>
      <w:r w:rsidR="00B06788" w:rsidRPr="0067048A">
        <w:rPr>
          <w:rFonts w:ascii="KFGQPC Uthmanic Script HAFS" w:cs="KFGQPC Uthmanic Script HAFS" w:hint="eastAsia"/>
          <w:sz w:val="28"/>
          <w:szCs w:val="28"/>
          <w:rtl/>
        </w:rPr>
        <w:t>تُم</w:t>
      </w:r>
      <w:r w:rsidR="00B06788" w:rsidRPr="0067048A">
        <w:rPr>
          <w:rFonts w:ascii="KFGQPC Uthmanic Script HAFS" w:cs="KFGQPC Uthmanic Script HAFS"/>
          <w:sz w:val="28"/>
          <w:szCs w:val="28"/>
          <w:rtl/>
        </w:rPr>
        <w:t xml:space="preserve"> </w:t>
      </w:r>
      <w:r w:rsidR="00B06788" w:rsidRPr="0067048A">
        <w:rPr>
          <w:rFonts w:ascii="KFGQPC Uthmanic Script HAFS" w:cs="KFGQPC Uthmanic Script HAFS" w:hint="eastAsia"/>
          <w:sz w:val="28"/>
          <w:szCs w:val="28"/>
          <w:rtl/>
        </w:rPr>
        <w:t>مِّن</w:t>
      </w:r>
      <w:r w:rsidR="00B06788" w:rsidRPr="0067048A">
        <w:rPr>
          <w:rFonts w:ascii="KFGQPC Uthmanic Script HAFS" w:cs="KFGQPC Uthmanic Script HAFS" w:hint="cs"/>
          <w:sz w:val="28"/>
          <w:szCs w:val="28"/>
          <w:rtl/>
        </w:rPr>
        <w:t>ۡ</w:t>
      </w:r>
      <w:r w:rsidR="00B06788" w:rsidRPr="0067048A">
        <w:rPr>
          <w:rFonts w:ascii="KFGQPC Uthmanic Script HAFS" w:cs="KFGQPC Uthmanic Script HAFS" w:hint="eastAsia"/>
          <w:sz w:val="28"/>
          <w:szCs w:val="28"/>
          <w:rtl/>
        </w:rPr>
        <w:t>هُم</w:t>
      </w:r>
      <w:r w:rsidR="00B06788" w:rsidRPr="0067048A">
        <w:rPr>
          <w:rFonts w:ascii="KFGQPC Uthmanic Script HAFS" w:cs="KFGQPC Uthmanic Script HAFS"/>
          <w:sz w:val="28"/>
          <w:szCs w:val="28"/>
          <w:rtl/>
        </w:rPr>
        <w:t xml:space="preserve"> </w:t>
      </w:r>
      <w:r w:rsidR="00B06788" w:rsidRPr="0067048A">
        <w:rPr>
          <w:rFonts w:ascii="KFGQPC Uthmanic Script HAFS" w:cs="KFGQPC Uthmanic Script HAFS" w:hint="eastAsia"/>
          <w:sz w:val="28"/>
          <w:szCs w:val="28"/>
          <w:rtl/>
        </w:rPr>
        <w:t>مَّوَدَّة</w:t>
      </w:r>
      <w:r w:rsidR="00B06788" w:rsidRPr="0067048A">
        <w:rPr>
          <w:rFonts w:ascii="KFGQPC Uthmanic Script HAFS" w:cs="KFGQPC Uthmanic Script HAFS" w:hint="cs"/>
          <w:sz w:val="28"/>
          <w:szCs w:val="28"/>
          <w:rtl/>
        </w:rPr>
        <w:t>ٗ</w:t>
      </w:r>
      <w:r w:rsidR="00B06788" w:rsidRPr="00995B26">
        <w:rPr>
          <w:rFonts w:cs="Traditional Arabic" w:hint="cs"/>
          <w:sz w:val="28"/>
          <w:rtl/>
        </w:rPr>
        <w:t>﴾</w:t>
      </w:r>
      <w:r w:rsidR="00B06788" w:rsidRPr="00995B26">
        <w:rPr>
          <w:rFonts w:hint="cs"/>
          <w:sz w:val="28"/>
          <w:rtl/>
        </w:rPr>
        <w:t xml:space="preserve"> </w:t>
      </w:r>
      <w:r w:rsidRPr="003108CB">
        <w:rPr>
          <w:rStyle w:val="Char2"/>
          <w:rtl/>
        </w:rPr>
        <w:t>[الممتحنة</w:t>
      </w:r>
      <w:r w:rsidR="00B06788" w:rsidRPr="003108CB">
        <w:rPr>
          <w:rStyle w:val="Char2"/>
          <w:rFonts w:hint="cs"/>
          <w:rtl/>
        </w:rPr>
        <w:t xml:space="preserve">: </w:t>
      </w:r>
      <w:r w:rsidRPr="003108CB">
        <w:rPr>
          <w:rStyle w:val="Char2"/>
          <w:rtl/>
        </w:rPr>
        <w:t>7]</w:t>
      </w:r>
      <w:r w:rsidR="009E3C80" w:rsidRPr="00995B26">
        <w:rPr>
          <w:rFonts w:hint="cs"/>
          <w:sz w:val="28"/>
          <w:rtl/>
        </w:rPr>
        <w:t>.</w:t>
      </w:r>
    </w:p>
    <w:p w:rsidR="005C664D" w:rsidRPr="003F3B94" w:rsidRDefault="005C664D" w:rsidP="003F3B94">
      <w:pPr>
        <w:pStyle w:val="a0"/>
        <w:rPr>
          <w:rFonts w:hint="cs"/>
          <w:rtl/>
        </w:rPr>
      </w:pPr>
      <w:r w:rsidRPr="003F3B94">
        <w:rPr>
          <w:rFonts w:hint="cs"/>
          <w:sz w:val="28"/>
          <w:rtl/>
        </w:rPr>
        <w:t>و في الآيات التي نهت عن محبة الكفار تم النهي عن أدنى</w:t>
      </w:r>
      <w:r w:rsidR="00147857" w:rsidRPr="003F3B94">
        <w:rPr>
          <w:rFonts w:hint="cs"/>
          <w:sz w:val="28"/>
          <w:rtl/>
        </w:rPr>
        <w:t xml:space="preserve"> و</w:t>
      </w:r>
      <w:r w:rsidRPr="003F3B94">
        <w:rPr>
          <w:rFonts w:hint="cs"/>
          <w:sz w:val="28"/>
          <w:rtl/>
        </w:rPr>
        <w:t>أضعف درجات المحبة</w:t>
      </w:r>
      <w:r w:rsidR="00147857" w:rsidRPr="003F3B94">
        <w:rPr>
          <w:rFonts w:hint="cs"/>
          <w:sz w:val="28"/>
          <w:rtl/>
        </w:rPr>
        <w:t xml:space="preserve"> و</w:t>
      </w:r>
      <w:r w:rsidRPr="003F3B94">
        <w:rPr>
          <w:rFonts w:hint="cs"/>
          <w:sz w:val="28"/>
          <w:rtl/>
        </w:rPr>
        <w:t>هي «</w:t>
      </w:r>
      <w:r w:rsidRPr="003F3B94">
        <w:rPr>
          <w:b/>
          <w:bCs/>
          <w:sz w:val="28"/>
          <w:rtl/>
        </w:rPr>
        <w:t>المَوَدَّة</w:t>
      </w:r>
      <w:r w:rsidRPr="003F3B94">
        <w:rPr>
          <w:rFonts w:hint="cs"/>
          <w:sz w:val="28"/>
          <w:rtl/>
        </w:rPr>
        <w:t>»</w:t>
      </w:r>
      <w:r w:rsidR="002834A4" w:rsidRPr="003F3B94">
        <w:rPr>
          <w:rFonts w:hint="cs"/>
          <w:sz w:val="28"/>
          <w:rtl/>
        </w:rPr>
        <w:t xml:space="preserve"> </w:t>
      </w:r>
      <w:r w:rsidRPr="003F3B94">
        <w:rPr>
          <w:rFonts w:hint="cs"/>
          <w:sz w:val="28"/>
          <w:rtl/>
        </w:rPr>
        <w:t>كما في قوله تعالى في الآيتين التاليتين</w:t>
      </w:r>
      <w:r w:rsidR="00217AB4" w:rsidRPr="003F3B94">
        <w:rPr>
          <w:rFonts w:hint="cs"/>
          <w:sz w:val="28"/>
          <w:rtl/>
        </w:rPr>
        <w:t>:</w:t>
      </w:r>
    </w:p>
    <w:p w:rsidR="005C664D" w:rsidRPr="003F3B94" w:rsidRDefault="00B06788" w:rsidP="003762F6">
      <w:pPr>
        <w:pStyle w:val="a0"/>
        <w:ind w:left="284" w:firstLine="0"/>
        <w:rPr>
          <w:rFonts w:hint="cs"/>
          <w:rtl/>
        </w:rPr>
      </w:pPr>
      <w:r w:rsidRPr="00995B26">
        <w:rPr>
          <w:rFonts w:cs="Traditional Arabic" w:hint="cs"/>
          <w:sz w:val="28"/>
          <w:rtl/>
        </w:rPr>
        <w:t>﴿</w:t>
      </w:r>
      <w:r w:rsidRPr="0067048A">
        <w:rPr>
          <w:rFonts w:ascii="KFGQPC Uthmanic Script HAFS" w:cs="KFGQPC Uthmanic Script HAFS" w:hint="eastAsia"/>
          <w:sz w:val="28"/>
          <w:szCs w:val="28"/>
          <w:rtl/>
        </w:rPr>
        <w:t>يَ</w:t>
      </w:r>
      <w:r w:rsidRPr="0067048A">
        <w:rPr>
          <w:rFonts w:ascii="KFGQPC Uthmanic Script HAFS" w:cs="KFGQPC Uthmanic Script HAFS" w:hint="cs"/>
          <w:sz w:val="28"/>
          <w:szCs w:val="28"/>
          <w:rtl/>
        </w:rPr>
        <w:t>ٰٓ</w:t>
      </w:r>
      <w:r w:rsidRPr="0067048A">
        <w:rPr>
          <w:rFonts w:ascii="KFGQPC Uthmanic Script HAFS" w:cs="KFGQPC Uthmanic Script HAFS" w:hint="eastAsia"/>
          <w:sz w:val="28"/>
          <w:szCs w:val="28"/>
          <w:rtl/>
        </w:rPr>
        <w:t>أَيُّهَا</w:t>
      </w:r>
      <w:r w:rsidRPr="0067048A">
        <w:rPr>
          <w:rFonts w:ascii="KFGQPC Uthmanic Script HAFS" w:cs="KFGQPC Uthmanic Script HAFS"/>
          <w:sz w:val="28"/>
          <w:szCs w:val="28"/>
          <w:rtl/>
        </w:rPr>
        <w:t xml:space="preserve"> </w:t>
      </w:r>
      <w:r w:rsidRPr="0067048A">
        <w:rPr>
          <w:rFonts w:ascii="KFGQPC Uthmanic Script HAFS" w:cs="KFGQPC Uthmanic Script HAFS" w:hint="cs"/>
          <w:sz w:val="28"/>
          <w:szCs w:val="28"/>
          <w:rtl/>
        </w:rPr>
        <w:t>ٱ</w:t>
      </w:r>
      <w:r w:rsidRPr="0067048A">
        <w:rPr>
          <w:rFonts w:ascii="KFGQPC Uthmanic Script HAFS" w:cs="KFGQPC Uthmanic Script HAFS" w:hint="eastAsia"/>
          <w:sz w:val="28"/>
          <w:szCs w:val="28"/>
          <w:rtl/>
        </w:rPr>
        <w:t>لَّذِينَ</w:t>
      </w:r>
      <w:r w:rsidRPr="0067048A">
        <w:rPr>
          <w:rFonts w:ascii="KFGQPC Uthmanic Script HAFS" w:cs="KFGQPC Uthmanic Script HAFS"/>
          <w:sz w:val="28"/>
          <w:szCs w:val="28"/>
          <w:rtl/>
        </w:rPr>
        <w:t xml:space="preserve"> </w:t>
      </w:r>
      <w:r w:rsidRPr="0067048A">
        <w:rPr>
          <w:rFonts w:ascii="KFGQPC Uthmanic Script HAFS" w:cs="KFGQPC Uthmanic Script HAFS" w:hint="eastAsia"/>
          <w:sz w:val="28"/>
          <w:szCs w:val="28"/>
          <w:rtl/>
        </w:rPr>
        <w:t>ءَامَنُواْ</w:t>
      </w:r>
      <w:r w:rsidRPr="0067048A">
        <w:rPr>
          <w:rFonts w:ascii="KFGQPC Uthmanic Script HAFS" w:cs="KFGQPC Uthmanic Script HAFS"/>
          <w:sz w:val="28"/>
          <w:szCs w:val="28"/>
          <w:rtl/>
        </w:rPr>
        <w:t xml:space="preserve"> </w:t>
      </w:r>
      <w:r w:rsidRPr="0067048A">
        <w:rPr>
          <w:rFonts w:ascii="KFGQPC Uthmanic Script HAFS" w:cs="KFGQPC Uthmanic Script HAFS" w:hint="eastAsia"/>
          <w:sz w:val="28"/>
          <w:szCs w:val="28"/>
          <w:rtl/>
        </w:rPr>
        <w:t>لَا</w:t>
      </w:r>
      <w:r w:rsidRPr="0067048A">
        <w:rPr>
          <w:rFonts w:ascii="KFGQPC Uthmanic Script HAFS" w:cs="KFGQPC Uthmanic Script HAFS"/>
          <w:sz w:val="28"/>
          <w:szCs w:val="28"/>
          <w:rtl/>
        </w:rPr>
        <w:t xml:space="preserve"> </w:t>
      </w:r>
      <w:r w:rsidRPr="0067048A">
        <w:rPr>
          <w:rFonts w:ascii="KFGQPC Uthmanic Script HAFS" w:cs="KFGQPC Uthmanic Script HAFS" w:hint="eastAsia"/>
          <w:sz w:val="28"/>
          <w:szCs w:val="28"/>
          <w:rtl/>
        </w:rPr>
        <w:t>تَتَّخِذُواْ</w:t>
      </w:r>
      <w:r w:rsidRPr="0067048A">
        <w:rPr>
          <w:rFonts w:ascii="KFGQPC Uthmanic Script HAFS" w:cs="KFGQPC Uthmanic Script HAFS"/>
          <w:sz w:val="28"/>
          <w:szCs w:val="28"/>
          <w:rtl/>
        </w:rPr>
        <w:t xml:space="preserve"> </w:t>
      </w:r>
      <w:r w:rsidRPr="0067048A">
        <w:rPr>
          <w:rFonts w:ascii="KFGQPC Uthmanic Script HAFS" w:cs="KFGQPC Uthmanic Script HAFS" w:hint="eastAsia"/>
          <w:sz w:val="28"/>
          <w:szCs w:val="28"/>
          <w:rtl/>
        </w:rPr>
        <w:t>عَدُوِّي</w:t>
      </w:r>
      <w:r w:rsidRPr="0067048A">
        <w:rPr>
          <w:rFonts w:ascii="KFGQPC Uthmanic Script HAFS" w:cs="KFGQPC Uthmanic Script HAFS"/>
          <w:sz w:val="28"/>
          <w:szCs w:val="28"/>
          <w:rtl/>
        </w:rPr>
        <w:t xml:space="preserve"> </w:t>
      </w:r>
      <w:r w:rsidRPr="0067048A">
        <w:rPr>
          <w:rFonts w:ascii="KFGQPC Uthmanic Script HAFS" w:cs="KFGQPC Uthmanic Script HAFS" w:hint="eastAsia"/>
          <w:sz w:val="28"/>
          <w:szCs w:val="28"/>
          <w:rtl/>
        </w:rPr>
        <w:t>وَعَدُوَّكُم</w:t>
      </w:r>
      <w:r w:rsidRPr="0067048A">
        <w:rPr>
          <w:rFonts w:ascii="KFGQPC Uthmanic Script HAFS" w:cs="KFGQPC Uthmanic Script HAFS" w:hint="cs"/>
          <w:sz w:val="28"/>
          <w:szCs w:val="28"/>
          <w:rtl/>
        </w:rPr>
        <w:t>ۡ</w:t>
      </w:r>
      <w:r w:rsidRPr="0067048A">
        <w:rPr>
          <w:rFonts w:ascii="KFGQPC Uthmanic Script HAFS" w:cs="KFGQPC Uthmanic Script HAFS"/>
          <w:sz w:val="28"/>
          <w:szCs w:val="28"/>
          <w:rtl/>
        </w:rPr>
        <w:t xml:space="preserve"> </w:t>
      </w:r>
      <w:r w:rsidRPr="0067048A">
        <w:rPr>
          <w:rFonts w:ascii="KFGQPC Uthmanic Script HAFS" w:cs="KFGQPC Uthmanic Script HAFS" w:hint="eastAsia"/>
          <w:sz w:val="28"/>
          <w:szCs w:val="28"/>
          <w:rtl/>
        </w:rPr>
        <w:t>أَو</w:t>
      </w:r>
      <w:r w:rsidRPr="0067048A">
        <w:rPr>
          <w:rFonts w:ascii="KFGQPC Uthmanic Script HAFS" w:cs="KFGQPC Uthmanic Script HAFS" w:hint="cs"/>
          <w:sz w:val="28"/>
          <w:szCs w:val="28"/>
          <w:rtl/>
        </w:rPr>
        <w:t>ۡ</w:t>
      </w:r>
      <w:r w:rsidRPr="0067048A">
        <w:rPr>
          <w:rFonts w:ascii="KFGQPC Uthmanic Script HAFS" w:cs="KFGQPC Uthmanic Script HAFS" w:hint="eastAsia"/>
          <w:sz w:val="28"/>
          <w:szCs w:val="28"/>
          <w:rtl/>
        </w:rPr>
        <w:t>لِيَا</w:t>
      </w:r>
      <w:r w:rsidRPr="0067048A">
        <w:rPr>
          <w:rFonts w:ascii="KFGQPC Uthmanic Script HAFS" w:cs="KFGQPC Uthmanic Script HAFS" w:hint="cs"/>
          <w:sz w:val="28"/>
          <w:szCs w:val="28"/>
          <w:rtl/>
        </w:rPr>
        <w:t>ٓ</w:t>
      </w:r>
      <w:r w:rsidRPr="0067048A">
        <w:rPr>
          <w:rFonts w:ascii="KFGQPC Uthmanic Script HAFS" w:cs="KFGQPC Uthmanic Script HAFS" w:hint="eastAsia"/>
          <w:sz w:val="28"/>
          <w:szCs w:val="28"/>
          <w:rtl/>
        </w:rPr>
        <w:t>ءَ</w:t>
      </w:r>
      <w:r w:rsidRPr="0067048A">
        <w:rPr>
          <w:rFonts w:ascii="KFGQPC Uthmanic Script HAFS" w:cs="KFGQPC Uthmanic Script HAFS"/>
          <w:sz w:val="28"/>
          <w:szCs w:val="28"/>
          <w:rtl/>
        </w:rPr>
        <w:t xml:space="preserve"> </w:t>
      </w:r>
      <w:r w:rsidRPr="0067048A">
        <w:rPr>
          <w:rFonts w:ascii="KFGQPC Uthmanic Script HAFS" w:cs="KFGQPC Uthmanic Script HAFS" w:hint="eastAsia"/>
          <w:sz w:val="28"/>
          <w:szCs w:val="28"/>
          <w:rtl/>
        </w:rPr>
        <w:t>تُل</w:t>
      </w:r>
      <w:r w:rsidRPr="0067048A">
        <w:rPr>
          <w:rFonts w:ascii="KFGQPC Uthmanic Script HAFS" w:cs="KFGQPC Uthmanic Script HAFS" w:hint="cs"/>
          <w:sz w:val="28"/>
          <w:szCs w:val="28"/>
          <w:rtl/>
        </w:rPr>
        <w:t>ۡ</w:t>
      </w:r>
      <w:r w:rsidRPr="0067048A">
        <w:rPr>
          <w:rFonts w:ascii="KFGQPC Uthmanic Script HAFS" w:cs="KFGQPC Uthmanic Script HAFS" w:hint="eastAsia"/>
          <w:sz w:val="28"/>
          <w:szCs w:val="28"/>
          <w:rtl/>
        </w:rPr>
        <w:t>قُونَ</w:t>
      </w:r>
      <w:r w:rsidRPr="0067048A">
        <w:rPr>
          <w:rFonts w:ascii="KFGQPC Uthmanic Script HAFS" w:cs="KFGQPC Uthmanic Script HAFS"/>
          <w:sz w:val="28"/>
          <w:szCs w:val="28"/>
          <w:rtl/>
        </w:rPr>
        <w:t xml:space="preserve"> </w:t>
      </w:r>
      <w:r w:rsidRPr="0067048A">
        <w:rPr>
          <w:rFonts w:ascii="KFGQPC Uthmanic Script HAFS" w:cs="KFGQPC Uthmanic Script HAFS" w:hint="eastAsia"/>
          <w:sz w:val="28"/>
          <w:szCs w:val="28"/>
          <w:rtl/>
        </w:rPr>
        <w:t>إِلَي</w:t>
      </w:r>
      <w:r w:rsidRPr="0067048A">
        <w:rPr>
          <w:rFonts w:ascii="KFGQPC Uthmanic Script HAFS" w:cs="KFGQPC Uthmanic Script HAFS" w:hint="cs"/>
          <w:sz w:val="28"/>
          <w:szCs w:val="28"/>
          <w:rtl/>
        </w:rPr>
        <w:t>ۡ</w:t>
      </w:r>
      <w:r w:rsidRPr="0067048A">
        <w:rPr>
          <w:rFonts w:ascii="KFGQPC Uthmanic Script HAFS" w:cs="KFGQPC Uthmanic Script HAFS" w:hint="eastAsia"/>
          <w:sz w:val="28"/>
          <w:szCs w:val="28"/>
          <w:rtl/>
        </w:rPr>
        <w:t>هِم</w:t>
      </w:r>
      <w:r w:rsidRPr="0067048A">
        <w:rPr>
          <w:rFonts w:ascii="KFGQPC Uthmanic Script HAFS" w:cs="KFGQPC Uthmanic Script HAFS"/>
          <w:sz w:val="28"/>
          <w:szCs w:val="28"/>
          <w:rtl/>
        </w:rPr>
        <w:t xml:space="preserve"> </w:t>
      </w:r>
      <w:r w:rsidRPr="0067048A">
        <w:rPr>
          <w:rFonts w:ascii="KFGQPC Uthmanic Script HAFS" w:cs="KFGQPC Uthmanic Script HAFS" w:hint="eastAsia"/>
          <w:sz w:val="28"/>
          <w:szCs w:val="28"/>
          <w:rtl/>
        </w:rPr>
        <w:t>بِ</w:t>
      </w:r>
      <w:r w:rsidRPr="0067048A">
        <w:rPr>
          <w:rFonts w:ascii="KFGQPC Uthmanic Script HAFS" w:cs="KFGQPC Uthmanic Script HAFS" w:hint="cs"/>
          <w:sz w:val="28"/>
          <w:szCs w:val="28"/>
          <w:rtl/>
        </w:rPr>
        <w:t>ٱ</w:t>
      </w:r>
      <w:r w:rsidRPr="0067048A">
        <w:rPr>
          <w:rFonts w:ascii="KFGQPC Uthmanic Script HAFS" w:cs="KFGQPC Uthmanic Script HAFS" w:hint="eastAsia"/>
          <w:sz w:val="28"/>
          <w:szCs w:val="28"/>
          <w:rtl/>
        </w:rPr>
        <w:t>ل</w:t>
      </w:r>
      <w:r w:rsidRPr="0067048A">
        <w:rPr>
          <w:rFonts w:ascii="KFGQPC Uthmanic Script HAFS" w:cs="KFGQPC Uthmanic Script HAFS" w:hint="cs"/>
          <w:sz w:val="28"/>
          <w:szCs w:val="28"/>
          <w:rtl/>
        </w:rPr>
        <w:t>ۡ</w:t>
      </w:r>
      <w:r w:rsidRPr="0067048A">
        <w:rPr>
          <w:rFonts w:ascii="KFGQPC Uthmanic Script HAFS" w:cs="KFGQPC Uthmanic Script HAFS" w:hint="eastAsia"/>
          <w:sz w:val="28"/>
          <w:szCs w:val="28"/>
          <w:rtl/>
        </w:rPr>
        <w:t>مَوَدَّةِ</w:t>
      </w:r>
      <w:r w:rsidRPr="0067048A">
        <w:rPr>
          <w:rFonts w:ascii="KFGQPC Uthmanic Script HAFS" w:cs="KFGQPC Uthmanic Script HAFS"/>
          <w:sz w:val="28"/>
          <w:szCs w:val="28"/>
          <w:rtl/>
        </w:rPr>
        <w:t xml:space="preserve"> </w:t>
      </w:r>
      <w:r w:rsidRPr="0067048A">
        <w:rPr>
          <w:rFonts w:ascii="KFGQPC Uthmanic Script HAFS" w:cs="KFGQPC Uthmanic Script HAFS" w:hint="eastAsia"/>
          <w:sz w:val="28"/>
          <w:szCs w:val="28"/>
          <w:rtl/>
        </w:rPr>
        <w:t>وَقَد</w:t>
      </w:r>
      <w:r w:rsidRPr="0067048A">
        <w:rPr>
          <w:rFonts w:ascii="KFGQPC Uthmanic Script HAFS" w:cs="KFGQPC Uthmanic Script HAFS" w:hint="cs"/>
          <w:sz w:val="28"/>
          <w:szCs w:val="28"/>
          <w:rtl/>
        </w:rPr>
        <w:t>ۡ</w:t>
      </w:r>
      <w:r w:rsidRPr="0067048A">
        <w:rPr>
          <w:rFonts w:ascii="KFGQPC Uthmanic Script HAFS" w:cs="KFGQPC Uthmanic Script HAFS"/>
          <w:sz w:val="28"/>
          <w:szCs w:val="28"/>
          <w:rtl/>
        </w:rPr>
        <w:t xml:space="preserve"> </w:t>
      </w:r>
      <w:r w:rsidRPr="0067048A">
        <w:rPr>
          <w:rFonts w:ascii="KFGQPC Uthmanic Script HAFS" w:cs="KFGQPC Uthmanic Script HAFS" w:hint="eastAsia"/>
          <w:sz w:val="28"/>
          <w:szCs w:val="28"/>
          <w:rtl/>
        </w:rPr>
        <w:t>كَفَرُواْ</w:t>
      </w:r>
      <w:r w:rsidRPr="0067048A">
        <w:rPr>
          <w:rFonts w:ascii="KFGQPC Uthmanic Script HAFS" w:cs="KFGQPC Uthmanic Script HAFS"/>
          <w:sz w:val="28"/>
          <w:szCs w:val="28"/>
          <w:rtl/>
        </w:rPr>
        <w:t xml:space="preserve"> </w:t>
      </w:r>
      <w:r w:rsidRPr="0067048A">
        <w:rPr>
          <w:rFonts w:ascii="KFGQPC Uthmanic Script HAFS" w:cs="KFGQPC Uthmanic Script HAFS" w:hint="eastAsia"/>
          <w:sz w:val="28"/>
          <w:szCs w:val="28"/>
          <w:rtl/>
        </w:rPr>
        <w:t>بِمَا</w:t>
      </w:r>
      <w:r w:rsidRPr="0067048A">
        <w:rPr>
          <w:rFonts w:ascii="KFGQPC Uthmanic Script HAFS" w:cs="KFGQPC Uthmanic Script HAFS"/>
          <w:sz w:val="28"/>
          <w:szCs w:val="28"/>
          <w:rtl/>
        </w:rPr>
        <w:t xml:space="preserve"> </w:t>
      </w:r>
      <w:r w:rsidRPr="0067048A">
        <w:rPr>
          <w:rFonts w:ascii="KFGQPC Uthmanic Script HAFS" w:cs="KFGQPC Uthmanic Script HAFS" w:hint="eastAsia"/>
          <w:sz w:val="28"/>
          <w:szCs w:val="28"/>
          <w:rtl/>
        </w:rPr>
        <w:t>جَا</w:t>
      </w:r>
      <w:r w:rsidRPr="0067048A">
        <w:rPr>
          <w:rFonts w:ascii="KFGQPC Uthmanic Script HAFS" w:cs="KFGQPC Uthmanic Script HAFS" w:hint="cs"/>
          <w:sz w:val="28"/>
          <w:szCs w:val="28"/>
          <w:rtl/>
        </w:rPr>
        <w:t>ٓ</w:t>
      </w:r>
      <w:r w:rsidRPr="0067048A">
        <w:rPr>
          <w:rFonts w:ascii="KFGQPC Uthmanic Script HAFS" w:cs="KFGQPC Uthmanic Script HAFS" w:hint="eastAsia"/>
          <w:sz w:val="28"/>
          <w:szCs w:val="28"/>
          <w:rtl/>
        </w:rPr>
        <w:t>ءَكُم</w:t>
      </w:r>
      <w:r w:rsidRPr="0067048A">
        <w:rPr>
          <w:rFonts w:ascii="KFGQPC Uthmanic Script HAFS" w:cs="KFGQPC Uthmanic Script HAFS"/>
          <w:sz w:val="28"/>
          <w:szCs w:val="28"/>
          <w:rtl/>
        </w:rPr>
        <w:t xml:space="preserve"> </w:t>
      </w:r>
      <w:r w:rsidRPr="0067048A">
        <w:rPr>
          <w:rFonts w:ascii="KFGQPC Uthmanic Script HAFS" w:cs="KFGQPC Uthmanic Script HAFS" w:hint="eastAsia"/>
          <w:sz w:val="28"/>
          <w:szCs w:val="28"/>
          <w:rtl/>
        </w:rPr>
        <w:t>مِّنَ</w:t>
      </w:r>
      <w:r w:rsidRPr="0067048A">
        <w:rPr>
          <w:rFonts w:ascii="KFGQPC Uthmanic Script HAFS" w:cs="KFGQPC Uthmanic Script HAFS"/>
          <w:sz w:val="28"/>
          <w:szCs w:val="28"/>
          <w:rtl/>
        </w:rPr>
        <w:t xml:space="preserve"> </w:t>
      </w:r>
      <w:r w:rsidRPr="0067048A">
        <w:rPr>
          <w:rFonts w:ascii="KFGQPC Uthmanic Script HAFS" w:cs="KFGQPC Uthmanic Script HAFS" w:hint="cs"/>
          <w:sz w:val="28"/>
          <w:szCs w:val="28"/>
          <w:rtl/>
        </w:rPr>
        <w:t>ٱ</w:t>
      </w:r>
      <w:r w:rsidRPr="0067048A">
        <w:rPr>
          <w:rFonts w:ascii="KFGQPC Uthmanic Script HAFS" w:cs="KFGQPC Uthmanic Script HAFS" w:hint="eastAsia"/>
          <w:sz w:val="28"/>
          <w:szCs w:val="28"/>
          <w:rtl/>
        </w:rPr>
        <w:t>ل</w:t>
      </w:r>
      <w:r w:rsidRPr="0067048A">
        <w:rPr>
          <w:rFonts w:ascii="KFGQPC Uthmanic Script HAFS" w:cs="KFGQPC Uthmanic Script HAFS" w:hint="cs"/>
          <w:sz w:val="28"/>
          <w:szCs w:val="28"/>
          <w:rtl/>
        </w:rPr>
        <w:t>ۡ</w:t>
      </w:r>
      <w:r w:rsidRPr="0067048A">
        <w:rPr>
          <w:rFonts w:ascii="KFGQPC Uthmanic Script HAFS" w:cs="KFGQPC Uthmanic Script HAFS" w:hint="eastAsia"/>
          <w:sz w:val="28"/>
          <w:szCs w:val="28"/>
          <w:rtl/>
        </w:rPr>
        <w:t>حَقِّ</w:t>
      </w:r>
      <w:r w:rsidRPr="00995B26">
        <w:rPr>
          <w:rFonts w:ascii="KFGQPC Uthmanic Script HAFS" w:cs="Times New Roman" w:hint="cs"/>
          <w:sz w:val="28"/>
          <w:rtl/>
        </w:rPr>
        <w:t>...</w:t>
      </w:r>
      <w:r w:rsidRPr="00995B26">
        <w:rPr>
          <w:rFonts w:cs="Traditional Arabic" w:hint="cs"/>
          <w:sz w:val="28"/>
          <w:rtl/>
        </w:rPr>
        <w:t>﴾</w:t>
      </w:r>
      <w:r w:rsidR="005C664D" w:rsidRPr="003F3B94">
        <w:rPr>
          <w:sz w:val="28"/>
          <w:rtl/>
        </w:rPr>
        <w:t xml:space="preserve"> </w:t>
      </w:r>
      <w:r w:rsidR="005C664D" w:rsidRPr="003108CB">
        <w:rPr>
          <w:rStyle w:val="Char2"/>
          <w:rtl/>
        </w:rPr>
        <w:t>[الممتحنة</w:t>
      </w:r>
      <w:r w:rsidRPr="003108CB">
        <w:rPr>
          <w:rStyle w:val="Char2"/>
          <w:rFonts w:hint="cs"/>
          <w:rtl/>
        </w:rPr>
        <w:t xml:space="preserve">: </w:t>
      </w:r>
      <w:r w:rsidR="005C664D" w:rsidRPr="003108CB">
        <w:rPr>
          <w:rStyle w:val="Char2"/>
          <w:rtl/>
        </w:rPr>
        <w:t>1]</w:t>
      </w:r>
    </w:p>
    <w:p w:rsidR="005C664D" w:rsidRPr="003F3B94" w:rsidRDefault="00B06788" w:rsidP="003762F6">
      <w:pPr>
        <w:pStyle w:val="a0"/>
        <w:ind w:left="284" w:firstLine="0"/>
        <w:rPr>
          <w:rFonts w:hint="cs"/>
          <w:rtl/>
        </w:rPr>
      </w:pPr>
      <w:r w:rsidRPr="00995B26">
        <w:rPr>
          <w:rFonts w:cs="Traditional Arabic" w:hint="cs"/>
          <w:sz w:val="28"/>
          <w:rtl/>
        </w:rPr>
        <w:t>﴿</w:t>
      </w:r>
      <w:r w:rsidRPr="0067048A">
        <w:rPr>
          <w:rFonts w:ascii="KFGQPC Uthmanic Script HAFS" w:cs="KFGQPC Uthmanic Script HAFS" w:hint="eastAsia"/>
          <w:sz w:val="28"/>
          <w:szCs w:val="28"/>
          <w:rtl/>
        </w:rPr>
        <w:t>لَّا</w:t>
      </w:r>
      <w:r w:rsidRPr="0067048A">
        <w:rPr>
          <w:rFonts w:ascii="KFGQPC Uthmanic Script HAFS" w:cs="KFGQPC Uthmanic Script HAFS"/>
          <w:sz w:val="28"/>
          <w:szCs w:val="28"/>
          <w:rtl/>
        </w:rPr>
        <w:t xml:space="preserve"> </w:t>
      </w:r>
      <w:r w:rsidRPr="0067048A">
        <w:rPr>
          <w:rFonts w:ascii="KFGQPC Uthmanic Script HAFS" w:cs="KFGQPC Uthmanic Script HAFS" w:hint="eastAsia"/>
          <w:sz w:val="28"/>
          <w:szCs w:val="28"/>
          <w:rtl/>
        </w:rPr>
        <w:t>تَجِدُ</w:t>
      </w:r>
      <w:r w:rsidRPr="0067048A">
        <w:rPr>
          <w:rFonts w:ascii="KFGQPC Uthmanic Script HAFS" w:cs="KFGQPC Uthmanic Script HAFS"/>
          <w:sz w:val="28"/>
          <w:szCs w:val="28"/>
          <w:rtl/>
        </w:rPr>
        <w:t xml:space="preserve"> </w:t>
      </w:r>
      <w:r w:rsidRPr="0067048A">
        <w:rPr>
          <w:rFonts w:ascii="KFGQPC Uthmanic Script HAFS" w:cs="KFGQPC Uthmanic Script HAFS" w:hint="eastAsia"/>
          <w:sz w:val="28"/>
          <w:szCs w:val="28"/>
          <w:rtl/>
        </w:rPr>
        <w:t>قَو</w:t>
      </w:r>
      <w:r w:rsidRPr="0067048A">
        <w:rPr>
          <w:rFonts w:ascii="KFGQPC Uthmanic Script HAFS" w:cs="KFGQPC Uthmanic Script HAFS" w:hint="cs"/>
          <w:sz w:val="28"/>
          <w:szCs w:val="28"/>
          <w:rtl/>
        </w:rPr>
        <w:t>ۡ</w:t>
      </w:r>
      <w:r w:rsidRPr="0067048A">
        <w:rPr>
          <w:rFonts w:ascii="KFGQPC Uthmanic Script HAFS" w:cs="KFGQPC Uthmanic Script HAFS" w:hint="eastAsia"/>
          <w:sz w:val="28"/>
          <w:szCs w:val="28"/>
          <w:rtl/>
        </w:rPr>
        <w:t>م</w:t>
      </w:r>
      <w:r w:rsidRPr="0067048A">
        <w:rPr>
          <w:rFonts w:ascii="KFGQPC Uthmanic Script HAFS" w:cs="KFGQPC Uthmanic Script HAFS" w:hint="cs"/>
          <w:sz w:val="28"/>
          <w:szCs w:val="28"/>
          <w:rtl/>
        </w:rPr>
        <w:t>ٗ</w:t>
      </w:r>
      <w:r w:rsidRPr="0067048A">
        <w:rPr>
          <w:rFonts w:ascii="KFGQPC Uthmanic Script HAFS" w:cs="KFGQPC Uthmanic Script HAFS" w:hint="eastAsia"/>
          <w:sz w:val="28"/>
          <w:szCs w:val="28"/>
          <w:rtl/>
        </w:rPr>
        <w:t>ا</w:t>
      </w:r>
      <w:r w:rsidRPr="0067048A">
        <w:rPr>
          <w:rFonts w:ascii="KFGQPC Uthmanic Script HAFS" w:cs="KFGQPC Uthmanic Script HAFS"/>
          <w:sz w:val="28"/>
          <w:szCs w:val="28"/>
          <w:rtl/>
        </w:rPr>
        <w:t xml:space="preserve"> </w:t>
      </w:r>
      <w:r w:rsidRPr="0067048A">
        <w:rPr>
          <w:rFonts w:ascii="KFGQPC Uthmanic Script HAFS" w:cs="KFGQPC Uthmanic Script HAFS" w:hint="eastAsia"/>
          <w:sz w:val="28"/>
          <w:szCs w:val="28"/>
          <w:rtl/>
        </w:rPr>
        <w:t>يُؤ</w:t>
      </w:r>
      <w:r w:rsidRPr="0067048A">
        <w:rPr>
          <w:rFonts w:ascii="KFGQPC Uthmanic Script HAFS" w:cs="KFGQPC Uthmanic Script HAFS" w:hint="cs"/>
          <w:sz w:val="28"/>
          <w:szCs w:val="28"/>
          <w:rtl/>
        </w:rPr>
        <w:t>ۡ</w:t>
      </w:r>
      <w:r w:rsidRPr="0067048A">
        <w:rPr>
          <w:rFonts w:ascii="KFGQPC Uthmanic Script HAFS" w:cs="KFGQPC Uthmanic Script HAFS" w:hint="eastAsia"/>
          <w:sz w:val="28"/>
          <w:szCs w:val="28"/>
          <w:rtl/>
        </w:rPr>
        <w:t>مِنُونَ</w:t>
      </w:r>
      <w:r w:rsidRPr="0067048A">
        <w:rPr>
          <w:rFonts w:ascii="KFGQPC Uthmanic Script HAFS" w:cs="KFGQPC Uthmanic Script HAFS"/>
          <w:sz w:val="28"/>
          <w:szCs w:val="28"/>
          <w:rtl/>
        </w:rPr>
        <w:t xml:space="preserve"> </w:t>
      </w:r>
      <w:r w:rsidRPr="0067048A">
        <w:rPr>
          <w:rFonts w:ascii="KFGQPC Uthmanic Script HAFS" w:cs="KFGQPC Uthmanic Script HAFS" w:hint="eastAsia"/>
          <w:sz w:val="28"/>
          <w:szCs w:val="28"/>
          <w:rtl/>
        </w:rPr>
        <w:t>بِ</w:t>
      </w:r>
      <w:r w:rsidRPr="0067048A">
        <w:rPr>
          <w:rFonts w:ascii="KFGQPC Uthmanic Script HAFS" w:cs="KFGQPC Uthmanic Script HAFS" w:hint="cs"/>
          <w:sz w:val="28"/>
          <w:szCs w:val="28"/>
          <w:rtl/>
        </w:rPr>
        <w:t>ٱ</w:t>
      </w:r>
      <w:r w:rsidRPr="0067048A">
        <w:rPr>
          <w:rFonts w:ascii="KFGQPC Uthmanic Script HAFS" w:cs="KFGQPC Uthmanic Script HAFS" w:hint="eastAsia"/>
          <w:sz w:val="28"/>
          <w:szCs w:val="28"/>
          <w:rtl/>
        </w:rPr>
        <w:t>للَّهِ</w:t>
      </w:r>
      <w:r w:rsidRPr="0067048A">
        <w:rPr>
          <w:rFonts w:ascii="KFGQPC Uthmanic Script HAFS" w:cs="KFGQPC Uthmanic Script HAFS"/>
          <w:sz w:val="28"/>
          <w:szCs w:val="28"/>
          <w:rtl/>
        </w:rPr>
        <w:t xml:space="preserve"> </w:t>
      </w:r>
      <w:r w:rsidRPr="0067048A">
        <w:rPr>
          <w:rFonts w:ascii="KFGQPC Uthmanic Script HAFS" w:cs="KFGQPC Uthmanic Script HAFS" w:hint="eastAsia"/>
          <w:sz w:val="28"/>
          <w:szCs w:val="28"/>
          <w:rtl/>
        </w:rPr>
        <w:t>وَ</w:t>
      </w:r>
      <w:r w:rsidRPr="0067048A">
        <w:rPr>
          <w:rFonts w:ascii="KFGQPC Uthmanic Script HAFS" w:cs="KFGQPC Uthmanic Script HAFS" w:hint="cs"/>
          <w:sz w:val="28"/>
          <w:szCs w:val="28"/>
          <w:rtl/>
        </w:rPr>
        <w:t>ٱ</w:t>
      </w:r>
      <w:r w:rsidRPr="0067048A">
        <w:rPr>
          <w:rFonts w:ascii="KFGQPC Uthmanic Script HAFS" w:cs="KFGQPC Uthmanic Script HAFS" w:hint="eastAsia"/>
          <w:sz w:val="28"/>
          <w:szCs w:val="28"/>
          <w:rtl/>
        </w:rPr>
        <w:t>ل</w:t>
      </w:r>
      <w:r w:rsidRPr="0067048A">
        <w:rPr>
          <w:rFonts w:ascii="KFGQPC Uthmanic Script HAFS" w:cs="KFGQPC Uthmanic Script HAFS" w:hint="cs"/>
          <w:sz w:val="28"/>
          <w:szCs w:val="28"/>
          <w:rtl/>
        </w:rPr>
        <w:t>ۡ</w:t>
      </w:r>
      <w:r w:rsidRPr="0067048A">
        <w:rPr>
          <w:rFonts w:ascii="KFGQPC Uthmanic Script HAFS" w:cs="KFGQPC Uthmanic Script HAFS" w:hint="eastAsia"/>
          <w:sz w:val="28"/>
          <w:szCs w:val="28"/>
          <w:rtl/>
        </w:rPr>
        <w:t>يَو</w:t>
      </w:r>
      <w:r w:rsidRPr="0067048A">
        <w:rPr>
          <w:rFonts w:ascii="KFGQPC Uthmanic Script HAFS" w:cs="KFGQPC Uthmanic Script HAFS" w:hint="cs"/>
          <w:sz w:val="28"/>
          <w:szCs w:val="28"/>
          <w:rtl/>
        </w:rPr>
        <w:t>ۡ</w:t>
      </w:r>
      <w:r w:rsidRPr="0067048A">
        <w:rPr>
          <w:rFonts w:ascii="KFGQPC Uthmanic Script HAFS" w:cs="KFGQPC Uthmanic Script HAFS" w:hint="eastAsia"/>
          <w:sz w:val="28"/>
          <w:szCs w:val="28"/>
          <w:rtl/>
        </w:rPr>
        <w:t>مِ</w:t>
      </w:r>
      <w:r w:rsidRPr="0067048A">
        <w:rPr>
          <w:rFonts w:ascii="KFGQPC Uthmanic Script HAFS" w:cs="KFGQPC Uthmanic Script HAFS"/>
          <w:sz w:val="28"/>
          <w:szCs w:val="28"/>
          <w:rtl/>
        </w:rPr>
        <w:t xml:space="preserve"> </w:t>
      </w:r>
      <w:r w:rsidRPr="0067048A">
        <w:rPr>
          <w:rFonts w:ascii="KFGQPC Uthmanic Script HAFS" w:cs="KFGQPC Uthmanic Script HAFS" w:hint="cs"/>
          <w:sz w:val="28"/>
          <w:szCs w:val="28"/>
          <w:rtl/>
        </w:rPr>
        <w:t>ٱ</w:t>
      </w:r>
      <w:r w:rsidRPr="0067048A">
        <w:rPr>
          <w:rFonts w:ascii="KFGQPC Uthmanic Script HAFS" w:cs="KFGQPC Uthmanic Script HAFS" w:hint="eastAsia"/>
          <w:sz w:val="28"/>
          <w:szCs w:val="28"/>
          <w:rtl/>
        </w:rPr>
        <w:t>ل</w:t>
      </w:r>
      <w:r w:rsidRPr="0067048A">
        <w:rPr>
          <w:rFonts w:ascii="KFGQPC Uthmanic Script HAFS" w:cs="KFGQPC Uthmanic Script HAFS" w:hint="cs"/>
          <w:sz w:val="28"/>
          <w:szCs w:val="28"/>
          <w:rtl/>
        </w:rPr>
        <w:t>ۡ</w:t>
      </w:r>
      <w:r w:rsidRPr="0067048A">
        <w:rPr>
          <w:rFonts w:ascii="KFGQPC Uthmanic Script HAFS" w:cs="KFGQPC Uthmanic Script HAFS" w:hint="eastAsia"/>
          <w:sz w:val="28"/>
          <w:szCs w:val="28"/>
          <w:rtl/>
        </w:rPr>
        <w:t>أ</w:t>
      </w:r>
      <w:r w:rsidRPr="0067048A">
        <w:rPr>
          <w:rFonts w:ascii="KFGQPC Uthmanic Script HAFS" w:cs="KFGQPC Uthmanic Script HAFS" w:hint="cs"/>
          <w:sz w:val="28"/>
          <w:szCs w:val="28"/>
          <w:rtl/>
        </w:rPr>
        <w:t>ٓ</w:t>
      </w:r>
      <w:r w:rsidRPr="0067048A">
        <w:rPr>
          <w:rFonts w:ascii="KFGQPC Uthmanic Script HAFS" w:cs="KFGQPC Uthmanic Script HAFS" w:hint="eastAsia"/>
          <w:sz w:val="28"/>
          <w:szCs w:val="28"/>
          <w:rtl/>
        </w:rPr>
        <w:t>خِرِ</w:t>
      </w:r>
      <w:r w:rsidRPr="0067048A">
        <w:rPr>
          <w:rFonts w:ascii="KFGQPC Uthmanic Script HAFS" w:cs="KFGQPC Uthmanic Script HAFS"/>
          <w:sz w:val="28"/>
          <w:szCs w:val="28"/>
          <w:rtl/>
        </w:rPr>
        <w:t xml:space="preserve"> </w:t>
      </w:r>
      <w:r w:rsidRPr="0067048A">
        <w:rPr>
          <w:rFonts w:ascii="KFGQPC Uthmanic Script HAFS" w:cs="KFGQPC Uthmanic Script HAFS" w:hint="eastAsia"/>
          <w:sz w:val="28"/>
          <w:szCs w:val="28"/>
          <w:rtl/>
        </w:rPr>
        <w:t>يُوَا</w:t>
      </w:r>
      <w:r w:rsidRPr="0067048A">
        <w:rPr>
          <w:rFonts w:ascii="KFGQPC Uthmanic Script HAFS" w:cs="KFGQPC Uthmanic Script HAFS" w:hint="cs"/>
          <w:sz w:val="28"/>
          <w:szCs w:val="28"/>
          <w:rtl/>
        </w:rPr>
        <w:t>ٓ</w:t>
      </w:r>
      <w:r w:rsidRPr="0067048A">
        <w:rPr>
          <w:rFonts w:ascii="KFGQPC Uthmanic Script HAFS" w:cs="KFGQPC Uthmanic Script HAFS" w:hint="eastAsia"/>
          <w:sz w:val="28"/>
          <w:szCs w:val="28"/>
          <w:rtl/>
        </w:rPr>
        <w:t>دُّونَ</w:t>
      </w:r>
      <w:r w:rsidRPr="0067048A">
        <w:rPr>
          <w:rFonts w:ascii="KFGQPC Uthmanic Script HAFS" w:cs="KFGQPC Uthmanic Script HAFS"/>
          <w:sz w:val="28"/>
          <w:szCs w:val="28"/>
          <w:rtl/>
        </w:rPr>
        <w:t xml:space="preserve"> </w:t>
      </w:r>
      <w:r w:rsidRPr="0067048A">
        <w:rPr>
          <w:rFonts w:ascii="KFGQPC Uthmanic Script HAFS" w:cs="KFGQPC Uthmanic Script HAFS" w:hint="eastAsia"/>
          <w:sz w:val="28"/>
          <w:szCs w:val="28"/>
          <w:rtl/>
        </w:rPr>
        <w:t>مَن</w:t>
      </w:r>
      <w:r w:rsidRPr="0067048A">
        <w:rPr>
          <w:rFonts w:ascii="KFGQPC Uthmanic Script HAFS" w:cs="KFGQPC Uthmanic Script HAFS" w:hint="cs"/>
          <w:sz w:val="28"/>
          <w:szCs w:val="28"/>
          <w:rtl/>
        </w:rPr>
        <w:t>ۡ</w:t>
      </w:r>
      <w:r w:rsidRPr="0067048A">
        <w:rPr>
          <w:rFonts w:ascii="KFGQPC Uthmanic Script HAFS" w:cs="KFGQPC Uthmanic Script HAFS"/>
          <w:sz w:val="28"/>
          <w:szCs w:val="28"/>
          <w:rtl/>
        </w:rPr>
        <w:t xml:space="preserve"> </w:t>
      </w:r>
      <w:r w:rsidRPr="0067048A">
        <w:rPr>
          <w:rFonts w:ascii="KFGQPC Uthmanic Script HAFS" w:cs="KFGQPC Uthmanic Script HAFS" w:hint="eastAsia"/>
          <w:sz w:val="28"/>
          <w:szCs w:val="28"/>
          <w:rtl/>
        </w:rPr>
        <w:t>حَا</w:t>
      </w:r>
      <w:r w:rsidRPr="0067048A">
        <w:rPr>
          <w:rFonts w:ascii="KFGQPC Uthmanic Script HAFS" w:cs="KFGQPC Uthmanic Script HAFS" w:hint="cs"/>
          <w:sz w:val="28"/>
          <w:szCs w:val="28"/>
          <w:rtl/>
        </w:rPr>
        <w:t>ٓ</w:t>
      </w:r>
      <w:r w:rsidRPr="0067048A">
        <w:rPr>
          <w:rFonts w:ascii="KFGQPC Uthmanic Script HAFS" w:cs="KFGQPC Uthmanic Script HAFS" w:hint="eastAsia"/>
          <w:sz w:val="28"/>
          <w:szCs w:val="28"/>
          <w:rtl/>
        </w:rPr>
        <w:t>دَّ</w:t>
      </w:r>
      <w:r w:rsidRPr="0067048A">
        <w:rPr>
          <w:rFonts w:ascii="KFGQPC Uthmanic Script HAFS" w:cs="KFGQPC Uthmanic Script HAFS"/>
          <w:sz w:val="28"/>
          <w:szCs w:val="28"/>
          <w:rtl/>
        </w:rPr>
        <w:t xml:space="preserve"> </w:t>
      </w:r>
      <w:r w:rsidRPr="0067048A">
        <w:rPr>
          <w:rFonts w:ascii="KFGQPC Uthmanic Script HAFS" w:cs="KFGQPC Uthmanic Script HAFS" w:hint="cs"/>
          <w:sz w:val="28"/>
          <w:szCs w:val="28"/>
          <w:rtl/>
        </w:rPr>
        <w:t>ٱ</w:t>
      </w:r>
      <w:r w:rsidRPr="0067048A">
        <w:rPr>
          <w:rFonts w:ascii="KFGQPC Uthmanic Script HAFS" w:cs="KFGQPC Uthmanic Script HAFS" w:hint="eastAsia"/>
          <w:sz w:val="28"/>
          <w:szCs w:val="28"/>
          <w:rtl/>
        </w:rPr>
        <w:t>للَّهَ</w:t>
      </w:r>
      <w:r w:rsidRPr="0067048A">
        <w:rPr>
          <w:rFonts w:ascii="KFGQPC Uthmanic Script HAFS" w:cs="KFGQPC Uthmanic Script HAFS"/>
          <w:sz w:val="28"/>
          <w:szCs w:val="28"/>
          <w:rtl/>
        </w:rPr>
        <w:t xml:space="preserve"> </w:t>
      </w:r>
      <w:r w:rsidRPr="0067048A">
        <w:rPr>
          <w:rFonts w:ascii="KFGQPC Uthmanic Script HAFS" w:cs="KFGQPC Uthmanic Script HAFS" w:hint="eastAsia"/>
          <w:sz w:val="28"/>
          <w:szCs w:val="28"/>
          <w:rtl/>
        </w:rPr>
        <w:t>وَرَسُولَهُ</w:t>
      </w:r>
      <w:r w:rsidRPr="0067048A">
        <w:rPr>
          <w:rFonts w:ascii="KFGQPC Uthmanic Script HAFS" w:cs="KFGQPC Uthmanic Script HAFS" w:hint="cs"/>
          <w:sz w:val="28"/>
          <w:szCs w:val="28"/>
          <w:rtl/>
        </w:rPr>
        <w:t>ۥ</w:t>
      </w:r>
      <w:r w:rsidRPr="0067048A">
        <w:rPr>
          <w:rFonts w:ascii="KFGQPC Uthmanic Script HAFS" w:cs="KFGQPC Uthmanic Script HAFS"/>
          <w:sz w:val="28"/>
          <w:szCs w:val="28"/>
          <w:rtl/>
        </w:rPr>
        <w:t xml:space="preserve"> </w:t>
      </w:r>
      <w:r w:rsidRPr="0067048A">
        <w:rPr>
          <w:rFonts w:ascii="KFGQPC Uthmanic Script HAFS" w:cs="KFGQPC Uthmanic Script HAFS" w:hint="eastAsia"/>
          <w:sz w:val="28"/>
          <w:szCs w:val="28"/>
          <w:rtl/>
        </w:rPr>
        <w:t>وَلَو</w:t>
      </w:r>
      <w:r w:rsidRPr="0067048A">
        <w:rPr>
          <w:rFonts w:ascii="KFGQPC Uthmanic Script HAFS" w:cs="KFGQPC Uthmanic Script HAFS" w:hint="cs"/>
          <w:sz w:val="28"/>
          <w:szCs w:val="28"/>
          <w:rtl/>
        </w:rPr>
        <w:t>ۡ</w:t>
      </w:r>
      <w:r w:rsidRPr="0067048A">
        <w:rPr>
          <w:rFonts w:ascii="KFGQPC Uthmanic Script HAFS" w:cs="KFGQPC Uthmanic Script HAFS"/>
          <w:sz w:val="28"/>
          <w:szCs w:val="28"/>
          <w:rtl/>
        </w:rPr>
        <w:t xml:space="preserve"> </w:t>
      </w:r>
      <w:r w:rsidRPr="0067048A">
        <w:rPr>
          <w:rFonts w:ascii="KFGQPC Uthmanic Script HAFS" w:cs="KFGQPC Uthmanic Script HAFS" w:hint="eastAsia"/>
          <w:sz w:val="28"/>
          <w:szCs w:val="28"/>
          <w:rtl/>
        </w:rPr>
        <w:t>كَانُو</w:t>
      </w:r>
      <w:r w:rsidRPr="0067048A">
        <w:rPr>
          <w:rFonts w:ascii="KFGQPC Uthmanic Script HAFS" w:cs="KFGQPC Uthmanic Script HAFS" w:hint="cs"/>
          <w:sz w:val="28"/>
          <w:szCs w:val="28"/>
          <w:rtl/>
        </w:rPr>
        <w:t>ٓ</w:t>
      </w:r>
      <w:r w:rsidRPr="0067048A">
        <w:rPr>
          <w:rFonts w:ascii="KFGQPC Uthmanic Script HAFS" w:cs="KFGQPC Uthmanic Script HAFS" w:hint="eastAsia"/>
          <w:sz w:val="28"/>
          <w:szCs w:val="28"/>
          <w:rtl/>
        </w:rPr>
        <w:t>اْ</w:t>
      </w:r>
      <w:r w:rsidRPr="0067048A">
        <w:rPr>
          <w:rFonts w:ascii="KFGQPC Uthmanic Script HAFS" w:cs="KFGQPC Uthmanic Script HAFS"/>
          <w:sz w:val="28"/>
          <w:szCs w:val="28"/>
          <w:rtl/>
        </w:rPr>
        <w:t xml:space="preserve"> </w:t>
      </w:r>
      <w:r w:rsidRPr="0067048A">
        <w:rPr>
          <w:rFonts w:ascii="KFGQPC Uthmanic Script HAFS" w:cs="KFGQPC Uthmanic Script HAFS" w:hint="eastAsia"/>
          <w:sz w:val="28"/>
          <w:szCs w:val="28"/>
          <w:rtl/>
        </w:rPr>
        <w:t>ءَابَا</w:t>
      </w:r>
      <w:r w:rsidRPr="0067048A">
        <w:rPr>
          <w:rFonts w:ascii="KFGQPC Uthmanic Script HAFS" w:cs="KFGQPC Uthmanic Script HAFS" w:hint="cs"/>
          <w:sz w:val="28"/>
          <w:szCs w:val="28"/>
          <w:rtl/>
        </w:rPr>
        <w:t>ٓ</w:t>
      </w:r>
      <w:r w:rsidRPr="0067048A">
        <w:rPr>
          <w:rFonts w:ascii="KFGQPC Uthmanic Script HAFS" w:cs="KFGQPC Uthmanic Script HAFS" w:hint="eastAsia"/>
          <w:sz w:val="28"/>
          <w:szCs w:val="28"/>
          <w:rtl/>
        </w:rPr>
        <w:t>ءَهُم</w:t>
      </w:r>
      <w:r w:rsidRPr="0067048A">
        <w:rPr>
          <w:rFonts w:ascii="KFGQPC Uthmanic Script HAFS" w:cs="KFGQPC Uthmanic Script HAFS" w:hint="cs"/>
          <w:sz w:val="28"/>
          <w:szCs w:val="28"/>
          <w:rtl/>
        </w:rPr>
        <w:t>ۡ</w:t>
      </w:r>
      <w:r w:rsidRPr="0067048A">
        <w:rPr>
          <w:rFonts w:ascii="KFGQPC Uthmanic Script HAFS" w:cs="KFGQPC Uthmanic Script HAFS"/>
          <w:sz w:val="28"/>
          <w:szCs w:val="28"/>
          <w:rtl/>
        </w:rPr>
        <w:t xml:space="preserve"> </w:t>
      </w:r>
      <w:r w:rsidRPr="0067048A">
        <w:rPr>
          <w:rFonts w:ascii="KFGQPC Uthmanic Script HAFS" w:cs="KFGQPC Uthmanic Script HAFS" w:hint="eastAsia"/>
          <w:sz w:val="28"/>
          <w:szCs w:val="28"/>
          <w:rtl/>
        </w:rPr>
        <w:t>أَو</w:t>
      </w:r>
      <w:r w:rsidRPr="0067048A">
        <w:rPr>
          <w:rFonts w:ascii="KFGQPC Uthmanic Script HAFS" w:cs="KFGQPC Uthmanic Script HAFS" w:hint="cs"/>
          <w:sz w:val="28"/>
          <w:szCs w:val="28"/>
          <w:rtl/>
        </w:rPr>
        <w:t>ۡ</w:t>
      </w:r>
      <w:r w:rsidRPr="0067048A">
        <w:rPr>
          <w:rFonts w:ascii="KFGQPC Uthmanic Script HAFS" w:cs="KFGQPC Uthmanic Script HAFS"/>
          <w:sz w:val="28"/>
          <w:szCs w:val="28"/>
          <w:rtl/>
        </w:rPr>
        <w:t xml:space="preserve"> </w:t>
      </w:r>
      <w:r w:rsidRPr="0067048A">
        <w:rPr>
          <w:rFonts w:ascii="KFGQPC Uthmanic Script HAFS" w:cs="KFGQPC Uthmanic Script HAFS" w:hint="eastAsia"/>
          <w:sz w:val="28"/>
          <w:szCs w:val="28"/>
          <w:rtl/>
        </w:rPr>
        <w:t>أَب</w:t>
      </w:r>
      <w:r w:rsidRPr="0067048A">
        <w:rPr>
          <w:rFonts w:ascii="KFGQPC Uthmanic Script HAFS" w:cs="KFGQPC Uthmanic Script HAFS" w:hint="cs"/>
          <w:sz w:val="28"/>
          <w:szCs w:val="28"/>
          <w:rtl/>
        </w:rPr>
        <w:t>ۡ</w:t>
      </w:r>
      <w:r w:rsidRPr="0067048A">
        <w:rPr>
          <w:rFonts w:ascii="KFGQPC Uthmanic Script HAFS" w:cs="KFGQPC Uthmanic Script HAFS" w:hint="eastAsia"/>
          <w:sz w:val="28"/>
          <w:szCs w:val="28"/>
          <w:rtl/>
        </w:rPr>
        <w:t>نَا</w:t>
      </w:r>
      <w:r w:rsidRPr="0067048A">
        <w:rPr>
          <w:rFonts w:ascii="KFGQPC Uthmanic Script HAFS" w:cs="KFGQPC Uthmanic Script HAFS" w:hint="cs"/>
          <w:sz w:val="28"/>
          <w:szCs w:val="28"/>
          <w:rtl/>
        </w:rPr>
        <w:t>ٓ</w:t>
      </w:r>
      <w:r w:rsidRPr="0067048A">
        <w:rPr>
          <w:rFonts w:ascii="KFGQPC Uthmanic Script HAFS" w:cs="KFGQPC Uthmanic Script HAFS" w:hint="eastAsia"/>
          <w:sz w:val="28"/>
          <w:szCs w:val="28"/>
          <w:rtl/>
        </w:rPr>
        <w:t>ءَهُم</w:t>
      </w:r>
      <w:r w:rsidRPr="0067048A">
        <w:rPr>
          <w:rFonts w:ascii="KFGQPC Uthmanic Script HAFS" w:cs="KFGQPC Uthmanic Script HAFS" w:hint="cs"/>
          <w:sz w:val="28"/>
          <w:szCs w:val="28"/>
          <w:rtl/>
        </w:rPr>
        <w:t>ۡ</w:t>
      </w:r>
      <w:r w:rsidRPr="0067048A">
        <w:rPr>
          <w:rFonts w:ascii="KFGQPC Uthmanic Script HAFS" w:cs="KFGQPC Uthmanic Script HAFS"/>
          <w:sz w:val="28"/>
          <w:szCs w:val="28"/>
          <w:rtl/>
        </w:rPr>
        <w:t xml:space="preserve"> </w:t>
      </w:r>
      <w:r w:rsidRPr="0067048A">
        <w:rPr>
          <w:rFonts w:ascii="KFGQPC Uthmanic Script HAFS" w:cs="KFGQPC Uthmanic Script HAFS" w:hint="eastAsia"/>
          <w:sz w:val="28"/>
          <w:szCs w:val="28"/>
          <w:rtl/>
        </w:rPr>
        <w:t>أَو</w:t>
      </w:r>
      <w:r w:rsidRPr="0067048A">
        <w:rPr>
          <w:rFonts w:ascii="KFGQPC Uthmanic Script HAFS" w:cs="KFGQPC Uthmanic Script HAFS" w:hint="cs"/>
          <w:sz w:val="28"/>
          <w:szCs w:val="28"/>
          <w:rtl/>
        </w:rPr>
        <w:t>ۡ</w:t>
      </w:r>
      <w:r w:rsidRPr="0067048A">
        <w:rPr>
          <w:rFonts w:ascii="KFGQPC Uthmanic Script HAFS" w:cs="KFGQPC Uthmanic Script HAFS"/>
          <w:sz w:val="28"/>
          <w:szCs w:val="28"/>
          <w:rtl/>
        </w:rPr>
        <w:t xml:space="preserve"> </w:t>
      </w:r>
      <w:r w:rsidRPr="0067048A">
        <w:rPr>
          <w:rFonts w:ascii="KFGQPC Uthmanic Script HAFS" w:cs="KFGQPC Uthmanic Script HAFS" w:hint="eastAsia"/>
          <w:sz w:val="28"/>
          <w:szCs w:val="28"/>
          <w:rtl/>
        </w:rPr>
        <w:t>إِخ</w:t>
      </w:r>
      <w:r w:rsidRPr="0067048A">
        <w:rPr>
          <w:rFonts w:ascii="KFGQPC Uthmanic Script HAFS" w:cs="KFGQPC Uthmanic Script HAFS" w:hint="cs"/>
          <w:sz w:val="28"/>
          <w:szCs w:val="28"/>
          <w:rtl/>
        </w:rPr>
        <w:t>ۡ</w:t>
      </w:r>
      <w:r w:rsidRPr="0067048A">
        <w:rPr>
          <w:rFonts w:ascii="KFGQPC Uthmanic Script HAFS" w:cs="KFGQPC Uthmanic Script HAFS" w:hint="eastAsia"/>
          <w:sz w:val="28"/>
          <w:szCs w:val="28"/>
          <w:rtl/>
        </w:rPr>
        <w:t>وَ</w:t>
      </w:r>
      <w:r w:rsidRPr="0067048A">
        <w:rPr>
          <w:rFonts w:ascii="KFGQPC Uthmanic Script HAFS" w:cs="KFGQPC Uthmanic Script HAFS" w:hint="cs"/>
          <w:sz w:val="28"/>
          <w:szCs w:val="28"/>
          <w:rtl/>
        </w:rPr>
        <w:t>ٰ</w:t>
      </w:r>
      <w:r w:rsidRPr="0067048A">
        <w:rPr>
          <w:rFonts w:ascii="KFGQPC Uthmanic Script HAFS" w:cs="KFGQPC Uthmanic Script HAFS" w:hint="eastAsia"/>
          <w:sz w:val="28"/>
          <w:szCs w:val="28"/>
          <w:rtl/>
        </w:rPr>
        <w:t>نَهُم</w:t>
      </w:r>
      <w:r w:rsidRPr="0067048A">
        <w:rPr>
          <w:rFonts w:ascii="KFGQPC Uthmanic Script HAFS" w:cs="KFGQPC Uthmanic Script HAFS" w:hint="cs"/>
          <w:sz w:val="28"/>
          <w:szCs w:val="28"/>
          <w:rtl/>
        </w:rPr>
        <w:t>ۡ</w:t>
      </w:r>
      <w:r w:rsidRPr="0067048A">
        <w:rPr>
          <w:rFonts w:ascii="KFGQPC Uthmanic Script HAFS" w:cs="KFGQPC Uthmanic Script HAFS"/>
          <w:sz w:val="28"/>
          <w:szCs w:val="28"/>
          <w:rtl/>
        </w:rPr>
        <w:t xml:space="preserve"> </w:t>
      </w:r>
      <w:r w:rsidRPr="0067048A">
        <w:rPr>
          <w:rFonts w:ascii="KFGQPC Uthmanic Script HAFS" w:cs="KFGQPC Uthmanic Script HAFS" w:hint="eastAsia"/>
          <w:sz w:val="28"/>
          <w:szCs w:val="28"/>
          <w:rtl/>
        </w:rPr>
        <w:t>أَو</w:t>
      </w:r>
      <w:r w:rsidRPr="0067048A">
        <w:rPr>
          <w:rFonts w:ascii="KFGQPC Uthmanic Script HAFS" w:cs="KFGQPC Uthmanic Script HAFS" w:hint="cs"/>
          <w:sz w:val="28"/>
          <w:szCs w:val="28"/>
          <w:rtl/>
        </w:rPr>
        <w:t>ۡ</w:t>
      </w:r>
      <w:r w:rsidRPr="0067048A">
        <w:rPr>
          <w:rFonts w:ascii="KFGQPC Uthmanic Script HAFS" w:cs="KFGQPC Uthmanic Script HAFS"/>
          <w:sz w:val="28"/>
          <w:szCs w:val="28"/>
          <w:rtl/>
        </w:rPr>
        <w:t xml:space="preserve"> </w:t>
      </w:r>
      <w:r w:rsidRPr="0067048A">
        <w:rPr>
          <w:rFonts w:ascii="KFGQPC Uthmanic Script HAFS" w:cs="KFGQPC Uthmanic Script HAFS" w:hint="eastAsia"/>
          <w:sz w:val="28"/>
          <w:szCs w:val="28"/>
          <w:rtl/>
        </w:rPr>
        <w:t>عَشِيرَتَهُم</w:t>
      </w:r>
      <w:r w:rsidRPr="0067048A">
        <w:rPr>
          <w:rFonts w:ascii="KFGQPC Uthmanic Script HAFS" w:cs="KFGQPC Uthmanic Script HAFS" w:hint="cs"/>
          <w:sz w:val="28"/>
          <w:szCs w:val="28"/>
          <w:rtl/>
        </w:rPr>
        <w:t>ۡۚ</w:t>
      </w:r>
      <w:r w:rsidRPr="0067048A">
        <w:rPr>
          <w:rFonts w:ascii="KFGQPC Uthmanic Script HAFS" w:cs="KFGQPC Uthmanic Script HAFS"/>
          <w:sz w:val="28"/>
          <w:szCs w:val="28"/>
          <w:rtl/>
        </w:rPr>
        <w:t xml:space="preserve"> </w:t>
      </w:r>
      <w:r w:rsidRPr="0067048A">
        <w:rPr>
          <w:rFonts w:ascii="KFGQPC Uthmanic Script HAFS" w:cs="KFGQPC Uthmanic Script HAFS" w:hint="eastAsia"/>
          <w:sz w:val="28"/>
          <w:szCs w:val="28"/>
          <w:rtl/>
        </w:rPr>
        <w:t>أُوْلَ</w:t>
      </w:r>
      <w:r w:rsidRPr="0067048A">
        <w:rPr>
          <w:rFonts w:ascii="KFGQPC Uthmanic Script HAFS" w:cs="KFGQPC Uthmanic Script HAFS" w:hint="cs"/>
          <w:sz w:val="28"/>
          <w:szCs w:val="28"/>
          <w:rtl/>
        </w:rPr>
        <w:t>ٰٓ</w:t>
      </w:r>
      <w:r w:rsidRPr="0067048A">
        <w:rPr>
          <w:rFonts w:ascii="KFGQPC Uthmanic Script HAFS" w:cs="KFGQPC Uthmanic Script HAFS" w:hint="eastAsia"/>
          <w:sz w:val="28"/>
          <w:szCs w:val="28"/>
          <w:rtl/>
        </w:rPr>
        <w:t>ئِكَ</w:t>
      </w:r>
      <w:r w:rsidRPr="0067048A">
        <w:rPr>
          <w:rFonts w:ascii="KFGQPC Uthmanic Script HAFS" w:cs="KFGQPC Uthmanic Script HAFS"/>
          <w:sz w:val="28"/>
          <w:szCs w:val="28"/>
          <w:rtl/>
        </w:rPr>
        <w:t xml:space="preserve"> </w:t>
      </w:r>
      <w:r w:rsidRPr="0067048A">
        <w:rPr>
          <w:rFonts w:ascii="KFGQPC Uthmanic Script HAFS" w:cs="KFGQPC Uthmanic Script HAFS" w:hint="eastAsia"/>
          <w:sz w:val="28"/>
          <w:szCs w:val="28"/>
          <w:rtl/>
        </w:rPr>
        <w:t>كَتَبَ</w:t>
      </w:r>
      <w:r w:rsidRPr="0067048A">
        <w:rPr>
          <w:rFonts w:ascii="KFGQPC Uthmanic Script HAFS" w:cs="KFGQPC Uthmanic Script HAFS"/>
          <w:sz w:val="28"/>
          <w:szCs w:val="28"/>
          <w:rtl/>
        </w:rPr>
        <w:t xml:space="preserve"> </w:t>
      </w:r>
      <w:r w:rsidRPr="0067048A">
        <w:rPr>
          <w:rFonts w:ascii="KFGQPC Uthmanic Script HAFS" w:cs="KFGQPC Uthmanic Script HAFS" w:hint="eastAsia"/>
          <w:sz w:val="28"/>
          <w:szCs w:val="28"/>
          <w:rtl/>
        </w:rPr>
        <w:t>فِي</w:t>
      </w:r>
      <w:r w:rsidRPr="0067048A">
        <w:rPr>
          <w:rFonts w:ascii="KFGQPC Uthmanic Script HAFS" w:cs="KFGQPC Uthmanic Script HAFS"/>
          <w:sz w:val="28"/>
          <w:szCs w:val="28"/>
          <w:rtl/>
        </w:rPr>
        <w:t xml:space="preserve"> </w:t>
      </w:r>
      <w:r w:rsidRPr="0067048A">
        <w:rPr>
          <w:rFonts w:ascii="KFGQPC Uthmanic Script HAFS" w:cs="KFGQPC Uthmanic Script HAFS" w:hint="eastAsia"/>
          <w:sz w:val="28"/>
          <w:szCs w:val="28"/>
          <w:rtl/>
        </w:rPr>
        <w:t>قُلُوبِهِمُ</w:t>
      </w:r>
      <w:r w:rsidRPr="0067048A">
        <w:rPr>
          <w:rFonts w:ascii="KFGQPC Uthmanic Script HAFS" w:cs="KFGQPC Uthmanic Script HAFS"/>
          <w:sz w:val="28"/>
          <w:szCs w:val="28"/>
          <w:rtl/>
        </w:rPr>
        <w:t xml:space="preserve"> </w:t>
      </w:r>
      <w:r w:rsidRPr="0067048A">
        <w:rPr>
          <w:rFonts w:ascii="KFGQPC Uthmanic Script HAFS" w:cs="KFGQPC Uthmanic Script HAFS" w:hint="cs"/>
          <w:sz w:val="28"/>
          <w:szCs w:val="28"/>
          <w:rtl/>
        </w:rPr>
        <w:t>ٱ</w:t>
      </w:r>
      <w:r w:rsidRPr="0067048A">
        <w:rPr>
          <w:rFonts w:ascii="KFGQPC Uthmanic Script HAFS" w:cs="KFGQPC Uthmanic Script HAFS" w:hint="eastAsia"/>
          <w:sz w:val="28"/>
          <w:szCs w:val="28"/>
          <w:rtl/>
        </w:rPr>
        <w:t>ل</w:t>
      </w:r>
      <w:r w:rsidRPr="0067048A">
        <w:rPr>
          <w:rFonts w:ascii="KFGQPC Uthmanic Script HAFS" w:cs="KFGQPC Uthmanic Script HAFS" w:hint="cs"/>
          <w:sz w:val="28"/>
          <w:szCs w:val="28"/>
          <w:rtl/>
        </w:rPr>
        <w:t>ۡ</w:t>
      </w:r>
      <w:r w:rsidRPr="0067048A">
        <w:rPr>
          <w:rFonts w:ascii="KFGQPC Uthmanic Script HAFS" w:cs="KFGQPC Uthmanic Script HAFS" w:hint="eastAsia"/>
          <w:sz w:val="28"/>
          <w:szCs w:val="28"/>
          <w:rtl/>
        </w:rPr>
        <w:t>إِيمَ</w:t>
      </w:r>
      <w:r w:rsidRPr="0067048A">
        <w:rPr>
          <w:rFonts w:ascii="KFGQPC Uthmanic Script HAFS" w:cs="KFGQPC Uthmanic Script HAFS" w:hint="cs"/>
          <w:sz w:val="28"/>
          <w:szCs w:val="28"/>
          <w:rtl/>
        </w:rPr>
        <w:t>ٰ</w:t>
      </w:r>
      <w:r w:rsidRPr="0067048A">
        <w:rPr>
          <w:rFonts w:ascii="KFGQPC Uthmanic Script HAFS" w:cs="KFGQPC Uthmanic Script HAFS" w:hint="eastAsia"/>
          <w:sz w:val="28"/>
          <w:szCs w:val="28"/>
          <w:rtl/>
        </w:rPr>
        <w:t>نَ</w:t>
      </w:r>
      <w:r w:rsidRPr="0067048A">
        <w:rPr>
          <w:rFonts w:ascii="KFGQPC Uthmanic Script HAFS" w:cs="KFGQPC Uthmanic Script HAFS"/>
          <w:sz w:val="28"/>
          <w:szCs w:val="28"/>
          <w:rtl/>
        </w:rPr>
        <w:t xml:space="preserve"> </w:t>
      </w:r>
      <w:r w:rsidRPr="0067048A">
        <w:rPr>
          <w:rFonts w:ascii="KFGQPC Uthmanic Script HAFS" w:cs="KFGQPC Uthmanic Script HAFS" w:hint="eastAsia"/>
          <w:sz w:val="28"/>
          <w:szCs w:val="28"/>
          <w:rtl/>
        </w:rPr>
        <w:t>وَأَيَّدَهُم</w:t>
      </w:r>
      <w:r w:rsidRPr="0067048A">
        <w:rPr>
          <w:rFonts w:ascii="KFGQPC Uthmanic Script HAFS" w:cs="KFGQPC Uthmanic Script HAFS"/>
          <w:sz w:val="28"/>
          <w:szCs w:val="28"/>
          <w:rtl/>
        </w:rPr>
        <w:t xml:space="preserve"> </w:t>
      </w:r>
      <w:r w:rsidRPr="0067048A">
        <w:rPr>
          <w:rFonts w:ascii="KFGQPC Uthmanic Script HAFS" w:cs="KFGQPC Uthmanic Script HAFS" w:hint="eastAsia"/>
          <w:sz w:val="28"/>
          <w:szCs w:val="28"/>
          <w:rtl/>
        </w:rPr>
        <w:t>بِرُوح</w:t>
      </w:r>
      <w:r w:rsidRPr="0067048A">
        <w:rPr>
          <w:rFonts w:ascii="KFGQPC Uthmanic Script HAFS" w:cs="KFGQPC Uthmanic Script HAFS" w:hint="cs"/>
          <w:sz w:val="28"/>
          <w:szCs w:val="28"/>
          <w:rtl/>
        </w:rPr>
        <w:t>ٖ</w:t>
      </w:r>
      <w:r w:rsidRPr="0067048A">
        <w:rPr>
          <w:rFonts w:ascii="KFGQPC Uthmanic Script HAFS" w:cs="KFGQPC Uthmanic Script HAFS"/>
          <w:sz w:val="28"/>
          <w:szCs w:val="28"/>
          <w:rtl/>
        </w:rPr>
        <w:t xml:space="preserve"> </w:t>
      </w:r>
      <w:r w:rsidRPr="0067048A">
        <w:rPr>
          <w:rFonts w:ascii="KFGQPC Uthmanic Script HAFS" w:cs="KFGQPC Uthmanic Script HAFS" w:hint="eastAsia"/>
          <w:sz w:val="28"/>
          <w:szCs w:val="28"/>
          <w:rtl/>
        </w:rPr>
        <w:t>مِّن</w:t>
      </w:r>
      <w:r w:rsidRPr="0067048A">
        <w:rPr>
          <w:rFonts w:ascii="KFGQPC Uthmanic Script HAFS" w:cs="KFGQPC Uthmanic Script HAFS" w:hint="cs"/>
          <w:sz w:val="28"/>
          <w:szCs w:val="28"/>
          <w:rtl/>
        </w:rPr>
        <w:t>ۡ</w:t>
      </w:r>
      <w:r w:rsidRPr="0067048A">
        <w:rPr>
          <w:rFonts w:ascii="KFGQPC Uthmanic Script HAFS" w:cs="KFGQPC Uthmanic Script HAFS" w:hint="eastAsia"/>
          <w:sz w:val="28"/>
          <w:szCs w:val="28"/>
          <w:rtl/>
        </w:rPr>
        <w:t>هُ</w:t>
      </w:r>
      <w:r w:rsidRPr="00995B26">
        <w:rPr>
          <w:rFonts w:ascii="KFGQPC Uthmanic Script HAFS" w:cs="Times New Roman" w:hint="cs"/>
          <w:sz w:val="28"/>
          <w:rtl/>
        </w:rPr>
        <w:t>...</w:t>
      </w:r>
      <w:r w:rsidRPr="00995B26">
        <w:rPr>
          <w:rFonts w:cs="Traditional Arabic" w:hint="cs"/>
          <w:sz w:val="28"/>
          <w:rtl/>
        </w:rPr>
        <w:t>﴾</w:t>
      </w:r>
      <w:r w:rsidR="005C664D" w:rsidRPr="003F3B94">
        <w:rPr>
          <w:sz w:val="28"/>
          <w:rtl/>
        </w:rPr>
        <w:t xml:space="preserve"> </w:t>
      </w:r>
      <w:r w:rsidR="005C664D" w:rsidRPr="003108CB">
        <w:rPr>
          <w:rStyle w:val="Char2"/>
          <w:rtl/>
        </w:rPr>
        <w:t>[المجادلة</w:t>
      </w:r>
      <w:r w:rsidRPr="003108CB">
        <w:rPr>
          <w:rStyle w:val="Char2"/>
          <w:rFonts w:hint="cs"/>
          <w:rtl/>
        </w:rPr>
        <w:t xml:space="preserve">: </w:t>
      </w:r>
      <w:r w:rsidR="005C664D" w:rsidRPr="003108CB">
        <w:rPr>
          <w:rStyle w:val="Char2"/>
          <w:rtl/>
        </w:rPr>
        <w:t>22]</w:t>
      </w:r>
      <w:r w:rsidR="00217AB4" w:rsidRPr="003F3B94">
        <w:rPr>
          <w:rFonts w:hint="cs"/>
          <w:sz w:val="28"/>
          <w:rtl/>
        </w:rPr>
        <w:t>.</w:t>
      </w:r>
      <w:r w:rsidR="005C664D" w:rsidRPr="003F3B94">
        <w:rPr>
          <w:rFonts w:hint="cs"/>
          <w:sz w:val="28"/>
          <w:rtl/>
        </w:rPr>
        <w:t xml:space="preserve"> </w:t>
      </w:r>
    </w:p>
    <w:p w:rsidR="005C664D" w:rsidRPr="003F3B94" w:rsidRDefault="005C664D" w:rsidP="003F3B94">
      <w:pPr>
        <w:pStyle w:val="a0"/>
        <w:rPr>
          <w:rFonts w:hint="cs"/>
          <w:rtl/>
        </w:rPr>
      </w:pPr>
      <w:r w:rsidRPr="003F3B94">
        <w:rPr>
          <w:rFonts w:hint="cs"/>
          <w:sz w:val="28"/>
          <w:rtl/>
        </w:rPr>
        <w:t>ففي جميع هذه الآيات جاءت كلمة «</w:t>
      </w:r>
      <w:r w:rsidRPr="003F3B94">
        <w:rPr>
          <w:b/>
          <w:bCs/>
          <w:sz w:val="28"/>
          <w:rtl/>
        </w:rPr>
        <w:t>المَوَدَّةَ</w:t>
      </w:r>
      <w:r w:rsidRPr="003F3B94">
        <w:rPr>
          <w:rFonts w:hint="cs"/>
          <w:sz w:val="28"/>
          <w:rtl/>
        </w:rPr>
        <w:t>» ومشتقاتها بمعنى المحبة المشوبة بعداوة سابقة والمقترنة بالمصلحة وليست بمعنى الحب الصريح والخالص والحميم الذي يجب تقديمه لله تعالى</w:t>
      </w:r>
      <w:r w:rsidR="001E0DB7" w:rsidRPr="003F3B94">
        <w:rPr>
          <w:rFonts w:hint="cs"/>
          <w:sz w:val="28"/>
          <w:rtl/>
        </w:rPr>
        <w:t>،</w:t>
      </w:r>
      <w:r w:rsidR="00147857" w:rsidRPr="003F3B94">
        <w:rPr>
          <w:rFonts w:hint="cs"/>
          <w:sz w:val="28"/>
          <w:rtl/>
        </w:rPr>
        <w:t xml:space="preserve"> و</w:t>
      </w:r>
      <w:r w:rsidRPr="003F3B94">
        <w:rPr>
          <w:rFonts w:hint="cs"/>
          <w:sz w:val="28"/>
          <w:rtl/>
        </w:rPr>
        <w:t>لا يمكن أبداً أن يطلب رسول الله مثل تلك المحبة غير الكاملة لعلي وفاطمة والحسنين</w:t>
      </w:r>
      <w:r w:rsidR="00217AB4" w:rsidRPr="003F3B94">
        <w:rPr>
          <w:rFonts w:hint="cs"/>
          <w:sz w:val="28"/>
          <w:rtl/>
        </w:rPr>
        <w:t>.</w:t>
      </w:r>
      <w:r w:rsidRPr="003F3B94">
        <w:rPr>
          <w:rFonts w:hint="cs"/>
          <w:sz w:val="28"/>
          <w:rtl/>
        </w:rPr>
        <w:t xml:space="preserve"> </w:t>
      </w:r>
    </w:p>
    <w:p w:rsidR="005C664D" w:rsidRPr="003F3B94" w:rsidRDefault="005C664D" w:rsidP="007B55FB">
      <w:pPr>
        <w:pStyle w:val="a0"/>
        <w:rPr>
          <w:rFonts w:hint="cs"/>
          <w:rtl/>
        </w:rPr>
      </w:pPr>
      <w:r w:rsidRPr="003F3B94">
        <w:rPr>
          <w:rFonts w:hint="cs"/>
          <w:sz w:val="28"/>
          <w:rtl/>
        </w:rPr>
        <w:t>إن محبة علي وفاطمة والحسنين هي محبة للإيمان بالله بل محبة لله مما لايحتاج إلى توصية لأن كل مؤمن عرف تلك الصفات التي كانت في علي</w:t>
      </w:r>
      <w:r w:rsidR="00147857" w:rsidRPr="003F3B94">
        <w:rPr>
          <w:rFonts w:hint="cs"/>
          <w:sz w:val="28"/>
          <w:rtl/>
        </w:rPr>
        <w:t xml:space="preserve"> و</w:t>
      </w:r>
      <w:r w:rsidRPr="003F3B94">
        <w:rPr>
          <w:rFonts w:hint="cs"/>
          <w:sz w:val="28"/>
          <w:rtl/>
        </w:rPr>
        <w:t>آل علي سرت محبتهم قهرياً إلى قلبه</w:t>
      </w:r>
      <w:r w:rsidR="00147857" w:rsidRPr="003F3B94">
        <w:rPr>
          <w:rFonts w:hint="cs"/>
          <w:sz w:val="28"/>
          <w:rtl/>
        </w:rPr>
        <w:t xml:space="preserve"> و</w:t>
      </w:r>
      <w:r w:rsidRPr="003F3B94">
        <w:rPr>
          <w:rFonts w:hint="cs"/>
          <w:sz w:val="28"/>
          <w:rtl/>
        </w:rPr>
        <w:t>لم يكن بحاجة إلى أن يؤمر بها ويدعى إليها</w:t>
      </w:r>
      <w:r w:rsidR="001E0DB7" w:rsidRPr="003F3B94">
        <w:rPr>
          <w:rFonts w:hint="cs"/>
          <w:sz w:val="28"/>
          <w:rtl/>
        </w:rPr>
        <w:t>،</w:t>
      </w:r>
      <w:r w:rsidRPr="003F3B94">
        <w:rPr>
          <w:rFonts w:hint="cs"/>
          <w:sz w:val="28"/>
          <w:rtl/>
        </w:rPr>
        <w:t xml:space="preserve"> كما قال</w:t>
      </w:r>
      <w:r w:rsidRPr="003F3B94">
        <w:rPr>
          <w:rFonts w:hint="eastAsia"/>
          <w:sz w:val="28"/>
          <w:rtl/>
        </w:rPr>
        <w:t>«</w:t>
      </w:r>
      <w:r w:rsidRPr="003F3B94">
        <w:rPr>
          <w:rFonts w:hint="cs"/>
          <w:sz w:val="28"/>
          <w:rtl/>
        </w:rPr>
        <w:t>كار لايل</w:t>
      </w:r>
      <w:r w:rsidRPr="003F3B94">
        <w:rPr>
          <w:rFonts w:hint="eastAsia"/>
          <w:sz w:val="28"/>
          <w:rtl/>
        </w:rPr>
        <w:t>»</w:t>
      </w:r>
      <w:r w:rsidRPr="003F3B94">
        <w:rPr>
          <w:rFonts w:hint="cs"/>
          <w:sz w:val="28"/>
          <w:rtl/>
        </w:rPr>
        <w:t xml:space="preserve"> البريطاني في كتابه </w:t>
      </w:r>
      <w:r w:rsidRPr="003F3B94">
        <w:rPr>
          <w:rFonts w:hint="eastAsia"/>
          <w:sz w:val="28"/>
          <w:rtl/>
        </w:rPr>
        <w:t>«</w:t>
      </w:r>
      <w:r w:rsidRPr="003F3B94">
        <w:rPr>
          <w:rFonts w:hint="cs"/>
          <w:sz w:val="28"/>
          <w:rtl/>
        </w:rPr>
        <w:t>الأبطال</w:t>
      </w:r>
      <w:r w:rsidRPr="003F3B94">
        <w:rPr>
          <w:rFonts w:hint="eastAsia"/>
          <w:sz w:val="28"/>
          <w:rtl/>
        </w:rPr>
        <w:t>»</w:t>
      </w:r>
      <w:r w:rsidR="00217AB4" w:rsidRPr="003F3B94">
        <w:rPr>
          <w:rFonts w:hint="cs"/>
          <w:sz w:val="28"/>
          <w:rtl/>
        </w:rPr>
        <w:t>:</w:t>
      </w:r>
      <w:r w:rsidRPr="003F3B94">
        <w:rPr>
          <w:rFonts w:hint="cs"/>
          <w:sz w:val="28"/>
          <w:rtl/>
        </w:rPr>
        <w:t xml:space="preserve"> </w:t>
      </w:r>
      <w:r w:rsidR="00EF2588" w:rsidRPr="003F3B94">
        <w:rPr>
          <w:rFonts w:hint="cs"/>
          <w:sz w:val="28"/>
          <w:rtl/>
        </w:rPr>
        <w:t>«</w:t>
      </w:r>
      <w:r w:rsidR="002834A4" w:rsidRPr="003F3B94">
        <w:rPr>
          <w:rFonts w:hint="cs"/>
          <w:b/>
          <w:bCs/>
          <w:sz w:val="28"/>
          <w:rtl/>
        </w:rPr>
        <w:t>وأمَّا عليٌّ فلا يسعنا إ</w:t>
      </w:r>
      <w:r w:rsidRPr="003F3B94">
        <w:rPr>
          <w:rFonts w:hint="cs"/>
          <w:b/>
          <w:bCs/>
          <w:sz w:val="28"/>
          <w:rtl/>
        </w:rPr>
        <w:t>لا أن نحبَّه ونعشقه</w:t>
      </w:r>
      <w:r w:rsidR="00EF2588" w:rsidRPr="003F3B94">
        <w:rPr>
          <w:rFonts w:hint="cs"/>
          <w:sz w:val="28"/>
          <w:rtl/>
        </w:rPr>
        <w:t>»</w:t>
      </w:r>
      <w:r w:rsidR="00217AB4" w:rsidRPr="003F3B94">
        <w:rPr>
          <w:rFonts w:hint="cs"/>
          <w:sz w:val="28"/>
          <w:rtl/>
        </w:rPr>
        <w:t>.</w:t>
      </w:r>
    </w:p>
    <w:p w:rsidR="005C664D" w:rsidRPr="003F3B94" w:rsidRDefault="005C664D" w:rsidP="003F3B94">
      <w:pPr>
        <w:pStyle w:val="a0"/>
        <w:rPr>
          <w:rFonts w:hint="cs"/>
          <w:rtl/>
        </w:rPr>
      </w:pPr>
      <w:r w:rsidRPr="003F3B94">
        <w:rPr>
          <w:rFonts w:hint="cs"/>
          <w:sz w:val="28"/>
          <w:rtl/>
        </w:rPr>
        <w:t xml:space="preserve"> فمحبَّة مثل ذلك الشخص حاصلةٌ في قلب كلِّ مؤمنٍ تلقائياً</w:t>
      </w:r>
      <w:r w:rsidR="00217AB4" w:rsidRPr="0021507A">
        <w:rPr>
          <w:rFonts w:cs="Arabic11 BT"/>
          <w:b/>
          <w:sz w:val="28"/>
          <w:vertAlign w:val="superscript"/>
          <w:rtl/>
        </w:rPr>
        <w:t>(</w:t>
      </w:r>
      <w:r w:rsidRPr="0021507A">
        <w:rPr>
          <w:rStyle w:val="FootnoteReference"/>
          <w:rFonts w:cs="Arabic11 BT"/>
          <w:b/>
          <w:sz w:val="28"/>
          <w:rtl/>
        </w:rPr>
        <w:footnoteReference w:id="215"/>
      </w:r>
      <w:r w:rsidR="00217AB4" w:rsidRPr="0021507A">
        <w:rPr>
          <w:rFonts w:cs="Arabic11 BT"/>
          <w:b/>
          <w:sz w:val="28"/>
          <w:vertAlign w:val="superscript"/>
          <w:rtl/>
        </w:rPr>
        <w:t>)</w:t>
      </w:r>
      <w:r w:rsidRPr="003F3B94">
        <w:rPr>
          <w:sz w:val="28"/>
          <w:rtl/>
        </w:rPr>
        <w:t xml:space="preserve"> </w:t>
      </w:r>
      <w:r w:rsidRPr="003F3B94">
        <w:rPr>
          <w:rFonts w:hint="cs"/>
          <w:sz w:val="28"/>
          <w:rtl/>
        </w:rPr>
        <w:t>ومجرّد القرابة النسبيَّة من النبيّ لا تعطي أيَّ تميُّز لصاحبها إن لم تقترن بالإيمان والتقوى</w:t>
      </w:r>
      <w:r w:rsidR="00217AB4" w:rsidRPr="003F3B94">
        <w:rPr>
          <w:rFonts w:hint="cs"/>
          <w:sz w:val="28"/>
          <w:rtl/>
        </w:rPr>
        <w:t>.</w:t>
      </w:r>
      <w:r w:rsidRPr="003F3B94">
        <w:rPr>
          <w:rFonts w:hint="cs"/>
          <w:sz w:val="28"/>
          <w:rtl/>
        </w:rPr>
        <w:t xml:space="preserve"> فقرابة ابن نوح من أبيه لم تمنحْه أي مزية ولا يمكن أن تُعتبر سبباً لمحبته بل عداوة ابن نوح واجبة</w:t>
      </w:r>
      <w:r w:rsidR="00217AB4" w:rsidRPr="003F3B94">
        <w:rPr>
          <w:rFonts w:hint="cs"/>
          <w:sz w:val="28"/>
          <w:rtl/>
        </w:rPr>
        <w:t>،</w:t>
      </w:r>
      <w:r w:rsidRPr="003F3B94">
        <w:rPr>
          <w:rFonts w:hint="cs"/>
          <w:sz w:val="28"/>
          <w:rtl/>
        </w:rPr>
        <w:t xml:space="preserve"> في حين أن من الواجب مولاة ومحبة كل مؤمن تقيٍّ من أيِّ عرق كان أوأيَّاً كان نسبه</w:t>
      </w:r>
      <w:r w:rsidR="00217AB4" w:rsidRPr="003F3B94">
        <w:rPr>
          <w:rFonts w:hint="cs"/>
          <w:sz w:val="28"/>
          <w:rtl/>
        </w:rPr>
        <w:t>.</w:t>
      </w:r>
    </w:p>
    <w:p w:rsidR="005C664D" w:rsidRPr="00995B26" w:rsidRDefault="005C664D" w:rsidP="003F3B94">
      <w:pPr>
        <w:pStyle w:val="a0"/>
        <w:rPr>
          <w:rFonts w:hint="cs"/>
          <w:rtl/>
        </w:rPr>
      </w:pPr>
      <w:r w:rsidRPr="003F3B94">
        <w:rPr>
          <w:rFonts w:hint="cs"/>
          <w:sz w:val="28"/>
          <w:rtl/>
        </w:rPr>
        <w:t>أما الآية الكريمة</w:t>
      </w:r>
      <w:r w:rsidR="00B06788" w:rsidRPr="003F3B94">
        <w:rPr>
          <w:rFonts w:hint="cs"/>
          <w:sz w:val="28"/>
          <w:rtl/>
        </w:rPr>
        <w:t xml:space="preserve">: </w:t>
      </w:r>
      <w:r w:rsidR="00B06788" w:rsidRPr="00995B26">
        <w:rPr>
          <w:rFonts w:cs="Traditional Arabic" w:hint="cs"/>
          <w:sz w:val="28"/>
          <w:rtl/>
        </w:rPr>
        <w:t>﴿</w:t>
      </w:r>
      <w:r w:rsidR="00B06788" w:rsidRPr="0067048A">
        <w:rPr>
          <w:rFonts w:ascii="KFGQPC Uthmanic Script HAFS" w:cs="KFGQPC Uthmanic Script HAFS" w:hint="eastAsia"/>
          <w:sz w:val="28"/>
          <w:szCs w:val="28"/>
          <w:rtl/>
        </w:rPr>
        <w:t>قُل</w:t>
      </w:r>
      <w:r w:rsidR="00B06788" w:rsidRPr="0067048A">
        <w:rPr>
          <w:rFonts w:ascii="KFGQPC Uthmanic Script HAFS" w:cs="KFGQPC Uthmanic Script HAFS"/>
          <w:sz w:val="28"/>
          <w:szCs w:val="28"/>
          <w:rtl/>
        </w:rPr>
        <w:t xml:space="preserve"> </w:t>
      </w:r>
      <w:r w:rsidR="00B06788" w:rsidRPr="0067048A">
        <w:rPr>
          <w:rFonts w:ascii="KFGQPC Uthmanic Script HAFS" w:cs="KFGQPC Uthmanic Script HAFS" w:hint="eastAsia"/>
          <w:sz w:val="28"/>
          <w:szCs w:val="28"/>
          <w:rtl/>
        </w:rPr>
        <w:t>لَّا</w:t>
      </w:r>
      <w:r w:rsidR="00B06788" w:rsidRPr="0067048A">
        <w:rPr>
          <w:rFonts w:ascii="KFGQPC Uthmanic Script HAFS" w:cs="KFGQPC Uthmanic Script HAFS" w:hint="cs"/>
          <w:sz w:val="28"/>
          <w:szCs w:val="28"/>
          <w:rtl/>
        </w:rPr>
        <w:t>ٓ</w:t>
      </w:r>
      <w:r w:rsidR="00B06788" w:rsidRPr="0067048A">
        <w:rPr>
          <w:rFonts w:ascii="KFGQPC Uthmanic Script HAFS" w:cs="KFGQPC Uthmanic Script HAFS"/>
          <w:sz w:val="28"/>
          <w:szCs w:val="28"/>
          <w:rtl/>
        </w:rPr>
        <w:t xml:space="preserve"> </w:t>
      </w:r>
      <w:r w:rsidR="00B06788" w:rsidRPr="0067048A">
        <w:rPr>
          <w:rFonts w:ascii="KFGQPC Uthmanic Script HAFS" w:cs="KFGQPC Uthmanic Script HAFS" w:hint="eastAsia"/>
          <w:sz w:val="28"/>
          <w:szCs w:val="28"/>
          <w:rtl/>
        </w:rPr>
        <w:t>أَس</w:t>
      </w:r>
      <w:r w:rsidR="00B06788" w:rsidRPr="0067048A">
        <w:rPr>
          <w:rFonts w:ascii="KFGQPC Uthmanic Script HAFS" w:cs="KFGQPC Uthmanic Script HAFS" w:hint="cs"/>
          <w:sz w:val="28"/>
          <w:szCs w:val="28"/>
          <w:rtl/>
        </w:rPr>
        <w:t>ۡ</w:t>
      </w:r>
      <w:r w:rsidR="00B06788" w:rsidRPr="0067048A">
        <w:rPr>
          <w:rFonts w:ascii="KFGQPC Uthmanic Script HAFS" w:cs="KFGQPC Uthmanic Script HAFS" w:hint="eastAsia"/>
          <w:sz w:val="28"/>
          <w:szCs w:val="28"/>
          <w:rtl/>
        </w:rPr>
        <w:t>‍</w:t>
      </w:r>
      <w:r w:rsidR="00B06788" w:rsidRPr="0067048A">
        <w:rPr>
          <w:rFonts w:ascii="KFGQPC Uthmanic Script HAFS" w:cs="KFGQPC Uthmanic Script HAFS" w:hint="cs"/>
          <w:sz w:val="28"/>
          <w:szCs w:val="28"/>
          <w:rtl/>
        </w:rPr>
        <w:t>ٔ</w:t>
      </w:r>
      <w:r w:rsidR="00B06788" w:rsidRPr="0067048A">
        <w:rPr>
          <w:rFonts w:ascii="KFGQPC Uthmanic Script HAFS" w:cs="KFGQPC Uthmanic Script HAFS" w:hint="eastAsia"/>
          <w:sz w:val="28"/>
          <w:szCs w:val="28"/>
          <w:rtl/>
        </w:rPr>
        <w:t>َلُكُم</w:t>
      </w:r>
      <w:r w:rsidR="00B06788" w:rsidRPr="0067048A">
        <w:rPr>
          <w:rFonts w:ascii="KFGQPC Uthmanic Script HAFS" w:cs="KFGQPC Uthmanic Script HAFS" w:hint="cs"/>
          <w:sz w:val="28"/>
          <w:szCs w:val="28"/>
          <w:rtl/>
        </w:rPr>
        <w:t>ۡ</w:t>
      </w:r>
      <w:r w:rsidR="00B06788" w:rsidRPr="0067048A">
        <w:rPr>
          <w:rFonts w:ascii="KFGQPC Uthmanic Script HAFS" w:cs="KFGQPC Uthmanic Script HAFS"/>
          <w:sz w:val="28"/>
          <w:szCs w:val="28"/>
          <w:rtl/>
        </w:rPr>
        <w:t xml:space="preserve"> </w:t>
      </w:r>
      <w:r w:rsidR="00B06788" w:rsidRPr="0067048A">
        <w:rPr>
          <w:rFonts w:ascii="KFGQPC Uthmanic Script HAFS" w:cs="KFGQPC Uthmanic Script HAFS" w:hint="eastAsia"/>
          <w:sz w:val="28"/>
          <w:szCs w:val="28"/>
          <w:rtl/>
        </w:rPr>
        <w:t>عَلَي</w:t>
      </w:r>
      <w:r w:rsidR="00B06788" w:rsidRPr="0067048A">
        <w:rPr>
          <w:rFonts w:ascii="KFGQPC Uthmanic Script HAFS" w:cs="KFGQPC Uthmanic Script HAFS" w:hint="cs"/>
          <w:sz w:val="28"/>
          <w:szCs w:val="28"/>
          <w:rtl/>
        </w:rPr>
        <w:t>ۡ</w:t>
      </w:r>
      <w:r w:rsidR="00B06788" w:rsidRPr="0067048A">
        <w:rPr>
          <w:rFonts w:ascii="KFGQPC Uthmanic Script HAFS" w:cs="KFGQPC Uthmanic Script HAFS" w:hint="eastAsia"/>
          <w:sz w:val="28"/>
          <w:szCs w:val="28"/>
          <w:rtl/>
        </w:rPr>
        <w:t>هِ</w:t>
      </w:r>
      <w:r w:rsidR="00B06788" w:rsidRPr="0067048A">
        <w:rPr>
          <w:rFonts w:ascii="KFGQPC Uthmanic Script HAFS" w:cs="KFGQPC Uthmanic Script HAFS"/>
          <w:sz w:val="28"/>
          <w:szCs w:val="28"/>
          <w:rtl/>
        </w:rPr>
        <w:t xml:space="preserve"> </w:t>
      </w:r>
      <w:r w:rsidR="00B06788" w:rsidRPr="0067048A">
        <w:rPr>
          <w:rFonts w:ascii="KFGQPC Uthmanic Script HAFS" w:cs="KFGQPC Uthmanic Script HAFS" w:hint="eastAsia"/>
          <w:sz w:val="28"/>
          <w:szCs w:val="28"/>
          <w:rtl/>
        </w:rPr>
        <w:t>أَج</w:t>
      </w:r>
      <w:r w:rsidR="00B06788" w:rsidRPr="0067048A">
        <w:rPr>
          <w:rFonts w:ascii="KFGQPC Uthmanic Script HAFS" w:cs="KFGQPC Uthmanic Script HAFS" w:hint="cs"/>
          <w:sz w:val="28"/>
          <w:szCs w:val="28"/>
          <w:rtl/>
        </w:rPr>
        <w:t>ۡ</w:t>
      </w:r>
      <w:r w:rsidR="00B06788" w:rsidRPr="0067048A">
        <w:rPr>
          <w:rFonts w:ascii="KFGQPC Uthmanic Script HAFS" w:cs="KFGQPC Uthmanic Script HAFS" w:hint="eastAsia"/>
          <w:sz w:val="28"/>
          <w:szCs w:val="28"/>
          <w:rtl/>
        </w:rPr>
        <w:t>رًا</w:t>
      </w:r>
      <w:r w:rsidR="00B06788" w:rsidRPr="0067048A">
        <w:rPr>
          <w:rFonts w:ascii="KFGQPC Uthmanic Script HAFS" w:cs="KFGQPC Uthmanic Script HAFS"/>
          <w:sz w:val="28"/>
          <w:szCs w:val="28"/>
          <w:rtl/>
        </w:rPr>
        <w:t xml:space="preserve"> </w:t>
      </w:r>
      <w:r w:rsidR="00B06788" w:rsidRPr="0067048A">
        <w:rPr>
          <w:rFonts w:ascii="KFGQPC Uthmanic Script HAFS" w:cs="KFGQPC Uthmanic Script HAFS" w:hint="eastAsia"/>
          <w:sz w:val="28"/>
          <w:szCs w:val="28"/>
          <w:rtl/>
        </w:rPr>
        <w:t>إِلَّا</w:t>
      </w:r>
      <w:r w:rsidR="00B06788" w:rsidRPr="0067048A">
        <w:rPr>
          <w:rFonts w:ascii="KFGQPC Uthmanic Script HAFS" w:cs="KFGQPC Uthmanic Script HAFS"/>
          <w:sz w:val="28"/>
          <w:szCs w:val="28"/>
          <w:rtl/>
        </w:rPr>
        <w:t xml:space="preserve"> </w:t>
      </w:r>
      <w:r w:rsidR="00B06788" w:rsidRPr="0067048A">
        <w:rPr>
          <w:rFonts w:ascii="KFGQPC Uthmanic Script HAFS" w:cs="KFGQPC Uthmanic Script HAFS" w:hint="cs"/>
          <w:sz w:val="28"/>
          <w:szCs w:val="28"/>
          <w:rtl/>
        </w:rPr>
        <w:t>ٱ</w:t>
      </w:r>
      <w:r w:rsidR="00B06788" w:rsidRPr="0067048A">
        <w:rPr>
          <w:rFonts w:ascii="KFGQPC Uthmanic Script HAFS" w:cs="KFGQPC Uthmanic Script HAFS" w:hint="eastAsia"/>
          <w:sz w:val="28"/>
          <w:szCs w:val="28"/>
          <w:rtl/>
        </w:rPr>
        <w:t>ل</w:t>
      </w:r>
      <w:r w:rsidR="00B06788" w:rsidRPr="0067048A">
        <w:rPr>
          <w:rFonts w:ascii="KFGQPC Uthmanic Script HAFS" w:cs="KFGQPC Uthmanic Script HAFS" w:hint="cs"/>
          <w:sz w:val="28"/>
          <w:szCs w:val="28"/>
          <w:rtl/>
        </w:rPr>
        <w:t>ۡ</w:t>
      </w:r>
      <w:r w:rsidR="00B06788" w:rsidRPr="0067048A">
        <w:rPr>
          <w:rFonts w:ascii="KFGQPC Uthmanic Script HAFS" w:cs="KFGQPC Uthmanic Script HAFS" w:hint="eastAsia"/>
          <w:sz w:val="28"/>
          <w:szCs w:val="28"/>
          <w:rtl/>
        </w:rPr>
        <w:t>مَوَدَّةَ</w:t>
      </w:r>
      <w:r w:rsidR="00B06788" w:rsidRPr="0067048A">
        <w:rPr>
          <w:rFonts w:ascii="KFGQPC Uthmanic Script HAFS" w:cs="KFGQPC Uthmanic Script HAFS"/>
          <w:sz w:val="28"/>
          <w:szCs w:val="28"/>
          <w:rtl/>
        </w:rPr>
        <w:t xml:space="preserve"> </w:t>
      </w:r>
      <w:r w:rsidR="00B06788" w:rsidRPr="0067048A">
        <w:rPr>
          <w:rFonts w:ascii="KFGQPC Uthmanic Script HAFS" w:cs="KFGQPC Uthmanic Script HAFS" w:hint="eastAsia"/>
          <w:sz w:val="28"/>
          <w:szCs w:val="28"/>
          <w:rtl/>
        </w:rPr>
        <w:t>فِي</w:t>
      </w:r>
      <w:r w:rsidR="00B06788" w:rsidRPr="0067048A">
        <w:rPr>
          <w:rFonts w:ascii="KFGQPC Uthmanic Script HAFS" w:cs="KFGQPC Uthmanic Script HAFS"/>
          <w:sz w:val="28"/>
          <w:szCs w:val="28"/>
          <w:rtl/>
        </w:rPr>
        <w:t xml:space="preserve"> </w:t>
      </w:r>
      <w:r w:rsidR="00B06788" w:rsidRPr="0067048A">
        <w:rPr>
          <w:rFonts w:ascii="KFGQPC Uthmanic Script HAFS" w:cs="KFGQPC Uthmanic Script HAFS" w:hint="cs"/>
          <w:sz w:val="28"/>
          <w:szCs w:val="28"/>
          <w:rtl/>
        </w:rPr>
        <w:t>ٱ</w:t>
      </w:r>
      <w:r w:rsidR="00B06788" w:rsidRPr="0067048A">
        <w:rPr>
          <w:rFonts w:ascii="KFGQPC Uthmanic Script HAFS" w:cs="KFGQPC Uthmanic Script HAFS" w:hint="eastAsia"/>
          <w:sz w:val="28"/>
          <w:szCs w:val="28"/>
          <w:rtl/>
        </w:rPr>
        <w:t>ل</w:t>
      </w:r>
      <w:r w:rsidR="00B06788" w:rsidRPr="0067048A">
        <w:rPr>
          <w:rFonts w:ascii="KFGQPC Uthmanic Script HAFS" w:cs="KFGQPC Uthmanic Script HAFS" w:hint="cs"/>
          <w:sz w:val="28"/>
          <w:szCs w:val="28"/>
          <w:rtl/>
        </w:rPr>
        <w:t>ۡ</w:t>
      </w:r>
      <w:r w:rsidR="00B06788" w:rsidRPr="0067048A">
        <w:rPr>
          <w:rFonts w:ascii="KFGQPC Uthmanic Script HAFS" w:cs="KFGQPC Uthmanic Script HAFS" w:hint="eastAsia"/>
          <w:sz w:val="28"/>
          <w:szCs w:val="28"/>
          <w:rtl/>
        </w:rPr>
        <w:t>قُر</w:t>
      </w:r>
      <w:r w:rsidR="00B06788" w:rsidRPr="0067048A">
        <w:rPr>
          <w:rFonts w:ascii="KFGQPC Uthmanic Script HAFS" w:cs="KFGQPC Uthmanic Script HAFS" w:hint="cs"/>
          <w:sz w:val="28"/>
          <w:szCs w:val="28"/>
          <w:rtl/>
        </w:rPr>
        <w:t>ۡ</w:t>
      </w:r>
      <w:r w:rsidR="00B06788" w:rsidRPr="0067048A">
        <w:rPr>
          <w:rFonts w:ascii="KFGQPC Uthmanic Script HAFS" w:cs="KFGQPC Uthmanic Script HAFS" w:hint="eastAsia"/>
          <w:sz w:val="28"/>
          <w:szCs w:val="28"/>
          <w:rtl/>
        </w:rPr>
        <w:t>بَى</w:t>
      </w:r>
      <w:r w:rsidR="00B06788" w:rsidRPr="0067048A">
        <w:rPr>
          <w:rFonts w:ascii="KFGQPC Uthmanic Script HAFS" w:cs="KFGQPC Uthmanic Script HAFS" w:hint="cs"/>
          <w:sz w:val="28"/>
          <w:szCs w:val="28"/>
          <w:rtl/>
        </w:rPr>
        <w:t>ٰ</w:t>
      </w:r>
      <w:r w:rsidR="00B06788" w:rsidRPr="00995B26">
        <w:rPr>
          <w:rFonts w:cs="Traditional Arabic" w:hint="cs"/>
          <w:sz w:val="28"/>
          <w:rtl/>
        </w:rPr>
        <w:t>﴾</w:t>
      </w:r>
      <w:r w:rsidR="00147857" w:rsidRPr="00995B26">
        <w:rPr>
          <w:sz w:val="28"/>
          <w:rtl/>
        </w:rPr>
        <w:t xml:space="preserve"> </w:t>
      </w:r>
      <w:r w:rsidRPr="003108CB">
        <w:rPr>
          <w:rStyle w:val="Char2"/>
          <w:rtl/>
        </w:rPr>
        <w:t>[الشورى</w:t>
      </w:r>
      <w:r w:rsidR="00B06788" w:rsidRPr="003108CB">
        <w:rPr>
          <w:rStyle w:val="Char2"/>
          <w:rFonts w:hint="cs"/>
          <w:rtl/>
        </w:rPr>
        <w:t xml:space="preserve">: </w:t>
      </w:r>
      <w:r w:rsidRPr="003108CB">
        <w:rPr>
          <w:rStyle w:val="Char2"/>
          <w:rtl/>
        </w:rPr>
        <w:t>23]</w:t>
      </w:r>
      <w:r w:rsidR="00217AB4" w:rsidRPr="00995B26">
        <w:rPr>
          <w:rFonts w:hint="cs"/>
          <w:sz w:val="28"/>
          <w:rtl/>
        </w:rPr>
        <w:t>،</w:t>
      </w:r>
      <w:r w:rsidRPr="00995B26">
        <w:rPr>
          <w:rFonts w:hint="cs"/>
          <w:sz w:val="28"/>
          <w:rtl/>
        </w:rPr>
        <w:t xml:space="preserve"> فمعناها </w:t>
      </w:r>
      <w:r w:rsidR="00217AB4" w:rsidRPr="00995B26">
        <w:rPr>
          <w:rFonts w:hint="cs"/>
          <w:sz w:val="28"/>
          <w:rtl/>
        </w:rPr>
        <w:t>-</w:t>
      </w:r>
      <w:r w:rsidRPr="00995B26">
        <w:rPr>
          <w:rFonts w:hint="cs"/>
          <w:sz w:val="28"/>
          <w:rtl/>
        </w:rPr>
        <w:t xml:space="preserve"> كما أسلفنا – أنني لا أسألكم أي أجر على رسالتي ولا</w:t>
      </w:r>
      <w:r w:rsidRPr="00995B26">
        <w:rPr>
          <w:rFonts w:hint="eastAsia"/>
          <w:sz w:val="28"/>
          <w:rtl/>
        </w:rPr>
        <w:t> </w:t>
      </w:r>
      <w:r w:rsidRPr="00995B26">
        <w:rPr>
          <w:rFonts w:hint="cs"/>
          <w:sz w:val="28"/>
          <w:rtl/>
        </w:rPr>
        <w:t>أريد منكم أي جزاء على دعوتي إلا أن</w:t>
      </w:r>
      <w:r w:rsidR="002834A4" w:rsidRPr="00995B26">
        <w:rPr>
          <w:rFonts w:hint="cs"/>
          <w:sz w:val="28"/>
          <w:rtl/>
        </w:rPr>
        <w:t>ي</w:t>
      </w:r>
      <w:r w:rsidRPr="00995B26">
        <w:rPr>
          <w:rFonts w:hint="cs"/>
          <w:sz w:val="28"/>
          <w:rtl/>
        </w:rPr>
        <w:t xml:space="preserve"> أطلب منكم </w:t>
      </w:r>
      <w:r w:rsidR="002834A4" w:rsidRPr="00995B26">
        <w:rPr>
          <w:rFonts w:hint="cs"/>
          <w:sz w:val="28"/>
          <w:rtl/>
        </w:rPr>
        <w:t xml:space="preserve">أن </w:t>
      </w:r>
      <w:r w:rsidRPr="00995B26">
        <w:rPr>
          <w:rFonts w:hint="cs"/>
          <w:sz w:val="28"/>
          <w:rtl/>
        </w:rPr>
        <w:t>تودوا وتحبوا بعضكم بعضاً قربةً إلى الله</w:t>
      </w:r>
      <w:r w:rsidR="00217AB4" w:rsidRPr="00995B26">
        <w:rPr>
          <w:rFonts w:hint="cs"/>
          <w:sz w:val="28"/>
          <w:rtl/>
        </w:rPr>
        <w:t>،</w:t>
      </w:r>
      <w:r w:rsidRPr="00995B26">
        <w:rPr>
          <w:rFonts w:hint="cs"/>
          <w:sz w:val="28"/>
          <w:rtl/>
        </w:rPr>
        <w:t xml:space="preserve"> فهذه الآية مثل كثير من الآيات التي وص</w:t>
      </w:r>
      <w:r w:rsidR="0029451B" w:rsidRPr="00995B26">
        <w:rPr>
          <w:rFonts w:hint="cs"/>
          <w:sz w:val="28"/>
          <w:rtl/>
        </w:rPr>
        <w:t>َّ</w:t>
      </w:r>
      <w:r w:rsidRPr="00995B26">
        <w:rPr>
          <w:rFonts w:hint="cs"/>
          <w:sz w:val="28"/>
          <w:rtl/>
        </w:rPr>
        <w:t xml:space="preserve">ى الله تعالى </w:t>
      </w:r>
      <w:r w:rsidR="0029451B" w:rsidRPr="00995B26">
        <w:rPr>
          <w:rFonts w:hint="cs"/>
          <w:sz w:val="28"/>
          <w:rtl/>
        </w:rPr>
        <w:t xml:space="preserve">فيها </w:t>
      </w:r>
      <w:r w:rsidRPr="00995B26">
        <w:rPr>
          <w:rFonts w:hint="cs"/>
          <w:sz w:val="28"/>
          <w:rtl/>
        </w:rPr>
        <w:t>المؤمنين بمودة ومحبة بعضهم بعضاً</w:t>
      </w:r>
      <w:r w:rsidR="00217AB4" w:rsidRPr="00995B26">
        <w:rPr>
          <w:rFonts w:hint="cs"/>
          <w:sz w:val="28"/>
          <w:rtl/>
        </w:rPr>
        <w:t>.</w:t>
      </w:r>
      <w:r w:rsidRPr="00995B26">
        <w:rPr>
          <w:rFonts w:hint="cs"/>
          <w:sz w:val="28"/>
          <w:rtl/>
        </w:rPr>
        <w:t xml:space="preserve"> وقد بحثنا هذا الموضوع بشكل وافٍ في قسم «الولاية» من كتابنا «طريق النجاة من شر الغلاة»</w:t>
      </w:r>
      <w:r w:rsidR="00217AB4" w:rsidRPr="00995B26">
        <w:rPr>
          <w:rFonts w:hint="cs"/>
          <w:sz w:val="28"/>
          <w:rtl/>
        </w:rPr>
        <w:t>.</w:t>
      </w:r>
    </w:p>
    <w:p w:rsidR="005C664D" w:rsidRPr="003F3B94" w:rsidRDefault="005C664D" w:rsidP="003F3B94">
      <w:pPr>
        <w:pStyle w:val="a0"/>
        <w:rPr>
          <w:rFonts w:hint="cs"/>
          <w:rtl/>
        </w:rPr>
      </w:pPr>
      <w:r w:rsidRPr="003F3B94">
        <w:rPr>
          <w:rFonts w:hint="cs"/>
          <w:sz w:val="28"/>
          <w:rtl/>
        </w:rPr>
        <w:t xml:space="preserve">وحرف </w:t>
      </w:r>
      <w:r w:rsidRPr="003F3B94">
        <w:rPr>
          <w:rFonts w:ascii="Lotus Linotype" w:hAnsi="Lotus Linotype"/>
          <w:sz w:val="28"/>
          <w:rtl/>
        </w:rPr>
        <w:t>«</w:t>
      </w:r>
      <w:r w:rsidRPr="003F3B94">
        <w:rPr>
          <w:b/>
          <w:bCs/>
          <w:sz w:val="28"/>
          <w:rtl/>
        </w:rPr>
        <w:t>إِلَّا</w:t>
      </w:r>
      <w:r w:rsidRPr="003F3B94">
        <w:rPr>
          <w:rFonts w:ascii="Lotus Linotype" w:hAnsi="Lotus Linotype"/>
          <w:sz w:val="28"/>
          <w:rtl/>
        </w:rPr>
        <w:t>»</w:t>
      </w:r>
      <w:r w:rsidRPr="003F3B94">
        <w:rPr>
          <w:rFonts w:ascii="Lotus Linotype" w:hAnsi="Lotus Linotype" w:hint="cs"/>
          <w:sz w:val="28"/>
          <w:rtl/>
        </w:rPr>
        <w:t xml:space="preserve"> في الآية الكريمة استثناء منقطع مثله مثل حرف </w:t>
      </w:r>
      <w:r w:rsidRPr="003F3B94">
        <w:rPr>
          <w:rFonts w:ascii="Lotus Linotype" w:hAnsi="Lotus Linotype"/>
          <w:sz w:val="28"/>
          <w:rtl/>
        </w:rPr>
        <w:t>«</w:t>
      </w:r>
      <w:r w:rsidRPr="003F3B94">
        <w:rPr>
          <w:b/>
          <w:bCs/>
          <w:sz w:val="28"/>
          <w:rtl/>
        </w:rPr>
        <w:t>إِلَّا</w:t>
      </w:r>
      <w:r w:rsidRPr="003F3B94">
        <w:rPr>
          <w:rFonts w:ascii="Lotus Linotype" w:hAnsi="Lotus Linotype"/>
          <w:sz w:val="28"/>
          <w:rtl/>
        </w:rPr>
        <w:t>»</w:t>
      </w:r>
      <w:r w:rsidRPr="003F3B94">
        <w:rPr>
          <w:rFonts w:hint="cs"/>
          <w:sz w:val="28"/>
          <w:rtl/>
        </w:rPr>
        <w:t xml:space="preserve"> الذي جاء في الآية 57 من سورة الفرقان أي قوله تعالى</w:t>
      </w:r>
      <w:r w:rsidR="00217AB4" w:rsidRPr="003F3B94">
        <w:rPr>
          <w:rFonts w:hint="cs"/>
          <w:sz w:val="28"/>
          <w:rtl/>
        </w:rPr>
        <w:t>:</w:t>
      </w:r>
    </w:p>
    <w:p w:rsidR="005C664D" w:rsidRPr="003F3B94" w:rsidRDefault="00B06788" w:rsidP="003F3B94">
      <w:pPr>
        <w:pStyle w:val="a0"/>
        <w:rPr>
          <w:rFonts w:hint="cs"/>
          <w:rtl/>
        </w:rPr>
      </w:pPr>
      <w:r w:rsidRPr="00995B26">
        <w:rPr>
          <w:rFonts w:cs="Traditional Arabic" w:hint="cs"/>
          <w:sz w:val="28"/>
          <w:rtl/>
        </w:rPr>
        <w:t>﴿</w:t>
      </w:r>
      <w:r w:rsidRPr="0067048A">
        <w:rPr>
          <w:rFonts w:ascii="KFGQPC Uthmanic Script HAFS" w:cs="KFGQPC Uthmanic Script HAFS" w:hint="eastAsia"/>
          <w:sz w:val="28"/>
          <w:szCs w:val="28"/>
          <w:rtl/>
        </w:rPr>
        <w:t>قُل</w:t>
      </w:r>
      <w:r w:rsidRPr="0067048A">
        <w:rPr>
          <w:rFonts w:ascii="KFGQPC Uthmanic Script HAFS" w:cs="KFGQPC Uthmanic Script HAFS" w:hint="cs"/>
          <w:sz w:val="28"/>
          <w:szCs w:val="28"/>
          <w:rtl/>
        </w:rPr>
        <w:t>ۡ</w:t>
      </w:r>
      <w:r w:rsidRPr="0067048A">
        <w:rPr>
          <w:rFonts w:ascii="KFGQPC Uthmanic Script HAFS" w:cs="KFGQPC Uthmanic Script HAFS"/>
          <w:sz w:val="28"/>
          <w:szCs w:val="28"/>
          <w:rtl/>
        </w:rPr>
        <w:t xml:space="preserve"> </w:t>
      </w:r>
      <w:r w:rsidRPr="0067048A">
        <w:rPr>
          <w:rFonts w:ascii="KFGQPC Uthmanic Script HAFS" w:cs="KFGQPC Uthmanic Script HAFS" w:hint="eastAsia"/>
          <w:sz w:val="28"/>
          <w:szCs w:val="28"/>
          <w:rtl/>
        </w:rPr>
        <w:t>مَا</w:t>
      </w:r>
      <w:r w:rsidRPr="0067048A">
        <w:rPr>
          <w:rFonts w:ascii="KFGQPC Uthmanic Script HAFS" w:cs="KFGQPC Uthmanic Script HAFS" w:hint="cs"/>
          <w:sz w:val="28"/>
          <w:szCs w:val="28"/>
          <w:rtl/>
        </w:rPr>
        <w:t>ٓ</w:t>
      </w:r>
      <w:r w:rsidRPr="0067048A">
        <w:rPr>
          <w:rFonts w:ascii="KFGQPC Uthmanic Script HAFS" w:cs="KFGQPC Uthmanic Script HAFS"/>
          <w:sz w:val="28"/>
          <w:szCs w:val="28"/>
          <w:rtl/>
        </w:rPr>
        <w:t xml:space="preserve"> </w:t>
      </w:r>
      <w:r w:rsidRPr="0067048A">
        <w:rPr>
          <w:rFonts w:ascii="KFGQPC Uthmanic Script HAFS" w:cs="KFGQPC Uthmanic Script HAFS" w:hint="eastAsia"/>
          <w:sz w:val="28"/>
          <w:szCs w:val="28"/>
          <w:rtl/>
        </w:rPr>
        <w:t>أَس</w:t>
      </w:r>
      <w:r w:rsidRPr="0067048A">
        <w:rPr>
          <w:rFonts w:ascii="KFGQPC Uthmanic Script HAFS" w:cs="KFGQPC Uthmanic Script HAFS" w:hint="cs"/>
          <w:sz w:val="28"/>
          <w:szCs w:val="28"/>
          <w:rtl/>
        </w:rPr>
        <w:t>ۡ</w:t>
      </w:r>
      <w:r w:rsidRPr="0067048A">
        <w:rPr>
          <w:rFonts w:ascii="KFGQPC Uthmanic Script HAFS" w:cs="KFGQPC Uthmanic Script HAFS" w:hint="eastAsia"/>
          <w:sz w:val="28"/>
          <w:szCs w:val="28"/>
          <w:rtl/>
        </w:rPr>
        <w:t>‍</w:t>
      </w:r>
      <w:r w:rsidRPr="0067048A">
        <w:rPr>
          <w:rFonts w:ascii="KFGQPC Uthmanic Script HAFS" w:cs="KFGQPC Uthmanic Script HAFS" w:hint="cs"/>
          <w:sz w:val="28"/>
          <w:szCs w:val="28"/>
          <w:rtl/>
        </w:rPr>
        <w:t>ٔ</w:t>
      </w:r>
      <w:r w:rsidRPr="0067048A">
        <w:rPr>
          <w:rFonts w:ascii="KFGQPC Uthmanic Script HAFS" w:cs="KFGQPC Uthmanic Script HAFS" w:hint="eastAsia"/>
          <w:sz w:val="28"/>
          <w:szCs w:val="28"/>
          <w:rtl/>
        </w:rPr>
        <w:t>َلُكُم</w:t>
      </w:r>
      <w:r w:rsidRPr="0067048A">
        <w:rPr>
          <w:rFonts w:ascii="KFGQPC Uthmanic Script HAFS" w:cs="KFGQPC Uthmanic Script HAFS" w:hint="cs"/>
          <w:sz w:val="28"/>
          <w:szCs w:val="28"/>
          <w:rtl/>
        </w:rPr>
        <w:t>ۡ</w:t>
      </w:r>
      <w:r w:rsidRPr="0067048A">
        <w:rPr>
          <w:rFonts w:ascii="KFGQPC Uthmanic Script HAFS" w:cs="KFGQPC Uthmanic Script HAFS"/>
          <w:sz w:val="28"/>
          <w:szCs w:val="28"/>
          <w:rtl/>
        </w:rPr>
        <w:t xml:space="preserve"> </w:t>
      </w:r>
      <w:r w:rsidRPr="0067048A">
        <w:rPr>
          <w:rFonts w:ascii="KFGQPC Uthmanic Script HAFS" w:cs="KFGQPC Uthmanic Script HAFS" w:hint="eastAsia"/>
          <w:sz w:val="28"/>
          <w:szCs w:val="28"/>
          <w:rtl/>
        </w:rPr>
        <w:t>عَلَي</w:t>
      </w:r>
      <w:r w:rsidRPr="0067048A">
        <w:rPr>
          <w:rFonts w:ascii="KFGQPC Uthmanic Script HAFS" w:cs="KFGQPC Uthmanic Script HAFS" w:hint="cs"/>
          <w:sz w:val="28"/>
          <w:szCs w:val="28"/>
          <w:rtl/>
        </w:rPr>
        <w:t>ۡ</w:t>
      </w:r>
      <w:r w:rsidRPr="0067048A">
        <w:rPr>
          <w:rFonts w:ascii="KFGQPC Uthmanic Script HAFS" w:cs="KFGQPC Uthmanic Script HAFS" w:hint="eastAsia"/>
          <w:sz w:val="28"/>
          <w:szCs w:val="28"/>
          <w:rtl/>
        </w:rPr>
        <w:t>هِ</w:t>
      </w:r>
      <w:r w:rsidRPr="0067048A">
        <w:rPr>
          <w:rFonts w:ascii="KFGQPC Uthmanic Script HAFS" w:cs="KFGQPC Uthmanic Script HAFS"/>
          <w:sz w:val="28"/>
          <w:szCs w:val="28"/>
          <w:rtl/>
        </w:rPr>
        <w:t xml:space="preserve"> </w:t>
      </w:r>
      <w:r w:rsidRPr="0067048A">
        <w:rPr>
          <w:rFonts w:ascii="KFGQPC Uthmanic Script HAFS" w:cs="KFGQPC Uthmanic Script HAFS" w:hint="eastAsia"/>
          <w:sz w:val="28"/>
          <w:szCs w:val="28"/>
          <w:rtl/>
        </w:rPr>
        <w:t>مِن</w:t>
      </w:r>
      <w:r w:rsidRPr="0067048A">
        <w:rPr>
          <w:rFonts w:ascii="KFGQPC Uthmanic Script HAFS" w:cs="KFGQPC Uthmanic Script HAFS" w:hint="cs"/>
          <w:sz w:val="28"/>
          <w:szCs w:val="28"/>
          <w:rtl/>
        </w:rPr>
        <w:t>ۡ</w:t>
      </w:r>
      <w:r w:rsidRPr="0067048A">
        <w:rPr>
          <w:rFonts w:ascii="KFGQPC Uthmanic Script HAFS" w:cs="KFGQPC Uthmanic Script HAFS"/>
          <w:sz w:val="28"/>
          <w:szCs w:val="28"/>
          <w:rtl/>
        </w:rPr>
        <w:t xml:space="preserve"> </w:t>
      </w:r>
      <w:r w:rsidRPr="0067048A">
        <w:rPr>
          <w:rFonts w:ascii="KFGQPC Uthmanic Script HAFS" w:cs="KFGQPC Uthmanic Script HAFS" w:hint="eastAsia"/>
          <w:sz w:val="28"/>
          <w:szCs w:val="28"/>
          <w:rtl/>
        </w:rPr>
        <w:t>أَج</w:t>
      </w:r>
      <w:r w:rsidRPr="0067048A">
        <w:rPr>
          <w:rFonts w:ascii="KFGQPC Uthmanic Script HAFS" w:cs="KFGQPC Uthmanic Script HAFS" w:hint="cs"/>
          <w:sz w:val="28"/>
          <w:szCs w:val="28"/>
          <w:rtl/>
        </w:rPr>
        <w:t>ۡ</w:t>
      </w:r>
      <w:r w:rsidRPr="0067048A">
        <w:rPr>
          <w:rFonts w:ascii="KFGQPC Uthmanic Script HAFS" w:cs="KFGQPC Uthmanic Script HAFS" w:hint="eastAsia"/>
          <w:sz w:val="28"/>
          <w:szCs w:val="28"/>
          <w:rtl/>
        </w:rPr>
        <w:t>رٍ</w:t>
      </w:r>
      <w:r w:rsidRPr="0067048A">
        <w:rPr>
          <w:rFonts w:ascii="KFGQPC Uthmanic Script HAFS" w:cs="KFGQPC Uthmanic Script HAFS"/>
          <w:sz w:val="28"/>
          <w:szCs w:val="28"/>
          <w:rtl/>
        </w:rPr>
        <w:t xml:space="preserve"> </w:t>
      </w:r>
      <w:r w:rsidRPr="0067048A">
        <w:rPr>
          <w:rFonts w:ascii="KFGQPC Uthmanic Script HAFS" w:cs="KFGQPC Uthmanic Script HAFS" w:hint="eastAsia"/>
          <w:sz w:val="28"/>
          <w:szCs w:val="28"/>
          <w:rtl/>
        </w:rPr>
        <w:t>إِلَّا</w:t>
      </w:r>
      <w:r w:rsidRPr="0067048A">
        <w:rPr>
          <w:rFonts w:ascii="KFGQPC Uthmanic Script HAFS" w:cs="KFGQPC Uthmanic Script HAFS"/>
          <w:sz w:val="28"/>
          <w:szCs w:val="28"/>
          <w:rtl/>
        </w:rPr>
        <w:t xml:space="preserve"> </w:t>
      </w:r>
      <w:r w:rsidRPr="0067048A">
        <w:rPr>
          <w:rFonts w:ascii="KFGQPC Uthmanic Script HAFS" w:cs="KFGQPC Uthmanic Script HAFS" w:hint="eastAsia"/>
          <w:sz w:val="28"/>
          <w:szCs w:val="28"/>
          <w:rtl/>
        </w:rPr>
        <w:t>مَن</w:t>
      </w:r>
      <w:r w:rsidRPr="0067048A">
        <w:rPr>
          <w:rFonts w:ascii="KFGQPC Uthmanic Script HAFS" w:cs="KFGQPC Uthmanic Script HAFS"/>
          <w:sz w:val="28"/>
          <w:szCs w:val="28"/>
          <w:rtl/>
        </w:rPr>
        <w:t xml:space="preserve"> </w:t>
      </w:r>
      <w:r w:rsidRPr="0067048A">
        <w:rPr>
          <w:rFonts w:ascii="KFGQPC Uthmanic Script HAFS" w:cs="KFGQPC Uthmanic Script HAFS" w:hint="eastAsia"/>
          <w:sz w:val="28"/>
          <w:szCs w:val="28"/>
          <w:rtl/>
        </w:rPr>
        <w:t>شَا</w:t>
      </w:r>
      <w:r w:rsidRPr="0067048A">
        <w:rPr>
          <w:rFonts w:ascii="KFGQPC Uthmanic Script HAFS" w:cs="KFGQPC Uthmanic Script HAFS" w:hint="cs"/>
          <w:sz w:val="28"/>
          <w:szCs w:val="28"/>
          <w:rtl/>
        </w:rPr>
        <w:t>ٓ</w:t>
      </w:r>
      <w:r w:rsidRPr="0067048A">
        <w:rPr>
          <w:rFonts w:ascii="KFGQPC Uthmanic Script HAFS" w:cs="KFGQPC Uthmanic Script HAFS" w:hint="eastAsia"/>
          <w:sz w:val="28"/>
          <w:szCs w:val="28"/>
          <w:rtl/>
        </w:rPr>
        <w:t>ءَ</w:t>
      </w:r>
      <w:r w:rsidRPr="0067048A">
        <w:rPr>
          <w:rFonts w:ascii="KFGQPC Uthmanic Script HAFS" w:cs="KFGQPC Uthmanic Script HAFS"/>
          <w:sz w:val="28"/>
          <w:szCs w:val="28"/>
          <w:rtl/>
        </w:rPr>
        <w:t xml:space="preserve"> </w:t>
      </w:r>
      <w:r w:rsidRPr="0067048A">
        <w:rPr>
          <w:rFonts w:ascii="KFGQPC Uthmanic Script HAFS" w:cs="KFGQPC Uthmanic Script HAFS" w:hint="eastAsia"/>
          <w:sz w:val="28"/>
          <w:szCs w:val="28"/>
          <w:rtl/>
        </w:rPr>
        <w:t>أَن</w:t>
      </w:r>
      <w:r w:rsidRPr="0067048A">
        <w:rPr>
          <w:rFonts w:ascii="KFGQPC Uthmanic Script HAFS" w:cs="KFGQPC Uthmanic Script HAFS"/>
          <w:sz w:val="28"/>
          <w:szCs w:val="28"/>
          <w:rtl/>
        </w:rPr>
        <w:t xml:space="preserve"> </w:t>
      </w:r>
      <w:r w:rsidRPr="0067048A">
        <w:rPr>
          <w:rFonts w:ascii="KFGQPC Uthmanic Script HAFS" w:cs="KFGQPC Uthmanic Script HAFS" w:hint="eastAsia"/>
          <w:sz w:val="28"/>
          <w:szCs w:val="28"/>
          <w:rtl/>
        </w:rPr>
        <w:t>يَتَّخِذَ</w:t>
      </w:r>
      <w:r w:rsidRPr="0067048A">
        <w:rPr>
          <w:rFonts w:ascii="KFGQPC Uthmanic Script HAFS" w:cs="KFGQPC Uthmanic Script HAFS"/>
          <w:sz w:val="28"/>
          <w:szCs w:val="28"/>
          <w:rtl/>
        </w:rPr>
        <w:t xml:space="preserve"> </w:t>
      </w:r>
      <w:r w:rsidRPr="0067048A">
        <w:rPr>
          <w:rFonts w:ascii="KFGQPC Uthmanic Script HAFS" w:cs="KFGQPC Uthmanic Script HAFS" w:hint="eastAsia"/>
          <w:sz w:val="28"/>
          <w:szCs w:val="28"/>
          <w:rtl/>
        </w:rPr>
        <w:t>إِلَى</w:t>
      </w:r>
      <w:r w:rsidRPr="0067048A">
        <w:rPr>
          <w:rFonts w:ascii="KFGQPC Uthmanic Script HAFS" w:cs="KFGQPC Uthmanic Script HAFS" w:hint="cs"/>
          <w:sz w:val="28"/>
          <w:szCs w:val="28"/>
          <w:rtl/>
        </w:rPr>
        <w:t>ٰ</w:t>
      </w:r>
      <w:r w:rsidRPr="0067048A">
        <w:rPr>
          <w:rFonts w:ascii="KFGQPC Uthmanic Script HAFS" w:cs="KFGQPC Uthmanic Script HAFS"/>
          <w:sz w:val="28"/>
          <w:szCs w:val="28"/>
          <w:rtl/>
        </w:rPr>
        <w:t xml:space="preserve"> </w:t>
      </w:r>
      <w:r w:rsidRPr="0067048A">
        <w:rPr>
          <w:rFonts w:ascii="KFGQPC Uthmanic Script HAFS" w:cs="KFGQPC Uthmanic Script HAFS" w:hint="eastAsia"/>
          <w:sz w:val="28"/>
          <w:szCs w:val="28"/>
          <w:rtl/>
        </w:rPr>
        <w:t>رَبِّهِ</w:t>
      </w:r>
      <w:r w:rsidRPr="0067048A">
        <w:rPr>
          <w:rFonts w:ascii="KFGQPC Uthmanic Script HAFS" w:cs="KFGQPC Uthmanic Script HAFS" w:hint="cs"/>
          <w:sz w:val="28"/>
          <w:szCs w:val="28"/>
          <w:rtl/>
        </w:rPr>
        <w:t>ۦ</w:t>
      </w:r>
      <w:r w:rsidRPr="0067048A">
        <w:rPr>
          <w:rFonts w:ascii="KFGQPC Uthmanic Script HAFS" w:cs="KFGQPC Uthmanic Script HAFS"/>
          <w:sz w:val="28"/>
          <w:szCs w:val="28"/>
          <w:rtl/>
        </w:rPr>
        <w:t xml:space="preserve"> </w:t>
      </w:r>
      <w:r w:rsidRPr="0067048A">
        <w:rPr>
          <w:rFonts w:ascii="KFGQPC Uthmanic Script HAFS" w:cs="KFGQPC Uthmanic Script HAFS" w:hint="eastAsia"/>
          <w:sz w:val="28"/>
          <w:szCs w:val="28"/>
          <w:rtl/>
        </w:rPr>
        <w:t>سَبِيل</w:t>
      </w:r>
      <w:r w:rsidRPr="0067048A">
        <w:rPr>
          <w:rFonts w:ascii="KFGQPC Uthmanic Script HAFS" w:cs="KFGQPC Uthmanic Script HAFS" w:hint="cs"/>
          <w:sz w:val="28"/>
          <w:szCs w:val="28"/>
          <w:rtl/>
        </w:rPr>
        <w:t>ٗ</w:t>
      </w:r>
      <w:r w:rsidRPr="0067048A">
        <w:rPr>
          <w:rFonts w:ascii="KFGQPC Uthmanic Script HAFS" w:cs="KFGQPC Uthmanic Script HAFS" w:hint="eastAsia"/>
          <w:sz w:val="28"/>
          <w:szCs w:val="28"/>
          <w:rtl/>
        </w:rPr>
        <w:t>ا</w:t>
      </w:r>
      <w:r w:rsidRPr="00995B26">
        <w:rPr>
          <w:rFonts w:cs="Traditional Arabic" w:hint="cs"/>
          <w:sz w:val="28"/>
          <w:rtl/>
        </w:rPr>
        <w:t>﴾</w:t>
      </w:r>
      <w:r w:rsidR="00147857" w:rsidRPr="003F3B94">
        <w:rPr>
          <w:sz w:val="28"/>
          <w:rtl/>
        </w:rPr>
        <w:t xml:space="preserve"> </w:t>
      </w:r>
      <w:r w:rsidR="005C664D" w:rsidRPr="003108CB">
        <w:rPr>
          <w:rStyle w:val="Char2"/>
          <w:rtl/>
        </w:rPr>
        <w:t>[الفرقان</w:t>
      </w:r>
      <w:r w:rsidRPr="003108CB">
        <w:rPr>
          <w:rStyle w:val="Char2"/>
          <w:rFonts w:hint="cs"/>
          <w:rtl/>
        </w:rPr>
        <w:t xml:space="preserve">: </w:t>
      </w:r>
      <w:r w:rsidR="005C664D" w:rsidRPr="003108CB">
        <w:rPr>
          <w:rStyle w:val="Char2"/>
          <w:rtl/>
        </w:rPr>
        <w:t>57]</w:t>
      </w:r>
    </w:p>
    <w:p w:rsidR="005C664D" w:rsidRPr="003F3B94" w:rsidRDefault="005C664D" w:rsidP="003F3B94">
      <w:pPr>
        <w:pStyle w:val="a0"/>
        <w:rPr>
          <w:rFonts w:hint="cs"/>
          <w:rtl/>
        </w:rPr>
      </w:pPr>
      <w:r w:rsidRPr="003F3B94">
        <w:rPr>
          <w:rFonts w:hint="cs"/>
          <w:sz w:val="28"/>
          <w:rtl/>
        </w:rPr>
        <w:t>وهذا المعنى أيضاً نجده في قوله تعالى في سورة سبأ</w:t>
      </w:r>
      <w:r w:rsidR="00217AB4" w:rsidRPr="003F3B94">
        <w:rPr>
          <w:rFonts w:hint="cs"/>
          <w:sz w:val="28"/>
          <w:rtl/>
        </w:rPr>
        <w:t>:</w:t>
      </w:r>
      <w:r w:rsidRPr="003F3B94">
        <w:rPr>
          <w:rFonts w:hint="cs"/>
          <w:sz w:val="28"/>
          <w:rtl/>
        </w:rPr>
        <w:t xml:space="preserve"> </w:t>
      </w:r>
    </w:p>
    <w:p w:rsidR="005C664D" w:rsidRPr="003F3B94" w:rsidRDefault="00B06788" w:rsidP="003F3B94">
      <w:pPr>
        <w:pStyle w:val="a0"/>
        <w:rPr>
          <w:rFonts w:hint="cs"/>
          <w:rtl/>
        </w:rPr>
      </w:pPr>
      <w:r w:rsidRPr="00995B26">
        <w:rPr>
          <w:rFonts w:cs="Traditional Arabic" w:hint="cs"/>
          <w:sz w:val="28"/>
          <w:rtl/>
        </w:rPr>
        <w:t>﴿</w:t>
      </w:r>
      <w:r w:rsidRPr="0067048A">
        <w:rPr>
          <w:rFonts w:ascii="KFGQPC Uthmanic Script HAFS" w:cs="KFGQPC Uthmanic Script HAFS" w:hint="eastAsia"/>
          <w:sz w:val="28"/>
          <w:szCs w:val="28"/>
          <w:rtl/>
        </w:rPr>
        <w:t>قُل</w:t>
      </w:r>
      <w:r w:rsidRPr="0067048A">
        <w:rPr>
          <w:rFonts w:ascii="KFGQPC Uthmanic Script HAFS" w:cs="KFGQPC Uthmanic Script HAFS" w:hint="cs"/>
          <w:sz w:val="28"/>
          <w:szCs w:val="28"/>
          <w:rtl/>
        </w:rPr>
        <w:t>ۡ</w:t>
      </w:r>
      <w:r w:rsidRPr="0067048A">
        <w:rPr>
          <w:rFonts w:ascii="KFGQPC Uthmanic Script HAFS" w:cs="KFGQPC Uthmanic Script HAFS"/>
          <w:sz w:val="28"/>
          <w:szCs w:val="28"/>
          <w:rtl/>
        </w:rPr>
        <w:t xml:space="preserve"> </w:t>
      </w:r>
      <w:r w:rsidRPr="0067048A">
        <w:rPr>
          <w:rFonts w:ascii="KFGQPC Uthmanic Script HAFS" w:cs="KFGQPC Uthmanic Script HAFS" w:hint="eastAsia"/>
          <w:sz w:val="28"/>
          <w:szCs w:val="28"/>
          <w:rtl/>
        </w:rPr>
        <w:t>مَا</w:t>
      </w:r>
      <w:r w:rsidRPr="0067048A">
        <w:rPr>
          <w:rFonts w:ascii="KFGQPC Uthmanic Script HAFS" w:cs="KFGQPC Uthmanic Script HAFS"/>
          <w:sz w:val="28"/>
          <w:szCs w:val="28"/>
          <w:rtl/>
        </w:rPr>
        <w:t xml:space="preserve"> </w:t>
      </w:r>
      <w:r w:rsidRPr="0067048A">
        <w:rPr>
          <w:rFonts w:ascii="KFGQPC Uthmanic Script HAFS" w:cs="KFGQPC Uthmanic Script HAFS" w:hint="eastAsia"/>
          <w:sz w:val="28"/>
          <w:szCs w:val="28"/>
          <w:rtl/>
        </w:rPr>
        <w:t>سَأَل</w:t>
      </w:r>
      <w:r w:rsidRPr="0067048A">
        <w:rPr>
          <w:rFonts w:ascii="KFGQPC Uthmanic Script HAFS" w:cs="KFGQPC Uthmanic Script HAFS" w:hint="cs"/>
          <w:sz w:val="28"/>
          <w:szCs w:val="28"/>
          <w:rtl/>
        </w:rPr>
        <w:t>ۡ</w:t>
      </w:r>
      <w:r w:rsidRPr="0067048A">
        <w:rPr>
          <w:rFonts w:ascii="KFGQPC Uthmanic Script HAFS" w:cs="KFGQPC Uthmanic Script HAFS" w:hint="eastAsia"/>
          <w:sz w:val="28"/>
          <w:szCs w:val="28"/>
          <w:rtl/>
        </w:rPr>
        <w:t>تُكُم</w:t>
      </w:r>
      <w:r w:rsidRPr="0067048A">
        <w:rPr>
          <w:rFonts w:ascii="KFGQPC Uthmanic Script HAFS" w:cs="KFGQPC Uthmanic Script HAFS"/>
          <w:sz w:val="28"/>
          <w:szCs w:val="28"/>
          <w:rtl/>
        </w:rPr>
        <w:t xml:space="preserve"> </w:t>
      </w:r>
      <w:r w:rsidRPr="0067048A">
        <w:rPr>
          <w:rFonts w:ascii="KFGQPC Uthmanic Script HAFS" w:cs="KFGQPC Uthmanic Script HAFS" w:hint="eastAsia"/>
          <w:sz w:val="28"/>
          <w:szCs w:val="28"/>
          <w:rtl/>
        </w:rPr>
        <w:t>مِّن</w:t>
      </w:r>
      <w:r w:rsidRPr="0067048A">
        <w:rPr>
          <w:rFonts w:ascii="KFGQPC Uthmanic Script HAFS" w:cs="KFGQPC Uthmanic Script HAFS" w:hint="cs"/>
          <w:sz w:val="28"/>
          <w:szCs w:val="28"/>
          <w:rtl/>
        </w:rPr>
        <w:t>ۡ</w:t>
      </w:r>
      <w:r w:rsidRPr="0067048A">
        <w:rPr>
          <w:rFonts w:ascii="KFGQPC Uthmanic Script HAFS" w:cs="KFGQPC Uthmanic Script HAFS"/>
          <w:sz w:val="28"/>
          <w:szCs w:val="28"/>
          <w:rtl/>
        </w:rPr>
        <w:t xml:space="preserve"> </w:t>
      </w:r>
      <w:r w:rsidRPr="0067048A">
        <w:rPr>
          <w:rFonts w:ascii="KFGQPC Uthmanic Script HAFS" w:cs="KFGQPC Uthmanic Script HAFS" w:hint="eastAsia"/>
          <w:sz w:val="28"/>
          <w:szCs w:val="28"/>
          <w:rtl/>
        </w:rPr>
        <w:t>أَج</w:t>
      </w:r>
      <w:r w:rsidRPr="0067048A">
        <w:rPr>
          <w:rFonts w:ascii="KFGQPC Uthmanic Script HAFS" w:cs="KFGQPC Uthmanic Script HAFS" w:hint="cs"/>
          <w:sz w:val="28"/>
          <w:szCs w:val="28"/>
          <w:rtl/>
        </w:rPr>
        <w:t>ۡ</w:t>
      </w:r>
      <w:r w:rsidRPr="0067048A">
        <w:rPr>
          <w:rFonts w:ascii="KFGQPC Uthmanic Script HAFS" w:cs="KFGQPC Uthmanic Script HAFS" w:hint="eastAsia"/>
          <w:sz w:val="28"/>
          <w:szCs w:val="28"/>
          <w:rtl/>
        </w:rPr>
        <w:t>ر</w:t>
      </w:r>
      <w:r w:rsidRPr="0067048A">
        <w:rPr>
          <w:rFonts w:ascii="KFGQPC Uthmanic Script HAFS" w:cs="KFGQPC Uthmanic Script HAFS" w:hint="cs"/>
          <w:sz w:val="28"/>
          <w:szCs w:val="28"/>
          <w:rtl/>
        </w:rPr>
        <w:t>ٖ</w:t>
      </w:r>
      <w:r w:rsidRPr="0067048A">
        <w:rPr>
          <w:rFonts w:ascii="KFGQPC Uthmanic Script HAFS" w:cs="KFGQPC Uthmanic Script HAFS"/>
          <w:sz w:val="28"/>
          <w:szCs w:val="28"/>
          <w:rtl/>
        </w:rPr>
        <w:t xml:space="preserve"> </w:t>
      </w:r>
      <w:r w:rsidRPr="0067048A">
        <w:rPr>
          <w:rFonts w:ascii="KFGQPC Uthmanic Script HAFS" w:cs="KFGQPC Uthmanic Script HAFS" w:hint="eastAsia"/>
          <w:sz w:val="28"/>
          <w:szCs w:val="28"/>
          <w:rtl/>
        </w:rPr>
        <w:t>فَهُوَ</w:t>
      </w:r>
      <w:r w:rsidRPr="0067048A">
        <w:rPr>
          <w:rFonts w:ascii="KFGQPC Uthmanic Script HAFS" w:cs="KFGQPC Uthmanic Script HAFS"/>
          <w:sz w:val="28"/>
          <w:szCs w:val="28"/>
          <w:rtl/>
        </w:rPr>
        <w:t xml:space="preserve"> </w:t>
      </w:r>
      <w:r w:rsidRPr="0067048A">
        <w:rPr>
          <w:rFonts w:ascii="KFGQPC Uthmanic Script HAFS" w:cs="KFGQPC Uthmanic Script HAFS" w:hint="eastAsia"/>
          <w:sz w:val="28"/>
          <w:szCs w:val="28"/>
          <w:rtl/>
        </w:rPr>
        <w:t>لَكُم</w:t>
      </w:r>
      <w:r w:rsidRPr="0067048A">
        <w:rPr>
          <w:rFonts w:ascii="KFGQPC Uthmanic Script HAFS" w:cs="KFGQPC Uthmanic Script HAFS" w:hint="cs"/>
          <w:sz w:val="28"/>
          <w:szCs w:val="28"/>
          <w:rtl/>
        </w:rPr>
        <w:t>ۡۖ</w:t>
      </w:r>
      <w:r w:rsidRPr="0067048A">
        <w:rPr>
          <w:rFonts w:ascii="KFGQPC Uthmanic Script HAFS" w:cs="KFGQPC Uthmanic Script HAFS"/>
          <w:sz w:val="28"/>
          <w:szCs w:val="28"/>
          <w:rtl/>
        </w:rPr>
        <w:t xml:space="preserve"> </w:t>
      </w:r>
      <w:r w:rsidRPr="0067048A">
        <w:rPr>
          <w:rFonts w:ascii="KFGQPC Uthmanic Script HAFS" w:cs="KFGQPC Uthmanic Script HAFS" w:hint="eastAsia"/>
          <w:sz w:val="28"/>
          <w:szCs w:val="28"/>
          <w:rtl/>
        </w:rPr>
        <w:t>إِن</w:t>
      </w:r>
      <w:r w:rsidRPr="0067048A">
        <w:rPr>
          <w:rFonts w:ascii="KFGQPC Uthmanic Script HAFS" w:cs="KFGQPC Uthmanic Script HAFS" w:hint="cs"/>
          <w:sz w:val="28"/>
          <w:szCs w:val="28"/>
          <w:rtl/>
        </w:rPr>
        <w:t>ۡ</w:t>
      </w:r>
      <w:r w:rsidRPr="0067048A">
        <w:rPr>
          <w:rFonts w:ascii="KFGQPC Uthmanic Script HAFS" w:cs="KFGQPC Uthmanic Script HAFS"/>
          <w:sz w:val="28"/>
          <w:szCs w:val="28"/>
          <w:rtl/>
        </w:rPr>
        <w:t xml:space="preserve"> </w:t>
      </w:r>
      <w:r w:rsidRPr="0067048A">
        <w:rPr>
          <w:rFonts w:ascii="KFGQPC Uthmanic Script HAFS" w:cs="KFGQPC Uthmanic Script HAFS" w:hint="eastAsia"/>
          <w:sz w:val="28"/>
          <w:szCs w:val="28"/>
          <w:rtl/>
        </w:rPr>
        <w:t>أَج</w:t>
      </w:r>
      <w:r w:rsidRPr="0067048A">
        <w:rPr>
          <w:rFonts w:ascii="KFGQPC Uthmanic Script HAFS" w:cs="KFGQPC Uthmanic Script HAFS" w:hint="cs"/>
          <w:sz w:val="28"/>
          <w:szCs w:val="28"/>
          <w:rtl/>
        </w:rPr>
        <w:t>ۡ</w:t>
      </w:r>
      <w:r w:rsidRPr="0067048A">
        <w:rPr>
          <w:rFonts w:ascii="KFGQPC Uthmanic Script HAFS" w:cs="KFGQPC Uthmanic Script HAFS" w:hint="eastAsia"/>
          <w:sz w:val="28"/>
          <w:szCs w:val="28"/>
          <w:rtl/>
        </w:rPr>
        <w:t>رِيَ</w:t>
      </w:r>
      <w:r w:rsidRPr="0067048A">
        <w:rPr>
          <w:rFonts w:ascii="KFGQPC Uthmanic Script HAFS" w:cs="KFGQPC Uthmanic Script HAFS"/>
          <w:sz w:val="28"/>
          <w:szCs w:val="28"/>
          <w:rtl/>
        </w:rPr>
        <w:t xml:space="preserve"> </w:t>
      </w:r>
      <w:r w:rsidRPr="0067048A">
        <w:rPr>
          <w:rFonts w:ascii="KFGQPC Uthmanic Script HAFS" w:cs="KFGQPC Uthmanic Script HAFS" w:hint="eastAsia"/>
          <w:sz w:val="28"/>
          <w:szCs w:val="28"/>
          <w:rtl/>
        </w:rPr>
        <w:t>إِلَّا</w:t>
      </w:r>
      <w:r w:rsidRPr="0067048A">
        <w:rPr>
          <w:rFonts w:ascii="KFGQPC Uthmanic Script HAFS" w:cs="KFGQPC Uthmanic Script HAFS"/>
          <w:sz w:val="28"/>
          <w:szCs w:val="28"/>
          <w:rtl/>
        </w:rPr>
        <w:t xml:space="preserve"> </w:t>
      </w:r>
      <w:r w:rsidRPr="0067048A">
        <w:rPr>
          <w:rFonts w:ascii="KFGQPC Uthmanic Script HAFS" w:cs="KFGQPC Uthmanic Script HAFS" w:hint="eastAsia"/>
          <w:sz w:val="28"/>
          <w:szCs w:val="28"/>
          <w:rtl/>
        </w:rPr>
        <w:t>عَلَى</w:t>
      </w:r>
      <w:r w:rsidRPr="0067048A">
        <w:rPr>
          <w:rFonts w:ascii="KFGQPC Uthmanic Script HAFS" w:cs="KFGQPC Uthmanic Script HAFS"/>
          <w:sz w:val="28"/>
          <w:szCs w:val="28"/>
          <w:rtl/>
        </w:rPr>
        <w:t xml:space="preserve"> </w:t>
      </w:r>
      <w:r w:rsidRPr="0067048A">
        <w:rPr>
          <w:rFonts w:ascii="KFGQPC Uthmanic Script HAFS" w:cs="KFGQPC Uthmanic Script HAFS" w:hint="cs"/>
          <w:sz w:val="28"/>
          <w:szCs w:val="28"/>
          <w:rtl/>
        </w:rPr>
        <w:t>ٱ</w:t>
      </w:r>
      <w:r w:rsidRPr="0067048A">
        <w:rPr>
          <w:rFonts w:ascii="KFGQPC Uthmanic Script HAFS" w:cs="KFGQPC Uthmanic Script HAFS" w:hint="eastAsia"/>
          <w:sz w:val="28"/>
          <w:szCs w:val="28"/>
          <w:rtl/>
        </w:rPr>
        <w:t>للَّهِ</w:t>
      </w:r>
      <w:r w:rsidRPr="00995B26">
        <w:rPr>
          <w:rFonts w:ascii="KFGQPC Uthmanic Script HAFS" w:cs="Times New Roman" w:hint="cs"/>
          <w:sz w:val="28"/>
          <w:rtl/>
        </w:rPr>
        <w:t>...</w:t>
      </w:r>
      <w:r w:rsidRPr="00995B26">
        <w:rPr>
          <w:rFonts w:cs="Traditional Arabic" w:hint="cs"/>
          <w:sz w:val="28"/>
          <w:rtl/>
        </w:rPr>
        <w:t>﴾</w:t>
      </w:r>
      <w:r w:rsidR="005C664D" w:rsidRPr="003F3B94">
        <w:rPr>
          <w:rFonts w:hint="cs"/>
          <w:sz w:val="28"/>
          <w:rtl/>
        </w:rPr>
        <w:t xml:space="preserve"> </w:t>
      </w:r>
      <w:r w:rsidR="005C664D" w:rsidRPr="003108CB">
        <w:rPr>
          <w:rStyle w:val="Char2"/>
          <w:rtl/>
        </w:rPr>
        <w:t>[سبأ</w:t>
      </w:r>
      <w:r w:rsidRPr="003108CB">
        <w:rPr>
          <w:rStyle w:val="Char2"/>
          <w:rFonts w:hint="cs"/>
          <w:rtl/>
        </w:rPr>
        <w:t xml:space="preserve">: </w:t>
      </w:r>
      <w:r w:rsidR="005C664D" w:rsidRPr="003108CB">
        <w:rPr>
          <w:rStyle w:val="Char2"/>
          <w:rtl/>
        </w:rPr>
        <w:t>47]</w:t>
      </w:r>
    </w:p>
    <w:p w:rsidR="005C664D" w:rsidRPr="003F3B94" w:rsidRDefault="005C664D" w:rsidP="003F3B94">
      <w:pPr>
        <w:pStyle w:val="a0"/>
        <w:rPr>
          <w:rFonts w:hint="cs"/>
          <w:rtl/>
        </w:rPr>
      </w:pPr>
      <w:r w:rsidRPr="003F3B94">
        <w:rPr>
          <w:rFonts w:hint="cs"/>
          <w:sz w:val="28"/>
          <w:rtl/>
        </w:rPr>
        <w:t>وهذا التفسير يتّفق مع العقل السليم والفعل الحكيم ويتطابق مع اللغة وسياق العبارة وأهدف القرآن السامية</w:t>
      </w:r>
      <w:r w:rsidR="00217AB4" w:rsidRPr="003F3B94">
        <w:rPr>
          <w:rFonts w:hint="cs"/>
          <w:sz w:val="28"/>
          <w:rtl/>
        </w:rPr>
        <w:t>.</w:t>
      </w:r>
      <w:r w:rsidRPr="003F3B94">
        <w:rPr>
          <w:rFonts w:hint="cs"/>
          <w:sz w:val="28"/>
          <w:rtl/>
        </w:rPr>
        <w:t xml:space="preserve"> ولحسن الحظ فإن كبار علماء الشيعة والإسلام يتفقون معنا في هذا التفسير لمعنى الآية</w:t>
      </w:r>
      <w:r w:rsidR="00217AB4" w:rsidRPr="003F3B94">
        <w:rPr>
          <w:rFonts w:hint="cs"/>
          <w:sz w:val="28"/>
          <w:rtl/>
        </w:rPr>
        <w:t>:</w:t>
      </w:r>
    </w:p>
    <w:p w:rsidR="005C664D" w:rsidRPr="003F3B94" w:rsidRDefault="005C664D" w:rsidP="003F3B94">
      <w:pPr>
        <w:pStyle w:val="a0"/>
        <w:rPr>
          <w:rFonts w:hint="cs"/>
          <w:rtl/>
        </w:rPr>
      </w:pPr>
      <w:r w:rsidRPr="003F3B94">
        <w:rPr>
          <w:rFonts w:hint="cs"/>
          <w:sz w:val="28"/>
          <w:rtl/>
        </w:rPr>
        <w:t>1</w:t>
      </w:r>
      <w:r w:rsidR="00217AB4" w:rsidRPr="003F3B94">
        <w:rPr>
          <w:rFonts w:hint="cs"/>
          <w:sz w:val="28"/>
          <w:rtl/>
        </w:rPr>
        <w:t>-</w:t>
      </w:r>
      <w:r w:rsidRPr="003F3B94">
        <w:rPr>
          <w:rFonts w:hint="cs"/>
          <w:sz w:val="28"/>
          <w:rtl/>
        </w:rPr>
        <w:t xml:space="preserve"> يقول المرحوم </w:t>
      </w:r>
      <w:r w:rsidRPr="003F3B94">
        <w:rPr>
          <w:sz w:val="28"/>
          <w:rtl/>
        </w:rPr>
        <w:t>الشَّيْخ</w:t>
      </w:r>
      <w:r w:rsidRPr="003F3B94">
        <w:rPr>
          <w:rFonts w:hint="cs"/>
          <w:sz w:val="28"/>
          <w:rtl/>
        </w:rPr>
        <w:t>ُ</w:t>
      </w:r>
      <w:r w:rsidRPr="003F3B94">
        <w:rPr>
          <w:sz w:val="28"/>
          <w:rtl/>
        </w:rPr>
        <w:t xml:space="preserve"> المُفِيد</w:t>
      </w:r>
      <w:r w:rsidRPr="003F3B94">
        <w:rPr>
          <w:rFonts w:hint="cs"/>
          <w:sz w:val="28"/>
          <w:rtl/>
        </w:rPr>
        <w:t>ُ</w:t>
      </w:r>
      <w:r w:rsidR="00217AB4" w:rsidRPr="003F3B94">
        <w:rPr>
          <w:rFonts w:hint="cs"/>
          <w:sz w:val="28"/>
          <w:rtl/>
        </w:rPr>
        <w:t>:</w:t>
      </w:r>
      <w:r w:rsidRPr="003F3B94">
        <w:rPr>
          <w:sz w:val="28"/>
          <w:rtl/>
        </w:rPr>
        <w:t xml:space="preserve"> مُحَمَّد</w:t>
      </w:r>
      <w:r w:rsidRPr="003F3B94">
        <w:rPr>
          <w:rFonts w:hint="cs"/>
          <w:sz w:val="28"/>
          <w:rtl/>
        </w:rPr>
        <w:t>ُ</w:t>
      </w:r>
      <w:r w:rsidRPr="003F3B94">
        <w:rPr>
          <w:sz w:val="28"/>
          <w:rtl/>
        </w:rPr>
        <w:t xml:space="preserve"> بْن</w:t>
      </w:r>
      <w:r w:rsidRPr="003F3B94">
        <w:rPr>
          <w:rFonts w:hint="cs"/>
          <w:sz w:val="28"/>
          <w:rtl/>
        </w:rPr>
        <w:t>ُ</w:t>
      </w:r>
      <w:r w:rsidRPr="003F3B94">
        <w:rPr>
          <w:sz w:val="28"/>
          <w:rtl/>
        </w:rPr>
        <w:t xml:space="preserve"> مُحَمَّدِ بْنِ النُّعْمَان‏</w:t>
      </w:r>
      <w:r w:rsidRPr="003F3B94">
        <w:rPr>
          <w:rFonts w:hint="cs"/>
          <w:sz w:val="28"/>
          <w:rtl/>
        </w:rPr>
        <w:t xml:space="preserve"> الحارثي الذي يُعَدُّ من أعظم علماء الشيعة وأكابر علماء الإسلام في كتابه «</w:t>
      </w:r>
      <w:r w:rsidRPr="003F3B94">
        <w:rPr>
          <w:rFonts w:hint="cs"/>
          <w:b/>
          <w:bCs/>
          <w:sz w:val="28"/>
          <w:rtl/>
        </w:rPr>
        <w:t>تصحيح الاعتقاد</w:t>
      </w:r>
      <w:r w:rsidRPr="003F3B94">
        <w:rPr>
          <w:rFonts w:hint="cs"/>
          <w:sz w:val="28"/>
          <w:rtl/>
        </w:rPr>
        <w:t xml:space="preserve">» </w:t>
      </w:r>
      <w:r w:rsidR="00217AB4" w:rsidRPr="003F3B94">
        <w:rPr>
          <w:rFonts w:hint="cs"/>
          <w:sz w:val="28"/>
          <w:rtl/>
        </w:rPr>
        <w:t>(</w:t>
      </w:r>
      <w:r w:rsidRPr="003F3B94">
        <w:rPr>
          <w:rFonts w:hint="cs"/>
          <w:sz w:val="28"/>
          <w:rtl/>
        </w:rPr>
        <w:t>ص67</w:t>
      </w:r>
      <w:r w:rsidR="00217AB4" w:rsidRPr="003F3B94">
        <w:rPr>
          <w:rFonts w:hint="cs"/>
          <w:sz w:val="28"/>
          <w:rtl/>
        </w:rPr>
        <w:t>)</w:t>
      </w:r>
      <w:r w:rsidRPr="003F3B94">
        <w:rPr>
          <w:rFonts w:hint="cs"/>
          <w:sz w:val="28"/>
          <w:rtl/>
        </w:rPr>
        <w:t xml:space="preserve"> </w:t>
      </w:r>
      <w:r w:rsidR="00217AB4" w:rsidRPr="003F3B94">
        <w:rPr>
          <w:rFonts w:hint="cs"/>
          <w:sz w:val="28"/>
          <w:rtl/>
        </w:rPr>
        <w:t>-</w:t>
      </w:r>
      <w:r w:rsidRPr="003F3B94">
        <w:rPr>
          <w:rFonts w:hint="cs"/>
          <w:sz w:val="28"/>
          <w:rtl/>
        </w:rPr>
        <w:t xml:space="preserve"> طبع تبريز </w:t>
      </w:r>
      <w:r w:rsidRPr="003F3B94">
        <w:rPr>
          <w:rFonts w:cs="Times New Roman" w:hint="cs"/>
          <w:sz w:val="28"/>
          <w:rtl/>
        </w:rPr>
        <w:t>–</w:t>
      </w:r>
      <w:r w:rsidRPr="003F3B94">
        <w:rPr>
          <w:rFonts w:hint="cs"/>
          <w:sz w:val="28"/>
          <w:rtl/>
        </w:rPr>
        <w:t xml:space="preserve"> </w:t>
      </w:r>
      <w:r w:rsidRPr="003F3B94">
        <w:rPr>
          <w:rFonts w:ascii="mylotus" w:hAnsi="mylotus" w:hint="cs"/>
          <w:sz w:val="28"/>
          <w:rtl/>
        </w:rPr>
        <w:t>الذي</w:t>
      </w:r>
      <w:r w:rsidRPr="003F3B94">
        <w:rPr>
          <w:rFonts w:hint="cs"/>
          <w:sz w:val="28"/>
          <w:rtl/>
        </w:rPr>
        <w:t xml:space="preserve"> </w:t>
      </w:r>
      <w:r w:rsidRPr="003F3B94">
        <w:rPr>
          <w:rFonts w:ascii="mylotus" w:hAnsi="mylotus" w:hint="cs"/>
          <w:sz w:val="28"/>
          <w:rtl/>
        </w:rPr>
        <w:t>كتبه</w:t>
      </w:r>
      <w:r w:rsidRPr="003F3B94">
        <w:rPr>
          <w:rFonts w:hint="cs"/>
          <w:sz w:val="28"/>
          <w:rtl/>
        </w:rPr>
        <w:t xml:space="preserve"> </w:t>
      </w:r>
      <w:r w:rsidRPr="003F3B94">
        <w:rPr>
          <w:rFonts w:ascii="mylotus" w:hAnsi="mylotus" w:hint="cs"/>
          <w:sz w:val="28"/>
          <w:rtl/>
        </w:rPr>
        <w:t>تصحيحاً</w:t>
      </w:r>
      <w:r w:rsidRPr="003F3B94">
        <w:rPr>
          <w:rFonts w:hint="cs"/>
          <w:sz w:val="28"/>
          <w:rtl/>
        </w:rPr>
        <w:t xml:space="preserve"> </w:t>
      </w:r>
      <w:r w:rsidRPr="003F3B94">
        <w:rPr>
          <w:rFonts w:ascii="mylotus" w:hAnsi="mylotus" w:hint="cs"/>
          <w:sz w:val="28"/>
          <w:rtl/>
        </w:rPr>
        <w:t>لكتاب</w:t>
      </w:r>
      <w:r w:rsidRPr="003F3B94">
        <w:rPr>
          <w:rFonts w:hint="cs"/>
          <w:sz w:val="28"/>
          <w:rtl/>
        </w:rPr>
        <w:t xml:space="preserve"> </w:t>
      </w:r>
      <w:r w:rsidRPr="003F3B94">
        <w:rPr>
          <w:rFonts w:ascii="mylotus" w:hAnsi="mylotus" w:hint="cs"/>
          <w:sz w:val="28"/>
          <w:rtl/>
        </w:rPr>
        <w:t>الاعتقادات</w:t>
      </w:r>
      <w:r w:rsidRPr="003F3B94">
        <w:rPr>
          <w:rFonts w:hint="cs"/>
          <w:sz w:val="28"/>
          <w:rtl/>
        </w:rPr>
        <w:t xml:space="preserve"> </w:t>
      </w:r>
      <w:r w:rsidRPr="003F3B94">
        <w:rPr>
          <w:rFonts w:ascii="mylotus" w:hAnsi="mylotus" w:hint="cs"/>
          <w:sz w:val="28"/>
          <w:rtl/>
        </w:rPr>
        <w:t>للشيخ</w:t>
      </w:r>
      <w:r w:rsidRPr="003F3B94">
        <w:rPr>
          <w:rFonts w:hint="cs"/>
          <w:sz w:val="28"/>
          <w:rtl/>
        </w:rPr>
        <w:t xml:space="preserve"> </w:t>
      </w:r>
      <w:r w:rsidRPr="003F3B94">
        <w:rPr>
          <w:rFonts w:ascii="mylotus" w:hAnsi="mylotus" w:hint="cs"/>
          <w:sz w:val="28"/>
          <w:rtl/>
        </w:rPr>
        <w:t>الصدوق</w:t>
      </w:r>
      <w:r w:rsidRPr="003F3B94">
        <w:rPr>
          <w:rFonts w:hint="cs"/>
          <w:sz w:val="28"/>
          <w:rtl/>
        </w:rPr>
        <w:t xml:space="preserve"> </w:t>
      </w:r>
      <w:r w:rsidRPr="003F3B94">
        <w:rPr>
          <w:rFonts w:ascii="Lotus Linotype" w:hAnsi="Lotus Linotype"/>
          <w:sz w:val="28"/>
          <w:rtl/>
        </w:rPr>
        <w:t>«</w:t>
      </w:r>
      <w:r w:rsidRPr="003F3B94">
        <w:rPr>
          <w:rFonts w:ascii="Lotus Linotype" w:hAnsi="Lotus Linotype" w:hint="cs"/>
          <w:sz w:val="28"/>
          <w:rtl/>
        </w:rPr>
        <w:t xml:space="preserve">عليه </w:t>
      </w:r>
      <w:r w:rsidRPr="003F3B94">
        <w:rPr>
          <w:rFonts w:hint="cs"/>
          <w:sz w:val="28"/>
          <w:rtl/>
        </w:rPr>
        <w:t>الرحمة</w:t>
      </w:r>
      <w:r w:rsidRPr="003F3B94">
        <w:rPr>
          <w:sz w:val="28"/>
          <w:rtl/>
        </w:rPr>
        <w:t>»</w:t>
      </w:r>
      <w:r w:rsidR="00217AB4" w:rsidRPr="003F3B94">
        <w:rPr>
          <w:rFonts w:hint="cs"/>
          <w:sz w:val="28"/>
          <w:rtl/>
        </w:rPr>
        <w:t>،</w:t>
      </w:r>
      <w:r w:rsidR="00147857" w:rsidRPr="003F3B94">
        <w:rPr>
          <w:rFonts w:hint="cs"/>
          <w:sz w:val="28"/>
          <w:rtl/>
        </w:rPr>
        <w:t xml:space="preserve"> </w:t>
      </w:r>
      <w:r w:rsidRPr="003F3B94">
        <w:rPr>
          <w:rFonts w:hint="cs"/>
          <w:sz w:val="28"/>
          <w:rtl/>
        </w:rPr>
        <w:t>في تفسيره لهذه الآية الكريمة التي استنبط الشيخ الصدوق منها أن رسول الله</w:t>
      </w:r>
      <w:r w:rsidR="00147857" w:rsidRPr="003F3B94">
        <w:rPr>
          <w:rFonts w:hint="cs"/>
          <w:sz w:val="28"/>
          <w:rtl/>
        </w:rPr>
        <w:t xml:space="preserve"> </w:t>
      </w:r>
      <w:r w:rsidR="003C7AEB" w:rsidRPr="003C7AEB">
        <w:rPr>
          <w:rFonts w:ascii="Abo-thar" w:hAnsi="Abo-thar" w:cs="CTraditional Arabic"/>
          <w:sz w:val="28"/>
          <w:rtl/>
        </w:rPr>
        <w:t>ص</w:t>
      </w:r>
      <w:r w:rsidR="00147857" w:rsidRPr="003F3B94">
        <w:rPr>
          <w:rFonts w:ascii="Abo-thar" w:hAnsi="Abo-thar"/>
          <w:sz w:val="28"/>
          <w:rtl/>
        </w:rPr>
        <w:t xml:space="preserve"> </w:t>
      </w:r>
      <w:r w:rsidRPr="003F3B94">
        <w:rPr>
          <w:rFonts w:hint="cs"/>
          <w:sz w:val="28"/>
          <w:rtl/>
        </w:rPr>
        <w:t>طلب مودة أهل بيته كأجر وحيد على رسالته</w:t>
      </w:r>
      <w:r w:rsidR="00217AB4" w:rsidRPr="003F3B94">
        <w:rPr>
          <w:rFonts w:hint="cs"/>
          <w:sz w:val="28"/>
          <w:rtl/>
        </w:rPr>
        <w:t>،</w:t>
      </w:r>
      <w:r w:rsidRPr="003F3B94">
        <w:rPr>
          <w:rFonts w:hint="cs"/>
          <w:sz w:val="28"/>
          <w:rtl/>
        </w:rPr>
        <w:t xml:space="preserve"> فقال «الشيخ المفيد» معلقاً على ذلك ما نصه</w:t>
      </w:r>
      <w:r w:rsidR="00217AB4" w:rsidRPr="003F3B94">
        <w:rPr>
          <w:rFonts w:hint="cs"/>
          <w:sz w:val="28"/>
          <w:rtl/>
        </w:rPr>
        <w:t>:</w:t>
      </w:r>
    </w:p>
    <w:p w:rsidR="005C664D" w:rsidRPr="00995B26" w:rsidRDefault="00EF2588" w:rsidP="003F3B94">
      <w:pPr>
        <w:pStyle w:val="a0"/>
        <w:rPr>
          <w:rtl/>
        </w:rPr>
      </w:pPr>
      <w:r w:rsidRPr="003F3B94">
        <w:rPr>
          <w:rFonts w:hint="cs"/>
          <w:sz w:val="28"/>
          <w:rtl/>
        </w:rPr>
        <w:t>«</w:t>
      </w:r>
      <w:r w:rsidR="005C664D" w:rsidRPr="003F3B94">
        <w:rPr>
          <w:b/>
          <w:bCs/>
          <w:sz w:val="28"/>
          <w:rtl/>
        </w:rPr>
        <w:t>قال الشيخ رحمه الله</w:t>
      </w:r>
      <w:r w:rsidR="00217AB4" w:rsidRPr="003F3B94">
        <w:rPr>
          <w:rFonts w:hint="cs"/>
          <w:b/>
          <w:bCs/>
          <w:sz w:val="28"/>
          <w:rtl/>
        </w:rPr>
        <w:t>:</w:t>
      </w:r>
      <w:r w:rsidR="005C664D" w:rsidRPr="003F3B94">
        <w:rPr>
          <w:b/>
          <w:bCs/>
          <w:sz w:val="28"/>
          <w:rtl/>
        </w:rPr>
        <w:t xml:space="preserve"> لا يصح القول بأن الله تعالى جعل أجر نبيه مودة أهل بيته </w:t>
      </w:r>
      <w:r w:rsidR="00BC4BA9" w:rsidRPr="00BC4BA9">
        <w:rPr>
          <w:rFonts w:cs="CTraditional Arabic"/>
          <w:b/>
          <w:sz w:val="28"/>
          <w:rtl/>
        </w:rPr>
        <w:t>÷</w:t>
      </w:r>
      <w:r w:rsidR="00147857" w:rsidRPr="003F3B94">
        <w:rPr>
          <w:b/>
          <w:bCs/>
          <w:sz w:val="28"/>
          <w:rtl/>
        </w:rPr>
        <w:t xml:space="preserve"> و</w:t>
      </w:r>
      <w:r w:rsidR="005C664D" w:rsidRPr="003F3B94">
        <w:rPr>
          <w:b/>
          <w:bCs/>
          <w:sz w:val="28"/>
          <w:rtl/>
        </w:rPr>
        <w:t xml:space="preserve">لا أنه جعل ذلك من أجره </w:t>
      </w:r>
      <w:r w:rsidR="00BC4BA9" w:rsidRPr="00BC4BA9">
        <w:rPr>
          <w:rFonts w:cs="CTraditional Arabic"/>
          <w:b/>
          <w:sz w:val="28"/>
          <w:rtl/>
        </w:rPr>
        <w:t>÷</w:t>
      </w:r>
      <w:r w:rsidR="005C664D" w:rsidRPr="003F3B94">
        <w:rPr>
          <w:b/>
          <w:bCs/>
          <w:sz w:val="28"/>
          <w:rtl/>
        </w:rPr>
        <w:t xml:space="preserve"> لأن أجر النبي</w:t>
      </w:r>
      <w:r w:rsidR="00147857" w:rsidRPr="003F3B94">
        <w:rPr>
          <w:b/>
          <w:bCs/>
          <w:sz w:val="28"/>
          <w:rtl/>
        </w:rPr>
        <w:t xml:space="preserve"> </w:t>
      </w:r>
      <w:r w:rsidR="003C7AEB" w:rsidRPr="003C7AEB">
        <w:rPr>
          <w:rFonts w:ascii="Abo-thar" w:hAnsi="Abo-thar" w:cs="CTraditional Arabic"/>
          <w:sz w:val="28"/>
          <w:rtl/>
        </w:rPr>
        <w:t>ص</w:t>
      </w:r>
      <w:r w:rsidR="00147857" w:rsidRPr="003F3B94">
        <w:rPr>
          <w:rFonts w:ascii="Abo-thar" w:hAnsi="Abo-thar"/>
          <w:sz w:val="28"/>
          <w:rtl/>
        </w:rPr>
        <w:t xml:space="preserve"> </w:t>
      </w:r>
      <w:r w:rsidR="005C664D" w:rsidRPr="003F3B94">
        <w:rPr>
          <w:b/>
          <w:bCs/>
          <w:sz w:val="28"/>
          <w:rtl/>
        </w:rPr>
        <w:t>في التقر</w:t>
      </w:r>
      <w:r w:rsidR="005C664D" w:rsidRPr="003F3B94">
        <w:rPr>
          <w:rFonts w:hint="cs"/>
          <w:b/>
          <w:bCs/>
          <w:sz w:val="28"/>
          <w:rtl/>
        </w:rPr>
        <w:t>ّ</w:t>
      </w:r>
      <w:r w:rsidR="005C664D" w:rsidRPr="003F3B94">
        <w:rPr>
          <w:b/>
          <w:bCs/>
          <w:sz w:val="28"/>
          <w:rtl/>
        </w:rPr>
        <w:t>ب إلى الله تعالى هو الثواب الدائم</w:t>
      </w:r>
      <w:r w:rsidR="00147857" w:rsidRPr="003F3B94">
        <w:rPr>
          <w:b/>
          <w:bCs/>
          <w:sz w:val="28"/>
          <w:rtl/>
        </w:rPr>
        <w:t xml:space="preserve"> و</w:t>
      </w:r>
      <w:r w:rsidR="005C664D" w:rsidRPr="003F3B94">
        <w:rPr>
          <w:b/>
          <w:bCs/>
          <w:sz w:val="28"/>
          <w:rtl/>
        </w:rPr>
        <w:t xml:space="preserve">هو مستحق على الله تعالى في عدله وجوده وكرمه وليس المستحق على الأعمال يتعلق بالعباد لأن العمل يجب أن يكون لله تعالى خالصا وما كان </w:t>
      </w:r>
      <w:r w:rsidR="005C664D" w:rsidRPr="003F3B94">
        <w:rPr>
          <w:rFonts w:hint="cs"/>
          <w:b/>
          <w:bCs/>
          <w:sz w:val="28"/>
          <w:rtl/>
        </w:rPr>
        <w:t>لِـلَّهِ</w:t>
      </w:r>
      <w:r w:rsidR="005C664D" w:rsidRPr="003F3B94">
        <w:rPr>
          <w:b/>
          <w:bCs/>
          <w:sz w:val="28"/>
          <w:rtl/>
        </w:rPr>
        <w:t xml:space="preserve"> فالأجر فيه على الله تعالى دون غيره</w:t>
      </w:r>
      <w:r w:rsidR="00217AB4" w:rsidRPr="003F3B94">
        <w:rPr>
          <w:b/>
          <w:bCs/>
          <w:sz w:val="28"/>
          <w:rtl/>
        </w:rPr>
        <w:t>.</w:t>
      </w:r>
      <w:r w:rsidR="005C664D" w:rsidRPr="003F3B94">
        <w:rPr>
          <w:b/>
          <w:bCs/>
          <w:sz w:val="28"/>
          <w:rtl/>
        </w:rPr>
        <w:t xml:space="preserve"> هذا مع أن الله تعالى يقول</w:t>
      </w:r>
      <w:r w:rsidR="00B06788" w:rsidRPr="003F3B94">
        <w:rPr>
          <w:rFonts w:hint="cs"/>
          <w:b/>
          <w:bCs/>
          <w:sz w:val="28"/>
          <w:rtl/>
        </w:rPr>
        <w:t xml:space="preserve">: </w:t>
      </w:r>
      <w:r w:rsidR="00B06788" w:rsidRPr="00995B26">
        <w:rPr>
          <w:rFonts w:cs="Traditional Arabic" w:hint="cs"/>
          <w:sz w:val="28"/>
          <w:rtl/>
        </w:rPr>
        <w:t>﴿</w:t>
      </w:r>
      <w:r w:rsidR="00B06788" w:rsidRPr="0067048A">
        <w:rPr>
          <w:rFonts w:ascii="KFGQPC Uthmanic Script HAFS" w:cs="KFGQPC Uthmanic Script HAFS" w:hint="eastAsia"/>
          <w:sz w:val="28"/>
          <w:szCs w:val="28"/>
          <w:rtl/>
        </w:rPr>
        <w:t>وَيَ</w:t>
      </w:r>
      <w:r w:rsidR="00B06788" w:rsidRPr="0067048A">
        <w:rPr>
          <w:rFonts w:ascii="KFGQPC Uthmanic Script HAFS" w:cs="KFGQPC Uthmanic Script HAFS" w:hint="cs"/>
          <w:sz w:val="28"/>
          <w:szCs w:val="28"/>
          <w:rtl/>
        </w:rPr>
        <w:t>ٰ</w:t>
      </w:r>
      <w:r w:rsidR="00B06788" w:rsidRPr="0067048A">
        <w:rPr>
          <w:rFonts w:ascii="KFGQPC Uthmanic Script HAFS" w:cs="KFGQPC Uthmanic Script HAFS" w:hint="eastAsia"/>
          <w:sz w:val="28"/>
          <w:szCs w:val="28"/>
          <w:rtl/>
        </w:rPr>
        <w:t>قَو</w:t>
      </w:r>
      <w:r w:rsidR="00B06788" w:rsidRPr="0067048A">
        <w:rPr>
          <w:rFonts w:ascii="KFGQPC Uthmanic Script HAFS" w:cs="KFGQPC Uthmanic Script HAFS" w:hint="cs"/>
          <w:sz w:val="28"/>
          <w:szCs w:val="28"/>
          <w:rtl/>
        </w:rPr>
        <w:t>ۡ</w:t>
      </w:r>
      <w:r w:rsidR="00B06788" w:rsidRPr="0067048A">
        <w:rPr>
          <w:rFonts w:ascii="KFGQPC Uthmanic Script HAFS" w:cs="KFGQPC Uthmanic Script HAFS" w:hint="eastAsia"/>
          <w:sz w:val="28"/>
          <w:szCs w:val="28"/>
          <w:rtl/>
        </w:rPr>
        <w:t>مِ</w:t>
      </w:r>
      <w:r w:rsidR="00B06788" w:rsidRPr="0067048A">
        <w:rPr>
          <w:rFonts w:ascii="KFGQPC Uthmanic Script HAFS" w:cs="KFGQPC Uthmanic Script HAFS"/>
          <w:sz w:val="28"/>
          <w:szCs w:val="28"/>
          <w:rtl/>
        </w:rPr>
        <w:t xml:space="preserve"> </w:t>
      </w:r>
      <w:r w:rsidR="00B06788" w:rsidRPr="0067048A">
        <w:rPr>
          <w:rFonts w:ascii="KFGQPC Uthmanic Script HAFS" w:cs="KFGQPC Uthmanic Script HAFS" w:hint="eastAsia"/>
          <w:sz w:val="28"/>
          <w:szCs w:val="28"/>
          <w:rtl/>
        </w:rPr>
        <w:t>لَا</w:t>
      </w:r>
      <w:r w:rsidR="00B06788" w:rsidRPr="0067048A">
        <w:rPr>
          <w:rFonts w:ascii="KFGQPC Uthmanic Script HAFS" w:cs="KFGQPC Uthmanic Script HAFS" w:hint="cs"/>
          <w:sz w:val="28"/>
          <w:szCs w:val="28"/>
          <w:rtl/>
        </w:rPr>
        <w:t>ٓ</w:t>
      </w:r>
      <w:r w:rsidR="00B06788" w:rsidRPr="0067048A">
        <w:rPr>
          <w:rFonts w:ascii="KFGQPC Uthmanic Script HAFS" w:cs="KFGQPC Uthmanic Script HAFS"/>
          <w:sz w:val="28"/>
          <w:szCs w:val="28"/>
          <w:rtl/>
        </w:rPr>
        <w:t xml:space="preserve"> </w:t>
      </w:r>
      <w:r w:rsidR="00B06788" w:rsidRPr="0067048A">
        <w:rPr>
          <w:rFonts w:ascii="KFGQPC Uthmanic Script HAFS" w:cs="KFGQPC Uthmanic Script HAFS" w:hint="eastAsia"/>
          <w:sz w:val="28"/>
          <w:szCs w:val="28"/>
          <w:rtl/>
        </w:rPr>
        <w:t>أَس</w:t>
      </w:r>
      <w:r w:rsidR="00B06788" w:rsidRPr="0067048A">
        <w:rPr>
          <w:rFonts w:ascii="KFGQPC Uthmanic Script HAFS" w:cs="KFGQPC Uthmanic Script HAFS" w:hint="cs"/>
          <w:sz w:val="28"/>
          <w:szCs w:val="28"/>
          <w:rtl/>
        </w:rPr>
        <w:t>ۡ</w:t>
      </w:r>
      <w:r w:rsidR="00B06788" w:rsidRPr="0067048A">
        <w:rPr>
          <w:rFonts w:ascii="KFGQPC Uthmanic Script HAFS" w:cs="KFGQPC Uthmanic Script HAFS" w:hint="eastAsia"/>
          <w:sz w:val="28"/>
          <w:szCs w:val="28"/>
          <w:rtl/>
        </w:rPr>
        <w:t>‍</w:t>
      </w:r>
      <w:r w:rsidR="00B06788" w:rsidRPr="0067048A">
        <w:rPr>
          <w:rFonts w:ascii="KFGQPC Uthmanic Script HAFS" w:cs="KFGQPC Uthmanic Script HAFS" w:hint="cs"/>
          <w:sz w:val="28"/>
          <w:szCs w:val="28"/>
          <w:rtl/>
        </w:rPr>
        <w:t>ٔ</w:t>
      </w:r>
      <w:r w:rsidR="00B06788" w:rsidRPr="0067048A">
        <w:rPr>
          <w:rFonts w:ascii="KFGQPC Uthmanic Script HAFS" w:cs="KFGQPC Uthmanic Script HAFS" w:hint="eastAsia"/>
          <w:sz w:val="28"/>
          <w:szCs w:val="28"/>
          <w:rtl/>
        </w:rPr>
        <w:t>َلُكُم</w:t>
      </w:r>
      <w:r w:rsidR="00B06788" w:rsidRPr="0067048A">
        <w:rPr>
          <w:rFonts w:ascii="KFGQPC Uthmanic Script HAFS" w:cs="KFGQPC Uthmanic Script HAFS" w:hint="cs"/>
          <w:sz w:val="28"/>
          <w:szCs w:val="28"/>
          <w:rtl/>
        </w:rPr>
        <w:t>ۡ</w:t>
      </w:r>
      <w:r w:rsidR="00B06788" w:rsidRPr="0067048A">
        <w:rPr>
          <w:rFonts w:ascii="KFGQPC Uthmanic Script HAFS" w:cs="KFGQPC Uthmanic Script HAFS"/>
          <w:sz w:val="28"/>
          <w:szCs w:val="28"/>
          <w:rtl/>
        </w:rPr>
        <w:t xml:space="preserve"> </w:t>
      </w:r>
      <w:r w:rsidR="00B06788" w:rsidRPr="0067048A">
        <w:rPr>
          <w:rFonts w:ascii="KFGQPC Uthmanic Script HAFS" w:cs="KFGQPC Uthmanic Script HAFS" w:hint="eastAsia"/>
          <w:sz w:val="28"/>
          <w:szCs w:val="28"/>
          <w:rtl/>
        </w:rPr>
        <w:t>عَلَي</w:t>
      </w:r>
      <w:r w:rsidR="00B06788" w:rsidRPr="0067048A">
        <w:rPr>
          <w:rFonts w:ascii="KFGQPC Uthmanic Script HAFS" w:cs="KFGQPC Uthmanic Script HAFS" w:hint="cs"/>
          <w:sz w:val="28"/>
          <w:szCs w:val="28"/>
          <w:rtl/>
        </w:rPr>
        <w:t>ۡ</w:t>
      </w:r>
      <w:r w:rsidR="00B06788" w:rsidRPr="0067048A">
        <w:rPr>
          <w:rFonts w:ascii="KFGQPC Uthmanic Script HAFS" w:cs="KFGQPC Uthmanic Script HAFS" w:hint="eastAsia"/>
          <w:sz w:val="28"/>
          <w:szCs w:val="28"/>
          <w:rtl/>
        </w:rPr>
        <w:t>هِ</w:t>
      </w:r>
      <w:r w:rsidR="00B06788" w:rsidRPr="0067048A">
        <w:rPr>
          <w:rFonts w:ascii="KFGQPC Uthmanic Script HAFS" w:cs="KFGQPC Uthmanic Script HAFS"/>
          <w:sz w:val="28"/>
          <w:szCs w:val="28"/>
          <w:rtl/>
        </w:rPr>
        <w:t xml:space="preserve"> </w:t>
      </w:r>
      <w:r w:rsidR="00B06788" w:rsidRPr="0067048A">
        <w:rPr>
          <w:rFonts w:ascii="KFGQPC Uthmanic Script HAFS" w:cs="KFGQPC Uthmanic Script HAFS" w:hint="eastAsia"/>
          <w:sz w:val="28"/>
          <w:szCs w:val="28"/>
          <w:rtl/>
        </w:rPr>
        <w:t>مَالًا</w:t>
      </w:r>
      <w:r w:rsidR="00B06788" w:rsidRPr="0067048A">
        <w:rPr>
          <w:rFonts w:ascii="KFGQPC Uthmanic Script HAFS" w:cs="KFGQPC Uthmanic Script HAFS" w:hint="cs"/>
          <w:sz w:val="28"/>
          <w:szCs w:val="28"/>
          <w:rtl/>
        </w:rPr>
        <w:t>ۖ</w:t>
      </w:r>
      <w:r w:rsidR="00B06788" w:rsidRPr="0067048A">
        <w:rPr>
          <w:rFonts w:ascii="KFGQPC Uthmanic Script HAFS" w:cs="KFGQPC Uthmanic Script HAFS"/>
          <w:sz w:val="28"/>
          <w:szCs w:val="28"/>
          <w:rtl/>
        </w:rPr>
        <w:t xml:space="preserve"> </w:t>
      </w:r>
      <w:r w:rsidR="00B06788" w:rsidRPr="0067048A">
        <w:rPr>
          <w:rFonts w:ascii="KFGQPC Uthmanic Script HAFS" w:cs="KFGQPC Uthmanic Script HAFS" w:hint="eastAsia"/>
          <w:sz w:val="28"/>
          <w:szCs w:val="28"/>
          <w:rtl/>
        </w:rPr>
        <w:t>إِن</w:t>
      </w:r>
      <w:r w:rsidR="00B06788" w:rsidRPr="0067048A">
        <w:rPr>
          <w:rFonts w:ascii="KFGQPC Uthmanic Script HAFS" w:cs="KFGQPC Uthmanic Script HAFS" w:hint="cs"/>
          <w:sz w:val="28"/>
          <w:szCs w:val="28"/>
          <w:rtl/>
        </w:rPr>
        <w:t>ۡ</w:t>
      </w:r>
      <w:r w:rsidR="00B06788" w:rsidRPr="0067048A">
        <w:rPr>
          <w:rFonts w:ascii="KFGQPC Uthmanic Script HAFS" w:cs="KFGQPC Uthmanic Script HAFS"/>
          <w:sz w:val="28"/>
          <w:szCs w:val="28"/>
          <w:rtl/>
        </w:rPr>
        <w:t xml:space="preserve"> </w:t>
      </w:r>
      <w:r w:rsidR="00B06788" w:rsidRPr="0067048A">
        <w:rPr>
          <w:rFonts w:ascii="KFGQPC Uthmanic Script HAFS" w:cs="KFGQPC Uthmanic Script HAFS" w:hint="eastAsia"/>
          <w:sz w:val="28"/>
          <w:szCs w:val="28"/>
          <w:rtl/>
        </w:rPr>
        <w:t>أَج</w:t>
      </w:r>
      <w:r w:rsidR="00B06788" w:rsidRPr="0067048A">
        <w:rPr>
          <w:rFonts w:ascii="KFGQPC Uthmanic Script HAFS" w:cs="KFGQPC Uthmanic Script HAFS" w:hint="cs"/>
          <w:sz w:val="28"/>
          <w:szCs w:val="28"/>
          <w:rtl/>
        </w:rPr>
        <w:t>ۡ</w:t>
      </w:r>
      <w:r w:rsidR="00B06788" w:rsidRPr="0067048A">
        <w:rPr>
          <w:rFonts w:ascii="KFGQPC Uthmanic Script HAFS" w:cs="KFGQPC Uthmanic Script HAFS" w:hint="eastAsia"/>
          <w:sz w:val="28"/>
          <w:szCs w:val="28"/>
          <w:rtl/>
        </w:rPr>
        <w:t>رِيَ</w:t>
      </w:r>
      <w:r w:rsidR="00B06788" w:rsidRPr="0067048A">
        <w:rPr>
          <w:rFonts w:ascii="KFGQPC Uthmanic Script HAFS" w:cs="KFGQPC Uthmanic Script HAFS"/>
          <w:sz w:val="28"/>
          <w:szCs w:val="28"/>
          <w:rtl/>
        </w:rPr>
        <w:t xml:space="preserve"> </w:t>
      </w:r>
      <w:r w:rsidR="00B06788" w:rsidRPr="0067048A">
        <w:rPr>
          <w:rFonts w:ascii="KFGQPC Uthmanic Script HAFS" w:cs="KFGQPC Uthmanic Script HAFS" w:hint="eastAsia"/>
          <w:sz w:val="28"/>
          <w:szCs w:val="28"/>
          <w:rtl/>
        </w:rPr>
        <w:t>إِلَّا</w:t>
      </w:r>
      <w:r w:rsidR="00B06788" w:rsidRPr="0067048A">
        <w:rPr>
          <w:rFonts w:ascii="KFGQPC Uthmanic Script HAFS" w:cs="KFGQPC Uthmanic Script HAFS"/>
          <w:sz w:val="28"/>
          <w:szCs w:val="28"/>
          <w:rtl/>
        </w:rPr>
        <w:t xml:space="preserve"> </w:t>
      </w:r>
      <w:r w:rsidR="00B06788" w:rsidRPr="0067048A">
        <w:rPr>
          <w:rFonts w:ascii="KFGQPC Uthmanic Script HAFS" w:cs="KFGQPC Uthmanic Script HAFS" w:hint="eastAsia"/>
          <w:sz w:val="28"/>
          <w:szCs w:val="28"/>
          <w:rtl/>
        </w:rPr>
        <w:t>عَلَى</w:t>
      </w:r>
      <w:r w:rsidR="00B06788" w:rsidRPr="0067048A">
        <w:rPr>
          <w:rFonts w:ascii="KFGQPC Uthmanic Script HAFS" w:cs="KFGQPC Uthmanic Script HAFS"/>
          <w:sz w:val="28"/>
          <w:szCs w:val="28"/>
          <w:rtl/>
        </w:rPr>
        <w:t xml:space="preserve"> </w:t>
      </w:r>
      <w:r w:rsidR="00B06788" w:rsidRPr="0067048A">
        <w:rPr>
          <w:rFonts w:ascii="KFGQPC Uthmanic Script HAFS" w:cs="KFGQPC Uthmanic Script HAFS" w:hint="cs"/>
          <w:sz w:val="28"/>
          <w:szCs w:val="28"/>
          <w:rtl/>
        </w:rPr>
        <w:t>ٱ</w:t>
      </w:r>
      <w:r w:rsidR="00B06788" w:rsidRPr="0067048A">
        <w:rPr>
          <w:rFonts w:ascii="KFGQPC Uthmanic Script HAFS" w:cs="KFGQPC Uthmanic Script HAFS" w:hint="eastAsia"/>
          <w:sz w:val="28"/>
          <w:szCs w:val="28"/>
          <w:rtl/>
        </w:rPr>
        <w:t>للَّهِ</w:t>
      </w:r>
      <w:r w:rsidR="00B06788" w:rsidRPr="00995B26">
        <w:rPr>
          <w:rFonts w:cs="Traditional Arabic" w:hint="cs"/>
          <w:sz w:val="28"/>
          <w:rtl/>
        </w:rPr>
        <w:t>﴾</w:t>
      </w:r>
      <w:r w:rsidR="005C664D" w:rsidRPr="00995B26">
        <w:rPr>
          <w:b/>
          <w:bCs/>
          <w:sz w:val="28"/>
          <w:rtl/>
        </w:rPr>
        <w:t xml:space="preserve"> </w:t>
      </w:r>
      <w:r w:rsidR="005C664D" w:rsidRPr="003108CB">
        <w:rPr>
          <w:rStyle w:val="Char2"/>
          <w:rtl/>
        </w:rPr>
        <w:t>[هود</w:t>
      </w:r>
      <w:r w:rsidR="00B06788" w:rsidRPr="003108CB">
        <w:rPr>
          <w:rStyle w:val="Char2"/>
          <w:rFonts w:hint="cs"/>
          <w:rtl/>
        </w:rPr>
        <w:t xml:space="preserve">: </w:t>
      </w:r>
      <w:r w:rsidR="005C664D" w:rsidRPr="003108CB">
        <w:rPr>
          <w:rStyle w:val="Char2"/>
          <w:rtl/>
        </w:rPr>
        <w:t>29]</w:t>
      </w:r>
      <w:r w:rsidR="00147857" w:rsidRPr="00995B26">
        <w:rPr>
          <w:sz w:val="26"/>
          <w:szCs w:val="26"/>
          <w:rtl/>
        </w:rPr>
        <w:t xml:space="preserve"> </w:t>
      </w:r>
      <w:r w:rsidR="00147857" w:rsidRPr="00995B26">
        <w:rPr>
          <w:b/>
          <w:bCs/>
          <w:sz w:val="28"/>
          <w:rtl/>
        </w:rPr>
        <w:t>و</w:t>
      </w:r>
      <w:r w:rsidR="005C664D" w:rsidRPr="00995B26">
        <w:rPr>
          <w:b/>
          <w:bCs/>
          <w:sz w:val="28"/>
          <w:rtl/>
        </w:rPr>
        <w:t>في موضع آخر</w:t>
      </w:r>
      <w:r w:rsidR="00B06788" w:rsidRPr="00995B26">
        <w:rPr>
          <w:rFonts w:hint="cs"/>
          <w:b/>
          <w:bCs/>
          <w:sz w:val="28"/>
          <w:rtl/>
        </w:rPr>
        <w:t xml:space="preserve"> </w:t>
      </w:r>
      <w:r w:rsidR="00B06788" w:rsidRPr="00995B26">
        <w:rPr>
          <w:rFonts w:cs="Traditional Arabic" w:hint="cs"/>
          <w:sz w:val="28"/>
          <w:rtl/>
        </w:rPr>
        <w:t>﴿</w:t>
      </w:r>
      <w:r w:rsidR="00B06788" w:rsidRPr="0067048A">
        <w:rPr>
          <w:rFonts w:ascii="KFGQPC Uthmanic Script HAFS" w:cs="KFGQPC Uthmanic Script HAFS" w:hint="eastAsia"/>
          <w:sz w:val="28"/>
          <w:szCs w:val="28"/>
          <w:rtl/>
        </w:rPr>
        <w:t>يَ</w:t>
      </w:r>
      <w:r w:rsidR="00B06788" w:rsidRPr="0067048A">
        <w:rPr>
          <w:rFonts w:ascii="KFGQPC Uthmanic Script HAFS" w:cs="KFGQPC Uthmanic Script HAFS" w:hint="cs"/>
          <w:sz w:val="28"/>
          <w:szCs w:val="28"/>
          <w:rtl/>
        </w:rPr>
        <w:t>ٰ</w:t>
      </w:r>
      <w:r w:rsidR="00B06788" w:rsidRPr="0067048A">
        <w:rPr>
          <w:rFonts w:ascii="KFGQPC Uthmanic Script HAFS" w:cs="KFGQPC Uthmanic Script HAFS" w:hint="eastAsia"/>
          <w:sz w:val="28"/>
          <w:szCs w:val="28"/>
          <w:rtl/>
        </w:rPr>
        <w:t>قَو</w:t>
      </w:r>
      <w:r w:rsidR="00B06788" w:rsidRPr="0067048A">
        <w:rPr>
          <w:rFonts w:ascii="KFGQPC Uthmanic Script HAFS" w:cs="KFGQPC Uthmanic Script HAFS" w:hint="cs"/>
          <w:sz w:val="28"/>
          <w:szCs w:val="28"/>
          <w:rtl/>
        </w:rPr>
        <w:t>ۡ</w:t>
      </w:r>
      <w:r w:rsidR="00B06788" w:rsidRPr="0067048A">
        <w:rPr>
          <w:rFonts w:ascii="KFGQPC Uthmanic Script HAFS" w:cs="KFGQPC Uthmanic Script HAFS" w:hint="eastAsia"/>
          <w:sz w:val="28"/>
          <w:szCs w:val="28"/>
          <w:rtl/>
        </w:rPr>
        <w:t>مِ</w:t>
      </w:r>
      <w:r w:rsidR="00B06788" w:rsidRPr="0067048A">
        <w:rPr>
          <w:rFonts w:ascii="KFGQPC Uthmanic Script HAFS" w:cs="KFGQPC Uthmanic Script HAFS"/>
          <w:sz w:val="28"/>
          <w:szCs w:val="28"/>
          <w:rtl/>
        </w:rPr>
        <w:t xml:space="preserve"> </w:t>
      </w:r>
      <w:r w:rsidR="00B06788" w:rsidRPr="0067048A">
        <w:rPr>
          <w:rFonts w:ascii="KFGQPC Uthmanic Script HAFS" w:cs="KFGQPC Uthmanic Script HAFS" w:hint="eastAsia"/>
          <w:sz w:val="28"/>
          <w:szCs w:val="28"/>
          <w:rtl/>
        </w:rPr>
        <w:t>لَا</w:t>
      </w:r>
      <w:r w:rsidR="00B06788" w:rsidRPr="0067048A">
        <w:rPr>
          <w:rFonts w:ascii="KFGQPC Uthmanic Script HAFS" w:cs="KFGQPC Uthmanic Script HAFS" w:hint="cs"/>
          <w:sz w:val="28"/>
          <w:szCs w:val="28"/>
          <w:rtl/>
        </w:rPr>
        <w:t>ٓ</w:t>
      </w:r>
      <w:r w:rsidR="00B06788" w:rsidRPr="0067048A">
        <w:rPr>
          <w:rFonts w:ascii="KFGQPC Uthmanic Script HAFS" w:cs="KFGQPC Uthmanic Script HAFS"/>
          <w:sz w:val="28"/>
          <w:szCs w:val="28"/>
          <w:rtl/>
        </w:rPr>
        <w:t xml:space="preserve"> </w:t>
      </w:r>
      <w:r w:rsidR="00B06788" w:rsidRPr="0067048A">
        <w:rPr>
          <w:rFonts w:ascii="KFGQPC Uthmanic Script HAFS" w:cs="KFGQPC Uthmanic Script HAFS" w:hint="eastAsia"/>
          <w:sz w:val="28"/>
          <w:szCs w:val="28"/>
          <w:rtl/>
        </w:rPr>
        <w:t>أَس</w:t>
      </w:r>
      <w:r w:rsidR="00B06788" w:rsidRPr="0067048A">
        <w:rPr>
          <w:rFonts w:ascii="KFGQPC Uthmanic Script HAFS" w:cs="KFGQPC Uthmanic Script HAFS" w:hint="cs"/>
          <w:sz w:val="28"/>
          <w:szCs w:val="28"/>
          <w:rtl/>
        </w:rPr>
        <w:t>ۡ</w:t>
      </w:r>
      <w:r w:rsidR="00B06788" w:rsidRPr="0067048A">
        <w:rPr>
          <w:rFonts w:ascii="KFGQPC Uthmanic Script HAFS" w:cs="KFGQPC Uthmanic Script HAFS" w:hint="eastAsia"/>
          <w:sz w:val="28"/>
          <w:szCs w:val="28"/>
          <w:rtl/>
        </w:rPr>
        <w:t>‍</w:t>
      </w:r>
      <w:r w:rsidR="00B06788" w:rsidRPr="0067048A">
        <w:rPr>
          <w:rFonts w:ascii="KFGQPC Uthmanic Script HAFS" w:cs="KFGQPC Uthmanic Script HAFS" w:hint="cs"/>
          <w:sz w:val="28"/>
          <w:szCs w:val="28"/>
          <w:rtl/>
        </w:rPr>
        <w:t>ٔ</w:t>
      </w:r>
      <w:r w:rsidR="00B06788" w:rsidRPr="0067048A">
        <w:rPr>
          <w:rFonts w:ascii="KFGQPC Uthmanic Script HAFS" w:cs="KFGQPC Uthmanic Script HAFS" w:hint="eastAsia"/>
          <w:sz w:val="28"/>
          <w:szCs w:val="28"/>
          <w:rtl/>
        </w:rPr>
        <w:t>َلُكُم</w:t>
      </w:r>
      <w:r w:rsidR="00B06788" w:rsidRPr="0067048A">
        <w:rPr>
          <w:rFonts w:ascii="KFGQPC Uthmanic Script HAFS" w:cs="KFGQPC Uthmanic Script HAFS" w:hint="cs"/>
          <w:sz w:val="28"/>
          <w:szCs w:val="28"/>
          <w:rtl/>
        </w:rPr>
        <w:t>ۡ</w:t>
      </w:r>
      <w:r w:rsidR="00B06788" w:rsidRPr="0067048A">
        <w:rPr>
          <w:rFonts w:ascii="KFGQPC Uthmanic Script HAFS" w:cs="KFGQPC Uthmanic Script HAFS"/>
          <w:sz w:val="28"/>
          <w:szCs w:val="28"/>
          <w:rtl/>
        </w:rPr>
        <w:t xml:space="preserve"> </w:t>
      </w:r>
      <w:r w:rsidR="00B06788" w:rsidRPr="0067048A">
        <w:rPr>
          <w:rFonts w:ascii="KFGQPC Uthmanic Script HAFS" w:cs="KFGQPC Uthmanic Script HAFS" w:hint="eastAsia"/>
          <w:sz w:val="28"/>
          <w:szCs w:val="28"/>
          <w:rtl/>
        </w:rPr>
        <w:t>عَلَي</w:t>
      </w:r>
      <w:r w:rsidR="00B06788" w:rsidRPr="0067048A">
        <w:rPr>
          <w:rFonts w:ascii="KFGQPC Uthmanic Script HAFS" w:cs="KFGQPC Uthmanic Script HAFS" w:hint="cs"/>
          <w:sz w:val="28"/>
          <w:szCs w:val="28"/>
          <w:rtl/>
        </w:rPr>
        <w:t>ۡ</w:t>
      </w:r>
      <w:r w:rsidR="00B06788" w:rsidRPr="0067048A">
        <w:rPr>
          <w:rFonts w:ascii="KFGQPC Uthmanic Script HAFS" w:cs="KFGQPC Uthmanic Script HAFS" w:hint="eastAsia"/>
          <w:sz w:val="28"/>
          <w:szCs w:val="28"/>
          <w:rtl/>
        </w:rPr>
        <w:t>هِ</w:t>
      </w:r>
      <w:r w:rsidR="00B06788" w:rsidRPr="0067048A">
        <w:rPr>
          <w:rFonts w:ascii="KFGQPC Uthmanic Script HAFS" w:cs="KFGQPC Uthmanic Script HAFS"/>
          <w:sz w:val="28"/>
          <w:szCs w:val="28"/>
          <w:rtl/>
        </w:rPr>
        <w:t xml:space="preserve"> </w:t>
      </w:r>
      <w:r w:rsidR="00B06788" w:rsidRPr="0067048A">
        <w:rPr>
          <w:rFonts w:ascii="KFGQPC Uthmanic Script HAFS" w:cs="KFGQPC Uthmanic Script HAFS" w:hint="eastAsia"/>
          <w:sz w:val="28"/>
          <w:szCs w:val="28"/>
          <w:rtl/>
        </w:rPr>
        <w:t>أَج</w:t>
      </w:r>
      <w:r w:rsidR="00B06788" w:rsidRPr="0067048A">
        <w:rPr>
          <w:rFonts w:ascii="KFGQPC Uthmanic Script HAFS" w:cs="KFGQPC Uthmanic Script HAFS" w:hint="cs"/>
          <w:sz w:val="28"/>
          <w:szCs w:val="28"/>
          <w:rtl/>
        </w:rPr>
        <w:t>ۡ</w:t>
      </w:r>
      <w:r w:rsidR="00B06788" w:rsidRPr="0067048A">
        <w:rPr>
          <w:rFonts w:ascii="KFGQPC Uthmanic Script HAFS" w:cs="KFGQPC Uthmanic Script HAFS" w:hint="eastAsia"/>
          <w:sz w:val="28"/>
          <w:szCs w:val="28"/>
          <w:rtl/>
        </w:rPr>
        <w:t>رًا</w:t>
      </w:r>
      <w:r w:rsidR="00B06788" w:rsidRPr="0067048A">
        <w:rPr>
          <w:rFonts w:ascii="KFGQPC Uthmanic Script HAFS" w:cs="KFGQPC Uthmanic Script HAFS" w:hint="cs"/>
          <w:sz w:val="28"/>
          <w:szCs w:val="28"/>
          <w:rtl/>
        </w:rPr>
        <w:t>ۖ</w:t>
      </w:r>
      <w:r w:rsidR="00B06788" w:rsidRPr="0067048A">
        <w:rPr>
          <w:rFonts w:ascii="KFGQPC Uthmanic Script HAFS" w:cs="KFGQPC Uthmanic Script HAFS"/>
          <w:sz w:val="28"/>
          <w:szCs w:val="28"/>
          <w:rtl/>
        </w:rPr>
        <w:t xml:space="preserve"> </w:t>
      </w:r>
      <w:r w:rsidR="00B06788" w:rsidRPr="0067048A">
        <w:rPr>
          <w:rFonts w:ascii="KFGQPC Uthmanic Script HAFS" w:cs="KFGQPC Uthmanic Script HAFS" w:hint="eastAsia"/>
          <w:sz w:val="28"/>
          <w:szCs w:val="28"/>
          <w:rtl/>
        </w:rPr>
        <w:t>إِن</w:t>
      </w:r>
      <w:r w:rsidR="00B06788" w:rsidRPr="0067048A">
        <w:rPr>
          <w:rFonts w:ascii="KFGQPC Uthmanic Script HAFS" w:cs="KFGQPC Uthmanic Script HAFS" w:hint="cs"/>
          <w:sz w:val="28"/>
          <w:szCs w:val="28"/>
          <w:rtl/>
        </w:rPr>
        <w:t>ۡ</w:t>
      </w:r>
      <w:r w:rsidR="00B06788" w:rsidRPr="0067048A">
        <w:rPr>
          <w:rFonts w:ascii="KFGQPC Uthmanic Script HAFS" w:cs="KFGQPC Uthmanic Script HAFS"/>
          <w:sz w:val="28"/>
          <w:szCs w:val="28"/>
          <w:rtl/>
        </w:rPr>
        <w:t xml:space="preserve"> </w:t>
      </w:r>
      <w:r w:rsidR="00B06788" w:rsidRPr="0067048A">
        <w:rPr>
          <w:rFonts w:ascii="KFGQPC Uthmanic Script HAFS" w:cs="KFGQPC Uthmanic Script HAFS" w:hint="eastAsia"/>
          <w:sz w:val="28"/>
          <w:szCs w:val="28"/>
          <w:rtl/>
        </w:rPr>
        <w:t>أَج</w:t>
      </w:r>
      <w:r w:rsidR="00B06788" w:rsidRPr="0067048A">
        <w:rPr>
          <w:rFonts w:ascii="KFGQPC Uthmanic Script HAFS" w:cs="KFGQPC Uthmanic Script HAFS" w:hint="cs"/>
          <w:sz w:val="28"/>
          <w:szCs w:val="28"/>
          <w:rtl/>
        </w:rPr>
        <w:t>ۡ</w:t>
      </w:r>
      <w:r w:rsidR="00B06788" w:rsidRPr="0067048A">
        <w:rPr>
          <w:rFonts w:ascii="KFGQPC Uthmanic Script HAFS" w:cs="KFGQPC Uthmanic Script HAFS" w:hint="eastAsia"/>
          <w:sz w:val="28"/>
          <w:szCs w:val="28"/>
          <w:rtl/>
        </w:rPr>
        <w:t>رِيَ</w:t>
      </w:r>
      <w:r w:rsidR="00B06788" w:rsidRPr="0067048A">
        <w:rPr>
          <w:rFonts w:ascii="KFGQPC Uthmanic Script HAFS" w:cs="KFGQPC Uthmanic Script HAFS"/>
          <w:sz w:val="28"/>
          <w:szCs w:val="28"/>
          <w:rtl/>
        </w:rPr>
        <w:t xml:space="preserve"> </w:t>
      </w:r>
      <w:r w:rsidR="00B06788" w:rsidRPr="0067048A">
        <w:rPr>
          <w:rFonts w:ascii="KFGQPC Uthmanic Script HAFS" w:cs="KFGQPC Uthmanic Script HAFS" w:hint="eastAsia"/>
          <w:sz w:val="28"/>
          <w:szCs w:val="28"/>
          <w:rtl/>
        </w:rPr>
        <w:t>إِلَّا</w:t>
      </w:r>
      <w:r w:rsidR="00B06788" w:rsidRPr="0067048A">
        <w:rPr>
          <w:rFonts w:ascii="KFGQPC Uthmanic Script HAFS" w:cs="KFGQPC Uthmanic Script HAFS"/>
          <w:sz w:val="28"/>
          <w:szCs w:val="28"/>
          <w:rtl/>
        </w:rPr>
        <w:t xml:space="preserve"> </w:t>
      </w:r>
      <w:r w:rsidR="00B06788" w:rsidRPr="0067048A">
        <w:rPr>
          <w:rFonts w:ascii="KFGQPC Uthmanic Script HAFS" w:cs="KFGQPC Uthmanic Script HAFS" w:hint="eastAsia"/>
          <w:sz w:val="28"/>
          <w:szCs w:val="28"/>
          <w:rtl/>
        </w:rPr>
        <w:t>عَلَى</w:t>
      </w:r>
      <w:r w:rsidR="00B06788" w:rsidRPr="0067048A">
        <w:rPr>
          <w:rFonts w:ascii="KFGQPC Uthmanic Script HAFS" w:cs="KFGQPC Uthmanic Script HAFS"/>
          <w:sz w:val="28"/>
          <w:szCs w:val="28"/>
          <w:rtl/>
        </w:rPr>
        <w:t xml:space="preserve"> </w:t>
      </w:r>
      <w:r w:rsidR="00B06788" w:rsidRPr="0067048A">
        <w:rPr>
          <w:rFonts w:ascii="KFGQPC Uthmanic Script HAFS" w:cs="KFGQPC Uthmanic Script HAFS" w:hint="cs"/>
          <w:sz w:val="28"/>
          <w:szCs w:val="28"/>
          <w:rtl/>
        </w:rPr>
        <w:t>ٱ</w:t>
      </w:r>
      <w:r w:rsidR="00B06788" w:rsidRPr="0067048A">
        <w:rPr>
          <w:rFonts w:ascii="KFGQPC Uthmanic Script HAFS" w:cs="KFGQPC Uthmanic Script HAFS" w:hint="eastAsia"/>
          <w:sz w:val="28"/>
          <w:szCs w:val="28"/>
          <w:rtl/>
        </w:rPr>
        <w:t>لَّذِي</w:t>
      </w:r>
      <w:r w:rsidR="00B06788" w:rsidRPr="0067048A">
        <w:rPr>
          <w:rFonts w:ascii="KFGQPC Uthmanic Script HAFS" w:cs="KFGQPC Uthmanic Script HAFS"/>
          <w:sz w:val="28"/>
          <w:szCs w:val="28"/>
          <w:rtl/>
        </w:rPr>
        <w:t xml:space="preserve"> </w:t>
      </w:r>
      <w:r w:rsidR="00B06788" w:rsidRPr="0067048A">
        <w:rPr>
          <w:rFonts w:ascii="KFGQPC Uthmanic Script HAFS" w:cs="KFGQPC Uthmanic Script HAFS" w:hint="eastAsia"/>
          <w:sz w:val="28"/>
          <w:szCs w:val="28"/>
          <w:rtl/>
        </w:rPr>
        <w:t>فَطَرَنِي</w:t>
      </w:r>
      <w:r w:rsidR="00B06788" w:rsidRPr="0067048A">
        <w:rPr>
          <w:rFonts w:ascii="KFGQPC Uthmanic Script HAFS" w:cs="KFGQPC Uthmanic Script HAFS" w:hint="cs"/>
          <w:sz w:val="28"/>
          <w:szCs w:val="28"/>
          <w:rtl/>
        </w:rPr>
        <w:t>ٓ</w:t>
      </w:r>
      <w:r w:rsidR="00B06788" w:rsidRPr="00995B26">
        <w:rPr>
          <w:rFonts w:ascii="KFGQPC Uthmanic Script HAFS" w:cs="Times New Roman" w:hint="cs"/>
          <w:sz w:val="28"/>
          <w:rtl/>
        </w:rPr>
        <w:t>...</w:t>
      </w:r>
      <w:r w:rsidR="00B06788" w:rsidRPr="00995B26">
        <w:rPr>
          <w:rFonts w:cs="Traditional Arabic" w:hint="cs"/>
          <w:sz w:val="28"/>
          <w:rtl/>
        </w:rPr>
        <w:t>﴾</w:t>
      </w:r>
      <w:r w:rsidR="005C664D" w:rsidRPr="00995B26">
        <w:rPr>
          <w:b/>
          <w:bCs/>
          <w:sz w:val="28"/>
          <w:rtl/>
        </w:rPr>
        <w:t xml:space="preserve"> </w:t>
      </w:r>
      <w:r w:rsidR="005C664D" w:rsidRPr="003108CB">
        <w:rPr>
          <w:rStyle w:val="Char2"/>
          <w:rtl/>
        </w:rPr>
        <w:t>[هود</w:t>
      </w:r>
      <w:r w:rsidR="00B06788" w:rsidRPr="003108CB">
        <w:rPr>
          <w:rStyle w:val="Char2"/>
          <w:rFonts w:hint="cs"/>
          <w:rtl/>
        </w:rPr>
        <w:t xml:space="preserve">: </w:t>
      </w:r>
      <w:r w:rsidR="005C664D" w:rsidRPr="003108CB">
        <w:rPr>
          <w:rStyle w:val="Char2"/>
          <w:rtl/>
        </w:rPr>
        <w:t>51]</w:t>
      </w:r>
      <w:r w:rsidR="00217AB4" w:rsidRPr="00995B26">
        <w:rPr>
          <w:rFonts w:hint="cs"/>
          <w:b/>
          <w:bCs/>
          <w:sz w:val="28"/>
          <w:rtl/>
        </w:rPr>
        <w:t>،</w:t>
      </w:r>
      <w:r w:rsidR="005C664D" w:rsidRPr="00995B26">
        <w:rPr>
          <w:rFonts w:hint="cs"/>
          <w:b/>
          <w:bCs/>
          <w:sz w:val="28"/>
          <w:rtl/>
        </w:rPr>
        <w:t xml:space="preserve"> </w:t>
      </w:r>
      <w:r w:rsidR="005C664D" w:rsidRPr="00995B26">
        <w:rPr>
          <w:b/>
          <w:bCs/>
          <w:sz w:val="28"/>
          <w:rtl/>
        </w:rPr>
        <w:t>فلو كان الأجر على ما ظنه أبو جعفر في معنى الآية لتناقض القرآن</w:t>
      </w:r>
      <w:r w:rsidR="00147857" w:rsidRPr="00995B26">
        <w:rPr>
          <w:b/>
          <w:bCs/>
          <w:sz w:val="28"/>
          <w:rtl/>
        </w:rPr>
        <w:t xml:space="preserve"> و</w:t>
      </w:r>
      <w:r w:rsidR="005C664D" w:rsidRPr="00995B26">
        <w:rPr>
          <w:b/>
          <w:bCs/>
          <w:sz w:val="28"/>
          <w:rtl/>
        </w:rPr>
        <w:t>ذلك أنه كان تقدير الآية قل لا أسألكم عليه أجرا</w:t>
      </w:r>
      <w:r w:rsidR="005C664D" w:rsidRPr="00995B26">
        <w:rPr>
          <w:rFonts w:hint="cs"/>
          <w:b/>
          <w:bCs/>
          <w:sz w:val="28"/>
          <w:rtl/>
        </w:rPr>
        <w:t>ً</w:t>
      </w:r>
      <w:r w:rsidR="005C664D" w:rsidRPr="00995B26">
        <w:rPr>
          <w:b/>
          <w:bCs/>
          <w:sz w:val="28"/>
          <w:rtl/>
        </w:rPr>
        <w:t xml:space="preserve"> بل أسألكم عليه أجرا</w:t>
      </w:r>
      <w:r w:rsidR="005C664D" w:rsidRPr="00995B26">
        <w:rPr>
          <w:rFonts w:hint="cs"/>
          <w:b/>
          <w:bCs/>
          <w:sz w:val="28"/>
          <w:rtl/>
        </w:rPr>
        <w:t>ً</w:t>
      </w:r>
      <w:r w:rsidR="005C664D" w:rsidRPr="00995B26">
        <w:rPr>
          <w:b/>
          <w:bCs/>
          <w:sz w:val="28"/>
          <w:rtl/>
        </w:rPr>
        <w:t xml:space="preserve"> ويكون أيضا</w:t>
      </w:r>
      <w:r w:rsidR="005C664D" w:rsidRPr="00995B26">
        <w:rPr>
          <w:rFonts w:hint="cs"/>
          <w:b/>
          <w:bCs/>
          <w:sz w:val="28"/>
          <w:rtl/>
        </w:rPr>
        <w:t>ً</w:t>
      </w:r>
      <w:r w:rsidR="005C664D" w:rsidRPr="00995B26">
        <w:rPr>
          <w:b/>
          <w:bCs/>
          <w:sz w:val="28"/>
          <w:rtl/>
        </w:rPr>
        <w:t xml:space="preserve"> إن أجري إلا على الله بل أجري على الله وعلى غيره</w:t>
      </w:r>
      <w:r w:rsidR="0029451B" w:rsidRPr="00995B26">
        <w:rPr>
          <w:rFonts w:hint="cs"/>
          <w:b/>
          <w:bCs/>
          <w:sz w:val="28"/>
          <w:rtl/>
        </w:rPr>
        <w:t>،</w:t>
      </w:r>
      <w:r w:rsidR="005C664D" w:rsidRPr="00995B26">
        <w:rPr>
          <w:b/>
          <w:bCs/>
          <w:sz w:val="28"/>
          <w:rtl/>
        </w:rPr>
        <w:t xml:space="preserve"> وهذا محال لا يصح حمل القرآن عليه</w:t>
      </w:r>
      <w:r w:rsidR="00217AB4" w:rsidRPr="00995B26">
        <w:rPr>
          <w:b/>
          <w:bCs/>
          <w:sz w:val="28"/>
          <w:rtl/>
        </w:rPr>
        <w:t>.</w:t>
      </w:r>
      <w:r w:rsidR="005C664D" w:rsidRPr="00995B26">
        <w:rPr>
          <w:b/>
          <w:bCs/>
          <w:sz w:val="28"/>
          <w:rtl/>
        </w:rPr>
        <w:t xml:space="preserve"> فإن قال قائل</w:t>
      </w:r>
      <w:r w:rsidR="00217AB4" w:rsidRPr="00995B26">
        <w:rPr>
          <w:rFonts w:hint="cs"/>
          <w:b/>
          <w:bCs/>
          <w:sz w:val="28"/>
          <w:rtl/>
        </w:rPr>
        <w:t>:</w:t>
      </w:r>
      <w:r w:rsidR="005C664D" w:rsidRPr="00995B26">
        <w:rPr>
          <w:b/>
          <w:bCs/>
          <w:sz w:val="28"/>
          <w:rtl/>
        </w:rPr>
        <w:t xml:space="preserve"> فما معنى قوله</w:t>
      </w:r>
      <w:r w:rsidR="00B06788" w:rsidRPr="00995B26">
        <w:rPr>
          <w:rFonts w:hint="cs"/>
          <w:b/>
          <w:bCs/>
          <w:sz w:val="28"/>
          <w:rtl/>
        </w:rPr>
        <w:t xml:space="preserve">: </w:t>
      </w:r>
      <w:r w:rsidR="00B06788" w:rsidRPr="00995B26">
        <w:rPr>
          <w:rFonts w:cs="Traditional Arabic" w:hint="cs"/>
          <w:sz w:val="28"/>
          <w:rtl/>
        </w:rPr>
        <w:t>﴿</w:t>
      </w:r>
      <w:r w:rsidR="00B06788" w:rsidRPr="0067048A">
        <w:rPr>
          <w:rFonts w:ascii="KFGQPC Uthmanic Script HAFS" w:cs="KFGQPC Uthmanic Script HAFS" w:hint="eastAsia"/>
          <w:sz w:val="28"/>
          <w:szCs w:val="28"/>
          <w:rtl/>
        </w:rPr>
        <w:t>قُل</w:t>
      </w:r>
      <w:r w:rsidR="00B06788" w:rsidRPr="0067048A">
        <w:rPr>
          <w:rFonts w:ascii="KFGQPC Uthmanic Script HAFS" w:cs="KFGQPC Uthmanic Script HAFS"/>
          <w:sz w:val="28"/>
          <w:szCs w:val="28"/>
          <w:rtl/>
        </w:rPr>
        <w:t xml:space="preserve"> </w:t>
      </w:r>
      <w:r w:rsidR="00B06788" w:rsidRPr="0067048A">
        <w:rPr>
          <w:rFonts w:ascii="KFGQPC Uthmanic Script HAFS" w:cs="KFGQPC Uthmanic Script HAFS" w:hint="eastAsia"/>
          <w:sz w:val="28"/>
          <w:szCs w:val="28"/>
          <w:rtl/>
        </w:rPr>
        <w:t>لَّا</w:t>
      </w:r>
      <w:r w:rsidR="00B06788" w:rsidRPr="0067048A">
        <w:rPr>
          <w:rFonts w:ascii="KFGQPC Uthmanic Script HAFS" w:cs="KFGQPC Uthmanic Script HAFS" w:hint="cs"/>
          <w:sz w:val="28"/>
          <w:szCs w:val="28"/>
          <w:rtl/>
        </w:rPr>
        <w:t>ٓ</w:t>
      </w:r>
      <w:r w:rsidR="00B06788" w:rsidRPr="0067048A">
        <w:rPr>
          <w:rFonts w:ascii="KFGQPC Uthmanic Script HAFS" w:cs="KFGQPC Uthmanic Script HAFS"/>
          <w:sz w:val="28"/>
          <w:szCs w:val="28"/>
          <w:rtl/>
        </w:rPr>
        <w:t xml:space="preserve"> </w:t>
      </w:r>
      <w:r w:rsidR="00B06788" w:rsidRPr="0067048A">
        <w:rPr>
          <w:rFonts w:ascii="KFGQPC Uthmanic Script HAFS" w:cs="KFGQPC Uthmanic Script HAFS" w:hint="eastAsia"/>
          <w:sz w:val="28"/>
          <w:szCs w:val="28"/>
          <w:rtl/>
        </w:rPr>
        <w:t>أَس</w:t>
      </w:r>
      <w:r w:rsidR="00B06788" w:rsidRPr="0067048A">
        <w:rPr>
          <w:rFonts w:ascii="KFGQPC Uthmanic Script HAFS" w:cs="KFGQPC Uthmanic Script HAFS" w:hint="cs"/>
          <w:sz w:val="28"/>
          <w:szCs w:val="28"/>
          <w:rtl/>
        </w:rPr>
        <w:t>ۡ</w:t>
      </w:r>
      <w:r w:rsidR="00B06788" w:rsidRPr="0067048A">
        <w:rPr>
          <w:rFonts w:ascii="KFGQPC Uthmanic Script HAFS" w:cs="KFGQPC Uthmanic Script HAFS" w:hint="eastAsia"/>
          <w:sz w:val="28"/>
          <w:szCs w:val="28"/>
          <w:rtl/>
        </w:rPr>
        <w:t>‍</w:t>
      </w:r>
      <w:r w:rsidR="00B06788" w:rsidRPr="0067048A">
        <w:rPr>
          <w:rFonts w:ascii="KFGQPC Uthmanic Script HAFS" w:cs="KFGQPC Uthmanic Script HAFS" w:hint="cs"/>
          <w:sz w:val="28"/>
          <w:szCs w:val="28"/>
          <w:rtl/>
        </w:rPr>
        <w:t>ٔ</w:t>
      </w:r>
      <w:r w:rsidR="00B06788" w:rsidRPr="0067048A">
        <w:rPr>
          <w:rFonts w:ascii="KFGQPC Uthmanic Script HAFS" w:cs="KFGQPC Uthmanic Script HAFS" w:hint="eastAsia"/>
          <w:sz w:val="28"/>
          <w:szCs w:val="28"/>
          <w:rtl/>
        </w:rPr>
        <w:t>َلُكُم</w:t>
      </w:r>
      <w:r w:rsidR="00B06788" w:rsidRPr="0067048A">
        <w:rPr>
          <w:rFonts w:ascii="KFGQPC Uthmanic Script HAFS" w:cs="KFGQPC Uthmanic Script HAFS" w:hint="cs"/>
          <w:sz w:val="28"/>
          <w:szCs w:val="28"/>
          <w:rtl/>
        </w:rPr>
        <w:t>ۡ</w:t>
      </w:r>
      <w:r w:rsidR="00B06788" w:rsidRPr="0067048A">
        <w:rPr>
          <w:rFonts w:ascii="KFGQPC Uthmanic Script HAFS" w:cs="KFGQPC Uthmanic Script HAFS"/>
          <w:sz w:val="28"/>
          <w:szCs w:val="28"/>
          <w:rtl/>
        </w:rPr>
        <w:t xml:space="preserve"> </w:t>
      </w:r>
      <w:r w:rsidR="00B06788" w:rsidRPr="0067048A">
        <w:rPr>
          <w:rFonts w:ascii="KFGQPC Uthmanic Script HAFS" w:cs="KFGQPC Uthmanic Script HAFS" w:hint="eastAsia"/>
          <w:sz w:val="28"/>
          <w:szCs w:val="28"/>
          <w:rtl/>
        </w:rPr>
        <w:t>عَلَي</w:t>
      </w:r>
      <w:r w:rsidR="00B06788" w:rsidRPr="0067048A">
        <w:rPr>
          <w:rFonts w:ascii="KFGQPC Uthmanic Script HAFS" w:cs="KFGQPC Uthmanic Script HAFS" w:hint="cs"/>
          <w:sz w:val="28"/>
          <w:szCs w:val="28"/>
          <w:rtl/>
        </w:rPr>
        <w:t>ۡ</w:t>
      </w:r>
      <w:r w:rsidR="00B06788" w:rsidRPr="0067048A">
        <w:rPr>
          <w:rFonts w:ascii="KFGQPC Uthmanic Script HAFS" w:cs="KFGQPC Uthmanic Script HAFS" w:hint="eastAsia"/>
          <w:sz w:val="28"/>
          <w:szCs w:val="28"/>
          <w:rtl/>
        </w:rPr>
        <w:t>هِ</w:t>
      </w:r>
      <w:r w:rsidR="00B06788" w:rsidRPr="0067048A">
        <w:rPr>
          <w:rFonts w:ascii="KFGQPC Uthmanic Script HAFS" w:cs="KFGQPC Uthmanic Script HAFS"/>
          <w:sz w:val="28"/>
          <w:szCs w:val="28"/>
          <w:rtl/>
        </w:rPr>
        <w:t xml:space="preserve"> </w:t>
      </w:r>
      <w:r w:rsidR="00B06788" w:rsidRPr="0067048A">
        <w:rPr>
          <w:rFonts w:ascii="KFGQPC Uthmanic Script HAFS" w:cs="KFGQPC Uthmanic Script HAFS" w:hint="eastAsia"/>
          <w:sz w:val="28"/>
          <w:szCs w:val="28"/>
          <w:rtl/>
        </w:rPr>
        <w:t>أَج</w:t>
      </w:r>
      <w:r w:rsidR="00B06788" w:rsidRPr="0067048A">
        <w:rPr>
          <w:rFonts w:ascii="KFGQPC Uthmanic Script HAFS" w:cs="KFGQPC Uthmanic Script HAFS" w:hint="cs"/>
          <w:sz w:val="28"/>
          <w:szCs w:val="28"/>
          <w:rtl/>
        </w:rPr>
        <w:t>ۡ</w:t>
      </w:r>
      <w:r w:rsidR="00B06788" w:rsidRPr="0067048A">
        <w:rPr>
          <w:rFonts w:ascii="KFGQPC Uthmanic Script HAFS" w:cs="KFGQPC Uthmanic Script HAFS" w:hint="eastAsia"/>
          <w:sz w:val="28"/>
          <w:szCs w:val="28"/>
          <w:rtl/>
        </w:rPr>
        <w:t>رًا</w:t>
      </w:r>
      <w:r w:rsidR="00B06788" w:rsidRPr="0067048A">
        <w:rPr>
          <w:rFonts w:ascii="KFGQPC Uthmanic Script HAFS" w:cs="KFGQPC Uthmanic Script HAFS"/>
          <w:sz w:val="28"/>
          <w:szCs w:val="28"/>
          <w:rtl/>
        </w:rPr>
        <w:t xml:space="preserve"> </w:t>
      </w:r>
      <w:r w:rsidR="00B06788" w:rsidRPr="0067048A">
        <w:rPr>
          <w:rFonts w:ascii="KFGQPC Uthmanic Script HAFS" w:cs="KFGQPC Uthmanic Script HAFS" w:hint="eastAsia"/>
          <w:sz w:val="28"/>
          <w:szCs w:val="28"/>
          <w:rtl/>
        </w:rPr>
        <w:t>إِلَّا</w:t>
      </w:r>
      <w:r w:rsidR="00B06788" w:rsidRPr="0067048A">
        <w:rPr>
          <w:rFonts w:ascii="KFGQPC Uthmanic Script HAFS" w:cs="KFGQPC Uthmanic Script HAFS"/>
          <w:sz w:val="28"/>
          <w:szCs w:val="28"/>
          <w:rtl/>
        </w:rPr>
        <w:t xml:space="preserve"> </w:t>
      </w:r>
      <w:r w:rsidR="00B06788" w:rsidRPr="0067048A">
        <w:rPr>
          <w:rFonts w:ascii="KFGQPC Uthmanic Script HAFS" w:cs="KFGQPC Uthmanic Script HAFS" w:hint="cs"/>
          <w:sz w:val="28"/>
          <w:szCs w:val="28"/>
          <w:rtl/>
        </w:rPr>
        <w:t>ٱ</w:t>
      </w:r>
      <w:r w:rsidR="00B06788" w:rsidRPr="0067048A">
        <w:rPr>
          <w:rFonts w:ascii="KFGQPC Uthmanic Script HAFS" w:cs="KFGQPC Uthmanic Script HAFS" w:hint="eastAsia"/>
          <w:sz w:val="28"/>
          <w:szCs w:val="28"/>
          <w:rtl/>
        </w:rPr>
        <w:t>ل</w:t>
      </w:r>
      <w:r w:rsidR="00B06788" w:rsidRPr="0067048A">
        <w:rPr>
          <w:rFonts w:ascii="KFGQPC Uthmanic Script HAFS" w:cs="KFGQPC Uthmanic Script HAFS" w:hint="cs"/>
          <w:sz w:val="28"/>
          <w:szCs w:val="28"/>
          <w:rtl/>
        </w:rPr>
        <w:t>ۡ</w:t>
      </w:r>
      <w:r w:rsidR="00B06788" w:rsidRPr="0067048A">
        <w:rPr>
          <w:rFonts w:ascii="KFGQPC Uthmanic Script HAFS" w:cs="KFGQPC Uthmanic Script HAFS" w:hint="eastAsia"/>
          <w:sz w:val="28"/>
          <w:szCs w:val="28"/>
          <w:rtl/>
        </w:rPr>
        <w:t>مَوَدَّةَ</w:t>
      </w:r>
      <w:r w:rsidR="00B06788" w:rsidRPr="0067048A">
        <w:rPr>
          <w:rFonts w:ascii="KFGQPC Uthmanic Script HAFS" w:cs="KFGQPC Uthmanic Script HAFS"/>
          <w:sz w:val="28"/>
          <w:szCs w:val="28"/>
          <w:rtl/>
        </w:rPr>
        <w:t xml:space="preserve"> </w:t>
      </w:r>
      <w:r w:rsidR="00B06788" w:rsidRPr="0067048A">
        <w:rPr>
          <w:rFonts w:ascii="KFGQPC Uthmanic Script HAFS" w:cs="KFGQPC Uthmanic Script HAFS" w:hint="eastAsia"/>
          <w:sz w:val="28"/>
          <w:szCs w:val="28"/>
          <w:rtl/>
        </w:rPr>
        <w:t>فِي</w:t>
      </w:r>
      <w:r w:rsidR="00B06788" w:rsidRPr="0067048A">
        <w:rPr>
          <w:rFonts w:ascii="KFGQPC Uthmanic Script HAFS" w:cs="KFGQPC Uthmanic Script HAFS"/>
          <w:sz w:val="28"/>
          <w:szCs w:val="28"/>
          <w:rtl/>
        </w:rPr>
        <w:t xml:space="preserve"> </w:t>
      </w:r>
      <w:r w:rsidR="00B06788" w:rsidRPr="0067048A">
        <w:rPr>
          <w:rFonts w:ascii="KFGQPC Uthmanic Script HAFS" w:cs="KFGQPC Uthmanic Script HAFS" w:hint="cs"/>
          <w:sz w:val="28"/>
          <w:szCs w:val="28"/>
          <w:rtl/>
        </w:rPr>
        <w:t>ٱ</w:t>
      </w:r>
      <w:r w:rsidR="00B06788" w:rsidRPr="0067048A">
        <w:rPr>
          <w:rFonts w:ascii="KFGQPC Uthmanic Script HAFS" w:cs="KFGQPC Uthmanic Script HAFS" w:hint="eastAsia"/>
          <w:sz w:val="28"/>
          <w:szCs w:val="28"/>
          <w:rtl/>
        </w:rPr>
        <w:t>ل</w:t>
      </w:r>
      <w:r w:rsidR="00B06788" w:rsidRPr="0067048A">
        <w:rPr>
          <w:rFonts w:ascii="KFGQPC Uthmanic Script HAFS" w:cs="KFGQPC Uthmanic Script HAFS" w:hint="cs"/>
          <w:sz w:val="28"/>
          <w:szCs w:val="28"/>
          <w:rtl/>
        </w:rPr>
        <w:t>ۡ</w:t>
      </w:r>
      <w:r w:rsidR="00B06788" w:rsidRPr="0067048A">
        <w:rPr>
          <w:rFonts w:ascii="KFGQPC Uthmanic Script HAFS" w:cs="KFGQPC Uthmanic Script HAFS" w:hint="eastAsia"/>
          <w:sz w:val="28"/>
          <w:szCs w:val="28"/>
          <w:rtl/>
        </w:rPr>
        <w:t>قُر</w:t>
      </w:r>
      <w:r w:rsidR="00B06788" w:rsidRPr="0067048A">
        <w:rPr>
          <w:rFonts w:ascii="KFGQPC Uthmanic Script HAFS" w:cs="KFGQPC Uthmanic Script HAFS" w:hint="cs"/>
          <w:sz w:val="28"/>
          <w:szCs w:val="28"/>
          <w:rtl/>
        </w:rPr>
        <w:t>ۡ</w:t>
      </w:r>
      <w:r w:rsidR="00B06788" w:rsidRPr="0067048A">
        <w:rPr>
          <w:rFonts w:ascii="KFGQPC Uthmanic Script HAFS" w:cs="KFGQPC Uthmanic Script HAFS" w:hint="eastAsia"/>
          <w:sz w:val="28"/>
          <w:szCs w:val="28"/>
          <w:rtl/>
        </w:rPr>
        <w:t>بَى</w:t>
      </w:r>
      <w:r w:rsidR="00B06788" w:rsidRPr="0067048A">
        <w:rPr>
          <w:rFonts w:ascii="KFGQPC Uthmanic Script HAFS" w:cs="KFGQPC Uthmanic Script HAFS" w:hint="cs"/>
          <w:sz w:val="28"/>
          <w:szCs w:val="28"/>
          <w:rtl/>
        </w:rPr>
        <w:t>ٰ</w:t>
      </w:r>
      <w:r w:rsidR="00B06788" w:rsidRPr="00995B26">
        <w:rPr>
          <w:rFonts w:cs="Traditional Arabic" w:hint="cs"/>
          <w:sz w:val="28"/>
          <w:rtl/>
        </w:rPr>
        <w:t>﴾</w:t>
      </w:r>
      <w:r w:rsidR="005C664D" w:rsidRPr="00995B26">
        <w:rPr>
          <w:b/>
          <w:bCs/>
          <w:sz w:val="28"/>
          <w:rtl/>
        </w:rPr>
        <w:t xml:space="preserve"> </w:t>
      </w:r>
      <w:r w:rsidR="005C664D" w:rsidRPr="003108CB">
        <w:rPr>
          <w:rStyle w:val="Char2"/>
          <w:rtl/>
        </w:rPr>
        <w:t>[الشورى</w:t>
      </w:r>
      <w:r w:rsidR="00B06788" w:rsidRPr="003108CB">
        <w:rPr>
          <w:rStyle w:val="Char2"/>
          <w:rFonts w:hint="cs"/>
          <w:rtl/>
        </w:rPr>
        <w:t xml:space="preserve">: </w:t>
      </w:r>
      <w:r w:rsidR="005C664D" w:rsidRPr="003108CB">
        <w:rPr>
          <w:rStyle w:val="Char2"/>
          <w:rtl/>
        </w:rPr>
        <w:t>23]</w:t>
      </w:r>
      <w:r w:rsidR="00217AB4" w:rsidRPr="00995B26">
        <w:rPr>
          <w:rFonts w:hint="cs"/>
          <w:b/>
          <w:bCs/>
          <w:sz w:val="28"/>
          <w:rtl/>
        </w:rPr>
        <w:t>؟</w:t>
      </w:r>
      <w:r w:rsidR="005C664D" w:rsidRPr="00995B26">
        <w:rPr>
          <w:rFonts w:hint="cs"/>
          <w:b/>
          <w:bCs/>
          <w:sz w:val="28"/>
          <w:rtl/>
        </w:rPr>
        <w:t xml:space="preserve"> </w:t>
      </w:r>
      <w:r w:rsidR="005C664D" w:rsidRPr="00995B26">
        <w:rPr>
          <w:b/>
          <w:bCs/>
          <w:sz w:val="28"/>
          <w:rtl/>
        </w:rPr>
        <w:t>‏ أوليس هذا يفيد أنه قد سألهم مودة القربى لأجره على الأداء</w:t>
      </w:r>
      <w:r w:rsidR="00217AB4" w:rsidRPr="00995B26">
        <w:rPr>
          <w:rFonts w:hint="cs"/>
          <w:b/>
          <w:bCs/>
          <w:sz w:val="28"/>
          <w:rtl/>
        </w:rPr>
        <w:t>؟؟</w:t>
      </w:r>
      <w:r w:rsidR="00147857" w:rsidRPr="00995B26">
        <w:rPr>
          <w:rFonts w:hint="cs"/>
          <w:b/>
          <w:bCs/>
          <w:sz w:val="28"/>
          <w:rtl/>
        </w:rPr>
        <w:t xml:space="preserve"> </w:t>
      </w:r>
      <w:r w:rsidR="005C664D" w:rsidRPr="00995B26">
        <w:rPr>
          <w:b/>
          <w:bCs/>
          <w:sz w:val="28"/>
          <w:rtl/>
        </w:rPr>
        <w:t>قيل له</w:t>
      </w:r>
      <w:r w:rsidR="00217AB4" w:rsidRPr="00995B26">
        <w:rPr>
          <w:rFonts w:hint="cs"/>
          <w:b/>
          <w:bCs/>
          <w:sz w:val="28"/>
          <w:rtl/>
        </w:rPr>
        <w:t>:</w:t>
      </w:r>
      <w:r w:rsidR="005C664D" w:rsidRPr="00995B26">
        <w:rPr>
          <w:b/>
          <w:bCs/>
          <w:sz w:val="28"/>
          <w:rtl/>
        </w:rPr>
        <w:t xml:space="preserve"> ليس الأمر على ما ظننت لما قدمناه من حجة العقل</w:t>
      </w:r>
      <w:r w:rsidR="00147857" w:rsidRPr="00995B26">
        <w:rPr>
          <w:b/>
          <w:bCs/>
          <w:sz w:val="28"/>
          <w:rtl/>
        </w:rPr>
        <w:t xml:space="preserve"> و</w:t>
      </w:r>
      <w:r w:rsidR="005C664D" w:rsidRPr="00995B26">
        <w:rPr>
          <w:b/>
          <w:bCs/>
          <w:sz w:val="28"/>
          <w:rtl/>
        </w:rPr>
        <w:t>القرآن</w:t>
      </w:r>
      <w:r w:rsidR="00147857" w:rsidRPr="00995B26">
        <w:rPr>
          <w:b/>
          <w:bCs/>
          <w:sz w:val="28"/>
          <w:rtl/>
        </w:rPr>
        <w:t xml:space="preserve"> و</w:t>
      </w:r>
      <w:r w:rsidR="005C664D" w:rsidRPr="00995B26">
        <w:rPr>
          <w:b/>
          <w:bCs/>
          <w:sz w:val="28"/>
          <w:rtl/>
        </w:rPr>
        <w:t>الاستثناء في هذا المكان ليس هو من الجملة لكنه استثناء منقطع ومعناه قل لا أسألكم عليه أجرا لكن ألزمكم المودة في القربى وأسألكموها فيكون قوله</w:t>
      </w:r>
      <w:r w:rsidR="00B06788" w:rsidRPr="00995B26">
        <w:rPr>
          <w:rFonts w:hint="cs"/>
          <w:b/>
          <w:bCs/>
          <w:sz w:val="28"/>
          <w:rtl/>
        </w:rPr>
        <w:t>:</w:t>
      </w:r>
      <w:r w:rsidR="005C664D" w:rsidRPr="00995B26">
        <w:rPr>
          <w:b/>
          <w:bCs/>
          <w:sz w:val="28"/>
          <w:rtl/>
        </w:rPr>
        <w:t xml:space="preserve"> </w:t>
      </w:r>
      <w:r w:rsidR="00B06788" w:rsidRPr="00995B26">
        <w:rPr>
          <w:rFonts w:cs="Traditional Arabic" w:hint="cs"/>
          <w:sz w:val="28"/>
          <w:rtl/>
        </w:rPr>
        <w:t>﴿</w:t>
      </w:r>
      <w:r w:rsidR="00B06788" w:rsidRPr="0067048A">
        <w:rPr>
          <w:rFonts w:ascii="KFGQPC Uthmanic Script HAFS" w:cs="KFGQPC Uthmanic Script HAFS" w:hint="eastAsia"/>
          <w:sz w:val="28"/>
          <w:szCs w:val="28"/>
          <w:rtl/>
        </w:rPr>
        <w:t>قُل</w:t>
      </w:r>
      <w:r w:rsidR="00B06788" w:rsidRPr="0067048A">
        <w:rPr>
          <w:rFonts w:ascii="KFGQPC Uthmanic Script HAFS" w:cs="KFGQPC Uthmanic Script HAFS"/>
          <w:sz w:val="28"/>
          <w:szCs w:val="28"/>
          <w:rtl/>
        </w:rPr>
        <w:t xml:space="preserve"> </w:t>
      </w:r>
      <w:r w:rsidR="00B06788" w:rsidRPr="0067048A">
        <w:rPr>
          <w:rFonts w:ascii="KFGQPC Uthmanic Script HAFS" w:cs="KFGQPC Uthmanic Script HAFS" w:hint="eastAsia"/>
          <w:sz w:val="28"/>
          <w:szCs w:val="28"/>
          <w:rtl/>
        </w:rPr>
        <w:t>لَّا</w:t>
      </w:r>
      <w:r w:rsidR="00B06788" w:rsidRPr="0067048A">
        <w:rPr>
          <w:rFonts w:ascii="KFGQPC Uthmanic Script HAFS" w:cs="KFGQPC Uthmanic Script HAFS" w:hint="cs"/>
          <w:sz w:val="28"/>
          <w:szCs w:val="28"/>
          <w:rtl/>
        </w:rPr>
        <w:t>ٓ</w:t>
      </w:r>
      <w:r w:rsidR="00B06788" w:rsidRPr="0067048A">
        <w:rPr>
          <w:rFonts w:ascii="KFGQPC Uthmanic Script HAFS" w:cs="KFGQPC Uthmanic Script HAFS"/>
          <w:sz w:val="28"/>
          <w:szCs w:val="28"/>
          <w:rtl/>
        </w:rPr>
        <w:t xml:space="preserve"> </w:t>
      </w:r>
      <w:r w:rsidR="00B06788" w:rsidRPr="0067048A">
        <w:rPr>
          <w:rFonts w:ascii="KFGQPC Uthmanic Script HAFS" w:cs="KFGQPC Uthmanic Script HAFS" w:hint="eastAsia"/>
          <w:sz w:val="28"/>
          <w:szCs w:val="28"/>
          <w:rtl/>
        </w:rPr>
        <w:t>أَس</w:t>
      </w:r>
      <w:r w:rsidR="00B06788" w:rsidRPr="0067048A">
        <w:rPr>
          <w:rFonts w:ascii="KFGQPC Uthmanic Script HAFS" w:cs="KFGQPC Uthmanic Script HAFS" w:hint="cs"/>
          <w:sz w:val="28"/>
          <w:szCs w:val="28"/>
          <w:rtl/>
        </w:rPr>
        <w:t>ۡ</w:t>
      </w:r>
      <w:r w:rsidR="00B06788" w:rsidRPr="0067048A">
        <w:rPr>
          <w:rFonts w:ascii="KFGQPC Uthmanic Script HAFS" w:cs="KFGQPC Uthmanic Script HAFS" w:hint="eastAsia"/>
          <w:sz w:val="28"/>
          <w:szCs w:val="28"/>
          <w:rtl/>
        </w:rPr>
        <w:t>‍</w:t>
      </w:r>
      <w:r w:rsidR="00B06788" w:rsidRPr="0067048A">
        <w:rPr>
          <w:rFonts w:ascii="KFGQPC Uthmanic Script HAFS" w:cs="KFGQPC Uthmanic Script HAFS" w:hint="cs"/>
          <w:sz w:val="28"/>
          <w:szCs w:val="28"/>
          <w:rtl/>
        </w:rPr>
        <w:t>ٔ</w:t>
      </w:r>
      <w:r w:rsidR="00B06788" w:rsidRPr="0067048A">
        <w:rPr>
          <w:rFonts w:ascii="KFGQPC Uthmanic Script HAFS" w:cs="KFGQPC Uthmanic Script HAFS" w:hint="eastAsia"/>
          <w:sz w:val="28"/>
          <w:szCs w:val="28"/>
          <w:rtl/>
        </w:rPr>
        <w:t>َلُكُم</w:t>
      </w:r>
      <w:r w:rsidR="00B06788" w:rsidRPr="0067048A">
        <w:rPr>
          <w:rFonts w:ascii="KFGQPC Uthmanic Script HAFS" w:cs="KFGQPC Uthmanic Script HAFS" w:hint="cs"/>
          <w:sz w:val="28"/>
          <w:szCs w:val="28"/>
          <w:rtl/>
        </w:rPr>
        <w:t>ۡ</w:t>
      </w:r>
      <w:r w:rsidR="00B06788" w:rsidRPr="0067048A">
        <w:rPr>
          <w:rFonts w:ascii="KFGQPC Uthmanic Script HAFS" w:cs="KFGQPC Uthmanic Script HAFS"/>
          <w:sz w:val="28"/>
          <w:szCs w:val="28"/>
          <w:rtl/>
        </w:rPr>
        <w:t xml:space="preserve"> </w:t>
      </w:r>
      <w:r w:rsidR="00B06788" w:rsidRPr="0067048A">
        <w:rPr>
          <w:rFonts w:ascii="KFGQPC Uthmanic Script HAFS" w:cs="KFGQPC Uthmanic Script HAFS" w:hint="eastAsia"/>
          <w:sz w:val="28"/>
          <w:szCs w:val="28"/>
          <w:rtl/>
        </w:rPr>
        <w:t>عَلَي</w:t>
      </w:r>
      <w:r w:rsidR="00B06788" w:rsidRPr="0067048A">
        <w:rPr>
          <w:rFonts w:ascii="KFGQPC Uthmanic Script HAFS" w:cs="KFGQPC Uthmanic Script HAFS" w:hint="cs"/>
          <w:sz w:val="28"/>
          <w:szCs w:val="28"/>
          <w:rtl/>
        </w:rPr>
        <w:t>ۡ</w:t>
      </w:r>
      <w:r w:rsidR="00B06788" w:rsidRPr="0067048A">
        <w:rPr>
          <w:rFonts w:ascii="KFGQPC Uthmanic Script HAFS" w:cs="KFGQPC Uthmanic Script HAFS" w:hint="eastAsia"/>
          <w:sz w:val="28"/>
          <w:szCs w:val="28"/>
          <w:rtl/>
        </w:rPr>
        <w:t>هِ</w:t>
      </w:r>
      <w:r w:rsidR="00B06788" w:rsidRPr="0067048A">
        <w:rPr>
          <w:rFonts w:ascii="KFGQPC Uthmanic Script HAFS" w:cs="KFGQPC Uthmanic Script HAFS"/>
          <w:sz w:val="28"/>
          <w:szCs w:val="28"/>
          <w:rtl/>
        </w:rPr>
        <w:t xml:space="preserve"> </w:t>
      </w:r>
      <w:r w:rsidR="00B06788" w:rsidRPr="0067048A">
        <w:rPr>
          <w:rFonts w:ascii="KFGQPC Uthmanic Script HAFS" w:cs="KFGQPC Uthmanic Script HAFS" w:hint="eastAsia"/>
          <w:sz w:val="28"/>
          <w:szCs w:val="28"/>
          <w:rtl/>
        </w:rPr>
        <w:t>أَج</w:t>
      </w:r>
      <w:r w:rsidR="00B06788" w:rsidRPr="0067048A">
        <w:rPr>
          <w:rFonts w:ascii="KFGQPC Uthmanic Script HAFS" w:cs="KFGQPC Uthmanic Script HAFS" w:hint="cs"/>
          <w:sz w:val="28"/>
          <w:szCs w:val="28"/>
          <w:rtl/>
        </w:rPr>
        <w:t>ۡ</w:t>
      </w:r>
      <w:r w:rsidR="00B06788" w:rsidRPr="0067048A">
        <w:rPr>
          <w:rFonts w:ascii="KFGQPC Uthmanic Script HAFS" w:cs="KFGQPC Uthmanic Script HAFS" w:hint="eastAsia"/>
          <w:sz w:val="28"/>
          <w:szCs w:val="28"/>
          <w:rtl/>
        </w:rPr>
        <w:t>رًا</w:t>
      </w:r>
      <w:r w:rsidR="00B06788" w:rsidRPr="00995B26">
        <w:rPr>
          <w:rFonts w:cs="Traditional Arabic" w:hint="cs"/>
          <w:sz w:val="28"/>
          <w:rtl/>
        </w:rPr>
        <w:t>﴾</w:t>
      </w:r>
      <w:r w:rsidR="00B06788" w:rsidRPr="00995B26">
        <w:rPr>
          <w:rFonts w:hint="cs"/>
          <w:sz w:val="28"/>
          <w:rtl/>
        </w:rPr>
        <w:t xml:space="preserve"> </w:t>
      </w:r>
      <w:r w:rsidR="005C664D" w:rsidRPr="00995B26">
        <w:rPr>
          <w:b/>
          <w:bCs/>
          <w:sz w:val="28"/>
          <w:rtl/>
        </w:rPr>
        <w:t>كلاما</w:t>
      </w:r>
      <w:r w:rsidR="005C664D" w:rsidRPr="00995B26">
        <w:rPr>
          <w:rFonts w:hint="cs"/>
          <w:b/>
          <w:bCs/>
          <w:sz w:val="28"/>
          <w:rtl/>
        </w:rPr>
        <w:t>ً</w:t>
      </w:r>
      <w:r w:rsidR="005C664D" w:rsidRPr="00995B26">
        <w:rPr>
          <w:b/>
          <w:bCs/>
          <w:sz w:val="28"/>
          <w:rtl/>
        </w:rPr>
        <w:t xml:space="preserve"> تاما</w:t>
      </w:r>
      <w:r w:rsidR="005C664D" w:rsidRPr="00995B26">
        <w:rPr>
          <w:rFonts w:hint="cs"/>
          <w:b/>
          <w:bCs/>
          <w:sz w:val="28"/>
          <w:rtl/>
        </w:rPr>
        <w:t>ً</w:t>
      </w:r>
      <w:r w:rsidR="005C664D" w:rsidRPr="00995B26">
        <w:rPr>
          <w:b/>
          <w:bCs/>
          <w:sz w:val="28"/>
          <w:rtl/>
        </w:rPr>
        <w:t xml:space="preserve"> قد استوفى معناه</w:t>
      </w:r>
      <w:r w:rsidR="00217AB4" w:rsidRPr="00995B26">
        <w:rPr>
          <w:rFonts w:hint="cs"/>
          <w:b/>
          <w:bCs/>
          <w:sz w:val="28"/>
          <w:rtl/>
        </w:rPr>
        <w:t>،</w:t>
      </w:r>
      <w:r w:rsidR="005C664D" w:rsidRPr="00995B26">
        <w:rPr>
          <w:b/>
          <w:bCs/>
          <w:sz w:val="28"/>
          <w:rtl/>
        </w:rPr>
        <w:t xml:space="preserve"> ويكون قوله</w:t>
      </w:r>
      <w:r w:rsidR="00217AB4" w:rsidRPr="00995B26">
        <w:rPr>
          <w:rFonts w:hint="cs"/>
          <w:b/>
          <w:bCs/>
          <w:sz w:val="28"/>
          <w:rtl/>
        </w:rPr>
        <w:t>:</w:t>
      </w:r>
      <w:r w:rsidR="00B06788" w:rsidRPr="00995B26">
        <w:rPr>
          <w:rFonts w:hint="cs"/>
          <w:b/>
          <w:bCs/>
          <w:sz w:val="28"/>
          <w:rtl/>
        </w:rPr>
        <w:t xml:space="preserve"> </w:t>
      </w:r>
      <w:r w:rsidR="00B06788" w:rsidRPr="00995B26">
        <w:rPr>
          <w:rFonts w:cs="Traditional Arabic" w:hint="cs"/>
          <w:sz w:val="28"/>
          <w:rtl/>
        </w:rPr>
        <w:t>﴿</w:t>
      </w:r>
      <w:r w:rsidR="00B06788" w:rsidRPr="0067048A">
        <w:rPr>
          <w:rFonts w:ascii="KFGQPC Uthmanic Script HAFS" w:cs="KFGQPC Uthmanic Script HAFS" w:hint="eastAsia"/>
          <w:sz w:val="28"/>
          <w:szCs w:val="28"/>
          <w:rtl/>
        </w:rPr>
        <w:t>إِلَّا</w:t>
      </w:r>
      <w:r w:rsidR="00B06788" w:rsidRPr="0067048A">
        <w:rPr>
          <w:rFonts w:ascii="KFGQPC Uthmanic Script HAFS" w:cs="KFGQPC Uthmanic Script HAFS"/>
          <w:sz w:val="28"/>
          <w:szCs w:val="28"/>
          <w:rtl/>
        </w:rPr>
        <w:t xml:space="preserve"> </w:t>
      </w:r>
      <w:r w:rsidR="00B06788" w:rsidRPr="0067048A">
        <w:rPr>
          <w:rFonts w:ascii="KFGQPC Uthmanic Script HAFS" w:cs="KFGQPC Uthmanic Script HAFS" w:hint="cs"/>
          <w:sz w:val="28"/>
          <w:szCs w:val="28"/>
          <w:rtl/>
        </w:rPr>
        <w:t>ٱ</w:t>
      </w:r>
      <w:r w:rsidR="00B06788" w:rsidRPr="0067048A">
        <w:rPr>
          <w:rFonts w:ascii="KFGQPC Uthmanic Script HAFS" w:cs="KFGQPC Uthmanic Script HAFS" w:hint="eastAsia"/>
          <w:sz w:val="28"/>
          <w:szCs w:val="28"/>
          <w:rtl/>
        </w:rPr>
        <w:t>ل</w:t>
      </w:r>
      <w:r w:rsidR="00B06788" w:rsidRPr="0067048A">
        <w:rPr>
          <w:rFonts w:ascii="KFGQPC Uthmanic Script HAFS" w:cs="KFGQPC Uthmanic Script HAFS" w:hint="cs"/>
          <w:sz w:val="28"/>
          <w:szCs w:val="28"/>
          <w:rtl/>
        </w:rPr>
        <w:t>ۡ</w:t>
      </w:r>
      <w:r w:rsidR="00B06788" w:rsidRPr="0067048A">
        <w:rPr>
          <w:rFonts w:ascii="KFGQPC Uthmanic Script HAFS" w:cs="KFGQPC Uthmanic Script HAFS" w:hint="eastAsia"/>
          <w:sz w:val="28"/>
          <w:szCs w:val="28"/>
          <w:rtl/>
        </w:rPr>
        <w:t>مَوَدَّةَ</w:t>
      </w:r>
      <w:r w:rsidR="00B06788" w:rsidRPr="0067048A">
        <w:rPr>
          <w:rFonts w:ascii="KFGQPC Uthmanic Script HAFS" w:cs="KFGQPC Uthmanic Script HAFS"/>
          <w:sz w:val="28"/>
          <w:szCs w:val="28"/>
          <w:rtl/>
        </w:rPr>
        <w:t xml:space="preserve"> </w:t>
      </w:r>
      <w:r w:rsidR="00B06788" w:rsidRPr="0067048A">
        <w:rPr>
          <w:rFonts w:ascii="KFGQPC Uthmanic Script HAFS" w:cs="KFGQPC Uthmanic Script HAFS" w:hint="eastAsia"/>
          <w:sz w:val="28"/>
          <w:szCs w:val="28"/>
          <w:rtl/>
        </w:rPr>
        <w:t>فِي</w:t>
      </w:r>
      <w:r w:rsidR="00B06788" w:rsidRPr="0067048A">
        <w:rPr>
          <w:rFonts w:ascii="KFGQPC Uthmanic Script HAFS" w:cs="KFGQPC Uthmanic Script HAFS"/>
          <w:sz w:val="28"/>
          <w:szCs w:val="28"/>
          <w:rtl/>
        </w:rPr>
        <w:t xml:space="preserve"> </w:t>
      </w:r>
      <w:r w:rsidR="00B06788" w:rsidRPr="0067048A">
        <w:rPr>
          <w:rFonts w:ascii="KFGQPC Uthmanic Script HAFS" w:cs="KFGQPC Uthmanic Script HAFS" w:hint="cs"/>
          <w:sz w:val="28"/>
          <w:szCs w:val="28"/>
          <w:rtl/>
        </w:rPr>
        <w:t>ٱ</w:t>
      </w:r>
      <w:r w:rsidR="00B06788" w:rsidRPr="0067048A">
        <w:rPr>
          <w:rFonts w:ascii="KFGQPC Uthmanic Script HAFS" w:cs="KFGQPC Uthmanic Script HAFS" w:hint="eastAsia"/>
          <w:sz w:val="28"/>
          <w:szCs w:val="28"/>
          <w:rtl/>
        </w:rPr>
        <w:t>ل</w:t>
      </w:r>
      <w:r w:rsidR="00B06788" w:rsidRPr="0067048A">
        <w:rPr>
          <w:rFonts w:ascii="KFGQPC Uthmanic Script HAFS" w:cs="KFGQPC Uthmanic Script HAFS" w:hint="cs"/>
          <w:sz w:val="28"/>
          <w:szCs w:val="28"/>
          <w:rtl/>
        </w:rPr>
        <w:t>ۡ</w:t>
      </w:r>
      <w:r w:rsidR="00B06788" w:rsidRPr="0067048A">
        <w:rPr>
          <w:rFonts w:ascii="KFGQPC Uthmanic Script HAFS" w:cs="KFGQPC Uthmanic Script HAFS" w:hint="eastAsia"/>
          <w:sz w:val="28"/>
          <w:szCs w:val="28"/>
          <w:rtl/>
        </w:rPr>
        <w:t>قُر</w:t>
      </w:r>
      <w:r w:rsidR="00B06788" w:rsidRPr="0067048A">
        <w:rPr>
          <w:rFonts w:ascii="KFGQPC Uthmanic Script HAFS" w:cs="KFGQPC Uthmanic Script HAFS" w:hint="cs"/>
          <w:sz w:val="28"/>
          <w:szCs w:val="28"/>
          <w:rtl/>
        </w:rPr>
        <w:t>ۡ</w:t>
      </w:r>
      <w:r w:rsidR="00B06788" w:rsidRPr="0067048A">
        <w:rPr>
          <w:rFonts w:ascii="KFGQPC Uthmanic Script HAFS" w:cs="KFGQPC Uthmanic Script HAFS" w:hint="eastAsia"/>
          <w:sz w:val="28"/>
          <w:szCs w:val="28"/>
          <w:rtl/>
        </w:rPr>
        <w:t>بَى</w:t>
      </w:r>
      <w:r w:rsidR="00B06788" w:rsidRPr="0067048A">
        <w:rPr>
          <w:rFonts w:ascii="KFGQPC Uthmanic Script HAFS" w:cs="KFGQPC Uthmanic Script HAFS" w:hint="cs"/>
          <w:sz w:val="28"/>
          <w:szCs w:val="28"/>
          <w:rtl/>
        </w:rPr>
        <w:t>ٰ</w:t>
      </w:r>
      <w:r w:rsidR="00B06788" w:rsidRPr="00995B26">
        <w:rPr>
          <w:rFonts w:cs="Traditional Arabic" w:hint="cs"/>
          <w:sz w:val="28"/>
          <w:rtl/>
        </w:rPr>
        <w:t>﴾</w:t>
      </w:r>
      <w:r w:rsidR="005C664D" w:rsidRPr="00995B26">
        <w:rPr>
          <w:b/>
          <w:bCs/>
          <w:sz w:val="28"/>
          <w:rtl/>
        </w:rPr>
        <w:t xml:space="preserve"> كلاما</w:t>
      </w:r>
      <w:r w:rsidR="005C664D" w:rsidRPr="00995B26">
        <w:rPr>
          <w:rFonts w:hint="cs"/>
          <w:b/>
          <w:bCs/>
          <w:sz w:val="28"/>
          <w:rtl/>
        </w:rPr>
        <w:t>ً</w:t>
      </w:r>
      <w:r w:rsidR="005C664D" w:rsidRPr="00995B26">
        <w:rPr>
          <w:b/>
          <w:bCs/>
          <w:sz w:val="28"/>
          <w:rtl/>
        </w:rPr>
        <w:t xml:space="preserve"> مبتدأ</w:t>
      </w:r>
      <w:r w:rsidR="005C664D" w:rsidRPr="00995B26">
        <w:rPr>
          <w:rFonts w:hint="cs"/>
          <w:b/>
          <w:bCs/>
          <w:sz w:val="28"/>
          <w:rtl/>
        </w:rPr>
        <w:t>ً</w:t>
      </w:r>
      <w:r w:rsidR="005C664D" w:rsidRPr="00995B26">
        <w:rPr>
          <w:b/>
          <w:bCs/>
          <w:sz w:val="28"/>
          <w:rtl/>
        </w:rPr>
        <w:t xml:space="preserve"> فائدته لكن المودة في القربى سألتكموها</w:t>
      </w:r>
      <w:r w:rsidR="00217AB4" w:rsidRPr="00995B26">
        <w:rPr>
          <w:rFonts w:hint="cs"/>
          <w:b/>
          <w:bCs/>
          <w:sz w:val="28"/>
          <w:rtl/>
        </w:rPr>
        <w:t>،</w:t>
      </w:r>
      <w:r w:rsidR="005C664D" w:rsidRPr="00995B26">
        <w:rPr>
          <w:b/>
          <w:bCs/>
          <w:sz w:val="28"/>
          <w:rtl/>
        </w:rPr>
        <w:t xml:space="preserve"> وهذا كقوله</w:t>
      </w:r>
      <w:r w:rsidR="00217AB4" w:rsidRPr="00995B26">
        <w:rPr>
          <w:rFonts w:hint="cs"/>
          <w:b/>
          <w:bCs/>
          <w:sz w:val="28"/>
          <w:rtl/>
        </w:rPr>
        <w:t>:</w:t>
      </w:r>
      <w:r w:rsidR="00B06788" w:rsidRPr="00995B26">
        <w:rPr>
          <w:rFonts w:hint="cs"/>
          <w:b/>
          <w:bCs/>
          <w:sz w:val="28"/>
          <w:rtl/>
        </w:rPr>
        <w:t xml:space="preserve"> </w:t>
      </w:r>
      <w:r w:rsidR="00B06788" w:rsidRPr="00995B26">
        <w:rPr>
          <w:rFonts w:cs="Traditional Arabic" w:hint="cs"/>
          <w:sz w:val="28"/>
          <w:rtl/>
        </w:rPr>
        <w:t>﴿</w:t>
      </w:r>
      <w:r w:rsidR="00B06788" w:rsidRPr="0067048A">
        <w:rPr>
          <w:rFonts w:ascii="KFGQPC Uthmanic Script HAFS" w:cs="KFGQPC Uthmanic Script HAFS" w:hint="eastAsia"/>
          <w:sz w:val="28"/>
          <w:szCs w:val="28"/>
          <w:rtl/>
          <w:lang w:bidi="fa-IR"/>
        </w:rPr>
        <w:t>فَسَجَدَ</w:t>
      </w:r>
      <w:r w:rsidR="00B06788" w:rsidRPr="0067048A">
        <w:rPr>
          <w:rFonts w:ascii="KFGQPC Uthmanic Script HAFS" w:cs="KFGQPC Uthmanic Script HAFS"/>
          <w:sz w:val="28"/>
          <w:szCs w:val="28"/>
          <w:rtl/>
          <w:lang w:bidi="fa-IR"/>
        </w:rPr>
        <w:t xml:space="preserve"> </w:t>
      </w:r>
      <w:r w:rsidR="00B06788" w:rsidRPr="0067048A">
        <w:rPr>
          <w:rFonts w:ascii="KFGQPC Uthmanic Script HAFS" w:cs="KFGQPC Uthmanic Script HAFS" w:hint="cs"/>
          <w:sz w:val="28"/>
          <w:szCs w:val="28"/>
          <w:rtl/>
          <w:lang w:bidi="fa-IR"/>
        </w:rPr>
        <w:t>ٱ</w:t>
      </w:r>
      <w:r w:rsidR="00B06788" w:rsidRPr="0067048A">
        <w:rPr>
          <w:rFonts w:ascii="KFGQPC Uthmanic Script HAFS" w:cs="KFGQPC Uthmanic Script HAFS" w:hint="eastAsia"/>
          <w:sz w:val="28"/>
          <w:szCs w:val="28"/>
          <w:rtl/>
          <w:lang w:bidi="fa-IR"/>
        </w:rPr>
        <w:t>ل</w:t>
      </w:r>
      <w:r w:rsidR="00B06788" w:rsidRPr="0067048A">
        <w:rPr>
          <w:rFonts w:ascii="KFGQPC Uthmanic Script HAFS" w:cs="KFGQPC Uthmanic Script HAFS" w:hint="cs"/>
          <w:sz w:val="28"/>
          <w:szCs w:val="28"/>
          <w:rtl/>
          <w:lang w:bidi="fa-IR"/>
        </w:rPr>
        <w:t>ۡ</w:t>
      </w:r>
      <w:r w:rsidR="00B06788" w:rsidRPr="0067048A">
        <w:rPr>
          <w:rFonts w:ascii="KFGQPC Uthmanic Script HAFS" w:cs="KFGQPC Uthmanic Script HAFS" w:hint="eastAsia"/>
          <w:sz w:val="28"/>
          <w:szCs w:val="28"/>
          <w:rtl/>
          <w:lang w:bidi="fa-IR"/>
        </w:rPr>
        <w:t>مَلَ</w:t>
      </w:r>
      <w:r w:rsidR="00B06788" w:rsidRPr="0067048A">
        <w:rPr>
          <w:rFonts w:ascii="KFGQPC Uthmanic Script HAFS" w:cs="KFGQPC Uthmanic Script HAFS" w:hint="cs"/>
          <w:sz w:val="28"/>
          <w:szCs w:val="28"/>
          <w:rtl/>
          <w:lang w:bidi="fa-IR"/>
        </w:rPr>
        <w:t>ٰٓ</w:t>
      </w:r>
      <w:r w:rsidR="00B06788" w:rsidRPr="0067048A">
        <w:rPr>
          <w:rFonts w:ascii="KFGQPC Uthmanic Script HAFS" w:cs="KFGQPC Uthmanic Script HAFS" w:hint="eastAsia"/>
          <w:sz w:val="28"/>
          <w:szCs w:val="28"/>
          <w:rtl/>
          <w:lang w:bidi="fa-IR"/>
        </w:rPr>
        <w:t>ئِكَةُ</w:t>
      </w:r>
      <w:r w:rsidR="00B06788" w:rsidRPr="0067048A">
        <w:rPr>
          <w:rFonts w:ascii="KFGQPC Uthmanic Script HAFS" w:cs="KFGQPC Uthmanic Script HAFS"/>
          <w:sz w:val="28"/>
          <w:szCs w:val="28"/>
          <w:rtl/>
          <w:lang w:bidi="fa-IR"/>
        </w:rPr>
        <w:t xml:space="preserve"> </w:t>
      </w:r>
      <w:r w:rsidR="00B06788" w:rsidRPr="0067048A">
        <w:rPr>
          <w:rFonts w:ascii="KFGQPC Uthmanic Script HAFS" w:cs="KFGQPC Uthmanic Script HAFS" w:hint="eastAsia"/>
          <w:sz w:val="28"/>
          <w:szCs w:val="28"/>
          <w:rtl/>
          <w:lang w:bidi="fa-IR"/>
        </w:rPr>
        <w:t>كُلُّهُم</w:t>
      </w:r>
      <w:r w:rsidR="00B06788" w:rsidRPr="0067048A">
        <w:rPr>
          <w:rFonts w:ascii="KFGQPC Uthmanic Script HAFS" w:cs="KFGQPC Uthmanic Script HAFS" w:hint="cs"/>
          <w:sz w:val="28"/>
          <w:szCs w:val="28"/>
          <w:rtl/>
          <w:lang w:bidi="fa-IR"/>
        </w:rPr>
        <w:t>ۡ</w:t>
      </w:r>
      <w:r w:rsidR="00B06788" w:rsidRPr="0067048A">
        <w:rPr>
          <w:rFonts w:ascii="KFGQPC Uthmanic Script HAFS" w:cs="KFGQPC Uthmanic Script HAFS"/>
          <w:sz w:val="28"/>
          <w:szCs w:val="28"/>
          <w:rtl/>
          <w:lang w:bidi="fa-IR"/>
        </w:rPr>
        <w:t xml:space="preserve"> </w:t>
      </w:r>
      <w:r w:rsidR="00B06788" w:rsidRPr="0067048A">
        <w:rPr>
          <w:rFonts w:ascii="KFGQPC Uthmanic Script HAFS" w:cs="KFGQPC Uthmanic Script HAFS" w:hint="eastAsia"/>
          <w:sz w:val="28"/>
          <w:szCs w:val="28"/>
          <w:rtl/>
          <w:lang w:bidi="fa-IR"/>
        </w:rPr>
        <w:t>أَج</w:t>
      </w:r>
      <w:r w:rsidR="00B06788" w:rsidRPr="0067048A">
        <w:rPr>
          <w:rFonts w:ascii="KFGQPC Uthmanic Script HAFS" w:cs="KFGQPC Uthmanic Script HAFS" w:hint="cs"/>
          <w:sz w:val="28"/>
          <w:szCs w:val="28"/>
          <w:rtl/>
          <w:lang w:bidi="fa-IR"/>
        </w:rPr>
        <w:t>ۡ</w:t>
      </w:r>
      <w:r w:rsidR="00B06788" w:rsidRPr="0067048A">
        <w:rPr>
          <w:rFonts w:ascii="KFGQPC Uthmanic Script HAFS" w:cs="KFGQPC Uthmanic Script HAFS" w:hint="eastAsia"/>
          <w:sz w:val="28"/>
          <w:szCs w:val="28"/>
          <w:rtl/>
          <w:lang w:bidi="fa-IR"/>
        </w:rPr>
        <w:t>مَعُونَ</w:t>
      </w:r>
      <w:r w:rsidR="00B06788" w:rsidRPr="0067048A">
        <w:rPr>
          <w:rFonts w:ascii="KFGQPC Uthmanic Script HAFS" w:cs="KFGQPC Uthmanic Script HAFS"/>
          <w:sz w:val="28"/>
          <w:szCs w:val="28"/>
          <w:rtl/>
          <w:lang w:bidi="fa-IR"/>
        </w:rPr>
        <w:t xml:space="preserve"> </w:t>
      </w:r>
      <w:r w:rsidR="00B06788" w:rsidRPr="0067048A">
        <w:rPr>
          <w:rFonts w:ascii="KFGQPC Uthmanic Script HAFS" w:cs="KFGQPC Uthmanic Script HAFS" w:hint="cs"/>
          <w:sz w:val="28"/>
          <w:szCs w:val="28"/>
          <w:rtl/>
          <w:lang w:bidi="fa-IR"/>
        </w:rPr>
        <w:t>٧٣</w:t>
      </w:r>
      <w:r w:rsidR="00B06788" w:rsidRPr="0067048A">
        <w:rPr>
          <w:rFonts w:ascii="KFGQPC Uthmanic Script HAFS" w:cs="KFGQPC Uthmanic Script HAFS"/>
          <w:sz w:val="28"/>
          <w:szCs w:val="28"/>
          <w:rtl/>
          <w:lang w:bidi="fa-IR"/>
        </w:rPr>
        <w:t xml:space="preserve"> </w:t>
      </w:r>
      <w:r w:rsidR="00B06788" w:rsidRPr="0067048A">
        <w:rPr>
          <w:rFonts w:ascii="KFGQPC Uthmanic Script HAFS" w:cs="KFGQPC Uthmanic Script HAFS" w:hint="eastAsia"/>
          <w:sz w:val="28"/>
          <w:szCs w:val="28"/>
          <w:rtl/>
          <w:lang w:bidi="fa-IR"/>
        </w:rPr>
        <w:t>إِلَّا</w:t>
      </w:r>
      <w:r w:rsidR="00B06788" w:rsidRPr="0067048A">
        <w:rPr>
          <w:rFonts w:ascii="KFGQPC Uthmanic Script HAFS" w:cs="KFGQPC Uthmanic Script HAFS" w:hint="cs"/>
          <w:sz w:val="28"/>
          <w:szCs w:val="28"/>
          <w:rtl/>
          <w:lang w:bidi="fa-IR"/>
        </w:rPr>
        <w:t>ٓ</w:t>
      </w:r>
      <w:r w:rsidR="00B06788" w:rsidRPr="0067048A">
        <w:rPr>
          <w:rFonts w:ascii="KFGQPC Uthmanic Script HAFS" w:cs="KFGQPC Uthmanic Script HAFS"/>
          <w:sz w:val="28"/>
          <w:szCs w:val="28"/>
          <w:rtl/>
          <w:lang w:bidi="fa-IR"/>
        </w:rPr>
        <w:t xml:space="preserve"> </w:t>
      </w:r>
      <w:r w:rsidR="00B06788" w:rsidRPr="0067048A">
        <w:rPr>
          <w:rFonts w:ascii="KFGQPC Uthmanic Script HAFS" w:cs="KFGQPC Uthmanic Script HAFS" w:hint="eastAsia"/>
          <w:sz w:val="28"/>
          <w:szCs w:val="28"/>
          <w:rtl/>
          <w:lang w:bidi="fa-IR"/>
        </w:rPr>
        <w:t>إِب</w:t>
      </w:r>
      <w:r w:rsidR="00B06788" w:rsidRPr="0067048A">
        <w:rPr>
          <w:rFonts w:ascii="KFGQPC Uthmanic Script HAFS" w:cs="KFGQPC Uthmanic Script HAFS" w:hint="cs"/>
          <w:sz w:val="28"/>
          <w:szCs w:val="28"/>
          <w:rtl/>
          <w:lang w:bidi="fa-IR"/>
        </w:rPr>
        <w:t>ۡ</w:t>
      </w:r>
      <w:r w:rsidR="00B06788" w:rsidRPr="0067048A">
        <w:rPr>
          <w:rFonts w:ascii="KFGQPC Uthmanic Script HAFS" w:cs="KFGQPC Uthmanic Script HAFS" w:hint="eastAsia"/>
          <w:sz w:val="28"/>
          <w:szCs w:val="28"/>
          <w:rtl/>
          <w:lang w:bidi="fa-IR"/>
        </w:rPr>
        <w:t>لِيسَ</w:t>
      </w:r>
      <w:r w:rsidR="00B06788" w:rsidRPr="00995B26">
        <w:rPr>
          <w:rFonts w:cs="Traditional Arabic" w:hint="cs"/>
          <w:sz w:val="28"/>
          <w:rtl/>
        </w:rPr>
        <w:t>﴾</w:t>
      </w:r>
      <w:r w:rsidR="005C664D" w:rsidRPr="00995B26">
        <w:rPr>
          <w:b/>
          <w:bCs/>
          <w:sz w:val="28"/>
          <w:rtl/>
        </w:rPr>
        <w:t xml:space="preserve"> </w:t>
      </w:r>
      <w:r w:rsidR="005C664D" w:rsidRPr="003108CB">
        <w:rPr>
          <w:rStyle w:val="Char2"/>
          <w:rtl/>
        </w:rPr>
        <w:t>[ص</w:t>
      </w:r>
      <w:r w:rsidR="00B06788" w:rsidRPr="003108CB">
        <w:rPr>
          <w:rStyle w:val="Char2"/>
          <w:rFonts w:hint="cs"/>
          <w:rtl/>
        </w:rPr>
        <w:t xml:space="preserve">: </w:t>
      </w:r>
      <w:r w:rsidR="005C664D" w:rsidRPr="003108CB">
        <w:rPr>
          <w:rStyle w:val="Char2"/>
          <w:rtl/>
        </w:rPr>
        <w:t>73</w:t>
      </w:r>
      <w:r w:rsidR="00217AB4" w:rsidRPr="003108CB">
        <w:rPr>
          <w:rStyle w:val="Char2"/>
          <w:rFonts w:hint="cs"/>
          <w:rtl/>
        </w:rPr>
        <w:t>-</w:t>
      </w:r>
      <w:r w:rsidR="005C664D" w:rsidRPr="003108CB">
        <w:rPr>
          <w:rStyle w:val="Char2"/>
          <w:rtl/>
        </w:rPr>
        <w:t>74]</w:t>
      </w:r>
      <w:r w:rsidR="00147857" w:rsidRPr="00995B26">
        <w:rPr>
          <w:rFonts w:hint="cs"/>
          <w:b/>
          <w:bCs/>
          <w:sz w:val="26"/>
          <w:szCs w:val="26"/>
          <w:rtl/>
        </w:rPr>
        <w:t xml:space="preserve"> </w:t>
      </w:r>
      <w:r w:rsidR="00147857" w:rsidRPr="00995B26">
        <w:rPr>
          <w:rFonts w:hint="cs"/>
          <w:b/>
          <w:bCs/>
          <w:sz w:val="28"/>
          <w:rtl/>
        </w:rPr>
        <w:t>و</w:t>
      </w:r>
      <w:r w:rsidR="005C664D" w:rsidRPr="00995B26">
        <w:rPr>
          <w:b/>
          <w:bCs/>
          <w:sz w:val="28"/>
          <w:rtl/>
        </w:rPr>
        <w:t>المعنى فيه</w:t>
      </w:r>
      <w:r w:rsidR="00217AB4" w:rsidRPr="00995B26">
        <w:rPr>
          <w:rFonts w:hint="cs"/>
          <w:b/>
          <w:bCs/>
          <w:sz w:val="28"/>
          <w:rtl/>
        </w:rPr>
        <w:t>:</w:t>
      </w:r>
      <w:r w:rsidR="005C664D" w:rsidRPr="00995B26">
        <w:rPr>
          <w:b/>
          <w:bCs/>
          <w:sz w:val="28"/>
          <w:rtl/>
        </w:rPr>
        <w:t xml:space="preserve"> لكن إبليس</w:t>
      </w:r>
      <w:r w:rsidR="00147857" w:rsidRPr="00995B26">
        <w:rPr>
          <w:b/>
          <w:bCs/>
          <w:sz w:val="28"/>
          <w:rtl/>
        </w:rPr>
        <w:t xml:space="preserve"> و</w:t>
      </w:r>
      <w:r w:rsidR="005C664D" w:rsidRPr="00995B26">
        <w:rPr>
          <w:b/>
          <w:bCs/>
          <w:sz w:val="28"/>
          <w:rtl/>
        </w:rPr>
        <w:t>ليس باستثناء من جملة</w:t>
      </w:r>
      <w:r w:rsidR="00217AB4" w:rsidRPr="00995B26">
        <w:rPr>
          <w:rFonts w:hint="cs"/>
          <w:b/>
          <w:bCs/>
          <w:sz w:val="28"/>
          <w:rtl/>
        </w:rPr>
        <w:t>،</w:t>
      </w:r>
      <w:r w:rsidR="00147857" w:rsidRPr="00995B26">
        <w:rPr>
          <w:b/>
          <w:bCs/>
          <w:sz w:val="28"/>
          <w:rtl/>
        </w:rPr>
        <w:t xml:space="preserve"> و</w:t>
      </w:r>
      <w:r w:rsidR="005C664D" w:rsidRPr="00995B26">
        <w:rPr>
          <w:b/>
          <w:bCs/>
          <w:sz w:val="28"/>
          <w:rtl/>
        </w:rPr>
        <w:t>كقوله</w:t>
      </w:r>
      <w:r w:rsidR="00B06788" w:rsidRPr="00995B26">
        <w:rPr>
          <w:rFonts w:hint="cs"/>
          <w:b/>
          <w:bCs/>
          <w:sz w:val="28"/>
          <w:rtl/>
        </w:rPr>
        <w:t xml:space="preserve">: </w:t>
      </w:r>
      <w:r w:rsidR="00B06788" w:rsidRPr="00995B26">
        <w:rPr>
          <w:rFonts w:cs="Traditional Arabic" w:hint="cs"/>
          <w:sz w:val="28"/>
          <w:rtl/>
        </w:rPr>
        <w:t>﴿</w:t>
      </w:r>
      <w:r w:rsidR="00B06788" w:rsidRPr="0067048A">
        <w:rPr>
          <w:rFonts w:ascii="KFGQPC Uthmanic Script HAFS" w:cs="KFGQPC Uthmanic Script HAFS" w:hint="eastAsia"/>
          <w:sz w:val="28"/>
          <w:szCs w:val="28"/>
          <w:rtl/>
        </w:rPr>
        <w:t>فَإِنَّهُم</w:t>
      </w:r>
      <w:r w:rsidR="00B06788" w:rsidRPr="0067048A">
        <w:rPr>
          <w:rFonts w:ascii="KFGQPC Uthmanic Script HAFS" w:cs="KFGQPC Uthmanic Script HAFS" w:hint="cs"/>
          <w:sz w:val="28"/>
          <w:szCs w:val="28"/>
          <w:rtl/>
        </w:rPr>
        <w:t>ۡ</w:t>
      </w:r>
      <w:r w:rsidR="00B06788" w:rsidRPr="0067048A">
        <w:rPr>
          <w:rFonts w:ascii="KFGQPC Uthmanic Script HAFS" w:cs="KFGQPC Uthmanic Script HAFS"/>
          <w:sz w:val="28"/>
          <w:szCs w:val="28"/>
          <w:rtl/>
        </w:rPr>
        <w:t xml:space="preserve"> </w:t>
      </w:r>
      <w:r w:rsidR="00B06788" w:rsidRPr="0067048A">
        <w:rPr>
          <w:rFonts w:ascii="KFGQPC Uthmanic Script HAFS" w:cs="KFGQPC Uthmanic Script HAFS" w:hint="eastAsia"/>
          <w:sz w:val="28"/>
          <w:szCs w:val="28"/>
          <w:rtl/>
        </w:rPr>
        <w:t>عَدُوّ</w:t>
      </w:r>
      <w:r w:rsidR="00B06788" w:rsidRPr="0067048A">
        <w:rPr>
          <w:rFonts w:ascii="KFGQPC Uthmanic Script HAFS" w:cs="KFGQPC Uthmanic Script HAFS" w:hint="cs"/>
          <w:sz w:val="28"/>
          <w:szCs w:val="28"/>
          <w:rtl/>
        </w:rPr>
        <w:t>ٞ</w:t>
      </w:r>
      <w:r w:rsidR="00B06788" w:rsidRPr="0067048A">
        <w:rPr>
          <w:rFonts w:ascii="KFGQPC Uthmanic Script HAFS" w:cs="KFGQPC Uthmanic Script HAFS"/>
          <w:sz w:val="28"/>
          <w:szCs w:val="28"/>
          <w:rtl/>
        </w:rPr>
        <w:t xml:space="preserve"> </w:t>
      </w:r>
      <w:r w:rsidR="00B06788" w:rsidRPr="0067048A">
        <w:rPr>
          <w:rFonts w:ascii="KFGQPC Uthmanic Script HAFS" w:cs="KFGQPC Uthmanic Script HAFS" w:hint="eastAsia"/>
          <w:sz w:val="28"/>
          <w:szCs w:val="28"/>
          <w:rtl/>
        </w:rPr>
        <w:t>لِّي</w:t>
      </w:r>
      <w:r w:rsidR="00B06788" w:rsidRPr="0067048A">
        <w:rPr>
          <w:rFonts w:ascii="KFGQPC Uthmanic Script HAFS" w:cs="KFGQPC Uthmanic Script HAFS" w:hint="cs"/>
          <w:sz w:val="28"/>
          <w:szCs w:val="28"/>
          <w:rtl/>
        </w:rPr>
        <w:t>ٓ</w:t>
      </w:r>
      <w:r w:rsidR="00B06788" w:rsidRPr="0067048A">
        <w:rPr>
          <w:rFonts w:ascii="KFGQPC Uthmanic Script HAFS" w:cs="KFGQPC Uthmanic Script HAFS"/>
          <w:sz w:val="28"/>
          <w:szCs w:val="28"/>
          <w:rtl/>
        </w:rPr>
        <w:t xml:space="preserve"> </w:t>
      </w:r>
      <w:r w:rsidR="00B06788" w:rsidRPr="0067048A">
        <w:rPr>
          <w:rFonts w:ascii="KFGQPC Uthmanic Script HAFS" w:cs="KFGQPC Uthmanic Script HAFS" w:hint="eastAsia"/>
          <w:sz w:val="28"/>
          <w:szCs w:val="28"/>
          <w:rtl/>
        </w:rPr>
        <w:t>إِلَّا</w:t>
      </w:r>
      <w:r w:rsidR="00B06788" w:rsidRPr="0067048A">
        <w:rPr>
          <w:rFonts w:ascii="KFGQPC Uthmanic Script HAFS" w:cs="KFGQPC Uthmanic Script HAFS"/>
          <w:sz w:val="28"/>
          <w:szCs w:val="28"/>
          <w:rtl/>
        </w:rPr>
        <w:t xml:space="preserve"> </w:t>
      </w:r>
      <w:r w:rsidR="00B06788" w:rsidRPr="0067048A">
        <w:rPr>
          <w:rFonts w:ascii="KFGQPC Uthmanic Script HAFS" w:cs="KFGQPC Uthmanic Script HAFS" w:hint="eastAsia"/>
          <w:sz w:val="28"/>
          <w:szCs w:val="28"/>
          <w:rtl/>
        </w:rPr>
        <w:t>رَبَّ</w:t>
      </w:r>
      <w:r w:rsidR="00B06788" w:rsidRPr="0067048A">
        <w:rPr>
          <w:rFonts w:ascii="KFGQPC Uthmanic Script HAFS" w:cs="KFGQPC Uthmanic Script HAFS"/>
          <w:sz w:val="28"/>
          <w:szCs w:val="28"/>
          <w:rtl/>
        </w:rPr>
        <w:t xml:space="preserve"> </w:t>
      </w:r>
      <w:r w:rsidR="00B06788" w:rsidRPr="0067048A">
        <w:rPr>
          <w:rFonts w:ascii="KFGQPC Uthmanic Script HAFS" w:cs="KFGQPC Uthmanic Script HAFS" w:hint="cs"/>
          <w:sz w:val="28"/>
          <w:szCs w:val="28"/>
          <w:rtl/>
        </w:rPr>
        <w:t>ٱ</w:t>
      </w:r>
      <w:r w:rsidR="00B06788" w:rsidRPr="0067048A">
        <w:rPr>
          <w:rFonts w:ascii="KFGQPC Uthmanic Script HAFS" w:cs="KFGQPC Uthmanic Script HAFS" w:hint="eastAsia"/>
          <w:sz w:val="28"/>
          <w:szCs w:val="28"/>
          <w:rtl/>
        </w:rPr>
        <w:t>ل</w:t>
      </w:r>
      <w:r w:rsidR="00B06788" w:rsidRPr="0067048A">
        <w:rPr>
          <w:rFonts w:ascii="KFGQPC Uthmanic Script HAFS" w:cs="KFGQPC Uthmanic Script HAFS" w:hint="cs"/>
          <w:sz w:val="28"/>
          <w:szCs w:val="28"/>
          <w:rtl/>
        </w:rPr>
        <w:t>ۡ</w:t>
      </w:r>
      <w:r w:rsidR="00B06788" w:rsidRPr="0067048A">
        <w:rPr>
          <w:rFonts w:ascii="KFGQPC Uthmanic Script HAFS" w:cs="KFGQPC Uthmanic Script HAFS" w:hint="eastAsia"/>
          <w:sz w:val="28"/>
          <w:szCs w:val="28"/>
          <w:rtl/>
        </w:rPr>
        <w:t>عَ</w:t>
      </w:r>
      <w:r w:rsidR="00B06788" w:rsidRPr="0067048A">
        <w:rPr>
          <w:rFonts w:ascii="KFGQPC Uthmanic Script HAFS" w:cs="KFGQPC Uthmanic Script HAFS" w:hint="cs"/>
          <w:sz w:val="28"/>
          <w:szCs w:val="28"/>
          <w:rtl/>
        </w:rPr>
        <w:t>ٰ</w:t>
      </w:r>
      <w:r w:rsidR="00B06788" w:rsidRPr="0067048A">
        <w:rPr>
          <w:rFonts w:ascii="KFGQPC Uthmanic Script HAFS" w:cs="KFGQPC Uthmanic Script HAFS" w:hint="eastAsia"/>
          <w:sz w:val="28"/>
          <w:szCs w:val="28"/>
          <w:rtl/>
        </w:rPr>
        <w:t>لَمِينَ</w:t>
      </w:r>
      <w:r w:rsidR="00B06788" w:rsidRPr="00995B26">
        <w:rPr>
          <w:rFonts w:cs="Traditional Arabic" w:hint="cs"/>
          <w:sz w:val="28"/>
          <w:rtl/>
        </w:rPr>
        <w:t>﴾</w:t>
      </w:r>
      <w:r w:rsidR="005C664D" w:rsidRPr="00995B26">
        <w:rPr>
          <w:b/>
          <w:bCs/>
          <w:sz w:val="28"/>
          <w:rtl/>
        </w:rPr>
        <w:t xml:space="preserve"> </w:t>
      </w:r>
      <w:r w:rsidR="005C664D" w:rsidRPr="003108CB">
        <w:rPr>
          <w:rStyle w:val="Char2"/>
          <w:rtl/>
        </w:rPr>
        <w:t>[الشعراء</w:t>
      </w:r>
      <w:r w:rsidR="00B06788" w:rsidRPr="003108CB">
        <w:rPr>
          <w:rStyle w:val="Char2"/>
          <w:rFonts w:hint="cs"/>
          <w:rtl/>
        </w:rPr>
        <w:t xml:space="preserve">: </w:t>
      </w:r>
      <w:r w:rsidR="005C664D" w:rsidRPr="003108CB">
        <w:rPr>
          <w:rStyle w:val="Char2"/>
          <w:rtl/>
        </w:rPr>
        <w:t>77]</w:t>
      </w:r>
      <w:r w:rsidR="00217AB4" w:rsidRPr="00995B26">
        <w:rPr>
          <w:rFonts w:hint="cs"/>
          <w:sz w:val="26"/>
          <w:szCs w:val="26"/>
          <w:rtl/>
        </w:rPr>
        <w:t>،</w:t>
      </w:r>
      <w:r w:rsidR="005C664D" w:rsidRPr="00995B26">
        <w:rPr>
          <w:rFonts w:hint="cs"/>
          <w:b/>
          <w:bCs/>
          <w:sz w:val="26"/>
          <w:szCs w:val="26"/>
          <w:rtl/>
        </w:rPr>
        <w:t xml:space="preserve"> </w:t>
      </w:r>
      <w:r w:rsidR="005C664D" w:rsidRPr="00995B26">
        <w:rPr>
          <w:b/>
          <w:bCs/>
          <w:sz w:val="28"/>
          <w:rtl/>
        </w:rPr>
        <w:t>معناه لكن رب العالمين ليس بعدو لي قال الشاعر</w:t>
      </w:r>
    </w:p>
    <w:p w:rsidR="005C664D" w:rsidRPr="003F3B94" w:rsidRDefault="00147857" w:rsidP="000E2C23">
      <w:pPr>
        <w:widowControl w:val="0"/>
        <w:jc w:val="center"/>
        <w:rPr>
          <w:rFonts w:ascii="mylotus" w:hAnsi="mylotus" w:cs="mylotus"/>
          <w:b/>
          <w:bCs/>
          <w:sz w:val="28"/>
          <w:rtl/>
        </w:rPr>
      </w:pPr>
      <w:r w:rsidRPr="003F3B94">
        <w:rPr>
          <w:rFonts w:ascii="mylotus" w:hAnsi="mylotus" w:cs="mylotus"/>
          <w:b/>
          <w:bCs/>
          <w:sz w:val="28"/>
          <w:rtl/>
        </w:rPr>
        <w:t>و</w:t>
      </w:r>
      <w:r w:rsidR="005C664D" w:rsidRPr="003F3B94">
        <w:rPr>
          <w:rFonts w:ascii="mylotus" w:hAnsi="mylotus" w:cs="mylotus"/>
          <w:b/>
          <w:bCs/>
          <w:sz w:val="28"/>
          <w:rtl/>
        </w:rPr>
        <w:t>بلدة ليس بها أنيس</w:t>
      </w:r>
      <w:r w:rsidRPr="003F3B94">
        <w:rPr>
          <w:rFonts w:ascii="mylotus" w:hAnsi="mylotus" w:cs="mylotus"/>
          <w:b/>
          <w:bCs/>
          <w:sz w:val="28"/>
          <w:rtl/>
        </w:rPr>
        <w:t xml:space="preserve"> </w:t>
      </w:r>
      <w:r w:rsidR="009E3C80" w:rsidRPr="003F3B94">
        <w:rPr>
          <w:rFonts w:ascii="mylotus" w:hAnsi="mylotus" w:cs="mylotus"/>
          <w:b/>
          <w:bCs/>
          <w:sz w:val="28"/>
          <w:rtl/>
        </w:rPr>
        <w:tab/>
      </w:r>
      <w:r w:rsidR="005C664D" w:rsidRPr="003F3B94">
        <w:rPr>
          <w:rFonts w:ascii="mylotus" w:hAnsi="mylotus" w:cs="mylotus"/>
          <w:b/>
          <w:bCs/>
          <w:sz w:val="28"/>
          <w:rtl/>
        </w:rPr>
        <w:t>إلا اليعافير</w:t>
      </w:r>
      <w:r w:rsidRPr="003F3B94">
        <w:rPr>
          <w:rFonts w:ascii="mylotus" w:hAnsi="mylotus" w:cs="mylotus"/>
          <w:b/>
          <w:bCs/>
          <w:sz w:val="28"/>
          <w:rtl/>
        </w:rPr>
        <w:t xml:space="preserve"> و</w:t>
      </w:r>
      <w:r w:rsidR="005C664D" w:rsidRPr="003F3B94">
        <w:rPr>
          <w:rFonts w:ascii="mylotus" w:hAnsi="mylotus" w:cs="mylotus"/>
          <w:b/>
          <w:bCs/>
          <w:sz w:val="28"/>
          <w:rtl/>
        </w:rPr>
        <w:t>إلا العيس‏</w:t>
      </w:r>
    </w:p>
    <w:p w:rsidR="005C664D" w:rsidRPr="003F3B94" w:rsidRDefault="005C664D" w:rsidP="003F3B94">
      <w:pPr>
        <w:pStyle w:val="a0"/>
        <w:rPr>
          <w:rFonts w:hint="cs"/>
          <w:rtl/>
        </w:rPr>
      </w:pPr>
      <w:r w:rsidRPr="003F3B94">
        <w:rPr>
          <w:b/>
          <w:bCs/>
          <w:sz w:val="28"/>
          <w:rtl/>
        </w:rPr>
        <w:t>وكان المعنى في قوله</w:t>
      </w:r>
      <w:r w:rsidR="00147857" w:rsidRPr="003F3B94">
        <w:rPr>
          <w:b/>
          <w:bCs/>
          <w:sz w:val="28"/>
          <w:rtl/>
        </w:rPr>
        <w:t xml:space="preserve"> و</w:t>
      </w:r>
      <w:r w:rsidRPr="003F3B94">
        <w:rPr>
          <w:b/>
          <w:bCs/>
          <w:sz w:val="28"/>
          <w:rtl/>
        </w:rPr>
        <w:t>بلدة ليس بها أنيس على تمام الكلام واستيفاء معناه وقوله إلا اليعافير كلام مبتدأ معناه لكن اليعافير والعيس فيها</w:t>
      </w:r>
      <w:r w:rsidR="00147857" w:rsidRPr="003F3B94">
        <w:rPr>
          <w:b/>
          <w:bCs/>
          <w:sz w:val="28"/>
          <w:rtl/>
        </w:rPr>
        <w:t xml:space="preserve"> و</w:t>
      </w:r>
      <w:r w:rsidRPr="003F3B94">
        <w:rPr>
          <w:b/>
          <w:bCs/>
          <w:sz w:val="28"/>
          <w:rtl/>
        </w:rPr>
        <w:t>هذا بين لا يخفى الكلام فيه على أحد ممن عرف طرفا</w:t>
      </w:r>
      <w:r w:rsidRPr="003F3B94">
        <w:rPr>
          <w:rFonts w:hint="cs"/>
          <w:b/>
          <w:bCs/>
          <w:sz w:val="28"/>
          <w:rtl/>
        </w:rPr>
        <w:t>ً</w:t>
      </w:r>
      <w:r w:rsidRPr="003F3B94">
        <w:rPr>
          <w:b/>
          <w:bCs/>
          <w:sz w:val="28"/>
          <w:rtl/>
        </w:rPr>
        <w:t xml:space="preserve"> من اللسان والأمر فيه عند أهل اللغة أشهر من أن يحتاج معه إلى استشهاد</w:t>
      </w:r>
      <w:r w:rsidR="00EF2588" w:rsidRPr="003F3B94">
        <w:rPr>
          <w:rFonts w:hint="cs"/>
          <w:sz w:val="28"/>
          <w:rtl/>
        </w:rPr>
        <w:t>»</w:t>
      </w:r>
      <w:r w:rsidR="0029451B" w:rsidRPr="0021507A">
        <w:rPr>
          <w:rFonts w:cs="Arabic11 BT"/>
          <w:sz w:val="28"/>
          <w:vertAlign w:val="superscript"/>
          <w:rtl/>
        </w:rPr>
        <w:t>(</w:t>
      </w:r>
      <w:r w:rsidR="0029451B" w:rsidRPr="0021507A">
        <w:rPr>
          <w:rStyle w:val="FootnoteReference"/>
          <w:rFonts w:cs="Arabic11 BT"/>
          <w:sz w:val="28"/>
          <w:rtl/>
        </w:rPr>
        <w:footnoteReference w:id="216"/>
      </w:r>
      <w:r w:rsidR="0029451B" w:rsidRPr="0021507A">
        <w:rPr>
          <w:rFonts w:cs="Arabic11 BT"/>
          <w:sz w:val="28"/>
          <w:vertAlign w:val="superscript"/>
          <w:rtl/>
        </w:rPr>
        <w:t>)</w:t>
      </w:r>
      <w:r w:rsidR="00217AB4" w:rsidRPr="003F3B94">
        <w:rPr>
          <w:rFonts w:hint="cs"/>
          <w:sz w:val="28"/>
          <w:rtl/>
        </w:rPr>
        <w:t>.</w:t>
      </w:r>
    </w:p>
    <w:p w:rsidR="005C664D" w:rsidRPr="003F3B94" w:rsidRDefault="005C664D" w:rsidP="003F3B94">
      <w:pPr>
        <w:pStyle w:val="a0"/>
        <w:rPr>
          <w:rFonts w:hint="cs"/>
          <w:rtl/>
        </w:rPr>
      </w:pPr>
      <w:r w:rsidRPr="003F3B94">
        <w:rPr>
          <w:rFonts w:hint="cs"/>
          <w:sz w:val="28"/>
          <w:rtl/>
        </w:rPr>
        <w:t>2</w:t>
      </w:r>
      <w:r w:rsidR="00217AB4" w:rsidRPr="003F3B94">
        <w:rPr>
          <w:rFonts w:hint="cs"/>
          <w:sz w:val="28"/>
          <w:rtl/>
        </w:rPr>
        <w:t>-</w:t>
      </w:r>
      <w:r w:rsidR="00147857" w:rsidRPr="003F3B94">
        <w:rPr>
          <w:rFonts w:hint="cs"/>
          <w:sz w:val="28"/>
          <w:rtl/>
        </w:rPr>
        <w:t xml:space="preserve"> و</w:t>
      </w:r>
      <w:r w:rsidRPr="003F3B94">
        <w:rPr>
          <w:rFonts w:hint="cs"/>
          <w:sz w:val="28"/>
          <w:rtl/>
        </w:rPr>
        <w:t>قد ارتضى المرحوم الشيخ الطبرسي</w:t>
      </w:r>
      <w:r w:rsidR="00147857" w:rsidRPr="003F3B94">
        <w:rPr>
          <w:rFonts w:hint="cs"/>
          <w:sz w:val="28"/>
          <w:rtl/>
        </w:rPr>
        <w:t xml:space="preserve"> و</w:t>
      </w:r>
      <w:r w:rsidRPr="003F3B94">
        <w:rPr>
          <w:rFonts w:hint="cs"/>
          <w:sz w:val="28"/>
          <w:rtl/>
        </w:rPr>
        <w:t>سائر المفسرين هذا التفسير وذكروه وقالوا به</w:t>
      </w:r>
      <w:r w:rsidR="00217AB4" w:rsidRPr="003F3B94">
        <w:rPr>
          <w:rFonts w:hint="cs"/>
          <w:sz w:val="28"/>
          <w:rtl/>
        </w:rPr>
        <w:t>.</w:t>
      </w:r>
      <w:r w:rsidR="00147857" w:rsidRPr="003F3B94">
        <w:rPr>
          <w:rFonts w:hint="cs"/>
          <w:sz w:val="28"/>
          <w:rtl/>
        </w:rPr>
        <w:t xml:space="preserve"> و</w:t>
      </w:r>
      <w:r w:rsidRPr="003F3B94">
        <w:rPr>
          <w:rFonts w:hint="cs"/>
          <w:sz w:val="28"/>
          <w:rtl/>
        </w:rPr>
        <w:t>نص عبارة الشيخ الطبرسي في تفسيره الآية الكريمة هو التالي</w:t>
      </w:r>
      <w:r w:rsidR="00217AB4" w:rsidRPr="003F3B94">
        <w:rPr>
          <w:rFonts w:hint="cs"/>
          <w:sz w:val="28"/>
          <w:rtl/>
        </w:rPr>
        <w:t>:</w:t>
      </w:r>
    </w:p>
    <w:p w:rsidR="005C664D" w:rsidRPr="003F3B94" w:rsidRDefault="00EF2588" w:rsidP="003F3B94">
      <w:pPr>
        <w:pStyle w:val="a0"/>
        <w:rPr>
          <w:rFonts w:hint="cs"/>
          <w:rtl/>
        </w:rPr>
      </w:pPr>
      <w:r w:rsidRPr="003F3B94">
        <w:rPr>
          <w:rFonts w:hint="cs"/>
          <w:sz w:val="28"/>
          <w:rtl/>
        </w:rPr>
        <w:t>«</w:t>
      </w:r>
      <w:r w:rsidR="005C664D" w:rsidRPr="003F3B94">
        <w:rPr>
          <w:b/>
          <w:bCs/>
          <w:sz w:val="28"/>
          <w:rtl/>
        </w:rPr>
        <w:t>لا أسألكم على تبليغ الرسالة</w:t>
      </w:r>
      <w:r w:rsidR="00147857" w:rsidRPr="003F3B94">
        <w:rPr>
          <w:b/>
          <w:bCs/>
          <w:sz w:val="28"/>
          <w:rtl/>
        </w:rPr>
        <w:t xml:space="preserve"> و</w:t>
      </w:r>
      <w:r w:rsidR="005C664D" w:rsidRPr="003F3B94">
        <w:rPr>
          <w:b/>
          <w:bCs/>
          <w:sz w:val="28"/>
          <w:rtl/>
        </w:rPr>
        <w:t>تعليم الشريعة أجرا</w:t>
      </w:r>
      <w:r w:rsidR="005C664D" w:rsidRPr="003F3B94">
        <w:rPr>
          <w:rFonts w:hint="cs"/>
          <w:b/>
          <w:bCs/>
          <w:sz w:val="28"/>
          <w:rtl/>
        </w:rPr>
        <w:t>ً</w:t>
      </w:r>
      <w:r w:rsidR="005C664D" w:rsidRPr="003F3B94">
        <w:rPr>
          <w:b/>
          <w:bCs/>
          <w:sz w:val="28"/>
          <w:rtl/>
        </w:rPr>
        <w:t xml:space="preserve"> إلا التواد</w:t>
      </w:r>
      <w:r w:rsidR="005C664D" w:rsidRPr="003F3B94">
        <w:rPr>
          <w:rFonts w:hint="cs"/>
          <w:b/>
          <w:bCs/>
          <w:sz w:val="28"/>
          <w:rtl/>
        </w:rPr>
        <w:t>ّ</w:t>
      </w:r>
      <w:r w:rsidR="00147857" w:rsidRPr="003F3B94">
        <w:rPr>
          <w:b/>
          <w:bCs/>
          <w:sz w:val="28"/>
          <w:rtl/>
        </w:rPr>
        <w:t xml:space="preserve"> و</w:t>
      </w:r>
      <w:r w:rsidR="005C664D" w:rsidRPr="003F3B94">
        <w:rPr>
          <w:b/>
          <w:bCs/>
          <w:sz w:val="28"/>
          <w:rtl/>
        </w:rPr>
        <w:t>التحاب</w:t>
      </w:r>
      <w:r w:rsidR="005C664D" w:rsidRPr="003F3B94">
        <w:rPr>
          <w:rFonts w:hint="cs"/>
          <w:b/>
          <w:bCs/>
          <w:sz w:val="28"/>
          <w:rtl/>
        </w:rPr>
        <w:t>ّ</w:t>
      </w:r>
      <w:r w:rsidR="005C664D" w:rsidRPr="003F3B94">
        <w:rPr>
          <w:b/>
          <w:bCs/>
          <w:sz w:val="28"/>
          <w:rtl/>
        </w:rPr>
        <w:t xml:space="preserve"> فيما يقر</w:t>
      </w:r>
      <w:r w:rsidR="005C664D" w:rsidRPr="003F3B94">
        <w:rPr>
          <w:rFonts w:hint="cs"/>
          <w:b/>
          <w:bCs/>
          <w:sz w:val="28"/>
          <w:rtl/>
        </w:rPr>
        <w:t>ِّ</w:t>
      </w:r>
      <w:r w:rsidR="005C664D" w:rsidRPr="003F3B94">
        <w:rPr>
          <w:b/>
          <w:bCs/>
          <w:sz w:val="28"/>
          <w:rtl/>
        </w:rPr>
        <w:t>ب إلى الله تعالى من العمل الصالح</w:t>
      </w:r>
      <w:r w:rsidRPr="003F3B94">
        <w:rPr>
          <w:rFonts w:hint="cs"/>
          <w:sz w:val="28"/>
          <w:rtl/>
        </w:rPr>
        <w:t>»</w:t>
      </w:r>
      <w:r w:rsidR="00217AB4" w:rsidRPr="003F3B94">
        <w:rPr>
          <w:rFonts w:hint="cs"/>
          <w:sz w:val="28"/>
          <w:rtl/>
        </w:rPr>
        <w:t>.</w:t>
      </w:r>
    </w:p>
    <w:p w:rsidR="005C664D" w:rsidRPr="00995B26" w:rsidRDefault="003D6690" w:rsidP="007D2B8A">
      <w:pPr>
        <w:pStyle w:val="a5"/>
        <w:rPr>
          <w:rFonts w:hint="cs"/>
          <w:rtl/>
        </w:rPr>
      </w:pPr>
      <w:bookmarkStart w:id="91" w:name="_Toc387843068"/>
      <w:r w:rsidRPr="00995B26">
        <w:rPr>
          <w:rFonts w:hint="cs"/>
          <w:rtl/>
        </w:rPr>
        <w:t>3- حكم عادل بشأن قانون ظالم</w:t>
      </w:r>
      <w:bookmarkEnd w:id="91"/>
    </w:p>
    <w:p w:rsidR="005C664D" w:rsidRPr="003F3B94" w:rsidRDefault="005C664D" w:rsidP="003F3B94">
      <w:pPr>
        <w:pStyle w:val="a0"/>
        <w:rPr>
          <w:rFonts w:hint="cs"/>
          <w:rtl/>
          <w:lang w:bidi="ar-SY"/>
        </w:rPr>
      </w:pPr>
      <w:r w:rsidRPr="003F3B94">
        <w:rPr>
          <w:rFonts w:ascii="Abo-thar" w:hAnsi="Abo-thar" w:hint="cs"/>
          <w:sz w:val="28"/>
          <w:rtl/>
          <w:lang w:bidi="ar-SY"/>
        </w:rPr>
        <w:t xml:space="preserve">ادعينا في الصفحات الماضية أننا لو دفعنا خمس جميع الأموال التي أوجب الفقهاء أداء خمسها إلى جميع السادة </w:t>
      </w:r>
      <w:r w:rsidR="00217AB4" w:rsidRPr="003F3B94">
        <w:rPr>
          <w:rFonts w:ascii="Abo-thar" w:hAnsi="Abo-thar" w:hint="cs"/>
          <w:sz w:val="28"/>
          <w:rtl/>
          <w:lang w:bidi="ar-SY"/>
        </w:rPr>
        <w:t>(</w:t>
      </w:r>
      <w:r w:rsidRPr="003F3B94">
        <w:rPr>
          <w:rFonts w:ascii="Abo-thar" w:hAnsi="Abo-thar" w:hint="cs"/>
          <w:sz w:val="28"/>
          <w:rtl/>
          <w:lang w:bidi="ar-SY"/>
        </w:rPr>
        <w:t>الهاشميين</w:t>
      </w:r>
      <w:r w:rsidR="00217AB4" w:rsidRPr="003F3B94">
        <w:rPr>
          <w:rFonts w:ascii="Abo-thar" w:hAnsi="Abo-thar" w:hint="cs"/>
          <w:sz w:val="28"/>
          <w:rtl/>
          <w:lang w:bidi="ar-SY"/>
        </w:rPr>
        <w:t>)</w:t>
      </w:r>
      <w:r w:rsidR="001E21CD" w:rsidRPr="003F3B94">
        <w:rPr>
          <w:rFonts w:ascii="Abo-thar" w:hAnsi="Abo-thar" w:hint="cs"/>
          <w:sz w:val="28"/>
          <w:rtl/>
          <w:lang w:bidi="ar-SY"/>
        </w:rPr>
        <w:t xml:space="preserve"> </w:t>
      </w:r>
      <w:r w:rsidRPr="003F3B94">
        <w:rPr>
          <w:rFonts w:ascii="Abo-thar" w:hAnsi="Abo-thar" w:hint="cs"/>
          <w:sz w:val="28"/>
          <w:rtl/>
          <w:lang w:bidi="ar-SY"/>
        </w:rPr>
        <w:t>المقيمين في إيران لنال كل واحد منهم ما يقارب الألف تومان يومياً</w:t>
      </w:r>
      <w:r w:rsidR="00217AB4" w:rsidRPr="003F3B94">
        <w:rPr>
          <w:rFonts w:ascii="Abo-thar" w:hAnsi="Abo-thar" w:hint="cs"/>
          <w:sz w:val="28"/>
          <w:rtl/>
          <w:lang w:bidi="ar-SY"/>
        </w:rPr>
        <w:t>!</w:t>
      </w:r>
      <w:r w:rsidRPr="003F3B94">
        <w:rPr>
          <w:rFonts w:ascii="Abo-thar" w:hAnsi="Abo-thar" w:hint="cs"/>
          <w:sz w:val="28"/>
          <w:rtl/>
          <w:lang w:bidi="ar-SY"/>
        </w:rPr>
        <w:t xml:space="preserve"> وادعاؤنا هذا ليس جُزَافاً</w:t>
      </w:r>
      <w:r w:rsidR="001E0DB7" w:rsidRPr="003F3B94">
        <w:rPr>
          <w:rFonts w:ascii="Abo-thar" w:hAnsi="Abo-thar" w:hint="cs"/>
          <w:sz w:val="28"/>
          <w:rtl/>
          <w:lang w:bidi="ar-SY"/>
        </w:rPr>
        <w:t>،</w:t>
      </w:r>
      <w:r w:rsidRPr="003F3B94">
        <w:rPr>
          <w:rFonts w:ascii="Abo-thar" w:hAnsi="Abo-thar" w:hint="cs"/>
          <w:sz w:val="28"/>
          <w:rtl/>
          <w:lang w:bidi="ar-SY"/>
        </w:rPr>
        <w:t xml:space="preserve"> وقد سعينا للحصول على إحصاء للأموال التي يشملها الخُمس من المصادر الموثوقة إلا أننا لم نتمكن من الوصول إلى هذه المعلومات بدقّة</w:t>
      </w:r>
      <w:r w:rsidR="00217AB4" w:rsidRPr="003F3B94">
        <w:rPr>
          <w:rFonts w:ascii="Abo-thar" w:hAnsi="Abo-thar" w:hint="cs"/>
          <w:sz w:val="28"/>
          <w:rtl/>
          <w:lang w:bidi="ar-SY"/>
        </w:rPr>
        <w:t>.</w:t>
      </w:r>
      <w:r w:rsidRPr="003F3B94">
        <w:rPr>
          <w:rFonts w:ascii="Abo-thar" w:hAnsi="Abo-thar" w:hint="cs"/>
          <w:sz w:val="28"/>
          <w:rtl/>
          <w:lang w:bidi="ar-SY"/>
        </w:rPr>
        <w:t xml:space="preserve"> </w:t>
      </w:r>
    </w:p>
    <w:p w:rsidR="005C664D" w:rsidRPr="003F3B94" w:rsidRDefault="005C664D" w:rsidP="003F3B94">
      <w:pPr>
        <w:pStyle w:val="a0"/>
        <w:rPr>
          <w:rFonts w:hint="cs"/>
          <w:rtl/>
          <w:lang w:bidi="ar-SY"/>
        </w:rPr>
      </w:pPr>
      <w:r w:rsidRPr="003F3B94">
        <w:rPr>
          <w:rFonts w:ascii="Abo-thar" w:hAnsi="Abo-thar" w:hint="cs"/>
          <w:sz w:val="28"/>
          <w:rtl/>
          <w:lang w:bidi="ar-SY"/>
        </w:rPr>
        <w:t>ولكن إذ أخذنا فتوى فقهاء الشيعة الذين أوجبوا الخُمس في سبعة أشياء إج</w:t>
      </w:r>
      <w:r w:rsidR="006114D5" w:rsidRPr="003F3B94">
        <w:rPr>
          <w:rFonts w:ascii="Abo-thar" w:hAnsi="Abo-thar" w:hint="cs"/>
          <w:sz w:val="28"/>
          <w:rtl/>
          <w:lang w:bidi="ar-SY"/>
        </w:rPr>
        <w:t>مالية وخمسة وعشرين شيئاً مفصلاً</w:t>
      </w:r>
      <w:r w:rsidR="00217AB4" w:rsidRPr="003F3B94">
        <w:rPr>
          <w:rFonts w:ascii="Abo-thar" w:hAnsi="Abo-thar" w:hint="cs"/>
          <w:sz w:val="28"/>
          <w:rtl/>
          <w:lang w:bidi="ar-SY"/>
        </w:rPr>
        <w:t>(!)</w:t>
      </w:r>
      <w:r w:rsidRPr="003F3B94">
        <w:rPr>
          <w:rFonts w:ascii="Abo-thar" w:hAnsi="Abo-thar" w:hint="cs"/>
          <w:sz w:val="28"/>
          <w:rtl/>
          <w:lang w:bidi="ar-SY"/>
        </w:rPr>
        <w:t xml:space="preserve"> بعين الاعتبار</w:t>
      </w:r>
      <w:r w:rsidR="00217AB4" w:rsidRPr="003F3B94">
        <w:rPr>
          <w:rFonts w:ascii="Abo-thar" w:hAnsi="Abo-thar" w:hint="cs"/>
          <w:sz w:val="28"/>
          <w:rtl/>
          <w:lang w:bidi="ar-SY"/>
        </w:rPr>
        <w:t>،</w:t>
      </w:r>
      <w:r w:rsidRPr="003F3B94">
        <w:rPr>
          <w:rFonts w:ascii="Abo-thar" w:hAnsi="Abo-thar" w:hint="cs"/>
          <w:sz w:val="28"/>
          <w:rtl/>
          <w:lang w:bidi="ar-SY"/>
        </w:rPr>
        <w:t xml:space="preserve"> مثلما ذكر الشيخ أبوالفتوح الرازي في المجلد الخامس من تفسيره </w:t>
      </w:r>
      <w:r w:rsidR="00217AB4" w:rsidRPr="003F3B94">
        <w:rPr>
          <w:rFonts w:ascii="Abo-thar" w:hAnsi="Abo-thar" w:hint="cs"/>
          <w:sz w:val="28"/>
          <w:rtl/>
          <w:lang w:bidi="ar-SY"/>
        </w:rPr>
        <w:t>(</w:t>
      </w:r>
      <w:r w:rsidRPr="003F3B94">
        <w:rPr>
          <w:rFonts w:ascii="Abo-thar" w:hAnsi="Abo-thar" w:hint="cs"/>
          <w:sz w:val="28"/>
          <w:rtl/>
          <w:lang w:bidi="ar-SY"/>
        </w:rPr>
        <w:t>ص 10</w:t>
      </w:r>
      <w:r w:rsidR="00217AB4" w:rsidRPr="003F3B94">
        <w:rPr>
          <w:rFonts w:ascii="Abo-thar" w:hAnsi="Abo-thar" w:hint="cs"/>
          <w:sz w:val="28"/>
          <w:rtl/>
          <w:lang w:bidi="ar-SY"/>
        </w:rPr>
        <w:t>)</w:t>
      </w:r>
      <w:r w:rsidRPr="003F3B94">
        <w:rPr>
          <w:rFonts w:ascii="Abo-thar" w:hAnsi="Abo-thar" w:hint="cs"/>
          <w:sz w:val="28"/>
          <w:rtl/>
          <w:lang w:bidi="ar-SY"/>
        </w:rPr>
        <w:t xml:space="preserve"> حيث قال</w:t>
      </w:r>
      <w:r w:rsidR="00217AB4" w:rsidRPr="003F3B94">
        <w:rPr>
          <w:rFonts w:ascii="Abo-thar" w:hAnsi="Abo-thar" w:hint="cs"/>
          <w:sz w:val="28"/>
          <w:rtl/>
          <w:lang w:bidi="ar-SY"/>
        </w:rPr>
        <w:t>:</w:t>
      </w:r>
      <w:r w:rsidRPr="003F3B94">
        <w:rPr>
          <w:rFonts w:ascii="Abo-thar" w:hAnsi="Abo-thar" w:hint="cs"/>
          <w:sz w:val="28"/>
          <w:rtl/>
          <w:lang w:bidi="ar-SY"/>
        </w:rPr>
        <w:t xml:space="preserve"> </w:t>
      </w:r>
      <w:r w:rsidRPr="003F3B94">
        <w:rPr>
          <w:rFonts w:ascii="Abo-thar" w:hAnsi="Abo-thar"/>
          <w:sz w:val="28"/>
          <w:rtl/>
          <w:lang w:bidi="ar-SY"/>
        </w:rPr>
        <w:t>«</w:t>
      </w:r>
      <w:r w:rsidRPr="003F3B94">
        <w:rPr>
          <w:rFonts w:ascii="Abo-thar" w:hAnsi="Abo-thar" w:hint="cs"/>
          <w:sz w:val="28"/>
          <w:rtl/>
          <w:lang w:bidi="ar-SY"/>
        </w:rPr>
        <w:t>يجب عندنا إخراج الخُمس من خمسة وعشـرين شيئاً</w:t>
      </w:r>
      <w:r w:rsidR="00217AB4" w:rsidRPr="003F3B94">
        <w:rPr>
          <w:rFonts w:ascii="Abo-thar" w:hAnsi="Abo-thar" w:hint="cs"/>
          <w:sz w:val="28"/>
          <w:rtl/>
          <w:lang w:bidi="ar-SY"/>
        </w:rPr>
        <w:t>:</w:t>
      </w:r>
      <w:r w:rsidRPr="003F3B94">
        <w:rPr>
          <w:rFonts w:ascii="Abo-thar" w:hAnsi="Abo-thar" w:hint="cs"/>
          <w:sz w:val="28"/>
          <w:rtl/>
          <w:lang w:bidi="ar-SY"/>
        </w:rPr>
        <w:t xml:space="preserve"> الغنيمة التي تُؤخذ في دار الحرب</w:t>
      </w:r>
      <w:r w:rsidR="001E0DB7" w:rsidRPr="003F3B94">
        <w:rPr>
          <w:rFonts w:ascii="Abo-thar" w:hAnsi="Abo-thar" w:hint="cs"/>
          <w:sz w:val="28"/>
          <w:rtl/>
          <w:lang w:bidi="ar-SY"/>
        </w:rPr>
        <w:t>،</w:t>
      </w:r>
      <w:r w:rsidRPr="003F3B94">
        <w:rPr>
          <w:rFonts w:ascii="Abo-thar" w:hAnsi="Abo-thar" w:hint="cs"/>
          <w:sz w:val="28"/>
          <w:rtl/>
          <w:lang w:bidi="ar-SY"/>
        </w:rPr>
        <w:t xml:space="preserve"> وأرباح التجارات والزراعات والمكاسب بعد إخراج مؤونة السنة له ولعياله</w:t>
      </w:r>
      <w:r w:rsidR="001E0DB7" w:rsidRPr="003F3B94">
        <w:rPr>
          <w:rFonts w:ascii="Abo-thar" w:hAnsi="Abo-thar" w:hint="cs"/>
          <w:sz w:val="28"/>
          <w:rtl/>
          <w:lang w:bidi="ar-SY"/>
        </w:rPr>
        <w:t>،</w:t>
      </w:r>
      <w:r w:rsidRPr="003F3B94">
        <w:rPr>
          <w:rFonts w:ascii="Abo-thar" w:hAnsi="Abo-thar" w:hint="cs"/>
          <w:sz w:val="28"/>
          <w:rtl/>
          <w:lang w:bidi="ar-SY"/>
        </w:rPr>
        <w:t xml:space="preserve"> وكل ما يخرج من الأرض بما في ذلك المعادن من الذهب والفضة والحديد والتوتياء والنحاس والصُّفْر والرصاص والملح والنفط والكبريت وكل ما ينطبق عليه اسم المعدن والزرنيخ ومادة صمغ المومياء والكنوز من ذهب وفضة والدُّرّ والعنبر وأنواع ما يستخرج من البحر من اللؤلؤ والياقوت والزمرُّد</w:t>
      </w:r>
      <w:r w:rsidR="00147857" w:rsidRPr="003F3B94">
        <w:rPr>
          <w:rFonts w:ascii="Abo-thar" w:hAnsi="Abo-thar" w:hint="cs"/>
          <w:sz w:val="28"/>
          <w:rtl/>
          <w:lang w:bidi="ar-SY"/>
        </w:rPr>
        <w:t xml:space="preserve"> </w:t>
      </w:r>
      <w:r w:rsidRPr="003F3B94">
        <w:rPr>
          <w:rFonts w:ascii="Abo-thar" w:hAnsi="Abo-thar" w:hint="cs"/>
          <w:sz w:val="28"/>
          <w:rtl/>
          <w:lang w:bidi="ar-SY"/>
        </w:rPr>
        <w:t>والياقوت الأحمر</w:t>
      </w:r>
      <w:r w:rsidR="00147857" w:rsidRPr="003F3B94">
        <w:rPr>
          <w:rFonts w:ascii="Abo-thar" w:hAnsi="Abo-thar" w:hint="cs"/>
          <w:sz w:val="28"/>
          <w:rtl/>
          <w:lang w:bidi="ar-SY"/>
        </w:rPr>
        <w:t xml:space="preserve"> </w:t>
      </w:r>
      <w:r w:rsidR="00217AB4" w:rsidRPr="003F3B94">
        <w:rPr>
          <w:rFonts w:ascii="Abo-thar" w:hAnsi="Abo-thar" w:hint="cs"/>
          <w:sz w:val="28"/>
          <w:rtl/>
          <w:lang w:bidi="ar-SY"/>
        </w:rPr>
        <w:t>(</w:t>
      </w:r>
      <w:r w:rsidRPr="003F3B94">
        <w:rPr>
          <w:rFonts w:ascii="Abo-thar" w:hAnsi="Abo-thar" w:hint="cs"/>
          <w:sz w:val="28"/>
          <w:rtl/>
          <w:lang w:bidi="ar-SY"/>
        </w:rPr>
        <w:t>اللَّعْل</w:t>
      </w:r>
      <w:r w:rsidR="00217AB4" w:rsidRPr="003F3B94">
        <w:rPr>
          <w:rFonts w:ascii="Abo-thar" w:hAnsi="Abo-thar" w:hint="cs"/>
          <w:sz w:val="28"/>
          <w:rtl/>
          <w:lang w:bidi="ar-SY"/>
        </w:rPr>
        <w:t>)</w:t>
      </w:r>
      <w:r w:rsidRPr="003F3B94">
        <w:rPr>
          <w:rFonts w:ascii="Abo-thar" w:hAnsi="Abo-thar" w:hint="cs"/>
          <w:sz w:val="28"/>
          <w:rtl/>
          <w:lang w:bidi="ar-SY"/>
        </w:rPr>
        <w:t xml:space="preserve"> والفيروزج</w:t>
      </w:r>
      <w:r w:rsidR="001E0DB7" w:rsidRPr="003F3B94">
        <w:rPr>
          <w:rFonts w:ascii="Abo-thar" w:hAnsi="Abo-thar" w:hint="cs"/>
          <w:sz w:val="28"/>
          <w:rtl/>
          <w:lang w:bidi="ar-SY"/>
        </w:rPr>
        <w:t>،</w:t>
      </w:r>
      <w:r w:rsidRPr="003F3B94">
        <w:rPr>
          <w:rFonts w:ascii="Abo-thar" w:hAnsi="Abo-thar" w:hint="cs"/>
          <w:sz w:val="28"/>
          <w:rtl/>
          <w:lang w:bidi="ar-SY"/>
        </w:rPr>
        <w:t xml:space="preserve"> وكل مالٍ حلال اختلط بحرام ولم يمكن تمييزه عنه مثل المال الموروث من شخص جمع ماله من حرام وحلال</w:t>
      </w:r>
      <w:r w:rsidR="00217AB4" w:rsidRPr="003F3B94">
        <w:rPr>
          <w:rFonts w:ascii="Abo-thar" w:hAnsi="Abo-thar" w:hint="cs"/>
          <w:sz w:val="28"/>
          <w:rtl/>
          <w:lang w:bidi="ar-SY"/>
        </w:rPr>
        <w:t>...</w:t>
      </w:r>
      <w:r w:rsidR="00147857" w:rsidRPr="003F3B94">
        <w:rPr>
          <w:rFonts w:ascii="Abo-thar" w:hAnsi="Abo-thar"/>
          <w:sz w:val="28"/>
          <w:rtl/>
          <w:lang w:bidi="ar-SY"/>
        </w:rPr>
        <w:t>»</w:t>
      </w:r>
      <w:r w:rsidR="00217AB4" w:rsidRPr="003F3B94">
        <w:rPr>
          <w:rFonts w:ascii="Abo-thar" w:hAnsi="Abo-thar" w:hint="cs"/>
          <w:sz w:val="28"/>
          <w:rtl/>
          <w:lang w:bidi="ar-SY"/>
        </w:rPr>
        <w:t>،</w:t>
      </w:r>
      <w:r w:rsidRPr="003F3B94">
        <w:rPr>
          <w:rFonts w:ascii="Abo-thar" w:hAnsi="Abo-thar" w:hint="cs"/>
          <w:sz w:val="28"/>
          <w:rtl/>
          <w:lang w:bidi="ar-SY"/>
        </w:rPr>
        <w:t xml:space="preserve"> بل إن ابن إدريس صاحب </w:t>
      </w:r>
      <w:r w:rsidRPr="003F3B94">
        <w:rPr>
          <w:rFonts w:ascii="Abo-thar" w:hAnsi="Abo-thar" w:hint="eastAsia"/>
          <w:sz w:val="28"/>
          <w:rtl/>
          <w:lang w:bidi="ar-SY"/>
        </w:rPr>
        <w:t>«</w:t>
      </w:r>
      <w:r w:rsidRPr="003F3B94">
        <w:rPr>
          <w:rFonts w:ascii="Abo-thar" w:hAnsi="Abo-thar" w:hint="cs"/>
          <w:sz w:val="28"/>
          <w:rtl/>
          <w:lang w:bidi="ar-SY"/>
        </w:rPr>
        <w:t>السرائر</w:t>
      </w:r>
      <w:r w:rsidRPr="003F3B94">
        <w:rPr>
          <w:rFonts w:ascii="Abo-thar" w:hAnsi="Abo-thar" w:hint="eastAsia"/>
          <w:sz w:val="28"/>
          <w:rtl/>
          <w:lang w:bidi="ar-SY"/>
        </w:rPr>
        <w:t>»</w:t>
      </w:r>
      <w:r w:rsidRPr="003F3B94">
        <w:rPr>
          <w:rFonts w:ascii="Abo-thar" w:hAnsi="Abo-thar" w:hint="cs"/>
          <w:sz w:val="28"/>
          <w:rtl/>
          <w:lang w:bidi="ar-SY"/>
        </w:rPr>
        <w:t xml:space="preserve"> لم يكتف بهذا الحد بل عمم الخُمس إلى أشياء أخرى أيضاً</w:t>
      </w:r>
      <w:r w:rsidR="001E0DB7" w:rsidRPr="003F3B94">
        <w:rPr>
          <w:rFonts w:ascii="Abo-thar" w:hAnsi="Abo-thar" w:hint="cs"/>
          <w:sz w:val="28"/>
          <w:rtl/>
          <w:lang w:bidi="ar-SY"/>
        </w:rPr>
        <w:t>،</w:t>
      </w:r>
      <w:r w:rsidRPr="003F3B94">
        <w:rPr>
          <w:rFonts w:ascii="Abo-thar" w:hAnsi="Abo-thar" w:hint="cs"/>
          <w:sz w:val="28"/>
          <w:rtl/>
          <w:lang w:bidi="ar-SY"/>
        </w:rPr>
        <w:t xml:space="preserve"> فجعله يشمل جميع الأراضي المفتوحة عنوةً</w:t>
      </w:r>
      <w:r w:rsidR="001E0DB7" w:rsidRPr="003F3B94">
        <w:rPr>
          <w:rFonts w:ascii="Abo-thar" w:hAnsi="Abo-thar" w:hint="cs"/>
          <w:sz w:val="28"/>
          <w:rtl/>
          <w:lang w:bidi="ar-SY"/>
        </w:rPr>
        <w:t>،</w:t>
      </w:r>
      <w:r w:rsidRPr="003F3B94">
        <w:rPr>
          <w:rFonts w:ascii="Abo-thar" w:hAnsi="Abo-thar" w:hint="cs"/>
          <w:sz w:val="28"/>
          <w:rtl/>
          <w:lang w:bidi="ar-SY"/>
        </w:rPr>
        <w:t xml:space="preserve"> مما يشمل جميع الأملاك التي بيد المسلمين اليوم في الهند والصين وأفريقيا وبلاد القوقاز وجميع البلدان الإسلامية ما عدا المدينة واليمن والبحرين حيث يجب إضافة خمس جميع إيراداتها من محاصيل الأراضي الزراعية والبساتين والبيادي وكل ما يستحصل من تلك الأراضي إلى الخُمس</w:t>
      </w:r>
      <w:r w:rsidR="00217AB4" w:rsidRPr="003F3B94">
        <w:rPr>
          <w:rFonts w:ascii="Abo-thar" w:hAnsi="Abo-thar" w:hint="cs"/>
          <w:sz w:val="28"/>
          <w:rtl/>
          <w:lang w:bidi="ar-SY"/>
        </w:rPr>
        <w:t>!!</w:t>
      </w:r>
      <w:r w:rsidRPr="003F3B94">
        <w:rPr>
          <w:rFonts w:ascii="Abo-thar" w:hAnsi="Abo-thar" w:hint="cs"/>
          <w:sz w:val="28"/>
          <w:rtl/>
          <w:lang w:bidi="ar-SY"/>
        </w:rPr>
        <w:t xml:space="preserve"> أقول إذا أخذنا كل ذلك بعين الاعتبار فإن الخُمس سيبلغ أكثر بكثير مما ادعيناه</w:t>
      </w:r>
      <w:r w:rsidR="001E0DB7" w:rsidRPr="003F3B94">
        <w:rPr>
          <w:rFonts w:ascii="Abo-thar" w:hAnsi="Abo-thar" w:hint="cs"/>
          <w:sz w:val="28"/>
          <w:rtl/>
          <w:lang w:bidi="ar-SY"/>
        </w:rPr>
        <w:t>،</w:t>
      </w:r>
      <w:r w:rsidRPr="003F3B94">
        <w:rPr>
          <w:rFonts w:ascii="Abo-thar" w:hAnsi="Abo-thar" w:hint="cs"/>
          <w:sz w:val="28"/>
          <w:rtl/>
          <w:lang w:bidi="ar-SY"/>
        </w:rPr>
        <w:t xml:space="preserve"> فمثلاً أحد الأمور التي يشملها الخُمس</w:t>
      </w:r>
      <w:r w:rsidR="00217AB4" w:rsidRPr="003F3B94">
        <w:rPr>
          <w:rFonts w:ascii="Abo-thar" w:hAnsi="Abo-thar" w:hint="cs"/>
          <w:sz w:val="28"/>
          <w:rtl/>
          <w:lang w:bidi="ar-SY"/>
        </w:rPr>
        <w:t>:</w:t>
      </w:r>
      <w:r w:rsidRPr="003F3B94">
        <w:rPr>
          <w:rFonts w:ascii="Abo-thar" w:hAnsi="Abo-thar" w:hint="cs"/>
          <w:sz w:val="28"/>
          <w:rtl/>
          <w:lang w:bidi="ar-SY"/>
        </w:rPr>
        <w:t xml:space="preserve"> المعادن</w:t>
      </w:r>
      <w:r w:rsidR="001E0DB7" w:rsidRPr="003F3B94">
        <w:rPr>
          <w:rFonts w:ascii="Abo-thar" w:hAnsi="Abo-thar" w:hint="cs"/>
          <w:sz w:val="28"/>
          <w:rtl/>
          <w:lang w:bidi="ar-SY"/>
        </w:rPr>
        <w:t>،</w:t>
      </w:r>
      <w:r w:rsidRPr="003F3B94">
        <w:rPr>
          <w:rFonts w:ascii="Abo-thar" w:hAnsi="Abo-thar" w:hint="cs"/>
          <w:sz w:val="28"/>
          <w:rtl/>
          <w:lang w:bidi="ar-SY"/>
        </w:rPr>
        <w:t xml:space="preserve"> وأحد المعادن</w:t>
      </w:r>
      <w:r w:rsidR="00217AB4" w:rsidRPr="003F3B94">
        <w:rPr>
          <w:rFonts w:ascii="Abo-thar" w:hAnsi="Abo-thar" w:hint="cs"/>
          <w:sz w:val="28"/>
          <w:rtl/>
          <w:lang w:bidi="ar-SY"/>
        </w:rPr>
        <w:t>:</w:t>
      </w:r>
      <w:r w:rsidRPr="003F3B94">
        <w:rPr>
          <w:rFonts w:ascii="Abo-thar" w:hAnsi="Abo-thar" w:hint="cs"/>
          <w:sz w:val="28"/>
          <w:rtl/>
          <w:lang w:bidi="ar-SY"/>
        </w:rPr>
        <w:t xml:space="preserve"> البترول</w:t>
      </w:r>
      <w:r w:rsidR="001E0DB7" w:rsidRPr="003F3B94">
        <w:rPr>
          <w:rFonts w:ascii="Abo-thar" w:hAnsi="Abo-thar" w:hint="cs"/>
          <w:sz w:val="28"/>
          <w:rtl/>
          <w:lang w:bidi="ar-SY"/>
        </w:rPr>
        <w:t>،</w:t>
      </w:r>
      <w:r w:rsidRPr="003F3B94">
        <w:rPr>
          <w:rFonts w:ascii="Abo-thar" w:hAnsi="Abo-thar" w:hint="cs"/>
          <w:sz w:val="28"/>
          <w:rtl/>
          <w:lang w:bidi="ar-SY"/>
        </w:rPr>
        <w:t xml:space="preserve"> وأحد مصادر البترول في إيران بترول عبادان</w:t>
      </w:r>
      <w:r w:rsidR="001E0DB7" w:rsidRPr="003F3B94">
        <w:rPr>
          <w:rFonts w:ascii="Abo-thar" w:hAnsi="Abo-thar" w:hint="cs"/>
          <w:sz w:val="28"/>
          <w:rtl/>
          <w:lang w:bidi="ar-SY"/>
        </w:rPr>
        <w:t>،</w:t>
      </w:r>
      <w:r w:rsidRPr="003F3B94">
        <w:rPr>
          <w:rFonts w:ascii="Abo-thar" w:hAnsi="Abo-thar" w:hint="cs"/>
          <w:sz w:val="28"/>
          <w:rtl/>
          <w:lang w:bidi="ar-SY"/>
        </w:rPr>
        <w:t xml:space="preserve"> وهو لا</w:t>
      </w:r>
      <w:r w:rsidRPr="003F3B94">
        <w:rPr>
          <w:rFonts w:cs="Times New Roman" w:hint="cs"/>
          <w:sz w:val="28"/>
          <w:rtl/>
          <w:lang w:bidi="ar-SY"/>
        </w:rPr>
        <w:t> </w:t>
      </w:r>
      <w:r w:rsidRPr="003F3B94">
        <w:rPr>
          <w:rFonts w:ascii="Abo-thar" w:hAnsi="Abo-thar" w:hint="cs"/>
          <w:sz w:val="28"/>
          <w:rtl/>
          <w:lang w:bidi="ar-SY"/>
        </w:rPr>
        <w:t>يزال حتى الآن مدوناً في المخططات المعقدة التي رسمها البريطانيون</w:t>
      </w:r>
      <w:r w:rsidR="00217AB4" w:rsidRPr="003F3B94">
        <w:rPr>
          <w:rFonts w:ascii="Abo-thar" w:hAnsi="Abo-thar" w:hint="cs"/>
          <w:sz w:val="28"/>
          <w:rtl/>
          <w:lang w:bidi="ar-SY"/>
        </w:rPr>
        <w:t>،</w:t>
      </w:r>
      <w:r w:rsidRPr="003F3B94">
        <w:rPr>
          <w:rFonts w:ascii="Abo-thar" w:hAnsi="Abo-thar" w:hint="cs"/>
          <w:sz w:val="28"/>
          <w:rtl/>
          <w:lang w:bidi="ar-SY"/>
        </w:rPr>
        <w:t xml:space="preserve"> وأخيراً تم توقيع اتفاقية رغم كل الظلم والحجج والأعذار التي يتذرّعون بها لعدم إعطاء إيران حقَّها</w:t>
      </w:r>
      <w:r w:rsidR="001E0DB7" w:rsidRPr="003F3B94">
        <w:rPr>
          <w:rFonts w:ascii="Abo-thar" w:hAnsi="Abo-thar" w:hint="cs"/>
          <w:sz w:val="28"/>
          <w:rtl/>
          <w:lang w:bidi="ar-SY"/>
        </w:rPr>
        <w:t>،</w:t>
      </w:r>
      <w:r w:rsidRPr="003F3B94">
        <w:rPr>
          <w:rFonts w:ascii="Abo-thar" w:hAnsi="Abo-thar" w:hint="cs"/>
          <w:sz w:val="28"/>
          <w:rtl/>
          <w:lang w:bidi="ar-SY"/>
        </w:rPr>
        <w:t xml:space="preserve"> وطبقاً لما نشرته صحيفة كيهان في عددها 7379 الصادر بتاريخ 12/12/1346 هجرية شمسية [=1967م] واستناداً إلى حسابات الخبراء الاقتصاديين والماليين فإن مبلغ إيرادات البترول خلال تنفيذ الخطة الرابعة مع حساب نسبة 20% من زيادة الإنتاج السنوية يصل إلى قرابة خمس مليارات وتسع</w:t>
      </w:r>
      <w:r w:rsidR="00755AAC">
        <w:rPr>
          <w:rFonts w:ascii="Abo-thar" w:hAnsi="Abo-thar" w:hint="cs"/>
          <w:sz w:val="28"/>
          <w:rtl/>
          <w:lang w:bidi="ar-SY"/>
        </w:rPr>
        <w:t>مائة</w:t>
      </w:r>
      <w:r w:rsidRPr="003F3B94">
        <w:rPr>
          <w:rFonts w:ascii="Abo-thar" w:hAnsi="Abo-thar" w:hint="cs"/>
          <w:sz w:val="28"/>
          <w:rtl/>
          <w:lang w:bidi="ar-SY"/>
        </w:rPr>
        <w:t xml:space="preserve"> وسبعة ملايين دولار</w:t>
      </w:r>
      <w:r w:rsidR="00217AB4" w:rsidRPr="003F3B94">
        <w:rPr>
          <w:rFonts w:ascii="Abo-thar" w:hAnsi="Abo-thar" w:hint="cs"/>
          <w:sz w:val="28"/>
          <w:rtl/>
          <w:lang w:bidi="ar-SY"/>
        </w:rPr>
        <w:t>،</w:t>
      </w:r>
      <w:r w:rsidRPr="003F3B94">
        <w:rPr>
          <w:rFonts w:ascii="Abo-thar" w:hAnsi="Abo-thar" w:hint="cs"/>
          <w:sz w:val="28"/>
          <w:rtl/>
          <w:lang w:bidi="ar-SY"/>
        </w:rPr>
        <w:t xml:space="preserve"> فإذا حسبنا أن كل دولار يساوي سبع تومانات ونصف فإن خُمُس هذه الإيرادات يصل إلى قرابة أربعة وأربعين مليار ومئتين وخمسين مليون وخمس</w:t>
      </w:r>
      <w:r w:rsidR="00755AAC">
        <w:rPr>
          <w:rFonts w:ascii="Abo-thar" w:hAnsi="Abo-thar" w:hint="cs"/>
          <w:sz w:val="28"/>
          <w:rtl/>
          <w:lang w:bidi="ar-SY"/>
        </w:rPr>
        <w:t>مائة</w:t>
      </w:r>
      <w:r w:rsidRPr="003F3B94">
        <w:rPr>
          <w:rFonts w:ascii="Abo-thar" w:hAnsi="Abo-thar" w:hint="cs"/>
          <w:sz w:val="28"/>
          <w:rtl/>
          <w:lang w:bidi="ar-SY"/>
        </w:rPr>
        <w:t xml:space="preserve"> ألف تومان</w:t>
      </w:r>
      <w:r w:rsidR="001E0DB7" w:rsidRPr="003F3B94">
        <w:rPr>
          <w:rFonts w:ascii="Abo-thar" w:hAnsi="Abo-thar" w:hint="cs"/>
          <w:sz w:val="28"/>
          <w:rtl/>
          <w:lang w:bidi="ar-SY"/>
        </w:rPr>
        <w:t>،</w:t>
      </w:r>
      <w:r w:rsidRPr="003F3B94">
        <w:rPr>
          <w:rFonts w:ascii="Abo-thar" w:hAnsi="Abo-thar" w:hint="cs"/>
          <w:sz w:val="28"/>
          <w:rtl/>
          <w:lang w:bidi="ar-SY"/>
        </w:rPr>
        <w:t xml:space="preserve"> فإذا قسم هذا المبلغ وحده على السادة </w:t>
      </w:r>
      <w:r w:rsidR="00217AB4" w:rsidRPr="003F3B94">
        <w:rPr>
          <w:rFonts w:ascii="Abo-thar" w:hAnsi="Abo-thar" w:hint="cs"/>
          <w:sz w:val="28"/>
          <w:rtl/>
          <w:lang w:bidi="ar-SY"/>
        </w:rPr>
        <w:t>(</w:t>
      </w:r>
      <w:r w:rsidRPr="003F3B94">
        <w:rPr>
          <w:rFonts w:ascii="Abo-thar" w:hAnsi="Abo-thar" w:hint="cs"/>
          <w:sz w:val="28"/>
          <w:rtl/>
          <w:lang w:bidi="ar-SY"/>
        </w:rPr>
        <w:t>الهاشميين</w:t>
      </w:r>
      <w:r w:rsidR="00217AB4" w:rsidRPr="003F3B94">
        <w:rPr>
          <w:rFonts w:ascii="Abo-thar" w:hAnsi="Abo-thar" w:hint="cs"/>
          <w:sz w:val="28"/>
          <w:rtl/>
          <w:lang w:bidi="ar-SY"/>
        </w:rPr>
        <w:t>)</w:t>
      </w:r>
      <w:r w:rsidRPr="003F3B94">
        <w:rPr>
          <w:rFonts w:ascii="Abo-thar" w:hAnsi="Abo-thar" w:hint="cs"/>
          <w:sz w:val="28"/>
          <w:rtl/>
          <w:lang w:bidi="ar-SY"/>
        </w:rPr>
        <w:t xml:space="preserve"> في إيران والذين لا يزيد عددهم عن مليون أو مليون ونصف نسمة لوصل لكل سيد من هذا المعدن وحده أكثر من خمس</w:t>
      </w:r>
      <w:r w:rsidR="00755AAC">
        <w:rPr>
          <w:rFonts w:ascii="Abo-thar" w:hAnsi="Abo-thar" w:hint="cs"/>
          <w:sz w:val="28"/>
          <w:rtl/>
          <w:lang w:bidi="ar-SY"/>
        </w:rPr>
        <w:t>مائة</w:t>
      </w:r>
      <w:r w:rsidRPr="003F3B94">
        <w:rPr>
          <w:rFonts w:ascii="Abo-thar" w:hAnsi="Abo-thar" w:hint="cs"/>
          <w:sz w:val="28"/>
          <w:rtl/>
          <w:lang w:bidi="ar-SY"/>
        </w:rPr>
        <w:t xml:space="preserve"> تومان في اليوم</w:t>
      </w:r>
      <w:r w:rsidR="00217AB4" w:rsidRPr="003F3B94">
        <w:rPr>
          <w:rFonts w:ascii="Abo-thar" w:hAnsi="Abo-thar" w:hint="cs"/>
          <w:sz w:val="28"/>
          <w:rtl/>
          <w:lang w:bidi="ar-SY"/>
        </w:rPr>
        <w:t>،</w:t>
      </w:r>
      <w:r w:rsidRPr="003F3B94">
        <w:rPr>
          <w:rFonts w:ascii="Abo-thar" w:hAnsi="Abo-thar" w:hint="cs"/>
          <w:sz w:val="28"/>
          <w:rtl/>
          <w:lang w:bidi="ar-SY"/>
        </w:rPr>
        <w:t xml:space="preserve"> ولو أخذنا بفتوى بعض الفقهاء الذين يرون إعطاء سهم الإمام لهؤلاء السادة أيضاً لوصل عندئذ سهم كل واحد منهم من هذا المعدن وحده فقط إلى ألف تومان في اليوم</w:t>
      </w:r>
      <w:r w:rsidR="00217AB4" w:rsidRPr="003F3B94">
        <w:rPr>
          <w:rFonts w:ascii="Abo-thar" w:hAnsi="Abo-thar" w:hint="cs"/>
          <w:sz w:val="28"/>
          <w:rtl/>
          <w:lang w:bidi="ar-SY"/>
        </w:rPr>
        <w:t>!!</w:t>
      </w:r>
      <w:r w:rsidR="00217AB4" w:rsidRPr="0021507A">
        <w:rPr>
          <w:rFonts w:cs="Arabic11 BT"/>
          <w:b/>
          <w:sz w:val="28"/>
          <w:vertAlign w:val="superscript"/>
          <w:rtl/>
          <w:lang w:bidi="ar-SY"/>
        </w:rPr>
        <w:t>(</w:t>
      </w:r>
      <w:r w:rsidRPr="0021507A">
        <w:rPr>
          <w:rStyle w:val="FootnoteReference"/>
          <w:rFonts w:cs="Arabic11 BT"/>
          <w:b/>
          <w:sz w:val="28"/>
          <w:rtl/>
          <w:lang w:bidi="ar-SY"/>
        </w:rPr>
        <w:footnoteReference w:id="217"/>
      </w:r>
      <w:r w:rsidR="00217AB4" w:rsidRPr="0021507A">
        <w:rPr>
          <w:rFonts w:cs="Arabic11 BT"/>
          <w:b/>
          <w:sz w:val="28"/>
          <w:vertAlign w:val="superscript"/>
          <w:rtl/>
          <w:lang w:bidi="ar-SY"/>
        </w:rPr>
        <w:t>)</w:t>
      </w:r>
      <w:r w:rsidR="009E3C80" w:rsidRPr="003F3B94">
        <w:rPr>
          <w:rFonts w:ascii="Abo-thar" w:hAnsi="Abo-thar" w:hint="cs"/>
          <w:sz w:val="28"/>
          <w:rtl/>
          <w:lang w:bidi="ar-SY"/>
        </w:rPr>
        <w:t>.</w:t>
      </w:r>
    </w:p>
    <w:p w:rsidR="005C664D" w:rsidRPr="003F3B94" w:rsidRDefault="005C664D" w:rsidP="003F3B94">
      <w:pPr>
        <w:pStyle w:val="a0"/>
        <w:rPr>
          <w:rFonts w:hint="cs"/>
          <w:rtl/>
          <w:lang w:bidi="ar-SY"/>
        </w:rPr>
      </w:pPr>
      <w:r w:rsidRPr="003F3B94">
        <w:rPr>
          <w:rFonts w:ascii="Abo-thar" w:hAnsi="Abo-thar" w:hint="cs"/>
          <w:sz w:val="28"/>
          <w:rtl/>
          <w:lang w:bidi="ar-SY"/>
        </w:rPr>
        <w:t>و إذا أضفنا إلى ذلك سائر معادن إيران من الذهب والفضة والحديد والنحاس والصُّفْر والتوتياء والرصاص والقصدير والملح والكبريت والزرنيخ وأمثالها فأي مبلغ هائل سنحصل عليه</w:t>
      </w:r>
      <w:r w:rsidR="00217AB4" w:rsidRPr="003F3B94">
        <w:rPr>
          <w:rFonts w:ascii="Abo-thar" w:hAnsi="Abo-thar" w:hint="cs"/>
          <w:sz w:val="28"/>
          <w:rtl/>
          <w:lang w:bidi="ar-SY"/>
        </w:rPr>
        <w:t>؟!</w:t>
      </w:r>
      <w:r w:rsidRPr="003F3B94">
        <w:rPr>
          <w:rFonts w:ascii="Abo-thar" w:hAnsi="Abo-thar" w:hint="cs"/>
          <w:sz w:val="28"/>
          <w:rtl/>
          <w:lang w:bidi="ar-SY"/>
        </w:rPr>
        <w:t xml:space="preserve"> </w:t>
      </w:r>
    </w:p>
    <w:p w:rsidR="005C664D" w:rsidRPr="003F3B94" w:rsidRDefault="005C664D" w:rsidP="003F3B94">
      <w:pPr>
        <w:pStyle w:val="a0"/>
        <w:rPr>
          <w:rFonts w:hint="cs"/>
          <w:rtl/>
          <w:lang w:bidi="ar-SY"/>
        </w:rPr>
      </w:pPr>
      <w:r w:rsidRPr="003F3B94">
        <w:rPr>
          <w:rFonts w:ascii="Abo-thar" w:hAnsi="Abo-thar" w:hint="cs"/>
          <w:sz w:val="28"/>
          <w:rtl/>
          <w:lang w:bidi="ar-SY"/>
        </w:rPr>
        <w:t xml:space="preserve">مثلاً أحد المعادن المكتشفة سنة تأليف هذا الكتاب </w:t>
      </w:r>
      <w:r w:rsidR="00217AB4" w:rsidRPr="003F3B94">
        <w:rPr>
          <w:rFonts w:ascii="Abo-thar" w:hAnsi="Abo-thar" w:hint="cs"/>
          <w:sz w:val="28"/>
          <w:rtl/>
          <w:lang w:bidi="ar-SY"/>
        </w:rPr>
        <w:t>(</w:t>
      </w:r>
      <w:r w:rsidRPr="003F3B94">
        <w:rPr>
          <w:rFonts w:ascii="Abo-thar" w:hAnsi="Abo-thar" w:hint="cs"/>
          <w:sz w:val="28"/>
          <w:rtl/>
          <w:lang w:bidi="ar-SY"/>
        </w:rPr>
        <w:t>1347هـ</w:t>
      </w:r>
      <w:r w:rsidR="00217AB4" w:rsidRPr="003F3B94">
        <w:rPr>
          <w:rFonts w:ascii="Abo-thar" w:hAnsi="Abo-thar" w:hint="cs"/>
          <w:sz w:val="28"/>
          <w:rtl/>
          <w:lang w:bidi="ar-SY"/>
        </w:rPr>
        <w:t>.</w:t>
      </w:r>
      <w:r w:rsidRPr="003F3B94">
        <w:rPr>
          <w:rFonts w:ascii="Abo-thar" w:hAnsi="Abo-thar" w:hint="cs"/>
          <w:sz w:val="28"/>
          <w:rtl/>
          <w:lang w:bidi="ar-SY"/>
        </w:rPr>
        <w:t>ش</w:t>
      </w:r>
      <w:r w:rsidR="00217AB4" w:rsidRPr="003F3B94">
        <w:rPr>
          <w:rFonts w:ascii="Abo-thar" w:hAnsi="Abo-thar" w:hint="cs"/>
          <w:sz w:val="28"/>
          <w:rtl/>
          <w:lang w:bidi="ar-SY"/>
        </w:rPr>
        <w:t>.)</w:t>
      </w:r>
      <w:r w:rsidRPr="003F3B94">
        <w:rPr>
          <w:rFonts w:ascii="Abo-thar" w:hAnsi="Abo-thar" w:hint="cs"/>
          <w:sz w:val="28"/>
          <w:rtl/>
          <w:lang w:bidi="ar-SY"/>
        </w:rPr>
        <w:t xml:space="preserve"> </w:t>
      </w:r>
      <w:r w:rsidR="00217AB4" w:rsidRPr="003F3B94">
        <w:rPr>
          <w:rFonts w:ascii="Abo-thar" w:hAnsi="Abo-thar" w:hint="cs"/>
          <w:sz w:val="28"/>
          <w:rtl/>
          <w:lang w:bidi="ar-SY"/>
        </w:rPr>
        <w:t>(</w:t>
      </w:r>
      <w:r w:rsidRPr="003F3B94">
        <w:rPr>
          <w:rFonts w:ascii="Abo-thar" w:hAnsi="Abo-thar" w:hint="cs"/>
          <w:sz w:val="28"/>
          <w:rtl/>
          <w:lang w:bidi="ar-SY"/>
        </w:rPr>
        <w:t>الموافق 1968م</w:t>
      </w:r>
      <w:r w:rsidR="00217AB4" w:rsidRPr="003F3B94">
        <w:rPr>
          <w:rFonts w:ascii="Abo-thar" w:hAnsi="Abo-thar" w:hint="cs"/>
          <w:sz w:val="28"/>
          <w:rtl/>
          <w:lang w:bidi="ar-SY"/>
        </w:rPr>
        <w:t>)</w:t>
      </w:r>
      <w:r w:rsidRPr="003F3B94">
        <w:rPr>
          <w:rFonts w:ascii="Abo-thar" w:hAnsi="Abo-thar" w:hint="cs"/>
          <w:sz w:val="28"/>
          <w:rtl/>
          <w:lang w:bidi="ar-SY"/>
        </w:rPr>
        <w:t xml:space="preserve"> هي معادن المواد التي لا تقبل الاحتراق</w:t>
      </w:r>
      <w:r w:rsidR="001E0DB7" w:rsidRPr="003F3B94">
        <w:rPr>
          <w:rFonts w:ascii="Abo-thar" w:hAnsi="Abo-thar" w:hint="cs"/>
          <w:sz w:val="28"/>
          <w:rtl/>
          <w:lang w:bidi="ar-SY"/>
        </w:rPr>
        <w:t>،</w:t>
      </w:r>
      <w:r w:rsidRPr="003F3B94">
        <w:rPr>
          <w:rFonts w:ascii="Abo-thar" w:hAnsi="Abo-thar" w:hint="cs"/>
          <w:sz w:val="28"/>
          <w:rtl/>
          <w:lang w:bidi="ar-SY"/>
        </w:rPr>
        <w:t xml:space="preserve"> حيث ذكرت صحيفة كيهان في عددها رقم 7461 الصادر بتاريخ 22/3/1347هـ</w:t>
      </w:r>
      <w:r w:rsidR="00217AB4" w:rsidRPr="003F3B94">
        <w:rPr>
          <w:rFonts w:ascii="Abo-thar" w:hAnsi="Abo-thar" w:hint="cs"/>
          <w:sz w:val="28"/>
          <w:rtl/>
          <w:lang w:bidi="ar-SY"/>
        </w:rPr>
        <w:t>.</w:t>
      </w:r>
      <w:r w:rsidRPr="003F3B94">
        <w:rPr>
          <w:rFonts w:ascii="Abo-thar" w:hAnsi="Abo-thar" w:hint="cs"/>
          <w:sz w:val="28"/>
          <w:rtl/>
          <w:lang w:bidi="ar-SY"/>
        </w:rPr>
        <w:t>ش</w:t>
      </w:r>
      <w:r w:rsidR="00217AB4" w:rsidRPr="003F3B94">
        <w:rPr>
          <w:rFonts w:ascii="Abo-thar" w:hAnsi="Abo-thar" w:hint="cs"/>
          <w:sz w:val="28"/>
          <w:rtl/>
          <w:lang w:bidi="ar-SY"/>
        </w:rPr>
        <w:t>.</w:t>
      </w:r>
      <w:r w:rsidRPr="003F3B94">
        <w:rPr>
          <w:rFonts w:ascii="Abo-thar" w:hAnsi="Abo-thar" w:hint="cs"/>
          <w:sz w:val="28"/>
          <w:rtl/>
          <w:lang w:bidi="ar-SY"/>
        </w:rPr>
        <w:t xml:space="preserve"> نقلاً عن منظمة الجيولوجيا وبالتعاون مع الخبراء الأجانب أنه تم مؤخراً اكتشاف معادن جديدة من المواد التي لا تقبل الاحترق مثل الفوسفات في منطقة سميرم وآمل ودماوند</w:t>
      </w:r>
      <w:r w:rsidR="00217AB4" w:rsidRPr="003F3B94">
        <w:rPr>
          <w:rFonts w:ascii="Abo-thar" w:hAnsi="Abo-thar" w:hint="cs"/>
          <w:sz w:val="28"/>
          <w:rtl/>
          <w:lang w:bidi="ar-SY"/>
        </w:rPr>
        <w:t>.</w:t>
      </w:r>
      <w:r w:rsidRPr="003F3B94">
        <w:rPr>
          <w:rFonts w:ascii="Abo-thar" w:hAnsi="Abo-thar" w:hint="cs"/>
          <w:sz w:val="28"/>
          <w:rtl/>
          <w:lang w:bidi="ar-SY"/>
        </w:rPr>
        <w:t xml:space="preserve"> وقد قدرت الذخائر من هذا المعدن بعدة ملايين طن حيث يباع الكيلو الواحد منه في سوق طهران بسبعة إلى عشرة ريالات</w:t>
      </w:r>
      <w:r w:rsidR="001E0DB7" w:rsidRPr="003F3B94">
        <w:rPr>
          <w:rFonts w:ascii="Abo-thar" w:hAnsi="Abo-thar" w:hint="cs"/>
          <w:sz w:val="28"/>
          <w:rtl/>
          <w:lang w:bidi="ar-SY"/>
        </w:rPr>
        <w:t>،</w:t>
      </w:r>
      <w:r w:rsidRPr="003F3B94">
        <w:rPr>
          <w:rFonts w:ascii="Abo-thar" w:hAnsi="Abo-thar" w:hint="cs"/>
          <w:sz w:val="28"/>
          <w:rtl/>
          <w:lang w:bidi="ar-SY"/>
        </w:rPr>
        <w:t xml:space="preserve"> كما أن علماء الجيولوجيا اكتشفوا في المناطق المجاورة لمدينة يزد وفي الشمال وفي المناطق المجاورة لبهبهان وشيراز وفي جبال بختياري عروقاً من معدن بوكسايت الألمنيوم </w:t>
      </w:r>
      <w:r w:rsidR="00217AB4" w:rsidRPr="003F3B94">
        <w:rPr>
          <w:rFonts w:ascii="Abo-thar" w:hAnsi="Abo-thar" w:hint="cs"/>
          <w:sz w:val="28"/>
          <w:rtl/>
          <w:lang w:bidi="ar-SY"/>
        </w:rPr>
        <w:t>(</w:t>
      </w:r>
      <w:r w:rsidRPr="00E51696">
        <w:rPr>
          <w:szCs w:val="24"/>
          <w:lang w:bidi="ar-SY"/>
        </w:rPr>
        <w:t>Boxite –Aluminum</w:t>
      </w:r>
      <w:r w:rsidR="00217AB4" w:rsidRPr="003F3B94">
        <w:rPr>
          <w:rFonts w:ascii="Abo-thar" w:hAnsi="Abo-thar" w:hint="cs"/>
          <w:sz w:val="28"/>
          <w:rtl/>
          <w:lang w:bidi="ar-SY"/>
        </w:rPr>
        <w:t>)</w:t>
      </w:r>
      <w:r w:rsidRPr="003F3B94">
        <w:rPr>
          <w:rFonts w:ascii="Abo-thar" w:hAnsi="Abo-thar" w:hint="cs"/>
          <w:sz w:val="28"/>
          <w:rtl/>
          <w:lang w:bidi="ar-SY"/>
        </w:rPr>
        <w:t xml:space="preserve"> الذي يمكنه أن يؤمن في المستقبل</w:t>
      </w:r>
      <w:r w:rsidR="00147857" w:rsidRPr="003F3B94">
        <w:rPr>
          <w:rFonts w:ascii="Abo-thar" w:hAnsi="Abo-thar" w:hint="cs"/>
          <w:sz w:val="28"/>
          <w:rtl/>
          <w:lang w:bidi="ar-SY"/>
        </w:rPr>
        <w:t xml:space="preserve"> </w:t>
      </w:r>
      <w:r w:rsidRPr="003F3B94">
        <w:rPr>
          <w:rFonts w:ascii="Abo-thar" w:hAnsi="Abo-thar" w:hint="cs"/>
          <w:sz w:val="28"/>
          <w:rtl/>
          <w:lang w:bidi="ar-SY"/>
        </w:rPr>
        <w:t>حاجة مصنع للألمنيوم في إيران بطاقة إنتاج تصل إلى خمسين ألف طن سنوياً</w:t>
      </w:r>
      <w:r w:rsidR="00217AB4" w:rsidRPr="003F3B94">
        <w:rPr>
          <w:rFonts w:ascii="Abo-thar" w:hAnsi="Abo-thar" w:hint="cs"/>
          <w:sz w:val="28"/>
          <w:rtl/>
          <w:lang w:bidi="ar-SY"/>
        </w:rPr>
        <w:t>!</w:t>
      </w:r>
      <w:r w:rsidRPr="003F3B94">
        <w:rPr>
          <w:rFonts w:ascii="Abo-thar" w:hAnsi="Abo-thar" w:hint="cs"/>
          <w:sz w:val="28"/>
          <w:rtl/>
          <w:lang w:bidi="ar-SY"/>
        </w:rPr>
        <w:t xml:space="preserve"> </w:t>
      </w:r>
    </w:p>
    <w:p w:rsidR="005C664D" w:rsidRPr="003F3B94" w:rsidRDefault="005C664D" w:rsidP="003F3B94">
      <w:pPr>
        <w:pStyle w:val="a0"/>
        <w:rPr>
          <w:rFonts w:hint="cs"/>
          <w:rtl/>
          <w:lang w:bidi="ar-SY"/>
        </w:rPr>
      </w:pPr>
      <w:r w:rsidRPr="003F3B94">
        <w:rPr>
          <w:rFonts w:ascii="Abo-thar" w:hAnsi="Abo-thar" w:hint="cs"/>
          <w:sz w:val="28"/>
          <w:rtl/>
          <w:lang w:bidi="ar-SY"/>
        </w:rPr>
        <w:t>و كذلك سائر المعادن والثروات الدفينة تحت الأرض والتي لا تعد ولا تحصى في هذه البلاد ومنها معدن النحاس الذي يصل مجموع ما لدينا منه من ذخائر إلى قرابة أربع</w:t>
      </w:r>
      <w:r w:rsidR="00755AAC">
        <w:rPr>
          <w:rFonts w:ascii="Abo-thar" w:hAnsi="Abo-thar" w:hint="cs"/>
          <w:sz w:val="28"/>
          <w:rtl/>
          <w:lang w:bidi="ar-SY"/>
        </w:rPr>
        <w:t>مائة</w:t>
      </w:r>
      <w:r w:rsidRPr="003F3B94">
        <w:rPr>
          <w:rFonts w:ascii="Abo-thar" w:hAnsi="Abo-thar" w:hint="cs"/>
          <w:sz w:val="28"/>
          <w:rtl/>
          <w:lang w:bidi="ar-SY"/>
        </w:rPr>
        <w:t xml:space="preserve"> مليون طن حيث قيمة كل طن 12 ألف تومان </w:t>
      </w:r>
      <w:r w:rsidR="00217AB4" w:rsidRPr="003F3B94">
        <w:rPr>
          <w:rFonts w:ascii="Abo-thar" w:hAnsi="Abo-thar" w:hint="cs"/>
          <w:sz w:val="28"/>
          <w:rtl/>
          <w:lang w:bidi="ar-SY"/>
        </w:rPr>
        <w:t>(</w:t>
      </w:r>
      <w:r w:rsidRPr="003F3B94">
        <w:rPr>
          <w:rFonts w:ascii="Abo-thar" w:hAnsi="Abo-thar" w:hint="cs"/>
          <w:sz w:val="28"/>
          <w:rtl/>
          <w:lang w:bidi="ar-SY"/>
        </w:rPr>
        <w:t>صحيفة كيهان 8237</w:t>
      </w:r>
      <w:r w:rsidR="00217AB4" w:rsidRPr="003F3B94">
        <w:rPr>
          <w:rFonts w:ascii="Abo-thar" w:hAnsi="Abo-thar" w:hint="cs"/>
          <w:sz w:val="28"/>
          <w:rtl/>
          <w:lang w:bidi="ar-SY"/>
        </w:rPr>
        <w:t>).</w:t>
      </w:r>
      <w:r w:rsidRPr="003F3B94">
        <w:rPr>
          <w:rFonts w:ascii="Abo-thar" w:hAnsi="Abo-thar" w:hint="cs"/>
          <w:sz w:val="28"/>
          <w:rtl/>
          <w:lang w:bidi="ar-SY"/>
        </w:rPr>
        <w:t xml:space="preserve"> فإذا أضفنا إلى هذه الإيرادات أرباح مكاسب التجارات والزراعات والصناعات</w:t>
      </w:r>
      <w:r w:rsidR="001E0DB7" w:rsidRPr="003F3B94">
        <w:rPr>
          <w:rFonts w:ascii="Abo-thar" w:hAnsi="Abo-thar" w:hint="cs"/>
          <w:sz w:val="28"/>
          <w:rtl/>
          <w:lang w:bidi="ar-SY"/>
        </w:rPr>
        <w:t>،</w:t>
      </w:r>
      <w:r w:rsidRPr="003F3B94">
        <w:rPr>
          <w:rFonts w:ascii="Abo-thar" w:hAnsi="Abo-thar" w:hint="cs"/>
          <w:sz w:val="28"/>
          <w:rtl/>
          <w:lang w:bidi="ar-SY"/>
        </w:rPr>
        <w:t xml:space="preserve"> حتى أجرة العامل الذي يحصل في اليوم على خمس ريالات فقط يريد ادخارها ليوم الحاجة</w:t>
      </w:r>
      <w:r w:rsidR="00217AB4" w:rsidRPr="003F3B94">
        <w:rPr>
          <w:rFonts w:ascii="Abo-thar" w:hAnsi="Abo-thar" w:hint="cs"/>
          <w:sz w:val="28"/>
          <w:rtl/>
          <w:lang w:bidi="ar-SY"/>
        </w:rPr>
        <w:t>!</w:t>
      </w:r>
      <w:r w:rsidRPr="003F3B94">
        <w:rPr>
          <w:rFonts w:ascii="Abo-thar" w:hAnsi="Abo-thar" w:hint="cs"/>
          <w:sz w:val="28"/>
          <w:rtl/>
          <w:lang w:bidi="ar-SY"/>
        </w:rPr>
        <w:t xml:space="preserve"> وحسبناها بدقة لوصلنا إلى أرقام تعادل عدة أضعاف ميزانية كل البلد</w:t>
      </w:r>
      <w:r w:rsidR="00217AB4" w:rsidRPr="003F3B94">
        <w:rPr>
          <w:rFonts w:ascii="Abo-thar" w:hAnsi="Abo-thar" w:hint="cs"/>
          <w:sz w:val="28"/>
          <w:rtl/>
          <w:lang w:bidi="ar-SY"/>
        </w:rPr>
        <w:t>!</w:t>
      </w:r>
      <w:r w:rsidRPr="003F3B94">
        <w:rPr>
          <w:rFonts w:ascii="Abo-thar" w:hAnsi="Abo-thar" w:hint="cs"/>
          <w:sz w:val="28"/>
          <w:rtl/>
          <w:lang w:bidi="ar-SY"/>
        </w:rPr>
        <w:t xml:space="preserve"> أضف إلى ذلك</w:t>
      </w:r>
      <w:r w:rsidR="00147857" w:rsidRPr="003F3B94">
        <w:rPr>
          <w:rFonts w:ascii="Abo-thar" w:hAnsi="Abo-thar" w:hint="cs"/>
          <w:sz w:val="28"/>
          <w:rtl/>
          <w:lang w:bidi="ar-SY"/>
        </w:rPr>
        <w:t xml:space="preserve"> </w:t>
      </w:r>
      <w:r w:rsidRPr="003F3B94">
        <w:rPr>
          <w:rFonts w:ascii="Abo-thar" w:hAnsi="Abo-thar" w:hint="cs"/>
          <w:sz w:val="28"/>
          <w:rtl/>
          <w:lang w:bidi="ar-SY"/>
        </w:rPr>
        <w:t>خمس الجواهر والأشياء التي تستخرج من البحر بالغوص والكنوز والدفائن التي تكتشف في الأرض وخمس المال الحلال الذي اختلط بحرام والمعاملة مع أراضي أهل الذمة وهكذا</w:t>
      </w:r>
      <w:r w:rsidR="00217AB4" w:rsidRPr="003F3B94">
        <w:rPr>
          <w:rFonts w:ascii="Abo-thar" w:hAnsi="Abo-thar" w:hint="cs"/>
          <w:sz w:val="28"/>
          <w:rtl/>
          <w:lang w:bidi="ar-SY"/>
        </w:rPr>
        <w:t>...</w:t>
      </w:r>
      <w:r w:rsidRPr="003F3B94">
        <w:rPr>
          <w:rFonts w:ascii="Abo-thar" w:hAnsi="Abo-thar" w:hint="cs"/>
          <w:sz w:val="28"/>
          <w:rtl/>
          <w:lang w:bidi="ar-SY"/>
        </w:rPr>
        <w:t xml:space="preserve"> </w:t>
      </w:r>
    </w:p>
    <w:p w:rsidR="005C664D" w:rsidRPr="003F3B94" w:rsidRDefault="005C664D" w:rsidP="003F3B94">
      <w:pPr>
        <w:pStyle w:val="a0"/>
        <w:rPr>
          <w:rFonts w:hint="cs"/>
          <w:rtl/>
          <w:lang w:bidi="ar-SY"/>
        </w:rPr>
      </w:pPr>
      <w:r w:rsidRPr="003F3B94">
        <w:rPr>
          <w:rFonts w:ascii="Abo-thar" w:hAnsi="Abo-thar" w:hint="cs"/>
          <w:sz w:val="28"/>
          <w:rtl/>
          <w:lang w:bidi="ar-SY"/>
        </w:rPr>
        <w:t>يقول فقهاء الشيعة</w:t>
      </w:r>
      <w:r w:rsidR="00217AB4" w:rsidRPr="003F3B94">
        <w:rPr>
          <w:rFonts w:ascii="Abo-thar" w:hAnsi="Abo-thar" w:hint="cs"/>
          <w:sz w:val="28"/>
          <w:rtl/>
          <w:lang w:bidi="ar-SY"/>
        </w:rPr>
        <w:t>:</w:t>
      </w:r>
      <w:r w:rsidRPr="003F3B94">
        <w:rPr>
          <w:rFonts w:ascii="Abo-thar" w:hAnsi="Abo-thar" w:hint="cs"/>
          <w:sz w:val="28"/>
          <w:rtl/>
          <w:lang w:bidi="ar-SY"/>
        </w:rPr>
        <w:t xml:space="preserve"> إن هذا الإيراد </w:t>
      </w:r>
      <w:r w:rsidR="00217AB4" w:rsidRPr="003F3B94">
        <w:rPr>
          <w:rFonts w:ascii="Abo-thar" w:hAnsi="Abo-thar" w:hint="cs"/>
          <w:sz w:val="28"/>
          <w:rtl/>
          <w:lang w:bidi="ar-SY"/>
        </w:rPr>
        <w:t>(</w:t>
      </w:r>
      <w:r w:rsidRPr="003F3B94">
        <w:rPr>
          <w:rFonts w:ascii="Abo-thar" w:hAnsi="Abo-thar" w:hint="cs"/>
          <w:sz w:val="28"/>
          <w:rtl/>
          <w:lang w:bidi="ar-SY"/>
        </w:rPr>
        <w:t>أي خمس كل تلك الأمور</w:t>
      </w:r>
      <w:r w:rsidR="00217AB4" w:rsidRPr="003F3B94">
        <w:rPr>
          <w:rFonts w:ascii="Abo-thar" w:hAnsi="Abo-thar" w:hint="cs"/>
          <w:sz w:val="28"/>
          <w:rtl/>
          <w:lang w:bidi="ar-SY"/>
        </w:rPr>
        <w:t>)</w:t>
      </w:r>
      <w:r w:rsidRPr="003F3B94">
        <w:rPr>
          <w:rFonts w:ascii="Abo-thar" w:hAnsi="Abo-thar" w:hint="cs"/>
          <w:sz w:val="28"/>
          <w:rtl/>
          <w:lang w:bidi="ar-SY"/>
        </w:rPr>
        <w:t xml:space="preserve"> العجيب والمذهل يتعلق بأسرة بني هاشم فقط والذين لا يمكن أن نعرف منهم في إيران إلا السادة من أولاد فاطمة فقط</w:t>
      </w:r>
      <w:r w:rsidR="001E0DB7" w:rsidRPr="003F3B94">
        <w:rPr>
          <w:rFonts w:ascii="Abo-thar" w:hAnsi="Abo-thar" w:hint="cs"/>
          <w:sz w:val="28"/>
          <w:rtl/>
          <w:lang w:bidi="ar-SY"/>
        </w:rPr>
        <w:t>،</w:t>
      </w:r>
      <w:r w:rsidRPr="003F3B94">
        <w:rPr>
          <w:rFonts w:ascii="Abo-thar" w:hAnsi="Abo-thar" w:hint="cs"/>
          <w:sz w:val="28"/>
          <w:rtl/>
          <w:lang w:bidi="ar-SY"/>
        </w:rPr>
        <w:t xml:space="preserve"> وكما قلنا فإنه من اليقين والمقطوع به أنه لو قُسِّم خمس الأموال التي يشملها حكم الخُمس في إيران على أولئك السادة </w:t>
      </w:r>
      <w:r w:rsidR="00217AB4" w:rsidRPr="003F3B94">
        <w:rPr>
          <w:rFonts w:ascii="Abo-thar" w:hAnsi="Abo-thar" w:hint="cs"/>
          <w:sz w:val="28"/>
          <w:rtl/>
          <w:lang w:bidi="ar-SY"/>
        </w:rPr>
        <w:t>(</w:t>
      </w:r>
      <w:r w:rsidRPr="003F3B94">
        <w:rPr>
          <w:rFonts w:ascii="Abo-thar" w:hAnsi="Abo-thar" w:hint="cs"/>
          <w:sz w:val="28"/>
          <w:rtl/>
          <w:lang w:bidi="ar-SY"/>
        </w:rPr>
        <w:t>الأشراف</w:t>
      </w:r>
      <w:r w:rsidR="00217AB4" w:rsidRPr="003F3B94">
        <w:rPr>
          <w:rFonts w:ascii="Abo-thar" w:hAnsi="Abo-thar" w:hint="cs"/>
          <w:sz w:val="28"/>
          <w:rtl/>
          <w:lang w:bidi="ar-SY"/>
        </w:rPr>
        <w:t>)</w:t>
      </w:r>
      <w:r w:rsidRPr="003F3B94">
        <w:rPr>
          <w:rFonts w:ascii="Abo-thar" w:hAnsi="Abo-thar" w:hint="cs"/>
          <w:sz w:val="28"/>
          <w:rtl/>
          <w:lang w:bidi="ar-SY"/>
        </w:rPr>
        <w:t>الذين يعيشون في إيران وعددهم في بلدنا أكثر مما في أي بلد آخر فإن كل واحد منهم سيصله أكثر من ألف تومان بل عدة آلاف تومانات</w:t>
      </w:r>
      <w:r w:rsidR="00217AB4" w:rsidRPr="003F3B94">
        <w:rPr>
          <w:rFonts w:ascii="Abo-thar" w:hAnsi="Abo-thar" w:hint="cs"/>
          <w:sz w:val="28"/>
          <w:rtl/>
          <w:lang w:bidi="ar-SY"/>
        </w:rPr>
        <w:t>!</w:t>
      </w:r>
      <w:r w:rsidRPr="003F3B94">
        <w:rPr>
          <w:rFonts w:ascii="Abo-thar" w:hAnsi="Abo-thar" w:hint="cs"/>
          <w:sz w:val="28"/>
          <w:rtl/>
          <w:lang w:bidi="ar-SY"/>
        </w:rPr>
        <w:t xml:space="preserve"> </w:t>
      </w:r>
    </w:p>
    <w:p w:rsidR="005C664D" w:rsidRPr="003F3B94" w:rsidRDefault="005C664D" w:rsidP="003F3B94">
      <w:pPr>
        <w:pStyle w:val="a0"/>
        <w:rPr>
          <w:rFonts w:hint="cs"/>
          <w:rtl/>
        </w:rPr>
      </w:pPr>
      <w:r w:rsidRPr="003F3B94">
        <w:rPr>
          <w:rFonts w:ascii="Abo-thar" w:hAnsi="Abo-thar" w:hint="cs"/>
          <w:sz w:val="28"/>
          <w:rtl/>
          <w:lang w:bidi="ar-SY"/>
        </w:rPr>
        <w:t>وبالنسبة إلى اليتامى وأبناء السبيل من بني هاشم</w:t>
      </w:r>
      <w:r w:rsidR="00217AB4" w:rsidRPr="003F3B94">
        <w:rPr>
          <w:rFonts w:ascii="Abo-thar" w:hAnsi="Abo-thar" w:hint="cs"/>
          <w:sz w:val="28"/>
          <w:rtl/>
          <w:lang w:bidi="ar-SY"/>
        </w:rPr>
        <w:t>،</w:t>
      </w:r>
      <w:r w:rsidRPr="003F3B94">
        <w:rPr>
          <w:rFonts w:ascii="Abo-thar" w:hAnsi="Abo-thar" w:hint="cs"/>
          <w:sz w:val="28"/>
          <w:rtl/>
          <w:lang w:bidi="ar-SY"/>
        </w:rPr>
        <w:t xml:space="preserve"> فإنه بحسب فتوى فقهاء الشيعة الكبار</w:t>
      </w:r>
      <w:r w:rsidR="00217AB4" w:rsidRPr="003F3B94">
        <w:rPr>
          <w:rFonts w:ascii="Abo-thar" w:hAnsi="Abo-thar" w:hint="cs"/>
          <w:sz w:val="28"/>
          <w:rtl/>
          <w:lang w:bidi="ar-SY"/>
        </w:rPr>
        <w:t>،</w:t>
      </w:r>
      <w:r w:rsidRPr="003F3B94">
        <w:rPr>
          <w:rFonts w:ascii="Abo-thar" w:hAnsi="Abo-thar" w:hint="cs"/>
          <w:sz w:val="28"/>
          <w:rtl/>
          <w:lang w:bidi="ar-SY"/>
        </w:rPr>
        <w:t xml:space="preserve"> لا يُشترط فيهم الفقر لأخذهم من الخُمس</w:t>
      </w:r>
      <w:r w:rsidR="00217AB4" w:rsidRPr="003F3B94">
        <w:rPr>
          <w:rFonts w:ascii="Abo-thar" w:hAnsi="Abo-thar" w:hint="cs"/>
          <w:sz w:val="28"/>
          <w:rtl/>
          <w:lang w:bidi="ar-SY"/>
        </w:rPr>
        <w:t>،</w:t>
      </w:r>
      <w:r w:rsidRPr="003F3B94">
        <w:rPr>
          <w:rFonts w:ascii="Abo-thar" w:hAnsi="Abo-thar" w:hint="cs"/>
          <w:sz w:val="28"/>
          <w:rtl/>
          <w:lang w:bidi="ar-SY"/>
        </w:rPr>
        <w:t xml:space="preserve"> بل يعطون منه ولو كانوا أغنياء</w:t>
      </w:r>
      <w:r w:rsidR="00217AB4" w:rsidRPr="003F3B94">
        <w:rPr>
          <w:rFonts w:ascii="Abo-thar" w:hAnsi="Abo-thar" w:hint="cs"/>
          <w:sz w:val="28"/>
          <w:rtl/>
          <w:lang w:bidi="ar-SY"/>
        </w:rPr>
        <w:t>!</w:t>
      </w:r>
      <w:r w:rsidRPr="003F3B94">
        <w:rPr>
          <w:rFonts w:ascii="Abo-thar" w:hAnsi="Abo-thar" w:hint="cs"/>
          <w:sz w:val="28"/>
          <w:rtl/>
          <w:lang w:bidi="ar-SY"/>
        </w:rPr>
        <w:t xml:space="preserve"> كما ذهب إلى ذلك الشيخ الطوسي في </w:t>
      </w:r>
      <w:r w:rsidRPr="003F3B94">
        <w:rPr>
          <w:rFonts w:ascii="Abo-thar" w:hAnsi="Abo-thar"/>
          <w:sz w:val="28"/>
          <w:rtl/>
          <w:lang w:bidi="ar-SY"/>
        </w:rPr>
        <w:t>«</w:t>
      </w:r>
      <w:r w:rsidRPr="003F3B94">
        <w:rPr>
          <w:rFonts w:ascii="Abo-thar" w:hAnsi="Abo-thar" w:hint="cs"/>
          <w:sz w:val="28"/>
          <w:rtl/>
          <w:lang w:bidi="ar-SY"/>
        </w:rPr>
        <w:t>المبسوط</w:t>
      </w:r>
      <w:r w:rsidRPr="003F3B94">
        <w:rPr>
          <w:rFonts w:ascii="Abo-thar" w:hAnsi="Abo-thar"/>
          <w:sz w:val="28"/>
          <w:rtl/>
          <w:lang w:bidi="ar-SY"/>
        </w:rPr>
        <w:t>»</w:t>
      </w:r>
      <w:r w:rsidR="00147857" w:rsidRPr="003F3B94">
        <w:rPr>
          <w:rFonts w:ascii="Abo-thar" w:hAnsi="Abo-thar" w:hint="cs"/>
          <w:sz w:val="28"/>
          <w:rtl/>
          <w:lang w:bidi="ar-SY"/>
        </w:rPr>
        <w:t xml:space="preserve"> </w:t>
      </w:r>
      <w:r w:rsidRPr="003F3B94">
        <w:rPr>
          <w:rFonts w:ascii="Abo-thar" w:hAnsi="Abo-thar" w:hint="cs"/>
          <w:sz w:val="28"/>
          <w:rtl/>
          <w:lang w:bidi="ar-SY"/>
        </w:rPr>
        <w:t xml:space="preserve">وابن شهرآشوب في </w:t>
      </w:r>
      <w:r w:rsidRPr="003F3B94">
        <w:rPr>
          <w:rFonts w:ascii="Abo-thar" w:hAnsi="Abo-thar"/>
          <w:sz w:val="28"/>
          <w:rtl/>
          <w:lang w:bidi="ar-SY"/>
        </w:rPr>
        <w:t>«</w:t>
      </w:r>
      <w:r w:rsidRPr="003F3B94">
        <w:rPr>
          <w:rFonts w:ascii="Abo-thar" w:hAnsi="Abo-thar" w:hint="cs"/>
          <w:sz w:val="28"/>
          <w:rtl/>
          <w:lang w:bidi="ar-SY"/>
        </w:rPr>
        <w:t>متشابهات القرآن</w:t>
      </w:r>
      <w:r w:rsidRPr="003F3B94">
        <w:rPr>
          <w:rFonts w:ascii="Abo-thar" w:hAnsi="Abo-thar"/>
          <w:sz w:val="28"/>
          <w:rtl/>
          <w:lang w:bidi="ar-SY"/>
        </w:rPr>
        <w:t>»</w:t>
      </w:r>
      <w:r w:rsidRPr="003F3B94">
        <w:rPr>
          <w:rFonts w:ascii="Abo-thar" w:hAnsi="Abo-thar" w:hint="cs"/>
          <w:sz w:val="28"/>
          <w:rtl/>
          <w:lang w:bidi="ar-SY"/>
        </w:rPr>
        <w:t xml:space="preserve"> </w:t>
      </w:r>
      <w:r w:rsidR="00217AB4" w:rsidRPr="003F3B94">
        <w:rPr>
          <w:rFonts w:ascii="Abo-thar" w:hAnsi="Abo-thar" w:hint="cs"/>
          <w:sz w:val="28"/>
          <w:rtl/>
          <w:lang w:bidi="ar-SY"/>
        </w:rPr>
        <w:t>(</w:t>
      </w:r>
      <w:r w:rsidRPr="003F3B94">
        <w:rPr>
          <w:rFonts w:ascii="Abo-thar" w:hAnsi="Abo-thar" w:hint="cs"/>
          <w:sz w:val="28"/>
          <w:rtl/>
          <w:lang w:bidi="ar-SY"/>
        </w:rPr>
        <w:t>ص552</w:t>
      </w:r>
      <w:r w:rsidR="00217AB4" w:rsidRPr="003F3B94">
        <w:rPr>
          <w:rFonts w:ascii="Abo-thar" w:hAnsi="Abo-thar" w:hint="cs"/>
          <w:sz w:val="28"/>
          <w:rtl/>
          <w:lang w:bidi="ar-SY"/>
        </w:rPr>
        <w:t>)</w:t>
      </w:r>
      <w:r w:rsidRPr="003F3B94">
        <w:rPr>
          <w:rFonts w:ascii="Abo-thar" w:hAnsi="Abo-thar" w:hint="cs"/>
          <w:sz w:val="28"/>
          <w:rtl/>
          <w:lang w:bidi="ar-SY"/>
        </w:rPr>
        <w:t xml:space="preserve"> والعلامة الحلي في </w:t>
      </w:r>
      <w:r w:rsidRPr="003F3B94">
        <w:rPr>
          <w:rFonts w:ascii="Abo-thar" w:hAnsi="Abo-thar"/>
          <w:sz w:val="28"/>
          <w:rtl/>
          <w:lang w:bidi="ar-SY"/>
        </w:rPr>
        <w:t>«</w:t>
      </w:r>
      <w:r w:rsidRPr="003F3B94">
        <w:rPr>
          <w:rFonts w:ascii="Abo-thar" w:hAnsi="Abo-thar" w:hint="cs"/>
          <w:sz w:val="28"/>
          <w:rtl/>
          <w:lang w:bidi="ar-SY"/>
        </w:rPr>
        <w:t>منتهى المطلب</w:t>
      </w:r>
      <w:r w:rsidRPr="003F3B94">
        <w:rPr>
          <w:rFonts w:ascii="Abo-thar" w:hAnsi="Abo-thar"/>
          <w:sz w:val="28"/>
          <w:rtl/>
          <w:lang w:bidi="ar-SY"/>
        </w:rPr>
        <w:t>»</w:t>
      </w:r>
      <w:r w:rsidRPr="003F3B94">
        <w:rPr>
          <w:rFonts w:ascii="Abo-thar" w:hAnsi="Abo-thar" w:hint="cs"/>
          <w:sz w:val="28"/>
          <w:rtl/>
          <w:lang w:bidi="ar-SY"/>
        </w:rPr>
        <w:t xml:space="preserve"> حيث قال</w:t>
      </w:r>
      <w:r w:rsidR="00217AB4" w:rsidRPr="003F3B94">
        <w:rPr>
          <w:rFonts w:ascii="Abo-thar" w:hAnsi="Abo-thar" w:hint="cs"/>
          <w:sz w:val="28"/>
          <w:rtl/>
          <w:lang w:bidi="ar-SY"/>
        </w:rPr>
        <w:t>:</w:t>
      </w:r>
      <w:r w:rsidRPr="003F3B94">
        <w:rPr>
          <w:rFonts w:ascii="Abo-thar" w:hAnsi="Abo-thar" w:hint="cs"/>
          <w:sz w:val="28"/>
          <w:rtl/>
          <w:lang w:bidi="ar-SY"/>
        </w:rPr>
        <w:t xml:space="preserve"> </w:t>
      </w:r>
    </w:p>
    <w:p w:rsidR="005C664D" w:rsidRPr="003F3B94" w:rsidRDefault="00EF2588" w:rsidP="003F3B94">
      <w:pPr>
        <w:pStyle w:val="a0"/>
        <w:rPr>
          <w:rFonts w:hint="cs"/>
          <w:rtl/>
          <w:lang w:bidi="ar-SY"/>
        </w:rPr>
      </w:pPr>
      <w:r w:rsidRPr="003F3B94">
        <w:rPr>
          <w:rFonts w:ascii="Abo-thar" w:hAnsi="Abo-thar" w:hint="cs"/>
          <w:sz w:val="28"/>
          <w:rtl/>
          <w:lang w:bidi="ar-SY"/>
        </w:rPr>
        <w:t>«</w:t>
      </w:r>
      <w:r w:rsidR="005C664D" w:rsidRPr="003F3B94">
        <w:rPr>
          <w:rFonts w:ascii="Abo-thar" w:hAnsi="Abo-thar"/>
          <w:b/>
          <w:bCs/>
          <w:sz w:val="28"/>
          <w:rtl/>
          <w:lang w:bidi="ar-SY"/>
        </w:rPr>
        <w:t>إذا ثبت هذا فهل يشترط منه الفقر أم لا</w:t>
      </w:r>
      <w:r w:rsidR="00217AB4" w:rsidRPr="003F3B94">
        <w:rPr>
          <w:rFonts w:ascii="Abo-thar" w:hAnsi="Abo-thar" w:hint="cs"/>
          <w:b/>
          <w:bCs/>
          <w:sz w:val="28"/>
          <w:rtl/>
          <w:lang w:bidi="ar-SY"/>
        </w:rPr>
        <w:t>؟</w:t>
      </w:r>
      <w:r w:rsidR="00147857" w:rsidRPr="003F3B94">
        <w:rPr>
          <w:rFonts w:ascii="Abo-thar" w:hAnsi="Abo-thar" w:hint="cs"/>
          <w:b/>
          <w:bCs/>
          <w:sz w:val="28"/>
          <w:rtl/>
          <w:lang w:bidi="ar-SY"/>
        </w:rPr>
        <w:t xml:space="preserve"> </w:t>
      </w:r>
      <w:r w:rsidR="005C664D" w:rsidRPr="003F3B94">
        <w:rPr>
          <w:rFonts w:ascii="Abo-thar" w:hAnsi="Abo-thar"/>
          <w:b/>
          <w:bCs/>
          <w:sz w:val="28"/>
          <w:rtl/>
          <w:lang w:bidi="ar-SY"/>
        </w:rPr>
        <w:t xml:space="preserve">قال الشيخ </w:t>
      </w:r>
      <w:r w:rsidR="005C664D" w:rsidRPr="003F3B94">
        <w:rPr>
          <w:rFonts w:ascii="Abo-thar" w:hAnsi="Abo-thar" w:hint="cs"/>
          <w:b/>
          <w:bCs/>
          <w:sz w:val="28"/>
          <w:rtl/>
          <w:lang w:bidi="ar-SY"/>
        </w:rPr>
        <w:t xml:space="preserve">[الطوسي] </w:t>
      </w:r>
      <w:r w:rsidR="005C664D" w:rsidRPr="003F3B94">
        <w:rPr>
          <w:rFonts w:ascii="Abo-thar" w:hAnsi="Abo-thar"/>
          <w:b/>
          <w:bCs/>
          <w:sz w:val="28"/>
          <w:rtl/>
          <w:lang w:bidi="ar-SY"/>
        </w:rPr>
        <w:t>في المبسوط لا يشترط الفقر</w:t>
      </w:r>
      <w:r w:rsidR="00217AB4" w:rsidRPr="003F3B94">
        <w:rPr>
          <w:rFonts w:ascii="Abo-thar" w:hAnsi="Abo-thar" w:hint="cs"/>
          <w:b/>
          <w:bCs/>
          <w:sz w:val="28"/>
          <w:rtl/>
          <w:lang w:bidi="ar-SY"/>
        </w:rPr>
        <w:t>!!</w:t>
      </w:r>
      <w:r w:rsidR="005C664D" w:rsidRPr="003F3B94">
        <w:rPr>
          <w:rFonts w:ascii="Abo-thar" w:hAnsi="Abo-thar"/>
          <w:b/>
          <w:bCs/>
          <w:sz w:val="28"/>
          <w:rtl/>
          <w:lang w:bidi="ar-SY"/>
        </w:rPr>
        <w:t xml:space="preserve"> وهو أحد قولي الشافع</w:t>
      </w:r>
      <w:r w:rsidR="005C664D" w:rsidRPr="003F3B94">
        <w:rPr>
          <w:rFonts w:ascii="Abo-thar" w:hAnsi="Abo-thar" w:hint="cs"/>
          <w:b/>
          <w:bCs/>
          <w:sz w:val="28"/>
          <w:rtl/>
          <w:lang w:bidi="ar-SY"/>
        </w:rPr>
        <w:t>ي</w:t>
      </w:r>
      <w:r w:rsidR="005C664D" w:rsidRPr="003F3B94">
        <w:rPr>
          <w:rFonts w:ascii="Abo-thar" w:hAnsi="Abo-thar"/>
          <w:b/>
          <w:bCs/>
          <w:sz w:val="28"/>
          <w:rtl/>
          <w:lang w:bidi="ar-SY"/>
        </w:rPr>
        <w:t xml:space="preserve"> وفي الآخر شرط</w:t>
      </w:r>
      <w:r w:rsidR="005C664D" w:rsidRPr="003F3B94">
        <w:rPr>
          <w:rFonts w:ascii="Abo-thar" w:hAnsi="Abo-thar" w:hint="cs"/>
          <w:b/>
          <w:bCs/>
          <w:sz w:val="28"/>
          <w:rtl/>
          <w:lang w:bidi="ar-SY"/>
        </w:rPr>
        <w:t>ٌ</w:t>
      </w:r>
      <w:r w:rsidR="00217AB4" w:rsidRPr="003F3B94">
        <w:rPr>
          <w:rFonts w:ascii="Abo-thar" w:hAnsi="Abo-thar" w:hint="cs"/>
          <w:b/>
          <w:bCs/>
          <w:sz w:val="28"/>
          <w:rtl/>
          <w:lang w:bidi="ar-SY"/>
        </w:rPr>
        <w:t>.</w:t>
      </w:r>
      <w:r w:rsidR="005C664D" w:rsidRPr="003F3B94">
        <w:rPr>
          <w:rFonts w:ascii="Abo-thar" w:hAnsi="Abo-thar"/>
          <w:b/>
          <w:bCs/>
          <w:sz w:val="28"/>
          <w:rtl/>
          <w:lang w:bidi="ar-SY"/>
        </w:rPr>
        <w:t xml:space="preserve"> احتج الشيخ </w:t>
      </w:r>
      <w:r w:rsidR="005C664D" w:rsidRPr="003F3B94">
        <w:rPr>
          <w:rFonts w:ascii="Abo-thar" w:hAnsi="Abo-thar" w:hint="cs"/>
          <w:b/>
          <w:bCs/>
          <w:sz w:val="28"/>
          <w:rtl/>
          <w:lang w:bidi="ar-SY"/>
        </w:rPr>
        <w:t xml:space="preserve">[الطوسي] </w:t>
      </w:r>
      <w:r w:rsidR="005C664D" w:rsidRPr="003F3B94">
        <w:rPr>
          <w:rFonts w:ascii="Abo-thar" w:hAnsi="Abo-thar"/>
          <w:b/>
          <w:bCs/>
          <w:sz w:val="28"/>
          <w:rtl/>
          <w:lang w:bidi="ar-SY"/>
        </w:rPr>
        <w:t>بعموم الآية</w:t>
      </w:r>
      <w:r w:rsidR="00217AB4" w:rsidRPr="003F3B94">
        <w:rPr>
          <w:rFonts w:ascii="Abo-thar" w:hAnsi="Abo-thar" w:hint="cs"/>
          <w:b/>
          <w:bCs/>
          <w:sz w:val="28"/>
          <w:rtl/>
          <w:lang w:bidi="ar-SY"/>
        </w:rPr>
        <w:t>،</w:t>
      </w:r>
      <w:r w:rsidR="005C664D" w:rsidRPr="003F3B94">
        <w:rPr>
          <w:rFonts w:ascii="Abo-thar" w:hAnsi="Abo-thar"/>
          <w:b/>
          <w:bCs/>
          <w:sz w:val="28"/>
          <w:rtl/>
          <w:lang w:bidi="ar-SY"/>
        </w:rPr>
        <w:t xml:space="preserve"> ولأنه يستحق بالسهم فيستوي فيه الغنى والفق</w:t>
      </w:r>
      <w:r w:rsidR="005C664D" w:rsidRPr="003F3B94">
        <w:rPr>
          <w:rFonts w:ascii="Abo-thar" w:hAnsi="Abo-thar" w:hint="cs"/>
          <w:b/>
          <w:bCs/>
          <w:sz w:val="28"/>
          <w:rtl/>
          <w:lang w:bidi="ar-SY"/>
        </w:rPr>
        <w:t>ي</w:t>
      </w:r>
      <w:r w:rsidR="005C664D" w:rsidRPr="003F3B94">
        <w:rPr>
          <w:rFonts w:ascii="Abo-thar" w:hAnsi="Abo-thar"/>
          <w:b/>
          <w:bCs/>
          <w:sz w:val="28"/>
          <w:rtl/>
          <w:lang w:bidi="ar-SY"/>
        </w:rPr>
        <w:t>ر</w:t>
      </w:r>
      <w:r w:rsidR="00217AB4" w:rsidRPr="003F3B94">
        <w:rPr>
          <w:rFonts w:ascii="Abo-thar" w:hAnsi="Abo-thar" w:hint="cs"/>
          <w:b/>
          <w:bCs/>
          <w:sz w:val="28"/>
          <w:rtl/>
          <w:lang w:bidi="ar-SY"/>
        </w:rPr>
        <w:t>!!</w:t>
      </w:r>
      <w:r w:rsidR="005C664D" w:rsidRPr="003F3B94">
        <w:rPr>
          <w:rFonts w:ascii="Abo-thar" w:hAnsi="Abo-thar"/>
          <w:b/>
          <w:bCs/>
          <w:sz w:val="28"/>
          <w:rtl/>
          <w:lang w:bidi="ar-SY"/>
        </w:rPr>
        <w:t xml:space="preserve"> كذي القربى</w:t>
      </w:r>
      <w:r w:rsidR="00217AB4" w:rsidRPr="003F3B94">
        <w:rPr>
          <w:rFonts w:ascii="Abo-thar" w:hAnsi="Abo-thar" w:hint="cs"/>
          <w:b/>
          <w:bCs/>
          <w:sz w:val="28"/>
          <w:rtl/>
          <w:lang w:bidi="ar-SY"/>
        </w:rPr>
        <w:t>!</w:t>
      </w:r>
      <w:r w:rsidRPr="003F3B94">
        <w:rPr>
          <w:rFonts w:ascii="Abo-thar" w:hAnsi="Abo-thar" w:hint="cs"/>
          <w:sz w:val="28"/>
          <w:rtl/>
          <w:lang w:bidi="ar-SY"/>
        </w:rPr>
        <w:t>»</w:t>
      </w:r>
      <w:r w:rsidR="001E21CD" w:rsidRPr="0021507A">
        <w:rPr>
          <w:rFonts w:ascii="Abo-thar" w:hAnsi="Abo-thar" w:cs="Arabic11 BT"/>
          <w:sz w:val="28"/>
          <w:vertAlign w:val="superscript"/>
          <w:rtl/>
          <w:lang w:bidi="ar-SY"/>
        </w:rPr>
        <w:t>(</w:t>
      </w:r>
      <w:r w:rsidR="001E21CD" w:rsidRPr="0021507A">
        <w:rPr>
          <w:rStyle w:val="FootnoteReference"/>
          <w:rFonts w:ascii="Abo-thar" w:hAnsi="Abo-thar" w:cs="Arabic11 BT"/>
          <w:sz w:val="28"/>
          <w:rtl/>
          <w:lang w:bidi="ar-SY"/>
        </w:rPr>
        <w:footnoteReference w:id="218"/>
      </w:r>
      <w:r w:rsidR="001E21CD" w:rsidRPr="0021507A">
        <w:rPr>
          <w:rFonts w:ascii="Abo-thar" w:hAnsi="Abo-thar" w:cs="Arabic11 BT"/>
          <w:sz w:val="28"/>
          <w:vertAlign w:val="superscript"/>
          <w:rtl/>
          <w:lang w:bidi="ar-SY"/>
        </w:rPr>
        <w:t>)</w:t>
      </w:r>
      <w:r w:rsidR="00217AB4" w:rsidRPr="003F3B94">
        <w:rPr>
          <w:rFonts w:ascii="Abo-thar" w:hAnsi="Abo-thar" w:hint="cs"/>
          <w:sz w:val="28"/>
          <w:rtl/>
          <w:lang w:bidi="ar-SY"/>
        </w:rPr>
        <w:t>.</w:t>
      </w:r>
    </w:p>
    <w:p w:rsidR="005C664D" w:rsidRPr="003F3B94" w:rsidRDefault="005C664D" w:rsidP="003F3B94">
      <w:pPr>
        <w:pStyle w:val="a0"/>
        <w:rPr>
          <w:rFonts w:hint="cs"/>
          <w:rtl/>
        </w:rPr>
      </w:pPr>
      <w:r w:rsidRPr="003F3B94">
        <w:rPr>
          <w:rFonts w:ascii="Abo-thar" w:hAnsi="Abo-thar" w:hint="cs"/>
          <w:sz w:val="28"/>
          <w:rtl/>
          <w:lang w:bidi="ar-SY"/>
        </w:rPr>
        <w:t>ولو قيل إنه إذا كان اليتامى والمساكين وأبناء السبيل من بني هاشم أغنياء فإن لإمام المسلمين وحاكمهم الحق بصرف سهمهم في مصالح المسلمين لكان لإنفاق هذه الميزانية الضخمة في حاجات المسلمين مَحْمَلٌ مقبولٌ</w:t>
      </w:r>
      <w:r w:rsidR="001E0DB7" w:rsidRPr="003F3B94">
        <w:rPr>
          <w:rFonts w:ascii="Abo-thar" w:hAnsi="Abo-thar" w:hint="cs"/>
          <w:sz w:val="28"/>
          <w:rtl/>
          <w:lang w:bidi="ar-SY"/>
        </w:rPr>
        <w:t>،</w:t>
      </w:r>
      <w:r w:rsidRPr="003F3B94">
        <w:rPr>
          <w:rFonts w:ascii="Abo-thar" w:hAnsi="Abo-thar" w:hint="cs"/>
          <w:sz w:val="28"/>
          <w:rtl/>
          <w:lang w:bidi="ar-SY"/>
        </w:rPr>
        <w:t xml:space="preserve"> ولكن القضية ليست كذلك فقد قال الفقيه </w:t>
      </w:r>
      <w:r w:rsidRPr="003F3B94">
        <w:rPr>
          <w:rFonts w:ascii="Abo-thar" w:hAnsi="Abo-thar"/>
          <w:sz w:val="28"/>
          <w:rtl/>
          <w:lang w:bidi="ar-SY"/>
        </w:rPr>
        <w:t>«</w:t>
      </w:r>
      <w:r w:rsidRPr="003F3B94">
        <w:rPr>
          <w:rFonts w:ascii="Abo-thar" w:hAnsi="Abo-thar" w:hint="cs"/>
          <w:sz w:val="28"/>
          <w:rtl/>
          <w:lang w:bidi="ar-SY"/>
        </w:rPr>
        <w:t>محمد بن إدريس</w:t>
      </w:r>
      <w:r w:rsidRPr="003F3B94">
        <w:rPr>
          <w:rFonts w:ascii="Abo-thar" w:hAnsi="Abo-thar"/>
          <w:sz w:val="28"/>
          <w:rtl/>
          <w:lang w:bidi="ar-SY"/>
        </w:rPr>
        <w:t>»</w:t>
      </w:r>
      <w:r w:rsidRPr="003F3B94">
        <w:rPr>
          <w:rFonts w:ascii="Abo-thar" w:hAnsi="Abo-thar" w:hint="cs"/>
          <w:sz w:val="28"/>
          <w:rtl/>
          <w:lang w:bidi="ar-SY"/>
        </w:rPr>
        <w:t xml:space="preserve"> في السرائر</w:t>
      </w:r>
      <w:r w:rsidR="00217AB4" w:rsidRPr="003F3B94">
        <w:rPr>
          <w:rFonts w:ascii="Abo-thar" w:hAnsi="Abo-thar" w:hint="cs"/>
          <w:sz w:val="28"/>
          <w:rtl/>
          <w:lang w:bidi="ar-SY"/>
        </w:rPr>
        <w:t>:</w:t>
      </w:r>
      <w:r w:rsidRPr="003F3B94">
        <w:rPr>
          <w:rFonts w:ascii="Abo-thar" w:hAnsi="Abo-thar" w:hint="cs"/>
          <w:sz w:val="28"/>
          <w:rtl/>
          <w:lang w:bidi="ar-SY"/>
        </w:rPr>
        <w:t xml:space="preserve"> </w:t>
      </w:r>
    </w:p>
    <w:p w:rsidR="005C664D" w:rsidRPr="003F3B94" w:rsidRDefault="00EF2588" w:rsidP="003F3B94">
      <w:pPr>
        <w:pStyle w:val="a0"/>
        <w:rPr>
          <w:rFonts w:hint="cs"/>
          <w:rtl/>
          <w:lang w:bidi="ar-SY"/>
        </w:rPr>
      </w:pPr>
      <w:r w:rsidRPr="003F3B94">
        <w:rPr>
          <w:rFonts w:ascii="Abo-thar" w:hAnsi="Abo-thar" w:hint="cs"/>
          <w:sz w:val="28"/>
          <w:rtl/>
          <w:lang w:bidi="ar-SY"/>
        </w:rPr>
        <w:t>«</w:t>
      </w:r>
      <w:r w:rsidR="005C664D" w:rsidRPr="003F3B94">
        <w:rPr>
          <w:rFonts w:ascii="Abo-thar" w:hAnsi="Abo-thar"/>
          <w:b/>
          <w:bCs/>
          <w:sz w:val="28"/>
          <w:rtl/>
          <w:lang w:bidi="ar-SY"/>
        </w:rPr>
        <w:t>ف</w:t>
      </w:r>
      <w:r w:rsidR="005C664D" w:rsidRPr="003F3B94">
        <w:rPr>
          <w:rFonts w:ascii="Abo-thar" w:hAnsi="Abo-thar" w:hint="cs"/>
          <w:b/>
          <w:bCs/>
          <w:sz w:val="28"/>
          <w:rtl/>
          <w:lang w:bidi="ar-SY"/>
        </w:rPr>
        <w:t>إ</w:t>
      </w:r>
      <w:r w:rsidR="00F11A13" w:rsidRPr="003F3B94">
        <w:rPr>
          <w:rFonts w:ascii="Abo-thar" w:hAnsi="Abo-thar"/>
          <w:b/>
          <w:bCs/>
          <w:sz w:val="28"/>
          <w:rtl/>
          <w:lang w:bidi="ar-SY"/>
        </w:rPr>
        <w:t>ن فضل من ذ</w:t>
      </w:r>
      <w:r w:rsidR="00F11A13" w:rsidRPr="003F3B94">
        <w:rPr>
          <w:rFonts w:ascii="Abo-thar" w:hAnsi="Abo-thar" w:hint="cs"/>
          <w:b/>
          <w:bCs/>
          <w:sz w:val="28"/>
          <w:rtl/>
          <w:lang w:bidi="ar-SY"/>
        </w:rPr>
        <w:t>لك</w:t>
      </w:r>
      <w:r w:rsidR="005C664D" w:rsidRPr="003F3B94">
        <w:rPr>
          <w:rFonts w:ascii="Abo-thar" w:hAnsi="Abo-thar"/>
          <w:b/>
          <w:bCs/>
          <w:sz w:val="28"/>
          <w:rtl/>
          <w:lang w:bidi="ar-SY"/>
        </w:rPr>
        <w:t xml:space="preserve"> ش</w:t>
      </w:r>
      <w:r w:rsidR="005C664D" w:rsidRPr="003F3B94">
        <w:rPr>
          <w:rFonts w:ascii="Abo-thar" w:hAnsi="Abo-thar" w:hint="cs"/>
          <w:b/>
          <w:bCs/>
          <w:sz w:val="28"/>
          <w:rtl/>
          <w:lang w:bidi="ar-SY"/>
        </w:rPr>
        <w:t>يءٌ</w:t>
      </w:r>
      <w:r w:rsidR="005C664D" w:rsidRPr="003F3B94">
        <w:rPr>
          <w:rFonts w:ascii="Abo-thar" w:hAnsi="Abo-thar"/>
          <w:b/>
          <w:bCs/>
          <w:sz w:val="28"/>
          <w:rtl/>
          <w:lang w:bidi="ar-SY"/>
        </w:rPr>
        <w:t xml:space="preserve"> </w:t>
      </w:r>
      <w:r w:rsidR="005C664D" w:rsidRPr="003F3B94">
        <w:rPr>
          <w:rFonts w:ascii="Abo-thar" w:hAnsi="Abo-thar" w:hint="cs"/>
          <w:b/>
          <w:bCs/>
          <w:sz w:val="28"/>
          <w:rtl/>
          <w:lang w:bidi="ar-SY"/>
        </w:rPr>
        <w:t xml:space="preserve">كان </w:t>
      </w:r>
      <w:r w:rsidR="005C664D" w:rsidRPr="003F3B94">
        <w:rPr>
          <w:rFonts w:ascii="Abo-thar" w:hAnsi="Abo-thar"/>
          <w:b/>
          <w:bCs/>
          <w:sz w:val="28"/>
          <w:rtl/>
          <w:lang w:bidi="ar-SY"/>
        </w:rPr>
        <w:t>هو</w:t>
      </w:r>
      <w:r w:rsidR="005C664D" w:rsidRPr="003F3B94">
        <w:rPr>
          <w:rFonts w:ascii="Abo-thar" w:hAnsi="Abo-thar" w:hint="cs"/>
          <w:b/>
          <w:bCs/>
          <w:sz w:val="28"/>
          <w:rtl/>
          <w:lang w:bidi="ar-SY"/>
        </w:rPr>
        <w:t xml:space="preserve"> </w:t>
      </w:r>
      <w:r w:rsidR="005C664D" w:rsidRPr="003F3B94">
        <w:rPr>
          <w:rFonts w:ascii="Abo-thar" w:hAnsi="Abo-thar"/>
          <w:b/>
          <w:bCs/>
          <w:sz w:val="28"/>
          <w:rtl/>
          <w:lang w:bidi="ar-SY"/>
        </w:rPr>
        <w:t>الحافظ له والمتول</w:t>
      </w:r>
      <w:r w:rsidR="005C664D" w:rsidRPr="003F3B94">
        <w:rPr>
          <w:rFonts w:ascii="Abo-thar" w:hAnsi="Abo-thar" w:hint="cs"/>
          <w:b/>
          <w:bCs/>
          <w:sz w:val="28"/>
          <w:rtl/>
          <w:lang w:bidi="ar-SY"/>
        </w:rPr>
        <w:t>ي</w:t>
      </w:r>
      <w:r w:rsidR="005C664D" w:rsidRPr="003F3B94">
        <w:rPr>
          <w:rFonts w:ascii="Abo-thar" w:hAnsi="Abo-thar"/>
          <w:b/>
          <w:bCs/>
          <w:sz w:val="28"/>
          <w:rtl/>
          <w:lang w:bidi="ar-SY"/>
        </w:rPr>
        <w:t xml:space="preserve"> لحفظه عل</w:t>
      </w:r>
      <w:r w:rsidR="00F11A13" w:rsidRPr="003F3B94">
        <w:rPr>
          <w:rFonts w:ascii="Abo-thar" w:hAnsi="Abo-thar" w:hint="cs"/>
          <w:b/>
          <w:bCs/>
          <w:sz w:val="28"/>
          <w:rtl/>
          <w:lang w:bidi="ar-SY"/>
        </w:rPr>
        <w:t>ي</w:t>
      </w:r>
      <w:r w:rsidR="005C664D" w:rsidRPr="003F3B94">
        <w:rPr>
          <w:rFonts w:ascii="Abo-thar" w:hAnsi="Abo-thar" w:hint="eastAsia"/>
          <w:b/>
          <w:bCs/>
          <w:sz w:val="28"/>
          <w:rtl/>
          <w:lang w:bidi="ar-SY"/>
        </w:rPr>
        <w:t>هم</w:t>
      </w:r>
      <w:r w:rsidR="005C664D" w:rsidRPr="003F3B94">
        <w:rPr>
          <w:rFonts w:ascii="Abo-thar" w:hAnsi="Abo-thar"/>
          <w:b/>
          <w:bCs/>
          <w:sz w:val="28"/>
          <w:rtl/>
          <w:lang w:bidi="ar-SY"/>
        </w:rPr>
        <w:t xml:space="preserve"> ولا </w:t>
      </w:r>
      <w:r w:rsidR="00F11A13" w:rsidRPr="003F3B94">
        <w:rPr>
          <w:rFonts w:ascii="Abo-thar" w:hAnsi="Abo-thar" w:hint="cs"/>
          <w:b/>
          <w:bCs/>
          <w:sz w:val="28"/>
          <w:rtl/>
          <w:lang w:bidi="ar-SY"/>
        </w:rPr>
        <w:t>ي</w:t>
      </w:r>
      <w:r w:rsidR="005C664D" w:rsidRPr="003F3B94">
        <w:rPr>
          <w:rFonts w:ascii="Abo-thar" w:hAnsi="Abo-thar" w:hint="eastAsia"/>
          <w:b/>
          <w:bCs/>
          <w:sz w:val="28"/>
          <w:rtl/>
          <w:lang w:bidi="ar-SY"/>
        </w:rPr>
        <w:t>جوز</w:t>
      </w:r>
      <w:r w:rsidR="005C664D" w:rsidRPr="003F3B94">
        <w:rPr>
          <w:rFonts w:ascii="Abo-thar" w:hAnsi="Abo-thar"/>
          <w:b/>
          <w:bCs/>
          <w:sz w:val="28"/>
          <w:rtl/>
          <w:lang w:bidi="ar-SY"/>
        </w:rPr>
        <w:t xml:space="preserve"> </w:t>
      </w:r>
      <w:r w:rsidR="005C664D" w:rsidRPr="003F3B94">
        <w:rPr>
          <w:rFonts w:ascii="Abo-thar" w:hAnsi="Abo-thar" w:hint="cs"/>
          <w:b/>
          <w:bCs/>
          <w:sz w:val="28"/>
          <w:rtl/>
          <w:lang w:bidi="ar-SY"/>
        </w:rPr>
        <w:t>أ</w:t>
      </w:r>
      <w:r w:rsidR="005C664D" w:rsidRPr="003F3B94">
        <w:rPr>
          <w:rFonts w:ascii="Abo-thar" w:hAnsi="Abo-thar"/>
          <w:b/>
          <w:bCs/>
          <w:sz w:val="28"/>
          <w:rtl/>
          <w:lang w:bidi="ar-SY"/>
        </w:rPr>
        <w:t xml:space="preserve">ن </w:t>
      </w:r>
      <w:r w:rsidR="00F11A13" w:rsidRPr="003F3B94">
        <w:rPr>
          <w:rFonts w:ascii="Abo-thar" w:hAnsi="Abo-thar" w:hint="cs"/>
          <w:b/>
          <w:bCs/>
          <w:sz w:val="28"/>
          <w:rtl/>
          <w:lang w:bidi="ar-SY"/>
        </w:rPr>
        <w:t>يملك</w:t>
      </w:r>
      <w:r w:rsidR="005C664D" w:rsidRPr="003F3B94">
        <w:rPr>
          <w:rFonts w:ascii="Abo-thar" w:hAnsi="Abo-thar"/>
          <w:b/>
          <w:bCs/>
          <w:sz w:val="28"/>
          <w:rtl/>
          <w:lang w:bidi="ar-SY"/>
        </w:rPr>
        <w:t xml:space="preserve"> ش</w:t>
      </w:r>
      <w:r w:rsidR="00F11A13" w:rsidRPr="003F3B94">
        <w:rPr>
          <w:rFonts w:ascii="Abo-thar" w:hAnsi="Abo-thar" w:hint="cs"/>
          <w:b/>
          <w:bCs/>
          <w:sz w:val="28"/>
          <w:rtl/>
          <w:lang w:bidi="ar-SY"/>
        </w:rPr>
        <w:t>ي</w:t>
      </w:r>
      <w:r w:rsidR="005C664D" w:rsidRPr="003F3B94">
        <w:rPr>
          <w:rFonts w:ascii="Abo-thar" w:hAnsi="Abo-thar" w:hint="eastAsia"/>
          <w:b/>
          <w:bCs/>
          <w:sz w:val="28"/>
          <w:rtl/>
          <w:lang w:bidi="ar-SY"/>
        </w:rPr>
        <w:t>ئاً</w:t>
      </w:r>
      <w:r w:rsidRPr="003F3B94">
        <w:rPr>
          <w:rFonts w:ascii="Abo-thar" w:hAnsi="Abo-thar" w:hint="cs"/>
          <w:sz w:val="28"/>
          <w:rtl/>
          <w:lang w:bidi="ar-SY"/>
        </w:rPr>
        <w:t>»</w:t>
      </w:r>
      <w:r w:rsidR="00217AB4" w:rsidRPr="003F3B94">
        <w:rPr>
          <w:rFonts w:ascii="Abo-thar" w:hAnsi="Abo-thar" w:hint="cs"/>
          <w:sz w:val="28"/>
          <w:rtl/>
          <w:lang w:bidi="ar-SY"/>
        </w:rPr>
        <w:t>.</w:t>
      </w:r>
    </w:p>
    <w:p w:rsidR="005C664D" w:rsidRPr="003F3B94" w:rsidRDefault="005C664D" w:rsidP="003F3B94">
      <w:pPr>
        <w:pStyle w:val="a0"/>
        <w:rPr>
          <w:rFonts w:hint="cs"/>
          <w:rtl/>
          <w:lang w:bidi="ar-SY"/>
        </w:rPr>
      </w:pPr>
      <w:r w:rsidRPr="003F3B94">
        <w:rPr>
          <w:rFonts w:ascii="Abo-thar" w:hAnsi="Abo-thar" w:hint="cs"/>
          <w:sz w:val="28"/>
          <w:rtl/>
          <w:lang w:bidi="ar-SY"/>
        </w:rPr>
        <w:t xml:space="preserve">وقال الشيخ الطوسي في «النهاية» </w:t>
      </w:r>
      <w:r w:rsidR="00EF2588" w:rsidRPr="003F3B94">
        <w:rPr>
          <w:rFonts w:ascii="Abo-thar" w:hAnsi="Abo-thar" w:hint="cs"/>
          <w:sz w:val="28"/>
          <w:rtl/>
          <w:lang w:bidi="ar-SY"/>
        </w:rPr>
        <w:t>«</w:t>
      </w:r>
      <w:r w:rsidRPr="003F3B94">
        <w:rPr>
          <w:rFonts w:ascii="Abo-thar" w:hAnsi="Abo-thar"/>
          <w:b/>
          <w:bCs/>
          <w:sz w:val="28"/>
          <w:rtl/>
          <w:lang w:bidi="ar-SY"/>
        </w:rPr>
        <w:t>ول</w:t>
      </w:r>
      <w:r w:rsidR="00F11A13" w:rsidRPr="003F3B94">
        <w:rPr>
          <w:rFonts w:ascii="Abo-thar" w:hAnsi="Abo-thar" w:hint="cs"/>
          <w:b/>
          <w:bCs/>
          <w:sz w:val="28"/>
          <w:rtl/>
          <w:lang w:bidi="ar-SY"/>
        </w:rPr>
        <w:t>ي</w:t>
      </w:r>
      <w:r w:rsidRPr="003F3B94">
        <w:rPr>
          <w:rFonts w:ascii="Abo-thar" w:hAnsi="Abo-thar" w:hint="eastAsia"/>
          <w:b/>
          <w:bCs/>
          <w:sz w:val="28"/>
          <w:rtl/>
          <w:lang w:bidi="ar-SY"/>
        </w:rPr>
        <w:t>س</w:t>
      </w:r>
      <w:r w:rsidRPr="003F3B94">
        <w:rPr>
          <w:rFonts w:ascii="Abo-thar" w:hAnsi="Abo-thar"/>
          <w:b/>
          <w:bCs/>
          <w:sz w:val="28"/>
          <w:rtl/>
          <w:lang w:bidi="ar-SY"/>
        </w:rPr>
        <w:t xml:space="preserve"> لغ</w:t>
      </w:r>
      <w:r w:rsidR="00F11A13" w:rsidRPr="003F3B94">
        <w:rPr>
          <w:rFonts w:ascii="Abo-thar" w:hAnsi="Abo-thar" w:hint="cs"/>
          <w:b/>
          <w:bCs/>
          <w:sz w:val="28"/>
          <w:rtl/>
          <w:lang w:bidi="ar-SY"/>
        </w:rPr>
        <w:t>ي</w:t>
      </w:r>
      <w:r w:rsidRPr="003F3B94">
        <w:rPr>
          <w:rFonts w:ascii="Abo-thar" w:hAnsi="Abo-thar" w:hint="eastAsia"/>
          <w:b/>
          <w:bCs/>
          <w:sz w:val="28"/>
          <w:rtl/>
          <w:lang w:bidi="ar-SY"/>
        </w:rPr>
        <w:t>رهم</w:t>
      </w:r>
      <w:r w:rsidRPr="003F3B94">
        <w:rPr>
          <w:rFonts w:ascii="Abo-thar" w:hAnsi="Abo-thar"/>
          <w:b/>
          <w:bCs/>
          <w:sz w:val="28"/>
          <w:rtl/>
          <w:lang w:bidi="ar-SY"/>
        </w:rPr>
        <w:t xml:space="preserve"> </w:t>
      </w:r>
      <w:r w:rsidR="00217AB4" w:rsidRPr="003F3B94">
        <w:rPr>
          <w:rFonts w:ascii="Abo-thar" w:hAnsi="Abo-thar"/>
          <w:b/>
          <w:bCs/>
          <w:sz w:val="28"/>
          <w:rtl/>
          <w:lang w:bidi="ar-SY"/>
        </w:rPr>
        <w:t>(</w:t>
      </w:r>
      <w:r w:rsidRPr="003F3B94">
        <w:rPr>
          <w:rFonts w:ascii="Abo-thar" w:hAnsi="Abo-thar" w:hint="cs"/>
          <w:b/>
          <w:bCs/>
          <w:sz w:val="28"/>
          <w:rtl/>
          <w:lang w:bidi="ar-SY"/>
        </w:rPr>
        <w:t>أي</w:t>
      </w:r>
      <w:r w:rsidRPr="003F3B94">
        <w:rPr>
          <w:rFonts w:ascii="Abo-thar" w:hAnsi="Abo-thar"/>
          <w:b/>
          <w:bCs/>
          <w:sz w:val="28"/>
          <w:rtl/>
          <w:lang w:bidi="ar-SY"/>
        </w:rPr>
        <w:t xml:space="preserve"> بن</w:t>
      </w:r>
      <w:r w:rsidRPr="003F3B94">
        <w:rPr>
          <w:rFonts w:ascii="Abo-thar" w:hAnsi="Abo-thar" w:hint="cs"/>
          <w:b/>
          <w:bCs/>
          <w:sz w:val="28"/>
          <w:rtl/>
          <w:lang w:bidi="ar-SY"/>
        </w:rPr>
        <w:t>ي</w:t>
      </w:r>
      <w:r w:rsidRPr="003F3B94">
        <w:rPr>
          <w:rFonts w:cs="Times New Roman" w:hint="cs"/>
          <w:b/>
          <w:bCs/>
          <w:sz w:val="28"/>
          <w:rtl/>
          <w:lang w:bidi="ar-SY"/>
        </w:rPr>
        <w:t>‌</w:t>
      </w:r>
      <w:r w:rsidRPr="003F3B94">
        <w:rPr>
          <w:rFonts w:ascii="Abo-thar" w:hAnsi="Abo-thar" w:hint="cs"/>
          <w:b/>
          <w:bCs/>
          <w:sz w:val="28"/>
          <w:rtl/>
          <w:lang w:bidi="ar-SY"/>
        </w:rPr>
        <w:t xml:space="preserve"> </w:t>
      </w:r>
      <w:r w:rsidRPr="003F3B94">
        <w:rPr>
          <w:rFonts w:ascii="Abo-thar" w:hAnsi="Abo-thar" w:hint="eastAsia"/>
          <w:b/>
          <w:bCs/>
          <w:sz w:val="28"/>
          <w:rtl/>
          <w:lang w:bidi="ar-SY"/>
        </w:rPr>
        <w:t>هاشم</w:t>
      </w:r>
      <w:r w:rsidR="00217AB4" w:rsidRPr="003F3B94">
        <w:rPr>
          <w:rFonts w:ascii="Abo-thar" w:hAnsi="Abo-thar"/>
          <w:b/>
          <w:bCs/>
          <w:sz w:val="28"/>
          <w:rtl/>
          <w:lang w:bidi="ar-SY"/>
        </w:rPr>
        <w:t>)</w:t>
      </w:r>
      <w:r w:rsidRPr="003F3B94">
        <w:rPr>
          <w:rFonts w:ascii="Abo-thar" w:hAnsi="Abo-thar"/>
          <w:b/>
          <w:bCs/>
          <w:sz w:val="28"/>
          <w:rtl/>
          <w:lang w:bidi="ar-SY"/>
        </w:rPr>
        <w:t xml:space="preserve"> ش</w:t>
      </w:r>
      <w:r w:rsidRPr="003F3B94">
        <w:rPr>
          <w:rFonts w:ascii="Abo-thar" w:hAnsi="Abo-thar" w:hint="cs"/>
          <w:b/>
          <w:bCs/>
          <w:sz w:val="28"/>
          <w:rtl/>
          <w:lang w:bidi="ar-SY"/>
        </w:rPr>
        <w:t>يءٌ</w:t>
      </w:r>
      <w:r w:rsidRPr="003F3B94">
        <w:rPr>
          <w:rFonts w:ascii="Abo-thar" w:hAnsi="Abo-thar"/>
          <w:b/>
          <w:bCs/>
          <w:sz w:val="28"/>
          <w:rtl/>
          <w:lang w:bidi="ar-SY"/>
        </w:rPr>
        <w:t xml:space="preserve"> من ال</w:t>
      </w:r>
      <w:r w:rsidRPr="003F3B94">
        <w:rPr>
          <w:rFonts w:ascii="Abo-thar" w:hAnsi="Abo-thar" w:hint="cs"/>
          <w:b/>
          <w:bCs/>
          <w:sz w:val="28"/>
          <w:rtl/>
          <w:lang w:bidi="ar-SY"/>
        </w:rPr>
        <w:t>أ</w:t>
      </w:r>
      <w:r w:rsidRPr="003F3B94">
        <w:rPr>
          <w:rFonts w:ascii="Abo-thar" w:hAnsi="Abo-thar"/>
          <w:b/>
          <w:bCs/>
          <w:sz w:val="28"/>
          <w:rtl/>
          <w:lang w:bidi="ar-SY"/>
        </w:rPr>
        <w:t>خماس</w:t>
      </w:r>
      <w:r w:rsidR="00EF2588" w:rsidRPr="003F3B94">
        <w:rPr>
          <w:rFonts w:ascii="Abo-thar" w:hAnsi="Abo-thar" w:hint="cs"/>
          <w:sz w:val="28"/>
          <w:rtl/>
          <w:lang w:bidi="ar-SY"/>
        </w:rPr>
        <w:t>»</w:t>
      </w:r>
      <w:r w:rsidR="00217AB4" w:rsidRPr="003F3B94">
        <w:rPr>
          <w:rFonts w:ascii="Abo-thar" w:hAnsi="Abo-thar" w:hint="cs"/>
          <w:sz w:val="28"/>
          <w:rtl/>
          <w:lang w:bidi="ar-SY"/>
        </w:rPr>
        <w:t>.</w:t>
      </w:r>
    </w:p>
    <w:p w:rsidR="005C664D" w:rsidRPr="003F3B94" w:rsidRDefault="005C664D" w:rsidP="003F3B94">
      <w:pPr>
        <w:pStyle w:val="a0"/>
        <w:rPr>
          <w:rFonts w:hint="cs"/>
          <w:rtl/>
          <w:lang w:bidi="ar-SY"/>
        </w:rPr>
      </w:pPr>
      <w:r w:rsidRPr="003F3B94">
        <w:rPr>
          <w:rFonts w:ascii="Abo-thar" w:hAnsi="Abo-thar" w:hint="cs"/>
          <w:sz w:val="28"/>
          <w:rtl/>
          <w:lang w:bidi="ar-SY"/>
        </w:rPr>
        <w:t>إذن نصف تلك الأخماس هو لبني هاشم الذين ليس لهم مصداق في إيران سوى السادة من ذريّة فاطمة</w:t>
      </w:r>
      <w:r w:rsidR="00217AB4" w:rsidRPr="003F3B94">
        <w:rPr>
          <w:rFonts w:ascii="Abo-thar" w:hAnsi="Abo-thar" w:hint="cs"/>
          <w:sz w:val="28"/>
          <w:rtl/>
          <w:lang w:bidi="ar-SY"/>
        </w:rPr>
        <w:t>،</w:t>
      </w:r>
      <w:r w:rsidRPr="003F3B94">
        <w:rPr>
          <w:rFonts w:ascii="Abo-thar" w:hAnsi="Abo-thar" w:hint="cs"/>
          <w:sz w:val="28"/>
          <w:rtl/>
          <w:lang w:bidi="ar-SY"/>
        </w:rPr>
        <w:t xml:space="preserve"> والنصف الآخر الذي يطلقون عليه اصطلاحاً اسم </w:t>
      </w:r>
      <w:r w:rsidRPr="003F3B94">
        <w:rPr>
          <w:rFonts w:ascii="Abo-thar" w:hAnsi="Abo-thar" w:hint="eastAsia"/>
          <w:sz w:val="28"/>
          <w:rtl/>
          <w:lang w:bidi="ar-SY"/>
        </w:rPr>
        <w:t>«</w:t>
      </w:r>
      <w:r w:rsidRPr="003F3B94">
        <w:rPr>
          <w:rFonts w:ascii="Abo-thar" w:hAnsi="Abo-thar" w:hint="cs"/>
          <w:sz w:val="28"/>
          <w:rtl/>
          <w:lang w:bidi="ar-SY"/>
        </w:rPr>
        <w:t>سهم الإمام</w:t>
      </w:r>
      <w:r w:rsidRPr="003F3B94">
        <w:rPr>
          <w:rFonts w:ascii="Abo-thar" w:hAnsi="Abo-thar" w:hint="eastAsia"/>
          <w:sz w:val="28"/>
          <w:rtl/>
          <w:lang w:bidi="ar-SY"/>
        </w:rPr>
        <w:t>»</w:t>
      </w:r>
      <w:r w:rsidRPr="003F3B94">
        <w:rPr>
          <w:rFonts w:ascii="Abo-thar" w:hAnsi="Abo-thar" w:hint="cs"/>
          <w:sz w:val="28"/>
          <w:rtl/>
          <w:lang w:bidi="ar-SY"/>
        </w:rPr>
        <w:t xml:space="preserve"> يجب </w:t>
      </w:r>
      <w:r w:rsidRPr="003F3B94">
        <w:rPr>
          <w:rFonts w:cs="Times New Roman" w:hint="cs"/>
          <w:sz w:val="28"/>
          <w:rtl/>
          <w:lang w:bidi="ar-SY"/>
        </w:rPr>
        <w:t>–</w:t>
      </w:r>
      <w:r w:rsidRPr="003F3B94">
        <w:rPr>
          <w:rFonts w:ascii="Abo-thar" w:hAnsi="Abo-thar" w:hint="cs"/>
          <w:sz w:val="28"/>
          <w:rtl/>
          <w:lang w:bidi="ar-SY"/>
        </w:rPr>
        <w:t xml:space="preserve"> طبقاً لفتوى كبار فقهاء الشيعة القدماء </w:t>
      </w:r>
      <w:r w:rsidRPr="003F3B94">
        <w:rPr>
          <w:rFonts w:cs="Times New Roman" w:hint="cs"/>
          <w:sz w:val="28"/>
          <w:rtl/>
          <w:lang w:bidi="ar-SY"/>
        </w:rPr>
        <w:t>–</w:t>
      </w:r>
      <w:r w:rsidRPr="003F3B94">
        <w:rPr>
          <w:rFonts w:ascii="Abo-thar" w:hAnsi="Abo-thar" w:hint="cs"/>
          <w:sz w:val="28"/>
          <w:rtl/>
          <w:lang w:bidi="ar-SY"/>
        </w:rPr>
        <w:t>إما دفنه في الأرض أو عزله جانباً كأمانة تعطى لإمام الزمان حين ظهوره</w:t>
      </w:r>
      <w:r w:rsidR="00217AB4" w:rsidRPr="003F3B94">
        <w:rPr>
          <w:rFonts w:ascii="Abo-thar" w:hAnsi="Abo-thar" w:hint="cs"/>
          <w:sz w:val="28"/>
          <w:rtl/>
          <w:lang w:bidi="ar-SY"/>
        </w:rPr>
        <w:t>!!</w:t>
      </w:r>
      <w:r w:rsidRPr="003F3B94">
        <w:rPr>
          <w:rFonts w:ascii="Abo-thar" w:hAnsi="Abo-thar" w:hint="cs"/>
          <w:sz w:val="28"/>
          <w:rtl/>
          <w:lang w:bidi="ar-SY"/>
        </w:rPr>
        <w:t xml:space="preserve"> أو طبقاً لقول المرحوم الشيخ محمد حسين آل كاشف الغطاء يوضع تحت تصرف الأشخاص الذين يتعاملون معه</w:t>
      </w:r>
      <w:r w:rsidR="00147857" w:rsidRPr="003F3B94">
        <w:rPr>
          <w:rFonts w:ascii="Abo-thar" w:hAnsi="Abo-thar" w:hint="cs"/>
          <w:sz w:val="28"/>
          <w:rtl/>
          <w:lang w:bidi="ar-SY"/>
        </w:rPr>
        <w:t xml:space="preserve"> </w:t>
      </w:r>
      <w:r w:rsidRPr="003F3B94">
        <w:rPr>
          <w:rFonts w:ascii="Abo-thar" w:hAnsi="Abo-thar" w:hint="cs"/>
          <w:sz w:val="28"/>
          <w:rtl/>
          <w:lang w:bidi="ar-SY"/>
        </w:rPr>
        <w:t>كما لو كان مالاً لكافر حربي أي يحق لهم التصرف فيه كيفما شاؤوا إذ ليس له مصرف محدد آخر</w:t>
      </w:r>
      <w:r w:rsidR="00217AB4" w:rsidRPr="003F3B94">
        <w:rPr>
          <w:rFonts w:ascii="Abo-thar" w:hAnsi="Abo-thar" w:hint="cs"/>
          <w:sz w:val="28"/>
          <w:rtl/>
          <w:lang w:bidi="ar-SY"/>
        </w:rPr>
        <w:t>!!</w:t>
      </w:r>
      <w:r w:rsidRPr="003F3B94">
        <w:rPr>
          <w:rFonts w:ascii="Abo-thar" w:hAnsi="Abo-thar" w:hint="cs"/>
          <w:sz w:val="28"/>
          <w:rtl/>
          <w:lang w:bidi="ar-SY"/>
        </w:rPr>
        <w:t xml:space="preserve"> اللهم إلا أن يُعمل بفتوى الفقهاء أصحاب الرأي الذين ذكر المجلسي الأول في كتابه </w:t>
      </w:r>
      <w:r w:rsidRPr="003F3B94">
        <w:rPr>
          <w:rFonts w:ascii="Abo-thar" w:hAnsi="Abo-thar" w:hint="eastAsia"/>
          <w:sz w:val="28"/>
          <w:rtl/>
          <w:lang w:bidi="ar-SY"/>
        </w:rPr>
        <w:t>«</w:t>
      </w:r>
      <w:r w:rsidRPr="003F3B94">
        <w:rPr>
          <w:rFonts w:ascii="Abo-thar" w:hAnsi="Abo-thar" w:hint="cs"/>
          <w:sz w:val="28"/>
          <w:rtl/>
          <w:lang w:bidi="ar-SY"/>
        </w:rPr>
        <w:t>لوايح صاحبقراني</w:t>
      </w:r>
      <w:r w:rsidRPr="003F3B94">
        <w:rPr>
          <w:rFonts w:ascii="Abo-thar" w:hAnsi="Abo-thar" w:hint="eastAsia"/>
          <w:sz w:val="28"/>
          <w:rtl/>
          <w:lang w:bidi="ar-SY"/>
        </w:rPr>
        <w:t>»</w:t>
      </w:r>
      <w:r w:rsidRPr="003F3B94">
        <w:rPr>
          <w:rFonts w:ascii="Abo-thar" w:hAnsi="Abo-thar" w:hint="cs"/>
          <w:sz w:val="28"/>
          <w:rtl/>
          <w:lang w:bidi="ar-SY"/>
        </w:rPr>
        <w:t xml:space="preserve"> أنهم يفتون بإلقائه في البحر</w:t>
      </w:r>
      <w:r w:rsidR="00217AB4" w:rsidRPr="003F3B94">
        <w:rPr>
          <w:rFonts w:ascii="Abo-thar" w:hAnsi="Abo-thar" w:hint="cs"/>
          <w:sz w:val="28"/>
          <w:rtl/>
          <w:lang w:bidi="ar-SY"/>
        </w:rPr>
        <w:t>!</w:t>
      </w:r>
      <w:r w:rsidRPr="003F3B94">
        <w:rPr>
          <w:rFonts w:ascii="Abo-thar" w:hAnsi="Abo-thar" w:hint="cs"/>
          <w:sz w:val="28"/>
          <w:rtl/>
          <w:lang w:bidi="ar-SY"/>
        </w:rPr>
        <w:t xml:space="preserve"> </w:t>
      </w:r>
    </w:p>
    <w:p w:rsidR="005C664D" w:rsidRPr="003F3B94" w:rsidRDefault="005C664D" w:rsidP="003F3B94">
      <w:pPr>
        <w:pStyle w:val="a0"/>
        <w:rPr>
          <w:rFonts w:hint="cs"/>
          <w:rtl/>
          <w:lang w:bidi="ar-SY"/>
        </w:rPr>
      </w:pPr>
      <w:r w:rsidRPr="003F3B94">
        <w:rPr>
          <w:rFonts w:ascii="Abo-thar" w:hAnsi="Abo-thar" w:hint="cs"/>
          <w:sz w:val="28"/>
          <w:rtl/>
          <w:lang w:bidi="ar-SY"/>
        </w:rPr>
        <w:t>هذا هو الخُمس الذي يقول الفقهاء أن نبيَّ الله</w:t>
      </w:r>
      <w:r w:rsidR="00147857" w:rsidRPr="003F3B94">
        <w:rPr>
          <w:rFonts w:ascii="Abo-thar" w:hAnsi="Abo-thar" w:hint="cs"/>
          <w:sz w:val="28"/>
          <w:rtl/>
          <w:lang w:bidi="ar-SY"/>
        </w:rPr>
        <w:t xml:space="preserve"> </w:t>
      </w:r>
      <w:r w:rsidR="003C7AEB" w:rsidRPr="003C7AEB">
        <w:rPr>
          <w:rFonts w:ascii="Abo-thar" w:hAnsi="Abo-thar" w:cs="CTraditional Arabic"/>
          <w:sz w:val="28"/>
          <w:rtl/>
          <w:lang w:bidi="ar-SY"/>
        </w:rPr>
        <w:t>ص</w:t>
      </w:r>
      <w:r w:rsidR="00147857" w:rsidRPr="003F3B94">
        <w:rPr>
          <w:rFonts w:ascii="Abo-thar" w:hAnsi="Abo-thar"/>
          <w:sz w:val="28"/>
          <w:rtl/>
          <w:lang w:bidi="ar-SY"/>
        </w:rPr>
        <w:t xml:space="preserve"> </w:t>
      </w:r>
      <w:r w:rsidRPr="003F3B94">
        <w:rPr>
          <w:rFonts w:cs="Times New Roman" w:hint="cs"/>
          <w:sz w:val="28"/>
          <w:rtl/>
          <w:lang w:bidi="ar-SY"/>
        </w:rPr>
        <w:t>–</w:t>
      </w:r>
      <w:r w:rsidRPr="003F3B94">
        <w:rPr>
          <w:rFonts w:ascii="Abo-thar" w:hAnsi="Abo-thar" w:hint="cs"/>
          <w:sz w:val="28"/>
          <w:rtl/>
          <w:lang w:bidi="ar-SY"/>
        </w:rPr>
        <w:t xml:space="preserve"> الذي لم يسأل الناس أجراً على رسالته </w:t>
      </w:r>
      <w:r w:rsidRPr="003F3B94">
        <w:rPr>
          <w:rFonts w:cs="Times New Roman" w:hint="cs"/>
          <w:sz w:val="28"/>
          <w:rtl/>
          <w:lang w:bidi="ar-SY"/>
        </w:rPr>
        <w:t>–</w:t>
      </w:r>
      <w:r w:rsidRPr="003F3B94">
        <w:rPr>
          <w:rFonts w:ascii="Abo-thar" w:hAnsi="Abo-thar" w:hint="cs"/>
          <w:sz w:val="28"/>
          <w:rtl/>
          <w:lang w:bidi="ar-SY"/>
        </w:rPr>
        <w:t xml:space="preserve"> قد قرَّره وفرضه لأجل أسرته وذريته وقرابته</w:t>
      </w:r>
      <w:r w:rsidR="00217AB4" w:rsidRPr="003F3B94">
        <w:rPr>
          <w:rFonts w:ascii="Abo-thar" w:hAnsi="Abo-thar" w:hint="cs"/>
          <w:sz w:val="28"/>
          <w:rtl/>
          <w:lang w:bidi="ar-SY"/>
        </w:rPr>
        <w:t>!!</w:t>
      </w:r>
      <w:r w:rsidRPr="003F3B94">
        <w:rPr>
          <w:rFonts w:ascii="Abo-thar" w:hAnsi="Abo-thar" w:hint="cs"/>
          <w:sz w:val="28"/>
          <w:rtl/>
          <w:lang w:bidi="ar-SY"/>
        </w:rPr>
        <w:t xml:space="preserve"> تعويضاً لهم عن الزكاة التي تُعطى للفقراء من غير بني هاشم</w:t>
      </w:r>
      <w:r w:rsidR="001E0DB7" w:rsidRPr="003F3B94">
        <w:rPr>
          <w:rFonts w:ascii="Abo-thar" w:hAnsi="Abo-thar" w:hint="cs"/>
          <w:sz w:val="28"/>
          <w:rtl/>
          <w:lang w:bidi="ar-SY"/>
        </w:rPr>
        <w:t>،</w:t>
      </w:r>
      <w:r w:rsidRPr="003F3B94">
        <w:rPr>
          <w:rFonts w:ascii="Abo-thar" w:hAnsi="Abo-thar" w:hint="cs"/>
          <w:sz w:val="28"/>
          <w:rtl/>
          <w:lang w:bidi="ar-SY"/>
        </w:rPr>
        <w:t xml:space="preserve"> بل حتى للفقراء من بني هاشم أحياناً والتي لا</w:t>
      </w:r>
      <w:r w:rsidRPr="003F3B94">
        <w:rPr>
          <w:rFonts w:cs="Times New Roman" w:hint="cs"/>
          <w:sz w:val="28"/>
          <w:rtl/>
          <w:lang w:bidi="ar-SY"/>
        </w:rPr>
        <w:t> </w:t>
      </w:r>
      <w:r w:rsidRPr="003F3B94">
        <w:rPr>
          <w:rFonts w:ascii="Abo-thar" w:hAnsi="Abo-thar" w:hint="cs"/>
          <w:sz w:val="28"/>
          <w:rtl/>
          <w:lang w:bidi="ar-SY"/>
        </w:rPr>
        <w:t xml:space="preserve">تُؤخذ إلا من تسعة أشياء </w:t>
      </w:r>
      <w:r w:rsidR="00217AB4" w:rsidRPr="003F3B94">
        <w:rPr>
          <w:rFonts w:ascii="Abo-thar" w:hAnsi="Abo-thar" w:hint="cs"/>
          <w:sz w:val="28"/>
          <w:rtl/>
          <w:lang w:bidi="ar-SY"/>
        </w:rPr>
        <w:t>(</w:t>
      </w:r>
      <w:r w:rsidRPr="003F3B94">
        <w:rPr>
          <w:rFonts w:ascii="Abo-thar" w:hAnsi="Abo-thar" w:hint="cs"/>
          <w:sz w:val="28"/>
          <w:rtl/>
          <w:lang w:bidi="ar-SY"/>
        </w:rPr>
        <w:t>الجمال والأبقار والشياه السائمة غير المعلوفة</w:t>
      </w:r>
      <w:r w:rsidR="001E0DB7" w:rsidRPr="003F3B94">
        <w:rPr>
          <w:rFonts w:ascii="Abo-thar" w:hAnsi="Abo-thar" w:hint="cs"/>
          <w:sz w:val="28"/>
          <w:rtl/>
          <w:lang w:bidi="ar-SY"/>
        </w:rPr>
        <w:t>،</w:t>
      </w:r>
      <w:r w:rsidRPr="003F3B94">
        <w:rPr>
          <w:rFonts w:ascii="Abo-thar" w:hAnsi="Abo-thar" w:hint="cs"/>
          <w:sz w:val="28"/>
          <w:rtl/>
          <w:lang w:bidi="ar-SY"/>
        </w:rPr>
        <w:t xml:space="preserve"> والذهب والفضة المسكوكان والمنقوشان وغير المتحركين</w:t>
      </w:r>
      <w:r w:rsidR="001E0DB7" w:rsidRPr="003F3B94">
        <w:rPr>
          <w:rFonts w:ascii="Abo-thar" w:hAnsi="Abo-thar" w:hint="cs"/>
          <w:sz w:val="28"/>
          <w:rtl/>
          <w:lang w:bidi="ar-SY"/>
        </w:rPr>
        <w:t>،</w:t>
      </w:r>
      <w:r w:rsidRPr="003F3B94">
        <w:rPr>
          <w:rFonts w:ascii="Abo-thar" w:hAnsi="Abo-thar" w:hint="cs"/>
          <w:sz w:val="28"/>
          <w:rtl/>
          <w:lang w:bidi="ar-SY"/>
        </w:rPr>
        <w:t xml:space="preserve"> والحنطة والشعير والتمر والزبيب إذا بلغت النصاب وحققت الشروط المعروفة</w:t>
      </w:r>
      <w:r w:rsidR="00217AB4" w:rsidRPr="003F3B94">
        <w:rPr>
          <w:rFonts w:ascii="Abo-thar" w:hAnsi="Abo-thar" w:hint="cs"/>
          <w:sz w:val="28"/>
          <w:rtl/>
          <w:lang w:bidi="ar-SY"/>
        </w:rPr>
        <w:t>)</w:t>
      </w:r>
      <w:r w:rsidRPr="003F3B94">
        <w:rPr>
          <w:rFonts w:ascii="Abo-thar" w:hAnsi="Abo-thar" w:hint="cs"/>
          <w:sz w:val="28"/>
          <w:rtl/>
          <w:lang w:bidi="ar-SY"/>
        </w:rPr>
        <w:t xml:space="preserve"> هذا رغم أننا أولاً لا</w:t>
      </w:r>
      <w:r w:rsidRPr="003F3B94">
        <w:rPr>
          <w:rFonts w:cs="Times New Roman" w:hint="cs"/>
          <w:sz w:val="28"/>
          <w:rtl/>
          <w:lang w:bidi="ar-SY"/>
        </w:rPr>
        <w:t> </w:t>
      </w:r>
      <w:r w:rsidRPr="003F3B94">
        <w:rPr>
          <w:rFonts w:ascii="Abo-thar" w:hAnsi="Abo-thar" w:hint="cs"/>
          <w:sz w:val="28"/>
          <w:rtl/>
          <w:lang w:bidi="ar-SY"/>
        </w:rPr>
        <w:t>نجد تلك الأشياء بتلك الشروط التي وضعوها لها في أي مكان في الدنيا وما وُجِدَ منها فلا يصل إلى حد النصاب وما وصل لا تكون زكاته شيئاً كبيراً ذا أهمية</w:t>
      </w:r>
      <w:r w:rsidR="00217AB4" w:rsidRPr="003F3B94">
        <w:rPr>
          <w:rFonts w:ascii="Abo-thar" w:hAnsi="Abo-thar" w:hint="cs"/>
          <w:sz w:val="28"/>
          <w:rtl/>
          <w:lang w:bidi="ar-SY"/>
        </w:rPr>
        <w:t>!</w:t>
      </w:r>
      <w:r w:rsidRPr="003F3B94">
        <w:rPr>
          <w:rFonts w:ascii="Abo-thar" w:hAnsi="Abo-thar" w:hint="cs"/>
          <w:sz w:val="28"/>
          <w:rtl/>
          <w:lang w:bidi="ar-SY"/>
        </w:rPr>
        <w:t xml:space="preserve"> ولو قسمنا الأموال التي تشملها هذه الزكاة [حسب الشروط التي وضعوها] بشكل عادل ومتساو على فقراء إيران لنال كل واحد منهم نصف ريال في اليوم على أكثر حد</w:t>
      </w:r>
      <w:r w:rsidR="00217AB4" w:rsidRPr="0021507A">
        <w:rPr>
          <w:rFonts w:cs="Arabic11 BT"/>
          <w:b/>
          <w:sz w:val="28"/>
          <w:vertAlign w:val="superscript"/>
          <w:rtl/>
          <w:lang w:bidi="ar-SY"/>
        </w:rPr>
        <w:t>(</w:t>
      </w:r>
      <w:r w:rsidRPr="0021507A">
        <w:rPr>
          <w:rStyle w:val="FootnoteReference"/>
          <w:rFonts w:cs="Arabic11 BT"/>
          <w:b/>
          <w:sz w:val="28"/>
          <w:rtl/>
          <w:lang w:bidi="ar-SY"/>
        </w:rPr>
        <w:footnoteReference w:id="219"/>
      </w:r>
      <w:r w:rsidR="00217AB4" w:rsidRPr="0021507A">
        <w:rPr>
          <w:rFonts w:cs="Arabic11 BT"/>
          <w:b/>
          <w:sz w:val="28"/>
          <w:vertAlign w:val="superscript"/>
          <w:rtl/>
          <w:lang w:bidi="ar-SY"/>
        </w:rPr>
        <w:t>)</w:t>
      </w:r>
      <w:r w:rsidR="00217AB4" w:rsidRPr="003F3B94">
        <w:rPr>
          <w:rFonts w:ascii="Abo-thar" w:hAnsi="Abo-thar" w:hint="cs"/>
          <w:sz w:val="28"/>
          <w:rtl/>
          <w:lang w:bidi="ar-SY"/>
        </w:rPr>
        <w:t>.</w:t>
      </w:r>
      <w:r w:rsidRPr="003F3B94">
        <w:rPr>
          <w:rFonts w:ascii="Abo-thar" w:hAnsi="Abo-thar" w:hint="cs"/>
          <w:sz w:val="28"/>
          <w:rtl/>
          <w:lang w:bidi="ar-SY"/>
        </w:rPr>
        <w:t xml:space="preserve"> وقد شرحنا هذا المدَّعى وبيّنّا دلائله في كتابنا </w:t>
      </w:r>
      <w:r w:rsidRPr="003F3B94">
        <w:rPr>
          <w:rFonts w:ascii="Abo-thar" w:hAnsi="Abo-thar" w:hint="eastAsia"/>
          <w:sz w:val="28"/>
          <w:rtl/>
          <w:lang w:bidi="ar-SY"/>
        </w:rPr>
        <w:t>«</w:t>
      </w:r>
      <w:r w:rsidRPr="003F3B94">
        <w:rPr>
          <w:rFonts w:ascii="Abo-thar" w:hAnsi="Abo-thar" w:hint="cs"/>
          <w:sz w:val="28"/>
          <w:rtl/>
          <w:lang w:bidi="ar-SY"/>
        </w:rPr>
        <w:t>الزكاة</w:t>
      </w:r>
      <w:r w:rsidRPr="003F3B94">
        <w:rPr>
          <w:rFonts w:ascii="Abo-thar" w:hAnsi="Abo-thar" w:hint="eastAsia"/>
          <w:sz w:val="28"/>
          <w:rtl/>
          <w:lang w:bidi="ar-SY"/>
        </w:rPr>
        <w:t>»</w:t>
      </w:r>
      <w:r w:rsidRPr="003F3B94">
        <w:rPr>
          <w:rFonts w:ascii="Abo-thar" w:hAnsi="Abo-thar" w:hint="cs"/>
          <w:sz w:val="28"/>
          <w:rtl/>
          <w:lang w:bidi="ar-SY"/>
        </w:rPr>
        <w:t xml:space="preserve"> حيث يمكن لطالبي الحق أن يرجعوا إلى ذلك الكتاب</w:t>
      </w:r>
      <w:r w:rsidR="00217AB4" w:rsidRPr="003F3B94">
        <w:rPr>
          <w:rFonts w:ascii="Abo-thar" w:hAnsi="Abo-thar" w:hint="cs"/>
          <w:sz w:val="28"/>
          <w:rtl/>
          <w:lang w:bidi="ar-SY"/>
        </w:rPr>
        <w:t>.</w:t>
      </w:r>
      <w:r w:rsidR="00147857" w:rsidRPr="003F3B94">
        <w:rPr>
          <w:rFonts w:ascii="Abo-thar" w:hAnsi="Abo-thar" w:hint="cs"/>
          <w:sz w:val="28"/>
          <w:rtl/>
          <w:lang w:bidi="ar-SY"/>
        </w:rPr>
        <w:t xml:space="preserve"> </w:t>
      </w:r>
    </w:p>
    <w:p w:rsidR="005C664D" w:rsidRPr="003F3B94" w:rsidRDefault="005C664D" w:rsidP="003F3B94">
      <w:pPr>
        <w:pStyle w:val="a0"/>
        <w:rPr>
          <w:rFonts w:hint="cs"/>
          <w:rtl/>
          <w:lang w:bidi="ar-SY"/>
        </w:rPr>
      </w:pPr>
      <w:r w:rsidRPr="003F3B94">
        <w:rPr>
          <w:rFonts w:ascii="Abo-thar" w:hAnsi="Abo-thar" w:hint="cs"/>
          <w:sz w:val="28"/>
          <w:rtl/>
          <w:lang w:bidi="ar-SY"/>
        </w:rPr>
        <w:t>أجل هكذا يُعَرِّفُ فقهاء الإسلام في زماننا دين الإسلام ونبيه</w:t>
      </w:r>
      <w:r w:rsidR="001E0DB7" w:rsidRPr="003F3B94">
        <w:rPr>
          <w:rFonts w:ascii="Abo-thar" w:hAnsi="Abo-thar" w:hint="cs"/>
          <w:sz w:val="28"/>
          <w:rtl/>
          <w:lang w:bidi="ar-SY"/>
        </w:rPr>
        <w:t>،</w:t>
      </w:r>
      <w:r w:rsidRPr="003F3B94">
        <w:rPr>
          <w:rFonts w:ascii="Abo-thar" w:hAnsi="Abo-thar" w:hint="cs"/>
          <w:sz w:val="28"/>
          <w:rtl/>
          <w:lang w:bidi="ar-SY"/>
        </w:rPr>
        <w:t xml:space="preserve"> وينسبون إليه أنه قرَّر للفقراء من غير بني هاشم مثل هذا الحقّ المتواضع في حين قرَّر لأسرته وذريته وقرابته مثل ذلك الحقّ الهائل</w:t>
      </w:r>
      <w:r w:rsidR="00217AB4" w:rsidRPr="003F3B94">
        <w:rPr>
          <w:rFonts w:ascii="Abo-thar" w:hAnsi="Abo-thar" w:hint="cs"/>
          <w:sz w:val="28"/>
          <w:rtl/>
          <w:lang w:bidi="ar-SY"/>
        </w:rPr>
        <w:t>!</w:t>
      </w:r>
      <w:r w:rsidR="00147857" w:rsidRPr="003F3B94">
        <w:rPr>
          <w:rFonts w:ascii="Abo-thar" w:hAnsi="Abo-thar" w:hint="cs"/>
          <w:sz w:val="28"/>
          <w:rtl/>
          <w:lang w:bidi="ar-SY"/>
        </w:rPr>
        <w:t xml:space="preserve"> </w:t>
      </w:r>
      <w:r w:rsidRPr="003F3B94">
        <w:rPr>
          <w:rFonts w:ascii="Abo-thar" w:hAnsi="Abo-thar" w:hint="cs"/>
          <w:sz w:val="28"/>
          <w:rtl/>
          <w:lang w:bidi="ar-SY"/>
        </w:rPr>
        <w:t>أقسمُ بالله إنها لتهمةٌ كبيرةٌ وإثمٌ عظيمٌ أن يُنسَب للإسلام ونبيِّه مثل هذا الأمر</w:t>
      </w:r>
      <w:r w:rsidR="00217AB4" w:rsidRPr="003F3B94">
        <w:rPr>
          <w:rFonts w:ascii="Abo-thar" w:hAnsi="Abo-thar" w:hint="cs"/>
          <w:sz w:val="28"/>
          <w:rtl/>
          <w:lang w:bidi="ar-SY"/>
        </w:rPr>
        <w:t>.</w:t>
      </w:r>
      <w:r w:rsidRPr="003F3B94">
        <w:rPr>
          <w:rFonts w:ascii="Abo-thar" w:hAnsi="Abo-thar" w:hint="cs"/>
          <w:sz w:val="28"/>
          <w:rtl/>
          <w:lang w:bidi="ar-SY"/>
        </w:rPr>
        <w:t xml:space="preserve"> ولعلكم أدركتم أيها القراء</w:t>
      </w:r>
      <w:r w:rsidR="00217AB4" w:rsidRPr="003F3B94">
        <w:rPr>
          <w:rFonts w:ascii="Abo-thar" w:hAnsi="Abo-thar" w:hint="cs"/>
          <w:sz w:val="28"/>
          <w:rtl/>
          <w:lang w:bidi="ar-SY"/>
        </w:rPr>
        <w:t>،</w:t>
      </w:r>
      <w:r w:rsidRPr="003F3B94">
        <w:rPr>
          <w:rFonts w:ascii="Abo-thar" w:hAnsi="Abo-thar" w:hint="cs"/>
          <w:sz w:val="28"/>
          <w:rtl/>
          <w:lang w:bidi="ar-SY"/>
        </w:rPr>
        <w:t xml:space="preserve"> على ضوء ما مرَّ بيانه</w:t>
      </w:r>
      <w:r w:rsidR="00217AB4" w:rsidRPr="003F3B94">
        <w:rPr>
          <w:rFonts w:ascii="Abo-thar" w:hAnsi="Abo-thar" w:hint="cs"/>
          <w:sz w:val="28"/>
          <w:rtl/>
          <w:lang w:bidi="ar-SY"/>
        </w:rPr>
        <w:t>،</w:t>
      </w:r>
      <w:r w:rsidRPr="003F3B94">
        <w:rPr>
          <w:rFonts w:ascii="Abo-thar" w:hAnsi="Abo-thar" w:hint="cs"/>
          <w:sz w:val="28"/>
          <w:rtl/>
          <w:lang w:bidi="ar-SY"/>
        </w:rPr>
        <w:t xml:space="preserve"> أن ما ادعيناه قائلين إن مثل هذا الميراث لم يخلِّفْهُ أيُّ سلطان جبار وطاغية من طغاة الزمان بل حتى من الذين ادَّعوا الإلهية مثل نمرود وفرعون وشداد</w:t>
      </w:r>
      <w:r w:rsidR="00217AB4" w:rsidRPr="003F3B94">
        <w:rPr>
          <w:rFonts w:ascii="Abo-thar" w:hAnsi="Abo-thar" w:hint="cs"/>
          <w:sz w:val="28"/>
          <w:rtl/>
          <w:lang w:bidi="ar-SY"/>
        </w:rPr>
        <w:t>،</w:t>
      </w:r>
      <w:r w:rsidRPr="003F3B94">
        <w:rPr>
          <w:rFonts w:ascii="Abo-thar" w:hAnsi="Abo-thar" w:hint="cs"/>
          <w:sz w:val="28"/>
          <w:rtl/>
          <w:lang w:bidi="ar-SY"/>
        </w:rPr>
        <w:t xml:space="preserve"> لأسرته وذريته</w:t>
      </w:r>
      <w:r w:rsidR="00217AB4" w:rsidRPr="003F3B94">
        <w:rPr>
          <w:rFonts w:ascii="Abo-thar" w:hAnsi="Abo-thar" w:hint="cs"/>
          <w:sz w:val="28"/>
          <w:rtl/>
          <w:lang w:bidi="ar-SY"/>
        </w:rPr>
        <w:t>،</w:t>
      </w:r>
      <w:r w:rsidRPr="003F3B94">
        <w:rPr>
          <w:rFonts w:ascii="Abo-thar" w:hAnsi="Abo-thar" w:hint="cs"/>
          <w:sz w:val="28"/>
          <w:rtl/>
          <w:lang w:bidi="ar-SY"/>
        </w:rPr>
        <w:t xml:space="preserve"> كان ادِّعاءً صادقاً</w:t>
      </w:r>
      <w:r w:rsidR="00217AB4" w:rsidRPr="003F3B94">
        <w:rPr>
          <w:rFonts w:ascii="Abo-thar" w:hAnsi="Abo-thar" w:hint="cs"/>
          <w:sz w:val="28"/>
          <w:rtl/>
          <w:lang w:bidi="ar-SY"/>
        </w:rPr>
        <w:t>.</w:t>
      </w:r>
      <w:r w:rsidRPr="003F3B94">
        <w:rPr>
          <w:rFonts w:ascii="Abo-thar" w:hAnsi="Abo-thar" w:hint="cs"/>
          <w:sz w:val="28"/>
          <w:rtl/>
          <w:lang w:bidi="ar-SY"/>
        </w:rPr>
        <w:t xml:space="preserve"> أفليس بعيداً عن الإنصاف والوجدان بل بمنزلة الكفر والاستهزاء بدين الإسلام ونبيِّ آخر الزمان أن تُنْسَبَ مثل هذه النسبة إلى حضـرة صاحب الرسالة دون أي دليل أو مستند من كتاب الله وسنة رسوله وسيرته</w:t>
      </w:r>
      <w:r w:rsidR="001E21CD" w:rsidRPr="003F3B94">
        <w:rPr>
          <w:rFonts w:ascii="Abo-thar" w:hAnsi="Abo-thar" w:hint="cs"/>
          <w:sz w:val="28"/>
          <w:rtl/>
          <w:lang w:bidi="ar-SY"/>
        </w:rPr>
        <w:t>؟!!</w:t>
      </w:r>
      <w:r w:rsidRPr="003F3B94">
        <w:rPr>
          <w:rFonts w:ascii="Abo-thar" w:hAnsi="Abo-thar" w:hint="cs"/>
          <w:sz w:val="28"/>
          <w:rtl/>
          <w:lang w:bidi="ar-SY"/>
        </w:rPr>
        <w:t xml:space="preserve"> </w:t>
      </w:r>
    </w:p>
    <w:p w:rsidR="005C664D" w:rsidRPr="003F3B94" w:rsidRDefault="005C664D" w:rsidP="003F3B94">
      <w:pPr>
        <w:pStyle w:val="a0"/>
        <w:rPr>
          <w:rFonts w:hint="cs"/>
          <w:rtl/>
          <w:lang w:bidi="ar-SY"/>
        </w:rPr>
      </w:pPr>
      <w:r w:rsidRPr="003F3B94">
        <w:rPr>
          <w:rFonts w:ascii="Abo-thar" w:hAnsi="Abo-thar" w:hint="cs"/>
          <w:sz w:val="28"/>
          <w:rtl/>
          <w:lang w:bidi="ar-SY"/>
        </w:rPr>
        <w:t>ونحن بعون الله سنضع أمام القراء في كتابنا هذا الأدلةَ والمستمسكات الواهية التي يتمسَّك بها القائلون بذلك الخُمس ونترك لهم أن يحكموا بوجدانهم العادل والمنصف بشأنها</w:t>
      </w:r>
      <w:r w:rsidR="00217AB4" w:rsidRPr="003F3B94">
        <w:rPr>
          <w:rFonts w:ascii="Abo-thar" w:hAnsi="Abo-thar" w:hint="cs"/>
          <w:sz w:val="28"/>
          <w:rtl/>
          <w:lang w:bidi="ar-SY"/>
        </w:rPr>
        <w:t>.</w:t>
      </w:r>
      <w:r w:rsidRPr="003F3B94">
        <w:rPr>
          <w:rFonts w:ascii="Abo-thar" w:hAnsi="Abo-thar" w:hint="cs"/>
          <w:sz w:val="28"/>
          <w:rtl/>
          <w:lang w:bidi="ar-SY"/>
        </w:rPr>
        <w:t xml:space="preserve"> </w:t>
      </w:r>
    </w:p>
    <w:p w:rsidR="005C664D" w:rsidRPr="003F3B94" w:rsidRDefault="005C664D" w:rsidP="003F3B94">
      <w:pPr>
        <w:pStyle w:val="a0"/>
        <w:rPr>
          <w:rFonts w:hint="cs"/>
          <w:rtl/>
          <w:lang w:bidi="ar-SY"/>
        </w:rPr>
      </w:pPr>
      <w:r w:rsidRPr="003F3B94">
        <w:rPr>
          <w:rFonts w:ascii="Abo-thar" w:hAnsi="Abo-thar" w:hint="cs"/>
          <w:sz w:val="28"/>
          <w:rtl/>
          <w:lang w:bidi="ar-SY"/>
        </w:rPr>
        <w:t>إن العلة التي ذكروها لأجل تأسيس هذا الخُمس الذي يقولون به</w:t>
      </w:r>
      <w:r w:rsidR="001E0DB7" w:rsidRPr="003F3B94">
        <w:rPr>
          <w:rFonts w:ascii="Abo-thar" w:hAnsi="Abo-thar" w:hint="cs"/>
          <w:sz w:val="28"/>
          <w:rtl/>
          <w:lang w:bidi="ar-SY"/>
        </w:rPr>
        <w:t>،</w:t>
      </w:r>
      <w:r w:rsidRPr="003F3B94">
        <w:rPr>
          <w:rFonts w:ascii="Abo-thar" w:hAnsi="Abo-thar" w:hint="cs"/>
          <w:sz w:val="28"/>
          <w:rtl/>
          <w:lang w:bidi="ar-SY"/>
        </w:rPr>
        <w:t xml:space="preserve"> كما ذكرنا سابقاً</w:t>
      </w:r>
      <w:r w:rsidR="001E0DB7" w:rsidRPr="003F3B94">
        <w:rPr>
          <w:rFonts w:ascii="Abo-thar" w:hAnsi="Abo-thar" w:hint="cs"/>
          <w:sz w:val="28"/>
          <w:rtl/>
          <w:lang w:bidi="ar-SY"/>
        </w:rPr>
        <w:t>،</w:t>
      </w:r>
      <w:r w:rsidRPr="003F3B94">
        <w:rPr>
          <w:rFonts w:ascii="Abo-thar" w:hAnsi="Abo-thar" w:hint="cs"/>
          <w:sz w:val="28"/>
          <w:rtl/>
          <w:lang w:bidi="ar-SY"/>
        </w:rPr>
        <w:t xml:space="preserve"> هي أنه لما كانت الصدقة </w:t>
      </w:r>
      <w:r w:rsidR="00217AB4" w:rsidRPr="003F3B94">
        <w:rPr>
          <w:rFonts w:ascii="Abo-thar" w:hAnsi="Abo-thar" w:hint="cs"/>
          <w:sz w:val="28"/>
          <w:rtl/>
          <w:lang w:bidi="ar-SY"/>
        </w:rPr>
        <w:t>(</w:t>
      </w:r>
      <w:r w:rsidRPr="003F3B94">
        <w:rPr>
          <w:rFonts w:ascii="Abo-thar" w:hAnsi="Abo-thar" w:hint="cs"/>
          <w:sz w:val="28"/>
          <w:rtl/>
          <w:lang w:bidi="ar-SY"/>
        </w:rPr>
        <w:t>الزكاة</w:t>
      </w:r>
      <w:r w:rsidR="00217AB4" w:rsidRPr="003F3B94">
        <w:rPr>
          <w:rFonts w:ascii="Abo-thar" w:hAnsi="Abo-thar" w:hint="cs"/>
          <w:sz w:val="28"/>
          <w:rtl/>
          <w:lang w:bidi="ar-SY"/>
        </w:rPr>
        <w:t>)</w:t>
      </w:r>
      <w:r w:rsidRPr="003F3B94">
        <w:rPr>
          <w:rFonts w:ascii="Abo-thar" w:hAnsi="Abo-thar" w:hint="cs"/>
          <w:sz w:val="28"/>
          <w:rtl/>
          <w:lang w:bidi="ar-SY"/>
        </w:rPr>
        <w:t xml:space="preserve"> محرمة على تلك الطائفة أو الأسرة الجليلة </w:t>
      </w:r>
      <w:r w:rsidR="00217AB4" w:rsidRPr="003F3B94">
        <w:rPr>
          <w:rFonts w:ascii="Abo-thar" w:hAnsi="Abo-thar" w:hint="cs"/>
          <w:sz w:val="28"/>
          <w:rtl/>
          <w:lang w:bidi="ar-SY"/>
        </w:rPr>
        <w:t>(</w:t>
      </w:r>
      <w:r w:rsidRPr="003F3B94">
        <w:rPr>
          <w:rFonts w:ascii="Abo-thar" w:hAnsi="Abo-thar" w:hint="cs"/>
          <w:sz w:val="28"/>
          <w:rtl/>
          <w:lang w:bidi="ar-SY"/>
        </w:rPr>
        <w:t>بني هاشم</w:t>
      </w:r>
      <w:r w:rsidR="00217AB4" w:rsidRPr="003F3B94">
        <w:rPr>
          <w:rFonts w:ascii="Abo-thar" w:hAnsi="Abo-thar" w:hint="cs"/>
          <w:sz w:val="28"/>
          <w:rtl/>
          <w:lang w:bidi="ar-SY"/>
        </w:rPr>
        <w:t>)</w:t>
      </w:r>
      <w:r w:rsidRPr="003F3B94">
        <w:rPr>
          <w:rFonts w:ascii="Abo-thar" w:hAnsi="Abo-thar" w:hint="cs"/>
          <w:sz w:val="28"/>
          <w:rtl/>
          <w:lang w:bidi="ar-SY"/>
        </w:rPr>
        <w:t xml:space="preserve"> لذا تم تعويضهم عنها بهذا الخُمس</w:t>
      </w:r>
      <w:r w:rsidR="00217AB4" w:rsidRPr="003F3B94">
        <w:rPr>
          <w:rFonts w:ascii="Abo-thar" w:hAnsi="Abo-thar" w:hint="cs"/>
          <w:sz w:val="28"/>
          <w:rtl/>
          <w:lang w:bidi="ar-SY"/>
        </w:rPr>
        <w:t>!</w:t>
      </w:r>
      <w:r w:rsidRPr="003F3B94">
        <w:rPr>
          <w:rFonts w:ascii="Abo-thar" w:hAnsi="Abo-thar" w:hint="cs"/>
          <w:sz w:val="28"/>
          <w:rtl/>
          <w:lang w:bidi="ar-SY"/>
        </w:rPr>
        <w:t xml:space="preserve"> ويقولون إنه لولا هذا الخُمس لما كانت هناك وسيلةٌ لإعانة الفقراء من تلك الأسرة</w:t>
      </w:r>
      <w:r w:rsidR="00217AB4" w:rsidRPr="003F3B94">
        <w:rPr>
          <w:rFonts w:ascii="Abo-thar" w:hAnsi="Abo-thar" w:hint="cs"/>
          <w:sz w:val="28"/>
          <w:rtl/>
          <w:lang w:bidi="ar-SY"/>
        </w:rPr>
        <w:t>!</w:t>
      </w:r>
      <w:r w:rsidRPr="003F3B94">
        <w:rPr>
          <w:rFonts w:ascii="Abo-thar" w:hAnsi="Abo-thar" w:hint="cs"/>
          <w:sz w:val="28"/>
          <w:rtl/>
          <w:lang w:bidi="ar-SY"/>
        </w:rPr>
        <w:t xml:space="preserve"> ولكن هذا الادعاء كما بيَّنا سابقاً بالدلائل الكافية</w:t>
      </w:r>
      <w:r w:rsidR="001E0DB7" w:rsidRPr="003F3B94">
        <w:rPr>
          <w:rFonts w:ascii="Abo-thar" w:hAnsi="Abo-thar" w:hint="cs"/>
          <w:sz w:val="28"/>
          <w:rtl/>
          <w:lang w:bidi="ar-SY"/>
        </w:rPr>
        <w:t>،</w:t>
      </w:r>
      <w:r w:rsidRPr="003F3B94">
        <w:rPr>
          <w:rFonts w:ascii="Abo-thar" w:hAnsi="Abo-thar" w:hint="cs"/>
          <w:sz w:val="28"/>
          <w:rtl/>
          <w:lang w:bidi="ar-SY"/>
        </w:rPr>
        <w:t xml:space="preserve"> ادعاءٌ غير صحيح لأنه لا دليل عليه من كتاب الله كما أن سيرة المسلمين وسيرة طائفة بني هاشم أنفسهم والأخبار الصادرة عن أهل البيت</w:t>
      </w:r>
      <w:r w:rsidR="00217AB4" w:rsidRPr="003F3B94">
        <w:rPr>
          <w:rFonts w:ascii="Abo-thar" w:hAnsi="Abo-thar" w:hint="cs"/>
          <w:sz w:val="28"/>
          <w:rtl/>
          <w:lang w:bidi="ar-SY"/>
        </w:rPr>
        <w:t>،</w:t>
      </w:r>
      <w:r w:rsidRPr="003F3B94">
        <w:rPr>
          <w:rFonts w:ascii="Abo-thar" w:hAnsi="Abo-thar" w:hint="cs"/>
          <w:sz w:val="28"/>
          <w:rtl/>
          <w:lang w:bidi="ar-SY"/>
        </w:rPr>
        <w:t xml:space="preserve"> مثل خبر أبي خديجة</w:t>
      </w:r>
      <w:r w:rsidR="00217AB4" w:rsidRPr="003F3B94">
        <w:rPr>
          <w:rFonts w:ascii="Abo-thar" w:hAnsi="Abo-thar" w:hint="cs"/>
          <w:sz w:val="28"/>
          <w:rtl/>
          <w:lang w:bidi="ar-SY"/>
        </w:rPr>
        <w:t>،</w:t>
      </w:r>
      <w:r w:rsidRPr="003F3B94">
        <w:rPr>
          <w:rFonts w:ascii="Abo-thar" w:hAnsi="Abo-thar" w:hint="cs"/>
          <w:sz w:val="28"/>
          <w:rtl/>
          <w:lang w:bidi="ar-SY"/>
        </w:rPr>
        <w:t xml:space="preserve"> كلها تخالف ذلك الادعاء</w:t>
      </w:r>
      <w:r w:rsidR="00217AB4" w:rsidRPr="003F3B94">
        <w:rPr>
          <w:rFonts w:ascii="Abo-thar" w:hAnsi="Abo-thar" w:hint="cs"/>
          <w:sz w:val="28"/>
          <w:rtl/>
          <w:lang w:bidi="ar-SY"/>
        </w:rPr>
        <w:t>.</w:t>
      </w:r>
      <w:r w:rsidRPr="003F3B94">
        <w:rPr>
          <w:rFonts w:ascii="Abo-thar" w:hAnsi="Abo-thar" w:hint="cs"/>
          <w:sz w:val="28"/>
          <w:rtl/>
          <w:lang w:bidi="ar-SY"/>
        </w:rPr>
        <w:t xml:space="preserve"> </w:t>
      </w:r>
    </w:p>
    <w:p w:rsidR="005C664D" w:rsidRPr="003F3B94" w:rsidRDefault="005C664D" w:rsidP="003F3B94">
      <w:pPr>
        <w:pStyle w:val="a0"/>
        <w:rPr>
          <w:rFonts w:hint="cs"/>
          <w:rtl/>
          <w:lang w:bidi="ar-SY"/>
        </w:rPr>
      </w:pPr>
      <w:r w:rsidRPr="003F3B94">
        <w:rPr>
          <w:rFonts w:ascii="Abo-thar" w:hAnsi="Abo-thar" w:hint="cs"/>
          <w:sz w:val="28"/>
          <w:rtl/>
          <w:lang w:bidi="ar-SY"/>
        </w:rPr>
        <w:t>ولكن لو فرضنا جدلاً أن صدقة غير الهاشمي وزكاة ماله محرمة على الهاشمي</w:t>
      </w:r>
      <w:r w:rsidR="001E0DB7" w:rsidRPr="003F3B94">
        <w:rPr>
          <w:rFonts w:ascii="Abo-thar" w:hAnsi="Abo-thar" w:hint="cs"/>
          <w:sz w:val="28"/>
          <w:rtl/>
          <w:lang w:bidi="ar-SY"/>
        </w:rPr>
        <w:t>،</w:t>
      </w:r>
      <w:r w:rsidRPr="003F3B94">
        <w:rPr>
          <w:rFonts w:ascii="Abo-thar" w:hAnsi="Abo-thar" w:hint="cs"/>
          <w:sz w:val="28"/>
          <w:rtl/>
          <w:lang w:bidi="ar-SY"/>
        </w:rPr>
        <w:t xml:space="preserve"> فإنه من المتفق عليه أن صدقة الهاشمي وزكاة ماله حلال على الهاشمي مثله</w:t>
      </w:r>
      <w:r w:rsidR="001E0DB7" w:rsidRPr="003F3B94">
        <w:rPr>
          <w:rFonts w:ascii="Abo-thar" w:hAnsi="Abo-thar" w:hint="cs"/>
          <w:sz w:val="28"/>
          <w:rtl/>
          <w:lang w:bidi="ar-SY"/>
        </w:rPr>
        <w:t>،</w:t>
      </w:r>
      <w:r w:rsidRPr="003F3B94">
        <w:rPr>
          <w:rFonts w:ascii="Abo-thar" w:hAnsi="Abo-thar" w:hint="cs"/>
          <w:sz w:val="28"/>
          <w:rtl/>
          <w:lang w:bidi="ar-SY"/>
        </w:rPr>
        <w:t xml:space="preserve"> ولما كان أغنياء الهاشميين دائماً وحتى اليوم أكثر عدداً من فقرائهم</w:t>
      </w:r>
      <w:r w:rsidR="001E0DB7" w:rsidRPr="003F3B94">
        <w:rPr>
          <w:rFonts w:ascii="Abo-thar" w:hAnsi="Abo-thar" w:hint="cs"/>
          <w:sz w:val="28"/>
          <w:rtl/>
          <w:lang w:bidi="ar-SY"/>
        </w:rPr>
        <w:t>،</w:t>
      </w:r>
      <w:r w:rsidRPr="003F3B94">
        <w:rPr>
          <w:rFonts w:ascii="Abo-thar" w:hAnsi="Abo-thar" w:hint="cs"/>
          <w:sz w:val="28"/>
          <w:rtl/>
          <w:lang w:bidi="ar-SY"/>
        </w:rPr>
        <w:t xml:space="preserve"> فلو أدَّوْا زكاة مالهم طبقاً لما أمر الله به من جميع الأموال </w:t>
      </w:r>
      <w:r w:rsidR="00217AB4" w:rsidRPr="003F3B94">
        <w:rPr>
          <w:rFonts w:ascii="Abo-thar" w:hAnsi="Abo-thar" w:hint="cs"/>
          <w:sz w:val="28"/>
          <w:rtl/>
          <w:lang w:bidi="ar-SY"/>
        </w:rPr>
        <w:t>(</w:t>
      </w:r>
      <w:r w:rsidRPr="003F3B94">
        <w:rPr>
          <w:rFonts w:ascii="Abo-thar" w:hAnsi="Abo-thar" w:hint="cs"/>
          <w:sz w:val="28"/>
          <w:rtl/>
          <w:lang w:bidi="ar-SY"/>
        </w:rPr>
        <w:t>وليس من الأشياء التسعة فقط بشروطها الضيقة</w:t>
      </w:r>
      <w:r w:rsidR="00217AB4" w:rsidRPr="003F3B94">
        <w:rPr>
          <w:rFonts w:ascii="Abo-thar" w:hAnsi="Abo-thar" w:hint="cs"/>
          <w:sz w:val="28"/>
          <w:rtl/>
          <w:lang w:bidi="ar-SY"/>
        </w:rPr>
        <w:t>)</w:t>
      </w:r>
      <w:r w:rsidRPr="003F3B94">
        <w:rPr>
          <w:rFonts w:ascii="Abo-thar" w:hAnsi="Abo-thar" w:hint="cs"/>
          <w:sz w:val="28"/>
          <w:rtl/>
          <w:lang w:bidi="ar-SY"/>
        </w:rPr>
        <w:t xml:space="preserve"> وأعطوها لفقراء أسرتهم من بني هاشم لكفتهم ولما احتاجوا لذلك الخُمس الذي يذكرونه</w:t>
      </w:r>
      <w:r w:rsidR="00217AB4" w:rsidRPr="003F3B94">
        <w:rPr>
          <w:rFonts w:ascii="Abo-thar" w:hAnsi="Abo-thar" w:hint="cs"/>
          <w:sz w:val="28"/>
          <w:rtl/>
          <w:lang w:bidi="ar-SY"/>
        </w:rPr>
        <w:t>.</w:t>
      </w:r>
      <w:r w:rsidRPr="003F3B94">
        <w:rPr>
          <w:rFonts w:ascii="Abo-thar" w:hAnsi="Abo-thar" w:hint="cs"/>
          <w:sz w:val="28"/>
          <w:rtl/>
          <w:lang w:bidi="ar-SY"/>
        </w:rPr>
        <w:t xml:space="preserve"> </w:t>
      </w:r>
    </w:p>
    <w:p w:rsidR="005C664D" w:rsidRPr="003F3B94" w:rsidRDefault="005C664D" w:rsidP="003F3B94">
      <w:pPr>
        <w:pStyle w:val="a0"/>
        <w:rPr>
          <w:rFonts w:hint="cs"/>
          <w:rtl/>
          <w:lang w:bidi="ar-SY"/>
        </w:rPr>
      </w:pPr>
      <w:r w:rsidRPr="003F3B94">
        <w:rPr>
          <w:rFonts w:ascii="Abo-thar" w:hAnsi="Abo-thar" w:hint="cs"/>
          <w:sz w:val="28"/>
          <w:rtl/>
          <w:lang w:bidi="ar-SY"/>
        </w:rPr>
        <w:t>هذا عدا عن أنه من الظلم أيضاً أن يقوم فقراء هذه الأسرة بأخذ الخُمس</w:t>
      </w:r>
      <w:r w:rsidR="001E0DB7" w:rsidRPr="003F3B94">
        <w:rPr>
          <w:rFonts w:ascii="Abo-thar" w:hAnsi="Abo-thar" w:hint="cs"/>
          <w:sz w:val="28"/>
          <w:rtl/>
          <w:lang w:bidi="ar-SY"/>
        </w:rPr>
        <w:t>،</w:t>
      </w:r>
      <w:r w:rsidRPr="003F3B94">
        <w:rPr>
          <w:rFonts w:ascii="Abo-thar" w:hAnsi="Abo-thar" w:hint="cs"/>
          <w:sz w:val="28"/>
          <w:rtl/>
          <w:lang w:bidi="ar-SY"/>
        </w:rPr>
        <w:t xml:space="preserve"> وأخذ الزكاة من بني عشيرتهم</w:t>
      </w:r>
      <w:r w:rsidR="001E0DB7" w:rsidRPr="003F3B94">
        <w:rPr>
          <w:rFonts w:ascii="Abo-thar" w:hAnsi="Abo-thar" w:hint="cs"/>
          <w:sz w:val="28"/>
          <w:rtl/>
          <w:lang w:bidi="ar-SY"/>
        </w:rPr>
        <w:t>،</w:t>
      </w:r>
      <w:r w:rsidRPr="003F3B94">
        <w:rPr>
          <w:rFonts w:ascii="Abo-thar" w:hAnsi="Abo-thar" w:hint="cs"/>
          <w:sz w:val="28"/>
          <w:rtl/>
          <w:lang w:bidi="ar-SY"/>
        </w:rPr>
        <w:t xml:space="preserve"> بل أخذ الزكاة حتى من غير الهاشميين إذا دعت الضرورة والحاجة لذلك</w:t>
      </w:r>
      <w:r w:rsidR="001E0DB7" w:rsidRPr="003F3B94">
        <w:rPr>
          <w:rFonts w:ascii="Abo-thar" w:hAnsi="Abo-thar" w:hint="cs"/>
          <w:sz w:val="28"/>
          <w:rtl/>
          <w:lang w:bidi="ar-SY"/>
        </w:rPr>
        <w:t>،</w:t>
      </w:r>
      <w:r w:rsidRPr="003F3B94">
        <w:rPr>
          <w:rFonts w:ascii="Abo-thar" w:hAnsi="Abo-thar" w:hint="cs"/>
          <w:sz w:val="28"/>
          <w:rtl/>
          <w:lang w:bidi="ar-SY"/>
        </w:rPr>
        <w:t xml:space="preserve"> في حين لا يأخذ فقراء بقية المسلمين إلا من الزكاة التي تؤخذ حصراً من الأشياء التسعة والتي ليس لهم منها إلا سهم واحد من أصل ثمانية أسهم تُصرف في بقية مصارف الزكاة الثمانية التي ذكرها القرآن الكريم</w:t>
      </w:r>
      <w:r w:rsidR="00217AB4" w:rsidRPr="003F3B94">
        <w:rPr>
          <w:rFonts w:ascii="Abo-thar" w:hAnsi="Abo-thar" w:hint="cs"/>
          <w:sz w:val="28"/>
          <w:rtl/>
          <w:lang w:bidi="ar-SY"/>
        </w:rPr>
        <w:t>.</w:t>
      </w:r>
      <w:r w:rsidRPr="003F3B94">
        <w:rPr>
          <w:rFonts w:ascii="Abo-thar" w:hAnsi="Abo-thar" w:hint="cs"/>
          <w:sz w:val="28"/>
          <w:rtl/>
          <w:lang w:bidi="ar-SY"/>
        </w:rPr>
        <w:t xml:space="preserve"> </w:t>
      </w:r>
    </w:p>
    <w:p w:rsidR="005C664D" w:rsidRPr="003F3B94" w:rsidRDefault="005C664D" w:rsidP="003F3B94">
      <w:pPr>
        <w:pStyle w:val="a0"/>
        <w:rPr>
          <w:rFonts w:hint="cs"/>
          <w:rtl/>
          <w:lang w:bidi="ar-SY"/>
        </w:rPr>
      </w:pPr>
      <w:r w:rsidRPr="003F3B94">
        <w:rPr>
          <w:rFonts w:ascii="Abo-thar" w:hAnsi="Abo-thar" w:hint="cs"/>
          <w:sz w:val="28"/>
          <w:rtl/>
          <w:lang w:bidi="ar-SY"/>
        </w:rPr>
        <w:t>إن الادعاء بأن ذلك الخُمس الهائل قد جُعِلَ لِفُقَرَاءِ بني هاشم تعويضاً لهم عن الزكاة التي حُرِموا منها إدعاء باطلٌ يكذِّبُهُ العقل والوجدان كما تكذِّبُهُ السنَّة ويكذِّبُهُ القرآن</w:t>
      </w:r>
      <w:r w:rsidR="00147857" w:rsidRPr="003F3B94">
        <w:rPr>
          <w:rFonts w:ascii="Abo-thar" w:hAnsi="Abo-thar" w:hint="cs"/>
          <w:sz w:val="28"/>
          <w:rtl/>
          <w:lang w:bidi="ar-SY"/>
        </w:rPr>
        <w:t xml:space="preserve"> و</w:t>
      </w:r>
      <w:r w:rsidRPr="003F3B94">
        <w:rPr>
          <w:rFonts w:ascii="Abo-thar" w:hAnsi="Abo-thar" w:hint="cs"/>
          <w:sz w:val="28"/>
          <w:rtl/>
          <w:lang w:bidi="ar-SY"/>
        </w:rPr>
        <w:t>يكذِّبُهُ التاريخ وتكذِّبُهُ سيرة نبي آخر الزمان</w:t>
      </w:r>
      <w:r w:rsidR="00217AB4" w:rsidRPr="003F3B94">
        <w:rPr>
          <w:rFonts w:ascii="Abo-thar" w:hAnsi="Abo-thar" w:hint="cs"/>
          <w:sz w:val="28"/>
          <w:rtl/>
          <w:lang w:bidi="ar-SY"/>
        </w:rPr>
        <w:t>.</w:t>
      </w:r>
      <w:r w:rsidRPr="003F3B94">
        <w:rPr>
          <w:rFonts w:ascii="Abo-thar" w:hAnsi="Abo-thar" w:hint="cs"/>
          <w:sz w:val="28"/>
          <w:rtl/>
          <w:lang w:bidi="ar-SY"/>
        </w:rPr>
        <w:t xml:space="preserve"> </w:t>
      </w:r>
    </w:p>
    <w:p w:rsidR="005C664D" w:rsidRPr="003F3B94" w:rsidRDefault="005C664D" w:rsidP="003F3B94">
      <w:pPr>
        <w:pStyle w:val="a0"/>
        <w:rPr>
          <w:rFonts w:hint="cs"/>
          <w:rtl/>
          <w:lang w:bidi="ar-SY"/>
        </w:rPr>
      </w:pPr>
      <w:r w:rsidRPr="003F3B94">
        <w:rPr>
          <w:rFonts w:ascii="Abo-thar" w:hAnsi="Abo-thar" w:hint="cs"/>
          <w:sz w:val="28"/>
          <w:rtl/>
          <w:lang w:bidi="ar-SY"/>
        </w:rPr>
        <w:t>هذا وكل من لديه اطلاع على تاريخ الإسلام يعلم أن الله تعالى فرض الخُمس من غنائم الحرب في السنة الثانية للهجرة</w:t>
      </w:r>
      <w:r w:rsidR="001E0DB7" w:rsidRPr="003F3B94">
        <w:rPr>
          <w:rFonts w:ascii="Abo-thar" w:hAnsi="Abo-thar" w:hint="cs"/>
          <w:sz w:val="28"/>
          <w:rtl/>
          <w:lang w:bidi="ar-SY"/>
        </w:rPr>
        <w:t>،</w:t>
      </w:r>
      <w:r w:rsidRPr="003F3B94">
        <w:rPr>
          <w:rFonts w:ascii="Abo-thar" w:hAnsi="Abo-thar" w:hint="cs"/>
          <w:sz w:val="28"/>
          <w:rtl/>
          <w:lang w:bidi="ar-SY"/>
        </w:rPr>
        <w:t xml:space="preserve"> إما بعد معركة بدر أو قبلها</w:t>
      </w:r>
      <w:r w:rsidR="00217AB4" w:rsidRPr="003F3B94">
        <w:rPr>
          <w:rFonts w:ascii="Abo-thar" w:hAnsi="Abo-thar" w:hint="cs"/>
          <w:sz w:val="28"/>
          <w:rtl/>
          <w:lang w:bidi="ar-SY"/>
        </w:rPr>
        <w:t>.</w:t>
      </w:r>
      <w:r w:rsidRPr="003F3B94">
        <w:rPr>
          <w:rFonts w:ascii="Abo-thar" w:hAnsi="Abo-thar" w:hint="cs"/>
          <w:sz w:val="28"/>
          <w:rtl/>
          <w:lang w:bidi="ar-SY"/>
        </w:rPr>
        <w:t xml:space="preserve"> هذا في حين أن الأمر بجباية الزكاة لم ينزل </w:t>
      </w:r>
      <w:r w:rsidR="00217AB4" w:rsidRPr="003F3B94">
        <w:rPr>
          <w:rFonts w:ascii="Abo-thar" w:hAnsi="Abo-thar" w:hint="cs"/>
          <w:sz w:val="28"/>
          <w:rtl/>
          <w:lang w:bidi="ar-SY"/>
        </w:rPr>
        <w:t>-</w:t>
      </w:r>
      <w:r w:rsidRPr="003F3B94">
        <w:rPr>
          <w:rFonts w:ascii="Abo-thar" w:hAnsi="Abo-thar" w:hint="cs"/>
          <w:sz w:val="28"/>
          <w:rtl/>
          <w:lang w:bidi="ar-SY"/>
        </w:rPr>
        <w:t xml:space="preserve"> طبقاً لتصريح جميع كتب التاريخ والسيرة المعتمدة مثل سيرة ابن هشام </w:t>
      </w:r>
      <w:r w:rsidR="00217AB4" w:rsidRPr="003F3B94">
        <w:rPr>
          <w:rFonts w:ascii="Abo-thar" w:hAnsi="Abo-thar" w:hint="cs"/>
          <w:sz w:val="28"/>
          <w:rtl/>
          <w:lang w:bidi="ar-SY"/>
        </w:rPr>
        <w:t>(</w:t>
      </w:r>
      <w:r w:rsidRPr="003F3B94">
        <w:rPr>
          <w:rFonts w:ascii="Abo-thar" w:hAnsi="Abo-thar" w:hint="cs"/>
          <w:sz w:val="28"/>
          <w:rtl/>
          <w:lang w:bidi="ar-SY"/>
        </w:rPr>
        <w:t>ج4</w:t>
      </w:r>
      <w:r w:rsidR="00920257" w:rsidRPr="003F3B94">
        <w:rPr>
          <w:rFonts w:ascii="Abo-thar" w:hAnsi="Abo-thar" w:hint="cs"/>
          <w:sz w:val="28"/>
          <w:rtl/>
          <w:lang w:bidi="ar-SY"/>
        </w:rPr>
        <w:t xml:space="preserve">، </w:t>
      </w:r>
      <w:r w:rsidRPr="003F3B94">
        <w:rPr>
          <w:rFonts w:ascii="Abo-thar" w:hAnsi="Abo-thar" w:hint="cs"/>
          <w:sz w:val="28"/>
          <w:rtl/>
          <w:lang w:bidi="ar-SY"/>
        </w:rPr>
        <w:t>ص271</w:t>
      </w:r>
      <w:r w:rsidR="00217AB4" w:rsidRPr="003F3B94">
        <w:rPr>
          <w:rFonts w:ascii="Abo-thar" w:hAnsi="Abo-thar" w:hint="cs"/>
          <w:sz w:val="28"/>
          <w:rtl/>
          <w:lang w:bidi="ar-SY"/>
        </w:rPr>
        <w:t>)</w:t>
      </w:r>
      <w:r w:rsidRPr="003F3B94">
        <w:rPr>
          <w:rFonts w:ascii="Abo-thar" w:hAnsi="Abo-thar" w:hint="cs"/>
          <w:sz w:val="28"/>
          <w:rtl/>
          <w:lang w:bidi="ar-SY"/>
        </w:rPr>
        <w:t xml:space="preserve"> وتاريخ الطبري </w:t>
      </w:r>
      <w:r w:rsidR="00217AB4" w:rsidRPr="003F3B94">
        <w:rPr>
          <w:rFonts w:ascii="Abo-thar" w:hAnsi="Abo-thar" w:hint="cs"/>
          <w:sz w:val="28"/>
          <w:rtl/>
          <w:lang w:bidi="ar-SY"/>
        </w:rPr>
        <w:t>(</w:t>
      </w:r>
      <w:r w:rsidRPr="003F3B94">
        <w:rPr>
          <w:rFonts w:ascii="Abo-thar" w:hAnsi="Abo-thar" w:hint="cs"/>
          <w:sz w:val="28"/>
          <w:rtl/>
          <w:lang w:bidi="ar-SY"/>
        </w:rPr>
        <w:t>ج2</w:t>
      </w:r>
      <w:r w:rsidR="00920257" w:rsidRPr="003F3B94">
        <w:rPr>
          <w:rFonts w:ascii="Abo-thar" w:hAnsi="Abo-thar" w:hint="cs"/>
          <w:sz w:val="28"/>
          <w:rtl/>
          <w:lang w:bidi="ar-SY"/>
        </w:rPr>
        <w:t xml:space="preserve">، </w:t>
      </w:r>
      <w:r w:rsidRPr="003F3B94">
        <w:rPr>
          <w:rFonts w:ascii="Abo-thar" w:hAnsi="Abo-thar" w:hint="cs"/>
          <w:sz w:val="28"/>
          <w:rtl/>
          <w:lang w:bidi="ar-SY"/>
        </w:rPr>
        <w:t>ص400</w:t>
      </w:r>
      <w:r w:rsidR="00217AB4" w:rsidRPr="003F3B94">
        <w:rPr>
          <w:rFonts w:ascii="Abo-thar" w:hAnsi="Abo-thar" w:hint="cs"/>
          <w:sz w:val="28"/>
          <w:rtl/>
          <w:lang w:bidi="ar-SY"/>
        </w:rPr>
        <w:t>)</w:t>
      </w:r>
      <w:r w:rsidRPr="003F3B94">
        <w:rPr>
          <w:rFonts w:ascii="Abo-thar" w:hAnsi="Abo-thar" w:hint="cs"/>
          <w:sz w:val="28"/>
          <w:rtl/>
          <w:lang w:bidi="ar-SY"/>
        </w:rPr>
        <w:t xml:space="preserve"> والكامل في التاريخ لابن الأثير </w:t>
      </w:r>
      <w:r w:rsidR="00217AB4" w:rsidRPr="003F3B94">
        <w:rPr>
          <w:rFonts w:ascii="Abo-thar" w:hAnsi="Abo-thar" w:hint="cs"/>
          <w:sz w:val="28"/>
          <w:rtl/>
          <w:lang w:bidi="ar-SY"/>
        </w:rPr>
        <w:t>(</w:t>
      </w:r>
      <w:r w:rsidRPr="003F3B94">
        <w:rPr>
          <w:rFonts w:ascii="Abo-thar" w:hAnsi="Abo-thar" w:hint="cs"/>
          <w:sz w:val="28"/>
          <w:rtl/>
          <w:lang w:bidi="ar-SY"/>
        </w:rPr>
        <w:t>ج2</w:t>
      </w:r>
      <w:r w:rsidR="00920257" w:rsidRPr="003F3B94">
        <w:rPr>
          <w:rFonts w:ascii="Abo-thar" w:hAnsi="Abo-thar" w:hint="cs"/>
          <w:sz w:val="28"/>
          <w:rtl/>
          <w:lang w:bidi="ar-SY"/>
        </w:rPr>
        <w:t xml:space="preserve">، </w:t>
      </w:r>
      <w:r w:rsidRPr="003F3B94">
        <w:rPr>
          <w:rFonts w:ascii="Abo-thar" w:hAnsi="Abo-thar" w:hint="cs"/>
          <w:sz w:val="28"/>
          <w:rtl/>
          <w:lang w:bidi="ar-SY"/>
        </w:rPr>
        <w:t>ص199</w:t>
      </w:r>
      <w:r w:rsidR="001E0DB7" w:rsidRPr="003F3B94">
        <w:rPr>
          <w:rFonts w:ascii="Abo-thar" w:hAnsi="Abo-thar" w:hint="cs"/>
          <w:sz w:val="28"/>
          <w:rtl/>
          <w:lang w:bidi="ar-SY"/>
        </w:rPr>
        <w:t>،</w:t>
      </w:r>
      <w:r w:rsidRPr="003F3B94">
        <w:rPr>
          <w:rFonts w:ascii="Abo-thar" w:hAnsi="Abo-thar" w:hint="cs"/>
          <w:sz w:val="28"/>
          <w:rtl/>
          <w:lang w:bidi="ar-SY"/>
        </w:rPr>
        <w:t xml:space="preserve"> طبع لبنان</w:t>
      </w:r>
      <w:r w:rsidR="00217AB4" w:rsidRPr="003F3B94">
        <w:rPr>
          <w:rFonts w:ascii="Abo-thar" w:hAnsi="Abo-thar" w:hint="cs"/>
          <w:sz w:val="28"/>
          <w:rtl/>
          <w:lang w:bidi="ar-SY"/>
        </w:rPr>
        <w:t>)</w:t>
      </w:r>
      <w:r w:rsidRPr="003F3B94">
        <w:rPr>
          <w:rFonts w:ascii="Abo-thar" w:hAnsi="Abo-thar" w:hint="cs"/>
          <w:sz w:val="28"/>
          <w:rtl/>
          <w:lang w:bidi="ar-SY"/>
        </w:rPr>
        <w:t xml:space="preserve"> وتاريخ اليعقوبي </w:t>
      </w:r>
      <w:r w:rsidR="00217AB4" w:rsidRPr="003F3B94">
        <w:rPr>
          <w:rFonts w:ascii="Abo-thar" w:hAnsi="Abo-thar" w:hint="cs"/>
          <w:sz w:val="28"/>
          <w:rtl/>
          <w:lang w:bidi="ar-SY"/>
        </w:rPr>
        <w:t>(</w:t>
      </w:r>
      <w:r w:rsidRPr="003F3B94">
        <w:rPr>
          <w:rFonts w:ascii="Abo-thar" w:hAnsi="Abo-thar" w:hint="cs"/>
          <w:sz w:val="28"/>
          <w:rtl/>
          <w:lang w:bidi="ar-SY"/>
        </w:rPr>
        <w:t>ج2</w:t>
      </w:r>
      <w:r w:rsidR="00920257" w:rsidRPr="003F3B94">
        <w:rPr>
          <w:rFonts w:ascii="Abo-thar" w:hAnsi="Abo-thar" w:hint="cs"/>
          <w:sz w:val="28"/>
          <w:rtl/>
          <w:lang w:bidi="ar-SY"/>
        </w:rPr>
        <w:t xml:space="preserve">، </w:t>
      </w:r>
      <w:r w:rsidRPr="003F3B94">
        <w:rPr>
          <w:rFonts w:ascii="Abo-thar" w:hAnsi="Abo-thar" w:hint="cs"/>
          <w:sz w:val="28"/>
          <w:rtl/>
          <w:lang w:bidi="ar-SY"/>
        </w:rPr>
        <w:t>ص48</w:t>
      </w:r>
      <w:r w:rsidR="001E0DB7" w:rsidRPr="003F3B94">
        <w:rPr>
          <w:rFonts w:ascii="Abo-thar" w:hAnsi="Abo-thar" w:hint="cs"/>
          <w:sz w:val="28"/>
          <w:rtl/>
          <w:lang w:bidi="ar-SY"/>
        </w:rPr>
        <w:t>،</w:t>
      </w:r>
      <w:r w:rsidRPr="003F3B94">
        <w:rPr>
          <w:rFonts w:ascii="Abo-thar" w:hAnsi="Abo-thar" w:hint="cs"/>
          <w:sz w:val="28"/>
          <w:rtl/>
          <w:lang w:bidi="ar-SY"/>
        </w:rPr>
        <w:t xml:space="preserve"> طبع بيروت</w:t>
      </w:r>
      <w:r w:rsidR="00217AB4" w:rsidRPr="003F3B94">
        <w:rPr>
          <w:rFonts w:ascii="Abo-thar" w:hAnsi="Abo-thar" w:hint="cs"/>
          <w:sz w:val="28"/>
          <w:rtl/>
          <w:lang w:bidi="ar-SY"/>
        </w:rPr>
        <w:t>)</w:t>
      </w:r>
      <w:r w:rsidRPr="003F3B94">
        <w:rPr>
          <w:rFonts w:ascii="Abo-thar" w:hAnsi="Abo-thar" w:hint="cs"/>
          <w:sz w:val="28"/>
          <w:rtl/>
          <w:lang w:bidi="ar-SY"/>
        </w:rPr>
        <w:t xml:space="preserve"> وناسخ التواريخ</w:t>
      </w:r>
      <w:r w:rsidR="001E0DB7" w:rsidRPr="003F3B94">
        <w:rPr>
          <w:rFonts w:ascii="Abo-thar" w:hAnsi="Abo-thar" w:hint="cs"/>
          <w:sz w:val="28"/>
          <w:rtl/>
          <w:lang w:bidi="ar-SY"/>
        </w:rPr>
        <w:t>،</w:t>
      </w:r>
      <w:r w:rsidRPr="003F3B94">
        <w:rPr>
          <w:rFonts w:ascii="Abo-thar" w:hAnsi="Abo-thar" w:hint="cs"/>
          <w:sz w:val="28"/>
          <w:rtl/>
          <w:lang w:bidi="ar-SY"/>
        </w:rPr>
        <w:t xml:space="preserve"> المجلد المتعلق بالهجرة </w:t>
      </w:r>
      <w:r w:rsidR="00217AB4" w:rsidRPr="003F3B94">
        <w:rPr>
          <w:rFonts w:ascii="Abo-thar" w:hAnsi="Abo-thar" w:hint="cs"/>
          <w:sz w:val="28"/>
          <w:rtl/>
          <w:lang w:bidi="ar-SY"/>
        </w:rPr>
        <w:t>(</w:t>
      </w:r>
      <w:r w:rsidRPr="003F3B94">
        <w:rPr>
          <w:rFonts w:ascii="Abo-thar" w:hAnsi="Abo-thar" w:hint="cs"/>
          <w:sz w:val="28"/>
          <w:rtl/>
          <w:lang w:bidi="ar-SY"/>
        </w:rPr>
        <w:t>ص396</w:t>
      </w:r>
      <w:r w:rsidR="001E0DB7" w:rsidRPr="003F3B94">
        <w:rPr>
          <w:rFonts w:ascii="Abo-thar" w:hAnsi="Abo-thar" w:hint="cs"/>
          <w:sz w:val="28"/>
          <w:rtl/>
          <w:lang w:bidi="ar-SY"/>
        </w:rPr>
        <w:t>،</w:t>
      </w:r>
      <w:r w:rsidRPr="003F3B94">
        <w:rPr>
          <w:rFonts w:ascii="Abo-thar" w:hAnsi="Abo-thar" w:hint="cs"/>
          <w:sz w:val="28"/>
          <w:rtl/>
          <w:lang w:bidi="ar-SY"/>
        </w:rPr>
        <w:t xml:space="preserve"> طبع محمد إسماعيل</w:t>
      </w:r>
      <w:r w:rsidR="00217AB4" w:rsidRPr="003F3B94">
        <w:rPr>
          <w:rFonts w:ascii="Abo-thar" w:hAnsi="Abo-thar" w:hint="cs"/>
          <w:sz w:val="28"/>
          <w:rtl/>
          <w:lang w:bidi="ar-SY"/>
        </w:rPr>
        <w:t>)</w:t>
      </w:r>
      <w:r w:rsidRPr="003F3B94">
        <w:rPr>
          <w:rFonts w:ascii="Abo-thar" w:hAnsi="Abo-thar" w:hint="cs"/>
          <w:sz w:val="28"/>
          <w:rtl/>
          <w:lang w:bidi="ar-SY"/>
        </w:rPr>
        <w:t xml:space="preserve"> </w:t>
      </w:r>
      <w:r w:rsidRPr="003F3B94">
        <w:rPr>
          <w:rFonts w:cs="Times New Roman" w:hint="cs"/>
          <w:sz w:val="28"/>
          <w:rtl/>
          <w:lang w:bidi="ar-SY"/>
        </w:rPr>
        <w:t>–</w:t>
      </w:r>
      <w:r w:rsidRPr="003F3B94">
        <w:rPr>
          <w:rFonts w:ascii="Abo-thar" w:hAnsi="Abo-thar" w:hint="cs"/>
          <w:sz w:val="28"/>
          <w:rtl/>
          <w:lang w:bidi="ar-SY"/>
        </w:rPr>
        <w:t xml:space="preserve"> إلا في السنة التاسعة أو العاشرة للهجرة</w:t>
      </w:r>
      <w:r w:rsidR="001E0DB7" w:rsidRPr="003F3B94">
        <w:rPr>
          <w:rFonts w:ascii="Abo-thar" w:hAnsi="Abo-thar" w:hint="cs"/>
          <w:sz w:val="28"/>
          <w:rtl/>
          <w:lang w:bidi="ar-SY"/>
        </w:rPr>
        <w:t>،</w:t>
      </w:r>
      <w:r w:rsidRPr="003F3B94">
        <w:rPr>
          <w:rFonts w:ascii="Abo-thar" w:hAnsi="Abo-thar" w:hint="cs"/>
          <w:sz w:val="28"/>
          <w:rtl/>
          <w:lang w:bidi="ar-SY"/>
        </w:rPr>
        <w:t xml:space="preserve"> حيث أرسل رسول الله</w:t>
      </w:r>
      <w:r w:rsidR="00147857" w:rsidRPr="003F3B94">
        <w:rPr>
          <w:rFonts w:ascii="Abo-thar" w:hAnsi="Abo-thar" w:hint="cs"/>
          <w:sz w:val="28"/>
          <w:rtl/>
          <w:lang w:bidi="ar-SY"/>
        </w:rPr>
        <w:t xml:space="preserve"> </w:t>
      </w:r>
      <w:r w:rsidR="003C7AEB" w:rsidRPr="003C7AEB">
        <w:rPr>
          <w:rFonts w:ascii="Abo-thar" w:hAnsi="Abo-thar" w:cs="CTraditional Arabic"/>
          <w:sz w:val="28"/>
          <w:rtl/>
          <w:lang w:bidi="ar-SY"/>
        </w:rPr>
        <w:t>ص</w:t>
      </w:r>
      <w:r w:rsidR="00147857" w:rsidRPr="003F3B94">
        <w:rPr>
          <w:rFonts w:ascii="Abo-thar" w:hAnsi="Abo-thar"/>
          <w:sz w:val="28"/>
          <w:rtl/>
          <w:lang w:bidi="ar-SY"/>
        </w:rPr>
        <w:t xml:space="preserve"> </w:t>
      </w:r>
      <w:r w:rsidRPr="003F3B94">
        <w:rPr>
          <w:rFonts w:ascii="Abo-thar" w:hAnsi="Abo-thar" w:hint="cs"/>
          <w:sz w:val="28"/>
          <w:rtl/>
          <w:lang w:bidi="ar-SY"/>
        </w:rPr>
        <w:t>في تلك السنة عمّال الصدقات إلى أطراف الجزيرة العربية لجباية الزكاة</w:t>
      </w:r>
      <w:r w:rsidR="001E0DB7" w:rsidRPr="003F3B94">
        <w:rPr>
          <w:rFonts w:ascii="Abo-thar" w:hAnsi="Abo-thar" w:hint="cs"/>
          <w:sz w:val="28"/>
          <w:rtl/>
          <w:lang w:bidi="ar-SY"/>
        </w:rPr>
        <w:t>،</w:t>
      </w:r>
      <w:r w:rsidRPr="003F3B94">
        <w:rPr>
          <w:rFonts w:ascii="Abo-thar" w:hAnsi="Abo-thar" w:hint="cs"/>
          <w:sz w:val="28"/>
          <w:rtl/>
          <w:lang w:bidi="ar-SY"/>
        </w:rPr>
        <w:t xml:space="preserve"> ولا يمكن لمن له أدنى شعور ووجدان أن يقبل أن يقرِّر نبيُّ الله</w:t>
      </w:r>
      <w:r w:rsidR="00147857" w:rsidRPr="003F3B94">
        <w:rPr>
          <w:rFonts w:ascii="Abo-thar" w:hAnsi="Abo-thar" w:hint="cs"/>
          <w:sz w:val="28"/>
          <w:rtl/>
          <w:lang w:bidi="ar-SY"/>
        </w:rPr>
        <w:t xml:space="preserve"> </w:t>
      </w:r>
      <w:r w:rsidR="003C7AEB" w:rsidRPr="003C7AEB">
        <w:rPr>
          <w:rFonts w:ascii="Abo-thar" w:hAnsi="Abo-thar" w:cs="CTraditional Arabic" w:hint="cs"/>
          <w:sz w:val="28"/>
          <w:rtl/>
          <w:lang w:bidi="ar-SY"/>
        </w:rPr>
        <w:t>ص</w:t>
      </w:r>
      <w:r w:rsidR="00147857" w:rsidRPr="003F3B94">
        <w:rPr>
          <w:rFonts w:ascii="Abo-thar" w:hAnsi="Abo-thar" w:hint="cs"/>
          <w:sz w:val="28"/>
          <w:rtl/>
          <w:lang w:bidi="ar-SY"/>
        </w:rPr>
        <w:t xml:space="preserve"> </w:t>
      </w:r>
      <w:r w:rsidRPr="003F3B94">
        <w:rPr>
          <w:rFonts w:ascii="Abo-thar" w:hAnsi="Abo-thar" w:hint="cs"/>
          <w:sz w:val="28"/>
          <w:rtl/>
          <w:lang w:bidi="ar-SY"/>
        </w:rPr>
        <w:t>لأقربائه ذلك الخُمس المفروض على جميع الأشياء والأموال لعيش وارتزاق قرابته من بني هاشم أو يقرر لهم سهماً من غنائم الحرب</w:t>
      </w:r>
      <w:r w:rsidR="001E0DB7" w:rsidRPr="003F3B94">
        <w:rPr>
          <w:rFonts w:ascii="Abo-thar" w:hAnsi="Abo-thar" w:hint="cs"/>
          <w:sz w:val="28"/>
          <w:rtl/>
          <w:lang w:bidi="ar-SY"/>
        </w:rPr>
        <w:t>،</w:t>
      </w:r>
      <w:r w:rsidRPr="003F3B94">
        <w:rPr>
          <w:rFonts w:ascii="Abo-thar" w:hAnsi="Abo-thar" w:hint="cs"/>
          <w:sz w:val="28"/>
          <w:rtl/>
          <w:lang w:bidi="ar-SY"/>
        </w:rPr>
        <w:t xml:space="preserve"> قبل سبع أو ثمان سنوات من أخذه الزكاة لأجل الفقراء من غير بني هاشم</w:t>
      </w:r>
      <w:r w:rsidR="00217AB4" w:rsidRPr="003F3B94">
        <w:rPr>
          <w:rFonts w:ascii="Abo-thar" w:hAnsi="Abo-thar" w:hint="cs"/>
          <w:sz w:val="28"/>
          <w:rtl/>
          <w:lang w:bidi="ar-SY"/>
        </w:rPr>
        <w:t>،</w:t>
      </w:r>
      <w:r w:rsidRPr="003F3B94">
        <w:rPr>
          <w:rFonts w:ascii="Abo-thar" w:hAnsi="Abo-thar" w:hint="cs"/>
          <w:sz w:val="28"/>
          <w:rtl/>
          <w:lang w:bidi="ar-SY"/>
        </w:rPr>
        <w:t xml:space="preserve"> ثم يقول لعامة فقراء المسلمين من غير بني هاشم </w:t>
      </w:r>
      <w:r w:rsidRPr="003F3B94">
        <w:rPr>
          <w:rFonts w:cs="Times New Roman" w:hint="cs"/>
          <w:sz w:val="28"/>
          <w:rtl/>
          <w:lang w:bidi="ar-SY"/>
        </w:rPr>
        <w:t>–</w:t>
      </w:r>
      <w:r w:rsidRPr="003F3B94">
        <w:rPr>
          <w:rFonts w:ascii="Abo-thar" w:hAnsi="Abo-thar" w:hint="cs"/>
          <w:sz w:val="28"/>
          <w:rtl/>
          <w:lang w:bidi="ar-SY"/>
        </w:rPr>
        <w:t xml:space="preserve"> بل حتى لبني هاشم عند الضرورة </w:t>
      </w:r>
      <w:r w:rsidRPr="003F3B94">
        <w:rPr>
          <w:rFonts w:cs="Times New Roman" w:hint="cs"/>
          <w:sz w:val="28"/>
          <w:rtl/>
          <w:lang w:bidi="ar-SY"/>
        </w:rPr>
        <w:t>–</w:t>
      </w:r>
      <w:r w:rsidR="00217AB4" w:rsidRPr="003F3B94">
        <w:rPr>
          <w:rFonts w:ascii="Abo-thar" w:hAnsi="Abo-thar" w:hint="cs"/>
          <w:sz w:val="28"/>
          <w:rtl/>
          <w:lang w:bidi="ar-SY"/>
        </w:rPr>
        <w:t>:</w:t>
      </w:r>
      <w:r w:rsidRPr="003F3B94">
        <w:rPr>
          <w:rFonts w:ascii="Abo-thar" w:hAnsi="Abo-thar" w:hint="cs"/>
          <w:sz w:val="28"/>
          <w:rtl/>
          <w:lang w:bidi="ar-SY"/>
        </w:rPr>
        <w:t xml:space="preserve"> لما كنا سنقرر بعد سبع سنوات الزكاة لأجلكم وسنحرِّمها إنشاء الله على بني هاشم</w:t>
      </w:r>
      <w:r w:rsidR="001E0DB7" w:rsidRPr="003F3B94">
        <w:rPr>
          <w:rFonts w:ascii="Abo-thar" w:hAnsi="Abo-thar" w:hint="cs"/>
          <w:sz w:val="28"/>
          <w:rtl/>
          <w:lang w:bidi="ar-SY"/>
        </w:rPr>
        <w:t>،</w:t>
      </w:r>
      <w:r w:rsidRPr="003F3B94">
        <w:rPr>
          <w:rFonts w:ascii="Abo-thar" w:hAnsi="Abo-thar" w:hint="cs"/>
          <w:sz w:val="28"/>
          <w:rtl/>
          <w:lang w:bidi="ar-SY"/>
        </w:rPr>
        <w:t xml:space="preserve"> لذا لابد أولاً أن نحلّ وضع الفقراء واليتامى وأبناء السبيل من أسرة بني هاشم ونريح بالهم</w:t>
      </w:r>
      <w:r w:rsidR="001E0DB7" w:rsidRPr="003F3B94">
        <w:rPr>
          <w:rFonts w:ascii="Abo-thar" w:hAnsi="Abo-thar" w:hint="cs"/>
          <w:sz w:val="28"/>
          <w:rtl/>
          <w:lang w:bidi="ar-SY"/>
        </w:rPr>
        <w:t>،</w:t>
      </w:r>
      <w:r w:rsidRPr="003F3B94">
        <w:rPr>
          <w:rFonts w:ascii="Abo-thar" w:hAnsi="Abo-thar" w:hint="cs"/>
          <w:sz w:val="28"/>
          <w:rtl/>
          <w:lang w:bidi="ar-SY"/>
        </w:rPr>
        <w:t xml:space="preserve"> ثم بعد ثمان سنوات سنضع إن</w:t>
      </w:r>
      <w:r w:rsidR="001A289D">
        <w:rPr>
          <w:rFonts w:ascii="Abo-thar" w:hAnsi="Abo-thar" w:hint="cs"/>
          <w:sz w:val="28"/>
          <w:rtl/>
          <w:lang w:bidi="ar-SY"/>
        </w:rPr>
        <w:t xml:space="preserve"> </w:t>
      </w:r>
      <w:r w:rsidRPr="003F3B94">
        <w:rPr>
          <w:rFonts w:ascii="Abo-thar" w:hAnsi="Abo-thar" w:hint="cs"/>
          <w:sz w:val="28"/>
          <w:rtl/>
          <w:lang w:bidi="ar-SY"/>
        </w:rPr>
        <w:t xml:space="preserve">شاء الله حلاً للفقراء من غير بني هاشم حيث نأخذ لهم الزكاة </w:t>
      </w:r>
      <w:r w:rsidR="00217AB4" w:rsidRPr="003F3B94">
        <w:rPr>
          <w:rFonts w:ascii="Abo-thar" w:hAnsi="Abo-thar" w:hint="cs"/>
          <w:sz w:val="28"/>
          <w:rtl/>
          <w:lang w:bidi="ar-SY"/>
        </w:rPr>
        <w:t>(</w:t>
      </w:r>
      <w:r w:rsidRPr="003F3B94">
        <w:rPr>
          <w:rFonts w:ascii="Abo-thar" w:hAnsi="Abo-thar" w:hint="cs"/>
          <w:sz w:val="28"/>
          <w:rtl/>
          <w:lang w:bidi="ar-SY"/>
        </w:rPr>
        <w:t>ذات الشروط والقيود</w:t>
      </w:r>
      <w:r w:rsidR="00217AB4" w:rsidRPr="003F3B94">
        <w:rPr>
          <w:rFonts w:ascii="Abo-thar" w:hAnsi="Abo-thar" w:hint="cs"/>
          <w:sz w:val="28"/>
          <w:rtl/>
          <w:lang w:bidi="ar-SY"/>
        </w:rPr>
        <w:t>)!!</w:t>
      </w:r>
      <w:r w:rsidRPr="003F3B94">
        <w:rPr>
          <w:rFonts w:ascii="Abo-thar" w:hAnsi="Abo-thar" w:hint="cs"/>
          <w:sz w:val="28"/>
          <w:rtl/>
          <w:lang w:bidi="ar-SY"/>
        </w:rPr>
        <w:t xml:space="preserve"> </w:t>
      </w:r>
    </w:p>
    <w:p w:rsidR="005C664D" w:rsidRPr="00995B26" w:rsidRDefault="005C664D" w:rsidP="003F3B94">
      <w:pPr>
        <w:pStyle w:val="a0"/>
        <w:rPr>
          <w:rFonts w:hint="cs"/>
          <w:rtl/>
          <w:lang w:bidi="ar-SY"/>
        </w:rPr>
      </w:pPr>
      <w:r w:rsidRPr="003F3B94">
        <w:rPr>
          <w:rFonts w:ascii="Abo-thar" w:hAnsi="Abo-thar" w:hint="cs"/>
          <w:sz w:val="28"/>
          <w:rtl/>
          <w:lang w:bidi="ar-SY"/>
        </w:rPr>
        <w:t>هل نطق أي مشرِّع حتى اليوم بكلامٍ أكثر بطلاناً ولغواً أو قال قولاً أكثر سفاهةً وظلماً من هذا</w:t>
      </w:r>
      <w:r w:rsidR="00217AB4" w:rsidRPr="003F3B94">
        <w:rPr>
          <w:rFonts w:ascii="Abo-thar" w:hAnsi="Abo-thar" w:hint="cs"/>
          <w:sz w:val="28"/>
          <w:rtl/>
          <w:lang w:bidi="ar-SY"/>
        </w:rPr>
        <w:t>؟!</w:t>
      </w:r>
      <w:r w:rsidRPr="003F3B94">
        <w:rPr>
          <w:rFonts w:ascii="Abo-thar" w:hAnsi="Abo-thar" w:hint="cs"/>
          <w:sz w:val="28"/>
          <w:rtl/>
          <w:lang w:bidi="ar-SY"/>
        </w:rPr>
        <w:t xml:space="preserve"> حقاً لا أدري كيف يجرؤ هؤلاء الناس أن ينسبوا إلى رسول الله</w:t>
      </w:r>
      <w:r w:rsidR="00147857" w:rsidRPr="003F3B94">
        <w:rPr>
          <w:rFonts w:ascii="Abo-thar" w:hAnsi="Abo-thar" w:hint="cs"/>
          <w:sz w:val="28"/>
          <w:rtl/>
          <w:lang w:bidi="ar-SY"/>
        </w:rPr>
        <w:t xml:space="preserve"> </w:t>
      </w:r>
      <w:r w:rsidR="003C7AEB" w:rsidRPr="003C7AEB">
        <w:rPr>
          <w:rFonts w:ascii="Abo-thar" w:hAnsi="Abo-thar" w:cs="CTraditional Arabic"/>
          <w:sz w:val="28"/>
          <w:rtl/>
          <w:lang w:bidi="ar-SY"/>
        </w:rPr>
        <w:t>ص</w:t>
      </w:r>
      <w:r w:rsidR="00147857" w:rsidRPr="003F3B94">
        <w:rPr>
          <w:rFonts w:ascii="Abo-thar" w:hAnsi="Abo-thar"/>
          <w:sz w:val="28"/>
          <w:rtl/>
          <w:lang w:bidi="ar-SY"/>
        </w:rPr>
        <w:t xml:space="preserve"> </w:t>
      </w:r>
      <w:r w:rsidRPr="003F3B94">
        <w:rPr>
          <w:rFonts w:ascii="Abo-thar" w:hAnsi="Abo-thar" w:hint="cs"/>
          <w:sz w:val="28"/>
          <w:rtl/>
          <w:lang w:bidi="ar-SY"/>
        </w:rPr>
        <w:t>صاحب العقل الكامل والحكمة البالغة ورحمة للعالمين مثل هذا الأمر</w:t>
      </w:r>
      <w:r w:rsidR="001E0DB7" w:rsidRPr="003F3B94">
        <w:rPr>
          <w:rFonts w:ascii="Abo-thar" w:hAnsi="Abo-thar" w:hint="cs"/>
          <w:sz w:val="28"/>
          <w:rtl/>
          <w:lang w:bidi="ar-SY"/>
        </w:rPr>
        <w:t>،</w:t>
      </w:r>
      <w:r w:rsidRPr="003F3B94">
        <w:rPr>
          <w:rFonts w:ascii="Abo-thar" w:hAnsi="Abo-thar" w:hint="cs"/>
          <w:sz w:val="28"/>
          <w:rtl/>
          <w:lang w:bidi="ar-SY"/>
        </w:rPr>
        <w:t xml:space="preserve"> ولعمري إن هذا أكبر ظلم وأسوأ افتراء وأعظم تهمة يُتهم بها حضرة النبي</w:t>
      </w:r>
      <w:r w:rsidR="00147857" w:rsidRPr="003F3B94">
        <w:rPr>
          <w:rFonts w:ascii="Abo-thar" w:hAnsi="Abo-thar" w:hint="cs"/>
          <w:sz w:val="28"/>
          <w:rtl/>
          <w:lang w:bidi="ar-SY"/>
        </w:rPr>
        <w:t xml:space="preserve"> </w:t>
      </w:r>
      <w:r w:rsidR="003C7AEB" w:rsidRPr="003C7AEB">
        <w:rPr>
          <w:rFonts w:ascii="Abo-thar" w:hAnsi="Abo-thar" w:cs="CTraditional Arabic"/>
          <w:sz w:val="28"/>
          <w:rtl/>
          <w:lang w:bidi="ar-SY"/>
        </w:rPr>
        <w:t>ص</w:t>
      </w:r>
      <w:r w:rsidR="00147857" w:rsidRPr="003F3B94">
        <w:rPr>
          <w:rFonts w:ascii="Abo-thar" w:hAnsi="Abo-thar"/>
          <w:sz w:val="28"/>
          <w:rtl/>
          <w:lang w:bidi="ar-SY"/>
        </w:rPr>
        <w:t xml:space="preserve"> </w:t>
      </w:r>
      <w:r w:rsidRPr="003F3B94">
        <w:rPr>
          <w:rFonts w:ascii="Abo-thar" w:hAnsi="Abo-thar" w:hint="cs"/>
          <w:sz w:val="28"/>
          <w:rtl/>
          <w:lang w:bidi="ar-SY"/>
        </w:rPr>
        <w:t>ودين الله</w:t>
      </w:r>
      <w:r w:rsidR="00217AB4" w:rsidRPr="003F3B94">
        <w:rPr>
          <w:rFonts w:ascii="Abo-thar" w:hAnsi="Abo-thar" w:hint="cs"/>
          <w:sz w:val="28"/>
          <w:rtl/>
          <w:lang w:bidi="ar-SY"/>
        </w:rPr>
        <w:t>:</w:t>
      </w:r>
      <w:r w:rsidR="00B06788" w:rsidRPr="003F3B94">
        <w:rPr>
          <w:rFonts w:ascii="Abo-thar" w:hAnsi="Abo-thar" w:hint="cs"/>
          <w:sz w:val="28"/>
          <w:rtl/>
          <w:lang w:bidi="ar-SY"/>
        </w:rPr>
        <w:t xml:space="preserve"> </w:t>
      </w:r>
      <w:r w:rsidR="00B06788" w:rsidRPr="00995B26">
        <w:rPr>
          <w:rFonts w:ascii="Abo-thar" w:hAnsi="Abo-thar" w:cs="Traditional Arabic" w:hint="cs"/>
          <w:sz w:val="28"/>
          <w:rtl/>
          <w:lang w:bidi="ar-SY"/>
        </w:rPr>
        <w:t>﴿</w:t>
      </w:r>
      <w:r w:rsidR="00B06788" w:rsidRPr="0067048A">
        <w:rPr>
          <w:rFonts w:ascii="KFGQPC Uthmanic Script HAFS" w:cs="KFGQPC Uthmanic Script HAFS" w:hint="eastAsia"/>
          <w:sz w:val="28"/>
          <w:szCs w:val="28"/>
          <w:rtl/>
        </w:rPr>
        <w:t>وَمَن</w:t>
      </w:r>
      <w:r w:rsidR="00B06788" w:rsidRPr="0067048A">
        <w:rPr>
          <w:rFonts w:ascii="KFGQPC Uthmanic Script HAFS" w:cs="KFGQPC Uthmanic Script HAFS" w:hint="cs"/>
          <w:sz w:val="28"/>
          <w:szCs w:val="28"/>
          <w:rtl/>
        </w:rPr>
        <w:t>ۡ</w:t>
      </w:r>
      <w:r w:rsidR="00B06788" w:rsidRPr="0067048A">
        <w:rPr>
          <w:rFonts w:ascii="KFGQPC Uthmanic Script HAFS" w:cs="KFGQPC Uthmanic Script HAFS"/>
          <w:sz w:val="28"/>
          <w:szCs w:val="28"/>
          <w:rtl/>
        </w:rPr>
        <w:t xml:space="preserve"> </w:t>
      </w:r>
      <w:r w:rsidR="00B06788" w:rsidRPr="0067048A">
        <w:rPr>
          <w:rFonts w:ascii="KFGQPC Uthmanic Script HAFS" w:cs="KFGQPC Uthmanic Script HAFS" w:hint="eastAsia"/>
          <w:sz w:val="28"/>
          <w:szCs w:val="28"/>
          <w:rtl/>
        </w:rPr>
        <w:t>أَظ</w:t>
      </w:r>
      <w:r w:rsidR="00B06788" w:rsidRPr="0067048A">
        <w:rPr>
          <w:rFonts w:ascii="KFGQPC Uthmanic Script HAFS" w:cs="KFGQPC Uthmanic Script HAFS" w:hint="cs"/>
          <w:sz w:val="28"/>
          <w:szCs w:val="28"/>
          <w:rtl/>
        </w:rPr>
        <w:t>ۡ</w:t>
      </w:r>
      <w:r w:rsidR="00B06788" w:rsidRPr="0067048A">
        <w:rPr>
          <w:rFonts w:ascii="KFGQPC Uthmanic Script HAFS" w:cs="KFGQPC Uthmanic Script HAFS" w:hint="eastAsia"/>
          <w:sz w:val="28"/>
          <w:szCs w:val="28"/>
          <w:rtl/>
        </w:rPr>
        <w:t>لَمُ</w:t>
      </w:r>
      <w:r w:rsidR="00B06788" w:rsidRPr="0067048A">
        <w:rPr>
          <w:rFonts w:ascii="KFGQPC Uthmanic Script HAFS" w:cs="KFGQPC Uthmanic Script HAFS"/>
          <w:sz w:val="28"/>
          <w:szCs w:val="28"/>
          <w:rtl/>
        </w:rPr>
        <w:t xml:space="preserve"> </w:t>
      </w:r>
      <w:r w:rsidR="00B06788" w:rsidRPr="0067048A">
        <w:rPr>
          <w:rFonts w:ascii="KFGQPC Uthmanic Script HAFS" w:cs="KFGQPC Uthmanic Script HAFS" w:hint="eastAsia"/>
          <w:sz w:val="28"/>
          <w:szCs w:val="28"/>
          <w:rtl/>
        </w:rPr>
        <w:t>مِمَّنِ</w:t>
      </w:r>
      <w:r w:rsidR="00B06788" w:rsidRPr="0067048A">
        <w:rPr>
          <w:rFonts w:ascii="KFGQPC Uthmanic Script HAFS" w:cs="KFGQPC Uthmanic Script HAFS"/>
          <w:sz w:val="28"/>
          <w:szCs w:val="28"/>
          <w:rtl/>
        </w:rPr>
        <w:t xml:space="preserve"> </w:t>
      </w:r>
      <w:r w:rsidR="00B06788" w:rsidRPr="0067048A">
        <w:rPr>
          <w:rFonts w:ascii="KFGQPC Uthmanic Script HAFS" w:cs="KFGQPC Uthmanic Script HAFS" w:hint="cs"/>
          <w:sz w:val="28"/>
          <w:szCs w:val="28"/>
          <w:rtl/>
        </w:rPr>
        <w:t>ٱ</w:t>
      </w:r>
      <w:r w:rsidR="00B06788" w:rsidRPr="0067048A">
        <w:rPr>
          <w:rFonts w:ascii="KFGQPC Uthmanic Script HAFS" w:cs="KFGQPC Uthmanic Script HAFS" w:hint="eastAsia"/>
          <w:sz w:val="28"/>
          <w:szCs w:val="28"/>
          <w:rtl/>
        </w:rPr>
        <w:t>ف</w:t>
      </w:r>
      <w:r w:rsidR="00B06788" w:rsidRPr="0067048A">
        <w:rPr>
          <w:rFonts w:ascii="KFGQPC Uthmanic Script HAFS" w:cs="KFGQPC Uthmanic Script HAFS" w:hint="cs"/>
          <w:sz w:val="28"/>
          <w:szCs w:val="28"/>
          <w:rtl/>
        </w:rPr>
        <w:t>ۡ</w:t>
      </w:r>
      <w:r w:rsidR="00B06788" w:rsidRPr="0067048A">
        <w:rPr>
          <w:rFonts w:ascii="KFGQPC Uthmanic Script HAFS" w:cs="KFGQPC Uthmanic Script HAFS" w:hint="eastAsia"/>
          <w:sz w:val="28"/>
          <w:szCs w:val="28"/>
          <w:rtl/>
        </w:rPr>
        <w:t>تَرَى</w:t>
      </w:r>
      <w:r w:rsidR="00B06788" w:rsidRPr="0067048A">
        <w:rPr>
          <w:rFonts w:ascii="KFGQPC Uthmanic Script HAFS" w:cs="KFGQPC Uthmanic Script HAFS" w:hint="cs"/>
          <w:sz w:val="28"/>
          <w:szCs w:val="28"/>
          <w:rtl/>
        </w:rPr>
        <w:t>ٰ</w:t>
      </w:r>
      <w:r w:rsidR="00B06788" w:rsidRPr="0067048A">
        <w:rPr>
          <w:rFonts w:ascii="KFGQPC Uthmanic Script HAFS" w:cs="KFGQPC Uthmanic Script HAFS"/>
          <w:sz w:val="28"/>
          <w:szCs w:val="28"/>
          <w:rtl/>
        </w:rPr>
        <w:t xml:space="preserve"> </w:t>
      </w:r>
      <w:r w:rsidR="00B06788" w:rsidRPr="0067048A">
        <w:rPr>
          <w:rFonts w:ascii="KFGQPC Uthmanic Script HAFS" w:cs="KFGQPC Uthmanic Script HAFS" w:hint="eastAsia"/>
          <w:sz w:val="28"/>
          <w:szCs w:val="28"/>
          <w:rtl/>
        </w:rPr>
        <w:t>عَلَى</w:t>
      </w:r>
      <w:r w:rsidR="00B06788" w:rsidRPr="0067048A">
        <w:rPr>
          <w:rFonts w:ascii="KFGQPC Uthmanic Script HAFS" w:cs="KFGQPC Uthmanic Script HAFS"/>
          <w:sz w:val="28"/>
          <w:szCs w:val="28"/>
          <w:rtl/>
        </w:rPr>
        <w:t xml:space="preserve"> </w:t>
      </w:r>
      <w:r w:rsidR="00B06788" w:rsidRPr="0067048A">
        <w:rPr>
          <w:rFonts w:ascii="KFGQPC Uthmanic Script HAFS" w:cs="KFGQPC Uthmanic Script HAFS" w:hint="cs"/>
          <w:sz w:val="28"/>
          <w:szCs w:val="28"/>
          <w:rtl/>
        </w:rPr>
        <w:t>ٱ</w:t>
      </w:r>
      <w:r w:rsidR="00B06788" w:rsidRPr="0067048A">
        <w:rPr>
          <w:rFonts w:ascii="KFGQPC Uthmanic Script HAFS" w:cs="KFGQPC Uthmanic Script HAFS" w:hint="eastAsia"/>
          <w:sz w:val="28"/>
          <w:szCs w:val="28"/>
          <w:rtl/>
        </w:rPr>
        <w:t>للَّهِ</w:t>
      </w:r>
      <w:r w:rsidR="00B06788" w:rsidRPr="0067048A">
        <w:rPr>
          <w:rFonts w:ascii="KFGQPC Uthmanic Script HAFS" w:cs="KFGQPC Uthmanic Script HAFS"/>
          <w:sz w:val="28"/>
          <w:szCs w:val="28"/>
          <w:rtl/>
        </w:rPr>
        <w:t xml:space="preserve"> </w:t>
      </w:r>
      <w:r w:rsidR="00B06788" w:rsidRPr="0067048A">
        <w:rPr>
          <w:rFonts w:ascii="KFGQPC Uthmanic Script HAFS" w:cs="KFGQPC Uthmanic Script HAFS" w:hint="eastAsia"/>
          <w:sz w:val="28"/>
          <w:szCs w:val="28"/>
          <w:rtl/>
        </w:rPr>
        <w:t>كَذِبًا</w:t>
      </w:r>
      <w:r w:rsidR="00B06788" w:rsidRPr="00995B26">
        <w:rPr>
          <w:rFonts w:ascii="Abo-thar" w:hAnsi="Abo-thar" w:cs="Traditional Arabic" w:hint="cs"/>
          <w:sz w:val="28"/>
          <w:rtl/>
          <w:lang w:bidi="ar-SY"/>
        </w:rPr>
        <w:t>﴾</w:t>
      </w:r>
      <w:r w:rsidRPr="00995B26">
        <w:rPr>
          <w:rFonts w:ascii="Abo-thar" w:hAnsi="Abo-thar" w:hint="cs"/>
          <w:sz w:val="28"/>
          <w:rtl/>
          <w:lang w:bidi="ar-SY"/>
        </w:rPr>
        <w:t xml:space="preserve"> </w:t>
      </w:r>
      <w:r w:rsidR="00B06788" w:rsidRPr="003108CB">
        <w:rPr>
          <w:rStyle w:val="Char2"/>
          <w:rFonts w:hint="cs"/>
          <w:rtl/>
        </w:rPr>
        <w:t xml:space="preserve">[الأنعام: </w:t>
      </w:r>
      <w:r w:rsidRPr="003108CB">
        <w:rPr>
          <w:rStyle w:val="Char2"/>
          <w:rFonts w:hint="cs"/>
          <w:rtl/>
        </w:rPr>
        <w:t>21]</w:t>
      </w:r>
      <w:r w:rsidR="00217AB4" w:rsidRPr="00995B26">
        <w:rPr>
          <w:rFonts w:ascii="Abo-thar" w:hAnsi="Abo-thar" w:hint="cs"/>
          <w:sz w:val="28"/>
          <w:rtl/>
          <w:lang w:bidi="ar-SY"/>
        </w:rPr>
        <w:t>.</w:t>
      </w:r>
      <w:r w:rsidRPr="00995B26">
        <w:rPr>
          <w:rFonts w:ascii="Abo-thar" w:hAnsi="Abo-thar" w:hint="cs"/>
          <w:sz w:val="28"/>
          <w:rtl/>
          <w:lang w:bidi="ar-SY"/>
        </w:rPr>
        <w:t xml:space="preserve"> </w:t>
      </w:r>
    </w:p>
    <w:p w:rsidR="005C664D" w:rsidRPr="003F3B94" w:rsidRDefault="005C664D" w:rsidP="003F3B94">
      <w:pPr>
        <w:pStyle w:val="a0"/>
        <w:rPr>
          <w:rFonts w:hint="cs"/>
          <w:rtl/>
          <w:lang w:bidi="ar-SY"/>
        </w:rPr>
      </w:pPr>
      <w:r w:rsidRPr="003F3B94">
        <w:rPr>
          <w:rFonts w:ascii="Abo-thar" w:hAnsi="Abo-thar" w:hint="cs"/>
          <w:sz w:val="28"/>
          <w:rtl/>
          <w:lang w:bidi="ar-SY"/>
        </w:rPr>
        <w:t>ويبدو لنا أن مسألة تحريم الصدقة والزكاة على بني هاشم كانت إحدى الحيل السياسية التي حيكت ضد تلك الذرية الكريمة</w:t>
      </w:r>
      <w:r w:rsidR="001E0DB7" w:rsidRPr="003F3B94">
        <w:rPr>
          <w:rFonts w:ascii="Abo-thar" w:hAnsi="Abo-thar" w:hint="cs"/>
          <w:sz w:val="28"/>
          <w:rtl/>
          <w:lang w:bidi="ar-SY"/>
        </w:rPr>
        <w:t>،</w:t>
      </w:r>
      <w:r w:rsidRPr="003F3B94">
        <w:rPr>
          <w:rFonts w:ascii="Abo-thar" w:hAnsi="Abo-thar" w:hint="cs"/>
          <w:sz w:val="28"/>
          <w:rtl/>
          <w:lang w:bidi="ar-SY"/>
        </w:rPr>
        <w:t xml:space="preserve"> مثلها مثل حديث </w:t>
      </w:r>
      <w:r w:rsidRPr="003762F6">
        <w:rPr>
          <w:rFonts w:ascii="Abo-thar" w:hAnsi="Abo-thar" w:cs="KFGQPC Uthman Taha Naskh" w:hint="eastAsia"/>
          <w:sz w:val="28"/>
          <w:rtl/>
          <w:lang w:bidi="ar-SY"/>
        </w:rPr>
        <w:t>«</w:t>
      </w:r>
      <w:r w:rsidRPr="003762F6">
        <w:rPr>
          <w:rFonts w:ascii="Abo-thar" w:hAnsi="Abo-thar" w:cs="KFGQPC Uthman Taha Naskh" w:hint="eastAsia"/>
          <w:b/>
          <w:bCs/>
          <w:sz w:val="28"/>
          <w:rtl/>
          <w:lang w:bidi="ar-SY"/>
        </w:rPr>
        <w:t>لاَ</w:t>
      </w:r>
      <w:r w:rsidRPr="003762F6">
        <w:rPr>
          <w:rFonts w:ascii="Abo-thar" w:hAnsi="Abo-thar" w:cs="KFGQPC Uthman Taha Naskh"/>
          <w:b/>
          <w:bCs/>
          <w:sz w:val="28"/>
          <w:rtl/>
          <w:lang w:bidi="ar-SY"/>
        </w:rPr>
        <w:t xml:space="preserve"> </w:t>
      </w:r>
      <w:r w:rsidRPr="003762F6">
        <w:rPr>
          <w:rFonts w:ascii="Abo-thar" w:hAnsi="Abo-thar" w:cs="KFGQPC Uthman Taha Naskh" w:hint="eastAsia"/>
          <w:b/>
          <w:bCs/>
          <w:sz w:val="28"/>
          <w:rtl/>
          <w:lang w:bidi="ar-SY"/>
        </w:rPr>
        <w:t>نُورَثُ</w:t>
      </w:r>
      <w:r w:rsidRPr="003762F6">
        <w:rPr>
          <w:rFonts w:ascii="Abo-thar" w:hAnsi="Abo-thar" w:cs="KFGQPC Uthman Taha Naskh"/>
          <w:b/>
          <w:bCs/>
          <w:sz w:val="28"/>
          <w:rtl/>
          <w:lang w:bidi="ar-SY"/>
        </w:rPr>
        <w:t xml:space="preserve"> </w:t>
      </w:r>
      <w:r w:rsidRPr="003762F6">
        <w:rPr>
          <w:rFonts w:ascii="Abo-thar" w:hAnsi="Abo-thar" w:cs="KFGQPC Uthman Taha Naskh" w:hint="eastAsia"/>
          <w:b/>
          <w:bCs/>
          <w:sz w:val="28"/>
          <w:rtl/>
          <w:lang w:bidi="ar-SY"/>
        </w:rPr>
        <w:t>مَا</w:t>
      </w:r>
      <w:r w:rsidRPr="003762F6">
        <w:rPr>
          <w:rFonts w:ascii="Abo-thar" w:hAnsi="Abo-thar" w:cs="KFGQPC Uthman Taha Naskh"/>
          <w:b/>
          <w:bCs/>
          <w:sz w:val="28"/>
          <w:rtl/>
          <w:lang w:bidi="ar-SY"/>
        </w:rPr>
        <w:t xml:space="preserve"> </w:t>
      </w:r>
      <w:r w:rsidRPr="003762F6">
        <w:rPr>
          <w:rFonts w:ascii="Abo-thar" w:hAnsi="Abo-thar" w:cs="KFGQPC Uthman Taha Naskh" w:hint="eastAsia"/>
          <w:b/>
          <w:bCs/>
          <w:sz w:val="28"/>
          <w:rtl/>
          <w:lang w:bidi="ar-SY"/>
        </w:rPr>
        <w:t>تَرَكْنَا</w:t>
      </w:r>
      <w:r w:rsidRPr="003762F6">
        <w:rPr>
          <w:rFonts w:ascii="Abo-thar" w:hAnsi="Abo-thar" w:cs="KFGQPC Uthman Taha Naskh"/>
          <w:b/>
          <w:bCs/>
          <w:sz w:val="28"/>
          <w:rtl/>
          <w:lang w:bidi="ar-SY"/>
        </w:rPr>
        <w:t xml:space="preserve"> </w:t>
      </w:r>
      <w:r w:rsidRPr="003762F6">
        <w:rPr>
          <w:rFonts w:ascii="Abo-thar" w:hAnsi="Abo-thar" w:cs="KFGQPC Uthman Taha Naskh" w:hint="eastAsia"/>
          <w:b/>
          <w:bCs/>
          <w:sz w:val="28"/>
          <w:rtl/>
          <w:lang w:bidi="ar-SY"/>
        </w:rPr>
        <w:t>صَدَقَةٌ</w:t>
      </w:r>
      <w:r w:rsidRPr="003762F6">
        <w:rPr>
          <w:rFonts w:ascii="Abo-thar" w:hAnsi="Abo-thar" w:cs="KFGQPC Uthman Taha Naskh" w:hint="eastAsia"/>
          <w:sz w:val="28"/>
          <w:rtl/>
          <w:lang w:bidi="ar-SY"/>
        </w:rPr>
        <w:t>»</w:t>
      </w:r>
      <w:r w:rsidR="00217AB4" w:rsidRPr="0021507A">
        <w:rPr>
          <w:rFonts w:cs="Arabic11 BT"/>
          <w:b/>
          <w:sz w:val="28"/>
          <w:vertAlign w:val="superscript"/>
          <w:rtl/>
          <w:lang w:bidi="ar-SY"/>
        </w:rPr>
        <w:t>(</w:t>
      </w:r>
      <w:r w:rsidRPr="0021507A">
        <w:rPr>
          <w:rStyle w:val="FootnoteReference"/>
          <w:rFonts w:cs="Arabic11 BT"/>
          <w:b/>
          <w:sz w:val="28"/>
          <w:rtl/>
          <w:lang w:bidi="ar-SY"/>
        </w:rPr>
        <w:footnoteReference w:id="220"/>
      </w:r>
      <w:r w:rsidR="00217AB4" w:rsidRPr="0021507A">
        <w:rPr>
          <w:rFonts w:cs="Arabic11 BT"/>
          <w:b/>
          <w:sz w:val="28"/>
          <w:vertAlign w:val="superscript"/>
          <w:rtl/>
          <w:lang w:bidi="ar-SY"/>
        </w:rPr>
        <w:t>)</w:t>
      </w:r>
      <w:r w:rsidR="001E0DB7" w:rsidRPr="003F3B94">
        <w:rPr>
          <w:rFonts w:ascii="Abo-thar" w:hAnsi="Abo-thar" w:hint="cs"/>
          <w:sz w:val="28"/>
          <w:rtl/>
          <w:lang w:bidi="ar-SY"/>
        </w:rPr>
        <w:t>،</w:t>
      </w:r>
      <w:r w:rsidRPr="003F3B94">
        <w:rPr>
          <w:rFonts w:ascii="Abo-thar" w:hAnsi="Abo-thar" w:hint="cs"/>
          <w:sz w:val="28"/>
          <w:rtl/>
          <w:lang w:bidi="ar-SY"/>
        </w:rPr>
        <w:t xml:space="preserve"> والذي هدف واضعوه إلى إضعاف آل النبيِّ مالياً وإفقارهم واضطرارهم إلى الرجوع إلى أبواب خلفاء الجور</w:t>
      </w:r>
      <w:r w:rsidR="001E0DB7" w:rsidRPr="003F3B94">
        <w:rPr>
          <w:rFonts w:ascii="Abo-thar" w:hAnsi="Abo-thar" w:hint="cs"/>
          <w:sz w:val="28"/>
          <w:rtl/>
          <w:lang w:bidi="ar-SY"/>
        </w:rPr>
        <w:t>،</w:t>
      </w:r>
      <w:r w:rsidRPr="003F3B94">
        <w:rPr>
          <w:rFonts w:ascii="Abo-thar" w:hAnsi="Abo-thar" w:hint="cs"/>
          <w:sz w:val="28"/>
          <w:rtl/>
          <w:lang w:bidi="ar-SY"/>
        </w:rPr>
        <w:t xml:space="preserve"> فكذلك أراد واضعو عقيدة تحريم الصدقة على بني هاشم بعد النبيِّ تحقيق الهدف ذاته</w:t>
      </w:r>
      <w:r w:rsidR="001E0DB7" w:rsidRPr="003F3B94">
        <w:rPr>
          <w:rFonts w:ascii="Abo-thar" w:hAnsi="Abo-thar" w:hint="cs"/>
          <w:sz w:val="28"/>
          <w:rtl/>
          <w:lang w:bidi="ar-SY"/>
        </w:rPr>
        <w:t>،</w:t>
      </w:r>
      <w:r w:rsidRPr="003F3B94">
        <w:rPr>
          <w:rFonts w:ascii="Abo-thar" w:hAnsi="Abo-thar" w:hint="cs"/>
          <w:sz w:val="28"/>
          <w:rtl/>
          <w:lang w:bidi="ar-SY"/>
        </w:rPr>
        <w:t xml:space="preserve"> لأن هذه العقيدة أو الحكم ليست مختصة بالشيعة حتى يقال إنه تم تشريع ذلك الخُمس للتعويض عنها</w:t>
      </w:r>
      <w:r w:rsidR="001E0DB7" w:rsidRPr="003F3B94">
        <w:rPr>
          <w:rFonts w:ascii="Abo-thar" w:hAnsi="Abo-thar" w:hint="cs"/>
          <w:sz w:val="28"/>
          <w:rtl/>
          <w:lang w:bidi="ar-SY"/>
        </w:rPr>
        <w:t>،</w:t>
      </w:r>
      <w:r w:rsidRPr="003F3B94">
        <w:rPr>
          <w:rFonts w:ascii="Abo-thar" w:hAnsi="Abo-thar" w:hint="cs"/>
          <w:sz w:val="28"/>
          <w:rtl/>
          <w:lang w:bidi="ar-SY"/>
        </w:rPr>
        <w:t xml:space="preserve"> بل حتى المخالفين يتفقون مع الشيعة في تحريم الصدقة على بني هاشم بعد النبي</w:t>
      </w:r>
      <w:r w:rsidR="00147857" w:rsidRPr="003F3B94">
        <w:rPr>
          <w:rFonts w:ascii="Abo-thar" w:hAnsi="Abo-thar" w:hint="cs"/>
          <w:sz w:val="28"/>
          <w:rtl/>
          <w:lang w:bidi="ar-SY"/>
        </w:rPr>
        <w:t xml:space="preserve"> </w:t>
      </w:r>
      <w:r w:rsidR="003C7AEB" w:rsidRPr="003C7AEB">
        <w:rPr>
          <w:rFonts w:ascii="Abo-thar" w:hAnsi="Abo-thar" w:cs="CTraditional Arabic" w:hint="cs"/>
          <w:sz w:val="28"/>
          <w:rtl/>
          <w:lang w:bidi="ar-SY"/>
        </w:rPr>
        <w:t>ص</w:t>
      </w:r>
      <w:r w:rsidR="00217AB4" w:rsidRPr="003F3B94">
        <w:rPr>
          <w:rFonts w:ascii="Abo-thar" w:hAnsi="Abo-thar" w:hint="cs"/>
          <w:sz w:val="28"/>
          <w:rtl/>
          <w:lang w:bidi="ar-SY"/>
        </w:rPr>
        <w:t>،</w:t>
      </w:r>
      <w:r w:rsidRPr="003F3B94">
        <w:rPr>
          <w:rFonts w:ascii="Abo-thar" w:hAnsi="Abo-thar" w:hint="cs"/>
          <w:sz w:val="28"/>
          <w:rtl/>
          <w:lang w:bidi="ar-SY"/>
        </w:rPr>
        <w:t xml:space="preserve"> فقد جاء في الفقه على المذاهب الأربعة عن </w:t>
      </w:r>
      <w:r w:rsidRPr="003F3B94">
        <w:rPr>
          <w:rFonts w:ascii="Abo-thar" w:hAnsi="Abo-thar"/>
          <w:sz w:val="28"/>
          <w:rtl/>
          <w:lang w:bidi="ar-SY"/>
        </w:rPr>
        <w:t>«</w:t>
      </w:r>
      <w:r w:rsidRPr="003F3B94">
        <w:rPr>
          <w:rFonts w:ascii="Abo-thar" w:hAnsi="Abo-thar" w:hint="cs"/>
          <w:sz w:val="28"/>
          <w:rtl/>
          <w:lang w:bidi="ar-SY"/>
        </w:rPr>
        <w:t>مالك</w:t>
      </w:r>
      <w:r w:rsidRPr="003F3B94">
        <w:rPr>
          <w:rFonts w:ascii="Abo-thar" w:hAnsi="Abo-thar"/>
          <w:sz w:val="28"/>
          <w:rtl/>
          <w:lang w:bidi="ar-SY"/>
        </w:rPr>
        <w:t>»</w:t>
      </w:r>
      <w:r w:rsidRPr="003F3B94">
        <w:rPr>
          <w:rFonts w:ascii="Abo-thar" w:hAnsi="Abo-thar" w:hint="cs"/>
          <w:sz w:val="28"/>
          <w:rtl/>
          <w:lang w:bidi="ar-SY"/>
        </w:rPr>
        <w:t xml:space="preserve"> بشأن مصارف الزكاة</w:t>
      </w:r>
      <w:r w:rsidR="00217AB4" w:rsidRPr="003F3B94">
        <w:rPr>
          <w:rFonts w:ascii="Abo-thar" w:hAnsi="Abo-thar" w:hint="cs"/>
          <w:sz w:val="28"/>
          <w:rtl/>
          <w:lang w:bidi="ar-SY"/>
        </w:rPr>
        <w:t>:</w:t>
      </w:r>
      <w:r w:rsidRPr="003F3B94">
        <w:rPr>
          <w:rFonts w:ascii="Abo-thar" w:hAnsi="Abo-thar" w:hint="cs"/>
          <w:sz w:val="28"/>
          <w:rtl/>
          <w:lang w:bidi="ar-SY"/>
        </w:rPr>
        <w:t xml:space="preserve"> </w:t>
      </w:r>
      <w:r w:rsidR="00EF2588" w:rsidRPr="003F3B94">
        <w:rPr>
          <w:rFonts w:ascii="Abo-thar" w:hAnsi="Abo-thar" w:hint="cs"/>
          <w:sz w:val="28"/>
          <w:rtl/>
          <w:lang w:bidi="ar-SY"/>
        </w:rPr>
        <w:t>«</w:t>
      </w:r>
      <w:r w:rsidRPr="003F3B94">
        <w:rPr>
          <w:rFonts w:ascii="Abo-thar" w:hAnsi="Abo-thar" w:hint="eastAsia"/>
          <w:b/>
          <w:bCs/>
          <w:sz w:val="28"/>
          <w:rtl/>
          <w:lang w:bidi="ar-SY"/>
        </w:rPr>
        <w:t>ويشترط</w:t>
      </w:r>
      <w:r w:rsidRPr="003F3B94">
        <w:rPr>
          <w:rFonts w:ascii="Abo-thar" w:hAnsi="Abo-thar"/>
          <w:b/>
          <w:bCs/>
          <w:sz w:val="28"/>
          <w:rtl/>
          <w:lang w:bidi="ar-SY"/>
        </w:rPr>
        <w:t xml:space="preserve"> </w:t>
      </w:r>
      <w:r w:rsidRPr="003F3B94">
        <w:rPr>
          <w:rFonts w:ascii="Abo-thar" w:hAnsi="Abo-thar" w:hint="eastAsia"/>
          <w:b/>
          <w:bCs/>
          <w:sz w:val="28"/>
          <w:rtl/>
          <w:lang w:bidi="ar-SY"/>
        </w:rPr>
        <w:t>في</w:t>
      </w:r>
      <w:r w:rsidRPr="003F3B94">
        <w:rPr>
          <w:rFonts w:ascii="Abo-thar" w:hAnsi="Abo-thar"/>
          <w:b/>
          <w:bCs/>
          <w:sz w:val="28"/>
          <w:rtl/>
          <w:lang w:bidi="ar-SY"/>
        </w:rPr>
        <w:t xml:space="preserve"> </w:t>
      </w:r>
      <w:r w:rsidRPr="003F3B94">
        <w:rPr>
          <w:rFonts w:ascii="Abo-thar" w:hAnsi="Abo-thar" w:hint="eastAsia"/>
          <w:b/>
          <w:bCs/>
          <w:sz w:val="28"/>
          <w:rtl/>
          <w:lang w:bidi="ar-SY"/>
        </w:rPr>
        <w:t>الفقير</w:t>
      </w:r>
      <w:r w:rsidRPr="003F3B94">
        <w:rPr>
          <w:rFonts w:ascii="Abo-thar" w:hAnsi="Abo-thar"/>
          <w:b/>
          <w:bCs/>
          <w:sz w:val="28"/>
          <w:rtl/>
          <w:lang w:bidi="ar-SY"/>
        </w:rPr>
        <w:t xml:space="preserve"> </w:t>
      </w:r>
      <w:r w:rsidRPr="003F3B94">
        <w:rPr>
          <w:rFonts w:ascii="Abo-thar" w:hAnsi="Abo-thar" w:hint="eastAsia"/>
          <w:b/>
          <w:bCs/>
          <w:sz w:val="28"/>
          <w:rtl/>
          <w:lang w:bidi="ar-SY"/>
        </w:rPr>
        <w:t>والمسكين</w:t>
      </w:r>
      <w:r w:rsidRPr="003F3B94">
        <w:rPr>
          <w:rFonts w:ascii="Abo-thar" w:hAnsi="Abo-thar"/>
          <w:b/>
          <w:bCs/>
          <w:sz w:val="28"/>
          <w:rtl/>
          <w:lang w:bidi="ar-SY"/>
        </w:rPr>
        <w:t xml:space="preserve"> </w:t>
      </w:r>
      <w:r w:rsidRPr="003F3B94">
        <w:rPr>
          <w:rFonts w:ascii="Abo-thar" w:hAnsi="Abo-thar" w:hint="eastAsia"/>
          <w:b/>
          <w:bCs/>
          <w:sz w:val="28"/>
          <w:rtl/>
          <w:lang w:bidi="ar-SY"/>
        </w:rPr>
        <w:t>ثلاثة</w:t>
      </w:r>
      <w:r w:rsidRPr="003F3B94">
        <w:rPr>
          <w:rFonts w:ascii="Abo-thar" w:hAnsi="Abo-thar"/>
          <w:b/>
          <w:bCs/>
          <w:sz w:val="28"/>
          <w:rtl/>
          <w:lang w:bidi="ar-SY"/>
        </w:rPr>
        <w:t xml:space="preserve"> </w:t>
      </w:r>
      <w:r w:rsidRPr="003F3B94">
        <w:rPr>
          <w:rFonts w:ascii="Abo-thar" w:hAnsi="Abo-thar" w:hint="eastAsia"/>
          <w:b/>
          <w:bCs/>
          <w:sz w:val="28"/>
          <w:rtl/>
          <w:lang w:bidi="ar-SY"/>
        </w:rPr>
        <w:t>شروط</w:t>
      </w:r>
      <w:r w:rsidR="00217AB4" w:rsidRPr="003F3B94">
        <w:rPr>
          <w:rFonts w:ascii="Abo-thar" w:hAnsi="Abo-thar"/>
          <w:b/>
          <w:bCs/>
          <w:sz w:val="28"/>
          <w:rtl/>
          <w:lang w:bidi="ar-SY"/>
        </w:rPr>
        <w:t>:</w:t>
      </w:r>
      <w:r w:rsidRPr="003F3B94">
        <w:rPr>
          <w:rFonts w:ascii="Abo-thar" w:hAnsi="Abo-thar"/>
          <w:b/>
          <w:bCs/>
          <w:sz w:val="28"/>
          <w:rtl/>
          <w:lang w:bidi="ar-SY"/>
        </w:rPr>
        <w:t xml:space="preserve"> </w:t>
      </w:r>
      <w:r w:rsidRPr="003F3B94">
        <w:rPr>
          <w:rFonts w:ascii="Abo-thar" w:hAnsi="Abo-thar" w:hint="eastAsia"/>
          <w:b/>
          <w:bCs/>
          <w:sz w:val="28"/>
          <w:rtl/>
          <w:lang w:bidi="ar-SY"/>
        </w:rPr>
        <w:t>الحرية</w:t>
      </w:r>
      <w:r w:rsidRPr="003F3B94">
        <w:rPr>
          <w:rFonts w:ascii="Abo-thar" w:hAnsi="Abo-thar"/>
          <w:b/>
          <w:bCs/>
          <w:sz w:val="28"/>
          <w:rtl/>
          <w:lang w:bidi="ar-SY"/>
        </w:rPr>
        <w:t xml:space="preserve"> </w:t>
      </w:r>
      <w:r w:rsidRPr="003F3B94">
        <w:rPr>
          <w:rFonts w:ascii="Abo-thar" w:hAnsi="Abo-thar" w:hint="eastAsia"/>
          <w:b/>
          <w:bCs/>
          <w:sz w:val="28"/>
          <w:rtl/>
          <w:lang w:bidi="ar-SY"/>
        </w:rPr>
        <w:t>والإسلام</w:t>
      </w:r>
      <w:r w:rsidRPr="003F3B94">
        <w:rPr>
          <w:rFonts w:ascii="Abo-thar" w:hAnsi="Abo-thar"/>
          <w:b/>
          <w:bCs/>
          <w:sz w:val="28"/>
          <w:rtl/>
          <w:lang w:bidi="ar-SY"/>
        </w:rPr>
        <w:t xml:space="preserve"> </w:t>
      </w:r>
      <w:r w:rsidRPr="003F3B94">
        <w:rPr>
          <w:rFonts w:ascii="Abo-thar" w:hAnsi="Abo-thar" w:hint="eastAsia"/>
          <w:b/>
          <w:bCs/>
          <w:sz w:val="28"/>
          <w:rtl/>
          <w:lang w:bidi="ar-SY"/>
        </w:rPr>
        <w:t>وأن</w:t>
      </w:r>
      <w:r w:rsidRPr="003F3B94">
        <w:rPr>
          <w:rFonts w:ascii="Abo-thar" w:hAnsi="Abo-thar"/>
          <w:b/>
          <w:bCs/>
          <w:sz w:val="28"/>
          <w:rtl/>
          <w:lang w:bidi="ar-SY"/>
        </w:rPr>
        <w:t xml:space="preserve"> </w:t>
      </w:r>
      <w:r w:rsidRPr="003F3B94">
        <w:rPr>
          <w:rFonts w:ascii="Abo-thar" w:hAnsi="Abo-thar" w:hint="eastAsia"/>
          <w:b/>
          <w:bCs/>
          <w:sz w:val="28"/>
          <w:rtl/>
          <w:lang w:bidi="ar-SY"/>
        </w:rPr>
        <w:t>لا</w:t>
      </w:r>
      <w:r w:rsidRPr="003F3B94">
        <w:rPr>
          <w:rFonts w:cs="Times New Roman" w:hint="cs"/>
          <w:b/>
          <w:bCs/>
          <w:sz w:val="28"/>
          <w:rtl/>
          <w:lang w:bidi="ar-SY"/>
        </w:rPr>
        <w:t> </w:t>
      </w:r>
      <w:r w:rsidRPr="003F3B94">
        <w:rPr>
          <w:rFonts w:ascii="mylotus" w:hAnsi="mylotus" w:hint="cs"/>
          <w:b/>
          <w:bCs/>
          <w:sz w:val="28"/>
          <w:rtl/>
          <w:lang w:bidi="ar-SY"/>
        </w:rPr>
        <w:t>يكون</w:t>
      </w:r>
      <w:r w:rsidRPr="003F3B94">
        <w:rPr>
          <w:rFonts w:ascii="Abo-thar" w:hAnsi="Abo-thar"/>
          <w:b/>
          <w:bCs/>
          <w:sz w:val="28"/>
          <w:rtl/>
          <w:lang w:bidi="ar-SY"/>
        </w:rPr>
        <w:t xml:space="preserve"> </w:t>
      </w:r>
      <w:r w:rsidRPr="003F3B94">
        <w:rPr>
          <w:rFonts w:ascii="Abo-thar" w:hAnsi="Abo-thar" w:hint="eastAsia"/>
          <w:b/>
          <w:bCs/>
          <w:sz w:val="28"/>
          <w:rtl/>
          <w:lang w:bidi="ar-SY"/>
        </w:rPr>
        <w:t>كل</w:t>
      </w:r>
      <w:r w:rsidRPr="003F3B94">
        <w:rPr>
          <w:rFonts w:ascii="Abo-thar" w:hAnsi="Abo-thar"/>
          <w:b/>
          <w:bCs/>
          <w:sz w:val="28"/>
          <w:rtl/>
          <w:lang w:bidi="ar-SY"/>
        </w:rPr>
        <w:t xml:space="preserve"> </w:t>
      </w:r>
      <w:r w:rsidRPr="003F3B94">
        <w:rPr>
          <w:rFonts w:ascii="Abo-thar" w:hAnsi="Abo-thar" w:hint="eastAsia"/>
          <w:b/>
          <w:bCs/>
          <w:sz w:val="28"/>
          <w:rtl/>
          <w:lang w:bidi="ar-SY"/>
        </w:rPr>
        <w:t>منهما</w:t>
      </w:r>
      <w:r w:rsidRPr="003F3B94">
        <w:rPr>
          <w:rFonts w:ascii="Abo-thar" w:hAnsi="Abo-thar"/>
          <w:b/>
          <w:bCs/>
          <w:sz w:val="28"/>
          <w:rtl/>
          <w:lang w:bidi="ar-SY"/>
        </w:rPr>
        <w:t xml:space="preserve"> </w:t>
      </w:r>
      <w:r w:rsidRPr="003F3B94">
        <w:rPr>
          <w:rFonts w:ascii="Abo-thar" w:hAnsi="Abo-thar" w:hint="eastAsia"/>
          <w:b/>
          <w:bCs/>
          <w:sz w:val="28"/>
          <w:rtl/>
          <w:lang w:bidi="ar-SY"/>
        </w:rPr>
        <w:t>من</w:t>
      </w:r>
      <w:r w:rsidRPr="003F3B94">
        <w:rPr>
          <w:rFonts w:ascii="Abo-thar" w:hAnsi="Abo-thar"/>
          <w:b/>
          <w:bCs/>
          <w:sz w:val="28"/>
          <w:rtl/>
          <w:lang w:bidi="ar-SY"/>
        </w:rPr>
        <w:t xml:space="preserve"> </w:t>
      </w:r>
      <w:r w:rsidRPr="003F3B94">
        <w:rPr>
          <w:rFonts w:ascii="Abo-thar" w:hAnsi="Abo-thar" w:hint="eastAsia"/>
          <w:b/>
          <w:bCs/>
          <w:sz w:val="28"/>
          <w:rtl/>
          <w:lang w:bidi="ar-SY"/>
        </w:rPr>
        <w:t>نسل</w:t>
      </w:r>
      <w:r w:rsidRPr="003F3B94">
        <w:rPr>
          <w:rFonts w:ascii="Abo-thar" w:hAnsi="Abo-thar"/>
          <w:b/>
          <w:bCs/>
          <w:sz w:val="28"/>
          <w:rtl/>
          <w:lang w:bidi="ar-SY"/>
        </w:rPr>
        <w:t xml:space="preserve"> </w:t>
      </w:r>
      <w:r w:rsidRPr="003F3B94">
        <w:rPr>
          <w:rFonts w:ascii="Abo-thar" w:hAnsi="Abo-thar" w:hint="eastAsia"/>
          <w:b/>
          <w:bCs/>
          <w:sz w:val="28"/>
          <w:rtl/>
          <w:lang w:bidi="ar-SY"/>
        </w:rPr>
        <w:t>هاشم</w:t>
      </w:r>
      <w:r w:rsidRPr="003F3B94">
        <w:rPr>
          <w:rFonts w:ascii="Abo-thar" w:hAnsi="Abo-thar"/>
          <w:b/>
          <w:bCs/>
          <w:sz w:val="28"/>
          <w:rtl/>
          <w:lang w:bidi="ar-SY"/>
        </w:rPr>
        <w:t xml:space="preserve"> </w:t>
      </w:r>
      <w:r w:rsidRPr="003F3B94">
        <w:rPr>
          <w:rFonts w:ascii="Abo-thar" w:hAnsi="Abo-thar" w:hint="eastAsia"/>
          <w:b/>
          <w:bCs/>
          <w:sz w:val="28"/>
          <w:rtl/>
          <w:lang w:bidi="ar-SY"/>
        </w:rPr>
        <w:t>بن</w:t>
      </w:r>
      <w:r w:rsidRPr="003F3B94">
        <w:rPr>
          <w:rFonts w:ascii="Abo-thar" w:hAnsi="Abo-thar"/>
          <w:b/>
          <w:bCs/>
          <w:sz w:val="28"/>
          <w:rtl/>
          <w:lang w:bidi="ar-SY"/>
        </w:rPr>
        <w:t xml:space="preserve"> </w:t>
      </w:r>
      <w:r w:rsidRPr="003F3B94">
        <w:rPr>
          <w:rFonts w:ascii="Abo-thar" w:hAnsi="Abo-thar" w:hint="eastAsia"/>
          <w:b/>
          <w:bCs/>
          <w:sz w:val="28"/>
          <w:rtl/>
          <w:lang w:bidi="ar-SY"/>
        </w:rPr>
        <w:t>عبد</w:t>
      </w:r>
      <w:r w:rsidRPr="003F3B94">
        <w:rPr>
          <w:rFonts w:ascii="Abo-thar" w:hAnsi="Abo-thar"/>
          <w:b/>
          <w:bCs/>
          <w:sz w:val="28"/>
          <w:rtl/>
          <w:lang w:bidi="ar-SY"/>
        </w:rPr>
        <w:t xml:space="preserve"> </w:t>
      </w:r>
      <w:r w:rsidRPr="003F3B94">
        <w:rPr>
          <w:rFonts w:ascii="Abo-thar" w:hAnsi="Abo-thar" w:hint="eastAsia"/>
          <w:b/>
          <w:bCs/>
          <w:sz w:val="28"/>
          <w:rtl/>
          <w:lang w:bidi="ar-SY"/>
        </w:rPr>
        <w:t>مناف</w:t>
      </w:r>
      <w:r w:rsidRPr="003F3B94">
        <w:rPr>
          <w:rFonts w:ascii="Abo-thar" w:hAnsi="Abo-thar"/>
          <w:b/>
          <w:bCs/>
          <w:sz w:val="28"/>
          <w:rtl/>
          <w:lang w:bidi="ar-SY"/>
        </w:rPr>
        <w:t xml:space="preserve"> </w:t>
      </w:r>
      <w:r w:rsidRPr="003F3B94">
        <w:rPr>
          <w:rFonts w:ascii="Abo-thar" w:hAnsi="Abo-thar" w:hint="eastAsia"/>
          <w:b/>
          <w:bCs/>
          <w:sz w:val="28"/>
          <w:rtl/>
          <w:lang w:bidi="ar-SY"/>
        </w:rPr>
        <w:t>إذا</w:t>
      </w:r>
      <w:r w:rsidRPr="003F3B94">
        <w:rPr>
          <w:rFonts w:ascii="Abo-thar" w:hAnsi="Abo-thar"/>
          <w:b/>
          <w:bCs/>
          <w:sz w:val="28"/>
          <w:rtl/>
          <w:lang w:bidi="ar-SY"/>
        </w:rPr>
        <w:t xml:space="preserve"> </w:t>
      </w:r>
      <w:r w:rsidRPr="003F3B94">
        <w:rPr>
          <w:rFonts w:ascii="Abo-thar" w:hAnsi="Abo-thar" w:hint="eastAsia"/>
          <w:b/>
          <w:bCs/>
          <w:sz w:val="28"/>
          <w:rtl/>
          <w:lang w:bidi="ar-SY"/>
        </w:rPr>
        <w:t>أعطوا</w:t>
      </w:r>
      <w:r w:rsidRPr="003F3B94">
        <w:rPr>
          <w:rFonts w:ascii="Abo-thar" w:hAnsi="Abo-thar"/>
          <w:b/>
          <w:bCs/>
          <w:sz w:val="28"/>
          <w:rtl/>
          <w:lang w:bidi="ar-SY"/>
        </w:rPr>
        <w:t xml:space="preserve"> </w:t>
      </w:r>
      <w:r w:rsidRPr="003F3B94">
        <w:rPr>
          <w:rFonts w:ascii="Abo-thar" w:hAnsi="Abo-thar" w:hint="eastAsia"/>
          <w:b/>
          <w:bCs/>
          <w:sz w:val="28"/>
          <w:rtl/>
          <w:lang w:bidi="ar-SY"/>
        </w:rPr>
        <w:t>ما</w:t>
      </w:r>
      <w:r w:rsidRPr="003F3B94">
        <w:rPr>
          <w:rFonts w:ascii="Abo-thar" w:hAnsi="Abo-thar"/>
          <w:b/>
          <w:bCs/>
          <w:sz w:val="28"/>
          <w:rtl/>
          <w:lang w:bidi="ar-SY"/>
        </w:rPr>
        <w:t xml:space="preserve"> </w:t>
      </w:r>
      <w:r w:rsidRPr="003F3B94">
        <w:rPr>
          <w:rFonts w:ascii="Abo-thar" w:hAnsi="Abo-thar" w:hint="eastAsia"/>
          <w:b/>
          <w:bCs/>
          <w:sz w:val="28"/>
          <w:rtl/>
          <w:lang w:bidi="ar-SY"/>
        </w:rPr>
        <w:t>يكفيهم</w:t>
      </w:r>
      <w:r w:rsidRPr="003F3B94">
        <w:rPr>
          <w:rFonts w:ascii="Abo-thar" w:hAnsi="Abo-thar"/>
          <w:b/>
          <w:bCs/>
          <w:sz w:val="28"/>
          <w:rtl/>
          <w:lang w:bidi="ar-SY"/>
        </w:rPr>
        <w:t xml:space="preserve"> </w:t>
      </w:r>
      <w:r w:rsidRPr="003F3B94">
        <w:rPr>
          <w:rFonts w:ascii="Abo-thar" w:hAnsi="Abo-thar" w:hint="eastAsia"/>
          <w:b/>
          <w:bCs/>
          <w:sz w:val="28"/>
          <w:rtl/>
          <w:lang w:bidi="ar-SY"/>
        </w:rPr>
        <w:t>من</w:t>
      </w:r>
      <w:r w:rsidRPr="003F3B94">
        <w:rPr>
          <w:rFonts w:ascii="Abo-thar" w:hAnsi="Abo-thar"/>
          <w:b/>
          <w:bCs/>
          <w:sz w:val="28"/>
          <w:rtl/>
          <w:lang w:bidi="ar-SY"/>
        </w:rPr>
        <w:t xml:space="preserve"> </w:t>
      </w:r>
      <w:r w:rsidRPr="003F3B94">
        <w:rPr>
          <w:rFonts w:ascii="Abo-thar" w:hAnsi="Abo-thar" w:hint="eastAsia"/>
          <w:b/>
          <w:bCs/>
          <w:sz w:val="28"/>
          <w:rtl/>
          <w:lang w:bidi="ar-SY"/>
        </w:rPr>
        <w:t>بيت</w:t>
      </w:r>
      <w:r w:rsidRPr="003F3B94">
        <w:rPr>
          <w:rFonts w:ascii="Abo-thar" w:hAnsi="Abo-thar"/>
          <w:b/>
          <w:bCs/>
          <w:sz w:val="28"/>
          <w:rtl/>
          <w:lang w:bidi="ar-SY"/>
        </w:rPr>
        <w:t xml:space="preserve"> </w:t>
      </w:r>
      <w:r w:rsidRPr="003F3B94">
        <w:rPr>
          <w:rFonts w:ascii="Abo-thar" w:hAnsi="Abo-thar" w:hint="eastAsia"/>
          <w:b/>
          <w:bCs/>
          <w:sz w:val="28"/>
          <w:rtl/>
          <w:lang w:bidi="ar-SY"/>
        </w:rPr>
        <w:t>المال</w:t>
      </w:r>
      <w:r w:rsidRPr="003F3B94">
        <w:rPr>
          <w:rFonts w:ascii="Abo-thar" w:hAnsi="Abo-thar"/>
          <w:b/>
          <w:bCs/>
          <w:sz w:val="28"/>
          <w:rtl/>
          <w:lang w:bidi="ar-SY"/>
        </w:rPr>
        <w:t xml:space="preserve"> </w:t>
      </w:r>
      <w:r w:rsidRPr="003F3B94">
        <w:rPr>
          <w:rFonts w:ascii="Abo-thar" w:hAnsi="Abo-thar" w:hint="eastAsia"/>
          <w:b/>
          <w:bCs/>
          <w:sz w:val="28"/>
          <w:rtl/>
          <w:lang w:bidi="ar-SY"/>
        </w:rPr>
        <w:t>وإلا</w:t>
      </w:r>
      <w:r w:rsidRPr="003F3B94">
        <w:rPr>
          <w:rFonts w:ascii="Abo-thar" w:hAnsi="Abo-thar"/>
          <w:b/>
          <w:bCs/>
          <w:sz w:val="28"/>
          <w:rtl/>
          <w:lang w:bidi="ar-SY"/>
        </w:rPr>
        <w:t xml:space="preserve"> </w:t>
      </w:r>
      <w:r w:rsidRPr="003F3B94">
        <w:rPr>
          <w:rFonts w:ascii="Abo-thar" w:hAnsi="Abo-thar" w:hint="eastAsia"/>
          <w:b/>
          <w:bCs/>
          <w:sz w:val="28"/>
          <w:rtl/>
          <w:lang w:bidi="ar-SY"/>
        </w:rPr>
        <w:t>صح</w:t>
      </w:r>
      <w:r w:rsidRPr="003F3B94">
        <w:rPr>
          <w:rFonts w:ascii="Abo-thar" w:hAnsi="Abo-thar"/>
          <w:b/>
          <w:bCs/>
          <w:sz w:val="28"/>
          <w:rtl/>
          <w:lang w:bidi="ar-SY"/>
        </w:rPr>
        <w:t xml:space="preserve"> </w:t>
      </w:r>
      <w:r w:rsidRPr="003F3B94">
        <w:rPr>
          <w:rFonts w:ascii="Abo-thar" w:hAnsi="Abo-thar" w:hint="eastAsia"/>
          <w:b/>
          <w:bCs/>
          <w:sz w:val="28"/>
          <w:rtl/>
          <w:lang w:bidi="ar-SY"/>
        </w:rPr>
        <w:t>إعطاؤهم</w:t>
      </w:r>
      <w:r w:rsidRPr="003F3B94">
        <w:rPr>
          <w:rFonts w:ascii="Abo-thar" w:hAnsi="Abo-thar"/>
          <w:b/>
          <w:bCs/>
          <w:sz w:val="28"/>
          <w:rtl/>
          <w:lang w:bidi="ar-SY"/>
        </w:rPr>
        <w:t xml:space="preserve"> </w:t>
      </w:r>
      <w:r w:rsidRPr="003F3B94">
        <w:rPr>
          <w:rFonts w:ascii="Abo-thar" w:hAnsi="Abo-thar" w:hint="eastAsia"/>
          <w:b/>
          <w:bCs/>
          <w:sz w:val="28"/>
          <w:rtl/>
          <w:lang w:bidi="ar-SY"/>
        </w:rPr>
        <w:t>حتى</w:t>
      </w:r>
      <w:r w:rsidRPr="003F3B94">
        <w:rPr>
          <w:rFonts w:ascii="Abo-thar" w:hAnsi="Abo-thar"/>
          <w:b/>
          <w:bCs/>
          <w:sz w:val="28"/>
          <w:rtl/>
          <w:lang w:bidi="ar-SY"/>
        </w:rPr>
        <w:t xml:space="preserve"> </w:t>
      </w:r>
      <w:r w:rsidRPr="003F3B94">
        <w:rPr>
          <w:rFonts w:ascii="Abo-thar" w:hAnsi="Abo-thar" w:hint="eastAsia"/>
          <w:b/>
          <w:bCs/>
          <w:sz w:val="28"/>
          <w:rtl/>
          <w:lang w:bidi="ar-SY"/>
        </w:rPr>
        <w:t>لا</w:t>
      </w:r>
      <w:r w:rsidRPr="003F3B94">
        <w:rPr>
          <w:rFonts w:ascii="Abo-thar" w:hAnsi="Abo-thar"/>
          <w:b/>
          <w:bCs/>
          <w:sz w:val="28"/>
          <w:rtl/>
          <w:lang w:bidi="ar-SY"/>
        </w:rPr>
        <w:t xml:space="preserve"> </w:t>
      </w:r>
      <w:r w:rsidRPr="003F3B94">
        <w:rPr>
          <w:rFonts w:ascii="Abo-thar" w:hAnsi="Abo-thar" w:hint="eastAsia"/>
          <w:b/>
          <w:bCs/>
          <w:sz w:val="28"/>
          <w:rtl/>
          <w:lang w:bidi="ar-SY"/>
        </w:rPr>
        <w:t>يضر</w:t>
      </w:r>
      <w:r w:rsidRPr="003F3B94">
        <w:rPr>
          <w:rFonts w:ascii="Abo-thar" w:hAnsi="Abo-thar" w:hint="cs"/>
          <w:b/>
          <w:bCs/>
          <w:sz w:val="28"/>
          <w:rtl/>
          <w:lang w:bidi="ar-SY"/>
        </w:rPr>
        <w:t>ّ</w:t>
      </w:r>
      <w:r w:rsidRPr="003F3B94">
        <w:rPr>
          <w:rFonts w:ascii="Abo-thar" w:hAnsi="Abo-thar"/>
          <w:b/>
          <w:bCs/>
          <w:sz w:val="28"/>
          <w:rtl/>
          <w:lang w:bidi="ar-SY"/>
        </w:rPr>
        <w:t xml:space="preserve"> </w:t>
      </w:r>
      <w:r w:rsidRPr="003F3B94">
        <w:rPr>
          <w:rFonts w:ascii="Abo-thar" w:hAnsi="Abo-thar" w:hint="eastAsia"/>
          <w:b/>
          <w:bCs/>
          <w:sz w:val="28"/>
          <w:rtl/>
          <w:lang w:bidi="ar-SY"/>
        </w:rPr>
        <w:t>بهم</w:t>
      </w:r>
      <w:r w:rsidR="00EF2588" w:rsidRPr="003F3B94">
        <w:rPr>
          <w:rFonts w:ascii="Abo-thar" w:hAnsi="Abo-thar" w:hint="cs"/>
          <w:sz w:val="28"/>
          <w:rtl/>
          <w:lang w:bidi="ar-SY"/>
        </w:rPr>
        <w:t>»</w:t>
      </w:r>
      <w:r w:rsidR="001E21CD" w:rsidRPr="0021507A">
        <w:rPr>
          <w:rFonts w:ascii="Abo-thar" w:hAnsi="Abo-thar" w:cs="Arabic11 BT"/>
          <w:sz w:val="28"/>
          <w:vertAlign w:val="superscript"/>
          <w:rtl/>
          <w:lang w:bidi="ar-SY"/>
        </w:rPr>
        <w:t>(</w:t>
      </w:r>
      <w:r w:rsidR="001E21CD" w:rsidRPr="0021507A">
        <w:rPr>
          <w:rStyle w:val="FootnoteReference"/>
          <w:rFonts w:ascii="Abo-thar" w:hAnsi="Abo-thar" w:cs="Arabic11 BT"/>
          <w:sz w:val="28"/>
          <w:rtl/>
          <w:lang w:bidi="ar-SY"/>
        </w:rPr>
        <w:footnoteReference w:id="221"/>
      </w:r>
      <w:r w:rsidR="001E21CD" w:rsidRPr="0021507A">
        <w:rPr>
          <w:rFonts w:ascii="Abo-thar" w:hAnsi="Abo-thar" w:cs="Arabic11 BT"/>
          <w:sz w:val="28"/>
          <w:vertAlign w:val="superscript"/>
          <w:rtl/>
          <w:lang w:bidi="ar-SY"/>
        </w:rPr>
        <w:t>)</w:t>
      </w:r>
      <w:r w:rsidR="00217AB4" w:rsidRPr="003F3B94">
        <w:rPr>
          <w:rFonts w:ascii="Abo-thar" w:hAnsi="Abo-thar" w:hint="cs"/>
          <w:sz w:val="28"/>
          <w:rtl/>
          <w:lang w:bidi="ar-SY"/>
        </w:rPr>
        <w:t>.</w:t>
      </w:r>
      <w:r w:rsidR="00147857" w:rsidRPr="003F3B94">
        <w:rPr>
          <w:rFonts w:ascii="Abo-thar" w:hAnsi="Abo-thar" w:hint="cs"/>
          <w:sz w:val="28"/>
          <w:rtl/>
          <w:lang w:bidi="ar-SY"/>
        </w:rPr>
        <w:t xml:space="preserve"> </w:t>
      </w:r>
      <w:r w:rsidRPr="003F3B94">
        <w:rPr>
          <w:rFonts w:ascii="Abo-thar" w:hAnsi="Abo-thar" w:hint="cs"/>
          <w:sz w:val="28"/>
          <w:rtl/>
          <w:lang w:bidi="ar-SY"/>
        </w:rPr>
        <w:t>أما بالنسبة إلى مذهب الشافعية فيقول في ذلك الكتاب</w:t>
      </w:r>
      <w:r w:rsidR="00217AB4" w:rsidRPr="003F3B94">
        <w:rPr>
          <w:rFonts w:ascii="Abo-thar" w:hAnsi="Abo-thar" w:hint="cs"/>
          <w:sz w:val="28"/>
          <w:rtl/>
          <w:lang w:bidi="ar-SY"/>
        </w:rPr>
        <w:t>:</w:t>
      </w:r>
      <w:r w:rsidRPr="003F3B94">
        <w:rPr>
          <w:rFonts w:ascii="Abo-thar" w:hAnsi="Abo-thar" w:hint="cs"/>
          <w:sz w:val="28"/>
          <w:rtl/>
          <w:lang w:bidi="ar-SY"/>
        </w:rPr>
        <w:t xml:space="preserve"> </w:t>
      </w:r>
      <w:r w:rsidR="00EF2588" w:rsidRPr="003F3B94">
        <w:rPr>
          <w:rFonts w:ascii="Abo-thar" w:hAnsi="Abo-thar" w:hint="cs"/>
          <w:sz w:val="28"/>
          <w:rtl/>
          <w:lang w:bidi="ar-SY"/>
        </w:rPr>
        <w:t>«</w:t>
      </w:r>
      <w:r w:rsidRPr="003F3B94">
        <w:rPr>
          <w:rFonts w:ascii="Abo-thar" w:hAnsi="Abo-thar"/>
          <w:b/>
          <w:bCs/>
          <w:sz w:val="28"/>
          <w:rtl/>
          <w:lang w:bidi="ar-SY"/>
        </w:rPr>
        <w:t>ويشترط في أخذ الزكاة من هذه الأصناف الثمانية زيادة على الشروط الخاصة لكل صنف شروط خمسة</w:t>
      </w:r>
      <w:r w:rsidR="00217AB4" w:rsidRPr="003F3B94">
        <w:rPr>
          <w:rFonts w:ascii="Abo-thar" w:hAnsi="Abo-thar"/>
          <w:b/>
          <w:bCs/>
          <w:sz w:val="28"/>
          <w:rtl/>
          <w:lang w:bidi="ar-SY"/>
        </w:rPr>
        <w:t>:</w:t>
      </w:r>
      <w:r w:rsidRPr="003F3B94">
        <w:rPr>
          <w:rFonts w:ascii="Abo-thar" w:hAnsi="Abo-thar"/>
          <w:b/>
          <w:bCs/>
          <w:sz w:val="28"/>
          <w:rtl/>
          <w:lang w:bidi="ar-SY"/>
        </w:rPr>
        <w:t xml:space="preserve"> الأول</w:t>
      </w:r>
      <w:r w:rsidR="00217AB4" w:rsidRPr="003F3B94">
        <w:rPr>
          <w:rFonts w:ascii="Abo-thar" w:hAnsi="Abo-thar"/>
          <w:b/>
          <w:bCs/>
          <w:sz w:val="28"/>
          <w:rtl/>
          <w:lang w:bidi="ar-SY"/>
        </w:rPr>
        <w:t>:</w:t>
      </w:r>
      <w:r w:rsidRPr="003F3B94">
        <w:rPr>
          <w:rFonts w:ascii="Abo-thar" w:hAnsi="Abo-thar"/>
          <w:b/>
          <w:bCs/>
          <w:sz w:val="28"/>
          <w:rtl/>
          <w:lang w:bidi="ar-SY"/>
        </w:rPr>
        <w:t xml:space="preserve"> الإسلام</w:t>
      </w:r>
      <w:r w:rsidR="001E0DB7" w:rsidRPr="003F3B94">
        <w:rPr>
          <w:rFonts w:ascii="Abo-thar" w:hAnsi="Abo-thar" w:hint="cs"/>
          <w:b/>
          <w:bCs/>
          <w:sz w:val="28"/>
          <w:rtl/>
          <w:lang w:bidi="ar-SY"/>
        </w:rPr>
        <w:t>،</w:t>
      </w:r>
      <w:r w:rsidRPr="003F3B94">
        <w:rPr>
          <w:rFonts w:ascii="Abo-thar" w:hAnsi="Abo-thar"/>
          <w:b/>
          <w:bCs/>
          <w:sz w:val="28"/>
          <w:rtl/>
          <w:lang w:bidi="ar-SY"/>
        </w:rPr>
        <w:t xml:space="preserve"> الثاني كمال الحرية إلا إذا كان مكاتبا</w:t>
      </w:r>
      <w:r w:rsidRPr="003F3B94">
        <w:rPr>
          <w:rFonts w:ascii="Abo-thar" w:hAnsi="Abo-thar" w:hint="cs"/>
          <w:b/>
          <w:bCs/>
          <w:sz w:val="28"/>
          <w:rtl/>
          <w:lang w:bidi="ar-SY"/>
        </w:rPr>
        <w:t>ً</w:t>
      </w:r>
      <w:r w:rsidR="001E0DB7" w:rsidRPr="003F3B94">
        <w:rPr>
          <w:rFonts w:ascii="Abo-thar" w:hAnsi="Abo-thar" w:hint="cs"/>
          <w:b/>
          <w:bCs/>
          <w:sz w:val="28"/>
          <w:rtl/>
          <w:lang w:bidi="ar-SY"/>
        </w:rPr>
        <w:t>،</w:t>
      </w:r>
      <w:r w:rsidRPr="003F3B94">
        <w:rPr>
          <w:rFonts w:ascii="Abo-thar" w:hAnsi="Abo-thar"/>
          <w:b/>
          <w:bCs/>
          <w:sz w:val="28"/>
          <w:rtl/>
          <w:lang w:bidi="ar-SY"/>
        </w:rPr>
        <w:t xml:space="preserve"> الثالث</w:t>
      </w:r>
      <w:r w:rsidR="00217AB4" w:rsidRPr="003F3B94">
        <w:rPr>
          <w:rFonts w:ascii="Abo-thar" w:hAnsi="Abo-thar"/>
          <w:b/>
          <w:bCs/>
          <w:sz w:val="28"/>
          <w:rtl/>
          <w:lang w:bidi="ar-SY"/>
        </w:rPr>
        <w:t>:</w:t>
      </w:r>
      <w:r w:rsidRPr="003F3B94">
        <w:rPr>
          <w:rFonts w:ascii="Abo-thar" w:hAnsi="Abo-thar"/>
          <w:b/>
          <w:bCs/>
          <w:sz w:val="28"/>
          <w:rtl/>
          <w:lang w:bidi="ar-SY"/>
        </w:rPr>
        <w:t xml:space="preserve"> أن لا يكون من بني ها</w:t>
      </w:r>
      <w:r w:rsidRPr="003F3B94">
        <w:rPr>
          <w:rFonts w:ascii="Abo-thar" w:hAnsi="Abo-thar" w:hint="cs"/>
          <w:b/>
          <w:bCs/>
          <w:sz w:val="28"/>
          <w:rtl/>
          <w:lang w:bidi="ar-SY"/>
        </w:rPr>
        <w:t>ش</w:t>
      </w:r>
      <w:r w:rsidRPr="003F3B94">
        <w:rPr>
          <w:rFonts w:ascii="Abo-thar" w:hAnsi="Abo-thar"/>
          <w:b/>
          <w:bCs/>
          <w:sz w:val="28"/>
          <w:rtl/>
          <w:lang w:bidi="ar-SY"/>
        </w:rPr>
        <w:t>م ولا بني المطلب ولا عتيقا</w:t>
      </w:r>
      <w:r w:rsidRPr="003F3B94">
        <w:rPr>
          <w:rFonts w:ascii="Abo-thar" w:hAnsi="Abo-thar" w:hint="cs"/>
          <w:b/>
          <w:bCs/>
          <w:sz w:val="28"/>
          <w:rtl/>
          <w:lang w:bidi="ar-SY"/>
        </w:rPr>
        <w:t>ً</w:t>
      </w:r>
      <w:r w:rsidRPr="003F3B94">
        <w:rPr>
          <w:rFonts w:ascii="Abo-thar" w:hAnsi="Abo-thar"/>
          <w:b/>
          <w:bCs/>
          <w:sz w:val="28"/>
          <w:rtl/>
          <w:lang w:bidi="ar-SY"/>
        </w:rPr>
        <w:t xml:space="preserve"> لواحد منهم</w:t>
      </w:r>
      <w:r w:rsidR="001E0DB7" w:rsidRPr="003F3B94">
        <w:rPr>
          <w:rFonts w:ascii="Abo-thar" w:hAnsi="Abo-thar" w:hint="cs"/>
          <w:b/>
          <w:bCs/>
          <w:sz w:val="28"/>
          <w:rtl/>
          <w:lang w:bidi="ar-SY"/>
        </w:rPr>
        <w:t>،</w:t>
      </w:r>
      <w:r w:rsidRPr="003F3B94">
        <w:rPr>
          <w:rFonts w:ascii="Abo-thar" w:hAnsi="Abo-thar"/>
          <w:b/>
          <w:bCs/>
          <w:sz w:val="28"/>
          <w:rtl/>
          <w:lang w:bidi="ar-SY"/>
        </w:rPr>
        <w:t xml:space="preserve"> ولو منع حقه من بيت المال</w:t>
      </w:r>
      <w:r w:rsidR="00EF2588" w:rsidRPr="003F3B94">
        <w:rPr>
          <w:rFonts w:ascii="Abo-thar" w:hAnsi="Abo-thar" w:hint="cs"/>
          <w:sz w:val="28"/>
          <w:rtl/>
          <w:lang w:bidi="ar-SY"/>
        </w:rPr>
        <w:t>»</w:t>
      </w:r>
      <w:r w:rsidR="001E21CD" w:rsidRPr="0021507A">
        <w:rPr>
          <w:rFonts w:ascii="Abo-thar" w:hAnsi="Abo-thar" w:cs="Arabic11 BT"/>
          <w:sz w:val="28"/>
          <w:vertAlign w:val="superscript"/>
          <w:rtl/>
          <w:lang w:bidi="ar-SY"/>
        </w:rPr>
        <w:t>(</w:t>
      </w:r>
      <w:r w:rsidR="001E21CD" w:rsidRPr="0021507A">
        <w:rPr>
          <w:rStyle w:val="FootnoteReference"/>
          <w:rFonts w:ascii="Abo-thar" w:hAnsi="Abo-thar" w:cs="Arabic11 BT"/>
          <w:sz w:val="28"/>
          <w:rtl/>
          <w:lang w:bidi="ar-SY"/>
        </w:rPr>
        <w:footnoteReference w:id="222"/>
      </w:r>
      <w:r w:rsidR="001E21CD" w:rsidRPr="0021507A">
        <w:rPr>
          <w:rFonts w:ascii="Abo-thar" w:hAnsi="Abo-thar" w:cs="Arabic11 BT"/>
          <w:sz w:val="28"/>
          <w:vertAlign w:val="superscript"/>
          <w:rtl/>
          <w:lang w:bidi="ar-SY"/>
        </w:rPr>
        <w:t>)</w:t>
      </w:r>
      <w:r w:rsidR="00217AB4" w:rsidRPr="003F3B94">
        <w:rPr>
          <w:rFonts w:ascii="Abo-thar" w:hAnsi="Abo-thar" w:hint="cs"/>
          <w:sz w:val="28"/>
          <w:rtl/>
          <w:lang w:bidi="ar-SY"/>
        </w:rPr>
        <w:t>.</w:t>
      </w:r>
    </w:p>
    <w:p w:rsidR="005C664D" w:rsidRPr="003F3B94" w:rsidRDefault="005C664D" w:rsidP="003F3B94">
      <w:pPr>
        <w:pStyle w:val="a0"/>
        <w:rPr>
          <w:rFonts w:hint="cs"/>
          <w:rtl/>
          <w:lang w:bidi="ar-SY"/>
        </w:rPr>
      </w:pPr>
      <w:r w:rsidRPr="003F3B94">
        <w:rPr>
          <w:rFonts w:ascii="Abo-thar" w:hAnsi="Abo-thar" w:hint="cs"/>
          <w:sz w:val="28"/>
          <w:rtl/>
          <w:lang w:bidi="ar-SY"/>
        </w:rPr>
        <w:t>فكيف سيكون حال الفقراء من بني هاشم وأي ضيق من المعيشة سيقعون فيه بعد أن ضيّقوا دائرة الاقتصاد والمعيشة عليهم إلى هذا الحدّ فحرموهم من حقوقهم من بيت المال</w:t>
      </w:r>
      <w:r w:rsidR="001E0DB7" w:rsidRPr="003F3B94">
        <w:rPr>
          <w:rFonts w:ascii="Abo-thar" w:hAnsi="Abo-thar" w:hint="cs"/>
          <w:sz w:val="28"/>
          <w:rtl/>
          <w:lang w:bidi="ar-SY"/>
        </w:rPr>
        <w:t>،</w:t>
      </w:r>
      <w:r w:rsidRPr="003F3B94">
        <w:rPr>
          <w:rFonts w:ascii="Abo-thar" w:hAnsi="Abo-thar" w:hint="cs"/>
          <w:sz w:val="28"/>
          <w:rtl/>
          <w:lang w:bidi="ar-SY"/>
        </w:rPr>
        <w:t xml:space="preserve"> وحرَّموا عليهم أخذ أيَّ شيءٍ من الزكاة</w:t>
      </w:r>
      <w:r w:rsidR="00217AB4" w:rsidRPr="003F3B94">
        <w:rPr>
          <w:rFonts w:ascii="Abo-thar" w:hAnsi="Abo-thar" w:hint="cs"/>
          <w:sz w:val="28"/>
          <w:rtl/>
          <w:lang w:bidi="ar-SY"/>
        </w:rPr>
        <w:t>؟!</w:t>
      </w:r>
      <w:r w:rsidR="00147857" w:rsidRPr="003F3B94">
        <w:rPr>
          <w:rFonts w:ascii="Abo-thar" w:hAnsi="Abo-thar" w:hint="cs"/>
          <w:sz w:val="28"/>
          <w:rtl/>
          <w:lang w:bidi="ar-SY"/>
        </w:rPr>
        <w:t xml:space="preserve"> </w:t>
      </w:r>
      <w:r w:rsidRPr="003F3B94">
        <w:rPr>
          <w:rFonts w:ascii="Abo-thar" w:hAnsi="Abo-thar" w:hint="cs"/>
          <w:sz w:val="28"/>
          <w:rtl/>
          <w:lang w:bidi="ar-SY"/>
        </w:rPr>
        <w:t>وهذا بالضبط هو الهدف الذي كان يحبه ويرغب به ملوك بني أمية وبني العباس والذي لأجله حثُّوا فقهاء زمانهم على الإفتاء بمثل ذلك الحكم الجائر</w:t>
      </w:r>
      <w:r w:rsidR="00217AB4" w:rsidRPr="003F3B94">
        <w:rPr>
          <w:rFonts w:ascii="Abo-thar" w:hAnsi="Abo-thar" w:hint="cs"/>
          <w:sz w:val="28"/>
          <w:rtl/>
          <w:lang w:bidi="ar-SY"/>
        </w:rPr>
        <w:t>!</w:t>
      </w:r>
      <w:r w:rsidRPr="003F3B94">
        <w:rPr>
          <w:rFonts w:ascii="Abo-thar" w:hAnsi="Abo-thar" w:hint="cs"/>
          <w:sz w:val="28"/>
          <w:rtl/>
          <w:lang w:bidi="ar-SY"/>
        </w:rPr>
        <w:t xml:space="preserve"> وللأسف وجدت هذه الفتوى المخالفة لما أنزل الله طريقها إلى الشيعة من باب آخر أي باب حبّ بني هشام والغلوّ بهم</w:t>
      </w:r>
      <w:r w:rsidR="00217AB4" w:rsidRPr="003F3B94">
        <w:rPr>
          <w:rFonts w:ascii="Abo-thar" w:hAnsi="Abo-thar" w:hint="cs"/>
          <w:sz w:val="28"/>
          <w:rtl/>
          <w:lang w:bidi="ar-SY"/>
        </w:rPr>
        <w:t>!!!</w:t>
      </w:r>
      <w:r w:rsidRPr="003F3B94">
        <w:rPr>
          <w:rFonts w:ascii="Abo-thar" w:hAnsi="Abo-thar" w:hint="cs"/>
          <w:sz w:val="28"/>
          <w:rtl/>
          <w:lang w:bidi="ar-SY"/>
        </w:rPr>
        <w:t xml:space="preserve"> </w:t>
      </w:r>
    </w:p>
    <w:p w:rsidR="005C664D" w:rsidRPr="003F3B94" w:rsidRDefault="005C664D" w:rsidP="003F3B94">
      <w:pPr>
        <w:pStyle w:val="a0"/>
        <w:rPr>
          <w:rFonts w:hint="cs"/>
          <w:rtl/>
          <w:lang w:bidi="ar-SY"/>
        </w:rPr>
      </w:pPr>
      <w:r w:rsidRPr="003F3B94">
        <w:rPr>
          <w:rFonts w:ascii="Abo-thar" w:hAnsi="Abo-thar" w:hint="cs"/>
          <w:sz w:val="28"/>
          <w:rtl/>
          <w:lang w:bidi="ar-SY"/>
        </w:rPr>
        <w:t>والتاريخ يؤيِّد تصورنا هذا حيث نجد أن التعليمات والأوامر التي صدرت من قصر الخليفة إلى ولاية مصر تعكس بشكل واضح هذه الحقيقة</w:t>
      </w:r>
      <w:r w:rsidR="001E0DB7" w:rsidRPr="003F3B94">
        <w:rPr>
          <w:rFonts w:ascii="Abo-thar" w:hAnsi="Abo-thar" w:hint="cs"/>
          <w:sz w:val="28"/>
          <w:rtl/>
          <w:lang w:bidi="ar-SY"/>
        </w:rPr>
        <w:t>،</w:t>
      </w:r>
      <w:r w:rsidRPr="003F3B94">
        <w:rPr>
          <w:rFonts w:ascii="Abo-thar" w:hAnsi="Abo-thar" w:hint="cs"/>
          <w:sz w:val="28"/>
          <w:rtl/>
          <w:lang w:bidi="ar-SY"/>
        </w:rPr>
        <w:t xml:space="preserve"> فقد جاء في كتاب </w:t>
      </w:r>
      <w:r w:rsidRPr="003F3B94">
        <w:rPr>
          <w:rFonts w:ascii="Abo-thar" w:hAnsi="Abo-thar" w:hint="eastAsia"/>
          <w:sz w:val="28"/>
          <w:rtl/>
          <w:lang w:bidi="ar-SY"/>
        </w:rPr>
        <w:t>«</w:t>
      </w:r>
      <w:r w:rsidRPr="003F3B94">
        <w:rPr>
          <w:rFonts w:ascii="Abo-thar" w:hAnsi="Abo-thar" w:hint="cs"/>
          <w:sz w:val="28"/>
          <w:rtl/>
          <w:lang w:bidi="ar-SY"/>
        </w:rPr>
        <w:t>الولاة والقضاة</w:t>
      </w:r>
      <w:r w:rsidR="001E21CD" w:rsidRPr="003F3B94">
        <w:rPr>
          <w:rFonts w:ascii="Abo-thar" w:hAnsi="Abo-thar" w:hint="cs"/>
          <w:sz w:val="28"/>
          <w:rtl/>
          <w:lang w:bidi="ar-SY"/>
        </w:rPr>
        <w:t>»</w:t>
      </w:r>
      <w:r w:rsidRPr="003F3B94">
        <w:rPr>
          <w:rFonts w:ascii="Abo-thar" w:hAnsi="Abo-thar" w:hint="cs"/>
          <w:sz w:val="28"/>
          <w:rtl/>
          <w:lang w:bidi="ar-SY"/>
        </w:rPr>
        <w:t xml:space="preserve"> للكندي الجمل التالية ضمن أحد أوامر الخليفة</w:t>
      </w:r>
      <w:r w:rsidR="00217AB4" w:rsidRPr="003F3B94">
        <w:rPr>
          <w:rFonts w:ascii="Abo-thar" w:hAnsi="Abo-thar" w:hint="cs"/>
          <w:sz w:val="28"/>
          <w:rtl/>
          <w:lang w:bidi="ar-SY"/>
        </w:rPr>
        <w:t>:</w:t>
      </w:r>
      <w:r w:rsidRPr="003F3B94">
        <w:rPr>
          <w:rFonts w:ascii="Abo-thar" w:hAnsi="Abo-thar" w:hint="cs"/>
          <w:sz w:val="28"/>
          <w:rtl/>
          <w:lang w:bidi="ar-SY"/>
        </w:rPr>
        <w:t xml:space="preserve"> </w:t>
      </w:r>
    </w:p>
    <w:p w:rsidR="005C664D" w:rsidRPr="003F3B94" w:rsidRDefault="00EF2588" w:rsidP="003F3B94">
      <w:pPr>
        <w:pStyle w:val="a0"/>
        <w:rPr>
          <w:rFonts w:hint="cs"/>
          <w:rtl/>
          <w:lang w:bidi="ar-SY"/>
        </w:rPr>
      </w:pPr>
      <w:r w:rsidRPr="003F3B94">
        <w:rPr>
          <w:rFonts w:ascii="Abo-thar" w:hAnsi="Abo-thar" w:hint="cs"/>
          <w:sz w:val="28"/>
          <w:rtl/>
          <w:lang w:bidi="ar-SY"/>
        </w:rPr>
        <w:t>«</w:t>
      </w:r>
      <w:r w:rsidR="005C664D" w:rsidRPr="003F3B94">
        <w:rPr>
          <w:rFonts w:ascii="Abo-thar" w:hAnsi="Abo-thar"/>
          <w:b/>
          <w:bCs/>
          <w:sz w:val="28"/>
          <w:rtl/>
          <w:lang w:bidi="ar-SY"/>
        </w:rPr>
        <w:t xml:space="preserve">لا </w:t>
      </w:r>
      <w:r w:rsidR="00D326AD" w:rsidRPr="003F3B94">
        <w:rPr>
          <w:rFonts w:ascii="Abo-thar" w:hAnsi="Abo-thar" w:hint="cs"/>
          <w:b/>
          <w:bCs/>
          <w:sz w:val="28"/>
          <w:rtl/>
          <w:lang w:bidi="ar-SY"/>
        </w:rPr>
        <w:t>ي</w:t>
      </w:r>
      <w:r w:rsidR="005C664D" w:rsidRPr="003F3B94">
        <w:rPr>
          <w:rFonts w:ascii="Abo-thar" w:hAnsi="Abo-thar" w:hint="eastAsia"/>
          <w:b/>
          <w:bCs/>
          <w:sz w:val="28"/>
          <w:rtl/>
          <w:lang w:bidi="ar-SY"/>
        </w:rPr>
        <w:t>قبل</w:t>
      </w:r>
      <w:r w:rsidR="005C664D" w:rsidRPr="003F3B94">
        <w:rPr>
          <w:rFonts w:ascii="Abo-thar" w:hAnsi="Abo-thar"/>
          <w:b/>
          <w:bCs/>
          <w:sz w:val="28"/>
          <w:rtl/>
          <w:lang w:bidi="ar-SY"/>
        </w:rPr>
        <w:t xml:space="preserve"> علو</w:t>
      </w:r>
      <w:r w:rsidR="005C664D" w:rsidRPr="003F3B94">
        <w:rPr>
          <w:rFonts w:ascii="Abo-thar" w:hAnsi="Abo-thar" w:hint="cs"/>
          <w:b/>
          <w:bCs/>
          <w:sz w:val="28"/>
          <w:rtl/>
          <w:lang w:bidi="ar-SY"/>
        </w:rPr>
        <w:t>ي</w:t>
      </w:r>
      <w:r w:rsidR="005C664D" w:rsidRPr="003F3B94">
        <w:rPr>
          <w:rFonts w:ascii="Abo-thar" w:hAnsi="Abo-thar"/>
          <w:b/>
          <w:bCs/>
          <w:sz w:val="28"/>
          <w:rtl/>
          <w:lang w:bidi="ar-SY"/>
        </w:rPr>
        <w:t xml:space="preserve"> ض</w:t>
      </w:r>
      <w:r w:rsidR="00D326AD" w:rsidRPr="003F3B94">
        <w:rPr>
          <w:rFonts w:ascii="Abo-thar" w:hAnsi="Abo-thar" w:hint="cs"/>
          <w:b/>
          <w:bCs/>
          <w:sz w:val="28"/>
          <w:rtl/>
          <w:lang w:bidi="ar-SY"/>
        </w:rPr>
        <w:t>ي</w:t>
      </w:r>
      <w:r w:rsidR="005C664D" w:rsidRPr="003F3B94">
        <w:rPr>
          <w:rFonts w:ascii="Abo-thar" w:hAnsi="Abo-thar" w:hint="cs"/>
          <w:b/>
          <w:bCs/>
          <w:sz w:val="28"/>
          <w:rtl/>
          <w:lang w:bidi="ar-SY"/>
        </w:rPr>
        <w:t>ع</w:t>
      </w:r>
      <w:r w:rsidR="005C664D" w:rsidRPr="003F3B94">
        <w:rPr>
          <w:rFonts w:ascii="Abo-thar" w:hAnsi="Abo-thar" w:hint="eastAsia"/>
          <w:b/>
          <w:bCs/>
          <w:sz w:val="28"/>
          <w:rtl/>
          <w:lang w:bidi="ar-SY"/>
        </w:rPr>
        <w:t>ة</w:t>
      </w:r>
      <w:r w:rsidR="005C664D" w:rsidRPr="003F3B94">
        <w:rPr>
          <w:rFonts w:ascii="Abo-thar" w:hAnsi="Abo-thar"/>
          <w:b/>
          <w:bCs/>
          <w:sz w:val="28"/>
          <w:rtl/>
          <w:lang w:bidi="ar-SY"/>
        </w:rPr>
        <w:t xml:space="preserve"> ولا </w:t>
      </w:r>
      <w:r w:rsidR="00D326AD" w:rsidRPr="003F3B94">
        <w:rPr>
          <w:rFonts w:ascii="Abo-thar" w:hAnsi="Abo-thar" w:hint="cs"/>
          <w:b/>
          <w:bCs/>
          <w:sz w:val="28"/>
          <w:rtl/>
          <w:lang w:bidi="ar-SY"/>
        </w:rPr>
        <w:t>ي</w:t>
      </w:r>
      <w:r w:rsidR="005C664D" w:rsidRPr="003F3B94">
        <w:rPr>
          <w:rFonts w:ascii="Abo-thar" w:hAnsi="Abo-thar" w:hint="eastAsia"/>
          <w:b/>
          <w:bCs/>
          <w:sz w:val="28"/>
          <w:rtl/>
          <w:lang w:bidi="ar-SY"/>
        </w:rPr>
        <w:t>ر</w:t>
      </w:r>
      <w:r w:rsidR="00D326AD" w:rsidRPr="003F3B94">
        <w:rPr>
          <w:rFonts w:ascii="Abo-thar" w:hAnsi="Abo-thar" w:hint="eastAsia"/>
          <w:b/>
          <w:bCs/>
          <w:sz w:val="28"/>
          <w:rtl/>
          <w:lang w:bidi="ar-SY"/>
        </w:rPr>
        <w:t>ك</w:t>
      </w:r>
      <w:r w:rsidR="005C664D" w:rsidRPr="003F3B94">
        <w:rPr>
          <w:rFonts w:ascii="Abo-thar" w:hAnsi="Abo-thar" w:hint="eastAsia"/>
          <w:b/>
          <w:bCs/>
          <w:sz w:val="28"/>
          <w:rtl/>
          <w:lang w:bidi="ar-SY"/>
        </w:rPr>
        <w:t>ب</w:t>
      </w:r>
      <w:r w:rsidR="005C664D" w:rsidRPr="003F3B94">
        <w:rPr>
          <w:rFonts w:ascii="Abo-thar" w:hAnsi="Abo-thar"/>
          <w:b/>
          <w:bCs/>
          <w:sz w:val="28"/>
          <w:rtl/>
          <w:lang w:bidi="ar-SY"/>
        </w:rPr>
        <w:t xml:space="preserve"> فرساً ولا </w:t>
      </w:r>
      <w:r w:rsidR="00D326AD" w:rsidRPr="003F3B94">
        <w:rPr>
          <w:rFonts w:ascii="Abo-thar" w:hAnsi="Abo-thar" w:hint="cs"/>
          <w:b/>
          <w:bCs/>
          <w:sz w:val="28"/>
          <w:rtl/>
          <w:lang w:bidi="ar-SY"/>
        </w:rPr>
        <w:t>ي</w:t>
      </w:r>
      <w:r w:rsidR="005C664D" w:rsidRPr="003F3B94">
        <w:rPr>
          <w:rFonts w:ascii="Abo-thar" w:hAnsi="Abo-thar" w:hint="eastAsia"/>
          <w:b/>
          <w:bCs/>
          <w:sz w:val="28"/>
          <w:rtl/>
          <w:lang w:bidi="ar-SY"/>
        </w:rPr>
        <w:t>سافر</w:t>
      </w:r>
      <w:r w:rsidR="005C664D" w:rsidRPr="003F3B94">
        <w:rPr>
          <w:rFonts w:ascii="Abo-thar" w:hAnsi="Abo-thar"/>
          <w:b/>
          <w:bCs/>
          <w:sz w:val="28"/>
          <w:rtl/>
          <w:lang w:bidi="ar-SY"/>
        </w:rPr>
        <w:t xml:space="preserve"> من فسطاط </w:t>
      </w:r>
      <w:r w:rsidR="001E21CD" w:rsidRPr="003F3B94">
        <w:rPr>
          <w:rFonts w:ascii="Abo-thar" w:hAnsi="Abo-thar" w:hint="cs"/>
          <w:b/>
          <w:bCs/>
          <w:sz w:val="28"/>
          <w:rtl/>
          <w:lang w:bidi="ar-SY"/>
        </w:rPr>
        <w:t>إلى</w:t>
      </w:r>
      <w:r w:rsidR="005C664D" w:rsidRPr="003F3B94">
        <w:rPr>
          <w:rFonts w:ascii="Abo-thar" w:hAnsi="Abo-thar"/>
          <w:b/>
          <w:bCs/>
          <w:sz w:val="28"/>
          <w:rtl/>
          <w:lang w:bidi="ar-SY"/>
        </w:rPr>
        <w:t xml:space="preserve"> طرف من </w:t>
      </w:r>
      <w:r w:rsidR="005C664D" w:rsidRPr="003F3B94">
        <w:rPr>
          <w:rFonts w:ascii="Abo-thar" w:hAnsi="Abo-thar" w:hint="cs"/>
          <w:b/>
          <w:bCs/>
          <w:sz w:val="28"/>
          <w:rtl/>
          <w:lang w:bidi="ar-SY"/>
        </w:rPr>
        <w:t>أطرافها</w:t>
      </w:r>
      <w:r w:rsidR="005C664D" w:rsidRPr="003F3B94">
        <w:rPr>
          <w:rFonts w:ascii="Abo-thar" w:hAnsi="Abo-thar"/>
          <w:b/>
          <w:bCs/>
          <w:sz w:val="28"/>
          <w:rtl/>
          <w:lang w:bidi="ar-SY"/>
        </w:rPr>
        <w:t xml:space="preserve"> و</w:t>
      </w:r>
      <w:r w:rsidR="005C664D" w:rsidRPr="003F3B94">
        <w:rPr>
          <w:rFonts w:ascii="Abo-thar" w:hAnsi="Abo-thar" w:hint="cs"/>
          <w:b/>
          <w:bCs/>
          <w:sz w:val="28"/>
          <w:rtl/>
          <w:lang w:bidi="ar-SY"/>
        </w:rPr>
        <w:t>أن</w:t>
      </w:r>
      <w:r w:rsidR="005C664D" w:rsidRPr="003F3B94">
        <w:rPr>
          <w:rFonts w:ascii="Abo-thar" w:hAnsi="Abo-thar"/>
          <w:b/>
          <w:bCs/>
          <w:sz w:val="28"/>
          <w:rtl/>
          <w:lang w:bidi="ar-SY"/>
        </w:rPr>
        <w:t xml:space="preserve"> </w:t>
      </w:r>
      <w:r w:rsidR="00D326AD" w:rsidRPr="003F3B94">
        <w:rPr>
          <w:rFonts w:ascii="Abo-thar" w:hAnsi="Abo-thar" w:hint="cs"/>
          <w:b/>
          <w:bCs/>
          <w:sz w:val="28"/>
          <w:rtl/>
          <w:lang w:bidi="ar-SY"/>
        </w:rPr>
        <w:t>ي</w:t>
      </w:r>
      <w:r w:rsidR="005C664D" w:rsidRPr="003F3B94">
        <w:rPr>
          <w:rFonts w:ascii="Abo-thar" w:hAnsi="Abo-thar" w:hint="eastAsia"/>
          <w:b/>
          <w:bCs/>
          <w:sz w:val="28"/>
          <w:rtl/>
          <w:lang w:bidi="ar-SY"/>
        </w:rPr>
        <w:t>منعوا</w:t>
      </w:r>
      <w:r w:rsidR="005C664D" w:rsidRPr="003F3B94">
        <w:rPr>
          <w:rFonts w:ascii="Abo-thar" w:hAnsi="Abo-thar"/>
          <w:b/>
          <w:bCs/>
          <w:sz w:val="28"/>
          <w:rtl/>
          <w:lang w:bidi="ar-SY"/>
        </w:rPr>
        <w:t xml:space="preserve"> من اتخاذ السب</w:t>
      </w:r>
      <w:r w:rsidR="00D326AD" w:rsidRPr="003F3B94">
        <w:rPr>
          <w:rFonts w:ascii="Abo-thar" w:hAnsi="Abo-thar" w:hint="cs"/>
          <w:b/>
          <w:bCs/>
          <w:sz w:val="28"/>
          <w:rtl/>
          <w:lang w:bidi="ar-SY"/>
        </w:rPr>
        <w:t>ي</w:t>
      </w:r>
      <w:r w:rsidR="005C664D" w:rsidRPr="003F3B94">
        <w:rPr>
          <w:rFonts w:ascii="Abo-thar" w:hAnsi="Abo-thar" w:hint="eastAsia"/>
          <w:b/>
          <w:bCs/>
          <w:sz w:val="28"/>
          <w:rtl/>
          <w:lang w:bidi="ar-SY"/>
        </w:rPr>
        <w:t>ل</w:t>
      </w:r>
      <w:r w:rsidR="005C664D" w:rsidRPr="003F3B94">
        <w:rPr>
          <w:rFonts w:ascii="Abo-thar" w:hAnsi="Abo-thar"/>
          <w:b/>
          <w:bCs/>
          <w:sz w:val="28"/>
          <w:rtl/>
          <w:lang w:bidi="ar-SY"/>
        </w:rPr>
        <w:t xml:space="preserve"> </w:t>
      </w:r>
      <w:r w:rsidR="005C664D" w:rsidRPr="003F3B94">
        <w:rPr>
          <w:rFonts w:ascii="Abo-thar" w:hAnsi="Abo-thar" w:hint="cs"/>
          <w:b/>
          <w:bCs/>
          <w:sz w:val="28"/>
          <w:rtl/>
          <w:lang w:bidi="ar-SY"/>
        </w:rPr>
        <w:t>إلا</w:t>
      </w:r>
      <w:r w:rsidR="005C664D" w:rsidRPr="003F3B94">
        <w:rPr>
          <w:rFonts w:ascii="Abo-thar" w:hAnsi="Abo-thar"/>
          <w:b/>
          <w:bCs/>
          <w:sz w:val="28"/>
          <w:rtl/>
          <w:lang w:bidi="ar-SY"/>
        </w:rPr>
        <w:t xml:space="preserve"> </w:t>
      </w:r>
      <w:r w:rsidR="005C664D" w:rsidRPr="003F3B94">
        <w:rPr>
          <w:rFonts w:cs="Times New Roman" w:hint="cs"/>
          <w:b/>
          <w:bCs/>
          <w:sz w:val="28"/>
          <w:rtl/>
          <w:lang w:bidi="ar-SY"/>
        </w:rPr>
        <w:t>‌</w:t>
      </w:r>
      <w:r w:rsidR="005C664D" w:rsidRPr="003F3B94">
        <w:rPr>
          <w:rFonts w:ascii="Abo-thar" w:hAnsi="Abo-thar" w:hint="cs"/>
          <w:b/>
          <w:bCs/>
          <w:sz w:val="28"/>
          <w:rtl/>
          <w:lang w:bidi="ar-SY"/>
        </w:rPr>
        <w:t xml:space="preserve">العبد الواحد وإن </w:t>
      </w:r>
      <w:r w:rsidR="00D326AD" w:rsidRPr="003F3B94">
        <w:rPr>
          <w:rFonts w:ascii="Abo-thar" w:hAnsi="Abo-thar" w:hint="cs"/>
          <w:b/>
          <w:bCs/>
          <w:sz w:val="28"/>
          <w:rtl/>
          <w:lang w:bidi="ar-SY"/>
        </w:rPr>
        <w:t>ك</w:t>
      </w:r>
      <w:r w:rsidR="005C664D" w:rsidRPr="003F3B94">
        <w:rPr>
          <w:rFonts w:ascii="Abo-thar" w:hAnsi="Abo-thar" w:hint="cs"/>
          <w:b/>
          <w:bCs/>
          <w:sz w:val="28"/>
          <w:rtl/>
          <w:lang w:bidi="ar-SY"/>
        </w:rPr>
        <w:t>انت ب</w:t>
      </w:r>
      <w:r w:rsidR="00D326AD" w:rsidRPr="003F3B94">
        <w:rPr>
          <w:rFonts w:ascii="Abo-thar" w:hAnsi="Abo-thar" w:hint="cs"/>
          <w:b/>
          <w:bCs/>
          <w:sz w:val="28"/>
          <w:rtl/>
          <w:lang w:bidi="ar-SY"/>
        </w:rPr>
        <w:t>ي</w:t>
      </w:r>
      <w:r w:rsidR="005C664D" w:rsidRPr="003F3B94">
        <w:rPr>
          <w:rFonts w:ascii="Abo-thar" w:hAnsi="Abo-thar" w:hint="eastAsia"/>
          <w:b/>
          <w:bCs/>
          <w:sz w:val="28"/>
          <w:rtl/>
          <w:lang w:bidi="ar-SY"/>
        </w:rPr>
        <w:t>ن</w:t>
      </w:r>
      <w:r w:rsidR="005C664D" w:rsidRPr="003F3B94">
        <w:rPr>
          <w:rFonts w:ascii="Abo-thar" w:hAnsi="Abo-thar"/>
          <w:b/>
          <w:bCs/>
          <w:sz w:val="28"/>
          <w:rtl/>
          <w:lang w:bidi="ar-SY"/>
        </w:rPr>
        <w:t xml:space="preserve"> علو</w:t>
      </w:r>
      <w:r w:rsidR="005C664D" w:rsidRPr="003F3B94">
        <w:rPr>
          <w:rFonts w:ascii="Abo-thar" w:hAnsi="Abo-thar" w:hint="cs"/>
          <w:b/>
          <w:bCs/>
          <w:sz w:val="28"/>
          <w:rtl/>
          <w:lang w:bidi="ar-SY"/>
        </w:rPr>
        <w:t>ي</w:t>
      </w:r>
      <w:r w:rsidR="005C664D" w:rsidRPr="003F3B94">
        <w:rPr>
          <w:rFonts w:ascii="Abo-thar" w:hAnsi="Abo-thar"/>
          <w:b/>
          <w:bCs/>
          <w:sz w:val="28"/>
          <w:rtl/>
          <w:lang w:bidi="ar-SY"/>
        </w:rPr>
        <w:t xml:space="preserve"> وب</w:t>
      </w:r>
      <w:r w:rsidR="00D326AD" w:rsidRPr="003F3B94">
        <w:rPr>
          <w:rFonts w:ascii="Abo-thar" w:hAnsi="Abo-thar" w:hint="cs"/>
          <w:b/>
          <w:bCs/>
          <w:sz w:val="28"/>
          <w:rtl/>
          <w:lang w:bidi="ar-SY"/>
        </w:rPr>
        <w:t>ي</w:t>
      </w:r>
      <w:r w:rsidR="005C664D" w:rsidRPr="003F3B94">
        <w:rPr>
          <w:rFonts w:ascii="Abo-thar" w:hAnsi="Abo-thar" w:hint="eastAsia"/>
          <w:b/>
          <w:bCs/>
          <w:sz w:val="28"/>
          <w:rtl/>
          <w:lang w:bidi="ar-SY"/>
        </w:rPr>
        <w:t>ن</w:t>
      </w:r>
      <w:r w:rsidR="005C664D" w:rsidRPr="003F3B94">
        <w:rPr>
          <w:rFonts w:ascii="Abo-thar" w:hAnsi="Abo-thar"/>
          <w:b/>
          <w:bCs/>
          <w:sz w:val="28"/>
          <w:rtl/>
          <w:lang w:bidi="ar-SY"/>
        </w:rPr>
        <w:t xml:space="preserve"> </w:t>
      </w:r>
      <w:r w:rsidR="005C664D" w:rsidRPr="003F3B94">
        <w:rPr>
          <w:rFonts w:ascii="Abo-thar" w:hAnsi="Abo-thar" w:hint="cs"/>
          <w:b/>
          <w:bCs/>
          <w:sz w:val="28"/>
          <w:rtl/>
          <w:lang w:bidi="ar-SY"/>
        </w:rPr>
        <w:t>أ</w:t>
      </w:r>
      <w:r w:rsidR="005C664D" w:rsidRPr="003F3B94">
        <w:rPr>
          <w:rFonts w:ascii="Abo-thar" w:hAnsi="Abo-thar"/>
          <w:b/>
          <w:bCs/>
          <w:sz w:val="28"/>
          <w:rtl/>
          <w:lang w:bidi="ar-SY"/>
        </w:rPr>
        <w:t>حد من</w:t>
      </w:r>
      <w:r w:rsidR="005C664D" w:rsidRPr="003F3B94">
        <w:rPr>
          <w:rFonts w:cs="Times New Roman" w:hint="cs"/>
          <w:b/>
          <w:bCs/>
          <w:sz w:val="28"/>
          <w:rtl/>
          <w:lang w:bidi="ar-SY"/>
        </w:rPr>
        <w:t>‌</w:t>
      </w:r>
      <w:r w:rsidR="005C664D" w:rsidRPr="003F3B94">
        <w:rPr>
          <w:rFonts w:ascii="Abo-thar" w:hAnsi="Abo-thar" w:hint="cs"/>
          <w:b/>
          <w:bCs/>
          <w:sz w:val="28"/>
          <w:rtl/>
          <w:lang w:bidi="ar-SY"/>
        </w:rPr>
        <w:t xml:space="preserve"> الناس خصومة فلا </w:t>
      </w:r>
      <w:r w:rsidR="00D326AD" w:rsidRPr="003F3B94">
        <w:rPr>
          <w:rFonts w:ascii="Abo-thar" w:hAnsi="Abo-thar" w:hint="cs"/>
          <w:b/>
          <w:bCs/>
          <w:sz w:val="28"/>
          <w:rtl/>
          <w:lang w:bidi="ar-SY"/>
        </w:rPr>
        <w:t>ي</w:t>
      </w:r>
      <w:r w:rsidR="005C664D" w:rsidRPr="003F3B94">
        <w:rPr>
          <w:rFonts w:ascii="Abo-thar" w:hAnsi="Abo-thar" w:hint="eastAsia"/>
          <w:b/>
          <w:bCs/>
          <w:sz w:val="28"/>
          <w:rtl/>
          <w:lang w:bidi="ar-SY"/>
        </w:rPr>
        <w:t>قبل</w:t>
      </w:r>
      <w:r w:rsidR="005C664D" w:rsidRPr="003F3B94">
        <w:rPr>
          <w:rFonts w:ascii="Abo-thar" w:hAnsi="Abo-thar"/>
          <w:b/>
          <w:bCs/>
          <w:sz w:val="28"/>
          <w:rtl/>
          <w:lang w:bidi="ar-SY"/>
        </w:rPr>
        <w:t xml:space="preserve"> قول</w:t>
      </w:r>
      <w:r w:rsidR="005C664D" w:rsidRPr="003F3B94">
        <w:rPr>
          <w:rFonts w:cs="Times New Roman" w:hint="cs"/>
          <w:b/>
          <w:bCs/>
          <w:sz w:val="28"/>
          <w:rtl/>
          <w:lang w:bidi="ar-SY"/>
        </w:rPr>
        <w:t>‌</w:t>
      </w:r>
      <w:r w:rsidR="005C664D" w:rsidRPr="003F3B94">
        <w:rPr>
          <w:rFonts w:ascii="Abo-thar" w:hAnsi="Abo-thar" w:hint="cs"/>
          <w:b/>
          <w:bCs/>
          <w:sz w:val="28"/>
          <w:rtl/>
          <w:lang w:bidi="ar-SY"/>
        </w:rPr>
        <w:t xml:space="preserve"> العلوي</w:t>
      </w:r>
      <w:r w:rsidR="005C664D" w:rsidRPr="003F3B94">
        <w:rPr>
          <w:rFonts w:ascii="Abo-thar" w:hAnsi="Abo-thar"/>
          <w:b/>
          <w:bCs/>
          <w:sz w:val="28"/>
          <w:rtl/>
          <w:lang w:bidi="ar-SY"/>
        </w:rPr>
        <w:t xml:space="preserve"> و</w:t>
      </w:r>
      <w:r w:rsidR="00D326AD" w:rsidRPr="003F3B94">
        <w:rPr>
          <w:rFonts w:ascii="Abo-thar" w:hAnsi="Abo-thar" w:hint="cs"/>
          <w:b/>
          <w:bCs/>
          <w:sz w:val="28"/>
          <w:rtl/>
          <w:lang w:bidi="ar-SY"/>
        </w:rPr>
        <w:t>ي</w:t>
      </w:r>
      <w:r w:rsidR="005C664D" w:rsidRPr="003F3B94">
        <w:rPr>
          <w:rFonts w:ascii="Abo-thar" w:hAnsi="Abo-thar" w:hint="eastAsia"/>
          <w:b/>
          <w:bCs/>
          <w:sz w:val="28"/>
          <w:rtl/>
          <w:lang w:bidi="ar-SY"/>
        </w:rPr>
        <w:t>قبل</w:t>
      </w:r>
      <w:r w:rsidR="005C664D" w:rsidRPr="003F3B94">
        <w:rPr>
          <w:rFonts w:ascii="Abo-thar" w:hAnsi="Abo-thar"/>
          <w:b/>
          <w:bCs/>
          <w:sz w:val="28"/>
          <w:rtl/>
          <w:lang w:bidi="ar-SY"/>
        </w:rPr>
        <w:t xml:space="preserve"> قول خصمه بدون ب</w:t>
      </w:r>
      <w:r w:rsidR="00D326AD" w:rsidRPr="003F3B94">
        <w:rPr>
          <w:rFonts w:ascii="Abo-thar" w:hAnsi="Abo-thar" w:hint="cs"/>
          <w:b/>
          <w:bCs/>
          <w:sz w:val="28"/>
          <w:rtl/>
          <w:lang w:bidi="ar-SY"/>
        </w:rPr>
        <w:t>ي</w:t>
      </w:r>
      <w:r w:rsidR="005C664D" w:rsidRPr="003F3B94">
        <w:rPr>
          <w:rFonts w:ascii="Abo-thar" w:hAnsi="Abo-thar" w:hint="eastAsia"/>
          <w:b/>
          <w:bCs/>
          <w:sz w:val="28"/>
          <w:rtl/>
          <w:lang w:bidi="ar-SY"/>
        </w:rPr>
        <w:t>ن</w:t>
      </w:r>
      <w:r w:rsidR="005C664D" w:rsidRPr="003F3B94">
        <w:rPr>
          <w:rFonts w:ascii="Abo-thar" w:hAnsi="Abo-thar" w:hint="cs"/>
          <w:b/>
          <w:bCs/>
          <w:sz w:val="28"/>
          <w:rtl/>
          <w:lang w:bidi="ar-SY"/>
        </w:rPr>
        <w:t>ة</w:t>
      </w:r>
      <w:r w:rsidR="00217AB4" w:rsidRPr="003F3B94">
        <w:rPr>
          <w:rFonts w:ascii="Abo-thar" w:hAnsi="Abo-thar"/>
          <w:b/>
          <w:bCs/>
          <w:sz w:val="28"/>
          <w:rtl/>
          <w:lang w:bidi="ar-SY"/>
        </w:rPr>
        <w:t>!</w:t>
      </w:r>
      <w:r w:rsidRPr="003F3B94">
        <w:rPr>
          <w:rFonts w:ascii="Abo-thar" w:hAnsi="Abo-thar" w:hint="cs"/>
          <w:sz w:val="28"/>
          <w:rtl/>
          <w:lang w:bidi="ar-SY"/>
        </w:rPr>
        <w:t>»</w:t>
      </w:r>
      <w:r w:rsidR="001E21CD" w:rsidRPr="0021507A">
        <w:rPr>
          <w:rFonts w:ascii="Abo-thar" w:hAnsi="Abo-thar" w:cs="Arabic11 BT"/>
          <w:sz w:val="28"/>
          <w:vertAlign w:val="superscript"/>
          <w:rtl/>
          <w:lang w:bidi="ar-SY"/>
        </w:rPr>
        <w:t>(</w:t>
      </w:r>
      <w:r w:rsidR="001E21CD" w:rsidRPr="0021507A">
        <w:rPr>
          <w:rStyle w:val="FootnoteReference"/>
          <w:rFonts w:ascii="Abo-thar" w:hAnsi="Abo-thar" w:cs="Arabic11 BT"/>
          <w:sz w:val="28"/>
          <w:rtl/>
          <w:lang w:bidi="ar-SY"/>
        </w:rPr>
        <w:footnoteReference w:id="223"/>
      </w:r>
      <w:r w:rsidR="001E21CD" w:rsidRPr="0021507A">
        <w:rPr>
          <w:rFonts w:ascii="Abo-thar" w:hAnsi="Abo-thar" w:cs="Arabic11 BT"/>
          <w:sz w:val="28"/>
          <w:vertAlign w:val="superscript"/>
          <w:rtl/>
          <w:lang w:bidi="ar-SY"/>
        </w:rPr>
        <w:t>)</w:t>
      </w:r>
      <w:r w:rsidR="00217AB4" w:rsidRPr="003F3B94">
        <w:rPr>
          <w:rFonts w:ascii="Abo-thar" w:hAnsi="Abo-thar" w:hint="cs"/>
          <w:sz w:val="28"/>
          <w:rtl/>
          <w:lang w:bidi="ar-SY"/>
        </w:rPr>
        <w:t>.</w:t>
      </w:r>
      <w:r w:rsidR="005C664D" w:rsidRPr="003F3B94">
        <w:rPr>
          <w:rFonts w:ascii="Abo-thar" w:hAnsi="Abo-thar" w:hint="cs"/>
          <w:sz w:val="28"/>
          <w:rtl/>
          <w:lang w:bidi="ar-SY"/>
        </w:rPr>
        <w:t xml:space="preserve"> </w:t>
      </w:r>
      <w:r w:rsidR="00217AB4" w:rsidRPr="003F3B94">
        <w:rPr>
          <w:rFonts w:ascii="Abo-thar" w:hAnsi="Abo-thar" w:hint="cs"/>
          <w:sz w:val="28"/>
          <w:rtl/>
          <w:lang w:bidi="ar-SY"/>
        </w:rPr>
        <w:t>(</w:t>
      </w:r>
      <w:r w:rsidR="005C664D" w:rsidRPr="003F3B94">
        <w:rPr>
          <w:rFonts w:ascii="Abo-thar" w:hAnsi="Abo-thar" w:hint="cs"/>
          <w:sz w:val="28"/>
          <w:rtl/>
          <w:lang w:bidi="ar-SY"/>
        </w:rPr>
        <w:t>الإمام الصادق</w:t>
      </w:r>
      <w:r w:rsidR="00217AB4" w:rsidRPr="003F3B94">
        <w:rPr>
          <w:rFonts w:ascii="Abo-thar" w:hAnsi="Abo-thar" w:hint="cs"/>
          <w:sz w:val="28"/>
          <w:rtl/>
          <w:lang w:bidi="ar-SY"/>
        </w:rPr>
        <w:t>،</w:t>
      </w:r>
      <w:r w:rsidR="005C664D" w:rsidRPr="003F3B94">
        <w:rPr>
          <w:rFonts w:ascii="Abo-thar" w:hAnsi="Abo-thar" w:hint="cs"/>
          <w:sz w:val="28"/>
          <w:rtl/>
          <w:lang w:bidi="ar-SY"/>
        </w:rPr>
        <w:t xml:space="preserve"> ج1</w:t>
      </w:r>
      <w:r w:rsidR="00920257" w:rsidRPr="003F3B94">
        <w:rPr>
          <w:rFonts w:ascii="Abo-thar" w:hAnsi="Abo-thar" w:hint="cs"/>
          <w:sz w:val="28"/>
          <w:rtl/>
          <w:lang w:bidi="ar-SY"/>
        </w:rPr>
        <w:t xml:space="preserve">، </w:t>
      </w:r>
      <w:r w:rsidR="005C664D" w:rsidRPr="003F3B94">
        <w:rPr>
          <w:rFonts w:ascii="Abo-thar" w:hAnsi="Abo-thar" w:hint="cs"/>
          <w:sz w:val="28"/>
          <w:rtl/>
          <w:lang w:bidi="ar-SY"/>
        </w:rPr>
        <w:t>ص144</w:t>
      </w:r>
      <w:r w:rsidR="00217AB4" w:rsidRPr="003F3B94">
        <w:rPr>
          <w:rFonts w:ascii="Abo-thar" w:hAnsi="Abo-thar" w:hint="cs"/>
          <w:sz w:val="28"/>
          <w:rtl/>
          <w:lang w:bidi="ar-SY"/>
        </w:rPr>
        <w:t>).</w:t>
      </w:r>
    </w:p>
    <w:p w:rsidR="005C664D" w:rsidRPr="003F3B94" w:rsidRDefault="005C664D" w:rsidP="003F3B94">
      <w:pPr>
        <w:pStyle w:val="a0"/>
        <w:rPr>
          <w:rFonts w:hint="cs"/>
          <w:rtl/>
          <w:lang w:bidi="ar-SY"/>
        </w:rPr>
      </w:pPr>
      <w:r w:rsidRPr="003F3B94">
        <w:rPr>
          <w:rFonts w:ascii="Abo-thar" w:hAnsi="Abo-thar" w:hint="cs"/>
          <w:sz w:val="28"/>
          <w:rtl/>
          <w:lang w:bidi="ar-SY"/>
        </w:rPr>
        <w:t>إذا عرفنا هذا التضييق والضغط الذي كان يمارس إلى هذا الحد ضد تلك الطائفة أو الأسرة انطلاقاً من خصومة الخلفاء وعداوتهم لها والذي نلاحظه في هذا الفرمان</w:t>
      </w:r>
      <w:r w:rsidR="00B31118">
        <w:rPr>
          <w:rFonts w:ascii="Abo-thar" w:hAnsi="Abo-thar" w:hint="cs"/>
          <w:sz w:val="28"/>
          <w:rtl/>
          <w:lang w:bidi="ar-SY"/>
        </w:rPr>
        <w:t xml:space="preserve"> (الحکم)</w:t>
      </w:r>
      <w:r w:rsidR="00217AB4" w:rsidRPr="003F3B94">
        <w:rPr>
          <w:rFonts w:ascii="Abo-thar" w:hAnsi="Abo-thar" w:hint="cs"/>
          <w:sz w:val="28"/>
          <w:rtl/>
          <w:lang w:bidi="ar-SY"/>
        </w:rPr>
        <w:t>،</w:t>
      </w:r>
      <w:r w:rsidRPr="003F3B94">
        <w:rPr>
          <w:rFonts w:ascii="Abo-thar" w:hAnsi="Abo-thar" w:hint="cs"/>
          <w:sz w:val="28"/>
          <w:rtl/>
          <w:lang w:bidi="ar-SY"/>
        </w:rPr>
        <w:t xml:space="preserve"> لن نتعجب عندئذٍ أن يكون مصدر تحريم الصدقة على فقراء تلك الأسرة هو تلك السياسة ذاتها كي يبقوهم مضطرين ومحرومين</w:t>
      </w:r>
      <w:r w:rsidR="00217AB4" w:rsidRPr="003F3B94">
        <w:rPr>
          <w:rFonts w:ascii="Abo-thar" w:hAnsi="Abo-thar" w:hint="cs"/>
          <w:sz w:val="28"/>
          <w:rtl/>
          <w:lang w:bidi="ar-SY"/>
        </w:rPr>
        <w:t>.</w:t>
      </w:r>
      <w:r w:rsidRPr="003F3B94">
        <w:rPr>
          <w:rFonts w:ascii="Abo-thar" w:hAnsi="Abo-thar" w:hint="cs"/>
          <w:sz w:val="28"/>
          <w:rtl/>
          <w:lang w:bidi="ar-SY"/>
        </w:rPr>
        <w:t xml:space="preserve"> </w:t>
      </w:r>
    </w:p>
    <w:p w:rsidR="005C664D" w:rsidRPr="003F3B94" w:rsidRDefault="005C664D" w:rsidP="003F3B94">
      <w:pPr>
        <w:pStyle w:val="a0"/>
        <w:rPr>
          <w:rFonts w:hint="cs"/>
          <w:rtl/>
          <w:lang w:bidi="ar-SY"/>
        </w:rPr>
      </w:pPr>
      <w:r w:rsidRPr="003F3B94">
        <w:rPr>
          <w:rFonts w:ascii="Abo-thar" w:hAnsi="Abo-thar" w:hint="cs"/>
          <w:sz w:val="28"/>
          <w:rtl/>
          <w:lang w:bidi="ar-SY"/>
        </w:rPr>
        <w:t>هذا</w:t>
      </w:r>
      <w:r w:rsidR="00147857" w:rsidRPr="003F3B94">
        <w:rPr>
          <w:rFonts w:ascii="Abo-thar" w:hAnsi="Abo-thar" w:hint="cs"/>
          <w:sz w:val="28"/>
          <w:rtl/>
          <w:lang w:bidi="ar-SY"/>
        </w:rPr>
        <w:t xml:space="preserve"> و</w:t>
      </w:r>
      <w:r w:rsidRPr="003F3B94">
        <w:rPr>
          <w:rFonts w:ascii="Abo-thar" w:hAnsi="Abo-thar" w:hint="cs"/>
          <w:sz w:val="28"/>
          <w:rtl/>
          <w:lang w:bidi="ar-SY"/>
        </w:rPr>
        <w:t>لما كانت تلك الفتوى [أي فتوى تحريم الصدقة على آل محمد بعد رحيل النبيّ] قد انتشـرت واشتهرت في ذلك الزمن</w:t>
      </w:r>
      <w:r w:rsidR="001E0DB7" w:rsidRPr="003F3B94">
        <w:rPr>
          <w:rFonts w:ascii="Abo-thar" w:hAnsi="Abo-thar" w:hint="cs"/>
          <w:sz w:val="28"/>
          <w:rtl/>
          <w:lang w:bidi="ar-SY"/>
        </w:rPr>
        <w:t>،</w:t>
      </w:r>
      <w:r w:rsidRPr="003F3B94">
        <w:rPr>
          <w:rFonts w:ascii="Abo-thar" w:hAnsi="Abo-thar" w:hint="cs"/>
          <w:sz w:val="28"/>
          <w:rtl/>
          <w:lang w:bidi="ar-SY"/>
        </w:rPr>
        <w:t xml:space="preserve"> ولم تكن بين الشيعة بعد فتوى إيجاب ذلك الخُمس الشامل التي قيلت لمواجهة أو تعويض تلك الفتوى</w:t>
      </w:r>
      <w:r w:rsidR="001E0DB7" w:rsidRPr="003F3B94">
        <w:rPr>
          <w:rFonts w:ascii="Abo-thar" w:hAnsi="Abo-thar" w:hint="cs"/>
          <w:sz w:val="28"/>
          <w:rtl/>
          <w:lang w:bidi="ar-SY"/>
        </w:rPr>
        <w:t>،</w:t>
      </w:r>
      <w:r w:rsidRPr="003F3B94">
        <w:rPr>
          <w:rFonts w:ascii="Abo-thar" w:hAnsi="Abo-thar" w:hint="cs"/>
          <w:sz w:val="28"/>
          <w:rtl/>
          <w:lang w:bidi="ar-SY"/>
        </w:rPr>
        <w:t xml:space="preserve"> وإذا أقرَّ بعضهم بحقٍّ لبني هاشم في ذلك الزمن فإنه قَصَرَهُ على سهمٍ لهم من خمس غنائم الحرب فقط</w:t>
      </w:r>
      <w:r w:rsidR="001E0DB7" w:rsidRPr="003F3B94">
        <w:rPr>
          <w:rFonts w:ascii="Abo-thar" w:hAnsi="Abo-thar" w:hint="cs"/>
          <w:sz w:val="28"/>
          <w:rtl/>
          <w:lang w:bidi="ar-SY"/>
        </w:rPr>
        <w:t>،</w:t>
      </w:r>
      <w:r w:rsidRPr="003F3B94">
        <w:rPr>
          <w:rFonts w:ascii="Abo-thar" w:hAnsi="Abo-thar" w:hint="cs"/>
          <w:sz w:val="28"/>
          <w:rtl/>
          <w:lang w:bidi="ar-SY"/>
        </w:rPr>
        <w:t xml:space="preserve"> وهو سهمٌ متروك لتصرّف خليفة الوقت الذي كان بإمكانه أن يمنعه عنهم بكل سهولة</w:t>
      </w:r>
      <w:r w:rsidR="001E0DB7" w:rsidRPr="003F3B94">
        <w:rPr>
          <w:rFonts w:ascii="Abo-thar" w:hAnsi="Abo-thar" w:hint="cs"/>
          <w:sz w:val="28"/>
          <w:rtl/>
          <w:lang w:bidi="ar-SY"/>
        </w:rPr>
        <w:t>،</w:t>
      </w:r>
      <w:r w:rsidRPr="003F3B94">
        <w:rPr>
          <w:rFonts w:ascii="Abo-thar" w:hAnsi="Abo-thar" w:hint="cs"/>
          <w:sz w:val="28"/>
          <w:rtl/>
          <w:lang w:bidi="ar-SY"/>
        </w:rPr>
        <w:t xml:space="preserve"> كما حصل ذلك فعلاً بدليل أننا لا نجد أي شاهد في تاريخ الإسلام على أن أحداً من الخلفاء أعطى فقراء بني هاشم من خمس الغنائم</w:t>
      </w:r>
      <w:r w:rsidR="00217AB4" w:rsidRPr="003F3B94">
        <w:rPr>
          <w:rFonts w:ascii="Abo-thar" w:hAnsi="Abo-thar" w:hint="cs"/>
          <w:sz w:val="28"/>
          <w:rtl/>
          <w:lang w:bidi="ar-SY"/>
        </w:rPr>
        <w:t>؛</w:t>
      </w:r>
      <w:r w:rsidR="00147857" w:rsidRPr="003F3B94">
        <w:rPr>
          <w:rFonts w:ascii="Abo-thar" w:hAnsi="Abo-thar" w:hint="cs"/>
          <w:sz w:val="28"/>
          <w:rtl/>
          <w:lang w:bidi="ar-SY"/>
        </w:rPr>
        <w:t xml:space="preserve"> </w:t>
      </w:r>
      <w:r w:rsidRPr="003F3B94">
        <w:rPr>
          <w:rFonts w:ascii="Abo-thar" w:hAnsi="Abo-thar" w:hint="cs"/>
          <w:sz w:val="28"/>
          <w:rtl/>
          <w:lang w:bidi="ar-SY"/>
        </w:rPr>
        <w:t>فإنها أعطت مفعولها على أحسن وجه وللأسف الشديد رأينا أن هذه السياسة والحيلة أدت بما أوجدته من ضغط وتضييق على بني هاشم إلى ردّ فعل ظهر في الإسلام وفي مذهب الشيعة بشكل آخر</w:t>
      </w:r>
      <w:r w:rsidR="00217AB4" w:rsidRPr="003F3B94">
        <w:rPr>
          <w:rFonts w:ascii="Abo-thar" w:hAnsi="Abo-thar" w:hint="cs"/>
          <w:sz w:val="28"/>
          <w:rtl/>
          <w:lang w:bidi="ar-SY"/>
        </w:rPr>
        <w:t>،</w:t>
      </w:r>
      <w:r w:rsidRPr="003F3B94">
        <w:rPr>
          <w:rFonts w:ascii="Abo-thar" w:hAnsi="Abo-thar" w:hint="cs"/>
          <w:sz w:val="28"/>
          <w:rtl/>
          <w:lang w:bidi="ar-SY"/>
        </w:rPr>
        <w:t xml:space="preserve"> وأظهر ذلك المذهب بتلك الصورة التي بينّاها</w:t>
      </w:r>
      <w:r w:rsidR="00217AB4" w:rsidRPr="003F3B94">
        <w:rPr>
          <w:rFonts w:ascii="Abo-thar" w:hAnsi="Abo-thar" w:hint="cs"/>
          <w:sz w:val="28"/>
          <w:rtl/>
          <w:lang w:bidi="ar-SY"/>
        </w:rPr>
        <w:t>!</w:t>
      </w:r>
      <w:r w:rsidRPr="003F3B94">
        <w:rPr>
          <w:rFonts w:ascii="Abo-thar" w:hAnsi="Abo-thar" w:hint="cs"/>
          <w:sz w:val="28"/>
          <w:rtl/>
          <w:lang w:bidi="ar-SY"/>
        </w:rPr>
        <w:t xml:space="preserve"> وأبعده عن حقيقة الدين في هذا الموضوع بُعداً شاسعاً</w:t>
      </w:r>
      <w:r w:rsidR="00217AB4" w:rsidRPr="003F3B94">
        <w:rPr>
          <w:rFonts w:ascii="Abo-thar" w:hAnsi="Abo-thar" w:hint="cs"/>
          <w:sz w:val="28"/>
          <w:rtl/>
          <w:lang w:bidi="ar-SY"/>
        </w:rPr>
        <w:t>،</w:t>
      </w:r>
      <w:r w:rsidRPr="003F3B94">
        <w:rPr>
          <w:rFonts w:ascii="Abo-thar" w:hAnsi="Abo-thar" w:hint="cs"/>
          <w:sz w:val="28"/>
          <w:rtl/>
          <w:lang w:bidi="ar-SY"/>
        </w:rPr>
        <w:t xml:space="preserve"> وقدَّم لأعداء الدين</w:t>
      </w:r>
      <w:r w:rsidR="00217AB4" w:rsidRPr="003F3B94">
        <w:rPr>
          <w:rFonts w:ascii="Abo-thar" w:hAnsi="Abo-thar" w:hint="cs"/>
          <w:sz w:val="28"/>
          <w:rtl/>
          <w:lang w:bidi="ar-SY"/>
        </w:rPr>
        <w:t>،</w:t>
      </w:r>
      <w:r w:rsidRPr="003F3B94">
        <w:rPr>
          <w:rFonts w:ascii="Abo-thar" w:hAnsi="Abo-thar" w:hint="cs"/>
          <w:sz w:val="28"/>
          <w:rtl/>
          <w:lang w:bidi="ar-SY"/>
        </w:rPr>
        <w:t xml:space="preserve"> بقبوله لمثل هذا الأمر بوصفه حكماً دينياً مسلَّماً به</w:t>
      </w:r>
      <w:r w:rsidR="00217AB4" w:rsidRPr="003F3B94">
        <w:rPr>
          <w:rFonts w:ascii="Abo-thar" w:hAnsi="Abo-thar" w:hint="cs"/>
          <w:sz w:val="28"/>
          <w:rtl/>
          <w:lang w:bidi="ar-SY"/>
        </w:rPr>
        <w:t>،</w:t>
      </w:r>
      <w:r w:rsidRPr="003F3B94">
        <w:rPr>
          <w:rFonts w:ascii="Abo-thar" w:hAnsi="Abo-thar" w:hint="cs"/>
          <w:sz w:val="28"/>
          <w:rtl/>
          <w:lang w:bidi="ar-SY"/>
        </w:rPr>
        <w:t xml:space="preserve"> مستمسكاً قوياً يتهمون من خلاله نبيّ هذا الدين بأنه ترك لذريته وقرابته مثل هذا الميراث العجيب</w:t>
      </w:r>
      <w:r w:rsidR="00217AB4" w:rsidRPr="003F3B94">
        <w:rPr>
          <w:rFonts w:ascii="Abo-thar" w:hAnsi="Abo-thar" w:hint="cs"/>
          <w:sz w:val="28"/>
          <w:rtl/>
          <w:lang w:bidi="ar-SY"/>
        </w:rPr>
        <w:t>.</w:t>
      </w:r>
      <w:r w:rsidRPr="003F3B94">
        <w:rPr>
          <w:rFonts w:ascii="Abo-thar" w:hAnsi="Abo-thar" w:hint="cs"/>
          <w:sz w:val="28"/>
          <w:rtl/>
          <w:lang w:bidi="ar-SY"/>
        </w:rPr>
        <w:t xml:space="preserve"> والواقع إن الذي دفعنا لكتابة هذا الكتاب </w:t>
      </w:r>
      <w:r w:rsidR="00217AB4" w:rsidRPr="003F3B94">
        <w:rPr>
          <w:rFonts w:ascii="Abo-thar" w:hAnsi="Abo-thar" w:hint="cs"/>
          <w:sz w:val="28"/>
          <w:rtl/>
          <w:lang w:bidi="ar-SY"/>
        </w:rPr>
        <w:t>-</w:t>
      </w:r>
      <w:r w:rsidRPr="003F3B94">
        <w:rPr>
          <w:rFonts w:ascii="Abo-thar" w:hAnsi="Abo-thar" w:hint="cs"/>
          <w:sz w:val="28"/>
          <w:rtl/>
          <w:lang w:bidi="ar-SY"/>
        </w:rPr>
        <w:t xml:space="preserve"> إضافة إلى بيان حقائق الإسلام </w:t>
      </w:r>
      <w:r w:rsidRPr="003F3B94">
        <w:rPr>
          <w:rFonts w:cs="Times New Roman" w:hint="cs"/>
          <w:sz w:val="28"/>
          <w:rtl/>
          <w:lang w:bidi="ar-SY"/>
        </w:rPr>
        <w:t>–</w:t>
      </w:r>
      <w:r w:rsidRPr="003F3B94">
        <w:rPr>
          <w:rFonts w:ascii="Abo-thar" w:hAnsi="Abo-thar" w:hint="cs"/>
          <w:sz w:val="28"/>
          <w:rtl/>
          <w:lang w:bidi="ar-SY"/>
        </w:rPr>
        <w:t xml:space="preserve"> رد تلك التهمة الكبيرة ضدّ مؤسس هذا الدين المبين</w:t>
      </w:r>
      <w:r w:rsidR="00147857" w:rsidRPr="003F3B94">
        <w:rPr>
          <w:rFonts w:ascii="Abo-thar" w:hAnsi="Abo-thar" w:hint="cs"/>
          <w:sz w:val="28"/>
          <w:rtl/>
          <w:lang w:bidi="ar-SY"/>
        </w:rPr>
        <w:t xml:space="preserve"> </w:t>
      </w:r>
      <w:r w:rsidR="003C7AEB" w:rsidRPr="003C7AEB">
        <w:rPr>
          <w:rFonts w:ascii="Abo-thar" w:hAnsi="Abo-thar" w:cs="CTraditional Arabic"/>
          <w:sz w:val="28"/>
          <w:rtl/>
          <w:lang w:bidi="ar-SY"/>
        </w:rPr>
        <w:t>ص</w:t>
      </w:r>
      <w:r w:rsidR="00217AB4" w:rsidRPr="003F3B94">
        <w:rPr>
          <w:rFonts w:ascii="Abo-thar" w:hAnsi="Abo-thar"/>
          <w:sz w:val="28"/>
          <w:rtl/>
          <w:lang w:bidi="ar-SY"/>
        </w:rPr>
        <w:t>،</w:t>
      </w:r>
      <w:r w:rsidRPr="003F3B94">
        <w:rPr>
          <w:rFonts w:ascii="Abo-thar" w:hAnsi="Abo-thar" w:hint="cs"/>
          <w:sz w:val="28"/>
          <w:rtl/>
          <w:lang w:bidi="ar-SY"/>
        </w:rPr>
        <w:t xml:space="preserve"> حيث نعتبر أن هذه التهمة أسوأ وأشد تأثيراً في ضرب وتخريب حقيقة الإسلام من أي ضربة أخرى لهذا الدين</w:t>
      </w:r>
      <w:r w:rsidR="00217AB4" w:rsidRPr="003F3B94">
        <w:rPr>
          <w:rFonts w:ascii="Abo-thar" w:hAnsi="Abo-thar" w:hint="cs"/>
          <w:sz w:val="28"/>
          <w:rtl/>
          <w:lang w:bidi="ar-SY"/>
        </w:rPr>
        <w:t>.</w:t>
      </w:r>
      <w:r w:rsidR="00147857" w:rsidRPr="003F3B94">
        <w:rPr>
          <w:rFonts w:ascii="Abo-thar" w:hAnsi="Abo-thar" w:hint="cs"/>
          <w:sz w:val="28"/>
          <w:rtl/>
          <w:lang w:bidi="ar-SY"/>
        </w:rPr>
        <w:t xml:space="preserve"> </w:t>
      </w:r>
    </w:p>
    <w:p w:rsidR="00071132" w:rsidRPr="003F3B94" w:rsidRDefault="00071132" w:rsidP="003F3B94">
      <w:pPr>
        <w:pStyle w:val="a0"/>
        <w:rPr>
          <w:rtl/>
          <w:lang w:bidi="ar-SY"/>
        </w:rPr>
        <w:sectPr w:rsidR="00071132" w:rsidRPr="003F3B94" w:rsidSect="00010AE3">
          <w:headerReference w:type="default" r:id="rId29"/>
          <w:footnotePr>
            <w:numRestart w:val="eachPage"/>
          </w:footnotePr>
          <w:type w:val="oddPage"/>
          <w:pgSz w:w="9356" w:h="13608" w:code="34"/>
          <w:pgMar w:top="964" w:right="1134" w:bottom="1134" w:left="964" w:header="0" w:footer="851" w:gutter="0"/>
          <w:cols w:space="708"/>
          <w:titlePg/>
          <w:bidi/>
          <w:rtlGutter/>
          <w:docGrid w:linePitch="360"/>
        </w:sectPr>
      </w:pPr>
    </w:p>
    <w:p w:rsidR="003D6690" w:rsidRPr="00995B26" w:rsidRDefault="003D6690" w:rsidP="00071132">
      <w:pPr>
        <w:pStyle w:val="Heading1"/>
        <w:rPr>
          <w:rFonts w:hint="cs"/>
          <w:rtl/>
        </w:rPr>
      </w:pPr>
      <w:bookmarkStart w:id="92" w:name="_Toc387843069"/>
      <w:r w:rsidRPr="00995B26">
        <w:rPr>
          <w:rFonts w:hint="cs"/>
          <w:rtl/>
        </w:rPr>
        <w:t>الفصل الخامس</w:t>
      </w:r>
      <w:r w:rsidR="00071132">
        <w:rPr>
          <w:rtl/>
        </w:rPr>
        <w:br/>
      </w:r>
      <w:r w:rsidRPr="00995B26">
        <w:rPr>
          <w:rFonts w:hint="cs"/>
          <w:rtl/>
        </w:rPr>
        <w:t>الخُمْس والأشياء التي يتعلق بها</w:t>
      </w:r>
      <w:bookmarkEnd w:id="92"/>
      <w:r w:rsidRPr="00995B26">
        <w:rPr>
          <w:rFonts w:hint="cs"/>
          <w:rtl/>
        </w:rPr>
        <w:t xml:space="preserve"> </w:t>
      </w:r>
    </w:p>
    <w:p w:rsidR="003D6690" w:rsidRPr="00995B26" w:rsidRDefault="003D6690" w:rsidP="007D2B8A">
      <w:pPr>
        <w:pStyle w:val="a5"/>
        <w:rPr>
          <w:rFonts w:hint="cs"/>
          <w:rtl/>
          <w:lang w:bidi="ar-SY"/>
        </w:rPr>
      </w:pPr>
      <w:bookmarkStart w:id="93" w:name="_Toc387843070"/>
      <w:r w:rsidRPr="00995B26">
        <w:rPr>
          <w:rFonts w:hint="cs"/>
          <w:rtl/>
          <w:lang w:bidi="ar-SY"/>
        </w:rPr>
        <w:t>1- الأشياء التي يتعلق بها الخُمْس</w:t>
      </w:r>
      <w:bookmarkEnd w:id="93"/>
    </w:p>
    <w:p w:rsidR="005C664D" w:rsidRPr="003F3B94" w:rsidRDefault="005C664D" w:rsidP="003F3B94">
      <w:pPr>
        <w:pStyle w:val="a0"/>
        <w:rPr>
          <w:rFonts w:hint="cs"/>
          <w:rtl/>
          <w:lang w:bidi="ar-SY"/>
        </w:rPr>
      </w:pPr>
      <w:r w:rsidRPr="003F3B94">
        <w:rPr>
          <w:rFonts w:ascii="Abo-thar" w:hAnsi="Abo-thar" w:hint="cs"/>
          <w:sz w:val="28"/>
          <w:rtl/>
          <w:lang w:bidi="ar-SY"/>
        </w:rPr>
        <w:t>يمكن تقسيم الأحاديث والأخبار التي رُويت حول موضوع الخُمس في كتب الحديث إلى عدة أنماط</w:t>
      </w:r>
      <w:r w:rsidR="00217AB4" w:rsidRPr="003F3B94">
        <w:rPr>
          <w:rFonts w:ascii="Abo-thar" w:hAnsi="Abo-thar" w:hint="cs"/>
          <w:sz w:val="28"/>
          <w:rtl/>
          <w:lang w:bidi="ar-SY"/>
        </w:rPr>
        <w:t>.</w:t>
      </w:r>
      <w:r w:rsidRPr="003F3B94">
        <w:rPr>
          <w:rFonts w:ascii="Abo-thar" w:hAnsi="Abo-thar" w:hint="cs"/>
          <w:sz w:val="28"/>
          <w:rtl/>
          <w:lang w:bidi="ar-SY"/>
        </w:rPr>
        <w:t xml:space="preserve"> </w:t>
      </w:r>
      <w:r w:rsidRPr="003F3B94">
        <w:rPr>
          <w:rFonts w:ascii="Abo-thar" w:hAnsi="Abo-thar" w:hint="cs"/>
          <w:b/>
          <w:bCs/>
          <w:sz w:val="28"/>
          <w:rtl/>
          <w:lang w:bidi="ar-SY"/>
        </w:rPr>
        <w:t>النمط الأول</w:t>
      </w:r>
      <w:r w:rsidR="00217AB4" w:rsidRPr="003F3B94">
        <w:rPr>
          <w:rFonts w:ascii="Abo-thar" w:hAnsi="Abo-thar" w:hint="cs"/>
          <w:sz w:val="28"/>
          <w:rtl/>
          <w:lang w:bidi="ar-SY"/>
        </w:rPr>
        <w:t>:</w:t>
      </w:r>
      <w:r w:rsidRPr="003F3B94">
        <w:rPr>
          <w:rFonts w:ascii="Abo-thar" w:hAnsi="Abo-thar" w:hint="cs"/>
          <w:sz w:val="28"/>
          <w:rtl/>
          <w:lang w:bidi="ar-SY"/>
        </w:rPr>
        <w:t xml:space="preserve"> الأحاديث التي تبيِّن ماهيّة الأموال أو الأمور التي يتعلَّق بها الخُمس</w:t>
      </w:r>
      <w:r w:rsidR="00217AB4" w:rsidRPr="003F3B94">
        <w:rPr>
          <w:rFonts w:ascii="Abo-thar" w:hAnsi="Abo-thar" w:hint="cs"/>
          <w:sz w:val="28"/>
          <w:rtl/>
          <w:lang w:bidi="ar-SY"/>
        </w:rPr>
        <w:t>،</w:t>
      </w:r>
      <w:r w:rsidRPr="003F3B94">
        <w:rPr>
          <w:rFonts w:ascii="Abo-thar" w:hAnsi="Abo-thar" w:hint="cs"/>
          <w:sz w:val="28"/>
          <w:rtl/>
          <w:lang w:bidi="ar-SY"/>
        </w:rPr>
        <w:t xml:space="preserve"> وذلك كالحديث التالي</w:t>
      </w:r>
      <w:r w:rsidR="00217AB4" w:rsidRPr="003F3B94">
        <w:rPr>
          <w:rFonts w:ascii="Abo-thar" w:hAnsi="Abo-thar" w:hint="cs"/>
          <w:sz w:val="28"/>
          <w:rtl/>
          <w:lang w:bidi="ar-SY"/>
        </w:rPr>
        <w:t>:</w:t>
      </w:r>
    </w:p>
    <w:p w:rsidR="005C664D" w:rsidRPr="003F3B94" w:rsidRDefault="005C664D" w:rsidP="003F3B94">
      <w:pPr>
        <w:pStyle w:val="a0"/>
        <w:rPr>
          <w:rFonts w:hint="cs"/>
          <w:rtl/>
          <w:lang w:bidi="ar-SY"/>
        </w:rPr>
      </w:pPr>
      <w:r w:rsidRPr="003F3B94">
        <w:rPr>
          <w:rFonts w:ascii="Abo-thar" w:hAnsi="Abo-thar" w:hint="cs"/>
          <w:sz w:val="28"/>
          <w:rtl/>
          <w:lang w:bidi="ar-SY"/>
        </w:rPr>
        <w:t>1</w:t>
      </w:r>
      <w:r w:rsidR="00217AB4" w:rsidRPr="003F3B94">
        <w:rPr>
          <w:rFonts w:ascii="Abo-thar" w:hAnsi="Abo-thar" w:hint="cs"/>
          <w:sz w:val="28"/>
          <w:rtl/>
          <w:lang w:bidi="ar-SY"/>
        </w:rPr>
        <w:t>-</w:t>
      </w:r>
      <w:r w:rsidRPr="003F3B94">
        <w:rPr>
          <w:rFonts w:ascii="Abo-thar" w:hAnsi="Abo-thar" w:hint="cs"/>
          <w:sz w:val="28"/>
          <w:rtl/>
          <w:lang w:bidi="ar-SY"/>
        </w:rPr>
        <w:t xml:space="preserve"> </w:t>
      </w:r>
      <w:r w:rsidRPr="00BC4BA9">
        <w:rPr>
          <w:rFonts w:ascii="Abo-thar" w:hAnsi="Abo-thar" w:cs="KFGQPC Uthman Taha Naskh"/>
          <w:sz w:val="28"/>
          <w:rtl/>
          <w:lang w:bidi="ar-SY"/>
        </w:rPr>
        <w:t>عَنْ عَبْدِ اللهِ بْنِ سِنَانٍ قَالَ</w:t>
      </w:r>
      <w:r w:rsidR="00217AB4" w:rsidRPr="00BC4BA9">
        <w:rPr>
          <w:rFonts w:ascii="Abo-thar" w:hAnsi="Abo-thar" w:cs="KFGQPC Uthman Taha Naskh" w:hint="cs"/>
          <w:sz w:val="28"/>
          <w:rtl/>
          <w:lang w:bidi="ar-SY"/>
        </w:rPr>
        <w:t>:</w:t>
      </w:r>
      <w:r w:rsidRPr="00BC4BA9">
        <w:rPr>
          <w:rFonts w:ascii="Abo-thar" w:hAnsi="Abo-thar" w:cs="KFGQPC Uthman Taha Naskh"/>
          <w:sz w:val="28"/>
          <w:rtl/>
          <w:lang w:bidi="ar-SY"/>
        </w:rPr>
        <w:t xml:space="preserve"> </w:t>
      </w:r>
      <w:r w:rsidRPr="00BC4BA9">
        <w:rPr>
          <w:rFonts w:ascii="Abo-thar" w:hAnsi="Abo-thar" w:cs="KFGQPC Uthman Taha Naskh"/>
          <w:b/>
          <w:bCs/>
          <w:sz w:val="28"/>
          <w:rtl/>
          <w:lang w:bidi="ar-SY"/>
        </w:rPr>
        <w:t xml:space="preserve">سَمِعْتُ أَبَا عَبْدِ اللهِ </w:t>
      </w:r>
      <w:r w:rsidR="00BC4BA9" w:rsidRPr="00BC4BA9">
        <w:rPr>
          <w:rFonts w:ascii="Abo-thar" w:hAnsi="Abo-thar" w:cs="CTraditional Arabic"/>
          <w:b/>
          <w:sz w:val="28"/>
          <w:rtl/>
          <w:lang w:bidi="ar-SY"/>
        </w:rPr>
        <w:t>÷</w:t>
      </w:r>
      <w:r w:rsidRPr="003F3B94">
        <w:rPr>
          <w:rFonts w:ascii="Abo-thar" w:hAnsi="Abo-thar"/>
          <w:b/>
          <w:bCs/>
          <w:sz w:val="28"/>
          <w:rtl/>
          <w:lang w:bidi="ar-SY"/>
        </w:rPr>
        <w:t xml:space="preserve"> </w:t>
      </w:r>
      <w:r w:rsidRPr="00BC4BA9">
        <w:rPr>
          <w:rFonts w:ascii="Abo-thar" w:hAnsi="Abo-thar" w:cs="KFGQPC Uthman Taha Naskh"/>
          <w:b/>
          <w:bCs/>
          <w:sz w:val="28"/>
          <w:rtl/>
          <w:lang w:bidi="ar-SY"/>
        </w:rPr>
        <w:t>يَقُولُ</w:t>
      </w:r>
      <w:r w:rsidR="00217AB4" w:rsidRPr="00BC4BA9">
        <w:rPr>
          <w:rFonts w:ascii="Abo-thar" w:hAnsi="Abo-thar" w:cs="KFGQPC Uthman Taha Naskh" w:hint="cs"/>
          <w:b/>
          <w:bCs/>
          <w:sz w:val="28"/>
          <w:rtl/>
          <w:lang w:bidi="ar-SY"/>
        </w:rPr>
        <w:t>:</w:t>
      </w:r>
      <w:r w:rsidRPr="00BC4BA9">
        <w:rPr>
          <w:rFonts w:ascii="Abo-thar" w:hAnsi="Abo-thar" w:cs="KFGQPC Uthman Taha Naskh"/>
          <w:b/>
          <w:bCs/>
          <w:sz w:val="28"/>
          <w:rtl/>
          <w:lang w:bidi="ar-SY"/>
        </w:rPr>
        <w:t xml:space="preserve"> </w:t>
      </w:r>
      <w:r w:rsidR="00B31118">
        <w:rPr>
          <w:rFonts w:ascii="Abo-thar" w:hAnsi="Abo-thar" w:cs="KFGQPC Uthman Taha Naskh" w:hint="cs"/>
          <w:b/>
          <w:bCs/>
          <w:sz w:val="28"/>
          <w:rtl/>
          <w:lang w:bidi="ar-SY"/>
        </w:rPr>
        <w:t>«</w:t>
      </w:r>
      <w:r w:rsidRPr="00BC4BA9">
        <w:rPr>
          <w:rFonts w:ascii="Abo-thar" w:hAnsi="Abo-thar" w:cs="KFGQPC Uthman Taha Naskh"/>
          <w:b/>
          <w:bCs/>
          <w:sz w:val="28"/>
          <w:rtl/>
          <w:lang w:bidi="ar-SY"/>
        </w:rPr>
        <w:t>لَيْسَ الخُمُسُ إِلَّا فِي الْغَنَائِمِ خَاصَّة</w:t>
      </w:r>
      <w:r w:rsidR="00B31118">
        <w:rPr>
          <w:rFonts w:ascii="Abo-thar" w:hAnsi="Abo-thar" w:cs="KFGQPC Uthman Taha Naskh" w:hint="cs"/>
          <w:b/>
          <w:bCs/>
          <w:sz w:val="28"/>
          <w:rtl/>
          <w:lang w:bidi="ar-SY"/>
        </w:rPr>
        <w:t>»</w:t>
      </w:r>
      <w:r w:rsidR="00217AB4" w:rsidRPr="0021507A">
        <w:rPr>
          <w:rFonts w:cs="Arabic11 BT"/>
          <w:b/>
          <w:sz w:val="28"/>
          <w:vertAlign w:val="superscript"/>
          <w:rtl/>
          <w:lang w:bidi="ar-SY"/>
        </w:rPr>
        <w:t>(</w:t>
      </w:r>
      <w:r w:rsidRPr="0021507A">
        <w:rPr>
          <w:rStyle w:val="FootnoteReference"/>
          <w:rFonts w:cs="Arabic11 BT"/>
          <w:b/>
          <w:sz w:val="28"/>
          <w:rtl/>
          <w:lang w:bidi="ar-SY"/>
        </w:rPr>
        <w:footnoteReference w:id="224"/>
      </w:r>
      <w:r w:rsidR="00217AB4" w:rsidRPr="0021507A">
        <w:rPr>
          <w:rFonts w:cs="Arabic11 BT"/>
          <w:b/>
          <w:sz w:val="28"/>
          <w:vertAlign w:val="superscript"/>
          <w:rtl/>
          <w:lang w:bidi="ar-SY"/>
        </w:rPr>
        <w:t>)</w:t>
      </w:r>
      <w:r w:rsidR="00217AB4" w:rsidRPr="003F3B94">
        <w:rPr>
          <w:rFonts w:ascii="Abo-thar" w:hAnsi="Abo-thar" w:hint="cs"/>
          <w:sz w:val="28"/>
          <w:rtl/>
          <w:lang w:bidi="ar-SY"/>
        </w:rPr>
        <w:t>.</w:t>
      </w:r>
    </w:p>
    <w:p w:rsidR="005C664D" w:rsidRPr="003F3B94" w:rsidRDefault="005C664D" w:rsidP="00B31118">
      <w:pPr>
        <w:pStyle w:val="a0"/>
        <w:rPr>
          <w:rFonts w:hint="cs"/>
          <w:rtl/>
          <w:lang w:bidi="ar-SY"/>
        </w:rPr>
      </w:pPr>
      <w:r w:rsidRPr="003F3B94">
        <w:rPr>
          <w:rFonts w:ascii="Abo-thar" w:hAnsi="Abo-thar" w:hint="cs"/>
          <w:sz w:val="28"/>
          <w:rtl/>
          <w:lang w:bidi="ar-SY"/>
        </w:rPr>
        <w:t>2</w:t>
      </w:r>
      <w:r w:rsidR="00217AB4" w:rsidRPr="003F3B94">
        <w:rPr>
          <w:rFonts w:ascii="Abo-thar" w:hAnsi="Abo-thar" w:hint="cs"/>
          <w:sz w:val="28"/>
          <w:rtl/>
          <w:lang w:bidi="ar-SY"/>
        </w:rPr>
        <w:t>-</w:t>
      </w:r>
      <w:r w:rsidRPr="003F3B94">
        <w:rPr>
          <w:rFonts w:ascii="Abo-thar" w:hAnsi="Abo-thar" w:hint="cs"/>
          <w:sz w:val="28"/>
          <w:rtl/>
          <w:lang w:bidi="ar-SY"/>
        </w:rPr>
        <w:t xml:space="preserve"> </w:t>
      </w:r>
      <w:r w:rsidRPr="00B31118">
        <w:rPr>
          <w:rFonts w:ascii="Abo-thar" w:hAnsi="Abo-thar"/>
          <w:sz w:val="28"/>
          <w:rtl/>
          <w:lang w:bidi="ar-SY"/>
        </w:rPr>
        <w:t>فِي تَفْسِيرِ</w:t>
      </w:r>
      <w:r w:rsidRPr="00B31118">
        <w:rPr>
          <w:rFonts w:ascii="Abo-thar" w:hAnsi="Abo-thar" w:hint="cs"/>
          <w:sz w:val="28"/>
          <w:rtl/>
          <w:lang w:bidi="ar-SY"/>
        </w:rPr>
        <w:t xml:space="preserve"> ا</w:t>
      </w:r>
      <w:r w:rsidRPr="00B31118">
        <w:rPr>
          <w:rFonts w:ascii="Abo-thar" w:hAnsi="Abo-thar"/>
          <w:sz w:val="28"/>
          <w:rtl/>
          <w:lang w:bidi="ar-SY"/>
        </w:rPr>
        <w:t>لْعَيَّاشِيّ</w:t>
      </w:r>
      <w:r w:rsidRPr="00B31118">
        <w:rPr>
          <w:rFonts w:ascii="Abo-thar" w:hAnsi="Abo-thar" w:hint="cs"/>
          <w:sz w:val="28"/>
          <w:rtl/>
          <w:lang w:bidi="ar-SY"/>
        </w:rPr>
        <w:t>ِ</w:t>
      </w:r>
      <w:r w:rsidRPr="00B31118">
        <w:rPr>
          <w:rFonts w:ascii="Abo-thar" w:hAnsi="Abo-thar"/>
          <w:sz w:val="28"/>
          <w:rtl/>
          <w:lang w:bidi="ar-SY"/>
        </w:rPr>
        <w:t xml:space="preserve"> </w:t>
      </w:r>
      <w:r w:rsidR="00217AB4" w:rsidRPr="00B31118">
        <w:rPr>
          <w:rFonts w:ascii="Abo-thar" w:hAnsi="Abo-thar" w:hint="cs"/>
          <w:sz w:val="28"/>
          <w:rtl/>
          <w:lang w:bidi="ar-SY"/>
        </w:rPr>
        <w:t>(</w:t>
      </w:r>
      <w:r w:rsidRPr="003F3B94">
        <w:rPr>
          <w:rFonts w:ascii="Abo-thar" w:hAnsi="Abo-thar" w:hint="cs"/>
          <w:sz w:val="28"/>
          <w:rtl/>
          <w:lang w:bidi="ar-SY"/>
        </w:rPr>
        <w:t>ج2</w:t>
      </w:r>
      <w:r w:rsidR="00920257" w:rsidRPr="003F3B94">
        <w:rPr>
          <w:rFonts w:ascii="Abo-thar" w:hAnsi="Abo-thar" w:hint="cs"/>
          <w:sz w:val="28"/>
          <w:rtl/>
          <w:lang w:bidi="ar-SY"/>
        </w:rPr>
        <w:t xml:space="preserve">، </w:t>
      </w:r>
      <w:r w:rsidRPr="003F3B94">
        <w:rPr>
          <w:rFonts w:ascii="Abo-thar" w:hAnsi="Abo-thar" w:hint="cs"/>
          <w:sz w:val="28"/>
          <w:rtl/>
          <w:lang w:bidi="ar-SY"/>
        </w:rPr>
        <w:t>ص62</w:t>
      </w:r>
      <w:r w:rsidR="00217AB4" w:rsidRPr="003F3B94">
        <w:rPr>
          <w:rFonts w:ascii="Abo-thar" w:hAnsi="Abo-thar" w:hint="cs"/>
          <w:sz w:val="28"/>
          <w:rtl/>
          <w:lang w:bidi="ar-SY"/>
        </w:rPr>
        <w:t>)....</w:t>
      </w:r>
      <w:r w:rsidRPr="003F3B94">
        <w:rPr>
          <w:rFonts w:ascii="Abo-thar" w:hAnsi="Abo-thar" w:hint="cs"/>
          <w:sz w:val="28"/>
          <w:rtl/>
          <w:lang w:bidi="ar-SY"/>
        </w:rPr>
        <w:t xml:space="preserve"> </w:t>
      </w:r>
      <w:r w:rsidRPr="00BC4BA9">
        <w:rPr>
          <w:rFonts w:ascii="Abo-thar" w:hAnsi="Abo-thar" w:cs="KFGQPC Uthman Taha Naskh"/>
          <w:b/>
          <w:bCs/>
          <w:sz w:val="28"/>
          <w:rtl/>
          <w:lang w:bidi="ar-SY"/>
        </w:rPr>
        <w:t>عَنْ سَمَاعَةَ عَنْ أَبِي عَبْدِ اللهِ وأَبِي الحَسَنِ</w:t>
      </w:r>
      <w:r w:rsidRPr="003F3B94">
        <w:rPr>
          <w:rFonts w:ascii="Abo-thar" w:hAnsi="Abo-thar"/>
          <w:b/>
          <w:bCs/>
          <w:sz w:val="28"/>
          <w:rtl/>
          <w:lang w:bidi="ar-SY"/>
        </w:rPr>
        <w:t xml:space="preserve"> </w:t>
      </w:r>
      <w:r w:rsidR="00BC4BA9" w:rsidRPr="00BC4BA9">
        <w:rPr>
          <w:rFonts w:ascii="Abo-thar" w:hAnsi="Abo-thar" w:cs="CTraditional Arabic"/>
          <w:b/>
          <w:sz w:val="28"/>
          <w:rtl/>
          <w:lang w:bidi="ar-SY"/>
        </w:rPr>
        <w:t>÷</w:t>
      </w:r>
      <w:r w:rsidRPr="003F3B94">
        <w:rPr>
          <w:rFonts w:ascii="Abo-thar" w:hAnsi="Abo-thar"/>
          <w:b/>
          <w:bCs/>
          <w:sz w:val="28"/>
          <w:rtl/>
          <w:lang w:bidi="ar-SY"/>
        </w:rPr>
        <w:t xml:space="preserve"> </w:t>
      </w:r>
      <w:r w:rsidRPr="00BC4BA9">
        <w:rPr>
          <w:rFonts w:ascii="Abo-thar" w:hAnsi="Abo-thar" w:cs="KFGQPC Uthman Taha Naskh"/>
          <w:b/>
          <w:bCs/>
          <w:sz w:val="28"/>
          <w:rtl/>
          <w:lang w:bidi="ar-SY"/>
        </w:rPr>
        <w:t>قَالَ</w:t>
      </w:r>
      <w:r w:rsidR="00217AB4" w:rsidRPr="00BC4BA9">
        <w:rPr>
          <w:rFonts w:ascii="Abo-thar" w:hAnsi="Abo-thar" w:cs="KFGQPC Uthman Taha Naskh" w:hint="cs"/>
          <w:b/>
          <w:bCs/>
          <w:sz w:val="28"/>
          <w:rtl/>
          <w:lang w:bidi="ar-SY"/>
        </w:rPr>
        <w:t>:</w:t>
      </w:r>
      <w:r w:rsidRPr="00BC4BA9">
        <w:rPr>
          <w:rFonts w:ascii="Abo-thar" w:hAnsi="Abo-thar" w:cs="KFGQPC Uthman Taha Naskh"/>
          <w:b/>
          <w:bCs/>
          <w:sz w:val="28"/>
          <w:rtl/>
          <w:lang w:bidi="ar-SY"/>
        </w:rPr>
        <w:t xml:space="preserve"> سَأَلْتُ أَحَدَهُمَا عَنِ الخُمُسِ فَقَالَ</w:t>
      </w:r>
      <w:r w:rsidR="00217AB4" w:rsidRPr="00BC4BA9">
        <w:rPr>
          <w:rFonts w:ascii="Abo-thar" w:hAnsi="Abo-thar" w:cs="KFGQPC Uthman Taha Naskh" w:hint="cs"/>
          <w:b/>
          <w:bCs/>
          <w:sz w:val="28"/>
          <w:rtl/>
          <w:lang w:bidi="ar-SY"/>
        </w:rPr>
        <w:t>:</w:t>
      </w:r>
      <w:r w:rsidRPr="00BC4BA9">
        <w:rPr>
          <w:rFonts w:ascii="Abo-thar" w:hAnsi="Abo-thar" w:cs="KFGQPC Uthman Taha Naskh"/>
          <w:b/>
          <w:bCs/>
          <w:sz w:val="28"/>
          <w:rtl/>
          <w:lang w:bidi="ar-SY"/>
        </w:rPr>
        <w:t xml:space="preserve"> </w:t>
      </w:r>
      <w:r w:rsidR="00B31118">
        <w:rPr>
          <w:rFonts w:ascii="Abo-thar" w:hAnsi="Abo-thar" w:cs="KFGQPC Uthman Taha Naskh" w:hint="cs"/>
          <w:b/>
          <w:bCs/>
          <w:sz w:val="28"/>
          <w:rtl/>
          <w:lang w:bidi="ar-SY"/>
        </w:rPr>
        <w:t>«</w:t>
      </w:r>
      <w:r w:rsidRPr="00BC4BA9">
        <w:rPr>
          <w:rFonts w:ascii="Abo-thar" w:hAnsi="Abo-thar" w:cs="KFGQPC Uthman Taha Naskh"/>
          <w:b/>
          <w:bCs/>
          <w:sz w:val="28"/>
          <w:rtl/>
          <w:lang w:bidi="ar-SY"/>
        </w:rPr>
        <w:t>لَيْسَ الخُمُسُ إِلَّا فِي الْغَنَائِمِ</w:t>
      </w:r>
      <w:r w:rsidR="00B31118">
        <w:rPr>
          <w:rFonts w:ascii="Abo-thar" w:hAnsi="Abo-thar" w:cs="KFGQPC Uthman Taha Naskh" w:hint="cs"/>
          <w:b/>
          <w:bCs/>
          <w:sz w:val="28"/>
          <w:rtl/>
          <w:lang w:bidi="ar-SY"/>
        </w:rPr>
        <w:t>»</w:t>
      </w:r>
      <w:r w:rsidR="00217AB4" w:rsidRPr="003F3B94">
        <w:rPr>
          <w:rFonts w:ascii="Abo-thar" w:hAnsi="Abo-thar" w:hint="cs"/>
          <w:sz w:val="28"/>
          <w:rtl/>
          <w:lang w:bidi="ar-SY"/>
        </w:rPr>
        <w:t>.</w:t>
      </w:r>
      <w:r w:rsidRPr="003F3B94">
        <w:rPr>
          <w:rFonts w:ascii="Abo-thar" w:hAnsi="Abo-thar" w:hint="cs"/>
          <w:sz w:val="28"/>
          <w:rtl/>
          <w:lang w:bidi="ar-SY"/>
        </w:rPr>
        <w:t xml:space="preserve"> </w:t>
      </w:r>
    </w:p>
    <w:p w:rsidR="005C664D" w:rsidRPr="00995B26" w:rsidRDefault="005C664D" w:rsidP="003F3B94">
      <w:pPr>
        <w:pStyle w:val="a0"/>
        <w:rPr>
          <w:rFonts w:hint="cs"/>
          <w:rtl/>
          <w:lang w:bidi="ar-SY"/>
        </w:rPr>
      </w:pPr>
      <w:r w:rsidRPr="003F3B94">
        <w:rPr>
          <w:rFonts w:ascii="Abo-thar" w:hAnsi="Abo-thar" w:hint="cs"/>
          <w:sz w:val="28"/>
          <w:rtl/>
          <w:lang w:bidi="ar-SY"/>
        </w:rPr>
        <w:t>ومضمون هذين الحديثين يفيد أن الخُمس يؤخذ من غنائم الحرب فقط حيث نزلت آية</w:t>
      </w:r>
      <w:r w:rsidR="001D15C4" w:rsidRPr="003F3B94">
        <w:rPr>
          <w:rFonts w:ascii="Abo-thar" w:hAnsi="Abo-thar" w:hint="cs"/>
          <w:sz w:val="28"/>
          <w:rtl/>
          <w:lang w:bidi="ar-SY"/>
        </w:rPr>
        <w:t xml:space="preserve"> </w:t>
      </w:r>
      <w:r w:rsidRPr="003F3B94">
        <w:rPr>
          <w:rFonts w:ascii="Abo-thar" w:hAnsi="Abo-thar"/>
          <w:sz w:val="28"/>
          <w:rtl/>
          <w:lang w:bidi="ar-SY"/>
        </w:rPr>
        <w:t>﴿</w:t>
      </w:r>
      <w:r w:rsidR="001D15C4" w:rsidRPr="0067048A">
        <w:rPr>
          <w:rFonts w:ascii="KFGQPC Uthmanic Script HAFS" w:cs="KFGQPC Uthmanic Script HAFS" w:hint="cs"/>
          <w:sz w:val="28"/>
          <w:szCs w:val="28"/>
          <w:rtl/>
        </w:rPr>
        <w:t>۞</w:t>
      </w:r>
      <w:r w:rsidR="001D15C4" w:rsidRPr="0067048A">
        <w:rPr>
          <w:rFonts w:ascii="KFGQPC Uthmanic Script HAFS" w:cs="KFGQPC Uthmanic Script HAFS" w:hint="eastAsia"/>
          <w:sz w:val="28"/>
          <w:szCs w:val="28"/>
          <w:rtl/>
        </w:rPr>
        <w:t>وَ</w:t>
      </w:r>
      <w:r w:rsidR="001D15C4" w:rsidRPr="0067048A">
        <w:rPr>
          <w:rFonts w:ascii="KFGQPC Uthmanic Script HAFS" w:cs="KFGQPC Uthmanic Script HAFS" w:hint="cs"/>
          <w:sz w:val="28"/>
          <w:szCs w:val="28"/>
          <w:rtl/>
        </w:rPr>
        <w:t>ٱ</w:t>
      </w:r>
      <w:r w:rsidR="001D15C4" w:rsidRPr="0067048A">
        <w:rPr>
          <w:rFonts w:ascii="KFGQPC Uthmanic Script HAFS" w:cs="KFGQPC Uthmanic Script HAFS" w:hint="eastAsia"/>
          <w:sz w:val="28"/>
          <w:szCs w:val="28"/>
          <w:rtl/>
        </w:rPr>
        <w:t>ع</w:t>
      </w:r>
      <w:r w:rsidR="001D15C4" w:rsidRPr="0067048A">
        <w:rPr>
          <w:rFonts w:ascii="KFGQPC Uthmanic Script HAFS" w:cs="KFGQPC Uthmanic Script HAFS" w:hint="cs"/>
          <w:sz w:val="28"/>
          <w:szCs w:val="28"/>
          <w:rtl/>
        </w:rPr>
        <w:t>ۡ</w:t>
      </w:r>
      <w:r w:rsidR="001D15C4" w:rsidRPr="0067048A">
        <w:rPr>
          <w:rFonts w:ascii="KFGQPC Uthmanic Script HAFS" w:cs="KFGQPC Uthmanic Script HAFS" w:hint="eastAsia"/>
          <w:sz w:val="28"/>
          <w:szCs w:val="28"/>
          <w:rtl/>
        </w:rPr>
        <w:t>لَمُو</w:t>
      </w:r>
      <w:r w:rsidR="001D15C4" w:rsidRPr="0067048A">
        <w:rPr>
          <w:rFonts w:ascii="KFGQPC Uthmanic Script HAFS" w:cs="KFGQPC Uthmanic Script HAFS" w:hint="cs"/>
          <w:sz w:val="28"/>
          <w:szCs w:val="28"/>
          <w:rtl/>
        </w:rPr>
        <w:t>ٓ</w:t>
      </w:r>
      <w:r w:rsidR="001D15C4" w:rsidRPr="0067048A">
        <w:rPr>
          <w:rFonts w:ascii="KFGQPC Uthmanic Script HAFS" w:cs="KFGQPC Uthmanic Script HAFS" w:hint="eastAsia"/>
          <w:sz w:val="28"/>
          <w:szCs w:val="28"/>
          <w:rtl/>
        </w:rPr>
        <w:t>اْ</w:t>
      </w:r>
      <w:r w:rsidR="001D15C4" w:rsidRPr="0067048A">
        <w:rPr>
          <w:rFonts w:ascii="KFGQPC Uthmanic Script HAFS" w:cs="KFGQPC Uthmanic Script HAFS"/>
          <w:sz w:val="28"/>
          <w:szCs w:val="28"/>
          <w:rtl/>
        </w:rPr>
        <w:t xml:space="preserve"> </w:t>
      </w:r>
      <w:r w:rsidR="001D15C4" w:rsidRPr="0067048A">
        <w:rPr>
          <w:rFonts w:ascii="KFGQPC Uthmanic Script HAFS" w:cs="KFGQPC Uthmanic Script HAFS" w:hint="eastAsia"/>
          <w:sz w:val="28"/>
          <w:szCs w:val="28"/>
          <w:rtl/>
        </w:rPr>
        <w:t>أَنَّمَا</w:t>
      </w:r>
      <w:r w:rsidR="001D15C4" w:rsidRPr="0067048A">
        <w:rPr>
          <w:rFonts w:ascii="KFGQPC Uthmanic Script HAFS" w:cs="KFGQPC Uthmanic Script HAFS"/>
          <w:sz w:val="28"/>
          <w:szCs w:val="28"/>
          <w:rtl/>
        </w:rPr>
        <w:t xml:space="preserve"> </w:t>
      </w:r>
      <w:r w:rsidR="001D15C4" w:rsidRPr="0067048A">
        <w:rPr>
          <w:rFonts w:ascii="KFGQPC Uthmanic Script HAFS" w:cs="KFGQPC Uthmanic Script HAFS" w:hint="eastAsia"/>
          <w:sz w:val="28"/>
          <w:szCs w:val="28"/>
          <w:rtl/>
        </w:rPr>
        <w:t>غَنِم</w:t>
      </w:r>
      <w:r w:rsidR="001D15C4" w:rsidRPr="0067048A">
        <w:rPr>
          <w:rFonts w:ascii="KFGQPC Uthmanic Script HAFS" w:cs="KFGQPC Uthmanic Script HAFS" w:hint="cs"/>
          <w:sz w:val="28"/>
          <w:szCs w:val="28"/>
          <w:rtl/>
        </w:rPr>
        <w:t>ۡ</w:t>
      </w:r>
      <w:r w:rsidR="001D15C4" w:rsidRPr="0067048A">
        <w:rPr>
          <w:rFonts w:ascii="KFGQPC Uthmanic Script HAFS" w:cs="KFGQPC Uthmanic Script HAFS" w:hint="eastAsia"/>
          <w:sz w:val="28"/>
          <w:szCs w:val="28"/>
          <w:rtl/>
        </w:rPr>
        <w:t>تُم</w:t>
      </w:r>
      <w:r w:rsidR="001D15C4" w:rsidRPr="0067048A">
        <w:rPr>
          <w:rFonts w:ascii="KFGQPC Uthmanic Script HAFS" w:cs="KFGQPC Uthmanic Script HAFS"/>
          <w:sz w:val="28"/>
          <w:szCs w:val="28"/>
          <w:rtl/>
        </w:rPr>
        <w:t xml:space="preserve"> </w:t>
      </w:r>
      <w:r w:rsidR="001D15C4" w:rsidRPr="0067048A">
        <w:rPr>
          <w:rFonts w:ascii="KFGQPC Uthmanic Script HAFS" w:cs="KFGQPC Uthmanic Script HAFS" w:hint="eastAsia"/>
          <w:sz w:val="28"/>
          <w:szCs w:val="28"/>
          <w:rtl/>
        </w:rPr>
        <w:t>مِّن</w:t>
      </w:r>
      <w:r w:rsidR="001D15C4" w:rsidRPr="0067048A">
        <w:rPr>
          <w:rFonts w:ascii="KFGQPC Uthmanic Script HAFS" w:cs="KFGQPC Uthmanic Script HAFS"/>
          <w:sz w:val="28"/>
          <w:szCs w:val="28"/>
          <w:rtl/>
        </w:rPr>
        <w:t xml:space="preserve"> </w:t>
      </w:r>
      <w:r w:rsidR="001D15C4" w:rsidRPr="0067048A">
        <w:rPr>
          <w:rFonts w:ascii="KFGQPC Uthmanic Script HAFS" w:cs="KFGQPC Uthmanic Script HAFS" w:hint="eastAsia"/>
          <w:sz w:val="28"/>
          <w:szCs w:val="28"/>
          <w:rtl/>
        </w:rPr>
        <w:t>شَي</w:t>
      </w:r>
      <w:r w:rsidR="001D15C4" w:rsidRPr="0067048A">
        <w:rPr>
          <w:rFonts w:ascii="KFGQPC Uthmanic Script HAFS" w:cs="KFGQPC Uthmanic Script HAFS" w:hint="cs"/>
          <w:sz w:val="28"/>
          <w:szCs w:val="28"/>
          <w:rtl/>
        </w:rPr>
        <w:t>ۡ</w:t>
      </w:r>
      <w:r w:rsidR="001D15C4" w:rsidRPr="0067048A">
        <w:rPr>
          <w:rFonts w:ascii="KFGQPC Uthmanic Script HAFS" w:cs="KFGQPC Uthmanic Script HAFS" w:hint="eastAsia"/>
          <w:sz w:val="28"/>
          <w:szCs w:val="28"/>
          <w:rtl/>
        </w:rPr>
        <w:t>ء</w:t>
      </w:r>
      <w:r w:rsidR="001D15C4" w:rsidRPr="0067048A">
        <w:rPr>
          <w:rFonts w:ascii="KFGQPC Uthmanic Script HAFS" w:cs="KFGQPC Uthmanic Script HAFS" w:hint="cs"/>
          <w:sz w:val="28"/>
          <w:szCs w:val="28"/>
          <w:rtl/>
        </w:rPr>
        <w:t>ٖ</w:t>
      </w:r>
      <w:r w:rsidR="001D15C4" w:rsidRPr="0067048A">
        <w:rPr>
          <w:rFonts w:ascii="KFGQPC Uthmanic Script HAFS" w:cs="KFGQPC Uthmanic Script HAFS"/>
          <w:sz w:val="28"/>
          <w:szCs w:val="28"/>
          <w:rtl/>
        </w:rPr>
        <w:t xml:space="preserve"> </w:t>
      </w:r>
      <w:r w:rsidR="001D15C4" w:rsidRPr="0067048A">
        <w:rPr>
          <w:rFonts w:ascii="KFGQPC Uthmanic Script HAFS" w:cs="KFGQPC Uthmanic Script HAFS" w:hint="eastAsia"/>
          <w:sz w:val="28"/>
          <w:szCs w:val="28"/>
          <w:rtl/>
        </w:rPr>
        <w:t>فَأَنَّ</w:t>
      </w:r>
      <w:r w:rsidR="001D15C4" w:rsidRPr="0067048A">
        <w:rPr>
          <w:rFonts w:ascii="KFGQPC Uthmanic Script HAFS" w:cs="KFGQPC Uthmanic Script HAFS"/>
          <w:sz w:val="28"/>
          <w:szCs w:val="28"/>
          <w:rtl/>
        </w:rPr>
        <w:t xml:space="preserve"> </w:t>
      </w:r>
      <w:r w:rsidR="001D15C4" w:rsidRPr="0067048A">
        <w:rPr>
          <w:rFonts w:ascii="KFGQPC Uthmanic Script HAFS" w:cs="KFGQPC Uthmanic Script HAFS" w:hint="eastAsia"/>
          <w:sz w:val="28"/>
          <w:szCs w:val="28"/>
          <w:rtl/>
        </w:rPr>
        <w:t>لِلَّهِ</w:t>
      </w:r>
      <w:r w:rsidR="001D15C4" w:rsidRPr="0067048A">
        <w:rPr>
          <w:rFonts w:ascii="KFGQPC Uthmanic Script HAFS" w:cs="KFGQPC Uthmanic Script HAFS"/>
          <w:sz w:val="28"/>
          <w:szCs w:val="28"/>
          <w:rtl/>
        </w:rPr>
        <w:t xml:space="preserve"> </w:t>
      </w:r>
      <w:r w:rsidR="001D15C4" w:rsidRPr="0067048A">
        <w:rPr>
          <w:rFonts w:ascii="KFGQPC Uthmanic Script HAFS" w:cs="KFGQPC Uthmanic Script HAFS" w:hint="eastAsia"/>
          <w:sz w:val="28"/>
          <w:szCs w:val="28"/>
          <w:rtl/>
        </w:rPr>
        <w:t>خُمُسَهُ</w:t>
      </w:r>
      <w:r w:rsidR="001D15C4" w:rsidRPr="0067048A">
        <w:rPr>
          <w:rFonts w:ascii="KFGQPC Uthmanic Script HAFS" w:cs="KFGQPC Uthmanic Script HAFS" w:hint="cs"/>
          <w:sz w:val="28"/>
          <w:szCs w:val="28"/>
          <w:rtl/>
        </w:rPr>
        <w:t>ۥ</w:t>
      </w:r>
      <w:r w:rsidR="00217AB4" w:rsidRPr="00995B26">
        <w:rPr>
          <w:rFonts w:ascii="Abo-thar" w:hAnsi="Abo-thar" w:hint="cs"/>
          <w:sz w:val="28"/>
          <w:rtl/>
          <w:lang w:bidi="ar-SY"/>
        </w:rPr>
        <w:t>...</w:t>
      </w:r>
      <w:r w:rsidRPr="00995B26">
        <w:rPr>
          <w:rFonts w:ascii="Abo-thar" w:hAnsi="Abo-thar"/>
          <w:sz w:val="28"/>
          <w:rtl/>
          <w:lang w:bidi="ar-SY"/>
        </w:rPr>
        <w:t>﴾</w:t>
      </w:r>
      <w:r w:rsidRPr="00995B26">
        <w:rPr>
          <w:rFonts w:ascii="Abo-thar" w:hAnsi="Abo-thar" w:hint="cs"/>
          <w:sz w:val="28"/>
          <w:rtl/>
          <w:lang w:bidi="ar-SY"/>
        </w:rPr>
        <w:t xml:space="preserve"> في السنة الثانية للهجرة</w:t>
      </w:r>
      <w:r w:rsidR="00147857" w:rsidRPr="00995B26">
        <w:rPr>
          <w:rFonts w:ascii="Abo-thar" w:hAnsi="Abo-thar" w:hint="cs"/>
          <w:sz w:val="28"/>
          <w:rtl/>
          <w:lang w:bidi="ar-SY"/>
        </w:rPr>
        <w:t xml:space="preserve"> </w:t>
      </w:r>
      <w:r w:rsidRPr="00995B26">
        <w:rPr>
          <w:rFonts w:ascii="Abo-thar" w:hAnsi="Abo-thar" w:hint="cs"/>
          <w:sz w:val="28"/>
          <w:rtl/>
          <w:lang w:bidi="ar-SY"/>
        </w:rPr>
        <w:t>في وقعة بدر كما مرّ شرحه</w:t>
      </w:r>
      <w:r w:rsidR="001E0DB7" w:rsidRPr="00995B26">
        <w:rPr>
          <w:rFonts w:ascii="Abo-thar" w:hAnsi="Abo-thar" w:hint="cs"/>
          <w:sz w:val="28"/>
          <w:rtl/>
          <w:lang w:bidi="ar-SY"/>
        </w:rPr>
        <w:t>،</w:t>
      </w:r>
      <w:r w:rsidRPr="00995B26">
        <w:rPr>
          <w:rFonts w:ascii="Abo-thar" w:hAnsi="Abo-thar" w:hint="cs"/>
          <w:sz w:val="28"/>
          <w:rtl/>
          <w:lang w:bidi="ar-SY"/>
        </w:rPr>
        <w:t xml:space="preserve"> وهذا الخُمس لا نجد أي شاهد من سيرة رسول الله</w:t>
      </w:r>
      <w:r w:rsidR="00147857" w:rsidRPr="00995B26">
        <w:rPr>
          <w:rFonts w:ascii="Abo-thar" w:hAnsi="Abo-thar" w:hint="cs"/>
          <w:sz w:val="28"/>
          <w:rtl/>
          <w:lang w:bidi="ar-SY"/>
        </w:rPr>
        <w:t xml:space="preserve"> </w:t>
      </w:r>
      <w:r w:rsidR="003C7AEB" w:rsidRPr="003C7AEB">
        <w:rPr>
          <w:rFonts w:ascii="Abo-thar" w:hAnsi="Abo-thar" w:cs="CTraditional Arabic" w:hint="cs"/>
          <w:sz w:val="28"/>
          <w:rtl/>
          <w:lang w:bidi="ar-SY"/>
        </w:rPr>
        <w:t>ص</w:t>
      </w:r>
      <w:r w:rsidR="00147857" w:rsidRPr="00995B26">
        <w:rPr>
          <w:rFonts w:ascii="Abo-thar" w:hAnsi="Abo-thar" w:hint="cs"/>
          <w:sz w:val="28"/>
          <w:rtl/>
          <w:lang w:bidi="ar-SY"/>
        </w:rPr>
        <w:t xml:space="preserve"> </w:t>
      </w:r>
      <w:r w:rsidRPr="00995B26">
        <w:rPr>
          <w:rFonts w:ascii="Abo-thar" w:hAnsi="Abo-thar" w:hint="cs"/>
          <w:sz w:val="28"/>
          <w:rtl/>
          <w:lang w:bidi="ar-SY"/>
        </w:rPr>
        <w:t>يدلّ على أن حضرته كان يختصّ أقرباءه به ويميّزهم عن غيرهم بإعطائهم منه</w:t>
      </w:r>
      <w:r w:rsidR="001E0DB7" w:rsidRPr="00995B26">
        <w:rPr>
          <w:rFonts w:ascii="Abo-thar" w:hAnsi="Abo-thar" w:hint="cs"/>
          <w:sz w:val="28"/>
          <w:rtl/>
          <w:lang w:bidi="ar-SY"/>
        </w:rPr>
        <w:t>،</w:t>
      </w:r>
      <w:r w:rsidRPr="00995B26">
        <w:rPr>
          <w:rFonts w:ascii="Abo-thar" w:hAnsi="Abo-thar" w:hint="cs"/>
          <w:sz w:val="28"/>
          <w:rtl/>
          <w:lang w:bidi="ar-SY"/>
        </w:rPr>
        <w:t xml:space="preserve"> هذا فضلاً عن أن يصل الأمر إلى اليتامى والمساكين وأبناء السبيل الذين يراد منهم يتامى شهداء الحرب وغيرهم ومساكين وأبناء السبيل من آل محمد</w:t>
      </w:r>
      <w:r w:rsidR="00147857" w:rsidRPr="00995B26">
        <w:rPr>
          <w:rFonts w:ascii="Abo-thar" w:hAnsi="Abo-thar" w:hint="cs"/>
          <w:sz w:val="28"/>
          <w:rtl/>
          <w:lang w:bidi="ar-SY"/>
        </w:rPr>
        <w:t xml:space="preserve"> </w:t>
      </w:r>
      <w:r w:rsidR="003C7AEB" w:rsidRPr="003C7AEB">
        <w:rPr>
          <w:rFonts w:ascii="Abo-thar" w:hAnsi="Abo-thar" w:cs="CTraditional Arabic" w:hint="cs"/>
          <w:sz w:val="28"/>
          <w:rtl/>
          <w:lang w:bidi="ar-SY"/>
        </w:rPr>
        <w:t>ص</w:t>
      </w:r>
      <w:r w:rsidR="00147857" w:rsidRPr="00995B26">
        <w:rPr>
          <w:rFonts w:ascii="Abo-thar" w:hAnsi="Abo-thar" w:hint="cs"/>
          <w:sz w:val="28"/>
          <w:rtl/>
          <w:lang w:bidi="ar-SY"/>
        </w:rPr>
        <w:t xml:space="preserve"> </w:t>
      </w:r>
      <w:r w:rsidRPr="00995B26">
        <w:rPr>
          <w:rFonts w:ascii="Abo-thar" w:hAnsi="Abo-thar" w:hint="cs"/>
          <w:sz w:val="28"/>
          <w:rtl/>
          <w:lang w:bidi="ar-SY"/>
        </w:rPr>
        <w:t>الذين لم يكن لهم حين نزول الآية الكريمة وجود خارجي أصلاً كما شرحنا ذلك بشكل وافٍ فيما سبق</w:t>
      </w:r>
      <w:r w:rsidR="00217AB4" w:rsidRPr="00995B26">
        <w:rPr>
          <w:rFonts w:ascii="Abo-thar" w:hAnsi="Abo-thar" w:hint="cs"/>
          <w:sz w:val="28"/>
          <w:rtl/>
          <w:lang w:bidi="ar-SY"/>
        </w:rPr>
        <w:t>.</w:t>
      </w:r>
      <w:r w:rsidRPr="00995B26">
        <w:rPr>
          <w:rFonts w:ascii="Abo-thar" w:hAnsi="Abo-thar" w:hint="cs"/>
          <w:sz w:val="28"/>
          <w:rtl/>
          <w:lang w:bidi="ar-SY"/>
        </w:rPr>
        <w:t xml:space="preserve"> </w:t>
      </w:r>
    </w:p>
    <w:p w:rsidR="005C664D" w:rsidRPr="003F3B94" w:rsidRDefault="005C664D" w:rsidP="003F3B94">
      <w:pPr>
        <w:pStyle w:val="a0"/>
        <w:rPr>
          <w:rFonts w:hint="cs"/>
          <w:rtl/>
          <w:lang w:bidi="ar-SY"/>
        </w:rPr>
      </w:pPr>
      <w:r w:rsidRPr="003F3B94">
        <w:rPr>
          <w:rFonts w:ascii="Abo-thar" w:hAnsi="Abo-thar" w:hint="cs"/>
          <w:b/>
          <w:bCs/>
          <w:sz w:val="28"/>
          <w:rtl/>
          <w:lang w:bidi="ar-SY"/>
        </w:rPr>
        <w:t>النمط الثاني</w:t>
      </w:r>
      <w:r w:rsidR="00217AB4" w:rsidRPr="003F3B94">
        <w:rPr>
          <w:rFonts w:ascii="Abo-thar" w:hAnsi="Abo-thar" w:hint="cs"/>
          <w:b/>
          <w:bCs/>
          <w:sz w:val="28"/>
          <w:rtl/>
          <w:lang w:bidi="ar-SY"/>
        </w:rPr>
        <w:t>:</w:t>
      </w:r>
      <w:r w:rsidRPr="003F3B94">
        <w:rPr>
          <w:rFonts w:ascii="Abo-thar" w:hAnsi="Abo-thar" w:hint="cs"/>
          <w:sz w:val="28"/>
          <w:rtl/>
          <w:lang w:bidi="ar-SY"/>
        </w:rPr>
        <w:t xml:space="preserve"> من الأحاديث التي يستدلُّون بها على الخُمس الذي يقولون به هي الأحاديث التي جاءت فيها كلمة </w:t>
      </w:r>
      <w:r w:rsidR="00217AB4" w:rsidRPr="003F3B94">
        <w:rPr>
          <w:rFonts w:ascii="Abo-thar" w:hAnsi="Abo-thar" w:hint="cs"/>
          <w:sz w:val="28"/>
          <w:rtl/>
          <w:lang w:bidi="ar-SY"/>
        </w:rPr>
        <w:t>(</w:t>
      </w:r>
      <w:r w:rsidRPr="003F3B94">
        <w:rPr>
          <w:rFonts w:ascii="Abo-thar" w:hAnsi="Abo-thar" w:hint="cs"/>
          <w:sz w:val="28"/>
          <w:rtl/>
          <w:lang w:bidi="ar-SY"/>
        </w:rPr>
        <w:t>الخُمس</w:t>
      </w:r>
      <w:r w:rsidR="00217AB4" w:rsidRPr="003F3B94">
        <w:rPr>
          <w:rFonts w:ascii="Abo-thar" w:hAnsi="Abo-thar" w:hint="cs"/>
          <w:sz w:val="28"/>
          <w:rtl/>
          <w:lang w:bidi="ar-SY"/>
        </w:rPr>
        <w:t>)</w:t>
      </w:r>
      <w:r w:rsidRPr="003F3B94">
        <w:rPr>
          <w:rFonts w:ascii="Abo-thar" w:hAnsi="Abo-thar" w:hint="cs"/>
          <w:sz w:val="28"/>
          <w:rtl/>
          <w:lang w:bidi="ar-SY"/>
        </w:rPr>
        <w:t xml:space="preserve"> بمعنى المقدار الواجب إخراجه </w:t>
      </w:r>
      <w:r w:rsidR="00217AB4" w:rsidRPr="003F3B94">
        <w:rPr>
          <w:rFonts w:ascii="Abo-thar" w:hAnsi="Abo-thar" w:hint="cs"/>
          <w:sz w:val="28"/>
          <w:rtl/>
          <w:lang w:bidi="ar-SY"/>
        </w:rPr>
        <w:t>(</w:t>
      </w:r>
      <w:r w:rsidRPr="003F3B94">
        <w:rPr>
          <w:rFonts w:ascii="Abo-thar" w:hAnsi="Abo-thar" w:hint="cs"/>
          <w:sz w:val="28"/>
          <w:rtl/>
          <w:lang w:bidi="ar-SY"/>
        </w:rPr>
        <w:t>أي بمعنى الكسر العدديّ المعروف</w:t>
      </w:r>
      <w:r w:rsidR="00217AB4" w:rsidRPr="003F3B94">
        <w:rPr>
          <w:rFonts w:ascii="Abo-thar" w:hAnsi="Abo-thar" w:hint="cs"/>
          <w:sz w:val="28"/>
          <w:rtl/>
          <w:lang w:bidi="ar-SY"/>
        </w:rPr>
        <w:t>)</w:t>
      </w:r>
      <w:r w:rsidRPr="003F3B94">
        <w:rPr>
          <w:rFonts w:ascii="Abo-thar" w:hAnsi="Abo-thar" w:hint="cs"/>
          <w:sz w:val="28"/>
          <w:rtl/>
          <w:lang w:bidi="ar-SY"/>
        </w:rPr>
        <w:t xml:space="preserve"> فهذه الأحاديث تحدِّدُ مقدار الزكاة في بعض الأشياء تماماً مثل كلمات </w:t>
      </w:r>
      <w:r w:rsidR="00217AB4" w:rsidRPr="003F3B94">
        <w:rPr>
          <w:rFonts w:ascii="Abo-thar" w:hAnsi="Abo-thar" w:hint="cs"/>
          <w:sz w:val="28"/>
          <w:rtl/>
          <w:lang w:bidi="ar-SY"/>
        </w:rPr>
        <w:t>(</w:t>
      </w:r>
      <w:r w:rsidRPr="003F3B94">
        <w:rPr>
          <w:rFonts w:ascii="Abo-thar" w:hAnsi="Abo-thar" w:hint="cs"/>
          <w:sz w:val="28"/>
          <w:rtl/>
          <w:lang w:bidi="ar-SY"/>
        </w:rPr>
        <w:t>العشر</w:t>
      </w:r>
      <w:r w:rsidR="00217AB4" w:rsidRPr="003F3B94">
        <w:rPr>
          <w:rFonts w:ascii="Abo-thar" w:hAnsi="Abo-thar" w:hint="cs"/>
          <w:sz w:val="28"/>
          <w:rtl/>
          <w:lang w:bidi="ar-SY"/>
        </w:rPr>
        <w:t>)</w:t>
      </w:r>
      <w:r w:rsidRPr="003F3B94">
        <w:rPr>
          <w:rFonts w:ascii="Abo-thar" w:hAnsi="Abo-thar" w:hint="cs"/>
          <w:sz w:val="28"/>
          <w:rtl/>
          <w:lang w:bidi="ar-SY"/>
        </w:rPr>
        <w:t xml:space="preserve"> أو </w:t>
      </w:r>
      <w:r w:rsidR="00217AB4" w:rsidRPr="003F3B94">
        <w:rPr>
          <w:rFonts w:ascii="Abo-thar" w:hAnsi="Abo-thar" w:hint="cs"/>
          <w:sz w:val="28"/>
          <w:rtl/>
          <w:lang w:bidi="ar-SY"/>
        </w:rPr>
        <w:t>(</w:t>
      </w:r>
      <w:r w:rsidRPr="003F3B94">
        <w:rPr>
          <w:rFonts w:ascii="Abo-thar" w:hAnsi="Abo-thar" w:hint="cs"/>
          <w:sz w:val="28"/>
          <w:rtl/>
          <w:lang w:bidi="ar-SY"/>
        </w:rPr>
        <w:t>نصف العشر</w:t>
      </w:r>
      <w:r w:rsidR="00217AB4" w:rsidRPr="003F3B94">
        <w:rPr>
          <w:rFonts w:ascii="Abo-thar" w:hAnsi="Abo-thar" w:hint="cs"/>
          <w:sz w:val="28"/>
          <w:rtl/>
          <w:lang w:bidi="ar-SY"/>
        </w:rPr>
        <w:t>)</w:t>
      </w:r>
      <w:r w:rsidRPr="003F3B94">
        <w:rPr>
          <w:rFonts w:ascii="Abo-thar" w:hAnsi="Abo-thar" w:hint="cs"/>
          <w:sz w:val="28"/>
          <w:rtl/>
          <w:lang w:bidi="ar-SY"/>
        </w:rPr>
        <w:t xml:space="preserve"> أو </w:t>
      </w:r>
      <w:r w:rsidR="00217AB4" w:rsidRPr="003F3B94">
        <w:rPr>
          <w:rFonts w:ascii="Abo-thar" w:hAnsi="Abo-thar" w:hint="cs"/>
          <w:sz w:val="28"/>
          <w:rtl/>
          <w:lang w:bidi="ar-SY"/>
        </w:rPr>
        <w:t>(</w:t>
      </w:r>
      <w:r w:rsidRPr="003F3B94">
        <w:rPr>
          <w:rFonts w:ascii="Abo-thar" w:hAnsi="Abo-thar" w:hint="cs"/>
          <w:sz w:val="28"/>
          <w:rtl/>
          <w:lang w:bidi="ar-SY"/>
        </w:rPr>
        <w:t>ربع العشر</w:t>
      </w:r>
      <w:r w:rsidR="00217AB4" w:rsidRPr="003F3B94">
        <w:rPr>
          <w:rFonts w:ascii="Abo-thar" w:hAnsi="Abo-thar" w:hint="cs"/>
          <w:sz w:val="28"/>
          <w:rtl/>
          <w:lang w:bidi="ar-SY"/>
        </w:rPr>
        <w:t>)</w:t>
      </w:r>
      <w:r w:rsidRPr="003F3B94">
        <w:rPr>
          <w:rFonts w:ascii="Abo-thar" w:hAnsi="Abo-thar" w:hint="cs"/>
          <w:sz w:val="28"/>
          <w:rtl/>
          <w:lang w:bidi="ar-SY"/>
        </w:rPr>
        <w:t xml:space="preserve"> التي تحدِّد مقدار الزكاة التي تؤخذ من المزروعات حسب الشروط المعروفة</w:t>
      </w:r>
      <w:r w:rsidR="001E0DB7" w:rsidRPr="003F3B94">
        <w:rPr>
          <w:rFonts w:ascii="Abo-thar" w:hAnsi="Abo-thar" w:hint="cs"/>
          <w:sz w:val="28"/>
          <w:rtl/>
          <w:lang w:bidi="ar-SY"/>
        </w:rPr>
        <w:t>،</w:t>
      </w:r>
      <w:r w:rsidRPr="003F3B94">
        <w:rPr>
          <w:rFonts w:ascii="Abo-thar" w:hAnsi="Abo-thar" w:hint="cs"/>
          <w:sz w:val="28"/>
          <w:rtl/>
          <w:lang w:bidi="ar-SY"/>
        </w:rPr>
        <w:t xml:space="preserve"> فلما جاءت كلمة </w:t>
      </w:r>
      <w:r w:rsidR="00217AB4" w:rsidRPr="003F3B94">
        <w:rPr>
          <w:rFonts w:ascii="Abo-thar" w:hAnsi="Abo-thar" w:hint="cs"/>
          <w:sz w:val="28"/>
          <w:rtl/>
          <w:lang w:bidi="ar-SY"/>
        </w:rPr>
        <w:t>(</w:t>
      </w:r>
      <w:r w:rsidRPr="003F3B94">
        <w:rPr>
          <w:rFonts w:ascii="Abo-thar" w:hAnsi="Abo-thar" w:hint="cs"/>
          <w:sz w:val="28"/>
          <w:rtl/>
          <w:lang w:bidi="ar-SY"/>
        </w:rPr>
        <w:t>الخُمس</w:t>
      </w:r>
      <w:r w:rsidR="00217AB4" w:rsidRPr="003F3B94">
        <w:rPr>
          <w:rFonts w:ascii="Abo-thar" w:hAnsi="Abo-thar" w:hint="cs"/>
          <w:sz w:val="28"/>
          <w:rtl/>
          <w:lang w:bidi="ar-SY"/>
        </w:rPr>
        <w:t>)</w:t>
      </w:r>
      <w:r w:rsidRPr="003F3B94">
        <w:rPr>
          <w:rFonts w:ascii="Abo-thar" w:hAnsi="Abo-thar" w:hint="cs"/>
          <w:sz w:val="28"/>
          <w:rtl/>
          <w:lang w:bidi="ar-SY"/>
        </w:rPr>
        <w:t xml:space="preserve"> في هذه الأحاديث لتبين مقدار الزكاة في بعض الأموال</w:t>
      </w:r>
      <w:r w:rsidR="001E0DB7" w:rsidRPr="003F3B94">
        <w:rPr>
          <w:rFonts w:ascii="Abo-thar" w:hAnsi="Abo-thar" w:hint="cs"/>
          <w:sz w:val="28"/>
          <w:rtl/>
          <w:lang w:bidi="ar-SY"/>
        </w:rPr>
        <w:t>،</w:t>
      </w:r>
      <w:r w:rsidRPr="003F3B94">
        <w:rPr>
          <w:rFonts w:ascii="Abo-thar" w:hAnsi="Abo-thar" w:hint="cs"/>
          <w:sz w:val="28"/>
          <w:rtl/>
          <w:lang w:bidi="ar-SY"/>
        </w:rPr>
        <w:t xml:space="preserve"> اعتبر الذين يتشبثون بكل قشة أن هذه الأحاديث تتحدث في الواقع عن ذلك الخُمس الذي في ذهنهم والذي يختص بطائفة محددة </w:t>
      </w:r>
      <w:r w:rsidR="00217AB4" w:rsidRPr="003F3B94">
        <w:rPr>
          <w:rFonts w:ascii="Abo-thar" w:hAnsi="Abo-thar" w:hint="cs"/>
          <w:sz w:val="28"/>
          <w:rtl/>
          <w:lang w:bidi="ar-SY"/>
        </w:rPr>
        <w:t>(</w:t>
      </w:r>
      <w:r w:rsidRPr="003F3B94">
        <w:rPr>
          <w:rFonts w:ascii="Abo-thar" w:hAnsi="Abo-thar" w:hint="cs"/>
          <w:sz w:val="28"/>
          <w:rtl/>
          <w:lang w:bidi="ar-SY"/>
        </w:rPr>
        <w:t>بني هاشم</w:t>
      </w:r>
      <w:r w:rsidR="00217AB4" w:rsidRPr="003F3B94">
        <w:rPr>
          <w:rFonts w:ascii="Abo-thar" w:hAnsi="Abo-thar" w:hint="cs"/>
          <w:sz w:val="28"/>
          <w:rtl/>
          <w:lang w:bidi="ar-SY"/>
        </w:rPr>
        <w:t>)</w:t>
      </w:r>
      <w:r w:rsidRPr="003F3B94">
        <w:rPr>
          <w:rFonts w:ascii="Abo-thar" w:hAnsi="Abo-thar" w:hint="cs"/>
          <w:sz w:val="28"/>
          <w:rtl/>
          <w:lang w:bidi="ar-SY"/>
        </w:rPr>
        <w:t xml:space="preserve"> الذين ربما كانوا يستفيدون منه حين نزول الآية</w:t>
      </w:r>
      <w:r w:rsidR="00217AB4" w:rsidRPr="003F3B94">
        <w:rPr>
          <w:rFonts w:ascii="Abo-thar" w:hAnsi="Abo-thar" w:hint="cs"/>
          <w:sz w:val="28"/>
          <w:rtl/>
          <w:lang w:bidi="ar-SY"/>
        </w:rPr>
        <w:t>.</w:t>
      </w:r>
      <w:r w:rsidRPr="003F3B94">
        <w:rPr>
          <w:rFonts w:ascii="Abo-thar" w:hAnsi="Abo-thar" w:hint="cs"/>
          <w:sz w:val="28"/>
          <w:rtl/>
          <w:lang w:bidi="ar-SY"/>
        </w:rPr>
        <w:t xml:space="preserve"> وفيما يلي بعض الأحاديث من هذا النمط</w:t>
      </w:r>
      <w:r w:rsidR="00217AB4" w:rsidRPr="003F3B94">
        <w:rPr>
          <w:rFonts w:ascii="Abo-thar" w:hAnsi="Abo-thar" w:hint="cs"/>
          <w:sz w:val="28"/>
          <w:rtl/>
          <w:lang w:bidi="ar-SY"/>
        </w:rPr>
        <w:t>:</w:t>
      </w:r>
    </w:p>
    <w:p w:rsidR="005C664D" w:rsidRPr="003F3B94" w:rsidRDefault="005C664D" w:rsidP="003F3B94">
      <w:pPr>
        <w:pStyle w:val="a0"/>
        <w:rPr>
          <w:rFonts w:hint="cs"/>
          <w:rtl/>
          <w:lang w:bidi="ar-SY"/>
        </w:rPr>
      </w:pPr>
      <w:r w:rsidRPr="003F3B94">
        <w:rPr>
          <w:rFonts w:ascii="Abo-thar" w:hAnsi="Abo-thar" w:hint="cs"/>
          <w:sz w:val="28"/>
          <w:rtl/>
          <w:lang w:bidi="ar-SY"/>
        </w:rPr>
        <w:t>1</w:t>
      </w:r>
      <w:r w:rsidR="00217AB4" w:rsidRPr="003F3B94">
        <w:rPr>
          <w:rFonts w:ascii="Abo-thar" w:hAnsi="Abo-thar" w:hint="cs"/>
          <w:sz w:val="28"/>
          <w:rtl/>
          <w:lang w:bidi="ar-SY"/>
        </w:rPr>
        <w:t>-</w:t>
      </w:r>
      <w:r w:rsidRPr="003F3B94">
        <w:rPr>
          <w:rFonts w:ascii="Abo-thar" w:hAnsi="Abo-thar" w:hint="cs"/>
          <w:sz w:val="28"/>
          <w:rtl/>
          <w:lang w:bidi="ar-SY"/>
        </w:rPr>
        <w:t xml:space="preserve"> الحديث المروي في «التهذيب» للشيخ الطوسي [ج4</w:t>
      </w:r>
      <w:r w:rsidR="00920257" w:rsidRPr="003F3B94">
        <w:rPr>
          <w:rFonts w:ascii="Abo-thar" w:hAnsi="Abo-thar" w:hint="cs"/>
          <w:sz w:val="28"/>
          <w:rtl/>
          <w:lang w:bidi="ar-SY"/>
        </w:rPr>
        <w:t xml:space="preserve">، </w:t>
      </w:r>
      <w:r w:rsidRPr="003F3B94">
        <w:rPr>
          <w:rFonts w:ascii="Abo-thar" w:hAnsi="Abo-thar" w:hint="cs"/>
          <w:sz w:val="28"/>
          <w:rtl/>
          <w:lang w:bidi="ar-SY"/>
        </w:rPr>
        <w:t>ص121]</w:t>
      </w:r>
      <w:r w:rsidR="00217AB4" w:rsidRPr="003F3B94">
        <w:rPr>
          <w:rFonts w:ascii="Abo-thar" w:hAnsi="Abo-thar" w:hint="cs"/>
          <w:sz w:val="28"/>
          <w:rtl/>
          <w:lang w:bidi="ar-SY"/>
        </w:rPr>
        <w:t>،</w:t>
      </w:r>
      <w:r w:rsidRPr="003F3B94">
        <w:rPr>
          <w:rFonts w:ascii="Abo-thar" w:hAnsi="Abo-thar" w:hint="cs"/>
          <w:sz w:val="28"/>
          <w:rtl/>
          <w:lang w:bidi="ar-SY"/>
        </w:rPr>
        <w:t xml:space="preserve"> وفي «من لا</w:t>
      </w:r>
      <w:r w:rsidRPr="003F3B94">
        <w:rPr>
          <w:rFonts w:cs="Times New Roman" w:hint="cs"/>
          <w:sz w:val="28"/>
          <w:rtl/>
          <w:lang w:bidi="ar-SY"/>
        </w:rPr>
        <w:t> </w:t>
      </w:r>
      <w:r w:rsidRPr="003F3B94">
        <w:rPr>
          <w:rFonts w:ascii="Abo-thar" w:hAnsi="Abo-thar" w:hint="cs"/>
          <w:sz w:val="28"/>
          <w:rtl/>
          <w:lang w:bidi="ar-SY"/>
        </w:rPr>
        <w:t>يحضره الفقيه» [</w:t>
      </w:r>
      <w:r w:rsidRPr="003F3B94">
        <w:rPr>
          <w:rFonts w:ascii="Abo-thar" w:hAnsi="Abo-thar"/>
          <w:sz w:val="28"/>
          <w:rtl/>
          <w:lang w:bidi="ar-SY"/>
        </w:rPr>
        <w:t>ج 2</w:t>
      </w:r>
      <w:r w:rsidR="00920257" w:rsidRPr="003F3B94">
        <w:rPr>
          <w:rFonts w:ascii="Abo-thar" w:hAnsi="Abo-thar" w:hint="cs"/>
          <w:sz w:val="28"/>
          <w:rtl/>
          <w:lang w:bidi="ar-SY"/>
        </w:rPr>
        <w:t xml:space="preserve">، </w:t>
      </w:r>
      <w:r w:rsidRPr="003F3B94">
        <w:rPr>
          <w:rFonts w:ascii="Abo-thar" w:hAnsi="Abo-thar"/>
          <w:sz w:val="28"/>
          <w:rtl/>
          <w:lang w:bidi="ar-SY"/>
        </w:rPr>
        <w:t>ص 40</w:t>
      </w:r>
      <w:r w:rsidRPr="003F3B94">
        <w:rPr>
          <w:rFonts w:ascii="Abo-thar" w:hAnsi="Abo-thar" w:hint="cs"/>
          <w:sz w:val="28"/>
          <w:rtl/>
          <w:lang w:bidi="ar-SY"/>
        </w:rPr>
        <w:t>]</w:t>
      </w:r>
      <w:r w:rsidR="00217AB4" w:rsidRPr="003F3B94">
        <w:rPr>
          <w:rFonts w:ascii="Abo-thar" w:hAnsi="Abo-thar" w:hint="cs"/>
          <w:sz w:val="28"/>
          <w:rtl/>
          <w:lang w:bidi="ar-SY"/>
        </w:rPr>
        <w:t>:</w:t>
      </w:r>
      <w:r w:rsidRPr="003F3B94">
        <w:rPr>
          <w:rFonts w:ascii="Abo-thar" w:hAnsi="Abo-thar" w:hint="cs"/>
          <w:sz w:val="28"/>
          <w:rtl/>
          <w:lang w:bidi="ar-SY"/>
        </w:rPr>
        <w:t xml:space="preserve"> </w:t>
      </w:r>
      <w:r w:rsidR="00EF2588" w:rsidRPr="003762F6">
        <w:rPr>
          <w:rFonts w:ascii="Abo-thar" w:hAnsi="Abo-thar" w:cs="KFGQPC Uthman Taha Naskh" w:hint="cs"/>
          <w:sz w:val="28"/>
          <w:rtl/>
          <w:lang w:bidi="ar-SY"/>
        </w:rPr>
        <w:t>«</w:t>
      </w:r>
      <w:r w:rsidRPr="003762F6">
        <w:rPr>
          <w:rFonts w:ascii="Abo-thar" w:hAnsi="Abo-thar" w:cs="KFGQPC Uthman Taha Naskh"/>
          <w:b/>
          <w:bCs/>
          <w:sz w:val="28"/>
          <w:rtl/>
          <w:lang w:bidi="ar-SY"/>
        </w:rPr>
        <w:t xml:space="preserve">عَنْ حَمَّادٍ عَنِ الحَلَبِيِّ فِي حَدِيثٍ قَالَ سَأَلْتُ أَبَا عَبْدِ اللهِ </w:t>
      </w:r>
      <w:r w:rsidR="00BC4BA9" w:rsidRPr="00BC4BA9">
        <w:rPr>
          <w:rFonts w:ascii="Abo-thar" w:hAnsi="Abo-thar" w:cs="CTraditional Arabic"/>
          <w:b/>
          <w:sz w:val="28"/>
          <w:rtl/>
          <w:lang w:bidi="ar-SY"/>
        </w:rPr>
        <w:t>÷</w:t>
      </w:r>
      <w:r w:rsidRPr="003762F6">
        <w:rPr>
          <w:rFonts w:ascii="Abo-thar" w:hAnsi="Abo-thar" w:cs="KFGQPC Uthman Taha Naskh"/>
          <w:b/>
          <w:bCs/>
          <w:sz w:val="28"/>
          <w:rtl/>
          <w:lang w:bidi="ar-SY"/>
        </w:rPr>
        <w:t xml:space="preserve"> عَنِ الْكَنْزِ كَمْ فِيهِ</w:t>
      </w:r>
      <w:r w:rsidR="00217AB4" w:rsidRPr="003762F6">
        <w:rPr>
          <w:rFonts w:ascii="Abo-thar" w:hAnsi="Abo-thar" w:cs="KFGQPC Uthman Taha Naskh" w:hint="cs"/>
          <w:b/>
          <w:bCs/>
          <w:sz w:val="28"/>
          <w:rtl/>
          <w:lang w:bidi="ar-SY"/>
        </w:rPr>
        <w:t>؟</w:t>
      </w:r>
      <w:r w:rsidR="00217AB4" w:rsidRPr="003762F6">
        <w:rPr>
          <w:rStyle w:val="FootnoteReference"/>
          <w:rFonts w:cs="KFGQPC Uthman Taha Naskh"/>
          <w:b/>
          <w:sz w:val="28"/>
          <w:rtl/>
          <w:lang w:bidi="ar-SY"/>
        </w:rPr>
        <w:t>(</w:t>
      </w:r>
      <w:r w:rsidRPr="003762F6">
        <w:rPr>
          <w:rStyle w:val="FootnoteReference"/>
          <w:rFonts w:cs="KFGQPC Uthman Taha Naskh"/>
          <w:b/>
          <w:sz w:val="28"/>
          <w:rtl/>
          <w:lang w:bidi="ar-SY"/>
        </w:rPr>
        <w:footnoteReference w:id="225"/>
      </w:r>
      <w:r w:rsidR="00217AB4" w:rsidRPr="003762F6">
        <w:rPr>
          <w:rStyle w:val="FootnoteReference"/>
          <w:rFonts w:cs="KFGQPC Uthman Taha Naskh"/>
          <w:b/>
          <w:sz w:val="28"/>
          <w:rtl/>
          <w:lang w:bidi="ar-SY"/>
        </w:rPr>
        <w:t>)</w:t>
      </w:r>
      <w:r w:rsidRPr="003762F6">
        <w:rPr>
          <w:rFonts w:ascii="Abo-thar" w:hAnsi="Abo-thar" w:cs="KFGQPC Uthman Taha Naskh"/>
          <w:sz w:val="28"/>
          <w:rtl/>
          <w:lang w:bidi="ar-SY"/>
        </w:rPr>
        <w:t xml:space="preserve"> </w:t>
      </w:r>
      <w:r w:rsidRPr="003762F6">
        <w:rPr>
          <w:rFonts w:ascii="Abo-thar" w:hAnsi="Abo-thar" w:cs="KFGQPC Uthman Taha Naskh"/>
          <w:b/>
          <w:bCs/>
          <w:sz w:val="28"/>
          <w:rtl/>
          <w:lang w:bidi="ar-SY"/>
        </w:rPr>
        <w:t>قَالَ</w:t>
      </w:r>
      <w:r w:rsidR="00217AB4" w:rsidRPr="003762F6">
        <w:rPr>
          <w:rFonts w:ascii="Abo-thar" w:hAnsi="Abo-thar" w:cs="KFGQPC Uthman Taha Naskh" w:hint="cs"/>
          <w:b/>
          <w:bCs/>
          <w:sz w:val="28"/>
          <w:rtl/>
          <w:lang w:bidi="ar-SY"/>
        </w:rPr>
        <w:t>:</w:t>
      </w:r>
      <w:r w:rsidRPr="003762F6">
        <w:rPr>
          <w:rFonts w:ascii="Abo-thar" w:hAnsi="Abo-thar" w:cs="KFGQPC Uthman Taha Naskh"/>
          <w:b/>
          <w:bCs/>
          <w:sz w:val="28"/>
          <w:rtl/>
          <w:lang w:bidi="ar-SY"/>
        </w:rPr>
        <w:t xml:space="preserve"> الخُمُسُ</w:t>
      </w:r>
      <w:r w:rsidR="00217AB4" w:rsidRPr="003762F6">
        <w:rPr>
          <w:rFonts w:ascii="Abo-thar" w:hAnsi="Abo-thar" w:cs="KFGQPC Uthman Taha Naskh" w:hint="cs"/>
          <w:b/>
          <w:bCs/>
          <w:sz w:val="28"/>
          <w:rtl/>
          <w:lang w:bidi="ar-SY"/>
        </w:rPr>
        <w:t>.</w:t>
      </w:r>
      <w:r w:rsidRPr="003762F6">
        <w:rPr>
          <w:rFonts w:ascii="Abo-thar" w:hAnsi="Abo-thar" w:cs="KFGQPC Uthman Taha Naskh" w:hint="cs"/>
          <w:b/>
          <w:bCs/>
          <w:sz w:val="28"/>
          <w:rtl/>
          <w:lang w:bidi="ar-SY"/>
        </w:rPr>
        <w:t xml:space="preserve"> </w:t>
      </w:r>
      <w:r w:rsidRPr="003762F6">
        <w:rPr>
          <w:rFonts w:ascii="Abo-thar" w:hAnsi="Abo-thar" w:cs="KFGQPC Uthman Taha Naskh"/>
          <w:b/>
          <w:bCs/>
          <w:sz w:val="28"/>
          <w:rtl/>
          <w:lang w:bidi="ar-SY"/>
        </w:rPr>
        <w:t>وعَنِ المَعَادِنِ كَمْ فِيهَا</w:t>
      </w:r>
      <w:r w:rsidR="00217AB4" w:rsidRPr="003762F6">
        <w:rPr>
          <w:rFonts w:ascii="Abo-thar" w:hAnsi="Abo-thar" w:cs="KFGQPC Uthman Taha Naskh" w:hint="cs"/>
          <w:b/>
          <w:bCs/>
          <w:sz w:val="28"/>
          <w:rtl/>
          <w:lang w:bidi="ar-SY"/>
        </w:rPr>
        <w:t>؟</w:t>
      </w:r>
      <w:r w:rsidRPr="003762F6">
        <w:rPr>
          <w:rFonts w:ascii="Abo-thar" w:hAnsi="Abo-thar" w:cs="KFGQPC Uthman Taha Naskh"/>
          <w:b/>
          <w:bCs/>
          <w:sz w:val="28"/>
          <w:rtl/>
          <w:lang w:bidi="ar-SY"/>
        </w:rPr>
        <w:t xml:space="preserve"> قَالَ</w:t>
      </w:r>
      <w:r w:rsidR="00217AB4" w:rsidRPr="003762F6">
        <w:rPr>
          <w:rFonts w:ascii="Abo-thar" w:hAnsi="Abo-thar" w:cs="KFGQPC Uthman Taha Naskh" w:hint="cs"/>
          <w:b/>
          <w:bCs/>
          <w:sz w:val="28"/>
          <w:rtl/>
          <w:lang w:bidi="ar-SY"/>
        </w:rPr>
        <w:t>:</w:t>
      </w:r>
      <w:r w:rsidRPr="003762F6">
        <w:rPr>
          <w:rFonts w:ascii="Abo-thar" w:hAnsi="Abo-thar" w:cs="KFGQPC Uthman Taha Naskh"/>
          <w:b/>
          <w:bCs/>
          <w:sz w:val="28"/>
          <w:rtl/>
          <w:lang w:bidi="ar-SY"/>
        </w:rPr>
        <w:t xml:space="preserve"> الخُمُسُ</w:t>
      </w:r>
      <w:r w:rsidR="00217AB4" w:rsidRPr="003762F6">
        <w:rPr>
          <w:rFonts w:ascii="Abo-thar" w:hAnsi="Abo-thar" w:cs="KFGQPC Uthman Taha Naskh" w:hint="cs"/>
          <w:b/>
          <w:bCs/>
          <w:sz w:val="28"/>
          <w:rtl/>
          <w:lang w:bidi="ar-SY"/>
        </w:rPr>
        <w:t>.</w:t>
      </w:r>
      <w:r w:rsidRPr="003762F6">
        <w:rPr>
          <w:rFonts w:ascii="Abo-thar" w:hAnsi="Abo-thar" w:cs="KFGQPC Uthman Taha Naskh"/>
          <w:b/>
          <w:bCs/>
          <w:sz w:val="28"/>
          <w:rtl/>
          <w:lang w:bidi="ar-SY"/>
        </w:rPr>
        <w:t xml:space="preserve"> وعَنِ الرَّصَاصِ والصُّفْرِ والْحَدِيدِ ومَا كَانَ بِالمَعَادِنِ كَمْ فِيهَا</w:t>
      </w:r>
      <w:r w:rsidR="00217AB4" w:rsidRPr="003762F6">
        <w:rPr>
          <w:rFonts w:ascii="Abo-thar" w:hAnsi="Abo-thar" w:cs="KFGQPC Uthman Taha Naskh" w:hint="cs"/>
          <w:b/>
          <w:bCs/>
          <w:sz w:val="28"/>
          <w:rtl/>
          <w:lang w:bidi="ar-SY"/>
        </w:rPr>
        <w:t>؟</w:t>
      </w:r>
      <w:r w:rsidRPr="003762F6">
        <w:rPr>
          <w:rFonts w:ascii="Abo-thar" w:hAnsi="Abo-thar" w:cs="KFGQPC Uthman Taha Naskh"/>
          <w:b/>
          <w:bCs/>
          <w:sz w:val="28"/>
          <w:rtl/>
          <w:lang w:bidi="ar-SY"/>
        </w:rPr>
        <w:t xml:space="preserve"> قَالَ</w:t>
      </w:r>
      <w:r w:rsidR="00217AB4" w:rsidRPr="003762F6">
        <w:rPr>
          <w:rFonts w:ascii="Abo-thar" w:hAnsi="Abo-thar" w:cs="KFGQPC Uthman Taha Naskh" w:hint="cs"/>
          <w:b/>
          <w:bCs/>
          <w:sz w:val="28"/>
          <w:rtl/>
          <w:lang w:bidi="ar-SY"/>
        </w:rPr>
        <w:t>:</w:t>
      </w:r>
      <w:r w:rsidRPr="003762F6">
        <w:rPr>
          <w:rFonts w:ascii="Abo-thar" w:hAnsi="Abo-thar" w:cs="KFGQPC Uthman Taha Naskh"/>
          <w:b/>
          <w:bCs/>
          <w:sz w:val="28"/>
          <w:rtl/>
          <w:lang w:bidi="ar-SY"/>
        </w:rPr>
        <w:t xml:space="preserve"> يُؤْخَذُ</w:t>
      </w:r>
      <w:r w:rsidRPr="003762F6">
        <w:rPr>
          <w:rFonts w:ascii="Abo-thar" w:hAnsi="Abo-thar" w:cs="KFGQPC Uthman Taha Naskh"/>
          <w:sz w:val="28"/>
          <w:rtl/>
          <w:lang w:bidi="ar-SY"/>
        </w:rPr>
        <w:t xml:space="preserve"> </w:t>
      </w:r>
      <w:r w:rsidRPr="003762F6">
        <w:rPr>
          <w:rFonts w:ascii="Abo-thar" w:hAnsi="Abo-thar" w:cs="KFGQPC Uthman Taha Naskh"/>
          <w:b/>
          <w:bCs/>
          <w:sz w:val="28"/>
          <w:rtl/>
          <w:lang w:bidi="ar-SY"/>
        </w:rPr>
        <w:t>مِنْهَا كَمَا يُؤْخَذُ مِنْ مَعَادِنِ الذَّهَبِ والْفِضَّةِ</w:t>
      </w:r>
      <w:r w:rsidR="00EF2588" w:rsidRPr="003762F6">
        <w:rPr>
          <w:rFonts w:ascii="Abo-thar" w:hAnsi="Abo-thar" w:cs="KFGQPC Uthman Taha Naskh" w:hint="cs"/>
          <w:sz w:val="28"/>
          <w:rtl/>
          <w:lang w:bidi="ar-SY"/>
        </w:rPr>
        <w:t>»</w:t>
      </w:r>
      <w:r w:rsidR="00217AB4" w:rsidRPr="003F3B94">
        <w:rPr>
          <w:rFonts w:ascii="Abo-thar" w:hAnsi="Abo-thar" w:hint="cs"/>
          <w:sz w:val="28"/>
          <w:rtl/>
          <w:lang w:bidi="ar-SY"/>
        </w:rPr>
        <w:t>.</w:t>
      </w:r>
      <w:r w:rsidRPr="003F3B94">
        <w:rPr>
          <w:rFonts w:ascii="Abo-thar" w:hAnsi="Abo-thar" w:hint="cs"/>
          <w:sz w:val="28"/>
          <w:rtl/>
          <w:lang w:bidi="ar-SY"/>
        </w:rPr>
        <w:t xml:space="preserve"> وقد روى الكُلَيْنِيُّ في </w:t>
      </w:r>
      <w:r w:rsidRPr="003F3B94">
        <w:rPr>
          <w:rFonts w:ascii="Lotus Linotype" w:hAnsi="Lotus Linotype"/>
          <w:sz w:val="28"/>
          <w:rtl/>
          <w:lang w:bidi="ar-SY"/>
        </w:rPr>
        <w:t>«</w:t>
      </w:r>
      <w:r w:rsidRPr="003F3B94">
        <w:rPr>
          <w:rFonts w:ascii="Lotus Linotype" w:hAnsi="Lotus Linotype" w:hint="cs"/>
          <w:sz w:val="28"/>
          <w:rtl/>
          <w:lang w:bidi="ar-SY"/>
        </w:rPr>
        <w:t>الكافي</w:t>
      </w:r>
      <w:r w:rsidRPr="003F3B94">
        <w:rPr>
          <w:rFonts w:ascii="Lotus Linotype" w:hAnsi="Lotus Linotype"/>
          <w:sz w:val="28"/>
          <w:rtl/>
          <w:lang w:bidi="ar-SY"/>
        </w:rPr>
        <w:t>»</w:t>
      </w:r>
      <w:r w:rsidRPr="003F3B94">
        <w:rPr>
          <w:rFonts w:ascii="Abo-thar" w:hAnsi="Abo-thar" w:hint="cs"/>
          <w:sz w:val="28"/>
          <w:rtl/>
          <w:lang w:bidi="ar-SY"/>
        </w:rPr>
        <w:t xml:space="preserve"> مثل هذا الحديث عن «</w:t>
      </w:r>
      <w:r w:rsidRPr="003F3B94">
        <w:rPr>
          <w:rFonts w:ascii="Abo-thar" w:hAnsi="Abo-thar"/>
          <w:b/>
          <w:bCs/>
          <w:sz w:val="28"/>
          <w:rtl/>
          <w:lang w:bidi="ar-SY"/>
        </w:rPr>
        <w:t>ابْنِ أَبِي عُمَيْر</w:t>
      </w:r>
      <w:r w:rsidRPr="003F3B94">
        <w:rPr>
          <w:rFonts w:ascii="Abo-thar" w:hAnsi="Abo-thar" w:hint="cs"/>
          <w:sz w:val="28"/>
          <w:rtl/>
          <w:lang w:bidi="ar-SY"/>
        </w:rPr>
        <w:t>»</w:t>
      </w:r>
      <w:r w:rsidR="00217AB4" w:rsidRPr="003F3B94">
        <w:rPr>
          <w:rFonts w:ascii="Abo-thar" w:hAnsi="Abo-thar" w:hint="cs"/>
          <w:sz w:val="28"/>
          <w:rtl/>
          <w:lang w:bidi="ar-SY"/>
        </w:rPr>
        <w:t>.</w:t>
      </w:r>
    </w:p>
    <w:p w:rsidR="005C664D" w:rsidRPr="003F3B94" w:rsidRDefault="005C664D" w:rsidP="003F3B94">
      <w:pPr>
        <w:pStyle w:val="a0"/>
        <w:rPr>
          <w:rFonts w:hint="cs"/>
          <w:rtl/>
          <w:lang w:bidi="ar-SY"/>
        </w:rPr>
      </w:pPr>
      <w:r w:rsidRPr="003F3B94">
        <w:rPr>
          <w:rFonts w:ascii="Abo-thar" w:hAnsi="Abo-thar" w:hint="cs"/>
          <w:sz w:val="28"/>
          <w:rtl/>
          <w:lang w:bidi="ar-SY"/>
        </w:rPr>
        <w:t xml:space="preserve">لاحظوا أن طريقة السؤال وسياق العبارات تُبَيِّنُ أن السائل سأل عن مقدار [أي نسبة] ما يجب عليه إخراجه من الأشياء التي ذكرها وأن الإمام أجابَهُ إجابةً مطابقةً لسؤاله ببيان المقدار </w:t>
      </w:r>
      <w:r w:rsidR="00217AB4" w:rsidRPr="003F3B94">
        <w:rPr>
          <w:rFonts w:ascii="Abo-thar" w:hAnsi="Abo-thar" w:hint="cs"/>
          <w:sz w:val="28"/>
          <w:rtl/>
          <w:lang w:bidi="ar-SY"/>
        </w:rPr>
        <w:t>(</w:t>
      </w:r>
      <w:r w:rsidRPr="003F3B94">
        <w:rPr>
          <w:rFonts w:ascii="Abo-thar" w:hAnsi="Abo-thar" w:hint="cs"/>
          <w:sz w:val="28"/>
          <w:rtl/>
          <w:lang w:bidi="ar-SY"/>
        </w:rPr>
        <w:t>النسبة</w:t>
      </w:r>
      <w:r w:rsidR="00217AB4" w:rsidRPr="003F3B94">
        <w:rPr>
          <w:rFonts w:ascii="Abo-thar" w:hAnsi="Abo-thar" w:hint="cs"/>
          <w:sz w:val="28"/>
          <w:rtl/>
          <w:lang w:bidi="ar-SY"/>
        </w:rPr>
        <w:t>)</w:t>
      </w:r>
      <w:r w:rsidRPr="003F3B94">
        <w:rPr>
          <w:rFonts w:ascii="Abo-thar" w:hAnsi="Abo-thar" w:hint="cs"/>
          <w:sz w:val="28"/>
          <w:rtl/>
          <w:lang w:bidi="ar-SY"/>
        </w:rPr>
        <w:t xml:space="preserve"> التي يجب عليه إخراجها من تلك الأشياء</w:t>
      </w:r>
      <w:r w:rsidR="00217AB4" w:rsidRPr="003F3B94">
        <w:rPr>
          <w:rFonts w:ascii="Abo-thar" w:hAnsi="Abo-thar" w:hint="cs"/>
          <w:sz w:val="28"/>
          <w:rtl/>
          <w:lang w:bidi="ar-SY"/>
        </w:rPr>
        <w:t>.</w:t>
      </w:r>
      <w:r w:rsidRPr="003F3B94">
        <w:rPr>
          <w:rFonts w:ascii="Abo-thar" w:hAnsi="Abo-thar" w:hint="cs"/>
          <w:sz w:val="28"/>
          <w:rtl/>
          <w:lang w:bidi="ar-SY"/>
        </w:rPr>
        <w:t xml:space="preserve"> هذا ولما كانت الزكاة واجبةً في تلك الأشياء كما أوضحنا ذلك في كتابنا </w:t>
      </w:r>
      <w:r w:rsidR="00217AB4" w:rsidRPr="003F3B94">
        <w:rPr>
          <w:rFonts w:ascii="Abo-thar" w:hAnsi="Abo-thar" w:hint="cs"/>
          <w:sz w:val="28"/>
          <w:rtl/>
          <w:lang w:bidi="ar-SY"/>
        </w:rPr>
        <w:t>(</w:t>
      </w:r>
      <w:r w:rsidRPr="003F3B94">
        <w:rPr>
          <w:rFonts w:ascii="Abo-thar" w:hAnsi="Abo-thar" w:hint="cs"/>
          <w:sz w:val="28"/>
          <w:rtl/>
          <w:lang w:bidi="ar-SY"/>
        </w:rPr>
        <w:t>الزكاة</w:t>
      </w:r>
      <w:r w:rsidR="00217AB4" w:rsidRPr="003F3B94">
        <w:rPr>
          <w:rFonts w:ascii="Abo-thar" w:hAnsi="Abo-thar" w:hint="cs"/>
          <w:sz w:val="28"/>
          <w:rtl/>
          <w:lang w:bidi="ar-SY"/>
        </w:rPr>
        <w:t>)،</w:t>
      </w:r>
      <w:r w:rsidRPr="003F3B94">
        <w:rPr>
          <w:rFonts w:ascii="Abo-thar" w:hAnsi="Abo-thar" w:hint="cs"/>
          <w:sz w:val="28"/>
          <w:rtl/>
          <w:lang w:bidi="ar-SY"/>
        </w:rPr>
        <w:t xml:space="preserve"> وكانت مقادير الزكاة أي نسبة ما يجب إخراجه تختلف حسب نوع المال المراد تزكيته</w:t>
      </w:r>
      <w:r w:rsidR="001E0DB7" w:rsidRPr="003F3B94">
        <w:rPr>
          <w:rFonts w:ascii="Abo-thar" w:hAnsi="Abo-thar" w:hint="cs"/>
          <w:sz w:val="28"/>
          <w:rtl/>
          <w:lang w:bidi="ar-SY"/>
        </w:rPr>
        <w:t>،</w:t>
      </w:r>
      <w:r w:rsidRPr="003F3B94">
        <w:rPr>
          <w:rFonts w:ascii="Abo-thar" w:hAnsi="Abo-thar" w:hint="cs"/>
          <w:sz w:val="28"/>
          <w:rtl/>
          <w:lang w:bidi="ar-SY"/>
        </w:rPr>
        <w:t xml:space="preserve"> حيث كما نعلم يجب إخراج عشر الغلات الزراعية التي تُسقَى بمياه الأنهار وماء المطر</w:t>
      </w:r>
      <w:r w:rsidR="00217AB4" w:rsidRPr="003F3B94">
        <w:rPr>
          <w:rFonts w:ascii="Abo-thar" w:hAnsi="Abo-thar" w:hint="cs"/>
          <w:sz w:val="28"/>
          <w:rtl/>
          <w:lang w:bidi="ar-SY"/>
        </w:rPr>
        <w:t>،</w:t>
      </w:r>
      <w:r w:rsidRPr="003F3B94">
        <w:rPr>
          <w:rFonts w:ascii="Abo-thar" w:hAnsi="Abo-thar" w:hint="cs"/>
          <w:sz w:val="28"/>
          <w:rtl/>
          <w:lang w:bidi="ar-SY"/>
        </w:rPr>
        <w:t xml:space="preserve"> في حين يجب إخراج نصف عشرها إذا كانت تُسقَى بالآبار والدلاء والوسائل الأخرى</w:t>
      </w:r>
      <w:r w:rsidR="001E0DB7" w:rsidRPr="003F3B94">
        <w:rPr>
          <w:rFonts w:ascii="Abo-thar" w:hAnsi="Abo-thar" w:hint="cs"/>
          <w:sz w:val="28"/>
          <w:rtl/>
          <w:lang w:bidi="ar-SY"/>
        </w:rPr>
        <w:t>،</w:t>
      </w:r>
      <w:r w:rsidRPr="003F3B94">
        <w:rPr>
          <w:rFonts w:ascii="Abo-thar" w:hAnsi="Abo-thar" w:hint="cs"/>
          <w:sz w:val="28"/>
          <w:rtl/>
          <w:lang w:bidi="ar-SY"/>
        </w:rPr>
        <w:t xml:space="preserve"> كما أن الواجب من الجمال هو واحد على خمسة وعشرين ومن الأبقار واحد من ثلاثين ومن الشياه واحد من أربعين ومن المال النقدي واحد من أربعين والواجب من بعض الأشياء الأخرى هو أقل أو أكثر من ذلك</w:t>
      </w:r>
      <w:r w:rsidR="001E0DB7" w:rsidRPr="003F3B94">
        <w:rPr>
          <w:rFonts w:ascii="Abo-thar" w:hAnsi="Abo-thar" w:hint="cs"/>
          <w:sz w:val="28"/>
          <w:rtl/>
          <w:lang w:bidi="ar-SY"/>
        </w:rPr>
        <w:t>،</w:t>
      </w:r>
      <w:r w:rsidRPr="003F3B94">
        <w:rPr>
          <w:rFonts w:ascii="Abo-thar" w:hAnsi="Abo-thar" w:hint="cs"/>
          <w:sz w:val="28"/>
          <w:rtl/>
          <w:lang w:bidi="ar-SY"/>
        </w:rPr>
        <w:t xml:space="preserve"> كان السائل بحاجة إلى أن يسأل من الإمام عن مقدار ما يجب إخراجه لزكاة تلك المعادن التي ذكرها</w:t>
      </w:r>
      <w:r w:rsidR="00217AB4" w:rsidRPr="003F3B94">
        <w:rPr>
          <w:rFonts w:ascii="Abo-thar" w:hAnsi="Abo-thar" w:hint="cs"/>
          <w:sz w:val="28"/>
          <w:rtl/>
          <w:lang w:bidi="ar-SY"/>
        </w:rPr>
        <w:t>؟</w:t>
      </w:r>
      <w:r w:rsidRPr="003F3B94">
        <w:rPr>
          <w:rFonts w:ascii="Abo-thar" w:hAnsi="Abo-thar" w:hint="cs"/>
          <w:sz w:val="28"/>
          <w:rtl/>
          <w:lang w:bidi="ar-SY"/>
        </w:rPr>
        <w:t xml:space="preserve"> فأجاب الإمام</w:t>
      </w:r>
      <w:r w:rsidR="00217AB4" w:rsidRPr="003F3B94">
        <w:rPr>
          <w:rFonts w:ascii="Abo-thar" w:hAnsi="Abo-thar" w:hint="cs"/>
          <w:sz w:val="28"/>
          <w:rtl/>
          <w:lang w:bidi="ar-SY"/>
        </w:rPr>
        <w:t>:</w:t>
      </w:r>
      <w:r w:rsidRPr="003F3B94">
        <w:rPr>
          <w:rFonts w:ascii="Abo-thar" w:hAnsi="Abo-thar" w:hint="cs"/>
          <w:sz w:val="28"/>
          <w:rtl/>
          <w:lang w:bidi="ar-SY"/>
        </w:rPr>
        <w:t xml:space="preserve"> </w:t>
      </w:r>
      <w:r w:rsidR="00217AB4" w:rsidRPr="003F3B94">
        <w:rPr>
          <w:rFonts w:ascii="Abo-thar" w:hAnsi="Abo-thar" w:hint="cs"/>
          <w:sz w:val="28"/>
          <w:rtl/>
          <w:lang w:bidi="ar-SY"/>
        </w:rPr>
        <w:t>(</w:t>
      </w:r>
      <w:r w:rsidRPr="003F3B94">
        <w:rPr>
          <w:rFonts w:ascii="Abo-thar" w:hAnsi="Abo-thar" w:hint="cs"/>
          <w:sz w:val="28"/>
          <w:rtl/>
          <w:lang w:bidi="ar-SY"/>
        </w:rPr>
        <w:t>الخُمس</w:t>
      </w:r>
      <w:r w:rsidR="00217AB4" w:rsidRPr="003F3B94">
        <w:rPr>
          <w:rFonts w:ascii="Abo-thar" w:hAnsi="Abo-thar" w:hint="cs"/>
          <w:sz w:val="28"/>
          <w:rtl/>
          <w:lang w:bidi="ar-SY"/>
        </w:rPr>
        <w:t>).</w:t>
      </w:r>
      <w:r w:rsidR="00147857" w:rsidRPr="003F3B94">
        <w:rPr>
          <w:rFonts w:ascii="Abo-thar" w:hAnsi="Abo-thar" w:hint="cs"/>
          <w:sz w:val="28"/>
          <w:rtl/>
          <w:lang w:bidi="ar-SY"/>
        </w:rPr>
        <w:t xml:space="preserve"> </w:t>
      </w:r>
    </w:p>
    <w:p w:rsidR="005C664D" w:rsidRPr="003F3B94" w:rsidRDefault="005C664D" w:rsidP="003F3B94">
      <w:pPr>
        <w:pStyle w:val="a0"/>
        <w:rPr>
          <w:rFonts w:hint="cs"/>
          <w:rtl/>
          <w:lang w:bidi="ar-SY"/>
        </w:rPr>
      </w:pPr>
      <w:r w:rsidRPr="003F3B94">
        <w:rPr>
          <w:rFonts w:ascii="Abo-thar" w:hAnsi="Abo-thar" w:hint="cs"/>
          <w:sz w:val="28"/>
          <w:rtl/>
          <w:lang w:bidi="ar-SY"/>
        </w:rPr>
        <w:t>ولو كان ذلك الخُمس الشامل الذي يقولون به رائجاً ومشهوراً بين المسلمين أي كان حسب اصطلاح الأصوليين حقيقةً شرعيةً مثل كلمات الصلاة والزكاة والحج لما كان السائل بحاجة لمثل ذلك السؤال ولما كان الجواب ذاك الجواب</w:t>
      </w:r>
      <w:r w:rsidR="001E0DB7" w:rsidRPr="003F3B94">
        <w:rPr>
          <w:rFonts w:ascii="Abo-thar" w:hAnsi="Abo-thar" w:hint="cs"/>
          <w:sz w:val="28"/>
          <w:rtl/>
          <w:lang w:bidi="ar-SY"/>
        </w:rPr>
        <w:t>،</w:t>
      </w:r>
      <w:r w:rsidRPr="003F3B94">
        <w:rPr>
          <w:rFonts w:ascii="Abo-thar" w:hAnsi="Abo-thar" w:hint="cs"/>
          <w:sz w:val="28"/>
          <w:rtl/>
          <w:lang w:bidi="ar-SY"/>
        </w:rPr>
        <w:t xml:space="preserve"> لأن اسم الخُمس بحد ذاته يحكي مقدار ما يخرج منه</w:t>
      </w:r>
      <w:r w:rsidR="001E0DB7" w:rsidRPr="003F3B94">
        <w:rPr>
          <w:rFonts w:ascii="Abo-thar" w:hAnsi="Abo-thar" w:hint="cs"/>
          <w:sz w:val="28"/>
          <w:rtl/>
          <w:lang w:bidi="ar-SY"/>
        </w:rPr>
        <w:t>،</w:t>
      </w:r>
      <w:r w:rsidRPr="003F3B94">
        <w:rPr>
          <w:rFonts w:ascii="Abo-thar" w:hAnsi="Abo-thar" w:hint="cs"/>
          <w:sz w:val="28"/>
          <w:rtl/>
          <w:lang w:bidi="ar-SY"/>
        </w:rPr>
        <w:t xml:space="preserve"> وحينئذ لكان السائل سأل قائلاً </w:t>
      </w:r>
      <w:r w:rsidR="00217AB4" w:rsidRPr="003F3B94">
        <w:rPr>
          <w:rFonts w:ascii="Abo-thar" w:hAnsi="Abo-thar" w:hint="cs"/>
          <w:sz w:val="28"/>
          <w:rtl/>
          <w:lang w:bidi="ar-SY"/>
        </w:rPr>
        <w:t>(</w:t>
      </w:r>
      <w:r w:rsidRPr="003F3B94">
        <w:rPr>
          <w:rFonts w:ascii="Abo-thar" w:hAnsi="Abo-thar" w:hint="cs"/>
          <w:b/>
          <w:bCs/>
          <w:sz w:val="28"/>
          <w:rtl/>
          <w:lang w:bidi="ar-SY"/>
        </w:rPr>
        <w:t>هل في الكنز خمسٌ</w:t>
      </w:r>
      <w:r w:rsidR="00217AB4" w:rsidRPr="003F3B94">
        <w:rPr>
          <w:rFonts w:ascii="Abo-thar" w:hAnsi="Abo-thar" w:hint="cs"/>
          <w:b/>
          <w:bCs/>
          <w:sz w:val="28"/>
          <w:rtl/>
          <w:lang w:bidi="ar-SY"/>
        </w:rPr>
        <w:t>؟</w:t>
      </w:r>
      <w:r w:rsidRPr="003F3B94">
        <w:rPr>
          <w:rFonts w:ascii="Abo-thar" w:hAnsi="Abo-thar" w:hint="cs"/>
          <w:b/>
          <w:bCs/>
          <w:sz w:val="28"/>
          <w:rtl/>
          <w:lang w:bidi="ar-SY"/>
        </w:rPr>
        <w:t xml:space="preserve"> أو هل في المعادن خمسٌ</w:t>
      </w:r>
      <w:r w:rsidR="00217AB4" w:rsidRPr="003F3B94">
        <w:rPr>
          <w:rFonts w:ascii="Abo-thar" w:hAnsi="Abo-thar" w:hint="cs"/>
          <w:b/>
          <w:bCs/>
          <w:sz w:val="28"/>
          <w:rtl/>
          <w:lang w:bidi="ar-SY"/>
        </w:rPr>
        <w:t>؟</w:t>
      </w:r>
      <w:r w:rsidR="00217AB4" w:rsidRPr="003F3B94">
        <w:rPr>
          <w:rFonts w:ascii="Abo-thar" w:hAnsi="Abo-thar" w:hint="cs"/>
          <w:sz w:val="28"/>
          <w:rtl/>
          <w:lang w:bidi="ar-SY"/>
        </w:rPr>
        <w:t>)</w:t>
      </w:r>
      <w:r w:rsidR="00D326AD" w:rsidRPr="003F3B94">
        <w:rPr>
          <w:rFonts w:ascii="Abo-thar" w:hAnsi="Abo-thar" w:hint="cs"/>
          <w:sz w:val="28"/>
          <w:rtl/>
          <w:lang w:bidi="ar-SY"/>
        </w:rPr>
        <w:t xml:space="preserve"> </w:t>
      </w:r>
      <w:r w:rsidRPr="003F3B94">
        <w:rPr>
          <w:rFonts w:ascii="Abo-thar" w:hAnsi="Abo-thar" w:hint="cs"/>
          <w:sz w:val="28"/>
          <w:rtl/>
          <w:lang w:bidi="ar-SY"/>
        </w:rPr>
        <w:t xml:space="preserve">وعندئذ كان الإمام يجيبه بقوله </w:t>
      </w:r>
      <w:r w:rsidR="00217AB4" w:rsidRPr="003F3B94">
        <w:rPr>
          <w:rFonts w:ascii="Abo-thar" w:hAnsi="Abo-thar" w:hint="cs"/>
          <w:sz w:val="28"/>
          <w:rtl/>
          <w:lang w:bidi="ar-SY"/>
        </w:rPr>
        <w:t>(</w:t>
      </w:r>
      <w:r w:rsidRPr="003F3B94">
        <w:rPr>
          <w:rFonts w:ascii="Abo-thar" w:hAnsi="Abo-thar" w:hint="cs"/>
          <w:b/>
          <w:bCs/>
          <w:sz w:val="28"/>
          <w:rtl/>
          <w:lang w:bidi="ar-SY"/>
        </w:rPr>
        <w:t>نعم</w:t>
      </w:r>
      <w:r w:rsidR="00217AB4" w:rsidRPr="003F3B94">
        <w:rPr>
          <w:rFonts w:ascii="Abo-thar" w:hAnsi="Abo-thar" w:hint="cs"/>
          <w:sz w:val="28"/>
          <w:rtl/>
          <w:lang w:bidi="ar-SY"/>
        </w:rPr>
        <w:t>).</w:t>
      </w:r>
      <w:r w:rsidRPr="003F3B94">
        <w:rPr>
          <w:rFonts w:ascii="Abo-thar" w:hAnsi="Abo-thar" w:hint="cs"/>
          <w:sz w:val="28"/>
          <w:rtl/>
          <w:lang w:bidi="ar-SY"/>
        </w:rPr>
        <w:t xml:space="preserve"> أما الذي كان </w:t>
      </w:r>
      <w:r w:rsidRPr="003F3B94">
        <w:rPr>
          <w:rFonts w:ascii="Abo-thar" w:hAnsi="Abo-thar" w:hint="cs"/>
          <w:b/>
          <w:bCs/>
          <w:sz w:val="28"/>
          <w:u w:val="single"/>
          <w:rtl/>
          <w:lang w:bidi="ar-SY"/>
        </w:rPr>
        <w:t>مقدار</w:t>
      </w:r>
      <w:r w:rsidRPr="003F3B94">
        <w:rPr>
          <w:rFonts w:ascii="Abo-thar" w:hAnsi="Abo-thar" w:hint="cs"/>
          <w:sz w:val="28"/>
          <w:rtl/>
          <w:lang w:bidi="ar-SY"/>
        </w:rPr>
        <w:t xml:space="preserve"> ما يؤدَّى منه مجهولاً للسائل</w:t>
      </w:r>
      <w:r w:rsidR="001E0DB7" w:rsidRPr="003F3B94">
        <w:rPr>
          <w:rFonts w:ascii="Abo-thar" w:hAnsi="Abo-thar" w:hint="cs"/>
          <w:sz w:val="28"/>
          <w:rtl/>
          <w:lang w:bidi="ar-SY"/>
        </w:rPr>
        <w:t>،</w:t>
      </w:r>
      <w:r w:rsidRPr="003F3B94">
        <w:rPr>
          <w:rFonts w:ascii="Abo-thar" w:hAnsi="Abo-thar" w:hint="cs"/>
          <w:sz w:val="28"/>
          <w:rtl/>
          <w:lang w:bidi="ar-SY"/>
        </w:rPr>
        <w:t xml:space="preserve"> والذي يجيب عنه الإمام طبقاً للسؤال ببيان النسبة الواجب إخراجها</w:t>
      </w:r>
      <w:r w:rsidR="00217AB4" w:rsidRPr="003F3B94">
        <w:rPr>
          <w:rFonts w:ascii="Abo-thar" w:hAnsi="Abo-thar" w:hint="cs"/>
          <w:sz w:val="28"/>
          <w:rtl/>
          <w:lang w:bidi="ar-SY"/>
        </w:rPr>
        <w:t>،</w:t>
      </w:r>
      <w:r w:rsidRPr="003F3B94">
        <w:rPr>
          <w:rFonts w:ascii="Abo-thar" w:hAnsi="Abo-thar" w:hint="cs"/>
          <w:sz w:val="28"/>
          <w:rtl/>
          <w:lang w:bidi="ar-SY"/>
        </w:rPr>
        <w:t xml:space="preserve"> فلا علاقة له إذن أبداً بذلك الخُمس الذي يذهبون إليه</w:t>
      </w:r>
      <w:r w:rsidR="00217AB4" w:rsidRPr="003F3B94">
        <w:rPr>
          <w:rFonts w:ascii="Abo-thar" w:hAnsi="Abo-thar" w:hint="cs"/>
          <w:sz w:val="28"/>
          <w:rtl/>
          <w:lang w:bidi="ar-SY"/>
        </w:rPr>
        <w:t>.</w:t>
      </w:r>
      <w:r w:rsidRPr="003F3B94">
        <w:rPr>
          <w:rFonts w:ascii="Abo-thar" w:hAnsi="Abo-thar" w:hint="cs"/>
          <w:sz w:val="28"/>
          <w:rtl/>
          <w:lang w:bidi="ar-SY"/>
        </w:rPr>
        <w:t xml:space="preserve"> </w:t>
      </w:r>
    </w:p>
    <w:p w:rsidR="005C664D" w:rsidRPr="00995B26" w:rsidRDefault="005C664D" w:rsidP="003F3B94">
      <w:pPr>
        <w:pStyle w:val="a0"/>
        <w:rPr>
          <w:rFonts w:hint="cs"/>
          <w:rtl/>
          <w:lang w:bidi="ar-SY"/>
        </w:rPr>
      </w:pPr>
      <w:r w:rsidRPr="003F3B94">
        <w:rPr>
          <w:rFonts w:ascii="Abo-thar" w:hAnsi="Abo-thar" w:hint="cs"/>
          <w:sz w:val="28"/>
          <w:rtl/>
          <w:lang w:bidi="ar-SY"/>
        </w:rPr>
        <w:t xml:space="preserve">أضف إلى ذلك أن عبارة </w:t>
      </w:r>
      <w:r w:rsidR="00217AB4" w:rsidRPr="003F3B94">
        <w:rPr>
          <w:rFonts w:ascii="Abo-thar" w:hAnsi="Abo-thar" w:hint="cs"/>
          <w:sz w:val="28"/>
          <w:rtl/>
          <w:lang w:bidi="ar-SY"/>
        </w:rPr>
        <w:t>(</w:t>
      </w:r>
      <w:r w:rsidRPr="003F3B94">
        <w:rPr>
          <w:rFonts w:ascii="Abo-thar" w:hAnsi="Abo-thar" w:hint="cs"/>
          <w:sz w:val="28"/>
          <w:rtl/>
          <w:lang w:bidi="ar-SY"/>
        </w:rPr>
        <w:t>يؤخذ منها</w:t>
      </w:r>
      <w:r w:rsidR="00217AB4" w:rsidRPr="003F3B94">
        <w:rPr>
          <w:rFonts w:ascii="Abo-thar" w:hAnsi="Abo-thar" w:hint="cs"/>
          <w:sz w:val="28"/>
          <w:rtl/>
          <w:lang w:bidi="ar-SY"/>
        </w:rPr>
        <w:t>)</w:t>
      </w:r>
      <w:r w:rsidRPr="003F3B94">
        <w:rPr>
          <w:rFonts w:ascii="Abo-thar" w:hAnsi="Abo-thar" w:hint="cs"/>
          <w:sz w:val="28"/>
          <w:rtl/>
          <w:lang w:bidi="ar-SY"/>
        </w:rPr>
        <w:t xml:space="preserve"> التي وردت في آخر الحديث تعني ما يؤخذ من صاحب المال</w:t>
      </w:r>
      <w:r w:rsidR="001E0DB7" w:rsidRPr="003F3B94">
        <w:rPr>
          <w:rFonts w:ascii="Abo-thar" w:hAnsi="Abo-thar" w:hint="cs"/>
          <w:sz w:val="28"/>
          <w:rtl/>
          <w:lang w:bidi="ar-SY"/>
        </w:rPr>
        <w:t>،</w:t>
      </w:r>
      <w:r w:rsidRPr="003F3B94">
        <w:rPr>
          <w:rFonts w:ascii="Abo-thar" w:hAnsi="Abo-thar" w:hint="cs"/>
          <w:sz w:val="28"/>
          <w:rtl/>
          <w:lang w:bidi="ar-SY"/>
        </w:rPr>
        <w:t xml:space="preserve"> هذا في حين أن الخُمس الذي دليله الآية الكريمة</w:t>
      </w:r>
      <w:r w:rsidR="00217AB4" w:rsidRPr="003F3B94">
        <w:rPr>
          <w:rFonts w:ascii="Abo-thar" w:hAnsi="Abo-thar" w:hint="cs"/>
          <w:sz w:val="28"/>
          <w:rtl/>
          <w:lang w:bidi="ar-SY"/>
        </w:rPr>
        <w:t>:</w:t>
      </w:r>
      <w:r w:rsidR="00B06788" w:rsidRPr="003F3B94">
        <w:rPr>
          <w:rFonts w:ascii="Abo-thar" w:hAnsi="Abo-thar" w:hint="cs"/>
          <w:sz w:val="28"/>
          <w:rtl/>
          <w:lang w:bidi="ar-SY"/>
        </w:rPr>
        <w:t xml:space="preserve"> </w:t>
      </w:r>
      <w:r w:rsidR="00B06788" w:rsidRPr="00995B26">
        <w:rPr>
          <w:rFonts w:ascii="Abo-thar" w:hAnsi="Abo-thar" w:cs="Traditional Arabic" w:hint="cs"/>
          <w:sz w:val="28"/>
          <w:rtl/>
          <w:lang w:bidi="ar-SY"/>
        </w:rPr>
        <w:t>﴿</w:t>
      </w:r>
      <w:r w:rsidR="00B06788" w:rsidRPr="0067048A">
        <w:rPr>
          <w:rFonts w:ascii="KFGQPC Uthmanic Script HAFS" w:cs="KFGQPC Uthmanic Script HAFS" w:hint="eastAsia"/>
          <w:sz w:val="28"/>
          <w:szCs w:val="28"/>
          <w:rtl/>
        </w:rPr>
        <w:t>وَ</w:t>
      </w:r>
      <w:r w:rsidR="00B06788" w:rsidRPr="0067048A">
        <w:rPr>
          <w:rFonts w:ascii="KFGQPC Uthmanic Script HAFS" w:cs="KFGQPC Uthmanic Script HAFS" w:hint="cs"/>
          <w:sz w:val="28"/>
          <w:szCs w:val="28"/>
          <w:rtl/>
        </w:rPr>
        <w:t>ٱ</w:t>
      </w:r>
      <w:r w:rsidR="00B06788" w:rsidRPr="0067048A">
        <w:rPr>
          <w:rFonts w:ascii="KFGQPC Uthmanic Script HAFS" w:cs="KFGQPC Uthmanic Script HAFS" w:hint="eastAsia"/>
          <w:sz w:val="28"/>
          <w:szCs w:val="28"/>
          <w:rtl/>
        </w:rPr>
        <w:t>ع</w:t>
      </w:r>
      <w:r w:rsidR="00B06788" w:rsidRPr="0067048A">
        <w:rPr>
          <w:rFonts w:ascii="KFGQPC Uthmanic Script HAFS" w:cs="KFGQPC Uthmanic Script HAFS" w:hint="cs"/>
          <w:sz w:val="28"/>
          <w:szCs w:val="28"/>
          <w:rtl/>
        </w:rPr>
        <w:t>ۡ</w:t>
      </w:r>
      <w:r w:rsidR="00B06788" w:rsidRPr="0067048A">
        <w:rPr>
          <w:rFonts w:ascii="KFGQPC Uthmanic Script HAFS" w:cs="KFGQPC Uthmanic Script HAFS" w:hint="eastAsia"/>
          <w:sz w:val="28"/>
          <w:szCs w:val="28"/>
          <w:rtl/>
        </w:rPr>
        <w:t>لَمُو</w:t>
      </w:r>
      <w:r w:rsidR="00B06788" w:rsidRPr="0067048A">
        <w:rPr>
          <w:rFonts w:ascii="KFGQPC Uthmanic Script HAFS" w:cs="KFGQPC Uthmanic Script HAFS" w:hint="cs"/>
          <w:sz w:val="28"/>
          <w:szCs w:val="28"/>
          <w:rtl/>
        </w:rPr>
        <w:t>ٓ</w:t>
      </w:r>
      <w:r w:rsidR="00B06788" w:rsidRPr="0067048A">
        <w:rPr>
          <w:rFonts w:ascii="KFGQPC Uthmanic Script HAFS" w:cs="KFGQPC Uthmanic Script HAFS" w:hint="eastAsia"/>
          <w:sz w:val="28"/>
          <w:szCs w:val="28"/>
          <w:rtl/>
        </w:rPr>
        <w:t>اْ</w:t>
      </w:r>
      <w:r w:rsidR="00B06788" w:rsidRPr="0067048A">
        <w:rPr>
          <w:rFonts w:ascii="KFGQPC Uthmanic Script HAFS" w:cs="KFGQPC Uthmanic Script HAFS"/>
          <w:sz w:val="28"/>
          <w:szCs w:val="28"/>
          <w:rtl/>
        </w:rPr>
        <w:t xml:space="preserve"> </w:t>
      </w:r>
      <w:r w:rsidR="00B06788" w:rsidRPr="0067048A">
        <w:rPr>
          <w:rFonts w:ascii="KFGQPC Uthmanic Script HAFS" w:cs="KFGQPC Uthmanic Script HAFS" w:hint="eastAsia"/>
          <w:sz w:val="28"/>
          <w:szCs w:val="28"/>
          <w:rtl/>
        </w:rPr>
        <w:t>أَنَّمَا</w:t>
      </w:r>
      <w:r w:rsidR="00B06788" w:rsidRPr="0067048A">
        <w:rPr>
          <w:rFonts w:ascii="KFGQPC Uthmanic Script HAFS" w:cs="KFGQPC Uthmanic Script HAFS"/>
          <w:sz w:val="28"/>
          <w:szCs w:val="28"/>
          <w:rtl/>
        </w:rPr>
        <w:t xml:space="preserve"> </w:t>
      </w:r>
      <w:r w:rsidR="00B06788" w:rsidRPr="0067048A">
        <w:rPr>
          <w:rFonts w:ascii="KFGQPC Uthmanic Script HAFS" w:cs="KFGQPC Uthmanic Script HAFS" w:hint="eastAsia"/>
          <w:sz w:val="28"/>
          <w:szCs w:val="28"/>
          <w:rtl/>
        </w:rPr>
        <w:t>غَنِم</w:t>
      </w:r>
      <w:r w:rsidR="00B06788" w:rsidRPr="0067048A">
        <w:rPr>
          <w:rFonts w:ascii="KFGQPC Uthmanic Script HAFS" w:cs="KFGQPC Uthmanic Script HAFS" w:hint="cs"/>
          <w:sz w:val="28"/>
          <w:szCs w:val="28"/>
          <w:rtl/>
        </w:rPr>
        <w:t>ۡ</w:t>
      </w:r>
      <w:r w:rsidR="00B06788" w:rsidRPr="0067048A">
        <w:rPr>
          <w:rFonts w:ascii="KFGQPC Uthmanic Script HAFS" w:cs="KFGQPC Uthmanic Script HAFS" w:hint="eastAsia"/>
          <w:sz w:val="28"/>
          <w:szCs w:val="28"/>
          <w:rtl/>
        </w:rPr>
        <w:t>تُم</w:t>
      </w:r>
      <w:r w:rsidR="00B06788" w:rsidRPr="0067048A">
        <w:rPr>
          <w:rFonts w:ascii="KFGQPC Uthmanic Script HAFS" w:cs="KFGQPC Uthmanic Script HAFS"/>
          <w:sz w:val="28"/>
          <w:szCs w:val="28"/>
          <w:rtl/>
        </w:rPr>
        <w:t xml:space="preserve"> </w:t>
      </w:r>
      <w:r w:rsidR="00B06788" w:rsidRPr="0067048A">
        <w:rPr>
          <w:rFonts w:ascii="KFGQPC Uthmanic Script HAFS" w:cs="KFGQPC Uthmanic Script HAFS" w:hint="eastAsia"/>
          <w:sz w:val="28"/>
          <w:szCs w:val="28"/>
          <w:rtl/>
        </w:rPr>
        <w:t>مِّن</w:t>
      </w:r>
      <w:r w:rsidR="00B06788" w:rsidRPr="0067048A">
        <w:rPr>
          <w:rFonts w:ascii="KFGQPC Uthmanic Script HAFS" w:cs="KFGQPC Uthmanic Script HAFS"/>
          <w:sz w:val="28"/>
          <w:szCs w:val="28"/>
          <w:rtl/>
        </w:rPr>
        <w:t xml:space="preserve"> </w:t>
      </w:r>
      <w:r w:rsidR="00B06788" w:rsidRPr="0067048A">
        <w:rPr>
          <w:rFonts w:ascii="KFGQPC Uthmanic Script HAFS" w:cs="KFGQPC Uthmanic Script HAFS" w:hint="eastAsia"/>
          <w:sz w:val="28"/>
          <w:szCs w:val="28"/>
          <w:rtl/>
        </w:rPr>
        <w:t>شَي</w:t>
      </w:r>
      <w:r w:rsidR="00B06788" w:rsidRPr="0067048A">
        <w:rPr>
          <w:rFonts w:ascii="KFGQPC Uthmanic Script HAFS" w:cs="KFGQPC Uthmanic Script HAFS" w:hint="cs"/>
          <w:sz w:val="28"/>
          <w:szCs w:val="28"/>
          <w:rtl/>
        </w:rPr>
        <w:t>ۡ</w:t>
      </w:r>
      <w:r w:rsidR="00B06788" w:rsidRPr="0067048A">
        <w:rPr>
          <w:rFonts w:ascii="KFGQPC Uthmanic Script HAFS" w:cs="KFGQPC Uthmanic Script HAFS" w:hint="eastAsia"/>
          <w:sz w:val="28"/>
          <w:szCs w:val="28"/>
          <w:rtl/>
        </w:rPr>
        <w:t>ء</w:t>
      </w:r>
      <w:r w:rsidR="00B06788" w:rsidRPr="0067048A">
        <w:rPr>
          <w:rFonts w:ascii="KFGQPC Uthmanic Script HAFS" w:cs="KFGQPC Uthmanic Script HAFS" w:hint="cs"/>
          <w:sz w:val="28"/>
          <w:szCs w:val="28"/>
          <w:rtl/>
        </w:rPr>
        <w:t>ٖ</w:t>
      </w:r>
      <w:r w:rsidR="00B06788" w:rsidRPr="0067048A">
        <w:rPr>
          <w:rFonts w:ascii="KFGQPC Uthmanic Script HAFS" w:cs="KFGQPC Uthmanic Script HAFS"/>
          <w:sz w:val="28"/>
          <w:szCs w:val="28"/>
          <w:rtl/>
        </w:rPr>
        <w:t xml:space="preserve"> </w:t>
      </w:r>
      <w:r w:rsidR="00B06788" w:rsidRPr="0067048A">
        <w:rPr>
          <w:rFonts w:ascii="KFGQPC Uthmanic Script HAFS" w:cs="KFGQPC Uthmanic Script HAFS" w:hint="eastAsia"/>
          <w:sz w:val="28"/>
          <w:szCs w:val="28"/>
          <w:rtl/>
        </w:rPr>
        <w:t>فَأَنَّ</w:t>
      </w:r>
      <w:r w:rsidR="00B06788" w:rsidRPr="0067048A">
        <w:rPr>
          <w:rFonts w:ascii="KFGQPC Uthmanic Script HAFS" w:cs="KFGQPC Uthmanic Script HAFS"/>
          <w:sz w:val="28"/>
          <w:szCs w:val="28"/>
          <w:rtl/>
        </w:rPr>
        <w:t xml:space="preserve"> </w:t>
      </w:r>
      <w:r w:rsidR="00B06788" w:rsidRPr="0067048A">
        <w:rPr>
          <w:rFonts w:ascii="KFGQPC Uthmanic Script HAFS" w:cs="KFGQPC Uthmanic Script HAFS" w:hint="eastAsia"/>
          <w:sz w:val="28"/>
          <w:szCs w:val="28"/>
          <w:rtl/>
        </w:rPr>
        <w:t>لِلَّهِ</w:t>
      </w:r>
      <w:r w:rsidR="00B06788" w:rsidRPr="0067048A">
        <w:rPr>
          <w:rFonts w:ascii="KFGQPC Uthmanic Script HAFS" w:cs="KFGQPC Uthmanic Script HAFS"/>
          <w:sz w:val="28"/>
          <w:szCs w:val="28"/>
          <w:rtl/>
        </w:rPr>
        <w:t xml:space="preserve"> </w:t>
      </w:r>
      <w:r w:rsidR="00B06788" w:rsidRPr="0067048A">
        <w:rPr>
          <w:rFonts w:ascii="KFGQPC Uthmanic Script HAFS" w:cs="KFGQPC Uthmanic Script HAFS" w:hint="eastAsia"/>
          <w:sz w:val="28"/>
          <w:szCs w:val="28"/>
          <w:rtl/>
        </w:rPr>
        <w:t>خُمُسَهُ</w:t>
      </w:r>
      <w:r w:rsidR="00B06788" w:rsidRPr="0067048A">
        <w:rPr>
          <w:rFonts w:ascii="KFGQPC Uthmanic Script HAFS" w:cs="KFGQPC Uthmanic Script HAFS" w:hint="cs"/>
          <w:sz w:val="28"/>
          <w:szCs w:val="28"/>
          <w:rtl/>
        </w:rPr>
        <w:t>ۥ</w:t>
      </w:r>
      <w:r w:rsidR="00B06788" w:rsidRPr="0067048A">
        <w:rPr>
          <w:rFonts w:ascii="KFGQPC Uthmanic Script HAFS" w:cs="KFGQPC Uthmanic Script HAFS"/>
          <w:sz w:val="28"/>
          <w:szCs w:val="28"/>
          <w:rtl/>
        </w:rPr>
        <w:t xml:space="preserve"> </w:t>
      </w:r>
      <w:r w:rsidR="00B06788" w:rsidRPr="0067048A">
        <w:rPr>
          <w:rFonts w:ascii="KFGQPC Uthmanic Script HAFS" w:cs="KFGQPC Uthmanic Script HAFS" w:hint="eastAsia"/>
          <w:sz w:val="28"/>
          <w:szCs w:val="28"/>
          <w:rtl/>
        </w:rPr>
        <w:t>وَلِلرَّسُولِ</w:t>
      </w:r>
      <w:r w:rsidR="00B06788" w:rsidRPr="0067048A">
        <w:rPr>
          <w:rFonts w:ascii="KFGQPC Uthmanic Script HAFS" w:cs="KFGQPC Uthmanic Script HAFS"/>
          <w:sz w:val="28"/>
          <w:szCs w:val="28"/>
          <w:rtl/>
        </w:rPr>
        <w:t xml:space="preserve"> </w:t>
      </w:r>
      <w:r w:rsidR="00B06788" w:rsidRPr="0067048A">
        <w:rPr>
          <w:rFonts w:ascii="KFGQPC Uthmanic Script HAFS" w:cs="KFGQPC Uthmanic Script HAFS" w:hint="eastAsia"/>
          <w:sz w:val="28"/>
          <w:szCs w:val="28"/>
          <w:rtl/>
        </w:rPr>
        <w:t>وَلِذِي</w:t>
      </w:r>
      <w:r w:rsidR="00B06788" w:rsidRPr="0067048A">
        <w:rPr>
          <w:rFonts w:ascii="KFGQPC Uthmanic Script HAFS" w:cs="KFGQPC Uthmanic Script HAFS"/>
          <w:sz w:val="28"/>
          <w:szCs w:val="28"/>
          <w:rtl/>
        </w:rPr>
        <w:t xml:space="preserve"> </w:t>
      </w:r>
      <w:r w:rsidR="00B06788" w:rsidRPr="0067048A">
        <w:rPr>
          <w:rFonts w:ascii="KFGQPC Uthmanic Script HAFS" w:cs="KFGQPC Uthmanic Script HAFS" w:hint="cs"/>
          <w:sz w:val="28"/>
          <w:szCs w:val="28"/>
          <w:rtl/>
        </w:rPr>
        <w:t>ٱ</w:t>
      </w:r>
      <w:r w:rsidR="00B06788" w:rsidRPr="0067048A">
        <w:rPr>
          <w:rFonts w:ascii="KFGQPC Uthmanic Script HAFS" w:cs="KFGQPC Uthmanic Script HAFS" w:hint="eastAsia"/>
          <w:sz w:val="28"/>
          <w:szCs w:val="28"/>
          <w:rtl/>
        </w:rPr>
        <w:t>ل</w:t>
      </w:r>
      <w:r w:rsidR="00B06788" w:rsidRPr="0067048A">
        <w:rPr>
          <w:rFonts w:ascii="KFGQPC Uthmanic Script HAFS" w:cs="KFGQPC Uthmanic Script HAFS" w:hint="cs"/>
          <w:sz w:val="28"/>
          <w:szCs w:val="28"/>
          <w:rtl/>
        </w:rPr>
        <w:t>ۡ</w:t>
      </w:r>
      <w:r w:rsidR="00B06788" w:rsidRPr="0067048A">
        <w:rPr>
          <w:rFonts w:ascii="KFGQPC Uthmanic Script HAFS" w:cs="KFGQPC Uthmanic Script HAFS" w:hint="eastAsia"/>
          <w:sz w:val="28"/>
          <w:szCs w:val="28"/>
          <w:rtl/>
        </w:rPr>
        <w:t>قُر</w:t>
      </w:r>
      <w:r w:rsidR="00B06788" w:rsidRPr="0067048A">
        <w:rPr>
          <w:rFonts w:ascii="KFGQPC Uthmanic Script HAFS" w:cs="KFGQPC Uthmanic Script HAFS" w:hint="cs"/>
          <w:sz w:val="28"/>
          <w:szCs w:val="28"/>
          <w:rtl/>
        </w:rPr>
        <w:t>ۡ</w:t>
      </w:r>
      <w:r w:rsidR="00B06788" w:rsidRPr="0067048A">
        <w:rPr>
          <w:rFonts w:ascii="KFGQPC Uthmanic Script HAFS" w:cs="KFGQPC Uthmanic Script HAFS" w:hint="eastAsia"/>
          <w:sz w:val="28"/>
          <w:szCs w:val="28"/>
          <w:rtl/>
        </w:rPr>
        <w:t>بَى</w:t>
      </w:r>
      <w:r w:rsidR="00B06788" w:rsidRPr="0067048A">
        <w:rPr>
          <w:rFonts w:ascii="KFGQPC Uthmanic Script HAFS" w:cs="KFGQPC Uthmanic Script HAFS" w:hint="cs"/>
          <w:sz w:val="28"/>
          <w:szCs w:val="28"/>
          <w:rtl/>
        </w:rPr>
        <w:t>ٰ</w:t>
      </w:r>
      <w:r w:rsidR="00B06788" w:rsidRPr="00995B26">
        <w:rPr>
          <w:rFonts w:ascii="KFGQPC Uthmanic Script HAFS" w:cs="Times New Roman" w:hint="cs"/>
          <w:sz w:val="28"/>
          <w:rtl/>
        </w:rPr>
        <w:t>...</w:t>
      </w:r>
      <w:r w:rsidR="00B06788" w:rsidRPr="00995B26">
        <w:rPr>
          <w:rFonts w:ascii="Abo-thar" w:hAnsi="Abo-thar" w:cs="Traditional Arabic" w:hint="cs"/>
          <w:sz w:val="28"/>
          <w:rtl/>
          <w:lang w:bidi="ar-SY"/>
        </w:rPr>
        <w:t>﴾</w:t>
      </w:r>
      <w:r w:rsidRPr="00995B26">
        <w:rPr>
          <w:rFonts w:ascii="Abo-thar" w:hAnsi="Abo-thar" w:hint="cs"/>
          <w:sz w:val="28"/>
          <w:rtl/>
          <w:lang w:bidi="ar-SY"/>
        </w:rPr>
        <w:t xml:space="preserve"> </w:t>
      </w:r>
      <w:r w:rsidRPr="003108CB">
        <w:rPr>
          <w:rStyle w:val="Char2"/>
          <w:rtl/>
        </w:rPr>
        <w:t>[الأنفال</w:t>
      </w:r>
      <w:r w:rsidR="00B06788" w:rsidRPr="003108CB">
        <w:rPr>
          <w:rStyle w:val="Char2"/>
          <w:rFonts w:hint="cs"/>
          <w:rtl/>
        </w:rPr>
        <w:t xml:space="preserve">: </w:t>
      </w:r>
      <w:r w:rsidRPr="003108CB">
        <w:rPr>
          <w:rStyle w:val="Char2"/>
          <w:rtl/>
        </w:rPr>
        <w:t>41]</w:t>
      </w:r>
      <w:r w:rsidRPr="00995B26">
        <w:rPr>
          <w:rFonts w:ascii="Abo-thar" w:hAnsi="Abo-thar" w:hint="cs"/>
          <w:sz w:val="28"/>
          <w:rtl/>
          <w:lang w:bidi="ar-SY"/>
        </w:rPr>
        <w:t xml:space="preserve"> لا يؤخذ من شخص </w:t>
      </w:r>
      <w:r w:rsidRPr="00995B26">
        <w:rPr>
          <w:rFonts w:ascii="Abo-thar" w:hAnsi="Abo-thar"/>
          <w:sz w:val="28"/>
          <w:rtl/>
          <w:lang w:bidi="ar-SY"/>
        </w:rPr>
        <w:t>–</w:t>
      </w:r>
      <w:r w:rsidRPr="00995B26">
        <w:rPr>
          <w:rFonts w:ascii="Abo-thar" w:hAnsi="Abo-thar" w:hint="cs"/>
          <w:sz w:val="28"/>
          <w:rtl/>
          <w:lang w:bidi="ar-SY"/>
        </w:rPr>
        <w:t xml:space="preserve"> كما شرحنا ذلك فيما سبق </w:t>
      </w:r>
      <w:r w:rsidRPr="00995B26">
        <w:rPr>
          <w:rFonts w:hint="cs"/>
          <w:sz w:val="28"/>
          <w:rtl/>
          <w:lang w:bidi="ar-SY"/>
        </w:rPr>
        <w:t>–</w:t>
      </w:r>
      <w:r w:rsidRPr="00995B26">
        <w:rPr>
          <w:rFonts w:ascii="Abo-thar" w:hAnsi="Abo-thar" w:hint="cs"/>
          <w:sz w:val="28"/>
          <w:rtl/>
          <w:lang w:bidi="ar-SY"/>
        </w:rPr>
        <w:t xml:space="preserve"> حتى تستعمل بشأنه كلمة </w:t>
      </w:r>
      <w:r w:rsidR="00217AB4" w:rsidRPr="00995B26">
        <w:rPr>
          <w:rFonts w:ascii="Abo-thar" w:hAnsi="Abo-thar" w:hint="cs"/>
          <w:sz w:val="28"/>
          <w:rtl/>
          <w:lang w:bidi="ar-SY"/>
        </w:rPr>
        <w:t>(</w:t>
      </w:r>
      <w:r w:rsidRPr="00995B26">
        <w:rPr>
          <w:rFonts w:ascii="Abo-thar" w:hAnsi="Abo-thar" w:hint="cs"/>
          <w:sz w:val="28"/>
          <w:rtl/>
          <w:lang w:bidi="ar-SY"/>
        </w:rPr>
        <w:t>الأخذ</w:t>
      </w:r>
      <w:r w:rsidR="00217AB4" w:rsidRPr="00995B26">
        <w:rPr>
          <w:rFonts w:ascii="Abo-thar" w:hAnsi="Abo-thar" w:hint="cs"/>
          <w:sz w:val="28"/>
          <w:rtl/>
          <w:lang w:bidi="ar-SY"/>
        </w:rPr>
        <w:t>)،</w:t>
      </w:r>
      <w:r w:rsidRPr="00995B26">
        <w:rPr>
          <w:rFonts w:ascii="Abo-thar" w:hAnsi="Abo-thar" w:hint="cs"/>
          <w:sz w:val="28"/>
          <w:rtl/>
          <w:lang w:bidi="ar-SY"/>
        </w:rPr>
        <w:t xml:space="preserve"> لأن غنائم الحرب بيد رئيس المسلمين وإمامهم وتحت تصرفه</w:t>
      </w:r>
      <w:r w:rsidR="001E0DB7" w:rsidRPr="00995B26">
        <w:rPr>
          <w:rFonts w:ascii="Abo-thar" w:hAnsi="Abo-thar" w:hint="cs"/>
          <w:sz w:val="28"/>
          <w:rtl/>
          <w:lang w:bidi="ar-SY"/>
        </w:rPr>
        <w:t>،</w:t>
      </w:r>
      <w:r w:rsidRPr="00995B26">
        <w:rPr>
          <w:rFonts w:ascii="Abo-thar" w:hAnsi="Abo-thar" w:hint="cs"/>
          <w:sz w:val="28"/>
          <w:rtl/>
          <w:lang w:bidi="ar-SY"/>
        </w:rPr>
        <w:t xml:space="preserve"> وهو يعطي منها سهم المقاتلين وسهم اليتامى والمساكين وأبناء السبيل</w:t>
      </w:r>
      <w:r w:rsidR="00217AB4" w:rsidRPr="00995B26">
        <w:rPr>
          <w:rFonts w:ascii="Abo-thar" w:hAnsi="Abo-thar" w:hint="cs"/>
          <w:sz w:val="28"/>
          <w:rtl/>
          <w:lang w:bidi="ar-SY"/>
        </w:rPr>
        <w:t>،</w:t>
      </w:r>
      <w:r w:rsidRPr="00995B26">
        <w:rPr>
          <w:rFonts w:ascii="Abo-thar" w:hAnsi="Abo-thar" w:hint="cs"/>
          <w:sz w:val="28"/>
          <w:rtl/>
          <w:lang w:bidi="ar-SY"/>
        </w:rPr>
        <w:t xml:space="preserve"> وبالتالي لم يأتِ الأمر للمسلمين بإعطاء هذا الخُمس</w:t>
      </w:r>
      <w:r w:rsidR="00147857" w:rsidRPr="00995B26">
        <w:rPr>
          <w:rFonts w:ascii="Abo-thar" w:hAnsi="Abo-thar" w:hint="cs"/>
          <w:sz w:val="28"/>
          <w:rtl/>
          <w:lang w:bidi="ar-SY"/>
        </w:rPr>
        <w:t xml:space="preserve"> </w:t>
      </w:r>
      <w:r w:rsidRPr="00995B26">
        <w:rPr>
          <w:rFonts w:ascii="Abo-thar" w:hAnsi="Abo-thar" w:hint="cs"/>
          <w:sz w:val="28"/>
          <w:rtl/>
          <w:lang w:bidi="ar-SY"/>
        </w:rPr>
        <w:t xml:space="preserve">بكلمات مثل </w:t>
      </w:r>
      <w:r w:rsidR="00217AB4" w:rsidRPr="00995B26">
        <w:rPr>
          <w:rFonts w:ascii="Abo-thar" w:hAnsi="Abo-thar" w:hint="cs"/>
          <w:sz w:val="28"/>
          <w:rtl/>
          <w:lang w:bidi="ar-SY"/>
        </w:rPr>
        <w:t>(</w:t>
      </w:r>
      <w:r w:rsidRPr="00995B26">
        <w:rPr>
          <w:rFonts w:ascii="Abo-thar" w:hAnsi="Abo-thar" w:hint="cs"/>
          <w:sz w:val="28"/>
          <w:rtl/>
          <w:lang w:bidi="ar-SY"/>
        </w:rPr>
        <w:t>آتوا</w:t>
      </w:r>
      <w:r w:rsidRPr="00995B26">
        <w:rPr>
          <w:rFonts w:hint="cs"/>
          <w:sz w:val="28"/>
          <w:rtl/>
          <w:lang w:bidi="ar-SY"/>
        </w:rPr>
        <w:t>–</w:t>
      </w:r>
      <w:r w:rsidRPr="00995B26">
        <w:rPr>
          <w:rFonts w:ascii="Abo-thar" w:hAnsi="Abo-thar" w:hint="cs"/>
          <w:sz w:val="28"/>
          <w:rtl/>
          <w:lang w:bidi="ar-SY"/>
        </w:rPr>
        <w:t xml:space="preserve"> أنفقوا</w:t>
      </w:r>
      <w:r w:rsidR="00217AB4" w:rsidRPr="00995B26">
        <w:rPr>
          <w:rFonts w:ascii="Abo-thar" w:hAnsi="Abo-thar" w:hint="cs"/>
          <w:sz w:val="28"/>
          <w:rtl/>
          <w:lang w:bidi="ar-SY"/>
        </w:rPr>
        <w:t>)</w:t>
      </w:r>
      <w:r w:rsidRPr="00995B26">
        <w:rPr>
          <w:rFonts w:ascii="Abo-thar" w:hAnsi="Abo-thar" w:hint="cs"/>
          <w:sz w:val="28"/>
          <w:rtl/>
          <w:lang w:bidi="ar-SY"/>
        </w:rPr>
        <w:t xml:space="preserve"> وأمثالها</w:t>
      </w:r>
      <w:r w:rsidR="001E0DB7" w:rsidRPr="00995B26">
        <w:rPr>
          <w:rFonts w:ascii="Abo-thar" w:hAnsi="Abo-thar" w:hint="cs"/>
          <w:sz w:val="28"/>
          <w:rtl/>
          <w:lang w:bidi="ar-SY"/>
        </w:rPr>
        <w:t>،</w:t>
      </w:r>
      <w:r w:rsidRPr="00995B26">
        <w:rPr>
          <w:rFonts w:ascii="Abo-thar" w:hAnsi="Abo-thar" w:hint="cs"/>
          <w:sz w:val="28"/>
          <w:rtl/>
          <w:lang w:bidi="ar-SY"/>
        </w:rPr>
        <w:t xml:space="preserve"> ولا</w:t>
      </w:r>
      <w:r w:rsidRPr="00995B26">
        <w:rPr>
          <w:rFonts w:ascii="Abo-thar" w:hAnsi="Abo-thar" w:hint="eastAsia"/>
          <w:sz w:val="28"/>
          <w:rtl/>
          <w:lang w:bidi="ar-SY"/>
        </w:rPr>
        <w:t> </w:t>
      </w:r>
      <w:r w:rsidRPr="00995B26">
        <w:rPr>
          <w:rFonts w:ascii="Abo-thar" w:hAnsi="Abo-thar" w:hint="cs"/>
          <w:sz w:val="28"/>
          <w:rtl/>
          <w:lang w:bidi="ar-SY"/>
        </w:rPr>
        <w:t>جاء الأمر لرئيس المسلمين وإمامهم بأخذ هذا الخُمس من المسلمين</w:t>
      </w:r>
      <w:r w:rsidR="00217AB4" w:rsidRPr="00995B26">
        <w:rPr>
          <w:rFonts w:ascii="Abo-thar" w:hAnsi="Abo-thar" w:hint="cs"/>
          <w:sz w:val="28"/>
          <w:rtl/>
          <w:lang w:bidi="ar-SY"/>
        </w:rPr>
        <w:t>،</w:t>
      </w:r>
      <w:r w:rsidRPr="00995B26">
        <w:rPr>
          <w:rFonts w:ascii="Abo-thar" w:hAnsi="Abo-thar" w:hint="cs"/>
          <w:sz w:val="28"/>
          <w:rtl/>
          <w:lang w:bidi="ar-SY"/>
        </w:rPr>
        <w:t xml:space="preserve"> لأن لا أحد من المسلمين يملك شيئاً من غنائم الحرب في البداية أو يمكنه التصرف فيها حتى يؤمر بإعطاء خمسها</w:t>
      </w:r>
      <w:r w:rsidR="00217AB4" w:rsidRPr="00995B26">
        <w:rPr>
          <w:rFonts w:ascii="Abo-thar" w:hAnsi="Abo-thar" w:hint="cs"/>
          <w:sz w:val="28"/>
          <w:rtl/>
          <w:lang w:bidi="ar-SY"/>
        </w:rPr>
        <w:t>.</w:t>
      </w:r>
      <w:r w:rsidRPr="00995B26">
        <w:rPr>
          <w:rFonts w:ascii="Abo-thar" w:hAnsi="Abo-thar" w:hint="cs"/>
          <w:sz w:val="28"/>
          <w:rtl/>
          <w:lang w:bidi="ar-SY"/>
        </w:rPr>
        <w:t xml:space="preserve"> فتلك العبارة إذن تدل على أن الحديث هو عن الزكاة التي أُمِرَ المسلمون بإعطائها بجمل من مثل</w:t>
      </w:r>
      <w:r w:rsidR="00217AB4" w:rsidRPr="00995B26">
        <w:rPr>
          <w:rFonts w:ascii="Abo-thar" w:hAnsi="Abo-thar" w:hint="cs"/>
          <w:sz w:val="28"/>
          <w:rtl/>
          <w:lang w:bidi="ar-SY"/>
        </w:rPr>
        <w:t>:</w:t>
      </w:r>
      <w:r w:rsidR="00B06788" w:rsidRPr="00995B26">
        <w:rPr>
          <w:rFonts w:ascii="Abo-thar" w:hAnsi="Abo-thar" w:hint="cs"/>
          <w:sz w:val="28"/>
          <w:rtl/>
          <w:lang w:bidi="ar-SY"/>
        </w:rPr>
        <w:t xml:space="preserve"> </w:t>
      </w:r>
      <w:r w:rsidR="00B06788" w:rsidRPr="00995B26">
        <w:rPr>
          <w:rFonts w:ascii="Abo-thar" w:hAnsi="Abo-thar" w:cs="Traditional Arabic" w:hint="cs"/>
          <w:sz w:val="28"/>
          <w:rtl/>
          <w:lang w:bidi="ar-SY"/>
        </w:rPr>
        <w:t>﴿</w:t>
      </w:r>
      <w:r w:rsidR="00B06788" w:rsidRPr="0067048A">
        <w:rPr>
          <w:rFonts w:ascii="KFGQPC Uthmanic Script HAFS" w:cs="KFGQPC Uthmanic Script HAFS" w:hint="eastAsia"/>
          <w:sz w:val="28"/>
          <w:szCs w:val="28"/>
          <w:rtl/>
        </w:rPr>
        <w:t>يَ</w:t>
      </w:r>
      <w:r w:rsidR="00B06788" w:rsidRPr="0067048A">
        <w:rPr>
          <w:rFonts w:ascii="KFGQPC Uthmanic Script HAFS" w:cs="KFGQPC Uthmanic Script HAFS" w:hint="cs"/>
          <w:sz w:val="28"/>
          <w:szCs w:val="28"/>
          <w:rtl/>
        </w:rPr>
        <w:t>ٰٓ</w:t>
      </w:r>
      <w:r w:rsidR="00B06788" w:rsidRPr="0067048A">
        <w:rPr>
          <w:rFonts w:ascii="KFGQPC Uthmanic Script HAFS" w:cs="KFGQPC Uthmanic Script HAFS" w:hint="eastAsia"/>
          <w:sz w:val="28"/>
          <w:szCs w:val="28"/>
          <w:rtl/>
        </w:rPr>
        <w:t>أَيُّهَا</w:t>
      </w:r>
      <w:r w:rsidR="00B06788" w:rsidRPr="0067048A">
        <w:rPr>
          <w:rFonts w:ascii="KFGQPC Uthmanic Script HAFS" w:cs="KFGQPC Uthmanic Script HAFS"/>
          <w:sz w:val="28"/>
          <w:szCs w:val="28"/>
          <w:rtl/>
        </w:rPr>
        <w:t xml:space="preserve"> </w:t>
      </w:r>
      <w:r w:rsidR="00B06788" w:rsidRPr="0067048A">
        <w:rPr>
          <w:rFonts w:ascii="KFGQPC Uthmanic Script HAFS" w:cs="KFGQPC Uthmanic Script HAFS" w:hint="cs"/>
          <w:sz w:val="28"/>
          <w:szCs w:val="28"/>
          <w:rtl/>
        </w:rPr>
        <w:t>ٱ</w:t>
      </w:r>
      <w:r w:rsidR="00B06788" w:rsidRPr="0067048A">
        <w:rPr>
          <w:rFonts w:ascii="KFGQPC Uthmanic Script HAFS" w:cs="KFGQPC Uthmanic Script HAFS" w:hint="eastAsia"/>
          <w:sz w:val="28"/>
          <w:szCs w:val="28"/>
          <w:rtl/>
        </w:rPr>
        <w:t>لَّذِينَ</w:t>
      </w:r>
      <w:r w:rsidR="00B06788" w:rsidRPr="0067048A">
        <w:rPr>
          <w:rFonts w:ascii="KFGQPC Uthmanic Script HAFS" w:cs="KFGQPC Uthmanic Script HAFS"/>
          <w:sz w:val="28"/>
          <w:szCs w:val="28"/>
          <w:rtl/>
        </w:rPr>
        <w:t xml:space="preserve"> </w:t>
      </w:r>
      <w:r w:rsidR="00B06788" w:rsidRPr="0067048A">
        <w:rPr>
          <w:rFonts w:ascii="KFGQPC Uthmanic Script HAFS" w:cs="KFGQPC Uthmanic Script HAFS" w:hint="eastAsia"/>
          <w:sz w:val="28"/>
          <w:szCs w:val="28"/>
          <w:rtl/>
        </w:rPr>
        <w:t>ءَامَنُو</w:t>
      </w:r>
      <w:r w:rsidR="00B06788" w:rsidRPr="0067048A">
        <w:rPr>
          <w:rFonts w:ascii="KFGQPC Uthmanic Script HAFS" w:cs="KFGQPC Uthmanic Script HAFS" w:hint="cs"/>
          <w:sz w:val="28"/>
          <w:szCs w:val="28"/>
          <w:rtl/>
        </w:rPr>
        <w:t>ٓ</w:t>
      </w:r>
      <w:r w:rsidR="00B06788" w:rsidRPr="0067048A">
        <w:rPr>
          <w:rFonts w:ascii="KFGQPC Uthmanic Script HAFS" w:cs="KFGQPC Uthmanic Script HAFS" w:hint="eastAsia"/>
          <w:sz w:val="28"/>
          <w:szCs w:val="28"/>
          <w:rtl/>
        </w:rPr>
        <w:t>اْ</w:t>
      </w:r>
      <w:r w:rsidR="00B06788" w:rsidRPr="0067048A">
        <w:rPr>
          <w:rFonts w:ascii="KFGQPC Uthmanic Script HAFS" w:cs="KFGQPC Uthmanic Script HAFS"/>
          <w:sz w:val="28"/>
          <w:szCs w:val="28"/>
          <w:rtl/>
        </w:rPr>
        <w:t xml:space="preserve"> </w:t>
      </w:r>
      <w:r w:rsidR="00B06788" w:rsidRPr="0067048A">
        <w:rPr>
          <w:rFonts w:ascii="KFGQPC Uthmanic Script HAFS" w:cs="KFGQPC Uthmanic Script HAFS" w:hint="eastAsia"/>
          <w:sz w:val="28"/>
          <w:szCs w:val="28"/>
          <w:rtl/>
        </w:rPr>
        <w:t>أَنفِقُواْ</w:t>
      </w:r>
      <w:r w:rsidR="00B06788" w:rsidRPr="0067048A">
        <w:rPr>
          <w:rFonts w:ascii="KFGQPC Uthmanic Script HAFS" w:cs="KFGQPC Uthmanic Script HAFS"/>
          <w:sz w:val="28"/>
          <w:szCs w:val="28"/>
          <w:rtl/>
        </w:rPr>
        <w:t xml:space="preserve"> </w:t>
      </w:r>
      <w:r w:rsidR="00B06788" w:rsidRPr="0067048A">
        <w:rPr>
          <w:rFonts w:ascii="KFGQPC Uthmanic Script HAFS" w:cs="KFGQPC Uthmanic Script HAFS" w:hint="eastAsia"/>
          <w:sz w:val="28"/>
          <w:szCs w:val="28"/>
          <w:rtl/>
        </w:rPr>
        <w:t>مِن</w:t>
      </w:r>
      <w:r w:rsidR="00B06788" w:rsidRPr="0067048A">
        <w:rPr>
          <w:rFonts w:ascii="KFGQPC Uthmanic Script HAFS" w:cs="KFGQPC Uthmanic Script HAFS"/>
          <w:sz w:val="28"/>
          <w:szCs w:val="28"/>
          <w:rtl/>
        </w:rPr>
        <w:t xml:space="preserve"> </w:t>
      </w:r>
      <w:r w:rsidR="00B06788" w:rsidRPr="0067048A">
        <w:rPr>
          <w:rFonts w:ascii="KFGQPC Uthmanic Script HAFS" w:cs="KFGQPC Uthmanic Script HAFS" w:hint="eastAsia"/>
          <w:sz w:val="28"/>
          <w:szCs w:val="28"/>
          <w:rtl/>
        </w:rPr>
        <w:t>طَيِّبَ</w:t>
      </w:r>
      <w:r w:rsidR="00B06788" w:rsidRPr="0067048A">
        <w:rPr>
          <w:rFonts w:ascii="KFGQPC Uthmanic Script HAFS" w:cs="KFGQPC Uthmanic Script HAFS" w:hint="cs"/>
          <w:sz w:val="28"/>
          <w:szCs w:val="28"/>
          <w:rtl/>
        </w:rPr>
        <w:t>ٰ</w:t>
      </w:r>
      <w:r w:rsidR="00B06788" w:rsidRPr="0067048A">
        <w:rPr>
          <w:rFonts w:ascii="KFGQPC Uthmanic Script HAFS" w:cs="KFGQPC Uthmanic Script HAFS" w:hint="eastAsia"/>
          <w:sz w:val="28"/>
          <w:szCs w:val="28"/>
          <w:rtl/>
        </w:rPr>
        <w:t>تِ</w:t>
      </w:r>
      <w:r w:rsidR="00B06788" w:rsidRPr="0067048A">
        <w:rPr>
          <w:rFonts w:ascii="KFGQPC Uthmanic Script HAFS" w:cs="KFGQPC Uthmanic Script HAFS"/>
          <w:sz w:val="28"/>
          <w:szCs w:val="28"/>
          <w:rtl/>
        </w:rPr>
        <w:t xml:space="preserve"> </w:t>
      </w:r>
      <w:r w:rsidR="00B06788" w:rsidRPr="0067048A">
        <w:rPr>
          <w:rFonts w:ascii="KFGQPC Uthmanic Script HAFS" w:cs="KFGQPC Uthmanic Script HAFS" w:hint="eastAsia"/>
          <w:sz w:val="28"/>
          <w:szCs w:val="28"/>
          <w:rtl/>
        </w:rPr>
        <w:t>مَا</w:t>
      </w:r>
      <w:r w:rsidR="00B06788" w:rsidRPr="0067048A">
        <w:rPr>
          <w:rFonts w:ascii="KFGQPC Uthmanic Script HAFS" w:cs="KFGQPC Uthmanic Script HAFS"/>
          <w:sz w:val="28"/>
          <w:szCs w:val="28"/>
          <w:rtl/>
        </w:rPr>
        <w:t xml:space="preserve"> </w:t>
      </w:r>
      <w:r w:rsidR="00B06788" w:rsidRPr="0067048A">
        <w:rPr>
          <w:rFonts w:ascii="KFGQPC Uthmanic Script HAFS" w:cs="KFGQPC Uthmanic Script HAFS" w:hint="eastAsia"/>
          <w:sz w:val="28"/>
          <w:szCs w:val="28"/>
          <w:rtl/>
        </w:rPr>
        <w:t>كَسَب</w:t>
      </w:r>
      <w:r w:rsidR="00B06788" w:rsidRPr="0067048A">
        <w:rPr>
          <w:rFonts w:ascii="KFGQPC Uthmanic Script HAFS" w:cs="KFGQPC Uthmanic Script HAFS" w:hint="cs"/>
          <w:sz w:val="28"/>
          <w:szCs w:val="28"/>
          <w:rtl/>
        </w:rPr>
        <w:t>ۡ</w:t>
      </w:r>
      <w:r w:rsidR="00B06788" w:rsidRPr="0067048A">
        <w:rPr>
          <w:rFonts w:ascii="KFGQPC Uthmanic Script HAFS" w:cs="KFGQPC Uthmanic Script HAFS" w:hint="eastAsia"/>
          <w:sz w:val="28"/>
          <w:szCs w:val="28"/>
          <w:rtl/>
        </w:rPr>
        <w:t>تُم</w:t>
      </w:r>
      <w:r w:rsidR="00B06788" w:rsidRPr="0067048A">
        <w:rPr>
          <w:rFonts w:ascii="KFGQPC Uthmanic Script HAFS" w:cs="KFGQPC Uthmanic Script HAFS" w:hint="cs"/>
          <w:sz w:val="28"/>
          <w:szCs w:val="28"/>
          <w:rtl/>
        </w:rPr>
        <w:t>ۡ</w:t>
      </w:r>
      <w:r w:rsidR="00B06788" w:rsidRPr="0067048A">
        <w:rPr>
          <w:rFonts w:ascii="KFGQPC Uthmanic Script HAFS" w:cs="KFGQPC Uthmanic Script HAFS"/>
          <w:sz w:val="28"/>
          <w:szCs w:val="28"/>
          <w:rtl/>
        </w:rPr>
        <w:t xml:space="preserve"> </w:t>
      </w:r>
      <w:r w:rsidR="00B06788" w:rsidRPr="0067048A">
        <w:rPr>
          <w:rFonts w:ascii="KFGQPC Uthmanic Script HAFS" w:cs="KFGQPC Uthmanic Script HAFS" w:hint="eastAsia"/>
          <w:sz w:val="28"/>
          <w:szCs w:val="28"/>
          <w:rtl/>
        </w:rPr>
        <w:t>وَمِمَّا</w:t>
      </w:r>
      <w:r w:rsidR="00B06788" w:rsidRPr="0067048A">
        <w:rPr>
          <w:rFonts w:ascii="KFGQPC Uthmanic Script HAFS" w:cs="KFGQPC Uthmanic Script HAFS" w:hint="cs"/>
          <w:sz w:val="28"/>
          <w:szCs w:val="28"/>
          <w:rtl/>
        </w:rPr>
        <w:t>ٓ</w:t>
      </w:r>
      <w:r w:rsidR="00B06788" w:rsidRPr="0067048A">
        <w:rPr>
          <w:rFonts w:ascii="KFGQPC Uthmanic Script HAFS" w:cs="KFGQPC Uthmanic Script HAFS"/>
          <w:sz w:val="28"/>
          <w:szCs w:val="28"/>
          <w:rtl/>
        </w:rPr>
        <w:t xml:space="preserve"> </w:t>
      </w:r>
      <w:r w:rsidR="00B06788" w:rsidRPr="0067048A">
        <w:rPr>
          <w:rFonts w:ascii="KFGQPC Uthmanic Script HAFS" w:cs="KFGQPC Uthmanic Script HAFS" w:hint="eastAsia"/>
          <w:sz w:val="28"/>
          <w:szCs w:val="28"/>
          <w:rtl/>
        </w:rPr>
        <w:t>أَخ</w:t>
      </w:r>
      <w:r w:rsidR="00B06788" w:rsidRPr="0067048A">
        <w:rPr>
          <w:rFonts w:ascii="KFGQPC Uthmanic Script HAFS" w:cs="KFGQPC Uthmanic Script HAFS" w:hint="cs"/>
          <w:sz w:val="28"/>
          <w:szCs w:val="28"/>
          <w:rtl/>
        </w:rPr>
        <w:t>ۡ</w:t>
      </w:r>
      <w:r w:rsidR="00B06788" w:rsidRPr="0067048A">
        <w:rPr>
          <w:rFonts w:ascii="KFGQPC Uthmanic Script HAFS" w:cs="KFGQPC Uthmanic Script HAFS" w:hint="eastAsia"/>
          <w:sz w:val="28"/>
          <w:szCs w:val="28"/>
          <w:rtl/>
        </w:rPr>
        <w:t>رَج</w:t>
      </w:r>
      <w:r w:rsidR="00B06788" w:rsidRPr="0067048A">
        <w:rPr>
          <w:rFonts w:ascii="KFGQPC Uthmanic Script HAFS" w:cs="KFGQPC Uthmanic Script HAFS" w:hint="cs"/>
          <w:sz w:val="28"/>
          <w:szCs w:val="28"/>
          <w:rtl/>
        </w:rPr>
        <w:t>ۡ</w:t>
      </w:r>
      <w:r w:rsidR="00B06788" w:rsidRPr="0067048A">
        <w:rPr>
          <w:rFonts w:ascii="KFGQPC Uthmanic Script HAFS" w:cs="KFGQPC Uthmanic Script HAFS" w:hint="eastAsia"/>
          <w:sz w:val="28"/>
          <w:szCs w:val="28"/>
          <w:rtl/>
        </w:rPr>
        <w:t>نَا</w:t>
      </w:r>
      <w:r w:rsidR="00B06788" w:rsidRPr="0067048A">
        <w:rPr>
          <w:rFonts w:ascii="KFGQPC Uthmanic Script HAFS" w:cs="KFGQPC Uthmanic Script HAFS"/>
          <w:sz w:val="28"/>
          <w:szCs w:val="28"/>
          <w:rtl/>
        </w:rPr>
        <w:t xml:space="preserve"> </w:t>
      </w:r>
      <w:r w:rsidR="00B06788" w:rsidRPr="0067048A">
        <w:rPr>
          <w:rFonts w:ascii="KFGQPC Uthmanic Script HAFS" w:cs="KFGQPC Uthmanic Script HAFS" w:hint="eastAsia"/>
          <w:sz w:val="28"/>
          <w:szCs w:val="28"/>
          <w:rtl/>
        </w:rPr>
        <w:t>لَكُم</w:t>
      </w:r>
      <w:r w:rsidR="00B06788" w:rsidRPr="0067048A">
        <w:rPr>
          <w:rFonts w:ascii="KFGQPC Uthmanic Script HAFS" w:cs="KFGQPC Uthmanic Script HAFS"/>
          <w:sz w:val="28"/>
          <w:szCs w:val="28"/>
          <w:rtl/>
        </w:rPr>
        <w:t xml:space="preserve"> </w:t>
      </w:r>
      <w:r w:rsidR="00B06788" w:rsidRPr="0067048A">
        <w:rPr>
          <w:rFonts w:ascii="KFGQPC Uthmanic Script HAFS" w:cs="KFGQPC Uthmanic Script HAFS" w:hint="eastAsia"/>
          <w:sz w:val="28"/>
          <w:szCs w:val="28"/>
          <w:rtl/>
        </w:rPr>
        <w:t>مِّنَ</w:t>
      </w:r>
      <w:r w:rsidR="00B06788" w:rsidRPr="0067048A">
        <w:rPr>
          <w:rFonts w:ascii="KFGQPC Uthmanic Script HAFS" w:cs="KFGQPC Uthmanic Script HAFS"/>
          <w:sz w:val="28"/>
          <w:szCs w:val="28"/>
          <w:rtl/>
        </w:rPr>
        <w:t xml:space="preserve"> </w:t>
      </w:r>
      <w:r w:rsidR="00B06788" w:rsidRPr="0067048A">
        <w:rPr>
          <w:rFonts w:ascii="KFGQPC Uthmanic Script HAFS" w:cs="KFGQPC Uthmanic Script HAFS" w:hint="cs"/>
          <w:sz w:val="28"/>
          <w:szCs w:val="28"/>
          <w:rtl/>
        </w:rPr>
        <w:t>ٱ</w:t>
      </w:r>
      <w:r w:rsidR="00B06788" w:rsidRPr="0067048A">
        <w:rPr>
          <w:rFonts w:ascii="KFGQPC Uthmanic Script HAFS" w:cs="KFGQPC Uthmanic Script HAFS" w:hint="eastAsia"/>
          <w:sz w:val="28"/>
          <w:szCs w:val="28"/>
          <w:rtl/>
        </w:rPr>
        <w:t>ل</w:t>
      </w:r>
      <w:r w:rsidR="00B06788" w:rsidRPr="0067048A">
        <w:rPr>
          <w:rFonts w:ascii="KFGQPC Uthmanic Script HAFS" w:cs="KFGQPC Uthmanic Script HAFS" w:hint="cs"/>
          <w:sz w:val="28"/>
          <w:szCs w:val="28"/>
          <w:rtl/>
        </w:rPr>
        <w:t>ۡ</w:t>
      </w:r>
      <w:r w:rsidR="00B06788" w:rsidRPr="0067048A">
        <w:rPr>
          <w:rFonts w:ascii="KFGQPC Uthmanic Script HAFS" w:cs="KFGQPC Uthmanic Script HAFS" w:hint="eastAsia"/>
          <w:sz w:val="28"/>
          <w:szCs w:val="28"/>
          <w:rtl/>
        </w:rPr>
        <w:t>أَر</w:t>
      </w:r>
      <w:r w:rsidR="00B06788" w:rsidRPr="0067048A">
        <w:rPr>
          <w:rFonts w:ascii="KFGQPC Uthmanic Script HAFS" w:cs="KFGQPC Uthmanic Script HAFS" w:hint="cs"/>
          <w:sz w:val="28"/>
          <w:szCs w:val="28"/>
          <w:rtl/>
        </w:rPr>
        <w:t>ۡ</w:t>
      </w:r>
      <w:r w:rsidR="00B06788" w:rsidRPr="0067048A">
        <w:rPr>
          <w:rFonts w:ascii="KFGQPC Uthmanic Script HAFS" w:cs="KFGQPC Uthmanic Script HAFS" w:hint="eastAsia"/>
          <w:sz w:val="28"/>
          <w:szCs w:val="28"/>
          <w:rtl/>
        </w:rPr>
        <w:t>ضِ</w:t>
      </w:r>
      <w:r w:rsidR="00B06788" w:rsidRPr="00995B26">
        <w:rPr>
          <w:rFonts w:ascii="Abo-thar" w:hAnsi="Abo-thar" w:cs="Traditional Arabic" w:hint="cs"/>
          <w:sz w:val="28"/>
          <w:rtl/>
          <w:lang w:bidi="ar-SY"/>
        </w:rPr>
        <w:t>﴾</w:t>
      </w:r>
      <w:r w:rsidRPr="00995B26">
        <w:rPr>
          <w:rFonts w:ascii="Abo-thar" w:hAnsi="Abo-thar" w:hint="cs"/>
          <w:sz w:val="28"/>
          <w:rtl/>
          <w:lang w:bidi="ar-SY"/>
        </w:rPr>
        <w:t xml:space="preserve"> </w:t>
      </w:r>
      <w:r w:rsidRPr="003108CB">
        <w:rPr>
          <w:rStyle w:val="Char2"/>
          <w:rtl/>
        </w:rPr>
        <w:t>[البقرة</w:t>
      </w:r>
      <w:r w:rsidR="00B06788" w:rsidRPr="003108CB">
        <w:rPr>
          <w:rStyle w:val="Char2"/>
          <w:rFonts w:hint="cs"/>
          <w:rtl/>
        </w:rPr>
        <w:t xml:space="preserve">: </w:t>
      </w:r>
      <w:r w:rsidRPr="003108CB">
        <w:rPr>
          <w:rStyle w:val="Char2"/>
          <w:rtl/>
        </w:rPr>
        <w:t>267]</w:t>
      </w:r>
      <w:r w:rsidRPr="00995B26">
        <w:rPr>
          <w:rFonts w:ascii="Abo-thar" w:hAnsi="Abo-thar" w:hint="cs"/>
          <w:sz w:val="28"/>
          <w:rtl/>
          <w:lang w:bidi="ar-SY"/>
        </w:rPr>
        <w:t xml:space="preserve"> وأمثالها</w:t>
      </w:r>
      <w:r w:rsidR="001E0DB7" w:rsidRPr="00995B26">
        <w:rPr>
          <w:rFonts w:ascii="Abo-thar" w:hAnsi="Abo-thar" w:hint="cs"/>
          <w:sz w:val="28"/>
          <w:rtl/>
          <w:lang w:bidi="ar-SY"/>
        </w:rPr>
        <w:t>،</w:t>
      </w:r>
      <w:r w:rsidRPr="00995B26">
        <w:rPr>
          <w:rFonts w:ascii="Abo-thar" w:hAnsi="Abo-thar" w:hint="cs"/>
          <w:sz w:val="28"/>
          <w:rtl/>
          <w:lang w:bidi="ar-SY"/>
        </w:rPr>
        <w:t xml:space="preserve"> كما أُمِرَ إمام المسلمين بأخذها بجمل من مثل</w:t>
      </w:r>
      <w:r w:rsidR="00217AB4" w:rsidRPr="00995B26">
        <w:rPr>
          <w:rFonts w:ascii="Abo-thar" w:hAnsi="Abo-thar" w:hint="cs"/>
          <w:sz w:val="28"/>
          <w:rtl/>
          <w:lang w:bidi="ar-SY"/>
        </w:rPr>
        <w:t>:</w:t>
      </w:r>
      <w:r w:rsidR="00B06788" w:rsidRPr="00995B26">
        <w:rPr>
          <w:rFonts w:ascii="Abo-thar" w:hAnsi="Abo-thar" w:hint="cs"/>
          <w:sz w:val="28"/>
          <w:rtl/>
          <w:lang w:bidi="ar-SY"/>
        </w:rPr>
        <w:t xml:space="preserve"> </w:t>
      </w:r>
      <w:r w:rsidR="00B06788" w:rsidRPr="00995B26">
        <w:rPr>
          <w:rFonts w:ascii="Abo-thar" w:hAnsi="Abo-thar" w:cs="Traditional Arabic" w:hint="cs"/>
          <w:sz w:val="28"/>
          <w:rtl/>
          <w:lang w:bidi="ar-SY"/>
        </w:rPr>
        <w:t>﴿</w:t>
      </w:r>
      <w:r w:rsidR="00B06788" w:rsidRPr="0067048A">
        <w:rPr>
          <w:rFonts w:ascii="KFGQPC Uthmanic Script HAFS" w:cs="KFGQPC Uthmanic Script HAFS" w:hint="eastAsia"/>
          <w:sz w:val="28"/>
          <w:szCs w:val="28"/>
          <w:rtl/>
        </w:rPr>
        <w:t>خُذ</w:t>
      </w:r>
      <w:r w:rsidR="00B06788" w:rsidRPr="0067048A">
        <w:rPr>
          <w:rFonts w:ascii="KFGQPC Uthmanic Script HAFS" w:cs="KFGQPC Uthmanic Script HAFS" w:hint="cs"/>
          <w:sz w:val="28"/>
          <w:szCs w:val="28"/>
          <w:rtl/>
        </w:rPr>
        <w:t>ۡ</w:t>
      </w:r>
      <w:r w:rsidR="00B06788" w:rsidRPr="0067048A">
        <w:rPr>
          <w:rFonts w:ascii="KFGQPC Uthmanic Script HAFS" w:cs="KFGQPC Uthmanic Script HAFS"/>
          <w:sz w:val="28"/>
          <w:szCs w:val="28"/>
          <w:rtl/>
        </w:rPr>
        <w:t xml:space="preserve"> </w:t>
      </w:r>
      <w:r w:rsidR="00B06788" w:rsidRPr="0067048A">
        <w:rPr>
          <w:rFonts w:ascii="KFGQPC Uthmanic Script HAFS" w:cs="KFGQPC Uthmanic Script HAFS" w:hint="eastAsia"/>
          <w:sz w:val="28"/>
          <w:szCs w:val="28"/>
          <w:rtl/>
        </w:rPr>
        <w:t>مِن</w:t>
      </w:r>
      <w:r w:rsidR="00B06788" w:rsidRPr="0067048A">
        <w:rPr>
          <w:rFonts w:ascii="KFGQPC Uthmanic Script HAFS" w:cs="KFGQPC Uthmanic Script HAFS" w:hint="cs"/>
          <w:sz w:val="28"/>
          <w:szCs w:val="28"/>
          <w:rtl/>
        </w:rPr>
        <w:t>ۡ</w:t>
      </w:r>
      <w:r w:rsidR="00B06788" w:rsidRPr="0067048A">
        <w:rPr>
          <w:rFonts w:ascii="KFGQPC Uthmanic Script HAFS" w:cs="KFGQPC Uthmanic Script HAFS"/>
          <w:sz w:val="28"/>
          <w:szCs w:val="28"/>
          <w:rtl/>
        </w:rPr>
        <w:t xml:space="preserve"> </w:t>
      </w:r>
      <w:r w:rsidR="00B06788" w:rsidRPr="0067048A">
        <w:rPr>
          <w:rFonts w:ascii="KFGQPC Uthmanic Script HAFS" w:cs="KFGQPC Uthmanic Script HAFS" w:hint="eastAsia"/>
          <w:sz w:val="28"/>
          <w:szCs w:val="28"/>
          <w:rtl/>
        </w:rPr>
        <w:t>أَم</w:t>
      </w:r>
      <w:r w:rsidR="00B06788" w:rsidRPr="0067048A">
        <w:rPr>
          <w:rFonts w:ascii="KFGQPC Uthmanic Script HAFS" w:cs="KFGQPC Uthmanic Script HAFS" w:hint="cs"/>
          <w:sz w:val="28"/>
          <w:szCs w:val="28"/>
          <w:rtl/>
        </w:rPr>
        <w:t>ۡ</w:t>
      </w:r>
      <w:r w:rsidR="00B06788" w:rsidRPr="0067048A">
        <w:rPr>
          <w:rFonts w:ascii="KFGQPC Uthmanic Script HAFS" w:cs="KFGQPC Uthmanic Script HAFS" w:hint="eastAsia"/>
          <w:sz w:val="28"/>
          <w:szCs w:val="28"/>
          <w:rtl/>
        </w:rPr>
        <w:t>وَ</w:t>
      </w:r>
      <w:r w:rsidR="00B06788" w:rsidRPr="0067048A">
        <w:rPr>
          <w:rFonts w:ascii="KFGQPC Uthmanic Script HAFS" w:cs="KFGQPC Uthmanic Script HAFS" w:hint="cs"/>
          <w:sz w:val="28"/>
          <w:szCs w:val="28"/>
          <w:rtl/>
        </w:rPr>
        <w:t>ٰ</w:t>
      </w:r>
      <w:r w:rsidR="00B06788" w:rsidRPr="0067048A">
        <w:rPr>
          <w:rFonts w:ascii="KFGQPC Uthmanic Script HAFS" w:cs="KFGQPC Uthmanic Script HAFS" w:hint="eastAsia"/>
          <w:sz w:val="28"/>
          <w:szCs w:val="28"/>
          <w:rtl/>
        </w:rPr>
        <w:t>لِهِم</w:t>
      </w:r>
      <w:r w:rsidR="00B06788" w:rsidRPr="0067048A">
        <w:rPr>
          <w:rFonts w:ascii="KFGQPC Uthmanic Script HAFS" w:cs="KFGQPC Uthmanic Script HAFS" w:hint="cs"/>
          <w:sz w:val="28"/>
          <w:szCs w:val="28"/>
          <w:rtl/>
        </w:rPr>
        <w:t>ۡ</w:t>
      </w:r>
      <w:r w:rsidR="00B06788" w:rsidRPr="0067048A">
        <w:rPr>
          <w:rFonts w:ascii="KFGQPC Uthmanic Script HAFS" w:cs="KFGQPC Uthmanic Script HAFS"/>
          <w:sz w:val="28"/>
          <w:szCs w:val="28"/>
          <w:rtl/>
        </w:rPr>
        <w:t xml:space="preserve"> </w:t>
      </w:r>
      <w:r w:rsidR="00B06788" w:rsidRPr="0067048A">
        <w:rPr>
          <w:rFonts w:ascii="KFGQPC Uthmanic Script HAFS" w:cs="KFGQPC Uthmanic Script HAFS" w:hint="eastAsia"/>
          <w:sz w:val="28"/>
          <w:szCs w:val="28"/>
          <w:rtl/>
        </w:rPr>
        <w:t>صَدَقَة</w:t>
      </w:r>
      <w:r w:rsidR="00B06788" w:rsidRPr="0067048A">
        <w:rPr>
          <w:rFonts w:ascii="KFGQPC Uthmanic Script HAFS" w:cs="KFGQPC Uthmanic Script HAFS" w:hint="cs"/>
          <w:sz w:val="28"/>
          <w:szCs w:val="28"/>
          <w:rtl/>
        </w:rPr>
        <w:t>ٗ</w:t>
      </w:r>
      <w:r w:rsidR="00B06788" w:rsidRPr="0067048A">
        <w:rPr>
          <w:rFonts w:ascii="KFGQPC Uthmanic Script HAFS" w:cs="KFGQPC Uthmanic Script HAFS"/>
          <w:sz w:val="28"/>
          <w:szCs w:val="28"/>
          <w:rtl/>
        </w:rPr>
        <w:t xml:space="preserve"> </w:t>
      </w:r>
      <w:r w:rsidR="00B06788" w:rsidRPr="0067048A">
        <w:rPr>
          <w:rFonts w:ascii="KFGQPC Uthmanic Script HAFS" w:cs="KFGQPC Uthmanic Script HAFS" w:hint="eastAsia"/>
          <w:sz w:val="28"/>
          <w:szCs w:val="28"/>
          <w:rtl/>
        </w:rPr>
        <w:t>تُطَهِّرُهُم</w:t>
      </w:r>
      <w:r w:rsidR="00B06788" w:rsidRPr="0067048A">
        <w:rPr>
          <w:rFonts w:ascii="KFGQPC Uthmanic Script HAFS" w:cs="KFGQPC Uthmanic Script HAFS" w:hint="cs"/>
          <w:sz w:val="28"/>
          <w:szCs w:val="28"/>
          <w:rtl/>
        </w:rPr>
        <w:t>ۡ</w:t>
      </w:r>
      <w:r w:rsidR="00B06788" w:rsidRPr="0067048A">
        <w:rPr>
          <w:rFonts w:ascii="KFGQPC Uthmanic Script HAFS" w:cs="KFGQPC Uthmanic Script HAFS"/>
          <w:sz w:val="28"/>
          <w:szCs w:val="28"/>
          <w:rtl/>
        </w:rPr>
        <w:t xml:space="preserve"> </w:t>
      </w:r>
      <w:r w:rsidR="00B06788" w:rsidRPr="0067048A">
        <w:rPr>
          <w:rFonts w:ascii="KFGQPC Uthmanic Script HAFS" w:cs="KFGQPC Uthmanic Script HAFS" w:hint="eastAsia"/>
          <w:sz w:val="28"/>
          <w:szCs w:val="28"/>
          <w:rtl/>
        </w:rPr>
        <w:t>وَتُزَكِّيهِم</w:t>
      </w:r>
      <w:r w:rsidR="00B06788" w:rsidRPr="0067048A">
        <w:rPr>
          <w:rFonts w:ascii="KFGQPC Uthmanic Script HAFS" w:cs="KFGQPC Uthmanic Script HAFS"/>
          <w:sz w:val="28"/>
          <w:szCs w:val="28"/>
          <w:rtl/>
        </w:rPr>
        <w:t xml:space="preserve"> </w:t>
      </w:r>
      <w:r w:rsidR="00B06788" w:rsidRPr="0067048A">
        <w:rPr>
          <w:rFonts w:ascii="KFGQPC Uthmanic Script HAFS" w:cs="KFGQPC Uthmanic Script HAFS" w:hint="eastAsia"/>
          <w:sz w:val="28"/>
          <w:szCs w:val="28"/>
          <w:rtl/>
        </w:rPr>
        <w:t>بِهَا</w:t>
      </w:r>
      <w:r w:rsidR="00B06788" w:rsidRPr="00995B26">
        <w:rPr>
          <w:rFonts w:ascii="Abo-thar" w:hAnsi="Abo-thar" w:cs="Traditional Arabic" w:hint="cs"/>
          <w:sz w:val="28"/>
          <w:rtl/>
          <w:lang w:bidi="ar-SY"/>
        </w:rPr>
        <w:t>﴾</w:t>
      </w:r>
      <w:r w:rsidRPr="00995B26">
        <w:rPr>
          <w:rFonts w:ascii="Abo-thar" w:hAnsi="Abo-thar" w:hint="cs"/>
          <w:sz w:val="28"/>
          <w:rtl/>
          <w:lang w:bidi="ar-SY"/>
        </w:rPr>
        <w:t xml:space="preserve"> </w:t>
      </w:r>
      <w:r w:rsidRPr="003108CB">
        <w:rPr>
          <w:rStyle w:val="Char2"/>
          <w:rtl/>
        </w:rPr>
        <w:t>[التوبة</w:t>
      </w:r>
      <w:r w:rsidR="00B06788" w:rsidRPr="003108CB">
        <w:rPr>
          <w:rStyle w:val="Char2"/>
          <w:rFonts w:hint="cs"/>
          <w:rtl/>
        </w:rPr>
        <w:t xml:space="preserve">: </w:t>
      </w:r>
      <w:r w:rsidRPr="003108CB">
        <w:rPr>
          <w:rStyle w:val="Char2"/>
          <w:rtl/>
        </w:rPr>
        <w:t>103]</w:t>
      </w:r>
      <w:r w:rsidR="00217AB4" w:rsidRPr="00995B26">
        <w:rPr>
          <w:rFonts w:ascii="Abo-thar" w:hAnsi="Abo-thar" w:hint="cs"/>
          <w:sz w:val="28"/>
          <w:rtl/>
          <w:lang w:bidi="ar-SY"/>
        </w:rPr>
        <w:t>.</w:t>
      </w:r>
      <w:r w:rsidRPr="00995B26">
        <w:rPr>
          <w:rFonts w:ascii="Abo-thar" w:hAnsi="Abo-thar" w:hint="cs"/>
          <w:sz w:val="28"/>
          <w:rtl/>
          <w:lang w:bidi="ar-SY"/>
        </w:rPr>
        <w:t xml:space="preserve"> </w:t>
      </w:r>
    </w:p>
    <w:p w:rsidR="005C664D" w:rsidRPr="003F3B94" w:rsidRDefault="005C664D" w:rsidP="003F3B94">
      <w:pPr>
        <w:pStyle w:val="a0"/>
        <w:rPr>
          <w:rFonts w:hint="cs"/>
          <w:rtl/>
          <w:lang w:bidi="ar-SY"/>
        </w:rPr>
      </w:pPr>
      <w:r w:rsidRPr="003F3B94">
        <w:rPr>
          <w:rFonts w:ascii="Abo-thar" w:hAnsi="Abo-thar" w:hint="cs"/>
          <w:sz w:val="28"/>
          <w:rtl/>
          <w:lang w:bidi="ar-SY"/>
        </w:rPr>
        <w:t>2</w:t>
      </w:r>
      <w:r w:rsidR="00217AB4" w:rsidRPr="003F3B94">
        <w:rPr>
          <w:rFonts w:ascii="Abo-thar" w:hAnsi="Abo-thar" w:hint="cs"/>
          <w:sz w:val="28"/>
          <w:rtl/>
          <w:lang w:bidi="ar-SY"/>
        </w:rPr>
        <w:t>-</w:t>
      </w:r>
      <w:r w:rsidRPr="003F3B94">
        <w:rPr>
          <w:rFonts w:ascii="Abo-thar" w:hAnsi="Abo-thar" w:hint="cs"/>
          <w:sz w:val="28"/>
          <w:rtl/>
          <w:lang w:bidi="ar-SY"/>
        </w:rPr>
        <w:t xml:space="preserve"> الحديث الذي رواه الشيخ الطوسي في «التهذيب»</w:t>
      </w:r>
      <w:r w:rsidR="00217AB4" w:rsidRPr="003F3B94">
        <w:rPr>
          <w:rFonts w:ascii="Abo-thar" w:hAnsi="Abo-thar" w:hint="cs"/>
          <w:sz w:val="28"/>
          <w:rtl/>
          <w:lang w:bidi="ar-SY"/>
        </w:rPr>
        <w:t>:</w:t>
      </w:r>
      <w:r w:rsidR="00147857" w:rsidRPr="003F3B94">
        <w:rPr>
          <w:rFonts w:ascii="Abo-thar" w:hAnsi="Abo-thar" w:hint="cs"/>
          <w:sz w:val="28"/>
          <w:rtl/>
          <w:lang w:bidi="ar-SY"/>
        </w:rPr>
        <w:t xml:space="preserve"> </w:t>
      </w:r>
      <w:r w:rsidR="00EF2588" w:rsidRPr="003762F6">
        <w:rPr>
          <w:rFonts w:ascii="Abo-thar" w:hAnsi="Abo-thar" w:cs="KFGQPC Uthman Taha Naskh" w:hint="cs"/>
          <w:sz w:val="28"/>
          <w:rtl/>
          <w:lang w:bidi="ar-SY"/>
        </w:rPr>
        <w:t>«</w:t>
      </w:r>
      <w:r w:rsidRPr="003762F6">
        <w:rPr>
          <w:rFonts w:ascii="Abo-thar" w:hAnsi="Abo-thar" w:cs="KFGQPC Uthman Taha Naskh"/>
          <w:b/>
          <w:bCs/>
          <w:sz w:val="28"/>
          <w:rtl/>
          <w:lang w:bidi="ar-SY"/>
        </w:rPr>
        <w:t xml:space="preserve">عَنْ زُرَارَةَ عَنْ أَبِي جَعْفَرٍ </w:t>
      </w:r>
      <w:r w:rsidR="00BC4BA9" w:rsidRPr="00BC4BA9">
        <w:rPr>
          <w:rFonts w:ascii="Abo-thar" w:hAnsi="Abo-thar" w:cs="CTraditional Arabic"/>
          <w:b/>
          <w:sz w:val="28"/>
          <w:rtl/>
          <w:lang w:bidi="ar-SY"/>
        </w:rPr>
        <w:t>÷</w:t>
      </w:r>
      <w:r w:rsidRPr="003762F6">
        <w:rPr>
          <w:rFonts w:ascii="Abo-thar" w:hAnsi="Abo-thar" w:cs="KFGQPC Uthman Taha Naskh"/>
          <w:b/>
          <w:bCs/>
          <w:sz w:val="28"/>
          <w:rtl/>
          <w:lang w:bidi="ar-SY"/>
        </w:rPr>
        <w:t xml:space="preserve"> قَالَ سَأَلْتُهُ عَنِ المَعَادِنِ مَا فِيهَا فَقَالَ كُلُّ مَا كَانَ رِكَازاً فَفِيهِ الخُمُسُ وقَالَ مَا عَالَجْتَهُ بِمَالِكَ فَفِيهِ مِمَّا أَخْرَجَ اللهُ مِنْهُ مِنْ حِجَارَتِهِ مُصَفًّى الخُمُس</w:t>
      </w:r>
      <w:r w:rsidRPr="003762F6">
        <w:rPr>
          <w:rFonts w:ascii="Abo-thar" w:hAnsi="Abo-thar" w:cs="KFGQPC Uthman Taha Naskh"/>
          <w:sz w:val="28"/>
          <w:rtl/>
          <w:lang w:bidi="ar-SY"/>
        </w:rPr>
        <w:t>‏</w:t>
      </w:r>
      <w:r w:rsidR="00EF2588" w:rsidRPr="003762F6">
        <w:rPr>
          <w:rFonts w:ascii="Abo-thar" w:hAnsi="Abo-thar" w:cs="KFGQPC Uthman Taha Naskh" w:hint="cs"/>
          <w:sz w:val="28"/>
          <w:rtl/>
          <w:lang w:bidi="ar-SY"/>
        </w:rPr>
        <w:t>»</w:t>
      </w:r>
      <w:r w:rsidR="00217AB4" w:rsidRPr="003F3B94">
        <w:rPr>
          <w:rFonts w:ascii="Abo-thar" w:hAnsi="Abo-thar" w:hint="cs"/>
          <w:sz w:val="28"/>
          <w:rtl/>
          <w:lang w:bidi="ar-SY"/>
        </w:rPr>
        <w:t>.</w:t>
      </w:r>
    </w:p>
    <w:p w:rsidR="005C664D" w:rsidRPr="003F3B94" w:rsidRDefault="005C664D" w:rsidP="003F3B94">
      <w:pPr>
        <w:pStyle w:val="a0"/>
        <w:rPr>
          <w:rFonts w:hint="cs"/>
          <w:rtl/>
          <w:lang w:bidi="ar-SY"/>
        </w:rPr>
      </w:pPr>
      <w:r w:rsidRPr="003F3B94">
        <w:rPr>
          <w:rFonts w:ascii="Abo-thar" w:hAnsi="Abo-thar" w:hint="cs"/>
          <w:sz w:val="28"/>
          <w:rtl/>
          <w:lang w:bidi="ar-SY"/>
        </w:rPr>
        <w:t xml:space="preserve">في هذا الحديث كما في الحديث السابق يسأل السائل </w:t>
      </w:r>
      <w:r w:rsidRPr="003F3B94">
        <w:rPr>
          <w:rFonts w:ascii="Abo-thar" w:hAnsi="Abo-thar" w:hint="eastAsia"/>
          <w:sz w:val="28"/>
          <w:rtl/>
          <w:lang w:bidi="ar-SY"/>
        </w:rPr>
        <w:t>عن</w:t>
      </w:r>
      <w:r w:rsidRPr="003F3B94">
        <w:rPr>
          <w:rFonts w:ascii="Abo-thar" w:hAnsi="Abo-thar" w:hint="cs"/>
          <w:sz w:val="28"/>
          <w:rtl/>
          <w:lang w:bidi="ar-SY"/>
        </w:rPr>
        <w:t xml:space="preserve"> المقدار الواجب إخراجه من المعادن ولا يسأل عن ذلك الخُمس الذي اشتهر فيما بعد</w:t>
      </w:r>
      <w:r w:rsidR="001E0DB7" w:rsidRPr="003F3B94">
        <w:rPr>
          <w:rFonts w:ascii="Abo-thar" w:hAnsi="Abo-thar" w:hint="cs"/>
          <w:sz w:val="28"/>
          <w:rtl/>
          <w:lang w:bidi="ar-SY"/>
        </w:rPr>
        <w:t>،</w:t>
      </w:r>
      <w:r w:rsidRPr="003F3B94">
        <w:rPr>
          <w:rFonts w:ascii="Abo-thar" w:hAnsi="Abo-thar" w:hint="cs"/>
          <w:sz w:val="28"/>
          <w:rtl/>
          <w:lang w:bidi="ar-SY"/>
        </w:rPr>
        <w:t xml:space="preserve"> خاصة أن الإمام يقول في آخره أن ما عالجته بمالك من أحجار المعادن فإن الخُمس يجب في المقدار الخالص منه</w:t>
      </w:r>
      <w:r w:rsidR="00217AB4" w:rsidRPr="0021507A">
        <w:rPr>
          <w:rStyle w:val="FootnoteReference"/>
          <w:rFonts w:cs="Arabic11 BT"/>
          <w:b/>
          <w:sz w:val="28"/>
          <w:rtl/>
          <w:lang w:bidi="ar-SY"/>
        </w:rPr>
        <w:t>(</w:t>
      </w:r>
      <w:r w:rsidRPr="0021507A">
        <w:rPr>
          <w:rStyle w:val="FootnoteReference"/>
          <w:rFonts w:cs="Arabic11 BT"/>
          <w:b/>
          <w:sz w:val="28"/>
          <w:rtl/>
          <w:lang w:bidi="ar-SY"/>
        </w:rPr>
        <w:footnoteReference w:id="226"/>
      </w:r>
      <w:r w:rsidR="00217AB4" w:rsidRPr="0021507A">
        <w:rPr>
          <w:rStyle w:val="FootnoteReference"/>
          <w:rFonts w:cs="Arabic11 BT"/>
          <w:b/>
          <w:sz w:val="28"/>
          <w:rtl/>
          <w:lang w:bidi="ar-SY"/>
        </w:rPr>
        <w:t>)</w:t>
      </w:r>
      <w:r w:rsidR="00217AB4" w:rsidRPr="003F3B94">
        <w:rPr>
          <w:rFonts w:ascii="Abo-thar" w:hAnsi="Abo-thar" w:hint="cs"/>
          <w:sz w:val="28"/>
          <w:rtl/>
          <w:lang w:bidi="ar-SY"/>
        </w:rPr>
        <w:t>.</w:t>
      </w:r>
      <w:r w:rsidRPr="003F3B94">
        <w:rPr>
          <w:rFonts w:ascii="Abo-thar" w:hAnsi="Abo-thar" w:hint="cs"/>
          <w:sz w:val="28"/>
          <w:rtl/>
          <w:lang w:bidi="ar-SY"/>
        </w:rPr>
        <w:t xml:space="preserve"> </w:t>
      </w:r>
    </w:p>
    <w:p w:rsidR="005C664D" w:rsidRPr="003F3B94" w:rsidRDefault="005C664D" w:rsidP="00E51696">
      <w:pPr>
        <w:pStyle w:val="a0"/>
        <w:rPr>
          <w:rFonts w:hint="cs"/>
          <w:rtl/>
          <w:lang w:bidi="ar-SY"/>
        </w:rPr>
      </w:pPr>
      <w:r w:rsidRPr="003F3B94">
        <w:rPr>
          <w:rFonts w:ascii="Abo-thar" w:hAnsi="Abo-thar" w:hint="cs"/>
          <w:sz w:val="28"/>
          <w:rtl/>
          <w:lang w:bidi="ar-SY"/>
        </w:rPr>
        <w:t>3</w:t>
      </w:r>
      <w:r w:rsidR="00217AB4" w:rsidRPr="003F3B94">
        <w:rPr>
          <w:rFonts w:ascii="Abo-thar" w:hAnsi="Abo-thar" w:hint="cs"/>
          <w:sz w:val="28"/>
          <w:rtl/>
          <w:lang w:bidi="ar-SY"/>
        </w:rPr>
        <w:t>-</w:t>
      </w:r>
      <w:r w:rsidRPr="003F3B94">
        <w:rPr>
          <w:rFonts w:ascii="Abo-thar" w:hAnsi="Abo-thar" w:hint="cs"/>
          <w:sz w:val="28"/>
          <w:rtl/>
          <w:lang w:bidi="ar-SY"/>
        </w:rPr>
        <w:t xml:space="preserve"> الحديث الذي رواه الشيخ الطوسي في «التهذيب» [ج2</w:t>
      </w:r>
      <w:r w:rsidR="00920257" w:rsidRPr="003F3B94">
        <w:rPr>
          <w:rFonts w:ascii="Abo-thar" w:hAnsi="Abo-thar" w:hint="cs"/>
          <w:sz w:val="28"/>
          <w:rtl/>
          <w:lang w:bidi="ar-SY"/>
        </w:rPr>
        <w:t xml:space="preserve">، </w:t>
      </w:r>
      <w:r w:rsidRPr="003F3B94">
        <w:rPr>
          <w:rFonts w:ascii="Abo-thar" w:hAnsi="Abo-thar" w:hint="cs"/>
          <w:sz w:val="28"/>
          <w:rtl/>
          <w:lang w:bidi="ar-SY"/>
        </w:rPr>
        <w:t>ص22] والشيخ الصدوق في «من لا يحضره الفقيه» [ج2</w:t>
      </w:r>
      <w:r w:rsidR="00920257" w:rsidRPr="003F3B94">
        <w:rPr>
          <w:rFonts w:ascii="Abo-thar" w:hAnsi="Abo-thar" w:hint="cs"/>
          <w:sz w:val="28"/>
          <w:rtl/>
          <w:lang w:bidi="ar-SY"/>
        </w:rPr>
        <w:t xml:space="preserve">، </w:t>
      </w:r>
      <w:r w:rsidRPr="003F3B94">
        <w:rPr>
          <w:rFonts w:ascii="Abo-thar" w:hAnsi="Abo-thar" w:hint="cs"/>
          <w:sz w:val="28"/>
          <w:rtl/>
          <w:lang w:bidi="ar-SY"/>
        </w:rPr>
        <w:t>ص41]</w:t>
      </w:r>
      <w:r w:rsidR="00217AB4" w:rsidRPr="003F3B94">
        <w:rPr>
          <w:rFonts w:ascii="Abo-thar" w:hAnsi="Abo-thar" w:hint="cs"/>
          <w:sz w:val="28"/>
          <w:rtl/>
          <w:lang w:bidi="ar-SY"/>
        </w:rPr>
        <w:t>:</w:t>
      </w:r>
      <w:r w:rsidR="00E51696">
        <w:rPr>
          <w:rFonts w:ascii="Abo-thar" w:hAnsi="Abo-thar" w:hint="cs"/>
          <w:sz w:val="28"/>
          <w:rtl/>
          <w:lang w:bidi="ar-SY"/>
        </w:rPr>
        <w:t xml:space="preserve"> </w:t>
      </w:r>
      <w:r w:rsidR="00EF2588" w:rsidRPr="003762F6">
        <w:rPr>
          <w:rFonts w:ascii="Abo-thar" w:hAnsi="Abo-thar" w:cs="KFGQPC Uthman Taha Naskh" w:hint="cs"/>
          <w:sz w:val="28"/>
          <w:rtl/>
          <w:lang w:bidi="ar-SY"/>
        </w:rPr>
        <w:t>«</w:t>
      </w:r>
      <w:r w:rsidRPr="003762F6">
        <w:rPr>
          <w:rFonts w:ascii="Abo-thar" w:hAnsi="Abo-thar" w:cs="KFGQPC Uthman Taha Naskh"/>
          <w:b/>
          <w:bCs/>
          <w:sz w:val="28"/>
          <w:rtl/>
          <w:lang w:bidi="ar-SY"/>
        </w:rPr>
        <w:t xml:space="preserve">عَنْ مُحَمَّدِ بْنِ مُسْلِمٍ قَالَ سَأَلْتُ أَبَا جَعْفَرٍ </w:t>
      </w:r>
      <w:r w:rsidR="00BC4BA9" w:rsidRPr="00BC4BA9">
        <w:rPr>
          <w:rFonts w:ascii="Abo-thar" w:hAnsi="Abo-thar" w:cs="CTraditional Arabic"/>
          <w:b/>
          <w:sz w:val="28"/>
          <w:rtl/>
          <w:lang w:bidi="ar-SY"/>
        </w:rPr>
        <w:t>÷</w:t>
      </w:r>
      <w:r w:rsidRPr="003762F6">
        <w:rPr>
          <w:rFonts w:ascii="Abo-thar" w:hAnsi="Abo-thar" w:cs="KFGQPC Uthman Taha Naskh"/>
          <w:b/>
          <w:bCs/>
          <w:sz w:val="28"/>
          <w:rtl/>
          <w:lang w:bidi="ar-SY"/>
        </w:rPr>
        <w:t xml:space="preserve"> عَنِ المَلَّاحَةِ</w:t>
      </w:r>
      <w:r w:rsidR="00217AB4" w:rsidRPr="003762F6">
        <w:rPr>
          <w:rFonts w:ascii="Abo-thar" w:hAnsi="Abo-thar" w:cs="KFGQPC Uthman Taha Naskh" w:hint="cs"/>
          <w:b/>
          <w:bCs/>
          <w:sz w:val="28"/>
          <w:rtl/>
          <w:lang w:bidi="ar-SY"/>
        </w:rPr>
        <w:t>؟</w:t>
      </w:r>
      <w:r w:rsidRPr="003762F6">
        <w:rPr>
          <w:rFonts w:ascii="Abo-thar" w:hAnsi="Abo-thar" w:cs="KFGQPC Uthman Taha Naskh"/>
          <w:b/>
          <w:bCs/>
          <w:sz w:val="28"/>
          <w:rtl/>
          <w:lang w:bidi="ar-SY"/>
        </w:rPr>
        <w:t xml:space="preserve"> فَقَالَ</w:t>
      </w:r>
      <w:r w:rsidR="00217AB4" w:rsidRPr="003762F6">
        <w:rPr>
          <w:rFonts w:ascii="Abo-thar" w:hAnsi="Abo-thar" w:cs="KFGQPC Uthman Taha Naskh" w:hint="cs"/>
          <w:b/>
          <w:bCs/>
          <w:sz w:val="28"/>
          <w:rtl/>
          <w:lang w:bidi="ar-SY"/>
        </w:rPr>
        <w:t>:</w:t>
      </w:r>
      <w:r w:rsidRPr="003762F6">
        <w:rPr>
          <w:rFonts w:ascii="Abo-thar" w:hAnsi="Abo-thar" w:cs="KFGQPC Uthman Taha Naskh"/>
          <w:b/>
          <w:bCs/>
          <w:sz w:val="28"/>
          <w:rtl/>
          <w:lang w:bidi="ar-SY"/>
        </w:rPr>
        <w:t xml:space="preserve"> ومَا المَلَّاحَةُ</w:t>
      </w:r>
      <w:r w:rsidR="00217AB4" w:rsidRPr="003762F6">
        <w:rPr>
          <w:rFonts w:ascii="Abo-thar" w:hAnsi="Abo-thar" w:cs="KFGQPC Uthman Taha Naskh" w:hint="cs"/>
          <w:b/>
          <w:bCs/>
          <w:sz w:val="28"/>
          <w:rtl/>
          <w:lang w:bidi="ar-SY"/>
        </w:rPr>
        <w:t>؟</w:t>
      </w:r>
      <w:r w:rsidRPr="003762F6">
        <w:rPr>
          <w:rFonts w:ascii="Abo-thar" w:hAnsi="Abo-thar" w:cs="KFGQPC Uthman Taha Naskh"/>
          <w:b/>
          <w:bCs/>
          <w:sz w:val="28"/>
          <w:rtl/>
          <w:lang w:bidi="ar-SY"/>
        </w:rPr>
        <w:t xml:space="preserve"> فَقَالَ</w:t>
      </w:r>
      <w:r w:rsidR="00217AB4" w:rsidRPr="003762F6">
        <w:rPr>
          <w:rFonts w:ascii="Abo-thar" w:hAnsi="Abo-thar" w:cs="KFGQPC Uthman Taha Naskh" w:hint="cs"/>
          <w:b/>
          <w:bCs/>
          <w:sz w:val="28"/>
          <w:rtl/>
          <w:lang w:bidi="ar-SY"/>
        </w:rPr>
        <w:t>:</w:t>
      </w:r>
      <w:r w:rsidRPr="003762F6">
        <w:rPr>
          <w:rFonts w:ascii="Abo-thar" w:hAnsi="Abo-thar" w:cs="KFGQPC Uthman Taha Naskh"/>
          <w:b/>
          <w:bCs/>
          <w:sz w:val="28"/>
          <w:rtl/>
          <w:lang w:bidi="ar-SY"/>
        </w:rPr>
        <w:t xml:space="preserve"> أَرْضٌ سَبِخَةٌ مَالِحَةٌ يَجْتَمِعُ فِيهَا المَاءُ فَيَصِيرُ مِلْحاً</w:t>
      </w:r>
      <w:r w:rsidR="00217AB4" w:rsidRPr="003762F6">
        <w:rPr>
          <w:rFonts w:ascii="Abo-thar" w:hAnsi="Abo-thar" w:cs="KFGQPC Uthman Taha Naskh" w:hint="cs"/>
          <w:b/>
          <w:bCs/>
          <w:sz w:val="28"/>
          <w:rtl/>
          <w:lang w:bidi="ar-SY"/>
        </w:rPr>
        <w:t>.</w:t>
      </w:r>
      <w:r w:rsidRPr="003762F6">
        <w:rPr>
          <w:rFonts w:ascii="Abo-thar" w:hAnsi="Abo-thar" w:cs="KFGQPC Uthman Taha Naskh"/>
          <w:b/>
          <w:bCs/>
          <w:sz w:val="28"/>
          <w:rtl/>
          <w:lang w:bidi="ar-SY"/>
        </w:rPr>
        <w:t xml:space="preserve"> فَقَالَ</w:t>
      </w:r>
      <w:r w:rsidR="00217AB4" w:rsidRPr="003762F6">
        <w:rPr>
          <w:rFonts w:ascii="Abo-thar" w:hAnsi="Abo-thar" w:cs="KFGQPC Uthman Taha Naskh" w:hint="cs"/>
          <w:b/>
          <w:bCs/>
          <w:sz w:val="28"/>
          <w:rtl/>
          <w:lang w:bidi="ar-SY"/>
        </w:rPr>
        <w:t>:</w:t>
      </w:r>
      <w:r w:rsidRPr="003762F6">
        <w:rPr>
          <w:rFonts w:ascii="Abo-thar" w:hAnsi="Abo-thar" w:cs="KFGQPC Uthman Taha Naskh"/>
          <w:b/>
          <w:bCs/>
          <w:sz w:val="28"/>
          <w:rtl/>
          <w:lang w:bidi="ar-SY"/>
        </w:rPr>
        <w:t xml:space="preserve"> هَذَا المَعْدِنُ فِيهِ الخُمُسُ</w:t>
      </w:r>
      <w:r w:rsidR="00217AB4" w:rsidRPr="003762F6">
        <w:rPr>
          <w:rFonts w:ascii="Abo-thar" w:hAnsi="Abo-thar" w:cs="KFGQPC Uthman Taha Naskh" w:hint="cs"/>
          <w:b/>
          <w:bCs/>
          <w:sz w:val="28"/>
          <w:rtl/>
          <w:lang w:bidi="ar-SY"/>
        </w:rPr>
        <w:t>.</w:t>
      </w:r>
      <w:r w:rsidRPr="003762F6">
        <w:rPr>
          <w:rFonts w:ascii="Abo-thar" w:hAnsi="Abo-thar" w:cs="KFGQPC Uthman Taha Naskh"/>
          <w:b/>
          <w:bCs/>
          <w:sz w:val="28"/>
          <w:rtl/>
          <w:lang w:bidi="ar-SY"/>
        </w:rPr>
        <w:t xml:space="preserve"> فَقُلْتُ</w:t>
      </w:r>
      <w:r w:rsidR="00217AB4" w:rsidRPr="003762F6">
        <w:rPr>
          <w:rFonts w:ascii="Abo-thar" w:hAnsi="Abo-thar" w:cs="KFGQPC Uthman Taha Naskh" w:hint="cs"/>
          <w:b/>
          <w:bCs/>
          <w:sz w:val="28"/>
          <w:rtl/>
          <w:lang w:bidi="ar-SY"/>
        </w:rPr>
        <w:t>:</w:t>
      </w:r>
      <w:r w:rsidRPr="003762F6">
        <w:rPr>
          <w:rFonts w:ascii="Abo-thar" w:hAnsi="Abo-thar" w:cs="KFGQPC Uthman Taha Naskh"/>
          <w:b/>
          <w:bCs/>
          <w:sz w:val="28"/>
          <w:rtl/>
          <w:lang w:bidi="ar-SY"/>
        </w:rPr>
        <w:t xml:space="preserve"> والْكِبْرِيتُ والنِّفْطُ يُخْرَجُ مِنَ الْأَرْضِ</w:t>
      </w:r>
      <w:r w:rsidR="00217AB4" w:rsidRPr="003762F6">
        <w:rPr>
          <w:rFonts w:ascii="Abo-thar" w:hAnsi="Abo-thar" w:cs="KFGQPC Uthman Taha Naskh" w:hint="cs"/>
          <w:b/>
          <w:bCs/>
          <w:sz w:val="28"/>
          <w:rtl/>
          <w:lang w:bidi="ar-SY"/>
        </w:rPr>
        <w:t>؟</w:t>
      </w:r>
      <w:r w:rsidRPr="003762F6">
        <w:rPr>
          <w:rFonts w:ascii="Abo-thar" w:hAnsi="Abo-thar" w:cs="KFGQPC Uthman Taha Naskh" w:hint="cs"/>
          <w:b/>
          <w:bCs/>
          <w:sz w:val="28"/>
          <w:rtl/>
          <w:lang w:bidi="ar-SY"/>
        </w:rPr>
        <w:t xml:space="preserve"> </w:t>
      </w:r>
      <w:r w:rsidRPr="003762F6">
        <w:rPr>
          <w:rFonts w:ascii="Abo-thar" w:hAnsi="Abo-thar" w:cs="KFGQPC Uthman Taha Naskh"/>
          <w:b/>
          <w:bCs/>
          <w:sz w:val="28"/>
          <w:rtl/>
          <w:lang w:bidi="ar-SY"/>
        </w:rPr>
        <w:t>قَالَ</w:t>
      </w:r>
      <w:r w:rsidR="00217AB4" w:rsidRPr="003762F6">
        <w:rPr>
          <w:rFonts w:ascii="Abo-thar" w:hAnsi="Abo-thar" w:cs="KFGQPC Uthman Taha Naskh" w:hint="cs"/>
          <w:b/>
          <w:bCs/>
          <w:sz w:val="28"/>
          <w:rtl/>
          <w:lang w:bidi="ar-SY"/>
        </w:rPr>
        <w:t>:</w:t>
      </w:r>
      <w:r w:rsidRPr="003762F6">
        <w:rPr>
          <w:rFonts w:ascii="Abo-thar" w:hAnsi="Abo-thar" w:cs="KFGQPC Uthman Taha Naskh"/>
          <w:b/>
          <w:bCs/>
          <w:sz w:val="28"/>
          <w:rtl/>
          <w:lang w:bidi="ar-SY"/>
        </w:rPr>
        <w:t xml:space="preserve"> فَقَالَ هَذَا وأَشْبَاهُهُ فِيهِ الخُمُس</w:t>
      </w:r>
      <w:r w:rsidR="00EF2588" w:rsidRPr="003762F6">
        <w:rPr>
          <w:rFonts w:ascii="Abo-thar" w:hAnsi="Abo-thar" w:cs="KFGQPC Uthman Taha Naskh" w:hint="cs"/>
          <w:sz w:val="28"/>
          <w:rtl/>
          <w:lang w:bidi="ar-SY"/>
        </w:rPr>
        <w:t>»</w:t>
      </w:r>
      <w:r w:rsidR="00217AB4" w:rsidRPr="003F3B94">
        <w:rPr>
          <w:rFonts w:ascii="Abo-thar" w:hAnsi="Abo-thar" w:hint="cs"/>
          <w:sz w:val="28"/>
          <w:rtl/>
          <w:lang w:bidi="ar-SY"/>
        </w:rPr>
        <w:t>.</w:t>
      </w:r>
    </w:p>
    <w:p w:rsidR="005C664D" w:rsidRPr="003F3B94" w:rsidRDefault="005C664D" w:rsidP="003F3B94">
      <w:pPr>
        <w:pStyle w:val="a0"/>
        <w:rPr>
          <w:rFonts w:hint="cs"/>
          <w:rtl/>
          <w:lang w:bidi="ar-SY"/>
        </w:rPr>
      </w:pPr>
      <w:r w:rsidRPr="003F3B94">
        <w:rPr>
          <w:rFonts w:ascii="Abo-thar" w:hAnsi="Abo-thar" w:hint="cs"/>
          <w:sz w:val="28"/>
          <w:rtl/>
          <w:lang w:bidi="ar-SY"/>
        </w:rPr>
        <w:t>في هذا الحديث أيضاً يسأل محمدُ بن مسلم الإمام</w:t>
      </w:r>
      <w:r w:rsidR="001E21CD" w:rsidRPr="003F3B94">
        <w:rPr>
          <w:rFonts w:ascii="Abo-thar" w:hAnsi="Abo-thar" w:hint="cs"/>
          <w:sz w:val="28"/>
          <w:rtl/>
          <w:lang w:bidi="ar-SY"/>
        </w:rPr>
        <w:t>َ</w:t>
      </w:r>
      <w:r w:rsidRPr="003F3B94">
        <w:rPr>
          <w:rFonts w:ascii="Abo-thar" w:hAnsi="Abo-thar" w:hint="cs"/>
          <w:sz w:val="28"/>
          <w:rtl/>
          <w:lang w:bidi="ar-SY"/>
        </w:rPr>
        <w:t xml:space="preserve"> الباقر</w:t>
      </w:r>
      <w:r w:rsidR="001E21CD" w:rsidRPr="003F3B94">
        <w:rPr>
          <w:rFonts w:ascii="Abo-thar" w:hAnsi="Abo-thar" w:hint="cs"/>
          <w:sz w:val="28"/>
          <w:rtl/>
          <w:lang w:bidi="ar-SY"/>
        </w:rPr>
        <w:t>َ</w:t>
      </w:r>
      <w:r w:rsidRPr="003F3B94">
        <w:rPr>
          <w:rFonts w:ascii="Abo-thar" w:hAnsi="Abo-thar" w:hint="cs"/>
          <w:sz w:val="28"/>
          <w:rtl/>
          <w:lang w:bidi="ar-SY"/>
        </w:rPr>
        <w:t xml:space="preserve"> عن مقدار الحق الواجب أداؤه من سبخة الملح ومن المعدن ويجيبه الإمام بأنه خمسها</w:t>
      </w:r>
      <w:r w:rsidR="001E0DB7" w:rsidRPr="003F3B94">
        <w:rPr>
          <w:rFonts w:ascii="Abo-thar" w:hAnsi="Abo-thar" w:hint="cs"/>
          <w:sz w:val="28"/>
          <w:rtl/>
          <w:lang w:bidi="ar-SY"/>
        </w:rPr>
        <w:t>،</w:t>
      </w:r>
      <w:r w:rsidR="001E21CD" w:rsidRPr="003F3B94">
        <w:rPr>
          <w:rFonts w:ascii="Abo-thar" w:hAnsi="Abo-thar" w:hint="cs"/>
          <w:sz w:val="28"/>
          <w:rtl/>
          <w:lang w:bidi="ar-SY"/>
        </w:rPr>
        <w:t xml:space="preserve"> ولا علاقة ل</w:t>
      </w:r>
      <w:r w:rsidRPr="003F3B94">
        <w:rPr>
          <w:rFonts w:ascii="Abo-thar" w:hAnsi="Abo-thar" w:hint="cs"/>
          <w:sz w:val="28"/>
          <w:rtl/>
          <w:lang w:bidi="ar-SY"/>
        </w:rPr>
        <w:t>هذا بخمس آل محمد</w:t>
      </w:r>
      <w:r w:rsidR="00217AB4" w:rsidRPr="003F3B94">
        <w:rPr>
          <w:rFonts w:ascii="Abo-thar" w:hAnsi="Abo-thar" w:hint="cs"/>
          <w:sz w:val="28"/>
          <w:rtl/>
          <w:lang w:bidi="ar-SY"/>
        </w:rPr>
        <w:t>!</w:t>
      </w:r>
      <w:r w:rsidR="00147857" w:rsidRPr="003F3B94">
        <w:rPr>
          <w:rFonts w:ascii="Abo-thar" w:hAnsi="Abo-thar" w:hint="cs"/>
          <w:sz w:val="28"/>
          <w:rtl/>
          <w:lang w:bidi="ar-SY"/>
        </w:rPr>
        <w:t xml:space="preserve"> </w:t>
      </w:r>
    </w:p>
    <w:p w:rsidR="005C664D" w:rsidRPr="003F3B94" w:rsidRDefault="005C664D" w:rsidP="00E51696">
      <w:pPr>
        <w:pStyle w:val="a0"/>
        <w:rPr>
          <w:rFonts w:hint="cs"/>
          <w:rtl/>
          <w:lang w:bidi="ar-SY"/>
        </w:rPr>
      </w:pPr>
      <w:r w:rsidRPr="003F3B94">
        <w:rPr>
          <w:rFonts w:ascii="Abo-thar" w:hAnsi="Abo-thar" w:hint="cs"/>
          <w:sz w:val="28"/>
          <w:rtl/>
          <w:lang w:bidi="ar-SY"/>
        </w:rPr>
        <w:t>4</w:t>
      </w:r>
      <w:r w:rsidR="00217AB4" w:rsidRPr="003F3B94">
        <w:rPr>
          <w:rFonts w:ascii="Abo-thar" w:hAnsi="Abo-thar" w:hint="cs"/>
          <w:sz w:val="28"/>
          <w:rtl/>
          <w:lang w:bidi="ar-SY"/>
        </w:rPr>
        <w:t>-</w:t>
      </w:r>
      <w:r w:rsidRPr="003F3B94">
        <w:rPr>
          <w:rFonts w:ascii="Abo-thar" w:hAnsi="Abo-thar" w:hint="cs"/>
          <w:sz w:val="28"/>
          <w:rtl/>
          <w:lang w:bidi="ar-SY"/>
        </w:rPr>
        <w:t xml:space="preserve"> الحديث الذي رواه الكُلَيْنِيّ في الكافي والشيخ الطوسي في التهذيب</w:t>
      </w:r>
      <w:r w:rsidR="00217AB4" w:rsidRPr="003F3B94">
        <w:rPr>
          <w:rFonts w:ascii="Abo-thar" w:hAnsi="Abo-thar" w:hint="cs"/>
          <w:sz w:val="28"/>
          <w:rtl/>
          <w:lang w:bidi="ar-SY"/>
        </w:rPr>
        <w:t>:</w:t>
      </w:r>
      <w:r w:rsidR="00E51696">
        <w:rPr>
          <w:rFonts w:ascii="Abo-thar" w:hAnsi="Abo-thar" w:hint="cs"/>
          <w:sz w:val="28"/>
          <w:rtl/>
          <w:lang w:bidi="ar-SY"/>
        </w:rPr>
        <w:t xml:space="preserve">  </w:t>
      </w:r>
      <w:r w:rsidR="00EF2588" w:rsidRPr="003762F6">
        <w:rPr>
          <w:rFonts w:ascii="Abo-thar" w:hAnsi="Abo-thar" w:cs="KFGQPC Uthman Taha Naskh" w:hint="cs"/>
          <w:sz w:val="28"/>
          <w:rtl/>
          <w:lang w:bidi="ar-SY"/>
        </w:rPr>
        <w:t>«</w:t>
      </w:r>
      <w:r w:rsidRPr="003762F6">
        <w:rPr>
          <w:rFonts w:ascii="Abo-thar" w:hAnsi="Abo-thar" w:cs="KFGQPC Uthman Taha Naskh"/>
          <w:b/>
          <w:bCs/>
          <w:sz w:val="28"/>
          <w:rtl/>
          <w:lang w:bidi="ar-SY"/>
        </w:rPr>
        <w:t xml:space="preserve">عَنْ فَضَالَةَ وابْنِ أَبِي عُمَيْرٍ عَنْ جَمِيلٍ عَنْ مُحَمَّدِ بْنِ مُسْلِمٍ عَنْ أَبِي جَعْفَرٍ </w:t>
      </w:r>
      <w:r w:rsidR="00BC4BA9" w:rsidRPr="00BC4BA9">
        <w:rPr>
          <w:rFonts w:ascii="Abo-thar" w:hAnsi="Abo-thar" w:cs="CTraditional Arabic"/>
          <w:b/>
          <w:sz w:val="28"/>
          <w:rtl/>
          <w:lang w:bidi="ar-SY"/>
        </w:rPr>
        <w:t>÷</w:t>
      </w:r>
      <w:r w:rsidRPr="003762F6">
        <w:rPr>
          <w:rFonts w:ascii="Abo-thar" w:hAnsi="Abo-thar" w:cs="KFGQPC Uthman Taha Naskh"/>
          <w:b/>
          <w:bCs/>
          <w:sz w:val="28"/>
          <w:rtl/>
          <w:lang w:bidi="ar-SY"/>
        </w:rPr>
        <w:t xml:space="preserve"> قَالَ</w:t>
      </w:r>
      <w:r w:rsidR="00217AB4" w:rsidRPr="003762F6">
        <w:rPr>
          <w:rFonts w:ascii="Abo-thar" w:hAnsi="Abo-thar" w:cs="KFGQPC Uthman Taha Naskh" w:hint="cs"/>
          <w:b/>
          <w:bCs/>
          <w:sz w:val="28"/>
          <w:rtl/>
          <w:lang w:bidi="ar-SY"/>
        </w:rPr>
        <w:t>:</w:t>
      </w:r>
      <w:r w:rsidRPr="003762F6">
        <w:rPr>
          <w:rFonts w:ascii="Abo-thar" w:hAnsi="Abo-thar" w:cs="KFGQPC Uthman Taha Naskh"/>
          <w:b/>
          <w:bCs/>
          <w:sz w:val="28"/>
          <w:rtl/>
          <w:lang w:bidi="ar-SY"/>
        </w:rPr>
        <w:t xml:space="preserve"> سَأَلْتُهُ عَنْ مَعَادِنِ الذَّهَبِ والْفِضَّةِ والصُّفْرِ والْحَدِيدِ والرَّصَاصِ فَقَالَ عَلَيْهَا الخُمُسُ جَمِيعاً</w:t>
      </w:r>
      <w:r w:rsidR="00EF2588" w:rsidRPr="003762F6">
        <w:rPr>
          <w:rFonts w:ascii="Abo-thar" w:hAnsi="Abo-thar" w:cs="KFGQPC Uthman Taha Naskh" w:hint="cs"/>
          <w:sz w:val="28"/>
          <w:rtl/>
          <w:lang w:bidi="ar-SY"/>
        </w:rPr>
        <w:t>»</w:t>
      </w:r>
      <w:r w:rsidR="00D36122" w:rsidRPr="0021507A">
        <w:rPr>
          <w:rFonts w:ascii="Abo-thar" w:hAnsi="Abo-thar" w:cs="Arabic11 BT"/>
          <w:sz w:val="28"/>
          <w:vertAlign w:val="superscript"/>
          <w:rtl/>
          <w:lang w:bidi="ar-SY"/>
        </w:rPr>
        <w:t>(</w:t>
      </w:r>
      <w:r w:rsidR="00D36122" w:rsidRPr="0021507A">
        <w:rPr>
          <w:rStyle w:val="FootnoteReference"/>
          <w:rFonts w:ascii="Abo-thar" w:hAnsi="Abo-thar" w:cs="Arabic11 BT"/>
          <w:sz w:val="28"/>
          <w:rtl/>
          <w:lang w:bidi="ar-SY"/>
        </w:rPr>
        <w:footnoteReference w:id="227"/>
      </w:r>
      <w:r w:rsidR="00D36122" w:rsidRPr="0021507A">
        <w:rPr>
          <w:rFonts w:ascii="Abo-thar" w:hAnsi="Abo-thar" w:cs="Arabic11 BT"/>
          <w:sz w:val="28"/>
          <w:vertAlign w:val="superscript"/>
          <w:rtl/>
          <w:lang w:bidi="ar-SY"/>
        </w:rPr>
        <w:t>)</w:t>
      </w:r>
      <w:r w:rsidR="00217AB4" w:rsidRPr="003F3B94">
        <w:rPr>
          <w:rFonts w:ascii="Abo-thar" w:hAnsi="Abo-thar" w:hint="cs"/>
          <w:sz w:val="28"/>
          <w:rtl/>
          <w:lang w:bidi="ar-SY"/>
        </w:rPr>
        <w:t>.</w:t>
      </w:r>
      <w:r w:rsidRPr="003F3B94">
        <w:rPr>
          <w:rFonts w:ascii="Abo-thar" w:hAnsi="Abo-thar" w:hint="cs"/>
          <w:sz w:val="28"/>
          <w:rtl/>
          <w:lang w:bidi="ar-SY"/>
        </w:rPr>
        <w:t xml:space="preserve"> </w:t>
      </w:r>
    </w:p>
    <w:p w:rsidR="005C664D" w:rsidRPr="003F3B94" w:rsidRDefault="005C664D" w:rsidP="003F3B94">
      <w:pPr>
        <w:pStyle w:val="a0"/>
        <w:rPr>
          <w:rFonts w:hint="cs"/>
          <w:rtl/>
          <w:lang w:bidi="ar-SY"/>
        </w:rPr>
      </w:pPr>
      <w:r w:rsidRPr="003F3B94">
        <w:rPr>
          <w:rFonts w:ascii="Abo-thar" w:hAnsi="Abo-thar" w:hint="cs"/>
          <w:sz w:val="28"/>
          <w:rtl/>
          <w:lang w:bidi="ar-SY"/>
        </w:rPr>
        <w:t>ومضمون الحديث في جواب حضرة الإمام مثل مضمون الأحاديث السابقة</w:t>
      </w:r>
      <w:r w:rsidR="00217AB4" w:rsidRPr="003F3B94">
        <w:rPr>
          <w:rFonts w:ascii="Abo-thar" w:hAnsi="Abo-thar" w:hint="cs"/>
          <w:sz w:val="28"/>
          <w:rtl/>
          <w:lang w:bidi="ar-SY"/>
        </w:rPr>
        <w:t>.</w:t>
      </w:r>
    </w:p>
    <w:p w:rsidR="005C664D" w:rsidRPr="003F3B94" w:rsidRDefault="005C664D" w:rsidP="00E51696">
      <w:pPr>
        <w:pStyle w:val="a0"/>
        <w:rPr>
          <w:rFonts w:hint="cs"/>
          <w:rtl/>
          <w:lang w:bidi="ar-SY"/>
        </w:rPr>
      </w:pPr>
      <w:r w:rsidRPr="003F3B94">
        <w:rPr>
          <w:rFonts w:ascii="Abo-thar" w:hAnsi="Abo-thar" w:hint="cs"/>
          <w:sz w:val="28"/>
          <w:rtl/>
          <w:lang w:bidi="ar-SY"/>
        </w:rPr>
        <w:t>5</w:t>
      </w:r>
      <w:r w:rsidR="00217AB4" w:rsidRPr="003F3B94">
        <w:rPr>
          <w:rFonts w:ascii="Abo-thar" w:hAnsi="Abo-thar" w:hint="cs"/>
          <w:sz w:val="28"/>
          <w:rtl/>
          <w:lang w:bidi="ar-SY"/>
        </w:rPr>
        <w:t>-</w:t>
      </w:r>
      <w:r w:rsidRPr="003F3B94">
        <w:rPr>
          <w:rFonts w:ascii="Abo-thar" w:hAnsi="Abo-thar" w:hint="cs"/>
          <w:sz w:val="28"/>
          <w:rtl/>
          <w:lang w:bidi="ar-SY"/>
        </w:rPr>
        <w:t xml:space="preserve"> الحديث الذي رواه الكُلَيْنِيّ في </w:t>
      </w:r>
      <w:r w:rsidRPr="003F3B94">
        <w:rPr>
          <w:rFonts w:ascii="Abo-thar" w:hAnsi="Abo-thar"/>
          <w:sz w:val="28"/>
          <w:rtl/>
          <w:lang w:bidi="ar-SY"/>
        </w:rPr>
        <w:t>«</w:t>
      </w:r>
      <w:r w:rsidRPr="003F3B94">
        <w:rPr>
          <w:rFonts w:ascii="Abo-thar" w:hAnsi="Abo-thar" w:hint="cs"/>
          <w:sz w:val="28"/>
          <w:rtl/>
          <w:lang w:bidi="ar-SY"/>
        </w:rPr>
        <w:t>الكافي</w:t>
      </w:r>
      <w:r w:rsidRPr="003F3B94">
        <w:rPr>
          <w:rFonts w:ascii="Abo-thar" w:hAnsi="Abo-thar"/>
          <w:sz w:val="28"/>
          <w:rtl/>
          <w:lang w:bidi="ar-SY"/>
        </w:rPr>
        <w:t>»</w:t>
      </w:r>
      <w:r w:rsidRPr="003F3B94">
        <w:rPr>
          <w:rFonts w:ascii="Abo-thar" w:hAnsi="Abo-thar" w:hint="cs"/>
          <w:sz w:val="28"/>
          <w:rtl/>
          <w:lang w:bidi="ar-SY"/>
        </w:rPr>
        <w:t xml:space="preserve"> والصدوق في «من لا</w:t>
      </w:r>
      <w:r w:rsidRPr="003F3B94">
        <w:rPr>
          <w:rFonts w:cs="Times New Roman" w:hint="cs"/>
          <w:sz w:val="28"/>
          <w:rtl/>
          <w:lang w:bidi="ar-SY"/>
        </w:rPr>
        <w:t> </w:t>
      </w:r>
      <w:r w:rsidRPr="003F3B94">
        <w:rPr>
          <w:rFonts w:ascii="Abo-thar" w:hAnsi="Abo-thar" w:hint="cs"/>
          <w:sz w:val="28"/>
          <w:rtl/>
          <w:lang w:bidi="ar-SY"/>
        </w:rPr>
        <w:t>يحضره الفقيه» والشيخ الطوسي في «التهذيب»</w:t>
      </w:r>
      <w:r w:rsidR="00217AB4" w:rsidRPr="003F3B94">
        <w:rPr>
          <w:rFonts w:ascii="Abo-thar" w:hAnsi="Abo-thar" w:hint="cs"/>
          <w:sz w:val="28"/>
          <w:rtl/>
          <w:lang w:bidi="ar-SY"/>
        </w:rPr>
        <w:t>:</w:t>
      </w:r>
      <w:r w:rsidR="00E51696">
        <w:rPr>
          <w:rFonts w:ascii="Abo-thar" w:hAnsi="Abo-thar" w:hint="cs"/>
          <w:sz w:val="28"/>
          <w:rtl/>
          <w:lang w:bidi="ar-SY"/>
        </w:rPr>
        <w:t xml:space="preserve"> </w:t>
      </w:r>
      <w:r w:rsidR="00EF2588" w:rsidRPr="003762F6">
        <w:rPr>
          <w:rFonts w:ascii="Abo-thar" w:hAnsi="Abo-thar" w:cs="KFGQPC Uthman Taha Naskh" w:hint="cs"/>
          <w:sz w:val="28"/>
          <w:rtl/>
          <w:lang w:bidi="ar-SY"/>
        </w:rPr>
        <w:t>«</w:t>
      </w:r>
      <w:r w:rsidRPr="003762F6">
        <w:rPr>
          <w:rFonts w:ascii="Abo-thar" w:hAnsi="Abo-thar" w:cs="KFGQPC Uthman Taha Naskh"/>
          <w:b/>
          <w:bCs/>
          <w:sz w:val="28"/>
          <w:rtl/>
          <w:lang w:bidi="ar-SY"/>
        </w:rPr>
        <w:t xml:space="preserve">عَنْ مُحَمَّدِ بْنِ عَلِيِّ بْنِ أَبِي عَبْدِ اللهِ عَنْ أَبِي الحَسَنِ </w:t>
      </w:r>
      <w:r w:rsidR="00BC4BA9" w:rsidRPr="00BC4BA9">
        <w:rPr>
          <w:rFonts w:ascii="Abo-thar" w:hAnsi="Abo-thar" w:cs="CTraditional Arabic"/>
          <w:b/>
          <w:sz w:val="28"/>
          <w:rtl/>
          <w:lang w:bidi="ar-SY"/>
        </w:rPr>
        <w:t>÷</w:t>
      </w:r>
      <w:r w:rsidRPr="003762F6">
        <w:rPr>
          <w:rFonts w:ascii="Abo-thar" w:hAnsi="Abo-thar" w:cs="KFGQPC Uthman Taha Naskh"/>
          <w:b/>
          <w:bCs/>
          <w:sz w:val="28"/>
          <w:rtl/>
          <w:lang w:bidi="ar-SY"/>
        </w:rPr>
        <w:t xml:space="preserve"> قَالَ سَأَلْتُهُ عَمَّا يُخْرَجُ مِنَ الْبَحْرِ مِنَ اللُّؤْلُؤِ والْيَاقُوتِ والزَّبَرْجَدِ وعَنْ مَعَادِنِ الذَّهَبِ والْفِضَّةِ مَا فِيهِ</w:t>
      </w:r>
      <w:r w:rsidR="00217AB4" w:rsidRPr="003762F6">
        <w:rPr>
          <w:rFonts w:ascii="Abo-thar" w:hAnsi="Abo-thar" w:cs="KFGQPC Uthman Taha Naskh" w:hint="cs"/>
          <w:b/>
          <w:bCs/>
          <w:sz w:val="28"/>
          <w:rtl/>
          <w:lang w:bidi="ar-SY"/>
        </w:rPr>
        <w:t>؟</w:t>
      </w:r>
      <w:r w:rsidRPr="003762F6">
        <w:rPr>
          <w:rFonts w:ascii="Abo-thar" w:hAnsi="Abo-thar" w:cs="KFGQPC Uthman Taha Naskh"/>
          <w:b/>
          <w:bCs/>
          <w:sz w:val="28"/>
          <w:rtl/>
          <w:lang w:bidi="ar-SY"/>
        </w:rPr>
        <w:t xml:space="preserve"> قَالَ إِذَا بَلَغَ ثَمَنُهُ دِينَاراً فَفِيهِ الخُمُس</w:t>
      </w:r>
      <w:r w:rsidRPr="003762F6">
        <w:rPr>
          <w:rFonts w:ascii="Abo-thar" w:hAnsi="Abo-thar" w:cs="KFGQPC Uthman Taha Naskh"/>
          <w:sz w:val="28"/>
          <w:rtl/>
          <w:lang w:bidi="ar-SY"/>
        </w:rPr>
        <w:t>‏</w:t>
      </w:r>
      <w:r w:rsidR="00EF2588" w:rsidRPr="003762F6">
        <w:rPr>
          <w:rFonts w:ascii="Abo-thar" w:hAnsi="Abo-thar" w:cs="KFGQPC Uthman Taha Naskh" w:hint="cs"/>
          <w:sz w:val="28"/>
          <w:rtl/>
          <w:lang w:bidi="ar-SY"/>
        </w:rPr>
        <w:t>»</w:t>
      </w:r>
      <w:r w:rsidR="00D36122" w:rsidRPr="0021507A">
        <w:rPr>
          <w:rFonts w:ascii="Abo-thar" w:hAnsi="Abo-thar" w:cs="Arabic11 BT"/>
          <w:sz w:val="28"/>
          <w:vertAlign w:val="superscript"/>
          <w:rtl/>
          <w:lang w:bidi="ar-SY"/>
        </w:rPr>
        <w:t>(</w:t>
      </w:r>
      <w:r w:rsidR="00D36122" w:rsidRPr="0021507A">
        <w:rPr>
          <w:rStyle w:val="FootnoteReference"/>
          <w:rFonts w:ascii="Abo-thar" w:hAnsi="Abo-thar" w:cs="Arabic11 BT"/>
          <w:sz w:val="28"/>
          <w:rtl/>
          <w:lang w:bidi="ar-SY"/>
        </w:rPr>
        <w:footnoteReference w:id="228"/>
      </w:r>
      <w:r w:rsidR="00D36122" w:rsidRPr="0021507A">
        <w:rPr>
          <w:rFonts w:ascii="Abo-thar" w:hAnsi="Abo-thar" w:cs="Arabic11 BT"/>
          <w:sz w:val="28"/>
          <w:vertAlign w:val="superscript"/>
          <w:rtl/>
          <w:lang w:bidi="ar-SY"/>
        </w:rPr>
        <w:t>)</w:t>
      </w:r>
      <w:r w:rsidR="00217AB4" w:rsidRPr="003F3B94">
        <w:rPr>
          <w:rFonts w:ascii="Abo-thar" w:hAnsi="Abo-thar" w:hint="cs"/>
          <w:sz w:val="28"/>
          <w:rtl/>
          <w:lang w:bidi="ar-SY"/>
        </w:rPr>
        <w:t>.</w:t>
      </w:r>
    </w:p>
    <w:p w:rsidR="005C664D" w:rsidRPr="003F3B94" w:rsidRDefault="005C664D" w:rsidP="003F3B94">
      <w:pPr>
        <w:pStyle w:val="a0"/>
        <w:rPr>
          <w:rFonts w:hint="cs"/>
          <w:rtl/>
          <w:lang w:bidi="ar-SY"/>
        </w:rPr>
      </w:pPr>
      <w:r w:rsidRPr="003F3B94">
        <w:rPr>
          <w:rFonts w:ascii="Abo-thar" w:hAnsi="Abo-thar" w:hint="cs"/>
          <w:sz w:val="28"/>
          <w:rtl/>
          <w:lang w:bidi="ar-SY"/>
        </w:rPr>
        <w:t xml:space="preserve">في هذا الحديث يظهر بكل صراحة ووضوح أن السائل يسأل عن مقدار </w:t>
      </w:r>
      <w:r w:rsidRPr="003F3B94">
        <w:rPr>
          <w:rFonts w:ascii="Abo-thar" w:hAnsi="Abo-thar" w:hint="cs"/>
          <w:b/>
          <w:bCs/>
          <w:sz w:val="28"/>
          <w:rtl/>
          <w:lang w:bidi="ar-SY"/>
        </w:rPr>
        <w:t>الزكاة</w:t>
      </w:r>
      <w:r w:rsidR="001E0DB7" w:rsidRPr="003F3B94">
        <w:rPr>
          <w:rFonts w:ascii="Abo-thar" w:hAnsi="Abo-thar" w:hint="cs"/>
          <w:sz w:val="28"/>
          <w:rtl/>
          <w:lang w:bidi="ar-SY"/>
        </w:rPr>
        <w:t>،</w:t>
      </w:r>
      <w:r w:rsidRPr="003F3B94">
        <w:rPr>
          <w:rFonts w:ascii="Abo-thar" w:hAnsi="Abo-thar" w:hint="cs"/>
          <w:sz w:val="28"/>
          <w:rtl/>
          <w:lang w:bidi="ar-SY"/>
        </w:rPr>
        <w:t xml:space="preserve"> ويسمع من الإمام الإجابة المتعلقة بسؤاله</w:t>
      </w:r>
      <w:r w:rsidR="001E0DB7" w:rsidRPr="003F3B94">
        <w:rPr>
          <w:rFonts w:ascii="Abo-thar" w:hAnsi="Abo-thar" w:hint="cs"/>
          <w:sz w:val="28"/>
          <w:rtl/>
          <w:lang w:bidi="ar-SY"/>
        </w:rPr>
        <w:t>،</w:t>
      </w:r>
      <w:r w:rsidRPr="003F3B94">
        <w:rPr>
          <w:rFonts w:ascii="Abo-thar" w:hAnsi="Abo-thar" w:hint="cs"/>
          <w:sz w:val="28"/>
          <w:rtl/>
          <w:lang w:bidi="ar-SY"/>
        </w:rPr>
        <w:t xml:space="preserve"> حيث بيَّن له الإمام مقدار </w:t>
      </w:r>
      <w:r w:rsidRPr="003F3B94">
        <w:rPr>
          <w:rFonts w:ascii="Abo-thar" w:hAnsi="Abo-thar" w:hint="cs"/>
          <w:b/>
          <w:bCs/>
          <w:i/>
          <w:iCs/>
          <w:sz w:val="28"/>
          <w:rtl/>
          <w:lang w:bidi="ar-SY"/>
        </w:rPr>
        <w:t>زكاة</w:t>
      </w:r>
      <w:r w:rsidRPr="003F3B94">
        <w:rPr>
          <w:rFonts w:ascii="Abo-thar" w:hAnsi="Abo-thar" w:hint="cs"/>
          <w:sz w:val="28"/>
          <w:rtl/>
          <w:lang w:bidi="ar-SY"/>
        </w:rPr>
        <w:t xml:space="preserve"> ما سأل عنه وأنه </w:t>
      </w:r>
      <w:r w:rsidRPr="003F3B94">
        <w:rPr>
          <w:rFonts w:ascii="Abo-thar" w:hAnsi="Abo-thar" w:hint="cs"/>
          <w:b/>
          <w:bCs/>
          <w:sz w:val="28"/>
          <w:rtl/>
          <w:lang w:bidi="ar-SY"/>
        </w:rPr>
        <w:t>الخُمس</w:t>
      </w:r>
      <w:r w:rsidRPr="003F3B94">
        <w:rPr>
          <w:rFonts w:ascii="Abo-thar" w:hAnsi="Abo-thar" w:hint="cs"/>
          <w:sz w:val="28"/>
          <w:rtl/>
          <w:lang w:bidi="ar-SY"/>
        </w:rPr>
        <w:t xml:space="preserve"> منه</w:t>
      </w:r>
      <w:r w:rsidR="00217AB4" w:rsidRPr="003F3B94">
        <w:rPr>
          <w:rFonts w:ascii="Abo-thar" w:hAnsi="Abo-thar" w:hint="cs"/>
          <w:sz w:val="28"/>
          <w:rtl/>
          <w:lang w:bidi="ar-SY"/>
        </w:rPr>
        <w:t>.</w:t>
      </w:r>
    </w:p>
    <w:p w:rsidR="005C664D" w:rsidRPr="003F3B94" w:rsidRDefault="005C664D" w:rsidP="003F3B94">
      <w:pPr>
        <w:pStyle w:val="a0"/>
        <w:rPr>
          <w:rFonts w:hint="cs"/>
          <w:rtl/>
          <w:lang w:bidi="ar-SY"/>
        </w:rPr>
      </w:pPr>
      <w:r w:rsidRPr="003F3B94">
        <w:rPr>
          <w:rFonts w:ascii="Abo-thar" w:hAnsi="Abo-thar" w:hint="cs"/>
          <w:sz w:val="28"/>
          <w:rtl/>
          <w:lang w:bidi="ar-SY"/>
        </w:rPr>
        <w:t xml:space="preserve">ومن الواضح تماماً أنه لم تكن كلمة </w:t>
      </w:r>
      <w:r w:rsidR="00217AB4" w:rsidRPr="003F3B94">
        <w:rPr>
          <w:rFonts w:ascii="Abo-thar" w:hAnsi="Abo-thar" w:hint="cs"/>
          <w:sz w:val="28"/>
          <w:rtl/>
          <w:lang w:bidi="ar-SY"/>
        </w:rPr>
        <w:t>(</w:t>
      </w:r>
      <w:r w:rsidRPr="003F3B94">
        <w:rPr>
          <w:rFonts w:ascii="Abo-thar" w:hAnsi="Abo-thar" w:hint="cs"/>
          <w:sz w:val="28"/>
          <w:rtl/>
          <w:lang w:bidi="ar-SY"/>
        </w:rPr>
        <w:t>الخُمس</w:t>
      </w:r>
      <w:r w:rsidR="00217AB4" w:rsidRPr="003F3B94">
        <w:rPr>
          <w:rFonts w:ascii="Abo-thar" w:hAnsi="Abo-thar" w:hint="cs"/>
          <w:sz w:val="28"/>
          <w:rtl/>
          <w:lang w:bidi="ar-SY"/>
        </w:rPr>
        <w:t>)</w:t>
      </w:r>
      <w:r w:rsidRPr="003F3B94">
        <w:rPr>
          <w:rFonts w:ascii="Abo-thar" w:hAnsi="Abo-thar" w:hint="cs"/>
          <w:sz w:val="28"/>
          <w:rtl/>
          <w:lang w:bidi="ar-SY"/>
        </w:rPr>
        <w:t xml:space="preserve"> في ذلك الزمن قد أصبحت من الحقائق الشرعية حتى تكون مقابلة للزكاة</w:t>
      </w:r>
      <w:r w:rsidR="00217AB4" w:rsidRPr="003F3B94">
        <w:rPr>
          <w:rFonts w:ascii="Abo-thar" w:hAnsi="Abo-thar" w:hint="cs"/>
          <w:sz w:val="28"/>
          <w:rtl/>
          <w:lang w:bidi="ar-SY"/>
        </w:rPr>
        <w:t>.</w:t>
      </w:r>
      <w:r w:rsidRPr="003F3B94">
        <w:rPr>
          <w:rFonts w:ascii="Abo-thar" w:hAnsi="Abo-thar" w:hint="cs"/>
          <w:sz w:val="28"/>
          <w:rtl/>
          <w:lang w:bidi="ar-SY"/>
        </w:rPr>
        <w:t xml:space="preserve"> ولأجل المزيد من توضيح هذا المطلب نقول</w:t>
      </w:r>
      <w:r w:rsidR="00217AB4" w:rsidRPr="003F3B94">
        <w:rPr>
          <w:rFonts w:ascii="Abo-thar" w:hAnsi="Abo-thar" w:hint="cs"/>
          <w:sz w:val="28"/>
          <w:rtl/>
          <w:lang w:bidi="ar-SY"/>
        </w:rPr>
        <w:t>:</w:t>
      </w:r>
      <w:r w:rsidRPr="003F3B94">
        <w:rPr>
          <w:rFonts w:ascii="Abo-thar" w:hAnsi="Abo-thar" w:hint="cs"/>
          <w:sz w:val="28"/>
          <w:rtl/>
          <w:lang w:bidi="ar-SY"/>
        </w:rPr>
        <w:t xml:space="preserve"> </w:t>
      </w:r>
    </w:p>
    <w:p w:rsidR="005C664D" w:rsidRPr="003F3B94" w:rsidRDefault="005C664D" w:rsidP="003F3B94">
      <w:pPr>
        <w:pStyle w:val="a0"/>
        <w:rPr>
          <w:rFonts w:hint="cs"/>
          <w:rtl/>
          <w:lang w:bidi="ar-SY"/>
        </w:rPr>
      </w:pPr>
      <w:r w:rsidRPr="003F3B94">
        <w:rPr>
          <w:rFonts w:ascii="Abo-thar" w:hAnsi="Abo-thar" w:hint="cs"/>
          <w:sz w:val="28"/>
          <w:rtl/>
          <w:lang w:bidi="ar-SY"/>
        </w:rPr>
        <w:t>أولاً</w:t>
      </w:r>
      <w:r w:rsidR="00217AB4" w:rsidRPr="003F3B94">
        <w:rPr>
          <w:rFonts w:ascii="Abo-thar" w:hAnsi="Abo-thar" w:hint="cs"/>
          <w:sz w:val="28"/>
          <w:rtl/>
          <w:lang w:bidi="ar-SY"/>
        </w:rPr>
        <w:t>:</w:t>
      </w:r>
      <w:r w:rsidRPr="003F3B94">
        <w:rPr>
          <w:rFonts w:ascii="Abo-thar" w:hAnsi="Abo-thar" w:hint="cs"/>
          <w:sz w:val="28"/>
          <w:rtl/>
          <w:lang w:bidi="ar-SY"/>
        </w:rPr>
        <w:t xml:space="preserve"> ليس لكلمة </w:t>
      </w:r>
      <w:r w:rsidR="00217AB4" w:rsidRPr="003F3B94">
        <w:rPr>
          <w:rFonts w:ascii="Abo-thar" w:hAnsi="Abo-thar" w:hint="cs"/>
          <w:sz w:val="28"/>
          <w:rtl/>
          <w:lang w:bidi="ar-SY"/>
        </w:rPr>
        <w:t>(</w:t>
      </w:r>
      <w:r w:rsidRPr="003F3B94">
        <w:rPr>
          <w:rFonts w:ascii="Abo-thar" w:hAnsi="Abo-thar" w:hint="cs"/>
          <w:sz w:val="28"/>
          <w:rtl/>
          <w:lang w:bidi="ar-SY"/>
        </w:rPr>
        <w:t>الخُمس</w:t>
      </w:r>
      <w:r w:rsidR="00217AB4" w:rsidRPr="003F3B94">
        <w:rPr>
          <w:rFonts w:ascii="Abo-thar" w:hAnsi="Abo-thar" w:hint="cs"/>
          <w:sz w:val="28"/>
          <w:rtl/>
          <w:lang w:bidi="ar-SY"/>
        </w:rPr>
        <w:t>)</w:t>
      </w:r>
      <w:r w:rsidRPr="003F3B94">
        <w:rPr>
          <w:rFonts w:ascii="Abo-thar" w:hAnsi="Abo-thar" w:hint="cs"/>
          <w:sz w:val="28"/>
          <w:rtl/>
          <w:lang w:bidi="ar-SY"/>
        </w:rPr>
        <w:t xml:space="preserve"> في هذه الأحاديث حقيقة شرعية أي أنه في أحكام الشرع أو فيما يسمى اصطلاحاً بفروع الدين في صدر الإسلام لم يكن هناك شيء معنون ومتميز خاص باسم </w:t>
      </w:r>
      <w:r w:rsidR="00217AB4" w:rsidRPr="003F3B94">
        <w:rPr>
          <w:rFonts w:ascii="Abo-thar" w:hAnsi="Abo-thar" w:hint="cs"/>
          <w:sz w:val="28"/>
          <w:rtl/>
          <w:lang w:bidi="ar-SY"/>
        </w:rPr>
        <w:t>(</w:t>
      </w:r>
      <w:r w:rsidRPr="003F3B94">
        <w:rPr>
          <w:rFonts w:ascii="Abo-thar" w:hAnsi="Abo-thar" w:hint="cs"/>
          <w:sz w:val="28"/>
          <w:rtl/>
          <w:lang w:bidi="ar-SY"/>
        </w:rPr>
        <w:t>الخُمس</w:t>
      </w:r>
      <w:r w:rsidR="00217AB4" w:rsidRPr="003F3B94">
        <w:rPr>
          <w:rFonts w:ascii="Abo-thar" w:hAnsi="Abo-thar" w:hint="cs"/>
          <w:sz w:val="28"/>
          <w:rtl/>
          <w:lang w:bidi="ar-SY"/>
        </w:rPr>
        <w:t>)</w:t>
      </w:r>
      <w:r w:rsidRPr="003F3B94">
        <w:rPr>
          <w:rFonts w:ascii="Abo-thar" w:hAnsi="Abo-thar" w:hint="cs"/>
          <w:sz w:val="28"/>
          <w:rtl/>
          <w:lang w:bidi="ar-SY"/>
        </w:rPr>
        <w:t xml:space="preserve"> مثل ما كان لكلمات </w:t>
      </w:r>
      <w:r w:rsidR="00217AB4" w:rsidRPr="003F3B94">
        <w:rPr>
          <w:rFonts w:ascii="Abo-thar" w:hAnsi="Abo-thar" w:hint="cs"/>
          <w:sz w:val="28"/>
          <w:rtl/>
          <w:lang w:bidi="ar-SY"/>
        </w:rPr>
        <w:t>(</w:t>
      </w:r>
      <w:r w:rsidRPr="003F3B94">
        <w:rPr>
          <w:rFonts w:ascii="Abo-thar" w:hAnsi="Abo-thar" w:hint="cs"/>
          <w:sz w:val="28"/>
          <w:rtl/>
          <w:lang w:bidi="ar-SY"/>
        </w:rPr>
        <w:t>الصلاة</w:t>
      </w:r>
      <w:r w:rsidR="00217AB4" w:rsidRPr="003F3B94">
        <w:rPr>
          <w:rFonts w:ascii="Abo-thar" w:hAnsi="Abo-thar" w:hint="cs"/>
          <w:sz w:val="28"/>
          <w:rtl/>
          <w:lang w:bidi="ar-SY"/>
        </w:rPr>
        <w:t>)</w:t>
      </w:r>
      <w:r w:rsidR="00147857" w:rsidRPr="003F3B94">
        <w:rPr>
          <w:rFonts w:ascii="Abo-thar" w:hAnsi="Abo-thar" w:hint="cs"/>
          <w:sz w:val="28"/>
          <w:rtl/>
          <w:lang w:bidi="ar-SY"/>
        </w:rPr>
        <w:t xml:space="preserve"> و</w:t>
      </w:r>
      <w:r w:rsidR="00217AB4" w:rsidRPr="003F3B94">
        <w:rPr>
          <w:rFonts w:ascii="Abo-thar" w:hAnsi="Abo-thar" w:hint="cs"/>
          <w:sz w:val="28"/>
          <w:rtl/>
          <w:lang w:bidi="ar-SY"/>
        </w:rPr>
        <w:t>(</w:t>
      </w:r>
      <w:r w:rsidRPr="003F3B94">
        <w:rPr>
          <w:rFonts w:ascii="Abo-thar" w:hAnsi="Abo-thar" w:hint="cs"/>
          <w:sz w:val="28"/>
          <w:rtl/>
          <w:lang w:bidi="ar-SY"/>
        </w:rPr>
        <w:t>الزكاة</w:t>
      </w:r>
      <w:r w:rsidR="00217AB4" w:rsidRPr="003F3B94">
        <w:rPr>
          <w:rFonts w:ascii="Abo-thar" w:hAnsi="Abo-thar" w:hint="cs"/>
          <w:sz w:val="28"/>
          <w:rtl/>
          <w:lang w:bidi="ar-SY"/>
        </w:rPr>
        <w:t>)</w:t>
      </w:r>
      <w:r w:rsidRPr="003F3B94">
        <w:rPr>
          <w:rFonts w:ascii="Abo-thar" w:hAnsi="Abo-thar" w:hint="cs"/>
          <w:sz w:val="28"/>
          <w:rtl/>
          <w:lang w:bidi="ar-SY"/>
        </w:rPr>
        <w:t xml:space="preserve"> و</w:t>
      </w:r>
      <w:r w:rsidR="00217AB4" w:rsidRPr="003F3B94">
        <w:rPr>
          <w:rFonts w:ascii="Abo-thar" w:hAnsi="Abo-thar" w:hint="cs"/>
          <w:sz w:val="28"/>
          <w:rtl/>
          <w:lang w:bidi="ar-SY"/>
        </w:rPr>
        <w:t>(</w:t>
      </w:r>
      <w:r w:rsidRPr="003F3B94">
        <w:rPr>
          <w:rFonts w:ascii="Abo-thar" w:hAnsi="Abo-thar" w:hint="cs"/>
          <w:sz w:val="28"/>
          <w:rtl/>
          <w:lang w:bidi="ar-SY"/>
        </w:rPr>
        <w:t>الحج</w:t>
      </w:r>
      <w:r w:rsidR="00217AB4" w:rsidRPr="003F3B94">
        <w:rPr>
          <w:rFonts w:ascii="Abo-thar" w:hAnsi="Abo-thar" w:hint="cs"/>
          <w:sz w:val="28"/>
          <w:rtl/>
          <w:lang w:bidi="ar-SY"/>
        </w:rPr>
        <w:t>)</w:t>
      </w:r>
      <w:r w:rsidR="00147857" w:rsidRPr="003F3B94">
        <w:rPr>
          <w:rFonts w:ascii="Abo-thar" w:hAnsi="Abo-thar" w:hint="cs"/>
          <w:sz w:val="28"/>
          <w:rtl/>
          <w:lang w:bidi="ar-SY"/>
        </w:rPr>
        <w:t xml:space="preserve"> و</w:t>
      </w:r>
      <w:r w:rsidR="00217AB4" w:rsidRPr="003F3B94">
        <w:rPr>
          <w:rFonts w:ascii="Abo-thar" w:hAnsi="Abo-thar" w:hint="cs"/>
          <w:sz w:val="28"/>
          <w:rtl/>
          <w:lang w:bidi="ar-SY"/>
        </w:rPr>
        <w:t>(</w:t>
      </w:r>
      <w:r w:rsidRPr="003F3B94">
        <w:rPr>
          <w:rFonts w:ascii="Abo-thar" w:hAnsi="Abo-thar" w:hint="cs"/>
          <w:sz w:val="28"/>
          <w:rtl/>
          <w:lang w:bidi="ar-SY"/>
        </w:rPr>
        <w:t>الصوم</w:t>
      </w:r>
      <w:r w:rsidR="00217AB4" w:rsidRPr="003F3B94">
        <w:rPr>
          <w:rFonts w:ascii="Abo-thar" w:hAnsi="Abo-thar" w:hint="cs"/>
          <w:sz w:val="28"/>
          <w:rtl/>
          <w:lang w:bidi="ar-SY"/>
        </w:rPr>
        <w:t>)</w:t>
      </w:r>
      <w:r w:rsidR="00147857" w:rsidRPr="003F3B94">
        <w:rPr>
          <w:rFonts w:ascii="Abo-thar" w:hAnsi="Abo-thar" w:hint="cs"/>
          <w:sz w:val="28"/>
          <w:rtl/>
          <w:lang w:bidi="ar-SY"/>
        </w:rPr>
        <w:t xml:space="preserve"> و</w:t>
      </w:r>
      <w:r w:rsidR="00217AB4" w:rsidRPr="003F3B94">
        <w:rPr>
          <w:rFonts w:ascii="Abo-thar" w:hAnsi="Abo-thar" w:hint="cs"/>
          <w:sz w:val="28"/>
          <w:rtl/>
          <w:lang w:bidi="ar-SY"/>
        </w:rPr>
        <w:t>(</w:t>
      </w:r>
      <w:r w:rsidRPr="003F3B94">
        <w:rPr>
          <w:rFonts w:ascii="Abo-thar" w:hAnsi="Abo-thar" w:hint="cs"/>
          <w:sz w:val="28"/>
          <w:rtl/>
          <w:lang w:bidi="ar-SY"/>
        </w:rPr>
        <w:t>الجهاد</w:t>
      </w:r>
      <w:r w:rsidR="00217AB4" w:rsidRPr="003F3B94">
        <w:rPr>
          <w:rFonts w:ascii="Abo-thar" w:hAnsi="Abo-thar" w:hint="cs"/>
          <w:sz w:val="28"/>
          <w:rtl/>
          <w:lang w:bidi="ar-SY"/>
        </w:rPr>
        <w:t>)</w:t>
      </w:r>
      <w:r w:rsidRPr="003F3B94">
        <w:rPr>
          <w:rFonts w:ascii="Abo-thar" w:hAnsi="Abo-thar" w:hint="cs"/>
          <w:sz w:val="28"/>
          <w:rtl/>
          <w:lang w:bidi="ar-SY"/>
        </w:rPr>
        <w:t xml:space="preserve"> بحيث أنه بمجرد سماع الكلمة ينصرف الذهن فوراً إلى معناها الشرعي الجديد أو حقيقتها الشرعية</w:t>
      </w:r>
      <w:r w:rsidR="001E0DB7" w:rsidRPr="003F3B94">
        <w:rPr>
          <w:rFonts w:ascii="Abo-thar" w:hAnsi="Abo-thar" w:hint="cs"/>
          <w:sz w:val="28"/>
          <w:rtl/>
          <w:lang w:bidi="ar-SY"/>
        </w:rPr>
        <w:t>،</w:t>
      </w:r>
      <w:r w:rsidRPr="003F3B94">
        <w:rPr>
          <w:rFonts w:ascii="Abo-thar" w:hAnsi="Abo-thar" w:hint="cs"/>
          <w:sz w:val="28"/>
          <w:rtl/>
          <w:lang w:bidi="ar-SY"/>
        </w:rPr>
        <w:t xml:space="preserve"> بل كانت كلمة </w:t>
      </w:r>
      <w:r w:rsidR="00217AB4" w:rsidRPr="003F3B94">
        <w:rPr>
          <w:rFonts w:ascii="Abo-thar" w:hAnsi="Abo-thar" w:hint="cs"/>
          <w:sz w:val="28"/>
          <w:rtl/>
          <w:lang w:bidi="ar-SY"/>
        </w:rPr>
        <w:t>(</w:t>
      </w:r>
      <w:r w:rsidRPr="003F3B94">
        <w:rPr>
          <w:rFonts w:ascii="Abo-thar" w:hAnsi="Abo-thar" w:hint="cs"/>
          <w:sz w:val="28"/>
          <w:rtl/>
          <w:lang w:bidi="ar-SY"/>
        </w:rPr>
        <w:t>الخُمس</w:t>
      </w:r>
      <w:r w:rsidR="00217AB4" w:rsidRPr="003F3B94">
        <w:rPr>
          <w:rFonts w:ascii="Abo-thar" w:hAnsi="Abo-thar" w:hint="cs"/>
          <w:sz w:val="28"/>
          <w:rtl/>
          <w:lang w:bidi="ar-SY"/>
        </w:rPr>
        <w:t>)</w:t>
      </w:r>
      <w:r w:rsidRPr="003F3B94">
        <w:rPr>
          <w:rFonts w:ascii="Abo-thar" w:hAnsi="Abo-thar" w:hint="cs"/>
          <w:sz w:val="28"/>
          <w:rtl/>
          <w:lang w:bidi="ar-SY"/>
        </w:rPr>
        <w:t xml:space="preserve"> تستخدم أحياناً لبيان مقدار زكاة المعادن والكنوز كالحديث المروي في الكافي</w:t>
      </w:r>
      <w:r w:rsidR="00217AB4" w:rsidRPr="003F3B94">
        <w:rPr>
          <w:rFonts w:ascii="Abo-thar" w:hAnsi="Abo-thar" w:hint="cs"/>
          <w:sz w:val="28"/>
          <w:rtl/>
          <w:lang w:bidi="ar-SY"/>
        </w:rPr>
        <w:t>:</w:t>
      </w:r>
      <w:r w:rsidRPr="003F3B94">
        <w:rPr>
          <w:rFonts w:ascii="Abo-thar" w:hAnsi="Abo-thar" w:hint="cs"/>
          <w:sz w:val="28"/>
          <w:rtl/>
          <w:lang w:bidi="ar-SY"/>
        </w:rPr>
        <w:t xml:space="preserve"> </w:t>
      </w:r>
      <w:r w:rsidR="00EF2588" w:rsidRPr="003762F6">
        <w:rPr>
          <w:rFonts w:ascii="Abo-thar" w:hAnsi="Abo-thar" w:cs="KFGQPC Uthman Taha Naskh" w:hint="cs"/>
          <w:sz w:val="28"/>
          <w:rtl/>
          <w:lang w:bidi="ar-SY"/>
        </w:rPr>
        <w:t>«</w:t>
      </w:r>
      <w:r w:rsidRPr="003762F6">
        <w:rPr>
          <w:rFonts w:ascii="Abo-thar" w:hAnsi="Abo-thar" w:cs="KFGQPC Uthman Taha Naskh"/>
          <w:b/>
          <w:bCs/>
          <w:sz w:val="28"/>
          <w:rtl/>
          <w:lang w:bidi="ar-SY"/>
        </w:rPr>
        <w:t xml:space="preserve">وَسُئِلَ أَبُو الحَسَنِ </w:t>
      </w:r>
      <w:r w:rsidR="00BC4BA9" w:rsidRPr="00BC4BA9">
        <w:rPr>
          <w:rFonts w:ascii="Abo-thar" w:hAnsi="Abo-thar" w:cs="CTraditional Arabic"/>
          <w:b/>
          <w:sz w:val="28"/>
          <w:rtl/>
          <w:lang w:bidi="ar-SY"/>
        </w:rPr>
        <w:t>÷</w:t>
      </w:r>
      <w:r w:rsidRPr="003762F6">
        <w:rPr>
          <w:rFonts w:ascii="Abo-thar" w:hAnsi="Abo-thar" w:cs="KFGQPC Uthman Taha Naskh"/>
          <w:b/>
          <w:bCs/>
          <w:sz w:val="28"/>
          <w:rtl/>
          <w:lang w:bidi="ar-SY"/>
        </w:rPr>
        <w:t xml:space="preserve"> عَنِ الرَّجُلِ يَأْخُذُ مِنْهُ هَؤُلَاءِ زَكَاةَ مَالِهِ أَوْ خُمُسَ غَنِيمَتِهِ أَوْ خُمُسَ مَا يَخْرُجُ لَهُ مِنَ المَعَادِنِ أَيُحْسَبُ ذَلِكَ لَهُ فِي زَكَاتِهِ وخُمُسِهِ</w:t>
      </w:r>
      <w:r w:rsidR="00217AB4" w:rsidRPr="003762F6">
        <w:rPr>
          <w:rFonts w:ascii="Abo-thar" w:hAnsi="Abo-thar" w:cs="KFGQPC Uthman Taha Naskh" w:hint="cs"/>
          <w:b/>
          <w:bCs/>
          <w:sz w:val="28"/>
          <w:rtl/>
          <w:lang w:bidi="ar-SY"/>
        </w:rPr>
        <w:t>؟</w:t>
      </w:r>
      <w:r w:rsidRPr="003762F6">
        <w:rPr>
          <w:rFonts w:ascii="Abo-thar" w:hAnsi="Abo-thar" w:cs="KFGQPC Uthman Taha Naskh"/>
          <w:b/>
          <w:bCs/>
          <w:sz w:val="28"/>
          <w:rtl/>
          <w:lang w:bidi="ar-SY"/>
        </w:rPr>
        <w:t xml:space="preserve"> فَقَالَ</w:t>
      </w:r>
      <w:r w:rsidR="00217AB4" w:rsidRPr="003762F6">
        <w:rPr>
          <w:rFonts w:ascii="Abo-thar" w:hAnsi="Abo-thar" w:cs="KFGQPC Uthman Taha Naskh" w:hint="cs"/>
          <w:b/>
          <w:bCs/>
          <w:sz w:val="28"/>
          <w:rtl/>
          <w:lang w:bidi="ar-SY"/>
        </w:rPr>
        <w:t>:</w:t>
      </w:r>
      <w:r w:rsidRPr="003762F6">
        <w:rPr>
          <w:rFonts w:ascii="Abo-thar" w:hAnsi="Abo-thar" w:cs="KFGQPC Uthman Taha Naskh"/>
          <w:b/>
          <w:bCs/>
          <w:sz w:val="28"/>
          <w:rtl/>
          <w:lang w:bidi="ar-SY"/>
        </w:rPr>
        <w:t xml:space="preserve"> نَعَمْ</w:t>
      </w:r>
      <w:r w:rsidR="00EF2588" w:rsidRPr="003762F6">
        <w:rPr>
          <w:rFonts w:ascii="Abo-thar" w:hAnsi="Abo-thar" w:cs="KFGQPC Uthman Taha Naskh" w:hint="cs"/>
          <w:sz w:val="28"/>
          <w:rtl/>
          <w:lang w:bidi="ar-SY"/>
        </w:rPr>
        <w:t>»</w:t>
      </w:r>
      <w:r w:rsidR="00217AB4" w:rsidRPr="0021507A">
        <w:rPr>
          <w:rStyle w:val="FootnoteReference"/>
          <w:rFonts w:cs="Arabic11 BT"/>
          <w:b/>
          <w:sz w:val="28"/>
          <w:rtl/>
          <w:lang w:bidi="ar-SY"/>
        </w:rPr>
        <w:t>(</w:t>
      </w:r>
      <w:r w:rsidRPr="0021507A">
        <w:rPr>
          <w:rStyle w:val="FootnoteReference"/>
          <w:rFonts w:cs="Arabic11 BT"/>
          <w:b/>
          <w:sz w:val="28"/>
          <w:rtl/>
          <w:lang w:bidi="ar-SY"/>
        </w:rPr>
        <w:footnoteReference w:id="229"/>
      </w:r>
      <w:r w:rsidR="00217AB4" w:rsidRPr="0021507A">
        <w:rPr>
          <w:rStyle w:val="FootnoteReference"/>
          <w:rFonts w:cs="Arabic11 BT"/>
          <w:b/>
          <w:sz w:val="28"/>
          <w:rtl/>
          <w:lang w:bidi="ar-SY"/>
        </w:rPr>
        <w:t>)</w:t>
      </w:r>
      <w:r w:rsidR="00217AB4" w:rsidRPr="003F3B94">
        <w:rPr>
          <w:rFonts w:ascii="Abo-thar" w:hAnsi="Abo-thar" w:hint="cs"/>
          <w:sz w:val="28"/>
          <w:rtl/>
          <w:lang w:bidi="ar-SY"/>
        </w:rPr>
        <w:t>.</w:t>
      </w:r>
    </w:p>
    <w:p w:rsidR="005C664D" w:rsidRPr="003F3B94" w:rsidRDefault="005C664D" w:rsidP="003F3B94">
      <w:pPr>
        <w:pStyle w:val="a0"/>
        <w:rPr>
          <w:rFonts w:hint="cs"/>
          <w:rtl/>
          <w:lang w:bidi="ar-SY"/>
        </w:rPr>
      </w:pPr>
      <w:r w:rsidRPr="003F3B94">
        <w:rPr>
          <w:rFonts w:ascii="Abo-thar" w:hAnsi="Abo-thar" w:hint="cs"/>
          <w:sz w:val="28"/>
          <w:rtl/>
          <w:lang w:bidi="ar-SY"/>
        </w:rPr>
        <w:t xml:space="preserve">هنا كلمة الخُمس إنما تميزت وذكرت لكون زكاة المعادن </w:t>
      </w:r>
      <w:r w:rsidRPr="003F3B94">
        <w:rPr>
          <w:rFonts w:cs="Times New Roman" w:hint="cs"/>
          <w:sz w:val="28"/>
          <w:rtl/>
          <w:lang w:bidi="ar-SY"/>
        </w:rPr>
        <w:t>–</w:t>
      </w:r>
      <w:r w:rsidRPr="003F3B94">
        <w:rPr>
          <w:rFonts w:ascii="Abo-thar" w:hAnsi="Abo-thar" w:hint="cs"/>
          <w:sz w:val="28"/>
          <w:rtl/>
          <w:lang w:bidi="ar-SY"/>
        </w:rPr>
        <w:t xml:space="preserve"> خلافاً لزكاة سائر الأشياء </w:t>
      </w:r>
      <w:r w:rsidRPr="003F3B94">
        <w:rPr>
          <w:rFonts w:cs="Times New Roman" w:hint="cs"/>
          <w:sz w:val="28"/>
          <w:rtl/>
          <w:lang w:bidi="ar-SY"/>
        </w:rPr>
        <w:t>–</w:t>
      </w:r>
      <w:r w:rsidRPr="003F3B94">
        <w:rPr>
          <w:rFonts w:hint="cs"/>
          <w:sz w:val="28"/>
          <w:rtl/>
          <w:lang w:bidi="ar-SY"/>
        </w:rPr>
        <w:t xml:space="preserve"> هي </w:t>
      </w:r>
      <w:r w:rsidRPr="003F3B94">
        <w:rPr>
          <w:rFonts w:ascii="Abo-thar" w:hAnsi="Abo-thar" w:hint="cs"/>
          <w:sz w:val="28"/>
          <w:rtl/>
          <w:lang w:bidi="ar-SY"/>
        </w:rPr>
        <w:t>خمسها</w:t>
      </w:r>
      <w:r w:rsidR="001E0DB7" w:rsidRPr="003F3B94">
        <w:rPr>
          <w:rFonts w:hint="cs"/>
          <w:sz w:val="28"/>
          <w:rtl/>
          <w:lang w:bidi="ar-SY"/>
        </w:rPr>
        <w:t>،</w:t>
      </w:r>
      <w:r w:rsidRPr="003F3B94">
        <w:rPr>
          <w:rFonts w:hint="cs"/>
          <w:sz w:val="28"/>
          <w:rtl/>
          <w:lang w:bidi="ar-SY"/>
        </w:rPr>
        <w:t xml:space="preserve"> ولا تنطبق عليها سـائر شـروط الزكاة مثل مضي الحول والنصاب المحدَّد</w:t>
      </w:r>
      <w:r w:rsidR="00217AB4" w:rsidRPr="003F3B94">
        <w:rPr>
          <w:rFonts w:hint="cs"/>
          <w:sz w:val="28"/>
          <w:rtl/>
          <w:lang w:bidi="ar-SY"/>
        </w:rPr>
        <w:t>.</w:t>
      </w:r>
      <w:r w:rsidRPr="003F3B94">
        <w:rPr>
          <w:rFonts w:hint="cs"/>
          <w:sz w:val="28"/>
          <w:rtl/>
          <w:lang w:bidi="ar-SY"/>
        </w:rPr>
        <w:t xml:space="preserve"> </w:t>
      </w:r>
    </w:p>
    <w:p w:rsidR="005C664D" w:rsidRPr="003F3B94" w:rsidRDefault="005C664D" w:rsidP="003F3B94">
      <w:pPr>
        <w:pStyle w:val="a0"/>
        <w:rPr>
          <w:rFonts w:hint="cs"/>
          <w:rtl/>
          <w:lang w:bidi="ar-SY"/>
        </w:rPr>
      </w:pPr>
      <w:r w:rsidRPr="003F3B94">
        <w:rPr>
          <w:rFonts w:hint="cs"/>
          <w:sz w:val="28"/>
          <w:rtl/>
          <w:lang w:bidi="ar-SY"/>
        </w:rPr>
        <w:t xml:space="preserve">والحاصل أن كلمة </w:t>
      </w:r>
      <w:r w:rsidR="00217AB4" w:rsidRPr="003F3B94">
        <w:rPr>
          <w:rFonts w:hint="cs"/>
          <w:sz w:val="28"/>
          <w:rtl/>
          <w:lang w:bidi="ar-SY"/>
        </w:rPr>
        <w:t>(</w:t>
      </w:r>
      <w:r w:rsidRPr="003F3B94">
        <w:rPr>
          <w:rFonts w:hint="cs"/>
          <w:sz w:val="28"/>
          <w:rtl/>
          <w:lang w:bidi="ar-SY"/>
        </w:rPr>
        <w:t>الخُمس</w:t>
      </w:r>
      <w:r w:rsidR="00217AB4" w:rsidRPr="003F3B94">
        <w:rPr>
          <w:rFonts w:hint="cs"/>
          <w:sz w:val="28"/>
          <w:rtl/>
          <w:lang w:bidi="ar-SY"/>
        </w:rPr>
        <w:t>)</w:t>
      </w:r>
      <w:r w:rsidRPr="003F3B94">
        <w:rPr>
          <w:rFonts w:hint="cs"/>
          <w:sz w:val="28"/>
          <w:rtl/>
          <w:lang w:bidi="ar-SY"/>
        </w:rPr>
        <w:t xml:space="preserve"> في هذه الأحاديث ليست سوى اسم ذلك الكسر العددي المعروف مثله مثل العشر والثمن والربع وأمثالها</w:t>
      </w:r>
      <w:r w:rsidR="00217AB4" w:rsidRPr="003F3B94">
        <w:rPr>
          <w:rFonts w:hint="cs"/>
          <w:sz w:val="28"/>
          <w:rtl/>
          <w:lang w:bidi="ar-SY"/>
        </w:rPr>
        <w:t>.</w:t>
      </w:r>
      <w:r w:rsidRPr="003F3B94">
        <w:rPr>
          <w:rFonts w:hint="cs"/>
          <w:sz w:val="28"/>
          <w:rtl/>
          <w:lang w:bidi="ar-SY"/>
        </w:rPr>
        <w:t xml:space="preserve"> أو مثلما نجد في الأحاديث التي تتحدث عن الزكاة ومقدار ما يجب إخراجه منها والتي يجيب فيها </w:t>
      </w:r>
      <w:r w:rsidRPr="003F3B94">
        <w:rPr>
          <w:rFonts w:ascii="Abo-thar" w:hAnsi="Abo-thar" w:hint="cs"/>
          <w:sz w:val="28"/>
          <w:rtl/>
          <w:lang w:bidi="ar-SY"/>
        </w:rPr>
        <w:t xml:space="preserve">الإمام </w:t>
      </w:r>
      <w:r w:rsidRPr="003F3B94">
        <w:rPr>
          <w:rFonts w:hint="cs"/>
          <w:sz w:val="28"/>
          <w:rtl/>
          <w:lang w:bidi="ar-SY"/>
        </w:rPr>
        <w:t>بقوله</w:t>
      </w:r>
      <w:r w:rsidR="00217AB4" w:rsidRPr="003F3B94">
        <w:rPr>
          <w:rFonts w:hint="cs"/>
          <w:sz w:val="28"/>
          <w:rtl/>
          <w:lang w:bidi="ar-SY"/>
        </w:rPr>
        <w:t>:</w:t>
      </w:r>
      <w:r w:rsidRPr="003F3B94">
        <w:rPr>
          <w:rFonts w:hint="cs"/>
          <w:sz w:val="28"/>
          <w:rtl/>
          <w:lang w:bidi="ar-SY"/>
        </w:rPr>
        <w:t xml:space="preserve"> </w:t>
      </w:r>
      <w:r w:rsidR="00217AB4" w:rsidRPr="003F3B94">
        <w:rPr>
          <w:rFonts w:hint="cs"/>
          <w:sz w:val="28"/>
          <w:rtl/>
          <w:lang w:bidi="ar-SY"/>
        </w:rPr>
        <w:t>(</w:t>
      </w:r>
      <w:r w:rsidRPr="003F3B94">
        <w:rPr>
          <w:rFonts w:hint="cs"/>
          <w:sz w:val="28"/>
          <w:rtl/>
          <w:lang w:bidi="ar-SY"/>
        </w:rPr>
        <w:t>فيه العشر أو فيه نصف العشر</w:t>
      </w:r>
      <w:r w:rsidR="00217AB4" w:rsidRPr="003F3B94">
        <w:rPr>
          <w:rFonts w:hint="cs"/>
          <w:sz w:val="28"/>
          <w:rtl/>
          <w:lang w:bidi="ar-SY"/>
        </w:rPr>
        <w:t>)</w:t>
      </w:r>
      <w:r w:rsidR="001E0DB7" w:rsidRPr="003F3B94">
        <w:rPr>
          <w:rFonts w:hint="cs"/>
          <w:sz w:val="28"/>
          <w:rtl/>
          <w:lang w:bidi="ar-SY"/>
        </w:rPr>
        <w:t>،</w:t>
      </w:r>
      <w:r w:rsidRPr="003F3B94">
        <w:rPr>
          <w:rFonts w:hint="cs"/>
          <w:sz w:val="28"/>
          <w:rtl/>
          <w:lang w:bidi="ar-SY"/>
        </w:rPr>
        <w:t xml:space="preserve"> </w:t>
      </w:r>
      <w:r w:rsidRPr="003F3B94">
        <w:rPr>
          <w:rFonts w:ascii="Abo-thar" w:hAnsi="Abo-thar" w:hint="cs"/>
          <w:sz w:val="28"/>
          <w:rtl/>
          <w:lang w:bidi="ar-SY"/>
        </w:rPr>
        <w:t>مثلاً في كتاب «تحف العقول» عن الإمام الرضا</w:t>
      </w:r>
      <w:r w:rsidR="00217AB4" w:rsidRPr="003F3B94">
        <w:rPr>
          <w:rFonts w:ascii="Abo-thar" w:hAnsi="Abo-thar" w:hint="cs"/>
          <w:sz w:val="28"/>
          <w:rtl/>
          <w:lang w:bidi="ar-SY"/>
        </w:rPr>
        <w:t>:</w:t>
      </w:r>
      <w:r w:rsidRPr="003F3B94">
        <w:rPr>
          <w:rFonts w:ascii="Abo-thar" w:hAnsi="Abo-thar" w:hint="cs"/>
          <w:sz w:val="28"/>
          <w:rtl/>
          <w:lang w:bidi="ar-SY"/>
        </w:rPr>
        <w:t xml:space="preserve"> </w:t>
      </w:r>
      <w:r w:rsidR="00EF2588" w:rsidRPr="003762F6">
        <w:rPr>
          <w:rFonts w:ascii="Abo-thar" w:hAnsi="Abo-thar" w:cs="KFGQPC Uthman Taha Naskh" w:hint="cs"/>
          <w:sz w:val="28"/>
          <w:rtl/>
          <w:lang w:bidi="ar-SY"/>
        </w:rPr>
        <w:t>«</w:t>
      </w:r>
      <w:r w:rsidRPr="003762F6">
        <w:rPr>
          <w:rFonts w:ascii="Abo-thar" w:hAnsi="Abo-thar" w:cs="KFGQPC Uthman Taha Naskh" w:hint="cs"/>
          <w:b/>
          <w:bCs/>
          <w:sz w:val="28"/>
          <w:rtl/>
          <w:lang w:bidi="ar-SY"/>
        </w:rPr>
        <w:t>ك</w:t>
      </w:r>
      <w:r w:rsidRPr="003762F6">
        <w:rPr>
          <w:rFonts w:ascii="Abo-thar" w:hAnsi="Abo-thar" w:cs="KFGQPC Uthman Taha Naskh"/>
          <w:b/>
          <w:bCs/>
          <w:sz w:val="28"/>
          <w:rtl/>
          <w:lang w:bidi="ar-SY"/>
        </w:rPr>
        <w:t>ُلُّ مَا يَخْرُجُ مِنَ الْأَرْضِ مِنَ الحُبُوبِ إِذَا بَلَغَتْ خَمْسَةَ أَوْسُقٍ فَفِيهَا الْعُشْرُ إِنْ كَانَ يُسْقَى سَيْحاً وإِنْ كَانَ يُسْقَى بِالدَّوَالِي فَفِيهَا نِصْفُ الْعُشْر</w:t>
      </w:r>
      <w:r w:rsidR="00217AB4" w:rsidRPr="003762F6">
        <w:rPr>
          <w:rFonts w:ascii="Abo-thar" w:hAnsi="Abo-thar" w:cs="KFGQPC Uthman Taha Naskh" w:hint="cs"/>
          <w:sz w:val="28"/>
          <w:rtl/>
          <w:lang w:bidi="ar-SY"/>
        </w:rPr>
        <w:t>..</w:t>
      </w:r>
      <w:r w:rsidR="00EF2588" w:rsidRPr="003762F6">
        <w:rPr>
          <w:rFonts w:ascii="Abo-thar" w:hAnsi="Abo-thar" w:cs="KFGQPC Uthman Taha Naskh" w:hint="cs"/>
          <w:sz w:val="28"/>
          <w:rtl/>
          <w:lang w:bidi="ar-SY"/>
        </w:rPr>
        <w:t>»</w:t>
      </w:r>
      <w:r w:rsidR="00CB747D" w:rsidRPr="0021507A">
        <w:rPr>
          <w:rFonts w:ascii="Abo-thar" w:hAnsi="Abo-thar" w:cs="Arabic11 BT"/>
          <w:sz w:val="28"/>
          <w:vertAlign w:val="superscript"/>
          <w:rtl/>
          <w:lang w:bidi="ar-SY"/>
        </w:rPr>
        <w:t>(</w:t>
      </w:r>
      <w:r w:rsidR="00CB747D" w:rsidRPr="0021507A">
        <w:rPr>
          <w:rStyle w:val="FootnoteReference"/>
          <w:rFonts w:ascii="Abo-thar" w:hAnsi="Abo-thar" w:cs="Arabic11 BT"/>
          <w:sz w:val="28"/>
          <w:rtl/>
          <w:lang w:bidi="ar-SY"/>
        </w:rPr>
        <w:footnoteReference w:id="230"/>
      </w:r>
      <w:r w:rsidR="00CB747D" w:rsidRPr="0021507A">
        <w:rPr>
          <w:rFonts w:ascii="Abo-thar" w:hAnsi="Abo-thar" w:cs="Arabic11 BT"/>
          <w:sz w:val="28"/>
          <w:vertAlign w:val="superscript"/>
          <w:rtl/>
          <w:lang w:bidi="ar-SY"/>
        </w:rPr>
        <w:t>)</w:t>
      </w:r>
      <w:r w:rsidR="00217AB4" w:rsidRPr="003F3B94">
        <w:rPr>
          <w:rFonts w:ascii="Abo-thar" w:hAnsi="Abo-thar" w:hint="cs"/>
          <w:sz w:val="28"/>
          <w:rtl/>
          <w:lang w:bidi="ar-SY"/>
        </w:rPr>
        <w:t>.</w:t>
      </w:r>
      <w:r w:rsidRPr="003F3B94">
        <w:rPr>
          <w:rFonts w:ascii="Abo-thar" w:hAnsi="Abo-thar" w:hint="cs"/>
          <w:sz w:val="28"/>
          <w:rtl/>
          <w:lang w:bidi="ar-SY"/>
        </w:rPr>
        <w:t xml:space="preserve"> </w:t>
      </w:r>
    </w:p>
    <w:p w:rsidR="005C664D" w:rsidRPr="003F3B94" w:rsidRDefault="005C664D" w:rsidP="003F3B94">
      <w:pPr>
        <w:pStyle w:val="a0"/>
        <w:rPr>
          <w:rFonts w:hint="cs"/>
          <w:rtl/>
          <w:lang w:bidi="ar-SY"/>
        </w:rPr>
      </w:pPr>
      <w:r w:rsidRPr="003F3B94">
        <w:rPr>
          <w:rFonts w:ascii="Abo-thar" w:hAnsi="Abo-thar" w:hint="cs"/>
          <w:sz w:val="28"/>
          <w:rtl/>
          <w:lang w:bidi="ar-SY"/>
        </w:rPr>
        <w:t>وكما نجد في رسائل النبي</w:t>
      </w:r>
      <w:r w:rsidR="00147857" w:rsidRPr="003F3B94">
        <w:rPr>
          <w:rFonts w:ascii="Abo-thar" w:hAnsi="Abo-thar" w:hint="cs"/>
          <w:sz w:val="28"/>
          <w:rtl/>
          <w:lang w:bidi="ar-SY"/>
        </w:rPr>
        <w:t xml:space="preserve"> </w:t>
      </w:r>
      <w:r w:rsidR="003C7AEB" w:rsidRPr="003C7AEB">
        <w:rPr>
          <w:rFonts w:ascii="Abo-thar" w:hAnsi="Abo-thar" w:cs="CTraditional Arabic"/>
          <w:sz w:val="28"/>
          <w:rtl/>
          <w:lang w:bidi="ar-SY"/>
        </w:rPr>
        <w:t>ص</w:t>
      </w:r>
      <w:r w:rsidR="00147857" w:rsidRPr="003F3B94">
        <w:rPr>
          <w:rFonts w:ascii="Abo-thar" w:hAnsi="Abo-thar"/>
          <w:sz w:val="28"/>
          <w:rtl/>
          <w:lang w:bidi="ar-SY"/>
        </w:rPr>
        <w:t xml:space="preserve"> </w:t>
      </w:r>
      <w:r w:rsidRPr="003F3B94">
        <w:rPr>
          <w:rFonts w:ascii="Abo-thar" w:hAnsi="Abo-thar" w:hint="cs"/>
          <w:sz w:val="28"/>
          <w:rtl/>
          <w:lang w:bidi="ar-SY"/>
        </w:rPr>
        <w:t>إلى رؤساء القبائل كما في رسالته مثلاً إلى شرحبيل بن عبد كلال ونعيم</w:t>
      </w:r>
      <w:r w:rsidR="00217AB4" w:rsidRPr="003F3B94">
        <w:rPr>
          <w:rFonts w:ascii="Abo-thar" w:hAnsi="Abo-thar" w:hint="cs"/>
          <w:sz w:val="28"/>
          <w:rtl/>
          <w:lang w:bidi="ar-SY"/>
        </w:rPr>
        <w:t>:</w:t>
      </w:r>
      <w:r w:rsidRPr="003F3B94">
        <w:rPr>
          <w:rFonts w:ascii="Abo-thar" w:hAnsi="Abo-thar" w:hint="cs"/>
          <w:sz w:val="28"/>
          <w:rtl/>
          <w:lang w:bidi="ar-SY"/>
        </w:rPr>
        <w:t xml:space="preserve"> </w:t>
      </w:r>
      <w:r w:rsidR="00EF2588" w:rsidRPr="003762F6">
        <w:rPr>
          <w:rFonts w:ascii="Abo-thar" w:hAnsi="Abo-thar" w:cs="KFGQPC Uthman Taha Naskh" w:hint="cs"/>
          <w:sz w:val="28"/>
          <w:rtl/>
          <w:lang w:bidi="ar-SY"/>
        </w:rPr>
        <w:t>«</w:t>
      </w:r>
      <w:r w:rsidRPr="003762F6">
        <w:rPr>
          <w:rFonts w:ascii="Abo-thar" w:hAnsi="Abo-thar" w:cs="KFGQPC Uthman Taha Naskh" w:hint="cs"/>
          <w:b/>
          <w:bCs/>
          <w:sz w:val="28"/>
          <w:rtl/>
          <w:lang w:bidi="ar-SY"/>
        </w:rPr>
        <w:t>مَا سَقَت السماءُ أو</w:t>
      </w:r>
      <w:r w:rsidR="00147857" w:rsidRPr="003762F6">
        <w:rPr>
          <w:rFonts w:ascii="Abo-thar" w:hAnsi="Abo-thar" w:cs="KFGQPC Uthman Taha Naskh" w:hint="cs"/>
          <w:b/>
          <w:bCs/>
          <w:sz w:val="28"/>
          <w:rtl/>
          <w:lang w:bidi="ar-SY"/>
        </w:rPr>
        <w:t xml:space="preserve"> </w:t>
      </w:r>
      <w:r w:rsidRPr="003762F6">
        <w:rPr>
          <w:rFonts w:ascii="Abo-thar" w:hAnsi="Abo-thar" w:cs="KFGQPC Uthman Taha Naskh"/>
          <w:b/>
          <w:bCs/>
          <w:sz w:val="28"/>
          <w:rtl/>
          <w:lang w:bidi="ar-SY"/>
        </w:rPr>
        <w:t xml:space="preserve">كَانَ </w:t>
      </w:r>
      <w:r w:rsidRPr="003762F6">
        <w:rPr>
          <w:rFonts w:ascii="Abo-thar" w:hAnsi="Abo-thar" w:cs="KFGQPC Uthman Taha Naskh" w:hint="cs"/>
          <w:b/>
          <w:bCs/>
          <w:sz w:val="28"/>
          <w:rtl/>
          <w:lang w:bidi="ar-SY"/>
        </w:rPr>
        <w:t>[</w:t>
      </w:r>
      <w:r w:rsidRPr="003762F6">
        <w:rPr>
          <w:rFonts w:ascii="Abo-thar" w:hAnsi="Abo-thar" w:cs="KFGQPC Uthman Taha Naskh"/>
          <w:b/>
          <w:bCs/>
          <w:sz w:val="28"/>
          <w:rtl/>
          <w:lang w:bidi="ar-SY"/>
        </w:rPr>
        <w:t>يُسْقَى</w:t>
      </w:r>
      <w:r w:rsidRPr="003762F6">
        <w:rPr>
          <w:rFonts w:ascii="Abo-thar" w:hAnsi="Abo-thar" w:cs="KFGQPC Uthman Taha Naskh" w:hint="cs"/>
          <w:b/>
          <w:bCs/>
          <w:sz w:val="28"/>
          <w:rtl/>
          <w:lang w:bidi="ar-SY"/>
        </w:rPr>
        <w:t>]</w:t>
      </w:r>
      <w:r w:rsidRPr="003762F6">
        <w:rPr>
          <w:rFonts w:ascii="Abo-thar" w:hAnsi="Abo-thar" w:cs="KFGQPC Uthman Taha Naskh"/>
          <w:b/>
          <w:bCs/>
          <w:sz w:val="28"/>
          <w:rtl/>
          <w:lang w:bidi="ar-SY"/>
        </w:rPr>
        <w:t xml:space="preserve"> فَفِي</w:t>
      </w:r>
      <w:r w:rsidRPr="003762F6">
        <w:rPr>
          <w:rFonts w:ascii="Abo-thar" w:hAnsi="Abo-thar" w:cs="KFGQPC Uthman Taha Naskh" w:hint="cs"/>
          <w:b/>
          <w:bCs/>
          <w:sz w:val="28"/>
          <w:rtl/>
          <w:lang w:bidi="ar-SY"/>
        </w:rPr>
        <w:t>هِ</w:t>
      </w:r>
      <w:r w:rsidRPr="003762F6">
        <w:rPr>
          <w:rFonts w:ascii="Abo-thar" w:hAnsi="Abo-thar" w:cs="KFGQPC Uthman Taha Naskh"/>
          <w:b/>
          <w:bCs/>
          <w:sz w:val="28"/>
          <w:rtl/>
          <w:lang w:bidi="ar-SY"/>
        </w:rPr>
        <w:t xml:space="preserve"> الْعُش</w:t>
      </w:r>
      <w:r w:rsidRPr="003762F6">
        <w:rPr>
          <w:rFonts w:ascii="Abo-thar" w:hAnsi="Abo-thar" w:cs="KFGQPC Uthman Taha Naskh" w:hint="cs"/>
          <w:b/>
          <w:bCs/>
          <w:sz w:val="28"/>
          <w:rtl/>
          <w:lang w:bidi="ar-SY"/>
        </w:rPr>
        <w:t>ـ</w:t>
      </w:r>
      <w:r w:rsidRPr="003762F6">
        <w:rPr>
          <w:rFonts w:ascii="Abo-thar" w:hAnsi="Abo-thar" w:cs="KFGQPC Uthman Taha Naskh"/>
          <w:b/>
          <w:bCs/>
          <w:sz w:val="28"/>
          <w:rtl/>
          <w:lang w:bidi="ar-SY"/>
        </w:rPr>
        <w:t>ْر</w:t>
      </w:r>
      <w:r w:rsidR="00217AB4" w:rsidRPr="003762F6">
        <w:rPr>
          <w:rFonts w:ascii="Abo-thar" w:hAnsi="Abo-thar" w:cs="KFGQPC Uthman Taha Naskh" w:hint="cs"/>
          <w:b/>
          <w:bCs/>
          <w:sz w:val="28"/>
          <w:rtl/>
          <w:lang w:bidi="ar-SY"/>
        </w:rPr>
        <w:t>...</w:t>
      </w:r>
      <w:r w:rsidRPr="003762F6">
        <w:rPr>
          <w:rFonts w:ascii="Abo-thar" w:hAnsi="Abo-thar" w:cs="KFGQPC Uthman Taha Naskh" w:hint="cs"/>
          <w:b/>
          <w:bCs/>
          <w:sz w:val="28"/>
          <w:rtl/>
          <w:lang w:bidi="ar-SY"/>
        </w:rPr>
        <w:t xml:space="preserve"> وَما سُقِيَ بالرسا </w:t>
      </w:r>
      <w:r w:rsidRPr="003762F6">
        <w:rPr>
          <w:rFonts w:ascii="Abo-thar" w:hAnsi="Abo-thar" w:cs="KFGQPC Uthman Taha Naskh"/>
          <w:b/>
          <w:bCs/>
          <w:sz w:val="28"/>
          <w:rtl/>
          <w:lang w:bidi="ar-SY"/>
        </w:rPr>
        <w:t>فَفِيه</w:t>
      </w:r>
      <w:r w:rsidRPr="003762F6">
        <w:rPr>
          <w:rFonts w:ascii="Abo-thar" w:hAnsi="Abo-thar" w:cs="KFGQPC Uthman Taha Naskh" w:hint="cs"/>
          <w:b/>
          <w:bCs/>
          <w:sz w:val="28"/>
          <w:rtl/>
          <w:lang w:bidi="ar-SY"/>
        </w:rPr>
        <w:t>ِ</w:t>
      </w:r>
      <w:r w:rsidRPr="003762F6">
        <w:rPr>
          <w:rFonts w:ascii="Abo-thar" w:hAnsi="Abo-thar" w:cs="KFGQPC Uthman Taha Naskh"/>
          <w:b/>
          <w:bCs/>
          <w:sz w:val="28"/>
          <w:rtl/>
          <w:lang w:bidi="ar-SY"/>
        </w:rPr>
        <w:t xml:space="preserve"> نِصْفُ الْعُشْر</w:t>
      </w:r>
      <w:r w:rsidR="00EF2588" w:rsidRPr="003762F6">
        <w:rPr>
          <w:rFonts w:ascii="Abo-thar" w:hAnsi="Abo-thar" w:cs="KFGQPC Uthman Taha Naskh" w:hint="cs"/>
          <w:sz w:val="28"/>
          <w:rtl/>
          <w:lang w:bidi="ar-SY"/>
        </w:rPr>
        <w:t>»</w:t>
      </w:r>
      <w:r w:rsidR="00217AB4" w:rsidRPr="003F3B94">
        <w:rPr>
          <w:rFonts w:ascii="Abo-thar" w:hAnsi="Abo-thar" w:hint="cs"/>
          <w:sz w:val="28"/>
          <w:rtl/>
          <w:lang w:bidi="ar-SY"/>
        </w:rPr>
        <w:t>.</w:t>
      </w:r>
      <w:r w:rsidR="00147857" w:rsidRPr="003F3B94">
        <w:rPr>
          <w:rFonts w:ascii="Abo-thar" w:hAnsi="Abo-thar" w:hint="cs"/>
          <w:sz w:val="28"/>
          <w:rtl/>
          <w:lang w:bidi="ar-SY"/>
        </w:rPr>
        <w:t xml:space="preserve"> </w:t>
      </w:r>
    </w:p>
    <w:p w:rsidR="005C664D" w:rsidRPr="003F3B94" w:rsidRDefault="005C664D" w:rsidP="003F3B94">
      <w:pPr>
        <w:pStyle w:val="a0"/>
        <w:rPr>
          <w:rFonts w:hint="cs"/>
          <w:rtl/>
          <w:lang w:bidi="ar-SY"/>
        </w:rPr>
      </w:pPr>
      <w:r w:rsidRPr="003F3B94">
        <w:rPr>
          <w:rFonts w:ascii="Abo-thar" w:hAnsi="Abo-thar" w:hint="cs"/>
          <w:sz w:val="28"/>
          <w:rtl/>
          <w:lang w:bidi="ar-SY"/>
        </w:rPr>
        <w:t xml:space="preserve">فعبارة </w:t>
      </w:r>
      <w:r w:rsidR="00217AB4" w:rsidRPr="003F3B94">
        <w:rPr>
          <w:rFonts w:ascii="Abo-thar" w:hAnsi="Abo-thar" w:hint="cs"/>
          <w:sz w:val="28"/>
          <w:rtl/>
          <w:lang w:bidi="ar-SY"/>
        </w:rPr>
        <w:t>(</w:t>
      </w:r>
      <w:r w:rsidRPr="003F3B94">
        <w:rPr>
          <w:rFonts w:ascii="Abo-thar" w:hAnsi="Abo-thar" w:hint="cs"/>
          <w:sz w:val="28"/>
          <w:rtl/>
          <w:lang w:bidi="ar-SY"/>
        </w:rPr>
        <w:t>فيه الخُمس</w:t>
      </w:r>
      <w:r w:rsidR="00217AB4" w:rsidRPr="003F3B94">
        <w:rPr>
          <w:rFonts w:ascii="Abo-thar" w:hAnsi="Abo-thar" w:hint="cs"/>
          <w:sz w:val="28"/>
          <w:rtl/>
          <w:lang w:bidi="ar-SY"/>
        </w:rPr>
        <w:t>)</w:t>
      </w:r>
      <w:r w:rsidRPr="003F3B94">
        <w:rPr>
          <w:rFonts w:ascii="Abo-thar" w:hAnsi="Abo-thar" w:hint="cs"/>
          <w:sz w:val="28"/>
          <w:rtl/>
          <w:lang w:bidi="ar-SY"/>
        </w:rPr>
        <w:t xml:space="preserve"> التي قيلت في الإجابة عن سؤال السائلين مثلها مثل عبارة </w:t>
      </w:r>
      <w:r w:rsidR="00217AB4" w:rsidRPr="003F3B94">
        <w:rPr>
          <w:rFonts w:ascii="Abo-thar" w:hAnsi="Abo-thar" w:hint="cs"/>
          <w:sz w:val="28"/>
          <w:rtl/>
          <w:lang w:bidi="ar-SY"/>
        </w:rPr>
        <w:t>(</w:t>
      </w:r>
      <w:r w:rsidRPr="003F3B94">
        <w:rPr>
          <w:rFonts w:ascii="Abo-thar" w:hAnsi="Abo-thar" w:hint="cs"/>
          <w:sz w:val="28"/>
          <w:rtl/>
          <w:lang w:bidi="ar-SY"/>
        </w:rPr>
        <w:t>فيه العشر</w:t>
      </w:r>
      <w:r w:rsidR="00217AB4" w:rsidRPr="003F3B94">
        <w:rPr>
          <w:rFonts w:ascii="Abo-thar" w:hAnsi="Abo-thar" w:hint="cs"/>
          <w:sz w:val="28"/>
          <w:rtl/>
          <w:lang w:bidi="ar-SY"/>
        </w:rPr>
        <w:t>)</w:t>
      </w:r>
      <w:r w:rsidRPr="003F3B94">
        <w:rPr>
          <w:rFonts w:ascii="Abo-thar" w:hAnsi="Abo-thar" w:hint="cs"/>
          <w:sz w:val="28"/>
          <w:rtl/>
          <w:lang w:bidi="ar-SY"/>
        </w:rPr>
        <w:t xml:space="preserve"> أو </w:t>
      </w:r>
      <w:r w:rsidR="00217AB4" w:rsidRPr="003F3B94">
        <w:rPr>
          <w:rFonts w:ascii="Abo-thar" w:hAnsi="Abo-thar" w:hint="cs"/>
          <w:sz w:val="28"/>
          <w:rtl/>
          <w:lang w:bidi="ar-SY"/>
        </w:rPr>
        <w:t>(</w:t>
      </w:r>
      <w:r w:rsidRPr="003F3B94">
        <w:rPr>
          <w:rFonts w:ascii="Abo-thar" w:hAnsi="Abo-thar" w:hint="cs"/>
          <w:sz w:val="28"/>
          <w:rtl/>
          <w:lang w:bidi="ar-SY"/>
        </w:rPr>
        <w:t>فيه نصف العشر</w:t>
      </w:r>
      <w:r w:rsidR="00217AB4" w:rsidRPr="003F3B94">
        <w:rPr>
          <w:rFonts w:ascii="Abo-thar" w:hAnsi="Abo-thar" w:hint="cs"/>
          <w:sz w:val="28"/>
          <w:rtl/>
          <w:lang w:bidi="ar-SY"/>
        </w:rPr>
        <w:t>)</w:t>
      </w:r>
      <w:r w:rsidR="001E0DB7" w:rsidRPr="003F3B94">
        <w:rPr>
          <w:rFonts w:ascii="Abo-thar" w:hAnsi="Abo-thar" w:hint="cs"/>
          <w:sz w:val="28"/>
          <w:rtl/>
          <w:lang w:bidi="ar-SY"/>
        </w:rPr>
        <w:t>،</w:t>
      </w:r>
      <w:r w:rsidRPr="003F3B94">
        <w:rPr>
          <w:rFonts w:ascii="Abo-thar" w:hAnsi="Abo-thar" w:hint="cs"/>
          <w:sz w:val="28"/>
          <w:rtl/>
          <w:lang w:bidi="ar-SY"/>
        </w:rPr>
        <w:t xml:space="preserve"> والتي لا تحكي سوى كسر عددي معين</w:t>
      </w:r>
      <w:r w:rsidR="001E0DB7" w:rsidRPr="003F3B94">
        <w:rPr>
          <w:rFonts w:ascii="Abo-thar" w:hAnsi="Abo-thar" w:hint="cs"/>
          <w:sz w:val="28"/>
          <w:rtl/>
          <w:lang w:bidi="ar-SY"/>
        </w:rPr>
        <w:t>،</w:t>
      </w:r>
      <w:r w:rsidRPr="003F3B94">
        <w:rPr>
          <w:rFonts w:ascii="Abo-thar" w:hAnsi="Abo-thar" w:hint="cs"/>
          <w:sz w:val="28"/>
          <w:rtl/>
          <w:lang w:bidi="ar-SY"/>
        </w:rPr>
        <w:t xml:space="preserve"> ولا</w:t>
      </w:r>
      <w:r w:rsidRPr="003F3B94">
        <w:rPr>
          <w:rFonts w:cs="Times New Roman" w:hint="cs"/>
          <w:sz w:val="28"/>
          <w:rtl/>
          <w:lang w:bidi="ar-SY"/>
        </w:rPr>
        <w:t> </w:t>
      </w:r>
      <w:r w:rsidRPr="003F3B94">
        <w:rPr>
          <w:rFonts w:ascii="Abo-thar" w:hAnsi="Abo-thar" w:hint="cs"/>
          <w:sz w:val="28"/>
          <w:rtl/>
          <w:lang w:bidi="ar-SY"/>
        </w:rPr>
        <w:t>تتحدث عن حقيقة شرعية مثل الصلاة والزكاة</w:t>
      </w:r>
      <w:r w:rsidR="001E0DB7" w:rsidRPr="003F3B94">
        <w:rPr>
          <w:rFonts w:ascii="Abo-thar" w:hAnsi="Abo-thar" w:hint="cs"/>
          <w:sz w:val="28"/>
          <w:rtl/>
          <w:lang w:bidi="ar-SY"/>
        </w:rPr>
        <w:t>،</w:t>
      </w:r>
      <w:r w:rsidRPr="003F3B94">
        <w:rPr>
          <w:rFonts w:ascii="Abo-thar" w:hAnsi="Abo-thar" w:hint="cs"/>
          <w:sz w:val="28"/>
          <w:rtl/>
          <w:lang w:bidi="ar-SY"/>
        </w:rPr>
        <w:t xml:space="preserve"> التي ينصرف الذهن فوراً عند سماعها إلى معناها الشرعي الجديد مثلما ينصرف الذهن إلى ذلك عند سماع حديث مثل</w:t>
      </w:r>
      <w:r w:rsidR="00217AB4" w:rsidRPr="003F3B94">
        <w:rPr>
          <w:rFonts w:ascii="Abo-thar" w:hAnsi="Abo-thar" w:hint="cs"/>
          <w:sz w:val="28"/>
          <w:rtl/>
          <w:lang w:bidi="ar-SY"/>
        </w:rPr>
        <w:t>:</w:t>
      </w:r>
      <w:r w:rsidRPr="003F3B94">
        <w:rPr>
          <w:rFonts w:ascii="Abo-thar" w:hAnsi="Abo-thar" w:hint="cs"/>
          <w:sz w:val="28"/>
          <w:rtl/>
          <w:lang w:bidi="ar-SY"/>
        </w:rPr>
        <w:t xml:space="preserve"> </w:t>
      </w:r>
      <w:r w:rsidR="00EF2588" w:rsidRPr="003762F6">
        <w:rPr>
          <w:rFonts w:ascii="Abo-thar" w:hAnsi="Abo-thar" w:cs="KFGQPC Uthman Taha Naskh" w:hint="cs"/>
          <w:sz w:val="28"/>
          <w:rtl/>
          <w:lang w:bidi="ar-SY"/>
        </w:rPr>
        <w:t>«</w:t>
      </w:r>
      <w:r w:rsidRPr="003762F6">
        <w:rPr>
          <w:rFonts w:ascii="Abo-thar" w:hAnsi="Abo-thar" w:cs="KFGQPC Uthman Taha Naskh"/>
          <w:b/>
          <w:bCs/>
          <w:sz w:val="28"/>
          <w:rtl/>
          <w:lang w:bidi="ar-SY"/>
        </w:rPr>
        <w:t>بُنِيَ الْإِسْلَامُ عَلَى خَمْسٍ عَلَى الصَّلَاةِ والزَّكَاةِ والصَّوْمِ والْحَجِّ والْوَلَايَةِ</w:t>
      </w:r>
      <w:r w:rsidR="00EF2588" w:rsidRPr="003762F6">
        <w:rPr>
          <w:rFonts w:ascii="Abo-thar" w:hAnsi="Abo-thar" w:cs="KFGQPC Uthman Taha Naskh" w:hint="cs"/>
          <w:sz w:val="28"/>
          <w:rtl/>
          <w:lang w:bidi="ar-SY"/>
        </w:rPr>
        <w:t>»</w:t>
      </w:r>
      <w:r w:rsidR="00217AB4" w:rsidRPr="0021507A">
        <w:rPr>
          <w:rStyle w:val="FootnoteReference"/>
          <w:rFonts w:cs="Arabic11 BT"/>
          <w:b/>
          <w:sz w:val="28"/>
          <w:rtl/>
          <w:lang w:bidi="ar-SY"/>
        </w:rPr>
        <w:t>(</w:t>
      </w:r>
      <w:r w:rsidRPr="0021507A">
        <w:rPr>
          <w:rStyle w:val="FootnoteReference"/>
          <w:rFonts w:cs="Arabic11 BT"/>
          <w:b/>
          <w:sz w:val="28"/>
          <w:rtl/>
          <w:lang w:bidi="ar-SY"/>
        </w:rPr>
        <w:footnoteReference w:id="231"/>
      </w:r>
      <w:r w:rsidR="00217AB4" w:rsidRPr="0021507A">
        <w:rPr>
          <w:rStyle w:val="FootnoteReference"/>
          <w:rFonts w:cs="Arabic11 BT"/>
          <w:b/>
          <w:sz w:val="28"/>
          <w:rtl/>
          <w:lang w:bidi="ar-SY"/>
        </w:rPr>
        <w:t>)</w:t>
      </w:r>
      <w:r w:rsidR="00217AB4" w:rsidRPr="003F3B94">
        <w:rPr>
          <w:rFonts w:ascii="Abo-thar" w:hAnsi="Abo-thar" w:hint="cs"/>
          <w:sz w:val="28"/>
          <w:rtl/>
          <w:lang w:bidi="ar-SY"/>
        </w:rPr>
        <w:t>.</w:t>
      </w:r>
      <w:r w:rsidR="00147857" w:rsidRPr="003F3B94">
        <w:rPr>
          <w:rFonts w:ascii="Abo-thar" w:hAnsi="Abo-thar" w:hint="cs"/>
          <w:sz w:val="28"/>
          <w:rtl/>
          <w:lang w:bidi="ar-SY"/>
        </w:rPr>
        <w:t xml:space="preserve"> و</w:t>
      </w:r>
      <w:r w:rsidRPr="003F3B94">
        <w:rPr>
          <w:rFonts w:ascii="Abo-thar" w:hAnsi="Abo-thar" w:hint="cs"/>
          <w:sz w:val="28"/>
          <w:rtl/>
          <w:lang w:bidi="ar-SY"/>
        </w:rPr>
        <w:t xml:space="preserve">سِرُّ ذلك أن أداء خمس المعادن كان أمراً قليل الوقوع حيث كانت بعض المعادن أو الكنوز تكتشف أثناء الحرب أو في حالات نادرة في بعض الأراضي وبالتالي لم يجعل الفقهاء عنوان </w:t>
      </w:r>
      <w:r w:rsidR="00217AB4" w:rsidRPr="003F3B94">
        <w:rPr>
          <w:rFonts w:ascii="Abo-thar" w:hAnsi="Abo-thar" w:hint="cs"/>
          <w:sz w:val="28"/>
          <w:rtl/>
          <w:lang w:bidi="ar-SY"/>
        </w:rPr>
        <w:t>(</w:t>
      </w:r>
      <w:r w:rsidRPr="003F3B94">
        <w:rPr>
          <w:rFonts w:ascii="Abo-thar" w:hAnsi="Abo-thar" w:hint="cs"/>
          <w:sz w:val="28"/>
          <w:rtl/>
          <w:lang w:bidi="ar-SY"/>
        </w:rPr>
        <w:t>الخُمس</w:t>
      </w:r>
      <w:r w:rsidR="00217AB4" w:rsidRPr="003F3B94">
        <w:rPr>
          <w:rFonts w:ascii="Abo-thar" w:hAnsi="Abo-thar" w:hint="cs"/>
          <w:sz w:val="28"/>
          <w:rtl/>
          <w:lang w:bidi="ar-SY"/>
        </w:rPr>
        <w:t>)</w:t>
      </w:r>
      <w:r w:rsidRPr="003F3B94">
        <w:rPr>
          <w:rFonts w:ascii="Abo-thar" w:hAnsi="Abo-thar" w:hint="cs"/>
          <w:sz w:val="28"/>
          <w:rtl/>
          <w:lang w:bidi="ar-SY"/>
        </w:rPr>
        <w:t xml:space="preserve"> عنواناً لأحد الفروع والأحكام الشرعية المستمرة التي يكلف بها عامة المسلمين</w:t>
      </w:r>
      <w:r w:rsidR="00217AB4" w:rsidRPr="003F3B94">
        <w:rPr>
          <w:rFonts w:ascii="Abo-thar" w:hAnsi="Abo-thar" w:hint="cs"/>
          <w:sz w:val="28"/>
          <w:rtl/>
          <w:lang w:bidi="ar-SY"/>
        </w:rPr>
        <w:t>.</w:t>
      </w:r>
      <w:r w:rsidRPr="003F3B94">
        <w:rPr>
          <w:rFonts w:ascii="Abo-thar" w:hAnsi="Abo-thar" w:hint="cs"/>
          <w:sz w:val="28"/>
          <w:rtl/>
          <w:lang w:bidi="ar-SY"/>
        </w:rPr>
        <w:t xml:space="preserve"> </w:t>
      </w:r>
    </w:p>
    <w:p w:rsidR="005C664D" w:rsidRPr="003F3B94" w:rsidRDefault="005C664D" w:rsidP="003F3B94">
      <w:pPr>
        <w:pStyle w:val="a0"/>
        <w:rPr>
          <w:rFonts w:hint="cs"/>
          <w:rtl/>
          <w:lang w:bidi="ar-SY"/>
        </w:rPr>
      </w:pPr>
      <w:r w:rsidRPr="003F3B94">
        <w:rPr>
          <w:rFonts w:ascii="Abo-thar" w:hAnsi="Abo-thar" w:hint="cs"/>
          <w:sz w:val="28"/>
          <w:rtl/>
          <w:lang w:bidi="ar-SY"/>
        </w:rPr>
        <w:t>ثانياً</w:t>
      </w:r>
      <w:r w:rsidR="00217AB4" w:rsidRPr="003F3B94">
        <w:rPr>
          <w:rFonts w:ascii="Abo-thar" w:hAnsi="Abo-thar" w:hint="cs"/>
          <w:sz w:val="28"/>
          <w:rtl/>
          <w:lang w:bidi="ar-SY"/>
        </w:rPr>
        <w:t>:</w:t>
      </w:r>
      <w:r w:rsidRPr="003F3B94">
        <w:rPr>
          <w:rFonts w:ascii="Abo-thar" w:hAnsi="Abo-thar" w:hint="cs"/>
          <w:sz w:val="28"/>
          <w:rtl/>
          <w:lang w:bidi="ar-SY"/>
        </w:rPr>
        <w:t xml:space="preserve"> يجب إخراج زكاة المعادن والكنوز أو ما يسمى الركاز</w:t>
      </w:r>
      <w:r w:rsidR="001E0DB7" w:rsidRPr="003F3B94">
        <w:rPr>
          <w:rFonts w:ascii="Abo-thar" w:hAnsi="Abo-thar" w:hint="cs"/>
          <w:sz w:val="28"/>
          <w:rtl/>
          <w:lang w:bidi="ar-SY"/>
        </w:rPr>
        <w:t>،</w:t>
      </w:r>
      <w:r w:rsidRPr="003F3B94">
        <w:rPr>
          <w:rFonts w:ascii="Abo-thar" w:hAnsi="Abo-thar" w:hint="cs"/>
          <w:sz w:val="28"/>
          <w:rtl/>
          <w:lang w:bidi="ar-SY"/>
        </w:rPr>
        <w:t xml:space="preserve"> كما أوضحنا ذلك في كتابنا </w:t>
      </w:r>
      <w:r w:rsidR="00217AB4" w:rsidRPr="003F3B94">
        <w:rPr>
          <w:rFonts w:ascii="Abo-thar" w:hAnsi="Abo-thar" w:hint="cs"/>
          <w:sz w:val="28"/>
          <w:rtl/>
          <w:lang w:bidi="ar-SY"/>
        </w:rPr>
        <w:t>(</w:t>
      </w:r>
      <w:r w:rsidRPr="003F3B94">
        <w:rPr>
          <w:rFonts w:ascii="Abo-thar" w:hAnsi="Abo-thar" w:hint="cs"/>
          <w:sz w:val="28"/>
          <w:rtl/>
          <w:lang w:bidi="ar-SY"/>
        </w:rPr>
        <w:t>الزكاة</w:t>
      </w:r>
      <w:r w:rsidR="00217AB4" w:rsidRPr="003F3B94">
        <w:rPr>
          <w:rFonts w:ascii="Abo-thar" w:hAnsi="Abo-thar" w:hint="cs"/>
          <w:sz w:val="28"/>
          <w:rtl/>
          <w:lang w:bidi="ar-SY"/>
        </w:rPr>
        <w:t>)</w:t>
      </w:r>
      <w:r w:rsidR="001E0DB7" w:rsidRPr="003F3B94">
        <w:rPr>
          <w:rFonts w:ascii="Abo-thar" w:hAnsi="Abo-thar" w:hint="cs"/>
          <w:sz w:val="28"/>
          <w:rtl/>
          <w:lang w:bidi="ar-SY"/>
        </w:rPr>
        <w:t>،</w:t>
      </w:r>
      <w:r w:rsidRPr="003F3B94">
        <w:rPr>
          <w:rFonts w:ascii="Abo-thar" w:hAnsi="Abo-thar" w:hint="cs"/>
          <w:sz w:val="28"/>
          <w:rtl/>
          <w:lang w:bidi="ar-SY"/>
        </w:rPr>
        <w:t xml:space="preserve"> والمقدار الواجب إخراجه منها هو الخُمس</w:t>
      </w:r>
      <w:r w:rsidR="001E0DB7" w:rsidRPr="003F3B94">
        <w:rPr>
          <w:rFonts w:ascii="Abo-thar" w:hAnsi="Abo-thar" w:hint="cs"/>
          <w:sz w:val="28"/>
          <w:rtl/>
          <w:lang w:bidi="ar-SY"/>
        </w:rPr>
        <w:t>،</w:t>
      </w:r>
      <w:r w:rsidRPr="003F3B94">
        <w:rPr>
          <w:rFonts w:ascii="Abo-thar" w:hAnsi="Abo-thar" w:hint="cs"/>
          <w:sz w:val="28"/>
          <w:rtl/>
          <w:lang w:bidi="ar-SY"/>
        </w:rPr>
        <w:t xml:space="preserve"> وكان السائلون يسألون عن هذا الأمر بالتحديد</w:t>
      </w:r>
      <w:r w:rsidR="00217AB4" w:rsidRPr="003F3B94">
        <w:rPr>
          <w:rFonts w:ascii="Abo-thar" w:hAnsi="Abo-thar" w:hint="cs"/>
          <w:sz w:val="28"/>
          <w:rtl/>
          <w:lang w:bidi="ar-SY"/>
        </w:rPr>
        <w:t>.</w:t>
      </w:r>
      <w:r w:rsidRPr="003F3B94">
        <w:rPr>
          <w:rFonts w:ascii="Abo-thar" w:hAnsi="Abo-thar" w:hint="cs"/>
          <w:sz w:val="28"/>
          <w:rtl/>
          <w:lang w:bidi="ar-SY"/>
        </w:rPr>
        <w:t xml:space="preserve"> </w:t>
      </w:r>
    </w:p>
    <w:p w:rsidR="005C664D" w:rsidRPr="003F3B94" w:rsidRDefault="005C664D" w:rsidP="003F3B94">
      <w:pPr>
        <w:pStyle w:val="a0"/>
        <w:rPr>
          <w:rFonts w:hint="cs"/>
          <w:rtl/>
        </w:rPr>
      </w:pPr>
      <w:r w:rsidRPr="003F3B94">
        <w:rPr>
          <w:rFonts w:ascii="Abo-thar" w:hAnsi="Abo-thar" w:hint="cs"/>
          <w:sz w:val="28"/>
          <w:rtl/>
          <w:lang w:bidi="ar-SY"/>
        </w:rPr>
        <w:t>ثالثاً</w:t>
      </w:r>
      <w:r w:rsidR="00217AB4" w:rsidRPr="003F3B94">
        <w:rPr>
          <w:rFonts w:ascii="Abo-thar" w:hAnsi="Abo-thar" w:hint="cs"/>
          <w:sz w:val="28"/>
          <w:rtl/>
          <w:lang w:bidi="ar-SY"/>
        </w:rPr>
        <w:t>-</w:t>
      </w:r>
      <w:r w:rsidRPr="003F3B94">
        <w:rPr>
          <w:rFonts w:ascii="Abo-thar" w:hAnsi="Abo-thar" w:hint="cs"/>
          <w:sz w:val="28"/>
          <w:rtl/>
          <w:lang w:bidi="ar-SY"/>
        </w:rPr>
        <w:t xml:space="preserve"> في العصر الذي رويت فيه تلك الأحاديث عن الأئمة المعصومين</w:t>
      </w:r>
      <w:r w:rsidR="00147857" w:rsidRPr="003F3B94">
        <w:rPr>
          <w:rFonts w:ascii="Abo-thar" w:hAnsi="Abo-thar" w:hint="cs"/>
          <w:sz w:val="28"/>
          <w:rtl/>
          <w:lang w:bidi="ar-SY"/>
        </w:rPr>
        <w:t xml:space="preserve"> </w:t>
      </w:r>
      <w:r w:rsidR="00963EFD" w:rsidRPr="00963EFD">
        <w:rPr>
          <w:rFonts w:ascii="Abo-thar" w:hAnsi="Abo-thar" w:cs="CTraditional Arabic"/>
          <w:sz w:val="28"/>
          <w:rtl/>
          <w:lang w:bidi="ar-SY"/>
        </w:rPr>
        <w:t>‡</w:t>
      </w:r>
      <w:r w:rsidR="00147857" w:rsidRPr="003F3B94">
        <w:rPr>
          <w:rFonts w:ascii="Abo-thar" w:hAnsi="Abo-thar"/>
          <w:sz w:val="28"/>
          <w:rtl/>
          <w:lang w:bidi="ar-SY"/>
        </w:rPr>
        <w:t xml:space="preserve"> </w:t>
      </w:r>
      <w:r w:rsidRPr="003F3B94">
        <w:rPr>
          <w:rFonts w:ascii="Abo-thar" w:hAnsi="Abo-thar" w:hint="cs"/>
          <w:sz w:val="28"/>
          <w:rtl/>
          <w:lang w:bidi="ar-SY"/>
        </w:rPr>
        <w:t xml:space="preserve">كانت فتوى فقهاء ذلك العصر أيضاً هي أن الواجب في المعادن هو </w:t>
      </w:r>
      <w:r w:rsidRPr="003F3B94">
        <w:rPr>
          <w:rFonts w:ascii="Abo-thar" w:hAnsi="Abo-thar" w:hint="cs"/>
          <w:b/>
          <w:bCs/>
          <w:sz w:val="28"/>
          <w:rtl/>
          <w:lang w:bidi="ar-SY"/>
        </w:rPr>
        <w:t>الزكاة</w:t>
      </w:r>
      <w:r w:rsidR="00217AB4" w:rsidRPr="003F3B94">
        <w:rPr>
          <w:rFonts w:ascii="Abo-thar" w:hAnsi="Abo-thar" w:hint="cs"/>
          <w:sz w:val="28"/>
          <w:rtl/>
          <w:lang w:bidi="ar-SY"/>
        </w:rPr>
        <w:t>،</w:t>
      </w:r>
      <w:r w:rsidRPr="003F3B94">
        <w:rPr>
          <w:rFonts w:ascii="Abo-thar" w:hAnsi="Abo-thar" w:hint="cs"/>
          <w:sz w:val="28"/>
          <w:rtl/>
          <w:lang w:bidi="ar-SY"/>
        </w:rPr>
        <w:t xml:space="preserve"> غاية ما في الأمر أنه كان بين الفقهاء اختلاف حول مقدار زكاة المعادن أي النسبة التي يجب إخراجها وأداؤها من المعدن لتؤدَّى زكاته</w:t>
      </w:r>
      <w:r w:rsidR="00217AB4" w:rsidRPr="003F3B94">
        <w:rPr>
          <w:rFonts w:ascii="Abo-thar" w:hAnsi="Abo-thar" w:hint="cs"/>
          <w:sz w:val="28"/>
          <w:rtl/>
          <w:lang w:bidi="ar-SY"/>
        </w:rPr>
        <w:t>،</w:t>
      </w:r>
      <w:r w:rsidR="00147857" w:rsidRPr="003F3B94">
        <w:rPr>
          <w:rFonts w:ascii="Abo-thar" w:hAnsi="Abo-thar" w:hint="cs"/>
          <w:sz w:val="28"/>
          <w:rtl/>
          <w:lang w:bidi="ar-SY"/>
        </w:rPr>
        <w:t xml:space="preserve"> </w:t>
      </w:r>
      <w:r w:rsidRPr="003F3B94">
        <w:rPr>
          <w:rFonts w:ascii="Abo-thar" w:hAnsi="Abo-thar" w:hint="cs"/>
          <w:sz w:val="28"/>
          <w:rtl/>
          <w:lang w:bidi="ar-SY"/>
        </w:rPr>
        <w:t xml:space="preserve">وهذا الاختلاف كان سبباً في قيام أصحاب الأئمة </w:t>
      </w:r>
      <w:r w:rsidR="00BC4BA9" w:rsidRPr="00BC4BA9">
        <w:rPr>
          <w:rFonts w:ascii="Abo-thar" w:hAnsi="Abo-thar" w:cs="CTraditional Arabic" w:hint="cs"/>
          <w:sz w:val="28"/>
          <w:rtl/>
          <w:lang w:bidi="ar-SY"/>
        </w:rPr>
        <w:t>÷</w:t>
      </w:r>
      <w:r w:rsidRPr="003F3B94">
        <w:rPr>
          <w:rFonts w:ascii="Abo-thar" w:hAnsi="Abo-thar" w:hint="cs"/>
          <w:sz w:val="28"/>
          <w:rtl/>
          <w:lang w:bidi="ar-SY"/>
        </w:rPr>
        <w:t xml:space="preserve"> بطرح مثل تلك الأسئلة عليهم</w:t>
      </w:r>
      <w:r w:rsidR="00217AB4" w:rsidRPr="003F3B94">
        <w:rPr>
          <w:rFonts w:ascii="Abo-thar" w:hAnsi="Abo-thar" w:hint="cs"/>
          <w:sz w:val="28"/>
          <w:rtl/>
          <w:lang w:bidi="ar-SY"/>
        </w:rPr>
        <w:t>.</w:t>
      </w:r>
      <w:r w:rsidRPr="003F3B94">
        <w:rPr>
          <w:rFonts w:ascii="Abo-thar" w:hAnsi="Abo-thar" w:hint="cs"/>
          <w:sz w:val="28"/>
          <w:rtl/>
          <w:lang w:bidi="ar-SY"/>
        </w:rPr>
        <w:t xml:space="preserve"> مثلاً «</w:t>
      </w:r>
      <w:r w:rsidRPr="003F3B94">
        <w:rPr>
          <w:rFonts w:ascii="Abo-thar" w:hAnsi="Abo-thar" w:hint="cs"/>
          <w:b/>
          <w:bCs/>
          <w:sz w:val="28"/>
          <w:rtl/>
          <w:lang w:bidi="ar-SY"/>
        </w:rPr>
        <w:t>مالك بن أنس</w:t>
      </w:r>
      <w:r w:rsidRPr="003F3B94">
        <w:rPr>
          <w:rFonts w:ascii="Abo-thar" w:hAnsi="Abo-thar" w:hint="cs"/>
          <w:sz w:val="28"/>
          <w:rtl/>
          <w:lang w:bidi="ar-SY"/>
        </w:rPr>
        <w:t>» الذي كان أحد الفقهاء المشهورين في ذلك الزمن</w:t>
      </w:r>
      <w:r w:rsidR="00217AB4" w:rsidRPr="003F3B94">
        <w:rPr>
          <w:rFonts w:ascii="Abo-thar" w:hAnsi="Abo-thar" w:hint="cs"/>
          <w:sz w:val="28"/>
          <w:rtl/>
          <w:lang w:bidi="ar-SY"/>
        </w:rPr>
        <w:t>،</w:t>
      </w:r>
      <w:r w:rsidR="004D3535">
        <w:rPr>
          <w:rFonts w:ascii="Abo-thar" w:hAnsi="Abo-thar" w:hint="cs"/>
          <w:sz w:val="28"/>
          <w:rtl/>
          <w:lang w:bidi="ar-SY"/>
        </w:rPr>
        <w:t xml:space="preserve"> ووُلد سنة 95</w:t>
      </w:r>
      <w:r w:rsidRPr="003F3B94">
        <w:rPr>
          <w:rFonts w:ascii="Abo-thar" w:hAnsi="Abo-thar" w:hint="cs"/>
          <w:sz w:val="28"/>
          <w:rtl/>
          <w:lang w:bidi="ar-SY"/>
        </w:rPr>
        <w:t>هـ [وتُوفي 179هـ]</w:t>
      </w:r>
      <w:r w:rsidR="00217AB4" w:rsidRPr="003F3B94">
        <w:rPr>
          <w:rFonts w:ascii="Abo-thar" w:hAnsi="Abo-thar" w:hint="cs"/>
          <w:sz w:val="28"/>
          <w:rtl/>
          <w:lang w:bidi="ar-SY"/>
        </w:rPr>
        <w:t>،</w:t>
      </w:r>
      <w:r w:rsidRPr="003F3B94">
        <w:rPr>
          <w:rFonts w:ascii="Abo-thar" w:hAnsi="Abo-thar" w:hint="cs"/>
          <w:sz w:val="28"/>
          <w:rtl/>
          <w:lang w:bidi="ar-SY"/>
        </w:rPr>
        <w:t xml:space="preserve"> وكان معاصراً لحضرة الإمام الصادق</w:t>
      </w:r>
      <w:r w:rsidR="00147857" w:rsidRPr="003F3B94">
        <w:rPr>
          <w:rFonts w:ascii="Abo-thar" w:hAnsi="Abo-thar" w:hint="cs"/>
          <w:sz w:val="28"/>
          <w:rtl/>
          <w:lang w:bidi="ar-SY"/>
        </w:rPr>
        <w:t xml:space="preserve"> </w:t>
      </w:r>
      <w:r w:rsidR="003C7AEB" w:rsidRPr="003C7AEB">
        <w:rPr>
          <w:rFonts w:ascii="Abo-thar" w:hAnsi="Abo-thar" w:cs="CTraditional Arabic"/>
          <w:sz w:val="28"/>
          <w:rtl/>
          <w:lang w:bidi="ar-SY"/>
        </w:rPr>
        <w:t>÷</w:t>
      </w:r>
      <w:r w:rsidR="00147857" w:rsidRPr="003F3B94">
        <w:rPr>
          <w:rFonts w:ascii="Abo-thar" w:hAnsi="Abo-thar"/>
          <w:sz w:val="28"/>
          <w:rtl/>
          <w:lang w:bidi="ar-SY"/>
        </w:rPr>
        <w:t xml:space="preserve"> </w:t>
      </w:r>
      <w:r w:rsidRPr="003F3B94">
        <w:rPr>
          <w:rFonts w:ascii="Abo-thar" w:hAnsi="Abo-thar" w:hint="cs"/>
          <w:sz w:val="28"/>
          <w:rtl/>
          <w:lang w:bidi="ar-SY"/>
        </w:rPr>
        <w:t>وكان أحد فقهاء المدينة الكبار وأحد مشاهير مفتي عالم الإسلام</w:t>
      </w:r>
      <w:r w:rsidR="00217AB4" w:rsidRPr="003F3B94">
        <w:rPr>
          <w:rFonts w:ascii="Abo-thar" w:hAnsi="Abo-thar" w:hint="cs"/>
          <w:sz w:val="28"/>
          <w:rtl/>
          <w:lang w:bidi="ar-SY"/>
        </w:rPr>
        <w:t>،</w:t>
      </w:r>
      <w:r w:rsidRPr="003F3B94">
        <w:rPr>
          <w:rFonts w:ascii="Abo-thar" w:hAnsi="Abo-thar" w:hint="cs"/>
          <w:sz w:val="28"/>
          <w:rtl/>
          <w:lang w:bidi="ar-SY"/>
        </w:rPr>
        <w:t xml:space="preserve"> يقول في كتابه الشهير </w:t>
      </w:r>
      <w:r w:rsidRPr="003F3B94">
        <w:rPr>
          <w:rFonts w:ascii="Abo-thar" w:hAnsi="Abo-thar"/>
          <w:sz w:val="28"/>
          <w:rtl/>
          <w:lang w:bidi="ar-SY"/>
        </w:rPr>
        <w:t>«</w:t>
      </w:r>
      <w:r w:rsidRPr="003F3B94">
        <w:rPr>
          <w:rFonts w:ascii="Abo-thar" w:hAnsi="Abo-thar" w:hint="cs"/>
          <w:b/>
          <w:bCs/>
          <w:sz w:val="28"/>
          <w:rtl/>
          <w:lang w:bidi="ar-SY"/>
        </w:rPr>
        <w:t>الموطأ</w:t>
      </w:r>
      <w:r w:rsidRPr="003F3B94">
        <w:rPr>
          <w:rFonts w:ascii="Abo-thar" w:hAnsi="Abo-thar"/>
          <w:sz w:val="28"/>
          <w:rtl/>
          <w:lang w:bidi="ar-SY"/>
        </w:rPr>
        <w:t>»</w:t>
      </w:r>
      <w:r w:rsidRPr="003F3B94">
        <w:rPr>
          <w:rFonts w:ascii="Abo-thar" w:hAnsi="Abo-thar" w:hint="cs"/>
          <w:sz w:val="28"/>
          <w:rtl/>
          <w:lang w:bidi="ar-SY"/>
        </w:rPr>
        <w:t xml:space="preserve"> </w:t>
      </w:r>
      <w:r w:rsidR="00217AB4" w:rsidRPr="003F3B94">
        <w:rPr>
          <w:rFonts w:ascii="Abo-thar" w:hAnsi="Abo-thar" w:hint="cs"/>
          <w:sz w:val="28"/>
          <w:rtl/>
          <w:lang w:bidi="ar-SY"/>
        </w:rPr>
        <w:t>-</w:t>
      </w:r>
      <w:r w:rsidRPr="003F3B94">
        <w:rPr>
          <w:rFonts w:ascii="Abo-thar" w:hAnsi="Abo-thar" w:hint="cs"/>
          <w:sz w:val="28"/>
          <w:rtl/>
          <w:lang w:bidi="ar-SY"/>
        </w:rPr>
        <w:t xml:space="preserve"> الذي يُعَدُّ أقدم كتاب في الفقه </w:t>
      </w:r>
      <w:r w:rsidR="00217AB4" w:rsidRPr="003F3B94">
        <w:rPr>
          <w:rFonts w:ascii="Abo-thar" w:hAnsi="Abo-thar" w:hint="cs"/>
          <w:sz w:val="28"/>
          <w:rtl/>
          <w:lang w:bidi="ar-SY"/>
        </w:rPr>
        <w:t>-</w:t>
      </w:r>
      <w:r w:rsidRPr="003F3B94">
        <w:rPr>
          <w:rFonts w:ascii="Abo-thar" w:hAnsi="Abo-thar" w:hint="cs"/>
          <w:sz w:val="28"/>
          <w:rtl/>
          <w:lang w:bidi="ar-SY"/>
        </w:rPr>
        <w:t xml:space="preserve"> حول زكاة المعادن</w:t>
      </w:r>
      <w:r w:rsidR="00217AB4" w:rsidRPr="003F3B94">
        <w:rPr>
          <w:rFonts w:ascii="Abo-thar" w:hAnsi="Abo-thar" w:hint="cs"/>
          <w:sz w:val="28"/>
          <w:rtl/>
          <w:lang w:bidi="ar-SY"/>
        </w:rPr>
        <w:t>:</w:t>
      </w:r>
      <w:r w:rsidRPr="003F3B94">
        <w:rPr>
          <w:rFonts w:ascii="Abo-thar" w:hAnsi="Abo-thar" w:hint="cs"/>
          <w:sz w:val="28"/>
          <w:rtl/>
          <w:lang w:bidi="ar-SY"/>
        </w:rPr>
        <w:t xml:space="preserve"> </w:t>
      </w:r>
    </w:p>
    <w:p w:rsidR="005C664D" w:rsidRPr="003F3B94" w:rsidRDefault="00EF2588" w:rsidP="003F3B94">
      <w:pPr>
        <w:pStyle w:val="a0"/>
        <w:rPr>
          <w:rFonts w:hint="cs"/>
          <w:rtl/>
        </w:rPr>
      </w:pPr>
      <w:r w:rsidRPr="003762F6">
        <w:rPr>
          <w:rFonts w:ascii="Abo-thar" w:hAnsi="Abo-thar" w:cs="KFGQPC Uthman Taha Naskh" w:hint="cs"/>
          <w:sz w:val="28"/>
          <w:rtl/>
        </w:rPr>
        <w:t>«</w:t>
      </w:r>
      <w:r w:rsidR="005C664D" w:rsidRPr="003762F6">
        <w:rPr>
          <w:rFonts w:ascii="Abo-thar" w:hAnsi="Abo-thar" w:cs="KFGQPC Uthman Taha Naskh"/>
          <w:b/>
          <w:bCs/>
          <w:sz w:val="28"/>
          <w:rtl/>
        </w:rPr>
        <w:t>قَالَ مَالِكٌ</w:t>
      </w:r>
      <w:r w:rsidR="00217AB4" w:rsidRPr="003762F6">
        <w:rPr>
          <w:rFonts w:ascii="Abo-thar" w:hAnsi="Abo-thar" w:cs="KFGQPC Uthman Taha Naskh"/>
          <w:b/>
          <w:bCs/>
          <w:sz w:val="28"/>
          <w:rtl/>
        </w:rPr>
        <w:t>:</w:t>
      </w:r>
      <w:r w:rsidR="005C664D" w:rsidRPr="003762F6">
        <w:rPr>
          <w:rFonts w:ascii="Abo-thar" w:hAnsi="Abo-thar" w:cs="KFGQPC Uthman Taha Naskh"/>
          <w:b/>
          <w:bCs/>
          <w:sz w:val="28"/>
          <w:rtl/>
        </w:rPr>
        <w:t xml:space="preserve"> أَرَى وَ</w:t>
      </w:r>
      <w:r w:rsidR="005C664D" w:rsidRPr="003762F6">
        <w:rPr>
          <w:rFonts w:ascii="Abo-thar" w:hAnsi="Abo-thar" w:cs="KFGQPC Uthman Taha Naskh" w:hint="cs"/>
          <w:b/>
          <w:bCs/>
          <w:sz w:val="28"/>
          <w:rtl/>
        </w:rPr>
        <w:t>اللهُ</w:t>
      </w:r>
      <w:r w:rsidR="005C664D" w:rsidRPr="003762F6">
        <w:rPr>
          <w:rFonts w:ascii="Abo-thar" w:hAnsi="Abo-thar" w:cs="KFGQPC Uthman Taha Naskh"/>
          <w:b/>
          <w:bCs/>
          <w:sz w:val="28"/>
          <w:rtl/>
        </w:rPr>
        <w:t xml:space="preserve"> أَعْلَمُ</w:t>
      </w:r>
      <w:r w:rsidR="00217AB4" w:rsidRPr="003762F6">
        <w:rPr>
          <w:rFonts w:ascii="Abo-thar" w:hAnsi="Abo-thar" w:cs="KFGQPC Uthman Taha Naskh"/>
          <w:b/>
          <w:bCs/>
          <w:sz w:val="28"/>
          <w:rtl/>
        </w:rPr>
        <w:t>،</w:t>
      </w:r>
      <w:r w:rsidR="005C664D" w:rsidRPr="003762F6">
        <w:rPr>
          <w:rFonts w:ascii="Abo-thar" w:hAnsi="Abo-thar" w:cs="KFGQPC Uthman Taha Naskh"/>
          <w:b/>
          <w:bCs/>
          <w:sz w:val="28"/>
          <w:rtl/>
        </w:rPr>
        <w:t xml:space="preserve"> أَنْ لاَ يُؤْخَذَ مِنَ المَعَادِن</w:t>
      </w:r>
      <w:r w:rsidR="00217AB4" w:rsidRPr="003762F6">
        <w:rPr>
          <w:rFonts w:ascii="Abo-thar" w:hAnsi="Abo-thar" w:cs="KFGQPC Uthman Taha Naskh"/>
          <w:b/>
          <w:bCs/>
          <w:sz w:val="28"/>
          <w:rtl/>
        </w:rPr>
        <w:t>،</w:t>
      </w:r>
      <w:r w:rsidR="005C664D" w:rsidRPr="003762F6">
        <w:rPr>
          <w:rFonts w:ascii="Abo-thar" w:hAnsi="Abo-thar" w:cs="KFGQPC Uthman Taha Naskh"/>
          <w:b/>
          <w:bCs/>
          <w:sz w:val="28"/>
          <w:rtl/>
        </w:rPr>
        <w:t xml:space="preserve"> مِمَّا يَخْرُجُ مِنْهَا شَيْءٌ</w:t>
      </w:r>
      <w:r w:rsidR="00217AB4" w:rsidRPr="003762F6">
        <w:rPr>
          <w:rFonts w:ascii="Abo-thar" w:hAnsi="Abo-thar" w:cs="KFGQPC Uthman Taha Naskh"/>
          <w:b/>
          <w:bCs/>
          <w:sz w:val="28"/>
          <w:rtl/>
        </w:rPr>
        <w:t>،</w:t>
      </w:r>
      <w:r w:rsidR="005C664D" w:rsidRPr="003762F6">
        <w:rPr>
          <w:rFonts w:ascii="Abo-thar" w:hAnsi="Abo-thar" w:cs="KFGQPC Uthman Taha Naskh"/>
          <w:b/>
          <w:bCs/>
          <w:sz w:val="28"/>
          <w:rtl/>
        </w:rPr>
        <w:t xml:space="preserve"> حَتَّى يَبْلُغَ مَا يَخْرُجُ مِنْهَا قَدْرَ عِشْرِينَ دِينَاراً عَيْناً</w:t>
      </w:r>
      <w:r w:rsidR="00217AB4" w:rsidRPr="003762F6">
        <w:rPr>
          <w:rFonts w:ascii="Abo-thar" w:hAnsi="Abo-thar" w:cs="KFGQPC Uthman Taha Naskh"/>
          <w:b/>
          <w:bCs/>
          <w:sz w:val="28"/>
          <w:rtl/>
        </w:rPr>
        <w:t>،</w:t>
      </w:r>
      <w:r w:rsidR="005C664D" w:rsidRPr="003762F6">
        <w:rPr>
          <w:rFonts w:ascii="Abo-thar" w:hAnsi="Abo-thar" w:cs="KFGQPC Uthman Taha Naskh"/>
          <w:b/>
          <w:bCs/>
          <w:sz w:val="28"/>
          <w:rtl/>
        </w:rPr>
        <w:t xml:space="preserve"> أَوْ مِئَتَىْ دِرْهَمٍ</w:t>
      </w:r>
      <w:r w:rsidR="00217AB4" w:rsidRPr="003762F6">
        <w:rPr>
          <w:rFonts w:ascii="Abo-thar" w:hAnsi="Abo-thar" w:cs="KFGQPC Uthman Taha Naskh"/>
          <w:b/>
          <w:bCs/>
          <w:sz w:val="28"/>
          <w:rtl/>
        </w:rPr>
        <w:t>،</w:t>
      </w:r>
      <w:r w:rsidR="005C664D" w:rsidRPr="003762F6">
        <w:rPr>
          <w:rFonts w:ascii="Abo-thar" w:hAnsi="Abo-thar" w:cs="KFGQPC Uthman Taha Naskh"/>
          <w:b/>
          <w:bCs/>
          <w:sz w:val="28"/>
          <w:rtl/>
        </w:rPr>
        <w:t xml:space="preserve"> فَإِذَا بَلَغَ ذَلِكَ فَفِيهِ الزَّكَاةُ</w:t>
      </w:r>
      <w:r w:rsidRPr="003762F6">
        <w:rPr>
          <w:rFonts w:ascii="Abo-thar" w:hAnsi="Abo-thar" w:cs="KFGQPC Uthman Taha Naskh" w:hint="cs"/>
          <w:sz w:val="28"/>
          <w:rtl/>
        </w:rPr>
        <w:t>»</w:t>
      </w:r>
      <w:r w:rsidR="00217AB4" w:rsidRPr="0021507A">
        <w:rPr>
          <w:rStyle w:val="FootnoteReference"/>
          <w:rFonts w:cs="Arabic11 BT"/>
          <w:b/>
          <w:sz w:val="28"/>
          <w:rtl/>
        </w:rPr>
        <w:t>(</w:t>
      </w:r>
      <w:r w:rsidR="005C664D" w:rsidRPr="0021507A">
        <w:rPr>
          <w:rStyle w:val="FootnoteReference"/>
          <w:rFonts w:cs="Arabic11 BT"/>
          <w:b/>
          <w:sz w:val="28"/>
          <w:rtl/>
        </w:rPr>
        <w:footnoteReference w:id="232"/>
      </w:r>
      <w:r w:rsidR="00217AB4" w:rsidRPr="0021507A">
        <w:rPr>
          <w:rStyle w:val="FootnoteReference"/>
          <w:rFonts w:cs="Arabic11 BT"/>
          <w:b/>
          <w:sz w:val="28"/>
          <w:rtl/>
        </w:rPr>
        <w:t>)</w:t>
      </w:r>
      <w:r w:rsidR="00217AB4" w:rsidRPr="003F3B94">
        <w:rPr>
          <w:rFonts w:ascii="Abo-thar" w:hAnsi="Abo-thar" w:hint="cs"/>
          <w:sz w:val="28"/>
          <w:rtl/>
        </w:rPr>
        <w:t>.</w:t>
      </w:r>
    </w:p>
    <w:p w:rsidR="005C664D" w:rsidRPr="003F3B94" w:rsidRDefault="005C664D" w:rsidP="003F3B94">
      <w:pPr>
        <w:pStyle w:val="a0"/>
        <w:rPr>
          <w:rFonts w:hint="cs"/>
          <w:rtl/>
          <w:lang w:bidi="ar-SY"/>
        </w:rPr>
      </w:pPr>
      <w:r w:rsidRPr="003F3B94">
        <w:rPr>
          <w:rFonts w:ascii="Abo-thar" w:hAnsi="Abo-thar" w:hint="cs"/>
          <w:sz w:val="28"/>
          <w:rtl/>
        </w:rPr>
        <w:t xml:space="preserve">وهذا القول لمالك موافق تماماً لمضمون الحديث الذي رواه </w:t>
      </w:r>
      <w:r w:rsidR="00CB747D" w:rsidRPr="003F3B94">
        <w:rPr>
          <w:rFonts w:ascii="Abo-thar" w:hAnsi="Abo-thar" w:hint="cs"/>
          <w:sz w:val="28"/>
          <w:rtl/>
        </w:rPr>
        <w:t>الشيخ الطوسي في «التهذيب»</w:t>
      </w:r>
      <w:r w:rsidRPr="003F3B94">
        <w:rPr>
          <w:rFonts w:ascii="Abo-thar" w:hAnsi="Abo-thar" w:hint="cs"/>
          <w:sz w:val="28"/>
          <w:rtl/>
        </w:rPr>
        <w:t xml:space="preserve"> فقال</w:t>
      </w:r>
      <w:r w:rsidR="00217AB4" w:rsidRPr="003F3B94">
        <w:rPr>
          <w:rFonts w:ascii="Abo-thar" w:hAnsi="Abo-thar" w:hint="cs"/>
          <w:sz w:val="28"/>
          <w:rtl/>
        </w:rPr>
        <w:t>:</w:t>
      </w:r>
      <w:r w:rsidRPr="003F3B94">
        <w:rPr>
          <w:rFonts w:ascii="Abo-thar" w:hAnsi="Abo-thar" w:hint="cs"/>
          <w:sz w:val="28"/>
          <w:rtl/>
        </w:rPr>
        <w:t xml:space="preserve"> </w:t>
      </w:r>
      <w:r w:rsidR="00EF2588" w:rsidRPr="003762F6">
        <w:rPr>
          <w:rFonts w:ascii="Abo-thar" w:hAnsi="Abo-thar" w:cs="KFGQPC Uthman Taha Naskh" w:hint="cs"/>
          <w:sz w:val="28"/>
          <w:rtl/>
        </w:rPr>
        <w:t>«</w:t>
      </w:r>
      <w:r w:rsidRPr="003762F6">
        <w:rPr>
          <w:rFonts w:ascii="Abo-thar" w:hAnsi="Abo-thar" w:cs="KFGQPC Uthman Taha Naskh" w:hint="cs"/>
          <w:b/>
          <w:bCs/>
          <w:sz w:val="28"/>
          <w:rtl/>
        </w:rPr>
        <w:t>ع</w:t>
      </w:r>
      <w:r w:rsidRPr="003762F6">
        <w:rPr>
          <w:rFonts w:ascii="Abo-thar" w:hAnsi="Abo-thar" w:cs="KFGQPC Uthman Taha Naskh"/>
          <w:b/>
          <w:bCs/>
          <w:sz w:val="28"/>
          <w:rtl/>
        </w:rPr>
        <w:t xml:space="preserve">َنْ أَحْمَدَ بْنِ مُحَمَّدِ بْنِ أَبِي نَصْرٍ قَالَ سَأَلْتُ أَبَا الحَسَنِ </w:t>
      </w:r>
      <w:r w:rsidR="00BC4BA9" w:rsidRPr="00BC4BA9">
        <w:rPr>
          <w:rFonts w:ascii="Abo-thar" w:hAnsi="Abo-thar" w:cs="CTraditional Arabic"/>
          <w:b/>
          <w:sz w:val="28"/>
          <w:rtl/>
        </w:rPr>
        <w:t>÷</w:t>
      </w:r>
      <w:r w:rsidRPr="003762F6">
        <w:rPr>
          <w:rFonts w:ascii="Abo-thar" w:hAnsi="Abo-thar" w:cs="KFGQPC Uthman Taha Naskh"/>
          <w:b/>
          <w:bCs/>
          <w:sz w:val="28"/>
          <w:rtl/>
        </w:rPr>
        <w:t xml:space="preserve"> عَمَّا أَخْرَجَ المَعْدِنُ مِنْ قَلِيلٍ أَوْ</w:t>
      </w:r>
      <w:r w:rsidRPr="003762F6">
        <w:rPr>
          <w:rFonts w:ascii="Abo-thar" w:hAnsi="Abo-thar" w:cs="KFGQPC Uthman Taha Naskh" w:hint="cs"/>
          <w:b/>
          <w:bCs/>
          <w:sz w:val="28"/>
          <w:rtl/>
        </w:rPr>
        <w:t xml:space="preserve"> </w:t>
      </w:r>
      <w:r w:rsidRPr="003762F6">
        <w:rPr>
          <w:rFonts w:ascii="Abo-thar" w:hAnsi="Abo-thar" w:cs="KFGQPC Uthman Taha Naskh"/>
          <w:b/>
          <w:bCs/>
          <w:sz w:val="28"/>
          <w:rtl/>
        </w:rPr>
        <w:t>كَثِيرٍ هَلْ فِيهِ شَيْ‏ءٌ</w:t>
      </w:r>
      <w:r w:rsidR="00217AB4" w:rsidRPr="003762F6">
        <w:rPr>
          <w:rFonts w:ascii="Abo-thar" w:hAnsi="Abo-thar" w:cs="KFGQPC Uthman Taha Naskh" w:hint="cs"/>
          <w:b/>
          <w:bCs/>
          <w:sz w:val="28"/>
          <w:rtl/>
        </w:rPr>
        <w:t>؟</w:t>
      </w:r>
      <w:r w:rsidRPr="003762F6">
        <w:rPr>
          <w:rFonts w:ascii="Abo-thar" w:hAnsi="Abo-thar" w:cs="KFGQPC Uthman Taha Naskh"/>
          <w:b/>
          <w:bCs/>
          <w:sz w:val="28"/>
          <w:rtl/>
        </w:rPr>
        <w:t xml:space="preserve"> قَالَ</w:t>
      </w:r>
      <w:r w:rsidR="00217AB4" w:rsidRPr="003762F6">
        <w:rPr>
          <w:rFonts w:ascii="Abo-thar" w:hAnsi="Abo-thar" w:cs="KFGQPC Uthman Taha Naskh" w:hint="cs"/>
          <w:b/>
          <w:bCs/>
          <w:sz w:val="28"/>
          <w:rtl/>
        </w:rPr>
        <w:t>:</w:t>
      </w:r>
      <w:r w:rsidRPr="003762F6">
        <w:rPr>
          <w:rFonts w:ascii="Abo-thar" w:hAnsi="Abo-thar" w:cs="KFGQPC Uthman Taha Naskh"/>
          <w:b/>
          <w:bCs/>
          <w:sz w:val="28"/>
          <w:rtl/>
        </w:rPr>
        <w:t xml:space="preserve"> لَيْسَ فِيهِ شَيْ‏ءٌ حَتَّى يَبْلُغَ مَا يَكُونُ فِي مِثْلِهِ الزَّكَاةُ عِشْرِينَ دِينَاراً</w:t>
      </w:r>
      <w:r w:rsidR="00EF2588" w:rsidRPr="003762F6">
        <w:rPr>
          <w:rFonts w:ascii="Abo-thar" w:hAnsi="Abo-thar" w:cs="KFGQPC Uthman Taha Naskh" w:hint="cs"/>
          <w:sz w:val="28"/>
          <w:rtl/>
        </w:rPr>
        <w:t>»</w:t>
      </w:r>
      <w:r w:rsidR="00CB747D" w:rsidRPr="0021507A">
        <w:rPr>
          <w:rFonts w:ascii="Abo-thar" w:hAnsi="Abo-thar" w:cs="Arabic11 BT"/>
          <w:sz w:val="28"/>
          <w:vertAlign w:val="superscript"/>
          <w:rtl/>
        </w:rPr>
        <w:t>(</w:t>
      </w:r>
      <w:r w:rsidR="00CB747D" w:rsidRPr="0021507A">
        <w:rPr>
          <w:rStyle w:val="FootnoteReference"/>
          <w:rFonts w:ascii="Abo-thar" w:hAnsi="Abo-thar" w:cs="Arabic11 BT"/>
          <w:sz w:val="28"/>
          <w:rtl/>
        </w:rPr>
        <w:footnoteReference w:id="233"/>
      </w:r>
      <w:r w:rsidR="00CB747D" w:rsidRPr="0021507A">
        <w:rPr>
          <w:rFonts w:ascii="Abo-thar" w:hAnsi="Abo-thar" w:cs="Arabic11 BT"/>
          <w:sz w:val="28"/>
          <w:vertAlign w:val="superscript"/>
          <w:rtl/>
        </w:rPr>
        <w:t>)</w:t>
      </w:r>
      <w:r w:rsidR="00217AB4" w:rsidRPr="003F3B94">
        <w:rPr>
          <w:rFonts w:ascii="Abo-thar" w:hAnsi="Abo-thar" w:hint="cs"/>
          <w:sz w:val="28"/>
          <w:rtl/>
        </w:rPr>
        <w:t>.</w:t>
      </w:r>
    </w:p>
    <w:p w:rsidR="005C664D" w:rsidRPr="003F3B94" w:rsidRDefault="005C664D" w:rsidP="003F3B94">
      <w:pPr>
        <w:pStyle w:val="a0"/>
        <w:rPr>
          <w:rFonts w:hint="cs"/>
          <w:rtl/>
          <w:lang w:bidi="ar-SY"/>
        </w:rPr>
      </w:pPr>
      <w:r w:rsidRPr="003F3B94">
        <w:rPr>
          <w:rFonts w:ascii="Abo-thar" w:hAnsi="Abo-thar" w:hint="cs"/>
          <w:sz w:val="28"/>
          <w:rtl/>
          <w:lang w:bidi="ar-SY"/>
        </w:rPr>
        <w:t xml:space="preserve">كما يوافق الحديث الذي أورده الشيخ المفيد في </w:t>
      </w:r>
      <w:r w:rsidRPr="003F3B94">
        <w:rPr>
          <w:rFonts w:ascii="Abo-thar" w:hAnsi="Abo-thar"/>
          <w:sz w:val="28"/>
          <w:rtl/>
          <w:lang w:bidi="ar-SY"/>
        </w:rPr>
        <w:t>«</w:t>
      </w:r>
      <w:r w:rsidRPr="004D3535">
        <w:rPr>
          <w:rFonts w:ascii="IRLotus" w:hAnsi="IRLotus" w:cs="IRLotus"/>
          <w:sz w:val="28"/>
          <w:rtl/>
          <w:lang w:bidi="ar-SY"/>
        </w:rPr>
        <w:t>الْمُقْنِعَةِ</w:t>
      </w:r>
      <w:r w:rsidRPr="003F3B94">
        <w:rPr>
          <w:rFonts w:ascii="Abo-thar" w:hAnsi="Abo-thar"/>
          <w:sz w:val="28"/>
          <w:rtl/>
          <w:lang w:bidi="ar-SY"/>
        </w:rPr>
        <w:t>»</w:t>
      </w:r>
      <w:r w:rsidRPr="003F3B94">
        <w:rPr>
          <w:rFonts w:ascii="Abo-thar" w:hAnsi="Abo-thar" w:hint="cs"/>
          <w:sz w:val="28"/>
          <w:rtl/>
          <w:lang w:bidi="ar-SY"/>
        </w:rPr>
        <w:t xml:space="preserve"> ونصُّه</w:t>
      </w:r>
      <w:r w:rsidR="00217AB4" w:rsidRPr="003F3B94">
        <w:rPr>
          <w:rFonts w:ascii="Abo-thar" w:hAnsi="Abo-thar" w:hint="cs"/>
          <w:sz w:val="28"/>
          <w:rtl/>
          <w:lang w:bidi="ar-SY"/>
        </w:rPr>
        <w:t>:</w:t>
      </w:r>
      <w:r w:rsidRPr="003F3B94">
        <w:rPr>
          <w:rFonts w:ascii="Abo-thar" w:hAnsi="Abo-thar" w:hint="cs"/>
          <w:sz w:val="28"/>
          <w:rtl/>
          <w:lang w:bidi="ar-SY"/>
        </w:rPr>
        <w:t xml:space="preserve"> </w:t>
      </w:r>
      <w:r w:rsidR="00EF2588" w:rsidRPr="003762F6">
        <w:rPr>
          <w:rFonts w:ascii="Abo-thar" w:hAnsi="Abo-thar" w:cs="KFGQPC Uthman Taha Naskh" w:hint="cs"/>
          <w:sz w:val="28"/>
          <w:rtl/>
          <w:lang w:bidi="ar-SY"/>
        </w:rPr>
        <w:t>«</w:t>
      </w:r>
      <w:r w:rsidRPr="003762F6">
        <w:rPr>
          <w:rFonts w:ascii="Abo-thar" w:hAnsi="Abo-thar" w:cs="KFGQPC Uthman Taha Naskh"/>
          <w:b/>
          <w:bCs/>
          <w:sz w:val="28"/>
          <w:rtl/>
          <w:lang w:bidi="ar-SY"/>
        </w:rPr>
        <w:t xml:space="preserve">قَالَ سُئِلَ الرِّضَا </w:t>
      </w:r>
      <w:r w:rsidR="00BC4BA9" w:rsidRPr="00BC4BA9">
        <w:rPr>
          <w:rFonts w:ascii="Abo-thar" w:hAnsi="Abo-thar" w:cs="CTraditional Arabic"/>
          <w:b/>
          <w:sz w:val="28"/>
          <w:rtl/>
          <w:lang w:bidi="ar-SY"/>
        </w:rPr>
        <w:t>÷</w:t>
      </w:r>
      <w:r w:rsidRPr="003762F6">
        <w:rPr>
          <w:rFonts w:ascii="Abo-thar" w:hAnsi="Abo-thar" w:cs="KFGQPC Uthman Taha Naskh"/>
          <w:b/>
          <w:bCs/>
          <w:sz w:val="28"/>
          <w:rtl/>
          <w:lang w:bidi="ar-SY"/>
        </w:rPr>
        <w:t xml:space="preserve"> عَنْ مِقْدَارِ الْكَنْزِ الَّذِي يَجِبُ فِيهِ الخُمُسُ</w:t>
      </w:r>
      <w:r w:rsidR="00217AB4" w:rsidRPr="003762F6">
        <w:rPr>
          <w:rFonts w:ascii="Abo-thar" w:hAnsi="Abo-thar" w:cs="KFGQPC Uthman Taha Naskh" w:hint="cs"/>
          <w:b/>
          <w:bCs/>
          <w:sz w:val="28"/>
          <w:rtl/>
          <w:lang w:bidi="ar-SY"/>
        </w:rPr>
        <w:t>؟</w:t>
      </w:r>
      <w:r w:rsidRPr="003762F6">
        <w:rPr>
          <w:rFonts w:ascii="Abo-thar" w:hAnsi="Abo-thar" w:cs="KFGQPC Uthman Taha Naskh"/>
          <w:b/>
          <w:bCs/>
          <w:sz w:val="28"/>
          <w:rtl/>
          <w:lang w:bidi="ar-SY"/>
        </w:rPr>
        <w:t xml:space="preserve"> فَقَالَ</w:t>
      </w:r>
      <w:r w:rsidR="00217AB4" w:rsidRPr="003762F6">
        <w:rPr>
          <w:rFonts w:ascii="Abo-thar" w:hAnsi="Abo-thar" w:cs="KFGQPC Uthman Taha Naskh" w:hint="cs"/>
          <w:b/>
          <w:bCs/>
          <w:sz w:val="28"/>
          <w:rtl/>
          <w:lang w:bidi="ar-SY"/>
        </w:rPr>
        <w:t>:</w:t>
      </w:r>
      <w:r w:rsidRPr="003762F6">
        <w:rPr>
          <w:rFonts w:ascii="Abo-thar" w:hAnsi="Abo-thar" w:cs="KFGQPC Uthman Taha Naskh"/>
          <w:b/>
          <w:bCs/>
          <w:sz w:val="28"/>
          <w:rtl/>
          <w:lang w:bidi="ar-SY"/>
        </w:rPr>
        <w:t xml:space="preserve"> </w:t>
      </w:r>
      <w:r w:rsidRPr="003762F6">
        <w:rPr>
          <w:rFonts w:ascii="Abo-thar" w:hAnsi="Abo-thar" w:cs="KFGQPC Uthman Taha Naskh"/>
          <w:b/>
          <w:bCs/>
          <w:sz w:val="28"/>
          <w:u w:val="single"/>
          <w:rtl/>
          <w:lang w:bidi="ar-SY"/>
        </w:rPr>
        <w:t>مَا يَجِبُ فِيهِ الزَّكَاةُ مِنْ ذَلِكَ</w:t>
      </w:r>
      <w:r w:rsidRPr="003762F6">
        <w:rPr>
          <w:rFonts w:ascii="Abo-thar" w:hAnsi="Abo-thar" w:cs="KFGQPC Uthman Taha Naskh"/>
          <w:b/>
          <w:bCs/>
          <w:sz w:val="28"/>
          <w:rtl/>
          <w:lang w:bidi="ar-SY"/>
        </w:rPr>
        <w:t xml:space="preserve"> بِعَيْنِهِ فَفِيهِ الخُمُسُ ومَا لَمْ يَبْلُغْ حَدَّ مَا تَجِبُ فِيهِ الزَّكَاةُ فَلَا خُمُسَ فِيهِ</w:t>
      </w:r>
      <w:r w:rsidR="00EF2588" w:rsidRPr="003762F6">
        <w:rPr>
          <w:rFonts w:ascii="Abo-thar" w:hAnsi="Abo-thar" w:cs="KFGQPC Uthman Taha Naskh" w:hint="cs"/>
          <w:sz w:val="28"/>
          <w:rtl/>
          <w:lang w:bidi="ar-SY"/>
        </w:rPr>
        <w:t>»</w:t>
      </w:r>
      <w:r w:rsidR="00217AB4" w:rsidRPr="0021507A">
        <w:rPr>
          <w:rStyle w:val="FootnoteReference"/>
          <w:rFonts w:cs="Arabic11 BT"/>
          <w:b/>
          <w:sz w:val="28"/>
          <w:rtl/>
          <w:lang w:bidi="ar-SY"/>
        </w:rPr>
        <w:t>(</w:t>
      </w:r>
      <w:r w:rsidRPr="0021507A">
        <w:rPr>
          <w:rStyle w:val="FootnoteReference"/>
          <w:rFonts w:cs="Arabic11 BT"/>
          <w:b/>
          <w:sz w:val="28"/>
          <w:rtl/>
          <w:lang w:bidi="ar-SY"/>
        </w:rPr>
        <w:footnoteReference w:id="234"/>
      </w:r>
      <w:r w:rsidR="00217AB4" w:rsidRPr="0021507A">
        <w:rPr>
          <w:rStyle w:val="FootnoteReference"/>
          <w:rFonts w:cs="Arabic11 BT"/>
          <w:b/>
          <w:sz w:val="28"/>
          <w:rtl/>
          <w:lang w:bidi="ar-SY"/>
        </w:rPr>
        <w:t>)</w:t>
      </w:r>
      <w:r w:rsidR="00217AB4" w:rsidRPr="003F3B94">
        <w:rPr>
          <w:rFonts w:ascii="Abo-thar" w:hAnsi="Abo-thar" w:hint="cs"/>
          <w:sz w:val="28"/>
          <w:rtl/>
          <w:lang w:bidi="ar-SY"/>
        </w:rPr>
        <w:t>.</w:t>
      </w:r>
    </w:p>
    <w:p w:rsidR="005C664D" w:rsidRPr="003F3B94" w:rsidRDefault="005C664D" w:rsidP="00E51696">
      <w:pPr>
        <w:pStyle w:val="a0"/>
        <w:rPr>
          <w:rFonts w:hint="cs"/>
          <w:rtl/>
          <w:lang w:bidi="ar-SY"/>
        </w:rPr>
      </w:pPr>
      <w:r w:rsidRPr="003F3B94">
        <w:rPr>
          <w:rFonts w:ascii="Abo-thar" w:hAnsi="Abo-thar" w:hint="cs"/>
          <w:sz w:val="28"/>
          <w:rtl/>
          <w:lang w:bidi="ar-SY"/>
        </w:rPr>
        <w:t xml:space="preserve">لاحظ جملة </w:t>
      </w:r>
      <w:r w:rsidR="00217AB4" w:rsidRPr="003F3B94">
        <w:rPr>
          <w:rFonts w:ascii="Abo-thar" w:hAnsi="Abo-thar" w:hint="cs"/>
          <w:sz w:val="28"/>
          <w:rtl/>
          <w:lang w:bidi="ar-SY"/>
        </w:rPr>
        <w:t>(</w:t>
      </w:r>
      <w:r w:rsidRPr="003F3B94">
        <w:rPr>
          <w:rFonts w:ascii="Abo-thar" w:hAnsi="Abo-thar"/>
          <w:sz w:val="28"/>
          <w:rtl/>
          <w:lang w:bidi="ar-SY"/>
        </w:rPr>
        <w:t>مَا يَكُونُ فِي مِثْلِهِ الزَّكَاةُ</w:t>
      </w:r>
      <w:r w:rsidR="00217AB4" w:rsidRPr="003F3B94">
        <w:rPr>
          <w:rFonts w:ascii="Abo-thar" w:hAnsi="Abo-thar" w:hint="cs"/>
          <w:sz w:val="28"/>
          <w:rtl/>
          <w:lang w:bidi="ar-SY"/>
        </w:rPr>
        <w:t>)</w:t>
      </w:r>
      <w:r w:rsidRPr="003F3B94">
        <w:rPr>
          <w:rFonts w:ascii="Abo-thar" w:hAnsi="Abo-thar"/>
          <w:sz w:val="28"/>
          <w:rtl/>
          <w:lang w:bidi="ar-SY"/>
        </w:rPr>
        <w:t xml:space="preserve"> </w:t>
      </w:r>
      <w:r w:rsidRPr="003F3B94">
        <w:rPr>
          <w:rFonts w:ascii="Abo-thar" w:hAnsi="Abo-thar" w:hint="cs"/>
          <w:sz w:val="28"/>
          <w:rtl/>
          <w:lang w:bidi="ar-SY"/>
        </w:rPr>
        <w:t xml:space="preserve">في الحديث الأول وجملة </w:t>
      </w:r>
      <w:r w:rsidR="00217AB4" w:rsidRPr="003F3B94">
        <w:rPr>
          <w:rFonts w:ascii="Abo-thar" w:hAnsi="Abo-thar" w:hint="cs"/>
          <w:sz w:val="28"/>
          <w:rtl/>
          <w:lang w:bidi="ar-SY"/>
        </w:rPr>
        <w:t>(</w:t>
      </w:r>
      <w:r w:rsidRPr="003F3B94">
        <w:rPr>
          <w:rFonts w:ascii="Abo-thar" w:hAnsi="Abo-thar"/>
          <w:sz w:val="28"/>
          <w:rtl/>
          <w:lang w:bidi="ar-SY"/>
        </w:rPr>
        <w:t>مَا يَجِبُ فِيهِ الزَّكَاةُ مِنْ ذَلِكَ</w:t>
      </w:r>
      <w:r w:rsidR="00217AB4" w:rsidRPr="003F3B94">
        <w:rPr>
          <w:rFonts w:ascii="Abo-thar" w:hAnsi="Abo-thar" w:hint="cs"/>
          <w:sz w:val="28"/>
          <w:rtl/>
          <w:lang w:bidi="ar-SY"/>
        </w:rPr>
        <w:t>)</w:t>
      </w:r>
      <w:r w:rsidRPr="003F3B94">
        <w:rPr>
          <w:rFonts w:ascii="Abo-thar" w:hAnsi="Abo-thar" w:hint="cs"/>
          <w:sz w:val="28"/>
          <w:rtl/>
          <w:lang w:bidi="ar-SY"/>
        </w:rPr>
        <w:t xml:space="preserve"> في الحديث الأخير</w:t>
      </w:r>
      <w:r w:rsidR="00217AB4" w:rsidRPr="003F3B94">
        <w:rPr>
          <w:rFonts w:ascii="Abo-thar" w:hAnsi="Abo-thar" w:hint="cs"/>
          <w:sz w:val="28"/>
          <w:rtl/>
          <w:lang w:bidi="ar-SY"/>
        </w:rPr>
        <w:t>،</w:t>
      </w:r>
      <w:r w:rsidRPr="003F3B94">
        <w:rPr>
          <w:rFonts w:ascii="Abo-thar" w:hAnsi="Abo-thar" w:hint="cs"/>
          <w:sz w:val="28"/>
          <w:rtl/>
          <w:lang w:bidi="ar-SY"/>
        </w:rPr>
        <w:t xml:space="preserve"> تجد أن حديث الإمام الرضا</w:t>
      </w:r>
      <w:r w:rsidR="00147857" w:rsidRPr="003F3B94">
        <w:rPr>
          <w:rFonts w:ascii="Abo-thar" w:hAnsi="Abo-thar" w:hint="cs"/>
          <w:sz w:val="28"/>
          <w:rtl/>
          <w:lang w:bidi="ar-SY"/>
        </w:rPr>
        <w:t xml:space="preserve"> </w:t>
      </w:r>
      <w:r w:rsidR="003C7AEB" w:rsidRPr="003C7AEB">
        <w:rPr>
          <w:rFonts w:ascii="Abo-thar" w:hAnsi="Abo-thar" w:cs="CTraditional Arabic"/>
          <w:sz w:val="28"/>
          <w:rtl/>
          <w:lang w:bidi="ar-SY"/>
        </w:rPr>
        <w:t>÷</w:t>
      </w:r>
      <w:r w:rsidR="00147857" w:rsidRPr="003F3B94">
        <w:rPr>
          <w:rFonts w:ascii="Abo-thar" w:hAnsi="Abo-thar"/>
          <w:sz w:val="28"/>
          <w:rtl/>
          <w:lang w:bidi="ar-SY"/>
        </w:rPr>
        <w:t xml:space="preserve"> </w:t>
      </w:r>
      <w:r w:rsidRPr="003F3B94">
        <w:rPr>
          <w:rFonts w:ascii="Abo-thar" w:hAnsi="Abo-thar" w:hint="cs"/>
          <w:sz w:val="28"/>
          <w:rtl/>
          <w:lang w:bidi="ar-SY"/>
        </w:rPr>
        <w:t>صريح وواضح في أن الخُمُس هو زكاة المعادن</w:t>
      </w:r>
      <w:r w:rsidR="00217AB4" w:rsidRPr="003F3B94">
        <w:rPr>
          <w:rFonts w:ascii="Abo-thar" w:hAnsi="Abo-thar" w:hint="cs"/>
          <w:sz w:val="28"/>
          <w:rtl/>
          <w:lang w:bidi="ar-SY"/>
        </w:rPr>
        <w:t>،</w:t>
      </w:r>
      <w:r w:rsidRPr="003F3B94">
        <w:rPr>
          <w:rFonts w:ascii="Abo-thar" w:hAnsi="Abo-thar" w:hint="cs"/>
          <w:sz w:val="28"/>
          <w:rtl/>
          <w:lang w:bidi="ar-SY"/>
        </w:rPr>
        <w:t xml:space="preserve"> مع فارق أن </w:t>
      </w:r>
      <w:r w:rsidRPr="003F3B94">
        <w:rPr>
          <w:rFonts w:ascii="Abo-thar" w:hAnsi="Abo-thar"/>
          <w:sz w:val="28"/>
          <w:rtl/>
          <w:lang w:bidi="ar-SY"/>
        </w:rPr>
        <w:t>«</w:t>
      </w:r>
      <w:r w:rsidRPr="003F3B94">
        <w:rPr>
          <w:rFonts w:ascii="Abo-thar" w:hAnsi="Abo-thar" w:hint="cs"/>
          <w:b/>
          <w:bCs/>
          <w:sz w:val="28"/>
          <w:rtl/>
          <w:lang w:bidi="ar-SY"/>
        </w:rPr>
        <w:t>مالك</w:t>
      </w:r>
      <w:r w:rsidRPr="003F3B94">
        <w:rPr>
          <w:rFonts w:ascii="Abo-thar" w:hAnsi="Abo-thar"/>
          <w:sz w:val="28"/>
          <w:rtl/>
          <w:lang w:bidi="ar-SY"/>
        </w:rPr>
        <w:t>»</w:t>
      </w:r>
      <w:r w:rsidRPr="003F3B94">
        <w:rPr>
          <w:rFonts w:ascii="Abo-thar" w:hAnsi="Abo-thar" w:hint="cs"/>
          <w:sz w:val="28"/>
          <w:rtl/>
          <w:lang w:bidi="ar-SY"/>
        </w:rPr>
        <w:t xml:space="preserve"> يرى أن زكاة المعادن هي </w:t>
      </w:r>
      <w:r w:rsidRPr="003F3B94">
        <w:rPr>
          <w:rFonts w:ascii="Abo-thar" w:hAnsi="Abo-thar"/>
          <w:sz w:val="28"/>
          <w:rtl/>
          <w:lang w:bidi="ar-SY"/>
        </w:rPr>
        <w:t>«</w:t>
      </w:r>
      <w:r w:rsidRPr="003F3B94">
        <w:rPr>
          <w:rFonts w:ascii="Abo-thar" w:hAnsi="Abo-thar" w:hint="cs"/>
          <w:b/>
          <w:bCs/>
          <w:sz w:val="28"/>
          <w:rtl/>
          <w:lang w:bidi="ar-SY"/>
        </w:rPr>
        <w:t>العُشْر</w:t>
      </w:r>
      <w:r w:rsidRPr="003F3B94">
        <w:rPr>
          <w:rFonts w:ascii="Abo-thar" w:hAnsi="Abo-thar"/>
          <w:sz w:val="28"/>
          <w:rtl/>
          <w:lang w:bidi="ar-SY"/>
        </w:rPr>
        <w:t>»</w:t>
      </w:r>
      <w:r w:rsidRPr="003F3B94">
        <w:rPr>
          <w:rFonts w:ascii="Abo-thar" w:hAnsi="Abo-thar" w:hint="cs"/>
          <w:sz w:val="28"/>
          <w:rtl/>
          <w:lang w:bidi="ar-SY"/>
        </w:rPr>
        <w:t xml:space="preserve"> في حين يرى الأئمة المعصومون</w:t>
      </w:r>
      <w:r w:rsidR="00963EFD" w:rsidRPr="00963EFD">
        <w:rPr>
          <w:rFonts w:ascii="Abo-thar" w:hAnsi="Abo-thar" w:cs="CTraditional Arabic"/>
          <w:sz w:val="28"/>
          <w:rtl/>
          <w:lang w:bidi="ar-SY"/>
        </w:rPr>
        <w:t>‡</w:t>
      </w:r>
      <w:r w:rsidR="00147857" w:rsidRPr="003F3B94">
        <w:rPr>
          <w:rFonts w:ascii="Abo-thar" w:hAnsi="Abo-thar"/>
          <w:sz w:val="28"/>
          <w:rtl/>
          <w:lang w:bidi="ar-SY"/>
        </w:rPr>
        <w:t xml:space="preserve"> </w:t>
      </w:r>
      <w:r w:rsidRPr="003F3B94">
        <w:rPr>
          <w:rFonts w:ascii="Abo-thar" w:hAnsi="Abo-thar" w:hint="cs"/>
          <w:sz w:val="28"/>
          <w:rtl/>
          <w:lang w:bidi="ar-SY"/>
        </w:rPr>
        <w:t xml:space="preserve">أن زكاته </w:t>
      </w:r>
      <w:r w:rsidRPr="003F3B94">
        <w:rPr>
          <w:rFonts w:ascii="Abo-thar" w:hAnsi="Abo-thar"/>
          <w:sz w:val="28"/>
          <w:rtl/>
          <w:lang w:bidi="ar-SY"/>
        </w:rPr>
        <w:t>«</w:t>
      </w:r>
      <w:r w:rsidRPr="003F3B94">
        <w:rPr>
          <w:rFonts w:ascii="Abo-thar" w:hAnsi="Abo-thar" w:hint="cs"/>
          <w:sz w:val="28"/>
          <w:rtl/>
          <w:lang w:bidi="ar-SY"/>
        </w:rPr>
        <w:t>الخُمُس</w:t>
      </w:r>
      <w:r w:rsidRPr="003F3B94">
        <w:rPr>
          <w:rFonts w:ascii="Abo-thar" w:hAnsi="Abo-thar"/>
          <w:sz w:val="28"/>
          <w:rtl/>
          <w:lang w:bidi="ar-SY"/>
        </w:rPr>
        <w:t>»</w:t>
      </w:r>
      <w:r w:rsidR="00217AB4" w:rsidRPr="003F3B94">
        <w:rPr>
          <w:rFonts w:ascii="Abo-thar" w:hAnsi="Abo-thar" w:hint="cs"/>
          <w:sz w:val="28"/>
          <w:rtl/>
          <w:lang w:bidi="ar-SY"/>
        </w:rPr>
        <w:t>.</w:t>
      </w:r>
      <w:r w:rsidR="00147857" w:rsidRPr="003F3B94">
        <w:rPr>
          <w:rFonts w:ascii="Abo-thar" w:hAnsi="Abo-thar" w:hint="cs"/>
          <w:sz w:val="28"/>
          <w:rtl/>
          <w:lang w:bidi="ar-SY"/>
        </w:rPr>
        <w:t xml:space="preserve"> </w:t>
      </w:r>
    </w:p>
    <w:p w:rsidR="005C664D" w:rsidRPr="003F3B94" w:rsidRDefault="005C664D" w:rsidP="003F3B94">
      <w:pPr>
        <w:pStyle w:val="a0"/>
        <w:rPr>
          <w:rFonts w:hint="cs"/>
          <w:rtl/>
        </w:rPr>
      </w:pPr>
      <w:r w:rsidRPr="003F3B94">
        <w:rPr>
          <w:rFonts w:ascii="Abo-thar" w:hAnsi="Abo-thar"/>
          <w:sz w:val="28"/>
          <w:rtl/>
          <w:lang w:bidi="ar-SY"/>
        </w:rPr>
        <w:t>«</w:t>
      </w:r>
      <w:r w:rsidRPr="003F3B94">
        <w:rPr>
          <w:rFonts w:ascii="Abo-thar" w:hAnsi="Abo-thar" w:hint="cs"/>
          <w:b/>
          <w:bCs/>
          <w:sz w:val="28"/>
          <w:rtl/>
          <w:lang w:bidi="ar-SY"/>
        </w:rPr>
        <w:t>الشافعيُّ</w:t>
      </w:r>
      <w:r w:rsidRPr="003F3B94">
        <w:rPr>
          <w:rFonts w:ascii="Abo-thar" w:hAnsi="Abo-thar"/>
          <w:sz w:val="28"/>
          <w:rtl/>
          <w:lang w:bidi="ar-SY"/>
        </w:rPr>
        <w:t>»</w:t>
      </w:r>
      <w:r w:rsidRPr="003F3B94">
        <w:rPr>
          <w:rFonts w:ascii="Abo-thar" w:hAnsi="Abo-thar" w:hint="cs"/>
          <w:sz w:val="28"/>
          <w:rtl/>
          <w:lang w:bidi="ar-SY"/>
        </w:rPr>
        <w:t xml:space="preserve"> أيضاً الذي كان أحدَ المفتين الكبار وأحدَ الفقهاء الأربعة المشهورين [لأهل السنة] ومعاصراً للأئمّة</w:t>
      </w:r>
      <w:r w:rsidR="00217AB4" w:rsidRPr="003F3B94">
        <w:rPr>
          <w:rFonts w:ascii="Abo-thar" w:hAnsi="Abo-thar" w:hint="cs"/>
          <w:sz w:val="28"/>
          <w:rtl/>
          <w:lang w:bidi="ar-SY"/>
        </w:rPr>
        <w:t>،</w:t>
      </w:r>
      <w:r w:rsidRPr="003F3B94">
        <w:rPr>
          <w:rFonts w:ascii="Abo-thar" w:hAnsi="Abo-thar" w:hint="cs"/>
          <w:sz w:val="28"/>
          <w:rtl/>
          <w:lang w:bidi="ar-SY"/>
        </w:rPr>
        <w:t xml:space="preserve"> عقد في كتابه الفقهي </w:t>
      </w:r>
      <w:r w:rsidRPr="003F3B94">
        <w:rPr>
          <w:rFonts w:ascii="Abo-thar" w:hAnsi="Abo-thar"/>
          <w:sz w:val="28"/>
          <w:rtl/>
          <w:lang w:bidi="ar-SY"/>
        </w:rPr>
        <w:t>«</w:t>
      </w:r>
      <w:r w:rsidRPr="003F3B94">
        <w:rPr>
          <w:rFonts w:ascii="Abo-thar" w:hAnsi="Abo-thar" w:hint="cs"/>
          <w:b/>
          <w:bCs/>
          <w:sz w:val="28"/>
          <w:rtl/>
          <w:lang w:bidi="ar-SY"/>
        </w:rPr>
        <w:t>الأم</w:t>
      </w:r>
      <w:r w:rsidRPr="003F3B94">
        <w:rPr>
          <w:rFonts w:ascii="Abo-thar" w:hAnsi="Abo-thar"/>
          <w:sz w:val="28"/>
          <w:rtl/>
          <w:lang w:bidi="ar-SY"/>
        </w:rPr>
        <w:t>»</w:t>
      </w:r>
      <w:r w:rsidRPr="003F3B94">
        <w:rPr>
          <w:rFonts w:ascii="Abo-thar" w:hAnsi="Abo-thar" w:hint="cs"/>
          <w:sz w:val="28"/>
          <w:rtl/>
          <w:lang w:bidi="ar-SY"/>
        </w:rPr>
        <w:t xml:space="preserve"> فصلاً بعنوان </w:t>
      </w:r>
      <w:r w:rsidR="00217AB4" w:rsidRPr="003F3B94">
        <w:rPr>
          <w:rFonts w:ascii="Abo-thar" w:hAnsi="Abo-thar" w:hint="cs"/>
          <w:sz w:val="28"/>
          <w:rtl/>
          <w:lang w:bidi="ar-SY"/>
        </w:rPr>
        <w:t>(</w:t>
      </w:r>
      <w:r w:rsidRPr="003F3B94">
        <w:rPr>
          <w:rFonts w:ascii="Abo-thar" w:hAnsi="Abo-thar" w:hint="cs"/>
          <w:sz w:val="28"/>
          <w:rtl/>
          <w:lang w:bidi="ar-SY"/>
        </w:rPr>
        <w:t>باب زكاة المعادن</w:t>
      </w:r>
      <w:r w:rsidR="00217AB4" w:rsidRPr="003F3B94">
        <w:rPr>
          <w:rFonts w:ascii="Abo-thar" w:hAnsi="Abo-thar" w:hint="cs"/>
          <w:sz w:val="28"/>
          <w:rtl/>
          <w:lang w:bidi="ar-SY"/>
        </w:rPr>
        <w:t>)</w:t>
      </w:r>
      <w:r w:rsidRPr="003F3B94">
        <w:rPr>
          <w:rFonts w:ascii="Abo-thar" w:hAnsi="Abo-thar" w:hint="cs"/>
          <w:sz w:val="28"/>
          <w:rtl/>
          <w:lang w:bidi="ar-SY"/>
        </w:rPr>
        <w:t xml:space="preserve"> أورد فيه عدة أحاديث في هذا المجال واعتبر نصاب زكاة المعادن والركاز</w:t>
      </w:r>
      <w:r w:rsidR="00217AB4" w:rsidRPr="0021507A">
        <w:rPr>
          <w:rStyle w:val="FootnoteReference"/>
          <w:rFonts w:cs="Arabic11 BT"/>
          <w:b/>
          <w:sz w:val="28"/>
          <w:rtl/>
          <w:lang w:bidi="ar-SY"/>
        </w:rPr>
        <w:t>(</w:t>
      </w:r>
      <w:r w:rsidRPr="0021507A">
        <w:rPr>
          <w:rStyle w:val="FootnoteReference"/>
          <w:rFonts w:cs="Arabic11 BT"/>
          <w:b/>
          <w:sz w:val="28"/>
          <w:rtl/>
          <w:lang w:bidi="ar-SY"/>
        </w:rPr>
        <w:footnoteReference w:id="235"/>
      </w:r>
      <w:r w:rsidR="00217AB4" w:rsidRPr="0021507A">
        <w:rPr>
          <w:rStyle w:val="FootnoteReference"/>
          <w:rFonts w:cs="Arabic11 BT"/>
          <w:b/>
          <w:sz w:val="28"/>
          <w:rtl/>
          <w:lang w:bidi="ar-SY"/>
        </w:rPr>
        <w:t>)</w:t>
      </w:r>
      <w:r w:rsidRPr="003F3B94">
        <w:rPr>
          <w:sz w:val="28"/>
          <w:rtl/>
          <w:lang w:bidi="ar-SY"/>
        </w:rPr>
        <w:t xml:space="preserve"> </w:t>
      </w:r>
      <w:r w:rsidRPr="003F3B94">
        <w:rPr>
          <w:rFonts w:ascii="Abo-thar" w:hAnsi="Abo-thar" w:hint="cs"/>
          <w:sz w:val="28"/>
          <w:rtl/>
          <w:lang w:bidi="ar-SY"/>
        </w:rPr>
        <w:t>عشرين مثقالاً من الذهب أي عشرين ديناراً</w:t>
      </w:r>
      <w:r w:rsidR="00217AB4" w:rsidRPr="003F3B94">
        <w:rPr>
          <w:rFonts w:ascii="Abo-thar" w:hAnsi="Abo-thar" w:hint="cs"/>
          <w:sz w:val="28"/>
          <w:rtl/>
          <w:lang w:bidi="ar-SY"/>
        </w:rPr>
        <w:t>،</w:t>
      </w:r>
      <w:r w:rsidRPr="003F3B94">
        <w:rPr>
          <w:rFonts w:ascii="Abo-thar" w:hAnsi="Abo-thar" w:hint="cs"/>
          <w:sz w:val="28"/>
          <w:rtl/>
          <w:lang w:bidi="ar-SY"/>
        </w:rPr>
        <w:t xml:space="preserve"> وقال في </w:t>
      </w:r>
      <w:r w:rsidR="00217AB4" w:rsidRPr="003F3B94">
        <w:rPr>
          <w:rFonts w:ascii="Abo-thar" w:hAnsi="Abo-thar" w:hint="cs"/>
          <w:sz w:val="28"/>
          <w:rtl/>
          <w:lang w:bidi="ar-SY"/>
        </w:rPr>
        <w:t>(</w:t>
      </w:r>
      <w:r w:rsidRPr="003F3B94">
        <w:rPr>
          <w:rFonts w:ascii="Abo-thar" w:hAnsi="Abo-thar" w:hint="cs"/>
          <w:sz w:val="28"/>
          <w:rtl/>
          <w:lang w:bidi="ar-SY"/>
        </w:rPr>
        <w:t>ص 38</w:t>
      </w:r>
      <w:r w:rsidR="00217AB4" w:rsidRPr="003F3B94">
        <w:rPr>
          <w:rFonts w:ascii="Abo-thar" w:hAnsi="Abo-thar" w:hint="cs"/>
          <w:sz w:val="28"/>
          <w:rtl/>
          <w:lang w:bidi="ar-SY"/>
        </w:rPr>
        <w:t>):</w:t>
      </w:r>
    </w:p>
    <w:p w:rsidR="005C664D" w:rsidRPr="003F3B94" w:rsidRDefault="00EF2588" w:rsidP="003F3B94">
      <w:pPr>
        <w:pStyle w:val="a0"/>
        <w:rPr>
          <w:rFonts w:hint="cs"/>
          <w:rtl/>
        </w:rPr>
      </w:pPr>
      <w:r w:rsidRPr="003F3B94">
        <w:rPr>
          <w:rFonts w:ascii="Abo-thar" w:hAnsi="Abo-thar" w:hint="cs"/>
          <w:sz w:val="28"/>
          <w:rtl/>
        </w:rPr>
        <w:t>«</w:t>
      </w:r>
      <w:r w:rsidR="005C664D" w:rsidRPr="003F3B94">
        <w:rPr>
          <w:rFonts w:ascii="Abo-thar" w:hAnsi="Abo-thar"/>
          <w:b/>
          <w:bCs/>
          <w:sz w:val="28"/>
          <w:rtl/>
        </w:rPr>
        <w:t>لا أشك إذا وجد الرجل الركاز ذهبا</w:t>
      </w:r>
      <w:r w:rsidR="005C664D" w:rsidRPr="003F3B94">
        <w:rPr>
          <w:rFonts w:ascii="Abo-thar" w:hAnsi="Abo-thar" w:hint="cs"/>
          <w:b/>
          <w:bCs/>
          <w:sz w:val="28"/>
          <w:rtl/>
        </w:rPr>
        <w:t>ً</w:t>
      </w:r>
      <w:r w:rsidR="005C664D" w:rsidRPr="003F3B94">
        <w:rPr>
          <w:rFonts w:ascii="Abo-thar" w:hAnsi="Abo-thar"/>
          <w:b/>
          <w:bCs/>
          <w:sz w:val="28"/>
          <w:rtl/>
        </w:rPr>
        <w:t xml:space="preserve"> أو ورقا</w:t>
      </w:r>
      <w:r w:rsidR="005C664D" w:rsidRPr="003F3B94">
        <w:rPr>
          <w:rFonts w:ascii="Abo-thar" w:hAnsi="Abo-thar" w:hint="cs"/>
          <w:b/>
          <w:bCs/>
          <w:sz w:val="28"/>
          <w:rtl/>
        </w:rPr>
        <w:t>ً</w:t>
      </w:r>
      <w:r w:rsidR="005C664D" w:rsidRPr="003F3B94">
        <w:rPr>
          <w:rFonts w:ascii="Abo-thar" w:hAnsi="Abo-thar"/>
          <w:b/>
          <w:bCs/>
          <w:sz w:val="28"/>
          <w:rtl/>
        </w:rPr>
        <w:t xml:space="preserve"> وبلغ ما يجد منه ما تجب فيه الزكاة أن زكاته الخُمس</w:t>
      </w:r>
      <w:r w:rsidRPr="003F3B94">
        <w:rPr>
          <w:rFonts w:ascii="Abo-thar" w:hAnsi="Abo-thar" w:hint="cs"/>
          <w:sz w:val="28"/>
          <w:rtl/>
        </w:rPr>
        <w:t>»</w:t>
      </w:r>
      <w:r w:rsidR="00217AB4" w:rsidRPr="003F3B94">
        <w:rPr>
          <w:rFonts w:ascii="Abo-thar" w:hAnsi="Abo-thar" w:hint="cs"/>
          <w:sz w:val="28"/>
          <w:rtl/>
        </w:rPr>
        <w:t>.</w:t>
      </w:r>
    </w:p>
    <w:p w:rsidR="005C664D" w:rsidRPr="003F3B94" w:rsidRDefault="005C664D" w:rsidP="003F3B94">
      <w:pPr>
        <w:pStyle w:val="a0"/>
        <w:rPr>
          <w:rFonts w:hint="cs"/>
          <w:rtl/>
        </w:rPr>
      </w:pPr>
      <w:r w:rsidRPr="003F3B94">
        <w:rPr>
          <w:rFonts w:ascii="Abo-thar" w:hAnsi="Abo-thar"/>
          <w:sz w:val="28"/>
          <w:rtl/>
        </w:rPr>
        <w:t>«</w:t>
      </w:r>
      <w:r w:rsidRPr="003F3B94">
        <w:rPr>
          <w:rFonts w:ascii="Abo-thar" w:hAnsi="Abo-thar" w:hint="cs"/>
          <w:b/>
          <w:bCs/>
          <w:sz w:val="28"/>
          <w:rtl/>
        </w:rPr>
        <w:t>أبو يوسف</w:t>
      </w:r>
      <w:r w:rsidRPr="003F3B94">
        <w:rPr>
          <w:rFonts w:ascii="Abo-thar" w:hAnsi="Abo-thar"/>
          <w:sz w:val="28"/>
          <w:rtl/>
        </w:rPr>
        <w:t>»</w:t>
      </w:r>
      <w:r w:rsidR="00217AB4" w:rsidRPr="0021507A">
        <w:rPr>
          <w:rStyle w:val="FootnoteReference"/>
          <w:rFonts w:cs="Arabic11 BT"/>
          <w:b/>
          <w:sz w:val="28"/>
          <w:rtl/>
        </w:rPr>
        <w:t>(</w:t>
      </w:r>
      <w:r w:rsidRPr="0021507A">
        <w:rPr>
          <w:rStyle w:val="FootnoteReference"/>
          <w:rFonts w:cs="Arabic11 BT"/>
          <w:b/>
          <w:sz w:val="28"/>
          <w:rtl/>
        </w:rPr>
        <w:footnoteReference w:id="236"/>
      </w:r>
      <w:r w:rsidR="00217AB4" w:rsidRPr="0021507A">
        <w:rPr>
          <w:rStyle w:val="FootnoteReference"/>
          <w:rFonts w:cs="Arabic11 BT"/>
          <w:b/>
          <w:sz w:val="28"/>
          <w:rtl/>
        </w:rPr>
        <w:t>)</w:t>
      </w:r>
      <w:r w:rsidRPr="003F3B94">
        <w:rPr>
          <w:sz w:val="28"/>
          <w:rtl/>
        </w:rPr>
        <w:t xml:space="preserve"> </w:t>
      </w:r>
      <w:r w:rsidRPr="003F3B94">
        <w:rPr>
          <w:rFonts w:ascii="Abo-thar" w:hAnsi="Abo-thar" w:hint="cs"/>
          <w:sz w:val="28"/>
          <w:rtl/>
        </w:rPr>
        <w:t>أيضاً كان من كبار فقهاء عصره وكان تلميذاً لأبي حنيفة ومعاصراً للأئمة الصادق والكاظم والرضا</w:t>
      </w:r>
      <w:r w:rsidR="00147857" w:rsidRPr="003F3B94">
        <w:rPr>
          <w:rFonts w:ascii="Abo-thar" w:hAnsi="Abo-thar" w:hint="cs"/>
          <w:sz w:val="28"/>
          <w:rtl/>
        </w:rPr>
        <w:t xml:space="preserve"> </w:t>
      </w:r>
      <w:r w:rsidR="00963EFD" w:rsidRPr="00963EFD">
        <w:rPr>
          <w:rFonts w:ascii="Abo-thar" w:hAnsi="Abo-thar" w:cs="CTraditional Arabic"/>
          <w:sz w:val="28"/>
          <w:rtl/>
        </w:rPr>
        <w:t>‡</w:t>
      </w:r>
      <w:r w:rsidR="00217AB4" w:rsidRPr="003F3B94">
        <w:rPr>
          <w:rFonts w:ascii="Abo-thar" w:hAnsi="Abo-thar"/>
          <w:sz w:val="28"/>
          <w:rtl/>
        </w:rPr>
        <w:t>،</w:t>
      </w:r>
      <w:r w:rsidRPr="003F3B94">
        <w:rPr>
          <w:rFonts w:ascii="Abo-thar" w:hAnsi="Abo-thar" w:hint="cs"/>
          <w:sz w:val="28"/>
          <w:rtl/>
        </w:rPr>
        <w:t xml:space="preserve"> وقال في كتابه </w:t>
      </w:r>
      <w:r w:rsidRPr="003F3B94">
        <w:rPr>
          <w:rFonts w:ascii="Abo-thar" w:hAnsi="Abo-thar"/>
          <w:sz w:val="28"/>
          <w:rtl/>
        </w:rPr>
        <w:t>«</w:t>
      </w:r>
      <w:r w:rsidRPr="003F3B94">
        <w:rPr>
          <w:rFonts w:ascii="Abo-thar" w:hAnsi="Abo-thar" w:hint="cs"/>
          <w:b/>
          <w:bCs/>
          <w:sz w:val="28"/>
          <w:rtl/>
        </w:rPr>
        <w:t>الخراج</w:t>
      </w:r>
      <w:r w:rsidRPr="003F3B94">
        <w:rPr>
          <w:rFonts w:ascii="Abo-thar" w:hAnsi="Abo-thar"/>
          <w:sz w:val="28"/>
          <w:rtl/>
        </w:rPr>
        <w:t>»</w:t>
      </w:r>
      <w:r w:rsidRPr="003F3B94">
        <w:rPr>
          <w:rFonts w:ascii="Abo-thar" w:hAnsi="Abo-thar" w:hint="cs"/>
          <w:sz w:val="28"/>
          <w:rtl/>
        </w:rPr>
        <w:t xml:space="preserve"> ما نصه</w:t>
      </w:r>
      <w:r w:rsidR="00217AB4" w:rsidRPr="003F3B94">
        <w:rPr>
          <w:rFonts w:ascii="Abo-thar" w:hAnsi="Abo-thar" w:hint="cs"/>
          <w:sz w:val="28"/>
          <w:rtl/>
        </w:rPr>
        <w:t>:</w:t>
      </w:r>
    </w:p>
    <w:p w:rsidR="005C664D" w:rsidRPr="003F3B94" w:rsidRDefault="00EF2588" w:rsidP="003F3B94">
      <w:pPr>
        <w:pStyle w:val="a0"/>
        <w:rPr>
          <w:rFonts w:hint="cs"/>
          <w:rtl/>
        </w:rPr>
      </w:pPr>
      <w:r w:rsidRPr="003F3B94">
        <w:rPr>
          <w:rFonts w:ascii="Abo-thar" w:hAnsi="Abo-thar" w:hint="cs"/>
          <w:sz w:val="28"/>
          <w:rtl/>
        </w:rPr>
        <w:t>«</w:t>
      </w:r>
      <w:r w:rsidR="005C664D" w:rsidRPr="003F3B94">
        <w:rPr>
          <w:rFonts w:ascii="Abo-thar" w:hAnsi="Abo-thar"/>
          <w:b/>
          <w:bCs/>
          <w:sz w:val="28"/>
          <w:rtl/>
        </w:rPr>
        <w:t>وكذلك كل ما أصيب في المعادن من الذهب والفضة والنحاس والحديد والرصاص</w:t>
      </w:r>
      <w:r w:rsidR="001E0DB7" w:rsidRPr="003F3B94">
        <w:rPr>
          <w:rFonts w:ascii="Abo-thar" w:hAnsi="Abo-thar"/>
          <w:b/>
          <w:bCs/>
          <w:sz w:val="28"/>
          <w:rtl/>
        </w:rPr>
        <w:t>،</w:t>
      </w:r>
      <w:r w:rsidR="005C664D" w:rsidRPr="003F3B94">
        <w:rPr>
          <w:rFonts w:ascii="Abo-thar" w:hAnsi="Abo-thar"/>
          <w:b/>
          <w:bCs/>
          <w:sz w:val="28"/>
          <w:rtl/>
        </w:rPr>
        <w:t xml:space="preserve"> فإن في ذلك الخُمس </w:t>
      </w:r>
      <w:r w:rsidR="00217AB4" w:rsidRPr="003F3B94">
        <w:rPr>
          <w:rFonts w:ascii="Abo-thar" w:hAnsi="Abo-thar"/>
          <w:b/>
          <w:bCs/>
          <w:sz w:val="28"/>
          <w:rtl/>
        </w:rPr>
        <w:t>-</w:t>
      </w:r>
      <w:r w:rsidR="005C664D" w:rsidRPr="003F3B94">
        <w:rPr>
          <w:rFonts w:ascii="Abo-thar" w:hAnsi="Abo-thar"/>
          <w:b/>
          <w:bCs/>
          <w:sz w:val="28"/>
          <w:rtl/>
        </w:rPr>
        <w:t xml:space="preserve"> في أرض العرب كان أو في أرض العجم </w:t>
      </w:r>
      <w:r w:rsidR="00217AB4" w:rsidRPr="003F3B94">
        <w:rPr>
          <w:rFonts w:ascii="Abo-thar" w:hAnsi="Abo-thar"/>
          <w:b/>
          <w:bCs/>
          <w:sz w:val="28"/>
          <w:rtl/>
        </w:rPr>
        <w:t>-</w:t>
      </w:r>
      <w:r w:rsidR="005C664D" w:rsidRPr="003F3B94">
        <w:rPr>
          <w:rFonts w:ascii="Abo-thar" w:hAnsi="Abo-thar"/>
          <w:b/>
          <w:bCs/>
          <w:sz w:val="28"/>
          <w:rtl/>
        </w:rPr>
        <w:t xml:space="preserve"> وخمسه الذي يوضع فيه مواضع الصدقات</w:t>
      </w:r>
      <w:r w:rsidR="00F456DF" w:rsidRPr="003F3B94">
        <w:rPr>
          <w:rFonts w:ascii="Abo-thar" w:hAnsi="Abo-thar"/>
          <w:b/>
          <w:bCs/>
          <w:sz w:val="28"/>
          <w:rtl/>
        </w:rPr>
        <w:t>»</w:t>
      </w:r>
      <w:r w:rsidR="00CB747D" w:rsidRPr="0021507A">
        <w:rPr>
          <w:rFonts w:ascii="Abo-thar" w:hAnsi="Abo-thar" w:cs="Arabic11 BT"/>
          <w:sz w:val="28"/>
          <w:vertAlign w:val="superscript"/>
          <w:rtl/>
        </w:rPr>
        <w:t>(</w:t>
      </w:r>
      <w:r w:rsidR="00CB747D" w:rsidRPr="0021507A">
        <w:rPr>
          <w:rStyle w:val="FootnoteReference"/>
          <w:rFonts w:ascii="Abo-thar" w:hAnsi="Abo-thar" w:cs="Arabic11 BT"/>
          <w:sz w:val="28"/>
          <w:rtl/>
        </w:rPr>
        <w:footnoteReference w:id="237"/>
      </w:r>
      <w:r w:rsidR="00CB747D" w:rsidRPr="0021507A">
        <w:rPr>
          <w:rFonts w:ascii="Abo-thar" w:hAnsi="Abo-thar" w:cs="Arabic11 BT"/>
          <w:sz w:val="28"/>
          <w:vertAlign w:val="superscript"/>
          <w:rtl/>
        </w:rPr>
        <w:t>)</w:t>
      </w:r>
      <w:r w:rsidR="00217AB4" w:rsidRPr="003F3B94">
        <w:rPr>
          <w:rFonts w:ascii="Abo-thar" w:hAnsi="Abo-thar" w:hint="cs"/>
          <w:sz w:val="28"/>
          <w:rtl/>
        </w:rPr>
        <w:t>.</w:t>
      </w:r>
    </w:p>
    <w:p w:rsidR="005C664D" w:rsidRPr="003F3B94" w:rsidRDefault="005C664D" w:rsidP="003F3B94">
      <w:pPr>
        <w:pStyle w:val="a0"/>
        <w:rPr>
          <w:rFonts w:hint="cs"/>
          <w:rtl/>
          <w:lang w:bidi="ar-SY"/>
        </w:rPr>
      </w:pPr>
      <w:r w:rsidRPr="003F3B94">
        <w:rPr>
          <w:rFonts w:ascii="Abo-thar" w:hAnsi="Abo-thar" w:hint="cs"/>
          <w:sz w:val="28"/>
          <w:rtl/>
        </w:rPr>
        <w:t xml:space="preserve">إذن حسب فتوى هذا الفقيه المعروف وقاضي القضاة الشهير في ذلك العصر فإن </w:t>
      </w:r>
      <w:r w:rsidRPr="003F3B94">
        <w:rPr>
          <w:rFonts w:ascii="Abo-thar" w:hAnsi="Abo-thar" w:hint="cs"/>
          <w:b/>
          <w:bCs/>
          <w:i/>
          <w:iCs/>
          <w:sz w:val="28"/>
          <w:rtl/>
        </w:rPr>
        <w:t>زكاة</w:t>
      </w:r>
      <w:r w:rsidRPr="003F3B94">
        <w:rPr>
          <w:rFonts w:ascii="Abo-thar" w:hAnsi="Abo-thar" w:hint="cs"/>
          <w:sz w:val="28"/>
          <w:rtl/>
        </w:rPr>
        <w:t xml:space="preserve"> المعادن من ذهب وفضة ونحاس وحديد ورصاص هي </w:t>
      </w:r>
      <w:r w:rsidRPr="003F3B94">
        <w:rPr>
          <w:rFonts w:ascii="Abo-thar" w:hAnsi="Abo-thar"/>
          <w:sz w:val="28"/>
          <w:rtl/>
        </w:rPr>
        <w:t>«</w:t>
      </w:r>
      <w:r w:rsidRPr="003F3B94">
        <w:rPr>
          <w:rFonts w:ascii="Abo-thar" w:hAnsi="Abo-thar" w:hint="cs"/>
          <w:b/>
          <w:bCs/>
          <w:sz w:val="28"/>
          <w:rtl/>
        </w:rPr>
        <w:t>الخُمُس</w:t>
      </w:r>
      <w:r w:rsidRPr="003F3B94">
        <w:rPr>
          <w:rFonts w:ascii="Abo-thar" w:hAnsi="Abo-thar"/>
          <w:sz w:val="28"/>
          <w:rtl/>
        </w:rPr>
        <w:t>»</w:t>
      </w:r>
      <w:r w:rsidR="00217AB4" w:rsidRPr="003F3B94">
        <w:rPr>
          <w:rFonts w:ascii="Abo-thar" w:hAnsi="Abo-thar" w:hint="cs"/>
          <w:sz w:val="28"/>
          <w:rtl/>
        </w:rPr>
        <w:t>.</w:t>
      </w:r>
    </w:p>
    <w:p w:rsidR="005C664D" w:rsidRPr="003F3B94" w:rsidRDefault="005C664D" w:rsidP="003F3B94">
      <w:pPr>
        <w:pStyle w:val="a0"/>
        <w:rPr>
          <w:rFonts w:hint="cs"/>
          <w:rtl/>
          <w:lang w:bidi="ar-SY"/>
        </w:rPr>
      </w:pPr>
      <w:r w:rsidRPr="003F3B94">
        <w:rPr>
          <w:rFonts w:ascii="Abo-thar" w:hAnsi="Abo-thar" w:hint="cs"/>
          <w:sz w:val="28"/>
          <w:rtl/>
          <w:lang w:bidi="ar-SY"/>
        </w:rPr>
        <w:t xml:space="preserve">وفي كتاب </w:t>
      </w:r>
      <w:r w:rsidRPr="003F3B94">
        <w:rPr>
          <w:rFonts w:ascii="Abo-thar" w:hAnsi="Abo-thar"/>
          <w:sz w:val="28"/>
          <w:rtl/>
          <w:lang w:bidi="ar-SY"/>
        </w:rPr>
        <w:t>«</w:t>
      </w:r>
      <w:r w:rsidRPr="003F3B94">
        <w:rPr>
          <w:rFonts w:ascii="Abo-thar" w:hAnsi="Abo-thar" w:hint="cs"/>
          <w:b/>
          <w:bCs/>
          <w:sz w:val="28"/>
          <w:rtl/>
          <w:lang w:bidi="ar-SY"/>
        </w:rPr>
        <w:t>المصنَّف</w:t>
      </w:r>
      <w:r w:rsidRPr="003F3B94">
        <w:rPr>
          <w:rFonts w:ascii="Abo-thar" w:hAnsi="Abo-thar"/>
          <w:sz w:val="28"/>
          <w:rtl/>
          <w:lang w:bidi="ar-SY"/>
        </w:rPr>
        <w:t>»</w:t>
      </w:r>
      <w:r w:rsidRPr="003F3B94">
        <w:rPr>
          <w:rFonts w:ascii="Abo-thar" w:hAnsi="Abo-thar" w:hint="cs"/>
          <w:sz w:val="28"/>
          <w:rtl/>
          <w:lang w:bidi="ar-SY"/>
        </w:rPr>
        <w:t xml:space="preserve"> تأليف عبد الرزاق بن همّام الصنعاني </w:t>
      </w:r>
      <w:r w:rsidR="00217AB4" w:rsidRPr="003F3B94">
        <w:rPr>
          <w:rFonts w:ascii="Abo-thar" w:hAnsi="Abo-thar" w:hint="cs"/>
          <w:sz w:val="28"/>
          <w:rtl/>
          <w:lang w:bidi="ar-SY"/>
        </w:rPr>
        <w:t>(</w:t>
      </w:r>
      <w:r w:rsidRPr="003F3B94">
        <w:rPr>
          <w:rFonts w:ascii="Abo-thar" w:hAnsi="Abo-thar" w:hint="cs"/>
          <w:sz w:val="28"/>
          <w:rtl/>
          <w:lang w:bidi="ar-SY"/>
        </w:rPr>
        <w:t>الذي يعد من أقدم الكتب الفقهية إذ إن مؤلفه ولد عام 126هـ وتوفي 211هـ</w:t>
      </w:r>
      <w:r w:rsidR="00217AB4" w:rsidRPr="003F3B94">
        <w:rPr>
          <w:rFonts w:ascii="Abo-thar" w:hAnsi="Abo-thar" w:hint="cs"/>
          <w:sz w:val="28"/>
          <w:rtl/>
          <w:lang w:bidi="ar-SY"/>
        </w:rPr>
        <w:t>،</w:t>
      </w:r>
      <w:r w:rsidRPr="003F3B94">
        <w:rPr>
          <w:rFonts w:ascii="Abo-thar" w:hAnsi="Abo-thar" w:hint="cs"/>
          <w:sz w:val="28"/>
          <w:rtl/>
          <w:lang w:bidi="ar-SY"/>
        </w:rPr>
        <w:t xml:space="preserve"> وهو </w:t>
      </w:r>
      <w:r w:rsidR="00217AB4" w:rsidRPr="003F3B94">
        <w:rPr>
          <w:rFonts w:ascii="Abo-thar" w:hAnsi="Abo-thar" w:hint="cs"/>
          <w:sz w:val="28"/>
          <w:rtl/>
          <w:lang w:bidi="ar-SY"/>
        </w:rPr>
        <w:t>-</w:t>
      </w:r>
      <w:r w:rsidRPr="003F3B94">
        <w:rPr>
          <w:rFonts w:ascii="Abo-thar" w:hAnsi="Abo-thar" w:hint="cs"/>
          <w:sz w:val="28"/>
          <w:rtl/>
          <w:lang w:bidi="ar-SY"/>
        </w:rPr>
        <w:t xml:space="preserve"> بتصريح علماء الرجال الشيعة </w:t>
      </w:r>
      <w:r w:rsidRPr="003F3B94">
        <w:rPr>
          <w:rFonts w:cs="Times New Roman" w:hint="cs"/>
          <w:sz w:val="28"/>
          <w:rtl/>
          <w:lang w:bidi="ar-SY"/>
        </w:rPr>
        <w:t>–</w:t>
      </w:r>
      <w:r w:rsidRPr="003F3B94">
        <w:rPr>
          <w:rFonts w:ascii="Abo-thar" w:hAnsi="Abo-thar" w:hint="cs"/>
          <w:sz w:val="28"/>
          <w:rtl/>
          <w:lang w:bidi="ar-SY"/>
        </w:rPr>
        <w:t xml:space="preserve"> شيعيّ المذهب</w:t>
      </w:r>
      <w:r w:rsidR="00217AB4" w:rsidRPr="003F3B94">
        <w:rPr>
          <w:rFonts w:ascii="Abo-thar" w:hAnsi="Abo-thar" w:hint="cs"/>
          <w:sz w:val="28"/>
          <w:rtl/>
          <w:lang w:bidi="ar-SY"/>
        </w:rPr>
        <w:t>)</w:t>
      </w:r>
      <w:r w:rsidR="00CB747D" w:rsidRPr="003F3B94">
        <w:rPr>
          <w:rFonts w:ascii="Abo-thar" w:hAnsi="Abo-thar" w:hint="cs"/>
          <w:sz w:val="28"/>
          <w:rtl/>
          <w:lang w:bidi="ar-SY"/>
        </w:rPr>
        <w:t xml:space="preserve"> </w:t>
      </w:r>
      <w:r w:rsidRPr="003F3B94">
        <w:rPr>
          <w:rFonts w:ascii="Abo-thar" w:hAnsi="Abo-thar" w:hint="cs"/>
          <w:sz w:val="28"/>
          <w:rtl/>
          <w:lang w:bidi="ar-SY"/>
        </w:rPr>
        <w:t xml:space="preserve">جاء أن زكاة المعادن ونحوها هو </w:t>
      </w:r>
      <w:r w:rsidRPr="003F3B94">
        <w:rPr>
          <w:rFonts w:ascii="Abo-thar" w:hAnsi="Abo-thar"/>
          <w:sz w:val="28"/>
          <w:rtl/>
          <w:lang w:bidi="ar-SY"/>
        </w:rPr>
        <w:t>«الخُمُس»</w:t>
      </w:r>
      <w:r w:rsidR="00217AB4" w:rsidRPr="0021507A">
        <w:rPr>
          <w:rStyle w:val="FootnoteReference"/>
          <w:rFonts w:cs="Arabic11 BT"/>
          <w:b/>
          <w:sz w:val="28"/>
          <w:rtl/>
          <w:lang w:bidi="ar-SY"/>
        </w:rPr>
        <w:t>(</w:t>
      </w:r>
      <w:r w:rsidRPr="0021507A">
        <w:rPr>
          <w:rStyle w:val="FootnoteReference"/>
          <w:rFonts w:cs="Arabic11 BT"/>
          <w:b/>
          <w:sz w:val="28"/>
          <w:rtl/>
          <w:lang w:bidi="ar-SY"/>
        </w:rPr>
        <w:footnoteReference w:id="238"/>
      </w:r>
      <w:r w:rsidR="00217AB4" w:rsidRPr="0021507A">
        <w:rPr>
          <w:rStyle w:val="FootnoteReference"/>
          <w:rFonts w:cs="Arabic11 BT"/>
          <w:b/>
          <w:sz w:val="28"/>
          <w:rtl/>
          <w:lang w:bidi="ar-SY"/>
        </w:rPr>
        <w:t>)</w:t>
      </w:r>
      <w:r w:rsidR="00217AB4" w:rsidRPr="003F3B94">
        <w:rPr>
          <w:rFonts w:ascii="Abo-thar" w:hAnsi="Abo-thar" w:hint="cs"/>
          <w:sz w:val="28"/>
          <w:rtl/>
          <w:lang w:bidi="ar-SY"/>
        </w:rPr>
        <w:t>.</w:t>
      </w:r>
    </w:p>
    <w:p w:rsidR="005C664D" w:rsidRPr="003F3B94" w:rsidRDefault="005C664D" w:rsidP="003F3B94">
      <w:pPr>
        <w:pStyle w:val="a0"/>
        <w:rPr>
          <w:rFonts w:hint="cs"/>
          <w:rtl/>
          <w:lang w:bidi="ar-SY"/>
        </w:rPr>
      </w:pPr>
      <w:r w:rsidRPr="003F3B94">
        <w:rPr>
          <w:rFonts w:ascii="Abo-thar" w:hAnsi="Abo-thar" w:hint="cs"/>
          <w:sz w:val="28"/>
          <w:rtl/>
          <w:lang w:bidi="ar-SY"/>
        </w:rPr>
        <w:t>بهذا يتضح أن أجوبة الأئمة</w:t>
      </w:r>
      <w:r w:rsidR="00147857" w:rsidRPr="003F3B94">
        <w:rPr>
          <w:rFonts w:ascii="Abo-thar" w:hAnsi="Abo-thar" w:hint="cs"/>
          <w:sz w:val="28"/>
          <w:rtl/>
          <w:lang w:bidi="ar-SY"/>
        </w:rPr>
        <w:t xml:space="preserve"> </w:t>
      </w:r>
      <w:r w:rsidR="00963EFD" w:rsidRPr="00963EFD">
        <w:rPr>
          <w:rFonts w:ascii="Abo-thar" w:hAnsi="Abo-thar" w:cs="CTraditional Arabic"/>
          <w:sz w:val="28"/>
          <w:rtl/>
          <w:lang w:bidi="ar-SY"/>
        </w:rPr>
        <w:t>‡</w:t>
      </w:r>
      <w:r w:rsidR="00147857" w:rsidRPr="003F3B94">
        <w:rPr>
          <w:rFonts w:ascii="Abo-thar" w:hAnsi="Abo-thar"/>
          <w:sz w:val="28"/>
          <w:rtl/>
          <w:lang w:bidi="ar-SY"/>
        </w:rPr>
        <w:t xml:space="preserve"> </w:t>
      </w:r>
      <w:r w:rsidRPr="003F3B94">
        <w:rPr>
          <w:rFonts w:ascii="Abo-thar" w:hAnsi="Abo-thar" w:hint="cs"/>
          <w:sz w:val="28"/>
          <w:rtl/>
          <w:lang w:bidi="ar-SY"/>
        </w:rPr>
        <w:t>التي كانوا يدلون بها لسائليهم حول هذه المسائل في مثل ذلك العصر</w:t>
      </w:r>
      <w:r w:rsidR="00147857" w:rsidRPr="003F3B94">
        <w:rPr>
          <w:rFonts w:ascii="Abo-thar" w:hAnsi="Abo-thar" w:hint="cs"/>
          <w:sz w:val="28"/>
          <w:rtl/>
          <w:lang w:bidi="ar-SY"/>
        </w:rPr>
        <w:t xml:space="preserve"> </w:t>
      </w:r>
      <w:r w:rsidRPr="003F3B94">
        <w:rPr>
          <w:rFonts w:ascii="Abo-thar" w:hAnsi="Abo-thar" w:hint="cs"/>
          <w:sz w:val="28"/>
          <w:rtl/>
          <w:lang w:bidi="ar-SY"/>
        </w:rPr>
        <w:t xml:space="preserve">إنما كانت منطبقة مع الفتاوى المشهورة والمعروفة في ذلك الزمن بأن زكاة المعادن هي </w:t>
      </w:r>
      <w:r w:rsidRPr="003F3B94">
        <w:rPr>
          <w:rFonts w:ascii="Abo-thar" w:hAnsi="Abo-thar"/>
          <w:sz w:val="28"/>
          <w:rtl/>
          <w:lang w:bidi="ar-SY"/>
        </w:rPr>
        <w:t>«</w:t>
      </w:r>
      <w:r w:rsidRPr="003F3B94">
        <w:rPr>
          <w:rFonts w:ascii="Abo-thar" w:hAnsi="Abo-thar"/>
          <w:b/>
          <w:bCs/>
          <w:sz w:val="28"/>
          <w:rtl/>
          <w:lang w:bidi="ar-SY"/>
        </w:rPr>
        <w:t>الخُمُس</w:t>
      </w:r>
      <w:r w:rsidRPr="003F3B94">
        <w:rPr>
          <w:rFonts w:ascii="Abo-thar" w:hAnsi="Abo-thar"/>
          <w:sz w:val="28"/>
          <w:rtl/>
          <w:lang w:bidi="ar-SY"/>
        </w:rPr>
        <w:t>»</w:t>
      </w:r>
      <w:r w:rsidR="00CB747D" w:rsidRPr="003F3B94">
        <w:rPr>
          <w:rFonts w:ascii="Abo-thar" w:hAnsi="Abo-thar" w:hint="cs"/>
          <w:sz w:val="28"/>
          <w:rtl/>
          <w:lang w:bidi="ar-SY"/>
        </w:rPr>
        <w:t xml:space="preserve"> وأن مصارفه هي مصار</w:t>
      </w:r>
      <w:r w:rsidRPr="003F3B94">
        <w:rPr>
          <w:rFonts w:ascii="Abo-thar" w:hAnsi="Abo-thar" w:hint="cs"/>
          <w:sz w:val="28"/>
          <w:rtl/>
          <w:lang w:bidi="ar-SY"/>
        </w:rPr>
        <w:t>ف الزكاة</w:t>
      </w:r>
      <w:r w:rsidR="00217AB4" w:rsidRPr="003F3B94">
        <w:rPr>
          <w:rFonts w:ascii="Abo-thar" w:hAnsi="Abo-thar" w:hint="cs"/>
          <w:sz w:val="28"/>
          <w:rtl/>
          <w:lang w:bidi="ar-SY"/>
        </w:rPr>
        <w:t>،</w:t>
      </w:r>
      <w:r w:rsidRPr="003F3B94">
        <w:rPr>
          <w:rFonts w:ascii="Abo-thar" w:hAnsi="Abo-thar" w:hint="cs"/>
          <w:sz w:val="28"/>
          <w:rtl/>
          <w:lang w:bidi="ar-SY"/>
        </w:rPr>
        <w:t xml:space="preserve"> والأسباب الدافعة لطرح تلك الأسئلة ه</w:t>
      </w:r>
      <w:r w:rsidR="00CB747D" w:rsidRPr="003F3B94">
        <w:rPr>
          <w:rFonts w:ascii="Abo-thar" w:hAnsi="Abo-thar" w:hint="cs"/>
          <w:sz w:val="28"/>
          <w:rtl/>
          <w:lang w:bidi="ar-SY"/>
        </w:rPr>
        <w:t>ي</w:t>
      </w:r>
      <w:r w:rsidRPr="003F3B94">
        <w:rPr>
          <w:rFonts w:ascii="Abo-thar" w:hAnsi="Abo-thar" w:hint="cs"/>
          <w:sz w:val="28"/>
          <w:rtl/>
          <w:lang w:bidi="ar-SY"/>
        </w:rPr>
        <w:t xml:space="preserve"> الاختلاف الموجود بين الفقهاء في هذا المجال</w:t>
      </w:r>
      <w:r w:rsidR="00CB747D" w:rsidRPr="003F3B94">
        <w:rPr>
          <w:rFonts w:ascii="Abo-thar" w:hAnsi="Abo-thar" w:hint="cs"/>
          <w:sz w:val="28"/>
          <w:rtl/>
          <w:lang w:bidi="ar-SY"/>
        </w:rPr>
        <w:t>،</w:t>
      </w:r>
      <w:r w:rsidRPr="003F3B94">
        <w:rPr>
          <w:rFonts w:ascii="Abo-thar" w:hAnsi="Abo-thar" w:hint="cs"/>
          <w:sz w:val="28"/>
          <w:rtl/>
          <w:lang w:bidi="ar-SY"/>
        </w:rPr>
        <w:t xml:space="preserve"> لذا كان الشيعة وأصحاب الأئمة يرجعون إليهم [ليستطلعوا الرأي الصحيح في الموضوع]</w:t>
      </w:r>
      <w:r w:rsidR="00217AB4" w:rsidRPr="003F3B94">
        <w:rPr>
          <w:rFonts w:ascii="Abo-thar" w:hAnsi="Abo-thar" w:hint="cs"/>
          <w:sz w:val="28"/>
          <w:rtl/>
          <w:lang w:bidi="ar-SY"/>
        </w:rPr>
        <w:t>،</w:t>
      </w:r>
      <w:r w:rsidRPr="003F3B94">
        <w:rPr>
          <w:rFonts w:ascii="Abo-thar" w:hAnsi="Abo-thar" w:hint="cs"/>
          <w:sz w:val="28"/>
          <w:rtl/>
          <w:lang w:bidi="ar-SY"/>
        </w:rPr>
        <w:t xml:space="preserve"> وكان الأئمة</w:t>
      </w:r>
      <w:r w:rsidR="00147857" w:rsidRPr="003F3B94">
        <w:rPr>
          <w:rFonts w:ascii="Abo-thar" w:hAnsi="Abo-thar" w:hint="cs"/>
          <w:sz w:val="28"/>
          <w:rtl/>
          <w:lang w:bidi="ar-SY"/>
        </w:rPr>
        <w:t xml:space="preserve"> </w:t>
      </w:r>
      <w:r w:rsidR="00963EFD" w:rsidRPr="00963EFD">
        <w:rPr>
          <w:rFonts w:ascii="Abo-thar" w:hAnsi="Abo-thar" w:cs="CTraditional Arabic"/>
          <w:sz w:val="28"/>
          <w:rtl/>
          <w:lang w:bidi="ar-SY"/>
        </w:rPr>
        <w:t>‡</w:t>
      </w:r>
      <w:r w:rsidR="00147857" w:rsidRPr="003F3B94">
        <w:rPr>
          <w:rFonts w:ascii="Abo-thar" w:hAnsi="Abo-thar"/>
          <w:sz w:val="28"/>
          <w:rtl/>
          <w:lang w:bidi="ar-SY"/>
        </w:rPr>
        <w:t xml:space="preserve"> </w:t>
      </w:r>
      <w:r w:rsidRPr="003F3B94">
        <w:rPr>
          <w:rFonts w:ascii="Abo-thar" w:hAnsi="Abo-thar" w:hint="cs"/>
          <w:sz w:val="28"/>
          <w:rtl/>
          <w:lang w:bidi="ar-SY"/>
        </w:rPr>
        <w:t>يجيبون بالحكم عينه</w:t>
      </w:r>
      <w:r w:rsidR="00CB747D" w:rsidRPr="003F3B94">
        <w:rPr>
          <w:rFonts w:ascii="Abo-thar" w:hAnsi="Abo-thar" w:hint="cs"/>
          <w:sz w:val="28"/>
          <w:rtl/>
          <w:lang w:bidi="ar-SY"/>
        </w:rPr>
        <w:t>،</w:t>
      </w:r>
      <w:r w:rsidRPr="003F3B94">
        <w:rPr>
          <w:rFonts w:ascii="Abo-thar" w:hAnsi="Abo-thar" w:hint="cs"/>
          <w:sz w:val="28"/>
          <w:rtl/>
          <w:lang w:bidi="ar-SY"/>
        </w:rPr>
        <w:t xml:space="preserve"> أي بأن في المعادن </w:t>
      </w:r>
      <w:r w:rsidRPr="003F3B94">
        <w:rPr>
          <w:rFonts w:ascii="Abo-thar" w:hAnsi="Abo-thar"/>
          <w:sz w:val="28"/>
          <w:rtl/>
          <w:lang w:bidi="ar-SY"/>
        </w:rPr>
        <w:t>«</w:t>
      </w:r>
      <w:r w:rsidRPr="003F3B94">
        <w:rPr>
          <w:rFonts w:ascii="Abo-thar" w:hAnsi="Abo-thar"/>
          <w:b/>
          <w:bCs/>
          <w:sz w:val="28"/>
          <w:rtl/>
          <w:lang w:bidi="ar-SY"/>
        </w:rPr>
        <w:t>الخُمُس</w:t>
      </w:r>
      <w:r w:rsidRPr="003F3B94">
        <w:rPr>
          <w:rFonts w:ascii="Abo-thar" w:hAnsi="Abo-thar"/>
          <w:sz w:val="28"/>
          <w:rtl/>
          <w:lang w:bidi="ar-SY"/>
        </w:rPr>
        <w:t>»</w:t>
      </w:r>
      <w:r w:rsidR="00CB747D" w:rsidRPr="003F3B94">
        <w:rPr>
          <w:rFonts w:ascii="Abo-thar" w:hAnsi="Abo-thar" w:hint="cs"/>
          <w:sz w:val="28"/>
          <w:rtl/>
          <w:lang w:bidi="ar-SY"/>
        </w:rPr>
        <w:t>،</w:t>
      </w:r>
      <w:r w:rsidRPr="003F3B94">
        <w:rPr>
          <w:rFonts w:ascii="Abo-thar" w:hAnsi="Abo-thar" w:hint="cs"/>
          <w:sz w:val="28"/>
          <w:rtl/>
          <w:lang w:bidi="ar-SY"/>
        </w:rPr>
        <w:t xml:space="preserve"> أي أن زكاة المعادن هي خُمُسها</w:t>
      </w:r>
      <w:r w:rsidR="00217AB4" w:rsidRPr="003F3B94">
        <w:rPr>
          <w:rFonts w:ascii="Abo-thar" w:hAnsi="Abo-thar" w:hint="cs"/>
          <w:sz w:val="28"/>
          <w:rtl/>
          <w:lang w:bidi="ar-SY"/>
        </w:rPr>
        <w:t>،</w:t>
      </w:r>
      <w:r w:rsidRPr="003F3B94">
        <w:rPr>
          <w:rFonts w:ascii="Abo-thar" w:hAnsi="Abo-thar" w:hint="cs"/>
          <w:sz w:val="28"/>
          <w:rtl/>
          <w:lang w:bidi="ar-SY"/>
        </w:rPr>
        <w:t xml:space="preserve"> وأمثال ذلك من الأجوبة</w:t>
      </w:r>
      <w:r w:rsidR="00217AB4" w:rsidRPr="003F3B94">
        <w:rPr>
          <w:rFonts w:ascii="Abo-thar" w:hAnsi="Abo-thar" w:hint="cs"/>
          <w:sz w:val="28"/>
          <w:rtl/>
          <w:lang w:bidi="ar-SY"/>
        </w:rPr>
        <w:t>!</w:t>
      </w:r>
    </w:p>
    <w:p w:rsidR="005C664D" w:rsidRPr="003F3B94" w:rsidRDefault="005C664D" w:rsidP="003F3B94">
      <w:pPr>
        <w:pStyle w:val="a0"/>
        <w:rPr>
          <w:rFonts w:hint="cs"/>
          <w:rtl/>
          <w:lang w:bidi="ar-SY"/>
        </w:rPr>
      </w:pPr>
      <w:r w:rsidRPr="003F3B94">
        <w:rPr>
          <w:rFonts w:ascii="Abo-thar" w:hAnsi="Abo-thar" w:hint="cs"/>
          <w:sz w:val="28"/>
          <w:rtl/>
          <w:lang w:bidi="ar-SY"/>
        </w:rPr>
        <w:t>فموضوع زكاة المعادن لم يكن بالموضوع الجديد بل كان موجوداً منذ بداية تشريع الزكاة زمن حضرة النبي الخاتم</w:t>
      </w:r>
      <w:r w:rsidR="00147857" w:rsidRPr="003F3B94">
        <w:rPr>
          <w:rFonts w:ascii="Abo-thar" w:hAnsi="Abo-thar" w:hint="cs"/>
          <w:sz w:val="28"/>
          <w:rtl/>
          <w:lang w:bidi="ar-SY"/>
        </w:rPr>
        <w:t xml:space="preserve"> </w:t>
      </w:r>
      <w:r w:rsidR="003C7AEB" w:rsidRPr="003C7AEB">
        <w:rPr>
          <w:rFonts w:ascii="Abo-thar" w:hAnsi="Abo-thar" w:cs="CTraditional Arabic"/>
          <w:sz w:val="28"/>
          <w:rtl/>
          <w:lang w:bidi="ar-SY"/>
        </w:rPr>
        <w:t>ص</w:t>
      </w:r>
      <w:r w:rsidR="00147857" w:rsidRPr="003F3B94">
        <w:rPr>
          <w:rFonts w:ascii="Abo-thar" w:hAnsi="Abo-thar"/>
          <w:sz w:val="28"/>
          <w:rtl/>
          <w:lang w:bidi="ar-SY"/>
        </w:rPr>
        <w:t xml:space="preserve"> </w:t>
      </w:r>
      <w:r w:rsidRPr="003F3B94">
        <w:rPr>
          <w:rFonts w:ascii="Abo-thar" w:hAnsi="Abo-thar" w:hint="cs"/>
          <w:sz w:val="28"/>
          <w:rtl/>
          <w:lang w:bidi="ar-SY"/>
        </w:rPr>
        <w:t>حيث كان وجوده الشريف يتصدى لأخذ هذا الخُمس بنفسه</w:t>
      </w:r>
      <w:r w:rsidR="00217AB4" w:rsidRPr="003F3B94">
        <w:rPr>
          <w:rFonts w:ascii="Abo-thar" w:hAnsi="Abo-thar" w:hint="cs"/>
          <w:sz w:val="28"/>
          <w:rtl/>
          <w:lang w:bidi="ar-SY"/>
        </w:rPr>
        <w:t>.</w:t>
      </w:r>
      <w:r w:rsidRPr="003F3B94">
        <w:rPr>
          <w:rFonts w:ascii="Abo-thar" w:hAnsi="Abo-thar" w:hint="cs"/>
          <w:sz w:val="28"/>
          <w:rtl/>
          <w:lang w:bidi="ar-SY"/>
        </w:rPr>
        <w:t xml:space="preserve"> كما مر معنا ذلك في كتاب </w:t>
      </w:r>
      <w:r w:rsidRPr="003F3B94">
        <w:rPr>
          <w:rFonts w:ascii="Abo-thar" w:hAnsi="Abo-thar"/>
          <w:sz w:val="28"/>
          <w:rtl/>
          <w:lang w:bidi="ar-SY"/>
        </w:rPr>
        <w:t>«</w:t>
      </w:r>
      <w:r w:rsidRPr="003F3B94">
        <w:rPr>
          <w:rFonts w:ascii="Abo-thar" w:hAnsi="Abo-thar" w:hint="cs"/>
          <w:sz w:val="28"/>
          <w:rtl/>
          <w:lang w:bidi="ar-SY"/>
        </w:rPr>
        <w:t>الزكاة</w:t>
      </w:r>
      <w:r w:rsidRPr="003F3B94">
        <w:rPr>
          <w:rFonts w:ascii="Abo-thar" w:hAnsi="Abo-thar"/>
          <w:sz w:val="28"/>
          <w:rtl/>
          <w:lang w:bidi="ar-SY"/>
        </w:rPr>
        <w:t>»</w:t>
      </w:r>
      <w:r w:rsidRPr="003F3B94">
        <w:rPr>
          <w:rFonts w:ascii="Abo-thar" w:hAnsi="Abo-thar" w:hint="cs"/>
          <w:sz w:val="28"/>
          <w:rtl/>
          <w:lang w:bidi="ar-SY"/>
        </w:rPr>
        <w:t xml:space="preserve"> في شرح زكاة المعادن لبلال الحارث وكما تعكس ذلك كتب الفقهاء القدامى التي كتبوها بأيديهم والتي لا</w:t>
      </w:r>
      <w:r w:rsidRPr="003F3B94">
        <w:rPr>
          <w:rFonts w:cs="Times New Roman" w:hint="cs"/>
          <w:sz w:val="28"/>
          <w:rtl/>
          <w:lang w:bidi="ar-SY"/>
        </w:rPr>
        <w:t> </w:t>
      </w:r>
      <w:r w:rsidRPr="003F3B94">
        <w:rPr>
          <w:rFonts w:ascii="Abo-thar" w:hAnsi="Abo-thar" w:hint="cs"/>
          <w:sz w:val="28"/>
          <w:rtl/>
          <w:lang w:bidi="ar-SY"/>
        </w:rPr>
        <w:t xml:space="preserve">تزال موجودة إلى اليوم مثل كتاب </w:t>
      </w:r>
      <w:r w:rsidRPr="003F3B94">
        <w:rPr>
          <w:rFonts w:ascii="Abo-thar" w:hAnsi="Abo-thar"/>
          <w:sz w:val="28"/>
          <w:rtl/>
          <w:lang w:bidi="ar-SY"/>
        </w:rPr>
        <w:t>«</w:t>
      </w:r>
      <w:r w:rsidRPr="003F3B94">
        <w:rPr>
          <w:rFonts w:ascii="Abo-thar" w:hAnsi="Abo-thar" w:hint="cs"/>
          <w:sz w:val="28"/>
          <w:rtl/>
          <w:lang w:bidi="ar-SY"/>
        </w:rPr>
        <w:t>الموطأ</w:t>
      </w:r>
      <w:r w:rsidRPr="003F3B94">
        <w:rPr>
          <w:rFonts w:ascii="Abo-thar" w:hAnsi="Abo-thar"/>
          <w:sz w:val="28"/>
          <w:rtl/>
          <w:lang w:bidi="ar-SY"/>
        </w:rPr>
        <w:t>»</w:t>
      </w:r>
      <w:r w:rsidRPr="003F3B94">
        <w:rPr>
          <w:rFonts w:ascii="Abo-thar" w:hAnsi="Abo-thar" w:hint="cs"/>
          <w:sz w:val="28"/>
          <w:rtl/>
          <w:lang w:bidi="ar-SY"/>
        </w:rPr>
        <w:t xml:space="preserve"> لمالك</w:t>
      </w:r>
      <w:r w:rsidR="00217AB4" w:rsidRPr="003F3B94">
        <w:rPr>
          <w:rFonts w:ascii="Abo-thar" w:hAnsi="Abo-thar" w:hint="cs"/>
          <w:sz w:val="28"/>
          <w:rtl/>
          <w:lang w:bidi="ar-SY"/>
        </w:rPr>
        <w:t>،</w:t>
      </w:r>
      <w:r w:rsidRPr="003F3B94">
        <w:rPr>
          <w:rFonts w:ascii="Abo-thar" w:hAnsi="Abo-thar" w:hint="cs"/>
          <w:sz w:val="28"/>
          <w:rtl/>
          <w:lang w:bidi="ar-SY"/>
        </w:rPr>
        <w:t xml:space="preserve"> وكتاب </w:t>
      </w:r>
      <w:r w:rsidRPr="003F3B94">
        <w:rPr>
          <w:rFonts w:ascii="Abo-thar" w:hAnsi="Abo-thar"/>
          <w:sz w:val="28"/>
          <w:rtl/>
          <w:lang w:bidi="ar-SY"/>
        </w:rPr>
        <w:t>«</w:t>
      </w:r>
      <w:r w:rsidRPr="003F3B94">
        <w:rPr>
          <w:rFonts w:ascii="Abo-thar" w:hAnsi="Abo-thar" w:hint="cs"/>
          <w:sz w:val="28"/>
          <w:rtl/>
          <w:lang w:bidi="ar-SY"/>
        </w:rPr>
        <w:t>الأم</w:t>
      </w:r>
      <w:r w:rsidRPr="003F3B94">
        <w:rPr>
          <w:rFonts w:ascii="Abo-thar" w:hAnsi="Abo-thar"/>
          <w:sz w:val="28"/>
          <w:rtl/>
          <w:lang w:bidi="ar-SY"/>
        </w:rPr>
        <w:t>»</w:t>
      </w:r>
      <w:r w:rsidRPr="003F3B94">
        <w:rPr>
          <w:rFonts w:ascii="Abo-thar" w:hAnsi="Abo-thar" w:hint="cs"/>
          <w:sz w:val="28"/>
          <w:rtl/>
          <w:lang w:bidi="ar-SY"/>
        </w:rPr>
        <w:t xml:space="preserve"> للشافعي</w:t>
      </w:r>
      <w:r w:rsidR="00217AB4" w:rsidRPr="0021507A">
        <w:rPr>
          <w:rStyle w:val="FootnoteReference"/>
          <w:rFonts w:cs="Arabic11 BT"/>
          <w:b/>
          <w:sz w:val="28"/>
          <w:rtl/>
          <w:lang w:bidi="ar-SY"/>
        </w:rPr>
        <w:t>(</w:t>
      </w:r>
      <w:r w:rsidRPr="0021507A">
        <w:rPr>
          <w:rStyle w:val="FootnoteReference"/>
          <w:rFonts w:cs="Arabic11 BT"/>
          <w:b/>
          <w:sz w:val="28"/>
          <w:rtl/>
          <w:lang w:bidi="ar-SY"/>
        </w:rPr>
        <w:footnoteReference w:id="239"/>
      </w:r>
      <w:r w:rsidR="00217AB4" w:rsidRPr="0021507A">
        <w:rPr>
          <w:rStyle w:val="FootnoteReference"/>
          <w:rFonts w:cs="Arabic11 BT"/>
          <w:b/>
          <w:sz w:val="28"/>
          <w:rtl/>
          <w:lang w:bidi="ar-SY"/>
        </w:rPr>
        <w:t>)</w:t>
      </w:r>
      <w:r w:rsidRPr="003F3B94">
        <w:rPr>
          <w:rFonts w:ascii="Abo-thar" w:hAnsi="Abo-thar" w:hint="cs"/>
          <w:sz w:val="28"/>
          <w:rtl/>
          <w:lang w:bidi="ar-SY"/>
        </w:rPr>
        <w:t xml:space="preserve"> الذي يصرح بأن زكاة المعادن كانت الخُمس</w:t>
      </w:r>
      <w:r w:rsidR="00217AB4" w:rsidRPr="003F3B94">
        <w:rPr>
          <w:rFonts w:ascii="Abo-thar" w:hAnsi="Abo-thar" w:hint="cs"/>
          <w:sz w:val="28"/>
          <w:rtl/>
          <w:lang w:bidi="ar-SY"/>
        </w:rPr>
        <w:t>،</w:t>
      </w:r>
      <w:r w:rsidRPr="003F3B94">
        <w:rPr>
          <w:rFonts w:ascii="Abo-thar" w:hAnsi="Abo-thar" w:hint="cs"/>
          <w:sz w:val="28"/>
          <w:rtl/>
          <w:lang w:bidi="ar-SY"/>
        </w:rPr>
        <w:t xml:space="preserve"> وس</w:t>
      </w:r>
      <w:r w:rsidR="00CB747D" w:rsidRPr="003F3B94">
        <w:rPr>
          <w:rFonts w:ascii="Abo-thar" w:hAnsi="Abo-thar" w:hint="cs"/>
          <w:sz w:val="28"/>
          <w:rtl/>
          <w:lang w:bidi="ar-SY"/>
        </w:rPr>
        <w:t>ي</w:t>
      </w:r>
      <w:r w:rsidRPr="003F3B94">
        <w:rPr>
          <w:rFonts w:ascii="Abo-thar" w:hAnsi="Abo-thar" w:hint="cs"/>
          <w:sz w:val="28"/>
          <w:rtl/>
          <w:lang w:bidi="ar-SY"/>
        </w:rPr>
        <w:t>رة رسول الله</w:t>
      </w:r>
      <w:r w:rsidR="00147857" w:rsidRPr="003F3B94">
        <w:rPr>
          <w:rFonts w:ascii="Abo-thar" w:hAnsi="Abo-thar" w:hint="cs"/>
          <w:sz w:val="28"/>
          <w:rtl/>
          <w:lang w:bidi="ar-SY"/>
        </w:rPr>
        <w:t xml:space="preserve"> </w:t>
      </w:r>
      <w:r w:rsidR="003C7AEB" w:rsidRPr="003C7AEB">
        <w:rPr>
          <w:rFonts w:ascii="Abo-thar" w:hAnsi="Abo-thar" w:cs="CTraditional Arabic"/>
          <w:sz w:val="28"/>
          <w:rtl/>
          <w:lang w:bidi="ar-SY"/>
        </w:rPr>
        <w:t>ص</w:t>
      </w:r>
      <w:r w:rsidR="00147857" w:rsidRPr="003F3B94">
        <w:rPr>
          <w:rFonts w:ascii="Abo-thar" w:hAnsi="Abo-thar"/>
          <w:sz w:val="28"/>
          <w:rtl/>
          <w:lang w:bidi="ar-SY"/>
        </w:rPr>
        <w:t xml:space="preserve"> </w:t>
      </w:r>
      <w:r w:rsidRPr="003F3B94">
        <w:rPr>
          <w:rFonts w:ascii="Abo-thar" w:hAnsi="Abo-thar" w:hint="cs"/>
          <w:sz w:val="28"/>
          <w:rtl/>
          <w:lang w:bidi="ar-SY"/>
        </w:rPr>
        <w:t>واضحة في هذا الموضوع بأنه كان يأخذ الزكاة من المعادن بل من المراتع وأن زكاتها كانت «</w:t>
      </w:r>
      <w:r w:rsidRPr="003F3B94">
        <w:rPr>
          <w:rFonts w:ascii="Abo-thar" w:hAnsi="Abo-thar" w:hint="cs"/>
          <w:b/>
          <w:bCs/>
          <w:sz w:val="28"/>
          <w:rtl/>
          <w:lang w:bidi="ar-SY"/>
        </w:rPr>
        <w:t>الخُمس</w:t>
      </w:r>
      <w:r w:rsidRPr="003F3B94">
        <w:rPr>
          <w:rFonts w:ascii="Abo-thar" w:hAnsi="Abo-thar" w:hint="cs"/>
          <w:sz w:val="28"/>
          <w:rtl/>
          <w:lang w:bidi="ar-SY"/>
        </w:rPr>
        <w:t>»</w:t>
      </w:r>
      <w:r w:rsidR="00217AB4" w:rsidRPr="0021507A">
        <w:rPr>
          <w:rStyle w:val="FootnoteReference"/>
          <w:rFonts w:cs="Arabic11 BT"/>
          <w:b/>
          <w:sz w:val="28"/>
          <w:rtl/>
          <w:lang w:bidi="ar-SY"/>
        </w:rPr>
        <w:t>(</w:t>
      </w:r>
      <w:r w:rsidRPr="0021507A">
        <w:rPr>
          <w:rStyle w:val="FootnoteReference"/>
          <w:rFonts w:cs="Arabic11 BT"/>
          <w:b/>
          <w:sz w:val="28"/>
          <w:rtl/>
          <w:lang w:bidi="ar-SY"/>
        </w:rPr>
        <w:footnoteReference w:id="240"/>
      </w:r>
      <w:r w:rsidR="00217AB4" w:rsidRPr="0021507A">
        <w:rPr>
          <w:rStyle w:val="FootnoteReference"/>
          <w:rFonts w:cs="Arabic11 BT"/>
          <w:b/>
          <w:sz w:val="28"/>
          <w:rtl/>
          <w:lang w:bidi="ar-SY"/>
        </w:rPr>
        <w:t>)</w:t>
      </w:r>
      <w:r w:rsidR="00217AB4" w:rsidRPr="003F3B94">
        <w:rPr>
          <w:rFonts w:hint="cs"/>
          <w:sz w:val="28"/>
          <w:rtl/>
          <w:lang w:bidi="ar-SY"/>
        </w:rPr>
        <w:t>.</w:t>
      </w:r>
    </w:p>
    <w:p w:rsidR="005C664D" w:rsidRPr="003F3B94" w:rsidRDefault="005C664D" w:rsidP="003F3B94">
      <w:pPr>
        <w:pStyle w:val="a0"/>
        <w:rPr>
          <w:rFonts w:hint="cs"/>
          <w:rtl/>
          <w:lang w:bidi="ar-SY"/>
        </w:rPr>
      </w:pPr>
      <w:r w:rsidRPr="003F3B94">
        <w:rPr>
          <w:rFonts w:ascii="Abo-thar" w:hAnsi="Abo-thar" w:hint="cs"/>
          <w:sz w:val="28"/>
          <w:rtl/>
          <w:lang w:bidi="ar-SY"/>
        </w:rPr>
        <w:t>فمن الممكن أن يكون الأمر الذي أوقع فقهاء الشيعة في الخطأ وجعل الأمر يشتبه عليهم</w:t>
      </w:r>
      <w:r w:rsidR="00217AB4" w:rsidRPr="003F3B94">
        <w:rPr>
          <w:rFonts w:ascii="Abo-thar" w:hAnsi="Abo-thar" w:hint="cs"/>
          <w:sz w:val="28"/>
          <w:rtl/>
          <w:lang w:bidi="ar-SY"/>
        </w:rPr>
        <w:t>،</w:t>
      </w:r>
      <w:r w:rsidRPr="003F3B94">
        <w:rPr>
          <w:rFonts w:ascii="Abo-thar" w:hAnsi="Abo-thar" w:hint="cs"/>
          <w:sz w:val="28"/>
          <w:rtl/>
          <w:lang w:bidi="ar-SY"/>
        </w:rPr>
        <w:t xml:space="preserve"> وهو الأمر الذي يتمسّك المعترضون على كلامنا والمتعصبون</w:t>
      </w:r>
      <w:r w:rsidR="00217AB4" w:rsidRPr="003F3B94">
        <w:rPr>
          <w:rFonts w:ascii="Abo-thar" w:hAnsi="Abo-thar" w:hint="cs"/>
          <w:sz w:val="28"/>
          <w:rtl/>
          <w:lang w:bidi="ar-SY"/>
        </w:rPr>
        <w:t>،</w:t>
      </w:r>
      <w:r w:rsidRPr="003F3B94">
        <w:rPr>
          <w:rFonts w:ascii="Abo-thar" w:hAnsi="Abo-thar" w:hint="cs"/>
          <w:sz w:val="28"/>
          <w:rtl/>
          <w:lang w:bidi="ar-SY"/>
        </w:rPr>
        <w:t xml:space="preserve"> هو وجود كلمة </w:t>
      </w:r>
      <w:r w:rsidRPr="003F3B94">
        <w:rPr>
          <w:rFonts w:ascii="Abo-thar" w:hAnsi="Abo-thar"/>
          <w:sz w:val="28"/>
          <w:rtl/>
          <w:lang w:bidi="ar-SY"/>
        </w:rPr>
        <w:t>«</w:t>
      </w:r>
      <w:r w:rsidRPr="003F3B94">
        <w:rPr>
          <w:rFonts w:ascii="Abo-thar" w:hAnsi="Abo-thar" w:hint="cs"/>
          <w:sz w:val="28"/>
          <w:rtl/>
          <w:lang w:bidi="ar-SY"/>
        </w:rPr>
        <w:t>الخُمُس</w:t>
      </w:r>
      <w:r w:rsidRPr="003F3B94">
        <w:rPr>
          <w:rFonts w:ascii="Abo-thar" w:hAnsi="Abo-thar"/>
          <w:sz w:val="28"/>
          <w:rtl/>
          <w:lang w:bidi="ar-SY"/>
        </w:rPr>
        <w:t>»</w:t>
      </w:r>
      <w:r w:rsidRPr="003F3B94">
        <w:rPr>
          <w:rFonts w:ascii="Abo-thar" w:hAnsi="Abo-thar" w:hint="cs"/>
          <w:sz w:val="28"/>
          <w:rtl/>
          <w:lang w:bidi="ar-SY"/>
        </w:rPr>
        <w:t xml:space="preserve"> في الروايات والأحاديث</w:t>
      </w:r>
      <w:r w:rsidR="00217AB4" w:rsidRPr="003F3B94">
        <w:rPr>
          <w:rFonts w:ascii="Abo-thar" w:hAnsi="Abo-thar" w:hint="cs"/>
          <w:sz w:val="28"/>
          <w:rtl/>
          <w:lang w:bidi="ar-SY"/>
        </w:rPr>
        <w:t>،</w:t>
      </w:r>
      <w:r w:rsidRPr="003F3B94">
        <w:rPr>
          <w:rFonts w:ascii="Abo-thar" w:hAnsi="Abo-thar" w:hint="cs"/>
          <w:sz w:val="28"/>
          <w:rtl/>
          <w:lang w:bidi="ar-SY"/>
        </w:rPr>
        <w:t xml:space="preserve"> التي جعلتهم يتصوَّرُون أنه نفس </w:t>
      </w:r>
      <w:r w:rsidRPr="003F3B94">
        <w:rPr>
          <w:rFonts w:ascii="Abo-thar" w:hAnsi="Abo-thar"/>
          <w:sz w:val="28"/>
          <w:rtl/>
          <w:lang w:bidi="ar-SY"/>
        </w:rPr>
        <w:t>«</w:t>
      </w:r>
      <w:r w:rsidRPr="003F3B94">
        <w:rPr>
          <w:rFonts w:ascii="Abo-thar" w:hAnsi="Abo-thar" w:hint="cs"/>
          <w:sz w:val="28"/>
          <w:rtl/>
          <w:lang w:bidi="ar-SY"/>
        </w:rPr>
        <w:t>الخُمُس</w:t>
      </w:r>
      <w:r w:rsidRPr="003F3B94">
        <w:rPr>
          <w:rFonts w:ascii="Abo-thar" w:hAnsi="Abo-thar"/>
          <w:sz w:val="28"/>
          <w:rtl/>
          <w:lang w:bidi="ar-SY"/>
        </w:rPr>
        <w:t>»</w:t>
      </w:r>
      <w:r w:rsidRPr="003F3B94">
        <w:rPr>
          <w:rFonts w:ascii="Abo-thar" w:hAnsi="Abo-thar" w:hint="cs"/>
          <w:sz w:val="28"/>
          <w:rtl/>
          <w:lang w:bidi="ar-SY"/>
        </w:rPr>
        <w:t xml:space="preserve"> الذي ورد في آية خمس غنائم الحرب في سورة الأنفال</w:t>
      </w:r>
      <w:r w:rsidR="00217AB4" w:rsidRPr="003F3B94">
        <w:rPr>
          <w:rFonts w:ascii="Abo-thar" w:hAnsi="Abo-thar" w:hint="cs"/>
          <w:sz w:val="28"/>
          <w:rtl/>
          <w:lang w:bidi="ar-SY"/>
        </w:rPr>
        <w:t>،</w:t>
      </w:r>
      <w:r w:rsidRPr="003F3B94">
        <w:rPr>
          <w:rFonts w:ascii="Abo-thar" w:hAnsi="Abo-thar" w:hint="cs"/>
          <w:sz w:val="28"/>
          <w:rtl/>
          <w:lang w:bidi="ar-SY"/>
        </w:rPr>
        <w:t xml:space="preserve"> وأن مصارفه هي مصارف خمس الغنائم عينها</w:t>
      </w:r>
      <w:r w:rsidR="00217AB4" w:rsidRPr="003F3B94">
        <w:rPr>
          <w:rFonts w:ascii="Abo-thar" w:hAnsi="Abo-thar" w:hint="cs"/>
          <w:sz w:val="28"/>
          <w:rtl/>
          <w:lang w:bidi="ar-SY"/>
        </w:rPr>
        <w:t>.</w:t>
      </w:r>
    </w:p>
    <w:p w:rsidR="005C664D" w:rsidRPr="003F3B94" w:rsidRDefault="005C664D" w:rsidP="003F3B94">
      <w:pPr>
        <w:pStyle w:val="a0"/>
        <w:rPr>
          <w:rFonts w:hint="cs"/>
          <w:rtl/>
          <w:lang w:bidi="ar-SY"/>
        </w:rPr>
      </w:pPr>
      <w:r w:rsidRPr="003F3B94">
        <w:rPr>
          <w:rFonts w:ascii="Abo-thar" w:hAnsi="Abo-thar" w:hint="cs"/>
          <w:sz w:val="28"/>
          <w:rtl/>
          <w:lang w:bidi="ar-SY"/>
        </w:rPr>
        <w:t>ولعل الأحاديث الأخرى التي جُمعَت في هذا الباب لعبت دوراً في تقوية هذا الاشتباه لأن الأشياء التي ذ</w:t>
      </w:r>
      <w:r w:rsidR="00CB747D" w:rsidRPr="003F3B94">
        <w:rPr>
          <w:rFonts w:ascii="Abo-thar" w:hAnsi="Abo-thar" w:hint="cs"/>
          <w:sz w:val="28"/>
          <w:rtl/>
          <w:lang w:bidi="ar-SY"/>
        </w:rPr>
        <w:t>ُ</w:t>
      </w:r>
      <w:r w:rsidRPr="003F3B94">
        <w:rPr>
          <w:rFonts w:ascii="Abo-thar" w:hAnsi="Abo-thar" w:hint="cs"/>
          <w:sz w:val="28"/>
          <w:rtl/>
          <w:lang w:bidi="ar-SY"/>
        </w:rPr>
        <w:t xml:space="preserve">كر أن فيها </w:t>
      </w:r>
      <w:r w:rsidRPr="003F3B94">
        <w:rPr>
          <w:rFonts w:ascii="Abo-thar" w:hAnsi="Abo-thar"/>
          <w:sz w:val="28"/>
          <w:rtl/>
          <w:lang w:bidi="ar-SY"/>
        </w:rPr>
        <w:t>«</w:t>
      </w:r>
      <w:r w:rsidRPr="003F3B94">
        <w:rPr>
          <w:rFonts w:ascii="Abo-thar" w:hAnsi="Abo-thar" w:hint="cs"/>
          <w:sz w:val="28"/>
          <w:rtl/>
          <w:lang w:bidi="ar-SY"/>
        </w:rPr>
        <w:t>الخُمُس</w:t>
      </w:r>
      <w:r w:rsidRPr="003F3B94">
        <w:rPr>
          <w:rFonts w:ascii="Abo-thar" w:hAnsi="Abo-thar"/>
          <w:sz w:val="28"/>
          <w:rtl/>
          <w:lang w:bidi="ar-SY"/>
        </w:rPr>
        <w:t>»</w:t>
      </w:r>
      <w:r w:rsidRPr="003F3B94">
        <w:rPr>
          <w:rFonts w:ascii="Abo-thar" w:hAnsi="Abo-thar" w:hint="cs"/>
          <w:sz w:val="28"/>
          <w:rtl/>
          <w:lang w:bidi="ar-SY"/>
        </w:rPr>
        <w:t xml:space="preserve"> وضعت في بعض الأحاديث إلى جانب بعضها البعض كالأحاديث التالية</w:t>
      </w:r>
      <w:r w:rsidR="00217AB4" w:rsidRPr="003F3B94">
        <w:rPr>
          <w:rFonts w:ascii="Abo-thar" w:hAnsi="Abo-thar" w:hint="cs"/>
          <w:sz w:val="28"/>
          <w:rtl/>
          <w:lang w:bidi="ar-SY"/>
        </w:rPr>
        <w:t>:</w:t>
      </w:r>
    </w:p>
    <w:p w:rsidR="005C664D" w:rsidRPr="003F3B94" w:rsidRDefault="005C664D" w:rsidP="00255A16">
      <w:pPr>
        <w:pStyle w:val="a0"/>
        <w:ind w:left="624" w:hanging="340"/>
        <w:rPr>
          <w:rFonts w:hint="cs"/>
          <w:rtl/>
        </w:rPr>
      </w:pPr>
      <w:r w:rsidRPr="003F3B94">
        <w:rPr>
          <w:rFonts w:ascii="Abo-thar" w:hAnsi="Abo-thar" w:hint="cs"/>
          <w:sz w:val="28"/>
          <w:rtl/>
          <w:lang w:bidi="ar-SY"/>
        </w:rPr>
        <w:t>1</w:t>
      </w:r>
      <w:r w:rsidR="00217AB4" w:rsidRPr="003F3B94">
        <w:rPr>
          <w:rFonts w:ascii="Abo-thar" w:hAnsi="Abo-thar" w:hint="cs"/>
          <w:sz w:val="28"/>
          <w:rtl/>
          <w:lang w:bidi="ar-SY"/>
        </w:rPr>
        <w:t>-</w:t>
      </w:r>
      <w:r w:rsidRPr="003F3B94">
        <w:rPr>
          <w:rFonts w:ascii="Abo-thar" w:hAnsi="Abo-thar" w:hint="cs"/>
          <w:sz w:val="28"/>
          <w:rtl/>
          <w:lang w:bidi="ar-SY"/>
        </w:rPr>
        <w:t xml:space="preserve"> الحديث الذي رواه الصدوق في </w:t>
      </w:r>
      <w:r w:rsidRPr="003F3B94">
        <w:rPr>
          <w:rFonts w:ascii="Abo-thar" w:hAnsi="Abo-thar"/>
          <w:sz w:val="28"/>
          <w:rtl/>
          <w:lang w:bidi="ar-SY"/>
        </w:rPr>
        <w:t>«</w:t>
      </w:r>
      <w:r w:rsidRPr="003F3B94">
        <w:rPr>
          <w:rFonts w:ascii="Abo-thar" w:hAnsi="Abo-thar" w:hint="cs"/>
          <w:sz w:val="28"/>
          <w:rtl/>
          <w:lang w:bidi="ar-SY"/>
        </w:rPr>
        <w:t>الخصال</w:t>
      </w:r>
      <w:r w:rsidRPr="003F3B94">
        <w:rPr>
          <w:rFonts w:ascii="Abo-thar" w:hAnsi="Abo-thar"/>
          <w:sz w:val="28"/>
          <w:rtl/>
          <w:lang w:bidi="ar-SY"/>
        </w:rPr>
        <w:t>»</w:t>
      </w:r>
      <w:r w:rsidR="00217AB4" w:rsidRPr="003F3B94">
        <w:rPr>
          <w:rFonts w:ascii="Abo-thar" w:hAnsi="Abo-thar" w:hint="cs"/>
          <w:sz w:val="28"/>
          <w:rtl/>
          <w:lang w:bidi="ar-SY"/>
        </w:rPr>
        <w:t>:</w:t>
      </w:r>
      <w:r w:rsidRPr="003F3B94">
        <w:rPr>
          <w:rFonts w:ascii="Abo-thar" w:hAnsi="Abo-thar" w:hint="cs"/>
          <w:sz w:val="28"/>
          <w:rtl/>
          <w:lang w:bidi="ar-SY"/>
        </w:rPr>
        <w:t xml:space="preserve"> </w:t>
      </w:r>
      <w:r w:rsidR="00EF2588" w:rsidRPr="003762F6">
        <w:rPr>
          <w:rFonts w:ascii="Abo-thar" w:hAnsi="Abo-thar" w:cs="KFGQPC Uthman Taha Naskh" w:hint="cs"/>
          <w:sz w:val="28"/>
          <w:rtl/>
          <w:lang w:bidi="ar-SY"/>
        </w:rPr>
        <w:t>«</w:t>
      </w:r>
      <w:r w:rsidRPr="003762F6">
        <w:rPr>
          <w:rFonts w:ascii="Abo-thar" w:hAnsi="Abo-thar" w:cs="KFGQPC Uthman Taha Naskh" w:hint="cs"/>
          <w:b/>
          <w:bCs/>
          <w:sz w:val="28"/>
          <w:rtl/>
          <w:lang w:bidi="ar-SY"/>
        </w:rPr>
        <w:t>ع</w:t>
      </w:r>
      <w:r w:rsidRPr="003762F6">
        <w:rPr>
          <w:rFonts w:ascii="Abo-thar" w:hAnsi="Abo-thar" w:cs="KFGQPC Uthman Taha Naskh"/>
          <w:b/>
          <w:bCs/>
          <w:sz w:val="28"/>
          <w:rtl/>
          <w:lang w:bidi="ar-SY"/>
        </w:rPr>
        <w:t xml:space="preserve">َنِ ابْنِ أَبِي عُمَيْرٍ عَنْ غَيْرِ وَاحِدٍ عَنْ أَبِي عَبْدِ اللهِ </w:t>
      </w:r>
      <w:r w:rsidR="00BC4BA9" w:rsidRPr="00BC4BA9">
        <w:rPr>
          <w:rFonts w:ascii="Abo-thar" w:hAnsi="Abo-thar" w:cs="CTraditional Arabic"/>
          <w:b/>
          <w:sz w:val="28"/>
          <w:rtl/>
          <w:lang w:bidi="ar-SY"/>
        </w:rPr>
        <w:t>÷</w:t>
      </w:r>
      <w:r w:rsidRPr="003762F6">
        <w:rPr>
          <w:rFonts w:ascii="Abo-thar" w:hAnsi="Abo-thar" w:cs="KFGQPC Uthman Taha Naskh"/>
          <w:b/>
          <w:bCs/>
          <w:sz w:val="28"/>
          <w:rtl/>
          <w:lang w:bidi="ar-SY"/>
        </w:rPr>
        <w:t xml:space="preserve"> قَالَ</w:t>
      </w:r>
      <w:r w:rsidR="00217AB4" w:rsidRPr="003762F6">
        <w:rPr>
          <w:rFonts w:ascii="Abo-thar" w:hAnsi="Abo-thar" w:cs="KFGQPC Uthman Taha Naskh" w:hint="cs"/>
          <w:b/>
          <w:bCs/>
          <w:sz w:val="28"/>
          <w:rtl/>
          <w:lang w:bidi="ar-SY"/>
        </w:rPr>
        <w:t>:</w:t>
      </w:r>
      <w:r w:rsidRPr="003762F6">
        <w:rPr>
          <w:rFonts w:ascii="Abo-thar" w:hAnsi="Abo-thar" w:cs="KFGQPC Uthman Taha Naskh"/>
          <w:b/>
          <w:bCs/>
          <w:sz w:val="28"/>
          <w:rtl/>
          <w:lang w:bidi="ar-SY"/>
        </w:rPr>
        <w:t xml:space="preserve"> الخُمُسُ عَلَى خَمْسَةِ أَشْيَاءَ عَلَى الْكُنُوزِ والْمَعَادِنِ والْغَوْصِ </w:t>
      </w:r>
      <w:r w:rsidRPr="003762F6">
        <w:rPr>
          <w:rFonts w:ascii="Abo-thar" w:hAnsi="Abo-thar" w:cs="KFGQPC Uthman Taha Naskh"/>
          <w:b/>
          <w:bCs/>
          <w:sz w:val="28"/>
          <w:u w:val="single"/>
          <w:rtl/>
          <w:lang w:bidi="ar-SY"/>
        </w:rPr>
        <w:t>والْغَنِيمَةِ</w:t>
      </w:r>
      <w:r w:rsidRPr="003762F6">
        <w:rPr>
          <w:rFonts w:ascii="Abo-thar" w:hAnsi="Abo-thar" w:cs="KFGQPC Uthman Taha Naskh"/>
          <w:b/>
          <w:bCs/>
          <w:sz w:val="28"/>
          <w:rtl/>
          <w:lang w:bidi="ar-SY"/>
        </w:rPr>
        <w:t xml:space="preserve"> ونَسِيَ ابْنُ أَبِي عُمَيْرٍ الخَامِس</w:t>
      </w:r>
      <w:r w:rsidR="00EF2588" w:rsidRPr="003762F6">
        <w:rPr>
          <w:rFonts w:ascii="Abo-thar" w:hAnsi="Abo-thar" w:cs="KFGQPC Uthman Taha Naskh" w:hint="cs"/>
          <w:sz w:val="28"/>
          <w:rtl/>
          <w:lang w:bidi="ar-SY"/>
        </w:rPr>
        <w:t>»</w:t>
      </w:r>
      <w:r w:rsidR="00217AB4" w:rsidRPr="003F3B94">
        <w:rPr>
          <w:rFonts w:ascii="Abo-thar" w:hAnsi="Abo-thar" w:hint="cs"/>
          <w:sz w:val="28"/>
          <w:rtl/>
          <w:lang w:bidi="ar-SY"/>
        </w:rPr>
        <w:t>.</w:t>
      </w:r>
    </w:p>
    <w:p w:rsidR="005C664D" w:rsidRPr="003F3B94" w:rsidRDefault="005C664D" w:rsidP="00255A16">
      <w:pPr>
        <w:pStyle w:val="a0"/>
        <w:ind w:left="624" w:hanging="340"/>
        <w:rPr>
          <w:rFonts w:hint="cs"/>
          <w:rtl/>
        </w:rPr>
      </w:pPr>
      <w:r w:rsidRPr="003F3B94">
        <w:rPr>
          <w:rFonts w:ascii="Abo-thar" w:hAnsi="Abo-thar" w:hint="cs"/>
          <w:sz w:val="28"/>
          <w:rtl/>
        </w:rPr>
        <w:t>2</w:t>
      </w:r>
      <w:r w:rsidR="00217AB4" w:rsidRPr="003F3B94">
        <w:rPr>
          <w:rFonts w:ascii="Abo-thar" w:hAnsi="Abo-thar" w:hint="cs"/>
          <w:sz w:val="28"/>
          <w:rtl/>
        </w:rPr>
        <w:t>-</w:t>
      </w:r>
      <w:r w:rsidRPr="003F3B94">
        <w:rPr>
          <w:rFonts w:ascii="Abo-thar" w:hAnsi="Abo-thar" w:hint="cs"/>
          <w:sz w:val="28"/>
          <w:rtl/>
        </w:rPr>
        <w:t xml:space="preserve"> الحديث المرسل الذي يرويه الكُلَيْنِيّ في </w:t>
      </w:r>
      <w:r w:rsidRPr="003F3B94">
        <w:rPr>
          <w:rFonts w:ascii="Abo-thar" w:hAnsi="Abo-thar"/>
          <w:sz w:val="28"/>
          <w:rtl/>
        </w:rPr>
        <w:t>«</w:t>
      </w:r>
      <w:r w:rsidRPr="003F3B94">
        <w:rPr>
          <w:rFonts w:ascii="Abo-thar" w:hAnsi="Abo-thar" w:hint="cs"/>
          <w:sz w:val="28"/>
          <w:rtl/>
        </w:rPr>
        <w:t>الكافي</w:t>
      </w:r>
      <w:r w:rsidRPr="003F3B94">
        <w:rPr>
          <w:rFonts w:ascii="Abo-thar" w:hAnsi="Abo-thar"/>
          <w:sz w:val="28"/>
          <w:rtl/>
        </w:rPr>
        <w:t>»</w:t>
      </w:r>
      <w:r w:rsidRPr="003F3B94">
        <w:rPr>
          <w:rFonts w:ascii="Abo-thar" w:hAnsi="Abo-thar" w:hint="cs"/>
          <w:sz w:val="28"/>
          <w:rtl/>
        </w:rPr>
        <w:t xml:space="preserve"> بسنده</w:t>
      </w:r>
      <w:r w:rsidR="00217AB4" w:rsidRPr="003F3B94">
        <w:rPr>
          <w:rFonts w:ascii="Abo-thar" w:hAnsi="Abo-thar" w:hint="cs"/>
          <w:sz w:val="28"/>
          <w:rtl/>
        </w:rPr>
        <w:t>:</w:t>
      </w:r>
      <w:r w:rsidR="00147857" w:rsidRPr="003F3B94">
        <w:rPr>
          <w:rFonts w:ascii="Abo-thar" w:hAnsi="Abo-thar" w:hint="cs"/>
          <w:sz w:val="28"/>
          <w:rtl/>
        </w:rPr>
        <w:t xml:space="preserve"> </w:t>
      </w:r>
      <w:r w:rsidR="00EF2588" w:rsidRPr="003762F6">
        <w:rPr>
          <w:rFonts w:ascii="Abo-thar" w:hAnsi="Abo-thar" w:cs="KFGQPC Uthman Taha Naskh" w:hint="cs"/>
          <w:sz w:val="28"/>
          <w:rtl/>
        </w:rPr>
        <w:t>«</w:t>
      </w:r>
      <w:r w:rsidRPr="003762F6">
        <w:rPr>
          <w:rFonts w:ascii="Abo-thar" w:hAnsi="Abo-thar" w:cs="KFGQPC Uthman Taha Naskh"/>
          <w:sz w:val="28"/>
          <w:rtl/>
        </w:rPr>
        <w:t>عَنْ حَمَّادِ بْنِ عِيسَى عَنْ بَعْضِ أَصْحَابِنَا عَنِ الْعَبْدِ الصَّالِحِ</w:t>
      </w:r>
      <w:r w:rsidRPr="003762F6">
        <w:rPr>
          <w:rFonts w:ascii="Abo-thar" w:hAnsi="Abo-thar" w:cs="KFGQPC Uthman Taha Naskh" w:hint="cs"/>
          <w:sz w:val="28"/>
          <w:rtl/>
        </w:rPr>
        <w:t xml:space="preserve"> </w:t>
      </w:r>
      <w:r w:rsidR="00217AB4" w:rsidRPr="003762F6">
        <w:rPr>
          <w:rFonts w:ascii="Abo-thar" w:hAnsi="Abo-thar" w:cs="KFGQPC Uthman Taha Naskh" w:hint="cs"/>
          <w:sz w:val="28"/>
          <w:rtl/>
        </w:rPr>
        <w:t>(</w:t>
      </w:r>
      <w:r w:rsidRPr="003762F6">
        <w:rPr>
          <w:rFonts w:ascii="Abo-thar" w:hAnsi="Abo-thar" w:cs="KFGQPC Uthman Taha Naskh" w:hint="cs"/>
          <w:sz w:val="28"/>
          <w:rtl/>
        </w:rPr>
        <w:t>أي الإمام موسى بن جعفر</w:t>
      </w:r>
      <w:r w:rsidR="00217AB4" w:rsidRPr="003762F6">
        <w:rPr>
          <w:rFonts w:ascii="Abo-thar" w:hAnsi="Abo-thar" w:cs="KFGQPC Uthman Taha Naskh" w:hint="cs"/>
          <w:sz w:val="28"/>
          <w:rtl/>
        </w:rPr>
        <w:t>)</w:t>
      </w:r>
      <w:r w:rsidRPr="003762F6">
        <w:rPr>
          <w:rFonts w:ascii="Abo-thar" w:hAnsi="Abo-thar" w:cs="KFGQPC Uthman Taha Naskh"/>
          <w:sz w:val="28"/>
          <w:rtl/>
        </w:rPr>
        <w:t xml:space="preserve"> </w:t>
      </w:r>
      <w:r w:rsidR="00BC4BA9" w:rsidRPr="00BC4BA9">
        <w:rPr>
          <w:rFonts w:ascii="Abo-thar" w:hAnsi="Abo-thar" w:cs="CTraditional Arabic"/>
          <w:sz w:val="28"/>
          <w:rtl/>
        </w:rPr>
        <w:t>÷</w:t>
      </w:r>
      <w:r w:rsidRPr="003762F6">
        <w:rPr>
          <w:rFonts w:ascii="Abo-thar" w:hAnsi="Abo-thar" w:cs="KFGQPC Uthman Taha Naskh"/>
          <w:sz w:val="28"/>
          <w:rtl/>
        </w:rPr>
        <w:t xml:space="preserve"> قَالَ</w:t>
      </w:r>
      <w:r w:rsidR="00217AB4" w:rsidRPr="003762F6">
        <w:rPr>
          <w:rFonts w:ascii="Abo-thar" w:hAnsi="Abo-thar" w:cs="KFGQPC Uthman Taha Naskh" w:hint="cs"/>
          <w:sz w:val="28"/>
          <w:rtl/>
        </w:rPr>
        <w:t>:</w:t>
      </w:r>
      <w:r w:rsidRPr="003762F6">
        <w:rPr>
          <w:rFonts w:ascii="Abo-thar" w:hAnsi="Abo-thar" w:cs="KFGQPC Uthman Taha Naskh"/>
          <w:sz w:val="28"/>
          <w:rtl/>
        </w:rPr>
        <w:t xml:space="preserve"> </w:t>
      </w:r>
      <w:r w:rsidRPr="003762F6">
        <w:rPr>
          <w:rFonts w:ascii="Abo-thar" w:hAnsi="Abo-thar" w:cs="KFGQPC Uthman Taha Naskh"/>
          <w:b/>
          <w:bCs/>
          <w:sz w:val="28"/>
          <w:rtl/>
        </w:rPr>
        <w:t xml:space="preserve">الخُمُسُ مِنْ خَمْسَةِ أَشْيَاءَ مِنَ </w:t>
      </w:r>
      <w:r w:rsidRPr="003762F6">
        <w:rPr>
          <w:rFonts w:ascii="Abo-thar" w:hAnsi="Abo-thar" w:cs="KFGQPC Uthman Taha Naskh"/>
          <w:b/>
          <w:bCs/>
          <w:sz w:val="28"/>
          <w:u w:val="single"/>
          <w:rtl/>
        </w:rPr>
        <w:t>الْغَنَائِمِ</w:t>
      </w:r>
      <w:r w:rsidRPr="003762F6">
        <w:rPr>
          <w:rFonts w:ascii="Abo-thar" w:hAnsi="Abo-thar" w:cs="KFGQPC Uthman Taha Naskh"/>
          <w:b/>
          <w:bCs/>
          <w:sz w:val="28"/>
          <w:rtl/>
        </w:rPr>
        <w:t xml:space="preserve"> والْغَوْصِ ومِنَ الْكُنُوزِ ومِنَ المَعَادِنِ والْمَلَّاحَةِ</w:t>
      </w:r>
      <w:r w:rsidR="00217AB4" w:rsidRPr="003762F6">
        <w:rPr>
          <w:rFonts w:ascii="Abo-thar" w:hAnsi="Abo-thar" w:cs="KFGQPC Uthman Taha Naskh" w:hint="cs"/>
          <w:sz w:val="28"/>
          <w:rtl/>
        </w:rPr>
        <w:t>..</w:t>
      </w:r>
      <w:r w:rsidR="00EF2588" w:rsidRPr="003762F6">
        <w:rPr>
          <w:rFonts w:ascii="Abo-thar" w:hAnsi="Abo-thar" w:cs="KFGQPC Uthman Taha Naskh" w:hint="cs"/>
          <w:sz w:val="28"/>
          <w:rtl/>
        </w:rPr>
        <w:t>»</w:t>
      </w:r>
      <w:r w:rsidR="00217AB4" w:rsidRPr="003F3B94">
        <w:rPr>
          <w:rFonts w:ascii="Abo-thar" w:hAnsi="Abo-thar" w:hint="cs"/>
          <w:sz w:val="28"/>
          <w:rtl/>
        </w:rPr>
        <w:t>.</w:t>
      </w:r>
    </w:p>
    <w:p w:rsidR="005C664D" w:rsidRPr="003F3B94" w:rsidRDefault="005C664D" w:rsidP="003F3B94">
      <w:pPr>
        <w:pStyle w:val="a0"/>
        <w:rPr>
          <w:rFonts w:hint="cs"/>
          <w:rtl/>
        </w:rPr>
      </w:pPr>
      <w:r w:rsidRPr="003F3B94">
        <w:rPr>
          <w:rFonts w:ascii="Abo-thar" w:hAnsi="Abo-thar" w:hint="cs"/>
          <w:sz w:val="28"/>
          <w:rtl/>
        </w:rPr>
        <w:t xml:space="preserve">وقد روى الشيخ الطوسي في «التهذيب» الحديث الأخير عن </w:t>
      </w:r>
      <w:r w:rsidRPr="003F3B94">
        <w:rPr>
          <w:rFonts w:ascii="Abo-thar" w:hAnsi="Abo-thar"/>
          <w:sz w:val="28"/>
          <w:rtl/>
        </w:rPr>
        <w:t>«عَلِيّ</w:t>
      </w:r>
      <w:r w:rsidRPr="003F3B94">
        <w:rPr>
          <w:rFonts w:ascii="Abo-thar" w:hAnsi="Abo-thar" w:hint="cs"/>
          <w:sz w:val="28"/>
          <w:rtl/>
        </w:rPr>
        <w:t>ِ</w:t>
      </w:r>
      <w:r w:rsidRPr="003F3B94">
        <w:rPr>
          <w:rFonts w:ascii="Abo-thar" w:hAnsi="Abo-thar"/>
          <w:sz w:val="28"/>
          <w:rtl/>
        </w:rPr>
        <w:t xml:space="preserve"> بْن</w:t>
      </w:r>
      <w:r w:rsidRPr="003F3B94">
        <w:rPr>
          <w:rFonts w:ascii="Abo-thar" w:hAnsi="Abo-thar" w:hint="cs"/>
          <w:sz w:val="28"/>
          <w:rtl/>
        </w:rPr>
        <w:t>ِ</w:t>
      </w:r>
      <w:r w:rsidRPr="003F3B94">
        <w:rPr>
          <w:rFonts w:ascii="Abo-thar" w:hAnsi="Abo-thar"/>
          <w:sz w:val="28"/>
          <w:rtl/>
        </w:rPr>
        <w:t xml:space="preserve"> الحَسَنِ بْنِ فَضَّال‏»</w:t>
      </w:r>
      <w:r w:rsidRPr="003F3B94">
        <w:rPr>
          <w:rFonts w:ascii="Abo-thar" w:hAnsi="Abo-thar" w:hint="cs"/>
          <w:sz w:val="28"/>
          <w:rtl/>
        </w:rPr>
        <w:t xml:space="preserve"> الضال بسنده حتى يصل إلى «</w:t>
      </w:r>
      <w:r w:rsidRPr="003F3B94">
        <w:rPr>
          <w:rFonts w:ascii="Abo-thar" w:hAnsi="Abo-thar"/>
          <w:sz w:val="28"/>
          <w:rtl/>
        </w:rPr>
        <w:t>حَمَّادِ بْنِ عِيسَى</w:t>
      </w:r>
      <w:r w:rsidRPr="003F3B94">
        <w:rPr>
          <w:rFonts w:ascii="Abo-thar" w:hAnsi="Abo-thar" w:hint="cs"/>
          <w:sz w:val="28"/>
          <w:rtl/>
        </w:rPr>
        <w:t>» وأضاف إليه</w:t>
      </w:r>
      <w:r w:rsidR="00217AB4" w:rsidRPr="003F3B94">
        <w:rPr>
          <w:rFonts w:ascii="Abo-thar" w:hAnsi="Abo-thar" w:hint="cs"/>
          <w:sz w:val="28"/>
          <w:rtl/>
        </w:rPr>
        <w:t>:</w:t>
      </w:r>
      <w:r w:rsidRPr="003F3B94">
        <w:rPr>
          <w:rFonts w:ascii="Abo-thar" w:hAnsi="Abo-thar" w:hint="cs"/>
          <w:sz w:val="28"/>
          <w:rtl/>
        </w:rPr>
        <w:t xml:space="preserve"> </w:t>
      </w:r>
      <w:r w:rsidRPr="003F3B94">
        <w:rPr>
          <w:rFonts w:ascii="Abo-thar" w:hAnsi="Abo-thar"/>
          <w:sz w:val="28"/>
          <w:rtl/>
        </w:rPr>
        <w:t>«</w:t>
      </w:r>
      <w:r w:rsidRPr="003F3B94">
        <w:rPr>
          <w:rFonts w:ascii="Abo-thar" w:hAnsi="Abo-thar" w:hint="cs"/>
          <w:sz w:val="28"/>
          <w:rtl/>
        </w:rPr>
        <w:t>العنبر</w:t>
      </w:r>
      <w:r w:rsidRPr="003F3B94">
        <w:rPr>
          <w:rFonts w:ascii="Abo-thar" w:hAnsi="Abo-thar"/>
          <w:sz w:val="28"/>
          <w:rtl/>
        </w:rPr>
        <w:t>»</w:t>
      </w:r>
      <w:r w:rsidR="00217AB4" w:rsidRPr="003F3B94">
        <w:rPr>
          <w:rFonts w:ascii="Abo-thar" w:hAnsi="Abo-thar" w:hint="cs"/>
          <w:sz w:val="28"/>
          <w:rtl/>
        </w:rPr>
        <w:t>.</w:t>
      </w:r>
    </w:p>
    <w:p w:rsidR="005C664D" w:rsidRPr="003F3B94" w:rsidRDefault="005C664D" w:rsidP="003F3B94">
      <w:pPr>
        <w:pStyle w:val="a0"/>
        <w:rPr>
          <w:rFonts w:hint="cs"/>
          <w:rtl/>
          <w:lang w:bidi="ar-SY"/>
        </w:rPr>
      </w:pPr>
      <w:r w:rsidRPr="003F3B94">
        <w:rPr>
          <w:rFonts w:ascii="Abo-thar" w:hAnsi="Abo-thar" w:hint="cs"/>
          <w:sz w:val="28"/>
          <w:rtl/>
          <w:lang w:bidi="ar-SY"/>
        </w:rPr>
        <w:t>وبمعزل عن أن الحديثين الأخيرين مرسلان وليس لهما ذلك الاعتبار والصحة</w:t>
      </w:r>
      <w:r w:rsidR="00217AB4" w:rsidRPr="003F3B94">
        <w:rPr>
          <w:rFonts w:ascii="Abo-thar" w:hAnsi="Abo-thar" w:hint="cs"/>
          <w:sz w:val="28"/>
          <w:rtl/>
          <w:lang w:bidi="ar-SY"/>
        </w:rPr>
        <w:t>،</w:t>
      </w:r>
      <w:r w:rsidRPr="003F3B94">
        <w:rPr>
          <w:rFonts w:ascii="Abo-thar" w:hAnsi="Abo-thar" w:hint="cs"/>
          <w:sz w:val="28"/>
          <w:rtl/>
          <w:lang w:bidi="ar-SY"/>
        </w:rPr>
        <w:t xml:space="preserve"> خاصة راوي الحديث الثاني </w:t>
      </w:r>
      <w:r w:rsidRPr="003F3B94">
        <w:rPr>
          <w:rFonts w:ascii="Abo-thar" w:hAnsi="Abo-thar"/>
          <w:sz w:val="28"/>
          <w:rtl/>
          <w:lang w:bidi="ar-SY"/>
        </w:rPr>
        <w:t>«عَلِيّ</w:t>
      </w:r>
      <w:r w:rsidRPr="003F3B94">
        <w:rPr>
          <w:rFonts w:ascii="Abo-thar" w:hAnsi="Abo-thar" w:hint="cs"/>
          <w:sz w:val="28"/>
          <w:rtl/>
          <w:lang w:bidi="ar-SY"/>
        </w:rPr>
        <w:t>ِ</w:t>
      </w:r>
      <w:r w:rsidRPr="003F3B94">
        <w:rPr>
          <w:rFonts w:ascii="Abo-thar" w:hAnsi="Abo-thar"/>
          <w:sz w:val="28"/>
          <w:rtl/>
          <w:lang w:bidi="ar-SY"/>
        </w:rPr>
        <w:t xml:space="preserve"> بْن</w:t>
      </w:r>
      <w:r w:rsidRPr="003F3B94">
        <w:rPr>
          <w:rFonts w:ascii="Abo-thar" w:hAnsi="Abo-thar" w:hint="cs"/>
          <w:sz w:val="28"/>
          <w:rtl/>
          <w:lang w:bidi="ar-SY"/>
        </w:rPr>
        <w:t>ِ</w:t>
      </w:r>
      <w:r w:rsidRPr="003F3B94">
        <w:rPr>
          <w:rFonts w:ascii="Abo-thar" w:hAnsi="Abo-thar"/>
          <w:sz w:val="28"/>
          <w:rtl/>
          <w:lang w:bidi="ar-SY"/>
        </w:rPr>
        <w:t xml:space="preserve"> الحَسَنِ بْنِ فَضَّال‏»</w:t>
      </w:r>
      <w:r w:rsidRPr="003F3B94">
        <w:rPr>
          <w:rFonts w:ascii="Abo-thar" w:hAnsi="Abo-thar" w:hint="cs"/>
          <w:sz w:val="28"/>
          <w:rtl/>
          <w:lang w:bidi="ar-SY"/>
        </w:rPr>
        <w:t xml:space="preserve"> الضال الذي بيَّنا حاله فيما سبق [في كتاب الزكاة]</w:t>
      </w:r>
      <w:r w:rsidR="00217AB4" w:rsidRPr="003F3B94">
        <w:rPr>
          <w:rFonts w:ascii="Abo-thar" w:hAnsi="Abo-thar" w:hint="cs"/>
          <w:sz w:val="28"/>
          <w:rtl/>
          <w:lang w:bidi="ar-SY"/>
        </w:rPr>
        <w:t>،</w:t>
      </w:r>
      <w:r w:rsidRPr="003F3B94">
        <w:rPr>
          <w:rFonts w:ascii="Abo-thar" w:hAnsi="Abo-thar" w:hint="cs"/>
          <w:sz w:val="28"/>
          <w:rtl/>
          <w:lang w:bidi="ar-SY"/>
        </w:rPr>
        <w:t xml:space="preserve"> وذكرنا </w:t>
      </w:r>
      <w:r w:rsidR="00592B63" w:rsidRPr="003F3B94">
        <w:rPr>
          <w:rFonts w:ascii="Abo-thar" w:hAnsi="Abo-thar" w:hint="cs"/>
          <w:sz w:val="28"/>
          <w:rtl/>
          <w:lang w:bidi="ar-SY"/>
        </w:rPr>
        <w:t>نبذة مختصرة</w:t>
      </w:r>
      <w:r w:rsidRPr="003F3B94">
        <w:rPr>
          <w:rFonts w:ascii="Abo-thar" w:hAnsi="Abo-thar" w:hint="cs"/>
          <w:sz w:val="28"/>
          <w:rtl/>
          <w:lang w:bidi="ar-SY"/>
        </w:rPr>
        <w:t xml:space="preserve"> عن حاله في هذا الكتاب</w:t>
      </w:r>
      <w:r w:rsidR="00217AB4" w:rsidRPr="003F3B94">
        <w:rPr>
          <w:rFonts w:ascii="Abo-thar" w:hAnsi="Abo-thar" w:hint="cs"/>
          <w:sz w:val="28"/>
          <w:rtl/>
          <w:lang w:bidi="ar-SY"/>
        </w:rPr>
        <w:t>،</w:t>
      </w:r>
      <w:r w:rsidR="00147857" w:rsidRPr="003F3B94">
        <w:rPr>
          <w:rFonts w:ascii="Abo-thar" w:hAnsi="Abo-thar" w:hint="cs"/>
          <w:sz w:val="28"/>
          <w:rtl/>
          <w:lang w:bidi="ar-SY"/>
        </w:rPr>
        <w:t xml:space="preserve"> </w:t>
      </w:r>
      <w:r w:rsidRPr="003F3B94">
        <w:rPr>
          <w:rFonts w:ascii="Abo-thar" w:hAnsi="Abo-thar" w:hint="cs"/>
          <w:sz w:val="28"/>
          <w:rtl/>
          <w:lang w:bidi="ar-SY"/>
        </w:rPr>
        <w:t>فإن هذين الحديثين وأمثالهما ليس</w:t>
      </w:r>
      <w:r w:rsidR="00592B63" w:rsidRPr="003F3B94">
        <w:rPr>
          <w:rFonts w:ascii="Abo-thar" w:hAnsi="Abo-thar" w:hint="cs"/>
          <w:sz w:val="28"/>
          <w:rtl/>
          <w:lang w:bidi="ar-SY"/>
        </w:rPr>
        <w:t>ا</w:t>
      </w:r>
      <w:r w:rsidRPr="003F3B94">
        <w:rPr>
          <w:rFonts w:ascii="Abo-thar" w:hAnsi="Abo-thar" w:hint="cs"/>
          <w:sz w:val="28"/>
          <w:rtl/>
          <w:lang w:bidi="ar-SY"/>
        </w:rPr>
        <w:t xml:space="preserve"> في صدد بيان الأشياء التي يشملها </w:t>
      </w:r>
      <w:r w:rsidRPr="003F3B94">
        <w:rPr>
          <w:rFonts w:ascii="Abo-thar" w:hAnsi="Abo-thar"/>
          <w:sz w:val="28"/>
          <w:rtl/>
          <w:lang w:bidi="ar-SY"/>
        </w:rPr>
        <w:t>«</w:t>
      </w:r>
      <w:r w:rsidRPr="003F3B94">
        <w:rPr>
          <w:rFonts w:ascii="Abo-thar" w:hAnsi="Abo-thar" w:hint="cs"/>
          <w:sz w:val="28"/>
          <w:rtl/>
          <w:lang w:bidi="ar-SY"/>
        </w:rPr>
        <w:t>الخُمُس</w:t>
      </w:r>
      <w:r w:rsidRPr="003F3B94">
        <w:rPr>
          <w:rFonts w:ascii="Abo-thar" w:hAnsi="Abo-thar"/>
          <w:sz w:val="28"/>
          <w:rtl/>
          <w:lang w:bidi="ar-SY"/>
        </w:rPr>
        <w:t>»</w:t>
      </w:r>
      <w:r w:rsidRPr="003F3B94">
        <w:rPr>
          <w:rFonts w:ascii="Abo-thar" w:hAnsi="Abo-thar" w:hint="cs"/>
          <w:sz w:val="28"/>
          <w:rtl/>
          <w:lang w:bidi="ar-SY"/>
        </w:rPr>
        <w:t xml:space="preserve"> المعروف</w:t>
      </w:r>
      <w:r w:rsidR="00217AB4" w:rsidRPr="003F3B94">
        <w:rPr>
          <w:rFonts w:ascii="Abo-thar" w:hAnsi="Abo-thar" w:hint="cs"/>
          <w:sz w:val="28"/>
          <w:rtl/>
          <w:lang w:bidi="ar-SY"/>
        </w:rPr>
        <w:t>،</w:t>
      </w:r>
      <w:r w:rsidRPr="003F3B94">
        <w:rPr>
          <w:rFonts w:ascii="Abo-thar" w:hAnsi="Abo-thar" w:hint="cs"/>
          <w:sz w:val="28"/>
          <w:rtl/>
          <w:lang w:bidi="ar-SY"/>
        </w:rPr>
        <w:t xml:space="preserve"> بل </w:t>
      </w:r>
      <w:r w:rsidR="00592B63" w:rsidRPr="003F3B94">
        <w:rPr>
          <w:rFonts w:ascii="Abo-thar" w:hAnsi="Abo-thar" w:hint="cs"/>
          <w:sz w:val="28"/>
          <w:rtl/>
          <w:lang w:bidi="ar-SY"/>
        </w:rPr>
        <w:t>ي</w:t>
      </w:r>
      <w:r w:rsidRPr="003F3B94">
        <w:rPr>
          <w:rFonts w:ascii="Abo-thar" w:hAnsi="Abo-thar" w:hint="cs"/>
          <w:sz w:val="28"/>
          <w:rtl/>
          <w:lang w:bidi="ar-SY"/>
        </w:rPr>
        <w:t>ذكر</w:t>
      </w:r>
      <w:r w:rsidR="00592B63" w:rsidRPr="003F3B94">
        <w:rPr>
          <w:rFonts w:ascii="Abo-thar" w:hAnsi="Abo-thar" w:hint="cs"/>
          <w:sz w:val="28"/>
          <w:rtl/>
          <w:lang w:bidi="ar-SY"/>
        </w:rPr>
        <w:t>ان</w:t>
      </w:r>
      <w:r w:rsidRPr="003F3B94">
        <w:rPr>
          <w:rFonts w:ascii="Abo-thar" w:hAnsi="Abo-thar" w:hint="cs"/>
          <w:sz w:val="28"/>
          <w:rtl/>
          <w:lang w:bidi="ar-SY"/>
        </w:rPr>
        <w:t xml:space="preserve"> أمثلة</w:t>
      </w:r>
      <w:r w:rsidR="00592B63" w:rsidRPr="003F3B94">
        <w:rPr>
          <w:rFonts w:ascii="Abo-thar" w:hAnsi="Abo-thar" w:hint="cs"/>
          <w:sz w:val="28"/>
          <w:rtl/>
          <w:lang w:bidi="ar-SY"/>
        </w:rPr>
        <w:t>ً</w:t>
      </w:r>
      <w:r w:rsidRPr="003F3B94">
        <w:rPr>
          <w:rFonts w:ascii="Abo-thar" w:hAnsi="Abo-thar" w:hint="cs"/>
          <w:sz w:val="28"/>
          <w:rtl/>
          <w:lang w:bidi="ar-SY"/>
        </w:rPr>
        <w:t xml:space="preserve"> ونماذج</w:t>
      </w:r>
      <w:r w:rsidR="00592B63" w:rsidRPr="003F3B94">
        <w:rPr>
          <w:rFonts w:ascii="Abo-thar" w:hAnsi="Abo-thar" w:hint="cs"/>
          <w:sz w:val="28"/>
          <w:rtl/>
          <w:lang w:bidi="ar-SY"/>
        </w:rPr>
        <w:t>َ</w:t>
      </w:r>
      <w:r w:rsidRPr="003F3B94">
        <w:rPr>
          <w:rFonts w:ascii="Abo-thar" w:hAnsi="Abo-thar" w:hint="cs"/>
          <w:sz w:val="28"/>
          <w:rtl/>
          <w:lang w:bidi="ar-SY"/>
        </w:rPr>
        <w:t xml:space="preserve"> على سبيل المثال لا الحصر</w:t>
      </w:r>
      <w:r w:rsidR="00217AB4" w:rsidRPr="003F3B94">
        <w:rPr>
          <w:rFonts w:ascii="Abo-thar" w:hAnsi="Abo-thar" w:hint="cs"/>
          <w:sz w:val="28"/>
          <w:rtl/>
          <w:lang w:bidi="ar-SY"/>
        </w:rPr>
        <w:t>،</w:t>
      </w:r>
      <w:r w:rsidRPr="003F3B94">
        <w:rPr>
          <w:rFonts w:ascii="Abo-thar" w:hAnsi="Abo-thar" w:hint="cs"/>
          <w:sz w:val="28"/>
          <w:rtl/>
          <w:lang w:bidi="ar-SY"/>
        </w:rPr>
        <w:t xml:space="preserve"> ومثل هذا كثيرٌ في الأخبار</w:t>
      </w:r>
      <w:r w:rsidR="00217AB4" w:rsidRPr="003F3B94">
        <w:rPr>
          <w:rFonts w:ascii="Abo-thar" w:hAnsi="Abo-thar" w:hint="cs"/>
          <w:sz w:val="28"/>
          <w:rtl/>
          <w:lang w:bidi="ar-SY"/>
        </w:rPr>
        <w:t>،</w:t>
      </w:r>
      <w:r w:rsidRPr="003F3B94">
        <w:rPr>
          <w:rFonts w:ascii="Abo-thar" w:hAnsi="Abo-thar" w:hint="cs"/>
          <w:sz w:val="28"/>
          <w:rtl/>
          <w:lang w:bidi="ar-SY"/>
        </w:rPr>
        <w:t xml:space="preserve"> وإلا فكيف يمكن لشخص مثل «</w:t>
      </w:r>
      <w:r w:rsidRPr="003F3B94">
        <w:rPr>
          <w:rFonts w:ascii="Abo-thar" w:hAnsi="Abo-thar" w:hint="cs"/>
          <w:b/>
          <w:bCs/>
          <w:sz w:val="28"/>
          <w:rtl/>
          <w:lang w:bidi="ar-SY"/>
        </w:rPr>
        <w:t>محمد</w:t>
      </w:r>
      <w:r w:rsidRPr="003F3B94">
        <w:rPr>
          <w:rFonts w:ascii="Abo-thar" w:hAnsi="Abo-thar" w:hint="cs"/>
          <w:sz w:val="28"/>
          <w:rtl/>
          <w:lang w:bidi="ar-SY"/>
        </w:rPr>
        <w:t xml:space="preserve"> </w:t>
      </w:r>
      <w:r w:rsidRPr="003F3B94">
        <w:rPr>
          <w:rFonts w:ascii="Abo-thar" w:hAnsi="Abo-thar" w:hint="cs"/>
          <w:b/>
          <w:bCs/>
          <w:sz w:val="28"/>
          <w:rtl/>
          <w:lang w:bidi="ar-SY"/>
        </w:rPr>
        <w:t>ب</w:t>
      </w:r>
      <w:r w:rsidRPr="003F3B94">
        <w:rPr>
          <w:rFonts w:ascii="Abo-thar" w:hAnsi="Abo-thar"/>
          <w:b/>
          <w:bCs/>
          <w:sz w:val="28"/>
          <w:rtl/>
          <w:lang w:bidi="ar-SY"/>
        </w:rPr>
        <w:t>نِ أَبِي عُمَيْرٍ</w:t>
      </w:r>
      <w:r w:rsidRPr="003F3B94">
        <w:rPr>
          <w:rFonts w:ascii="Abo-thar" w:hAnsi="Abo-thar" w:hint="cs"/>
          <w:sz w:val="28"/>
          <w:rtl/>
          <w:lang w:bidi="ar-SY"/>
        </w:rPr>
        <w:t>»</w:t>
      </w:r>
      <w:r w:rsidR="00592B63" w:rsidRPr="003F3B94">
        <w:rPr>
          <w:rFonts w:ascii="Abo-thar" w:hAnsi="Abo-thar" w:hint="cs"/>
          <w:sz w:val="28"/>
          <w:rtl/>
          <w:lang w:bidi="ar-SY"/>
        </w:rPr>
        <w:t xml:space="preserve"> الذي</w:t>
      </w:r>
      <w:r w:rsidRPr="003F3B94">
        <w:rPr>
          <w:rFonts w:ascii="Abo-thar" w:hAnsi="Abo-thar" w:hint="cs"/>
          <w:sz w:val="28"/>
          <w:rtl/>
          <w:lang w:bidi="ar-SY"/>
        </w:rPr>
        <w:t xml:space="preserve"> كان من المؤمنين الخُلَّص وكان نفسه من الفقهاء الكبار ومن خواصِّ أصحاب الأئمة</w:t>
      </w:r>
      <w:r w:rsidR="00147857" w:rsidRPr="003F3B94">
        <w:rPr>
          <w:rFonts w:ascii="Abo-thar" w:hAnsi="Abo-thar" w:hint="cs"/>
          <w:sz w:val="28"/>
          <w:rtl/>
          <w:lang w:bidi="ar-SY"/>
        </w:rPr>
        <w:t xml:space="preserve"> </w:t>
      </w:r>
      <w:r w:rsidR="00963EFD" w:rsidRPr="00963EFD">
        <w:rPr>
          <w:rFonts w:ascii="Abo-thar" w:hAnsi="Abo-thar" w:cs="CTraditional Arabic"/>
          <w:sz w:val="28"/>
          <w:rtl/>
          <w:lang w:bidi="ar-SY"/>
        </w:rPr>
        <w:t>‡</w:t>
      </w:r>
      <w:r w:rsidR="00147857" w:rsidRPr="003F3B94">
        <w:rPr>
          <w:rFonts w:ascii="Abo-thar" w:hAnsi="Abo-thar"/>
          <w:sz w:val="28"/>
          <w:rtl/>
          <w:lang w:bidi="ar-SY"/>
        </w:rPr>
        <w:t xml:space="preserve"> </w:t>
      </w:r>
      <w:r w:rsidRPr="003F3B94">
        <w:rPr>
          <w:rFonts w:ascii="Abo-thar" w:hAnsi="Abo-thar" w:hint="cs"/>
          <w:sz w:val="28"/>
          <w:rtl/>
          <w:lang w:bidi="ar-SY"/>
        </w:rPr>
        <w:t xml:space="preserve">أن ينسى الخُمس الذي يجب إعطاؤه لآل محمد وأن ينسى الشيء الخامس من خمسة أشياء </w:t>
      </w:r>
      <w:r w:rsidR="00217AB4" w:rsidRPr="003F3B94">
        <w:rPr>
          <w:rFonts w:ascii="Abo-thar" w:hAnsi="Abo-thar" w:hint="cs"/>
          <w:sz w:val="28"/>
          <w:rtl/>
          <w:lang w:bidi="ar-SY"/>
        </w:rPr>
        <w:t>(</w:t>
      </w:r>
      <w:r w:rsidRPr="003F3B94">
        <w:rPr>
          <w:rFonts w:ascii="Abo-thar" w:hAnsi="Abo-thar" w:hint="cs"/>
          <w:sz w:val="28"/>
          <w:rtl/>
          <w:lang w:bidi="ar-SY"/>
        </w:rPr>
        <w:t>وليس من خمسة وعشرين شيئاً</w:t>
      </w:r>
      <w:r w:rsidR="00217AB4" w:rsidRPr="003F3B94">
        <w:rPr>
          <w:rFonts w:ascii="Abo-thar" w:hAnsi="Abo-thar" w:hint="cs"/>
          <w:sz w:val="28"/>
          <w:rtl/>
          <w:lang w:bidi="ar-SY"/>
        </w:rPr>
        <w:t>!!)</w:t>
      </w:r>
      <w:r w:rsidRPr="003F3B94">
        <w:rPr>
          <w:rFonts w:ascii="Abo-thar" w:hAnsi="Abo-thar" w:hint="cs"/>
          <w:sz w:val="28"/>
          <w:rtl/>
          <w:lang w:bidi="ar-SY"/>
        </w:rPr>
        <w:t xml:space="preserve"> فيأتي في الحديث قوله</w:t>
      </w:r>
      <w:r w:rsidR="00217AB4" w:rsidRPr="003F3B94">
        <w:rPr>
          <w:rFonts w:ascii="Abo-thar" w:hAnsi="Abo-thar" w:hint="cs"/>
          <w:sz w:val="28"/>
          <w:rtl/>
          <w:lang w:bidi="ar-SY"/>
        </w:rPr>
        <w:t>:</w:t>
      </w:r>
      <w:r w:rsidRPr="003F3B94">
        <w:rPr>
          <w:rFonts w:ascii="Abo-thar" w:hAnsi="Abo-thar" w:hint="cs"/>
          <w:sz w:val="28"/>
          <w:rtl/>
          <w:lang w:bidi="ar-SY"/>
        </w:rPr>
        <w:t xml:space="preserve"> </w:t>
      </w:r>
      <w:r w:rsidR="00EF2588" w:rsidRPr="003F3B94">
        <w:rPr>
          <w:rFonts w:ascii="Abo-thar" w:hAnsi="Abo-thar" w:hint="cs"/>
          <w:sz w:val="28"/>
          <w:rtl/>
          <w:lang w:bidi="ar-SY"/>
        </w:rPr>
        <w:t>«</w:t>
      </w:r>
      <w:r w:rsidRPr="003F3B94">
        <w:rPr>
          <w:rFonts w:ascii="Abo-thar" w:hAnsi="Abo-thar"/>
          <w:b/>
          <w:bCs/>
          <w:sz w:val="28"/>
          <w:rtl/>
          <w:lang w:bidi="ar-SY"/>
        </w:rPr>
        <w:t>وَنَسِيَ ابْنُ أَبِي عُمَيْرٍ الخَامِس</w:t>
      </w:r>
      <w:r w:rsidR="00EF2588" w:rsidRPr="003F3B94">
        <w:rPr>
          <w:rFonts w:ascii="Abo-thar" w:hAnsi="Abo-thar" w:hint="cs"/>
          <w:sz w:val="28"/>
          <w:rtl/>
          <w:lang w:bidi="ar-SY"/>
        </w:rPr>
        <w:t>»</w:t>
      </w:r>
      <w:r w:rsidR="00217AB4" w:rsidRPr="003F3B94">
        <w:rPr>
          <w:rFonts w:ascii="Abo-thar" w:hAnsi="Abo-thar" w:hint="cs"/>
          <w:sz w:val="28"/>
          <w:rtl/>
          <w:lang w:bidi="ar-SY"/>
        </w:rPr>
        <w:t>،</w:t>
      </w:r>
      <w:r w:rsidRPr="003F3B94">
        <w:rPr>
          <w:rFonts w:ascii="Abo-thar" w:hAnsi="Abo-thar" w:hint="cs"/>
          <w:sz w:val="28"/>
          <w:rtl/>
          <w:lang w:bidi="ar-SY"/>
        </w:rPr>
        <w:t xml:space="preserve"> فمثل هذا الشخص حتى ولو لم يكن مالكاً بنفسه لتلك الأشياء إلا أنه من الضروري </w:t>
      </w:r>
      <w:r w:rsidRPr="003F3B94">
        <w:rPr>
          <w:rFonts w:cs="Times New Roman" w:hint="cs"/>
          <w:sz w:val="28"/>
          <w:rtl/>
          <w:lang w:bidi="ar-SY"/>
        </w:rPr>
        <w:t>–</w:t>
      </w:r>
      <w:r w:rsidR="00147857" w:rsidRPr="003F3B94">
        <w:rPr>
          <w:rFonts w:ascii="Abo-thar" w:hAnsi="Abo-thar" w:hint="cs"/>
          <w:sz w:val="28"/>
          <w:rtl/>
          <w:lang w:bidi="ar-SY"/>
        </w:rPr>
        <w:t xml:space="preserve"> </w:t>
      </w:r>
      <w:r w:rsidRPr="003F3B94">
        <w:rPr>
          <w:rFonts w:ascii="Abo-thar" w:hAnsi="Abo-thar" w:hint="cs"/>
          <w:sz w:val="28"/>
          <w:rtl/>
          <w:lang w:bidi="ar-SY"/>
        </w:rPr>
        <w:t>كفقيه كبير</w:t>
      </w:r>
      <w:r w:rsidR="00217AB4" w:rsidRPr="003F3B94">
        <w:rPr>
          <w:rFonts w:ascii="Abo-thar" w:hAnsi="Abo-thar" w:hint="cs"/>
          <w:sz w:val="28"/>
          <w:rtl/>
          <w:lang w:bidi="ar-SY"/>
        </w:rPr>
        <w:t>-</w:t>
      </w:r>
      <w:r w:rsidR="00147857" w:rsidRPr="003F3B94">
        <w:rPr>
          <w:rFonts w:ascii="Abo-thar" w:hAnsi="Abo-thar" w:hint="cs"/>
          <w:sz w:val="28"/>
          <w:rtl/>
          <w:lang w:bidi="ar-SY"/>
        </w:rPr>
        <w:t xml:space="preserve"> </w:t>
      </w:r>
      <w:r w:rsidRPr="003F3B94">
        <w:rPr>
          <w:rFonts w:ascii="Abo-thar" w:hAnsi="Abo-thar" w:hint="cs"/>
          <w:sz w:val="28"/>
          <w:rtl/>
          <w:lang w:bidi="ar-SY"/>
        </w:rPr>
        <w:t>أن يعرف مسائلها وأحكامها</w:t>
      </w:r>
      <w:r w:rsidR="00217AB4" w:rsidRPr="003F3B94">
        <w:rPr>
          <w:rFonts w:ascii="Abo-thar" w:hAnsi="Abo-thar" w:hint="cs"/>
          <w:sz w:val="28"/>
          <w:rtl/>
          <w:lang w:bidi="ar-SY"/>
        </w:rPr>
        <w:t>،</w:t>
      </w:r>
      <w:r w:rsidRPr="003F3B94">
        <w:rPr>
          <w:rFonts w:ascii="Abo-thar" w:hAnsi="Abo-thar" w:hint="cs"/>
          <w:sz w:val="28"/>
          <w:rtl/>
          <w:lang w:bidi="ar-SY"/>
        </w:rPr>
        <w:t xml:space="preserve"> ولكننا نجده غير مهتمٍّ كثيراً بمعرفتها</w:t>
      </w:r>
      <w:r w:rsidR="00217AB4" w:rsidRPr="003F3B94">
        <w:rPr>
          <w:rFonts w:ascii="Abo-thar" w:hAnsi="Abo-thar" w:hint="cs"/>
          <w:sz w:val="28"/>
          <w:rtl/>
          <w:lang w:bidi="ar-SY"/>
        </w:rPr>
        <w:t>،</w:t>
      </w:r>
      <w:r w:rsidRPr="003F3B94">
        <w:rPr>
          <w:rFonts w:ascii="Abo-thar" w:hAnsi="Abo-thar" w:hint="cs"/>
          <w:sz w:val="28"/>
          <w:rtl/>
          <w:lang w:bidi="ar-SY"/>
        </w:rPr>
        <w:t xml:space="preserve"> ومن أصل خمسة أشياء ينسى الخامس</w:t>
      </w:r>
      <w:r w:rsidR="00592B63" w:rsidRPr="003F3B94">
        <w:rPr>
          <w:rFonts w:ascii="Abo-thar" w:hAnsi="Abo-thar" w:hint="cs"/>
          <w:sz w:val="28"/>
          <w:rtl/>
          <w:lang w:bidi="ar-SY"/>
        </w:rPr>
        <w:t>!</w:t>
      </w:r>
    </w:p>
    <w:p w:rsidR="005C664D" w:rsidRPr="003F3B94" w:rsidRDefault="005C664D" w:rsidP="003F3B94">
      <w:pPr>
        <w:pStyle w:val="a0"/>
        <w:rPr>
          <w:rFonts w:hint="cs"/>
          <w:rtl/>
          <w:lang w:bidi="ar-SY"/>
        </w:rPr>
      </w:pPr>
      <w:r w:rsidRPr="003F3B94">
        <w:rPr>
          <w:rFonts w:ascii="Abo-thar" w:hAnsi="Abo-thar" w:hint="cs"/>
          <w:sz w:val="28"/>
          <w:rtl/>
          <w:lang w:bidi="ar-SY"/>
        </w:rPr>
        <w:t xml:space="preserve">وعلى هذا النحو نجد المرحوم الصدوق ضمن تعداده لهذه الأشياء ونظائرها يروي حديثاً في كتابه </w:t>
      </w:r>
      <w:r w:rsidRPr="003F3B94">
        <w:rPr>
          <w:rFonts w:ascii="Abo-thar" w:hAnsi="Abo-thar"/>
          <w:sz w:val="28"/>
          <w:rtl/>
          <w:lang w:bidi="ar-SY"/>
        </w:rPr>
        <w:t>«</w:t>
      </w:r>
      <w:r w:rsidRPr="003F3B94">
        <w:rPr>
          <w:rFonts w:ascii="Abo-thar" w:hAnsi="Abo-thar" w:hint="cs"/>
          <w:sz w:val="28"/>
          <w:rtl/>
          <w:lang w:bidi="ar-SY"/>
        </w:rPr>
        <w:t>الخصال</w:t>
      </w:r>
      <w:r w:rsidRPr="003F3B94">
        <w:rPr>
          <w:rFonts w:ascii="Abo-thar" w:hAnsi="Abo-thar"/>
          <w:sz w:val="28"/>
          <w:rtl/>
          <w:lang w:bidi="ar-SY"/>
        </w:rPr>
        <w:t>»</w:t>
      </w:r>
      <w:r w:rsidR="00217AB4" w:rsidRPr="003F3B94">
        <w:rPr>
          <w:rFonts w:ascii="Abo-thar" w:hAnsi="Abo-thar" w:hint="cs"/>
          <w:sz w:val="28"/>
          <w:rtl/>
          <w:lang w:bidi="ar-SY"/>
        </w:rPr>
        <w:t>:</w:t>
      </w:r>
      <w:r w:rsidRPr="003F3B94">
        <w:rPr>
          <w:rFonts w:ascii="Abo-thar" w:hAnsi="Abo-thar" w:hint="cs"/>
          <w:sz w:val="28"/>
          <w:rtl/>
          <w:lang w:bidi="ar-SY"/>
        </w:rPr>
        <w:t xml:space="preserve"> </w:t>
      </w:r>
      <w:r w:rsidR="00EF2588" w:rsidRPr="003762F6">
        <w:rPr>
          <w:rFonts w:ascii="Abo-thar" w:hAnsi="Abo-thar" w:cs="KFGQPC Uthman Taha Naskh" w:hint="cs"/>
          <w:sz w:val="28"/>
          <w:rtl/>
          <w:lang w:bidi="ar-SY"/>
        </w:rPr>
        <w:t>«</w:t>
      </w:r>
      <w:r w:rsidRPr="003762F6">
        <w:rPr>
          <w:rFonts w:ascii="Abo-thar" w:hAnsi="Abo-thar" w:cs="KFGQPC Uthman Taha Naskh"/>
          <w:b/>
          <w:bCs/>
          <w:sz w:val="28"/>
          <w:rtl/>
          <w:lang w:bidi="ar-SY"/>
        </w:rPr>
        <w:t>عَنْ عَمَّارِ بْنِ مَرْوَانَ قَالَ</w:t>
      </w:r>
      <w:r w:rsidR="00217AB4" w:rsidRPr="003762F6">
        <w:rPr>
          <w:rFonts w:ascii="Abo-thar" w:hAnsi="Abo-thar" w:cs="KFGQPC Uthman Taha Naskh" w:hint="cs"/>
          <w:b/>
          <w:bCs/>
          <w:sz w:val="28"/>
          <w:rtl/>
          <w:lang w:bidi="ar-SY"/>
        </w:rPr>
        <w:t>:</w:t>
      </w:r>
      <w:r w:rsidRPr="003762F6">
        <w:rPr>
          <w:rFonts w:ascii="Abo-thar" w:hAnsi="Abo-thar" w:cs="KFGQPC Uthman Taha Naskh"/>
          <w:b/>
          <w:bCs/>
          <w:sz w:val="28"/>
          <w:rtl/>
          <w:lang w:bidi="ar-SY"/>
        </w:rPr>
        <w:t xml:space="preserve"> سَمِعْتُ أَبَا عَبْدِ اللهِ </w:t>
      </w:r>
      <w:r w:rsidR="00BC4BA9" w:rsidRPr="00BC4BA9">
        <w:rPr>
          <w:rFonts w:ascii="Abo-thar" w:hAnsi="Abo-thar" w:cs="CTraditional Arabic"/>
          <w:b/>
          <w:sz w:val="28"/>
          <w:rtl/>
          <w:lang w:bidi="ar-SY"/>
        </w:rPr>
        <w:t>÷</w:t>
      </w:r>
      <w:r w:rsidRPr="003762F6">
        <w:rPr>
          <w:rFonts w:ascii="Abo-thar" w:hAnsi="Abo-thar" w:cs="KFGQPC Uthman Taha Naskh"/>
          <w:b/>
          <w:bCs/>
          <w:sz w:val="28"/>
          <w:rtl/>
          <w:lang w:bidi="ar-SY"/>
        </w:rPr>
        <w:t xml:space="preserve"> يَقُولُ</w:t>
      </w:r>
      <w:r w:rsidR="00217AB4" w:rsidRPr="003762F6">
        <w:rPr>
          <w:rFonts w:ascii="Abo-thar" w:hAnsi="Abo-thar" w:cs="KFGQPC Uthman Taha Naskh" w:hint="cs"/>
          <w:b/>
          <w:bCs/>
          <w:sz w:val="28"/>
          <w:rtl/>
          <w:lang w:bidi="ar-SY"/>
        </w:rPr>
        <w:t>:</w:t>
      </w:r>
      <w:r w:rsidRPr="003762F6">
        <w:rPr>
          <w:rFonts w:ascii="Abo-thar" w:hAnsi="Abo-thar" w:cs="KFGQPC Uthman Taha Naskh"/>
          <w:b/>
          <w:bCs/>
          <w:sz w:val="28"/>
          <w:rtl/>
          <w:lang w:bidi="ar-SY"/>
        </w:rPr>
        <w:t xml:space="preserve"> فِيمَا يُخْرَجُ مِنَ المَعَادِنِ والْبَحْرِ والْغَنِيمَةِ والْحَلَالِ المُخْتَلِطِ بِالْحَرَامِ إِذَا لَمْ يُعْرَفْ صَاحِبُهُ والْكُنُوزِ الخُمُسُ</w:t>
      </w:r>
      <w:r w:rsidR="00EF2588" w:rsidRPr="003762F6">
        <w:rPr>
          <w:rFonts w:ascii="Abo-thar" w:hAnsi="Abo-thar" w:cs="KFGQPC Uthman Taha Naskh" w:hint="cs"/>
          <w:sz w:val="28"/>
          <w:rtl/>
          <w:lang w:bidi="ar-SY"/>
        </w:rPr>
        <w:t>»</w:t>
      </w:r>
      <w:r w:rsidR="00592B63" w:rsidRPr="0021507A">
        <w:rPr>
          <w:rFonts w:ascii="Abo-thar" w:hAnsi="Abo-thar" w:cs="Arabic11 BT"/>
          <w:sz w:val="28"/>
          <w:vertAlign w:val="superscript"/>
          <w:rtl/>
          <w:lang w:bidi="ar-SY"/>
        </w:rPr>
        <w:t>(</w:t>
      </w:r>
      <w:r w:rsidR="00592B63" w:rsidRPr="0021507A">
        <w:rPr>
          <w:rStyle w:val="FootnoteReference"/>
          <w:rFonts w:ascii="Abo-thar" w:hAnsi="Abo-thar" w:cs="Arabic11 BT"/>
          <w:sz w:val="28"/>
          <w:rtl/>
          <w:lang w:bidi="ar-SY"/>
        </w:rPr>
        <w:footnoteReference w:id="241"/>
      </w:r>
      <w:r w:rsidR="00592B63" w:rsidRPr="0021507A">
        <w:rPr>
          <w:rFonts w:ascii="Abo-thar" w:hAnsi="Abo-thar" w:cs="Arabic11 BT"/>
          <w:sz w:val="28"/>
          <w:vertAlign w:val="superscript"/>
          <w:rtl/>
          <w:lang w:bidi="ar-SY"/>
        </w:rPr>
        <w:t>)</w:t>
      </w:r>
      <w:r w:rsidR="00217AB4" w:rsidRPr="003F3B94">
        <w:rPr>
          <w:rFonts w:ascii="Abo-thar" w:hAnsi="Abo-thar" w:hint="cs"/>
          <w:sz w:val="28"/>
          <w:rtl/>
          <w:lang w:bidi="ar-SY"/>
        </w:rPr>
        <w:t>.</w:t>
      </w:r>
    </w:p>
    <w:p w:rsidR="005C664D" w:rsidRPr="003F3B94" w:rsidRDefault="005C664D" w:rsidP="003F3B94">
      <w:pPr>
        <w:pStyle w:val="a0"/>
        <w:rPr>
          <w:rFonts w:hint="cs"/>
          <w:rtl/>
          <w:lang w:bidi="ar-SY"/>
        </w:rPr>
      </w:pPr>
      <w:r w:rsidRPr="003F3B94">
        <w:rPr>
          <w:rFonts w:ascii="Abo-thar" w:hAnsi="Abo-thar" w:hint="cs"/>
          <w:sz w:val="28"/>
          <w:rtl/>
          <w:lang w:bidi="ar-SY"/>
        </w:rPr>
        <w:t xml:space="preserve">ولعل تعداد تلك الأشياء كان سببه أنه في ذلك الزمن كان خلفاء الجور يأخذون </w:t>
      </w:r>
      <w:r w:rsidRPr="003F3B94">
        <w:rPr>
          <w:rFonts w:cs="Times New Roman" w:hint="cs"/>
          <w:sz w:val="28"/>
          <w:rtl/>
          <w:lang w:bidi="ar-SY"/>
        </w:rPr>
        <w:t>–</w:t>
      </w:r>
      <w:r w:rsidRPr="003F3B94">
        <w:rPr>
          <w:rFonts w:ascii="Abo-thar" w:hAnsi="Abo-thar" w:hint="cs"/>
          <w:sz w:val="28"/>
          <w:rtl/>
          <w:lang w:bidi="ar-SY"/>
        </w:rPr>
        <w:t xml:space="preserve"> إضافة إلى زكاة الأموال</w:t>
      </w:r>
      <w:r w:rsidR="00217AB4" w:rsidRPr="003F3B94">
        <w:rPr>
          <w:rFonts w:ascii="Abo-thar" w:hAnsi="Abo-thar" w:hint="cs"/>
          <w:sz w:val="28"/>
          <w:rtl/>
          <w:lang w:bidi="ar-SY"/>
        </w:rPr>
        <w:t>-</w:t>
      </w:r>
      <w:r w:rsidR="00147857" w:rsidRPr="003F3B94">
        <w:rPr>
          <w:rFonts w:ascii="Abo-thar" w:hAnsi="Abo-thar" w:hint="cs"/>
          <w:sz w:val="28"/>
          <w:rtl/>
          <w:lang w:bidi="ar-SY"/>
        </w:rPr>
        <w:t xml:space="preserve"> </w:t>
      </w:r>
      <w:r w:rsidRPr="003F3B94">
        <w:rPr>
          <w:rFonts w:ascii="Abo-thar" w:hAnsi="Abo-thar" w:hint="cs"/>
          <w:sz w:val="28"/>
          <w:rtl/>
          <w:lang w:bidi="ar-SY"/>
        </w:rPr>
        <w:t>زكاة المعادن والكنوز وخمس الغنائم كلها</w:t>
      </w:r>
      <w:r w:rsidR="00217AB4" w:rsidRPr="003F3B94">
        <w:rPr>
          <w:rFonts w:ascii="Abo-thar" w:hAnsi="Abo-thar" w:hint="cs"/>
          <w:sz w:val="28"/>
          <w:rtl/>
          <w:lang w:bidi="ar-SY"/>
        </w:rPr>
        <w:t>،</w:t>
      </w:r>
      <w:r w:rsidRPr="003F3B94">
        <w:rPr>
          <w:rFonts w:ascii="Abo-thar" w:hAnsi="Abo-thar" w:hint="cs"/>
          <w:sz w:val="28"/>
          <w:rtl/>
          <w:lang w:bidi="ar-SY"/>
        </w:rPr>
        <w:t xml:space="preserve"> فكان ذلك التعداد رائجاً متعارفاً عليه</w:t>
      </w:r>
      <w:r w:rsidR="00217AB4" w:rsidRPr="003F3B94">
        <w:rPr>
          <w:rFonts w:ascii="Abo-thar" w:hAnsi="Abo-thar" w:hint="cs"/>
          <w:sz w:val="28"/>
          <w:rtl/>
          <w:lang w:bidi="ar-SY"/>
        </w:rPr>
        <w:t>،</w:t>
      </w:r>
      <w:r w:rsidRPr="003F3B94">
        <w:rPr>
          <w:rFonts w:ascii="Abo-thar" w:hAnsi="Abo-thar" w:hint="cs"/>
          <w:sz w:val="28"/>
          <w:rtl/>
          <w:lang w:bidi="ar-SY"/>
        </w:rPr>
        <w:t xml:space="preserve"> ونسيان شخص مثل </w:t>
      </w:r>
      <w:r w:rsidRPr="003F3B94">
        <w:rPr>
          <w:rFonts w:ascii="Abo-thar" w:hAnsi="Abo-thar"/>
          <w:sz w:val="28"/>
          <w:rtl/>
          <w:lang w:bidi="ar-SY"/>
        </w:rPr>
        <w:t>«</w:t>
      </w:r>
      <w:r w:rsidRPr="003F3B94">
        <w:rPr>
          <w:rFonts w:ascii="Abo-thar" w:hAnsi="Abo-thar"/>
          <w:b/>
          <w:bCs/>
          <w:sz w:val="28"/>
          <w:rtl/>
          <w:lang w:bidi="ar-SY"/>
        </w:rPr>
        <w:t>ابْنِ أَبِي عُمَيْرٍ</w:t>
      </w:r>
      <w:r w:rsidRPr="003F3B94">
        <w:rPr>
          <w:rFonts w:ascii="Abo-thar" w:hAnsi="Abo-thar"/>
          <w:sz w:val="28"/>
          <w:rtl/>
          <w:lang w:bidi="ar-SY"/>
        </w:rPr>
        <w:t>»</w:t>
      </w:r>
      <w:r w:rsidR="00147857" w:rsidRPr="003F3B94">
        <w:rPr>
          <w:rFonts w:ascii="Abo-thar" w:hAnsi="Abo-thar" w:hint="cs"/>
          <w:sz w:val="28"/>
          <w:rtl/>
          <w:lang w:bidi="ar-SY"/>
        </w:rPr>
        <w:t xml:space="preserve"> </w:t>
      </w:r>
      <w:r w:rsidRPr="003F3B94">
        <w:rPr>
          <w:rFonts w:ascii="Abo-thar" w:hAnsi="Abo-thar" w:hint="cs"/>
          <w:sz w:val="28"/>
          <w:rtl/>
          <w:lang w:bidi="ar-SY"/>
        </w:rPr>
        <w:t>للخامس من تلك القائمة</w:t>
      </w:r>
      <w:r w:rsidR="00217AB4" w:rsidRPr="003F3B94">
        <w:rPr>
          <w:rFonts w:ascii="Abo-thar" w:hAnsi="Abo-thar" w:hint="cs"/>
          <w:sz w:val="28"/>
          <w:rtl/>
          <w:lang w:bidi="ar-SY"/>
        </w:rPr>
        <w:t>،</w:t>
      </w:r>
      <w:r w:rsidRPr="003F3B94">
        <w:rPr>
          <w:rFonts w:ascii="Abo-thar" w:hAnsi="Abo-thar" w:hint="cs"/>
          <w:sz w:val="28"/>
          <w:rtl/>
          <w:lang w:bidi="ar-SY"/>
        </w:rPr>
        <w:t xml:space="preserve"> يؤيد عدم الاهتمام بمعرفة كل الأشياء التي يتم تعدادها [لأنها مجرد نماذج للمعادن والدفائن]</w:t>
      </w:r>
      <w:r w:rsidR="00217AB4" w:rsidRPr="003F3B94">
        <w:rPr>
          <w:rFonts w:ascii="Abo-thar" w:hAnsi="Abo-thar" w:hint="cs"/>
          <w:sz w:val="28"/>
          <w:rtl/>
          <w:lang w:bidi="ar-SY"/>
        </w:rPr>
        <w:t>.</w:t>
      </w:r>
    </w:p>
    <w:p w:rsidR="00254453" w:rsidRPr="003F3B94" w:rsidRDefault="00254453" w:rsidP="00A33EB8">
      <w:pPr>
        <w:widowControl w:val="0"/>
        <w:jc w:val="center"/>
        <w:rPr>
          <w:rFonts w:ascii="mylotus" w:hAnsi="mylotus" w:cs="mylotus"/>
          <w:b/>
          <w:bCs/>
          <w:sz w:val="28"/>
          <w:rtl/>
          <w:lang w:bidi="ar-SY"/>
        </w:rPr>
      </w:pPr>
      <w:r w:rsidRPr="00A33EB8">
        <w:rPr>
          <w:rFonts w:ascii="mylotus" w:hAnsi="mylotus" w:cs="B Lotus"/>
          <w:b/>
          <w:bCs/>
          <w:sz w:val="28"/>
          <w:rtl/>
          <w:lang w:bidi="ar-SY"/>
        </w:rPr>
        <w:t>***</w:t>
      </w:r>
    </w:p>
    <w:p w:rsidR="005C664D" w:rsidRPr="003F3B94" w:rsidRDefault="005C664D" w:rsidP="003F3B94">
      <w:pPr>
        <w:pStyle w:val="a0"/>
        <w:rPr>
          <w:rFonts w:hint="cs"/>
          <w:rtl/>
        </w:rPr>
      </w:pPr>
      <w:r w:rsidRPr="003F3B94">
        <w:rPr>
          <w:rFonts w:ascii="Abo-thar" w:hAnsi="Abo-thar" w:hint="cs"/>
          <w:b/>
          <w:bCs/>
          <w:sz w:val="28"/>
          <w:rtl/>
        </w:rPr>
        <w:t>النمط الثالث</w:t>
      </w:r>
      <w:r w:rsidR="00217AB4" w:rsidRPr="003F3B94">
        <w:rPr>
          <w:rFonts w:ascii="Abo-thar" w:hAnsi="Abo-thar" w:hint="cs"/>
          <w:sz w:val="28"/>
          <w:rtl/>
        </w:rPr>
        <w:t>:</w:t>
      </w:r>
      <w:r w:rsidRPr="003F3B94">
        <w:rPr>
          <w:rFonts w:ascii="Abo-thar" w:hAnsi="Abo-thar" w:hint="cs"/>
          <w:sz w:val="28"/>
          <w:rtl/>
        </w:rPr>
        <w:t xml:space="preserve"> من أخبار الخُمس تلك الأخبار والأحاديث التي تبين أن </w:t>
      </w:r>
      <w:r w:rsidRPr="003F3B94">
        <w:rPr>
          <w:rFonts w:ascii="Abo-thar" w:hAnsi="Abo-thar"/>
          <w:sz w:val="28"/>
          <w:rtl/>
        </w:rPr>
        <w:t>«</w:t>
      </w:r>
      <w:r w:rsidRPr="003F3B94">
        <w:rPr>
          <w:rFonts w:ascii="Abo-thar" w:hAnsi="Abo-thar" w:hint="cs"/>
          <w:sz w:val="28"/>
          <w:rtl/>
        </w:rPr>
        <w:t>الخُمُس</w:t>
      </w:r>
      <w:r w:rsidRPr="003F3B94">
        <w:rPr>
          <w:rFonts w:ascii="Abo-thar" w:hAnsi="Abo-thar"/>
          <w:sz w:val="28"/>
          <w:rtl/>
        </w:rPr>
        <w:t>»</w:t>
      </w:r>
      <w:r w:rsidRPr="003F3B94">
        <w:rPr>
          <w:rFonts w:ascii="Abo-thar" w:hAnsi="Abo-thar" w:hint="cs"/>
          <w:sz w:val="28"/>
          <w:rtl/>
        </w:rPr>
        <w:t xml:space="preserve"> هو للأئمة المعصومين</w:t>
      </w:r>
      <w:r w:rsidR="00147857" w:rsidRPr="003F3B94">
        <w:rPr>
          <w:rFonts w:ascii="Abo-thar" w:hAnsi="Abo-thar" w:hint="cs"/>
          <w:sz w:val="28"/>
          <w:rtl/>
        </w:rPr>
        <w:t xml:space="preserve"> </w:t>
      </w:r>
      <w:r w:rsidR="00963EFD" w:rsidRPr="00963EFD">
        <w:rPr>
          <w:rFonts w:ascii="Abo-thar" w:hAnsi="Abo-thar" w:cs="CTraditional Arabic"/>
          <w:sz w:val="28"/>
          <w:rtl/>
        </w:rPr>
        <w:t>‡</w:t>
      </w:r>
      <w:r w:rsidR="00147857" w:rsidRPr="003F3B94">
        <w:rPr>
          <w:rFonts w:ascii="Abo-thar" w:hAnsi="Abo-thar"/>
          <w:sz w:val="28"/>
          <w:rtl/>
        </w:rPr>
        <w:t xml:space="preserve"> </w:t>
      </w:r>
      <w:r w:rsidRPr="003F3B94">
        <w:rPr>
          <w:rFonts w:ascii="Abo-thar" w:hAnsi="Abo-thar" w:hint="cs"/>
          <w:sz w:val="28"/>
          <w:rtl/>
        </w:rPr>
        <w:t>أو لآل محمد</w:t>
      </w:r>
      <w:r w:rsidR="00147857" w:rsidRPr="003F3B94">
        <w:rPr>
          <w:rFonts w:ascii="Abo-thar" w:hAnsi="Abo-thar" w:hint="cs"/>
          <w:sz w:val="28"/>
          <w:rtl/>
        </w:rPr>
        <w:t xml:space="preserve"> </w:t>
      </w:r>
      <w:r w:rsidR="003C7AEB" w:rsidRPr="003C7AEB">
        <w:rPr>
          <w:rFonts w:ascii="Abo-thar" w:hAnsi="Abo-thar" w:cs="CTraditional Arabic"/>
          <w:sz w:val="28"/>
          <w:rtl/>
        </w:rPr>
        <w:t>ص</w:t>
      </w:r>
      <w:r w:rsidR="00217AB4" w:rsidRPr="003F3B94">
        <w:rPr>
          <w:rFonts w:ascii="Abo-thar" w:hAnsi="Abo-thar"/>
          <w:sz w:val="28"/>
          <w:rtl/>
        </w:rPr>
        <w:t>،</w:t>
      </w:r>
      <w:r w:rsidRPr="003F3B94">
        <w:rPr>
          <w:rFonts w:ascii="Abo-thar" w:hAnsi="Abo-thar" w:hint="cs"/>
          <w:sz w:val="28"/>
          <w:rtl/>
        </w:rPr>
        <w:t xml:space="preserve"> كالأحاديث التالية</w:t>
      </w:r>
      <w:r w:rsidR="00217AB4" w:rsidRPr="003F3B94">
        <w:rPr>
          <w:rFonts w:ascii="Abo-thar" w:hAnsi="Abo-thar" w:hint="cs"/>
          <w:sz w:val="28"/>
          <w:rtl/>
        </w:rPr>
        <w:t>:</w:t>
      </w:r>
    </w:p>
    <w:p w:rsidR="005C664D" w:rsidRPr="003F3B94" w:rsidRDefault="005C664D" w:rsidP="003F3B94">
      <w:pPr>
        <w:pStyle w:val="a0"/>
        <w:rPr>
          <w:rFonts w:hint="cs"/>
          <w:rtl/>
        </w:rPr>
      </w:pPr>
      <w:r w:rsidRPr="003F3B94">
        <w:rPr>
          <w:rFonts w:ascii="Abo-thar" w:hAnsi="Abo-thar" w:hint="cs"/>
          <w:sz w:val="28"/>
          <w:rtl/>
        </w:rPr>
        <w:t>1</w:t>
      </w:r>
      <w:r w:rsidR="00217AB4" w:rsidRPr="003F3B94">
        <w:rPr>
          <w:rFonts w:ascii="Abo-thar" w:hAnsi="Abo-thar" w:hint="cs"/>
          <w:sz w:val="28"/>
          <w:rtl/>
        </w:rPr>
        <w:t>-</w:t>
      </w:r>
      <w:r w:rsidR="00254453" w:rsidRPr="003F3B94">
        <w:rPr>
          <w:rFonts w:ascii="Abo-thar" w:hAnsi="Abo-thar" w:hint="cs"/>
          <w:sz w:val="28"/>
          <w:rtl/>
        </w:rPr>
        <w:t xml:space="preserve"> روى الشيخ الطوسي في «التهذيب»</w:t>
      </w:r>
      <w:r w:rsidR="00217AB4" w:rsidRPr="003F3B94">
        <w:rPr>
          <w:rFonts w:ascii="Abo-thar" w:hAnsi="Abo-thar" w:hint="cs"/>
          <w:sz w:val="28"/>
          <w:rtl/>
        </w:rPr>
        <w:t>:</w:t>
      </w:r>
      <w:r w:rsidRPr="003F3B94">
        <w:rPr>
          <w:rFonts w:ascii="Abo-thar" w:hAnsi="Abo-thar" w:hint="cs"/>
          <w:sz w:val="28"/>
          <w:rtl/>
        </w:rPr>
        <w:t xml:space="preserve"> عن حضرة الإمام الباقر</w:t>
      </w:r>
      <w:r w:rsidR="00147857" w:rsidRPr="003F3B94">
        <w:rPr>
          <w:rFonts w:ascii="Abo-thar" w:hAnsi="Abo-thar" w:hint="cs"/>
          <w:sz w:val="28"/>
          <w:rtl/>
        </w:rPr>
        <w:t xml:space="preserve"> </w:t>
      </w:r>
      <w:r w:rsidR="003C7AEB" w:rsidRPr="003C7AEB">
        <w:rPr>
          <w:rFonts w:ascii="Abo-thar" w:hAnsi="Abo-thar" w:cs="CTraditional Arabic"/>
          <w:sz w:val="28"/>
          <w:rtl/>
        </w:rPr>
        <w:t>÷</w:t>
      </w:r>
      <w:r w:rsidR="00217AB4" w:rsidRPr="003F3B94">
        <w:rPr>
          <w:rFonts w:ascii="Abo-thar" w:hAnsi="Abo-thar"/>
          <w:sz w:val="28"/>
          <w:rtl/>
        </w:rPr>
        <w:t>:</w:t>
      </w:r>
      <w:r w:rsidRPr="003F3B94">
        <w:rPr>
          <w:rFonts w:ascii="Abo-thar" w:hAnsi="Abo-thar" w:hint="cs"/>
          <w:sz w:val="28"/>
          <w:rtl/>
        </w:rPr>
        <w:t xml:space="preserve"> </w:t>
      </w:r>
      <w:r w:rsidR="00EF2588" w:rsidRPr="003762F6">
        <w:rPr>
          <w:rFonts w:ascii="Abo-thar" w:hAnsi="Abo-thar" w:cs="KFGQPC Uthman Taha Naskh" w:hint="cs"/>
          <w:sz w:val="28"/>
          <w:rtl/>
        </w:rPr>
        <w:t>«</w:t>
      </w:r>
      <w:r w:rsidR="00217AB4" w:rsidRPr="003762F6">
        <w:rPr>
          <w:rFonts w:ascii="Abo-thar" w:hAnsi="Abo-thar" w:cs="KFGQPC Uthman Taha Naskh" w:hint="cs"/>
          <w:sz w:val="28"/>
          <w:rtl/>
        </w:rPr>
        <w:t>..</w:t>
      </w:r>
      <w:r w:rsidRPr="003762F6">
        <w:rPr>
          <w:rFonts w:ascii="Abo-thar" w:hAnsi="Abo-thar" w:cs="KFGQPC Uthman Taha Naskh"/>
          <w:b/>
          <w:bCs/>
          <w:sz w:val="28"/>
          <w:rtl/>
        </w:rPr>
        <w:t>يَا نَجِيَّةُ</w:t>
      </w:r>
      <w:r w:rsidR="00421B82">
        <w:rPr>
          <w:rFonts w:ascii="Abo-thar" w:hAnsi="Abo-thar" w:cs="KFGQPC Uthman Taha Naskh" w:hint="cs"/>
          <w:b/>
          <w:bCs/>
          <w:sz w:val="28"/>
          <w:rtl/>
        </w:rPr>
        <w:t>!</w:t>
      </w:r>
      <w:r w:rsidRPr="003762F6">
        <w:rPr>
          <w:rFonts w:ascii="Abo-thar" w:hAnsi="Abo-thar" w:cs="KFGQPC Uthman Taha Naskh"/>
          <w:b/>
          <w:bCs/>
          <w:sz w:val="28"/>
          <w:rtl/>
        </w:rPr>
        <w:t xml:space="preserve"> إِنَّ لَنَا الخُمُسَ فِي كِتَابِ اللهِ ولَنَا الْأَنْفَالَ ولَنَا صَفْوَ الْأَمْوَالِ</w:t>
      </w:r>
      <w:r w:rsidR="00217AB4" w:rsidRPr="003762F6">
        <w:rPr>
          <w:rFonts w:ascii="Abo-thar" w:hAnsi="Abo-thar" w:cs="KFGQPC Uthman Taha Naskh" w:hint="cs"/>
          <w:sz w:val="28"/>
          <w:rtl/>
        </w:rPr>
        <w:t>.</w:t>
      </w:r>
      <w:r w:rsidR="00421B82">
        <w:rPr>
          <w:rFonts w:ascii="Abo-thar" w:hAnsi="Abo-thar" w:cs="KFGQPC Uthman Taha Naskh" w:hint="cs"/>
          <w:sz w:val="28"/>
          <w:rtl/>
        </w:rPr>
        <w:t>.</w:t>
      </w:r>
      <w:r w:rsidR="00217AB4" w:rsidRPr="003762F6">
        <w:rPr>
          <w:rFonts w:ascii="Abo-thar" w:hAnsi="Abo-thar" w:cs="KFGQPC Uthman Taha Naskh" w:hint="cs"/>
          <w:sz w:val="28"/>
          <w:rtl/>
        </w:rPr>
        <w:t>.</w:t>
      </w:r>
      <w:r w:rsidR="00EF2588" w:rsidRPr="003762F6">
        <w:rPr>
          <w:rFonts w:ascii="Abo-thar" w:hAnsi="Abo-thar" w:cs="KFGQPC Uthman Taha Naskh" w:hint="cs"/>
          <w:sz w:val="28"/>
          <w:rtl/>
        </w:rPr>
        <w:t>»</w:t>
      </w:r>
      <w:r w:rsidR="00254453" w:rsidRPr="0021507A">
        <w:rPr>
          <w:rFonts w:ascii="Abo-thar" w:hAnsi="Abo-thar" w:cs="Arabic11 BT"/>
          <w:sz w:val="28"/>
          <w:vertAlign w:val="superscript"/>
          <w:rtl/>
        </w:rPr>
        <w:t>(</w:t>
      </w:r>
      <w:r w:rsidR="00254453" w:rsidRPr="0021507A">
        <w:rPr>
          <w:rStyle w:val="FootnoteReference"/>
          <w:rFonts w:ascii="Abo-thar" w:hAnsi="Abo-thar" w:cs="Arabic11 BT"/>
          <w:sz w:val="28"/>
          <w:rtl/>
        </w:rPr>
        <w:footnoteReference w:id="242"/>
      </w:r>
      <w:r w:rsidR="00254453" w:rsidRPr="0021507A">
        <w:rPr>
          <w:rFonts w:ascii="Abo-thar" w:hAnsi="Abo-thar" w:cs="Arabic11 BT"/>
          <w:sz w:val="28"/>
          <w:vertAlign w:val="superscript"/>
          <w:rtl/>
        </w:rPr>
        <w:t>)</w:t>
      </w:r>
      <w:r w:rsidR="00217AB4" w:rsidRPr="003F3B94">
        <w:rPr>
          <w:rFonts w:ascii="Abo-thar" w:hAnsi="Abo-thar" w:hint="cs"/>
          <w:sz w:val="28"/>
          <w:rtl/>
        </w:rPr>
        <w:t>.</w:t>
      </w:r>
    </w:p>
    <w:p w:rsidR="005C664D" w:rsidRPr="00995B26" w:rsidRDefault="005C664D" w:rsidP="003F3B94">
      <w:pPr>
        <w:pStyle w:val="a0"/>
        <w:rPr>
          <w:rtl/>
          <w:lang w:bidi="ar-SY"/>
        </w:rPr>
      </w:pPr>
      <w:r w:rsidRPr="003F3B94">
        <w:rPr>
          <w:rFonts w:ascii="Abo-thar" w:hAnsi="Abo-thar" w:hint="cs"/>
          <w:sz w:val="28"/>
          <w:rtl/>
        </w:rPr>
        <w:t>2</w:t>
      </w:r>
      <w:r w:rsidR="00217AB4" w:rsidRPr="003F3B94">
        <w:rPr>
          <w:rFonts w:ascii="Abo-thar" w:hAnsi="Abo-thar" w:hint="cs"/>
          <w:sz w:val="28"/>
          <w:rtl/>
        </w:rPr>
        <w:t>-</w:t>
      </w:r>
      <w:r w:rsidR="00254453" w:rsidRPr="003F3B94">
        <w:rPr>
          <w:rFonts w:ascii="Abo-thar" w:hAnsi="Abo-thar" w:hint="cs"/>
          <w:sz w:val="28"/>
          <w:rtl/>
        </w:rPr>
        <w:t xml:space="preserve"> روى الشيخ الطوسي في «التهذيب»</w:t>
      </w:r>
      <w:r w:rsidR="00217AB4" w:rsidRPr="003F3B94">
        <w:rPr>
          <w:rFonts w:ascii="Abo-thar" w:hAnsi="Abo-thar" w:hint="cs"/>
          <w:sz w:val="28"/>
          <w:rtl/>
        </w:rPr>
        <w:t>:</w:t>
      </w:r>
      <w:r w:rsidRPr="003F3B94">
        <w:rPr>
          <w:rFonts w:ascii="Abo-thar" w:hAnsi="Abo-thar" w:hint="cs"/>
          <w:sz w:val="28"/>
          <w:rtl/>
        </w:rPr>
        <w:t xml:space="preserve"> بسنده قال </w:t>
      </w:r>
      <w:r w:rsidR="00EF2588" w:rsidRPr="003762F6">
        <w:rPr>
          <w:rFonts w:ascii="Abo-thar" w:hAnsi="Abo-thar" w:cs="KFGQPC Uthman Taha Naskh" w:hint="cs"/>
          <w:sz w:val="28"/>
          <w:rtl/>
        </w:rPr>
        <w:t>«</w:t>
      </w:r>
      <w:r w:rsidRPr="003762F6">
        <w:rPr>
          <w:rFonts w:ascii="Abo-thar" w:hAnsi="Abo-thar" w:cs="KFGQPC Uthman Taha Naskh"/>
          <w:b/>
          <w:bCs/>
          <w:sz w:val="28"/>
          <w:rtl/>
        </w:rPr>
        <w:t xml:space="preserve">حَدَّثَنَا زَكَرِيَّا بْنُ مَالِكٍ الجُعْفِيُّ عَنْ أَبِي عَبْدِ اللهِ </w:t>
      </w:r>
      <w:r w:rsidR="00BC4BA9" w:rsidRPr="00BC4BA9">
        <w:rPr>
          <w:rFonts w:ascii="Abo-thar" w:hAnsi="Abo-thar" w:cs="CTraditional Arabic"/>
          <w:b/>
          <w:sz w:val="28"/>
          <w:rtl/>
        </w:rPr>
        <w:t>÷</w:t>
      </w:r>
      <w:r w:rsidRPr="003762F6">
        <w:rPr>
          <w:rFonts w:ascii="Abo-thar" w:hAnsi="Abo-thar" w:cs="KFGQPC Uthman Taha Naskh"/>
          <w:b/>
          <w:bCs/>
          <w:sz w:val="28"/>
          <w:rtl/>
        </w:rPr>
        <w:t xml:space="preserve"> أَنَّهُ سَأَلَ</w:t>
      </w:r>
      <w:r w:rsidRPr="003762F6">
        <w:rPr>
          <w:rFonts w:ascii="Abo-thar" w:hAnsi="Abo-thar" w:cs="KFGQPC Uthman Taha Naskh" w:hint="cs"/>
          <w:b/>
          <w:bCs/>
          <w:sz w:val="28"/>
          <w:rtl/>
        </w:rPr>
        <w:t xml:space="preserve"> [</w:t>
      </w:r>
      <w:r w:rsidRPr="003762F6">
        <w:rPr>
          <w:rFonts w:ascii="Abo-thar" w:hAnsi="Abo-thar" w:cs="KFGQPC Uthman Taha Naskh"/>
          <w:b/>
          <w:bCs/>
          <w:sz w:val="28"/>
          <w:rtl/>
        </w:rPr>
        <w:t xml:space="preserve">أَبِي عَبْدِ </w:t>
      </w:r>
      <w:r w:rsidRPr="003762F6">
        <w:rPr>
          <w:rFonts w:ascii="Abo-thar" w:hAnsi="Abo-thar" w:cs="KFGQPC Uthman Taha Naskh" w:hint="cs"/>
          <w:b/>
          <w:bCs/>
          <w:sz w:val="28"/>
          <w:rtl/>
        </w:rPr>
        <w:t>اللهِ</w:t>
      </w:r>
      <w:r w:rsidR="00147857" w:rsidRPr="003762F6">
        <w:rPr>
          <w:rFonts w:ascii="Abo-thar" w:hAnsi="Abo-thar" w:cs="KFGQPC Uthman Taha Naskh" w:hint="cs"/>
          <w:b/>
          <w:bCs/>
          <w:sz w:val="28"/>
          <w:rtl/>
        </w:rPr>
        <w:t xml:space="preserve"> </w:t>
      </w:r>
      <w:r w:rsidR="003C7AEB" w:rsidRPr="003C7AEB">
        <w:rPr>
          <w:rFonts w:ascii="Abo-thar" w:hAnsi="Abo-thar" w:cs="CTraditional Arabic"/>
          <w:sz w:val="28"/>
          <w:rtl/>
        </w:rPr>
        <w:t>÷</w:t>
      </w:r>
      <w:r w:rsidR="00147857" w:rsidRPr="003762F6">
        <w:rPr>
          <w:rFonts w:ascii="Abo-thar" w:hAnsi="Abo-thar" w:cs="KFGQPC Uthman Taha Naskh"/>
          <w:sz w:val="28"/>
          <w:rtl/>
        </w:rPr>
        <w:t>]</w:t>
      </w:r>
      <w:r w:rsidRPr="003762F6">
        <w:rPr>
          <w:rFonts w:ascii="Abo-thar" w:hAnsi="Abo-thar" w:cs="KFGQPC Uthman Taha Naskh"/>
          <w:b/>
          <w:bCs/>
          <w:sz w:val="28"/>
          <w:rtl/>
        </w:rPr>
        <w:t xml:space="preserve"> عَنْ قَوْلِ اللهِ عَزَّ وجَلَّ</w:t>
      </w:r>
      <w:r w:rsidR="00B06788" w:rsidRPr="003F3B94">
        <w:rPr>
          <w:rFonts w:ascii="Abo-thar" w:hAnsi="Abo-thar" w:hint="cs"/>
          <w:b/>
          <w:bCs/>
          <w:sz w:val="28"/>
          <w:rtl/>
        </w:rPr>
        <w:t xml:space="preserve"> </w:t>
      </w:r>
      <w:r w:rsidR="00B06788" w:rsidRPr="00995B26">
        <w:rPr>
          <w:rFonts w:ascii="Abo-thar" w:hAnsi="Abo-thar" w:cs="Traditional Arabic" w:hint="cs"/>
          <w:sz w:val="28"/>
          <w:rtl/>
        </w:rPr>
        <w:t>﴿</w:t>
      </w:r>
      <w:r w:rsidR="00B06788" w:rsidRPr="0067048A">
        <w:rPr>
          <w:rFonts w:ascii="KFGQPC Uthmanic Script HAFS" w:cs="KFGQPC Uthmanic Script HAFS" w:hint="eastAsia"/>
          <w:sz w:val="28"/>
          <w:szCs w:val="28"/>
          <w:rtl/>
        </w:rPr>
        <w:t>وَ</w:t>
      </w:r>
      <w:r w:rsidR="00B06788" w:rsidRPr="0067048A">
        <w:rPr>
          <w:rFonts w:ascii="KFGQPC Uthmanic Script HAFS" w:cs="KFGQPC Uthmanic Script HAFS" w:hint="cs"/>
          <w:sz w:val="28"/>
          <w:szCs w:val="28"/>
          <w:rtl/>
        </w:rPr>
        <w:t>ٱ</w:t>
      </w:r>
      <w:r w:rsidR="00B06788" w:rsidRPr="0067048A">
        <w:rPr>
          <w:rFonts w:ascii="KFGQPC Uthmanic Script HAFS" w:cs="KFGQPC Uthmanic Script HAFS" w:hint="eastAsia"/>
          <w:sz w:val="28"/>
          <w:szCs w:val="28"/>
          <w:rtl/>
        </w:rPr>
        <w:t>ع</w:t>
      </w:r>
      <w:r w:rsidR="00B06788" w:rsidRPr="0067048A">
        <w:rPr>
          <w:rFonts w:ascii="KFGQPC Uthmanic Script HAFS" w:cs="KFGQPC Uthmanic Script HAFS" w:hint="cs"/>
          <w:sz w:val="28"/>
          <w:szCs w:val="28"/>
          <w:rtl/>
        </w:rPr>
        <w:t>ۡ</w:t>
      </w:r>
      <w:r w:rsidR="00B06788" w:rsidRPr="0067048A">
        <w:rPr>
          <w:rFonts w:ascii="KFGQPC Uthmanic Script HAFS" w:cs="KFGQPC Uthmanic Script HAFS" w:hint="eastAsia"/>
          <w:sz w:val="28"/>
          <w:szCs w:val="28"/>
          <w:rtl/>
        </w:rPr>
        <w:t>لَمُو</w:t>
      </w:r>
      <w:r w:rsidR="00B06788" w:rsidRPr="0067048A">
        <w:rPr>
          <w:rFonts w:ascii="KFGQPC Uthmanic Script HAFS" w:cs="KFGQPC Uthmanic Script HAFS" w:hint="cs"/>
          <w:sz w:val="28"/>
          <w:szCs w:val="28"/>
          <w:rtl/>
        </w:rPr>
        <w:t>ٓ</w:t>
      </w:r>
      <w:r w:rsidR="00B06788" w:rsidRPr="0067048A">
        <w:rPr>
          <w:rFonts w:ascii="KFGQPC Uthmanic Script HAFS" w:cs="KFGQPC Uthmanic Script HAFS" w:hint="eastAsia"/>
          <w:sz w:val="28"/>
          <w:szCs w:val="28"/>
          <w:rtl/>
        </w:rPr>
        <w:t>اْ</w:t>
      </w:r>
      <w:r w:rsidR="00B06788" w:rsidRPr="0067048A">
        <w:rPr>
          <w:rFonts w:ascii="KFGQPC Uthmanic Script HAFS" w:cs="KFGQPC Uthmanic Script HAFS"/>
          <w:sz w:val="28"/>
          <w:szCs w:val="28"/>
          <w:rtl/>
        </w:rPr>
        <w:t xml:space="preserve"> </w:t>
      </w:r>
      <w:r w:rsidR="00B06788" w:rsidRPr="0067048A">
        <w:rPr>
          <w:rFonts w:ascii="KFGQPC Uthmanic Script HAFS" w:cs="KFGQPC Uthmanic Script HAFS" w:hint="eastAsia"/>
          <w:sz w:val="28"/>
          <w:szCs w:val="28"/>
          <w:rtl/>
        </w:rPr>
        <w:t>أَنَّمَا</w:t>
      </w:r>
      <w:r w:rsidR="00B06788" w:rsidRPr="0067048A">
        <w:rPr>
          <w:rFonts w:ascii="KFGQPC Uthmanic Script HAFS" w:cs="KFGQPC Uthmanic Script HAFS"/>
          <w:sz w:val="28"/>
          <w:szCs w:val="28"/>
          <w:rtl/>
        </w:rPr>
        <w:t xml:space="preserve"> </w:t>
      </w:r>
      <w:r w:rsidR="00B06788" w:rsidRPr="0067048A">
        <w:rPr>
          <w:rFonts w:ascii="KFGQPC Uthmanic Script HAFS" w:cs="KFGQPC Uthmanic Script HAFS" w:hint="eastAsia"/>
          <w:sz w:val="28"/>
          <w:szCs w:val="28"/>
          <w:rtl/>
        </w:rPr>
        <w:t>غَنِم</w:t>
      </w:r>
      <w:r w:rsidR="00B06788" w:rsidRPr="0067048A">
        <w:rPr>
          <w:rFonts w:ascii="KFGQPC Uthmanic Script HAFS" w:cs="KFGQPC Uthmanic Script HAFS" w:hint="cs"/>
          <w:sz w:val="28"/>
          <w:szCs w:val="28"/>
          <w:rtl/>
        </w:rPr>
        <w:t>ۡ</w:t>
      </w:r>
      <w:r w:rsidR="00B06788" w:rsidRPr="0067048A">
        <w:rPr>
          <w:rFonts w:ascii="KFGQPC Uthmanic Script HAFS" w:cs="KFGQPC Uthmanic Script HAFS" w:hint="eastAsia"/>
          <w:sz w:val="28"/>
          <w:szCs w:val="28"/>
          <w:rtl/>
        </w:rPr>
        <w:t>تُم</w:t>
      </w:r>
      <w:r w:rsidR="00B06788" w:rsidRPr="0067048A">
        <w:rPr>
          <w:rFonts w:ascii="KFGQPC Uthmanic Script HAFS" w:cs="KFGQPC Uthmanic Script HAFS"/>
          <w:sz w:val="28"/>
          <w:szCs w:val="28"/>
          <w:rtl/>
        </w:rPr>
        <w:t xml:space="preserve"> </w:t>
      </w:r>
      <w:r w:rsidR="00B06788" w:rsidRPr="0067048A">
        <w:rPr>
          <w:rFonts w:ascii="KFGQPC Uthmanic Script HAFS" w:cs="KFGQPC Uthmanic Script HAFS" w:hint="eastAsia"/>
          <w:sz w:val="28"/>
          <w:szCs w:val="28"/>
          <w:rtl/>
        </w:rPr>
        <w:t>مِّن</w:t>
      </w:r>
      <w:r w:rsidR="00B06788" w:rsidRPr="0067048A">
        <w:rPr>
          <w:rFonts w:ascii="KFGQPC Uthmanic Script HAFS" w:cs="KFGQPC Uthmanic Script HAFS"/>
          <w:sz w:val="28"/>
          <w:szCs w:val="28"/>
          <w:rtl/>
        </w:rPr>
        <w:t xml:space="preserve"> </w:t>
      </w:r>
      <w:r w:rsidR="00B06788" w:rsidRPr="0067048A">
        <w:rPr>
          <w:rFonts w:ascii="KFGQPC Uthmanic Script HAFS" w:cs="KFGQPC Uthmanic Script HAFS" w:hint="eastAsia"/>
          <w:sz w:val="28"/>
          <w:szCs w:val="28"/>
          <w:rtl/>
        </w:rPr>
        <w:t>شَي</w:t>
      </w:r>
      <w:r w:rsidR="00B06788" w:rsidRPr="0067048A">
        <w:rPr>
          <w:rFonts w:ascii="KFGQPC Uthmanic Script HAFS" w:cs="KFGQPC Uthmanic Script HAFS" w:hint="cs"/>
          <w:sz w:val="28"/>
          <w:szCs w:val="28"/>
          <w:rtl/>
        </w:rPr>
        <w:t>ۡ</w:t>
      </w:r>
      <w:r w:rsidR="00B06788" w:rsidRPr="0067048A">
        <w:rPr>
          <w:rFonts w:ascii="KFGQPC Uthmanic Script HAFS" w:cs="KFGQPC Uthmanic Script HAFS" w:hint="eastAsia"/>
          <w:sz w:val="28"/>
          <w:szCs w:val="28"/>
          <w:rtl/>
        </w:rPr>
        <w:t>ء</w:t>
      </w:r>
      <w:r w:rsidR="00B06788" w:rsidRPr="0067048A">
        <w:rPr>
          <w:rFonts w:ascii="KFGQPC Uthmanic Script HAFS" w:cs="KFGQPC Uthmanic Script HAFS" w:hint="cs"/>
          <w:sz w:val="28"/>
          <w:szCs w:val="28"/>
          <w:rtl/>
        </w:rPr>
        <w:t>ٖ</w:t>
      </w:r>
      <w:r w:rsidR="00B06788" w:rsidRPr="0067048A">
        <w:rPr>
          <w:rFonts w:ascii="KFGQPC Uthmanic Script HAFS" w:cs="KFGQPC Uthmanic Script HAFS"/>
          <w:sz w:val="28"/>
          <w:szCs w:val="28"/>
          <w:rtl/>
        </w:rPr>
        <w:t xml:space="preserve"> </w:t>
      </w:r>
      <w:r w:rsidR="00B06788" w:rsidRPr="0067048A">
        <w:rPr>
          <w:rFonts w:ascii="KFGQPC Uthmanic Script HAFS" w:cs="KFGQPC Uthmanic Script HAFS" w:hint="eastAsia"/>
          <w:sz w:val="28"/>
          <w:szCs w:val="28"/>
          <w:rtl/>
        </w:rPr>
        <w:t>فَأَنَّ</w:t>
      </w:r>
      <w:r w:rsidR="00B06788" w:rsidRPr="0067048A">
        <w:rPr>
          <w:rFonts w:ascii="KFGQPC Uthmanic Script HAFS" w:cs="KFGQPC Uthmanic Script HAFS"/>
          <w:sz w:val="28"/>
          <w:szCs w:val="28"/>
          <w:rtl/>
        </w:rPr>
        <w:t xml:space="preserve"> </w:t>
      </w:r>
      <w:r w:rsidR="00B06788" w:rsidRPr="0067048A">
        <w:rPr>
          <w:rFonts w:ascii="KFGQPC Uthmanic Script HAFS" w:cs="KFGQPC Uthmanic Script HAFS" w:hint="eastAsia"/>
          <w:sz w:val="28"/>
          <w:szCs w:val="28"/>
          <w:rtl/>
        </w:rPr>
        <w:t>لِلَّهِ</w:t>
      </w:r>
      <w:r w:rsidR="00B06788" w:rsidRPr="0067048A">
        <w:rPr>
          <w:rFonts w:ascii="KFGQPC Uthmanic Script HAFS" w:cs="KFGQPC Uthmanic Script HAFS"/>
          <w:sz w:val="28"/>
          <w:szCs w:val="28"/>
          <w:rtl/>
        </w:rPr>
        <w:t xml:space="preserve"> </w:t>
      </w:r>
      <w:r w:rsidR="00B06788" w:rsidRPr="0067048A">
        <w:rPr>
          <w:rFonts w:ascii="KFGQPC Uthmanic Script HAFS" w:cs="KFGQPC Uthmanic Script HAFS" w:hint="eastAsia"/>
          <w:sz w:val="28"/>
          <w:szCs w:val="28"/>
          <w:rtl/>
        </w:rPr>
        <w:t>خُمُسَهُ</w:t>
      </w:r>
      <w:r w:rsidR="00B06788" w:rsidRPr="0067048A">
        <w:rPr>
          <w:rFonts w:ascii="KFGQPC Uthmanic Script HAFS" w:cs="KFGQPC Uthmanic Script HAFS" w:hint="cs"/>
          <w:sz w:val="28"/>
          <w:szCs w:val="28"/>
          <w:rtl/>
        </w:rPr>
        <w:t>ۥ</w:t>
      </w:r>
      <w:r w:rsidR="00B06788" w:rsidRPr="0067048A">
        <w:rPr>
          <w:rFonts w:ascii="KFGQPC Uthmanic Script HAFS" w:cs="KFGQPC Uthmanic Script HAFS"/>
          <w:sz w:val="28"/>
          <w:szCs w:val="28"/>
          <w:rtl/>
        </w:rPr>
        <w:t xml:space="preserve"> </w:t>
      </w:r>
      <w:r w:rsidR="00B06788" w:rsidRPr="0067048A">
        <w:rPr>
          <w:rFonts w:ascii="KFGQPC Uthmanic Script HAFS" w:cs="KFGQPC Uthmanic Script HAFS" w:hint="eastAsia"/>
          <w:sz w:val="28"/>
          <w:szCs w:val="28"/>
          <w:rtl/>
        </w:rPr>
        <w:t>وَلِلرَّسُولِ</w:t>
      </w:r>
      <w:r w:rsidR="00B06788" w:rsidRPr="0067048A">
        <w:rPr>
          <w:rFonts w:ascii="KFGQPC Uthmanic Script HAFS" w:cs="KFGQPC Uthmanic Script HAFS"/>
          <w:sz w:val="28"/>
          <w:szCs w:val="28"/>
          <w:rtl/>
        </w:rPr>
        <w:t xml:space="preserve"> </w:t>
      </w:r>
      <w:r w:rsidR="00B06788" w:rsidRPr="0067048A">
        <w:rPr>
          <w:rFonts w:ascii="KFGQPC Uthmanic Script HAFS" w:cs="KFGQPC Uthmanic Script HAFS" w:hint="eastAsia"/>
          <w:sz w:val="28"/>
          <w:szCs w:val="28"/>
          <w:rtl/>
        </w:rPr>
        <w:t>وَلِذِي</w:t>
      </w:r>
      <w:r w:rsidR="00B06788" w:rsidRPr="0067048A">
        <w:rPr>
          <w:rFonts w:ascii="KFGQPC Uthmanic Script HAFS" w:cs="KFGQPC Uthmanic Script HAFS"/>
          <w:sz w:val="28"/>
          <w:szCs w:val="28"/>
          <w:rtl/>
        </w:rPr>
        <w:t xml:space="preserve"> </w:t>
      </w:r>
      <w:r w:rsidR="00B06788" w:rsidRPr="0067048A">
        <w:rPr>
          <w:rFonts w:ascii="KFGQPC Uthmanic Script HAFS" w:cs="KFGQPC Uthmanic Script HAFS" w:hint="cs"/>
          <w:sz w:val="28"/>
          <w:szCs w:val="28"/>
          <w:rtl/>
        </w:rPr>
        <w:t>ٱ</w:t>
      </w:r>
      <w:r w:rsidR="00B06788" w:rsidRPr="0067048A">
        <w:rPr>
          <w:rFonts w:ascii="KFGQPC Uthmanic Script HAFS" w:cs="KFGQPC Uthmanic Script HAFS" w:hint="eastAsia"/>
          <w:sz w:val="28"/>
          <w:szCs w:val="28"/>
          <w:rtl/>
        </w:rPr>
        <w:t>ل</w:t>
      </w:r>
      <w:r w:rsidR="00B06788" w:rsidRPr="0067048A">
        <w:rPr>
          <w:rFonts w:ascii="KFGQPC Uthmanic Script HAFS" w:cs="KFGQPC Uthmanic Script HAFS" w:hint="cs"/>
          <w:sz w:val="28"/>
          <w:szCs w:val="28"/>
          <w:rtl/>
        </w:rPr>
        <w:t>ۡ</w:t>
      </w:r>
      <w:r w:rsidR="00B06788" w:rsidRPr="0067048A">
        <w:rPr>
          <w:rFonts w:ascii="KFGQPC Uthmanic Script HAFS" w:cs="KFGQPC Uthmanic Script HAFS" w:hint="eastAsia"/>
          <w:sz w:val="28"/>
          <w:szCs w:val="28"/>
          <w:rtl/>
        </w:rPr>
        <w:t>قُر</w:t>
      </w:r>
      <w:r w:rsidR="00B06788" w:rsidRPr="0067048A">
        <w:rPr>
          <w:rFonts w:ascii="KFGQPC Uthmanic Script HAFS" w:cs="KFGQPC Uthmanic Script HAFS" w:hint="cs"/>
          <w:sz w:val="28"/>
          <w:szCs w:val="28"/>
          <w:rtl/>
        </w:rPr>
        <w:t>ۡ</w:t>
      </w:r>
      <w:r w:rsidR="00B06788" w:rsidRPr="0067048A">
        <w:rPr>
          <w:rFonts w:ascii="KFGQPC Uthmanic Script HAFS" w:cs="KFGQPC Uthmanic Script HAFS" w:hint="eastAsia"/>
          <w:sz w:val="28"/>
          <w:szCs w:val="28"/>
          <w:rtl/>
        </w:rPr>
        <w:t>بَى</w:t>
      </w:r>
      <w:r w:rsidR="00B06788" w:rsidRPr="0067048A">
        <w:rPr>
          <w:rFonts w:ascii="KFGQPC Uthmanic Script HAFS" w:cs="KFGQPC Uthmanic Script HAFS" w:hint="cs"/>
          <w:sz w:val="28"/>
          <w:szCs w:val="28"/>
          <w:rtl/>
        </w:rPr>
        <w:t>ٰ</w:t>
      </w:r>
      <w:r w:rsidR="00B06788" w:rsidRPr="0067048A">
        <w:rPr>
          <w:rFonts w:ascii="KFGQPC Uthmanic Script HAFS" w:cs="KFGQPC Uthmanic Script HAFS"/>
          <w:sz w:val="28"/>
          <w:szCs w:val="28"/>
          <w:rtl/>
        </w:rPr>
        <w:t xml:space="preserve"> </w:t>
      </w:r>
      <w:r w:rsidR="00B06788" w:rsidRPr="0067048A">
        <w:rPr>
          <w:rFonts w:ascii="KFGQPC Uthmanic Script HAFS" w:cs="KFGQPC Uthmanic Script HAFS" w:hint="eastAsia"/>
          <w:sz w:val="28"/>
          <w:szCs w:val="28"/>
          <w:rtl/>
        </w:rPr>
        <w:t>وَ</w:t>
      </w:r>
      <w:r w:rsidR="00B06788" w:rsidRPr="0067048A">
        <w:rPr>
          <w:rFonts w:ascii="KFGQPC Uthmanic Script HAFS" w:cs="KFGQPC Uthmanic Script HAFS" w:hint="cs"/>
          <w:sz w:val="28"/>
          <w:szCs w:val="28"/>
          <w:rtl/>
        </w:rPr>
        <w:t>ٱ</w:t>
      </w:r>
      <w:r w:rsidR="00B06788" w:rsidRPr="0067048A">
        <w:rPr>
          <w:rFonts w:ascii="KFGQPC Uthmanic Script HAFS" w:cs="KFGQPC Uthmanic Script HAFS" w:hint="eastAsia"/>
          <w:sz w:val="28"/>
          <w:szCs w:val="28"/>
          <w:rtl/>
        </w:rPr>
        <w:t>ل</w:t>
      </w:r>
      <w:r w:rsidR="00B06788" w:rsidRPr="0067048A">
        <w:rPr>
          <w:rFonts w:ascii="KFGQPC Uthmanic Script HAFS" w:cs="KFGQPC Uthmanic Script HAFS" w:hint="cs"/>
          <w:sz w:val="28"/>
          <w:szCs w:val="28"/>
          <w:rtl/>
        </w:rPr>
        <w:t>ۡ</w:t>
      </w:r>
      <w:r w:rsidR="00B06788" w:rsidRPr="0067048A">
        <w:rPr>
          <w:rFonts w:ascii="KFGQPC Uthmanic Script HAFS" w:cs="KFGQPC Uthmanic Script HAFS" w:hint="eastAsia"/>
          <w:sz w:val="28"/>
          <w:szCs w:val="28"/>
          <w:rtl/>
        </w:rPr>
        <w:t>يَتَ</w:t>
      </w:r>
      <w:r w:rsidR="00B06788" w:rsidRPr="0067048A">
        <w:rPr>
          <w:rFonts w:ascii="KFGQPC Uthmanic Script HAFS" w:cs="KFGQPC Uthmanic Script HAFS" w:hint="cs"/>
          <w:sz w:val="28"/>
          <w:szCs w:val="28"/>
          <w:rtl/>
        </w:rPr>
        <w:t>ٰ</w:t>
      </w:r>
      <w:r w:rsidR="00B06788" w:rsidRPr="0067048A">
        <w:rPr>
          <w:rFonts w:ascii="KFGQPC Uthmanic Script HAFS" w:cs="KFGQPC Uthmanic Script HAFS" w:hint="eastAsia"/>
          <w:sz w:val="28"/>
          <w:szCs w:val="28"/>
          <w:rtl/>
        </w:rPr>
        <w:t>مَى</w:t>
      </w:r>
      <w:r w:rsidR="00B06788" w:rsidRPr="0067048A">
        <w:rPr>
          <w:rFonts w:ascii="KFGQPC Uthmanic Script HAFS" w:cs="KFGQPC Uthmanic Script HAFS" w:hint="cs"/>
          <w:sz w:val="28"/>
          <w:szCs w:val="28"/>
          <w:rtl/>
        </w:rPr>
        <w:t>ٰ</w:t>
      </w:r>
      <w:r w:rsidR="00B06788" w:rsidRPr="0067048A">
        <w:rPr>
          <w:rFonts w:ascii="KFGQPC Uthmanic Script HAFS" w:cs="KFGQPC Uthmanic Script HAFS"/>
          <w:sz w:val="28"/>
          <w:szCs w:val="28"/>
          <w:rtl/>
        </w:rPr>
        <w:t xml:space="preserve"> </w:t>
      </w:r>
      <w:r w:rsidR="00B06788" w:rsidRPr="0067048A">
        <w:rPr>
          <w:rFonts w:ascii="KFGQPC Uthmanic Script HAFS" w:cs="KFGQPC Uthmanic Script HAFS" w:hint="eastAsia"/>
          <w:sz w:val="28"/>
          <w:szCs w:val="28"/>
          <w:rtl/>
        </w:rPr>
        <w:t>وَ</w:t>
      </w:r>
      <w:r w:rsidR="00B06788" w:rsidRPr="0067048A">
        <w:rPr>
          <w:rFonts w:ascii="KFGQPC Uthmanic Script HAFS" w:cs="KFGQPC Uthmanic Script HAFS" w:hint="cs"/>
          <w:sz w:val="28"/>
          <w:szCs w:val="28"/>
          <w:rtl/>
        </w:rPr>
        <w:t>ٱ</w:t>
      </w:r>
      <w:r w:rsidR="00B06788" w:rsidRPr="0067048A">
        <w:rPr>
          <w:rFonts w:ascii="KFGQPC Uthmanic Script HAFS" w:cs="KFGQPC Uthmanic Script HAFS" w:hint="eastAsia"/>
          <w:sz w:val="28"/>
          <w:szCs w:val="28"/>
          <w:rtl/>
        </w:rPr>
        <w:t>ل</w:t>
      </w:r>
      <w:r w:rsidR="00B06788" w:rsidRPr="0067048A">
        <w:rPr>
          <w:rFonts w:ascii="KFGQPC Uthmanic Script HAFS" w:cs="KFGQPC Uthmanic Script HAFS" w:hint="cs"/>
          <w:sz w:val="28"/>
          <w:szCs w:val="28"/>
          <w:rtl/>
        </w:rPr>
        <w:t>ۡ</w:t>
      </w:r>
      <w:r w:rsidR="00B06788" w:rsidRPr="0067048A">
        <w:rPr>
          <w:rFonts w:ascii="KFGQPC Uthmanic Script HAFS" w:cs="KFGQPC Uthmanic Script HAFS" w:hint="eastAsia"/>
          <w:sz w:val="28"/>
          <w:szCs w:val="28"/>
          <w:rtl/>
        </w:rPr>
        <w:t>مَسَ</w:t>
      </w:r>
      <w:r w:rsidR="00B06788" w:rsidRPr="0067048A">
        <w:rPr>
          <w:rFonts w:ascii="KFGQPC Uthmanic Script HAFS" w:cs="KFGQPC Uthmanic Script HAFS" w:hint="cs"/>
          <w:sz w:val="28"/>
          <w:szCs w:val="28"/>
          <w:rtl/>
        </w:rPr>
        <w:t>ٰ</w:t>
      </w:r>
      <w:r w:rsidR="00B06788" w:rsidRPr="0067048A">
        <w:rPr>
          <w:rFonts w:ascii="KFGQPC Uthmanic Script HAFS" w:cs="KFGQPC Uthmanic Script HAFS" w:hint="eastAsia"/>
          <w:sz w:val="28"/>
          <w:szCs w:val="28"/>
          <w:rtl/>
        </w:rPr>
        <w:t>كِينِ</w:t>
      </w:r>
      <w:r w:rsidR="00B06788" w:rsidRPr="0067048A">
        <w:rPr>
          <w:rFonts w:ascii="KFGQPC Uthmanic Script HAFS" w:cs="KFGQPC Uthmanic Script HAFS"/>
          <w:sz w:val="28"/>
          <w:szCs w:val="28"/>
          <w:rtl/>
        </w:rPr>
        <w:t xml:space="preserve"> </w:t>
      </w:r>
      <w:r w:rsidR="00B06788" w:rsidRPr="0067048A">
        <w:rPr>
          <w:rFonts w:ascii="KFGQPC Uthmanic Script HAFS" w:cs="KFGQPC Uthmanic Script HAFS" w:hint="eastAsia"/>
          <w:sz w:val="28"/>
          <w:szCs w:val="28"/>
          <w:rtl/>
        </w:rPr>
        <w:t>وَ</w:t>
      </w:r>
      <w:r w:rsidR="00B06788" w:rsidRPr="0067048A">
        <w:rPr>
          <w:rFonts w:ascii="KFGQPC Uthmanic Script HAFS" w:cs="KFGQPC Uthmanic Script HAFS" w:hint="cs"/>
          <w:sz w:val="28"/>
          <w:szCs w:val="28"/>
          <w:rtl/>
        </w:rPr>
        <w:t>ٱ</w:t>
      </w:r>
      <w:r w:rsidR="00B06788" w:rsidRPr="0067048A">
        <w:rPr>
          <w:rFonts w:ascii="KFGQPC Uthmanic Script HAFS" w:cs="KFGQPC Uthmanic Script HAFS" w:hint="eastAsia"/>
          <w:sz w:val="28"/>
          <w:szCs w:val="28"/>
          <w:rtl/>
        </w:rPr>
        <w:t>ب</w:t>
      </w:r>
      <w:r w:rsidR="00B06788" w:rsidRPr="0067048A">
        <w:rPr>
          <w:rFonts w:ascii="KFGQPC Uthmanic Script HAFS" w:cs="KFGQPC Uthmanic Script HAFS" w:hint="cs"/>
          <w:sz w:val="28"/>
          <w:szCs w:val="28"/>
          <w:rtl/>
        </w:rPr>
        <w:t>ۡ</w:t>
      </w:r>
      <w:r w:rsidR="00B06788" w:rsidRPr="0067048A">
        <w:rPr>
          <w:rFonts w:ascii="KFGQPC Uthmanic Script HAFS" w:cs="KFGQPC Uthmanic Script HAFS" w:hint="eastAsia"/>
          <w:sz w:val="28"/>
          <w:szCs w:val="28"/>
          <w:rtl/>
        </w:rPr>
        <w:t>نِ</w:t>
      </w:r>
      <w:r w:rsidR="00B06788" w:rsidRPr="0067048A">
        <w:rPr>
          <w:rFonts w:ascii="KFGQPC Uthmanic Script HAFS" w:cs="KFGQPC Uthmanic Script HAFS"/>
          <w:sz w:val="28"/>
          <w:szCs w:val="28"/>
          <w:rtl/>
        </w:rPr>
        <w:t xml:space="preserve"> </w:t>
      </w:r>
      <w:r w:rsidR="00B06788" w:rsidRPr="0067048A">
        <w:rPr>
          <w:rFonts w:ascii="KFGQPC Uthmanic Script HAFS" w:cs="KFGQPC Uthmanic Script HAFS" w:hint="cs"/>
          <w:sz w:val="28"/>
          <w:szCs w:val="28"/>
          <w:rtl/>
        </w:rPr>
        <w:t>ٱ</w:t>
      </w:r>
      <w:r w:rsidR="00B06788" w:rsidRPr="0067048A">
        <w:rPr>
          <w:rFonts w:ascii="KFGQPC Uthmanic Script HAFS" w:cs="KFGQPC Uthmanic Script HAFS" w:hint="eastAsia"/>
          <w:sz w:val="28"/>
          <w:szCs w:val="28"/>
          <w:rtl/>
        </w:rPr>
        <w:t>لسَّبِيلِ</w:t>
      </w:r>
      <w:r w:rsidR="00B06788" w:rsidRPr="00995B26">
        <w:rPr>
          <w:rFonts w:ascii="Abo-thar" w:hAnsi="Abo-thar" w:cs="Traditional Arabic" w:hint="cs"/>
          <w:sz w:val="28"/>
          <w:rtl/>
        </w:rPr>
        <w:t>﴾</w:t>
      </w:r>
      <w:r w:rsidRPr="00995B26">
        <w:rPr>
          <w:rFonts w:ascii="Abo-thar" w:hAnsi="Abo-thar"/>
          <w:b/>
          <w:bCs/>
          <w:sz w:val="28"/>
          <w:rtl/>
        </w:rPr>
        <w:t xml:space="preserve"> </w:t>
      </w:r>
      <w:r w:rsidRPr="003762F6">
        <w:rPr>
          <w:rFonts w:ascii="Abo-thar" w:hAnsi="Abo-thar" w:cs="KFGQPC Uthman Taha Naskh"/>
          <w:b/>
          <w:bCs/>
          <w:sz w:val="28"/>
          <w:rtl/>
        </w:rPr>
        <w:t>فَقَالَ</w:t>
      </w:r>
      <w:r w:rsidR="00217AB4" w:rsidRPr="003762F6">
        <w:rPr>
          <w:rFonts w:ascii="Abo-thar" w:hAnsi="Abo-thar" w:cs="KFGQPC Uthman Taha Naskh" w:hint="cs"/>
          <w:b/>
          <w:bCs/>
          <w:sz w:val="28"/>
          <w:rtl/>
        </w:rPr>
        <w:t>:</w:t>
      </w:r>
      <w:r w:rsidRPr="003762F6">
        <w:rPr>
          <w:rFonts w:ascii="Abo-thar" w:hAnsi="Abo-thar" w:cs="KFGQPC Uthman Taha Naskh"/>
          <w:b/>
          <w:bCs/>
          <w:sz w:val="28"/>
          <w:rtl/>
        </w:rPr>
        <w:t xml:space="preserve"> أَمَّا خُمُسُ اللهِ عَزَّ وجَلَّ فَلِلرَّسُولِ يَضَعُهُ فِي سَبِيلِ اللهِ وأَمَّا خُمُسُ الرَّسُولِ فَلِأَقَارِبِهِ وخُمُسُ ذَوِي الْقُرْبَى فَهُمْ أَقْرِبَاؤُهُ والْيَتَامَى يَتَامَى أَهْلِ بَيْتِه</w:t>
      </w:r>
      <w:r w:rsidRPr="003762F6">
        <w:rPr>
          <w:rFonts w:ascii="Abo-thar" w:hAnsi="Abo-thar" w:cs="KFGQPC Uthman Taha Naskh"/>
          <w:sz w:val="28"/>
          <w:rtl/>
        </w:rPr>
        <w:t>‏</w:t>
      </w:r>
      <w:r w:rsidR="00EF2588" w:rsidRPr="003762F6">
        <w:rPr>
          <w:rFonts w:ascii="Abo-thar" w:hAnsi="Abo-thar" w:cs="KFGQPC Uthman Taha Naskh" w:hint="cs"/>
          <w:sz w:val="28"/>
          <w:rtl/>
        </w:rPr>
        <w:t>»</w:t>
      </w:r>
      <w:r w:rsidR="00254453" w:rsidRPr="0021507A">
        <w:rPr>
          <w:rFonts w:ascii="Abo-thar" w:hAnsi="Abo-thar" w:cs="Arabic11 BT"/>
          <w:sz w:val="28"/>
          <w:vertAlign w:val="superscript"/>
          <w:rtl/>
        </w:rPr>
        <w:t>(</w:t>
      </w:r>
      <w:r w:rsidR="00254453" w:rsidRPr="0021507A">
        <w:rPr>
          <w:rStyle w:val="FootnoteReference"/>
          <w:rFonts w:ascii="Abo-thar" w:hAnsi="Abo-thar" w:cs="Arabic11 BT"/>
          <w:sz w:val="28"/>
          <w:rtl/>
        </w:rPr>
        <w:footnoteReference w:id="243"/>
      </w:r>
      <w:r w:rsidR="00254453" w:rsidRPr="0021507A">
        <w:rPr>
          <w:rFonts w:ascii="Abo-thar" w:hAnsi="Abo-thar" w:cs="Arabic11 BT"/>
          <w:sz w:val="28"/>
          <w:vertAlign w:val="superscript"/>
          <w:rtl/>
        </w:rPr>
        <w:t>)</w:t>
      </w:r>
      <w:r w:rsidR="00217AB4" w:rsidRPr="00995B26">
        <w:rPr>
          <w:rFonts w:ascii="Abo-thar" w:hAnsi="Abo-thar" w:hint="cs"/>
          <w:sz w:val="28"/>
          <w:rtl/>
        </w:rPr>
        <w:t>.</w:t>
      </w:r>
    </w:p>
    <w:p w:rsidR="005C664D" w:rsidRPr="00995B26" w:rsidRDefault="005C664D" w:rsidP="00421B82">
      <w:pPr>
        <w:pStyle w:val="a0"/>
        <w:rPr>
          <w:rFonts w:hint="cs"/>
          <w:rtl/>
          <w:lang w:bidi="ar-SY"/>
        </w:rPr>
      </w:pPr>
      <w:r w:rsidRPr="003F3B94">
        <w:rPr>
          <w:rFonts w:ascii="Abo-thar" w:hAnsi="Abo-thar" w:hint="cs"/>
          <w:sz w:val="28"/>
          <w:rtl/>
          <w:lang w:bidi="ar-SY"/>
        </w:rPr>
        <w:t>3</w:t>
      </w:r>
      <w:r w:rsidR="00217AB4" w:rsidRPr="003F3B94">
        <w:rPr>
          <w:rFonts w:ascii="Abo-thar" w:hAnsi="Abo-thar" w:hint="cs"/>
          <w:sz w:val="28"/>
          <w:rtl/>
          <w:lang w:bidi="ar-SY"/>
        </w:rPr>
        <w:t>-</w:t>
      </w:r>
      <w:r w:rsidR="00254453" w:rsidRPr="003F3B94">
        <w:rPr>
          <w:rFonts w:ascii="Abo-thar" w:hAnsi="Abo-thar" w:hint="cs"/>
          <w:sz w:val="28"/>
          <w:rtl/>
          <w:lang w:bidi="ar-SY"/>
        </w:rPr>
        <w:t xml:space="preserve"> وروى الشيخ الطوسي في «التهذيب»</w:t>
      </w:r>
      <w:r w:rsidR="00217AB4" w:rsidRPr="003F3B94">
        <w:rPr>
          <w:rFonts w:ascii="Abo-thar" w:hAnsi="Abo-thar" w:hint="cs"/>
          <w:sz w:val="28"/>
          <w:rtl/>
          <w:lang w:bidi="ar-SY"/>
        </w:rPr>
        <w:t>:</w:t>
      </w:r>
      <w:r w:rsidR="00147857" w:rsidRPr="003F3B94">
        <w:rPr>
          <w:rFonts w:ascii="Abo-thar" w:hAnsi="Abo-thar" w:hint="cs"/>
          <w:sz w:val="28"/>
          <w:rtl/>
          <w:lang w:bidi="ar-SY"/>
        </w:rPr>
        <w:t xml:space="preserve"> </w:t>
      </w:r>
      <w:r w:rsidRPr="003F3B94">
        <w:rPr>
          <w:rFonts w:ascii="Abo-thar" w:hAnsi="Abo-thar" w:hint="cs"/>
          <w:sz w:val="28"/>
          <w:rtl/>
          <w:lang w:bidi="ar-SY"/>
        </w:rPr>
        <w:t xml:space="preserve">بسنده عن </w:t>
      </w:r>
      <w:r w:rsidR="00EF2588" w:rsidRPr="003762F6">
        <w:rPr>
          <w:rFonts w:ascii="Abo-thar" w:hAnsi="Abo-thar" w:cs="KFGQPC Uthman Taha Naskh" w:hint="cs"/>
          <w:sz w:val="28"/>
          <w:rtl/>
          <w:lang w:bidi="ar-SY"/>
        </w:rPr>
        <w:t>«</w:t>
      </w:r>
      <w:r w:rsidRPr="003762F6">
        <w:rPr>
          <w:rFonts w:ascii="Abo-thar" w:hAnsi="Abo-thar" w:cs="KFGQPC Uthman Taha Naskh"/>
          <w:b/>
          <w:bCs/>
          <w:sz w:val="28"/>
          <w:rtl/>
          <w:lang w:bidi="ar-SY"/>
        </w:rPr>
        <w:t xml:space="preserve">الْحَسَنِ بْنِ عَلِيِّ بْنِ فَضَّالٍ عَنْ عَبْدِاللهِ بْنِ بُكَيْرٍ عَنْ بَعْضِ أَصْحَابِهِ عَنْ أَحَدِهِمَا </w:t>
      </w:r>
      <w:r w:rsidR="00BC4BA9" w:rsidRPr="00BC4BA9">
        <w:rPr>
          <w:rFonts w:ascii="Abo-thar" w:hAnsi="Abo-thar" w:cs="CTraditional Arabic"/>
          <w:b/>
          <w:sz w:val="28"/>
          <w:rtl/>
          <w:lang w:bidi="ar-SY"/>
        </w:rPr>
        <w:t>÷</w:t>
      </w:r>
      <w:r w:rsidRPr="003762F6">
        <w:rPr>
          <w:rFonts w:ascii="Abo-thar" w:hAnsi="Abo-thar" w:cs="KFGQPC Uthman Taha Naskh"/>
          <w:b/>
          <w:bCs/>
          <w:sz w:val="28"/>
          <w:rtl/>
          <w:lang w:bidi="ar-SY"/>
        </w:rPr>
        <w:t xml:space="preserve"> فِي قَوْلِ اللهِ تَعَالَى</w:t>
      </w:r>
      <w:r w:rsidR="00421B82">
        <w:rPr>
          <w:rFonts w:ascii="Abo-thar" w:hAnsi="Abo-thar" w:cs="KFGQPC Uthman Taha Naskh" w:hint="cs"/>
          <w:b/>
          <w:bCs/>
          <w:sz w:val="28"/>
          <w:rtl/>
          <w:lang w:bidi="ar-SY"/>
        </w:rPr>
        <w:t>:</w:t>
      </w:r>
      <w:r w:rsidRPr="003762F6">
        <w:rPr>
          <w:rFonts w:ascii="Abo-thar" w:hAnsi="Abo-thar" w:cs="KFGQPC Uthman Taha Naskh"/>
          <w:b/>
          <w:bCs/>
          <w:sz w:val="28"/>
          <w:rtl/>
          <w:lang w:bidi="ar-SY"/>
        </w:rPr>
        <w:t xml:space="preserve"> </w:t>
      </w:r>
      <w:r w:rsidR="00B06788" w:rsidRPr="00995B26">
        <w:rPr>
          <w:rFonts w:ascii="Abo-thar" w:hAnsi="Abo-thar" w:cs="Traditional Arabic" w:hint="cs"/>
          <w:sz w:val="28"/>
          <w:rtl/>
        </w:rPr>
        <w:t>﴿</w:t>
      </w:r>
      <w:r w:rsidR="00B06788" w:rsidRPr="0067048A">
        <w:rPr>
          <w:rFonts w:ascii="KFGQPC Uthmanic Script HAFS" w:cs="KFGQPC Uthmanic Script HAFS" w:hint="eastAsia"/>
          <w:sz w:val="28"/>
          <w:szCs w:val="28"/>
          <w:rtl/>
        </w:rPr>
        <w:t>وَ</w:t>
      </w:r>
      <w:r w:rsidR="00B06788" w:rsidRPr="0067048A">
        <w:rPr>
          <w:rFonts w:ascii="KFGQPC Uthmanic Script HAFS" w:cs="KFGQPC Uthmanic Script HAFS" w:hint="cs"/>
          <w:sz w:val="28"/>
          <w:szCs w:val="28"/>
          <w:rtl/>
        </w:rPr>
        <w:t>ٱ</w:t>
      </w:r>
      <w:r w:rsidR="00B06788" w:rsidRPr="0067048A">
        <w:rPr>
          <w:rFonts w:ascii="KFGQPC Uthmanic Script HAFS" w:cs="KFGQPC Uthmanic Script HAFS" w:hint="eastAsia"/>
          <w:sz w:val="28"/>
          <w:szCs w:val="28"/>
          <w:rtl/>
        </w:rPr>
        <w:t>ع</w:t>
      </w:r>
      <w:r w:rsidR="00B06788" w:rsidRPr="0067048A">
        <w:rPr>
          <w:rFonts w:ascii="KFGQPC Uthmanic Script HAFS" w:cs="KFGQPC Uthmanic Script HAFS" w:hint="cs"/>
          <w:sz w:val="28"/>
          <w:szCs w:val="28"/>
          <w:rtl/>
        </w:rPr>
        <w:t>ۡ</w:t>
      </w:r>
      <w:r w:rsidR="00B06788" w:rsidRPr="0067048A">
        <w:rPr>
          <w:rFonts w:ascii="KFGQPC Uthmanic Script HAFS" w:cs="KFGQPC Uthmanic Script HAFS" w:hint="eastAsia"/>
          <w:sz w:val="28"/>
          <w:szCs w:val="28"/>
          <w:rtl/>
        </w:rPr>
        <w:t>لَمُو</w:t>
      </w:r>
      <w:r w:rsidR="00B06788" w:rsidRPr="0067048A">
        <w:rPr>
          <w:rFonts w:ascii="KFGQPC Uthmanic Script HAFS" w:cs="KFGQPC Uthmanic Script HAFS" w:hint="cs"/>
          <w:sz w:val="28"/>
          <w:szCs w:val="28"/>
          <w:rtl/>
        </w:rPr>
        <w:t>ٓ</w:t>
      </w:r>
      <w:r w:rsidR="00B06788" w:rsidRPr="0067048A">
        <w:rPr>
          <w:rFonts w:ascii="KFGQPC Uthmanic Script HAFS" w:cs="KFGQPC Uthmanic Script HAFS" w:hint="eastAsia"/>
          <w:sz w:val="28"/>
          <w:szCs w:val="28"/>
          <w:rtl/>
        </w:rPr>
        <w:t>اْ</w:t>
      </w:r>
      <w:r w:rsidR="00B06788" w:rsidRPr="0067048A">
        <w:rPr>
          <w:rFonts w:ascii="KFGQPC Uthmanic Script HAFS" w:cs="KFGQPC Uthmanic Script HAFS"/>
          <w:sz w:val="28"/>
          <w:szCs w:val="28"/>
          <w:rtl/>
        </w:rPr>
        <w:t xml:space="preserve"> </w:t>
      </w:r>
      <w:r w:rsidR="00B06788" w:rsidRPr="0067048A">
        <w:rPr>
          <w:rFonts w:ascii="KFGQPC Uthmanic Script HAFS" w:cs="KFGQPC Uthmanic Script HAFS" w:hint="eastAsia"/>
          <w:sz w:val="28"/>
          <w:szCs w:val="28"/>
          <w:rtl/>
        </w:rPr>
        <w:t>أَنَّمَا</w:t>
      </w:r>
      <w:r w:rsidR="00B06788" w:rsidRPr="0067048A">
        <w:rPr>
          <w:rFonts w:ascii="KFGQPC Uthmanic Script HAFS" w:cs="KFGQPC Uthmanic Script HAFS"/>
          <w:sz w:val="28"/>
          <w:szCs w:val="28"/>
          <w:rtl/>
        </w:rPr>
        <w:t xml:space="preserve"> </w:t>
      </w:r>
      <w:r w:rsidR="00B06788" w:rsidRPr="0067048A">
        <w:rPr>
          <w:rFonts w:ascii="KFGQPC Uthmanic Script HAFS" w:cs="KFGQPC Uthmanic Script HAFS" w:hint="eastAsia"/>
          <w:sz w:val="28"/>
          <w:szCs w:val="28"/>
          <w:rtl/>
        </w:rPr>
        <w:t>غَنِم</w:t>
      </w:r>
      <w:r w:rsidR="00B06788" w:rsidRPr="0067048A">
        <w:rPr>
          <w:rFonts w:ascii="KFGQPC Uthmanic Script HAFS" w:cs="KFGQPC Uthmanic Script HAFS" w:hint="cs"/>
          <w:sz w:val="28"/>
          <w:szCs w:val="28"/>
          <w:rtl/>
        </w:rPr>
        <w:t>ۡ</w:t>
      </w:r>
      <w:r w:rsidR="00B06788" w:rsidRPr="0067048A">
        <w:rPr>
          <w:rFonts w:ascii="KFGQPC Uthmanic Script HAFS" w:cs="KFGQPC Uthmanic Script HAFS" w:hint="eastAsia"/>
          <w:sz w:val="28"/>
          <w:szCs w:val="28"/>
          <w:rtl/>
        </w:rPr>
        <w:t>تُم</w:t>
      </w:r>
      <w:r w:rsidR="00B06788" w:rsidRPr="0067048A">
        <w:rPr>
          <w:rFonts w:ascii="KFGQPC Uthmanic Script HAFS" w:cs="KFGQPC Uthmanic Script HAFS"/>
          <w:sz w:val="28"/>
          <w:szCs w:val="28"/>
          <w:rtl/>
        </w:rPr>
        <w:t xml:space="preserve"> </w:t>
      </w:r>
      <w:r w:rsidR="00B06788" w:rsidRPr="0067048A">
        <w:rPr>
          <w:rFonts w:ascii="KFGQPC Uthmanic Script HAFS" w:cs="KFGQPC Uthmanic Script HAFS" w:hint="eastAsia"/>
          <w:sz w:val="28"/>
          <w:szCs w:val="28"/>
          <w:rtl/>
        </w:rPr>
        <w:t>مِّن</w:t>
      </w:r>
      <w:r w:rsidR="00B06788" w:rsidRPr="0067048A">
        <w:rPr>
          <w:rFonts w:ascii="KFGQPC Uthmanic Script HAFS" w:cs="KFGQPC Uthmanic Script HAFS"/>
          <w:sz w:val="28"/>
          <w:szCs w:val="28"/>
          <w:rtl/>
        </w:rPr>
        <w:t xml:space="preserve"> </w:t>
      </w:r>
      <w:r w:rsidR="00B06788" w:rsidRPr="0067048A">
        <w:rPr>
          <w:rFonts w:ascii="KFGQPC Uthmanic Script HAFS" w:cs="KFGQPC Uthmanic Script HAFS" w:hint="eastAsia"/>
          <w:sz w:val="28"/>
          <w:szCs w:val="28"/>
          <w:rtl/>
        </w:rPr>
        <w:t>شَي</w:t>
      </w:r>
      <w:r w:rsidR="00B06788" w:rsidRPr="0067048A">
        <w:rPr>
          <w:rFonts w:ascii="KFGQPC Uthmanic Script HAFS" w:cs="KFGQPC Uthmanic Script HAFS" w:hint="cs"/>
          <w:sz w:val="28"/>
          <w:szCs w:val="28"/>
          <w:rtl/>
        </w:rPr>
        <w:t>ۡ</w:t>
      </w:r>
      <w:r w:rsidR="00B06788" w:rsidRPr="0067048A">
        <w:rPr>
          <w:rFonts w:ascii="KFGQPC Uthmanic Script HAFS" w:cs="KFGQPC Uthmanic Script HAFS" w:hint="eastAsia"/>
          <w:sz w:val="28"/>
          <w:szCs w:val="28"/>
          <w:rtl/>
        </w:rPr>
        <w:t>ء</w:t>
      </w:r>
      <w:r w:rsidR="00B06788" w:rsidRPr="0067048A">
        <w:rPr>
          <w:rFonts w:ascii="KFGQPC Uthmanic Script HAFS" w:cs="KFGQPC Uthmanic Script HAFS" w:hint="cs"/>
          <w:sz w:val="28"/>
          <w:szCs w:val="28"/>
          <w:rtl/>
        </w:rPr>
        <w:t>ٖ</w:t>
      </w:r>
      <w:r w:rsidR="00B06788" w:rsidRPr="0067048A">
        <w:rPr>
          <w:rFonts w:ascii="KFGQPC Uthmanic Script HAFS" w:cs="KFGQPC Uthmanic Script HAFS"/>
          <w:sz w:val="28"/>
          <w:szCs w:val="28"/>
          <w:rtl/>
        </w:rPr>
        <w:t xml:space="preserve"> </w:t>
      </w:r>
      <w:r w:rsidR="00B06788" w:rsidRPr="0067048A">
        <w:rPr>
          <w:rFonts w:ascii="KFGQPC Uthmanic Script HAFS" w:cs="KFGQPC Uthmanic Script HAFS" w:hint="eastAsia"/>
          <w:sz w:val="28"/>
          <w:szCs w:val="28"/>
          <w:rtl/>
        </w:rPr>
        <w:t>فَأَنَّ</w:t>
      </w:r>
      <w:r w:rsidR="00B06788" w:rsidRPr="0067048A">
        <w:rPr>
          <w:rFonts w:ascii="KFGQPC Uthmanic Script HAFS" w:cs="KFGQPC Uthmanic Script HAFS"/>
          <w:sz w:val="28"/>
          <w:szCs w:val="28"/>
          <w:rtl/>
        </w:rPr>
        <w:t xml:space="preserve"> </w:t>
      </w:r>
      <w:r w:rsidR="00B06788" w:rsidRPr="0067048A">
        <w:rPr>
          <w:rFonts w:ascii="KFGQPC Uthmanic Script HAFS" w:cs="KFGQPC Uthmanic Script HAFS" w:hint="eastAsia"/>
          <w:sz w:val="28"/>
          <w:szCs w:val="28"/>
          <w:rtl/>
        </w:rPr>
        <w:t>لِلَّهِ</w:t>
      </w:r>
      <w:r w:rsidR="00B06788" w:rsidRPr="0067048A">
        <w:rPr>
          <w:rFonts w:ascii="KFGQPC Uthmanic Script HAFS" w:cs="KFGQPC Uthmanic Script HAFS"/>
          <w:sz w:val="28"/>
          <w:szCs w:val="28"/>
          <w:rtl/>
        </w:rPr>
        <w:t xml:space="preserve"> </w:t>
      </w:r>
      <w:r w:rsidR="00B06788" w:rsidRPr="0067048A">
        <w:rPr>
          <w:rFonts w:ascii="KFGQPC Uthmanic Script HAFS" w:cs="KFGQPC Uthmanic Script HAFS" w:hint="eastAsia"/>
          <w:sz w:val="28"/>
          <w:szCs w:val="28"/>
          <w:rtl/>
        </w:rPr>
        <w:t>خُمُسَهُ</w:t>
      </w:r>
      <w:r w:rsidR="00B06788" w:rsidRPr="0067048A">
        <w:rPr>
          <w:rFonts w:ascii="KFGQPC Uthmanic Script HAFS" w:cs="KFGQPC Uthmanic Script HAFS" w:hint="cs"/>
          <w:sz w:val="28"/>
          <w:szCs w:val="28"/>
          <w:rtl/>
        </w:rPr>
        <w:t>ۥ</w:t>
      </w:r>
      <w:r w:rsidR="00B06788" w:rsidRPr="0067048A">
        <w:rPr>
          <w:rFonts w:ascii="KFGQPC Uthmanic Script HAFS" w:cs="KFGQPC Uthmanic Script HAFS"/>
          <w:sz w:val="28"/>
          <w:szCs w:val="28"/>
          <w:rtl/>
        </w:rPr>
        <w:t xml:space="preserve"> </w:t>
      </w:r>
      <w:r w:rsidR="00B06788" w:rsidRPr="0067048A">
        <w:rPr>
          <w:rFonts w:ascii="KFGQPC Uthmanic Script HAFS" w:cs="KFGQPC Uthmanic Script HAFS" w:hint="eastAsia"/>
          <w:sz w:val="28"/>
          <w:szCs w:val="28"/>
          <w:rtl/>
        </w:rPr>
        <w:t>وَلِلرَّسُولِ</w:t>
      </w:r>
      <w:r w:rsidR="00B06788" w:rsidRPr="0067048A">
        <w:rPr>
          <w:rFonts w:ascii="KFGQPC Uthmanic Script HAFS" w:cs="KFGQPC Uthmanic Script HAFS"/>
          <w:sz w:val="28"/>
          <w:szCs w:val="28"/>
          <w:rtl/>
        </w:rPr>
        <w:t xml:space="preserve"> </w:t>
      </w:r>
      <w:r w:rsidR="00B06788" w:rsidRPr="0067048A">
        <w:rPr>
          <w:rFonts w:ascii="KFGQPC Uthmanic Script HAFS" w:cs="KFGQPC Uthmanic Script HAFS" w:hint="eastAsia"/>
          <w:sz w:val="28"/>
          <w:szCs w:val="28"/>
          <w:rtl/>
        </w:rPr>
        <w:t>وَلِذِي</w:t>
      </w:r>
      <w:r w:rsidR="00B06788" w:rsidRPr="0067048A">
        <w:rPr>
          <w:rFonts w:ascii="KFGQPC Uthmanic Script HAFS" w:cs="KFGQPC Uthmanic Script HAFS"/>
          <w:sz w:val="28"/>
          <w:szCs w:val="28"/>
          <w:rtl/>
        </w:rPr>
        <w:t xml:space="preserve"> </w:t>
      </w:r>
      <w:r w:rsidR="00B06788" w:rsidRPr="0067048A">
        <w:rPr>
          <w:rFonts w:ascii="KFGQPC Uthmanic Script HAFS" w:cs="KFGQPC Uthmanic Script HAFS" w:hint="cs"/>
          <w:sz w:val="28"/>
          <w:szCs w:val="28"/>
          <w:rtl/>
        </w:rPr>
        <w:t>ٱ</w:t>
      </w:r>
      <w:r w:rsidR="00B06788" w:rsidRPr="0067048A">
        <w:rPr>
          <w:rFonts w:ascii="KFGQPC Uthmanic Script HAFS" w:cs="KFGQPC Uthmanic Script HAFS" w:hint="eastAsia"/>
          <w:sz w:val="28"/>
          <w:szCs w:val="28"/>
          <w:rtl/>
        </w:rPr>
        <w:t>ل</w:t>
      </w:r>
      <w:r w:rsidR="00B06788" w:rsidRPr="0067048A">
        <w:rPr>
          <w:rFonts w:ascii="KFGQPC Uthmanic Script HAFS" w:cs="KFGQPC Uthmanic Script HAFS" w:hint="cs"/>
          <w:sz w:val="28"/>
          <w:szCs w:val="28"/>
          <w:rtl/>
        </w:rPr>
        <w:t>ۡ</w:t>
      </w:r>
      <w:r w:rsidR="00B06788" w:rsidRPr="0067048A">
        <w:rPr>
          <w:rFonts w:ascii="KFGQPC Uthmanic Script HAFS" w:cs="KFGQPC Uthmanic Script HAFS" w:hint="eastAsia"/>
          <w:sz w:val="28"/>
          <w:szCs w:val="28"/>
          <w:rtl/>
        </w:rPr>
        <w:t>قُر</w:t>
      </w:r>
      <w:r w:rsidR="00B06788" w:rsidRPr="0067048A">
        <w:rPr>
          <w:rFonts w:ascii="KFGQPC Uthmanic Script HAFS" w:cs="KFGQPC Uthmanic Script HAFS" w:hint="cs"/>
          <w:sz w:val="28"/>
          <w:szCs w:val="28"/>
          <w:rtl/>
        </w:rPr>
        <w:t>ۡ</w:t>
      </w:r>
      <w:r w:rsidR="00B06788" w:rsidRPr="0067048A">
        <w:rPr>
          <w:rFonts w:ascii="KFGQPC Uthmanic Script HAFS" w:cs="KFGQPC Uthmanic Script HAFS" w:hint="eastAsia"/>
          <w:sz w:val="28"/>
          <w:szCs w:val="28"/>
          <w:rtl/>
        </w:rPr>
        <w:t>بَى</w:t>
      </w:r>
      <w:r w:rsidR="00B06788" w:rsidRPr="0067048A">
        <w:rPr>
          <w:rFonts w:ascii="KFGQPC Uthmanic Script HAFS" w:cs="KFGQPC Uthmanic Script HAFS" w:hint="cs"/>
          <w:sz w:val="28"/>
          <w:szCs w:val="28"/>
          <w:rtl/>
        </w:rPr>
        <w:t>ٰ</w:t>
      </w:r>
      <w:r w:rsidR="00B06788" w:rsidRPr="0067048A">
        <w:rPr>
          <w:rFonts w:ascii="KFGQPC Uthmanic Script HAFS" w:cs="KFGQPC Uthmanic Script HAFS"/>
          <w:sz w:val="28"/>
          <w:szCs w:val="28"/>
          <w:rtl/>
        </w:rPr>
        <w:t xml:space="preserve"> </w:t>
      </w:r>
      <w:r w:rsidR="00B06788" w:rsidRPr="0067048A">
        <w:rPr>
          <w:rFonts w:ascii="KFGQPC Uthmanic Script HAFS" w:cs="KFGQPC Uthmanic Script HAFS" w:hint="eastAsia"/>
          <w:sz w:val="28"/>
          <w:szCs w:val="28"/>
          <w:rtl/>
        </w:rPr>
        <w:t>وَ</w:t>
      </w:r>
      <w:r w:rsidR="00B06788" w:rsidRPr="0067048A">
        <w:rPr>
          <w:rFonts w:ascii="KFGQPC Uthmanic Script HAFS" w:cs="KFGQPC Uthmanic Script HAFS" w:hint="cs"/>
          <w:sz w:val="28"/>
          <w:szCs w:val="28"/>
          <w:rtl/>
        </w:rPr>
        <w:t>ٱ</w:t>
      </w:r>
      <w:r w:rsidR="00B06788" w:rsidRPr="0067048A">
        <w:rPr>
          <w:rFonts w:ascii="KFGQPC Uthmanic Script HAFS" w:cs="KFGQPC Uthmanic Script HAFS" w:hint="eastAsia"/>
          <w:sz w:val="28"/>
          <w:szCs w:val="28"/>
          <w:rtl/>
        </w:rPr>
        <w:t>ل</w:t>
      </w:r>
      <w:r w:rsidR="00B06788" w:rsidRPr="0067048A">
        <w:rPr>
          <w:rFonts w:ascii="KFGQPC Uthmanic Script HAFS" w:cs="KFGQPC Uthmanic Script HAFS" w:hint="cs"/>
          <w:sz w:val="28"/>
          <w:szCs w:val="28"/>
          <w:rtl/>
        </w:rPr>
        <w:t>ۡ</w:t>
      </w:r>
      <w:r w:rsidR="00B06788" w:rsidRPr="0067048A">
        <w:rPr>
          <w:rFonts w:ascii="KFGQPC Uthmanic Script HAFS" w:cs="KFGQPC Uthmanic Script HAFS" w:hint="eastAsia"/>
          <w:sz w:val="28"/>
          <w:szCs w:val="28"/>
          <w:rtl/>
        </w:rPr>
        <w:t>يَتَ</w:t>
      </w:r>
      <w:r w:rsidR="00B06788" w:rsidRPr="0067048A">
        <w:rPr>
          <w:rFonts w:ascii="KFGQPC Uthmanic Script HAFS" w:cs="KFGQPC Uthmanic Script HAFS" w:hint="cs"/>
          <w:sz w:val="28"/>
          <w:szCs w:val="28"/>
          <w:rtl/>
        </w:rPr>
        <w:t>ٰ</w:t>
      </w:r>
      <w:r w:rsidR="00B06788" w:rsidRPr="0067048A">
        <w:rPr>
          <w:rFonts w:ascii="KFGQPC Uthmanic Script HAFS" w:cs="KFGQPC Uthmanic Script HAFS" w:hint="eastAsia"/>
          <w:sz w:val="28"/>
          <w:szCs w:val="28"/>
          <w:rtl/>
        </w:rPr>
        <w:t>مَى</w:t>
      </w:r>
      <w:r w:rsidR="00B06788" w:rsidRPr="0067048A">
        <w:rPr>
          <w:rFonts w:ascii="KFGQPC Uthmanic Script HAFS" w:cs="KFGQPC Uthmanic Script HAFS" w:hint="cs"/>
          <w:sz w:val="28"/>
          <w:szCs w:val="28"/>
          <w:rtl/>
        </w:rPr>
        <w:t>ٰ</w:t>
      </w:r>
      <w:r w:rsidR="00B06788" w:rsidRPr="0067048A">
        <w:rPr>
          <w:rFonts w:ascii="KFGQPC Uthmanic Script HAFS" w:cs="KFGQPC Uthmanic Script HAFS"/>
          <w:sz w:val="28"/>
          <w:szCs w:val="28"/>
          <w:rtl/>
        </w:rPr>
        <w:t xml:space="preserve"> </w:t>
      </w:r>
      <w:r w:rsidR="00B06788" w:rsidRPr="0067048A">
        <w:rPr>
          <w:rFonts w:ascii="KFGQPC Uthmanic Script HAFS" w:cs="KFGQPC Uthmanic Script HAFS" w:hint="eastAsia"/>
          <w:sz w:val="28"/>
          <w:szCs w:val="28"/>
          <w:rtl/>
        </w:rPr>
        <w:t>وَ</w:t>
      </w:r>
      <w:r w:rsidR="00B06788" w:rsidRPr="0067048A">
        <w:rPr>
          <w:rFonts w:ascii="KFGQPC Uthmanic Script HAFS" w:cs="KFGQPC Uthmanic Script HAFS" w:hint="cs"/>
          <w:sz w:val="28"/>
          <w:szCs w:val="28"/>
          <w:rtl/>
        </w:rPr>
        <w:t>ٱ</w:t>
      </w:r>
      <w:r w:rsidR="00B06788" w:rsidRPr="0067048A">
        <w:rPr>
          <w:rFonts w:ascii="KFGQPC Uthmanic Script HAFS" w:cs="KFGQPC Uthmanic Script HAFS" w:hint="eastAsia"/>
          <w:sz w:val="28"/>
          <w:szCs w:val="28"/>
          <w:rtl/>
        </w:rPr>
        <w:t>ل</w:t>
      </w:r>
      <w:r w:rsidR="00B06788" w:rsidRPr="0067048A">
        <w:rPr>
          <w:rFonts w:ascii="KFGQPC Uthmanic Script HAFS" w:cs="KFGQPC Uthmanic Script HAFS" w:hint="cs"/>
          <w:sz w:val="28"/>
          <w:szCs w:val="28"/>
          <w:rtl/>
        </w:rPr>
        <w:t>ۡ</w:t>
      </w:r>
      <w:r w:rsidR="00B06788" w:rsidRPr="0067048A">
        <w:rPr>
          <w:rFonts w:ascii="KFGQPC Uthmanic Script HAFS" w:cs="KFGQPC Uthmanic Script HAFS" w:hint="eastAsia"/>
          <w:sz w:val="28"/>
          <w:szCs w:val="28"/>
          <w:rtl/>
        </w:rPr>
        <w:t>مَسَ</w:t>
      </w:r>
      <w:r w:rsidR="00B06788" w:rsidRPr="0067048A">
        <w:rPr>
          <w:rFonts w:ascii="KFGQPC Uthmanic Script HAFS" w:cs="KFGQPC Uthmanic Script HAFS" w:hint="cs"/>
          <w:sz w:val="28"/>
          <w:szCs w:val="28"/>
          <w:rtl/>
        </w:rPr>
        <w:t>ٰ</w:t>
      </w:r>
      <w:r w:rsidR="00B06788" w:rsidRPr="0067048A">
        <w:rPr>
          <w:rFonts w:ascii="KFGQPC Uthmanic Script HAFS" w:cs="KFGQPC Uthmanic Script HAFS" w:hint="eastAsia"/>
          <w:sz w:val="28"/>
          <w:szCs w:val="28"/>
          <w:rtl/>
        </w:rPr>
        <w:t>كِينِ</w:t>
      </w:r>
      <w:r w:rsidR="00B06788" w:rsidRPr="0067048A">
        <w:rPr>
          <w:rFonts w:ascii="KFGQPC Uthmanic Script HAFS" w:cs="KFGQPC Uthmanic Script HAFS"/>
          <w:sz w:val="28"/>
          <w:szCs w:val="28"/>
          <w:rtl/>
        </w:rPr>
        <w:t xml:space="preserve"> </w:t>
      </w:r>
      <w:r w:rsidR="00B06788" w:rsidRPr="0067048A">
        <w:rPr>
          <w:rFonts w:ascii="KFGQPC Uthmanic Script HAFS" w:cs="KFGQPC Uthmanic Script HAFS" w:hint="eastAsia"/>
          <w:sz w:val="28"/>
          <w:szCs w:val="28"/>
          <w:rtl/>
        </w:rPr>
        <w:t>وَ</w:t>
      </w:r>
      <w:r w:rsidR="00B06788" w:rsidRPr="0067048A">
        <w:rPr>
          <w:rFonts w:ascii="KFGQPC Uthmanic Script HAFS" w:cs="KFGQPC Uthmanic Script HAFS" w:hint="cs"/>
          <w:sz w:val="28"/>
          <w:szCs w:val="28"/>
          <w:rtl/>
        </w:rPr>
        <w:t>ٱ</w:t>
      </w:r>
      <w:r w:rsidR="00B06788" w:rsidRPr="0067048A">
        <w:rPr>
          <w:rFonts w:ascii="KFGQPC Uthmanic Script HAFS" w:cs="KFGQPC Uthmanic Script HAFS" w:hint="eastAsia"/>
          <w:sz w:val="28"/>
          <w:szCs w:val="28"/>
          <w:rtl/>
        </w:rPr>
        <w:t>ب</w:t>
      </w:r>
      <w:r w:rsidR="00B06788" w:rsidRPr="0067048A">
        <w:rPr>
          <w:rFonts w:ascii="KFGQPC Uthmanic Script HAFS" w:cs="KFGQPC Uthmanic Script HAFS" w:hint="cs"/>
          <w:sz w:val="28"/>
          <w:szCs w:val="28"/>
          <w:rtl/>
        </w:rPr>
        <w:t>ۡ</w:t>
      </w:r>
      <w:r w:rsidR="00B06788" w:rsidRPr="0067048A">
        <w:rPr>
          <w:rFonts w:ascii="KFGQPC Uthmanic Script HAFS" w:cs="KFGQPC Uthmanic Script HAFS" w:hint="eastAsia"/>
          <w:sz w:val="28"/>
          <w:szCs w:val="28"/>
          <w:rtl/>
        </w:rPr>
        <w:t>نِ</w:t>
      </w:r>
      <w:r w:rsidR="00B06788" w:rsidRPr="0067048A">
        <w:rPr>
          <w:rFonts w:ascii="KFGQPC Uthmanic Script HAFS" w:cs="KFGQPC Uthmanic Script HAFS"/>
          <w:sz w:val="28"/>
          <w:szCs w:val="28"/>
          <w:rtl/>
        </w:rPr>
        <w:t xml:space="preserve"> </w:t>
      </w:r>
      <w:r w:rsidR="00B06788" w:rsidRPr="0067048A">
        <w:rPr>
          <w:rFonts w:ascii="KFGQPC Uthmanic Script HAFS" w:cs="KFGQPC Uthmanic Script HAFS" w:hint="cs"/>
          <w:sz w:val="28"/>
          <w:szCs w:val="28"/>
          <w:rtl/>
        </w:rPr>
        <w:t>ٱ</w:t>
      </w:r>
      <w:r w:rsidR="00B06788" w:rsidRPr="0067048A">
        <w:rPr>
          <w:rFonts w:ascii="KFGQPC Uthmanic Script HAFS" w:cs="KFGQPC Uthmanic Script HAFS" w:hint="eastAsia"/>
          <w:sz w:val="28"/>
          <w:szCs w:val="28"/>
          <w:rtl/>
        </w:rPr>
        <w:t>لسَّبِيلِ</w:t>
      </w:r>
      <w:r w:rsidR="00B06788" w:rsidRPr="00995B26">
        <w:rPr>
          <w:rFonts w:ascii="Abo-thar" w:hAnsi="Abo-thar" w:cs="Traditional Arabic" w:hint="cs"/>
          <w:sz w:val="28"/>
          <w:rtl/>
        </w:rPr>
        <w:t>﴾</w:t>
      </w:r>
      <w:r w:rsidRPr="00995B26">
        <w:rPr>
          <w:rFonts w:ascii="Abo-thar" w:hAnsi="Abo-thar"/>
          <w:b/>
          <w:bCs/>
          <w:sz w:val="28"/>
          <w:rtl/>
        </w:rPr>
        <w:t xml:space="preserve"> </w:t>
      </w:r>
      <w:r w:rsidRPr="003762F6">
        <w:rPr>
          <w:rFonts w:ascii="Abo-thar" w:hAnsi="Abo-thar" w:cs="KFGQPC Uthman Taha Naskh"/>
          <w:b/>
          <w:bCs/>
          <w:sz w:val="28"/>
          <w:rtl/>
        </w:rPr>
        <w:t>قَالَ</w:t>
      </w:r>
      <w:r w:rsidR="00421B82">
        <w:rPr>
          <w:rFonts w:ascii="Abo-thar" w:hAnsi="Abo-thar" w:cs="KFGQPC Uthman Taha Naskh" w:hint="cs"/>
          <w:b/>
          <w:bCs/>
          <w:sz w:val="28"/>
          <w:rtl/>
        </w:rPr>
        <w:t>:</w:t>
      </w:r>
      <w:r w:rsidRPr="003762F6">
        <w:rPr>
          <w:rFonts w:ascii="Abo-thar" w:hAnsi="Abo-thar" w:cs="KFGQPC Uthman Taha Naskh"/>
          <w:b/>
          <w:bCs/>
          <w:sz w:val="28"/>
          <w:rtl/>
        </w:rPr>
        <w:t xml:space="preserve"> خُمُسُ اللهِ وخُمُسُ الرَّسُولِ لِلْإِمَامِ وخُمُسُ ذِي الْقُرْبَى لِقَرَابَةِ الرَّسُولِ والْإِمَامِ والْيَتَامَى يَتَامَى آلِ الرَّسُولِ والْمَسَاكِينُ مِنْهُمْ وأَبْنَاءُ السَّبِيلِ مِنْهُمْ فَلَا يُخْرَجُ مِنْهُمْ إِلَى غَيْرِهِمْ</w:t>
      </w:r>
      <w:r w:rsidR="00EF2588" w:rsidRPr="003762F6">
        <w:rPr>
          <w:rFonts w:ascii="Abo-thar" w:hAnsi="Abo-thar" w:cs="KFGQPC Uthman Taha Naskh" w:hint="cs"/>
          <w:sz w:val="28"/>
          <w:rtl/>
        </w:rPr>
        <w:t>»</w:t>
      </w:r>
      <w:r w:rsidR="00254453" w:rsidRPr="0021507A">
        <w:rPr>
          <w:rFonts w:ascii="Abo-thar" w:hAnsi="Abo-thar" w:cs="Arabic11 BT"/>
          <w:sz w:val="28"/>
          <w:vertAlign w:val="superscript"/>
          <w:rtl/>
        </w:rPr>
        <w:t>(</w:t>
      </w:r>
      <w:r w:rsidR="00254453" w:rsidRPr="0021507A">
        <w:rPr>
          <w:rStyle w:val="FootnoteReference"/>
          <w:rFonts w:ascii="Abo-thar" w:hAnsi="Abo-thar" w:cs="Arabic11 BT"/>
          <w:sz w:val="28"/>
          <w:rtl/>
        </w:rPr>
        <w:footnoteReference w:id="244"/>
      </w:r>
      <w:r w:rsidR="00254453" w:rsidRPr="0021507A">
        <w:rPr>
          <w:rFonts w:ascii="Abo-thar" w:hAnsi="Abo-thar" w:cs="Arabic11 BT"/>
          <w:sz w:val="28"/>
          <w:vertAlign w:val="superscript"/>
          <w:rtl/>
        </w:rPr>
        <w:t>)</w:t>
      </w:r>
      <w:r w:rsidR="00217AB4" w:rsidRPr="00995B26">
        <w:rPr>
          <w:rFonts w:ascii="Abo-thar" w:hAnsi="Abo-thar" w:hint="cs"/>
          <w:sz w:val="28"/>
          <w:rtl/>
        </w:rPr>
        <w:t>.</w:t>
      </w:r>
    </w:p>
    <w:p w:rsidR="005C664D" w:rsidRPr="003F3B94" w:rsidRDefault="005C664D" w:rsidP="003F3B94">
      <w:pPr>
        <w:pStyle w:val="a0"/>
        <w:rPr>
          <w:rFonts w:hint="cs"/>
          <w:rtl/>
          <w:lang w:bidi="ar-SY"/>
        </w:rPr>
      </w:pPr>
      <w:r w:rsidRPr="003F3B94">
        <w:rPr>
          <w:rFonts w:ascii="Abo-thar" w:hAnsi="Abo-thar" w:hint="cs"/>
          <w:sz w:val="28"/>
          <w:rtl/>
          <w:lang w:bidi="ar-SY"/>
        </w:rPr>
        <w:t>4</w:t>
      </w:r>
      <w:r w:rsidR="00217AB4" w:rsidRPr="003F3B94">
        <w:rPr>
          <w:rFonts w:ascii="Abo-thar" w:hAnsi="Abo-thar" w:hint="cs"/>
          <w:sz w:val="28"/>
          <w:rtl/>
          <w:lang w:bidi="ar-SY"/>
        </w:rPr>
        <w:t>-</w:t>
      </w:r>
      <w:r w:rsidRPr="003F3B94">
        <w:rPr>
          <w:rFonts w:ascii="Abo-thar" w:hAnsi="Abo-thar" w:hint="cs"/>
          <w:sz w:val="28"/>
          <w:rtl/>
          <w:lang w:bidi="ar-SY"/>
        </w:rPr>
        <w:t xml:space="preserve"> وأيضاً روى الشيخ الطوسي في «التهذ</w:t>
      </w:r>
      <w:r w:rsidR="00254453" w:rsidRPr="003F3B94">
        <w:rPr>
          <w:rFonts w:ascii="Abo-thar" w:hAnsi="Abo-thar" w:hint="cs"/>
          <w:sz w:val="28"/>
          <w:rtl/>
          <w:lang w:bidi="ar-SY"/>
        </w:rPr>
        <w:t>يب»</w:t>
      </w:r>
      <w:r w:rsidR="00217AB4" w:rsidRPr="003F3B94">
        <w:rPr>
          <w:rFonts w:ascii="Abo-thar" w:hAnsi="Abo-thar" w:hint="cs"/>
          <w:sz w:val="28"/>
          <w:rtl/>
          <w:lang w:bidi="ar-SY"/>
        </w:rPr>
        <w:t>:</w:t>
      </w:r>
      <w:r w:rsidR="00147857" w:rsidRPr="003F3B94">
        <w:rPr>
          <w:rFonts w:ascii="Abo-thar" w:hAnsi="Abo-thar" w:hint="cs"/>
          <w:sz w:val="28"/>
          <w:rtl/>
          <w:lang w:bidi="ar-SY"/>
        </w:rPr>
        <w:t xml:space="preserve"> </w:t>
      </w:r>
      <w:r w:rsidRPr="003F3B94">
        <w:rPr>
          <w:rFonts w:ascii="Abo-thar" w:hAnsi="Abo-thar" w:hint="cs"/>
          <w:sz w:val="28"/>
          <w:rtl/>
          <w:lang w:bidi="ar-SY"/>
        </w:rPr>
        <w:t xml:space="preserve">بسنده </w:t>
      </w:r>
      <w:r w:rsidR="00EF2588" w:rsidRPr="003762F6">
        <w:rPr>
          <w:rFonts w:ascii="Abo-thar" w:hAnsi="Abo-thar" w:cs="KFGQPC Uthman Taha Naskh" w:hint="cs"/>
          <w:sz w:val="28"/>
          <w:rtl/>
          <w:lang w:bidi="ar-SY"/>
        </w:rPr>
        <w:t>«</w:t>
      </w:r>
      <w:r w:rsidRPr="003762F6">
        <w:rPr>
          <w:rFonts w:ascii="Abo-thar" w:hAnsi="Abo-thar" w:cs="KFGQPC Uthman Taha Naskh" w:hint="cs"/>
          <w:b/>
          <w:bCs/>
          <w:sz w:val="28"/>
          <w:rtl/>
          <w:lang w:bidi="ar-SY"/>
        </w:rPr>
        <w:t>عَنْ</w:t>
      </w:r>
      <w:r w:rsidRPr="003762F6">
        <w:rPr>
          <w:rFonts w:ascii="Abo-thar" w:hAnsi="Abo-thar" w:cs="KFGQPC Uthman Taha Naskh"/>
          <w:b/>
          <w:bCs/>
          <w:sz w:val="28"/>
          <w:rtl/>
          <w:lang w:bidi="ar-SY"/>
        </w:rPr>
        <w:t xml:space="preserve"> حَمَّادِ بْنِ عِيسَى عَنْ رِبْعِيِّ بْنِ عَبْدِ اللهِ بْنِ الجَارُودِ عَنْ أَبِي عَبْدِ اللهِ </w:t>
      </w:r>
      <w:r w:rsidR="00BC4BA9" w:rsidRPr="00BC4BA9">
        <w:rPr>
          <w:rFonts w:ascii="Abo-thar" w:hAnsi="Abo-thar" w:cs="CTraditional Arabic"/>
          <w:b/>
          <w:sz w:val="28"/>
          <w:rtl/>
          <w:lang w:bidi="ar-SY"/>
        </w:rPr>
        <w:t>÷</w:t>
      </w:r>
      <w:r w:rsidRPr="003762F6">
        <w:rPr>
          <w:rFonts w:ascii="Abo-thar" w:hAnsi="Abo-thar" w:cs="KFGQPC Uthman Taha Naskh"/>
          <w:b/>
          <w:bCs/>
          <w:sz w:val="28"/>
          <w:rtl/>
          <w:lang w:bidi="ar-SY"/>
        </w:rPr>
        <w:t xml:space="preserve"> قَالَ</w:t>
      </w:r>
      <w:r w:rsidR="00217AB4" w:rsidRPr="003762F6">
        <w:rPr>
          <w:rFonts w:ascii="Abo-thar" w:hAnsi="Abo-thar" w:cs="KFGQPC Uthman Taha Naskh" w:hint="cs"/>
          <w:b/>
          <w:bCs/>
          <w:sz w:val="28"/>
          <w:rtl/>
          <w:lang w:bidi="ar-SY"/>
        </w:rPr>
        <w:t>:</w:t>
      </w:r>
      <w:r w:rsidRPr="003762F6">
        <w:rPr>
          <w:rFonts w:ascii="Abo-thar" w:hAnsi="Abo-thar" w:cs="KFGQPC Uthman Taha Naskh"/>
          <w:b/>
          <w:bCs/>
          <w:sz w:val="28"/>
          <w:rtl/>
          <w:lang w:bidi="ar-SY"/>
        </w:rPr>
        <w:t xml:space="preserve"> كَانَ رَسُولُ اللهِ</w:t>
      </w:r>
      <w:r w:rsidR="00147857" w:rsidRPr="003762F6">
        <w:rPr>
          <w:rFonts w:ascii="Abo-thar" w:hAnsi="Abo-thar" w:cs="KFGQPC Uthman Taha Naskh"/>
          <w:b/>
          <w:bCs/>
          <w:sz w:val="28"/>
          <w:rtl/>
          <w:lang w:bidi="ar-SY"/>
        </w:rPr>
        <w:t xml:space="preserve"> </w:t>
      </w:r>
      <w:r w:rsidR="003C7AEB" w:rsidRPr="003C7AEB">
        <w:rPr>
          <w:rFonts w:ascii="Abo-thar" w:hAnsi="Abo-thar" w:cs="CTraditional Arabic"/>
          <w:sz w:val="28"/>
          <w:rtl/>
          <w:lang w:bidi="ar-SY"/>
        </w:rPr>
        <w:t>ص</w:t>
      </w:r>
      <w:r w:rsidR="00147857" w:rsidRPr="003762F6">
        <w:rPr>
          <w:rFonts w:ascii="Abo-thar" w:hAnsi="Abo-thar" w:cs="KFGQPC Uthman Taha Naskh"/>
          <w:sz w:val="28"/>
          <w:rtl/>
          <w:lang w:bidi="ar-SY"/>
        </w:rPr>
        <w:t xml:space="preserve"> </w:t>
      </w:r>
      <w:r w:rsidRPr="003762F6">
        <w:rPr>
          <w:rFonts w:ascii="Abo-thar" w:hAnsi="Abo-thar" w:cs="KFGQPC Uthman Taha Naskh"/>
          <w:b/>
          <w:bCs/>
          <w:sz w:val="28"/>
          <w:rtl/>
          <w:lang w:bidi="ar-SY"/>
        </w:rPr>
        <w:t>إِذَا أَتَاهُ المَغْنَمُ أَخَذَ صَفْوَهُ وكَانَ ذَلِكَ لَهُ ثُمَّ يَقْسِمُ مَا بَقِيَ خَمْسَةَ أَخْمَاسٍ ويَأْخُذُ خُمُسَهُ ثُمَّ يَقْسِمُ أَرْبَعَةَ أَخْمَاسٍ بَيْنَ النَّاسِ الَّذِينَ قَاتَلُوا عَلَيْهِ ثُمَّ قَسَمَ الخُمُسَ الَّذِي أَخَذَهُ خَمْسَةَ أَخْمَاسٍ يَأْخُذُ خُمُسَ اللهِ عَزَّ وجَلَّ لِنَفْسِهِ ثُمَّ يَقْسِمُ الْأَرْبَعَةَ الْأَخْمَاسَ بَيْنَ ذَوِي الْقُرْبَى والْيَتَامَى والمَسَاكِينِ وأَبْنَاءِ السَّبِيلِ يُعْطِي كُلَّ وَاحِدٍ مِنْهُمْ جَمِيعاً وكَذَلِكَ الْإِمَامُ يَأْخُذُ كَمَا أَخَذَ رَسُولُ اللهِ</w:t>
      </w:r>
      <w:r w:rsidR="00147857" w:rsidRPr="003762F6">
        <w:rPr>
          <w:rFonts w:ascii="Abo-thar" w:hAnsi="Abo-thar" w:cs="KFGQPC Uthman Taha Naskh"/>
          <w:sz w:val="28"/>
          <w:rtl/>
          <w:lang w:bidi="ar-SY"/>
        </w:rPr>
        <w:t xml:space="preserve"> </w:t>
      </w:r>
      <w:r w:rsidR="003C7AEB" w:rsidRPr="003C7AEB">
        <w:rPr>
          <w:rFonts w:ascii="Abo-thar" w:hAnsi="Abo-thar" w:cs="CTraditional Arabic"/>
          <w:sz w:val="28"/>
          <w:rtl/>
          <w:lang w:bidi="ar-SY"/>
        </w:rPr>
        <w:t>ص</w:t>
      </w:r>
      <w:r w:rsidR="00EF2588" w:rsidRPr="003762F6">
        <w:rPr>
          <w:rFonts w:ascii="Abo-thar" w:hAnsi="Abo-thar" w:cs="KFGQPC Uthman Taha Naskh"/>
          <w:sz w:val="28"/>
          <w:rtl/>
          <w:lang w:bidi="ar-SY"/>
        </w:rPr>
        <w:t>»</w:t>
      </w:r>
      <w:r w:rsidR="00254453" w:rsidRPr="0021507A">
        <w:rPr>
          <w:rFonts w:ascii="Abo-thar" w:hAnsi="Abo-thar" w:cs="Arabic11 BT"/>
          <w:sz w:val="28"/>
          <w:vertAlign w:val="superscript"/>
          <w:rtl/>
          <w:lang w:bidi="ar-SY"/>
        </w:rPr>
        <w:t>(</w:t>
      </w:r>
      <w:r w:rsidR="00254453" w:rsidRPr="0021507A">
        <w:rPr>
          <w:rStyle w:val="FootnoteReference"/>
          <w:rFonts w:ascii="Abo-thar" w:hAnsi="Abo-thar" w:cs="Arabic11 BT"/>
          <w:sz w:val="28"/>
          <w:rtl/>
          <w:lang w:bidi="ar-SY"/>
        </w:rPr>
        <w:footnoteReference w:id="245"/>
      </w:r>
      <w:r w:rsidR="00254453" w:rsidRPr="0021507A">
        <w:rPr>
          <w:rFonts w:ascii="Abo-thar" w:hAnsi="Abo-thar" w:cs="Arabic11 BT"/>
          <w:sz w:val="28"/>
          <w:vertAlign w:val="superscript"/>
          <w:rtl/>
          <w:lang w:bidi="ar-SY"/>
        </w:rPr>
        <w:t>)</w:t>
      </w:r>
      <w:r w:rsidR="00217AB4" w:rsidRPr="003F3B94">
        <w:rPr>
          <w:rFonts w:ascii="Abo-thar" w:hAnsi="Abo-thar" w:hint="cs"/>
          <w:sz w:val="28"/>
          <w:rtl/>
          <w:lang w:bidi="ar-SY"/>
        </w:rPr>
        <w:t>.</w:t>
      </w:r>
      <w:r w:rsidRPr="003F3B94">
        <w:rPr>
          <w:rFonts w:ascii="Abo-thar" w:hAnsi="Abo-thar" w:hint="cs"/>
          <w:sz w:val="28"/>
          <w:rtl/>
          <w:lang w:bidi="ar-SY"/>
        </w:rPr>
        <w:t xml:space="preserve"> </w:t>
      </w:r>
    </w:p>
    <w:p w:rsidR="005C664D" w:rsidRPr="003F3B94" w:rsidRDefault="005C664D" w:rsidP="00421B82">
      <w:pPr>
        <w:pStyle w:val="a0"/>
        <w:rPr>
          <w:rFonts w:hint="cs"/>
          <w:rtl/>
          <w:lang w:bidi="ar-SY"/>
        </w:rPr>
      </w:pPr>
      <w:r w:rsidRPr="003F3B94">
        <w:rPr>
          <w:rFonts w:ascii="Abo-thar" w:hAnsi="Abo-thar" w:hint="cs"/>
          <w:sz w:val="28"/>
          <w:rtl/>
          <w:lang w:bidi="ar-SY"/>
        </w:rPr>
        <w:t>5</w:t>
      </w:r>
      <w:r w:rsidR="00217AB4" w:rsidRPr="003F3B94">
        <w:rPr>
          <w:rFonts w:ascii="Abo-thar" w:hAnsi="Abo-thar" w:hint="cs"/>
          <w:sz w:val="28"/>
          <w:rtl/>
          <w:lang w:bidi="ar-SY"/>
        </w:rPr>
        <w:t>-</w:t>
      </w:r>
      <w:r w:rsidRPr="003F3B94">
        <w:rPr>
          <w:rFonts w:ascii="Abo-thar" w:hAnsi="Abo-thar" w:hint="cs"/>
          <w:sz w:val="28"/>
          <w:rtl/>
          <w:lang w:bidi="ar-SY"/>
        </w:rPr>
        <w:t xml:space="preserve"> وروى الكُلَيْنِيّ في </w:t>
      </w:r>
      <w:r w:rsidRPr="003F3B94">
        <w:rPr>
          <w:rFonts w:ascii="Abo-thar" w:hAnsi="Abo-thar"/>
          <w:sz w:val="28"/>
          <w:rtl/>
          <w:lang w:bidi="ar-SY"/>
        </w:rPr>
        <w:t>«</w:t>
      </w:r>
      <w:r w:rsidRPr="003F3B94">
        <w:rPr>
          <w:rFonts w:ascii="Abo-thar" w:hAnsi="Abo-thar" w:hint="cs"/>
          <w:sz w:val="28"/>
          <w:rtl/>
          <w:lang w:bidi="ar-SY"/>
        </w:rPr>
        <w:t>الكافي</w:t>
      </w:r>
      <w:r w:rsidRPr="003F3B94">
        <w:rPr>
          <w:rFonts w:ascii="Abo-thar" w:hAnsi="Abo-thar"/>
          <w:sz w:val="28"/>
          <w:rtl/>
          <w:lang w:bidi="ar-SY"/>
        </w:rPr>
        <w:t>»</w:t>
      </w:r>
      <w:r w:rsidRPr="003F3B94">
        <w:rPr>
          <w:rFonts w:ascii="Abo-thar" w:hAnsi="Abo-thar" w:hint="cs"/>
          <w:sz w:val="28"/>
          <w:rtl/>
          <w:lang w:bidi="ar-SY"/>
        </w:rPr>
        <w:t xml:space="preserve"> [</w:t>
      </w:r>
      <w:r w:rsidRPr="003F3B94">
        <w:rPr>
          <w:rFonts w:ascii="Abo-thar" w:hAnsi="Abo-thar"/>
          <w:sz w:val="28"/>
          <w:rtl/>
          <w:lang w:bidi="ar-SY"/>
        </w:rPr>
        <w:t>ج 1</w:t>
      </w:r>
      <w:r w:rsidR="00920257" w:rsidRPr="003F3B94">
        <w:rPr>
          <w:rFonts w:ascii="Abo-thar" w:hAnsi="Abo-thar" w:hint="cs"/>
          <w:sz w:val="28"/>
          <w:rtl/>
          <w:lang w:bidi="ar-SY"/>
        </w:rPr>
        <w:t xml:space="preserve">، </w:t>
      </w:r>
      <w:r w:rsidRPr="003F3B94">
        <w:rPr>
          <w:rFonts w:ascii="Abo-thar" w:hAnsi="Abo-thar"/>
          <w:sz w:val="28"/>
          <w:rtl/>
          <w:lang w:bidi="ar-SY"/>
        </w:rPr>
        <w:t>ص 539</w:t>
      </w:r>
      <w:r w:rsidRPr="003F3B94">
        <w:rPr>
          <w:rFonts w:ascii="Abo-thar" w:hAnsi="Abo-thar" w:hint="cs"/>
          <w:sz w:val="28"/>
          <w:rtl/>
          <w:lang w:bidi="ar-SY"/>
        </w:rPr>
        <w:t xml:space="preserve">] بسنده عن </w:t>
      </w:r>
      <w:r w:rsidR="00EF2588" w:rsidRPr="003762F6">
        <w:rPr>
          <w:rFonts w:ascii="Abo-thar" w:hAnsi="Abo-thar" w:cs="KFGQPC Uthman Taha Naskh" w:hint="cs"/>
          <w:sz w:val="28"/>
          <w:rtl/>
          <w:lang w:bidi="ar-SY"/>
        </w:rPr>
        <w:t>«</w:t>
      </w:r>
      <w:r w:rsidRPr="003762F6">
        <w:rPr>
          <w:rFonts w:ascii="Abo-thar" w:hAnsi="Abo-thar" w:cs="KFGQPC Uthman Taha Naskh"/>
          <w:b/>
          <w:bCs/>
          <w:sz w:val="28"/>
          <w:rtl/>
          <w:lang w:bidi="ar-SY"/>
        </w:rPr>
        <w:t>عَنْ أَبَان</w:t>
      </w:r>
      <w:r w:rsidRPr="003762F6">
        <w:rPr>
          <w:rFonts w:ascii="Abo-thar" w:hAnsi="Abo-thar" w:cs="KFGQPC Uthman Taha Naskh" w:hint="cs"/>
          <w:b/>
          <w:bCs/>
          <w:sz w:val="28"/>
          <w:rtl/>
          <w:lang w:bidi="ar-SY"/>
        </w:rPr>
        <w:t xml:space="preserve"> </w:t>
      </w:r>
      <w:r w:rsidRPr="003762F6">
        <w:rPr>
          <w:rFonts w:ascii="Abo-thar" w:hAnsi="Abo-thar" w:cs="KFGQPC Uthman Taha Naskh"/>
          <w:b/>
          <w:bCs/>
          <w:sz w:val="28"/>
          <w:rtl/>
          <w:lang w:bidi="ar-SY"/>
        </w:rPr>
        <w:t xml:space="preserve">عَنْ مُحَمَّدِ بْنِ مُسْلِمٍ عَنْ أَبِي جَعْفَرٍ </w:t>
      </w:r>
      <w:r w:rsidR="00BC4BA9" w:rsidRPr="00BC4BA9">
        <w:rPr>
          <w:rFonts w:ascii="Abo-thar" w:hAnsi="Abo-thar" w:cs="CTraditional Arabic"/>
          <w:b/>
          <w:sz w:val="28"/>
          <w:rtl/>
          <w:lang w:bidi="ar-SY"/>
        </w:rPr>
        <w:t>÷</w:t>
      </w:r>
      <w:r w:rsidRPr="003762F6">
        <w:rPr>
          <w:rFonts w:ascii="Abo-thar" w:hAnsi="Abo-thar" w:cs="KFGQPC Uthman Taha Naskh"/>
          <w:b/>
          <w:bCs/>
          <w:sz w:val="28"/>
          <w:rtl/>
          <w:lang w:bidi="ar-SY"/>
        </w:rPr>
        <w:t xml:space="preserve"> فِي قَوْلِ اللهِ تَعَالَى</w:t>
      </w:r>
      <w:r w:rsidR="00421B82">
        <w:rPr>
          <w:rFonts w:ascii="Abo-thar" w:hAnsi="Abo-thar" w:cs="KFGQPC Uthman Taha Naskh" w:hint="cs"/>
          <w:b/>
          <w:bCs/>
          <w:sz w:val="28"/>
          <w:rtl/>
          <w:lang w:bidi="ar-SY"/>
        </w:rPr>
        <w:t xml:space="preserve">: </w:t>
      </w:r>
      <w:r w:rsidR="00421B82" w:rsidRPr="00995B26">
        <w:rPr>
          <w:rFonts w:ascii="Abo-thar" w:hAnsi="Abo-thar" w:cs="Traditional Arabic" w:hint="cs"/>
          <w:sz w:val="28"/>
          <w:rtl/>
        </w:rPr>
        <w:t>﴿</w:t>
      </w:r>
      <w:r w:rsidR="00421B82" w:rsidRPr="0067048A">
        <w:rPr>
          <w:rFonts w:ascii="KFGQPC Uthmanic Script HAFS" w:cs="KFGQPC Uthmanic Script HAFS" w:hint="eastAsia"/>
          <w:sz w:val="28"/>
          <w:szCs w:val="28"/>
          <w:rtl/>
        </w:rPr>
        <w:t>وَ</w:t>
      </w:r>
      <w:r w:rsidR="00421B82" w:rsidRPr="0067048A">
        <w:rPr>
          <w:rFonts w:ascii="KFGQPC Uthmanic Script HAFS" w:cs="KFGQPC Uthmanic Script HAFS" w:hint="cs"/>
          <w:sz w:val="28"/>
          <w:szCs w:val="28"/>
          <w:rtl/>
        </w:rPr>
        <w:t>ٱ</w:t>
      </w:r>
      <w:r w:rsidR="00421B82" w:rsidRPr="0067048A">
        <w:rPr>
          <w:rFonts w:ascii="KFGQPC Uthmanic Script HAFS" w:cs="KFGQPC Uthmanic Script HAFS" w:hint="eastAsia"/>
          <w:sz w:val="28"/>
          <w:szCs w:val="28"/>
          <w:rtl/>
        </w:rPr>
        <w:t>ع</w:t>
      </w:r>
      <w:r w:rsidR="00421B82" w:rsidRPr="0067048A">
        <w:rPr>
          <w:rFonts w:ascii="KFGQPC Uthmanic Script HAFS" w:cs="KFGQPC Uthmanic Script HAFS" w:hint="cs"/>
          <w:sz w:val="28"/>
          <w:szCs w:val="28"/>
          <w:rtl/>
        </w:rPr>
        <w:t>ۡ</w:t>
      </w:r>
      <w:r w:rsidR="00421B82" w:rsidRPr="0067048A">
        <w:rPr>
          <w:rFonts w:ascii="KFGQPC Uthmanic Script HAFS" w:cs="KFGQPC Uthmanic Script HAFS" w:hint="eastAsia"/>
          <w:sz w:val="28"/>
          <w:szCs w:val="28"/>
          <w:rtl/>
        </w:rPr>
        <w:t>لَمُو</w:t>
      </w:r>
      <w:r w:rsidR="00421B82" w:rsidRPr="0067048A">
        <w:rPr>
          <w:rFonts w:ascii="KFGQPC Uthmanic Script HAFS" w:cs="KFGQPC Uthmanic Script HAFS" w:hint="cs"/>
          <w:sz w:val="28"/>
          <w:szCs w:val="28"/>
          <w:rtl/>
        </w:rPr>
        <w:t>ٓ</w:t>
      </w:r>
      <w:r w:rsidR="00421B82" w:rsidRPr="0067048A">
        <w:rPr>
          <w:rFonts w:ascii="KFGQPC Uthmanic Script HAFS" w:cs="KFGQPC Uthmanic Script HAFS" w:hint="eastAsia"/>
          <w:sz w:val="28"/>
          <w:szCs w:val="28"/>
          <w:rtl/>
        </w:rPr>
        <w:t>اْ</w:t>
      </w:r>
      <w:r w:rsidR="00421B82" w:rsidRPr="0067048A">
        <w:rPr>
          <w:rFonts w:ascii="KFGQPC Uthmanic Script HAFS" w:cs="KFGQPC Uthmanic Script HAFS"/>
          <w:sz w:val="28"/>
          <w:szCs w:val="28"/>
          <w:rtl/>
        </w:rPr>
        <w:t xml:space="preserve"> </w:t>
      </w:r>
      <w:r w:rsidR="00421B82" w:rsidRPr="0067048A">
        <w:rPr>
          <w:rFonts w:ascii="KFGQPC Uthmanic Script HAFS" w:cs="KFGQPC Uthmanic Script HAFS" w:hint="eastAsia"/>
          <w:sz w:val="28"/>
          <w:szCs w:val="28"/>
          <w:rtl/>
        </w:rPr>
        <w:t>أَنَّمَا</w:t>
      </w:r>
      <w:r w:rsidR="00421B82" w:rsidRPr="0067048A">
        <w:rPr>
          <w:rFonts w:ascii="KFGQPC Uthmanic Script HAFS" w:cs="KFGQPC Uthmanic Script HAFS"/>
          <w:sz w:val="28"/>
          <w:szCs w:val="28"/>
          <w:rtl/>
        </w:rPr>
        <w:t xml:space="preserve"> </w:t>
      </w:r>
      <w:r w:rsidR="00421B82" w:rsidRPr="0067048A">
        <w:rPr>
          <w:rFonts w:ascii="KFGQPC Uthmanic Script HAFS" w:cs="KFGQPC Uthmanic Script HAFS" w:hint="eastAsia"/>
          <w:sz w:val="28"/>
          <w:szCs w:val="28"/>
          <w:rtl/>
        </w:rPr>
        <w:t>غَنِم</w:t>
      </w:r>
      <w:r w:rsidR="00421B82" w:rsidRPr="0067048A">
        <w:rPr>
          <w:rFonts w:ascii="KFGQPC Uthmanic Script HAFS" w:cs="KFGQPC Uthmanic Script HAFS" w:hint="cs"/>
          <w:sz w:val="28"/>
          <w:szCs w:val="28"/>
          <w:rtl/>
        </w:rPr>
        <w:t>ۡ</w:t>
      </w:r>
      <w:r w:rsidR="00421B82" w:rsidRPr="0067048A">
        <w:rPr>
          <w:rFonts w:ascii="KFGQPC Uthmanic Script HAFS" w:cs="KFGQPC Uthmanic Script HAFS" w:hint="eastAsia"/>
          <w:sz w:val="28"/>
          <w:szCs w:val="28"/>
          <w:rtl/>
        </w:rPr>
        <w:t>تُم</w:t>
      </w:r>
      <w:r w:rsidR="00421B82" w:rsidRPr="0067048A">
        <w:rPr>
          <w:rFonts w:ascii="KFGQPC Uthmanic Script HAFS" w:cs="KFGQPC Uthmanic Script HAFS"/>
          <w:sz w:val="28"/>
          <w:szCs w:val="28"/>
          <w:rtl/>
        </w:rPr>
        <w:t xml:space="preserve"> </w:t>
      </w:r>
      <w:r w:rsidR="00421B82" w:rsidRPr="0067048A">
        <w:rPr>
          <w:rFonts w:ascii="KFGQPC Uthmanic Script HAFS" w:cs="KFGQPC Uthmanic Script HAFS" w:hint="eastAsia"/>
          <w:sz w:val="28"/>
          <w:szCs w:val="28"/>
          <w:rtl/>
        </w:rPr>
        <w:t>مِّن</w:t>
      </w:r>
      <w:r w:rsidR="00421B82" w:rsidRPr="0067048A">
        <w:rPr>
          <w:rFonts w:ascii="KFGQPC Uthmanic Script HAFS" w:cs="KFGQPC Uthmanic Script HAFS"/>
          <w:sz w:val="28"/>
          <w:szCs w:val="28"/>
          <w:rtl/>
        </w:rPr>
        <w:t xml:space="preserve"> </w:t>
      </w:r>
      <w:r w:rsidR="00421B82" w:rsidRPr="0067048A">
        <w:rPr>
          <w:rFonts w:ascii="KFGQPC Uthmanic Script HAFS" w:cs="KFGQPC Uthmanic Script HAFS" w:hint="eastAsia"/>
          <w:sz w:val="28"/>
          <w:szCs w:val="28"/>
          <w:rtl/>
        </w:rPr>
        <w:t>شَي</w:t>
      </w:r>
      <w:r w:rsidR="00421B82" w:rsidRPr="0067048A">
        <w:rPr>
          <w:rFonts w:ascii="KFGQPC Uthmanic Script HAFS" w:cs="KFGQPC Uthmanic Script HAFS" w:hint="cs"/>
          <w:sz w:val="28"/>
          <w:szCs w:val="28"/>
          <w:rtl/>
        </w:rPr>
        <w:t>ۡ</w:t>
      </w:r>
      <w:r w:rsidR="00421B82" w:rsidRPr="0067048A">
        <w:rPr>
          <w:rFonts w:ascii="KFGQPC Uthmanic Script HAFS" w:cs="KFGQPC Uthmanic Script HAFS" w:hint="eastAsia"/>
          <w:sz w:val="28"/>
          <w:szCs w:val="28"/>
          <w:rtl/>
        </w:rPr>
        <w:t>ء</w:t>
      </w:r>
      <w:r w:rsidR="00421B82" w:rsidRPr="0067048A">
        <w:rPr>
          <w:rFonts w:ascii="KFGQPC Uthmanic Script HAFS" w:cs="KFGQPC Uthmanic Script HAFS" w:hint="cs"/>
          <w:sz w:val="28"/>
          <w:szCs w:val="28"/>
          <w:rtl/>
        </w:rPr>
        <w:t>ٖ</w:t>
      </w:r>
      <w:r w:rsidR="00421B82" w:rsidRPr="0067048A">
        <w:rPr>
          <w:rFonts w:ascii="KFGQPC Uthmanic Script HAFS" w:cs="KFGQPC Uthmanic Script HAFS"/>
          <w:sz w:val="28"/>
          <w:szCs w:val="28"/>
          <w:rtl/>
        </w:rPr>
        <w:t xml:space="preserve"> </w:t>
      </w:r>
      <w:r w:rsidR="00421B82" w:rsidRPr="0067048A">
        <w:rPr>
          <w:rFonts w:ascii="KFGQPC Uthmanic Script HAFS" w:cs="KFGQPC Uthmanic Script HAFS" w:hint="eastAsia"/>
          <w:sz w:val="28"/>
          <w:szCs w:val="28"/>
          <w:rtl/>
        </w:rPr>
        <w:t>فَأَنَّ</w:t>
      </w:r>
      <w:r w:rsidR="00421B82" w:rsidRPr="0067048A">
        <w:rPr>
          <w:rFonts w:ascii="KFGQPC Uthmanic Script HAFS" w:cs="KFGQPC Uthmanic Script HAFS"/>
          <w:sz w:val="28"/>
          <w:szCs w:val="28"/>
          <w:rtl/>
        </w:rPr>
        <w:t xml:space="preserve"> </w:t>
      </w:r>
      <w:r w:rsidR="00421B82" w:rsidRPr="0067048A">
        <w:rPr>
          <w:rFonts w:ascii="KFGQPC Uthmanic Script HAFS" w:cs="KFGQPC Uthmanic Script HAFS" w:hint="eastAsia"/>
          <w:sz w:val="28"/>
          <w:szCs w:val="28"/>
          <w:rtl/>
        </w:rPr>
        <w:t>لِلَّهِ</w:t>
      </w:r>
      <w:r w:rsidR="00421B82" w:rsidRPr="0067048A">
        <w:rPr>
          <w:rFonts w:ascii="KFGQPC Uthmanic Script HAFS" w:cs="KFGQPC Uthmanic Script HAFS"/>
          <w:sz w:val="28"/>
          <w:szCs w:val="28"/>
          <w:rtl/>
        </w:rPr>
        <w:t xml:space="preserve"> </w:t>
      </w:r>
      <w:r w:rsidR="00421B82" w:rsidRPr="0067048A">
        <w:rPr>
          <w:rFonts w:ascii="KFGQPC Uthmanic Script HAFS" w:cs="KFGQPC Uthmanic Script HAFS" w:hint="eastAsia"/>
          <w:sz w:val="28"/>
          <w:szCs w:val="28"/>
          <w:rtl/>
        </w:rPr>
        <w:t>خُمُسَهُ</w:t>
      </w:r>
      <w:r w:rsidR="00421B82" w:rsidRPr="0067048A">
        <w:rPr>
          <w:rFonts w:ascii="KFGQPC Uthmanic Script HAFS" w:cs="KFGQPC Uthmanic Script HAFS" w:hint="cs"/>
          <w:sz w:val="28"/>
          <w:szCs w:val="28"/>
          <w:rtl/>
        </w:rPr>
        <w:t>ۥ</w:t>
      </w:r>
      <w:r w:rsidR="00421B82" w:rsidRPr="0067048A">
        <w:rPr>
          <w:rFonts w:ascii="KFGQPC Uthmanic Script HAFS" w:cs="KFGQPC Uthmanic Script HAFS"/>
          <w:sz w:val="28"/>
          <w:szCs w:val="28"/>
          <w:rtl/>
        </w:rPr>
        <w:t xml:space="preserve"> </w:t>
      </w:r>
      <w:r w:rsidR="00421B82" w:rsidRPr="0067048A">
        <w:rPr>
          <w:rFonts w:ascii="KFGQPC Uthmanic Script HAFS" w:cs="KFGQPC Uthmanic Script HAFS" w:hint="eastAsia"/>
          <w:sz w:val="28"/>
          <w:szCs w:val="28"/>
          <w:rtl/>
        </w:rPr>
        <w:t>وَلِلرَّسُولِ</w:t>
      </w:r>
      <w:r w:rsidR="00421B82" w:rsidRPr="0067048A">
        <w:rPr>
          <w:rFonts w:ascii="KFGQPC Uthmanic Script HAFS" w:cs="KFGQPC Uthmanic Script HAFS"/>
          <w:sz w:val="28"/>
          <w:szCs w:val="28"/>
          <w:rtl/>
        </w:rPr>
        <w:t xml:space="preserve"> </w:t>
      </w:r>
      <w:r w:rsidR="00421B82" w:rsidRPr="0067048A">
        <w:rPr>
          <w:rFonts w:ascii="KFGQPC Uthmanic Script HAFS" w:cs="KFGQPC Uthmanic Script HAFS" w:hint="eastAsia"/>
          <w:sz w:val="28"/>
          <w:szCs w:val="28"/>
          <w:rtl/>
        </w:rPr>
        <w:t>وَلِذِي</w:t>
      </w:r>
      <w:r w:rsidR="00421B82" w:rsidRPr="0067048A">
        <w:rPr>
          <w:rFonts w:ascii="KFGQPC Uthmanic Script HAFS" w:cs="KFGQPC Uthmanic Script HAFS"/>
          <w:sz w:val="28"/>
          <w:szCs w:val="28"/>
          <w:rtl/>
        </w:rPr>
        <w:t xml:space="preserve"> </w:t>
      </w:r>
      <w:r w:rsidR="00421B82" w:rsidRPr="0067048A">
        <w:rPr>
          <w:rFonts w:ascii="KFGQPC Uthmanic Script HAFS" w:cs="KFGQPC Uthmanic Script HAFS" w:hint="cs"/>
          <w:sz w:val="28"/>
          <w:szCs w:val="28"/>
          <w:rtl/>
        </w:rPr>
        <w:t>ٱ</w:t>
      </w:r>
      <w:r w:rsidR="00421B82" w:rsidRPr="0067048A">
        <w:rPr>
          <w:rFonts w:ascii="KFGQPC Uthmanic Script HAFS" w:cs="KFGQPC Uthmanic Script HAFS" w:hint="eastAsia"/>
          <w:sz w:val="28"/>
          <w:szCs w:val="28"/>
          <w:rtl/>
        </w:rPr>
        <w:t>ل</w:t>
      </w:r>
      <w:r w:rsidR="00421B82" w:rsidRPr="0067048A">
        <w:rPr>
          <w:rFonts w:ascii="KFGQPC Uthmanic Script HAFS" w:cs="KFGQPC Uthmanic Script HAFS" w:hint="cs"/>
          <w:sz w:val="28"/>
          <w:szCs w:val="28"/>
          <w:rtl/>
        </w:rPr>
        <w:t>ۡ</w:t>
      </w:r>
      <w:r w:rsidR="00421B82" w:rsidRPr="0067048A">
        <w:rPr>
          <w:rFonts w:ascii="KFGQPC Uthmanic Script HAFS" w:cs="KFGQPC Uthmanic Script HAFS" w:hint="eastAsia"/>
          <w:sz w:val="28"/>
          <w:szCs w:val="28"/>
          <w:rtl/>
        </w:rPr>
        <w:t>قُر</w:t>
      </w:r>
      <w:r w:rsidR="00421B82" w:rsidRPr="0067048A">
        <w:rPr>
          <w:rFonts w:ascii="KFGQPC Uthmanic Script HAFS" w:cs="KFGQPC Uthmanic Script HAFS" w:hint="cs"/>
          <w:sz w:val="28"/>
          <w:szCs w:val="28"/>
          <w:rtl/>
        </w:rPr>
        <w:t>ۡ</w:t>
      </w:r>
      <w:r w:rsidR="00421B82" w:rsidRPr="0067048A">
        <w:rPr>
          <w:rFonts w:ascii="KFGQPC Uthmanic Script HAFS" w:cs="KFGQPC Uthmanic Script HAFS" w:hint="eastAsia"/>
          <w:sz w:val="28"/>
          <w:szCs w:val="28"/>
          <w:rtl/>
        </w:rPr>
        <w:t>بَى</w:t>
      </w:r>
      <w:r w:rsidR="00421B82" w:rsidRPr="0067048A">
        <w:rPr>
          <w:rFonts w:ascii="KFGQPC Uthmanic Script HAFS" w:cs="KFGQPC Uthmanic Script HAFS" w:hint="cs"/>
          <w:sz w:val="28"/>
          <w:szCs w:val="28"/>
          <w:rtl/>
        </w:rPr>
        <w:t>ٰ</w:t>
      </w:r>
      <w:r w:rsidR="00421B82" w:rsidRPr="00995B26">
        <w:rPr>
          <w:rFonts w:ascii="Abo-thar" w:hAnsi="Abo-thar" w:cs="Traditional Arabic" w:hint="cs"/>
          <w:sz w:val="28"/>
          <w:rtl/>
        </w:rPr>
        <w:t>﴾</w:t>
      </w:r>
      <w:r w:rsidRPr="003762F6">
        <w:rPr>
          <w:rFonts w:ascii="Abo-thar" w:hAnsi="Abo-thar" w:cs="KFGQPC Uthman Taha Naskh"/>
          <w:b/>
          <w:bCs/>
          <w:sz w:val="28"/>
          <w:rtl/>
          <w:lang w:bidi="ar-SY"/>
        </w:rPr>
        <w:t xml:space="preserve"> قَالَ</w:t>
      </w:r>
      <w:r w:rsidR="00421B82">
        <w:rPr>
          <w:rFonts w:ascii="Abo-thar" w:hAnsi="Abo-thar" w:cs="KFGQPC Uthman Taha Naskh" w:hint="cs"/>
          <w:b/>
          <w:bCs/>
          <w:sz w:val="28"/>
          <w:rtl/>
          <w:lang w:bidi="ar-SY"/>
        </w:rPr>
        <w:t>:</w:t>
      </w:r>
      <w:r w:rsidRPr="003762F6">
        <w:rPr>
          <w:rFonts w:ascii="Abo-thar" w:hAnsi="Abo-thar" w:cs="KFGQPC Uthman Taha Naskh"/>
          <w:b/>
          <w:bCs/>
          <w:sz w:val="28"/>
          <w:rtl/>
          <w:lang w:bidi="ar-SY"/>
        </w:rPr>
        <w:t xml:space="preserve"> هُمْ قَرَابَةُ رَسُولِ اللهِ</w:t>
      </w:r>
      <w:r w:rsidR="00147857" w:rsidRPr="003762F6">
        <w:rPr>
          <w:rFonts w:ascii="Abo-thar" w:hAnsi="Abo-thar" w:cs="KFGQPC Uthman Taha Naskh"/>
          <w:b/>
          <w:bCs/>
          <w:sz w:val="28"/>
          <w:rtl/>
          <w:lang w:bidi="ar-SY"/>
        </w:rPr>
        <w:t xml:space="preserve"> </w:t>
      </w:r>
      <w:r w:rsidR="003C7AEB" w:rsidRPr="003C7AEB">
        <w:rPr>
          <w:rFonts w:ascii="Abo-thar" w:hAnsi="Abo-thar" w:cs="CTraditional Arabic"/>
          <w:sz w:val="28"/>
          <w:rtl/>
          <w:lang w:bidi="ar-SY"/>
        </w:rPr>
        <w:t>ص</w:t>
      </w:r>
      <w:r w:rsidR="00147857" w:rsidRPr="003762F6">
        <w:rPr>
          <w:rFonts w:ascii="Abo-thar" w:hAnsi="Abo-thar" w:cs="KFGQPC Uthman Taha Naskh"/>
          <w:sz w:val="28"/>
          <w:rtl/>
          <w:lang w:bidi="ar-SY"/>
        </w:rPr>
        <w:t xml:space="preserve"> </w:t>
      </w:r>
      <w:r w:rsidRPr="003762F6">
        <w:rPr>
          <w:rFonts w:ascii="Abo-thar" w:hAnsi="Abo-thar" w:cs="KFGQPC Uthman Taha Naskh"/>
          <w:b/>
          <w:bCs/>
          <w:sz w:val="28"/>
          <w:rtl/>
          <w:lang w:bidi="ar-SY"/>
        </w:rPr>
        <w:t>والْخُمُسُ لِـلَّهِ ولِلرَّسُولِ ولَنَا</w:t>
      </w:r>
      <w:r w:rsidR="00EF2588" w:rsidRPr="003762F6">
        <w:rPr>
          <w:rFonts w:ascii="Abo-thar" w:hAnsi="Abo-thar" w:cs="KFGQPC Uthman Taha Naskh" w:hint="cs"/>
          <w:sz w:val="28"/>
          <w:rtl/>
          <w:lang w:bidi="ar-SY"/>
        </w:rPr>
        <w:t>»</w:t>
      </w:r>
      <w:r w:rsidR="00254453" w:rsidRPr="0021507A">
        <w:rPr>
          <w:rFonts w:ascii="Abo-thar" w:hAnsi="Abo-thar" w:cs="Arabic11 BT"/>
          <w:sz w:val="28"/>
          <w:vertAlign w:val="superscript"/>
          <w:rtl/>
          <w:lang w:bidi="ar-SY"/>
        </w:rPr>
        <w:t>(</w:t>
      </w:r>
      <w:r w:rsidR="00254453" w:rsidRPr="0021507A">
        <w:rPr>
          <w:rStyle w:val="FootnoteReference"/>
          <w:rFonts w:ascii="Abo-thar" w:hAnsi="Abo-thar" w:cs="Arabic11 BT"/>
          <w:sz w:val="28"/>
          <w:rtl/>
          <w:lang w:bidi="ar-SY"/>
        </w:rPr>
        <w:footnoteReference w:id="246"/>
      </w:r>
      <w:r w:rsidR="00254453" w:rsidRPr="0021507A">
        <w:rPr>
          <w:rFonts w:ascii="Abo-thar" w:hAnsi="Abo-thar" w:cs="Arabic11 BT"/>
          <w:sz w:val="28"/>
          <w:vertAlign w:val="superscript"/>
          <w:rtl/>
          <w:lang w:bidi="ar-SY"/>
        </w:rPr>
        <w:t>)</w:t>
      </w:r>
      <w:r w:rsidR="00217AB4" w:rsidRPr="003F3B94">
        <w:rPr>
          <w:rFonts w:ascii="Abo-thar" w:hAnsi="Abo-thar" w:hint="cs"/>
          <w:sz w:val="28"/>
          <w:rtl/>
          <w:lang w:bidi="ar-SY"/>
        </w:rPr>
        <w:t>.</w:t>
      </w:r>
    </w:p>
    <w:p w:rsidR="005C664D" w:rsidRPr="00995B26" w:rsidRDefault="005C664D" w:rsidP="003F3B94">
      <w:pPr>
        <w:pStyle w:val="a0"/>
        <w:rPr>
          <w:rFonts w:hint="cs"/>
          <w:rtl/>
          <w:lang w:bidi="ar-SY"/>
        </w:rPr>
      </w:pPr>
      <w:r w:rsidRPr="003F3B94">
        <w:rPr>
          <w:rFonts w:ascii="Abo-thar" w:hAnsi="Abo-thar" w:hint="cs"/>
          <w:sz w:val="28"/>
          <w:rtl/>
          <w:lang w:bidi="ar-SY"/>
        </w:rPr>
        <w:t>6</w:t>
      </w:r>
      <w:r w:rsidR="00217AB4" w:rsidRPr="003F3B94">
        <w:rPr>
          <w:rFonts w:ascii="Abo-thar" w:hAnsi="Abo-thar" w:hint="cs"/>
          <w:sz w:val="28"/>
          <w:rtl/>
          <w:lang w:bidi="ar-SY"/>
        </w:rPr>
        <w:t>-</w:t>
      </w:r>
      <w:r w:rsidRPr="003F3B94">
        <w:rPr>
          <w:rFonts w:ascii="Abo-thar" w:hAnsi="Abo-thar" w:hint="cs"/>
          <w:sz w:val="28"/>
          <w:rtl/>
          <w:lang w:bidi="ar-SY"/>
        </w:rPr>
        <w:t xml:space="preserve"> وروى الكُلَيْنِيّ أيضاً في </w:t>
      </w:r>
      <w:r w:rsidRPr="003F3B94">
        <w:rPr>
          <w:rFonts w:ascii="Abo-thar" w:hAnsi="Abo-thar"/>
          <w:sz w:val="28"/>
          <w:rtl/>
          <w:lang w:bidi="ar-SY"/>
        </w:rPr>
        <w:t>«</w:t>
      </w:r>
      <w:r w:rsidRPr="003F3B94">
        <w:rPr>
          <w:rFonts w:ascii="Abo-thar" w:hAnsi="Abo-thar" w:hint="cs"/>
          <w:sz w:val="28"/>
          <w:rtl/>
          <w:lang w:bidi="ar-SY"/>
        </w:rPr>
        <w:t>الكافي</w:t>
      </w:r>
      <w:r w:rsidRPr="003F3B94">
        <w:rPr>
          <w:rFonts w:ascii="Abo-thar" w:hAnsi="Abo-thar"/>
          <w:sz w:val="28"/>
          <w:rtl/>
          <w:lang w:bidi="ar-SY"/>
        </w:rPr>
        <w:t>»</w:t>
      </w:r>
      <w:r w:rsidR="007638F8" w:rsidRPr="003F3B94">
        <w:rPr>
          <w:rFonts w:ascii="Abo-thar" w:hAnsi="Abo-thar" w:hint="cs"/>
          <w:sz w:val="28"/>
          <w:rtl/>
          <w:lang w:bidi="ar-SY"/>
        </w:rPr>
        <w:t xml:space="preserve"> </w:t>
      </w:r>
      <w:r w:rsidRPr="003F3B94">
        <w:rPr>
          <w:rFonts w:ascii="Abo-thar" w:hAnsi="Abo-thar" w:hint="cs"/>
          <w:sz w:val="28"/>
          <w:rtl/>
          <w:lang w:bidi="ar-SY"/>
        </w:rPr>
        <w:t xml:space="preserve">بسنده عن </w:t>
      </w:r>
      <w:r w:rsidR="00EF2588" w:rsidRPr="003762F6">
        <w:rPr>
          <w:rFonts w:ascii="Abo-thar" w:hAnsi="Abo-thar" w:cs="KFGQPC Uthman Taha Naskh" w:hint="cs"/>
          <w:sz w:val="28"/>
          <w:rtl/>
          <w:lang w:bidi="ar-SY"/>
        </w:rPr>
        <w:t>«</w:t>
      </w:r>
      <w:r w:rsidRPr="003762F6">
        <w:rPr>
          <w:rFonts w:ascii="Abo-thar" w:hAnsi="Abo-thar" w:cs="KFGQPC Uthman Taha Naskh"/>
          <w:b/>
          <w:bCs/>
          <w:sz w:val="28"/>
          <w:rtl/>
          <w:lang w:bidi="ar-SY"/>
        </w:rPr>
        <w:t xml:space="preserve">عَنْ أَبَانِ بْنِ أَبِي عَيَّاشٍ عَنْ سُلَيْمِ بْنِ قَيْسٍ قَالَ سَمِعْتُ أَمِيرَ المُؤْمِنِينَ </w:t>
      </w:r>
      <w:r w:rsidR="00BC4BA9" w:rsidRPr="00BC4BA9">
        <w:rPr>
          <w:rFonts w:ascii="Abo-thar" w:hAnsi="Abo-thar" w:cs="CTraditional Arabic"/>
          <w:b/>
          <w:sz w:val="28"/>
          <w:rtl/>
          <w:lang w:bidi="ar-SY"/>
        </w:rPr>
        <w:t>÷</w:t>
      </w:r>
      <w:r w:rsidRPr="003762F6">
        <w:rPr>
          <w:rFonts w:ascii="Abo-thar" w:hAnsi="Abo-thar" w:cs="KFGQPC Uthman Taha Naskh"/>
          <w:b/>
          <w:bCs/>
          <w:sz w:val="28"/>
          <w:rtl/>
          <w:lang w:bidi="ar-SY"/>
        </w:rPr>
        <w:t xml:space="preserve"> يَقُولُ</w:t>
      </w:r>
      <w:r w:rsidR="00421B82">
        <w:rPr>
          <w:rFonts w:ascii="Abo-thar" w:hAnsi="Abo-thar" w:cs="KFGQPC Uthman Taha Naskh" w:hint="cs"/>
          <w:b/>
          <w:bCs/>
          <w:sz w:val="28"/>
          <w:rtl/>
          <w:lang w:bidi="ar-SY"/>
        </w:rPr>
        <w:t>:</w:t>
      </w:r>
      <w:r w:rsidRPr="003762F6">
        <w:rPr>
          <w:rFonts w:ascii="Abo-thar" w:hAnsi="Abo-thar" w:cs="KFGQPC Uthman Taha Naskh"/>
          <w:b/>
          <w:bCs/>
          <w:sz w:val="28"/>
          <w:rtl/>
          <w:lang w:bidi="ar-SY"/>
        </w:rPr>
        <w:t xml:space="preserve"> نَحْنُ واللَّهِ الَّذِينَ عَنَى اللهُ بِذِي الْقُرْبَى الَّذِينَ قَرَنَهُمُ اللهُ بِنَفْسِهِ ونَبِيِّهِ </w:t>
      </w:r>
      <w:r w:rsidR="003C7AEB" w:rsidRPr="003C7AEB">
        <w:rPr>
          <w:rFonts w:ascii="Abo-thar" w:hAnsi="Abo-thar" w:cs="CTraditional Arabic" w:hint="cs"/>
          <w:b/>
          <w:sz w:val="28"/>
          <w:rtl/>
          <w:lang w:bidi="ar-SY"/>
        </w:rPr>
        <w:t>ص</w:t>
      </w:r>
      <w:r w:rsidRPr="003762F6">
        <w:rPr>
          <w:rFonts w:ascii="Abo-thar" w:hAnsi="Abo-thar" w:cs="KFGQPC Uthman Taha Naskh"/>
          <w:b/>
          <w:bCs/>
          <w:sz w:val="28"/>
          <w:rtl/>
          <w:lang w:bidi="ar-SY"/>
        </w:rPr>
        <w:t xml:space="preserve"> فَقَالَ</w:t>
      </w:r>
      <w:r w:rsidR="00B06788" w:rsidRPr="003762F6">
        <w:rPr>
          <w:rFonts w:ascii="Abo-thar" w:hAnsi="Abo-thar" w:cs="KFGQPC Uthman Taha Naskh" w:hint="cs"/>
          <w:b/>
          <w:bCs/>
          <w:sz w:val="28"/>
          <w:rtl/>
          <w:lang w:bidi="ar-SY"/>
        </w:rPr>
        <w:t>:</w:t>
      </w:r>
      <w:r w:rsidR="00B06788" w:rsidRPr="003F3B94">
        <w:rPr>
          <w:rFonts w:ascii="Abo-thar" w:hAnsi="Abo-thar" w:hint="cs"/>
          <w:b/>
          <w:bCs/>
          <w:sz w:val="28"/>
          <w:rtl/>
          <w:lang w:bidi="ar-SY"/>
        </w:rPr>
        <w:t xml:space="preserve"> </w:t>
      </w:r>
      <w:r w:rsidR="00B06788" w:rsidRPr="00995B26">
        <w:rPr>
          <w:rFonts w:ascii="Abo-thar" w:hAnsi="Abo-thar" w:cs="Traditional Arabic" w:hint="cs"/>
          <w:sz w:val="28"/>
          <w:rtl/>
          <w:lang w:bidi="ar-SY"/>
        </w:rPr>
        <w:t>﴿</w:t>
      </w:r>
      <w:r w:rsidR="00B06788" w:rsidRPr="0067048A">
        <w:rPr>
          <w:rFonts w:ascii="KFGQPC Uthmanic Script HAFS" w:cs="KFGQPC Uthmanic Script HAFS" w:hint="eastAsia"/>
          <w:sz w:val="28"/>
          <w:szCs w:val="28"/>
          <w:rtl/>
        </w:rPr>
        <w:t>مَّا</w:t>
      </w:r>
      <w:r w:rsidR="00B06788" w:rsidRPr="0067048A">
        <w:rPr>
          <w:rFonts w:ascii="KFGQPC Uthmanic Script HAFS" w:cs="KFGQPC Uthmanic Script HAFS" w:hint="cs"/>
          <w:sz w:val="28"/>
          <w:szCs w:val="28"/>
          <w:rtl/>
        </w:rPr>
        <w:t>ٓ</w:t>
      </w:r>
      <w:r w:rsidR="00B06788" w:rsidRPr="0067048A">
        <w:rPr>
          <w:rFonts w:ascii="KFGQPC Uthmanic Script HAFS" w:cs="KFGQPC Uthmanic Script HAFS"/>
          <w:sz w:val="28"/>
          <w:szCs w:val="28"/>
          <w:rtl/>
        </w:rPr>
        <w:t xml:space="preserve"> </w:t>
      </w:r>
      <w:r w:rsidR="00B06788" w:rsidRPr="0067048A">
        <w:rPr>
          <w:rFonts w:ascii="KFGQPC Uthmanic Script HAFS" w:cs="KFGQPC Uthmanic Script HAFS" w:hint="eastAsia"/>
          <w:sz w:val="28"/>
          <w:szCs w:val="28"/>
          <w:rtl/>
        </w:rPr>
        <w:t>أَفَا</w:t>
      </w:r>
      <w:r w:rsidR="00B06788" w:rsidRPr="0067048A">
        <w:rPr>
          <w:rFonts w:ascii="KFGQPC Uthmanic Script HAFS" w:cs="KFGQPC Uthmanic Script HAFS" w:hint="cs"/>
          <w:sz w:val="28"/>
          <w:szCs w:val="28"/>
          <w:rtl/>
        </w:rPr>
        <w:t>ٓ</w:t>
      </w:r>
      <w:r w:rsidR="00B06788" w:rsidRPr="0067048A">
        <w:rPr>
          <w:rFonts w:ascii="KFGQPC Uthmanic Script HAFS" w:cs="KFGQPC Uthmanic Script HAFS" w:hint="eastAsia"/>
          <w:sz w:val="28"/>
          <w:szCs w:val="28"/>
          <w:rtl/>
        </w:rPr>
        <w:t>ءَ</w:t>
      </w:r>
      <w:r w:rsidR="00B06788" w:rsidRPr="0067048A">
        <w:rPr>
          <w:rFonts w:ascii="KFGQPC Uthmanic Script HAFS" w:cs="KFGQPC Uthmanic Script HAFS"/>
          <w:sz w:val="28"/>
          <w:szCs w:val="28"/>
          <w:rtl/>
        </w:rPr>
        <w:t xml:space="preserve"> </w:t>
      </w:r>
      <w:r w:rsidR="00B06788" w:rsidRPr="0067048A">
        <w:rPr>
          <w:rFonts w:ascii="KFGQPC Uthmanic Script HAFS" w:cs="KFGQPC Uthmanic Script HAFS" w:hint="cs"/>
          <w:sz w:val="28"/>
          <w:szCs w:val="28"/>
          <w:rtl/>
        </w:rPr>
        <w:t>ٱ</w:t>
      </w:r>
      <w:r w:rsidR="00B06788" w:rsidRPr="0067048A">
        <w:rPr>
          <w:rFonts w:ascii="KFGQPC Uthmanic Script HAFS" w:cs="KFGQPC Uthmanic Script HAFS" w:hint="eastAsia"/>
          <w:sz w:val="28"/>
          <w:szCs w:val="28"/>
          <w:rtl/>
        </w:rPr>
        <w:t>للَّهُ</w:t>
      </w:r>
      <w:r w:rsidR="00B06788" w:rsidRPr="0067048A">
        <w:rPr>
          <w:rFonts w:ascii="KFGQPC Uthmanic Script HAFS" w:cs="KFGQPC Uthmanic Script HAFS"/>
          <w:sz w:val="28"/>
          <w:szCs w:val="28"/>
          <w:rtl/>
        </w:rPr>
        <w:t xml:space="preserve"> </w:t>
      </w:r>
      <w:r w:rsidR="00B06788" w:rsidRPr="0067048A">
        <w:rPr>
          <w:rFonts w:ascii="KFGQPC Uthmanic Script HAFS" w:cs="KFGQPC Uthmanic Script HAFS" w:hint="eastAsia"/>
          <w:sz w:val="28"/>
          <w:szCs w:val="28"/>
          <w:rtl/>
        </w:rPr>
        <w:t>عَلَى</w:t>
      </w:r>
      <w:r w:rsidR="00B06788" w:rsidRPr="0067048A">
        <w:rPr>
          <w:rFonts w:ascii="KFGQPC Uthmanic Script HAFS" w:cs="KFGQPC Uthmanic Script HAFS" w:hint="cs"/>
          <w:sz w:val="28"/>
          <w:szCs w:val="28"/>
          <w:rtl/>
        </w:rPr>
        <w:t>ٰ</w:t>
      </w:r>
      <w:r w:rsidR="00B06788" w:rsidRPr="0067048A">
        <w:rPr>
          <w:rFonts w:ascii="KFGQPC Uthmanic Script HAFS" w:cs="KFGQPC Uthmanic Script HAFS"/>
          <w:sz w:val="28"/>
          <w:szCs w:val="28"/>
          <w:rtl/>
        </w:rPr>
        <w:t xml:space="preserve"> </w:t>
      </w:r>
      <w:r w:rsidR="00B06788" w:rsidRPr="0067048A">
        <w:rPr>
          <w:rFonts w:ascii="KFGQPC Uthmanic Script HAFS" w:cs="KFGQPC Uthmanic Script HAFS" w:hint="eastAsia"/>
          <w:sz w:val="28"/>
          <w:szCs w:val="28"/>
          <w:rtl/>
        </w:rPr>
        <w:t>رَسُولِهِ</w:t>
      </w:r>
      <w:r w:rsidR="00B06788" w:rsidRPr="0067048A">
        <w:rPr>
          <w:rFonts w:ascii="KFGQPC Uthmanic Script HAFS" w:cs="KFGQPC Uthmanic Script HAFS" w:hint="cs"/>
          <w:sz w:val="28"/>
          <w:szCs w:val="28"/>
          <w:rtl/>
        </w:rPr>
        <w:t>ۦ</w:t>
      </w:r>
      <w:r w:rsidR="00B06788" w:rsidRPr="0067048A">
        <w:rPr>
          <w:rFonts w:ascii="KFGQPC Uthmanic Script HAFS" w:cs="KFGQPC Uthmanic Script HAFS"/>
          <w:sz w:val="28"/>
          <w:szCs w:val="28"/>
          <w:rtl/>
        </w:rPr>
        <w:t xml:space="preserve"> </w:t>
      </w:r>
      <w:r w:rsidR="00B06788" w:rsidRPr="0067048A">
        <w:rPr>
          <w:rFonts w:ascii="KFGQPC Uthmanic Script HAFS" w:cs="KFGQPC Uthmanic Script HAFS" w:hint="eastAsia"/>
          <w:sz w:val="28"/>
          <w:szCs w:val="28"/>
          <w:rtl/>
        </w:rPr>
        <w:t>مِن</w:t>
      </w:r>
      <w:r w:rsidR="00B06788" w:rsidRPr="0067048A">
        <w:rPr>
          <w:rFonts w:ascii="KFGQPC Uthmanic Script HAFS" w:cs="KFGQPC Uthmanic Script HAFS" w:hint="cs"/>
          <w:sz w:val="28"/>
          <w:szCs w:val="28"/>
          <w:rtl/>
        </w:rPr>
        <w:t>ۡ</w:t>
      </w:r>
      <w:r w:rsidR="00B06788" w:rsidRPr="0067048A">
        <w:rPr>
          <w:rFonts w:ascii="KFGQPC Uthmanic Script HAFS" w:cs="KFGQPC Uthmanic Script HAFS"/>
          <w:sz w:val="28"/>
          <w:szCs w:val="28"/>
          <w:rtl/>
        </w:rPr>
        <w:t xml:space="preserve"> </w:t>
      </w:r>
      <w:r w:rsidR="00B06788" w:rsidRPr="0067048A">
        <w:rPr>
          <w:rFonts w:ascii="KFGQPC Uthmanic Script HAFS" w:cs="KFGQPC Uthmanic Script HAFS" w:hint="eastAsia"/>
          <w:sz w:val="28"/>
          <w:szCs w:val="28"/>
          <w:rtl/>
        </w:rPr>
        <w:t>أَه</w:t>
      </w:r>
      <w:r w:rsidR="00B06788" w:rsidRPr="0067048A">
        <w:rPr>
          <w:rFonts w:ascii="KFGQPC Uthmanic Script HAFS" w:cs="KFGQPC Uthmanic Script HAFS" w:hint="cs"/>
          <w:sz w:val="28"/>
          <w:szCs w:val="28"/>
          <w:rtl/>
        </w:rPr>
        <w:t>ۡ</w:t>
      </w:r>
      <w:r w:rsidR="00B06788" w:rsidRPr="0067048A">
        <w:rPr>
          <w:rFonts w:ascii="KFGQPC Uthmanic Script HAFS" w:cs="KFGQPC Uthmanic Script HAFS" w:hint="eastAsia"/>
          <w:sz w:val="28"/>
          <w:szCs w:val="28"/>
          <w:rtl/>
        </w:rPr>
        <w:t>لِ</w:t>
      </w:r>
      <w:r w:rsidR="00B06788" w:rsidRPr="0067048A">
        <w:rPr>
          <w:rFonts w:ascii="KFGQPC Uthmanic Script HAFS" w:cs="KFGQPC Uthmanic Script HAFS"/>
          <w:sz w:val="28"/>
          <w:szCs w:val="28"/>
          <w:rtl/>
        </w:rPr>
        <w:t xml:space="preserve"> </w:t>
      </w:r>
      <w:r w:rsidR="00B06788" w:rsidRPr="0067048A">
        <w:rPr>
          <w:rFonts w:ascii="KFGQPC Uthmanic Script HAFS" w:cs="KFGQPC Uthmanic Script HAFS" w:hint="cs"/>
          <w:sz w:val="28"/>
          <w:szCs w:val="28"/>
          <w:rtl/>
        </w:rPr>
        <w:t>ٱ</w:t>
      </w:r>
      <w:r w:rsidR="00B06788" w:rsidRPr="0067048A">
        <w:rPr>
          <w:rFonts w:ascii="KFGQPC Uthmanic Script HAFS" w:cs="KFGQPC Uthmanic Script HAFS" w:hint="eastAsia"/>
          <w:sz w:val="28"/>
          <w:szCs w:val="28"/>
          <w:rtl/>
        </w:rPr>
        <w:t>ل</w:t>
      </w:r>
      <w:r w:rsidR="00B06788" w:rsidRPr="0067048A">
        <w:rPr>
          <w:rFonts w:ascii="KFGQPC Uthmanic Script HAFS" w:cs="KFGQPC Uthmanic Script HAFS" w:hint="cs"/>
          <w:sz w:val="28"/>
          <w:szCs w:val="28"/>
          <w:rtl/>
        </w:rPr>
        <w:t>ۡ</w:t>
      </w:r>
      <w:r w:rsidR="00B06788" w:rsidRPr="0067048A">
        <w:rPr>
          <w:rFonts w:ascii="KFGQPC Uthmanic Script HAFS" w:cs="KFGQPC Uthmanic Script HAFS" w:hint="eastAsia"/>
          <w:sz w:val="28"/>
          <w:szCs w:val="28"/>
          <w:rtl/>
        </w:rPr>
        <w:t>قُرَى</w:t>
      </w:r>
      <w:r w:rsidR="00B06788" w:rsidRPr="0067048A">
        <w:rPr>
          <w:rFonts w:ascii="KFGQPC Uthmanic Script HAFS" w:cs="KFGQPC Uthmanic Script HAFS" w:hint="cs"/>
          <w:sz w:val="28"/>
          <w:szCs w:val="28"/>
          <w:rtl/>
        </w:rPr>
        <w:t>ٰ</w:t>
      </w:r>
      <w:r w:rsidR="00B06788" w:rsidRPr="0067048A">
        <w:rPr>
          <w:rFonts w:ascii="KFGQPC Uthmanic Script HAFS" w:cs="KFGQPC Uthmanic Script HAFS"/>
          <w:sz w:val="28"/>
          <w:szCs w:val="28"/>
          <w:rtl/>
        </w:rPr>
        <w:t xml:space="preserve"> </w:t>
      </w:r>
      <w:r w:rsidR="00B06788" w:rsidRPr="0067048A">
        <w:rPr>
          <w:rFonts w:ascii="KFGQPC Uthmanic Script HAFS" w:cs="KFGQPC Uthmanic Script HAFS" w:hint="eastAsia"/>
          <w:sz w:val="28"/>
          <w:szCs w:val="28"/>
          <w:rtl/>
        </w:rPr>
        <w:t>فَلِلَّهِ</w:t>
      </w:r>
      <w:r w:rsidR="00B06788" w:rsidRPr="0067048A">
        <w:rPr>
          <w:rFonts w:ascii="KFGQPC Uthmanic Script HAFS" w:cs="KFGQPC Uthmanic Script HAFS"/>
          <w:sz w:val="28"/>
          <w:szCs w:val="28"/>
          <w:rtl/>
        </w:rPr>
        <w:t xml:space="preserve"> </w:t>
      </w:r>
      <w:r w:rsidR="00B06788" w:rsidRPr="0067048A">
        <w:rPr>
          <w:rFonts w:ascii="KFGQPC Uthmanic Script HAFS" w:cs="KFGQPC Uthmanic Script HAFS" w:hint="eastAsia"/>
          <w:sz w:val="28"/>
          <w:szCs w:val="28"/>
          <w:rtl/>
        </w:rPr>
        <w:t>وَلِلرَّسُولِ</w:t>
      </w:r>
      <w:r w:rsidR="00B06788" w:rsidRPr="0067048A">
        <w:rPr>
          <w:rFonts w:ascii="KFGQPC Uthmanic Script HAFS" w:cs="KFGQPC Uthmanic Script HAFS"/>
          <w:sz w:val="28"/>
          <w:szCs w:val="28"/>
          <w:rtl/>
        </w:rPr>
        <w:t xml:space="preserve"> </w:t>
      </w:r>
      <w:r w:rsidR="00B06788" w:rsidRPr="0067048A">
        <w:rPr>
          <w:rFonts w:ascii="KFGQPC Uthmanic Script HAFS" w:cs="KFGQPC Uthmanic Script HAFS" w:hint="eastAsia"/>
          <w:sz w:val="28"/>
          <w:szCs w:val="28"/>
          <w:rtl/>
        </w:rPr>
        <w:t>وَلِذِي</w:t>
      </w:r>
      <w:r w:rsidR="00B06788" w:rsidRPr="0067048A">
        <w:rPr>
          <w:rFonts w:ascii="KFGQPC Uthmanic Script HAFS" w:cs="KFGQPC Uthmanic Script HAFS"/>
          <w:sz w:val="28"/>
          <w:szCs w:val="28"/>
          <w:rtl/>
        </w:rPr>
        <w:t xml:space="preserve"> </w:t>
      </w:r>
      <w:r w:rsidR="00B06788" w:rsidRPr="0067048A">
        <w:rPr>
          <w:rFonts w:ascii="KFGQPC Uthmanic Script HAFS" w:cs="KFGQPC Uthmanic Script HAFS" w:hint="cs"/>
          <w:sz w:val="28"/>
          <w:szCs w:val="28"/>
          <w:rtl/>
        </w:rPr>
        <w:t>ٱ</w:t>
      </w:r>
      <w:r w:rsidR="00B06788" w:rsidRPr="0067048A">
        <w:rPr>
          <w:rFonts w:ascii="KFGQPC Uthmanic Script HAFS" w:cs="KFGQPC Uthmanic Script HAFS" w:hint="eastAsia"/>
          <w:sz w:val="28"/>
          <w:szCs w:val="28"/>
          <w:rtl/>
        </w:rPr>
        <w:t>ل</w:t>
      </w:r>
      <w:r w:rsidR="00B06788" w:rsidRPr="0067048A">
        <w:rPr>
          <w:rFonts w:ascii="KFGQPC Uthmanic Script HAFS" w:cs="KFGQPC Uthmanic Script HAFS" w:hint="cs"/>
          <w:sz w:val="28"/>
          <w:szCs w:val="28"/>
          <w:rtl/>
        </w:rPr>
        <w:t>ۡ</w:t>
      </w:r>
      <w:r w:rsidR="00B06788" w:rsidRPr="0067048A">
        <w:rPr>
          <w:rFonts w:ascii="KFGQPC Uthmanic Script HAFS" w:cs="KFGQPC Uthmanic Script HAFS" w:hint="eastAsia"/>
          <w:sz w:val="28"/>
          <w:szCs w:val="28"/>
          <w:rtl/>
        </w:rPr>
        <w:t>قُر</w:t>
      </w:r>
      <w:r w:rsidR="00B06788" w:rsidRPr="0067048A">
        <w:rPr>
          <w:rFonts w:ascii="KFGQPC Uthmanic Script HAFS" w:cs="KFGQPC Uthmanic Script HAFS" w:hint="cs"/>
          <w:sz w:val="28"/>
          <w:szCs w:val="28"/>
          <w:rtl/>
        </w:rPr>
        <w:t>ۡ</w:t>
      </w:r>
      <w:r w:rsidR="00B06788" w:rsidRPr="0067048A">
        <w:rPr>
          <w:rFonts w:ascii="KFGQPC Uthmanic Script HAFS" w:cs="KFGQPC Uthmanic Script HAFS" w:hint="eastAsia"/>
          <w:sz w:val="28"/>
          <w:szCs w:val="28"/>
          <w:rtl/>
        </w:rPr>
        <w:t>بَى</w:t>
      </w:r>
      <w:r w:rsidR="00B06788" w:rsidRPr="0067048A">
        <w:rPr>
          <w:rFonts w:ascii="KFGQPC Uthmanic Script HAFS" w:cs="KFGQPC Uthmanic Script HAFS" w:hint="cs"/>
          <w:sz w:val="28"/>
          <w:szCs w:val="28"/>
          <w:rtl/>
        </w:rPr>
        <w:t>ٰ</w:t>
      </w:r>
      <w:r w:rsidR="00B06788" w:rsidRPr="0067048A">
        <w:rPr>
          <w:rFonts w:ascii="KFGQPC Uthmanic Script HAFS" w:cs="KFGQPC Uthmanic Script HAFS"/>
          <w:sz w:val="28"/>
          <w:szCs w:val="28"/>
          <w:rtl/>
        </w:rPr>
        <w:t xml:space="preserve"> </w:t>
      </w:r>
      <w:r w:rsidR="00B06788" w:rsidRPr="0067048A">
        <w:rPr>
          <w:rFonts w:ascii="KFGQPC Uthmanic Script HAFS" w:cs="KFGQPC Uthmanic Script HAFS" w:hint="eastAsia"/>
          <w:sz w:val="28"/>
          <w:szCs w:val="28"/>
          <w:rtl/>
        </w:rPr>
        <w:t>وَ</w:t>
      </w:r>
      <w:r w:rsidR="00B06788" w:rsidRPr="0067048A">
        <w:rPr>
          <w:rFonts w:ascii="KFGQPC Uthmanic Script HAFS" w:cs="KFGQPC Uthmanic Script HAFS" w:hint="cs"/>
          <w:sz w:val="28"/>
          <w:szCs w:val="28"/>
          <w:rtl/>
        </w:rPr>
        <w:t>ٱ</w:t>
      </w:r>
      <w:r w:rsidR="00B06788" w:rsidRPr="0067048A">
        <w:rPr>
          <w:rFonts w:ascii="KFGQPC Uthmanic Script HAFS" w:cs="KFGQPC Uthmanic Script HAFS" w:hint="eastAsia"/>
          <w:sz w:val="28"/>
          <w:szCs w:val="28"/>
          <w:rtl/>
        </w:rPr>
        <w:t>ل</w:t>
      </w:r>
      <w:r w:rsidR="00B06788" w:rsidRPr="0067048A">
        <w:rPr>
          <w:rFonts w:ascii="KFGQPC Uthmanic Script HAFS" w:cs="KFGQPC Uthmanic Script HAFS" w:hint="cs"/>
          <w:sz w:val="28"/>
          <w:szCs w:val="28"/>
          <w:rtl/>
        </w:rPr>
        <w:t>ۡ</w:t>
      </w:r>
      <w:r w:rsidR="00B06788" w:rsidRPr="0067048A">
        <w:rPr>
          <w:rFonts w:ascii="KFGQPC Uthmanic Script HAFS" w:cs="KFGQPC Uthmanic Script HAFS" w:hint="eastAsia"/>
          <w:sz w:val="28"/>
          <w:szCs w:val="28"/>
          <w:rtl/>
        </w:rPr>
        <w:t>يَتَ</w:t>
      </w:r>
      <w:r w:rsidR="00B06788" w:rsidRPr="0067048A">
        <w:rPr>
          <w:rFonts w:ascii="KFGQPC Uthmanic Script HAFS" w:cs="KFGQPC Uthmanic Script HAFS" w:hint="cs"/>
          <w:sz w:val="28"/>
          <w:szCs w:val="28"/>
          <w:rtl/>
        </w:rPr>
        <w:t>ٰ</w:t>
      </w:r>
      <w:r w:rsidR="00B06788" w:rsidRPr="0067048A">
        <w:rPr>
          <w:rFonts w:ascii="KFGQPC Uthmanic Script HAFS" w:cs="KFGQPC Uthmanic Script HAFS" w:hint="eastAsia"/>
          <w:sz w:val="28"/>
          <w:szCs w:val="28"/>
          <w:rtl/>
        </w:rPr>
        <w:t>مَى</w:t>
      </w:r>
      <w:r w:rsidR="00B06788" w:rsidRPr="0067048A">
        <w:rPr>
          <w:rFonts w:ascii="KFGQPC Uthmanic Script HAFS" w:cs="KFGQPC Uthmanic Script HAFS" w:hint="cs"/>
          <w:sz w:val="28"/>
          <w:szCs w:val="28"/>
          <w:rtl/>
        </w:rPr>
        <w:t>ٰ</w:t>
      </w:r>
      <w:r w:rsidR="00B06788" w:rsidRPr="0067048A">
        <w:rPr>
          <w:rFonts w:ascii="KFGQPC Uthmanic Script HAFS" w:cs="KFGQPC Uthmanic Script HAFS"/>
          <w:sz w:val="28"/>
          <w:szCs w:val="28"/>
          <w:rtl/>
        </w:rPr>
        <w:t xml:space="preserve"> </w:t>
      </w:r>
      <w:r w:rsidR="00B06788" w:rsidRPr="0067048A">
        <w:rPr>
          <w:rFonts w:ascii="KFGQPC Uthmanic Script HAFS" w:cs="KFGQPC Uthmanic Script HAFS" w:hint="eastAsia"/>
          <w:sz w:val="28"/>
          <w:szCs w:val="28"/>
          <w:rtl/>
        </w:rPr>
        <w:t>وَ</w:t>
      </w:r>
      <w:r w:rsidR="00B06788" w:rsidRPr="0067048A">
        <w:rPr>
          <w:rFonts w:ascii="KFGQPC Uthmanic Script HAFS" w:cs="KFGQPC Uthmanic Script HAFS" w:hint="cs"/>
          <w:sz w:val="28"/>
          <w:szCs w:val="28"/>
          <w:rtl/>
        </w:rPr>
        <w:t>ٱ</w:t>
      </w:r>
      <w:r w:rsidR="00B06788" w:rsidRPr="0067048A">
        <w:rPr>
          <w:rFonts w:ascii="KFGQPC Uthmanic Script HAFS" w:cs="KFGQPC Uthmanic Script HAFS" w:hint="eastAsia"/>
          <w:sz w:val="28"/>
          <w:szCs w:val="28"/>
          <w:rtl/>
        </w:rPr>
        <w:t>ل</w:t>
      </w:r>
      <w:r w:rsidR="00B06788" w:rsidRPr="0067048A">
        <w:rPr>
          <w:rFonts w:ascii="KFGQPC Uthmanic Script HAFS" w:cs="KFGQPC Uthmanic Script HAFS" w:hint="cs"/>
          <w:sz w:val="28"/>
          <w:szCs w:val="28"/>
          <w:rtl/>
        </w:rPr>
        <w:t>ۡ</w:t>
      </w:r>
      <w:r w:rsidR="00B06788" w:rsidRPr="0067048A">
        <w:rPr>
          <w:rFonts w:ascii="KFGQPC Uthmanic Script HAFS" w:cs="KFGQPC Uthmanic Script HAFS" w:hint="eastAsia"/>
          <w:sz w:val="28"/>
          <w:szCs w:val="28"/>
          <w:rtl/>
        </w:rPr>
        <w:t>مَسَ</w:t>
      </w:r>
      <w:r w:rsidR="00B06788" w:rsidRPr="0067048A">
        <w:rPr>
          <w:rFonts w:ascii="KFGQPC Uthmanic Script HAFS" w:cs="KFGQPC Uthmanic Script HAFS" w:hint="cs"/>
          <w:sz w:val="28"/>
          <w:szCs w:val="28"/>
          <w:rtl/>
        </w:rPr>
        <w:t>ٰ</w:t>
      </w:r>
      <w:r w:rsidR="00B06788" w:rsidRPr="0067048A">
        <w:rPr>
          <w:rFonts w:ascii="KFGQPC Uthmanic Script HAFS" w:cs="KFGQPC Uthmanic Script HAFS" w:hint="eastAsia"/>
          <w:sz w:val="28"/>
          <w:szCs w:val="28"/>
          <w:rtl/>
        </w:rPr>
        <w:t>كِينِ</w:t>
      </w:r>
      <w:r w:rsidR="00B06788" w:rsidRPr="00995B26">
        <w:rPr>
          <w:rFonts w:ascii="Abo-thar" w:hAnsi="Abo-thar" w:cs="Traditional Arabic" w:hint="cs"/>
          <w:sz w:val="28"/>
          <w:rtl/>
          <w:lang w:bidi="ar-SY"/>
        </w:rPr>
        <w:t>﴾</w:t>
      </w:r>
      <w:r w:rsidRPr="00995B26">
        <w:rPr>
          <w:rFonts w:ascii="Abo-thar" w:hAnsi="Abo-thar"/>
          <w:b/>
          <w:bCs/>
          <w:sz w:val="28"/>
          <w:rtl/>
          <w:lang w:bidi="ar-SY"/>
        </w:rPr>
        <w:t xml:space="preserve"> </w:t>
      </w:r>
      <w:r w:rsidRPr="003762F6">
        <w:rPr>
          <w:rFonts w:ascii="Abo-thar" w:hAnsi="Abo-thar" w:cs="KFGQPC Uthman Taha Naskh"/>
          <w:b/>
          <w:bCs/>
          <w:sz w:val="28"/>
          <w:rtl/>
          <w:lang w:bidi="ar-SY"/>
        </w:rPr>
        <w:t>مِنَّا خَاصَّةً ولَمْ يَجْعَلْ لَنَا سَهْماً فِي الصَّدَقَةِ أَكْرَمَ اللهُ نَبِيَّهُ وأَكْرَمَنَا أَنْ يُطْعِمَنَا أَوْسَاخَ مَا فِي أَيْدِي النَّاس</w:t>
      </w:r>
      <w:r w:rsidRPr="003762F6">
        <w:rPr>
          <w:rFonts w:ascii="Abo-thar" w:hAnsi="Abo-thar" w:cs="KFGQPC Uthman Taha Naskh"/>
          <w:sz w:val="28"/>
          <w:rtl/>
          <w:lang w:bidi="ar-SY"/>
        </w:rPr>
        <w:t>‏</w:t>
      </w:r>
      <w:r w:rsidR="00EF2588" w:rsidRPr="003762F6">
        <w:rPr>
          <w:rFonts w:ascii="Abo-thar" w:hAnsi="Abo-thar" w:cs="KFGQPC Uthman Taha Naskh" w:hint="cs"/>
          <w:sz w:val="28"/>
          <w:rtl/>
          <w:lang w:bidi="ar-SY"/>
        </w:rPr>
        <w:t>»</w:t>
      </w:r>
      <w:r w:rsidR="00254453" w:rsidRPr="0021507A">
        <w:rPr>
          <w:rFonts w:ascii="Abo-thar" w:hAnsi="Abo-thar" w:cs="Arabic11 BT"/>
          <w:sz w:val="28"/>
          <w:vertAlign w:val="superscript"/>
          <w:rtl/>
          <w:lang w:bidi="ar-SY"/>
        </w:rPr>
        <w:t>(</w:t>
      </w:r>
      <w:r w:rsidR="00254453" w:rsidRPr="0021507A">
        <w:rPr>
          <w:rStyle w:val="FootnoteReference"/>
          <w:rFonts w:ascii="Abo-thar" w:hAnsi="Abo-thar" w:cs="Arabic11 BT"/>
          <w:sz w:val="28"/>
          <w:rtl/>
          <w:lang w:bidi="ar-SY"/>
        </w:rPr>
        <w:footnoteReference w:id="247"/>
      </w:r>
      <w:r w:rsidR="00254453" w:rsidRPr="0021507A">
        <w:rPr>
          <w:rFonts w:ascii="Abo-thar" w:hAnsi="Abo-thar" w:cs="Arabic11 BT"/>
          <w:sz w:val="28"/>
          <w:vertAlign w:val="superscript"/>
          <w:rtl/>
          <w:lang w:bidi="ar-SY"/>
        </w:rPr>
        <w:t>)</w:t>
      </w:r>
      <w:r w:rsidR="00217AB4" w:rsidRPr="00995B26">
        <w:rPr>
          <w:rFonts w:ascii="Abo-thar" w:hAnsi="Abo-thar" w:hint="cs"/>
          <w:sz w:val="28"/>
          <w:rtl/>
          <w:lang w:bidi="ar-SY"/>
        </w:rPr>
        <w:t>.</w:t>
      </w:r>
    </w:p>
    <w:p w:rsidR="005C664D" w:rsidRPr="00995B26" w:rsidRDefault="005C664D" w:rsidP="00255A16">
      <w:pPr>
        <w:pStyle w:val="a0"/>
        <w:rPr>
          <w:rFonts w:hint="cs"/>
          <w:rtl/>
          <w:lang w:bidi="ar-SY"/>
        </w:rPr>
      </w:pPr>
      <w:r w:rsidRPr="003F3B94">
        <w:rPr>
          <w:rFonts w:ascii="Abo-thar" w:hAnsi="Abo-thar" w:hint="cs"/>
          <w:sz w:val="28"/>
          <w:rtl/>
          <w:lang w:bidi="ar-SY"/>
        </w:rPr>
        <w:t>7</w:t>
      </w:r>
      <w:r w:rsidR="00217AB4" w:rsidRPr="003F3B94">
        <w:rPr>
          <w:rFonts w:ascii="Abo-thar" w:hAnsi="Abo-thar" w:hint="cs"/>
          <w:sz w:val="28"/>
          <w:rtl/>
          <w:lang w:bidi="ar-SY"/>
        </w:rPr>
        <w:t>-</w:t>
      </w:r>
      <w:r w:rsidRPr="003F3B94">
        <w:rPr>
          <w:rFonts w:ascii="Abo-thar" w:hAnsi="Abo-thar" w:hint="cs"/>
          <w:sz w:val="28"/>
          <w:rtl/>
          <w:lang w:bidi="ar-SY"/>
        </w:rPr>
        <w:t xml:space="preserve"> وروى الكُلَيْنِيّ أيضاً في </w:t>
      </w:r>
      <w:r w:rsidRPr="003F3B94">
        <w:rPr>
          <w:rFonts w:ascii="Abo-thar" w:hAnsi="Abo-thar"/>
          <w:sz w:val="28"/>
          <w:rtl/>
          <w:lang w:bidi="ar-SY"/>
        </w:rPr>
        <w:t>«</w:t>
      </w:r>
      <w:r w:rsidRPr="003F3B94">
        <w:rPr>
          <w:rFonts w:ascii="Abo-thar" w:hAnsi="Abo-thar" w:hint="cs"/>
          <w:sz w:val="28"/>
          <w:rtl/>
          <w:lang w:bidi="ar-SY"/>
        </w:rPr>
        <w:t>الكافي</w:t>
      </w:r>
      <w:r w:rsidRPr="003F3B94">
        <w:rPr>
          <w:rFonts w:ascii="Abo-thar" w:hAnsi="Abo-thar"/>
          <w:sz w:val="28"/>
          <w:rtl/>
          <w:lang w:bidi="ar-SY"/>
        </w:rPr>
        <w:t>»</w:t>
      </w:r>
      <w:r w:rsidRPr="003F3B94">
        <w:rPr>
          <w:rFonts w:ascii="Abo-thar" w:hAnsi="Abo-thar" w:hint="cs"/>
          <w:sz w:val="28"/>
          <w:rtl/>
          <w:lang w:bidi="ar-SY"/>
        </w:rPr>
        <w:t xml:space="preserve"> بسنده</w:t>
      </w:r>
      <w:r w:rsidR="00217AB4" w:rsidRPr="003F3B94">
        <w:rPr>
          <w:rFonts w:ascii="Abo-thar" w:hAnsi="Abo-thar" w:hint="cs"/>
          <w:sz w:val="28"/>
          <w:rtl/>
          <w:lang w:bidi="ar-SY"/>
        </w:rPr>
        <w:t>:</w:t>
      </w:r>
      <w:r w:rsidRPr="003F3B94">
        <w:rPr>
          <w:rFonts w:ascii="Abo-thar" w:hAnsi="Abo-thar" w:hint="cs"/>
          <w:sz w:val="28"/>
          <w:rtl/>
          <w:lang w:bidi="ar-SY"/>
        </w:rPr>
        <w:t xml:space="preserve"> </w:t>
      </w:r>
      <w:r w:rsidR="00EF2588" w:rsidRPr="00891167">
        <w:rPr>
          <w:rFonts w:ascii="Abo-thar" w:hAnsi="Abo-thar" w:cs="KFGQPC Uthman Taha Naskh" w:hint="cs"/>
          <w:sz w:val="28"/>
          <w:rtl/>
          <w:lang w:bidi="ar-SY"/>
        </w:rPr>
        <w:t>«</w:t>
      </w:r>
      <w:r w:rsidRPr="00891167">
        <w:rPr>
          <w:rFonts w:ascii="Abo-thar" w:hAnsi="Abo-thar" w:cs="KFGQPC Uthman Taha Naskh"/>
          <w:bCs/>
          <w:sz w:val="28"/>
          <w:rtl/>
          <w:lang w:bidi="ar-SY"/>
        </w:rPr>
        <w:t>عَنْ أَحْمَدَ بْنِ مُحَمَّدِ بْنِ أَبِي نَصْرٍ عَنِ الرِّضَا</w:t>
      </w:r>
      <w:r w:rsidR="00BC4BA9" w:rsidRPr="00BC4BA9">
        <w:rPr>
          <w:rFonts w:ascii="Abo-thar" w:hAnsi="Abo-thar" w:cs="CTraditional Arabic"/>
          <w:sz w:val="28"/>
          <w:rtl/>
          <w:lang w:bidi="ar-SY"/>
        </w:rPr>
        <w:t>÷</w:t>
      </w:r>
      <w:r w:rsidRPr="00891167">
        <w:rPr>
          <w:rFonts w:ascii="Abo-thar" w:hAnsi="Abo-thar" w:cs="KFGQPC Uthman Taha Naskh"/>
          <w:bCs/>
          <w:sz w:val="28"/>
          <w:rtl/>
          <w:lang w:bidi="ar-SY"/>
        </w:rPr>
        <w:t xml:space="preserve"> قَالَ سُئِلَ عَنْ قَوْلِ اللهِ عَزَّ وجَلَّ </w:t>
      </w:r>
      <w:r w:rsidR="00B06788" w:rsidRPr="00995B26">
        <w:rPr>
          <w:rFonts w:ascii="Abo-thar" w:hAnsi="Abo-thar" w:cs="Traditional Arabic" w:hint="cs"/>
          <w:sz w:val="28"/>
          <w:rtl/>
        </w:rPr>
        <w:t>﴿</w:t>
      </w:r>
      <w:r w:rsidR="00B06788" w:rsidRPr="0067048A">
        <w:rPr>
          <w:rFonts w:ascii="KFGQPC Uthmanic Script HAFS" w:cs="KFGQPC Uthmanic Script HAFS" w:hint="eastAsia"/>
          <w:sz w:val="28"/>
          <w:szCs w:val="28"/>
          <w:rtl/>
        </w:rPr>
        <w:t>وَ</w:t>
      </w:r>
      <w:r w:rsidR="00B06788" w:rsidRPr="0067048A">
        <w:rPr>
          <w:rFonts w:ascii="KFGQPC Uthmanic Script HAFS" w:cs="KFGQPC Uthmanic Script HAFS" w:hint="cs"/>
          <w:sz w:val="28"/>
          <w:szCs w:val="28"/>
          <w:rtl/>
        </w:rPr>
        <w:t>ٱ</w:t>
      </w:r>
      <w:r w:rsidR="00B06788" w:rsidRPr="0067048A">
        <w:rPr>
          <w:rFonts w:ascii="KFGQPC Uthmanic Script HAFS" w:cs="KFGQPC Uthmanic Script HAFS" w:hint="eastAsia"/>
          <w:sz w:val="28"/>
          <w:szCs w:val="28"/>
          <w:rtl/>
        </w:rPr>
        <w:t>ع</w:t>
      </w:r>
      <w:r w:rsidR="00B06788" w:rsidRPr="0067048A">
        <w:rPr>
          <w:rFonts w:ascii="KFGQPC Uthmanic Script HAFS" w:cs="KFGQPC Uthmanic Script HAFS" w:hint="cs"/>
          <w:sz w:val="28"/>
          <w:szCs w:val="28"/>
          <w:rtl/>
        </w:rPr>
        <w:t>ۡ</w:t>
      </w:r>
      <w:r w:rsidR="00B06788" w:rsidRPr="0067048A">
        <w:rPr>
          <w:rFonts w:ascii="KFGQPC Uthmanic Script HAFS" w:cs="KFGQPC Uthmanic Script HAFS" w:hint="eastAsia"/>
          <w:sz w:val="28"/>
          <w:szCs w:val="28"/>
          <w:rtl/>
        </w:rPr>
        <w:t>لَمُو</w:t>
      </w:r>
      <w:r w:rsidR="00B06788" w:rsidRPr="0067048A">
        <w:rPr>
          <w:rFonts w:ascii="KFGQPC Uthmanic Script HAFS" w:cs="KFGQPC Uthmanic Script HAFS" w:hint="cs"/>
          <w:sz w:val="28"/>
          <w:szCs w:val="28"/>
          <w:rtl/>
        </w:rPr>
        <w:t>ٓ</w:t>
      </w:r>
      <w:r w:rsidR="00B06788" w:rsidRPr="0067048A">
        <w:rPr>
          <w:rFonts w:ascii="KFGQPC Uthmanic Script HAFS" w:cs="KFGQPC Uthmanic Script HAFS" w:hint="eastAsia"/>
          <w:sz w:val="28"/>
          <w:szCs w:val="28"/>
          <w:rtl/>
        </w:rPr>
        <w:t>اْ</w:t>
      </w:r>
      <w:r w:rsidR="00B06788" w:rsidRPr="0067048A">
        <w:rPr>
          <w:rFonts w:ascii="KFGQPC Uthmanic Script HAFS" w:cs="KFGQPC Uthmanic Script HAFS"/>
          <w:sz w:val="28"/>
          <w:szCs w:val="28"/>
          <w:rtl/>
        </w:rPr>
        <w:t xml:space="preserve"> </w:t>
      </w:r>
      <w:r w:rsidR="00B06788" w:rsidRPr="0067048A">
        <w:rPr>
          <w:rFonts w:ascii="KFGQPC Uthmanic Script HAFS" w:cs="KFGQPC Uthmanic Script HAFS" w:hint="eastAsia"/>
          <w:sz w:val="28"/>
          <w:szCs w:val="28"/>
          <w:rtl/>
        </w:rPr>
        <w:t>أَنَّمَا</w:t>
      </w:r>
      <w:r w:rsidR="00B06788" w:rsidRPr="0067048A">
        <w:rPr>
          <w:rFonts w:ascii="KFGQPC Uthmanic Script HAFS" w:cs="KFGQPC Uthmanic Script HAFS"/>
          <w:sz w:val="28"/>
          <w:szCs w:val="28"/>
          <w:rtl/>
        </w:rPr>
        <w:t xml:space="preserve"> </w:t>
      </w:r>
      <w:r w:rsidR="00B06788" w:rsidRPr="0067048A">
        <w:rPr>
          <w:rFonts w:ascii="KFGQPC Uthmanic Script HAFS" w:cs="KFGQPC Uthmanic Script HAFS" w:hint="eastAsia"/>
          <w:sz w:val="28"/>
          <w:szCs w:val="28"/>
          <w:rtl/>
        </w:rPr>
        <w:t>غَنِم</w:t>
      </w:r>
      <w:r w:rsidR="00B06788" w:rsidRPr="0067048A">
        <w:rPr>
          <w:rFonts w:ascii="KFGQPC Uthmanic Script HAFS" w:cs="KFGQPC Uthmanic Script HAFS" w:hint="cs"/>
          <w:sz w:val="28"/>
          <w:szCs w:val="28"/>
          <w:rtl/>
        </w:rPr>
        <w:t>ۡ</w:t>
      </w:r>
      <w:r w:rsidR="00B06788" w:rsidRPr="0067048A">
        <w:rPr>
          <w:rFonts w:ascii="KFGQPC Uthmanic Script HAFS" w:cs="KFGQPC Uthmanic Script HAFS" w:hint="eastAsia"/>
          <w:sz w:val="28"/>
          <w:szCs w:val="28"/>
          <w:rtl/>
        </w:rPr>
        <w:t>تُم</w:t>
      </w:r>
      <w:r w:rsidR="00B06788" w:rsidRPr="0067048A">
        <w:rPr>
          <w:rFonts w:ascii="KFGQPC Uthmanic Script HAFS" w:cs="KFGQPC Uthmanic Script HAFS"/>
          <w:sz w:val="28"/>
          <w:szCs w:val="28"/>
          <w:rtl/>
        </w:rPr>
        <w:t xml:space="preserve"> </w:t>
      </w:r>
      <w:r w:rsidR="00B06788" w:rsidRPr="0067048A">
        <w:rPr>
          <w:rFonts w:ascii="KFGQPC Uthmanic Script HAFS" w:cs="KFGQPC Uthmanic Script HAFS" w:hint="eastAsia"/>
          <w:sz w:val="28"/>
          <w:szCs w:val="28"/>
          <w:rtl/>
        </w:rPr>
        <w:t>مِّن</w:t>
      </w:r>
      <w:r w:rsidR="00B06788" w:rsidRPr="0067048A">
        <w:rPr>
          <w:rFonts w:ascii="KFGQPC Uthmanic Script HAFS" w:cs="KFGQPC Uthmanic Script HAFS"/>
          <w:sz w:val="28"/>
          <w:szCs w:val="28"/>
          <w:rtl/>
        </w:rPr>
        <w:t xml:space="preserve"> </w:t>
      </w:r>
      <w:r w:rsidR="00B06788" w:rsidRPr="0067048A">
        <w:rPr>
          <w:rFonts w:ascii="KFGQPC Uthmanic Script HAFS" w:cs="KFGQPC Uthmanic Script HAFS" w:hint="eastAsia"/>
          <w:sz w:val="28"/>
          <w:szCs w:val="28"/>
          <w:rtl/>
        </w:rPr>
        <w:t>شَي</w:t>
      </w:r>
      <w:r w:rsidR="00B06788" w:rsidRPr="0067048A">
        <w:rPr>
          <w:rFonts w:ascii="KFGQPC Uthmanic Script HAFS" w:cs="KFGQPC Uthmanic Script HAFS" w:hint="cs"/>
          <w:sz w:val="28"/>
          <w:szCs w:val="28"/>
          <w:rtl/>
        </w:rPr>
        <w:t>ۡ</w:t>
      </w:r>
      <w:r w:rsidR="00B06788" w:rsidRPr="0067048A">
        <w:rPr>
          <w:rFonts w:ascii="KFGQPC Uthmanic Script HAFS" w:cs="KFGQPC Uthmanic Script HAFS" w:hint="eastAsia"/>
          <w:sz w:val="28"/>
          <w:szCs w:val="28"/>
          <w:rtl/>
        </w:rPr>
        <w:t>ء</w:t>
      </w:r>
      <w:r w:rsidR="00B06788" w:rsidRPr="0067048A">
        <w:rPr>
          <w:rFonts w:ascii="KFGQPC Uthmanic Script HAFS" w:cs="KFGQPC Uthmanic Script HAFS" w:hint="cs"/>
          <w:sz w:val="28"/>
          <w:szCs w:val="28"/>
          <w:rtl/>
        </w:rPr>
        <w:t>ٖ</w:t>
      </w:r>
      <w:r w:rsidR="00B06788" w:rsidRPr="0067048A">
        <w:rPr>
          <w:rFonts w:ascii="KFGQPC Uthmanic Script HAFS" w:cs="KFGQPC Uthmanic Script HAFS"/>
          <w:sz w:val="28"/>
          <w:szCs w:val="28"/>
          <w:rtl/>
        </w:rPr>
        <w:t xml:space="preserve"> </w:t>
      </w:r>
      <w:r w:rsidR="00B06788" w:rsidRPr="0067048A">
        <w:rPr>
          <w:rFonts w:ascii="KFGQPC Uthmanic Script HAFS" w:cs="KFGQPC Uthmanic Script HAFS" w:hint="eastAsia"/>
          <w:sz w:val="28"/>
          <w:szCs w:val="28"/>
          <w:rtl/>
        </w:rPr>
        <w:t>فَأَنَّ</w:t>
      </w:r>
      <w:r w:rsidR="00B06788" w:rsidRPr="0067048A">
        <w:rPr>
          <w:rFonts w:ascii="KFGQPC Uthmanic Script HAFS" w:cs="KFGQPC Uthmanic Script HAFS"/>
          <w:sz w:val="28"/>
          <w:szCs w:val="28"/>
          <w:rtl/>
        </w:rPr>
        <w:t xml:space="preserve"> </w:t>
      </w:r>
      <w:r w:rsidR="00B06788" w:rsidRPr="0067048A">
        <w:rPr>
          <w:rFonts w:ascii="KFGQPC Uthmanic Script HAFS" w:cs="KFGQPC Uthmanic Script HAFS" w:hint="eastAsia"/>
          <w:sz w:val="28"/>
          <w:szCs w:val="28"/>
          <w:rtl/>
        </w:rPr>
        <w:t>لِلَّهِ</w:t>
      </w:r>
      <w:r w:rsidR="00B06788" w:rsidRPr="0067048A">
        <w:rPr>
          <w:rFonts w:ascii="KFGQPC Uthmanic Script HAFS" w:cs="KFGQPC Uthmanic Script HAFS"/>
          <w:sz w:val="28"/>
          <w:szCs w:val="28"/>
          <w:rtl/>
        </w:rPr>
        <w:t xml:space="preserve"> </w:t>
      </w:r>
      <w:r w:rsidR="00B06788" w:rsidRPr="0067048A">
        <w:rPr>
          <w:rFonts w:ascii="KFGQPC Uthmanic Script HAFS" w:cs="KFGQPC Uthmanic Script HAFS" w:hint="eastAsia"/>
          <w:sz w:val="28"/>
          <w:szCs w:val="28"/>
          <w:rtl/>
        </w:rPr>
        <w:t>خُمُسَهُ</w:t>
      </w:r>
      <w:r w:rsidR="00B06788" w:rsidRPr="0067048A">
        <w:rPr>
          <w:rFonts w:ascii="KFGQPC Uthmanic Script HAFS" w:cs="KFGQPC Uthmanic Script HAFS" w:hint="cs"/>
          <w:sz w:val="28"/>
          <w:szCs w:val="28"/>
          <w:rtl/>
        </w:rPr>
        <w:t>ۥ</w:t>
      </w:r>
      <w:r w:rsidR="00B06788" w:rsidRPr="0067048A">
        <w:rPr>
          <w:rFonts w:ascii="KFGQPC Uthmanic Script HAFS" w:cs="KFGQPC Uthmanic Script HAFS"/>
          <w:sz w:val="28"/>
          <w:szCs w:val="28"/>
          <w:rtl/>
        </w:rPr>
        <w:t xml:space="preserve"> </w:t>
      </w:r>
      <w:r w:rsidR="00B06788" w:rsidRPr="0067048A">
        <w:rPr>
          <w:rFonts w:ascii="KFGQPC Uthmanic Script HAFS" w:cs="KFGQPC Uthmanic Script HAFS" w:hint="eastAsia"/>
          <w:sz w:val="28"/>
          <w:szCs w:val="28"/>
          <w:rtl/>
        </w:rPr>
        <w:t>وَلِلرَّسُولِ</w:t>
      </w:r>
      <w:r w:rsidR="00B06788" w:rsidRPr="0067048A">
        <w:rPr>
          <w:rFonts w:ascii="KFGQPC Uthmanic Script HAFS" w:cs="KFGQPC Uthmanic Script HAFS"/>
          <w:sz w:val="28"/>
          <w:szCs w:val="28"/>
          <w:rtl/>
        </w:rPr>
        <w:t xml:space="preserve"> </w:t>
      </w:r>
      <w:r w:rsidR="00B06788" w:rsidRPr="0067048A">
        <w:rPr>
          <w:rFonts w:ascii="KFGQPC Uthmanic Script HAFS" w:cs="KFGQPC Uthmanic Script HAFS" w:hint="eastAsia"/>
          <w:sz w:val="28"/>
          <w:szCs w:val="28"/>
          <w:rtl/>
        </w:rPr>
        <w:t>وَلِذِي</w:t>
      </w:r>
      <w:r w:rsidR="00B06788" w:rsidRPr="0067048A">
        <w:rPr>
          <w:rFonts w:ascii="KFGQPC Uthmanic Script HAFS" w:cs="KFGQPC Uthmanic Script HAFS"/>
          <w:sz w:val="28"/>
          <w:szCs w:val="28"/>
          <w:rtl/>
        </w:rPr>
        <w:t xml:space="preserve"> </w:t>
      </w:r>
      <w:r w:rsidR="00B06788" w:rsidRPr="0067048A">
        <w:rPr>
          <w:rFonts w:ascii="KFGQPC Uthmanic Script HAFS" w:cs="KFGQPC Uthmanic Script HAFS" w:hint="cs"/>
          <w:sz w:val="28"/>
          <w:szCs w:val="28"/>
          <w:rtl/>
        </w:rPr>
        <w:t>ٱ</w:t>
      </w:r>
      <w:r w:rsidR="00B06788" w:rsidRPr="0067048A">
        <w:rPr>
          <w:rFonts w:ascii="KFGQPC Uthmanic Script HAFS" w:cs="KFGQPC Uthmanic Script HAFS" w:hint="eastAsia"/>
          <w:sz w:val="28"/>
          <w:szCs w:val="28"/>
          <w:rtl/>
        </w:rPr>
        <w:t>ل</w:t>
      </w:r>
      <w:r w:rsidR="00B06788" w:rsidRPr="0067048A">
        <w:rPr>
          <w:rFonts w:ascii="KFGQPC Uthmanic Script HAFS" w:cs="KFGQPC Uthmanic Script HAFS" w:hint="cs"/>
          <w:sz w:val="28"/>
          <w:szCs w:val="28"/>
          <w:rtl/>
        </w:rPr>
        <w:t>ۡ</w:t>
      </w:r>
      <w:r w:rsidR="00B06788" w:rsidRPr="0067048A">
        <w:rPr>
          <w:rFonts w:ascii="KFGQPC Uthmanic Script HAFS" w:cs="KFGQPC Uthmanic Script HAFS" w:hint="eastAsia"/>
          <w:sz w:val="28"/>
          <w:szCs w:val="28"/>
          <w:rtl/>
        </w:rPr>
        <w:t>قُر</w:t>
      </w:r>
      <w:r w:rsidR="00B06788" w:rsidRPr="0067048A">
        <w:rPr>
          <w:rFonts w:ascii="KFGQPC Uthmanic Script HAFS" w:cs="KFGQPC Uthmanic Script HAFS" w:hint="cs"/>
          <w:sz w:val="28"/>
          <w:szCs w:val="28"/>
          <w:rtl/>
        </w:rPr>
        <w:t>ۡ</w:t>
      </w:r>
      <w:r w:rsidR="00B06788" w:rsidRPr="0067048A">
        <w:rPr>
          <w:rFonts w:ascii="KFGQPC Uthmanic Script HAFS" w:cs="KFGQPC Uthmanic Script HAFS" w:hint="eastAsia"/>
          <w:sz w:val="28"/>
          <w:szCs w:val="28"/>
          <w:rtl/>
        </w:rPr>
        <w:t>بَى</w:t>
      </w:r>
      <w:r w:rsidR="00B06788" w:rsidRPr="0067048A">
        <w:rPr>
          <w:rFonts w:ascii="KFGQPC Uthmanic Script HAFS" w:cs="KFGQPC Uthmanic Script HAFS" w:hint="cs"/>
          <w:sz w:val="28"/>
          <w:szCs w:val="28"/>
          <w:rtl/>
        </w:rPr>
        <w:t>ٰ</w:t>
      </w:r>
      <w:r w:rsidR="00B06788" w:rsidRPr="00995B26">
        <w:rPr>
          <w:rFonts w:ascii="Abo-thar" w:hAnsi="Abo-thar" w:cs="Traditional Arabic" w:hint="cs"/>
          <w:sz w:val="28"/>
          <w:rtl/>
        </w:rPr>
        <w:t>﴾</w:t>
      </w:r>
      <w:r w:rsidRPr="00995B26">
        <w:rPr>
          <w:rFonts w:ascii="Abo-thar" w:hAnsi="Abo-thar"/>
          <w:bCs/>
          <w:sz w:val="28"/>
          <w:rtl/>
          <w:lang w:bidi="ar-SY"/>
        </w:rPr>
        <w:t xml:space="preserve"> </w:t>
      </w:r>
      <w:r w:rsidRPr="00891167">
        <w:rPr>
          <w:rFonts w:ascii="Abo-thar" w:hAnsi="Abo-thar" w:cs="KFGQPC Uthman Taha Naskh"/>
          <w:bCs/>
          <w:sz w:val="28"/>
          <w:rtl/>
          <w:lang w:bidi="ar-SY"/>
        </w:rPr>
        <w:t>فَقِيلَ لَهُ</w:t>
      </w:r>
      <w:r w:rsidR="00421B82">
        <w:rPr>
          <w:rFonts w:ascii="Abo-thar" w:hAnsi="Abo-thar" w:cs="KFGQPC Uthman Taha Naskh" w:hint="cs"/>
          <w:bCs/>
          <w:sz w:val="28"/>
          <w:rtl/>
          <w:lang w:bidi="ar-SY"/>
        </w:rPr>
        <w:t>:</w:t>
      </w:r>
      <w:r w:rsidRPr="00891167">
        <w:rPr>
          <w:rFonts w:ascii="Abo-thar" w:hAnsi="Abo-thar" w:cs="KFGQPC Uthman Taha Naskh"/>
          <w:bCs/>
          <w:sz w:val="28"/>
          <w:rtl/>
          <w:lang w:bidi="ar-SY"/>
        </w:rPr>
        <w:t xml:space="preserve"> فَمَا كَانَ لِـلَّهِ فَلِمَنْ هُوَ</w:t>
      </w:r>
      <w:r w:rsidR="00421B82">
        <w:rPr>
          <w:rFonts w:ascii="Abo-thar" w:hAnsi="Abo-thar" w:cs="KFGQPC Uthman Taha Naskh" w:hint="cs"/>
          <w:bCs/>
          <w:sz w:val="28"/>
          <w:rtl/>
          <w:lang w:bidi="ar-SY"/>
        </w:rPr>
        <w:t>؟</w:t>
      </w:r>
      <w:r w:rsidRPr="00891167">
        <w:rPr>
          <w:rFonts w:ascii="Abo-thar" w:hAnsi="Abo-thar" w:cs="KFGQPC Uthman Taha Naskh"/>
          <w:bCs/>
          <w:sz w:val="28"/>
          <w:rtl/>
          <w:lang w:bidi="ar-SY"/>
        </w:rPr>
        <w:t xml:space="preserve"> فَقَالَ</w:t>
      </w:r>
      <w:r w:rsidR="00421B82">
        <w:rPr>
          <w:rFonts w:ascii="Abo-thar" w:hAnsi="Abo-thar" w:cs="KFGQPC Uthman Taha Naskh" w:hint="cs"/>
          <w:bCs/>
          <w:sz w:val="28"/>
          <w:rtl/>
          <w:lang w:bidi="ar-SY"/>
        </w:rPr>
        <w:t>:</w:t>
      </w:r>
      <w:r w:rsidRPr="00891167">
        <w:rPr>
          <w:rFonts w:ascii="Abo-thar" w:hAnsi="Abo-thar" w:cs="KFGQPC Uthman Taha Naskh"/>
          <w:bCs/>
          <w:sz w:val="28"/>
          <w:rtl/>
          <w:lang w:bidi="ar-SY"/>
        </w:rPr>
        <w:t xml:space="preserve"> لِرَسُولِ اللهِ</w:t>
      </w:r>
      <w:r w:rsidR="00147857" w:rsidRPr="00891167">
        <w:rPr>
          <w:rFonts w:ascii="Abo-thar" w:hAnsi="Abo-thar" w:cs="KFGQPC Uthman Taha Naskh"/>
          <w:bCs/>
          <w:sz w:val="28"/>
          <w:rtl/>
          <w:lang w:bidi="ar-SY"/>
        </w:rPr>
        <w:t xml:space="preserve"> </w:t>
      </w:r>
      <w:r w:rsidR="003C7AEB" w:rsidRPr="003C7AEB">
        <w:rPr>
          <w:rFonts w:ascii="Abo-thar" w:hAnsi="Abo-thar" w:cs="CTraditional Arabic"/>
          <w:sz w:val="28"/>
          <w:rtl/>
          <w:lang w:bidi="ar-SY"/>
        </w:rPr>
        <w:t>ص</w:t>
      </w:r>
      <w:r w:rsidR="00147857" w:rsidRPr="00891167">
        <w:rPr>
          <w:rFonts w:ascii="Abo-thar" w:hAnsi="Abo-thar" w:cs="KFGQPC Uthman Taha Naskh"/>
          <w:sz w:val="28"/>
          <w:rtl/>
          <w:lang w:bidi="ar-SY"/>
        </w:rPr>
        <w:t xml:space="preserve"> </w:t>
      </w:r>
      <w:r w:rsidRPr="00891167">
        <w:rPr>
          <w:rFonts w:ascii="Abo-thar" w:hAnsi="Abo-thar" w:cs="KFGQPC Uthman Taha Naskh"/>
          <w:bCs/>
          <w:sz w:val="28"/>
          <w:rtl/>
          <w:lang w:bidi="ar-SY"/>
        </w:rPr>
        <w:t>ومَا كَانَ لِرَسُولِ اللهِ فَهُوَ لِلْإِمَام</w:t>
      </w:r>
      <w:r w:rsidR="00217AB4" w:rsidRPr="00891167">
        <w:rPr>
          <w:rFonts w:ascii="Abo-thar" w:hAnsi="Abo-thar" w:cs="KFGQPC Uthman Taha Naskh" w:hint="cs"/>
          <w:sz w:val="28"/>
          <w:rtl/>
          <w:lang w:bidi="ar-SY"/>
        </w:rPr>
        <w:t>.....</w:t>
      </w:r>
      <w:r w:rsidR="00147857" w:rsidRPr="00995B26">
        <w:rPr>
          <w:rFonts w:ascii="Abo-thar" w:hAnsi="Abo-thar" w:hint="cs"/>
          <w:sz w:val="28"/>
          <w:rtl/>
          <w:lang w:bidi="ar-SY"/>
        </w:rPr>
        <w:t xml:space="preserve"> </w:t>
      </w:r>
      <w:r w:rsidRPr="00995B26">
        <w:rPr>
          <w:rFonts w:ascii="Abo-thar" w:hAnsi="Abo-thar" w:hint="cs"/>
          <w:sz w:val="28"/>
          <w:rtl/>
          <w:lang w:bidi="ar-SY"/>
        </w:rPr>
        <w:t>الحديث</w:t>
      </w:r>
      <w:r w:rsidR="00EF2588" w:rsidRPr="00995B26">
        <w:rPr>
          <w:rFonts w:ascii="Abo-thar" w:hAnsi="Abo-thar" w:hint="cs"/>
          <w:sz w:val="28"/>
          <w:rtl/>
          <w:lang w:bidi="ar-SY"/>
        </w:rPr>
        <w:t>»</w:t>
      </w:r>
      <w:r w:rsidR="00254453" w:rsidRPr="0021507A">
        <w:rPr>
          <w:rFonts w:ascii="Abo-thar" w:hAnsi="Abo-thar" w:cs="Arabic11 BT"/>
          <w:sz w:val="28"/>
          <w:vertAlign w:val="superscript"/>
          <w:rtl/>
          <w:lang w:bidi="ar-SY"/>
        </w:rPr>
        <w:t>(</w:t>
      </w:r>
      <w:r w:rsidR="00254453" w:rsidRPr="0021507A">
        <w:rPr>
          <w:rStyle w:val="FootnoteReference"/>
          <w:rFonts w:ascii="Abo-thar" w:hAnsi="Abo-thar" w:cs="Arabic11 BT"/>
          <w:sz w:val="28"/>
          <w:rtl/>
          <w:lang w:bidi="ar-SY"/>
        </w:rPr>
        <w:footnoteReference w:id="248"/>
      </w:r>
      <w:r w:rsidR="00254453" w:rsidRPr="0021507A">
        <w:rPr>
          <w:rFonts w:ascii="Abo-thar" w:hAnsi="Abo-thar" w:cs="Arabic11 BT"/>
          <w:sz w:val="28"/>
          <w:vertAlign w:val="superscript"/>
          <w:rtl/>
          <w:lang w:bidi="ar-SY"/>
        </w:rPr>
        <w:t>)</w:t>
      </w:r>
      <w:r w:rsidR="00217AB4" w:rsidRPr="00995B26">
        <w:rPr>
          <w:rFonts w:ascii="Abo-thar" w:hAnsi="Abo-thar" w:hint="cs"/>
          <w:sz w:val="28"/>
          <w:rtl/>
          <w:lang w:bidi="ar-SY"/>
        </w:rPr>
        <w:t>.</w:t>
      </w:r>
    </w:p>
    <w:p w:rsidR="005C664D" w:rsidRPr="003F3B94" w:rsidRDefault="005C664D" w:rsidP="003F3B94">
      <w:pPr>
        <w:pStyle w:val="a0"/>
        <w:rPr>
          <w:rFonts w:hint="cs"/>
          <w:rtl/>
          <w:lang w:bidi="ar-SY"/>
        </w:rPr>
      </w:pPr>
      <w:r w:rsidRPr="003F3B94">
        <w:rPr>
          <w:rFonts w:ascii="Abo-thar" w:hAnsi="Abo-thar" w:hint="cs"/>
          <w:sz w:val="28"/>
          <w:rtl/>
          <w:lang w:bidi="ar-SY"/>
        </w:rPr>
        <w:t>8</w:t>
      </w:r>
      <w:r w:rsidR="00217AB4" w:rsidRPr="003F3B94">
        <w:rPr>
          <w:rFonts w:ascii="Abo-thar" w:hAnsi="Abo-thar" w:hint="cs"/>
          <w:sz w:val="28"/>
          <w:rtl/>
          <w:lang w:bidi="ar-SY"/>
        </w:rPr>
        <w:t>-</w:t>
      </w:r>
      <w:r w:rsidRPr="003F3B94">
        <w:rPr>
          <w:rFonts w:ascii="Abo-thar" w:hAnsi="Abo-thar" w:hint="cs"/>
          <w:sz w:val="28"/>
          <w:rtl/>
          <w:lang w:bidi="ar-SY"/>
        </w:rPr>
        <w:t xml:space="preserve"> حديث حمَّاد بن عيسى المرسل عن حضرة الكاظم في تقسيم الخُمس والذي جاء فيه</w:t>
      </w:r>
      <w:r w:rsidR="00217AB4" w:rsidRPr="003F3B94">
        <w:rPr>
          <w:rFonts w:ascii="Abo-thar" w:hAnsi="Abo-thar" w:hint="cs"/>
          <w:sz w:val="28"/>
          <w:rtl/>
          <w:lang w:bidi="ar-SY"/>
        </w:rPr>
        <w:t>:</w:t>
      </w:r>
      <w:r w:rsidRPr="003F3B94">
        <w:rPr>
          <w:rFonts w:ascii="Abo-thar" w:hAnsi="Abo-thar" w:hint="cs"/>
          <w:sz w:val="28"/>
          <w:rtl/>
          <w:lang w:bidi="ar-SY"/>
        </w:rPr>
        <w:t xml:space="preserve"> </w:t>
      </w:r>
      <w:r w:rsidR="00EF2588" w:rsidRPr="00891167">
        <w:rPr>
          <w:rFonts w:ascii="Abo-thar" w:hAnsi="Abo-thar" w:cs="KFGQPC Uthman Taha Naskh" w:hint="cs"/>
          <w:sz w:val="28"/>
          <w:rtl/>
          <w:lang w:bidi="ar-SY"/>
        </w:rPr>
        <w:t>«</w:t>
      </w:r>
      <w:r w:rsidRPr="00891167">
        <w:rPr>
          <w:rFonts w:ascii="Abo-thar" w:hAnsi="Abo-thar" w:cs="KFGQPC Uthman Taha Naskh"/>
          <w:b/>
          <w:bCs/>
          <w:sz w:val="28"/>
          <w:rtl/>
          <w:lang w:bidi="ar-SY"/>
        </w:rPr>
        <w:t>وَيُقْسَمُ الْأَرْبَعَةُ الْأَخْمَاسِ بَيْنَ مَنْ قَاتَلَ عَلَيْهِ</w:t>
      </w:r>
      <w:r w:rsidR="00217AB4" w:rsidRPr="00891167">
        <w:rPr>
          <w:rFonts w:ascii="Abo-thar" w:hAnsi="Abo-thar" w:cs="KFGQPC Uthman Taha Naskh" w:hint="cs"/>
          <w:sz w:val="28"/>
          <w:rtl/>
          <w:lang w:bidi="ar-SY"/>
        </w:rPr>
        <w:t>...</w:t>
      </w:r>
      <w:r w:rsidRPr="00891167">
        <w:rPr>
          <w:rFonts w:ascii="Abo-thar" w:hAnsi="Abo-thar" w:cs="KFGQPC Uthman Taha Naskh" w:hint="cs"/>
          <w:sz w:val="28"/>
          <w:rtl/>
          <w:lang w:bidi="ar-SY"/>
        </w:rPr>
        <w:t>الحديث</w:t>
      </w:r>
      <w:r w:rsidR="00EF2588" w:rsidRPr="00891167">
        <w:rPr>
          <w:rFonts w:ascii="Abo-thar" w:hAnsi="Abo-thar" w:cs="KFGQPC Uthman Taha Naskh" w:hint="cs"/>
          <w:sz w:val="28"/>
          <w:rtl/>
          <w:lang w:bidi="ar-SY"/>
        </w:rPr>
        <w:t>»</w:t>
      </w:r>
      <w:r w:rsidR="00217AB4" w:rsidRPr="0021507A">
        <w:rPr>
          <w:rFonts w:cs="Arabic11 BT"/>
          <w:b/>
          <w:sz w:val="28"/>
          <w:vertAlign w:val="superscript"/>
          <w:rtl/>
          <w:lang w:bidi="ar-SY"/>
        </w:rPr>
        <w:t>(</w:t>
      </w:r>
      <w:r w:rsidRPr="0021507A">
        <w:rPr>
          <w:rStyle w:val="FootnoteReference"/>
          <w:rFonts w:cs="Arabic11 BT"/>
          <w:b/>
          <w:sz w:val="28"/>
          <w:rtl/>
          <w:lang w:bidi="ar-SY"/>
        </w:rPr>
        <w:footnoteReference w:id="249"/>
      </w:r>
      <w:r w:rsidR="00217AB4" w:rsidRPr="0021507A">
        <w:rPr>
          <w:rFonts w:cs="Arabic11 BT"/>
          <w:b/>
          <w:sz w:val="28"/>
          <w:vertAlign w:val="superscript"/>
          <w:rtl/>
          <w:lang w:bidi="ar-SY"/>
        </w:rPr>
        <w:t>)</w:t>
      </w:r>
      <w:r w:rsidR="00217AB4" w:rsidRPr="003F3B94">
        <w:rPr>
          <w:rFonts w:ascii="Abo-thar" w:hAnsi="Abo-thar" w:hint="cs"/>
          <w:sz w:val="28"/>
          <w:rtl/>
          <w:lang w:bidi="ar-SY"/>
        </w:rPr>
        <w:t>.</w:t>
      </w:r>
    </w:p>
    <w:p w:rsidR="005C664D" w:rsidRPr="00995B26" w:rsidRDefault="005C664D" w:rsidP="003F3B94">
      <w:pPr>
        <w:pStyle w:val="a0"/>
        <w:rPr>
          <w:rFonts w:hint="cs"/>
          <w:rtl/>
          <w:lang w:bidi="ar-SY"/>
        </w:rPr>
      </w:pPr>
      <w:r w:rsidRPr="003F3B94">
        <w:rPr>
          <w:rFonts w:ascii="Abo-thar" w:hAnsi="Abo-thar" w:hint="cs"/>
          <w:sz w:val="28"/>
          <w:rtl/>
          <w:lang w:bidi="ar-SY"/>
        </w:rPr>
        <w:t>9</w:t>
      </w:r>
      <w:r w:rsidR="00217AB4" w:rsidRPr="003F3B94">
        <w:rPr>
          <w:rFonts w:ascii="Abo-thar" w:hAnsi="Abo-thar" w:hint="cs"/>
          <w:sz w:val="28"/>
          <w:rtl/>
          <w:lang w:bidi="ar-SY"/>
        </w:rPr>
        <w:t>-</w:t>
      </w:r>
      <w:r w:rsidRPr="003F3B94">
        <w:rPr>
          <w:rFonts w:ascii="Abo-thar" w:hAnsi="Abo-thar" w:hint="cs"/>
          <w:sz w:val="28"/>
          <w:rtl/>
          <w:lang w:bidi="ar-SY"/>
        </w:rPr>
        <w:t xml:space="preserve"> وروى الشيخ الصدوق في </w:t>
      </w:r>
      <w:r w:rsidRPr="003F3B94">
        <w:rPr>
          <w:rFonts w:ascii="Abo-thar" w:hAnsi="Abo-thar"/>
          <w:sz w:val="28"/>
          <w:rtl/>
          <w:lang w:bidi="ar-SY"/>
        </w:rPr>
        <w:t>«</w:t>
      </w:r>
      <w:r w:rsidRPr="003F3B94">
        <w:rPr>
          <w:rFonts w:ascii="Abo-thar" w:hAnsi="Abo-thar" w:hint="cs"/>
          <w:sz w:val="28"/>
          <w:rtl/>
          <w:lang w:bidi="ar-SY"/>
        </w:rPr>
        <w:t>المجالس</w:t>
      </w:r>
      <w:r w:rsidRPr="003F3B94">
        <w:rPr>
          <w:rFonts w:ascii="Abo-thar" w:hAnsi="Abo-thar"/>
          <w:sz w:val="28"/>
          <w:rtl/>
          <w:lang w:bidi="ar-SY"/>
        </w:rPr>
        <w:t>»</w:t>
      </w:r>
      <w:r w:rsidRPr="003F3B94">
        <w:rPr>
          <w:rFonts w:ascii="Abo-thar" w:hAnsi="Abo-thar" w:hint="cs"/>
          <w:sz w:val="28"/>
          <w:rtl/>
          <w:lang w:bidi="ar-SY"/>
        </w:rPr>
        <w:t xml:space="preserve"> [أي الأمالي] وفي </w:t>
      </w:r>
      <w:r w:rsidRPr="003F3B94">
        <w:rPr>
          <w:rFonts w:ascii="Abo-thar" w:hAnsi="Abo-thar"/>
          <w:sz w:val="28"/>
          <w:rtl/>
          <w:lang w:bidi="ar-SY"/>
        </w:rPr>
        <w:t>«</w:t>
      </w:r>
      <w:r w:rsidRPr="003F3B94">
        <w:rPr>
          <w:rFonts w:ascii="Abo-thar" w:hAnsi="Abo-thar" w:hint="cs"/>
          <w:sz w:val="28"/>
          <w:rtl/>
          <w:lang w:bidi="ar-SY"/>
        </w:rPr>
        <w:t xml:space="preserve">عيون أخبار الرضا </w:t>
      </w:r>
      <w:r w:rsidR="00BC4BA9" w:rsidRPr="00BC4BA9">
        <w:rPr>
          <w:rFonts w:ascii="Abo-thar" w:hAnsi="Abo-thar" w:cs="CTraditional Arabic" w:hint="cs"/>
          <w:sz w:val="28"/>
          <w:rtl/>
          <w:lang w:bidi="ar-SY"/>
        </w:rPr>
        <w:t>÷</w:t>
      </w:r>
      <w:r w:rsidRPr="003F3B94">
        <w:rPr>
          <w:rFonts w:ascii="Abo-thar" w:hAnsi="Abo-thar"/>
          <w:sz w:val="28"/>
          <w:rtl/>
          <w:lang w:bidi="ar-SY"/>
        </w:rPr>
        <w:t>»</w:t>
      </w:r>
      <w:r w:rsidR="00217AB4" w:rsidRPr="003F3B94">
        <w:rPr>
          <w:rFonts w:ascii="Abo-thar" w:hAnsi="Abo-thar" w:hint="cs"/>
          <w:sz w:val="28"/>
          <w:rtl/>
          <w:lang w:bidi="ar-SY"/>
        </w:rPr>
        <w:t>:</w:t>
      </w:r>
      <w:r w:rsidR="00147857" w:rsidRPr="003F3B94">
        <w:rPr>
          <w:rFonts w:ascii="Abo-thar" w:hAnsi="Abo-thar" w:hint="cs"/>
          <w:sz w:val="28"/>
          <w:rtl/>
          <w:lang w:bidi="ar-SY"/>
        </w:rPr>
        <w:t xml:space="preserve"> </w:t>
      </w:r>
      <w:r w:rsidRPr="003F3B94">
        <w:rPr>
          <w:rFonts w:ascii="Abo-thar" w:hAnsi="Abo-thar" w:hint="cs"/>
          <w:sz w:val="28"/>
          <w:rtl/>
          <w:lang w:bidi="ar-SY"/>
        </w:rPr>
        <w:t xml:space="preserve">بسنده </w:t>
      </w:r>
      <w:r w:rsidR="00EF2588" w:rsidRPr="00891167">
        <w:rPr>
          <w:rFonts w:ascii="Abo-thar" w:hAnsi="Abo-thar" w:cs="KFGQPC Uthman Taha Naskh" w:hint="cs"/>
          <w:sz w:val="28"/>
          <w:rtl/>
          <w:lang w:bidi="ar-SY"/>
        </w:rPr>
        <w:t>«</w:t>
      </w:r>
      <w:r w:rsidRPr="00891167">
        <w:rPr>
          <w:rFonts w:ascii="Abo-thar" w:hAnsi="Abo-thar" w:cs="KFGQPC Uthman Taha Naskh"/>
          <w:b/>
          <w:bCs/>
          <w:sz w:val="28"/>
          <w:rtl/>
          <w:lang w:bidi="ar-SY"/>
        </w:rPr>
        <w:t>عَنِ الرَّيَّانِ بْنِ الصَّلْتِ عَنِ الرِّضَا</w:t>
      </w:r>
      <w:r w:rsidR="00147857" w:rsidRPr="00891167">
        <w:rPr>
          <w:rFonts w:ascii="Abo-thar" w:hAnsi="Abo-thar" w:cs="KFGQPC Uthman Taha Naskh"/>
          <w:b/>
          <w:bCs/>
          <w:sz w:val="28"/>
          <w:rtl/>
          <w:lang w:bidi="ar-SY"/>
        </w:rPr>
        <w:t xml:space="preserve"> </w:t>
      </w:r>
      <w:r w:rsidRPr="00891167">
        <w:rPr>
          <w:rFonts w:ascii="Abo-thar" w:hAnsi="Abo-thar" w:cs="KFGQPC Uthman Taha Naskh"/>
          <w:b/>
          <w:bCs/>
          <w:sz w:val="28"/>
          <w:rtl/>
          <w:lang w:bidi="ar-SY"/>
        </w:rPr>
        <w:t xml:space="preserve">فِي حَدِيثٍ طَوِيلٍ قَالَ وأَمَّا الثَّامِنَةُ فَقَوْلُ اللهِ عَزَّ وجَلَّ </w:t>
      </w:r>
      <w:r w:rsidR="00B06788" w:rsidRPr="00995B26">
        <w:rPr>
          <w:rFonts w:ascii="Abo-thar" w:hAnsi="Abo-thar" w:cs="Traditional Arabic" w:hint="cs"/>
          <w:sz w:val="28"/>
          <w:rtl/>
        </w:rPr>
        <w:t>﴿</w:t>
      </w:r>
      <w:r w:rsidR="00B06788" w:rsidRPr="0067048A">
        <w:rPr>
          <w:rFonts w:ascii="KFGQPC Uthmanic Script HAFS" w:cs="KFGQPC Uthmanic Script HAFS" w:hint="eastAsia"/>
          <w:sz w:val="28"/>
          <w:szCs w:val="28"/>
          <w:rtl/>
        </w:rPr>
        <w:t>وَ</w:t>
      </w:r>
      <w:r w:rsidR="00B06788" w:rsidRPr="0067048A">
        <w:rPr>
          <w:rFonts w:ascii="KFGQPC Uthmanic Script HAFS" w:cs="KFGQPC Uthmanic Script HAFS" w:hint="cs"/>
          <w:sz w:val="28"/>
          <w:szCs w:val="28"/>
          <w:rtl/>
        </w:rPr>
        <w:t>ٱ</w:t>
      </w:r>
      <w:r w:rsidR="00B06788" w:rsidRPr="0067048A">
        <w:rPr>
          <w:rFonts w:ascii="KFGQPC Uthmanic Script HAFS" w:cs="KFGQPC Uthmanic Script HAFS" w:hint="eastAsia"/>
          <w:sz w:val="28"/>
          <w:szCs w:val="28"/>
          <w:rtl/>
        </w:rPr>
        <w:t>ع</w:t>
      </w:r>
      <w:r w:rsidR="00B06788" w:rsidRPr="0067048A">
        <w:rPr>
          <w:rFonts w:ascii="KFGQPC Uthmanic Script HAFS" w:cs="KFGQPC Uthmanic Script HAFS" w:hint="cs"/>
          <w:sz w:val="28"/>
          <w:szCs w:val="28"/>
          <w:rtl/>
        </w:rPr>
        <w:t>ۡ</w:t>
      </w:r>
      <w:r w:rsidR="00B06788" w:rsidRPr="0067048A">
        <w:rPr>
          <w:rFonts w:ascii="KFGQPC Uthmanic Script HAFS" w:cs="KFGQPC Uthmanic Script HAFS" w:hint="eastAsia"/>
          <w:sz w:val="28"/>
          <w:szCs w:val="28"/>
          <w:rtl/>
        </w:rPr>
        <w:t>لَمُو</w:t>
      </w:r>
      <w:r w:rsidR="00B06788" w:rsidRPr="0067048A">
        <w:rPr>
          <w:rFonts w:ascii="KFGQPC Uthmanic Script HAFS" w:cs="KFGQPC Uthmanic Script HAFS" w:hint="cs"/>
          <w:sz w:val="28"/>
          <w:szCs w:val="28"/>
          <w:rtl/>
        </w:rPr>
        <w:t>ٓ</w:t>
      </w:r>
      <w:r w:rsidR="00B06788" w:rsidRPr="0067048A">
        <w:rPr>
          <w:rFonts w:ascii="KFGQPC Uthmanic Script HAFS" w:cs="KFGQPC Uthmanic Script HAFS" w:hint="eastAsia"/>
          <w:sz w:val="28"/>
          <w:szCs w:val="28"/>
          <w:rtl/>
        </w:rPr>
        <w:t>اْ</w:t>
      </w:r>
      <w:r w:rsidR="00B06788" w:rsidRPr="0067048A">
        <w:rPr>
          <w:rFonts w:ascii="KFGQPC Uthmanic Script HAFS" w:cs="KFGQPC Uthmanic Script HAFS"/>
          <w:sz w:val="28"/>
          <w:szCs w:val="28"/>
          <w:rtl/>
        </w:rPr>
        <w:t xml:space="preserve"> </w:t>
      </w:r>
      <w:r w:rsidR="00B06788" w:rsidRPr="0067048A">
        <w:rPr>
          <w:rFonts w:ascii="KFGQPC Uthmanic Script HAFS" w:cs="KFGQPC Uthmanic Script HAFS" w:hint="eastAsia"/>
          <w:sz w:val="28"/>
          <w:szCs w:val="28"/>
          <w:rtl/>
        </w:rPr>
        <w:t>أَنَّمَا</w:t>
      </w:r>
      <w:r w:rsidR="00B06788" w:rsidRPr="0067048A">
        <w:rPr>
          <w:rFonts w:ascii="KFGQPC Uthmanic Script HAFS" w:cs="KFGQPC Uthmanic Script HAFS"/>
          <w:sz w:val="28"/>
          <w:szCs w:val="28"/>
          <w:rtl/>
        </w:rPr>
        <w:t xml:space="preserve"> </w:t>
      </w:r>
      <w:r w:rsidR="00B06788" w:rsidRPr="0067048A">
        <w:rPr>
          <w:rFonts w:ascii="KFGQPC Uthmanic Script HAFS" w:cs="KFGQPC Uthmanic Script HAFS" w:hint="eastAsia"/>
          <w:sz w:val="28"/>
          <w:szCs w:val="28"/>
          <w:rtl/>
        </w:rPr>
        <w:t>غَنِم</w:t>
      </w:r>
      <w:r w:rsidR="00B06788" w:rsidRPr="0067048A">
        <w:rPr>
          <w:rFonts w:ascii="KFGQPC Uthmanic Script HAFS" w:cs="KFGQPC Uthmanic Script HAFS" w:hint="cs"/>
          <w:sz w:val="28"/>
          <w:szCs w:val="28"/>
          <w:rtl/>
        </w:rPr>
        <w:t>ۡ</w:t>
      </w:r>
      <w:r w:rsidR="00B06788" w:rsidRPr="0067048A">
        <w:rPr>
          <w:rFonts w:ascii="KFGQPC Uthmanic Script HAFS" w:cs="KFGQPC Uthmanic Script HAFS" w:hint="eastAsia"/>
          <w:sz w:val="28"/>
          <w:szCs w:val="28"/>
          <w:rtl/>
        </w:rPr>
        <w:t>تُم</w:t>
      </w:r>
      <w:r w:rsidR="00B06788" w:rsidRPr="0067048A">
        <w:rPr>
          <w:rFonts w:ascii="KFGQPC Uthmanic Script HAFS" w:cs="KFGQPC Uthmanic Script HAFS"/>
          <w:sz w:val="28"/>
          <w:szCs w:val="28"/>
          <w:rtl/>
        </w:rPr>
        <w:t xml:space="preserve"> </w:t>
      </w:r>
      <w:r w:rsidR="00B06788" w:rsidRPr="0067048A">
        <w:rPr>
          <w:rFonts w:ascii="KFGQPC Uthmanic Script HAFS" w:cs="KFGQPC Uthmanic Script HAFS" w:hint="eastAsia"/>
          <w:sz w:val="28"/>
          <w:szCs w:val="28"/>
          <w:rtl/>
        </w:rPr>
        <w:t>مِّن</w:t>
      </w:r>
      <w:r w:rsidR="00B06788" w:rsidRPr="0067048A">
        <w:rPr>
          <w:rFonts w:ascii="KFGQPC Uthmanic Script HAFS" w:cs="KFGQPC Uthmanic Script HAFS"/>
          <w:sz w:val="28"/>
          <w:szCs w:val="28"/>
          <w:rtl/>
        </w:rPr>
        <w:t xml:space="preserve"> </w:t>
      </w:r>
      <w:r w:rsidR="00B06788" w:rsidRPr="0067048A">
        <w:rPr>
          <w:rFonts w:ascii="KFGQPC Uthmanic Script HAFS" w:cs="KFGQPC Uthmanic Script HAFS" w:hint="eastAsia"/>
          <w:sz w:val="28"/>
          <w:szCs w:val="28"/>
          <w:rtl/>
        </w:rPr>
        <w:t>شَي</w:t>
      </w:r>
      <w:r w:rsidR="00B06788" w:rsidRPr="0067048A">
        <w:rPr>
          <w:rFonts w:ascii="KFGQPC Uthmanic Script HAFS" w:cs="KFGQPC Uthmanic Script HAFS" w:hint="cs"/>
          <w:sz w:val="28"/>
          <w:szCs w:val="28"/>
          <w:rtl/>
        </w:rPr>
        <w:t>ۡ</w:t>
      </w:r>
      <w:r w:rsidR="00B06788" w:rsidRPr="0067048A">
        <w:rPr>
          <w:rFonts w:ascii="KFGQPC Uthmanic Script HAFS" w:cs="KFGQPC Uthmanic Script HAFS" w:hint="eastAsia"/>
          <w:sz w:val="28"/>
          <w:szCs w:val="28"/>
          <w:rtl/>
        </w:rPr>
        <w:t>ء</w:t>
      </w:r>
      <w:r w:rsidR="00B06788" w:rsidRPr="0067048A">
        <w:rPr>
          <w:rFonts w:ascii="KFGQPC Uthmanic Script HAFS" w:cs="KFGQPC Uthmanic Script HAFS" w:hint="cs"/>
          <w:sz w:val="28"/>
          <w:szCs w:val="28"/>
          <w:rtl/>
        </w:rPr>
        <w:t>ٖ</w:t>
      </w:r>
      <w:r w:rsidR="00B06788" w:rsidRPr="0067048A">
        <w:rPr>
          <w:rFonts w:ascii="KFGQPC Uthmanic Script HAFS" w:cs="KFGQPC Uthmanic Script HAFS"/>
          <w:sz w:val="28"/>
          <w:szCs w:val="28"/>
          <w:rtl/>
        </w:rPr>
        <w:t xml:space="preserve"> </w:t>
      </w:r>
      <w:r w:rsidR="00B06788" w:rsidRPr="0067048A">
        <w:rPr>
          <w:rFonts w:ascii="KFGQPC Uthmanic Script HAFS" w:cs="KFGQPC Uthmanic Script HAFS" w:hint="eastAsia"/>
          <w:sz w:val="28"/>
          <w:szCs w:val="28"/>
          <w:rtl/>
        </w:rPr>
        <w:t>فَأَنَّ</w:t>
      </w:r>
      <w:r w:rsidR="00B06788" w:rsidRPr="0067048A">
        <w:rPr>
          <w:rFonts w:ascii="KFGQPC Uthmanic Script HAFS" w:cs="KFGQPC Uthmanic Script HAFS"/>
          <w:sz w:val="28"/>
          <w:szCs w:val="28"/>
          <w:rtl/>
        </w:rPr>
        <w:t xml:space="preserve"> </w:t>
      </w:r>
      <w:r w:rsidR="00B06788" w:rsidRPr="0067048A">
        <w:rPr>
          <w:rFonts w:ascii="KFGQPC Uthmanic Script HAFS" w:cs="KFGQPC Uthmanic Script HAFS" w:hint="eastAsia"/>
          <w:sz w:val="28"/>
          <w:szCs w:val="28"/>
          <w:rtl/>
        </w:rPr>
        <w:t>لِلَّهِ</w:t>
      </w:r>
      <w:r w:rsidR="00B06788" w:rsidRPr="0067048A">
        <w:rPr>
          <w:rFonts w:ascii="KFGQPC Uthmanic Script HAFS" w:cs="KFGQPC Uthmanic Script HAFS"/>
          <w:sz w:val="28"/>
          <w:szCs w:val="28"/>
          <w:rtl/>
        </w:rPr>
        <w:t xml:space="preserve"> </w:t>
      </w:r>
      <w:r w:rsidR="00B06788" w:rsidRPr="0067048A">
        <w:rPr>
          <w:rFonts w:ascii="KFGQPC Uthmanic Script HAFS" w:cs="KFGQPC Uthmanic Script HAFS" w:hint="eastAsia"/>
          <w:sz w:val="28"/>
          <w:szCs w:val="28"/>
          <w:rtl/>
        </w:rPr>
        <w:t>خُمُسَهُ</w:t>
      </w:r>
      <w:r w:rsidR="00B06788" w:rsidRPr="0067048A">
        <w:rPr>
          <w:rFonts w:ascii="KFGQPC Uthmanic Script HAFS" w:cs="KFGQPC Uthmanic Script HAFS" w:hint="cs"/>
          <w:sz w:val="28"/>
          <w:szCs w:val="28"/>
          <w:rtl/>
        </w:rPr>
        <w:t>ۥ</w:t>
      </w:r>
      <w:r w:rsidR="00B06788" w:rsidRPr="0067048A">
        <w:rPr>
          <w:rFonts w:ascii="KFGQPC Uthmanic Script HAFS" w:cs="KFGQPC Uthmanic Script HAFS"/>
          <w:sz w:val="28"/>
          <w:szCs w:val="28"/>
          <w:rtl/>
        </w:rPr>
        <w:t xml:space="preserve"> </w:t>
      </w:r>
      <w:r w:rsidR="00B06788" w:rsidRPr="0067048A">
        <w:rPr>
          <w:rFonts w:ascii="KFGQPC Uthmanic Script HAFS" w:cs="KFGQPC Uthmanic Script HAFS" w:hint="eastAsia"/>
          <w:sz w:val="28"/>
          <w:szCs w:val="28"/>
          <w:rtl/>
        </w:rPr>
        <w:t>وَلِلرَّسُولِ</w:t>
      </w:r>
      <w:r w:rsidR="00B06788" w:rsidRPr="0067048A">
        <w:rPr>
          <w:rFonts w:ascii="KFGQPC Uthmanic Script HAFS" w:cs="KFGQPC Uthmanic Script HAFS"/>
          <w:sz w:val="28"/>
          <w:szCs w:val="28"/>
          <w:rtl/>
        </w:rPr>
        <w:t xml:space="preserve"> </w:t>
      </w:r>
      <w:r w:rsidR="00B06788" w:rsidRPr="0067048A">
        <w:rPr>
          <w:rFonts w:ascii="KFGQPC Uthmanic Script HAFS" w:cs="KFGQPC Uthmanic Script HAFS" w:hint="eastAsia"/>
          <w:sz w:val="28"/>
          <w:szCs w:val="28"/>
          <w:rtl/>
        </w:rPr>
        <w:t>وَلِذِي</w:t>
      </w:r>
      <w:r w:rsidR="00B06788" w:rsidRPr="0067048A">
        <w:rPr>
          <w:rFonts w:ascii="KFGQPC Uthmanic Script HAFS" w:cs="KFGQPC Uthmanic Script HAFS"/>
          <w:sz w:val="28"/>
          <w:szCs w:val="28"/>
          <w:rtl/>
        </w:rPr>
        <w:t xml:space="preserve"> </w:t>
      </w:r>
      <w:r w:rsidR="00B06788" w:rsidRPr="0067048A">
        <w:rPr>
          <w:rFonts w:ascii="KFGQPC Uthmanic Script HAFS" w:cs="KFGQPC Uthmanic Script HAFS" w:hint="cs"/>
          <w:sz w:val="28"/>
          <w:szCs w:val="28"/>
          <w:rtl/>
        </w:rPr>
        <w:t>ٱ</w:t>
      </w:r>
      <w:r w:rsidR="00B06788" w:rsidRPr="0067048A">
        <w:rPr>
          <w:rFonts w:ascii="KFGQPC Uthmanic Script HAFS" w:cs="KFGQPC Uthmanic Script HAFS" w:hint="eastAsia"/>
          <w:sz w:val="28"/>
          <w:szCs w:val="28"/>
          <w:rtl/>
        </w:rPr>
        <w:t>ل</w:t>
      </w:r>
      <w:r w:rsidR="00B06788" w:rsidRPr="0067048A">
        <w:rPr>
          <w:rFonts w:ascii="KFGQPC Uthmanic Script HAFS" w:cs="KFGQPC Uthmanic Script HAFS" w:hint="cs"/>
          <w:sz w:val="28"/>
          <w:szCs w:val="28"/>
          <w:rtl/>
        </w:rPr>
        <w:t>ۡ</w:t>
      </w:r>
      <w:r w:rsidR="00B06788" w:rsidRPr="0067048A">
        <w:rPr>
          <w:rFonts w:ascii="KFGQPC Uthmanic Script HAFS" w:cs="KFGQPC Uthmanic Script HAFS" w:hint="eastAsia"/>
          <w:sz w:val="28"/>
          <w:szCs w:val="28"/>
          <w:rtl/>
        </w:rPr>
        <w:t>قُر</w:t>
      </w:r>
      <w:r w:rsidR="00B06788" w:rsidRPr="0067048A">
        <w:rPr>
          <w:rFonts w:ascii="KFGQPC Uthmanic Script HAFS" w:cs="KFGQPC Uthmanic Script HAFS" w:hint="cs"/>
          <w:sz w:val="28"/>
          <w:szCs w:val="28"/>
          <w:rtl/>
        </w:rPr>
        <w:t>ۡ</w:t>
      </w:r>
      <w:r w:rsidR="00B06788" w:rsidRPr="0067048A">
        <w:rPr>
          <w:rFonts w:ascii="KFGQPC Uthmanic Script HAFS" w:cs="KFGQPC Uthmanic Script HAFS" w:hint="eastAsia"/>
          <w:sz w:val="28"/>
          <w:szCs w:val="28"/>
          <w:rtl/>
        </w:rPr>
        <w:t>بَى</w:t>
      </w:r>
      <w:r w:rsidR="00B06788" w:rsidRPr="0067048A">
        <w:rPr>
          <w:rFonts w:ascii="KFGQPC Uthmanic Script HAFS" w:cs="KFGQPC Uthmanic Script HAFS" w:hint="cs"/>
          <w:sz w:val="28"/>
          <w:szCs w:val="28"/>
          <w:rtl/>
        </w:rPr>
        <w:t>ٰ</w:t>
      </w:r>
      <w:r w:rsidR="00B06788" w:rsidRPr="00995B26">
        <w:rPr>
          <w:rFonts w:ascii="KFGQPC Uthmanic Script HAFS" w:cs="Times New Roman" w:hint="cs"/>
          <w:sz w:val="28"/>
          <w:rtl/>
        </w:rPr>
        <w:t>...</w:t>
      </w:r>
      <w:r w:rsidR="00B06788" w:rsidRPr="00995B26">
        <w:rPr>
          <w:rFonts w:ascii="Abo-thar" w:hAnsi="Abo-thar" w:cs="Traditional Arabic" w:hint="cs"/>
          <w:sz w:val="28"/>
          <w:rtl/>
        </w:rPr>
        <w:t>﴾</w:t>
      </w:r>
      <w:r w:rsidRPr="00995B26">
        <w:rPr>
          <w:rFonts w:ascii="Abo-thar" w:hAnsi="Abo-thar"/>
          <w:b/>
          <w:bCs/>
          <w:sz w:val="28"/>
          <w:rtl/>
          <w:lang w:bidi="ar-SY"/>
        </w:rPr>
        <w:t xml:space="preserve"> </w:t>
      </w:r>
      <w:r w:rsidRPr="003108CB">
        <w:rPr>
          <w:rStyle w:val="Char2"/>
          <w:rFonts w:hint="cs"/>
          <w:rtl/>
        </w:rPr>
        <w:t>[الأنفال</w:t>
      </w:r>
      <w:r w:rsidR="00B06788" w:rsidRPr="003108CB">
        <w:rPr>
          <w:rStyle w:val="Char2"/>
          <w:rFonts w:hint="cs"/>
          <w:rtl/>
        </w:rPr>
        <w:t xml:space="preserve">: </w:t>
      </w:r>
      <w:r w:rsidRPr="003108CB">
        <w:rPr>
          <w:rStyle w:val="Char2"/>
          <w:rFonts w:hint="cs"/>
          <w:rtl/>
        </w:rPr>
        <w:t>41]</w:t>
      </w:r>
      <w:r w:rsidRPr="00995B26">
        <w:rPr>
          <w:rFonts w:ascii="Abo-thar" w:hAnsi="Abo-thar" w:hint="cs"/>
          <w:b/>
          <w:bCs/>
          <w:sz w:val="28"/>
          <w:rtl/>
          <w:lang w:bidi="ar-SY"/>
        </w:rPr>
        <w:t xml:space="preserve"> </w:t>
      </w:r>
      <w:r w:rsidRPr="00891167">
        <w:rPr>
          <w:rFonts w:ascii="Abo-thar" w:hAnsi="Abo-thar" w:cs="KFGQPC Uthman Taha Naskh"/>
          <w:b/>
          <w:bCs/>
          <w:sz w:val="28"/>
          <w:rtl/>
          <w:lang w:bidi="ar-SY"/>
        </w:rPr>
        <w:t>فَقَرَنَ سَهْمَ ذِي الْقُرْبَى مَعَ سَهْمِهِ وسَهْمِ رَسُولِ اللهِ</w:t>
      </w:r>
      <w:r w:rsidR="00147857" w:rsidRPr="00891167">
        <w:rPr>
          <w:rFonts w:ascii="Abo-thar" w:hAnsi="Abo-thar" w:cs="KFGQPC Uthman Taha Naskh"/>
          <w:b/>
          <w:bCs/>
          <w:sz w:val="28"/>
          <w:rtl/>
          <w:lang w:bidi="ar-SY"/>
        </w:rPr>
        <w:t xml:space="preserve"> </w:t>
      </w:r>
      <w:r w:rsidR="003C7AEB" w:rsidRPr="003C7AEB">
        <w:rPr>
          <w:rFonts w:ascii="Abo-thar" w:hAnsi="Abo-thar" w:cs="CTraditional Arabic"/>
          <w:sz w:val="28"/>
          <w:rtl/>
          <w:lang w:bidi="ar-SY"/>
        </w:rPr>
        <w:t>ص</w:t>
      </w:r>
      <w:r w:rsidR="00217AB4" w:rsidRPr="00891167">
        <w:rPr>
          <w:rFonts w:ascii="Abo-thar" w:hAnsi="Abo-thar" w:cs="KFGQPC Uthman Taha Naskh"/>
          <w:sz w:val="28"/>
          <w:rtl/>
          <w:lang w:bidi="ar-SY"/>
        </w:rPr>
        <w:t>.</w:t>
      </w:r>
      <w:r w:rsidR="00217AB4" w:rsidRPr="00891167">
        <w:rPr>
          <w:rFonts w:ascii="Abo-thar" w:hAnsi="Abo-thar" w:cs="KFGQPC Uthman Taha Naskh" w:hint="cs"/>
          <w:b/>
          <w:bCs/>
          <w:sz w:val="28"/>
          <w:rtl/>
          <w:lang w:bidi="ar-SY"/>
        </w:rPr>
        <w:t>...</w:t>
      </w:r>
      <w:r w:rsidR="00147857" w:rsidRPr="00891167">
        <w:rPr>
          <w:rFonts w:ascii="Abo-thar" w:hAnsi="Abo-thar" w:cs="KFGQPC Uthman Taha Naskh" w:hint="cs"/>
          <w:b/>
          <w:bCs/>
          <w:sz w:val="28"/>
          <w:rtl/>
          <w:lang w:bidi="ar-SY"/>
        </w:rPr>
        <w:t xml:space="preserve"> </w:t>
      </w:r>
      <w:r w:rsidRPr="00891167">
        <w:rPr>
          <w:rFonts w:ascii="Abo-thar" w:hAnsi="Abo-thar" w:cs="KFGQPC Uthman Taha Naskh"/>
          <w:b/>
          <w:bCs/>
          <w:sz w:val="28"/>
          <w:rtl/>
          <w:lang w:bidi="ar-SY"/>
        </w:rPr>
        <w:t>إِلَى أَنْ قَالَ فَبَدَأَ بِنَفْسِهِ ثُمَّ بِرَسُولِهِ ثُمَّ بِذِي الْقُرْبَى فَكُلُّ مَا كَانَ مِنَ الْفَيْ‏ءِ والْغَنِيمَةِ وغَيْرِ ذَلِكَ مِمَّا رَضِيَهُ لِنَفْسِهِ فَرَضِيَهُ لَهُمْ</w:t>
      </w:r>
      <w:r w:rsidR="00217AB4" w:rsidRPr="00891167">
        <w:rPr>
          <w:rFonts w:ascii="Abo-thar" w:hAnsi="Abo-thar" w:cs="KFGQPC Uthman Taha Naskh"/>
          <w:sz w:val="28"/>
          <w:rtl/>
          <w:lang w:bidi="ar-SY"/>
        </w:rPr>
        <w:t>.</w:t>
      </w:r>
      <w:r w:rsidR="00217AB4" w:rsidRPr="00891167">
        <w:rPr>
          <w:rFonts w:ascii="Abo-thar" w:hAnsi="Abo-thar" w:cs="KFGQPC Uthman Taha Naskh" w:hint="cs"/>
          <w:sz w:val="28"/>
          <w:rtl/>
          <w:lang w:bidi="ar-SY"/>
        </w:rPr>
        <w:t>..</w:t>
      </w:r>
      <w:r w:rsidRPr="00995B26">
        <w:rPr>
          <w:rFonts w:ascii="Abo-thar" w:hAnsi="Abo-thar" w:hint="cs"/>
          <w:sz w:val="28"/>
          <w:rtl/>
          <w:lang w:bidi="ar-SY"/>
        </w:rPr>
        <w:t xml:space="preserve"> الحديث</w:t>
      </w:r>
      <w:r w:rsidR="00EF2588" w:rsidRPr="00995B26">
        <w:rPr>
          <w:rFonts w:ascii="Abo-thar" w:hAnsi="Abo-thar" w:hint="cs"/>
          <w:sz w:val="28"/>
          <w:rtl/>
          <w:lang w:bidi="ar-SY"/>
        </w:rPr>
        <w:t>»</w:t>
      </w:r>
      <w:r w:rsidR="00217AB4" w:rsidRPr="0021507A">
        <w:rPr>
          <w:rFonts w:cs="Arabic11 BT"/>
          <w:b/>
          <w:sz w:val="28"/>
          <w:vertAlign w:val="superscript"/>
          <w:rtl/>
          <w:lang w:bidi="ar-SY"/>
        </w:rPr>
        <w:t>(</w:t>
      </w:r>
      <w:r w:rsidRPr="0021507A">
        <w:rPr>
          <w:rStyle w:val="FootnoteReference"/>
          <w:rFonts w:cs="Arabic11 BT"/>
          <w:b/>
          <w:sz w:val="28"/>
          <w:rtl/>
          <w:lang w:bidi="ar-SY"/>
        </w:rPr>
        <w:footnoteReference w:id="250"/>
      </w:r>
      <w:r w:rsidR="00217AB4" w:rsidRPr="0021507A">
        <w:rPr>
          <w:rFonts w:cs="Arabic11 BT"/>
          <w:b/>
          <w:sz w:val="28"/>
          <w:vertAlign w:val="superscript"/>
          <w:rtl/>
          <w:lang w:bidi="ar-SY"/>
        </w:rPr>
        <w:t>)</w:t>
      </w:r>
      <w:r w:rsidR="00217AB4" w:rsidRPr="00995B26">
        <w:rPr>
          <w:rFonts w:hint="cs"/>
          <w:sz w:val="28"/>
          <w:rtl/>
          <w:lang w:bidi="ar-SY"/>
        </w:rPr>
        <w:t>.</w:t>
      </w:r>
      <w:r w:rsidRPr="00995B26">
        <w:rPr>
          <w:rFonts w:hint="cs"/>
          <w:sz w:val="28"/>
          <w:rtl/>
          <w:lang w:bidi="ar-SY"/>
        </w:rPr>
        <w:t xml:space="preserve"> </w:t>
      </w:r>
    </w:p>
    <w:p w:rsidR="005C664D" w:rsidRPr="003F3B94" w:rsidRDefault="005C664D" w:rsidP="003F3B94">
      <w:pPr>
        <w:pStyle w:val="a0"/>
        <w:rPr>
          <w:rFonts w:hint="cs"/>
          <w:rtl/>
        </w:rPr>
      </w:pPr>
      <w:r w:rsidRPr="003F3B94">
        <w:rPr>
          <w:rFonts w:ascii="Abo-thar" w:hAnsi="Abo-thar" w:hint="cs"/>
          <w:sz w:val="28"/>
          <w:rtl/>
          <w:lang w:bidi="ar-SY"/>
        </w:rPr>
        <w:t>10</w:t>
      </w:r>
      <w:r w:rsidR="00217AB4" w:rsidRPr="003F3B94">
        <w:rPr>
          <w:rFonts w:ascii="Abo-thar" w:hAnsi="Abo-thar" w:hint="cs"/>
          <w:sz w:val="28"/>
          <w:rtl/>
          <w:lang w:bidi="ar-SY"/>
        </w:rPr>
        <w:t>-</w:t>
      </w:r>
      <w:r w:rsidR="00147857" w:rsidRPr="003F3B94">
        <w:rPr>
          <w:rFonts w:ascii="Abo-thar" w:hAnsi="Abo-thar" w:hint="cs"/>
          <w:sz w:val="28"/>
          <w:rtl/>
          <w:lang w:bidi="ar-SY"/>
        </w:rPr>
        <w:t xml:space="preserve"> </w:t>
      </w:r>
      <w:r w:rsidRPr="003F3B94">
        <w:rPr>
          <w:rFonts w:ascii="Abo-thar" w:hAnsi="Abo-thar" w:hint="cs"/>
          <w:sz w:val="28"/>
          <w:rtl/>
          <w:lang w:bidi="ar-SY"/>
        </w:rPr>
        <w:t xml:space="preserve">وروى </w:t>
      </w:r>
      <w:r w:rsidRPr="003F3B94">
        <w:rPr>
          <w:rFonts w:ascii="Abo-thar" w:hAnsi="Abo-thar"/>
          <w:sz w:val="28"/>
          <w:rtl/>
          <w:lang w:bidi="ar-SY"/>
        </w:rPr>
        <w:t>«مُحَمَّدُ بْنُ الْحَسَنِ الصَّفَّارُ» فِي «بَصَائِرِ الدَّرَجَاتِ»</w:t>
      </w:r>
      <w:r w:rsidR="00217AB4" w:rsidRPr="003F3B94">
        <w:rPr>
          <w:rFonts w:ascii="Abo-thar" w:hAnsi="Abo-thar" w:hint="cs"/>
          <w:sz w:val="28"/>
          <w:rtl/>
          <w:lang w:bidi="ar-SY"/>
        </w:rPr>
        <w:t>:</w:t>
      </w:r>
      <w:r w:rsidRPr="003F3B94">
        <w:rPr>
          <w:rFonts w:ascii="Abo-thar" w:hAnsi="Abo-thar" w:hint="cs"/>
          <w:sz w:val="28"/>
          <w:rtl/>
          <w:lang w:bidi="ar-SY"/>
        </w:rPr>
        <w:t xml:space="preserve"> </w:t>
      </w:r>
      <w:r w:rsidR="00EF2588" w:rsidRPr="00891167">
        <w:rPr>
          <w:rFonts w:ascii="Abo-thar" w:hAnsi="Abo-thar" w:cs="KFGQPC Uthman Taha Naskh" w:hint="cs"/>
          <w:sz w:val="28"/>
          <w:rtl/>
          <w:lang w:bidi="ar-SY"/>
        </w:rPr>
        <w:t>«</w:t>
      </w:r>
      <w:r w:rsidRPr="00891167">
        <w:rPr>
          <w:rFonts w:ascii="Abo-thar" w:hAnsi="Abo-thar" w:cs="KFGQPC Uthman Taha Naskh"/>
          <w:b/>
          <w:bCs/>
          <w:sz w:val="28"/>
          <w:rtl/>
          <w:lang w:bidi="ar-SY"/>
        </w:rPr>
        <w:t xml:space="preserve">عَنْ عِمْرَانَ بْنِ مُوسَى عَنْ مُوسَى بْنِ جَعْفَرٍ </w:t>
      </w:r>
      <w:r w:rsidR="00BC4BA9" w:rsidRPr="00BC4BA9">
        <w:rPr>
          <w:rFonts w:ascii="Abo-thar" w:hAnsi="Abo-thar" w:cs="CTraditional Arabic"/>
          <w:b/>
          <w:sz w:val="28"/>
          <w:rtl/>
          <w:lang w:bidi="ar-SY"/>
        </w:rPr>
        <w:t>÷</w:t>
      </w:r>
      <w:r w:rsidRPr="00891167">
        <w:rPr>
          <w:rFonts w:ascii="Abo-thar" w:hAnsi="Abo-thar" w:cs="KFGQPC Uthman Taha Naskh"/>
          <w:b/>
          <w:bCs/>
          <w:sz w:val="28"/>
          <w:rtl/>
          <w:lang w:bidi="ar-SY"/>
        </w:rPr>
        <w:t xml:space="preserve"> قَالَ قَرَأْتُ عَلَيْهِ آيَةَ الخُمُسِ فَقَالَ</w:t>
      </w:r>
      <w:r w:rsidR="00421B82">
        <w:rPr>
          <w:rFonts w:ascii="Abo-thar" w:hAnsi="Abo-thar" w:cs="KFGQPC Uthman Taha Naskh" w:hint="cs"/>
          <w:b/>
          <w:bCs/>
          <w:sz w:val="28"/>
          <w:rtl/>
          <w:lang w:bidi="ar-SY"/>
        </w:rPr>
        <w:t>:</w:t>
      </w:r>
      <w:r w:rsidRPr="00891167">
        <w:rPr>
          <w:rFonts w:ascii="Abo-thar" w:hAnsi="Abo-thar" w:cs="KFGQPC Uthman Taha Naskh"/>
          <w:b/>
          <w:bCs/>
          <w:sz w:val="28"/>
          <w:rtl/>
          <w:lang w:bidi="ar-SY"/>
        </w:rPr>
        <w:t xml:space="preserve"> مَا كَانَ لِـلَّهِ فَهُوَ لِرَسُولِهِ ومَا كَانَ لِرَسُولِهِ فَهُوَ لَنَا</w:t>
      </w:r>
      <w:r w:rsidR="00217AB4" w:rsidRPr="00891167">
        <w:rPr>
          <w:rFonts w:ascii="Abo-thar" w:hAnsi="Abo-thar" w:cs="KFGQPC Uthman Taha Naskh" w:hint="cs"/>
          <w:b/>
          <w:bCs/>
          <w:sz w:val="28"/>
          <w:rtl/>
          <w:lang w:bidi="ar-SY"/>
        </w:rPr>
        <w:t>..</w:t>
      </w:r>
      <w:r w:rsidR="00EF2588" w:rsidRPr="00891167">
        <w:rPr>
          <w:rFonts w:ascii="Abo-thar" w:hAnsi="Abo-thar" w:cs="KFGQPC Uthman Taha Naskh" w:hint="cs"/>
          <w:sz w:val="28"/>
          <w:rtl/>
          <w:lang w:bidi="ar-SY"/>
        </w:rPr>
        <w:t>»</w:t>
      </w:r>
      <w:r w:rsidR="00217AB4" w:rsidRPr="0021507A">
        <w:rPr>
          <w:rFonts w:cs="Arabic11 BT"/>
          <w:b/>
          <w:sz w:val="28"/>
          <w:vertAlign w:val="superscript"/>
          <w:rtl/>
          <w:lang w:bidi="ar-SY"/>
        </w:rPr>
        <w:t>(</w:t>
      </w:r>
      <w:r w:rsidRPr="0021507A">
        <w:rPr>
          <w:rStyle w:val="FootnoteReference"/>
          <w:rFonts w:cs="Arabic11 BT"/>
          <w:b/>
          <w:sz w:val="28"/>
          <w:rtl/>
          <w:lang w:bidi="ar-SY"/>
        </w:rPr>
        <w:footnoteReference w:id="251"/>
      </w:r>
      <w:r w:rsidR="00217AB4" w:rsidRPr="0021507A">
        <w:rPr>
          <w:rFonts w:cs="Arabic11 BT"/>
          <w:b/>
          <w:sz w:val="28"/>
          <w:vertAlign w:val="superscript"/>
          <w:rtl/>
          <w:lang w:bidi="ar-SY"/>
        </w:rPr>
        <w:t>)</w:t>
      </w:r>
      <w:r w:rsidR="00217AB4" w:rsidRPr="003F3B94">
        <w:rPr>
          <w:rFonts w:ascii="Abo-thar" w:hAnsi="Abo-thar" w:hint="cs"/>
          <w:sz w:val="28"/>
          <w:rtl/>
          <w:lang w:bidi="ar-SY"/>
        </w:rPr>
        <w:t>.</w:t>
      </w:r>
      <w:r w:rsidRPr="003F3B94">
        <w:rPr>
          <w:rFonts w:ascii="Abo-thar" w:hAnsi="Abo-thar"/>
          <w:sz w:val="28"/>
          <w:rtl/>
          <w:lang w:bidi="ar-SY"/>
        </w:rPr>
        <w:t xml:space="preserve"> </w:t>
      </w:r>
    </w:p>
    <w:p w:rsidR="005C664D" w:rsidRPr="003F3B94" w:rsidRDefault="005C664D" w:rsidP="00255A16">
      <w:pPr>
        <w:pStyle w:val="a0"/>
        <w:rPr>
          <w:rFonts w:hint="cs"/>
          <w:rtl/>
          <w:lang w:bidi="ar-SY"/>
        </w:rPr>
      </w:pPr>
      <w:r w:rsidRPr="003F3B94">
        <w:rPr>
          <w:rFonts w:ascii="Abo-thar" w:hAnsi="Abo-thar" w:hint="cs"/>
          <w:sz w:val="28"/>
          <w:rtl/>
        </w:rPr>
        <w:t>كل هذه الأحاديث التي لا يصحُّ منها حتى حديثٌ واحدٌ</w:t>
      </w:r>
      <w:r w:rsidR="00217AB4" w:rsidRPr="003F3B94">
        <w:rPr>
          <w:rFonts w:ascii="Abo-thar" w:hAnsi="Abo-thar" w:hint="cs"/>
          <w:sz w:val="28"/>
          <w:rtl/>
        </w:rPr>
        <w:t>،</w:t>
      </w:r>
      <w:r w:rsidRPr="003F3B94">
        <w:rPr>
          <w:rFonts w:ascii="Abo-thar" w:hAnsi="Abo-thar" w:hint="cs"/>
          <w:sz w:val="28"/>
          <w:rtl/>
        </w:rPr>
        <w:t xml:space="preserve"> وسائر الأحاديث الضعيفة الأخرى التي جمعها وكوَّمها صاحب </w:t>
      </w:r>
      <w:r w:rsidRPr="003F3B94">
        <w:rPr>
          <w:rFonts w:ascii="Abo-thar" w:hAnsi="Abo-thar"/>
          <w:sz w:val="28"/>
          <w:rtl/>
        </w:rPr>
        <w:t>«</w:t>
      </w:r>
      <w:r w:rsidRPr="003F3B94">
        <w:rPr>
          <w:rFonts w:ascii="Abo-thar" w:hAnsi="Abo-thar" w:hint="cs"/>
          <w:sz w:val="28"/>
          <w:rtl/>
        </w:rPr>
        <w:t>وسائل الشيعة</w:t>
      </w:r>
      <w:r w:rsidRPr="003F3B94">
        <w:rPr>
          <w:rFonts w:ascii="Abo-thar" w:hAnsi="Abo-thar"/>
          <w:sz w:val="28"/>
          <w:rtl/>
        </w:rPr>
        <w:t>»</w:t>
      </w:r>
      <w:r w:rsidR="00147857" w:rsidRPr="003F3B94">
        <w:rPr>
          <w:rFonts w:ascii="Abo-thar" w:hAnsi="Abo-thar" w:hint="cs"/>
          <w:sz w:val="28"/>
          <w:rtl/>
        </w:rPr>
        <w:t xml:space="preserve"> </w:t>
      </w:r>
      <w:r w:rsidRPr="003F3B94">
        <w:rPr>
          <w:rFonts w:ascii="Abo-thar" w:hAnsi="Abo-thar" w:hint="cs"/>
          <w:sz w:val="28"/>
          <w:rtl/>
        </w:rPr>
        <w:t>في الجزء الثاني من كتابه</w:t>
      </w:r>
      <w:r w:rsidR="007638F8" w:rsidRPr="003F3B94">
        <w:rPr>
          <w:rFonts w:ascii="Abo-thar" w:hAnsi="Abo-thar" w:hint="cs"/>
          <w:sz w:val="28"/>
          <w:rtl/>
        </w:rPr>
        <w:t xml:space="preserve"> (ص62-63، من طبعة أمير بهادر)</w:t>
      </w:r>
      <w:r w:rsidR="00217AB4" w:rsidRPr="0021507A">
        <w:rPr>
          <w:rFonts w:cs="Arabic11 BT"/>
          <w:b/>
          <w:sz w:val="28"/>
          <w:vertAlign w:val="superscript"/>
          <w:rtl/>
        </w:rPr>
        <w:t>(</w:t>
      </w:r>
      <w:r w:rsidRPr="0021507A">
        <w:rPr>
          <w:rStyle w:val="FootnoteReference"/>
          <w:rFonts w:cs="Arabic11 BT"/>
          <w:b/>
          <w:sz w:val="28"/>
          <w:rtl/>
        </w:rPr>
        <w:footnoteReference w:id="252"/>
      </w:r>
      <w:r w:rsidR="00217AB4" w:rsidRPr="0021507A">
        <w:rPr>
          <w:rFonts w:cs="Arabic11 BT"/>
          <w:b/>
          <w:sz w:val="28"/>
          <w:vertAlign w:val="superscript"/>
          <w:rtl/>
        </w:rPr>
        <w:t>)</w:t>
      </w:r>
      <w:r w:rsidR="007638F8" w:rsidRPr="003F3B94">
        <w:rPr>
          <w:rFonts w:ascii="Abo-thar" w:hAnsi="Abo-thar" w:hint="cs"/>
          <w:sz w:val="28"/>
          <w:rtl/>
        </w:rPr>
        <w:t>،</w:t>
      </w:r>
      <w:r w:rsidRPr="003F3B94">
        <w:rPr>
          <w:rFonts w:ascii="Abo-thar" w:hAnsi="Abo-thar" w:hint="cs"/>
          <w:sz w:val="28"/>
          <w:rtl/>
        </w:rPr>
        <w:t xml:space="preserve"> تدل متونها بصراحة ووضوح صارخ على أن حق أقرباء رسول الله</w:t>
      </w:r>
      <w:r w:rsidR="003C7AEB" w:rsidRPr="003C7AEB">
        <w:rPr>
          <w:rFonts w:ascii="Abo-thar" w:hAnsi="Abo-thar" w:cs="CTraditional Arabic"/>
          <w:sz w:val="28"/>
          <w:rtl/>
        </w:rPr>
        <w:t>ص</w:t>
      </w:r>
      <w:r w:rsidR="00147857" w:rsidRPr="003F3B94">
        <w:rPr>
          <w:rFonts w:ascii="Abo-thar" w:hAnsi="Abo-thar"/>
          <w:sz w:val="28"/>
          <w:rtl/>
        </w:rPr>
        <w:t xml:space="preserve"> </w:t>
      </w:r>
      <w:r w:rsidR="00217AB4" w:rsidRPr="003F3B94">
        <w:rPr>
          <w:rFonts w:ascii="Abo-thar" w:hAnsi="Abo-thar" w:hint="cs"/>
          <w:sz w:val="28"/>
          <w:rtl/>
        </w:rPr>
        <w:t>-</w:t>
      </w:r>
      <w:r w:rsidRPr="003F3B94">
        <w:rPr>
          <w:rFonts w:ascii="Abo-thar" w:hAnsi="Abo-thar" w:hint="cs"/>
          <w:sz w:val="28"/>
          <w:rtl/>
        </w:rPr>
        <w:t xml:space="preserve"> سواء كان الإمام أم غير الإمام </w:t>
      </w:r>
      <w:r w:rsidRPr="003F3B94">
        <w:rPr>
          <w:rFonts w:cs="Times New Roman" w:hint="cs"/>
          <w:sz w:val="28"/>
          <w:rtl/>
        </w:rPr>
        <w:t>–</w:t>
      </w:r>
      <w:r w:rsidRPr="003F3B94">
        <w:rPr>
          <w:rFonts w:ascii="Abo-thar" w:hAnsi="Abo-thar" w:hint="cs"/>
          <w:sz w:val="28"/>
          <w:rtl/>
        </w:rPr>
        <w:t xml:space="preserve"> هو من خمس غنائم الحرب فقط وليس خمس الأشياء الأخرى</w:t>
      </w:r>
      <w:r w:rsidR="00217AB4" w:rsidRPr="003F3B94">
        <w:rPr>
          <w:rFonts w:ascii="Abo-thar" w:hAnsi="Abo-thar" w:hint="cs"/>
          <w:sz w:val="28"/>
          <w:rtl/>
        </w:rPr>
        <w:t>!!!</w:t>
      </w:r>
      <w:r w:rsidR="00147857" w:rsidRPr="003F3B94">
        <w:rPr>
          <w:rFonts w:ascii="Abo-thar" w:hAnsi="Abo-thar" w:hint="cs"/>
          <w:sz w:val="28"/>
          <w:rtl/>
        </w:rPr>
        <w:t xml:space="preserve"> </w:t>
      </w:r>
      <w:r w:rsidRPr="003F3B94">
        <w:rPr>
          <w:rFonts w:ascii="Abo-thar" w:hAnsi="Abo-thar" w:hint="cs"/>
          <w:sz w:val="28"/>
          <w:rtl/>
        </w:rPr>
        <w:t>فليس فيها أبداً أي ذكر لخمس المعادن والكنوز والغوص والمال الحلال المختلط بحرام</w:t>
      </w:r>
      <w:r w:rsidR="00217AB4" w:rsidRPr="003F3B94">
        <w:rPr>
          <w:rFonts w:ascii="Abo-thar" w:hAnsi="Abo-thar" w:hint="cs"/>
          <w:sz w:val="28"/>
          <w:rtl/>
        </w:rPr>
        <w:t>،</w:t>
      </w:r>
      <w:r w:rsidRPr="003F3B94">
        <w:rPr>
          <w:rFonts w:ascii="Abo-thar" w:hAnsi="Abo-thar" w:hint="cs"/>
          <w:sz w:val="28"/>
          <w:rtl/>
        </w:rPr>
        <w:t xml:space="preserve"> وسائر الأشياء الأخرى</w:t>
      </w:r>
      <w:r w:rsidR="00217AB4" w:rsidRPr="003F3B94">
        <w:rPr>
          <w:rFonts w:ascii="Abo-thar" w:hAnsi="Abo-thar" w:hint="cs"/>
          <w:sz w:val="28"/>
          <w:rtl/>
        </w:rPr>
        <w:t>.</w:t>
      </w:r>
      <w:r w:rsidR="00147857" w:rsidRPr="003F3B94">
        <w:rPr>
          <w:rFonts w:ascii="Abo-thar" w:hAnsi="Abo-thar" w:hint="cs"/>
          <w:sz w:val="28"/>
          <w:rtl/>
        </w:rPr>
        <w:t xml:space="preserve"> </w:t>
      </w:r>
      <w:r w:rsidRPr="003F3B94">
        <w:rPr>
          <w:rFonts w:ascii="Abo-thar" w:hAnsi="Abo-thar" w:hint="cs"/>
          <w:sz w:val="28"/>
          <w:rtl/>
        </w:rPr>
        <w:t xml:space="preserve">هذا رغم أن هذه الأحاديث يرويها أشخاص مجروحون مطعون بعدالتهم لا تقوم بروايتهم أي حجة مثل </w:t>
      </w:r>
      <w:r w:rsidRPr="003F3B94">
        <w:rPr>
          <w:rFonts w:ascii="Abo-thar" w:hAnsi="Abo-thar"/>
          <w:sz w:val="28"/>
          <w:rtl/>
        </w:rPr>
        <w:t>«الْحَسَنِ بْنِ عَلِيِّ بْنِ فَضَّالٍ»</w:t>
      </w:r>
      <w:r w:rsidRPr="003F3B94">
        <w:rPr>
          <w:rFonts w:ascii="Abo-thar" w:hAnsi="Abo-thar" w:hint="cs"/>
          <w:sz w:val="28"/>
          <w:rtl/>
        </w:rPr>
        <w:t xml:space="preserve"> و</w:t>
      </w:r>
      <w:r w:rsidRPr="003F3B94">
        <w:rPr>
          <w:rFonts w:ascii="Abo-thar" w:hAnsi="Abo-thar"/>
          <w:sz w:val="28"/>
          <w:rtl/>
        </w:rPr>
        <w:t>«عَبْدِ اللهِ بْنِ بُكَيْرٍ»</w:t>
      </w:r>
      <w:r w:rsidRPr="003F3B94">
        <w:rPr>
          <w:rFonts w:ascii="Abo-thar" w:hAnsi="Abo-thar" w:hint="cs"/>
          <w:sz w:val="28"/>
          <w:rtl/>
        </w:rPr>
        <w:t xml:space="preserve"> وأمثالهما</w:t>
      </w:r>
      <w:r w:rsidR="00217AB4" w:rsidRPr="003F3B94">
        <w:rPr>
          <w:rFonts w:ascii="Abo-thar" w:hAnsi="Abo-thar" w:hint="cs"/>
          <w:sz w:val="28"/>
          <w:rtl/>
        </w:rPr>
        <w:t>،</w:t>
      </w:r>
      <w:r w:rsidRPr="003F3B94">
        <w:rPr>
          <w:rFonts w:ascii="Abo-thar" w:hAnsi="Abo-thar" w:hint="cs"/>
          <w:sz w:val="28"/>
          <w:rtl/>
        </w:rPr>
        <w:t xml:space="preserve"> وبعض هذه الأحاديث مرسل ومنقطع ومجهول وهي تخالف بشكل صريح آيات كتاب الله تعالى</w:t>
      </w:r>
      <w:r w:rsidR="00217AB4" w:rsidRPr="003F3B94">
        <w:rPr>
          <w:rFonts w:ascii="Abo-thar" w:hAnsi="Abo-thar" w:hint="cs"/>
          <w:sz w:val="28"/>
          <w:rtl/>
        </w:rPr>
        <w:t>.</w:t>
      </w:r>
      <w:r w:rsidR="00147857" w:rsidRPr="003F3B94">
        <w:rPr>
          <w:rFonts w:ascii="Abo-thar" w:hAnsi="Abo-thar" w:hint="cs"/>
          <w:sz w:val="28"/>
          <w:rtl/>
        </w:rPr>
        <w:t xml:space="preserve"> </w:t>
      </w:r>
      <w:r w:rsidRPr="003F3B94">
        <w:rPr>
          <w:rFonts w:ascii="Abo-thar" w:hAnsi="Abo-thar" w:hint="cs"/>
          <w:sz w:val="28"/>
          <w:rtl/>
        </w:rPr>
        <w:t xml:space="preserve">وعلى كل حال </w:t>
      </w:r>
      <w:r w:rsidRPr="003F3B94">
        <w:rPr>
          <w:rFonts w:ascii="Abo-thar" w:hAnsi="Abo-thar" w:hint="cs"/>
          <w:b/>
          <w:bCs/>
          <w:sz w:val="28"/>
          <w:rtl/>
        </w:rPr>
        <w:t>إن الخُمس المذكور في متون هذه الأحاديث ليس سوى خمس غنائم الحرب والقتال</w:t>
      </w:r>
      <w:r w:rsidR="00217AB4" w:rsidRPr="003F3B94">
        <w:rPr>
          <w:rFonts w:ascii="Abo-thar" w:hAnsi="Abo-thar" w:hint="cs"/>
          <w:sz w:val="28"/>
          <w:rtl/>
        </w:rPr>
        <w:t>،</w:t>
      </w:r>
      <w:r w:rsidRPr="003F3B94">
        <w:rPr>
          <w:rFonts w:ascii="Abo-thar" w:hAnsi="Abo-thar" w:hint="cs"/>
          <w:sz w:val="28"/>
          <w:rtl/>
        </w:rPr>
        <w:t xml:space="preserve"> كما تشهد لذلك متون الأحاديث ومنطوق عباراتها وسياقها</w:t>
      </w:r>
      <w:r w:rsidR="00217AB4" w:rsidRPr="003F3B94">
        <w:rPr>
          <w:rFonts w:ascii="Abo-thar" w:hAnsi="Abo-thar" w:hint="cs"/>
          <w:sz w:val="28"/>
          <w:rtl/>
        </w:rPr>
        <w:t>.</w:t>
      </w:r>
    </w:p>
    <w:p w:rsidR="005C664D" w:rsidRPr="00995B26" w:rsidRDefault="003D6690" w:rsidP="007D2B8A">
      <w:pPr>
        <w:pStyle w:val="a5"/>
        <w:rPr>
          <w:rFonts w:hint="cs"/>
          <w:rtl/>
        </w:rPr>
      </w:pPr>
      <w:bookmarkStart w:id="94" w:name="_Toc215490683"/>
      <w:bookmarkStart w:id="95" w:name="_Toc387843071"/>
      <w:r w:rsidRPr="00995B26">
        <w:rPr>
          <w:rFonts w:hint="cs"/>
          <w:rtl/>
        </w:rPr>
        <w:t xml:space="preserve">2- </w:t>
      </w:r>
      <w:r w:rsidR="005C664D" w:rsidRPr="00995B26">
        <w:rPr>
          <w:rFonts w:hint="cs"/>
          <w:rtl/>
        </w:rPr>
        <w:t>خمس أرباح</w:t>
      </w:r>
      <w:bookmarkEnd w:id="94"/>
      <w:r w:rsidRPr="00995B26">
        <w:rPr>
          <w:rFonts w:hint="cs"/>
          <w:rtl/>
        </w:rPr>
        <w:t xml:space="preserve"> المكاسب</w:t>
      </w:r>
      <w:bookmarkEnd w:id="95"/>
    </w:p>
    <w:p w:rsidR="005C664D" w:rsidRPr="003F3B94" w:rsidRDefault="005C664D" w:rsidP="003F3B94">
      <w:pPr>
        <w:pStyle w:val="a0"/>
        <w:rPr>
          <w:rFonts w:hint="cs"/>
          <w:rtl/>
        </w:rPr>
      </w:pPr>
      <w:r w:rsidRPr="003F3B94">
        <w:rPr>
          <w:rFonts w:ascii="Abo-thar" w:hAnsi="Abo-thar" w:hint="cs"/>
          <w:sz w:val="28"/>
          <w:rtl/>
        </w:rPr>
        <w:t xml:space="preserve">بالبيان الذي مرَّ معنا اتَّضح تماماً وأصبح من المسلَّمات أن كلمة </w:t>
      </w:r>
      <w:r w:rsidR="00217AB4" w:rsidRPr="003F3B94">
        <w:rPr>
          <w:rFonts w:ascii="Abo-thar" w:hAnsi="Abo-thar" w:hint="cs"/>
          <w:sz w:val="28"/>
          <w:rtl/>
        </w:rPr>
        <w:t>(</w:t>
      </w:r>
      <w:r w:rsidRPr="003F3B94">
        <w:rPr>
          <w:rFonts w:ascii="Abo-thar" w:hAnsi="Abo-thar" w:hint="cs"/>
          <w:sz w:val="28"/>
          <w:rtl/>
        </w:rPr>
        <w:t>الخُمس</w:t>
      </w:r>
      <w:r w:rsidR="00217AB4" w:rsidRPr="003F3B94">
        <w:rPr>
          <w:rFonts w:ascii="Abo-thar" w:hAnsi="Abo-thar" w:hint="cs"/>
          <w:sz w:val="28"/>
          <w:rtl/>
        </w:rPr>
        <w:t>)</w:t>
      </w:r>
      <w:r w:rsidRPr="003F3B94">
        <w:rPr>
          <w:rFonts w:ascii="Abo-thar" w:hAnsi="Abo-thar" w:hint="cs"/>
          <w:sz w:val="28"/>
          <w:rtl/>
        </w:rPr>
        <w:t xml:space="preserve"> التي فرضت في المعادن والكنوز والغوص والمال المختلط بالحرام وأمثالها إنما تشير إلى مقدار الواجب أداؤه من زكاة تلك الأمور</w:t>
      </w:r>
      <w:r w:rsidR="001E0DB7" w:rsidRPr="003F3B94">
        <w:rPr>
          <w:rFonts w:ascii="Abo-thar" w:hAnsi="Abo-thar" w:hint="cs"/>
          <w:sz w:val="28"/>
          <w:rtl/>
        </w:rPr>
        <w:t>،</w:t>
      </w:r>
      <w:r w:rsidRPr="003F3B94">
        <w:rPr>
          <w:rFonts w:ascii="Abo-thar" w:hAnsi="Abo-thar" w:hint="cs"/>
          <w:sz w:val="28"/>
          <w:rtl/>
        </w:rPr>
        <w:t xml:space="preserve"> ومصرف ذلك الخُمس هو مصارف الزكاة عينها بالطبع</w:t>
      </w:r>
      <w:r w:rsidR="001E0DB7" w:rsidRPr="003F3B94">
        <w:rPr>
          <w:rFonts w:ascii="Abo-thar" w:hAnsi="Abo-thar" w:hint="cs"/>
          <w:sz w:val="28"/>
          <w:rtl/>
        </w:rPr>
        <w:t>،</w:t>
      </w:r>
      <w:r w:rsidRPr="003F3B94">
        <w:rPr>
          <w:rFonts w:ascii="Abo-thar" w:hAnsi="Abo-thar" w:hint="cs"/>
          <w:sz w:val="28"/>
          <w:rtl/>
        </w:rPr>
        <w:t xml:space="preserve"> وبنو هاشم وغير بني هاشم في هذا الأمر سواء</w:t>
      </w:r>
      <w:r w:rsidR="00217AB4" w:rsidRPr="003F3B94">
        <w:rPr>
          <w:rFonts w:ascii="Abo-thar" w:hAnsi="Abo-thar" w:hint="cs"/>
          <w:sz w:val="28"/>
          <w:rtl/>
        </w:rPr>
        <w:t>.</w:t>
      </w:r>
      <w:r w:rsidRPr="003F3B94">
        <w:rPr>
          <w:rFonts w:ascii="Abo-thar" w:hAnsi="Abo-thar" w:hint="cs"/>
          <w:sz w:val="28"/>
          <w:rtl/>
        </w:rPr>
        <w:t xml:space="preserve"> </w:t>
      </w:r>
    </w:p>
    <w:p w:rsidR="005C664D" w:rsidRPr="00995B26" w:rsidRDefault="005C664D" w:rsidP="003F3B94">
      <w:pPr>
        <w:pStyle w:val="a0"/>
        <w:rPr>
          <w:rFonts w:hint="cs"/>
          <w:rtl/>
        </w:rPr>
      </w:pPr>
      <w:r w:rsidRPr="003F3B94">
        <w:rPr>
          <w:rFonts w:ascii="Abo-thar" w:hAnsi="Abo-thar" w:hint="cs"/>
          <w:sz w:val="28"/>
          <w:rtl/>
        </w:rPr>
        <w:t>أما الخُمس الذي حُدّد في الأخبار أنه لذوي قربى رسول الله</w:t>
      </w:r>
      <w:r w:rsidR="00147857" w:rsidRPr="003F3B94">
        <w:rPr>
          <w:rFonts w:ascii="Abo-thar" w:hAnsi="Abo-thar" w:hint="cs"/>
          <w:sz w:val="28"/>
          <w:rtl/>
        </w:rPr>
        <w:t xml:space="preserve"> </w:t>
      </w:r>
      <w:r w:rsidR="003C7AEB" w:rsidRPr="003C7AEB">
        <w:rPr>
          <w:rFonts w:ascii="Abo-thar" w:hAnsi="Abo-thar" w:cs="CTraditional Arabic"/>
          <w:sz w:val="28"/>
          <w:rtl/>
        </w:rPr>
        <w:t>ص</w:t>
      </w:r>
      <w:r w:rsidR="00147857" w:rsidRPr="003F3B94">
        <w:rPr>
          <w:rFonts w:ascii="Abo-thar" w:hAnsi="Abo-thar"/>
          <w:sz w:val="28"/>
          <w:rtl/>
        </w:rPr>
        <w:t xml:space="preserve"> </w:t>
      </w:r>
      <w:r w:rsidRPr="003F3B94">
        <w:rPr>
          <w:rFonts w:ascii="Abo-thar" w:hAnsi="Abo-thar" w:hint="cs"/>
          <w:sz w:val="28"/>
          <w:rtl/>
        </w:rPr>
        <w:t>فهو خمس غنائم دار الحرب ذاته والذي لم يُعْطَ بعد رحيل رسول الله</w:t>
      </w:r>
      <w:r w:rsidR="00147857" w:rsidRPr="003F3B94">
        <w:rPr>
          <w:rFonts w:ascii="Abo-thar" w:hAnsi="Abo-thar" w:hint="cs"/>
          <w:sz w:val="28"/>
          <w:rtl/>
        </w:rPr>
        <w:t xml:space="preserve"> </w:t>
      </w:r>
      <w:r w:rsidR="003C7AEB" w:rsidRPr="003C7AEB">
        <w:rPr>
          <w:rFonts w:ascii="Abo-thar" w:hAnsi="Abo-thar" w:cs="CTraditional Arabic"/>
          <w:sz w:val="28"/>
          <w:rtl/>
        </w:rPr>
        <w:t>ص</w:t>
      </w:r>
      <w:r w:rsidR="00147857" w:rsidRPr="003F3B94">
        <w:rPr>
          <w:rFonts w:ascii="Abo-thar" w:hAnsi="Abo-thar"/>
          <w:sz w:val="28"/>
          <w:rtl/>
        </w:rPr>
        <w:t xml:space="preserve"> </w:t>
      </w:r>
      <w:r w:rsidRPr="003F3B94">
        <w:rPr>
          <w:rFonts w:ascii="Abo-thar" w:hAnsi="Abo-thar" w:hint="cs"/>
          <w:sz w:val="28"/>
          <w:rtl/>
        </w:rPr>
        <w:t>لأي أحد من قرابته</w:t>
      </w:r>
      <w:r w:rsidR="001E0DB7" w:rsidRPr="003F3B94">
        <w:rPr>
          <w:rFonts w:ascii="Abo-thar" w:hAnsi="Abo-thar" w:hint="cs"/>
          <w:sz w:val="28"/>
          <w:rtl/>
        </w:rPr>
        <w:t>،</w:t>
      </w:r>
      <w:r w:rsidRPr="003F3B94">
        <w:rPr>
          <w:rFonts w:ascii="Abo-thar" w:hAnsi="Abo-thar" w:hint="cs"/>
          <w:sz w:val="28"/>
          <w:rtl/>
        </w:rPr>
        <w:t xml:space="preserve"> ولا أثر له في تاريخ المسلمين وسيرتهم</w:t>
      </w:r>
      <w:r w:rsidR="00217AB4" w:rsidRPr="003F3B94">
        <w:rPr>
          <w:rFonts w:ascii="Abo-thar" w:hAnsi="Abo-thar" w:hint="cs"/>
          <w:sz w:val="28"/>
          <w:rtl/>
        </w:rPr>
        <w:t>!</w:t>
      </w:r>
      <w:r w:rsidRPr="003F3B94">
        <w:rPr>
          <w:rFonts w:ascii="Abo-thar" w:hAnsi="Abo-thar" w:hint="cs"/>
          <w:sz w:val="28"/>
          <w:rtl/>
        </w:rPr>
        <w:t xml:space="preserve"> أما خمس أرباح المكاسب الذي راج في زماننا والذي يدعو إليه فقهاء الشيعة ويدافعون عنه بكل شدَّة وحماس وجعلوه مختصاً حصراً ببني هاشم ويعزلون منه أيضاً سهم الإمام</w:t>
      </w:r>
      <w:r w:rsidR="00217AB4" w:rsidRPr="003F3B94">
        <w:rPr>
          <w:rFonts w:ascii="Abo-thar" w:hAnsi="Abo-thar" w:hint="cs"/>
          <w:sz w:val="28"/>
          <w:rtl/>
        </w:rPr>
        <w:t>!</w:t>
      </w:r>
      <w:r w:rsidRPr="003F3B94">
        <w:rPr>
          <w:rFonts w:ascii="Abo-thar" w:hAnsi="Abo-thar" w:hint="cs"/>
          <w:sz w:val="28"/>
          <w:rtl/>
        </w:rPr>
        <w:t xml:space="preserve"> فليس هناك أي دليل يصدقه لا</w:t>
      </w:r>
      <w:r w:rsidRPr="003F3B94">
        <w:rPr>
          <w:rFonts w:cs="Times New Roman" w:hint="cs"/>
          <w:sz w:val="28"/>
          <w:rtl/>
        </w:rPr>
        <w:t> </w:t>
      </w:r>
      <w:r w:rsidRPr="003F3B94">
        <w:rPr>
          <w:rFonts w:ascii="Abo-thar" w:hAnsi="Abo-thar" w:hint="cs"/>
          <w:sz w:val="28"/>
          <w:rtl/>
        </w:rPr>
        <w:t>في كتاب الله ولا في سنة رسوله ولا في عمل مسلمي صدر الإسلام بل حتى ليس هناك ما يصدقه في الأحاديث بصرف النظر عن ضعفها</w:t>
      </w:r>
      <w:r w:rsidR="00217AB4" w:rsidRPr="003F3B94">
        <w:rPr>
          <w:rFonts w:ascii="Abo-thar" w:hAnsi="Abo-thar" w:hint="cs"/>
          <w:sz w:val="28"/>
          <w:rtl/>
        </w:rPr>
        <w:t>.</w:t>
      </w:r>
      <w:r w:rsidRPr="003F3B94">
        <w:rPr>
          <w:rFonts w:ascii="Abo-thar" w:hAnsi="Abo-thar" w:hint="cs"/>
          <w:sz w:val="28"/>
          <w:rtl/>
        </w:rPr>
        <w:t xml:space="preserve"> أما محاولة بعض الفقهاء التمسك بعموم عبارة</w:t>
      </w:r>
      <w:r w:rsidR="00B06788" w:rsidRPr="003F3B94">
        <w:rPr>
          <w:rFonts w:ascii="Abo-thar" w:hAnsi="Abo-thar" w:hint="cs"/>
          <w:sz w:val="28"/>
          <w:rtl/>
        </w:rPr>
        <w:t xml:space="preserve"> </w:t>
      </w:r>
      <w:r w:rsidR="00B06788" w:rsidRPr="00995B26">
        <w:rPr>
          <w:rFonts w:ascii="Abo-thar" w:hAnsi="Abo-thar" w:cs="Traditional Arabic" w:hint="cs"/>
          <w:sz w:val="28"/>
          <w:rtl/>
        </w:rPr>
        <w:t>﴿</w:t>
      </w:r>
      <w:r w:rsidR="00B06788" w:rsidRPr="0067048A">
        <w:rPr>
          <w:rFonts w:ascii="KFGQPC Uthmanic Script HAFS" w:cs="KFGQPC Uthmanic Script HAFS" w:hint="eastAsia"/>
          <w:sz w:val="28"/>
          <w:szCs w:val="28"/>
          <w:rtl/>
        </w:rPr>
        <w:t>غَنِم</w:t>
      </w:r>
      <w:r w:rsidR="00B06788" w:rsidRPr="0067048A">
        <w:rPr>
          <w:rFonts w:ascii="KFGQPC Uthmanic Script HAFS" w:cs="KFGQPC Uthmanic Script HAFS" w:hint="cs"/>
          <w:sz w:val="28"/>
          <w:szCs w:val="28"/>
          <w:rtl/>
        </w:rPr>
        <w:t>ۡ</w:t>
      </w:r>
      <w:r w:rsidR="00B06788" w:rsidRPr="0067048A">
        <w:rPr>
          <w:rFonts w:ascii="KFGQPC Uthmanic Script HAFS" w:cs="KFGQPC Uthmanic Script HAFS" w:hint="eastAsia"/>
          <w:sz w:val="28"/>
          <w:szCs w:val="28"/>
          <w:rtl/>
        </w:rPr>
        <w:t>تُم</w:t>
      </w:r>
      <w:r w:rsidR="00B06788" w:rsidRPr="0067048A">
        <w:rPr>
          <w:rFonts w:ascii="KFGQPC Uthmanic Script HAFS" w:cs="KFGQPC Uthmanic Script HAFS"/>
          <w:sz w:val="28"/>
          <w:szCs w:val="28"/>
          <w:rtl/>
        </w:rPr>
        <w:t xml:space="preserve"> </w:t>
      </w:r>
      <w:r w:rsidR="00B06788" w:rsidRPr="0067048A">
        <w:rPr>
          <w:rFonts w:ascii="KFGQPC Uthmanic Script HAFS" w:cs="KFGQPC Uthmanic Script HAFS" w:hint="eastAsia"/>
          <w:sz w:val="28"/>
          <w:szCs w:val="28"/>
          <w:rtl/>
        </w:rPr>
        <w:t>مِّن</w:t>
      </w:r>
      <w:r w:rsidR="00B06788" w:rsidRPr="0067048A">
        <w:rPr>
          <w:rFonts w:ascii="KFGQPC Uthmanic Script HAFS" w:cs="KFGQPC Uthmanic Script HAFS"/>
          <w:sz w:val="28"/>
          <w:szCs w:val="28"/>
          <w:rtl/>
        </w:rPr>
        <w:t xml:space="preserve"> </w:t>
      </w:r>
      <w:r w:rsidR="00B06788" w:rsidRPr="0067048A">
        <w:rPr>
          <w:rFonts w:ascii="KFGQPC Uthmanic Script HAFS" w:cs="KFGQPC Uthmanic Script HAFS" w:hint="eastAsia"/>
          <w:sz w:val="28"/>
          <w:szCs w:val="28"/>
          <w:rtl/>
        </w:rPr>
        <w:t>شَي</w:t>
      </w:r>
      <w:r w:rsidR="00B06788" w:rsidRPr="0067048A">
        <w:rPr>
          <w:rFonts w:ascii="KFGQPC Uthmanic Script HAFS" w:cs="KFGQPC Uthmanic Script HAFS" w:hint="cs"/>
          <w:sz w:val="28"/>
          <w:szCs w:val="28"/>
          <w:rtl/>
        </w:rPr>
        <w:t>ۡ</w:t>
      </w:r>
      <w:r w:rsidR="00B06788" w:rsidRPr="0067048A">
        <w:rPr>
          <w:rFonts w:ascii="KFGQPC Uthmanic Script HAFS" w:cs="KFGQPC Uthmanic Script HAFS" w:hint="eastAsia"/>
          <w:sz w:val="28"/>
          <w:szCs w:val="28"/>
          <w:rtl/>
        </w:rPr>
        <w:t>ء</w:t>
      </w:r>
      <w:r w:rsidR="00B06788" w:rsidRPr="0067048A">
        <w:rPr>
          <w:rFonts w:ascii="KFGQPC Uthmanic Script HAFS" w:cs="KFGQPC Uthmanic Script HAFS" w:hint="cs"/>
          <w:sz w:val="28"/>
          <w:szCs w:val="28"/>
          <w:rtl/>
        </w:rPr>
        <w:t>ٖ</w:t>
      </w:r>
      <w:r w:rsidR="00B06788" w:rsidRPr="00995B26">
        <w:rPr>
          <w:rFonts w:ascii="Abo-thar" w:hAnsi="Abo-thar" w:cs="Traditional Arabic" w:hint="cs"/>
          <w:sz w:val="28"/>
          <w:rtl/>
        </w:rPr>
        <w:t>﴾</w:t>
      </w:r>
      <w:r w:rsidR="00B06788" w:rsidRPr="00995B26">
        <w:rPr>
          <w:rFonts w:ascii="Abo-thar" w:hAnsi="Abo-thar" w:hint="cs"/>
          <w:sz w:val="28"/>
          <w:rtl/>
        </w:rPr>
        <w:t xml:space="preserve"> </w:t>
      </w:r>
      <w:r w:rsidRPr="00995B26">
        <w:rPr>
          <w:rFonts w:ascii="Abo-thar" w:hAnsi="Abo-thar" w:hint="cs"/>
          <w:sz w:val="28"/>
          <w:rtl/>
        </w:rPr>
        <w:t>والاستدلال بها على خُمس المكاسب والأرباح</w:t>
      </w:r>
      <w:r w:rsidR="001E0DB7" w:rsidRPr="00995B26">
        <w:rPr>
          <w:rFonts w:ascii="Abo-thar" w:hAnsi="Abo-thar" w:hint="cs"/>
          <w:sz w:val="28"/>
          <w:rtl/>
        </w:rPr>
        <w:t>،</w:t>
      </w:r>
      <w:r w:rsidRPr="00995B26">
        <w:rPr>
          <w:rFonts w:ascii="Abo-thar" w:hAnsi="Abo-thar" w:hint="cs"/>
          <w:sz w:val="28"/>
          <w:rtl/>
        </w:rPr>
        <w:t xml:space="preserve"> فهي تَنَكُّبٌ عن الصراط وتَجَاوُزٌ للحقيقة</w:t>
      </w:r>
      <w:r w:rsidR="001E0DB7" w:rsidRPr="00995B26">
        <w:rPr>
          <w:rFonts w:ascii="Abo-thar" w:hAnsi="Abo-thar" w:hint="cs"/>
          <w:sz w:val="28"/>
          <w:rtl/>
        </w:rPr>
        <w:t>،</w:t>
      </w:r>
      <w:r w:rsidRPr="00995B26">
        <w:rPr>
          <w:rFonts w:ascii="Abo-thar" w:hAnsi="Abo-thar" w:hint="cs"/>
          <w:sz w:val="28"/>
          <w:rtl/>
        </w:rPr>
        <w:t xml:space="preserve"> وقد أوردنا فيما سبق بيانات عدة من علماء الشيعة الذي صرحوا بأن مثل هذا الاستدلال بكلمة</w:t>
      </w:r>
      <w:r w:rsidR="00B06788" w:rsidRPr="00995B26">
        <w:rPr>
          <w:rFonts w:ascii="Abo-thar" w:hAnsi="Abo-thar" w:hint="cs"/>
          <w:sz w:val="28"/>
          <w:rtl/>
        </w:rPr>
        <w:t xml:space="preserve"> </w:t>
      </w:r>
      <w:r w:rsidR="00B06788" w:rsidRPr="00995B26">
        <w:rPr>
          <w:rFonts w:ascii="Abo-thar" w:hAnsi="Abo-thar" w:cs="Traditional Arabic" w:hint="cs"/>
          <w:sz w:val="28"/>
          <w:rtl/>
        </w:rPr>
        <w:t>﴿</w:t>
      </w:r>
      <w:r w:rsidR="00B06788" w:rsidRPr="0067048A">
        <w:rPr>
          <w:rFonts w:ascii="KFGQPC Uthmanic Script HAFS" w:cs="KFGQPC Uthmanic Script HAFS" w:hint="eastAsia"/>
          <w:sz w:val="28"/>
          <w:szCs w:val="28"/>
          <w:rtl/>
        </w:rPr>
        <w:t>غَنِم</w:t>
      </w:r>
      <w:r w:rsidR="00B06788" w:rsidRPr="0067048A">
        <w:rPr>
          <w:rFonts w:ascii="KFGQPC Uthmanic Script HAFS" w:cs="KFGQPC Uthmanic Script HAFS" w:hint="cs"/>
          <w:sz w:val="28"/>
          <w:szCs w:val="28"/>
          <w:rtl/>
        </w:rPr>
        <w:t>ۡ</w:t>
      </w:r>
      <w:r w:rsidR="00B06788" w:rsidRPr="0067048A">
        <w:rPr>
          <w:rFonts w:ascii="KFGQPC Uthmanic Script HAFS" w:cs="KFGQPC Uthmanic Script HAFS" w:hint="eastAsia"/>
          <w:sz w:val="28"/>
          <w:szCs w:val="28"/>
          <w:rtl/>
        </w:rPr>
        <w:t>تُم</w:t>
      </w:r>
      <w:r w:rsidR="00B06788" w:rsidRPr="00995B26">
        <w:rPr>
          <w:rFonts w:ascii="Abo-thar" w:hAnsi="Abo-thar" w:cs="Traditional Arabic" w:hint="cs"/>
          <w:sz w:val="28"/>
          <w:rtl/>
        </w:rPr>
        <w:t>﴾</w:t>
      </w:r>
      <w:r w:rsidRPr="00995B26">
        <w:rPr>
          <w:rFonts w:ascii="Abo-thar" w:hAnsi="Abo-thar" w:hint="cs"/>
          <w:sz w:val="28"/>
          <w:rtl/>
        </w:rPr>
        <w:t xml:space="preserve"> استدلال خاطئ وغير صحيح</w:t>
      </w:r>
      <w:r w:rsidR="00217AB4" w:rsidRPr="00995B26">
        <w:rPr>
          <w:rFonts w:ascii="Abo-thar" w:hAnsi="Abo-thar" w:hint="cs"/>
          <w:sz w:val="28"/>
          <w:rtl/>
        </w:rPr>
        <w:t>!</w:t>
      </w:r>
      <w:r w:rsidRPr="00995B26">
        <w:rPr>
          <w:rFonts w:ascii="Abo-thar" w:hAnsi="Abo-thar" w:hint="cs"/>
          <w:sz w:val="28"/>
          <w:rtl/>
        </w:rPr>
        <w:t xml:space="preserve"> </w:t>
      </w:r>
    </w:p>
    <w:p w:rsidR="005C664D" w:rsidRPr="003F3B94" w:rsidRDefault="005C664D" w:rsidP="003F3B94">
      <w:pPr>
        <w:pStyle w:val="a0"/>
        <w:rPr>
          <w:rFonts w:hint="cs"/>
          <w:rtl/>
        </w:rPr>
      </w:pPr>
      <w:r w:rsidRPr="003F3B94">
        <w:rPr>
          <w:rFonts w:ascii="Abo-thar" w:hAnsi="Abo-thar" w:hint="cs"/>
          <w:sz w:val="28"/>
          <w:rtl/>
        </w:rPr>
        <w:t xml:space="preserve">ولا يوجد في تاريخ الخلفاء </w:t>
      </w:r>
      <w:r w:rsidRPr="003F3B94">
        <w:rPr>
          <w:rFonts w:cs="Times New Roman" w:hint="cs"/>
          <w:sz w:val="28"/>
          <w:rtl/>
        </w:rPr>
        <w:t>–</w:t>
      </w:r>
      <w:r w:rsidRPr="003F3B94">
        <w:rPr>
          <w:rFonts w:ascii="Abo-thar" w:hAnsi="Abo-thar" w:hint="cs"/>
          <w:sz w:val="28"/>
          <w:rtl/>
        </w:rPr>
        <w:t xml:space="preserve"> سواء كانوا خلفاء بحق أم بباطل </w:t>
      </w:r>
      <w:r w:rsidRPr="003F3B94">
        <w:rPr>
          <w:rFonts w:cs="Times New Roman" w:hint="cs"/>
          <w:sz w:val="28"/>
          <w:rtl/>
        </w:rPr>
        <w:t>–</w:t>
      </w:r>
      <w:r w:rsidRPr="003F3B94">
        <w:rPr>
          <w:rFonts w:ascii="Abo-thar" w:hAnsi="Abo-thar" w:hint="cs"/>
          <w:sz w:val="28"/>
          <w:rtl/>
        </w:rPr>
        <w:t xml:space="preserve"> أدنى أثر أو خبر يفيد أنه كان يؤخذ من أرباح مكاسب المسلمين دينار واحد باسم الخُمس</w:t>
      </w:r>
      <w:r w:rsidR="00217AB4" w:rsidRPr="003F3B94">
        <w:rPr>
          <w:rFonts w:ascii="Abo-thar" w:hAnsi="Abo-thar" w:hint="cs"/>
          <w:sz w:val="28"/>
          <w:rtl/>
        </w:rPr>
        <w:t>!</w:t>
      </w:r>
      <w:r w:rsidRPr="003F3B94">
        <w:rPr>
          <w:rFonts w:ascii="Abo-thar" w:hAnsi="Abo-thar" w:hint="cs"/>
          <w:sz w:val="28"/>
          <w:rtl/>
        </w:rPr>
        <w:t xml:space="preserve"> وكما ذكر المرحوم المقدس الأردبيلي في </w:t>
      </w:r>
      <w:r w:rsidRPr="003F3B94">
        <w:rPr>
          <w:rFonts w:ascii="Abo-thar" w:hAnsi="Abo-thar" w:hint="eastAsia"/>
          <w:sz w:val="28"/>
          <w:rtl/>
        </w:rPr>
        <w:t>«</w:t>
      </w:r>
      <w:r w:rsidRPr="003F3B94">
        <w:rPr>
          <w:rFonts w:ascii="Abo-thar" w:hAnsi="Abo-thar" w:hint="cs"/>
          <w:sz w:val="28"/>
          <w:rtl/>
        </w:rPr>
        <w:t>زبدة البيان</w:t>
      </w:r>
      <w:r w:rsidRPr="003F3B94">
        <w:rPr>
          <w:rFonts w:ascii="Abo-thar" w:hAnsi="Abo-thar" w:hint="eastAsia"/>
          <w:sz w:val="28"/>
          <w:rtl/>
        </w:rPr>
        <w:t>»</w:t>
      </w:r>
      <w:r w:rsidRPr="003F3B94">
        <w:rPr>
          <w:rFonts w:ascii="Abo-thar" w:hAnsi="Abo-thar" w:hint="cs"/>
          <w:sz w:val="28"/>
          <w:rtl/>
        </w:rPr>
        <w:t xml:space="preserve"> فإن إيجاب مثل هذا الخُمس هو بحد ذاته </w:t>
      </w:r>
      <w:r w:rsidR="00EF2588" w:rsidRPr="003F3B94">
        <w:rPr>
          <w:rFonts w:ascii="Abo-thar" w:hAnsi="Abo-thar" w:hint="cs"/>
          <w:sz w:val="28"/>
          <w:rtl/>
        </w:rPr>
        <w:t>«</w:t>
      </w:r>
      <w:r w:rsidRPr="003F3B94">
        <w:rPr>
          <w:rFonts w:ascii="Abo-thar" w:hAnsi="Abo-thar"/>
          <w:bCs/>
          <w:sz w:val="28"/>
          <w:rtl/>
        </w:rPr>
        <w:t>تكليف شاق</w:t>
      </w:r>
      <w:r w:rsidR="00217AB4" w:rsidRPr="003F3B94">
        <w:rPr>
          <w:rFonts w:ascii="Abo-thar" w:hAnsi="Abo-thar"/>
          <w:bCs/>
          <w:sz w:val="28"/>
          <w:rtl/>
        </w:rPr>
        <w:t>،</w:t>
      </w:r>
      <w:r w:rsidRPr="003F3B94">
        <w:rPr>
          <w:rFonts w:ascii="Abo-thar" w:hAnsi="Abo-thar"/>
          <w:bCs/>
          <w:sz w:val="28"/>
          <w:rtl/>
        </w:rPr>
        <w:t xml:space="preserve"> وإلزام شخص ب</w:t>
      </w:r>
      <w:r w:rsidRPr="003F3B94">
        <w:rPr>
          <w:rFonts w:ascii="Abo-thar" w:hAnsi="Abo-thar" w:hint="cs"/>
          <w:bCs/>
          <w:sz w:val="28"/>
          <w:rtl/>
        </w:rPr>
        <w:t>إ</w:t>
      </w:r>
      <w:r w:rsidRPr="003F3B94">
        <w:rPr>
          <w:rFonts w:ascii="Abo-thar" w:hAnsi="Abo-thar"/>
          <w:bCs/>
          <w:sz w:val="28"/>
          <w:rtl/>
        </w:rPr>
        <w:t>خراج خمس جميع ما يملكه بمثله مشكل</w:t>
      </w:r>
      <w:r w:rsidR="00217AB4" w:rsidRPr="003F3B94">
        <w:rPr>
          <w:rFonts w:ascii="Abo-thar" w:hAnsi="Abo-thar"/>
          <w:bCs/>
          <w:sz w:val="28"/>
          <w:rtl/>
        </w:rPr>
        <w:t>،</w:t>
      </w:r>
      <w:r w:rsidRPr="003F3B94">
        <w:rPr>
          <w:rFonts w:ascii="Abo-thar" w:hAnsi="Abo-thar"/>
          <w:bCs/>
          <w:sz w:val="28"/>
          <w:rtl/>
        </w:rPr>
        <w:t xml:space="preserve"> و</w:t>
      </w:r>
      <w:r w:rsidRPr="003F3B94">
        <w:rPr>
          <w:rFonts w:ascii="Abo-thar" w:hAnsi="Abo-thar" w:hint="cs"/>
          <w:bCs/>
          <w:sz w:val="28"/>
          <w:rtl/>
        </w:rPr>
        <w:t>الأصل</w:t>
      </w:r>
      <w:r w:rsidRPr="003F3B94">
        <w:rPr>
          <w:rFonts w:ascii="Abo-thar" w:hAnsi="Abo-thar"/>
          <w:bCs/>
          <w:sz w:val="28"/>
          <w:rtl/>
        </w:rPr>
        <w:t xml:space="preserve"> والشريعة السهلة السمحة ينفيانه</w:t>
      </w:r>
      <w:r w:rsidR="00217AB4" w:rsidRPr="003F3B94">
        <w:rPr>
          <w:rFonts w:ascii="Abo-thar" w:hAnsi="Abo-thar" w:hint="cs"/>
          <w:bCs/>
          <w:sz w:val="28"/>
          <w:rtl/>
        </w:rPr>
        <w:t>..</w:t>
      </w:r>
      <w:r w:rsidR="00EF2588" w:rsidRPr="003F3B94">
        <w:rPr>
          <w:rFonts w:ascii="Abo-thar" w:hAnsi="Abo-thar" w:hint="cs"/>
          <w:sz w:val="28"/>
          <w:rtl/>
        </w:rPr>
        <w:t>»</w:t>
      </w:r>
      <w:r w:rsidR="007638F8" w:rsidRPr="0021507A">
        <w:rPr>
          <w:rFonts w:ascii="Abo-thar" w:hAnsi="Abo-thar" w:cs="Arabic11 BT"/>
          <w:sz w:val="28"/>
          <w:vertAlign w:val="superscript"/>
          <w:rtl/>
        </w:rPr>
        <w:t>(</w:t>
      </w:r>
      <w:r w:rsidR="007638F8" w:rsidRPr="0021507A">
        <w:rPr>
          <w:rStyle w:val="FootnoteReference"/>
          <w:rFonts w:ascii="Abo-thar" w:hAnsi="Abo-thar" w:cs="Arabic11 BT"/>
          <w:sz w:val="28"/>
          <w:rtl/>
        </w:rPr>
        <w:footnoteReference w:id="253"/>
      </w:r>
      <w:r w:rsidR="007638F8" w:rsidRPr="0021507A">
        <w:rPr>
          <w:rFonts w:ascii="Abo-thar" w:hAnsi="Abo-thar" w:cs="Arabic11 BT"/>
          <w:sz w:val="28"/>
          <w:vertAlign w:val="superscript"/>
          <w:rtl/>
        </w:rPr>
        <w:t>)</w:t>
      </w:r>
      <w:r w:rsidR="00217AB4" w:rsidRPr="003F3B94">
        <w:rPr>
          <w:rFonts w:ascii="Abo-thar" w:hAnsi="Abo-thar" w:hint="cs"/>
          <w:sz w:val="28"/>
          <w:rtl/>
        </w:rPr>
        <w:t>.</w:t>
      </w:r>
      <w:r w:rsidRPr="003F3B94">
        <w:rPr>
          <w:rFonts w:ascii="Abo-thar" w:hAnsi="Abo-thar" w:hint="cs"/>
          <w:sz w:val="28"/>
          <w:rtl/>
        </w:rPr>
        <w:t xml:space="preserve"> </w:t>
      </w:r>
    </w:p>
    <w:p w:rsidR="005C664D" w:rsidRPr="003F3B94" w:rsidRDefault="005C664D" w:rsidP="003F3B94">
      <w:pPr>
        <w:pStyle w:val="a0"/>
        <w:rPr>
          <w:rFonts w:hint="cs"/>
          <w:rtl/>
        </w:rPr>
      </w:pPr>
      <w:r w:rsidRPr="003F3B94">
        <w:rPr>
          <w:rFonts w:ascii="Abo-thar" w:hAnsi="Abo-thar" w:hint="cs"/>
          <w:sz w:val="28"/>
          <w:rtl/>
        </w:rPr>
        <w:t>وقد جاءت أخبار في خصوص وجوب الخُمس في الكتب المعتمدة لدى الشيعة مثل</w:t>
      </w:r>
      <w:r w:rsidR="00217AB4" w:rsidRPr="003F3B94">
        <w:rPr>
          <w:rFonts w:ascii="Abo-thar" w:hAnsi="Abo-thar" w:hint="cs"/>
          <w:sz w:val="28"/>
          <w:rtl/>
        </w:rPr>
        <w:t>:</w:t>
      </w:r>
      <w:r w:rsidRPr="003F3B94">
        <w:rPr>
          <w:rFonts w:ascii="Abo-thar" w:hAnsi="Abo-thar" w:hint="cs"/>
          <w:sz w:val="28"/>
          <w:rtl/>
        </w:rPr>
        <w:t xml:space="preserve"> الكافي ومن لا يحضره الفقيه والتهذيب والاستبصار وسائر كتب الشيخ الصدوق مثل</w:t>
      </w:r>
      <w:r w:rsidR="00217AB4" w:rsidRPr="003F3B94">
        <w:rPr>
          <w:rFonts w:ascii="Abo-thar" w:hAnsi="Abo-thar" w:hint="cs"/>
          <w:sz w:val="28"/>
          <w:rtl/>
        </w:rPr>
        <w:t>:</w:t>
      </w:r>
      <w:r w:rsidRPr="003F3B94">
        <w:rPr>
          <w:rFonts w:ascii="Abo-thar" w:hAnsi="Abo-thar" w:hint="cs"/>
          <w:sz w:val="28"/>
          <w:rtl/>
        </w:rPr>
        <w:t xml:space="preserve"> المجالس </w:t>
      </w:r>
      <w:r w:rsidR="00217AB4" w:rsidRPr="003F3B94">
        <w:rPr>
          <w:rFonts w:ascii="Abo-thar" w:hAnsi="Abo-thar" w:hint="cs"/>
          <w:sz w:val="28"/>
          <w:rtl/>
        </w:rPr>
        <w:t>(</w:t>
      </w:r>
      <w:r w:rsidRPr="003F3B94">
        <w:rPr>
          <w:rFonts w:ascii="Abo-thar" w:hAnsi="Abo-thar" w:hint="cs"/>
          <w:sz w:val="28"/>
          <w:rtl/>
        </w:rPr>
        <w:t>الأمالي</w:t>
      </w:r>
      <w:r w:rsidR="00217AB4" w:rsidRPr="003F3B94">
        <w:rPr>
          <w:rFonts w:ascii="Abo-thar" w:hAnsi="Abo-thar" w:hint="cs"/>
          <w:sz w:val="28"/>
          <w:rtl/>
        </w:rPr>
        <w:t>)</w:t>
      </w:r>
      <w:r w:rsidRPr="003F3B94">
        <w:rPr>
          <w:rFonts w:ascii="Abo-thar" w:hAnsi="Abo-thar" w:hint="cs"/>
          <w:sz w:val="28"/>
          <w:rtl/>
        </w:rPr>
        <w:t xml:space="preserve"> والمقنع وعيون أخبار الرضا</w:t>
      </w:r>
      <w:r w:rsidR="00147857" w:rsidRPr="003F3B94">
        <w:rPr>
          <w:rFonts w:ascii="Abo-thar" w:hAnsi="Abo-thar" w:hint="cs"/>
          <w:sz w:val="28"/>
          <w:rtl/>
        </w:rPr>
        <w:t xml:space="preserve"> </w:t>
      </w:r>
      <w:r w:rsidR="003C7AEB" w:rsidRPr="003C7AEB">
        <w:rPr>
          <w:rFonts w:ascii="Abo-thar" w:hAnsi="Abo-thar" w:cs="CTraditional Arabic"/>
          <w:sz w:val="28"/>
          <w:rtl/>
        </w:rPr>
        <w:t>÷</w:t>
      </w:r>
      <w:r w:rsidR="00147857" w:rsidRPr="003F3B94">
        <w:rPr>
          <w:rFonts w:ascii="Abo-thar" w:hAnsi="Abo-thar"/>
          <w:sz w:val="28"/>
          <w:rtl/>
        </w:rPr>
        <w:t xml:space="preserve"> </w:t>
      </w:r>
      <w:r w:rsidRPr="003F3B94">
        <w:rPr>
          <w:rFonts w:ascii="Abo-thar" w:hAnsi="Abo-thar" w:hint="cs"/>
          <w:sz w:val="28"/>
          <w:rtl/>
        </w:rPr>
        <w:t>وغيرها</w:t>
      </w:r>
      <w:r w:rsidR="001E0DB7" w:rsidRPr="003F3B94">
        <w:rPr>
          <w:rFonts w:ascii="Abo-thar" w:hAnsi="Abo-thar" w:hint="cs"/>
          <w:sz w:val="28"/>
          <w:rtl/>
        </w:rPr>
        <w:t>،</w:t>
      </w:r>
      <w:r w:rsidRPr="003F3B94">
        <w:rPr>
          <w:rFonts w:ascii="Abo-thar" w:hAnsi="Abo-thar" w:hint="cs"/>
          <w:sz w:val="28"/>
          <w:rtl/>
        </w:rPr>
        <w:t xml:space="preserve"> وقد جمعها كلها الشيخ الحر العاملي في </w:t>
      </w:r>
      <w:r w:rsidRPr="003F3B94">
        <w:rPr>
          <w:rFonts w:ascii="Abo-thar" w:hAnsi="Abo-thar" w:hint="eastAsia"/>
          <w:sz w:val="28"/>
          <w:rtl/>
        </w:rPr>
        <w:t>«</w:t>
      </w:r>
      <w:r w:rsidRPr="003F3B94">
        <w:rPr>
          <w:rFonts w:ascii="Abo-thar" w:hAnsi="Abo-thar" w:hint="cs"/>
          <w:sz w:val="28"/>
          <w:rtl/>
        </w:rPr>
        <w:t>وسائل الشيعة</w:t>
      </w:r>
      <w:r w:rsidRPr="003F3B94">
        <w:rPr>
          <w:rFonts w:ascii="Abo-thar" w:hAnsi="Abo-thar" w:hint="eastAsia"/>
          <w:sz w:val="28"/>
          <w:rtl/>
        </w:rPr>
        <w:t>»</w:t>
      </w:r>
      <w:r w:rsidRPr="003F3B94">
        <w:rPr>
          <w:rFonts w:ascii="Abo-thar" w:hAnsi="Abo-thar" w:hint="cs"/>
          <w:sz w:val="28"/>
          <w:rtl/>
        </w:rPr>
        <w:t xml:space="preserve"> وكلُّها بلا استثناء أحاديث معلولة وضعيفة ومجهولة ومرسلة أي واهية من حيث سندها</w:t>
      </w:r>
      <w:r w:rsidR="001E0DB7" w:rsidRPr="003F3B94">
        <w:rPr>
          <w:rFonts w:ascii="Abo-thar" w:hAnsi="Abo-thar" w:hint="cs"/>
          <w:sz w:val="28"/>
          <w:rtl/>
        </w:rPr>
        <w:t>،</w:t>
      </w:r>
      <w:r w:rsidRPr="003F3B94">
        <w:rPr>
          <w:rFonts w:ascii="Abo-thar" w:hAnsi="Abo-thar" w:hint="cs"/>
          <w:sz w:val="28"/>
          <w:rtl/>
        </w:rPr>
        <w:t xml:space="preserve"> ولا يصح من كل تلك الأحاديث حتى حديث واحد</w:t>
      </w:r>
      <w:r w:rsidR="00217AB4" w:rsidRPr="003F3B94">
        <w:rPr>
          <w:rFonts w:ascii="Abo-thar" w:hAnsi="Abo-thar" w:hint="cs"/>
          <w:sz w:val="28"/>
          <w:rtl/>
        </w:rPr>
        <w:t>!!!</w:t>
      </w:r>
      <w:r w:rsidR="00217AB4" w:rsidRPr="0021507A">
        <w:rPr>
          <w:rFonts w:cs="Arabic11 BT"/>
          <w:b/>
          <w:sz w:val="28"/>
          <w:vertAlign w:val="superscript"/>
          <w:rtl/>
        </w:rPr>
        <w:t>(</w:t>
      </w:r>
      <w:r w:rsidRPr="0021507A">
        <w:rPr>
          <w:rStyle w:val="FootnoteReference"/>
          <w:rFonts w:cs="Arabic11 BT"/>
          <w:b/>
          <w:sz w:val="28"/>
          <w:rtl/>
        </w:rPr>
        <w:footnoteReference w:id="254"/>
      </w:r>
      <w:r w:rsidR="00217AB4" w:rsidRPr="0021507A">
        <w:rPr>
          <w:rFonts w:cs="Arabic11 BT"/>
          <w:b/>
          <w:sz w:val="28"/>
          <w:vertAlign w:val="superscript"/>
          <w:rtl/>
        </w:rPr>
        <w:t>)</w:t>
      </w:r>
      <w:r w:rsidR="00217AB4" w:rsidRPr="003F3B94">
        <w:rPr>
          <w:rFonts w:ascii="Abo-thar" w:hAnsi="Abo-thar" w:hint="cs"/>
          <w:sz w:val="28"/>
          <w:rtl/>
        </w:rPr>
        <w:t>.</w:t>
      </w:r>
      <w:r w:rsidRPr="003F3B94">
        <w:rPr>
          <w:rFonts w:ascii="Abo-thar" w:hAnsi="Abo-thar" w:hint="cs"/>
          <w:sz w:val="28"/>
          <w:rtl/>
        </w:rPr>
        <w:t xml:space="preserve"> </w:t>
      </w:r>
    </w:p>
    <w:p w:rsidR="005C664D" w:rsidRPr="003F3B94" w:rsidRDefault="005C664D" w:rsidP="003F3B94">
      <w:pPr>
        <w:pStyle w:val="a0"/>
        <w:rPr>
          <w:rFonts w:hint="cs"/>
          <w:rtl/>
        </w:rPr>
      </w:pPr>
      <w:r w:rsidRPr="003F3B94">
        <w:rPr>
          <w:rFonts w:ascii="Abo-thar" w:hAnsi="Abo-thar" w:hint="cs"/>
          <w:sz w:val="28"/>
          <w:rtl/>
        </w:rPr>
        <w:t>ومجموع الأحاديث التي جاءت في باب وجوب خمس أرباح المكاسب والتجارات والزراعات والصناعات وروتها كتب الشيعة المختلفة مثل الكافي والتهذيب والسرائر هو عشرة أحاديث</w:t>
      </w:r>
      <w:r w:rsidR="001E0DB7" w:rsidRPr="003F3B94">
        <w:rPr>
          <w:rFonts w:ascii="Abo-thar" w:hAnsi="Abo-thar" w:hint="cs"/>
          <w:sz w:val="28"/>
          <w:rtl/>
        </w:rPr>
        <w:t>،</w:t>
      </w:r>
      <w:r w:rsidRPr="003F3B94">
        <w:rPr>
          <w:rFonts w:ascii="Abo-thar" w:hAnsi="Abo-thar" w:hint="cs"/>
          <w:sz w:val="28"/>
          <w:rtl/>
        </w:rPr>
        <w:t xml:space="preserve"> جمعها كلها الشيخ الحر العاملي في </w:t>
      </w:r>
      <w:r w:rsidRPr="003F3B94">
        <w:rPr>
          <w:rFonts w:ascii="Abo-thar" w:hAnsi="Abo-thar" w:hint="eastAsia"/>
          <w:sz w:val="28"/>
          <w:rtl/>
        </w:rPr>
        <w:t>«</w:t>
      </w:r>
      <w:r w:rsidRPr="003F3B94">
        <w:rPr>
          <w:rFonts w:ascii="Abo-thar" w:hAnsi="Abo-thar" w:hint="cs"/>
          <w:sz w:val="28"/>
          <w:rtl/>
        </w:rPr>
        <w:t>وسائل الشيعة</w:t>
      </w:r>
      <w:r w:rsidRPr="003F3B94">
        <w:rPr>
          <w:rFonts w:ascii="Abo-thar" w:hAnsi="Abo-thar" w:hint="eastAsia"/>
          <w:sz w:val="28"/>
          <w:rtl/>
        </w:rPr>
        <w:t>»</w:t>
      </w:r>
      <w:r w:rsidR="007638F8" w:rsidRPr="0021507A">
        <w:rPr>
          <w:rFonts w:ascii="Abo-thar" w:hAnsi="Abo-thar" w:cs="Arabic11 BT"/>
          <w:sz w:val="28"/>
          <w:vertAlign w:val="superscript"/>
          <w:rtl/>
        </w:rPr>
        <w:t>(</w:t>
      </w:r>
      <w:r w:rsidR="007638F8" w:rsidRPr="0021507A">
        <w:rPr>
          <w:rStyle w:val="FootnoteReference"/>
          <w:rFonts w:ascii="Abo-thar" w:hAnsi="Abo-thar" w:cs="Arabic11 BT"/>
          <w:sz w:val="28"/>
          <w:rtl/>
        </w:rPr>
        <w:footnoteReference w:id="255"/>
      </w:r>
      <w:r w:rsidR="007638F8" w:rsidRPr="0021507A">
        <w:rPr>
          <w:rFonts w:ascii="Abo-thar" w:hAnsi="Abo-thar" w:cs="Arabic11 BT"/>
          <w:sz w:val="28"/>
          <w:vertAlign w:val="superscript"/>
          <w:rtl/>
        </w:rPr>
        <w:t>)</w:t>
      </w:r>
      <w:r w:rsidR="00217AB4" w:rsidRPr="003F3B94">
        <w:rPr>
          <w:rFonts w:ascii="Abo-thar" w:hAnsi="Abo-thar" w:hint="cs"/>
          <w:sz w:val="28"/>
          <w:rtl/>
        </w:rPr>
        <w:t>.</w:t>
      </w:r>
      <w:r w:rsidRPr="003F3B94">
        <w:rPr>
          <w:rFonts w:ascii="Abo-thar" w:hAnsi="Abo-thar" w:hint="cs"/>
          <w:sz w:val="28"/>
          <w:rtl/>
        </w:rPr>
        <w:t xml:space="preserve"> </w:t>
      </w:r>
    </w:p>
    <w:p w:rsidR="005C664D" w:rsidRDefault="003D6690" w:rsidP="003F3B94">
      <w:pPr>
        <w:pStyle w:val="a0"/>
        <w:rPr>
          <w:rFonts w:ascii="Abo-thar" w:hAnsi="Abo-thar" w:hint="cs"/>
          <w:sz w:val="28"/>
          <w:rtl/>
        </w:rPr>
      </w:pPr>
      <w:r w:rsidRPr="003F3B94">
        <w:rPr>
          <w:rFonts w:ascii="Abo-thar" w:hAnsi="Abo-thar" w:hint="cs"/>
          <w:sz w:val="28"/>
          <w:rtl/>
        </w:rPr>
        <w:t xml:space="preserve">من هذه الأحاديث العشرة </w:t>
      </w:r>
      <w:r w:rsidRPr="003F3B94">
        <w:rPr>
          <w:rFonts w:cs="Times New Roman" w:hint="cs"/>
          <w:sz w:val="28"/>
          <w:rtl/>
        </w:rPr>
        <w:t>–</w:t>
      </w:r>
      <w:r w:rsidRPr="003F3B94">
        <w:rPr>
          <w:rFonts w:ascii="Abo-thar" w:hAnsi="Abo-thar" w:hint="cs"/>
          <w:sz w:val="28"/>
          <w:rtl/>
        </w:rPr>
        <w:t xml:space="preserve"> وهي جميعاً ضعيفة واهية من حيث السند </w:t>
      </w:r>
      <w:r w:rsidRPr="003F3B94">
        <w:rPr>
          <w:rFonts w:cs="Times New Roman" w:hint="cs"/>
          <w:sz w:val="28"/>
          <w:rtl/>
        </w:rPr>
        <w:t>–</w:t>
      </w:r>
      <w:r w:rsidRPr="003F3B94">
        <w:rPr>
          <w:rFonts w:ascii="Abo-thar" w:hAnsi="Abo-thar" w:hint="cs"/>
          <w:sz w:val="28"/>
          <w:rtl/>
        </w:rPr>
        <w:t xml:space="preserve"> توجد خمسة أحاديث تدل بصراحة على أن خمس أرباح المكاسب وغيرها مختص بالإمام فقط وليس لغيره حقٌّ فيه. والأحاديث الخمسة الأخرى تثبت حقاً لغير الإمام في هذا الخُمس. وسنستعرض هذه الأحاديث العشرة جميعاً واحداً واحداً ونمحِّصُها سنداً ومتناً كي تتضح قيمتها ودرجتها من الصحة والقبول.</w:t>
      </w:r>
    </w:p>
    <w:p w:rsidR="003D6690" w:rsidRPr="00995B26" w:rsidRDefault="003D6690" w:rsidP="003C671C">
      <w:pPr>
        <w:pStyle w:val="a6"/>
        <w:rPr>
          <w:rFonts w:hint="cs"/>
          <w:rtl/>
        </w:rPr>
      </w:pPr>
      <w:bookmarkStart w:id="96" w:name="_Toc387843072"/>
      <w:r w:rsidRPr="00995B26">
        <w:rPr>
          <w:rFonts w:hint="cs"/>
          <w:rtl/>
        </w:rPr>
        <w:t>1- الأحاديث الضعيفة في خُمْس أرباح المكاسب</w:t>
      </w:r>
      <w:bookmarkEnd w:id="96"/>
    </w:p>
    <w:p w:rsidR="003D6690" w:rsidRPr="003F3B94" w:rsidRDefault="003D6690" w:rsidP="003F3B94">
      <w:pPr>
        <w:pStyle w:val="a0"/>
        <w:rPr>
          <w:rFonts w:hint="cs"/>
          <w:rtl/>
        </w:rPr>
      </w:pPr>
      <w:r w:rsidRPr="003F3B94">
        <w:rPr>
          <w:rFonts w:ascii="Abo-thar" w:hAnsi="Abo-thar" w:hint="cs"/>
          <w:sz w:val="28"/>
          <w:rtl/>
        </w:rPr>
        <w:t xml:space="preserve">الأحاديث التي ينصّ متنها على أن الخُمس خاص بالإمام فقط دون غيره هي الأحاديث الثاني والثالث والرابع والخامس والثامن حسب الترتيب الذي ذكرها فيه الشيخ الحر في </w:t>
      </w:r>
      <w:r w:rsidRPr="003F3B94">
        <w:rPr>
          <w:rFonts w:ascii="Lotus Linotype" w:hAnsi="Lotus Linotype"/>
          <w:sz w:val="28"/>
          <w:rtl/>
        </w:rPr>
        <w:t>«</w:t>
      </w:r>
      <w:r w:rsidRPr="003F3B94">
        <w:rPr>
          <w:rFonts w:ascii="Abo-thar" w:hAnsi="Abo-thar" w:hint="cs"/>
          <w:sz w:val="28"/>
          <w:rtl/>
        </w:rPr>
        <w:t>الوسائل</w:t>
      </w:r>
      <w:r w:rsidRPr="003F3B94">
        <w:rPr>
          <w:rFonts w:ascii="Lotus Linotype" w:hAnsi="Lotus Linotype"/>
          <w:sz w:val="28"/>
          <w:rtl/>
        </w:rPr>
        <w:t>»</w:t>
      </w:r>
      <w:r w:rsidRPr="003F3B94">
        <w:rPr>
          <w:rFonts w:ascii="Abo-thar" w:hAnsi="Abo-thar" w:hint="cs"/>
          <w:sz w:val="28"/>
          <w:rtl/>
        </w:rPr>
        <w:t xml:space="preserve"> وفيما يلي بيانها:</w:t>
      </w:r>
    </w:p>
    <w:p w:rsidR="005C664D" w:rsidRPr="003F3B94" w:rsidRDefault="005C664D" w:rsidP="003F3B94">
      <w:pPr>
        <w:pStyle w:val="a0"/>
        <w:rPr>
          <w:rFonts w:hint="cs"/>
          <w:rtl/>
        </w:rPr>
      </w:pPr>
      <w:r w:rsidRPr="00255A16">
        <w:rPr>
          <w:rFonts w:ascii="Abo-thar" w:hAnsi="Abo-thar" w:hint="cs"/>
          <w:b/>
          <w:bCs/>
          <w:sz w:val="28"/>
          <w:rtl/>
        </w:rPr>
        <w:t>الحديث الأول</w:t>
      </w:r>
      <w:r w:rsidR="00217AB4" w:rsidRPr="003F3B94">
        <w:rPr>
          <w:rFonts w:ascii="Abo-thar" w:hAnsi="Abo-thar" w:hint="cs"/>
          <w:sz w:val="28"/>
          <w:rtl/>
        </w:rPr>
        <w:t>:</w:t>
      </w:r>
      <w:r w:rsidRPr="003F3B94">
        <w:rPr>
          <w:rFonts w:ascii="Abo-thar" w:hAnsi="Abo-thar" w:hint="cs"/>
          <w:sz w:val="28"/>
          <w:rtl/>
        </w:rPr>
        <w:t xml:space="preserve"> </w:t>
      </w:r>
      <w:r w:rsidR="00EF2588" w:rsidRPr="00891167">
        <w:rPr>
          <w:rFonts w:ascii="Abo-thar" w:hAnsi="Abo-thar" w:cs="KFGQPC Uthman Taha Naskh" w:hint="cs"/>
          <w:sz w:val="28"/>
          <w:rtl/>
        </w:rPr>
        <w:t>«</w:t>
      </w:r>
      <w:r w:rsidRPr="00891167">
        <w:rPr>
          <w:rFonts w:ascii="Abo-thar" w:hAnsi="Abo-thar" w:cs="KFGQPC Uthman Taha Naskh" w:hint="cs"/>
          <w:b/>
          <w:bCs/>
          <w:sz w:val="28"/>
          <w:rtl/>
        </w:rPr>
        <w:t xml:space="preserve">وَعَنْهُ </w:t>
      </w:r>
      <w:r w:rsidRPr="00891167">
        <w:rPr>
          <w:rFonts w:ascii="Abo-thar" w:hAnsi="Abo-thar" w:cs="KFGQPC Uthman Taha Naskh"/>
          <w:b/>
          <w:bCs/>
          <w:sz w:val="28"/>
          <w:rtl/>
        </w:rPr>
        <w:t xml:space="preserve">عَنْ أَحْمَدَ بْنِ مُحَمَّدٍ عَنْ عَلِيِّ بْنِ مَهْزِيَارَ عَنْ عَلِيِّ بْنِ مُحَمَّدِ بْنِ شُجَاعٍ النَّيْسَابُورِيِّ أَنَّهُ سَأَلَ أَبَا الحَسَنِ الثَّالِثَ </w:t>
      </w:r>
      <w:r w:rsidR="00BC4BA9" w:rsidRPr="00BC4BA9">
        <w:rPr>
          <w:rFonts w:ascii="Abo-thar" w:hAnsi="Abo-thar" w:cs="CTraditional Arabic"/>
          <w:b/>
          <w:sz w:val="28"/>
          <w:rtl/>
        </w:rPr>
        <w:t>÷</w:t>
      </w:r>
      <w:r w:rsidRPr="00891167">
        <w:rPr>
          <w:rFonts w:ascii="Abo-thar" w:hAnsi="Abo-thar" w:cs="KFGQPC Uthman Taha Naskh"/>
          <w:b/>
          <w:bCs/>
          <w:sz w:val="28"/>
          <w:rtl/>
        </w:rPr>
        <w:t xml:space="preserve"> عَنْ رَجُلٍ أَصَابَ مِنْ ضَيْعَتِهِ مِنَ الْحِنْطَةِ مِائَةَ كُرِّ مَا يُزَكَّى فَأُخِذَ مِنْهُ الْعُشْرُ عَشَرَةُ أَكْرَارٍ وَذَهَبَ مِنْهُ بِسَبَبِ عِمَارَةِ الضَّيْعَةِ ثَلَاثُونَ كُرّاً وَبَقِيَ فِي يَدِهِ سِتُّونَ كُرّاً مَا الَّذِي يَجِبُ لَكَ مِنْ ذَلِكَ وَهَلْ يَجِبُ لِأَصْحَابِهِ مِنْ ذَلِكَ عَلَيْهِ شَيْ‏ءٌ</w:t>
      </w:r>
      <w:r w:rsidR="00217AB4" w:rsidRPr="00891167">
        <w:rPr>
          <w:rFonts w:ascii="Abo-thar" w:hAnsi="Abo-thar" w:cs="KFGQPC Uthman Taha Naskh" w:hint="cs"/>
          <w:b/>
          <w:bCs/>
          <w:sz w:val="28"/>
          <w:rtl/>
        </w:rPr>
        <w:t>؟؟</w:t>
      </w:r>
      <w:r w:rsidR="00147857" w:rsidRPr="00891167">
        <w:rPr>
          <w:rFonts w:ascii="Abo-thar" w:hAnsi="Abo-thar" w:cs="KFGQPC Uthman Taha Naskh" w:hint="cs"/>
          <w:b/>
          <w:bCs/>
          <w:sz w:val="28"/>
          <w:rtl/>
        </w:rPr>
        <w:t xml:space="preserve"> </w:t>
      </w:r>
      <w:r w:rsidRPr="00891167">
        <w:rPr>
          <w:rFonts w:ascii="Abo-thar" w:hAnsi="Abo-thar" w:cs="KFGQPC Uthman Taha Naskh"/>
          <w:b/>
          <w:bCs/>
          <w:sz w:val="28"/>
          <w:rtl/>
        </w:rPr>
        <w:t xml:space="preserve">فَوَقَّعَ </w:t>
      </w:r>
      <w:r w:rsidR="00BC4BA9" w:rsidRPr="00BC4BA9">
        <w:rPr>
          <w:rFonts w:ascii="Abo-thar" w:hAnsi="Abo-thar" w:cs="CTraditional Arabic"/>
          <w:b/>
          <w:sz w:val="28"/>
          <w:rtl/>
        </w:rPr>
        <w:t>÷</w:t>
      </w:r>
      <w:r w:rsidR="00217AB4" w:rsidRPr="00891167">
        <w:rPr>
          <w:rFonts w:ascii="Abo-thar" w:hAnsi="Abo-thar" w:cs="KFGQPC Uthman Taha Naskh" w:hint="cs"/>
          <w:b/>
          <w:bCs/>
          <w:sz w:val="28"/>
          <w:rtl/>
        </w:rPr>
        <w:t>:</w:t>
      </w:r>
      <w:r w:rsidRPr="00891167">
        <w:rPr>
          <w:rFonts w:ascii="Abo-thar" w:hAnsi="Abo-thar" w:cs="KFGQPC Uthman Taha Naskh"/>
          <w:b/>
          <w:bCs/>
          <w:sz w:val="28"/>
          <w:rtl/>
        </w:rPr>
        <w:t xml:space="preserve"> لِي مِنْهُ الخُمُسُ مِمَّا يَفْضُلُ مِنْ مَئُونَتِهِ</w:t>
      </w:r>
      <w:r w:rsidR="00EF2588" w:rsidRPr="00891167">
        <w:rPr>
          <w:rFonts w:ascii="Abo-thar" w:hAnsi="Abo-thar" w:cs="KFGQPC Uthman Taha Naskh" w:hint="cs"/>
          <w:sz w:val="28"/>
          <w:rtl/>
        </w:rPr>
        <w:t>»</w:t>
      </w:r>
      <w:r w:rsidR="00217AB4" w:rsidRPr="003F3B94">
        <w:rPr>
          <w:rFonts w:ascii="Abo-thar" w:hAnsi="Abo-thar" w:hint="cs"/>
          <w:sz w:val="28"/>
          <w:rtl/>
        </w:rPr>
        <w:t>.</w:t>
      </w:r>
    </w:p>
    <w:p w:rsidR="005C664D" w:rsidRPr="003F3B94" w:rsidRDefault="005C664D" w:rsidP="003F3B94">
      <w:pPr>
        <w:pStyle w:val="a0"/>
        <w:rPr>
          <w:rFonts w:hint="cs"/>
          <w:rtl/>
        </w:rPr>
      </w:pPr>
      <w:r w:rsidRPr="003F3B94">
        <w:rPr>
          <w:rFonts w:ascii="Abo-thar" w:hAnsi="Abo-thar" w:hint="cs"/>
          <w:sz w:val="28"/>
          <w:rtl/>
        </w:rPr>
        <w:t>هذا الحديث نقله صاحب الوسائل عن الشيخ الطوسي</w:t>
      </w:r>
      <w:r w:rsidR="00217AB4" w:rsidRPr="003F3B94">
        <w:rPr>
          <w:rFonts w:ascii="Abo-thar" w:hAnsi="Abo-thar" w:hint="cs"/>
          <w:sz w:val="28"/>
          <w:rtl/>
        </w:rPr>
        <w:t>،</w:t>
      </w:r>
      <w:r w:rsidRPr="003F3B94">
        <w:rPr>
          <w:rFonts w:ascii="Abo-thar" w:hAnsi="Abo-thar" w:hint="cs"/>
          <w:sz w:val="28"/>
          <w:rtl/>
        </w:rPr>
        <w:t xml:space="preserve"> لكن الشيخ الطوسي رواه في «التهذيب» بالسند التالي</w:t>
      </w:r>
      <w:r w:rsidR="00217AB4" w:rsidRPr="003F3B94">
        <w:rPr>
          <w:rFonts w:ascii="Abo-thar" w:hAnsi="Abo-thar" w:hint="cs"/>
          <w:sz w:val="28"/>
          <w:rtl/>
        </w:rPr>
        <w:t>:</w:t>
      </w:r>
      <w:r w:rsidRPr="003F3B94">
        <w:rPr>
          <w:rFonts w:ascii="Abo-thar" w:hAnsi="Abo-thar" w:hint="cs"/>
          <w:sz w:val="28"/>
          <w:rtl/>
        </w:rPr>
        <w:t xml:space="preserve"> </w:t>
      </w:r>
      <w:r w:rsidR="00EF2588" w:rsidRPr="00891167">
        <w:rPr>
          <w:rFonts w:ascii="Abo-thar" w:hAnsi="Abo-thar" w:cs="KFGQPC Uthman Taha Naskh" w:hint="cs"/>
          <w:sz w:val="28"/>
          <w:rtl/>
        </w:rPr>
        <w:t>«</w:t>
      </w:r>
      <w:r w:rsidRPr="00891167">
        <w:rPr>
          <w:rFonts w:ascii="Abo-thar" w:hAnsi="Abo-thar" w:cs="KFGQPC Uthman Taha Naskh"/>
          <w:b/>
          <w:bCs/>
          <w:sz w:val="28"/>
          <w:rtl/>
        </w:rPr>
        <w:t xml:space="preserve">سَعْدُ بْنُ عَبْدِ اللهِ عَنْ أَحْمَدَ بْنِ مُحَمَّدٍ عَنْ عَلِيِّ بْنِ مَهْزِيَارَ قَالَ حَدَّثَنِي مُحَمَّدُ بْنُ عَلِيِّ بْنِ شُجَاعٍ النَّيْسَابُورِيُّ أَنَّهُ سَأَلَ أَبَا الحَسَنِ الثَّالِثَ </w:t>
      </w:r>
      <w:r w:rsidR="00BC4BA9" w:rsidRPr="00BC4BA9">
        <w:rPr>
          <w:rFonts w:ascii="Abo-thar" w:hAnsi="Abo-thar" w:cs="CTraditional Arabic" w:hint="cs"/>
          <w:b/>
          <w:sz w:val="28"/>
          <w:rtl/>
        </w:rPr>
        <w:t>÷</w:t>
      </w:r>
      <w:r w:rsidRPr="00891167">
        <w:rPr>
          <w:rFonts w:ascii="Abo-thar" w:hAnsi="Abo-thar" w:cs="KFGQPC Uthman Taha Naskh"/>
          <w:b/>
          <w:bCs/>
          <w:sz w:val="28"/>
          <w:rtl/>
        </w:rPr>
        <w:t xml:space="preserve"> عَنْ رَجُلٍ أَصَابَ مِنْ ضَيْعَتِه</w:t>
      </w:r>
      <w:r w:rsidRPr="00891167">
        <w:rPr>
          <w:rFonts w:ascii="Abo-thar" w:hAnsi="Abo-thar" w:cs="KFGQPC Uthman Taha Naskh"/>
          <w:sz w:val="28"/>
          <w:rtl/>
        </w:rPr>
        <w:t>‏</w:t>
      </w:r>
      <w:r w:rsidR="00217AB4" w:rsidRPr="00891167">
        <w:rPr>
          <w:rFonts w:ascii="Abo-thar" w:hAnsi="Abo-thar" w:cs="KFGQPC Uthman Taha Naskh" w:hint="cs"/>
          <w:sz w:val="28"/>
          <w:rtl/>
        </w:rPr>
        <w:t>...</w:t>
      </w:r>
      <w:r w:rsidRPr="00891167">
        <w:rPr>
          <w:rFonts w:ascii="Abo-thar" w:hAnsi="Abo-thar" w:cs="KFGQPC Uthman Taha Naskh" w:hint="cs"/>
          <w:sz w:val="28"/>
          <w:rtl/>
        </w:rPr>
        <w:t xml:space="preserve"> الحديث</w:t>
      </w:r>
      <w:r w:rsidR="00EF2588" w:rsidRPr="00891167">
        <w:rPr>
          <w:rFonts w:ascii="Abo-thar" w:hAnsi="Abo-thar" w:cs="KFGQPC Uthman Taha Naskh" w:hint="cs"/>
          <w:sz w:val="28"/>
          <w:rtl/>
        </w:rPr>
        <w:t>»</w:t>
      </w:r>
      <w:r w:rsidR="007638F8" w:rsidRPr="0021507A">
        <w:rPr>
          <w:rFonts w:ascii="Abo-thar" w:hAnsi="Abo-thar" w:cs="Arabic11 BT"/>
          <w:sz w:val="28"/>
          <w:vertAlign w:val="superscript"/>
          <w:rtl/>
        </w:rPr>
        <w:t>(</w:t>
      </w:r>
      <w:r w:rsidR="007638F8" w:rsidRPr="0021507A">
        <w:rPr>
          <w:rStyle w:val="FootnoteReference"/>
          <w:rFonts w:ascii="Abo-thar" w:hAnsi="Abo-thar" w:cs="Arabic11 BT"/>
          <w:sz w:val="28"/>
          <w:rtl/>
        </w:rPr>
        <w:footnoteReference w:id="256"/>
      </w:r>
      <w:r w:rsidR="007638F8" w:rsidRPr="0021507A">
        <w:rPr>
          <w:rFonts w:ascii="Abo-thar" w:hAnsi="Abo-thar" w:cs="Arabic11 BT"/>
          <w:sz w:val="28"/>
          <w:vertAlign w:val="superscript"/>
          <w:rtl/>
        </w:rPr>
        <w:t>)</w:t>
      </w:r>
      <w:r w:rsidR="00217AB4" w:rsidRPr="003F3B94">
        <w:rPr>
          <w:rFonts w:ascii="Abo-thar" w:hAnsi="Abo-thar" w:hint="cs"/>
          <w:sz w:val="28"/>
          <w:rtl/>
        </w:rPr>
        <w:t>.</w:t>
      </w:r>
    </w:p>
    <w:p w:rsidR="005C664D" w:rsidRPr="003F3B94" w:rsidRDefault="005C664D" w:rsidP="003F3B94">
      <w:pPr>
        <w:pStyle w:val="a0"/>
        <w:rPr>
          <w:rFonts w:hint="cs"/>
          <w:rtl/>
        </w:rPr>
      </w:pPr>
      <w:r w:rsidRPr="003F3B94">
        <w:rPr>
          <w:rFonts w:ascii="Abo-thar" w:hAnsi="Abo-thar" w:hint="cs"/>
          <w:sz w:val="28"/>
          <w:rtl/>
        </w:rPr>
        <w:t>واختلاف التهذيب عن الوسائل هو في الراوي المتصل بالإمام</w:t>
      </w:r>
      <w:r w:rsidR="00217AB4" w:rsidRPr="003F3B94">
        <w:rPr>
          <w:rFonts w:ascii="Abo-thar" w:hAnsi="Abo-thar" w:hint="cs"/>
          <w:sz w:val="28"/>
          <w:rtl/>
        </w:rPr>
        <w:t>:</w:t>
      </w:r>
      <w:r w:rsidRPr="003F3B94">
        <w:rPr>
          <w:rFonts w:ascii="Abo-thar" w:hAnsi="Abo-thar" w:hint="cs"/>
          <w:sz w:val="28"/>
          <w:rtl/>
        </w:rPr>
        <w:t xml:space="preserve"> هل هو </w:t>
      </w:r>
      <w:r w:rsidRPr="003F3B94">
        <w:rPr>
          <w:rFonts w:ascii="Abo-thar" w:hAnsi="Abo-thar"/>
          <w:sz w:val="28"/>
          <w:rtl/>
        </w:rPr>
        <w:t>«عَلِيِّ بْنِ مُحَمَّدِ بْنِ شُجَاعٍ النَّيْسَابُورِيِّ»</w:t>
      </w:r>
      <w:r w:rsidRPr="003F3B94">
        <w:rPr>
          <w:rFonts w:ascii="Abo-thar" w:hAnsi="Abo-thar" w:hint="cs"/>
          <w:sz w:val="28"/>
          <w:rtl/>
        </w:rPr>
        <w:t xml:space="preserve"> أم </w:t>
      </w:r>
      <w:r w:rsidRPr="003F3B94">
        <w:rPr>
          <w:rFonts w:ascii="Abo-thar" w:hAnsi="Abo-thar"/>
          <w:sz w:val="28"/>
          <w:rtl/>
        </w:rPr>
        <w:t>«مُحَمَّدُ بْنُ عَلِيِّ بْنِ شُجَاعٍ النَّيْسَابُورِيُّ»</w:t>
      </w:r>
      <w:r w:rsidR="00217AB4" w:rsidRPr="003F3B94">
        <w:rPr>
          <w:rFonts w:ascii="Abo-thar" w:hAnsi="Abo-thar" w:hint="cs"/>
          <w:sz w:val="28"/>
          <w:rtl/>
        </w:rPr>
        <w:t>،</w:t>
      </w:r>
      <w:r w:rsidRPr="003F3B94">
        <w:rPr>
          <w:rFonts w:ascii="Abo-thar" w:hAnsi="Abo-thar" w:hint="cs"/>
          <w:sz w:val="28"/>
          <w:rtl/>
        </w:rPr>
        <w:t xml:space="preserve"> وعلى كل حال سواء كان </w:t>
      </w:r>
      <w:r w:rsidRPr="003F3B94">
        <w:rPr>
          <w:rFonts w:ascii="Abo-thar" w:hAnsi="Abo-thar"/>
          <w:sz w:val="28"/>
          <w:rtl/>
        </w:rPr>
        <w:t>«عَلِيّ</w:t>
      </w:r>
      <w:r w:rsidRPr="003F3B94">
        <w:rPr>
          <w:rFonts w:ascii="Abo-thar" w:hAnsi="Abo-thar" w:hint="cs"/>
          <w:sz w:val="28"/>
          <w:rtl/>
        </w:rPr>
        <w:t>َ</w:t>
      </w:r>
      <w:r w:rsidRPr="003F3B94">
        <w:rPr>
          <w:rFonts w:ascii="Abo-thar" w:hAnsi="Abo-thar"/>
          <w:sz w:val="28"/>
          <w:rtl/>
        </w:rPr>
        <w:t xml:space="preserve"> بْن</w:t>
      </w:r>
      <w:r w:rsidRPr="003F3B94">
        <w:rPr>
          <w:rFonts w:ascii="Abo-thar" w:hAnsi="Abo-thar" w:hint="cs"/>
          <w:sz w:val="28"/>
          <w:rtl/>
        </w:rPr>
        <w:t>َ</w:t>
      </w:r>
      <w:r w:rsidRPr="003F3B94">
        <w:rPr>
          <w:rFonts w:ascii="Abo-thar" w:hAnsi="Abo-thar"/>
          <w:sz w:val="28"/>
          <w:rtl/>
        </w:rPr>
        <w:t xml:space="preserve"> مُحَمَّد</w:t>
      </w:r>
      <w:r w:rsidRPr="003F3B94">
        <w:rPr>
          <w:rFonts w:ascii="Abo-thar" w:hAnsi="Abo-thar" w:hint="cs"/>
          <w:sz w:val="28"/>
          <w:rtl/>
        </w:rPr>
        <w:t>ٍ</w:t>
      </w:r>
      <w:r w:rsidRPr="003F3B94">
        <w:rPr>
          <w:rFonts w:ascii="Abo-thar" w:hAnsi="Abo-thar"/>
          <w:sz w:val="28"/>
          <w:rtl/>
        </w:rPr>
        <w:t>»</w:t>
      </w:r>
      <w:r w:rsidRPr="003F3B94">
        <w:rPr>
          <w:rFonts w:ascii="Abo-thar" w:hAnsi="Abo-thar" w:hint="cs"/>
          <w:sz w:val="28"/>
          <w:rtl/>
        </w:rPr>
        <w:t xml:space="preserve"> أم </w:t>
      </w:r>
      <w:r w:rsidRPr="003F3B94">
        <w:rPr>
          <w:rFonts w:ascii="Abo-thar" w:hAnsi="Abo-thar"/>
          <w:sz w:val="28"/>
          <w:rtl/>
        </w:rPr>
        <w:t>«مُحَمَّد</w:t>
      </w:r>
      <w:r w:rsidRPr="003F3B94">
        <w:rPr>
          <w:rFonts w:ascii="Abo-thar" w:hAnsi="Abo-thar" w:hint="cs"/>
          <w:sz w:val="28"/>
          <w:rtl/>
        </w:rPr>
        <w:t>َ</w:t>
      </w:r>
      <w:r w:rsidRPr="003F3B94">
        <w:rPr>
          <w:rFonts w:ascii="Abo-thar" w:hAnsi="Abo-thar"/>
          <w:sz w:val="28"/>
          <w:rtl/>
        </w:rPr>
        <w:t xml:space="preserve"> بْن</w:t>
      </w:r>
      <w:r w:rsidRPr="003F3B94">
        <w:rPr>
          <w:rFonts w:ascii="Abo-thar" w:hAnsi="Abo-thar" w:hint="cs"/>
          <w:sz w:val="28"/>
          <w:rtl/>
        </w:rPr>
        <w:t>َ</w:t>
      </w:r>
      <w:r w:rsidRPr="003F3B94">
        <w:rPr>
          <w:rFonts w:ascii="Abo-thar" w:hAnsi="Abo-thar"/>
          <w:sz w:val="28"/>
          <w:rtl/>
        </w:rPr>
        <w:t xml:space="preserve"> عَلِيّ</w:t>
      </w:r>
      <w:r w:rsidRPr="003F3B94">
        <w:rPr>
          <w:rFonts w:ascii="Abo-thar" w:hAnsi="Abo-thar" w:hint="cs"/>
          <w:sz w:val="28"/>
          <w:rtl/>
        </w:rPr>
        <w:t>ٍ</w:t>
      </w:r>
      <w:r w:rsidRPr="003F3B94">
        <w:rPr>
          <w:rFonts w:ascii="Abo-thar" w:hAnsi="Abo-thar"/>
          <w:sz w:val="28"/>
          <w:rtl/>
        </w:rPr>
        <w:t>»</w:t>
      </w:r>
      <w:r w:rsidRPr="003F3B94">
        <w:rPr>
          <w:rFonts w:ascii="Abo-thar" w:hAnsi="Abo-thar" w:hint="cs"/>
          <w:sz w:val="28"/>
          <w:rtl/>
        </w:rPr>
        <w:t xml:space="preserve"> فإنه لا وجود لأي منهما في كتب الرجال</w:t>
      </w:r>
      <w:r w:rsidR="00217AB4" w:rsidRPr="003F3B94">
        <w:rPr>
          <w:rFonts w:ascii="Abo-thar" w:hAnsi="Abo-thar" w:hint="cs"/>
          <w:sz w:val="28"/>
          <w:rtl/>
        </w:rPr>
        <w:t>،</w:t>
      </w:r>
      <w:r w:rsidRPr="003F3B94">
        <w:rPr>
          <w:rFonts w:ascii="Abo-thar" w:hAnsi="Abo-thar" w:hint="cs"/>
          <w:sz w:val="28"/>
          <w:rtl/>
        </w:rPr>
        <w:t xml:space="preserve"> فهذا الراوي مجهول الهوية بل هو مجهول مطلق</w:t>
      </w:r>
      <w:r w:rsidR="00217AB4" w:rsidRPr="003F3B94">
        <w:rPr>
          <w:rFonts w:ascii="Abo-thar" w:hAnsi="Abo-thar" w:hint="cs"/>
          <w:sz w:val="28"/>
          <w:rtl/>
        </w:rPr>
        <w:t>.</w:t>
      </w:r>
      <w:r w:rsidR="00147857" w:rsidRPr="003F3B94">
        <w:rPr>
          <w:rFonts w:ascii="Abo-thar" w:hAnsi="Abo-thar" w:hint="cs"/>
          <w:sz w:val="28"/>
          <w:rtl/>
        </w:rPr>
        <w:t xml:space="preserve"> </w:t>
      </w:r>
      <w:r w:rsidRPr="003F3B94">
        <w:rPr>
          <w:rFonts w:ascii="Abo-thar" w:hAnsi="Abo-thar" w:hint="cs"/>
          <w:sz w:val="28"/>
          <w:rtl/>
        </w:rPr>
        <w:t xml:space="preserve">أما الراوي الأول للحديث </w:t>
      </w:r>
      <w:r w:rsidR="00217AB4" w:rsidRPr="003F3B94">
        <w:rPr>
          <w:rFonts w:ascii="Abo-thar" w:hAnsi="Abo-thar" w:hint="cs"/>
          <w:sz w:val="28"/>
          <w:rtl/>
        </w:rPr>
        <w:t>(</w:t>
      </w:r>
      <w:r w:rsidRPr="003F3B94">
        <w:rPr>
          <w:rFonts w:ascii="Abo-thar" w:hAnsi="Abo-thar" w:hint="cs"/>
          <w:sz w:val="28"/>
          <w:rtl/>
        </w:rPr>
        <w:t>عند الشيخ الطوسي</w:t>
      </w:r>
      <w:r w:rsidR="00217AB4" w:rsidRPr="003F3B94">
        <w:rPr>
          <w:rFonts w:ascii="Abo-thar" w:hAnsi="Abo-thar" w:hint="cs"/>
          <w:sz w:val="28"/>
          <w:rtl/>
        </w:rPr>
        <w:t>)</w:t>
      </w:r>
      <w:r w:rsidRPr="003F3B94">
        <w:rPr>
          <w:rFonts w:ascii="Abo-thar" w:hAnsi="Abo-thar" w:hint="cs"/>
          <w:sz w:val="28"/>
          <w:rtl/>
        </w:rPr>
        <w:t xml:space="preserve"> فهو «</w:t>
      </w:r>
      <w:r w:rsidRPr="003F3B94">
        <w:rPr>
          <w:rFonts w:ascii="Abo-thar" w:hAnsi="Abo-thar"/>
          <w:sz w:val="28"/>
          <w:rtl/>
        </w:rPr>
        <w:t>سَعْدُ بْنُ عَبْدِ اللهِ</w:t>
      </w:r>
      <w:r w:rsidRPr="003F3B94">
        <w:rPr>
          <w:rFonts w:ascii="Abo-thar" w:hAnsi="Abo-thar" w:hint="cs"/>
          <w:sz w:val="28"/>
          <w:rtl/>
        </w:rPr>
        <w:t xml:space="preserve"> الأشعريُّ» وقد ذكره ابن داود في رجاله في قسم الضعفاء والمجروحين والمجهولين</w:t>
      </w:r>
      <w:r w:rsidR="00B43B39" w:rsidRPr="0021507A">
        <w:rPr>
          <w:rFonts w:ascii="Abo-thar" w:hAnsi="Abo-thar" w:cs="Arabic11 BT"/>
          <w:sz w:val="28"/>
          <w:vertAlign w:val="superscript"/>
          <w:rtl/>
        </w:rPr>
        <w:t>(</w:t>
      </w:r>
      <w:r w:rsidR="00B43B39" w:rsidRPr="0021507A">
        <w:rPr>
          <w:rStyle w:val="FootnoteReference"/>
          <w:rFonts w:ascii="Abo-thar" w:hAnsi="Abo-thar" w:cs="Arabic11 BT"/>
          <w:sz w:val="28"/>
          <w:rtl/>
        </w:rPr>
        <w:footnoteReference w:id="257"/>
      </w:r>
      <w:r w:rsidR="00B43B39" w:rsidRPr="0021507A">
        <w:rPr>
          <w:rFonts w:ascii="Abo-thar" w:hAnsi="Abo-thar" w:cs="Arabic11 BT"/>
          <w:sz w:val="28"/>
          <w:vertAlign w:val="superscript"/>
          <w:rtl/>
        </w:rPr>
        <w:t>)</w:t>
      </w:r>
      <w:r w:rsidR="00217AB4" w:rsidRPr="003F3B94">
        <w:rPr>
          <w:rFonts w:ascii="Abo-thar" w:hAnsi="Abo-thar" w:hint="cs"/>
          <w:sz w:val="28"/>
          <w:rtl/>
        </w:rPr>
        <w:t>.</w:t>
      </w:r>
    </w:p>
    <w:p w:rsidR="005C664D" w:rsidRPr="003F3B94" w:rsidRDefault="005C664D" w:rsidP="003F3B94">
      <w:pPr>
        <w:pStyle w:val="a0"/>
        <w:rPr>
          <w:rFonts w:hint="cs"/>
          <w:rtl/>
        </w:rPr>
      </w:pPr>
      <w:r w:rsidRPr="003F3B94">
        <w:rPr>
          <w:rFonts w:ascii="Abo-thar" w:hAnsi="Abo-thar" w:hint="cs"/>
          <w:sz w:val="28"/>
          <w:rtl/>
        </w:rPr>
        <w:t>أما من ناحية المتن</w:t>
      </w:r>
      <w:r w:rsidR="004C6EA4" w:rsidRPr="003F3B94">
        <w:rPr>
          <w:rFonts w:ascii="Abo-thar" w:hAnsi="Abo-thar" w:hint="cs"/>
          <w:sz w:val="28"/>
          <w:rtl/>
        </w:rPr>
        <w:t>،</w:t>
      </w:r>
      <w:r w:rsidRPr="003F3B94">
        <w:rPr>
          <w:rFonts w:ascii="Abo-thar" w:hAnsi="Abo-thar" w:hint="cs"/>
          <w:sz w:val="28"/>
          <w:rtl/>
        </w:rPr>
        <w:t xml:space="preserve"> فقد سأل الراوي المجهول </w:t>
      </w:r>
      <w:r w:rsidRPr="003F3B94">
        <w:rPr>
          <w:rFonts w:ascii="Abo-thar" w:hAnsi="Abo-thar"/>
          <w:sz w:val="28"/>
          <w:rtl/>
        </w:rPr>
        <w:t xml:space="preserve">مُحَمَّدُ بْنُ عَلِيِّ بْنِ شُجَاعٍ النَّيْسَابُورِيُّ </w:t>
      </w:r>
      <w:r w:rsidRPr="003F3B94">
        <w:rPr>
          <w:rFonts w:ascii="Abo-thar" w:hAnsi="Abo-thar" w:hint="cs"/>
          <w:sz w:val="28"/>
          <w:rtl/>
        </w:rPr>
        <w:t>الإمامَ</w:t>
      </w:r>
      <w:r w:rsidR="00EE7F5E">
        <w:rPr>
          <w:rFonts w:ascii="Abo-thar" w:hAnsi="Abo-thar"/>
          <w:sz w:val="28"/>
          <w:rtl/>
        </w:rPr>
        <w:t xml:space="preserve"> أَبَا</w:t>
      </w:r>
      <w:r w:rsidRPr="003F3B94">
        <w:rPr>
          <w:rFonts w:ascii="Abo-thar" w:hAnsi="Abo-thar"/>
          <w:sz w:val="28"/>
          <w:rtl/>
        </w:rPr>
        <w:t xml:space="preserve">الْحَسَنِ الثَّالِثَ </w:t>
      </w:r>
      <w:r w:rsidR="00BC4BA9" w:rsidRPr="00BC4BA9">
        <w:rPr>
          <w:rFonts w:ascii="Abo-thar" w:hAnsi="Abo-thar" w:cs="CTraditional Arabic" w:hint="cs"/>
          <w:sz w:val="28"/>
          <w:rtl/>
        </w:rPr>
        <w:t>÷</w:t>
      </w:r>
      <w:r w:rsidRPr="003F3B94">
        <w:rPr>
          <w:rFonts w:ascii="Abo-thar" w:hAnsi="Abo-thar"/>
          <w:sz w:val="28"/>
          <w:rtl/>
        </w:rPr>
        <w:t xml:space="preserve"> </w:t>
      </w:r>
      <w:r w:rsidR="00217AB4" w:rsidRPr="003F3B94">
        <w:rPr>
          <w:rFonts w:ascii="Abo-thar" w:hAnsi="Abo-thar" w:hint="cs"/>
          <w:sz w:val="28"/>
          <w:rtl/>
        </w:rPr>
        <w:t>(</w:t>
      </w:r>
      <w:r w:rsidRPr="003F3B94">
        <w:rPr>
          <w:rFonts w:ascii="Abo-thar" w:hAnsi="Abo-thar" w:hint="cs"/>
          <w:sz w:val="28"/>
          <w:rtl/>
        </w:rPr>
        <w:t>أي الإمام علي بن محمد النقيّ</w:t>
      </w:r>
      <w:r w:rsidR="00217AB4" w:rsidRPr="003F3B94">
        <w:rPr>
          <w:rFonts w:ascii="Abo-thar" w:hAnsi="Abo-thar" w:hint="cs"/>
          <w:sz w:val="28"/>
          <w:rtl/>
        </w:rPr>
        <w:t>)</w:t>
      </w:r>
      <w:r w:rsidRPr="003F3B94">
        <w:rPr>
          <w:rFonts w:ascii="Abo-thar" w:hAnsi="Abo-thar" w:hint="cs"/>
          <w:sz w:val="28"/>
          <w:rtl/>
        </w:rPr>
        <w:t xml:space="preserve"> </w:t>
      </w:r>
      <w:r w:rsidRPr="003F3B94">
        <w:rPr>
          <w:rFonts w:ascii="Abo-thar" w:hAnsi="Abo-thar"/>
          <w:sz w:val="28"/>
          <w:rtl/>
        </w:rPr>
        <w:t>عَنْ رَجُلٍ أَصَابَ مِنْ ضَيْعَتِه</w:t>
      </w:r>
      <w:r w:rsidR="00217AB4" w:rsidRPr="003F3B94">
        <w:rPr>
          <w:rFonts w:ascii="Abo-thar" w:hAnsi="Abo-thar" w:hint="cs"/>
          <w:sz w:val="28"/>
          <w:rtl/>
        </w:rPr>
        <w:t>..</w:t>
      </w:r>
      <w:r w:rsidRPr="003F3B94">
        <w:rPr>
          <w:rFonts w:ascii="Abo-thar" w:hAnsi="Abo-thar" w:hint="cs"/>
          <w:sz w:val="28"/>
          <w:rtl/>
        </w:rPr>
        <w:t xml:space="preserve"> الخ</w:t>
      </w:r>
      <w:r w:rsidR="00217AB4" w:rsidRPr="003F3B94">
        <w:rPr>
          <w:rFonts w:ascii="Abo-thar" w:hAnsi="Abo-thar" w:hint="cs"/>
          <w:sz w:val="28"/>
          <w:rtl/>
        </w:rPr>
        <w:t>.</w:t>
      </w:r>
    </w:p>
    <w:p w:rsidR="005C664D" w:rsidRPr="00255A16" w:rsidRDefault="005C664D" w:rsidP="003F3B94">
      <w:pPr>
        <w:pStyle w:val="a0"/>
        <w:rPr>
          <w:rFonts w:hint="cs"/>
          <w:spacing w:val="-2"/>
          <w:rtl/>
        </w:rPr>
      </w:pPr>
      <w:r w:rsidRPr="00255A16">
        <w:rPr>
          <w:rFonts w:ascii="Abo-thar" w:hAnsi="Abo-thar" w:hint="cs"/>
          <w:spacing w:val="-2"/>
          <w:sz w:val="28"/>
          <w:rtl/>
        </w:rPr>
        <w:t>فهذا المتن لا يبين أي مزرعة كانت تلك التي طالبه الإمام بخمس ربحها الخالص</w:t>
      </w:r>
      <w:r w:rsidR="00217AB4" w:rsidRPr="00255A16">
        <w:rPr>
          <w:rFonts w:ascii="Abo-thar" w:hAnsi="Abo-thar" w:hint="cs"/>
          <w:spacing w:val="-2"/>
          <w:sz w:val="28"/>
          <w:rtl/>
        </w:rPr>
        <w:t>،</w:t>
      </w:r>
      <w:r w:rsidRPr="00255A16">
        <w:rPr>
          <w:rFonts w:ascii="Abo-thar" w:hAnsi="Abo-thar" w:hint="cs"/>
          <w:spacing w:val="-2"/>
          <w:sz w:val="28"/>
          <w:rtl/>
        </w:rPr>
        <w:t xml:space="preserve"> وذلك لأنه لم يكن رائجاً بين الشيعة في زمن حضرة الإمام الهادي أن يعطى الإمام خمس أرباح المزرعة التي أدى صاحبها زكاتها</w:t>
      </w:r>
      <w:r w:rsidR="00217AB4" w:rsidRPr="00255A16">
        <w:rPr>
          <w:rFonts w:ascii="Abo-thar" w:hAnsi="Abo-thar" w:hint="cs"/>
          <w:spacing w:val="-2"/>
          <w:sz w:val="28"/>
          <w:rtl/>
        </w:rPr>
        <w:t>،</w:t>
      </w:r>
      <w:r w:rsidRPr="00255A16">
        <w:rPr>
          <w:rFonts w:ascii="Abo-thar" w:hAnsi="Abo-thar" w:hint="cs"/>
          <w:spacing w:val="-2"/>
          <w:sz w:val="28"/>
          <w:rtl/>
        </w:rPr>
        <w:t xml:space="preserve"> فيُحْتَمل أن تكون هذه المزرعة أو الأرض وقفاً لآل محمد </w:t>
      </w:r>
      <w:r w:rsidR="00963EFD" w:rsidRPr="00255A16">
        <w:rPr>
          <w:rFonts w:ascii="Abo-thar" w:hAnsi="Abo-thar" w:cs="CTraditional Arabic" w:hint="cs"/>
          <w:spacing w:val="-2"/>
          <w:sz w:val="28"/>
          <w:rtl/>
        </w:rPr>
        <w:t>‡</w:t>
      </w:r>
      <w:r w:rsidR="00217AB4" w:rsidRPr="00255A16">
        <w:rPr>
          <w:rFonts w:ascii="Abo-thar" w:hAnsi="Abo-thar" w:hint="cs"/>
          <w:spacing w:val="-2"/>
          <w:sz w:val="28"/>
          <w:rtl/>
        </w:rPr>
        <w:t>،</w:t>
      </w:r>
      <w:r w:rsidRPr="00255A16">
        <w:rPr>
          <w:rFonts w:ascii="Abo-thar" w:hAnsi="Abo-thar" w:hint="cs"/>
          <w:spacing w:val="-2"/>
          <w:sz w:val="28"/>
          <w:rtl/>
        </w:rPr>
        <w:t xml:space="preserve"> إذ كانت توجد مثل هذه الموقوفات في ذلك الزمن حيث كان يصل للإمام خمس حاصلها بعد اقتطاع المؤونة منه</w:t>
      </w:r>
      <w:r w:rsidR="00217AB4" w:rsidRPr="00255A16">
        <w:rPr>
          <w:rFonts w:ascii="Abo-thar" w:hAnsi="Abo-thar" w:hint="cs"/>
          <w:spacing w:val="-2"/>
          <w:sz w:val="28"/>
          <w:rtl/>
        </w:rPr>
        <w:t>،</w:t>
      </w:r>
      <w:r w:rsidRPr="00255A16">
        <w:rPr>
          <w:rFonts w:ascii="Abo-thar" w:hAnsi="Abo-thar" w:hint="cs"/>
          <w:spacing w:val="-2"/>
          <w:sz w:val="28"/>
          <w:rtl/>
        </w:rPr>
        <w:t xml:space="preserve"> أو أنها كانت من الأراضي المفتوحة عنوة التي إذا قيل بأن فيها خمس الغنائم فإن خمسها يكون واجب الأداء للإمام بعد اقتطاع المؤونة منه</w:t>
      </w:r>
      <w:r w:rsidR="00217AB4" w:rsidRPr="00255A16">
        <w:rPr>
          <w:rFonts w:ascii="Abo-thar" w:hAnsi="Abo-thar" w:hint="cs"/>
          <w:spacing w:val="-2"/>
          <w:sz w:val="28"/>
          <w:rtl/>
        </w:rPr>
        <w:t>.</w:t>
      </w:r>
      <w:r w:rsidR="00147857" w:rsidRPr="00255A16">
        <w:rPr>
          <w:rFonts w:ascii="Abo-thar" w:hAnsi="Abo-thar" w:hint="cs"/>
          <w:spacing w:val="-2"/>
          <w:sz w:val="28"/>
          <w:rtl/>
        </w:rPr>
        <w:t xml:space="preserve"> </w:t>
      </w:r>
      <w:r w:rsidRPr="00255A16">
        <w:rPr>
          <w:rFonts w:ascii="Abo-thar" w:hAnsi="Abo-thar" w:hint="cs"/>
          <w:spacing w:val="-2"/>
          <w:sz w:val="28"/>
          <w:rtl/>
        </w:rPr>
        <w:t>وعلى كال حال فجهالة متن تلك الرواية أشدُّ من جهالة سندها</w:t>
      </w:r>
      <w:r w:rsidR="00217AB4" w:rsidRPr="00255A16">
        <w:rPr>
          <w:rFonts w:ascii="Abo-thar" w:hAnsi="Abo-thar" w:hint="cs"/>
          <w:spacing w:val="-2"/>
          <w:sz w:val="28"/>
          <w:rtl/>
        </w:rPr>
        <w:t>،</w:t>
      </w:r>
      <w:r w:rsidRPr="00255A16">
        <w:rPr>
          <w:rFonts w:ascii="Abo-thar" w:hAnsi="Abo-thar" w:hint="cs"/>
          <w:spacing w:val="-2"/>
          <w:sz w:val="28"/>
          <w:rtl/>
        </w:rPr>
        <w:t xml:space="preserve"> ولا يمكن أخذ مال امرئ مسلم استناداً إلى مثل هذا الحديث المجهول</w:t>
      </w:r>
      <w:r w:rsidR="00217AB4" w:rsidRPr="00255A16">
        <w:rPr>
          <w:rFonts w:ascii="Abo-thar" w:hAnsi="Abo-thar" w:hint="cs"/>
          <w:spacing w:val="-2"/>
          <w:sz w:val="28"/>
          <w:rtl/>
        </w:rPr>
        <w:t>،</w:t>
      </w:r>
      <w:r w:rsidR="00147857" w:rsidRPr="00255A16">
        <w:rPr>
          <w:rFonts w:ascii="Abo-thar" w:hAnsi="Abo-thar" w:hint="cs"/>
          <w:spacing w:val="-2"/>
          <w:sz w:val="28"/>
          <w:rtl/>
        </w:rPr>
        <w:t xml:space="preserve"> و</w:t>
      </w:r>
      <w:r w:rsidRPr="00255A16">
        <w:rPr>
          <w:rFonts w:ascii="Abo-thar" w:hAnsi="Abo-thar" w:hint="cs"/>
          <w:spacing w:val="-2"/>
          <w:sz w:val="28"/>
          <w:rtl/>
        </w:rPr>
        <w:t>حتى لو فرضنا جواز ذلك فإن هذا يكون أيضاً حقّاً للإمام الحيِّ الحاضر ولا وجوده لمثله في زماننا</w:t>
      </w:r>
      <w:r w:rsidR="00217AB4" w:rsidRPr="00255A16">
        <w:rPr>
          <w:rFonts w:ascii="Abo-thar" w:hAnsi="Abo-thar" w:hint="cs"/>
          <w:spacing w:val="-2"/>
          <w:sz w:val="28"/>
          <w:rtl/>
        </w:rPr>
        <w:t>.</w:t>
      </w:r>
      <w:r w:rsidRPr="00255A16">
        <w:rPr>
          <w:rFonts w:ascii="Abo-thar" w:hAnsi="Abo-thar" w:hint="cs"/>
          <w:spacing w:val="-2"/>
          <w:sz w:val="28"/>
          <w:rtl/>
        </w:rPr>
        <w:t xml:space="preserve"> ويُضاف إلى هذا أحاديث تحليل الخُمس التي سيأتي ذكرها لاحقاً إن شاء الله</w:t>
      </w:r>
      <w:r w:rsidR="00217AB4" w:rsidRPr="00255A16">
        <w:rPr>
          <w:rFonts w:ascii="Abo-thar" w:hAnsi="Abo-thar" w:hint="cs"/>
          <w:spacing w:val="-2"/>
          <w:sz w:val="28"/>
          <w:rtl/>
        </w:rPr>
        <w:t>.</w:t>
      </w:r>
    </w:p>
    <w:p w:rsidR="005C664D" w:rsidRPr="003F3B94" w:rsidRDefault="005C664D" w:rsidP="003F3B94">
      <w:pPr>
        <w:pStyle w:val="a0"/>
        <w:rPr>
          <w:rFonts w:hint="cs"/>
          <w:rtl/>
        </w:rPr>
      </w:pPr>
      <w:r w:rsidRPr="00255A16">
        <w:rPr>
          <w:rFonts w:ascii="Abo-thar" w:hAnsi="Abo-thar" w:hint="cs"/>
          <w:b/>
          <w:bCs/>
          <w:sz w:val="28"/>
          <w:rtl/>
        </w:rPr>
        <w:t>الحديث الثاني</w:t>
      </w:r>
      <w:r w:rsidR="00217AB4" w:rsidRPr="003F3B94">
        <w:rPr>
          <w:rFonts w:ascii="Abo-thar" w:hAnsi="Abo-thar" w:hint="cs"/>
          <w:sz w:val="28"/>
          <w:rtl/>
        </w:rPr>
        <w:t>:</w:t>
      </w:r>
      <w:r w:rsidRPr="003F3B94">
        <w:rPr>
          <w:rFonts w:ascii="Abo-thar" w:hAnsi="Abo-thar" w:hint="cs"/>
          <w:sz w:val="28"/>
          <w:rtl/>
        </w:rPr>
        <w:t xml:space="preserve"> </w:t>
      </w:r>
      <w:r w:rsidR="00EF2588" w:rsidRPr="00891167">
        <w:rPr>
          <w:rFonts w:ascii="Abo-thar" w:hAnsi="Abo-thar" w:cs="KFGQPC Uthman Taha Naskh" w:hint="cs"/>
          <w:sz w:val="28"/>
          <w:rtl/>
        </w:rPr>
        <w:t>«</w:t>
      </w:r>
      <w:r w:rsidRPr="00891167">
        <w:rPr>
          <w:rFonts w:ascii="Abo-thar" w:hAnsi="Abo-thar" w:cs="KFGQPC Uthman Taha Naskh"/>
          <w:b/>
          <w:bCs/>
          <w:sz w:val="28"/>
          <w:rtl/>
        </w:rPr>
        <w:t>عَنْ عَلِيِّ بْنِ مَهْزِيَارَ قَالَ</w:t>
      </w:r>
      <w:r w:rsidR="00EE7F5E">
        <w:rPr>
          <w:rFonts w:ascii="Abo-thar" w:hAnsi="Abo-thar" w:cs="KFGQPC Uthman Taha Naskh" w:hint="cs"/>
          <w:b/>
          <w:bCs/>
          <w:sz w:val="28"/>
          <w:rtl/>
        </w:rPr>
        <w:t>:</w:t>
      </w:r>
      <w:r w:rsidRPr="00891167">
        <w:rPr>
          <w:rFonts w:ascii="Abo-thar" w:hAnsi="Abo-thar" w:cs="KFGQPC Uthman Taha Naskh"/>
          <w:b/>
          <w:bCs/>
          <w:sz w:val="28"/>
          <w:rtl/>
        </w:rPr>
        <w:t xml:space="preserve"> قَالَ لِي أَبُو عَلِيِّ بْنُ رَاشِدٍ</w:t>
      </w:r>
      <w:r w:rsidR="00217AB4" w:rsidRPr="00891167">
        <w:rPr>
          <w:rFonts w:ascii="Abo-thar" w:hAnsi="Abo-thar" w:cs="KFGQPC Uthman Taha Naskh" w:hint="cs"/>
          <w:b/>
          <w:bCs/>
          <w:sz w:val="28"/>
          <w:rtl/>
        </w:rPr>
        <w:t>:</w:t>
      </w:r>
      <w:r w:rsidRPr="00891167">
        <w:rPr>
          <w:rFonts w:ascii="Abo-thar" w:hAnsi="Abo-thar" w:cs="KFGQPC Uthman Taha Naskh"/>
          <w:b/>
          <w:bCs/>
          <w:sz w:val="28"/>
          <w:rtl/>
        </w:rPr>
        <w:t xml:space="preserve"> قُلْتُ لَهُ</w:t>
      </w:r>
      <w:r w:rsidR="00217AB4" w:rsidRPr="00891167">
        <w:rPr>
          <w:rFonts w:ascii="Abo-thar" w:hAnsi="Abo-thar" w:cs="KFGQPC Uthman Taha Naskh" w:hint="cs"/>
          <w:b/>
          <w:bCs/>
          <w:sz w:val="28"/>
          <w:rtl/>
        </w:rPr>
        <w:t>:</w:t>
      </w:r>
      <w:r w:rsidRPr="00891167">
        <w:rPr>
          <w:rFonts w:ascii="Abo-thar" w:hAnsi="Abo-thar" w:cs="KFGQPC Uthman Taha Naskh"/>
          <w:b/>
          <w:bCs/>
          <w:sz w:val="28"/>
          <w:rtl/>
        </w:rPr>
        <w:t xml:space="preserve"> أَمَرْتَنِي بِالْقِيَامِ بِأَمْرِكَ وَأَخْذِ حَقِّكَ فَأَعْلَمْتُ مَوَالِيَكَ بِذَلِكَ فَقَالَ لِي بَعْضُهُمْ</w:t>
      </w:r>
      <w:r w:rsidR="00217AB4" w:rsidRPr="00891167">
        <w:rPr>
          <w:rFonts w:ascii="Abo-thar" w:hAnsi="Abo-thar" w:cs="KFGQPC Uthman Taha Naskh" w:hint="cs"/>
          <w:b/>
          <w:bCs/>
          <w:sz w:val="28"/>
          <w:rtl/>
        </w:rPr>
        <w:t>:</w:t>
      </w:r>
      <w:r w:rsidRPr="00891167">
        <w:rPr>
          <w:rFonts w:ascii="Abo-thar" w:hAnsi="Abo-thar" w:cs="KFGQPC Uthman Taha Naskh"/>
          <w:b/>
          <w:bCs/>
          <w:sz w:val="28"/>
          <w:rtl/>
        </w:rPr>
        <w:t xml:space="preserve"> وَأَيُّ شَيْ‏ءٍ حَقُّهُ</w:t>
      </w:r>
      <w:r w:rsidR="00217AB4" w:rsidRPr="00891167">
        <w:rPr>
          <w:rFonts w:ascii="Abo-thar" w:hAnsi="Abo-thar" w:cs="KFGQPC Uthman Taha Naskh" w:hint="cs"/>
          <w:b/>
          <w:bCs/>
          <w:sz w:val="28"/>
          <w:rtl/>
        </w:rPr>
        <w:t>؟</w:t>
      </w:r>
      <w:r w:rsidRPr="00891167">
        <w:rPr>
          <w:rFonts w:ascii="Abo-thar" w:hAnsi="Abo-thar" w:cs="KFGQPC Uthman Taha Naskh"/>
          <w:b/>
          <w:bCs/>
          <w:sz w:val="28"/>
          <w:rtl/>
        </w:rPr>
        <w:t xml:space="preserve"> فَلَمْ أَدْرِ مَا أُجِيبُهُ</w:t>
      </w:r>
      <w:r w:rsidR="00217AB4" w:rsidRPr="00891167">
        <w:rPr>
          <w:rFonts w:ascii="Abo-thar" w:hAnsi="Abo-thar" w:cs="KFGQPC Uthman Taha Naskh" w:hint="cs"/>
          <w:b/>
          <w:bCs/>
          <w:sz w:val="28"/>
          <w:rtl/>
        </w:rPr>
        <w:t>؟!</w:t>
      </w:r>
      <w:r w:rsidRPr="00891167">
        <w:rPr>
          <w:rFonts w:ascii="Abo-thar" w:hAnsi="Abo-thar" w:cs="KFGQPC Uthman Taha Naskh"/>
          <w:b/>
          <w:bCs/>
          <w:sz w:val="28"/>
          <w:rtl/>
        </w:rPr>
        <w:t xml:space="preserve"> فَقَالَ</w:t>
      </w:r>
      <w:r w:rsidR="00217AB4" w:rsidRPr="00891167">
        <w:rPr>
          <w:rFonts w:ascii="Abo-thar" w:hAnsi="Abo-thar" w:cs="KFGQPC Uthman Taha Naskh" w:hint="cs"/>
          <w:b/>
          <w:bCs/>
          <w:sz w:val="28"/>
          <w:rtl/>
        </w:rPr>
        <w:t>:</w:t>
      </w:r>
      <w:r w:rsidRPr="00891167">
        <w:rPr>
          <w:rFonts w:ascii="Abo-thar" w:hAnsi="Abo-thar" w:cs="KFGQPC Uthman Taha Naskh"/>
          <w:b/>
          <w:bCs/>
          <w:sz w:val="28"/>
          <w:rtl/>
        </w:rPr>
        <w:t xml:space="preserve"> يَجِبُ عَلَيْهِمُ الخُمُسُ</w:t>
      </w:r>
      <w:r w:rsidR="00217AB4" w:rsidRPr="00891167">
        <w:rPr>
          <w:rFonts w:ascii="Abo-thar" w:hAnsi="Abo-thar" w:cs="KFGQPC Uthman Taha Naskh" w:hint="cs"/>
          <w:b/>
          <w:bCs/>
          <w:sz w:val="28"/>
          <w:rtl/>
        </w:rPr>
        <w:t>.</w:t>
      </w:r>
      <w:r w:rsidRPr="00891167">
        <w:rPr>
          <w:rFonts w:ascii="Abo-thar" w:hAnsi="Abo-thar" w:cs="KFGQPC Uthman Taha Naskh"/>
          <w:b/>
          <w:bCs/>
          <w:sz w:val="28"/>
          <w:rtl/>
        </w:rPr>
        <w:t xml:space="preserve"> فَقُلْتُ</w:t>
      </w:r>
      <w:r w:rsidR="00217AB4" w:rsidRPr="00891167">
        <w:rPr>
          <w:rFonts w:ascii="Abo-thar" w:hAnsi="Abo-thar" w:cs="KFGQPC Uthman Taha Naskh" w:hint="cs"/>
          <w:b/>
          <w:bCs/>
          <w:sz w:val="28"/>
          <w:rtl/>
        </w:rPr>
        <w:t>:</w:t>
      </w:r>
      <w:r w:rsidRPr="00891167">
        <w:rPr>
          <w:rFonts w:ascii="Abo-thar" w:hAnsi="Abo-thar" w:cs="KFGQPC Uthman Taha Naskh"/>
          <w:b/>
          <w:bCs/>
          <w:sz w:val="28"/>
          <w:rtl/>
        </w:rPr>
        <w:t xml:space="preserve"> فَفِي أَيِّ شَيْ‏ءٍ</w:t>
      </w:r>
      <w:r w:rsidR="00217AB4" w:rsidRPr="00891167">
        <w:rPr>
          <w:rFonts w:ascii="Abo-thar" w:hAnsi="Abo-thar" w:cs="KFGQPC Uthman Taha Naskh" w:hint="cs"/>
          <w:b/>
          <w:bCs/>
          <w:sz w:val="28"/>
          <w:rtl/>
        </w:rPr>
        <w:t>؟</w:t>
      </w:r>
      <w:r w:rsidRPr="00891167">
        <w:rPr>
          <w:rFonts w:ascii="Abo-thar" w:hAnsi="Abo-thar" w:cs="KFGQPC Uthman Taha Naskh"/>
          <w:b/>
          <w:bCs/>
          <w:sz w:val="28"/>
          <w:rtl/>
        </w:rPr>
        <w:t xml:space="preserve"> فَقَالَ</w:t>
      </w:r>
      <w:r w:rsidR="00217AB4" w:rsidRPr="00891167">
        <w:rPr>
          <w:rFonts w:ascii="Abo-thar" w:hAnsi="Abo-thar" w:cs="KFGQPC Uthman Taha Naskh" w:hint="cs"/>
          <w:b/>
          <w:bCs/>
          <w:sz w:val="28"/>
          <w:rtl/>
        </w:rPr>
        <w:t>:</w:t>
      </w:r>
      <w:r w:rsidRPr="00891167">
        <w:rPr>
          <w:rFonts w:ascii="Abo-thar" w:hAnsi="Abo-thar" w:cs="KFGQPC Uthman Taha Naskh"/>
          <w:b/>
          <w:bCs/>
          <w:sz w:val="28"/>
          <w:rtl/>
        </w:rPr>
        <w:t xml:space="preserve"> فِي أَمْتِعَتِهِمْ وَصَنَائِعِهِمْ</w:t>
      </w:r>
      <w:r w:rsidR="00217AB4" w:rsidRPr="00891167">
        <w:rPr>
          <w:rFonts w:ascii="Abo-thar" w:hAnsi="Abo-thar" w:cs="KFGQPC Uthman Taha Naskh" w:hint="cs"/>
          <w:b/>
          <w:bCs/>
          <w:sz w:val="28"/>
          <w:rtl/>
        </w:rPr>
        <w:t>.</w:t>
      </w:r>
      <w:r w:rsidRPr="00891167">
        <w:rPr>
          <w:rFonts w:ascii="Abo-thar" w:hAnsi="Abo-thar" w:cs="KFGQPC Uthman Taha Naskh"/>
          <w:b/>
          <w:bCs/>
          <w:sz w:val="28"/>
          <w:rtl/>
        </w:rPr>
        <w:t xml:space="preserve"> قُلْتُ</w:t>
      </w:r>
      <w:r w:rsidR="00217AB4" w:rsidRPr="00891167">
        <w:rPr>
          <w:rFonts w:ascii="Abo-thar" w:hAnsi="Abo-thar" w:cs="KFGQPC Uthman Taha Naskh" w:hint="cs"/>
          <w:b/>
          <w:bCs/>
          <w:sz w:val="28"/>
          <w:rtl/>
        </w:rPr>
        <w:t>:</w:t>
      </w:r>
      <w:r w:rsidRPr="00891167">
        <w:rPr>
          <w:rFonts w:ascii="Abo-thar" w:hAnsi="Abo-thar" w:cs="KFGQPC Uthman Taha Naskh"/>
          <w:b/>
          <w:bCs/>
          <w:sz w:val="28"/>
          <w:rtl/>
        </w:rPr>
        <w:t xml:space="preserve"> وَالتَّاجِرُ عَلَيْهِ وَالصَّانِعُ بِيَدِهِ</w:t>
      </w:r>
      <w:r w:rsidR="00217AB4" w:rsidRPr="00891167">
        <w:rPr>
          <w:rFonts w:ascii="Abo-thar" w:hAnsi="Abo-thar" w:cs="KFGQPC Uthman Taha Naskh" w:hint="cs"/>
          <w:b/>
          <w:bCs/>
          <w:sz w:val="28"/>
          <w:rtl/>
        </w:rPr>
        <w:t>؟</w:t>
      </w:r>
      <w:r w:rsidRPr="00891167">
        <w:rPr>
          <w:rFonts w:ascii="Abo-thar" w:hAnsi="Abo-thar" w:cs="KFGQPC Uthman Taha Naskh"/>
          <w:b/>
          <w:bCs/>
          <w:sz w:val="28"/>
          <w:rtl/>
        </w:rPr>
        <w:t xml:space="preserve"> فَقَالَ</w:t>
      </w:r>
      <w:r w:rsidR="00217AB4" w:rsidRPr="00891167">
        <w:rPr>
          <w:rFonts w:ascii="Abo-thar" w:hAnsi="Abo-thar" w:cs="KFGQPC Uthman Taha Naskh" w:hint="cs"/>
          <w:b/>
          <w:bCs/>
          <w:sz w:val="28"/>
          <w:rtl/>
        </w:rPr>
        <w:t>:</w:t>
      </w:r>
      <w:r w:rsidRPr="00891167">
        <w:rPr>
          <w:rFonts w:ascii="Abo-thar" w:hAnsi="Abo-thar" w:cs="KFGQPC Uthman Taha Naskh"/>
          <w:b/>
          <w:bCs/>
          <w:sz w:val="28"/>
          <w:rtl/>
        </w:rPr>
        <w:t xml:space="preserve"> إِذَا أَمْكَنَهُمْ بَعْدَ مَئُونَتِهِمْ</w:t>
      </w:r>
      <w:r w:rsidR="00F456DF" w:rsidRPr="00891167">
        <w:rPr>
          <w:rFonts w:ascii="Abo-thar" w:hAnsi="Abo-thar" w:cs="KFGQPC Uthman Taha Naskh" w:hint="cs"/>
          <w:sz w:val="28"/>
          <w:rtl/>
        </w:rPr>
        <w:t>»</w:t>
      </w:r>
      <w:r w:rsidR="00217AB4" w:rsidRPr="003F3B94">
        <w:rPr>
          <w:rFonts w:ascii="Abo-thar" w:hAnsi="Abo-thar" w:hint="cs"/>
          <w:sz w:val="28"/>
          <w:rtl/>
        </w:rPr>
        <w:t>.</w:t>
      </w:r>
    </w:p>
    <w:p w:rsidR="005C664D" w:rsidRPr="003F3B94" w:rsidRDefault="005C664D" w:rsidP="003F3B94">
      <w:pPr>
        <w:pStyle w:val="a0"/>
        <w:rPr>
          <w:rFonts w:hint="cs"/>
          <w:rtl/>
        </w:rPr>
      </w:pPr>
      <w:r w:rsidRPr="003F3B94">
        <w:rPr>
          <w:rFonts w:ascii="Abo-thar" w:hAnsi="Abo-thar" w:hint="cs"/>
          <w:sz w:val="28"/>
          <w:rtl/>
        </w:rPr>
        <w:t xml:space="preserve">في هذا الحديث يقول </w:t>
      </w:r>
      <w:r w:rsidRPr="003F3B94">
        <w:rPr>
          <w:rFonts w:ascii="Abo-thar" w:hAnsi="Abo-thar"/>
          <w:sz w:val="28"/>
          <w:rtl/>
        </w:rPr>
        <w:t>«عَلِيِّ بْنِ مَهْزِيَارَ»</w:t>
      </w:r>
      <w:r w:rsidRPr="003F3B94">
        <w:rPr>
          <w:rFonts w:ascii="Abo-thar" w:hAnsi="Abo-thar" w:hint="cs"/>
          <w:sz w:val="28"/>
          <w:rtl/>
        </w:rPr>
        <w:t xml:space="preserve"> عرَّاب الخُمس وبطله أن </w:t>
      </w:r>
      <w:r w:rsidRPr="003F3B94">
        <w:rPr>
          <w:rFonts w:ascii="Abo-thar" w:hAnsi="Abo-thar"/>
          <w:sz w:val="28"/>
          <w:rtl/>
        </w:rPr>
        <w:t>عَلِيّ</w:t>
      </w:r>
      <w:r w:rsidRPr="003F3B94">
        <w:rPr>
          <w:rFonts w:ascii="Abo-thar" w:hAnsi="Abo-thar" w:hint="cs"/>
          <w:sz w:val="28"/>
          <w:rtl/>
        </w:rPr>
        <w:t>َ</w:t>
      </w:r>
      <w:r w:rsidRPr="003F3B94">
        <w:rPr>
          <w:rFonts w:ascii="Abo-thar" w:hAnsi="Abo-thar"/>
          <w:sz w:val="28"/>
          <w:rtl/>
        </w:rPr>
        <w:t xml:space="preserve"> بْن</w:t>
      </w:r>
      <w:r w:rsidRPr="003F3B94">
        <w:rPr>
          <w:rFonts w:ascii="Abo-thar" w:hAnsi="Abo-thar" w:hint="cs"/>
          <w:sz w:val="28"/>
          <w:rtl/>
        </w:rPr>
        <w:t>َ</w:t>
      </w:r>
      <w:r w:rsidRPr="003F3B94">
        <w:rPr>
          <w:rFonts w:ascii="Abo-thar" w:hAnsi="Abo-thar"/>
          <w:sz w:val="28"/>
          <w:rtl/>
        </w:rPr>
        <w:t xml:space="preserve"> رَاشِدٍ</w:t>
      </w:r>
      <w:r w:rsidRPr="003F3B94">
        <w:rPr>
          <w:rFonts w:ascii="Abo-thar" w:hAnsi="Abo-thar" w:hint="cs"/>
          <w:sz w:val="28"/>
          <w:rtl/>
        </w:rPr>
        <w:t xml:space="preserve"> قَالَ</w:t>
      </w:r>
      <w:r w:rsidR="00217AB4" w:rsidRPr="003F3B94">
        <w:rPr>
          <w:rFonts w:ascii="Abo-thar" w:hAnsi="Abo-thar" w:hint="cs"/>
          <w:sz w:val="28"/>
          <w:rtl/>
        </w:rPr>
        <w:t>:</w:t>
      </w:r>
      <w:r w:rsidRPr="003F3B94">
        <w:rPr>
          <w:rFonts w:ascii="Abo-thar" w:hAnsi="Abo-thar" w:hint="cs"/>
          <w:sz w:val="28"/>
          <w:rtl/>
        </w:rPr>
        <w:t xml:space="preserve"> «</w:t>
      </w:r>
      <w:r w:rsidRPr="003F3B94">
        <w:rPr>
          <w:rFonts w:ascii="Abo-thar" w:hAnsi="Abo-thar"/>
          <w:sz w:val="28"/>
          <w:rtl/>
        </w:rPr>
        <w:t>قُلْتُ لَهُ</w:t>
      </w:r>
      <w:r w:rsidRPr="003F3B94">
        <w:rPr>
          <w:rFonts w:ascii="Abo-thar" w:hAnsi="Abo-thar" w:hint="cs"/>
          <w:sz w:val="28"/>
          <w:rtl/>
        </w:rPr>
        <w:t>»</w:t>
      </w:r>
      <w:r w:rsidR="00217AB4" w:rsidRPr="003F3B94">
        <w:rPr>
          <w:rFonts w:ascii="Abo-thar" w:hAnsi="Abo-thar" w:hint="cs"/>
          <w:sz w:val="28"/>
          <w:rtl/>
        </w:rPr>
        <w:t>!</w:t>
      </w:r>
      <w:r w:rsidRPr="003F3B94">
        <w:rPr>
          <w:rFonts w:ascii="Abo-thar" w:hAnsi="Abo-thar" w:hint="cs"/>
          <w:sz w:val="28"/>
          <w:rtl/>
        </w:rPr>
        <w:t xml:space="preserve"> هكذا دون أن يبين إلى من يعود الضمير</w:t>
      </w:r>
      <w:r w:rsidR="00217AB4" w:rsidRPr="003F3B94">
        <w:rPr>
          <w:rFonts w:ascii="Abo-thar" w:hAnsi="Abo-thar" w:hint="cs"/>
          <w:sz w:val="28"/>
          <w:rtl/>
        </w:rPr>
        <w:t>،</w:t>
      </w:r>
      <w:r w:rsidRPr="003F3B94">
        <w:rPr>
          <w:rFonts w:ascii="Abo-thar" w:hAnsi="Abo-thar" w:hint="cs"/>
          <w:sz w:val="28"/>
          <w:rtl/>
        </w:rPr>
        <w:t xml:space="preserve"> أي دون تصريح بهوية المقول له أو المسؤول</w:t>
      </w:r>
      <w:r w:rsidR="00217AB4" w:rsidRPr="003F3B94">
        <w:rPr>
          <w:rFonts w:ascii="Abo-thar" w:hAnsi="Abo-thar" w:hint="cs"/>
          <w:sz w:val="28"/>
          <w:rtl/>
        </w:rPr>
        <w:t>،</w:t>
      </w:r>
      <w:r w:rsidRPr="003F3B94">
        <w:rPr>
          <w:rFonts w:ascii="Abo-thar" w:hAnsi="Abo-thar" w:hint="cs"/>
          <w:sz w:val="28"/>
          <w:rtl/>
        </w:rPr>
        <w:t xml:space="preserve"> فهو مجهول وقد لا يكون إماماً معصوماً</w:t>
      </w:r>
      <w:r w:rsidR="00217AB4" w:rsidRPr="003F3B94">
        <w:rPr>
          <w:rFonts w:ascii="Abo-thar" w:hAnsi="Abo-thar" w:hint="cs"/>
          <w:sz w:val="28"/>
          <w:rtl/>
        </w:rPr>
        <w:t>.</w:t>
      </w:r>
      <w:r w:rsidR="00147857" w:rsidRPr="003F3B94">
        <w:rPr>
          <w:rFonts w:ascii="Abo-thar" w:hAnsi="Abo-thar" w:hint="cs"/>
          <w:sz w:val="28"/>
          <w:rtl/>
        </w:rPr>
        <w:t xml:space="preserve"> </w:t>
      </w:r>
      <w:r w:rsidRPr="003F3B94">
        <w:rPr>
          <w:rFonts w:ascii="Abo-thar" w:hAnsi="Abo-thar" w:hint="cs"/>
          <w:sz w:val="28"/>
          <w:rtl/>
        </w:rPr>
        <w:t>ثم جاء في متنه</w:t>
      </w:r>
      <w:r w:rsidR="00217AB4" w:rsidRPr="003F3B94">
        <w:rPr>
          <w:rFonts w:ascii="Abo-thar" w:hAnsi="Abo-thar" w:hint="cs"/>
          <w:sz w:val="28"/>
          <w:rtl/>
        </w:rPr>
        <w:t>،</w:t>
      </w:r>
      <w:r w:rsidRPr="003F3B94">
        <w:rPr>
          <w:rFonts w:ascii="Abo-thar" w:hAnsi="Abo-thar" w:hint="cs"/>
          <w:sz w:val="28"/>
          <w:rtl/>
        </w:rPr>
        <w:t xml:space="preserve"> </w:t>
      </w:r>
      <w:r w:rsidRPr="003F3B94">
        <w:rPr>
          <w:rFonts w:ascii="Abo-thar" w:hAnsi="Abo-thar"/>
          <w:sz w:val="28"/>
          <w:rtl/>
        </w:rPr>
        <w:t>«</w:t>
      </w:r>
      <w:r w:rsidRPr="003F3B94">
        <w:rPr>
          <w:rFonts w:ascii="Abo-thar" w:hAnsi="Abo-thar"/>
          <w:b/>
          <w:bCs/>
          <w:sz w:val="28"/>
          <w:rtl/>
        </w:rPr>
        <w:t>فَقَالَ لِي بَعْضُهُمْ</w:t>
      </w:r>
      <w:r w:rsidRPr="003F3B94">
        <w:rPr>
          <w:rFonts w:ascii="Abo-thar" w:hAnsi="Abo-thar"/>
          <w:sz w:val="28"/>
          <w:rtl/>
        </w:rPr>
        <w:t>»</w:t>
      </w:r>
      <w:r w:rsidRPr="003F3B94">
        <w:rPr>
          <w:rFonts w:ascii="Abo-thar" w:hAnsi="Abo-thar" w:hint="cs"/>
          <w:sz w:val="28"/>
          <w:rtl/>
        </w:rPr>
        <w:t xml:space="preserve"> وفيه إحالة إلى مجهول أيضاً</w:t>
      </w:r>
      <w:r w:rsidR="00217AB4" w:rsidRPr="003F3B94">
        <w:rPr>
          <w:rFonts w:ascii="Abo-thar" w:hAnsi="Abo-thar" w:hint="cs"/>
          <w:sz w:val="28"/>
          <w:rtl/>
        </w:rPr>
        <w:t>،</w:t>
      </w:r>
      <w:r w:rsidRPr="003F3B94">
        <w:rPr>
          <w:rFonts w:ascii="Abo-thar" w:hAnsi="Abo-thar" w:hint="cs"/>
          <w:sz w:val="28"/>
          <w:rtl/>
        </w:rPr>
        <w:t xml:space="preserve"> فهذا المتن مجهول جداً لدرجة أنه ليس فيه ذكر أو بيان لهوية السائل ولا هوية المسؤول</w:t>
      </w:r>
      <w:r w:rsidR="00217AB4" w:rsidRPr="003F3B94">
        <w:rPr>
          <w:rFonts w:ascii="Abo-thar" w:hAnsi="Abo-thar" w:hint="cs"/>
          <w:sz w:val="28"/>
          <w:rtl/>
        </w:rPr>
        <w:t>!!</w:t>
      </w:r>
      <w:r w:rsidRPr="003F3B94">
        <w:rPr>
          <w:rFonts w:ascii="Abo-thar" w:hAnsi="Abo-thar" w:hint="cs"/>
          <w:sz w:val="28"/>
          <w:rtl/>
        </w:rPr>
        <w:t xml:space="preserve"> </w:t>
      </w:r>
    </w:p>
    <w:p w:rsidR="005C664D" w:rsidRPr="003F3B94" w:rsidRDefault="005C664D" w:rsidP="003F3B94">
      <w:pPr>
        <w:pStyle w:val="a0"/>
        <w:rPr>
          <w:rFonts w:hint="cs"/>
          <w:rtl/>
        </w:rPr>
      </w:pPr>
      <w:r w:rsidRPr="003F3B94">
        <w:rPr>
          <w:rFonts w:ascii="Abo-thar" w:hAnsi="Abo-thar" w:hint="cs"/>
          <w:sz w:val="28"/>
          <w:rtl/>
        </w:rPr>
        <w:t xml:space="preserve">أما من ناحية السند فراوي الحديث المتصل بالمعصوم </w:t>
      </w:r>
      <w:r w:rsidR="00217AB4" w:rsidRPr="003F3B94">
        <w:rPr>
          <w:rFonts w:ascii="Abo-thar" w:hAnsi="Abo-thar" w:hint="cs"/>
          <w:sz w:val="28"/>
          <w:rtl/>
        </w:rPr>
        <w:t>(</w:t>
      </w:r>
      <w:r w:rsidRPr="003F3B94">
        <w:rPr>
          <w:rFonts w:ascii="Abo-thar" w:hAnsi="Abo-thar" w:hint="cs"/>
          <w:sz w:val="28"/>
          <w:rtl/>
        </w:rPr>
        <w:t>إن كان المسؤول هو المعصوم فعلاً</w:t>
      </w:r>
      <w:r w:rsidR="00217AB4" w:rsidRPr="003F3B94">
        <w:rPr>
          <w:rFonts w:ascii="Abo-thar" w:hAnsi="Abo-thar" w:hint="cs"/>
          <w:sz w:val="28"/>
          <w:rtl/>
        </w:rPr>
        <w:t>)</w:t>
      </w:r>
      <w:r w:rsidRPr="003F3B94">
        <w:rPr>
          <w:rFonts w:ascii="Abo-thar" w:hAnsi="Abo-thar" w:hint="cs"/>
          <w:sz w:val="28"/>
          <w:rtl/>
        </w:rPr>
        <w:t xml:space="preserve"> هو </w:t>
      </w:r>
      <w:r w:rsidRPr="003F3B94">
        <w:rPr>
          <w:rFonts w:ascii="Abo-thar" w:hAnsi="Abo-thar"/>
          <w:sz w:val="28"/>
          <w:rtl/>
        </w:rPr>
        <w:t>«</w:t>
      </w:r>
      <w:r w:rsidRPr="003F3B94">
        <w:rPr>
          <w:rFonts w:ascii="Abo-thar" w:hAnsi="Abo-thar"/>
          <w:b/>
          <w:bCs/>
          <w:sz w:val="28"/>
          <w:rtl/>
        </w:rPr>
        <w:t>أَبُو عَلِيِّ بْنُ رَاشِدٍ</w:t>
      </w:r>
      <w:r w:rsidRPr="003F3B94">
        <w:rPr>
          <w:rFonts w:ascii="Abo-thar" w:hAnsi="Abo-thar"/>
          <w:sz w:val="28"/>
          <w:rtl/>
        </w:rPr>
        <w:t>»</w:t>
      </w:r>
      <w:r w:rsidRPr="003F3B94">
        <w:rPr>
          <w:rFonts w:ascii="Abo-thar" w:hAnsi="Abo-thar" w:hint="cs"/>
          <w:sz w:val="28"/>
          <w:rtl/>
        </w:rPr>
        <w:t xml:space="preserve"> واسمه طبقاً لما تذكره كتب الرجال</w:t>
      </w:r>
      <w:r w:rsidR="00217AB4" w:rsidRPr="003F3B94">
        <w:rPr>
          <w:rFonts w:ascii="Abo-thar" w:hAnsi="Abo-thar" w:hint="cs"/>
          <w:sz w:val="28"/>
          <w:rtl/>
        </w:rPr>
        <w:t>:</w:t>
      </w:r>
      <w:r w:rsidRPr="003F3B94">
        <w:rPr>
          <w:rFonts w:ascii="Abo-thar" w:hAnsi="Abo-thar" w:hint="cs"/>
          <w:sz w:val="28"/>
          <w:rtl/>
        </w:rPr>
        <w:t xml:space="preserve"> </w:t>
      </w:r>
      <w:r w:rsidRPr="003F3B94">
        <w:rPr>
          <w:rFonts w:ascii="Abo-thar" w:hAnsi="Abo-thar"/>
          <w:sz w:val="28"/>
          <w:rtl/>
        </w:rPr>
        <w:t>«</w:t>
      </w:r>
      <w:r w:rsidRPr="003F3B94">
        <w:rPr>
          <w:rFonts w:ascii="Abo-thar" w:hAnsi="Abo-thar" w:hint="cs"/>
          <w:sz w:val="28"/>
          <w:rtl/>
        </w:rPr>
        <w:t>الحسن بن راشد</w:t>
      </w:r>
      <w:r w:rsidRPr="003F3B94">
        <w:rPr>
          <w:rFonts w:ascii="Abo-thar" w:hAnsi="Abo-thar"/>
          <w:sz w:val="28"/>
          <w:rtl/>
        </w:rPr>
        <w:t>»</w:t>
      </w:r>
      <w:r w:rsidR="00217AB4" w:rsidRPr="003F3B94">
        <w:rPr>
          <w:rFonts w:ascii="Abo-thar" w:hAnsi="Abo-thar" w:hint="cs"/>
          <w:sz w:val="28"/>
          <w:rtl/>
        </w:rPr>
        <w:t>،</w:t>
      </w:r>
      <w:r w:rsidRPr="003F3B94">
        <w:rPr>
          <w:rFonts w:ascii="Abo-thar" w:hAnsi="Abo-thar" w:hint="cs"/>
          <w:sz w:val="28"/>
          <w:rtl/>
        </w:rPr>
        <w:t xml:space="preserve"> وكان </w:t>
      </w:r>
      <w:r w:rsidR="00217AB4" w:rsidRPr="003F3B94">
        <w:rPr>
          <w:rFonts w:ascii="Abo-thar" w:hAnsi="Abo-thar" w:hint="cs"/>
          <w:sz w:val="28"/>
          <w:rtl/>
        </w:rPr>
        <w:t>-</w:t>
      </w:r>
      <w:r w:rsidRPr="003F3B94">
        <w:rPr>
          <w:rFonts w:ascii="Abo-thar" w:hAnsi="Abo-thar" w:hint="cs"/>
          <w:sz w:val="28"/>
          <w:rtl/>
        </w:rPr>
        <w:t xml:space="preserve"> حسب رجال البرقي وابن داود </w:t>
      </w:r>
      <w:r w:rsidRPr="003F3B94">
        <w:rPr>
          <w:rFonts w:cs="Times New Roman" w:hint="cs"/>
          <w:sz w:val="28"/>
          <w:rtl/>
        </w:rPr>
        <w:t>–</w:t>
      </w:r>
      <w:r w:rsidRPr="003F3B94">
        <w:rPr>
          <w:rFonts w:ascii="Abo-thar" w:hAnsi="Abo-thar" w:hint="cs"/>
          <w:sz w:val="28"/>
          <w:rtl/>
        </w:rPr>
        <w:t xml:space="preserve"> من أصحاب حضرة الإمام الجواد</w:t>
      </w:r>
      <w:r w:rsidR="00147857" w:rsidRPr="003F3B94">
        <w:rPr>
          <w:rFonts w:ascii="Abo-thar" w:hAnsi="Abo-thar" w:hint="cs"/>
          <w:sz w:val="28"/>
          <w:rtl/>
        </w:rPr>
        <w:t xml:space="preserve"> </w:t>
      </w:r>
      <w:r w:rsidR="003C7AEB" w:rsidRPr="003C7AEB">
        <w:rPr>
          <w:rFonts w:ascii="Abo-thar" w:hAnsi="Abo-thar" w:cs="CTraditional Arabic"/>
          <w:sz w:val="28"/>
          <w:rtl/>
        </w:rPr>
        <w:t>÷</w:t>
      </w:r>
      <w:r w:rsidR="00217AB4" w:rsidRPr="003F3B94">
        <w:rPr>
          <w:rFonts w:ascii="Abo-thar" w:hAnsi="Abo-thar"/>
          <w:sz w:val="28"/>
          <w:rtl/>
        </w:rPr>
        <w:t>.</w:t>
      </w:r>
      <w:r w:rsidRPr="003F3B94">
        <w:rPr>
          <w:rFonts w:ascii="Abo-thar" w:hAnsi="Abo-thar" w:hint="cs"/>
          <w:sz w:val="28"/>
          <w:rtl/>
        </w:rPr>
        <w:t xml:space="preserve"> وأخيراً صار وكيلاً لذلك الإمام من قبل الإمام الهادي</w:t>
      </w:r>
      <w:r w:rsidR="00147857" w:rsidRPr="003F3B94">
        <w:rPr>
          <w:rFonts w:ascii="Abo-thar" w:hAnsi="Abo-thar"/>
          <w:sz w:val="28"/>
          <w:rtl/>
        </w:rPr>
        <w:t xml:space="preserve"> </w:t>
      </w:r>
      <w:r w:rsidR="003C7AEB" w:rsidRPr="003C7AEB">
        <w:rPr>
          <w:rFonts w:ascii="Abo-thar" w:hAnsi="Abo-thar" w:cs="CTraditional Arabic"/>
          <w:sz w:val="28"/>
          <w:rtl/>
        </w:rPr>
        <w:t>÷</w:t>
      </w:r>
      <w:r w:rsidR="00147857" w:rsidRPr="003F3B94">
        <w:rPr>
          <w:rFonts w:ascii="Abo-thar" w:hAnsi="Abo-thar"/>
          <w:sz w:val="28"/>
          <w:rtl/>
        </w:rPr>
        <w:t xml:space="preserve"> </w:t>
      </w:r>
      <w:r w:rsidRPr="003F3B94">
        <w:rPr>
          <w:rFonts w:ascii="Abo-thar" w:hAnsi="Abo-thar" w:hint="cs"/>
          <w:sz w:val="28"/>
          <w:rtl/>
        </w:rPr>
        <w:t xml:space="preserve">بدلاً من </w:t>
      </w:r>
      <w:r w:rsidRPr="003F3B94">
        <w:rPr>
          <w:rFonts w:ascii="Abo-thar" w:hAnsi="Abo-thar" w:hint="eastAsia"/>
          <w:sz w:val="28"/>
          <w:rtl/>
        </w:rPr>
        <w:t>«</w:t>
      </w:r>
      <w:r w:rsidRPr="003F3B94">
        <w:rPr>
          <w:rFonts w:ascii="Abo-thar" w:hAnsi="Abo-thar"/>
          <w:sz w:val="28"/>
          <w:rtl/>
        </w:rPr>
        <w:t>الْحُسَيْنِ بْنِ عَبْدِ رَبِّه</w:t>
      </w:r>
      <w:r w:rsidRPr="003F3B94">
        <w:rPr>
          <w:rFonts w:ascii="Abo-thar" w:hAnsi="Abo-thar" w:hint="eastAsia"/>
          <w:sz w:val="28"/>
          <w:rtl/>
        </w:rPr>
        <w:t>»</w:t>
      </w:r>
      <w:r w:rsidR="001E0DB7" w:rsidRPr="003F3B94">
        <w:rPr>
          <w:rFonts w:ascii="Abo-thar" w:hAnsi="Abo-thar" w:hint="cs"/>
          <w:sz w:val="28"/>
          <w:rtl/>
        </w:rPr>
        <w:t>،</w:t>
      </w:r>
      <w:r w:rsidRPr="003F3B94">
        <w:rPr>
          <w:rFonts w:ascii="Abo-thar" w:hAnsi="Abo-thar" w:hint="cs"/>
          <w:sz w:val="28"/>
          <w:rtl/>
        </w:rPr>
        <w:t xml:space="preserve"> ومثل هذا الشخص يكون عادة ملمّاً إلى حدٍّ ما بأحكام الشرع</w:t>
      </w:r>
      <w:r w:rsidR="001E0DB7" w:rsidRPr="003F3B94">
        <w:rPr>
          <w:rFonts w:ascii="Abo-thar" w:hAnsi="Abo-thar" w:hint="cs"/>
          <w:sz w:val="28"/>
          <w:rtl/>
        </w:rPr>
        <w:t>،</w:t>
      </w:r>
      <w:r w:rsidRPr="003F3B94">
        <w:rPr>
          <w:rFonts w:ascii="Abo-thar" w:hAnsi="Abo-thar" w:hint="cs"/>
          <w:sz w:val="28"/>
          <w:rtl/>
        </w:rPr>
        <w:t xml:space="preserve"> ولكن رغم ذلك نجده يسأل مسؤوله </w:t>
      </w:r>
      <w:r w:rsidRPr="003F3B94">
        <w:rPr>
          <w:rFonts w:cs="Times New Roman" w:hint="cs"/>
          <w:sz w:val="28"/>
          <w:rtl/>
        </w:rPr>
        <w:t>–</w:t>
      </w:r>
      <w:r w:rsidRPr="003F3B94">
        <w:rPr>
          <w:rFonts w:ascii="Abo-thar" w:hAnsi="Abo-thar" w:hint="cs"/>
          <w:sz w:val="28"/>
          <w:rtl/>
        </w:rPr>
        <w:t xml:space="preserve"> الذي ربما يكون الإمام </w:t>
      </w:r>
      <w:r w:rsidR="00217AB4" w:rsidRPr="003F3B94">
        <w:rPr>
          <w:rFonts w:ascii="Abo-thar" w:hAnsi="Abo-thar" w:hint="cs"/>
          <w:sz w:val="28"/>
          <w:rtl/>
        </w:rPr>
        <w:t>-</w:t>
      </w:r>
      <w:r w:rsidR="00147857" w:rsidRPr="003F3B94">
        <w:rPr>
          <w:rFonts w:ascii="Abo-thar" w:hAnsi="Abo-thar" w:hint="cs"/>
          <w:sz w:val="28"/>
          <w:rtl/>
        </w:rPr>
        <w:t xml:space="preserve"> </w:t>
      </w:r>
      <w:r w:rsidRPr="00891167">
        <w:rPr>
          <w:rFonts w:ascii="Abo-thar" w:hAnsi="Abo-thar" w:cs="KFGQPC Uthman Taha Naskh"/>
          <w:b/>
          <w:bCs/>
          <w:sz w:val="28"/>
          <w:rtl/>
        </w:rPr>
        <w:t>أَمَرْتَنِي بِالْقِيَامِ بِأَمْرِكَ وَأَخْذِ حَقِّكَ فَأَعْلَمْتُ مَوَالِيَكَ بِذَلِكَ فَقَالَ لِي بَعْضُهُمْ</w:t>
      </w:r>
      <w:r w:rsidR="00217AB4" w:rsidRPr="00891167">
        <w:rPr>
          <w:rFonts w:ascii="Abo-thar" w:hAnsi="Abo-thar" w:cs="KFGQPC Uthman Taha Naskh" w:hint="cs"/>
          <w:b/>
          <w:bCs/>
          <w:sz w:val="28"/>
          <w:rtl/>
        </w:rPr>
        <w:t>:</w:t>
      </w:r>
      <w:r w:rsidRPr="00891167">
        <w:rPr>
          <w:rFonts w:ascii="Abo-thar" w:hAnsi="Abo-thar" w:cs="KFGQPC Uthman Taha Naskh"/>
          <w:b/>
          <w:bCs/>
          <w:sz w:val="28"/>
          <w:rtl/>
        </w:rPr>
        <w:t xml:space="preserve"> وَأَيُّ شَيْ‏ءٍ حَقُّهُ</w:t>
      </w:r>
      <w:r w:rsidR="00217AB4" w:rsidRPr="00891167">
        <w:rPr>
          <w:rFonts w:ascii="Abo-thar" w:hAnsi="Abo-thar" w:cs="KFGQPC Uthman Taha Naskh" w:hint="cs"/>
          <w:b/>
          <w:bCs/>
          <w:sz w:val="28"/>
          <w:rtl/>
        </w:rPr>
        <w:t>؟</w:t>
      </w:r>
      <w:r w:rsidRPr="00891167">
        <w:rPr>
          <w:rFonts w:ascii="Abo-thar" w:hAnsi="Abo-thar" w:cs="KFGQPC Uthman Taha Naskh"/>
          <w:b/>
          <w:bCs/>
          <w:sz w:val="28"/>
          <w:rtl/>
        </w:rPr>
        <w:t xml:space="preserve"> فَلَمْ أَدْرِ مَا أُجِيبُهُ</w:t>
      </w:r>
      <w:r w:rsidR="00217AB4" w:rsidRPr="00891167">
        <w:rPr>
          <w:rFonts w:ascii="Abo-thar" w:hAnsi="Abo-thar" w:cs="KFGQPC Uthman Taha Naskh" w:hint="cs"/>
          <w:b/>
          <w:bCs/>
          <w:sz w:val="28"/>
          <w:rtl/>
        </w:rPr>
        <w:t>؟!</w:t>
      </w:r>
      <w:r w:rsidR="00147857" w:rsidRPr="003F3B94">
        <w:rPr>
          <w:rFonts w:ascii="Abo-thar" w:hAnsi="Abo-thar" w:hint="cs"/>
          <w:sz w:val="28"/>
          <w:rtl/>
        </w:rPr>
        <w:t xml:space="preserve"> </w:t>
      </w:r>
      <w:r w:rsidRPr="003F3B94">
        <w:rPr>
          <w:rFonts w:ascii="Abo-thar" w:hAnsi="Abo-thar" w:hint="cs"/>
          <w:sz w:val="28"/>
          <w:rtl/>
        </w:rPr>
        <w:t>وإنه من العجيب حقاً هذا الأمر</w:t>
      </w:r>
      <w:r w:rsidR="00217AB4" w:rsidRPr="003F3B94">
        <w:rPr>
          <w:rFonts w:ascii="Abo-thar" w:hAnsi="Abo-thar" w:hint="cs"/>
          <w:sz w:val="28"/>
          <w:rtl/>
        </w:rPr>
        <w:t>!</w:t>
      </w:r>
      <w:r w:rsidRPr="003F3B94">
        <w:rPr>
          <w:rFonts w:ascii="Abo-thar" w:hAnsi="Abo-thar" w:hint="cs"/>
          <w:sz w:val="28"/>
          <w:rtl/>
        </w:rPr>
        <w:t xml:space="preserve"> فأي حق هذا الذي بقي حتى زمن حضرة الإمام الهادي</w:t>
      </w:r>
      <w:r w:rsidR="00217AB4" w:rsidRPr="003F3B94">
        <w:rPr>
          <w:rFonts w:ascii="Abo-thar" w:hAnsi="Abo-thar" w:hint="cs"/>
          <w:sz w:val="28"/>
          <w:rtl/>
        </w:rPr>
        <w:t>،</w:t>
      </w:r>
      <w:r w:rsidRPr="003F3B94">
        <w:rPr>
          <w:rFonts w:ascii="Abo-thar" w:hAnsi="Abo-thar" w:hint="cs"/>
          <w:sz w:val="28"/>
          <w:rtl/>
        </w:rPr>
        <w:t xml:space="preserve"> أي</w:t>
      </w:r>
      <w:r w:rsidRPr="003F3B94">
        <w:rPr>
          <w:rFonts w:hint="cs"/>
          <w:sz w:val="28"/>
          <w:rtl/>
        </w:rPr>
        <w:t xml:space="preserve"> </w:t>
      </w:r>
      <w:r w:rsidRPr="003F3B94">
        <w:rPr>
          <w:rFonts w:ascii="Abo-thar" w:hAnsi="Abo-thar" w:hint="cs"/>
          <w:sz w:val="28"/>
          <w:rtl/>
        </w:rPr>
        <w:t>بعد مضي مئتان وخمسون عاماً من عمر الإسلام</w:t>
      </w:r>
      <w:r w:rsidR="00217AB4" w:rsidRPr="003F3B94">
        <w:rPr>
          <w:rFonts w:ascii="Abo-thar" w:hAnsi="Abo-thar" w:hint="cs"/>
          <w:sz w:val="28"/>
          <w:rtl/>
        </w:rPr>
        <w:t>،</w:t>
      </w:r>
      <w:r w:rsidRPr="003F3B94">
        <w:rPr>
          <w:rFonts w:ascii="Abo-thar" w:hAnsi="Abo-thar" w:hint="cs"/>
          <w:sz w:val="28"/>
          <w:rtl/>
        </w:rPr>
        <w:t xml:space="preserve"> غير مشتهر إلى درجة أنه</w:t>
      </w:r>
      <w:r w:rsidR="00147857" w:rsidRPr="003F3B94">
        <w:rPr>
          <w:rFonts w:ascii="Abo-thar" w:hAnsi="Abo-thar" w:hint="cs"/>
          <w:sz w:val="28"/>
          <w:rtl/>
        </w:rPr>
        <w:t xml:space="preserve"> </w:t>
      </w:r>
      <w:r w:rsidRPr="003F3B94">
        <w:rPr>
          <w:rFonts w:ascii="Abo-thar" w:hAnsi="Abo-thar" w:hint="cs"/>
          <w:sz w:val="28"/>
          <w:rtl/>
        </w:rPr>
        <w:t xml:space="preserve">لم يكن الشيعة وموالي الأئمة أنفسهم </w:t>
      </w:r>
      <w:r w:rsidR="00217AB4" w:rsidRPr="003F3B94">
        <w:rPr>
          <w:rFonts w:ascii="Abo-thar" w:hAnsi="Abo-thar" w:hint="cs"/>
          <w:sz w:val="28"/>
          <w:rtl/>
        </w:rPr>
        <w:t>-</w:t>
      </w:r>
      <w:r w:rsidRPr="003F3B94">
        <w:rPr>
          <w:rFonts w:ascii="Abo-thar" w:hAnsi="Abo-thar" w:hint="cs"/>
          <w:sz w:val="28"/>
          <w:rtl/>
        </w:rPr>
        <w:t xml:space="preserve"> الذين يفترض أنهم أعلم من سائر الناس بأحكام الدين </w:t>
      </w:r>
      <w:r w:rsidRPr="003F3B94">
        <w:rPr>
          <w:rFonts w:cs="Times New Roman" w:hint="cs"/>
          <w:sz w:val="28"/>
          <w:rtl/>
        </w:rPr>
        <w:t>–</w:t>
      </w:r>
      <w:r w:rsidRPr="003F3B94">
        <w:rPr>
          <w:rFonts w:ascii="Abo-thar" w:hAnsi="Abo-thar" w:hint="cs"/>
          <w:sz w:val="28"/>
          <w:rtl/>
        </w:rPr>
        <w:t xml:space="preserve"> يعرفون أي شيءٍ عن هذا الحق الذين هم مطالبون به</w:t>
      </w:r>
      <w:r w:rsidR="00217AB4" w:rsidRPr="003F3B94">
        <w:rPr>
          <w:rFonts w:ascii="Abo-thar" w:hAnsi="Abo-thar" w:hint="cs"/>
          <w:sz w:val="28"/>
          <w:rtl/>
        </w:rPr>
        <w:t>؟!</w:t>
      </w:r>
      <w:r w:rsidRPr="003F3B94">
        <w:rPr>
          <w:rFonts w:ascii="Abo-thar" w:hAnsi="Abo-thar" w:hint="cs"/>
          <w:sz w:val="28"/>
          <w:rtl/>
        </w:rPr>
        <w:t xml:space="preserve"> </w:t>
      </w:r>
    </w:p>
    <w:p w:rsidR="005C664D" w:rsidRPr="003F3B94" w:rsidRDefault="005C664D" w:rsidP="003F3B94">
      <w:pPr>
        <w:pStyle w:val="a0"/>
        <w:rPr>
          <w:rFonts w:hint="cs"/>
          <w:rtl/>
        </w:rPr>
      </w:pPr>
      <w:r w:rsidRPr="003F3B94">
        <w:rPr>
          <w:rFonts w:ascii="Abo-thar" w:hAnsi="Abo-thar" w:hint="cs"/>
          <w:sz w:val="28"/>
          <w:rtl/>
        </w:rPr>
        <w:t>إن متن هذا الحديث يوحي بأن هذا الحق كان مجهولاً وغير رائج إلى درجة أن أبا علي بن راشد لم يكن له به أي علم كما لم يكن الشيعة وبقية المسلمين يعلمون عنه شيئاً</w:t>
      </w:r>
      <w:r w:rsidR="00217AB4" w:rsidRPr="003F3B94">
        <w:rPr>
          <w:rFonts w:ascii="Abo-thar" w:hAnsi="Abo-thar" w:hint="cs"/>
          <w:sz w:val="28"/>
          <w:rtl/>
        </w:rPr>
        <w:t>!!</w:t>
      </w:r>
      <w:r w:rsidRPr="003F3B94">
        <w:rPr>
          <w:rFonts w:ascii="Abo-thar" w:hAnsi="Abo-thar" w:hint="cs"/>
          <w:sz w:val="28"/>
          <w:rtl/>
        </w:rPr>
        <w:t xml:space="preserve"> وعلى كل حال حتى لو كان هذا الحديث صحيحاً وكان يثبت حقاً مسلماً به فإن هذا الحق متعلق بالإمام الحي والحاضر فقط ولا يثبت للآخرين أي حق فيه</w:t>
      </w:r>
      <w:r w:rsidR="001E0DB7" w:rsidRPr="003F3B94">
        <w:rPr>
          <w:rFonts w:ascii="Abo-thar" w:hAnsi="Abo-thar" w:hint="cs"/>
          <w:sz w:val="28"/>
          <w:rtl/>
        </w:rPr>
        <w:t>،</w:t>
      </w:r>
      <w:r w:rsidRPr="003F3B94">
        <w:rPr>
          <w:rFonts w:ascii="Abo-thar" w:hAnsi="Abo-thar" w:hint="cs"/>
          <w:sz w:val="28"/>
          <w:rtl/>
        </w:rPr>
        <w:t xml:space="preserve"> هذا بمعزل عن أن سند الحديث معلول ومخدوش ومتنه مشوش ومضطرب وليس لصاحب الحق فيه وجود خارجي</w:t>
      </w:r>
      <w:r w:rsidR="00217AB4" w:rsidRPr="0021507A">
        <w:rPr>
          <w:rFonts w:cs="Arabic11 BT"/>
          <w:b/>
          <w:sz w:val="28"/>
          <w:vertAlign w:val="superscript"/>
          <w:rtl/>
        </w:rPr>
        <w:t>(</w:t>
      </w:r>
      <w:r w:rsidRPr="0021507A">
        <w:rPr>
          <w:rStyle w:val="FootnoteReference"/>
          <w:rFonts w:cs="Arabic11 BT"/>
          <w:b/>
          <w:sz w:val="28"/>
          <w:rtl/>
        </w:rPr>
        <w:footnoteReference w:id="258"/>
      </w:r>
      <w:r w:rsidR="00217AB4" w:rsidRPr="0021507A">
        <w:rPr>
          <w:rFonts w:cs="Arabic11 BT"/>
          <w:b/>
          <w:sz w:val="28"/>
          <w:vertAlign w:val="superscript"/>
          <w:rtl/>
        </w:rPr>
        <w:t>)</w:t>
      </w:r>
      <w:r w:rsidR="00217AB4" w:rsidRPr="003F3B94">
        <w:rPr>
          <w:rFonts w:ascii="Abo-thar" w:hAnsi="Abo-thar" w:hint="cs"/>
          <w:sz w:val="28"/>
          <w:rtl/>
        </w:rPr>
        <w:t>.</w:t>
      </w:r>
      <w:r w:rsidRPr="003F3B94">
        <w:rPr>
          <w:rFonts w:ascii="Abo-thar" w:hAnsi="Abo-thar" w:hint="cs"/>
          <w:sz w:val="28"/>
          <w:rtl/>
        </w:rPr>
        <w:t xml:space="preserve"> </w:t>
      </w:r>
    </w:p>
    <w:p w:rsidR="005C664D" w:rsidRPr="003F3B94" w:rsidRDefault="005C664D" w:rsidP="003F3B94">
      <w:pPr>
        <w:pStyle w:val="a0"/>
        <w:rPr>
          <w:rFonts w:hint="cs"/>
          <w:rtl/>
        </w:rPr>
      </w:pPr>
      <w:r w:rsidRPr="00255A16">
        <w:rPr>
          <w:rFonts w:ascii="Abo-thar" w:hAnsi="Abo-thar" w:hint="cs"/>
          <w:b/>
          <w:bCs/>
          <w:sz w:val="28"/>
          <w:rtl/>
        </w:rPr>
        <w:t>الحديث الثالث</w:t>
      </w:r>
      <w:r w:rsidR="00217AB4" w:rsidRPr="003F3B94">
        <w:rPr>
          <w:rFonts w:ascii="Abo-thar" w:hAnsi="Abo-thar" w:hint="cs"/>
          <w:sz w:val="28"/>
          <w:rtl/>
        </w:rPr>
        <w:t>:</w:t>
      </w:r>
      <w:r w:rsidRPr="003F3B94">
        <w:rPr>
          <w:rFonts w:ascii="Abo-thar" w:hAnsi="Abo-thar" w:hint="cs"/>
          <w:sz w:val="28"/>
          <w:rtl/>
        </w:rPr>
        <w:t xml:space="preserve"> نقله صاحب الوسائل عن </w:t>
      </w:r>
      <w:r w:rsidRPr="003F3B94">
        <w:rPr>
          <w:rFonts w:ascii="Abo-thar" w:hAnsi="Abo-thar"/>
          <w:sz w:val="28"/>
          <w:rtl/>
        </w:rPr>
        <w:t>«</w:t>
      </w:r>
      <w:r w:rsidRPr="003F3B94">
        <w:rPr>
          <w:rFonts w:ascii="Abo-thar" w:hAnsi="Abo-thar" w:hint="cs"/>
          <w:sz w:val="28"/>
          <w:rtl/>
        </w:rPr>
        <w:t>كافي</w:t>
      </w:r>
      <w:r w:rsidRPr="003F3B94">
        <w:rPr>
          <w:rFonts w:ascii="Abo-thar" w:hAnsi="Abo-thar"/>
          <w:sz w:val="28"/>
          <w:rtl/>
        </w:rPr>
        <w:t>»</w:t>
      </w:r>
      <w:r w:rsidRPr="003F3B94">
        <w:rPr>
          <w:rFonts w:ascii="Abo-thar" w:hAnsi="Abo-thar" w:hint="cs"/>
          <w:sz w:val="28"/>
          <w:rtl/>
        </w:rPr>
        <w:t xml:space="preserve"> الكُلَيْنِيّ و«تهذيب» الشيخ ال</w:t>
      </w:r>
      <w:r w:rsidR="00B43B39" w:rsidRPr="003F3B94">
        <w:rPr>
          <w:rFonts w:ascii="Abo-thar" w:hAnsi="Abo-thar" w:hint="cs"/>
          <w:sz w:val="28"/>
          <w:rtl/>
        </w:rPr>
        <w:t>طوسي:</w:t>
      </w:r>
      <w:r w:rsidRPr="003F3B94">
        <w:rPr>
          <w:rFonts w:ascii="Abo-thar" w:hAnsi="Abo-thar" w:hint="cs"/>
          <w:sz w:val="28"/>
          <w:rtl/>
        </w:rPr>
        <w:t xml:space="preserve"> فقال</w:t>
      </w:r>
      <w:r w:rsidR="00217AB4" w:rsidRPr="003F3B94">
        <w:rPr>
          <w:rFonts w:ascii="Abo-thar" w:hAnsi="Abo-thar" w:hint="cs"/>
          <w:sz w:val="28"/>
          <w:rtl/>
        </w:rPr>
        <w:t>:</w:t>
      </w:r>
      <w:r w:rsidRPr="003F3B94">
        <w:rPr>
          <w:rFonts w:ascii="Abo-thar" w:hAnsi="Abo-thar" w:hint="cs"/>
          <w:sz w:val="28"/>
          <w:rtl/>
        </w:rPr>
        <w:t xml:space="preserve"> </w:t>
      </w:r>
      <w:r w:rsidR="00EF2588" w:rsidRPr="003F3B94">
        <w:rPr>
          <w:rFonts w:ascii="Abo-thar" w:hAnsi="Abo-thar" w:hint="cs"/>
          <w:sz w:val="28"/>
          <w:rtl/>
        </w:rPr>
        <w:t>«</w:t>
      </w:r>
      <w:r w:rsidRPr="003F3B94">
        <w:rPr>
          <w:rFonts w:ascii="Abo-thar" w:hAnsi="Abo-thar"/>
          <w:b/>
          <w:bCs/>
          <w:sz w:val="28"/>
          <w:rtl/>
        </w:rPr>
        <w:t xml:space="preserve">وَعَنْهُ </w:t>
      </w:r>
      <w:r w:rsidRPr="003F3B94">
        <w:rPr>
          <w:rFonts w:cs="Times New Roman" w:hint="cs"/>
          <w:b/>
          <w:bCs/>
          <w:sz w:val="28"/>
          <w:rtl/>
        </w:rPr>
        <w:t>–</w:t>
      </w:r>
      <w:r w:rsidRPr="003F3B94">
        <w:rPr>
          <w:rFonts w:ascii="Abo-thar" w:hAnsi="Abo-thar" w:hint="cs"/>
          <w:b/>
          <w:bCs/>
          <w:sz w:val="28"/>
          <w:rtl/>
        </w:rPr>
        <w:t xml:space="preserve"> </w:t>
      </w:r>
      <w:r w:rsidR="00217AB4" w:rsidRPr="003F3B94">
        <w:rPr>
          <w:rFonts w:ascii="Abo-thar" w:hAnsi="Abo-thar" w:hint="cs"/>
          <w:b/>
          <w:bCs/>
          <w:sz w:val="28"/>
          <w:rtl/>
        </w:rPr>
        <w:t>(</w:t>
      </w:r>
      <w:r w:rsidRPr="003F3B94">
        <w:rPr>
          <w:rFonts w:ascii="Abo-thar" w:hAnsi="Abo-thar" w:hint="cs"/>
          <w:b/>
          <w:bCs/>
          <w:sz w:val="28"/>
          <w:rtl/>
        </w:rPr>
        <w:t xml:space="preserve">أي </w:t>
      </w:r>
      <w:r w:rsidRPr="003F3B94">
        <w:rPr>
          <w:rFonts w:ascii="Abo-thar" w:hAnsi="Abo-thar"/>
          <w:b/>
          <w:bCs/>
          <w:sz w:val="28"/>
          <w:rtl/>
        </w:rPr>
        <w:t xml:space="preserve">عَنْ عَلِيِّ بْنِ مَهْزِيَارَ </w:t>
      </w:r>
      <w:r w:rsidRPr="003F3B94">
        <w:rPr>
          <w:rFonts w:ascii="Abo-thar" w:hAnsi="Abo-thar" w:hint="cs"/>
          <w:b/>
          <w:bCs/>
          <w:sz w:val="28"/>
          <w:rtl/>
        </w:rPr>
        <w:t>بطل خمس أرباح المكاسب</w:t>
      </w:r>
      <w:r w:rsidR="00217AB4" w:rsidRPr="003F3B94">
        <w:rPr>
          <w:rFonts w:ascii="Abo-thar" w:hAnsi="Abo-thar" w:hint="cs"/>
          <w:b/>
          <w:bCs/>
          <w:sz w:val="28"/>
          <w:rtl/>
        </w:rPr>
        <w:t>)</w:t>
      </w:r>
      <w:r w:rsidRPr="003F3B94">
        <w:rPr>
          <w:rFonts w:ascii="Abo-thar" w:hAnsi="Abo-thar" w:hint="cs"/>
          <w:b/>
          <w:bCs/>
          <w:sz w:val="28"/>
          <w:rtl/>
        </w:rPr>
        <w:t xml:space="preserve"> </w:t>
      </w:r>
      <w:r w:rsidRPr="003F3B94">
        <w:rPr>
          <w:rFonts w:cs="Times New Roman" w:hint="cs"/>
          <w:b/>
          <w:bCs/>
          <w:sz w:val="28"/>
          <w:rtl/>
        </w:rPr>
        <w:t>–</w:t>
      </w:r>
      <w:r w:rsidRPr="003F3B94">
        <w:rPr>
          <w:rFonts w:ascii="Abo-thar" w:hAnsi="Abo-thar" w:hint="cs"/>
          <w:b/>
          <w:bCs/>
          <w:sz w:val="28"/>
          <w:rtl/>
        </w:rPr>
        <w:t xml:space="preserve"> </w:t>
      </w:r>
      <w:r w:rsidRPr="003F3B94">
        <w:rPr>
          <w:rFonts w:ascii="Abo-thar" w:hAnsi="Abo-thar"/>
          <w:b/>
          <w:bCs/>
          <w:sz w:val="28"/>
          <w:rtl/>
        </w:rPr>
        <w:t>قَالَ</w:t>
      </w:r>
      <w:r w:rsidR="00217AB4" w:rsidRPr="003F3B94">
        <w:rPr>
          <w:rFonts w:ascii="Abo-thar" w:hAnsi="Abo-thar" w:hint="cs"/>
          <w:b/>
          <w:bCs/>
          <w:sz w:val="28"/>
          <w:rtl/>
        </w:rPr>
        <w:t>:</w:t>
      </w:r>
      <w:r w:rsidRPr="003F3B94">
        <w:rPr>
          <w:rFonts w:ascii="Abo-thar" w:hAnsi="Abo-thar"/>
          <w:b/>
          <w:bCs/>
          <w:sz w:val="28"/>
          <w:rtl/>
        </w:rPr>
        <w:t xml:space="preserve"> كَتَبَ إِلَيْهِ إِبْرَاهِيمُ بْنُ مُحَمَّدٍ الهَمَذَانِيُّ</w:t>
      </w:r>
      <w:r w:rsidR="00217AB4" w:rsidRPr="003F3B94">
        <w:rPr>
          <w:rFonts w:ascii="Abo-thar" w:hAnsi="Abo-thar" w:hint="cs"/>
          <w:b/>
          <w:bCs/>
          <w:sz w:val="28"/>
          <w:rtl/>
        </w:rPr>
        <w:t>..</w:t>
      </w:r>
      <w:r w:rsidR="00EF2588" w:rsidRPr="003F3B94">
        <w:rPr>
          <w:rFonts w:ascii="Abo-thar" w:hAnsi="Abo-thar" w:hint="cs"/>
          <w:sz w:val="28"/>
          <w:rtl/>
        </w:rPr>
        <w:t>»</w:t>
      </w:r>
      <w:r w:rsidR="00B43B39" w:rsidRPr="0021507A">
        <w:rPr>
          <w:rFonts w:ascii="Abo-thar" w:hAnsi="Abo-thar" w:cs="Arabic11 BT"/>
          <w:sz w:val="28"/>
          <w:vertAlign w:val="superscript"/>
          <w:rtl/>
        </w:rPr>
        <w:t>(</w:t>
      </w:r>
      <w:r w:rsidR="00B43B39" w:rsidRPr="0021507A">
        <w:rPr>
          <w:rStyle w:val="FootnoteReference"/>
          <w:rFonts w:ascii="Abo-thar" w:hAnsi="Abo-thar" w:cs="Arabic11 BT"/>
          <w:sz w:val="28"/>
          <w:rtl/>
        </w:rPr>
        <w:footnoteReference w:id="259"/>
      </w:r>
      <w:r w:rsidR="00B43B39" w:rsidRPr="0021507A">
        <w:rPr>
          <w:rFonts w:ascii="Abo-thar" w:hAnsi="Abo-thar" w:cs="Arabic11 BT"/>
          <w:sz w:val="28"/>
          <w:vertAlign w:val="superscript"/>
          <w:rtl/>
        </w:rPr>
        <w:t>)</w:t>
      </w:r>
      <w:r w:rsidR="00217AB4" w:rsidRPr="003F3B94">
        <w:rPr>
          <w:rFonts w:ascii="Abo-thar" w:hAnsi="Abo-thar" w:hint="cs"/>
          <w:sz w:val="28"/>
          <w:rtl/>
        </w:rPr>
        <w:t>.</w:t>
      </w:r>
      <w:r w:rsidRPr="003F3B94">
        <w:rPr>
          <w:rFonts w:ascii="Abo-thar" w:hAnsi="Abo-thar" w:hint="cs"/>
          <w:sz w:val="28"/>
          <w:rtl/>
        </w:rPr>
        <w:t xml:space="preserve"> </w:t>
      </w:r>
    </w:p>
    <w:p w:rsidR="005C664D" w:rsidRPr="003F3B94" w:rsidRDefault="005C664D" w:rsidP="003F3B94">
      <w:pPr>
        <w:pStyle w:val="a0"/>
        <w:rPr>
          <w:rFonts w:hint="cs"/>
          <w:rtl/>
        </w:rPr>
      </w:pPr>
      <w:r w:rsidRPr="003F3B94">
        <w:rPr>
          <w:rFonts w:ascii="Abo-thar" w:hAnsi="Abo-thar" w:hint="cs"/>
          <w:sz w:val="28"/>
          <w:rtl/>
        </w:rPr>
        <w:t xml:space="preserve">هنا أيضاً يظهر أن الشيخ [الحُرّ] اشتبه في النقل لأن سند هذه الرواية كما رواها الكُلَيْنِيّ في </w:t>
      </w:r>
      <w:r w:rsidRPr="003F3B94">
        <w:rPr>
          <w:rFonts w:ascii="Abo-thar" w:hAnsi="Abo-thar"/>
          <w:sz w:val="28"/>
          <w:rtl/>
        </w:rPr>
        <w:t>«</w:t>
      </w:r>
      <w:r w:rsidRPr="003F3B94">
        <w:rPr>
          <w:rFonts w:ascii="Abo-thar" w:hAnsi="Abo-thar" w:hint="cs"/>
          <w:sz w:val="28"/>
          <w:rtl/>
        </w:rPr>
        <w:t>الكافي</w:t>
      </w:r>
      <w:r w:rsidRPr="003F3B94">
        <w:rPr>
          <w:rFonts w:ascii="Abo-thar" w:hAnsi="Abo-thar"/>
          <w:sz w:val="28"/>
          <w:rtl/>
        </w:rPr>
        <w:t>»</w:t>
      </w:r>
      <w:r w:rsidRPr="003F3B94">
        <w:rPr>
          <w:rFonts w:ascii="Abo-thar" w:hAnsi="Abo-thar" w:hint="cs"/>
          <w:sz w:val="28"/>
          <w:rtl/>
        </w:rPr>
        <w:t xml:space="preserve"> هو</w:t>
      </w:r>
      <w:r w:rsidR="00217AB4" w:rsidRPr="003F3B94">
        <w:rPr>
          <w:rFonts w:ascii="Abo-thar" w:hAnsi="Abo-thar" w:hint="cs"/>
          <w:sz w:val="28"/>
          <w:rtl/>
        </w:rPr>
        <w:t>:</w:t>
      </w:r>
      <w:r w:rsidRPr="003F3B94">
        <w:rPr>
          <w:rFonts w:ascii="Abo-thar" w:hAnsi="Abo-thar" w:hint="cs"/>
          <w:sz w:val="28"/>
          <w:rtl/>
        </w:rPr>
        <w:t xml:space="preserve"> </w:t>
      </w:r>
      <w:r w:rsidR="00EF2588" w:rsidRPr="00891167">
        <w:rPr>
          <w:rFonts w:ascii="Abo-thar" w:hAnsi="Abo-thar" w:cs="KFGQPC Uthman Taha Naskh" w:hint="cs"/>
          <w:sz w:val="28"/>
          <w:rtl/>
        </w:rPr>
        <w:t>«</w:t>
      </w:r>
      <w:r w:rsidRPr="00891167">
        <w:rPr>
          <w:rFonts w:ascii="Abo-thar" w:hAnsi="Abo-thar" w:cs="KFGQPC Uthman Taha Naskh"/>
          <w:b/>
          <w:bCs/>
          <w:sz w:val="28"/>
          <w:rtl/>
        </w:rPr>
        <w:t xml:space="preserve">سَهْلٌ عَنْ إِبْرَاهِيمَ بْنِ مُحَمَّدٍ الهَمَذَانِيِّ قَالَ كَتَبْتُ إِلَى أَبِي الحَسَنِ </w:t>
      </w:r>
      <w:r w:rsidR="00BC4BA9" w:rsidRPr="00BC4BA9">
        <w:rPr>
          <w:rFonts w:ascii="Abo-thar" w:hAnsi="Abo-thar" w:cs="CTraditional Arabic" w:hint="cs"/>
          <w:b/>
          <w:sz w:val="28"/>
          <w:rtl/>
        </w:rPr>
        <w:t>÷</w:t>
      </w:r>
      <w:r w:rsidRPr="00891167">
        <w:rPr>
          <w:rFonts w:ascii="Abo-thar" w:hAnsi="Abo-thar" w:cs="KFGQPC Uthman Taha Naskh" w:hint="cs"/>
          <w:b/>
          <w:bCs/>
          <w:sz w:val="28"/>
          <w:rtl/>
        </w:rPr>
        <w:t xml:space="preserve"> </w:t>
      </w:r>
      <w:r w:rsidR="00217AB4" w:rsidRPr="00891167">
        <w:rPr>
          <w:rFonts w:ascii="Abo-thar" w:hAnsi="Abo-thar" w:cs="KFGQPC Uthman Taha Naskh" w:hint="cs"/>
          <w:sz w:val="28"/>
          <w:rtl/>
        </w:rPr>
        <w:t>(</w:t>
      </w:r>
      <w:r w:rsidRPr="00891167">
        <w:rPr>
          <w:rFonts w:ascii="Abo-thar" w:hAnsi="Abo-thar" w:cs="KFGQPC Uthman Taha Naskh" w:hint="cs"/>
          <w:sz w:val="28"/>
          <w:rtl/>
        </w:rPr>
        <w:t>أي الإمام علي الهادي</w:t>
      </w:r>
      <w:r w:rsidR="00147857" w:rsidRPr="00891167">
        <w:rPr>
          <w:rFonts w:ascii="Abo-thar" w:hAnsi="Abo-thar" w:cs="KFGQPC Uthman Taha Naskh" w:hint="cs"/>
          <w:sz w:val="28"/>
          <w:rtl/>
        </w:rPr>
        <w:t xml:space="preserve"> </w:t>
      </w:r>
      <w:r w:rsidR="003C7AEB" w:rsidRPr="003C7AEB">
        <w:rPr>
          <w:rFonts w:ascii="Abo-thar" w:hAnsi="Abo-thar" w:cs="CTraditional Arabic"/>
          <w:sz w:val="28"/>
          <w:rtl/>
        </w:rPr>
        <w:t>÷</w:t>
      </w:r>
      <w:r w:rsidR="00217AB4" w:rsidRPr="00891167">
        <w:rPr>
          <w:rFonts w:ascii="Abo-thar" w:hAnsi="Abo-thar" w:cs="KFGQPC Uthman Taha Naskh"/>
          <w:sz w:val="28"/>
          <w:rtl/>
        </w:rPr>
        <w:t>)</w:t>
      </w:r>
      <w:r w:rsidR="00217AB4" w:rsidRPr="00891167">
        <w:rPr>
          <w:rFonts w:ascii="Abo-thar" w:hAnsi="Abo-thar" w:cs="KFGQPC Uthman Taha Naskh" w:hint="cs"/>
          <w:sz w:val="28"/>
          <w:rtl/>
        </w:rPr>
        <w:t>:</w:t>
      </w:r>
      <w:r w:rsidR="00147857" w:rsidRPr="00891167">
        <w:rPr>
          <w:rFonts w:ascii="Abo-thar" w:hAnsi="Abo-thar" w:cs="KFGQPC Uthman Taha Naskh" w:hint="cs"/>
          <w:sz w:val="28"/>
          <w:rtl/>
        </w:rPr>
        <w:t xml:space="preserve"> </w:t>
      </w:r>
      <w:r w:rsidRPr="00891167">
        <w:rPr>
          <w:rFonts w:ascii="Abo-thar" w:hAnsi="Abo-thar" w:cs="KFGQPC Uthman Taha Naskh"/>
          <w:b/>
          <w:bCs/>
          <w:sz w:val="28"/>
          <w:rtl/>
        </w:rPr>
        <w:t xml:space="preserve">أَقْرَأَنِي عَلِيُّ بْنُ مَهْزِيَارَ كِتَابَ أَبِيكَ </w:t>
      </w:r>
      <w:r w:rsidR="00BC4BA9" w:rsidRPr="00BC4BA9">
        <w:rPr>
          <w:rFonts w:ascii="Abo-thar" w:hAnsi="Abo-thar" w:cs="CTraditional Arabic" w:hint="cs"/>
          <w:b/>
          <w:sz w:val="28"/>
          <w:rtl/>
        </w:rPr>
        <w:t>÷</w:t>
      </w:r>
      <w:r w:rsidRPr="00891167">
        <w:rPr>
          <w:rFonts w:ascii="Abo-thar" w:hAnsi="Abo-thar" w:cs="KFGQPC Uthman Taha Naskh"/>
          <w:b/>
          <w:bCs/>
          <w:sz w:val="28"/>
          <w:rtl/>
        </w:rPr>
        <w:t xml:space="preserve"> فِيمَا أَوْجَبَهُ عَلَى أَصْحَابِ الضِّيَاعِ نِصْفُ السُّدُسِ بَعْدَ المَئُونَةِ</w:t>
      </w:r>
      <w:r w:rsidR="00147857" w:rsidRPr="00891167">
        <w:rPr>
          <w:rFonts w:ascii="Abo-thar" w:hAnsi="Abo-thar" w:cs="KFGQPC Uthman Taha Naskh"/>
          <w:b/>
          <w:bCs/>
          <w:sz w:val="28"/>
          <w:rtl/>
        </w:rPr>
        <w:t xml:space="preserve"> و</w:t>
      </w:r>
      <w:r w:rsidRPr="00891167">
        <w:rPr>
          <w:rFonts w:ascii="Abo-thar" w:hAnsi="Abo-thar" w:cs="KFGQPC Uthman Taha Naskh"/>
          <w:b/>
          <w:bCs/>
          <w:sz w:val="28"/>
          <w:rtl/>
        </w:rPr>
        <w:t>أَنَّهُ لَيْسَ عَلَى مَنْ لَمْ تَقُمْ ضَيْعَتُهُ بِمَئُونَتِهِ نِصْفُ السُّدُسِ</w:t>
      </w:r>
      <w:r w:rsidR="00147857" w:rsidRPr="00891167">
        <w:rPr>
          <w:rFonts w:ascii="Abo-thar" w:hAnsi="Abo-thar" w:cs="KFGQPC Uthman Taha Naskh"/>
          <w:b/>
          <w:bCs/>
          <w:sz w:val="28"/>
          <w:rtl/>
        </w:rPr>
        <w:t xml:space="preserve"> و</w:t>
      </w:r>
      <w:r w:rsidRPr="00891167">
        <w:rPr>
          <w:rFonts w:ascii="Abo-thar" w:hAnsi="Abo-thar" w:cs="KFGQPC Uthman Taha Naskh"/>
          <w:b/>
          <w:bCs/>
          <w:sz w:val="28"/>
          <w:rtl/>
        </w:rPr>
        <w:t xml:space="preserve">لَا غَيْرُ ذَلِكَ </w:t>
      </w:r>
      <w:r w:rsidR="00217AB4" w:rsidRPr="00891167">
        <w:rPr>
          <w:rFonts w:ascii="Abo-thar" w:hAnsi="Abo-thar" w:cs="KFGQPC Uthman Taha Naskh" w:hint="cs"/>
          <w:sz w:val="28"/>
          <w:rtl/>
        </w:rPr>
        <w:t>(</w:t>
      </w:r>
      <w:r w:rsidRPr="00891167">
        <w:rPr>
          <w:rFonts w:ascii="Abo-thar" w:hAnsi="Abo-thar" w:cs="KFGQPC Uthman Taha Naskh" w:hint="cs"/>
          <w:sz w:val="28"/>
          <w:rtl/>
        </w:rPr>
        <w:t>في التهذيب</w:t>
      </w:r>
      <w:r w:rsidR="00217AB4" w:rsidRPr="00891167">
        <w:rPr>
          <w:rFonts w:ascii="Abo-thar" w:hAnsi="Abo-thar" w:cs="KFGQPC Uthman Taha Naskh" w:hint="cs"/>
          <w:sz w:val="28"/>
          <w:rtl/>
        </w:rPr>
        <w:t>:</w:t>
      </w:r>
      <w:r w:rsidRPr="00891167">
        <w:rPr>
          <w:rFonts w:ascii="Abo-thar" w:hAnsi="Abo-thar" w:cs="KFGQPC Uthman Taha Naskh"/>
          <w:sz w:val="28"/>
          <w:rtl/>
        </w:rPr>
        <w:t xml:space="preserve"> أَنَّهُ أَوْجَبَ عَلَيْهِمْ نِصْفَ السُّدُسِ بَعْدَ المَئُونَةِ</w:t>
      </w:r>
      <w:r w:rsidR="00147857" w:rsidRPr="00891167">
        <w:rPr>
          <w:rFonts w:ascii="Abo-thar" w:hAnsi="Abo-thar" w:cs="KFGQPC Uthman Taha Naskh" w:hint="cs"/>
          <w:sz w:val="28"/>
          <w:rtl/>
        </w:rPr>
        <w:t xml:space="preserve"> و</w:t>
      </w:r>
      <w:r w:rsidRPr="00891167">
        <w:rPr>
          <w:rFonts w:ascii="Abo-thar" w:hAnsi="Abo-thar" w:cs="KFGQPC Uthman Taha Naskh"/>
          <w:sz w:val="28"/>
          <w:rtl/>
        </w:rPr>
        <w:t>لَا غَيْرُ ذَلِكَ</w:t>
      </w:r>
      <w:r w:rsidR="00217AB4" w:rsidRPr="00891167">
        <w:rPr>
          <w:rFonts w:ascii="Abo-thar" w:hAnsi="Abo-thar" w:cs="KFGQPC Uthman Taha Naskh" w:hint="cs"/>
          <w:sz w:val="28"/>
          <w:rtl/>
        </w:rPr>
        <w:t>)</w:t>
      </w:r>
      <w:r w:rsidRPr="00891167">
        <w:rPr>
          <w:rFonts w:ascii="Abo-thar" w:hAnsi="Abo-thar" w:cs="KFGQPC Uthman Taha Naskh"/>
          <w:sz w:val="28"/>
          <w:rtl/>
        </w:rPr>
        <w:t xml:space="preserve"> </w:t>
      </w:r>
      <w:r w:rsidRPr="00891167">
        <w:rPr>
          <w:rFonts w:ascii="Abo-thar" w:hAnsi="Abo-thar" w:cs="KFGQPC Uthman Taha Naskh"/>
          <w:b/>
          <w:bCs/>
          <w:sz w:val="28"/>
          <w:rtl/>
        </w:rPr>
        <w:t>فَاخْتَلَفَ مَنْ قِبَلَنَا فِي ذَلِكَ فَقَالُوا يَجِبُ عَلَى الضِّيَاعِ الخُمُسُ بَعْدَ المَئُونَةِ مَئُونَةِ الضَّيْعَةِ</w:t>
      </w:r>
      <w:r w:rsidR="00147857" w:rsidRPr="00891167">
        <w:rPr>
          <w:rFonts w:ascii="Abo-thar" w:hAnsi="Abo-thar" w:cs="KFGQPC Uthman Taha Naskh"/>
          <w:b/>
          <w:bCs/>
          <w:sz w:val="28"/>
          <w:rtl/>
        </w:rPr>
        <w:t xml:space="preserve"> و</w:t>
      </w:r>
      <w:r w:rsidRPr="00891167">
        <w:rPr>
          <w:rFonts w:ascii="Abo-thar" w:hAnsi="Abo-thar" w:cs="KFGQPC Uthman Taha Naskh"/>
          <w:b/>
          <w:bCs/>
          <w:sz w:val="28"/>
          <w:rtl/>
        </w:rPr>
        <w:t>خَرَاجِهَا لَا مَئُونَةِ الرَّجُلِ</w:t>
      </w:r>
      <w:r w:rsidR="00147857" w:rsidRPr="00891167">
        <w:rPr>
          <w:rFonts w:ascii="Abo-thar" w:hAnsi="Abo-thar" w:cs="KFGQPC Uthman Taha Naskh"/>
          <w:b/>
          <w:bCs/>
          <w:sz w:val="28"/>
          <w:rtl/>
        </w:rPr>
        <w:t xml:space="preserve"> و</w:t>
      </w:r>
      <w:r w:rsidRPr="00891167">
        <w:rPr>
          <w:rFonts w:ascii="Abo-thar" w:hAnsi="Abo-thar" w:cs="KFGQPC Uthman Taha Naskh"/>
          <w:b/>
          <w:bCs/>
          <w:sz w:val="28"/>
          <w:rtl/>
        </w:rPr>
        <w:t>عِيَالِهِ فَكَتَبَ</w:t>
      </w:r>
      <w:r w:rsidR="00F66E61" w:rsidRPr="00891167">
        <w:rPr>
          <w:rFonts w:ascii="Abo-thar" w:hAnsi="Abo-thar" w:cs="KFGQPC Uthman Taha Naskh" w:hint="cs"/>
          <w:sz w:val="28"/>
          <w:rtl/>
        </w:rPr>
        <w:t xml:space="preserve"> </w:t>
      </w:r>
      <w:r w:rsidR="003C7AEB" w:rsidRPr="003C7AEB">
        <w:rPr>
          <w:rFonts w:ascii="Abo-thar" w:hAnsi="Abo-thar" w:cs="CTraditional Arabic"/>
          <w:sz w:val="28"/>
          <w:rtl/>
        </w:rPr>
        <w:t>÷</w:t>
      </w:r>
      <w:r w:rsidR="00147857" w:rsidRPr="00891167">
        <w:rPr>
          <w:rFonts w:ascii="Abo-thar" w:hAnsi="Abo-thar" w:cs="KFGQPC Uthman Taha Naskh"/>
          <w:sz w:val="28"/>
          <w:rtl/>
        </w:rPr>
        <w:t xml:space="preserve"> </w:t>
      </w:r>
      <w:r w:rsidR="00217AB4" w:rsidRPr="00891167">
        <w:rPr>
          <w:rFonts w:ascii="Abo-thar" w:hAnsi="Abo-thar" w:cs="KFGQPC Uthman Taha Naskh" w:hint="cs"/>
          <w:sz w:val="28"/>
          <w:rtl/>
        </w:rPr>
        <w:t>(</w:t>
      </w:r>
      <w:r w:rsidRPr="00891167">
        <w:rPr>
          <w:rFonts w:ascii="Abo-thar" w:hAnsi="Abo-thar" w:cs="KFGQPC Uthman Taha Naskh" w:hint="cs"/>
          <w:sz w:val="28"/>
          <w:rtl/>
        </w:rPr>
        <w:t>وفي التهذيب</w:t>
      </w:r>
      <w:r w:rsidR="00217AB4" w:rsidRPr="00891167">
        <w:rPr>
          <w:rFonts w:ascii="Abo-thar" w:hAnsi="Abo-thar" w:cs="KFGQPC Uthman Taha Naskh" w:hint="cs"/>
          <w:sz w:val="28"/>
          <w:rtl/>
        </w:rPr>
        <w:t>:</w:t>
      </w:r>
      <w:r w:rsidRPr="00891167">
        <w:rPr>
          <w:rFonts w:ascii="Abo-thar" w:hAnsi="Abo-thar" w:cs="KFGQPC Uthman Taha Naskh" w:hint="cs"/>
          <w:sz w:val="28"/>
          <w:rtl/>
        </w:rPr>
        <w:t xml:space="preserve"> </w:t>
      </w:r>
      <w:r w:rsidRPr="00891167">
        <w:rPr>
          <w:rFonts w:ascii="Abo-thar" w:hAnsi="Abo-thar" w:cs="KFGQPC Uthman Taha Naskh"/>
          <w:sz w:val="28"/>
          <w:rtl/>
        </w:rPr>
        <w:t>فَكَتَبَ</w:t>
      </w:r>
      <w:r w:rsidR="00147857" w:rsidRPr="00891167">
        <w:rPr>
          <w:rFonts w:ascii="Abo-thar" w:hAnsi="Abo-thar" w:cs="KFGQPC Uthman Taha Naskh"/>
          <w:sz w:val="28"/>
          <w:rtl/>
        </w:rPr>
        <w:t xml:space="preserve"> و</w:t>
      </w:r>
      <w:r w:rsidRPr="00891167">
        <w:rPr>
          <w:rFonts w:ascii="Abo-thar" w:hAnsi="Abo-thar" w:cs="KFGQPC Uthman Taha Naskh"/>
          <w:sz w:val="28"/>
          <w:rtl/>
        </w:rPr>
        <w:t>قَرَأَهُ عَلِيُّ بْنُ مَهْزِيَارَ</w:t>
      </w:r>
      <w:r w:rsidR="00217AB4" w:rsidRPr="00891167">
        <w:rPr>
          <w:rFonts w:ascii="Abo-thar" w:hAnsi="Abo-thar" w:cs="KFGQPC Uthman Taha Naskh" w:hint="cs"/>
          <w:sz w:val="28"/>
          <w:rtl/>
        </w:rPr>
        <w:t>)</w:t>
      </w:r>
      <w:r w:rsidRPr="00891167">
        <w:rPr>
          <w:rFonts w:ascii="Abo-thar" w:hAnsi="Abo-thar" w:cs="KFGQPC Uthman Taha Naskh" w:hint="cs"/>
          <w:sz w:val="28"/>
          <w:rtl/>
        </w:rPr>
        <w:t xml:space="preserve"> </w:t>
      </w:r>
      <w:r w:rsidRPr="00891167">
        <w:rPr>
          <w:rFonts w:ascii="Abo-thar" w:hAnsi="Abo-thar" w:cs="KFGQPC Uthman Taha Naskh"/>
          <w:b/>
          <w:bCs/>
          <w:sz w:val="28"/>
          <w:rtl/>
        </w:rPr>
        <w:t>بَعْدَ مَئُونَتِهِ</w:t>
      </w:r>
      <w:r w:rsidR="00147857" w:rsidRPr="00891167">
        <w:rPr>
          <w:rFonts w:ascii="Abo-thar" w:hAnsi="Abo-thar" w:cs="KFGQPC Uthman Taha Naskh"/>
          <w:b/>
          <w:bCs/>
          <w:sz w:val="28"/>
          <w:rtl/>
        </w:rPr>
        <w:t xml:space="preserve"> و</w:t>
      </w:r>
      <w:r w:rsidRPr="00891167">
        <w:rPr>
          <w:rFonts w:ascii="Abo-thar" w:hAnsi="Abo-thar" w:cs="KFGQPC Uthman Taha Naskh"/>
          <w:b/>
          <w:bCs/>
          <w:sz w:val="28"/>
          <w:rtl/>
        </w:rPr>
        <w:t>مَئُونَةِ عِيَالِهِ</w:t>
      </w:r>
      <w:r w:rsidR="00147857" w:rsidRPr="00891167">
        <w:rPr>
          <w:rFonts w:ascii="Abo-thar" w:hAnsi="Abo-thar" w:cs="KFGQPC Uthman Taha Naskh"/>
          <w:b/>
          <w:bCs/>
          <w:sz w:val="28"/>
          <w:rtl/>
        </w:rPr>
        <w:t xml:space="preserve"> و</w:t>
      </w:r>
      <w:r w:rsidRPr="00891167">
        <w:rPr>
          <w:rFonts w:ascii="Abo-thar" w:hAnsi="Abo-thar" w:cs="KFGQPC Uthman Taha Naskh"/>
          <w:b/>
          <w:bCs/>
          <w:sz w:val="28"/>
          <w:rtl/>
        </w:rPr>
        <w:t>بَعْدَ خَرَاجِ السُّلْطَانِ</w:t>
      </w:r>
      <w:r w:rsidR="00217AB4" w:rsidRPr="00891167">
        <w:rPr>
          <w:rFonts w:ascii="Abo-thar" w:hAnsi="Abo-thar" w:cs="KFGQPC Uthman Taha Naskh" w:hint="cs"/>
          <w:b/>
          <w:bCs/>
          <w:sz w:val="28"/>
          <w:rtl/>
        </w:rPr>
        <w:t>.</w:t>
      </w:r>
      <w:r w:rsidR="00147857" w:rsidRPr="00891167">
        <w:rPr>
          <w:rFonts w:ascii="Abo-thar" w:hAnsi="Abo-thar" w:cs="KFGQPC Uthman Taha Naskh" w:hint="cs"/>
          <w:b/>
          <w:bCs/>
          <w:sz w:val="28"/>
          <w:rtl/>
        </w:rPr>
        <w:t xml:space="preserve"> </w:t>
      </w:r>
      <w:r w:rsidR="00217AB4" w:rsidRPr="00891167">
        <w:rPr>
          <w:rFonts w:ascii="Abo-thar" w:hAnsi="Abo-thar" w:cs="KFGQPC Uthman Taha Naskh" w:hint="cs"/>
          <w:sz w:val="28"/>
          <w:rtl/>
        </w:rPr>
        <w:t>(</w:t>
      </w:r>
      <w:r w:rsidRPr="00891167">
        <w:rPr>
          <w:rFonts w:ascii="Abo-thar" w:hAnsi="Abo-thar" w:cs="KFGQPC Uthman Taha Naskh" w:hint="cs"/>
          <w:sz w:val="28"/>
          <w:rtl/>
        </w:rPr>
        <w:t>وفي التهذيب</w:t>
      </w:r>
      <w:r w:rsidR="00217AB4" w:rsidRPr="00891167">
        <w:rPr>
          <w:rFonts w:ascii="Abo-thar" w:hAnsi="Abo-thar" w:cs="KFGQPC Uthman Taha Naskh" w:hint="cs"/>
          <w:sz w:val="28"/>
          <w:rtl/>
        </w:rPr>
        <w:t>:</w:t>
      </w:r>
      <w:r w:rsidRPr="00891167">
        <w:rPr>
          <w:rFonts w:ascii="Abo-thar" w:hAnsi="Abo-thar" w:cs="KFGQPC Uthman Taha Naskh" w:hint="cs"/>
          <w:sz w:val="28"/>
          <w:rtl/>
        </w:rPr>
        <w:t xml:space="preserve"> </w:t>
      </w:r>
      <w:r w:rsidRPr="00891167">
        <w:rPr>
          <w:rFonts w:ascii="Abo-thar" w:hAnsi="Abo-thar" w:cs="KFGQPC Uthman Taha Naskh"/>
          <w:sz w:val="28"/>
          <w:rtl/>
        </w:rPr>
        <w:t>عَلَيْهِ الخُمُسُ بَعْدَ مَئُونَتِهِ</w:t>
      </w:r>
      <w:r w:rsidR="00147857" w:rsidRPr="00891167">
        <w:rPr>
          <w:rFonts w:ascii="Abo-thar" w:hAnsi="Abo-thar" w:cs="KFGQPC Uthman Taha Naskh"/>
          <w:sz w:val="28"/>
          <w:rtl/>
        </w:rPr>
        <w:t xml:space="preserve"> و</w:t>
      </w:r>
      <w:r w:rsidRPr="00891167">
        <w:rPr>
          <w:rFonts w:ascii="Abo-thar" w:hAnsi="Abo-thar" w:cs="KFGQPC Uthman Taha Naskh"/>
          <w:sz w:val="28"/>
          <w:rtl/>
        </w:rPr>
        <w:t>مَئُونَةِ عِيَالِهِ</w:t>
      </w:r>
      <w:r w:rsidR="00147857" w:rsidRPr="00891167">
        <w:rPr>
          <w:rFonts w:ascii="Abo-thar" w:hAnsi="Abo-thar" w:cs="KFGQPC Uthman Taha Naskh"/>
          <w:sz w:val="28"/>
          <w:rtl/>
        </w:rPr>
        <w:t xml:space="preserve"> و</w:t>
      </w:r>
      <w:r w:rsidRPr="00891167">
        <w:rPr>
          <w:rFonts w:ascii="Abo-thar" w:hAnsi="Abo-thar" w:cs="KFGQPC Uthman Taha Naskh"/>
          <w:sz w:val="28"/>
          <w:rtl/>
        </w:rPr>
        <w:t>بَعْدَ خَرَاجِ السُّلْطَانِ</w:t>
      </w:r>
      <w:r w:rsidR="00217AB4" w:rsidRPr="00891167">
        <w:rPr>
          <w:rFonts w:ascii="Abo-thar" w:hAnsi="Abo-thar" w:cs="KFGQPC Uthman Taha Naskh" w:hint="cs"/>
          <w:sz w:val="28"/>
          <w:rtl/>
        </w:rPr>
        <w:t>)</w:t>
      </w:r>
      <w:r w:rsidR="00F456DF" w:rsidRPr="00891167">
        <w:rPr>
          <w:rFonts w:ascii="Abo-thar" w:hAnsi="Abo-thar" w:cs="KFGQPC Uthman Taha Naskh" w:hint="cs"/>
          <w:sz w:val="28"/>
          <w:rtl/>
        </w:rPr>
        <w:t>»</w:t>
      </w:r>
      <w:r w:rsidR="00217AB4" w:rsidRPr="003F3B94">
        <w:rPr>
          <w:rFonts w:ascii="Abo-thar" w:hAnsi="Abo-thar" w:hint="cs"/>
          <w:sz w:val="28"/>
          <w:rtl/>
        </w:rPr>
        <w:t>.</w:t>
      </w:r>
    </w:p>
    <w:p w:rsidR="005C664D" w:rsidRPr="003F3B94" w:rsidRDefault="005C664D" w:rsidP="003F3B94">
      <w:pPr>
        <w:pStyle w:val="a0"/>
        <w:rPr>
          <w:rFonts w:hint="cs"/>
          <w:rtl/>
        </w:rPr>
      </w:pPr>
      <w:r w:rsidRPr="003F3B94">
        <w:rPr>
          <w:rFonts w:ascii="Abo-thar" w:hAnsi="Abo-thar" w:hint="cs"/>
          <w:sz w:val="28"/>
          <w:rtl/>
        </w:rPr>
        <w:t xml:space="preserve">وعلى كل حال إذا درسنا سند هذا الحديث كما جاء من طريق الكُلَيْنِيّ في </w:t>
      </w:r>
      <w:r w:rsidRPr="003F3B94">
        <w:rPr>
          <w:rFonts w:ascii="Abo-thar" w:hAnsi="Abo-thar"/>
          <w:sz w:val="28"/>
          <w:rtl/>
        </w:rPr>
        <w:t>«</w:t>
      </w:r>
      <w:r w:rsidRPr="003F3B94">
        <w:rPr>
          <w:rFonts w:ascii="Abo-thar" w:hAnsi="Abo-thar" w:hint="cs"/>
          <w:sz w:val="28"/>
          <w:rtl/>
        </w:rPr>
        <w:t>الكافي</w:t>
      </w:r>
      <w:r w:rsidRPr="003F3B94">
        <w:rPr>
          <w:rFonts w:ascii="Abo-thar" w:hAnsi="Abo-thar"/>
          <w:sz w:val="28"/>
          <w:rtl/>
        </w:rPr>
        <w:t>»</w:t>
      </w:r>
      <w:r w:rsidRPr="003F3B94">
        <w:rPr>
          <w:rFonts w:ascii="Abo-thar" w:hAnsi="Abo-thar" w:hint="cs"/>
          <w:sz w:val="28"/>
          <w:rtl/>
        </w:rPr>
        <w:t xml:space="preserve"> لرأينا أنه حديثٌ مُفتَضحٌ جداً لأن الكُلَيْنِيُّ يرويه عن</w:t>
      </w:r>
      <w:r w:rsidR="00217AB4" w:rsidRPr="003F3B94">
        <w:rPr>
          <w:rFonts w:ascii="Abo-thar" w:hAnsi="Abo-thar" w:hint="cs"/>
          <w:sz w:val="28"/>
          <w:rtl/>
        </w:rPr>
        <w:t>:</w:t>
      </w:r>
      <w:r w:rsidRPr="003F3B94">
        <w:rPr>
          <w:rFonts w:ascii="Abo-thar" w:hAnsi="Abo-thar"/>
          <w:sz w:val="28"/>
          <w:rtl/>
        </w:rPr>
        <w:t xml:space="preserve"> سَهْل</w:t>
      </w:r>
      <w:r w:rsidRPr="003F3B94">
        <w:rPr>
          <w:rFonts w:ascii="Abo-thar" w:hAnsi="Abo-thar" w:hint="cs"/>
          <w:sz w:val="28"/>
          <w:rtl/>
        </w:rPr>
        <w:t>ِ بن زياد</w:t>
      </w:r>
      <w:r w:rsidRPr="003F3B94">
        <w:rPr>
          <w:rFonts w:ascii="Abo-thar" w:hAnsi="Abo-thar"/>
          <w:sz w:val="28"/>
          <w:rtl/>
        </w:rPr>
        <w:t xml:space="preserve"> عَنْ إِبْرَاهِيمَ بْنِ مُحَمَّدٍ الهَمَذَانِي</w:t>
      </w:r>
      <w:r w:rsidR="00217AB4" w:rsidRPr="003F3B94">
        <w:rPr>
          <w:rFonts w:ascii="Abo-thar" w:hAnsi="Abo-thar" w:hint="cs"/>
          <w:sz w:val="28"/>
          <w:rtl/>
        </w:rPr>
        <w:t>،</w:t>
      </w:r>
      <w:r w:rsidRPr="003F3B94">
        <w:rPr>
          <w:rFonts w:ascii="Abo-thar" w:hAnsi="Abo-thar" w:hint="cs"/>
          <w:sz w:val="28"/>
          <w:rtl/>
        </w:rPr>
        <w:t xml:space="preserve"> ويكفي أن ننظر في حال </w:t>
      </w:r>
      <w:r w:rsidRPr="003F3B94">
        <w:rPr>
          <w:rFonts w:ascii="Abo-thar" w:hAnsi="Abo-thar"/>
          <w:sz w:val="28"/>
          <w:rtl/>
        </w:rPr>
        <w:t>«</w:t>
      </w:r>
      <w:r w:rsidRPr="003F3B94">
        <w:rPr>
          <w:rFonts w:ascii="Abo-thar" w:hAnsi="Abo-thar" w:hint="cs"/>
          <w:sz w:val="28"/>
          <w:rtl/>
        </w:rPr>
        <w:t>سَهْل بن زياد</w:t>
      </w:r>
      <w:r w:rsidRPr="003F3B94">
        <w:rPr>
          <w:rFonts w:ascii="Abo-thar" w:hAnsi="Abo-thar"/>
          <w:sz w:val="28"/>
          <w:rtl/>
        </w:rPr>
        <w:t>»‏</w:t>
      </w:r>
      <w:r w:rsidRPr="003F3B94">
        <w:rPr>
          <w:rFonts w:ascii="Abo-thar" w:hAnsi="Abo-thar" w:hint="cs"/>
          <w:sz w:val="28"/>
          <w:rtl/>
        </w:rPr>
        <w:t xml:space="preserve"> لندرك بطلان هذا الحديث</w:t>
      </w:r>
      <w:r w:rsidR="00217AB4" w:rsidRPr="003F3B94">
        <w:rPr>
          <w:rFonts w:ascii="Abo-thar" w:hAnsi="Abo-thar" w:hint="cs"/>
          <w:sz w:val="28"/>
          <w:rtl/>
        </w:rPr>
        <w:t>،</w:t>
      </w:r>
      <w:r w:rsidRPr="003F3B94">
        <w:rPr>
          <w:rFonts w:ascii="Abo-thar" w:hAnsi="Abo-thar" w:hint="cs"/>
          <w:sz w:val="28"/>
          <w:rtl/>
        </w:rPr>
        <w:t xml:space="preserve"> فما بالك لو عرفنا حال </w:t>
      </w:r>
      <w:r w:rsidRPr="003F3B94">
        <w:rPr>
          <w:rFonts w:ascii="Abo-thar" w:hAnsi="Abo-thar"/>
          <w:sz w:val="28"/>
          <w:rtl/>
        </w:rPr>
        <w:t>«إِبْرَاهِيم</w:t>
      </w:r>
      <w:r w:rsidRPr="003F3B94">
        <w:rPr>
          <w:rFonts w:ascii="Abo-thar" w:hAnsi="Abo-thar" w:hint="cs"/>
          <w:sz w:val="28"/>
          <w:rtl/>
        </w:rPr>
        <w:t>َ</w:t>
      </w:r>
      <w:r w:rsidRPr="003F3B94">
        <w:rPr>
          <w:rFonts w:ascii="Abo-thar" w:hAnsi="Abo-thar"/>
          <w:sz w:val="28"/>
          <w:rtl/>
        </w:rPr>
        <w:t xml:space="preserve"> بْنِ مُحَمَّدٍ الهَمَذَانِي»</w:t>
      </w:r>
      <w:r w:rsidRPr="003F3B94">
        <w:rPr>
          <w:rFonts w:ascii="Abo-thar" w:hAnsi="Abo-thar" w:hint="cs"/>
          <w:sz w:val="28"/>
          <w:rtl/>
        </w:rPr>
        <w:t xml:space="preserve"> الذي هو مجهول الحال ومجهول العدالة</w:t>
      </w:r>
      <w:r w:rsidR="00217AB4" w:rsidRPr="003F3B94">
        <w:rPr>
          <w:rFonts w:ascii="Abo-thar" w:hAnsi="Abo-thar" w:hint="cs"/>
          <w:sz w:val="28"/>
          <w:rtl/>
        </w:rPr>
        <w:t>.</w:t>
      </w:r>
      <w:r w:rsidR="00147857" w:rsidRPr="003F3B94">
        <w:rPr>
          <w:rFonts w:ascii="Abo-thar" w:hAnsi="Abo-thar" w:hint="cs"/>
          <w:sz w:val="28"/>
          <w:rtl/>
        </w:rPr>
        <w:t xml:space="preserve"> </w:t>
      </w:r>
      <w:r w:rsidRPr="003F3B94">
        <w:rPr>
          <w:rFonts w:ascii="Abo-thar" w:hAnsi="Abo-thar" w:hint="cs"/>
          <w:sz w:val="28"/>
          <w:rtl/>
        </w:rPr>
        <w:t xml:space="preserve">أما </w:t>
      </w:r>
      <w:r w:rsidRPr="003F3B94">
        <w:rPr>
          <w:rFonts w:ascii="Abo-thar" w:hAnsi="Abo-thar"/>
          <w:sz w:val="28"/>
          <w:rtl/>
        </w:rPr>
        <w:t>«</w:t>
      </w:r>
      <w:r w:rsidRPr="003F3B94">
        <w:rPr>
          <w:rFonts w:ascii="Abo-thar" w:hAnsi="Abo-thar" w:hint="cs"/>
          <w:sz w:val="28"/>
          <w:rtl/>
        </w:rPr>
        <w:t>سَهْل بن زياد</w:t>
      </w:r>
      <w:r w:rsidRPr="003F3B94">
        <w:rPr>
          <w:rFonts w:ascii="Abo-thar" w:hAnsi="Abo-thar"/>
          <w:sz w:val="28"/>
          <w:rtl/>
        </w:rPr>
        <w:t>»‏</w:t>
      </w:r>
      <w:r w:rsidRPr="003F3B94">
        <w:rPr>
          <w:rFonts w:ascii="Abo-thar" w:hAnsi="Abo-thar" w:hint="cs"/>
          <w:sz w:val="28"/>
          <w:rtl/>
        </w:rPr>
        <w:t xml:space="preserve"> فإليكم ما ذكرته كتب الرجال بشأنه</w:t>
      </w:r>
      <w:r w:rsidR="00217AB4" w:rsidRPr="003F3B94">
        <w:rPr>
          <w:rFonts w:ascii="Abo-thar" w:hAnsi="Abo-thar" w:hint="cs"/>
          <w:sz w:val="28"/>
          <w:rtl/>
        </w:rPr>
        <w:t>:</w:t>
      </w:r>
    </w:p>
    <w:p w:rsidR="005C664D" w:rsidRPr="003F3B94" w:rsidRDefault="005C664D" w:rsidP="003F3B94">
      <w:pPr>
        <w:pStyle w:val="a0"/>
        <w:rPr>
          <w:rFonts w:hint="cs"/>
          <w:rtl/>
        </w:rPr>
      </w:pPr>
      <w:r w:rsidRPr="003F3B94">
        <w:rPr>
          <w:rFonts w:ascii="Abo-thar" w:hAnsi="Abo-thar" w:hint="cs"/>
          <w:sz w:val="28"/>
          <w:rtl/>
        </w:rPr>
        <w:t xml:space="preserve">جاء في </w:t>
      </w:r>
      <w:r w:rsidRPr="003F3B94">
        <w:rPr>
          <w:rFonts w:ascii="Abo-thar" w:hAnsi="Abo-thar"/>
          <w:sz w:val="28"/>
          <w:rtl/>
        </w:rPr>
        <w:t>«</w:t>
      </w:r>
      <w:r w:rsidRPr="003F3B94">
        <w:rPr>
          <w:rFonts w:ascii="Abo-thar" w:hAnsi="Abo-thar" w:hint="cs"/>
          <w:sz w:val="28"/>
          <w:rtl/>
        </w:rPr>
        <w:t>الفهرست</w:t>
      </w:r>
      <w:r w:rsidRPr="003F3B94">
        <w:rPr>
          <w:rFonts w:ascii="Abo-thar" w:hAnsi="Abo-thar"/>
          <w:sz w:val="28"/>
          <w:rtl/>
        </w:rPr>
        <w:t>»</w:t>
      </w:r>
      <w:r w:rsidRPr="003F3B94">
        <w:rPr>
          <w:rFonts w:ascii="Abo-thar" w:hAnsi="Abo-thar" w:hint="cs"/>
          <w:sz w:val="28"/>
          <w:rtl/>
        </w:rPr>
        <w:t xml:space="preserve"> للشيخ الطوسي</w:t>
      </w:r>
      <w:r w:rsidR="00217AB4" w:rsidRPr="003F3B94">
        <w:rPr>
          <w:rFonts w:ascii="Abo-thar" w:hAnsi="Abo-thar" w:hint="cs"/>
          <w:sz w:val="28"/>
          <w:rtl/>
        </w:rPr>
        <w:t>:</w:t>
      </w:r>
      <w:r w:rsidRPr="003F3B94">
        <w:rPr>
          <w:rFonts w:ascii="Abo-thar" w:hAnsi="Abo-thar" w:hint="cs"/>
          <w:sz w:val="28"/>
          <w:rtl/>
        </w:rPr>
        <w:t xml:space="preserve"> </w:t>
      </w:r>
      <w:r w:rsidR="00EF2588" w:rsidRPr="003F3B94">
        <w:rPr>
          <w:rFonts w:ascii="Abo-thar" w:hAnsi="Abo-thar" w:hint="cs"/>
          <w:sz w:val="28"/>
          <w:rtl/>
        </w:rPr>
        <w:t>«</w:t>
      </w:r>
      <w:r w:rsidRPr="003F3B94">
        <w:rPr>
          <w:rFonts w:ascii="Abo-thar" w:hAnsi="Abo-thar"/>
          <w:b/>
          <w:bCs/>
          <w:sz w:val="28"/>
          <w:rtl/>
        </w:rPr>
        <w:t>سهل بن زياد الآدمي</w:t>
      </w:r>
      <w:r w:rsidRPr="003F3B94">
        <w:rPr>
          <w:rFonts w:ascii="Abo-thar" w:hAnsi="Abo-thar" w:hint="cs"/>
          <w:b/>
          <w:bCs/>
          <w:sz w:val="28"/>
          <w:rtl/>
        </w:rPr>
        <w:t xml:space="preserve"> </w:t>
      </w:r>
      <w:r w:rsidRPr="003F3B94">
        <w:rPr>
          <w:rFonts w:ascii="Abo-thar" w:hAnsi="Abo-thar"/>
          <w:b/>
          <w:bCs/>
          <w:sz w:val="28"/>
          <w:rtl/>
        </w:rPr>
        <w:t>الرازي</w:t>
      </w:r>
      <w:r w:rsidR="00217AB4" w:rsidRPr="003F3B94">
        <w:rPr>
          <w:rFonts w:ascii="Abo-thar" w:hAnsi="Abo-thar"/>
          <w:b/>
          <w:bCs/>
          <w:sz w:val="28"/>
          <w:rtl/>
        </w:rPr>
        <w:t>،</w:t>
      </w:r>
      <w:r w:rsidRPr="003F3B94">
        <w:rPr>
          <w:rFonts w:ascii="Abo-thar" w:hAnsi="Abo-thar"/>
          <w:b/>
          <w:bCs/>
          <w:sz w:val="28"/>
          <w:rtl/>
        </w:rPr>
        <w:t xml:space="preserve"> أبو سعيد ضعيف</w:t>
      </w:r>
      <w:r w:rsidR="00F456DF" w:rsidRPr="003F3B94">
        <w:rPr>
          <w:rFonts w:ascii="Abo-thar" w:hAnsi="Abo-thar" w:hint="cs"/>
          <w:b/>
          <w:bCs/>
          <w:sz w:val="28"/>
          <w:rtl/>
        </w:rPr>
        <w:t>»</w:t>
      </w:r>
      <w:r w:rsidR="00B43B39" w:rsidRPr="0021507A">
        <w:rPr>
          <w:rFonts w:ascii="Abo-thar" w:hAnsi="Abo-thar" w:cs="Arabic11 BT"/>
          <w:sz w:val="28"/>
          <w:vertAlign w:val="superscript"/>
          <w:rtl/>
        </w:rPr>
        <w:t>(</w:t>
      </w:r>
      <w:r w:rsidR="00B43B39" w:rsidRPr="0021507A">
        <w:rPr>
          <w:rStyle w:val="FootnoteReference"/>
          <w:rFonts w:ascii="Abo-thar" w:hAnsi="Abo-thar" w:cs="Arabic11 BT"/>
          <w:sz w:val="28"/>
          <w:rtl/>
        </w:rPr>
        <w:footnoteReference w:id="260"/>
      </w:r>
      <w:r w:rsidR="00B43B39" w:rsidRPr="0021507A">
        <w:rPr>
          <w:rFonts w:ascii="Abo-thar" w:hAnsi="Abo-thar" w:cs="Arabic11 BT"/>
          <w:sz w:val="28"/>
          <w:vertAlign w:val="superscript"/>
          <w:rtl/>
        </w:rPr>
        <w:t>)</w:t>
      </w:r>
      <w:r w:rsidR="00217AB4" w:rsidRPr="003F3B94">
        <w:rPr>
          <w:rFonts w:ascii="Abo-thar" w:hAnsi="Abo-thar" w:hint="cs"/>
          <w:sz w:val="28"/>
          <w:rtl/>
        </w:rPr>
        <w:t>.</w:t>
      </w:r>
    </w:p>
    <w:p w:rsidR="005C664D" w:rsidRPr="003F3B94" w:rsidRDefault="005C664D" w:rsidP="003F3B94">
      <w:pPr>
        <w:pStyle w:val="a0"/>
        <w:rPr>
          <w:rFonts w:hint="cs"/>
          <w:rtl/>
        </w:rPr>
      </w:pPr>
      <w:r w:rsidRPr="003F3B94">
        <w:rPr>
          <w:rFonts w:ascii="Abo-thar" w:hAnsi="Abo-thar" w:hint="cs"/>
          <w:sz w:val="28"/>
          <w:rtl/>
        </w:rPr>
        <w:t xml:space="preserve">وجاء في </w:t>
      </w:r>
      <w:r w:rsidRPr="003F3B94">
        <w:rPr>
          <w:rFonts w:ascii="Abo-thar" w:hAnsi="Abo-thar"/>
          <w:sz w:val="28"/>
          <w:rtl/>
        </w:rPr>
        <w:t>«</w:t>
      </w:r>
      <w:r w:rsidRPr="003F3B94">
        <w:rPr>
          <w:rFonts w:ascii="Abo-thar" w:hAnsi="Abo-thar" w:hint="cs"/>
          <w:sz w:val="28"/>
          <w:rtl/>
        </w:rPr>
        <w:t>الاستبصار</w:t>
      </w:r>
      <w:r w:rsidRPr="003F3B94">
        <w:rPr>
          <w:rFonts w:ascii="Abo-thar" w:hAnsi="Abo-thar"/>
          <w:sz w:val="28"/>
          <w:rtl/>
        </w:rPr>
        <w:t>»</w:t>
      </w:r>
      <w:r w:rsidR="00217AB4" w:rsidRPr="003F3B94">
        <w:rPr>
          <w:rFonts w:ascii="Abo-thar" w:hAnsi="Abo-thar" w:hint="cs"/>
          <w:sz w:val="28"/>
          <w:rtl/>
        </w:rPr>
        <w:t>:</w:t>
      </w:r>
      <w:r w:rsidRPr="003F3B94">
        <w:rPr>
          <w:rFonts w:ascii="Abo-thar" w:hAnsi="Abo-thar" w:hint="cs"/>
          <w:sz w:val="28"/>
          <w:rtl/>
        </w:rPr>
        <w:t xml:space="preserve"> </w:t>
      </w:r>
      <w:r w:rsidR="00EF2588" w:rsidRPr="003F3B94">
        <w:rPr>
          <w:rFonts w:ascii="Abo-thar" w:hAnsi="Abo-thar" w:hint="cs"/>
          <w:sz w:val="28"/>
          <w:rtl/>
        </w:rPr>
        <w:t>«</w:t>
      </w:r>
      <w:r w:rsidR="00217AB4" w:rsidRPr="003F3B94">
        <w:rPr>
          <w:rFonts w:ascii="Abo-thar" w:hAnsi="Abo-thar" w:hint="cs"/>
          <w:sz w:val="28"/>
          <w:rtl/>
        </w:rPr>
        <w:t>..</w:t>
      </w:r>
      <w:r w:rsidRPr="003F3B94">
        <w:rPr>
          <w:rFonts w:ascii="Abo-thar" w:hAnsi="Abo-thar" w:hint="cs"/>
          <w:sz w:val="28"/>
          <w:rtl/>
        </w:rPr>
        <w:t xml:space="preserve"> </w:t>
      </w:r>
      <w:r w:rsidRPr="003F3B94">
        <w:rPr>
          <w:rFonts w:ascii="Abo-thar" w:hAnsi="Abo-thar"/>
          <w:b/>
          <w:bCs/>
          <w:sz w:val="28"/>
          <w:rtl/>
        </w:rPr>
        <w:t>فَرَاوِيهِ أَبُو سَعِيدٍ الْأَدَمِيُّ وَهُوَ ضَعِيفٌ جِدّاً عِنْدَ نُقَّادِ الْأَخْبَار</w:t>
      </w:r>
      <w:r w:rsidR="00EF2588" w:rsidRPr="003F3B94">
        <w:rPr>
          <w:rFonts w:ascii="Abo-thar" w:hAnsi="Abo-thar" w:hint="cs"/>
          <w:sz w:val="28"/>
          <w:rtl/>
        </w:rPr>
        <w:t>»</w:t>
      </w:r>
      <w:r w:rsidR="00B43B39" w:rsidRPr="0021507A">
        <w:rPr>
          <w:rFonts w:ascii="Abo-thar" w:hAnsi="Abo-thar" w:cs="Arabic11 BT"/>
          <w:sz w:val="28"/>
          <w:vertAlign w:val="superscript"/>
          <w:rtl/>
        </w:rPr>
        <w:t>(</w:t>
      </w:r>
      <w:r w:rsidR="00B43B39" w:rsidRPr="0021507A">
        <w:rPr>
          <w:rStyle w:val="FootnoteReference"/>
          <w:rFonts w:ascii="Abo-thar" w:hAnsi="Abo-thar" w:cs="Arabic11 BT"/>
          <w:sz w:val="28"/>
          <w:rtl/>
        </w:rPr>
        <w:footnoteReference w:id="261"/>
      </w:r>
      <w:r w:rsidR="00B43B39" w:rsidRPr="0021507A">
        <w:rPr>
          <w:rFonts w:ascii="Abo-thar" w:hAnsi="Abo-thar" w:cs="Arabic11 BT"/>
          <w:sz w:val="28"/>
          <w:vertAlign w:val="superscript"/>
          <w:rtl/>
        </w:rPr>
        <w:t>)</w:t>
      </w:r>
      <w:r w:rsidR="00217AB4" w:rsidRPr="003F3B94">
        <w:rPr>
          <w:rFonts w:ascii="Abo-thar" w:hAnsi="Abo-thar" w:hint="cs"/>
          <w:sz w:val="28"/>
          <w:rtl/>
        </w:rPr>
        <w:t>.</w:t>
      </w:r>
    </w:p>
    <w:p w:rsidR="005C664D" w:rsidRPr="003F3B94" w:rsidRDefault="005C664D" w:rsidP="003F3B94">
      <w:pPr>
        <w:pStyle w:val="a0"/>
        <w:rPr>
          <w:rFonts w:hint="cs"/>
          <w:rtl/>
        </w:rPr>
      </w:pPr>
      <w:r w:rsidRPr="003F3B94">
        <w:rPr>
          <w:rFonts w:ascii="Abo-thar" w:hAnsi="Abo-thar" w:hint="cs"/>
          <w:sz w:val="28"/>
          <w:rtl/>
        </w:rPr>
        <w:t>وقال عنه النجاشي في رجاله</w:t>
      </w:r>
      <w:r w:rsidR="00217AB4" w:rsidRPr="003F3B94">
        <w:rPr>
          <w:rFonts w:ascii="Abo-thar" w:hAnsi="Abo-thar" w:hint="cs"/>
          <w:sz w:val="28"/>
          <w:rtl/>
        </w:rPr>
        <w:t>:</w:t>
      </w:r>
      <w:r w:rsidRPr="003F3B94">
        <w:rPr>
          <w:rFonts w:ascii="Abo-thar" w:hAnsi="Abo-thar" w:hint="cs"/>
          <w:sz w:val="28"/>
          <w:rtl/>
        </w:rPr>
        <w:t xml:space="preserve"> </w:t>
      </w:r>
      <w:r w:rsidR="00EF2588" w:rsidRPr="003F3B94">
        <w:rPr>
          <w:rFonts w:ascii="Abo-thar" w:hAnsi="Abo-thar" w:hint="cs"/>
          <w:sz w:val="28"/>
          <w:rtl/>
        </w:rPr>
        <w:t>«</w:t>
      </w:r>
      <w:r w:rsidRPr="003F3B94">
        <w:rPr>
          <w:rFonts w:ascii="Abo-thar" w:hAnsi="Abo-thar" w:hint="cs"/>
          <w:b/>
          <w:bCs/>
          <w:sz w:val="28"/>
          <w:rtl/>
        </w:rPr>
        <w:t>سَ</w:t>
      </w:r>
      <w:r w:rsidRPr="003F3B94">
        <w:rPr>
          <w:rFonts w:ascii="Abo-thar" w:hAnsi="Abo-thar"/>
          <w:b/>
          <w:bCs/>
          <w:sz w:val="28"/>
          <w:rtl/>
        </w:rPr>
        <w:t>ه</w:t>
      </w:r>
      <w:r w:rsidRPr="003F3B94">
        <w:rPr>
          <w:rFonts w:ascii="Abo-thar" w:hAnsi="Abo-thar" w:hint="cs"/>
          <w:b/>
          <w:bCs/>
          <w:sz w:val="28"/>
          <w:rtl/>
        </w:rPr>
        <w:t>ْ</w:t>
      </w:r>
      <w:r w:rsidRPr="003F3B94">
        <w:rPr>
          <w:rFonts w:ascii="Abo-thar" w:hAnsi="Abo-thar"/>
          <w:b/>
          <w:bCs/>
          <w:sz w:val="28"/>
          <w:rtl/>
        </w:rPr>
        <w:t>ل بن ز</w:t>
      </w:r>
      <w:r w:rsidRPr="003F3B94">
        <w:rPr>
          <w:rFonts w:ascii="Abo-thar" w:hAnsi="Abo-thar" w:hint="cs"/>
          <w:b/>
          <w:bCs/>
          <w:sz w:val="28"/>
          <w:rtl/>
        </w:rPr>
        <w:t>ِ</w:t>
      </w:r>
      <w:r w:rsidRPr="003F3B94">
        <w:rPr>
          <w:rFonts w:ascii="Abo-thar" w:hAnsi="Abo-thar"/>
          <w:b/>
          <w:bCs/>
          <w:sz w:val="28"/>
          <w:rtl/>
        </w:rPr>
        <w:t>ي</w:t>
      </w:r>
      <w:r w:rsidRPr="003F3B94">
        <w:rPr>
          <w:rFonts w:ascii="Abo-thar" w:hAnsi="Abo-thar" w:hint="cs"/>
          <w:b/>
          <w:bCs/>
          <w:sz w:val="28"/>
          <w:rtl/>
        </w:rPr>
        <w:t>َ</w:t>
      </w:r>
      <w:r w:rsidRPr="003F3B94">
        <w:rPr>
          <w:rFonts w:ascii="Abo-thar" w:hAnsi="Abo-thar"/>
          <w:b/>
          <w:bCs/>
          <w:sz w:val="28"/>
          <w:rtl/>
        </w:rPr>
        <w:t>اد أبو سعيد الآدمي الرازي</w:t>
      </w:r>
      <w:r w:rsidR="00217AB4" w:rsidRPr="003F3B94">
        <w:rPr>
          <w:rFonts w:ascii="Abo-thar" w:hAnsi="Abo-thar" w:hint="cs"/>
          <w:b/>
          <w:bCs/>
          <w:sz w:val="28"/>
          <w:rtl/>
        </w:rPr>
        <w:t>:</w:t>
      </w:r>
      <w:r w:rsidRPr="003F3B94">
        <w:rPr>
          <w:rFonts w:ascii="Abo-thar" w:hAnsi="Abo-thar" w:hint="cs"/>
          <w:b/>
          <w:bCs/>
          <w:sz w:val="28"/>
          <w:rtl/>
        </w:rPr>
        <w:t xml:space="preserve"> </w:t>
      </w:r>
      <w:r w:rsidRPr="003F3B94">
        <w:rPr>
          <w:rFonts w:ascii="Abo-thar" w:hAnsi="Abo-thar"/>
          <w:b/>
          <w:bCs/>
          <w:sz w:val="28"/>
          <w:rtl/>
        </w:rPr>
        <w:t>كان ضعيفا</w:t>
      </w:r>
      <w:r w:rsidRPr="003F3B94">
        <w:rPr>
          <w:rFonts w:ascii="Abo-thar" w:hAnsi="Abo-thar" w:hint="cs"/>
          <w:b/>
          <w:bCs/>
          <w:sz w:val="28"/>
          <w:rtl/>
        </w:rPr>
        <w:t>ً</w:t>
      </w:r>
      <w:r w:rsidRPr="003F3B94">
        <w:rPr>
          <w:rFonts w:ascii="Abo-thar" w:hAnsi="Abo-thar"/>
          <w:b/>
          <w:bCs/>
          <w:sz w:val="28"/>
          <w:rtl/>
        </w:rPr>
        <w:t xml:space="preserve"> في الحديث</w:t>
      </w:r>
      <w:r w:rsidR="00217AB4" w:rsidRPr="003F3B94">
        <w:rPr>
          <w:rFonts w:ascii="Abo-thar" w:hAnsi="Abo-thar"/>
          <w:b/>
          <w:bCs/>
          <w:sz w:val="28"/>
          <w:rtl/>
        </w:rPr>
        <w:t>،</w:t>
      </w:r>
      <w:r w:rsidRPr="003F3B94">
        <w:rPr>
          <w:rFonts w:ascii="Abo-thar" w:hAnsi="Abo-thar"/>
          <w:b/>
          <w:bCs/>
          <w:sz w:val="28"/>
          <w:rtl/>
        </w:rPr>
        <w:t xml:space="preserve"> غير معتمد فيه</w:t>
      </w:r>
      <w:r w:rsidR="00217AB4" w:rsidRPr="003F3B94">
        <w:rPr>
          <w:rFonts w:ascii="Abo-thar" w:hAnsi="Abo-thar"/>
          <w:b/>
          <w:bCs/>
          <w:sz w:val="28"/>
          <w:rtl/>
        </w:rPr>
        <w:t>.</w:t>
      </w:r>
      <w:r w:rsidRPr="003F3B94">
        <w:rPr>
          <w:rFonts w:ascii="Abo-thar" w:hAnsi="Abo-thar"/>
          <w:b/>
          <w:bCs/>
          <w:sz w:val="28"/>
          <w:rtl/>
        </w:rPr>
        <w:t xml:space="preserve"> وكان أحمد بن محمد بن عيسى يشهد عليه بالغلو</w:t>
      </w:r>
      <w:r w:rsidRPr="003F3B94">
        <w:rPr>
          <w:rFonts w:ascii="Abo-thar" w:hAnsi="Abo-thar" w:hint="cs"/>
          <w:b/>
          <w:bCs/>
          <w:sz w:val="28"/>
          <w:rtl/>
        </w:rPr>
        <w:t>ّ</w:t>
      </w:r>
      <w:r w:rsidRPr="003F3B94">
        <w:rPr>
          <w:rFonts w:ascii="Abo-thar" w:hAnsi="Abo-thar"/>
          <w:b/>
          <w:bCs/>
          <w:sz w:val="28"/>
          <w:rtl/>
        </w:rPr>
        <w:t xml:space="preserve"> والكذب وأخرجه من قم إلى الري</w:t>
      </w:r>
      <w:r w:rsidRPr="003F3B94">
        <w:rPr>
          <w:rFonts w:ascii="Abo-thar" w:hAnsi="Abo-thar" w:hint="cs"/>
          <w:b/>
          <w:bCs/>
          <w:sz w:val="28"/>
          <w:rtl/>
        </w:rPr>
        <w:t>ّ</w:t>
      </w:r>
      <w:r w:rsidRPr="003F3B94">
        <w:rPr>
          <w:rFonts w:ascii="Abo-thar" w:hAnsi="Abo-thar"/>
          <w:b/>
          <w:bCs/>
          <w:sz w:val="28"/>
          <w:rtl/>
        </w:rPr>
        <w:t xml:space="preserve"> وكان يسكنها</w:t>
      </w:r>
      <w:r w:rsidR="00EF2588" w:rsidRPr="003F3B94">
        <w:rPr>
          <w:rFonts w:ascii="Abo-thar" w:hAnsi="Abo-thar" w:hint="cs"/>
          <w:sz w:val="28"/>
          <w:rtl/>
        </w:rPr>
        <w:t>»</w:t>
      </w:r>
      <w:r w:rsidR="00B43B39" w:rsidRPr="0021507A">
        <w:rPr>
          <w:rFonts w:ascii="Abo-thar" w:hAnsi="Abo-thar" w:cs="Arabic11 BT"/>
          <w:sz w:val="28"/>
          <w:vertAlign w:val="superscript"/>
          <w:rtl/>
        </w:rPr>
        <w:t>(</w:t>
      </w:r>
      <w:r w:rsidR="00B43B39" w:rsidRPr="0021507A">
        <w:rPr>
          <w:rStyle w:val="FootnoteReference"/>
          <w:rFonts w:ascii="Abo-thar" w:hAnsi="Abo-thar" w:cs="Arabic11 BT"/>
          <w:sz w:val="28"/>
          <w:rtl/>
        </w:rPr>
        <w:footnoteReference w:id="262"/>
      </w:r>
      <w:r w:rsidR="00B43B39" w:rsidRPr="0021507A">
        <w:rPr>
          <w:rFonts w:ascii="Abo-thar" w:hAnsi="Abo-thar" w:cs="Arabic11 BT"/>
          <w:sz w:val="28"/>
          <w:vertAlign w:val="superscript"/>
          <w:rtl/>
        </w:rPr>
        <w:t>)</w:t>
      </w:r>
      <w:r w:rsidR="00217AB4" w:rsidRPr="003F3B94">
        <w:rPr>
          <w:rFonts w:ascii="Abo-thar" w:hAnsi="Abo-thar" w:hint="cs"/>
          <w:sz w:val="28"/>
          <w:rtl/>
        </w:rPr>
        <w:t>.</w:t>
      </w:r>
    </w:p>
    <w:p w:rsidR="005C664D" w:rsidRPr="003F3B94" w:rsidRDefault="005C664D" w:rsidP="003F3B94">
      <w:pPr>
        <w:pStyle w:val="a0"/>
        <w:rPr>
          <w:rFonts w:hint="cs"/>
          <w:rtl/>
        </w:rPr>
      </w:pPr>
      <w:r w:rsidRPr="003F3B94">
        <w:rPr>
          <w:rFonts w:ascii="Abo-thar" w:hAnsi="Abo-thar" w:hint="cs"/>
          <w:sz w:val="28"/>
          <w:rtl/>
        </w:rPr>
        <w:t>وقال عنه المرحوم ابن الغضائري</w:t>
      </w:r>
      <w:r w:rsidR="00217AB4" w:rsidRPr="003F3B94">
        <w:rPr>
          <w:rFonts w:ascii="Abo-thar" w:hAnsi="Abo-thar" w:hint="cs"/>
          <w:sz w:val="28"/>
          <w:rtl/>
        </w:rPr>
        <w:t>:</w:t>
      </w:r>
      <w:r w:rsidRPr="003F3B94">
        <w:rPr>
          <w:rFonts w:ascii="Abo-thar" w:hAnsi="Abo-thar" w:hint="cs"/>
          <w:sz w:val="28"/>
          <w:rtl/>
        </w:rPr>
        <w:t xml:space="preserve"> </w:t>
      </w:r>
      <w:r w:rsidR="00EF2588" w:rsidRPr="003F3B94">
        <w:rPr>
          <w:rFonts w:ascii="Abo-thar" w:hAnsi="Abo-thar" w:hint="cs"/>
          <w:sz w:val="28"/>
          <w:rtl/>
        </w:rPr>
        <w:t>«</w:t>
      </w:r>
      <w:r w:rsidRPr="003F3B94">
        <w:rPr>
          <w:rFonts w:ascii="Abo-thar" w:hAnsi="Abo-thar"/>
          <w:b/>
          <w:bCs/>
          <w:sz w:val="28"/>
          <w:rtl/>
        </w:rPr>
        <w:t>سهل بن زياد أبو سعيد الآدمي الرازي</w:t>
      </w:r>
      <w:r w:rsidR="00217AB4" w:rsidRPr="003F3B94">
        <w:rPr>
          <w:rFonts w:ascii="Abo-thar" w:hAnsi="Abo-thar" w:hint="cs"/>
          <w:b/>
          <w:bCs/>
          <w:sz w:val="28"/>
          <w:rtl/>
        </w:rPr>
        <w:t>:</w:t>
      </w:r>
      <w:r w:rsidRPr="003F3B94">
        <w:rPr>
          <w:rFonts w:ascii="Abo-thar" w:hAnsi="Abo-thar" w:hint="cs"/>
          <w:b/>
          <w:bCs/>
          <w:sz w:val="28"/>
          <w:rtl/>
        </w:rPr>
        <w:t xml:space="preserve"> </w:t>
      </w:r>
      <w:r w:rsidRPr="003F3B94">
        <w:rPr>
          <w:rFonts w:ascii="Abo-thar" w:hAnsi="Abo-thar"/>
          <w:b/>
          <w:bCs/>
          <w:sz w:val="28"/>
          <w:rtl/>
        </w:rPr>
        <w:t>كان ضعيفا</w:t>
      </w:r>
      <w:r w:rsidRPr="003F3B94">
        <w:rPr>
          <w:rFonts w:ascii="Abo-thar" w:hAnsi="Abo-thar" w:hint="cs"/>
          <w:b/>
          <w:bCs/>
          <w:sz w:val="28"/>
          <w:rtl/>
        </w:rPr>
        <w:t>ً</w:t>
      </w:r>
      <w:r w:rsidRPr="003F3B94">
        <w:rPr>
          <w:rFonts w:ascii="Abo-thar" w:hAnsi="Abo-thar"/>
          <w:b/>
          <w:bCs/>
          <w:sz w:val="28"/>
          <w:rtl/>
        </w:rPr>
        <w:t xml:space="preserve"> جدا</w:t>
      </w:r>
      <w:r w:rsidRPr="003F3B94">
        <w:rPr>
          <w:rFonts w:ascii="Abo-thar" w:hAnsi="Abo-thar" w:hint="cs"/>
          <w:b/>
          <w:bCs/>
          <w:sz w:val="28"/>
          <w:rtl/>
        </w:rPr>
        <w:t>ً</w:t>
      </w:r>
      <w:r w:rsidRPr="003F3B94">
        <w:rPr>
          <w:rFonts w:ascii="Abo-thar" w:hAnsi="Abo-thar"/>
          <w:b/>
          <w:bCs/>
          <w:sz w:val="28"/>
          <w:rtl/>
        </w:rPr>
        <w:t xml:space="preserve"> فاسد الرواية والمذهب وكان أحمد بن محمد بن عيسى الأشعري أخرجه من قم وأظهر البراءة منه ونهى الناس عن السماع منه والرواية ويروي المراسيل ويعتمد المجاهيل</w:t>
      </w:r>
      <w:r w:rsidR="00F456DF" w:rsidRPr="003F3B94">
        <w:rPr>
          <w:rFonts w:ascii="Abo-thar" w:hAnsi="Abo-thar"/>
          <w:b/>
          <w:bCs/>
          <w:sz w:val="28"/>
          <w:rtl/>
        </w:rPr>
        <w:t>»</w:t>
      </w:r>
      <w:r w:rsidR="00217AB4" w:rsidRPr="0021507A">
        <w:rPr>
          <w:rFonts w:cs="Arabic11 BT"/>
          <w:b/>
          <w:sz w:val="28"/>
          <w:vertAlign w:val="superscript"/>
          <w:rtl/>
        </w:rPr>
        <w:t>(</w:t>
      </w:r>
      <w:r w:rsidRPr="0021507A">
        <w:rPr>
          <w:rStyle w:val="FootnoteReference"/>
          <w:rFonts w:cs="Arabic11 BT"/>
          <w:b/>
          <w:sz w:val="28"/>
          <w:rtl/>
        </w:rPr>
        <w:footnoteReference w:id="263"/>
      </w:r>
      <w:r w:rsidR="00217AB4" w:rsidRPr="0021507A">
        <w:rPr>
          <w:rFonts w:cs="Arabic11 BT"/>
          <w:b/>
          <w:sz w:val="28"/>
          <w:vertAlign w:val="superscript"/>
          <w:rtl/>
        </w:rPr>
        <w:t>)</w:t>
      </w:r>
      <w:r w:rsidR="00217AB4" w:rsidRPr="003F3B94">
        <w:rPr>
          <w:sz w:val="28"/>
          <w:rtl/>
        </w:rPr>
        <w:t>.</w:t>
      </w:r>
    </w:p>
    <w:p w:rsidR="005C664D" w:rsidRPr="003F3B94" w:rsidRDefault="009F70A4" w:rsidP="003F3B94">
      <w:pPr>
        <w:pStyle w:val="a0"/>
        <w:rPr>
          <w:rFonts w:hint="cs"/>
          <w:rtl/>
        </w:rPr>
      </w:pPr>
      <w:r w:rsidRPr="003F3B94">
        <w:rPr>
          <w:rFonts w:ascii="Abo-thar" w:hAnsi="Abo-thar" w:hint="cs"/>
          <w:sz w:val="28"/>
          <w:rtl/>
        </w:rPr>
        <w:t>وجاء في كتاب</w:t>
      </w:r>
      <w:r w:rsidR="005C664D" w:rsidRPr="003F3B94">
        <w:rPr>
          <w:rFonts w:ascii="Abo-thar" w:hAnsi="Abo-thar" w:hint="cs"/>
          <w:sz w:val="28"/>
          <w:rtl/>
        </w:rPr>
        <w:t xml:space="preserve"> «</w:t>
      </w:r>
      <w:r w:rsidR="005C664D" w:rsidRPr="003F3B94">
        <w:rPr>
          <w:rFonts w:ascii="Abo-thar" w:hAnsi="Abo-thar"/>
          <w:sz w:val="28"/>
          <w:rtl/>
        </w:rPr>
        <w:t>تحرير الطاووسي</w:t>
      </w:r>
      <w:r w:rsidR="005C664D" w:rsidRPr="003F3B94">
        <w:rPr>
          <w:rFonts w:ascii="Abo-thar" w:hAnsi="Abo-thar" w:hint="cs"/>
          <w:sz w:val="28"/>
          <w:rtl/>
        </w:rPr>
        <w:t>»</w:t>
      </w:r>
      <w:r w:rsidR="00217AB4" w:rsidRPr="0021507A">
        <w:rPr>
          <w:rFonts w:cs="Arabic11 BT"/>
          <w:b/>
          <w:sz w:val="28"/>
          <w:vertAlign w:val="superscript"/>
          <w:rtl/>
        </w:rPr>
        <w:t>(</w:t>
      </w:r>
      <w:r w:rsidR="005C664D" w:rsidRPr="0021507A">
        <w:rPr>
          <w:rStyle w:val="FootnoteReference"/>
          <w:rFonts w:cs="Arabic11 BT"/>
          <w:b/>
          <w:sz w:val="28"/>
          <w:rtl/>
        </w:rPr>
        <w:footnoteReference w:id="264"/>
      </w:r>
      <w:r w:rsidR="00217AB4" w:rsidRPr="0021507A">
        <w:rPr>
          <w:rFonts w:cs="Arabic11 BT"/>
          <w:b/>
          <w:sz w:val="28"/>
          <w:vertAlign w:val="superscript"/>
          <w:rtl/>
        </w:rPr>
        <w:t>)</w:t>
      </w:r>
      <w:r w:rsidR="00217AB4" w:rsidRPr="003F3B94">
        <w:rPr>
          <w:rFonts w:ascii="Abo-thar" w:hAnsi="Abo-thar" w:hint="cs"/>
          <w:sz w:val="28"/>
          <w:rtl/>
        </w:rPr>
        <w:t>:</w:t>
      </w:r>
      <w:r w:rsidR="005C664D" w:rsidRPr="003F3B94">
        <w:rPr>
          <w:rFonts w:ascii="Abo-thar" w:hAnsi="Abo-thar" w:hint="cs"/>
          <w:sz w:val="28"/>
          <w:rtl/>
        </w:rPr>
        <w:t xml:space="preserve"> </w:t>
      </w:r>
      <w:r w:rsidR="00EF2588" w:rsidRPr="003F3B94">
        <w:rPr>
          <w:rFonts w:ascii="Abo-thar" w:hAnsi="Abo-thar" w:hint="cs"/>
          <w:sz w:val="28"/>
          <w:rtl/>
        </w:rPr>
        <w:t>«</w:t>
      </w:r>
      <w:r w:rsidR="005C664D" w:rsidRPr="003F3B94">
        <w:rPr>
          <w:rFonts w:ascii="Abo-thar" w:hAnsi="Abo-thar"/>
          <w:b/>
          <w:bCs/>
          <w:sz w:val="28"/>
          <w:rtl/>
        </w:rPr>
        <w:t>وقال فيه عن الفضل بن شاذان عن طريق علي بن محمد</w:t>
      </w:r>
      <w:r w:rsidR="00217AB4" w:rsidRPr="003F3B94">
        <w:rPr>
          <w:rFonts w:ascii="Abo-thar" w:hAnsi="Abo-thar"/>
          <w:b/>
          <w:bCs/>
          <w:sz w:val="28"/>
          <w:rtl/>
        </w:rPr>
        <w:t>:</w:t>
      </w:r>
      <w:r w:rsidR="005C664D" w:rsidRPr="003F3B94">
        <w:rPr>
          <w:rFonts w:ascii="Abo-thar" w:hAnsi="Abo-thar"/>
          <w:b/>
          <w:bCs/>
          <w:sz w:val="28"/>
          <w:rtl/>
        </w:rPr>
        <w:t xml:space="preserve"> </w:t>
      </w:r>
      <w:r w:rsidR="005C664D" w:rsidRPr="003F3B94">
        <w:rPr>
          <w:rFonts w:ascii="Abo-thar" w:hAnsi="Abo-thar" w:hint="cs"/>
          <w:b/>
          <w:bCs/>
          <w:sz w:val="28"/>
          <w:rtl/>
        </w:rPr>
        <w:t>إ</w:t>
      </w:r>
      <w:r w:rsidR="005C664D" w:rsidRPr="003F3B94">
        <w:rPr>
          <w:rFonts w:ascii="Abo-thar" w:hAnsi="Abo-thar"/>
          <w:b/>
          <w:bCs/>
          <w:sz w:val="28"/>
          <w:rtl/>
        </w:rPr>
        <w:t xml:space="preserve">نه كان يقول عنه </w:t>
      </w:r>
      <w:r w:rsidR="005C664D" w:rsidRPr="003F3B94">
        <w:rPr>
          <w:rFonts w:ascii="Abo-thar" w:hAnsi="Abo-thar" w:hint="cs"/>
          <w:b/>
          <w:bCs/>
          <w:sz w:val="28"/>
          <w:rtl/>
        </w:rPr>
        <w:t>أ</w:t>
      </w:r>
      <w:r w:rsidR="005C664D" w:rsidRPr="003F3B94">
        <w:rPr>
          <w:rFonts w:ascii="Abo-thar" w:hAnsi="Abo-thar"/>
          <w:b/>
          <w:bCs/>
          <w:sz w:val="28"/>
          <w:rtl/>
        </w:rPr>
        <w:t>نه أحمق</w:t>
      </w:r>
      <w:r w:rsidR="00217AB4" w:rsidRPr="003F3B94">
        <w:rPr>
          <w:rFonts w:ascii="Abo-thar" w:hAnsi="Abo-thar" w:hint="cs"/>
          <w:b/>
          <w:bCs/>
          <w:sz w:val="28"/>
          <w:rtl/>
        </w:rPr>
        <w:t>!</w:t>
      </w:r>
      <w:r w:rsidR="00EF2588" w:rsidRPr="003F3B94">
        <w:rPr>
          <w:rFonts w:ascii="Abo-thar" w:hAnsi="Abo-thar" w:hint="cs"/>
          <w:sz w:val="28"/>
          <w:rtl/>
        </w:rPr>
        <w:t>»</w:t>
      </w:r>
      <w:r w:rsidR="00217AB4" w:rsidRPr="003F3B94">
        <w:rPr>
          <w:rFonts w:ascii="Abo-thar" w:hAnsi="Abo-thar" w:hint="cs"/>
          <w:sz w:val="28"/>
          <w:rtl/>
        </w:rPr>
        <w:t>،</w:t>
      </w:r>
      <w:r w:rsidR="005C664D" w:rsidRPr="003F3B94">
        <w:rPr>
          <w:rFonts w:ascii="Abo-thar" w:hAnsi="Abo-thar" w:hint="cs"/>
          <w:sz w:val="28"/>
          <w:rtl/>
        </w:rPr>
        <w:t xml:space="preserve"> وصدَّق الكشي في رجاله</w:t>
      </w:r>
      <w:r w:rsidRPr="0021507A">
        <w:rPr>
          <w:rFonts w:cs="Arabic11 BT"/>
          <w:b/>
          <w:sz w:val="28"/>
          <w:vertAlign w:val="superscript"/>
          <w:rtl/>
        </w:rPr>
        <w:t>(</w:t>
      </w:r>
      <w:r w:rsidRPr="0021507A">
        <w:rPr>
          <w:rStyle w:val="FootnoteReference"/>
          <w:rFonts w:cs="Arabic11 BT"/>
          <w:b/>
          <w:sz w:val="28"/>
          <w:rtl/>
        </w:rPr>
        <w:footnoteReference w:id="265"/>
      </w:r>
      <w:r w:rsidRPr="0021507A">
        <w:rPr>
          <w:rFonts w:cs="Arabic11 BT"/>
          <w:b/>
          <w:sz w:val="28"/>
          <w:vertAlign w:val="superscript"/>
          <w:rtl/>
        </w:rPr>
        <w:t>)</w:t>
      </w:r>
      <w:r w:rsidR="005C664D" w:rsidRPr="003F3B94">
        <w:rPr>
          <w:rFonts w:ascii="Abo-thar" w:hAnsi="Abo-thar" w:hint="cs"/>
          <w:sz w:val="28"/>
          <w:rtl/>
        </w:rPr>
        <w:t xml:space="preserve"> </w:t>
      </w:r>
      <w:r w:rsidR="00217AB4" w:rsidRPr="003F3B94">
        <w:rPr>
          <w:rFonts w:ascii="Abo-thar" w:hAnsi="Abo-thar" w:hint="cs"/>
          <w:sz w:val="28"/>
          <w:rtl/>
        </w:rPr>
        <w:t>(</w:t>
      </w:r>
      <w:r w:rsidR="005C664D" w:rsidRPr="003F3B94">
        <w:rPr>
          <w:rFonts w:ascii="Abo-thar" w:hAnsi="Abo-thar" w:hint="cs"/>
          <w:sz w:val="28"/>
          <w:rtl/>
        </w:rPr>
        <w:t>ص 473</w:t>
      </w:r>
      <w:r w:rsidR="00217AB4" w:rsidRPr="003F3B94">
        <w:rPr>
          <w:rFonts w:ascii="Abo-thar" w:hAnsi="Abo-thar" w:hint="cs"/>
          <w:sz w:val="28"/>
          <w:rtl/>
        </w:rPr>
        <w:t>)</w:t>
      </w:r>
      <w:r w:rsidR="005C664D" w:rsidRPr="003F3B94">
        <w:rPr>
          <w:rFonts w:ascii="Abo-thar" w:hAnsi="Abo-thar" w:hint="cs"/>
          <w:sz w:val="28"/>
          <w:rtl/>
        </w:rPr>
        <w:t xml:space="preserve"> مقولة الفضل بن شاذان عن حماقة </w:t>
      </w:r>
      <w:r w:rsidR="005C664D" w:rsidRPr="003F3B94">
        <w:rPr>
          <w:rFonts w:ascii="Abo-thar" w:hAnsi="Abo-thar"/>
          <w:sz w:val="28"/>
          <w:rtl/>
        </w:rPr>
        <w:t>«</w:t>
      </w:r>
      <w:r w:rsidR="005C664D" w:rsidRPr="003F3B94">
        <w:rPr>
          <w:rFonts w:ascii="Abo-thar" w:hAnsi="Abo-thar" w:hint="cs"/>
          <w:sz w:val="28"/>
          <w:rtl/>
        </w:rPr>
        <w:t>سهل بن زياد</w:t>
      </w:r>
      <w:r w:rsidR="005C664D" w:rsidRPr="003F3B94">
        <w:rPr>
          <w:rFonts w:ascii="Abo-thar" w:hAnsi="Abo-thar"/>
          <w:sz w:val="28"/>
          <w:rtl/>
        </w:rPr>
        <w:t>»</w:t>
      </w:r>
      <w:r w:rsidR="00217AB4" w:rsidRPr="003F3B94">
        <w:rPr>
          <w:rFonts w:ascii="Abo-thar" w:hAnsi="Abo-thar" w:hint="cs"/>
          <w:sz w:val="28"/>
          <w:rtl/>
        </w:rPr>
        <w:t>.</w:t>
      </w:r>
      <w:r w:rsidR="00147857" w:rsidRPr="003F3B94">
        <w:rPr>
          <w:rFonts w:ascii="Abo-thar" w:hAnsi="Abo-thar" w:hint="cs"/>
          <w:sz w:val="28"/>
          <w:rtl/>
        </w:rPr>
        <w:t xml:space="preserve"> </w:t>
      </w:r>
      <w:r w:rsidR="005C664D" w:rsidRPr="003F3B94">
        <w:rPr>
          <w:rFonts w:ascii="Abo-thar" w:hAnsi="Abo-thar" w:hint="cs"/>
          <w:sz w:val="28"/>
          <w:rtl/>
        </w:rPr>
        <w:t xml:space="preserve">وأيَّدَ التفرشيُّ في </w:t>
      </w:r>
      <w:r w:rsidR="005C664D" w:rsidRPr="003F3B94">
        <w:rPr>
          <w:rFonts w:ascii="Abo-thar" w:hAnsi="Abo-thar"/>
          <w:sz w:val="28"/>
          <w:rtl/>
        </w:rPr>
        <w:t>«</w:t>
      </w:r>
      <w:r w:rsidR="005C664D" w:rsidRPr="003F3B94">
        <w:rPr>
          <w:rFonts w:ascii="Abo-thar" w:hAnsi="Abo-thar" w:hint="cs"/>
          <w:sz w:val="28"/>
          <w:rtl/>
        </w:rPr>
        <w:t>نقد الرجال</w:t>
      </w:r>
      <w:r w:rsidR="005C664D" w:rsidRPr="003F3B94">
        <w:rPr>
          <w:rFonts w:ascii="Abo-thar" w:hAnsi="Abo-thar"/>
          <w:sz w:val="28"/>
          <w:rtl/>
        </w:rPr>
        <w:t>»</w:t>
      </w:r>
      <w:r w:rsidRPr="0021507A">
        <w:rPr>
          <w:rFonts w:cs="Arabic11 BT"/>
          <w:b/>
          <w:sz w:val="28"/>
          <w:vertAlign w:val="superscript"/>
          <w:rtl/>
        </w:rPr>
        <w:t>(</w:t>
      </w:r>
      <w:r w:rsidRPr="0021507A">
        <w:rPr>
          <w:rStyle w:val="FootnoteReference"/>
          <w:rFonts w:cs="Arabic11 BT"/>
          <w:b/>
          <w:sz w:val="28"/>
          <w:rtl/>
        </w:rPr>
        <w:footnoteReference w:id="266"/>
      </w:r>
      <w:r w:rsidRPr="0021507A">
        <w:rPr>
          <w:rFonts w:cs="Arabic11 BT"/>
          <w:b/>
          <w:sz w:val="28"/>
          <w:vertAlign w:val="superscript"/>
          <w:rtl/>
        </w:rPr>
        <w:t>)</w:t>
      </w:r>
      <w:r w:rsidR="005C664D" w:rsidRPr="003F3B94">
        <w:rPr>
          <w:rFonts w:ascii="Abo-thar" w:hAnsi="Abo-thar" w:hint="cs"/>
          <w:sz w:val="28"/>
          <w:rtl/>
        </w:rPr>
        <w:t xml:space="preserve"> تلك الأمور المذكورة عن الرجل وكذلك أيَّدَها صاحب جامع الرواة</w:t>
      </w:r>
      <w:r w:rsidRPr="0021507A">
        <w:rPr>
          <w:rFonts w:cs="Arabic11 BT"/>
          <w:b/>
          <w:sz w:val="28"/>
          <w:vertAlign w:val="superscript"/>
          <w:rtl/>
        </w:rPr>
        <w:t>(</w:t>
      </w:r>
      <w:r w:rsidRPr="0021507A">
        <w:rPr>
          <w:rStyle w:val="FootnoteReference"/>
          <w:rFonts w:cs="Arabic11 BT"/>
          <w:b/>
          <w:sz w:val="28"/>
          <w:rtl/>
        </w:rPr>
        <w:footnoteReference w:id="267"/>
      </w:r>
      <w:r w:rsidRPr="0021507A">
        <w:rPr>
          <w:rFonts w:cs="Arabic11 BT"/>
          <w:b/>
          <w:sz w:val="28"/>
          <w:vertAlign w:val="superscript"/>
          <w:rtl/>
        </w:rPr>
        <w:t>)</w:t>
      </w:r>
      <w:r w:rsidR="00147857" w:rsidRPr="003F3B94">
        <w:rPr>
          <w:rFonts w:ascii="Abo-thar" w:hAnsi="Abo-thar" w:hint="cs"/>
          <w:sz w:val="28"/>
          <w:rtl/>
        </w:rPr>
        <w:t xml:space="preserve"> و</w:t>
      </w:r>
      <w:r w:rsidR="005C664D" w:rsidRPr="003F3B94">
        <w:rPr>
          <w:rFonts w:ascii="Abo-thar" w:hAnsi="Abo-thar" w:hint="cs"/>
          <w:sz w:val="28"/>
          <w:rtl/>
        </w:rPr>
        <w:t>رجال طه</w:t>
      </w:r>
      <w:r w:rsidRPr="0021507A">
        <w:rPr>
          <w:rFonts w:cs="Arabic11 BT"/>
          <w:b/>
          <w:sz w:val="28"/>
          <w:vertAlign w:val="superscript"/>
          <w:rtl/>
        </w:rPr>
        <w:t>(</w:t>
      </w:r>
      <w:r w:rsidRPr="0021507A">
        <w:rPr>
          <w:rStyle w:val="FootnoteReference"/>
          <w:rFonts w:cs="Arabic11 BT"/>
          <w:b/>
          <w:sz w:val="28"/>
          <w:rtl/>
        </w:rPr>
        <w:footnoteReference w:id="268"/>
      </w:r>
      <w:r w:rsidRPr="0021507A">
        <w:rPr>
          <w:rFonts w:cs="Arabic11 BT"/>
          <w:b/>
          <w:sz w:val="28"/>
          <w:vertAlign w:val="superscript"/>
          <w:rtl/>
        </w:rPr>
        <w:t>)</w:t>
      </w:r>
      <w:r w:rsidR="00217AB4" w:rsidRPr="003F3B94">
        <w:rPr>
          <w:rFonts w:ascii="Abo-thar" w:hAnsi="Abo-thar" w:hint="cs"/>
          <w:sz w:val="28"/>
          <w:rtl/>
        </w:rPr>
        <w:t>.</w:t>
      </w:r>
    </w:p>
    <w:p w:rsidR="005C664D" w:rsidRPr="003F3B94" w:rsidRDefault="005C664D" w:rsidP="003F3B94">
      <w:pPr>
        <w:pStyle w:val="a0"/>
        <w:rPr>
          <w:rFonts w:hint="cs"/>
          <w:rtl/>
        </w:rPr>
      </w:pPr>
      <w:r w:rsidRPr="003F3B94">
        <w:rPr>
          <w:rFonts w:ascii="Abo-thar" w:hAnsi="Abo-thar" w:hint="cs"/>
          <w:sz w:val="28"/>
          <w:rtl/>
        </w:rPr>
        <w:t xml:space="preserve">ونقل العلامة الشوشتري مُدَّ ظِلُّهُ في كتابه </w:t>
      </w:r>
      <w:r w:rsidRPr="003F3B94">
        <w:rPr>
          <w:rFonts w:ascii="Abo-thar" w:hAnsi="Abo-thar"/>
          <w:sz w:val="28"/>
          <w:rtl/>
        </w:rPr>
        <w:t>«</w:t>
      </w:r>
      <w:r w:rsidRPr="003F3B94">
        <w:rPr>
          <w:rFonts w:ascii="Abo-thar" w:hAnsi="Abo-thar" w:hint="cs"/>
          <w:sz w:val="28"/>
          <w:rtl/>
        </w:rPr>
        <w:t>قاموس الرجال</w:t>
      </w:r>
      <w:r w:rsidRPr="003F3B94">
        <w:rPr>
          <w:rFonts w:ascii="Abo-thar" w:hAnsi="Abo-thar"/>
          <w:sz w:val="28"/>
          <w:rtl/>
        </w:rPr>
        <w:t>»</w:t>
      </w:r>
      <w:r w:rsidRPr="003F3B94">
        <w:rPr>
          <w:rFonts w:ascii="Abo-thar" w:hAnsi="Abo-thar" w:hint="cs"/>
          <w:sz w:val="28"/>
          <w:rtl/>
        </w:rPr>
        <w:t xml:space="preserve"> العبارات المذكورة أعلاه بشأن </w:t>
      </w:r>
      <w:r w:rsidRPr="003F3B94">
        <w:rPr>
          <w:rFonts w:ascii="Abo-thar" w:hAnsi="Abo-thar"/>
          <w:sz w:val="28"/>
          <w:rtl/>
        </w:rPr>
        <w:t>«</w:t>
      </w:r>
      <w:r w:rsidRPr="003F3B94">
        <w:rPr>
          <w:rFonts w:ascii="Abo-thar" w:hAnsi="Abo-thar" w:hint="cs"/>
          <w:sz w:val="28"/>
          <w:rtl/>
        </w:rPr>
        <w:t>سهل بن زياد</w:t>
      </w:r>
      <w:r w:rsidRPr="003F3B94">
        <w:rPr>
          <w:rFonts w:ascii="Abo-thar" w:hAnsi="Abo-thar"/>
          <w:sz w:val="28"/>
          <w:rtl/>
        </w:rPr>
        <w:t>»</w:t>
      </w:r>
      <w:r w:rsidRPr="003F3B94">
        <w:rPr>
          <w:rFonts w:ascii="Abo-thar" w:hAnsi="Abo-thar" w:hint="cs"/>
          <w:sz w:val="28"/>
          <w:rtl/>
        </w:rPr>
        <w:t xml:space="preserve"> وأيَّدَها</w:t>
      </w:r>
      <w:r w:rsidR="00147857" w:rsidRPr="003F3B94">
        <w:rPr>
          <w:rFonts w:ascii="Abo-thar" w:hAnsi="Abo-thar" w:hint="cs"/>
          <w:sz w:val="28"/>
          <w:rtl/>
        </w:rPr>
        <w:t xml:space="preserve"> و</w:t>
      </w:r>
      <w:r w:rsidRPr="003F3B94">
        <w:rPr>
          <w:rFonts w:ascii="Abo-thar" w:hAnsi="Abo-thar" w:hint="cs"/>
          <w:sz w:val="28"/>
          <w:rtl/>
        </w:rPr>
        <w:t>ردَّ ردّاً علميّاً على الأباطيل التي ذكرها المامقاني في الدفاع عن الرجل</w:t>
      </w:r>
      <w:r w:rsidR="009F70A4" w:rsidRPr="0021507A">
        <w:rPr>
          <w:rFonts w:cs="Arabic11 BT"/>
          <w:b/>
          <w:sz w:val="28"/>
          <w:vertAlign w:val="superscript"/>
          <w:rtl/>
        </w:rPr>
        <w:t>(</w:t>
      </w:r>
      <w:r w:rsidR="009F70A4" w:rsidRPr="0021507A">
        <w:rPr>
          <w:rStyle w:val="FootnoteReference"/>
          <w:rFonts w:cs="Arabic11 BT"/>
          <w:b/>
          <w:sz w:val="28"/>
          <w:rtl/>
        </w:rPr>
        <w:footnoteReference w:id="269"/>
      </w:r>
      <w:r w:rsidR="009F70A4" w:rsidRPr="0021507A">
        <w:rPr>
          <w:rFonts w:cs="Arabic11 BT"/>
          <w:b/>
          <w:sz w:val="28"/>
          <w:vertAlign w:val="superscript"/>
          <w:rtl/>
        </w:rPr>
        <w:t>)</w:t>
      </w:r>
      <w:r w:rsidR="00217AB4" w:rsidRPr="003F3B94">
        <w:rPr>
          <w:rFonts w:ascii="Abo-thar" w:hAnsi="Abo-thar" w:hint="cs"/>
          <w:sz w:val="28"/>
          <w:rtl/>
        </w:rPr>
        <w:t>.</w:t>
      </w:r>
    </w:p>
    <w:p w:rsidR="005C664D" w:rsidRPr="003F3B94" w:rsidRDefault="005C664D" w:rsidP="003F3B94">
      <w:pPr>
        <w:pStyle w:val="a0"/>
        <w:rPr>
          <w:rFonts w:hint="cs"/>
          <w:rtl/>
        </w:rPr>
      </w:pPr>
      <w:r w:rsidRPr="003F3B94">
        <w:rPr>
          <w:rFonts w:ascii="Abo-thar" w:hAnsi="Abo-thar" w:hint="cs"/>
          <w:sz w:val="28"/>
          <w:rtl/>
        </w:rPr>
        <w:t xml:space="preserve">أما </w:t>
      </w:r>
      <w:r w:rsidR="00147857" w:rsidRPr="003F3B94">
        <w:rPr>
          <w:rFonts w:ascii="Abo-thar" w:hAnsi="Abo-thar" w:hint="cs"/>
          <w:sz w:val="28"/>
          <w:rtl/>
        </w:rPr>
        <w:t>«</w:t>
      </w:r>
      <w:r w:rsidRPr="003F3B94">
        <w:rPr>
          <w:rFonts w:ascii="Abo-thar" w:hAnsi="Abo-thar"/>
          <w:sz w:val="28"/>
          <w:rtl/>
        </w:rPr>
        <w:t>إِبْرَاهِيم</w:t>
      </w:r>
      <w:r w:rsidRPr="003F3B94">
        <w:rPr>
          <w:rFonts w:ascii="Abo-thar" w:hAnsi="Abo-thar" w:hint="cs"/>
          <w:sz w:val="28"/>
          <w:rtl/>
        </w:rPr>
        <w:t>ُ</w:t>
      </w:r>
      <w:r w:rsidRPr="003F3B94">
        <w:rPr>
          <w:rFonts w:ascii="Abo-thar" w:hAnsi="Abo-thar"/>
          <w:sz w:val="28"/>
          <w:rtl/>
        </w:rPr>
        <w:t xml:space="preserve"> بْن</w:t>
      </w:r>
      <w:r w:rsidRPr="003F3B94">
        <w:rPr>
          <w:rFonts w:ascii="Abo-thar" w:hAnsi="Abo-thar" w:hint="cs"/>
          <w:sz w:val="28"/>
          <w:rtl/>
        </w:rPr>
        <w:t>ُ</w:t>
      </w:r>
      <w:r w:rsidRPr="003F3B94">
        <w:rPr>
          <w:rFonts w:ascii="Abo-thar" w:hAnsi="Abo-thar"/>
          <w:sz w:val="28"/>
          <w:rtl/>
        </w:rPr>
        <w:t xml:space="preserve"> مُحَمَّدٍ الهَمَذَانِيّ</w:t>
      </w:r>
      <w:r w:rsidRPr="003F3B94">
        <w:rPr>
          <w:rFonts w:ascii="Abo-thar" w:hAnsi="Abo-thar" w:hint="cs"/>
          <w:sz w:val="28"/>
          <w:rtl/>
        </w:rPr>
        <w:t xml:space="preserve">ُ» فقد اعتبره الشهيد الثاني في تعليقاته على </w:t>
      </w:r>
      <w:r w:rsidRPr="003F3B94">
        <w:rPr>
          <w:rFonts w:ascii="Abo-thar" w:hAnsi="Abo-thar"/>
          <w:sz w:val="28"/>
          <w:rtl/>
        </w:rPr>
        <w:t>«</w:t>
      </w:r>
      <w:r w:rsidRPr="003F3B94">
        <w:rPr>
          <w:rFonts w:ascii="Abo-thar" w:hAnsi="Abo-thar" w:hint="cs"/>
          <w:sz w:val="28"/>
          <w:rtl/>
        </w:rPr>
        <w:t>الخلاصة</w:t>
      </w:r>
      <w:r w:rsidRPr="003F3B94">
        <w:rPr>
          <w:rFonts w:ascii="Abo-thar" w:hAnsi="Abo-thar"/>
          <w:sz w:val="28"/>
          <w:rtl/>
        </w:rPr>
        <w:t>»</w:t>
      </w:r>
      <w:r w:rsidRPr="003F3B94">
        <w:rPr>
          <w:rFonts w:ascii="Abo-thar" w:hAnsi="Abo-thar" w:hint="cs"/>
          <w:sz w:val="28"/>
          <w:rtl/>
        </w:rPr>
        <w:t xml:space="preserve"> مطعوناً به</w:t>
      </w:r>
      <w:r w:rsidR="00147857" w:rsidRPr="003F3B94">
        <w:rPr>
          <w:rFonts w:ascii="Abo-thar" w:hAnsi="Abo-thar" w:hint="cs"/>
          <w:sz w:val="28"/>
          <w:rtl/>
        </w:rPr>
        <w:t xml:space="preserve"> و</w:t>
      </w:r>
      <w:r w:rsidRPr="003F3B94">
        <w:rPr>
          <w:rFonts w:ascii="Abo-thar" w:hAnsi="Abo-thar" w:hint="cs"/>
          <w:sz w:val="28"/>
          <w:rtl/>
        </w:rPr>
        <w:t>مجهول العدالة والحال</w:t>
      </w:r>
      <w:r w:rsidR="00217AB4" w:rsidRPr="003F3B94">
        <w:rPr>
          <w:rFonts w:ascii="Abo-thar" w:hAnsi="Abo-thar" w:hint="cs"/>
          <w:sz w:val="28"/>
          <w:rtl/>
        </w:rPr>
        <w:t>،</w:t>
      </w:r>
      <w:r w:rsidRPr="003F3B94">
        <w:rPr>
          <w:rFonts w:ascii="Abo-thar" w:hAnsi="Abo-thar" w:hint="cs"/>
          <w:sz w:val="28"/>
          <w:rtl/>
        </w:rPr>
        <w:t xml:space="preserve"> وكذلك حكم كل من المرحوم المقدس الأردبيلي</w:t>
      </w:r>
      <w:r w:rsidR="00147857" w:rsidRPr="003F3B94">
        <w:rPr>
          <w:rFonts w:ascii="Abo-thar" w:hAnsi="Abo-thar" w:hint="cs"/>
          <w:sz w:val="28"/>
          <w:rtl/>
        </w:rPr>
        <w:t xml:space="preserve"> و</w:t>
      </w:r>
      <w:r w:rsidRPr="003F3B94">
        <w:rPr>
          <w:rFonts w:ascii="Abo-thar" w:hAnsi="Abo-thar" w:hint="cs"/>
          <w:sz w:val="28"/>
          <w:rtl/>
        </w:rPr>
        <w:t>المحقق السبزواري بضعفه وجهالته</w:t>
      </w:r>
      <w:r w:rsidR="00217AB4" w:rsidRPr="0021507A">
        <w:rPr>
          <w:rFonts w:cs="Arabic11 BT"/>
          <w:b/>
          <w:sz w:val="28"/>
          <w:vertAlign w:val="superscript"/>
          <w:rtl/>
        </w:rPr>
        <w:t>(</w:t>
      </w:r>
      <w:r w:rsidRPr="0021507A">
        <w:rPr>
          <w:rStyle w:val="FootnoteReference"/>
          <w:rFonts w:cs="Arabic11 BT"/>
          <w:b/>
          <w:sz w:val="28"/>
          <w:rtl/>
        </w:rPr>
        <w:footnoteReference w:id="270"/>
      </w:r>
      <w:r w:rsidR="00217AB4" w:rsidRPr="0021507A">
        <w:rPr>
          <w:rFonts w:cs="Arabic11 BT"/>
          <w:b/>
          <w:sz w:val="28"/>
          <w:vertAlign w:val="superscript"/>
          <w:rtl/>
        </w:rPr>
        <w:t>)</w:t>
      </w:r>
      <w:r w:rsidR="00217AB4" w:rsidRPr="003F3B94">
        <w:rPr>
          <w:rFonts w:ascii="Abo-thar" w:hAnsi="Abo-thar" w:hint="cs"/>
          <w:sz w:val="28"/>
          <w:rtl/>
        </w:rPr>
        <w:t>.</w:t>
      </w:r>
    </w:p>
    <w:p w:rsidR="005C664D" w:rsidRPr="003F3B94" w:rsidRDefault="005C664D" w:rsidP="003F3B94">
      <w:pPr>
        <w:pStyle w:val="a0"/>
        <w:rPr>
          <w:rFonts w:hint="cs"/>
          <w:rtl/>
        </w:rPr>
      </w:pPr>
      <w:r w:rsidRPr="003F3B94">
        <w:rPr>
          <w:rFonts w:ascii="Abo-thar" w:hAnsi="Abo-thar" w:hint="cs"/>
          <w:sz w:val="28"/>
          <w:rtl/>
        </w:rPr>
        <w:t>وإضافةً إلى ضعف سند الرواية لاحتوائه على مطعونين ومجهولين فإن متن الرواية أيضاً مضطرب ومعلول وغير مفهومٍ</w:t>
      </w:r>
      <w:r w:rsidR="00217AB4" w:rsidRPr="003F3B94">
        <w:rPr>
          <w:rFonts w:ascii="Abo-thar" w:hAnsi="Abo-thar" w:hint="cs"/>
          <w:sz w:val="28"/>
          <w:rtl/>
        </w:rPr>
        <w:t>،</w:t>
      </w:r>
      <w:r w:rsidRPr="003F3B94">
        <w:rPr>
          <w:rFonts w:ascii="Abo-thar" w:hAnsi="Abo-thar" w:hint="cs"/>
          <w:sz w:val="28"/>
          <w:rtl/>
        </w:rPr>
        <w:t xml:space="preserve"> فلم يتضح ما هو ذلك الحق الذي نسبه أولئك الرواة الغلاة وفاسدي المذهب والرواية إلى الأئمة المعصومين</w:t>
      </w:r>
      <w:r w:rsidR="00147857" w:rsidRPr="003F3B94">
        <w:rPr>
          <w:rFonts w:ascii="Abo-thar" w:hAnsi="Abo-thar" w:hint="cs"/>
          <w:sz w:val="28"/>
          <w:rtl/>
        </w:rPr>
        <w:t xml:space="preserve"> </w:t>
      </w:r>
      <w:r w:rsidR="00963EFD" w:rsidRPr="00963EFD">
        <w:rPr>
          <w:rFonts w:ascii="Abo-thar" w:hAnsi="Abo-thar" w:cs="CTraditional Arabic"/>
          <w:sz w:val="28"/>
          <w:rtl/>
        </w:rPr>
        <w:t>‡</w:t>
      </w:r>
      <w:r w:rsidR="00147857" w:rsidRPr="003F3B94">
        <w:rPr>
          <w:rFonts w:ascii="Abo-thar" w:hAnsi="Abo-thar"/>
          <w:sz w:val="28"/>
          <w:rtl/>
        </w:rPr>
        <w:t xml:space="preserve"> </w:t>
      </w:r>
      <w:r w:rsidRPr="003F3B94">
        <w:rPr>
          <w:rFonts w:ascii="Abo-thar" w:hAnsi="Abo-thar" w:hint="cs"/>
          <w:sz w:val="28"/>
          <w:rtl/>
        </w:rPr>
        <w:t>مثل</w:t>
      </w:r>
      <w:r w:rsidR="00217AB4" w:rsidRPr="003F3B94">
        <w:rPr>
          <w:rFonts w:ascii="Abo-thar" w:hAnsi="Abo-thar" w:hint="cs"/>
          <w:sz w:val="28"/>
          <w:rtl/>
        </w:rPr>
        <w:t>:</w:t>
      </w:r>
      <w:r w:rsidRPr="003F3B94">
        <w:rPr>
          <w:rFonts w:ascii="Abo-thar" w:hAnsi="Abo-thar" w:hint="cs"/>
          <w:sz w:val="28"/>
          <w:rtl/>
        </w:rPr>
        <w:t xml:space="preserve"> حضرة الجواد وحضرة الهادي والعسكري</w:t>
      </w:r>
      <w:r w:rsidR="00217AB4" w:rsidRPr="003F3B94">
        <w:rPr>
          <w:rFonts w:ascii="Abo-thar" w:hAnsi="Abo-thar" w:hint="cs"/>
          <w:sz w:val="28"/>
          <w:rtl/>
        </w:rPr>
        <w:t>.</w:t>
      </w:r>
      <w:r w:rsidRPr="003F3B94">
        <w:rPr>
          <w:rFonts w:ascii="Abo-thar" w:hAnsi="Abo-thar" w:hint="cs"/>
          <w:sz w:val="28"/>
          <w:rtl/>
        </w:rPr>
        <w:t xml:space="preserve"> في حين أننا لا نجد مثل هذا الادعاءات لدى الأئمة السابقين لهم وأنهم كانوا يطالبون شيعتهم بمثل هذا الحق</w:t>
      </w:r>
      <w:r w:rsidR="00217AB4" w:rsidRPr="003F3B94">
        <w:rPr>
          <w:rFonts w:ascii="Abo-thar" w:hAnsi="Abo-thar" w:hint="cs"/>
          <w:sz w:val="28"/>
          <w:rtl/>
        </w:rPr>
        <w:t>.</w:t>
      </w:r>
      <w:r w:rsidR="00147857" w:rsidRPr="003F3B94">
        <w:rPr>
          <w:rFonts w:ascii="Abo-thar" w:hAnsi="Abo-thar" w:hint="cs"/>
          <w:sz w:val="28"/>
          <w:rtl/>
        </w:rPr>
        <w:t xml:space="preserve"> </w:t>
      </w:r>
      <w:r w:rsidRPr="003F3B94">
        <w:rPr>
          <w:rFonts w:ascii="Abo-thar" w:hAnsi="Abo-thar" w:hint="cs"/>
          <w:sz w:val="28"/>
          <w:rtl/>
        </w:rPr>
        <w:t>وهذه الرسالة</w:t>
      </w:r>
      <w:r w:rsidR="00217AB4" w:rsidRPr="003F3B94">
        <w:rPr>
          <w:rFonts w:ascii="Abo-thar" w:hAnsi="Abo-thar" w:hint="cs"/>
          <w:sz w:val="28"/>
          <w:rtl/>
        </w:rPr>
        <w:t>،</w:t>
      </w:r>
      <w:r w:rsidRPr="003F3B94">
        <w:rPr>
          <w:rFonts w:ascii="Abo-thar" w:hAnsi="Abo-thar" w:hint="cs"/>
          <w:sz w:val="28"/>
          <w:rtl/>
        </w:rPr>
        <w:t xml:space="preserve"> كما يصرِّح بذلك العلامة المجلسي في </w:t>
      </w:r>
      <w:r w:rsidRPr="003F3B94">
        <w:rPr>
          <w:rFonts w:ascii="Abo-thar" w:hAnsi="Abo-thar"/>
          <w:sz w:val="28"/>
          <w:rtl/>
        </w:rPr>
        <w:t>«</w:t>
      </w:r>
      <w:r w:rsidRPr="003F3B94">
        <w:rPr>
          <w:rFonts w:ascii="Abo-thar" w:hAnsi="Abo-thar" w:hint="cs"/>
          <w:sz w:val="28"/>
          <w:rtl/>
        </w:rPr>
        <w:t>مرآة العقول</w:t>
      </w:r>
      <w:r w:rsidRPr="003F3B94">
        <w:rPr>
          <w:rFonts w:ascii="Abo-thar" w:hAnsi="Abo-thar"/>
          <w:sz w:val="28"/>
          <w:rtl/>
        </w:rPr>
        <w:t>»</w:t>
      </w:r>
      <w:r w:rsidRPr="003F3B94">
        <w:rPr>
          <w:rFonts w:ascii="Abo-thar" w:hAnsi="Abo-thar" w:hint="cs"/>
          <w:sz w:val="28"/>
          <w:rtl/>
        </w:rPr>
        <w:t xml:space="preserve"> </w:t>
      </w:r>
      <w:r w:rsidR="00217AB4" w:rsidRPr="003F3B94">
        <w:rPr>
          <w:rFonts w:ascii="Abo-thar" w:hAnsi="Abo-thar" w:hint="cs"/>
          <w:sz w:val="28"/>
          <w:rtl/>
        </w:rPr>
        <w:t>(</w:t>
      </w:r>
      <w:r w:rsidRPr="003F3B94">
        <w:rPr>
          <w:rFonts w:ascii="Abo-thar" w:hAnsi="Abo-thar" w:hint="cs"/>
          <w:sz w:val="28"/>
          <w:rtl/>
        </w:rPr>
        <w:t>ج1</w:t>
      </w:r>
      <w:r w:rsidR="00920257" w:rsidRPr="003F3B94">
        <w:rPr>
          <w:rFonts w:ascii="Abo-thar" w:hAnsi="Abo-thar" w:hint="cs"/>
          <w:sz w:val="28"/>
          <w:rtl/>
        </w:rPr>
        <w:t xml:space="preserve">، </w:t>
      </w:r>
      <w:r w:rsidRPr="003F3B94">
        <w:rPr>
          <w:rFonts w:ascii="Abo-thar" w:hAnsi="Abo-thar" w:hint="cs"/>
          <w:sz w:val="28"/>
          <w:rtl/>
        </w:rPr>
        <w:t>ص448</w:t>
      </w:r>
      <w:r w:rsidR="00217AB4" w:rsidRPr="003F3B94">
        <w:rPr>
          <w:rFonts w:ascii="Abo-thar" w:hAnsi="Abo-thar" w:hint="cs"/>
          <w:sz w:val="28"/>
          <w:rtl/>
        </w:rPr>
        <w:t>)</w:t>
      </w:r>
      <w:r w:rsidRPr="003F3B94">
        <w:rPr>
          <w:rFonts w:ascii="Abo-thar" w:hAnsi="Abo-thar" w:hint="cs"/>
          <w:sz w:val="28"/>
          <w:rtl/>
        </w:rPr>
        <w:t xml:space="preserve"> هي تلك الرسالة ذاتها التي قرأها «</w:t>
      </w:r>
      <w:r w:rsidRPr="003F3B94">
        <w:rPr>
          <w:rFonts w:ascii="Abo-thar" w:hAnsi="Abo-thar"/>
          <w:sz w:val="28"/>
          <w:rtl/>
        </w:rPr>
        <w:t>عَلِيُّ بْنُ مَهْزِيَارَ</w:t>
      </w:r>
      <w:r w:rsidRPr="003F3B94">
        <w:rPr>
          <w:rFonts w:ascii="Abo-thar" w:hAnsi="Abo-thar" w:hint="cs"/>
          <w:sz w:val="28"/>
          <w:rtl/>
        </w:rPr>
        <w:t>» على الآخرين في الطريق إلى مكة</w:t>
      </w:r>
      <w:r w:rsidR="00217AB4" w:rsidRPr="003F3B94">
        <w:rPr>
          <w:rFonts w:ascii="Abo-thar" w:hAnsi="Abo-thar" w:hint="cs"/>
          <w:sz w:val="28"/>
          <w:rtl/>
        </w:rPr>
        <w:t>،</w:t>
      </w:r>
      <w:r w:rsidRPr="003F3B94">
        <w:rPr>
          <w:rFonts w:ascii="Abo-thar" w:hAnsi="Abo-thar" w:hint="cs"/>
          <w:sz w:val="28"/>
          <w:rtl/>
        </w:rPr>
        <w:t xml:space="preserve"> وسنبين خلال نقدنا للحديث الرابع في هذا الباب بطلان تلك الرسالة</w:t>
      </w:r>
      <w:r w:rsidR="00147857" w:rsidRPr="003F3B94">
        <w:rPr>
          <w:rFonts w:ascii="Abo-thar" w:hAnsi="Abo-thar" w:hint="cs"/>
          <w:sz w:val="28"/>
          <w:rtl/>
        </w:rPr>
        <w:t xml:space="preserve"> و</w:t>
      </w:r>
      <w:r w:rsidRPr="003F3B94">
        <w:rPr>
          <w:rFonts w:ascii="Abo-thar" w:hAnsi="Abo-thar" w:hint="cs"/>
          <w:sz w:val="28"/>
          <w:rtl/>
        </w:rPr>
        <w:t>فسادها إن شاء الله</w:t>
      </w:r>
      <w:r w:rsidR="00217AB4" w:rsidRPr="003F3B94">
        <w:rPr>
          <w:rFonts w:ascii="Abo-thar" w:hAnsi="Abo-thar" w:hint="cs"/>
          <w:sz w:val="28"/>
          <w:rtl/>
        </w:rPr>
        <w:t>.</w:t>
      </w:r>
      <w:r w:rsidR="00147857" w:rsidRPr="003F3B94">
        <w:rPr>
          <w:rFonts w:ascii="Abo-thar" w:hAnsi="Abo-thar" w:hint="cs"/>
          <w:sz w:val="28"/>
          <w:rtl/>
        </w:rPr>
        <w:t xml:space="preserve"> </w:t>
      </w:r>
    </w:p>
    <w:p w:rsidR="005C664D" w:rsidRPr="003F3B94" w:rsidRDefault="005C664D" w:rsidP="003F3B94">
      <w:pPr>
        <w:pStyle w:val="a0"/>
        <w:rPr>
          <w:rFonts w:hint="cs"/>
          <w:rtl/>
        </w:rPr>
      </w:pPr>
      <w:r w:rsidRPr="003F3B94">
        <w:rPr>
          <w:rFonts w:ascii="Abo-thar" w:hAnsi="Abo-thar" w:hint="cs"/>
          <w:sz w:val="28"/>
          <w:rtl/>
        </w:rPr>
        <w:t>وإننا نتساءل</w:t>
      </w:r>
      <w:r w:rsidR="00217AB4" w:rsidRPr="003F3B94">
        <w:rPr>
          <w:rFonts w:ascii="Abo-thar" w:hAnsi="Abo-thar" w:hint="cs"/>
          <w:sz w:val="28"/>
          <w:rtl/>
        </w:rPr>
        <w:t>:</w:t>
      </w:r>
      <w:r w:rsidRPr="003F3B94">
        <w:rPr>
          <w:rFonts w:ascii="Abo-thar" w:hAnsi="Abo-thar" w:hint="cs"/>
          <w:sz w:val="28"/>
          <w:rtl/>
        </w:rPr>
        <w:t xml:space="preserve"> هل كان الإمام فعلاً يأخذ مثل ذلك الشيء من الناس أم أن وكلاء مثل</w:t>
      </w:r>
      <w:r w:rsidR="00217AB4" w:rsidRPr="003F3B94">
        <w:rPr>
          <w:rFonts w:ascii="Abo-thar" w:hAnsi="Abo-thar" w:hint="cs"/>
          <w:sz w:val="28"/>
          <w:rtl/>
        </w:rPr>
        <w:t>:</w:t>
      </w:r>
      <w:r w:rsidRPr="003F3B94">
        <w:rPr>
          <w:rFonts w:ascii="Abo-thar" w:hAnsi="Abo-thar" w:hint="cs"/>
          <w:sz w:val="28"/>
          <w:rtl/>
        </w:rPr>
        <w:t xml:space="preserve"> </w:t>
      </w:r>
      <w:r w:rsidRPr="003F3B94">
        <w:rPr>
          <w:rFonts w:ascii="Abo-thar" w:hAnsi="Abo-thar"/>
          <w:sz w:val="28"/>
          <w:rtl/>
        </w:rPr>
        <w:t>«</w:t>
      </w:r>
      <w:r w:rsidRPr="003F3B94">
        <w:rPr>
          <w:rFonts w:ascii="Abo-thar" w:hAnsi="Abo-thar"/>
          <w:b/>
          <w:bCs/>
          <w:sz w:val="28"/>
          <w:rtl/>
        </w:rPr>
        <w:t>أَ</w:t>
      </w:r>
      <w:r w:rsidRPr="003F3B94">
        <w:rPr>
          <w:rFonts w:ascii="Abo-thar" w:hAnsi="Abo-thar" w:hint="cs"/>
          <w:b/>
          <w:bCs/>
          <w:sz w:val="28"/>
          <w:rtl/>
        </w:rPr>
        <w:t>بِي</w:t>
      </w:r>
      <w:r w:rsidRPr="003F3B94">
        <w:rPr>
          <w:rFonts w:ascii="Abo-thar" w:hAnsi="Abo-thar"/>
          <w:b/>
          <w:bCs/>
          <w:sz w:val="28"/>
          <w:rtl/>
        </w:rPr>
        <w:t xml:space="preserve"> عَلِيِّ بْن</w:t>
      </w:r>
      <w:r w:rsidRPr="003F3B94">
        <w:rPr>
          <w:rFonts w:ascii="Abo-thar" w:hAnsi="Abo-thar" w:hint="cs"/>
          <w:b/>
          <w:bCs/>
          <w:sz w:val="28"/>
          <w:rtl/>
        </w:rPr>
        <w:t>ِ</w:t>
      </w:r>
      <w:r w:rsidRPr="003F3B94">
        <w:rPr>
          <w:rFonts w:ascii="Abo-thar" w:hAnsi="Abo-thar"/>
          <w:b/>
          <w:bCs/>
          <w:sz w:val="28"/>
          <w:rtl/>
        </w:rPr>
        <w:t xml:space="preserve"> رَاشِدٍ</w:t>
      </w:r>
      <w:r w:rsidRPr="003F3B94">
        <w:rPr>
          <w:rFonts w:ascii="Abo-thar" w:hAnsi="Abo-thar"/>
          <w:sz w:val="28"/>
          <w:rtl/>
        </w:rPr>
        <w:t>»</w:t>
      </w:r>
      <w:r w:rsidRPr="003F3B94">
        <w:rPr>
          <w:rFonts w:ascii="Abo-thar" w:hAnsi="Abo-thar" w:hint="cs"/>
          <w:sz w:val="28"/>
          <w:rtl/>
        </w:rPr>
        <w:t xml:space="preserve"> و</w:t>
      </w:r>
      <w:r w:rsidRPr="003F3B94">
        <w:rPr>
          <w:rFonts w:ascii="Abo-thar" w:hAnsi="Abo-thar"/>
          <w:sz w:val="28"/>
          <w:rtl/>
        </w:rPr>
        <w:t>«</w:t>
      </w:r>
      <w:r w:rsidRPr="003F3B94">
        <w:rPr>
          <w:rFonts w:ascii="Abo-thar" w:hAnsi="Abo-thar"/>
          <w:b/>
          <w:bCs/>
          <w:sz w:val="28"/>
          <w:rtl/>
        </w:rPr>
        <w:t>إِبْرَاهِيم</w:t>
      </w:r>
      <w:r w:rsidRPr="003F3B94">
        <w:rPr>
          <w:rFonts w:ascii="Abo-thar" w:hAnsi="Abo-thar" w:hint="cs"/>
          <w:b/>
          <w:bCs/>
          <w:sz w:val="28"/>
          <w:rtl/>
        </w:rPr>
        <w:t>ِ</w:t>
      </w:r>
      <w:r w:rsidRPr="003F3B94">
        <w:rPr>
          <w:rFonts w:ascii="Abo-thar" w:hAnsi="Abo-thar"/>
          <w:b/>
          <w:bCs/>
          <w:sz w:val="28"/>
          <w:rtl/>
        </w:rPr>
        <w:t xml:space="preserve"> بْن</w:t>
      </w:r>
      <w:r w:rsidRPr="003F3B94">
        <w:rPr>
          <w:rFonts w:ascii="Abo-thar" w:hAnsi="Abo-thar" w:hint="cs"/>
          <w:b/>
          <w:bCs/>
          <w:sz w:val="28"/>
          <w:rtl/>
        </w:rPr>
        <w:t>ِ</w:t>
      </w:r>
      <w:r w:rsidRPr="003F3B94">
        <w:rPr>
          <w:rFonts w:ascii="Abo-thar" w:hAnsi="Abo-thar"/>
          <w:b/>
          <w:bCs/>
          <w:sz w:val="28"/>
          <w:rtl/>
        </w:rPr>
        <w:t xml:space="preserve"> مُحَمَّدٍ</w:t>
      </w:r>
      <w:r w:rsidRPr="003F3B94">
        <w:rPr>
          <w:rFonts w:ascii="Abo-thar" w:hAnsi="Abo-thar"/>
          <w:sz w:val="28"/>
          <w:rtl/>
        </w:rPr>
        <w:t>»</w:t>
      </w:r>
      <w:r w:rsidR="00147857" w:rsidRPr="003F3B94">
        <w:rPr>
          <w:rFonts w:ascii="Abo-thar" w:hAnsi="Abo-thar" w:hint="cs"/>
          <w:sz w:val="28"/>
          <w:rtl/>
        </w:rPr>
        <w:t xml:space="preserve"> و</w:t>
      </w:r>
      <w:r w:rsidRPr="003F3B94">
        <w:rPr>
          <w:rFonts w:ascii="Abo-thar" w:hAnsi="Abo-thar" w:hint="cs"/>
          <w:sz w:val="28"/>
          <w:rtl/>
        </w:rPr>
        <w:t>أمثالهما ممن لم تُحْرَز عدالتهم بل فسقهم ظاهر</w:t>
      </w:r>
      <w:r w:rsidR="00217AB4" w:rsidRPr="003F3B94">
        <w:rPr>
          <w:rFonts w:ascii="Abo-thar" w:hAnsi="Abo-thar" w:hint="cs"/>
          <w:sz w:val="28"/>
          <w:rtl/>
        </w:rPr>
        <w:t>،</w:t>
      </w:r>
      <w:r w:rsidRPr="003F3B94">
        <w:rPr>
          <w:rFonts w:ascii="Abo-thar" w:hAnsi="Abo-thar" w:hint="cs"/>
          <w:sz w:val="28"/>
          <w:rtl/>
        </w:rPr>
        <w:t xml:space="preserve"> كانوا يأخذونها من الناس باسم الإمام المعصوم المظلوم</w:t>
      </w:r>
      <w:r w:rsidR="00217AB4" w:rsidRPr="003F3B94">
        <w:rPr>
          <w:rFonts w:ascii="Abo-thar" w:hAnsi="Abo-thar" w:hint="cs"/>
          <w:sz w:val="28"/>
          <w:rtl/>
        </w:rPr>
        <w:t>؟؟</w:t>
      </w:r>
      <w:r w:rsidRPr="003F3B94">
        <w:rPr>
          <w:rFonts w:ascii="Abo-thar" w:hAnsi="Abo-thar" w:hint="cs"/>
          <w:sz w:val="28"/>
          <w:rtl/>
        </w:rPr>
        <w:t xml:space="preserve"> </w:t>
      </w:r>
    </w:p>
    <w:p w:rsidR="005C664D" w:rsidRPr="003F3B94" w:rsidRDefault="005C664D" w:rsidP="003F3B94">
      <w:pPr>
        <w:pStyle w:val="a0"/>
        <w:rPr>
          <w:rFonts w:hint="cs"/>
          <w:rtl/>
        </w:rPr>
      </w:pPr>
      <w:r w:rsidRPr="003F3B94">
        <w:rPr>
          <w:rFonts w:ascii="Abo-thar" w:hAnsi="Abo-thar" w:hint="cs"/>
          <w:sz w:val="28"/>
          <w:rtl/>
        </w:rPr>
        <w:t>وعلى أي حال</w:t>
      </w:r>
      <w:r w:rsidR="00EE7F5E">
        <w:rPr>
          <w:rFonts w:ascii="Abo-thar" w:hAnsi="Abo-thar" w:hint="cs"/>
          <w:sz w:val="28"/>
          <w:rtl/>
        </w:rPr>
        <w:t>،</w:t>
      </w:r>
      <w:r w:rsidRPr="003F3B94">
        <w:rPr>
          <w:rFonts w:ascii="Abo-thar" w:hAnsi="Abo-thar" w:hint="cs"/>
          <w:sz w:val="28"/>
          <w:rtl/>
        </w:rPr>
        <w:t xml:space="preserve"> حتى لو فرضنا جدلاً أن حقاً ما يثبت وجوبه بمثل هذا الحديث الضعيف جداً</w:t>
      </w:r>
      <w:r w:rsidR="00217AB4" w:rsidRPr="0021507A">
        <w:rPr>
          <w:rFonts w:cs="Arabic11 BT"/>
          <w:b/>
          <w:sz w:val="28"/>
          <w:vertAlign w:val="superscript"/>
          <w:rtl/>
        </w:rPr>
        <w:t>(</w:t>
      </w:r>
      <w:r w:rsidRPr="0021507A">
        <w:rPr>
          <w:rStyle w:val="FootnoteReference"/>
          <w:rFonts w:cs="Arabic11 BT"/>
          <w:b/>
          <w:sz w:val="28"/>
          <w:rtl/>
        </w:rPr>
        <w:footnoteReference w:id="271"/>
      </w:r>
      <w:r w:rsidR="00217AB4" w:rsidRPr="0021507A">
        <w:rPr>
          <w:rFonts w:cs="Arabic11 BT"/>
          <w:b/>
          <w:sz w:val="28"/>
          <w:vertAlign w:val="superscript"/>
          <w:rtl/>
        </w:rPr>
        <w:t>)</w:t>
      </w:r>
      <w:r w:rsidR="00217AB4" w:rsidRPr="003F3B94">
        <w:rPr>
          <w:rFonts w:ascii="Abo-thar" w:hAnsi="Abo-thar" w:hint="cs"/>
          <w:sz w:val="28"/>
          <w:rtl/>
        </w:rPr>
        <w:t>،</w:t>
      </w:r>
      <w:r w:rsidRPr="003F3B94">
        <w:rPr>
          <w:rFonts w:ascii="Abo-thar" w:hAnsi="Abo-thar" w:hint="cs"/>
          <w:sz w:val="28"/>
          <w:rtl/>
        </w:rPr>
        <w:t xml:space="preserve"> فإنه يكون حقّاً للإمام ذاته وحده فقط</w:t>
      </w:r>
      <w:r w:rsidR="00147857" w:rsidRPr="003F3B94">
        <w:rPr>
          <w:rFonts w:ascii="Abo-thar" w:hAnsi="Abo-thar" w:hint="cs"/>
          <w:sz w:val="28"/>
          <w:rtl/>
        </w:rPr>
        <w:t xml:space="preserve"> و</w:t>
      </w:r>
      <w:r w:rsidRPr="003F3B94">
        <w:rPr>
          <w:rFonts w:ascii="Abo-thar" w:hAnsi="Abo-thar" w:hint="cs"/>
          <w:sz w:val="28"/>
          <w:rtl/>
        </w:rPr>
        <w:t xml:space="preserve">لا يصل إلى الآخرين </w:t>
      </w:r>
      <w:r w:rsidR="00217AB4" w:rsidRPr="003F3B94">
        <w:rPr>
          <w:rFonts w:ascii="Abo-thar" w:hAnsi="Abo-thar" w:hint="cs"/>
          <w:sz w:val="28"/>
          <w:rtl/>
        </w:rPr>
        <w:t>(</w:t>
      </w:r>
      <w:r w:rsidRPr="003F3B94">
        <w:rPr>
          <w:rFonts w:ascii="Abo-thar" w:hAnsi="Abo-thar" w:hint="cs"/>
          <w:sz w:val="28"/>
          <w:rtl/>
        </w:rPr>
        <w:t>من بني هاشم</w:t>
      </w:r>
      <w:r w:rsidR="00217AB4" w:rsidRPr="003F3B94">
        <w:rPr>
          <w:rFonts w:ascii="Abo-thar" w:hAnsi="Abo-thar" w:hint="cs"/>
          <w:sz w:val="28"/>
          <w:rtl/>
        </w:rPr>
        <w:t>).</w:t>
      </w:r>
    </w:p>
    <w:p w:rsidR="005C664D" w:rsidRPr="003F3B94" w:rsidRDefault="005C664D" w:rsidP="003F3B94">
      <w:pPr>
        <w:pStyle w:val="a0"/>
        <w:rPr>
          <w:rFonts w:hint="cs"/>
          <w:rtl/>
        </w:rPr>
      </w:pPr>
      <w:r w:rsidRPr="00255A16">
        <w:rPr>
          <w:rFonts w:ascii="Abo-thar" w:hAnsi="Abo-thar" w:hint="cs"/>
          <w:b/>
          <w:bCs/>
          <w:sz w:val="28"/>
          <w:rtl/>
        </w:rPr>
        <w:t>الحديث الرابع</w:t>
      </w:r>
      <w:r w:rsidR="00217AB4" w:rsidRPr="003F3B94">
        <w:rPr>
          <w:rFonts w:ascii="Abo-thar" w:hAnsi="Abo-thar" w:hint="cs"/>
          <w:sz w:val="28"/>
          <w:rtl/>
        </w:rPr>
        <w:t>:</w:t>
      </w:r>
      <w:r w:rsidRPr="003F3B94">
        <w:rPr>
          <w:rFonts w:ascii="Abo-thar" w:hAnsi="Abo-thar" w:hint="cs"/>
          <w:sz w:val="28"/>
          <w:rtl/>
        </w:rPr>
        <w:t xml:space="preserve"> من الأحاديث التي تدل على وجوب الخُمس في بعض الأشياء وأن هذا الخُمس خاصٌّ بالإمام فقط هو حديثٌ لم يروه سوى الشيخ الطوسي في كتابيه «التهذيب» و</w:t>
      </w:r>
      <w:r w:rsidRPr="003F3B94">
        <w:rPr>
          <w:rFonts w:ascii="Abo-thar" w:hAnsi="Abo-thar"/>
          <w:sz w:val="28"/>
          <w:rtl/>
        </w:rPr>
        <w:t>«</w:t>
      </w:r>
      <w:r w:rsidRPr="003F3B94">
        <w:rPr>
          <w:rFonts w:ascii="Abo-thar" w:hAnsi="Abo-thar" w:hint="cs"/>
          <w:sz w:val="28"/>
          <w:rtl/>
        </w:rPr>
        <w:t>الاستبصار</w:t>
      </w:r>
      <w:r w:rsidRPr="003F3B94">
        <w:rPr>
          <w:rFonts w:ascii="Abo-thar" w:hAnsi="Abo-thar"/>
          <w:sz w:val="28"/>
          <w:rtl/>
        </w:rPr>
        <w:t>»</w:t>
      </w:r>
      <w:r w:rsidR="00217AB4" w:rsidRPr="003F3B94">
        <w:rPr>
          <w:rFonts w:ascii="Abo-thar" w:hAnsi="Abo-thar" w:hint="cs"/>
          <w:sz w:val="28"/>
          <w:rtl/>
        </w:rPr>
        <w:t>:</w:t>
      </w:r>
      <w:r w:rsidRPr="003F3B94">
        <w:rPr>
          <w:rFonts w:ascii="Abo-thar" w:hAnsi="Abo-thar" w:hint="cs"/>
          <w:sz w:val="28"/>
          <w:rtl/>
        </w:rPr>
        <w:t xml:space="preserve"> كما يلي</w:t>
      </w:r>
      <w:r w:rsidR="00217AB4" w:rsidRPr="003F3B94">
        <w:rPr>
          <w:rFonts w:ascii="Abo-thar" w:hAnsi="Abo-thar" w:hint="cs"/>
          <w:sz w:val="28"/>
          <w:rtl/>
        </w:rPr>
        <w:t>:</w:t>
      </w:r>
    </w:p>
    <w:p w:rsidR="005C664D" w:rsidRPr="00995B26" w:rsidRDefault="00EF2588" w:rsidP="003F3B94">
      <w:pPr>
        <w:pStyle w:val="a0"/>
        <w:rPr>
          <w:rFonts w:hint="cs"/>
          <w:rtl/>
        </w:rPr>
      </w:pPr>
      <w:r w:rsidRPr="00891167">
        <w:rPr>
          <w:rFonts w:ascii="Abo-thar" w:hAnsi="Abo-thar" w:cs="KFGQPC Uthman Taha Naskh" w:hint="cs"/>
          <w:sz w:val="28"/>
          <w:rtl/>
        </w:rPr>
        <w:t>«</w:t>
      </w:r>
      <w:r w:rsidR="005C664D" w:rsidRPr="00891167">
        <w:rPr>
          <w:rFonts w:ascii="Abo-thar" w:hAnsi="Abo-thar" w:cs="KFGQPC Uthman Taha Naskh"/>
          <w:b/>
          <w:bCs/>
          <w:sz w:val="28"/>
          <w:rtl/>
        </w:rPr>
        <w:t xml:space="preserve">مُحَمَّدُ بْنُ الحَسَنِ الصَّفَّارُ عَنْ أَحْمَدَ بْنِ مُحَمَّدٍ وعَبْدِ اللهِ بْنِ مُحَمَّدٍ عَنْ عَلِيِّ بْنِ مَهْزِيَارَ قَالَ كَتَبَ إِلَيْهِ أَبُو جَعْفَرٍ </w:t>
      </w:r>
      <w:r w:rsidR="00BC4BA9" w:rsidRPr="00BC4BA9">
        <w:rPr>
          <w:rFonts w:ascii="Abo-thar" w:hAnsi="Abo-thar" w:cs="CTraditional Arabic"/>
          <w:b/>
          <w:sz w:val="28"/>
          <w:rtl/>
        </w:rPr>
        <w:t>÷</w:t>
      </w:r>
      <w:r w:rsidR="005C664D" w:rsidRPr="00891167">
        <w:rPr>
          <w:rFonts w:ascii="Abo-thar" w:hAnsi="Abo-thar" w:cs="KFGQPC Uthman Taha Naskh"/>
          <w:b/>
          <w:bCs/>
          <w:sz w:val="28"/>
          <w:rtl/>
        </w:rPr>
        <w:t xml:space="preserve"> وقَرَأْتُ أَنَا كِتَابَهُ إِلَيْهِ فِي طَرِيقِ مَكَّةَ قَالَ</w:t>
      </w:r>
      <w:r w:rsidR="00EE7F5E">
        <w:rPr>
          <w:rFonts w:ascii="Abo-thar" w:hAnsi="Abo-thar" w:cs="KFGQPC Uthman Taha Naskh" w:hint="cs"/>
          <w:b/>
          <w:bCs/>
          <w:sz w:val="28"/>
          <w:rtl/>
        </w:rPr>
        <w:t>:</w:t>
      </w:r>
      <w:r w:rsidR="005C664D" w:rsidRPr="00891167">
        <w:rPr>
          <w:rFonts w:ascii="Abo-thar" w:hAnsi="Abo-thar" w:cs="KFGQPC Uthman Taha Naskh"/>
          <w:b/>
          <w:bCs/>
          <w:sz w:val="28"/>
          <w:rtl/>
        </w:rPr>
        <w:t xml:space="preserve"> الَّذِي أَوْجَبْتُ فِي سَنَتِي هَذِهِ وهَذِهِ سَنَةُ عِشْرِينَ ومِائَتَيْنِ فَقَطْ لِمَعْنًى مِنَ المَعَانِي أَكْرَهُ تَفْسِيرَ المَعْنَى كُلِّهِ خَوْفاً مِنَ الِانْتِشَارِ وسَأُفَسِّرُ لَكَ بَعْضَهُ إِنْ شَاءَ اللهُ تَعَالَى إِنَّ مَوَالِيَّ أَسْأَلُ اللهَ صَلَاحَهُمْ أَوْ بَعْضَهُمْ قَصَّرُوا فِيمَا يَجِبُ عَلَيْهِمْ فَعَلِمْتُ ذَلِكَ فَأَحْبَبْتُ أَنْ أُطَهِّرَهُمْ وأُزَكِّيَهُمْ بِمَا فَعَلْتُ فِي عَامِي هَذَا مِنْ أَمْرِ الخُمُسِ قَالَ اللهُ تَعَالَى</w:t>
      </w:r>
      <w:r w:rsidR="00217AB4" w:rsidRPr="00891167">
        <w:rPr>
          <w:rFonts w:ascii="Abo-thar" w:hAnsi="Abo-thar" w:cs="KFGQPC Uthman Taha Naskh" w:hint="cs"/>
          <w:b/>
          <w:bCs/>
          <w:sz w:val="28"/>
          <w:rtl/>
        </w:rPr>
        <w:t>:</w:t>
      </w:r>
      <w:r w:rsidR="00B06788" w:rsidRPr="00891167">
        <w:rPr>
          <w:rFonts w:ascii="Abo-thar" w:hAnsi="Abo-thar" w:cs="KFGQPC Uthman Taha Naskh" w:hint="cs"/>
          <w:b/>
          <w:bCs/>
          <w:sz w:val="28"/>
          <w:rtl/>
        </w:rPr>
        <w:t xml:space="preserve"> </w:t>
      </w:r>
      <w:r w:rsidR="00B06788" w:rsidRPr="00995B26">
        <w:rPr>
          <w:rFonts w:ascii="Abo-thar" w:hAnsi="Abo-thar" w:cs="Traditional Arabic" w:hint="cs"/>
          <w:sz w:val="28"/>
          <w:rtl/>
        </w:rPr>
        <w:t>﴿</w:t>
      </w:r>
      <w:r w:rsidR="00B06788" w:rsidRPr="0067048A">
        <w:rPr>
          <w:rFonts w:ascii="KFGQPC Uthmanic Script HAFS" w:cs="KFGQPC Uthmanic Script HAFS" w:hint="eastAsia"/>
          <w:sz w:val="28"/>
          <w:szCs w:val="28"/>
          <w:rtl/>
          <w:lang w:bidi="fa-IR"/>
        </w:rPr>
        <w:t>خُذ</w:t>
      </w:r>
      <w:r w:rsidR="00B06788" w:rsidRPr="0067048A">
        <w:rPr>
          <w:rFonts w:ascii="KFGQPC Uthmanic Script HAFS" w:cs="KFGQPC Uthmanic Script HAFS" w:hint="cs"/>
          <w:sz w:val="28"/>
          <w:szCs w:val="28"/>
          <w:rtl/>
          <w:lang w:bidi="fa-IR"/>
        </w:rPr>
        <w:t>ۡ</w:t>
      </w:r>
      <w:r w:rsidR="00B06788" w:rsidRPr="0067048A">
        <w:rPr>
          <w:rFonts w:ascii="KFGQPC Uthmanic Script HAFS" w:cs="KFGQPC Uthmanic Script HAFS"/>
          <w:sz w:val="28"/>
          <w:szCs w:val="28"/>
          <w:rtl/>
          <w:lang w:bidi="fa-IR"/>
        </w:rPr>
        <w:t xml:space="preserve"> </w:t>
      </w:r>
      <w:r w:rsidR="00B06788" w:rsidRPr="0067048A">
        <w:rPr>
          <w:rFonts w:ascii="KFGQPC Uthmanic Script HAFS" w:cs="KFGQPC Uthmanic Script HAFS" w:hint="eastAsia"/>
          <w:sz w:val="28"/>
          <w:szCs w:val="28"/>
          <w:rtl/>
          <w:lang w:bidi="fa-IR"/>
        </w:rPr>
        <w:t>مِن</w:t>
      </w:r>
      <w:r w:rsidR="00B06788" w:rsidRPr="0067048A">
        <w:rPr>
          <w:rFonts w:ascii="KFGQPC Uthmanic Script HAFS" w:cs="KFGQPC Uthmanic Script HAFS" w:hint="cs"/>
          <w:sz w:val="28"/>
          <w:szCs w:val="28"/>
          <w:rtl/>
          <w:lang w:bidi="fa-IR"/>
        </w:rPr>
        <w:t>ۡ</w:t>
      </w:r>
      <w:r w:rsidR="00B06788" w:rsidRPr="0067048A">
        <w:rPr>
          <w:rFonts w:ascii="KFGQPC Uthmanic Script HAFS" w:cs="KFGQPC Uthmanic Script HAFS"/>
          <w:sz w:val="28"/>
          <w:szCs w:val="28"/>
          <w:rtl/>
          <w:lang w:bidi="fa-IR"/>
        </w:rPr>
        <w:t xml:space="preserve"> </w:t>
      </w:r>
      <w:r w:rsidR="00B06788" w:rsidRPr="0067048A">
        <w:rPr>
          <w:rFonts w:ascii="KFGQPC Uthmanic Script HAFS" w:cs="KFGQPC Uthmanic Script HAFS" w:hint="eastAsia"/>
          <w:sz w:val="28"/>
          <w:szCs w:val="28"/>
          <w:rtl/>
          <w:lang w:bidi="fa-IR"/>
        </w:rPr>
        <w:t>أَم</w:t>
      </w:r>
      <w:r w:rsidR="00B06788" w:rsidRPr="0067048A">
        <w:rPr>
          <w:rFonts w:ascii="KFGQPC Uthmanic Script HAFS" w:cs="KFGQPC Uthmanic Script HAFS" w:hint="cs"/>
          <w:sz w:val="28"/>
          <w:szCs w:val="28"/>
          <w:rtl/>
          <w:lang w:bidi="fa-IR"/>
        </w:rPr>
        <w:t>ۡ</w:t>
      </w:r>
      <w:r w:rsidR="00B06788" w:rsidRPr="0067048A">
        <w:rPr>
          <w:rFonts w:ascii="KFGQPC Uthmanic Script HAFS" w:cs="KFGQPC Uthmanic Script HAFS" w:hint="eastAsia"/>
          <w:sz w:val="28"/>
          <w:szCs w:val="28"/>
          <w:rtl/>
          <w:lang w:bidi="fa-IR"/>
        </w:rPr>
        <w:t>وَ</w:t>
      </w:r>
      <w:r w:rsidR="00B06788" w:rsidRPr="0067048A">
        <w:rPr>
          <w:rFonts w:ascii="KFGQPC Uthmanic Script HAFS" w:cs="KFGQPC Uthmanic Script HAFS" w:hint="cs"/>
          <w:sz w:val="28"/>
          <w:szCs w:val="28"/>
          <w:rtl/>
          <w:lang w:bidi="fa-IR"/>
        </w:rPr>
        <w:t>ٰ</w:t>
      </w:r>
      <w:r w:rsidR="00B06788" w:rsidRPr="0067048A">
        <w:rPr>
          <w:rFonts w:ascii="KFGQPC Uthmanic Script HAFS" w:cs="KFGQPC Uthmanic Script HAFS" w:hint="eastAsia"/>
          <w:sz w:val="28"/>
          <w:szCs w:val="28"/>
          <w:rtl/>
          <w:lang w:bidi="fa-IR"/>
        </w:rPr>
        <w:t>لِهِم</w:t>
      </w:r>
      <w:r w:rsidR="00B06788" w:rsidRPr="0067048A">
        <w:rPr>
          <w:rFonts w:ascii="KFGQPC Uthmanic Script HAFS" w:cs="KFGQPC Uthmanic Script HAFS" w:hint="cs"/>
          <w:sz w:val="28"/>
          <w:szCs w:val="28"/>
          <w:rtl/>
          <w:lang w:bidi="fa-IR"/>
        </w:rPr>
        <w:t>ۡ</w:t>
      </w:r>
      <w:r w:rsidR="00B06788" w:rsidRPr="0067048A">
        <w:rPr>
          <w:rFonts w:ascii="KFGQPC Uthmanic Script HAFS" w:cs="KFGQPC Uthmanic Script HAFS"/>
          <w:sz w:val="28"/>
          <w:szCs w:val="28"/>
          <w:rtl/>
          <w:lang w:bidi="fa-IR"/>
        </w:rPr>
        <w:t xml:space="preserve"> </w:t>
      </w:r>
      <w:r w:rsidR="00B06788" w:rsidRPr="0067048A">
        <w:rPr>
          <w:rFonts w:ascii="KFGQPC Uthmanic Script HAFS" w:cs="KFGQPC Uthmanic Script HAFS" w:hint="eastAsia"/>
          <w:sz w:val="28"/>
          <w:szCs w:val="28"/>
          <w:rtl/>
          <w:lang w:bidi="fa-IR"/>
        </w:rPr>
        <w:t>صَدَقَة</w:t>
      </w:r>
      <w:r w:rsidR="00B06788" w:rsidRPr="0067048A">
        <w:rPr>
          <w:rFonts w:ascii="KFGQPC Uthmanic Script HAFS" w:cs="KFGQPC Uthmanic Script HAFS" w:hint="cs"/>
          <w:sz w:val="28"/>
          <w:szCs w:val="28"/>
          <w:rtl/>
          <w:lang w:bidi="fa-IR"/>
        </w:rPr>
        <w:t>ٗ</w:t>
      </w:r>
      <w:r w:rsidR="00B06788" w:rsidRPr="0067048A">
        <w:rPr>
          <w:rFonts w:ascii="KFGQPC Uthmanic Script HAFS" w:cs="KFGQPC Uthmanic Script HAFS"/>
          <w:sz w:val="28"/>
          <w:szCs w:val="28"/>
          <w:rtl/>
          <w:lang w:bidi="fa-IR"/>
        </w:rPr>
        <w:t xml:space="preserve"> </w:t>
      </w:r>
      <w:r w:rsidR="00B06788" w:rsidRPr="0067048A">
        <w:rPr>
          <w:rFonts w:ascii="KFGQPC Uthmanic Script HAFS" w:cs="KFGQPC Uthmanic Script HAFS" w:hint="eastAsia"/>
          <w:sz w:val="28"/>
          <w:szCs w:val="28"/>
          <w:rtl/>
          <w:lang w:bidi="fa-IR"/>
        </w:rPr>
        <w:t>تُطَهِّرُهُم</w:t>
      </w:r>
      <w:r w:rsidR="00B06788" w:rsidRPr="0067048A">
        <w:rPr>
          <w:rFonts w:ascii="KFGQPC Uthmanic Script HAFS" w:cs="KFGQPC Uthmanic Script HAFS" w:hint="cs"/>
          <w:sz w:val="28"/>
          <w:szCs w:val="28"/>
          <w:rtl/>
          <w:lang w:bidi="fa-IR"/>
        </w:rPr>
        <w:t>ۡ</w:t>
      </w:r>
      <w:r w:rsidR="00B06788" w:rsidRPr="0067048A">
        <w:rPr>
          <w:rFonts w:ascii="KFGQPC Uthmanic Script HAFS" w:cs="KFGQPC Uthmanic Script HAFS"/>
          <w:sz w:val="28"/>
          <w:szCs w:val="28"/>
          <w:rtl/>
          <w:lang w:bidi="fa-IR"/>
        </w:rPr>
        <w:t xml:space="preserve"> </w:t>
      </w:r>
      <w:r w:rsidR="00B06788" w:rsidRPr="0067048A">
        <w:rPr>
          <w:rFonts w:ascii="KFGQPC Uthmanic Script HAFS" w:cs="KFGQPC Uthmanic Script HAFS" w:hint="eastAsia"/>
          <w:sz w:val="28"/>
          <w:szCs w:val="28"/>
          <w:rtl/>
          <w:lang w:bidi="fa-IR"/>
        </w:rPr>
        <w:t>وَتُزَكِّيهِم</w:t>
      </w:r>
      <w:r w:rsidR="00B06788" w:rsidRPr="0067048A">
        <w:rPr>
          <w:rFonts w:ascii="KFGQPC Uthmanic Script HAFS" w:cs="KFGQPC Uthmanic Script HAFS"/>
          <w:sz w:val="28"/>
          <w:szCs w:val="28"/>
          <w:rtl/>
          <w:lang w:bidi="fa-IR"/>
        </w:rPr>
        <w:t xml:space="preserve"> </w:t>
      </w:r>
      <w:r w:rsidR="00B06788" w:rsidRPr="0067048A">
        <w:rPr>
          <w:rFonts w:ascii="KFGQPC Uthmanic Script HAFS" w:cs="KFGQPC Uthmanic Script HAFS" w:hint="eastAsia"/>
          <w:sz w:val="28"/>
          <w:szCs w:val="28"/>
          <w:rtl/>
          <w:lang w:bidi="fa-IR"/>
        </w:rPr>
        <w:t>بِهَا</w:t>
      </w:r>
      <w:r w:rsidR="00B06788" w:rsidRPr="0067048A">
        <w:rPr>
          <w:rFonts w:ascii="KFGQPC Uthmanic Script HAFS" w:cs="KFGQPC Uthmanic Script HAFS"/>
          <w:sz w:val="28"/>
          <w:szCs w:val="28"/>
          <w:rtl/>
          <w:lang w:bidi="fa-IR"/>
        </w:rPr>
        <w:t xml:space="preserve"> </w:t>
      </w:r>
      <w:r w:rsidR="00B06788" w:rsidRPr="0067048A">
        <w:rPr>
          <w:rFonts w:ascii="KFGQPC Uthmanic Script HAFS" w:cs="KFGQPC Uthmanic Script HAFS" w:hint="eastAsia"/>
          <w:sz w:val="28"/>
          <w:szCs w:val="28"/>
          <w:rtl/>
          <w:lang w:bidi="fa-IR"/>
        </w:rPr>
        <w:t>وَصَلِّ</w:t>
      </w:r>
      <w:r w:rsidR="00B06788" w:rsidRPr="0067048A">
        <w:rPr>
          <w:rFonts w:ascii="KFGQPC Uthmanic Script HAFS" w:cs="KFGQPC Uthmanic Script HAFS"/>
          <w:sz w:val="28"/>
          <w:szCs w:val="28"/>
          <w:rtl/>
          <w:lang w:bidi="fa-IR"/>
        </w:rPr>
        <w:t xml:space="preserve"> </w:t>
      </w:r>
      <w:r w:rsidR="00B06788" w:rsidRPr="0067048A">
        <w:rPr>
          <w:rFonts w:ascii="KFGQPC Uthmanic Script HAFS" w:cs="KFGQPC Uthmanic Script HAFS" w:hint="eastAsia"/>
          <w:sz w:val="28"/>
          <w:szCs w:val="28"/>
          <w:rtl/>
          <w:lang w:bidi="fa-IR"/>
        </w:rPr>
        <w:t>عَلَي</w:t>
      </w:r>
      <w:r w:rsidR="00B06788" w:rsidRPr="0067048A">
        <w:rPr>
          <w:rFonts w:ascii="KFGQPC Uthmanic Script HAFS" w:cs="KFGQPC Uthmanic Script HAFS" w:hint="cs"/>
          <w:sz w:val="28"/>
          <w:szCs w:val="28"/>
          <w:rtl/>
          <w:lang w:bidi="fa-IR"/>
        </w:rPr>
        <w:t>ۡ</w:t>
      </w:r>
      <w:r w:rsidR="00B06788" w:rsidRPr="0067048A">
        <w:rPr>
          <w:rFonts w:ascii="KFGQPC Uthmanic Script HAFS" w:cs="KFGQPC Uthmanic Script HAFS" w:hint="eastAsia"/>
          <w:sz w:val="28"/>
          <w:szCs w:val="28"/>
          <w:rtl/>
          <w:lang w:bidi="fa-IR"/>
        </w:rPr>
        <w:t>هِم</w:t>
      </w:r>
      <w:r w:rsidR="00B06788" w:rsidRPr="0067048A">
        <w:rPr>
          <w:rFonts w:ascii="KFGQPC Uthmanic Script HAFS" w:cs="KFGQPC Uthmanic Script HAFS" w:hint="cs"/>
          <w:sz w:val="28"/>
          <w:szCs w:val="28"/>
          <w:rtl/>
          <w:lang w:bidi="fa-IR"/>
        </w:rPr>
        <w:t>ۡۖ</w:t>
      </w:r>
      <w:r w:rsidR="00B06788" w:rsidRPr="0067048A">
        <w:rPr>
          <w:rFonts w:ascii="KFGQPC Uthmanic Script HAFS" w:cs="KFGQPC Uthmanic Script HAFS"/>
          <w:sz w:val="28"/>
          <w:szCs w:val="28"/>
          <w:rtl/>
          <w:lang w:bidi="fa-IR"/>
        </w:rPr>
        <w:t xml:space="preserve"> </w:t>
      </w:r>
      <w:r w:rsidR="00B06788" w:rsidRPr="0067048A">
        <w:rPr>
          <w:rFonts w:ascii="KFGQPC Uthmanic Script HAFS" w:cs="KFGQPC Uthmanic Script HAFS" w:hint="eastAsia"/>
          <w:sz w:val="28"/>
          <w:szCs w:val="28"/>
          <w:rtl/>
          <w:lang w:bidi="fa-IR"/>
        </w:rPr>
        <w:t>إِنَّ</w:t>
      </w:r>
      <w:r w:rsidR="00B06788" w:rsidRPr="0067048A">
        <w:rPr>
          <w:rFonts w:ascii="KFGQPC Uthmanic Script HAFS" w:cs="KFGQPC Uthmanic Script HAFS"/>
          <w:sz w:val="28"/>
          <w:szCs w:val="28"/>
          <w:rtl/>
          <w:lang w:bidi="fa-IR"/>
        </w:rPr>
        <w:t xml:space="preserve"> </w:t>
      </w:r>
      <w:r w:rsidR="00B06788" w:rsidRPr="0067048A">
        <w:rPr>
          <w:rFonts w:ascii="KFGQPC Uthmanic Script HAFS" w:cs="KFGQPC Uthmanic Script HAFS" w:hint="eastAsia"/>
          <w:sz w:val="28"/>
          <w:szCs w:val="28"/>
          <w:rtl/>
          <w:lang w:bidi="fa-IR"/>
        </w:rPr>
        <w:t>صَلَو</w:t>
      </w:r>
      <w:r w:rsidR="00B06788" w:rsidRPr="0067048A">
        <w:rPr>
          <w:rFonts w:ascii="KFGQPC Uthmanic Script HAFS" w:cs="KFGQPC Uthmanic Script HAFS" w:hint="cs"/>
          <w:sz w:val="28"/>
          <w:szCs w:val="28"/>
          <w:rtl/>
          <w:lang w:bidi="fa-IR"/>
        </w:rPr>
        <w:t>ٰ</w:t>
      </w:r>
      <w:r w:rsidR="00B06788" w:rsidRPr="0067048A">
        <w:rPr>
          <w:rFonts w:ascii="KFGQPC Uthmanic Script HAFS" w:cs="KFGQPC Uthmanic Script HAFS" w:hint="eastAsia"/>
          <w:sz w:val="28"/>
          <w:szCs w:val="28"/>
          <w:rtl/>
          <w:lang w:bidi="fa-IR"/>
        </w:rPr>
        <w:t>تَكَ</w:t>
      </w:r>
      <w:r w:rsidR="00B06788" w:rsidRPr="0067048A">
        <w:rPr>
          <w:rFonts w:ascii="KFGQPC Uthmanic Script HAFS" w:cs="KFGQPC Uthmanic Script HAFS"/>
          <w:sz w:val="28"/>
          <w:szCs w:val="28"/>
          <w:rtl/>
          <w:lang w:bidi="fa-IR"/>
        </w:rPr>
        <w:t xml:space="preserve"> </w:t>
      </w:r>
      <w:r w:rsidR="00B06788" w:rsidRPr="0067048A">
        <w:rPr>
          <w:rFonts w:ascii="KFGQPC Uthmanic Script HAFS" w:cs="KFGQPC Uthmanic Script HAFS" w:hint="eastAsia"/>
          <w:sz w:val="28"/>
          <w:szCs w:val="28"/>
          <w:rtl/>
          <w:lang w:bidi="fa-IR"/>
        </w:rPr>
        <w:t>سَكَن</w:t>
      </w:r>
      <w:r w:rsidR="00B06788" w:rsidRPr="0067048A">
        <w:rPr>
          <w:rFonts w:ascii="KFGQPC Uthmanic Script HAFS" w:cs="KFGQPC Uthmanic Script HAFS" w:hint="cs"/>
          <w:sz w:val="28"/>
          <w:szCs w:val="28"/>
          <w:rtl/>
          <w:lang w:bidi="fa-IR"/>
        </w:rPr>
        <w:t>ٞ</w:t>
      </w:r>
      <w:r w:rsidR="00B06788" w:rsidRPr="0067048A">
        <w:rPr>
          <w:rFonts w:ascii="KFGQPC Uthmanic Script HAFS" w:cs="KFGQPC Uthmanic Script HAFS"/>
          <w:sz w:val="28"/>
          <w:szCs w:val="28"/>
          <w:rtl/>
          <w:lang w:bidi="fa-IR"/>
        </w:rPr>
        <w:t xml:space="preserve"> </w:t>
      </w:r>
      <w:r w:rsidR="00B06788" w:rsidRPr="0067048A">
        <w:rPr>
          <w:rFonts w:ascii="KFGQPC Uthmanic Script HAFS" w:cs="KFGQPC Uthmanic Script HAFS" w:hint="eastAsia"/>
          <w:sz w:val="28"/>
          <w:szCs w:val="28"/>
          <w:rtl/>
          <w:lang w:bidi="fa-IR"/>
        </w:rPr>
        <w:t>لَّهُم</w:t>
      </w:r>
      <w:r w:rsidR="00B06788" w:rsidRPr="0067048A">
        <w:rPr>
          <w:rFonts w:ascii="KFGQPC Uthmanic Script HAFS" w:cs="KFGQPC Uthmanic Script HAFS" w:hint="cs"/>
          <w:sz w:val="28"/>
          <w:szCs w:val="28"/>
          <w:rtl/>
          <w:lang w:bidi="fa-IR"/>
        </w:rPr>
        <w:t>ۡۗ</w:t>
      </w:r>
      <w:r w:rsidR="00B06788" w:rsidRPr="0067048A">
        <w:rPr>
          <w:rFonts w:ascii="KFGQPC Uthmanic Script HAFS" w:cs="KFGQPC Uthmanic Script HAFS"/>
          <w:sz w:val="28"/>
          <w:szCs w:val="28"/>
          <w:rtl/>
          <w:lang w:bidi="fa-IR"/>
        </w:rPr>
        <w:t xml:space="preserve"> </w:t>
      </w:r>
      <w:r w:rsidR="00B06788" w:rsidRPr="0067048A">
        <w:rPr>
          <w:rFonts w:ascii="KFGQPC Uthmanic Script HAFS" w:cs="KFGQPC Uthmanic Script HAFS" w:hint="eastAsia"/>
          <w:sz w:val="28"/>
          <w:szCs w:val="28"/>
          <w:rtl/>
          <w:lang w:bidi="fa-IR"/>
        </w:rPr>
        <w:t>وَ</w:t>
      </w:r>
      <w:r w:rsidR="00B06788" w:rsidRPr="0067048A">
        <w:rPr>
          <w:rFonts w:ascii="KFGQPC Uthmanic Script HAFS" w:cs="KFGQPC Uthmanic Script HAFS" w:hint="cs"/>
          <w:sz w:val="28"/>
          <w:szCs w:val="28"/>
          <w:rtl/>
          <w:lang w:bidi="fa-IR"/>
        </w:rPr>
        <w:t>ٱ</w:t>
      </w:r>
      <w:r w:rsidR="00B06788" w:rsidRPr="0067048A">
        <w:rPr>
          <w:rFonts w:ascii="KFGQPC Uthmanic Script HAFS" w:cs="KFGQPC Uthmanic Script HAFS" w:hint="eastAsia"/>
          <w:sz w:val="28"/>
          <w:szCs w:val="28"/>
          <w:rtl/>
          <w:lang w:bidi="fa-IR"/>
        </w:rPr>
        <w:t>للَّهُ</w:t>
      </w:r>
      <w:r w:rsidR="00B06788" w:rsidRPr="0067048A">
        <w:rPr>
          <w:rFonts w:ascii="KFGQPC Uthmanic Script HAFS" w:cs="KFGQPC Uthmanic Script HAFS"/>
          <w:sz w:val="28"/>
          <w:szCs w:val="28"/>
          <w:rtl/>
          <w:lang w:bidi="fa-IR"/>
        </w:rPr>
        <w:t xml:space="preserve"> </w:t>
      </w:r>
      <w:r w:rsidR="00B06788" w:rsidRPr="0067048A">
        <w:rPr>
          <w:rFonts w:ascii="KFGQPC Uthmanic Script HAFS" w:cs="KFGQPC Uthmanic Script HAFS" w:hint="eastAsia"/>
          <w:sz w:val="28"/>
          <w:szCs w:val="28"/>
          <w:rtl/>
          <w:lang w:bidi="fa-IR"/>
        </w:rPr>
        <w:t>سَمِيعٌ</w:t>
      </w:r>
      <w:r w:rsidR="00B06788" w:rsidRPr="0067048A">
        <w:rPr>
          <w:rFonts w:ascii="KFGQPC Uthmanic Script HAFS" w:cs="KFGQPC Uthmanic Script HAFS"/>
          <w:sz w:val="28"/>
          <w:szCs w:val="28"/>
          <w:rtl/>
          <w:lang w:bidi="fa-IR"/>
        </w:rPr>
        <w:t xml:space="preserve"> </w:t>
      </w:r>
      <w:r w:rsidR="00B06788" w:rsidRPr="0067048A">
        <w:rPr>
          <w:rFonts w:ascii="KFGQPC Uthmanic Script HAFS" w:cs="KFGQPC Uthmanic Script HAFS" w:hint="eastAsia"/>
          <w:sz w:val="28"/>
          <w:szCs w:val="28"/>
          <w:rtl/>
          <w:lang w:bidi="fa-IR"/>
        </w:rPr>
        <w:t>عَلِيمٌ</w:t>
      </w:r>
      <w:r w:rsidR="00B06788" w:rsidRPr="0067048A">
        <w:rPr>
          <w:rFonts w:ascii="KFGQPC Uthmanic Script HAFS" w:cs="KFGQPC Uthmanic Script HAFS"/>
          <w:sz w:val="28"/>
          <w:szCs w:val="28"/>
          <w:rtl/>
          <w:lang w:bidi="fa-IR"/>
        </w:rPr>
        <w:t xml:space="preserve"> </w:t>
      </w:r>
      <w:r w:rsidR="00B06788" w:rsidRPr="0067048A">
        <w:rPr>
          <w:rFonts w:ascii="KFGQPC Uthmanic Script HAFS" w:cs="KFGQPC Uthmanic Script HAFS" w:hint="cs"/>
          <w:sz w:val="28"/>
          <w:szCs w:val="28"/>
          <w:rtl/>
          <w:lang w:bidi="fa-IR"/>
        </w:rPr>
        <w:t>١٠٣</w:t>
      </w:r>
      <w:r w:rsidR="00B06788" w:rsidRPr="0067048A">
        <w:rPr>
          <w:rFonts w:ascii="KFGQPC Uthmanic Script HAFS" w:cs="KFGQPC Uthmanic Script HAFS"/>
          <w:sz w:val="28"/>
          <w:szCs w:val="28"/>
          <w:rtl/>
          <w:lang w:bidi="fa-IR"/>
        </w:rPr>
        <w:t xml:space="preserve"> </w:t>
      </w:r>
      <w:r w:rsidR="00B06788" w:rsidRPr="0067048A">
        <w:rPr>
          <w:rFonts w:ascii="KFGQPC Uthmanic Script HAFS" w:cs="KFGQPC Uthmanic Script HAFS" w:hint="eastAsia"/>
          <w:sz w:val="28"/>
          <w:szCs w:val="28"/>
          <w:rtl/>
          <w:lang w:bidi="fa-IR"/>
        </w:rPr>
        <w:t>أَلَم</w:t>
      </w:r>
      <w:r w:rsidR="00B06788" w:rsidRPr="0067048A">
        <w:rPr>
          <w:rFonts w:ascii="KFGQPC Uthmanic Script HAFS" w:cs="KFGQPC Uthmanic Script HAFS" w:hint="cs"/>
          <w:sz w:val="28"/>
          <w:szCs w:val="28"/>
          <w:rtl/>
          <w:lang w:bidi="fa-IR"/>
        </w:rPr>
        <w:t>ۡ</w:t>
      </w:r>
      <w:r w:rsidR="00B06788" w:rsidRPr="0067048A">
        <w:rPr>
          <w:rFonts w:ascii="KFGQPC Uthmanic Script HAFS" w:cs="KFGQPC Uthmanic Script HAFS"/>
          <w:sz w:val="28"/>
          <w:szCs w:val="28"/>
          <w:rtl/>
          <w:lang w:bidi="fa-IR"/>
        </w:rPr>
        <w:t xml:space="preserve"> </w:t>
      </w:r>
      <w:r w:rsidR="00B06788" w:rsidRPr="0067048A">
        <w:rPr>
          <w:rFonts w:ascii="KFGQPC Uthmanic Script HAFS" w:cs="KFGQPC Uthmanic Script HAFS" w:hint="eastAsia"/>
          <w:sz w:val="28"/>
          <w:szCs w:val="28"/>
          <w:rtl/>
          <w:lang w:bidi="fa-IR"/>
        </w:rPr>
        <w:t>يَع</w:t>
      </w:r>
      <w:r w:rsidR="00B06788" w:rsidRPr="0067048A">
        <w:rPr>
          <w:rFonts w:ascii="KFGQPC Uthmanic Script HAFS" w:cs="KFGQPC Uthmanic Script HAFS" w:hint="cs"/>
          <w:sz w:val="28"/>
          <w:szCs w:val="28"/>
          <w:rtl/>
          <w:lang w:bidi="fa-IR"/>
        </w:rPr>
        <w:t>ۡ</w:t>
      </w:r>
      <w:r w:rsidR="00B06788" w:rsidRPr="0067048A">
        <w:rPr>
          <w:rFonts w:ascii="KFGQPC Uthmanic Script HAFS" w:cs="KFGQPC Uthmanic Script HAFS" w:hint="eastAsia"/>
          <w:sz w:val="28"/>
          <w:szCs w:val="28"/>
          <w:rtl/>
          <w:lang w:bidi="fa-IR"/>
        </w:rPr>
        <w:t>لَمُو</w:t>
      </w:r>
      <w:r w:rsidR="00B06788" w:rsidRPr="0067048A">
        <w:rPr>
          <w:rFonts w:ascii="KFGQPC Uthmanic Script HAFS" w:cs="KFGQPC Uthmanic Script HAFS" w:hint="cs"/>
          <w:sz w:val="28"/>
          <w:szCs w:val="28"/>
          <w:rtl/>
          <w:lang w:bidi="fa-IR"/>
        </w:rPr>
        <w:t>ٓ</w:t>
      </w:r>
      <w:r w:rsidR="00B06788" w:rsidRPr="0067048A">
        <w:rPr>
          <w:rFonts w:ascii="KFGQPC Uthmanic Script HAFS" w:cs="KFGQPC Uthmanic Script HAFS" w:hint="eastAsia"/>
          <w:sz w:val="28"/>
          <w:szCs w:val="28"/>
          <w:rtl/>
          <w:lang w:bidi="fa-IR"/>
        </w:rPr>
        <w:t>اْ</w:t>
      </w:r>
      <w:r w:rsidR="00B06788" w:rsidRPr="0067048A">
        <w:rPr>
          <w:rFonts w:ascii="KFGQPC Uthmanic Script HAFS" w:cs="KFGQPC Uthmanic Script HAFS"/>
          <w:sz w:val="28"/>
          <w:szCs w:val="28"/>
          <w:rtl/>
          <w:lang w:bidi="fa-IR"/>
        </w:rPr>
        <w:t xml:space="preserve"> </w:t>
      </w:r>
      <w:r w:rsidR="00B06788" w:rsidRPr="0067048A">
        <w:rPr>
          <w:rFonts w:ascii="KFGQPC Uthmanic Script HAFS" w:cs="KFGQPC Uthmanic Script HAFS" w:hint="eastAsia"/>
          <w:sz w:val="28"/>
          <w:szCs w:val="28"/>
          <w:rtl/>
          <w:lang w:bidi="fa-IR"/>
        </w:rPr>
        <w:t>أَنَّ</w:t>
      </w:r>
      <w:r w:rsidR="00B06788" w:rsidRPr="0067048A">
        <w:rPr>
          <w:rFonts w:ascii="KFGQPC Uthmanic Script HAFS" w:cs="KFGQPC Uthmanic Script HAFS"/>
          <w:sz w:val="28"/>
          <w:szCs w:val="28"/>
          <w:rtl/>
          <w:lang w:bidi="fa-IR"/>
        </w:rPr>
        <w:t xml:space="preserve"> </w:t>
      </w:r>
      <w:r w:rsidR="00B06788" w:rsidRPr="0067048A">
        <w:rPr>
          <w:rFonts w:ascii="KFGQPC Uthmanic Script HAFS" w:cs="KFGQPC Uthmanic Script HAFS" w:hint="cs"/>
          <w:sz w:val="28"/>
          <w:szCs w:val="28"/>
          <w:rtl/>
          <w:lang w:bidi="fa-IR"/>
        </w:rPr>
        <w:t>ٱ</w:t>
      </w:r>
      <w:r w:rsidR="00B06788" w:rsidRPr="0067048A">
        <w:rPr>
          <w:rFonts w:ascii="KFGQPC Uthmanic Script HAFS" w:cs="KFGQPC Uthmanic Script HAFS" w:hint="eastAsia"/>
          <w:sz w:val="28"/>
          <w:szCs w:val="28"/>
          <w:rtl/>
          <w:lang w:bidi="fa-IR"/>
        </w:rPr>
        <w:t>للَّهَ</w:t>
      </w:r>
      <w:r w:rsidR="00B06788" w:rsidRPr="0067048A">
        <w:rPr>
          <w:rFonts w:ascii="KFGQPC Uthmanic Script HAFS" w:cs="KFGQPC Uthmanic Script HAFS"/>
          <w:sz w:val="28"/>
          <w:szCs w:val="28"/>
          <w:rtl/>
          <w:lang w:bidi="fa-IR"/>
        </w:rPr>
        <w:t xml:space="preserve"> </w:t>
      </w:r>
      <w:r w:rsidR="00B06788" w:rsidRPr="0067048A">
        <w:rPr>
          <w:rFonts w:ascii="KFGQPC Uthmanic Script HAFS" w:cs="KFGQPC Uthmanic Script HAFS" w:hint="eastAsia"/>
          <w:sz w:val="28"/>
          <w:szCs w:val="28"/>
          <w:rtl/>
          <w:lang w:bidi="fa-IR"/>
        </w:rPr>
        <w:t>هُوَ</w:t>
      </w:r>
      <w:r w:rsidR="00B06788" w:rsidRPr="0067048A">
        <w:rPr>
          <w:rFonts w:ascii="KFGQPC Uthmanic Script HAFS" w:cs="KFGQPC Uthmanic Script HAFS"/>
          <w:sz w:val="28"/>
          <w:szCs w:val="28"/>
          <w:rtl/>
          <w:lang w:bidi="fa-IR"/>
        </w:rPr>
        <w:t xml:space="preserve"> </w:t>
      </w:r>
      <w:r w:rsidR="00B06788" w:rsidRPr="0067048A">
        <w:rPr>
          <w:rFonts w:ascii="KFGQPC Uthmanic Script HAFS" w:cs="KFGQPC Uthmanic Script HAFS" w:hint="eastAsia"/>
          <w:sz w:val="28"/>
          <w:szCs w:val="28"/>
          <w:rtl/>
          <w:lang w:bidi="fa-IR"/>
        </w:rPr>
        <w:t>يَق</w:t>
      </w:r>
      <w:r w:rsidR="00B06788" w:rsidRPr="0067048A">
        <w:rPr>
          <w:rFonts w:ascii="KFGQPC Uthmanic Script HAFS" w:cs="KFGQPC Uthmanic Script HAFS" w:hint="cs"/>
          <w:sz w:val="28"/>
          <w:szCs w:val="28"/>
          <w:rtl/>
          <w:lang w:bidi="fa-IR"/>
        </w:rPr>
        <w:t>ۡ</w:t>
      </w:r>
      <w:r w:rsidR="00B06788" w:rsidRPr="0067048A">
        <w:rPr>
          <w:rFonts w:ascii="KFGQPC Uthmanic Script HAFS" w:cs="KFGQPC Uthmanic Script HAFS" w:hint="eastAsia"/>
          <w:sz w:val="28"/>
          <w:szCs w:val="28"/>
          <w:rtl/>
          <w:lang w:bidi="fa-IR"/>
        </w:rPr>
        <w:t>بَلُ</w:t>
      </w:r>
      <w:r w:rsidR="00B06788" w:rsidRPr="0067048A">
        <w:rPr>
          <w:rFonts w:ascii="KFGQPC Uthmanic Script HAFS" w:cs="KFGQPC Uthmanic Script HAFS"/>
          <w:sz w:val="28"/>
          <w:szCs w:val="28"/>
          <w:rtl/>
          <w:lang w:bidi="fa-IR"/>
        </w:rPr>
        <w:t xml:space="preserve"> </w:t>
      </w:r>
      <w:r w:rsidR="00B06788" w:rsidRPr="0067048A">
        <w:rPr>
          <w:rFonts w:ascii="KFGQPC Uthmanic Script HAFS" w:cs="KFGQPC Uthmanic Script HAFS" w:hint="cs"/>
          <w:sz w:val="28"/>
          <w:szCs w:val="28"/>
          <w:rtl/>
          <w:lang w:bidi="fa-IR"/>
        </w:rPr>
        <w:t>ٱ</w:t>
      </w:r>
      <w:r w:rsidR="00B06788" w:rsidRPr="0067048A">
        <w:rPr>
          <w:rFonts w:ascii="KFGQPC Uthmanic Script HAFS" w:cs="KFGQPC Uthmanic Script HAFS" w:hint="eastAsia"/>
          <w:sz w:val="28"/>
          <w:szCs w:val="28"/>
          <w:rtl/>
          <w:lang w:bidi="fa-IR"/>
        </w:rPr>
        <w:t>لتَّو</w:t>
      </w:r>
      <w:r w:rsidR="00B06788" w:rsidRPr="0067048A">
        <w:rPr>
          <w:rFonts w:ascii="KFGQPC Uthmanic Script HAFS" w:cs="KFGQPC Uthmanic Script HAFS" w:hint="cs"/>
          <w:sz w:val="28"/>
          <w:szCs w:val="28"/>
          <w:rtl/>
          <w:lang w:bidi="fa-IR"/>
        </w:rPr>
        <w:t>ۡ</w:t>
      </w:r>
      <w:r w:rsidR="00B06788" w:rsidRPr="0067048A">
        <w:rPr>
          <w:rFonts w:ascii="KFGQPC Uthmanic Script HAFS" w:cs="KFGQPC Uthmanic Script HAFS" w:hint="eastAsia"/>
          <w:sz w:val="28"/>
          <w:szCs w:val="28"/>
          <w:rtl/>
          <w:lang w:bidi="fa-IR"/>
        </w:rPr>
        <w:t>بَةَ</w:t>
      </w:r>
      <w:r w:rsidR="00B06788" w:rsidRPr="0067048A">
        <w:rPr>
          <w:rFonts w:ascii="KFGQPC Uthmanic Script HAFS" w:cs="KFGQPC Uthmanic Script HAFS"/>
          <w:sz w:val="28"/>
          <w:szCs w:val="28"/>
          <w:rtl/>
          <w:lang w:bidi="fa-IR"/>
        </w:rPr>
        <w:t xml:space="preserve"> </w:t>
      </w:r>
      <w:r w:rsidR="00B06788" w:rsidRPr="0067048A">
        <w:rPr>
          <w:rFonts w:ascii="KFGQPC Uthmanic Script HAFS" w:cs="KFGQPC Uthmanic Script HAFS" w:hint="eastAsia"/>
          <w:sz w:val="28"/>
          <w:szCs w:val="28"/>
          <w:rtl/>
          <w:lang w:bidi="fa-IR"/>
        </w:rPr>
        <w:t>عَن</w:t>
      </w:r>
      <w:r w:rsidR="00B06788" w:rsidRPr="0067048A">
        <w:rPr>
          <w:rFonts w:ascii="KFGQPC Uthmanic Script HAFS" w:cs="KFGQPC Uthmanic Script HAFS" w:hint="cs"/>
          <w:sz w:val="28"/>
          <w:szCs w:val="28"/>
          <w:rtl/>
          <w:lang w:bidi="fa-IR"/>
        </w:rPr>
        <w:t>ۡ</w:t>
      </w:r>
      <w:r w:rsidR="00B06788" w:rsidRPr="0067048A">
        <w:rPr>
          <w:rFonts w:ascii="KFGQPC Uthmanic Script HAFS" w:cs="KFGQPC Uthmanic Script HAFS"/>
          <w:sz w:val="28"/>
          <w:szCs w:val="28"/>
          <w:rtl/>
          <w:lang w:bidi="fa-IR"/>
        </w:rPr>
        <w:t xml:space="preserve"> </w:t>
      </w:r>
      <w:r w:rsidR="00B06788" w:rsidRPr="0067048A">
        <w:rPr>
          <w:rFonts w:ascii="KFGQPC Uthmanic Script HAFS" w:cs="KFGQPC Uthmanic Script HAFS" w:hint="eastAsia"/>
          <w:sz w:val="28"/>
          <w:szCs w:val="28"/>
          <w:rtl/>
          <w:lang w:bidi="fa-IR"/>
        </w:rPr>
        <w:t>عِبَادِهِ</w:t>
      </w:r>
      <w:r w:rsidR="00B06788" w:rsidRPr="0067048A">
        <w:rPr>
          <w:rFonts w:ascii="KFGQPC Uthmanic Script HAFS" w:cs="KFGQPC Uthmanic Script HAFS" w:hint="cs"/>
          <w:sz w:val="28"/>
          <w:szCs w:val="28"/>
          <w:rtl/>
          <w:lang w:bidi="fa-IR"/>
        </w:rPr>
        <w:t>ۦ</w:t>
      </w:r>
      <w:r w:rsidR="00B06788" w:rsidRPr="0067048A">
        <w:rPr>
          <w:rFonts w:ascii="KFGQPC Uthmanic Script HAFS" w:cs="KFGQPC Uthmanic Script HAFS"/>
          <w:sz w:val="28"/>
          <w:szCs w:val="28"/>
          <w:rtl/>
          <w:lang w:bidi="fa-IR"/>
        </w:rPr>
        <w:t xml:space="preserve"> </w:t>
      </w:r>
      <w:r w:rsidR="00B06788" w:rsidRPr="0067048A">
        <w:rPr>
          <w:rFonts w:ascii="KFGQPC Uthmanic Script HAFS" w:cs="KFGQPC Uthmanic Script HAFS" w:hint="eastAsia"/>
          <w:sz w:val="28"/>
          <w:szCs w:val="28"/>
          <w:rtl/>
          <w:lang w:bidi="fa-IR"/>
        </w:rPr>
        <w:t>وَيَأ</w:t>
      </w:r>
      <w:r w:rsidR="00B06788" w:rsidRPr="0067048A">
        <w:rPr>
          <w:rFonts w:ascii="KFGQPC Uthmanic Script HAFS" w:cs="KFGQPC Uthmanic Script HAFS" w:hint="cs"/>
          <w:sz w:val="28"/>
          <w:szCs w:val="28"/>
          <w:rtl/>
          <w:lang w:bidi="fa-IR"/>
        </w:rPr>
        <w:t>ۡ</w:t>
      </w:r>
      <w:r w:rsidR="00B06788" w:rsidRPr="0067048A">
        <w:rPr>
          <w:rFonts w:ascii="KFGQPC Uthmanic Script HAFS" w:cs="KFGQPC Uthmanic Script HAFS" w:hint="eastAsia"/>
          <w:sz w:val="28"/>
          <w:szCs w:val="28"/>
          <w:rtl/>
          <w:lang w:bidi="fa-IR"/>
        </w:rPr>
        <w:t>خُذُ</w:t>
      </w:r>
      <w:r w:rsidR="00B06788" w:rsidRPr="0067048A">
        <w:rPr>
          <w:rFonts w:ascii="KFGQPC Uthmanic Script HAFS" w:cs="KFGQPC Uthmanic Script HAFS"/>
          <w:sz w:val="28"/>
          <w:szCs w:val="28"/>
          <w:rtl/>
          <w:lang w:bidi="fa-IR"/>
        </w:rPr>
        <w:t xml:space="preserve"> </w:t>
      </w:r>
      <w:r w:rsidR="00B06788" w:rsidRPr="0067048A">
        <w:rPr>
          <w:rFonts w:ascii="KFGQPC Uthmanic Script HAFS" w:cs="KFGQPC Uthmanic Script HAFS" w:hint="cs"/>
          <w:sz w:val="28"/>
          <w:szCs w:val="28"/>
          <w:rtl/>
          <w:lang w:bidi="fa-IR"/>
        </w:rPr>
        <w:t>ٱ</w:t>
      </w:r>
      <w:r w:rsidR="00B06788" w:rsidRPr="0067048A">
        <w:rPr>
          <w:rFonts w:ascii="KFGQPC Uthmanic Script HAFS" w:cs="KFGQPC Uthmanic Script HAFS" w:hint="eastAsia"/>
          <w:sz w:val="28"/>
          <w:szCs w:val="28"/>
          <w:rtl/>
          <w:lang w:bidi="fa-IR"/>
        </w:rPr>
        <w:t>لصَّدَقَ</w:t>
      </w:r>
      <w:r w:rsidR="00B06788" w:rsidRPr="0067048A">
        <w:rPr>
          <w:rFonts w:ascii="KFGQPC Uthmanic Script HAFS" w:cs="KFGQPC Uthmanic Script HAFS" w:hint="cs"/>
          <w:sz w:val="28"/>
          <w:szCs w:val="28"/>
          <w:rtl/>
          <w:lang w:bidi="fa-IR"/>
        </w:rPr>
        <w:t>ٰ</w:t>
      </w:r>
      <w:r w:rsidR="00B06788" w:rsidRPr="0067048A">
        <w:rPr>
          <w:rFonts w:ascii="KFGQPC Uthmanic Script HAFS" w:cs="KFGQPC Uthmanic Script HAFS" w:hint="eastAsia"/>
          <w:sz w:val="28"/>
          <w:szCs w:val="28"/>
          <w:rtl/>
          <w:lang w:bidi="fa-IR"/>
        </w:rPr>
        <w:t>تِ</w:t>
      </w:r>
      <w:r w:rsidR="00B06788" w:rsidRPr="0067048A">
        <w:rPr>
          <w:rFonts w:ascii="KFGQPC Uthmanic Script HAFS" w:cs="KFGQPC Uthmanic Script HAFS"/>
          <w:sz w:val="28"/>
          <w:szCs w:val="28"/>
          <w:rtl/>
          <w:lang w:bidi="fa-IR"/>
        </w:rPr>
        <w:t xml:space="preserve"> </w:t>
      </w:r>
      <w:r w:rsidR="00B06788" w:rsidRPr="0067048A">
        <w:rPr>
          <w:rFonts w:ascii="KFGQPC Uthmanic Script HAFS" w:cs="KFGQPC Uthmanic Script HAFS" w:hint="eastAsia"/>
          <w:sz w:val="28"/>
          <w:szCs w:val="28"/>
          <w:rtl/>
          <w:lang w:bidi="fa-IR"/>
        </w:rPr>
        <w:t>وَأَنَّ</w:t>
      </w:r>
      <w:r w:rsidR="00B06788" w:rsidRPr="0067048A">
        <w:rPr>
          <w:rFonts w:ascii="KFGQPC Uthmanic Script HAFS" w:cs="KFGQPC Uthmanic Script HAFS"/>
          <w:sz w:val="28"/>
          <w:szCs w:val="28"/>
          <w:rtl/>
          <w:lang w:bidi="fa-IR"/>
        </w:rPr>
        <w:t xml:space="preserve"> </w:t>
      </w:r>
      <w:r w:rsidR="00B06788" w:rsidRPr="0067048A">
        <w:rPr>
          <w:rFonts w:ascii="KFGQPC Uthmanic Script HAFS" w:cs="KFGQPC Uthmanic Script HAFS" w:hint="cs"/>
          <w:sz w:val="28"/>
          <w:szCs w:val="28"/>
          <w:rtl/>
          <w:lang w:bidi="fa-IR"/>
        </w:rPr>
        <w:t>ٱ</w:t>
      </w:r>
      <w:r w:rsidR="00B06788" w:rsidRPr="0067048A">
        <w:rPr>
          <w:rFonts w:ascii="KFGQPC Uthmanic Script HAFS" w:cs="KFGQPC Uthmanic Script HAFS" w:hint="eastAsia"/>
          <w:sz w:val="28"/>
          <w:szCs w:val="28"/>
          <w:rtl/>
          <w:lang w:bidi="fa-IR"/>
        </w:rPr>
        <w:t>للَّهَ</w:t>
      </w:r>
      <w:r w:rsidR="00B06788" w:rsidRPr="0067048A">
        <w:rPr>
          <w:rFonts w:ascii="KFGQPC Uthmanic Script HAFS" w:cs="KFGQPC Uthmanic Script HAFS"/>
          <w:sz w:val="28"/>
          <w:szCs w:val="28"/>
          <w:rtl/>
          <w:lang w:bidi="fa-IR"/>
        </w:rPr>
        <w:t xml:space="preserve"> </w:t>
      </w:r>
      <w:r w:rsidR="00B06788" w:rsidRPr="0067048A">
        <w:rPr>
          <w:rFonts w:ascii="KFGQPC Uthmanic Script HAFS" w:cs="KFGQPC Uthmanic Script HAFS" w:hint="eastAsia"/>
          <w:sz w:val="28"/>
          <w:szCs w:val="28"/>
          <w:rtl/>
          <w:lang w:bidi="fa-IR"/>
        </w:rPr>
        <w:t>هُوَ</w:t>
      </w:r>
      <w:r w:rsidR="00B06788" w:rsidRPr="0067048A">
        <w:rPr>
          <w:rFonts w:ascii="KFGQPC Uthmanic Script HAFS" w:cs="KFGQPC Uthmanic Script HAFS"/>
          <w:sz w:val="28"/>
          <w:szCs w:val="28"/>
          <w:rtl/>
          <w:lang w:bidi="fa-IR"/>
        </w:rPr>
        <w:t xml:space="preserve"> </w:t>
      </w:r>
      <w:r w:rsidR="00B06788" w:rsidRPr="0067048A">
        <w:rPr>
          <w:rFonts w:ascii="KFGQPC Uthmanic Script HAFS" w:cs="KFGQPC Uthmanic Script HAFS" w:hint="cs"/>
          <w:sz w:val="28"/>
          <w:szCs w:val="28"/>
          <w:rtl/>
          <w:lang w:bidi="fa-IR"/>
        </w:rPr>
        <w:t>ٱ</w:t>
      </w:r>
      <w:r w:rsidR="00B06788" w:rsidRPr="0067048A">
        <w:rPr>
          <w:rFonts w:ascii="KFGQPC Uthmanic Script HAFS" w:cs="KFGQPC Uthmanic Script HAFS" w:hint="eastAsia"/>
          <w:sz w:val="28"/>
          <w:szCs w:val="28"/>
          <w:rtl/>
          <w:lang w:bidi="fa-IR"/>
        </w:rPr>
        <w:t>لتَّوَّابُ</w:t>
      </w:r>
      <w:r w:rsidR="00B06788" w:rsidRPr="0067048A">
        <w:rPr>
          <w:rFonts w:ascii="KFGQPC Uthmanic Script HAFS" w:cs="KFGQPC Uthmanic Script HAFS"/>
          <w:sz w:val="28"/>
          <w:szCs w:val="28"/>
          <w:rtl/>
          <w:lang w:bidi="fa-IR"/>
        </w:rPr>
        <w:t xml:space="preserve"> </w:t>
      </w:r>
      <w:r w:rsidR="00B06788" w:rsidRPr="0067048A">
        <w:rPr>
          <w:rFonts w:ascii="KFGQPC Uthmanic Script HAFS" w:cs="KFGQPC Uthmanic Script HAFS" w:hint="cs"/>
          <w:sz w:val="28"/>
          <w:szCs w:val="28"/>
          <w:rtl/>
          <w:lang w:bidi="fa-IR"/>
        </w:rPr>
        <w:t>ٱ</w:t>
      </w:r>
      <w:r w:rsidR="00B06788" w:rsidRPr="0067048A">
        <w:rPr>
          <w:rFonts w:ascii="KFGQPC Uthmanic Script HAFS" w:cs="KFGQPC Uthmanic Script HAFS" w:hint="eastAsia"/>
          <w:sz w:val="28"/>
          <w:szCs w:val="28"/>
          <w:rtl/>
          <w:lang w:bidi="fa-IR"/>
        </w:rPr>
        <w:t>لرَّحِيمُ</w:t>
      </w:r>
      <w:r w:rsidR="00B06788" w:rsidRPr="0067048A">
        <w:rPr>
          <w:rFonts w:ascii="KFGQPC Uthmanic Script HAFS" w:cs="KFGQPC Uthmanic Script HAFS"/>
          <w:sz w:val="28"/>
          <w:szCs w:val="28"/>
          <w:rtl/>
          <w:lang w:bidi="fa-IR"/>
        </w:rPr>
        <w:t xml:space="preserve"> </w:t>
      </w:r>
      <w:r w:rsidR="00B06788" w:rsidRPr="0067048A">
        <w:rPr>
          <w:rFonts w:ascii="KFGQPC Uthmanic Script HAFS" w:cs="KFGQPC Uthmanic Script HAFS" w:hint="cs"/>
          <w:sz w:val="28"/>
          <w:szCs w:val="28"/>
          <w:rtl/>
          <w:lang w:bidi="fa-IR"/>
        </w:rPr>
        <w:t>١٠٤</w:t>
      </w:r>
      <w:r w:rsidR="00B06788" w:rsidRPr="0067048A">
        <w:rPr>
          <w:rFonts w:ascii="KFGQPC Uthmanic Script HAFS" w:cs="KFGQPC Uthmanic Script HAFS"/>
          <w:sz w:val="28"/>
          <w:szCs w:val="28"/>
          <w:rtl/>
          <w:lang w:bidi="fa-IR"/>
        </w:rPr>
        <w:t xml:space="preserve"> </w:t>
      </w:r>
      <w:r w:rsidR="00B06788" w:rsidRPr="0067048A">
        <w:rPr>
          <w:rFonts w:ascii="KFGQPC Uthmanic Script HAFS" w:cs="KFGQPC Uthmanic Script HAFS" w:hint="eastAsia"/>
          <w:sz w:val="28"/>
          <w:szCs w:val="28"/>
          <w:rtl/>
          <w:lang w:bidi="fa-IR"/>
        </w:rPr>
        <w:t>وَقُلِ</w:t>
      </w:r>
      <w:r w:rsidR="00B06788" w:rsidRPr="0067048A">
        <w:rPr>
          <w:rFonts w:ascii="KFGQPC Uthmanic Script HAFS" w:cs="KFGQPC Uthmanic Script HAFS"/>
          <w:sz w:val="28"/>
          <w:szCs w:val="28"/>
          <w:rtl/>
          <w:lang w:bidi="fa-IR"/>
        </w:rPr>
        <w:t xml:space="preserve"> </w:t>
      </w:r>
      <w:r w:rsidR="00B06788" w:rsidRPr="0067048A">
        <w:rPr>
          <w:rFonts w:ascii="KFGQPC Uthmanic Script HAFS" w:cs="KFGQPC Uthmanic Script HAFS" w:hint="cs"/>
          <w:sz w:val="28"/>
          <w:szCs w:val="28"/>
          <w:rtl/>
          <w:lang w:bidi="fa-IR"/>
        </w:rPr>
        <w:t>ٱ</w:t>
      </w:r>
      <w:r w:rsidR="00B06788" w:rsidRPr="0067048A">
        <w:rPr>
          <w:rFonts w:ascii="KFGQPC Uthmanic Script HAFS" w:cs="KFGQPC Uthmanic Script HAFS" w:hint="eastAsia"/>
          <w:sz w:val="28"/>
          <w:szCs w:val="28"/>
          <w:rtl/>
          <w:lang w:bidi="fa-IR"/>
        </w:rPr>
        <w:t>ع</w:t>
      </w:r>
      <w:r w:rsidR="00B06788" w:rsidRPr="0067048A">
        <w:rPr>
          <w:rFonts w:ascii="KFGQPC Uthmanic Script HAFS" w:cs="KFGQPC Uthmanic Script HAFS" w:hint="cs"/>
          <w:sz w:val="28"/>
          <w:szCs w:val="28"/>
          <w:rtl/>
          <w:lang w:bidi="fa-IR"/>
        </w:rPr>
        <w:t>ۡ</w:t>
      </w:r>
      <w:r w:rsidR="00B06788" w:rsidRPr="0067048A">
        <w:rPr>
          <w:rFonts w:ascii="KFGQPC Uthmanic Script HAFS" w:cs="KFGQPC Uthmanic Script HAFS" w:hint="eastAsia"/>
          <w:sz w:val="28"/>
          <w:szCs w:val="28"/>
          <w:rtl/>
          <w:lang w:bidi="fa-IR"/>
        </w:rPr>
        <w:t>مَلُواْ</w:t>
      </w:r>
      <w:r w:rsidR="00B06788" w:rsidRPr="0067048A">
        <w:rPr>
          <w:rFonts w:ascii="KFGQPC Uthmanic Script HAFS" w:cs="KFGQPC Uthmanic Script HAFS"/>
          <w:sz w:val="28"/>
          <w:szCs w:val="28"/>
          <w:rtl/>
          <w:lang w:bidi="fa-IR"/>
        </w:rPr>
        <w:t xml:space="preserve"> </w:t>
      </w:r>
      <w:r w:rsidR="00B06788" w:rsidRPr="0067048A">
        <w:rPr>
          <w:rFonts w:ascii="KFGQPC Uthmanic Script HAFS" w:cs="KFGQPC Uthmanic Script HAFS" w:hint="eastAsia"/>
          <w:sz w:val="28"/>
          <w:szCs w:val="28"/>
          <w:rtl/>
          <w:lang w:bidi="fa-IR"/>
        </w:rPr>
        <w:t>فَسَيَرَى</w:t>
      </w:r>
      <w:r w:rsidR="00B06788" w:rsidRPr="0067048A">
        <w:rPr>
          <w:rFonts w:ascii="KFGQPC Uthmanic Script HAFS" w:cs="KFGQPC Uthmanic Script HAFS"/>
          <w:sz w:val="28"/>
          <w:szCs w:val="28"/>
          <w:rtl/>
          <w:lang w:bidi="fa-IR"/>
        </w:rPr>
        <w:t xml:space="preserve"> </w:t>
      </w:r>
      <w:r w:rsidR="00B06788" w:rsidRPr="0067048A">
        <w:rPr>
          <w:rFonts w:ascii="KFGQPC Uthmanic Script HAFS" w:cs="KFGQPC Uthmanic Script HAFS" w:hint="cs"/>
          <w:sz w:val="28"/>
          <w:szCs w:val="28"/>
          <w:rtl/>
          <w:lang w:bidi="fa-IR"/>
        </w:rPr>
        <w:t>ٱ</w:t>
      </w:r>
      <w:r w:rsidR="00B06788" w:rsidRPr="0067048A">
        <w:rPr>
          <w:rFonts w:ascii="KFGQPC Uthmanic Script HAFS" w:cs="KFGQPC Uthmanic Script HAFS" w:hint="eastAsia"/>
          <w:sz w:val="28"/>
          <w:szCs w:val="28"/>
          <w:rtl/>
          <w:lang w:bidi="fa-IR"/>
        </w:rPr>
        <w:t>للَّهُ</w:t>
      </w:r>
      <w:r w:rsidR="00B06788" w:rsidRPr="0067048A">
        <w:rPr>
          <w:rFonts w:ascii="KFGQPC Uthmanic Script HAFS" w:cs="KFGQPC Uthmanic Script HAFS"/>
          <w:sz w:val="28"/>
          <w:szCs w:val="28"/>
          <w:rtl/>
          <w:lang w:bidi="fa-IR"/>
        </w:rPr>
        <w:t xml:space="preserve"> </w:t>
      </w:r>
      <w:r w:rsidR="00B06788" w:rsidRPr="0067048A">
        <w:rPr>
          <w:rFonts w:ascii="KFGQPC Uthmanic Script HAFS" w:cs="KFGQPC Uthmanic Script HAFS" w:hint="eastAsia"/>
          <w:sz w:val="28"/>
          <w:szCs w:val="28"/>
          <w:rtl/>
          <w:lang w:bidi="fa-IR"/>
        </w:rPr>
        <w:t>عَمَلَكُم</w:t>
      </w:r>
      <w:r w:rsidR="00B06788" w:rsidRPr="0067048A">
        <w:rPr>
          <w:rFonts w:ascii="KFGQPC Uthmanic Script HAFS" w:cs="KFGQPC Uthmanic Script HAFS" w:hint="cs"/>
          <w:sz w:val="28"/>
          <w:szCs w:val="28"/>
          <w:rtl/>
          <w:lang w:bidi="fa-IR"/>
        </w:rPr>
        <w:t>ۡ</w:t>
      </w:r>
      <w:r w:rsidR="00B06788" w:rsidRPr="0067048A">
        <w:rPr>
          <w:rFonts w:ascii="KFGQPC Uthmanic Script HAFS" w:cs="KFGQPC Uthmanic Script HAFS"/>
          <w:sz w:val="28"/>
          <w:szCs w:val="28"/>
          <w:rtl/>
          <w:lang w:bidi="fa-IR"/>
        </w:rPr>
        <w:t xml:space="preserve"> </w:t>
      </w:r>
      <w:r w:rsidR="00B06788" w:rsidRPr="0067048A">
        <w:rPr>
          <w:rFonts w:ascii="KFGQPC Uthmanic Script HAFS" w:cs="KFGQPC Uthmanic Script HAFS" w:hint="eastAsia"/>
          <w:sz w:val="28"/>
          <w:szCs w:val="28"/>
          <w:rtl/>
          <w:lang w:bidi="fa-IR"/>
        </w:rPr>
        <w:t>وَرَسُولُهُ</w:t>
      </w:r>
      <w:r w:rsidR="00B06788" w:rsidRPr="0067048A">
        <w:rPr>
          <w:rFonts w:ascii="KFGQPC Uthmanic Script HAFS" w:cs="KFGQPC Uthmanic Script HAFS" w:hint="cs"/>
          <w:sz w:val="28"/>
          <w:szCs w:val="28"/>
          <w:rtl/>
          <w:lang w:bidi="fa-IR"/>
        </w:rPr>
        <w:t>ۥ</w:t>
      </w:r>
      <w:r w:rsidR="00B06788" w:rsidRPr="0067048A">
        <w:rPr>
          <w:rFonts w:ascii="KFGQPC Uthmanic Script HAFS" w:cs="KFGQPC Uthmanic Script HAFS"/>
          <w:sz w:val="28"/>
          <w:szCs w:val="28"/>
          <w:rtl/>
          <w:lang w:bidi="fa-IR"/>
        </w:rPr>
        <w:t xml:space="preserve"> </w:t>
      </w:r>
      <w:r w:rsidR="00B06788" w:rsidRPr="0067048A">
        <w:rPr>
          <w:rFonts w:ascii="KFGQPC Uthmanic Script HAFS" w:cs="KFGQPC Uthmanic Script HAFS" w:hint="eastAsia"/>
          <w:sz w:val="28"/>
          <w:szCs w:val="28"/>
          <w:rtl/>
          <w:lang w:bidi="fa-IR"/>
        </w:rPr>
        <w:t>وَ</w:t>
      </w:r>
      <w:r w:rsidR="00B06788" w:rsidRPr="0067048A">
        <w:rPr>
          <w:rFonts w:ascii="KFGQPC Uthmanic Script HAFS" w:cs="KFGQPC Uthmanic Script HAFS" w:hint="cs"/>
          <w:sz w:val="28"/>
          <w:szCs w:val="28"/>
          <w:rtl/>
          <w:lang w:bidi="fa-IR"/>
        </w:rPr>
        <w:t>ٱ</w:t>
      </w:r>
      <w:r w:rsidR="00B06788" w:rsidRPr="0067048A">
        <w:rPr>
          <w:rFonts w:ascii="KFGQPC Uthmanic Script HAFS" w:cs="KFGQPC Uthmanic Script HAFS" w:hint="eastAsia"/>
          <w:sz w:val="28"/>
          <w:szCs w:val="28"/>
          <w:rtl/>
          <w:lang w:bidi="fa-IR"/>
        </w:rPr>
        <w:t>ل</w:t>
      </w:r>
      <w:r w:rsidR="00B06788" w:rsidRPr="0067048A">
        <w:rPr>
          <w:rFonts w:ascii="KFGQPC Uthmanic Script HAFS" w:cs="KFGQPC Uthmanic Script HAFS" w:hint="cs"/>
          <w:sz w:val="28"/>
          <w:szCs w:val="28"/>
          <w:rtl/>
          <w:lang w:bidi="fa-IR"/>
        </w:rPr>
        <w:t>ۡ</w:t>
      </w:r>
      <w:r w:rsidR="00B06788" w:rsidRPr="0067048A">
        <w:rPr>
          <w:rFonts w:ascii="KFGQPC Uthmanic Script HAFS" w:cs="KFGQPC Uthmanic Script HAFS" w:hint="eastAsia"/>
          <w:sz w:val="28"/>
          <w:szCs w:val="28"/>
          <w:rtl/>
          <w:lang w:bidi="fa-IR"/>
        </w:rPr>
        <w:t>مُؤ</w:t>
      </w:r>
      <w:r w:rsidR="00B06788" w:rsidRPr="0067048A">
        <w:rPr>
          <w:rFonts w:ascii="KFGQPC Uthmanic Script HAFS" w:cs="KFGQPC Uthmanic Script HAFS" w:hint="cs"/>
          <w:sz w:val="28"/>
          <w:szCs w:val="28"/>
          <w:rtl/>
          <w:lang w:bidi="fa-IR"/>
        </w:rPr>
        <w:t>ۡ</w:t>
      </w:r>
      <w:r w:rsidR="00B06788" w:rsidRPr="0067048A">
        <w:rPr>
          <w:rFonts w:ascii="KFGQPC Uthmanic Script HAFS" w:cs="KFGQPC Uthmanic Script HAFS" w:hint="eastAsia"/>
          <w:sz w:val="28"/>
          <w:szCs w:val="28"/>
          <w:rtl/>
          <w:lang w:bidi="fa-IR"/>
        </w:rPr>
        <w:t>مِنُونَ</w:t>
      </w:r>
      <w:r w:rsidR="00B06788" w:rsidRPr="0067048A">
        <w:rPr>
          <w:rFonts w:ascii="KFGQPC Uthmanic Script HAFS" w:cs="KFGQPC Uthmanic Script HAFS" w:hint="cs"/>
          <w:sz w:val="28"/>
          <w:szCs w:val="28"/>
          <w:rtl/>
          <w:lang w:bidi="fa-IR"/>
        </w:rPr>
        <w:t>ۖ</w:t>
      </w:r>
      <w:r w:rsidR="00B06788" w:rsidRPr="0067048A">
        <w:rPr>
          <w:rFonts w:ascii="KFGQPC Uthmanic Script HAFS" w:cs="KFGQPC Uthmanic Script HAFS"/>
          <w:sz w:val="28"/>
          <w:szCs w:val="28"/>
          <w:rtl/>
          <w:lang w:bidi="fa-IR"/>
        </w:rPr>
        <w:t xml:space="preserve"> </w:t>
      </w:r>
      <w:r w:rsidR="00B06788" w:rsidRPr="0067048A">
        <w:rPr>
          <w:rFonts w:ascii="KFGQPC Uthmanic Script HAFS" w:cs="KFGQPC Uthmanic Script HAFS" w:hint="eastAsia"/>
          <w:sz w:val="28"/>
          <w:szCs w:val="28"/>
          <w:rtl/>
          <w:lang w:bidi="fa-IR"/>
        </w:rPr>
        <w:t>وَسَتُرَدُّونَ</w:t>
      </w:r>
      <w:r w:rsidR="00B06788" w:rsidRPr="0067048A">
        <w:rPr>
          <w:rFonts w:ascii="KFGQPC Uthmanic Script HAFS" w:cs="KFGQPC Uthmanic Script HAFS"/>
          <w:sz w:val="28"/>
          <w:szCs w:val="28"/>
          <w:rtl/>
          <w:lang w:bidi="fa-IR"/>
        </w:rPr>
        <w:t xml:space="preserve"> </w:t>
      </w:r>
      <w:r w:rsidR="00B06788" w:rsidRPr="0067048A">
        <w:rPr>
          <w:rFonts w:ascii="KFGQPC Uthmanic Script HAFS" w:cs="KFGQPC Uthmanic Script HAFS" w:hint="eastAsia"/>
          <w:sz w:val="28"/>
          <w:szCs w:val="28"/>
          <w:rtl/>
          <w:lang w:bidi="fa-IR"/>
        </w:rPr>
        <w:t>إِلَى</w:t>
      </w:r>
      <w:r w:rsidR="00B06788" w:rsidRPr="0067048A">
        <w:rPr>
          <w:rFonts w:ascii="KFGQPC Uthmanic Script HAFS" w:cs="KFGQPC Uthmanic Script HAFS" w:hint="cs"/>
          <w:sz w:val="28"/>
          <w:szCs w:val="28"/>
          <w:rtl/>
          <w:lang w:bidi="fa-IR"/>
        </w:rPr>
        <w:t>ٰ</w:t>
      </w:r>
      <w:r w:rsidR="00B06788" w:rsidRPr="0067048A">
        <w:rPr>
          <w:rFonts w:ascii="KFGQPC Uthmanic Script HAFS" w:cs="KFGQPC Uthmanic Script HAFS"/>
          <w:sz w:val="28"/>
          <w:szCs w:val="28"/>
          <w:rtl/>
          <w:lang w:bidi="fa-IR"/>
        </w:rPr>
        <w:t xml:space="preserve"> </w:t>
      </w:r>
      <w:r w:rsidR="00B06788" w:rsidRPr="0067048A">
        <w:rPr>
          <w:rFonts w:ascii="KFGQPC Uthmanic Script HAFS" w:cs="KFGQPC Uthmanic Script HAFS" w:hint="eastAsia"/>
          <w:sz w:val="28"/>
          <w:szCs w:val="28"/>
          <w:rtl/>
          <w:lang w:bidi="fa-IR"/>
        </w:rPr>
        <w:t>عَ</w:t>
      </w:r>
      <w:r w:rsidR="00B06788" w:rsidRPr="0067048A">
        <w:rPr>
          <w:rFonts w:ascii="KFGQPC Uthmanic Script HAFS" w:cs="KFGQPC Uthmanic Script HAFS" w:hint="cs"/>
          <w:sz w:val="28"/>
          <w:szCs w:val="28"/>
          <w:rtl/>
          <w:lang w:bidi="fa-IR"/>
        </w:rPr>
        <w:t>ٰ</w:t>
      </w:r>
      <w:r w:rsidR="00B06788" w:rsidRPr="0067048A">
        <w:rPr>
          <w:rFonts w:ascii="KFGQPC Uthmanic Script HAFS" w:cs="KFGQPC Uthmanic Script HAFS" w:hint="eastAsia"/>
          <w:sz w:val="28"/>
          <w:szCs w:val="28"/>
          <w:rtl/>
          <w:lang w:bidi="fa-IR"/>
        </w:rPr>
        <w:t>لِمِ</w:t>
      </w:r>
      <w:r w:rsidR="00B06788" w:rsidRPr="0067048A">
        <w:rPr>
          <w:rFonts w:ascii="KFGQPC Uthmanic Script HAFS" w:cs="KFGQPC Uthmanic Script HAFS"/>
          <w:sz w:val="28"/>
          <w:szCs w:val="28"/>
          <w:rtl/>
          <w:lang w:bidi="fa-IR"/>
        </w:rPr>
        <w:t xml:space="preserve"> </w:t>
      </w:r>
      <w:r w:rsidR="00B06788" w:rsidRPr="0067048A">
        <w:rPr>
          <w:rFonts w:ascii="KFGQPC Uthmanic Script HAFS" w:cs="KFGQPC Uthmanic Script HAFS" w:hint="cs"/>
          <w:sz w:val="28"/>
          <w:szCs w:val="28"/>
          <w:rtl/>
          <w:lang w:bidi="fa-IR"/>
        </w:rPr>
        <w:t>ٱ</w:t>
      </w:r>
      <w:r w:rsidR="00B06788" w:rsidRPr="0067048A">
        <w:rPr>
          <w:rFonts w:ascii="KFGQPC Uthmanic Script HAFS" w:cs="KFGQPC Uthmanic Script HAFS" w:hint="eastAsia"/>
          <w:sz w:val="28"/>
          <w:szCs w:val="28"/>
          <w:rtl/>
          <w:lang w:bidi="fa-IR"/>
        </w:rPr>
        <w:t>ل</w:t>
      </w:r>
      <w:r w:rsidR="00B06788" w:rsidRPr="0067048A">
        <w:rPr>
          <w:rFonts w:ascii="KFGQPC Uthmanic Script HAFS" w:cs="KFGQPC Uthmanic Script HAFS" w:hint="cs"/>
          <w:sz w:val="28"/>
          <w:szCs w:val="28"/>
          <w:rtl/>
          <w:lang w:bidi="fa-IR"/>
        </w:rPr>
        <w:t>ۡ</w:t>
      </w:r>
      <w:r w:rsidR="00B06788" w:rsidRPr="0067048A">
        <w:rPr>
          <w:rFonts w:ascii="KFGQPC Uthmanic Script HAFS" w:cs="KFGQPC Uthmanic Script HAFS" w:hint="eastAsia"/>
          <w:sz w:val="28"/>
          <w:szCs w:val="28"/>
          <w:rtl/>
          <w:lang w:bidi="fa-IR"/>
        </w:rPr>
        <w:t>غَي</w:t>
      </w:r>
      <w:r w:rsidR="00B06788" w:rsidRPr="0067048A">
        <w:rPr>
          <w:rFonts w:ascii="KFGQPC Uthmanic Script HAFS" w:cs="KFGQPC Uthmanic Script HAFS" w:hint="cs"/>
          <w:sz w:val="28"/>
          <w:szCs w:val="28"/>
          <w:rtl/>
          <w:lang w:bidi="fa-IR"/>
        </w:rPr>
        <w:t>ۡ</w:t>
      </w:r>
      <w:r w:rsidR="00B06788" w:rsidRPr="0067048A">
        <w:rPr>
          <w:rFonts w:ascii="KFGQPC Uthmanic Script HAFS" w:cs="KFGQPC Uthmanic Script HAFS" w:hint="eastAsia"/>
          <w:sz w:val="28"/>
          <w:szCs w:val="28"/>
          <w:rtl/>
          <w:lang w:bidi="fa-IR"/>
        </w:rPr>
        <w:t>بِ</w:t>
      </w:r>
      <w:r w:rsidR="00B06788" w:rsidRPr="0067048A">
        <w:rPr>
          <w:rFonts w:ascii="KFGQPC Uthmanic Script HAFS" w:cs="KFGQPC Uthmanic Script HAFS"/>
          <w:sz w:val="28"/>
          <w:szCs w:val="28"/>
          <w:rtl/>
          <w:lang w:bidi="fa-IR"/>
        </w:rPr>
        <w:t xml:space="preserve"> </w:t>
      </w:r>
      <w:r w:rsidR="00B06788" w:rsidRPr="0067048A">
        <w:rPr>
          <w:rFonts w:ascii="KFGQPC Uthmanic Script HAFS" w:cs="KFGQPC Uthmanic Script HAFS" w:hint="eastAsia"/>
          <w:sz w:val="28"/>
          <w:szCs w:val="28"/>
          <w:rtl/>
          <w:lang w:bidi="fa-IR"/>
        </w:rPr>
        <w:t>وَ</w:t>
      </w:r>
      <w:r w:rsidR="00B06788" w:rsidRPr="0067048A">
        <w:rPr>
          <w:rFonts w:ascii="KFGQPC Uthmanic Script HAFS" w:cs="KFGQPC Uthmanic Script HAFS" w:hint="cs"/>
          <w:sz w:val="28"/>
          <w:szCs w:val="28"/>
          <w:rtl/>
          <w:lang w:bidi="fa-IR"/>
        </w:rPr>
        <w:t>ٱ</w:t>
      </w:r>
      <w:r w:rsidR="00B06788" w:rsidRPr="0067048A">
        <w:rPr>
          <w:rFonts w:ascii="KFGQPC Uthmanic Script HAFS" w:cs="KFGQPC Uthmanic Script HAFS" w:hint="eastAsia"/>
          <w:sz w:val="28"/>
          <w:szCs w:val="28"/>
          <w:rtl/>
          <w:lang w:bidi="fa-IR"/>
        </w:rPr>
        <w:t>لشَّهَ</w:t>
      </w:r>
      <w:r w:rsidR="00B06788" w:rsidRPr="0067048A">
        <w:rPr>
          <w:rFonts w:ascii="KFGQPC Uthmanic Script HAFS" w:cs="KFGQPC Uthmanic Script HAFS" w:hint="cs"/>
          <w:sz w:val="28"/>
          <w:szCs w:val="28"/>
          <w:rtl/>
          <w:lang w:bidi="fa-IR"/>
        </w:rPr>
        <w:t>ٰ</w:t>
      </w:r>
      <w:r w:rsidR="00B06788" w:rsidRPr="0067048A">
        <w:rPr>
          <w:rFonts w:ascii="KFGQPC Uthmanic Script HAFS" w:cs="KFGQPC Uthmanic Script HAFS" w:hint="eastAsia"/>
          <w:sz w:val="28"/>
          <w:szCs w:val="28"/>
          <w:rtl/>
          <w:lang w:bidi="fa-IR"/>
        </w:rPr>
        <w:t>دَةِ</w:t>
      </w:r>
      <w:r w:rsidR="00B06788" w:rsidRPr="0067048A">
        <w:rPr>
          <w:rFonts w:ascii="KFGQPC Uthmanic Script HAFS" w:cs="KFGQPC Uthmanic Script HAFS"/>
          <w:sz w:val="28"/>
          <w:szCs w:val="28"/>
          <w:rtl/>
          <w:lang w:bidi="fa-IR"/>
        </w:rPr>
        <w:t xml:space="preserve"> </w:t>
      </w:r>
      <w:r w:rsidR="00B06788" w:rsidRPr="0067048A">
        <w:rPr>
          <w:rFonts w:ascii="KFGQPC Uthmanic Script HAFS" w:cs="KFGQPC Uthmanic Script HAFS" w:hint="eastAsia"/>
          <w:sz w:val="28"/>
          <w:szCs w:val="28"/>
          <w:rtl/>
          <w:lang w:bidi="fa-IR"/>
        </w:rPr>
        <w:t>فَيُنَبِّئُكُم</w:t>
      </w:r>
      <w:r w:rsidR="00B06788" w:rsidRPr="0067048A">
        <w:rPr>
          <w:rFonts w:ascii="KFGQPC Uthmanic Script HAFS" w:cs="KFGQPC Uthmanic Script HAFS"/>
          <w:sz w:val="28"/>
          <w:szCs w:val="28"/>
          <w:rtl/>
          <w:lang w:bidi="fa-IR"/>
        </w:rPr>
        <w:t xml:space="preserve"> </w:t>
      </w:r>
      <w:r w:rsidR="00B06788" w:rsidRPr="0067048A">
        <w:rPr>
          <w:rFonts w:ascii="KFGQPC Uthmanic Script HAFS" w:cs="KFGQPC Uthmanic Script HAFS" w:hint="eastAsia"/>
          <w:sz w:val="28"/>
          <w:szCs w:val="28"/>
          <w:rtl/>
          <w:lang w:bidi="fa-IR"/>
        </w:rPr>
        <w:t>بِمَا</w:t>
      </w:r>
      <w:r w:rsidR="00B06788" w:rsidRPr="0067048A">
        <w:rPr>
          <w:rFonts w:ascii="KFGQPC Uthmanic Script HAFS" w:cs="KFGQPC Uthmanic Script HAFS"/>
          <w:sz w:val="28"/>
          <w:szCs w:val="28"/>
          <w:rtl/>
          <w:lang w:bidi="fa-IR"/>
        </w:rPr>
        <w:t xml:space="preserve"> </w:t>
      </w:r>
      <w:r w:rsidR="00B06788" w:rsidRPr="0067048A">
        <w:rPr>
          <w:rFonts w:ascii="KFGQPC Uthmanic Script HAFS" w:cs="KFGQPC Uthmanic Script HAFS" w:hint="eastAsia"/>
          <w:sz w:val="28"/>
          <w:szCs w:val="28"/>
          <w:rtl/>
          <w:lang w:bidi="fa-IR"/>
        </w:rPr>
        <w:t>كُنتُم</w:t>
      </w:r>
      <w:r w:rsidR="00B06788" w:rsidRPr="0067048A">
        <w:rPr>
          <w:rFonts w:ascii="KFGQPC Uthmanic Script HAFS" w:cs="KFGQPC Uthmanic Script HAFS" w:hint="cs"/>
          <w:sz w:val="28"/>
          <w:szCs w:val="28"/>
          <w:rtl/>
          <w:lang w:bidi="fa-IR"/>
        </w:rPr>
        <w:t>ۡ</w:t>
      </w:r>
      <w:r w:rsidR="00B06788" w:rsidRPr="0067048A">
        <w:rPr>
          <w:rFonts w:ascii="KFGQPC Uthmanic Script HAFS" w:cs="KFGQPC Uthmanic Script HAFS"/>
          <w:sz w:val="28"/>
          <w:szCs w:val="28"/>
          <w:rtl/>
          <w:lang w:bidi="fa-IR"/>
        </w:rPr>
        <w:t xml:space="preserve"> </w:t>
      </w:r>
      <w:r w:rsidR="00B06788" w:rsidRPr="0067048A">
        <w:rPr>
          <w:rFonts w:ascii="KFGQPC Uthmanic Script HAFS" w:cs="KFGQPC Uthmanic Script HAFS" w:hint="eastAsia"/>
          <w:sz w:val="28"/>
          <w:szCs w:val="28"/>
          <w:rtl/>
          <w:lang w:bidi="fa-IR"/>
        </w:rPr>
        <w:t>تَع</w:t>
      </w:r>
      <w:r w:rsidR="00B06788" w:rsidRPr="0067048A">
        <w:rPr>
          <w:rFonts w:ascii="KFGQPC Uthmanic Script HAFS" w:cs="KFGQPC Uthmanic Script HAFS" w:hint="cs"/>
          <w:sz w:val="28"/>
          <w:szCs w:val="28"/>
          <w:rtl/>
          <w:lang w:bidi="fa-IR"/>
        </w:rPr>
        <w:t>ۡ</w:t>
      </w:r>
      <w:r w:rsidR="00B06788" w:rsidRPr="0067048A">
        <w:rPr>
          <w:rFonts w:ascii="KFGQPC Uthmanic Script HAFS" w:cs="KFGQPC Uthmanic Script HAFS" w:hint="eastAsia"/>
          <w:sz w:val="28"/>
          <w:szCs w:val="28"/>
          <w:rtl/>
          <w:lang w:bidi="fa-IR"/>
        </w:rPr>
        <w:t>مَلُونَ</w:t>
      </w:r>
      <w:r w:rsidR="00B06788" w:rsidRPr="0067048A">
        <w:rPr>
          <w:rFonts w:ascii="KFGQPC Uthmanic Script HAFS" w:cs="KFGQPC Uthmanic Script HAFS"/>
          <w:sz w:val="28"/>
          <w:szCs w:val="28"/>
          <w:rtl/>
          <w:lang w:bidi="fa-IR"/>
        </w:rPr>
        <w:t xml:space="preserve"> </w:t>
      </w:r>
      <w:r w:rsidR="00B06788" w:rsidRPr="0067048A">
        <w:rPr>
          <w:rFonts w:ascii="KFGQPC Uthmanic Script HAFS" w:cs="KFGQPC Uthmanic Script HAFS" w:hint="cs"/>
          <w:sz w:val="28"/>
          <w:szCs w:val="28"/>
          <w:rtl/>
          <w:lang w:bidi="fa-IR"/>
        </w:rPr>
        <w:t>١٠٥</w:t>
      </w:r>
      <w:r w:rsidR="00B06788" w:rsidRPr="00995B26">
        <w:rPr>
          <w:rFonts w:ascii="Abo-thar" w:hAnsi="Abo-thar" w:cs="Traditional Arabic" w:hint="cs"/>
          <w:sz w:val="28"/>
          <w:rtl/>
        </w:rPr>
        <w:t>﴾</w:t>
      </w:r>
      <w:r w:rsidR="005C664D" w:rsidRPr="00995B26">
        <w:rPr>
          <w:rFonts w:ascii="Abo-thar" w:hAnsi="Abo-thar"/>
          <w:b/>
          <w:bCs/>
          <w:sz w:val="28"/>
          <w:rtl/>
        </w:rPr>
        <w:t xml:space="preserve"> </w:t>
      </w:r>
      <w:r w:rsidR="005C664D" w:rsidRPr="003108CB">
        <w:rPr>
          <w:rStyle w:val="Char2"/>
          <w:rFonts w:hint="cs"/>
          <w:rtl/>
        </w:rPr>
        <w:t>[التوبة</w:t>
      </w:r>
      <w:r w:rsidR="00B06788" w:rsidRPr="003108CB">
        <w:rPr>
          <w:rStyle w:val="Char2"/>
          <w:rFonts w:hint="cs"/>
          <w:rtl/>
        </w:rPr>
        <w:t xml:space="preserve">: </w:t>
      </w:r>
      <w:r w:rsidR="005C664D" w:rsidRPr="003108CB">
        <w:rPr>
          <w:rStyle w:val="Char2"/>
          <w:rFonts w:hint="cs"/>
          <w:rtl/>
        </w:rPr>
        <w:t>103</w:t>
      </w:r>
      <w:r w:rsidR="00217AB4" w:rsidRPr="003108CB">
        <w:rPr>
          <w:rStyle w:val="Char2"/>
          <w:rFonts w:hint="cs"/>
          <w:rtl/>
        </w:rPr>
        <w:t>-</w:t>
      </w:r>
      <w:r w:rsidR="005C664D" w:rsidRPr="003108CB">
        <w:rPr>
          <w:rStyle w:val="Char2"/>
          <w:rFonts w:hint="cs"/>
          <w:rtl/>
        </w:rPr>
        <w:t>105]</w:t>
      </w:r>
      <w:r w:rsidR="00217AB4" w:rsidRPr="00891167">
        <w:rPr>
          <w:rFonts w:ascii="Abo-thar" w:hAnsi="Abo-thar" w:cs="KFGQPC Uthman Taha Naskh" w:hint="cs"/>
          <w:b/>
          <w:bCs/>
          <w:sz w:val="28"/>
          <w:rtl/>
        </w:rPr>
        <w:t>.</w:t>
      </w:r>
      <w:r w:rsidR="005C664D" w:rsidRPr="00891167">
        <w:rPr>
          <w:rFonts w:ascii="Abo-thar" w:hAnsi="Abo-thar" w:cs="KFGQPC Uthman Taha Naskh"/>
          <w:b/>
          <w:bCs/>
          <w:sz w:val="28"/>
          <w:rtl/>
        </w:rPr>
        <w:t xml:space="preserve"> ولَمْ أُوجِبْ ذَلِكَ عَلَيْهِمْ فِي كُلِّ عَامٍ ولَا أُوجِبُ عَلَيْهِمْ إِلَّا الزَّكَاةَ الَّتِي فَرَضَهَا اللهُ عَلَيْهِمْ وإِنَّمَا أَوْجَبْتُ عَلَيْهِمُ الخُمُسَ فِي سَنَتِي هَذِهِ فِي الذَّهَبِ والْفِضَّةِ الَّتِي قَدْ حَالَ عَلَيْهَا الحَوْلُ ولَمْ أُوجِبْ ذَلِكَ عَلَيْهِمْ فِي مَتَاعٍ ولَا آنِيَةٍ ولَا دَوَابَّ ولَا خَدَمٍ ولَا رِبْحٍ رَبِحَهُ فِي تِجَارَةٍ ولَا ضَيْعَةٍ إِلَّا ضَيْعَةً سَأُفَسِّرُ لَكَ أَمْرَهَا تَخْفِيفاً مِنِّي عَنْ مَوَالِيَّ ومَنّاً مِنِّي عَلَيْهِمْ لِمَا يَغْتَالُ السُّلْطَانُ مِنْ أَمْوَالِهِمْ ولِمَا يَنُوبُهُمْ فِي ذَاتِهِمْ فَأَمَّا الْغَنَائِمُ والْفَوَائِدُ فَهِيَ وَاجِبَةٌ عَلَيْهِمْ فِي كُلِّ عَامٍ قَالَ اللهُ تَعَالَى</w:t>
      </w:r>
      <w:r w:rsidR="00217AB4" w:rsidRPr="00891167">
        <w:rPr>
          <w:rFonts w:ascii="Abo-thar" w:hAnsi="Abo-thar" w:cs="KFGQPC Uthman Taha Naskh" w:hint="cs"/>
          <w:b/>
          <w:bCs/>
          <w:sz w:val="28"/>
          <w:rtl/>
        </w:rPr>
        <w:t>:</w:t>
      </w:r>
      <w:r w:rsidR="005C664D" w:rsidRPr="00995B26">
        <w:rPr>
          <w:rFonts w:ascii="Abo-thar" w:hAnsi="Abo-thar" w:hint="cs"/>
          <w:b/>
          <w:bCs/>
          <w:sz w:val="28"/>
          <w:rtl/>
        </w:rPr>
        <w:t xml:space="preserve"> </w:t>
      </w:r>
      <w:r w:rsidR="00B06788" w:rsidRPr="00995B26">
        <w:rPr>
          <w:rFonts w:ascii="Abo-thar" w:hAnsi="Abo-thar" w:cs="Traditional Arabic" w:hint="cs"/>
          <w:sz w:val="28"/>
          <w:rtl/>
        </w:rPr>
        <w:t>﴿</w:t>
      </w:r>
      <w:r w:rsidR="00B06788" w:rsidRPr="0067048A">
        <w:rPr>
          <w:rFonts w:ascii="KFGQPC Uthmanic Script HAFS" w:cs="KFGQPC Uthmanic Script HAFS" w:hint="eastAsia"/>
          <w:sz w:val="28"/>
          <w:szCs w:val="28"/>
          <w:rtl/>
        </w:rPr>
        <w:t>وَ</w:t>
      </w:r>
      <w:r w:rsidR="00B06788" w:rsidRPr="0067048A">
        <w:rPr>
          <w:rFonts w:ascii="KFGQPC Uthmanic Script HAFS" w:cs="KFGQPC Uthmanic Script HAFS" w:hint="cs"/>
          <w:sz w:val="28"/>
          <w:szCs w:val="28"/>
          <w:rtl/>
        </w:rPr>
        <w:t>ٱ</w:t>
      </w:r>
      <w:r w:rsidR="00B06788" w:rsidRPr="0067048A">
        <w:rPr>
          <w:rFonts w:ascii="KFGQPC Uthmanic Script HAFS" w:cs="KFGQPC Uthmanic Script HAFS" w:hint="eastAsia"/>
          <w:sz w:val="28"/>
          <w:szCs w:val="28"/>
          <w:rtl/>
        </w:rPr>
        <w:t>ع</w:t>
      </w:r>
      <w:r w:rsidR="00B06788" w:rsidRPr="0067048A">
        <w:rPr>
          <w:rFonts w:ascii="KFGQPC Uthmanic Script HAFS" w:cs="KFGQPC Uthmanic Script HAFS" w:hint="cs"/>
          <w:sz w:val="28"/>
          <w:szCs w:val="28"/>
          <w:rtl/>
        </w:rPr>
        <w:t>ۡ</w:t>
      </w:r>
      <w:r w:rsidR="00B06788" w:rsidRPr="0067048A">
        <w:rPr>
          <w:rFonts w:ascii="KFGQPC Uthmanic Script HAFS" w:cs="KFGQPC Uthmanic Script HAFS" w:hint="eastAsia"/>
          <w:sz w:val="28"/>
          <w:szCs w:val="28"/>
          <w:rtl/>
        </w:rPr>
        <w:t>لَمُو</w:t>
      </w:r>
      <w:r w:rsidR="00B06788" w:rsidRPr="0067048A">
        <w:rPr>
          <w:rFonts w:ascii="KFGQPC Uthmanic Script HAFS" w:cs="KFGQPC Uthmanic Script HAFS" w:hint="cs"/>
          <w:sz w:val="28"/>
          <w:szCs w:val="28"/>
          <w:rtl/>
        </w:rPr>
        <w:t>ٓ</w:t>
      </w:r>
      <w:r w:rsidR="00B06788" w:rsidRPr="0067048A">
        <w:rPr>
          <w:rFonts w:ascii="KFGQPC Uthmanic Script HAFS" w:cs="KFGQPC Uthmanic Script HAFS" w:hint="eastAsia"/>
          <w:sz w:val="28"/>
          <w:szCs w:val="28"/>
          <w:rtl/>
        </w:rPr>
        <w:t>اْ</w:t>
      </w:r>
      <w:r w:rsidR="00B06788" w:rsidRPr="0067048A">
        <w:rPr>
          <w:rFonts w:ascii="KFGQPC Uthmanic Script HAFS" w:cs="KFGQPC Uthmanic Script HAFS"/>
          <w:sz w:val="28"/>
          <w:szCs w:val="28"/>
          <w:rtl/>
        </w:rPr>
        <w:t xml:space="preserve"> </w:t>
      </w:r>
      <w:r w:rsidR="00B06788" w:rsidRPr="0067048A">
        <w:rPr>
          <w:rFonts w:ascii="KFGQPC Uthmanic Script HAFS" w:cs="KFGQPC Uthmanic Script HAFS" w:hint="eastAsia"/>
          <w:sz w:val="28"/>
          <w:szCs w:val="28"/>
          <w:rtl/>
        </w:rPr>
        <w:t>أَنَّمَا</w:t>
      </w:r>
      <w:r w:rsidR="00B06788" w:rsidRPr="0067048A">
        <w:rPr>
          <w:rFonts w:ascii="KFGQPC Uthmanic Script HAFS" w:cs="KFGQPC Uthmanic Script HAFS"/>
          <w:sz w:val="28"/>
          <w:szCs w:val="28"/>
          <w:rtl/>
        </w:rPr>
        <w:t xml:space="preserve"> </w:t>
      </w:r>
      <w:r w:rsidR="00B06788" w:rsidRPr="0067048A">
        <w:rPr>
          <w:rFonts w:ascii="KFGQPC Uthmanic Script HAFS" w:cs="KFGQPC Uthmanic Script HAFS" w:hint="eastAsia"/>
          <w:sz w:val="28"/>
          <w:szCs w:val="28"/>
          <w:rtl/>
        </w:rPr>
        <w:t>غَنِم</w:t>
      </w:r>
      <w:r w:rsidR="00B06788" w:rsidRPr="0067048A">
        <w:rPr>
          <w:rFonts w:ascii="KFGQPC Uthmanic Script HAFS" w:cs="KFGQPC Uthmanic Script HAFS" w:hint="cs"/>
          <w:sz w:val="28"/>
          <w:szCs w:val="28"/>
          <w:rtl/>
        </w:rPr>
        <w:t>ۡ</w:t>
      </w:r>
      <w:r w:rsidR="00B06788" w:rsidRPr="0067048A">
        <w:rPr>
          <w:rFonts w:ascii="KFGQPC Uthmanic Script HAFS" w:cs="KFGQPC Uthmanic Script HAFS" w:hint="eastAsia"/>
          <w:sz w:val="28"/>
          <w:szCs w:val="28"/>
          <w:rtl/>
        </w:rPr>
        <w:t>تُم</w:t>
      </w:r>
      <w:r w:rsidR="00B06788" w:rsidRPr="0067048A">
        <w:rPr>
          <w:rFonts w:ascii="KFGQPC Uthmanic Script HAFS" w:cs="KFGQPC Uthmanic Script HAFS"/>
          <w:sz w:val="28"/>
          <w:szCs w:val="28"/>
          <w:rtl/>
        </w:rPr>
        <w:t xml:space="preserve"> </w:t>
      </w:r>
      <w:r w:rsidR="00B06788" w:rsidRPr="0067048A">
        <w:rPr>
          <w:rFonts w:ascii="KFGQPC Uthmanic Script HAFS" w:cs="KFGQPC Uthmanic Script HAFS" w:hint="eastAsia"/>
          <w:sz w:val="28"/>
          <w:szCs w:val="28"/>
          <w:rtl/>
        </w:rPr>
        <w:t>مِّن</w:t>
      </w:r>
      <w:r w:rsidR="00B06788" w:rsidRPr="0067048A">
        <w:rPr>
          <w:rFonts w:ascii="KFGQPC Uthmanic Script HAFS" w:cs="KFGQPC Uthmanic Script HAFS"/>
          <w:sz w:val="28"/>
          <w:szCs w:val="28"/>
          <w:rtl/>
        </w:rPr>
        <w:t xml:space="preserve"> </w:t>
      </w:r>
      <w:r w:rsidR="00B06788" w:rsidRPr="0067048A">
        <w:rPr>
          <w:rFonts w:ascii="KFGQPC Uthmanic Script HAFS" w:cs="KFGQPC Uthmanic Script HAFS" w:hint="eastAsia"/>
          <w:sz w:val="28"/>
          <w:szCs w:val="28"/>
          <w:rtl/>
        </w:rPr>
        <w:t>شَي</w:t>
      </w:r>
      <w:r w:rsidR="00B06788" w:rsidRPr="0067048A">
        <w:rPr>
          <w:rFonts w:ascii="KFGQPC Uthmanic Script HAFS" w:cs="KFGQPC Uthmanic Script HAFS" w:hint="cs"/>
          <w:sz w:val="28"/>
          <w:szCs w:val="28"/>
          <w:rtl/>
        </w:rPr>
        <w:t>ۡ</w:t>
      </w:r>
      <w:r w:rsidR="00B06788" w:rsidRPr="0067048A">
        <w:rPr>
          <w:rFonts w:ascii="KFGQPC Uthmanic Script HAFS" w:cs="KFGQPC Uthmanic Script HAFS" w:hint="eastAsia"/>
          <w:sz w:val="28"/>
          <w:szCs w:val="28"/>
          <w:rtl/>
        </w:rPr>
        <w:t>ء</w:t>
      </w:r>
      <w:r w:rsidR="00B06788" w:rsidRPr="0067048A">
        <w:rPr>
          <w:rFonts w:ascii="KFGQPC Uthmanic Script HAFS" w:cs="KFGQPC Uthmanic Script HAFS" w:hint="cs"/>
          <w:sz w:val="28"/>
          <w:szCs w:val="28"/>
          <w:rtl/>
        </w:rPr>
        <w:t>ٖ</w:t>
      </w:r>
      <w:r w:rsidR="00B06788" w:rsidRPr="0067048A">
        <w:rPr>
          <w:rFonts w:ascii="KFGQPC Uthmanic Script HAFS" w:cs="KFGQPC Uthmanic Script HAFS"/>
          <w:sz w:val="28"/>
          <w:szCs w:val="28"/>
          <w:rtl/>
        </w:rPr>
        <w:t xml:space="preserve"> </w:t>
      </w:r>
      <w:r w:rsidR="00B06788" w:rsidRPr="0067048A">
        <w:rPr>
          <w:rFonts w:ascii="KFGQPC Uthmanic Script HAFS" w:cs="KFGQPC Uthmanic Script HAFS" w:hint="eastAsia"/>
          <w:sz w:val="28"/>
          <w:szCs w:val="28"/>
          <w:rtl/>
        </w:rPr>
        <w:t>فَأَنَّ</w:t>
      </w:r>
      <w:r w:rsidR="00B06788" w:rsidRPr="0067048A">
        <w:rPr>
          <w:rFonts w:ascii="KFGQPC Uthmanic Script HAFS" w:cs="KFGQPC Uthmanic Script HAFS"/>
          <w:sz w:val="28"/>
          <w:szCs w:val="28"/>
          <w:rtl/>
        </w:rPr>
        <w:t xml:space="preserve"> </w:t>
      </w:r>
      <w:r w:rsidR="00B06788" w:rsidRPr="0067048A">
        <w:rPr>
          <w:rFonts w:ascii="KFGQPC Uthmanic Script HAFS" w:cs="KFGQPC Uthmanic Script HAFS" w:hint="eastAsia"/>
          <w:sz w:val="28"/>
          <w:szCs w:val="28"/>
          <w:rtl/>
        </w:rPr>
        <w:t>لِلَّهِ</w:t>
      </w:r>
      <w:r w:rsidR="00B06788" w:rsidRPr="0067048A">
        <w:rPr>
          <w:rFonts w:ascii="KFGQPC Uthmanic Script HAFS" w:cs="KFGQPC Uthmanic Script HAFS"/>
          <w:sz w:val="28"/>
          <w:szCs w:val="28"/>
          <w:rtl/>
        </w:rPr>
        <w:t xml:space="preserve"> </w:t>
      </w:r>
      <w:r w:rsidR="00B06788" w:rsidRPr="0067048A">
        <w:rPr>
          <w:rFonts w:ascii="KFGQPC Uthmanic Script HAFS" w:cs="KFGQPC Uthmanic Script HAFS" w:hint="eastAsia"/>
          <w:sz w:val="28"/>
          <w:szCs w:val="28"/>
          <w:rtl/>
        </w:rPr>
        <w:t>خُمُسَهُ</w:t>
      </w:r>
      <w:r w:rsidR="00B06788" w:rsidRPr="0067048A">
        <w:rPr>
          <w:rFonts w:ascii="KFGQPC Uthmanic Script HAFS" w:cs="KFGQPC Uthmanic Script HAFS" w:hint="cs"/>
          <w:sz w:val="28"/>
          <w:szCs w:val="28"/>
          <w:rtl/>
        </w:rPr>
        <w:t>ۥ</w:t>
      </w:r>
      <w:r w:rsidR="00B06788" w:rsidRPr="0067048A">
        <w:rPr>
          <w:rFonts w:ascii="KFGQPC Uthmanic Script HAFS" w:cs="KFGQPC Uthmanic Script HAFS"/>
          <w:sz w:val="28"/>
          <w:szCs w:val="28"/>
          <w:rtl/>
        </w:rPr>
        <w:t xml:space="preserve"> </w:t>
      </w:r>
      <w:r w:rsidR="00B06788" w:rsidRPr="0067048A">
        <w:rPr>
          <w:rFonts w:ascii="KFGQPC Uthmanic Script HAFS" w:cs="KFGQPC Uthmanic Script HAFS" w:hint="eastAsia"/>
          <w:sz w:val="28"/>
          <w:szCs w:val="28"/>
          <w:rtl/>
        </w:rPr>
        <w:t>وَلِلرَّسُولِ</w:t>
      </w:r>
      <w:r w:rsidR="00B06788" w:rsidRPr="0067048A">
        <w:rPr>
          <w:rFonts w:ascii="KFGQPC Uthmanic Script HAFS" w:cs="KFGQPC Uthmanic Script HAFS"/>
          <w:sz w:val="28"/>
          <w:szCs w:val="28"/>
          <w:rtl/>
        </w:rPr>
        <w:t xml:space="preserve"> </w:t>
      </w:r>
      <w:r w:rsidR="00B06788" w:rsidRPr="0067048A">
        <w:rPr>
          <w:rFonts w:ascii="KFGQPC Uthmanic Script HAFS" w:cs="KFGQPC Uthmanic Script HAFS" w:hint="eastAsia"/>
          <w:sz w:val="28"/>
          <w:szCs w:val="28"/>
          <w:rtl/>
        </w:rPr>
        <w:t>وَلِذِي</w:t>
      </w:r>
      <w:r w:rsidR="00B06788" w:rsidRPr="0067048A">
        <w:rPr>
          <w:rFonts w:ascii="KFGQPC Uthmanic Script HAFS" w:cs="KFGQPC Uthmanic Script HAFS"/>
          <w:sz w:val="28"/>
          <w:szCs w:val="28"/>
          <w:rtl/>
        </w:rPr>
        <w:t xml:space="preserve"> </w:t>
      </w:r>
      <w:r w:rsidR="00B06788" w:rsidRPr="0067048A">
        <w:rPr>
          <w:rFonts w:ascii="KFGQPC Uthmanic Script HAFS" w:cs="KFGQPC Uthmanic Script HAFS" w:hint="cs"/>
          <w:sz w:val="28"/>
          <w:szCs w:val="28"/>
          <w:rtl/>
        </w:rPr>
        <w:t>ٱ</w:t>
      </w:r>
      <w:r w:rsidR="00B06788" w:rsidRPr="0067048A">
        <w:rPr>
          <w:rFonts w:ascii="KFGQPC Uthmanic Script HAFS" w:cs="KFGQPC Uthmanic Script HAFS" w:hint="eastAsia"/>
          <w:sz w:val="28"/>
          <w:szCs w:val="28"/>
          <w:rtl/>
        </w:rPr>
        <w:t>ل</w:t>
      </w:r>
      <w:r w:rsidR="00B06788" w:rsidRPr="0067048A">
        <w:rPr>
          <w:rFonts w:ascii="KFGQPC Uthmanic Script HAFS" w:cs="KFGQPC Uthmanic Script HAFS" w:hint="cs"/>
          <w:sz w:val="28"/>
          <w:szCs w:val="28"/>
          <w:rtl/>
        </w:rPr>
        <w:t>ۡ</w:t>
      </w:r>
      <w:r w:rsidR="00B06788" w:rsidRPr="0067048A">
        <w:rPr>
          <w:rFonts w:ascii="KFGQPC Uthmanic Script HAFS" w:cs="KFGQPC Uthmanic Script HAFS" w:hint="eastAsia"/>
          <w:sz w:val="28"/>
          <w:szCs w:val="28"/>
          <w:rtl/>
        </w:rPr>
        <w:t>قُر</w:t>
      </w:r>
      <w:r w:rsidR="00B06788" w:rsidRPr="0067048A">
        <w:rPr>
          <w:rFonts w:ascii="KFGQPC Uthmanic Script HAFS" w:cs="KFGQPC Uthmanic Script HAFS" w:hint="cs"/>
          <w:sz w:val="28"/>
          <w:szCs w:val="28"/>
          <w:rtl/>
        </w:rPr>
        <w:t>ۡ</w:t>
      </w:r>
      <w:r w:rsidR="00B06788" w:rsidRPr="0067048A">
        <w:rPr>
          <w:rFonts w:ascii="KFGQPC Uthmanic Script HAFS" w:cs="KFGQPC Uthmanic Script HAFS" w:hint="eastAsia"/>
          <w:sz w:val="28"/>
          <w:szCs w:val="28"/>
          <w:rtl/>
        </w:rPr>
        <w:t>بَى</w:t>
      </w:r>
      <w:r w:rsidR="00B06788" w:rsidRPr="0067048A">
        <w:rPr>
          <w:rFonts w:ascii="KFGQPC Uthmanic Script HAFS" w:cs="KFGQPC Uthmanic Script HAFS" w:hint="cs"/>
          <w:sz w:val="28"/>
          <w:szCs w:val="28"/>
          <w:rtl/>
        </w:rPr>
        <w:t>ٰ</w:t>
      </w:r>
      <w:r w:rsidR="00B06788" w:rsidRPr="0067048A">
        <w:rPr>
          <w:rFonts w:ascii="KFGQPC Uthmanic Script HAFS" w:cs="KFGQPC Uthmanic Script HAFS"/>
          <w:sz w:val="28"/>
          <w:szCs w:val="28"/>
          <w:rtl/>
        </w:rPr>
        <w:t xml:space="preserve"> </w:t>
      </w:r>
      <w:r w:rsidR="00B06788" w:rsidRPr="0067048A">
        <w:rPr>
          <w:rFonts w:ascii="KFGQPC Uthmanic Script HAFS" w:cs="KFGQPC Uthmanic Script HAFS" w:hint="eastAsia"/>
          <w:sz w:val="28"/>
          <w:szCs w:val="28"/>
          <w:rtl/>
        </w:rPr>
        <w:t>وَ</w:t>
      </w:r>
      <w:r w:rsidR="00B06788" w:rsidRPr="0067048A">
        <w:rPr>
          <w:rFonts w:ascii="KFGQPC Uthmanic Script HAFS" w:cs="KFGQPC Uthmanic Script HAFS" w:hint="cs"/>
          <w:sz w:val="28"/>
          <w:szCs w:val="28"/>
          <w:rtl/>
        </w:rPr>
        <w:t>ٱ</w:t>
      </w:r>
      <w:r w:rsidR="00B06788" w:rsidRPr="0067048A">
        <w:rPr>
          <w:rFonts w:ascii="KFGQPC Uthmanic Script HAFS" w:cs="KFGQPC Uthmanic Script HAFS" w:hint="eastAsia"/>
          <w:sz w:val="28"/>
          <w:szCs w:val="28"/>
          <w:rtl/>
        </w:rPr>
        <w:t>ل</w:t>
      </w:r>
      <w:r w:rsidR="00B06788" w:rsidRPr="0067048A">
        <w:rPr>
          <w:rFonts w:ascii="KFGQPC Uthmanic Script HAFS" w:cs="KFGQPC Uthmanic Script HAFS" w:hint="cs"/>
          <w:sz w:val="28"/>
          <w:szCs w:val="28"/>
          <w:rtl/>
        </w:rPr>
        <w:t>ۡ</w:t>
      </w:r>
      <w:r w:rsidR="00B06788" w:rsidRPr="0067048A">
        <w:rPr>
          <w:rFonts w:ascii="KFGQPC Uthmanic Script HAFS" w:cs="KFGQPC Uthmanic Script HAFS" w:hint="eastAsia"/>
          <w:sz w:val="28"/>
          <w:szCs w:val="28"/>
          <w:rtl/>
        </w:rPr>
        <w:t>يَتَ</w:t>
      </w:r>
      <w:r w:rsidR="00B06788" w:rsidRPr="0067048A">
        <w:rPr>
          <w:rFonts w:ascii="KFGQPC Uthmanic Script HAFS" w:cs="KFGQPC Uthmanic Script HAFS" w:hint="cs"/>
          <w:sz w:val="28"/>
          <w:szCs w:val="28"/>
          <w:rtl/>
        </w:rPr>
        <w:t>ٰ</w:t>
      </w:r>
      <w:r w:rsidR="00B06788" w:rsidRPr="0067048A">
        <w:rPr>
          <w:rFonts w:ascii="KFGQPC Uthmanic Script HAFS" w:cs="KFGQPC Uthmanic Script HAFS" w:hint="eastAsia"/>
          <w:sz w:val="28"/>
          <w:szCs w:val="28"/>
          <w:rtl/>
        </w:rPr>
        <w:t>مَى</w:t>
      </w:r>
      <w:r w:rsidR="00B06788" w:rsidRPr="0067048A">
        <w:rPr>
          <w:rFonts w:ascii="KFGQPC Uthmanic Script HAFS" w:cs="KFGQPC Uthmanic Script HAFS" w:hint="cs"/>
          <w:sz w:val="28"/>
          <w:szCs w:val="28"/>
          <w:rtl/>
        </w:rPr>
        <w:t>ٰ</w:t>
      </w:r>
      <w:r w:rsidR="00B06788" w:rsidRPr="0067048A">
        <w:rPr>
          <w:rFonts w:ascii="KFGQPC Uthmanic Script HAFS" w:cs="KFGQPC Uthmanic Script HAFS"/>
          <w:sz w:val="28"/>
          <w:szCs w:val="28"/>
          <w:rtl/>
        </w:rPr>
        <w:t xml:space="preserve"> </w:t>
      </w:r>
      <w:r w:rsidR="00B06788" w:rsidRPr="0067048A">
        <w:rPr>
          <w:rFonts w:ascii="KFGQPC Uthmanic Script HAFS" w:cs="KFGQPC Uthmanic Script HAFS" w:hint="eastAsia"/>
          <w:sz w:val="28"/>
          <w:szCs w:val="28"/>
          <w:rtl/>
        </w:rPr>
        <w:t>وَ</w:t>
      </w:r>
      <w:r w:rsidR="00B06788" w:rsidRPr="0067048A">
        <w:rPr>
          <w:rFonts w:ascii="KFGQPC Uthmanic Script HAFS" w:cs="KFGQPC Uthmanic Script HAFS" w:hint="cs"/>
          <w:sz w:val="28"/>
          <w:szCs w:val="28"/>
          <w:rtl/>
        </w:rPr>
        <w:t>ٱ</w:t>
      </w:r>
      <w:r w:rsidR="00B06788" w:rsidRPr="0067048A">
        <w:rPr>
          <w:rFonts w:ascii="KFGQPC Uthmanic Script HAFS" w:cs="KFGQPC Uthmanic Script HAFS" w:hint="eastAsia"/>
          <w:sz w:val="28"/>
          <w:szCs w:val="28"/>
          <w:rtl/>
        </w:rPr>
        <w:t>ل</w:t>
      </w:r>
      <w:r w:rsidR="00B06788" w:rsidRPr="0067048A">
        <w:rPr>
          <w:rFonts w:ascii="KFGQPC Uthmanic Script HAFS" w:cs="KFGQPC Uthmanic Script HAFS" w:hint="cs"/>
          <w:sz w:val="28"/>
          <w:szCs w:val="28"/>
          <w:rtl/>
        </w:rPr>
        <w:t>ۡ</w:t>
      </w:r>
      <w:r w:rsidR="00B06788" w:rsidRPr="0067048A">
        <w:rPr>
          <w:rFonts w:ascii="KFGQPC Uthmanic Script HAFS" w:cs="KFGQPC Uthmanic Script HAFS" w:hint="eastAsia"/>
          <w:sz w:val="28"/>
          <w:szCs w:val="28"/>
          <w:rtl/>
        </w:rPr>
        <w:t>مَسَ</w:t>
      </w:r>
      <w:r w:rsidR="00B06788" w:rsidRPr="0067048A">
        <w:rPr>
          <w:rFonts w:ascii="KFGQPC Uthmanic Script HAFS" w:cs="KFGQPC Uthmanic Script HAFS" w:hint="cs"/>
          <w:sz w:val="28"/>
          <w:szCs w:val="28"/>
          <w:rtl/>
        </w:rPr>
        <w:t>ٰ</w:t>
      </w:r>
      <w:r w:rsidR="00B06788" w:rsidRPr="0067048A">
        <w:rPr>
          <w:rFonts w:ascii="KFGQPC Uthmanic Script HAFS" w:cs="KFGQPC Uthmanic Script HAFS" w:hint="eastAsia"/>
          <w:sz w:val="28"/>
          <w:szCs w:val="28"/>
          <w:rtl/>
        </w:rPr>
        <w:t>كِينِ</w:t>
      </w:r>
      <w:r w:rsidR="00B06788" w:rsidRPr="0067048A">
        <w:rPr>
          <w:rFonts w:ascii="KFGQPC Uthmanic Script HAFS" w:cs="KFGQPC Uthmanic Script HAFS"/>
          <w:sz w:val="28"/>
          <w:szCs w:val="28"/>
          <w:rtl/>
        </w:rPr>
        <w:t xml:space="preserve"> </w:t>
      </w:r>
      <w:r w:rsidR="00B06788" w:rsidRPr="0067048A">
        <w:rPr>
          <w:rFonts w:ascii="KFGQPC Uthmanic Script HAFS" w:cs="KFGQPC Uthmanic Script HAFS" w:hint="eastAsia"/>
          <w:sz w:val="28"/>
          <w:szCs w:val="28"/>
          <w:rtl/>
        </w:rPr>
        <w:t>وَ</w:t>
      </w:r>
      <w:r w:rsidR="00B06788" w:rsidRPr="0067048A">
        <w:rPr>
          <w:rFonts w:ascii="KFGQPC Uthmanic Script HAFS" w:cs="KFGQPC Uthmanic Script HAFS" w:hint="cs"/>
          <w:sz w:val="28"/>
          <w:szCs w:val="28"/>
          <w:rtl/>
        </w:rPr>
        <w:t>ٱ</w:t>
      </w:r>
      <w:r w:rsidR="00B06788" w:rsidRPr="0067048A">
        <w:rPr>
          <w:rFonts w:ascii="KFGQPC Uthmanic Script HAFS" w:cs="KFGQPC Uthmanic Script HAFS" w:hint="eastAsia"/>
          <w:sz w:val="28"/>
          <w:szCs w:val="28"/>
          <w:rtl/>
        </w:rPr>
        <w:t>ب</w:t>
      </w:r>
      <w:r w:rsidR="00B06788" w:rsidRPr="0067048A">
        <w:rPr>
          <w:rFonts w:ascii="KFGQPC Uthmanic Script HAFS" w:cs="KFGQPC Uthmanic Script HAFS" w:hint="cs"/>
          <w:sz w:val="28"/>
          <w:szCs w:val="28"/>
          <w:rtl/>
        </w:rPr>
        <w:t>ۡ</w:t>
      </w:r>
      <w:r w:rsidR="00B06788" w:rsidRPr="0067048A">
        <w:rPr>
          <w:rFonts w:ascii="KFGQPC Uthmanic Script HAFS" w:cs="KFGQPC Uthmanic Script HAFS" w:hint="eastAsia"/>
          <w:sz w:val="28"/>
          <w:szCs w:val="28"/>
          <w:rtl/>
        </w:rPr>
        <w:t>نِ</w:t>
      </w:r>
      <w:r w:rsidR="00B06788" w:rsidRPr="0067048A">
        <w:rPr>
          <w:rFonts w:ascii="KFGQPC Uthmanic Script HAFS" w:cs="KFGQPC Uthmanic Script HAFS"/>
          <w:sz w:val="28"/>
          <w:szCs w:val="28"/>
          <w:rtl/>
        </w:rPr>
        <w:t xml:space="preserve"> </w:t>
      </w:r>
      <w:r w:rsidR="00B06788" w:rsidRPr="0067048A">
        <w:rPr>
          <w:rFonts w:ascii="KFGQPC Uthmanic Script HAFS" w:cs="KFGQPC Uthmanic Script HAFS" w:hint="cs"/>
          <w:sz w:val="28"/>
          <w:szCs w:val="28"/>
          <w:rtl/>
        </w:rPr>
        <w:t>ٱ</w:t>
      </w:r>
      <w:r w:rsidR="00B06788" w:rsidRPr="0067048A">
        <w:rPr>
          <w:rFonts w:ascii="KFGQPC Uthmanic Script HAFS" w:cs="KFGQPC Uthmanic Script HAFS" w:hint="eastAsia"/>
          <w:sz w:val="28"/>
          <w:szCs w:val="28"/>
          <w:rtl/>
        </w:rPr>
        <w:t>لسَّبِيلِ</w:t>
      </w:r>
      <w:r w:rsidR="00B06788" w:rsidRPr="0067048A">
        <w:rPr>
          <w:rFonts w:ascii="KFGQPC Uthmanic Script HAFS" w:cs="KFGQPC Uthmanic Script HAFS"/>
          <w:sz w:val="28"/>
          <w:szCs w:val="28"/>
          <w:rtl/>
        </w:rPr>
        <w:t xml:space="preserve"> </w:t>
      </w:r>
      <w:r w:rsidR="00B06788" w:rsidRPr="0067048A">
        <w:rPr>
          <w:rFonts w:ascii="KFGQPC Uthmanic Script HAFS" w:cs="KFGQPC Uthmanic Script HAFS" w:hint="eastAsia"/>
          <w:sz w:val="28"/>
          <w:szCs w:val="28"/>
          <w:rtl/>
        </w:rPr>
        <w:t>إِن</w:t>
      </w:r>
      <w:r w:rsidR="00B06788" w:rsidRPr="0067048A">
        <w:rPr>
          <w:rFonts w:ascii="KFGQPC Uthmanic Script HAFS" w:cs="KFGQPC Uthmanic Script HAFS"/>
          <w:sz w:val="28"/>
          <w:szCs w:val="28"/>
          <w:rtl/>
        </w:rPr>
        <w:t xml:space="preserve"> </w:t>
      </w:r>
      <w:r w:rsidR="00B06788" w:rsidRPr="0067048A">
        <w:rPr>
          <w:rFonts w:ascii="KFGQPC Uthmanic Script HAFS" w:cs="KFGQPC Uthmanic Script HAFS" w:hint="eastAsia"/>
          <w:sz w:val="28"/>
          <w:szCs w:val="28"/>
          <w:rtl/>
        </w:rPr>
        <w:t>كُنتُم</w:t>
      </w:r>
      <w:r w:rsidR="00B06788" w:rsidRPr="0067048A">
        <w:rPr>
          <w:rFonts w:ascii="KFGQPC Uthmanic Script HAFS" w:cs="KFGQPC Uthmanic Script HAFS" w:hint="cs"/>
          <w:sz w:val="28"/>
          <w:szCs w:val="28"/>
          <w:rtl/>
        </w:rPr>
        <w:t>ۡ</w:t>
      </w:r>
      <w:r w:rsidR="00B06788" w:rsidRPr="0067048A">
        <w:rPr>
          <w:rFonts w:ascii="KFGQPC Uthmanic Script HAFS" w:cs="KFGQPC Uthmanic Script HAFS"/>
          <w:sz w:val="28"/>
          <w:szCs w:val="28"/>
          <w:rtl/>
        </w:rPr>
        <w:t xml:space="preserve"> </w:t>
      </w:r>
      <w:r w:rsidR="00B06788" w:rsidRPr="0067048A">
        <w:rPr>
          <w:rFonts w:ascii="KFGQPC Uthmanic Script HAFS" w:cs="KFGQPC Uthmanic Script HAFS" w:hint="eastAsia"/>
          <w:sz w:val="28"/>
          <w:szCs w:val="28"/>
          <w:rtl/>
        </w:rPr>
        <w:t>ءَامَنتُم</w:t>
      </w:r>
      <w:r w:rsidR="00B06788" w:rsidRPr="0067048A">
        <w:rPr>
          <w:rFonts w:ascii="KFGQPC Uthmanic Script HAFS" w:cs="KFGQPC Uthmanic Script HAFS"/>
          <w:sz w:val="28"/>
          <w:szCs w:val="28"/>
          <w:rtl/>
        </w:rPr>
        <w:t xml:space="preserve"> </w:t>
      </w:r>
      <w:r w:rsidR="00B06788" w:rsidRPr="0067048A">
        <w:rPr>
          <w:rFonts w:ascii="KFGQPC Uthmanic Script HAFS" w:cs="KFGQPC Uthmanic Script HAFS" w:hint="eastAsia"/>
          <w:sz w:val="28"/>
          <w:szCs w:val="28"/>
          <w:rtl/>
        </w:rPr>
        <w:t>بِ</w:t>
      </w:r>
      <w:r w:rsidR="00B06788" w:rsidRPr="0067048A">
        <w:rPr>
          <w:rFonts w:ascii="KFGQPC Uthmanic Script HAFS" w:cs="KFGQPC Uthmanic Script HAFS" w:hint="cs"/>
          <w:sz w:val="28"/>
          <w:szCs w:val="28"/>
          <w:rtl/>
        </w:rPr>
        <w:t>ٱ</w:t>
      </w:r>
      <w:r w:rsidR="00B06788" w:rsidRPr="0067048A">
        <w:rPr>
          <w:rFonts w:ascii="KFGQPC Uthmanic Script HAFS" w:cs="KFGQPC Uthmanic Script HAFS" w:hint="eastAsia"/>
          <w:sz w:val="28"/>
          <w:szCs w:val="28"/>
          <w:rtl/>
        </w:rPr>
        <w:t>للَّهِ</w:t>
      </w:r>
      <w:r w:rsidR="00B06788" w:rsidRPr="0067048A">
        <w:rPr>
          <w:rFonts w:ascii="KFGQPC Uthmanic Script HAFS" w:cs="KFGQPC Uthmanic Script HAFS"/>
          <w:sz w:val="28"/>
          <w:szCs w:val="28"/>
          <w:rtl/>
        </w:rPr>
        <w:t xml:space="preserve"> </w:t>
      </w:r>
      <w:r w:rsidR="00B06788" w:rsidRPr="0067048A">
        <w:rPr>
          <w:rFonts w:ascii="KFGQPC Uthmanic Script HAFS" w:cs="KFGQPC Uthmanic Script HAFS" w:hint="eastAsia"/>
          <w:sz w:val="28"/>
          <w:szCs w:val="28"/>
          <w:rtl/>
        </w:rPr>
        <w:t>وَمَا</w:t>
      </w:r>
      <w:r w:rsidR="00B06788" w:rsidRPr="0067048A">
        <w:rPr>
          <w:rFonts w:ascii="KFGQPC Uthmanic Script HAFS" w:cs="KFGQPC Uthmanic Script HAFS" w:hint="cs"/>
          <w:sz w:val="28"/>
          <w:szCs w:val="28"/>
          <w:rtl/>
        </w:rPr>
        <w:t>ٓ</w:t>
      </w:r>
      <w:r w:rsidR="00B06788" w:rsidRPr="0067048A">
        <w:rPr>
          <w:rFonts w:ascii="KFGQPC Uthmanic Script HAFS" w:cs="KFGQPC Uthmanic Script HAFS"/>
          <w:sz w:val="28"/>
          <w:szCs w:val="28"/>
          <w:rtl/>
        </w:rPr>
        <w:t xml:space="preserve"> </w:t>
      </w:r>
      <w:r w:rsidR="00B06788" w:rsidRPr="0067048A">
        <w:rPr>
          <w:rFonts w:ascii="KFGQPC Uthmanic Script HAFS" w:cs="KFGQPC Uthmanic Script HAFS" w:hint="eastAsia"/>
          <w:sz w:val="28"/>
          <w:szCs w:val="28"/>
          <w:rtl/>
        </w:rPr>
        <w:t>أَنزَل</w:t>
      </w:r>
      <w:r w:rsidR="00B06788" w:rsidRPr="0067048A">
        <w:rPr>
          <w:rFonts w:ascii="KFGQPC Uthmanic Script HAFS" w:cs="KFGQPC Uthmanic Script HAFS" w:hint="cs"/>
          <w:sz w:val="28"/>
          <w:szCs w:val="28"/>
          <w:rtl/>
        </w:rPr>
        <w:t>ۡ</w:t>
      </w:r>
      <w:r w:rsidR="00B06788" w:rsidRPr="0067048A">
        <w:rPr>
          <w:rFonts w:ascii="KFGQPC Uthmanic Script HAFS" w:cs="KFGQPC Uthmanic Script HAFS" w:hint="eastAsia"/>
          <w:sz w:val="28"/>
          <w:szCs w:val="28"/>
          <w:rtl/>
        </w:rPr>
        <w:t>نَا</w:t>
      </w:r>
      <w:r w:rsidR="00B06788" w:rsidRPr="0067048A">
        <w:rPr>
          <w:rFonts w:ascii="KFGQPC Uthmanic Script HAFS" w:cs="KFGQPC Uthmanic Script HAFS"/>
          <w:sz w:val="28"/>
          <w:szCs w:val="28"/>
          <w:rtl/>
        </w:rPr>
        <w:t xml:space="preserve"> </w:t>
      </w:r>
      <w:r w:rsidR="00B06788" w:rsidRPr="0067048A">
        <w:rPr>
          <w:rFonts w:ascii="KFGQPC Uthmanic Script HAFS" w:cs="KFGQPC Uthmanic Script HAFS" w:hint="eastAsia"/>
          <w:sz w:val="28"/>
          <w:szCs w:val="28"/>
          <w:rtl/>
        </w:rPr>
        <w:t>عَلَى</w:t>
      </w:r>
      <w:r w:rsidR="00B06788" w:rsidRPr="0067048A">
        <w:rPr>
          <w:rFonts w:ascii="KFGQPC Uthmanic Script HAFS" w:cs="KFGQPC Uthmanic Script HAFS" w:hint="cs"/>
          <w:sz w:val="28"/>
          <w:szCs w:val="28"/>
          <w:rtl/>
        </w:rPr>
        <w:t>ٰ</w:t>
      </w:r>
      <w:r w:rsidR="00B06788" w:rsidRPr="0067048A">
        <w:rPr>
          <w:rFonts w:ascii="KFGQPC Uthmanic Script HAFS" w:cs="KFGQPC Uthmanic Script HAFS"/>
          <w:sz w:val="28"/>
          <w:szCs w:val="28"/>
          <w:rtl/>
        </w:rPr>
        <w:t xml:space="preserve"> </w:t>
      </w:r>
      <w:r w:rsidR="00B06788" w:rsidRPr="0067048A">
        <w:rPr>
          <w:rFonts w:ascii="KFGQPC Uthmanic Script HAFS" w:cs="KFGQPC Uthmanic Script HAFS" w:hint="eastAsia"/>
          <w:sz w:val="28"/>
          <w:szCs w:val="28"/>
          <w:rtl/>
        </w:rPr>
        <w:t>عَب</w:t>
      </w:r>
      <w:r w:rsidR="00B06788" w:rsidRPr="0067048A">
        <w:rPr>
          <w:rFonts w:ascii="KFGQPC Uthmanic Script HAFS" w:cs="KFGQPC Uthmanic Script HAFS" w:hint="cs"/>
          <w:sz w:val="28"/>
          <w:szCs w:val="28"/>
          <w:rtl/>
        </w:rPr>
        <w:t>ۡ</w:t>
      </w:r>
      <w:r w:rsidR="00B06788" w:rsidRPr="0067048A">
        <w:rPr>
          <w:rFonts w:ascii="KFGQPC Uthmanic Script HAFS" w:cs="KFGQPC Uthmanic Script HAFS" w:hint="eastAsia"/>
          <w:sz w:val="28"/>
          <w:szCs w:val="28"/>
          <w:rtl/>
        </w:rPr>
        <w:t>دِنَا</w:t>
      </w:r>
      <w:r w:rsidR="00B06788" w:rsidRPr="0067048A">
        <w:rPr>
          <w:rFonts w:ascii="KFGQPC Uthmanic Script HAFS" w:cs="KFGQPC Uthmanic Script HAFS"/>
          <w:sz w:val="28"/>
          <w:szCs w:val="28"/>
          <w:rtl/>
        </w:rPr>
        <w:t xml:space="preserve"> </w:t>
      </w:r>
      <w:r w:rsidR="00B06788" w:rsidRPr="0067048A">
        <w:rPr>
          <w:rFonts w:ascii="KFGQPC Uthmanic Script HAFS" w:cs="KFGQPC Uthmanic Script HAFS" w:hint="eastAsia"/>
          <w:sz w:val="28"/>
          <w:szCs w:val="28"/>
          <w:rtl/>
        </w:rPr>
        <w:t>يَو</w:t>
      </w:r>
      <w:r w:rsidR="00B06788" w:rsidRPr="0067048A">
        <w:rPr>
          <w:rFonts w:ascii="KFGQPC Uthmanic Script HAFS" w:cs="KFGQPC Uthmanic Script HAFS" w:hint="cs"/>
          <w:sz w:val="28"/>
          <w:szCs w:val="28"/>
          <w:rtl/>
        </w:rPr>
        <w:t>ۡ</w:t>
      </w:r>
      <w:r w:rsidR="00B06788" w:rsidRPr="0067048A">
        <w:rPr>
          <w:rFonts w:ascii="KFGQPC Uthmanic Script HAFS" w:cs="KFGQPC Uthmanic Script HAFS" w:hint="eastAsia"/>
          <w:sz w:val="28"/>
          <w:szCs w:val="28"/>
          <w:rtl/>
        </w:rPr>
        <w:t>مَ</w:t>
      </w:r>
      <w:r w:rsidR="00B06788" w:rsidRPr="0067048A">
        <w:rPr>
          <w:rFonts w:ascii="KFGQPC Uthmanic Script HAFS" w:cs="KFGQPC Uthmanic Script HAFS"/>
          <w:sz w:val="28"/>
          <w:szCs w:val="28"/>
          <w:rtl/>
        </w:rPr>
        <w:t xml:space="preserve"> </w:t>
      </w:r>
      <w:r w:rsidR="00B06788" w:rsidRPr="0067048A">
        <w:rPr>
          <w:rFonts w:ascii="KFGQPC Uthmanic Script HAFS" w:cs="KFGQPC Uthmanic Script HAFS" w:hint="cs"/>
          <w:sz w:val="28"/>
          <w:szCs w:val="28"/>
          <w:rtl/>
        </w:rPr>
        <w:t>ٱ</w:t>
      </w:r>
      <w:r w:rsidR="00B06788" w:rsidRPr="0067048A">
        <w:rPr>
          <w:rFonts w:ascii="KFGQPC Uthmanic Script HAFS" w:cs="KFGQPC Uthmanic Script HAFS" w:hint="eastAsia"/>
          <w:sz w:val="28"/>
          <w:szCs w:val="28"/>
          <w:rtl/>
        </w:rPr>
        <w:t>ل</w:t>
      </w:r>
      <w:r w:rsidR="00B06788" w:rsidRPr="0067048A">
        <w:rPr>
          <w:rFonts w:ascii="KFGQPC Uthmanic Script HAFS" w:cs="KFGQPC Uthmanic Script HAFS" w:hint="cs"/>
          <w:sz w:val="28"/>
          <w:szCs w:val="28"/>
          <w:rtl/>
        </w:rPr>
        <w:t>ۡ</w:t>
      </w:r>
      <w:r w:rsidR="00B06788" w:rsidRPr="0067048A">
        <w:rPr>
          <w:rFonts w:ascii="KFGQPC Uthmanic Script HAFS" w:cs="KFGQPC Uthmanic Script HAFS" w:hint="eastAsia"/>
          <w:sz w:val="28"/>
          <w:szCs w:val="28"/>
          <w:rtl/>
        </w:rPr>
        <w:t>فُر</w:t>
      </w:r>
      <w:r w:rsidR="00B06788" w:rsidRPr="0067048A">
        <w:rPr>
          <w:rFonts w:ascii="KFGQPC Uthmanic Script HAFS" w:cs="KFGQPC Uthmanic Script HAFS" w:hint="cs"/>
          <w:sz w:val="28"/>
          <w:szCs w:val="28"/>
          <w:rtl/>
        </w:rPr>
        <w:t>ۡ</w:t>
      </w:r>
      <w:r w:rsidR="00B06788" w:rsidRPr="0067048A">
        <w:rPr>
          <w:rFonts w:ascii="KFGQPC Uthmanic Script HAFS" w:cs="KFGQPC Uthmanic Script HAFS" w:hint="eastAsia"/>
          <w:sz w:val="28"/>
          <w:szCs w:val="28"/>
          <w:rtl/>
        </w:rPr>
        <w:t>قَانِ</w:t>
      </w:r>
      <w:r w:rsidR="00B06788" w:rsidRPr="0067048A">
        <w:rPr>
          <w:rFonts w:ascii="KFGQPC Uthmanic Script HAFS" w:cs="KFGQPC Uthmanic Script HAFS"/>
          <w:sz w:val="28"/>
          <w:szCs w:val="28"/>
          <w:rtl/>
        </w:rPr>
        <w:t xml:space="preserve"> </w:t>
      </w:r>
      <w:r w:rsidR="00B06788" w:rsidRPr="0067048A">
        <w:rPr>
          <w:rFonts w:ascii="KFGQPC Uthmanic Script HAFS" w:cs="KFGQPC Uthmanic Script HAFS" w:hint="eastAsia"/>
          <w:sz w:val="28"/>
          <w:szCs w:val="28"/>
          <w:rtl/>
        </w:rPr>
        <w:t>يَو</w:t>
      </w:r>
      <w:r w:rsidR="00B06788" w:rsidRPr="0067048A">
        <w:rPr>
          <w:rFonts w:ascii="KFGQPC Uthmanic Script HAFS" w:cs="KFGQPC Uthmanic Script HAFS" w:hint="cs"/>
          <w:sz w:val="28"/>
          <w:szCs w:val="28"/>
          <w:rtl/>
        </w:rPr>
        <w:t>ۡ</w:t>
      </w:r>
      <w:r w:rsidR="00B06788" w:rsidRPr="0067048A">
        <w:rPr>
          <w:rFonts w:ascii="KFGQPC Uthmanic Script HAFS" w:cs="KFGQPC Uthmanic Script HAFS" w:hint="eastAsia"/>
          <w:sz w:val="28"/>
          <w:szCs w:val="28"/>
          <w:rtl/>
        </w:rPr>
        <w:t>مَ</w:t>
      </w:r>
      <w:r w:rsidR="00B06788" w:rsidRPr="0067048A">
        <w:rPr>
          <w:rFonts w:ascii="KFGQPC Uthmanic Script HAFS" w:cs="KFGQPC Uthmanic Script HAFS"/>
          <w:sz w:val="28"/>
          <w:szCs w:val="28"/>
          <w:rtl/>
        </w:rPr>
        <w:t xml:space="preserve"> </w:t>
      </w:r>
      <w:r w:rsidR="00B06788" w:rsidRPr="0067048A">
        <w:rPr>
          <w:rFonts w:ascii="KFGQPC Uthmanic Script HAFS" w:cs="KFGQPC Uthmanic Script HAFS" w:hint="cs"/>
          <w:sz w:val="28"/>
          <w:szCs w:val="28"/>
          <w:rtl/>
        </w:rPr>
        <w:t>ٱ</w:t>
      </w:r>
      <w:r w:rsidR="00B06788" w:rsidRPr="0067048A">
        <w:rPr>
          <w:rFonts w:ascii="KFGQPC Uthmanic Script HAFS" w:cs="KFGQPC Uthmanic Script HAFS" w:hint="eastAsia"/>
          <w:sz w:val="28"/>
          <w:szCs w:val="28"/>
          <w:rtl/>
        </w:rPr>
        <w:t>ل</w:t>
      </w:r>
      <w:r w:rsidR="00B06788" w:rsidRPr="0067048A">
        <w:rPr>
          <w:rFonts w:ascii="KFGQPC Uthmanic Script HAFS" w:cs="KFGQPC Uthmanic Script HAFS" w:hint="cs"/>
          <w:sz w:val="28"/>
          <w:szCs w:val="28"/>
          <w:rtl/>
        </w:rPr>
        <w:t>ۡ</w:t>
      </w:r>
      <w:r w:rsidR="00B06788" w:rsidRPr="0067048A">
        <w:rPr>
          <w:rFonts w:ascii="KFGQPC Uthmanic Script HAFS" w:cs="KFGQPC Uthmanic Script HAFS" w:hint="eastAsia"/>
          <w:sz w:val="28"/>
          <w:szCs w:val="28"/>
          <w:rtl/>
        </w:rPr>
        <w:t>تَقَى</w:t>
      </w:r>
      <w:r w:rsidR="00B06788" w:rsidRPr="0067048A">
        <w:rPr>
          <w:rFonts w:ascii="KFGQPC Uthmanic Script HAFS" w:cs="KFGQPC Uthmanic Script HAFS"/>
          <w:sz w:val="28"/>
          <w:szCs w:val="28"/>
          <w:rtl/>
        </w:rPr>
        <w:t xml:space="preserve"> </w:t>
      </w:r>
      <w:r w:rsidR="00B06788" w:rsidRPr="0067048A">
        <w:rPr>
          <w:rFonts w:ascii="KFGQPC Uthmanic Script HAFS" w:cs="KFGQPC Uthmanic Script HAFS" w:hint="cs"/>
          <w:sz w:val="28"/>
          <w:szCs w:val="28"/>
          <w:rtl/>
        </w:rPr>
        <w:t>ٱ</w:t>
      </w:r>
      <w:r w:rsidR="00B06788" w:rsidRPr="0067048A">
        <w:rPr>
          <w:rFonts w:ascii="KFGQPC Uthmanic Script HAFS" w:cs="KFGQPC Uthmanic Script HAFS" w:hint="eastAsia"/>
          <w:sz w:val="28"/>
          <w:szCs w:val="28"/>
          <w:rtl/>
        </w:rPr>
        <w:t>ل</w:t>
      </w:r>
      <w:r w:rsidR="00B06788" w:rsidRPr="0067048A">
        <w:rPr>
          <w:rFonts w:ascii="KFGQPC Uthmanic Script HAFS" w:cs="KFGQPC Uthmanic Script HAFS" w:hint="cs"/>
          <w:sz w:val="28"/>
          <w:szCs w:val="28"/>
          <w:rtl/>
        </w:rPr>
        <w:t>ۡ</w:t>
      </w:r>
      <w:r w:rsidR="00B06788" w:rsidRPr="0067048A">
        <w:rPr>
          <w:rFonts w:ascii="KFGQPC Uthmanic Script HAFS" w:cs="KFGQPC Uthmanic Script HAFS" w:hint="eastAsia"/>
          <w:sz w:val="28"/>
          <w:szCs w:val="28"/>
          <w:rtl/>
        </w:rPr>
        <w:t>جَم</w:t>
      </w:r>
      <w:r w:rsidR="00B06788" w:rsidRPr="0067048A">
        <w:rPr>
          <w:rFonts w:ascii="KFGQPC Uthmanic Script HAFS" w:cs="KFGQPC Uthmanic Script HAFS" w:hint="cs"/>
          <w:sz w:val="28"/>
          <w:szCs w:val="28"/>
          <w:rtl/>
        </w:rPr>
        <w:t>ۡ</w:t>
      </w:r>
      <w:r w:rsidR="00B06788" w:rsidRPr="0067048A">
        <w:rPr>
          <w:rFonts w:ascii="KFGQPC Uthmanic Script HAFS" w:cs="KFGQPC Uthmanic Script HAFS" w:hint="eastAsia"/>
          <w:sz w:val="28"/>
          <w:szCs w:val="28"/>
          <w:rtl/>
        </w:rPr>
        <w:t>عَانِ</w:t>
      </w:r>
      <w:r w:rsidR="00B06788" w:rsidRPr="0067048A">
        <w:rPr>
          <w:rFonts w:ascii="KFGQPC Uthmanic Script HAFS" w:cs="KFGQPC Uthmanic Script HAFS" w:hint="cs"/>
          <w:sz w:val="28"/>
          <w:szCs w:val="28"/>
          <w:rtl/>
        </w:rPr>
        <w:t>ۗ</w:t>
      </w:r>
      <w:r w:rsidR="00B06788" w:rsidRPr="0067048A">
        <w:rPr>
          <w:rFonts w:ascii="KFGQPC Uthmanic Script HAFS" w:cs="KFGQPC Uthmanic Script HAFS"/>
          <w:sz w:val="28"/>
          <w:szCs w:val="28"/>
          <w:rtl/>
        </w:rPr>
        <w:t xml:space="preserve"> </w:t>
      </w:r>
      <w:r w:rsidR="00B06788" w:rsidRPr="0067048A">
        <w:rPr>
          <w:rFonts w:ascii="KFGQPC Uthmanic Script HAFS" w:cs="KFGQPC Uthmanic Script HAFS" w:hint="eastAsia"/>
          <w:sz w:val="28"/>
          <w:szCs w:val="28"/>
          <w:rtl/>
        </w:rPr>
        <w:t>وَ</w:t>
      </w:r>
      <w:r w:rsidR="00B06788" w:rsidRPr="0067048A">
        <w:rPr>
          <w:rFonts w:ascii="KFGQPC Uthmanic Script HAFS" w:cs="KFGQPC Uthmanic Script HAFS" w:hint="cs"/>
          <w:sz w:val="28"/>
          <w:szCs w:val="28"/>
          <w:rtl/>
        </w:rPr>
        <w:t>ٱ</w:t>
      </w:r>
      <w:r w:rsidR="00B06788" w:rsidRPr="0067048A">
        <w:rPr>
          <w:rFonts w:ascii="KFGQPC Uthmanic Script HAFS" w:cs="KFGQPC Uthmanic Script HAFS" w:hint="eastAsia"/>
          <w:sz w:val="28"/>
          <w:szCs w:val="28"/>
          <w:rtl/>
        </w:rPr>
        <w:t>للَّهُ</w:t>
      </w:r>
      <w:r w:rsidR="00B06788" w:rsidRPr="0067048A">
        <w:rPr>
          <w:rFonts w:ascii="KFGQPC Uthmanic Script HAFS" w:cs="KFGQPC Uthmanic Script HAFS"/>
          <w:sz w:val="28"/>
          <w:szCs w:val="28"/>
          <w:rtl/>
        </w:rPr>
        <w:t xml:space="preserve"> </w:t>
      </w:r>
      <w:r w:rsidR="00B06788" w:rsidRPr="0067048A">
        <w:rPr>
          <w:rFonts w:ascii="KFGQPC Uthmanic Script HAFS" w:cs="KFGQPC Uthmanic Script HAFS" w:hint="eastAsia"/>
          <w:sz w:val="28"/>
          <w:szCs w:val="28"/>
          <w:rtl/>
        </w:rPr>
        <w:t>عَلَى</w:t>
      </w:r>
      <w:r w:rsidR="00B06788" w:rsidRPr="0067048A">
        <w:rPr>
          <w:rFonts w:ascii="KFGQPC Uthmanic Script HAFS" w:cs="KFGQPC Uthmanic Script HAFS" w:hint="cs"/>
          <w:sz w:val="28"/>
          <w:szCs w:val="28"/>
          <w:rtl/>
        </w:rPr>
        <w:t>ٰ</w:t>
      </w:r>
      <w:r w:rsidR="00B06788" w:rsidRPr="0067048A">
        <w:rPr>
          <w:rFonts w:ascii="KFGQPC Uthmanic Script HAFS" w:cs="KFGQPC Uthmanic Script HAFS"/>
          <w:sz w:val="28"/>
          <w:szCs w:val="28"/>
          <w:rtl/>
        </w:rPr>
        <w:t xml:space="preserve"> </w:t>
      </w:r>
      <w:r w:rsidR="00B06788" w:rsidRPr="0067048A">
        <w:rPr>
          <w:rFonts w:ascii="KFGQPC Uthmanic Script HAFS" w:cs="KFGQPC Uthmanic Script HAFS" w:hint="eastAsia"/>
          <w:sz w:val="28"/>
          <w:szCs w:val="28"/>
          <w:rtl/>
        </w:rPr>
        <w:t>كُلِّ</w:t>
      </w:r>
      <w:r w:rsidR="00B06788" w:rsidRPr="0067048A">
        <w:rPr>
          <w:rFonts w:ascii="KFGQPC Uthmanic Script HAFS" w:cs="KFGQPC Uthmanic Script HAFS"/>
          <w:sz w:val="28"/>
          <w:szCs w:val="28"/>
          <w:rtl/>
        </w:rPr>
        <w:t xml:space="preserve"> </w:t>
      </w:r>
      <w:r w:rsidR="00B06788" w:rsidRPr="0067048A">
        <w:rPr>
          <w:rFonts w:ascii="KFGQPC Uthmanic Script HAFS" w:cs="KFGQPC Uthmanic Script HAFS" w:hint="eastAsia"/>
          <w:sz w:val="28"/>
          <w:szCs w:val="28"/>
          <w:rtl/>
        </w:rPr>
        <w:t>شَي</w:t>
      </w:r>
      <w:r w:rsidR="00B06788" w:rsidRPr="0067048A">
        <w:rPr>
          <w:rFonts w:ascii="KFGQPC Uthmanic Script HAFS" w:cs="KFGQPC Uthmanic Script HAFS" w:hint="cs"/>
          <w:sz w:val="28"/>
          <w:szCs w:val="28"/>
          <w:rtl/>
        </w:rPr>
        <w:t>ۡ</w:t>
      </w:r>
      <w:r w:rsidR="00B06788" w:rsidRPr="0067048A">
        <w:rPr>
          <w:rFonts w:ascii="KFGQPC Uthmanic Script HAFS" w:cs="KFGQPC Uthmanic Script HAFS" w:hint="eastAsia"/>
          <w:sz w:val="28"/>
          <w:szCs w:val="28"/>
          <w:rtl/>
        </w:rPr>
        <w:t>ء</w:t>
      </w:r>
      <w:r w:rsidR="00B06788" w:rsidRPr="0067048A">
        <w:rPr>
          <w:rFonts w:ascii="KFGQPC Uthmanic Script HAFS" w:cs="KFGQPC Uthmanic Script HAFS" w:hint="cs"/>
          <w:sz w:val="28"/>
          <w:szCs w:val="28"/>
          <w:rtl/>
        </w:rPr>
        <w:t>ٖ</w:t>
      </w:r>
      <w:r w:rsidR="00B06788" w:rsidRPr="0067048A">
        <w:rPr>
          <w:rFonts w:ascii="KFGQPC Uthmanic Script HAFS" w:cs="KFGQPC Uthmanic Script HAFS"/>
          <w:sz w:val="28"/>
          <w:szCs w:val="28"/>
          <w:rtl/>
        </w:rPr>
        <w:t xml:space="preserve"> </w:t>
      </w:r>
      <w:r w:rsidR="00B06788" w:rsidRPr="0067048A">
        <w:rPr>
          <w:rFonts w:ascii="KFGQPC Uthmanic Script HAFS" w:cs="KFGQPC Uthmanic Script HAFS" w:hint="eastAsia"/>
          <w:sz w:val="28"/>
          <w:szCs w:val="28"/>
          <w:rtl/>
        </w:rPr>
        <w:t>قَدِيرٌ</w:t>
      </w:r>
      <w:r w:rsidR="00B06788" w:rsidRPr="0067048A">
        <w:rPr>
          <w:rFonts w:ascii="KFGQPC Uthmanic Script HAFS" w:cs="KFGQPC Uthmanic Script HAFS"/>
          <w:sz w:val="28"/>
          <w:szCs w:val="28"/>
          <w:rtl/>
        </w:rPr>
        <w:t xml:space="preserve"> </w:t>
      </w:r>
      <w:r w:rsidR="00B06788" w:rsidRPr="0067048A">
        <w:rPr>
          <w:rFonts w:ascii="KFGQPC Uthmanic Script HAFS" w:cs="KFGQPC Uthmanic Script HAFS" w:hint="cs"/>
          <w:sz w:val="28"/>
          <w:szCs w:val="28"/>
          <w:rtl/>
        </w:rPr>
        <w:t>٤١</w:t>
      </w:r>
      <w:r w:rsidR="00B06788" w:rsidRPr="00995B26">
        <w:rPr>
          <w:rFonts w:ascii="Abo-thar" w:hAnsi="Abo-thar" w:cs="Traditional Arabic" w:hint="cs"/>
          <w:sz w:val="28"/>
          <w:rtl/>
        </w:rPr>
        <w:t>﴾</w:t>
      </w:r>
      <w:r w:rsidR="005C664D" w:rsidRPr="00995B26">
        <w:rPr>
          <w:rFonts w:ascii="Abo-thar" w:hAnsi="Abo-thar" w:hint="cs"/>
          <w:b/>
          <w:bCs/>
          <w:sz w:val="28"/>
          <w:rtl/>
        </w:rPr>
        <w:t xml:space="preserve"> </w:t>
      </w:r>
      <w:r w:rsidR="005C664D" w:rsidRPr="003108CB">
        <w:rPr>
          <w:rStyle w:val="Char2"/>
          <w:rtl/>
        </w:rPr>
        <w:t>[الأنفال</w:t>
      </w:r>
      <w:r w:rsidR="00B06788" w:rsidRPr="003108CB">
        <w:rPr>
          <w:rStyle w:val="Char2"/>
          <w:rFonts w:hint="cs"/>
          <w:rtl/>
        </w:rPr>
        <w:t xml:space="preserve">: </w:t>
      </w:r>
      <w:r w:rsidR="005C664D" w:rsidRPr="003108CB">
        <w:rPr>
          <w:rStyle w:val="Char2"/>
          <w:rtl/>
        </w:rPr>
        <w:t>41]</w:t>
      </w:r>
      <w:r w:rsidR="00217AB4" w:rsidRPr="00891167">
        <w:rPr>
          <w:rFonts w:ascii="Abo-thar" w:hAnsi="Abo-thar" w:cs="KFGQPC Uthman Taha Naskh" w:hint="cs"/>
          <w:b/>
          <w:bCs/>
          <w:sz w:val="28"/>
          <w:rtl/>
        </w:rPr>
        <w:t>.</w:t>
      </w:r>
      <w:r w:rsidR="005C664D" w:rsidRPr="00891167">
        <w:rPr>
          <w:rFonts w:ascii="Abo-thar" w:hAnsi="Abo-thar" w:cs="KFGQPC Uthman Taha Naskh"/>
          <w:b/>
          <w:bCs/>
          <w:sz w:val="28"/>
          <w:rtl/>
        </w:rPr>
        <w:t xml:space="preserve"> والْغَنَائِمُ والْفَوَائِدُ يَرْحَمُكَ اللهُ فَهِيَ الْغَنِيمَةُ يَغْنَمُهَا المَرْءُ والْفَائِدَةُ يُفِيدُهَا والْجَائِزَةُ مِنَ الْإِنْسَانِ لِلْإِنْسَانِ الَّتِي لَهَا خَطَرٌ عَظِيمٌ والْمِيرَاثُ الَّذِي لَا يُحْتَسَبُ مِنْ غَيْرِ أَبٍ ولَا ابْنٍ ومِثْلُ عَدُوٍّ يُصْطَلَمُ فَيُؤْخَذُ مَالُهُ ومِثْلُ مَالٍ يُؤْخَذُ لَا يُعْرَفُ لَهُ صَاحِبُهُ ومِنْ ضَرْبِ مَا صَارَ إِلَى قَوْمٍ مِنْ مَوَالِيَّ مِنْ أَمْوَالِ الخُرَّمِيَّةِ الْفَسَقَةِ فَقَدْ عَلِمْتُ أَنَّ أَمْوَالًا عِظَاماً صَارَتْ إِلَى قَوْمٍ مِنْ مَوَالِيَّ فَمَنْ كَانَ عِنْدَهُ شَيْ‏ءٌ مِنْ ذَلِكَ فَلْيُوصِلْ إِلَى وَكِيلِي ومَنْ كَانَ نَائِياً بَعِيدَ الشُّقَّةِ فَلْيَتَعَمَّدْ لِإِيصَالِهِ ولَوْ بَعْدَ حِينٍ فَإِنَّ نِيَّةَ المُؤْمِنِ خَيْرٌ مِنْ عَمَلِهِ فَأَمَّا الَّذِي أُوجِبُ مِنَ الْغَلَّاتِ والضِّيَاعِ فِي كُلِّ عَامٍ فَهُوَ نِصْفُ السُّدُسِ مِمَّنْ كَانَتْ ضَيْعَتُهُ تَقُومُ بِمَئُونَتِهِ ومَنْ كَانَتْ ضَيْعَتُهُ لَا تَقُومُ بِمَئُونَتِهِ فَلَيْسَ عَلَيْهِ نِصْفُ سُدُسٍ ولَا غَيْرُ ذَلِكَ</w:t>
      </w:r>
      <w:r w:rsidRPr="00891167">
        <w:rPr>
          <w:rFonts w:ascii="Abo-thar" w:hAnsi="Abo-thar" w:cs="KFGQPC Uthman Taha Naskh" w:hint="cs"/>
          <w:b/>
          <w:bCs/>
          <w:sz w:val="28"/>
          <w:rtl/>
        </w:rPr>
        <w:t>»</w:t>
      </w:r>
      <w:r w:rsidR="00FB3B0D" w:rsidRPr="0021507A">
        <w:rPr>
          <w:rFonts w:ascii="Abo-thar" w:hAnsi="Abo-thar" w:cs="Arabic11 BT"/>
          <w:b/>
          <w:sz w:val="28"/>
          <w:vertAlign w:val="superscript"/>
          <w:rtl/>
        </w:rPr>
        <w:t>(</w:t>
      </w:r>
      <w:r w:rsidR="00FB3B0D" w:rsidRPr="0021507A">
        <w:rPr>
          <w:rStyle w:val="FootnoteReference"/>
          <w:rFonts w:ascii="Abo-thar" w:hAnsi="Abo-thar" w:cs="Arabic11 BT"/>
          <w:sz w:val="28"/>
          <w:rtl/>
        </w:rPr>
        <w:footnoteReference w:id="272"/>
      </w:r>
      <w:r w:rsidR="00FB3B0D" w:rsidRPr="0021507A">
        <w:rPr>
          <w:rFonts w:ascii="Abo-thar" w:hAnsi="Abo-thar" w:cs="Arabic11 BT"/>
          <w:b/>
          <w:sz w:val="28"/>
          <w:vertAlign w:val="superscript"/>
          <w:rtl/>
        </w:rPr>
        <w:t>)</w:t>
      </w:r>
      <w:r w:rsidR="00217AB4" w:rsidRPr="00995B26">
        <w:rPr>
          <w:rFonts w:ascii="Abo-thar" w:hAnsi="Abo-thar" w:hint="cs"/>
          <w:sz w:val="28"/>
          <w:rtl/>
        </w:rPr>
        <w:t>.</w:t>
      </w:r>
    </w:p>
    <w:p w:rsidR="00F537D0" w:rsidRPr="003F3B94" w:rsidRDefault="00F537D0" w:rsidP="003F3B94">
      <w:pPr>
        <w:pStyle w:val="a0"/>
        <w:rPr>
          <w:rFonts w:hint="cs"/>
          <w:rtl/>
        </w:rPr>
      </w:pPr>
      <w:r w:rsidRPr="003F3B94">
        <w:rPr>
          <w:rFonts w:ascii="Abo-thar" w:hAnsi="Abo-thar" w:hint="cs"/>
          <w:b/>
          <w:bCs/>
          <w:sz w:val="28"/>
          <w:rtl/>
        </w:rPr>
        <w:t>الإشكالات الواردة على هذا الحديث العجيب:</w:t>
      </w:r>
    </w:p>
    <w:p w:rsidR="005C664D" w:rsidRPr="00EE7F5E" w:rsidRDefault="005C664D" w:rsidP="00255A16">
      <w:pPr>
        <w:pStyle w:val="a0"/>
        <w:spacing w:after="0"/>
        <w:rPr>
          <w:rFonts w:hint="cs"/>
          <w:b/>
          <w:bCs/>
          <w:rtl/>
        </w:rPr>
      </w:pPr>
      <w:bookmarkStart w:id="97" w:name="_Toc215490685"/>
      <w:r w:rsidRPr="00EE7F5E">
        <w:rPr>
          <w:rFonts w:ascii="Abo-thar" w:hAnsi="Abo-thar" w:hint="cs"/>
          <w:b/>
          <w:bCs/>
          <w:sz w:val="28"/>
          <w:rtl/>
        </w:rPr>
        <w:t>الإشكال الأول</w:t>
      </w:r>
      <w:r w:rsidR="00217AB4" w:rsidRPr="00EE7F5E">
        <w:rPr>
          <w:rFonts w:ascii="Abo-thar" w:hAnsi="Abo-thar" w:hint="cs"/>
          <w:b/>
          <w:bCs/>
          <w:sz w:val="28"/>
          <w:rtl/>
        </w:rPr>
        <w:t>:</w:t>
      </w:r>
      <w:r w:rsidRPr="00EE7F5E">
        <w:rPr>
          <w:rFonts w:ascii="Abo-thar" w:hAnsi="Abo-thar" w:hint="cs"/>
          <w:b/>
          <w:bCs/>
          <w:sz w:val="28"/>
          <w:rtl/>
        </w:rPr>
        <w:t xml:space="preserve"> من ناحية السند</w:t>
      </w:r>
      <w:r w:rsidR="00217AB4" w:rsidRPr="00EE7F5E">
        <w:rPr>
          <w:rFonts w:ascii="Abo-thar" w:hAnsi="Abo-thar" w:hint="cs"/>
          <w:b/>
          <w:bCs/>
          <w:sz w:val="28"/>
          <w:rtl/>
        </w:rPr>
        <w:t>:</w:t>
      </w:r>
      <w:bookmarkEnd w:id="97"/>
    </w:p>
    <w:p w:rsidR="005C664D" w:rsidRPr="003F3B94" w:rsidRDefault="00F537D0" w:rsidP="00255A16">
      <w:pPr>
        <w:pStyle w:val="a0"/>
        <w:ind w:left="624" w:hanging="340"/>
        <w:rPr>
          <w:rFonts w:hint="cs"/>
          <w:rtl/>
        </w:rPr>
      </w:pPr>
      <w:r w:rsidRPr="003F3B94">
        <w:rPr>
          <w:rFonts w:ascii="Abo-thar" w:hAnsi="Abo-thar" w:hint="cs"/>
          <w:sz w:val="28"/>
          <w:rtl/>
        </w:rPr>
        <w:t>أ</w:t>
      </w:r>
      <w:r w:rsidR="00217AB4" w:rsidRPr="003F3B94">
        <w:rPr>
          <w:rFonts w:ascii="Abo-thar" w:hAnsi="Abo-thar" w:hint="cs"/>
          <w:sz w:val="28"/>
          <w:rtl/>
        </w:rPr>
        <w:t>-</w:t>
      </w:r>
      <w:r w:rsidR="005C664D" w:rsidRPr="003F3B94">
        <w:rPr>
          <w:rFonts w:ascii="Abo-thar" w:hAnsi="Abo-thar" w:hint="cs"/>
          <w:sz w:val="28"/>
          <w:rtl/>
        </w:rPr>
        <w:t xml:space="preserve"> اثنان من رجال سنده أي</w:t>
      </w:r>
      <w:r w:rsidR="00217AB4" w:rsidRPr="003F3B94">
        <w:rPr>
          <w:rFonts w:ascii="Abo-thar" w:hAnsi="Abo-thar" w:hint="cs"/>
          <w:sz w:val="28"/>
          <w:rtl/>
        </w:rPr>
        <w:t>:</w:t>
      </w:r>
      <w:r w:rsidR="005C664D" w:rsidRPr="003F3B94">
        <w:rPr>
          <w:rFonts w:ascii="Abo-thar" w:hAnsi="Abo-thar" w:hint="cs"/>
          <w:sz w:val="28"/>
          <w:rtl/>
        </w:rPr>
        <w:t xml:space="preserve"> </w:t>
      </w:r>
      <w:r w:rsidR="005C664D" w:rsidRPr="003F3B94">
        <w:rPr>
          <w:rFonts w:ascii="Abo-thar" w:hAnsi="Abo-thar"/>
          <w:sz w:val="28"/>
          <w:rtl/>
        </w:rPr>
        <w:t>«أَحْمَدَ بْن</w:t>
      </w:r>
      <w:r w:rsidR="005C664D" w:rsidRPr="003F3B94">
        <w:rPr>
          <w:rFonts w:ascii="Abo-thar" w:hAnsi="Abo-thar" w:hint="cs"/>
          <w:sz w:val="28"/>
          <w:rtl/>
        </w:rPr>
        <w:t>َ</w:t>
      </w:r>
      <w:r w:rsidR="005C664D" w:rsidRPr="003F3B94">
        <w:rPr>
          <w:rFonts w:ascii="Abo-thar" w:hAnsi="Abo-thar"/>
          <w:sz w:val="28"/>
          <w:rtl/>
        </w:rPr>
        <w:t xml:space="preserve"> مُحَمَّدٍ»</w:t>
      </w:r>
      <w:r w:rsidR="005C664D" w:rsidRPr="003F3B94">
        <w:rPr>
          <w:rFonts w:ascii="Abo-thar" w:hAnsi="Abo-thar" w:hint="cs"/>
          <w:sz w:val="28"/>
          <w:rtl/>
        </w:rPr>
        <w:t xml:space="preserve"> و</w:t>
      </w:r>
      <w:r w:rsidR="005C664D" w:rsidRPr="003F3B94">
        <w:rPr>
          <w:rFonts w:ascii="Abo-thar" w:hAnsi="Abo-thar"/>
          <w:sz w:val="28"/>
          <w:rtl/>
        </w:rPr>
        <w:t>«عَبْد</w:t>
      </w:r>
      <w:r w:rsidR="005C664D" w:rsidRPr="003F3B94">
        <w:rPr>
          <w:rFonts w:ascii="Abo-thar" w:hAnsi="Abo-thar" w:hint="cs"/>
          <w:sz w:val="28"/>
          <w:rtl/>
        </w:rPr>
        <w:t>َ</w:t>
      </w:r>
      <w:r w:rsidR="005C664D" w:rsidRPr="003F3B94">
        <w:rPr>
          <w:rFonts w:ascii="Abo-thar" w:hAnsi="Abo-thar"/>
          <w:sz w:val="28"/>
          <w:rtl/>
        </w:rPr>
        <w:t xml:space="preserve"> اللهِ بْن</w:t>
      </w:r>
      <w:r w:rsidR="005C664D" w:rsidRPr="003F3B94">
        <w:rPr>
          <w:rFonts w:ascii="Abo-thar" w:hAnsi="Abo-thar" w:hint="cs"/>
          <w:sz w:val="28"/>
          <w:rtl/>
        </w:rPr>
        <w:t>َ</w:t>
      </w:r>
      <w:r w:rsidR="005C664D" w:rsidRPr="003F3B94">
        <w:rPr>
          <w:rFonts w:ascii="Abo-thar" w:hAnsi="Abo-thar"/>
          <w:sz w:val="28"/>
          <w:rtl/>
        </w:rPr>
        <w:t xml:space="preserve"> مُحَمَّدٍ»</w:t>
      </w:r>
      <w:r w:rsidR="005C664D" w:rsidRPr="003F3B94">
        <w:rPr>
          <w:rFonts w:ascii="Abo-thar" w:hAnsi="Abo-thar" w:hint="cs"/>
          <w:sz w:val="28"/>
          <w:rtl/>
        </w:rPr>
        <w:t xml:space="preserve"> مجهولا الحال وغيرُ معروفَيْن في كتب الرجال</w:t>
      </w:r>
      <w:r w:rsidR="00217AB4" w:rsidRPr="003F3B94">
        <w:rPr>
          <w:rFonts w:ascii="Abo-thar" w:hAnsi="Abo-thar" w:hint="cs"/>
          <w:sz w:val="28"/>
          <w:rtl/>
        </w:rPr>
        <w:t>.</w:t>
      </w:r>
    </w:p>
    <w:p w:rsidR="005C664D" w:rsidRPr="003F3B94" w:rsidRDefault="00F537D0" w:rsidP="00255A16">
      <w:pPr>
        <w:pStyle w:val="a0"/>
        <w:ind w:left="624" w:hanging="340"/>
        <w:rPr>
          <w:rFonts w:hint="cs"/>
          <w:rtl/>
        </w:rPr>
      </w:pPr>
      <w:r w:rsidRPr="003F3B94">
        <w:rPr>
          <w:rFonts w:ascii="Abo-thar" w:hAnsi="Abo-thar" w:hint="cs"/>
          <w:sz w:val="28"/>
          <w:rtl/>
        </w:rPr>
        <w:t>ب</w:t>
      </w:r>
      <w:r w:rsidR="00217AB4" w:rsidRPr="003F3B94">
        <w:rPr>
          <w:rFonts w:ascii="Abo-thar" w:hAnsi="Abo-thar" w:hint="cs"/>
          <w:sz w:val="28"/>
          <w:rtl/>
        </w:rPr>
        <w:t>-</w:t>
      </w:r>
      <w:r w:rsidR="005C664D" w:rsidRPr="003F3B94">
        <w:rPr>
          <w:rFonts w:ascii="Abo-thar" w:hAnsi="Abo-thar" w:hint="cs"/>
          <w:sz w:val="28"/>
          <w:rtl/>
        </w:rPr>
        <w:t xml:space="preserve"> </w:t>
      </w:r>
      <w:r w:rsidR="009E3C80" w:rsidRPr="003F3B94">
        <w:rPr>
          <w:rFonts w:ascii="Abo-thar" w:hAnsi="Abo-thar" w:hint="cs"/>
          <w:sz w:val="28"/>
          <w:rtl/>
        </w:rPr>
        <w:t>راوي</w:t>
      </w:r>
      <w:r w:rsidR="005C664D" w:rsidRPr="003F3B94">
        <w:rPr>
          <w:rFonts w:ascii="Abo-thar" w:hAnsi="Abo-thar" w:hint="cs"/>
          <w:sz w:val="28"/>
          <w:rtl/>
        </w:rPr>
        <w:t xml:space="preserve"> الحديث المتصل بالمعصوم هو </w:t>
      </w:r>
      <w:r w:rsidR="005C664D" w:rsidRPr="003F3B94">
        <w:rPr>
          <w:rFonts w:ascii="Abo-thar" w:hAnsi="Abo-thar"/>
          <w:sz w:val="28"/>
          <w:rtl/>
        </w:rPr>
        <w:t>«عَلِيُّ بْنُ مَهْزِيَارَ»</w:t>
      </w:r>
      <w:r w:rsidR="005C664D" w:rsidRPr="003F3B94">
        <w:rPr>
          <w:rFonts w:ascii="Abo-thar" w:hAnsi="Abo-thar" w:hint="cs"/>
          <w:sz w:val="28"/>
          <w:rtl/>
        </w:rPr>
        <w:t xml:space="preserve"> وهو بطل قصة حق الإمام في خمس جميع أرباح المكاسب</w:t>
      </w:r>
      <w:r w:rsidR="00217AB4" w:rsidRPr="003F3B94">
        <w:rPr>
          <w:rFonts w:ascii="Abo-thar" w:hAnsi="Abo-thar" w:hint="cs"/>
          <w:sz w:val="28"/>
          <w:rtl/>
        </w:rPr>
        <w:t>،</w:t>
      </w:r>
      <w:r w:rsidR="005C664D" w:rsidRPr="003F3B94">
        <w:rPr>
          <w:rFonts w:ascii="Abo-thar" w:hAnsi="Abo-thar" w:hint="cs"/>
          <w:sz w:val="28"/>
          <w:rtl/>
        </w:rPr>
        <w:t xml:space="preserve"> لأن جميع الروايات التي تتعلق بهذا الموضوع ترجع إلى هذا الرجل</w:t>
      </w:r>
      <w:r w:rsidR="00217AB4" w:rsidRPr="003F3B94">
        <w:rPr>
          <w:rFonts w:ascii="Abo-thar" w:hAnsi="Abo-thar" w:hint="cs"/>
          <w:sz w:val="28"/>
          <w:rtl/>
        </w:rPr>
        <w:t>.</w:t>
      </w:r>
    </w:p>
    <w:p w:rsidR="005C664D" w:rsidRPr="003F3B94" w:rsidRDefault="005C664D" w:rsidP="00255A16">
      <w:pPr>
        <w:pStyle w:val="a0"/>
        <w:ind w:left="624" w:firstLine="0"/>
        <w:rPr>
          <w:rFonts w:hint="cs"/>
          <w:rtl/>
          <w:lang w:bidi="ar-SY"/>
        </w:rPr>
      </w:pPr>
      <w:r w:rsidRPr="003F3B94">
        <w:rPr>
          <w:rFonts w:ascii="Abo-thar" w:hAnsi="Abo-thar" w:hint="cs"/>
          <w:sz w:val="28"/>
          <w:rtl/>
        </w:rPr>
        <w:t>طبقاً لما تذكره كتب الرجال</w:t>
      </w:r>
      <w:r w:rsidR="00217AB4" w:rsidRPr="003F3B94">
        <w:rPr>
          <w:rFonts w:ascii="Abo-thar" w:hAnsi="Abo-thar" w:hint="cs"/>
          <w:sz w:val="28"/>
          <w:rtl/>
        </w:rPr>
        <w:t>،</w:t>
      </w:r>
      <w:r w:rsidRPr="003F3B94">
        <w:rPr>
          <w:rFonts w:ascii="Abo-thar" w:hAnsi="Abo-thar" w:hint="cs"/>
          <w:sz w:val="28"/>
          <w:rtl/>
        </w:rPr>
        <w:t xml:space="preserve"> كان </w:t>
      </w:r>
      <w:r w:rsidRPr="003F3B94">
        <w:rPr>
          <w:rFonts w:ascii="Lotus Linotype" w:hAnsi="Lotus Linotype"/>
          <w:sz w:val="28"/>
          <w:rtl/>
        </w:rPr>
        <w:t>«</w:t>
      </w:r>
      <w:r w:rsidRPr="003F3B94">
        <w:rPr>
          <w:rFonts w:ascii="Abo-thar" w:hAnsi="Abo-thar"/>
          <w:sz w:val="28"/>
          <w:rtl/>
        </w:rPr>
        <w:t>عَلِيُّ بْنُ مَهْزِيَارَ</w:t>
      </w:r>
      <w:r w:rsidRPr="003F3B94">
        <w:rPr>
          <w:rFonts w:ascii="Lotus Linotype" w:hAnsi="Lotus Linotype"/>
          <w:sz w:val="28"/>
          <w:rtl/>
        </w:rPr>
        <w:t>»</w:t>
      </w:r>
      <w:r w:rsidRPr="003F3B94">
        <w:rPr>
          <w:rFonts w:ascii="Abo-thar" w:hAnsi="Abo-thar" w:hint="cs"/>
          <w:sz w:val="28"/>
          <w:rtl/>
        </w:rPr>
        <w:t xml:space="preserve"> في أول أمره نصرانياً من نصارى الأهواز</w:t>
      </w:r>
      <w:r w:rsidR="00217AB4" w:rsidRPr="003F3B94">
        <w:rPr>
          <w:rFonts w:ascii="Abo-thar" w:hAnsi="Abo-thar" w:hint="cs"/>
          <w:sz w:val="28"/>
          <w:rtl/>
        </w:rPr>
        <w:t>،</w:t>
      </w:r>
      <w:r w:rsidRPr="003F3B94">
        <w:rPr>
          <w:rFonts w:ascii="Abo-thar" w:hAnsi="Abo-thar" w:hint="cs"/>
          <w:sz w:val="28"/>
          <w:rtl/>
        </w:rPr>
        <w:t xml:space="preserve"> ثم أسلم بعد ذلك</w:t>
      </w:r>
      <w:r w:rsidR="00217AB4" w:rsidRPr="003F3B94">
        <w:rPr>
          <w:rFonts w:ascii="Abo-thar" w:hAnsi="Abo-thar" w:hint="cs"/>
          <w:sz w:val="28"/>
          <w:rtl/>
        </w:rPr>
        <w:t>،</w:t>
      </w:r>
      <w:r w:rsidRPr="003F3B94">
        <w:rPr>
          <w:rFonts w:ascii="Abo-thar" w:hAnsi="Abo-thar" w:hint="cs"/>
          <w:sz w:val="28"/>
          <w:rtl/>
        </w:rPr>
        <w:t xml:space="preserve"> ولا قدّر الله أن تكون بعض آثار النصرانية قد بقيت فيه مثل أخذ القساوسة والبابا لكفارات وغرامات من الناس</w:t>
      </w:r>
      <w:r w:rsidR="00217AB4" w:rsidRPr="003F3B94">
        <w:rPr>
          <w:rFonts w:ascii="Abo-thar" w:hAnsi="Abo-thar" w:hint="cs"/>
          <w:sz w:val="28"/>
          <w:rtl/>
        </w:rPr>
        <w:t>.</w:t>
      </w:r>
      <w:r w:rsidRPr="003F3B94">
        <w:rPr>
          <w:rFonts w:ascii="Abo-thar" w:hAnsi="Abo-thar" w:hint="cs"/>
          <w:sz w:val="28"/>
          <w:rtl/>
        </w:rPr>
        <w:t xml:space="preserve"> وقد روت كتب الرجال أنه كاتب وراسل بعض الأئمة</w:t>
      </w:r>
      <w:r w:rsidR="00147857" w:rsidRPr="003F3B94">
        <w:rPr>
          <w:rFonts w:ascii="Abo-thar" w:hAnsi="Abo-thar" w:hint="cs"/>
          <w:sz w:val="28"/>
          <w:rtl/>
        </w:rPr>
        <w:t xml:space="preserve"> </w:t>
      </w:r>
      <w:r w:rsidR="00963EFD" w:rsidRPr="00963EFD">
        <w:rPr>
          <w:rFonts w:ascii="Abo-thar" w:hAnsi="Abo-thar" w:cs="CTraditional Arabic"/>
          <w:sz w:val="28"/>
          <w:rtl/>
        </w:rPr>
        <w:t>‡</w:t>
      </w:r>
      <w:r w:rsidR="00147857" w:rsidRPr="003F3B94">
        <w:rPr>
          <w:rFonts w:ascii="Abo-thar" w:hAnsi="Abo-thar"/>
          <w:sz w:val="28"/>
          <w:rtl/>
        </w:rPr>
        <w:t xml:space="preserve"> </w:t>
      </w:r>
      <w:r w:rsidRPr="003F3B94">
        <w:rPr>
          <w:rFonts w:ascii="Abo-thar" w:hAnsi="Abo-thar" w:hint="cs"/>
          <w:sz w:val="28"/>
          <w:rtl/>
        </w:rPr>
        <w:t>وأن الأئمة كتبوا له وأجابوه على رسائله</w:t>
      </w:r>
      <w:r w:rsidR="00217AB4" w:rsidRPr="003F3B94">
        <w:rPr>
          <w:rFonts w:ascii="Abo-thar" w:hAnsi="Abo-thar" w:hint="cs"/>
          <w:sz w:val="28"/>
          <w:rtl/>
        </w:rPr>
        <w:t>،</w:t>
      </w:r>
      <w:r w:rsidRPr="003F3B94">
        <w:rPr>
          <w:rFonts w:ascii="Abo-thar" w:hAnsi="Abo-thar" w:hint="cs"/>
          <w:sz w:val="28"/>
          <w:rtl/>
        </w:rPr>
        <w:t xml:space="preserve"> وقد جاء في تلك الرسائل التعريف به بوصفه وكيلاً ونائباً للإمام في أخذ الأخماس وأموال الزكاة</w:t>
      </w:r>
      <w:r w:rsidR="00217AB4" w:rsidRPr="003F3B94">
        <w:rPr>
          <w:rFonts w:ascii="Abo-thar" w:hAnsi="Abo-thar" w:hint="cs"/>
          <w:sz w:val="28"/>
          <w:rtl/>
        </w:rPr>
        <w:t>.</w:t>
      </w:r>
      <w:r w:rsidR="00147857" w:rsidRPr="003F3B94">
        <w:rPr>
          <w:rFonts w:ascii="Abo-thar" w:hAnsi="Abo-thar" w:hint="cs"/>
          <w:sz w:val="28"/>
          <w:rtl/>
        </w:rPr>
        <w:t xml:space="preserve"> </w:t>
      </w:r>
      <w:r w:rsidRPr="003F3B94">
        <w:rPr>
          <w:rFonts w:ascii="Abo-thar" w:hAnsi="Abo-thar" w:hint="cs"/>
          <w:sz w:val="28"/>
          <w:rtl/>
        </w:rPr>
        <w:t xml:space="preserve">وفي نهاية الأمر كتب رسائل إلى حضـرة الإمام محمد التقي </w:t>
      </w:r>
      <w:r w:rsidR="00217AB4" w:rsidRPr="003F3B94">
        <w:rPr>
          <w:rFonts w:ascii="Abo-thar" w:hAnsi="Abo-thar" w:hint="cs"/>
          <w:sz w:val="28"/>
          <w:rtl/>
        </w:rPr>
        <w:t>(</w:t>
      </w:r>
      <w:r w:rsidRPr="003F3B94">
        <w:rPr>
          <w:rFonts w:ascii="Abo-thar" w:hAnsi="Abo-thar" w:hint="cs"/>
          <w:sz w:val="28"/>
          <w:rtl/>
        </w:rPr>
        <w:t>الجواد</w:t>
      </w:r>
      <w:r w:rsidR="00217AB4" w:rsidRPr="003F3B94">
        <w:rPr>
          <w:rFonts w:ascii="Abo-thar" w:hAnsi="Abo-thar" w:hint="cs"/>
          <w:sz w:val="28"/>
          <w:rtl/>
        </w:rPr>
        <w:t>)</w:t>
      </w:r>
      <w:r w:rsidR="00147857" w:rsidRPr="003F3B94">
        <w:rPr>
          <w:rFonts w:ascii="Abo-thar" w:hAnsi="Abo-thar" w:hint="cs"/>
          <w:sz w:val="28"/>
          <w:rtl/>
        </w:rPr>
        <w:t xml:space="preserve"> </w:t>
      </w:r>
      <w:r w:rsidR="003C7AEB" w:rsidRPr="003C7AEB">
        <w:rPr>
          <w:rFonts w:ascii="Abo-thar" w:hAnsi="Abo-thar" w:cs="CTraditional Arabic"/>
          <w:sz w:val="28"/>
          <w:rtl/>
        </w:rPr>
        <w:t>÷</w:t>
      </w:r>
      <w:r w:rsidR="00147857" w:rsidRPr="003F3B94">
        <w:rPr>
          <w:rFonts w:ascii="Abo-thar" w:hAnsi="Abo-thar"/>
          <w:sz w:val="28"/>
          <w:rtl/>
        </w:rPr>
        <w:t xml:space="preserve"> </w:t>
      </w:r>
      <w:r w:rsidRPr="003F3B94">
        <w:rPr>
          <w:rFonts w:ascii="Abo-thar" w:hAnsi="Abo-thar" w:hint="cs"/>
          <w:sz w:val="28"/>
          <w:rtl/>
        </w:rPr>
        <w:t xml:space="preserve">وادَّعى </w:t>
      </w:r>
      <w:r w:rsidRPr="003F3B94">
        <w:rPr>
          <w:rFonts w:ascii="Abo-thar" w:hAnsi="Abo-thar"/>
          <w:sz w:val="28"/>
          <w:rtl/>
        </w:rPr>
        <w:t>«</w:t>
      </w:r>
      <w:r w:rsidRPr="003F3B94">
        <w:rPr>
          <w:rFonts w:ascii="Abo-thar" w:hAnsi="Abo-thar" w:hint="cs"/>
          <w:sz w:val="28"/>
          <w:rtl/>
        </w:rPr>
        <w:t>ابن مهزيار</w:t>
      </w:r>
      <w:r w:rsidRPr="003F3B94">
        <w:rPr>
          <w:rFonts w:ascii="Abo-thar" w:hAnsi="Abo-thar"/>
          <w:sz w:val="28"/>
          <w:rtl/>
        </w:rPr>
        <w:t>»</w:t>
      </w:r>
      <w:r w:rsidRPr="003F3B94">
        <w:rPr>
          <w:rFonts w:ascii="Abo-thar" w:hAnsi="Abo-thar" w:hint="cs"/>
          <w:sz w:val="28"/>
          <w:rtl/>
        </w:rPr>
        <w:t xml:space="preserve"> أنه طلب فيها من الإمام أن يحلل له ما في يديه من أموال</w:t>
      </w:r>
      <w:r w:rsidR="00217AB4" w:rsidRPr="003F3B94">
        <w:rPr>
          <w:rFonts w:ascii="Abo-thar" w:hAnsi="Abo-thar" w:hint="cs"/>
          <w:sz w:val="28"/>
          <w:rtl/>
        </w:rPr>
        <w:t>،</w:t>
      </w:r>
      <w:r w:rsidRPr="003F3B94">
        <w:rPr>
          <w:rFonts w:ascii="Abo-thar" w:hAnsi="Abo-thar" w:hint="cs"/>
          <w:sz w:val="28"/>
          <w:rtl/>
        </w:rPr>
        <w:t xml:space="preserve"> وقال إن الإمام أجابه بالإيجاب</w:t>
      </w:r>
      <w:r w:rsidR="00147857" w:rsidRPr="003F3B94">
        <w:rPr>
          <w:rFonts w:ascii="Abo-thar" w:hAnsi="Abo-thar" w:hint="cs"/>
          <w:sz w:val="28"/>
          <w:rtl/>
        </w:rPr>
        <w:t xml:space="preserve"> و</w:t>
      </w:r>
      <w:r w:rsidRPr="003F3B94">
        <w:rPr>
          <w:rFonts w:ascii="Abo-thar" w:hAnsi="Abo-thar" w:hint="cs"/>
          <w:sz w:val="28"/>
          <w:rtl/>
        </w:rPr>
        <w:t>قبل طلبه وحلل له جميع ما في يديه من أموال</w:t>
      </w:r>
      <w:r w:rsidR="00217AB4" w:rsidRPr="003F3B94">
        <w:rPr>
          <w:rFonts w:ascii="Abo-thar" w:hAnsi="Abo-thar" w:hint="cs"/>
          <w:sz w:val="28"/>
          <w:rtl/>
        </w:rPr>
        <w:t>!</w:t>
      </w:r>
      <w:r w:rsidRPr="003F3B94">
        <w:rPr>
          <w:rFonts w:ascii="Abo-thar" w:hAnsi="Abo-thar" w:hint="cs"/>
          <w:sz w:val="28"/>
          <w:rtl/>
        </w:rPr>
        <w:t xml:space="preserve"> كما جاء ذلك في كتاب </w:t>
      </w:r>
      <w:r w:rsidRPr="003F3B94">
        <w:rPr>
          <w:rFonts w:ascii="Abo-thar" w:hAnsi="Abo-thar"/>
          <w:sz w:val="28"/>
          <w:rtl/>
        </w:rPr>
        <w:t>«</w:t>
      </w:r>
      <w:r w:rsidRPr="003F3B94">
        <w:rPr>
          <w:rFonts w:ascii="Abo-thar" w:hAnsi="Abo-thar" w:hint="cs"/>
          <w:sz w:val="28"/>
          <w:rtl/>
        </w:rPr>
        <w:t>تنقيح المقال</w:t>
      </w:r>
      <w:r w:rsidRPr="003F3B94">
        <w:rPr>
          <w:rFonts w:ascii="Abo-thar" w:hAnsi="Abo-thar"/>
          <w:sz w:val="28"/>
          <w:rtl/>
        </w:rPr>
        <w:t>»</w:t>
      </w:r>
      <w:r w:rsidRPr="003F3B94">
        <w:rPr>
          <w:rFonts w:ascii="Abo-thar" w:hAnsi="Abo-thar" w:hint="cs"/>
          <w:sz w:val="28"/>
          <w:rtl/>
        </w:rPr>
        <w:t xml:space="preserve"> </w:t>
      </w:r>
      <w:r w:rsidR="00217AB4" w:rsidRPr="003F3B94">
        <w:rPr>
          <w:rFonts w:ascii="Abo-thar" w:hAnsi="Abo-thar" w:hint="cs"/>
          <w:sz w:val="28"/>
          <w:rtl/>
        </w:rPr>
        <w:t>(</w:t>
      </w:r>
      <w:r w:rsidRPr="003F3B94">
        <w:rPr>
          <w:rFonts w:ascii="Abo-thar" w:hAnsi="Abo-thar" w:hint="cs"/>
          <w:sz w:val="28"/>
          <w:rtl/>
        </w:rPr>
        <w:t>ج2</w:t>
      </w:r>
      <w:r w:rsidR="00920257" w:rsidRPr="003F3B94">
        <w:rPr>
          <w:rFonts w:ascii="Abo-thar" w:hAnsi="Abo-thar" w:hint="cs"/>
          <w:sz w:val="28"/>
          <w:rtl/>
        </w:rPr>
        <w:t xml:space="preserve">، </w:t>
      </w:r>
      <w:r w:rsidRPr="003F3B94">
        <w:rPr>
          <w:rFonts w:ascii="Abo-thar" w:hAnsi="Abo-thar" w:hint="cs"/>
          <w:sz w:val="28"/>
          <w:rtl/>
        </w:rPr>
        <w:t>ص311</w:t>
      </w:r>
      <w:r w:rsidR="00217AB4" w:rsidRPr="003F3B94">
        <w:rPr>
          <w:rFonts w:ascii="Abo-thar" w:hAnsi="Abo-thar" w:hint="cs"/>
          <w:sz w:val="28"/>
          <w:rtl/>
        </w:rPr>
        <w:t>)</w:t>
      </w:r>
      <w:r w:rsidRPr="003F3B94">
        <w:rPr>
          <w:rFonts w:ascii="Abo-thar" w:hAnsi="Abo-thar" w:hint="cs"/>
          <w:sz w:val="28"/>
          <w:rtl/>
        </w:rPr>
        <w:t xml:space="preserve"> ونصُّه</w:t>
      </w:r>
      <w:r w:rsidR="00217AB4" w:rsidRPr="003F3B94">
        <w:rPr>
          <w:rFonts w:ascii="Abo-thar" w:hAnsi="Abo-thar" w:hint="cs"/>
          <w:sz w:val="28"/>
          <w:rtl/>
        </w:rPr>
        <w:t>:</w:t>
      </w:r>
    </w:p>
    <w:p w:rsidR="005C664D" w:rsidRPr="003F3B94" w:rsidRDefault="00EF2588" w:rsidP="00255A16">
      <w:pPr>
        <w:pStyle w:val="a0"/>
        <w:ind w:left="624" w:firstLine="0"/>
        <w:rPr>
          <w:rFonts w:hint="cs"/>
          <w:rtl/>
          <w:lang w:bidi="ar-SY"/>
        </w:rPr>
      </w:pPr>
      <w:r w:rsidRPr="003F3B94">
        <w:rPr>
          <w:rFonts w:ascii="Abo-thar" w:hAnsi="Abo-thar" w:hint="cs"/>
          <w:sz w:val="28"/>
          <w:rtl/>
          <w:lang w:bidi="ar-SY"/>
        </w:rPr>
        <w:t>«</w:t>
      </w:r>
      <w:r w:rsidR="005C664D" w:rsidRPr="003F3B94">
        <w:rPr>
          <w:rFonts w:ascii="Abo-thar" w:hAnsi="Abo-thar"/>
          <w:b/>
          <w:bCs/>
          <w:sz w:val="28"/>
          <w:rtl/>
          <w:lang w:bidi="ar-SY"/>
        </w:rPr>
        <w:t>ومنها ما</w:t>
      </w:r>
      <w:r w:rsidR="005C664D" w:rsidRPr="003F3B94">
        <w:rPr>
          <w:rFonts w:ascii="Abo-thar" w:hAnsi="Abo-thar" w:hint="cs"/>
          <w:b/>
          <w:bCs/>
          <w:sz w:val="28"/>
          <w:rtl/>
          <w:lang w:bidi="ar-SY"/>
        </w:rPr>
        <w:t xml:space="preserve"> </w:t>
      </w:r>
      <w:r w:rsidR="005C664D" w:rsidRPr="003F3B94">
        <w:rPr>
          <w:rFonts w:ascii="Abo-thar" w:hAnsi="Abo-thar"/>
          <w:b/>
          <w:bCs/>
          <w:sz w:val="28"/>
          <w:rtl/>
          <w:lang w:bidi="ar-SY"/>
        </w:rPr>
        <w:t>نقله من قوله</w:t>
      </w:r>
      <w:r w:rsidR="00217AB4" w:rsidRPr="003F3B94">
        <w:rPr>
          <w:rFonts w:ascii="Abo-thar" w:hAnsi="Abo-thar" w:hint="cs"/>
          <w:b/>
          <w:bCs/>
          <w:sz w:val="28"/>
          <w:rtl/>
          <w:lang w:bidi="ar-SY"/>
        </w:rPr>
        <w:t>:</w:t>
      </w:r>
      <w:r w:rsidR="005C664D" w:rsidRPr="003F3B94">
        <w:rPr>
          <w:rFonts w:ascii="Abo-thar" w:hAnsi="Abo-thar"/>
          <w:b/>
          <w:bCs/>
          <w:sz w:val="28"/>
          <w:rtl/>
          <w:lang w:bidi="ar-SY"/>
        </w:rPr>
        <w:t xml:space="preserve"> و</w:t>
      </w:r>
      <w:r w:rsidR="00D326AD" w:rsidRPr="003F3B94">
        <w:rPr>
          <w:rFonts w:ascii="Abo-thar" w:hAnsi="Abo-thar"/>
          <w:b/>
          <w:bCs/>
          <w:sz w:val="28"/>
          <w:rtl/>
          <w:lang w:bidi="ar-SY"/>
        </w:rPr>
        <w:t>ك</w:t>
      </w:r>
      <w:r w:rsidR="005C664D" w:rsidRPr="003F3B94">
        <w:rPr>
          <w:rFonts w:ascii="Abo-thar" w:hAnsi="Abo-thar"/>
          <w:b/>
          <w:bCs/>
          <w:sz w:val="28"/>
          <w:rtl/>
          <w:lang w:bidi="ar-SY"/>
        </w:rPr>
        <w:t>تبت</w:t>
      </w:r>
      <w:r w:rsidR="005C664D" w:rsidRPr="003F3B94">
        <w:rPr>
          <w:rFonts w:ascii="Abo-thar" w:hAnsi="Abo-thar" w:hint="cs"/>
          <w:b/>
          <w:bCs/>
          <w:sz w:val="28"/>
          <w:rtl/>
          <w:lang w:bidi="ar-SY"/>
        </w:rPr>
        <w:t>ُ</w:t>
      </w:r>
      <w:r w:rsidR="005C664D" w:rsidRPr="003F3B94">
        <w:rPr>
          <w:rFonts w:cs="Times New Roman" w:hint="cs"/>
          <w:b/>
          <w:bCs/>
          <w:sz w:val="28"/>
          <w:rtl/>
          <w:lang w:bidi="ar-SY"/>
        </w:rPr>
        <w:t>‌</w:t>
      </w:r>
      <w:r w:rsidR="005C664D" w:rsidRPr="003F3B94">
        <w:rPr>
          <w:rFonts w:ascii="Abo-thar" w:hAnsi="Abo-thar" w:hint="cs"/>
          <w:b/>
          <w:bCs/>
          <w:sz w:val="28"/>
          <w:rtl/>
          <w:lang w:bidi="ar-SY"/>
        </w:rPr>
        <w:t xml:space="preserve"> إل</w:t>
      </w:r>
      <w:r w:rsidR="009E3C80" w:rsidRPr="003F3B94">
        <w:rPr>
          <w:rFonts w:ascii="Abo-thar" w:hAnsi="Abo-thar" w:hint="cs"/>
          <w:b/>
          <w:bCs/>
          <w:sz w:val="28"/>
          <w:rtl/>
          <w:lang w:bidi="ar-SY"/>
        </w:rPr>
        <w:t>ي</w:t>
      </w:r>
      <w:r w:rsidR="005C664D" w:rsidRPr="003F3B94">
        <w:rPr>
          <w:rFonts w:ascii="Abo-thar" w:hAnsi="Abo-thar" w:hint="eastAsia"/>
          <w:b/>
          <w:bCs/>
          <w:sz w:val="28"/>
          <w:rtl/>
          <w:lang w:bidi="ar-SY"/>
        </w:rPr>
        <w:t>ه</w:t>
      </w:r>
      <w:r w:rsidR="005C664D" w:rsidRPr="003F3B94">
        <w:rPr>
          <w:rFonts w:ascii="Abo-thar" w:hAnsi="Abo-thar"/>
          <w:b/>
          <w:bCs/>
          <w:sz w:val="28"/>
          <w:rtl/>
          <w:lang w:bidi="ar-SY"/>
        </w:rPr>
        <w:t xml:space="preserve"> </w:t>
      </w:r>
      <w:r w:rsidR="005C664D" w:rsidRPr="003F3B94">
        <w:rPr>
          <w:rFonts w:ascii="Abo-thar" w:hAnsi="Abo-thar" w:hint="cs"/>
          <w:b/>
          <w:bCs/>
          <w:sz w:val="28"/>
          <w:rtl/>
          <w:lang w:bidi="ar-SY"/>
        </w:rPr>
        <w:t>أ</w:t>
      </w:r>
      <w:r w:rsidR="005C664D" w:rsidRPr="003F3B94">
        <w:rPr>
          <w:rFonts w:ascii="Abo-thar" w:hAnsi="Abo-thar"/>
          <w:b/>
          <w:bCs/>
          <w:sz w:val="28"/>
          <w:rtl/>
          <w:lang w:bidi="ar-SY"/>
        </w:rPr>
        <w:t>س</w:t>
      </w:r>
      <w:r w:rsidR="005C664D" w:rsidRPr="003F3B94">
        <w:rPr>
          <w:rFonts w:ascii="Abo-thar" w:hAnsi="Abo-thar" w:hint="cs"/>
          <w:b/>
          <w:bCs/>
          <w:sz w:val="28"/>
          <w:rtl/>
          <w:lang w:bidi="ar-SY"/>
        </w:rPr>
        <w:t>أ</w:t>
      </w:r>
      <w:r w:rsidR="005C664D" w:rsidRPr="003F3B94">
        <w:rPr>
          <w:rFonts w:ascii="Abo-thar" w:hAnsi="Abo-thar"/>
          <w:b/>
          <w:bCs/>
          <w:sz w:val="28"/>
          <w:rtl/>
          <w:lang w:bidi="ar-SY"/>
        </w:rPr>
        <w:t>له</w:t>
      </w:r>
      <w:r w:rsidR="005C664D" w:rsidRPr="003F3B94">
        <w:rPr>
          <w:rFonts w:cs="Times New Roman" w:hint="cs"/>
          <w:b/>
          <w:bCs/>
          <w:sz w:val="28"/>
          <w:rtl/>
          <w:lang w:bidi="ar-SY"/>
        </w:rPr>
        <w:t>‌</w:t>
      </w:r>
      <w:r w:rsidR="005C664D" w:rsidRPr="003F3B94">
        <w:rPr>
          <w:rFonts w:ascii="Abo-thar" w:hAnsi="Abo-thar" w:hint="cs"/>
          <w:b/>
          <w:bCs/>
          <w:sz w:val="28"/>
          <w:rtl/>
          <w:lang w:bidi="ar-SY"/>
        </w:rPr>
        <w:t xml:space="preserve"> التوسُّعَ والتحل</w:t>
      </w:r>
      <w:r w:rsidR="00D326AD" w:rsidRPr="003F3B94">
        <w:rPr>
          <w:rFonts w:ascii="Abo-thar" w:hAnsi="Abo-thar" w:hint="cs"/>
          <w:b/>
          <w:bCs/>
          <w:sz w:val="28"/>
          <w:rtl/>
          <w:lang w:bidi="ar-SY"/>
        </w:rPr>
        <w:t>ي</w:t>
      </w:r>
      <w:r w:rsidR="005C664D" w:rsidRPr="003F3B94">
        <w:rPr>
          <w:rFonts w:ascii="Abo-thar" w:hAnsi="Abo-thar" w:hint="eastAsia"/>
          <w:b/>
          <w:bCs/>
          <w:sz w:val="28"/>
          <w:rtl/>
          <w:lang w:bidi="ar-SY"/>
        </w:rPr>
        <w:t>ل</w:t>
      </w:r>
      <w:r w:rsidR="005C664D" w:rsidRPr="003F3B94">
        <w:rPr>
          <w:rFonts w:ascii="Abo-thar" w:hAnsi="Abo-thar"/>
          <w:b/>
          <w:bCs/>
          <w:sz w:val="28"/>
          <w:rtl/>
          <w:lang w:bidi="ar-SY"/>
        </w:rPr>
        <w:t xml:space="preserve"> لما ف</w:t>
      </w:r>
      <w:r w:rsidR="005C664D" w:rsidRPr="003F3B94">
        <w:rPr>
          <w:rFonts w:ascii="Abo-thar" w:hAnsi="Abo-thar" w:hint="cs"/>
          <w:b/>
          <w:bCs/>
          <w:sz w:val="28"/>
          <w:rtl/>
          <w:lang w:bidi="ar-SY"/>
        </w:rPr>
        <w:t>ي</w:t>
      </w:r>
      <w:r w:rsidR="005C664D" w:rsidRPr="003F3B94">
        <w:rPr>
          <w:rFonts w:ascii="Abo-thar" w:hAnsi="Abo-thar"/>
          <w:b/>
          <w:bCs/>
          <w:sz w:val="28"/>
          <w:rtl/>
          <w:lang w:bidi="ar-SY"/>
        </w:rPr>
        <w:t xml:space="preserve"> </w:t>
      </w:r>
      <w:r w:rsidR="00D326AD" w:rsidRPr="003F3B94">
        <w:rPr>
          <w:rFonts w:ascii="Abo-thar" w:hAnsi="Abo-thar" w:hint="cs"/>
          <w:b/>
          <w:bCs/>
          <w:sz w:val="28"/>
          <w:rtl/>
          <w:lang w:bidi="ar-SY"/>
        </w:rPr>
        <w:t>ي</w:t>
      </w:r>
      <w:r w:rsidR="005C664D" w:rsidRPr="003F3B94">
        <w:rPr>
          <w:rFonts w:ascii="Abo-thar" w:hAnsi="Abo-thar" w:hint="eastAsia"/>
          <w:b/>
          <w:bCs/>
          <w:sz w:val="28"/>
          <w:rtl/>
          <w:lang w:bidi="ar-SY"/>
        </w:rPr>
        <w:t>د</w:t>
      </w:r>
      <w:r w:rsidR="005C664D" w:rsidRPr="003F3B94">
        <w:rPr>
          <w:rFonts w:ascii="Abo-thar" w:hAnsi="Abo-thar" w:hint="cs"/>
          <w:b/>
          <w:bCs/>
          <w:sz w:val="28"/>
          <w:rtl/>
          <w:lang w:bidi="ar-SY"/>
        </w:rPr>
        <w:t>ي</w:t>
      </w:r>
      <w:r w:rsidR="00217AB4" w:rsidRPr="003F3B94">
        <w:rPr>
          <w:rFonts w:ascii="Abo-thar" w:hAnsi="Abo-thar" w:hint="cs"/>
          <w:b/>
          <w:bCs/>
          <w:sz w:val="28"/>
          <w:rtl/>
          <w:lang w:bidi="ar-SY"/>
        </w:rPr>
        <w:t>،</w:t>
      </w:r>
      <w:r w:rsidR="005C664D" w:rsidRPr="003F3B94">
        <w:rPr>
          <w:rFonts w:ascii="Abo-thar" w:hAnsi="Abo-thar"/>
          <w:b/>
          <w:bCs/>
          <w:sz w:val="28"/>
          <w:rtl/>
          <w:lang w:bidi="ar-SY"/>
        </w:rPr>
        <w:t xml:space="preserve"> ف</w:t>
      </w:r>
      <w:r w:rsidR="00D326AD" w:rsidRPr="003F3B94">
        <w:rPr>
          <w:rFonts w:ascii="Abo-thar" w:hAnsi="Abo-thar"/>
          <w:b/>
          <w:bCs/>
          <w:sz w:val="28"/>
          <w:rtl/>
          <w:lang w:bidi="ar-SY"/>
        </w:rPr>
        <w:t>ك</w:t>
      </w:r>
      <w:r w:rsidR="005C664D" w:rsidRPr="003F3B94">
        <w:rPr>
          <w:rFonts w:ascii="Abo-thar" w:hAnsi="Abo-thar"/>
          <w:b/>
          <w:bCs/>
          <w:sz w:val="28"/>
          <w:rtl/>
          <w:lang w:bidi="ar-SY"/>
        </w:rPr>
        <w:t>تب</w:t>
      </w:r>
      <w:r w:rsidR="00147857" w:rsidRPr="003F3B94">
        <w:rPr>
          <w:rFonts w:ascii="Abo-thar" w:hAnsi="Abo-thar" w:hint="cs"/>
          <w:b/>
          <w:bCs/>
          <w:sz w:val="28"/>
          <w:rtl/>
          <w:lang w:bidi="ar-SY"/>
        </w:rPr>
        <w:t xml:space="preserve"> </w:t>
      </w:r>
      <w:r w:rsidR="003C7AEB" w:rsidRPr="003C7AEB">
        <w:rPr>
          <w:rFonts w:ascii="Abo-thar" w:hAnsi="Abo-thar" w:cs="CTraditional Arabic"/>
          <w:sz w:val="28"/>
          <w:rtl/>
          <w:lang w:bidi="ar-SY"/>
        </w:rPr>
        <w:t>÷</w:t>
      </w:r>
      <w:r w:rsidR="00217AB4" w:rsidRPr="003F3B94">
        <w:rPr>
          <w:rFonts w:ascii="Abo-thar" w:hAnsi="Abo-thar"/>
          <w:sz w:val="28"/>
          <w:rtl/>
          <w:lang w:bidi="ar-SY"/>
        </w:rPr>
        <w:t>:</w:t>
      </w:r>
      <w:r w:rsidR="005C664D" w:rsidRPr="003F3B94">
        <w:rPr>
          <w:rFonts w:ascii="Abo-thar" w:hAnsi="Abo-thar" w:hint="cs"/>
          <w:b/>
          <w:bCs/>
          <w:sz w:val="28"/>
          <w:rtl/>
          <w:lang w:bidi="ar-SY"/>
        </w:rPr>
        <w:t xml:space="preserve"> </w:t>
      </w:r>
      <w:r w:rsidR="005C664D" w:rsidRPr="003F3B94">
        <w:rPr>
          <w:rFonts w:ascii="Abo-thar" w:hAnsi="Abo-thar"/>
          <w:b/>
          <w:bCs/>
          <w:sz w:val="28"/>
          <w:rtl/>
          <w:lang w:bidi="ar-SY"/>
        </w:rPr>
        <w:t>وس</w:t>
      </w:r>
      <w:r w:rsidR="005C664D" w:rsidRPr="003F3B94">
        <w:rPr>
          <w:rFonts w:ascii="Abo-thar" w:hAnsi="Abo-thar" w:hint="cs"/>
          <w:b/>
          <w:bCs/>
          <w:sz w:val="28"/>
          <w:rtl/>
          <w:lang w:bidi="ar-SY"/>
        </w:rPr>
        <w:t>َّ</w:t>
      </w:r>
      <w:r w:rsidR="005C664D" w:rsidRPr="003F3B94">
        <w:rPr>
          <w:rFonts w:ascii="Abo-thar" w:hAnsi="Abo-thar"/>
          <w:b/>
          <w:bCs/>
          <w:sz w:val="28"/>
          <w:rtl/>
          <w:lang w:bidi="ar-SY"/>
        </w:rPr>
        <w:t>ع</w:t>
      </w:r>
      <w:r w:rsidR="005C664D" w:rsidRPr="003F3B94">
        <w:rPr>
          <w:rFonts w:ascii="Abo-thar" w:hAnsi="Abo-thar" w:hint="cs"/>
          <w:b/>
          <w:bCs/>
          <w:sz w:val="28"/>
          <w:rtl/>
          <w:lang w:bidi="ar-SY"/>
        </w:rPr>
        <w:t>َ</w:t>
      </w:r>
      <w:r w:rsidR="005C664D" w:rsidRPr="003F3B94">
        <w:rPr>
          <w:rFonts w:ascii="Abo-thar" w:hAnsi="Abo-thar"/>
          <w:b/>
          <w:bCs/>
          <w:sz w:val="28"/>
          <w:rtl/>
          <w:lang w:bidi="ar-SY"/>
        </w:rPr>
        <w:t xml:space="preserve"> </w:t>
      </w:r>
      <w:r w:rsidR="005C664D" w:rsidRPr="003F3B94">
        <w:rPr>
          <w:rFonts w:cs="Times New Roman" w:hint="cs"/>
          <w:b/>
          <w:bCs/>
          <w:sz w:val="28"/>
          <w:rtl/>
          <w:lang w:bidi="ar-SY"/>
        </w:rPr>
        <w:t>‌</w:t>
      </w:r>
      <w:r w:rsidR="005C664D" w:rsidRPr="003F3B94">
        <w:rPr>
          <w:rFonts w:ascii="Abo-thar" w:hAnsi="Abo-thar" w:hint="cs"/>
          <w:b/>
          <w:bCs/>
          <w:sz w:val="28"/>
          <w:rtl/>
          <w:lang w:bidi="ar-SY"/>
        </w:rPr>
        <w:t>اللهُ عل</w:t>
      </w:r>
      <w:r w:rsidR="00D326AD" w:rsidRPr="003F3B94">
        <w:rPr>
          <w:rFonts w:ascii="Abo-thar" w:hAnsi="Abo-thar" w:hint="cs"/>
          <w:b/>
          <w:bCs/>
          <w:sz w:val="28"/>
          <w:rtl/>
          <w:lang w:bidi="ar-SY"/>
        </w:rPr>
        <w:t>ي</w:t>
      </w:r>
      <w:r w:rsidR="00D326AD" w:rsidRPr="003F3B94">
        <w:rPr>
          <w:rFonts w:ascii="Abo-thar" w:hAnsi="Abo-thar" w:hint="eastAsia"/>
          <w:b/>
          <w:bCs/>
          <w:sz w:val="28"/>
          <w:rtl/>
          <w:lang w:bidi="ar-SY"/>
        </w:rPr>
        <w:t>ك</w:t>
      </w:r>
      <w:r w:rsidR="00147857" w:rsidRPr="003F3B94">
        <w:rPr>
          <w:rFonts w:ascii="Abo-thar" w:hAnsi="Abo-thar"/>
          <w:b/>
          <w:bCs/>
          <w:sz w:val="28"/>
          <w:rtl/>
          <w:lang w:bidi="ar-SY"/>
        </w:rPr>
        <w:t xml:space="preserve"> و</w:t>
      </w:r>
      <w:r w:rsidR="005C664D" w:rsidRPr="003F3B94">
        <w:rPr>
          <w:rFonts w:ascii="Abo-thar" w:hAnsi="Abo-thar"/>
          <w:b/>
          <w:bCs/>
          <w:sz w:val="28"/>
          <w:rtl/>
          <w:lang w:bidi="ar-SY"/>
        </w:rPr>
        <w:t>لمن سألت</w:t>
      </w:r>
      <w:r w:rsidR="005C664D" w:rsidRPr="003F3B94">
        <w:rPr>
          <w:rFonts w:cs="Times New Roman" w:hint="cs"/>
          <w:b/>
          <w:bCs/>
          <w:sz w:val="28"/>
          <w:rtl/>
          <w:lang w:bidi="ar-SY"/>
        </w:rPr>
        <w:t>‌</w:t>
      </w:r>
      <w:r w:rsidR="005C664D" w:rsidRPr="003F3B94">
        <w:rPr>
          <w:rFonts w:ascii="Abo-thar" w:hAnsi="Abo-thar" w:hint="cs"/>
          <w:b/>
          <w:bCs/>
          <w:sz w:val="28"/>
          <w:rtl/>
          <w:lang w:bidi="ar-SY"/>
        </w:rPr>
        <w:t xml:space="preserve"> التوسعة من أهل</w:t>
      </w:r>
      <w:r w:rsidR="00D326AD" w:rsidRPr="003F3B94">
        <w:rPr>
          <w:rFonts w:ascii="Abo-thar" w:hAnsi="Abo-thar"/>
          <w:b/>
          <w:bCs/>
          <w:sz w:val="28"/>
          <w:rtl/>
          <w:lang w:bidi="ar-SY"/>
        </w:rPr>
        <w:t>ك</w:t>
      </w:r>
      <w:r w:rsidR="00217AB4" w:rsidRPr="003F3B94">
        <w:rPr>
          <w:rFonts w:ascii="Abo-thar" w:hAnsi="Abo-thar" w:hint="cs"/>
          <w:b/>
          <w:bCs/>
          <w:sz w:val="28"/>
          <w:rtl/>
          <w:lang w:bidi="ar-SY"/>
        </w:rPr>
        <w:t>.</w:t>
      </w:r>
      <w:r w:rsidRPr="003F3B94">
        <w:rPr>
          <w:rFonts w:ascii="Abo-thar" w:hAnsi="Abo-thar" w:hint="cs"/>
          <w:sz w:val="28"/>
          <w:rtl/>
          <w:lang w:bidi="ar-SY"/>
        </w:rPr>
        <w:t>»</w:t>
      </w:r>
      <w:r w:rsidR="00217AB4" w:rsidRPr="003F3B94">
        <w:rPr>
          <w:rFonts w:ascii="Abo-thar" w:hAnsi="Abo-thar" w:hint="cs"/>
          <w:sz w:val="28"/>
          <w:rtl/>
          <w:lang w:bidi="ar-SY"/>
        </w:rPr>
        <w:t>،</w:t>
      </w:r>
      <w:r w:rsidR="005C664D" w:rsidRPr="003F3B94">
        <w:rPr>
          <w:rFonts w:ascii="Abo-thar" w:hAnsi="Abo-thar" w:hint="cs"/>
          <w:sz w:val="28"/>
          <w:rtl/>
          <w:lang w:bidi="ar-SY"/>
        </w:rPr>
        <w:t xml:space="preserve"> والذي يظهر منه أن ما طلبه الإمام في أمثال تلك الرسائل من حق من شيعته</w:t>
      </w:r>
      <w:r w:rsidR="00217AB4" w:rsidRPr="003F3B94">
        <w:rPr>
          <w:rFonts w:ascii="Abo-thar" w:hAnsi="Abo-thar" w:hint="cs"/>
          <w:sz w:val="28"/>
          <w:rtl/>
          <w:lang w:bidi="ar-SY"/>
        </w:rPr>
        <w:t>،</w:t>
      </w:r>
      <w:r w:rsidR="005C664D" w:rsidRPr="003F3B94">
        <w:rPr>
          <w:rFonts w:ascii="Abo-thar" w:hAnsi="Abo-thar" w:hint="cs"/>
          <w:sz w:val="28"/>
          <w:rtl/>
          <w:lang w:bidi="ar-SY"/>
        </w:rPr>
        <w:t xml:space="preserve"> وهبه كلَّه </w:t>
      </w:r>
      <w:r w:rsidR="00217AB4" w:rsidRPr="003F3B94">
        <w:rPr>
          <w:rFonts w:ascii="Abo-thar" w:hAnsi="Abo-thar" w:hint="cs"/>
          <w:sz w:val="28"/>
          <w:rtl/>
          <w:lang w:bidi="ar-SY"/>
        </w:rPr>
        <w:t>(!)</w:t>
      </w:r>
      <w:r w:rsidR="005C664D" w:rsidRPr="003F3B94">
        <w:rPr>
          <w:rFonts w:ascii="Abo-thar" w:hAnsi="Abo-thar" w:hint="cs"/>
          <w:sz w:val="28"/>
          <w:rtl/>
          <w:lang w:bidi="ar-SY"/>
        </w:rPr>
        <w:t xml:space="preserve"> في النهاية لهذا الوكيل والنائب العزيز</w:t>
      </w:r>
      <w:r w:rsidR="00217AB4" w:rsidRPr="003F3B94">
        <w:rPr>
          <w:rFonts w:ascii="Abo-thar" w:hAnsi="Abo-thar" w:hint="cs"/>
          <w:sz w:val="28"/>
          <w:rtl/>
          <w:lang w:bidi="ar-SY"/>
        </w:rPr>
        <w:t>!!</w:t>
      </w:r>
      <w:r w:rsidR="005C664D" w:rsidRPr="003F3B94">
        <w:rPr>
          <w:rFonts w:ascii="Abo-thar" w:hAnsi="Abo-thar" w:hint="cs"/>
          <w:sz w:val="28"/>
          <w:rtl/>
          <w:lang w:bidi="ar-SY"/>
        </w:rPr>
        <w:t xml:space="preserve"> </w:t>
      </w:r>
    </w:p>
    <w:p w:rsidR="005C664D" w:rsidRPr="003F3B94" w:rsidRDefault="005C664D" w:rsidP="00255A16">
      <w:pPr>
        <w:pStyle w:val="a0"/>
        <w:ind w:left="624" w:firstLine="0"/>
        <w:rPr>
          <w:rFonts w:hint="cs"/>
          <w:rtl/>
          <w:lang w:bidi="ar-SY"/>
        </w:rPr>
      </w:pPr>
      <w:r w:rsidRPr="003F3B94">
        <w:rPr>
          <w:rFonts w:ascii="Abo-thar" w:hAnsi="Abo-thar" w:hint="cs"/>
          <w:sz w:val="28"/>
          <w:rtl/>
          <w:lang w:bidi="ar-SY"/>
        </w:rPr>
        <w:t>لذا نقول إنه رغم كل التوثيق والتمجيد الذي جاء بشأن هذا الرجل في كتب الرجال إلا أن الإنسان مهما كان ساذجاً سريع التصديق لا يمكنه إلا أن يكون سيئ الظن بأعمال وأقوال مثل هذا الشخص</w:t>
      </w:r>
      <w:r w:rsidR="00217AB4" w:rsidRPr="003F3B94">
        <w:rPr>
          <w:rFonts w:ascii="Abo-thar" w:hAnsi="Abo-thar" w:hint="cs"/>
          <w:sz w:val="28"/>
          <w:rtl/>
          <w:lang w:bidi="ar-SY"/>
        </w:rPr>
        <w:t>،</w:t>
      </w:r>
      <w:r w:rsidRPr="003F3B94">
        <w:rPr>
          <w:rFonts w:ascii="Abo-thar" w:hAnsi="Abo-thar" w:hint="cs"/>
          <w:sz w:val="28"/>
          <w:rtl/>
          <w:lang w:bidi="ar-SY"/>
        </w:rPr>
        <w:t xml:space="preserve"> وذلك لأن كثيراً من الأشخاص الذين ادعوا الوكالة والنيابة للأئمة</w:t>
      </w:r>
      <w:r w:rsidR="00147857" w:rsidRPr="003F3B94">
        <w:rPr>
          <w:rFonts w:ascii="Abo-thar" w:hAnsi="Abo-thar" w:hint="cs"/>
          <w:sz w:val="28"/>
          <w:rtl/>
          <w:lang w:bidi="ar-SY"/>
        </w:rPr>
        <w:t xml:space="preserve"> </w:t>
      </w:r>
      <w:r w:rsidR="00963EFD" w:rsidRPr="00963EFD">
        <w:rPr>
          <w:rFonts w:ascii="Abo-thar" w:hAnsi="Abo-thar" w:cs="CTraditional Arabic"/>
          <w:sz w:val="28"/>
          <w:rtl/>
          <w:lang w:bidi="ar-SY"/>
        </w:rPr>
        <w:t>‡</w:t>
      </w:r>
      <w:r w:rsidR="00147857" w:rsidRPr="003F3B94">
        <w:rPr>
          <w:rFonts w:ascii="Abo-thar" w:hAnsi="Abo-thar"/>
          <w:sz w:val="28"/>
          <w:rtl/>
          <w:lang w:bidi="ar-SY"/>
        </w:rPr>
        <w:t xml:space="preserve"> </w:t>
      </w:r>
      <w:r w:rsidRPr="003F3B94">
        <w:rPr>
          <w:rFonts w:ascii="Abo-thar" w:hAnsi="Abo-thar" w:hint="cs"/>
          <w:sz w:val="28"/>
          <w:rtl/>
          <w:lang w:bidi="ar-SY"/>
        </w:rPr>
        <w:t>كانت عاقبتهم سيئة وتبين أن أكثرهم كانوا محتالين مكَّارين</w:t>
      </w:r>
      <w:r w:rsidR="00217AB4" w:rsidRPr="003F3B94">
        <w:rPr>
          <w:rFonts w:ascii="Abo-thar" w:hAnsi="Abo-thar" w:hint="cs"/>
          <w:sz w:val="28"/>
          <w:rtl/>
          <w:lang w:bidi="ar-SY"/>
        </w:rPr>
        <w:t>،</w:t>
      </w:r>
      <w:r w:rsidRPr="003F3B94">
        <w:rPr>
          <w:rFonts w:ascii="Abo-thar" w:hAnsi="Abo-thar" w:hint="cs"/>
          <w:sz w:val="28"/>
          <w:rtl/>
          <w:lang w:bidi="ar-SY"/>
        </w:rPr>
        <w:t xml:space="preserve"> وذلك مثل</w:t>
      </w:r>
      <w:r w:rsidR="00217AB4" w:rsidRPr="003F3B94">
        <w:rPr>
          <w:rFonts w:ascii="Abo-thar" w:hAnsi="Abo-thar" w:hint="cs"/>
          <w:sz w:val="28"/>
          <w:rtl/>
          <w:lang w:bidi="ar-SY"/>
        </w:rPr>
        <w:t>:</w:t>
      </w:r>
      <w:r w:rsidRPr="003F3B94">
        <w:rPr>
          <w:rFonts w:ascii="Abo-thar" w:hAnsi="Abo-thar" w:hint="cs"/>
          <w:sz w:val="28"/>
          <w:rtl/>
          <w:lang w:bidi="ar-SY"/>
        </w:rPr>
        <w:t xml:space="preserve"> «علي بن أبي حمزة البطائنيُّ» و«عثمان بن عيسى» و«زياد القندي» وآل الشلمغاني وأمثالهم كما قال الأئمة</w:t>
      </w:r>
      <w:r w:rsidR="00147857" w:rsidRPr="003F3B94">
        <w:rPr>
          <w:rFonts w:ascii="Abo-thar" w:hAnsi="Abo-thar" w:hint="cs"/>
          <w:sz w:val="28"/>
          <w:rtl/>
          <w:lang w:bidi="ar-SY"/>
        </w:rPr>
        <w:t xml:space="preserve"> </w:t>
      </w:r>
      <w:r w:rsidR="00963EFD" w:rsidRPr="00963EFD">
        <w:rPr>
          <w:rFonts w:ascii="Abo-thar" w:hAnsi="Abo-thar" w:cs="CTraditional Arabic"/>
          <w:sz w:val="28"/>
          <w:rtl/>
          <w:lang w:bidi="ar-SY"/>
        </w:rPr>
        <w:t>‡</w:t>
      </w:r>
      <w:r w:rsidR="00147857" w:rsidRPr="003F3B94">
        <w:rPr>
          <w:rFonts w:ascii="Abo-thar" w:hAnsi="Abo-thar"/>
          <w:sz w:val="28"/>
          <w:rtl/>
          <w:lang w:bidi="ar-SY"/>
        </w:rPr>
        <w:t xml:space="preserve"> </w:t>
      </w:r>
      <w:r w:rsidRPr="003F3B94">
        <w:rPr>
          <w:rFonts w:ascii="Abo-thar" w:hAnsi="Abo-thar" w:hint="cs"/>
          <w:sz w:val="28"/>
          <w:rtl/>
          <w:lang w:bidi="ar-SY"/>
        </w:rPr>
        <w:t>أنفسهم</w:t>
      </w:r>
      <w:r w:rsidR="00217AB4" w:rsidRPr="003F3B94">
        <w:rPr>
          <w:rFonts w:ascii="Abo-thar" w:hAnsi="Abo-thar" w:hint="cs"/>
          <w:sz w:val="28"/>
          <w:rtl/>
          <w:lang w:bidi="ar-SY"/>
        </w:rPr>
        <w:t>:</w:t>
      </w:r>
      <w:r w:rsidRPr="003F3B94">
        <w:rPr>
          <w:rFonts w:ascii="Abo-thar" w:hAnsi="Abo-thar" w:hint="cs"/>
          <w:sz w:val="28"/>
          <w:rtl/>
          <w:lang w:bidi="ar-SY"/>
        </w:rPr>
        <w:t xml:space="preserve"> </w:t>
      </w:r>
      <w:r w:rsidR="00EF2588" w:rsidRPr="00891167">
        <w:rPr>
          <w:rFonts w:ascii="Abo-thar" w:hAnsi="Abo-thar" w:cs="KFGQPC Uthman Taha Naskh" w:hint="cs"/>
          <w:sz w:val="28"/>
          <w:rtl/>
          <w:lang w:bidi="ar-SY"/>
        </w:rPr>
        <w:t>«</w:t>
      </w:r>
      <w:r w:rsidRPr="00891167">
        <w:rPr>
          <w:rFonts w:ascii="Abo-thar" w:hAnsi="Abo-thar" w:cs="KFGQPC Uthman Taha Naskh"/>
          <w:b/>
          <w:bCs/>
          <w:sz w:val="28"/>
          <w:rtl/>
          <w:lang w:bidi="ar-SY"/>
        </w:rPr>
        <w:t xml:space="preserve">خُدَّامُنَا وَقُوَّامُنَا شِرَارُ خَلْقِ </w:t>
      </w:r>
      <w:r w:rsidRPr="00891167">
        <w:rPr>
          <w:rFonts w:ascii="Abo-thar" w:hAnsi="Abo-thar" w:cs="KFGQPC Uthman Taha Naskh" w:hint="cs"/>
          <w:b/>
          <w:bCs/>
          <w:sz w:val="28"/>
          <w:rtl/>
          <w:lang w:bidi="ar-SY"/>
        </w:rPr>
        <w:t>اللهِ</w:t>
      </w:r>
      <w:r w:rsidR="00EF2588" w:rsidRPr="00891167">
        <w:rPr>
          <w:rFonts w:ascii="Abo-thar" w:hAnsi="Abo-thar" w:cs="KFGQPC Uthman Taha Naskh" w:hint="cs"/>
          <w:sz w:val="28"/>
          <w:rtl/>
          <w:lang w:bidi="ar-SY"/>
        </w:rPr>
        <w:t>»</w:t>
      </w:r>
      <w:r w:rsidR="00217AB4" w:rsidRPr="0021507A">
        <w:rPr>
          <w:rFonts w:cs="Arabic11 BT"/>
          <w:b/>
          <w:sz w:val="28"/>
          <w:vertAlign w:val="superscript"/>
          <w:rtl/>
          <w:lang w:bidi="ar-SY"/>
        </w:rPr>
        <w:t>(</w:t>
      </w:r>
      <w:r w:rsidRPr="0021507A">
        <w:rPr>
          <w:rStyle w:val="FootnoteReference"/>
          <w:rFonts w:cs="Arabic11 BT"/>
          <w:b/>
          <w:sz w:val="28"/>
          <w:rtl/>
          <w:lang w:bidi="ar-SY"/>
        </w:rPr>
        <w:footnoteReference w:id="273"/>
      </w:r>
      <w:r w:rsidR="00217AB4" w:rsidRPr="0021507A">
        <w:rPr>
          <w:rFonts w:cs="Arabic11 BT"/>
          <w:b/>
          <w:sz w:val="28"/>
          <w:vertAlign w:val="superscript"/>
          <w:rtl/>
          <w:lang w:bidi="ar-SY"/>
        </w:rPr>
        <w:t>)</w:t>
      </w:r>
      <w:r w:rsidRPr="003F3B94">
        <w:rPr>
          <w:rFonts w:ascii="Abo-thar" w:hAnsi="Abo-thar" w:hint="cs"/>
          <w:sz w:val="28"/>
          <w:rtl/>
          <w:lang w:bidi="ar-SY"/>
        </w:rPr>
        <w:t xml:space="preserve"> </w:t>
      </w:r>
      <w:r w:rsidR="00217AB4" w:rsidRPr="003F3B94">
        <w:rPr>
          <w:rFonts w:ascii="Abo-thar" w:hAnsi="Abo-thar" w:hint="cs"/>
          <w:sz w:val="28"/>
          <w:rtl/>
          <w:lang w:bidi="ar-SY"/>
        </w:rPr>
        <w:t>(</w:t>
      </w:r>
      <w:r w:rsidRPr="003F3B94">
        <w:rPr>
          <w:rFonts w:ascii="Abo-thar" w:hAnsi="Abo-thar" w:hint="cs"/>
          <w:sz w:val="28"/>
          <w:rtl/>
          <w:lang w:bidi="ar-SY"/>
        </w:rPr>
        <w:t>من توضيح صاحب الأمر</w:t>
      </w:r>
      <w:r w:rsidR="00217AB4" w:rsidRPr="003F3B94">
        <w:rPr>
          <w:rFonts w:ascii="Abo-thar" w:hAnsi="Abo-thar" w:hint="cs"/>
          <w:sz w:val="28"/>
          <w:rtl/>
          <w:lang w:bidi="ar-SY"/>
        </w:rPr>
        <w:t>).</w:t>
      </w:r>
    </w:p>
    <w:p w:rsidR="005C664D" w:rsidRPr="00EE7F5E" w:rsidRDefault="005C664D" w:rsidP="00255A16">
      <w:pPr>
        <w:pStyle w:val="a0"/>
        <w:spacing w:after="0"/>
        <w:rPr>
          <w:rFonts w:hint="cs"/>
          <w:b/>
          <w:bCs/>
          <w:rtl/>
          <w:lang w:bidi="ar-SY"/>
        </w:rPr>
      </w:pPr>
      <w:bookmarkStart w:id="98" w:name="_Toc215490686"/>
      <w:r w:rsidRPr="00EE7F5E">
        <w:rPr>
          <w:rFonts w:ascii="Abo-thar" w:hAnsi="Abo-thar" w:hint="cs"/>
          <w:b/>
          <w:bCs/>
          <w:sz w:val="28"/>
          <w:rtl/>
          <w:lang w:bidi="ar-SY"/>
        </w:rPr>
        <w:t>الإشكال الثاني</w:t>
      </w:r>
      <w:r w:rsidR="00217AB4" w:rsidRPr="00EE7F5E">
        <w:rPr>
          <w:rFonts w:ascii="Abo-thar" w:hAnsi="Abo-thar" w:hint="cs"/>
          <w:b/>
          <w:bCs/>
          <w:sz w:val="28"/>
          <w:rtl/>
          <w:lang w:bidi="ar-SY"/>
        </w:rPr>
        <w:t>:</w:t>
      </w:r>
      <w:r w:rsidRPr="00EE7F5E">
        <w:rPr>
          <w:rFonts w:ascii="Abo-thar" w:hAnsi="Abo-thar" w:hint="cs"/>
          <w:b/>
          <w:bCs/>
          <w:sz w:val="28"/>
          <w:rtl/>
          <w:lang w:bidi="ar-SY"/>
        </w:rPr>
        <w:t xml:space="preserve"> من ناحية التاريخ</w:t>
      </w:r>
      <w:r w:rsidR="00217AB4" w:rsidRPr="00EE7F5E">
        <w:rPr>
          <w:rFonts w:ascii="Abo-thar" w:hAnsi="Abo-thar" w:hint="cs"/>
          <w:b/>
          <w:bCs/>
          <w:sz w:val="28"/>
          <w:rtl/>
          <w:lang w:bidi="ar-SY"/>
        </w:rPr>
        <w:t>:</w:t>
      </w:r>
      <w:bookmarkEnd w:id="98"/>
    </w:p>
    <w:p w:rsidR="005C664D" w:rsidRPr="003F3B94" w:rsidRDefault="005C664D" w:rsidP="003F3B94">
      <w:pPr>
        <w:pStyle w:val="a0"/>
        <w:rPr>
          <w:rFonts w:hint="cs"/>
          <w:rtl/>
          <w:lang w:bidi="ar-SY"/>
        </w:rPr>
      </w:pPr>
      <w:r w:rsidRPr="003F3B94">
        <w:rPr>
          <w:rFonts w:ascii="Abo-thar" w:hAnsi="Abo-thar" w:hint="cs"/>
          <w:sz w:val="28"/>
          <w:rtl/>
          <w:lang w:bidi="ar-SY"/>
        </w:rPr>
        <w:t>لاحظنا في بداية ذلك الحديث عبارة</w:t>
      </w:r>
      <w:r w:rsidR="00217AB4" w:rsidRPr="003F3B94">
        <w:rPr>
          <w:rFonts w:ascii="Abo-thar" w:hAnsi="Abo-thar" w:hint="cs"/>
          <w:sz w:val="28"/>
          <w:rtl/>
          <w:lang w:bidi="ar-SY"/>
        </w:rPr>
        <w:t>:</w:t>
      </w:r>
      <w:r w:rsidRPr="003F3B94">
        <w:rPr>
          <w:rFonts w:ascii="Abo-thar" w:hAnsi="Abo-thar" w:hint="cs"/>
          <w:sz w:val="28"/>
          <w:rtl/>
          <w:lang w:bidi="ar-SY"/>
        </w:rPr>
        <w:t xml:space="preserve"> </w:t>
      </w:r>
      <w:r w:rsidR="00EF2588" w:rsidRPr="00891167">
        <w:rPr>
          <w:rFonts w:ascii="Abo-thar" w:hAnsi="Abo-thar" w:cs="KFGQPC Uthman Taha Naskh" w:hint="cs"/>
          <w:sz w:val="28"/>
          <w:rtl/>
          <w:lang w:bidi="ar-SY"/>
        </w:rPr>
        <w:t>«</w:t>
      </w:r>
      <w:r w:rsidRPr="00891167">
        <w:rPr>
          <w:rFonts w:ascii="Abo-thar" w:hAnsi="Abo-thar" w:cs="KFGQPC Uthman Taha Naskh"/>
          <w:b/>
          <w:bCs/>
          <w:sz w:val="28"/>
          <w:rtl/>
          <w:lang w:bidi="ar-SY"/>
        </w:rPr>
        <w:t>أَوْجَبْتُ فِي سَنَتِي هَذِهِ وهَذِهِ سَنَةُ عِشْرِينَ ومِائَتَيْنِ</w:t>
      </w:r>
      <w:r w:rsidR="00EF2588" w:rsidRPr="00891167">
        <w:rPr>
          <w:rFonts w:ascii="Abo-thar" w:hAnsi="Abo-thar" w:cs="KFGQPC Uthman Taha Naskh" w:hint="cs"/>
          <w:sz w:val="28"/>
          <w:rtl/>
          <w:lang w:bidi="ar-SY"/>
        </w:rPr>
        <w:t>»</w:t>
      </w:r>
      <w:r w:rsidR="00217AB4" w:rsidRPr="003F3B94">
        <w:rPr>
          <w:rFonts w:ascii="Abo-thar" w:hAnsi="Abo-thar" w:hint="cs"/>
          <w:sz w:val="28"/>
          <w:rtl/>
          <w:lang w:bidi="ar-SY"/>
        </w:rPr>
        <w:t>!</w:t>
      </w:r>
    </w:p>
    <w:p w:rsidR="005C664D" w:rsidRPr="003F3B94" w:rsidRDefault="005C664D" w:rsidP="003F3B94">
      <w:pPr>
        <w:pStyle w:val="a0"/>
        <w:rPr>
          <w:rFonts w:hint="cs"/>
          <w:rtl/>
          <w:lang w:bidi="ar-SY"/>
        </w:rPr>
      </w:pPr>
      <w:r w:rsidRPr="003F3B94">
        <w:rPr>
          <w:rFonts w:ascii="Abo-thar" w:hAnsi="Abo-thar" w:hint="cs"/>
          <w:sz w:val="28"/>
          <w:rtl/>
          <w:lang w:bidi="ar-SY"/>
        </w:rPr>
        <w:t>هذا التاريخ المذكور في الحديث والحوادث التي تضمَّنها متن الحديث لا</w:t>
      </w:r>
      <w:r w:rsidRPr="003F3B94">
        <w:rPr>
          <w:rFonts w:cs="Times New Roman" w:hint="cs"/>
          <w:sz w:val="28"/>
          <w:rtl/>
          <w:lang w:bidi="ar-SY"/>
        </w:rPr>
        <w:t> </w:t>
      </w:r>
      <w:r w:rsidRPr="003F3B94">
        <w:rPr>
          <w:rFonts w:ascii="Abo-thar" w:hAnsi="Abo-thar" w:hint="cs"/>
          <w:sz w:val="28"/>
          <w:rtl/>
          <w:lang w:bidi="ar-SY"/>
        </w:rPr>
        <w:t>ينسجمان مع حقائق التاريخ ووقائعه</w:t>
      </w:r>
      <w:r w:rsidR="001E0DB7" w:rsidRPr="003F3B94">
        <w:rPr>
          <w:rFonts w:ascii="Abo-thar" w:hAnsi="Abo-thar" w:hint="cs"/>
          <w:sz w:val="28"/>
          <w:rtl/>
          <w:lang w:bidi="ar-SY"/>
        </w:rPr>
        <w:t>،</w:t>
      </w:r>
      <w:r w:rsidRPr="003F3B94">
        <w:rPr>
          <w:rFonts w:ascii="Abo-thar" w:hAnsi="Abo-thar" w:hint="cs"/>
          <w:sz w:val="28"/>
          <w:rtl/>
          <w:lang w:bidi="ar-SY"/>
        </w:rPr>
        <w:t xml:space="preserve"> وهذا ما يدعو إلى الشكّ في صحته</w:t>
      </w:r>
      <w:r w:rsidR="00217AB4" w:rsidRPr="003F3B94">
        <w:rPr>
          <w:rFonts w:ascii="Abo-thar" w:hAnsi="Abo-thar" w:hint="cs"/>
          <w:sz w:val="28"/>
          <w:rtl/>
          <w:lang w:bidi="ar-SY"/>
        </w:rPr>
        <w:t>.</w:t>
      </w:r>
      <w:r w:rsidRPr="003F3B94">
        <w:rPr>
          <w:rFonts w:ascii="Abo-thar" w:hAnsi="Abo-thar" w:hint="cs"/>
          <w:sz w:val="28"/>
          <w:rtl/>
          <w:lang w:bidi="ar-SY"/>
        </w:rPr>
        <w:t xml:space="preserve"> ذلك أن وفاة الإمام محمد التقي </w:t>
      </w:r>
      <w:r w:rsidR="00217AB4" w:rsidRPr="003F3B94">
        <w:rPr>
          <w:rFonts w:ascii="Abo-thar" w:hAnsi="Abo-thar" w:hint="cs"/>
          <w:sz w:val="28"/>
          <w:rtl/>
          <w:lang w:bidi="ar-SY"/>
        </w:rPr>
        <w:t>(</w:t>
      </w:r>
      <w:r w:rsidRPr="003F3B94">
        <w:rPr>
          <w:rFonts w:ascii="Abo-thar" w:hAnsi="Abo-thar" w:hint="cs"/>
          <w:sz w:val="28"/>
          <w:rtl/>
          <w:lang w:bidi="ar-SY"/>
        </w:rPr>
        <w:t>الجواد</w:t>
      </w:r>
      <w:r w:rsidR="00217AB4" w:rsidRPr="003F3B94">
        <w:rPr>
          <w:rFonts w:ascii="Abo-thar" w:hAnsi="Abo-thar" w:hint="cs"/>
          <w:sz w:val="28"/>
          <w:rtl/>
          <w:lang w:bidi="ar-SY"/>
        </w:rPr>
        <w:t>)</w:t>
      </w:r>
      <w:r w:rsidRPr="003F3B94">
        <w:rPr>
          <w:rFonts w:ascii="Abo-thar" w:hAnsi="Abo-thar" w:hint="cs"/>
          <w:sz w:val="28"/>
          <w:rtl/>
          <w:lang w:bidi="ar-SY"/>
        </w:rPr>
        <w:t xml:space="preserve"> كانت</w:t>
      </w:r>
      <w:r w:rsidR="00217AB4" w:rsidRPr="003F3B94">
        <w:rPr>
          <w:rFonts w:ascii="Abo-thar" w:hAnsi="Abo-thar" w:hint="cs"/>
          <w:sz w:val="28"/>
          <w:rtl/>
          <w:lang w:bidi="ar-SY"/>
        </w:rPr>
        <w:t>،</w:t>
      </w:r>
      <w:r w:rsidRPr="003F3B94">
        <w:rPr>
          <w:rFonts w:ascii="Abo-thar" w:hAnsi="Abo-thar" w:hint="cs"/>
          <w:sz w:val="28"/>
          <w:rtl/>
          <w:lang w:bidi="ar-SY"/>
        </w:rPr>
        <w:t xml:space="preserve"> طبقاً للتواريخ المعتمدة</w:t>
      </w:r>
      <w:r w:rsidR="00217AB4" w:rsidRPr="003F3B94">
        <w:rPr>
          <w:rFonts w:ascii="Abo-thar" w:hAnsi="Abo-thar" w:hint="cs"/>
          <w:sz w:val="28"/>
          <w:rtl/>
          <w:lang w:bidi="ar-SY"/>
        </w:rPr>
        <w:t>،</w:t>
      </w:r>
      <w:r w:rsidRPr="003F3B94">
        <w:rPr>
          <w:rFonts w:ascii="Abo-thar" w:hAnsi="Abo-thar" w:hint="cs"/>
          <w:sz w:val="28"/>
          <w:rtl/>
          <w:lang w:bidi="ar-SY"/>
        </w:rPr>
        <w:t xml:space="preserve"> سنة 219 أو 220هـ</w:t>
      </w:r>
      <w:r w:rsidR="001E0DB7" w:rsidRPr="003F3B94">
        <w:rPr>
          <w:rFonts w:ascii="Abo-thar" w:hAnsi="Abo-thar" w:hint="cs"/>
          <w:sz w:val="28"/>
          <w:rtl/>
          <w:lang w:bidi="ar-SY"/>
        </w:rPr>
        <w:t>،</w:t>
      </w:r>
      <w:r w:rsidRPr="003F3B94">
        <w:rPr>
          <w:rFonts w:ascii="Abo-thar" w:hAnsi="Abo-thar" w:hint="cs"/>
          <w:sz w:val="28"/>
          <w:rtl/>
          <w:lang w:bidi="ar-SY"/>
        </w:rPr>
        <w:t xml:space="preserve"> وفي بداية السنة التي توفي فيها الإمام كان المعتصم العباسي قد دعاه إلى طرفه في بغداد وأنزله بكل احترام وإجلال في القصور الخاصة بالخليفة حيث بقي الإمام هناك إلى حين وفاته</w:t>
      </w:r>
      <w:r w:rsidR="00217AB4" w:rsidRPr="003F3B94">
        <w:rPr>
          <w:rFonts w:ascii="Abo-thar" w:hAnsi="Abo-thar" w:hint="cs"/>
          <w:sz w:val="28"/>
          <w:rtl/>
          <w:lang w:bidi="ar-SY"/>
        </w:rPr>
        <w:t>.</w:t>
      </w:r>
      <w:r w:rsidRPr="003F3B94">
        <w:rPr>
          <w:rFonts w:ascii="Abo-thar" w:hAnsi="Abo-thar" w:hint="cs"/>
          <w:sz w:val="28"/>
          <w:rtl/>
          <w:lang w:bidi="ar-SY"/>
        </w:rPr>
        <w:t xml:space="preserve"> فصدور مثل هذه الرسالة عن الإمام في تلك السنة بعيدٌ</w:t>
      </w:r>
      <w:r w:rsidR="00217AB4" w:rsidRPr="003F3B94">
        <w:rPr>
          <w:rFonts w:ascii="Abo-thar" w:hAnsi="Abo-thar" w:hint="cs"/>
          <w:sz w:val="28"/>
          <w:rtl/>
          <w:lang w:bidi="ar-SY"/>
        </w:rPr>
        <w:t>.</w:t>
      </w:r>
      <w:r w:rsidRPr="003F3B94">
        <w:rPr>
          <w:rFonts w:ascii="Abo-thar" w:hAnsi="Abo-thar" w:hint="cs"/>
          <w:sz w:val="28"/>
          <w:rtl/>
          <w:lang w:bidi="ar-SY"/>
        </w:rPr>
        <w:t xml:space="preserve"> </w:t>
      </w:r>
    </w:p>
    <w:p w:rsidR="005C664D" w:rsidRPr="003F3B94" w:rsidRDefault="005C664D" w:rsidP="003F3B94">
      <w:pPr>
        <w:pStyle w:val="a0"/>
        <w:rPr>
          <w:rFonts w:hint="cs"/>
          <w:rtl/>
        </w:rPr>
      </w:pPr>
      <w:r w:rsidRPr="003F3B94">
        <w:rPr>
          <w:rFonts w:ascii="Abo-thar" w:hAnsi="Abo-thar" w:hint="cs"/>
          <w:sz w:val="28"/>
          <w:rtl/>
        </w:rPr>
        <w:t>1</w:t>
      </w:r>
      <w:r w:rsidR="00217AB4" w:rsidRPr="003F3B94">
        <w:rPr>
          <w:rFonts w:ascii="Abo-thar" w:hAnsi="Abo-thar" w:hint="cs"/>
          <w:sz w:val="28"/>
          <w:rtl/>
        </w:rPr>
        <w:t>-</w:t>
      </w:r>
      <w:r w:rsidRPr="003F3B94">
        <w:rPr>
          <w:rFonts w:ascii="Abo-thar" w:hAnsi="Abo-thar" w:hint="cs"/>
          <w:sz w:val="28"/>
          <w:rtl/>
        </w:rPr>
        <w:t xml:space="preserve"> قال المؤرخ المسعودي في كتابه </w:t>
      </w:r>
      <w:r w:rsidRPr="003F3B94">
        <w:rPr>
          <w:rFonts w:ascii="Abo-thar" w:hAnsi="Abo-thar"/>
          <w:sz w:val="28"/>
          <w:rtl/>
        </w:rPr>
        <w:t>«</w:t>
      </w:r>
      <w:r w:rsidRPr="003F3B94">
        <w:rPr>
          <w:rFonts w:ascii="Abo-thar" w:hAnsi="Abo-thar" w:hint="cs"/>
          <w:sz w:val="28"/>
          <w:rtl/>
        </w:rPr>
        <w:t>مروج الذهب</w:t>
      </w:r>
      <w:r w:rsidRPr="003F3B94">
        <w:rPr>
          <w:rFonts w:ascii="Abo-thar" w:hAnsi="Abo-thar"/>
          <w:sz w:val="28"/>
          <w:rtl/>
        </w:rPr>
        <w:t>»</w:t>
      </w:r>
      <w:r w:rsidRPr="003F3B94">
        <w:rPr>
          <w:rFonts w:ascii="Abo-thar" w:hAnsi="Abo-thar" w:hint="cs"/>
          <w:sz w:val="28"/>
          <w:rtl/>
        </w:rPr>
        <w:t xml:space="preserve"> </w:t>
      </w:r>
      <w:r w:rsidR="00217AB4" w:rsidRPr="003F3B94">
        <w:rPr>
          <w:rFonts w:ascii="Abo-thar" w:hAnsi="Abo-thar" w:hint="cs"/>
          <w:sz w:val="28"/>
          <w:rtl/>
        </w:rPr>
        <w:t>(</w:t>
      </w:r>
      <w:r w:rsidRPr="003F3B94">
        <w:rPr>
          <w:rFonts w:ascii="Abo-thar" w:hAnsi="Abo-thar" w:hint="cs"/>
          <w:sz w:val="28"/>
          <w:rtl/>
        </w:rPr>
        <w:t>ج2</w:t>
      </w:r>
      <w:r w:rsidR="00920257" w:rsidRPr="003F3B94">
        <w:rPr>
          <w:rFonts w:ascii="Abo-thar" w:hAnsi="Abo-thar" w:hint="cs"/>
          <w:sz w:val="28"/>
          <w:rtl/>
        </w:rPr>
        <w:t xml:space="preserve">، </w:t>
      </w:r>
      <w:r w:rsidRPr="003F3B94">
        <w:rPr>
          <w:rFonts w:ascii="Abo-thar" w:hAnsi="Abo-thar" w:hint="cs"/>
          <w:sz w:val="28"/>
          <w:rtl/>
        </w:rPr>
        <w:t>ص348</w:t>
      </w:r>
      <w:r w:rsidR="00217AB4" w:rsidRPr="003F3B94">
        <w:rPr>
          <w:rFonts w:ascii="Abo-thar" w:hAnsi="Abo-thar" w:hint="cs"/>
          <w:sz w:val="28"/>
          <w:rtl/>
        </w:rPr>
        <w:t>،</w:t>
      </w:r>
      <w:r w:rsidRPr="003F3B94">
        <w:rPr>
          <w:rFonts w:ascii="Abo-thar" w:hAnsi="Abo-thar" w:hint="cs"/>
          <w:sz w:val="28"/>
          <w:rtl/>
        </w:rPr>
        <w:t xml:space="preserve"> طبع مصر</w:t>
      </w:r>
      <w:r w:rsidR="00217AB4" w:rsidRPr="003F3B94">
        <w:rPr>
          <w:rFonts w:ascii="Abo-thar" w:hAnsi="Abo-thar" w:hint="cs"/>
          <w:sz w:val="28"/>
          <w:rtl/>
        </w:rPr>
        <w:t>،</w:t>
      </w:r>
      <w:r w:rsidRPr="003F3B94">
        <w:rPr>
          <w:rFonts w:ascii="Abo-thar" w:hAnsi="Abo-thar" w:hint="cs"/>
          <w:sz w:val="28"/>
          <w:rtl/>
        </w:rPr>
        <w:t xml:space="preserve"> 1346هـ</w:t>
      </w:r>
      <w:r w:rsidR="00217AB4" w:rsidRPr="003F3B94">
        <w:rPr>
          <w:rFonts w:ascii="Abo-thar" w:hAnsi="Abo-thar" w:hint="cs"/>
          <w:sz w:val="28"/>
          <w:rtl/>
        </w:rPr>
        <w:t>):</w:t>
      </w:r>
      <w:r w:rsidRPr="003F3B94">
        <w:rPr>
          <w:rFonts w:ascii="Abo-thar" w:hAnsi="Abo-thar" w:hint="cs"/>
          <w:sz w:val="28"/>
          <w:rtl/>
        </w:rPr>
        <w:t xml:space="preserve"> </w:t>
      </w:r>
      <w:r w:rsidR="00EF2588" w:rsidRPr="003F3B94">
        <w:rPr>
          <w:rFonts w:ascii="Abo-thar" w:hAnsi="Abo-thar" w:hint="cs"/>
          <w:sz w:val="28"/>
          <w:rtl/>
        </w:rPr>
        <w:t>«</w:t>
      </w:r>
      <w:r w:rsidRPr="003F3B94">
        <w:rPr>
          <w:rFonts w:ascii="Abo-thar" w:hAnsi="Abo-thar"/>
          <w:sz w:val="28"/>
          <w:rtl/>
        </w:rPr>
        <w:t xml:space="preserve">وفي هذه السنة </w:t>
      </w:r>
      <w:r w:rsidR="00217AB4" w:rsidRPr="003F3B94">
        <w:rPr>
          <w:rFonts w:ascii="Abo-thar" w:hAnsi="Abo-thar"/>
          <w:sz w:val="28"/>
          <w:rtl/>
        </w:rPr>
        <w:t>-</w:t>
      </w:r>
      <w:r w:rsidRPr="003F3B94">
        <w:rPr>
          <w:rFonts w:ascii="Abo-thar" w:hAnsi="Abo-thar"/>
          <w:sz w:val="28"/>
          <w:rtl/>
        </w:rPr>
        <w:t xml:space="preserve"> وهي سنة تسع عشرة ومائتين </w:t>
      </w:r>
      <w:r w:rsidR="00217AB4" w:rsidRPr="003F3B94">
        <w:rPr>
          <w:rFonts w:ascii="Abo-thar" w:hAnsi="Abo-thar"/>
          <w:sz w:val="28"/>
          <w:rtl/>
        </w:rPr>
        <w:t>-</w:t>
      </w:r>
      <w:r w:rsidRPr="003F3B94">
        <w:rPr>
          <w:rFonts w:ascii="Abo-thar" w:hAnsi="Abo-thar"/>
          <w:sz w:val="28"/>
          <w:rtl/>
        </w:rPr>
        <w:t xml:space="preserve"> قبض محمد بن علي بن موسى بن جعفر بن علي بن الحسين بن علي بن أبي طالب</w:t>
      </w:r>
      <w:r w:rsidR="00147857" w:rsidRPr="003F3B94">
        <w:rPr>
          <w:rFonts w:ascii="Abo-thar" w:hAnsi="Abo-thar" w:hint="cs"/>
          <w:sz w:val="28"/>
          <w:rtl/>
        </w:rPr>
        <w:t xml:space="preserve"> </w:t>
      </w:r>
      <w:r w:rsidR="003C7AEB" w:rsidRPr="003C7AEB">
        <w:rPr>
          <w:rFonts w:ascii="Abo-thar" w:hAnsi="Abo-thar" w:cs="CTraditional Arabic"/>
          <w:sz w:val="28"/>
          <w:rtl/>
        </w:rPr>
        <w:t>÷</w:t>
      </w:r>
      <w:r w:rsidR="00217AB4" w:rsidRPr="003F3B94">
        <w:rPr>
          <w:rFonts w:ascii="Abo-thar" w:hAnsi="Abo-thar"/>
          <w:sz w:val="28"/>
          <w:rtl/>
        </w:rPr>
        <w:t>،</w:t>
      </w:r>
      <w:r w:rsidRPr="003F3B94">
        <w:rPr>
          <w:rFonts w:ascii="Abo-thar" w:hAnsi="Abo-thar"/>
          <w:sz w:val="28"/>
          <w:rtl/>
        </w:rPr>
        <w:t xml:space="preserve"> وذلك لخمس خلون من </w:t>
      </w:r>
      <w:r w:rsidRPr="003F3B94">
        <w:rPr>
          <w:rFonts w:ascii="Abo-thar" w:hAnsi="Abo-thar" w:hint="cs"/>
          <w:sz w:val="28"/>
          <w:rtl/>
        </w:rPr>
        <w:t>ذي</w:t>
      </w:r>
      <w:r w:rsidRPr="003F3B94">
        <w:rPr>
          <w:rFonts w:ascii="Abo-thar" w:hAnsi="Abo-thar"/>
          <w:sz w:val="28"/>
          <w:rtl/>
        </w:rPr>
        <w:t xml:space="preserve"> الحجة</w:t>
      </w:r>
      <w:r w:rsidR="00217AB4" w:rsidRPr="003F3B94">
        <w:rPr>
          <w:rFonts w:ascii="Abo-thar" w:hAnsi="Abo-thar"/>
          <w:sz w:val="28"/>
          <w:rtl/>
        </w:rPr>
        <w:t>،</w:t>
      </w:r>
      <w:r w:rsidRPr="003F3B94">
        <w:rPr>
          <w:rFonts w:ascii="Abo-thar" w:hAnsi="Abo-thar"/>
          <w:sz w:val="28"/>
          <w:rtl/>
        </w:rPr>
        <w:t xml:space="preserve"> ودفن ببغداد في الجانب الغربي بمقابر قريش مع جده موسى بن جعفر</w:t>
      </w:r>
      <w:r w:rsidR="00F456DF" w:rsidRPr="003F3B94">
        <w:rPr>
          <w:rFonts w:ascii="Abo-thar" w:hAnsi="Abo-thar" w:hint="cs"/>
          <w:sz w:val="28"/>
          <w:rtl/>
        </w:rPr>
        <w:t>»</w:t>
      </w:r>
      <w:r w:rsidR="00217AB4" w:rsidRPr="003F3B94">
        <w:rPr>
          <w:rFonts w:ascii="Abo-thar" w:hAnsi="Abo-thar" w:hint="cs"/>
          <w:sz w:val="28"/>
          <w:rtl/>
        </w:rPr>
        <w:t>.</w:t>
      </w:r>
      <w:r w:rsidR="00147857" w:rsidRPr="003F3B94">
        <w:rPr>
          <w:rFonts w:ascii="Abo-thar" w:hAnsi="Abo-thar" w:hint="cs"/>
          <w:sz w:val="28"/>
          <w:rtl/>
        </w:rPr>
        <w:t xml:space="preserve"> </w:t>
      </w:r>
      <w:r w:rsidRPr="003F3B94">
        <w:rPr>
          <w:rFonts w:ascii="Abo-thar" w:hAnsi="Abo-thar" w:hint="cs"/>
          <w:sz w:val="28"/>
          <w:rtl/>
        </w:rPr>
        <w:t>فالمسعودي</w:t>
      </w:r>
      <w:r w:rsidR="00217AB4" w:rsidRPr="003F3B94">
        <w:rPr>
          <w:rFonts w:ascii="Abo-thar" w:hAnsi="Abo-thar" w:hint="cs"/>
          <w:sz w:val="28"/>
          <w:rtl/>
        </w:rPr>
        <w:t>،</w:t>
      </w:r>
      <w:r w:rsidRPr="003F3B94">
        <w:rPr>
          <w:rFonts w:ascii="Abo-thar" w:hAnsi="Abo-thar" w:hint="cs"/>
          <w:sz w:val="28"/>
          <w:rtl/>
        </w:rPr>
        <w:t xml:space="preserve"> المؤرخ الشيعي الكبير</w:t>
      </w:r>
      <w:r w:rsidR="00217AB4" w:rsidRPr="003F3B94">
        <w:rPr>
          <w:rFonts w:ascii="Abo-thar" w:hAnsi="Abo-thar" w:hint="cs"/>
          <w:sz w:val="28"/>
          <w:rtl/>
        </w:rPr>
        <w:t>،</w:t>
      </w:r>
      <w:r w:rsidRPr="003F3B94">
        <w:rPr>
          <w:rFonts w:ascii="Abo-thar" w:hAnsi="Abo-thar" w:hint="cs"/>
          <w:sz w:val="28"/>
          <w:rtl/>
        </w:rPr>
        <w:t xml:space="preserve"> يذكر أن وفاة الإمام الجواد كانت في الخامس من ذي الحجة سنة 219هـ</w:t>
      </w:r>
      <w:r w:rsidR="00217AB4" w:rsidRPr="003F3B94">
        <w:rPr>
          <w:rFonts w:ascii="Abo-thar" w:hAnsi="Abo-thar" w:hint="cs"/>
          <w:sz w:val="28"/>
          <w:rtl/>
        </w:rPr>
        <w:t>.</w:t>
      </w:r>
    </w:p>
    <w:p w:rsidR="005C664D" w:rsidRPr="003F3B94" w:rsidRDefault="005C664D" w:rsidP="003F3B94">
      <w:pPr>
        <w:pStyle w:val="a0"/>
        <w:rPr>
          <w:rFonts w:hint="cs"/>
          <w:rtl/>
        </w:rPr>
      </w:pPr>
      <w:r w:rsidRPr="003F3B94">
        <w:rPr>
          <w:rFonts w:ascii="Abo-thar" w:hAnsi="Abo-thar" w:hint="cs"/>
          <w:sz w:val="28"/>
          <w:rtl/>
        </w:rPr>
        <w:t>2</w:t>
      </w:r>
      <w:r w:rsidR="00217AB4" w:rsidRPr="003F3B94">
        <w:rPr>
          <w:rFonts w:ascii="Abo-thar" w:hAnsi="Abo-thar" w:hint="cs"/>
          <w:sz w:val="28"/>
          <w:rtl/>
        </w:rPr>
        <w:t>-</w:t>
      </w:r>
      <w:r w:rsidRPr="003F3B94">
        <w:rPr>
          <w:rFonts w:ascii="Abo-thar" w:hAnsi="Abo-thar" w:hint="cs"/>
          <w:sz w:val="28"/>
          <w:rtl/>
        </w:rPr>
        <w:t xml:space="preserve"> وذكر ابن خلكان في </w:t>
      </w:r>
      <w:r w:rsidRPr="003F3B94">
        <w:rPr>
          <w:rFonts w:ascii="Abo-thar" w:hAnsi="Abo-thar"/>
          <w:sz w:val="28"/>
          <w:rtl/>
        </w:rPr>
        <w:t>«</w:t>
      </w:r>
      <w:r w:rsidRPr="003F3B94">
        <w:rPr>
          <w:rFonts w:ascii="Abo-thar" w:hAnsi="Abo-thar" w:hint="cs"/>
          <w:sz w:val="28"/>
          <w:rtl/>
        </w:rPr>
        <w:t>وفيات الأعيان</w:t>
      </w:r>
      <w:r w:rsidRPr="003F3B94">
        <w:rPr>
          <w:rFonts w:ascii="Abo-thar" w:hAnsi="Abo-thar"/>
          <w:sz w:val="28"/>
          <w:rtl/>
        </w:rPr>
        <w:t>»</w:t>
      </w:r>
      <w:r w:rsidRPr="003F3B94">
        <w:rPr>
          <w:rFonts w:ascii="Abo-thar" w:hAnsi="Abo-thar" w:hint="cs"/>
          <w:sz w:val="28"/>
          <w:rtl/>
        </w:rPr>
        <w:t xml:space="preserve"> أيضاً أن وفاة الإمام كانت في الخامس من ذي الحجة سنة 219 أو 220هـ</w:t>
      </w:r>
      <w:r w:rsidR="00FB3B0D" w:rsidRPr="0021507A">
        <w:rPr>
          <w:rFonts w:ascii="Abo-thar" w:hAnsi="Abo-thar" w:cs="Arabic11 BT"/>
          <w:sz w:val="28"/>
          <w:vertAlign w:val="superscript"/>
          <w:rtl/>
        </w:rPr>
        <w:t>(</w:t>
      </w:r>
      <w:r w:rsidR="00FB3B0D" w:rsidRPr="0021507A">
        <w:rPr>
          <w:rStyle w:val="FootnoteReference"/>
          <w:rFonts w:ascii="Abo-thar" w:hAnsi="Abo-thar" w:cs="Arabic11 BT"/>
          <w:sz w:val="28"/>
          <w:rtl/>
        </w:rPr>
        <w:footnoteReference w:id="274"/>
      </w:r>
      <w:r w:rsidR="00FB3B0D" w:rsidRPr="0021507A">
        <w:rPr>
          <w:rFonts w:ascii="Abo-thar" w:hAnsi="Abo-thar" w:cs="Arabic11 BT"/>
          <w:sz w:val="28"/>
          <w:vertAlign w:val="superscript"/>
          <w:rtl/>
        </w:rPr>
        <w:t>)</w:t>
      </w:r>
      <w:r w:rsidR="00AB5161" w:rsidRPr="003F3B94">
        <w:rPr>
          <w:rFonts w:ascii="Abo-thar" w:hAnsi="Abo-thar" w:hint="cs"/>
          <w:sz w:val="28"/>
          <w:rtl/>
        </w:rPr>
        <w:t>.</w:t>
      </w:r>
    </w:p>
    <w:p w:rsidR="005C664D" w:rsidRPr="003F3B94" w:rsidRDefault="005C664D" w:rsidP="003F3B94">
      <w:pPr>
        <w:pStyle w:val="a0"/>
        <w:rPr>
          <w:rFonts w:hint="cs"/>
          <w:rtl/>
        </w:rPr>
      </w:pPr>
      <w:r w:rsidRPr="003F3B94">
        <w:rPr>
          <w:rFonts w:ascii="Abo-thar" w:hAnsi="Abo-thar" w:hint="cs"/>
          <w:sz w:val="28"/>
          <w:rtl/>
        </w:rPr>
        <w:t>3</w:t>
      </w:r>
      <w:r w:rsidR="00217AB4" w:rsidRPr="003F3B94">
        <w:rPr>
          <w:rFonts w:ascii="Abo-thar" w:hAnsi="Abo-thar" w:hint="cs"/>
          <w:sz w:val="28"/>
          <w:rtl/>
        </w:rPr>
        <w:t>-</w:t>
      </w:r>
      <w:r w:rsidR="00147857" w:rsidRPr="003F3B94">
        <w:rPr>
          <w:rFonts w:ascii="Abo-thar" w:hAnsi="Abo-thar" w:hint="cs"/>
          <w:sz w:val="28"/>
          <w:rtl/>
        </w:rPr>
        <w:t xml:space="preserve"> و</w:t>
      </w:r>
      <w:r w:rsidRPr="003F3B94">
        <w:rPr>
          <w:rFonts w:ascii="Abo-thar" w:hAnsi="Abo-thar" w:hint="cs"/>
          <w:sz w:val="28"/>
          <w:rtl/>
        </w:rPr>
        <w:t xml:space="preserve">كتب المرحوم الحاج الشيخ عبّاس القميّ في كتابيه </w:t>
      </w:r>
      <w:r w:rsidRPr="003F3B94">
        <w:rPr>
          <w:rFonts w:ascii="Abo-thar" w:hAnsi="Abo-thar"/>
          <w:sz w:val="28"/>
          <w:rtl/>
        </w:rPr>
        <w:t>«</w:t>
      </w:r>
      <w:r w:rsidRPr="003F3B94">
        <w:rPr>
          <w:rFonts w:ascii="Abo-thar" w:hAnsi="Abo-thar" w:hint="cs"/>
          <w:sz w:val="28"/>
          <w:rtl/>
        </w:rPr>
        <w:t>منتهى الآمال</w:t>
      </w:r>
      <w:r w:rsidRPr="003F3B94">
        <w:rPr>
          <w:rFonts w:ascii="Abo-thar" w:hAnsi="Abo-thar"/>
          <w:sz w:val="28"/>
          <w:rtl/>
        </w:rPr>
        <w:t>»</w:t>
      </w:r>
      <w:r w:rsidRPr="003F3B94">
        <w:rPr>
          <w:rFonts w:ascii="Abo-thar" w:hAnsi="Abo-thar" w:hint="cs"/>
          <w:sz w:val="28"/>
          <w:rtl/>
        </w:rPr>
        <w:t xml:space="preserve"> و</w:t>
      </w:r>
      <w:r w:rsidRPr="003F3B94">
        <w:rPr>
          <w:rFonts w:ascii="Abo-thar" w:hAnsi="Abo-thar"/>
          <w:sz w:val="28"/>
          <w:rtl/>
        </w:rPr>
        <w:t>«</w:t>
      </w:r>
      <w:r w:rsidRPr="003F3B94">
        <w:rPr>
          <w:rFonts w:ascii="Abo-thar" w:hAnsi="Abo-thar" w:hint="cs"/>
          <w:sz w:val="28"/>
          <w:rtl/>
        </w:rPr>
        <w:t>تتمة المنتهى</w:t>
      </w:r>
      <w:r w:rsidRPr="003F3B94">
        <w:rPr>
          <w:rFonts w:ascii="Abo-thar" w:hAnsi="Abo-thar"/>
          <w:sz w:val="28"/>
          <w:rtl/>
        </w:rPr>
        <w:t>»</w:t>
      </w:r>
      <w:r w:rsidRPr="003F3B94">
        <w:rPr>
          <w:rFonts w:ascii="Abo-thar" w:hAnsi="Abo-thar" w:hint="cs"/>
          <w:sz w:val="28"/>
          <w:rtl/>
        </w:rPr>
        <w:t xml:space="preserve"> أن وفاة ذلك الإمام كانت سنة 219 أو 220هـ</w:t>
      </w:r>
      <w:r w:rsidR="00217AB4" w:rsidRPr="003F3B94">
        <w:rPr>
          <w:rFonts w:ascii="Abo-thar" w:hAnsi="Abo-thar" w:hint="cs"/>
          <w:sz w:val="28"/>
          <w:rtl/>
        </w:rPr>
        <w:t>.</w:t>
      </w:r>
    </w:p>
    <w:p w:rsidR="005C664D" w:rsidRPr="003F3B94" w:rsidRDefault="005C664D" w:rsidP="003F3B94">
      <w:pPr>
        <w:pStyle w:val="a0"/>
        <w:rPr>
          <w:rFonts w:hint="cs"/>
          <w:rtl/>
        </w:rPr>
      </w:pPr>
      <w:r w:rsidRPr="003F3B94">
        <w:rPr>
          <w:rFonts w:ascii="Abo-thar" w:hAnsi="Abo-thar" w:hint="cs"/>
          <w:sz w:val="28"/>
          <w:rtl/>
        </w:rPr>
        <w:t>4</w:t>
      </w:r>
      <w:r w:rsidR="00217AB4" w:rsidRPr="003F3B94">
        <w:rPr>
          <w:rFonts w:ascii="Abo-thar" w:hAnsi="Abo-thar" w:hint="cs"/>
          <w:sz w:val="28"/>
          <w:rtl/>
        </w:rPr>
        <w:t>-</w:t>
      </w:r>
      <w:r w:rsidRPr="003F3B94">
        <w:rPr>
          <w:rFonts w:ascii="Abo-thar" w:hAnsi="Abo-thar" w:hint="cs"/>
          <w:sz w:val="28"/>
          <w:rtl/>
        </w:rPr>
        <w:t xml:space="preserve"> والخبر الذي أورده المرحوم الصدوق في كتابه </w:t>
      </w:r>
      <w:r w:rsidRPr="003F3B94">
        <w:rPr>
          <w:rFonts w:ascii="Abo-thar" w:hAnsi="Abo-thar" w:hint="eastAsia"/>
          <w:sz w:val="28"/>
          <w:rtl/>
        </w:rPr>
        <w:t>«</w:t>
      </w:r>
      <w:r w:rsidRPr="003F3B94">
        <w:rPr>
          <w:rFonts w:ascii="Abo-thar" w:hAnsi="Abo-thar" w:hint="cs"/>
          <w:sz w:val="28"/>
          <w:rtl/>
        </w:rPr>
        <w:t>عيون أخبار الرضا</w:t>
      </w:r>
      <w:r w:rsidR="00147857" w:rsidRPr="003F3B94">
        <w:rPr>
          <w:rFonts w:ascii="Abo-thar" w:hAnsi="Abo-thar" w:hint="cs"/>
          <w:sz w:val="28"/>
          <w:rtl/>
        </w:rPr>
        <w:t xml:space="preserve"> </w:t>
      </w:r>
      <w:r w:rsidR="003C7AEB" w:rsidRPr="003C7AEB">
        <w:rPr>
          <w:rFonts w:ascii="Abo-thar" w:hAnsi="Abo-thar" w:cs="CTraditional Arabic"/>
          <w:sz w:val="28"/>
          <w:rtl/>
        </w:rPr>
        <w:t>÷</w:t>
      </w:r>
      <w:r w:rsidR="00147857" w:rsidRPr="003F3B94">
        <w:rPr>
          <w:rFonts w:ascii="Abo-thar" w:hAnsi="Abo-thar"/>
          <w:sz w:val="28"/>
          <w:rtl/>
        </w:rPr>
        <w:t>»</w:t>
      </w:r>
      <w:r w:rsidRPr="003F3B94">
        <w:rPr>
          <w:rFonts w:ascii="Abo-thar" w:hAnsi="Abo-thar" w:hint="cs"/>
          <w:sz w:val="28"/>
          <w:rtl/>
        </w:rPr>
        <w:t xml:space="preserve"> يؤيد أيضاً وفاة الإمام الجواد سنة 219هـ حيث ذُكر في ذلك الخبر قصة انطلاق الإمام الرضا من المدينة المنورة</w:t>
      </w:r>
      <w:r w:rsidR="00147857" w:rsidRPr="003F3B94">
        <w:rPr>
          <w:rFonts w:ascii="Abo-thar" w:hAnsi="Abo-thar" w:hint="cs"/>
          <w:sz w:val="28"/>
          <w:rtl/>
        </w:rPr>
        <w:t xml:space="preserve"> </w:t>
      </w:r>
      <w:r w:rsidRPr="003F3B94">
        <w:rPr>
          <w:rFonts w:ascii="Abo-thar" w:hAnsi="Abo-thar" w:hint="cs"/>
          <w:sz w:val="28"/>
          <w:rtl/>
        </w:rPr>
        <w:t>وسفره إلى مدينة طوس ومرضه قبل سبعة أيام من وصوله إلى طوس وعيادة المأمون إياه</w:t>
      </w:r>
      <w:r w:rsidR="001E0DB7" w:rsidRPr="003F3B94">
        <w:rPr>
          <w:rFonts w:ascii="Abo-thar" w:hAnsi="Abo-thar" w:hint="cs"/>
          <w:sz w:val="28"/>
          <w:rtl/>
        </w:rPr>
        <w:t>،</w:t>
      </w:r>
      <w:r w:rsidRPr="003F3B94">
        <w:rPr>
          <w:rFonts w:ascii="Abo-thar" w:hAnsi="Abo-thar" w:hint="cs"/>
          <w:sz w:val="28"/>
          <w:rtl/>
        </w:rPr>
        <w:t xml:space="preserve"> وفي ذلك الحديث يقول الإمام الرضا للمأمون</w:t>
      </w:r>
      <w:r w:rsidR="00217AB4" w:rsidRPr="003F3B94">
        <w:rPr>
          <w:rFonts w:ascii="Abo-thar" w:hAnsi="Abo-thar" w:hint="cs"/>
          <w:sz w:val="28"/>
          <w:rtl/>
        </w:rPr>
        <w:t>:</w:t>
      </w:r>
      <w:r w:rsidRPr="003F3B94">
        <w:rPr>
          <w:rFonts w:ascii="Abo-thar" w:hAnsi="Abo-thar" w:hint="cs"/>
          <w:sz w:val="28"/>
          <w:rtl/>
        </w:rPr>
        <w:t xml:space="preserve"> </w:t>
      </w:r>
      <w:r w:rsidR="00EF2588" w:rsidRPr="00891167">
        <w:rPr>
          <w:rFonts w:ascii="Abo-thar" w:hAnsi="Abo-thar" w:cs="KFGQPC Uthman Taha Naskh" w:hint="cs"/>
          <w:sz w:val="28"/>
          <w:rtl/>
        </w:rPr>
        <w:t>«</w:t>
      </w:r>
      <w:r w:rsidRPr="00891167">
        <w:rPr>
          <w:rFonts w:ascii="Abo-thar" w:hAnsi="Abo-thar" w:cs="KFGQPC Uthman Taha Naskh"/>
          <w:b/>
          <w:bCs/>
          <w:sz w:val="28"/>
          <w:rtl/>
        </w:rPr>
        <w:t>أَحْسِنْ يَا أَمِيرَ المُؤْمِنِينَ مُعَاشَرَةَ أَبِي جَعْفَرٍ</w:t>
      </w:r>
      <w:r w:rsidR="00217AB4" w:rsidRPr="00891167">
        <w:rPr>
          <w:rFonts w:ascii="Abo-thar" w:hAnsi="Abo-thar" w:cs="KFGQPC Uthman Taha Naskh" w:hint="cs"/>
          <w:b/>
          <w:bCs/>
          <w:sz w:val="28"/>
          <w:rtl/>
        </w:rPr>
        <w:t>،</w:t>
      </w:r>
      <w:r w:rsidRPr="00891167">
        <w:rPr>
          <w:rFonts w:ascii="Abo-thar" w:hAnsi="Abo-thar" w:cs="KFGQPC Uthman Taha Naskh"/>
          <w:b/>
          <w:bCs/>
          <w:sz w:val="28"/>
          <w:rtl/>
        </w:rPr>
        <w:t xml:space="preserve"> فَإِنَّ عُمُرَكَ وَعُمُرَهُ هَكَذَا</w:t>
      </w:r>
      <w:r w:rsidR="00217AB4" w:rsidRPr="00891167">
        <w:rPr>
          <w:rFonts w:ascii="Abo-thar" w:hAnsi="Abo-thar" w:cs="KFGQPC Uthman Taha Naskh" w:hint="cs"/>
          <w:b/>
          <w:bCs/>
          <w:sz w:val="28"/>
          <w:rtl/>
        </w:rPr>
        <w:t>،</w:t>
      </w:r>
      <w:r w:rsidRPr="00891167">
        <w:rPr>
          <w:rFonts w:ascii="Abo-thar" w:hAnsi="Abo-thar" w:cs="KFGQPC Uthman Taha Naskh"/>
          <w:b/>
          <w:bCs/>
          <w:sz w:val="28"/>
          <w:rtl/>
        </w:rPr>
        <w:t xml:space="preserve"> وَجَمَعَ بَيْنَ سَبَّابَتَيْه</w:t>
      </w:r>
      <w:r w:rsidRPr="00891167">
        <w:rPr>
          <w:rFonts w:ascii="Abo-thar" w:hAnsi="Abo-thar" w:cs="KFGQPC Uthman Taha Naskh"/>
          <w:sz w:val="28"/>
          <w:rtl/>
        </w:rPr>
        <w:t>‏</w:t>
      </w:r>
      <w:r w:rsidR="00EF2588" w:rsidRPr="00891167">
        <w:rPr>
          <w:rFonts w:ascii="Abo-thar" w:hAnsi="Abo-thar" w:cs="KFGQPC Uthman Taha Naskh" w:hint="cs"/>
          <w:sz w:val="28"/>
          <w:rtl/>
        </w:rPr>
        <w:t>»</w:t>
      </w:r>
      <w:r w:rsidRPr="003F3B94">
        <w:rPr>
          <w:rFonts w:ascii="Abo-thar" w:hAnsi="Abo-thar" w:hint="cs"/>
          <w:sz w:val="28"/>
          <w:rtl/>
        </w:rPr>
        <w:t xml:space="preserve"> أي أن وفاة أحدكما تتلو وفاة الآخر</w:t>
      </w:r>
      <w:r w:rsidR="00217AB4" w:rsidRPr="003F3B94">
        <w:rPr>
          <w:rFonts w:ascii="Abo-thar" w:hAnsi="Abo-thar" w:hint="cs"/>
          <w:sz w:val="28"/>
          <w:rtl/>
        </w:rPr>
        <w:t>.</w:t>
      </w:r>
      <w:r w:rsidRPr="003F3B94">
        <w:rPr>
          <w:rFonts w:ascii="Abo-thar" w:hAnsi="Abo-thar" w:hint="cs"/>
          <w:sz w:val="28"/>
          <w:rtl/>
        </w:rPr>
        <w:t xml:space="preserve"> ولما كان المأمون قد توفي سنة 218هـ</w:t>
      </w:r>
      <w:r w:rsidR="00217AB4" w:rsidRPr="003F3B94">
        <w:rPr>
          <w:rFonts w:ascii="Abo-thar" w:hAnsi="Abo-thar" w:hint="cs"/>
          <w:sz w:val="28"/>
          <w:rtl/>
        </w:rPr>
        <w:t>،</w:t>
      </w:r>
      <w:r w:rsidRPr="003F3B94">
        <w:rPr>
          <w:rFonts w:ascii="Abo-thar" w:hAnsi="Abo-thar" w:hint="cs"/>
          <w:sz w:val="28"/>
          <w:rtl/>
        </w:rPr>
        <w:t xml:space="preserve"> فإن الإمام الجواد توفي في السنة التالية لها أي سنة 219هـ</w:t>
      </w:r>
      <w:r w:rsidR="00217AB4" w:rsidRPr="003F3B94">
        <w:rPr>
          <w:rFonts w:ascii="Abo-thar" w:hAnsi="Abo-thar" w:hint="cs"/>
          <w:sz w:val="28"/>
          <w:rtl/>
        </w:rPr>
        <w:t>.</w:t>
      </w:r>
      <w:r w:rsidRPr="003F3B94">
        <w:rPr>
          <w:rFonts w:ascii="Abo-thar" w:hAnsi="Abo-thar" w:hint="cs"/>
          <w:sz w:val="28"/>
          <w:rtl/>
        </w:rPr>
        <w:t xml:space="preserve"> </w:t>
      </w:r>
    </w:p>
    <w:p w:rsidR="005C664D" w:rsidRPr="003F3B94" w:rsidRDefault="005C664D" w:rsidP="003F3B94">
      <w:pPr>
        <w:pStyle w:val="a0"/>
        <w:rPr>
          <w:rFonts w:hint="cs"/>
          <w:rtl/>
        </w:rPr>
      </w:pPr>
      <w:r w:rsidRPr="003F3B94">
        <w:rPr>
          <w:rFonts w:ascii="Abo-thar" w:hAnsi="Abo-thar" w:hint="cs"/>
          <w:sz w:val="28"/>
          <w:rtl/>
        </w:rPr>
        <w:t>5</w:t>
      </w:r>
      <w:r w:rsidR="00217AB4" w:rsidRPr="003F3B94">
        <w:rPr>
          <w:rFonts w:ascii="Abo-thar" w:hAnsi="Abo-thar" w:hint="cs"/>
          <w:sz w:val="28"/>
          <w:rtl/>
        </w:rPr>
        <w:t>-</w:t>
      </w:r>
      <w:r w:rsidRPr="003F3B94">
        <w:rPr>
          <w:rFonts w:ascii="Abo-thar" w:hAnsi="Abo-thar" w:hint="cs"/>
          <w:sz w:val="28"/>
          <w:rtl/>
        </w:rPr>
        <w:t xml:space="preserve"> جاء في كتاب </w:t>
      </w:r>
      <w:r w:rsidRPr="003F3B94">
        <w:rPr>
          <w:rFonts w:ascii="Abo-thar" w:hAnsi="Abo-thar" w:hint="eastAsia"/>
          <w:sz w:val="28"/>
          <w:rtl/>
        </w:rPr>
        <w:t>«</w:t>
      </w:r>
      <w:r w:rsidRPr="003F3B94">
        <w:rPr>
          <w:rFonts w:ascii="Abo-thar" w:hAnsi="Abo-thar" w:hint="cs"/>
          <w:sz w:val="28"/>
          <w:rtl/>
        </w:rPr>
        <w:t>إثبات الوصية</w:t>
      </w:r>
      <w:r w:rsidRPr="003F3B94">
        <w:rPr>
          <w:rFonts w:ascii="Abo-thar" w:hAnsi="Abo-thar" w:hint="eastAsia"/>
          <w:sz w:val="28"/>
          <w:rtl/>
        </w:rPr>
        <w:t>»</w:t>
      </w:r>
      <w:r w:rsidRPr="003F3B94">
        <w:rPr>
          <w:rFonts w:ascii="Abo-thar" w:hAnsi="Abo-thar" w:hint="cs"/>
          <w:sz w:val="28"/>
          <w:rtl/>
        </w:rPr>
        <w:t xml:space="preserve"> المنسوب للمسعودي أن ولادة حضرة الإمام الجواد كانت في التاسع عشر من شهر رمضان سنة 195هـ</w:t>
      </w:r>
      <w:r w:rsidR="00217AB4" w:rsidRPr="003F3B94">
        <w:rPr>
          <w:rFonts w:ascii="Abo-thar" w:hAnsi="Abo-thar" w:hint="cs"/>
          <w:sz w:val="28"/>
          <w:rtl/>
        </w:rPr>
        <w:t>.</w:t>
      </w:r>
      <w:r w:rsidRPr="003F3B94">
        <w:rPr>
          <w:rFonts w:ascii="Abo-thar" w:hAnsi="Abo-thar" w:hint="cs"/>
          <w:sz w:val="28"/>
          <w:rtl/>
        </w:rPr>
        <w:t xml:space="preserve"> وذُكر أن عمره بلغ أربعة وعشرين عاماً وبضعة شهور</w:t>
      </w:r>
      <w:r w:rsidR="001E0DB7" w:rsidRPr="003F3B94">
        <w:rPr>
          <w:rFonts w:ascii="Abo-thar" w:hAnsi="Abo-thar" w:hint="cs"/>
          <w:sz w:val="28"/>
          <w:rtl/>
        </w:rPr>
        <w:t>،</w:t>
      </w:r>
      <w:r w:rsidRPr="003F3B94">
        <w:rPr>
          <w:rFonts w:ascii="Abo-thar" w:hAnsi="Abo-thar" w:hint="cs"/>
          <w:sz w:val="28"/>
          <w:rtl/>
        </w:rPr>
        <w:t xml:space="preserve"> في حين أنه ذُكر أن وفاته كانت لخمس خلون من ذي الحجة سنة 220هـ</w:t>
      </w:r>
      <w:r w:rsidR="001E0DB7" w:rsidRPr="003F3B94">
        <w:rPr>
          <w:rFonts w:ascii="Abo-thar" w:hAnsi="Abo-thar" w:hint="cs"/>
          <w:sz w:val="28"/>
          <w:rtl/>
        </w:rPr>
        <w:t>،</w:t>
      </w:r>
      <w:r w:rsidRPr="003F3B94">
        <w:rPr>
          <w:rFonts w:ascii="Abo-thar" w:hAnsi="Abo-thar" w:hint="cs"/>
          <w:sz w:val="28"/>
          <w:rtl/>
        </w:rPr>
        <w:t xml:space="preserve"> ولكن هذا خطأ</w:t>
      </w:r>
      <w:r w:rsidR="00217AB4" w:rsidRPr="003F3B94">
        <w:rPr>
          <w:rFonts w:ascii="Abo-thar" w:hAnsi="Abo-thar" w:hint="cs"/>
          <w:sz w:val="28"/>
          <w:rtl/>
        </w:rPr>
        <w:t>!</w:t>
      </w:r>
      <w:r w:rsidRPr="003F3B94">
        <w:rPr>
          <w:rFonts w:ascii="Abo-thar" w:hAnsi="Abo-thar" w:hint="cs"/>
          <w:sz w:val="28"/>
          <w:rtl/>
        </w:rPr>
        <w:t xml:space="preserve"> لأن شهر الحجة من الأشهر العربية ولو كان الإمام قد توفي في الخامس من ذي الحجة سنة 220هـ لكان عمره المبارك حين وفاته خمسةً وعشرين عاماً وبضعة أشهر</w:t>
      </w:r>
      <w:r w:rsidR="001E0DB7" w:rsidRPr="003F3B94">
        <w:rPr>
          <w:rFonts w:ascii="Abo-thar" w:hAnsi="Abo-thar" w:hint="cs"/>
          <w:sz w:val="28"/>
          <w:rtl/>
        </w:rPr>
        <w:t>،</w:t>
      </w:r>
      <w:r w:rsidRPr="003F3B94">
        <w:rPr>
          <w:rFonts w:ascii="Abo-thar" w:hAnsi="Abo-thar" w:hint="cs"/>
          <w:sz w:val="28"/>
          <w:rtl/>
        </w:rPr>
        <w:t xml:space="preserve"> هذا ولمّا لم يكن هناك أي اختلاف بشأن تاريخ ولادته</w:t>
      </w:r>
      <w:r w:rsidR="001E0DB7" w:rsidRPr="003F3B94">
        <w:rPr>
          <w:rFonts w:ascii="Abo-thar" w:hAnsi="Abo-thar" w:hint="cs"/>
          <w:sz w:val="28"/>
          <w:rtl/>
        </w:rPr>
        <w:t>،</w:t>
      </w:r>
      <w:r w:rsidRPr="003F3B94">
        <w:rPr>
          <w:rFonts w:ascii="Abo-thar" w:hAnsi="Abo-thar" w:hint="cs"/>
          <w:sz w:val="28"/>
          <w:rtl/>
        </w:rPr>
        <w:t xml:space="preserve"> فلا بد أن نعتبر أن وفاته كانت سنة 219هـ</w:t>
      </w:r>
      <w:r w:rsidR="00217AB4" w:rsidRPr="003F3B94">
        <w:rPr>
          <w:rFonts w:ascii="Abo-thar" w:hAnsi="Abo-thar" w:hint="cs"/>
          <w:sz w:val="28"/>
          <w:rtl/>
        </w:rPr>
        <w:t>.</w:t>
      </w:r>
      <w:r w:rsidR="00147857" w:rsidRPr="003F3B94">
        <w:rPr>
          <w:rFonts w:ascii="Abo-thar" w:hAnsi="Abo-thar" w:hint="cs"/>
          <w:sz w:val="28"/>
          <w:rtl/>
        </w:rPr>
        <w:t xml:space="preserve"> </w:t>
      </w:r>
      <w:r w:rsidRPr="003F3B94">
        <w:rPr>
          <w:rFonts w:ascii="Abo-thar" w:hAnsi="Abo-thar" w:hint="cs"/>
          <w:sz w:val="28"/>
          <w:rtl/>
        </w:rPr>
        <w:t>وبناء على ذلك فقد توفي حضرته قبل سنة من كتابة تلك الرسالة المزعومة فكيف تسنى لِعلِيِّ بن مهزيار أن يظهر تلك الرسالة سنة 220هـ في طريق مكة ويطالب بالخُمس وبحقوق كيت وكيت للإمام في حين أنه حتى لو فرضنا أن الإمام لم يكن قد توفي بعد بل كان حياً سنة 220هـ فإنه كان في ضيافة الخليفة وتحت رقابته</w:t>
      </w:r>
      <w:r w:rsidR="001E0DB7" w:rsidRPr="003F3B94">
        <w:rPr>
          <w:rFonts w:ascii="Abo-thar" w:hAnsi="Abo-thar" w:hint="cs"/>
          <w:sz w:val="28"/>
          <w:rtl/>
        </w:rPr>
        <w:t>،</w:t>
      </w:r>
      <w:r w:rsidRPr="003F3B94">
        <w:rPr>
          <w:rFonts w:ascii="Abo-thar" w:hAnsi="Abo-thar" w:hint="cs"/>
          <w:sz w:val="28"/>
          <w:rtl/>
        </w:rPr>
        <w:t xml:space="preserve"> فكيف كتب مثل هذه الرسالة ولأجل من كان يطالب بذلك المال والخُمس</w:t>
      </w:r>
      <w:r w:rsidR="00217AB4" w:rsidRPr="003F3B94">
        <w:rPr>
          <w:rFonts w:ascii="Abo-thar" w:hAnsi="Abo-thar" w:hint="cs"/>
          <w:sz w:val="28"/>
          <w:rtl/>
        </w:rPr>
        <w:t>؟!</w:t>
      </w:r>
      <w:r w:rsidRPr="003F3B94">
        <w:rPr>
          <w:rFonts w:ascii="Abo-thar" w:hAnsi="Abo-thar" w:hint="cs"/>
          <w:sz w:val="28"/>
          <w:rtl/>
        </w:rPr>
        <w:t xml:space="preserve"> لعله طلبها لأجل </w:t>
      </w:r>
      <w:r w:rsidRPr="003F3B94">
        <w:rPr>
          <w:rFonts w:ascii="Abo-thar" w:hAnsi="Abo-thar" w:hint="eastAsia"/>
          <w:sz w:val="28"/>
          <w:rtl/>
        </w:rPr>
        <w:t>«</w:t>
      </w:r>
      <w:r w:rsidRPr="003F3B94">
        <w:rPr>
          <w:rFonts w:ascii="Abo-thar" w:hAnsi="Abo-thar" w:hint="cs"/>
          <w:sz w:val="28"/>
          <w:rtl/>
        </w:rPr>
        <w:t>علي بن مهزيار</w:t>
      </w:r>
      <w:r w:rsidRPr="003F3B94">
        <w:rPr>
          <w:rFonts w:ascii="Abo-thar" w:hAnsi="Abo-thar" w:hint="eastAsia"/>
          <w:sz w:val="28"/>
          <w:rtl/>
        </w:rPr>
        <w:t>»</w:t>
      </w:r>
      <w:r w:rsidRPr="003F3B94">
        <w:rPr>
          <w:rFonts w:ascii="Abo-thar" w:hAnsi="Abo-thar" w:hint="cs"/>
          <w:sz w:val="28"/>
          <w:rtl/>
        </w:rPr>
        <w:t xml:space="preserve"> ذاته حتى يحللها له كلها دفعة واحدة فيما بعد</w:t>
      </w:r>
      <w:r w:rsidR="00217AB4" w:rsidRPr="003F3B94">
        <w:rPr>
          <w:rFonts w:ascii="Abo-thar" w:hAnsi="Abo-thar" w:hint="cs"/>
          <w:sz w:val="28"/>
          <w:rtl/>
        </w:rPr>
        <w:t>!!!</w:t>
      </w:r>
      <w:r w:rsidRPr="003F3B94">
        <w:rPr>
          <w:rFonts w:ascii="Abo-thar" w:hAnsi="Abo-thar" w:hint="cs"/>
          <w:sz w:val="28"/>
          <w:rtl/>
        </w:rPr>
        <w:t xml:space="preserve"> ولما كان سلوك طريق مكة لأجل الحج يتم عادة في شهر ذي القعدة وذي الحجة فإن المطالبة بهذه الحقوق تمت بعد وفاة الإمام</w:t>
      </w:r>
      <w:r w:rsidR="001E0DB7" w:rsidRPr="003F3B94">
        <w:rPr>
          <w:rFonts w:ascii="Abo-thar" w:hAnsi="Abo-thar" w:hint="cs"/>
          <w:sz w:val="28"/>
          <w:rtl/>
        </w:rPr>
        <w:t>،</w:t>
      </w:r>
      <w:r w:rsidRPr="003F3B94">
        <w:rPr>
          <w:rFonts w:ascii="Abo-thar" w:hAnsi="Abo-thar" w:hint="cs"/>
          <w:sz w:val="28"/>
          <w:rtl/>
        </w:rPr>
        <w:t xml:space="preserve"> وهذا كان جيداً ومفيداً لعلي بن مهزيار</w:t>
      </w:r>
      <w:r w:rsidR="00217AB4" w:rsidRPr="003F3B94">
        <w:rPr>
          <w:rFonts w:ascii="Abo-thar" w:hAnsi="Abo-thar" w:hint="cs"/>
          <w:sz w:val="28"/>
          <w:rtl/>
        </w:rPr>
        <w:t>.</w:t>
      </w:r>
      <w:r w:rsidRPr="003F3B94">
        <w:rPr>
          <w:rFonts w:ascii="Abo-thar" w:hAnsi="Abo-thar" w:hint="cs"/>
          <w:sz w:val="28"/>
          <w:rtl/>
        </w:rPr>
        <w:t xml:space="preserve"> </w:t>
      </w:r>
    </w:p>
    <w:p w:rsidR="005C664D" w:rsidRPr="003F3B94" w:rsidRDefault="00F537D0" w:rsidP="003F3B94">
      <w:pPr>
        <w:pStyle w:val="a0"/>
        <w:rPr>
          <w:rFonts w:hint="cs"/>
          <w:rtl/>
        </w:rPr>
      </w:pPr>
      <w:r w:rsidRPr="003F3B94">
        <w:rPr>
          <w:rFonts w:ascii="Abo-thar" w:hAnsi="Abo-thar" w:hint="cs"/>
          <w:sz w:val="28"/>
          <w:rtl/>
        </w:rPr>
        <w:t xml:space="preserve">6- </w:t>
      </w:r>
      <w:r w:rsidR="005C664D" w:rsidRPr="003F3B94">
        <w:rPr>
          <w:rFonts w:ascii="Abo-thar" w:hAnsi="Abo-thar" w:hint="cs"/>
          <w:sz w:val="28"/>
          <w:rtl/>
        </w:rPr>
        <w:t>والإشكال الآخر الذي يَرِدُ على هذه الرسالة هو أن من جملة عباراته هذه العبارة التي قيل إن الإمام كتبها</w:t>
      </w:r>
      <w:r w:rsidR="00217AB4" w:rsidRPr="003F3B94">
        <w:rPr>
          <w:rFonts w:ascii="Abo-thar" w:hAnsi="Abo-thar" w:hint="cs"/>
          <w:sz w:val="28"/>
          <w:rtl/>
        </w:rPr>
        <w:t>:</w:t>
      </w:r>
      <w:r w:rsidR="005C664D" w:rsidRPr="003F3B94">
        <w:rPr>
          <w:rFonts w:ascii="Abo-thar" w:hAnsi="Abo-thar" w:hint="cs"/>
          <w:sz w:val="28"/>
          <w:rtl/>
        </w:rPr>
        <w:t xml:space="preserve"> </w:t>
      </w:r>
      <w:r w:rsidR="00EF2588" w:rsidRPr="00891167">
        <w:rPr>
          <w:rFonts w:ascii="Abo-thar" w:hAnsi="Abo-thar" w:cs="KFGQPC Uthman Taha Naskh" w:hint="cs"/>
          <w:sz w:val="28"/>
          <w:rtl/>
        </w:rPr>
        <w:t>«</w:t>
      </w:r>
      <w:r w:rsidR="005C664D" w:rsidRPr="00891167">
        <w:rPr>
          <w:rFonts w:ascii="Abo-thar" w:hAnsi="Abo-thar" w:cs="KFGQPC Uthman Taha Naskh"/>
          <w:b/>
          <w:bCs/>
          <w:sz w:val="28"/>
          <w:rtl/>
        </w:rPr>
        <w:t>ومِنْ ضَرْبِ مَا صَارَ إِلَى قَوْمٍ مِنْ مَوَالِيَّ مِنْ أَمْوَالِ الخُرَّمِيَّةِ الْفَسَقَةِ فَقَدْ عَلِمْتُ أَنَّ أَمْوَالًا عِظَاماً صَارَتْ إِلَى قَوْمٍ مِنْ مَوَالِيَّ فَمَنْ كَانَ عِنْدَهُ شَيْ‏ءٌ مِنْ ذَلِكَ فَلْيُوصِلْ إِلَى وَكِيلِي</w:t>
      </w:r>
      <w:r w:rsidR="00EF2588" w:rsidRPr="00891167">
        <w:rPr>
          <w:rFonts w:ascii="Abo-thar" w:hAnsi="Abo-thar" w:cs="KFGQPC Uthman Taha Naskh" w:hint="cs"/>
          <w:sz w:val="28"/>
          <w:rtl/>
        </w:rPr>
        <w:t>»</w:t>
      </w:r>
      <w:r w:rsidR="00217AB4" w:rsidRPr="003F3B94">
        <w:rPr>
          <w:rFonts w:ascii="Abo-thar" w:hAnsi="Abo-thar" w:hint="cs"/>
          <w:sz w:val="28"/>
          <w:rtl/>
        </w:rPr>
        <w:t>.</w:t>
      </w:r>
    </w:p>
    <w:p w:rsidR="005C664D" w:rsidRPr="003F3B94" w:rsidRDefault="005C664D" w:rsidP="003F3B94">
      <w:pPr>
        <w:pStyle w:val="a0"/>
        <w:rPr>
          <w:rFonts w:hint="cs"/>
          <w:rtl/>
        </w:rPr>
      </w:pPr>
      <w:r w:rsidRPr="003F3B94">
        <w:rPr>
          <w:rFonts w:ascii="Abo-thar" w:hAnsi="Abo-thar" w:hint="cs"/>
          <w:sz w:val="28"/>
          <w:rtl/>
        </w:rPr>
        <w:t xml:space="preserve">فلننظر مدى توافق هذه العبارة مع تاريخ </w:t>
      </w:r>
      <w:r w:rsidRPr="003F3B94">
        <w:rPr>
          <w:rFonts w:ascii="Abo-thar" w:hAnsi="Abo-thar" w:hint="cs"/>
          <w:b/>
          <w:bCs/>
          <w:sz w:val="28"/>
          <w:rtl/>
        </w:rPr>
        <w:t>ال</w:t>
      </w:r>
      <w:r w:rsidRPr="003F3B94">
        <w:rPr>
          <w:rFonts w:ascii="Abo-thar" w:hAnsi="Abo-thar"/>
          <w:b/>
          <w:bCs/>
          <w:sz w:val="28"/>
          <w:rtl/>
        </w:rPr>
        <w:t>خُرَّمِيَّةِ</w:t>
      </w:r>
      <w:r w:rsidR="00217AB4" w:rsidRPr="003F3B94">
        <w:rPr>
          <w:rFonts w:ascii="Abo-thar" w:hAnsi="Abo-thar" w:hint="cs"/>
          <w:sz w:val="28"/>
          <w:rtl/>
        </w:rPr>
        <w:t>:</w:t>
      </w:r>
      <w:r w:rsidRPr="003F3B94">
        <w:rPr>
          <w:rFonts w:ascii="Abo-thar" w:hAnsi="Abo-thar" w:hint="cs"/>
          <w:sz w:val="28"/>
          <w:rtl/>
        </w:rPr>
        <w:t xml:space="preserve"> </w:t>
      </w:r>
    </w:p>
    <w:p w:rsidR="005C664D" w:rsidRPr="003F3B94" w:rsidRDefault="005C664D" w:rsidP="003F3B94">
      <w:pPr>
        <w:pStyle w:val="a0"/>
        <w:rPr>
          <w:rFonts w:hint="cs"/>
          <w:rtl/>
        </w:rPr>
      </w:pPr>
      <w:r w:rsidRPr="003F3B94">
        <w:rPr>
          <w:rFonts w:ascii="Abo-thar" w:hAnsi="Abo-thar" w:hint="cs"/>
          <w:sz w:val="28"/>
          <w:rtl/>
        </w:rPr>
        <w:t xml:space="preserve">طبقاً للتواريخ المعتمدة علا شأن </w:t>
      </w:r>
      <w:r w:rsidRPr="003F3B94">
        <w:rPr>
          <w:rFonts w:ascii="Abo-thar" w:hAnsi="Abo-thar" w:hint="eastAsia"/>
          <w:sz w:val="28"/>
          <w:rtl/>
        </w:rPr>
        <w:t>«</w:t>
      </w:r>
      <w:r w:rsidRPr="003F3B94">
        <w:rPr>
          <w:rFonts w:ascii="Abo-thar" w:hAnsi="Abo-thar" w:hint="cs"/>
          <w:sz w:val="28"/>
          <w:rtl/>
        </w:rPr>
        <w:t>بابك الخُرَّميّ</w:t>
      </w:r>
      <w:r w:rsidRPr="003F3B94">
        <w:rPr>
          <w:rFonts w:ascii="Abo-thar" w:hAnsi="Abo-thar" w:hint="eastAsia"/>
          <w:sz w:val="28"/>
          <w:rtl/>
        </w:rPr>
        <w:t>»</w:t>
      </w:r>
      <w:r w:rsidRPr="003F3B94">
        <w:rPr>
          <w:rFonts w:ascii="Abo-thar" w:hAnsi="Abo-thar" w:hint="cs"/>
          <w:sz w:val="28"/>
          <w:rtl/>
        </w:rPr>
        <w:t xml:space="preserve"> سنة 211هـ </w:t>
      </w:r>
      <w:r w:rsidR="00217AB4" w:rsidRPr="003F3B94">
        <w:rPr>
          <w:rFonts w:ascii="Abo-thar" w:hAnsi="Abo-thar" w:hint="cs"/>
          <w:sz w:val="28"/>
          <w:rtl/>
        </w:rPr>
        <w:t>(</w:t>
      </w:r>
      <w:r w:rsidRPr="003F3B94">
        <w:rPr>
          <w:rFonts w:ascii="Abo-thar" w:hAnsi="Abo-thar" w:hint="cs"/>
          <w:sz w:val="28"/>
          <w:rtl/>
        </w:rPr>
        <w:t>أي بعد سنتين من وفاة حضرة الإمام الجواد</w:t>
      </w:r>
      <w:r w:rsidR="00217AB4" w:rsidRPr="003F3B94">
        <w:rPr>
          <w:rFonts w:ascii="Abo-thar" w:hAnsi="Abo-thar" w:hint="cs"/>
          <w:sz w:val="28"/>
          <w:rtl/>
        </w:rPr>
        <w:t>)</w:t>
      </w:r>
      <w:r w:rsidRPr="003F3B94">
        <w:rPr>
          <w:rFonts w:ascii="Abo-thar" w:hAnsi="Abo-thar" w:hint="cs"/>
          <w:sz w:val="28"/>
          <w:rtl/>
        </w:rPr>
        <w:t xml:space="preserve"> واتجهت عساكره نحو القرى والبلدات</w:t>
      </w:r>
      <w:r w:rsidR="001E0DB7" w:rsidRPr="003F3B94">
        <w:rPr>
          <w:rFonts w:ascii="Abo-thar" w:hAnsi="Abo-thar" w:hint="cs"/>
          <w:sz w:val="28"/>
          <w:rtl/>
        </w:rPr>
        <w:t>،</w:t>
      </w:r>
      <w:r w:rsidRPr="003F3B94">
        <w:rPr>
          <w:rFonts w:ascii="Abo-thar" w:hAnsi="Abo-thar" w:hint="cs"/>
          <w:sz w:val="28"/>
          <w:rtl/>
        </w:rPr>
        <w:t xml:space="preserve"> وفيما يلي نصّ عبارة المؤرخ المسعودي في </w:t>
      </w:r>
      <w:r w:rsidRPr="003F3B94">
        <w:rPr>
          <w:rFonts w:ascii="Abo-thar" w:hAnsi="Abo-thar"/>
          <w:sz w:val="28"/>
          <w:rtl/>
        </w:rPr>
        <w:t>«</w:t>
      </w:r>
      <w:r w:rsidRPr="003F3B94">
        <w:rPr>
          <w:rFonts w:ascii="Abo-thar" w:hAnsi="Abo-thar" w:hint="cs"/>
          <w:sz w:val="28"/>
          <w:rtl/>
        </w:rPr>
        <w:t>مروج الذهب</w:t>
      </w:r>
      <w:r w:rsidRPr="003F3B94">
        <w:rPr>
          <w:rFonts w:ascii="Abo-thar" w:hAnsi="Abo-thar"/>
          <w:sz w:val="28"/>
          <w:rtl/>
        </w:rPr>
        <w:t>»</w:t>
      </w:r>
      <w:r w:rsidR="00217AB4" w:rsidRPr="003F3B94">
        <w:rPr>
          <w:rFonts w:ascii="Abo-thar" w:hAnsi="Abo-thar" w:hint="cs"/>
          <w:sz w:val="28"/>
          <w:rtl/>
        </w:rPr>
        <w:t>:</w:t>
      </w:r>
    </w:p>
    <w:p w:rsidR="005C664D" w:rsidRPr="003F3B94" w:rsidRDefault="00EF2588" w:rsidP="003F3B94">
      <w:pPr>
        <w:pStyle w:val="a0"/>
        <w:rPr>
          <w:rFonts w:hint="cs"/>
          <w:rtl/>
          <w:lang w:bidi="ar-SY"/>
        </w:rPr>
      </w:pPr>
      <w:r w:rsidRPr="003F3B94">
        <w:rPr>
          <w:rFonts w:ascii="Abo-thar" w:hAnsi="Abo-thar" w:hint="cs"/>
          <w:sz w:val="28"/>
          <w:rtl/>
          <w:lang w:bidi="ar-SY"/>
        </w:rPr>
        <w:t>«</w:t>
      </w:r>
      <w:r w:rsidR="005C664D" w:rsidRPr="003F3B94">
        <w:rPr>
          <w:rFonts w:ascii="Abo-thar" w:hAnsi="Abo-thar"/>
          <w:b/>
          <w:bCs/>
          <w:sz w:val="28"/>
          <w:rtl/>
          <w:lang w:bidi="ar-SY"/>
        </w:rPr>
        <w:t>وكان بَدء ما وصفنا فيما فعله المعتصم سنة إحدى وعشرين ومائتين</w:t>
      </w:r>
      <w:r w:rsidR="00217AB4" w:rsidRPr="003F3B94">
        <w:rPr>
          <w:rFonts w:ascii="Abo-thar" w:hAnsi="Abo-thar"/>
          <w:b/>
          <w:bCs/>
          <w:sz w:val="28"/>
          <w:rtl/>
          <w:lang w:bidi="ar-SY"/>
        </w:rPr>
        <w:t>.</w:t>
      </w:r>
      <w:r w:rsidR="005C664D" w:rsidRPr="003F3B94">
        <w:rPr>
          <w:rFonts w:ascii="Abo-thar" w:hAnsi="Abo-thar" w:hint="cs"/>
          <w:b/>
          <w:bCs/>
          <w:sz w:val="28"/>
          <w:rtl/>
          <w:lang w:bidi="ar-SY"/>
        </w:rPr>
        <w:t xml:space="preserve"> </w:t>
      </w:r>
      <w:r w:rsidR="005C664D" w:rsidRPr="003F3B94">
        <w:rPr>
          <w:rFonts w:ascii="Abo-thar" w:hAnsi="Abo-thar"/>
          <w:b/>
          <w:bCs/>
          <w:sz w:val="28"/>
          <w:rtl/>
          <w:lang w:bidi="ar-SY"/>
        </w:rPr>
        <w:t>خروج بابك الخرمي</w:t>
      </w:r>
      <w:r w:rsidR="00217AB4" w:rsidRPr="003F3B94">
        <w:rPr>
          <w:rFonts w:ascii="Abo-thar" w:hAnsi="Abo-thar" w:hint="cs"/>
          <w:b/>
          <w:bCs/>
          <w:sz w:val="28"/>
          <w:rtl/>
          <w:lang w:bidi="ar-SY"/>
        </w:rPr>
        <w:t>:</w:t>
      </w:r>
      <w:r w:rsidR="005C664D" w:rsidRPr="003F3B94">
        <w:rPr>
          <w:rFonts w:ascii="Abo-thar" w:hAnsi="Abo-thar" w:hint="cs"/>
          <w:b/>
          <w:bCs/>
          <w:sz w:val="28"/>
          <w:rtl/>
          <w:lang w:bidi="ar-SY"/>
        </w:rPr>
        <w:t xml:space="preserve"> </w:t>
      </w:r>
      <w:r w:rsidR="005C664D" w:rsidRPr="003F3B94">
        <w:rPr>
          <w:rFonts w:ascii="Abo-thar" w:hAnsi="Abo-thar"/>
          <w:b/>
          <w:bCs/>
          <w:sz w:val="28"/>
          <w:rtl/>
          <w:lang w:bidi="ar-SY"/>
        </w:rPr>
        <w:t>واشتد</w:t>
      </w:r>
      <w:r w:rsidR="005C664D" w:rsidRPr="003F3B94">
        <w:rPr>
          <w:rFonts w:ascii="Abo-thar" w:hAnsi="Abo-thar" w:hint="cs"/>
          <w:b/>
          <w:bCs/>
          <w:sz w:val="28"/>
          <w:rtl/>
          <w:lang w:bidi="ar-SY"/>
        </w:rPr>
        <w:t>َّ</w:t>
      </w:r>
      <w:r w:rsidR="005C664D" w:rsidRPr="003F3B94">
        <w:rPr>
          <w:rFonts w:ascii="Abo-thar" w:hAnsi="Abo-thar"/>
          <w:b/>
          <w:bCs/>
          <w:sz w:val="28"/>
          <w:rtl/>
          <w:lang w:bidi="ar-SY"/>
        </w:rPr>
        <w:t xml:space="preserve"> أمر بابك الخرمي ببلاد الران والبيلقان</w:t>
      </w:r>
      <w:r w:rsidR="00217AB4" w:rsidRPr="003F3B94">
        <w:rPr>
          <w:rFonts w:ascii="Abo-thar" w:hAnsi="Abo-thar"/>
          <w:b/>
          <w:bCs/>
          <w:sz w:val="28"/>
          <w:rtl/>
          <w:lang w:bidi="ar-SY"/>
        </w:rPr>
        <w:t>،</w:t>
      </w:r>
      <w:r w:rsidR="005C664D" w:rsidRPr="003F3B94">
        <w:rPr>
          <w:rFonts w:ascii="Abo-thar" w:hAnsi="Abo-thar"/>
          <w:b/>
          <w:bCs/>
          <w:sz w:val="28"/>
          <w:rtl/>
          <w:lang w:bidi="ar-SY"/>
        </w:rPr>
        <w:t xml:space="preserve"> وكثرت عترته في تلك البلاد وسار عساكره نحو تلك الأمصار</w:t>
      </w:r>
      <w:r w:rsidR="00217AB4" w:rsidRPr="003F3B94">
        <w:rPr>
          <w:rFonts w:ascii="Abo-thar" w:hAnsi="Abo-thar"/>
          <w:b/>
          <w:bCs/>
          <w:sz w:val="28"/>
          <w:rtl/>
          <w:lang w:bidi="ar-SY"/>
        </w:rPr>
        <w:t>،</w:t>
      </w:r>
      <w:r w:rsidR="005C664D" w:rsidRPr="003F3B94">
        <w:rPr>
          <w:rFonts w:ascii="Abo-thar" w:hAnsi="Abo-thar"/>
          <w:b/>
          <w:bCs/>
          <w:sz w:val="28"/>
          <w:rtl/>
          <w:lang w:bidi="ar-SY"/>
        </w:rPr>
        <w:t xml:space="preserve"> ففرق الجيوش</w:t>
      </w:r>
      <w:r w:rsidR="00217AB4" w:rsidRPr="003F3B94">
        <w:rPr>
          <w:rFonts w:ascii="Abo-thar" w:hAnsi="Abo-thar"/>
          <w:b/>
          <w:bCs/>
          <w:sz w:val="28"/>
          <w:rtl/>
          <w:lang w:bidi="ar-SY"/>
        </w:rPr>
        <w:t>،</w:t>
      </w:r>
      <w:r w:rsidR="005C664D" w:rsidRPr="003F3B94">
        <w:rPr>
          <w:rFonts w:ascii="Abo-thar" w:hAnsi="Abo-thar"/>
          <w:b/>
          <w:bCs/>
          <w:sz w:val="28"/>
          <w:rtl/>
          <w:lang w:bidi="ar-SY"/>
        </w:rPr>
        <w:t xml:space="preserve"> وهزم العساكر</w:t>
      </w:r>
      <w:r w:rsidR="00217AB4" w:rsidRPr="003F3B94">
        <w:rPr>
          <w:rFonts w:ascii="Abo-thar" w:hAnsi="Abo-thar"/>
          <w:b/>
          <w:bCs/>
          <w:sz w:val="28"/>
          <w:rtl/>
          <w:lang w:bidi="ar-SY"/>
        </w:rPr>
        <w:t>،</w:t>
      </w:r>
      <w:r w:rsidR="005C664D" w:rsidRPr="003F3B94">
        <w:rPr>
          <w:rFonts w:ascii="Abo-thar" w:hAnsi="Abo-thar"/>
          <w:b/>
          <w:bCs/>
          <w:sz w:val="28"/>
          <w:rtl/>
          <w:lang w:bidi="ar-SY"/>
        </w:rPr>
        <w:t xml:space="preserve"> وقتل الوُلاةَ</w:t>
      </w:r>
      <w:r w:rsidR="00217AB4" w:rsidRPr="003F3B94">
        <w:rPr>
          <w:rFonts w:ascii="Abo-thar" w:hAnsi="Abo-thar"/>
          <w:b/>
          <w:bCs/>
          <w:sz w:val="28"/>
          <w:rtl/>
          <w:lang w:bidi="ar-SY"/>
        </w:rPr>
        <w:t>،</w:t>
      </w:r>
      <w:r w:rsidR="005C664D" w:rsidRPr="003F3B94">
        <w:rPr>
          <w:rFonts w:ascii="Abo-thar" w:hAnsi="Abo-thar"/>
          <w:b/>
          <w:bCs/>
          <w:sz w:val="28"/>
          <w:rtl/>
          <w:lang w:bidi="ar-SY"/>
        </w:rPr>
        <w:t xml:space="preserve"> وأفنى الناس</w:t>
      </w:r>
      <w:r w:rsidR="00217AB4" w:rsidRPr="003F3B94">
        <w:rPr>
          <w:rFonts w:ascii="Abo-thar" w:hAnsi="Abo-thar"/>
          <w:b/>
          <w:bCs/>
          <w:sz w:val="28"/>
          <w:rtl/>
          <w:lang w:bidi="ar-SY"/>
        </w:rPr>
        <w:t>،</w:t>
      </w:r>
      <w:r w:rsidR="005C664D" w:rsidRPr="003F3B94">
        <w:rPr>
          <w:rFonts w:ascii="Abo-thar" w:hAnsi="Abo-thar"/>
          <w:b/>
          <w:bCs/>
          <w:sz w:val="28"/>
          <w:rtl/>
          <w:lang w:bidi="ar-SY"/>
        </w:rPr>
        <w:t xml:space="preserve"> فسي</w:t>
      </w:r>
      <w:r w:rsidR="005C664D" w:rsidRPr="003F3B94">
        <w:rPr>
          <w:rFonts w:ascii="Abo-thar" w:hAnsi="Abo-thar" w:hint="cs"/>
          <w:b/>
          <w:bCs/>
          <w:sz w:val="28"/>
          <w:rtl/>
          <w:lang w:bidi="ar-SY"/>
        </w:rPr>
        <w:t>َّ</w:t>
      </w:r>
      <w:r w:rsidR="005C664D" w:rsidRPr="003F3B94">
        <w:rPr>
          <w:rFonts w:ascii="Abo-thar" w:hAnsi="Abo-thar"/>
          <w:b/>
          <w:bCs/>
          <w:sz w:val="28"/>
          <w:rtl/>
          <w:lang w:bidi="ar-SY"/>
        </w:rPr>
        <w:t>ر إليه المعتصم الجيوش وعليها الأفشين</w:t>
      </w:r>
      <w:r w:rsidR="00217AB4" w:rsidRPr="003F3B94">
        <w:rPr>
          <w:rFonts w:ascii="Abo-thar" w:hAnsi="Abo-thar"/>
          <w:b/>
          <w:bCs/>
          <w:sz w:val="28"/>
          <w:rtl/>
          <w:lang w:bidi="ar-SY"/>
        </w:rPr>
        <w:t>،</w:t>
      </w:r>
      <w:r w:rsidR="005C664D" w:rsidRPr="003F3B94">
        <w:rPr>
          <w:rFonts w:ascii="Abo-thar" w:hAnsi="Abo-thar"/>
          <w:b/>
          <w:bCs/>
          <w:sz w:val="28"/>
          <w:rtl/>
          <w:lang w:bidi="ar-SY"/>
        </w:rPr>
        <w:t xml:space="preserve"> وكثرت حروبه واتصلت</w:t>
      </w:r>
      <w:r w:rsidR="00217AB4" w:rsidRPr="003F3B94">
        <w:rPr>
          <w:rFonts w:ascii="Abo-thar" w:hAnsi="Abo-thar"/>
          <w:b/>
          <w:bCs/>
          <w:sz w:val="28"/>
          <w:rtl/>
          <w:lang w:bidi="ar-SY"/>
        </w:rPr>
        <w:t>،</w:t>
      </w:r>
      <w:r w:rsidR="005C664D" w:rsidRPr="003F3B94">
        <w:rPr>
          <w:rFonts w:ascii="Abo-thar" w:hAnsi="Abo-thar"/>
          <w:b/>
          <w:bCs/>
          <w:sz w:val="28"/>
          <w:rtl/>
          <w:lang w:bidi="ar-SY"/>
        </w:rPr>
        <w:t xml:space="preserve"> وضاق بابك في بلاده حتى انفض</w:t>
      </w:r>
      <w:r w:rsidR="005C664D" w:rsidRPr="003F3B94">
        <w:rPr>
          <w:rFonts w:ascii="Abo-thar" w:hAnsi="Abo-thar" w:hint="cs"/>
          <w:b/>
          <w:bCs/>
          <w:sz w:val="28"/>
          <w:rtl/>
          <w:lang w:bidi="ar-SY"/>
        </w:rPr>
        <w:t>َّ</w:t>
      </w:r>
      <w:r w:rsidR="005C664D" w:rsidRPr="003F3B94">
        <w:rPr>
          <w:rFonts w:ascii="Abo-thar" w:hAnsi="Abo-thar"/>
          <w:b/>
          <w:bCs/>
          <w:sz w:val="28"/>
          <w:rtl/>
          <w:lang w:bidi="ar-SY"/>
        </w:rPr>
        <w:t xml:space="preserve"> جمعه</w:t>
      </w:r>
      <w:r w:rsidR="00217AB4" w:rsidRPr="003F3B94">
        <w:rPr>
          <w:rFonts w:ascii="Abo-thar" w:hAnsi="Abo-thar"/>
          <w:b/>
          <w:bCs/>
          <w:sz w:val="28"/>
          <w:rtl/>
          <w:lang w:bidi="ar-SY"/>
        </w:rPr>
        <w:t>،</w:t>
      </w:r>
      <w:r w:rsidR="005C664D" w:rsidRPr="003F3B94">
        <w:rPr>
          <w:rFonts w:ascii="Abo-thar" w:hAnsi="Abo-thar"/>
          <w:b/>
          <w:bCs/>
          <w:sz w:val="28"/>
          <w:rtl/>
          <w:lang w:bidi="ar-SY"/>
        </w:rPr>
        <w:t xml:space="preserve"> وق</w:t>
      </w:r>
      <w:r w:rsidR="005C664D" w:rsidRPr="003F3B94">
        <w:rPr>
          <w:rFonts w:ascii="Abo-thar" w:hAnsi="Abo-thar" w:hint="cs"/>
          <w:b/>
          <w:bCs/>
          <w:sz w:val="28"/>
          <w:rtl/>
          <w:lang w:bidi="ar-SY"/>
        </w:rPr>
        <w:t>ُ</w:t>
      </w:r>
      <w:r w:rsidR="005C664D" w:rsidRPr="003F3B94">
        <w:rPr>
          <w:rFonts w:ascii="Abo-thar" w:hAnsi="Abo-thar"/>
          <w:b/>
          <w:bCs/>
          <w:sz w:val="28"/>
          <w:rtl/>
          <w:lang w:bidi="ar-SY"/>
        </w:rPr>
        <w:t>تل رجاله</w:t>
      </w:r>
      <w:r w:rsidR="00217AB4" w:rsidRPr="003F3B94">
        <w:rPr>
          <w:rFonts w:ascii="Abo-thar" w:hAnsi="Abo-thar" w:hint="cs"/>
          <w:sz w:val="28"/>
          <w:rtl/>
          <w:lang w:bidi="ar-SY"/>
        </w:rPr>
        <w:t>..</w:t>
      </w:r>
      <w:r w:rsidRPr="003F3B94">
        <w:rPr>
          <w:rFonts w:ascii="Abo-thar" w:hAnsi="Abo-thar" w:hint="cs"/>
          <w:sz w:val="28"/>
          <w:rtl/>
          <w:lang w:bidi="ar-SY"/>
        </w:rPr>
        <w:t>»</w:t>
      </w:r>
      <w:r w:rsidR="007D4D3A" w:rsidRPr="0021507A">
        <w:rPr>
          <w:rFonts w:ascii="Abo-thar" w:hAnsi="Abo-thar" w:cs="Arabic11 BT"/>
          <w:sz w:val="28"/>
          <w:vertAlign w:val="superscript"/>
          <w:rtl/>
          <w:lang w:bidi="ar-SY"/>
        </w:rPr>
        <w:t>(</w:t>
      </w:r>
      <w:r w:rsidR="007D4D3A" w:rsidRPr="0021507A">
        <w:rPr>
          <w:rStyle w:val="FootnoteReference"/>
          <w:rFonts w:ascii="Abo-thar" w:hAnsi="Abo-thar" w:cs="Arabic11 BT"/>
          <w:sz w:val="28"/>
          <w:rtl/>
          <w:lang w:bidi="ar-SY"/>
        </w:rPr>
        <w:footnoteReference w:id="275"/>
      </w:r>
      <w:r w:rsidR="007D4D3A" w:rsidRPr="0021507A">
        <w:rPr>
          <w:rFonts w:ascii="Abo-thar" w:hAnsi="Abo-thar" w:cs="Arabic11 BT"/>
          <w:sz w:val="28"/>
          <w:vertAlign w:val="superscript"/>
          <w:rtl/>
          <w:lang w:bidi="ar-SY"/>
        </w:rPr>
        <w:t>)</w:t>
      </w:r>
      <w:r w:rsidR="00217AB4" w:rsidRPr="003F3B94">
        <w:rPr>
          <w:rFonts w:ascii="Abo-thar" w:hAnsi="Abo-thar" w:hint="cs"/>
          <w:sz w:val="28"/>
          <w:rtl/>
          <w:lang w:bidi="ar-SY"/>
        </w:rPr>
        <w:t>.</w:t>
      </w:r>
    </w:p>
    <w:p w:rsidR="005C664D" w:rsidRPr="003F3B94" w:rsidRDefault="005C664D" w:rsidP="003F3B94">
      <w:pPr>
        <w:pStyle w:val="a0"/>
        <w:rPr>
          <w:rFonts w:hint="cs"/>
          <w:rtl/>
          <w:lang w:bidi="ar-SY"/>
        </w:rPr>
      </w:pPr>
      <w:r w:rsidRPr="003F3B94">
        <w:rPr>
          <w:rFonts w:ascii="Abo-thar" w:hAnsi="Abo-thar" w:hint="cs"/>
          <w:sz w:val="28"/>
          <w:rtl/>
          <w:lang w:bidi="ar-SY"/>
        </w:rPr>
        <w:t xml:space="preserve">إذن الهزيمة التي تعرض لها </w:t>
      </w:r>
      <w:r w:rsidRPr="003F3B94">
        <w:rPr>
          <w:rFonts w:ascii="Abo-thar" w:hAnsi="Abo-thar" w:hint="eastAsia"/>
          <w:sz w:val="28"/>
          <w:rtl/>
          <w:lang w:bidi="ar-SY"/>
        </w:rPr>
        <w:t>«</w:t>
      </w:r>
      <w:r w:rsidRPr="003F3B94">
        <w:rPr>
          <w:rFonts w:ascii="Abo-thar" w:hAnsi="Abo-thar" w:hint="cs"/>
          <w:sz w:val="28"/>
          <w:rtl/>
          <w:lang w:bidi="ar-SY"/>
        </w:rPr>
        <w:t>بابك</w:t>
      </w:r>
      <w:r w:rsidRPr="003F3B94">
        <w:rPr>
          <w:rFonts w:ascii="Abo-thar" w:hAnsi="Abo-thar" w:hint="eastAsia"/>
          <w:sz w:val="28"/>
          <w:rtl/>
          <w:lang w:bidi="ar-SY"/>
        </w:rPr>
        <w:t>»</w:t>
      </w:r>
      <w:r w:rsidRPr="003F3B94">
        <w:rPr>
          <w:rFonts w:ascii="Abo-thar" w:hAnsi="Abo-thar" w:hint="cs"/>
          <w:sz w:val="28"/>
          <w:rtl/>
          <w:lang w:bidi="ar-SY"/>
        </w:rPr>
        <w:t xml:space="preserve"> إنما كانت سنة 212هـ فما بعد</w:t>
      </w:r>
      <w:r w:rsidR="001E0DB7" w:rsidRPr="003F3B94">
        <w:rPr>
          <w:rFonts w:ascii="Abo-thar" w:hAnsi="Abo-thar" w:hint="cs"/>
          <w:sz w:val="28"/>
          <w:rtl/>
          <w:lang w:bidi="ar-SY"/>
        </w:rPr>
        <w:t>،</w:t>
      </w:r>
      <w:r w:rsidRPr="003F3B94">
        <w:rPr>
          <w:rFonts w:ascii="Abo-thar" w:hAnsi="Abo-thar" w:hint="cs"/>
          <w:sz w:val="28"/>
          <w:rtl/>
          <w:lang w:bidi="ar-SY"/>
        </w:rPr>
        <w:t xml:space="preserve"> وإذا كان أحد من الناس </w:t>
      </w:r>
      <w:r w:rsidRPr="003F3B94">
        <w:rPr>
          <w:rFonts w:cs="Times New Roman" w:hint="cs"/>
          <w:sz w:val="28"/>
          <w:rtl/>
          <w:lang w:bidi="ar-SY"/>
        </w:rPr>
        <w:t>–</w:t>
      </w:r>
      <w:r w:rsidRPr="003F3B94">
        <w:rPr>
          <w:rFonts w:ascii="Abo-thar" w:hAnsi="Abo-thar" w:hint="cs"/>
          <w:sz w:val="28"/>
          <w:rtl/>
          <w:lang w:bidi="ar-SY"/>
        </w:rPr>
        <w:t xml:space="preserve"> ربما كان بعضهم من الشيعة </w:t>
      </w:r>
      <w:r w:rsidRPr="003F3B94">
        <w:rPr>
          <w:rFonts w:cs="Times New Roman" w:hint="cs"/>
          <w:sz w:val="28"/>
          <w:rtl/>
          <w:lang w:bidi="ar-SY"/>
        </w:rPr>
        <w:t>–</w:t>
      </w:r>
      <w:r w:rsidRPr="003F3B94">
        <w:rPr>
          <w:rFonts w:ascii="Abo-thar" w:hAnsi="Abo-thar" w:hint="cs"/>
          <w:sz w:val="28"/>
          <w:rtl/>
          <w:lang w:bidi="ar-SY"/>
        </w:rPr>
        <w:t xml:space="preserve"> قد نال شيئاً من أموال الخُرَّميَّة فإن هذا كان في تلك السنة وما بعدها</w:t>
      </w:r>
      <w:r w:rsidR="001E0DB7" w:rsidRPr="003F3B94">
        <w:rPr>
          <w:rFonts w:ascii="Abo-thar" w:hAnsi="Abo-thar" w:hint="cs"/>
          <w:sz w:val="28"/>
          <w:rtl/>
          <w:lang w:bidi="ar-SY"/>
        </w:rPr>
        <w:t>،</w:t>
      </w:r>
      <w:r w:rsidRPr="003F3B94">
        <w:rPr>
          <w:rFonts w:ascii="Abo-thar" w:hAnsi="Abo-thar" w:hint="cs"/>
          <w:sz w:val="28"/>
          <w:rtl/>
          <w:lang w:bidi="ar-SY"/>
        </w:rPr>
        <w:t xml:space="preserve"> فكيف إذن حصل الشيعة سنة 220هـ على أموال من الخُرَّميَّة حتى يطالبهم الإمام بأداء خمسها</w:t>
      </w:r>
      <w:r w:rsidR="00217AB4" w:rsidRPr="003F3B94">
        <w:rPr>
          <w:rFonts w:ascii="Abo-thar" w:hAnsi="Abo-thar" w:hint="cs"/>
          <w:sz w:val="28"/>
          <w:rtl/>
          <w:lang w:bidi="ar-SY"/>
        </w:rPr>
        <w:t>؟</w:t>
      </w:r>
      <w:r w:rsidR="00147857" w:rsidRPr="003F3B94">
        <w:rPr>
          <w:rFonts w:ascii="Abo-thar" w:hAnsi="Abo-thar" w:hint="cs"/>
          <w:sz w:val="28"/>
          <w:rtl/>
          <w:lang w:bidi="ar-SY"/>
        </w:rPr>
        <w:t xml:space="preserve"> </w:t>
      </w:r>
      <w:r w:rsidRPr="003F3B94">
        <w:rPr>
          <w:rFonts w:ascii="Abo-thar" w:hAnsi="Abo-thar" w:hint="cs"/>
          <w:sz w:val="28"/>
          <w:rtl/>
          <w:lang w:bidi="ar-SY"/>
        </w:rPr>
        <w:t xml:space="preserve">كما أن قتل </w:t>
      </w:r>
      <w:r w:rsidRPr="003F3B94">
        <w:rPr>
          <w:rFonts w:ascii="Abo-thar" w:hAnsi="Abo-thar" w:hint="eastAsia"/>
          <w:sz w:val="28"/>
          <w:rtl/>
          <w:lang w:bidi="ar-SY"/>
        </w:rPr>
        <w:t>«</w:t>
      </w:r>
      <w:r w:rsidRPr="003F3B94">
        <w:rPr>
          <w:rFonts w:ascii="Abo-thar" w:hAnsi="Abo-thar" w:hint="cs"/>
          <w:sz w:val="28"/>
          <w:rtl/>
          <w:lang w:bidi="ar-SY"/>
        </w:rPr>
        <w:t>بابك</w:t>
      </w:r>
      <w:r w:rsidRPr="003F3B94">
        <w:rPr>
          <w:rFonts w:ascii="Abo-thar" w:hAnsi="Abo-thar" w:hint="eastAsia"/>
          <w:sz w:val="28"/>
          <w:rtl/>
          <w:lang w:bidi="ar-SY"/>
        </w:rPr>
        <w:t>»</w:t>
      </w:r>
      <w:r w:rsidRPr="003F3B94">
        <w:rPr>
          <w:rFonts w:ascii="Abo-thar" w:hAnsi="Abo-thar" w:hint="cs"/>
          <w:sz w:val="28"/>
          <w:rtl/>
          <w:lang w:bidi="ar-SY"/>
        </w:rPr>
        <w:t xml:space="preserve"> كما صرح المسعودي في </w:t>
      </w:r>
      <w:r w:rsidRPr="003F3B94">
        <w:rPr>
          <w:rFonts w:ascii="Abo-thar" w:hAnsi="Abo-thar" w:hint="eastAsia"/>
          <w:sz w:val="28"/>
          <w:rtl/>
          <w:lang w:bidi="ar-SY"/>
        </w:rPr>
        <w:t>«</w:t>
      </w:r>
      <w:r w:rsidRPr="003F3B94">
        <w:rPr>
          <w:rFonts w:ascii="Abo-thar" w:hAnsi="Abo-thar" w:hint="cs"/>
          <w:sz w:val="28"/>
          <w:rtl/>
          <w:lang w:bidi="ar-SY"/>
        </w:rPr>
        <w:t>مروج الذهب</w:t>
      </w:r>
      <w:r w:rsidRPr="003F3B94">
        <w:rPr>
          <w:rFonts w:ascii="Abo-thar" w:hAnsi="Abo-thar" w:hint="eastAsia"/>
          <w:sz w:val="28"/>
          <w:rtl/>
          <w:lang w:bidi="ar-SY"/>
        </w:rPr>
        <w:t>»</w:t>
      </w:r>
      <w:r w:rsidRPr="003F3B94">
        <w:rPr>
          <w:rFonts w:ascii="Abo-thar" w:hAnsi="Abo-thar" w:hint="cs"/>
          <w:sz w:val="28"/>
          <w:rtl/>
          <w:lang w:bidi="ar-SY"/>
        </w:rPr>
        <w:t xml:space="preserve"> كان في يوم الخميس الموافق للثاني من صفر سنة 223هـ</w:t>
      </w:r>
      <w:r w:rsidR="00217AB4" w:rsidRPr="003F3B94">
        <w:rPr>
          <w:rFonts w:ascii="Abo-thar" w:hAnsi="Abo-thar" w:hint="cs"/>
          <w:sz w:val="28"/>
          <w:rtl/>
          <w:lang w:bidi="ar-SY"/>
        </w:rPr>
        <w:t>،</w:t>
      </w:r>
      <w:r w:rsidRPr="003F3B94">
        <w:rPr>
          <w:rFonts w:ascii="Abo-thar" w:hAnsi="Abo-thar" w:hint="cs"/>
          <w:sz w:val="28"/>
          <w:rtl/>
          <w:lang w:bidi="ar-SY"/>
        </w:rPr>
        <w:t xml:space="preserve"> ورغم أن بقية المؤرخين اختلفوا في سنة قتله</w:t>
      </w:r>
      <w:r w:rsidR="001E0DB7" w:rsidRPr="003F3B94">
        <w:rPr>
          <w:rFonts w:ascii="Abo-thar" w:hAnsi="Abo-thar" w:hint="cs"/>
          <w:sz w:val="28"/>
          <w:rtl/>
          <w:lang w:bidi="ar-SY"/>
        </w:rPr>
        <w:t>،</w:t>
      </w:r>
      <w:r w:rsidRPr="003F3B94">
        <w:rPr>
          <w:rFonts w:ascii="Abo-thar" w:hAnsi="Abo-thar" w:hint="cs"/>
          <w:sz w:val="28"/>
          <w:rtl/>
          <w:lang w:bidi="ar-SY"/>
        </w:rPr>
        <w:t xml:space="preserve"> إلا أنه لم يذكر أي منهم أنه قتل قبل سنة 223هـ</w:t>
      </w:r>
      <w:r w:rsidR="00217AB4" w:rsidRPr="003F3B94">
        <w:rPr>
          <w:rFonts w:ascii="Abo-thar" w:hAnsi="Abo-thar" w:hint="cs"/>
          <w:sz w:val="28"/>
          <w:rtl/>
          <w:lang w:bidi="ar-SY"/>
        </w:rPr>
        <w:t>.</w:t>
      </w:r>
      <w:r w:rsidRPr="003F3B94">
        <w:rPr>
          <w:rFonts w:ascii="Abo-thar" w:hAnsi="Abo-thar" w:hint="cs"/>
          <w:sz w:val="28"/>
          <w:rtl/>
          <w:lang w:bidi="ar-SY"/>
        </w:rPr>
        <w:t xml:space="preserve"> فمثلاً في تاريخ </w:t>
      </w:r>
      <w:r w:rsidRPr="003F3B94">
        <w:rPr>
          <w:rFonts w:ascii="Abo-thar" w:hAnsi="Abo-thar" w:hint="eastAsia"/>
          <w:sz w:val="28"/>
          <w:rtl/>
          <w:lang w:bidi="ar-SY"/>
        </w:rPr>
        <w:t>«</w:t>
      </w:r>
      <w:r w:rsidRPr="003F3B94">
        <w:rPr>
          <w:rFonts w:ascii="Abo-thar" w:hAnsi="Abo-thar" w:hint="cs"/>
          <w:sz w:val="28"/>
          <w:rtl/>
          <w:lang w:bidi="ar-SY"/>
        </w:rPr>
        <w:t>گزيده</w:t>
      </w:r>
      <w:r w:rsidRPr="003F3B94">
        <w:rPr>
          <w:rFonts w:ascii="Abo-thar" w:hAnsi="Abo-thar" w:hint="eastAsia"/>
          <w:sz w:val="28"/>
          <w:rtl/>
          <w:lang w:bidi="ar-SY"/>
        </w:rPr>
        <w:t>»</w:t>
      </w:r>
      <w:r w:rsidRPr="003F3B94">
        <w:rPr>
          <w:rFonts w:ascii="Abo-thar" w:hAnsi="Abo-thar" w:hint="cs"/>
          <w:sz w:val="28"/>
          <w:rtl/>
          <w:lang w:bidi="ar-SY"/>
        </w:rPr>
        <w:t xml:space="preserve"> [أي المنتخب] ذُكر أن مقتل بابك كان في رجب من سنة 228هـ</w:t>
      </w:r>
      <w:r w:rsidR="001E0DB7" w:rsidRPr="003F3B94">
        <w:rPr>
          <w:rFonts w:ascii="Abo-thar" w:hAnsi="Abo-thar" w:hint="cs"/>
          <w:sz w:val="28"/>
          <w:rtl/>
          <w:lang w:bidi="ar-SY"/>
        </w:rPr>
        <w:t>،</w:t>
      </w:r>
      <w:r w:rsidRPr="003F3B94">
        <w:rPr>
          <w:rFonts w:ascii="Abo-thar" w:hAnsi="Abo-thar" w:hint="cs"/>
          <w:sz w:val="28"/>
          <w:rtl/>
          <w:lang w:bidi="ar-SY"/>
        </w:rPr>
        <w:t xml:space="preserve"> في حين ذكر العوني في </w:t>
      </w:r>
      <w:r w:rsidRPr="003F3B94">
        <w:rPr>
          <w:rFonts w:ascii="Abo-thar" w:hAnsi="Abo-thar" w:hint="eastAsia"/>
          <w:sz w:val="28"/>
          <w:rtl/>
          <w:lang w:bidi="ar-SY"/>
        </w:rPr>
        <w:t>«</w:t>
      </w:r>
      <w:r w:rsidRPr="003F3B94">
        <w:rPr>
          <w:rFonts w:ascii="Abo-thar" w:hAnsi="Abo-thar" w:hint="cs"/>
          <w:sz w:val="28"/>
          <w:rtl/>
          <w:lang w:bidi="ar-SY"/>
        </w:rPr>
        <w:t>جوامع الحكايات</w:t>
      </w:r>
      <w:r w:rsidRPr="003F3B94">
        <w:rPr>
          <w:rFonts w:ascii="Abo-thar" w:hAnsi="Abo-thar" w:hint="eastAsia"/>
          <w:sz w:val="28"/>
          <w:rtl/>
          <w:lang w:bidi="ar-SY"/>
        </w:rPr>
        <w:t>»</w:t>
      </w:r>
      <w:r w:rsidRPr="003F3B94">
        <w:rPr>
          <w:rFonts w:ascii="Abo-thar" w:hAnsi="Abo-thar" w:hint="cs"/>
          <w:sz w:val="28"/>
          <w:rtl/>
          <w:lang w:bidi="ar-SY"/>
        </w:rPr>
        <w:t xml:space="preserve"> أن قتله كان سنة 226هـ</w:t>
      </w:r>
      <w:r w:rsidR="00217AB4" w:rsidRPr="003F3B94">
        <w:rPr>
          <w:rFonts w:ascii="Abo-thar" w:hAnsi="Abo-thar" w:hint="cs"/>
          <w:sz w:val="28"/>
          <w:rtl/>
          <w:lang w:bidi="ar-SY"/>
        </w:rPr>
        <w:t>.</w:t>
      </w:r>
      <w:r w:rsidRPr="003F3B94">
        <w:rPr>
          <w:rFonts w:ascii="Abo-thar" w:hAnsi="Abo-thar" w:hint="cs"/>
          <w:sz w:val="28"/>
          <w:rtl/>
          <w:lang w:bidi="ar-SY"/>
        </w:rPr>
        <w:t xml:space="preserve"> أما المرحوم المحدث القمي فقد ذكر في تتمة المنتهى </w:t>
      </w:r>
      <w:r w:rsidR="00217AB4" w:rsidRPr="003F3B94">
        <w:rPr>
          <w:rFonts w:ascii="Abo-thar" w:hAnsi="Abo-thar" w:hint="cs"/>
          <w:sz w:val="28"/>
          <w:rtl/>
          <w:lang w:bidi="ar-SY"/>
        </w:rPr>
        <w:t>(</w:t>
      </w:r>
      <w:r w:rsidRPr="003F3B94">
        <w:rPr>
          <w:rFonts w:ascii="Abo-thar" w:hAnsi="Abo-thar" w:hint="cs"/>
          <w:sz w:val="28"/>
          <w:rtl/>
          <w:lang w:bidi="ar-SY"/>
        </w:rPr>
        <w:t>ص223</w:t>
      </w:r>
      <w:r w:rsidR="00217AB4" w:rsidRPr="003F3B94">
        <w:rPr>
          <w:rFonts w:ascii="Abo-thar" w:hAnsi="Abo-thar" w:hint="cs"/>
          <w:sz w:val="28"/>
          <w:rtl/>
          <w:lang w:bidi="ar-SY"/>
        </w:rPr>
        <w:t>)</w:t>
      </w:r>
      <w:r w:rsidRPr="003F3B94">
        <w:rPr>
          <w:rFonts w:ascii="Abo-thar" w:hAnsi="Abo-thar" w:hint="cs"/>
          <w:sz w:val="28"/>
          <w:rtl/>
          <w:lang w:bidi="ar-SY"/>
        </w:rPr>
        <w:t xml:space="preserve"> أن خروج بابك كان سنة 221هـ</w:t>
      </w:r>
      <w:r w:rsidR="00217AB4" w:rsidRPr="003F3B94">
        <w:rPr>
          <w:rFonts w:ascii="Abo-thar" w:hAnsi="Abo-thar" w:hint="cs"/>
          <w:sz w:val="28"/>
          <w:rtl/>
          <w:lang w:bidi="ar-SY"/>
        </w:rPr>
        <w:t>.</w:t>
      </w:r>
      <w:r w:rsidRPr="003F3B94">
        <w:rPr>
          <w:rFonts w:ascii="Abo-thar" w:hAnsi="Abo-thar" w:hint="cs"/>
          <w:sz w:val="28"/>
          <w:rtl/>
          <w:lang w:bidi="ar-SY"/>
        </w:rPr>
        <w:t xml:space="preserve"> وفي موسوعة </w:t>
      </w:r>
      <w:r w:rsidRPr="003F3B94">
        <w:rPr>
          <w:rFonts w:ascii="Abo-thar" w:hAnsi="Abo-thar" w:hint="eastAsia"/>
          <w:sz w:val="28"/>
          <w:rtl/>
          <w:lang w:bidi="ar-SY"/>
        </w:rPr>
        <w:t>«</w:t>
      </w:r>
      <w:r w:rsidRPr="003F3B94">
        <w:rPr>
          <w:rFonts w:ascii="Abo-thar" w:hAnsi="Abo-thar" w:hint="cs"/>
          <w:sz w:val="28"/>
          <w:rtl/>
          <w:lang w:bidi="ar-SY"/>
        </w:rPr>
        <w:t>لغت نامه دهخدا</w:t>
      </w:r>
      <w:r w:rsidRPr="003F3B94">
        <w:rPr>
          <w:rFonts w:ascii="Abo-thar" w:hAnsi="Abo-thar" w:hint="eastAsia"/>
          <w:sz w:val="28"/>
          <w:rtl/>
          <w:lang w:bidi="ar-SY"/>
        </w:rPr>
        <w:t>»</w:t>
      </w:r>
      <w:r w:rsidRPr="003F3B94">
        <w:rPr>
          <w:rFonts w:ascii="Abo-thar" w:hAnsi="Abo-thar" w:hint="cs"/>
          <w:sz w:val="28"/>
          <w:rtl/>
          <w:lang w:bidi="ar-SY"/>
        </w:rPr>
        <w:t xml:space="preserve"> جاء شرح إرسال أفشين لحرب </w:t>
      </w:r>
      <w:r w:rsidRPr="003F3B94">
        <w:rPr>
          <w:rFonts w:ascii="Lotus Linotype" w:hAnsi="Lotus Linotype"/>
          <w:sz w:val="28"/>
          <w:rtl/>
          <w:lang w:bidi="ar-SY"/>
        </w:rPr>
        <w:t>«</w:t>
      </w:r>
      <w:r w:rsidRPr="003F3B94">
        <w:rPr>
          <w:rFonts w:ascii="Abo-thar" w:hAnsi="Abo-thar" w:hint="cs"/>
          <w:sz w:val="28"/>
          <w:rtl/>
          <w:lang w:bidi="ar-SY"/>
        </w:rPr>
        <w:t>بابك</w:t>
      </w:r>
      <w:r w:rsidRPr="003F3B94">
        <w:rPr>
          <w:rFonts w:ascii="Lotus Linotype" w:hAnsi="Lotus Linotype"/>
          <w:sz w:val="28"/>
          <w:rtl/>
          <w:lang w:bidi="ar-SY"/>
        </w:rPr>
        <w:t>»</w:t>
      </w:r>
      <w:r w:rsidRPr="003F3B94">
        <w:rPr>
          <w:rFonts w:ascii="Abo-thar" w:hAnsi="Abo-thar" w:hint="cs"/>
          <w:sz w:val="28"/>
          <w:rtl/>
          <w:lang w:bidi="ar-SY"/>
        </w:rPr>
        <w:t xml:space="preserve"> سنة 220هـ ولكن في تلك السنة كان الفتح والظفر من نصيب </w:t>
      </w:r>
      <w:r w:rsidRPr="003F3B94">
        <w:rPr>
          <w:rFonts w:ascii="Lotus Linotype" w:hAnsi="Lotus Linotype"/>
          <w:sz w:val="28"/>
          <w:rtl/>
          <w:lang w:bidi="ar-SY"/>
        </w:rPr>
        <w:t>«</w:t>
      </w:r>
      <w:r w:rsidRPr="003F3B94">
        <w:rPr>
          <w:rFonts w:ascii="Abo-thar" w:hAnsi="Abo-thar" w:hint="cs"/>
          <w:sz w:val="28"/>
          <w:rtl/>
          <w:lang w:bidi="ar-SY"/>
        </w:rPr>
        <w:t>بابك</w:t>
      </w:r>
      <w:r w:rsidRPr="003F3B94">
        <w:rPr>
          <w:rFonts w:ascii="Lotus Linotype" w:hAnsi="Lotus Linotype"/>
          <w:sz w:val="28"/>
          <w:rtl/>
          <w:lang w:bidi="ar-SY"/>
        </w:rPr>
        <w:t>»</w:t>
      </w:r>
      <w:r w:rsidRPr="003F3B94">
        <w:rPr>
          <w:rFonts w:ascii="Abo-thar" w:hAnsi="Abo-thar" w:hint="cs"/>
          <w:sz w:val="28"/>
          <w:rtl/>
          <w:lang w:bidi="ar-SY"/>
        </w:rPr>
        <w:t xml:space="preserve"> ولم يتعرض لهزيمة حتى تعود أمواله الطائلة لشيعة حضرة الإمام الجواد</w:t>
      </w:r>
      <w:r w:rsidR="00217AB4" w:rsidRPr="003F3B94">
        <w:rPr>
          <w:rFonts w:ascii="Abo-thar" w:hAnsi="Abo-thar" w:hint="cs"/>
          <w:sz w:val="28"/>
          <w:rtl/>
          <w:lang w:bidi="ar-SY"/>
        </w:rPr>
        <w:t>،</w:t>
      </w:r>
      <w:r w:rsidRPr="003F3B94">
        <w:rPr>
          <w:rFonts w:ascii="Abo-thar" w:hAnsi="Abo-thar" w:hint="cs"/>
          <w:sz w:val="28"/>
          <w:rtl/>
          <w:lang w:bidi="ar-SY"/>
        </w:rPr>
        <w:t xml:space="preserve"> فالقضيَّة سالبة بانتفاء الموضوع</w:t>
      </w:r>
      <w:r w:rsidR="00217AB4" w:rsidRPr="003F3B94">
        <w:rPr>
          <w:rFonts w:ascii="Abo-thar" w:hAnsi="Abo-thar" w:hint="cs"/>
          <w:sz w:val="28"/>
          <w:rtl/>
          <w:lang w:bidi="ar-SY"/>
        </w:rPr>
        <w:t>!.</w:t>
      </w:r>
      <w:r w:rsidR="00147857" w:rsidRPr="003F3B94">
        <w:rPr>
          <w:rFonts w:ascii="Abo-thar" w:hAnsi="Abo-thar" w:hint="cs"/>
          <w:sz w:val="28"/>
          <w:rtl/>
          <w:lang w:bidi="ar-SY"/>
        </w:rPr>
        <w:t xml:space="preserve"> </w:t>
      </w:r>
    </w:p>
    <w:p w:rsidR="005C664D" w:rsidRPr="003F3B94" w:rsidRDefault="005C664D" w:rsidP="003F3B94">
      <w:pPr>
        <w:pStyle w:val="a0"/>
        <w:rPr>
          <w:rFonts w:hint="cs"/>
          <w:rtl/>
          <w:lang w:bidi="ar-SY"/>
        </w:rPr>
      </w:pPr>
      <w:r w:rsidRPr="003F3B94">
        <w:rPr>
          <w:rFonts w:ascii="Abo-thar" w:hAnsi="Abo-thar" w:hint="cs"/>
          <w:sz w:val="28"/>
          <w:rtl/>
          <w:lang w:bidi="ar-SY"/>
        </w:rPr>
        <w:t>نعم الطبري وحده فقط ذكر في تاريخه ضمن بيانه لحوادث سنة 209هـ ما نصه</w:t>
      </w:r>
      <w:r w:rsidR="00217AB4" w:rsidRPr="003F3B94">
        <w:rPr>
          <w:rFonts w:ascii="Abo-thar" w:hAnsi="Abo-thar" w:hint="cs"/>
          <w:sz w:val="28"/>
          <w:rtl/>
          <w:lang w:bidi="ar-SY"/>
        </w:rPr>
        <w:t>:</w:t>
      </w:r>
      <w:r w:rsidRPr="003F3B94">
        <w:rPr>
          <w:rFonts w:ascii="Abo-thar" w:hAnsi="Abo-thar" w:hint="cs"/>
          <w:sz w:val="28"/>
          <w:rtl/>
          <w:lang w:bidi="ar-SY"/>
        </w:rPr>
        <w:t xml:space="preserve"> </w:t>
      </w:r>
      <w:r w:rsidR="00EF2588" w:rsidRPr="003F3B94">
        <w:rPr>
          <w:rFonts w:ascii="Abo-thar" w:hAnsi="Abo-thar" w:hint="cs"/>
          <w:sz w:val="28"/>
          <w:rtl/>
          <w:lang w:bidi="ar-SY"/>
        </w:rPr>
        <w:t>«</w:t>
      </w:r>
      <w:r w:rsidRPr="003F3B94">
        <w:rPr>
          <w:rFonts w:ascii="Abo-thar" w:hAnsi="Abo-thar"/>
          <w:b/>
          <w:bCs/>
          <w:sz w:val="28"/>
          <w:rtl/>
          <w:lang w:bidi="ar-SY"/>
        </w:rPr>
        <w:t>وفي هذه السنة قدم إسحاق</w:t>
      </w:r>
      <w:r w:rsidRPr="003F3B94">
        <w:rPr>
          <w:rFonts w:ascii="Abo-thar" w:hAnsi="Abo-thar" w:hint="cs"/>
          <w:b/>
          <w:bCs/>
          <w:sz w:val="28"/>
          <w:rtl/>
          <w:lang w:bidi="ar-SY"/>
        </w:rPr>
        <w:t>ُ</w:t>
      </w:r>
      <w:r w:rsidRPr="003F3B94">
        <w:rPr>
          <w:rFonts w:ascii="Abo-thar" w:hAnsi="Abo-thar"/>
          <w:b/>
          <w:bCs/>
          <w:sz w:val="28"/>
          <w:rtl/>
          <w:lang w:bidi="ar-SY"/>
        </w:rPr>
        <w:t xml:space="preserve"> بن إبراهيم بغداد</w:t>
      </w:r>
      <w:r w:rsidRPr="003F3B94">
        <w:rPr>
          <w:rFonts w:ascii="Abo-thar" w:hAnsi="Abo-thar" w:hint="cs"/>
          <w:b/>
          <w:bCs/>
          <w:sz w:val="28"/>
          <w:rtl/>
          <w:lang w:bidi="ar-SY"/>
        </w:rPr>
        <w:t>َ</w:t>
      </w:r>
      <w:r w:rsidRPr="003F3B94">
        <w:rPr>
          <w:rFonts w:ascii="Abo-thar" w:hAnsi="Abo-thar"/>
          <w:b/>
          <w:bCs/>
          <w:sz w:val="28"/>
          <w:rtl/>
          <w:lang w:bidi="ar-SY"/>
        </w:rPr>
        <w:t xml:space="preserve"> من الجبل يوم الأحد </w:t>
      </w:r>
      <w:r w:rsidRPr="003F3B94">
        <w:rPr>
          <w:rFonts w:ascii="Abo-thar" w:hAnsi="Abo-thar" w:hint="cs"/>
          <w:b/>
          <w:bCs/>
          <w:sz w:val="28"/>
          <w:rtl/>
          <w:lang w:bidi="ar-SY"/>
        </w:rPr>
        <w:t>لإحدى</w:t>
      </w:r>
      <w:r w:rsidRPr="003F3B94">
        <w:rPr>
          <w:rFonts w:ascii="Abo-thar" w:hAnsi="Abo-thar"/>
          <w:b/>
          <w:bCs/>
          <w:sz w:val="28"/>
          <w:rtl/>
          <w:lang w:bidi="ar-SY"/>
        </w:rPr>
        <w:t xml:space="preserve"> عشرة ليلة خلت من جمادى الأولى ومعه الأسرى من الخر</w:t>
      </w:r>
      <w:r w:rsidRPr="003F3B94">
        <w:rPr>
          <w:rFonts w:ascii="Abo-thar" w:hAnsi="Abo-thar" w:hint="cs"/>
          <w:b/>
          <w:bCs/>
          <w:sz w:val="28"/>
          <w:rtl/>
          <w:lang w:bidi="ar-SY"/>
        </w:rPr>
        <w:t>َّ</w:t>
      </w:r>
      <w:r w:rsidRPr="003F3B94">
        <w:rPr>
          <w:rFonts w:ascii="Abo-thar" w:hAnsi="Abo-thar"/>
          <w:b/>
          <w:bCs/>
          <w:sz w:val="28"/>
          <w:rtl/>
          <w:lang w:bidi="ar-SY"/>
        </w:rPr>
        <w:t>مية والمستأمنة</w:t>
      </w:r>
      <w:r w:rsidR="00217AB4" w:rsidRPr="003F3B94">
        <w:rPr>
          <w:rFonts w:ascii="Abo-thar" w:hAnsi="Abo-thar" w:hint="cs"/>
          <w:b/>
          <w:bCs/>
          <w:sz w:val="28"/>
          <w:rtl/>
          <w:lang w:bidi="ar-SY"/>
        </w:rPr>
        <w:t>،</w:t>
      </w:r>
      <w:r w:rsidRPr="003F3B94">
        <w:rPr>
          <w:rFonts w:ascii="Abo-thar" w:hAnsi="Abo-thar" w:hint="cs"/>
          <w:b/>
          <w:bCs/>
          <w:sz w:val="28"/>
          <w:rtl/>
          <w:lang w:bidi="ar-SY"/>
        </w:rPr>
        <w:t xml:space="preserve"> </w:t>
      </w:r>
      <w:r w:rsidRPr="003F3B94">
        <w:rPr>
          <w:rFonts w:ascii="Abo-thar" w:hAnsi="Abo-thar"/>
          <w:b/>
          <w:bCs/>
          <w:sz w:val="28"/>
          <w:rtl/>
          <w:lang w:bidi="ar-SY"/>
        </w:rPr>
        <w:t xml:space="preserve">وقيل إن إسحاق بن إبراهيم </w:t>
      </w:r>
      <w:r w:rsidRPr="003F3B94">
        <w:rPr>
          <w:rFonts w:ascii="Abo-thar" w:hAnsi="Abo-thar" w:hint="cs"/>
          <w:b/>
          <w:bCs/>
          <w:sz w:val="28"/>
          <w:rtl/>
          <w:lang w:bidi="ar-SY"/>
        </w:rPr>
        <w:t xml:space="preserve">قتل منهم </w:t>
      </w:r>
      <w:r w:rsidRPr="003F3B94">
        <w:rPr>
          <w:rFonts w:ascii="Abo-thar" w:hAnsi="Abo-thar"/>
          <w:b/>
          <w:bCs/>
          <w:sz w:val="28"/>
          <w:rtl/>
          <w:lang w:bidi="ar-SY"/>
        </w:rPr>
        <w:t>في محاربته إياهم نحوا</w:t>
      </w:r>
      <w:r w:rsidRPr="003F3B94">
        <w:rPr>
          <w:rFonts w:ascii="Abo-thar" w:hAnsi="Abo-thar" w:hint="cs"/>
          <w:b/>
          <w:bCs/>
          <w:sz w:val="28"/>
          <w:rtl/>
          <w:lang w:bidi="ar-SY"/>
        </w:rPr>
        <w:t>ً</w:t>
      </w:r>
      <w:r w:rsidRPr="003F3B94">
        <w:rPr>
          <w:rFonts w:ascii="Abo-thar" w:hAnsi="Abo-thar"/>
          <w:b/>
          <w:bCs/>
          <w:sz w:val="28"/>
          <w:rtl/>
          <w:lang w:bidi="ar-SY"/>
        </w:rPr>
        <w:t xml:space="preserve"> من مائة ألف سوى النساء والصبيان</w:t>
      </w:r>
      <w:r w:rsidR="00EF2588" w:rsidRPr="003F3B94">
        <w:rPr>
          <w:rFonts w:ascii="Abo-thar" w:hAnsi="Abo-thar" w:hint="cs"/>
          <w:sz w:val="28"/>
          <w:rtl/>
          <w:lang w:bidi="ar-SY"/>
        </w:rPr>
        <w:t>»</w:t>
      </w:r>
      <w:r w:rsidR="007D4D3A" w:rsidRPr="0021507A">
        <w:rPr>
          <w:rFonts w:ascii="Abo-thar" w:hAnsi="Abo-thar" w:cs="Arabic11 BT"/>
          <w:sz w:val="28"/>
          <w:vertAlign w:val="superscript"/>
          <w:rtl/>
          <w:lang w:bidi="ar-SY"/>
        </w:rPr>
        <w:t>(</w:t>
      </w:r>
      <w:r w:rsidR="007D4D3A" w:rsidRPr="0021507A">
        <w:rPr>
          <w:rStyle w:val="FootnoteReference"/>
          <w:rFonts w:ascii="Abo-thar" w:hAnsi="Abo-thar" w:cs="Arabic11 BT"/>
          <w:sz w:val="28"/>
          <w:rtl/>
          <w:lang w:bidi="ar-SY"/>
        </w:rPr>
        <w:footnoteReference w:id="276"/>
      </w:r>
      <w:r w:rsidR="007D4D3A" w:rsidRPr="0021507A">
        <w:rPr>
          <w:rFonts w:ascii="Abo-thar" w:hAnsi="Abo-thar" w:cs="Arabic11 BT"/>
          <w:sz w:val="28"/>
          <w:vertAlign w:val="superscript"/>
          <w:rtl/>
          <w:lang w:bidi="ar-SY"/>
        </w:rPr>
        <w:t>)</w:t>
      </w:r>
      <w:r w:rsidR="00217AB4" w:rsidRPr="003F3B94">
        <w:rPr>
          <w:rFonts w:ascii="Abo-thar" w:hAnsi="Abo-thar" w:hint="cs"/>
          <w:sz w:val="28"/>
          <w:rtl/>
          <w:lang w:bidi="ar-SY"/>
        </w:rPr>
        <w:t>.</w:t>
      </w:r>
    </w:p>
    <w:p w:rsidR="005C664D" w:rsidRPr="003F3B94" w:rsidRDefault="005C664D" w:rsidP="003F3B94">
      <w:pPr>
        <w:pStyle w:val="a0"/>
        <w:rPr>
          <w:rFonts w:hint="cs"/>
          <w:rtl/>
          <w:lang w:bidi="ar-SY"/>
        </w:rPr>
      </w:pPr>
      <w:r w:rsidRPr="003F3B94">
        <w:rPr>
          <w:rFonts w:ascii="Abo-thar" w:hAnsi="Abo-thar" w:hint="cs"/>
          <w:sz w:val="28"/>
          <w:rtl/>
          <w:lang w:bidi="ar-SY"/>
        </w:rPr>
        <w:t>رغم أنه لم يأت في هذه الحادثة ذكرٌ للغنائم ولكن كثرة الأسرى دليل على أن</w:t>
      </w:r>
      <w:r w:rsidR="00147857" w:rsidRPr="003F3B94">
        <w:rPr>
          <w:rFonts w:ascii="Abo-thar" w:hAnsi="Abo-thar" w:hint="cs"/>
          <w:sz w:val="28"/>
          <w:rtl/>
          <w:lang w:bidi="ar-SY"/>
        </w:rPr>
        <w:t xml:space="preserve"> </w:t>
      </w:r>
      <w:r w:rsidRPr="003F3B94">
        <w:rPr>
          <w:rFonts w:ascii="Abo-thar" w:hAnsi="Abo-thar" w:hint="cs"/>
          <w:sz w:val="28"/>
          <w:rtl/>
          <w:lang w:bidi="ar-SY"/>
        </w:rPr>
        <w:t>كثيراً من الغنائم قد وقعت بأيدي المجاهدين</w:t>
      </w:r>
      <w:r w:rsidR="001E0DB7" w:rsidRPr="003F3B94">
        <w:rPr>
          <w:rFonts w:ascii="Abo-thar" w:hAnsi="Abo-thar" w:hint="cs"/>
          <w:sz w:val="28"/>
          <w:rtl/>
          <w:lang w:bidi="ar-SY"/>
        </w:rPr>
        <w:t>،</w:t>
      </w:r>
      <w:r w:rsidRPr="003F3B94">
        <w:rPr>
          <w:rFonts w:ascii="Abo-thar" w:hAnsi="Abo-thar" w:hint="cs"/>
          <w:sz w:val="28"/>
          <w:rtl/>
          <w:lang w:bidi="ar-SY"/>
        </w:rPr>
        <w:t xml:space="preserve"> وربما يكون هذا الأمر بالذات هو الدافع لكتابة تلك الرسالة التي تمت المطالبة فيها بالخمس</w:t>
      </w:r>
      <w:r w:rsidR="00217AB4" w:rsidRPr="003F3B94">
        <w:rPr>
          <w:rFonts w:ascii="Abo-thar" w:hAnsi="Abo-thar" w:hint="cs"/>
          <w:sz w:val="28"/>
          <w:rtl/>
          <w:lang w:bidi="ar-SY"/>
        </w:rPr>
        <w:t>!</w:t>
      </w:r>
      <w:r w:rsidRPr="003F3B94">
        <w:rPr>
          <w:rFonts w:ascii="Abo-thar" w:hAnsi="Abo-thar" w:hint="cs"/>
          <w:sz w:val="28"/>
          <w:rtl/>
          <w:lang w:bidi="ar-SY"/>
        </w:rPr>
        <w:t xml:space="preserve"> </w:t>
      </w:r>
    </w:p>
    <w:p w:rsidR="005C664D" w:rsidRPr="003F3B94" w:rsidRDefault="005C664D" w:rsidP="003F3B94">
      <w:pPr>
        <w:pStyle w:val="a0"/>
        <w:rPr>
          <w:rFonts w:hint="cs"/>
          <w:rtl/>
          <w:lang w:bidi="ar-SY"/>
        </w:rPr>
      </w:pPr>
      <w:r w:rsidRPr="003F3B94">
        <w:rPr>
          <w:rFonts w:ascii="Abo-thar" w:hAnsi="Abo-thar" w:hint="cs"/>
          <w:sz w:val="28"/>
          <w:rtl/>
          <w:lang w:bidi="ar-SY"/>
        </w:rPr>
        <w:t>وكما قلنا توفي حضرة الجواد</w:t>
      </w:r>
      <w:r w:rsidR="00147857" w:rsidRPr="003F3B94">
        <w:rPr>
          <w:rFonts w:ascii="Abo-thar" w:hAnsi="Abo-thar" w:hint="cs"/>
          <w:sz w:val="28"/>
          <w:rtl/>
          <w:lang w:bidi="ar-SY"/>
        </w:rPr>
        <w:t xml:space="preserve"> </w:t>
      </w:r>
      <w:r w:rsidR="003C7AEB" w:rsidRPr="003C7AEB">
        <w:rPr>
          <w:rFonts w:ascii="Abo-thar" w:hAnsi="Abo-thar" w:cs="CTraditional Arabic"/>
          <w:sz w:val="28"/>
          <w:rtl/>
          <w:lang w:bidi="ar-SY"/>
        </w:rPr>
        <w:t>÷</w:t>
      </w:r>
      <w:r w:rsidR="00147857" w:rsidRPr="003F3B94">
        <w:rPr>
          <w:rFonts w:ascii="Abo-thar" w:hAnsi="Abo-thar"/>
          <w:sz w:val="28"/>
          <w:rtl/>
          <w:lang w:bidi="ar-SY"/>
        </w:rPr>
        <w:t xml:space="preserve"> </w:t>
      </w:r>
      <w:r w:rsidRPr="003F3B94">
        <w:rPr>
          <w:rFonts w:ascii="Abo-thar" w:hAnsi="Abo-thar" w:hint="cs"/>
          <w:sz w:val="28"/>
          <w:rtl/>
          <w:lang w:bidi="ar-SY"/>
        </w:rPr>
        <w:t>سنة 219 أو 220 هـ أي في السنة ذاتها التي كان المعتصم قد أحضره في بدايتها إلى بغداد</w:t>
      </w:r>
      <w:r w:rsidR="00147857" w:rsidRPr="003F3B94">
        <w:rPr>
          <w:rFonts w:ascii="Abo-thar" w:hAnsi="Abo-thar" w:hint="cs"/>
          <w:sz w:val="28"/>
          <w:rtl/>
          <w:lang w:bidi="ar-SY"/>
        </w:rPr>
        <w:t xml:space="preserve"> </w:t>
      </w:r>
      <w:r w:rsidRPr="003F3B94">
        <w:rPr>
          <w:rFonts w:ascii="Abo-thar" w:hAnsi="Abo-thar" w:hint="cs"/>
          <w:sz w:val="28"/>
          <w:rtl/>
          <w:lang w:bidi="ar-SY"/>
        </w:rPr>
        <w:t>وأقامه في قصر من قصوره ووضعه تحت مراقبته</w:t>
      </w:r>
      <w:r w:rsidR="00217AB4" w:rsidRPr="003F3B94">
        <w:rPr>
          <w:rFonts w:ascii="Abo-thar" w:hAnsi="Abo-thar" w:hint="cs"/>
          <w:sz w:val="28"/>
          <w:rtl/>
          <w:lang w:bidi="ar-SY"/>
        </w:rPr>
        <w:t>.</w:t>
      </w:r>
      <w:r w:rsidRPr="003F3B94">
        <w:rPr>
          <w:rFonts w:ascii="Abo-thar" w:hAnsi="Abo-thar" w:hint="cs"/>
          <w:sz w:val="28"/>
          <w:rtl/>
          <w:lang w:bidi="ar-SY"/>
        </w:rPr>
        <w:t xml:space="preserve"> </w:t>
      </w:r>
    </w:p>
    <w:p w:rsidR="005C664D" w:rsidRPr="003F3B94" w:rsidRDefault="005C664D" w:rsidP="003F3B94">
      <w:pPr>
        <w:pStyle w:val="a0"/>
        <w:rPr>
          <w:rFonts w:hint="cs"/>
          <w:rtl/>
          <w:lang w:bidi="ar-SY"/>
        </w:rPr>
      </w:pPr>
      <w:r w:rsidRPr="003F3B94">
        <w:rPr>
          <w:rFonts w:ascii="Abo-thar" w:hAnsi="Abo-thar" w:hint="cs"/>
          <w:sz w:val="28"/>
          <w:rtl/>
          <w:lang w:bidi="ar-SY"/>
        </w:rPr>
        <w:t xml:space="preserve">كما كتب الكُلَيْنِيّ في </w:t>
      </w:r>
      <w:r w:rsidRPr="003F3B94">
        <w:rPr>
          <w:rFonts w:ascii="Abo-thar" w:hAnsi="Abo-thar"/>
          <w:sz w:val="28"/>
          <w:rtl/>
          <w:lang w:bidi="ar-SY"/>
        </w:rPr>
        <w:t>«</w:t>
      </w:r>
      <w:r w:rsidRPr="003F3B94">
        <w:rPr>
          <w:rFonts w:ascii="Abo-thar" w:hAnsi="Abo-thar" w:hint="cs"/>
          <w:sz w:val="28"/>
          <w:rtl/>
          <w:lang w:bidi="ar-SY"/>
        </w:rPr>
        <w:t>الكافي</w:t>
      </w:r>
      <w:r w:rsidRPr="003F3B94">
        <w:rPr>
          <w:rFonts w:ascii="Abo-thar" w:hAnsi="Abo-thar"/>
          <w:sz w:val="28"/>
          <w:rtl/>
          <w:lang w:bidi="ar-SY"/>
        </w:rPr>
        <w:t>»</w:t>
      </w:r>
      <w:r w:rsidRPr="003F3B94">
        <w:rPr>
          <w:rFonts w:ascii="Abo-thar" w:hAnsi="Abo-thar" w:hint="cs"/>
          <w:sz w:val="28"/>
          <w:rtl/>
          <w:lang w:bidi="ar-SY"/>
        </w:rPr>
        <w:t xml:space="preserve"> ذيل بيانه لأحوال حضرة الإمام الجواد</w:t>
      </w:r>
      <w:r w:rsidR="00147857" w:rsidRPr="003F3B94">
        <w:rPr>
          <w:rFonts w:ascii="Abo-thar" w:hAnsi="Abo-thar" w:hint="cs"/>
          <w:sz w:val="28"/>
          <w:rtl/>
          <w:lang w:bidi="ar-SY"/>
        </w:rPr>
        <w:t xml:space="preserve"> </w:t>
      </w:r>
      <w:r w:rsidR="003C7AEB" w:rsidRPr="003C7AEB">
        <w:rPr>
          <w:rFonts w:ascii="Abo-thar" w:hAnsi="Abo-thar" w:cs="CTraditional Arabic"/>
          <w:sz w:val="28"/>
          <w:rtl/>
          <w:lang w:bidi="ar-SY"/>
        </w:rPr>
        <w:t>÷</w:t>
      </w:r>
      <w:r w:rsidR="00217AB4" w:rsidRPr="003F3B94">
        <w:rPr>
          <w:rFonts w:ascii="Abo-thar" w:hAnsi="Abo-thar"/>
          <w:sz w:val="28"/>
          <w:rtl/>
          <w:lang w:bidi="ar-SY"/>
        </w:rPr>
        <w:t>:</w:t>
      </w:r>
      <w:r w:rsidRPr="003F3B94">
        <w:rPr>
          <w:rFonts w:ascii="Abo-thar" w:hAnsi="Abo-thar" w:hint="cs"/>
          <w:sz w:val="28"/>
          <w:rtl/>
          <w:lang w:bidi="ar-SY"/>
        </w:rPr>
        <w:t xml:space="preserve"> </w:t>
      </w:r>
    </w:p>
    <w:p w:rsidR="005C664D" w:rsidRPr="003F3B94" w:rsidRDefault="00EF2588" w:rsidP="003F3B94">
      <w:pPr>
        <w:pStyle w:val="a0"/>
        <w:rPr>
          <w:rFonts w:hint="cs"/>
          <w:rtl/>
          <w:lang w:bidi="ar-SY"/>
        </w:rPr>
      </w:pPr>
      <w:r w:rsidRPr="003F3B94">
        <w:rPr>
          <w:rFonts w:ascii="Abo-thar" w:hAnsi="Abo-thar" w:hint="cs"/>
          <w:sz w:val="28"/>
          <w:rtl/>
          <w:lang w:bidi="ar-SY"/>
        </w:rPr>
        <w:t>«</w:t>
      </w:r>
      <w:r w:rsidR="005C664D" w:rsidRPr="003F3B94">
        <w:rPr>
          <w:rFonts w:ascii="Abo-thar" w:hAnsi="Abo-thar"/>
          <w:b/>
          <w:bCs/>
          <w:sz w:val="28"/>
          <w:rtl/>
          <w:lang w:bidi="ar-SY"/>
        </w:rPr>
        <w:t xml:space="preserve">وُلِدَ </w:t>
      </w:r>
      <w:r w:rsidR="00BC4BA9" w:rsidRPr="00BC4BA9">
        <w:rPr>
          <w:rFonts w:ascii="Abo-thar" w:hAnsi="Abo-thar" w:cs="CTraditional Arabic" w:hint="cs"/>
          <w:b/>
          <w:sz w:val="28"/>
          <w:rtl/>
          <w:lang w:bidi="ar-SY"/>
        </w:rPr>
        <w:t>÷</w:t>
      </w:r>
      <w:r w:rsidR="005C664D" w:rsidRPr="003F3B94">
        <w:rPr>
          <w:rFonts w:ascii="Abo-thar" w:hAnsi="Abo-thar"/>
          <w:b/>
          <w:bCs/>
          <w:sz w:val="28"/>
          <w:rtl/>
          <w:lang w:bidi="ar-SY"/>
        </w:rPr>
        <w:t xml:space="preserve"> فِي شَهْرِ رَمَضَانَ مِنْ سَنَةِ خَمْسٍ</w:t>
      </w:r>
      <w:r w:rsidR="00147857" w:rsidRPr="003F3B94">
        <w:rPr>
          <w:rFonts w:ascii="Abo-thar" w:hAnsi="Abo-thar"/>
          <w:b/>
          <w:bCs/>
          <w:sz w:val="28"/>
          <w:rtl/>
          <w:lang w:bidi="ar-SY"/>
        </w:rPr>
        <w:t xml:space="preserve"> و</w:t>
      </w:r>
      <w:r w:rsidR="005C664D" w:rsidRPr="003F3B94">
        <w:rPr>
          <w:rFonts w:ascii="Abo-thar" w:hAnsi="Abo-thar"/>
          <w:b/>
          <w:bCs/>
          <w:sz w:val="28"/>
          <w:rtl/>
          <w:lang w:bidi="ar-SY"/>
        </w:rPr>
        <w:t>تِسْعِينَ</w:t>
      </w:r>
      <w:r w:rsidR="00147857" w:rsidRPr="003F3B94">
        <w:rPr>
          <w:rFonts w:ascii="Abo-thar" w:hAnsi="Abo-thar"/>
          <w:b/>
          <w:bCs/>
          <w:sz w:val="28"/>
          <w:rtl/>
          <w:lang w:bidi="ar-SY"/>
        </w:rPr>
        <w:t xml:space="preserve"> و</w:t>
      </w:r>
      <w:r w:rsidR="005C664D" w:rsidRPr="003F3B94">
        <w:rPr>
          <w:rFonts w:ascii="Abo-thar" w:hAnsi="Abo-thar"/>
          <w:b/>
          <w:bCs/>
          <w:sz w:val="28"/>
          <w:rtl/>
          <w:lang w:bidi="ar-SY"/>
        </w:rPr>
        <w:t>مِائَةٍ</w:t>
      </w:r>
      <w:r w:rsidR="00147857" w:rsidRPr="003F3B94">
        <w:rPr>
          <w:rFonts w:ascii="Abo-thar" w:hAnsi="Abo-thar"/>
          <w:b/>
          <w:bCs/>
          <w:sz w:val="28"/>
          <w:rtl/>
          <w:lang w:bidi="ar-SY"/>
        </w:rPr>
        <w:t xml:space="preserve"> و</w:t>
      </w:r>
      <w:r w:rsidR="005C664D" w:rsidRPr="003F3B94">
        <w:rPr>
          <w:rFonts w:ascii="Abo-thar" w:hAnsi="Abo-thar"/>
          <w:b/>
          <w:bCs/>
          <w:sz w:val="28"/>
          <w:rtl/>
          <w:lang w:bidi="ar-SY"/>
        </w:rPr>
        <w:t xml:space="preserve">قُبِضَ </w:t>
      </w:r>
      <w:r w:rsidR="00BC4BA9" w:rsidRPr="00BC4BA9">
        <w:rPr>
          <w:rFonts w:ascii="Abo-thar" w:hAnsi="Abo-thar" w:cs="CTraditional Arabic" w:hint="cs"/>
          <w:b/>
          <w:sz w:val="28"/>
          <w:rtl/>
          <w:lang w:bidi="ar-SY"/>
        </w:rPr>
        <w:t>÷</w:t>
      </w:r>
      <w:r w:rsidR="005C664D" w:rsidRPr="003F3B94">
        <w:rPr>
          <w:rFonts w:ascii="Abo-thar" w:hAnsi="Abo-thar"/>
          <w:b/>
          <w:bCs/>
          <w:sz w:val="28"/>
          <w:rtl/>
          <w:lang w:bidi="ar-SY"/>
        </w:rPr>
        <w:t xml:space="preserve"> سَنَةَ عِشْرِينَ</w:t>
      </w:r>
      <w:r w:rsidR="00147857" w:rsidRPr="003F3B94">
        <w:rPr>
          <w:rFonts w:ascii="Abo-thar" w:hAnsi="Abo-thar"/>
          <w:b/>
          <w:bCs/>
          <w:sz w:val="28"/>
          <w:rtl/>
          <w:lang w:bidi="ar-SY"/>
        </w:rPr>
        <w:t xml:space="preserve"> و</w:t>
      </w:r>
      <w:r w:rsidR="005C664D" w:rsidRPr="003F3B94">
        <w:rPr>
          <w:rFonts w:ascii="Abo-thar" w:hAnsi="Abo-thar"/>
          <w:b/>
          <w:bCs/>
          <w:sz w:val="28"/>
          <w:rtl/>
          <w:lang w:bidi="ar-SY"/>
        </w:rPr>
        <w:t>مِائَتَيْنِ فِي آخِرِ ذِي الْقَعْدَةِ</w:t>
      </w:r>
      <w:r w:rsidR="00147857" w:rsidRPr="003F3B94">
        <w:rPr>
          <w:rFonts w:ascii="Abo-thar" w:hAnsi="Abo-thar"/>
          <w:b/>
          <w:bCs/>
          <w:sz w:val="28"/>
          <w:rtl/>
          <w:lang w:bidi="ar-SY"/>
        </w:rPr>
        <w:t xml:space="preserve"> و</w:t>
      </w:r>
      <w:r w:rsidR="005C664D" w:rsidRPr="003F3B94">
        <w:rPr>
          <w:rFonts w:ascii="Abo-thar" w:hAnsi="Abo-thar"/>
          <w:b/>
          <w:bCs/>
          <w:sz w:val="28"/>
          <w:rtl/>
          <w:lang w:bidi="ar-SY"/>
        </w:rPr>
        <w:t>هُوَ ابْنُ خَمْسٍ</w:t>
      </w:r>
      <w:r w:rsidR="00147857" w:rsidRPr="003F3B94">
        <w:rPr>
          <w:rFonts w:ascii="Abo-thar" w:hAnsi="Abo-thar"/>
          <w:b/>
          <w:bCs/>
          <w:sz w:val="28"/>
          <w:rtl/>
          <w:lang w:bidi="ar-SY"/>
        </w:rPr>
        <w:t xml:space="preserve"> و</w:t>
      </w:r>
      <w:r w:rsidR="005C664D" w:rsidRPr="003F3B94">
        <w:rPr>
          <w:rFonts w:ascii="Abo-thar" w:hAnsi="Abo-thar"/>
          <w:b/>
          <w:bCs/>
          <w:sz w:val="28"/>
          <w:rtl/>
          <w:lang w:bidi="ar-SY"/>
        </w:rPr>
        <w:t>عِشْرِينَ سَنَةً</w:t>
      </w:r>
      <w:r w:rsidR="00147857" w:rsidRPr="003F3B94">
        <w:rPr>
          <w:rFonts w:ascii="Abo-thar" w:hAnsi="Abo-thar"/>
          <w:b/>
          <w:bCs/>
          <w:sz w:val="28"/>
          <w:rtl/>
          <w:lang w:bidi="ar-SY"/>
        </w:rPr>
        <w:t xml:space="preserve"> و</w:t>
      </w:r>
      <w:r w:rsidR="005C664D" w:rsidRPr="003F3B94">
        <w:rPr>
          <w:rFonts w:ascii="Abo-thar" w:hAnsi="Abo-thar"/>
          <w:b/>
          <w:bCs/>
          <w:sz w:val="28"/>
          <w:rtl/>
          <w:lang w:bidi="ar-SY"/>
        </w:rPr>
        <w:t>شَهْرَيْنِ</w:t>
      </w:r>
      <w:r w:rsidR="00147857" w:rsidRPr="003F3B94">
        <w:rPr>
          <w:rFonts w:ascii="Abo-thar" w:hAnsi="Abo-thar"/>
          <w:b/>
          <w:bCs/>
          <w:sz w:val="28"/>
          <w:rtl/>
          <w:lang w:bidi="ar-SY"/>
        </w:rPr>
        <w:t xml:space="preserve"> و</w:t>
      </w:r>
      <w:r w:rsidR="005C664D" w:rsidRPr="003F3B94">
        <w:rPr>
          <w:rFonts w:ascii="Abo-thar" w:hAnsi="Abo-thar"/>
          <w:b/>
          <w:bCs/>
          <w:sz w:val="28"/>
          <w:rtl/>
          <w:lang w:bidi="ar-SY"/>
        </w:rPr>
        <w:t>ثَمَانِيَةَ عَشَرَ يَوْماً</w:t>
      </w:r>
      <w:r w:rsidR="00147857" w:rsidRPr="003F3B94">
        <w:rPr>
          <w:rFonts w:ascii="Abo-thar" w:hAnsi="Abo-thar"/>
          <w:b/>
          <w:bCs/>
          <w:sz w:val="28"/>
          <w:rtl/>
          <w:lang w:bidi="ar-SY"/>
        </w:rPr>
        <w:t xml:space="preserve"> و</w:t>
      </w:r>
      <w:r w:rsidR="005C664D" w:rsidRPr="003F3B94">
        <w:rPr>
          <w:rFonts w:ascii="Abo-thar" w:hAnsi="Abo-thar"/>
          <w:b/>
          <w:bCs/>
          <w:sz w:val="28"/>
          <w:rtl/>
          <w:lang w:bidi="ar-SY"/>
        </w:rPr>
        <w:t xml:space="preserve">دُفِنَ بِبَغْدَادَ فِي مَقَابِرِ قُرَيْشٍ عِنْدَ قَبْرِ جَدِّهِ مُوسَى </w:t>
      </w:r>
      <w:r w:rsidR="00BC4BA9" w:rsidRPr="00BC4BA9">
        <w:rPr>
          <w:rFonts w:ascii="Abo-thar" w:hAnsi="Abo-thar" w:cs="CTraditional Arabic" w:hint="cs"/>
          <w:b/>
          <w:sz w:val="28"/>
          <w:rtl/>
          <w:lang w:bidi="ar-SY"/>
        </w:rPr>
        <w:t>÷</w:t>
      </w:r>
      <w:r w:rsidR="005C664D" w:rsidRPr="003F3B94">
        <w:rPr>
          <w:rFonts w:ascii="Abo-thar" w:hAnsi="Abo-thar"/>
          <w:b/>
          <w:bCs/>
          <w:sz w:val="28"/>
          <w:rtl/>
          <w:lang w:bidi="ar-SY"/>
        </w:rPr>
        <w:t xml:space="preserve"> وَقَدْ كَانَ المُعْتَصِمُ أَشْخَصَهُ إِلَى بَغْدَادَ فِي أَوَّلِ هَذِهِ السَّنَةِ الَّتِي تُوُفِّيَ فِيهَا </w:t>
      </w:r>
      <w:r w:rsidR="00217AB4" w:rsidRPr="003F3B94">
        <w:rPr>
          <w:rFonts w:ascii="Abo-thar" w:hAnsi="Abo-thar" w:hint="cs"/>
          <w:b/>
          <w:bCs/>
          <w:sz w:val="28"/>
          <w:rtl/>
          <w:lang w:bidi="ar-SY"/>
        </w:rPr>
        <w:t>(</w:t>
      </w:r>
      <w:r w:rsidR="005C664D" w:rsidRPr="003F3B94">
        <w:rPr>
          <w:rFonts w:ascii="Abo-thar" w:hAnsi="Abo-thar"/>
          <w:b/>
          <w:bCs/>
          <w:sz w:val="28"/>
          <w:rtl/>
          <w:lang w:bidi="ar-SY"/>
        </w:rPr>
        <w:t>ع</w:t>
      </w:r>
      <w:r w:rsidRPr="003F3B94">
        <w:rPr>
          <w:rFonts w:ascii="Abo-thar" w:hAnsi="Abo-thar" w:hint="cs"/>
          <w:b/>
          <w:bCs/>
          <w:sz w:val="28"/>
          <w:rtl/>
          <w:lang w:bidi="ar-SY"/>
        </w:rPr>
        <w:t>»</w:t>
      </w:r>
      <w:r w:rsidR="00217AB4" w:rsidRPr="003F3B94">
        <w:rPr>
          <w:rFonts w:ascii="Abo-thar" w:hAnsi="Abo-thar" w:hint="cs"/>
          <w:sz w:val="28"/>
          <w:rtl/>
          <w:lang w:bidi="ar-SY"/>
        </w:rPr>
        <w:t>)</w:t>
      </w:r>
      <w:r w:rsidR="00217AB4" w:rsidRPr="0021507A">
        <w:rPr>
          <w:rFonts w:cs="Arabic11 BT"/>
          <w:b/>
          <w:sz w:val="28"/>
          <w:vertAlign w:val="superscript"/>
          <w:rtl/>
          <w:lang w:bidi="ar-SY"/>
        </w:rPr>
        <w:t>(</w:t>
      </w:r>
      <w:r w:rsidR="005C664D" w:rsidRPr="0021507A">
        <w:rPr>
          <w:rStyle w:val="FootnoteReference"/>
          <w:rFonts w:cs="Arabic11 BT"/>
          <w:b/>
          <w:sz w:val="28"/>
          <w:rtl/>
          <w:lang w:bidi="ar-SY"/>
        </w:rPr>
        <w:footnoteReference w:id="277"/>
      </w:r>
      <w:r w:rsidR="00217AB4" w:rsidRPr="0021507A">
        <w:rPr>
          <w:rFonts w:cs="Arabic11 BT"/>
          <w:b/>
          <w:sz w:val="28"/>
          <w:vertAlign w:val="superscript"/>
          <w:rtl/>
          <w:lang w:bidi="ar-SY"/>
        </w:rPr>
        <w:t>)</w:t>
      </w:r>
      <w:r w:rsidR="00217AB4" w:rsidRPr="003F3B94">
        <w:rPr>
          <w:sz w:val="28"/>
          <w:rtl/>
          <w:lang w:bidi="ar-SY"/>
        </w:rPr>
        <w:t>.</w:t>
      </w:r>
    </w:p>
    <w:p w:rsidR="005C664D" w:rsidRPr="003F3B94" w:rsidRDefault="005C664D" w:rsidP="003F3B94">
      <w:pPr>
        <w:pStyle w:val="a0"/>
        <w:rPr>
          <w:rFonts w:hint="cs"/>
          <w:rtl/>
          <w:lang w:bidi="ar-SY"/>
        </w:rPr>
      </w:pPr>
      <w:r w:rsidRPr="003F3B94">
        <w:rPr>
          <w:rFonts w:ascii="Abo-thar" w:hAnsi="Abo-thar" w:hint="cs"/>
          <w:sz w:val="28"/>
          <w:rtl/>
          <w:lang w:bidi="ar-SY"/>
        </w:rPr>
        <w:t xml:space="preserve">وقال العلامة المجلسي في كتابه </w:t>
      </w:r>
      <w:r w:rsidRPr="003F3B94">
        <w:rPr>
          <w:rFonts w:ascii="Abo-thar" w:hAnsi="Abo-thar"/>
          <w:sz w:val="28"/>
          <w:rtl/>
          <w:lang w:bidi="ar-SY"/>
        </w:rPr>
        <w:t>«</w:t>
      </w:r>
      <w:r w:rsidRPr="003F3B94">
        <w:rPr>
          <w:rFonts w:ascii="Abo-thar" w:hAnsi="Abo-thar" w:hint="cs"/>
          <w:sz w:val="28"/>
          <w:rtl/>
          <w:lang w:bidi="ar-SY"/>
        </w:rPr>
        <w:t>مرآة العقول</w:t>
      </w:r>
      <w:r w:rsidRPr="003F3B94">
        <w:rPr>
          <w:rFonts w:ascii="Abo-thar" w:hAnsi="Abo-thar"/>
          <w:sz w:val="28"/>
          <w:rtl/>
          <w:lang w:bidi="ar-SY"/>
        </w:rPr>
        <w:t>»</w:t>
      </w:r>
      <w:r w:rsidR="00217AB4" w:rsidRPr="003F3B94">
        <w:rPr>
          <w:rFonts w:ascii="Abo-thar" w:hAnsi="Abo-thar" w:hint="cs"/>
          <w:sz w:val="28"/>
          <w:rtl/>
          <w:lang w:bidi="ar-SY"/>
        </w:rPr>
        <w:t>:</w:t>
      </w:r>
      <w:r w:rsidRPr="003F3B94">
        <w:rPr>
          <w:rFonts w:ascii="Abo-thar" w:hAnsi="Abo-thar" w:hint="cs"/>
          <w:sz w:val="28"/>
          <w:rtl/>
          <w:lang w:bidi="ar-SY"/>
        </w:rPr>
        <w:t xml:space="preserve"> </w:t>
      </w:r>
      <w:r w:rsidR="00EF2588" w:rsidRPr="003F3B94">
        <w:rPr>
          <w:rFonts w:ascii="Abo-thar" w:hAnsi="Abo-thar" w:hint="cs"/>
          <w:sz w:val="28"/>
          <w:rtl/>
          <w:lang w:bidi="ar-SY"/>
        </w:rPr>
        <w:t>«</w:t>
      </w:r>
      <w:r w:rsidRPr="003F3B94">
        <w:rPr>
          <w:rFonts w:ascii="Abo-thar" w:hAnsi="Abo-thar"/>
          <w:b/>
          <w:bCs/>
          <w:sz w:val="28"/>
          <w:rtl/>
          <w:lang w:bidi="ar-SY"/>
        </w:rPr>
        <w:t>فورد بغداد لليلتين من المحرم سنة عشرين ومائتين</w:t>
      </w:r>
      <w:r w:rsidR="00217AB4" w:rsidRPr="003F3B94">
        <w:rPr>
          <w:rFonts w:ascii="Abo-thar" w:hAnsi="Abo-thar"/>
          <w:b/>
          <w:bCs/>
          <w:sz w:val="28"/>
          <w:rtl/>
          <w:lang w:bidi="ar-SY"/>
        </w:rPr>
        <w:t>،</w:t>
      </w:r>
      <w:r w:rsidRPr="003F3B94">
        <w:rPr>
          <w:rFonts w:ascii="Abo-thar" w:hAnsi="Abo-thar"/>
          <w:b/>
          <w:bCs/>
          <w:sz w:val="28"/>
          <w:rtl/>
          <w:lang w:bidi="ar-SY"/>
        </w:rPr>
        <w:t xml:space="preserve"> وأقام بها حتى توفي في هذه السنة</w:t>
      </w:r>
      <w:r w:rsidR="00F456DF" w:rsidRPr="003F3B94">
        <w:rPr>
          <w:rFonts w:ascii="Abo-thar" w:hAnsi="Abo-thar" w:hint="cs"/>
          <w:sz w:val="28"/>
          <w:rtl/>
          <w:lang w:bidi="ar-SY"/>
        </w:rPr>
        <w:t>»</w:t>
      </w:r>
      <w:r w:rsidR="007D4D3A" w:rsidRPr="0021507A">
        <w:rPr>
          <w:rFonts w:ascii="Abo-thar" w:hAnsi="Abo-thar" w:cs="Arabic11 BT"/>
          <w:sz w:val="28"/>
          <w:vertAlign w:val="superscript"/>
          <w:rtl/>
          <w:lang w:bidi="ar-SY"/>
        </w:rPr>
        <w:t>(</w:t>
      </w:r>
      <w:r w:rsidR="007D4D3A" w:rsidRPr="0021507A">
        <w:rPr>
          <w:rStyle w:val="FootnoteReference"/>
          <w:rFonts w:ascii="Abo-thar" w:hAnsi="Abo-thar" w:cs="Arabic11 BT"/>
          <w:sz w:val="28"/>
          <w:rtl/>
          <w:lang w:bidi="ar-SY"/>
        </w:rPr>
        <w:footnoteReference w:id="278"/>
      </w:r>
      <w:r w:rsidR="007D4D3A" w:rsidRPr="0021507A">
        <w:rPr>
          <w:rFonts w:ascii="Abo-thar" w:hAnsi="Abo-thar" w:cs="Arabic11 BT"/>
          <w:sz w:val="28"/>
          <w:vertAlign w:val="superscript"/>
          <w:rtl/>
          <w:lang w:bidi="ar-SY"/>
        </w:rPr>
        <w:t>)</w:t>
      </w:r>
      <w:r w:rsidR="00217AB4" w:rsidRPr="003F3B94">
        <w:rPr>
          <w:rFonts w:ascii="Abo-thar" w:hAnsi="Abo-thar" w:hint="cs"/>
          <w:sz w:val="28"/>
          <w:rtl/>
          <w:lang w:bidi="ar-SY"/>
        </w:rPr>
        <w:t>.</w:t>
      </w:r>
      <w:r w:rsidRPr="003F3B94">
        <w:rPr>
          <w:rFonts w:ascii="Abo-thar" w:hAnsi="Abo-thar" w:hint="cs"/>
          <w:sz w:val="28"/>
          <w:rtl/>
          <w:lang w:bidi="ar-SY"/>
        </w:rPr>
        <w:t xml:space="preserve"> </w:t>
      </w:r>
    </w:p>
    <w:p w:rsidR="005C664D" w:rsidRPr="003F3B94" w:rsidRDefault="005C664D" w:rsidP="003F3B94">
      <w:pPr>
        <w:pStyle w:val="a0"/>
        <w:rPr>
          <w:rFonts w:hint="cs"/>
          <w:rtl/>
          <w:lang w:bidi="ar-SY"/>
        </w:rPr>
      </w:pPr>
      <w:r w:rsidRPr="003F3B94">
        <w:rPr>
          <w:rFonts w:ascii="Abo-thar" w:hAnsi="Abo-thar" w:hint="cs"/>
          <w:sz w:val="28"/>
          <w:rtl/>
          <w:lang w:bidi="ar-SY"/>
        </w:rPr>
        <w:t>وقد نقل المجلسي هذا الكلام عن ابن شهرآشوب</w:t>
      </w:r>
      <w:r w:rsidR="001E0DB7" w:rsidRPr="003F3B94">
        <w:rPr>
          <w:rFonts w:ascii="Abo-thar" w:hAnsi="Abo-thar" w:hint="cs"/>
          <w:sz w:val="28"/>
          <w:rtl/>
          <w:lang w:bidi="ar-SY"/>
        </w:rPr>
        <w:t>،</w:t>
      </w:r>
      <w:r w:rsidRPr="003F3B94">
        <w:rPr>
          <w:rFonts w:ascii="Abo-thar" w:hAnsi="Abo-thar" w:hint="cs"/>
          <w:sz w:val="28"/>
          <w:rtl/>
          <w:lang w:bidi="ar-SY"/>
        </w:rPr>
        <w:t xml:space="preserve"> وبناء عليه فإن حضـرة الجواد</w:t>
      </w:r>
      <w:r w:rsidR="00147857" w:rsidRPr="003F3B94">
        <w:rPr>
          <w:rFonts w:ascii="Abo-thar" w:hAnsi="Abo-thar" w:hint="cs"/>
          <w:sz w:val="28"/>
          <w:rtl/>
          <w:lang w:bidi="ar-SY"/>
        </w:rPr>
        <w:t xml:space="preserve"> </w:t>
      </w:r>
      <w:r w:rsidR="003C7AEB" w:rsidRPr="003C7AEB">
        <w:rPr>
          <w:rFonts w:ascii="Abo-thar" w:hAnsi="Abo-thar" w:cs="CTraditional Arabic"/>
          <w:sz w:val="28"/>
          <w:rtl/>
          <w:lang w:bidi="ar-SY"/>
        </w:rPr>
        <w:t>÷</w:t>
      </w:r>
      <w:r w:rsidR="00147857" w:rsidRPr="003F3B94">
        <w:rPr>
          <w:rFonts w:ascii="Abo-thar" w:hAnsi="Abo-thar"/>
          <w:sz w:val="28"/>
          <w:rtl/>
          <w:lang w:bidi="ar-SY"/>
        </w:rPr>
        <w:t xml:space="preserve"> </w:t>
      </w:r>
      <w:r w:rsidRPr="003F3B94">
        <w:rPr>
          <w:rFonts w:ascii="Abo-thar" w:hAnsi="Abo-thar" w:hint="cs"/>
          <w:sz w:val="28"/>
          <w:rtl/>
          <w:lang w:bidi="ar-SY"/>
        </w:rPr>
        <w:t>كان في الثاني من محرم من سنة وفاته أي منذ بداية السنة في قصـر الخليفة في بغداد وتحت نظره ورقابته</w:t>
      </w:r>
      <w:r w:rsidR="001E0DB7" w:rsidRPr="003F3B94">
        <w:rPr>
          <w:rFonts w:ascii="Abo-thar" w:hAnsi="Abo-thar" w:hint="cs"/>
          <w:sz w:val="28"/>
          <w:rtl/>
          <w:lang w:bidi="ar-SY"/>
        </w:rPr>
        <w:t>،</w:t>
      </w:r>
      <w:r w:rsidRPr="003F3B94">
        <w:rPr>
          <w:rFonts w:ascii="Abo-thar" w:hAnsi="Abo-thar" w:hint="cs"/>
          <w:sz w:val="28"/>
          <w:rtl/>
          <w:lang w:bidi="ar-SY"/>
        </w:rPr>
        <w:t xml:space="preserve"> فكيف تسنَّى له أن يكتب مثل هذه الرسالة ولمن كتبها ولماذا</w:t>
      </w:r>
      <w:r w:rsidR="00217AB4" w:rsidRPr="003F3B94">
        <w:rPr>
          <w:rFonts w:ascii="Abo-thar" w:hAnsi="Abo-thar" w:hint="cs"/>
          <w:sz w:val="28"/>
          <w:rtl/>
          <w:lang w:bidi="ar-SY"/>
        </w:rPr>
        <w:t>؟!</w:t>
      </w:r>
      <w:r w:rsidRPr="003F3B94">
        <w:rPr>
          <w:rFonts w:ascii="Abo-thar" w:hAnsi="Abo-thar" w:hint="cs"/>
          <w:sz w:val="28"/>
          <w:rtl/>
          <w:lang w:bidi="ar-SY"/>
        </w:rPr>
        <w:t xml:space="preserve"> إذْ إنه لم يكن بحاجة إلى ذلك المبلغ ولا كانت لديه إمكانية للوصول إلى أقربائه وشيعته</w:t>
      </w:r>
      <w:r w:rsidR="00217AB4" w:rsidRPr="003F3B94">
        <w:rPr>
          <w:rFonts w:ascii="Abo-thar" w:hAnsi="Abo-thar" w:hint="cs"/>
          <w:sz w:val="28"/>
          <w:rtl/>
          <w:lang w:bidi="ar-SY"/>
        </w:rPr>
        <w:t>.</w:t>
      </w:r>
      <w:r w:rsidRPr="003F3B94">
        <w:rPr>
          <w:rFonts w:ascii="Abo-thar" w:hAnsi="Abo-thar" w:hint="cs"/>
          <w:sz w:val="28"/>
          <w:rtl/>
          <w:lang w:bidi="ar-SY"/>
        </w:rPr>
        <w:t xml:space="preserve"> وكما ذكرنا سابقاً كان حضرة الإما</w:t>
      </w:r>
      <w:r w:rsidRPr="003F3B94">
        <w:rPr>
          <w:rFonts w:ascii="Abo-thar" w:hAnsi="Abo-thar" w:hint="eastAsia"/>
          <w:sz w:val="28"/>
          <w:rtl/>
          <w:lang w:bidi="ar-SY"/>
        </w:rPr>
        <w:t>م</w:t>
      </w:r>
      <w:r w:rsidRPr="003F3B94">
        <w:rPr>
          <w:rFonts w:ascii="Abo-thar" w:hAnsi="Abo-thar" w:hint="cs"/>
          <w:sz w:val="28"/>
          <w:rtl/>
          <w:lang w:bidi="ar-SY"/>
        </w:rPr>
        <w:t xml:space="preserve"> ينال كل سنة في زمن المأمون مليون درهم من بيت المال</w:t>
      </w:r>
      <w:r w:rsidR="001E0DB7" w:rsidRPr="003F3B94">
        <w:rPr>
          <w:rFonts w:ascii="Abo-thar" w:hAnsi="Abo-thar" w:hint="cs"/>
          <w:sz w:val="28"/>
          <w:rtl/>
          <w:lang w:bidi="ar-SY"/>
        </w:rPr>
        <w:t>،</w:t>
      </w:r>
      <w:r w:rsidRPr="003F3B94">
        <w:rPr>
          <w:rFonts w:ascii="Abo-thar" w:hAnsi="Abo-thar" w:hint="cs"/>
          <w:sz w:val="28"/>
          <w:rtl/>
          <w:lang w:bidi="ar-SY"/>
        </w:rPr>
        <w:t xml:space="preserve"> ومن المعلوم أنه لم يكن للإمام</w:t>
      </w:r>
      <w:r w:rsidR="00147857" w:rsidRPr="003F3B94">
        <w:rPr>
          <w:rFonts w:ascii="Abo-thar" w:hAnsi="Abo-thar" w:hint="cs"/>
          <w:sz w:val="28"/>
          <w:rtl/>
          <w:lang w:bidi="ar-SY"/>
        </w:rPr>
        <w:t xml:space="preserve"> </w:t>
      </w:r>
      <w:r w:rsidRPr="003F3B94">
        <w:rPr>
          <w:rFonts w:ascii="Abo-thar" w:hAnsi="Abo-thar" w:hint="cs"/>
          <w:sz w:val="28"/>
          <w:rtl/>
          <w:lang w:bidi="ar-SY"/>
        </w:rPr>
        <w:t>خدم أو حشم أو جند أو حرس بل حتى لم تكن له عائلة كبيرة تحتاج إلى نفقات كبيرة حتى يحتاج إلى أخذ مثل هذه الأشياء</w:t>
      </w:r>
      <w:r w:rsidR="00217AB4" w:rsidRPr="003F3B94">
        <w:rPr>
          <w:rFonts w:ascii="Abo-thar" w:hAnsi="Abo-thar" w:hint="cs"/>
          <w:sz w:val="28"/>
          <w:rtl/>
          <w:lang w:bidi="ar-SY"/>
        </w:rPr>
        <w:t>.</w:t>
      </w:r>
      <w:r w:rsidRPr="003F3B94">
        <w:rPr>
          <w:rFonts w:ascii="Abo-thar" w:hAnsi="Abo-thar" w:hint="cs"/>
          <w:sz w:val="28"/>
          <w:rtl/>
          <w:lang w:bidi="ar-SY"/>
        </w:rPr>
        <w:t xml:space="preserve"> أما الأشخاص الذين كانوا يأخذون الأموال باسم الإمام فليت شعري هل كان لهم من هدف سوى سرقة أموال الناس وجمعها في جيوبهم</w:t>
      </w:r>
      <w:r w:rsidR="00217AB4" w:rsidRPr="003F3B94">
        <w:rPr>
          <w:rFonts w:ascii="Abo-thar" w:hAnsi="Abo-thar" w:hint="cs"/>
          <w:sz w:val="28"/>
          <w:rtl/>
          <w:lang w:bidi="ar-SY"/>
        </w:rPr>
        <w:t>؟!</w:t>
      </w:r>
      <w:r w:rsidRPr="003F3B94">
        <w:rPr>
          <w:rFonts w:ascii="Abo-thar" w:hAnsi="Abo-thar" w:hint="cs"/>
          <w:sz w:val="28"/>
          <w:rtl/>
          <w:lang w:bidi="ar-SY"/>
        </w:rPr>
        <w:t xml:space="preserve"> </w:t>
      </w:r>
    </w:p>
    <w:p w:rsidR="00F537D0" w:rsidRPr="003F3B94" w:rsidRDefault="005C664D" w:rsidP="003F3B94">
      <w:pPr>
        <w:pStyle w:val="a0"/>
        <w:rPr>
          <w:rFonts w:hint="cs"/>
          <w:rtl/>
          <w:lang w:bidi="ar-SY"/>
        </w:rPr>
      </w:pPr>
      <w:r w:rsidRPr="003F3B94">
        <w:rPr>
          <w:rFonts w:ascii="Abo-thar" w:hAnsi="Abo-thar" w:hint="cs"/>
          <w:sz w:val="28"/>
          <w:rtl/>
          <w:lang w:bidi="ar-SY"/>
        </w:rPr>
        <w:t>تلك كانت بعض الإشكالات التي تتعلق بهذه الرسالة</w:t>
      </w:r>
      <w:r w:rsidR="001E0DB7" w:rsidRPr="003F3B94">
        <w:rPr>
          <w:rFonts w:ascii="Abo-thar" w:hAnsi="Abo-thar" w:hint="cs"/>
          <w:sz w:val="28"/>
          <w:rtl/>
          <w:lang w:bidi="ar-SY"/>
        </w:rPr>
        <w:t>،</w:t>
      </w:r>
      <w:r w:rsidRPr="003F3B94">
        <w:rPr>
          <w:rFonts w:ascii="Abo-thar" w:hAnsi="Abo-thar" w:hint="cs"/>
          <w:sz w:val="28"/>
          <w:rtl/>
          <w:lang w:bidi="ar-SY"/>
        </w:rPr>
        <w:t xml:space="preserve"> وما أحسن ما قاله الشهيد الثاني في كتابه «الدراية»</w:t>
      </w:r>
      <w:r w:rsidR="00217AB4" w:rsidRPr="003F3B94">
        <w:rPr>
          <w:rFonts w:ascii="Abo-thar" w:hAnsi="Abo-thar" w:hint="cs"/>
          <w:sz w:val="28"/>
          <w:rtl/>
          <w:lang w:bidi="ar-SY"/>
        </w:rPr>
        <w:t>:</w:t>
      </w:r>
      <w:r w:rsidRPr="003F3B94">
        <w:rPr>
          <w:rFonts w:ascii="Abo-thar" w:hAnsi="Abo-thar" w:hint="cs"/>
          <w:sz w:val="28"/>
          <w:rtl/>
          <w:lang w:bidi="ar-SY"/>
        </w:rPr>
        <w:t xml:space="preserve"> </w:t>
      </w:r>
    </w:p>
    <w:p w:rsidR="00F537D0" w:rsidRPr="003F3B94" w:rsidRDefault="00EF2588" w:rsidP="003F3B94">
      <w:pPr>
        <w:pStyle w:val="a0"/>
        <w:rPr>
          <w:rFonts w:hint="cs"/>
          <w:rtl/>
          <w:lang w:bidi="ar-SY"/>
        </w:rPr>
      </w:pPr>
      <w:r w:rsidRPr="003F3B94">
        <w:rPr>
          <w:rFonts w:ascii="Abo-thar" w:hAnsi="Abo-thar" w:hint="cs"/>
          <w:sz w:val="28"/>
          <w:rtl/>
          <w:lang w:bidi="ar-SY"/>
        </w:rPr>
        <w:t>«</w:t>
      </w:r>
      <w:r w:rsidR="005C664D" w:rsidRPr="003F3B94">
        <w:rPr>
          <w:rFonts w:ascii="Abo-thar" w:hAnsi="Abo-thar" w:hint="cs"/>
          <w:b/>
          <w:bCs/>
          <w:sz w:val="28"/>
          <w:rtl/>
          <w:lang w:bidi="ar-SY"/>
        </w:rPr>
        <w:t>وقد افتُضِحَ قومٌ ادَّعُوا الروايةَ عن شيوخٍ ظهرَ بالتاريخ كذب دعواهم</w:t>
      </w:r>
      <w:r w:rsidRPr="003F3B94">
        <w:rPr>
          <w:rFonts w:ascii="Abo-thar" w:hAnsi="Abo-thar" w:hint="cs"/>
          <w:sz w:val="28"/>
          <w:rtl/>
          <w:lang w:bidi="ar-SY"/>
        </w:rPr>
        <w:t>»</w:t>
      </w:r>
      <w:r w:rsidR="00217AB4" w:rsidRPr="003F3B94">
        <w:rPr>
          <w:rFonts w:ascii="Abo-thar" w:hAnsi="Abo-thar" w:hint="cs"/>
          <w:sz w:val="28"/>
          <w:rtl/>
          <w:lang w:bidi="ar-SY"/>
        </w:rPr>
        <w:t>.</w:t>
      </w:r>
    </w:p>
    <w:p w:rsidR="00F537D0" w:rsidRPr="003F3B94" w:rsidRDefault="005C664D" w:rsidP="003F3B94">
      <w:pPr>
        <w:pStyle w:val="a0"/>
        <w:rPr>
          <w:rFonts w:hint="cs"/>
          <w:rtl/>
          <w:lang w:bidi="ar-SY"/>
        </w:rPr>
      </w:pPr>
      <w:r w:rsidRPr="003F3B94">
        <w:rPr>
          <w:rFonts w:ascii="Abo-thar" w:hAnsi="Abo-thar" w:hint="cs"/>
          <w:sz w:val="28"/>
          <w:rtl/>
          <w:lang w:bidi="ar-SY"/>
        </w:rPr>
        <w:t>ثم يقول الشهيد الثاني بعد ذلك</w:t>
      </w:r>
      <w:r w:rsidR="00217AB4" w:rsidRPr="003F3B94">
        <w:rPr>
          <w:rFonts w:ascii="Abo-thar" w:hAnsi="Abo-thar" w:hint="cs"/>
          <w:sz w:val="28"/>
          <w:rtl/>
          <w:lang w:bidi="ar-SY"/>
        </w:rPr>
        <w:t>:</w:t>
      </w:r>
    </w:p>
    <w:p w:rsidR="005C664D" w:rsidRPr="003F3B94" w:rsidRDefault="00EF2588" w:rsidP="003F3B94">
      <w:pPr>
        <w:pStyle w:val="a0"/>
        <w:rPr>
          <w:rFonts w:hint="cs"/>
          <w:rtl/>
          <w:lang w:bidi="ar-SY"/>
        </w:rPr>
      </w:pPr>
      <w:r w:rsidRPr="003F3B94">
        <w:rPr>
          <w:rFonts w:ascii="Abo-thar" w:hAnsi="Abo-thar" w:hint="cs"/>
          <w:sz w:val="28"/>
          <w:rtl/>
          <w:lang w:bidi="ar-SY"/>
        </w:rPr>
        <w:t>«</w:t>
      </w:r>
      <w:r w:rsidR="00006ED3">
        <w:rPr>
          <w:rFonts w:ascii="Abo-thar" w:hAnsi="Abo-thar"/>
          <w:b/>
          <w:bCs/>
          <w:sz w:val="28"/>
          <w:rtl/>
          <w:lang w:bidi="ar-SY"/>
        </w:rPr>
        <w:t>و</w:t>
      </w:r>
      <w:r w:rsidR="00D326AD" w:rsidRPr="003F3B94">
        <w:rPr>
          <w:rFonts w:ascii="Abo-thar" w:hAnsi="Abo-thar"/>
          <w:b/>
          <w:bCs/>
          <w:sz w:val="28"/>
          <w:rtl/>
          <w:lang w:bidi="ar-SY"/>
        </w:rPr>
        <w:t>ك</w:t>
      </w:r>
      <w:r w:rsidR="005C664D" w:rsidRPr="003F3B94">
        <w:rPr>
          <w:rFonts w:ascii="Abo-thar" w:hAnsi="Abo-thar"/>
          <w:b/>
          <w:bCs/>
          <w:sz w:val="28"/>
          <w:rtl/>
          <w:lang w:bidi="ar-SY"/>
        </w:rPr>
        <w:t>م فتح</w:t>
      </w:r>
      <w:r w:rsidR="005C664D" w:rsidRPr="003F3B94">
        <w:rPr>
          <w:rFonts w:ascii="Abo-thar" w:hAnsi="Abo-thar" w:hint="cs"/>
          <w:b/>
          <w:bCs/>
          <w:sz w:val="28"/>
          <w:rtl/>
          <w:lang w:bidi="ar-SY"/>
        </w:rPr>
        <w:t xml:space="preserve"> </w:t>
      </w:r>
      <w:r w:rsidR="005C664D" w:rsidRPr="003F3B94">
        <w:rPr>
          <w:rFonts w:cs="Times New Roman" w:hint="cs"/>
          <w:b/>
          <w:bCs/>
          <w:sz w:val="28"/>
          <w:rtl/>
          <w:lang w:bidi="ar-SY"/>
        </w:rPr>
        <w:t>‌</w:t>
      </w:r>
      <w:r w:rsidR="005C664D" w:rsidRPr="003F3B94">
        <w:rPr>
          <w:rFonts w:ascii="Abo-thar" w:hAnsi="Abo-thar" w:hint="cs"/>
          <w:b/>
          <w:bCs/>
          <w:sz w:val="28"/>
          <w:rtl/>
          <w:lang w:bidi="ar-SY"/>
        </w:rPr>
        <w:t>الله عل</w:t>
      </w:r>
      <w:r w:rsidR="00D326AD" w:rsidRPr="003F3B94">
        <w:rPr>
          <w:rFonts w:ascii="Abo-thar" w:hAnsi="Abo-thar" w:hint="cs"/>
          <w:b/>
          <w:bCs/>
          <w:sz w:val="28"/>
          <w:rtl/>
          <w:lang w:bidi="ar-SY"/>
        </w:rPr>
        <w:t>ي</w:t>
      </w:r>
      <w:r w:rsidR="005C664D" w:rsidRPr="003F3B94">
        <w:rPr>
          <w:rFonts w:ascii="Abo-thar" w:hAnsi="Abo-thar" w:hint="eastAsia"/>
          <w:b/>
          <w:bCs/>
          <w:sz w:val="28"/>
          <w:rtl/>
          <w:lang w:bidi="ar-SY"/>
        </w:rPr>
        <w:t>نا</w:t>
      </w:r>
      <w:r w:rsidR="005C664D" w:rsidRPr="003F3B94">
        <w:rPr>
          <w:rFonts w:ascii="Abo-thar" w:hAnsi="Abo-thar"/>
          <w:b/>
          <w:bCs/>
          <w:sz w:val="28"/>
          <w:rtl/>
          <w:lang w:bidi="ar-SY"/>
        </w:rPr>
        <w:t xml:space="preserve"> </w:t>
      </w:r>
      <w:r w:rsidR="005C664D" w:rsidRPr="003F3B94">
        <w:rPr>
          <w:rFonts w:ascii="Abo-thar" w:hAnsi="Abo-thar" w:hint="cs"/>
          <w:b/>
          <w:bCs/>
          <w:sz w:val="28"/>
          <w:rtl/>
          <w:lang w:bidi="ar-SY"/>
        </w:rPr>
        <w:t>بواسطة</w:t>
      </w:r>
      <w:r w:rsidR="005C664D" w:rsidRPr="003F3B94">
        <w:rPr>
          <w:rFonts w:ascii="Abo-thar" w:hAnsi="Abo-thar"/>
          <w:b/>
          <w:bCs/>
          <w:sz w:val="28"/>
          <w:rtl/>
          <w:lang w:bidi="ar-SY"/>
        </w:rPr>
        <w:t xml:space="preserve"> </w:t>
      </w:r>
      <w:r w:rsidR="005C664D" w:rsidRPr="003F3B94">
        <w:rPr>
          <w:rFonts w:ascii="Abo-thar" w:hAnsi="Abo-thar" w:hint="cs"/>
          <w:b/>
          <w:bCs/>
          <w:sz w:val="28"/>
          <w:rtl/>
          <w:lang w:bidi="ar-SY"/>
        </w:rPr>
        <w:t xml:space="preserve">معرفة </w:t>
      </w:r>
      <w:r w:rsidR="005C664D" w:rsidRPr="003F3B94">
        <w:rPr>
          <w:rFonts w:ascii="Abo-thar" w:hAnsi="Abo-thar"/>
          <w:b/>
          <w:bCs/>
          <w:sz w:val="28"/>
          <w:rtl/>
          <w:lang w:bidi="ar-SY"/>
        </w:rPr>
        <w:t>ذل</w:t>
      </w:r>
      <w:r w:rsidR="00D326AD" w:rsidRPr="003F3B94">
        <w:rPr>
          <w:rFonts w:ascii="Abo-thar" w:hAnsi="Abo-thar"/>
          <w:b/>
          <w:bCs/>
          <w:sz w:val="28"/>
          <w:rtl/>
          <w:lang w:bidi="ar-SY"/>
        </w:rPr>
        <w:t>ك</w:t>
      </w:r>
      <w:r w:rsidR="005C664D" w:rsidRPr="003F3B94">
        <w:rPr>
          <w:rFonts w:ascii="Abo-thar" w:hAnsi="Abo-thar"/>
          <w:b/>
          <w:bCs/>
          <w:sz w:val="28"/>
          <w:rtl/>
          <w:lang w:bidi="ar-SY"/>
        </w:rPr>
        <w:t xml:space="preserve"> </w:t>
      </w:r>
      <w:r w:rsidR="005C664D" w:rsidRPr="003F3B94">
        <w:rPr>
          <w:rFonts w:cs="Times New Roman" w:hint="cs"/>
          <w:b/>
          <w:bCs/>
          <w:sz w:val="28"/>
          <w:rtl/>
          <w:lang w:bidi="ar-SY"/>
        </w:rPr>
        <w:t>‌</w:t>
      </w:r>
      <w:r w:rsidR="005C664D" w:rsidRPr="003F3B94">
        <w:rPr>
          <w:rFonts w:ascii="Abo-thar" w:hAnsi="Abo-thar" w:hint="cs"/>
          <w:b/>
          <w:bCs/>
          <w:sz w:val="28"/>
          <w:rtl/>
          <w:lang w:bidi="ar-SY"/>
        </w:rPr>
        <w:t xml:space="preserve">العلم </w:t>
      </w:r>
      <w:r w:rsidR="00217AB4" w:rsidRPr="003F3B94">
        <w:rPr>
          <w:rFonts w:ascii="Abo-thar" w:hAnsi="Abo-thar" w:hint="cs"/>
          <w:b/>
          <w:bCs/>
          <w:sz w:val="28"/>
          <w:rtl/>
          <w:lang w:bidi="ar-SY"/>
        </w:rPr>
        <w:t>(</w:t>
      </w:r>
      <w:r w:rsidR="005C664D" w:rsidRPr="003F3B94">
        <w:rPr>
          <w:rFonts w:ascii="Abo-thar" w:hAnsi="Abo-thar" w:hint="cs"/>
          <w:b/>
          <w:bCs/>
          <w:sz w:val="28"/>
          <w:rtl/>
          <w:lang w:bidi="ar-SY"/>
        </w:rPr>
        <w:t>أي علم التاريخ</w:t>
      </w:r>
      <w:r w:rsidR="00217AB4" w:rsidRPr="003F3B94">
        <w:rPr>
          <w:rFonts w:ascii="Abo-thar" w:hAnsi="Abo-thar" w:hint="cs"/>
          <w:b/>
          <w:bCs/>
          <w:sz w:val="28"/>
          <w:rtl/>
          <w:lang w:bidi="ar-SY"/>
        </w:rPr>
        <w:t>)</w:t>
      </w:r>
      <w:r w:rsidR="00147857" w:rsidRPr="003F3B94">
        <w:rPr>
          <w:rFonts w:ascii="Abo-thar" w:hAnsi="Abo-thar" w:hint="cs"/>
          <w:b/>
          <w:bCs/>
          <w:sz w:val="28"/>
          <w:rtl/>
          <w:lang w:bidi="ar-SY"/>
        </w:rPr>
        <w:t xml:space="preserve"> </w:t>
      </w:r>
      <w:r w:rsidR="005C664D" w:rsidRPr="003F3B94">
        <w:rPr>
          <w:rFonts w:ascii="Abo-thar" w:hAnsi="Abo-thar" w:hint="cs"/>
          <w:b/>
          <w:bCs/>
          <w:sz w:val="28"/>
          <w:rtl/>
          <w:lang w:bidi="ar-SY"/>
        </w:rPr>
        <w:t>ب</w:t>
      </w:r>
      <w:r w:rsidR="00D326AD" w:rsidRPr="003F3B94">
        <w:rPr>
          <w:rFonts w:ascii="Abo-thar" w:hAnsi="Abo-thar" w:hint="cs"/>
          <w:b/>
          <w:bCs/>
          <w:sz w:val="28"/>
          <w:rtl/>
          <w:lang w:bidi="ar-SY"/>
        </w:rPr>
        <w:t>ك</w:t>
      </w:r>
      <w:r w:rsidR="005C664D" w:rsidRPr="003F3B94">
        <w:rPr>
          <w:rFonts w:ascii="Abo-thar" w:hAnsi="Abo-thar" w:hint="cs"/>
          <w:b/>
          <w:bCs/>
          <w:sz w:val="28"/>
          <w:rtl/>
          <w:lang w:bidi="ar-SY"/>
        </w:rPr>
        <w:t>ذب أخبار شائ</w:t>
      </w:r>
      <w:r w:rsidR="005C664D" w:rsidRPr="003F3B94">
        <w:rPr>
          <w:rFonts w:ascii="Abo-thar" w:hAnsi="Abo-thar" w:hint="eastAsia"/>
          <w:b/>
          <w:bCs/>
          <w:sz w:val="28"/>
          <w:rtl/>
          <w:lang w:bidi="ar-SY"/>
        </w:rPr>
        <w:t>ع</w:t>
      </w:r>
      <w:r w:rsidR="005C664D" w:rsidRPr="003F3B94">
        <w:rPr>
          <w:rFonts w:ascii="Abo-thar" w:hAnsi="Abo-thar" w:hint="cs"/>
          <w:b/>
          <w:bCs/>
          <w:sz w:val="28"/>
          <w:rtl/>
          <w:lang w:bidi="ar-SY"/>
        </w:rPr>
        <w:t>ة</w:t>
      </w:r>
      <w:r w:rsidR="005C664D" w:rsidRPr="003F3B94">
        <w:rPr>
          <w:rFonts w:ascii="Abo-thar" w:hAnsi="Abo-thar"/>
          <w:b/>
          <w:bCs/>
          <w:sz w:val="28"/>
          <w:rtl/>
          <w:lang w:bidi="ar-SY"/>
        </w:rPr>
        <w:t xml:space="preserve"> ب</w:t>
      </w:r>
      <w:r w:rsidR="00D326AD" w:rsidRPr="003F3B94">
        <w:rPr>
          <w:rFonts w:ascii="Abo-thar" w:hAnsi="Abo-thar" w:hint="cs"/>
          <w:b/>
          <w:bCs/>
          <w:sz w:val="28"/>
          <w:rtl/>
          <w:lang w:bidi="ar-SY"/>
        </w:rPr>
        <w:t>ي</w:t>
      </w:r>
      <w:r w:rsidR="005C664D" w:rsidRPr="003F3B94">
        <w:rPr>
          <w:rFonts w:ascii="Abo-thar" w:hAnsi="Abo-thar" w:hint="eastAsia"/>
          <w:b/>
          <w:bCs/>
          <w:sz w:val="28"/>
          <w:rtl/>
          <w:lang w:bidi="ar-SY"/>
        </w:rPr>
        <w:t>ن</w:t>
      </w:r>
      <w:r w:rsidR="005C664D" w:rsidRPr="003F3B94">
        <w:rPr>
          <w:rFonts w:ascii="Abo-thar" w:hAnsi="Abo-thar"/>
          <w:b/>
          <w:bCs/>
          <w:sz w:val="28"/>
          <w:rtl/>
          <w:lang w:bidi="ar-SY"/>
        </w:rPr>
        <w:t xml:space="preserve"> </w:t>
      </w:r>
      <w:r w:rsidR="005C664D" w:rsidRPr="003F3B94">
        <w:rPr>
          <w:rFonts w:ascii="Abo-thar" w:hAnsi="Abo-thar" w:hint="cs"/>
          <w:b/>
          <w:bCs/>
          <w:sz w:val="28"/>
          <w:rtl/>
          <w:lang w:bidi="ar-SY"/>
        </w:rPr>
        <w:t>أهل</w:t>
      </w:r>
      <w:r w:rsidR="005C664D" w:rsidRPr="003F3B94">
        <w:rPr>
          <w:rFonts w:cs="Times New Roman" w:hint="cs"/>
          <w:b/>
          <w:bCs/>
          <w:sz w:val="28"/>
          <w:rtl/>
          <w:lang w:bidi="ar-SY"/>
        </w:rPr>
        <w:t>‌</w:t>
      </w:r>
      <w:r w:rsidR="005C664D" w:rsidRPr="003F3B94">
        <w:rPr>
          <w:rFonts w:ascii="Abo-thar" w:hAnsi="Abo-thar" w:hint="cs"/>
          <w:b/>
          <w:bCs/>
          <w:sz w:val="28"/>
          <w:rtl/>
          <w:lang w:bidi="ar-SY"/>
        </w:rPr>
        <w:t>العلم فضلاً عن غ</w:t>
      </w:r>
      <w:r w:rsidR="00D326AD" w:rsidRPr="003F3B94">
        <w:rPr>
          <w:rFonts w:ascii="Abo-thar" w:hAnsi="Abo-thar" w:hint="cs"/>
          <w:b/>
          <w:bCs/>
          <w:sz w:val="28"/>
          <w:rtl/>
          <w:lang w:bidi="ar-SY"/>
        </w:rPr>
        <w:t>ي</w:t>
      </w:r>
      <w:r w:rsidR="005C664D" w:rsidRPr="003F3B94">
        <w:rPr>
          <w:rFonts w:ascii="Abo-thar" w:hAnsi="Abo-thar" w:hint="eastAsia"/>
          <w:b/>
          <w:bCs/>
          <w:sz w:val="28"/>
          <w:rtl/>
          <w:lang w:bidi="ar-SY"/>
        </w:rPr>
        <w:t>رهم</w:t>
      </w:r>
      <w:r w:rsidR="005C664D" w:rsidRPr="003F3B94">
        <w:rPr>
          <w:rFonts w:ascii="Abo-thar" w:hAnsi="Abo-thar"/>
          <w:b/>
          <w:bCs/>
          <w:sz w:val="28"/>
          <w:rtl/>
          <w:lang w:bidi="ar-SY"/>
        </w:rPr>
        <w:t xml:space="preserve"> </w:t>
      </w:r>
      <w:r w:rsidR="005C664D" w:rsidRPr="003F3B94">
        <w:rPr>
          <w:rFonts w:ascii="Abo-thar" w:hAnsi="Abo-thar" w:hint="cs"/>
          <w:b/>
          <w:bCs/>
          <w:sz w:val="28"/>
          <w:rtl/>
          <w:lang w:bidi="ar-SY"/>
        </w:rPr>
        <w:t>حتى</w:t>
      </w:r>
      <w:r w:rsidR="005C664D" w:rsidRPr="003F3B94">
        <w:rPr>
          <w:rFonts w:ascii="Abo-thar" w:hAnsi="Abo-thar"/>
          <w:b/>
          <w:bCs/>
          <w:sz w:val="28"/>
          <w:rtl/>
          <w:lang w:bidi="ar-SY"/>
        </w:rPr>
        <w:t xml:space="preserve"> </w:t>
      </w:r>
      <w:r w:rsidR="00D326AD" w:rsidRPr="003F3B94">
        <w:rPr>
          <w:rFonts w:ascii="Abo-thar" w:hAnsi="Abo-thar"/>
          <w:b/>
          <w:bCs/>
          <w:sz w:val="28"/>
          <w:rtl/>
          <w:lang w:bidi="ar-SY"/>
        </w:rPr>
        <w:t>ك</w:t>
      </w:r>
      <w:r w:rsidR="005C664D" w:rsidRPr="003F3B94">
        <w:rPr>
          <w:rFonts w:ascii="Abo-thar" w:hAnsi="Abo-thar"/>
          <w:b/>
          <w:bCs/>
          <w:sz w:val="28"/>
          <w:rtl/>
          <w:lang w:bidi="ar-SY"/>
        </w:rPr>
        <w:t>انت تبلغ قر</w:t>
      </w:r>
      <w:r w:rsidR="00D326AD" w:rsidRPr="003F3B94">
        <w:rPr>
          <w:rFonts w:ascii="Abo-thar" w:hAnsi="Abo-thar" w:hint="cs"/>
          <w:b/>
          <w:bCs/>
          <w:sz w:val="28"/>
          <w:rtl/>
          <w:lang w:bidi="ar-SY"/>
        </w:rPr>
        <w:t>ي</w:t>
      </w:r>
      <w:r w:rsidR="005C664D" w:rsidRPr="003F3B94">
        <w:rPr>
          <w:rFonts w:ascii="Abo-thar" w:hAnsi="Abo-thar" w:hint="eastAsia"/>
          <w:b/>
          <w:bCs/>
          <w:sz w:val="28"/>
          <w:rtl/>
          <w:lang w:bidi="ar-SY"/>
        </w:rPr>
        <w:t>ن</w:t>
      </w:r>
      <w:r w:rsidR="005C664D" w:rsidRPr="003F3B94">
        <w:rPr>
          <w:rFonts w:ascii="Abo-thar" w:hAnsi="Abo-thar" w:hint="cs"/>
          <w:b/>
          <w:bCs/>
          <w:sz w:val="28"/>
          <w:rtl/>
          <w:lang w:bidi="ar-SY"/>
        </w:rPr>
        <w:t xml:space="preserve">ة </w:t>
      </w:r>
      <w:r w:rsidR="005C664D" w:rsidRPr="003F3B94">
        <w:rPr>
          <w:rFonts w:cs="Times New Roman" w:hint="cs"/>
          <w:b/>
          <w:bCs/>
          <w:sz w:val="28"/>
          <w:rtl/>
          <w:lang w:bidi="ar-SY"/>
        </w:rPr>
        <w:t>‌</w:t>
      </w:r>
      <w:r w:rsidR="005C664D" w:rsidRPr="003F3B94">
        <w:rPr>
          <w:rFonts w:ascii="Abo-thar" w:hAnsi="Abo-thar" w:hint="cs"/>
          <w:b/>
          <w:bCs/>
          <w:sz w:val="28"/>
          <w:rtl/>
          <w:lang w:bidi="ar-SY"/>
        </w:rPr>
        <w:t>الاستفاضة</w:t>
      </w:r>
      <w:r w:rsidR="00147857" w:rsidRPr="003F3B94">
        <w:rPr>
          <w:rFonts w:ascii="Abo-thar" w:hAnsi="Abo-thar"/>
          <w:b/>
          <w:bCs/>
          <w:sz w:val="28"/>
          <w:rtl/>
          <w:lang w:bidi="ar-SY"/>
        </w:rPr>
        <w:t xml:space="preserve"> و</w:t>
      </w:r>
      <w:r w:rsidR="005C664D" w:rsidRPr="003F3B94">
        <w:rPr>
          <w:rFonts w:ascii="Abo-thar" w:hAnsi="Abo-thar"/>
          <w:b/>
          <w:bCs/>
          <w:sz w:val="28"/>
          <w:rtl/>
          <w:lang w:bidi="ar-SY"/>
        </w:rPr>
        <w:t>لو ذ</w:t>
      </w:r>
      <w:r w:rsidR="00D326AD" w:rsidRPr="003F3B94">
        <w:rPr>
          <w:rFonts w:ascii="Abo-thar" w:hAnsi="Abo-thar"/>
          <w:b/>
          <w:bCs/>
          <w:sz w:val="28"/>
          <w:rtl/>
          <w:lang w:bidi="ar-SY"/>
        </w:rPr>
        <w:t>ك</w:t>
      </w:r>
      <w:r w:rsidR="005C664D" w:rsidRPr="003F3B94">
        <w:rPr>
          <w:rFonts w:ascii="Abo-thar" w:hAnsi="Abo-thar"/>
          <w:b/>
          <w:bCs/>
          <w:sz w:val="28"/>
          <w:rtl/>
          <w:lang w:bidi="ar-SY"/>
        </w:rPr>
        <w:t>رنا لطال</w:t>
      </w:r>
      <w:r w:rsidR="005C664D" w:rsidRPr="003F3B94">
        <w:rPr>
          <w:rFonts w:ascii="Abo-thar" w:hAnsi="Abo-thar" w:hint="cs"/>
          <w:b/>
          <w:bCs/>
          <w:sz w:val="28"/>
          <w:rtl/>
          <w:lang w:bidi="ar-SY"/>
        </w:rPr>
        <w:t xml:space="preserve"> </w:t>
      </w:r>
      <w:r w:rsidR="005C664D" w:rsidRPr="003F3B94">
        <w:rPr>
          <w:rFonts w:cs="Times New Roman" w:hint="cs"/>
          <w:b/>
          <w:bCs/>
          <w:sz w:val="28"/>
          <w:rtl/>
          <w:lang w:bidi="ar-SY"/>
        </w:rPr>
        <w:t>‌</w:t>
      </w:r>
      <w:r w:rsidR="005C664D" w:rsidRPr="003F3B94">
        <w:rPr>
          <w:rFonts w:ascii="Abo-thar" w:hAnsi="Abo-thar" w:hint="cs"/>
          <w:b/>
          <w:bCs/>
          <w:sz w:val="28"/>
          <w:rtl/>
          <w:lang w:bidi="ar-SY"/>
        </w:rPr>
        <w:t>الخطب</w:t>
      </w:r>
      <w:r w:rsidRPr="003F3B94">
        <w:rPr>
          <w:rFonts w:ascii="Abo-thar" w:hAnsi="Abo-thar" w:hint="cs"/>
          <w:sz w:val="28"/>
          <w:rtl/>
          <w:lang w:bidi="ar-SY"/>
        </w:rPr>
        <w:t>»</w:t>
      </w:r>
      <w:r w:rsidR="007D4D3A" w:rsidRPr="0021507A">
        <w:rPr>
          <w:rFonts w:ascii="Abo-thar" w:hAnsi="Abo-thar" w:cs="Arabic11 BT"/>
          <w:sz w:val="28"/>
          <w:vertAlign w:val="superscript"/>
          <w:rtl/>
          <w:lang w:bidi="ar-SY"/>
        </w:rPr>
        <w:t>(</w:t>
      </w:r>
      <w:r w:rsidR="007D4D3A" w:rsidRPr="0021507A">
        <w:rPr>
          <w:rStyle w:val="FootnoteReference"/>
          <w:rFonts w:ascii="Abo-thar" w:hAnsi="Abo-thar" w:cs="Arabic11 BT"/>
          <w:sz w:val="28"/>
          <w:rtl/>
          <w:lang w:bidi="ar-SY"/>
        </w:rPr>
        <w:footnoteReference w:id="279"/>
      </w:r>
      <w:r w:rsidR="007D4D3A" w:rsidRPr="0021507A">
        <w:rPr>
          <w:rFonts w:ascii="Abo-thar" w:hAnsi="Abo-thar" w:cs="Arabic11 BT"/>
          <w:sz w:val="28"/>
          <w:vertAlign w:val="superscript"/>
          <w:rtl/>
          <w:lang w:bidi="ar-SY"/>
        </w:rPr>
        <w:t>)</w:t>
      </w:r>
      <w:r w:rsidR="00217AB4" w:rsidRPr="003F3B94">
        <w:rPr>
          <w:rFonts w:ascii="Abo-thar" w:hAnsi="Abo-thar" w:hint="cs"/>
          <w:sz w:val="28"/>
          <w:rtl/>
          <w:lang w:bidi="ar-SY"/>
        </w:rPr>
        <w:t>.</w:t>
      </w:r>
    </w:p>
    <w:p w:rsidR="005C664D" w:rsidRPr="003F3B94" w:rsidRDefault="005C664D" w:rsidP="003F3B94">
      <w:pPr>
        <w:pStyle w:val="a0"/>
        <w:rPr>
          <w:rFonts w:hint="cs"/>
          <w:rtl/>
          <w:lang w:bidi="ar-SY"/>
        </w:rPr>
      </w:pPr>
      <w:r w:rsidRPr="003F3B94">
        <w:rPr>
          <w:rFonts w:ascii="Abo-thar" w:hAnsi="Abo-thar" w:hint="cs"/>
          <w:sz w:val="28"/>
          <w:rtl/>
          <w:lang w:bidi="ar-SY"/>
        </w:rPr>
        <w:t>أجل لو لم يذكر ذلك الراوي أخَّاذ الخمس في رسالته تلك ذلك التاريخ لكان أفضل له بكثير ولكن ماذا نفعل إذا كان حبل الكذب قصير</w:t>
      </w:r>
      <w:r w:rsidR="007D4D3A" w:rsidRPr="003F3B94">
        <w:rPr>
          <w:rFonts w:ascii="Abo-thar" w:hAnsi="Abo-thar" w:hint="cs"/>
          <w:sz w:val="28"/>
          <w:rtl/>
          <w:lang w:bidi="ar-SY"/>
        </w:rPr>
        <w:t>!</w:t>
      </w:r>
    </w:p>
    <w:p w:rsidR="005C664D" w:rsidRPr="003F3B94" w:rsidRDefault="005C664D" w:rsidP="003F3B94">
      <w:pPr>
        <w:pStyle w:val="a0"/>
        <w:rPr>
          <w:rFonts w:hint="cs"/>
          <w:rtl/>
          <w:lang w:bidi="ar-SY"/>
        </w:rPr>
      </w:pPr>
      <w:r w:rsidRPr="003F3B94">
        <w:rPr>
          <w:rFonts w:ascii="Abo-thar" w:hAnsi="Abo-thar" w:hint="cs"/>
          <w:sz w:val="28"/>
          <w:rtl/>
          <w:lang w:bidi="ar-SY"/>
        </w:rPr>
        <w:t>وحتى لو فرضنا أن حضرة الإمام محمد التقي</w:t>
      </w:r>
      <w:r w:rsidR="00147857" w:rsidRPr="003F3B94">
        <w:rPr>
          <w:rFonts w:ascii="Abo-thar" w:hAnsi="Abo-thar" w:hint="cs"/>
          <w:sz w:val="28"/>
          <w:rtl/>
          <w:lang w:bidi="ar-SY"/>
        </w:rPr>
        <w:t xml:space="preserve"> </w:t>
      </w:r>
      <w:r w:rsidR="003C7AEB" w:rsidRPr="003C7AEB">
        <w:rPr>
          <w:rFonts w:ascii="Abo-thar" w:hAnsi="Abo-thar" w:cs="CTraditional Arabic"/>
          <w:sz w:val="28"/>
          <w:rtl/>
          <w:lang w:bidi="ar-SY"/>
        </w:rPr>
        <w:t>÷</w:t>
      </w:r>
      <w:r w:rsidR="00147857" w:rsidRPr="003F3B94">
        <w:rPr>
          <w:rFonts w:ascii="Abo-thar" w:hAnsi="Abo-thar"/>
          <w:sz w:val="28"/>
          <w:rtl/>
          <w:lang w:bidi="ar-SY"/>
        </w:rPr>
        <w:t xml:space="preserve"> </w:t>
      </w:r>
      <w:r w:rsidRPr="003F3B94">
        <w:rPr>
          <w:rFonts w:ascii="Abo-thar" w:hAnsi="Abo-thar" w:hint="cs"/>
          <w:sz w:val="28"/>
          <w:rtl/>
          <w:lang w:bidi="ar-SY"/>
        </w:rPr>
        <w:t>توفي سنة 220هـ</w:t>
      </w:r>
      <w:r w:rsidR="001E0DB7" w:rsidRPr="003F3B94">
        <w:rPr>
          <w:rFonts w:ascii="Abo-thar" w:hAnsi="Abo-thar" w:hint="cs"/>
          <w:sz w:val="28"/>
          <w:rtl/>
          <w:lang w:bidi="ar-SY"/>
        </w:rPr>
        <w:t>،</w:t>
      </w:r>
      <w:r w:rsidRPr="003F3B94">
        <w:rPr>
          <w:rFonts w:ascii="Abo-thar" w:hAnsi="Abo-thar" w:hint="cs"/>
          <w:sz w:val="28"/>
          <w:rtl/>
          <w:lang w:bidi="ar-SY"/>
        </w:rPr>
        <w:t xml:space="preserve"> فإنه لما كان منذ بداية السنة أي في الأيام العشر الأولى من شهر محرم إما في الخامس منه أو في الثامن قد قدم إلى المعتصم وأُسكن إلى جواره فإنه من البعيد جداً أيضاً أن تصدر عن حضرته مثل تلك الرسالة وأن يفرض فيها مثل ذلك الخمس على شيعته أو يطالبهم به لأنه كان في ضيافة الخليفة وتحت نظره</w:t>
      </w:r>
      <w:r w:rsidR="001E0DB7" w:rsidRPr="003F3B94">
        <w:rPr>
          <w:rFonts w:ascii="Abo-thar" w:hAnsi="Abo-thar" w:hint="cs"/>
          <w:sz w:val="28"/>
          <w:rtl/>
          <w:lang w:bidi="ar-SY"/>
        </w:rPr>
        <w:t>،</w:t>
      </w:r>
      <w:r w:rsidRPr="003F3B94">
        <w:rPr>
          <w:rFonts w:ascii="Abo-thar" w:hAnsi="Abo-thar" w:hint="cs"/>
          <w:sz w:val="28"/>
          <w:rtl/>
          <w:lang w:bidi="ar-SY"/>
        </w:rPr>
        <w:t xml:space="preserve"> فلمن كان يريد مثل تلك الأموال</w:t>
      </w:r>
      <w:r w:rsidR="00217AB4" w:rsidRPr="003F3B94">
        <w:rPr>
          <w:rFonts w:ascii="Abo-thar" w:hAnsi="Abo-thar" w:hint="cs"/>
          <w:sz w:val="28"/>
          <w:rtl/>
          <w:lang w:bidi="ar-SY"/>
        </w:rPr>
        <w:t>؟</w:t>
      </w:r>
      <w:r w:rsidRPr="003F3B94">
        <w:rPr>
          <w:rFonts w:ascii="Abo-thar" w:hAnsi="Abo-thar" w:hint="cs"/>
          <w:sz w:val="28"/>
          <w:rtl/>
          <w:lang w:bidi="ar-SY"/>
        </w:rPr>
        <w:t xml:space="preserve"> خاصة أنه توفي في شهر ذي القعدة من السنة ذاتها</w:t>
      </w:r>
      <w:r w:rsidR="00217AB4" w:rsidRPr="003F3B94">
        <w:rPr>
          <w:rFonts w:ascii="Abo-thar" w:hAnsi="Abo-thar" w:hint="cs"/>
          <w:sz w:val="28"/>
          <w:rtl/>
          <w:lang w:bidi="ar-SY"/>
        </w:rPr>
        <w:t>.</w:t>
      </w:r>
      <w:r w:rsidRPr="003F3B94">
        <w:rPr>
          <w:rFonts w:ascii="Abo-thar" w:hAnsi="Abo-thar" w:hint="cs"/>
          <w:sz w:val="28"/>
          <w:rtl/>
          <w:lang w:bidi="ar-SY"/>
        </w:rPr>
        <w:t xml:space="preserve"> </w:t>
      </w:r>
    </w:p>
    <w:p w:rsidR="005C664D" w:rsidRPr="00006ED3" w:rsidRDefault="005C664D" w:rsidP="003F3B94">
      <w:pPr>
        <w:pStyle w:val="a0"/>
        <w:rPr>
          <w:rFonts w:hint="cs"/>
          <w:b/>
          <w:bCs/>
          <w:rtl/>
        </w:rPr>
      </w:pPr>
      <w:bookmarkStart w:id="99" w:name="_Toc215490687"/>
      <w:r w:rsidRPr="00006ED3">
        <w:rPr>
          <w:rFonts w:ascii="Abo-thar" w:hAnsi="Abo-thar" w:hint="cs"/>
          <w:b/>
          <w:bCs/>
          <w:sz w:val="28"/>
          <w:rtl/>
        </w:rPr>
        <w:t>الإشكال الثالث</w:t>
      </w:r>
      <w:r w:rsidR="00217AB4" w:rsidRPr="00006ED3">
        <w:rPr>
          <w:rFonts w:ascii="Abo-thar" w:hAnsi="Abo-thar" w:hint="cs"/>
          <w:b/>
          <w:bCs/>
          <w:sz w:val="28"/>
          <w:rtl/>
        </w:rPr>
        <w:t>:</w:t>
      </w:r>
      <w:r w:rsidRPr="00006ED3">
        <w:rPr>
          <w:rFonts w:ascii="Abo-thar" w:hAnsi="Abo-thar" w:hint="cs"/>
          <w:b/>
          <w:bCs/>
          <w:sz w:val="28"/>
          <w:rtl/>
        </w:rPr>
        <w:t xml:space="preserve"> من حيث المتن</w:t>
      </w:r>
      <w:bookmarkEnd w:id="99"/>
      <w:r w:rsidR="00F537D0" w:rsidRPr="00006ED3">
        <w:rPr>
          <w:rFonts w:ascii="Abo-thar" w:hAnsi="Abo-thar" w:hint="cs"/>
          <w:b/>
          <w:bCs/>
          <w:sz w:val="28"/>
          <w:rtl/>
        </w:rPr>
        <w:t xml:space="preserve"> والمضمون</w:t>
      </w:r>
      <w:r w:rsidR="00AB5161" w:rsidRPr="00006ED3">
        <w:rPr>
          <w:rFonts w:ascii="Abo-thar" w:hAnsi="Abo-thar" w:hint="cs"/>
          <w:b/>
          <w:bCs/>
          <w:sz w:val="28"/>
          <w:rtl/>
        </w:rPr>
        <w:t>:</w:t>
      </w:r>
    </w:p>
    <w:p w:rsidR="00F537D0" w:rsidRPr="003F3B94" w:rsidRDefault="005C664D" w:rsidP="00891167">
      <w:pPr>
        <w:pStyle w:val="a0"/>
        <w:rPr>
          <w:rFonts w:hint="cs"/>
          <w:rtl/>
        </w:rPr>
      </w:pPr>
      <w:r w:rsidRPr="003F3B94">
        <w:rPr>
          <w:rFonts w:ascii="Abo-thar" w:hAnsi="Abo-thar" w:hint="cs"/>
          <w:sz w:val="28"/>
          <w:rtl/>
        </w:rPr>
        <w:t>جاءت في بداية الرسالة جملة</w:t>
      </w:r>
      <w:r w:rsidR="00217AB4" w:rsidRPr="003F3B94">
        <w:rPr>
          <w:rFonts w:ascii="Abo-thar" w:hAnsi="Abo-thar" w:hint="cs"/>
          <w:sz w:val="28"/>
          <w:rtl/>
        </w:rPr>
        <w:t>:</w:t>
      </w:r>
      <w:r w:rsidR="00891167">
        <w:rPr>
          <w:rFonts w:hint="cs"/>
          <w:rtl/>
        </w:rPr>
        <w:t xml:space="preserve"> </w:t>
      </w:r>
      <w:r w:rsidR="00EF2588" w:rsidRPr="003F3B94">
        <w:rPr>
          <w:rFonts w:ascii="Abo-thar" w:hAnsi="Abo-thar" w:hint="cs"/>
          <w:sz w:val="28"/>
          <w:rtl/>
        </w:rPr>
        <w:t>«</w:t>
      </w:r>
      <w:r w:rsidRPr="003F3B94">
        <w:rPr>
          <w:rFonts w:ascii="Abo-thar" w:hAnsi="Abo-thar"/>
          <w:b/>
          <w:bCs/>
          <w:sz w:val="28"/>
          <w:rtl/>
        </w:rPr>
        <w:t>الَّذِي أَوْجَبْتُ فِي سَنَتِي هَذِهِ</w:t>
      </w:r>
      <w:r w:rsidR="00EF2588" w:rsidRPr="003F3B94">
        <w:rPr>
          <w:rFonts w:ascii="Abo-thar" w:hAnsi="Abo-thar" w:hint="cs"/>
          <w:sz w:val="28"/>
          <w:rtl/>
        </w:rPr>
        <w:t>»</w:t>
      </w:r>
      <w:r w:rsidR="00217AB4" w:rsidRPr="003F3B94">
        <w:rPr>
          <w:rFonts w:ascii="Abo-thar" w:hAnsi="Abo-thar" w:hint="cs"/>
          <w:sz w:val="28"/>
          <w:rtl/>
        </w:rPr>
        <w:t>.</w:t>
      </w:r>
    </w:p>
    <w:p w:rsidR="00F537D0" w:rsidRPr="00995B26" w:rsidRDefault="005C664D" w:rsidP="003F3B94">
      <w:pPr>
        <w:pStyle w:val="a0"/>
        <w:rPr>
          <w:rFonts w:hint="cs"/>
          <w:rtl/>
        </w:rPr>
      </w:pPr>
      <w:r w:rsidRPr="003F3B94">
        <w:rPr>
          <w:rFonts w:ascii="Abo-thar" w:hAnsi="Abo-thar" w:hint="cs"/>
          <w:sz w:val="28"/>
          <w:rtl/>
        </w:rPr>
        <w:t>ومن البعيد جداً أن تصدر مثل هذه العبارة عن إمام الهداية</w:t>
      </w:r>
      <w:r w:rsidR="00217AB4" w:rsidRPr="003F3B94">
        <w:rPr>
          <w:rFonts w:ascii="Abo-thar" w:hAnsi="Abo-thar" w:hint="cs"/>
          <w:sz w:val="28"/>
          <w:rtl/>
        </w:rPr>
        <w:t>!</w:t>
      </w:r>
      <w:r w:rsidRPr="003F3B94">
        <w:rPr>
          <w:rFonts w:ascii="Abo-thar" w:hAnsi="Abo-thar" w:hint="cs"/>
          <w:sz w:val="28"/>
          <w:rtl/>
        </w:rPr>
        <w:t xml:space="preserve"> وذلك لأن الإيجاب وفرض الطاعات</w:t>
      </w:r>
      <w:r w:rsidR="00217AB4" w:rsidRPr="003F3B94">
        <w:rPr>
          <w:rFonts w:ascii="Abo-thar" w:hAnsi="Abo-thar" w:hint="cs"/>
          <w:sz w:val="28"/>
          <w:rtl/>
        </w:rPr>
        <w:t>،</w:t>
      </w:r>
      <w:r w:rsidRPr="003F3B94">
        <w:rPr>
          <w:rFonts w:ascii="Abo-thar" w:hAnsi="Abo-thar" w:hint="cs"/>
          <w:sz w:val="28"/>
          <w:rtl/>
        </w:rPr>
        <w:t xml:space="preserve"> خاصة في السنة بعد السنة</w:t>
      </w:r>
      <w:r w:rsidR="00217AB4" w:rsidRPr="003F3B94">
        <w:rPr>
          <w:rFonts w:ascii="Abo-thar" w:hAnsi="Abo-thar" w:hint="cs"/>
          <w:sz w:val="28"/>
          <w:rtl/>
        </w:rPr>
        <w:t>،</w:t>
      </w:r>
      <w:r w:rsidRPr="003F3B94">
        <w:rPr>
          <w:rFonts w:ascii="Abo-thar" w:hAnsi="Abo-thar" w:hint="cs"/>
          <w:sz w:val="28"/>
          <w:rtl/>
        </w:rPr>
        <w:t xml:space="preserve"> إنما هو من شؤون ذات الباري تعالى وحده في حين أننا لا نجد في جميع الكتب السماوية عبارة بمثل هذا المضمون</w:t>
      </w:r>
      <w:r w:rsidR="00217AB4" w:rsidRPr="003F3B94">
        <w:rPr>
          <w:rFonts w:ascii="Abo-thar" w:hAnsi="Abo-thar" w:hint="cs"/>
          <w:sz w:val="28"/>
          <w:rtl/>
        </w:rPr>
        <w:t>!!!</w:t>
      </w:r>
      <w:r w:rsidRPr="003F3B94">
        <w:rPr>
          <w:rFonts w:ascii="Abo-thar" w:hAnsi="Abo-thar" w:hint="cs"/>
          <w:sz w:val="28"/>
          <w:rtl/>
        </w:rPr>
        <w:t xml:space="preserve"> وحتى لو كان الأمر قابلاً للنسخ فإنه لا يضاف للشهر أو للسنة</w:t>
      </w:r>
      <w:r w:rsidR="001E0DB7" w:rsidRPr="003F3B94">
        <w:rPr>
          <w:rFonts w:ascii="Abo-thar" w:hAnsi="Abo-thar" w:hint="cs"/>
          <w:sz w:val="28"/>
          <w:rtl/>
        </w:rPr>
        <w:t>،</w:t>
      </w:r>
      <w:r w:rsidRPr="003F3B94">
        <w:rPr>
          <w:rFonts w:ascii="Abo-thar" w:hAnsi="Abo-thar" w:hint="cs"/>
          <w:sz w:val="28"/>
          <w:rtl/>
        </w:rPr>
        <w:t xml:space="preserve"> كما جاء مثلاً بالنسبة إلى حكم النساء اللواتي يرتكبن الزنا حسب الآية الكريمة 15 من سورة النساء حيث يقول الحق تعالى</w:t>
      </w:r>
      <w:r w:rsidR="00217AB4" w:rsidRPr="003F3B94">
        <w:rPr>
          <w:rFonts w:ascii="Abo-thar" w:hAnsi="Abo-thar" w:hint="cs"/>
          <w:sz w:val="28"/>
          <w:rtl/>
        </w:rPr>
        <w:t>:</w:t>
      </w:r>
      <w:r w:rsidR="00B06788" w:rsidRPr="003F3B94">
        <w:rPr>
          <w:rFonts w:ascii="Abo-thar" w:hAnsi="Abo-thar" w:hint="cs"/>
          <w:sz w:val="28"/>
          <w:rtl/>
        </w:rPr>
        <w:t xml:space="preserve"> </w:t>
      </w:r>
    </w:p>
    <w:p w:rsidR="005C664D" w:rsidRPr="00255A16" w:rsidRDefault="00B06788" w:rsidP="004408B9">
      <w:pPr>
        <w:pStyle w:val="a0"/>
        <w:ind w:left="284" w:firstLine="0"/>
        <w:rPr>
          <w:rFonts w:hint="cs"/>
          <w:spacing w:val="-2"/>
          <w:rtl/>
        </w:rPr>
      </w:pPr>
      <w:r w:rsidRPr="00255A16">
        <w:rPr>
          <w:rFonts w:ascii="Abo-thar" w:hAnsi="Abo-thar" w:cs="Traditional Arabic" w:hint="cs"/>
          <w:spacing w:val="-2"/>
          <w:sz w:val="28"/>
          <w:rtl/>
        </w:rPr>
        <w:t>﴿</w:t>
      </w:r>
      <w:r w:rsidRPr="00255A16">
        <w:rPr>
          <w:rFonts w:ascii="KFGQPC Uthmanic Script HAFS" w:cs="KFGQPC Uthmanic Script HAFS" w:hint="eastAsia"/>
          <w:spacing w:val="-2"/>
          <w:sz w:val="28"/>
          <w:szCs w:val="28"/>
          <w:rtl/>
        </w:rPr>
        <w:t>وَ</w:t>
      </w:r>
      <w:r w:rsidRPr="00255A16">
        <w:rPr>
          <w:rFonts w:ascii="KFGQPC Uthmanic Script HAFS" w:cs="KFGQPC Uthmanic Script HAFS" w:hint="cs"/>
          <w:spacing w:val="-2"/>
          <w:sz w:val="28"/>
          <w:szCs w:val="28"/>
          <w:rtl/>
        </w:rPr>
        <w:t>ٱ</w:t>
      </w:r>
      <w:r w:rsidRPr="00255A16">
        <w:rPr>
          <w:rFonts w:ascii="KFGQPC Uthmanic Script HAFS" w:cs="KFGQPC Uthmanic Script HAFS" w:hint="eastAsia"/>
          <w:spacing w:val="-2"/>
          <w:sz w:val="28"/>
          <w:szCs w:val="28"/>
          <w:rtl/>
        </w:rPr>
        <w:t>لَّ</w:t>
      </w:r>
      <w:r w:rsidRPr="00255A16">
        <w:rPr>
          <w:rFonts w:ascii="KFGQPC Uthmanic Script HAFS" w:cs="KFGQPC Uthmanic Script HAFS" w:hint="cs"/>
          <w:spacing w:val="-2"/>
          <w:sz w:val="28"/>
          <w:szCs w:val="28"/>
          <w:rtl/>
        </w:rPr>
        <w:t>ٰ</w:t>
      </w:r>
      <w:r w:rsidRPr="00255A16">
        <w:rPr>
          <w:rFonts w:ascii="KFGQPC Uthmanic Script HAFS" w:cs="KFGQPC Uthmanic Script HAFS" w:hint="eastAsia"/>
          <w:spacing w:val="-2"/>
          <w:sz w:val="28"/>
          <w:szCs w:val="28"/>
          <w:rtl/>
        </w:rPr>
        <w:t>تِي</w:t>
      </w:r>
      <w:r w:rsidRPr="00255A16">
        <w:rPr>
          <w:rFonts w:ascii="KFGQPC Uthmanic Script HAFS" w:cs="KFGQPC Uthmanic Script HAFS"/>
          <w:spacing w:val="-2"/>
          <w:sz w:val="28"/>
          <w:szCs w:val="28"/>
          <w:rtl/>
        </w:rPr>
        <w:t xml:space="preserve"> </w:t>
      </w:r>
      <w:r w:rsidRPr="00255A16">
        <w:rPr>
          <w:rFonts w:ascii="KFGQPC Uthmanic Script HAFS" w:cs="KFGQPC Uthmanic Script HAFS" w:hint="eastAsia"/>
          <w:spacing w:val="-2"/>
          <w:sz w:val="28"/>
          <w:szCs w:val="28"/>
          <w:rtl/>
        </w:rPr>
        <w:t>يَأ</w:t>
      </w:r>
      <w:r w:rsidRPr="00255A16">
        <w:rPr>
          <w:rFonts w:ascii="KFGQPC Uthmanic Script HAFS" w:cs="KFGQPC Uthmanic Script HAFS" w:hint="cs"/>
          <w:spacing w:val="-2"/>
          <w:sz w:val="28"/>
          <w:szCs w:val="28"/>
          <w:rtl/>
        </w:rPr>
        <w:t>ۡ</w:t>
      </w:r>
      <w:r w:rsidRPr="00255A16">
        <w:rPr>
          <w:rFonts w:ascii="KFGQPC Uthmanic Script HAFS" w:cs="KFGQPC Uthmanic Script HAFS" w:hint="eastAsia"/>
          <w:spacing w:val="-2"/>
          <w:sz w:val="28"/>
          <w:szCs w:val="28"/>
          <w:rtl/>
        </w:rPr>
        <w:t>تِينَ</w:t>
      </w:r>
      <w:r w:rsidRPr="00255A16">
        <w:rPr>
          <w:rFonts w:ascii="KFGQPC Uthmanic Script HAFS" w:cs="KFGQPC Uthmanic Script HAFS"/>
          <w:spacing w:val="-2"/>
          <w:sz w:val="28"/>
          <w:szCs w:val="28"/>
          <w:rtl/>
        </w:rPr>
        <w:t xml:space="preserve"> </w:t>
      </w:r>
      <w:r w:rsidRPr="00255A16">
        <w:rPr>
          <w:rFonts w:ascii="KFGQPC Uthmanic Script HAFS" w:cs="KFGQPC Uthmanic Script HAFS" w:hint="cs"/>
          <w:spacing w:val="-2"/>
          <w:sz w:val="28"/>
          <w:szCs w:val="28"/>
          <w:rtl/>
        </w:rPr>
        <w:t>ٱ</w:t>
      </w:r>
      <w:r w:rsidRPr="00255A16">
        <w:rPr>
          <w:rFonts w:ascii="KFGQPC Uthmanic Script HAFS" w:cs="KFGQPC Uthmanic Script HAFS" w:hint="eastAsia"/>
          <w:spacing w:val="-2"/>
          <w:sz w:val="28"/>
          <w:szCs w:val="28"/>
          <w:rtl/>
        </w:rPr>
        <w:t>ل</w:t>
      </w:r>
      <w:r w:rsidRPr="00255A16">
        <w:rPr>
          <w:rFonts w:ascii="KFGQPC Uthmanic Script HAFS" w:cs="KFGQPC Uthmanic Script HAFS" w:hint="cs"/>
          <w:spacing w:val="-2"/>
          <w:sz w:val="28"/>
          <w:szCs w:val="28"/>
          <w:rtl/>
        </w:rPr>
        <w:t>ۡ</w:t>
      </w:r>
      <w:r w:rsidRPr="00255A16">
        <w:rPr>
          <w:rFonts w:ascii="KFGQPC Uthmanic Script HAFS" w:cs="KFGQPC Uthmanic Script HAFS" w:hint="eastAsia"/>
          <w:spacing w:val="-2"/>
          <w:sz w:val="28"/>
          <w:szCs w:val="28"/>
          <w:rtl/>
        </w:rPr>
        <w:t>فَ</w:t>
      </w:r>
      <w:r w:rsidRPr="00255A16">
        <w:rPr>
          <w:rFonts w:ascii="KFGQPC Uthmanic Script HAFS" w:cs="KFGQPC Uthmanic Script HAFS" w:hint="cs"/>
          <w:spacing w:val="-2"/>
          <w:sz w:val="28"/>
          <w:szCs w:val="28"/>
          <w:rtl/>
        </w:rPr>
        <w:t>ٰ</w:t>
      </w:r>
      <w:r w:rsidRPr="00255A16">
        <w:rPr>
          <w:rFonts w:ascii="KFGQPC Uthmanic Script HAFS" w:cs="KFGQPC Uthmanic Script HAFS" w:hint="eastAsia"/>
          <w:spacing w:val="-2"/>
          <w:sz w:val="28"/>
          <w:szCs w:val="28"/>
          <w:rtl/>
        </w:rPr>
        <w:t>حِشَةَ</w:t>
      </w:r>
      <w:r w:rsidRPr="00255A16">
        <w:rPr>
          <w:rFonts w:ascii="KFGQPC Uthmanic Script HAFS" w:cs="KFGQPC Uthmanic Script HAFS"/>
          <w:spacing w:val="-2"/>
          <w:sz w:val="28"/>
          <w:szCs w:val="28"/>
          <w:rtl/>
        </w:rPr>
        <w:t xml:space="preserve"> </w:t>
      </w:r>
      <w:r w:rsidRPr="00255A16">
        <w:rPr>
          <w:rFonts w:ascii="KFGQPC Uthmanic Script HAFS" w:cs="KFGQPC Uthmanic Script HAFS" w:hint="eastAsia"/>
          <w:spacing w:val="-2"/>
          <w:sz w:val="28"/>
          <w:szCs w:val="28"/>
          <w:rtl/>
        </w:rPr>
        <w:t>مِن</w:t>
      </w:r>
      <w:r w:rsidRPr="00255A16">
        <w:rPr>
          <w:rFonts w:ascii="KFGQPC Uthmanic Script HAFS" w:cs="KFGQPC Uthmanic Script HAFS"/>
          <w:spacing w:val="-2"/>
          <w:sz w:val="28"/>
          <w:szCs w:val="28"/>
          <w:rtl/>
        </w:rPr>
        <w:t xml:space="preserve"> </w:t>
      </w:r>
      <w:r w:rsidRPr="00255A16">
        <w:rPr>
          <w:rFonts w:ascii="KFGQPC Uthmanic Script HAFS" w:cs="KFGQPC Uthmanic Script HAFS" w:hint="eastAsia"/>
          <w:spacing w:val="-2"/>
          <w:sz w:val="28"/>
          <w:szCs w:val="28"/>
          <w:rtl/>
        </w:rPr>
        <w:t>نِّسَا</w:t>
      </w:r>
      <w:r w:rsidRPr="00255A16">
        <w:rPr>
          <w:rFonts w:ascii="KFGQPC Uthmanic Script HAFS" w:cs="KFGQPC Uthmanic Script HAFS" w:hint="cs"/>
          <w:spacing w:val="-2"/>
          <w:sz w:val="28"/>
          <w:szCs w:val="28"/>
          <w:rtl/>
        </w:rPr>
        <w:t>ٓ</w:t>
      </w:r>
      <w:r w:rsidRPr="00255A16">
        <w:rPr>
          <w:rFonts w:ascii="KFGQPC Uthmanic Script HAFS" w:cs="KFGQPC Uthmanic Script HAFS" w:hint="eastAsia"/>
          <w:spacing w:val="-2"/>
          <w:sz w:val="28"/>
          <w:szCs w:val="28"/>
          <w:rtl/>
        </w:rPr>
        <w:t>ئِكُم</w:t>
      </w:r>
      <w:r w:rsidRPr="00255A16">
        <w:rPr>
          <w:rFonts w:ascii="KFGQPC Uthmanic Script HAFS" w:cs="KFGQPC Uthmanic Script HAFS" w:hint="cs"/>
          <w:spacing w:val="-2"/>
          <w:sz w:val="28"/>
          <w:szCs w:val="28"/>
          <w:rtl/>
        </w:rPr>
        <w:t>ۡ</w:t>
      </w:r>
      <w:r w:rsidRPr="00255A16">
        <w:rPr>
          <w:rFonts w:ascii="KFGQPC Uthmanic Script HAFS" w:cs="KFGQPC Uthmanic Script HAFS"/>
          <w:spacing w:val="-2"/>
          <w:sz w:val="28"/>
          <w:szCs w:val="28"/>
          <w:rtl/>
        </w:rPr>
        <w:t xml:space="preserve"> </w:t>
      </w:r>
      <w:r w:rsidRPr="00255A16">
        <w:rPr>
          <w:rFonts w:ascii="KFGQPC Uthmanic Script HAFS" w:cs="KFGQPC Uthmanic Script HAFS" w:hint="eastAsia"/>
          <w:spacing w:val="-2"/>
          <w:sz w:val="28"/>
          <w:szCs w:val="28"/>
          <w:rtl/>
        </w:rPr>
        <w:t>فَ</w:t>
      </w:r>
      <w:r w:rsidRPr="00255A16">
        <w:rPr>
          <w:rFonts w:ascii="KFGQPC Uthmanic Script HAFS" w:cs="KFGQPC Uthmanic Script HAFS" w:hint="cs"/>
          <w:spacing w:val="-2"/>
          <w:sz w:val="28"/>
          <w:szCs w:val="28"/>
          <w:rtl/>
        </w:rPr>
        <w:t>ٱ</w:t>
      </w:r>
      <w:r w:rsidRPr="00255A16">
        <w:rPr>
          <w:rFonts w:ascii="KFGQPC Uthmanic Script HAFS" w:cs="KFGQPC Uthmanic Script HAFS" w:hint="eastAsia"/>
          <w:spacing w:val="-2"/>
          <w:sz w:val="28"/>
          <w:szCs w:val="28"/>
          <w:rtl/>
        </w:rPr>
        <w:t>س</w:t>
      </w:r>
      <w:r w:rsidRPr="00255A16">
        <w:rPr>
          <w:rFonts w:ascii="KFGQPC Uthmanic Script HAFS" w:cs="KFGQPC Uthmanic Script HAFS" w:hint="cs"/>
          <w:spacing w:val="-2"/>
          <w:sz w:val="28"/>
          <w:szCs w:val="28"/>
          <w:rtl/>
        </w:rPr>
        <w:t>ۡ</w:t>
      </w:r>
      <w:r w:rsidRPr="00255A16">
        <w:rPr>
          <w:rFonts w:ascii="KFGQPC Uthmanic Script HAFS" w:cs="KFGQPC Uthmanic Script HAFS" w:hint="eastAsia"/>
          <w:spacing w:val="-2"/>
          <w:sz w:val="28"/>
          <w:szCs w:val="28"/>
          <w:rtl/>
        </w:rPr>
        <w:t>تَش</w:t>
      </w:r>
      <w:r w:rsidRPr="00255A16">
        <w:rPr>
          <w:rFonts w:ascii="KFGQPC Uthmanic Script HAFS" w:cs="KFGQPC Uthmanic Script HAFS" w:hint="cs"/>
          <w:spacing w:val="-2"/>
          <w:sz w:val="28"/>
          <w:szCs w:val="28"/>
          <w:rtl/>
        </w:rPr>
        <w:t>ۡ</w:t>
      </w:r>
      <w:r w:rsidRPr="00255A16">
        <w:rPr>
          <w:rFonts w:ascii="KFGQPC Uthmanic Script HAFS" w:cs="KFGQPC Uthmanic Script HAFS" w:hint="eastAsia"/>
          <w:spacing w:val="-2"/>
          <w:sz w:val="28"/>
          <w:szCs w:val="28"/>
          <w:rtl/>
        </w:rPr>
        <w:t>هِدُواْ</w:t>
      </w:r>
      <w:r w:rsidRPr="00255A16">
        <w:rPr>
          <w:rFonts w:ascii="KFGQPC Uthmanic Script HAFS" w:cs="KFGQPC Uthmanic Script HAFS"/>
          <w:spacing w:val="-2"/>
          <w:sz w:val="28"/>
          <w:szCs w:val="28"/>
          <w:rtl/>
        </w:rPr>
        <w:t xml:space="preserve"> </w:t>
      </w:r>
      <w:r w:rsidRPr="00255A16">
        <w:rPr>
          <w:rFonts w:ascii="KFGQPC Uthmanic Script HAFS" w:cs="KFGQPC Uthmanic Script HAFS" w:hint="eastAsia"/>
          <w:spacing w:val="-2"/>
          <w:sz w:val="28"/>
          <w:szCs w:val="28"/>
          <w:rtl/>
        </w:rPr>
        <w:t>عَلَي</w:t>
      </w:r>
      <w:r w:rsidRPr="00255A16">
        <w:rPr>
          <w:rFonts w:ascii="KFGQPC Uthmanic Script HAFS" w:cs="KFGQPC Uthmanic Script HAFS" w:hint="cs"/>
          <w:spacing w:val="-2"/>
          <w:sz w:val="28"/>
          <w:szCs w:val="28"/>
          <w:rtl/>
        </w:rPr>
        <w:t>ۡ</w:t>
      </w:r>
      <w:r w:rsidRPr="00255A16">
        <w:rPr>
          <w:rFonts w:ascii="KFGQPC Uthmanic Script HAFS" w:cs="KFGQPC Uthmanic Script HAFS" w:hint="eastAsia"/>
          <w:spacing w:val="-2"/>
          <w:sz w:val="28"/>
          <w:szCs w:val="28"/>
          <w:rtl/>
        </w:rPr>
        <w:t>هِنَّ</w:t>
      </w:r>
      <w:r w:rsidRPr="00255A16">
        <w:rPr>
          <w:rFonts w:ascii="KFGQPC Uthmanic Script HAFS" w:cs="KFGQPC Uthmanic Script HAFS"/>
          <w:spacing w:val="-2"/>
          <w:sz w:val="28"/>
          <w:szCs w:val="28"/>
          <w:rtl/>
        </w:rPr>
        <w:t xml:space="preserve"> </w:t>
      </w:r>
      <w:r w:rsidRPr="00255A16">
        <w:rPr>
          <w:rFonts w:ascii="KFGQPC Uthmanic Script HAFS" w:cs="KFGQPC Uthmanic Script HAFS" w:hint="eastAsia"/>
          <w:spacing w:val="-2"/>
          <w:sz w:val="28"/>
          <w:szCs w:val="28"/>
          <w:rtl/>
        </w:rPr>
        <w:t>أَر</w:t>
      </w:r>
      <w:r w:rsidRPr="00255A16">
        <w:rPr>
          <w:rFonts w:ascii="KFGQPC Uthmanic Script HAFS" w:cs="KFGQPC Uthmanic Script HAFS" w:hint="cs"/>
          <w:spacing w:val="-2"/>
          <w:sz w:val="28"/>
          <w:szCs w:val="28"/>
          <w:rtl/>
        </w:rPr>
        <w:t>ۡ</w:t>
      </w:r>
      <w:r w:rsidRPr="00255A16">
        <w:rPr>
          <w:rFonts w:ascii="KFGQPC Uthmanic Script HAFS" w:cs="KFGQPC Uthmanic Script HAFS" w:hint="eastAsia"/>
          <w:spacing w:val="-2"/>
          <w:sz w:val="28"/>
          <w:szCs w:val="28"/>
          <w:rtl/>
        </w:rPr>
        <w:t>بَعَة</w:t>
      </w:r>
      <w:r w:rsidRPr="00255A16">
        <w:rPr>
          <w:rFonts w:ascii="KFGQPC Uthmanic Script HAFS" w:cs="KFGQPC Uthmanic Script HAFS" w:hint="cs"/>
          <w:spacing w:val="-2"/>
          <w:sz w:val="28"/>
          <w:szCs w:val="28"/>
          <w:rtl/>
        </w:rPr>
        <w:t>ٗ</w:t>
      </w:r>
      <w:r w:rsidRPr="00255A16">
        <w:rPr>
          <w:rFonts w:ascii="KFGQPC Uthmanic Script HAFS" w:cs="KFGQPC Uthmanic Script HAFS"/>
          <w:spacing w:val="-2"/>
          <w:sz w:val="28"/>
          <w:szCs w:val="28"/>
          <w:rtl/>
        </w:rPr>
        <w:t xml:space="preserve"> </w:t>
      </w:r>
      <w:r w:rsidRPr="00255A16">
        <w:rPr>
          <w:rFonts w:ascii="KFGQPC Uthmanic Script HAFS" w:cs="KFGQPC Uthmanic Script HAFS" w:hint="eastAsia"/>
          <w:spacing w:val="-2"/>
          <w:sz w:val="28"/>
          <w:szCs w:val="28"/>
          <w:rtl/>
        </w:rPr>
        <w:t>مِّنكُم</w:t>
      </w:r>
      <w:r w:rsidRPr="00255A16">
        <w:rPr>
          <w:rFonts w:ascii="KFGQPC Uthmanic Script HAFS" w:cs="KFGQPC Uthmanic Script HAFS" w:hint="cs"/>
          <w:spacing w:val="-2"/>
          <w:sz w:val="28"/>
          <w:szCs w:val="28"/>
          <w:rtl/>
        </w:rPr>
        <w:t>ۡۖ</w:t>
      </w:r>
      <w:r w:rsidRPr="00255A16">
        <w:rPr>
          <w:rFonts w:ascii="KFGQPC Uthmanic Script HAFS" w:cs="KFGQPC Uthmanic Script HAFS"/>
          <w:spacing w:val="-2"/>
          <w:sz w:val="28"/>
          <w:szCs w:val="28"/>
          <w:rtl/>
        </w:rPr>
        <w:t xml:space="preserve"> </w:t>
      </w:r>
      <w:r w:rsidRPr="00255A16">
        <w:rPr>
          <w:rFonts w:ascii="KFGQPC Uthmanic Script HAFS" w:cs="KFGQPC Uthmanic Script HAFS" w:hint="eastAsia"/>
          <w:spacing w:val="-2"/>
          <w:sz w:val="28"/>
          <w:szCs w:val="28"/>
          <w:rtl/>
        </w:rPr>
        <w:t>فَإِن</w:t>
      </w:r>
      <w:r w:rsidRPr="00255A16">
        <w:rPr>
          <w:rFonts w:ascii="KFGQPC Uthmanic Script HAFS" w:cs="KFGQPC Uthmanic Script HAFS"/>
          <w:spacing w:val="-2"/>
          <w:sz w:val="28"/>
          <w:szCs w:val="28"/>
          <w:rtl/>
        </w:rPr>
        <w:t xml:space="preserve"> </w:t>
      </w:r>
      <w:r w:rsidRPr="00255A16">
        <w:rPr>
          <w:rFonts w:ascii="KFGQPC Uthmanic Script HAFS" w:cs="KFGQPC Uthmanic Script HAFS" w:hint="eastAsia"/>
          <w:spacing w:val="-2"/>
          <w:sz w:val="28"/>
          <w:szCs w:val="28"/>
          <w:rtl/>
        </w:rPr>
        <w:t>شَهِدُواْ</w:t>
      </w:r>
      <w:r w:rsidRPr="00255A16">
        <w:rPr>
          <w:rFonts w:ascii="KFGQPC Uthmanic Script HAFS" w:cs="KFGQPC Uthmanic Script HAFS"/>
          <w:spacing w:val="-2"/>
          <w:sz w:val="28"/>
          <w:szCs w:val="28"/>
          <w:rtl/>
        </w:rPr>
        <w:t xml:space="preserve"> </w:t>
      </w:r>
      <w:r w:rsidRPr="00255A16">
        <w:rPr>
          <w:rFonts w:ascii="KFGQPC Uthmanic Script HAFS" w:cs="KFGQPC Uthmanic Script HAFS" w:hint="eastAsia"/>
          <w:spacing w:val="-2"/>
          <w:sz w:val="28"/>
          <w:szCs w:val="28"/>
          <w:rtl/>
        </w:rPr>
        <w:t>فَأَم</w:t>
      </w:r>
      <w:r w:rsidRPr="00255A16">
        <w:rPr>
          <w:rFonts w:ascii="KFGQPC Uthmanic Script HAFS" w:cs="KFGQPC Uthmanic Script HAFS" w:hint="cs"/>
          <w:spacing w:val="-2"/>
          <w:sz w:val="28"/>
          <w:szCs w:val="28"/>
          <w:rtl/>
        </w:rPr>
        <w:t>ۡ</w:t>
      </w:r>
      <w:r w:rsidRPr="00255A16">
        <w:rPr>
          <w:rFonts w:ascii="KFGQPC Uthmanic Script HAFS" w:cs="KFGQPC Uthmanic Script HAFS" w:hint="eastAsia"/>
          <w:spacing w:val="-2"/>
          <w:sz w:val="28"/>
          <w:szCs w:val="28"/>
          <w:rtl/>
        </w:rPr>
        <w:t>سِكُوهُنَّ</w:t>
      </w:r>
      <w:r w:rsidRPr="00255A16">
        <w:rPr>
          <w:rFonts w:ascii="KFGQPC Uthmanic Script HAFS" w:cs="KFGQPC Uthmanic Script HAFS"/>
          <w:spacing w:val="-2"/>
          <w:sz w:val="28"/>
          <w:szCs w:val="28"/>
          <w:rtl/>
        </w:rPr>
        <w:t xml:space="preserve"> </w:t>
      </w:r>
      <w:r w:rsidRPr="00255A16">
        <w:rPr>
          <w:rFonts w:ascii="KFGQPC Uthmanic Script HAFS" w:cs="KFGQPC Uthmanic Script HAFS" w:hint="eastAsia"/>
          <w:spacing w:val="-2"/>
          <w:sz w:val="28"/>
          <w:szCs w:val="28"/>
          <w:rtl/>
        </w:rPr>
        <w:t>فِي</w:t>
      </w:r>
      <w:r w:rsidRPr="00255A16">
        <w:rPr>
          <w:rFonts w:ascii="KFGQPC Uthmanic Script HAFS" w:cs="KFGQPC Uthmanic Script HAFS"/>
          <w:spacing w:val="-2"/>
          <w:sz w:val="28"/>
          <w:szCs w:val="28"/>
          <w:rtl/>
        </w:rPr>
        <w:t xml:space="preserve"> </w:t>
      </w:r>
      <w:r w:rsidRPr="00255A16">
        <w:rPr>
          <w:rFonts w:ascii="KFGQPC Uthmanic Script HAFS" w:cs="KFGQPC Uthmanic Script HAFS" w:hint="cs"/>
          <w:spacing w:val="-2"/>
          <w:sz w:val="28"/>
          <w:szCs w:val="28"/>
          <w:rtl/>
        </w:rPr>
        <w:t>ٱ</w:t>
      </w:r>
      <w:r w:rsidRPr="00255A16">
        <w:rPr>
          <w:rFonts w:ascii="KFGQPC Uthmanic Script HAFS" w:cs="KFGQPC Uthmanic Script HAFS" w:hint="eastAsia"/>
          <w:spacing w:val="-2"/>
          <w:sz w:val="28"/>
          <w:szCs w:val="28"/>
          <w:rtl/>
        </w:rPr>
        <w:t>ل</w:t>
      </w:r>
      <w:r w:rsidRPr="00255A16">
        <w:rPr>
          <w:rFonts w:ascii="KFGQPC Uthmanic Script HAFS" w:cs="KFGQPC Uthmanic Script HAFS" w:hint="cs"/>
          <w:spacing w:val="-2"/>
          <w:sz w:val="28"/>
          <w:szCs w:val="28"/>
          <w:rtl/>
        </w:rPr>
        <w:t>ۡ</w:t>
      </w:r>
      <w:r w:rsidRPr="00255A16">
        <w:rPr>
          <w:rFonts w:ascii="KFGQPC Uthmanic Script HAFS" w:cs="KFGQPC Uthmanic Script HAFS" w:hint="eastAsia"/>
          <w:spacing w:val="-2"/>
          <w:sz w:val="28"/>
          <w:szCs w:val="28"/>
          <w:rtl/>
        </w:rPr>
        <w:t>بُيُوتِ</w:t>
      </w:r>
      <w:r w:rsidRPr="00255A16">
        <w:rPr>
          <w:rFonts w:ascii="KFGQPC Uthmanic Script HAFS" w:cs="KFGQPC Uthmanic Script HAFS"/>
          <w:spacing w:val="-2"/>
          <w:sz w:val="28"/>
          <w:szCs w:val="28"/>
          <w:rtl/>
        </w:rPr>
        <w:t xml:space="preserve"> </w:t>
      </w:r>
      <w:r w:rsidRPr="00255A16">
        <w:rPr>
          <w:rFonts w:ascii="KFGQPC Uthmanic Script HAFS" w:cs="KFGQPC Uthmanic Script HAFS" w:hint="eastAsia"/>
          <w:spacing w:val="-2"/>
          <w:sz w:val="28"/>
          <w:szCs w:val="28"/>
          <w:rtl/>
        </w:rPr>
        <w:t>حَتَّى</w:t>
      </w:r>
      <w:r w:rsidRPr="00255A16">
        <w:rPr>
          <w:rFonts w:ascii="KFGQPC Uthmanic Script HAFS" w:cs="KFGQPC Uthmanic Script HAFS" w:hint="cs"/>
          <w:spacing w:val="-2"/>
          <w:sz w:val="28"/>
          <w:szCs w:val="28"/>
          <w:rtl/>
        </w:rPr>
        <w:t>ٰ</w:t>
      </w:r>
      <w:r w:rsidRPr="00255A16">
        <w:rPr>
          <w:rFonts w:ascii="KFGQPC Uthmanic Script HAFS" w:cs="KFGQPC Uthmanic Script HAFS"/>
          <w:spacing w:val="-2"/>
          <w:sz w:val="28"/>
          <w:szCs w:val="28"/>
          <w:rtl/>
        </w:rPr>
        <w:t xml:space="preserve"> </w:t>
      </w:r>
      <w:r w:rsidRPr="00255A16">
        <w:rPr>
          <w:rFonts w:ascii="KFGQPC Uthmanic Script HAFS" w:cs="KFGQPC Uthmanic Script HAFS" w:hint="eastAsia"/>
          <w:spacing w:val="-2"/>
          <w:sz w:val="28"/>
          <w:szCs w:val="28"/>
          <w:rtl/>
        </w:rPr>
        <w:t>يَتَوَفَّى</w:t>
      </w:r>
      <w:r w:rsidRPr="00255A16">
        <w:rPr>
          <w:rFonts w:ascii="KFGQPC Uthmanic Script HAFS" w:cs="KFGQPC Uthmanic Script HAFS" w:hint="cs"/>
          <w:spacing w:val="-2"/>
          <w:sz w:val="28"/>
          <w:szCs w:val="28"/>
          <w:rtl/>
        </w:rPr>
        <w:t>ٰ</w:t>
      </w:r>
      <w:r w:rsidRPr="00255A16">
        <w:rPr>
          <w:rFonts w:ascii="KFGQPC Uthmanic Script HAFS" w:cs="KFGQPC Uthmanic Script HAFS" w:hint="eastAsia"/>
          <w:spacing w:val="-2"/>
          <w:sz w:val="28"/>
          <w:szCs w:val="28"/>
          <w:rtl/>
        </w:rPr>
        <w:t>هُنَّ</w:t>
      </w:r>
      <w:r w:rsidRPr="00255A16">
        <w:rPr>
          <w:rFonts w:ascii="KFGQPC Uthmanic Script HAFS" w:cs="KFGQPC Uthmanic Script HAFS"/>
          <w:spacing w:val="-2"/>
          <w:sz w:val="28"/>
          <w:szCs w:val="28"/>
          <w:rtl/>
        </w:rPr>
        <w:t xml:space="preserve"> </w:t>
      </w:r>
      <w:r w:rsidRPr="00255A16">
        <w:rPr>
          <w:rFonts w:ascii="KFGQPC Uthmanic Script HAFS" w:cs="KFGQPC Uthmanic Script HAFS" w:hint="cs"/>
          <w:spacing w:val="-2"/>
          <w:sz w:val="28"/>
          <w:szCs w:val="28"/>
          <w:rtl/>
        </w:rPr>
        <w:t>ٱ</w:t>
      </w:r>
      <w:r w:rsidRPr="00255A16">
        <w:rPr>
          <w:rFonts w:ascii="KFGQPC Uthmanic Script HAFS" w:cs="KFGQPC Uthmanic Script HAFS" w:hint="eastAsia"/>
          <w:spacing w:val="-2"/>
          <w:sz w:val="28"/>
          <w:szCs w:val="28"/>
          <w:rtl/>
        </w:rPr>
        <w:t>ل</w:t>
      </w:r>
      <w:r w:rsidRPr="00255A16">
        <w:rPr>
          <w:rFonts w:ascii="KFGQPC Uthmanic Script HAFS" w:cs="KFGQPC Uthmanic Script HAFS" w:hint="cs"/>
          <w:spacing w:val="-2"/>
          <w:sz w:val="28"/>
          <w:szCs w:val="28"/>
          <w:rtl/>
        </w:rPr>
        <w:t>ۡ</w:t>
      </w:r>
      <w:r w:rsidRPr="00255A16">
        <w:rPr>
          <w:rFonts w:ascii="KFGQPC Uthmanic Script HAFS" w:cs="KFGQPC Uthmanic Script HAFS" w:hint="eastAsia"/>
          <w:spacing w:val="-2"/>
          <w:sz w:val="28"/>
          <w:szCs w:val="28"/>
          <w:rtl/>
        </w:rPr>
        <w:t>مَو</w:t>
      </w:r>
      <w:r w:rsidRPr="00255A16">
        <w:rPr>
          <w:rFonts w:ascii="KFGQPC Uthmanic Script HAFS" w:cs="KFGQPC Uthmanic Script HAFS" w:hint="cs"/>
          <w:spacing w:val="-2"/>
          <w:sz w:val="28"/>
          <w:szCs w:val="28"/>
          <w:rtl/>
        </w:rPr>
        <w:t>ۡ</w:t>
      </w:r>
      <w:r w:rsidRPr="00255A16">
        <w:rPr>
          <w:rFonts w:ascii="KFGQPC Uthmanic Script HAFS" w:cs="KFGQPC Uthmanic Script HAFS" w:hint="eastAsia"/>
          <w:spacing w:val="-2"/>
          <w:sz w:val="28"/>
          <w:szCs w:val="28"/>
          <w:rtl/>
        </w:rPr>
        <w:t>تُ</w:t>
      </w:r>
      <w:r w:rsidRPr="00255A16">
        <w:rPr>
          <w:rFonts w:ascii="KFGQPC Uthmanic Script HAFS" w:cs="KFGQPC Uthmanic Script HAFS"/>
          <w:spacing w:val="-2"/>
          <w:sz w:val="28"/>
          <w:szCs w:val="28"/>
          <w:rtl/>
        </w:rPr>
        <w:t xml:space="preserve"> </w:t>
      </w:r>
      <w:r w:rsidRPr="00255A16">
        <w:rPr>
          <w:rFonts w:ascii="KFGQPC Uthmanic Script HAFS" w:cs="KFGQPC Uthmanic Script HAFS" w:hint="eastAsia"/>
          <w:spacing w:val="-2"/>
          <w:sz w:val="28"/>
          <w:szCs w:val="28"/>
          <w:rtl/>
        </w:rPr>
        <w:t>أَو</w:t>
      </w:r>
      <w:r w:rsidRPr="00255A16">
        <w:rPr>
          <w:rFonts w:ascii="KFGQPC Uthmanic Script HAFS" w:cs="KFGQPC Uthmanic Script HAFS" w:hint="cs"/>
          <w:spacing w:val="-2"/>
          <w:sz w:val="28"/>
          <w:szCs w:val="28"/>
          <w:rtl/>
        </w:rPr>
        <w:t>ۡ</w:t>
      </w:r>
      <w:r w:rsidRPr="00255A16">
        <w:rPr>
          <w:rFonts w:ascii="KFGQPC Uthmanic Script HAFS" w:cs="KFGQPC Uthmanic Script HAFS"/>
          <w:spacing w:val="-2"/>
          <w:sz w:val="28"/>
          <w:szCs w:val="28"/>
          <w:rtl/>
        </w:rPr>
        <w:t xml:space="preserve"> </w:t>
      </w:r>
      <w:r w:rsidRPr="00255A16">
        <w:rPr>
          <w:rFonts w:ascii="KFGQPC Uthmanic Script HAFS" w:cs="KFGQPC Uthmanic Script HAFS" w:hint="eastAsia"/>
          <w:spacing w:val="-2"/>
          <w:sz w:val="28"/>
          <w:szCs w:val="28"/>
          <w:rtl/>
        </w:rPr>
        <w:t>يَج</w:t>
      </w:r>
      <w:r w:rsidRPr="00255A16">
        <w:rPr>
          <w:rFonts w:ascii="KFGQPC Uthmanic Script HAFS" w:cs="KFGQPC Uthmanic Script HAFS" w:hint="cs"/>
          <w:spacing w:val="-2"/>
          <w:sz w:val="28"/>
          <w:szCs w:val="28"/>
          <w:rtl/>
        </w:rPr>
        <w:t>ۡ</w:t>
      </w:r>
      <w:r w:rsidRPr="00255A16">
        <w:rPr>
          <w:rFonts w:ascii="KFGQPC Uthmanic Script HAFS" w:cs="KFGQPC Uthmanic Script HAFS" w:hint="eastAsia"/>
          <w:spacing w:val="-2"/>
          <w:sz w:val="28"/>
          <w:szCs w:val="28"/>
          <w:rtl/>
        </w:rPr>
        <w:t>عَلَ</w:t>
      </w:r>
      <w:r w:rsidRPr="00255A16">
        <w:rPr>
          <w:rFonts w:ascii="KFGQPC Uthmanic Script HAFS" w:cs="KFGQPC Uthmanic Script HAFS"/>
          <w:spacing w:val="-2"/>
          <w:sz w:val="28"/>
          <w:szCs w:val="28"/>
          <w:rtl/>
        </w:rPr>
        <w:t xml:space="preserve"> </w:t>
      </w:r>
      <w:r w:rsidRPr="00255A16">
        <w:rPr>
          <w:rFonts w:ascii="KFGQPC Uthmanic Script HAFS" w:cs="KFGQPC Uthmanic Script HAFS" w:hint="cs"/>
          <w:spacing w:val="-2"/>
          <w:sz w:val="28"/>
          <w:szCs w:val="28"/>
          <w:rtl/>
        </w:rPr>
        <w:t>ٱ</w:t>
      </w:r>
      <w:r w:rsidRPr="00255A16">
        <w:rPr>
          <w:rFonts w:ascii="KFGQPC Uthmanic Script HAFS" w:cs="KFGQPC Uthmanic Script HAFS" w:hint="eastAsia"/>
          <w:spacing w:val="-2"/>
          <w:sz w:val="28"/>
          <w:szCs w:val="28"/>
          <w:rtl/>
        </w:rPr>
        <w:t>للَّهُ</w:t>
      </w:r>
      <w:r w:rsidRPr="00255A16">
        <w:rPr>
          <w:rFonts w:ascii="KFGQPC Uthmanic Script HAFS" w:cs="KFGQPC Uthmanic Script HAFS"/>
          <w:spacing w:val="-2"/>
          <w:sz w:val="28"/>
          <w:szCs w:val="28"/>
          <w:rtl/>
        </w:rPr>
        <w:t xml:space="preserve"> </w:t>
      </w:r>
      <w:r w:rsidRPr="00255A16">
        <w:rPr>
          <w:rFonts w:ascii="KFGQPC Uthmanic Script HAFS" w:cs="KFGQPC Uthmanic Script HAFS" w:hint="eastAsia"/>
          <w:spacing w:val="-2"/>
          <w:sz w:val="28"/>
          <w:szCs w:val="28"/>
          <w:rtl/>
        </w:rPr>
        <w:t>لَهُنَّ</w:t>
      </w:r>
      <w:r w:rsidRPr="00255A16">
        <w:rPr>
          <w:rFonts w:ascii="KFGQPC Uthmanic Script HAFS" w:cs="KFGQPC Uthmanic Script HAFS"/>
          <w:spacing w:val="-2"/>
          <w:sz w:val="28"/>
          <w:szCs w:val="28"/>
          <w:rtl/>
        </w:rPr>
        <w:t xml:space="preserve"> </w:t>
      </w:r>
      <w:r w:rsidRPr="00255A16">
        <w:rPr>
          <w:rFonts w:ascii="KFGQPC Uthmanic Script HAFS" w:cs="KFGQPC Uthmanic Script HAFS" w:hint="eastAsia"/>
          <w:spacing w:val="-2"/>
          <w:sz w:val="28"/>
          <w:szCs w:val="28"/>
          <w:rtl/>
        </w:rPr>
        <w:t>سَبِيل</w:t>
      </w:r>
      <w:r w:rsidRPr="00255A16">
        <w:rPr>
          <w:rFonts w:ascii="KFGQPC Uthmanic Script HAFS" w:cs="KFGQPC Uthmanic Script HAFS" w:hint="cs"/>
          <w:spacing w:val="-2"/>
          <w:sz w:val="28"/>
          <w:szCs w:val="28"/>
          <w:rtl/>
        </w:rPr>
        <w:t>ٗ</w:t>
      </w:r>
      <w:r w:rsidRPr="00255A16">
        <w:rPr>
          <w:rFonts w:ascii="KFGQPC Uthmanic Script HAFS" w:cs="KFGQPC Uthmanic Script HAFS" w:hint="eastAsia"/>
          <w:spacing w:val="-2"/>
          <w:sz w:val="28"/>
          <w:szCs w:val="28"/>
          <w:rtl/>
        </w:rPr>
        <w:t>ا</w:t>
      </w:r>
      <w:r w:rsidRPr="00255A16">
        <w:rPr>
          <w:rFonts w:ascii="KFGQPC Uthmanic Script HAFS" w:cs="KFGQPC Uthmanic Script HAFS"/>
          <w:spacing w:val="-2"/>
          <w:sz w:val="28"/>
          <w:szCs w:val="28"/>
          <w:rtl/>
        </w:rPr>
        <w:t xml:space="preserve"> </w:t>
      </w:r>
      <w:r w:rsidRPr="00255A16">
        <w:rPr>
          <w:rFonts w:ascii="KFGQPC Uthmanic Script HAFS" w:cs="KFGQPC Uthmanic Script HAFS" w:hint="cs"/>
          <w:spacing w:val="-2"/>
          <w:sz w:val="28"/>
          <w:szCs w:val="28"/>
          <w:rtl/>
        </w:rPr>
        <w:t>١٥</w:t>
      </w:r>
      <w:r w:rsidRPr="00255A16">
        <w:rPr>
          <w:rFonts w:ascii="Abo-thar" w:hAnsi="Abo-thar" w:cs="Traditional Arabic" w:hint="cs"/>
          <w:spacing w:val="-2"/>
          <w:sz w:val="28"/>
          <w:rtl/>
        </w:rPr>
        <w:t>﴾</w:t>
      </w:r>
      <w:r w:rsidR="005C664D" w:rsidRPr="00255A16">
        <w:rPr>
          <w:rFonts w:ascii="Abo-thar" w:hAnsi="Abo-thar"/>
          <w:spacing w:val="-2"/>
          <w:sz w:val="28"/>
          <w:rtl/>
        </w:rPr>
        <w:t xml:space="preserve"> </w:t>
      </w:r>
      <w:r w:rsidRPr="00255A16">
        <w:rPr>
          <w:rStyle w:val="Char2"/>
          <w:rFonts w:hint="cs"/>
          <w:spacing w:val="-2"/>
          <w:rtl/>
        </w:rPr>
        <w:t>[</w:t>
      </w:r>
      <w:r w:rsidR="005C664D" w:rsidRPr="00255A16">
        <w:rPr>
          <w:rStyle w:val="Char2"/>
          <w:spacing w:val="-2"/>
          <w:rtl/>
        </w:rPr>
        <w:t>النساء</w:t>
      </w:r>
      <w:r w:rsidRPr="00255A16">
        <w:rPr>
          <w:rStyle w:val="Char2"/>
          <w:rFonts w:hint="cs"/>
          <w:spacing w:val="-2"/>
          <w:rtl/>
        </w:rPr>
        <w:t xml:space="preserve">: </w:t>
      </w:r>
      <w:r w:rsidR="005C664D" w:rsidRPr="00255A16">
        <w:rPr>
          <w:rStyle w:val="Char2"/>
          <w:spacing w:val="-2"/>
          <w:rtl/>
        </w:rPr>
        <w:t>15</w:t>
      </w:r>
      <w:r w:rsidRPr="00255A16">
        <w:rPr>
          <w:rStyle w:val="Char2"/>
          <w:rFonts w:hint="cs"/>
          <w:spacing w:val="-2"/>
          <w:rtl/>
        </w:rPr>
        <w:t>]</w:t>
      </w:r>
      <w:r w:rsidR="00217AB4" w:rsidRPr="00255A16">
        <w:rPr>
          <w:rFonts w:ascii="Abo-thar" w:hAnsi="Abo-thar"/>
          <w:spacing w:val="-2"/>
          <w:sz w:val="28"/>
          <w:rtl/>
        </w:rPr>
        <w:t>.</w:t>
      </w:r>
      <w:r w:rsidR="005C664D" w:rsidRPr="00255A16">
        <w:rPr>
          <w:rFonts w:ascii="Abo-thar" w:hAnsi="Abo-thar" w:hint="cs"/>
          <w:spacing w:val="-2"/>
          <w:sz w:val="28"/>
          <w:rtl/>
        </w:rPr>
        <w:t xml:space="preserve"> </w:t>
      </w:r>
    </w:p>
    <w:p w:rsidR="00F537D0" w:rsidRPr="00995B26" w:rsidRDefault="005C664D" w:rsidP="003F3B94">
      <w:pPr>
        <w:pStyle w:val="a0"/>
        <w:rPr>
          <w:rFonts w:hint="cs"/>
          <w:rtl/>
        </w:rPr>
      </w:pPr>
      <w:r w:rsidRPr="003F3B94">
        <w:rPr>
          <w:rFonts w:ascii="Abo-thar" w:hAnsi="Abo-thar" w:hint="cs"/>
          <w:sz w:val="28"/>
          <w:rtl/>
        </w:rPr>
        <w:t>حيث دلت الآية الكريمة على أن إمساكهن وحبسهن في البيوت كان عقاباً مؤقتاً إلى أن ينزل الله تعالى بشأنهن حكماً آخر وهو ما أنزله تعالى فيما بعد في سورة النور من قوله</w:t>
      </w:r>
      <w:r w:rsidR="00217AB4" w:rsidRPr="003F3B94">
        <w:rPr>
          <w:rFonts w:ascii="Abo-thar" w:hAnsi="Abo-thar" w:hint="cs"/>
          <w:sz w:val="28"/>
          <w:rtl/>
        </w:rPr>
        <w:t>:</w:t>
      </w:r>
    </w:p>
    <w:p w:rsidR="005C664D" w:rsidRPr="003F3B94" w:rsidRDefault="00B06788" w:rsidP="003F3B94">
      <w:pPr>
        <w:pStyle w:val="a0"/>
        <w:rPr>
          <w:rFonts w:hint="cs"/>
          <w:rtl/>
        </w:rPr>
      </w:pPr>
      <w:r w:rsidRPr="00995B26">
        <w:rPr>
          <w:rFonts w:ascii="Abo-thar" w:hAnsi="Abo-thar" w:cs="Traditional Arabic" w:hint="cs"/>
          <w:sz w:val="28"/>
          <w:rtl/>
        </w:rPr>
        <w:t>﴿</w:t>
      </w:r>
      <w:r w:rsidRPr="0067048A">
        <w:rPr>
          <w:rFonts w:ascii="KFGQPC Uthmanic Script HAFS" w:cs="KFGQPC Uthmanic Script HAFS" w:hint="cs"/>
          <w:sz w:val="28"/>
          <w:szCs w:val="28"/>
          <w:rtl/>
        </w:rPr>
        <w:t>ٱ</w:t>
      </w:r>
      <w:r w:rsidRPr="0067048A">
        <w:rPr>
          <w:rFonts w:ascii="KFGQPC Uthmanic Script HAFS" w:cs="KFGQPC Uthmanic Script HAFS" w:hint="eastAsia"/>
          <w:sz w:val="28"/>
          <w:szCs w:val="28"/>
          <w:rtl/>
        </w:rPr>
        <w:t>لزَّانِيَةُ</w:t>
      </w:r>
      <w:r w:rsidRPr="0067048A">
        <w:rPr>
          <w:rFonts w:ascii="KFGQPC Uthmanic Script HAFS" w:cs="KFGQPC Uthmanic Script HAFS"/>
          <w:sz w:val="28"/>
          <w:szCs w:val="28"/>
          <w:rtl/>
        </w:rPr>
        <w:t xml:space="preserve"> </w:t>
      </w:r>
      <w:r w:rsidRPr="0067048A">
        <w:rPr>
          <w:rFonts w:ascii="KFGQPC Uthmanic Script HAFS" w:cs="KFGQPC Uthmanic Script HAFS" w:hint="eastAsia"/>
          <w:sz w:val="28"/>
          <w:szCs w:val="28"/>
          <w:rtl/>
        </w:rPr>
        <w:t>وَ</w:t>
      </w:r>
      <w:r w:rsidRPr="0067048A">
        <w:rPr>
          <w:rFonts w:ascii="KFGQPC Uthmanic Script HAFS" w:cs="KFGQPC Uthmanic Script HAFS" w:hint="cs"/>
          <w:sz w:val="28"/>
          <w:szCs w:val="28"/>
          <w:rtl/>
        </w:rPr>
        <w:t>ٱ</w:t>
      </w:r>
      <w:r w:rsidRPr="0067048A">
        <w:rPr>
          <w:rFonts w:ascii="KFGQPC Uthmanic Script HAFS" w:cs="KFGQPC Uthmanic Script HAFS" w:hint="eastAsia"/>
          <w:sz w:val="28"/>
          <w:szCs w:val="28"/>
          <w:rtl/>
        </w:rPr>
        <w:t>لزَّانِي</w:t>
      </w:r>
      <w:r w:rsidRPr="0067048A">
        <w:rPr>
          <w:rFonts w:ascii="KFGQPC Uthmanic Script HAFS" w:cs="KFGQPC Uthmanic Script HAFS"/>
          <w:sz w:val="28"/>
          <w:szCs w:val="28"/>
          <w:rtl/>
        </w:rPr>
        <w:t xml:space="preserve"> </w:t>
      </w:r>
      <w:r w:rsidRPr="0067048A">
        <w:rPr>
          <w:rFonts w:ascii="KFGQPC Uthmanic Script HAFS" w:cs="KFGQPC Uthmanic Script HAFS" w:hint="eastAsia"/>
          <w:sz w:val="28"/>
          <w:szCs w:val="28"/>
          <w:rtl/>
        </w:rPr>
        <w:t>فَ</w:t>
      </w:r>
      <w:r w:rsidRPr="0067048A">
        <w:rPr>
          <w:rFonts w:ascii="KFGQPC Uthmanic Script HAFS" w:cs="KFGQPC Uthmanic Script HAFS" w:hint="cs"/>
          <w:sz w:val="28"/>
          <w:szCs w:val="28"/>
          <w:rtl/>
        </w:rPr>
        <w:t>ٱ</w:t>
      </w:r>
      <w:r w:rsidRPr="0067048A">
        <w:rPr>
          <w:rFonts w:ascii="KFGQPC Uthmanic Script HAFS" w:cs="KFGQPC Uthmanic Script HAFS" w:hint="eastAsia"/>
          <w:sz w:val="28"/>
          <w:szCs w:val="28"/>
          <w:rtl/>
        </w:rPr>
        <w:t>ج</w:t>
      </w:r>
      <w:r w:rsidRPr="0067048A">
        <w:rPr>
          <w:rFonts w:ascii="KFGQPC Uthmanic Script HAFS" w:cs="KFGQPC Uthmanic Script HAFS" w:hint="cs"/>
          <w:sz w:val="28"/>
          <w:szCs w:val="28"/>
          <w:rtl/>
        </w:rPr>
        <w:t>ۡ</w:t>
      </w:r>
      <w:r w:rsidRPr="0067048A">
        <w:rPr>
          <w:rFonts w:ascii="KFGQPC Uthmanic Script HAFS" w:cs="KFGQPC Uthmanic Script HAFS" w:hint="eastAsia"/>
          <w:sz w:val="28"/>
          <w:szCs w:val="28"/>
          <w:rtl/>
        </w:rPr>
        <w:t>لِدُواْ</w:t>
      </w:r>
      <w:r w:rsidRPr="0067048A">
        <w:rPr>
          <w:rFonts w:ascii="KFGQPC Uthmanic Script HAFS" w:cs="KFGQPC Uthmanic Script HAFS"/>
          <w:sz w:val="28"/>
          <w:szCs w:val="28"/>
          <w:rtl/>
        </w:rPr>
        <w:t xml:space="preserve"> </w:t>
      </w:r>
      <w:r w:rsidRPr="0067048A">
        <w:rPr>
          <w:rFonts w:ascii="KFGQPC Uthmanic Script HAFS" w:cs="KFGQPC Uthmanic Script HAFS" w:hint="eastAsia"/>
          <w:sz w:val="28"/>
          <w:szCs w:val="28"/>
          <w:rtl/>
        </w:rPr>
        <w:t>كُلَّ</w:t>
      </w:r>
      <w:r w:rsidRPr="0067048A">
        <w:rPr>
          <w:rFonts w:ascii="KFGQPC Uthmanic Script HAFS" w:cs="KFGQPC Uthmanic Script HAFS"/>
          <w:sz w:val="28"/>
          <w:szCs w:val="28"/>
          <w:rtl/>
        </w:rPr>
        <w:t xml:space="preserve"> </w:t>
      </w:r>
      <w:r w:rsidRPr="0067048A">
        <w:rPr>
          <w:rFonts w:ascii="KFGQPC Uthmanic Script HAFS" w:cs="KFGQPC Uthmanic Script HAFS" w:hint="eastAsia"/>
          <w:sz w:val="28"/>
          <w:szCs w:val="28"/>
          <w:rtl/>
        </w:rPr>
        <w:t>وَ</w:t>
      </w:r>
      <w:r w:rsidRPr="0067048A">
        <w:rPr>
          <w:rFonts w:ascii="KFGQPC Uthmanic Script HAFS" w:cs="KFGQPC Uthmanic Script HAFS" w:hint="cs"/>
          <w:sz w:val="28"/>
          <w:szCs w:val="28"/>
          <w:rtl/>
        </w:rPr>
        <w:t>ٰ</w:t>
      </w:r>
      <w:r w:rsidRPr="0067048A">
        <w:rPr>
          <w:rFonts w:ascii="KFGQPC Uthmanic Script HAFS" w:cs="KFGQPC Uthmanic Script HAFS" w:hint="eastAsia"/>
          <w:sz w:val="28"/>
          <w:szCs w:val="28"/>
          <w:rtl/>
        </w:rPr>
        <w:t>حِد</w:t>
      </w:r>
      <w:r w:rsidRPr="0067048A">
        <w:rPr>
          <w:rFonts w:ascii="KFGQPC Uthmanic Script HAFS" w:cs="KFGQPC Uthmanic Script HAFS" w:hint="cs"/>
          <w:sz w:val="28"/>
          <w:szCs w:val="28"/>
          <w:rtl/>
        </w:rPr>
        <w:t>ٖ</w:t>
      </w:r>
      <w:r w:rsidRPr="0067048A">
        <w:rPr>
          <w:rFonts w:ascii="KFGQPC Uthmanic Script HAFS" w:cs="KFGQPC Uthmanic Script HAFS"/>
          <w:sz w:val="28"/>
          <w:szCs w:val="28"/>
          <w:rtl/>
        </w:rPr>
        <w:t xml:space="preserve"> </w:t>
      </w:r>
      <w:r w:rsidRPr="0067048A">
        <w:rPr>
          <w:rFonts w:ascii="KFGQPC Uthmanic Script HAFS" w:cs="KFGQPC Uthmanic Script HAFS" w:hint="eastAsia"/>
          <w:sz w:val="28"/>
          <w:szCs w:val="28"/>
          <w:rtl/>
        </w:rPr>
        <w:t>مِّن</w:t>
      </w:r>
      <w:r w:rsidRPr="0067048A">
        <w:rPr>
          <w:rFonts w:ascii="KFGQPC Uthmanic Script HAFS" w:cs="KFGQPC Uthmanic Script HAFS" w:hint="cs"/>
          <w:sz w:val="28"/>
          <w:szCs w:val="28"/>
          <w:rtl/>
        </w:rPr>
        <w:t>ۡ</w:t>
      </w:r>
      <w:r w:rsidRPr="0067048A">
        <w:rPr>
          <w:rFonts w:ascii="KFGQPC Uthmanic Script HAFS" w:cs="KFGQPC Uthmanic Script HAFS" w:hint="eastAsia"/>
          <w:sz w:val="28"/>
          <w:szCs w:val="28"/>
          <w:rtl/>
        </w:rPr>
        <w:t>هُمَا</w:t>
      </w:r>
      <w:r w:rsidRPr="0067048A">
        <w:rPr>
          <w:rFonts w:ascii="KFGQPC Uthmanic Script HAFS" w:cs="KFGQPC Uthmanic Script HAFS"/>
          <w:sz w:val="28"/>
          <w:szCs w:val="28"/>
          <w:rtl/>
        </w:rPr>
        <w:t xml:space="preserve"> </w:t>
      </w:r>
      <w:r w:rsidRPr="0067048A">
        <w:rPr>
          <w:rFonts w:ascii="KFGQPC Uthmanic Script HAFS" w:cs="KFGQPC Uthmanic Script HAFS" w:hint="eastAsia"/>
          <w:sz w:val="28"/>
          <w:szCs w:val="28"/>
          <w:rtl/>
        </w:rPr>
        <w:t>مِاْئَةَ</w:t>
      </w:r>
      <w:r w:rsidRPr="0067048A">
        <w:rPr>
          <w:rFonts w:ascii="KFGQPC Uthmanic Script HAFS" w:cs="KFGQPC Uthmanic Script HAFS"/>
          <w:sz w:val="28"/>
          <w:szCs w:val="28"/>
          <w:rtl/>
        </w:rPr>
        <w:t xml:space="preserve"> </w:t>
      </w:r>
      <w:r w:rsidRPr="0067048A">
        <w:rPr>
          <w:rFonts w:ascii="KFGQPC Uthmanic Script HAFS" w:cs="KFGQPC Uthmanic Script HAFS" w:hint="eastAsia"/>
          <w:sz w:val="28"/>
          <w:szCs w:val="28"/>
          <w:rtl/>
        </w:rPr>
        <w:t>جَل</w:t>
      </w:r>
      <w:r w:rsidRPr="0067048A">
        <w:rPr>
          <w:rFonts w:ascii="KFGQPC Uthmanic Script HAFS" w:cs="KFGQPC Uthmanic Script HAFS" w:hint="cs"/>
          <w:sz w:val="28"/>
          <w:szCs w:val="28"/>
          <w:rtl/>
        </w:rPr>
        <w:t>ۡ</w:t>
      </w:r>
      <w:r w:rsidRPr="0067048A">
        <w:rPr>
          <w:rFonts w:ascii="KFGQPC Uthmanic Script HAFS" w:cs="KFGQPC Uthmanic Script HAFS" w:hint="eastAsia"/>
          <w:sz w:val="28"/>
          <w:szCs w:val="28"/>
          <w:rtl/>
        </w:rPr>
        <w:t>دَة</w:t>
      </w:r>
      <w:r w:rsidRPr="0067048A">
        <w:rPr>
          <w:rFonts w:ascii="KFGQPC Uthmanic Script HAFS" w:cs="KFGQPC Uthmanic Script HAFS" w:hint="cs"/>
          <w:sz w:val="28"/>
          <w:szCs w:val="28"/>
          <w:rtl/>
        </w:rPr>
        <w:t>ٖ</w:t>
      </w:r>
      <w:r w:rsidRPr="00995B26">
        <w:rPr>
          <w:rFonts w:ascii="KFGQPC Uthmanic Script HAFS" w:cs="Times New Roman" w:hint="cs"/>
          <w:sz w:val="28"/>
          <w:rtl/>
        </w:rPr>
        <w:t>...</w:t>
      </w:r>
      <w:r w:rsidRPr="00995B26">
        <w:rPr>
          <w:rFonts w:ascii="Abo-thar" w:hAnsi="Abo-thar" w:cs="Traditional Arabic" w:hint="cs"/>
          <w:sz w:val="28"/>
          <w:rtl/>
        </w:rPr>
        <w:t>﴾</w:t>
      </w:r>
      <w:r w:rsidRPr="003F3B94">
        <w:rPr>
          <w:rFonts w:ascii="Abo-thar" w:hAnsi="Abo-thar" w:hint="cs"/>
          <w:sz w:val="28"/>
          <w:rtl/>
        </w:rPr>
        <w:t xml:space="preserve"> </w:t>
      </w:r>
      <w:r w:rsidR="005C664D" w:rsidRPr="003108CB">
        <w:rPr>
          <w:rStyle w:val="Char2"/>
          <w:rFonts w:hint="cs"/>
          <w:rtl/>
        </w:rPr>
        <w:t>[</w:t>
      </w:r>
      <w:r w:rsidR="005C664D" w:rsidRPr="003108CB">
        <w:rPr>
          <w:rStyle w:val="Char2"/>
          <w:rtl/>
        </w:rPr>
        <w:t>النور</w:t>
      </w:r>
      <w:r w:rsidRPr="003108CB">
        <w:rPr>
          <w:rStyle w:val="Char2"/>
          <w:rFonts w:hint="cs"/>
          <w:rtl/>
        </w:rPr>
        <w:t xml:space="preserve">: </w:t>
      </w:r>
      <w:r w:rsidR="005C664D" w:rsidRPr="003108CB">
        <w:rPr>
          <w:rStyle w:val="Char2"/>
          <w:rtl/>
        </w:rPr>
        <w:t>2</w:t>
      </w:r>
      <w:r w:rsidR="005C664D" w:rsidRPr="003108CB">
        <w:rPr>
          <w:rStyle w:val="Char2"/>
          <w:rFonts w:hint="cs"/>
          <w:rtl/>
        </w:rPr>
        <w:t>]</w:t>
      </w:r>
      <w:r w:rsidR="00217AB4" w:rsidRPr="003F3B94">
        <w:rPr>
          <w:rFonts w:ascii="Abo-thar" w:hAnsi="Abo-thar"/>
          <w:sz w:val="28"/>
          <w:rtl/>
        </w:rPr>
        <w:t>.</w:t>
      </w:r>
      <w:r w:rsidR="00147857" w:rsidRPr="003F3B94">
        <w:rPr>
          <w:rFonts w:ascii="Abo-thar" w:hAnsi="Abo-thar" w:hint="cs"/>
          <w:sz w:val="28"/>
          <w:rtl/>
        </w:rPr>
        <w:t xml:space="preserve"> </w:t>
      </w:r>
    </w:p>
    <w:p w:rsidR="00F537D0" w:rsidRPr="003F3B94" w:rsidRDefault="005C664D" w:rsidP="003F3B94">
      <w:pPr>
        <w:pStyle w:val="a0"/>
        <w:rPr>
          <w:rFonts w:hint="cs"/>
          <w:rtl/>
        </w:rPr>
      </w:pPr>
      <w:r w:rsidRPr="003F3B94">
        <w:rPr>
          <w:rFonts w:ascii="Abo-thar" w:hAnsi="Abo-thar" w:hint="cs"/>
          <w:sz w:val="28"/>
          <w:rtl/>
        </w:rPr>
        <w:t xml:space="preserve">أما هنا فنجد أن كاتب تلك الرسالة </w:t>
      </w:r>
      <w:r w:rsidRPr="003F3B94">
        <w:rPr>
          <w:rFonts w:cs="Times New Roman" w:hint="cs"/>
          <w:sz w:val="28"/>
          <w:rtl/>
        </w:rPr>
        <w:t>–</w:t>
      </w:r>
      <w:r w:rsidRPr="003F3B94">
        <w:rPr>
          <w:rFonts w:ascii="Abo-thar" w:hAnsi="Abo-thar" w:hint="cs"/>
          <w:sz w:val="28"/>
          <w:rtl/>
        </w:rPr>
        <w:t xml:space="preserve"> أيَّاً كان أمره </w:t>
      </w:r>
      <w:r w:rsidR="00217AB4" w:rsidRPr="003F3B94">
        <w:rPr>
          <w:rFonts w:ascii="Abo-thar" w:hAnsi="Abo-thar" w:hint="cs"/>
          <w:sz w:val="28"/>
          <w:rtl/>
        </w:rPr>
        <w:t>-</w:t>
      </w:r>
      <w:r w:rsidR="00147857" w:rsidRPr="003F3B94">
        <w:rPr>
          <w:rFonts w:ascii="Abo-thar" w:hAnsi="Abo-thar" w:hint="cs"/>
          <w:sz w:val="28"/>
          <w:rtl/>
        </w:rPr>
        <w:t xml:space="preserve"> </w:t>
      </w:r>
      <w:r w:rsidRPr="003F3B94">
        <w:rPr>
          <w:rFonts w:ascii="Abo-thar" w:hAnsi="Abo-thar" w:hint="cs"/>
          <w:sz w:val="28"/>
          <w:rtl/>
        </w:rPr>
        <w:t xml:space="preserve">يقول على نحوٍ أكثر آمرية وإيجاباً للأحكام من الله تعالى </w:t>
      </w:r>
      <w:r w:rsidR="00217AB4" w:rsidRPr="003F3B94">
        <w:rPr>
          <w:rFonts w:ascii="Abo-thar" w:hAnsi="Abo-thar" w:hint="cs"/>
          <w:sz w:val="28"/>
          <w:rtl/>
        </w:rPr>
        <w:t>(!)</w:t>
      </w:r>
      <w:r w:rsidR="00147857" w:rsidRPr="003F3B94">
        <w:rPr>
          <w:rFonts w:ascii="Abo-thar" w:hAnsi="Abo-thar" w:hint="cs"/>
          <w:sz w:val="28"/>
          <w:rtl/>
        </w:rPr>
        <w:t xml:space="preserve"> </w:t>
      </w:r>
      <w:r w:rsidRPr="003F3B94">
        <w:rPr>
          <w:rFonts w:ascii="Abo-thar" w:hAnsi="Abo-thar" w:hint="cs"/>
          <w:sz w:val="28"/>
          <w:rtl/>
        </w:rPr>
        <w:t>إذْ يقول</w:t>
      </w:r>
      <w:r w:rsidR="00217AB4" w:rsidRPr="003F3B94">
        <w:rPr>
          <w:rFonts w:ascii="Abo-thar" w:hAnsi="Abo-thar" w:hint="cs"/>
          <w:sz w:val="28"/>
          <w:rtl/>
        </w:rPr>
        <w:t>:</w:t>
      </w:r>
      <w:r w:rsidRPr="003F3B94">
        <w:rPr>
          <w:rFonts w:ascii="Abo-thar" w:hAnsi="Abo-thar" w:hint="cs"/>
          <w:sz w:val="28"/>
          <w:rtl/>
        </w:rPr>
        <w:t xml:space="preserve"> </w:t>
      </w:r>
      <w:r w:rsidR="00217AB4" w:rsidRPr="004408B9">
        <w:rPr>
          <w:rFonts w:ascii="Abo-thar" w:hAnsi="Abo-thar" w:cs="KFGQPC Uthman Taha Naskh" w:hint="cs"/>
          <w:sz w:val="28"/>
          <w:rtl/>
        </w:rPr>
        <w:t>(</w:t>
      </w:r>
      <w:r w:rsidRPr="004408B9">
        <w:rPr>
          <w:rFonts w:ascii="Abo-thar" w:hAnsi="Abo-thar" w:cs="KFGQPC Uthman Taha Naskh"/>
          <w:b/>
          <w:bCs/>
          <w:sz w:val="28"/>
          <w:rtl/>
        </w:rPr>
        <w:t>وإِنَّمَا أَوْجَبْتُ عَلَيْهِمُ الخُمُسَ فِي سَنَتِي هَذِهِ</w:t>
      </w:r>
      <w:r w:rsidR="00217AB4" w:rsidRPr="004408B9">
        <w:rPr>
          <w:rFonts w:ascii="Abo-thar" w:hAnsi="Abo-thar" w:cs="KFGQPC Uthman Taha Naskh" w:hint="cs"/>
          <w:b/>
          <w:bCs/>
          <w:sz w:val="28"/>
          <w:rtl/>
        </w:rPr>
        <w:t>)</w:t>
      </w:r>
      <w:r w:rsidR="00217AB4" w:rsidRPr="003F3B94">
        <w:rPr>
          <w:rFonts w:ascii="Abo-thar" w:hAnsi="Abo-thar" w:hint="cs"/>
          <w:b/>
          <w:bCs/>
          <w:sz w:val="28"/>
          <w:rtl/>
        </w:rPr>
        <w:t>.</w:t>
      </w:r>
      <w:r w:rsidRPr="003F3B94">
        <w:rPr>
          <w:rFonts w:ascii="Abo-thar" w:hAnsi="Abo-thar" w:hint="cs"/>
          <w:b/>
          <w:bCs/>
          <w:sz w:val="28"/>
          <w:rtl/>
        </w:rPr>
        <w:t xml:space="preserve"> </w:t>
      </w:r>
      <w:r w:rsidRPr="003F3B94">
        <w:rPr>
          <w:rFonts w:ascii="Abo-thar" w:hAnsi="Abo-thar" w:hint="cs"/>
          <w:sz w:val="28"/>
          <w:rtl/>
        </w:rPr>
        <w:t>ولا يبين علة ذلك بل يقول</w:t>
      </w:r>
      <w:r w:rsidR="00217AB4" w:rsidRPr="003F3B94">
        <w:rPr>
          <w:rFonts w:ascii="Abo-thar" w:hAnsi="Abo-thar" w:hint="cs"/>
          <w:sz w:val="28"/>
          <w:rtl/>
        </w:rPr>
        <w:t>:</w:t>
      </w:r>
      <w:r w:rsidR="00147857" w:rsidRPr="003F3B94">
        <w:rPr>
          <w:rFonts w:ascii="Abo-thar" w:hAnsi="Abo-thar" w:hint="cs"/>
          <w:sz w:val="28"/>
          <w:rtl/>
        </w:rPr>
        <w:t xml:space="preserve"> </w:t>
      </w:r>
      <w:r w:rsidR="00217AB4" w:rsidRPr="004408B9">
        <w:rPr>
          <w:rFonts w:ascii="Abo-thar" w:hAnsi="Abo-thar" w:cs="KFGQPC Uthman Taha Naskh" w:hint="cs"/>
          <w:sz w:val="28"/>
          <w:rtl/>
        </w:rPr>
        <w:t>(</w:t>
      </w:r>
      <w:r w:rsidRPr="004408B9">
        <w:rPr>
          <w:rFonts w:ascii="Abo-thar" w:hAnsi="Abo-thar" w:cs="KFGQPC Uthman Taha Naskh"/>
          <w:b/>
          <w:bCs/>
          <w:sz w:val="28"/>
          <w:rtl/>
        </w:rPr>
        <w:t>لِمَعْنًى مِنَ المَعَانِي أَكْرَهُ تَفْسِيرَ المَعْنَى كُلِّهِ خَوْفاً مِنَ الِانْتِشَارِ</w:t>
      </w:r>
      <w:r w:rsidR="00217AB4" w:rsidRPr="004408B9">
        <w:rPr>
          <w:rFonts w:ascii="Abo-thar" w:hAnsi="Abo-thar" w:cs="KFGQPC Uthman Taha Naskh" w:hint="cs"/>
          <w:b/>
          <w:bCs/>
          <w:sz w:val="28"/>
          <w:rtl/>
        </w:rPr>
        <w:t>)!</w:t>
      </w:r>
      <w:r w:rsidRPr="003F3B94">
        <w:rPr>
          <w:rFonts w:ascii="Abo-thar" w:hAnsi="Abo-thar" w:hint="cs"/>
          <w:sz w:val="28"/>
          <w:rtl/>
        </w:rPr>
        <w:t xml:space="preserve"> ويا ليته بيَّن لنا واحداً من تلك المعاني</w:t>
      </w:r>
      <w:r w:rsidR="00217AB4" w:rsidRPr="003F3B94">
        <w:rPr>
          <w:rFonts w:ascii="Abo-thar" w:hAnsi="Abo-thar" w:hint="cs"/>
          <w:sz w:val="28"/>
          <w:rtl/>
        </w:rPr>
        <w:t>!</w:t>
      </w:r>
      <w:r w:rsidR="00147857" w:rsidRPr="003F3B94">
        <w:rPr>
          <w:rFonts w:ascii="Abo-thar" w:hAnsi="Abo-thar" w:hint="cs"/>
          <w:sz w:val="28"/>
          <w:rtl/>
        </w:rPr>
        <w:t xml:space="preserve"> </w:t>
      </w:r>
      <w:r w:rsidRPr="003F3B94">
        <w:rPr>
          <w:rFonts w:ascii="Abo-thar" w:hAnsi="Abo-thar" w:hint="cs"/>
          <w:sz w:val="28"/>
          <w:rtl/>
        </w:rPr>
        <w:t>ورغم أنه وعد بتفسير بعض من تلك المعاني والأسباب إلا أننا لا نجد في الرسالة أي تفسير في هذا المجال</w:t>
      </w:r>
      <w:r w:rsidR="00217AB4" w:rsidRPr="003F3B94">
        <w:rPr>
          <w:rFonts w:ascii="Abo-thar" w:hAnsi="Abo-thar" w:hint="cs"/>
          <w:sz w:val="28"/>
          <w:rtl/>
        </w:rPr>
        <w:t>!!!</w:t>
      </w:r>
      <w:r w:rsidRPr="003F3B94">
        <w:rPr>
          <w:rFonts w:ascii="Abo-thar" w:hAnsi="Abo-thar" w:hint="cs"/>
          <w:sz w:val="28"/>
          <w:rtl/>
        </w:rPr>
        <w:t xml:space="preserve"> والعجيب أنه رغم كل هذه الطنطنة يخشى من انتشار الخبر</w:t>
      </w:r>
      <w:r w:rsidR="00217AB4" w:rsidRPr="003F3B94">
        <w:rPr>
          <w:rFonts w:ascii="Abo-thar" w:hAnsi="Abo-thar" w:hint="cs"/>
          <w:sz w:val="28"/>
          <w:rtl/>
        </w:rPr>
        <w:t>!!</w:t>
      </w:r>
      <w:r w:rsidRPr="003F3B94">
        <w:rPr>
          <w:rFonts w:ascii="Abo-thar" w:hAnsi="Abo-thar" w:hint="cs"/>
          <w:sz w:val="28"/>
          <w:rtl/>
        </w:rPr>
        <w:t xml:space="preserve"> ويقول عقب ذلك</w:t>
      </w:r>
      <w:r w:rsidR="00217AB4" w:rsidRPr="003F3B94">
        <w:rPr>
          <w:rFonts w:ascii="Abo-thar" w:hAnsi="Abo-thar" w:hint="cs"/>
          <w:sz w:val="28"/>
          <w:rtl/>
        </w:rPr>
        <w:t>:</w:t>
      </w:r>
      <w:r w:rsidRPr="003F3B94">
        <w:rPr>
          <w:rFonts w:ascii="Abo-thar" w:hAnsi="Abo-thar" w:hint="cs"/>
          <w:sz w:val="28"/>
          <w:rtl/>
        </w:rPr>
        <w:t xml:space="preserve"> </w:t>
      </w:r>
      <w:r w:rsidR="00217AB4" w:rsidRPr="004408B9">
        <w:rPr>
          <w:rFonts w:ascii="Abo-thar" w:hAnsi="Abo-thar" w:cs="KFGQPC Uthman Taha Naskh" w:hint="cs"/>
          <w:sz w:val="28"/>
          <w:rtl/>
        </w:rPr>
        <w:t>(</w:t>
      </w:r>
      <w:r w:rsidRPr="004408B9">
        <w:rPr>
          <w:rFonts w:ascii="Abo-thar" w:hAnsi="Abo-thar" w:cs="KFGQPC Uthman Taha Naskh"/>
          <w:b/>
          <w:bCs/>
          <w:sz w:val="28"/>
          <w:rtl/>
        </w:rPr>
        <w:t>ولَمْ أُوجِبْ ذَلِكَ عَلَيْهِمْ فِي كُلِّ عَامٍ ولَا أُوجِبُ عَلَيْهِمْ إِلَّا الزَّكَاةَ الَّتِي فَرَضَهَا اللهُ عَلَيْهِمْ</w:t>
      </w:r>
      <w:r w:rsidR="00217AB4" w:rsidRPr="004408B9">
        <w:rPr>
          <w:rFonts w:ascii="Abo-thar" w:hAnsi="Abo-thar" w:cs="KFGQPC Uthman Taha Naskh" w:hint="cs"/>
          <w:b/>
          <w:bCs/>
          <w:sz w:val="28"/>
          <w:rtl/>
        </w:rPr>
        <w:t>)</w:t>
      </w:r>
      <w:r w:rsidR="00217AB4" w:rsidRPr="004408B9">
        <w:rPr>
          <w:rFonts w:ascii="Abo-thar" w:hAnsi="Abo-thar" w:cs="KFGQPC Uthman Taha Naskh" w:hint="cs"/>
          <w:sz w:val="28"/>
          <w:rtl/>
        </w:rPr>
        <w:t>.</w:t>
      </w:r>
      <w:r w:rsidRPr="004408B9">
        <w:rPr>
          <w:rFonts w:ascii="Abo-thar" w:hAnsi="Abo-thar" w:cs="KFGQPC Uthman Taha Naskh" w:hint="cs"/>
          <w:sz w:val="28"/>
          <w:rtl/>
        </w:rPr>
        <w:t xml:space="preserve"> </w:t>
      </w:r>
      <w:r w:rsidRPr="003F3B94">
        <w:rPr>
          <w:rFonts w:ascii="Abo-thar" w:hAnsi="Abo-thar" w:hint="cs"/>
          <w:sz w:val="28"/>
          <w:rtl/>
        </w:rPr>
        <w:t>وصدور مثل هذه العبارة بعيدٌ جداً عن إمام معصوم حافظ للشريعة ومبين لأحكام الله</w:t>
      </w:r>
      <w:r w:rsidR="001E0DB7" w:rsidRPr="003F3B94">
        <w:rPr>
          <w:rFonts w:ascii="Abo-thar" w:hAnsi="Abo-thar" w:hint="cs"/>
          <w:sz w:val="28"/>
          <w:rtl/>
        </w:rPr>
        <w:t>،</w:t>
      </w:r>
      <w:r w:rsidRPr="003F3B94">
        <w:rPr>
          <w:rFonts w:ascii="Abo-thar" w:hAnsi="Abo-thar" w:hint="cs"/>
          <w:sz w:val="28"/>
          <w:rtl/>
        </w:rPr>
        <w:t xml:space="preserve"> لأنه جعل من نفسه رديفاً وقريناً لِـلَّهِ في إيجاب الأحكام حيث قال</w:t>
      </w:r>
      <w:r w:rsidR="00217AB4" w:rsidRPr="003F3B94">
        <w:rPr>
          <w:rFonts w:ascii="Abo-thar" w:hAnsi="Abo-thar" w:hint="cs"/>
          <w:sz w:val="28"/>
          <w:rtl/>
        </w:rPr>
        <w:t>:</w:t>
      </w:r>
      <w:r w:rsidRPr="003F3B94">
        <w:rPr>
          <w:rFonts w:ascii="Abo-thar" w:hAnsi="Abo-thar" w:hint="cs"/>
          <w:sz w:val="28"/>
          <w:rtl/>
        </w:rPr>
        <w:t xml:space="preserve"> </w:t>
      </w:r>
      <w:r w:rsidR="00217AB4" w:rsidRPr="004408B9">
        <w:rPr>
          <w:rFonts w:ascii="Abo-thar" w:hAnsi="Abo-thar" w:cs="KFGQPC Uthman Taha Naskh" w:hint="cs"/>
          <w:sz w:val="28"/>
          <w:rtl/>
        </w:rPr>
        <w:t>(</w:t>
      </w:r>
      <w:r w:rsidRPr="004408B9">
        <w:rPr>
          <w:rFonts w:ascii="Abo-thar" w:hAnsi="Abo-thar" w:cs="KFGQPC Uthman Taha Naskh" w:hint="cs"/>
          <w:b/>
          <w:bCs/>
          <w:sz w:val="28"/>
          <w:rtl/>
        </w:rPr>
        <w:t>وإنما أوجبت عليهم الخمس والله أوجب عليهم الزكاة وأنا أيضاً أقول بوجوبها للسنوات الأخرى</w:t>
      </w:r>
      <w:r w:rsidR="00217AB4" w:rsidRPr="004408B9">
        <w:rPr>
          <w:rFonts w:ascii="Abo-thar" w:hAnsi="Abo-thar" w:cs="KFGQPC Uthman Taha Naskh" w:hint="cs"/>
          <w:sz w:val="28"/>
          <w:rtl/>
        </w:rPr>
        <w:t>)!!</w:t>
      </w:r>
      <w:r w:rsidRPr="003F3B94">
        <w:rPr>
          <w:rFonts w:ascii="Abo-thar" w:hAnsi="Abo-thar" w:hint="cs"/>
          <w:sz w:val="28"/>
          <w:rtl/>
        </w:rPr>
        <w:t xml:space="preserve"> ومثل هذا الكلام لا يصدر حتى عن لسان وقلم فرد مسلم عادي فضلاً عن أن يصدر مثله عن إمامٍ هادٍ</w:t>
      </w:r>
      <w:r w:rsidR="00217AB4" w:rsidRPr="003F3B94">
        <w:rPr>
          <w:rFonts w:ascii="Abo-thar" w:hAnsi="Abo-thar" w:hint="cs"/>
          <w:sz w:val="28"/>
          <w:rtl/>
        </w:rPr>
        <w:t>!</w:t>
      </w:r>
      <w:r w:rsidRPr="003F3B94">
        <w:rPr>
          <w:rFonts w:ascii="Abo-thar" w:hAnsi="Abo-thar" w:hint="cs"/>
          <w:sz w:val="28"/>
          <w:rtl/>
        </w:rPr>
        <w:t xml:space="preserve"> لأنه ليس لأحد الحق في تشـريع حكم</w:t>
      </w:r>
      <w:r w:rsidR="00147857" w:rsidRPr="003F3B94">
        <w:rPr>
          <w:rFonts w:ascii="Abo-thar" w:hAnsi="Abo-thar" w:hint="cs"/>
          <w:sz w:val="28"/>
          <w:rtl/>
        </w:rPr>
        <w:t xml:space="preserve"> </w:t>
      </w:r>
      <w:r w:rsidRPr="003F3B94">
        <w:rPr>
          <w:rFonts w:ascii="Abo-thar" w:hAnsi="Abo-thar" w:hint="cs"/>
          <w:sz w:val="28"/>
          <w:rtl/>
        </w:rPr>
        <w:t>وإيجاب قانون بعد انقطاع الوحي ولا يفعل الإمام مثل هذا الأمر أبداً</w:t>
      </w:r>
      <w:r w:rsidR="00217AB4" w:rsidRPr="003F3B94">
        <w:rPr>
          <w:rFonts w:ascii="Abo-thar" w:hAnsi="Abo-thar" w:hint="cs"/>
          <w:sz w:val="28"/>
          <w:rtl/>
        </w:rPr>
        <w:t>.</w:t>
      </w:r>
      <w:r w:rsidRPr="003F3B94">
        <w:rPr>
          <w:rFonts w:ascii="Abo-thar" w:hAnsi="Abo-thar" w:hint="cs"/>
          <w:sz w:val="28"/>
          <w:rtl/>
        </w:rPr>
        <w:t xml:space="preserve"> إن نسبة مثل هذه الأمور إلى الأئمة لا تصدر إلا من غلاة من أمثال أولئك الذين نسبوا إلى علي بن أبي طالب</w:t>
      </w:r>
      <w:r w:rsidR="00147857" w:rsidRPr="003F3B94">
        <w:rPr>
          <w:rFonts w:ascii="Abo-thar" w:hAnsi="Abo-thar" w:hint="cs"/>
          <w:sz w:val="28"/>
          <w:rtl/>
        </w:rPr>
        <w:t xml:space="preserve"> </w:t>
      </w:r>
      <w:r w:rsidR="003C7AEB" w:rsidRPr="003C7AEB">
        <w:rPr>
          <w:rFonts w:ascii="Abo-thar" w:hAnsi="Abo-thar" w:cs="CTraditional Arabic"/>
          <w:sz w:val="28"/>
          <w:rtl/>
        </w:rPr>
        <w:t>÷</w:t>
      </w:r>
      <w:r w:rsidR="00147857" w:rsidRPr="003F3B94">
        <w:rPr>
          <w:rFonts w:ascii="Abo-thar" w:hAnsi="Abo-thar"/>
          <w:sz w:val="28"/>
          <w:rtl/>
        </w:rPr>
        <w:t xml:space="preserve"> </w:t>
      </w:r>
      <w:r w:rsidRPr="003F3B94">
        <w:rPr>
          <w:rFonts w:ascii="Abo-thar" w:hAnsi="Abo-thar" w:hint="cs"/>
          <w:sz w:val="28"/>
          <w:rtl/>
        </w:rPr>
        <w:t>أنه قال في مسجد البصـرة</w:t>
      </w:r>
      <w:r w:rsidR="00217AB4" w:rsidRPr="003F3B94">
        <w:rPr>
          <w:rFonts w:ascii="Abo-thar" w:hAnsi="Abo-thar" w:hint="cs"/>
          <w:sz w:val="28"/>
          <w:rtl/>
        </w:rPr>
        <w:t>:</w:t>
      </w:r>
    </w:p>
    <w:p w:rsidR="00F537D0" w:rsidRPr="003F3B94" w:rsidRDefault="00EF2588" w:rsidP="003F3B94">
      <w:pPr>
        <w:pStyle w:val="a0"/>
        <w:rPr>
          <w:rFonts w:hint="cs"/>
          <w:rtl/>
        </w:rPr>
      </w:pPr>
      <w:r w:rsidRPr="003F3B94">
        <w:rPr>
          <w:rFonts w:ascii="Abo-thar" w:hAnsi="Abo-thar" w:hint="cs"/>
          <w:sz w:val="28"/>
          <w:rtl/>
        </w:rPr>
        <w:t>«</w:t>
      </w:r>
      <w:r w:rsidR="005C664D" w:rsidRPr="003F3B94">
        <w:rPr>
          <w:rFonts w:ascii="Abo-thar" w:hAnsi="Abo-thar" w:hint="cs"/>
          <w:b/>
          <w:bCs/>
          <w:sz w:val="28"/>
          <w:rtl/>
        </w:rPr>
        <w:t>أنا مورق الأشجار</w:t>
      </w:r>
      <w:r w:rsidR="00217AB4" w:rsidRPr="003F3B94">
        <w:rPr>
          <w:rFonts w:ascii="Abo-thar" w:hAnsi="Abo-thar" w:hint="cs"/>
          <w:b/>
          <w:bCs/>
          <w:sz w:val="28"/>
          <w:rtl/>
        </w:rPr>
        <w:t>....</w:t>
      </w:r>
      <w:r w:rsidR="005C664D" w:rsidRPr="003F3B94">
        <w:rPr>
          <w:rFonts w:ascii="Abo-thar" w:hAnsi="Abo-thar" w:hint="cs"/>
          <w:b/>
          <w:bCs/>
          <w:sz w:val="28"/>
          <w:rtl/>
        </w:rPr>
        <w:t xml:space="preserve"> أنا فاطر السموات والأرض</w:t>
      </w:r>
      <w:r w:rsidR="00217AB4" w:rsidRPr="003F3B94">
        <w:rPr>
          <w:rFonts w:ascii="Abo-thar" w:hAnsi="Abo-thar" w:hint="cs"/>
          <w:b/>
          <w:bCs/>
          <w:sz w:val="28"/>
          <w:rtl/>
        </w:rPr>
        <w:t>....</w:t>
      </w:r>
      <w:r w:rsidR="005C664D" w:rsidRPr="003F3B94">
        <w:rPr>
          <w:rFonts w:ascii="Abo-thar" w:hAnsi="Abo-thar"/>
          <w:b/>
          <w:bCs/>
          <w:sz w:val="28"/>
          <w:rtl/>
        </w:rPr>
        <w:t>أنا الأول</w:t>
      </w:r>
      <w:r w:rsidR="00217AB4" w:rsidRPr="003F3B94">
        <w:rPr>
          <w:rFonts w:ascii="Abo-thar" w:hAnsi="Abo-thar"/>
          <w:b/>
          <w:bCs/>
          <w:sz w:val="28"/>
          <w:rtl/>
        </w:rPr>
        <w:t>،</w:t>
      </w:r>
      <w:r w:rsidR="005C664D" w:rsidRPr="003F3B94">
        <w:rPr>
          <w:rFonts w:ascii="Abo-thar" w:hAnsi="Abo-thar"/>
          <w:b/>
          <w:bCs/>
          <w:sz w:val="28"/>
          <w:rtl/>
        </w:rPr>
        <w:t xml:space="preserve"> </w:t>
      </w:r>
      <w:r w:rsidR="005C664D" w:rsidRPr="003F3B94">
        <w:rPr>
          <w:rFonts w:ascii="Abo-thar" w:hAnsi="Abo-thar" w:hint="cs"/>
          <w:b/>
          <w:bCs/>
          <w:sz w:val="28"/>
          <w:rtl/>
        </w:rPr>
        <w:t>و</w:t>
      </w:r>
      <w:r w:rsidR="005C664D" w:rsidRPr="003F3B94">
        <w:rPr>
          <w:rFonts w:ascii="Abo-thar" w:hAnsi="Abo-thar"/>
          <w:b/>
          <w:bCs/>
          <w:sz w:val="28"/>
          <w:rtl/>
        </w:rPr>
        <w:t>أنا الآخر</w:t>
      </w:r>
      <w:r w:rsidR="00217AB4" w:rsidRPr="003F3B94">
        <w:rPr>
          <w:rFonts w:ascii="Abo-thar" w:hAnsi="Abo-thar"/>
          <w:b/>
          <w:bCs/>
          <w:sz w:val="28"/>
          <w:rtl/>
        </w:rPr>
        <w:t>،</w:t>
      </w:r>
      <w:r w:rsidR="005C664D" w:rsidRPr="003F3B94">
        <w:rPr>
          <w:rFonts w:ascii="Abo-thar" w:hAnsi="Abo-thar"/>
          <w:b/>
          <w:bCs/>
          <w:sz w:val="28"/>
          <w:rtl/>
        </w:rPr>
        <w:t xml:space="preserve"> </w:t>
      </w:r>
      <w:r w:rsidR="005C664D" w:rsidRPr="003F3B94">
        <w:rPr>
          <w:rFonts w:ascii="Abo-thar" w:hAnsi="Abo-thar" w:hint="cs"/>
          <w:b/>
          <w:bCs/>
          <w:sz w:val="28"/>
          <w:rtl/>
        </w:rPr>
        <w:t>و</w:t>
      </w:r>
      <w:r w:rsidR="005C664D" w:rsidRPr="003F3B94">
        <w:rPr>
          <w:rFonts w:ascii="Abo-thar" w:hAnsi="Abo-thar"/>
          <w:b/>
          <w:bCs/>
          <w:sz w:val="28"/>
          <w:rtl/>
        </w:rPr>
        <w:t>أنا الظاهر</w:t>
      </w:r>
      <w:r w:rsidR="00217AB4" w:rsidRPr="003F3B94">
        <w:rPr>
          <w:rFonts w:ascii="Abo-thar" w:hAnsi="Abo-thar"/>
          <w:b/>
          <w:bCs/>
          <w:sz w:val="28"/>
          <w:rtl/>
        </w:rPr>
        <w:t>،</w:t>
      </w:r>
      <w:r w:rsidR="005C664D" w:rsidRPr="003F3B94">
        <w:rPr>
          <w:rFonts w:ascii="Abo-thar" w:hAnsi="Abo-thar"/>
          <w:b/>
          <w:bCs/>
          <w:sz w:val="28"/>
          <w:rtl/>
        </w:rPr>
        <w:t xml:space="preserve"> </w:t>
      </w:r>
      <w:r w:rsidR="005C664D" w:rsidRPr="003F3B94">
        <w:rPr>
          <w:rFonts w:ascii="Abo-thar" w:hAnsi="Abo-thar" w:hint="cs"/>
          <w:b/>
          <w:bCs/>
          <w:sz w:val="28"/>
          <w:rtl/>
        </w:rPr>
        <w:t>و</w:t>
      </w:r>
      <w:r w:rsidR="005C664D" w:rsidRPr="003F3B94">
        <w:rPr>
          <w:rFonts w:ascii="Abo-thar" w:hAnsi="Abo-thar"/>
          <w:b/>
          <w:bCs/>
          <w:sz w:val="28"/>
          <w:rtl/>
        </w:rPr>
        <w:t>أنا الباطن</w:t>
      </w:r>
      <w:r w:rsidR="00217AB4" w:rsidRPr="003F3B94">
        <w:rPr>
          <w:rFonts w:ascii="Abo-thar" w:hAnsi="Abo-thar" w:hint="cs"/>
          <w:b/>
          <w:bCs/>
          <w:sz w:val="28"/>
          <w:rtl/>
        </w:rPr>
        <w:t>...</w:t>
      </w:r>
      <w:r w:rsidR="005C664D" w:rsidRPr="003F3B94">
        <w:rPr>
          <w:rFonts w:ascii="Abo-thar" w:hAnsi="Abo-thar" w:hint="cs"/>
          <w:b/>
          <w:bCs/>
          <w:sz w:val="28"/>
          <w:rtl/>
        </w:rPr>
        <w:t xml:space="preserve"> وأنا بكل شيء عليم</w:t>
      </w:r>
      <w:r w:rsidRPr="003F3B94">
        <w:rPr>
          <w:rFonts w:ascii="Abo-thar" w:hAnsi="Abo-thar" w:hint="cs"/>
          <w:sz w:val="28"/>
          <w:rtl/>
        </w:rPr>
        <w:t>»</w:t>
      </w:r>
      <w:r w:rsidR="00217AB4" w:rsidRPr="003F3B94">
        <w:rPr>
          <w:rFonts w:ascii="Abo-thar" w:hAnsi="Abo-thar" w:hint="cs"/>
          <w:sz w:val="28"/>
          <w:rtl/>
        </w:rPr>
        <w:t>!!.</w:t>
      </w:r>
    </w:p>
    <w:p w:rsidR="00C63984" w:rsidRPr="003F3B94" w:rsidRDefault="005C664D" w:rsidP="003F3B94">
      <w:pPr>
        <w:pStyle w:val="a0"/>
        <w:rPr>
          <w:rFonts w:hint="cs"/>
          <w:rtl/>
        </w:rPr>
      </w:pPr>
      <w:r w:rsidRPr="003F3B94">
        <w:rPr>
          <w:rFonts w:ascii="Abo-thar" w:hAnsi="Abo-thar" w:hint="cs"/>
          <w:sz w:val="28"/>
          <w:rtl/>
        </w:rPr>
        <w:t>أو من مثل الغالي محمد بن سنان الذي قال للإمام محمد التقي</w:t>
      </w:r>
      <w:r w:rsidR="00217AB4" w:rsidRPr="003F3B94">
        <w:rPr>
          <w:rFonts w:ascii="Abo-thar" w:hAnsi="Abo-thar" w:hint="cs"/>
          <w:sz w:val="28"/>
          <w:rtl/>
        </w:rPr>
        <w:t>:</w:t>
      </w:r>
      <w:r w:rsidRPr="003F3B94">
        <w:rPr>
          <w:rFonts w:ascii="Abo-thar" w:hAnsi="Abo-thar" w:hint="cs"/>
          <w:sz w:val="28"/>
          <w:rtl/>
        </w:rPr>
        <w:t xml:space="preserve"> </w:t>
      </w:r>
    </w:p>
    <w:p w:rsidR="005C664D" w:rsidRPr="003F3B94" w:rsidRDefault="00EF2588" w:rsidP="003F3B94">
      <w:pPr>
        <w:pStyle w:val="a0"/>
        <w:rPr>
          <w:rFonts w:hint="cs"/>
          <w:rtl/>
        </w:rPr>
      </w:pPr>
      <w:r w:rsidRPr="003F3B94">
        <w:rPr>
          <w:rFonts w:ascii="Abo-thar" w:hAnsi="Abo-thar" w:hint="cs"/>
          <w:sz w:val="28"/>
          <w:rtl/>
        </w:rPr>
        <w:t>«</w:t>
      </w:r>
      <w:r w:rsidR="005C664D" w:rsidRPr="003F3B94">
        <w:rPr>
          <w:rFonts w:ascii="Abo-thar" w:hAnsi="Abo-thar" w:hint="cs"/>
          <w:b/>
          <w:bCs/>
          <w:sz w:val="28"/>
          <w:rtl/>
        </w:rPr>
        <w:t>إنك تفعل بعبادك ما تشاء</w:t>
      </w:r>
      <w:r w:rsidR="00217AB4" w:rsidRPr="003F3B94">
        <w:rPr>
          <w:rFonts w:ascii="Abo-thar" w:hAnsi="Abo-thar" w:hint="cs"/>
          <w:b/>
          <w:bCs/>
          <w:sz w:val="28"/>
          <w:rtl/>
        </w:rPr>
        <w:t>،</w:t>
      </w:r>
      <w:r w:rsidR="005C664D" w:rsidRPr="003F3B94">
        <w:rPr>
          <w:rFonts w:ascii="Abo-thar" w:hAnsi="Abo-thar" w:hint="cs"/>
          <w:b/>
          <w:bCs/>
          <w:sz w:val="28"/>
          <w:rtl/>
        </w:rPr>
        <w:t xml:space="preserve"> إنك على كل شيء قدير</w:t>
      </w:r>
      <w:r w:rsidR="00217AB4" w:rsidRPr="003F3B94">
        <w:rPr>
          <w:rFonts w:ascii="Abo-thar" w:hAnsi="Abo-thar" w:hint="cs"/>
          <w:sz w:val="28"/>
          <w:rtl/>
        </w:rPr>
        <w:t>!!</w:t>
      </w:r>
      <w:r w:rsidRPr="003F3B94">
        <w:rPr>
          <w:rFonts w:ascii="Abo-thar" w:hAnsi="Abo-thar" w:hint="cs"/>
          <w:sz w:val="28"/>
          <w:rtl/>
        </w:rPr>
        <w:t>»</w:t>
      </w:r>
      <w:r w:rsidR="00217AB4" w:rsidRPr="003F3B94">
        <w:rPr>
          <w:rFonts w:ascii="Abo-thar" w:hAnsi="Abo-thar" w:hint="cs"/>
          <w:sz w:val="28"/>
          <w:rtl/>
        </w:rPr>
        <w:t>.</w:t>
      </w:r>
    </w:p>
    <w:p w:rsidR="005C664D" w:rsidRPr="003F3B94" w:rsidRDefault="005C664D" w:rsidP="003F3B94">
      <w:pPr>
        <w:pStyle w:val="a0"/>
        <w:rPr>
          <w:rFonts w:hint="cs"/>
          <w:rtl/>
        </w:rPr>
      </w:pPr>
      <w:r w:rsidRPr="003F3B94">
        <w:rPr>
          <w:rFonts w:ascii="Abo-thar" w:hAnsi="Abo-thar" w:hint="cs"/>
          <w:sz w:val="28"/>
          <w:rtl/>
        </w:rPr>
        <w:t xml:space="preserve">لا يُستَبْعَد من الغلاة الذين هم أسوأ من النواصب أن ينسبوا لعباد الله المنتجبين والأئمة الصالحين مثل تلك العبارات </w:t>
      </w:r>
      <w:r w:rsidR="00217AB4" w:rsidRPr="003F3B94">
        <w:rPr>
          <w:rFonts w:ascii="Abo-thar" w:hAnsi="Abo-thar" w:hint="cs"/>
          <w:sz w:val="28"/>
          <w:rtl/>
        </w:rPr>
        <w:t>(</w:t>
      </w:r>
      <w:r w:rsidRPr="003F3B94">
        <w:rPr>
          <w:rFonts w:ascii="Abo-thar" w:hAnsi="Abo-thar" w:hint="cs"/>
          <w:sz w:val="28"/>
          <w:rtl/>
        </w:rPr>
        <w:t>لعنة الله عليهم أبد الآبدين</w:t>
      </w:r>
      <w:r w:rsidR="00217AB4" w:rsidRPr="003F3B94">
        <w:rPr>
          <w:rFonts w:ascii="Abo-thar" w:hAnsi="Abo-thar" w:hint="cs"/>
          <w:sz w:val="28"/>
          <w:rtl/>
        </w:rPr>
        <w:t>).</w:t>
      </w:r>
      <w:r w:rsidRPr="003F3B94">
        <w:rPr>
          <w:rFonts w:ascii="Abo-thar" w:hAnsi="Abo-thar" w:hint="cs"/>
          <w:sz w:val="28"/>
          <w:rtl/>
        </w:rPr>
        <w:t xml:space="preserve"> </w:t>
      </w:r>
    </w:p>
    <w:p w:rsidR="005C664D" w:rsidRPr="003F3B94" w:rsidRDefault="005C664D" w:rsidP="003F3B94">
      <w:pPr>
        <w:pStyle w:val="a0"/>
        <w:rPr>
          <w:rFonts w:hint="cs"/>
          <w:rtl/>
        </w:rPr>
      </w:pPr>
      <w:r w:rsidRPr="003F3B94">
        <w:rPr>
          <w:rFonts w:ascii="Abo-thar" w:hAnsi="Abo-thar" w:hint="cs"/>
          <w:sz w:val="28"/>
          <w:rtl/>
        </w:rPr>
        <w:t>ثم قالت الرسالة بعد ذلك</w:t>
      </w:r>
      <w:r w:rsidR="00217AB4" w:rsidRPr="003F3B94">
        <w:rPr>
          <w:rFonts w:ascii="Abo-thar" w:hAnsi="Abo-thar" w:hint="cs"/>
          <w:sz w:val="28"/>
          <w:rtl/>
        </w:rPr>
        <w:t>:</w:t>
      </w:r>
      <w:r w:rsidRPr="003F3B94">
        <w:rPr>
          <w:rFonts w:ascii="Abo-thar" w:hAnsi="Abo-thar" w:hint="cs"/>
          <w:sz w:val="28"/>
          <w:rtl/>
        </w:rPr>
        <w:t xml:space="preserve"> </w:t>
      </w:r>
      <w:r w:rsidR="00EF2588" w:rsidRPr="004408B9">
        <w:rPr>
          <w:rFonts w:ascii="Abo-thar" w:hAnsi="Abo-thar" w:cs="KFGQPC Uthman Taha Naskh" w:hint="cs"/>
          <w:sz w:val="28"/>
          <w:rtl/>
        </w:rPr>
        <w:t>«</w:t>
      </w:r>
      <w:r w:rsidRPr="004408B9">
        <w:rPr>
          <w:rFonts w:ascii="Abo-thar" w:hAnsi="Abo-thar" w:cs="KFGQPC Uthman Taha Naskh"/>
          <w:b/>
          <w:bCs/>
          <w:sz w:val="28"/>
          <w:rtl/>
        </w:rPr>
        <w:t>وإِنَّمَا أَوْجَبْتُ عَلَيْهِمُ الخُمُسَ فِي سَنَتِي هَذِهِ فِي الذَّهَبِ والْفِضَّةِ الَّتِي قَدْ حَالَ عَلَيْهَا الحَوْلُ</w:t>
      </w:r>
      <w:r w:rsidR="00EF2588" w:rsidRPr="004408B9">
        <w:rPr>
          <w:rFonts w:ascii="Abo-thar" w:hAnsi="Abo-thar" w:cs="KFGQPC Uthman Taha Naskh" w:hint="cs"/>
          <w:sz w:val="28"/>
          <w:rtl/>
        </w:rPr>
        <w:t>»</w:t>
      </w:r>
      <w:r w:rsidR="00217AB4" w:rsidRPr="003F3B94">
        <w:rPr>
          <w:rFonts w:ascii="Abo-thar" w:hAnsi="Abo-thar" w:hint="cs"/>
          <w:sz w:val="28"/>
          <w:rtl/>
        </w:rPr>
        <w:t>.</w:t>
      </w:r>
      <w:r w:rsidRPr="003F3B94">
        <w:rPr>
          <w:rFonts w:ascii="Abo-thar" w:hAnsi="Abo-thar" w:hint="cs"/>
          <w:sz w:val="28"/>
          <w:rtl/>
        </w:rPr>
        <w:t xml:space="preserve"> </w:t>
      </w:r>
    </w:p>
    <w:p w:rsidR="005C664D" w:rsidRPr="003F3B94" w:rsidRDefault="005C664D" w:rsidP="003F3B94">
      <w:pPr>
        <w:pStyle w:val="a0"/>
        <w:rPr>
          <w:rFonts w:hint="cs"/>
          <w:rtl/>
        </w:rPr>
      </w:pPr>
      <w:r w:rsidRPr="003F3B94">
        <w:rPr>
          <w:rFonts w:ascii="Abo-thar" w:hAnsi="Abo-thar" w:hint="cs"/>
          <w:sz w:val="28"/>
          <w:rtl/>
        </w:rPr>
        <w:t>وهذه العبارة إضافة إلى ما فيها من إشكال عدم امتلاك الإمام لحق الإيجاب أو التحريم فإنها تتضمن إشكالات عديدة أخرى</w:t>
      </w:r>
      <w:r w:rsidR="00217AB4" w:rsidRPr="003F3B94">
        <w:rPr>
          <w:rFonts w:ascii="Abo-thar" w:hAnsi="Abo-thar" w:hint="cs"/>
          <w:sz w:val="28"/>
          <w:rtl/>
        </w:rPr>
        <w:t>:</w:t>
      </w:r>
      <w:r w:rsidRPr="003F3B94">
        <w:rPr>
          <w:rFonts w:ascii="Abo-thar" w:hAnsi="Abo-thar" w:hint="cs"/>
          <w:sz w:val="28"/>
          <w:rtl/>
        </w:rPr>
        <w:t xml:space="preserve"> </w:t>
      </w:r>
    </w:p>
    <w:p w:rsidR="005C664D" w:rsidRPr="003F3B94" w:rsidRDefault="00C63984" w:rsidP="003F3B94">
      <w:pPr>
        <w:pStyle w:val="a0"/>
        <w:rPr>
          <w:rFonts w:hint="cs"/>
          <w:rtl/>
        </w:rPr>
      </w:pPr>
      <w:r w:rsidRPr="00255A16">
        <w:rPr>
          <w:rFonts w:ascii="Abo-thar" w:hAnsi="Abo-thar" w:hint="cs"/>
          <w:b/>
          <w:bCs/>
          <w:sz w:val="28"/>
          <w:rtl/>
        </w:rPr>
        <w:t>أولًا</w:t>
      </w:r>
      <w:r w:rsidR="00217AB4" w:rsidRPr="003F3B94">
        <w:rPr>
          <w:rFonts w:ascii="Abo-thar" w:hAnsi="Abo-thar" w:hint="cs"/>
          <w:sz w:val="28"/>
          <w:rtl/>
        </w:rPr>
        <w:t>-</w:t>
      </w:r>
      <w:r w:rsidR="005C664D" w:rsidRPr="003F3B94">
        <w:rPr>
          <w:rFonts w:ascii="Abo-thar" w:hAnsi="Abo-thar" w:hint="cs"/>
          <w:sz w:val="28"/>
          <w:rtl/>
        </w:rPr>
        <w:t xml:space="preserve"> أنها أوجبت الخمس في الذهب والفضة فقط</w:t>
      </w:r>
      <w:r w:rsidR="001E0DB7" w:rsidRPr="003F3B94">
        <w:rPr>
          <w:rFonts w:ascii="Abo-thar" w:hAnsi="Abo-thar" w:hint="cs"/>
          <w:sz w:val="28"/>
          <w:rtl/>
        </w:rPr>
        <w:t>،</w:t>
      </w:r>
      <w:r w:rsidR="005C664D" w:rsidRPr="003F3B94">
        <w:rPr>
          <w:rFonts w:ascii="Abo-thar" w:hAnsi="Abo-thar" w:hint="cs"/>
          <w:sz w:val="28"/>
          <w:rtl/>
        </w:rPr>
        <w:t xml:space="preserve"> وتجاوزت الأشياء الخمس والعشرين التي يذكرها الفقهاء القدماء ويوجبون فيها الخمس</w:t>
      </w:r>
      <w:r w:rsidR="001E0DB7" w:rsidRPr="003F3B94">
        <w:rPr>
          <w:rFonts w:ascii="Abo-thar" w:hAnsi="Abo-thar" w:hint="cs"/>
          <w:sz w:val="28"/>
          <w:rtl/>
        </w:rPr>
        <w:t>،</w:t>
      </w:r>
      <w:r w:rsidR="005C664D" w:rsidRPr="003F3B94">
        <w:rPr>
          <w:rFonts w:ascii="Abo-thar" w:hAnsi="Abo-thar" w:hint="cs"/>
          <w:sz w:val="28"/>
          <w:rtl/>
        </w:rPr>
        <w:t xml:space="preserve"> أو الأشياء السبعة التي يذكرها فقهاء زماننا في وجوب الخمس</w:t>
      </w:r>
      <w:r w:rsidR="00217AB4" w:rsidRPr="003F3B94">
        <w:rPr>
          <w:rFonts w:ascii="Abo-thar" w:hAnsi="Abo-thar" w:hint="cs"/>
          <w:sz w:val="28"/>
          <w:rtl/>
        </w:rPr>
        <w:t>.</w:t>
      </w:r>
      <w:r w:rsidR="005C664D" w:rsidRPr="003F3B94">
        <w:rPr>
          <w:rFonts w:ascii="Abo-thar" w:hAnsi="Abo-thar" w:hint="cs"/>
          <w:sz w:val="28"/>
          <w:rtl/>
        </w:rPr>
        <w:t xml:space="preserve"> </w:t>
      </w:r>
    </w:p>
    <w:p w:rsidR="005C664D" w:rsidRPr="003F3B94" w:rsidRDefault="00C63984" w:rsidP="003F3B94">
      <w:pPr>
        <w:pStyle w:val="a0"/>
        <w:rPr>
          <w:rFonts w:hint="cs"/>
          <w:rtl/>
        </w:rPr>
      </w:pPr>
      <w:r w:rsidRPr="00255A16">
        <w:rPr>
          <w:rFonts w:ascii="Abo-thar" w:hAnsi="Abo-thar" w:hint="cs"/>
          <w:b/>
          <w:bCs/>
          <w:sz w:val="28"/>
          <w:rtl/>
        </w:rPr>
        <w:t>ثانيًا</w:t>
      </w:r>
      <w:r w:rsidR="00217AB4" w:rsidRPr="003F3B94">
        <w:rPr>
          <w:rFonts w:ascii="Abo-thar" w:hAnsi="Abo-thar" w:hint="cs"/>
          <w:sz w:val="28"/>
          <w:rtl/>
        </w:rPr>
        <w:t>-</w:t>
      </w:r>
      <w:r w:rsidR="005C664D" w:rsidRPr="003F3B94">
        <w:rPr>
          <w:rFonts w:ascii="Abo-thar" w:hAnsi="Abo-thar" w:hint="cs"/>
          <w:sz w:val="28"/>
          <w:rtl/>
        </w:rPr>
        <w:t xml:space="preserve"> أوجبت الرسالة الخمس في الذهب والفضة التي حال عليها الحول مع أن الخمس لا يشترط فيه مضي السنة بل يشترط فيه إخراج المؤونة فقط دون قيد السنة</w:t>
      </w:r>
      <w:r w:rsidR="001E0DB7" w:rsidRPr="003F3B94">
        <w:rPr>
          <w:rFonts w:ascii="Abo-thar" w:hAnsi="Abo-thar" w:hint="cs"/>
          <w:sz w:val="28"/>
          <w:rtl/>
        </w:rPr>
        <w:t>،</w:t>
      </w:r>
      <w:r w:rsidR="005C664D" w:rsidRPr="003F3B94">
        <w:rPr>
          <w:rFonts w:ascii="Abo-thar" w:hAnsi="Abo-thar" w:hint="cs"/>
          <w:sz w:val="28"/>
          <w:rtl/>
        </w:rPr>
        <w:t xml:space="preserve"> فهذا الشرط شرط عجيب</w:t>
      </w:r>
      <w:r w:rsidR="00217AB4" w:rsidRPr="003F3B94">
        <w:rPr>
          <w:rFonts w:ascii="Abo-thar" w:hAnsi="Abo-thar" w:hint="cs"/>
          <w:sz w:val="28"/>
          <w:rtl/>
        </w:rPr>
        <w:t>!!</w:t>
      </w:r>
      <w:r w:rsidR="005C664D" w:rsidRPr="003F3B94">
        <w:rPr>
          <w:rFonts w:ascii="Abo-thar" w:hAnsi="Abo-thar" w:hint="cs"/>
          <w:sz w:val="28"/>
          <w:rtl/>
        </w:rPr>
        <w:t xml:space="preserve"> لأنه من الممكن أن يكون صاحب الذهب والفضة قد أدى خمسها في السنة الماضية فعندئذ لا</w:t>
      </w:r>
      <w:r w:rsidR="005C664D" w:rsidRPr="003F3B94">
        <w:rPr>
          <w:rFonts w:cs="Times New Roman" w:hint="cs"/>
          <w:sz w:val="28"/>
          <w:rtl/>
        </w:rPr>
        <w:t> </w:t>
      </w:r>
      <w:r w:rsidR="005C664D" w:rsidRPr="003F3B94">
        <w:rPr>
          <w:rFonts w:ascii="Abo-thar" w:hAnsi="Abo-thar" w:hint="cs"/>
          <w:sz w:val="28"/>
          <w:rtl/>
        </w:rPr>
        <w:t>يجب فيها الخمس مرة ثانية إذا</w:t>
      </w:r>
      <w:r w:rsidR="00147857" w:rsidRPr="003F3B94">
        <w:rPr>
          <w:rFonts w:ascii="Abo-thar" w:hAnsi="Abo-thar" w:hint="cs"/>
          <w:sz w:val="28"/>
          <w:rtl/>
        </w:rPr>
        <w:t xml:space="preserve"> </w:t>
      </w:r>
      <w:r w:rsidR="005C664D" w:rsidRPr="003F3B94">
        <w:rPr>
          <w:rFonts w:ascii="Abo-thar" w:hAnsi="Abo-thar" w:hint="cs"/>
          <w:sz w:val="28"/>
          <w:rtl/>
        </w:rPr>
        <w:t>مضى عليها الحول</w:t>
      </w:r>
      <w:r w:rsidR="001E0DB7" w:rsidRPr="003F3B94">
        <w:rPr>
          <w:rFonts w:ascii="Abo-thar" w:hAnsi="Abo-thar" w:hint="cs"/>
          <w:sz w:val="28"/>
          <w:rtl/>
        </w:rPr>
        <w:t>،</w:t>
      </w:r>
      <w:r w:rsidR="005C664D" w:rsidRPr="003F3B94">
        <w:rPr>
          <w:rFonts w:ascii="Abo-thar" w:hAnsi="Abo-thar" w:hint="cs"/>
          <w:sz w:val="28"/>
          <w:rtl/>
        </w:rPr>
        <w:t xml:space="preserve"> رغم أن حكم الزكاة يشملها بالطبع</w:t>
      </w:r>
      <w:r w:rsidR="00217AB4" w:rsidRPr="003F3B94">
        <w:rPr>
          <w:rFonts w:ascii="Abo-thar" w:hAnsi="Abo-thar" w:hint="cs"/>
          <w:sz w:val="28"/>
          <w:rtl/>
        </w:rPr>
        <w:t>.</w:t>
      </w:r>
      <w:r w:rsidR="00147857" w:rsidRPr="003F3B94">
        <w:rPr>
          <w:rFonts w:ascii="Abo-thar" w:hAnsi="Abo-thar" w:hint="cs"/>
          <w:sz w:val="28"/>
          <w:rtl/>
        </w:rPr>
        <w:t xml:space="preserve"> و</w:t>
      </w:r>
      <w:r w:rsidR="005C664D" w:rsidRPr="003F3B94">
        <w:rPr>
          <w:rFonts w:ascii="Abo-thar" w:hAnsi="Abo-thar" w:hint="cs"/>
          <w:sz w:val="28"/>
          <w:rtl/>
        </w:rPr>
        <w:t>الأعجب من ذلك أنه قال عقب تلك العبارة</w:t>
      </w:r>
      <w:r w:rsidR="00217AB4" w:rsidRPr="003F3B94">
        <w:rPr>
          <w:rFonts w:ascii="Abo-thar" w:hAnsi="Abo-thar" w:hint="cs"/>
          <w:sz w:val="28"/>
          <w:rtl/>
        </w:rPr>
        <w:t>:</w:t>
      </w:r>
      <w:r w:rsidR="005C664D" w:rsidRPr="003F3B94">
        <w:rPr>
          <w:rFonts w:ascii="Abo-thar" w:hAnsi="Abo-thar" w:hint="cs"/>
          <w:sz w:val="28"/>
          <w:rtl/>
        </w:rPr>
        <w:t xml:space="preserve"> </w:t>
      </w:r>
      <w:r w:rsidR="00EF2588" w:rsidRPr="004408B9">
        <w:rPr>
          <w:rFonts w:ascii="Abo-thar" w:hAnsi="Abo-thar" w:cs="KFGQPC Uthman Taha Naskh" w:hint="cs"/>
          <w:sz w:val="28"/>
          <w:rtl/>
        </w:rPr>
        <w:t>«</w:t>
      </w:r>
      <w:r w:rsidR="005C664D" w:rsidRPr="004408B9">
        <w:rPr>
          <w:rFonts w:ascii="Abo-thar" w:hAnsi="Abo-thar" w:cs="KFGQPC Uthman Taha Naskh"/>
          <w:b/>
          <w:bCs/>
          <w:sz w:val="28"/>
          <w:rtl/>
        </w:rPr>
        <w:t>ولَمْ أُوجِبْ ذَلِكَ عَلَيْهِمْ فِي مَتَاعٍ ولَا آنِيَةٍ ولَا دَوَابَّ ولَا خَدَمٍ ولَا رِبْحٍ رَبِحَهُ فِي تِجَارَةٍ ولَا ضَيْعَةٍ</w:t>
      </w:r>
      <w:r w:rsidR="00EF2588" w:rsidRPr="004408B9">
        <w:rPr>
          <w:rFonts w:ascii="Abo-thar" w:hAnsi="Abo-thar" w:cs="KFGQPC Uthman Taha Naskh" w:hint="cs"/>
          <w:sz w:val="28"/>
          <w:rtl/>
        </w:rPr>
        <w:t>»</w:t>
      </w:r>
      <w:r w:rsidR="00217AB4" w:rsidRPr="003F3B94">
        <w:rPr>
          <w:rFonts w:ascii="Abo-thar" w:hAnsi="Abo-thar" w:hint="cs"/>
          <w:sz w:val="28"/>
          <w:rtl/>
        </w:rPr>
        <w:t>.</w:t>
      </w:r>
      <w:r w:rsidR="005C664D" w:rsidRPr="003F3B94">
        <w:rPr>
          <w:rFonts w:ascii="Abo-thar" w:hAnsi="Abo-thar" w:hint="cs"/>
          <w:sz w:val="28"/>
          <w:rtl/>
        </w:rPr>
        <w:t xml:space="preserve"> </w:t>
      </w:r>
    </w:p>
    <w:p w:rsidR="005C664D" w:rsidRPr="003F3B94" w:rsidRDefault="00C63984" w:rsidP="003F3B94">
      <w:pPr>
        <w:pStyle w:val="a0"/>
        <w:rPr>
          <w:rFonts w:hint="cs"/>
          <w:rtl/>
        </w:rPr>
      </w:pPr>
      <w:r w:rsidRPr="00255A16">
        <w:rPr>
          <w:rFonts w:ascii="Abo-thar" w:hAnsi="Abo-thar" w:hint="cs"/>
          <w:b/>
          <w:bCs/>
          <w:sz w:val="28"/>
          <w:rtl/>
        </w:rPr>
        <w:t>ثالثًا</w:t>
      </w:r>
      <w:r w:rsidR="00217AB4" w:rsidRPr="003F3B94">
        <w:rPr>
          <w:rFonts w:ascii="Abo-thar" w:hAnsi="Abo-thar" w:hint="cs"/>
          <w:sz w:val="28"/>
          <w:rtl/>
        </w:rPr>
        <w:t>-</w:t>
      </w:r>
      <w:r w:rsidR="005C664D" w:rsidRPr="003F3B94">
        <w:rPr>
          <w:rFonts w:ascii="Abo-thar" w:hAnsi="Abo-thar" w:hint="cs"/>
          <w:sz w:val="28"/>
          <w:rtl/>
        </w:rPr>
        <w:t xml:space="preserve"> هذا في الوقت الذي لم يوجب فيه أحدٌ الخمس في الأواني والدواب والخدم حتى أولئك الذين أوجبوا الخمس في خمسة وعشرين شيئاً</w:t>
      </w:r>
      <w:r w:rsidR="00217AB4" w:rsidRPr="003F3B94">
        <w:rPr>
          <w:rFonts w:ascii="Abo-thar" w:hAnsi="Abo-thar" w:hint="cs"/>
          <w:sz w:val="28"/>
          <w:rtl/>
        </w:rPr>
        <w:t>!</w:t>
      </w:r>
      <w:r w:rsidR="005C664D" w:rsidRPr="003F3B94">
        <w:rPr>
          <w:rFonts w:ascii="Abo-thar" w:hAnsi="Abo-thar" w:hint="cs"/>
          <w:sz w:val="28"/>
          <w:rtl/>
        </w:rPr>
        <w:t xml:space="preserve"> فأي خمس هذا الذي جاء في هذه الرسالة</w:t>
      </w:r>
      <w:r w:rsidR="00217AB4" w:rsidRPr="003F3B94">
        <w:rPr>
          <w:rFonts w:ascii="Abo-thar" w:hAnsi="Abo-thar" w:hint="cs"/>
          <w:sz w:val="28"/>
          <w:rtl/>
        </w:rPr>
        <w:t>؟!</w:t>
      </w:r>
      <w:r w:rsidR="005C664D" w:rsidRPr="003F3B94">
        <w:rPr>
          <w:rFonts w:ascii="Abo-thar" w:hAnsi="Abo-thar" w:hint="cs"/>
          <w:sz w:val="28"/>
          <w:rtl/>
        </w:rPr>
        <w:t xml:space="preserve"> وإذا كان الخمس غير واجب في ربح التجارة والزراعة فلماذا يكون واجباً في أرباح المكاسب</w:t>
      </w:r>
      <w:r w:rsidR="00217AB4" w:rsidRPr="003F3B94">
        <w:rPr>
          <w:rFonts w:ascii="Abo-thar" w:hAnsi="Abo-thar" w:hint="cs"/>
          <w:sz w:val="28"/>
          <w:rtl/>
        </w:rPr>
        <w:t>؟!</w:t>
      </w:r>
      <w:r w:rsidR="005C664D" w:rsidRPr="003F3B94">
        <w:rPr>
          <w:rFonts w:ascii="Abo-thar" w:hAnsi="Abo-thar" w:hint="cs"/>
          <w:sz w:val="28"/>
          <w:rtl/>
        </w:rPr>
        <w:t xml:space="preserve"> وكأن كاتب هذه الرسالة يعتبر نفسه صاحب حق ومالك مطلق لتلك الأشياء </w:t>
      </w:r>
      <w:r w:rsidR="00217AB4" w:rsidRPr="003F3B94">
        <w:rPr>
          <w:rFonts w:ascii="Abo-thar" w:hAnsi="Abo-thar" w:hint="cs"/>
          <w:sz w:val="28"/>
          <w:rtl/>
        </w:rPr>
        <w:t>(</w:t>
      </w:r>
      <w:r w:rsidR="005C664D" w:rsidRPr="003F3B94">
        <w:rPr>
          <w:rFonts w:ascii="Abo-thar" w:hAnsi="Abo-thar" w:hint="cs"/>
          <w:sz w:val="28"/>
          <w:rtl/>
        </w:rPr>
        <w:t>الأواني والدواب والخدم</w:t>
      </w:r>
      <w:r w:rsidR="00217AB4" w:rsidRPr="003F3B94">
        <w:rPr>
          <w:rFonts w:ascii="Abo-thar" w:hAnsi="Abo-thar" w:hint="cs"/>
          <w:sz w:val="28"/>
          <w:rtl/>
        </w:rPr>
        <w:t>)</w:t>
      </w:r>
      <w:r w:rsidR="005C664D" w:rsidRPr="003F3B94">
        <w:rPr>
          <w:rFonts w:ascii="Abo-thar" w:hAnsi="Abo-thar" w:hint="cs"/>
          <w:sz w:val="28"/>
          <w:rtl/>
        </w:rPr>
        <w:t xml:space="preserve"> فيمن على الناس بأنه لم يوجب فيها الخمس ويقول</w:t>
      </w:r>
      <w:r w:rsidR="00217AB4" w:rsidRPr="003F3B94">
        <w:rPr>
          <w:rFonts w:ascii="Abo-thar" w:hAnsi="Abo-thar" w:hint="cs"/>
          <w:sz w:val="28"/>
          <w:rtl/>
        </w:rPr>
        <w:t>:</w:t>
      </w:r>
      <w:r w:rsidR="005C664D" w:rsidRPr="003F3B94">
        <w:rPr>
          <w:rFonts w:ascii="Abo-thar" w:hAnsi="Abo-thar" w:hint="cs"/>
          <w:sz w:val="28"/>
          <w:rtl/>
        </w:rPr>
        <w:t xml:space="preserve"> </w:t>
      </w:r>
      <w:r w:rsidR="00EF2588" w:rsidRPr="004408B9">
        <w:rPr>
          <w:rFonts w:ascii="Abo-thar" w:hAnsi="Abo-thar" w:cs="KFGQPC Uthman Taha Naskh" w:hint="cs"/>
          <w:sz w:val="28"/>
          <w:rtl/>
        </w:rPr>
        <w:t>«</w:t>
      </w:r>
      <w:r w:rsidR="005C664D" w:rsidRPr="004408B9">
        <w:rPr>
          <w:rFonts w:ascii="Abo-thar" w:hAnsi="Abo-thar" w:cs="KFGQPC Uthman Taha Naskh"/>
          <w:b/>
          <w:bCs/>
          <w:sz w:val="28"/>
          <w:rtl/>
        </w:rPr>
        <w:t>تَخْفِيفاً مِنِّي عَنْ مَوَالِيَّ ومَنّاً مِنِّي عَلَيْهِمْ</w:t>
      </w:r>
      <w:r w:rsidR="00EF2588" w:rsidRPr="004408B9">
        <w:rPr>
          <w:rFonts w:ascii="Abo-thar" w:hAnsi="Abo-thar" w:cs="KFGQPC Uthman Taha Naskh" w:hint="cs"/>
          <w:sz w:val="28"/>
          <w:rtl/>
        </w:rPr>
        <w:t>»</w:t>
      </w:r>
      <w:r w:rsidR="00217AB4" w:rsidRPr="003F3B94">
        <w:rPr>
          <w:rFonts w:ascii="Abo-thar" w:hAnsi="Abo-thar" w:hint="cs"/>
          <w:sz w:val="28"/>
          <w:rtl/>
        </w:rPr>
        <w:t>.</w:t>
      </w:r>
      <w:r w:rsidR="005C664D" w:rsidRPr="003F3B94">
        <w:rPr>
          <w:rFonts w:ascii="Abo-thar" w:hAnsi="Abo-thar" w:hint="cs"/>
          <w:sz w:val="28"/>
          <w:rtl/>
        </w:rPr>
        <w:t xml:space="preserve"> </w:t>
      </w:r>
    </w:p>
    <w:p w:rsidR="005C664D" w:rsidRPr="003F3B94" w:rsidRDefault="00C63984" w:rsidP="003F3B94">
      <w:pPr>
        <w:pStyle w:val="a0"/>
        <w:rPr>
          <w:rFonts w:hint="cs"/>
          <w:rtl/>
        </w:rPr>
      </w:pPr>
      <w:r w:rsidRPr="00255A16">
        <w:rPr>
          <w:rFonts w:ascii="Abo-thar" w:hAnsi="Abo-thar" w:hint="cs"/>
          <w:b/>
          <w:bCs/>
          <w:sz w:val="28"/>
          <w:rtl/>
        </w:rPr>
        <w:t>رابعًا</w:t>
      </w:r>
      <w:r w:rsidR="00217AB4" w:rsidRPr="003F3B94">
        <w:rPr>
          <w:rFonts w:ascii="Abo-thar" w:hAnsi="Abo-thar" w:hint="cs"/>
          <w:sz w:val="28"/>
          <w:rtl/>
        </w:rPr>
        <w:t>-</w:t>
      </w:r>
      <w:r w:rsidR="00147857" w:rsidRPr="003F3B94">
        <w:rPr>
          <w:rFonts w:ascii="Abo-thar" w:hAnsi="Abo-thar" w:hint="cs"/>
          <w:sz w:val="28"/>
          <w:rtl/>
        </w:rPr>
        <w:t xml:space="preserve"> </w:t>
      </w:r>
      <w:r w:rsidR="005C664D" w:rsidRPr="003F3B94">
        <w:rPr>
          <w:rFonts w:ascii="Abo-thar" w:hAnsi="Abo-thar" w:hint="cs"/>
          <w:sz w:val="28"/>
          <w:rtl/>
        </w:rPr>
        <w:t>يعتبر كاتب الرسالة هذا التخفيف والمنة مرهونة بعلة هي أخذ السلطان ضرائب من الناس لذا فإن الإمام خفف عليهم ومنَّ عليهم بذلك</w:t>
      </w:r>
      <w:r w:rsidR="00217AB4" w:rsidRPr="003F3B94">
        <w:rPr>
          <w:rFonts w:ascii="Abo-thar" w:hAnsi="Abo-thar" w:hint="cs"/>
          <w:sz w:val="28"/>
          <w:rtl/>
        </w:rPr>
        <w:t>.</w:t>
      </w:r>
      <w:r w:rsidR="005C664D" w:rsidRPr="003F3B94">
        <w:rPr>
          <w:rFonts w:ascii="Abo-thar" w:hAnsi="Abo-thar" w:hint="cs"/>
          <w:sz w:val="28"/>
          <w:rtl/>
        </w:rPr>
        <w:t xml:space="preserve"> وهذه العبارة أيّاً كان قائلها لا تصحُّ لما يلي</w:t>
      </w:r>
      <w:r w:rsidR="00217AB4" w:rsidRPr="003F3B94">
        <w:rPr>
          <w:rFonts w:ascii="Abo-thar" w:hAnsi="Abo-thar" w:hint="cs"/>
          <w:sz w:val="28"/>
          <w:rtl/>
        </w:rPr>
        <w:t>:</w:t>
      </w:r>
      <w:r w:rsidR="005C664D" w:rsidRPr="003F3B94">
        <w:rPr>
          <w:rFonts w:ascii="Abo-thar" w:hAnsi="Abo-thar" w:hint="cs"/>
          <w:sz w:val="28"/>
          <w:rtl/>
        </w:rPr>
        <w:t xml:space="preserve"> </w:t>
      </w:r>
    </w:p>
    <w:p w:rsidR="005C664D" w:rsidRPr="003F3B94" w:rsidRDefault="005C664D" w:rsidP="00255A16">
      <w:pPr>
        <w:pStyle w:val="a0"/>
        <w:ind w:left="624" w:hanging="340"/>
        <w:rPr>
          <w:rFonts w:hint="cs"/>
          <w:rtl/>
        </w:rPr>
      </w:pPr>
      <w:r w:rsidRPr="003F3B94">
        <w:rPr>
          <w:rFonts w:ascii="Abo-thar" w:hAnsi="Abo-thar" w:hint="cs"/>
          <w:sz w:val="28"/>
          <w:rtl/>
        </w:rPr>
        <w:t>أ</w:t>
      </w:r>
      <w:r w:rsidR="00217AB4" w:rsidRPr="003F3B94">
        <w:rPr>
          <w:rFonts w:ascii="Abo-thar" w:hAnsi="Abo-thar" w:hint="cs"/>
          <w:sz w:val="28"/>
          <w:rtl/>
        </w:rPr>
        <w:t>-</w:t>
      </w:r>
      <w:r w:rsidRPr="003F3B94">
        <w:rPr>
          <w:rFonts w:ascii="Abo-thar" w:hAnsi="Abo-thar" w:hint="cs"/>
          <w:sz w:val="28"/>
          <w:rtl/>
        </w:rPr>
        <w:t xml:space="preserve"> كما قلنا ليس في الأشياء المذكورة خمس حتى يأخذه منها أحد أو يتركه</w:t>
      </w:r>
      <w:r w:rsidR="00217AB4" w:rsidRPr="003F3B94">
        <w:rPr>
          <w:rFonts w:ascii="Abo-thar" w:hAnsi="Abo-thar" w:hint="cs"/>
          <w:sz w:val="28"/>
          <w:rtl/>
        </w:rPr>
        <w:t>.</w:t>
      </w:r>
      <w:r w:rsidRPr="003F3B94">
        <w:rPr>
          <w:rFonts w:ascii="Abo-thar" w:hAnsi="Abo-thar" w:hint="cs"/>
          <w:sz w:val="28"/>
          <w:rtl/>
        </w:rPr>
        <w:t xml:space="preserve"> </w:t>
      </w:r>
    </w:p>
    <w:p w:rsidR="005C664D" w:rsidRPr="003F3B94" w:rsidRDefault="005C664D" w:rsidP="00255A16">
      <w:pPr>
        <w:pStyle w:val="a0"/>
        <w:ind w:left="624" w:hanging="340"/>
        <w:rPr>
          <w:rFonts w:hint="cs"/>
          <w:rtl/>
        </w:rPr>
      </w:pPr>
      <w:r w:rsidRPr="003F3B94">
        <w:rPr>
          <w:rFonts w:ascii="Abo-thar" w:hAnsi="Abo-thar" w:hint="cs"/>
          <w:sz w:val="28"/>
          <w:rtl/>
        </w:rPr>
        <w:t>ب</w:t>
      </w:r>
      <w:r w:rsidR="00217AB4" w:rsidRPr="003F3B94">
        <w:rPr>
          <w:rFonts w:ascii="Abo-thar" w:hAnsi="Abo-thar" w:hint="cs"/>
          <w:sz w:val="28"/>
          <w:rtl/>
        </w:rPr>
        <w:t>-</w:t>
      </w:r>
      <w:r w:rsidRPr="003F3B94">
        <w:rPr>
          <w:rFonts w:ascii="Abo-thar" w:hAnsi="Abo-thar" w:hint="cs"/>
          <w:sz w:val="28"/>
          <w:rtl/>
        </w:rPr>
        <w:t xml:space="preserve"> المنَّة والتخفيف إنما تكون لمن كان قادراً على دفع حقٍّ ثم صرف النظر عن المطالبة به ومنَّ على من يجب عليه الحق بذلك</w:t>
      </w:r>
      <w:r w:rsidR="00217AB4" w:rsidRPr="003F3B94">
        <w:rPr>
          <w:rFonts w:ascii="Abo-thar" w:hAnsi="Abo-thar" w:hint="cs"/>
          <w:sz w:val="28"/>
          <w:rtl/>
        </w:rPr>
        <w:t>،</w:t>
      </w:r>
      <w:r w:rsidRPr="003F3B94">
        <w:rPr>
          <w:rFonts w:ascii="Abo-thar" w:hAnsi="Abo-thar" w:hint="cs"/>
          <w:sz w:val="28"/>
          <w:rtl/>
        </w:rPr>
        <w:t xml:space="preserve"> لا لمساكين سلب السلطان منهم أشياءهم</w:t>
      </w:r>
      <w:r w:rsidR="00217AB4" w:rsidRPr="003F3B94">
        <w:rPr>
          <w:rFonts w:ascii="Abo-thar" w:hAnsi="Abo-thar" w:hint="cs"/>
          <w:sz w:val="28"/>
          <w:rtl/>
        </w:rPr>
        <w:t>،</w:t>
      </w:r>
      <w:r w:rsidRPr="003F3B94">
        <w:rPr>
          <w:rFonts w:ascii="Abo-thar" w:hAnsi="Abo-thar" w:hint="cs"/>
          <w:sz w:val="28"/>
          <w:rtl/>
        </w:rPr>
        <w:t xml:space="preserve"> لأنه لا معنى عندئذ للتخفيف والمنّ به</w:t>
      </w:r>
      <w:r w:rsidR="00217AB4" w:rsidRPr="003F3B94">
        <w:rPr>
          <w:rFonts w:ascii="Abo-thar" w:hAnsi="Abo-thar" w:hint="cs"/>
          <w:sz w:val="28"/>
          <w:rtl/>
        </w:rPr>
        <w:t>.</w:t>
      </w:r>
      <w:r w:rsidRPr="003F3B94">
        <w:rPr>
          <w:rFonts w:ascii="Abo-thar" w:hAnsi="Abo-thar" w:hint="cs"/>
          <w:sz w:val="28"/>
          <w:rtl/>
        </w:rPr>
        <w:t xml:space="preserve"> </w:t>
      </w:r>
    </w:p>
    <w:p w:rsidR="005C664D" w:rsidRPr="003F3B94" w:rsidRDefault="005C664D" w:rsidP="00255A16">
      <w:pPr>
        <w:pStyle w:val="a0"/>
        <w:ind w:left="624" w:hanging="340"/>
        <w:rPr>
          <w:rFonts w:hint="cs"/>
          <w:rtl/>
        </w:rPr>
      </w:pPr>
      <w:r w:rsidRPr="003F3B94">
        <w:rPr>
          <w:rFonts w:ascii="Abo-thar" w:hAnsi="Abo-thar" w:hint="cs"/>
          <w:sz w:val="28"/>
          <w:rtl/>
        </w:rPr>
        <w:t>ج</w:t>
      </w:r>
      <w:r w:rsidR="00217AB4" w:rsidRPr="003F3B94">
        <w:rPr>
          <w:rFonts w:ascii="Abo-thar" w:hAnsi="Abo-thar" w:hint="cs"/>
          <w:sz w:val="28"/>
          <w:rtl/>
        </w:rPr>
        <w:t>-</w:t>
      </w:r>
      <w:r w:rsidRPr="003F3B94">
        <w:rPr>
          <w:rFonts w:ascii="Abo-thar" w:hAnsi="Abo-thar" w:hint="cs"/>
          <w:sz w:val="28"/>
          <w:rtl/>
        </w:rPr>
        <w:t xml:space="preserve"> لم يشاهد في تاريخ سلاطين بني العباس أنهم كانوا يأخذون ضرائب أو خُمساً على أواني الناس أو دوابهم أو خدمهم</w:t>
      </w:r>
      <w:r w:rsidR="00217AB4" w:rsidRPr="003F3B94">
        <w:rPr>
          <w:rFonts w:ascii="Abo-thar" w:hAnsi="Abo-thar" w:hint="cs"/>
          <w:sz w:val="28"/>
          <w:rtl/>
        </w:rPr>
        <w:t>!</w:t>
      </w:r>
      <w:r w:rsidRPr="003F3B94">
        <w:rPr>
          <w:rFonts w:ascii="Abo-thar" w:hAnsi="Abo-thar" w:hint="cs"/>
          <w:sz w:val="28"/>
          <w:rtl/>
        </w:rPr>
        <w:t xml:space="preserve"> حتى يأتي جناب كاتب هذه الرسالة فيخفِّف ذلك على الشيعة ويمنُّ بذلك عليهم</w:t>
      </w:r>
      <w:r w:rsidR="00217AB4" w:rsidRPr="003F3B94">
        <w:rPr>
          <w:rFonts w:ascii="Abo-thar" w:hAnsi="Abo-thar" w:hint="cs"/>
          <w:sz w:val="28"/>
          <w:rtl/>
        </w:rPr>
        <w:t>.</w:t>
      </w:r>
      <w:r w:rsidRPr="003F3B94">
        <w:rPr>
          <w:rFonts w:ascii="Abo-thar" w:hAnsi="Abo-thar" w:hint="cs"/>
          <w:sz w:val="28"/>
          <w:rtl/>
        </w:rPr>
        <w:t xml:space="preserve"> </w:t>
      </w:r>
    </w:p>
    <w:p w:rsidR="005C664D" w:rsidRPr="00995B26" w:rsidRDefault="00C63984" w:rsidP="00255A16">
      <w:pPr>
        <w:pStyle w:val="a0"/>
        <w:ind w:left="624" w:hanging="340"/>
        <w:rPr>
          <w:rFonts w:hint="cs"/>
          <w:rtl/>
        </w:rPr>
      </w:pPr>
      <w:r w:rsidRPr="003F3B94">
        <w:rPr>
          <w:rFonts w:ascii="Abo-thar" w:hAnsi="Abo-thar" w:hint="cs"/>
          <w:sz w:val="28"/>
          <w:rtl/>
        </w:rPr>
        <w:t xml:space="preserve">د- </w:t>
      </w:r>
      <w:r w:rsidR="005C664D" w:rsidRPr="003F3B94">
        <w:rPr>
          <w:rFonts w:ascii="Abo-thar" w:hAnsi="Abo-thar" w:hint="cs"/>
          <w:sz w:val="28"/>
          <w:rtl/>
        </w:rPr>
        <w:t>ثم إن كاتب الرسالة يصرف النظر عن ربح التجارة الذي فيه الخمس ويطالب بالخمس من الذهب والفضة التي مضى عليها سنة فقط ولا ندري كيفية أخذ هذا الخمس</w:t>
      </w:r>
      <w:r w:rsidR="00217AB4" w:rsidRPr="003F3B94">
        <w:rPr>
          <w:rFonts w:ascii="Abo-thar" w:hAnsi="Abo-thar" w:hint="cs"/>
          <w:sz w:val="28"/>
          <w:rtl/>
        </w:rPr>
        <w:t>،</w:t>
      </w:r>
      <w:r w:rsidR="005C664D" w:rsidRPr="003F3B94">
        <w:rPr>
          <w:rFonts w:ascii="Abo-thar" w:hAnsi="Abo-thar" w:hint="cs"/>
          <w:sz w:val="28"/>
          <w:rtl/>
        </w:rPr>
        <w:t xml:space="preserve"> لأنه إذا كان هذا الذهب وهذه الفضة قد أتيا من ربح التجارة فينبغي ألا يوجب فيهما الخمس</w:t>
      </w:r>
      <w:r w:rsidR="00217AB4" w:rsidRPr="003F3B94">
        <w:rPr>
          <w:rFonts w:ascii="Abo-thar" w:hAnsi="Abo-thar" w:hint="cs"/>
          <w:sz w:val="28"/>
          <w:rtl/>
        </w:rPr>
        <w:t>،</w:t>
      </w:r>
      <w:r w:rsidR="005C664D" w:rsidRPr="003F3B94">
        <w:rPr>
          <w:rFonts w:ascii="Abo-thar" w:hAnsi="Abo-thar" w:hint="cs"/>
          <w:sz w:val="28"/>
          <w:rtl/>
        </w:rPr>
        <w:t xml:space="preserve"> لأنه أوجبه على الذهب والفضة اللذين بقيا سنة</w:t>
      </w:r>
      <w:r w:rsidR="00217AB4" w:rsidRPr="003F3B94">
        <w:rPr>
          <w:rFonts w:ascii="Abo-thar" w:hAnsi="Abo-thar" w:hint="cs"/>
          <w:sz w:val="28"/>
          <w:rtl/>
        </w:rPr>
        <w:t>،</w:t>
      </w:r>
      <w:r w:rsidR="005C664D" w:rsidRPr="003F3B94">
        <w:rPr>
          <w:rFonts w:ascii="Abo-thar" w:hAnsi="Abo-thar" w:hint="cs"/>
          <w:sz w:val="28"/>
          <w:rtl/>
        </w:rPr>
        <w:t xml:space="preserve"> دون أن يحدد ما إذا كانا بصورة سبائك أو عملة مسكوكة أو وسائل للزينة أو أواني</w:t>
      </w:r>
      <w:r w:rsidR="001E0DB7" w:rsidRPr="003F3B94">
        <w:rPr>
          <w:rFonts w:ascii="Abo-thar" w:hAnsi="Abo-thar" w:hint="cs"/>
          <w:sz w:val="28"/>
          <w:rtl/>
        </w:rPr>
        <w:t>،</w:t>
      </w:r>
      <w:r w:rsidR="005C664D" w:rsidRPr="003F3B94">
        <w:rPr>
          <w:rFonts w:ascii="Abo-thar" w:hAnsi="Abo-thar" w:hint="cs"/>
          <w:sz w:val="28"/>
          <w:rtl/>
        </w:rPr>
        <w:t xml:space="preserve"> بل شرطه الوحيد أن يمر عليهما سنة حتى يشملهما الخمس</w:t>
      </w:r>
      <w:r w:rsidR="00217AB4" w:rsidRPr="003F3B94">
        <w:rPr>
          <w:rFonts w:ascii="Abo-thar" w:hAnsi="Abo-thar" w:hint="cs"/>
          <w:sz w:val="28"/>
          <w:rtl/>
        </w:rPr>
        <w:t>!</w:t>
      </w:r>
      <w:r w:rsidR="005C664D" w:rsidRPr="003F3B94">
        <w:rPr>
          <w:rFonts w:ascii="Abo-thar" w:hAnsi="Abo-thar" w:hint="cs"/>
          <w:sz w:val="28"/>
          <w:rtl/>
        </w:rPr>
        <w:t xml:space="preserve"> والأعجب من كل ذلك أن كاتب هذه الرسالة الذي أوجب في بداية رسالته الخمس في هذا العام </w:t>
      </w:r>
      <w:r w:rsidR="00217AB4" w:rsidRPr="003F3B94">
        <w:rPr>
          <w:rFonts w:ascii="Abo-thar" w:hAnsi="Abo-thar" w:hint="cs"/>
          <w:sz w:val="28"/>
          <w:rtl/>
        </w:rPr>
        <w:t>(</w:t>
      </w:r>
      <w:r w:rsidR="005C664D" w:rsidRPr="003F3B94">
        <w:rPr>
          <w:rFonts w:ascii="Abo-thar" w:hAnsi="Abo-thar" w:hint="cs"/>
          <w:sz w:val="28"/>
          <w:rtl/>
        </w:rPr>
        <w:t>سنة 220 هـ</w:t>
      </w:r>
      <w:r w:rsidR="00217AB4" w:rsidRPr="003F3B94">
        <w:rPr>
          <w:rFonts w:ascii="Abo-thar" w:hAnsi="Abo-thar" w:hint="cs"/>
          <w:sz w:val="28"/>
          <w:rtl/>
        </w:rPr>
        <w:t>)</w:t>
      </w:r>
      <w:r w:rsidR="005C664D" w:rsidRPr="003F3B94">
        <w:rPr>
          <w:rFonts w:ascii="Abo-thar" w:hAnsi="Abo-thar" w:hint="cs"/>
          <w:sz w:val="28"/>
          <w:rtl/>
        </w:rPr>
        <w:t xml:space="preserve"> وخصه بالذهب والفضة اللذين مضى عليهما سنة</w:t>
      </w:r>
      <w:r w:rsidR="001E0DB7" w:rsidRPr="003F3B94">
        <w:rPr>
          <w:rFonts w:ascii="Abo-thar" w:hAnsi="Abo-thar" w:hint="cs"/>
          <w:sz w:val="28"/>
          <w:rtl/>
        </w:rPr>
        <w:t>،</w:t>
      </w:r>
      <w:r w:rsidR="005C664D" w:rsidRPr="003F3B94">
        <w:rPr>
          <w:rFonts w:ascii="Abo-thar" w:hAnsi="Abo-thar" w:hint="cs"/>
          <w:sz w:val="28"/>
          <w:rtl/>
        </w:rPr>
        <w:t xml:space="preserve"> يبدو أنه ندم على عفوه عن سائر الأشياء لأنه قال فيما بعد</w:t>
      </w:r>
      <w:r w:rsidR="00217AB4" w:rsidRPr="003F3B94">
        <w:rPr>
          <w:rFonts w:ascii="Abo-thar" w:hAnsi="Abo-thar" w:hint="cs"/>
          <w:sz w:val="28"/>
          <w:rtl/>
        </w:rPr>
        <w:t>:</w:t>
      </w:r>
      <w:r w:rsidR="005C664D" w:rsidRPr="003F3B94">
        <w:rPr>
          <w:rFonts w:ascii="Abo-thar" w:hAnsi="Abo-thar" w:hint="cs"/>
          <w:sz w:val="28"/>
          <w:rtl/>
        </w:rPr>
        <w:t xml:space="preserve"> </w:t>
      </w:r>
      <w:r w:rsidR="00EF2588" w:rsidRPr="004408B9">
        <w:rPr>
          <w:rFonts w:ascii="Abo-thar" w:hAnsi="Abo-thar" w:cs="KFGQPC Uthman Taha Naskh" w:hint="cs"/>
          <w:sz w:val="28"/>
          <w:rtl/>
        </w:rPr>
        <w:t>«</w:t>
      </w:r>
      <w:r w:rsidR="005C664D" w:rsidRPr="004408B9">
        <w:rPr>
          <w:rFonts w:ascii="Abo-thar" w:hAnsi="Abo-thar" w:cs="KFGQPC Uthman Taha Naskh"/>
          <w:b/>
          <w:bCs/>
          <w:sz w:val="28"/>
          <w:rtl/>
        </w:rPr>
        <w:t>فَأَمَّا الْغَنَائِمُ والْفَوَائِدُ فَهِيَ وَاجِبَةٌ عَلَيْهِمْ فِي كُلِّ عَام</w:t>
      </w:r>
      <w:r w:rsidR="00EF2588" w:rsidRPr="004408B9">
        <w:rPr>
          <w:rFonts w:ascii="Abo-thar" w:hAnsi="Abo-thar" w:cs="KFGQPC Uthman Taha Naskh" w:hint="cs"/>
          <w:sz w:val="28"/>
          <w:rtl/>
        </w:rPr>
        <w:t>»</w:t>
      </w:r>
      <w:r w:rsidR="001E0DB7" w:rsidRPr="003F3B94">
        <w:rPr>
          <w:rFonts w:ascii="Abo-thar" w:hAnsi="Abo-thar" w:hint="cs"/>
          <w:sz w:val="28"/>
          <w:rtl/>
        </w:rPr>
        <w:t>،</w:t>
      </w:r>
      <w:r w:rsidR="005C664D" w:rsidRPr="003F3B94">
        <w:rPr>
          <w:rFonts w:ascii="Abo-thar" w:hAnsi="Abo-thar" w:hint="cs"/>
          <w:sz w:val="28"/>
          <w:rtl/>
        </w:rPr>
        <w:t xml:space="preserve"> ثم استشهد بالآية الكريمة</w:t>
      </w:r>
      <w:r w:rsidR="00B06788" w:rsidRPr="003F3B94">
        <w:rPr>
          <w:rFonts w:ascii="Abo-thar" w:hAnsi="Abo-thar" w:hint="cs"/>
          <w:sz w:val="28"/>
          <w:rtl/>
        </w:rPr>
        <w:t xml:space="preserve">: </w:t>
      </w:r>
      <w:r w:rsidR="00B06788" w:rsidRPr="00995B26">
        <w:rPr>
          <w:rFonts w:ascii="Abo-thar" w:hAnsi="Abo-thar" w:cs="Traditional Arabic" w:hint="cs"/>
          <w:sz w:val="28"/>
          <w:rtl/>
        </w:rPr>
        <w:t>﴿</w:t>
      </w:r>
      <w:r w:rsidR="00B06788" w:rsidRPr="0067048A">
        <w:rPr>
          <w:rFonts w:ascii="KFGQPC Uthmanic Script HAFS" w:cs="KFGQPC Uthmanic Script HAFS" w:hint="eastAsia"/>
          <w:sz w:val="28"/>
          <w:szCs w:val="28"/>
          <w:rtl/>
        </w:rPr>
        <w:t>وَ</w:t>
      </w:r>
      <w:r w:rsidR="00B06788" w:rsidRPr="0067048A">
        <w:rPr>
          <w:rFonts w:ascii="KFGQPC Uthmanic Script HAFS" w:cs="KFGQPC Uthmanic Script HAFS" w:hint="cs"/>
          <w:sz w:val="28"/>
          <w:szCs w:val="28"/>
          <w:rtl/>
        </w:rPr>
        <w:t>ٱ</w:t>
      </w:r>
      <w:r w:rsidR="00B06788" w:rsidRPr="0067048A">
        <w:rPr>
          <w:rFonts w:ascii="KFGQPC Uthmanic Script HAFS" w:cs="KFGQPC Uthmanic Script HAFS" w:hint="eastAsia"/>
          <w:sz w:val="28"/>
          <w:szCs w:val="28"/>
          <w:rtl/>
        </w:rPr>
        <w:t>ع</w:t>
      </w:r>
      <w:r w:rsidR="00B06788" w:rsidRPr="0067048A">
        <w:rPr>
          <w:rFonts w:ascii="KFGQPC Uthmanic Script HAFS" w:cs="KFGQPC Uthmanic Script HAFS" w:hint="cs"/>
          <w:sz w:val="28"/>
          <w:szCs w:val="28"/>
          <w:rtl/>
        </w:rPr>
        <w:t>ۡ</w:t>
      </w:r>
      <w:r w:rsidR="00B06788" w:rsidRPr="0067048A">
        <w:rPr>
          <w:rFonts w:ascii="KFGQPC Uthmanic Script HAFS" w:cs="KFGQPC Uthmanic Script HAFS" w:hint="eastAsia"/>
          <w:sz w:val="28"/>
          <w:szCs w:val="28"/>
          <w:rtl/>
        </w:rPr>
        <w:t>لَمُو</w:t>
      </w:r>
      <w:r w:rsidR="00B06788" w:rsidRPr="0067048A">
        <w:rPr>
          <w:rFonts w:ascii="KFGQPC Uthmanic Script HAFS" w:cs="KFGQPC Uthmanic Script HAFS" w:hint="cs"/>
          <w:sz w:val="28"/>
          <w:szCs w:val="28"/>
          <w:rtl/>
        </w:rPr>
        <w:t>ٓ</w:t>
      </w:r>
      <w:r w:rsidR="00B06788" w:rsidRPr="0067048A">
        <w:rPr>
          <w:rFonts w:ascii="KFGQPC Uthmanic Script HAFS" w:cs="KFGQPC Uthmanic Script HAFS" w:hint="eastAsia"/>
          <w:sz w:val="28"/>
          <w:szCs w:val="28"/>
          <w:rtl/>
        </w:rPr>
        <w:t>اْ</w:t>
      </w:r>
      <w:r w:rsidR="00B06788" w:rsidRPr="0067048A">
        <w:rPr>
          <w:rFonts w:ascii="KFGQPC Uthmanic Script HAFS" w:cs="KFGQPC Uthmanic Script HAFS"/>
          <w:sz w:val="28"/>
          <w:szCs w:val="28"/>
          <w:rtl/>
        </w:rPr>
        <w:t xml:space="preserve"> </w:t>
      </w:r>
      <w:r w:rsidR="00B06788" w:rsidRPr="0067048A">
        <w:rPr>
          <w:rFonts w:ascii="KFGQPC Uthmanic Script HAFS" w:cs="KFGQPC Uthmanic Script HAFS" w:hint="eastAsia"/>
          <w:sz w:val="28"/>
          <w:szCs w:val="28"/>
          <w:rtl/>
        </w:rPr>
        <w:t>أَنَّمَا</w:t>
      </w:r>
      <w:r w:rsidR="00B06788" w:rsidRPr="0067048A">
        <w:rPr>
          <w:rFonts w:ascii="KFGQPC Uthmanic Script HAFS" w:cs="KFGQPC Uthmanic Script HAFS"/>
          <w:sz w:val="28"/>
          <w:szCs w:val="28"/>
          <w:rtl/>
        </w:rPr>
        <w:t xml:space="preserve"> </w:t>
      </w:r>
      <w:r w:rsidR="00B06788" w:rsidRPr="0067048A">
        <w:rPr>
          <w:rFonts w:ascii="KFGQPC Uthmanic Script HAFS" w:cs="KFGQPC Uthmanic Script HAFS" w:hint="eastAsia"/>
          <w:sz w:val="28"/>
          <w:szCs w:val="28"/>
          <w:rtl/>
        </w:rPr>
        <w:t>غَنِم</w:t>
      </w:r>
      <w:r w:rsidR="00B06788" w:rsidRPr="0067048A">
        <w:rPr>
          <w:rFonts w:ascii="KFGQPC Uthmanic Script HAFS" w:cs="KFGQPC Uthmanic Script HAFS" w:hint="cs"/>
          <w:sz w:val="28"/>
          <w:szCs w:val="28"/>
          <w:rtl/>
        </w:rPr>
        <w:t>ۡ</w:t>
      </w:r>
      <w:r w:rsidR="00B06788" w:rsidRPr="0067048A">
        <w:rPr>
          <w:rFonts w:ascii="KFGQPC Uthmanic Script HAFS" w:cs="KFGQPC Uthmanic Script HAFS" w:hint="eastAsia"/>
          <w:sz w:val="28"/>
          <w:szCs w:val="28"/>
          <w:rtl/>
        </w:rPr>
        <w:t>تُم</w:t>
      </w:r>
      <w:r w:rsidR="00B06788" w:rsidRPr="0067048A">
        <w:rPr>
          <w:rFonts w:ascii="KFGQPC Uthmanic Script HAFS" w:cs="KFGQPC Uthmanic Script HAFS"/>
          <w:sz w:val="28"/>
          <w:szCs w:val="28"/>
          <w:rtl/>
        </w:rPr>
        <w:t xml:space="preserve"> </w:t>
      </w:r>
      <w:r w:rsidR="00B06788" w:rsidRPr="0067048A">
        <w:rPr>
          <w:rFonts w:ascii="KFGQPC Uthmanic Script HAFS" w:cs="KFGQPC Uthmanic Script HAFS" w:hint="eastAsia"/>
          <w:sz w:val="28"/>
          <w:szCs w:val="28"/>
          <w:rtl/>
        </w:rPr>
        <w:t>مِّن</w:t>
      </w:r>
      <w:r w:rsidR="00B06788" w:rsidRPr="0067048A">
        <w:rPr>
          <w:rFonts w:ascii="KFGQPC Uthmanic Script HAFS" w:cs="KFGQPC Uthmanic Script HAFS"/>
          <w:sz w:val="28"/>
          <w:szCs w:val="28"/>
          <w:rtl/>
        </w:rPr>
        <w:t xml:space="preserve"> </w:t>
      </w:r>
      <w:r w:rsidR="00B06788" w:rsidRPr="0067048A">
        <w:rPr>
          <w:rFonts w:ascii="KFGQPC Uthmanic Script HAFS" w:cs="KFGQPC Uthmanic Script HAFS" w:hint="eastAsia"/>
          <w:sz w:val="28"/>
          <w:szCs w:val="28"/>
          <w:rtl/>
        </w:rPr>
        <w:t>شَي</w:t>
      </w:r>
      <w:r w:rsidR="00B06788" w:rsidRPr="0067048A">
        <w:rPr>
          <w:rFonts w:ascii="KFGQPC Uthmanic Script HAFS" w:cs="KFGQPC Uthmanic Script HAFS" w:hint="cs"/>
          <w:sz w:val="28"/>
          <w:szCs w:val="28"/>
          <w:rtl/>
        </w:rPr>
        <w:t>ۡ</w:t>
      </w:r>
      <w:r w:rsidR="00B06788" w:rsidRPr="0067048A">
        <w:rPr>
          <w:rFonts w:ascii="KFGQPC Uthmanic Script HAFS" w:cs="KFGQPC Uthmanic Script HAFS" w:hint="eastAsia"/>
          <w:sz w:val="28"/>
          <w:szCs w:val="28"/>
          <w:rtl/>
        </w:rPr>
        <w:t>ء</w:t>
      </w:r>
      <w:r w:rsidR="00B06788" w:rsidRPr="0067048A">
        <w:rPr>
          <w:rFonts w:ascii="KFGQPC Uthmanic Script HAFS" w:cs="KFGQPC Uthmanic Script HAFS" w:hint="cs"/>
          <w:sz w:val="28"/>
          <w:szCs w:val="28"/>
          <w:rtl/>
        </w:rPr>
        <w:t>ٖ</w:t>
      </w:r>
      <w:r w:rsidR="00B06788" w:rsidRPr="0067048A">
        <w:rPr>
          <w:rFonts w:ascii="KFGQPC Uthmanic Script HAFS" w:cs="KFGQPC Uthmanic Script HAFS"/>
          <w:sz w:val="28"/>
          <w:szCs w:val="28"/>
          <w:rtl/>
        </w:rPr>
        <w:t xml:space="preserve"> </w:t>
      </w:r>
      <w:r w:rsidR="00B06788" w:rsidRPr="0067048A">
        <w:rPr>
          <w:rFonts w:ascii="KFGQPC Uthmanic Script HAFS" w:cs="KFGQPC Uthmanic Script HAFS" w:hint="eastAsia"/>
          <w:sz w:val="28"/>
          <w:szCs w:val="28"/>
          <w:rtl/>
        </w:rPr>
        <w:t>فَأَنَّ</w:t>
      </w:r>
      <w:r w:rsidR="00B06788" w:rsidRPr="0067048A">
        <w:rPr>
          <w:rFonts w:ascii="KFGQPC Uthmanic Script HAFS" w:cs="KFGQPC Uthmanic Script HAFS"/>
          <w:sz w:val="28"/>
          <w:szCs w:val="28"/>
          <w:rtl/>
        </w:rPr>
        <w:t xml:space="preserve"> </w:t>
      </w:r>
      <w:r w:rsidR="00B06788" w:rsidRPr="0067048A">
        <w:rPr>
          <w:rFonts w:ascii="KFGQPC Uthmanic Script HAFS" w:cs="KFGQPC Uthmanic Script HAFS" w:hint="eastAsia"/>
          <w:sz w:val="28"/>
          <w:szCs w:val="28"/>
          <w:rtl/>
        </w:rPr>
        <w:t>لِلَّهِ</w:t>
      </w:r>
      <w:r w:rsidR="00B06788" w:rsidRPr="0067048A">
        <w:rPr>
          <w:rFonts w:ascii="KFGQPC Uthmanic Script HAFS" w:cs="KFGQPC Uthmanic Script HAFS"/>
          <w:sz w:val="28"/>
          <w:szCs w:val="28"/>
          <w:rtl/>
        </w:rPr>
        <w:t xml:space="preserve"> </w:t>
      </w:r>
      <w:r w:rsidR="00B06788" w:rsidRPr="0067048A">
        <w:rPr>
          <w:rFonts w:ascii="KFGQPC Uthmanic Script HAFS" w:cs="KFGQPC Uthmanic Script HAFS" w:hint="eastAsia"/>
          <w:sz w:val="28"/>
          <w:szCs w:val="28"/>
          <w:rtl/>
        </w:rPr>
        <w:t>خُمُسَهُ</w:t>
      </w:r>
      <w:r w:rsidR="00B06788" w:rsidRPr="00995B26">
        <w:rPr>
          <w:rFonts w:ascii="KFGQPC Uthmanic Script HAFS" w:cs="Times New Roman" w:hint="cs"/>
          <w:sz w:val="28"/>
          <w:rtl/>
        </w:rPr>
        <w:t>...</w:t>
      </w:r>
      <w:r w:rsidR="00B06788" w:rsidRPr="00995B26">
        <w:rPr>
          <w:rFonts w:ascii="Abo-thar" w:hAnsi="Abo-thar" w:cs="Traditional Arabic" w:hint="cs"/>
          <w:sz w:val="28"/>
          <w:rtl/>
        </w:rPr>
        <w:t>﴾</w:t>
      </w:r>
      <w:r w:rsidR="00B06788" w:rsidRPr="00995B26">
        <w:rPr>
          <w:rFonts w:ascii="Abo-thar" w:hAnsi="Abo-thar" w:hint="cs"/>
          <w:sz w:val="28"/>
          <w:rtl/>
        </w:rPr>
        <w:t xml:space="preserve"> </w:t>
      </w:r>
      <w:r w:rsidR="005C664D" w:rsidRPr="00995B26">
        <w:rPr>
          <w:rFonts w:ascii="Abo-thar" w:hAnsi="Abo-thar" w:hint="cs"/>
          <w:sz w:val="28"/>
          <w:rtl/>
        </w:rPr>
        <w:t>مع أنها لا</w:t>
      </w:r>
      <w:r w:rsidR="005C664D" w:rsidRPr="00995B26">
        <w:rPr>
          <w:rFonts w:ascii="Abo-thar" w:hAnsi="Abo-thar" w:hint="eastAsia"/>
          <w:sz w:val="28"/>
          <w:rtl/>
        </w:rPr>
        <w:t> </w:t>
      </w:r>
      <w:r w:rsidR="005C664D" w:rsidRPr="00995B26">
        <w:rPr>
          <w:rFonts w:ascii="Abo-thar" w:hAnsi="Abo-thar" w:hint="cs"/>
          <w:sz w:val="28"/>
          <w:rtl/>
        </w:rPr>
        <w:t>تدل على مطلبه ولا تتعلق به</w:t>
      </w:r>
      <w:r w:rsidR="001E0DB7" w:rsidRPr="00995B26">
        <w:rPr>
          <w:rFonts w:ascii="Abo-thar" w:hAnsi="Abo-thar" w:hint="cs"/>
          <w:sz w:val="28"/>
          <w:rtl/>
        </w:rPr>
        <w:t>،</w:t>
      </w:r>
      <w:r w:rsidR="005C664D" w:rsidRPr="00995B26">
        <w:rPr>
          <w:rFonts w:ascii="Abo-thar" w:hAnsi="Abo-thar" w:hint="cs"/>
          <w:sz w:val="28"/>
          <w:rtl/>
        </w:rPr>
        <w:t xml:space="preserve"> وقد سبق وأن ذكرنا أن عامة المفسرين وأرباب اللغة يعتبرون الغنيمة في الآية الأشياء التي يتم الحصول علها في دار الحرب ولا يعتبرون أن الفوائد والأرباح مشمولة بآية الخمس هذه</w:t>
      </w:r>
      <w:r w:rsidR="00217AB4" w:rsidRPr="00995B26">
        <w:rPr>
          <w:rFonts w:ascii="Abo-thar" w:hAnsi="Abo-thar" w:hint="cs"/>
          <w:sz w:val="28"/>
          <w:rtl/>
        </w:rPr>
        <w:t>،</w:t>
      </w:r>
      <w:r w:rsidR="005C664D" w:rsidRPr="00995B26">
        <w:rPr>
          <w:rFonts w:ascii="Abo-thar" w:hAnsi="Abo-thar" w:hint="cs"/>
          <w:sz w:val="28"/>
          <w:rtl/>
        </w:rPr>
        <w:t xml:space="preserve"> بل يتمسكون</w:t>
      </w:r>
      <w:r w:rsidR="00217AB4" w:rsidRPr="00995B26">
        <w:rPr>
          <w:rFonts w:ascii="Abo-thar" w:hAnsi="Abo-thar" w:hint="cs"/>
          <w:sz w:val="28"/>
          <w:rtl/>
        </w:rPr>
        <w:t>،</w:t>
      </w:r>
      <w:r w:rsidR="005C664D" w:rsidRPr="00995B26">
        <w:rPr>
          <w:rFonts w:ascii="Abo-thar" w:hAnsi="Abo-thar" w:hint="cs"/>
          <w:sz w:val="28"/>
          <w:rtl/>
        </w:rPr>
        <w:t xml:space="preserve"> لإثبات الخمس في الفوائد والأرباح</w:t>
      </w:r>
      <w:r w:rsidR="00217AB4" w:rsidRPr="00995B26">
        <w:rPr>
          <w:rFonts w:ascii="Abo-thar" w:hAnsi="Abo-thar" w:hint="cs"/>
          <w:sz w:val="28"/>
          <w:rtl/>
        </w:rPr>
        <w:t>،</w:t>
      </w:r>
      <w:r w:rsidR="005C664D" w:rsidRPr="00995B26">
        <w:rPr>
          <w:rFonts w:ascii="Abo-thar" w:hAnsi="Abo-thar" w:hint="cs"/>
          <w:sz w:val="28"/>
          <w:rtl/>
        </w:rPr>
        <w:t xml:space="preserve"> بالأخبار والأحاديث</w:t>
      </w:r>
      <w:r w:rsidR="00217AB4" w:rsidRPr="00995B26">
        <w:rPr>
          <w:rFonts w:ascii="Abo-thar" w:hAnsi="Abo-thar" w:hint="cs"/>
          <w:sz w:val="28"/>
          <w:rtl/>
        </w:rPr>
        <w:t>.</w:t>
      </w:r>
      <w:r w:rsidR="005C664D" w:rsidRPr="00995B26">
        <w:rPr>
          <w:rFonts w:ascii="Abo-thar" w:hAnsi="Abo-thar" w:hint="cs"/>
          <w:sz w:val="28"/>
          <w:rtl/>
        </w:rPr>
        <w:t xml:space="preserve"> إن كاتب هذه الرسالة يريد أن يأخذ الخمس </w:t>
      </w:r>
      <w:r w:rsidR="005C664D" w:rsidRPr="00995B26">
        <w:rPr>
          <w:rFonts w:ascii="Abo-thar" w:hAnsi="Abo-thar"/>
          <w:sz w:val="28"/>
          <w:rtl/>
        </w:rPr>
        <w:t>–</w:t>
      </w:r>
      <w:r w:rsidR="005C664D" w:rsidRPr="00995B26">
        <w:rPr>
          <w:rFonts w:ascii="Abo-thar" w:hAnsi="Abo-thar" w:hint="cs"/>
          <w:sz w:val="28"/>
          <w:rtl/>
        </w:rPr>
        <w:t xml:space="preserve"> إضافة إلى الذهب والفضة اللذين مضى عليهما سنة </w:t>
      </w:r>
      <w:r w:rsidR="005C664D" w:rsidRPr="00995B26">
        <w:rPr>
          <w:rFonts w:ascii="Abo-thar" w:hAnsi="Abo-thar"/>
          <w:sz w:val="28"/>
          <w:rtl/>
        </w:rPr>
        <w:t>–</w:t>
      </w:r>
      <w:r w:rsidR="005C664D" w:rsidRPr="00995B26">
        <w:rPr>
          <w:rFonts w:ascii="Abo-thar" w:hAnsi="Abo-thar" w:hint="cs"/>
          <w:sz w:val="28"/>
          <w:rtl/>
        </w:rPr>
        <w:t xml:space="preserve"> من الغنائم والفوائد</w:t>
      </w:r>
      <w:r w:rsidR="001E0DB7" w:rsidRPr="00995B26">
        <w:rPr>
          <w:rFonts w:ascii="Abo-thar" w:hAnsi="Abo-thar" w:hint="cs"/>
          <w:sz w:val="28"/>
          <w:rtl/>
        </w:rPr>
        <w:t>،</w:t>
      </w:r>
      <w:r w:rsidR="005C664D" w:rsidRPr="00995B26">
        <w:rPr>
          <w:rFonts w:ascii="Abo-thar" w:hAnsi="Abo-thar" w:hint="cs"/>
          <w:sz w:val="28"/>
          <w:rtl/>
        </w:rPr>
        <w:t xml:space="preserve"> ثم يفسر الغنائم والفوائد بقوله</w:t>
      </w:r>
      <w:r w:rsidR="00217AB4" w:rsidRPr="00995B26">
        <w:rPr>
          <w:rFonts w:ascii="Abo-thar" w:hAnsi="Abo-thar" w:hint="cs"/>
          <w:sz w:val="28"/>
          <w:rtl/>
        </w:rPr>
        <w:t>:</w:t>
      </w:r>
      <w:r w:rsidR="005C664D" w:rsidRPr="00995B26">
        <w:rPr>
          <w:rFonts w:hint="cs"/>
          <w:sz w:val="28"/>
          <w:rtl/>
        </w:rPr>
        <w:t xml:space="preserve"> </w:t>
      </w:r>
      <w:r w:rsidR="00EF2588" w:rsidRPr="004408B9">
        <w:rPr>
          <w:rFonts w:ascii="Abo-thar" w:hAnsi="Abo-thar" w:cs="KFGQPC Uthman Taha Naskh" w:hint="cs"/>
          <w:sz w:val="28"/>
          <w:rtl/>
        </w:rPr>
        <w:t>«</w:t>
      </w:r>
      <w:r w:rsidR="005C664D" w:rsidRPr="004408B9">
        <w:rPr>
          <w:rFonts w:ascii="Abo-thar" w:hAnsi="Abo-thar" w:cs="KFGQPC Uthman Taha Naskh"/>
          <w:b/>
          <w:bCs/>
          <w:sz w:val="28"/>
          <w:rtl/>
        </w:rPr>
        <w:t>والْغَنَائِمُ والْفَوَائِدُ يَرْحَمُكَ اللهُ فَهِيَ الْغَنِيمَةُ يَغْنَمُهَا المَرْءُ والْفَائِدَةُ يُفِيدُهَا</w:t>
      </w:r>
      <w:r w:rsidR="00EF2588" w:rsidRPr="004408B9">
        <w:rPr>
          <w:rFonts w:ascii="Abo-thar" w:hAnsi="Abo-thar" w:cs="KFGQPC Uthman Taha Naskh" w:hint="cs"/>
          <w:sz w:val="28"/>
          <w:rtl/>
        </w:rPr>
        <w:t>»</w:t>
      </w:r>
      <w:r w:rsidR="005C664D" w:rsidRPr="00995B26">
        <w:rPr>
          <w:rFonts w:ascii="Abo-thar" w:hAnsi="Abo-thar" w:hint="cs"/>
          <w:sz w:val="28"/>
          <w:rtl/>
        </w:rPr>
        <w:t xml:space="preserve"> إلى آخر كلامه</w:t>
      </w:r>
      <w:r w:rsidR="00217AB4" w:rsidRPr="00995B26">
        <w:rPr>
          <w:rFonts w:ascii="Abo-thar" w:hAnsi="Abo-thar" w:hint="cs"/>
          <w:sz w:val="28"/>
          <w:rtl/>
        </w:rPr>
        <w:t>.</w:t>
      </w:r>
      <w:r w:rsidR="005C664D" w:rsidRPr="00995B26">
        <w:rPr>
          <w:rFonts w:ascii="Abo-thar" w:hAnsi="Abo-thar" w:hint="cs"/>
          <w:sz w:val="28"/>
          <w:rtl/>
        </w:rPr>
        <w:t xml:space="preserve"> ولا ندري ما مقصوده هنا من الغنيمة التي يغنمها المرء</w:t>
      </w:r>
      <w:r w:rsidR="00217AB4" w:rsidRPr="00995B26">
        <w:rPr>
          <w:rFonts w:ascii="Abo-thar" w:hAnsi="Abo-thar" w:hint="cs"/>
          <w:sz w:val="28"/>
          <w:rtl/>
        </w:rPr>
        <w:t>؟</w:t>
      </w:r>
      <w:r w:rsidR="005C664D" w:rsidRPr="00995B26">
        <w:rPr>
          <w:rFonts w:ascii="Abo-thar" w:hAnsi="Abo-thar" w:hint="cs"/>
          <w:sz w:val="28"/>
          <w:rtl/>
        </w:rPr>
        <w:t xml:space="preserve"> فإذا كان مقصوده غنائم الحرب فلا يشملها الخمس كل سنة وإذا كان مقصوده المعادن والكنوز والغوص فليس من شرطها مضي السنة بل بمجرد أن يعزل منها المؤونة أي يقتطعها منها فإن الخمس يشمل ما بقي في أي وقت كان ولا يشترط فيها بلوغ نصاب الزكاة</w:t>
      </w:r>
      <w:r w:rsidR="00217AB4" w:rsidRPr="00995B26">
        <w:rPr>
          <w:rFonts w:ascii="Abo-thar" w:hAnsi="Abo-thar" w:hint="cs"/>
          <w:sz w:val="28"/>
          <w:rtl/>
        </w:rPr>
        <w:t>.</w:t>
      </w:r>
      <w:r w:rsidR="005C664D" w:rsidRPr="00995B26">
        <w:rPr>
          <w:rFonts w:ascii="Abo-thar" w:hAnsi="Abo-thar" w:hint="cs"/>
          <w:sz w:val="28"/>
          <w:rtl/>
        </w:rPr>
        <w:t xml:space="preserve"> فهو لم يعرِّف الغنيمة إلا بقوله</w:t>
      </w:r>
      <w:r w:rsidR="00217AB4" w:rsidRPr="00995B26">
        <w:rPr>
          <w:rFonts w:ascii="Abo-thar" w:hAnsi="Abo-thar" w:hint="cs"/>
          <w:sz w:val="28"/>
          <w:rtl/>
        </w:rPr>
        <w:t>:</w:t>
      </w:r>
      <w:r w:rsidR="005C664D" w:rsidRPr="00995B26">
        <w:rPr>
          <w:rFonts w:ascii="Abo-thar" w:hAnsi="Abo-thar" w:hint="cs"/>
          <w:sz w:val="28"/>
          <w:rtl/>
        </w:rPr>
        <w:t xml:space="preserve"> </w:t>
      </w:r>
      <w:r w:rsidR="00EF2588" w:rsidRPr="004408B9">
        <w:rPr>
          <w:rFonts w:ascii="Abo-thar" w:hAnsi="Abo-thar" w:cs="KFGQPC Uthman Taha Naskh" w:hint="cs"/>
          <w:sz w:val="28"/>
          <w:rtl/>
        </w:rPr>
        <w:t>«</w:t>
      </w:r>
      <w:r w:rsidR="005C664D" w:rsidRPr="004408B9">
        <w:rPr>
          <w:rFonts w:ascii="Abo-thar" w:hAnsi="Abo-thar" w:cs="KFGQPC Uthman Taha Naskh"/>
          <w:b/>
          <w:bCs/>
          <w:sz w:val="28"/>
          <w:rtl/>
        </w:rPr>
        <w:t>يَغْنَمُهَا المَرْءُ</w:t>
      </w:r>
      <w:r w:rsidR="00EF2588" w:rsidRPr="004408B9">
        <w:rPr>
          <w:rFonts w:ascii="Abo-thar" w:hAnsi="Abo-thar" w:cs="KFGQPC Uthman Taha Naskh" w:hint="cs"/>
          <w:sz w:val="28"/>
          <w:rtl/>
        </w:rPr>
        <w:t>»</w:t>
      </w:r>
      <w:r w:rsidR="005C664D" w:rsidRPr="00995B26">
        <w:rPr>
          <w:rFonts w:ascii="Abo-thar" w:hAnsi="Abo-thar" w:hint="cs"/>
          <w:sz w:val="28"/>
          <w:rtl/>
        </w:rPr>
        <w:t xml:space="preserve"> ولكن ما هو الذي يغنمه</w:t>
      </w:r>
      <w:r w:rsidR="00217AB4" w:rsidRPr="00995B26">
        <w:rPr>
          <w:rFonts w:ascii="Abo-thar" w:hAnsi="Abo-thar" w:hint="cs"/>
          <w:sz w:val="28"/>
          <w:rtl/>
        </w:rPr>
        <w:t>؟</w:t>
      </w:r>
      <w:r w:rsidR="005C664D" w:rsidRPr="00995B26">
        <w:rPr>
          <w:rFonts w:ascii="Abo-thar" w:hAnsi="Abo-thar" w:hint="cs"/>
          <w:sz w:val="28"/>
          <w:rtl/>
        </w:rPr>
        <w:t xml:space="preserve"> ليس معلوماً</w:t>
      </w:r>
      <w:r w:rsidR="00217AB4" w:rsidRPr="00995B26">
        <w:rPr>
          <w:rFonts w:ascii="Abo-thar" w:hAnsi="Abo-thar" w:hint="cs"/>
          <w:sz w:val="28"/>
          <w:rtl/>
        </w:rPr>
        <w:t>!</w:t>
      </w:r>
      <w:r w:rsidR="005C664D" w:rsidRPr="00995B26">
        <w:rPr>
          <w:rFonts w:ascii="Abo-thar" w:hAnsi="Abo-thar" w:hint="cs"/>
          <w:sz w:val="28"/>
          <w:rtl/>
        </w:rPr>
        <w:t xml:space="preserve"> ثم يقول</w:t>
      </w:r>
      <w:r w:rsidR="00217AB4" w:rsidRPr="00995B26">
        <w:rPr>
          <w:rFonts w:ascii="Abo-thar" w:hAnsi="Abo-thar" w:hint="cs"/>
          <w:sz w:val="28"/>
          <w:rtl/>
        </w:rPr>
        <w:t>:</w:t>
      </w:r>
      <w:r w:rsidR="005C664D" w:rsidRPr="00995B26">
        <w:rPr>
          <w:rFonts w:ascii="Abo-thar" w:hAnsi="Abo-thar" w:hint="cs"/>
          <w:sz w:val="28"/>
          <w:rtl/>
        </w:rPr>
        <w:t xml:space="preserve"> </w:t>
      </w:r>
      <w:r w:rsidR="00EF2588" w:rsidRPr="004408B9">
        <w:rPr>
          <w:rFonts w:ascii="Abo-thar" w:hAnsi="Abo-thar" w:cs="KFGQPC Uthman Taha Naskh" w:hint="cs"/>
          <w:sz w:val="28"/>
          <w:rtl/>
        </w:rPr>
        <w:t>«</w:t>
      </w:r>
      <w:r w:rsidR="005C664D" w:rsidRPr="004408B9">
        <w:rPr>
          <w:rFonts w:ascii="Abo-thar" w:hAnsi="Abo-thar" w:cs="KFGQPC Uthman Taha Naskh"/>
          <w:b/>
          <w:bCs/>
          <w:sz w:val="28"/>
          <w:rtl/>
        </w:rPr>
        <w:t>والْفَائِدَةُ يُفِيدُهَا</w:t>
      </w:r>
      <w:r w:rsidR="00EF2588" w:rsidRPr="004408B9">
        <w:rPr>
          <w:rFonts w:ascii="Abo-thar" w:hAnsi="Abo-thar" w:cs="KFGQPC Uthman Taha Naskh" w:hint="cs"/>
          <w:sz w:val="28"/>
          <w:rtl/>
        </w:rPr>
        <w:t>»</w:t>
      </w:r>
      <w:r w:rsidR="005C664D" w:rsidRPr="00995B26">
        <w:rPr>
          <w:rFonts w:ascii="Abo-thar" w:hAnsi="Abo-thar" w:hint="cs"/>
          <w:sz w:val="28"/>
          <w:rtl/>
        </w:rPr>
        <w:t xml:space="preserve"> دون أن يبين مقصوده من ذلك</w:t>
      </w:r>
      <w:r w:rsidR="00217AB4" w:rsidRPr="00995B26">
        <w:rPr>
          <w:rFonts w:ascii="Abo-thar" w:hAnsi="Abo-thar" w:hint="cs"/>
          <w:sz w:val="28"/>
          <w:rtl/>
        </w:rPr>
        <w:t>؟</w:t>
      </w:r>
      <w:r w:rsidR="005C664D" w:rsidRPr="00995B26">
        <w:rPr>
          <w:rFonts w:ascii="Abo-thar" w:hAnsi="Abo-thar" w:hint="cs"/>
          <w:sz w:val="28"/>
          <w:rtl/>
        </w:rPr>
        <w:t>ثم يقول</w:t>
      </w:r>
      <w:r w:rsidR="00217AB4" w:rsidRPr="00995B26">
        <w:rPr>
          <w:rFonts w:ascii="Abo-thar" w:hAnsi="Abo-thar" w:hint="cs"/>
          <w:sz w:val="28"/>
          <w:rtl/>
        </w:rPr>
        <w:t>:</w:t>
      </w:r>
      <w:r w:rsidR="00147857" w:rsidRPr="00995B26">
        <w:rPr>
          <w:rFonts w:ascii="Abo-thar" w:hAnsi="Abo-thar" w:hint="cs"/>
          <w:sz w:val="28"/>
          <w:rtl/>
        </w:rPr>
        <w:t xml:space="preserve"> </w:t>
      </w:r>
      <w:r w:rsidR="00EF2588" w:rsidRPr="004408B9">
        <w:rPr>
          <w:rFonts w:ascii="Abo-thar" w:hAnsi="Abo-thar" w:cs="KFGQPC Uthman Taha Naskh" w:hint="cs"/>
          <w:sz w:val="28"/>
          <w:rtl/>
        </w:rPr>
        <w:t>«</w:t>
      </w:r>
      <w:r w:rsidR="005C664D" w:rsidRPr="004408B9">
        <w:rPr>
          <w:rFonts w:ascii="Abo-thar" w:hAnsi="Abo-thar" w:cs="KFGQPC Uthman Taha Naskh"/>
          <w:b/>
          <w:bCs/>
          <w:sz w:val="28"/>
          <w:rtl/>
        </w:rPr>
        <w:t>والجَائِزَةُ مِنَ الْإِنْسَانِ لِلْإِنْسَانِ الَّتِي لَهَا خَطَرٌ عَظِيمٌ والْمِيرَاثُ الَّذِي لَا يُحْتَسَبُ مِنْ غَيْرِ أَبٍ ولَا ابْنٍ ومِثْلُ عَدُوٍّ يُصْطَلَمُ فَيُؤْخَذُ مَالُهُ ومِثْلُ مَالٍ يُؤْخَذُ لَا يُعْرَفُ لَهُ صَاحِبُهُ</w:t>
      </w:r>
      <w:r w:rsidR="005C664D" w:rsidRPr="004408B9">
        <w:rPr>
          <w:rFonts w:ascii="Abo-thar" w:hAnsi="Abo-thar" w:cs="KFGQPC Uthman Taha Naskh" w:hint="cs"/>
          <w:b/>
          <w:bCs/>
          <w:sz w:val="28"/>
          <w:rtl/>
        </w:rPr>
        <w:t xml:space="preserve"> </w:t>
      </w:r>
      <w:r w:rsidR="005C664D" w:rsidRPr="004408B9">
        <w:rPr>
          <w:rFonts w:ascii="Abo-thar" w:hAnsi="Abo-thar" w:cs="KFGQPC Uthman Taha Naskh"/>
          <w:b/>
          <w:bCs/>
          <w:sz w:val="28"/>
          <w:rtl/>
        </w:rPr>
        <w:t>ومِنْ ضَرْبِ مَا صَارَ إِلَى قَوْمٍ مِنْ مَوَالِيَّ مِنْ أَمْوَالِ الخُرَّمِيَّةِ الْفَسَقَةِ</w:t>
      </w:r>
      <w:r w:rsidR="00EF2588" w:rsidRPr="004408B9">
        <w:rPr>
          <w:rFonts w:ascii="Abo-thar" w:hAnsi="Abo-thar" w:cs="KFGQPC Uthman Taha Naskh" w:hint="cs"/>
          <w:b/>
          <w:bCs/>
          <w:sz w:val="28"/>
          <w:rtl/>
        </w:rPr>
        <w:t>»</w:t>
      </w:r>
      <w:r w:rsidR="005C664D" w:rsidRPr="00995B26">
        <w:rPr>
          <w:rFonts w:ascii="Abo-thar" w:hAnsi="Abo-thar" w:hint="cs"/>
          <w:b/>
          <w:bCs/>
          <w:sz w:val="28"/>
          <w:rtl/>
        </w:rPr>
        <w:t xml:space="preserve"> </w:t>
      </w:r>
      <w:r w:rsidR="005C664D" w:rsidRPr="00995B26">
        <w:rPr>
          <w:rFonts w:ascii="Abo-thar" w:hAnsi="Abo-thar" w:hint="cs"/>
          <w:sz w:val="28"/>
          <w:rtl/>
        </w:rPr>
        <w:t>فهو يطالب بجميع هذه الأمور</w:t>
      </w:r>
      <w:r w:rsidR="00217AB4" w:rsidRPr="00995B26">
        <w:rPr>
          <w:rFonts w:ascii="Abo-thar" w:hAnsi="Abo-thar" w:hint="cs"/>
          <w:sz w:val="28"/>
          <w:rtl/>
        </w:rPr>
        <w:t>!!!</w:t>
      </w:r>
      <w:r w:rsidR="005C664D" w:rsidRPr="00995B26">
        <w:rPr>
          <w:rFonts w:ascii="Abo-thar" w:hAnsi="Abo-thar" w:hint="cs"/>
          <w:sz w:val="28"/>
          <w:rtl/>
        </w:rPr>
        <w:t xml:space="preserve"> في حين أنه في بداية الرسالة لم يطلب الخمس إلا في الذهب والفضة اللذين بقيا عاماً</w:t>
      </w:r>
      <w:r w:rsidR="001E0DB7" w:rsidRPr="00995B26">
        <w:rPr>
          <w:rFonts w:ascii="Abo-thar" w:hAnsi="Abo-thar" w:hint="cs"/>
          <w:sz w:val="28"/>
          <w:rtl/>
        </w:rPr>
        <w:t>،</w:t>
      </w:r>
      <w:r w:rsidR="005C664D" w:rsidRPr="00995B26">
        <w:rPr>
          <w:rFonts w:ascii="Abo-thar" w:hAnsi="Abo-thar" w:hint="cs"/>
          <w:sz w:val="28"/>
          <w:rtl/>
        </w:rPr>
        <w:t xml:space="preserve"> أما هنا فإنه يطلب الخمس من الغنائم والفوائد من كل نوع ومن كل شيء ومن المؤونة ومن الجائزة التي تعطى لشخص وتكون قيمتها عظيمة أو الميراث الذي لا</w:t>
      </w:r>
      <w:r w:rsidR="005C664D" w:rsidRPr="00995B26">
        <w:rPr>
          <w:rFonts w:hint="eastAsia"/>
          <w:sz w:val="28"/>
          <w:rtl/>
        </w:rPr>
        <w:t> </w:t>
      </w:r>
      <w:r w:rsidR="005C664D" w:rsidRPr="00995B26">
        <w:rPr>
          <w:rFonts w:ascii="Abo-thar" w:hAnsi="Abo-thar" w:hint="cs"/>
          <w:sz w:val="28"/>
          <w:rtl/>
        </w:rPr>
        <w:t>يحتسب أو المال الذي لا يعرف صاحبه وأموال الخرَّميَّة</w:t>
      </w:r>
      <w:r w:rsidR="00217AB4" w:rsidRPr="00995B26">
        <w:rPr>
          <w:rFonts w:ascii="Abo-thar" w:hAnsi="Abo-thar" w:hint="cs"/>
          <w:sz w:val="28"/>
          <w:rtl/>
        </w:rPr>
        <w:t>!!!</w:t>
      </w:r>
      <w:r w:rsidR="005C664D" w:rsidRPr="00995B26">
        <w:rPr>
          <w:rFonts w:ascii="Abo-thar" w:hAnsi="Abo-thar" w:hint="cs"/>
          <w:sz w:val="28"/>
          <w:rtl/>
        </w:rPr>
        <w:t xml:space="preserve"> ولا</w:t>
      </w:r>
      <w:r w:rsidR="005C664D" w:rsidRPr="00995B26">
        <w:rPr>
          <w:rFonts w:ascii="Abo-thar" w:hAnsi="Abo-thar" w:hint="eastAsia"/>
          <w:sz w:val="28"/>
          <w:rtl/>
        </w:rPr>
        <w:t> </w:t>
      </w:r>
      <w:r w:rsidR="005C664D" w:rsidRPr="00995B26">
        <w:rPr>
          <w:rFonts w:ascii="Abo-thar" w:hAnsi="Abo-thar" w:hint="cs"/>
          <w:sz w:val="28"/>
          <w:rtl/>
        </w:rPr>
        <w:t>يكتفي بخمسها لأنه يقول</w:t>
      </w:r>
      <w:r w:rsidR="00217AB4" w:rsidRPr="00995B26">
        <w:rPr>
          <w:rFonts w:ascii="Abo-thar" w:hAnsi="Abo-thar" w:hint="cs"/>
          <w:sz w:val="28"/>
          <w:rtl/>
        </w:rPr>
        <w:t>:</w:t>
      </w:r>
      <w:r w:rsidR="005C664D" w:rsidRPr="00995B26">
        <w:rPr>
          <w:rFonts w:ascii="Abo-thar" w:hAnsi="Abo-thar" w:hint="cs"/>
          <w:sz w:val="28"/>
          <w:rtl/>
        </w:rPr>
        <w:t xml:space="preserve"> </w:t>
      </w:r>
      <w:r w:rsidR="00EF2588" w:rsidRPr="004408B9">
        <w:rPr>
          <w:rFonts w:ascii="Abo-thar" w:hAnsi="Abo-thar" w:cs="KFGQPC Uthman Taha Naskh" w:hint="cs"/>
          <w:sz w:val="28"/>
          <w:rtl/>
        </w:rPr>
        <w:t>«</w:t>
      </w:r>
      <w:r w:rsidR="005C664D" w:rsidRPr="004408B9">
        <w:rPr>
          <w:rFonts w:ascii="Abo-thar" w:hAnsi="Abo-thar" w:cs="KFGQPC Uthman Taha Naskh"/>
          <w:b/>
          <w:bCs/>
          <w:sz w:val="28"/>
          <w:rtl/>
        </w:rPr>
        <w:t>فَمَنْ كَانَ عِنْدَهُ شَيْ‏ءٌ مِنْ ذَلِكَ فَلْيُوصِلْ إِلَى وَكِيلِي</w:t>
      </w:r>
      <w:r w:rsidR="005C664D" w:rsidRPr="004408B9">
        <w:rPr>
          <w:rFonts w:ascii="Abo-thar" w:hAnsi="Abo-thar" w:cs="KFGQPC Uthman Taha Naskh" w:hint="cs"/>
          <w:b/>
          <w:bCs/>
          <w:sz w:val="28"/>
          <w:rtl/>
        </w:rPr>
        <w:t xml:space="preserve"> </w:t>
      </w:r>
      <w:r w:rsidR="005C664D" w:rsidRPr="004408B9">
        <w:rPr>
          <w:rFonts w:ascii="Abo-thar" w:hAnsi="Abo-thar" w:cs="KFGQPC Uthman Taha Naskh"/>
          <w:b/>
          <w:bCs/>
          <w:sz w:val="28"/>
          <w:rtl/>
        </w:rPr>
        <w:t>ومَنْ كَانَ نَائِياً بَعِيدَ الشُّقَّةِ فَلْيَتَعَمَّدْ لِإِيصَالِهِ ولَوْ بَعْدَ حِينٍ</w:t>
      </w:r>
      <w:r w:rsidR="00EF2588" w:rsidRPr="004408B9">
        <w:rPr>
          <w:rFonts w:ascii="Abo-thar" w:hAnsi="Abo-thar" w:cs="KFGQPC Uthman Taha Naskh" w:hint="cs"/>
          <w:sz w:val="28"/>
          <w:rtl/>
        </w:rPr>
        <w:t>»</w:t>
      </w:r>
      <w:r w:rsidR="00217AB4" w:rsidRPr="00995B26">
        <w:rPr>
          <w:rFonts w:ascii="Abo-thar" w:hAnsi="Abo-thar" w:hint="cs"/>
          <w:sz w:val="28"/>
          <w:rtl/>
        </w:rPr>
        <w:t>!</w:t>
      </w:r>
      <w:r w:rsidR="005C664D" w:rsidRPr="00995B26">
        <w:rPr>
          <w:rFonts w:ascii="Abo-thar" w:hAnsi="Abo-thar" w:hint="cs"/>
          <w:sz w:val="28"/>
          <w:rtl/>
        </w:rPr>
        <w:t xml:space="preserve"> يقول الكاتب في آخر رسالته</w:t>
      </w:r>
      <w:r w:rsidR="00217AB4" w:rsidRPr="00995B26">
        <w:rPr>
          <w:rFonts w:ascii="Abo-thar" w:hAnsi="Abo-thar" w:hint="cs"/>
          <w:sz w:val="28"/>
          <w:rtl/>
        </w:rPr>
        <w:t>:</w:t>
      </w:r>
      <w:r w:rsidR="005C664D" w:rsidRPr="00995B26">
        <w:rPr>
          <w:rFonts w:ascii="Abo-thar" w:hAnsi="Abo-thar" w:hint="cs"/>
          <w:sz w:val="28"/>
          <w:rtl/>
        </w:rPr>
        <w:t xml:space="preserve"> </w:t>
      </w:r>
      <w:r w:rsidR="00EF2588" w:rsidRPr="004408B9">
        <w:rPr>
          <w:rFonts w:ascii="Abo-thar" w:hAnsi="Abo-thar" w:cs="KFGQPC Uthman Taha Naskh" w:hint="cs"/>
          <w:sz w:val="28"/>
          <w:rtl/>
        </w:rPr>
        <w:t>«</w:t>
      </w:r>
      <w:r w:rsidR="005C664D" w:rsidRPr="004408B9">
        <w:rPr>
          <w:rFonts w:ascii="Abo-thar" w:hAnsi="Abo-thar" w:cs="KFGQPC Uthman Taha Naskh"/>
          <w:b/>
          <w:bCs/>
          <w:sz w:val="28"/>
          <w:rtl/>
        </w:rPr>
        <w:t>فَأَمَّا الَّذِي أُوجِبُ مِنَ الْغَلَّاتِ والضِّيَاعِ فِي كُلِّ عَامٍ فَهُوَ نِصْفُ السُّدُسِ مِمَّنْ كَانَتْ ضَيْعَتُهُ تَقُومُ بِمَئُونَتِهِ ومَنْ كَانَتْ ضَيْعَتُهُ لَا</w:t>
      </w:r>
      <w:r w:rsidR="005C664D" w:rsidRPr="004408B9">
        <w:rPr>
          <w:rFonts w:cs="Times New Roman" w:hint="cs"/>
          <w:b/>
          <w:bCs/>
          <w:sz w:val="28"/>
          <w:rtl/>
        </w:rPr>
        <w:t> </w:t>
      </w:r>
      <w:r w:rsidR="005C664D" w:rsidRPr="004408B9">
        <w:rPr>
          <w:rFonts w:ascii="Abo-thar" w:hAnsi="Abo-thar" w:cs="KFGQPC Uthman Taha Naskh"/>
          <w:b/>
          <w:bCs/>
          <w:sz w:val="28"/>
          <w:rtl/>
        </w:rPr>
        <w:t>تَقُومُ بِمَئُونَتِهِ فَلَيْسَ عَلَيْهِ نِصْفُ سُدُسٍ ولَا غَيْرُ ذَلِكَ</w:t>
      </w:r>
      <w:r w:rsidR="00EF2588" w:rsidRPr="004408B9">
        <w:rPr>
          <w:rFonts w:ascii="Abo-thar" w:hAnsi="Abo-thar" w:cs="KFGQPC Uthman Taha Naskh" w:hint="cs"/>
          <w:b/>
          <w:bCs/>
          <w:sz w:val="28"/>
          <w:rtl/>
        </w:rPr>
        <w:t>»</w:t>
      </w:r>
      <w:r w:rsidR="00217AB4" w:rsidRPr="00995B26">
        <w:rPr>
          <w:rFonts w:ascii="Abo-thar" w:hAnsi="Abo-thar" w:hint="cs"/>
          <w:sz w:val="28"/>
          <w:rtl/>
        </w:rPr>
        <w:t>.</w:t>
      </w:r>
      <w:r w:rsidR="005C664D" w:rsidRPr="00995B26">
        <w:rPr>
          <w:rFonts w:ascii="Abo-thar" w:hAnsi="Abo-thar" w:hint="cs"/>
          <w:sz w:val="28"/>
          <w:rtl/>
        </w:rPr>
        <w:t xml:space="preserve"> ولا ندري هل يريد</w:t>
      </w:r>
      <w:r w:rsidR="00147857" w:rsidRPr="00995B26">
        <w:rPr>
          <w:rFonts w:ascii="Abo-thar" w:hAnsi="Abo-thar" w:hint="cs"/>
          <w:sz w:val="28"/>
          <w:rtl/>
        </w:rPr>
        <w:t xml:space="preserve"> </w:t>
      </w:r>
      <w:r w:rsidR="005C664D" w:rsidRPr="00995B26">
        <w:rPr>
          <w:rFonts w:ascii="Abo-thar" w:hAnsi="Abo-thar" w:hint="cs"/>
          <w:sz w:val="28"/>
          <w:rtl/>
        </w:rPr>
        <w:t>نصف السدس هذا لنفسه أما أنها هي الزكاة التي تحدث عنها في بداية رسالته حين قال</w:t>
      </w:r>
      <w:r w:rsidR="00217AB4" w:rsidRPr="00995B26">
        <w:rPr>
          <w:rFonts w:ascii="Abo-thar" w:hAnsi="Abo-thar" w:hint="cs"/>
          <w:sz w:val="28"/>
          <w:rtl/>
        </w:rPr>
        <w:t>:</w:t>
      </w:r>
      <w:r w:rsidR="005C664D" w:rsidRPr="00995B26">
        <w:rPr>
          <w:rFonts w:ascii="Abo-thar" w:hAnsi="Abo-thar" w:hint="cs"/>
          <w:sz w:val="28"/>
          <w:rtl/>
        </w:rPr>
        <w:t xml:space="preserve"> </w:t>
      </w:r>
      <w:r w:rsidR="00EF2588" w:rsidRPr="004408B9">
        <w:rPr>
          <w:rFonts w:ascii="Abo-thar" w:hAnsi="Abo-thar" w:cs="KFGQPC Uthman Taha Naskh" w:hint="cs"/>
          <w:sz w:val="28"/>
          <w:rtl/>
        </w:rPr>
        <w:t>«</w:t>
      </w:r>
      <w:r w:rsidR="005C664D" w:rsidRPr="004408B9">
        <w:rPr>
          <w:rFonts w:ascii="Abo-thar" w:hAnsi="Abo-thar" w:cs="KFGQPC Uthman Taha Naskh"/>
          <w:b/>
          <w:bCs/>
          <w:sz w:val="28"/>
          <w:rtl/>
        </w:rPr>
        <w:t>ولَا أُوجِبُ عَلَيْهِمْ إِلَّا الزَّكَاةَ الَّتِي فَرَضَهَا اللهُ عَلَيْهِمْ</w:t>
      </w:r>
      <w:r w:rsidR="00EF2588" w:rsidRPr="004408B9">
        <w:rPr>
          <w:rFonts w:ascii="Abo-thar" w:hAnsi="Abo-thar" w:cs="KFGQPC Uthman Taha Naskh" w:hint="cs"/>
          <w:sz w:val="28"/>
          <w:rtl/>
        </w:rPr>
        <w:t>»</w:t>
      </w:r>
      <w:r w:rsidR="00217AB4" w:rsidRPr="00995B26">
        <w:rPr>
          <w:rFonts w:ascii="Abo-thar" w:hAnsi="Abo-thar" w:hint="cs"/>
          <w:sz w:val="28"/>
          <w:rtl/>
        </w:rPr>
        <w:t>؟!.</w:t>
      </w:r>
      <w:r w:rsidR="005C664D" w:rsidRPr="00995B26">
        <w:rPr>
          <w:rFonts w:ascii="Abo-thar" w:hAnsi="Abo-thar" w:hint="cs"/>
          <w:sz w:val="28"/>
          <w:rtl/>
        </w:rPr>
        <w:t xml:space="preserve"> ويبدو أن هذا هو قصده لأنه طالب بواحد من اثني عشر </w:t>
      </w:r>
      <w:r w:rsidR="00217AB4" w:rsidRPr="00995B26">
        <w:rPr>
          <w:rFonts w:ascii="Abo-thar" w:hAnsi="Abo-thar" w:hint="cs"/>
          <w:sz w:val="28"/>
          <w:rtl/>
        </w:rPr>
        <w:t>(</w:t>
      </w:r>
      <w:r w:rsidR="005C664D" w:rsidRPr="00995B26">
        <w:rPr>
          <w:rFonts w:ascii="Abo-thar" w:hAnsi="Abo-thar" w:hint="cs"/>
          <w:sz w:val="28"/>
          <w:rtl/>
        </w:rPr>
        <w:t>نصف السدس</w:t>
      </w:r>
      <w:r w:rsidR="00217AB4" w:rsidRPr="00995B26">
        <w:rPr>
          <w:rFonts w:ascii="Abo-thar" w:hAnsi="Abo-thar" w:hint="cs"/>
          <w:sz w:val="28"/>
          <w:rtl/>
        </w:rPr>
        <w:t>)</w:t>
      </w:r>
      <w:r w:rsidR="005C664D" w:rsidRPr="00995B26">
        <w:rPr>
          <w:rFonts w:ascii="Abo-thar" w:hAnsi="Abo-thar" w:hint="cs"/>
          <w:sz w:val="28"/>
          <w:rtl/>
        </w:rPr>
        <w:t xml:space="preserve"> في حين أن الخمس واحد من خمسة</w:t>
      </w:r>
      <w:r w:rsidR="00217AB4" w:rsidRPr="00995B26">
        <w:rPr>
          <w:rFonts w:ascii="Abo-thar" w:hAnsi="Abo-thar" w:hint="cs"/>
          <w:sz w:val="28"/>
          <w:rtl/>
        </w:rPr>
        <w:t>،</w:t>
      </w:r>
      <w:r w:rsidR="005C664D" w:rsidRPr="00995B26">
        <w:rPr>
          <w:rFonts w:ascii="Abo-thar" w:hAnsi="Abo-thar" w:hint="cs"/>
          <w:sz w:val="28"/>
          <w:rtl/>
        </w:rPr>
        <w:t xml:space="preserve"> ولعله أراد القول إنه سيفعل في هذه السنة في أمر الخمس هكذا مع أن العبارة لا تدل على ذلك</w:t>
      </w:r>
      <w:r w:rsidR="00217AB4" w:rsidRPr="00995B26">
        <w:rPr>
          <w:rFonts w:ascii="Abo-thar" w:hAnsi="Abo-thar" w:hint="cs"/>
          <w:sz w:val="28"/>
          <w:rtl/>
        </w:rPr>
        <w:t>.</w:t>
      </w:r>
      <w:r w:rsidR="005C664D" w:rsidRPr="00995B26">
        <w:rPr>
          <w:rFonts w:ascii="Abo-thar" w:hAnsi="Abo-thar" w:hint="cs"/>
          <w:sz w:val="28"/>
          <w:rtl/>
        </w:rPr>
        <w:t xml:space="preserve"> </w:t>
      </w:r>
    </w:p>
    <w:p w:rsidR="005C664D" w:rsidRPr="003F3B94" w:rsidRDefault="005C664D" w:rsidP="00255A16">
      <w:pPr>
        <w:pStyle w:val="a0"/>
        <w:ind w:left="624" w:firstLine="0"/>
        <w:rPr>
          <w:rFonts w:hint="cs"/>
          <w:rtl/>
        </w:rPr>
      </w:pPr>
      <w:r w:rsidRPr="003F3B94">
        <w:rPr>
          <w:rFonts w:ascii="Abo-thar" w:hAnsi="Abo-thar" w:hint="cs"/>
          <w:sz w:val="28"/>
          <w:rtl/>
        </w:rPr>
        <w:t>ورغم أنه قال في رسالته</w:t>
      </w:r>
      <w:r w:rsidR="00217AB4" w:rsidRPr="003F3B94">
        <w:rPr>
          <w:rFonts w:ascii="Abo-thar" w:hAnsi="Abo-thar" w:hint="cs"/>
          <w:sz w:val="28"/>
          <w:rtl/>
        </w:rPr>
        <w:t>:</w:t>
      </w:r>
      <w:r w:rsidRPr="003F3B94">
        <w:rPr>
          <w:rFonts w:ascii="Abo-thar" w:hAnsi="Abo-thar" w:hint="cs"/>
          <w:sz w:val="28"/>
          <w:rtl/>
        </w:rPr>
        <w:t xml:space="preserve"> </w:t>
      </w:r>
      <w:r w:rsidR="00EF2588" w:rsidRPr="004408B9">
        <w:rPr>
          <w:rFonts w:ascii="Abo-thar" w:hAnsi="Abo-thar" w:cs="KFGQPC Uthman Taha Naskh" w:hint="cs"/>
          <w:sz w:val="28"/>
          <w:rtl/>
        </w:rPr>
        <w:t>«</w:t>
      </w:r>
      <w:r w:rsidRPr="004408B9">
        <w:rPr>
          <w:rFonts w:ascii="Abo-thar" w:hAnsi="Abo-thar" w:cs="KFGQPC Uthman Taha Naskh"/>
          <w:b/>
          <w:bCs/>
          <w:sz w:val="28"/>
          <w:rtl/>
        </w:rPr>
        <w:t>فَأَحْبَبْتُ أَنْ أُطَهِّرَهُمْ وأُزَكِّيَهُمْ بِمَا فَعَلْتُ فِي عَامِي هَذَا مِنْ أَمْرِ الخُمُسِ</w:t>
      </w:r>
      <w:r w:rsidR="00EF2588" w:rsidRPr="004408B9">
        <w:rPr>
          <w:rFonts w:ascii="Abo-thar" w:hAnsi="Abo-thar" w:cs="KFGQPC Uthman Taha Naskh" w:hint="cs"/>
          <w:sz w:val="28"/>
          <w:rtl/>
        </w:rPr>
        <w:t>»</w:t>
      </w:r>
      <w:r w:rsidRPr="003F3B94">
        <w:rPr>
          <w:rFonts w:ascii="Abo-thar" w:hAnsi="Abo-thar" w:hint="cs"/>
          <w:sz w:val="28"/>
          <w:rtl/>
        </w:rPr>
        <w:t xml:space="preserve"> إلا أنه قال بعد ذلك</w:t>
      </w:r>
      <w:r w:rsidR="00217AB4" w:rsidRPr="003F3B94">
        <w:rPr>
          <w:rFonts w:ascii="Abo-thar" w:hAnsi="Abo-thar" w:hint="cs"/>
          <w:sz w:val="28"/>
          <w:rtl/>
        </w:rPr>
        <w:t>:</w:t>
      </w:r>
      <w:r w:rsidRPr="003F3B94">
        <w:rPr>
          <w:rFonts w:ascii="Abo-thar" w:hAnsi="Abo-thar" w:hint="cs"/>
          <w:sz w:val="28"/>
          <w:rtl/>
        </w:rPr>
        <w:t xml:space="preserve"> </w:t>
      </w:r>
      <w:r w:rsidR="00EF2588" w:rsidRPr="004408B9">
        <w:rPr>
          <w:rFonts w:ascii="Abo-thar" w:hAnsi="Abo-thar" w:cs="KFGQPC Uthman Taha Naskh" w:hint="cs"/>
          <w:sz w:val="28"/>
          <w:rtl/>
        </w:rPr>
        <w:t>«</w:t>
      </w:r>
      <w:r w:rsidRPr="004408B9">
        <w:rPr>
          <w:rFonts w:ascii="Abo-thar" w:hAnsi="Abo-thar" w:cs="KFGQPC Uthman Taha Naskh"/>
          <w:b/>
          <w:bCs/>
          <w:sz w:val="28"/>
          <w:rtl/>
        </w:rPr>
        <w:t>وإِنَّمَا أَوْجَبْتُ عَلَيْهِمُ الخُمُسَ فِي سَنَتِي هَذِهِ</w:t>
      </w:r>
      <w:r w:rsidR="00EF2588" w:rsidRPr="004408B9">
        <w:rPr>
          <w:rFonts w:ascii="Abo-thar" w:hAnsi="Abo-thar" w:cs="KFGQPC Uthman Taha Naskh" w:hint="cs"/>
          <w:sz w:val="28"/>
          <w:rtl/>
        </w:rPr>
        <w:t>»</w:t>
      </w:r>
      <w:r w:rsidR="00217AB4" w:rsidRPr="003F3B94">
        <w:rPr>
          <w:rFonts w:ascii="Abo-thar" w:hAnsi="Abo-thar" w:hint="cs"/>
          <w:sz w:val="28"/>
          <w:rtl/>
        </w:rPr>
        <w:t>!</w:t>
      </w:r>
      <w:r w:rsidRPr="003F3B94">
        <w:rPr>
          <w:rFonts w:ascii="Abo-thar" w:hAnsi="Abo-thar" w:hint="cs"/>
          <w:sz w:val="28"/>
          <w:rtl/>
        </w:rPr>
        <w:t xml:space="preserve"> </w:t>
      </w:r>
    </w:p>
    <w:p w:rsidR="005C664D" w:rsidRPr="003F3B94" w:rsidRDefault="005C664D" w:rsidP="003F3B94">
      <w:pPr>
        <w:pStyle w:val="a0"/>
        <w:rPr>
          <w:rFonts w:hint="cs"/>
          <w:rtl/>
        </w:rPr>
      </w:pPr>
      <w:r w:rsidRPr="003F3B94">
        <w:rPr>
          <w:rFonts w:ascii="Abo-thar" w:hAnsi="Abo-thar" w:hint="cs"/>
          <w:sz w:val="28"/>
          <w:rtl/>
        </w:rPr>
        <w:t>فكما يظهر يفوق هذا الحديث في ضعفه واضطرابه وتهافته جميع الأحاديث الأخرى المذكورة في الباب</w:t>
      </w:r>
      <w:r w:rsidR="00217AB4" w:rsidRPr="003F3B94">
        <w:rPr>
          <w:rFonts w:ascii="Abo-thar" w:hAnsi="Abo-thar" w:hint="cs"/>
          <w:sz w:val="28"/>
          <w:rtl/>
        </w:rPr>
        <w:t>!</w:t>
      </w:r>
      <w:r w:rsidRPr="003F3B94">
        <w:rPr>
          <w:rFonts w:ascii="Abo-thar" w:hAnsi="Abo-thar" w:hint="cs"/>
          <w:sz w:val="28"/>
          <w:rtl/>
        </w:rPr>
        <w:t xml:space="preserve"> والإشكالات الواردة عليه كثيرة إلى درجة لا يوجد نظيرها في أي حديث أخر</w:t>
      </w:r>
      <w:r w:rsidR="00217AB4" w:rsidRPr="003F3B94">
        <w:rPr>
          <w:rFonts w:ascii="Abo-thar" w:hAnsi="Abo-thar" w:hint="cs"/>
          <w:sz w:val="28"/>
          <w:rtl/>
        </w:rPr>
        <w:t>.</w:t>
      </w:r>
      <w:r w:rsidRPr="003F3B94">
        <w:rPr>
          <w:rFonts w:ascii="Abo-thar" w:hAnsi="Abo-thar" w:hint="cs"/>
          <w:sz w:val="28"/>
          <w:rtl/>
        </w:rPr>
        <w:t xml:space="preserve"> </w:t>
      </w:r>
    </w:p>
    <w:p w:rsidR="005C664D" w:rsidRPr="003F3B94" w:rsidRDefault="005C664D" w:rsidP="003F3B94">
      <w:pPr>
        <w:pStyle w:val="a0"/>
        <w:rPr>
          <w:rFonts w:hint="cs"/>
          <w:rtl/>
        </w:rPr>
      </w:pPr>
      <w:r w:rsidRPr="003F3B94">
        <w:rPr>
          <w:rFonts w:ascii="Abo-thar" w:hAnsi="Abo-thar" w:hint="cs"/>
          <w:sz w:val="28"/>
          <w:rtl/>
        </w:rPr>
        <w:t>وقد ذكر المرحوم الشيخ حسن بن زين الدين</w:t>
      </w:r>
      <w:r w:rsidR="001E0DB7" w:rsidRPr="003F3B94">
        <w:rPr>
          <w:rFonts w:ascii="Abo-thar" w:hAnsi="Abo-thar" w:hint="cs"/>
          <w:sz w:val="28"/>
          <w:rtl/>
        </w:rPr>
        <w:t>،</w:t>
      </w:r>
      <w:r w:rsidRPr="003F3B94">
        <w:rPr>
          <w:rFonts w:ascii="Abo-thar" w:hAnsi="Abo-thar" w:hint="cs"/>
          <w:sz w:val="28"/>
          <w:rtl/>
        </w:rPr>
        <w:t xml:space="preserve"> ابن الشهيد الثاني</w:t>
      </w:r>
      <w:r w:rsidR="001E0DB7" w:rsidRPr="003F3B94">
        <w:rPr>
          <w:rFonts w:ascii="Abo-thar" w:hAnsi="Abo-thar" w:hint="cs"/>
          <w:sz w:val="28"/>
          <w:rtl/>
        </w:rPr>
        <w:t>،</w:t>
      </w:r>
      <w:r w:rsidRPr="003F3B94">
        <w:rPr>
          <w:rFonts w:ascii="Abo-thar" w:hAnsi="Abo-thar" w:hint="cs"/>
          <w:sz w:val="28"/>
          <w:rtl/>
        </w:rPr>
        <w:t xml:space="preserve"> في كتابه </w:t>
      </w:r>
      <w:r w:rsidRPr="003F3B94">
        <w:rPr>
          <w:rFonts w:ascii="Abo-thar" w:hAnsi="Abo-thar" w:hint="eastAsia"/>
          <w:sz w:val="28"/>
          <w:rtl/>
        </w:rPr>
        <w:t>«</w:t>
      </w:r>
      <w:r w:rsidRPr="003F3B94">
        <w:rPr>
          <w:rFonts w:ascii="Abo-thar" w:hAnsi="Abo-thar" w:hint="cs"/>
          <w:sz w:val="28"/>
          <w:rtl/>
        </w:rPr>
        <w:t>منتقى الجمان</w:t>
      </w:r>
      <w:r w:rsidRPr="003F3B94">
        <w:rPr>
          <w:rFonts w:ascii="Abo-thar" w:hAnsi="Abo-thar" w:hint="eastAsia"/>
          <w:sz w:val="28"/>
          <w:rtl/>
        </w:rPr>
        <w:t>»</w:t>
      </w:r>
      <w:r w:rsidRPr="003F3B94">
        <w:rPr>
          <w:rFonts w:ascii="Abo-thar" w:hAnsi="Abo-thar" w:hint="cs"/>
          <w:sz w:val="28"/>
          <w:rtl/>
        </w:rPr>
        <w:t xml:space="preserve"> </w:t>
      </w:r>
      <w:r w:rsidR="00217AB4" w:rsidRPr="003F3B94">
        <w:rPr>
          <w:rFonts w:ascii="Abo-thar" w:hAnsi="Abo-thar" w:hint="cs"/>
          <w:sz w:val="28"/>
          <w:rtl/>
        </w:rPr>
        <w:t>(</w:t>
      </w:r>
      <w:r w:rsidRPr="003F3B94">
        <w:rPr>
          <w:rFonts w:ascii="Abo-thar" w:hAnsi="Abo-thar" w:hint="cs"/>
          <w:sz w:val="28"/>
          <w:rtl/>
        </w:rPr>
        <w:t>ج2</w:t>
      </w:r>
      <w:r w:rsidR="00920257" w:rsidRPr="003F3B94">
        <w:rPr>
          <w:rFonts w:ascii="Abo-thar" w:hAnsi="Abo-thar" w:hint="cs"/>
          <w:sz w:val="28"/>
          <w:rtl/>
        </w:rPr>
        <w:t xml:space="preserve">، </w:t>
      </w:r>
      <w:r w:rsidRPr="003F3B94">
        <w:rPr>
          <w:rFonts w:ascii="Abo-thar" w:hAnsi="Abo-thar" w:hint="cs"/>
          <w:sz w:val="28"/>
          <w:rtl/>
        </w:rPr>
        <w:t>ص41</w:t>
      </w:r>
      <w:r w:rsidR="00217AB4" w:rsidRPr="003F3B94">
        <w:rPr>
          <w:rFonts w:ascii="Abo-thar" w:hAnsi="Abo-thar" w:hint="cs"/>
          <w:sz w:val="28"/>
          <w:rtl/>
        </w:rPr>
        <w:t>)</w:t>
      </w:r>
      <w:r w:rsidRPr="003F3B94">
        <w:rPr>
          <w:rFonts w:ascii="Abo-thar" w:hAnsi="Abo-thar" w:hint="cs"/>
          <w:sz w:val="28"/>
          <w:rtl/>
        </w:rPr>
        <w:t xml:space="preserve"> بعض هذه الإشكالات كإشكاله على عبارة قول الإمام </w:t>
      </w:r>
      <w:r w:rsidR="00217AB4" w:rsidRPr="003F3B94">
        <w:rPr>
          <w:rFonts w:ascii="Abo-thar" w:hAnsi="Abo-thar" w:hint="cs"/>
          <w:sz w:val="28"/>
          <w:rtl/>
        </w:rPr>
        <w:t>(</w:t>
      </w:r>
      <w:r w:rsidRPr="003F3B94">
        <w:rPr>
          <w:rFonts w:ascii="Abo-thar" w:hAnsi="Abo-thar" w:hint="cs"/>
          <w:sz w:val="28"/>
          <w:rtl/>
        </w:rPr>
        <w:t>أوجبتُ</w:t>
      </w:r>
      <w:r w:rsidR="00217AB4" w:rsidRPr="003F3B94">
        <w:rPr>
          <w:rFonts w:ascii="Abo-thar" w:hAnsi="Abo-thar" w:hint="cs"/>
          <w:sz w:val="28"/>
          <w:rtl/>
        </w:rPr>
        <w:t>)</w:t>
      </w:r>
      <w:r w:rsidRPr="003F3B94">
        <w:rPr>
          <w:rFonts w:ascii="Abo-thar" w:hAnsi="Abo-thar" w:hint="cs"/>
          <w:sz w:val="28"/>
          <w:rtl/>
        </w:rPr>
        <w:t xml:space="preserve"> أو قبوله لنصف السدس</w:t>
      </w:r>
      <w:r w:rsidR="00217AB4" w:rsidRPr="003F3B94">
        <w:rPr>
          <w:rFonts w:ascii="Abo-thar" w:hAnsi="Abo-thar" w:hint="cs"/>
          <w:sz w:val="28"/>
          <w:rtl/>
        </w:rPr>
        <w:t>،</w:t>
      </w:r>
      <w:r w:rsidRPr="003F3B94">
        <w:rPr>
          <w:rFonts w:ascii="Abo-thar" w:hAnsi="Abo-thar" w:hint="cs"/>
          <w:sz w:val="28"/>
          <w:rtl/>
        </w:rPr>
        <w:t xml:space="preserve"> ثم حاول الإجابة عن هذه الإشكالات إلا</w:t>
      </w:r>
      <w:r w:rsidRPr="003F3B94">
        <w:rPr>
          <w:rFonts w:cs="Times New Roman" w:hint="cs"/>
          <w:sz w:val="28"/>
          <w:rtl/>
        </w:rPr>
        <w:t> </w:t>
      </w:r>
      <w:r w:rsidRPr="003F3B94">
        <w:rPr>
          <w:rFonts w:ascii="Abo-thar" w:hAnsi="Abo-thar" w:hint="cs"/>
          <w:sz w:val="28"/>
          <w:rtl/>
        </w:rPr>
        <w:t>أن ما ذكره لم يكن كافياً</w:t>
      </w:r>
      <w:r w:rsidR="00217AB4" w:rsidRPr="003F3B94">
        <w:rPr>
          <w:rFonts w:ascii="Abo-thar" w:hAnsi="Abo-thar" w:hint="cs"/>
          <w:sz w:val="28"/>
          <w:rtl/>
        </w:rPr>
        <w:t>.</w:t>
      </w:r>
      <w:r w:rsidRPr="003F3B94">
        <w:rPr>
          <w:rFonts w:ascii="Abo-thar" w:hAnsi="Abo-thar" w:hint="cs"/>
          <w:sz w:val="28"/>
          <w:rtl/>
        </w:rPr>
        <w:t xml:space="preserve"> كما أورد المرحوم المحقِّق السبزواري إشكالات نظير ما ذكرناه أعلاه على هذا الحديث ثم عمد إلى التماس الأوجه والتأويلات لها</w:t>
      </w:r>
      <w:r w:rsidR="00217AB4" w:rsidRPr="003F3B94">
        <w:rPr>
          <w:rFonts w:ascii="Abo-thar" w:hAnsi="Abo-thar" w:hint="cs"/>
          <w:sz w:val="28"/>
          <w:rtl/>
        </w:rPr>
        <w:t>.</w:t>
      </w:r>
      <w:r w:rsidRPr="003F3B94">
        <w:rPr>
          <w:rFonts w:ascii="Abo-thar" w:hAnsi="Abo-thar" w:hint="cs"/>
          <w:sz w:val="28"/>
          <w:rtl/>
        </w:rPr>
        <w:t xml:space="preserve"> أما صاحب المدارك فقال</w:t>
      </w:r>
      <w:r w:rsidR="00217AB4" w:rsidRPr="003F3B94">
        <w:rPr>
          <w:rFonts w:ascii="Abo-thar" w:hAnsi="Abo-thar" w:hint="cs"/>
          <w:sz w:val="28"/>
          <w:rtl/>
        </w:rPr>
        <w:t>:</w:t>
      </w:r>
      <w:r w:rsidRPr="003F3B94">
        <w:rPr>
          <w:rFonts w:ascii="Abo-thar" w:hAnsi="Abo-thar" w:hint="cs"/>
          <w:sz w:val="28"/>
          <w:rtl/>
        </w:rPr>
        <w:t xml:space="preserve"> </w:t>
      </w:r>
      <w:r w:rsidR="00EF2588" w:rsidRPr="003F3B94">
        <w:rPr>
          <w:rFonts w:ascii="Abo-thar" w:hAnsi="Abo-thar" w:hint="cs"/>
          <w:sz w:val="28"/>
          <w:rtl/>
        </w:rPr>
        <w:t>«</w:t>
      </w:r>
      <w:r w:rsidRPr="003F3B94">
        <w:rPr>
          <w:rFonts w:ascii="Abo-thar" w:hAnsi="Abo-thar" w:hint="cs"/>
          <w:sz w:val="28"/>
          <w:rtl/>
        </w:rPr>
        <w:t>رغم أن رواية علي بن مهزيار معتبرة سنداً إلا أنها متروكة الظاهر</w:t>
      </w:r>
      <w:r w:rsidR="00EF2588" w:rsidRPr="003F3B94">
        <w:rPr>
          <w:rFonts w:ascii="Abo-thar" w:hAnsi="Abo-thar" w:hint="cs"/>
          <w:sz w:val="28"/>
          <w:rtl/>
        </w:rPr>
        <w:t>»</w:t>
      </w:r>
      <w:r w:rsidR="00217AB4" w:rsidRPr="003F3B94">
        <w:rPr>
          <w:rFonts w:ascii="Abo-thar" w:hAnsi="Abo-thar" w:hint="cs"/>
          <w:sz w:val="28"/>
          <w:rtl/>
        </w:rPr>
        <w:t>.</w:t>
      </w:r>
      <w:r w:rsidRPr="003F3B94">
        <w:rPr>
          <w:rFonts w:ascii="Abo-thar" w:hAnsi="Abo-thar" w:hint="cs"/>
          <w:sz w:val="28"/>
          <w:rtl/>
        </w:rPr>
        <w:t xml:space="preserve"> لكن في رأينا إن الإشكالات الواردة على الرواية أكثر مما ذكره أولئك الأجلاء</w:t>
      </w:r>
      <w:r w:rsidR="001E0DB7" w:rsidRPr="003F3B94">
        <w:rPr>
          <w:rFonts w:ascii="Abo-thar" w:hAnsi="Abo-thar" w:hint="cs"/>
          <w:sz w:val="28"/>
          <w:rtl/>
        </w:rPr>
        <w:t>،</w:t>
      </w:r>
      <w:r w:rsidRPr="003F3B94">
        <w:rPr>
          <w:rFonts w:ascii="Abo-thar" w:hAnsi="Abo-thar" w:hint="cs"/>
          <w:sz w:val="28"/>
          <w:rtl/>
        </w:rPr>
        <w:t xml:space="preserve"> كما أن ما ذكروه من توجيهات لم يكن وافياً لرفع تلك الإشكالات</w:t>
      </w:r>
      <w:r w:rsidR="00217AB4" w:rsidRPr="003F3B94">
        <w:rPr>
          <w:rFonts w:ascii="Abo-thar" w:hAnsi="Abo-thar" w:hint="cs"/>
          <w:sz w:val="28"/>
          <w:rtl/>
        </w:rPr>
        <w:t>.</w:t>
      </w:r>
      <w:r w:rsidRPr="003F3B94">
        <w:rPr>
          <w:rFonts w:ascii="Abo-thar" w:hAnsi="Abo-thar" w:hint="cs"/>
          <w:sz w:val="28"/>
          <w:rtl/>
        </w:rPr>
        <w:t xml:space="preserve"> </w:t>
      </w:r>
    </w:p>
    <w:p w:rsidR="005C664D" w:rsidRPr="003F3B94" w:rsidRDefault="005C664D" w:rsidP="003F3B94">
      <w:pPr>
        <w:pStyle w:val="a0"/>
        <w:rPr>
          <w:rFonts w:hint="cs"/>
          <w:rtl/>
        </w:rPr>
      </w:pPr>
      <w:r w:rsidRPr="003F3B94">
        <w:rPr>
          <w:rFonts w:ascii="Abo-thar" w:hAnsi="Abo-thar" w:hint="cs"/>
          <w:sz w:val="28"/>
          <w:rtl/>
        </w:rPr>
        <w:t>و</w:t>
      </w:r>
      <w:r w:rsidRPr="003F3B94">
        <w:rPr>
          <w:rFonts w:cs="Times New Roman" w:hint="cs"/>
          <w:sz w:val="28"/>
          <w:rtl/>
        </w:rPr>
        <w:t> </w:t>
      </w:r>
      <w:r w:rsidRPr="003F3B94">
        <w:rPr>
          <w:rFonts w:ascii="Abo-thar" w:hAnsi="Abo-thar" w:hint="cs"/>
          <w:sz w:val="28"/>
          <w:rtl/>
        </w:rPr>
        <w:t>ليتهم</w:t>
      </w:r>
      <w:r w:rsidR="001E0DB7" w:rsidRPr="003F3B94">
        <w:rPr>
          <w:rFonts w:ascii="Abo-thar" w:hAnsi="Abo-thar" w:hint="cs"/>
          <w:sz w:val="28"/>
          <w:rtl/>
        </w:rPr>
        <w:t>،</w:t>
      </w:r>
      <w:r w:rsidRPr="003F3B94">
        <w:rPr>
          <w:rFonts w:ascii="Abo-thar" w:hAnsi="Abo-thar" w:hint="cs"/>
          <w:sz w:val="28"/>
          <w:rtl/>
        </w:rPr>
        <w:t xml:space="preserve"> بدلاً من كل هذا السعي والمحاولات التي يبذلونها لتوجيه مثل هذه الأحاديث ظاهرة الكذب والبطلان</w:t>
      </w:r>
      <w:r w:rsidR="00217AB4" w:rsidRPr="003F3B94">
        <w:rPr>
          <w:rFonts w:ascii="Abo-thar" w:hAnsi="Abo-thar" w:hint="cs"/>
          <w:sz w:val="28"/>
          <w:rtl/>
        </w:rPr>
        <w:t>،</w:t>
      </w:r>
      <w:r w:rsidRPr="003F3B94">
        <w:rPr>
          <w:rFonts w:ascii="Abo-thar" w:hAnsi="Abo-thar" w:hint="cs"/>
          <w:sz w:val="28"/>
          <w:rtl/>
        </w:rPr>
        <w:t xml:space="preserve"> ليتهم يقومون بعرضها على القرآن الكريم وسنة رسول الله</w:t>
      </w:r>
      <w:r w:rsidR="00147857" w:rsidRPr="003F3B94">
        <w:rPr>
          <w:rFonts w:ascii="Abo-thar" w:hAnsi="Abo-thar" w:hint="cs"/>
          <w:sz w:val="28"/>
          <w:rtl/>
        </w:rPr>
        <w:t xml:space="preserve"> </w:t>
      </w:r>
      <w:r w:rsidR="003C7AEB" w:rsidRPr="003C7AEB">
        <w:rPr>
          <w:rFonts w:ascii="Abo-thar" w:hAnsi="Abo-thar" w:cs="CTraditional Arabic" w:hint="cs"/>
          <w:sz w:val="28"/>
          <w:rtl/>
        </w:rPr>
        <w:t>ص</w:t>
      </w:r>
      <w:r w:rsidR="00147857" w:rsidRPr="003F3B94">
        <w:rPr>
          <w:rFonts w:ascii="Abo-thar" w:hAnsi="Abo-thar" w:hint="cs"/>
          <w:sz w:val="28"/>
          <w:rtl/>
        </w:rPr>
        <w:t xml:space="preserve"> </w:t>
      </w:r>
      <w:r w:rsidRPr="003F3B94">
        <w:rPr>
          <w:rFonts w:ascii="Abo-thar" w:hAnsi="Abo-thar" w:hint="cs"/>
          <w:sz w:val="28"/>
          <w:rtl/>
        </w:rPr>
        <w:t>القطعيَّة والمتواترة ليروا إن كانا يؤيدانها أم لا</w:t>
      </w:r>
      <w:r w:rsidR="007D4D3A" w:rsidRPr="003F3B94">
        <w:rPr>
          <w:rFonts w:ascii="Abo-thar" w:hAnsi="Abo-thar" w:hint="cs"/>
          <w:sz w:val="28"/>
          <w:rtl/>
        </w:rPr>
        <w:t xml:space="preserve">؟ </w:t>
      </w:r>
      <w:r w:rsidRPr="003F3B94">
        <w:rPr>
          <w:rFonts w:ascii="Abo-thar" w:hAnsi="Abo-thar" w:hint="cs"/>
          <w:sz w:val="28"/>
          <w:rtl/>
        </w:rPr>
        <w:t>فأين نجد في كتاب الله وسنة رسوله العملية تعيين مثل هذا الحق لشخصٍ أو إمامٍ أو غيره حتى يطالب مرة بخمس الذهب والفضة التي مضى عليها عام وأخرى بخمس الغنائم والفوائد والجوائز ذات الخطر والميراث ممن لا يحتسب والمال المأخوذ من الظلمة والمال الذي لا</w:t>
      </w:r>
      <w:r w:rsidRPr="003F3B94">
        <w:rPr>
          <w:rFonts w:cs="Times New Roman" w:hint="cs"/>
          <w:sz w:val="28"/>
          <w:rtl/>
        </w:rPr>
        <w:t> </w:t>
      </w:r>
      <w:r w:rsidRPr="003F3B94">
        <w:rPr>
          <w:rFonts w:ascii="Abo-thar" w:hAnsi="Abo-thar" w:hint="cs"/>
          <w:sz w:val="28"/>
          <w:rtl/>
        </w:rPr>
        <w:t>صاحب له والأموال العائدة من الخرمية إلى الشيعة أو يطالب بنصف سدس إيرادات المزارع والمداخيل</w:t>
      </w:r>
      <w:r w:rsidR="00217AB4" w:rsidRPr="003F3B94">
        <w:rPr>
          <w:rFonts w:ascii="Abo-thar" w:hAnsi="Abo-thar" w:hint="cs"/>
          <w:sz w:val="28"/>
          <w:rtl/>
        </w:rPr>
        <w:t>؟</w:t>
      </w:r>
      <w:r w:rsidRPr="003F3B94">
        <w:rPr>
          <w:rFonts w:ascii="Abo-thar" w:hAnsi="Abo-thar" w:hint="cs"/>
          <w:sz w:val="28"/>
          <w:rtl/>
        </w:rPr>
        <w:t xml:space="preserve"> </w:t>
      </w:r>
    </w:p>
    <w:p w:rsidR="005C664D" w:rsidRPr="003F3B94" w:rsidRDefault="005C664D" w:rsidP="003F3B94">
      <w:pPr>
        <w:pStyle w:val="a0"/>
        <w:rPr>
          <w:rFonts w:hint="cs"/>
          <w:rtl/>
        </w:rPr>
      </w:pPr>
      <w:r w:rsidRPr="003F3B94">
        <w:rPr>
          <w:rFonts w:ascii="Abo-thar" w:hAnsi="Abo-thar" w:hint="cs"/>
          <w:sz w:val="28"/>
          <w:rtl/>
        </w:rPr>
        <w:t xml:space="preserve">خاصة أن الإمام </w:t>
      </w:r>
      <w:r w:rsidR="00217AB4" w:rsidRPr="003F3B94">
        <w:rPr>
          <w:rFonts w:ascii="Abo-thar" w:hAnsi="Abo-thar" w:hint="cs"/>
          <w:sz w:val="28"/>
          <w:rtl/>
        </w:rPr>
        <w:t>-</w:t>
      </w:r>
      <w:r w:rsidRPr="003F3B94">
        <w:rPr>
          <w:rFonts w:ascii="Abo-thar" w:hAnsi="Abo-thar" w:hint="cs"/>
          <w:sz w:val="28"/>
          <w:rtl/>
        </w:rPr>
        <w:t xml:space="preserve"> في هذا الحديث </w:t>
      </w:r>
      <w:r w:rsidR="00217AB4" w:rsidRPr="003F3B94">
        <w:rPr>
          <w:rFonts w:ascii="Abo-thar" w:hAnsi="Abo-thar" w:hint="cs"/>
          <w:sz w:val="28"/>
          <w:rtl/>
        </w:rPr>
        <w:t>-</w:t>
      </w:r>
      <w:r w:rsidRPr="003F3B94">
        <w:rPr>
          <w:rFonts w:ascii="Abo-thar" w:hAnsi="Abo-thar" w:hint="cs"/>
          <w:sz w:val="28"/>
          <w:rtl/>
        </w:rPr>
        <w:t xml:space="preserve"> كان قد رحل عن الدنيا قبل سنة من كتابة الرسالة المنسوبة إليه</w:t>
      </w:r>
      <w:r w:rsidR="00217AB4" w:rsidRPr="003F3B94">
        <w:rPr>
          <w:rFonts w:ascii="Abo-thar" w:hAnsi="Abo-thar" w:hint="cs"/>
          <w:sz w:val="28"/>
          <w:rtl/>
        </w:rPr>
        <w:t>!!</w:t>
      </w:r>
      <w:r w:rsidRPr="003F3B94">
        <w:rPr>
          <w:rFonts w:ascii="Abo-thar" w:hAnsi="Abo-thar" w:hint="cs"/>
          <w:sz w:val="28"/>
          <w:rtl/>
        </w:rPr>
        <w:t xml:space="preserve"> ولو فرضنا أنه توفي في سنة 220هـ ذاتها فكيف يعطي تعليمات لشيعته أن يعزموا على أن يوصلوا هذه الأموال إلى وكيله في المستقبل دون تحديد لمدة زمنية فقد يكون ذلك بعد سنتين أو عشر سنوات</w:t>
      </w:r>
      <w:r w:rsidR="00217AB4" w:rsidRPr="003F3B94">
        <w:rPr>
          <w:rFonts w:ascii="Abo-thar" w:hAnsi="Abo-thar" w:hint="cs"/>
          <w:sz w:val="28"/>
          <w:rtl/>
        </w:rPr>
        <w:t>؟!</w:t>
      </w:r>
      <w:r w:rsidR="00147857" w:rsidRPr="003F3B94">
        <w:rPr>
          <w:rFonts w:ascii="Abo-thar" w:hAnsi="Abo-thar" w:hint="cs"/>
          <w:sz w:val="28"/>
          <w:rtl/>
        </w:rPr>
        <w:t xml:space="preserve"> </w:t>
      </w:r>
      <w:r w:rsidRPr="003F3B94">
        <w:rPr>
          <w:rFonts w:ascii="Abo-thar" w:hAnsi="Abo-thar" w:hint="cs"/>
          <w:sz w:val="28"/>
          <w:rtl/>
        </w:rPr>
        <w:t>فلو فرضنا أن الإمام قُتِل أو مات فماذا سيكون تكليف الشيعة مع هذا الوكيل</w:t>
      </w:r>
      <w:r w:rsidR="00217AB4" w:rsidRPr="003F3B94">
        <w:rPr>
          <w:rFonts w:ascii="Abo-thar" w:hAnsi="Abo-thar" w:hint="cs"/>
          <w:sz w:val="28"/>
          <w:rtl/>
        </w:rPr>
        <w:t>؟!</w:t>
      </w:r>
      <w:r w:rsidRPr="003F3B94">
        <w:rPr>
          <w:rFonts w:ascii="Abo-thar" w:hAnsi="Abo-thar" w:hint="cs"/>
          <w:sz w:val="28"/>
          <w:rtl/>
        </w:rPr>
        <w:t xml:space="preserve"> وإذا كان الإمام قد تُوُفِّيَ في تلك السنة ذاتها أو في السنة التي قبلها</w:t>
      </w:r>
      <w:r w:rsidR="00217AB4" w:rsidRPr="003F3B94">
        <w:rPr>
          <w:rFonts w:ascii="Abo-thar" w:hAnsi="Abo-thar" w:hint="cs"/>
          <w:sz w:val="28"/>
          <w:rtl/>
        </w:rPr>
        <w:t>:</w:t>
      </w:r>
      <w:r w:rsidRPr="003F3B94">
        <w:rPr>
          <w:rFonts w:ascii="Abo-thar" w:hAnsi="Abo-thar" w:hint="cs"/>
          <w:sz w:val="28"/>
          <w:rtl/>
        </w:rPr>
        <w:t xml:space="preserve"> فهل ينعزل الوكيل بذلك أم لا</w:t>
      </w:r>
      <w:r w:rsidR="00217AB4" w:rsidRPr="003F3B94">
        <w:rPr>
          <w:rFonts w:ascii="Abo-thar" w:hAnsi="Abo-thar" w:hint="cs"/>
          <w:sz w:val="28"/>
          <w:rtl/>
        </w:rPr>
        <w:t>؟</w:t>
      </w:r>
      <w:r w:rsidRPr="003F3B94">
        <w:rPr>
          <w:rFonts w:ascii="Abo-thar" w:hAnsi="Abo-thar" w:hint="cs"/>
          <w:sz w:val="28"/>
          <w:rtl/>
        </w:rPr>
        <w:t xml:space="preserve"> وفي حال عزله فإلى من تُعطى الأموال</w:t>
      </w:r>
      <w:r w:rsidR="00217AB4" w:rsidRPr="003F3B94">
        <w:rPr>
          <w:rFonts w:ascii="Abo-thar" w:hAnsi="Abo-thar" w:hint="cs"/>
          <w:sz w:val="28"/>
          <w:rtl/>
        </w:rPr>
        <w:t>؟</w:t>
      </w:r>
      <w:r w:rsidRPr="003F3B94">
        <w:rPr>
          <w:rFonts w:ascii="Abo-thar" w:hAnsi="Abo-thar" w:hint="cs"/>
          <w:sz w:val="28"/>
          <w:rtl/>
        </w:rPr>
        <w:t xml:space="preserve"> أم يأكلها هو</w:t>
      </w:r>
      <w:r w:rsidR="00217AB4" w:rsidRPr="003F3B94">
        <w:rPr>
          <w:rFonts w:ascii="Abo-thar" w:hAnsi="Abo-thar" w:hint="cs"/>
          <w:sz w:val="28"/>
          <w:rtl/>
        </w:rPr>
        <w:t>؟</w:t>
      </w:r>
      <w:r w:rsidRPr="003F3B94">
        <w:rPr>
          <w:rFonts w:ascii="Abo-thar" w:hAnsi="Abo-thar" w:hint="cs"/>
          <w:sz w:val="28"/>
          <w:rtl/>
        </w:rPr>
        <w:t xml:space="preserve"> اللهم إلا أن يُدَّعى </w:t>
      </w:r>
      <w:r w:rsidRPr="003F3B94">
        <w:rPr>
          <w:rFonts w:cs="Times New Roman" w:hint="cs"/>
          <w:sz w:val="28"/>
          <w:rtl/>
        </w:rPr>
        <w:t>–</w:t>
      </w:r>
      <w:r w:rsidRPr="003F3B94">
        <w:rPr>
          <w:rFonts w:ascii="Abo-thar" w:hAnsi="Abo-thar" w:hint="cs"/>
          <w:sz w:val="28"/>
          <w:rtl/>
        </w:rPr>
        <w:t xml:space="preserve"> كما ادّعى هذا الوكيل أي </w:t>
      </w:r>
      <w:r w:rsidR="00217AB4" w:rsidRPr="003F3B94">
        <w:rPr>
          <w:rFonts w:ascii="Abo-thar" w:hAnsi="Abo-thar" w:hint="cs"/>
          <w:sz w:val="28"/>
          <w:rtl/>
        </w:rPr>
        <w:t>(</w:t>
      </w:r>
      <w:r w:rsidRPr="003F3B94">
        <w:rPr>
          <w:rFonts w:ascii="Abo-thar" w:hAnsi="Abo-thar" w:hint="cs"/>
          <w:sz w:val="28"/>
          <w:rtl/>
        </w:rPr>
        <w:t>عليّ بن مهزيار</w:t>
      </w:r>
      <w:r w:rsidR="00217AB4" w:rsidRPr="003F3B94">
        <w:rPr>
          <w:rFonts w:ascii="Abo-thar" w:hAnsi="Abo-thar" w:hint="cs"/>
          <w:sz w:val="28"/>
          <w:rtl/>
        </w:rPr>
        <w:t>)</w:t>
      </w:r>
      <w:r w:rsidRPr="003F3B94">
        <w:rPr>
          <w:rFonts w:ascii="Abo-thar" w:hAnsi="Abo-thar" w:hint="cs"/>
          <w:sz w:val="28"/>
          <w:rtl/>
        </w:rPr>
        <w:t xml:space="preserve"> </w:t>
      </w:r>
      <w:r w:rsidRPr="003F3B94">
        <w:rPr>
          <w:rFonts w:cs="Times New Roman" w:hint="cs"/>
          <w:sz w:val="28"/>
          <w:rtl/>
        </w:rPr>
        <w:t>–</w:t>
      </w:r>
      <w:r w:rsidRPr="003F3B94">
        <w:rPr>
          <w:rFonts w:ascii="Abo-thar" w:hAnsi="Abo-thar" w:hint="cs"/>
          <w:sz w:val="28"/>
          <w:rtl/>
        </w:rPr>
        <w:t xml:space="preserve"> أن الإمام حلل له كل ما كان بين يديه</w:t>
      </w:r>
      <w:r w:rsidR="00217AB4" w:rsidRPr="003F3B94">
        <w:rPr>
          <w:rFonts w:ascii="Abo-thar" w:hAnsi="Abo-thar" w:hint="cs"/>
          <w:sz w:val="28"/>
          <w:rtl/>
        </w:rPr>
        <w:t>!</w:t>
      </w:r>
    </w:p>
    <w:p w:rsidR="005C664D" w:rsidRPr="003F3B94" w:rsidRDefault="005C664D" w:rsidP="003F3B94">
      <w:pPr>
        <w:pStyle w:val="a0"/>
        <w:rPr>
          <w:rFonts w:hint="cs"/>
          <w:rtl/>
        </w:rPr>
      </w:pPr>
      <w:r w:rsidRPr="003F3B94">
        <w:rPr>
          <w:rFonts w:ascii="Abo-thar" w:hAnsi="Abo-thar" w:hint="cs"/>
          <w:sz w:val="28"/>
          <w:rtl/>
        </w:rPr>
        <w:t xml:space="preserve">أياً كان المستنبط من هذا الحديث فإن نتيجته هي أن خمس أرباح المكاسب </w:t>
      </w:r>
      <w:r w:rsidR="00217AB4" w:rsidRPr="003F3B94">
        <w:rPr>
          <w:rFonts w:ascii="Abo-thar" w:hAnsi="Abo-thar" w:hint="cs"/>
          <w:sz w:val="28"/>
          <w:rtl/>
        </w:rPr>
        <w:t>(</w:t>
      </w:r>
      <w:r w:rsidRPr="003F3B94">
        <w:rPr>
          <w:rFonts w:ascii="Abo-thar" w:hAnsi="Abo-thar" w:hint="cs"/>
          <w:sz w:val="28"/>
          <w:rtl/>
        </w:rPr>
        <w:t>أي أرباح المكاسب وما كان من ربح البضائع</w:t>
      </w:r>
      <w:r w:rsidR="00DA1FC2" w:rsidRPr="003F3B94">
        <w:rPr>
          <w:rFonts w:ascii="Abo-thar" w:hAnsi="Abo-thar" w:hint="cs"/>
          <w:sz w:val="28"/>
          <w:rtl/>
        </w:rPr>
        <w:t xml:space="preserve"> </w:t>
      </w:r>
      <w:r w:rsidRPr="003F3B94">
        <w:rPr>
          <w:rFonts w:ascii="Abo-thar" w:hAnsi="Abo-thar" w:hint="cs"/>
          <w:sz w:val="28"/>
          <w:rtl/>
        </w:rPr>
        <w:t>والأمتعة والأواني والدواب والخدم وربح التجارات</w:t>
      </w:r>
      <w:r w:rsidR="00147857" w:rsidRPr="003F3B94">
        <w:rPr>
          <w:rFonts w:ascii="Abo-thar" w:hAnsi="Abo-thar" w:hint="cs"/>
          <w:sz w:val="28"/>
          <w:rtl/>
        </w:rPr>
        <w:t xml:space="preserve"> و</w:t>
      </w:r>
      <w:r w:rsidRPr="003F3B94">
        <w:rPr>
          <w:rFonts w:ascii="Abo-thar" w:hAnsi="Abo-thar" w:hint="cs"/>
          <w:sz w:val="28"/>
          <w:rtl/>
        </w:rPr>
        <w:t>غلات المزارع</w:t>
      </w:r>
      <w:r w:rsidR="00147857" w:rsidRPr="003F3B94">
        <w:rPr>
          <w:rFonts w:ascii="Abo-thar" w:hAnsi="Abo-thar" w:hint="cs"/>
          <w:sz w:val="28"/>
          <w:rtl/>
        </w:rPr>
        <w:t xml:space="preserve"> و</w:t>
      </w:r>
      <w:r w:rsidRPr="003F3B94">
        <w:rPr>
          <w:rFonts w:ascii="Abo-thar" w:hAnsi="Abo-thar" w:hint="cs"/>
          <w:sz w:val="28"/>
          <w:rtl/>
        </w:rPr>
        <w:t>الغنائم التي</w:t>
      </w:r>
      <w:r w:rsidRPr="003F3B94">
        <w:rPr>
          <w:rFonts w:ascii="Abo-thar" w:hAnsi="Abo-thar"/>
          <w:sz w:val="28"/>
          <w:rtl/>
        </w:rPr>
        <w:t xml:space="preserve"> يَغْنَمُهَا المَرْءُ </w:t>
      </w:r>
      <w:r w:rsidRPr="003F3B94">
        <w:rPr>
          <w:rFonts w:ascii="Abo-thar" w:hAnsi="Abo-thar" w:hint="cs"/>
          <w:sz w:val="28"/>
          <w:rtl/>
        </w:rPr>
        <w:t>وَ</w:t>
      </w:r>
      <w:r w:rsidRPr="003F3B94">
        <w:rPr>
          <w:rFonts w:ascii="Abo-thar" w:hAnsi="Abo-thar"/>
          <w:sz w:val="28"/>
          <w:rtl/>
        </w:rPr>
        <w:t>الْفَ</w:t>
      </w:r>
      <w:r w:rsidRPr="003F3B94">
        <w:rPr>
          <w:rFonts w:ascii="Abo-thar" w:hAnsi="Abo-thar" w:hint="cs"/>
          <w:sz w:val="28"/>
          <w:rtl/>
        </w:rPr>
        <w:t>و</w:t>
      </w:r>
      <w:r w:rsidRPr="003F3B94">
        <w:rPr>
          <w:rFonts w:ascii="Abo-thar" w:hAnsi="Abo-thar"/>
          <w:sz w:val="28"/>
          <w:rtl/>
        </w:rPr>
        <w:t>ائِد</w:t>
      </w:r>
      <w:r w:rsidRPr="003F3B94">
        <w:rPr>
          <w:rFonts w:ascii="Abo-thar" w:hAnsi="Abo-thar" w:hint="cs"/>
          <w:sz w:val="28"/>
          <w:rtl/>
        </w:rPr>
        <w:t>ُ التي</w:t>
      </w:r>
      <w:r w:rsidRPr="003F3B94">
        <w:rPr>
          <w:rFonts w:ascii="Abo-thar" w:hAnsi="Abo-thar"/>
          <w:sz w:val="28"/>
          <w:rtl/>
        </w:rPr>
        <w:t xml:space="preserve"> يُفِيدُهَا والْجَائِزَةُ مِنَ الْإِنْسَانِ لِلْإِنْسَانِ الَّتِي لَهَا خَطَرٌ عَظِيمٌ</w:t>
      </w:r>
      <w:r w:rsidR="00147857" w:rsidRPr="003F3B94">
        <w:rPr>
          <w:rFonts w:ascii="Abo-thar" w:hAnsi="Abo-thar"/>
          <w:sz w:val="28"/>
          <w:rtl/>
        </w:rPr>
        <w:t xml:space="preserve"> </w:t>
      </w:r>
      <w:r w:rsidR="00217AB4" w:rsidRPr="003F3B94">
        <w:rPr>
          <w:rFonts w:ascii="Abo-thar" w:hAnsi="Abo-thar" w:hint="cs"/>
          <w:sz w:val="28"/>
          <w:rtl/>
        </w:rPr>
        <w:t>-</w:t>
      </w:r>
      <w:r w:rsidRPr="003F3B94">
        <w:rPr>
          <w:rFonts w:ascii="Abo-thar" w:hAnsi="Abo-thar" w:hint="cs"/>
          <w:sz w:val="28"/>
          <w:rtl/>
        </w:rPr>
        <w:t xml:space="preserve"> ولم يبين مقدارها</w:t>
      </w:r>
      <w:r w:rsidR="00217AB4" w:rsidRPr="003F3B94">
        <w:rPr>
          <w:rFonts w:ascii="Abo-thar" w:hAnsi="Abo-thar" w:hint="cs"/>
          <w:sz w:val="28"/>
          <w:rtl/>
        </w:rPr>
        <w:t>؟</w:t>
      </w:r>
      <w:r w:rsidRPr="003F3B94">
        <w:rPr>
          <w:rFonts w:ascii="Abo-thar" w:hAnsi="Abo-thar" w:hint="cs"/>
          <w:sz w:val="28"/>
          <w:rtl/>
        </w:rPr>
        <w:t xml:space="preserve"> </w:t>
      </w:r>
      <w:r w:rsidR="00217AB4" w:rsidRPr="003F3B94">
        <w:rPr>
          <w:rFonts w:ascii="Abo-thar" w:hAnsi="Abo-thar" w:hint="cs"/>
          <w:sz w:val="28"/>
          <w:rtl/>
        </w:rPr>
        <w:t>-</w:t>
      </w:r>
      <w:r w:rsidRPr="003F3B94">
        <w:rPr>
          <w:rFonts w:ascii="Abo-thar" w:hAnsi="Abo-thar" w:hint="cs"/>
          <w:sz w:val="28"/>
          <w:rtl/>
        </w:rPr>
        <w:t xml:space="preserve"> </w:t>
      </w:r>
      <w:r w:rsidRPr="003F3B94">
        <w:rPr>
          <w:rFonts w:ascii="Abo-thar" w:hAnsi="Abo-thar"/>
          <w:sz w:val="28"/>
          <w:rtl/>
        </w:rPr>
        <w:t xml:space="preserve">والْمِيرَاثُ الَّذِي </w:t>
      </w:r>
      <w:r w:rsidRPr="003F3B94">
        <w:rPr>
          <w:rFonts w:ascii="Abo-thar" w:hAnsi="Abo-thar" w:hint="cs"/>
          <w:sz w:val="28"/>
          <w:rtl/>
        </w:rPr>
        <w:t>يأتي للشخص من حيث لا يحتسب</w:t>
      </w:r>
      <w:r w:rsidRPr="003F3B94">
        <w:rPr>
          <w:rFonts w:ascii="Abo-thar" w:hAnsi="Abo-thar"/>
          <w:sz w:val="28"/>
          <w:rtl/>
        </w:rPr>
        <w:t xml:space="preserve"> </w:t>
      </w:r>
      <w:r w:rsidR="00217AB4" w:rsidRPr="003F3B94">
        <w:rPr>
          <w:rFonts w:ascii="Abo-thar" w:hAnsi="Abo-thar" w:hint="cs"/>
          <w:sz w:val="28"/>
          <w:rtl/>
        </w:rPr>
        <w:t>(</w:t>
      </w:r>
      <w:r w:rsidRPr="003F3B94">
        <w:rPr>
          <w:rFonts w:ascii="Abo-thar" w:hAnsi="Abo-thar"/>
          <w:sz w:val="28"/>
          <w:rtl/>
        </w:rPr>
        <w:t xml:space="preserve">غَيْرِ </w:t>
      </w:r>
      <w:r w:rsidRPr="003F3B94">
        <w:rPr>
          <w:rFonts w:ascii="Abo-thar" w:hAnsi="Abo-thar" w:hint="cs"/>
          <w:sz w:val="28"/>
          <w:rtl/>
        </w:rPr>
        <w:t>الإرث من ال</w:t>
      </w:r>
      <w:r w:rsidRPr="003F3B94">
        <w:rPr>
          <w:rFonts w:ascii="Abo-thar" w:hAnsi="Abo-thar"/>
          <w:sz w:val="28"/>
          <w:rtl/>
        </w:rPr>
        <w:t xml:space="preserve">أَبٍ </w:t>
      </w:r>
      <w:r w:rsidRPr="003F3B94">
        <w:rPr>
          <w:rFonts w:ascii="Abo-thar" w:hAnsi="Abo-thar" w:hint="cs"/>
          <w:sz w:val="28"/>
          <w:rtl/>
        </w:rPr>
        <w:t>أو ال</w:t>
      </w:r>
      <w:r w:rsidRPr="003F3B94">
        <w:rPr>
          <w:rFonts w:ascii="Abo-thar" w:hAnsi="Abo-thar"/>
          <w:sz w:val="28"/>
          <w:rtl/>
        </w:rPr>
        <w:t>ا</w:t>
      </w:r>
      <w:r w:rsidRPr="003F3B94">
        <w:rPr>
          <w:rFonts w:ascii="Abo-thar" w:hAnsi="Abo-thar" w:hint="cs"/>
          <w:sz w:val="28"/>
          <w:rtl/>
        </w:rPr>
        <w:t>ب</w:t>
      </w:r>
      <w:r w:rsidRPr="003F3B94">
        <w:rPr>
          <w:rFonts w:ascii="Abo-thar" w:hAnsi="Abo-thar"/>
          <w:sz w:val="28"/>
          <w:rtl/>
        </w:rPr>
        <w:t>نٍ</w:t>
      </w:r>
      <w:r w:rsidR="00217AB4" w:rsidRPr="003F3B94">
        <w:rPr>
          <w:rFonts w:ascii="Abo-thar" w:hAnsi="Abo-thar" w:hint="cs"/>
          <w:sz w:val="28"/>
          <w:rtl/>
        </w:rPr>
        <w:t>)</w:t>
      </w:r>
      <w:r w:rsidRPr="003F3B94">
        <w:rPr>
          <w:rFonts w:ascii="Abo-thar" w:hAnsi="Abo-thar"/>
          <w:sz w:val="28"/>
          <w:rtl/>
        </w:rPr>
        <w:t xml:space="preserve"> </w:t>
      </w:r>
      <w:r w:rsidRPr="003F3B94">
        <w:rPr>
          <w:rFonts w:ascii="Abo-thar" w:hAnsi="Abo-thar" w:hint="cs"/>
          <w:sz w:val="28"/>
          <w:rtl/>
        </w:rPr>
        <w:t>والأموال التي تُؤخذ من</w:t>
      </w:r>
      <w:r w:rsidRPr="003F3B94">
        <w:rPr>
          <w:rFonts w:ascii="Abo-thar" w:hAnsi="Abo-thar"/>
          <w:sz w:val="28"/>
          <w:rtl/>
        </w:rPr>
        <w:t xml:space="preserve"> عَدُوٍّ </w:t>
      </w:r>
      <w:r w:rsidRPr="003F3B94">
        <w:rPr>
          <w:rFonts w:ascii="Abo-thar" w:hAnsi="Abo-thar" w:hint="cs"/>
          <w:sz w:val="28"/>
          <w:rtl/>
        </w:rPr>
        <w:t>وال</w:t>
      </w:r>
      <w:r w:rsidRPr="003F3B94">
        <w:rPr>
          <w:rFonts w:ascii="Abo-thar" w:hAnsi="Abo-thar"/>
          <w:sz w:val="28"/>
          <w:rtl/>
        </w:rPr>
        <w:t xml:space="preserve">مَالٍ يُؤْخَذُ لَا يُعْرَفُ لَهُ صَاحِبُهُ </w:t>
      </w:r>
      <w:r w:rsidRPr="003F3B94">
        <w:rPr>
          <w:rFonts w:ascii="Abo-thar" w:hAnsi="Abo-thar" w:hint="cs"/>
          <w:sz w:val="28"/>
          <w:rtl/>
        </w:rPr>
        <w:t>والأموال التي جاءت إلى الشيعة</w:t>
      </w:r>
      <w:r w:rsidRPr="003F3B94">
        <w:rPr>
          <w:rFonts w:ascii="Abo-thar" w:hAnsi="Abo-thar"/>
          <w:sz w:val="28"/>
          <w:rtl/>
        </w:rPr>
        <w:t xml:space="preserve"> مِنْ أَمْوَالِ الخُرَّمِيَّةِ الْفَسَقَةِ</w:t>
      </w:r>
      <w:r w:rsidR="00217AB4" w:rsidRPr="003F3B94">
        <w:rPr>
          <w:rFonts w:ascii="Abo-thar" w:hAnsi="Abo-thar" w:hint="cs"/>
          <w:sz w:val="28"/>
          <w:rtl/>
        </w:rPr>
        <w:t>،</w:t>
      </w:r>
      <w:r w:rsidRPr="003F3B94">
        <w:rPr>
          <w:rFonts w:ascii="Abo-thar" w:hAnsi="Abo-thar" w:hint="cs"/>
          <w:sz w:val="28"/>
          <w:rtl/>
        </w:rPr>
        <w:t xml:space="preserve"> كلها مال الإمام وحقّه</w:t>
      </w:r>
      <w:r w:rsidR="00217AB4" w:rsidRPr="003F3B94">
        <w:rPr>
          <w:rFonts w:ascii="Abo-thar" w:hAnsi="Abo-thar" w:hint="cs"/>
          <w:sz w:val="28"/>
          <w:rtl/>
        </w:rPr>
        <w:t>!!!</w:t>
      </w:r>
      <w:r w:rsidR="00147857" w:rsidRPr="003F3B94">
        <w:rPr>
          <w:rFonts w:ascii="Abo-thar" w:hAnsi="Abo-thar" w:hint="cs"/>
          <w:sz w:val="28"/>
          <w:rtl/>
        </w:rPr>
        <w:t xml:space="preserve"> </w:t>
      </w:r>
      <w:r w:rsidRPr="003F3B94">
        <w:rPr>
          <w:rFonts w:ascii="Abo-thar" w:hAnsi="Abo-thar" w:hint="cs"/>
          <w:sz w:val="28"/>
          <w:rtl/>
        </w:rPr>
        <w:t>لماذا</w:t>
      </w:r>
      <w:r w:rsidR="00217AB4" w:rsidRPr="003F3B94">
        <w:rPr>
          <w:rFonts w:ascii="Abo-thar" w:hAnsi="Abo-thar" w:hint="cs"/>
          <w:sz w:val="28"/>
          <w:rtl/>
        </w:rPr>
        <w:t>؟</w:t>
      </w:r>
      <w:r w:rsidRPr="003F3B94">
        <w:rPr>
          <w:rFonts w:ascii="Abo-thar" w:hAnsi="Abo-thar" w:hint="cs"/>
          <w:sz w:val="28"/>
          <w:rtl/>
        </w:rPr>
        <w:t xml:space="preserve"> ولأي سبب</w:t>
      </w:r>
      <w:r w:rsidR="00217AB4" w:rsidRPr="003F3B94">
        <w:rPr>
          <w:rFonts w:ascii="Abo-thar" w:hAnsi="Abo-thar" w:hint="cs"/>
          <w:sz w:val="28"/>
          <w:rtl/>
        </w:rPr>
        <w:t>؟</w:t>
      </w:r>
      <w:r w:rsidRPr="003F3B94">
        <w:rPr>
          <w:rFonts w:ascii="Abo-thar" w:hAnsi="Abo-thar" w:hint="cs"/>
          <w:sz w:val="28"/>
          <w:rtl/>
        </w:rPr>
        <w:t xml:space="preserve"> لا</w:t>
      </w:r>
      <w:r w:rsidRPr="003F3B94">
        <w:rPr>
          <w:rFonts w:cs="Times New Roman" w:hint="cs"/>
          <w:sz w:val="28"/>
          <w:rtl/>
        </w:rPr>
        <w:t> </w:t>
      </w:r>
      <w:r w:rsidRPr="003F3B94">
        <w:rPr>
          <w:rFonts w:ascii="Abo-thar" w:hAnsi="Abo-thar" w:hint="cs"/>
          <w:sz w:val="28"/>
          <w:rtl/>
        </w:rPr>
        <w:t>أحد يعلم</w:t>
      </w:r>
      <w:r w:rsidR="00217AB4" w:rsidRPr="003F3B94">
        <w:rPr>
          <w:rFonts w:ascii="Abo-thar" w:hAnsi="Abo-thar" w:hint="cs"/>
          <w:sz w:val="28"/>
          <w:rtl/>
        </w:rPr>
        <w:t>!!؟</w:t>
      </w:r>
      <w:r w:rsidRPr="003F3B94">
        <w:rPr>
          <w:rFonts w:ascii="Abo-thar" w:hAnsi="Abo-thar" w:hint="cs"/>
          <w:sz w:val="28"/>
          <w:rtl/>
        </w:rPr>
        <w:t xml:space="preserve"> وعلى فرض أنها ماله فعلاً فما علاقة الآخرين بذلك</w:t>
      </w:r>
      <w:r w:rsidR="00217AB4" w:rsidRPr="003F3B94">
        <w:rPr>
          <w:rFonts w:ascii="Abo-thar" w:hAnsi="Abo-thar" w:hint="cs"/>
          <w:sz w:val="28"/>
          <w:rtl/>
        </w:rPr>
        <w:t>؟!</w:t>
      </w:r>
    </w:p>
    <w:p w:rsidR="00C63984" w:rsidRPr="003F3B94" w:rsidRDefault="00C63984" w:rsidP="003F3B94">
      <w:pPr>
        <w:pStyle w:val="a0"/>
        <w:rPr>
          <w:rFonts w:hint="cs"/>
          <w:rtl/>
        </w:rPr>
      </w:pPr>
      <w:r w:rsidRPr="003F3B94">
        <w:rPr>
          <w:rFonts w:ascii="Abo-thar" w:hAnsi="Abo-thar" w:hint="cs"/>
          <w:sz w:val="28"/>
          <w:rtl/>
        </w:rPr>
        <w:t xml:space="preserve">وقد أورد المقدس الأردبيلي بعض الإشكالات على هذه الرواية فقال: </w:t>
      </w:r>
    </w:p>
    <w:p w:rsidR="005B4BE3" w:rsidRPr="00995B26" w:rsidRDefault="005B4BE3" w:rsidP="00367019">
      <w:pPr>
        <w:pStyle w:val="a0"/>
        <w:rPr>
          <w:rFonts w:hint="cs"/>
          <w:rtl/>
          <w:lang w:bidi="fa-IR"/>
        </w:rPr>
      </w:pPr>
      <w:r w:rsidRPr="00367019">
        <w:rPr>
          <w:rStyle w:val="Char"/>
          <w:rFonts w:cs="mylotus" w:hint="cs"/>
          <w:szCs w:val="27"/>
          <w:rtl/>
        </w:rPr>
        <w:t>«</w:t>
      </w:r>
      <w:r w:rsidRPr="00367019">
        <w:rPr>
          <w:rStyle w:val="Char"/>
          <w:rFonts w:cs="mylotus"/>
          <w:szCs w:val="27"/>
          <w:rtl/>
        </w:rPr>
        <w:t>وف</w:t>
      </w:r>
      <w:r w:rsidR="00D326AD" w:rsidRPr="00367019">
        <w:rPr>
          <w:rStyle w:val="Char"/>
          <w:rFonts w:cs="mylotus"/>
          <w:szCs w:val="27"/>
          <w:rtl/>
        </w:rPr>
        <w:t>ي</w:t>
      </w:r>
      <w:r w:rsidRPr="00367019">
        <w:rPr>
          <w:rStyle w:val="Char"/>
          <w:rFonts w:cs="mylotus"/>
          <w:szCs w:val="27"/>
          <w:rtl/>
        </w:rPr>
        <w:t>ها أح</w:t>
      </w:r>
      <w:r w:rsidR="00D326AD" w:rsidRPr="00367019">
        <w:rPr>
          <w:rStyle w:val="Char"/>
          <w:rFonts w:cs="mylotus"/>
          <w:szCs w:val="27"/>
          <w:rtl/>
        </w:rPr>
        <w:t>ك</w:t>
      </w:r>
      <w:r w:rsidRPr="00367019">
        <w:rPr>
          <w:rStyle w:val="Char"/>
          <w:rFonts w:cs="mylotus"/>
          <w:szCs w:val="27"/>
          <w:rtl/>
        </w:rPr>
        <w:t xml:space="preserve">امٌ </w:t>
      </w:r>
      <w:r w:rsidR="00D326AD" w:rsidRPr="00367019">
        <w:rPr>
          <w:rStyle w:val="Char"/>
          <w:rFonts w:cs="mylotus"/>
          <w:szCs w:val="27"/>
          <w:rtl/>
        </w:rPr>
        <w:t>ك</w:t>
      </w:r>
      <w:r w:rsidRPr="00367019">
        <w:rPr>
          <w:rStyle w:val="Char"/>
          <w:rFonts w:cs="mylotus"/>
          <w:szCs w:val="27"/>
          <w:rtl/>
        </w:rPr>
        <w:t>ث</w:t>
      </w:r>
      <w:r w:rsidR="00D326AD" w:rsidRPr="00367019">
        <w:rPr>
          <w:rStyle w:val="Char"/>
          <w:rFonts w:cs="mylotus"/>
          <w:szCs w:val="27"/>
          <w:rtl/>
        </w:rPr>
        <w:t>ي</w:t>
      </w:r>
      <w:r w:rsidRPr="00367019">
        <w:rPr>
          <w:rStyle w:val="Char"/>
          <w:rFonts w:cs="mylotus"/>
          <w:szCs w:val="27"/>
          <w:rtl/>
        </w:rPr>
        <w:t>رةٌ مخالفةٌ للمذهب مع اضطرابٍ وقصورٍ عن دلالتها علی مذهبه لِعَدمِ ذ</w:t>
      </w:r>
      <w:r w:rsidR="00D326AD" w:rsidRPr="00367019">
        <w:rPr>
          <w:rStyle w:val="Char"/>
          <w:rFonts w:cs="mylotus"/>
          <w:szCs w:val="27"/>
          <w:rtl/>
        </w:rPr>
        <w:t>ك</w:t>
      </w:r>
      <w:r w:rsidRPr="00367019">
        <w:rPr>
          <w:rStyle w:val="Char"/>
          <w:rFonts w:cs="mylotus"/>
          <w:szCs w:val="27"/>
          <w:rtl/>
        </w:rPr>
        <w:t>رِ الخُمسِ صر</w:t>
      </w:r>
      <w:r w:rsidR="00D326AD" w:rsidRPr="00367019">
        <w:rPr>
          <w:rStyle w:val="Char"/>
          <w:rFonts w:cs="mylotus"/>
          <w:szCs w:val="27"/>
          <w:rtl/>
        </w:rPr>
        <w:t>ي</w:t>
      </w:r>
      <w:r w:rsidRPr="00367019">
        <w:rPr>
          <w:rStyle w:val="Char"/>
          <w:rFonts w:cs="mylotus"/>
          <w:szCs w:val="27"/>
          <w:rtl/>
        </w:rPr>
        <w:t>حاً ورُجوعِ ضم</w:t>
      </w:r>
      <w:r w:rsidR="00D326AD" w:rsidRPr="00367019">
        <w:rPr>
          <w:rStyle w:val="Char"/>
          <w:rFonts w:cs="mylotus"/>
          <w:szCs w:val="27"/>
          <w:rtl/>
        </w:rPr>
        <w:t>ي</w:t>
      </w:r>
      <w:r w:rsidRPr="00367019">
        <w:rPr>
          <w:rStyle w:val="Char"/>
          <w:rFonts w:cs="mylotus"/>
          <w:szCs w:val="27"/>
          <w:rtl/>
        </w:rPr>
        <w:t xml:space="preserve">رهِ </w:t>
      </w:r>
      <w:r w:rsidRPr="00367019">
        <w:rPr>
          <w:rStyle w:val="Char"/>
          <w:rFonts w:cs="mylotus" w:hint="cs"/>
          <w:szCs w:val="27"/>
          <w:rtl/>
        </w:rPr>
        <w:t>إ</w:t>
      </w:r>
      <w:r w:rsidRPr="00367019">
        <w:rPr>
          <w:rStyle w:val="Char"/>
          <w:rFonts w:cs="mylotus"/>
          <w:szCs w:val="27"/>
          <w:rtl/>
        </w:rPr>
        <w:t>لَی الز</w:t>
      </w:r>
      <w:r w:rsidR="00D326AD" w:rsidRPr="00367019">
        <w:rPr>
          <w:rStyle w:val="Char"/>
          <w:rFonts w:cs="mylotus"/>
          <w:szCs w:val="27"/>
          <w:rtl/>
        </w:rPr>
        <w:t>ك</w:t>
      </w:r>
      <w:r w:rsidRPr="00367019">
        <w:rPr>
          <w:rStyle w:val="Char"/>
          <w:rFonts w:cs="mylotus"/>
          <w:szCs w:val="27"/>
          <w:rtl/>
        </w:rPr>
        <w:t>اةِ علی الظّاهِر ودلالةِ صُدورِ الخَبرِ علی سقوط الخُمسِ عن الش</w:t>
      </w:r>
      <w:r w:rsidR="00D326AD" w:rsidRPr="00367019">
        <w:rPr>
          <w:rStyle w:val="Char"/>
          <w:rFonts w:cs="mylotus"/>
          <w:szCs w:val="27"/>
          <w:rtl/>
        </w:rPr>
        <w:t>ي</w:t>
      </w:r>
      <w:r w:rsidRPr="00367019">
        <w:rPr>
          <w:rStyle w:val="Char"/>
          <w:rFonts w:cs="mylotus"/>
          <w:szCs w:val="27"/>
          <w:rtl/>
        </w:rPr>
        <w:t>عةِ وقَصرها عَلی الذّهبِ والفِضَّةِ مَعَ حَولِ الحَولِ</w:t>
      </w:r>
      <w:r w:rsidR="00AB28A0" w:rsidRPr="00367019">
        <w:rPr>
          <w:rStyle w:val="Char"/>
          <w:rFonts w:cs="mylotus"/>
          <w:szCs w:val="27"/>
          <w:rtl/>
        </w:rPr>
        <w:t>.</w:t>
      </w:r>
      <w:r w:rsidRPr="00367019">
        <w:rPr>
          <w:rStyle w:val="Char"/>
          <w:rFonts w:cs="mylotus"/>
          <w:szCs w:val="27"/>
          <w:rtl/>
        </w:rPr>
        <w:t>..</w:t>
      </w:r>
      <w:r w:rsidRPr="00367019">
        <w:rPr>
          <w:rStyle w:val="Char"/>
          <w:rFonts w:cs="mylotus" w:hint="cs"/>
          <w:szCs w:val="27"/>
          <w:rtl/>
        </w:rPr>
        <w:t>»</w:t>
      </w:r>
      <w:r w:rsidR="00C63984" w:rsidRPr="0021507A">
        <w:rPr>
          <w:rStyle w:val="FootnoteReference"/>
          <w:rFonts w:cs="Arabic11 BT" w:hint="cs"/>
          <w:spacing w:val="-4"/>
          <w:rtl/>
          <w:lang w:bidi="fa-IR"/>
        </w:rPr>
        <w:t>(</w:t>
      </w:r>
      <w:r w:rsidR="00C63984" w:rsidRPr="0021507A">
        <w:rPr>
          <w:rStyle w:val="FootnoteReference"/>
          <w:rFonts w:cs="Arabic11 BT"/>
          <w:spacing w:val="-4"/>
          <w:rtl/>
          <w:lang w:bidi="fa-IR"/>
        </w:rPr>
        <w:footnoteReference w:id="280"/>
      </w:r>
      <w:r w:rsidR="00C63984" w:rsidRPr="0021507A">
        <w:rPr>
          <w:rStyle w:val="FootnoteReference"/>
          <w:rFonts w:cs="Arabic11 BT" w:hint="cs"/>
          <w:spacing w:val="-4"/>
          <w:rtl/>
          <w:lang w:bidi="fa-IR"/>
        </w:rPr>
        <w:t>)</w:t>
      </w:r>
      <w:r w:rsidRPr="00995B26">
        <w:rPr>
          <w:rFonts w:cs="B Lotus" w:hint="cs"/>
          <w:rtl/>
          <w:lang w:bidi="fa-IR"/>
        </w:rPr>
        <w:t>.</w:t>
      </w:r>
    </w:p>
    <w:p w:rsidR="00C63984" w:rsidRPr="00367019" w:rsidRDefault="00C63984" w:rsidP="00367019">
      <w:pPr>
        <w:pStyle w:val="a0"/>
        <w:rPr>
          <w:rStyle w:val="Char"/>
          <w:rFonts w:cs="mylotus" w:hint="cs"/>
          <w:szCs w:val="27"/>
          <w:rtl/>
        </w:rPr>
      </w:pPr>
      <w:r w:rsidRPr="00367019">
        <w:rPr>
          <w:rStyle w:val="Char"/>
          <w:rFonts w:cs="mylotus" w:hint="cs"/>
          <w:szCs w:val="27"/>
          <w:rtl/>
        </w:rPr>
        <w:t>ولا ينقضي العجب ممن</w:t>
      </w:r>
      <w:r w:rsidR="00FE2278" w:rsidRPr="00367019">
        <w:rPr>
          <w:rStyle w:val="Char"/>
          <w:rFonts w:cs="mylotus" w:hint="cs"/>
          <w:szCs w:val="27"/>
          <w:rtl/>
        </w:rPr>
        <w:t xml:space="preserve"> يصرون على وجوب الخمس في أرباح المكاسب</w:t>
      </w:r>
      <w:r w:rsidRPr="00367019">
        <w:rPr>
          <w:rStyle w:val="Char"/>
          <w:rFonts w:cs="mylotus" w:hint="cs"/>
          <w:szCs w:val="27"/>
          <w:rtl/>
        </w:rPr>
        <w:t xml:space="preserve"> </w:t>
      </w:r>
      <w:r w:rsidR="00FE2278" w:rsidRPr="00367019">
        <w:rPr>
          <w:rStyle w:val="Char"/>
          <w:rFonts w:cs="mylotus" w:hint="cs"/>
          <w:szCs w:val="27"/>
          <w:rtl/>
        </w:rPr>
        <w:t>و</w:t>
      </w:r>
      <w:r w:rsidRPr="00367019">
        <w:rPr>
          <w:rStyle w:val="Char"/>
          <w:rFonts w:cs="mylotus" w:hint="cs"/>
          <w:szCs w:val="27"/>
          <w:rtl/>
        </w:rPr>
        <w:t>يتمسك</w:t>
      </w:r>
      <w:r w:rsidR="00FE2278" w:rsidRPr="00367019">
        <w:rPr>
          <w:rStyle w:val="Char"/>
          <w:rFonts w:cs="mylotus" w:hint="cs"/>
          <w:szCs w:val="27"/>
          <w:rtl/>
        </w:rPr>
        <w:t>ون</w:t>
      </w:r>
      <w:r w:rsidRPr="00367019">
        <w:rPr>
          <w:rStyle w:val="Char"/>
          <w:rFonts w:cs="mylotus" w:hint="cs"/>
          <w:szCs w:val="27"/>
          <w:rtl/>
        </w:rPr>
        <w:t xml:space="preserve"> </w:t>
      </w:r>
      <w:r w:rsidR="00FE2278" w:rsidRPr="00367019">
        <w:rPr>
          <w:rStyle w:val="Char"/>
          <w:rFonts w:cs="mylotus" w:hint="cs"/>
          <w:szCs w:val="27"/>
          <w:rtl/>
        </w:rPr>
        <w:t xml:space="preserve">لإثبات ذلك برواية تدل على خلاف مقصودهم! </w:t>
      </w:r>
    </w:p>
    <w:p w:rsidR="00FE2278" w:rsidRPr="00995B26" w:rsidRDefault="00FE2278" w:rsidP="00367019">
      <w:pPr>
        <w:pStyle w:val="a0"/>
        <w:rPr>
          <w:rFonts w:hint="cs"/>
          <w:rtl/>
          <w:lang w:bidi="fa-IR"/>
        </w:rPr>
      </w:pPr>
      <w:r w:rsidRPr="00367019">
        <w:rPr>
          <w:rStyle w:val="Char"/>
          <w:rFonts w:cs="mylotus" w:hint="cs"/>
          <w:szCs w:val="27"/>
          <w:rtl/>
        </w:rPr>
        <w:t>يقول المقدَّس الأردبيلي في هذا الصدد:</w:t>
      </w:r>
    </w:p>
    <w:p w:rsidR="00FE2278" w:rsidRPr="00995B26" w:rsidRDefault="00FE2278" w:rsidP="00367019">
      <w:pPr>
        <w:pStyle w:val="a0"/>
        <w:rPr>
          <w:rFonts w:hint="cs"/>
          <w:rtl/>
          <w:lang w:bidi="fa-IR"/>
        </w:rPr>
      </w:pPr>
      <w:r w:rsidRPr="00995B26">
        <w:rPr>
          <w:rFonts w:cs="Traditional Arabic" w:hint="cs"/>
          <w:rtl/>
          <w:lang w:bidi="fa-IR"/>
        </w:rPr>
        <w:t>«</w:t>
      </w:r>
      <w:r w:rsidRPr="00367019">
        <w:rPr>
          <w:rStyle w:val="Char"/>
          <w:rFonts w:cs="mylotus"/>
          <w:szCs w:val="27"/>
          <w:rtl/>
        </w:rPr>
        <w:t>وبالجُملةِ، هذا الخبرُ مضطربٌ بح</w:t>
      </w:r>
      <w:r w:rsidR="00D326AD" w:rsidRPr="00367019">
        <w:rPr>
          <w:rStyle w:val="Char"/>
          <w:rFonts w:cs="mylotus"/>
          <w:szCs w:val="27"/>
          <w:rtl/>
        </w:rPr>
        <w:t>ي</w:t>
      </w:r>
      <w:r w:rsidRPr="00367019">
        <w:rPr>
          <w:rStyle w:val="Char"/>
          <w:rFonts w:cs="mylotus"/>
          <w:szCs w:val="27"/>
          <w:rtl/>
        </w:rPr>
        <w:t>ثُ لا</w:t>
      </w:r>
      <w:r w:rsidR="00D326AD" w:rsidRPr="00367019">
        <w:rPr>
          <w:rStyle w:val="Char"/>
          <w:rFonts w:cs="mylotus"/>
          <w:szCs w:val="27"/>
          <w:rtl/>
        </w:rPr>
        <w:t>ي</w:t>
      </w:r>
      <w:r w:rsidRPr="00367019">
        <w:rPr>
          <w:rStyle w:val="Char"/>
          <w:rFonts w:cs="mylotus"/>
          <w:szCs w:val="27"/>
          <w:rtl/>
        </w:rPr>
        <w:t>م</w:t>
      </w:r>
      <w:r w:rsidR="00D326AD" w:rsidRPr="00367019">
        <w:rPr>
          <w:rStyle w:val="Char"/>
          <w:rFonts w:cs="mylotus"/>
          <w:szCs w:val="27"/>
          <w:rtl/>
        </w:rPr>
        <w:t>ك</w:t>
      </w:r>
      <w:r w:rsidRPr="00367019">
        <w:rPr>
          <w:rStyle w:val="Char"/>
          <w:rFonts w:cs="mylotus"/>
          <w:szCs w:val="27"/>
          <w:rtl/>
        </w:rPr>
        <w:t>نُ الاستدلالُ بهِ علی ش</w:t>
      </w:r>
      <w:r w:rsidR="00D326AD" w:rsidRPr="00367019">
        <w:rPr>
          <w:rStyle w:val="Char"/>
          <w:rFonts w:cs="mylotus"/>
          <w:szCs w:val="27"/>
          <w:rtl/>
        </w:rPr>
        <w:t>ي</w:t>
      </w:r>
      <w:r w:rsidRPr="00367019">
        <w:rPr>
          <w:rStyle w:val="Char"/>
          <w:rFonts w:cs="mylotus"/>
          <w:szCs w:val="27"/>
          <w:rtl/>
        </w:rPr>
        <w:t>ءٍ</w:t>
      </w:r>
      <w:r w:rsidRPr="00995B26">
        <w:rPr>
          <w:rFonts w:cs="Traditional Arabic" w:hint="cs"/>
          <w:rtl/>
          <w:lang w:bidi="fa-IR"/>
        </w:rPr>
        <w:t>»</w:t>
      </w:r>
      <w:r w:rsidRPr="00995B26">
        <w:rPr>
          <w:rFonts w:cs="B Lotus" w:hint="cs"/>
          <w:rtl/>
          <w:lang w:bidi="fa-IR"/>
        </w:rPr>
        <w:t>.</w:t>
      </w:r>
    </w:p>
    <w:p w:rsidR="00FE2278" w:rsidRPr="00367019" w:rsidRDefault="00FE2278" w:rsidP="00367019">
      <w:pPr>
        <w:pStyle w:val="a0"/>
        <w:rPr>
          <w:rFonts w:hint="cs"/>
          <w:rtl/>
          <w:lang w:bidi="fa-IR"/>
        </w:rPr>
      </w:pPr>
      <w:r w:rsidRPr="00367019">
        <w:rPr>
          <w:rStyle w:val="Char"/>
          <w:rFonts w:cs="mylotus" w:hint="cs"/>
          <w:szCs w:val="27"/>
          <w:rtl/>
        </w:rPr>
        <w:t>ثم أورد إشكالات أخرى على هذه الرواية، من ذلك قوله مثلاً:</w:t>
      </w:r>
    </w:p>
    <w:p w:rsidR="00FE2278" w:rsidRPr="00995B26" w:rsidRDefault="00FE2278" w:rsidP="00367019">
      <w:pPr>
        <w:pStyle w:val="a0"/>
        <w:rPr>
          <w:rFonts w:hint="cs"/>
          <w:rtl/>
          <w:lang w:bidi="fa-IR"/>
        </w:rPr>
      </w:pPr>
      <w:r w:rsidRPr="00367019">
        <w:rPr>
          <w:rFonts w:hint="cs"/>
          <w:rtl/>
          <w:lang w:bidi="fa-IR"/>
        </w:rPr>
        <w:t>«ليس من المعلوم من هو المُخاطَب في هذه الرسالة»</w:t>
      </w:r>
      <w:r w:rsidR="00AB5161" w:rsidRPr="00995B26">
        <w:rPr>
          <w:rFonts w:cs="B Lotus" w:hint="cs"/>
          <w:rtl/>
          <w:lang w:bidi="fa-IR"/>
        </w:rPr>
        <w:t>.</w:t>
      </w:r>
    </w:p>
    <w:p w:rsidR="005C664D" w:rsidRPr="003F3B94" w:rsidRDefault="005C664D" w:rsidP="003F3B94">
      <w:pPr>
        <w:pStyle w:val="a0"/>
        <w:rPr>
          <w:rFonts w:hint="cs"/>
          <w:rtl/>
          <w:lang w:bidi="ar-SY"/>
        </w:rPr>
      </w:pPr>
      <w:r w:rsidRPr="003F3B94">
        <w:rPr>
          <w:rFonts w:ascii="Abo-thar" w:hAnsi="Abo-thar" w:hint="cs"/>
          <w:b/>
          <w:bCs/>
          <w:sz w:val="28"/>
          <w:rtl/>
        </w:rPr>
        <w:t>الحديث الخامس</w:t>
      </w:r>
      <w:r w:rsidR="00217AB4" w:rsidRPr="003F3B94">
        <w:rPr>
          <w:rFonts w:ascii="Abo-thar" w:hAnsi="Abo-thar" w:hint="cs"/>
          <w:b/>
          <w:bCs/>
          <w:sz w:val="28"/>
          <w:rtl/>
        </w:rPr>
        <w:t>:</w:t>
      </w:r>
      <w:r w:rsidRPr="003F3B94">
        <w:rPr>
          <w:rFonts w:ascii="Abo-thar" w:hAnsi="Abo-thar" w:hint="cs"/>
          <w:sz w:val="28"/>
          <w:rtl/>
        </w:rPr>
        <w:t xml:space="preserve"> من الأحاديث التي تدل على وجوب الخُمس في أرباح المكاسب وأن هذا الخُمس خاصٌّ بالإمام فقط</w:t>
      </w:r>
      <w:r w:rsidR="00217AB4" w:rsidRPr="003F3B94">
        <w:rPr>
          <w:rFonts w:ascii="Abo-thar" w:hAnsi="Abo-thar" w:hint="cs"/>
          <w:sz w:val="28"/>
          <w:rtl/>
        </w:rPr>
        <w:t>،</w:t>
      </w:r>
      <w:r w:rsidRPr="003F3B94">
        <w:rPr>
          <w:rFonts w:ascii="Abo-thar" w:hAnsi="Abo-thar" w:hint="cs"/>
          <w:sz w:val="28"/>
          <w:rtl/>
        </w:rPr>
        <w:t xml:space="preserve"> هو ثامن حديث [أورده الحرّ العامليّ] في </w:t>
      </w:r>
      <w:r w:rsidRPr="003F3B94">
        <w:rPr>
          <w:rFonts w:ascii="Abo-thar" w:hAnsi="Abo-thar"/>
          <w:sz w:val="28"/>
          <w:rtl/>
        </w:rPr>
        <w:t>«</w:t>
      </w:r>
      <w:r w:rsidRPr="003F3B94">
        <w:rPr>
          <w:rFonts w:ascii="Abo-thar" w:hAnsi="Abo-thar" w:hint="cs"/>
          <w:sz w:val="28"/>
          <w:rtl/>
        </w:rPr>
        <w:t>وسائل الشيعة</w:t>
      </w:r>
      <w:r w:rsidRPr="003F3B94">
        <w:rPr>
          <w:rFonts w:ascii="Abo-thar" w:hAnsi="Abo-thar"/>
          <w:sz w:val="28"/>
          <w:rtl/>
        </w:rPr>
        <w:t>»</w:t>
      </w:r>
      <w:r w:rsidRPr="003F3B94">
        <w:rPr>
          <w:rFonts w:ascii="Abo-thar" w:hAnsi="Abo-thar" w:hint="cs"/>
          <w:sz w:val="28"/>
          <w:rtl/>
        </w:rPr>
        <w:t xml:space="preserve"> في هذا الباب</w:t>
      </w:r>
      <w:r w:rsidR="00217AB4" w:rsidRPr="003F3B94">
        <w:rPr>
          <w:rFonts w:ascii="Abo-thar" w:hAnsi="Abo-thar" w:hint="cs"/>
          <w:sz w:val="28"/>
          <w:rtl/>
        </w:rPr>
        <w:t>،</w:t>
      </w:r>
      <w:r w:rsidR="00147857" w:rsidRPr="003F3B94">
        <w:rPr>
          <w:rFonts w:ascii="Abo-thar" w:hAnsi="Abo-thar" w:hint="cs"/>
          <w:sz w:val="28"/>
          <w:rtl/>
        </w:rPr>
        <w:t xml:space="preserve"> </w:t>
      </w:r>
      <w:r w:rsidRPr="003F3B94">
        <w:rPr>
          <w:rFonts w:ascii="Abo-thar" w:hAnsi="Abo-thar" w:hint="cs"/>
          <w:sz w:val="28"/>
          <w:rtl/>
        </w:rPr>
        <w:t xml:space="preserve">وبالمناسبة هو حديث لم يروه إلا الشيخ الطوسي في «التهذيب» </w:t>
      </w:r>
      <w:r w:rsidR="00217AB4" w:rsidRPr="003F3B94">
        <w:rPr>
          <w:rFonts w:ascii="Abo-thar" w:hAnsi="Abo-thar" w:hint="cs"/>
          <w:sz w:val="28"/>
          <w:rtl/>
        </w:rPr>
        <w:t>(</w:t>
      </w:r>
      <w:r w:rsidRPr="003F3B94">
        <w:rPr>
          <w:rFonts w:ascii="Abo-thar" w:hAnsi="Abo-thar" w:hint="cs"/>
          <w:sz w:val="28"/>
          <w:rtl/>
        </w:rPr>
        <w:t>ج4</w:t>
      </w:r>
      <w:r w:rsidR="00920257" w:rsidRPr="003F3B94">
        <w:rPr>
          <w:rFonts w:ascii="Abo-thar" w:hAnsi="Abo-thar" w:hint="cs"/>
          <w:sz w:val="28"/>
          <w:rtl/>
        </w:rPr>
        <w:t xml:space="preserve">، </w:t>
      </w:r>
      <w:r w:rsidRPr="003F3B94">
        <w:rPr>
          <w:rFonts w:ascii="Abo-thar" w:hAnsi="Abo-thar" w:hint="cs"/>
          <w:sz w:val="28"/>
          <w:rtl/>
        </w:rPr>
        <w:t>ص122</w:t>
      </w:r>
      <w:r w:rsidR="00217AB4" w:rsidRPr="003F3B94">
        <w:rPr>
          <w:rFonts w:ascii="Abo-thar" w:hAnsi="Abo-thar" w:hint="cs"/>
          <w:sz w:val="28"/>
          <w:rtl/>
        </w:rPr>
        <w:t>)</w:t>
      </w:r>
      <w:r w:rsidRPr="003F3B94">
        <w:rPr>
          <w:rFonts w:ascii="Abo-thar" w:hAnsi="Abo-thar" w:hint="cs"/>
          <w:sz w:val="28"/>
          <w:rtl/>
        </w:rPr>
        <w:t xml:space="preserve"> فقط ولا وجود له في سائر كتب الحديث أو الفقه</w:t>
      </w:r>
      <w:r w:rsidR="00217AB4" w:rsidRPr="003F3B94">
        <w:rPr>
          <w:rFonts w:ascii="Abo-thar" w:hAnsi="Abo-thar" w:hint="cs"/>
          <w:sz w:val="28"/>
          <w:rtl/>
        </w:rPr>
        <w:t>!</w:t>
      </w:r>
      <w:r w:rsidRPr="003F3B94">
        <w:rPr>
          <w:rFonts w:ascii="Abo-thar" w:hAnsi="Abo-thar" w:hint="cs"/>
          <w:sz w:val="28"/>
          <w:rtl/>
        </w:rPr>
        <w:t xml:space="preserve"> ونصه</w:t>
      </w:r>
      <w:r w:rsidR="00217AB4" w:rsidRPr="003F3B94">
        <w:rPr>
          <w:rFonts w:ascii="Abo-thar" w:hAnsi="Abo-thar" w:hint="cs"/>
          <w:sz w:val="28"/>
          <w:rtl/>
        </w:rPr>
        <w:t>:</w:t>
      </w:r>
    </w:p>
    <w:p w:rsidR="005C664D" w:rsidRPr="003F3B94" w:rsidRDefault="00EF2588" w:rsidP="003F3B94">
      <w:pPr>
        <w:pStyle w:val="a0"/>
        <w:rPr>
          <w:rFonts w:hint="cs"/>
          <w:rtl/>
          <w:lang w:bidi="ar-SY"/>
        </w:rPr>
      </w:pPr>
      <w:r w:rsidRPr="004408B9">
        <w:rPr>
          <w:rFonts w:ascii="Abo-thar" w:hAnsi="Abo-thar" w:cs="KFGQPC Uthman Taha Naskh" w:hint="cs"/>
          <w:sz w:val="28"/>
          <w:rtl/>
          <w:lang w:bidi="ar-SY"/>
        </w:rPr>
        <w:t>«</w:t>
      </w:r>
      <w:r w:rsidR="005C664D" w:rsidRPr="004408B9">
        <w:rPr>
          <w:rFonts w:ascii="Abo-thar" w:hAnsi="Abo-thar" w:cs="KFGQPC Uthman Taha Naskh"/>
          <w:b/>
          <w:bCs/>
          <w:sz w:val="28"/>
          <w:rtl/>
          <w:lang w:bidi="ar-SY"/>
        </w:rPr>
        <w:t xml:space="preserve">عَنْ مُحَمَّدِ بْنِ الحُسَيْنِ عَنْ عَبْدِ اللهِ بْنِ الْقَاسِمِ الحَضْرَمِيِّ عَنْ عَبْدِ اللهِ بْنِ سِنَانٍ قَالَ قَالَ أَبُو عَبْدِ اللهِ </w:t>
      </w:r>
      <w:r w:rsidR="00BC4BA9" w:rsidRPr="00BC4BA9">
        <w:rPr>
          <w:rFonts w:ascii="Abo-thar" w:hAnsi="Abo-thar" w:cs="CTraditional Arabic"/>
          <w:b/>
          <w:sz w:val="28"/>
          <w:rtl/>
          <w:lang w:bidi="ar-SY"/>
        </w:rPr>
        <w:t>÷</w:t>
      </w:r>
      <w:r w:rsidR="00217AB4" w:rsidRPr="004408B9">
        <w:rPr>
          <w:rFonts w:ascii="Abo-thar" w:hAnsi="Abo-thar" w:cs="KFGQPC Uthman Taha Naskh" w:hint="cs"/>
          <w:b/>
          <w:bCs/>
          <w:sz w:val="28"/>
          <w:rtl/>
          <w:lang w:bidi="ar-SY"/>
        </w:rPr>
        <w:t>:</w:t>
      </w:r>
      <w:r w:rsidR="005C664D" w:rsidRPr="004408B9">
        <w:rPr>
          <w:rFonts w:ascii="Abo-thar" w:hAnsi="Abo-thar" w:cs="KFGQPC Uthman Taha Naskh"/>
          <w:b/>
          <w:bCs/>
          <w:sz w:val="28"/>
          <w:rtl/>
          <w:lang w:bidi="ar-SY"/>
        </w:rPr>
        <w:t xml:space="preserve"> عَلَى كُلِّ امْرِئٍ غَنِمَ أَوِ اكْتَسَبَ</w:t>
      </w:r>
      <w:r w:rsidR="00217AB4" w:rsidRPr="004408B9">
        <w:rPr>
          <w:rFonts w:ascii="Abo-thar" w:hAnsi="Abo-thar" w:cs="KFGQPC Uthman Taha Naskh" w:hint="cs"/>
          <w:b/>
          <w:bCs/>
          <w:sz w:val="28"/>
          <w:rtl/>
          <w:lang w:bidi="ar-SY"/>
        </w:rPr>
        <w:t>،</w:t>
      </w:r>
      <w:r w:rsidR="005C664D" w:rsidRPr="004408B9">
        <w:rPr>
          <w:rFonts w:ascii="Abo-thar" w:hAnsi="Abo-thar" w:cs="KFGQPC Uthman Taha Naskh"/>
          <w:b/>
          <w:bCs/>
          <w:sz w:val="28"/>
          <w:rtl/>
          <w:lang w:bidi="ar-SY"/>
        </w:rPr>
        <w:t xml:space="preserve"> الخُمُسُ مِمَّا أَصَابَ لِفَاطِمَةَ </w:t>
      </w:r>
      <w:r w:rsidR="00BC4BA9" w:rsidRPr="00BC4BA9">
        <w:rPr>
          <w:rFonts w:ascii="Abo-thar" w:hAnsi="Abo-thar" w:cs="CTraditional Arabic"/>
          <w:b/>
          <w:sz w:val="28"/>
          <w:rtl/>
          <w:lang w:bidi="ar-SY"/>
        </w:rPr>
        <w:t>÷</w:t>
      </w:r>
      <w:r w:rsidR="00147857" w:rsidRPr="004408B9">
        <w:rPr>
          <w:rFonts w:ascii="Abo-thar" w:hAnsi="Abo-thar" w:cs="KFGQPC Uthman Taha Naskh"/>
          <w:b/>
          <w:bCs/>
          <w:sz w:val="28"/>
          <w:rtl/>
          <w:lang w:bidi="ar-SY"/>
        </w:rPr>
        <w:t xml:space="preserve"> و</w:t>
      </w:r>
      <w:r w:rsidR="005C664D" w:rsidRPr="004408B9">
        <w:rPr>
          <w:rFonts w:ascii="Abo-thar" w:hAnsi="Abo-thar" w:cs="KFGQPC Uthman Taha Naskh"/>
          <w:b/>
          <w:bCs/>
          <w:sz w:val="28"/>
          <w:rtl/>
          <w:lang w:bidi="ar-SY"/>
        </w:rPr>
        <w:t>لِمَنْ يَلِي أَمْرَهَا مِنْ بَعْدِهَا مِنْ ذُرِّيَّتِهَا الحُجَجِ عَلَى النَّاسِ فَذَاكَ ل</w:t>
      </w:r>
      <w:r w:rsidR="005C664D" w:rsidRPr="004408B9">
        <w:rPr>
          <w:rFonts w:ascii="Abo-thar" w:hAnsi="Abo-thar" w:cs="KFGQPC Uthman Taha Naskh" w:hint="cs"/>
          <w:b/>
          <w:bCs/>
          <w:sz w:val="28"/>
          <w:rtl/>
          <w:lang w:bidi="ar-SY"/>
        </w:rPr>
        <w:t>َـ</w:t>
      </w:r>
      <w:r w:rsidR="005C664D" w:rsidRPr="004408B9">
        <w:rPr>
          <w:rFonts w:ascii="Abo-thar" w:hAnsi="Abo-thar" w:cs="KFGQPC Uthman Taha Naskh"/>
          <w:b/>
          <w:bCs/>
          <w:sz w:val="28"/>
          <w:rtl/>
          <w:lang w:bidi="ar-SY"/>
        </w:rPr>
        <w:t>هُمْ خَاصَّةً يَضَعُونَهُ حَيْثُ شَاءُوا إِذْ حَرُمَ عَلَيْهِمُ الصَّدَقَةُ حَتَّى الخَيَّاطُ لَيَخِيطُ قَمِيصاً بِخَمْسَةِ دَوَانِيقَ فَلَنَا مِنْهَا دَانِقٌ إِلَّا مَنْ أَحْلَلْنَا مِنْ شِيعَتِنَا لِتَطِيبَ لَهُمْ بِهِ الوِلَادَةُ</w:t>
      </w:r>
      <w:r w:rsidR="00217AB4" w:rsidRPr="004408B9">
        <w:rPr>
          <w:rFonts w:ascii="Abo-thar" w:hAnsi="Abo-thar" w:cs="KFGQPC Uthman Taha Naskh" w:hint="cs"/>
          <w:b/>
          <w:bCs/>
          <w:sz w:val="28"/>
          <w:rtl/>
          <w:lang w:bidi="ar-SY"/>
        </w:rPr>
        <w:t>.</w:t>
      </w:r>
      <w:r w:rsidR="005C664D" w:rsidRPr="004408B9">
        <w:rPr>
          <w:rFonts w:ascii="Abo-thar" w:hAnsi="Abo-thar" w:cs="KFGQPC Uthman Taha Naskh"/>
          <w:b/>
          <w:bCs/>
          <w:sz w:val="28"/>
          <w:rtl/>
          <w:lang w:bidi="ar-SY"/>
        </w:rPr>
        <w:t xml:space="preserve"> إِنَّهُ لَيْسَ مِنْ شَيْ‏ءٍ عِنْدَ اللهِ يَوْمَ القِيَامَةِ أَعْظَمَ مِنَ الزِّنَا</w:t>
      </w:r>
      <w:r w:rsidR="00217AB4" w:rsidRPr="004408B9">
        <w:rPr>
          <w:rFonts w:ascii="Abo-thar" w:hAnsi="Abo-thar" w:cs="KFGQPC Uthman Taha Naskh" w:hint="cs"/>
          <w:b/>
          <w:bCs/>
          <w:sz w:val="28"/>
          <w:rtl/>
          <w:lang w:bidi="ar-SY"/>
        </w:rPr>
        <w:t>.</w:t>
      </w:r>
      <w:r w:rsidR="005C664D" w:rsidRPr="004408B9">
        <w:rPr>
          <w:rFonts w:ascii="Abo-thar" w:hAnsi="Abo-thar" w:cs="KFGQPC Uthman Taha Naskh"/>
          <w:b/>
          <w:bCs/>
          <w:sz w:val="28"/>
          <w:rtl/>
          <w:lang w:bidi="ar-SY"/>
        </w:rPr>
        <w:t xml:space="preserve"> إِنَّهُ لَيَقُومُ صَاحِبُ الخُمُسِ فَيَقُولُ</w:t>
      </w:r>
      <w:r w:rsidR="00217AB4" w:rsidRPr="004408B9">
        <w:rPr>
          <w:rFonts w:ascii="Abo-thar" w:hAnsi="Abo-thar" w:cs="KFGQPC Uthman Taha Naskh" w:hint="cs"/>
          <w:b/>
          <w:bCs/>
          <w:sz w:val="28"/>
          <w:rtl/>
          <w:lang w:bidi="ar-SY"/>
        </w:rPr>
        <w:t>:</w:t>
      </w:r>
      <w:r w:rsidR="005C664D" w:rsidRPr="004408B9">
        <w:rPr>
          <w:rFonts w:ascii="Abo-thar" w:hAnsi="Abo-thar" w:cs="KFGQPC Uthman Taha Naskh"/>
          <w:b/>
          <w:bCs/>
          <w:sz w:val="28"/>
          <w:rtl/>
          <w:lang w:bidi="ar-SY"/>
        </w:rPr>
        <w:t xml:space="preserve"> يَا رَبِّ</w:t>
      </w:r>
      <w:r w:rsidR="00217AB4" w:rsidRPr="004408B9">
        <w:rPr>
          <w:rFonts w:ascii="Abo-thar" w:hAnsi="Abo-thar" w:cs="KFGQPC Uthman Taha Naskh" w:hint="cs"/>
          <w:b/>
          <w:bCs/>
          <w:sz w:val="28"/>
          <w:rtl/>
          <w:lang w:bidi="ar-SY"/>
        </w:rPr>
        <w:t>!</w:t>
      </w:r>
      <w:r w:rsidR="005C664D" w:rsidRPr="004408B9">
        <w:rPr>
          <w:rFonts w:ascii="Abo-thar" w:hAnsi="Abo-thar" w:cs="KFGQPC Uthman Taha Naskh"/>
          <w:b/>
          <w:bCs/>
          <w:sz w:val="28"/>
          <w:rtl/>
          <w:lang w:bidi="ar-SY"/>
        </w:rPr>
        <w:t xml:space="preserve"> سَلْ هَؤُلَاءِ بِمَا أُبِيحُوا</w:t>
      </w:r>
      <w:r w:rsidR="00F456DF" w:rsidRPr="004408B9">
        <w:rPr>
          <w:rFonts w:ascii="Abo-thar" w:hAnsi="Abo-thar" w:cs="KFGQPC Uthman Taha Naskh" w:hint="cs"/>
          <w:sz w:val="28"/>
          <w:rtl/>
          <w:lang w:bidi="ar-SY"/>
        </w:rPr>
        <w:t>»</w:t>
      </w:r>
      <w:r w:rsidR="007D4D3A" w:rsidRPr="0021507A">
        <w:rPr>
          <w:rFonts w:ascii="Abo-thar" w:hAnsi="Abo-thar" w:cs="Arabic11 BT"/>
          <w:sz w:val="28"/>
          <w:vertAlign w:val="superscript"/>
          <w:rtl/>
          <w:lang w:bidi="ar-SY"/>
        </w:rPr>
        <w:t>(</w:t>
      </w:r>
      <w:r w:rsidR="007D4D3A" w:rsidRPr="0021507A">
        <w:rPr>
          <w:rStyle w:val="FootnoteReference"/>
          <w:rFonts w:ascii="Abo-thar" w:hAnsi="Abo-thar" w:cs="Arabic11 BT"/>
          <w:sz w:val="28"/>
          <w:rtl/>
          <w:lang w:bidi="ar-SY"/>
        </w:rPr>
        <w:footnoteReference w:id="281"/>
      </w:r>
      <w:r w:rsidR="007D4D3A" w:rsidRPr="0021507A">
        <w:rPr>
          <w:rFonts w:ascii="Abo-thar" w:hAnsi="Abo-thar" w:cs="Arabic11 BT"/>
          <w:sz w:val="28"/>
          <w:vertAlign w:val="superscript"/>
          <w:rtl/>
          <w:lang w:bidi="ar-SY"/>
        </w:rPr>
        <w:t>)</w:t>
      </w:r>
      <w:r w:rsidR="00217AB4" w:rsidRPr="003F3B94">
        <w:rPr>
          <w:rFonts w:ascii="Abo-thar" w:hAnsi="Abo-thar" w:hint="cs"/>
          <w:sz w:val="28"/>
          <w:rtl/>
          <w:lang w:bidi="ar-SY"/>
        </w:rPr>
        <w:t>.</w:t>
      </w:r>
    </w:p>
    <w:p w:rsidR="005C664D" w:rsidRPr="003F3B94" w:rsidRDefault="005C664D" w:rsidP="00255A16">
      <w:pPr>
        <w:pStyle w:val="a0"/>
        <w:rPr>
          <w:rFonts w:hint="cs"/>
          <w:rtl/>
          <w:lang w:bidi="ar-SY"/>
        </w:rPr>
      </w:pPr>
      <w:r w:rsidRPr="003F3B94">
        <w:rPr>
          <w:rFonts w:ascii="Abo-thar" w:hAnsi="Abo-thar" w:hint="cs"/>
          <w:sz w:val="28"/>
          <w:rtl/>
          <w:lang w:bidi="ar-SY"/>
        </w:rPr>
        <w:t>بدايةً سندرس هذا الحديث من حيث سنده كي تظهر لنا قيمته</w:t>
      </w:r>
      <w:r w:rsidR="00217AB4" w:rsidRPr="003F3B94">
        <w:rPr>
          <w:rFonts w:ascii="Abo-thar" w:hAnsi="Abo-thar" w:hint="cs"/>
          <w:sz w:val="28"/>
          <w:rtl/>
          <w:lang w:bidi="ar-SY"/>
        </w:rPr>
        <w:t>،</w:t>
      </w:r>
      <w:r w:rsidRPr="003F3B94">
        <w:rPr>
          <w:rFonts w:ascii="Abo-thar" w:hAnsi="Abo-thar" w:hint="cs"/>
          <w:sz w:val="28"/>
          <w:rtl/>
          <w:lang w:bidi="ar-SY"/>
        </w:rPr>
        <w:t xml:space="preserve"> ثم نعرِّج على متنه كي نتبين المقصود منه</w:t>
      </w:r>
      <w:r w:rsidR="00255A16">
        <w:rPr>
          <w:rFonts w:ascii="Abo-thar" w:hAnsi="Abo-thar" w:hint="cs"/>
          <w:sz w:val="28"/>
          <w:rtl/>
          <w:lang w:bidi="ar-SY"/>
        </w:rPr>
        <w:t>.</w:t>
      </w:r>
    </w:p>
    <w:p w:rsidR="005C664D" w:rsidRPr="003F3B94" w:rsidRDefault="005C664D" w:rsidP="003F3B94">
      <w:pPr>
        <w:pStyle w:val="a0"/>
        <w:rPr>
          <w:rFonts w:hint="cs"/>
          <w:rtl/>
        </w:rPr>
      </w:pPr>
      <w:r w:rsidRPr="003F3B94">
        <w:rPr>
          <w:rFonts w:ascii="Abo-thar" w:hAnsi="Abo-thar" w:hint="cs"/>
          <w:sz w:val="28"/>
          <w:rtl/>
          <w:lang w:bidi="ar-SY"/>
        </w:rPr>
        <w:t xml:space="preserve">بالنسبة إلى رواة الحديث سنصرف النظر عن دراسة سائر رجل السند ونكتفي بدراسة أحد رجال السند وهو </w:t>
      </w:r>
      <w:r w:rsidR="00147857" w:rsidRPr="003F3B94">
        <w:rPr>
          <w:rFonts w:ascii="Abo-thar" w:hAnsi="Abo-thar" w:hint="cs"/>
          <w:sz w:val="28"/>
          <w:rtl/>
          <w:lang w:bidi="ar-SY"/>
        </w:rPr>
        <w:t>«</w:t>
      </w:r>
      <w:r w:rsidRPr="003F3B94">
        <w:rPr>
          <w:rFonts w:ascii="Abo-thar" w:hAnsi="Abo-thar"/>
          <w:sz w:val="28"/>
          <w:rtl/>
          <w:lang w:bidi="ar-SY"/>
        </w:rPr>
        <w:t>عَبْد</w:t>
      </w:r>
      <w:r w:rsidRPr="003F3B94">
        <w:rPr>
          <w:rFonts w:ascii="Abo-thar" w:hAnsi="Abo-thar" w:hint="cs"/>
          <w:sz w:val="28"/>
          <w:rtl/>
          <w:lang w:bidi="ar-SY"/>
        </w:rPr>
        <w:t>ُ</w:t>
      </w:r>
      <w:r w:rsidRPr="003F3B94">
        <w:rPr>
          <w:rFonts w:ascii="Abo-thar" w:hAnsi="Abo-thar"/>
          <w:sz w:val="28"/>
          <w:rtl/>
          <w:lang w:bidi="ar-SY"/>
        </w:rPr>
        <w:t xml:space="preserve"> </w:t>
      </w:r>
      <w:r w:rsidRPr="003F3B94">
        <w:rPr>
          <w:rFonts w:ascii="Abo-thar" w:hAnsi="Abo-thar" w:hint="cs"/>
          <w:sz w:val="28"/>
          <w:rtl/>
          <w:lang w:bidi="ar-SY"/>
        </w:rPr>
        <w:t>اللهِ</w:t>
      </w:r>
      <w:r w:rsidRPr="003F3B94">
        <w:rPr>
          <w:rFonts w:ascii="Abo-thar" w:hAnsi="Abo-thar"/>
          <w:sz w:val="28"/>
          <w:rtl/>
          <w:lang w:bidi="ar-SY"/>
        </w:rPr>
        <w:t xml:space="preserve"> بْن</w:t>
      </w:r>
      <w:r w:rsidRPr="003F3B94">
        <w:rPr>
          <w:rFonts w:ascii="Abo-thar" w:hAnsi="Abo-thar" w:hint="cs"/>
          <w:sz w:val="28"/>
          <w:rtl/>
          <w:lang w:bidi="ar-SY"/>
        </w:rPr>
        <w:t>ُ</w:t>
      </w:r>
      <w:r w:rsidRPr="003F3B94">
        <w:rPr>
          <w:rFonts w:ascii="Abo-thar" w:hAnsi="Abo-thar"/>
          <w:sz w:val="28"/>
          <w:rtl/>
          <w:lang w:bidi="ar-SY"/>
        </w:rPr>
        <w:t xml:space="preserve"> الْقَاسِمِ الحَضْرَمِيّ</w:t>
      </w:r>
      <w:r w:rsidRPr="003F3B94">
        <w:rPr>
          <w:rFonts w:ascii="Abo-thar" w:hAnsi="Abo-thar" w:hint="cs"/>
          <w:sz w:val="28"/>
          <w:rtl/>
          <w:lang w:bidi="ar-SY"/>
        </w:rPr>
        <w:t>ُ</w:t>
      </w:r>
      <w:r w:rsidR="00147857" w:rsidRPr="003F3B94">
        <w:rPr>
          <w:rFonts w:ascii="Abo-thar" w:hAnsi="Abo-thar"/>
          <w:sz w:val="28"/>
          <w:rtl/>
          <w:lang w:bidi="ar-SY"/>
        </w:rPr>
        <w:t>»</w:t>
      </w:r>
      <w:r w:rsidRPr="003F3B94">
        <w:rPr>
          <w:rFonts w:ascii="Abo-thar" w:hAnsi="Abo-thar" w:hint="cs"/>
          <w:sz w:val="28"/>
          <w:rtl/>
          <w:lang w:bidi="ar-SY"/>
        </w:rPr>
        <w:t xml:space="preserve"> لأن سوء حاله وشناعتها تكفي لبيان سقوط الحديث عن الحجية وتغني عن معرفة أحوال بقية رواته</w:t>
      </w:r>
      <w:r w:rsidR="00217AB4" w:rsidRPr="003F3B94">
        <w:rPr>
          <w:rFonts w:ascii="Abo-thar" w:hAnsi="Abo-thar" w:hint="cs"/>
          <w:sz w:val="28"/>
          <w:rtl/>
          <w:lang w:bidi="ar-SY"/>
        </w:rPr>
        <w:t>،</w:t>
      </w:r>
      <w:r w:rsidRPr="003F3B94">
        <w:rPr>
          <w:rFonts w:ascii="Abo-thar" w:hAnsi="Abo-thar" w:hint="cs"/>
          <w:sz w:val="28"/>
          <w:rtl/>
          <w:lang w:bidi="ar-SY"/>
        </w:rPr>
        <w:t xml:space="preserve"> لأن الحديث يتبع أخس رجاله</w:t>
      </w:r>
      <w:r w:rsidR="00217AB4" w:rsidRPr="003F3B94">
        <w:rPr>
          <w:rFonts w:ascii="Abo-thar" w:hAnsi="Abo-thar" w:hint="cs"/>
          <w:sz w:val="28"/>
          <w:rtl/>
          <w:lang w:bidi="ar-SY"/>
        </w:rPr>
        <w:t>،</w:t>
      </w:r>
      <w:r w:rsidRPr="003F3B94">
        <w:rPr>
          <w:rFonts w:ascii="Abo-thar" w:hAnsi="Abo-thar" w:hint="cs"/>
          <w:sz w:val="28"/>
          <w:rtl/>
          <w:lang w:bidi="ar-SY"/>
        </w:rPr>
        <w:t xml:space="preserve"> كما تتبع النتيجة أخس المقدمات</w:t>
      </w:r>
      <w:r w:rsidR="00217AB4" w:rsidRPr="003F3B94">
        <w:rPr>
          <w:rFonts w:ascii="Abo-thar" w:hAnsi="Abo-thar" w:hint="cs"/>
          <w:sz w:val="28"/>
          <w:rtl/>
          <w:lang w:bidi="ar-SY"/>
        </w:rPr>
        <w:t>!</w:t>
      </w:r>
    </w:p>
    <w:p w:rsidR="005C664D" w:rsidRPr="003F3B94" w:rsidRDefault="005C664D" w:rsidP="00255A16">
      <w:pPr>
        <w:pStyle w:val="a0"/>
        <w:ind w:left="624" w:hanging="340"/>
        <w:rPr>
          <w:rFonts w:hint="cs"/>
          <w:rtl/>
          <w:lang w:bidi="ar-SY"/>
        </w:rPr>
      </w:pPr>
      <w:r w:rsidRPr="003F3B94">
        <w:rPr>
          <w:rFonts w:ascii="Abo-thar" w:hAnsi="Abo-thar" w:hint="cs"/>
          <w:sz w:val="28"/>
          <w:rtl/>
          <w:lang w:bidi="ar-SY"/>
        </w:rPr>
        <w:t>1</w:t>
      </w:r>
      <w:r w:rsidR="00217AB4" w:rsidRPr="003F3B94">
        <w:rPr>
          <w:rFonts w:ascii="Abo-thar" w:hAnsi="Abo-thar" w:hint="cs"/>
          <w:sz w:val="28"/>
          <w:rtl/>
          <w:lang w:bidi="ar-SY"/>
        </w:rPr>
        <w:t>-</w:t>
      </w:r>
      <w:r w:rsidRPr="003F3B94">
        <w:rPr>
          <w:rFonts w:ascii="Abo-thar" w:hAnsi="Abo-thar" w:hint="cs"/>
          <w:sz w:val="28"/>
          <w:rtl/>
          <w:lang w:bidi="ar-SY"/>
        </w:rPr>
        <w:t xml:space="preserve"> بعد أن اعتبره ابن الغضائري عليه الرحمة واقفياً قال عنه</w:t>
      </w:r>
      <w:r w:rsidR="00217AB4" w:rsidRPr="003F3B94">
        <w:rPr>
          <w:rFonts w:ascii="Abo-thar" w:hAnsi="Abo-thar" w:hint="cs"/>
          <w:sz w:val="28"/>
          <w:rtl/>
          <w:lang w:bidi="ar-SY"/>
        </w:rPr>
        <w:t>:</w:t>
      </w:r>
      <w:r w:rsidRPr="003F3B94">
        <w:rPr>
          <w:rFonts w:ascii="Abo-thar" w:hAnsi="Abo-thar" w:hint="cs"/>
          <w:sz w:val="28"/>
          <w:rtl/>
          <w:lang w:bidi="ar-SY"/>
        </w:rPr>
        <w:t xml:space="preserve"> </w:t>
      </w:r>
      <w:r w:rsidR="00EF2588" w:rsidRPr="003F3B94">
        <w:rPr>
          <w:rFonts w:ascii="Abo-thar" w:hAnsi="Abo-thar" w:hint="cs"/>
          <w:sz w:val="28"/>
          <w:rtl/>
          <w:lang w:bidi="ar-SY"/>
        </w:rPr>
        <w:t>«</w:t>
      </w:r>
      <w:r w:rsidRPr="003F3B94">
        <w:rPr>
          <w:rFonts w:ascii="Abo-thar" w:hAnsi="Abo-thar" w:hint="cs"/>
          <w:b/>
          <w:bCs/>
          <w:sz w:val="28"/>
          <w:rtl/>
          <w:lang w:bidi="ar-SY"/>
        </w:rPr>
        <w:t>ع</w:t>
      </w:r>
      <w:r w:rsidRPr="003F3B94">
        <w:rPr>
          <w:rFonts w:ascii="Abo-thar" w:hAnsi="Abo-thar"/>
          <w:b/>
          <w:bCs/>
          <w:sz w:val="28"/>
          <w:rtl/>
          <w:lang w:bidi="ar-SY"/>
        </w:rPr>
        <w:t>بد الله بن القاسم الحضرمي</w:t>
      </w:r>
      <w:r w:rsidR="00217AB4" w:rsidRPr="003F3B94">
        <w:rPr>
          <w:rFonts w:ascii="Abo-thar" w:hAnsi="Abo-thar" w:hint="cs"/>
          <w:b/>
          <w:bCs/>
          <w:sz w:val="28"/>
          <w:rtl/>
          <w:lang w:bidi="ar-SY"/>
        </w:rPr>
        <w:t>:</w:t>
      </w:r>
      <w:r w:rsidRPr="003F3B94">
        <w:rPr>
          <w:rFonts w:ascii="Abo-thar" w:hAnsi="Abo-thar" w:hint="cs"/>
          <w:b/>
          <w:bCs/>
          <w:sz w:val="28"/>
          <w:rtl/>
          <w:lang w:bidi="ar-SY"/>
        </w:rPr>
        <w:t xml:space="preserve"> </w:t>
      </w:r>
      <w:r w:rsidRPr="003F3B94">
        <w:rPr>
          <w:rFonts w:ascii="Abo-thar" w:hAnsi="Abo-thar"/>
          <w:b/>
          <w:bCs/>
          <w:sz w:val="28"/>
          <w:rtl/>
          <w:lang w:bidi="ar-SY"/>
        </w:rPr>
        <w:t>كوفي ضعيف أيضا</w:t>
      </w:r>
      <w:r w:rsidRPr="003F3B94">
        <w:rPr>
          <w:rFonts w:ascii="Abo-thar" w:hAnsi="Abo-thar" w:hint="cs"/>
          <w:b/>
          <w:bCs/>
          <w:sz w:val="28"/>
          <w:rtl/>
          <w:lang w:bidi="ar-SY"/>
        </w:rPr>
        <w:t>ً</w:t>
      </w:r>
      <w:r w:rsidRPr="003F3B94">
        <w:rPr>
          <w:rFonts w:ascii="Abo-thar" w:hAnsi="Abo-thar"/>
          <w:b/>
          <w:bCs/>
          <w:sz w:val="28"/>
          <w:rtl/>
          <w:lang w:bidi="ar-SY"/>
        </w:rPr>
        <w:t xml:space="preserve"> غال متهافت لا ارتفاع به</w:t>
      </w:r>
      <w:r w:rsidR="00F456DF" w:rsidRPr="003F3B94">
        <w:rPr>
          <w:rFonts w:ascii="Abo-thar" w:hAnsi="Abo-thar"/>
          <w:b/>
          <w:bCs/>
          <w:sz w:val="28"/>
          <w:rtl/>
          <w:lang w:bidi="ar-SY"/>
        </w:rPr>
        <w:t>»</w:t>
      </w:r>
      <w:r w:rsidR="00217AB4" w:rsidRPr="0021507A">
        <w:rPr>
          <w:rFonts w:cs="Arabic11 BT"/>
          <w:b/>
          <w:sz w:val="28"/>
          <w:vertAlign w:val="superscript"/>
          <w:rtl/>
          <w:lang w:bidi="ar-SY"/>
        </w:rPr>
        <w:t>(</w:t>
      </w:r>
      <w:r w:rsidRPr="0021507A">
        <w:rPr>
          <w:rStyle w:val="FootnoteReference"/>
          <w:rFonts w:cs="Arabic11 BT"/>
          <w:b/>
          <w:sz w:val="28"/>
          <w:rtl/>
          <w:lang w:bidi="ar-SY"/>
        </w:rPr>
        <w:footnoteReference w:id="282"/>
      </w:r>
      <w:r w:rsidR="00217AB4" w:rsidRPr="0021507A">
        <w:rPr>
          <w:rFonts w:cs="Arabic11 BT"/>
          <w:b/>
          <w:sz w:val="28"/>
          <w:vertAlign w:val="superscript"/>
          <w:rtl/>
          <w:lang w:bidi="ar-SY"/>
        </w:rPr>
        <w:t>)</w:t>
      </w:r>
      <w:r w:rsidR="00217AB4" w:rsidRPr="003F3B94">
        <w:rPr>
          <w:rFonts w:ascii="Abo-thar" w:hAnsi="Abo-thar" w:hint="cs"/>
          <w:sz w:val="28"/>
          <w:rtl/>
          <w:lang w:bidi="ar-SY"/>
        </w:rPr>
        <w:t>.</w:t>
      </w:r>
    </w:p>
    <w:p w:rsidR="005C664D" w:rsidRPr="003F3B94" w:rsidRDefault="005C664D" w:rsidP="00255A16">
      <w:pPr>
        <w:pStyle w:val="a0"/>
        <w:ind w:left="624" w:hanging="340"/>
        <w:rPr>
          <w:rFonts w:hint="cs"/>
          <w:rtl/>
          <w:lang w:bidi="ar-SY"/>
        </w:rPr>
      </w:pPr>
      <w:r w:rsidRPr="003F3B94">
        <w:rPr>
          <w:rFonts w:hint="cs"/>
          <w:sz w:val="28"/>
          <w:rtl/>
          <w:lang w:bidi="ar-SY"/>
        </w:rPr>
        <w:t>2</w:t>
      </w:r>
      <w:r w:rsidR="00217AB4" w:rsidRPr="003F3B94">
        <w:rPr>
          <w:rFonts w:hint="cs"/>
          <w:sz w:val="28"/>
          <w:rtl/>
          <w:lang w:bidi="ar-SY"/>
        </w:rPr>
        <w:t>-</w:t>
      </w:r>
      <w:r w:rsidRPr="003F3B94">
        <w:rPr>
          <w:rFonts w:hint="cs"/>
          <w:sz w:val="28"/>
          <w:rtl/>
          <w:lang w:bidi="ar-SY"/>
        </w:rPr>
        <w:t xml:space="preserve"> وبعد أن ذكر النجاشي في رجاله عبارة ابن الغضائري تلك عقَّب عليها بقوله</w:t>
      </w:r>
      <w:r w:rsidR="00217AB4" w:rsidRPr="003F3B94">
        <w:rPr>
          <w:rFonts w:hint="cs"/>
          <w:sz w:val="28"/>
          <w:rtl/>
          <w:lang w:bidi="ar-SY"/>
        </w:rPr>
        <w:t>:</w:t>
      </w:r>
      <w:r w:rsidRPr="003F3B94">
        <w:rPr>
          <w:rFonts w:hint="cs"/>
          <w:sz w:val="28"/>
          <w:rtl/>
          <w:lang w:bidi="ar-SY"/>
        </w:rPr>
        <w:t xml:space="preserve"> </w:t>
      </w:r>
      <w:r w:rsidR="00EF2588" w:rsidRPr="003F3B94">
        <w:rPr>
          <w:rFonts w:hint="cs"/>
          <w:sz w:val="28"/>
          <w:rtl/>
          <w:lang w:bidi="ar-SY"/>
        </w:rPr>
        <w:t>«</w:t>
      </w:r>
      <w:r w:rsidRPr="003F3B94">
        <w:rPr>
          <w:b/>
          <w:bCs/>
          <w:sz w:val="28"/>
          <w:rtl/>
          <w:lang w:bidi="ar-SY"/>
        </w:rPr>
        <w:t>عبد الله بن القاسم الحضرمي</w:t>
      </w:r>
      <w:r w:rsidRPr="003F3B94">
        <w:rPr>
          <w:rFonts w:hint="cs"/>
          <w:b/>
          <w:bCs/>
          <w:sz w:val="28"/>
          <w:rtl/>
          <w:lang w:bidi="ar-SY"/>
        </w:rPr>
        <w:t xml:space="preserve"> </w:t>
      </w:r>
      <w:r w:rsidRPr="003F3B94">
        <w:rPr>
          <w:b/>
          <w:bCs/>
          <w:sz w:val="28"/>
          <w:rtl/>
          <w:lang w:bidi="ar-SY"/>
        </w:rPr>
        <w:t>المعروف بالبطل</w:t>
      </w:r>
      <w:r w:rsidR="00217AB4" w:rsidRPr="003F3B94">
        <w:rPr>
          <w:b/>
          <w:bCs/>
          <w:sz w:val="28"/>
          <w:rtl/>
          <w:lang w:bidi="ar-SY"/>
        </w:rPr>
        <w:t>،</w:t>
      </w:r>
      <w:r w:rsidRPr="003F3B94">
        <w:rPr>
          <w:b/>
          <w:bCs/>
          <w:sz w:val="28"/>
          <w:rtl/>
          <w:lang w:bidi="ar-SY"/>
        </w:rPr>
        <w:t xml:space="preserve"> كذ</w:t>
      </w:r>
      <w:r w:rsidRPr="003F3B94">
        <w:rPr>
          <w:rFonts w:hint="cs"/>
          <w:b/>
          <w:bCs/>
          <w:sz w:val="28"/>
          <w:rtl/>
          <w:lang w:bidi="ar-SY"/>
        </w:rPr>
        <w:t>َّ</w:t>
      </w:r>
      <w:r w:rsidRPr="003F3B94">
        <w:rPr>
          <w:b/>
          <w:bCs/>
          <w:sz w:val="28"/>
          <w:rtl/>
          <w:lang w:bidi="ar-SY"/>
        </w:rPr>
        <w:t>اب</w:t>
      </w:r>
      <w:r w:rsidR="00217AB4" w:rsidRPr="003F3B94">
        <w:rPr>
          <w:b/>
          <w:bCs/>
          <w:sz w:val="28"/>
          <w:rtl/>
          <w:lang w:bidi="ar-SY"/>
        </w:rPr>
        <w:t>،</w:t>
      </w:r>
      <w:r w:rsidRPr="003F3B94">
        <w:rPr>
          <w:b/>
          <w:bCs/>
          <w:sz w:val="28"/>
          <w:rtl/>
          <w:lang w:bidi="ar-SY"/>
        </w:rPr>
        <w:t xml:space="preserve"> غال</w:t>
      </w:r>
      <w:r w:rsidR="00217AB4" w:rsidRPr="003F3B94">
        <w:rPr>
          <w:b/>
          <w:bCs/>
          <w:sz w:val="28"/>
          <w:rtl/>
          <w:lang w:bidi="ar-SY"/>
        </w:rPr>
        <w:t>،</w:t>
      </w:r>
      <w:r w:rsidRPr="003F3B94">
        <w:rPr>
          <w:b/>
          <w:bCs/>
          <w:sz w:val="28"/>
          <w:rtl/>
          <w:lang w:bidi="ar-SY"/>
        </w:rPr>
        <w:t xml:space="preserve"> يروي عن الغلاة</w:t>
      </w:r>
      <w:r w:rsidR="00217AB4" w:rsidRPr="003F3B94">
        <w:rPr>
          <w:b/>
          <w:bCs/>
          <w:sz w:val="28"/>
          <w:rtl/>
          <w:lang w:bidi="ar-SY"/>
        </w:rPr>
        <w:t>،</w:t>
      </w:r>
      <w:r w:rsidRPr="003F3B94">
        <w:rPr>
          <w:b/>
          <w:bCs/>
          <w:sz w:val="28"/>
          <w:rtl/>
          <w:lang w:bidi="ar-SY"/>
        </w:rPr>
        <w:t xml:space="preserve"> لا خير فيه</w:t>
      </w:r>
      <w:r w:rsidR="00147857" w:rsidRPr="003F3B94">
        <w:rPr>
          <w:b/>
          <w:bCs/>
          <w:sz w:val="28"/>
          <w:rtl/>
          <w:lang w:bidi="ar-SY"/>
        </w:rPr>
        <w:t xml:space="preserve"> و</w:t>
      </w:r>
      <w:r w:rsidRPr="003F3B94">
        <w:rPr>
          <w:b/>
          <w:bCs/>
          <w:sz w:val="28"/>
          <w:rtl/>
          <w:lang w:bidi="ar-SY"/>
        </w:rPr>
        <w:t>لا ي</w:t>
      </w:r>
      <w:r w:rsidRPr="003F3B94">
        <w:rPr>
          <w:rFonts w:hint="cs"/>
          <w:b/>
          <w:bCs/>
          <w:sz w:val="28"/>
          <w:rtl/>
          <w:lang w:bidi="ar-SY"/>
        </w:rPr>
        <w:t>ُ</w:t>
      </w:r>
      <w:r w:rsidRPr="003F3B94">
        <w:rPr>
          <w:b/>
          <w:bCs/>
          <w:sz w:val="28"/>
          <w:rtl/>
          <w:lang w:bidi="ar-SY"/>
        </w:rPr>
        <w:t>ع</w:t>
      </w:r>
      <w:r w:rsidRPr="003F3B94">
        <w:rPr>
          <w:rFonts w:hint="cs"/>
          <w:b/>
          <w:bCs/>
          <w:sz w:val="28"/>
          <w:rtl/>
          <w:lang w:bidi="ar-SY"/>
        </w:rPr>
        <w:t>ْ</w:t>
      </w:r>
      <w:r w:rsidRPr="003F3B94">
        <w:rPr>
          <w:b/>
          <w:bCs/>
          <w:sz w:val="28"/>
          <w:rtl/>
          <w:lang w:bidi="ar-SY"/>
        </w:rPr>
        <w:t>ت</w:t>
      </w:r>
      <w:r w:rsidRPr="003F3B94">
        <w:rPr>
          <w:rFonts w:hint="cs"/>
          <w:b/>
          <w:bCs/>
          <w:sz w:val="28"/>
          <w:rtl/>
          <w:lang w:bidi="ar-SY"/>
        </w:rPr>
        <w:t>َ</w:t>
      </w:r>
      <w:r w:rsidRPr="003F3B94">
        <w:rPr>
          <w:b/>
          <w:bCs/>
          <w:sz w:val="28"/>
          <w:rtl/>
          <w:lang w:bidi="ar-SY"/>
        </w:rPr>
        <w:t>د</w:t>
      </w:r>
      <w:r w:rsidRPr="003F3B94">
        <w:rPr>
          <w:rFonts w:hint="cs"/>
          <w:b/>
          <w:bCs/>
          <w:sz w:val="28"/>
          <w:rtl/>
          <w:lang w:bidi="ar-SY"/>
        </w:rPr>
        <w:t>ُّ</w:t>
      </w:r>
      <w:r w:rsidRPr="003F3B94">
        <w:rPr>
          <w:b/>
          <w:bCs/>
          <w:sz w:val="28"/>
          <w:rtl/>
          <w:lang w:bidi="ar-SY"/>
        </w:rPr>
        <w:t xml:space="preserve"> بروايته</w:t>
      </w:r>
      <w:r w:rsidR="00EF2588" w:rsidRPr="003F3B94">
        <w:rPr>
          <w:rFonts w:hint="cs"/>
          <w:sz w:val="28"/>
          <w:rtl/>
          <w:lang w:bidi="ar-SY"/>
        </w:rPr>
        <w:t>»</w:t>
      </w:r>
      <w:r w:rsidR="007D4D3A" w:rsidRPr="0021507A">
        <w:rPr>
          <w:rFonts w:cs="Arabic11 BT"/>
          <w:sz w:val="28"/>
          <w:vertAlign w:val="superscript"/>
          <w:rtl/>
          <w:lang w:bidi="ar-SY"/>
        </w:rPr>
        <w:t>(</w:t>
      </w:r>
      <w:r w:rsidR="007D4D3A" w:rsidRPr="0021507A">
        <w:rPr>
          <w:rStyle w:val="FootnoteReference"/>
          <w:rFonts w:cs="Arabic11 BT"/>
          <w:sz w:val="28"/>
          <w:rtl/>
          <w:lang w:bidi="ar-SY"/>
        </w:rPr>
        <w:footnoteReference w:id="283"/>
      </w:r>
      <w:r w:rsidR="007D4D3A" w:rsidRPr="0021507A">
        <w:rPr>
          <w:rFonts w:cs="Arabic11 BT"/>
          <w:sz w:val="28"/>
          <w:vertAlign w:val="superscript"/>
          <w:rtl/>
          <w:lang w:bidi="ar-SY"/>
        </w:rPr>
        <w:t>)</w:t>
      </w:r>
      <w:r w:rsidR="00217AB4" w:rsidRPr="003F3B94">
        <w:rPr>
          <w:rFonts w:hint="cs"/>
          <w:sz w:val="28"/>
          <w:rtl/>
          <w:lang w:bidi="ar-SY"/>
        </w:rPr>
        <w:t>.</w:t>
      </w:r>
    </w:p>
    <w:p w:rsidR="005C664D" w:rsidRPr="003F3B94" w:rsidRDefault="005C664D" w:rsidP="00255A16">
      <w:pPr>
        <w:pStyle w:val="a0"/>
        <w:ind w:left="624" w:hanging="340"/>
        <w:rPr>
          <w:rFonts w:hint="cs"/>
          <w:rtl/>
          <w:lang w:bidi="ar-SY"/>
        </w:rPr>
      </w:pPr>
      <w:r w:rsidRPr="003F3B94">
        <w:rPr>
          <w:rFonts w:hint="cs"/>
          <w:sz w:val="28"/>
          <w:rtl/>
          <w:lang w:bidi="ar-SY"/>
        </w:rPr>
        <w:t>3</w:t>
      </w:r>
      <w:r w:rsidR="00217AB4" w:rsidRPr="003F3B94">
        <w:rPr>
          <w:rFonts w:hint="cs"/>
          <w:sz w:val="28"/>
          <w:rtl/>
          <w:lang w:bidi="ar-SY"/>
        </w:rPr>
        <w:t>-</w:t>
      </w:r>
      <w:r w:rsidRPr="003F3B94">
        <w:rPr>
          <w:rFonts w:hint="cs"/>
          <w:sz w:val="28"/>
          <w:rtl/>
          <w:lang w:bidi="ar-SY"/>
        </w:rPr>
        <w:t xml:space="preserve"> وقال عنه العلامة الحلّي في القسم الثاني من كتابه </w:t>
      </w:r>
      <w:r w:rsidRPr="003F3B94">
        <w:rPr>
          <w:rFonts w:ascii="Abo-thar" w:hAnsi="Abo-thar"/>
          <w:sz w:val="28"/>
          <w:rtl/>
          <w:lang w:bidi="ar-SY"/>
        </w:rPr>
        <w:t>«</w:t>
      </w:r>
      <w:r w:rsidRPr="003F3B94">
        <w:rPr>
          <w:rFonts w:ascii="Abo-thar" w:hAnsi="Abo-thar" w:hint="cs"/>
          <w:sz w:val="28"/>
          <w:rtl/>
          <w:lang w:bidi="ar-SY"/>
        </w:rPr>
        <w:t>الخلاصة</w:t>
      </w:r>
      <w:r w:rsidRPr="003F3B94">
        <w:rPr>
          <w:rFonts w:ascii="Abo-thar" w:hAnsi="Abo-thar"/>
          <w:sz w:val="28"/>
          <w:rtl/>
          <w:lang w:bidi="ar-SY"/>
        </w:rPr>
        <w:t>»</w:t>
      </w:r>
      <w:r w:rsidR="00217AB4" w:rsidRPr="003F3B94">
        <w:rPr>
          <w:rFonts w:ascii="Abo-thar" w:hAnsi="Abo-thar" w:hint="cs"/>
          <w:sz w:val="28"/>
          <w:rtl/>
          <w:lang w:bidi="ar-SY"/>
        </w:rPr>
        <w:t>:</w:t>
      </w:r>
      <w:r w:rsidRPr="003F3B94">
        <w:rPr>
          <w:rFonts w:ascii="Abo-thar" w:hAnsi="Abo-thar" w:hint="cs"/>
          <w:sz w:val="28"/>
          <w:rtl/>
          <w:lang w:bidi="ar-SY"/>
        </w:rPr>
        <w:t xml:space="preserve"> </w:t>
      </w:r>
      <w:r w:rsidR="00EF2588" w:rsidRPr="003F3B94">
        <w:rPr>
          <w:rFonts w:ascii="Abo-thar" w:hAnsi="Abo-thar" w:hint="cs"/>
          <w:sz w:val="28"/>
          <w:rtl/>
          <w:lang w:bidi="ar-SY"/>
        </w:rPr>
        <w:t>«</w:t>
      </w:r>
      <w:r w:rsidRPr="003F3B94">
        <w:rPr>
          <w:rFonts w:ascii="Abo-thar" w:hAnsi="Abo-thar" w:hint="cs"/>
          <w:b/>
          <w:bCs/>
          <w:sz w:val="28"/>
          <w:rtl/>
          <w:lang w:bidi="ar-SY"/>
        </w:rPr>
        <w:t>ع</w:t>
      </w:r>
      <w:r w:rsidRPr="003F3B94">
        <w:rPr>
          <w:rFonts w:ascii="Abo-thar" w:hAnsi="Abo-thar"/>
          <w:b/>
          <w:bCs/>
          <w:sz w:val="28"/>
          <w:rtl/>
          <w:lang w:bidi="ar-SY"/>
        </w:rPr>
        <w:t xml:space="preserve">بد الله بن القاسم الحضرمي من أصحاب الكاظم </w:t>
      </w:r>
      <w:r w:rsidR="003C7AEB" w:rsidRPr="003C7AEB">
        <w:rPr>
          <w:rFonts w:ascii="Abo-thar" w:hAnsi="Abo-thar" w:cs="CTraditional Arabic"/>
          <w:b/>
          <w:sz w:val="28"/>
          <w:rtl/>
          <w:lang w:bidi="ar-SY"/>
        </w:rPr>
        <w:t>÷</w:t>
      </w:r>
      <w:r w:rsidRPr="003F3B94">
        <w:rPr>
          <w:rFonts w:ascii="Abo-thar" w:hAnsi="Abo-thar"/>
          <w:b/>
          <w:bCs/>
          <w:sz w:val="28"/>
          <w:rtl/>
          <w:lang w:bidi="ar-SY"/>
        </w:rPr>
        <w:t xml:space="preserve"> واقف</w:t>
      </w:r>
      <w:r w:rsidRPr="003F3B94">
        <w:rPr>
          <w:rFonts w:ascii="Abo-thar" w:hAnsi="Abo-thar" w:hint="cs"/>
          <w:b/>
          <w:bCs/>
          <w:sz w:val="28"/>
          <w:rtl/>
          <w:lang w:bidi="ar-SY"/>
        </w:rPr>
        <w:t>يٌّ</w:t>
      </w:r>
      <w:r w:rsidRPr="003F3B94">
        <w:rPr>
          <w:rFonts w:ascii="Abo-thar" w:hAnsi="Abo-thar"/>
          <w:b/>
          <w:bCs/>
          <w:sz w:val="28"/>
          <w:rtl/>
          <w:lang w:bidi="ar-SY"/>
        </w:rPr>
        <w:t xml:space="preserve"> وهو ي</w:t>
      </w:r>
      <w:r w:rsidRPr="003F3B94">
        <w:rPr>
          <w:rFonts w:ascii="Abo-thar" w:hAnsi="Abo-thar" w:hint="cs"/>
          <w:b/>
          <w:bCs/>
          <w:sz w:val="28"/>
          <w:rtl/>
          <w:lang w:bidi="ar-SY"/>
        </w:rPr>
        <w:t>ُ</w:t>
      </w:r>
      <w:r w:rsidRPr="003F3B94">
        <w:rPr>
          <w:rFonts w:ascii="Abo-thar" w:hAnsi="Abo-thar"/>
          <w:b/>
          <w:bCs/>
          <w:sz w:val="28"/>
          <w:rtl/>
          <w:lang w:bidi="ar-SY"/>
        </w:rPr>
        <w:t>عرف بالبطل وكان كذ</w:t>
      </w:r>
      <w:r w:rsidRPr="003F3B94">
        <w:rPr>
          <w:rFonts w:ascii="Abo-thar" w:hAnsi="Abo-thar" w:hint="cs"/>
          <w:b/>
          <w:bCs/>
          <w:sz w:val="28"/>
          <w:rtl/>
          <w:lang w:bidi="ar-SY"/>
        </w:rPr>
        <w:t>َّ</w:t>
      </w:r>
      <w:r w:rsidRPr="003F3B94">
        <w:rPr>
          <w:rFonts w:ascii="Abo-thar" w:hAnsi="Abo-thar"/>
          <w:b/>
          <w:bCs/>
          <w:sz w:val="28"/>
          <w:rtl/>
          <w:lang w:bidi="ar-SY"/>
        </w:rPr>
        <w:t>ابا</w:t>
      </w:r>
      <w:r w:rsidRPr="003F3B94">
        <w:rPr>
          <w:rFonts w:ascii="Abo-thar" w:hAnsi="Abo-thar" w:hint="cs"/>
          <w:b/>
          <w:bCs/>
          <w:sz w:val="28"/>
          <w:rtl/>
          <w:lang w:bidi="ar-SY"/>
        </w:rPr>
        <w:t>ً</w:t>
      </w:r>
      <w:r w:rsidRPr="003F3B94">
        <w:rPr>
          <w:rFonts w:ascii="Abo-thar" w:hAnsi="Abo-thar"/>
          <w:b/>
          <w:bCs/>
          <w:sz w:val="28"/>
          <w:rtl/>
          <w:lang w:bidi="ar-SY"/>
        </w:rPr>
        <w:t xml:space="preserve"> روى عن الغلاة لا خير فيه ولا ي</w:t>
      </w:r>
      <w:r w:rsidRPr="003F3B94">
        <w:rPr>
          <w:rFonts w:ascii="Abo-thar" w:hAnsi="Abo-thar" w:hint="cs"/>
          <w:b/>
          <w:bCs/>
          <w:sz w:val="28"/>
          <w:rtl/>
          <w:lang w:bidi="ar-SY"/>
        </w:rPr>
        <w:t>ُ</w:t>
      </w:r>
      <w:r w:rsidRPr="003F3B94">
        <w:rPr>
          <w:rFonts w:ascii="Abo-thar" w:hAnsi="Abo-thar"/>
          <w:b/>
          <w:bCs/>
          <w:sz w:val="28"/>
          <w:rtl/>
          <w:lang w:bidi="ar-SY"/>
        </w:rPr>
        <w:t>ع</w:t>
      </w:r>
      <w:r w:rsidRPr="003F3B94">
        <w:rPr>
          <w:rFonts w:ascii="Abo-thar" w:hAnsi="Abo-thar" w:hint="cs"/>
          <w:b/>
          <w:bCs/>
          <w:sz w:val="28"/>
          <w:rtl/>
          <w:lang w:bidi="ar-SY"/>
        </w:rPr>
        <w:t>ْ</w:t>
      </w:r>
      <w:r w:rsidRPr="003F3B94">
        <w:rPr>
          <w:rFonts w:ascii="Abo-thar" w:hAnsi="Abo-thar"/>
          <w:b/>
          <w:bCs/>
          <w:sz w:val="28"/>
          <w:rtl/>
          <w:lang w:bidi="ar-SY"/>
        </w:rPr>
        <w:t>ت</w:t>
      </w:r>
      <w:r w:rsidRPr="003F3B94">
        <w:rPr>
          <w:rFonts w:ascii="Abo-thar" w:hAnsi="Abo-thar" w:hint="cs"/>
          <w:b/>
          <w:bCs/>
          <w:sz w:val="28"/>
          <w:rtl/>
          <w:lang w:bidi="ar-SY"/>
        </w:rPr>
        <w:t>َ</w:t>
      </w:r>
      <w:r w:rsidRPr="003F3B94">
        <w:rPr>
          <w:rFonts w:ascii="Abo-thar" w:hAnsi="Abo-thar"/>
          <w:b/>
          <w:bCs/>
          <w:sz w:val="28"/>
          <w:rtl/>
          <w:lang w:bidi="ar-SY"/>
        </w:rPr>
        <w:t>د</w:t>
      </w:r>
      <w:r w:rsidRPr="003F3B94">
        <w:rPr>
          <w:rFonts w:ascii="Abo-thar" w:hAnsi="Abo-thar" w:hint="cs"/>
          <w:b/>
          <w:bCs/>
          <w:sz w:val="28"/>
          <w:rtl/>
          <w:lang w:bidi="ar-SY"/>
        </w:rPr>
        <w:t>ُّ</w:t>
      </w:r>
      <w:r w:rsidRPr="003F3B94">
        <w:rPr>
          <w:rFonts w:ascii="Abo-thar" w:hAnsi="Abo-thar"/>
          <w:b/>
          <w:bCs/>
          <w:sz w:val="28"/>
          <w:rtl/>
          <w:lang w:bidi="ar-SY"/>
        </w:rPr>
        <w:t xml:space="preserve"> بروايته</w:t>
      </w:r>
      <w:r w:rsidR="00147857" w:rsidRPr="003F3B94">
        <w:rPr>
          <w:rFonts w:ascii="Abo-thar" w:hAnsi="Abo-thar"/>
          <w:b/>
          <w:bCs/>
          <w:sz w:val="28"/>
          <w:rtl/>
          <w:lang w:bidi="ar-SY"/>
        </w:rPr>
        <w:t xml:space="preserve"> و</w:t>
      </w:r>
      <w:r w:rsidRPr="003F3B94">
        <w:rPr>
          <w:rFonts w:ascii="Abo-thar" w:hAnsi="Abo-thar"/>
          <w:b/>
          <w:bCs/>
          <w:sz w:val="28"/>
          <w:rtl/>
          <w:lang w:bidi="ar-SY"/>
        </w:rPr>
        <w:t>ليس بش</w:t>
      </w:r>
      <w:r w:rsidRPr="003F3B94">
        <w:rPr>
          <w:rFonts w:ascii="Abo-thar" w:hAnsi="Abo-thar" w:hint="cs"/>
          <w:b/>
          <w:bCs/>
          <w:sz w:val="28"/>
          <w:rtl/>
          <w:lang w:bidi="ar-SY"/>
        </w:rPr>
        <w:t>ـ</w:t>
      </w:r>
      <w:r w:rsidRPr="003F3B94">
        <w:rPr>
          <w:rFonts w:ascii="Abo-thar" w:hAnsi="Abo-thar"/>
          <w:b/>
          <w:bCs/>
          <w:sz w:val="28"/>
          <w:rtl/>
          <w:lang w:bidi="ar-SY"/>
        </w:rPr>
        <w:t>ي‏ء</w:t>
      </w:r>
      <w:r w:rsidR="00217AB4" w:rsidRPr="003F3B94">
        <w:rPr>
          <w:rFonts w:ascii="Abo-thar" w:hAnsi="Abo-thar" w:hint="cs"/>
          <w:b/>
          <w:bCs/>
          <w:sz w:val="28"/>
          <w:rtl/>
          <w:lang w:bidi="ar-SY"/>
        </w:rPr>
        <w:t>،</w:t>
      </w:r>
      <w:r w:rsidRPr="003F3B94">
        <w:rPr>
          <w:rFonts w:ascii="Abo-thar" w:hAnsi="Abo-thar"/>
          <w:b/>
          <w:bCs/>
          <w:sz w:val="28"/>
          <w:rtl/>
          <w:lang w:bidi="ar-SY"/>
        </w:rPr>
        <w:t xml:space="preserve"> ولا ي</w:t>
      </w:r>
      <w:r w:rsidRPr="003F3B94">
        <w:rPr>
          <w:rFonts w:ascii="Abo-thar" w:hAnsi="Abo-thar" w:hint="cs"/>
          <w:b/>
          <w:bCs/>
          <w:sz w:val="28"/>
          <w:rtl/>
          <w:lang w:bidi="ar-SY"/>
        </w:rPr>
        <w:t>ُ</w:t>
      </w:r>
      <w:r w:rsidRPr="003F3B94">
        <w:rPr>
          <w:rFonts w:ascii="Abo-thar" w:hAnsi="Abo-thar"/>
          <w:b/>
          <w:bCs/>
          <w:sz w:val="28"/>
          <w:rtl/>
          <w:lang w:bidi="ar-SY"/>
        </w:rPr>
        <w:t>رتفع به</w:t>
      </w:r>
      <w:r w:rsidR="00F456DF" w:rsidRPr="003F3B94">
        <w:rPr>
          <w:rFonts w:ascii="Abo-thar" w:hAnsi="Abo-thar"/>
          <w:b/>
          <w:bCs/>
          <w:sz w:val="28"/>
          <w:rtl/>
          <w:lang w:bidi="ar-SY"/>
        </w:rPr>
        <w:t>»</w:t>
      </w:r>
      <w:r w:rsidR="007D4D3A" w:rsidRPr="0021507A">
        <w:rPr>
          <w:rFonts w:ascii="Abo-thar" w:hAnsi="Abo-thar" w:cs="Arabic11 BT"/>
          <w:sz w:val="28"/>
          <w:vertAlign w:val="superscript"/>
          <w:rtl/>
          <w:lang w:bidi="ar-SY"/>
        </w:rPr>
        <w:t>(</w:t>
      </w:r>
      <w:r w:rsidR="007D4D3A" w:rsidRPr="0021507A">
        <w:rPr>
          <w:rStyle w:val="FootnoteReference"/>
          <w:rFonts w:ascii="Abo-thar" w:hAnsi="Abo-thar" w:cs="Arabic11 BT"/>
          <w:sz w:val="28"/>
          <w:rtl/>
          <w:lang w:bidi="ar-SY"/>
        </w:rPr>
        <w:footnoteReference w:id="284"/>
      </w:r>
      <w:r w:rsidR="007D4D3A" w:rsidRPr="0021507A">
        <w:rPr>
          <w:rFonts w:ascii="Abo-thar" w:hAnsi="Abo-thar" w:cs="Arabic11 BT"/>
          <w:sz w:val="28"/>
          <w:vertAlign w:val="superscript"/>
          <w:rtl/>
          <w:lang w:bidi="ar-SY"/>
        </w:rPr>
        <w:t>)</w:t>
      </w:r>
      <w:r w:rsidR="00217AB4" w:rsidRPr="003F3B94">
        <w:rPr>
          <w:rFonts w:ascii="Abo-thar" w:hAnsi="Abo-thar" w:hint="cs"/>
          <w:sz w:val="28"/>
          <w:rtl/>
          <w:lang w:bidi="ar-SY"/>
        </w:rPr>
        <w:t>.</w:t>
      </w:r>
    </w:p>
    <w:p w:rsidR="005C664D" w:rsidRPr="003F3B94" w:rsidRDefault="005C664D" w:rsidP="00255A16">
      <w:pPr>
        <w:pStyle w:val="a0"/>
        <w:ind w:left="624" w:hanging="340"/>
        <w:rPr>
          <w:rFonts w:hint="cs"/>
          <w:rtl/>
        </w:rPr>
      </w:pPr>
      <w:bookmarkStart w:id="100" w:name="_Toc215490688"/>
      <w:r w:rsidRPr="003F3B94">
        <w:rPr>
          <w:rFonts w:hint="cs"/>
          <w:rtl/>
        </w:rPr>
        <w:t xml:space="preserve">أما من </w:t>
      </w:r>
      <w:r w:rsidRPr="003F3B94">
        <w:rPr>
          <w:rFonts w:hint="cs"/>
          <w:sz w:val="28"/>
          <w:rtl/>
        </w:rPr>
        <w:t>ناحية</w:t>
      </w:r>
      <w:r w:rsidRPr="003F3B94">
        <w:rPr>
          <w:rFonts w:hint="cs"/>
          <w:rtl/>
        </w:rPr>
        <w:t xml:space="preserve"> المتن</w:t>
      </w:r>
      <w:r w:rsidR="00217AB4" w:rsidRPr="003F3B94">
        <w:rPr>
          <w:rFonts w:hint="cs"/>
          <w:rtl/>
        </w:rPr>
        <w:t>:</w:t>
      </w:r>
      <w:bookmarkEnd w:id="100"/>
      <w:r w:rsidRPr="003F3B94">
        <w:rPr>
          <w:rFonts w:hint="cs"/>
          <w:rtl/>
        </w:rPr>
        <w:t xml:space="preserve"> </w:t>
      </w:r>
    </w:p>
    <w:p w:rsidR="005C664D" w:rsidRPr="003F3B94" w:rsidRDefault="005C664D" w:rsidP="00255A16">
      <w:pPr>
        <w:pStyle w:val="a0"/>
        <w:ind w:left="624" w:hanging="340"/>
        <w:rPr>
          <w:rFonts w:hint="cs"/>
          <w:rtl/>
        </w:rPr>
      </w:pPr>
      <w:r w:rsidRPr="003F3B94">
        <w:rPr>
          <w:rFonts w:hint="cs"/>
          <w:sz w:val="28"/>
          <w:rtl/>
        </w:rPr>
        <w:t xml:space="preserve">4 </w:t>
      </w:r>
      <w:r w:rsidRPr="003F3B94">
        <w:rPr>
          <w:rFonts w:cs="Times New Roman" w:hint="cs"/>
          <w:sz w:val="28"/>
          <w:rtl/>
        </w:rPr>
        <w:t>–</w:t>
      </w:r>
      <w:r w:rsidR="00147857" w:rsidRPr="003F3B94">
        <w:rPr>
          <w:rFonts w:hint="cs"/>
          <w:sz w:val="28"/>
          <w:rtl/>
        </w:rPr>
        <w:t xml:space="preserve"> </w:t>
      </w:r>
      <w:r w:rsidRPr="003F3B94">
        <w:rPr>
          <w:rFonts w:hint="cs"/>
          <w:sz w:val="28"/>
          <w:rtl/>
        </w:rPr>
        <w:t>إذا كان هذا الخمس حقَّ الحجج على الناس بسبب كون الصدقة محرمة عليهم فهذا معناه أن الصدقة على غير الحجج من بني هاشم حلال</w:t>
      </w:r>
      <w:r w:rsidR="00217AB4" w:rsidRPr="003F3B94">
        <w:rPr>
          <w:rFonts w:hint="cs"/>
          <w:sz w:val="28"/>
          <w:rtl/>
        </w:rPr>
        <w:t>،</w:t>
      </w:r>
      <w:r w:rsidRPr="003F3B94">
        <w:rPr>
          <w:rFonts w:hint="cs"/>
          <w:sz w:val="28"/>
          <w:rtl/>
        </w:rPr>
        <w:t xml:space="preserve"> كما يدل على ذلك كتاب الله وسيرة رسوله</w:t>
      </w:r>
      <w:r w:rsidR="00147857" w:rsidRPr="003F3B94">
        <w:rPr>
          <w:rFonts w:hint="cs"/>
          <w:sz w:val="28"/>
          <w:rtl/>
        </w:rPr>
        <w:t xml:space="preserve"> </w:t>
      </w:r>
      <w:r w:rsidR="003C7AEB" w:rsidRPr="003C7AEB">
        <w:rPr>
          <w:rFonts w:ascii="Abo-thar" w:hAnsi="Abo-thar" w:cs="CTraditional Arabic"/>
          <w:sz w:val="28"/>
          <w:rtl/>
        </w:rPr>
        <w:t>ص</w:t>
      </w:r>
      <w:r w:rsidR="00147857" w:rsidRPr="003F3B94">
        <w:rPr>
          <w:rFonts w:ascii="Abo-thar" w:hAnsi="Abo-thar"/>
          <w:sz w:val="28"/>
          <w:rtl/>
        </w:rPr>
        <w:t xml:space="preserve"> </w:t>
      </w:r>
      <w:r w:rsidRPr="003F3B94">
        <w:rPr>
          <w:rFonts w:hint="cs"/>
          <w:sz w:val="28"/>
          <w:rtl/>
        </w:rPr>
        <w:t xml:space="preserve">وتؤيده أحاديث أهل البيت </w:t>
      </w:r>
      <w:r w:rsidR="00963EFD" w:rsidRPr="00963EFD">
        <w:rPr>
          <w:rFonts w:cs="CTraditional Arabic" w:hint="cs"/>
          <w:sz w:val="28"/>
          <w:rtl/>
        </w:rPr>
        <w:t>‡</w:t>
      </w:r>
      <w:r w:rsidR="00217AB4" w:rsidRPr="003F3B94">
        <w:rPr>
          <w:rFonts w:hint="cs"/>
          <w:sz w:val="28"/>
          <w:rtl/>
        </w:rPr>
        <w:t>.</w:t>
      </w:r>
      <w:r w:rsidRPr="003F3B94">
        <w:rPr>
          <w:rFonts w:hint="cs"/>
          <w:sz w:val="28"/>
          <w:rtl/>
        </w:rPr>
        <w:t xml:space="preserve"> إذن</w:t>
      </w:r>
      <w:r w:rsidR="00217AB4" w:rsidRPr="003F3B94">
        <w:rPr>
          <w:rFonts w:hint="cs"/>
          <w:sz w:val="28"/>
          <w:rtl/>
        </w:rPr>
        <w:t>،</w:t>
      </w:r>
      <w:r w:rsidRPr="003F3B94">
        <w:rPr>
          <w:rFonts w:hint="cs"/>
          <w:sz w:val="28"/>
          <w:rtl/>
        </w:rPr>
        <w:t xml:space="preserve"> ما اشتُهِر بأن الصدقة حرام على كل بني هاشم باطل وغير صحيح</w:t>
      </w:r>
      <w:r w:rsidR="00217AB4" w:rsidRPr="003F3B94">
        <w:rPr>
          <w:rFonts w:hint="cs"/>
          <w:sz w:val="28"/>
          <w:rtl/>
        </w:rPr>
        <w:t>.</w:t>
      </w:r>
    </w:p>
    <w:p w:rsidR="005C664D" w:rsidRPr="003F3B94" w:rsidRDefault="005C664D" w:rsidP="00255A16">
      <w:pPr>
        <w:pStyle w:val="a0"/>
        <w:ind w:left="624" w:hanging="340"/>
        <w:rPr>
          <w:rFonts w:hint="cs"/>
          <w:rtl/>
        </w:rPr>
      </w:pPr>
      <w:r w:rsidRPr="003F3B94">
        <w:rPr>
          <w:rFonts w:hint="cs"/>
          <w:sz w:val="28"/>
          <w:rtl/>
        </w:rPr>
        <w:t xml:space="preserve">5 </w:t>
      </w:r>
      <w:r w:rsidRPr="003F3B94">
        <w:rPr>
          <w:rFonts w:cs="Times New Roman" w:hint="cs"/>
          <w:sz w:val="28"/>
          <w:rtl/>
        </w:rPr>
        <w:t>–</w:t>
      </w:r>
      <w:r w:rsidRPr="003F3B94">
        <w:rPr>
          <w:rFonts w:hint="cs"/>
          <w:sz w:val="28"/>
          <w:rtl/>
        </w:rPr>
        <w:t xml:space="preserve"> </w:t>
      </w:r>
      <w:r w:rsidRPr="003F3B94">
        <w:rPr>
          <w:rFonts w:ascii="mylotus" w:hAnsi="mylotus" w:hint="cs"/>
          <w:sz w:val="28"/>
          <w:rtl/>
        </w:rPr>
        <w:t>جاء</w:t>
      </w:r>
      <w:r w:rsidRPr="003F3B94">
        <w:rPr>
          <w:rFonts w:hint="cs"/>
          <w:sz w:val="28"/>
          <w:rtl/>
        </w:rPr>
        <w:t xml:space="preserve"> </w:t>
      </w:r>
      <w:r w:rsidRPr="003F3B94">
        <w:rPr>
          <w:rFonts w:ascii="mylotus" w:hAnsi="mylotus" w:hint="cs"/>
          <w:sz w:val="28"/>
          <w:rtl/>
        </w:rPr>
        <w:t>في</w:t>
      </w:r>
      <w:r w:rsidRPr="003F3B94">
        <w:rPr>
          <w:rFonts w:hint="cs"/>
          <w:sz w:val="28"/>
          <w:rtl/>
        </w:rPr>
        <w:t xml:space="preserve"> </w:t>
      </w:r>
      <w:r w:rsidRPr="003F3B94">
        <w:rPr>
          <w:rFonts w:ascii="mylotus" w:hAnsi="mylotus" w:hint="cs"/>
          <w:sz w:val="28"/>
          <w:rtl/>
        </w:rPr>
        <w:t>هذا</w:t>
      </w:r>
      <w:r w:rsidRPr="003F3B94">
        <w:rPr>
          <w:rFonts w:hint="cs"/>
          <w:sz w:val="28"/>
          <w:rtl/>
        </w:rPr>
        <w:t xml:space="preserve"> </w:t>
      </w:r>
      <w:r w:rsidRPr="003F3B94">
        <w:rPr>
          <w:rFonts w:ascii="mylotus" w:hAnsi="mylotus" w:hint="cs"/>
          <w:sz w:val="28"/>
          <w:rtl/>
        </w:rPr>
        <w:t>الحديث</w:t>
      </w:r>
      <w:r w:rsidRPr="003F3B94">
        <w:rPr>
          <w:rFonts w:hint="cs"/>
          <w:sz w:val="28"/>
          <w:rtl/>
        </w:rPr>
        <w:t xml:space="preserve"> </w:t>
      </w:r>
      <w:r w:rsidRPr="003F3B94">
        <w:rPr>
          <w:rFonts w:ascii="mylotus" w:hAnsi="mylotus" w:hint="cs"/>
          <w:sz w:val="28"/>
          <w:rtl/>
        </w:rPr>
        <w:t>أنه</w:t>
      </w:r>
      <w:r w:rsidR="00217AB4" w:rsidRPr="003F3B94">
        <w:rPr>
          <w:rFonts w:hint="cs"/>
          <w:sz w:val="28"/>
          <w:rtl/>
        </w:rPr>
        <w:t>:</w:t>
      </w:r>
      <w:r w:rsidRPr="003F3B94">
        <w:rPr>
          <w:rFonts w:hint="cs"/>
          <w:sz w:val="28"/>
          <w:rtl/>
        </w:rPr>
        <w:t xml:space="preserve"> </w:t>
      </w:r>
      <w:r w:rsidR="00EF2588" w:rsidRPr="004408B9">
        <w:rPr>
          <w:rFonts w:cs="KFGQPC Uthman Taha Naskh" w:hint="cs"/>
          <w:sz w:val="28"/>
          <w:rtl/>
        </w:rPr>
        <w:t>«</w:t>
      </w:r>
      <w:r w:rsidRPr="004408B9">
        <w:rPr>
          <w:rFonts w:ascii="Abo-thar" w:hAnsi="Abo-thar" w:cs="KFGQPC Uthman Taha Naskh"/>
          <w:b/>
          <w:bCs/>
          <w:sz w:val="28"/>
          <w:rtl/>
        </w:rPr>
        <w:t>حَتَّى الخَيَّاطُ لَيَخِيطُ قَمِيصاً بِخَمْسَةِ دَوَانِيقَ فَلَنَا مِنْهَا دَانِقٌ إِلَّا مَنْ أَحْلَلْنَا مِنْ شِيعَتِنَا لِتَطِيبَ ل</w:t>
      </w:r>
      <w:r w:rsidRPr="004408B9">
        <w:rPr>
          <w:rFonts w:ascii="Abo-thar" w:hAnsi="Abo-thar" w:cs="KFGQPC Uthman Taha Naskh" w:hint="cs"/>
          <w:b/>
          <w:bCs/>
          <w:sz w:val="28"/>
          <w:rtl/>
        </w:rPr>
        <w:t>َـ</w:t>
      </w:r>
      <w:r w:rsidRPr="004408B9">
        <w:rPr>
          <w:rFonts w:ascii="Abo-thar" w:hAnsi="Abo-thar" w:cs="KFGQPC Uthman Taha Naskh"/>
          <w:b/>
          <w:bCs/>
          <w:sz w:val="28"/>
          <w:rtl/>
        </w:rPr>
        <w:t>هُمْ بِهِ الوِلَادَةُ</w:t>
      </w:r>
      <w:r w:rsidR="00EF2588" w:rsidRPr="004408B9">
        <w:rPr>
          <w:rFonts w:ascii="Abo-thar" w:hAnsi="Abo-thar" w:cs="KFGQPC Uthman Taha Naskh" w:hint="cs"/>
          <w:b/>
          <w:bCs/>
          <w:sz w:val="28"/>
          <w:rtl/>
        </w:rPr>
        <w:t>»</w:t>
      </w:r>
      <w:r w:rsidR="00217AB4" w:rsidRPr="003F3B94">
        <w:rPr>
          <w:rFonts w:hint="cs"/>
          <w:sz w:val="28"/>
          <w:rtl/>
        </w:rPr>
        <w:t>.</w:t>
      </w:r>
      <w:r w:rsidRPr="003F3B94">
        <w:rPr>
          <w:rFonts w:hint="cs"/>
          <w:sz w:val="28"/>
          <w:rtl/>
        </w:rPr>
        <w:t xml:space="preserve"> في هذه الجملة يظهر لنا حكمان يخالفان رأي فقهاء الخمس وفتاويهم</w:t>
      </w:r>
      <w:r w:rsidR="00217AB4" w:rsidRPr="003F3B94">
        <w:rPr>
          <w:rFonts w:hint="cs"/>
          <w:sz w:val="28"/>
          <w:rtl/>
        </w:rPr>
        <w:t>:</w:t>
      </w:r>
    </w:p>
    <w:p w:rsidR="005C664D" w:rsidRPr="003F3B94" w:rsidRDefault="005C664D" w:rsidP="00255A16">
      <w:pPr>
        <w:pStyle w:val="a0"/>
        <w:ind w:left="624" w:firstLine="0"/>
        <w:rPr>
          <w:rFonts w:hint="cs"/>
          <w:rtl/>
        </w:rPr>
      </w:pPr>
      <w:r w:rsidRPr="003F3B94">
        <w:rPr>
          <w:rFonts w:hint="cs"/>
          <w:sz w:val="28"/>
          <w:rtl/>
        </w:rPr>
        <w:t>الأول</w:t>
      </w:r>
      <w:r w:rsidR="00217AB4" w:rsidRPr="003F3B94">
        <w:rPr>
          <w:rFonts w:hint="cs"/>
          <w:sz w:val="28"/>
          <w:rtl/>
        </w:rPr>
        <w:t>:</w:t>
      </w:r>
      <w:r w:rsidRPr="003F3B94">
        <w:rPr>
          <w:rFonts w:hint="cs"/>
          <w:sz w:val="28"/>
          <w:rtl/>
        </w:rPr>
        <w:t xml:space="preserve"> أنهم يقولون إن الخمس الذي حلَّله الأئمَّة يتعلَّق فقط بغنائم الحرب التي كان بعض الشيعة يستفيدون منها أحياناً</w:t>
      </w:r>
      <w:r w:rsidR="00217AB4" w:rsidRPr="003F3B94">
        <w:rPr>
          <w:rFonts w:hint="cs"/>
          <w:sz w:val="28"/>
          <w:rtl/>
        </w:rPr>
        <w:t>،</w:t>
      </w:r>
      <w:r w:rsidRPr="003F3B94">
        <w:rPr>
          <w:rFonts w:hint="cs"/>
          <w:sz w:val="28"/>
          <w:rtl/>
        </w:rPr>
        <w:t xml:space="preserve"> فإذا كان كذلك فمعناه أن الخياط الذي يخاط به القميص الذي سعره خمسة دوانيق وللإمام منه دانق واحد إنما هو أيضاً من خمس غنائم الحرب</w:t>
      </w:r>
      <w:r w:rsidR="00217AB4" w:rsidRPr="003F3B94">
        <w:rPr>
          <w:rFonts w:hint="cs"/>
          <w:sz w:val="28"/>
          <w:rtl/>
        </w:rPr>
        <w:t>،</w:t>
      </w:r>
      <w:r w:rsidRPr="003F3B94">
        <w:rPr>
          <w:rFonts w:hint="cs"/>
          <w:sz w:val="28"/>
          <w:rtl/>
        </w:rPr>
        <w:t xml:space="preserve"> وظاهر الحديث هو أن هذا الخمس الذي هو حق فاطمة </w:t>
      </w:r>
      <w:r w:rsidR="008B3243" w:rsidRPr="008B3243">
        <w:rPr>
          <w:rFonts w:cs="CTraditional Arabic" w:hint="cs"/>
          <w:sz w:val="28"/>
          <w:rtl/>
        </w:rPr>
        <w:t>‘</w:t>
      </w:r>
      <w:r w:rsidRPr="003F3B94">
        <w:rPr>
          <w:rFonts w:hint="cs"/>
          <w:sz w:val="28"/>
          <w:rtl/>
        </w:rPr>
        <w:t xml:space="preserve"> ويصل إلى ذريتها إنما هو خمس غنائم الحرب ذاته</w:t>
      </w:r>
      <w:r w:rsidR="00217AB4" w:rsidRPr="003F3B94">
        <w:rPr>
          <w:rFonts w:hint="cs"/>
          <w:sz w:val="28"/>
          <w:rtl/>
        </w:rPr>
        <w:t>.</w:t>
      </w:r>
    </w:p>
    <w:p w:rsidR="005C664D" w:rsidRPr="003F3B94" w:rsidRDefault="005C664D" w:rsidP="00255A16">
      <w:pPr>
        <w:pStyle w:val="a0"/>
        <w:ind w:left="624" w:firstLine="0"/>
        <w:rPr>
          <w:rFonts w:hint="cs"/>
          <w:rtl/>
        </w:rPr>
      </w:pPr>
      <w:r w:rsidRPr="003F3B94">
        <w:rPr>
          <w:rFonts w:hint="cs"/>
          <w:sz w:val="28"/>
          <w:rtl/>
        </w:rPr>
        <w:t>الثاني</w:t>
      </w:r>
      <w:r w:rsidR="00217AB4" w:rsidRPr="003F3B94">
        <w:rPr>
          <w:rFonts w:hint="cs"/>
          <w:sz w:val="28"/>
          <w:rtl/>
        </w:rPr>
        <w:t>:</w:t>
      </w:r>
      <w:r w:rsidRPr="003F3B94">
        <w:rPr>
          <w:rFonts w:hint="cs"/>
          <w:sz w:val="28"/>
          <w:rtl/>
        </w:rPr>
        <w:t xml:space="preserve"> يقول الفقهاء القائلون بالخمس أن ما حلله الأئمة لشيعتهم كي يطيب مولدهم إنما هو الإماء التي تؤخذ من غنائم الخمس وتصل ليد الشيعة</w:t>
      </w:r>
      <w:r w:rsidR="00217AB4" w:rsidRPr="003F3B94">
        <w:rPr>
          <w:rFonts w:hint="cs"/>
          <w:sz w:val="28"/>
          <w:rtl/>
        </w:rPr>
        <w:t>.</w:t>
      </w:r>
    </w:p>
    <w:p w:rsidR="005C664D" w:rsidRPr="003F3B94" w:rsidRDefault="005C664D" w:rsidP="00255A16">
      <w:pPr>
        <w:pStyle w:val="a0"/>
        <w:ind w:left="624" w:firstLine="0"/>
        <w:rPr>
          <w:rFonts w:hint="cs"/>
          <w:rtl/>
        </w:rPr>
      </w:pPr>
      <w:r w:rsidRPr="003F3B94">
        <w:rPr>
          <w:rFonts w:hint="cs"/>
          <w:sz w:val="28"/>
          <w:rtl/>
        </w:rPr>
        <w:t>ولكن هذا الحديث والأحاديث الأخرى تخالف هذا المدّعى</w:t>
      </w:r>
      <w:r w:rsidR="00217AB4" w:rsidRPr="003F3B94">
        <w:rPr>
          <w:rFonts w:hint="cs"/>
          <w:sz w:val="28"/>
          <w:rtl/>
        </w:rPr>
        <w:t>،</w:t>
      </w:r>
      <w:r w:rsidRPr="003F3B94">
        <w:rPr>
          <w:rFonts w:hint="cs"/>
          <w:sz w:val="28"/>
          <w:rtl/>
        </w:rPr>
        <w:t xml:space="preserve"> فالكلام هنا عن الخياط الذي يخاط به القميص والذي لا تتجاوز قيمته خمسة دوانيق</w:t>
      </w:r>
      <w:r w:rsidR="00217AB4" w:rsidRPr="003F3B94">
        <w:rPr>
          <w:rFonts w:hint="cs"/>
          <w:sz w:val="28"/>
          <w:rtl/>
        </w:rPr>
        <w:t>،</w:t>
      </w:r>
      <w:r w:rsidRPr="003F3B94">
        <w:rPr>
          <w:rFonts w:hint="cs"/>
          <w:sz w:val="28"/>
          <w:rtl/>
        </w:rPr>
        <w:t xml:space="preserve"> مما يعني أن أدنى شيء مما لا يُعتَنى به وحتى أعظم شيء قد تمَّ تحليله</w:t>
      </w:r>
      <w:r w:rsidR="00217AB4" w:rsidRPr="003F3B94">
        <w:rPr>
          <w:rFonts w:hint="cs"/>
          <w:sz w:val="28"/>
          <w:rtl/>
        </w:rPr>
        <w:t>.</w:t>
      </w:r>
      <w:r w:rsidRPr="003F3B94">
        <w:rPr>
          <w:rFonts w:hint="cs"/>
          <w:sz w:val="28"/>
          <w:rtl/>
        </w:rPr>
        <w:t xml:space="preserve"> إذن</w:t>
      </w:r>
      <w:r w:rsidR="00217AB4" w:rsidRPr="003F3B94">
        <w:rPr>
          <w:rFonts w:hint="cs"/>
          <w:sz w:val="28"/>
          <w:rtl/>
        </w:rPr>
        <w:t>،</w:t>
      </w:r>
      <w:r w:rsidRPr="003F3B94">
        <w:rPr>
          <w:rFonts w:hint="cs"/>
          <w:sz w:val="28"/>
          <w:rtl/>
        </w:rPr>
        <w:t xml:space="preserve"> لا كلام هنا عن الإماء وأمثالها بل كل شيء يشمله الخمس فهو للشيعة حلال كما تؤيد أحاديث التحليل الكثيرة هذا المعنى وتُصدِّقه</w:t>
      </w:r>
      <w:r w:rsidR="00217AB4" w:rsidRPr="003F3B94">
        <w:rPr>
          <w:rFonts w:hint="cs"/>
          <w:sz w:val="28"/>
          <w:rtl/>
        </w:rPr>
        <w:t>.</w:t>
      </w:r>
    </w:p>
    <w:p w:rsidR="005C664D" w:rsidRPr="003F3B94" w:rsidRDefault="005C664D" w:rsidP="00255A16">
      <w:pPr>
        <w:pStyle w:val="a0"/>
        <w:ind w:left="624" w:hanging="340"/>
        <w:rPr>
          <w:rFonts w:hint="cs"/>
          <w:rtl/>
        </w:rPr>
      </w:pPr>
      <w:r w:rsidRPr="003F3B94">
        <w:rPr>
          <w:rFonts w:hint="cs"/>
          <w:sz w:val="28"/>
          <w:rtl/>
        </w:rPr>
        <w:t xml:space="preserve">7 </w:t>
      </w:r>
      <w:r w:rsidRPr="003F3B94">
        <w:rPr>
          <w:rFonts w:cs="Times New Roman" w:hint="cs"/>
          <w:sz w:val="28"/>
          <w:rtl/>
        </w:rPr>
        <w:t>–</w:t>
      </w:r>
      <w:r w:rsidRPr="003F3B94">
        <w:rPr>
          <w:rFonts w:hint="cs"/>
          <w:sz w:val="28"/>
          <w:rtl/>
        </w:rPr>
        <w:t xml:space="preserve"> </w:t>
      </w:r>
      <w:r w:rsidRPr="003F3B94">
        <w:rPr>
          <w:rFonts w:ascii="mylotus" w:hAnsi="mylotus" w:hint="cs"/>
          <w:sz w:val="28"/>
          <w:rtl/>
        </w:rPr>
        <w:t>ادُّعِي</w:t>
      </w:r>
      <w:r w:rsidRPr="003F3B94">
        <w:rPr>
          <w:rFonts w:hint="cs"/>
          <w:sz w:val="28"/>
          <w:rtl/>
        </w:rPr>
        <w:t xml:space="preserve"> </w:t>
      </w:r>
      <w:r w:rsidRPr="003F3B94">
        <w:rPr>
          <w:rFonts w:ascii="mylotus" w:hAnsi="mylotus" w:hint="cs"/>
          <w:sz w:val="28"/>
          <w:rtl/>
        </w:rPr>
        <w:t>في</w:t>
      </w:r>
      <w:r w:rsidRPr="003F3B94">
        <w:rPr>
          <w:rFonts w:hint="cs"/>
          <w:sz w:val="28"/>
          <w:rtl/>
        </w:rPr>
        <w:t xml:space="preserve"> </w:t>
      </w:r>
      <w:r w:rsidRPr="003F3B94">
        <w:rPr>
          <w:rFonts w:ascii="mylotus" w:hAnsi="mylotus" w:hint="cs"/>
          <w:sz w:val="28"/>
          <w:rtl/>
        </w:rPr>
        <w:t>هذا</w:t>
      </w:r>
      <w:r w:rsidRPr="003F3B94">
        <w:rPr>
          <w:rFonts w:hint="cs"/>
          <w:sz w:val="28"/>
          <w:rtl/>
        </w:rPr>
        <w:t xml:space="preserve"> </w:t>
      </w:r>
      <w:r w:rsidRPr="003F3B94">
        <w:rPr>
          <w:rFonts w:ascii="mylotus" w:hAnsi="mylotus" w:hint="cs"/>
          <w:sz w:val="28"/>
          <w:rtl/>
        </w:rPr>
        <w:t>الحديث</w:t>
      </w:r>
      <w:r w:rsidRPr="003F3B94">
        <w:rPr>
          <w:rFonts w:hint="cs"/>
          <w:sz w:val="28"/>
          <w:rtl/>
        </w:rPr>
        <w:t xml:space="preserve"> </w:t>
      </w:r>
      <w:r w:rsidRPr="003F3B94">
        <w:rPr>
          <w:rFonts w:ascii="mylotus" w:hAnsi="mylotus" w:hint="cs"/>
          <w:sz w:val="28"/>
          <w:rtl/>
        </w:rPr>
        <w:t>أنه</w:t>
      </w:r>
      <w:r w:rsidRPr="003F3B94">
        <w:rPr>
          <w:rFonts w:hint="cs"/>
          <w:sz w:val="28"/>
          <w:rtl/>
        </w:rPr>
        <w:t xml:space="preserve"> </w:t>
      </w:r>
      <w:r w:rsidRPr="004408B9">
        <w:rPr>
          <w:rFonts w:ascii="Lotus Linotype" w:hAnsi="Lotus Linotype" w:cs="KFGQPC Uthman Taha Naskh"/>
          <w:sz w:val="28"/>
          <w:rtl/>
        </w:rPr>
        <w:t>«</w:t>
      </w:r>
      <w:r w:rsidRPr="004408B9">
        <w:rPr>
          <w:rFonts w:cs="KFGQPC Uthman Taha Naskh" w:hint="cs"/>
          <w:sz w:val="28"/>
          <w:rtl/>
        </w:rPr>
        <w:t xml:space="preserve">ليس هناك ذنب </w:t>
      </w:r>
      <w:r w:rsidRPr="004408B9">
        <w:rPr>
          <w:rFonts w:ascii="Abo-thar" w:hAnsi="Abo-thar" w:cs="KFGQPC Uthman Taha Naskh"/>
          <w:b/>
          <w:bCs/>
          <w:sz w:val="28"/>
          <w:rtl/>
        </w:rPr>
        <w:t>أَعْظَمَ عِنْدَ اللهِ يَوْمَ القِيَامَةِ مِنَ الزِّنَا</w:t>
      </w:r>
      <w:r w:rsidRPr="004408B9">
        <w:rPr>
          <w:rFonts w:cs="KFGQPC Uthman Taha Naskh"/>
          <w:sz w:val="28"/>
          <w:rtl/>
        </w:rPr>
        <w:t>»</w:t>
      </w:r>
      <w:r w:rsidR="00217AB4" w:rsidRPr="003F3B94">
        <w:rPr>
          <w:rFonts w:hint="cs"/>
          <w:sz w:val="28"/>
          <w:rtl/>
        </w:rPr>
        <w:t>.</w:t>
      </w:r>
      <w:r w:rsidRPr="003F3B94">
        <w:rPr>
          <w:rFonts w:hint="cs"/>
          <w:sz w:val="28"/>
          <w:rtl/>
        </w:rPr>
        <w:t xml:space="preserve"> فليت شعري أليس الشرك بالله وقتل النفس المحرمة بغير حق</w:t>
      </w:r>
      <w:r w:rsidR="00147857" w:rsidRPr="003F3B94">
        <w:rPr>
          <w:rFonts w:hint="cs"/>
          <w:sz w:val="28"/>
          <w:rtl/>
        </w:rPr>
        <w:t xml:space="preserve"> و</w:t>
      </w:r>
      <w:r w:rsidRPr="003F3B94">
        <w:rPr>
          <w:rFonts w:hint="cs"/>
          <w:sz w:val="28"/>
          <w:rtl/>
        </w:rPr>
        <w:t>عقوق الوالدين أعظم حرمةً وأشدّ عند الله من الزنا بنصِّ كتاب الله وكما تدل عليه كثير من الأحاديث</w:t>
      </w:r>
      <w:r w:rsidR="00217AB4" w:rsidRPr="003F3B94">
        <w:rPr>
          <w:rFonts w:hint="cs"/>
          <w:sz w:val="28"/>
          <w:rtl/>
        </w:rPr>
        <w:t>؟؟!</w:t>
      </w:r>
    </w:p>
    <w:p w:rsidR="005C664D" w:rsidRPr="003F3B94" w:rsidRDefault="005C664D" w:rsidP="00255A16">
      <w:pPr>
        <w:pStyle w:val="a0"/>
        <w:ind w:left="624" w:hanging="340"/>
        <w:rPr>
          <w:rFonts w:hint="cs"/>
          <w:rtl/>
        </w:rPr>
      </w:pPr>
      <w:r w:rsidRPr="003F3B94">
        <w:rPr>
          <w:rFonts w:hint="cs"/>
          <w:sz w:val="28"/>
          <w:rtl/>
        </w:rPr>
        <w:t>8</w:t>
      </w:r>
      <w:r w:rsidR="00217AB4" w:rsidRPr="003F3B94">
        <w:rPr>
          <w:rFonts w:hint="cs"/>
          <w:sz w:val="28"/>
          <w:rtl/>
        </w:rPr>
        <w:t>-</w:t>
      </w:r>
      <w:r w:rsidRPr="003F3B94">
        <w:rPr>
          <w:rFonts w:hint="cs"/>
          <w:sz w:val="28"/>
          <w:rtl/>
        </w:rPr>
        <w:t xml:space="preserve"> لا نجد في كتاب الله أثراً لهذا الحق لفاطمة </w:t>
      </w:r>
      <w:r w:rsidR="008B3243" w:rsidRPr="008B3243">
        <w:rPr>
          <w:rFonts w:cs="CTraditional Arabic" w:hint="cs"/>
          <w:sz w:val="28"/>
          <w:rtl/>
        </w:rPr>
        <w:t>‘</w:t>
      </w:r>
      <w:r w:rsidRPr="003F3B94">
        <w:rPr>
          <w:rFonts w:hint="cs"/>
          <w:sz w:val="28"/>
          <w:rtl/>
        </w:rPr>
        <w:t xml:space="preserve"> رغم كل أهميته وعظمته</w:t>
      </w:r>
      <w:r w:rsidR="00217AB4" w:rsidRPr="003F3B94">
        <w:rPr>
          <w:rFonts w:hint="cs"/>
          <w:sz w:val="28"/>
          <w:rtl/>
        </w:rPr>
        <w:t>!</w:t>
      </w:r>
      <w:r w:rsidRPr="003F3B94">
        <w:rPr>
          <w:rFonts w:hint="cs"/>
          <w:sz w:val="28"/>
          <w:rtl/>
        </w:rPr>
        <w:t xml:space="preserve"> كما لا نجد مثل هذا الحق في سنة رسول الله</w:t>
      </w:r>
      <w:r w:rsidR="00147857" w:rsidRPr="003F3B94">
        <w:rPr>
          <w:rFonts w:hint="cs"/>
          <w:sz w:val="28"/>
          <w:rtl/>
        </w:rPr>
        <w:t xml:space="preserve"> </w:t>
      </w:r>
      <w:r w:rsidR="003C7AEB" w:rsidRPr="003C7AEB">
        <w:rPr>
          <w:rFonts w:ascii="Abo-thar" w:hAnsi="Abo-thar" w:cs="CTraditional Arabic"/>
          <w:sz w:val="28"/>
          <w:rtl/>
        </w:rPr>
        <w:t>ص</w:t>
      </w:r>
      <w:r w:rsidR="00217AB4" w:rsidRPr="003F3B94">
        <w:rPr>
          <w:rFonts w:ascii="Abo-thar" w:hAnsi="Abo-thar"/>
          <w:sz w:val="28"/>
          <w:rtl/>
        </w:rPr>
        <w:t>،</w:t>
      </w:r>
      <w:r w:rsidRPr="003F3B94">
        <w:rPr>
          <w:rFonts w:ascii="Abo-thar" w:hAnsi="Abo-thar" w:hint="cs"/>
          <w:sz w:val="28"/>
          <w:rtl/>
        </w:rPr>
        <w:t xml:space="preserve"> فما هو مستند المطالبة بمثل هذا الحق إذا لم يكن عليه دليل من الكتاب والسنة</w:t>
      </w:r>
      <w:r w:rsidR="00217AB4" w:rsidRPr="003F3B94">
        <w:rPr>
          <w:rFonts w:ascii="Abo-thar" w:hAnsi="Abo-thar" w:hint="cs"/>
          <w:sz w:val="28"/>
          <w:rtl/>
        </w:rPr>
        <w:t>؟؟</w:t>
      </w:r>
    </w:p>
    <w:p w:rsidR="005C664D" w:rsidRPr="003F3B94" w:rsidRDefault="005C664D" w:rsidP="00255A16">
      <w:pPr>
        <w:pStyle w:val="a0"/>
        <w:ind w:left="624" w:hanging="340"/>
        <w:rPr>
          <w:rFonts w:hint="cs"/>
          <w:rtl/>
          <w:lang w:bidi="ar-SY"/>
        </w:rPr>
      </w:pPr>
      <w:r w:rsidRPr="003F3B94">
        <w:rPr>
          <w:rFonts w:ascii="Abo-thar" w:hAnsi="Abo-thar" w:hint="cs"/>
          <w:sz w:val="28"/>
          <w:rtl/>
        </w:rPr>
        <w:t>9</w:t>
      </w:r>
      <w:r w:rsidR="00217AB4" w:rsidRPr="003F3B94">
        <w:rPr>
          <w:rFonts w:ascii="Abo-thar" w:hAnsi="Abo-thar" w:hint="cs"/>
          <w:sz w:val="28"/>
          <w:rtl/>
        </w:rPr>
        <w:t>-</w:t>
      </w:r>
      <w:r w:rsidRPr="003F3B94">
        <w:rPr>
          <w:rFonts w:ascii="Abo-thar" w:hAnsi="Abo-thar" w:hint="cs"/>
          <w:sz w:val="28"/>
          <w:rtl/>
        </w:rPr>
        <w:t xml:space="preserve"> مثل هذا الحق الذي </w:t>
      </w:r>
      <w:r w:rsidR="00217AB4" w:rsidRPr="003F3B94">
        <w:rPr>
          <w:rFonts w:ascii="Abo-thar" w:hAnsi="Abo-thar" w:hint="cs"/>
          <w:sz w:val="28"/>
          <w:rtl/>
        </w:rPr>
        <w:t>(</w:t>
      </w:r>
      <w:r w:rsidRPr="003F3B94">
        <w:rPr>
          <w:rFonts w:ascii="Abo-thar" w:hAnsi="Abo-thar"/>
          <w:b/>
          <w:bCs/>
          <w:sz w:val="28"/>
          <w:rtl/>
        </w:rPr>
        <w:t>يَقُومُ صَاحِبُ</w:t>
      </w:r>
      <w:r w:rsidRPr="003F3B94">
        <w:rPr>
          <w:rFonts w:ascii="Abo-thar" w:hAnsi="Abo-thar" w:hint="cs"/>
          <w:b/>
          <w:bCs/>
          <w:sz w:val="28"/>
          <w:rtl/>
        </w:rPr>
        <w:t>ه</w:t>
      </w:r>
      <w:r w:rsidRPr="003F3B94">
        <w:rPr>
          <w:rFonts w:ascii="Abo-thar" w:hAnsi="Abo-thar"/>
          <w:b/>
          <w:bCs/>
          <w:sz w:val="28"/>
          <w:rtl/>
        </w:rPr>
        <w:t xml:space="preserve"> </w:t>
      </w:r>
      <w:r w:rsidRPr="003F3B94">
        <w:rPr>
          <w:rFonts w:ascii="Abo-thar" w:hAnsi="Abo-thar" w:hint="cs"/>
          <w:b/>
          <w:bCs/>
          <w:sz w:val="28"/>
          <w:rtl/>
        </w:rPr>
        <w:t>يومَ القيامةِ</w:t>
      </w:r>
      <w:r w:rsidRPr="003F3B94">
        <w:rPr>
          <w:rFonts w:ascii="Abo-thar" w:hAnsi="Abo-thar"/>
          <w:b/>
          <w:bCs/>
          <w:sz w:val="28"/>
          <w:rtl/>
        </w:rPr>
        <w:t xml:space="preserve"> فَيَقُولُ</w:t>
      </w:r>
      <w:r w:rsidR="00217AB4" w:rsidRPr="003F3B94">
        <w:rPr>
          <w:rFonts w:ascii="Abo-thar" w:hAnsi="Abo-thar" w:hint="cs"/>
          <w:b/>
          <w:bCs/>
          <w:sz w:val="28"/>
          <w:rtl/>
        </w:rPr>
        <w:t>:</w:t>
      </w:r>
      <w:r w:rsidRPr="003F3B94">
        <w:rPr>
          <w:rFonts w:ascii="Abo-thar" w:hAnsi="Abo-thar"/>
          <w:b/>
          <w:bCs/>
          <w:sz w:val="28"/>
          <w:rtl/>
        </w:rPr>
        <w:t xml:space="preserve"> يَا رَبِّ</w:t>
      </w:r>
      <w:r w:rsidR="00217AB4" w:rsidRPr="003F3B94">
        <w:rPr>
          <w:rFonts w:ascii="Abo-thar" w:hAnsi="Abo-thar" w:hint="cs"/>
          <w:b/>
          <w:bCs/>
          <w:sz w:val="28"/>
          <w:rtl/>
        </w:rPr>
        <w:t>!</w:t>
      </w:r>
      <w:r w:rsidRPr="003F3B94">
        <w:rPr>
          <w:rFonts w:ascii="Abo-thar" w:hAnsi="Abo-thar"/>
          <w:b/>
          <w:bCs/>
          <w:sz w:val="28"/>
          <w:rtl/>
        </w:rPr>
        <w:t xml:space="preserve"> سَلْ هَؤُلَاءِ بِمَ</w:t>
      </w:r>
      <w:r w:rsidRPr="003F3B94">
        <w:rPr>
          <w:rFonts w:ascii="Abo-thar" w:hAnsi="Abo-thar" w:hint="cs"/>
          <w:b/>
          <w:bCs/>
          <w:sz w:val="28"/>
          <w:rtl/>
        </w:rPr>
        <w:t xml:space="preserve"> استباحوه</w:t>
      </w:r>
      <w:r w:rsidR="00217AB4" w:rsidRPr="003F3B94">
        <w:rPr>
          <w:rFonts w:ascii="Abo-thar" w:hAnsi="Abo-thar" w:hint="cs"/>
          <w:b/>
          <w:bCs/>
          <w:sz w:val="28"/>
          <w:rtl/>
        </w:rPr>
        <w:t>؟)</w:t>
      </w:r>
      <w:r w:rsidR="00147857" w:rsidRPr="003F3B94">
        <w:rPr>
          <w:rFonts w:ascii="Abo-thar" w:hAnsi="Abo-thar" w:hint="cs"/>
          <w:sz w:val="28"/>
          <w:rtl/>
        </w:rPr>
        <w:t xml:space="preserve"> </w:t>
      </w:r>
      <w:r w:rsidRPr="003F3B94">
        <w:rPr>
          <w:rFonts w:ascii="Abo-thar" w:hAnsi="Abo-thar" w:hint="cs"/>
          <w:sz w:val="28"/>
          <w:rtl/>
        </w:rPr>
        <w:t>يمكن أن يُقَال بشأنه أن للناس أن يردُّوا يوم القيامة قائلين</w:t>
      </w:r>
      <w:r w:rsidR="00217AB4" w:rsidRPr="003F3B94">
        <w:rPr>
          <w:rFonts w:ascii="Abo-thar" w:hAnsi="Abo-thar" w:hint="cs"/>
          <w:sz w:val="28"/>
          <w:rtl/>
        </w:rPr>
        <w:t>:</w:t>
      </w:r>
      <w:r w:rsidRPr="003F3B94">
        <w:rPr>
          <w:rFonts w:ascii="Abo-thar" w:hAnsi="Abo-thar" w:hint="cs"/>
          <w:sz w:val="28"/>
          <w:rtl/>
        </w:rPr>
        <w:t xml:space="preserve"> تفضل وبين لنا بأي دليل تطالب بهذا الحق</w:t>
      </w:r>
      <w:r w:rsidR="00217AB4" w:rsidRPr="003F3B94">
        <w:rPr>
          <w:rFonts w:ascii="Abo-thar" w:hAnsi="Abo-thar" w:hint="cs"/>
          <w:sz w:val="28"/>
          <w:rtl/>
        </w:rPr>
        <w:t>؟!</w:t>
      </w:r>
    </w:p>
    <w:p w:rsidR="005C664D" w:rsidRPr="003F3B94" w:rsidRDefault="005C664D" w:rsidP="00255A16">
      <w:pPr>
        <w:pStyle w:val="a0"/>
        <w:ind w:left="624" w:hanging="340"/>
        <w:rPr>
          <w:rFonts w:hint="cs"/>
          <w:rtl/>
          <w:lang w:bidi="fa-IR"/>
        </w:rPr>
      </w:pPr>
      <w:r w:rsidRPr="003F3B94">
        <w:rPr>
          <w:rFonts w:ascii="Abo-thar" w:hAnsi="Abo-thar" w:hint="cs"/>
          <w:sz w:val="28"/>
          <w:rtl/>
          <w:lang w:bidi="ar-SY"/>
        </w:rPr>
        <w:t xml:space="preserve">10 </w:t>
      </w:r>
      <w:r w:rsidRPr="003F3B94">
        <w:rPr>
          <w:rFonts w:cs="Times New Roman" w:hint="cs"/>
          <w:sz w:val="28"/>
          <w:rtl/>
          <w:lang w:bidi="ar-SY"/>
        </w:rPr>
        <w:t>–</w:t>
      </w:r>
      <w:r w:rsidRPr="003F3B94">
        <w:rPr>
          <w:rFonts w:ascii="Abo-thar" w:hAnsi="Abo-thar" w:hint="cs"/>
          <w:sz w:val="28"/>
          <w:rtl/>
          <w:lang w:bidi="ar-SY"/>
        </w:rPr>
        <w:t xml:space="preserve"> لما كان محضر الله تعالى يوم القيامة محضر عدل مطلق</w:t>
      </w:r>
      <w:r w:rsidR="00147857" w:rsidRPr="003F3B94">
        <w:rPr>
          <w:rFonts w:ascii="Abo-thar" w:hAnsi="Abo-thar" w:hint="cs"/>
          <w:sz w:val="28"/>
          <w:rtl/>
          <w:lang w:bidi="ar-SY"/>
        </w:rPr>
        <w:t xml:space="preserve"> و</w:t>
      </w:r>
      <w:r w:rsidRPr="003F3B94">
        <w:rPr>
          <w:rFonts w:ascii="Abo-thar" w:hAnsi="Abo-thar" w:hint="cs"/>
          <w:sz w:val="28"/>
          <w:rtl/>
          <w:lang w:bidi="ar-SY"/>
        </w:rPr>
        <w:t>كامل</w:t>
      </w:r>
      <w:r w:rsidR="00217AB4" w:rsidRPr="003F3B94">
        <w:rPr>
          <w:rFonts w:ascii="Abo-thar" w:hAnsi="Abo-thar" w:hint="cs"/>
          <w:sz w:val="28"/>
          <w:rtl/>
          <w:lang w:bidi="ar-SY"/>
        </w:rPr>
        <w:t>،</w:t>
      </w:r>
      <w:r w:rsidRPr="003F3B94">
        <w:rPr>
          <w:rFonts w:ascii="Abo-thar" w:hAnsi="Abo-thar" w:hint="cs"/>
          <w:sz w:val="28"/>
          <w:rtl/>
          <w:lang w:bidi="ar-SY"/>
        </w:rPr>
        <w:t xml:space="preserve"> فإن من اليقين أنه لن تتم المؤاخذة على أي أمر ليس عليه دليل واضحٌ وقاطعٌ</w:t>
      </w:r>
      <w:r w:rsidR="00217AB4" w:rsidRPr="003F3B94">
        <w:rPr>
          <w:rFonts w:ascii="Abo-thar" w:hAnsi="Abo-thar" w:hint="cs"/>
          <w:sz w:val="28"/>
          <w:rtl/>
          <w:lang w:bidi="ar-SY"/>
        </w:rPr>
        <w:t>،</w:t>
      </w:r>
      <w:r w:rsidRPr="003F3B94">
        <w:rPr>
          <w:rFonts w:ascii="Abo-thar" w:hAnsi="Abo-thar" w:hint="cs"/>
          <w:sz w:val="28"/>
          <w:rtl/>
          <w:lang w:bidi="ar-SY"/>
        </w:rPr>
        <w:t xml:space="preserve"> لأن العقاب بلا بيان قبيحٌ</w:t>
      </w:r>
      <w:r w:rsidR="00217AB4" w:rsidRPr="003F3B94">
        <w:rPr>
          <w:rFonts w:ascii="Abo-thar" w:hAnsi="Abo-thar" w:hint="cs"/>
          <w:sz w:val="28"/>
          <w:rtl/>
          <w:lang w:bidi="ar-SY"/>
        </w:rPr>
        <w:t>.</w:t>
      </w:r>
      <w:r w:rsidR="00147857" w:rsidRPr="003F3B94">
        <w:rPr>
          <w:rFonts w:ascii="Abo-thar" w:hAnsi="Abo-thar" w:hint="cs"/>
          <w:sz w:val="28"/>
          <w:rtl/>
          <w:lang w:bidi="ar-SY"/>
        </w:rPr>
        <w:t xml:space="preserve"> </w:t>
      </w:r>
      <w:r w:rsidRPr="003F3B94">
        <w:rPr>
          <w:rFonts w:ascii="Abo-thar" w:hAnsi="Abo-thar" w:hint="cs"/>
          <w:sz w:val="28"/>
          <w:rtl/>
          <w:lang w:bidi="ar-SY"/>
        </w:rPr>
        <w:t>بل على العكس يجب على من يأخذون مثل هذا المال من الناس دون دليل واضح وقطعيٍّ ويتصرّفون به كالتصرف بمال الكافر الحربي أن يعدوا جواباً يقولونه في محضر العدل الإلـهي في ذلك اليوم العظيم</w:t>
      </w:r>
      <w:r w:rsidR="00217AB4" w:rsidRPr="003F3B94">
        <w:rPr>
          <w:rFonts w:ascii="Abo-thar" w:hAnsi="Abo-thar" w:hint="cs"/>
          <w:sz w:val="28"/>
          <w:rtl/>
          <w:lang w:bidi="ar-SY"/>
        </w:rPr>
        <w:t>،</w:t>
      </w:r>
      <w:r w:rsidRPr="003F3B94">
        <w:rPr>
          <w:rFonts w:ascii="Abo-thar" w:hAnsi="Abo-thar" w:hint="cs"/>
          <w:sz w:val="28"/>
          <w:rtl/>
          <w:lang w:bidi="ar-SY"/>
        </w:rPr>
        <w:t xml:space="preserve"> إن كانوا يؤمنون حقاً بذلك اليوم</w:t>
      </w:r>
      <w:r w:rsidR="00217AB4" w:rsidRPr="003F3B94">
        <w:rPr>
          <w:rFonts w:ascii="Abo-thar" w:hAnsi="Abo-thar" w:hint="cs"/>
          <w:sz w:val="28"/>
          <w:rtl/>
          <w:lang w:bidi="ar-SY"/>
        </w:rPr>
        <w:t>.</w:t>
      </w:r>
    </w:p>
    <w:p w:rsidR="005C664D" w:rsidRPr="003F3B94" w:rsidRDefault="005C664D" w:rsidP="003F3B94">
      <w:pPr>
        <w:pStyle w:val="a0"/>
        <w:rPr>
          <w:rFonts w:hint="cs"/>
          <w:rtl/>
        </w:rPr>
      </w:pPr>
      <w:r w:rsidRPr="003F3B94">
        <w:rPr>
          <w:rFonts w:ascii="Abo-thar" w:hAnsi="Abo-thar" w:hint="cs"/>
          <w:sz w:val="28"/>
          <w:rtl/>
        </w:rPr>
        <w:t xml:space="preserve">فبمعزل عن ضعف سند هذا الحديث وعدم صحته وبصرف النظر عن متنه المضطرب واللامعقول فإن ما يدل عليه الحديث مخالف لرأي صاحب </w:t>
      </w:r>
      <w:r w:rsidRPr="003F3B94">
        <w:rPr>
          <w:rFonts w:ascii="Abo-thar" w:hAnsi="Abo-thar" w:hint="eastAsia"/>
          <w:sz w:val="28"/>
          <w:rtl/>
        </w:rPr>
        <w:t>«</w:t>
      </w:r>
      <w:r w:rsidRPr="003F3B94">
        <w:rPr>
          <w:rFonts w:ascii="Abo-thar" w:hAnsi="Abo-thar" w:hint="cs"/>
          <w:sz w:val="28"/>
          <w:rtl/>
        </w:rPr>
        <w:t>وسائل الشيعة</w:t>
      </w:r>
      <w:r w:rsidRPr="003F3B94">
        <w:rPr>
          <w:rFonts w:ascii="Abo-thar" w:hAnsi="Abo-thar" w:hint="eastAsia"/>
          <w:sz w:val="28"/>
          <w:rtl/>
        </w:rPr>
        <w:t>»</w:t>
      </w:r>
      <w:r w:rsidRPr="003F3B94">
        <w:rPr>
          <w:rFonts w:ascii="Abo-thar" w:hAnsi="Abo-thar" w:hint="cs"/>
          <w:sz w:val="28"/>
          <w:rtl/>
        </w:rPr>
        <w:t xml:space="preserve"> الذي ذكر هذا الحديث إلى جانب الأحاديث الدالة على وجوب الخمس في أرباح المكاسب</w:t>
      </w:r>
      <w:r w:rsidR="001E0DB7" w:rsidRPr="003F3B94">
        <w:rPr>
          <w:rFonts w:ascii="Abo-thar" w:hAnsi="Abo-thar" w:hint="cs"/>
          <w:sz w:val="28"/>
          <w:rtl/>
        </w:rPr>
        <w:t>،</w:t>
      </w:r>
      <w:r w:rsidRPr="003F3B94">
        <w:rPr>
          <w:rFonts w:ascii="Abo-thar" w:hAnsi="Abo-thar" w:hint="cs"/>
          <w:sz w:val="28"/>
          <w:rtl/>
        </w:rPr>
        <w:t xml:space="preserve"> لأن روح الحديث ناظرة إلى خمس غنائم الحرب التي يمكن أن يُقال أن فيها حق لفاطمة </w:t>
      </w:r>
      <w:r w:rsidR="008B3243" w:rsidRPr="008B3243">
        <w:rPr>
          <w:rFonts w:ascii="Abo-thar" w:hAnsi="Abo-thar" w:cs="CTraditional Arabic" w:hint="cs"/>
          <w:sz w:val="28"/>
          <w:rtl/>
        </w:rPr>
        <w:t>‘</w:t>
      </w:r>
      <w:r w:rsidRPr="003F3B94">
        <w:rPr>
          <w:rFonts w:ascii="Abo-thar" w:hAnsi="Abo-thar" w:hint="cs"/>
          <w:sz w:val="28"/>
          <w:rtl/>
        </w:rPr>
        <w:t xml:space="preserve"> وليس إلى أرباح المكاسب التي جاء في هذا الحديث </w:t>
      </w:r>
      <w:r w:rsidRPr="003F3B94">
        <w:rPr>
          <w:rFonts w:cs="Times New Roman" w:hint="cs"/>
          <w:sz w:val="28"/>
          <w:rtl/>
        </w:rPr>
        <w:t>–</w:t>
      </w:r>
      <w:r w:rsidRPr="003F3B94">
        <w:rPr>
          <w:rFonts w:ascii="Abo-thar" w:hAnsi="Abo-thar" w:hint="cs"/>
          <w:sz w:val="28"/>
          <w:rtl/>
        </w:rPr>
        <w:t xml:space="preserve"> كما جاء في أحاديث عديدة أخرى </w:t>
      </w:r>
      <w:r w:rsidR="00217AB4" w:rsidRPr="003F3B94">
        <w:rPr>
          <w:rFonts w:ascii="Abo-thar" w:hAnsi="Abo-thar" w:hint="cs"/>
          <w:sz w:val="28"/>
          <w:rtl/>
        </w:rPr>
        <w:t>-</w:t>
      </w:r>
      <w:r w:rsidR="00147857" w:rsidRPr="003F3B94">
        <w:rPr>
          <w:rFonts w:ascii="Abo-thar" w:hAnsi="Abo-thar" w:hint="cs"/>
          <w:sz w:val="28"/>
          <w:rtl/>
        </w:rPr>
        <w:t xml:space="preserve"> </w:t>
      </w:r>
      <w:r w:rsidRPr="003F3B94">
        <w:rPr>
          <w:rFonts w:ascii="Abo-thar" w:hAnsi="Abo-thar" w:hint="cs"/>
          <w:sz w:val="28"/>
          <w:rtl/>
        </w:rPr>
        <w:t>تحليلها للشيعة</w:t>
      </w:r>
      <w:r w:rsidR="00217AB4" w:rsidRPr="003F3B94">
        <w:rPr>
          <w:rFonts w:ascii="Abo-thar" w:hAnsi="Abo-thar" w:hint="cs"/>
          <w:sz w:val="28"/>
          <w:rtl/>
        </w:rPr>
        <w:t>!</w:t>
      </w:r>
      <w:r w:rsidRPr="003F3B94">
        <w:rPr>
          <w:rFonts w:ascii="Abo-thar" w:hAnsi="Abo-thar" w:hint="cs"/>
          <w:sz w:val="28"/>
          <w:rtl/>
        </w:rPr>
        <w:t xml:space="preserve"> وعلى كل حال لو ثبت شيء أو حق بهذا الحديث رغم كل نقاط الضعف والنقص التي فيه فإنه سيكون للإمام من ذرية فاطمة والحجج على الناس فقط ولا يثبت لغيرهم فيه أيَّ نصيب</w:t>
      </w:r>
      <w:r w:rsidR="00217AB4" w:rsidRPr="003F3B94">
        <w:rPr>
          <w:rFonts w:ascii="Abo-thar" w:hAnsi="Abo-thar" w:hint="cs"/>
          <w:sz w:val="28"/>
          <w:rtl/>
        </w:rPr>
        <w:t>.</w:t>
      </w:r>
      <w:r w:rsidRPr="003F3B94">
        <w:rPr>
          <w:rFonts w:ascii="Abo-thar" w:hAnsi="Abo-thar" w:hint="cs"/>
          <w:sz w:val="28"/>
          <w:rtl/>
        </w:rPr>
        <w:t xml:space="preserve"> </w:t>
      </w:r>
    </w:p>
    <w:p w:rsidR="005C664D" w:rsidRPr="003F3B94" w:rsidRDefault="005C664D" w:rsidP="003F3B94">
      <w:pPr>
        <w:pStyle w:val="a0"/>
        <w:rPr>
          <w:rFonts w:hint="cs"/>
          <w:rtl/>
        </w:rPr>
      </w:pPr>
      <w:bookmarkStart w:id="101" w:name="_Toc215490689"/>
      <w:r w:rsidRPr="003F3B94">
        <w:rPr>
          <w:rFonts w:hint="cs"/>
          <w:b/>
          <w:bCs/>
          <w:rtl/>
        </w:rPr>
        <w:t>تلخيص واستنتاج</w:t>
      </w:r>
      <w:bookmarkEnd w:id="101"/>
      <w:r w:rsidR="009E3C80" w:rsidRPr="003F3B94">
        <w:rPr>
          <w:rFonts w:hint="cs"/>
          <w:b/>
          <w:bCs/>
          <w:rtl/>
        </w:rPr>
        <w:t>:</w:t>
      </w:r>
    </w:p>
    <w:p w:rsidR="005C664D" w:rsidRPr="003F3B94" w:rsidRDefault="005C664D" w:rsidP="003F3B94">
      <w:pPr>
        <w:pStyle w:val="a0"/>
        <w:rPr>
          <w:rFonts w:hint="cs"/>
          <w:rtl/>
        </w:rPr>
      </w:pPr>
      <w:r w:rsidRPr="003F3B94">
        <w:rPr>
          <w:rFonts w:ascii="Abo-thar" w:hAnsi="Abo-thar" w:hint="cs"/>
          <w:sz w:val="28"/>
          <w:rtl/>
        </w:rPr>
        <w:t xml:space="preserve"> لقد تبين من خلال التحقيق في متن وأسانيد هذه الأحاديث الخمسة من أصل عشرة أحاديث في موضوع خمس أرباح المكاسب</w:t>
      </w:r>
      <w:r w:rsidR="001E0DB7" w:rsidRPr="003F3B94">
        <w:rPr>
          <w:rFonts w:ascii="Abo-thar" w:hAnsi="Abo-thar" w:hint="cs"/>
          <w:sz w:val="28"/>
          <w:rtl/>
        </w:rPr>
        <w:t>،</w:t>
      </w:r>
      <w:r w:rsidRPr="003F3B94">
        <w:rPr>
          <w:rFonts w:ascii="Abo-thar" w:hAnsi="Abo-thar" w:hint="cs"/>
          <w:sz w:val="28"/>
          <w:rtl/>
        </w:rPr>
        <w:t xml:space="preserve"> أنها جميعاً ضعيفة ولا تستحق الاعتناء بها وقد رواها أشخاص وصفتهم كتب الرجال بالكذابين والغلاة أو الضعفاء أو الحمقى واعتبروا روايتهم غير موثوقة</w:t>
      </w:r>
      <w:r w:rsidR="001E0DB7" w:rsidRPr="003F3B94">
        <w:rPr>
          <w:rFonts w:ascii="Abo-thar" w:hAnsi="Abo-thar" w:hint="cs"/>
          <w:sz w:val="28"/>
          <w:rtl/>
        </w:rPr>
        <w:t>،</w:t>
      </w:r>
      <w:r w:rsidRPr="003F3B94">
        <w:rPr>
          <w:rFonts w:ascii="Abo-thar" w:hAnsi="Abo-thar" w:hint="cs"/>
          <w:sz w:val="28"/>
          <w:rtl/>
        </w:rPr>
        <w:t xml:space="preserve"> وبطلهم وزعيمهم هو </w:t>
      </w:r>
      <w:r w:rsidRPr="003F3B94">
        <w:rPr>
          <w:rFonts w:ascii="Abo-thar" w:hAnsi="Abo-thar" w:hint="eastAsia"/>
          <w:sz w:val="28"/>
          <w:rtl/>
        </w:rPr>
        <w:t>«</w:t>
      </w:r>
      <w:r w:rsidRPr="003F3B94">
        <w:rPr>
          <w:rFonts w:ascii="Abo-thar" w:hAnsi="Abo-thar" w:hint="cs"/>
          <w:sz w:val="28"/>
          <w:rtl/>
        </w:rPr>
        <w:t>علي بن مهزيار</w:t>
      </w:r>
      <w:r w:rsidRPr="003F3B94">
        <w:rPr>
          <w:rFonts w:ascii="Abo-thar" w:hAnsi="Abo-thar" w:hint="eastAsia"/>
          <w:sz w:val="28"/>
          <w:rtl/>
        </w:rPr>
        <w:t>»</w:t>
      </w:r>
      <w:r w:rsidRPr="003F3B94">
        <w:rPr>
          <w:rFonts w:ascii="Abo-thar" w:hAnsi="Abo-thar" w:hint="cs"/>
          <w:sz w:val="28"/>
          <w:rtl/>
        </w:rPr>
        <w:t xml:space="preserve"> الذي يرجع معظم أحاديث الخمس إليه وثمة شبهة كبيرة تدور حول رواياته لأن له في وضعها مصلحة وفائدة كبيرة إذ إنه ادعى بعد جمعه للأموال باسم الإمام أن الإمام حللها له جميعاً</w:t>
      </w:r>
      <w:r w:rsidR="00217AB4" w:rsidRPr="003F3B94">
        <w:rPr>
          <w:rFonts w:ascii="Abo-thar" w:hAnsi="Abo-thar" w:hint="cs"/>
          <w:sz w:val="28"/>
          <w:rtl/>
        </w:rPr>
        <w:t>.</w:t>
      </w:r>
      <w:r w:rsidRPr="003F3B94">
        <w:rPr>
          <w:rFonts w:ascii="Abo-thar" w:hAnsi="Abo-thar" w:hint="cs"/>
          <w:sz w:val="28"/>
          <w:rtl/>
        </w:rPr>
        <w:t xml:space="preserve"> </w:t>
      </w:r>
    </w:p>
    <w:p w:rsidR="005C664D" w:rsidRPr="003F3B94" w:rsidRDefault="005C664D" w:rsidP="003F3B94">
      <w:pPr>
        <w:pStyle w:val="a0"/>
        <w:rPr>
          <w:rFonts w:hint="cs"/>
          <w:rtl/>
        </w:rPr>
      </w:pPr>
      <w:r w:rsidRPr="003F3B94">
        <w:rPr>
          <w:rFonts w:ascii="Abo-thar" w:hAnsi="Abo-thar" w:hint="cs"/>
          <w:sz w:val="28"/>
          <w:rtl/>
        </w:rPr>
        <w:t>وعلى فرض التسليم بصحة تلك الأحاديث الموضوعة فإن غاية ما تثبته هو أن خمس أرباح المكاسب خاص بالإمام وليس لسائر بني هاشم أي حظ فيه خلافاً لما يقول به الفقهاء من أن لبني هاشم سهم في هذا الخمس</w:t>
      </w:r>
      <w:r w:rsidR="00217AB4" w:rsidRPr="003F3B94">
        <w:rPr>
          <w:rFonts w:ascii="Abo-thar" w:hAnsi="Abo-thar" w:hint="cs"/>
          <w:sz w:val="28"/>
          <w:rtl/>
        </w:rPr>
        <w:t>.</w:t>
      </w:r>
      <w:r w:rsidRPr="003F3B94">
        <w:rPr>
          <w:rFonts w:ascii="Abo-thar" w:hAnsi="Abo-thar" w:hint="cs"/>
          <w:sz w:val="28"/>
          <w:rtl/>
        </w:rPr>
        <w:t xml:space="preserve"> وبالتالي فالأمر الرائج والجاري في زمننا ليس عليه أي دليل أو مستند من كتاب أو سنة</w:t>
      </w:r>
      <w:r w:rsidR="00217AB4" w:rsidRPr="003F3B94">
        <w:rPr>
          <w:rFonts w:ascii="Abo-thar" w:hAnsi="Abo-thar" w:hint="cs"/>
          <w:sz w:val="28"/>
          <w:rtl/>
        </w:rPr>
        <w:t>.</w:t>
      </w:r>
      <w:r w:rsidR="00147857" w:rsidRPr="003F3B94">
        <w:rPr>
          <w:rFonts w:ascii="Abo-thar" w:hAnsi="Abo-thar" w:hint="cs"/>
          <w:sz w:val="28"/>
          <w:rtl/>
        </w:rPr>
        <w:t xml:space="preserve"> </w:t>
      </w:r>
      <w:r w:rsidRPr="003F3B94">
        <w:rPr>
          <w:rFonts w:ascii="Abo-thar" w:hAnsi="Abo-thar" w:hint="cs"/>
          <w:sz w:val="28"/>
          <w:rtl/>
        </w:rPr>
        <w:t>وحقاً إن الإنسان ليتحير بأي جرأة يأخذه هؤلاء القوم هذا المال ويأكلونه</w:t>
      </w:r>
      <w:r w:rsidR="00217AB4" w:rsidRPr="003F3B94">
        <w:rPr>
          <w:rFonts w:ascii="Abo-thar" w:hAnsi="Abo-thar" w:hint="cs"/>
          <w:sz w:val="28"/>
          <w:rtl/>
        </w:rPr>
        <w:t>؟</w:t>
      </w:r>
      <w:r w:rsidRPr="003F3B94">
        <w:rPr>
          <w:rFonts w:ascii="Abo-thar" w:hAnsi="Abo-thar" w:hint="cs"/>
          <w:sz w:val="28"/>
          <w:rtl/>
        </w:rPr>
        <w:t xml:space="preserve"> لأنه لو فرضنا أن الإمام له سهم من أرباح المكاسب فإنه مع غياب هذا الإمام وعدم حضوره وما ورد عنه من تحليل هذا السهم للشيعة</w:t>
      </w:r>
      <w:r w:rsidR="00217AB4" w:rsidRPr="003F3B94">
        <w:rPr>
          <w:rFonts w:ascii="Abo-thar" w:hAnsi="Abo-thar" w:hint="cs"/>
          <w:sz w:val="28"/>
          <w:rtl/>
        </w:rPr>
        <w:t>،</w:t>
      </w:r>
      <w:r w:rsidRPr="003F3B94">
        <w:rPr>
          <w:rFonts w:ascii="Abo-thar" w:hAnsi="Abo-thar" w:hint="cs"/>
          <w:sz w:val="28"/>
          <w:rtl/>
        </w:rPr>
        <w:t xml:space="preserve"> كيف يجرؤ هؤلاء على أخذه وأكله حلالاً زلالاً</w:t>
      </w:r>
      <w:r w:rsidR="00147857" w:rsidRPr="003F3B94">
        <w:rPr>
          <w:rFonts w:ascii="Abo-thar" w:hAnsi="Abo-thar" w:hint="cs"/>
          <w:sz w:val="28"/>
          <w:rtl/>
        </w:rPr>
        <w:t xml:space="preserve"> </w:t>
      </w:r>
      <w:r w:rsidRPr="003F3B94">
        <w:rPr>
          <w:rFonts w:ascii="Abo-thar" w:hAnsi="Abo-thar" w:hint="cs"/>
          <w:sz w:val="28"/>
          <w:rtl/>
        </w:rPr>
        <w:t>كحليب أمهم ويصرفونه في الغالب بشكل مسرف ويعطونه لأشخاص يقومون بنشر مثل هذه الأكاذيب ويصورون دين الله بصورة لو رآه فيها رسول الله</w:t>
      </w:r>
      <w:r w:rsidR="00147857" w:rsidRPr="003F3B94">
        <w:rPr>
          <w:rFonts w:ascii="Abo-thar" w:hAnsi="Abo-thar" w:hint="cs"/>
          <w:sz w:val="28"/>
          <w:rtl/>
        </w:rPr>
        <w:t xml:space="preserve"> </w:t>
      </w:r>
      <w:r w:rsidR="003C7AEB" w:rsidRPr="003C7AEB">
        <w:rPr>
          <w:rFonts w:ascii="Abo-thar" w:hAnsi="Abo-thar" w:cs="CTraditional Arabic" w:hint="cs"/>
          <w:sz w:val="28"/>
          <w:rtl/>
        </w:rPr>
        <w:t>ص</w:t>
      </w:r>
      <w:r w:rsidR="00147857" w:rsidRPr="003F3B94">
        <w:rPr>
          <w:rFonts w:ascii="Abo-thar" w:hAnsi="Abo-thar" w:hint="cs"/>
          <w:sz w:val="28"/>
          <w:rtl/>
        </w:rPr>
        <w:t xml:space="preserve"> </w:t>
      </w:r>
      <w:r w:rsidRPr="003F3B94">
        <w:rPr>
          <w:rFonts w:ascii="Abo-thar" w:hAnsi="Abo-thar" w:hint="cs"/>
          <w:sz w:val="28"/>
          <w:rtl/>
        </w:rPr>
        <w:t>الذي جاء بهذا الدين</w:t>
      </w:r>
      <w:r w:rsidR="001E0DB7" w:rsidRPr="003F3B94">
        <w:rPr>
          <w:rFonts w:ascii="Abo-thar" w:hAnsi="Abo-thar" w:hint="cs"/>
          <w:sz w:val="28"/>
          <w:rtl/>
        </w:rPr>
        <w:t>،</w:t>
      </w:r>
      <w:r w:rsidRPr="003F3B94">
        <w:rPr>
          <w:rFonts w:ascii="Abo-thar" w:hAnsi="Abo-thar" w:hint="cs"/>
          <w:sz w:val="28"/>
          <w:rtl/>
        </w:rPr>
        <w:t xml:space="preserve"> لما عرفه</w:t>
      </w:r>
      <w:r w:rsidR="00217AB4" w:rsidRPr="003F3B94">
        <w:rPr>
          <w:rFonts w:ascii="Abo-thar" w:hAnsi="Abo-thar" w:hint="cs"/>
          <w:sz w:val="28"/>
          <w:rtl/>
        </w:rPr>
        <w:t>!</w:t>
      </w:r>
      <w:r w:rsidRPr="003F3B94">
        <w:rPr>
          <w:rFonts w:ascii="Abo-thar" w:hAnsi="Abo-thar" w:hint="cs"/>
          <w:sz w:val="28"/>
          <w:rtl/>
        </w:rPr>
        <w:t xml:space="preserve"> وإنك لتجد أن ذلك الخطاب الإلهي للمؤمنين المشوب بالتحذير والعتاب يجد اليوم بن المسلمين مصداقاً كاملاً وتاماً وذلك قوله تعالى</w:t>
      </w:r>
      <w:r w:rsidR="00217AB4" w:rsidRPr="003F3B94">
        <w:rPr>
          <w:rFonts w:ascii="Abo-thar" w:hAnsi="Abo-thar" w:hint="cs"/>
          <w:sz w:val="28"/>
          <w:rtl/>
        </w:rPr>
        <w:t>:</w:t>
      </w:r>
      <w:r w:rsidRPr="003F3B94">
        <w:rPr>
          <w:rFonts w:ascii="Abo-thar" w:hAnsi="Abo-thar" w:hint="cs"/>
          <w:sz w:val="28"/>
          <w:rtl/>
        </w:rPr>
        <w:t xml:space="preserve"> </w:t>
      </w:r>
    </w:p>
    <w:p w:rsidR="005C664D" w:rsidRPr="003F3B94" w:rsidRDefault="00B06788" w:rsidP="00255A16">
      <w:pPr>
        <w:pStyle w:val="a0"/>
        <w:ind w:left="284" w:firstLine="0"/>
        <w:rPr>
          <w:rFonts w:hint="cs"/>
          <w:rtl/>
        </w:rPr>
      </w:pPr>
      <w:r w:rsidRPr="00995B26">
        <w:rPr>
          <w:rFonts w:cs="Traditional Arabic" w:hint="cs"/>
          <w:sz w:val="28"/>
          <w:rtl/>
        </w:rPr>
        <w:t>﴿</w:t>
      </w:r>
      <w:r w:rsidRPr="0067048A">
        <w:rPr>
          <w:rFonts w:ascii="KFGQPC Uthmanic Script HAFS" w:cs="KFGQPC Uthmanic Script HAFS" w:hint="eastAsia"/>
          <w:sz w:val="28"/>
          <w:szCs w:val="28"/>
          <w:rtl/>
        </w:rPr>
        <w:t>يَ</w:t>
      </w:r>
      <w:r w:rsidRPr="0067048A">
        <w:rPr>
          <w:rFonts w:ascii="KFGQPC Uthmanic Script HAFS" w:cs="KFGQPC Uthmanic Script HAFS" w:hint="cs"/>
          <w:sz w:val="28"/>
          <w:szCs w:val="28"/>
          <w:rtl/>
        </w:rPr>
        <w:t>ٰٓ</w:t>
      </w:r>
      <w:r w:rsidRPr="0067048A">
        <w:rPr>
          <w:rFonts w:ascii="KFGQPC Uthmanic Script HAFS" w:cs="KFGQPC Uthmanic Script HAFS" w:hint="eastAsia"/>
          <w:sz w:val="28"/>
          <w:szCs w:val="28"/>
          <w:rtl/>
        </w:rPr>
        <w:t>أَيُّهَا</w:t>
      </w:r>
      <w:r w:rsidRPr="0067048A">
        <w:rPr>
          <w:rFonts w:ascii="KFGQPC Uthmanic Script HAFS" w:cs="KFGQPC Uthmanic Script HAFS"/>
          <w:sz w:val="28"/>
          <w:szCs w:val="28"/>
          <w:rtl/>
        </w:rPr>
        <w:t xml:space="preserve"> </w:t>
      </w:r>
      <w:r w:rsidRPr="0067048A">
        <w:rPr>
          <w:rFonts w:ascii="KFGQPC Uthmanic Script HAFS" w:cs="KFGQPC Uthmanic Script HAFS" w:hint="cs"/>
          <w:sz w:val="28"/>
          <w:szCs w:val="28"/>
          <w:rtl/>
        </w:rPr>
        <w:t>ٱ</w:t>
      </w:r>
      <w:r w:rsidRPr="0067048A">
        <w:rPr>
          <w:rFonts w:ascii="KFGQPC Uthmanic Script HAFS" w:cs="KFGQPC Uthmanic Script HAFS" w:hint="eastAsia"/>
          <w:sz w:val="28"/>
          <w:szCs w:val="28"/>
          <w:rtl/>
        </w:rPr>
        <w:t>لَّذِينَ</w:t>
      </w:r>
      <w:r w:rsidRPr="0067048A">
        <w:rPr>
          <w:rFonts w:ascii="KFGQPC Uthmanic Script HAFS" w:cs="KFGQPC Uthmanic Script HAFS"/>
          <w:sz w:val="28"/>
          <w:szCs w:val="28"/>
          <w:rtl/>
        </w:rPr>
        <w:t xml:space="preserve"> </w:t>
      </w:r>
      <w:r w:rsidRPr="0067048A">
        <w:rPr>
          <w:rFonts w:ascii="KFGQPC Uthmanic Script HAFS" w:cs="KFGQPC Uthmanic Script HAFS" w:hint="eastAsia"/>
          <w:sz w:val="28"/>
          <w:szCs w:val="28"/>
          <w:rtl/>
        </w:rPr>
        <w:t>ءَامَنُو</w:t>
      </w:r>
      <w:r w:rsidRPr="0067048A">
        <w:rPr>
          <w:rFonts w:ascii="KFGQPC Uthmanic Script HAFS" w:cs="KFGQPC Uthmanic Script HAFS" w:hint="cs"/>
          <w:sz w:val="28"/>
          <w:szCs w:val="28"/>
          <w:rtl/>
        </w:rPr>
        <w:t>ٓ</w:t>
      </w:r>
      <w:r w:rsidRPr="0067048A">
        <w:rPr>
          <w:rFonts w:ascii="KFGQPC Uthmanic Script HAFS" w:cs="KFGQPC Uthmanic Script HAFS" w:hint="eastAsia"/>
          <w:sz w:val="28"/>
          <w:szCs w:val="28"/>
          <w:rtl/>
        </w:rPr>
        <w:t>اْ</w:t>
      </w:r>
      <w:r w:rsidRPr="0067048A">
        <w:rPr>
          <w:rFonts w:ascii="KFGQPC Uthmanic Script HAFS" w:cs="KFGQPC Uthmanic Script HAFS"/>
          <w:sz w:val="28"/>
          <w:szCs w:val="28"/>
          <w:rtl/>
        </w:rPr>
        <w:t xml:space="preserve"> </w:t>
      </w:r>
      <w:r w:rsidRPr="0067048A">
        <w:rPr>
          <w:rFonts w:ascii="KFGQPC Uthmanic Script HAFS" w:cs="KFGQPC Uthmanic Script HAFS" w:hint="eastAsia"/>
          <w:sz w:val="28"/>
          <w:szCs w:val="28"/>
          <w:rtl/>
        </w:rPr>
        <w:t>إِنَّ</w:t>
      </w:r>
      <w:r w:rsidRPr="0067048A">
        <w:rPr>
          <w:rFonts w:ascii="KFGQPC Uthmanic Script HAFS" w:cs="KFGQPC Uthmanic Script HAFS"/>
          <w:sz w:val="28"/>
          <w:szCs w:val="28"/>
          <w:rtl/>
        </w:rPr>
        <w:t xml:space="preserve"> </w:t>
      </w:r>
      <w:r w:rsidRPr="0067048A">
        <w:rPr>
          <w:rFonts w:ascii="KFGQPC Uthmanic Script HAFS" w:cs="KFGQPC Uthmanic Script HAFS" w:hint="eastAsia"/>
          <w:sz w:val="28"/>
          <w:szCs w:val="28"/>
          <w:rtl/>
        </w:rPr>
        <w:t>كَثِير</w:t>
      </w:r>
      <w:r w:rsidRPr="0067048A">
        <w:rPr>
          <w:rFonts w:ascii="KFGQPC Uthmanic Script HAFS" w:cs="KFGQPC Uthmanic Script HAFS" w:hint="cs"/>
          <w:sz w:val="28"/>
          <w:szCs w:val="28"/>
          <w:rtl/>
        </w:rPr>
        <w:t>ٗ</w:t>
      </w:r>
      <w:r w:rsidRPr="0067048A">
        <w:rPr>
          <w:rFonts w:ascii="KFGQPC Uthmanic Script HAFS" w:cs="KFGQPC Uthmanic Script HAFS" w:hint="eastAsia"/>
          <w:sz w:val="28"/>
          <w:szCs w:val="28"/>
          <w:rtl/>
        </w:rPr>
        <w:t>ا</w:t>
      </w:r>
      <w:r w:rsidRPr="0067048A">
        <w:rPr>
          <w:rFonts w:ascii="KFGQPC Uthmanic Script HAFS" w:cs="KFGQPC Uthmanic Script HAFS"/>
          <w:sz w:val="28"/>
          <w:szCs w:val="28"/>
          <w:rtl/>
        </w:rPr>
        <w:t xml:space="preserve"> </w:t>
      </w:r>
      <w:r w:rsidRPr="0067048A">
        <w:rPr>
          <w:rFonts w:ascii="KFGQPC Uthmanic Script HAFS" w:cs="KFGQPC Uthmanic Script HAFS" w:hint="eastAsia"/>
          <w:sz w:val="28"/>
          <w:szCs w:val="28"/>
          <w:rtl/>
        </w:rPr>
        <w:t>مِّنَ</w:t>
      </w:r>
      <w:r w:rsidRPr="0067048A">
        <w:rPr>
          <w:rFonts w:ascii="KFGQPC Uthmanic Script HAFS" w:cs="KFGQPC Uthmanic Script HAFS"/>
          <w:sz w:val="28"/>
          <w:szCs w:val="28"/>
          <w:rtl/>
        </w:rPr>
        <w:t xml:space="preserve"> </w:t>
      </w:r>
      <w:r w:rsidRPr="0067048A">
        <w:rPr>
          <w:rFonts w:ascii="KFGQPC Uthmanic Script HAFS" w:cs="KFGQPC Uthmanic Script HAFS" w:hint="cs"/>
          <w:sz w:val="28"/>
          <w:szCs w:val="28"/>
          <w:rtl/>
        </w:rPr>
        <w:t>ٱ</w:t>
      </w:r>
      <w:r w:rsidRPr="0067048A">
        <w:rPr>
          <w:rFonts w:ascii="KFGQPC Uthmanic Script HAFS" w:cs="KFGQPC Uthmanic Script HAFS" w:hint="eastAsia"/>
          <w:sz w:val="28"/>
          <w:szCs w:val="28"/>
          <w:rtl/>
        </w:rPr>
        <w:t>ل</w:t>
      </w:r>
      <w:r w:rsidRPr="0067048A">
        <w:rPr>
          <w:rFonts w:ascii="KFGQPC Uthmanic Script HAFS" w:cs="KFGQPC Uthmanic Script HAFS" w:hint="cs"/>
          <w:sz w:val="28"/>
          <w:szCs w:val="28"/>
          <w:rtl/>
        </w:rPr>
        <w:t>ۡ</w:t>
      </w:r>
      <w:r w:rsidRPr="0067048A">
        <w:rPr>
          <w:rFonts w:ascii="KFGQPC Uthmanic Script HAFS" w:cs="KFGQPC Uthmanic Script HAFS" w:hint="eastAsia"/>
          <w:sz w:val="28"/>
          <w:szCs w:val="28"/>
          <w:rtl/>
        </w:rPr>
        <w:t>أَح</w:t>
      </w:r>
      <w:r w:rsidRPr="0067048A">
        <w:rPr>
          <w:rFonts w:ascii="KFGQPC Uthmanic Script HAFS" w:cs="KFGQPC Uthmanic Script HAFS" w:hint="cs"/>
          <w:sz w:val="28"/>
          <w:szCs w:val="28"/>
          <w:rtl/>
        </w:rPr>
        <w:t>ۡ</w:t>
      </w:r>
      <w:r w:rsidRPr="0067048A">
        <w:rPr>
          <w:rFonts w:ascii="KFGQPC Uthmanic Script HAFS" w:cs="KFGQPC Uthmanic Script HAFS" w:hint="eastAsia"/>
          <w:sz w:val="28"/>
          <w:szCs w:val="28"/>
          <w:rtl/>
        </w:rPr>
        <w:t>بَارِ</w:t>
      </w:r>
      <w:r w:rsidRPr="0067048A">
        <w:rPr>
          <w:rFonts w:ascii="KFGQPC Uthmanic Script HAFS" w:cs="KFGQPC Uthmanic Script HAFS"/>
          <w:sz w:val="28"/>
          <w:szCs w:val="28"/>
          <w:rtl/>
        </w:rPr>
        <w:t xml:space="preserve"> </w:t>
      </w:r>
      <w:r w:rsidRPr="0067048A">
        <w:rPr>
          <w:rFonts w:ascii="KFGQPC Uthmanic Script HAFS" w:cs="KFGQPC Uthmanic Script HAFS" w:hint="eastAsia"/>
          <w:sz w:val="28"/>
          <w:szCs w:val="28"/>
          <w:rtl/>
        </w:rPr>
        <w:t>وَ</w:t>
      </w:r>
      <w:r w:rsidRPr="0067048A">
        <w:rPr>
          <w:rFonts w:ascii="KFGQPC Uthmanic Script HAFS" w:cs="KFGQPC Uthmanic Script HAFS" w:hint="cs"/>
          <w:sz w:val="28"/>
          <w:szCs w:val="28"/>
          <w:rtl/>
        </w:rPr>
        <w:t>ٱ</w:t>
      </w:r>
      <w:r w:rsidRPr="0067048A">
        <w:rPr>
          <w:rFonts w:ascii="KFGQPC Uthmanic Script HAFS" w:cs="KFGQPC Uthmanic Script HAFS" w:hint="eastAsia"/>
          <w:sz w:val="28"/>
          <w:szCs w:val="28"/>
          <w:rtl/>
        </w:rPr>
        <w:t>لرُّه</w:t>
      </w:r>
      <w:r w:rsidRPr="0067048A">
        <w:rPr>
          <w:rFonts w:ascii="KFGQPC Uthmanic Script HAFS" w:cs="KFGQPC Uthmanic Script HAFS" w:hint="cs"/>
          <w:sz w:val="28"/>
          <w:szCs w:val="28"/>
          <w:rtl/>
        </w:rPr>
        <w:t>ۡ</w:t>
      </w:r>
      <w:r w:rsidRPr="0067048A">
        <w:rPr>
          <w:rFonts w:ascii="KFGQPC Uthmanic Script HAFS" w:cs="KFGQPC Uthmanic Script HAFS" w:hint="eastAsia"/>
          <w:sz w:val="28"/>
          <w:szCs w:val="28"/>
          <w:rtl/>
        </w:rPr>
        <w:t>بَانِ</w:t>
      </w:r>
      <w:r w:rsidRPr="0067048A">
        <w:rPr>
          <w:rFonts w:ascii="KFGQPC Uthmanic Script HAFS" w:cs="KFGQPC Uthmanic Script HAFS"/>
          <w:sz w:val="28"/>
          <w:szCs w:val="28"/>
          <w:rtl/>
        </w:rPr>
        <w:t xml:space="preserve"> </w:t>
      </w:r>
      <w:r w:rsidRPr="0067048A">
        <w:rPr>
          <w:rFonts w:ascii="KFGQPC Uthmanic Script HAFS" w:cs="KFGQPC Uthmanic Script HAFS" w:hint="eastAsia"/>
          <w:sz w:val="28"/>
          <w:szCs w:val="28"/>
          <w:rtl/>
        </w:rPr>
        <w:t>لَيَأ</w:t>
      </w:r>
      <w:r w:rsidRPr="0067048A">
        <w:rPr>
          <w:rFonts w:ascii="KFGQPC Uthmanic Script HAFS" w:cs="KFGQPC Uthmanic Script HAFS" w:hint="cs"/>
          <w:sz w:val="28"/>
          <w:szCs w:val="28"/>
          <w:rtl/>
        </w:rPr>
        <w:t>ۡ</w:t>
      </w:r>
      <w:r w:rsidRPr="0067048A">
        <w:rPr>
          <w:rFonts w:ascii="KFGQPC Uthmanic Script HAFS" w:cs="KFGQPC Uthmanic Script HAFS" w:hint="eastAsia"/>
          <w:sz w:val="28"/>
          <w:szCs w:val="28"/>
          <w:rtl/>
        </w:rPr>
        <w:t>كُلُونَ</w:t>
      </w:r>
      <w:r w:rsidRPr="0067048A">
        <w:rPr>
          <w:rFonts w:ascii="KFGQPC Uthmanic Script HAFS" w:cs="KFGQPC Uthmanic Script HAFS"/>
          <w:sz w:val="28"/>
          <w:szCs w:val="28"/>
          <w:rtl/>
        </w:rPr>
        <w:t xml:space="preserve"> </w:t>
      </w:r>
      <w:r w:rsidRPr="0067048A">
        <w:rPr>
          <w:rFonts w:ascii="KFGQPC Uthmanic Script HAFS" w:cs="KFGQPC Uthmanic Script HAFS" w:hint="eastAsia"/>
          <w:sz w:val="28"/>
          <w:szCs w:val="28"/>
          <w:rtl/>
        </w:rPr>
        <w:t>أَم</w:t>
      </w:r>
      <w:r w:rsidRPr="0067048A">
        <w:rPr>
          <w:rFonts w:ascii="KFGQPC Uthmanic Script HAFS" w:cs="KFGQPC Uthmanic Script HAFS" w:hint="cs"/>
          <w:sz w:val="28"/>
          <w:szCs w:val="28"/>
          <w:rtl/>
        </w:rPr>
        <w:t>ۡ</w:t>
      </w:r>
      <w:r w:rsidRPr="0067048A">
        <w:rPr>
          <w:rFonts w:ascii="KFGQPC Uthmanic Script HAFS" w:cs="KFGQPC Uthmanic Script HAFS" w:hint="eastAsia"/>
          <w:sz w:val="28"/>
          <w:szCs w:val="28"/>
          <w:rtl/>
        </w:rPr>
        <w:t>وَ</w:t>
      </w:r>
      <w:r w:rsidRPr="0067048A">
        <w:rPr>
          <w:rFonts w:ascii="KFGQPC Uthmanic Script HAFS" w:cs="KFGQPC Uthmanic Script HAFS" w:hint="cs"/>
          <w:sz w:val="28"/>
          <w:szCs w:val="28"/>
          <w:rtl/>
        </w:rPr>
        <w:t>ٰ</w:t>
      </w:r>
      <w:r w:rsidRPr="0067048A">
        <w:rPr>
          <w:rFonts w:ascii="KFGQPC Uthmanic Script HAFS" w:cs="KFGQPC Uthmanic Script HAFS" w:hint="eastAsia"/>
          <w:sz w:val="28"/>
          <w:szCs w:val="28"/>
          <w:rtl/>
        </w:rPr>
        <w:t>لَ</w:t>
      </w:r>
      <w:r w:rsidRPr="0067048A">
        <w:rPr>
          <w:rFonts w:ascii="KFGQPC Uthmanic Script HAFS" w:cs="KFGQPC Uthmanic Script HAFS"/>
          <w:sz w:val="28"/>
          <w:szCs w:val="28"/>
          <w:rtl/>
        </w:rPr>
        <w:t xml:space="preserve"> </w:t>
      </w:r>
      <w:r w:rsidRPr="0067048A">
        <w:rPr>
          <w:rFonts w:ascii="KFGQPC Uthmanic Script HAFS" w:cs="KFGQPC Uthmanic Script HAFS" w:hint="cs"/>
          <w:sz w:val="28"/>
          <w:szCs w:val="28"/>
          <w:rtl/>
        </w:rPr>
        <w:t>ٱ</w:t>
      </w:r>
      <w:r w:rsidRPr="0067048A">
        <w:rPr>
          <w:rFonts w:ascii="KFGQPC Uthmanic Script HAFS" w:cs="KFGQPC Uthmanic Script HAFS" w:hint="eastAsia"/>
          <w:sz w:val="28"/>
          <w:szCs w:val="28"/>
          <w:rtl/>
        </w:rPr>
        <w:t>لنَّاسِ</w:t>
      </w:r>
      <w:r w:rsidRPr="0067048A">
        <w:rPr>
          <w:rFonts w:ascii="KFGQPC Uthmanic Script HAFS" w:cs="KFGQPC Uthmanic Script HAFS"/>
          <w:sz w:val="28"/>
          <w:szCs w:val="28"/>
          <w:rtl/>
        </w:rPr>
        <w:t xml:space="preserve"> </w:t>
      </w:r>
      <w:r w:rsidRPr="0067048A">
        <w:rPr>
          <w:rFonts w:ascii="KFGQPC Uthmanic Script HAFS" w:cs="KFGQPC Uthmanic Script HAFS" w:hint="eastAsia"/>
          <w:sz w:val="28"/>
          <w:szCs w:val="28"/>
          <w:rtl/>
        </w:rPr>
        <w:t>بِ</w:t>
      </w:r>
      <w:r w:rsidRPr="0067048A">
        <w:rPr>
          <w:rFonts w:ascii="KFGQPC Uthmanic Script HAFS" w:cs="KFGQPC Uthmanic Script HAFS" w:hint="cs"/>
          <w:sz w:val="28"/>
          <w:szCs w:val="28"/>
          <w:rtl/>
        </w:rPr>
        <w:t>ٱ</w:t>
      </w:r>
      <w:r w:rsidRPr="0067048A">
        <w:rPr>
          <w:rFonts w:ascii="KFGQPC Uthmanic Script HAFS" w:cs="KFGQPC Uthmanic Script HAFS" w:hint="eastAsia"/>
          <w:sz w:val="28"/>
          <w:szCs w:val="28"/>
          <w:rtl/>
        </w:rPr>
        <w:t>ل</w:t>
      </w:r>
      <w:r w:rsidRPr="0067048A">
        <w:rPr>
          <w:rFonts w:ascii="KFGQPC Uthmanic Script HAFS" w:cs="KFGQPC Uthmanic Script HAFS" w:hint="cs"/>
          <w:sz w:val="28"/>
          <w:szCs w:val="28"/>
          <w:rtl/>
        </w:rPr>
        <w:t>ۡ</w:t>
      </w:r>
      <w:r w:rsidRPr="0067048A">
        <w:rPr>
          <w:rFonts w:ascii="KFGQPC Uthmanic Script HAFS" w:cs="KFGQPC Uthmanic Script HAFS" w:hint="eastAsia"/>
          <w:sz w:val="28"/>
          <w:szCs w:val="28"/>
          <w:rtl/>
        </w:rPr>
        <w:t>بَ</w:t>
      </w:r>
      <w:r w:rsidRPr="0067048A">
        <w:rPr>
          <w:rFonts w:ascii="KFGQPC Uthmanic Script HAFS" w:cs="KFGQPC Uthmanic Script HAFS" w:hint="cs"/>
          <w:sz w:val="28"/>
          <w:szCs w:val="28"/>
          <w:rtl/>
        </w:rPr>
        <w:t>ٰ</w:t>
      </w:r>
      <w:r w:rsidRPr="0067048A">
        <w:rPr>
          <w:rFonts w:ascii="KFGQPC Uthmanic Script HAFS" w:cs="KFGQPC Uthmanic Script HAFS" w:hint="eastAsia"/>
          <w:sz w:val="28"/>
          <w:szCs w:val="28"/>
          <w:rtl/>
        </w:rPr>
        <w:t>طِلِ</w:t>
      </w:r>
      <w:r w:rsidRPr="0067048A">
        <w:rPr>
          <w:rFonts w:ascii="KFGQPC Uthmanic Script HAFS" w:cs="KFGQPC Uthmanic Script HAFS"/>
          <w:sz w:val="28"/>
          <w:szCs w:val="28"/>
          <w:rtl/>
        </w:rPr>
        <w:t xml:space="preserve"> </w:t>
      </w:r>
      <w:r w:rsidRPr="0067048A">
        <w:rPr>
          <w:rFonts w:ascii="KFGQPC Uthmanic Script HAFS" w:cs="KFGQPC Uthmanic Script HAFS" w:hint="eastAsia"/>
          <w:sz w:val="28"/>
          <w:szCs w:val="28"/>
          <w:rtl/>
        </w:rPr>
        <w:t>وَيَصُدُّونَ</w:t>
      </w:r>
      <w:r w:rsidRPr="0067048A">
        <w:rPr>
          <w:rFonts w:ascii="KFGQPC Uthmanic Script HAFS" w:cs="KFGQPC Uthmanic Script HAFS"/>
          <w:sz w:val="28"/>
          <w:szCs w:val="28"/>
          <w:rtl/>
        </w:rPr>
        <w:t xml:space="preserve"> </w:t>
      </w:r>
      <w:r w:rsidRPr="0067048A">
        <w:rPr>
          <w:rFonts w:ascii="KFGQPC Uthmanic Script HAFS" w:cs="KFGQPC Uthmanic Script HAFS" w:hint="eastAsia"/>
          <w:sz w:val="28"/>
          <w:szCs w:val="28"/>
          <w:rtl/>
        </w:rPr>
        <w:t>عَن</w:t>
      </w:r>
      <w:r w:rsidRPr="0067048A">
        <w:rPr>
          <w:rFonts w:ascii="KFGQPC Uthmanic Script HAFS" w:cs="KFGQPC Uthmanic Script HAFS"/>
          <w:sz w:val="28"/>
          <w:szCs w:val="28"/>
          <w:rtl/>
        </w:rPr>
        <w:t xml:space="preserve"> </w:t>
      </w:r>
      <w:r w:rsidRPr="0067048A">
        <w:rPr>
          <w:rFonts w:ascii="KFGQPC Uthmanic Script HAFS" w:cs="KFGQPC Uthmanic Script HAFS" w:hint="eastAsia"/>
          <w:sz w:val="28"/>
          <w:szCs w:val="28"/>
          <w:rtl/>
        </w:rPr>
        <w:t>سَبِيلِ</w:t>
      </w:r>
      <w:r w:rsidRPr="0067048A">
        <w:rPr>
          <w:rFonts w:ascii="KFGQPC Uthmanic Script HAFS" w:cs="KFGQPC Uthmanic Script HAFS"/>
          <w:sz w:val="28"/>
          <w:szCs w:val="28"/>
          <w:rtl/>
        </w:rPr>
        <w:t xml:space="preserve"> </w:t>
      </w:r>
      <w:r w:rsidRPr="0067048A">
        <w:rPr>
          <w:rFonts w:ascii="KFGQPC Uthmanic Script HAFS" w:cs="KFGQPC Uthmanic Script HAFS" w:hint="cs"/>
          <w:sz w:val="28"/>
          <w:szCs w:val="28"/>
          <w:rtl/>
        </w:rPr>
        <w:t>ٱ</w:t>
      </w:r>
      <w:r w:rsidRPr="0067048A">
        <w:rPr>
          <w:rFonts w:ascii="KFGQPC Uthmanic Script HAFS" w:cs="KFGQPC Uthmanic Script HAFS" w:hint="eastAsia"/>
          <w:sz w:val="28"/>
          <w:szCs w:val="28"/>
          <w:rtl/>
        </w:rPr>
        <w:t>للَّهِ</w:t>
      </w:r>
      <w:r w:rsidRPr="00995B26">
        <w:rPr>
          <w:rFonts w:cs="Traditional Arabic" w:hint="cs"/>
          <w:sz w:val="28"/>
          <w:rtl/>
        </w:rPr>
        <w:t>﴾</w:t>
      </w:r>
      <w:r w:rsidR="005C664D" w:rsidRPr="003F3B94">
        <w:rPr>
          <w:sz w:val="28"/>
          <w:rtl/>
        </w:rPr>
        <w:t xml:space="preserve"> </w:t>
      </w:r>
      <w:r w:rsidR="005C664D" w:rsidRPr="003108CB">
        <w:rPr>
          <w:rStyle w:val="Char2"/>
          <w:rFonts w:hint="cs"/>
          <w:rtl/>
        </w:rPr>
        <w:t>[</w:t>
      </w:r>
      <w:r w:rsidR="005C664D" w:rsidRPr="003108CB">
        <w:rPr>
          <w:rStyle w:val="Char2"/>
          <w:rtl/>
        </w:rPr>
        <w:t>التوبة</w:t>
      </w:r>
      <w:r w:rsidRPr="003108CB">
        <w:rPr>
          <w:rStyle w:val="Char2"/>
          <w:rFonts w:hint="cs"/>
          <w:rtl/>
        </w:rPr>
        <w:t xml:space="preserve">: </w:t>
      </w:r>
      <w:r w:rsidR="005C664D" w:rsidRPr="003108CB">
        <w:rPr>
          <w:rStyle w:val="Char2"/>
          <w:rtl/>
        </w:rPr>
        <w:t>34</w:t>
      </w:r>
      <w:r w:rsidR="005C664D" w:rsidRPr="003108CB">
        <w:rPr>
          <w:rStyle w:val="Char2"/>
          <w:rFonts w:hint="cs"/>
          <w:rtl/>
        </w:rPr>
        <w:t>]</w:t>
      </w:r>
      <w:r w:rsidR="00217AB4" w:rsidRPr="003F3B94">
        <w:rPr>
          <w:rFonts w:hint="cs"/>
          <w:sz w:val="28"/>
          <w:rtl/>
        </w:rPr>
        <w:t>.</w:t>
      </w:r>
      <w:r w:rsidR="005C664D" w:rsidRPr="003F3B94">
        <w:rPr>
          <w:rFonts w:hint="cs"/>
          <w:sz w:val="28"/>
          <w:rtl/>
        </w:rPr>
        <w:t xml:space="preserve"> </w:t>
      </w:r>
    </w:p>
    <w:p w:rsidR="005C664D" w:rsidRPr="003F3B94" w:rsidRDefault="005C664D" w:rsidP="003F3B94">
      <w:pPr>
        <w:pStyle w:val="a0"/>
        <w:rPr>
          <w:rFonts w:hint="cs"/>
          <w:rtl/>
        </w:rPr>
      </w:pPr>
      <w:r w:rsidRPr="003F3B94">
        <w:rPr>
          <w:rFonts w:hint="cs"/>
          <w:sz w:val="28"/>
          <w:rtl/>
        </w:rPr>
        <w:t xml:space="preserve">إن نظرة عميقة إلى وضع كثير من علماء الشيعة تبين أنهم مصداق واضح لهذه الآية الكريمة في مجتمعنا </w:t>
      </w:r>
      <w:r w:rsidR="0041266B" w:rsidRPr="003F3B94">
        <w:rPr>
          <w:rFonts w:hint="cs"/>
          <w:sz w:val="28"/>
          <w:rtl/>
        </w:rPr>
        <w:t>المتلوث بالشرك</w:t>
      </w:r>
      <w:r w:rsidR="00217AB4" w:rsidRPr="003F3B94">
        <w:rPr>
          <w:rFonts w:hint="cs"/>
          <w:sz w:val="28"/>
          <w:rtl/>
        </w:rPr>
        <w:t>.</w:t>
      </w:r>
      <w:r w:rsidRPr="003F3B94">
        <w:rPr>
          <w:rFonts w:hint="cs"/>
          <w:sz w:val="28"/>
          <w:rtl/>
        </w:rPr>
        <w:t xml:space="preserve"> </w:t>
      </w:r>
    </w:p>
    <w:p w:rsidR="0041266B" w:rsidRPr="00995B26" w:rsidRDefault="0041266B" w:rsidP="003C671C">
      <w:pPr>
        <w:pStyle w:val="a6"/>
        <w:rPr>
          <w:rFonts w:hint="cs"/>
          <w:rtl/>
        </w:rPr>
      </w:pPr>
      <w:bookmarkStart w:id="102" w:name="_Toc387843073"/>
      <w:r w:rsidRPr="00995B26">
        <w:rPr>
          <w:rFonts w:hint="cs"/>
          <w:rtl/>
        </w:rPr>
        <w:t>2- خمس أرباح المكاسب خاص بالإمام</w:t>
      </w:r>
      <w:bookmarkEnd w:id="102"/>
      <w:r w:rsidRPr="00995B26">
        <w:rPr>
          <w:rFonts w:hint="cs"/>
          <w:rtl/>
        </w:rPr>
        <w:t xml:space="preserve"> </w:t>
      </w:r>
    </w:p>
    <w:p w:rsidR="005C664D" w:rsidRPr="003F3B94" w:rsidRDefault="005C664D" w:rsidP="003F3B94">
      <w:pPr>
        <w:pStyle w:val="a0"/>
        <w:rPr>
          <w:rFonts w:hint="cs"/>
          <w:rtl/>
        </w:rPr>
      </w:pPr>
      <w:r w:rsidRPr="003F3B94">
        <w:rPr>
          <w:rFonts w:hint="cs"/>
          <w:sz w:val="28"/>
          <w:rtl/>
        </w:rPr>
        <w:t xml:space="preserve">كما ذكرنا سابقاً أورد الشيخ محمد بن الحسن الحر العاملي في كتابه </w:t>
      </w:r>
      <w:r w:rsidRPr="003F3B94">
        <w:rPr>
          <w:rFonts w:hint="eastAsia"/>
          <w:sz w:val="28"/>
          <w:rtl/>
        </w:rPr>
        <w:t>«</w:t>
      </w:r>
      <w:r w:rsidRPr="003F3B94">
        <w:rPr>
          <w:rFonts w:hint="cs"/>
          <w:sz w:val="28"/>
          <w:rtl/>
        </w:rPr>
        <w:t>وسائل الشيعة</w:t>
      </w:r>
      <w:r w:rsidRPr="003F3B94">
        <w:rPr>
          <w:rFonts w:hint="eastAsia"/>
          <w:sz w:val="28"/>
          <w:rtl/>
        </w:rPr>
        <w:t>»</w:t>
      </w:r>
      <w:r w:rsidRPr="003F3B94">
        <w:rPr>
          <w:rFonts w:hint="cs"/>
          <w:sz w:val="28"/>
          <w:rtl/>
        </w:rPr>
        <w:t xml:space="preserve"> الذي جمع فيه كل أحاديث الأحكام</w:t>
      </w:r>
      <w:r w:rsidR="001E0DB7" w:rsidRPr="003F3B94">
        <w:rPr>
          <w:rFonts w:hint="cs"/>
          <w:sz w:val="28"/>
          <w:rtl/>
        </w:rPr>
        <w:t>،</w:t>
      </w:r>
      <w:r w:rsidRPr="003F3B94">
        <w:rPr>
          <w:rFonts w:hint="cs"/>
          <w:sz w:val="28"/>
          <w:rtl/>
        </w:rPr>
        <w:t xml:space="preserve"> عشرة أحاديث تحت عنوان</w:t>
      </w:r>
      <w:r w:rsidR="00217AB4" w:rsidRPr="003F3B94">
        <w:rPr>
          <w:rFonts w:hint="cs"/>
          <w:sz w:val="28"/>
          <w:rtl/>
        </w:rPr>
        <w:t>:</w:t>
      </w:r>
      <w:r w:rsidRPr="003F3B94">
        <w:rPr>
          <w:rFonts w:hint="cs"/>
          <w:sz w:val="28"/>
          <w:rtl/>
        </w:rPr>
        <w:t xml:space="preserve"> [</w:t>
      </w:r>
      <w:r w:rsidRPr="003F3B94">
        <w:rPr>
          <w:sz w:val="28"/>
          <w:rtl/>
        </w:rPr>
        <w:t>بَاب وُجُوبِ الْخُمُسِ فِيمَا يَفْضُلُ عَنْ مَئُونَةِ السَّنَةِ لَهُ وَلِعِيَالِهِ مِنْ أَرْبَاحِ التِّجَارَاتِ وَالصِّنَاعَاتِ وَالزِّرَاعَاتِ وَنَحْوِهَا وَأَنَّ خُمُسَ ذَلِكَ لِلْإِمَامِ خَاصَّة</w:t>
      </w:r>
      <w:r w:rsidRPr="003F3B94">
        <w:rPr>
          <w:rFonts w:hint="cs"/>
          <w:sz w:val="28"/>
          <w:rtl/>
        </w:rPr>
        <w:t>]</w:t>
      </w:r>
      <w:r w:rsidR="00217AB4" w:rsidRPr="003F3B94">
        <w:rPr>
          <w:rFonts w:hint="cs"/>
          <w:sz w:val="28"/>
          <w:rtl/>
        </w:rPr>
        <w:t>.</w:t>
      </w:r>
    </w:p>
    <w:p w:rsidR="003D6690" w:rsidRPr="003F3B94" w:rsidRDefault="005C664D" w:rsidP="003F3B94">
      <w:pPr>
        <w:pStyle w:val="a0"/>
        <w:rPr>
          <w:rFonts w:hint="cs"/>
          <w:rtl/>
        </w:rPr>
      </w:pPr>
      <w:r w:rsidRPr="003F3B94">
        <w:rPr>
          <w:rFonts w:hint="cs"/>
          <w:sz w:val="28"/>
          <w:rtl/>
        </w:rPr>
        <w:t>وقد محَّصْنا خمسة من تلك الأحاديث وتبين أنها غير صحيحة ولا تتمتع بأي قيمة أو اعتبار طبقاً لقواعد كتب الدراية ولما ذكره علماء الرجال في أحوال الرواة</w:t>
      </w:r>
      <w:r w:rsidR="001E0DB7" w:rsidRPr="003F3B94">
        <w:rPr>
          <w:rFonts w:hint="cs"/>
          <w:sz w:val="28"/>
          <w:rtl/>
        </w:rPr>
        <w:t>،</w:t>
      </w:r>
      <w:r w:rsidRPr="003F3B94">
        <w:rPr>
          <w:rFonts w:hint="cs"/>
          <w:sz w:val="28"/>
          <w:rtl/>
        </w:rPr>
        <w:t xml:space="preserve"> وعلى فرض التسليم بصحتها فإنها تُثبت وجوب ذلك السهم للإمام خاصة</w:t>
      </w:r>
      <w:r w:rsidR="00217AB4" w:rsidRPr="003F3B94">
        <w:rPr>
          <w:rFonts w:hint="cs"/>
          <w:sz w:val="28"/>
          <w:rtl/>
        </w:rPr>
        <w:t>.</w:t>
      </w:r>
    </w:p>
    <w:p w:rsidR="005C664D" w:rsidRPr="003F3B94" w:rsidRDefault="005C664D" w:rsidP="003F3B94">
      <w:pPr>
        <w:pStyle w:val="a0"/>
        <w:rPr>
          <w:rFonts w:hint="cs"/>
          <w:rtl/>
        </w:rPr>
      </w:pPr>
      <w:r w:rsidRPr="003F3B94">
        <w:rPr>
          <w:rFonts w:hint="cs"/>
          <w:sz w:val="28"/>
          <w:rtl/>
        </w:rPr>
        <w:t>أما الأحاديث الخمسة الأخرى فهي في الواقع نظير الأحاديث سابقة الذكر من حيث سندها ومتنها</w:t>
      </w:r>
      <w:r w:rsidR="001E0DB7" w:rsidRPr="003F3B94">
        <w:rPr>
          <w:rFonts w:hint="cs"/>
          <w:sz w:val="28"/>
          <w:rtl/>
        </w:rPr>
        <w:t>،</w:t>
      </w:r>
      <w:r w:rsidRPr="003F3B94">
        <w:rPr>
          <w:rFonts w:hint="cs"/>
          <w:sz w:val="28"/>
          <w:rtl/>
        </w:rPr>
        <w:t xml:space="preserve"> كل ما في الأمر أنها تنصّ على الخمس في أرباح المكاسب بشكل عام</w:t>
      </w:r>
      <w:r w:rsidR="001E0DB7" w:rsidRPr="003F3B94">
        <w:rPr>
          <w:rFonts w:hint="cs"/>
          <w:sz w:val="28"/>
          <w:rtl/>
        </w:rPr>
        <w:t>،</w:t>
      </w:r>
      <w:r w:rsidRPr="003F3B94">
        <w:rPr>
          <w:rFonts w:hint="cs"/>
          <w:sz w:val="28"/>
          <w:rtl/>
        </w:rPr>
        <w:t xml:space="preserve"> ولكن لما كان هذا الخمس خاصاً بالإمام فإن هذه الأحاديث في الواقع متممة للأحاديث السابقة ومكملة لها وكلها </w:t>
      </w:r>
      <w:r w:rsidR="00217AB4" w:rsidRPr="003F3B94">
        <w:rPr>
          <w:rFonts w:hint="cs"/>
          <w:sz w:val="28"/>
          <w:rtl/>
        </w:rPr>
        <w:t>-</w:t>
      </w:r>
      <w:r w:rsidR="00147857" w:rsidRPr="003F3B94">
        <w:rPr>
          <w:rFonts w:hint="cs"/>
          <w:sz w:val="28"/>
          <w:rtl/>
        </w:rPr>
        <w:t xml:space="preserve"> </w:t>
      </w:r>
      <w:r w:rsidRPr="003F3B94">
        <w:rPr>
          <w:rFonts w:hint="cs"/>
          <w:sz w:val="28"/>
          <w:rtl/>
        </w:rPr>
        <w:t xml:space="preserve">إذا ثبتت صحتها وثبت مدّعاها </w:t>
      </w:r>
      <w:r w:rsidRPr="003F3B94">
        <w:rPr>
          <w:rFonts w:cs="Times New Roman" w:hint="cs"/>
          <w:sz w:val="28"/>
          <w:rtl/>
        </w:rPr>
        <w:t>–</w:t>
      </w:r>
      <w:r w:rsidRPr="003F3B94">
        <w:rPr>
          <w:rFonts w:hint="cs"/>
          <w:sz w:val="28"/>
          <w:rtl/>
        </w:rPr>
        <w:t xml:space="preserve"> </w:t>
      </w:r>
      <w:r w:rsidRPr="003F3B94">
        <w:rPr>
          <w:rFonts w:ascii="mylotus" w:hAnsi="mylotus" w:hint="cs"/>
          <w:sz w:val="28"/>
          <w:rtl/>
        </w:rPr>
        <w:t>إنما</w:t>
      </w:r>
      <w:r w:rsidRPr="003F3B94">
        <w:rPr>
          <w:rFonts w:hint="cs"/>
          <w:sz w:val="28"/>
          <w:rtl/>
        </w:rPr>
        <w:t xml:space="preserve"> </w:t>
      </w:r>
      <w:r w:rsidRPr="003F3B94">
        <w:rPr>
          <w:rFonts w:ascii="mylotus" w:hAnsi="mylotus" w:hint="cs"/>
          <w:sz w:val="28"/>
          <w:rtl/>
        </w:rPr>
        <w:t>تُثبت</w:t>
      </w:r>
      <w:r w:rsidRPr="003F3B94">
        <w:rPr>
          <w:rFonts w:hint="cs"/>
          <w:sz w:val="28"/>
          <w:rtl/>
        </w:rPr>
        <w:t xml:space="preserve"> </w:t>
      </w:r>
      <w:r w:rsidRPr="003F3B94">
        <w:rPr>
          <w:rFonts w:ascii="mylotus" w:hAnsi="mylotus" w:hint="cs"/>
          <w:sz w:val="28"/>
          <w:rtl/>
        </w:rPr>
        <w:t>أن</w:t>
      </w:r>
      <w:r w:rsidRPr="003F3B94">
        <w:rPr>
          <w:rFonts w:hint="cs"/>
          <w:sz w:val="28"/>
          <w:rtl/>
        </w:rPr>
        <w:t xml:space="preserve"> </w:t>
      </w:r>
      <w:r w:rsidRPr="003F3B94">
        <w:rPr>
          <w:rFonts w:ascii="mylotus" w:hAnsi="mylotus" w:hint="cs"/>
          <w:sz w:val="28"/>
          <w:rtl/>
        </w:rPr>
        <w:t>خمس</w:t>
      </w:r>
      <w:r w:rsidRPr="003F3B94">
        <w:rPr>
          <w:rFonts w:hint="cs"/>
          <w:sz w:val="28"/>
          <w:rtl/>
        </w:rPr>
        <w:t xml:space="preserve"> </w:t>
      </w:r>
      <w:r w:rsidRPr="003F3B94">
        <w:rPr>
          <w:rFonts w:ascii="mylotus" w:hAnsi="mylotus" w:hint="cs"/>
          <w:sz w:val="28"/>
          <w:rtl/>
        </w:rPr>
        <w:t>الأرباح</w:t>
      </w:r>
      <w:r w:rsidRPr="003F3B94">
        <w:rPr>
          <w:rFonts w:hint="cs"/>
          <w:sz w:val="28"/>
          <w:rtl/>
        </w:rPr>
        <w:t xml:space="preserve"> </w:t>
      </w:r>
      <w:r w:rsidRPr="003F3B94">
        <w:rPr>
          <w:rFonts w:ascii="mylotus" w:hAnsi="mylotus" w:hint="cs"/>
          <w:sz w:val="28"/>
          <w:rtl/>
        </w:rPr>
        <w:t>متعلق</w:t>
      </w:r>
      <w:r w:rsidRPr="003F3B94">
        <w:rPr>
          <w:rFonts w:hint="cs"/>
          <w:sz w:val="28"/>
          <w:rtl/>
        </w:rPr>
        <w:t xml:space="preserve"> </w:t>
      </w:r>
      <w:r w:rsidRPr="003F3B94">
        <w:rPr>
          <w:rFonts w:ascii="mylotus" w:hAnsi="mylotus" w:hint="cs"/>
          <w:sz w:val="28"/>
          <w:rtl/>
        </w:rPr>
        <w:t>بالإمام</w:t>
      </w:r>
      <w:r w:rsidRPr="003F3B94">
        <w:rPr>
          <w:rFonts w:hint="cs"/>
          <w:sz w:val="28"/>
          <w:rtl/>
        </w:rPr>
        <w:t xml:space="preserve"> </w:t>
      </w:r>
      <w:r w:rsidRPr="003F3B94">
        <w:rPr>
          <w:rFonts w:ascii="mylotus" w:hAnsi="mylotus" w:hint="cs"/>
          <w:sz w:val="28"/>
          <w:rtl/>
        </w:rPr>
        <w:t>فقط</w:t>
      </w:r>
      <w:r w:rsidRPr="003F3B94">
        <w:rPr>
          <w:rFonts w:hint="cs"/>
          <w:sz w:val="28"/>
          <w:rtl/>
        </w:rPr>
        <w:t xml:space="preserve"> </w:t>
      </w:r>
      <w:r w:rsidRPr="003F3B94">
        <w:rPr>
          <w:rFonts w:ascii="mylotus" w:hAnsi="mylotus" w:hint="cs"/>
          <w:sz w:val="28"/>
          <w:rtl/>
        </w:rPr>
        <w:t>وليس</w:t>
      </w:r>
      <w:r w:rsidRPr="003F3B94">
        <w:rPr>
          <w:rFonts w:hint="cs"/>
          <w:sz w:val="28"/>
          <w:rtl/>
        </w:rPr>
        <w:t xml:space="preserve"> </w:t>
      </w:r>
      <w:r w:rsidRPr="003F3B94">
        <w:rPr>
          <w:rFonts w:ascii="mylotus" w:hAnsi="mylotus" w:hint="cs"/>
          <w:sz w:val="28"/>
          <w:rtl/>
        </w:rPr>
        <w:t>لغيره</w:t>
      </w:r>
      <w:r w:rsidRPr="003F3B94">
        <w:rPr>
          <w:rFonts w:hint="cs"/>
          <w:sz w:val="28"/>
          <w:rtl/>
        </w:rPr>
        <w:t xml:space="preserve"> </w:t>
      </w:r>
      <w:r w:rsidRPr="003F3B94">
        <w:rPr>
          <w:rFonts w:ascii="mylotus" w:hAnsi="mylotus" w:hint="cs"/>
          <w:sz w:val="28"/>
          <w:rtl/>
        </w:rPr>
        <w:t>أي</w:t>
      </w:r>
      <w:r w:rsidRPr="003F3B94">
        <w:rPr>
          <w:rFonts w:hint="cs"/>
          <w:sz w:val="28"/>
          <w:rtl/>
        </w:rPr>
        <w:t xml:space="preserve"> </w:t>
      </w:r>
      <w:r w:rsidRPr="003F3B94">
        <w:rPr>
          <w:rFonts w:ascii="mylotus" w:hAnsi="mylotus" w:hint="cs"/>
          <w:sz w:val="28"/>
          <w:rtl/>
        </w:rPr>
        <w:t>حق</w:t>
      </w:r>
      <w:r w:rsidRPr="003F3B94">
        <w:rPr>
          <w:rFonts w:hint="cs"/>
          <w:sz w:val="28"/>
          <w:rtl/>
        </w:rPr>
        <w:t xml:space="preserve"> فيه</w:t>
      </w:r>
      <w:r w:rsidR="00217AB4" w:rsidRPr="003F3B94">
        <w:rPr>
          <w:rFonts w:hint="cs"/>
          <w:sz w:val="28"/>
          <w:rtl/>
        </w:rPr>
        <w:t>.</w:t>
      </w:r>
      <w:r w:rsidRPr="003F3B94">
        <w:rPr>
          <w:rFonts w:hint="cs"/>
          <w:sz w:val="28"/>
          <w:rtl/>
        </w:rPr>
        <w:t xml:space="preserve"> </w:t>
      </w:r>
    </w:p>
    <w:p w:rsidR="005C664D" w:rsidRPr="003F3B94" w:rsidRDefault="005C664D" w:rsidP="003F3B94">
      <w:pPr>
        <w:pStyle w:val="a0"/>
        <w:rPr>
          <w:rFonts w:hint="cs"/>
          <w:rtl/>
        </w:rPr>
      </w:pPr>
      <w:r w:rsidRPr="003F3B94">
        <w:rPr>
          <w:rFonts w:hint="cs"/>
          <w:b/>
          <w:bCs/>
          <w:sz w:val="28"/>
          <w:rtl/>
        </w:rPr>
        <w:t>واليكم هذه الأحاديث الخمسة الأخرى</w:t>
      </w:r>
      <w:r w:rsidR="00217AB4" w:rsidRPr="003F3B94">
        <w:rPr>
          <w:rFonts w:hint="cs"/>
          <w:b/>
          <w:bCs/>
          <w:sz w:val="28"/>
          <w:rtl/>
        </w:rPr>
        <w:t>:</w:t>
      </w:r>
      <w:r w:rsidR="00147857" w:rsidRPr="003F3B94">
        <w:rPr>
          <w:rFonts w:hint="cs"/>
          <w:b/>
          <w:bCs/>
          <w:sz w:val="28"/>
          <w:rtl/>
        </w:rPr>
        <w:t xml:space="preserve"> </w:t>
      </w:r>
    </w:p>
    <w:p w:rsidR="005C664D" w:rsidRPr="003F3B94" w:rsidRDefault="005C664D" w:rsidP="003F3B94">
      <w:pPr>
        <w:pStyle w:val="a0"/>
        <w:rPr>
          <w:rFonts w:hint="cs"/>
          <w:rtl/>
        </w:rPr>
      </w:pPr>
      <w:r w:rsidRPr="003F3B94">
        <w:rPr>
          <w:rFonts w:hint="cs"/>
          <w:b/>
          <w:bCs/>
          <w:sz w:val="28"/>
          <w:rtl/>
        </w:rPr>
        <w:t>1</w:t>
      </w:r>
      <w:r w:rsidR="00FE2278" w:rsidRPr="003F3B94">
        <w:rPr>
          <w:rFonts w:hint="cs"/>
          <w:b/>
          <w:bCs/>
          <w:sz w:val="28"/>
          <w:rtl/>
        </w:rPr>
        <w:t>) الحديث الأول:</w:t>
      </w:r>
      <w:r w:rsidR="00FE2278" w:rsidRPr="003F3B94">
        <w:rPr>
          <w:rFonts w:hint="cs"/>
          <w:sz w:val="28"/>
          <w:rtl/>
        </w:rPr>
        <w:t xml:space="preserve"> </w:t>
      </w:r>
      <w:r w:rsidRPr="003F3B94">
        <w:rPr>
          <w:rFonts w:hint="cs"/>
          <w:sz w:val="28"/>
          <w:rtl/>
        </w:rPr>
        <w:t xml:space="preserve">حديثٌ رواه الشيخ الطوسي وحده أيضاً في كتابيه «التهذيب» </w:t>
      </w:r>
      <w:r w:rsidRPr="003F3B94">
        <w:rPr>
          <w:sz w:val="28"/>
          <w:rtl/>
        </w:rPr>
        <w:t>«</w:t>
      </w:r>
      <w:r w:rsidRPr="003F3B94">
        <w:rPr>
          <w:rFonts w:hint="cs"/>
          <w:sz w:val="28"/>
          <w:rtl/>
        </w:rPr>
        <w:t>والاستبصار</w:t>
      </w:r>
      <w:r w:rsidRPr="003F3B94">
        <w:rPr>
          <w:sz w:val="28"/>
          <w:rtl/>
        </w:rPr>
        <w:t>»</w:t>
      </w:r>
      <w:r w:rsidR="0041266B" w:rsidRPr="003F3B94">
        <w:rPr>
          <w:rFonts w:hint="cs"/>
          <w:sz w:val="28"/>
          <w:rtl/>
        </w:rPr>
        <w:t xml:space="preserve"> </w:t>
      </w:r>
      <w:r w:rsidRPr="003F3B94">
        <w:rPr>
          <w:rFonts w:hint="cs"/>
          <w:sz w:val="28"/>
          <w:rtl/>
        </w:rPr>
        <w:t>عن «</w:t>
      </w:r>
      <w:r w:rsidRPr="003F3B94">
        <w:rPr>
          <w:b/>
          <w:bCs/>
          <w:sz w:val="28"/>
          <w:rtl/>
        </w:rPr>
        <w:t>عَلِيِّ بْنِ مَهْزِيَارَ</w:t>
      </w:r>
      <w:r w:rsidRPr="003F3B94">
        <w:rPr>
          <w:rFonts w:hint="cs"/>
          <w:sz w:val="28"/>
          <w:rtl/>
        </w:rPr>
        <w:t xml:space="preserve">» </w:t>
      </w:r>
      <w:r w:rsidR="00217AB4" w:rsidRPr="003F3B94">
        <w:rPr>
          <w:rFonts w:hint="cs"/>
          <w:sz w:val="28"/>
          <w:rtl/>
        </w:rPr>
        <w:t>(</w:t>
      </w:r>
      <w:r w:rsidRPr="003F3B94">
        <w:rPr>
          <w:rFonts w:hint="cs"/>
          <w:sz w:val="28"/>
          <w:rtl/>
        </w:rPr>
        <w:t>بطل خُمْس أرباح المكاسب</w:t>
      </w:r>
      <w:r w:rsidR="00217AB4" w:rsidRPr="003F3B94">
        <w:rPr>
          <w:rFonts w:hint="cs"/>
          <w:sz w:val="28"/>
          <w:rtl/>
        </w:rPr>
        <w:t>)</w:t>
      </w:r>
      <w:r w:rsidRPr="003F3B94">
        <w:rPr>
          <w:rFonts w:hint="cs"/>
          <w:sz w:val="28"/>
          <w:rtl/>
        </w:rPr>
        <w:t xml:space="preserve"> وهو حديثٌ لا اعتبار له في رأي سائر الفقهاء والمحدثين قبل الشيخ الطوسي لذا لم يأتوا بحديثه في كتبهم ومسانيدهم</w:t>
      </w:r>
      <w:r w:rsidR="00217AB4" w:rsidRPr="003F3B94">
        <w:rPr>
          <w:rFonts w:hint="cs"/>
          <w:sz w:val="28"/>
          <w:rtl/>
        </w:rPr>
        <w:t>:</w:t>
      </w:r>
      <w:r w:rsidRPr="003F3B94">
        <w:rPr>
          <w:rFonts w:hint="cs"/>
          <w:sz w:val="28"/>
          <w:rtl/>
        </w:rPr>
        <w:t xml:space="preserve"> </w:t>
      </w:r>
      <w:r w:rsidR="00EF2588" w:rsidRPr="004408B9">
        <w:rPr>
          <w:rFonts w:cs="KFGQPC Uthman Taha Naskh" w:hint="cs"/>
          <w:sz w:val="28"/>
          <w:rtl/>
        </w:rPr>
        <w:t>«</w:t>
      </w:r>
      <w:r w:rsidRPr="004408B9">
        <w:rPr>
          <w:rFonts w:cs="KFGQPC Uthman Taha Naskh"/>
          <w:b/>
          <w:bCs/>
          <w:sz w:val="28"/>
          <w:rtl/>
        </w:rPr>
        <w:t>سَعْدُ بْنُ عَبْدِ اللهِ عَنْ أَبِي جَعْفَرٍ عَنْ عَلِيِّ بْنِ مَهْزِيَارَ عَنْ مُحَمَّدِ بْنِ الحَسَنِ الأَشْعَرِيِّ قَالَ</w:t>
      </w:r>
      <w:r w:rsidR="00217AB4" w:rsidRPr="004408B9">
        <w:rPr>
          <w:rFonts w:cs="KFGQPC Uthman Taha Naskh"/>
          <w:b/>
          <w:bCs/>
          <w:sz w:val="28"/>
          <w:rtl/>
        </w:rPr>
        <w:t>:</w:t>
      </w:r>
      <w:r w:rsidRPr="004408B9">
        <w:rPr>
          <w:rFonts w:cs="KFGQPC Uthman Taha Naskh"/>
          <w:b/>
          <w:bCs/>
          <w:sz w:val="28"/>
          <w:rtl/>
        </w:rPr>
        <w:t xml:space="preserve"> كَتَبَ بَعْضُ أَصْحَابِنَا إِلَى أَبِي جَعْفَرٍ الثَّانِي </w:t>
      </w:r>
      <w:r w:rsidR="00BC4BA9" w:rsidRPr="00BC4BA9">
        <w:rPr>
          <w:rFonts w:cs="CTraditional Arabic"/>
          <w:b/>
          <w:sz w:val="28"/>
          <w:rtl/>
        </w:rPr>
        <w:t>÷</w:t>
      </w:r>
      <w:r w:rsidRPr="004408B9">
        <w:rPr>
          <w:rFonts w:cs="KFGQPC Uthman Taha Naskh"/>
          <w:b/>
          <w:bCs/>
          <w:sz w:val="28"/>
          <w:rtl/>
        </w:rPr>
        <w:t xml:space="preserve"> أَخْبِرْنِي عَنِ الخُمُسِ أَعَ</w:t>
      </w:r>
      <w:r w:rsidR="0041266B" w:rsidRPr="004408B9">
        <w:rPr>
          <w:rFonts w:cs="KFGQPC Uthman Taha Naskh" w:hint="cs"/>
          <w:b/>
          <w:bCs/>
          <w:sz w:val="28"/>
          <w:rtl/>
        </w:rPr>
        <w:t>ـ</w:t>
      </w:r>
      <w:r w:rsidRPr="004408B9">
        <w:rPr>
          <w:rFonts w:cs="KFGQPC Uthman Taha Naskh"/>
          <w:b/>
          <w:bCs/>
          <w:sz w:val="28"/>
          <w:rtl/>
        </w:rPr>
        <w:t>لَى جَمِيعِ مَا يَسْتَفِيدُ الرَّجُلُ مِنْ قَلِيلٍ وكَثِيرٍ مِنْ جَمِيعِ الضُّرُوبِ وعَلَى الصُّنَّاعِ</w:t>
      </w:r>
      <w:r w:rsidR="00217AB4" w:rsidRPr="004408B9">
        <w:rPr>
          <w:rFonts w:cs="KFGQPC Uthman Taha Naskh" w:hint="cs"/>
          <w:b/>
          <w:bCs/>
          <w:sz w:val="28"/>
          <w:rtl/>
        </w:rPr>
        <w:t>؟</w:t>
      </w:r>
      <w:r w:rsidRPr="004408B9">
        <w:rPr>
          <w:rFonts w:cs="KFGQPC Uthman Taha Naskh"/>
          <w:b/>
          <w:bCs/>
          <w:sz w:val="28"/>
          <w:rtl/>
        </w:rPr>
        <w:t xml:space="preserve"> وكَيْفَ ذَلِكَ</w:t>
      </w:r>
      <w:r w:rsidR="00217AB4" w:rsidRPr="004408B9">
        <w:rPr>
          <w:rFonts w:cs="KFGQPC Uthman Taha Naskh" w:hint="cs"/>
          <w:b/>
          <w:bCs/>
          <w:sz w:val="28"/>
          <w:rtl/>
        </w:rPr>
        <w:t>؟</w:t>
      </w:r>
      <w:r w:rsidRPr="004408B9">
        <w:rPr>
          <w:rFonts w:cs="KFGQPC Uthman Taha Naskh"/>
          <w:b/>
          <w:bCs/>
          <w:sz w:val="28"/>
          <w:rtl/>
        </w:rPr>
        <w:t xml:space="preserve"> فَكَتَبَ بِخَطِّهِ</w:t>
      </w:r>
      <w:r w:rsidR="00217AB4" w:rsidRPr="004408B9">
        <w:rPr>
          <w:rFonts w:cs="KFGQPC Uthman Taha Naskh" w:hint="cs"/>
          <w:b/>
          <w:bCs/>
          <w:sz w:val="28"/>
          <w:rtl/>
        </w:rPr>
        <w:t>:</w:t>
      </w:r>
      <w:r w:rsidRPr="004408B9">
        <w:rPr>
          <w:rFonts w:cs="KFGQPC Uthman Taha Naskh"/>
          <w:b/>
          <w:bCs/>
          <w:sz w:val="28"/>
          <w:rtl/>
        </w:rPr>
        <w:t xml:space="preserve"> الخُمُسُ بَعْدَ المَئُونَةِ</w:t>
      </w:r>
      <w:r w:rsidR="00EF2588" w:rsidRPr="004408B9">
        <w:rPr>
          <w:rFonts w:cs="KFGQPC Uthman Taha Naskh" w:hint="cs"/>
          <w:sz w:val="28"/>
          <w:rtl/>
        </w:rPr>
        <w:t>»</w:t>
      </w:r>
      <w:r w:rsidR="0041266B" w:rsidRPr="0021507A">
        <w:rPr>
          <w:rFonts w:cs="Arabic11 BT"/>
          <w:sz w:val="28"/>
          <w:vertAlign w:val="superscript"/>
          <w:rtl/>
        </w:rPr>
        <w:t>(</w:t>
      </w:r>
      <w:r w:rsidR="0041266B" w:rsidRPr="0021507A">
        <w:rPr>
          <w:rStyle w:val="FootnoteReference"/>
          <w:rFonts w:cs="Arabic11 BT"/>
          <w:sz w:val="28"/>
          <w:rtl/>
        </w:rPr>
        <w:footnoteReference w:id="285"/>
      </w:r>
      <w:r w:rsidR="0041266B" w:rsidRPr="0021507A">
        <w:rPr>
          <w:rFonts w:cs="Arabic11 BT"/>
          <w:sz w:val="28"/>
          <w:vertAlign w:val="superscript"/>
          <w:rtl/>
        </w:rPr>
        <w:t>)</w:t>
      </w:r>
      <w:r w:rsidR="00217AB4" w:rsidRPr="003F3B94">
        <w:rPr>
          <w:rFonts w:hint="cs"/>
          <w:sz w:val="28"/>
          <w:rtl/>
        </w:rPr>
        <w:t>.</w:t>
      </w:r>
    </w:p>
    <w:p w:rsidR="005C664D" w:rsidRPr="003F3B94" w:rsidRDefault="005C664D" w:rsidP="003F3B94">
      <w:pPr>
        <w:pStyle w:val="a0"/>
        <w:rPr>
          <w:rFonts w:hint="cs"/>
          <w:rtl/>
        </w:rPr>
      </w:pPr>
      <w:r w:rsidRPr="003F3B94">
        <w:rPr>
          <w:rFonts w:hint="cs"/>
          <w:b/>
          <w:bCs/>
          <w:sz w:val="28"/>
          <w:rtl/>
        </w:rPr>
        <w:t>هذا الحديث مردود ولا يستحق الاعتناء به لعدة جهات</w:t>
      </w:r>
      <w:r w:rsidR="00217AB4" w:rsidRPr="003F3B94">
        <w:rPr>
          <w:rFonts w:hint="cs"/>
          <w:b/>
          <w:bCs/>
          <w:sz w:val="28"/>
          <w:rtl/>
        </w:rPr>
        <w:t>:</w:t>
      </w:r>
    </w:p>
    <w:p w:rsidR="005C664D" w:rsidRPr="003F3B94" w:rsidRDefault="005C664D" w:rsidP="003F3B94">
      <w:pPr>
        <w:pStyle w:val="a0"/>
        <w:rPr>
          <w:rFonts w:hint="cs"/>
          <w:rtl/>
        </w:rPr>
      </w:pPr>
      <w:r w:rsidRPr="003F3B94">
        <w:rPr>
          <w:rFonts w:hint="cs"/>
          <w:b/>
          <w:bCs/>
          <w:sz w:val="28"/>
          <w:rtl/>
        </w:rPr>
        <w:t>ألف</w:t>
      </w:r>
      <w:r w:rsidR="00217AB4" w:rsidRPr="003F3B94">
        <w:rPr>
          <w:rFonts w:hint="cs"/>
          <w:b/>
          <w:bCs/>
          <w:sz w:val="28"/>
          <w:rtl/>
        </w:rPr>
        <w:t>-</w:t>
      </w:r>
      <w:r w:rsidRPr="003F3B94">
        <w:rPr>
          <w:rFonts w:hint="cs"/>
          <w:b/>
          <w:bCs/>
          <w:sz w:val="28"/>
          <w:rtl/>
        </w:rPr>
        <w:t xml:space="preserve"> من ناحية سنده</w:t>
      </w:r>
      <w:r w:rsidR="00217AB4" w:rsidRPr="003F3B94">
        <w:rPr>
          <w:rFonts w:hint="cs"/>
          <w:b/>
          <w:bCs/>
          <w:sz w:val="28"/>
          <w:rtl/>
        </w:rPr>
        <w:t>:</w:t>
      </w:r>
      <w:r w:rsidRPr="003F3B94">
        <w:rPr>
          <w:rFonts w:hint="cs"/>
          <w:sz w:val="28"/>
          <w:rtl/>
        </w:rPr>
        <w:t xml:space="preserve"> أول رواته </w:t>
      </w:r>
      <w:r w:rsidRPr="003F3B94">
        <w:rPr>
          <w:rFonts w:ascii="Abo-thar" w:hAnsi="Abo-thar"/>
          <w:sz w:val="28"/>
          <w:rtl/>
        </w:rPr>
        <w:t>«</w:t>
      </w:r>
      <w:r w:rsidRPr="003F3B94">
        <w:rPr>
          <w:b/>
          <w:bCs/>
          <w:sz w:val="28"/>
          <w:rtl/>
        </w:rPr>
        <w:t xml:space="preserve">سَعْدُ بْنُ عَبْدِ اللهِ </w:t>
      </w:r>
      <w:r w:rsidRPr="003F3B94">
        <w:rPr>
          <w:rFonts w:ascii="Abo-thar" w:hAnsi="Abo-thar" w:hint="cs"/>
          <w:b/>
          <w:bCs/>
          <w:sz w:val="28"/>
          <w:rtl/>
        </w:rPr>
        <w:t>الأشعريُّ</w:t>
      </w:r>
      <w:r w:rsidRPr="003F3B94">
        <w:rPr>
          <w:rFonts w:ascii="Abo-thar" w:hAnsi="Abo-thar"/>
          <w:sz w:val="28"/>
          <w:rtl/>
        </w:rPr>
        <w:t>»</w:t>
      </w:r>
      <w:r w:rsidRPr="003F3B94">
        <w:rPr>
          <w:rFonts w:ascii="Abo-thar" w:hAnsi="Abo-thar" w:hint="cs"/>
          <w:sz w:val="28"/>
          <w:rtl/>
        </w:rPr>
        <w:t xml:space="preserve"> الذي بيَّنَّا خلال تحليلنا لرواة أسانيد ما سبق من أخبار أنه ليس بثِقَةٍ لدى أئمة الرجال</w:t>
      </w:r>
      <w:r w:rsidR="00217AB4" w:rsidRPr="003F3B94">
        <w:rPr>
          <w:rFonts w:ascii="Abo-thar" w:hAnsi="Abo-thar" w:hint="cs"/>
          <w:sz w:val="28"/>
          <w:rtl/>
        </w:rPr>
        <w:t>،</w:t>
      </w:r>
      <w:r w:rsidRPr="003F3B94">
        <w:rPr>
          <w:rFonts w:ascii="Abo-thar" w:hAnsi="Abo-thar" w:hint="cs"/>
          <w:sz w:val="28"/>
          <w:rtl/>
        </w:rPr>
        <w:t xml:space="preserve"> ولن </w:t>
      </w:r>
      <w:r w:rsidRPr="003F3B94">
        <w:rPr>
          <w:rFonts w:hint="cs"/>
          <w:sz w:val="28"/>
          <w:rtl/>
        </w:rPr>
        <w:t>نقول شيئاً بشأن «</w:t>
      </w:r>
      <w:r w:rsidRPr="003F3B94">
        <w:rPr>
          <w:b/>
          <w:bCs/>
          <w:sz w:val="28"/>
          <w:rtl/>
        </w:rPr>
        <w:t>عَلِيِّ بْنِ مَهْزِيَارَ</w:t>
      </w:r>
      <w:r w:rsidRPr="003F3B94">
        <w:rPr>
          <w:rFonts w:hint="cs"/>
          <w:sz w:val="28"/>
          <w:rtl/>
        </w:rPr>
        <w:t xml:space="preserve">» </w:t>
      </w:r>
      <w:r w:rsidR="00217AB4" w:rsidRPr="003F3B94">
        <w:rPr>
          <w:rFonts w:hint="cs"/>
          <w:sz w:val="28"/>
          <w:rtl/>
        </w:rPr>
        <w:t>(</w:t>
      </w:r>
      <w:r w:rsidRPr="003F3B94">
        <w:rPr>
          <w:rFonts w:hint="cs"/>
          <w:sz w:val="28"/>
          <w:rtl/>
        </w:rPr>
        <w:t>بطل خمس أرباح الكاسب</w:t>
      </w:r>
      <w:r w:rsidR="00217AB4" w:rsidRPr="003F3B94">
        <w:rPr>
          <w:rFonts w:hint="cs"/>
          <w:sz w:val="28"/>
          <w:rtl/>
        </w:rPr>
        <w:t>)</w:t>
      </w:r>
      <w:r w:rsidRPr="003F3B94">
        <w:rPr>
          <w:rFonts w:hint="cs"/>
          <w:sz w:val="28"/>
          <w:rtl/>
        </w:rPr>
        <w:t xml:space="preserve"> لأنه رغم جميع الأيمان التي أقسموها بشأن وثاقته</w:t>
      </w:r>
      <w:r w:rsidR="00217AB4" w:rsidRPr="003F3B94">
        <w:rPr>
          <w:rFonts w:hint="cs"/>
          <w:sz w:val="28"/>
          <w:rtl/>
        </w:rPr>
        <w:t>،</w:t>
      </w:r>
      <w:r w:rsidRPr="003F3B94">
        <w:rPr>
          <w:rFonts w:hint="cs"/>
          <w:sz w:val="28"/>
          <w:rtl/>
        </w:rPr>
        <w:t xml:space="preserve"> فإن علامات التهمة ظاهرة </w:t>
      </w:r>
      <w:r w:rsidR="0041266B" w:rsidRPr="003F3B94">
        <w:rPr>
          <w:rFonts w:hint="cs"/>
          <w:sz w:val="28"/>
          <w:rtl/>
        </w:rPr>
        <w:t>في</w:t>
      </w:r>
      <w:r w:rsidRPr="003F3B94">
        <w:rPr>
          <w:rFonts w:hint="cs"/>
          <w:sz w:val="28"/>
          <w:rtl/>
        </w:rPr>
        <w:t xml:space="preserve"> سلوكه</w:t>
      </w:r>
      <w:r w:rsidR="00217AB4" w:rsidRPr="003F3B94">
        <w:rPr>
          <w:rFonts w:hint="cs"/>
          <w:sz w:val="28"/>
          <w:rtl/>
        </w:rPr>
        <w:t>.</w:t>
      </w:r>
      <w:r w:rsidRPr="003F3B94">
        <w:rPr>
          <w:rFonts w:hint="cs"/>
          <w:sz w:val="28"/>
          <w:rtl/>
        </w:rPr>
        <w:t xml:space="preserve"> وعليٌّ بن مهزيار هذا روى الحديث عن </w:t>
      </w:r>
      <w:r w:rsidRPr="003F3B94">
        <w:rPr>
          <w:rFonts w:ascii="Abo-thar" w:hAnsi="Abo-thar"/>
          <w:sz w:val="28"/>
          <w:rtl/>
        </w:rPr>
        <w:t>«</w:t>
      </w:r>
      <w:r w:rsidRPr="003F3B94">
        <w:rPr>
          <w:b/>
          <w:bCs/>
          <w:sz w:val="28"/>
          <w:rtl/>
        </w:rPr>
        <w:t>مُحَمَّدِ بْنِ الحَسَنِ الأَشْعَرِيِّ</w:t>
      </w:r>
      <w:r w:rsidRPr="003F3B94">
        <w:rPr>
          <w:rFonts w:ascii="Abo-thar" w:hAnsi="Abo-thar"/>
          <w:sz w:val="28"/>
          <w:rtl/>
        </w:rPr>
        <w:t>»</w:t>
      </w:r>
      <w:r w:rsidRPr="003F3B94">
        <w:rPr>
          <w:rFonts w:ascii="Abo-thar" w:hAnsi="Abo-thar" w:hint="cs"/>
          <w:sz w:val="28"/>
          <w:rtl/>
        </w:rPr>
        <w:t xml:space="preserve"> الذي لا نعلم عن حاله شيئاً لحسن الحظ أو لسوء الحظ</w:t>
      </w:r>
      <w:r w:rsidR="00217AB4" w:rsidRPr="003F3B94">
        <w:rPr>
          <w:rFonts w:ascii="Abo-thar" w:hAnsi="Abo-thar" w:hint="cs"/>
          <w:sz w:val="28"/>
          <w:rtl/>
        </w:rPr>
        <w:t>،</w:t>
      </w:r>
      <w:r w:rsidRPr="003F3B94">
        <w:rPr>
          <w:rFonts w:ascii="Abo-thar" w:hAnsi="Abo-thar" w:hint="cs"/>
          <w:sz w:val="28"/>
          <w:rtl/>
        </w:rPr>
        <w:t xml:space="preserve"> فهو مجهول الحال</w:t>
      </w:r>
      <w:r w:rsidR="00217AB4" w:rsidRPr="003F3B94">
        <w:rPr>
          <w:rFonts w:ascii="Abo-thar" w:hAnsi="Abo-thar" w:hint="cs"/>
          <w:sz w:val="28"/>
          <w:rtl/>
        </w:rPr>
        <w:t>.</w:t>
      </w:r>
      <w:r w:rsidRPr="003F3B94">
        <w:rPr>
          <w:rFonts w:ascii="Abo-thar" w:hAnsi="Abo-thar" w:hint="cs"/>
          <w:sz w:val="28"/>
          <w:rtl/>
        </w:rPr>
        <w:t xml:space="preserve"> وإليكم ما قالوا بشأنه</w:t>
      </w:r>
      <w:r w:rsidR="00217AB4" w:rsidRPr="003F3B94">
        <w:rPr>
          <w:rFonts w:ascii="Abo-thar" w:hAnsi="Abo-thar" w:hint="cs"/>
          <w:sz w:val="28"/>
          <w:rtl/>
        </w:rPr>
        <w:t>:</w:t>
      </w:r>
    </w:p>
    <w:p w:rsidR="005C664D" w:rsidRPr="003F3B94" w:rsidRDefault="005C664D" w:rsidP="003F3B94">
      <w:pPr>
        <w:pStyle w:val="a0"/>
        <w:rPr>
          <w:rFonts w:hint="cs"/>
          <w:rtl/>
        </w:rPr>
      </w:pPr>
      <w:r w:rsidRPr="003F3B94">
        <w:rPr>
          <w:rFonts w:hint="cs"/>
          <w:sz w:val="28"/>
          <w:rtl/>
        </w:rPr>
        <w:t>الأول</w:t>
      </w:r>
      <w:r w:rsidR="00217AB4" w:rsidRPr="003F3B94">
        <w:rPr>
          <w:rFonts w:hint="cs"/>
          <w:sz w:val="28"/>
          <w:rtl/>
        </w:rPr>
        <w:t>:</w:t>
      </w:r>
      <w:r w:rsidRPr="003F3B94">
        <w:rPr>
          <w:rFonts w:hint="cs"/>
          <w:sz w:val="28"/>
          <w:rtl/>
        </w:rPr>
        <w:t xml:space="preserve"> أشكل المرحوم المقدَّس الأردبيلي في شرحه على «الإرشاد»</w:t>
      </w:r>
      <w:r w:rsidR="00217AB4" w:rsidRPr="0021507A">
        <w:rPr>
          <w:rFonts w:cs="Arabic11 BT"/>
          <w:b/>
          <w:sz w:val="28"/>
          <w:vertAlign w:val="superscript"/>
          <w:rtl/>
        </w:rPr>
        <w:t>(</w:t>
      </w:r>
      <w:r w:rsidRPr="0021507A">
        <w:rPr>
          <w:rStyle w:val="FootnoteReference"/>
          <w:rFonts w:cs="Arabic11 BT"/>
          <w:b/>
          <w:sz w:val="28"/>
          <w:rtl/>
        </w:rPr>
        <w:footnoteReference w:id="286"/>
      </w:r>
      <w:r w:rsidR="00217AB4" w:rsidRPr="0021507A">
        <w:rPr>
          <w:rFonts w:cs="Arabic11 BT"/>
          <w:b/>
          <w:sz w:val="28"/>
          <w:vertAlign w:val="superscript"/>
          <w:rtl/>
        </w:rPr>
        <w:t>)</w:t>
      </w:r>
      <w:r w:rsidRPr="003F3B94">
        <w:rPr>
          <w:sz w:val="28"/>
          <w:rtl/>
        </w:rPr>
        <w:t xml:space="preserve"> </w:t>
      </w:r>
      <w:r w:rsidRPr="003F3B94">
        <w:rPr>
          <w:rFonts w:hint="cs"/>
          <w:sz w:val="28"/>
          <w:rtl/>
        </w:rPr>
        <w:t>على صحة الحديث فقال</w:t>
      </w:r>
      <w:r w:rsidR="00217AB4" w:rsidRPr="003F3B94">
        <w:rPr>
          <w:rFonts w:hint="cs"/>
          <w:sz w:val="28"/>
          <w:rtl/>
        </w:rPr>
        <w:t>:</w:t>
      </w:r>
      <w:r w:rsidRPr="003F3B94">
        <w:rPr>
          <w:rFonts w:hint="cs"/>
          <w:sz w:val="28"/>
          <w:rtl/>
        </w:rPr>
        <w:t xml:space="preserve"> </w:t>
      </w:r>
      <w:r w:rsidR="00EF2588" w:rsidRPr="003F3B94">
        <w:rPr>
          <w:rFonts w:hint="cs"/>
          <w:sz w:val="28"/>
          <w:rtl/>
        </w:rPr>
        <w:t>«</w:t>
      </w:r>
      <w:r w:rsidRPr="003F3B94">
        <w:rPr>
          <w:b/>
          <w:bCs/>
          <w:sz w:val="28"/>
          <w:rtl/>
        </w:rPr>
        <w:t>وفي الصحة تأمل</w:t>
      </w:r>
      <w:r w:rsidR="00217AB4" w:rsidRPr="003F3B94">
        <w:rPr>
          <w:b/>
          <w:bCs/>
          <w:sz w:val="28"/>
          <w:rtl/>
        </w:rPr>
        <w:t>،</w:t>
      </w:r>
      <w:r w:rsidRPr="003F3B94">
        <w:rPr>
          <w:b/>
          <w:bCs/>
          <w:sz w:val="28"/>
          <w:rtl/>
        </w:rPr>
        <w:t xml:space="preserve"> لعدم ظهور محمد بن الحسن الأشعري</w:t>
      </w:r>
      <w:r w:rsidRPr="003F3B94">
        <w:rPr>
          <w:rFonts w:hint="cs"/>
          <w:sz w:val="28"/>
          <w:rtl/>
        </w:rPr>
        <w:t xml:space="preserve"> </w:t>
      </w:r>
      <w:r w:rsidR="00217AB4" w:rsidRPr="003F3B94">
        <w:rPr>
          <w:rFonts w:hint="cs"/>
          <w:sz w:val="28"/>
          <w:rtl/>
        </w:rPr>
        <w:t>(</w:t>
      </w:r>
      <w:r w:rsidRPr="003F3B94">
        <w:rPr>
          <w:rFonts w:hint="cs"/>
          <w:sz w:val="28"/>
          <w:rtl/>
        </w:rPr>
        <w:t>أي عدم معرفة هويته وحاله</w:t>
      </w:r>
      <w:r w:rsidR="00217AB4" w:rsidRPr="003F3B94">
        <w:rPr>
          <w:rFonts w:hint="cs"/>
          <w:sz w:val="28"/>
          <w:rtl/>
        </w:rPr>
        <w:t>)</w:t>
      </w:r>
      <w:r w:rsidR="00217AB4" w:rsidRPr="003F3B94">
        <w:rPr>
          <w:sz w:val="28"/>
          <w:rtl/>
        </w:rPr>
        <w:t>،</w:t>
      </w:r>
      <w:r w:rsidRPr="003F3B94">
        <w:rPr>
          <w:sz w:val="28"/>
          <w:rtl/>
        </w:rPr>
        <w:t xml:space="preserve"> </w:t>
      </w:r>
      <w:r w:rsidRPr="003F3B94">
        <w:rPr>
          <w:b/>
          <w:bCs/>
          <w:sz w:val="28"/>
          <w:rtl/>
        </w:rPr>
        <w:t>ويبع</w:t>
      </w:r>
      <w:r w:rsidR="0041266B" w:rsidRPr="003F3B94">
        <w:rPr>
          <w:rFonts w:hint="cs"/>
          <w:b/>
          <w:bCs/>
          <w:sz w:val="28"/>
          <w:rtl/>
        </w:rPr>
        <w:t>ـ</w:t>
      </w:r>
      <w:r w:rsidRPr="003F3B94">
        <w:rPr>
          <w:b/>
          <w:bCs/>
          <w:sz w:val="28"/>
          <w:rtl/>
        </w:rPr>
        <w:t>د كونه</w:t>
      </w:r>
      <w:r w:rsidR="00217AB4" w:rsidRPr="003F3B94">
        <w:rPr>
          <w:rFonts w:hint="cs"/>
          <w:b/>
          <w:bCs/>
          <w:sz w:val="28"/>
          <w:rtl/>
        </w:rPr>
        <w:t>:</w:t>
      </w:r>
      <w:r w:rsidRPr="003F3B94">
        <w:rPr>
          <w:b/>
          <w:bCs/>
          <w:sz w:val="28"/>
          <w:rtl/>
        </w:rPr>
        <w:t xml:space="preserve"> </w:t>
      </w:r>
      <w:r w:rsidR="00217AB4" w:rsidRPr="003F3B94">
        <w:rPr>
          <w:rFonts w:hint="cs"/>
          <w:b/>
          <w:bCs/>
          <w:sz w:val="28"/>
          <w:rtl/>
        </w:rPr>
        <w:t>(</w:t>
      </w:r>
      <w:r w:rsidRPr="003F3B94">
        <w:rPr>
          <w:rFonts w:hint="cs"/>
          <w:b/>
          <w:bCs/>
          <w:sz w:val="28"/>
          <w:rtl/>
        </w:rPr>
        <w:t>محمد بن الحسن</w:t>
      </w:r>
      <w:r w:rsidR="00217AB4" w:rsidRPr="003F3B94">
        <w:rPr>
          <w:rFonts w:hint="cs"/>
          <w:b/>
          <w:bCs/>
          <w:sz w:val="28"/>
          <w:rtl/>
        </w:rPr>
        <w:t>)</w:t>
      </w:r>
      <w:r w:rsidRPr="003F3B94">
        <w:rPr>
          <w:rFonts w:hint="cs"/>
          <w:b/>
          <w:bCs/>
          <w:sz w:val="28"/>
          <w:rtl/>
        </w:rPr>
        <w:t xml:space="preserve"> </w:t>
      </w:r>
      <w:r w:rsidRPr="003F3B94">
        <w:rPr>
          <w:b/>
          <w:bCs/>
          <w:sz w:val="28"/>
          <w:rtl/>
        </w:rPr>
        <w:t>الصفار لوقوع نقل ابن مهزيار عنه</w:t>
      </w:r>
      <w:r w:rsidR="00217AB4" w:rsidRPr="003F3B94">
        <w:rPr>
          <w:b/>
          <w:bCs/>
          <w:sz w:val="28"/>
          <w:rtl/>
        </w:rPr>
        <w:t>،</w:t>
      </w:r>
      <w:r w:rsidRPr="003F3B94">
        <w:rPr>
          <w:b/>
          <w:bCs/>
          <w:sz w:val="28"/>
          <w:rtl/>
        </w:rPr>
        <w:t xml:space="preserve"> و</w:t>
      </w:r>
      <w:r w:rsidRPr="003F3B94">
        <w:rPr>
          <w:rFonts w:hint="cs"/>
          <w:b/>
          <w:bCs/>
          <w:sz w:val="28"/>
          <w:rtl/>
        </w:rPr>
        <w:t>َ</w:t>
      </w:r>
      <w:r w:rsidRPr="003F3B94">
        <w:rPr>
          <w:b/>
          <w:bCs/>
          <w:sz w:val="28"/>
          <w:rtl/>
        </w:rPr>
        <w:t>ب</w:t>
      </w:r>
      <w:r w:rsidRPr="003F3B94">
        <w:rPr>
          <w:rFonts w:hint="cs"/>
          <w:b/>
          <w:bCs/>
          <w:sz w:val="28"/>
          <w:rtl/>
        </w:rPr>
        <w:t>ُ</w:t>
      </w:r>
      <w:r w:rsidRPr="003F3B94">
        <w:rPr>
          <w:b/>
          <w:bCs/>
          <w:sz w:val="28"/>
          <w:rtl/>
        </w:rPr>
        <w:t>ع</w:t>
      </w:r>
      <w:r w:rsidRPr="003F3B94">
        <w:rPr>
          <w:rFonts w:hint="cs"/>
          <w:b/>
          <w:bCs/>
          <w:sz w:val="28"/>
          <w:rtl/>
        </w:rPr>
        <w:t>ْ</w:t>
      </w:r>
      <w:r w:rsidRPr="003F3B94">
        <w:rPr>
          <w:b/>
          <w:bCs/>
          <w:sz w:val="28"/>
          <w:rtl/>
        </w:rPr>
        <w:t xml:space="preserve">د نقله عنه </w:t>
      </w:r>
      <w:r w:rsidR="00217AB4" w:rsidRPr="003F3B94">
        <w:rPr>
          <w:rFonts w:hint="cs"/>
          <w:sz w:val="28"/>
          <w:rtl/>
        </w:rPr>
        <w:t>(</w:t>
      </w:r>
      <w:r w:rsidRPr="003F3B94">
        <w:rPr>
          <w:rFonts w:hint="cs"/>
          <w:sz w:val="28"/>
          <w:rtl/>
        </w:rPr>
        <w:t>لأن ابن مهزيار متقدم على الصفار</w:t>
      </w:r>
      <w:r w:rsidR="00217AB4" w:rsidRPr="003F3B94">
        <w:rPr>
          <w:rFonts w:hint="cs"/>
          <w:sz w:val="28"/>
          <w:rtl/>
        </w:rPr>
        <w:t>)</w:t>
      </w:r>
      <w:r w:rsidR="00217AB4" w:rsidRPr="003F3B94">
        <w:rPr>
          <w:b/>
          <w:bCs/>
          <w:sz w:val="28"/>
          <w:rtl/>
        </w:rPr>
        <w:t>،</w:t>
      </w:r>
      <w:r w:rsidRPr="003F3B94">
        <w:rPr>
          <w:b/>
          <w:bCs/>
          <w:sz w:val="28"/>
          <w:rtl/>
        </w:rPr>
        <w:t xml:space="preserve"> مع عدم شهرته </w:t>
      </w:r>
      <w:r w:rsidR="00217AB4" w:rsidRPr="003F3B94">
        <w:rPr>
          <w:rFonts w:hint="cs"/>
          <w:sz w:val="28"/>
          <w:rtl/>
        </w:rPr>
        <w:t>(</w:t>
      </w:r>
      <w:r w:rsidRPr="003F3B94">
        <w:rPr>
          <w:rFonts w:hint="cs"/>
          <w:sz w:val="28"/>
          <w:rtl/>
        </w:rPr>
        <w:t>أي شهرة محمد بن الحسن الصفار</w:t>
      </w:r>
      <w:r w:rsidR="00217AB4" w:rsidRPr="003F3B94">
        <w:rPr>
          <w:rFonts w:hint="cs"/>
          <w:sz w:val="28"/>
          <w:rtl/>
        </w:rPr>
        <w:t>)</w:t>
      </w:r>
      <w:r w:rsidRPr="003F3B94">
        <w:rPr>
          <w:rFonts w:hint="cs"/>
          <w:sz w:val="28"/>
          <w:rtl/>
        </w:rPr>
        <w:t xml:space="preserve"> </w:t>
      </w:r>
      <w:r w:rsidRPr="003F3B94">
        <w:rPr>
          <w:b/>
          <w:bCs/>
          <w:sz w:val="28"/>
          <w:rtl/>
        </w:rPr>
        <w:t>بهذا اللقب</w:t>
      </w:r>
      <w:r w:rsidRPr="003F3B94">
        <w:rPr>
          <w:rFonts w:hint="cs"/>
          <w:sz w:val="28"/>
          <w:rtl/>
        </w:rPr>
        <w:t xml:space="preserve"> </w:t>
      </w:r>
      <w:r w:rsidR="00217AB4" w:rsidRPr="003F3B94">
        <w:rPr>
          <w:rFonts w:hint="cs"/>
          <w:sz w:val="28"/>
          <w:rtl/>
        </w:rPr>
        <w:t>(</w:t>
      </w:r>
      <w:r w:rsidRPr="003F3B94">
        <w:rPr>
          <w:rFonts w:hint="cs"/>
          <w:sz w:val="28"/>
          <w:rtl/>
        </w:rPr>
        <w:t>أي بلقب الأشعري</w:t>
      </w:r>
      <w:r w:rsidR="00217AB4" w:rsidRPr="003F3B94">
        <w:rPr>
          <w:rFonts w:hint="cs"/>
          <w:b/>
          <w:bCs/>
          <w:sz w:val="28"/>
          <w:rtl/>
        </w:rPr>
        <w:t>)</w:t>
      </w:r>
      <w:r w:rsidR="00217AB4" w:rsidRPr="003F3B94">
        <w:rPr>
          <w:b/>
          <w:bCs/>
          <w:sz w:val="28"/>
          <w:rtl/>
        </w:rPr>
        <w:t>،</w:t>
      </w:r>
      <w:r w:rsidRPr="003F3B94">
        <w:rPr>
          <w:b/>
          <w:bCs/>
          <w:sz w:val="28"/>
          <w:rtl/>
        </w:rPr>
        <w:t xml:space="preserve"> بل يكتفي بابن الحسن أو الصفار</w:t>
      </w:r>
      <w:r w:rsidR="00217AB4" w:rsidRPr="003F3B94">
        <w:rPr>
          <w:b/>
          <w:bCs/>
          <w:sz w:val="28"/>
          <w:rtl/>
        </w:rPr>
        <w:t>،</w:t>
      </w:r>
      <w:r w:rsidRPr="003F3B94">
        <w:rPr>
          <w:b/>
          <w:bCs/>
          <w:sz w:val="28"/>
          <w:rtl/>
        </w:rPr>
        <w:t xml:space="preserve"> ولهذا ما قال في المختلف</w:t>
      </w:r>
      <w:r w:rsidR="00217AB4" w:rsidRPr="003F3B94">
        <w:rPr>
          <w:b/>
          <w:bCs/>
          <w:sz w:val="28"/>
          <w:rtl/>
        </w:rPr>
        <w:t>:</w:t>
      </w:r>
      <w:r w:rsidRPr="003F3B94">
        <w:rPr>
          <w:b/>
          <w:bCs/>
          <w:sz w:val="28"/>
          <w:rtl/>
        </w:rPr>
        <w:t xml:space="preserve"> </w:t>
      </w:r>
      <w:r w:rsidR="00217AB4" w:rsidRPr="003F3B94">
        <w:rPr>
          <w:b/>
          <w:bCs/>
          <w:sz w:val="28"/>
          <w:rtl/>
        </w:rPr>
        <w:t>(</w:t>
      </w:r>
      <w:r w:rsidRPr="003F3B94">
        <w:rPr>
          <w:b/>
          <w:bCs/>
          <w:sz w:val="28"/>
          <w:rtl/>
        </w:rPr>
        <w:t>صحيحة محمد</w:t>
      </w:r>
      <w:r w:rsidR="00217AB4" w:rsidRPr="003F3B94">
        <w:rPr>
          <w:b/>
          <w:bCs/>
          <w:sz w:val="28"/>
          <w:rtl/>
        </w:rPr>
        <w:t>)</w:t>
      </w:r>
      <w:r w:rsidRPr="003F3B94">
        <w:rPr>
          <w:b/>
          <w:bCs/>
          <w:sz w:val="28"/>
          <w:rtl/>
        </w:rPr>
        <w:t xml:space="preserve"> بل قال</w:t>
      </w:r>
      <w:r w:rsidR="00217AB4" w:rsidRPr="003F3B94">
        <w:rPr>
          <w:b/>
          <w:bCs/>
          <w:sz w:val="28"/>
          <w:rtl/>
        </w:rPr>
        <w:t>:</w:t>
      </w:r>
      <w:r w:rsidRPr="003F3B94">
        <w:rPr>
          <w:b/>
          <w:bCs/>
          <w:sz w:val="28"/>
          <w:rtl/>
        </w:rPr>
        <w:t xml:space="preserve"> </w:t>
      </w:r>
      <w:r w:rsidR="00217AB4" w:rsidRPr="003F3B94">
        <w:rPr>
          <w:b/>
          <w:bCs/>
          <w:sz w:val="28"/>
          <w:rtl/>
        </w:rPr>
        <w:t>(</w:t>
      </w:r>
      <w:r w:rsidRPr="003F3B94">
        <w:rPr>
          <w:b/>
          <w:bCs/>
          <w:sz w:val="28"/>
          <w:rtl/>
        </w:rPr>
        <w:t>رواية محمد</w:t>
      </w:r>
      <w:r w:rsidR="00EF2588" w:rsidRPr="003F3B94">
        <w:rPr>
          <w:b/>
          <w:bCs/>
          <w:sz w:val="28"/>
          <w:rtl/>
        </w:rPr>
        <w:t>»</w:t>
      </w:r>
      <w:r w:rsidR="00217AB4" w:rsidRPr="003F3B94">
        <w:rPr>
          <w:rFonts w:hint="cs"/>
          <w:sz w:val="28"/>
          <w:rtl/>
        </w:rPr>
        <w:t>)،</w:t>
      </w:r>
      <w:r w:rsidRPr="003F3B94">
        <w:rPr>
          <w:rFonts w:hint="cs"/>
          <w:sz w:val="28"/>
          <w:rtl/>
        </w:rPr>
        <w:t xml:space="preserve"> ثم قال المرحوم المقدس الأردبيلي</w:t>
      </w:r>
      <w:r w:rsidR="00217AB4" w:rsidRPr="003F3B94">
        <w:rPr>
          <w:rFonts w:hint="cs"/>
          <w:sz w:val="28"/>
          <w:rtl/>
        </w:rPr>
        <w:t>:</w:t>
      </w:r>
      <w:r w:rsidRPr="003F3B94">
        <w:rPr>
          <w:rFonts w:hint="cs"/>
          <w:sz w:val="28"/>
          <w:rtl/>
        </w:rPr>
        <w:t xml:space="preserve"> </w:t>
      </w:r>
      <w:r w:rsidR="00EF2588" w:rsidRPr="003F3B94">
        <w:rPr>
          <w:rFonts w:hint="cs"/>
          <w:sz w:val="28"/>
          <w:rtl/>
        </w:rPr>
        <w:t>«</w:t>
      </w:r>
      <w:r w:rsidRPr="003F3B94">
        <w:rPr>
          <w:b/>
          <w:bCs/>
          <w:sz w:val="28"/>
          <w:rtl/>
        </w:rPr>
        <w:t>والدلالة أيضا</w:t>
      </w:r>
      <w:r w:rsidRPr="003F3B94">
        <w:rPr>
          <w:rFonts w:hint="cs"/>
          <w:b/>
          <w:bCs/>
          <w:sz w:val="28"/>
          <w:rtl/>
        </w:rPr>
        <w:t>ً</w:t>
      </w:r>
      <w:r w:rsidRPr="003F3B94">
        <w:rPr>
          <w:b/>
          <w:bCs/>
          <w:sz w:val="28"/>
          <w:rtl/>
        </w:rPr>
        <w:t xml:space="preserve"> غير صريحة</w:t>
      </w:r>
      <w:r w:rsidR="00217AB4" w:rsidRPr="003F3B94">
        <w:rPr>
          <w:b/>
          <w:bCs/>
          <w:sz w:val="28"/>
          <w:rtl/>
        </w:rPr>
        <w:t>،</w:t>
      </w:r>
      <w:r w:rsidRPr="003F3B94">
        <w:rPr>
          <w:b/>
          <w:bCs/>
          <w:sz w:val="28"/>
          <w:rtl/>
        </w:rPr>
        <w:t xml:space="preserve"> وهو ظاهر</w:t>
      </w:r>
      <w:r w:rsidR="00F456DF" w:rsidRPr="003F3B94">
        <w:rPr>
          <w:b/>
          <w:bCs/>
          <w:sz w:val="28"/>
          <w:rtl/>
        </w:rPr>
        <w:t>»</w:t>
      </w:r>
      <w:r w:rsidR="0041266B" w:rsidRPr="0021507A">
        <w:rPr>
          <w:rFonts w:cs="Arabic11 BT"/>
          <w:sz w:val="28"/>
          <w:vertAlign w:val="superscript"/>
          <w:rtl/>
        </w:rPr>
        <w:t>(</w:t>
      </w:r>
      <w:r w:rsidR="0041266B" w:rsidRPr="0021507A">
        <w:rPr>
          <w:rStyle w:val="FootnoteReference"/>
          <w:rFonts w:cs="Arabic11 BT"/>
          <w:sz w:val="28"/>
          <w:rtl/>
        </w:rPr>
        <w:footnoteReference w:id="287"/>
      </w:r>
      <w:r w:rsidR="0041266B" w:rsidRPr="0021507A">
        <w:rPr>
          <w:rFonts w:cs="Arabic11 BT"/>
          <w:sz w:val="28"/>
          <w:vertAlign w:val="superscript"/>
          <w:rtl/>
        </w:rPr>
        <w:t>)</w:t>
      </w:r>
      <w:r w:rsidRPr="003F3B94">
        <w:rPr>
          <w:rFonts w:hint="cs"/>
          <w:sz w:val="28"/>
          <w:rtl/>
        </w:rPr>
        <w:t xml:space="preserve"> أي أن دلالة الرواية غير واضحة ولا تُصرِّح بمراد القائل</w:t>
      </w:r>
      <w:r w:rsidR="00217AB4" w:rsidRPr="003F3B94">
        <w:rPr>
          <w:rFonts w:hint="cs"/>
          <w:sz w:val="28"/>
          <w:rtl/>
        </w:rPr>
        <w:t>،</w:t>
      </w:r>
      <w:r w:rsidRPr="003F3B94">
        <w:rPr>
          <w:rFonts w:hint="cs"/>
          <w:sz w:val="28"/>
          <w:rtl/>
        </w:rPr>
        <w:t xml:space="preserve"> فلا يُدرى ما قصده</w:t>
      </w:r>
      <w:r w:rsidR="00217AB4" w:rsidRPr="003F3B94">
        <w:rPr>
          <w:rFonts w:hint="cs"/>
          <w:sz w:val="28"/>
          <w:rtl/>
        </w:rPr>
        <w:t>؟.</w:t>
      </w:r>
    </w:p>
    <w:p w:rsidR="005C664D" w:rsidRPr="003F3B94" w:rsidRDefault="005C664D" w:rsidP="003F3B94">
      <w:pPr>
        <w:pStyle w:val="a0"/>
        <w:rPr>
          <w:rFonts w:hint="cs"/>
          <w:rtl/>
        </w:rPr>
      </w:pPr>
      <w:r w:rsidRPr="003F3B94">
        <w:rPr>
          <w:rFonts w:hint="cs"/>
          <w:sz w:val="28"/>
          <w:rtl/>
        </w:rPr>
        <w:t>الثاني</w:t>
      </w:r>
      <w:r w:rsidR="00217AB4" w:rsidRPr="003F3B94">
        <w:rPr>
          <w:rFonts w:hint="cs"/>
          <w:sz w:val="28"/>
          <w:rtl/>
        </w:rPr>
        <w:t>:</w:t>
      </w:r>
      <w:r w:rsidRPr="003F3B94">
        <w:rPr>
          <w:rFonts w:hint="cs"/>
          <w:sz w:val="28"/>
          <w:rtl/>
        </w:rPr>
        <w:t xml:space="preserve"> قال صاحب المدارك</w:t>
      </w:r>
      <w:r w:rsidR="00217AB4" w:rsidRPr="0021507A">
        <w:rPr>
          <w:rFonts w:cs="Arabic11 BT"/>
          <w:b/>
          <w:sz w:val="28"/>
          <w:vertAlign w:val="superscript"/>
          <w:rtl/>
        </w:rPr>
        <w:t>(</w:t>
      </w:r>
      <w:r w:rsidRPr="0021507A">
        <w:rPr>
          <w:rStyle w:val="FootnoteReference"/>
          <w:rFonts w:cs="Arabic11 BT"/>
          <w:b/>
          <w:sz w:val="28"/>
          <w:rtl/>
        </w:rPr>
        <w:footnoteReference w:id="288"/>
      </w:r>
      <w:r w:rsidR="00217AB4" w:rsidRPr="0021507A">
        <w:rPr>
          <w:rFonts w:cs="Arabic11 BT"/>
          <w:b/>
          <w:sz w:val="28"/>
          <w:vertAlign w:val="superscript"/>
          <w:rtl/>
        </w:rPr>
        <w:t>)</w:t>
      </w:r>
      <w:r w:rsidR="00147857" w:rsidRPr="003F3B94">
        <w:rPr>
          <w:sz w:val="28"/>
          <w:rtl/>
        </w:rPr>
        <w:t xml:space="preserve"> </w:t>
      </w:r>
      <w:r w:rsidRPr="003F3B94">
        <w:rPr>
          <w:rFonts w:hint="cs"/>
          <w:sz w:val="28"/>
          <w:rtl/>
        </w:rPr>
        <w:t>أيضاً ذيل هذه الرواية</w:t>
      </w:r>
      <w:r w:rsidR="00217AB4" w:rsidRPr="003F3B94">
        <w:rPr>
          <w:rFonts w:hint="cs"/>
          <w:sz w:val="28"/>
          <w:rtl/>
        </w:rPr>
        <w:t>:</w:t>
      </w:r>
      <w:r w:rsidRPr="003F3B94">
        <w:rPr>
          <w:rFonts w:hint="cs"/>
          <w:sz w:val="28"/>
          <w:rtl/>
        </w:rPr>
        <w:t xml:space="preserve"> </w:t>
      </w:r>
      <w:r w:rsidR="00EF2588" w:rsidRPr="003F3B94">
        <w:rPr>
          <w:rFonts w:hint="cs"/>
          <w:sz w:val="28"/>
          <w:rtl/>
        </w:rPr>
        <w:t>«</w:t>
      </w:r>
      <w:r w:rsidRPr="003F3B94">
        <w:rPr>
          <w:rFonts w:hint="cs"/>
          <w:b/>
          <w:bCs/>
          <w:sz w:val="28"/>
          <w:rtl/>
        </w:rPr>
        <w:t>وأما الرواية الثالثة</w:t>
      </w:r>
      <w:r w:rsidR="00217AB4" w:rsidRPr="003F3B94">
        <w:rPr>
          <w:rFonts w:hint="cs"/>
          <w:b/>
          <w:bCs/>
          <w:sz w:val="28"/>
          <w:rtl/>
        </w:rPr>
        <w:t>،</w:t>
      </w:r>
      <w:r w:rsidRPr="003F3B94">
        <w:rPr>
          <w:rFonts w:hint="cs"/>
          <w:b/>
          <w:bCs/>
          <w:sz w:val="28"/>
          <w:rtl/>
        </w:rPr>
        <w:t xml:space="preserve"> فلأن راويها وهو محمد بن الحسن الأشعري مجهول</w:t>
      </w:r>
      <w:r w:rsidR="00217AB4" w:rsidRPr="003F3B94">
        <w:rPr>
          <w:rFonts w:hint="cs"/>
          <w:b/>
          <w:bCs/>
          <w:sz w:val="28"/>
          <w:rtl/>
        </w:rPr>
        <w:t>،</w:t>
      </w:r>
      <w:r w:rsidRPr="003F3B94">
        <w:rPr>
          <w:rFonts w:hint="cs"/>
          <w:b/>
          <w:bCs/>
          <w:sz w:val="28"/>
          <w:rtl/>
        </w:rPr>
        <w:t xml:space="preserve"> فلا يمكن التعويل على روايته</w:t>
      </w:r>
      <w:r w:rsidR="00EF2588" w:rsidRPr="003F3B94">
        <w:rPr>
          <w:rFonts w:hint="cs"/>
          <w:sz w:val="28"/>
          <w:rtl/>
        </w:rPr>
        <w:t>»</w:t>
      </w:r>
      <w:r w:rsidR="0041266B" w:rsidRPr="0021507A">
        <w:rPr>
          <w:rFonts w:cs="Arabic11 BT"/>
          <w:sz w:val="28"/>
          <w:vertAlign w:val="superscript"/>
          <w:rtl/>
        </w:rPr>
        <w:t>(</w:t>
      </w:r>
      <w:r w:rsidR="0041266B" w:rsidRPr="0021507A">
        <w:rPr>
          <w:rStyle w:val="FootnoteReference"/>
          <w:rFonts w:cs="Arabic11 BT"/>
          <w:sz w:val="28"/>
          <w:rtl/>
        </w:rPr>
        <w:footnoteReference w:id="289"/>
      </w:r>
      <w:r w:rsidR="0041266B" w:rsidRPr="0021507A">
        <w:rPr>
          <w:rFonts w:cs="Arabic11 BT"/>
          <w:sz w:val="28"/>
          <w:vertAlign w:val="superscript"/>
          <w:rtl/>
        </w:rPr>
        <w:t>)</w:t>
      </w:r>
      <w:r w:rsidR="00217AB4" w:rsidRPr="003F3B94">
        <w:rPr>
          <w:rFonts w:hint="cs"/>
          <w:sz w:val="28"/>
          <w:rtl/>
        </w:rPr>
        <w:t>.</w:t>
      </w:r>
    </w:p>
    <w:p w:rsidR="005C664D" w:rsidRPr="003F3B94" w:rsidRDefault="005C664D" w:rsidP="003F3B94">
      <w:pPr>
        <w:pStyle w:val="a0"/>
        <w:rPr>
          <w:rFonts w:hint="cs"/>
          <w:rtl/>
        </w:rPr>
      </w:pPr>
      <w:r w:rsidRPr="003F3B94">
        <w:rPr>
          <w:rFonts w:hint="cs"/>
          <w:sz w:val="28"/>
          <w:rtl/>
        </w:rPr>
        <w:t>الثالث</w:t>
      </w:r>
      <w:r w:rsidR="00217AB4" w:rsidRPr="003F3B94">
        <w:rPr>
          <w:rFonts w:hint="cs"/>
          <w:sz w:val="28"/>
          <w:rtl/>
        </w:rPr>
        <w:t>:</w:t>
      </w:r>
      <w:r w:rsidRPr="003F3B94">
        <w:rPr>
          <w:rFonts w:hint="cs"/>
          <w:sz w:val="28"/>
          <w:rtl/>
        </w:rPr>
        <w:t xml:space="preserve"> عدَّ المرحوم المحقق السبزواري في كتابه </w:t>
      </w:r>
      <w:r w:rsidRPr="003F3B94">
        <w:rPr>
          <w:rFonts w:ascii="Abo-thar" w:hAnsi="Abo-thar"/>
          <w:sz w:val="28"/>
          <w:rtl/>
        </w:rPr>
        <w:t>«</w:t>
      </w:r>
      <w:r w:rsidRPr="003F3B94">
        <w:rPr>
          <w:rFonts w:ascii="Abo-thar" w:hAnsi="Abo-thar" w:hint="cs"/>
          <w:sz w:val="28"/>
          <w:rtl/>
        </w:rPr>
        <w:t>ذخيرة المعاد</w:t>
      </w:r>
      <w:r w:rsidRPr="003F3B94">
        <w:rPr>
          <w:rFonts w:ascii="Abo-thar" w:hAnsi="Abo-thar"/>
          <w:sz w:val="28"/>
          <w:rtl/>
        </w:rPr>
        <w:t>»</w:t>
      </w:r>
      <w:r w:rsidRPr="003F3B94">
        <w:rPr>
          <w:rFonts w:ascii="Abo-thar" w:hAnsi="Abo-thar" w:hint="cs"/>
          <w:sz w:val="28"/>
          <w:rtl/>
        </w:rPr>
        <w:t xml:space="preserve"> </w:t>
      </w:r>
      <w:r w:rsidRPr="003F3B94">
        <w:rPr>
          <w:rFonts w:ascii="Abo-thar" w:hAnsi="Abo-thar"/>
          <w:sz w:val="28"/>
          <w:rtl/>
        </w:rPr>
        <w:t>«</w:t>
      </w:r>
      <w:r w:rsidRPr="003F3B94">
        <w:rPr>
          <w:rFonts w:ascii="Abo-thar" w:hAnsi="Abo-thar" w:hint="cs"/>
          <w:sz w:val="28"/>
          <w:rtl/>
        </w:rPr>
        <w:t>محمد بن الحسن الأشعري</w:t>
      </w:r>
      <w:r w:rsidRPr="003F3B94">
        <w:rPr>
          <w:rFonts w:ascii="Abo-thar" w:hAnsi="Abo-thar"/>
          <w:sz w:val="28"/>
          <w:rtl/>
        </w:rPr>
        <w:t>»</w:t>
      </w:r>
      <w:r w:rsidRPr="003F3B94">
        <w:rPr>
          <w:rFonts w:ascii="Abo-thar" w:hAnsi="Abo-thar" w:hint="cs"/>
          <w:sz w:val="28"/>
          <w:rtl/>
        </w:rPr>
        <w:t xml:space="preserve"> مجهولاً واعتبر هذه الرواية مردودة نظراً لجهالة راويها</w:t>
      </w:r>
      <w:r w:rsidR="00217AB4" w:rsidRPr="003F3B94">
        <w:rPr>
          <w:rFonts w:ascii="Abo-thar" w:hAnsi="Abo-thar" w:hint="cs"/>
          <w:sz w:val="28"/>
          <w:rtl/>
        </w:rPr>
        <w:t>.</w:t>
      </w:r>
      <w:r w:rsidRPr="003F3B94">
        <w:rPr>
          <w:rFonts w:ascii="Abo-thar" w:hAnsi="Abo-thar" w:hint="cs"/>
          <w:sz w:val="28"/>
          <w:rtl/>
        </w:rPr>
        <w:t xml:space="preserve"> ويُضاف إلى ذلك أن هذا الراوي الذي هو مجهول في حد ذاته روى روايته عن مجهولين أيضاً بقوله</w:t>
      </w:r>
      <w:r w:rsidR="00217AB4" w:rsidRPr="003F3B94">
        <w:rPr>
          <w:rFonts w:ascii="Abo-thar" w:hAnsi="Abo-thar" w:hint="cs"/>
          <w:sz w:val="28"/>
          <w:rtl/>
        </w:rPr>
        <w:t>:</w:t>
      </w:r>
      <w:r w:rsidRPr="003F3B94">
        <w:rPr>
          <w:rFonts w:ascii="Abo-thar" w:hAnsi="Abo-thar" w:hint="cs"/>
          <w:sz w:val="28"/>
          <w:rtl/>
        </w:rPr>
        <w:t xml:space="preserve"> </w:t>
      </w:r>
      <w:r w:rsidRPr="003F3B94">
        <w:rPr>
          <w:rFonts w:ascii="Abo-thar" w:hAnsi="Abo-thar"/>
          <w:sz w:val="28"/>
          <w:rtl/>
        </w:rPr>
        <w:t>«</w:t>
      </w:r>
      <w:r w:rsidRPr="003F3B94">
        <w:rPr>
          <w:rFonts w:ascii="Abo-thar" w:hAnsi="Abo-thar" w:hint="cs"/>
          <w:b/>
          <w:bCs/>
          <w:sz w:val="28"/>
          <w:rtl/>
        </w:rPr>
        <w:t>كتب بعض أصحابنا</w:t>
      </w:r>
      <w:r w:rsidR="00217AB4" w:rsidRPr="003F3B94">
        <w:rPr>
          <w:rFonts w:ascii="Abo-thar" w:hAnsi="Abo-thar" w:hint="cs"/>
          <w:b/>
          <w:bCs/>
          <w:sz w:val="28"/>
          <w:rtl/>
        </w:rPr>
        <w:t>..</w:t>
      </w:r>
      <w:r w:rsidRPr="003F3B94">
        <w:rPr>
          <w:rFonts w:ascii="Abo-thar" w:hAnsi="Abo-thar"/>
          <w:sz w:val="28"/>
          <w:rtl/>
        </w:rPr>
        <w:t>»</w:t>
      </w:r>
      <w:r w:rsidR="00217AB4" w:rsidRPr="003F3B94">
        <w:rPr>
          <w:rFonts w:ascii="Abo-thar" w:hAnsi="Abo-thar" w:hint="cs"/>
          <w:sz w:val="28"/>
          <w:rtl/>
        </w:rPr>
        <w:t>!</w:t>
      </w:r>
      <w:r w:rsidRPr="003F3B94">
        <w:rPr>
          <w:rFonts w:ascii="Abo-thar" w:hAnsi="Abo-thar" w:hint="cs"/>
          <w:sz w:val="28"/>
          <w:rtl/>
        </w:rPr>
        <w:t xml:space="preserve"> فحتى لو نجا هذا الحديث من جهالة راويه</w:t>
      </w:r>
      <w:r w:rsidR="00217AB4" w:rsidRPr="003F3B94">
        <w:rPr>
          <w:rFonts w:ascii="Abo-thar" w:hAnsi="Abo-thar" w:hint="cs"/>
          <w:sz w:val="28"/>
          <w:rtl/>
        </w:rPr>
        <w:t>،</w:t>
      </w:r>
      <w:r w:rsidRPr="003F3B94">
        <w:rPr>
          <w:rFonts w:ascii="Abo-thar" w:hAnsi="Abo-thar" w:hint="cs"/>
          <w:sz w:val="28"/>
          <w:rtl/>
        </w:rPr>
        <w:t xml:space="preserve"> لكان بسبب هذا الإرسال حديثاً مرسلاً لا تقوم به حجَّة</w:t>
      </w:r>
      <w:r w:rsidR="00217AB4" w:rsidRPr="003F3B94">
        <w:rPr>
          <w:rFonts w:ascii="Abo-thar" w:hAnsi="Abo-thar" w:hint="cs"/>
          <w:sz w:val="28"/>
          <w:rtl/>
        </w:rPr>
        <w:t>.</w:t>
      </w:r>
    </w:p>
    <w:p w:rsidR="005C664D" w:rsidRPr="003F3B94" w:rsidRDefault="00FE2278" w:rsidP="003F3B94">
      <w:pPr>
        <w:pStyle w:val="a0"/>
        <w:rPr>
          <w:rFonts w:hint="cs"/>
          <w:rtl/>
        </w:rPr>
      </w:pPr>
      <w:r w:rsidRPr="003F3B94">
        <w:rPr>
          <w:rFonts w:ascii="Abo-thar" w:hAnsi="Abo-thar" w:hint="cs"/>
          <w:b/>
          <w:bCs/>
          <w:sz w:val="28"/>
          <w:rtl/>
        </w:rPr>
        <w:t xml:space="preserve">ب: </w:t>
      </w:r>
      <w:r w:rsidR="005C664D" w:rsidRPr="003F3B94">
        <w:rPr>
          <w:rFonts w:ascii="Abo-thar" w:hAnsi="Abo-thar" w:hint="cs"/>
          <w:b/>
          <w:bCs/>
          <w:sz w:val="28"/>
          <w:rtl/>
        </w:rPr>
        <w:t>أما من ناحية متن الحديث</w:t>
      </w:r>
      <w:r w:rsidR="00217AB4" w:rsidRPr="003F3B94">
        <w:rPr>
          <w:rFonts w:ascii="Abo-thar" w:hAnsi="Abo-thar" w:hint="cs"/>
          <w:b/>
          <w:bCs/>
          <w:sz w:val="28"/>
          <w:rtl/>
        </w:rPr>
        <w:t>:</w:t>
      </w:r>
      <w:r w:rsidR="005C664D" w:rsidRPr="003F3B94">
        <w:rPr>
          <w:rFonts w:ascii="Abo-thar" w:hAnsi="Abo-thar" w:hint="cs"/>
          <w:b/>
          <w:bCs/>
          <w:sz w:val="28"/>
          <w:rtl/>
        </w:rPr>
        <w:t xml:space="preserve"> </w:t>
      </w:r>
    </w:p>
    <w:p w:rsidR="005C664D" w:rsidRPr="003F3B94" w:rsidRDefault="005C664D" w:rsidP="003F3B94">
      <w:pPr>
        <w:pStyle w:val="a0"/>
        <w:rPr>
          <w:rFonts w:hint="cs"/>
          <w:rtl/>
        </w:rPr>
      </w:pPr>
      <w:r w:rsidRPr="003F3B94">
        <w:rPr>
          <w:rFonts w:ascii="Abo-thar" w:hAnsi="Abo-thar" w:hint="cs"/>
          <w:sz w:val="28"/>
          <w:rtl/>
        </w:rPr>
        <w:t>هذا الحديث ناقص أيضاً من حيث متنه ولا يدلّ على المطلوب</w:t>
      </w:r>
      <w:r w:rsidR="001E0DB7" w:rsidRPr="003F3B94">
        <w:rPr>
          <w:rFonts w:ascii="Abo-thar" w:hAnsi="Abo-thar" w:hint="cs"/>
          <w:sz w:val="28"/>
          <w:rtl/>
        </w:rPr>
        <w:t>،</w:t>
      </w:r>
      <w:r w:rsidRPr="003F3B94">
        <w:rPr>
          <w:rFonts w:ascii="Abo-thar" w:hAnsi="Abo-thar" w:hint="cs"/>
          <w:sz w:val="28"/>
          <w:rtl/>
        </w:rPr>
        <w:t xml:space="preserve"> لأن السائل سأل عن كيفية خمس جميع ما يستفيد الرجل من قليل وكثير من جميع الضروب ومن</w:t>
      </w:r>
      <w:r w:rsidR="00147857" w:rsidRPr="003F3B94">
        <w:rPr>
          <w:rFonts w:ascii="Abo-thar" w:hAnsi="Abo-thar" w:hint="cs"/>
          <w:sz w:val="28"/>
          <w:rtl/>
        </w:rPr>
        <w:t xml:space="preserve"> </w:t>
      </w:r>
      <w:r w:rsidRPr="003F3B94">
        <w:rPr>
          <w:rFonts w:ascii="Abo-thar" w:hAnsi="Abo-thar" w:hint="cs"/>
          <w:sz w:val="28"/>
          <w:rtl/>
        </w:rPr>
        <w:t>الصناعات</w:t>
      </w:r>
      <w:r w:rsidR="001E0DB7" w:rsidRPr="003F3B94">
        <w:rPr>
          <w:rFonts w:ascii="Abo-thar" w:hAnsi="Abo-thar" w:hint="cs"/>
          <w:sz w:val="28"/>
          <w:rtl/>
        </w:rPr>
        <w:t>،</w:t>
      </w:r>
      <w:r w:rsidRPr="003F3B94">
        <w:rPr>
          <w:rFonts w:ascii="Abo-thar" w:hAnsi="Abo-thar" w:hint="cs"/>
          <w:sz w:val="28"/>
          <w:rtl/>
        </w:rPr>
        <w:t xml:space="preserve"> ولكن الإجابة اقتصرت على عبارة </w:t>
      </w:r>
      <w:r w:rsidR="00217AB4" w:rsidRPr="003F3B94">
        <w:rPr>
          <w:rFonts w:ascii="Abo-thar" w:hAnsi="Abo-thar" w:hint="cs"/>
          <w:sz w:val="28"/>
          <w:rtl/>
        </w:rPr>
        <w:t>(</w:t>
      </w:r>
      <w:r w:rsidRPr="003F3B94">
        <w:rPr>
          <w:rFonts w:ascii="Abo-thar" w:hAnsi="Abo-thar" w:hint="cs"/>
          <w:sz w:val="28"/>
          <w:rtl/>
        </w:rPr>
        <w:t>الخمس بعد المؤونة</w:t>
      </w:r>
      <w:r w:rsidR="00217AB4" w:rsidRPr="003F3B94">
        <w:rPr>
          <w:rFonts w:ascii="Abo-thar" w:hAnsi="Abo-thar" w:hint="cs"/>
          <w:sz w:val="28"/>
          <w:rtl/>
        </w:rPr>
        <w:t>)!</w:t>
      </w:r>
      <w:r w:rsidRPr="003F3B94">
        <w:rPr>
          <w:rFonts w:ascii="Abo-thar" w:hAnsi="Abo-thar" w:hint="cs"/>
          <w:sz w:val="28"/>
          <w:rtl/>
        </w:rPr>
        <w:t xml:space="preserve"> مع أن السؤال لم يكن عن المؤونة وكيفيتها</w:t>
      </w:r>
      <w:r w:rsidR="001E0DB7" w:rsidRPr="003F3B94">
        <w:rPr>
          <w:rFonts w:ascii="Abo-thar" w:hAnsi="Abo-thar" w:hint="cs"/>
          <w:sz w:val="28"/>
          <w:rtl/>
        </w:rPr>
        <w:t>،</w:t>
      </w:r>
      <w:r w:rsidRPr="003F3B94">
        <w:rPr>
          <w:rFonts w:ascii="Abo-thar" w:hAnsi="Abo-thar" w:hint="cs"/>
          <w:sz w:val="28"/>
          <w:rtl/>
        </w:rPr>
        <w:t xml:space="preserve"> فالإجابة لم تُعِر سؤال السائل أي انتباه</w:t>
      </w:r>
      <w:r w:rsidR="00217AB4" w:rsidRPr="003F3B94">
        <w:rPr>
          <w:rFonts w:ascii="Abo-thar" w:hAnsi="Abo-thar" w:hint="cs"/>
          <w:sz w:val="28"/>
          <w:rtl/>
        </w:rPr>
        <w:t>!</w:t>
      </w:r>
      <w:r w:rsidRPr="003F3B94">
        <w:rPr>
          <w:rFonts w:ascii="Abo-thar" w:hAnsi="Abo-thar" w:hint="cs"/>
          <w:sz w:val="28"/>
          <w:rtl/>
        </w:rPr>
        <w:t xml:space="preserve"> فما معنى</w:t>
      </w:r>
      <w:r w:rsidR="00217AB4" w:rsidRPr="003F3B94">
        <w:rPr>
          <w:rFonts w:ascii="Abo-thar" w:hAnsi="Abo-thar" w:hint="cs"/>
          <w:sz w:val="28"/>
          <w:rtl/>
        </w:rPr>
        <w:t>:</w:t>
      </w:r>
      <w:r w:rsidRPr="003F3B94">
        <w:rPr>
          <w:rFonts w:ascii="Abo-thar" w:hAnsi="Abo-thar" w:hint="cs"/>
          <w:sz w:val="28"/>
          <w:rtl/>
        </w:rPr>
        <w:t xml:space="preserve"> </w:t>
      </w:r>
      <w:r w:rsidR="00217AB4" w:rsidRPr="003F3B94">
        <w:rPr>
          <w:rFonts w:ascii="Abo-thar" w:hAnsi="Abo-thar" w:hint="cs"/>
          <w:sz w:val="28"/>
          <w:rtl/>
        </w:rPr>
        <w:t>(</w:t>
      </w:r>
      <w:r w:rsidRPr="003F3B94">
        <w:rPr>
          <w:rFonts w:ascii="Abo-thar" w:hAnsi="Abo-thar" w:hint="cs"/>
          <w:sz w:val="28"/>
          <w:rtl/>
        </w:rPr>
        <w:t>من جميع الضروب</w:t>
      </w:r>
      <w:r w:rsidR="00217AB4" w:rsidRPr="003F3B94">
        <w:rPr>
          <w:rFonts w:ascii="Abo-thar" w:hAnsi="Abo-thar" w:hint="cs"/>
          <w:sz w:val="28"/>
          <w:rtl/>
        </w:rPr>
        <w:t>)؟</w:t>
      </w:r>
      <w:r w:rsidRPr="003F3B94">
        <w:rPr>
          <w:rFonts w:ascii="Abo-thar" w:hAnsi="Abo-thar" w:hint="cs"/>
          <w:sz w:val="28"/>
          <w:rtl/>
        </w:rPr>
        <w:t xml:space="preserve"> وما المقصود من الخمس بعد المؤونة</w:t>
      </w:r>
      <w:r w:rsidR="00217AB4" w:rsidRPr="003F3B94">
        <w:rPr>
          <w:rFonts w:ascii="Abo-thar" w:hAnsi="Abo-thar" w:hint="cs"/>
          <w:sz w:val="28"/>
          <w:rtl/>
        </w:rPr>
        <w:t>؟</w:t>
      </w:r>
      <w:r w:rsidRPr="003F3B94">
        <w:rPr>
          <w:rFonts w:ascii="Abo-thar" w:hAnsi="Abo-thar" w:hint="cs"/>
          <w:sz w:val="28"/>
          <w:rtl/>
        </w:rPr>
        <w:t xml:space="preserve"> فأي مؤونة هي</w:t>
      </w:r>
      <w:r w:rsidR="00217AB4" w:rsidRPr="003F3B94">
        <w:rPr>
          <w:rFonts w:ascii="Abo-thar" w:hAnsi="Abo-thar" w:hint="cs"/>
          <w:sz w:val="28"/>
          <w:rtl/>
        </w:rPr>
        <w:t>؟</w:t>
      </w:r>
      <w:r w:rsidRPr="003F3B94">
        <w:rPr>
          <w:rFonts w:ascii="Abo-thar" w:hAnsi="Abo-thar" w:hint="cs"/>
          <w:sz w:val="28"/>
          <w:rtl/>
        </w:rPr>
        <w:t xml:space="preserve"> هل مؤونة الشخص وعائلته في كل السنة</w:t>
      </w:r>
      <w:r w:rsidR="00217AB4" w:rsidRPr="003F3B94">
        <w:rPr>
          <w:rFonts w:ascii="Abo-thar" w:hAnsi="Abo-thar" w:hint="cs"/>
          <w:sz w:val="28"/>
          <w:rtl/>
        </w:rPr>
        <w:t>؟</w:t>
      </w:r>
      <w:r w:rsidRPr="003F3B94">
        <w:rPr>
          <w:rFonts w:ascii="Abo-thar" w:hAnsi="Abo-thar" w:hint="cs"/>
          <w:sz w:val="28"/>
          <w:rtl/>
        </w:rPr>
        <w:t xml:space="preserve"> أم مؤونة ما استفاده من كسب وتجارة ومعدن</w:t>
      </w:r>
      <w:r w:rsidR="00217AB4" w:rsidRPr="003F3B94">
        <w:rPr>
          <w:rFonts w:ascii="Abo-thar" w:hAnsi="Abo-thar" w:hint="cs"/>
          <w:sz w:val="28"/>
          <w:rtl/>
        </w:rPr>
        <w:t>؟</w:t>
      </w:r>
      <w:r w:rsidRPr="003F3B94">
        <w:rPr>
          <w:rFonts w:ascii="Abo-thar" w:hAnsi="Abo-thar" w:hint="cs"/>
          <w:sz w:val="28"/>
          <w:rtl/>
        </w:rPr>
        <w:t xml:space="preserve"> كل هذا لم توضحه الرواية</w:t>
      </w:r>
      <w:r w:rsidR="00217AB4" w:rsidRPr="003F3B94">
        <w:rPr>
          <w:rFonts w:ascii="Abo-thar" w:hAnsi="Abo-thar" w:hint="cs"/>
          <w:sz w:val="28"/>
          <w:rtl/>
        </w:rPr>
        <w:t>!</w:t>
      </w:r>
      <w:r w:rsidRPr="003F3B94">
        <w:rPr>
          <w:rFonts w:ascii="Abo-thar" w:hAnsi="Abo-thar" w:hint="cs"/>
          <w:sz w:val="28"/>
          <w:rtl/>
        </w:rPr>
        <w:t xml:space="preserve"> اللهم إلا أن يُقال إنه كان هناك بين السائل والمسؤول تفاهم</w:t>
      </w:r>
      <w:r w:rsidR="001E0DB7" w:rsidRPr="003F3B94">
        <w:rPr>
          <w:rFonts w:ascii="Abo-thar" w:hAnsi="Abo-thar" w:hint="cs"/>
          <w:sz w:val="28"/>
          <w:rtl/>
        </w:rPr>
        <w:t>،</w:t>
      </w:r>
      <w:r w:rsidRPr="003F3B94">
        <w:rPr>
          <w:rFonts w:ascii="Abo-thar" w:hAnsi="Abo-thar" w:hint="cs"/>
          <w:sz w:val="28"/>
          <w:rtl/>
        </w:rPr>
        <w:t xml:space="preserve"> فإذا كان كذلك فما علاقة الآخرين بالموضوع وكيف يمكن التمسك بمثل هذا الكلام المبهم والاستناد إليه كدليل على حكم شرعي</w:t>
      </w:r>
      <w:r w:rsidR="00217AB4" w:rsidRPr="003F3B94">
        <w:rPr>
          <w:rFonts w:ascii="Abo-thar" w:hAnsi="Abo-thar" w:hint="cs"/>
          <w:sz w:val="28"/>
          <w:rtl/>
        </w:rPr>
        <w:t>؟</w:t>
      </w:r>
      <w:r w:rsidRPr="003F3B94">
        <w:rPr>
          <w:rFonts w:ascii="Abo-thar" w:hAnsi="Abo-thar" w:hint="cs"/>
          <w:sz w:val="28"/>
          <w:rtl/>
        </w:rPr>
        <w:t xml:space="preserve"> </w:t>
      </w:r>
    </w:p>
    <w:p w:rsidR="005C664D" w:rsidRPr="003F3B94" w:rsidRDefault="005C664D" w:rsidP="003F3B94">
      <w:pPr>
        <w:pStyle w:val="a0"/>
        <w:rPr>
          <w:rFonts w:hint="cs"/>
          <w:rtl/>
          <w:lang w:bidi="ar-SY"/>
        </w:rPr>
      </w:pPr>
      <w:r w:rsidRPr="003F3B94">
        <w:rPr>
          <w:rFonts w:ascii="Abo-thar" w:hAnsi="Abo-thar" w:hint="cs"/>
          <w:b/>
          <w:bCs/>
          <w:sz w:val="28"/>
          <w:rtl/>
        </w:rPr>
        <w:t>2</w:t>
      </w:r>
      <w:r w:rsidR="00FE2278" w:rsidRPr="003F3B94">
        <w:rPr>
          <w:rFonts w:ascii="Abo-thar" w:hAnsi="Abo-thar" w:hint="cs"/>
          <w:b/>
          <w:bCs/>
          <w:sz w:val="28"/>
          <w:rtl/>
        </w:rPr>
        <w:t>)</w:t>
      </w:r>
      <w:r w:rsidRPr="003F3B94">
        <w:rPr>
          <w:rFonts w:ascii="Abo-thar" w:hAnsi="Abo-thar" w:hint="cs"/>
          <w:b/>
          <w:bCs/>
          <w:sz w:val="28"/>
          <w:rtl/>
        </w:rPr>
        <w:t xml:space="preserve"> الحديث الثاني</w:t>
      </w:r>
      <w:r w:rsidR="00217AB4" w:rsidRPr="003F3B94">
        <w:rPr>
          <w:rFonts w:ascii="Abo-thar" w:hAnsi="Abo-thar" w:hint="cs"/>
          <w:b/>
          <w:bCs/>
          <w:sz w:val="28"/>
          <w:rtl/>
        </w:rPr>
        <w:t>:</w:t>
      </w:r>
      <w:r w:rsidRPr="003F3B94">
        <w:rPr>
          <w:rFonts w:ascii="Abo-thar" w:hAnsi="Abo-thar" w:hint="cs"/>
          <w:b/>
          <w:bCs/>
          <w:sz w:val="28"/>
          <w:rtl/>
        </w:rPr>
        <w:t xml:space="preserve"> </w:t>
      </w:r>
      <w:r w:rsidRPr="003F3B94">
        <w:rPr>
          <w:rFonts w:ascii="Abo-thar" w:hAnsi="Abo-thar" w:hint="cs"/>
          <w:sz w:val="28"/>
          <w:rtl/>
        </w:rPr>
        <w:t xml:space="preserve">وهو الحديث السادس في </w:t>
      </w:r>
      <w:r w:rsidRPr="003F3B94">
        <w:rPr>
          <w:rFonts w:ascii="Abo-thar" w:hAnsi="Abo-thar"/>
          <w:sz w:val="28"/>
          <w:rtl/>
        </w:rPr>
        <w:t>«</w:t>
      </w:r>
      <w:r w:rsidRPr="003F3B94">
        <w:rPr>
          <w:rFonts w:ascii="Abo-thar" w:hAnsi="Abo-thar" w:hint="cs"/>
          <w:sz w:val="28"/>
          <w:rtl/>
        </w:rPr>
        <w:t>وسائل الشيعة</w:t>
      </w:r>
      <w:r w:rsidRPr="003F3B94">
        <w:rPr>
          <w:rFonts w:ascii="Abo-thar" w:hAnsi="Abo-thar"/>
          <w:sz w:val="28"/>
          <w:rtl/>
        </w:rPr>
        <w:t>»</w:t>
      </w:r>
      <w:r w:rsidRPr="003F3B94">
        <w:rPr>
          <w:rFonts w:ascii="Abo-thar" w:hAnsi="Abo-thar" w:hint="cs"/>
          <w:sz w:val="28"/>
          <w:rtl/>
        </w:rPr>
        <w:t xml:space="preserve"> في هذا الباب وقد رواه الكُلَيْنِيّ في </w:t>
      </w:r>
      <w:r w:rsidRPr="003F3B94">
        <w:rPr>
          <w:rFonts w:ascii="Abo-thar" w:hAnsi="Abo-thar"/>
          <w:sz w:val="28"/>
          <w:rtl/>
        </w:rPr>
        <w:t>«</w:t>
      </w:r>
      <w:r w:rsidRPr="003F3B94">
        <w:rPr>
          <w:rFonts w:ascii="Abo-thar" w:hAnsi="Abo-thar" w:hint="cs"/>
          <w:sz w:val="28"/>
          <w:rtl/>
        </w:rPr>
        <w:t>الكافي</w:t>
      </w:r>
      <w:r w:rsidRPr="003F3B94">
        <w:rPr>
          <w:rFonts w:ascii="Abo-thar" w:hAnsi="Abo-thar"/>
          <w:sz w:val="28"/>
          <w:rtl/>
        </w:rPr>
        <w:t>»</w:t>
      </w:r>
      <w:r w:rsidR="00217AB4" w:rsidRPr="003F3B94">
        <w:rPr>
          <w:rFonts w:ascii="Abo-thar" w:hAnsi="Abo-thar" w:hint="cs"/>
          <w:sz w:val="28"/>
          <w:rtl/>
        </w:rPr>
        <w:t>:</w:t>
      </w:r>
      <w:r w:rsidRPr="003F3B94">
        <w:rPr>
          <w:rFonts w:ascii="Abo-thar" w:hAnsi="Abo-thar" w:hint="cs"/>
          <w:sz w:val="28"/>
          <w:rtl/>
        </w:rPr>
        <w:t xml:space="preserve"> </w:t>
      </w:r>
      <w:r w:rsidR="00EF2588" w:rsidRPr="004408B9">
        <w:rPr>
          <w:rFonts w:ascii="Abo-thar" w:hAnsi="Abo-thar" w:cs="KFGQPC Uthman Taha Naskh" w:hint="cs"/>
          <w:sz w:val="28"/>
          <w:rtl/>
        </w:rPr>
        <w:t>«</w:t>
      </w:r>
      <w:r w:rsidRPr="004408B9">
        <w:rPr>
          <w:rFonts w:ascii="Abo-thar" w:hAnsi="Abo-thar" w:cs="KFGQPC Uthman Taha Naskh"/>
          <w:b/>
          <w:bCs/>
          <w:sz w:val="28"/>
          <w:rtl/>
        </w:rPr>
        <w:t xml:space="preserve">عَنْ عَلِيِّ بْنِ إِبْرَاهِيمَ عَنْ أَبِيهِ </w:t>
      </w:r>
      <w:r w:rsidRPr="004408B9">
        <w:rPr>
          <w:rFonts w:ascii="Abo-thar" w:hAnsi="Abo-thar" w:cs="KFGQPC Uthman Taha Naskh" w:hint="cs"/>
          <w:b/>
          <w:bCs/>
          <w:sz w:val="28"/>
          <w:rtl/>
        </w:rPr>
        <w:t xml:space="preserve">[إبراهيم بن هاشم] </w:t>
      </w:r>
      <w:r w:rsidRPr="004408B9">
        <w:rPr>
          <w:rFonts w:ascii="Abo-thar" w:hAnsi="Abo-thar" w:cs="KFGQPC Uthman Taha Naskh"/>
          <w:b/>
          <w:bCs/>
          <w:sz w:val="28"/>
          <w:rtl/>
        </w:rPr>
        <w:t>عَنِ ابْنِ أَبِي عُمَيْرٍ عَنِ الحُسَيْنِ بْنِ عُثْمَانَ عَنْ سَمَاعَةَ قَالَ</w:t>
      </w:r>
      <w:r w:rsidR="00217AB4" w:rsidRPr="004408B9">
        <w:rPr>
          <w:rFonts w:ascii="Abo-thar" w:hAnsi="Abo-thar" w:cs="KFGQPC Uthman Taha Naskh" w:hint="cs"/>
          <w:b/>
          <w:bCs/>
          <w:sz w:val="28"/>
          <w:rtl/>
        </w:rPr>
        <w:t>:</w:t>
      </w:r>
      <w:r w:rsidRPr="004408B9">
        <w:rPr>
          <w:rFonts w:ascii="Abo-thar" w:hAnsi="Abo-thar" w:cs="KFGQPC Uthman Taha Naskh"/>
          <w:b/>
          <w:bCs/>
          <w:sz w:val="28"/>
          <w:rtl/>
        </w:rPr>
        <w:t xml:space="preserve"> سَأَلْتُ أَبَا الحَسَنِ </w:t>
      </w:r>
      <w:r w:rsidR="00BC4BA9" w:rsidRPr="00BC4BA9">
        <w:rPr>
          <w:rFonts w:ascii="Abo-thar" w:hAnsi="Abo-thar" w:cs="CTraditional Arabic"/>
          <w:b/>
          <w:sz w:val="28"/>
          <w:rtl/>
        </w:rPr>
        <w:t>÷</w:t>
      </w:r>
      <w:r w:rsidRPr="004408B9">
        <w:rPr>
          <w:rFonts w:ascii="Abo-thar" w:hAnsi="Abo-thar" w:cs="KFGQPC Uthman Taha Naskh"/>
          <w:b/>
          <w:bCs/>
          <w:sz w:val="28"/>
          <w:rtl/>
        </w:rPr>
        <w:t xml:space="preserve"> عَنِ الخُمُسِ</w:t>
      </w:r>
      <w:r w:rsidR="00217AB4" w:rsidRPr="004408B9">
        <w:rPr>
          <w:rFonts w:ascii="Abo-thar" w:hAnsi="Abo-thar" w:cs="KFGQPC Uthman Taha Naskh" w:hint="cs"/>
          <w:b/>
          <w:bCs/>
          <w:sz w:val="28"/>
          <w:rtl/>
        </w:rPr>
        <w:t>؟</w:t>
      </w:r>
      <w:r w:rsidRPr="004408B9">
        <w:rPr>
          <w:rFonts w:ascii="Abo-thar" w:hAnsi="Abo-thar" w:cs="KFGQPC Uthman Taha Naskh"/>
          <w:b/>
          <w:bCs/>
          <w:sz w:val="28"/>
          <w:rtl/>
        </w:rPr>
        <w:t xml:space="preserve"> فَقَالَ</w:t>
      </w:r>
      <w:r w:rsidR="00217AB4" w:rsidRPr="004408B9">
        <w:rPr>
          <w:rFonts w:ascii="Abo-thar" w:hAnsi="Abo-thar" w:cs="KFGQPC Uthman Taha Naskh" w:hint="cs"/>
          <w:b/>
          <w:bCs/>
          <w:sz w:val="28"/>
          <w:rtl/>
        </w:rPr>
        <w:t>:</w:t>
      </w:r>
      <w:r w:rsidRPr="004408B9">
        <w:rPr>
          <w:rFonts w:ascii="Abo-thar" w:hAnsi="Abo-thar" w:cs="KFGQPC Uthman Taha Naskh"/>
          <w:b/>
          <w:bCs/>
          <w:sz w:val="28"/>
          <w:rtl/>
        </w:rPr>
        <w:t xml:space="preserve"> فِي كُلِّ مَا أَفَادَ النَّاسُ مِنْ قَلِيلٍ أَوْ كَثِيرٍ</w:t>
      </w:r>
      <w:r w:rsidR="00EF2588" w:rsidRPr="004408B9">
        <w:rPr>
          <w:rFonts w:ascii="Abo-thar" w:hAnsi="Abo-thar" w:cs="KFGQPC Uthman Taha Naskh" w:hint="cs"/>
          <w:sz w:val="28"/>
          <w:rtl/>
        </w:rPr>
        <w:t>»</w:t>
      </w:r>
      <w:r w:rsidR="00217AB4" w:rsidRPr="003F3B94">
        <w:rPr>
          <w:rFonts w:ascii="Abo-thar" w:hAnsi="Abo-thar" w:hint="cs"/>
          <w:sz w:val="28"/>
          <w:rtl/>
        </w:rPr>
        <w:t>.</w:t>
      </w:r>
    </w:p>
    <w:p w:rsidR="005C664D" w:rsidRPr="003F3B94" w:rsidRDefault="005C664D" w:rsidP="003F3B94">
      <w:pPr>
        <w:pStyle w:val="a0"/>
        <w:rPr>
          <w:rFonts w:hint="cs"/>
          <w:rtl/>
          <w:lang w:bidi="ar-SY"/>
        </w:rPr>
      </w:pPr>
      <w:r w:rsidRPr="003F3B94">
        <w:rPr>
          <w:rFonts w:ascii="Abo-thar" w:hAnsi="Abo-thar" w:hint="cs"/>
          <w:b/>
          <w:bCs/>
          <w:sz w:val="28"/>
          <w:rtl/>
          <w:lang w:bidi="ar-SY"/>
        </w:rPr>
        <w:t>في هذا الحديث أيضاً إشكالات في متنه وسنده</w:t>
      </w:r>
      <w:r w:rsidR="00217AB4" w:rsidRPr="003F3B94">
        <w:rPr>
          <w:rFonts w:ascii="Abo-thar" w:hAnsi="Abo-thar" w:hint="cs"/>
          <w:b/>
          <w:bCs/>
          <w:sz w:val="28"/>
          <w:rtl/>
          <w:lang w:bidi="ar-SY"/>
        </w:rPr>
        <w:t>:</w:t>
      </w:r>
    </w:p>
    <w:p w:rsidR="005C664D" w:rsidRPr="003F3B94" w:rsidRDefault="00FE2278" w:rsidP="003F3B94">
      <w:pPr>
        <w:pStyle w:val="a0"/>
        <w:rPr>
          <w:rFonts w:hint="cs"/>
          <w:rtl/>
        </w:rPr>
      </w:pPr>
      <w:r w:rsidRPr="003F3B94">
        <w:rPr>
          <w:rFonts w:hint="cs"/>
          <w:rtl/>
        </w:rPr>
        <w:t xml:space="preserve">أ: </w:t>
      </w:r>
      <w:r w:rsidR="005C664D" w:rsidRPr="003F3B94">
        <w:rPr>
          <w:rFonts w:hint="cs"/>
          <w:rtl/>
        </w:rPr>
        <w:t xml:space="preserve">أما من </w:t>
      </w:r>
      <w:r w:rsidR="005C664D" w:rsidRPr="003F3B94">
        <w:rPr>
          <w:rFonts w:ascii="Abo-thar" w:hAnsi="Abo-thar" w:hint="cs"/>
          <w:sz w:val="28"/>
          <w:rtl/>
        </w:rPr>
        <w:t>ناحية</w:t>
      </w:r>
      <w:r w:rsidR="005C664D" w:rsidRPr="003F3B94">
        <w:rPr>
          <w:rFonts w:hint="cs"/>
          <w:rtl/>
        </w:rPr>
        <w:t xml:space="preserve"> سنده</w:t>
      </w:r>
      <w:r w:rsidR="00217AB4" w:rsidRPr="003F3B94">
        <w:rPr>
          <w:rFonts w:hint="cs"/>
          <w:rtl/>
        </w:rPr>
        <w:t>:</w:t>
      </w:r>
    </w:p>
    <w:p w:rsidR="005C664D" w:rsidRPr="003F3B94" w:rsidRDefault="005C664D" w:rsidP="003F3B94">
      <w:pPr>
        <w:pStyle w:val="a0"/>
        <w:rPr>
          <w:rFonts w:hint="cs"/>
          <w:rtl/>
        </w:rPr>
      </w:pPr>
      <w:r w:rsidRPr="003F3B94">
        <w:rPr>
          <w:rFonts w:ascii="Abo-thar" w:hAnsi="Abo-thar" w:hint="cs"/>
          <w:sz w:val="28"/>
          <w:rtl/>
          <w:lang w:bidi="ar-SY"/>
        </w:rPr>
        <w:t xml:space="preserve"> فبمعزلٍ عن «</w:t>
      </w:r>
      <w:r w:rsidRPr="003F3B94">
        <w:rPr>
          <w:rFonts w:ascii="Abo-thar" w:hAnsi="Abo-thar" w:hint="cs"/>
          <w:b/>
          <w:bCs/>
          <w:sz w:val="28"/>
          <w:rtl/>
          <w:lang w:bidi="ar-SY"/>
        </w:rPr>
        <w:t>إبراهيم بن هاشم</w:t>
      </w:r>
      <w:r w:rsidRPr="003F3B94">
        <w:rPr>
          <w:rFonts w:ascii="Abo-thar" w:hAnsi="Abo-thar" w:hint="cs"/>
          <w:sz w:val="28"/>
          <w:rtl/>
          <w:lang w:bidi="ar-SY"/>
        </w:rPr>
        <w:t>» أحد الرواة في سند الحديث والذي لم يوثِّقه عامة أئمة الرجال</w:t>
      </w:r>
      <w:r w:rsidR="00217AB4" w:rsidRPr="003F3B94">
        <w:rPr>
          <w:rFonts w:ascii="Abo-thar" w:hAnsi="Abo-thar" w:hint="cs"/>
          <w:sz w:val="28"/>
          <w:rtl/>
          <w:lang w:bidi="ar-SY"/>
        </w:rPr>
        <w:t>،</w:t>
      </w:r>
      <w:r w:rsidRPr="003F3B94">
        <w:rPr>
          <w:rFonts w:ascii="Abo-thar" w:hAnsi="Abo-thar" w:hint="cs"/>
          <w:sz w:val="28"/>
          <w:rtl/>
          <w:lang w:bidi="ar-SY"/>
        </w:rPr>
        <w:t xml:space="preserve"> فإن راوي الحديث المتصل بالمعصوم هو </w:t>
      </w:r>
      <w:r w:rsidRPr="003F3B94">
        <w:rPr>
          <w:rFonts w:ascii="Abo-thar" w:hAnsi="Abo-thar"/>
          <w:sz w:val="28"/>
          <w:rtl/>
          <w:lang w:bidi="ar-SY"/>
        </w:rPr>
        <w:t>«</w:t>
      </w:r>
      <w:r w:rsidRPr="003F3B94">
        <w:rPr>
          <w:rFonts w:ascii="Abo-thar" w:hAnsi="Abo-thar"/>
          <w:b/>
          <w:bCs/>
          <w:sz w:val="28"/>
          <w:rtl/>
          <w:lang w:bidi="ar-SY"/>
        </w:rPr>
        <w:t>سَمَاعَة</w:t>
      </w:r>
      <w:r w:rsidRPr="003F3B94">
        <w:rPr>
          <w:rFonts w:ascii="Abo-thar" w:hAnsi="Abo-thar" w:hint="cs"/>
          <w:b/>
          <w:bCs/>
          <w:sz w:val="28"/>
          <w:rtl/>
          <w:lang w:bidi="ar-SY"/>
        </w:rPr>
        <w:t>ُ بنُ مَهْران</w:t>
      </w:r>
      <w:r w:rsidRPr="003F3B94">
        <w:rPr>
          <w:rFonts w:ascii="Abo-thar" w:hAnsi="Abo-thar"/>
          <w:sz w:val="28"/>
          <w:rtl/>
          <w:lang w:bidi="ar-SY"/>
        </w:rPr>
        <w:t>»</w:t>
      </w:r>
      <w:r w:rsidRPr="003F3B94">
        <w:rPr>
          <w:rFonts w:ascii="Abo-thar" w:hAnsi="Abo-thar" w:hint="cs"/>
          <w:sz w:val="28"/>
          <w:rtl/>
          <w:lang w:bidi="ar-SY"/>
        </w:rPr>
        <w:t xml:space="preserve"> الذي قال عنه أئمة الرجال ما يلي</w:t>
      </w:r>
      <w:r w:rsidR="00217AB4" w:rsidRPr="003F3B94">
        <w:rPr>
          <w:rFonts w:ascii="Abo-thar" w:hAnsi="Abo-thar" w:hint="cs"/>
          <w:sz w:val="28"/>
          <w:rtl/>
          <w:lang w:bidi="ar-SY"/>
        </w:rPr>
        <w:t>:</w:t>
      </w:r>
    </w:p>
    <w:p w:rsidR="005C664D" w:rsidRPr="003F3B94" w:rsidRDefault="00FE2278" w:rsidP="003F3B94">
      <w:pPr>
        <w:pStyle w:val="a0"/>
        <w:rPr>
          <w:rFonts w:hint="cs"/>
          <w:rtl/>
        </w:rPr>
      </w:pPr>
      <w:r w:rsidRPr="003F3B94">
        <w:rPr>
          <w:rFonts w:ascii="Abo-thar" w:hAnsi="Abo-thar" w:hint="cs"/>
          <w:sz w:val="28"/>
          <w:rtl/>
        </w:rPr>
        <w:t>أولًا</w:t>
      </w:r>
      <w:r w:rsidR="00217AB4" w:rsidRPr="003F3B94">
        <w:rPr>
          <w:rFonts w:ascii="Abo-thar" w:hAnsi="Abo-thar" w:hint="cs"/>
          <w:sz w:val="28"/>
          <w:rtl/>
        </w:rPr>
        <w:t>-</w:t>
      </w:r>
      <w:r w:rsidR="005C664D" w:rsidRPr="003F3B94">
        <w:rPr>
          <w:rFonts w:ascii="Abo-thar" w:hAnsi="Abo-thar" w:hint="cs"/>
          <w:sz w:val="28"/>
          <w:rtl/>
        </w:rPr>
        <w:t xml:space="preserve"> اعتبره الشيخ الطوسي واقفياً</w:t>
      </w:r>
      <w:r w:rsidR="00217AB4" w:rsidRPr="003F3B94">
        <w:rPr>
          <w:rFonts w:ascii="Abo-thar" w:hAnsi="Abo-thar" w:hint="cs"/>
          <w:sz w:val="28"/>
          <w:rtl/>
        </w:rPr>
        <w:t>،</w:t>
      </w:r>
      <w:r w:rsidR="005C664D" w:rsidRPr="003F3B94">
        <w:rPr>
          <w:rFonts w:ascii="Abo-thar" w:hAnsi="Abo-thar" w:hint="cs"/>
          <w:sz w:val="28"/>
          <w:rtl/>
        </w:rPr>
        <w:t xml:space="preserve"> ولما لم يكن إمامياً لم تكن روايته صحيحةً</w:t>
      </w:r>
      <w:r w:rsidR="00217AB4" w:rsidRPr="003F3B94">
        <w:rPr>
          <w:rFonts w:ascii="Abo-thar" w:hAnsi="Abo-thar" w:hint="cs"/>
          <w:sz w:val="28"/>
          <w:rtl/>
        </w:rPr>
        <w:t>.</w:t>
      </w:r>
    </w:p>
    <w:p w:rsidR="005C664D" w:rsidRPr="003F3B94" w:rsidRDefault="00FE2278" w:rsidP="003F3B94">
      <w:pPr>
        <w:pStyle w:val="a0"/>
        <w:rPr>
          <w:rFonts w:hint="cs"/>
          <w:rtl/>
        </w:rPr>
      </w:pPr>
      <w:r w:rsidRPr="003F3B94">
        <w:rPr>
          <w:rFonts w:ascii="Abo-thar" w:hAnsi="Abo-thar" w:hint="cs"/>
          <w:sz w:val="28"/>
          <w:rtl/>
        </w:rPr>
        <w:t>ثانيًا</w:t>
      </w:r>
      <w:r w:rsidR="00217AB4" w:rsidRPr="003F3B94">
        <w:rPr>
          <w:rFonts w:ascii="Abo-thar" w:hAnsi="Abo-thar" w:hint="cs"/>
          <w:sz w:val="28"/>
          <w:rtl/>
        </w:rPr>
        <w:t>-</w:t>
      </w:r>
      <w:r w:rsidR="005C664D" w:rsidRPr="003F3B94">
        <w:rPr>
          <w:rFonts w:ascii="Abo-thar" w:hAnsi="Abo-thar" w:hint="cs"/>
          <w:sz w:val="28"/>
          <w:rtl/>
        </w:rPr>
        <w:t xml:space="preserve"> قال عنه المرحوم الشيخ الصدوق في كتابه «من لا يحضره الفقيه»</w:t>
      </w:r>
      <w:r w:rsidR="00217AB4" w:rsidRPr="003F3B94">
        <w:rPr>
          <w:rFonts w:ascii="Abo-thar" w:hAnsi="Abo-thar" w:hint="cs"/>
          <w:sz w:val="28"/>
          <w:rtl/>
        </w:rPr>
        <w:t>،</w:t>
      </w:r>
      <w:r w:rsidR="005C664D" w:rsidRPr="003F3B94">
        <w:rPr>
          <w:rFonts w:ascii="Abo-thar" w:hAnsi="Abo-thar" w:hint="cs"/>
          <w:sz w:val="28"/>
          <w:rtl/>
        </w:rPr>
        <w:t xml:space="preserve"> في باب </w:t>
      </w:r>
      <w:r w:rsidR="005C664D" w:rsidRPr="003F3B94">
        <w:rPr>
          <w:rFonts w:ascii="Abo-thar" w:hAnsi="Abo-thar"/>
          <w:sz w:val="28"/>
          <w:rtl/>
        </w:rPr>
        <w:t>«</w:t>
      </w:r>
      <w:r w:rsidR="005C664D" w:rsidRPr="003F3B94">
        <w:rPr>
          <w:rFonts w:ascii="Abo-thar" w:hAnsi="Abo-thar" w:hint="cs"/>
          <w:sz w:val="28"/>
          <w:rtl/>
        </w:rPr>
        <w:t>ما يجب على من أفطر أو جامع في شهر رمضان</w:t>
      </w:r>
      <w:r w:rsidR="005C664D" w:rsidRPr="003F3B94">
        <w:rPr>
          <w:rFonts w:ascii="Abo-thar" w:hAnsi="Abo-thar"/>
          <w:sz w:val="28"/>
          <w:rtl/>
        </w:rPr>
        <w:t>»</w:t>
      </w:r>
      <w:r w:rsidR="00217AB4" w:rsidRPr="003F3B94">
        <w:rPr>
          <w:rFonts w:ascii="Abo-thar" w:hAnsi="Abo-thar" w:hint="cs"/>
          <w:sz w:val="28"/>
          <w:rtl/>
        </w:rPr>
        <w:t>:</w:t>
      </w:r>
      <w:r w:rsidR="00147857" w:rsidRPr="003F3B94">
        <w:rPr>
          <w:rFonts w:ascii="Abo-thar" w:hAnsi="Abo-thar" w:hint="cs"/>
          <w:sz w:val="28"/>
          <w:rtl/>
        </w:rPr>
        <w:t xml:space="preserve"> </w:t>
      </w:r>
      <w:r w:rsidR="00EF2588" w:rsidRPr="004408B9">
        <w:rPr>
          <w:rFonts w:ascii="Abo-thar" w:hAnsi="Abo-thar" w:cs="KFGQPC Uthman Taha Naskh" w:hint="cs"/>
          <w:sz w:val="28"/>
          <w:rtl/>
        </w:rPr>
        <w:t>«</w:t>
      </w:r>
      <w:r w:rsidR="005C664D" w:rsidRPr="004408B9">
        <w:rPr>
          <w:rFonts w:ascii="Abo-thar" w:hAnsi="Abo-thar" w:cs="KFGQPC Uthman Taha Naskh"/>
          <w:bCs/>
          <w:sz w:val="28"/>
          <w:rtl/>
        </w:rPr>
        <w:t>وَلَا أُفْتِي بِالْخَبَرِ الَّذِي أَوْجَبَ عَلَيْهِ القَضَاءَ لِأَنَّهُ رِوَايَةُ سَمَاعَةَ بْنِ مِهْرَانَ وَكَانَ وَاقِفِيّا</w:t>
      </w:r>
      <w:r w:rsidR="005C664D" w:rsidRPr="004408B9">
        <w:rPr>
          <w:rFonts w:ascii="Abo-thar" w:hAnsi="Abo-thar" w:cs="KFGQPC Uthman Taha Naskh" w:hint="cs"/>
          <w:bCs/>
          <w:sz w:val="28"/>
          <w:rtl/>
        </w:rPr>
        <w:t>ً</w:t>
      </w:r>
      <w:r w:rsidR="00F456DF" w:rsidRPr="004408B9">
        <w:rPr>
          <w:rFonts w:ascii="Abo-thar" w:hAnsi="Abo-thar" w:cs="KFGQPC Uthman Taha Naskh" w:hint="cs"/>
          <w:bCs/>
          <w:sz w:val="28"/>
          <w:rtl/>
        </w:rPr>
        <w:t>»</w:t>
      </w:r>
      <w:r w:rsidR="00217AB4" w:rsidRPr="003F3B94">
        <w:rPr>
          <w:rFonts w:ascii="Abo-thar" w:hAnsi="Abo-thar" w:hint="cs"/>
          <w:sz w:val="28"/>
          <w:rtl/>
        </w:rPr>
        <w:t>.</w:t>
      </w:r>
      <w:r w:rsidR="005C664D" w:rsidRPr="003F3B94">
        <w:rPr>
          <w:rFonts w:ascii="Abo-thar" w:hAnsi="Abo-thar" w:hint="cs"/>
          <w:sz w:val="28"/>
          <w:rtl/>
        </w:rPr>
        <w:t xml:space="preserve"> والواقفي هو من وقف في الإمامة على الإمام موسى الكاظم </w:t>
      </w:r>
      <w:r w:rsidR="003C7AEB" w:rsidRPr="003C7AEB">
        <w:rPr>
          <w:rFonts w:ascii="Abo-thar" w:hAnsi="Abo-thar" w:cs="CTraditional Arabic" w:hint="cs"/>
          <w:sz w:val="28"/>
          <w:rtl/>
        </w:rPr>
        <w:t>÷</w:t>
      </w:r>
      <w:r w:rsidR="005C664D" w:rsidRPr="003F3B94">
        <w:rPr>
          <w:rFonts w:ascii="Abo-thar" w:hAnsi="Abo-thar" w:hint="cs"/>
          <w:sz w:val="28"/>
          <w:rtl/>
        </w:rPr>
        <w:t xml:space="preserve"> وأنكر إمامة الأئمة من بعده</w:t>
      </w:r>
      <w:r w:rsidR="00217AB4" w:rsidRPr="003F3B94">
        <w:rPr>
          <w:rFonts w:ascii="Abo-thar" w:hAnsi="Abo-thar" w:hint="cs"/>
          <w:sz w:val="28"/>
          <w:rtl/>
        </w:rPr>
        <w:t>.</w:t>
      </w:r>
    </w:p>
    <w:p w:rsidR="005C664D" w:rsidRPr="003F3B94" w:rsidRDefault="00FE2278" w:rsidP="003F3B94">
      <w:pPr>
        <w:pStyle w:val="a0"/>
        <w:rPr>
          <w:rFonts w:hint="cs"/>
          <w:rtl/>
        </w:rPr>
      </w:pPr>
      <w:r w:rsidRPr="003F3B94">
        <w:rPr>
          <w:rFonts w:ascii="Abo-thar" w:hAnsi="Abo-thar" w:hint="cs"/>
          <w:sz w:val="28"/>
          <w:rtl/>
        </w:rPr>
        <w:t>ثالثًا</w:t>
      </w:r>
      <w:r w:rsidR="00217AB4" w:rsidRPr="003F3B94">
        <w:rPr>
          <w:rFonts w:ascii="Abo-thar" w:hAnsi="Abo-thar" w:hint="cs"/>
          <w:sz w:val="28"/>
          <w:rtl/>
        </w:rPr>
        <w:t>-</w:t>
      </w:r>
      <w:r w:rsidR="005C664D" w:rsidRPr="003F3B94">
        <w:rPr>
          <w:rFonts w:ascii="Abo-thar" w:hAnsi="Abo-thar" w:hint="cs"/>
          <w:sz w:val="28"/>
          <w:rtl/>
        </w:rPr>
        <w:t xml:space="preserve"> ذكر ابن الغضائري عليه الرحمة أن </w:t>
      </w:r>
      <w:r w:rsidR="005C664D" w:rsidRPr="003F3B94">
        <w:rPr>
          <w:rFonts w:ascii="Abo-thar" w:hAnsi="Abo-thar"/>
          <w:sz w:val="28"/>
          <w:rtl/>
        </w:rPr>
        <w:t>«</w:t>
      </w:r>
      <w:r w:rsidR="005C664D" w:rsidRPr="003F3B94">
        <w:rPr>
          <w:rFonts w:ascii="Abo-thar" w:hAnsi="Abo-thar" w:hint="cs"/>
          <w:b/>
          <w:bCs/>
          <w:sz w:val="28"/>
          <w:rtl/>
        </w:rPr>
        <w:t>أحمد بن الحسين</w:t>
      </w:r>
      <w:r w:rsidR="005C664D" w:rsidRPr="003F3B94">
        <w:rPr>
          <w:rFonts w:ascii="Abo-thar" w:hAnsi="Abo-thar"/>
          <w:sz w:val="28"/>
          <w:rtl/>
        </w:rPr>
        <w:t>»</w:t>
      </w:r>
      <w:r w:rsidR="005C664D" w:rsidRPr="003F3B94">
        <w:rPr>
          <w:rFonts w:ascii="Abo-thar" w:hAnsi="Abo-thar" w:hint="cs"/>
          <w:sz w:val="28"/>
          <w:rtl/>
        </w:rPr>
        <w:t xml:space="preserve"> توفي سنة 145هـ وبالتالي فروايته عن حضرة الإمام موسى بن جعفر لا تصحُّ</w:t>
      </w:r>
      <w:r w:rsidR="00217AB4" w:rsidRPr="003F3B94">
        <w:rPr>
          <w:rFonts w:ascii="Abo-thar" w:hAnsi="Abo-thar" w:hint="cs"/>
          <w:sz w:val="28"/>
          <w:rtl/>
        </w:rPr>
        <w:t>،</w:t>
      </w:r>
      <w:r w:rsidR="005C664D" w:rsidRPr="003F3B94">
        <w:rPr>
          <w:rFonts w:ascii="Abo-thar" w:hAnsi="Abo-thar" w:hint="cs"/>
          <w:sz w:val="28"/>
          <w:rtl/>
        </w:rPr>
        <w:t xml:space="preserve"> لأن الإمام الصادق كان حياً في ذلك الوقت وكان هو الإمام المتَّبع ومرجع الناس من الخاصة والعامَّة</w:t>
      </w:r>
      <w:r w:rsidR="00217AB4" w:rsidRPr="003F3B94">
        <w:rPr>
          <w:rFonts w:ascii="Abo-thar" w:hAnsi="Abo-thar" w:hint="cs"/>
          <w:sz w:val="28"/>
          <w:rtl/>
        </w:rPr>
        <w:t>،</w:t>
      </w:r>
      <w:r w:rsidR="005C664D" w:rsidRPr="003F3B94">
        <w:rPr>
          <w:rFonts w:ascii="Abo-thar" w:hAnsi="Abo-thar" w:hint="cs"/>
          <w:sz w:val="28"/>
          <w:rtl/>
        </w:rPr>
        <w:t xml:space="preserve"> ولم يكن من المعهود أن يرجع أحد في الفتيا إلى الإمام الكاظم</w:t>
      </w:r>
      <w:r w:rsidR="00147857" w:rsidRPr="003F3B94">
        <w:rPr>
          <w:rFonts w:ascii="Abo-thar" w:hAnsi="Abo-thar" w:hint="cs"/>
          <w:sz w:val="28"/>
          <w:rtl/>
        </w:rPr>
        <w:t xml:space="preserve"> </w:t>
      </w:r>
      <w:r w:rsidR="003C7AEB" w:rsidRPr="003C7AEB">
        <w:rPr>
          <w:rFonts w:ascii="Abo-thar" w:hAnsi="Abo-thar" w:cs="CTraditional Arabic"/>
          <w:sz w:val="28"/>
          <w:rtl/>
        </w:rPr>
        <w:t>÷</w:t>
      </w:r>
      <w:r w:rsidR="00147857" w:rsidRPr="003F3B94">
        <w:rPr>
          <w:rFonts w:ascii="Abo-thar" w:hAnsi="Abo-thar"/>
          <w:sz w:val="28"/>
          <w:rtl/>
        </w:rPr>
        <w:t xml:space="preserve"> </w:t>
      </w:r>
      <w:r w:rsidR="005C664D" w:rsidRPr="003F3B94">
        <w:rPr>
          <w:rFonts w:ascii="Abo-thar" w:hAnsi="Abo-thar" w:hint="cs"/>
          <w:sz w:val="28"/>
          <w:rtl/>
        </w:rPr>
        <w:t>مع وجود وحضور الإمام الصادق</w:t>
      </w:r>
      <w:r w:rsidR="00147857" w:rsidRPr="003F3B94">
        <w:rPr>
          <w:rFonts w:ascii="Abo-thar" w:hAnsi="Abo-thar" w:hint="cs"/>
          <w:sz w:val="28"/>
          <w:rtl/>
        </w:rPr>
        <w:t xml:space="preserve"> </w:t>
      </w:r>
      <w:r w:rsidR="003C7AEB" w:rsidRPr="003C7AEB">
        <w:rPr>
          <w:rFonts w:ascii="Abo-thar" w:hAnsi="Abo-thar" w:cs="CTraditional Arabic"/>
          <w:sz w:val="28"/>
          <w:rtl/>
        </w:rPr>
        <w:t>÷</w:t>
      </w:r>
      <w:r w:rsidR="00217AB4" w:rsidRPr="003F3B94">
        <w:rPr>
          <w:rFonts w:ascii="Abo-thar" w:hAnsi="Abo-thar"/>
          <w:sz w:val="28"/>
          <w:rtl/>
        </w:rPr>
        <w:t>.</w:t>
      </w:r>
      <w:r w:rsidR="005C664D" w:rsidRPr="003F3B94">
        <w:rPr>
          <w:rFonts w:ascii="Abo-thar" w:hAnsi="Abo-thar" w:hint="cs"/>
          <w:sz w:val="28"/>
          <w:rtl/>
        </w:rPr>
        <w:t xml:space="preserve"> أضف إلى ذلك أن لقب </w:t>
      </w:r>
      <w:r w:rsidR="005C664D" w:rsidRPr="003F3B94">
        <w:rPr>
          <w:rFonts w:ascii="Abo-thar" w:hAnsi="Abo-thar"/>
          <w:sz w:val="28"/>
          <w:rtl/>
        </w:rPr>
        <w:t>«</w:t>
      </w:r>
      <w:r w:rsidR="005C664D" w:rsidRPr="003F3B94">
        <w:rPr>
          <w:rFonts w:ascii="Abo-thar" w:hAnsi="Abo-thar" w:hint="cs"/>
          <w:sz w:val="28"/>
          <w:rtl/>
        </w:rPr>
        <w:t>أبي الحسن</w:t>
      </w:r>
      <w:r w:rsidR="005C664D" w:rsidRPr="003F3B94">
        <w:rPr>
          <w:rFonts w:ascii="Abo-thar" w:hAnsi="Abo-thar"/>
          <w:sz w:val="28"/>
          <w:rtl/>
        </w:rPr>
        <w:t>»</w:t>
      </w:r>
      <w:r w:rsidR="005C664D" w:rsidRPr="003F3B94">
        <w:rPr>
          <w:rFonts w:ascii="Abo-thar" w:hAnsi="Abo-thar" w:hint="cs"/>
          <w:sz w:val="28"/>
          <w:rtl/>
        </w:rPr>
        <w:t xml:space="preserve"> لم يكن قد اشتهر وعرف به حضرة الكاظم</w:t>
      </w:r>
      <w:r w:rsidR="00147857" w:rsidRPr="003F3B94">
        <w:rPr>
          <w:rFonts w:ascii="Abo-thar" w:hAnsi="Abo-thar" w:hint="cs"/>
          <w:sz w:val="28"/>
          <w:rtl/>
        </w:rPr>
        <w:t xml:space="preserve"> </w:t>
      </w:r>
      <w:r w:rsidR="003C7AEB" w:rsidRPr="003C7AEB">
        <w:rPr>
          <w:rFonts w:ascii="Abo-thar" w:hAnsi="Abo-thar" w:cs="CTraditional Arabic"/>
          <w:sz w:val="28"/>
          <w:rtl/>
        </w:rPr>
        <w:t>÷</w:t>
      </w:r>
      <w:r w:rsidR="00147857" w:rsidRPr="003F3B94">
        <w:rPr>
          <w:rFonts w:ascii="Abo-thar" w:hAnsi="Abo-thar"/>
          <w:sz w:val="28"/>
          <w:rtl/>
        </w:rPr>
        <w:t xml:space="preserve"> </w:t>
      </w:r>
      <w:r w:rsidR="005C664D" w:rsidRPr="003F3B94">
        <w:rPr>
          <w:rFonts w:ascii="Abo-thar" w:hAnsi="Abo-thar" w:hint="cs"/>
          <w:sz w:val="28"/>
          <w:rtl/>
        </w:rPr>
        <w:t>بعد</w:t>
      </w:r>
      <w:r w:rsidR="00217AB4" w:rsidRPr="003F3B94">
        <w:rPr>
          <w:rFonts w:ascii="Abo-thar" w:hAnsi="Abo-thar" w:hint="cs"/>
          <w:sz w:val="28"/>
          <w:rtl/>
        </w:rPr>
        <w:t>.</w:t>
      </w:r>
      <w:r w:rsidR="00147857" w:rsidRPr="003F3B94">
        <w:rPr>
          <w:rFonts w:ascii="Abo-thar" w:hAnsi="Abo-thar" w:hint="cs"/>
          <w:sz w:val="28"/>
          <w:rtl/>
        </w:rPr>
        <w:t xml:space="preserve"> </w:t>
      </w:r>
      <w:r w:rsidR="005C664D" w:rsidRPr="003F3B94">
        <w:rPr>
          <w:rFonts w:ascii="Abo-thar" w:hAnsi="Abo-thar" w:hint="cs"/>
          <w:sz w:val="28"/>
          <w:rtl/>
        </w:rPr>
        <w:t>إذن هناك شك في صحة هذه الرواية من أساسها لأن التاريخ يكذِّبها</w:t>
      </w:r>
      <w:r w:rsidR="00217AB4" w:rsidRPr="003F3B94">
        <w:rPr>
          <w:rFonts w:ascii="Abo-thar" w:hAnsi="Abo-thar" w:hint="cs"/>
          <w:sz w:val="28"/>
          <w:rtl/>
        </w:rPr>
        <w:t>.</w:t>
      </w:r>
    </w:p>
    <w:p w:rsidR="005C664D" w:rsidRPr="003F3B94" w:rsidRDefault="00FE2278" w:rsidP="003F3B94">
      <w:pPr>
        <w:pStyle w:val="a0"/>
        <w:rPr>
          <w:rFonts w:hint="cs"/>
          <w:rtl/>
        </w:rPr>
      </w:pPr>
      <w:r w:rsidRPr="003F3B94">
        <w:rPr>
          <w:rFonts w:ascii="Abo-thar" w:hAnsi="Abo-thar" w:hint="cs"/>
          <w:sz w:val="28"/>
          <w:rtl/>
        </w:rPr>
        <w:t>رابعًا</w:t>
      </w:r>
      <w:r w:rsidR="00217AB4" w:rsidRPr="003F3B94">
        <w:rPr>
          <w:rFonts w:ascii="Abo-thar" w:hAnsi="Abo-thar" w:hint="cs"/>
          <w:sz w:val="28"/>
          <w:rtl/>
        </w:rPr>
        <w:t>-</w:t>
      </w:r>
      <w:r w:rsidR="005C664D" w:rsidRPr="003F3B94">
        <w:rPr>
          <w:rFonts w:ascii="Abo-thar" w:hAnsi="Abo-thar" w:hint="cs"/>
          <w:sz w:val="28"/>
          <w:rtl/>
        </w:rPr>
        <w:t xml:space="preserve"> عدَّه ابن داود في رجاله</w:t>
      </w:r>
      <w:r w:rsidR="0041266B" w:rsidRPr="0021507A">
        <w:rPr>
          <w:rFonts w:ascii="Abo-thar" w:hAnsi="Abo-thar" w:cs="Arabic11 BT"/>
          <w:sz w:val="28"/>
          <w:vertAlign w:val="superscript"/>
          <w:rtl/>
        </w:rPr>
        <w:t>(</w:t>
      </w:r>
      <w:r w:rsidR="0041266B" w:rsidRPr="0021507A">
        <w:rPr>
          <w:rStyle w:val="FootnoteReference"/>
          <w:rFonts w:ascii="Abo-thar" w:hAnsi="Abo-thar" w:cs="Arabic11 BT"/>
          <w:sz w:val="28"/>
          <w:rtl/>
        </w:rPr>
        <w:footnoteReference w:id="290"/>
      </w:r>
      <w:r w:rsidR="0041266B" w:rsidRPr="0021507A">
        <w:rPr>
          <w:rFonts w:ascii="Abo-thar" w:hAnsi="Abo-thar" w:cs="Arabic11 BT"/>
          <w:sz w:val="28"/>
          <w:vertAlign w:val="superscript"/>
          <w:rtl/>
        </w:rPr>
        <w:t>)</w:t>
      </w:r>
      <w:r w:rsidR="0041266B" w:rsidRPr="003F3B94">
        <w:rPr>
          <w:rFonts w:ascii="Abo-thar" w:hAnsi="Abo-thar" w:hint="cs"/>
          <w:sz w:val="28"/>
          <w:rtl/>
        </w:rPr>
        <w:t xml:space="preserve"> </w:t>
      </w:r>
      <w:r w:rsidR="005C664D" w:rsidRPr="003F3B94">
        <w:rPr>
          <w:rFonts w:ascii="Abo-thar" w:hAnsi="Abo-thar" w:hint="cs"/>
          <w:sz w:val="28"/>
          <w:rtl/>
        </w:rPr>
        <w:t>واقفياً وذكره في عداد المجروحين والمجهولين</w:t>
      </w:r>
      <w:r w:rsidR="0041266B" w:rsidRPr="0021507A">
        <w:rPr>
          <w:rFonts w:ascii="Abo-thar" w:hAnsi="Abo-thar" w:cs="Arabic11 BT"/>
          <w:sz w:val="28"/>
          <w:vertAlign w:val="superscript"/>
          <w:rtl/>
        </w:rPr>
        <w:t>(</w:t>
      </w:r>
      <w:r w:rsidR="0041266B" w:rsidRPr="0021507A">
        <w:rPr>
          <w:rStyle w:val="FootnoteReference"/>
          <w:rFonts w:ascii="Abo-thar" w:hAnsi="Abo-thar" w:cs="Arabic11 BT"/>
          <w:sz w:val="28"/>
          <w:rtl/>
        </w:rPr>
        <w:footnoteReference w:id="291"/>
      </w:r>
      <w:r w:rsidR="0041266B" w:rsidRPr="0021507A">
        <w:rPr>
          <w:rFonts w:ascii="Abo-thar" w:hAnsi="Abo-thar" w:cs="Arabic11 BT"/>
          <w:sz w:val="28"/>
          <w:vertAlign w:val="superscript"/>
          <w:rtl/>
        </w:rPr>
        <w:t>)</w:t>
      </w:r>
      <w:r w:rsidR="00217AB4" w:rsidRPr="003F3B94">
        <w:rPr>
          <w:rFonts w:ascii="Abo-thar" w:hAnsi="Abo-thar" w:hint="cs"/>
          <w:sz w:val="28"/>
          <w:rtl/>
        </w:rPr>
        <w:t>.</w:t>
      </w:r>
    </w:p>
    <w:p w:rsidR="005C664D" w:rsidRPr="003F3B94" w:rsidRDefault="00FE2278" w:rsidP="003F3B94">
      <w:pPr>
        <w:pStyle w:val="a0"/>
        <w:rPr>
          <w:rFonts w:hint="cs"/>
          <w:rtl/>
        </w:rPr>
      </w:pPr>
      <w:r w:rsidRPr="003F3B94">
        <w:rPr>
          <w:rFonts w:ascii="Abo-thar" w:hAnsi="Abo-thar" w:hint="cs"/>
          <w:sz w:val="28"/>
          <w:rtl/>
        </w:rPr>
        <w:t>خامسًا</w:t>
      </w:r>
      <w:r w:rsidR="00217AB4" w:rsidRPr="003F3B94">
        <w:rPr>
          <w:rFonts w:ascii="Abo-thar" w:hAnsi="Abo-thar" w:hint="cs"/>
          <w:sz w:val="28"/>
          <w:rtl/>
        </w:rPr>
        <w:t>-</w:t>
      </w:r>
      <w:r w:rsidR="005C664D" w:rsidRPr="003F3B94">
        <w:rPr>
          <w:rFonts w:ascii="Abo-thar" w:hAnsi="Abo-thar" w:hint="cs"/>
          <w:sz w:val="28"/>
          <w:rtl/>
        </w:rPr>
        <w:t xml:space="preserve"> وقد وافق صاحبُ المدارك الشيخَ الصدوقَ في عدم اعتداده بهذه الرواية</w:t>
      </w:r>
      <w:r w:rsidR="00217AB4" w:rsidRPr="003F3B94">
        <w:rPr>
          <w:rFonts w:ascii="Abo-thar" w:hAnsi="Abo-thar" w:hint="cs"/>
          <w:sz w:val="28"/>
          <w:rtl/>
        </w:rPr>
        <w:t>.</w:t>
      </w:r>
    </w:p>
    <w:p w:rsidR="005C664D" w:rsidRPr="003F3B94" w:rsidRDefault="00FE2278" w:rsidP="003F3B94">
      <w:pPr>
        <w:pStyle w:val="a0"/>
        <w:rPr>
          <w:rFonts w:hint="cs"/>
          <w:rtl/>
        </w:rPr>
      </w:pPr>
      <w:r w:rsidRPr="003F3B94">
        <w:rPr>
          <w:rFonts w:ascii="Abo-thar" w:hAnsi="Abo-thar" w:hint="cs"/>
          <w:sz w:val="28"/>
          <w:rtl/>
        </w:rPr>
        <w:t>سادسًا</w:t>
      </w:r>
      <w:r w:rsidR="00217AB4" w:rsidRPr="003F3B94">
        <w:rPr>
          <w:rFonts w:ascii="Abo-thar" w:hAnsi="Abo-thar" w:hint="cs"/>
          <w:sz w:val="28"/>
          <w:rtl/>
        </w:rPr>
        <w:t>-</w:t>
      </w:r>
      <w:r w:rsidR="005C664D" w:rsidRPr="003F3B94">
        <w:rPr>
          <w:rFonts w:ascii="Abo-thar" w:hAnsi="Abo-thar" w:hint="cs"/>
          <w:sz w:val="28"/>
          <w:rtl/>
        </w:rPr>
        <w:t xml:space="preserve"> بعد أن اعتبر العلامة المامقاني في كتابه </w:t>
      </w:r>
      <w:r w:rsidR="005C664D" w:rsidRPr="003F3B94">
        <w:rPr>
          <w:rFonts w:ascii="Abo-thar" w:hAnsi="Abo-thar"/>
          <w:sz w:val="28"/>
          <w:rtl/>
        </w:rPr>
        <w:t>«</w:t>
      </w:r>
      <w:r w:rsidR="005C664D" w:rsidRPr="003F3B94">
        <w:rPr>
          <w:rFonts w:ascii="Abo-thar" w:hAnsi="Abo-thar" w:hint="cs"/>
          <w:sz w:val="28"/>
          <w:rtl/>
        </w:rPr>
        <w:t>مقباس الهداية</w:t>
      </w:r>
      <w:r w:rsidR="005C664D" w:rsidRPr="003F3B94">
        <w:rPr>
          <w:rFonts w:ascii="Abo-thar" w:hAnsi="Abo-thar"/>
          <w:sz w:val="28"/>
          <w:rtl/>
        </w:rPr>
        <w:t>»</w:t>
      </w:r>
      <w:r w:rsidR="005C664D" w:rsidRPr="003F3B94">
        <w:rPr>
          <w:rFonts w:ascii="Abo-thar" w:hAnsi="Abo-thar" w:hint="cs"/>
          <w:sz w:val="28"/>
          <w:rtl/>
        </w:rPr>
        <w:t xml:space="preserve"> أن </w:t>
      </w:r>
      <w:r w:rsidR="005C664D" w:rsidRPr="003F3B94">
        <w:rPr>
          <w:rFonts w:ascii="Abo-thar" w:hAnsi="Abo-thar"/>
          <w:sz w:val="28"/>
          <w:rtl/>
        </w:rPr>
        <w:t>«</w:t>
      </w:r>
      <w:r w:rsidR="005C664D" w:rsidRPr="003F3B94">
        <w:rPr>
          <w:rFonts w:ascii="Abo-thar" w:hAnsi="Abo-thar"/>
          <w:bCs/>
          <w:sz w:val="28"/>
          <w:rtl/>
        </w:rPr>
        <w:t>سَمَاعَةَ بْنِ مِهْرَانَ</w:t>
      </w:r>
      <w:r w:rsidR="005C664D" w:rsidRPr="003F3B94">
        <w:rPr>
          <w:rFonts w:ascii="Abo-thar" w:hAnsi="Abo-thar"/>
          <w:sz w:val="28"/>
          <w:rtl/>
        </w:rPr>
        <w:t>»</w:t>
      </w:r>
      <w:r w:rsidR="005C664D" w:rsidRPr="003F3B94">
        <w:rPr>
          <w:rFonts w:ascii="Abo-thar" w:hAnsi="Abo-thar" w:hint="cs"/>
          <w:sz w:val="28"/>
          <w:rtl/>
        </w:rPr>
        <w:t xml:space="preserve"> كان من الواقفة</w:t>
      </w:r>
      <w:r w:rsidR="0041266B" w:rsidRPr="0021507A">
        <w:rPr>
          <w:rFonts w:ascii="Abo-thar" w:hAnsi="Abo-thar" w:cs="Arabic11 BT"/>
          <w:sz w:val="28"/>
          <w:vertAlign w:val="superscript"/>
          <w:rtl/>
        </w:rPr>
        <w:t>(</w:t>
      </w:r>
      <w:r w:rsidR="0041266B" w:rsidRPr="0021507A">
        <w:rPr>
          <w:rStyle w:val="FootnoteReference"/>
          <w:rFonts w:ascii="Abo-thar" w:hAnsi="Abo-thar" w:cs="Arabic11 BT"/>
          <w:sz w:val="28"/>
          <w:rtl/>
        </w:rPr>
        <w:footnoteReference w:id="292"/>
      </w:r>
      <w:r w:rsidR="0041266B" w:rsidRPr="0021507A">
        <w:rPr>
          <w:rFonts w:ascii="Abo-thar" w:hAnsi="Abo-thar" w:cs="Arabic11 BT"/>
          <w:sz w:val="28"/>
          <w:vertAlign w:val="superscript"/>
          <w:rtl/>
        </w:rPr>
        <w:t>)</w:t>
      </w:r>
      <w:r w:rsidR="00217AB4" w:rsidRPr="003F3B94">
        <w:rPr>
          <w:rFonts w:ascii="Abo-thar" w:hAnsi="Abo-thar" w:hint="cs"/>
          <w:sz w:val="28"/>
          <w:rtl/>
        </w:rPr>
        <w:t>،</w:t>
      </w:r>
      <w:r w:rsidR="005C664D" w:rsidRPr="003F3B94">
        <w:rPr>
          <w:rFonts w:ascii="Abo-thar" w:hAnsi="Abo-thar" w:hint="cs"/>
          <w:sz w:val="28"/>
          <w:rtl/>
        </w:rPr>
        <w:t xml:space="preserve"> نقل عن المرحوم </w:t>
      </w:r>
      <w:r w:rsidR="005C664D" w:rsidRPr="003F3B94">
        <w:rPr>
          <w:rFonts w:ascii="Abo-thar" w:hAnsi="Abo-thar"/>
          <w:sz w:val="28"/>
          <w:rtl/>
        </w:rPr>
        <w:t>«</w:t>
      </w:r>
      <w:r w:rsidR="005C664D" w:rsidRPr="003F3B94">
        <w:rPr>
          <w:rFonts w:ascii="Abo-thar" w:hAnsi="Abo-thar" w:hint="cs"/>
          <w:sz w:val="28"/>
          <w:rtl/>
        </w:rPr>
        <w:t>الوحيد البهبهاني</w:t>
      </w:r>
      <w:r w:rsidR="005C664D" w:rsidRPr="003F3B94">
        <w:rPr>
          <w:rFonts w:ascii="Abo-thar" w:hAnsi="Abo-thar"/>
          <w:sz w:val="28"/>
          <w:rtl/>
        </w:rPr>
        <w:t>»</w:t>
      </w:r>
      <w:r w:rsidR="005C664D" w:rsidRPr="003F3B94">
        <w:rPr>
          <w:rFonts w:ascii="Abo-thar" w:hAnsi="Abo-thar" w:hint="cs"/>
          <w:sz w:val="28"/>
          <w:rtl/>
        </w:rPr>
        <w:t xml:space="preserve"> الذي كان أستاذ المامقاني في الدفاع عن الرجال سيِّ</w:t>
      </w:r>
      <w:r w:rsidR="0041266B" w:rsidRPr="003F3B94">
        <w:rPr>
          <w:rFonts w:ascii="Abo-thar" w:hAnsi="Abo-thar" w:hint="cs"/>
          <w:sz w:val="28"/>
          <w:rtl/>
        </w:rPr>
        <w:t>ئي</w:t>
      </w:r>
      <w:r w:rsidR="005C664D" w:rsidRPr="003F3B94">
        <w:rPr>
          <w:rFonts w:ascii="Abo-thar" w:hAnsi="Abo-thar" w:hint="cs"/>
          <w:sz w:val="28"/>
          <w:rtl/>
        </w:rPr>
        <w:t xml:space="preserve"> السمعة وتطهيرهم</w:t>
      </w:r>
      <w:r w:rsidR="00217AB4" w:rsidRPr="003F3B94">
        <w:rPr>
          <w:rFonts w:ascii="Abo-thar" w:hAnsi="Abo-thar" w:hint="cs"/>
          <w:sz w:val="28"/>
          <w:rtl/>
        </w:rPr>
        <w:t>،</w:t>
      </w:r>
      <w:r w:rsidR="005C664D" w:rsidRPr="003F3B94">
        <w:rPr>
          <w:rFonts w:ascii="Abo-thar" w:hAnsi="Abo-thar" w:hint="cs"/>
          <w:sz w:val="28"/>
          <w:rtl/>
        </w:rPr>
        <w:t xml:space="preserve"> قوله</w:t>
      </w:r>
      <w:r w:rsidR="00217AB4" w:rsidRPr="003F3B94">
        <w:rPr>
          <w:rFonts w:ascii="Abo-thar" w:hAnsi="Abo-thar" w:hint="cs"/>
          <w:sz w:val="28"/>
          <w:rtl/>
        </w:rPr>
        <w:t>:</w:t>
      </w:r>
      <w:r w:rsidR="005C664D" w:rsidRPr="003F3B94">
        <w:rPr>
          <w:rFonts w:ascii="Abo-thar" w:hAnsi="Abo-thar" w:hint="cs"/>
          <w:sz w:val="28"/>
          <w:rtl/>
        </w:rPr>
        <w:t xml:space="preserve"> </w:t>
      </w:r>
      <w:r w:rsidR="00EF2588" w:rsidRPr="003F3B94">
        <w:rPr>
          <w:rFonts w:ascii="Abo-thar" w:hAnsi="Abo-thar" w:hint="cs"/>
          <w:sz w:val="28"/>
          <w:rtl/>
        </w:rPr>
        <w:t>«</w:t>
      </w:r>
      <w:r w:rsidR="005C664D" w:rsidRPr="003F3B94">
        <w:rPr>
          <w:rFonts w:ascii="Abo-thar" w:hAnsi="Abo-thar" w:hint="cs"/>
          <w:b/>
          <w:bCs/>
          <w:sz w:val="28"/>
          <w:rtl/>
        </w:rPr>
        <w:t>وغير معلوم كفر هذا الشخص</w:t>
      </w:r>
      <w:r w:rsidR="00EF2588" w:rsidRPr="003F3B94">
        <w:rPr>
          <w:rFonts w:ascii="Abo-thar" w:hAnsi="Abo-thar" w:hint="cs"/>
          <w:sz w:val="28"/>
          <w:rtl/>
        </w:rPr>
        <w:t>»</w:t>
      </w:r>
      <w:r w:rsidR="005C664D" w:rsidRPr="003F3B94">
        <w:rPr>
          <w:rFonts w:ascii="Abo-thar" w:hAnsi="Abo-thar" w:hint="cs"/>
          <w:sz w:val="28"/>
          <w:rtl/>
        </w:rPr>
        <w:t xml:space="preserve"> مما يبين أن أئمّة الرجال نزلوا به إلى حد الكفر</w:t>
      </w:r>
      <w:r w:rsidR="00217AB4" w:rsidRPr="003F3B94">
        <w:rPr>
          <w:rFonts w:ascii="Abo-thar" w:hAnsi="Abo-thar" w:hint="cs"/>
          <w:sz w:val="28"/>
          <w:rtl/>
        </w:rPr>
        <w:t>،</w:t>
      </w:r>
      <w:r w:rsidR="0041266B" w:rsidRPr="003F3B94">
        <w:rPr>
          <w:rFonts w:ascii="Abo-thar" w:hAnsi="Abo-thar" w:hint="cs"/>
          <w:sz w:val="28"/>
          <w:rtl/>
        </w:rPr>
        <w:t xml:space="preserve"> ثم أبدى أولئك الرجاليو</w:t>
      </w:r>
      <w:r w:rsidR="005C664D" w:rsidRPr="003F3B94">
        <w:rPr>
          <w:rFonts w:ascii="Abo-thar" w:hAnsi="Abo-thar" w:hint="cs"/>
          <w:sz w:val="28"/>
          <w:rtl/>
        </w:rPr>
        <w:t>ن</w:t>
      </w:r>
      <w:r w:rsidR="00217AB4" w:rsidRPr="003F3B94">
        <w:rPr>
          <w:rFonts w:ascii="Abo-thar" w:hAnsi="Abo-thar" w:hint="cs"/>
          <w:sz w:val="28"/>
          <w:rtl/>
        </w:rPr>
        <w:t>،</w:t>
      </w:r>
      <w:r w:rsidR="005C664D" w:rsidRPr="003F3B94">
        <w:rPr>
          <w:rFonts w:ascii="Abo-thar" w:hAnsi="Abo-thar" w:hint="cs"/>
          <w:sz w:val="28"/>
          <w:rtl/>
        </w:rPr>
        <w:t xml:space="preserve"> في معرض الدفاع عنه</w:t>
      </w:r>
      <w:r w:rsidR="00217AB4" w:rsidRPr="003F3B94">
        <w:rPr>
          <w:rFonts w:ascii="Abo-thar" w:hAnsi="Abo-thar" w:hint="cs"/>
          <w:sz w:val="28"/>
          <w:rtl/>
        </w:rPr>
        <w:t>،</w:t>
      </w:r>
      <w:r w:rsidR="005C664D" w:rsidRPr="003F3B94">
        <w:rPr>
          <w:rFonts w:ascii="Abo-thar" w:hAnsi="Abo-thar" w:hint="cs"/>
          <w:sz w:val="28"/>
          <w:rtl/>
        </w:rPr>
        <w:t xml:space="preserve"> عدم علمهم بكفره</w:t>
      </w:r>
      <w:r w:rsidR="00217AB4" w:rsidRPr="003F3B94">
        <w:rPr>
          <w:rFonts w:ascii="Abo-thar" w:hAnsi="Abo-thar" w:hint="cs"/>
          <w:sz w:val="28"/>
          <w:rtl/>
        </w:rPr>
        <w:t>!</w:t>
      </w:r>
      <w:r w:rsidR="00147857" w:rsidRPr="003F3B94">
        <w:rPr>
          <w:rFonts w:ascii="Abo-thar" w:hAnsi="Abo-thar" w:hint="cs"/>
          <w:sz w:val="28"/>
          <w:rtl/>
        </w:rPr>
        <w:t xml:space="preserve"> </w:t>
      </w:r>
      <w:r w:rsidR="005C664D" w:rsidRPr="003F3B94">
        <w:rPr>
          <w:rFonts w:ascii="Abo-thar" w:hAnsi="Abo-thar" w:hint="cs"/>
          <w:sz w:val="28"/>
          <w:rtl/>
        </w:rPr>
        <w:t xml:space="preserve">وعلى كلّ حال لما كان أهم سبب لصيرورة الشخص واقفياً هي أكل الأموال التي كانت قد أخذت باسم الإمام الكاظم </w:t>
      </w:r>
      <w:r w:rsidR="003C7AEB" w:rsidRPr="003C7AEB">
        <w:rPr>
          <w:rFonts w:ascii="Abo-thar" w:hAnsi="Abo-thar" w:cs="CTraditional Arabic" w:hint="cs"/>
          <w:sz w:val="28"/>
          <w:rtl/>
        </w:rPr>
        <w:t>÷</w:t>
      </w:r>
      <w:r w:rsidR="005C664D" w:rsidRPr="003F3B94">
        <w:rPr>
          <w:rFonts w:ascii="Abo-thar" w:hAnsi="Abo-thar" w:hint="cs"/>
          <w:sz w:val="28"/>
          <w:rtl/>
        </w:rPr>
        <w:t xml:space="preserve"> فإن مثل هذه الروايات مظنَّةٌ للوضع والكذب</w:t>
      </w:r>
      <w:r w:rsidR="00217AB4" w:rsidRPr="003F3B94">
        <w:rPr>
          <w:rFonts w:ascii="Abo-thar" w:hAnsi="Abo-thar" w:hint="cs"/>
          <w:sz w:val="28"/>
          <w:rtl/>
        </w:rPr>
        <w:t>.</w:t>
      </w:r>
    </w:p>
    <w:p w:rsidR="005C664D" w:rsidRPr="003F3B94" w:rsidRDefault="00FE2278" w:rsidP="003F3B94">
      <w:pPr>
        <w:pStyle w:val="a0"/>
        <w:rPr>
          <w:rFonts w:hint="cs"/>
          <w:rtl/>
        </w:rPr>
      </w:pPr>
      <w:r w:rsidRPr="003F3B94">
        <w:rPr>
          <w:rFonts w:ascii="Abo-thar" w:hAnsi="Abo-thar" w:hint="cs"/>
          <w:sz w:val="28"/>
          <w:rtl/>
        </w:rPr>
        <w:t>سابعًا</w:t>
      </w:r>
      <w:r w:rsidR="00217AB4" w:rsidRPr="003F3B94">
        <w:rPr>
          <w:rFonts w:ascii="Abo-thar" w:hAnsi="Abo-thar" w:hint="cs"/>
          <w:sz w:val="28"/>
          <w:rtl/>
        </w:rPr>
        <w:t>-</w:t>
      </w:r>
      <w:r w:rsidR="005C664D" w:rsidRPr="003F3B94">
        <w:rPr>
          <w:rFonts w:ascii="Abo-thar" w:hAnsi="Abo-thar" w:hint="cs"/>
          <w:sz w:val="28"/>
          <w:rtl/>
        </w:rPr>
        <w:t xml:space="preserve"> لم يُروَ هذا الحديث في أيٍّ من الكتب الحديثية الفقهية الأربعة </w:t>
      </w:r>
      <w:r w:rsidR="00217AB4" w:rsidRPr="003F3B94">
        <w:rPr>
          <w:rFonts w:ascii="Abo-thar" w:hAnsi="Abo-thar" w:hint="cs"/>
          <w:sz w:val="28"/>
          <w:rtl/>
        </w:rPr>
        <w:t>(</w:t>
      </w:r>
      <w:r w:rsidR="005C664D" w:rsidRPr="003F3B94">
        <w:rPr>
          <w:rFonts w:ascii="Abo-thar" w:hAnsi="Abo-thar" w:hint="cs"/>
          <w:sz w:val="28"/>
          <w:rtl/>
        </w:rPr>
        <w:t>فروع الكافي والتهذيب والاستبصار ومن لا يحضره الفقيه</w:t>
      </w:r>
      <w:r w:rsidR="00217AB4" w:rsidRPr="003F3B94">
        <w:rPr>
          <w:rFonts w:ascii="Abo-thar" w:hAnsi="Abo-thar" w:hint="cs"/>
          <w:sz w:val="28"/>
          <w:rtl/>
        </w:rPr>
        <w:t>)</w:t>
      </w:r>
      <w:r w:rsidR="005C664D" w:rsidRPr="003F3B94">
        <w:rPr>
          <w:rFonts w:ascii="Abo-thar" w:hAnsi="Abo-thar" w:hint="cs"/>
          <w:sz w:val="28"/>
          <w:rtl/>
        </w:rPr>
        <w:t xml:space="preserve"> وإذا كان قد ورد في أصول الكافي فلأن صاحب أصول الكافي لم يكن يعتقد بذلك الخُمس الذي يقولون به</w:t>
      </w:r>
      <w:r w:rsidR="00217AB4" w:rsidRPr="003F3B94">
        <w:rPr>
          <w:rFonts w:ascii="Abo-thar" w:hAnsi="Abo-thar" w:hint="cs"/>
          <w:sz w:val="28"/>
          <w:rtl/>
        </w:rPr>
        <w:t>،</w:t>
      </w:r>
      <w:r w:rsidR="005C664D" w:rsidRPr="003F3B94">
        <w:rPr>
          <w:rFonts w:ascii="Abo-thar" w:hAnsi="Abo-thar" w:hint="cs"/>
          <w:sz w:val="28"/>
          <w:rtl/>
        </w:rPr>
        <w:t xml:space="preserve"> بل كان يرى أن الخُمس خاصٌّ بالإمام</w:t>
      </w:r>
      <w:r w:rsidR="00217AB4" w:rsidRPr="003F3B94">
        <w:rPr>
          <w:rFonts w:ascii="Abo-thar" w:hAnsi="Abo-thar" w:hint="cs"/>
          <w:sz w:val="28"/>
          <w:rtl/>
        </w:rPr>
        <w:t>،</w:t>
      </w:r>
      <w:r w:rsidR="005C664D" w:rsidRPr="003F3B94">
        <w:rPr>
          <w:rFonts w:ascii="Abo-thar" w:hAnsi="Abo-thar" w:hint="cs"/>
          <w:sz w:val="28"/>
          <w:rtl/>
        </w:rPr>
        <w:t xml:space="preserve"> لذا أتى بهذه الرواية في كتاب </w:t>
      </w:r>
      <w:r w:rsidR="005C664D" w:rsidRPr="003F3B94">
        <w:rPr>
          <w:rFonts w:ascii="Abo-thar" w:hAnsi="Abo-thar"/>
          <w:sz w:val="28"/>
          <w:rtl/>
        </w:rPr>
        <w:t>«</w:t>
      </w:r>
      <w:r w:rsidR="005C664D" w:rsidRPr="003F3B94">
        <w:rPr>
          <w:rFonts w:ascii="Abo-thar" w:hAnsi="Abo-thar" w:hint="cs"/>
          <w:sz w:val="28"/>
          <w:rtl/>
        </w:rPr>
        <w:t>الحجّة</w:t>
      </w:r>
      <w:r w:rsidR="005C664D" w:rsidRPr="003F3B94">
        <w:rPr>
          <w:rFonts w:ascii="Abo-thar" w:hAnsi="Abo-thar"/>
          <w:sz w:val="28"/>
          <w:rtl/>
        </w:rPr>
        <w:t>»</w:t>
      </w:r>
      <w:r w:rsidR="005C664D" w:rsidRPr="003F3B94">
        <w:rPr>
          <w:rFonts w:ascii="Abo-thar" w:hAnsi="Abo-thar" w:hint="cs"/>
          <w:sz w:val="28"/>
          <w:rtl/>
        </w:rPr>
        <w:t xml:space="preserve"> ضمن سرده لسائر خواص الأئمة وصفاتهم ومزاياهم</w:t>
      </w:r>
      <w:r w:rsidR="00217AB4" w:rsidRPr="003F3B94">
        <w:rPr>
          <w:rFonts w:ascii="Abo-thar" w:hAnsi="Abo-thar" w:hint="cs"/>
          <w:sz w:val="28"/>
          <w:rtl/>
        </w:rPr>
        <w:t>.</w:t>
      </w:r>
    </w:p>
    <w:p w:rsidR="005C664D" w:rsidRPr="003F3B94" w:rsidRDefault="00FE2278" w:rsidP="003F3B94">
      <w:pPr>
        <w:pStyle w:val="a0"/>
        <w:rPr>
          <w:rFonts w:hint="cs"/>
          <w:rtl/>
        </w:rPr>
      </w:pPr>
      <w:r w:rsidRPr="003F3B94">
        <w:rPr>
          <w:rFonts w:ascii="Abo-thar" w:hAnsi="Abo-thar" w:hint="cs"/>
          <w:b/>
          <w:bCs/>
          <w:sz w:val="28"/>
          <w:rtl/>
        </w:rPr>
        <w:t xml:space="preserve">ب: </w:t>
      </w:r>
      <w:r w:rsidR="005C664D" w:rsidRPr="003F3B94">
        <w:rPr>
          <w:rFonts w:ascii="Abo-thar" w:hAnsi="Abo-thar" w:hint="cs"/>
          <w:b/>
          <w:bCs/>
          <w:sz w:val="28"/>
          <w:rtl/>
        </w:rPr>
        <w:t>أما من ناحية متن الحديث</w:t>
      </w:r>
      <w:r w:rsidR="00217AB4" w:rsidRPr="003F3B94">
        <w:rPr>
          <w:rFonts w:ascii="Abo-thar" w:hAnsi="Abo-thar" w:hint="cs"/>
          <w:b/>
          <w:bCs/>
          <w:sz w:val="28"/>
          <w:rtl/>
        </w:rPr>
        <w:t>:</w:t>
      </w:r>
      <w:r w:rsidR="005C664D" w:rsidRPr="003F3B94">
        <w:rPr>
          <w:rFonts w:ascii="Abo-thar" w:hAnsi="Abo-thar" w:hint="cs"/>
          <w:b/>
          <w:bCs/>
          <w:sz w:val="28"/>
          <w:rtl/>
        </w:rPr>
        <w:t xml:space="preserve"> </w:t>
      </w:r>
    </w:p>
    <w:p w:rsidR="005C664D" w:rsidRPr="003F3B94" w:rsidRDefault="005C664D" w:rsidP="003F3B94">
      <w:pPr>
        <w:pStyle w:val="a0"/>
        <w:rPr>
          <w:rFonts w:hint="cs"/>
          <w:rtl/>
        </w:rPr>
      </w:pPr>
      <w:r w:rsidRPr="003F3B94">
        <w:rPr>
          <w:rFonts w:ascii="Abo-thar" w:hAnsi="Abo-thar" w:hint="cs"/>
          <w:sz w:val="28"/>
          <w:rtl/>
        </w:rPr>
        <w:t>لقد سأل السائل الإمام عن الخمس ولكننا لا ندري أي خمس كان يقصد</w:t>
      </w:r>
      <w:r w:rsidR="00217AB4" w:rsidRPr="003F3B94">
        <w:rPr>
          <w:rFonts w:ascii="Abo-thar" w:hAnsi="Abo-thar" w:hint="cs"/>
          <w:sz w:val="28"/>
          <w:rtl/>
        </w:rPr>
        <w:t>؟</w:t>
      </w:r>
      <w:r w:rsidRPr="003F3B94">
        <w:rPr>
          <w:rFonts w:ascii="Abo-thar" w:hAnsi="Abo-thar" w:hint="cs"/>
          <w:sz w:val="28"/>
          <w:rtl/>
        </w:rPr>
        <w:t xml:space="preserve"> هل خمس الغنائم التي يجب إخراج كل ما يعود للإنسان منها أم هو خمس المعادن والكنوز والغوص</w:t>
      </w:r>
      <w:r w:rsidR="00147857" w:rsidRPr="003F3B94">
        <w:rPr>
          <w:rFonts w:ascii="Abo-thar" w:hAnsi="Abo-thar" w:hint="cs"/>
          <w:sz w:val="28"/>
          <w:rtl/>
        </w:rPr>
        <w:t xml:space="preserve"> </w:t>
      </w:r>
      <w:r w:rsidRPr="003F3B94">
        <w:rPr>
          <w:rFonts w:ascii="Abo-thar" w:hAnsi="Abo-thar" w:hint="cs"/>
          <w:sz w:val="28"/>
          <w:rtl/>
        </w:rPr>
        <w:t>وأمثالها أم خمس أرباح المكاسب والتجارات</w:t>
      </w:r>
      <w:r w:rsidR="00147857" w:rsidRPr="003F3B94">
        <w:rPr>
          <w:rFonts w:ascii="Abo-thar" w:hAnsi="Abo-thar" w:hint="cs"/>
          <w:sz w:val="28"/>
          <w:rtl/>
        </w:rPr>
        <w:t xml:space="preserve"> </w:t>
      </w:r>
      <w:r w:rsidRPr="003F3B94">
        <w:rPr>
          <w:rFonts w:ascii="Abo-thar" w:hAnsi="Abo-thar" w:hint="cs"/>
          <w:sz w:val="28"/>
          <w:rtl/>
        </w:rPr>
        <w:t>والزراعات</w:t>
      </w:r>
      <w:r w:rsidR="00217AB4" w:rsidRPr="003F3B94">
        <w:rPr>
          <w:rFonts w:ascii="Abo-thar" w:hAnsi="Abo-thar" w:hint="cs"/>
          <w:sz w:val="28"/>
          <w:rtl/>
        </w:rPr>
        <w:t>؟</w:t>
      </w:r>
      <w:r w:rsidRPr="003F3B94">
        <w:rPr>
          <w:rFonts w:ascii="Abo-thar" w:hAnsi="Abo-thar" w:hint="cs"/>
          <w:sz w:val="28"/>
          <w:rtl/>
        </w:rPr>
        <w:t xml:space="preserve"> القدر المسلَّم به أنه ليس خمس المعادن والكنوز</w:t>
      </w:r>
      <w:r w:rsidR="00147857" w:rsidRPr="003F3B94">
        <w:rPr>
          <w:rFonts w:ascii="Abo-thar" w:hAnsi="Abo-thar" w:hint="cs"/>
          <w:sz w:val="28"/>
          <w:rtl/>
        </w:rPr>
        <w:t xml:space="preserve"> </w:t>
      </w:r>
      <w:r w:rsidRPr="003F3B94">
        <w:rPr>
          <w:rFonts w:ascii="Abo-thar" w:hAnsi="Abo-thar" w:hint="cs"/>
          <w:sz w:val="28"/>
          <w:rtl/>
        </w:rPr>
        <w:t>لأن للمعادن والكنوز نصاب إذا وصلت إليه وجبت فيها الزكاة كما مرَّ شرحه فيما سبق</w:t>
      </w:r>
      <w:r w:rsidR="00217AB4" w:rsidRPr="003F3B94">
        <w:rPr>
          <w:rFonts w:ascii="Abo-thar" w:hAnsi="Abo-thar" w:hint="cs"/>
          <w:sz w:val="28"/>
          <w:rtl/>
        </w:rPr>
        <w:t>.</w:t>
      </w:r>
      <w:r w:rsidRPr="003F3B94">
        <w:rPr>
          <w:rFonts w:ascii="Abo-thar" w:hAnsi="Abo-thar" w:hint="cs"/>
          <w:sz w:val="28"/>
          <w:rtl/>
        </w:rPr>
        <w:t xml:space="preserve"> وكذلك ليس هو خمس المكاسب لأن مثل ذلك الخمس لم يكن رائجاً ومعروفاً في ذلك الزمن ومعظم الأخبار الواردة بشأن مثل هذا الخمس إنّما وردت عن علي بن مهزيار ومن بعده</w:t>
      </w:r>
      <w:r w:rsidR="00217AB4" w:rsidRPr="003F3B94">
        <w:rPr>
          <w:rFonts w:ascii="Abo-thar" w:hAnsi="Abo-thar" w:hint="cs"/>
          <w:sz w:val="28"/>
          <w:rtl/>
        </w:rPr>
        <w:t>!!!</w:t>
      </w:r>
      <w:r w:rsidRPr="003F3B94">
        <w:rPr>
          <w:rFonts w:ascii="Abo-thar" w:hAnsi="Abo-thar" w:hint="cs"/>
          <w:sz w:val="28"/>
          <w:rtl/>
        </w:rPr>
        <w:t xml:space="preserve"> فالظاهر أن السؤال كان عن الخمس المتعلّق بخمس الغنائم المعروف</w:t>
      </w:r>
      <w:r w:rsidR="001E0DB7" w:rsidRPr="003F3B94">
        <w:rPr>
          <w:rFonts w:ascii="Abo-thar" w:hAnsi="Abo-thar" w:hint="cs"/>
          <w:sz w:val="28"/>
          <w:rtl/>
        </w:rPr>
        <w:t>،</w:t>
      </w:r>
      <w:r w:rsidRPr="003F3B94">
        <w:rPr>
          <w:rFonts w:ascii="Abo-thar" w:hAnsi="Abo-thar" w:hint="cs"/>
          <w:sz w:val="28"/>
          <w:rtl/>
        </w:rPr>
        <w:t xml:space="preserve"> لأن الفرد البارز والظاهر الذي يتبادر للذهن مباشرةً هو خمس غنائم دار الحرب</w:t>
      </w:r>
      <w:r w:rsidR="001E0DB7" w:rsidRPr="003F3B94">
        <w:rPr>
          <w:rFonts w:ascii="Abo-thar" w:hAnsi="Abo-thar" w:hint="cs"/>
          <w:sz w:val="28"/>
          <w:rtl/>
        </w:rPr>
        <w:t>،</w:t>
      </w:r>
      <w:r w:rsidRPr="003F3B94">
        <w:rPr>
          <w:rFonts w:ascii="Abo-thar" w:hAnsi="Abo-thar" w:hint="cs"/>
          <w:sz w:val="28"/>
          <w:rtl/>
        </w:rPr>
        <w:t xml:space="preserve"> وفي هذه الصورة يكون معنى الحديث صحيحاً وإن كان سنده معلولاً ومخدوشاً</w:t>
      </w:r>
      <w:r w:rsidR="00217AB4" w:rsidRPr="003F3B94">
        <w:rPr>
          <w:rFonts w:ascii="Abo-thar" w:hAnsi="Abo-thar" w:hint="cs"/>
          <w:sz w:val="28"/>
          <w:rtl/>
        </w:rPr>
        <w:t>.</w:t>
      </w:r>
      <w:r w:rsidRPr="003F3B94">
        <w:rPr>
          <w:rFonts w:ascii="Abo-thar" w:hAnsi="Abo-thar" w:hint="cs"/>
          <w:sz w:val="28"/>
          <w:rtl/>
        </w:rPr>
        <w:t xml:space="preserve"> </w:t>
      </w:r>
    </w:p>
    <w:p w:rsidR="005C664D" w:rsidRPr="003F3B94" w:rsidRDefault="005C664D" w:rsidP="003F3B94">
      <w:pPr>
        <w:pStyle w:val="a0"/>
        <w:rPr>
          <w:rFonts w:hint="cs"/>
          <w:rtl/>
        </w:rPr>
      </w:pPr>
      <w:r w:rsidRPr="003F3B94">
        <w:rPr>
          <w:rFonts w:ascii="Abo-thar" w:hAnsi="Abo-thar" w:hint="cs"/>
          <w:b/>
          <w:bCs/>
          <w:sz w:val="28"/>
          <w:rtl/>
        </w:rPr>
        <w:t>3</w:t>
      </w:r>
      <w:r w:rsidR="00FE2278" w:rsidRPr="003F3B94">
        <w:rPr>
          <w:rFonts w:ascii="Abo-thar" w:hAnsi="Abo-thar" w:hint="cs"/>
          <w:b/>
          <w:bCs/>
          <w:sz w:val="28"/>
          <w:rtl/>
        </w:rPr>
        <w:t>)</w:t>
      </w:r>
      <w:r w:rsidRPr="003F3B94">
        <w:rPr>
          <w:rFonts w:ascii="Abo-thar" w:hAnsi="Abo-thar" w:hint="cs"/>
          <w:b/>
          <w:bCs/>
          <w:sz w:val="28"/>
          <w:rtl/>
        </w:rPr>
        <w:t xml:space="preserve"> الحديث الثالث</w:t>
      </w:r>
      <w:r w:rsidR="00217AB4" w:rsidRPr="003F3B94">
        <w:rPr>
          <w:rFonts w:ascii="Abo-thar" w:hAnsi="Abo-thar" w:hint="cs"/>
          <w:b/>
          <w:bCs/>
          <w:sz w:val="28"/>
          <w:rtl/>
        </w:rPr>
        <w:t>:</w:t>
      </w:r>
      <w:r w:rsidRPr="003F3B94">
        <w:rPr>
          <w:rFonts w:ascii="Abo-thar" w:hAnsi="Abo-thar" w:hint="cs"/>
          <w:b/>
          <w:bCs/>
          <w:sz w:val="28"/>
          <w:rtl/>
        </w:rPr>
        <w:t xml:space="preserve"> </w:t>
      </w:r>
      <w:r w:rsidRPr="003F3B94">
        <w:rPr>
          <w:rFonts w:ascii="Abo-thar" w:hAnsi="Abo-thar" w:hint="cs"/>
          <w:sz w:val="28"/>
          <w:rtl/>
        </w:rPr>
        <w:t xml:space="preserve">والحديث الثامن في </w:t>
      </w:r>
      <w:r w:rsidRPr="003F3B94">
        <w:rPr>
          <w:rFonts w:ascii="Abo-thar" w:hAnsi="Abo-thar"/>
          <w:sz w:val="28"/>
          <w:rtl/>
        </w:rPr>
        <w:t>«</w:t>
      </w:r>
      <w:r w:rsidRPr="003F3B94">
        <w:rPr>
          <w:rFonts w:ascii="Abo-thar" w:hAnsi="Abo-thar" w:hint="cs"/>
          <w:sz w:val="28"/>
          <w:rtl/>
        </w:rPr>
        <w:t>وسائل الشيعة</w:t>
      </w:r>
      <w:r w:rsidRPr="003F3B94">
        <w:rPr>
          <w:rFonts w:ascii="Abo-thar" w:hAnsi="Abo-thar"/>
          <w:sz w:val="28"/>
          <w:rtl/>
        </w:rPr>
        <w:t>»</w:t>
      </w:r>
      <w:r w:rsidR="00217AB4" w:rsidRPr="003F3B94">
        <w:rPr>
          <w:rFonts w:ascii="Abo-thar" w:hAnsi="Abo-thar" w:hint="cs"/>
          <w:sz w:val="28"/>
          <w:rtl/>
        </w:rPr>
        <w:t>،</w:t>
      </w:r>
      <w:r w:rsidRPr="003F3B94">
        <w:rPr>
          <w:rFonts w:ascii="Abo-thar" w:hAnsi="Abo-thar" w:hint="cs"/>
          <w:sz w:val="28"/>
          <w:rtl/>
        </w:rPr>
        <w:t xml:space="preserve"> فهو أيضاً منقولٌ عن </w:t>
      </w:r>
      <w:r w:rsidRPr="003F3B94">
        <w:rPr>
          <w:rFonts w:ascii="Abo-thar" w:hAnsi="Abo-thar"/>
          <w:sz w:val="28"/>
          <w:rtl/>
        </w:rPr>
        <w:t>«</w:t>
      </w:r>
      <w:r w:rsidRPr="003F3B94">
        <w:rPr>
          <w:rFonts w:ascii="Abo-thar" w:hAnsi="Abo-thar" w:hint="cs"/>
          <w:sz w:val="28"/>
          <w:rtl/>
        </w:rPr>
        <w:t>أصول الكافي</w:t>
      </w:r>
      <w:r w:rsidRPr="003F3B94">
        <w:rPr>
          <w:rFonts w:ascii="Abo-thar" w:hAnsi="Abo-thar"/>
          <w:sz w:val="28"/>
          <w:rtl/>
        </w:rPr>
        <w:t>»</w:t>
      </w:r>
      <w:r w:rsidRPr="003F3B94">
        <w:rPr>
          <w:rFonts w:ascii="Abo-thar" w:hAnsi="Abo-thar" w:hint="cs"/>
          <w:sz w:val="28"/>
          <w:rtl/>
        </w:rPr>
        <w:t xml:space="preserve"> للكُلَيْنِيّ ولا وجود للحديث في أي من كتب الحديث الفقيهة الأربعة</w:t>
      </w:r>
      <w:r w:rsidR="00217AB4" w:rsidRPr="003F3B94">
        <w:rPr>
          <w:rFonts w:ascii="Abo-thar" w:hAnsi="Abo-thar" w:hint="cs"/>
          <w:sz w:val="28"/>
          <w:rtl/>
        </w:rPr>
        <w:t>:</w:t>
      </w:r>
      <w:r w:rsidR="00147857" w:rsidRPr="003F3B94">
        <w:rPr>
          <w:rFonts w:ascii="Abo-thar" w:hAnsi="Abo-thar" w:hint="cs"/>
          <w:sz w:val="28"/>
          <w:rtl/>
        </w:rPr>
        <w:t xml:space="preserve"> </w:t>
      </w:r>
    </w:p>
    <w:p w:rsidR="005C664D" w:rsidRPr="003F3B94" w:rsidRDefault="00EF2588" w:rsidP="003F3B94">
      <w:pPr>
        <w:pStyle w:val="a0"/>
        <w:rPr>
          <w:rFonts w:hint="cs"/>
          <w:rtl/>
        </w:rPr>
      </w:pPr>
      <w:r w:rsidRPr="004408B9">
        <w:rPr>
          <w:rFonts w:ascii="Abo-thar" w:hAnsi="Abo-thar" w:cs="KFGQPC Uthman Taha Naskh" w:hint="cs"/>
          <w:sz w:val="28"/>
          <w:rtl/>
        </w:rPr>
        <w:t>«</w:t>
      </w:r>
      <w:r w:rsidR="005C664D" w:rsidRPr="004408B9">
        <w:rPr>
          <w:rFonts w:ascii="Abo-thar" w:hAnsi="Abo-thar" w:cs="KFGQPC Uthman Taha Naskh"/>
          <w:b/>
          <w:bCs/>
          <w:sz w:val="28"/>
          <w:rtl/>
        </w:rPr>
        <w:t>وَعَنْ عِدَّةٍ مِنْ أَصْحَابِنَا عَنْ أَحْمَدَ بْنِ مُحَمَّدِ بْنِ عِيسَى عَنْ يَزِيدَ قَالَ كَتَبْتُ جُعِلْتُ لَكَ الفِدَاءَ تُعَلِّمُنِي مَا الفَائِدَةُ وَمَا حَدُّهَا رَأْيَكَ أَبْقَاكَ اللهُ أَنْ تَمُنَّ عَلَيَّ بِبَيَانِ ذَلِكَ لِكَيْ لَا أَكُونَ مُقِيماً عَلَى حَرَامٍ لَا صَلَاةَ لِي وَلَا صَوْمَ فَكَتَبَ الفَائِدَةُ مِمَّا يُفِيدُ إِلَيْكَ فِي تِجَارَةٍ مِنْ رِبْحِهَا وَحَرْثٌ بَعْدَ الغَرَامِ أَوْ جَائِزَةٌ</w:t>
      </w:r>
      <w:r w:rsidR="00F456DF" w:rsidRPr="004408B9">
        <w:rPr>
          <w:rFonts w:ascii="Abo-thar" w:hAnsi="Abo-thar" w:cs="KFGQPC Uthman Taha Naskh" w:hint="cs"/>
          <w:b/>
          <w:bCs/>
          <w:sz w:val="28"/>
          <w:rtl/>
        </w:rPr>
        <w:t>»</w:t>
      </w:r>
      <w:r w:rsidR="00217AB4" w:rsidRPr="003F3B94">
        <w:rPr>
          <w:rFonts w:ascii="Abo-thar" w:hAnsi="Abo-thar" w:hint="cs"/>
          <w:sz w:val="28"/>
          <w:rtl/>
        </w:rPr>
        <w:t>.</w:t>
      </w:r>
    </w:p>
    <w:p w:rsidR="005C664D" w:rsidRPr="003F3B94" w:rsidRDefault="00FE2278" w:rsidP="003F3B94">
      <w:pPr>
        <w:pStyle w:val="a0"/>
        <w:rPr>
          <w:rFonts w:hint="cs"/>
          <w:rtl/>
        </w:rPr>
      </w:pPr>
      <w:r w:rsidRPr="003F3B94">
        <w:rPr>
          <w:rFonts w:ascii="Abo-thar" w:hAnsi="Abo-thar" w:hint="cs"/>
          <w:b/>
          <w:bCs/>
          <w:sz w:val="28"/>
          <w:rtl/>
        </w:rPr>
        <w:t xml:space="preserve">أ: تمحيص </w:t>
      </w:r>
      <w:r w:rsidR="005C664D" w:rsidRPr="003F3B94">
        <w:rPr>
          <w:rFonts w:ascii="Abo-thar" w:hAnsi="Abo-thar" w:hint="cs"/>
          <w:b/>
          <w:bCs/>
          <w:sz w:val="28"/>
          <w:rtl/>
        </w:rPr>
        <w:t>سند الحديث</w:t>
      </w:r>
      <w:r w:rsidR="00217AB4" w:rsidRPr="003F3B94">
        <w:rPr>
          <w:rFonts w:ascii="Abo-thar" w:hAnsi="Abo-thar" w:hint="cs"/>
          <w:b/>
          <w:bCs/>
          <w:sz w:val="28"/>
          <w:rtl/>
        </w:rPr>
        <w:t>:</w:t>
      </w:r>
    </w:p>
    <w:p w:rsidR="005C664D" w:rsidRPr="003F3B94" w:rsidRDefault="005C664D" w:rsidP="003F3B94">
      <w:pPr>
        <w:pStyle w:val="a0"/>
        <w:rPr>
          <w:rFonts w:hint="cs"/>
          <w:rtl/>
        </w:rPr>
      </w:pPr>
      <w:r w:rsidRPr="003F3B94">
        <w:rPr>
          <w:rFonts w:ascii="Abo-thar" w:hAnsi="Abo-thar" w:hint="cs"/>
          <w:sz w:val="28"/>
          <w:rtl/>
        </w:rPr>
        <w:t>سند هذا الحديث مجهول في أوله وفي آخره</w:t>
      </w:r>
      <w:r w:rsidR="00217AB4" w:rsidRPr="003F3B94">
        <w:rPr>
          <w:rFonts w:ascii="Abo-thar" w:hAnsi="Abo-thar" w:hint="cs"/>
          <w:sz w:val="28"/>
          <w:rtl/>
        </w:rPr>
        <w:t>،</w:t>
      </w:r>
      <w:r w:rsidRPr="003F3B94">
        <w:rPr>
          <w:rFonts w:ascii="Abo-thar" w:hAnsi="Abo-thar" w:hint="cs"/>
          <w:sz w:val="28"/>
          <w:rtl/>
        </w:rPr>
        <w:t xml:space="preserve"> لأن في أوله عبارة</w:t>
      </w:r>
      <w:r w:rsidR="00217AB4" w:rsidRPr="003F3B94">
        <w:rPr>
          <w:rFonts w:ascii="Abo-thar" w:hAnsi="Abo-thar" w:hint="cs"/>
          <w:sz w:val="28"/>
          <w:rtl/>
        </w:rPr>
        <w:t>:</w:t>
      </w:r>
      <w:r w:rsidRPr="003F3B94">
        <w:rPr>
          <w:rFonts w:ascii="Abo-thar" w:hAnsi="Abo-thar" w:hint="cs"/>
          <w:sz w:val="28"/>
          <w:rtl/>
        </w:rPr>
        <w:t xml:space="preserve"> </w:t>
      </w:r>
      <w:r w:rsidR="00EF2588" w:rsidRPr="003F3B94">
        <w:rPr>
          <w:rFonts w:ascii="Abo-thar" w:hAnsi="Abo-thar" w:hint="cs"/>
          <w:sz w:val="28"/>
          <w:rtl/>
        </w:rPr>
        <w:t>«</w:t>
      </w:r>
      <w:r w:rsidRPr="003F3B94">
        <w:rPr>
          <w:rFonts w:ascii="Abo-thar" w:hAnsi="Abo-thar"/>
          <w:sz w:val="28"/>
          <w:rtl/>
        </w:rPr>
        <w:t>وَعَنْ عِدَّةٍ مِنْ أَصْحَابِنَا</w:t>
      </w:r>
      <w:r w:rsidR="00EF2588" w:rsidRPr="003F3B94">
        <w:rPr>
          <w:rFonts w:ascii="Abo-thar" w:hAnsi="Abo-thar" w:hint="cs"/>
          <w:sz w:val="28"/>
          <w:rtl/>
        </w:rPr>
        <w:t>»</w:t>
      </w:r>
      <w:r w:rsidRPr="003F3B94">
        <w:rPr>
          <w:rFonts w:ascii="Abo-thar" w:hAnsi="Abo-thar" w:hint="cs"/>
          <w:sz w:val="28"/>
          <w:rtl/>
        </w:rPr>
        <w:t xml:space="preserve"> دون أن يبين لنا من هم بالضبط</w:t>
      </w:r>
      <w:r w:rsidR="00217AB4" w:rsidRPr="003F3B94">
        <w:rPr>
          <w:rFonts w:ascii="Abo-thar" w:hAnsi="Abo-thar" w:hint="cs"/>
          <w:sz w:val="28"/>
          <w:rtl/>
        </w:rPr>
        <w:t>؟؟</w:t>
      </w:r>
      <w:r w:rsidR="00147857" w:rsidRPr="003F3B94">
        <w:rPr>
          <w:rFonts w:ascii="Abo-thar" w:hAnsi="Abo-thar" w:hint="cs"/>
          <w:sz w:val="28"/>
          <w:rtl/>
        </w:rPr>
        <w:t xml:space="preserve"> </w:t>
      </w:r>
      <w:r w:rsidRPr="003F3B94">
        <w:rPr>
          <w:rFonts w:ascii="Abo-thar" w:hAnsi="Abo-thar" w:hint="cs"/>
          <w:sz w:val="28"/>
          <w:rtl/>
        </w:rPr>
        <w:t xml:space="preserve">وفي آخر السند </w:t>
      </w:r>
      <w:r w:rsidRPr="003F3B94">
        <w:rPr>
          <w:rFonts w:ascii="Abo-thar" w:hAnsi="Abo-thar"/>
          <w:sz w:val="28"/>
          <w:rtl/>
        </w:rPr>
        <w:t>«</w:t>
      </w:r>
      <w:r w:rsidRPr="003F3B94">
        <w:rPr>
          <w:rFonts w:ascii="Abo-thar" w:hAnsi="Abo-thar"/>
          <w:b/>
          <w:bCs/>
          <w:sz w:val="28"/>
          <w:rtl/>
        </w:rPr>
        <w:t>أَحْمَد</w:t>
      </w:r>
      <w:r w:rsidRPr="003F3B94">
        <w:rPr>
          <w:rFonts w:ascii="Abo-thar" w:hAnsi="Abo-thar" w:hint="cs"/>
          <w:b/>
          <w:bCs/>
          <w:sz w:val="28"/>
          <w:rtl/>
        </w:rPr>
        <w:t>ُ</w:t>
      </w:r>
      <w:r w:rsidRPr="003F3B94">
        <w:rPr>
          <w:rFonts w:ascii="Abo-thar" w:hAnsi="Abo-thar"/>
          <w:b/>
          <w:bCs/>
          <w:sz w:val="28"/>
          <w:rtl/>
        </w:rPr>
        <w:t xml:space="preserve"> بْن</w:t>
      </w:r>
      <w:r w:rsidRPr="003F3B94">
        <w:rPr>
          <w:rFonts w:ascii="Abo-thar" w:hAnsi="Abo-thar" w:hint="cs"/>
          <w:b/>
          <w:bCs/>
          <w:sz w:val="28"/>
          <w:rtl/>
        </w:rPr>
        <w:t>ُ</w:t>
      </w:r>
      <w:r w:rsidRPr="003F3B94">
        <w:rPr>
          <w:rFonts w:ascii="Abo-thar" w:hAnsi="Abo-thar"/>
          <w:b/>
          <w:bCs/>
          <w:sz w:val="28"/>
          <w:rtl/>
        </w:rPr>
        <w:t xml:space="preserve"> مُحَمَّدِ بْنِ عِيسَى</w:t>
      </w:r>
      <w:r w:rsidRPr="003F3B94">
        <w:rPr>
          <w:rFonts w:ascii="Abo-thar" w:hAnsi="Abo-thar"/>
          <w:sz w:val="28"/>
          <w:rtl/>
        </w:rPr>
        <w:t>»</w:t>
      </w:r>
      <w:r w:rsidR="00217AB4" w:rsidRPr="003F3B94">
        <w:rPr>
          <w:rFonts w:ascii="Abo-thar" w:hAnsi="Abo-thar" w:hint="cs"/>
          <w:sz w:val="28"/>
          <w:rtl/>
        </w:rPr>
        <w:t>:</w:t>
      </w:r>
      <w:r w:rsidRPr="003F3B94">
        <w:rPr>
          <w:rFonts w:ascii="Abo-thar" w:hAnsi="Abo-thar" w:hint="cs"/>
          <w:sz w:val="28"/>
          <w:rtl/>
        </w:rPr>
        <w:t xml:space="preserve"> </w:t>
      </w:r>
    </w:p>
    <w:p w:rsidR="005C664D" w:rsidRPr="003F3B94" w:rsidRDefault="00FE2278" w:rsidP="003F3B94">
      <w:pPr>
        <w:pStyle w:val="a0"/>
        <w:rPr>
          <w:rFonts w:hint="cs"/>
          <w:rtl/>
        </w:rPr>
      </w:pPr>
      <w:r w:rsidRPr="003F3B94">
        <w:rPr>
          <w:rFonts w:ascii="Abo-thar" w:hAnsi="Abo-thar" w:hint="cs"/>
          <w:sz w:val="28"/>
          <w:rtl/>
        </w:rPr>
        <w:t>أولًا</w:t>
      </w:r>
      <w:r w:rsidR="00217AB4" w:rsidRPr="003F3B94">
        <w:rPr>
          <w:rFonts w:ascii="Abo-thar" w:hAnsi="Abo-thar" w:hint="cs"/>
          <w:sz w:val="28"/>
          <w:rtl/>
        </w:rPr>
        <w:t>-</w:t>
      </w:r>
      <w:r w:rsidR="005C664D" w:rsidRPr="003F3B94">
        <w:rPr>
          <w:rFonts w:ascii="Abo-thar" w:hAnsi="Abo-thar" w:hint="cs"/>
          <w:sz w:val="28"/>
          <w:rtl/>
        </w:rPr>
        <w:t xml:space="preserve"> قال عنه المحقق السبزواري</w:t>
      </w:r>
      <w:r w:rsidR="00217AB4" w:rsidRPr="003F3B94">
        <w:rPr>
          <w:rFonts w:ascii="Abo-thar" w:hAnsi="Abo-thar" w:hint="cs"/>
          <w:sz w:val="28"/>
          <w:rtl/>
        </w:rPr>
        <w:t>:</w:t>
      </w:r>
      <w:r w:rsidR="005C664D" w:rsidRPr="003F3B94">
        <w:rPr>
          <w:rFonts w:ascii="Abo-thar" w:hAnsi="Abo-thar" w:hint="cs"/>
          <w:sz w:val="28"/>
          <w:rtl/>
        </w:rPr>
        <w:t xml:space="preserve"> </w:t>
      </w:r>
      <w:r w:rsidR="00EF2588" w:rsidRPr="003F3B94">
        <w:rPr>
          <w:rFonts w:ascii="Abo-thar" w:hAnsi="Abo-thar" w:hint="cs"/>
          <w:sz w:val="28"/>
          <w:rtl/>
        </w:rPr>
        <w:t>«</w:t>
      </w:r>
      <w:r w:rsidR="005C664D" w:rsidRPr="003F3B94">
        <w:rPr>
          <w:rFonts w:ascii="Abo-thar" w:hAnsi="Abo-thar"/>
          <w:b/>
          <w:bCs/>
          <w:sz w:val="28"/>
          <w:rtl/>
        </w:rPr>
        <w:t>أَحْمَد</w:t>
      </w:r>
      <w:r w:rsidR="005C664D" w:rsidRPr="003F3B94">
        <w:rPr>
          <w:rFonts w:ascii="Abo-thar" w:hAnsi="Abo-thar" w:hint="cs"/>
          <w:b/>
          <w:bCs/>
          <w:sz w:val="28"/>
          <w:rtl/>
        </w:rPr>
        <w:t>ُ</w:t>
      </w:r>
      <w:r w:rsidR="005C664D" w:rsidRPr="003F3B94">
        <w:rPr>
          <w:rFonts w:ascii="Abo-thar" w:hAnsi="Abo-thar"/>
          <w:b/>
          <w:bCs/>
          <w:sz w:val="28"/>
          <w:rtl/>
        </w:rPr>
        <w:t xml:space="preserve"> بْن</w:t>
      </w:r>
      <w:r w:rsidR="005C664D" w:rsidRPr="003F3B94">
        <w:rPr>
          <w:rFonts w:ascii="Abo-thar" w:hAnsi="Abo-thar" w:hint="cs"/>
          <w:b/>
          <w:bCs/>
          <w:sz w:val="28"/>
          <w:rtl/>
        </w:rPr>
        <w:t>ُ</w:t>
      </w:r>
      <w:r w:rsidR="005C664D" w:rsidRPr="003F3B94">
        <w:rPr>
          <w:rFonts w:ascii="Abo-thar" w:hAnsi="Abo-thar"/>
          <w:b/>
          <w:bCs/>
          <w:sz w:val="28"/>
          <w:rtl/>
        </w:rPr>
        <w:t xml:space="preserve"> مُحَمَّدِ بْنِ عِيسَى</w:t>
      </w:r>
      <w:r w:rsidR="005C664D" w:rsidRPr="003F3B94">
        <w:rPr>
          <w:rFonts w:ascii="Abo-thar" w:hAnsi="Abo-thar" w:hint="cs"/>
          <w:b/>
          <w:bCs/>
          <w:sz w:val="28"/>
          <w:rtl/>
        </w:rPr>
        <w:t xml:space="preserve"> بن يزيد وهو مجهولٌ</w:t>
      </w:r>
      <w:r w:rsidR="00EF2588" w:rsidRPr="003F3B94">
        <w:rPr>
          <w:rFonts w:ascii="Abo-thar" w:hAnsi="Abo-thar" w:hint="cs"/>
          <w:sz w:val="28"/>
          <w:rtl/>
        </w:rPr>
        <w:t>»</w:t>
      </w:r>
      <w:r w:rsidR="00217AB4" w:rsidRPr="003F3B94">
        <w:rPr>
          <w:rFonts w:ascii="Abo-thar" w:hAnsi="Abo-thar" w:hint="cs"/>
          <w:sz w:val="28"/>
          <w:rtl/>
        </w:rPr>
        <w:t>.</w:t>
      </w:r>
    </w:p>
    <w:p w:rsidR="005C664D" w:rsidRPr="003F3B94" w:rsidRDefault="00FE2278" w:rsidP="003F3B94">
      <w:pPr>
        <w:pStyle w:val="a0"/>
        <w:rPr>
          <w:rFonts w:hint="cs"/>
          <w:rtl/>
        </w:rPr>
      </w:pPr>
      <w:r w:rsidRPr="003F3B94">
        <w:rPr>
          <w:rFonts w:ascii="Abo-thar" w:hAnsi="Abo-thar" w:hint="cs"/>
          <w:sz w:val="28"/>
          <w:rtl/>
        </w:rPr>
        <w:t>ثانيًا</w:t>
      </w:r>
      <w:r w:rsidR="00217AB4" w:rsidRPr="003F3B94">
        <w:rPr>
          <w:rFonts w:ascii="Abo-thar" w:hAnsi="Abo-thar" w:hint="cs"/>
          <w:sz w:val="28"/>
          <w:rtl/>
        </w:rPr>
        <w:t>-</w:t>
      </w:r>
      <w:r w:rsidR="005C664D" w:rsidRPr="003F3B94">
        <w:rPr>
          <w:rFonts w:ascii="Abo-thar" w:hAnsi="Abo-thar" w:hint="cs"/>
          <w:sz w:val="28"/>
          <w:rtl/>
        </w:rPr>
        <w:t xml:space="preserve"> اعتبره المجلسي في </w:t>
      </w:r>
      <w:r w:rsidR="005C664D" w:rsidRPr="003F3B94">
        <w:rPr>
          <w:rFonts w:ascii="Abo-thar" w:hAnsi="Abo-thar"/>
          <w:sz w:val="28"/>
          <w:rtl/>
        </w:rPr>
        <w:t>«</w:t>
      </w:r>
      <w:r w:rsidR="005C664D" w:rsidRPr="003F3B94">
        <w:rPr>
          <w:rFonts w:ascii="Abo-thar" w:hAnsi="Abo-thar" w:hint="cs"/>
          <w:sz w:val="28"/>
          <w:rtl/>
        </w:rPr>
        <w:t>مرآة العقول</w:t>
      </w:r>
      <w:r w:rsidR="005C664D" w:rsidRPr="003F3B94">
        <w:rPr>
          <w:rFonts w:ascii="Abo-thar" w:hAnsi="Abo-thar"/>
          <w:sz w:val="28"/>
          <w:rtl/>
        </w:rPr>
        <w:t>»</w:t>
      </w:r>
      <w:r w:rsidR="0041266B" w:rsidRPr="003F3B94">
        <w:rPr>
          <w:rFonts w:ascii="Abo-thar" w:hAnsi="Abo-thar" w:hint="cs"/>
          <w:sz w:val="28"/>
          <w:rtl/>
        </w:rPr>
        <w:t xml:space="preserve"> </w:t>
      </w:r>
      <w:r w:rsidR="005C664D" w:rsidRPr="003F3B94">
        <w:rPr>
          <w:rFonts w:ascii="Abo-thar" w:hAnsi="Abo-thar" w:hint="cs"/>
          <w:sz w:val="28"/>
          <w:rtl/>
        </w:rPr>
        <w:t>في شرحه لهذا الحديث</w:t>
      </w:r>
      <w:r w:rsidR="00217AB4" w:rsidRPr="003F3B94">
        <w:rPr>
          <w:rFonts w:ascii="Abo-thar" w:hAnsi="Abo-thar" w:hint="cs"/>
          <w:sz w:val="28"/>
          <w:rtl/>
        </w:rPr>
        <w:t>،</w:t>
      </w:r>
      <w:r w:rsidR="005C664D" w:rsidRPr="003F3B94">
        <w:rPr>
          <w:rFonts w:ascii="Abo-thar" w:hAnsi="Abo-thar" w:hint="cs"/>
          <w:sz w:val="28"/>
          <w:rtl/>
        </w:rPr>
        <w:t xml:space="preserve"> مجهولاً</w:t>
      </w:r>
      <w:r w:rsidR="00217AB4" w:rsidRPr="003F3B94">
        <w:rPr>
          <w:rFonts w:ascii="Abo-thar" w:hAnsi="Abo-thar" w:hint="cs"/>
          <w:sz w:val="28"/>
          <w:rtl/>
        </w:rPr>
        <w:t>،</w:t>
      </w:r>
      <w:r w:rsidR="0041266B" w:rsidRPr="0021507A">
        <w:rPr>
          <w:rFonts w:ascii="Abo-thar" w:hAnsi="Abo-thar" w:cs="Arabic11 BT"/>
          <w:sz w:val="28"/>
          <w:vertAlign w:val="superscript"/>
          <w:rtl/>
        </w:rPr>
        <w:t>(</w:t>
      </w:r>
      <w:r w:rsidR="0041266B" w:rsidRPr="0021507A">
        <w:rPr>
          <w:rStyle w:val="FootnoteReference"/>
          <w:rFonts w:ascii="Abo-thar" w:hAnsi="Abo-thar" w:cs="Arabic11 BT"/>
          <w:sz w:val="28"/>
          <w:rtl/>
        </w:rPr>
        <w:footnoteReference w:id="293"/>
      </w:r>
      <w:r w:rsidR="0041266B" w:rsidRPr="0021507A">
        <w:rPr>
          <w:rFonts w:ascii="Abo-thar" w:hAnsi="Abo-thar" w:cs="Arabic11 BT"/>
          <w:sz w:val="28"/>
          <w:vertAlign w:val="superscript"/>
          <w:rtl/>
        </w:rPr>
        <w:t>)</w:t>
      </w:r>
      <w:r w:rsidR="005C664D" w:rsidRPr="003F3B94">
        <w:rPr>
          <w:rFonts w:ascii="Abo-thar" w:hAnsi="Abo-thar" w:hint="cs"/>
          <w:sz w:val="28"/>
          <w:rtl/>
        </w:rPr>
        <w:t xml:space="preserve"> بل اعتبر المكتوب إليه أيضاً مجهولاً </w:t>
      </w:r>
      <w:r w:rsidR="00217AB4" w:rsidRPr="003F3B94">
        <w:rPr>
          <w:rFonts w:ascii="Abo-thar" w:hAnsi="Abo-thar" w:hint="cs"/>
          <w:sz w:val="28"/>
          <w:rtl/>
        </w:rPr>
        <w:t>(</w:t>
      </w:r>
      <w:r w:rsidR="005C664D" w:rsidRPr="003F3B94">
        <w:rPr>
          <w:rFonts w:ascii="Abo-thar" w:hAnsi="Abo-thar" w:hint="cs"/>
          <w:sz w:val="28"/>
          <w:rtl/>
        </w:rPr>
        <w:t>مضمراً</w:t>
      </w:r>
      <w:r w:rsidR="00217AB4" w:rsidRPr="003F3B94">
        <w:rPr>
          <w:rFonts w:ascii="Abo-thar" w:hAnsi="Abo-thar" w:hint="cs"/>
          <w:sz w:val="28"/>
          <w:rtl/>
        </w:rPr>
        <w:t>)</w:t>
      </w:r>
      <w:r w:rsidR="005C664D" w:rsidRPr="003F3B94">
        <w:rPr>
          <w:rFonts w:ascii="Abo-thar" w:hAnsi="Abo-thar" w:hint="cs"/>
          <w:sz w:val="28"/>
          <w:rtl/>
        </w:rPr>
        <w:t xml:space="preserve"> لأننا لا ندري لمن كتب هذا الشخص المجهول رسالته</w:t>
      </w:r>
      <w:r w:rsidR="00217AB4" w:rsidRPr="003F3B94">
        <w:rPr>
          <w:rFonts w:ascii="Abo-thar" w:hAnsi="Abo-thar" w:hint="cs"/>
          <w:sz w:val="28"/>
          <w:rtl/>
        </w:rPr>
        <w:t>؟</w:t>
      </w:r>
      <w:r w:rsidR="005C664D" w:rsidRPr="003F3B94">
        <w:rPr>
          <w:rFonts w:ascii="Abo-thar" w:hAnsi="Abo-thar" w:hint="cs"/>
          <w:sz w:val="28"/>
          <w:rtl/>
        </w:rPr>
        <w:t xml:space="preserve"> فليس ثمَّة أي دليل يدلنا على أن المكتوب إليه كان إماماً أو غيره</w:t>
      </w:r>
      <w:r w:rsidR="00217AB4" w:rsidRPr="003F3B94">
        <w:rPr>
          <w:rFonts w:ascii="Abo-thar" w:hAnsi="Abo-thar" w:hint="cs"/>
          <w:sz w:val="28"/>
          <w:rtl/>
        </w:rPr>
        <w:t>؟</w:t>
      </w:r>
      <w:r w:rsidR="005C664D" w:rsidRPr="003F3B94">
        <w:rPr>
          <w:rFonts w:ascii="Abo-thar" w:hAnsi="Abo-thar" w:hint="cs"/>
          <w:sz w:val="28"/>
          <w:rtl/>
        </w:rPr>
        <w:t xml:space="preserve"> وإذا كان إماماً فأي واحد من الأئمة المعصومين</w:t>
      </w:r>
      <w:r w:rsidR="00147857" w:rsidRPr="003F3B94">
        <w:rPr>
          <w:rFonts w:ascii="Abo-thar" w:hAnsi="Abo-thar" w:hint="cs"/>
          <w:sz w:val="28"/>
          <w:rtl/>
        </w:rPr>
        <w:t xml:space="preserve"> </w:t>
      </w:r>
      <w:r w:rsidR="00963EFD" w:rsidRPr="00963EFD">
        <w:rPr>
          <w:rFonts w:ascii="Abo-thar" w:hAnsi="Abo-thar" w:cs="CTraditional Arabic"/>
          <w:sz w:val="28"/>
          <w:rtl/>
        </w:rPr>
        <w:t>‡</w:t>
      </w:r>
      <w:r w:rsidR="00217AB4" w:rsidRPr="003F3B94">
        <w:rPr>
          <w:rFonts w:ascii="Abo-thar" w:hAnsi="Abo-thar"/>
          <w:sz w:val="28"/>
          <w:rtl/>
        </w:rPr>
        <w:t>؟</w:t>
      </w:r>
      <w:r w:rsidR="005C664D" w:rsidRPr="003F3B94">
        <w:rPr>
          <w:rFonts w:ascii="Abo-thar" w:hAnsi="Abo-thar" w:hint="cs"/>
          <w:sz w:val="28"/>
          <w:rtl/>
        </w:rPr>
        <w:t xml:space="preserve"> </w:t>
      </w:r>
    </w:p>
    <w:p w:rsidR="00FE2278" w:rsidRPr="003F3B94" w:rsidRDefault="00FE2278" w:rsidP="003F3B94">
      <w:pPr>
        <w:pStyle w:val="a0"/>
        <w:rPr>
          <w:rFonts w:hint="cs"/>
          <w:rtl/>
        </w:rPr>
      </w:pPr>
      <w:r w:rsidRPr="003F3B94">
        <w:rPr>
          <w:rFonts w:ascii="Abo-thar" w:hAnsi="Abo-thar" w:hint="cs"/>
          <w:b/>
          <w:bCs/>
          <w:sz w:val="28"/>
          <w:rtl/>
        </w:rPr>
        <w:t>ب: تمحيص متن الحديث</w:t>
      </w:r>
    </w:p>
    <w:p w:rsidR="005C664D" w:rsidRPr="00995B26" w:rsidRDefault="005C664D" w:rsidP="003F3B94">
      <w:pPr>
        <w:pStyle w:val="a0"/>
        <w:rPr>
          <w:rFonts w:hint="cs"/>
          <w:rtl/>
        </w:rPr>
      </w:pPr>
      <w:r w:rsidRPr="003F3B94">
        <w:rPr>
          <w:rFonts w:ascii="Abo-thar" w:hAnsi="Abo-thar" w:hint="cs"/>
          <w:sz w:val="28"/>
          <w:rtl/>
        </w:rPr>
        <w:t>كما أن مضمون الرسالة والإجابة عليها كلاهما مجهولان</w:t>
      </w:r>
      <w:r w:rsidR="001E0DB7" w:rsidRPr="003F3B94">
        <w:rPr>
          <w:rFonts w:ascii="Abo-thar" w:hAnsi="Abo-thar" w:hint="cs"/>
          <w:sz w:val="28"/>
          <w:rtl/>
        </w:rPr>
        <w:t>،</w:t>
      </w:r>
      <w:r w:rsidRPr="003F3B94">
        <w:rPr>
          <w:rFonts w:ascii="Abo-thar" w:hAnsi="Abo-thar" w:hint="cs"/>
          <w:sz w:val="28"/>
          <w:rtl/>
        </w:rPr>
        <w:t xml:space="preserve"> إذْ لم يتمّ توضيح ماهيّة تلك الفائدة التي يكون الجاهل بها مقيماً على حرام ولا صلاة له ولا</w:t>
      </w:r>
      <w:r w:rsidRPr="003F3B94">
        <w:rPr>
          <w:rFonts w:cs="Times New Roman" w:hint="cs"/>
          <w:sz w:val="28"/>
          <w:rtl/>
        </w:rPr>
        <w:t> </w:t>
      </w:r>
      <w:r w:rsidRPr="003F3B94">
        <w:rPr>
          <w:rFonts w:ascii="Abo-thar" w:hAnsi="Abo-thar" w:hint="cs"/>
          <w:sz w:val="28"/>
          <w:rtl/>
        </w:rPr>
        <w:t>صوم</w:t>
      </w:r>
      <w:r w:rsidR="00217AB4" w:rsidRPr="003F3B94">
        <w:rPr>
          <w:rFonts w:ascii="Abo-thar" w:hAnsi="Abo-thar" w:hint="cs"/>
          <w:sz w:val="28"/>
          <w:rtl/>
        </w:rPr>
        <w:t>؟!</w:t>
      </w:r>
      <w:r w:rsidRPr="003F3B94">
        <w:rPr>
          <w:rFonts w:ascii="Abo-thar" w:hAnsi="Abo-thar" w:hint="cs"/>
          <w:sz w:val="28"/>
          <w:rtl/>
        </w:rPr>
        <w:t xml:space="preserve"> فكيف لم يبحث أحدٌ حتى ذلك اليوم عن مسألة بذلك القدر من الأهمية حتى جاء هذا السائل الراوي المجهول ليسأل مسؤوله المجهول أيضاً بكل ذلك التذلل والتضرع أن يمن عليه ويعلمه تلك الفائدة</w:t>
      </w:r>
      <w:r w:rsidR="00217AB4" w:rsidRPr="003F3B94">
        <w:rPr>
          <w:rFonts w:ascii="Abo-thar" w:hAnsi="Abo-thar" w:hint="cs"/>
          <w:sz w:val="28"/>
          <w:rtl/>
        </w:rPr>
        <w:t>؟!</w:t>
      </w:r>
      <w:r w:rsidRPr="003F3B94">
        <w:rPr>
          <w:rFonts w:ascii="Abo-thar" w:hAnsi="Abo-thar" w:hint="cs"/>
          <w:sz w:val="28"/>
          <w:rtl/>
        </w:rPr>
        <w:t xml:space="preserve"> وليس في هذا السؤال كلام عن الخمس وإنما سأل السائل عن الفائدة ما هي</w:t>
      </w:r>
      <w:r w:rsidR="00217AB4" w:rsidRPr="003F3B94">
        <w:rPr>
          <w:rFonts w:ascii="Abo-thar" w:hAnsi="Abo-thar" w:hint="cs"/>
          <w:sz w:val="28"/>
          <w:rtl/>
        </w:rPr>
        <w:t>؟</w:t>
      </w:r>
      <w:r w:rsidRPr="003F3B94">
        <w:rPr>
          <w:rFonts w:ascii="Abo-thar" w:hAnsi="Abo-thar" w:hint="cs"/>
          <w:sz w:val="28"/>
          <w:rtl/>
        </w:rPr>
        <w:t xml:space="preserve"> وما حدها كي لا يقيم على الحرام</w:t>
      </w:r>
      <w:r w:rsidR="00217AB4" w:rsidRPr="003F3B94">
        <w:rPr>
          <w:rFonts w:ascii="Abo-thar" w:hAnsi="Abo-thar" w:hint="cs"/>
          <w:sz w:val="28"/>
          <w:rtl/>
        </w:rPr>
        <w:t>؟</w:t>
      </w:r>
      <w:r w:rsidRPr="003F3B94">
        <w:rPr>
          <w:rFonts w:ascii="Abo-thar" w:hAnsi="Abo-thar" w:hint="cs"/>
          <w:sz w:val="28"/>
          <w:rtl/>
        </w:rPr>
        <w:t xml:space="preserve"> فهذا السؤال والجواب أقرب إلى مسألة الربا منه إلى مسألة الخمس لأن الربا هو الذي تكون الإقامة عليه إقامة في الحرام ولا تُبْقِي للشخص صلاةً ولا صوماً</w:t>
      </w:r>
      <w:r w:rsidR="00217AB4" w:rsidRPr="003F3B94">
        <w:rPr>
          <w:rFonts w:ascii="Abo-thar" w:hAnsi="Abo-thar" w:hint="cs"/>
          <w:sz w:val="28"/>
          <w:rtl/>
        </w:rPr>
        <w:t>!!</w:t>
      </w:r>
      <w:r w:rsidRPr="003F3B94">
        <w:rPr>
          <w:rFonts w:ascii="Abo-thar" w:hAnsi="Abo-thar" w:hint="cs"/>
          <w:sz w:val="28"/>
          <w:rtl/>
        </w:rPr>
        <w:t xml:space="preserve"> وعلى كل حال فالرواية مجهولة وفي متنها سائل مجهول من مسؤول مجهول عن مسألة مجهولة حصل منه على إجابة مجهولة</w:t>
      </w:r>
      <w:r w:rsidR="00217AB4" w:rsidRPr="003F3B94">
        <w:rPr>
          <w:rFonts w:ascii="Abo-thar" w:hAnsi="Abo-thar" w:hint="cs"/>
          <w:sz w:val="28"/>
          <w:rtl/>
        </w:rPr>
        <w:t>!</w:t>
      </w:r>
      <w:r w:rsidR="00147857" w:rsidRPr="003F3B94">
        <w:rPr>
          <w:rFonts w:ascii="Abo-thar" w:hAnsi="Abo-thar" w:hint="cs"/>
          <w:sz w:val="28"/>
          <w:rtl/>
        </w:rPr>
        <w:t xml:space="preserve"> </w:t>
      </w:r>
      <w:r w:rsidRPr="003F3B94">
        <w:rPr>
          <w:rFonts w:ascii="Abo-thar" w:hAnsi="Abo-thar" w:hint="cs"/>
          <w:sz w:val="28"/>
          <w:rtl/>
        </w:rPr>
        <w:t>فكلها جهالة في جهالة في جهالة</w:t>
      </w:r>
      <w:r w:rsidR="00217AB4" w:rsidRPr="003F3B94">
        <w:rPr>
          <w:rFonts w:ascii="Abo-thar" w:hAnsi="Abo-thar" w:hint="cs"/>
          <w:sz w:val="28"/>
          <w:rtl/>
        </w:rPr>
        <w:t>!!</w:t>
      </w:r>
      <w:r w:rsidRPr="003F3B94">
        <w:rPr>
          <w:rFonts w:ascii="Abo-thar" w:hAnsi="Abo-thar" w:hint="cs"/>
          <w:sz w:val="28"/>
          <w:rtl/>
        </w:rPr>
        <w:t xml:space="preserve"> فهل يمكن أن تكون مثل هذه المجهولات قاعدةً وأساساً للشرع المتين وأحكام دين الإسلام المبين</w:t>
      </w:r>
      <w:r w:rsidR="00217AB4" w:rsidRPr="003F3B94">
        <w:rPr>
          <w:rFonts w:ascii="Abo-thar" w:hAnsi="Abo-thar" w:hint="cs"/>
          <w:sz w:val="28"/>
          <w:rtl/>
        </w:rPr>
        <w:t>؟؟!!</w:t>
      </w:r>
      <w:r w:rsidR="00147857" w:rsidRPr="003F3B94">
        <w:rPr>
          <w:rFonts w:ascii="Abo-thar" w:hAnsi="Abo-thar" w:hint="cs"/>
          <w:sz w:val="28"/>
          <w:rtl/>
        </w:rPr>
        <w:t xml:space="preserve"> </w:t>
      </w:r>
      <w:r w:rsidRPr="003F3B94">
        <w:rPr>
          <w:rFonts w:ascii="Abo-thar" w:hAnsi="Abo-thar" w:hint="cs"/>
          <w:sz w:val="28"/>
          <w:rtl/>
        </w:rPr>
        <w:t>هل هذا هو ذلك الدين الذي قال عنه الله تعالى لنبيه</w:t>
      </w:r>
      <w:r w:rsidR="00217AB4" w:rsidRPr="003F3B94">
        <w:rPr>
          <w:rFonts w:ascii="Abo-thar" w:hAnsi="Abo-thar" w:hint="cs"/>
          <w:sz w:val="28"/>
          <w:rtl/>
        </w:rPr>
        <w:t>:</w:t>
      </w:r>
      <w:r w:rsidR="00B06788" w:rsidRPr="003F3B94">
        <w:rPr>
          <w:rFonts w:ascii="Abo-thar" w:hAnsi="Abo-thar" w:hint="cs"/>
          <w:sz w:val="28"/>
          <w:rtl/>
        </w:rPr>
        <w:t xml:space="preserve"> </w:t>
      </w:r>
      <w:r w:rsidR="00B06788" w:rsidRPr="00995B26">
        <w:rPr>
          <w:rFonts w:ascii="Abo-thar" w:hAnsi="Abo-thar" w:cs="Traditional Arabic" w:hint="cs"/>
          <w:sz w:val="28"/>
          <w:rtl/>
        </w:rPr>
        <w:t>﴿</w:t>
      </w:r>
      <w:r w:rsidR="00B06788" w:rsidRPr="0067048A">
        <w:rPr>
          <w:rFonts w:ascii="KFGQPC Uthmanic Script HAFS" w:cs="KFGQPC Uthmanic Script HAFS" w:hint="eastAsia"/>
          <w:sz w:val="28"/>
          <w:szCs w:val="28"/>
          <w:rtl/>
        </w:rPr>
        <w:t>يَ</w:t>
      </w:r>
      <w:r w:rsidR="00B06788" w:rsidRPr="0067048A">
        <w:rPr>
          <w:rFonts w:ascii="KFGQPC Uthmanic Script HAFS" w:cs="KFGQPC Uthmanic Script HAFS" w:hint="cs"/>
          <w:sz w:val="28"/>
          <w:szCs w:val="28"/>
          <w:rtl/>
        </w:rPr>
        <w:t>ٰٓ</w:t>
      </w:r>
      <w:r w:rsidR="00B06788" w:rsidRPr="0067048A">
        <w:rPr>
          <w:rFonts w:ascii="KFGQPC Uthmanic Script HAFS" w:cs="KFGQPC Uthmanic Script HAFS" w:hint="eastAsia"/>
          <w:sz w:val="28"/>
          <w:szCs w:val="28"/>
          <w:rtl/>
        </w:rPr>
        <w:t>أَيُّهَا</w:t>
      </w:r>
      <w:r w:rsidR="00B06788" w:rsidRPr="0067048A">
        <w:rPr>
          <w:rFonts w:ascii="KFGQPC Uthmanic Script HAFS" w:cs="KFGQPC Uthmanic Script HAFS"/>
          <w:sz w:val="28"/>
          <w:szCs w:val="28"/>
          <w:rtl/>
        </w:rPr>
        <w:t xml:space="preserve"> </w:t>
      </w:r>
      <w:r w:rsidR="00B06788" w:rsidRPr="0067048A">
        <w:rPr>
          <w:rFonts w:ascii="KFGQPC Uthmanic Script HAFS" w:cs="KFGQPC Uthmanic Script HAFS" w:hint="cs"/>
          <w:sz w:val="28"/>
          <w:szCs w:val="28"/>
          <w:rtl/>
        </w:rPr>
        <w:t>ٱ</w:t>
      </w:r>
      <w:r w:rsidR="00B06788" w:rsidRPr="0067048A">
        <w:rPr>
          <w:rFonts w:ascii="KFGQPC Uthmanic Script HAFS" w:cs="KFGQPC Uthmanic Script HAFS" w:hint="eastAsia"/>
          <w:sz w:val="28"/>
          <w:szCs w:val="28"/>
          <w:rtl/>
        </w:rPr>
        <w:t>لنَّاسُ</w:t>
      </w:r>
      <w:r w:rsidR="00B06788" w:rsidRPr="0067048A">
        <w:rPr>
          <w:rFonts w:ascii="KFGQPC Uthmanic Script HAFS" w:cs="KFGQPC Uthmanic Script HAFS"/>
          <w:sz w:val="28"/>
          <w:szCs w:val="28"/>
          <w:rtl/>
        </w:rPr>
        <w:t xml:space="preserve"> </w:t>
      </w:r>
      <w:r w:rsidR="00B06788" w:rsidRPr="0067048A">
        <w:rPr>
          <w:rFonts w:ascii="KFGQPC Uthmanic Script HAFS" w:cs="KFGQPC Uthmanic Script HAFS" w:hint="eastAsia"/>
          <w:sz w:val="28"/>
          <w:szCs w:val="28"/>
          <w:rtl/>
        </w:rPr>
        <w:t>قَد</w:t>
      </w:r>
      <w:r w:rsidR="00B06788" w:rsidRPr="0067048A">
        <w:rPr>
          <w:rFonts w:ascii="KFGQPC Uthmanic Script HAFS" w:cs="KFGQPC Uthmanic Script HAFS" w:hint="cs"/>
          <w:sz w:val="28"/>
          <w:szCs w:val="28"/>
          <w:rtl/>
        </w:rPr>
        <w:t>ۡ</w:t>
      </w:r>
      <w:r w:rsidR="00B06788" w:rsidRPr="0067048A">
        <w:rPr>
          <w:rFonts w:ascii="KFGQPC Uthmanic Script HAFS" w:cs="KFGQPC Uthmanic Script HAFS"/>
          <w:sz w:val="28"/>
          <w:szCs w:val="28"/>
          <w:rtl/>
        </w:rPr>
        <w:t xml:space="preserve"> </w:t>
      </w:r>
      <w:r w:rsidR="00B06788" w:rsidRPr="0067048A">
        <w:rPr>
          <w:rFonts w:ascii="KFGQPC Uthmanic Script HAFS" w:cs="KFGQPC Uthmanic Script HAFS" w:hint="eastAsia"/>
          <w:sz w:val="28"/>
          <w:szCs w:val="28"/>
          <w:rtl/>
        </w:rPr>
        <w:t>جَا</w:t>
      </w:r>
      <w:r w:rsidR="00B06788" w:rsidRPr="0067048A">
        <w:rPr>
          <w:rFonts w:ascii="KFGQPC Uthmanic Script HAFS" w:cs="KFGQPC Uthmanic Script HAFS" w:hint="cs"/>
          <w:sz w:val="28"/>
          <w:szCs w:val="28"/>
          <w:rtl/>
        </w:rPr>
        <w:t>ٓ</w:t>
      </w:r>
      <w:r w:rsidR="00B06788" w:rsidRPr="0067048A">
        <w:rPr>
          <w:rFonts w:ascii="KFGQPC Uthmanic Script HAFS" w:cs="KFGQPC Uthmanic Script HAFS" w:hint="eastAsia"/>
          <w:sz w:val="28"/>
          <w:szCs w:val="28"/>
          <w:rtl/>
        </w:rPr>
        <w:t>ءَكُم</w:t>
      </w:r>
      <w:r w:rsidR="00B06788" w:rsidRPr="0067048A">
        <w:rPr>
          <w:rFonts w:ascii="KFGQPC Uthmanic Script HAFS" w:cs="KFGQPC Uthmanic Script HAFS"/>
          <w:sz w:val="28"/>
          <w:szCs w:val="28"/>
          <w:rtl/>
        </w:rPr>
        <w:t xml:space="preserve"> </w:t>
      </w:r>
      <w:r w:rsidR="00B06788" w:rsidRPr="0067048A">
        <w:rPr>
          <w:rFonts w:ascii="KFGQPC Uthmanic Script HAFS" w:cs="KFGQPC Uthmanic Script HAFS" w:hint="eastAsia"/>
          <w:sz w:val="28"/>
          <w:szCs w:val="28"/>
          <w:rtl/>
        </w:rPr>
        <w:t>بُر</w:t>
      </w:r>
      <w:r w:rsidR="00B06788" w:rsidRPr="0067048A">
        <w:rPr>
          <w:rFonts w:ascii="KFGQPC Uthmanic Script HAFS" w:cs="KFGQPC Uthmanic Script HAFS" w:hint="cs"/>
          <w:sz w:val="28"/>
          <w:szCs w:val="28"/>
          <w:rtl/>
        </w:rPr>
        <w:t>ۡ</w:t>
      </w:r>
      <w:r w:rsidR="00B06788" w:rsidRPr="0067048A">
        <w:rPr>
          <w:rFonts w:ascii="KFGQPC Uthmanic Script HAFS" w:cs="KFGQPC Uthmanic Script HAFS" w:hint="eastAsia"/>
          <w:sz w:val="28"/>
          <w:szCs w:val="28"/>
          <w:rtl/>
        </w:rPr>
        <w:t>هَ</w:t>
      </w:r>
      <w:r w:rsidR="00B06788" w:rsidRPr="0067048A">
        <w:rPr>
          <w:rFonts w:ascii="KFGQPC Uthmanic Script HAFS" w:cs="KFGQPC Uthmanic Script HAFS" w:hint="cs"/>
          <w:sz w:val="28"/>
          <w:szCs w:val="28"/>
          <w:rtl/>
        </w:rPr>
        <w:t>ٰ</w:t>
      </w:r>
      <w:r w:rsidR="00B06788" w:rsidRPr="0067048A">
        <w:rPr>
          <w:rFonts w:ascii="KFGQPC Uthmanic Script HAFS" w:cs="KFGQPC Uthmanic Script HAFS" w:hint="eastAsia"/>
          <w:sz w:val="28"/>
          <w:szCs w:val="28"/>
          <w:rtl/>
        </w:rPr>
        <w:t>ن</w:t>
      </w:r>
      <w:r w:rsidR="00B06788" w:rsidRPr="0067048A">
        <w:rPr>
          <w:rFonts w:ascii="KFGQPC Uthmanic Script HAFS" w:cs="KFGQPC Uthmanic Script HAFS" w:hint="cs"/>
          <w:sz w:val="28"/>
          <w:szCs w:val="28"/>
          <w:rtl/>
        </w:rPr>
        <w:t>ٞ</w:t>
      </w:r>
      <w:r w:rsidR="00B06788" w:rsidRPr="0067048A">
        <w:rPr>
          <w:rFonts w:ascii="KFGQPC Uthmanic Script HAFS" w:cs="KFGQPC Uthmanic Script HAFS"/>
          <w:sz w:val="28"/>
          <w:szCs w:val="28"/>
          <w:rtl/>
        </w:rPr>
        <w:t xml:space="preserve"> </w:t>
      </w:r>
      <w:r w:rsidR="00B06788" w:rsidRPr="0067048A">
        <w:rPr>
          <w:rFonts w:ascii="KFGQPC Uthmanic Script HAFS" w:cs="KFGQPC Uthmanic Script HAFS" w:hint="eastAsia"/>
          <w:sz w:val="28"/>
          <w:szCs w:val="28"/>
          <w:rtl/>
        </w:rPr>
        <w:t>مِّن</w:t>
      </w:r>
      <w:r w:rsidR="00B06788" w:rsidRPr="0067048A">
        <w:rPr>
          <w:rFonts w:ascii="KFGQPC Uthmanic Script HAFS" w:cs="KFGQPC Uthmanic Script HAFS"/>
          <w:sz w:val="28"/>
          <w:szCs w:val="28"/>
          <w:rtl/>
        </w:rPr>
        <w:t xml:space="preserve"> </w:t>
      </w:r>
      <w:r w:rsidR="00B06788" w:rsidRPr="0067048A">
        <w:rPr>
          <w:rFonts w:ascii="KFGQPC Uthmanic Script HAFS" w:cs="KFGQPC Uthmanic Script HAFS" w:hint="eastAsia"/>
          <w:sz w:val="28"/>
          <w:szCs w:val="28"/>
          <w:rtl/>
        </w:rPr>
        <w:t>رَّبِّكُم</w:t>
      </w:r>
      <w:r w:rsidR="00B06788" w:rsidRPr="0067048A">
        <w:rPr>
          <w:rFonts w:ascii="KFGQPC Uthmanic Script HAFS" w:cs="KFGQPC Uthmanic Script HAFS" w:hint="cs"/>
          <w:sz w:val="28"/>
          <w:szCs w:val="28"/>
          <w:rtl/>
        </w:rPr>
        <w:t>ۡ</w:t>
      </w:r>
      <w:r w:rsidR="00B06788" w:rsidRPr="0067048A">
        <w:rPr>
          <w:rFonts w:ascii="KFGQPC Uthmanic Script HAFS" w:cs="KFGQPC Uthmanic Script HAFS"/>
          <w:sz w:val="28"/>
          <w:szCs w:val="28"/>
          <w:rtl/>
        </w:rPr>
        <w:t xml:space="preserve"> </w:t>
      </w:r>
      <w:r w:rsidR="00B06788" w:rsidRPr="0067048A">
        <w:rPr>
          <w:rFonts w:ascii="KFGQPC Uthmanic Script HAFS" w:cs="KFGQPC Uthmanic Script HAFS" w:hint="eastAsia"/>
          <w:sz w:val="28"/>
          <w:szCs w:val="28"/>
          <w:rtl/>
        </w:rPr>
        <w:t>وَأَنزَل</w:t>
      </w:r>
      <w:r w:rsidR="00B06788" w:rsidRPr="0067048A">
        <w:rPr>
          <w:rFonts w:ascii="KFGQPC Uthmanic Script HAFS" w:cs="KFGQPC Uthmanic Script HAFS" w:hint="cs"/>
          <w:sz w:val="28"/>
          <w:szCs w:val="28"/>
          <w:rtl/>
        </w:rPr>
        <w:t>ۡ</w:t>
      </w:r>
      <w:r w:rsidR="00B06788" w:rsidRPr="0067048A">
        <w:rPr>
          <w:rFonts w:ascii="KFGQPC Uthmanic Script HAFS" w:cs="KFGQPC Uthmanic Script HAFS" w:hint="eastAsia"/>
          <w:sz w:val="28"/>
          <w:szCs w:val="28"/>
          <w:rtl/>
        </w:rPr>
        <w:t>نَا</w:t>
      </w:r>
      <w:r w:rsidR="00B06788" w:rsidRPr="0067048A">
        <w:rPr>
          <w:rFonts w:ascii="KFGQPC Uthmanic Script HAFS" w:cs="KFGQPC Uthmanic Script HAFS" w:hint="cs"/>
          <w:sz w:val="28"/>
          <w:szCs w:val="28"/>
          <w:rtl/>
        </w:rPr>
        <w:t>ٓ</w:t>
      </w:r>
      <w:r w:rsidR="00B06788" w:rsidRPr="0067048A">
        <w:rPr>
          <w:rFonts w:ascii="KFGQPC Uthmanic Script HAFS" w:cs="KFGQPC Uthmanic Script HAFS"/>
          <w:sz w:val="28"/>
          <w:szCs w:val="28"/>
          <w:rtl/>
        </w:rPr>
        <w:t xml:space="preserve"> </w:t>
      </w:r>
      <w:r w:rsidR="00B06788" w:rsidRPr="0067048A">
        <w:rPr>
          <w:rFonts w:ascii="KFGQPC Uthmanic Script HAFS" w:cs="KFGQPC Uthmanic Script HAFS" w:hint="eastAsia"/>
          <w:sz w:val="28"/>
          <w:szCs w:val="28"/>
          <w:rtl/>
        </w:rPr>
        <w:t>إِلَي</w:t>
      </w:r>
      <w:r w:rsidR="00B06788" w:rsidRPr="0067048A">
        <w:rPr>
          <w:rFonts w:ascii="KFGQPC Uthmanic Script HAFS" w:cs="KFGQPC Uthmanic Script HAFS" w:hint="cs"/>
          <w:sz w:val="28"/>
          <w:szCs w:val="28"/>
          <w:rtl/>
        </w:rPr>
        <w:t>ۡ</w:t>
      </w:r>
      <w:r w:rsidR="00B06788" w:rsidRPr="0067048A">
        <w:rPr>
          <w:rFonts w:ascii="KFGQPC Uthmanic Script HAFS" w:cs="KFGQPC Uthmanic Script HAFS" w:hint="eastAsia"/>
          <w:sz w:val="28"/>
          <w:szCs w:val="28"/>
          <w:rtl/>
        </w:rPr>
        <w:t>كُم</w:t>
      </w:r>
      <w:r w:rsidR="00B06788" w:rsidRPr="0067048A">
        <w:rPr>
          <w:rFonts w:ascii="KFGQPC Uthmanic Script HAFS" w:cs="KFGQPC Uthmanic Script HAFS" w:hint="cs"/>
          <w:sz w:val="28"/>
          <w:szCs w:val="28"/>
          <w:rtl/>
        </w:rPr>
        <w:t>ۡ</w:t>
      </w:r>
      <w:r w:rsidR="00B06788" w:rsidRPr="0067048A">
        <w:rPr>
          <w:rFonts w:ascii="KFGQPC Uthmanic Script HAFS" w:cs="KFGQPC Uthmanic Script HAFS"/>
          <w:sz w:val="28"/>
          <w:szCs w:val="28"/>
          <w:rtl/>
        </w:rPr>
        <w:t xml:space="preserve"> </w:t>
      </w:r>
      <w:r w:rsidR="00B06788" w:rsidRPr="0067048A">
        <w:rPr>
          <w:rFonts w:ascii="KFGQPC Uthmanic Script HAFS" w:cs="KFGQPC Uthmanic Script HAFS" w:hint="eastAsia"/>
          <w:sz w:val="28"/>
          <w:szCs w:val="28"/>
          <w:rtl/>
        </w:rPr>
        <w:t>نُور</w:t>
      </w:r>
      <w:r w:rsidR="00B06788" w:rsidRPr="0067048A">
        <w:rPr>
          <w:rFonts w:ascii="KFGQPC Uthmanic Script HAFS" w:cs="KFGQPC Uthmanic Script HAFS" w:hint="cs"/>
          <w:sz w:val="28"/>
          <w:szCs w:val="28"/>
          <w:rtl/>
        </w:rPr>
        <w:t>ٗ</w:t>
      </w:r>
      <w:r w:rsidR="00B06788" w:rsidRPr="0067048A">
        <w:rPr>
          <w:rFonts w:ascii="KFGQPC Uthmanic Script HAFS" w:cs="KFGQPC Uthmanic Script HAFS" w:hint="eastAsia"/>
          <w:sz w:val="28"/>
          <w:szCs w:val="28"/>
          <w:rtl/>
        </w:rPr>
        <w:t>ا</w:t>
      </w:r>
      <w:r w:rsidR="00B06788" w:rsidRPr="0067048A">
        <w:rPr>
          <w:rFonts w:ascii="KFGQPC Uthmanic Script HAFS" w:cs="KFGQPC Uthmanic Script HAFS"/>
          <w:sz w:val="28"/>
          <w:szCs w:val="28"/>
          <w:rtl/>
        </w:rPr>
        <w:t xml:space="preserve"> </w:t>
      </w:r>
      <w:r w:rsidR="00B06788" w:rsidRPr="0067048A">
        <w:rPr>
          <w:rFonts w:ascii="KFGQPC Uthmanic Script HAFS" w:cs="KFGQPC Uthmanic Script HAFS" w:hint="eastAsia"/>
          <w:sz w:val="28"/>
          <w:szCs w:val="28"/>
          <w:rtl/>
        </w:rPr>
        <w:t>مُّبِين</w:t>
      </w:r>
      <w:r w:rsidR="00B06788" w:rsidRPr="0067048A">
        <w:rPr>
          <w:rFonts w:ascii="KFGQPC Uthmanic Script HAFS" w:cs="KFGQPC Uthmanic Script HAFS" w:hint="cs"/>
          <w:sz w:val="28"/>
          <w:szCs w:val="28"/>
          <w:rtl/>
        </w:rPr>
        <w:t>ٗ</w:t>
      </w:r>
      <w:r w:rsidR="00B06788" w:rsidRPr="0067048A">
        <w:rPr>
          <w:rFonts w:ascii="KFGQPC Uthmanic Script HAFS" w:cs="KFGQPC Uthmanic Script HAFS" w:hint="eastAsia"/>
          <w:sz w:val="28"/>
          <w:szCs w:val="28"/>
          <w:rtl/>
        </w:rPr>
        <w:t>ا</w:t>
      </w:r>
      <w:r w:rsidR="00B06788" w:rsidRPr="0067048A">
        <w:rPr>
          <w:rFonts w:ascii="KFGQPC Uthmanic Script HAFS" w:cs="KFGQPC Uthmanic Script HAFS"/>
          <w:sz w:val="28"/>
          <w:szCs w:val="28"/>
          <w:rtl/>
        </w:rPr>
        <w:t xml:space="preserve"> </w:t>
      </w:r>
      <w:r w:rsidR="00B06788" w:rsidRPr="0067048A">
        <w:rPr>
          <w:rFonts w:ascii="KFGQPC Uthmanic Script HAFS" w:cs="KFGQPC Uthmanic Script HAFS" w:hint="cs"/>
          <w:sz w:val="28"/>
          <w:szCs w:val="28"/>
          <w:rtl/>
        </w:rPr>
        <w:t>١٧٤</w:t>
      </w:r>
      <w:r w:rsidR="00B06788" w:rsidRPr="00995B26">
        <w:rPr>
          <w:rFonts w:ascii="Abo-thar" w:hAnsi="Abo-thar" w:cs="Traditional Arabic" w:hint="cs"/>
          <w:sz w:val="28"/>
          <w:rtl/>
        </w:rPr>
        <w:t>﴾</w:t>
      </w:r>
      <w:r w:rsidRPr="00995B26">
        <w:rPr>
          <w:rFonts w:ascii="Abo-thar" w:hAnsi="Abo-thar" w:hint="cs"/>
          <w:sz w:val="28"/>
          <w:rtl/>
        </w:rPr>
        <w:t xml:space="preserve"> </w:t>
      </w:r>
      <w:r w:rsidR="00B06788" w:rsidRPr="003108CB">
        <w:rPr>
          <w:rStyle w:val="Char2"/>
          <w:rFonts w:hint="cs"/>
          <w:rtl/>
        </w:rPr>
        <w:t>[</w:t>
      </w:r>
      <w:r w:rsidRPr="003108CB">
        <w:rPr>
          <w:rStyle w:val="Char2"/>
          <w:rFonts w:hint="cs"/>
          <w:rtl/>
        </w:rPr>
        <w:t>النساء</w:t>
      </w:r>
      <w:r w:rsidR="00B06788" w:rsidRPr="003108CB">
        <w:rPr>
          <w:rStyle w:val="Char2"/>
          <w:rFonts w:hint="cs"/>
          <w:rtl/>
        </w:rPr>
        <w:t xml:space="preserve">: </w:t>
      </w:r>
      <w:r w:rsidRPr="003108CB">
        <w:rPr>
          <w:rStyle w:val="Char2"/>
          <w:rFonts w:hint="cs"/>
          <w:rtl/>
        </w:rPr>
        <w:t>174</w:t>
      </w:r>
      <w:r w:rsidR="00B06788" w:rsidRPr="003108CB">
        <w:rPr>
          <w:rStyle w:val="Char2"/>
          <w:rFonts w:hint="cs"/>
          <w:rtl/>
        </w:rPr>
        <w:t>]</w:t>
      </w:r>
      <w:r w:rsidR="00217AB4" w:rsidRPr="00995B26">
        <w:rPr>
          <w:rFonts w:ascii="Abo-thar" w:hAnsi="Abo-thar" w:hint="cs"/>
          <w:sz w:val="28"/>
          <w:rtl/>
        </w:rPr>
        <w:t>؟!</w:t>
      </w:r>
    </w:p>
    <w:p w:rsidR="005C664D" w:rsidRPr="003F3B94" w:rsidRDefault="005C664D" w:rsidP="003F3B94">
      <w:pPr>
        <w:pStyle w:val="a0"/>
        <w:rPr>
          <w:rFonts w:hint="cs"/>
          <w:rtl/>
        </w:rPr>
      </w:pPr>
      <w:r w:rsidRPr="003F3B94">
        <w:rPr>
          <w:rFonts w:ascii="Abo-thar" w:hAnsi="Abo-thar" w:hint="cs"/>
          <w:sz w:val="28"/>
          <w:rtl/>
        </w:rPr>
        <w:t>لا ندري لماذا يقوم عباد الله هؤلاء بتجميع مثل تلك المجهولات وتكويمها فوق بعضها البعض</w:t>
      </w:r>
      <w:r w:rsidR="00217AB4" w:rsidRPr="003F3B94">
        <w:rPr>
          <w:rFonts w:ascii="Abo-thar" w:hAnsi="Abo-thar" w:hint="cs"/>
          <w:sz w:val="28"/>
          <w:rtl/>
        </w:rPr>
        <w:t>؟</w:t>
      </w:r>
      <w:r w:rsidRPr="003F3B94">
        <w:rPr>
          <w:rFonts w:ascii="Abo-thar" w:hAnsi="Abo-thar" w:hint="cs"/>
          <w:sz w:val="28"/>
          <w:rtl/>
        </w:rPr>
        <w:t xml:space="preserve"> ليت شعري ماذا كانوا يريدون من أرواح الناس وأموالهم</w:t>
      </w:r>
      <w:r w:rsidR="00217AB4" w:rsidRPr="003F3B94">
        <w:rPr>
          <w:rFonts w:ascii="Abo-thar" w:hAnsi="Abo-thar" w:hint="cs"/>
          <w:sz w:val="28"/>
          <w:rtl/>
        </w:rPr>
        <w:t>؟!</w:t>
      </w:r>
      <w:r w:rsidRPr="003F3B94">
        <w:rPr>
          <w:rFonts w:ascii="Abo-thar" w:hAnsi="Abo-thar" w:hint="cs"/>
          <w:sz w:val="28"/>
          <w:rtl/>
        </w:rPr>
        <w:t xml:space="preserve"> </w:t>
      </w:r>
    </w:p>
    <w:p w:rsidR="005C664D" w:rsidRPr="003F3B94" w:rsidRDefault="005C664D" w:rsidP="003F3B94">
      <w:pPr>
        <w:pStyle w:val="a0"/>
        <w:rPr>
          <w:rFonts w:hint="cs"/>
          <w:rtl/>
        </w:rPr>
      </w:pPr>
      <w:r w:rsidRPr="003F3B94">
        <w:rPr>
          <w:rFonts w:ascii="Abo-thar" w:hAnsi="Abo-thar" w:hint="cs"/>
          <w:sz w:val="28"/>
          <w:rtl/>
        </w:rPr>
        <w:t xml:space="preserve">هل يمكن أن يأخذ دين السماحة واليسـر الناسَ إلى هذه الأودية الصعبة </w:t>
      </w:r>
      <w:r w:rsidR="00217AB4" w:rsidRPr="003F3B94">
        <w:rPr>
          <w:rFonts w:ascii="Abo-thar" w:hAnsi="Abo-thar" w:hint="cs"/>
          <w:sz w:val="28"/>
          <w:rtl/>
        </w:rPr>
        <w:t>(</w:t>
      </w:r>
      <w:r w:rsidRPr="003F3B94">
        <w:rPr>
          <w:rFonts w:ascii="Abo-thar" w:hAnsi="Abo-thar" w:hint="cs"/>
          <w:sz w:val="28"/>
          <w:rtl/>
        </w:rPr>
        <w:t>صحراء المجاهيل</w:t>
      </w:r>
      <w:r w:rsidR="00217AB4" w:rsidRPr="003F3B94">
        <w:rPr>
          <w:rFonts w:ascii="Abo-thar" w:hAnsi="Abo-thar" w:hint="cs"/>
          <w:sz w:val="28"/>
          <w:rtl/>
        </w:rPr>
        <w:t>)؟!</w:t>
      </w:r>
      <w:r w:rsidRPr="003F3B94">
        <w:rPr>
          <w:rFonts w:ascii="Abo-thar" w:hAnsi="Abo-thar" w:hint="cs"/>
          <w:sz w:val="28"/>
          <w:rtl/>
        </w:rPr>
        <w:t xml:space="preserve"> هل يمكنه أن يكلِّف الإنسانَ بمثل هذا التكليف الشاق والأحكام التي لا تطاق</w:t>
      </w:r>
      <w:r w:rsidR="00217AB4" w:rsidRPr="003F3B94">
        <w:rPr>
          <w:rFonts w:ascii="Abo-thar" w:hAnsi="Abo-thar" w:hint="cs"/>
          <w:sz w:val="28"/>
          <w:rtl/>
        </w:rPr>
        <w:t>؟!</w:t>
      </w:r>
      <w:r w:rsidR="00147857" w:rsidRPr="003F3B94">
        <w:rPr>
          <w:rFonts w:ascii="Abo-thar" w:hAnsi="Abo-thar" w:hint="cs"/>
          <w:sz w:val="28"/>
          <w:rtl/>
        </w:rPr>
        <w:t xml:space="preserve"> </w:t>
      </w:r>
    </w:p>
    <w:p w:rsidR="005C664D" w:rsidRPr="003F3B94" w:rsidRDefault="005C664D" w:rsidP="003F3B94">
      <w:pPr>
        <w:pStyle w:val="a0"/>
        <w:rPr>
          <w:rFonts w:hint="cs"/>
          <w:rtl/>
          <w:lang w:bidi="fa-IR"/>
        </w:rPr>
      </w:pPr>
      <w:r w:rsidRPr="003F3B94">
        <w:rPr>
          <w:rFonts w:ascii="Abo-thar" w:hAnsi="Abo-thar" w:hint="cs"/>
          <w:b/>
          <w:bCs/>
          <w:sz w:val="28"/>
          <w:rtl/>
        </w:rPr>
        <w:t>4</w:t>
      </w:r>
      <w:r w:rsidR="00FE2278" w:rsidRPr="003F3B94">
        <w:rPr>
          <w:rFonts w:ascii="Abo-thar" w:hAnsi="Abo-thar" w:hint="cs"/>
          <w:b/>
          <w:bCs/>
          <w:sz w:val="28"/>
          <w:rtl/>
        </w:rPr>
        <w:t>)</w:t>
      </w:r>
      <w:r w:rsidRPr="003F3B94">
        <w:rPr>
          <w:rFonts w:ascii="Abo-thar" w:hAnsi="Abo-thar" w:hint="cs"/>
          <w:b/>
          <w:bCs/>
          <w:sz w:val="28"/>
          <w:rtl/>
        </w:rPr>
        <w:t xml:space="preserve"> الحديث الرابع</w:t>
      </w:r>
      <w:r w:rsidR="00217AB4" w:rsidRPr="003F3B94">
        <w:rPr>
          <w:rFonts w:ascii="Abo-thar" w:hAnsi="Abo-thar" w:hint="cs"/>
          <w:b/>
          <w:bCs/>
          <w:sz w:val="28"/>
          <w:rtl/>
        </w:rPr>
        <w:t>:</w:t>
      </w:r>
      <w:r w:rsidRPr="003F3B94">
        <w:rPr>
          <w:rFonts w:ascii="Abo-thar" w:hAnsi="Abo-thar" w:hint="cs"/>
          <w:sz w:val="28"/>
          <w:rtl/>
        </w:rPr>
        <w:t xml:space="preserve"> وهو حديث لم يروه سوى الشيخ </w:t>
      </w:r>
      <w:r w:rsidR="0041266B" w:rsidRPr="003F3B94">
        <w:rPr>
          <w:rFonts w:ascii="Abo-thar" w:hAnsi="Abo-thar" w:hint="cs"/>
          <w:sz w:val="28"/>
          <w:rtl/>
        </w:rPr>
        <w:t>الطوسي في «التهذيب»</w:t>
      </w:r>
      <w:r w:rsidRPr="003F3B94">
        <w:rPr>
          <w:rFonts w:ascii="Abo-thar" w:hAnsi="Abo-thar" w:hint="cs"/>
          <w:sz w:val="28"/>
          <w:rtl/>
        </w:rPr>
        <w:t xml:space="preserve"> ونصه</w:t>
      </w:r>
      <w:r w:rsidR="00217AB4" w:rsidRPr="003F3B94">
        <w:rPr>
          <w:rFonts w:ascii="Abo-thar" w:hAnsi="Abo-thar" w:hint="cs"/>
          <w:sz w:val="28"/>
          <w:rtl/>
        </w:rPr>
        <w:t>:</w:t>
      </w:r>
    </w:p>
    <w:p w:rsidR="005C664D" w:rsidRPr="003F3B94" w:rsidRDefault="00EF2588" w:rsidP="003F3B94">
      <w:pPr>
        <w:pStyle w:val="a0"/>
        <w:rPr>
          <w:rFonts w:hint="cs"/>
          <w:rtl/>
        </w:rPr>
      </w:pPr>
      <w:r w:rsidRPr="004408B9">
        <w:rPr>
          <w:rFonts w:ascii="Abo-thar" w:hAnsi="Abo-thar" w:cs="KFGQPC Uthman Taha Naskh" w:hint="cs"/>
          <w:sz w:val="28"/>
          <w:rtl/>
          <w:lang w:bidi="ar-SY"/>
        </w:rPr>
        <w:t>«</w:t>
      </w:r>
      <w:r w:rsidR="005C664D" w:rsidRPr="004408B9">
        <w:rPr>
          <w:rFonts w:ascii="Abo-thar" w:hAnsi="Abo-thar" w:cs="KFGQPC Uthman Taha Naskh"/>
          <w:b/>
          <w:bCs/>
          <w:sz w:val="28"/>
          <w:rtl/>
          <w:lang w:bidi="ar-SY"/>
        </w:rPr>
        <w:t xml:space="preserve">عَنِ الرَّيَّانِ بْنِ الصَّلْتِ قَالَ كَتَبْتُ إِلَى أَبِي مُحَمَّدٍ </w:t>
      </w:r>
      <w:r w:rsidR="00BC4BA9" w:rsidRPr="00BC4BA9">
        <w:rPr>
          <w:rFonts w:ascii="Abo-thar" w:hAnsi="Abo-thar" w:cs="CTraditional Arabic"/>
          <w:b/>
          <w:sz w:val="28"/>
          <w:rtl/>
          <w:lang w:bidi="ar-SY"/>
        </w:rPr>
        <w:t>÷</w:t>
      </w:r>
      <w:r w:rsidR="005C664D" w:rsidRPr="004408B9">
        <w:rPr>
          <w:rFonts w:ascii="Abo-thar" w:hAnsi="Abo-thar" w:cs="KFGQPC Uthman Taha Naskh"/>
          <w:b/>
          <w:bCs/>
          <w:sz w:val="28"/>
          <w:rtl/>
          <w:lang w:bidi="ar-SY"/>
        </w:rPr>
        <w:t xml:space="preserve"> مَا الَّذِي يَجِبُ عَلَيَّ يَا مَوْلَايَ فِي غَلَّةِ رَحَى أَرْضٍ فِي قَطِيعَةٍ لِي وَفِي ثَمَنِ سَمَكٍ وَبَرْدِيٍّ وَقَصَبٍ أَبِيعُهُ مِنْ أَجَمَةِ هَذِهِ القَطِيعَةِ</w:t>
      </w:r>
      <w:r w:rsidR="00217AB4" w:rsidRPr="004408B9">
        <w:rPr>
          <w:rFonts w:ascii="Abo-thar" w:hAnsi="Abo-thar" w:cs="KFGQPC Uthman Taha Naskh" w:hint="cs"/>
          <w:b/>
          <w:bCs/>
          <w:sz w:val="28"/>
          <w:rtl/>
          <w:lang w:bidi="ar-SY"/>
        </w:rPr>
        <w:t>؟</w:t>
      </w:r>
      <w:r w:rsidR="005C664D" w:rsidRPr="004408B9">
        <w:rPr>
          <w:rFonts w:ascii="Abo-thar" w:hAnsi="Abo-thar" w:cs="KFGQPC Uthman Taha Naskh"/>
          <w:b/>
          <w:bCs/>
          <w:sz w:val="28"/>
          <w:rtl/>
          <w:lang w:bidi="ar-SY"/>
        </w:rPr>
        <w:t xml:space="preserve"> فَكَتَبَ</w:t>
      </w:r>
      <w:r w:rsidR="00217AB4" w:rsidRPr="004408B9">
        <w:rPr>
          <w:rFonts w:ascii="Abo-thar" w:hAnsi="Abo-thar" w:cs="KFGQPC Uthman Taha Naskh" w:hint="cs"/>
          <w:b/>
          <w:bCs/>
          <w:sz w:val="28"/>
          <w:rtl/>
          <w:lang w:bidi="ar-SY"/>
        </w:rPr>
        <w:t>:</w:t>
      </w:r>
      <w:r w:rsidR="005C664D" w:rsidRPr="004408B9">
        <w:rPr>
          <w:rFonts w:ascii="Abo-thar" w:hAnsi="Abo-thar" w:cs="KFGQPC Uthman Taha Naskh"/>
          <w:b/>
          <w:bCs/>
          <w:sz w:val="28"/>
          <w:rtl/>
          <w:lang w:bidi="ar-SY"/>
        </w:rPr>
        <w:t xml:space="preserve"> يَجِبُ عَلَيْكَ فِيهِ الخُمُسُ إِنْ شَاءَ اللهُ تَعَالَى</w:t>
      </w:r>
      <w:r w:rsidRPr="004408B9">
        <w:rPr>
          <w:rFonts w:ascii="Abo-thar" w:hAnsi="Abo-thar" w:cs="KFGQPC Uthman Taha Naskh" w:hint="cs"/>
          <w:sz w:val="28"/>
          <w:rtl/>
          <w:lang w:bidi="ar-SY"/>
        </w:rPr>
        <w:t>»</w:t>
      </w:r>
      <w:r w:rsidR="0041266B" w:rsidRPr="0021507A">
        <w:rPr>
          <w:rFonts w:ascii="Abo-thar" w:hAnsi="Abo-thar" w:cs="Arabic11 BT"/>
          <w:sz w:val="28"/>
          <w:vertAlign w:val="superscript"/>
          <w:rtl/>
          <w:lang w:bidi="ar-SY"/>
        </w:rPr>
        <w:t>(</w:t>
      </w:r>
      <w:r w:rsidR="0041266B" w:rsidRPr="0021507A">
        <w:rPr>
          <w:rStyle w:val="FootnoteReference"/>
          <w:rFonts w:ascii="Abo-thar" w:hAnsi="Abo-thar" w:cs="Arabic11 BT"/>
          <w:sz w:val="28"/>
          <w:rtl/>
          <w:lang w:bidi="ar-SY"/>
        </w:rPr>
        <w:footnoteReference w:id="294"/>
      </w:r>
      <w:r w:rsidR="0041266B" w:rsidRPr="0021507A">
        <w:rPr>
          <w:rFonts w:ascii="Abo-thar" w:hAnsi="Abo-thar" w:cs="Arabic11 BT"/>
          <w:sz w:val="28"/>
          <w:vertAlign w:val="superscript"/>
          <w:rtl/>
          <w:lang w:bidi="ar-SY"/>
        </w:rPr>
        <w:t>)</w:t>
      </w:r>
      <w:r w:rsidR="00217AB4" w:rsidRPr="003F3B94">
        <w:rPr>
          <w:rFonts w:ascii="Abo-thar" w:hAnsi="Abo-thar" w:hint="cs"/>
          <w:sz w:val="28"/>
          <w:rtl/>
          <w:lang w:bidi="ar-SY"/>
        </w:rPr>
        <w:t>.</w:t>
      </w:r>
      <w:r w:rsidR="005C664D" w:rsidRPr="003F3B94">
        <w:rPr>
          <w:rFonts w:ascii="Abo-thar" w:hAnsi="Abo-thar" w:hint="cs"/>
          <w:sz w:val="28"/>
          <w:rtl/>
          <w:lang w:bidi="ar-SY"/>
        </w:rPr>
        <w:t xml:space="preserve"> </w:t>
      </w:r>
    </w:p>
    <w:p w:rsidR="005C664D" w:rsidRPr="003F3B94" w:rsidRDefault="005C664D" w:rsidP="003F3B94">
      <w:pPr>
        <w:pStyle w:val="a0"/>
        <w:rPr>
          <w:rFonts w:hint="cs"/>
          <w:rtl/>
          <w:lang w:bidi="ar-SY"/>
        </w:rPr>
      </w:pPr>
      <w:r w:rsidRPr="003F3B94">
        <w:rPr>
          <w:rFonts w:ascii="Abo-thar" w:hAnsi="Abo-thar" w:hint="cs"/>
          <w:sz w:val="28"/>
          <w:rtl/>
          <w:lang w:bidi="ar-SY"/>
        </w:rPr>
        <w:t>هذا الحديث بهذه الصورة التي رُوِيَ بها حديثٌ مرسلٌ لأن سلسلة سنده منقطعة</w:t>
      </w:r>
      <w:r w:rsidR="00217AB4" w:rsidRPr="003F3B94">
        <w:rPr>
          <w:rFonts w:ascii="Abo-thar" w:hAnsi="Abo-thar" w:hint="cs"/>
          <w:sz w:val="28"/>
          <w:rtl/>
          <w:lang w:bidi="ar-SY"/>
        </w:rPr>
        <w:t>.</w:t>
      </w:r>
      <w:r w:rsidRPr="003F3B94">
        <w:rPr>
          <w:rFonts w:ascii="Abo-thar" w:hAnsi="Abo-thar" w:hint="cs"/>
          <w:sz w:val="28"/>
          <w:rtl/>
          <w:lang w:bidi="ar-SY"/>
        </w:rPr>
        <w:t xml:space="preserve"> كما أن </w:t>
      </w:r>
      <w:r w:rsidR="00147857" w:rsidRPr="003F3B94">
        <w:rPr>
          <w:rFonts w:ascii="Abo-thar" w:hAnsi="Abo-thar" w:hint="eastAsia"/>
          <w:sz w:val="28"/>
          <w:rtl/>
          <w:lang w:bidi="ar-SY"/>
        </w:rPr>
        <w:t>«</w:t>
      </w:r>
      <w:r w:rsidRPr="003F3B94">
        <w:rPr>
          <w:rFonts w:ascii="Abo-thar" w:hAnsi="Abo-thar"/>
          <w:b/>
          <w:bCs/>
          <w:sz w:val="28"/>
          <w:rtl/>
          <w:lang w:bidi="ar-SY"/>
        </w:rPr>
        <w:t>الرَّيَّانِ بْنِ الصَّلْتِ</w:t>
      </w:r>
      <w:r w:rsidR="00147857" w:rsidRPr="003F3B94">
        <w:rPr>
          <w:rFonts w:ascii="Abo-thar" w:hAnsi="Abo-thar" w:hint="eastAsia"/>
          <w:sz w:val="28"/>
          <w:rtl/>
          <w:lang w:bidi="ar-SY"/>
        </w:rPr>
        <w:t>»</w:t>
      </w:r>
      <w:r w:rsidRPr="003F3B94">
        <w:rPr>
          <w:rFonts w:ascii="Abo-thar" w:hAnsi="Abo-thar" w:hint="cs"/>
          <w:sz w:val="28"/>
          <w:rtl/>
          <w:lang w:bidi="ar-SY"/>
        </w:rPr>
        <w:t xml:space="preserve"> الراوي المتصل بالمعصوم كان من المقرَّبين إلى بلاط العباسيين ومن رجال حكومة المأمون العباسي ومن البعيد أن يكون قد بقي على قيد الحياة حتى زمن إمامة حضرة الإمام الحسن العسكري</w:t>
      </w:r>
      <w:r w:rsidR="00147857" w:rsidRPr="003F3B94">
        <w:rPr>
          <w:rFonts w:ascii="Abo-thar" w:hAnsi="Abo-thar" w:hint="cs"/>
          <w:sz w:val="28"/>
          <w:rtl/>
          <w:lang w:bidi="ar-SY"/>
        </w:rPr>
        <w:t xml:space="preserve"> </w:t>
      </w:r>
      <w:r w:rsidR="003C7AEB" w:rsidRPr="003C7AEB">
        <w:rPr>
          <w:rFonts w:ascii="Abo-thar" w:hAnsi="Abo-thar" w:cs="CTraditional Arabic"/>
          <w:sz w:val="28"/>
          <w:rtl/>
          <w:lang w:bidi="ar-SY"/>
        </w:rPr>
        <w:t>÷</w:t>
      </w:r>
      <w:r w:rsidR="00217AB4" w:rsidRPr="003F3B94">
        <w:rPr>
          <w:rFonts w:ascii="Abo-thar" w:hAnsi="Abo-thar"/>
          <w:sz w:val="28"/>
          <w:rtl/>
          <w:lang w:bidi="ar-SY"/>
        </w:rPr>
        <w:t>.</w:t>
      </w:r>
      <w:r w:rsidRPr="003F3B94">
        <w:rPr>
          <w:rFonts w:ascii="Abo-thar" w:hAnsi="Abo-thar" w:hint="cs"/>
          <w:sz w:val="28"/>
          <w:rtl/>
          <w:lang w:bidi="ar-SY"/>
        </w:rPr>
        <w:t xml:space="preserve"> </w:t>
      </w:r>
    </w:p>
    <w:p w:rsidR="005C664D" w:rsidRPr="003F3B94" w:rsidRDefault="005C664D" w:rsidP="003F3B94">
      <w:pPr>
        <w:pStyle w:val="a0"/>
        <w:rPr>
          <w:rFonts w:hint="cs"/>
          <w:rtl/>
          <w:lang w:bidi="ar-SY"/>
        </w:rPr>
      </w:pPr>
      <w:r w:rsidRPr="003F3B94">
        <w:rPr>
          <w:rFonts w:ascii="Abo-thar" w:hAnsi="Abo-thar" w:hint="cs"/>
          <w:sz w:val="28"/>
          <w:rtl/>
          <w:lang w:bidi="ar-SY"/>
        </w:rPr>
        <w:t xml:space="preserve">واعتبره الشيخ الطوسي أيضاً من أصحاب الرضا أحياناً واعتبره من أصحاب الإمام الهادي </w:t>
      </w:r>
      <w:r w:rsidR="00217AB4" w:rsidRPr="003F3B94">
        <w:rPr>
          <w:rFonts w:ascii="Abo-thar" w:hAnsi="Abo-thar" w:hint="cs"/>
          <w:sz w:val="28"/>
          <w:rtl/>
          <w:lang w:bidi="ar-SY"/>
        </w:rPr>
        <w:t>(</w:t>
      </w:r>
      <w:r w:rsidRPr="003F3B94">
        <w:rPr>
          <w:rFonts w:ascii="Abo-thar" w:hAnsi="Abo-thar" w:hint="cs"/>
          <w:sz w:val="28"/>
          <w:rtl/>
          <w:lang w:bidi="ar-SY"/>
        </w:rPr>
        <w:t>علي النقي</w:t>
      </w:r>
      <w:r w:rsidR="00217AB4" w:rsidRPr="003F3B94">
        <w:rPr>
          <w:rFonts w:ascii="Abo-thar" w:hAnsi="Abo-thar" w:hint="cs"/>
          <w:sz w:val="28"/>
          <w:rtl/>
          <w:lang w:bidi="ar-SY"/>
        </w:rPr>
        <w:t>)</w:t>
      </w:r>
      <w:r w:rsidRPr="003F3B94">
        <w:rPr>
          <w:rFonts w:ascii="Abo-thar" w:hAnsi="Abo-thar" w:hint="cs"/>
          <w:sz w:val="28"/>
          <w:rtl/>
          <w:lang w:bidi="ar-SY"/>
        </w:rPr>
        <w:t xml:space="preserve"> أحياناً أخرى ولم يعتبره أي عالم من علماء الرجال من أصحابِ حضرة الإمام الحسن العسكري</w:t>
      </w:r>
      <w:r w:rsidR="00147857" w:rsidRPr="003F3B94">
        <w:rPr>
          <w:rFonts w:ascii="Abo-thar" w:hAnsi="Abo-thar" w:hint="cs"/>
          <w:sz w:val="28"/>
          <w:rtl/>
          <w:lang w:bidi="ar-SY"/>
        </w:rPr>
        <w:t xml:space="preserve"> </w:t>
      </w:r>
      <w:r w:rsidR="003C7AEB" w:rsidRPr="003C7AEB">
        <w:rPr>
          <w:rFonts w:ascii="Abo-thar" w:hAnsi="Abo-thar" w:cs="CTraditional Arabic"/>
          <w:sz w:val="28"/>
          <w:rtl/>
          <w:lang w:bidi="ar-SY"/>
        </w:rPr>
        <w:t>÷</w:t>
      </w:r>
      <w:r w:rsidR="00217AB4" w:rsidRPr="003F3B94">
        <w:rPr>
          <w:rFonts w:ascii="Abo-thar" w:hAnsi="Abo-thar"/>
          <w:sz w:val="28"/>
          <w:rtl/>
          <w:lang w:bidi="ar-SY"/>
        </w:rPr>
        <w:t>.</w:t>
      </w:r>
      <w:r w:rsidRPr="003F3B94">
        <w:rPr>
          <w:rFonts w:hint="cs"/>
          <w:sz w:val="28"/>
          <w:rtl/>
          <w:lang w:bidi="ar-SY"/>
        </w:rPr>
        <w:t xml:space="preserve"> </w:t>
      </w:r>
    </w:p>
    <w:p w:rsidR="005C664D" w:rsidRPr="003F3B94" w:rsidRDefault="005C664D" w:rsidP="003F3B94">
      <w:pPr>
        <w:pStyle w:val="a0"/>
        <w:rPr>
          <w:rFonts w:hint="cs"/>
          <w:rtl/>
          <w:lang w:bidi="ar-SY"/>
        </w:rPr>
      </w:pPr>
      <w:r w:rsidRPr="003F3B94">
        <w:rPr>
          <w:rFonts w:hint="cs"/>
          <w:sz w:val="28"/>
          <w:rtl/>
          <w:lang w:bidi="ar-SY"/>
        </w:rPr>
        <w:t>كما أن متن الحديث قاصرٌ عن إفادة تلك الدلالة التي يبتغيها القائلون بوجوب الخمس في أرباح المكاسب</w:t>
      </w:r>
      <w:r w:rsidR="001E0DB7" w:rsidRPr="003F3B94">
        <w:rPr>
          <w:rFonts w:hint="cs"/>
          <w:sz w:val="28"/>
          <w:rtl/>
          <w:lang w:bidi="ar-SY"/>
        </w:rPr>
        <w:t>،</w:t>
      </w:r>
      <w:r w:rsidRPr="003F3B94">
        <w:rPr>
          <w:rFonts w:hint="cs"/>
          <w:sz w:val="28"/>
          <w:rtl/>
          <w:lang w:bidi="ar-SY"/>
        </w:rPr>
        <w:t xml:space="preserve"> لأن الكلام فيه جاء عن الأراضي الإقطاعية</w:t>
      </w:r>
      <w:r w:rsidR="00217AB4" w:rsidRPr="003F3B94">
        <w:rPr>
          <w:rFonts w:hint="cs"/>
          <w:sz w:val="28"/>
          <w:rtl/>
          <w:lang w:bidi="ar-SY"/>
        </w:rPr>
        <w:t>.</w:t>
      </w:r>
      <w:r w:rsidRPr="003F3B94">
        <w:rPr>
          <w:rFonts w:hint="cs"/>
          <w:sz w:val="28"/>
          <w:rtl/>
          <w:lang w:bidi="ar-SY"/>
        </w:rPr>
        <w:t xml:space="preserve"> وقد قال صاحب المدارك في تعليقه على هذه الرواية</w:t>
      </w:r>
      <w:r w:rsidR="00217AB4" w:rsidRPr="003F3B94">
        <w:rPr>
          <w:rFonts w:hint="cs"/>
          <w:sz w:val="28"/>
          <w:rtl/>
          <w:lang w:bidi="ar-SY"/>
        </w:rPr>
        <w:t>:</w:t>
      </w:r>
      <w:r w:rsidR="00147857" w:rsidRPr="003F3B94">
        <w:rPr>
          <w:rFonts w:hint="cs"/>
          <w:sz w:val="28"/>
          <w:rtl/>
          <w:lang w:bidi="ar-SY"/>
        </w:rPr>
        <w:t xml:space="preserve"> </w:t>
      </w:r>
      <w:r w:rsidR="00EF2588" w:rsidRPr="003F3B94">
        <w:rPr>
          <w:rFonts w:hint="cs"/>
          <w:sz w:val="28"/>
          <w:rtl/>
          <w:lang w:bidi="ar-SY"/>
        </w:rPr>
        <w:t>«</w:t>
      </w:r>
      <w:r w:rsidRPr="003F3B94">
        <w:rPr>
          <w:sz w:val="28"/>
          <w:rtl/>
          <w:lang w:bidi="ar-SY"/>
        </w:rPr>
        <w:t>وأما رواية الريان فهي جيدة السند</w:t>
      </w:r>
      <w:r w:rsidR="00217AB4" w:rsidRPr="003F3B94">
        <w:rPr>
          <w:sz w:val="28"/>
          <w:rtl/>
          <w:lang w:bidi="ar-SY"/>
        </w:rPr>
        <w:t>،</w:t>
      </w:r>
      <w:r w:rsidRPr="003F3B94">
        <w:rPr>
          <w:sz w:val="28"/>
          <w:rtl/>
          <w:lang w:bidi="ar-SY"/>
        </w:rPr>
        <w:t xml:space="preserve"> ل</w:t>
      </w:r>
      <w:r w:rsidRPr="003F3B94">
        <w:rPr>
          <w:rFonts w:hint="cs"/>
          <w:sz w:val="28"/>
          <w:rtl/>
          <w:lang w:bidi="ar-SY"/>
        </w:rPr>
        <w:t>أ</w:t>
      </w:r>
      <w:r w:rsidRPr="003F3B94">
        <w:rPr>
          <w:sz w:val="28"/>
          <w:rtl/>
          <w:lang w:bidi="ar-SY"/>
        </w:rPr>
        <w:t xml:space="preserve">ن الشيخ </w:t>
      </w:r>
      <w:r w:rsidR="00217AB4" w:rsidRPr="003F3B94">
        <w:rPr>
          <w:sz w:val="28"/>
          <w:rtl/>
          <w:lang w:bidi="ar-SY"/>
        </w:rPr>
        <w:t>-</w:t>
      </w:r>
      <w:r w:rsidRPr="003F3B94">
        <w:rPr>
          <w:sz w:val="28"/>
          <w:rtl/>
          <w:lang w:bidi="ar-SY"/>
        </w:rPr>
        <w:t xml:space="preserve"> رحمه الله</w:t>
      </w:r>
      <w:r w:rsidRPr="003F3B94">
        <w:rPr>
          <w:rFonts w:hint="cs"/>
          <w:sz w:val="28"/>
          <w:rtl/>
          <w:lang w:bidi="ar-SY"/>
        </w:rPr>
        <w:t xml:space="preserve"> </w:t>
      </w:r>
      <w:r w:rsidR="00217AB4" w:rsidRPr="003F3B94">
        <w:rPr>
          <w:sz w:val="28"/>
          <w:rtl/>
          <w:lang w:bidi="ar-SY"/>
        </w:rPr>
        <w:t>-</w:t>
      </w:r>
      <w:r w:rsidRPr="003F3B94">
        <w:rPr>
          <w:sz w:val="28"/>
          <w:rtl/>
          <w:lang w:bidi="ar-SY"/>
        </w:rPr>
        <w:t>وإن رواها في التهذيب عنه مرسلا</w:t>
      </w:r>
      <w:r w:rsidRPr="003F3B94">
        <w:rPr>
          <w:rFonts w:hint="cs"/>
          <w:sz w:val="28"/>
          <w:rtl/>
          <w:lang w:bidi="ar-SY"/>
        </w:rPr>
        <w:t>ً</w:t>
      </w:r>
      <w:r w:rsidR="00217AB4" w:rsidRPr="003F3B94">
        <w:rPr>
          <w:sz w:val="28"/>
          <w:rtl/>
          <w:lang w:bidi="ar-SY"/>
        </w:rPr>
        <w:t>،</w:t>
      </w:r>
      <w:r w:rsidRPr="003F3B94">
        <w:rPr>
          <w:sz w:val="28"/>
          <w:rtl/>
          <w:lang w:bidi="ar-SY"/>
        </w:rPr>
        <w:t xml:space="preserve"> إلا</w:t>
      </w:r>
      <w:r w:rsidRPr="003F3B94">
        <w:rPr>
          <w:rFonts w:hint="cs"/>
          <w:sz w:val="28"/>
          <w:rtl/>
          <w:lang w:bidi="ar-SY"/>
        </w:rPr>
        <w:t xml:space="preserve"> </w:t>
      </w:r>
      <w:r w:rsidRPr="003F3B94">
        <w:rPr>
          <w:sz w:val="28"/>
          <w:rtl/>
          <w:lang w:bidi="ar-SY"/>
        </w:rPr>
        <w:t>أن طريقه إليه في الفهرست صحيح</w:t>
      </w:r>
      <w:r w:rsidRPr="003F3B94">
        <w:rPr>
          <w:rFonts w:hint="cs"/>
          <w:sz w:val="28"/>
          <w:rtl/>
          <w:lang w:bidi="ar-SY"/>
        </w:rPr>
        <w:t>ٌ</w:t>
      </w:r>
      <w:r w:rsidR="00217AB4" w:rsidRPr="003F3B94">
        <w:rPr>
          <w:rFonts w:hint="cs"/>
          <w:sz w:val="28"/>
          <w:rtl/>
          <w:lang w:bidi="ar-SY"/>
        </w:rPr>
        <w:t>،</w:t>
      </w:r>
      <w:r w:rsidRPr="003F3B94">
        <w:rPr>
          <w:rFonts w:hint="cs"/>
          <w:sz w:val="28"/>
          <w:rtl/>
          <w:lang w:bidi="ar-SY"/>
        </w:rPr>
        <w:t xml:space="preserve"> </w:t>
      </w:r>
      <w:r w:rsidRPr="003F3B94">
        <w:rPr>
          <w:sz w:val="28"/>
          <w:rtl/>
          <w:lang w:bidi="ar-SY"/>
        </w:rPr>
        <w:t>لكنها قاصرة من حيث المتن</w:t>
      </w:r>
      <w:r w:rsidR="00217AB4" w:rsidRPr="003F3B94">
        <w:rPr>
          <w:sz w:val="28"/>
          <w:rtl/>
          <w:lang w:bidi="ar-SY"/>
        </w:rPr>
        <w:t>،</w:t>
      </w:r>
      <w:r w:rsidRPr="003F3B94">
        <w:rPr>
          <w:sz w:val="28"/>
          <w:rtl/>
          <w:lang w:bidi="ar-SY"/>
        </w:rPr>
        <w:t xml:space="preserve"> لاختصاصها </w:t>
      </w:r>
      <w:r w:rsidRPr="003F3B94">
        <w:rPr>
          <w:rFonts w:hint="cs"/>
          <w:sz w:val="28"/>
          <w:rtl/>
          <w:lang w:bidi="ar-SY"/>
        </w:rPr>
        <w:t>بالأرض</w:t>
      </w:r>
      <w:r w:rsidRPr="003F3B94">
        <w:rPr>
          <w:sz w:val="28"/>
          <w:rtl/>
          <w:lang w:bidi="ar-SY"/>
        </w:rPr>
        <w:t xml:space="preserve"> القطيعة</w:t>
      </w:r>
      <w:r w:rsidR="00217AB4" w:rsidRPr="003F3B94">
        <w:rPr>
          <w:sz w:val="28"/>
          <w:rtl/>
          <w:lang w:bidi="ar-SY"/>
        </w:rPr>
        <w:t>،</w:t>
      </w:r>
      <w:r w:rsidRPr="003F3B94">
        <w:rPr>
          <w:sz w:val="28"/>
          <w:rtl/>
          <w:lang w:bidi="ar-SY"/>
        </w:rPr>
        <w:t xml:space="preserve"> وهي على ما نص</w:t>
      </w:r>
      <w:r w:rsidRPr="003F3B94">
        <w:rPr>
          <w:rFonts w:hint="cs"/>
          <w:sz w:val="28"/>
          <w:rtl/>
          <w:lang w:bidi="ar-SY"/>
        </w:rPr>
        <w:t xml:space="preserve">َّ </w:t>
      </w:r>
      <w:r w:rsidRPr="003F3B94">
        <w:rPr>
          <w:sz w:val="28"/>
          <w:rtl/>
          <w:lang w:bidi="ar-SY"/>
        </w:rPr>
        <w:t>عليه الجوهري طائفة من أرض الخراج</w:t>
      </w:r>
      <w:r w:rsidR="00217AB4" w:rsidRPr="003F3B94">
        <w:rPr>
          <w:sz w:val="28"/>
          <w:rtl/>
          <w:lang w:bidi="ar-SY"/>
        </w:rPr>
        <w:t>،</w:t>
      </w:r>
      <w:r w:rsidRPr="003F3B94">
        <w:rPr>
          <w:sz w:val="28"/>
          <w:rtl/>
          <w:lang w:bidi="ar-SY"/>
        </w:rPr>
        <w:t xml:space="preserve"> أو</w:t>
      </w:r>
      <w:r w:rsidRPr="003F3B94">
        <w:rPr>
          <w:rFonts w:hint="cs"/>
          <w:sz w:val="28"/>
          <w:rtl/>
          <w:lang w:bidi="ar-SY"/>
        </w:rPr>
        <w:t xml:space="preserve"> </w:t>
      </w:r>
      <w:r w:rsidRPr="003F3B94">
        <w:rPr>
          <w:sz w:val="28"/>
          <w:rtl/>
          <w:lang w:bidi="ar-SY"/>
        </w:rPr>
        <w:t>محال</w:t>
      </w:r>
      <w:r w:rsidRPr="003F3B94">
        <w:rPr>
          <w:rFonts w:hint="cs"/>
          <w:sz w:val="28"/>
          <w:rtl/>
          <w:lang w:bidi="ar-SY"/>
        </w:rPr>
        <w:t>ٌّ</w:t>
      </w:r>
      <w:r w:rsidRPr="003F3B94">
        <w:rPr>
          <w:sz w:val="28"/>
          <w:rtl/>
          <w:lang w:bidi="ar-SY"/>
        </w:rPr>
        <w:t xml:space="preserve"> ببغداد أقطعها</w:t>
      </w:r>
      <w:r w:rsidRPr="003F3B94">
        <w:rPr>
          <w:rFonts w:hint="cs"/>
          <w:sz w:val="28"/>
          <w:rtl/>
          <w:lang w:bidi="ar-SY"/>
        </w:rPr>
        <w:t xml:space="preserve"> </w:t>
      </w:r>
      <w:r w:rsidR="00217AB4" w:rsidRPr="003F3B94">
        <w:rPr>
          <w:rFonts w:hint="cs"/>
          <w:sz w:val="28"/>
          <w:rtl/>
          <w:lang w:bidi="ar-SY"/>
        </w:rPr>
        <w:t>(</w:t>
      </w:r>
      <w:r w:rsidRPr="003F3B94">
        <w:rPr>
          <w:rFonts w:hint="cs"/>
          <w:sz w:val="28"/>
          <w:rtl/>
          <w:lang w:bidi="ar-SY"/>
        </w:rPr>
        <w:t>أبو جعفر</w:t>
      </w:r>
      <w:r w:rsidR="00217AB4" w:rsidRPr="003F3B94">
        <w:rPr>
          <w:rFonts w:hint="cs"/>
          <w:sz w:val="28"/>
          <w:rtl/>
          <w:lang w:bidi="ar-SY"/>
        </w:rPr>
        <w:t>)</w:t>
      </w:r>
      <w:r w:rsidRPr="003F3B94">
        <w:rPr>
          <w:rFonts w:hint="cs"/>
          <w:sz w:val="28"/>
          <w:rtl/>
          <w:lang w:bidi="ar-SY"/>
        </w:rPr>
        <w:t xml:space="preserve"> </w:t>
      </w:r>
      <w:r w:rsidRPr="003F3B94">
        <w:rPr>
          <w:sz w:val="28"/>
          <w:rtl/>
          <w:lang w:bidi="ar-SY"/>
        </w:rPr>
        <w:t>المنصور</w:t>
      </w:r>
      <w:r w:rsidRPr="003F3B94">
        <w:rPr>
          <w:rFonts w:hint="cs"/>
          <w:sz w:val="28"/>
          <w:rtl/>
          <w:lang w:bidi="ar-SY"/>
        </w:rPr>
        <w:t xml:space="preserve"> </w:t>
      </w:r>
      <w:r w:rsidR="00217AB4" w:rsidRPr="003F3B94">
        <w:rPr>
          <w:rFonts w:hint="cs"/>
          <w:sz w:val="28"/>
          <w:rtl/>
          <w:lang w:bidi="ar-SY"/>
        </w:rPr>
        <w:t>(</w:t>
      </w:r>
      <w:r w:rsidRPr="003F3B94">
        <w:rPr>
          <w:rFonts w:hint="cs"/>
          <w:sz w:val="28"/>
          <w:rtl/>
          <w:lang w:bidi="ar-SY"/>
        </w:rPr>
        <w:t>الدوانيقي</w:t>
      </w:r>
      <w:r w:rsidR="00217AB4" w:rsidRPr="003F3B94">
        <w:rPr>
          <w:rFonts w:hint="cs"/>
          <w:sz w:val="28"/>
          <w:rtl/>
          <w:lang w:bidi="ar-SY"/>
        </w:rPr>
        <w:t>)</w:t>
      </w:r>
      <w:r w:rsidRPr="003F3B94">
        <w:rPr>
          <w:sz w:val="28"/>
          <w:rtl/>
          <w:lang w:bidi="ar-SY"/>
        </w:rPr>
        <w:t xml:space="preserve"> أناسا</w:t>
      </w:r>
      <w:r w:rsidRPr="003F3B94">
        <w:rPr>
          <w:rFonts w:hint="cs"/>
          <w:sz w:val="28"/>
          <w:rtl/>
          <w:lang w:bidi="ar-SY"/>
        </w:rPr>
        <w:t>ً</w:t>
      </w:r>
      <w:r w:rsidRPr="003F3B94">
        <w:rPr>
          <w:sz w:val="28"/>
          <w:rtl/>
          <w:lang w:bidi="ar-SY"/>
        </w:rPr>
        <w:t xml:space="preserve"> من أعيان دولته ليعمروها ويسكنوها</w:t>
      </w:r>
      <w:r w:rsidR="00217AB4" w:rsidRPr="003F3B94">
        <w:rPr>
          <w:rFonts w:hint="cs"/>
          <w:sz w:val="28"/>
          <w:rtl/>
          <w:lang w:bidi="ar-SY"/>
        </w:rPr>
        <w:t>،</w:t>
      </w:r>
      <w:r w:rsidRPr="003F3B94">
        <w:rPr>
          <w:rFonts w:hint="cs"/>
          <w:sz w:val="28"/>
          <w:rtl/>
          <w:lang w:bidi="ar-SY"/>
        </w:rPr>
        <w:t xml:space="preserve"> </w:t>
      </w:r>
      <w:r w:rsidRPr="003F3B94">
        <w:rPr>
          <w:sz w:val="28"/>
          <w:rtl/>
          <w:lang w:bidi="ar-SY"/>
        </w:rPr>
        <w:t>كما ذكره في القاموس</w:t>
      </w:r>
      <w:r w:rsidR="00217AB4" w:rsidRPr="003F3B94">
        <w:rPr>
          <w:rFonts w:hint="cs"/>
          <w:sz w:val="28"/>
          <w:rtl/>
          <w:lang w:bidi="ar-SY"/>
        </w:rPr>
        <w:t>،</w:t>
      </w:r>
      <w:r w:rsidRPr="003F3B94">
        <w:rPr>
          <w:rFonts w:hint="cs"/>
          <w:sz w:val="28"/>
          <w:rtl/>
          <w:lang w:bidi="ar-SY"/>
        </w:rPr>
        <w:t xml:space="preserve"> </w:t>
      </w:r>
      <w:r w:rsidRPr="003F3B94">
        <w:rPr>
          <w:sz w:val="28"/>
          <w:rtl/>
          <w:lang w:bidi="ar-SY"/>
        </w:rPr>
        <w:t>ومستحق الخمس فيها غير مذكور</w:t>
      </w:r>
      <w:r w:rsidR="00217AB4" w:rsidRPr="003F3B94">
        <w:rPr>
          <w:sz w:val="28"/>
          <w:rtl/>
          <w:lang w:bidi="ar-SY"/>
        </w:rPr>
        <w:t>،</w:t>
      </w:r>
      <w:r w:rsidRPr="003F3B94">
        <w:rPr>
          <w:sz w:val="28"/>
          <w:rtl/>
          <w:lang w:bidi="ar-SY"/>
        </w:rPr>
        <w:t xml:space="preserve"> فجاز أن يكون غير</w:t>
      </w:r>
      <w:r w:rsidRPr="003F3B94">
        <w:rPr>
          <w:rFonts w:hint="cs"/>
          <w:sz w:val="28"/>
          <w:rtl/>
          <w:lang w:bidi="ar-SY"/>
        </w:rPr>
        <w:t xml:space="preserve"> </w:t>
      </w:r>
      <w:r w:rsidRPr="003F3B94">
        <w:rPr>
          <w:sz w:val="28"/>
          <w:rtl/>
          <w:lang w:bidi="ar-SY"/>
        </w:rPr>
        <w:t>مستحق الغنائم</w:t>
      </w:r>
      <w:r w:rsidR="00F456DF" w:rsidRPr="003F3B94">
        <w:rPr>
          <w:sz w:val="28"/>
          <w:rtl/>
          <w:lang w:bidi="ar-SY"/>
        </w:rPr>
        <w:t>»</w:t>
      </w:r>
      <w:r w:rsidR="00217AB4" w:rsidRPr="0021507A">
        <w:rPr>
          <w:rFonts w:cs="Arabic11 BT"/>
          <w:b/>
          <w:sz w:val="28"/>
          <w:vertAlign w:val="superscript"/>
          <w:rtl/>
          <w:lang w:bidi="ar-SY"/>
        </w:rPr>
        <w:t>(</w:t>
      </w:r>
      <w:r w:rsidRPr="0021507A">
        <w:rPr>
          <w:rStyle w:val="FootnoteReference"/>
          <w:rFonts w:cs="Arabic11 BT"/>
          <w:b/>
          <w:sz w:val="28"/>
          <w:rtl/>
          <w:lang w:bidi="ar-SY"/>
        </w:rPr>
        <w:footnoteReference w:id="295"/>
      </w:r>
      <w:r w:rsidR="00217AB4" w:rsidRPr="0021507A">
        <w:rPr>
          <w:rFonts w:cs="Arabic11 BT"/>
          <w:b/>
          <w:sz w:val="28"/>
          <w:vertAlign w:val="superscript"/>
          <w:rtl/>
          <w:lang w:bidi="ar-SY"/>
        </w:rPr>
        <w:t>)</w:t>
      </w:r>
      <w:r w:rsidRPr="003F3B94">
        <w:rPr>
          <w:sz w:val="28"/>
          <w:rtl/>
          <w:lang w:bidi="ar-SY"/>
        </w:rPr>
        <w:t xml:space="preserve"> </w:t>
      </w:r>
      <w:r w:rsidRPr="003F3B94">
        <w:rPr>
          <w:rFonts w:hint="cs"/>
          <w:sz w:val="28"/>
          <w:rtl/>
          <w:lang w:bidi="ar-SY"/>
        </w:rPr>
        <w:t>انتهى</w:t>
      </w:r>
      <w:r w:rsidR="00217AB4" w:rsidRPr="003F3B94">
        <w:rPr>
          <w:rFonts w:hint="cs"/>
          <w:sz w:val="28"/>
          <w:rtl/>
          <w:lang w:bidi="ar-SY"/>
        </w:rPr>
        <w:t>.</w:t>
      </w:r>
      <w:r w:rsidRPr="003F3B94">
        <w:rPr>
          <w:rFonts w:hint="cs"/>
          <w:sz w:val="28"/>
          <w:rtl/>
          <w:lang w:bidi="ar-SY"/>
        </w:rPr>
        <w:t xml:space="preserve"> </w:t>
      </w:r>
    </w:p>
    <w:p w:rsidR="005C664D" w:rsidRPr="003F3B94" w:rsidRDefault="005C664D" w:rsidP="003F3B94">
      <w:pPr>
        <w:pStyle w:val="a0"/>
        <w:rPr>
          <w:rFonts w:hint="cs"/>
          <w:rtl/>
          <w:lang w:bidi="ar-SY"/>
        </w:rPr>
      </w:pPr>
      <w:r w:rsidRPr="003F3B94">
        <w:rPr>
          <w:rFonts w:ascii="Abo-thar" w:hAnsi="Abo-thar" w:hint="cs"/>
          <w:sz w:val="28"/>
          <w:rtl/>
          <w:lang w:bidi="ar-SY"/>
        </w:rPr>
        <w:t>يعني أنه إذا كان الخمس واجباً في مثل تلك الأراضي فلأنها كانت إقطاعات</w:t>
      </w:r>
      <w:r w:rsidR="00217AB4" w:rsidRPr="003F3B94">
        <w:rPr>
          <w:rFonts w:ascii="Abo-thar" w:hAnsi="Abo-thar" w:hint="cs"/>
          <w:sz w:val="28"/>
          <w:rtl/>
          <w:lang w:bidi="ar-SY"/>
        </w:rPr>
        <w:t>،</w:t>
      </w:r>
      <w:r w:rsidRPr="003F3B94">
        <w:rPr>
          <w:rFonts w:ascii="Abo-thar" w:hAnsi="Abo-thar" w:hint="cs"/>
          <w:sz w:val="28"/>
          <w:rtl/>
          <w:lang w:bidi="ar-SY"/>
        </w:rPr>
        <w:t xml:space="preserve"> ولا علاقة لها بأرباح المكاسب</w:t>
      </w:r>
      <w:r w:rsidR="00217AB4" w:rsidRPr="003F3B94">
        <w:rPr>
          <w:rFonts w:ascii="Abo-thar" w:hAnsi="Abo-thar" w:hint="cs"/>
          <w:sz w:val="28"/>
          <w:rtl/>
          <w:lang w:bidi="ar-SY"/>
        </w:rPr>
        <w:t>،</w:t>
      </w:r>
      <w:r w:rsidRPr="003F3B94">
        <w:rPr>
          <w:rFonts w:ascii="Abo-thar" w:hAnsi="Abo-thar" w:hint="cs"/>
          <w:sz w:val="28"/>
          <w:rtl/>
          <w:lang w:bidi="ar-SY"/>
        </w:rPr>
        <w:t xml:space="preserve"> ولما كانت تلك الأراضي من الأراضي المفتوحة عنوةً والتي تُعَدُّ جزءاً من غنائم الحرب ففائدتها تتعلق بعامة </w:t>
      </w:r>
      <w:r w:rsidRPr="003F3B94">
        <w:rPr>
          <w:rFonts w:ascii="Abo-thar" w:hAnsi="Abo-thar" w:hint="eastAsia"/>
          <w:sz w:val="28"/>
          <w:rtl/>
          <w:lang w:bidi="ar-SY"/>
        </w:rPr>
        <w:t>المسلمين</w:t>
      </w:r>
      <w:r w:rsidR="00217AB4" w:rsidRPr="003F3B94">
        <w:rPr>
          <w:rFonts w:ascii="Abo-thar" w:hAnsi="Abo-thar" w:hint="cs"/>
          <w:sz w:val="28"/>
          <w:rtl/>
          <w:lang w:bidi="ar-SY"/>
        </w:rPr>
        <w:t>،</w:t>
      </w:r>
      <w:r w:rsidRPr="003F3B94">
        <w:rPr>
          <w:rFonts w:ascii="Abo-thar" w:hAnsi="Abo-thar" w:hint="cs"/>
          <w:sz w:val="28"/>
          <w:rtl/>
          <w:lang w:bidi="ar-SY"/>
        </w:rPr>
        <w:t xml:space="preserve"> وعلى الأقل فإن خراجها يتعلق ببيت المال وهو خمس ما يخرج منها أو أكثر</w:t>
      </w:r>
      <w:r w:rsidR="00217AB4" w:rsidRPr="003F3B94">
        <w:rPr>
          <w:rFonts w:ascii="Abo-thar" w:hAnsi="Abo-thar" w:hint="cs"/>
          <w:sz w:val="28"/>
          <w:rtl/>
          <w:lang w:bidi="ar-SY"/>
        </w:rPr>
        <w:t>،</w:t>
      </w:r>
      <w:r w:rsidRPr="003F3B94">
        <w:rPr>
          <w:rFonts w:ascii="Abo-thar" w:hAnsi="Abo-thar" w:hint="cs"/>
          <w:sz w:val="28"/>
          <w:rtl/>
          <w:lang w:bidi="ar-SY"/>
        </w:rPr>
        <w:t xml:space="preserve"> فربما كان مقصود الإمام الخراج أو مقدار الخمس مما يخرج منها أي من غنائم دار الحرب</w:t>
      </w:r>
      <w:r w:rsidR="00217AB4" w:rsidRPr="003F3B94">
        <w:rPr>
          <w:rFonts w:ascii="Abo-thar" w:hAnsi="Abo-thar" w:hint="cs"/>
          <w:sz w:val="28"/>
          <w:rtl/>
          <w:lang w:bidi="ar-SY"/>
        </w:rPr>
        <w:t>...</w:t>
      </w:r>
      <w:r w:rsidRPr="003F3B94">
        <w:rPr>
          <w:rFonts w:ascii="Abo-thar" w:hAnsi="Abo-thar" w:hint="cs"/>
          <w:sz w:val="28"/>
          <w:rtl/>
          <w:lang w:bidi="ar-SY"/>
        </w:rPr>
        <w:t xml:space="preserve"> </w:t>
      </w:r>
    </w:p>
    <w:p w:rsidR="005C664D" w:rsidRPr="003F3B94" w:rsidRDefault="005C664D" w:rsidP="003F3B94">
      <w:pPr>
        <w:pStyle w:val="a0"/>
        <w:rPr>
          <w:rFonts w:hint="cs"/>
          <w:rtl/>
          <w:lang w:bidi="ar-SY"/>
        </w:rPr>
      </w:pPr>
      <w:r w:rsidRPr="003F3B94">
        <w:rPr>
          <w:rFonts w:ascii="Abo-thar" w:hAnsi="Abo-thar" w:hint="cs"/>
          <w:sz w:val="28"/>
          <w:rtl/>
          <w:lang w:bidi="ar-SY"/>
        </w:rPr>
        <w:t>وعلى أي حال فلا علاقة للحديث بموضوع خمس أرباح المكاسب ولا يمكن اعتباره حجةً قاطعةً في أخذ أموال الناس</w:t>
      </w:r>
      <w:r w:rsidR="00217AB4" w:rsidRPr="003F3B94">
        <w:rPr>
          <w:rFonts w:ascii="Abo-thar" w:hAnsi="Abo-thar" w:hint="cs"/>
          <w:sz w:val="28"/>
          <w:rtl/>
          <w:lang w:bidi="ar-SY"/>
        </w:rPr>
        <w:t>.</w:t>
      </w:r>
      <w:r w:rsidRPr="003F3B94">
        <w:rPr>
          <w:rFonts w:ascii="Abo-thar" w:hAnsi="Abo-thar" w:hint="cs"/>
          <w:sz w:val="28"/>
          <w:rtl/>
          <w:lang w:bidi="ar-SY"/>
        </w:rPr>
        <w:t xml:space="preserve"> </w:t>
      </w:r>
    </w:p>
    <w:p w:rsidR="005C664D" w:rsidRPr="003F3B94" w:rsidRDefault="005C664D" w:rsidP="00255A16">
      <w:pPr>
        <w:pStyle w:val="a0"/>
        <w:rPr>
          <w:rFonts w:hint="cs"/>
          <w:rtl/>
        </w:rPr>
      </w:pPr>
      <w:r w:rsidRPr="003F3B94">
        <w:rPr>
          <w:rFonts w:ascii="Abo-thar" w:hAnsi="Abo-thar" w:hint="cs"/>
          <w:b/>
          <w:bCs/>
          <w:sz w:val="28"/>
          <w:rtl/>
          <w:lang w:bidi="ar-SY"/>
        </w:rPr>
        <w:t>5</w:t>
      </w:r>
      <w:r w:rsidR="00FE2278" w:rsidRPr="003F3B94">
        <w:rPr>
          <w:rFonts w:ascii="Abo-thar" w:hAnsi="Abo-thar" w:hint="cs"/>
          <w:b/>
          <w:bCs/>
          <w:sz w:val="28"/>
          <w:rtl/>
          <w:lang w:bidi="ar-SY"/>
        </w:rPr>
        <w:t>)</w:t>
      </w:r>
      <w:r w:rsidRPr="003F3B94">
        <w:rPr>
          <w:rFonts w:ascii="Abo-thar" w:hAnsi="Abo-thar" w:hint="cs"/>
          <w:b/>
          <w:bCs/>
          <w:sz w:val="28"/>
          <w:rtl/>
          <w:lang w:bidi="ar-SY"/>
        </w:rPr>
        <w:t xml:space="preserve"> الحديث الخامس</w:t>
      </w:r>
      <w:r w:rsidRPr="003F3B94">
        <w:rPr>
          <w:rFonts w:ascii="Abo-thar" w:hAnsi="Abo-thar" w:hint="cs"/>
          <w:sz w:val="28"/>
          <w:rtl/>
          <w:lang w:bidi="ar-SY"/>
        </w:rPr>
        <w:t xml:space="preserve"> والأخير في هذا الموضوع هو الحديث العاشر في هذا الباب [أي</w:t>
      </w:r>
      <w:r w:rsidR="00217AB4" w:rsidRPr="003F3B94">
        <w:rPr>
          <w:rFonts w:ascii="Abo-thar" w:hAnsi="Abo-thar" w:hint="cs"/>
          <w:sz w:val="28"/>
          <w:rtl/>
          <w:lang w:bidi="ar-SY"/>
        </w:rPr>
        <w:t>:</w:t>
      </w:r>
      <w:r w:rsidRPr="003F3B94">
        <w:rPr>
          <w:rFonts w:ascii="Abo-thar" w:hAnsi="Abo-thar" w:hint="cs"/>
          <w:sz w:val="28"/>
          <w:rtl/>
          <w:lang w:bidi="ar-SY"/>
        </w:rPr>
        <w:t xml:space="preserve"> </w:t>
      </w:r>
      <w:r w:rsidRPr="003F3B94">
        <w:rPr>
          <w:rFonts w:ascii="Abo-thar" w:hAnsi="Abo-thar"/>
          <w:sz w:val="28"/>
          <w:rtl/>
          <w:lang w:bidi="ar-SY"/>
        </w:rPr>
        <w:t>بَابُ وُجُوبِ الخُمُسِ فِيمَا يَفْضُلُ عَنْ مَئُونَةِ السَّنَةِ لَهُ وَلِعِيَالِهِ مِنْ أَرْبَاحِ التِّجَارَاتِ وَالصِّنَاعَاتِ وَالزِّرَاعَاتِ</w:t>
      </w:r>
      <w:r w:rsidRPr="003F3B94">
        <w:rPr>
          <w:rFonts w:ascii="Abo-thar" w:hAnsi="Abo-thar" w:hint="cs"/>
          <w:sz w:val="28"/>
          <w:rtl/>
          <w:lang w:bidi="ar-SY"/>
        </w:rPr>
        <w:t xml:space="preserve">] في </w:t>
      </w:r>
      <w:r w:rsidRPr="003F3B94">
        <w:rPr>
          <w:rFonts w:ascii="Abo-thar" w:hAnsi="Abo-thar"/>
          <w:sz w:val="28"/>
          <w:rtl/>
          <w:lang w:bidi="ar-SY"/>
        </w:rPr>
        <w:t>«</w:t>
      </w:r>
      <w:r w:rsidRPr="003F3B94">
        <w:rPr>
          <w:rFonts w:ascii="Abo-thar" w:hAnsi="Abo-thar" w:hint="cs"/>
          <w:b/>
          <w:bCs/>
          <w:sz w:val="28"/>
          <w:rtl/>
          <w:lang w:bidi="ar-SY"/>
        </w:rPr>
        <w:t>وسائل الشيعة</w:t>
      </w:r>
      <w:r w:rsidRPr="003F3B94">
        <w:rPr>
          <w:rFonts w:ascii="Abo-thar" w:hAnsi="Abo-thar"/>
          <w:sz w:val="28"/>
          <w:rtl/>
          <w:lang w:bidi="ar-SY"/>
        </w:rPr>
        <w:t>»</w:t>
      </w:r>
      <w:r w:rsidR="00217AB4" w:rsidRPr="003F3B94">
        <w:rPr>
          <w:rFonts w:ascii="Abo-thar" w:hAnsi="Abo-thar" w:hint="cs"/>
          <w:sz w:val="28"/>
          <w:rtl/>
          <w:lang w:bidi="ar-SY"/>
        </w:rPr>
        <w:t>،</w:t>
      </w:r>
      <w:r w:rsidRPr="003F3B94">
        <w:rPr>
          <w:rFonts w:ascii="Abo-thar" w:hAnsi="Abo-thar" w:hint="cs"/>
          <w:sz w:val="28"/>
          <w:rtl/>
          <w:lang w:bidi="ar-SY"/>
        </w:rPr>
        <w:t xml:space="preserve"> وهو حديث لم يروه أحدٌ من أصحاب الكتب الأربعة</w:t>
      </w:r>
      <w:r w:rsidR="00147857" w:rsidRPr="003F3B94">
        <w:rPr>
          <w:rFonts w:ascii="Abo-thar" w:hAnsi="Abo-thar" w:hint="cs"/>
          <w:sz w:val="28"/>
          <w:rtl/>
          <w:lang w:bidi="ar-SY"/>
        </w:rPr>
        <w:t xml:space="preserve"> </w:t>
      </w:r>
      <w:r w:rsidR="00217AB4" w:rsidRPr="003F3B94">
        <w:rPr>
          <w:rFonts w:ascii="Abo-thar" w:hAnsi="Abo-thar" w:hint="cs"/>
          <w:sz w:val="28"/>
          <w:rtl/>
          <w:lang w:bidi="ar-SY"/>
        </w:rPr>
        <w:t>(</w:t>
      </w:r>
      <w:r w:rsidRPr="003F3B94">
        <w:rPr>
          <w:rFonts w:ascii="Abo-thar" w:hAnsi="Abo-thar" w:hint="cs"/>
          <w:sz w:val="28"/>
          <w:rtl/>
          <w:lang w:bidi="ar-SY"/>
        </w:rPr>
        <w:t>الكافي والتهذيب والاستبصار ومن لا يحضره الفقيه</w:t>
      </w:r>
      <w:r w:rsidR="00217AB4" w:rsidRPr="003F3B94">
        <w:rPr>
          <w:rFonts w:ascii="Abo-thar" w:hAnsi="Abo-thar" w:hint="cs"/>
          <w:sz w:val="28"/>
          <w:rtl/>
          <w:lang w:bidi="ar-SY"/>
        </w:rPr>
        <w:t>)</w:t>
      </w:r>
      <w:r w:rsidRPr="003F3B94">
        <w:rPr>
          <w:rFonts w:ascii="Abo-thar" w:hAnsi="Abo-thar" w:hint="cs"/>
          <w:sz w:val="28"/>
          <w:rtl/>
          <w:lang w:bidi="ar-SY"/>
        </w:rPr>
        <w:t xml:space="preserve"> بل نقله </w:t>
      </w:r>
      <w:r w:rsidRPr="003F3B94">
        <w:rPr>
          <w:rFonts w:ascii="Abo-thar" w:hAnsi="Abo-thar"/>
          <w:sz w:val="28"/>
          <w:rtl/>
          <w:lang w:bidi="ar-SY"/>
        </w:rPr>
        <w:t>«</w:t>
      </w:r>
      <w:r w:rsidRPr="003F3B94">
        <w:rPr>
          <w:rFonts w:ascii="Abo-thar" w:hAnsi="Abo-thar" w:hint="cs"/>
          <w:sz w:val="28"/>
          <w:rtl/>
          <w:lang w:bidi="ar-SY"/>
        </w:rPr>
        <w:t>محمد بن إدريس الحلي</w:t>
      </w:r>
      <w:r w:rsidRPr="003F3B94">
        <w:rPr>
          <w:rFonts w:ascii="Abo-thar" w:hAnsi="Abo-thar"/>
          <w:sz w:val="28"/>
          <w:rtl/>
          <w:lang w:bidi="ar-SY"/>
        </w:rPr>
        <w:t>»</w:t>
      </w:r>
      <w:r w:rsidRPr="003F3B94">
        <w:rPr>
          <w:rFonts w:ascii="Abo-thar" w:hAnsi="Abo-thar" w:hint="cs"/>
          <w:sz w:val="28"/>
          <w:rtl/>
          <w:lang w:bidi="ar-SY"/>
        </w:rPr>
        <w:t xml:space="preserve"> </w:t>
      </w:r>
      <w:r w:rsidR="00217AB4" w:rsidRPr="003F3B94">
        <w:rPr>
          <w:rFonts w:ascii="Abo-thar" w:hAnsi="Abo-thar" w:hint="cs"/>
          <w:sz w:val="28"/>
          <w:rtl/>
          <w:lang w:bidi="ar-SY"/>
        </w:rPr>
        <w:t>(</w:t>
      </w:r>
      <w:r w:rsidRPr="003F3B94">
        <w:rPr>
          <w:rFonts w:ascii="Abo-thar" w:hAnsi="Abo-thar" w:hint="cs"/>
          <w:sz w:val="28"/>
          <w:rtl/>
          <w:lang w:bidi="ar-SY"/>
        </w:rPr>
        <w:t>598هـ</w:t>
      </w:r>
      <w:r w:rsidR="00217AB4" w:rsidRPr="003F3B94">
        <w:rPr>
          <w:rFonts w:ascii="Abo-thar" w:hAnsi="Abo-thar" w:hint="cs"/>
          <w:sz w:val="28"/>
          <w:rtl/>
          <w:lang w:bidi="ar-SY"/>
        </w:rPr>
        <w:t>)</w:t>
      </w:r>
      <w:r w:rsidRPr="003F3B94">
        <w:rPr>
          <w:rFonts w:ascii="Abo-thar" w:hAnsi="Abo-thar" w:hint="cs"/>
          <w:sz w:val="28"/>
          <w:rtl/>
          <w:lang w:bidi="ar-SY"/>
        </w:rPr>
        <w:t xml:space="preserve"> فقط في كتابه </w:t>
      </w:r>
      <w:r w:rsidRPr="003F3B94">
        <w:rPr>
          <w:rFonts w:ascii="Abo-thar" w:hAnsi="Abo-thar"/>
          <w:sz w:val="28"/>
          <w:rtl/>
          <w:lang w:bidi="ar-SY"/>
        </w:rPr>
        <w:t>«</w:t>
      </w:r>
      <w:r w:rsidRPr="003F3B94">
        <w:rPr>
          <w:rFonts w:ascii="Abo-thar" w:hAnsi="Abo-thar" w:hint="cs"/>
          <w:sz w:val="28"/>
          <w:rtl/>
          <w:lang w:bidi="ar-SY"/>
        </w:rPr>
        <w:t>مستطرفات السـرائر</w:t>
      </w:r>
      <w:r w:rsidRPr="003F3B94">
        <w:rPr>
          <w:rFonts w:ascii="Abo-thar" w:hAnsi="Abo-thar"/>
          <w:sz w:val="28"/>
          <w:rtl/>
          <w:lang w:bidi="ar-SY"/>
        </w:rPr>
        <w:t>»</w:t>
      </w:r>
      <w:r w:rsidR="00217AB4" w:rsidRPr="003F3B94">
        <w:rPr>
          <w:rFonts w:ascii="Abo-thar" w:hAnsi="Abo-thar" w:hint="cs"/>
          <w:sz w:val="28"/>
          <w:rtl/>
          <w:lang w:bidi="ar-SY"/>
        </w:rPr>
        <w:t>:</w:t>
      </w:r>
      <w:r w:rsidRPr="003F3B94">
        <w:rPr>
          <w:rFonts w:ascii="Abo-thar" w:hAnsi="Abo-thar" w:hint="cs"/>
          <w:sz w:val="28"/>
          <w:rtl/>
          <w:lang w:bidi="ar-SY"/>
        </w:rPr>
        <w:t xml:space="preserve"> </w:t>
      </w:r>
      <w:r w:rsidR="00EF2588" w:rsidRPr="004408B9">
        <w:rPr>
          <w:rFonts w:ascii="Abo-thar" w:hAnsi="Abo-thar" w:cs="KFGQPC Uthman Taha Naskh" w:hint="cs"/>
          <w:sz w:val="28"/>
          <w:rtl/>
          <w:lang w:bidi="ar-SY"/>
        </w:rPr>
        <w:t>«</w:t>
      </w:r>
      <w:r w:rsidRPr="004408B9">
        <w:rPr>
          <w:rFonts w:ascii="Abo-thar" w:hAnsi="Abo-thar" w:cs="KFGQPC Uthman Taha Naskh"/>
          <w:b/>
          <w:bCs/>
          <w:sz w:val="28"/>
          <w:rtl/>
          <w:lang w:bidi="ar-SY"/>
        </w:rPr>
        <w:t xml:space="preserve">نَقْلًا مِنْ </w:t>
      </w:r>
      <w:r w:rsidRPr="004408B9">
        <w:rPr>
          <w:rFonts w:ascii="Abo-thar" w:hAnsi="Abo-thar" w:cs="KFGQPC Uthman Taha Naskh"/>
          <w:bCs/>
          <w:sz w:val="28"/>
          <w:rtl/>
          <w:lang w:bidi="ar-SY"/>
        </w:rPr>
        <w:t>«</w:t>
      </w:r>
      <w:r w:rsidRPr="004408B9">
        <w:rPr>
          <w:rFonts w:ascii="Abo-thar" w:hAnsi="Abo-thar" w:cs="KFGQPC Uthman Taha Naskh"/>
          <w:b/>
          <w:bCs/>
          <w:sz w:val="28"/>
          <w:rtl/>
          <w:lang w:bidi="ar-SY"/>
        </w:rPr>
        <w:t>كِتَابِ مُحَمَّدِ بْنِ عَلِيِّ بْنِ مَحْبُوبٍ</w:t>
      </w:r>
      <w:r w:rsidRPr="004408B9">
        <w:rPr>
          <w:rFonts w:ascii="Abo-thar" w:hAnsi="Abo-thar" w:cs="KFGQPC Uthman Taha Naskh"/>
          <w:bCs/>
          <w:sz w:val="28"/>
          <w:rtl/>
          <w:lang w:bidi="ar-SY"/>
        </w:rPr>
        <w:t>»</w:t>
      </w:r>
      <w:r w:rsidRPr="004408B9">
        <w:rPr>
          <w:rFonts w:ascii="Abo-thar" w:hAnsi="Abo-thar" w:cs="KFGQPC Uthman Taha Naskh"/>
          <w:b/>
          <w:bCs/>
          <w:sz w:val="28"/>
          <w:rtl/>
          <w:lang w:bidi="ar-SY"/>
        </w:rPr>
        <w:t xml:space="preserve"> عَنْ أَحْمَدَ بْنِ هِلَالٍ عَنِ ابْنِ أَبِي عُمَيْرٍ عَنْ أَبَانِ بْنِ عُثْمَانَ عَنْ أَبِي بَصِيرٍ عَنْ أَبِي عَبْدِ اللهِ</w:t>
      </w:r>
      <w:r w:rsidR="00BC4BA9" w:rsidRPr="00BC4BA9">
        <w:rPr>
          <w:rFonts w:ascii="Abo-thar" w:hAnsi="Abo-thar" w:cs="CTraditional Arabic"/>
          <w:b/>
          <w:sz w:val="28"/>
          <w:rtl/>
          <w:lang w:bidi="ar-SY"/>
        </w:rPr>
        <w:t>÷</w:t>
      </w:r>
      <w:r w:rsidRPr="004408B9">
        <w:rPr>
          <w:rFonts w:ascii="Abo-thar" w:hAnsi="Abo-thar" w:cs="KFGQPC Uthman Taha Naskh"/>
          <w:b/>
          <w:bCs/>
          <w:sz w:val="28"/>
          <w:rtl/>
          <w:lang w:bidi="ar-SY"/>
        </w:rPr>
        <w:t xml:space="preserve"> قَالَ</w:t>
      </w:r>
      <w:r w:rsidR="00217AB4" w:rsidRPr="004408B9">
        <w:rPr>
          <w:rFonts w:ascii="Abo-thar" w:hAnsi="Abo-thar" w:cs="KFGQPC Uthman Taha Naskh" w:hint="cs"/>
          <w:b/>
          <w:bCs/>
          <w:sz w:val="28"/>
          <w:rtl/>
          <w:lang w:bidi="ar-SY"/>
        </w:rPr>
        <w:t>:</w:t>
      </w:r>
      <w:r w:rsidRPr="004408B9">
        <w:rPr>
          <w:rFonts w:ascii="Abo-thar" w:hAnsi="Abo-thar" w:cs="KFGQPC Uthman Taha Naskh"/>
          <w:b/>
          <w:bCs/>
          <w:sz w:val="28"/>
          <w:rtl/>
          <w:lang w:bidi="ar-SY"/>
        </w:rPr>
        <w:t xml:space="preserve"> كَتَبْتُ إِلَيْهِ فِي الرَّجُلِ يُهْدِي إِلَيْهِ مَوْلَاهُ وَالْمُنْقَطِعُ إِلَيْهِ هَدِيَّةً تَبْلُغُ أَلْفَيْ دِرْهَمٍ أَوْ أَقَلَّ أَوْ أَكْثَرَ هَلْ عَلَيْهِ فِيهَا الخُمُسُ</w:t>
      </w:r>
      <w:r w:rsidR="00217AB4" w:rsidRPr="004408B9">
        <w:rPr>
          <w:rFonts w:ascii="Abo-thar" w:hAnsi="Abo-thar" w:cs="KFGQPC Uthman Taha Naskh" w:hint="cs"/>
          <w:b/>
          <w:bCs/>
          <w:sz w:val="28"/>
          <w:rtl/>
          <w:lang w:bidi="ar-SY"/>
        </w:rPr>
        <w:t>؟</w:t>
      </w:r>
      <w:r w:rsidRPr="004408B9">
        <w:rPr>
          <w:rFonts w:ascii="Abo-thar" w:hAnsi="Abo-thar" w:cs="KFGQPC Uthman Taha Naskh"/>
          <w:b/>
          <w:bCs/>
          <w:sz w:val="28"/>
          <w:rtl/>
          <w:lang w:bidi="ar-SY"/>
        </w:rPr>
        <w:t xml:space="preserve"> فَكَتَبَ </w:t>
      </w:r>
      <w:r w:rsidR="00BC4BA9" w:rsidRPr="00BC4BA9">
        <w:rPr>
          <w:rFonts w:ascii="Abo-thar" w:hAnsi="Abo-thar" w:cs="CTraditional Arabic"/>
          <w:b/>
          <w:sz w:val="28"/>
          <w:rtl/>
          <w:lang w:bidi="ar-SY"/>
        </w:rPr>
        <w:t>÷</w:t>
      </w:r>
      <w:r w:rsidR="00217AB4" w:rsidRPr="004408B9">
        <w:rPr>
          <w:rFonts w:ascii="Abo-thar" w:hAnsi="Abo-thar" w:cs="KFGQPC Uthman Taha Naskh" w:hint="cs"/>
          <w:b/>
          <w:bCs/>
          <w:sz w:val="28"/>
          <w:rtl/>
          <w:lang w:bidi="ar-SY"/>
        </w:rPr>
        <w:t>:</w:t>
      </w:r>
      <w:r w:rsidRPr="004408B9">
        <w:rPr>
          <w:rFonts w:ascii="Abo-thar" w:hAnsi="Abo-thar" w:cs="KFGQPC Uthman Taha Naskh"/>
          <w:b/>
          <w:bCs/>
          <w:sz w:val="28"/>
          <w:rtl/>
          <w:lang w:bidi="ar-SY"/>
        </w:rPr>
        <w:t xml:space="preserve"> الخُمُسُ فِي ذَلِكَ</w:t>
      </w:r>
      <w:r w:rsidR="00217AB4" w:rsidRPr="004408B9">
        <w:rPr>
          <w:rFonts w:ascii="Abo-thar" w:hAnsi="Abo-thar" w:cs="KFGQPC Uthman Taha Naskh" w:hint="cs"/>
          <w:b/>
          <w:bCs/>
          <w:sz w:val="28"/>
          <w:rtl/>
          <w:lang w:bidi="ar-SY"/>
        </w:rPr>
        <w:t>.</w:t>
      </w:r>
      <w:r w:rsidRPr="004408B9">
        <w:rPr>
          <w:rFonts w:ascii="Abo-thar" w:hAnsi="Abo-thar" w:cs="KFGQPC Uthman Taha Naskh"/>
          <w:b/>
          <w:bCs/>
          <w:sz w:val="28"/>
          <w:rtl/>
          <w:lang w:bidi="ar-SY"/>
        </w:rPr>
        <w:t xml:space="preserve"> وَعَنِ الرَّجُلِ يَكُونُ فِي دَارِهِ البُسْتَانُ فِيهِ الفَاكِهَةُ يَأْكُلُهُ العِيَالُ إِنَّمَا يَبِيعُ مِنْهُ الشَّيْ‏ءَ بِمِائَةِ دِرْهَمٍ أَوْ خَمْسِينَ دِرْهَماً هَلْ عَلَيْهِ الخُمُسُ</w:t>
      </w:r>
      <w:r w:rsidR="00217AB4" w:rsidRPr="004408B9">
        <w:rPr>
          <w:rFonts w:ascii="Abo-thar" w:hAnsi="Abo-thar" w:cs="KFGQPC Uthman Taha Naskh" w:hint="cs"/>
          <w:b/>
          <w:bCs/>
          <w:sz w:val="28"/>
          <w:rtl/>
          <w:lang w:bidi="ar-SY"/>
        </w:rPr>
        <w:t>؟</w:t>
      </w:r>
      <w:r w:rsidRPr="004408B9">
        <w:rPr>
          <w:rFonts w:ascii="Abo-thar" w:hAnsi="Abo-thar" w:cs="KFGQPC Uthman Taha Naskh"/>
          <w:b/>
          <w:bCs/>
          <w:sz w:val="28"/>
          <w:rtl/>
          <w:lang w:bidi="ar-SY"/>
        </w:rPr>
        <w:t xml:space="preserve"> فَكَتَبَ</w:t>
      </w:r>
      <w:r w:rsidR="00217AB4" w:rsidRPr="004408B9">
        <w:rPr>
          <w:rFonts w:ascii="Abo-thar" w:hAnsi="Abo-thar" w:cs="KFGQPC Uthman Taha Naskh" w:hint="cs"/>
          <w:b/>
          <w:bCs/>
          <w:sz w:val="28"/>
          <w:rtl/>
          <w:lang w:bidi="ar-SY"/>
        </w:rPr>
        <w:t>:</w:t>
      </w:r>
      <w:r w:rsidRPr="004408B9">
        <w:rPr>
          <w:rFonts w:ascii="Abo-thar" w:hAnsi="Abo-thar" w:cs="KFGQPC Uthman Taha Naskh"/>
          <w:b/>
          <w:bCs/>
          <w:sz w:val="28"/>
          <w:rtl/>
          <w:lang w:bidi="ar-SY"/>
        </w:rPr>
        <w:t xml:space="preserve"> أَمَّا مَا أُكِلَ فَلَا وَأَمَّا البَيْعُ فَنَعَمْ هُوَ كَسَائِرِ الضِّيَاعِ</w:t>
      </w:r>
      <w:r w:rsidR="00F456DF" w:rsidRPr="004408B9">
        <w:rPr>
          <w:rFonts w:ascii="Abo-thar" w:hAnsi="Abo-thar" w:cs="KFGQPC Uthman Taha Naskh" w:hint="cs"/>
          <w:b/>
          <w:bCs/>
          <w:sz w:val="28"/>
          <w:rtl/>
          <w:lang w:bidi="ar-SY"/>
        </w:rPr>
        <w:t>»</w:t>
      </w:r>
      <w:r w:rsidR="00217AB4" w:rsidRPr="003F3B94">
        <w:rPr>
          <w:rFonts w:ascii="Abo-thar" w:hAnsi="Abo-thar" w:hint="cs"/>
          <w:sz w:val="28"/>
          <w:rtl/>
          <w:lang w:bidi="ar-SY"/>
        </w:rPr>
        <w:t>.</w:t>
      </w:r>
    </w:p>
    <w:p w:rsidR="005C664D" w:rsidRPr="003F3B94" w:rsidRDefault="005C664D" w:rsidP="003F3B94">
      <w:pPr>
        <w:pStyle w:val="a0"/>
        <w:rPr>
          <w:rFonts w:hint="cs"/>
          <w:rtl/>
        </w:rPr>
      </w:pPr>
      <w:r w:rsidRPr="003F3B94">
        <w:rPr>
          <w:rFonts w:ascii="Abo-thar" w:hAnsi="Abo-thar" w:hint="cs"/>
          <w:b/>
          <w:bCs/>
          <w:sz w:val="28"/>
          <w:rtl/>
        </w:rPr>
        <w:t>إن متن هذا الحديث يشهد ببطلانه من عدة وجوه</w:t>
      </w:r>
      <w:r w:rsidR="00217AB4" w:rsidRPr="003F3B94">
        <w:rPr>
          <w:rFonts w:ascii="Abo-thar" w:hAnsi="Abo-thar" w:hint="cs"/>
          <w:b/>
          <w:bCs/>
          <w:sz w:val="28"/>
          <w:rtl/>
        </w:rPr>
        <w:t>:</w:t>
      </w:r>
    </w:p>
    <w:p w:rsidR="005C664D" w:rsidRPr="003F3B94" w:rsidRDefault="005C664D" w:rsidP="003F3B94">
      <w:pPr>
        <w:pStyle w:val="a0"/>
        <w:rPr>
          <w:rFonts w:hint="cs"/>
          <w:rtl/>
        </w:rPr>
      </w:pPr>
      <w:r w:rsidRPr="003F3B94">
        <w:rPr>
          <w:rFonts w:ascii="Abo-thar" w:hAnsi="Abo-thar" w:hint="cs"/>
          <w:sz w:val="28"/>
          <w:rtl/>
        </w:rPr>
        <w:t>1</w:t>
      </w:r>
      <w:r w:rsidR="00217AB4" w:rsidRPr="003F3B94">
        <w:rPr>
          <w:rFonts w:ascii="Abo-thar" w:hAnsi="Abo-thar" w:hint="cs"/>
          <w:sz w:val="28"/>
          <w:rtl/>
        </w:rPr>
        <w:t>-</w:t>
      </w:r>
      <w:r w:rsidRPr="003F3B94">
        <w:rPr>
          <w:rFonts w:ascii="Abo-thar" w:hAnsi="Abo-thar" w:hint="cs"/>
          <w:sz w:val="28"/>
          <w:rtl/>
        </w:rPr>
        <w:t xml:space="preserve"> كيف لم يكن أبو بصير الذي كان من الأوتاد الأربعة ومن خواصّ أصحاب الإمامين الباقر والصادق </w:t>
      </w:r>
      <w:r w:rsidR="003C7AEB" w:rsidRPr="003C7AEB">
        <w:rPr>
          <w:rFonts w:ascii="Abo-thar" w:hAnsi="Abo-thar" w:cs="CTraditional Arabic" w:hint="cs"/>
          <w:sz w:val="28"/>
          <w:rtl/>
        </w:rPr>
        <w:t>إ</w:t>
      </w:r>
      <w:r w:rsidRPr="003F3B94">
        <w:rPr>
          <w:rFonts w:ascii="Abo-thar" w:hAnsi="Abo-thar" w:hint="cs"/>
          <w:sz w:val="28"/>
          <w:rtl/>
        </w:rPr>
        <w:t xml:space="preserve"> يعلم حتى ذلك الحين هل يجب الخمس في ثمار البستان الذي يكون في دار أحدهم ويأكل منه هو وعياله أم لا</w:t>
      </w:r>
      <w:r w:rsidRPr="003F3B94">
        <w:rPr>
          <w:rFonts w:cs="Times New Roman" w:hint="cs"/>
          <w:sz w:val="28"/>
          <w:rtl/>
        </w:rPr>
        <w:t> </w:t>
      </w:r>
      <w:r w:rsidRPr="003F3B94">
        <w:rPr>
          <w:rFonts w:ascii="Abo-thar" w:hAnsi="Abo-thar" w:hint="cs"/>
          <w:sz w:val="28"/>
          <w:rtl/>
        </w:rPr>
        <w:t>يجب</w:t>
      </w:r>
      <w:r w:rsidR="00217AB4" w:rsidRPr="003F3B94">
        <w:rPr>
          <w:rFonts w:ascii="Abo-thar" w:hAnsi="Abo-thar" w:hint="cs"/>
          <w:sz w:val="28"/>
          <w:rtl/>
        </w:rPr>
        <w:t>؟!</w:t>
      </w:r>
      <w:r w:rsidRPr="003F3B94">
        <w:rPr>
          <w:rFonts w:ascii="Abo-thar" w:hAnsi="Abo-thar" w:hint="cs"/>
          <w:sz w:val="28"/>
          <w:rtl/>
        </w:rPr>
        <w:t xml:space="preserve"> هذا مع أنه أدرك صحبة عدد من الأئمة ولما لقي حضرة الصادق بعد إمامته كان عمره قد تجاوز الخمسين عاماً</w:t>
      </w:r>
      <w:r w:rsidR="001E0DB7" w:rsidRPr="003F3B94">
        <w:rPr>
          <w:rFonts w:ascii="Abo-thar" w:hAnsi="Abo-thar" w:hint="cs"/>
          <w:sz w:val="28"/>
          <w:rtl/>
        </w:rPr>
        <w:t>،</w:t>
      </w:r>
      <w:r w:rsidRPr="003F3B94">
        <w:rPr>
          <w:rFonts w:ascii="Abo-thar" w:hAnsi="Abo-thar" w:hint="cs"/>
          <w:sz w:val="28"/>
          <w:rtl/>
        </w:rPr>
        <w:t xml:space="preserve"> ورغم ذلك كان جاهلاً بتلك المسألة</w:t>
      </w:r>
      <w:r w:rsidR="00217AB4" w:rsidRPr="003F3B94">
        <w:rPr>
          <w:rFonts w:ascii="Abo-thar" w:hAnsi="Abo-thar" w:hint="cs"/>
          <w:sz w:val="28"/>
          <w:rtl/>
        </w:rPr>
        <w:t>!!!</w:t>
      </w:r>
      <w:r w:rsidRPr="003F3B94">
        <w:rPr>
          <w:rFonts w:ascii="Abo-thar" w:hAnsi="Abo-thar" w:hint="cs"/>
          <w:sz w:val="28"/>
          <w:rtl/>
        </w:rPr>
        <w:t xml:space="preserve"> </w:t>
      </w:r>
    </w:p>
    <w:p w:rsidR="005C664D" w:rsidRPr="003F3B94" w:rsidRDefault="005C664D" w:rsidP="003F3B94">
      <w:pPr>
        <w:pStyle w:val="a0"/>
        <w:rPr>
          <w:rFonts w:hint="cs"/>
          <w:rtl/>
          <w:lang w:bidi="ar-SY"/>
        </w:rPr>
      </w:pPr>
      <w:r w:rsidRPr="003F3B94">
        <w:rPr>
          <w:rFonts w:ascii="Abo-thar" w:hAnsi="Abo-thar" w:hint="cs"/>
          <w:sz w:val="28"/>
          <w:rtl/>
        </w:rPr>
        <w:t>وكأن حضرة الصادق</w:t>
      </w:r>
      <w:r w:rsidR="00147857" w:rsidRPr="003F3B94">
        <w:rPr>
          <w:rFonts w:ascii="Abo-thar" w:hAnsi="Abo-thar" w:hint="cs"/>
          <w:sz w:val="28"/>
          <w:rtl/>
        </w:rPr>
        <w:t xml:space="preserve"> </w:t>
      </w:r>
      <w:r w:rsidR="003C7AEB" w:rsidRPr="003C7AEB">
        <w:rPr>
          <w:rFonts w:ascii="Abo-thar" w:hAnsi="Abo-thar" w:cs="CTraditional Arabic"/>
          <w:sz w:val="28"/>
          <w:rtl/>
        </w:rPr>
        <w:t>÷</w:t>
      </w:r>
      <w:r w:rsidR="00147857" w:rsidRPr="003F3B94">
        <w:rPr>
          <w:rFonts w:ascii="Abo-thar" w:hAnsi="Abo-thar"/>
          <w:sz w:val="28"/>
          <w:rtl/>
        </w:rPr>
        <w:t xml:space="preserve"> </w:t>
      </w:r>
      <w:r w:rsidRPr="003F3B94">
        <w:rPr>
          <w:rFonts w:hint="cs"/>
          <w:sz w:val="28"/>
          <w:rtl/>
        </w:rPr>
        <w:t>كان والعياذ بالله نبياً جديداً جاء بأحكام جديدة من عند الله ينبغي سؤاله عنها</w:t>
      </w:r>
      <w:r w:rsidR="001E0DB7" w:rsidRPr="003F3B94">
        <w:rPr>
          <w:rFonts w:hint="cs"/>
          <w:sz w:val="28"/>
          <w:rtl/>
        </w:rPr>
        <w:t>،</w:t>
      </w:r>
      <w:r w:rsidRPr="003F3B94">
        <w:rPr>
          <w:rFonts w:hint="cs"/>
          <w:sz w:val="28"/>
          <w:rtl/>
        </w:rPr>
        <w:t xml:space="preserve"> هذا في حين أنه لم يكن هناك بين شرائع الأنبياء اختلاف في مسألة الخمس والزكاة</w:t>
      </w:r>
      <w:r w:rsidR="001E0DB7" w:rsidRPr="003F3B94">
        <w:rPr>
          <w:rFonts w:hint="cs"/>
          <w:sz w:val="28"/>
          <w:rtl/>
        </w:rPr>
        <w:t>،</w:t>
      </w:r>
      <w:r w:rsidRPr="003F3B94">
        <w:rPr>
          <w:rFonts w:hint="cs"/>
          <w:sz w:val="28"/>
          <w:rtl/>
        </w:rPr>
        <w:t xml:space="preserve"> كما شرحنا ذلك في كتابنا </w:t>
      </w:r>
      <w:r w:rsidRPr="003F3B94">
        <w:rPr>
          <w:rFonts w:hint="eastAsia"/>
          <w:sz w:val="28"/>
          <w:rtl/>
        </w:rPr>
        <w:t>«</w:t>
      </w:r>
      <w:r w:rsidRPr="003F3B94">
        <w:rPr>
          <w:rFonts w:hint="cs"/>
          <w:sz w:val="28"/>
          <w:rtl/>
        </w:rPr>
        <w:t>الزكاة</w:t>
      </w:r>
      <w:r w:rsidRPr="003F3B94">
        <w:rPr>
          <w:rFonts w:hint="eastAsia"/>
          <w:sz w:val="28"/>
          <w:rtl/>
        </w:rPr>
        <w:t>»</w:t>
      </w:r>
      <w:r w:rsidR="00217AB4" w:rsidRPr="003F3B94">
        <w:rPr>
          <w:rFonts w:hint="cs"/>
          <w:sz w:val="28"/>
          <w:rtl/>
        </w:rPr>
        <w:t>.</w:t>
      </w:r>
      <w:r w:rsidRPr="003F3B94">
        <w:rPr>
          <w:rFonts w:hint="cs"/>
          <w:sz w:val="28"/>
          <w:rtl/>
        </w:rPr>
        <w:t xml:space="preserve"> </w:t>
      </w:r>
    </w:p>
    <w:p w:rsidR="005C664D" w:rsidRPr="003F3B94" w:rsidRDefault="005C664D" w:rsidP="003F3B94">
      <w:pPr>
        <w:pStyle w:val="a0"/>
        <w:rPr>
          <w:rFonts w:hint="cs"/>
          <w:rtl/>
          <w:lang w:bidi="ar-SY"/>
        </w:rPr>
      </w:pPr>
      <w:r w:rsidRPr="003F3B94">
        <w:rPr>
          <w:rFonts w:hint="cs"/>
          <w:sz w:val="28"/>
          <w:rtl/>
          <w:lang w:bidi="ar-SY"/>
        </w:rPr>
        <w:t>2</w:t>
      </w:r>
      <w:r w:rsidR="00217AB4" w:rsidRPr="003F3B94">
        <w:rPr>
          <w:rFonts w:hint="cs"/>
          <w:sz w:val="28"/>
          <w:rtl/>
          <w:lang w:bidi="ar-SY"/>
        </w:rPr>
        <w:t>-</w:t>
      </w:r>
      <w:r w:rsidRPr="003F3B94">
        <w:rPr>
          <w:rFonts w:hint="cs"/>
          <w:sz w:val="28"/>
          <w:rtl/>
          <w:lang w:bidi="ar-SY"/>
        </w:rPr>
        <w:t xml:space="preserve"> إذا كانت مسألة الخمس في زمن حضـرة الصادق على هذه الدرجة من الأهمية بأن كل من يريد وضع لقمة في فمه فيجب أن يعلم هل يؤدي منها الخمس أم لا</w:t>
      </w:r>
      <w:r w:rsidR="00217AB4" w:rsidRPr="003F3B94">
        <w:rPr>
          <w:rFonts w:hint="cs"/>
          <w:sz w:val="28"/>
          <w:rtl/>
          <w:lang w:bidi="ar-SY"/>
        </w:rPr>
        <w:t>؟</w:t>
      </w:r>
      <w:r w:rsidRPr="003F3B94">
        <w:rPr>
          <w:rFonts w:hint="cs"/>
          <w:sz w:val="28"/>
          <w:rtl/>
          <w:lang w:bidi="ar-SY"/>
        </w:rPr>
        <w:t xml:space="preserve"> إلى درجة أن الأصحاب كانوا بحاجة إلى سؤال الإمام عن طريق الكتابة</w:t>
      </w:r>
      <w:r w:rsidR="001E0DB7" w:rsidRPr="003F3B94">
        <w:rPr>
          <w:rFonts w:hint="cs"/>
          <w:sz w:val="28"/>
          <w:rtl/>
          <w:lang w:bidi="ar-SY"/>
        </w:rPr>
        <w:t>،</w:t>
      </w:r>
      <w:r w:rsidRPr="003F3B94">
        <w:rPr>
          <w:rFonts w:hint="cs"/>
          <w:sz w:val="28"/>
          <w:rtl/>
          <w:lang w:bidi="ar-SY"/>
        </w:rPr>
        <w:t xml:space="preserve"> ومن الجهة الأخرى لما كنا نعلم أن حضرة الصادق لم يكن نبياً ولا صاحب شرع جديد</w:t>
      </w:r>
      <w:r w:rsidR="001E0DB7" w:rsidRPr="003F3B94">
        <w:rPr>
          <w:rFonts w:hint="cs"/>
          <w:sz w:val="28"/>
          <w:rtl/>
          <w:lang w:bidi="ar-SY"/>
        </w:rPr>
        <w:t>،</w:t>
      </w:r>
      <w:r w:rsidRPr="003F3B94">
        <w:rPr>
          <w:rFonts w:hint="cs"/>
          <w:sz w:val="28"/>
          <w:rtl/>
          <w:lang w:bidi="ar-SY"/>
        </w:rPr>
        <w:t xml:space="preserve"> فإن السؤال الذي يطرح نفسه</w:t>
      </w:r>
      <w:r w:rsidR="00217AB4" w:rsidRPr="003F3B94">
        <w:rPr>
          <w:rFonts w:hint="cs"/>
          <w:sz w:val="28"/>
          <w:rtl/>
          <w:lang w:bidi="ar-SY"/>
        </w:rPr>
        <w:t>:</w:t>
      </w:r>
      <w:r w:rsidRPr="003F3B94">
        <w:rPr>
          <w:rFonts w:hint="cs"/>
          <w:sz w:val="28"/>
          <w:rtl/>
          <w:lang w:bidi="ar-SY"/>
        </w:rPr>
        <w:t xml:space="preserve"> لماذا لم يكن مثل هذا الأمر شائعاً قبل زمن الإمام الصادق بين أهل البيت </w:t>
      </w:r>
      <w:r w:rsidR="00963EFD" w:rsidRPr="00963EFD">
        <w:rPr>
          <w:rFonts w:cs="CTraditional Arabic" w:hint="cs"/>
          <w:sz w:val="28"/>
          <w:rtl/>
          <w:lang w:bidi="ar-SY"/>
        </w:rPr>
        <w:t>‡</w:t>
      </w:r>
      <w:r w:rsidR="00217AB4" w:rsidRPr="003F3B94">
        <w:rPr>
          <w:rFonts w:hint="cs"/>
          <w:sz w:val="28"/>
          <w:rtl/>
          <w:lang w:bidi="ar-SY"/>
        </w:rPr>
        <w:t>؟</w:t>
      </w:r>
      <w:r w:rsidRPr="003F3B94">
        <w:rPr>
          <w:rFonts w:hint="cs"/>
          <w:sz w:val="28"/>
          <w:rtl/>
          <w:lang w:bidi="ar-SY"/>
        </w:rPr>
        <w:t xml:space="preserve"> وكيف لم يسمع أحد</w:t>
      </w:r>
      <w:r w:rsidR="00147857" w:rsidRPr="003F3B94">
        <w:rPr>
          <w:rFonts w:hint="cs"/>
          <w:sz w:val="28"/>
          <w:rtl/>
          <w:lang w:bidi="ar-SY"/>
        </w:rPr>
        <w:t xml:space="preserve"> </w:t>
      </w:r>
      <w:r w:rsidRPr="003F3B94">
        <w:rPr>
          <w:rFonts w:hint="cs"/>
          <w:sz w:val="28"/>
          <w:rtl/>
          <w:lang w:bidi="ar-SY"/>
        </w:rPr>
        <w:t xml:space="preserve">بمثل ذلك الكلام من أي رجلٍ من أهل بيت النبيِّ سواء كان من </w:t>
      </w:r>
      <w:r w:rsidRPr="003F3B94">
        <w:rPr>
          <w:rFonts w:ascii="Abo-thar" w:hAnsi="Abo-thar" w:hint="cs"/>
          <w:sz w:val="28"/>
          <w:rtl/>
          <w:lang w:bidi="ar-SY"/>
        </w:rPr>
        <w:t xml:space="preserve">الأئمة المعصومين </w:t>
      </w:r>
      <w:r w:rsidRPr="003F3B94">
        <w:rPr>
          <w:rFonts w:hint="cs"/>
          <w:sz w:val="28"/>
          <w:rtl/>
          <w:lang w:bidi="ar-SY"/>
        </w:rPr>
        <w:t>أم من غيرهم</w:t>
      </w:r>
      <w:r w:rsidR="001E0DB7" w:rsidRPr="003F3B94">
        <w:rPr>
          <w:rFonts w:hint="cs"/>
          <w:sz w:val="28"/>
          <w:rtl/>
          <w:lang w:bidi="ar-SY"/>
        </w:rPr>
        <w:t>،</w:t>
      </w:r>
      <w:r w:rsidRPr="003F3B94">
        <w:rPr>
          <w:rFonts w:hint="cs"/>
          <w:sz w:val="28"/>
          <w:rtl/>
          <w:lang w:bidi="ar-SY"/>
        </w:rPr>
        <w:t xml:space="preserve"> ولم يُرَ مثل هذا العمل من أحد من المسلمين من الشيعة أو غيرهم</w:t>
      </w:r>
      <w:r w:rsidR="00217AB4" w:rsidRPr="003F3B94">
        <w:rPr>
          <w:rFonts w:hint="cs"/>
          <w:sz w:val="28"/>
          <w:rtl/>
          <w:lang w:bidi="ar-SY"/>
        </w:rPr>
        <w:t>؟!</w:t>
      </w:r>
      <w:r w:rsidRPr="003F3B94">
        <w:rPr>
          <w:rFonts w:hint="cs"/>
          <w:sz w:val="28"/>
          <w:rtl/>
          <w:lang w:bidi="ar-SY"/>
        </w:rPr>
        <w:t xml:space="preserve"> هل كان يؤخذ الخمس من المزارع والضياع قبل الإمام الصادق أو الأئمة الذين سبقوه أم لا</w:t>
      </w:r>
      <w:r w:rsidR="00217AB4" w:rsidRPr="003F3B94">
        <w:rPr>
          <w:rFonts w:hint="cs"/>
          <w:sz w:val="28"/>
          <w:rtl/>
          <w:lang w:bidi="ar-SY"/>
        </w:rPr>
        <w:t>؟</w:t>
      </w:r>
      <w:r w:rsidRPr="003F3B94">
        <w:rPr>
          <w:rFonts w:hint="cs"/>
          <w:sz w:val="28"/>
          <w:rtl/>
          <w:lang w:bidi="ar-SY"/>
        </w:rPr>
        <w:t xml:space="preserve"> حتى يقول حضرة الصادق</w:t>
      </w:r>
      <w:r w:rsidR="00217AB4" w:rsidRPr="003F3B94">
        <w:rPr>
          <w:rFonts w:hint="cs"/>
          <w:sz w:val="28"/>
          <w:rtl/>
          <w:lang w:bidi="ar-SY"/>
        </w:rPr>
        <w:t>:</w:t>
      </w:r>
      <w:r w:rsidRPr="003F3B94">
        <w:rPr>
          <w:rFonts w:hint="cs"/>
          <w:sz w:val="28"/>
          <w:rtl/>
          <w:lang w:bidi="ar-SY"/>
        </w:rPr>
        <w:t xml:space="preserve"> أما البيع فنعم هو كسائر الضياع</w:t>
      </w:r>
      <w:r w:rsidR="00217AB4" w:rsidRPr="003F3B94">
        <w:rPr>
          <w:rFonts w:hint="cs"/>
          <w:sz w:val="28"/>
          <w:rtl/>
          <w:lang w:bidi="ar-SY"/>
        </w:rPr>
        <w:t>!</w:t>
      </w:r>
      <w:r w:rsidRPr="003F3B94">
        <w:rPr>
          <w:rFonts w:hint="cs"/>
          <w:sz w:val="28"/>
          <w:rtl/>
          <w:lang w:bidi="ar-SY"/>
        </w:rPr>
        <w:t xml:space="preserve"> أي أن الإجابة عن هذه المسألة كانت عن عمل مشهور ورائج وفي الاصطلاح</w:t>
      </w:r>
      <w:r w:rsidR="00217AB4" w:rsidRPr="003F3B94">
        <w:rPr>
          <w:rFonts w:hint="cs"/>
          <w:sz w:val="28"/>
          <w:rtl/>
          <w:lang w:bidi="ar-SY"/>
        </w:rPr>
        <w:t>:</w:t>
      </w:r>
      <w:r w:rsidRPr="003F3B94">
        <w:rPr>
          <w:rFonts w:hint="cs"/>
          <w:sz w:val="28"/>
          <w:rtl/>
          <w:lang w:bidi="ar-SY"/>
        </w:rPr>
        <w:t xml:space="preserve"> شبَّهَها الإمام بمشبَّهٍ به هو أقوى من المشبَّه</w:t>
      </w:r>
      <w:r w:rsidR="001E0DB7" w:rsidRPr="003F3B94">
        <w:rPr>
          <w:rFonts w:hint="cs"/>
          <w:sz w:val="28"/>
          <w:rtl/>
          <w:lang w:bidi="ar-SY"/>
        </w:rPr>
        <w:t>،</w:t>
      </w:r>
      <w:r w:rsidRPr="003F3B94">
        <w:rPr>
          <w:rFonts w:hint="cs"/>
          <w:sz w:val="28"/>
          <w:rtl/>
          <w:lang w:bidi="ar-SY"/>
        </w:rPr>
        <w:t xml:space="preserve"> بمعنى أنه لم يكن بحاجة إلى إجابة صريحة تقول مثلاً</w:t>
      </w:r>
      <w:r w:rsidR="00217AB4" w:rsidRPr="003F3B94">
        <w:rPr>
          <w:rFonts w:hint="cs"/>
          <w:sz w:val="28"/>
          <w:rtl/>
          <w:lang w:bidi="ar-SY"/>
        </w:rPr>
        <w:t>:</w:t>
      </w:r>
      <w:r w:rsidRPr="003F3B94">
        <w:rPr>
          <w:rFonts w:hint="cs"/>
          <w:sz w:val="28"/>
          <w:rtl/>
          <w:lang w:bidi="ar-SY"/>
        </w:rPr>
        <w:t xml:space="preserve"> </w:t>
      </w:r>
      <w:r w:rsidR="00217AB4" w:rsidRPr="003F3B94">
        <w:rPr>
          <w:rFonts w:hint="cs"/>
          <w:sz w:val="28"/>
          <w:rtl/>
          <w:lang w:bidi="ar-SY"/>
        </w:rPr>
        <w:t>(</w:t>
      </w:r>
      <w:r w:rsidRPr="003F3B94">
        <w:rPr>
          <w:rFonts w:hint="cs"/>
          <w:sz w:val="28"/>
          <w:rtl/>
          <w:lang w:bidi="ar-SY"/>
        </w:rPr>
        <w:t>وأما البيع فعليه الخمس</w:t>
      </w:r>
      <w:r w:rsidR="00217AB4" w:rsidRPr="003F3B94">
        <w:rPr>
          <w:rFonts w:hint="cs"/>
          <w:sz w:val="28"/>
          <w:rtl/>
          <w:lang w:bidi="ar-SY"/>
        </w:rPr>
        <w:t>).</w:t>
      </w:r>
      <w:r w:rsidRPr="003F3B94">
        <w:rPr>
          <w:rFonts w:hint="cs"/>
          <w:sz w:val="28"/>
          <w:rtl/>
          <w:lang w:bidi="ar-SY"/>
        </w:rPr>
        <w:t xml:space="preserve"> هذا وفي المتن إشكالات أخرى</w:t>
      </w:r>
      <w:r w:rsidR="00217AB4" w:rsidRPr="003F3B94">
        <w:rPr>
          <w:rFonts w:hint="cs"/>
          <w:sz w:val="28"/>
          <w:rtl/>
          <w:lang w:bidi="ar-SY"/>
        </w:rPr>
        <w:t>...</w:t>
      </w:r>
      <w:r w:rsidRPr="003F3B94">
        <w:rPr>
          <w:rFonts w:hint="cs"/>
          <w:sz w:val="28"/>
          <w:rtl/>
          <w:lang w:bidi="ar-SY"/>
        </w:rPr>
        <w:t xml:space="preserve"> لكن وجود الراوي </w:t>
      </w:r>
      <w:r w:rsidRPr="003F3B94">
        <w:rPr>
          <w:rFonts w:ascii="Abo-thar" w:hAnsi="Abo-thar" w:hint="eastAsia"/>
          <w:sz w:val="28"/>
          <w:rtl/>
          <w:lang w:bidi="ar-SY"/>
        </w:rPr>
        <w:t>«</w:t>
      </w:r>
      <w:r w:rsidRPr="003F3B94">
        <w:rPr>
          <w:rFonts w:ascii="Abo-thar" w:hAnsi="Abo-thar" w:hint="cs"/>
          <w:b/>
          <w:bCs/>
          <w:sz w:val="28"/>
          <w:rtl/>
          <w:lang w:bidi="ar-SY"/>
        </w:rPr>
        <w:t>أحمد بن هلال</w:t>
      </w:r>
      <w:r w:rsidRPr="003F3B94">
        <w:rPr>
          <w:rFonts w:ascii="Abo-thar" w:hAnsi="Abo-thar" w:hint="eastAsia"/>
          <w:sz w:val="28"/>
          <w:rtl/>
          <w:lang w:bidi="ar-SY"/>
        </w:rPr>
        <w:t>»</w:t>
      </w:r>
      <w:r w:rsidRPr="003F3B94">
        <w:rPr>
          <w:rFonts w:ascii="Abo-thar" w:hAnsi="Abo-thar" w:hint="cs"/>
          <w:sz w:val="28"/>
          <w:rtl/>
          <w:lang w:bidi="ar-SY"/>
        </w:rPr>
        <w:t xml:space="preserve"> في سند الحديث يغنينا عن بحث تلك الإشكالات</w:t>
      </w:r>
      <w:r w:rsidR="00217AB4" w:rsidRPr="003F3B94">
        <w:rPr>
          <w:rFonts w:ascii="Abo-thar" w:hAnsi="Abo-thar" w:hint="cs"/>
          <w:sz w:val="28"/>
          <w:rtl/>
          <w:lang w:bidi="ar-SY"/>
        </w:rPr>
        <w:t>.</w:t>
      </w:r>
      <w:r w:rsidRPr="003F3B94">
        <w:rPr>
          <w:rFonts w:ascii="Abo-thar" w:hAnsi="Abo-thar" w:hint="cs"/>
          <w:sz w:val="28"/>
          <w:rtl/>
          <w:lang w:bidi="ar-SY"/>
        </w:rPr>
        <w:t xml:space="preserve"> فلا أحد يدري من الذي أورده في </w:t>
      </w:r>
      <w:r w:rsidRPr="003F3B94">
        <w:rPr>
          <w:rFonts w:ascii="Abo-thar" w:hAnsi="Abo-thar"/>
          <w:sz w:val="28"/>
          <w:rtl/>
          <w:lang w:bidi="ar-SY"/>
        </w:rPr>
        <w:t>«</w:t>
      </w:r>
      <w:r w:rsidRPr="003F3B94">
        <w:rPr>
          <w:rFonts w:ascii="Abo-thar" w:hAnsi="Abo-thar"/>
          <w:b/>
          <w:bCs/>
          <w:sz w:val="28"/>
          <w:rtl/>
          <w:lang w:bidi="ar-SY"/>
        </w:rPr>
        <w:t>كِتَابِ مُحَمَّدِ بْنِ عَلِيِّ بْنِ مَحْبُوبٍ</w:t>
      </w:r>
      <w:r w:rsidRPr="003F3B94">
        <w:rPr>
          <w:rFonts w:ascii="Abo-thar" w:hAnsi="Abo-thar"/>
          <w:sz w:val="28"/>
          <w:rtl/>
          <w:lang w:bidi="ar-SY"/>
        </w:rPr>
        <w:t>»</w:t>
      </w:r>
      <w:r w:rsidRPr="003F3B94">
        <w:rPr>
          <w:rFonts w:ascii="Abo-thar" w:hAnsi="Abo-thar" w:hint="cs"/>
          <w:sz w:val="28"/>
          <w:rtl/>
          <w:lang w:bidi="ar-SY"/>
        </w:rPr>
        <w:t xml:space="preserve"> شيخ القمِّيِّين</w:t>
      </w:r>
      <w:r w:rsidR="00217AB4" w:rsidRPr="003F3B94">
        <w:rPr>
          <w:rFonts w:ascii="Abo-thar" w:hAnsi="Abo-thar" w:hint="cs"/>
          <w:sz w:val="28"/>
          <w:rtl/>
          <w:lang w:bidi="ar-SY"/>
        </w:rPr>
        <w:t>؟</w:t>
      </w:r>
      <w:r w:rsidRPr="003F3B94">
        <w:rPr>
          <w:rFonts w:ascii="Abo-thar" w:hAnsi="Abo-thar" w:hint="cs"/>
          <w:sz w:val="28"/>
          <w:rtl/>
          <w:lang w:bidi="ar-SY"/>
        </w:rPr>
        <w:t xml:space="preserve"> وإلا فإنه من البعيد جداً أن يدون في كتابه روايةً لمثل هذا الشخص سيء السمعة والملعون على لسان الله ورسوله ولسان الإمام</w:t>
      </w:r>
      <w:r w:rsidR="00217AB4" w:rsidRPr="003F3B94">
        <w:rPr>
          <w:rFonts w:ascii="Abo-thar" w:hAnsi="Abo-thar" w:hint="cs"/>
          <w:sz w:val="28"/>
          <w:rtl/>
          <w:lang w:bidi="ar-SY"/>
        </w:rPr>
        <w:t>؟</w:t>
      </w:r>
      <w:r w:rsidRPr="003F3B94">
        <w:rPr>
          <w:rFonts w:ascii="Abo-thar" w:hAnsi="Abo-thar" w:hint="cs"/>
          <w:sz w:val="28"/>
          <w:rtl/>
          <w:lang w:bidi="ar-SY"/>
        </w:rPr>
        <w:t xml:space="preserve"> والأعجب من ذلك أن يذكره محمد بن إدريس في كتابه </w:t>
      </w:r>
      <w:r w:rsidRPr="003F3B94">
        <w:rPr>
          <w:rFonts w:ascii="Abo-thar" w:hAnsi="Abo-thar" w:hint="eastAsia"/>
          <w:sz w:val="28"/>
          <w:rtl/>
          <w:lang w:bidi="ar-SY"/>
        </w:rPr>
        <w:t>«</w:t>
      </w:r>
      <w:r w:rsidRPr="003F3B94">
        <w:rPr>
          <w:rFonts w:ascii="Abo-thar" w:hAnsi="Abo-thar" w:hint="cs"/>
          <w:sz w:val="28"/>
          <w:rtl/>
          <w:lang w:bidi="ar-SY"/>
        </w:rPr>
        <w:t>السـرائر</w:t>
      </w:r>
      <w:r w:rsidRPr="003F3B94">
        <w:rPr>
          <w:rFonts w:ascii="Abo-thar" w:hAnsi="Abo-thar" w:hint="eastAsia"/>
          <w:sz w:val="28"/>
          <w:rtl/>
          <w:lang w:bidi="ar-SY"/>
        </w:rPr>
        <w:t>»</w:t>
      </w:r>
      <w:r w:rsidR="00217AB4" w:rsidRPr="003F3B94">
        <w:rPr>
          <w:rFonts w:ascii="Abo-thar" w:hAnsi="Abo-thar" w:hint="cs"/>
          <w:sz w:val="28"/>
          <w:rtl/>
          <w:lang w:bidi="ar-SY"/>
        </w:rPr>
        <w:t>؟</w:t>
      </w:r>
      <w:r w:rsidRPr="003F3B94">
        <w:rPr>
          <w:rFonts w:ascii="Abo-thar" w:hAnsi="Abo-thar" w:hint="cs"/>
          <w:sz w:val="28"/>
          <w:rtl/>
          <w:lang w:bidi="ar-SY"/>
        </w:rPr>
        <w:t xml:space="preserve"> مع أنه هو نفسه انتقد في كتابه هذا جده الشيخ الطوسي عليه الرحمة انتقاداً لاذعاً وشديداً إلى حد التجرؤ عليه بسبب بعض الإهمال وقلة الحذر والحيطة في كتبه</w:t>
      </w:r>
      <w:r w:rsidR="00217AB4" w:rsidRPr="003F3B94">
        <w:rPr>
          <w:rFonts w:ascii="Abo-thar" w:hAnsi="Abo-thar" w:hint="cs"/>
          <w:sz w:val="28"/>
          <w:rtl/>
          <w:lang w:bidi="ar-SY"/>
        </w:rPr>
        <w:t>.</w:t>
      </w:r>
      <w:r w:rsidRPr="003F3B94">
        <w:rPr>
          <w:rFonts w:ascii="Abo-thar" w:hAnsi="Abo-thar" w:hint="cs"/>
          <w:sz w:val="28"/>
          <w:rtl/>
          <w:lang w:bidi="ar-SY"/>
        </w:rPr>
        <w:t xml:space="preserve"> وعلى كل حال سنعرف الآن حقيقة الأمر إن شاء الله من خلال تبيُّنِ أحوال رواة سند ذلك الحديث خاصة حال راويه </w:t>
      </w:r>
      <w:r w:rsidRPr="003F3B94">
        <w:rPr>
          <w:rFonts w:ascii="Abo-thar" w:hAnsi="Abo-thar"/>
          <w:sz w:val="28"/>
          <w:rtl/>
          <w:lang w:bidi="ar-SY"/>
        </w:rPr>
        <w:t>«</w:t>
      </w:r>
      <w:r w:rsidRPr="003F3B94">
        <w:rPr>
          <w:rFonts w:ascii="Abo-thar" w:hAnsi="Abo-thar" w:hint="cs"/>
          <w:bCs/>
          <w:sz w:val="28"/>
          <w:rtl/>
          <w:lang w:bidi="ar-SY"/>
        </w:rPr>
        <w:t>أحمد بن هلال</w:t>
      </w:r>
      <w:r w:rsidRPr="003F3B94">
        <w:rPr>
          <w:rFonts w:ascii="Abo-thar" w:hAnsi="Abo-thar"/>
          <w:sz w:val="28"/>
          <w:rtl/>
          <w:lang w:bidi="ar-SY"/>
        </w:rPr>
        <w:t>»</w:t>
      </w:r>
      <w:r w:rsidR="00217AB4" w:rsidRPr="003F3B94">
        <w:rPr>
          <w:rFonts w:ascii="Abo-thar" w:hAnsi="Abo-thar" w:hint="cs"/>
          <w:sz w:val="28"/>
          <w:rtl/>
          <w:lang w:bidi="ar-SY"/>
        </w:rPr>
        <w:t>:</w:t>
      </w:r>
      <w:r w:rsidR="00147857" w:rsidRPr="003F3B94">
        <w:rPr>
          <w:rFonts w:ascii="Abo-thar" w:hAnsi="Abo-thar" w:hint="cs"/>
          <w:sz w:val="28"/>
          <w:rtl/>
          <w:lang w:bidi="ar-SY"/>
        </w:rPr>
        <w:t xml:space="preserve"> </w:t>
      </w:r>
    </w:p>
    <w:p w:rsidR="005C664D" w:rsidRPr="00995B26" w:rsidRDefault="003D6690" w:rsidP="003C671C">
      <w:pPr>
        <w:pStyle w:val="a6"/>
        <w:rPr>
          <w:rFonts w:hint="cs"/>
          <w:rtl/>
        </w:rPr>
      </w:pPr>
      <w:bookmarkStart w:id="103" w:name="_Toc387843074"/>
      <w:r w:rsidRPr="00995B26">
        <w:rPr>
          <w:rFonts w:hint="cs"/>
          <w:rtl/>
        </w:rPr>
        <w:t>3-</w:t>
      </w:r>
      <w:r w:rsidR="005C664D" w:rsidRPr="00995B26">
        <w:rPr>
          <w:rFonts w:hint="cs"/>
          <w:rtl/>
        </w:rPr>
        <w:t xml:space="preserve"> راوي وجوب الخُمس في أرباح المكاسب</w:t>
      </w:r>
      <w:bookmarkEnd w:id="103"/>
      <w:r w:rsidR="005C664D" w:rsidRPr="00995B26">
        <w:rPr>
          <w:rFonts w:hint="cs"/>
          <w:rtl/>
        </w:rPr>
        <w:t xml:space="preserve"> </w:t>
      </w:r>
    </w:p>
    <w:p w:rsidR="005C664D" w:rsidRPr="003F3B94" w:rsidRDefault="005C664D" w:rsidP="003F3B94">
      <w:pPr>
        <w:pStyle w:val="a0"/>
        <w:rPr>
          <w:rFonts w:hint="cs"/>
          <w:rtl/>
        </w:rPr>
      </w:pPr>
      <w:r w:rsidRPr="003F3B94">
        <w:rPr>
          <w:rFonts w:ascii="Abo-thar" w:hAnsi="Abo-thar" w:hint="cs"/>
          <w:sz w:val="28"/>
          <w:rtl/>
        </w:rPr>
        <w:t xml:space="preserve">أول رواة هذا الحديث </w:t>
      </w:r>
      <w:r w:rsidRPr="003F3B94">
        <w:rPr>
          <w:rFonts w:ascii="Abo-thar" w:hAnsi="Abo-thar"/>
          <w:sz w:val="28"/>
          <w:rtl/>
        </w:rPr>
        <w:t>«</w:t>
      </w:r>
      <w:r w:rsidRPr="003F3B94">
        <w:rPr>
          <w:rFonts w:ascii="Abo-thar" w:hAnsi="Abo-thar" w:hint="cs"/>
          <w:b/>
          <w:bCs/>
          <w:sz w:val="28"/>
          <w:rtl/>
        </w:rPr>
        <w:t>أحمد بن هلال</w:t>
      </w:r>
      <w:r w:rsidRPr="003F3B94">
        <w:rPr>
          <w:rFonts w:ascii="Abo-thar" w:hAnsi="Abo-thar"/>
          <w:sz w:val="28"/>
          <w:rtl/>
        </w:rPr>
        <w:t>»</w:t>
      </w:r>
      <w:r w:rsidR="00217AB4" w:rsidRPr="003F3B94">
        <w:rPr>
          <w:rFonts w:ascii="Abo-thar" w:hAnsi="Abo-thar" w:hint="cs"/>
          <w:sz w:val="28"/>
          <w:rtl/>
        </w:rPr>
        <w:t>،</w:t>
      </w:r>
      <w:r w:rsidRPr="003F3B94">
        <w:rPr>
          <w:rFonts w:ascii="Abo-thar" w:hAnsi="Abo-thar" w:hint="cs"/>
          <w:sz w:val="28"/>
          <w:rtl/>
        </w:rPr>
        <w:t xml:space="preserve"> وفيما يلي ما قاله بشأنه أرباب الرجال</w:t>
      </w:r>
      <w:r w:rsidR="00217AB4" w:rsidRPr="003F3B94">
        <w:rPr>
          <w:rFonts w:ascii="Abo-thar" w:hAnsi="Abo-thar" w:hint="cs"/>
          <w:sz w:val="28"/>
          <w:rtl/>
        </w:rPr>
        <w:t>:</w:t>
      </w:r>
    </w:p>
    <w:p w:rsidR="00FE2278" w:rsidRPr="003F3B94" w:rsidRDefault="005C664D" w:rsidP="00255A16">
      <w:pPr>
        <w:pStyle w:val="a0"/>
        <w:rPr>
          <w:rFonts w:hint="cs"/>
          <w:rtl/>
        </w:rPr>
      </w:pPr>
      <w:r w:rsidRPr="003F3B94">
        <w:rPr>
          <w:rFonts w:ascii="Abo-thar" w:hAnsi="Abo-thar"/>
          <w:sz w:val="28"/>
          <w:rtl/>
        </w:rPr>
        <w:t>1</w:t>
      </w:r>
      <w:r w:rsidR="00217AB4" w:rsidRPr="003F3B94">
        <w:rPr>
          <w:rFonts w:ascii="Abo-thar" w:hAnsi="Abo-thar"/>
          <w:sz w:val="28"/>
          <w:rtl/>
        </w:rPr>
        <w:t>-</w:t>
      </w:r>
      <w:r w:rsidRPr="003F3B94">
        <w:rPr>
          <w:rFonts w:ascii="Abo-thar" w:hAnsi="Abo-thar"/>
          <w:sz w:val="28"/>
          <w:rtl/>
        </w:rPr>
        <w:t xml:space="preserve"> </w:t>
      </w:r>
      <w:r w:rsidRPr="003F3B94">
        <w:rPr>
          <w:rFonts w:ascii="Abo-thar" w:hAnsi="Abo-thar" w:hint="cs"/>
          <w:sz w:val="28"/>
          <w:rtl/>
        </w:rPr>
        <w:t>عدَّهُ ال</w:t>
      </w:r>
      <w:r w:rsidRPr="003F3B94">
        <w:rPr>
          <w:rFonts w:ascii="Abo-thar" w:hAnsi="Abo-thar"/>
          <w:sz w:val="28"/>
          <w:rtl/>
        </w:rPr>
        <w:t>ش</w:t>
      </w:r>
      <w:r w:rsidR="00D326AD" w:rsidRPr="003F3B94">
        <w:rPr>
          <w:rFonts w:ascii="Abo-thar" w:hAnsi="Abo-thar" w:hint="cs"/>
          <w:sz w:val="28"/>
          <w:rtl/>
        </w:rPr>
        <w:t>ي</w:t>
      </w:r>
      <w:r w:rsidRPr="003F3B94">
        <w:rPr>
          <w:rFonts w:ascii="Abo-thar" w:hAnsi="Abo-thar" w:hint="eastAsia"/>
          <w:sz w:val="28"/>
          <w:rtl/>
        </w:rPr>
        <w:t>خ</w:t>
      </w:r>
      <w:r w:rsidRPr="003F3B94">
        <w:rPr>
          <w:rFonts w:ascii="Abo-thar" w:hAnsi="Abo-thar" w:hint="cs"/>
          <w:sz w:val="28"/>
          <w:rtl/>
        </w:rPr>
        <w:t>ُ</w:t>
      </w:r>
      <w:r w:rsidRPr="003F3B94">
        <w:rPr>
          <w:rFonts w:ascii="Abo-thar" w:hAnsi="Abo-thar"/>
          <w:sz w:val="28"/>
          <w:rtl/>
        </w:rPr>
        <w:t xml:space="preserve"> </w:t>
      </w:r>
      <w:r w:rsidRPr="003F3B94">
        <w:rPr>
          <w:rFonts w:ascii="Abo-thar" w:hAnsi="Abo-thar" w:hint="cs"/>
          <w:sz w:val="28"/>
          <w:rtl/>
        </w:rPr>
        <w:t>ال</w:t>
      </w:r>
      <w:r w:rsidRPr="003F3B94">
        <w:rPr>
          <w:rFonts w:ascii="Abo-thar" w:hAnsi="Abo-thar"/>
          <w:sz w:val="28"/>
          <w:rtl/>
        </w:rPr>
        <w:t>طوس</w:t>
      </w:r>
      <w:r w:rsidRPr="003F3B94">
        <w:rPr>
          <w:rFonts w:ascii="Abo-thar" w:hAnsi="Abo-thar" w:hint="cs"/>
          <w:sz w:val="28"/>
          <w:rtl/>
        </w:rPr>
        <w:t>يُّ في رجاله من أصحاب حضرة الإمام الهادي وقال</w:t>
      </w:r>
      <w:r w:rsidR="00217AB4" w:rsidRPr="003F3B94">
        <w:rPr>
          <w:rFonts w:ascii="Abo-thar" w:hAnsi="Abo-thar" w:hint="cs"/>
          <w:sz w:val="28"/>
          <w:rtl/>
        </w:rPr>
        <w:t>:</w:t>
      </w:r>
      <w:r w:rsidR="00255A16">
        <w:rPr>
          <w:rFonts w:ascii="Abo-thar" w:hAnsi="Abo-thar" w:hint="cs"/>
          <w:sz w:val="28"/>
          <w:rtl/>
        </w:rPr>
        <w:t xml:space="preserve"> </w:t>
      </w:r>
      <w:r w:rsidR="00EF2588" w:rsidRPr="003F3B94">
        <w:rPr>
          <w:rFonts w:ascii="Abo-thar" w:hAnsi="Abo-thar" w:hint="cs"/>
          <w:sz w:val="28"/>
          <w:rtl/>
        </w:rPr>
        <w:t>«</w:t>
      </w:r>
      <w:r w:rsidRPr="003F3B94">
        <w:rPr>
          <w:rFonts w:ascii="Abo-thar" w:hAnsi="Abo-thar"/>
          <w:bCs/>
          <w:sz w:val="28"/>
          <w:rtl/>
        </w:rPr>
        <w:t>بغداد</w:t>
      </w:r>
      <w:r w:rsidRPr="003F3B94">
        <w:rPr>
          <w:rFonts w:ascii="Abo-thar" w:hAnsi="Abo-thar" w:hint="cs"/>
          <w:bCs/>
          <w:sz w:val="28"/>
          <w:rtl/>
        </w:rPr>
        <w:t>يٌّ</w:t>
      </w:r>
      <w:r w:rsidRPr="003F3B94">
        <w:rPr>
          <w:rFonts w:ascii="Abo-thar" w:hAnsi="Abo-thar"/>
          <w:bCs/>
          <w:sz w:val="28"/>
          <w:rtl/>
        </w:rPr>
        <w:t xml:space="preserve"> غال</w:t>
      </w:r>
      <w:r w:rsidRPr="003F3B94">
        <w:rPr>
          <w:rFonts w:ascii="Abo-thar" w:hAnsi="Abo-thar" w:hint="cs"/>
          <w:bCs/>
          <w:sz w:val="28"/>
          <w:rtl/>
        </w:rPr>
        <w:t>ٍ</w:t>
      </w:r>
      <w:r w:rsidR="00F456DF" w:rsidRPr="003F3B94">
        <w:rPr>
          <w:rFonts w:ascii="Abo-thar" w:hAnsi="Abo-thar"/>
          <w:sz w:val="28"/>
          <w:rtl/>
        </w:rPr>
        <w:t>»</w:t>
      </w:r>
      <w:r w:rsidR="00F456DF" w:rsidRPr="003F3B94">
        <w:rPr>
          <w:rFonts w:ascii="Abo-thar" w:hAnsi="Abo-thar" w:hint="cs"/>
          <w:sz w:val="28"/>
          <w:rtl/>
        </w:rPr>
        <w:t>.</w:t>
      </w:r>
      <w:r w:rsidRPr="003F3B94">
        <w:rPr>
          <w:rFonts w:ascii="Abo-thar" w:hAnsi="Abo-thar" w:hint="cs"/>
          <w:sz w:val="28"/>
          <w:rtl/>
        </w:rPr>
        <w:t xml:space="preserve"> </w:t>
      </w:r>
    </w:p>
    <w:p w:rsidR="00FE2278" w:rsidRPr="003F3B94" w:rsidRDefault="005C664D" w:rsidP="00255A16">
      <w:pPr>
        <w:pStyle w:val="a0"/>
        <w:rPr>
          <w:rFonts w:hint="cs"/>
          <w:rtl/>
        </w:rPr>
      </w:pPr>
      <w:r w:rsidRPr="003F3B94">
        <w:rPr>
          <w:rFonts w:ascii="Abo-thar" w:hAnsi="Abo-thar" w:hint="cs"/>
          <w:sz w:val="28"/>
          <w:rtl/>
        </w:rPr>
        <w:t>وق</w:t>
      </w:r>
      <w:r w:rsidRPr="003F3B94">
        <w:rPr>
          <w:rFonts w:ascii="Abo-thar" w:hAnsi="Abo-thar"/>
          <w:sz w:val="28"/>
          <w:rtl/>
        </w:rPr>
        <w:t xml:space="preserve">ال عنه الشيخ الطوسي </w:t>
      </w:r>
      <w:r w:rsidR="0041266B" w:rsidRPr="003F3B94">
        <w:rPr>
          <w:rFonts w:ascii="Abo-thar" w:hAnsi="Abo-thar" w:hint="cs"/>
          <w:sz w:val="28"/>
          <w:rtl/>
        </w:rPr>
        <w:t xml:space="preserve">نفسه أيضًا </w:t>
      </w:r>
      <w:r w:rsidRPr="003F3B94">
        <w:rPr>
          <w:rFonts w:ascii="Abo-thar" w:hAnsi="Abo-thar"/>
          <w:sz w:val="28"/>
          <w:rtl/>
        </w:rPr>
        <w:t>في الفهرست</w:t>
      </w:r>
      <w:r w:rsidR="00217AB4" w:rsidRPr="003F3B94">
        <w:rPr>
          <w:rFonts w:ascii="Abo-thar" w:hAnsi="Abo-thar"/>
          <w:sz w:val="28"/>
          <w:rtl/>
        </w:rPr>
        <w:t>:</w:t>
      </w:r>
      <w:r w:rsidRPr="003F3B94">
        <w:rPr>
          <w:rFonts w:ascii="Abo-thar" w:hAnsi="Abo-thar"/>
          <w:sz w:val="28"/>
          <w:rtl/>
        </w:rPr>
        <w:t xml:space="preserve"> </w:t>
      </w:r>
      <w:r w:rsidR="00EF2588" w:rsidRPr="003F3B94">
        <w:rPr>
          <w:rFonts w:ascii="Abo-thar" w:hAnsi="Abo-thar"/>
          <w:sz w:val="28"/>
          <w:rtl/>
        </w:rPr>
        <w:t>«</w:t>
      </w:r>
      <w:r w:rsidRPr="003F3B94">
        <w:rPr>
          <w:rFonts w:ascii="Abo-thar" w:hAnsi="Abo-thar"/>
          <w:sz w:val="28"/>
          <w:rtl/>
        </w:rPr>
        <w:t>97</w:t>
      </w:r>
      <w:r w:rsidR="00217AB4" w:rsidRPr="003F3B94">
        <w:rPr>
          <w:rFonts w:ascii="Abo-thar" w:hAnsi="Abo-thar"/>
          <w:sz w:val="28"/>
          <w:rtl/>
        </w:rPr>
        <w:t>-</w:t>
      </w:r>
      <w:r w:rsidRPr="003F3B94">
        <w:rPr>
          <w:rFonts w:ascii="Abo-thar" w:hAnsi="Abo-thar"/>
          <w:sz w:val="28"/>
          <w:rtl/>
        </w:rPr>
        <w:t xml:space="preserve"> أحمد بن هلال العبرتائي</w:t>
      </w:r>
      <w:r w:rsidR="00217AB4" w:rsidRPr="003F3B94">
        <w:rPr>
          <w:rFonts w:ascii="Abo-thar" w:hAnsi="Abo-thar"/>
          <w:sz w:val="28"/>
          <w:rtl/>
        </w:rPr>
        <w:t>:</w:t>
      </w:r>
      <w:r w:rsidRPr="003F3B94">
        <w:rPr>
          <w:rFonts w:ascii="Abo-thar" w:hAnsi="Abo-thar"/>
          <w:sz w:val="28"/>
          <w:rtl/>
        </w:rPr>
        <w:t xml:space="preserve"> وعبرتاء قرية بنواحي بلد إسكاف وهو من بني جنيد</w:t>
      </w:r>
      <w:r w:rsidR="00217AB4" w:rsidRPr="003F3B94">
        <w:rPr>
          <w:rFonts w:ascii="Abo-thar" w:hAnsi="Abo-thar"/>
          <w:sz w:val="28"/>
          <w:rtl/>
        </w:rPr>
        <w:t>،</w:t>
      </w:r>
      <w:r w:rsidRPr="003F3B94">
        <w:rPr>
          <w:rFonts w:ascii="Abo-thar" w:hAnsi="Abo-thar"/>
          <w:sz w:val="28"/>
          <w:rtl/>
        </w:rPr>
        <w:t xml:space="preserve"> ولد سنة 180</w:t>
      </w:r>
      <w:r w:rsidR="00217AB4" w:rsidRPr="003F3B94">
        <w:rPr>
          <w:rFonts w:ascii="Abo-thar" w:hAnsi="Abo-thar"/>
          <w:sz w:val="28"/>
          <w:rtl/>
        </w:rPr>
        <w:t>،</w:t>
      </w:r>
      <w:r w:rsidRPr="003F3B94">
        <w:rPr>
          <w:rFonts w:ascii="Abo-thar" w:hAnsi="Abo-thar"/>
          <w:sz w:val="28"/>
          <w:rtl/>
        </w:rPr>
        <w:t xml:space="preserve"> ومات سنة 267هـ</w:t>
      </w:r>
      <w:r w:rsidR="00217AB4" w:rsidRPr="003F3B94">
        <w:rPr>
          <w:rFonts w:ascii="Abo-thar" w:hAnsi="Abo-thar"/>
          <w:sz w:val="28"/>
          <w:rtl/>
        </w:rPr>
        <w:t>،</w:t>
      </w:r>
      <w:r w:rsidRPr="003F3B94">
        <w:rPr>
          <w:rFonts w:ascii="Abo-thar" w:hAnsi="Abo-thar"/>
          <w:sz w:val="28"/>
          <w:rtl/>
        </w:rPr>
        <w:t xml:space="preserve"> </w:t>
      </w:r>
      <w:r w:rsidRPr="003F3B94">
        <w:rPr>
          <w:rFonts w:ascii="Abo-thar" w:hAnsi="Abo-thar"/>
          <w:bCs/>
          <w:sz w:val="28"/>
          <w:u w:val="single"/>
          <w:rtl/>
        </w:rPr>
        <w:t>وكان غالياً</w:t>
      </w:r>
      <w:r w:rsidR="00217AB4" w:rsidRPr="003F3B94">
        <w:rPr>
          <w:rFonts w:ascii="Abo-thar" w:hAnsi="Abo-thar"/>
          <w:bCs/>
          <w:sz w:val="28"/>
          <w:u w:val="single"/>
          <w:rtl/>
        </w:rPr>
        <w:t>،</w:t>
      </w:r>
      <w:r w:rsidRPr="003F3B94">
        <w:rPr>
          <w:rFonts w:ascii="Abo-thar" w:hAnsi="Abo-thar"/>
          <w:bCs/>
          <w:sz w:val="28"/>
          <w:u w:val="single"/>
          <w:rtl/>
        </w:rPr>
        <w:t xml:space="preserve"> متّهماً في دينه</w:t>
      </w:r>
      <w:r w:rsidR="00217AB4" w:rsidRPr="003F3B94">
        <w:rPr>
          <w:rFonts w:ascii="Abo-thar" w:hAnsi="Abo-thar"/>
          <w:sz w:val="28"/>
          <w:rtl/>
        </w:rPr>
        <w:t>،</w:t>
      </w:r>
      <w:r w:rsidRPr="003F3B94">
        <w:rPr>
          <w:rFonts w:ascii="Abo-thar" w:hAnsi="Abo-thar"/>
          <w:sz w:val="28"/>
          <w:rtl/>
        </w:rPr>
        <w:t xml:space="preserve"> وقد روى أكثر أصول أصحابنا</w:t>
      </w:r>
      <w:r w:rsidR="00F456DF" w:rsidRPr="003F3B94">
        <w:rPr>
          <w:rFonts w:ascii="Abo-thar" w:hAnsi="Abo-thar"/>
          <w:sz w:val="28"/>
          <w:rtl/>
        </w:rPr>
        <w:t>»</w:t>
      </w:r>
      <w:r w:rsidR="0041266B" w:rsidRPr="0021507A">
        <w:rPr>
          <w:rFonts w:ascii="Abo-thar" w:hAnsi="Abo-thar" w:cs="Arabic11 BT"/>
          <w:sz w:val="28"/>
          <w:vertAlign w:val="superscript"/>
          <w:rtl/>
        </w:rPr>
        <w:t>(</w:t>
      </w:r>
      <w:r w:rsidR="0041266B" w:rsidRPr="0021507A">
        <w:rPr>
          <w:rStyle w:val="FootnoteReference"/>
          <w:rFonts w:ascii="Abo-thar" w:hAnsi="Abo-thar" w:cs="Arabic11 BT"/>
          <w:sz w:val="28"/>
          <w:rtl/>
        </w:rPr>
        <w:footnoteReference w:id="296"/>
      </w:r>
      <w:r w:rsidR="0041266B" w:rsidRPr="0021507A">
        <w:rPr>
          <w:rFonts w:ascii="Abo-thar" w:hAnsi="Abo-thar" w:cs="Arabic11 BT"/>
          <w:sz w:val="28"/>
          <w:vertAlign w:val="superscript"/>
          <w:rtl/>
        </w:rPr>
        <w:t>)</w:t>
      </w:r>
      <w:r w:rsidR="00217AB4" w:rsidRPr="003F3B94">
        <w:rPr>
          <w:rFonts w:ascii="Abo-thar" w:hAnsi="Abo-thar"/>
          <w:sz w:val="28"/>
          <w:rtl/>
        </w:rPr>
        <w:t>.</w:t>
      </w:r>
      <w:r w:rsidRPr="003F3B94">
        <w:rPr>
          <w:rFonts w:ascii="Abo-thar" w:hAnsi="Abo-thar" w:hint="cs"/>
          <w:sz w:val="28"/>
          <w:rtl/>
        </w:rPr>
        <w:t xml:space="preserve"> </w:t>
      </w:r>
    </w:p>
    <w:p w:rsidR="00FE2278" w:rsidRPr="003F3B94" w:rsidRDefault="005C664D" w:rsidP="00255A16">
      <w:pPr>
        <w:pStyle w:val="a0"/>
        <w:rPr>
          <w:rFonts w:hint="cs"/>
          <w:rtl/>
        </w:rPr>
      </w:pPr>
      <w:r w:rsidRPr="003F3B94">
        <w:rPr>
          <w:rFonts w:ascii="Abo-thar" w:hAnsi="Abo-thar" w:hint="cs"/>
          <w:sz w:val="28"/>
          <w:rtl/>
        </w:rPr>
        <w:t>وكتب الطوسيُّ عنه في «التهذيب» في باب الوصية لأهل الضلال</w:t>
      </w:r>
      <w:r w:rsidR="00217AB4" w:rsidRPr="003F3B94">
        <w:rPr>
          <w:rFonts w:ascii="Abo-thar" w:hAnsi="Abo-thar" w:hint="cs"/>
          <w:sz w:val="28"/>
          <w:rtl/>
        </w:rPr>
        <w:t>:</w:t>
      </w:r>
      <w:r w:rsidR="00255A16">
        <w:rPr>
          <w:rFonts w:ascii="Abo-thar" w:hAnsi="Abo-thar" w:hint="cs"/>
          <w:sz w:val="28"/>
          <w:rtl/>
        </w:rPr>
        <w:t xml:space="preserve"> </w:t>
      </w:r>
      <w:r w:rsidR="00EF2588" w:rsidRPr="003F3B94">
        <w:rPr>
          <w:rFonts w:ascii="Abo-thar" w:hAnsi="Abo-thar" w:hint="cs"/>
          <w:sz w:val="28"/>
          <w:rtl/>
        </w:rPr>
        <w:t>«</w:t>
      </w:r>
      <w:r w:rsidRPr="003F3B94">
        <w:rPr>
          <w:rFonts w:ascii="Abo-thar" w:hAnsi="Abo-thar" w:hint="cs"/>
          <w:bCs/>
          <w:sz w:val="28"/>
          <w:rtl/>
        </w:rPr>
        <w:t xml:space="preserve">إن أحمد بن هلال مشهور باللعنة والغلوّ وما </w:t>
      </w:r>
      <w:r w:rsidR="00D326AD" w:rsidRPr="003F3B94">
        <w:rPr>
          <w:rFonts w:ascii="Abo-thar" w:hAnsi="Abo-thar" w:hint="cs"/>
          <w:bCs/>
          <w:sz w:val="28"/>
          <w:rtl/>
        </w:rPr>
        <w:t>ي</w:t>
      </w:r>
      <w:r w:rsidRPr="003F3B94">
        <w:rPr>
          <w:rFonts w:ascii="Abo-thar" w:hAnsi="Abo-thar" w:hint="eastAsia"/>
          <w:bCs/>
          <w:sz w:val="28"/>
          <w:rtl/>
        </w:rPr>
        <w:t>ختص</w:t>
      </w:r>
      <w:r w:rsidRPr="003F3B94">
        <w:rPr>
          <w:rFonts w:ascii="Abo-thar" w:hAnsi="Abo-thar"/>
          <w:bCs/>
          <w:sz w:val="28"/>
          <w:rtl/>
        </w:rPr>
        <w:t xml:space="preserve"> بروا</w:t>
      </w:r>
      <w:r w:rsidR="00D326AD" w:rsidRPr="003F3B94">
        <w:rPr>
          <w:rFonts w:ascii="Abo-thar" w:hAnsi="Abo-thar" w:hint="cs"/>
          <w:bCs/>
          <w:sz w:val="28"/>
          <w:rtl/>
        </w:rPr>
        <w:t>ي</w:t>
      </w:r>
      <w:r w:rsidRPr="003F3B94">
        <w:rPr>
          <w:rFonts w:ascii="Abo-thar" w:hAnsi="Abo-thar" w:hint="eastAsia"/>
          <w:bCs/>
          <w:sz w:val="28"/>
          <w:rtl/>
        </w:rPr>
        <w:t>ته</w:t>
      </w:r>
      <w:r w:rsidRPr="003F3B94">
        <w:rPr>
          <w:rFonts w:ascii="Abo-thar" w:hAnsi="Abo-thar"/>
          <w:bCs/>
          <w:sz w:val="28"/>
          <w:rtl/>
        </w:rPr>
        <w:t xml:space="preserve"> لا نعمل به</w:t>
      </w:r>
      <w:r w:rsidR="00EF2588" w:rsidRPr="003F3B94">
        <w:rPr>
          <w:rFonts w:ascii="Abo-thar" w:hAnsi="Abo-thar" w:hint="cs"/>
          <w:sz w:val="28"/>
          <w:rtl/>
        </w:rPr>
        <w:t>»</w:t>
      </w:r>
      <w:r w:rsidR="00217AB4" w:rsidRPr="003F3B94">
        <w:rPr>
          <w:rFonts w:ascii="Abo-thar" w:hAnsi="Abo-thar" w:hint="cs"/>
          <w:sz w:val="28"/>
          <w:rtl/>
        </w:rPr>
        <w:t>.</w:t>
      </w:r>
      <w:r w:rsidRPr="003F3B94">
        <w:rPr>
          <w:rFonts w:ascii="Abo-thar" w:hAnsi="Abo-thar" w:hint="cs"/>
          <w:sz w:val="28"/>
          <w:rtl/>
        </w:rPr>
        <w:t xml:space="preserve"> </w:t>
      </w:r>
    </w:p>
    <w:p w:rsidR="005C664D" w:rsidRPr="003F3B94" w:rsidRDefault="005C664D" w:rsidP="00255A16">
      <w:pPr>
        <w:pStyle w:val="a0"/>
        <w:rPr>
          <w:rtl/>
        </w:rPr>
      </w:pPr>
      <w:r w:rsidRPr="003F3B94">
        <w:rPr>
          <w:rFonts w:ascii="Abo-thar" w:hAnsi="Abo-thar" w:hint="cs"/>
          <w:sz w:val="28"/>
          <w:rtl/>
        </w:rPr>
        <w:t>وأيضاً في كتابه</w:t>
      </w:r>
      <w:r w:rsidR="0041266B" w:rsidRPr="003F3B94">
        <w:rPr>
          <w:rFonts w:ascii="Abo-thar" w:hAnsi="Abo-thar" w:hint="cs"/>
          <w:sz w:val="28"/>
          <w:rtl/>
        </w:rPr>
        <w:t xml:space="preserve"> </w:t>
      </w:r>
      <w:r w:rsidRPr="003F3B94">
        <w:rPr>
          <w:rFonts w:ascii="Abo-thar" w:hAnsi="Abo-thar"/>
          <w:sz w:val="28"/>
          <w:rtl/>
        </w:rPr>
        <w:t>«</w:t>
      </w:r>
      <w:r w:rsidRPr="003F3B94">
        <w:rPr>
          <w:rFonts w:ascii="Abo-thar" w:hAnsi="Abo-thar" w:hint="cs"/>
          <w:sz w:val="28"/>
          <w:rtl/>
        </w:rPr>
        <w:t>الغيبة</w:t>
      </w:r>
      <w:r w:rsidRPr="003F3B94">
        <w:rPr>
          <w:rFonts w:ascii="Abo-thar" w:hAnsi="Abo-thar"/>
          <w:sz w:val="28"/>
          <w:rtl/>
        </w:rPr>
        <w:t>»</w:t>
      </w:r>
      <w:r w:rsidR="00217AB4" w:rsidRPr="003F3B94">
        <w:rPr>
          <w:rFonts w:ascii="Abo-thar" w:hAnsi="Abo-thar" w:hint="cs"/>
          <w:sz w:val="28"/>
          <w:rtl/>
        </w:rPr>
        <w:t>،</w:t>
      </w:r>
      <w:r w:rsidR="00147857" w:rsidRPr="003F3B94">
        <w:rPr>
          <w:rFonts w:ascii="Abo-thar" w:hAnsi="Abo-thar" w:hint="cs"/>
          <w:sz w:val="28"/>
          <w:rtl/>
        </w:rPr>
        <w:t xml:space="preserve"> </w:t>
      </w:r>
      <w:r w:rsidRPr="003F3B94">
        <w:rPr>
          <w:rFonts w:ascii="Abo-thar" w:hAnsi="Abo-thar" w:hint="cs"/>
          <w:sz w:val="28"/>
          <w:rtl/>
        </w:rPr>
        <w:t xml:space="preserve">نقل الطوسيُّ </w:t>
      </w:r>
      <w:r w:rsidRPr="003F3B94">
        <w:rPr>
          <w:rFonts w:ascii="Abo-thar" w:hAnsi="Abo-thar"/>
          <w:sz w:val="28"/>
          <w:rtl/>
        </w:rPr>
        <w:t>توق</w:t>
      </w:r>
      <w:r w:rsidR="00D326AD" w:rsidRPr="003F3B94">
        <w:rPr>
          <w:rFonts w:ascii="Abo-thar" w:hAnsi="Abo-thar" w:hint="cs"/>
          <w:sz w:val="28"/>
          <w:rtl/>
        </w:rPr>
        <w:t>ي</w:t>
      </w:r>
      <w:r w:rsidRPr="003F3B94">
        <w:rPr>
          <w:rFonts w:ascii="Abo-thar" w:hAnsi="Abo-thar" w:hint="eastAsia"/>
          <w:sz w:val="28"/>
          <w:rtl/>
        </w:rPr>
        <w:t>ع</w:t>
      </w:r>
      <w:r w:rsidRPr="003F3B94">
        <w:rPr>
          <w:rFonts w:ascii="Abo-thar" w:hAnsi="Abo-thar" w:hint="cs"/>
          <w:sz w:val="28"/>
          <w:rtl/>
        </w:rPr>
        <w:t>اً</w:t>
      </w:r>
      <w:r w:rsidRPr="003F3B94">
        <w:rPr>
          <w:rFonts w:ascii="Abo-thar" w:hAnsi="Abo-thar"/>
          <w:sz w:val="28"/>
          <w:rtl/>
        </w:rPr>
        <w:t xml:space="preserve"> </w:t>
      </w:r>
      <w:r w:rsidRPr="003F3B94">
        <w:rPr>
          <w:rFonts w:ascii="Abo-thar" w:hAnsi="Abo-thar" w:hint="cs"/>
          <w:sz w:val="28"/>
          <w:rtl/>
        </w:rPr>
        <w:t xml:space="preserve">عن </w:t>
      </w:r>
      <w:r w:rsidRPr="003F3B94">
        <w:rPr>
          <w:rFonts w:ascii="Abo-thar" w:hAnsi="Abo-thar"/>
          <w:sz w:val="28"/>
          <w:rtl/>
        </w:rPr>
        <w:t>حضر</w:t>
      </w:r>
      <w:r w:rsidRPr="003F3B94">
        <w:rPr>
          <w:rFonts w:ascii="Abo-thar" w:hAnsi="Abo-thar" w:hint="cs"/>
          <w:sz w:val="28"/>
          <w:rtl/>
        </w:rPr>
        <w:t>ة</w:t>
      </w:r>
      <w:r w:rsidRPr="003F3B94">
        <w:rPr>
          <w:rFonts w:ascii="Abo-thar" w:hAnsi="Abo-thar"/>
          <w:sz w:val="28"/>
          <w:rtl/>
        </w:rPr>
        <w:t xml:space="preserve"> صاحب </w:t>
      </w:r>
      <w:r w:rsidRPr="003F3B94">
        <w:rPr>
          <w:rFonts w:ascii="Abo-thar" w:hAnsi="Abo-thar" w:hint="cs"/>
          <w:sz w:val="28"/>
          <w:rtl/>
        </w:rPr>
        <w:t>الأمر بشأن</w:t>
      </w:r>
      <w:r w:rsidRPr="003F3B94">
        <w:rPr>
          <w:rFonts w:ascii="Abo-thar" w:hAnsi="Abo-thar"/>
          <w:sz w:val="28"/>
          <w:rtl/>
        </w:rPr>
        <w:t xml:space="preserve"> </w:t>
      </w:r>
      <w:r w:rsidRPr="003F3B94">
        <w:rPr>
          <w:rFonts w:ascii="Abo-thar" w:hAnsi="Abo-thar" w:hint="cs"/>
          <w:sz w:val="28"/>
          <w:rtl/>
        </w:rPr>
        <w:t>«</w:t>
      </w:r>
      <w:r w:rsidRPr="003F3B94">
        <w:rPr>
          <w:rFonts w:ascii="Abo-thar" w:hAnsi="Abo-thar"/>
          <w:sz w:val="28"/>
          <w:rtl/>
        </w:rPr>
        <w:t>محمد</w:t>
      </w:r>
      <w:r w:rsidRPr="003F3B94">
        <w:rPr>
          <w:rFonts w:ascii="Abo-thar" w:hAnsi="Abo-thar" w:hint="cs"/>
          <w:sz w:val="28"/>
          <w:rtl/>
        </w:rPr>
        <w:t xml:space="preserve"> </w:t>
      </w:r>
      <w:r w:rsidRPr="003F3B94">
        <w:rPr>
          <w:rFonts w:ascii="Abo-thar" w:hAnsi="Abo-thar"/>
          <w:sz w:val="28"/>
          <w:rtl/>
        </w:rPr>
        <w:t>بن عل</w:t>
      </w:r>
      <w:r w:rsidR="00D326AD" w:rsidRPr="003F3B94">
        <w:rPr>
          <w:rFonts w:ascii="Abo-thar" w:hAnsi="Abo-thar" w:hint="cs"/>
          <w:sz w:val="28"/>
          <w:rtl/>
        </w:rPr>
        <w:t>ي</w:t>
      </w:r>
      <w:r w:rsidRPr="003F3B94">
        <w:rPr>
          <w:rFonts w:cs="Times New Roman" w:hint="cs"/>
          <w:sz w:val="28"/>
          <w:rtl/>
        </w:rPr>
        <w:t>‌</w:t>
      </w:r>
      <w:r w:rsidRPr="003F3B94">
        <w:rPr>
          <w:rFonts w:ascii="Abo-thar" w:hAnsi="Abo-thar" w:hint="eastAsia"/>
          <w:sz w:val="28"/>
          <w:rtl/>
        </w:rPr>
        <w:t>الشلم</w:t>
      </w:r>
      <w:r w:rsidRPr="003F3B94">
        <w:rPr>
          <w:rFonts w:ascii="Abo-thar" w:hAnsi="Abo-thar" w:hint="cs"/>
          <w:sz w:val="28"/>
          <w:rtl/>
        </w:rPr>
        <w:t>غ</w:t>
      </w:r>
      <w:r w:rsidRPr="003F3B94">
        <w:rPr>
          <w:rFonts w:ascii="Abo-thar" w:hAnsi="Abo-thar" w:hint="eastAsia"/>
          <w:sz w:val="28"/>
          <w:rtl/>
        </w:rPr>
        <w:t>ان</w:t>
      </w:r>
      <w:r w:rsidRPr="003F3B94">
        <w:rPr>
          <w:rFonts w:ascii="Abo-thar" w:hAnsi="Abo-thar" w:hint="cs"/>
          <w:sz w:val="28"/>
          <w:rtl/>
        </w:rPr>
        <w:t>يّ» جاء فيه</w:t>
      </w:r>
      <w:r w:rsidR="00217AB4" w:rsidRPr="003F3B94">
        <w:rPr>
          <w:rFonts w:ascii="Abo-thar" w:hAnsi="Abo-thar" w:hint="cs"/>
          <w:sz w:val="28"/>
          <w:rtl/>
        </w:rPr>
        <w:t>:</w:t>
      </w:r>
      <w:r w:rsidR="00255A16">
        <w:rPr>
          <w:rFonts w:hint="cs"/>
          <w:rtl/>
        </w:rPr>
        <w:t xml:space="preserve"> </w:t>
      </w:r>
      <w:r w:rsidR="00EF2588" w:rsidRPr="003F3B94">
        <w:rPr>
          <w:rFonts w:ascii="Abo-thar" w:hAnsi="Abo-thar" w:hint="cs"/>
          <w:sz w:val="28"/>
          <w:rtl/>
        </w:rPr>
        <w:t>«</w:t>
      </w:r>
      <w:r w:rsidRPr="003F3B94">
        <w:rPr>
          <w:rFonts w:ascii="Abo-thar" w:hAnsi="Abo-thar" w:hint="cs"/>
          <w:bCs/>
          <w:sz w:val="28"/>
          <w:rtl/>
        </w:rPr>
        <w:t>أ</w:t>
      </w:r>
      <w:r w:rsidRPr="003F3B94">
        <w:rPr>
          <w:rFonts w:ascii="Abo-thar" w:hAnsi="Abo-thar"/>
          <w:bCs/>
          <w:sz w:val="28"/>
          <w:rtl/>
        </w:rPr>
        <w:t>حمد</w:t>
      </w:r>
      <w:r w:rsidRPr="003F3B94">
        <w:rPr>
          <w:rFonts w:ascii="Abo-thar" w:hAnsi="Abo-thar" w:hint="cs"/>
          <w:bCs/>
          <w:sz w:val="28"/>
          <w:rtl/>
        </w:rPr>
        <w:t xml:space="preserve"> </w:t>
      </w:r>
      <w:r w:rsidRPr="003F3B94">
        <w:rPr>
          <w:rFonts w:ascii="Abo-thar" w:hAnsi="Abo-thar"/>
          <w:bCs/>
          <w:sz w:val="28"/>
          <w:rtl/>
        </w:rPr>
        <w:t>بن هلال وغ</w:t>
      </w:r>
      <w:r w:rsidR="00D326AD" w:rsidRPr="003F3B94">
        <w:rPr>
          <w:rFonts w:ascii="Abo-thar" w:hAnsi="Abo-thar" w:hint="cs"/>
          <w:bCs/>
          <w:sz w:val="28"/>
          <w:rtl/>
        </w:rPr>
        <w:t>ي</w:t>
      </w:r>
      <w:r w:rsidRPr="003F3B94">
        <w:rPr>
          <w:rFonts w:ascii="Abo-thar" w:hAnsi="Abo-thar" w:hint="eastAsia"/>
          <w:bCs/>
          <w:sz w:val="28"/>
          <w:rtl/>
        </w:rPr>
        <w:t>ره</w:t>
      </w:r>
      <w:r w:rsidRPr="003F3B94">
        <w:rPr>
          <w:rFonts w:ascii="Abo-thar" w:hAnsi="Abo-thar"/>
          <w:bCs/>
          <w:sz w:val="28"/>
          <w:rtl/>
        </w:rPr>
        <w:t xml:space="preserve"> من نظر</w:t>
      </w:r>
      <w:r w:rsidRPr="003F3B94">
        <w:rPr>
          <w:rFonts w:ascii="Abo-thar" w:hAnsi="Abo-thar" w:hint="cs"/>
          <w:bCs/>
          <w:sz w:val="28"/>
          <w:rtl/>
        </w:rPr>
        <w:t>ا</w:t>
      </w:r>
      <w:r w:rsidRPr="003F3B94">
        <w:rPr>
          <w:rFonts w:ascii="Abo-thar" w:hAnsi="Abo-thar"/>
          <w:bCs/>
          <w:sz w:val="28"/>
          <w:rtl/>
        </w:rPr>
        <w:t>ئه</w:t>
      </w:r>
      <w:r w:rsidR="00217AB4" w:rsidRPr="003F3B94">
        <w:rPr>
          <w:rFonts w:ascii="Abo-thar" w:hAnsi="Abo-thar" w:hint="cs"/>
          <w:bCs/>
          <w:sz w:val="28"/>
          <w:rtl/>
        </w:rPr>
        <w:t>،</w:t>
      </w:r>
      <w:r w:rsidRPr="003F3B94">
        <w:rPr>
          <w:rFonts w:ascii="Abo-thar" w:hAnsi="Abo-thar"/>
          <w:bCs/>
          <w:sz w:val="28"/>
          <w:rtl/>
        </w:rPr>
        <w:t xml:space="preserve"> و</w:t>
      </w:r>
      <w:r w:rsidR="00D326AD" w:rsidRPr="003F3B94">
        <w:rPr>
          <w:rFonts w:ascii="Abo-thar" w:hAnsi="Abo-thar"/>
          <w:bCs/>
          <w:sz w:val="28"/>
          <w:rtl/>
        </w:rPr>
        <w:t>ك</w:t>
      </w:r>
      <w:r w:rsidRPr="003F3B94">
        <w:rPr>
          <w:rFonts w:ascii="Abo-thar" w:hAnsi="Abo-thar"/>
          <w:bCs/>
          <w:sz w:val="28"/>
          <w:rtl/>
        </w:rPr>
        <w:t>ان من ارتدادهم عن</w:t>
      </w:r>
      <w:r w:rsidRPr="003F3B94">
        <w:rPr>
          <w:rFonts w:cs="Times New Roman" w:hint="cs"/>
          <w:bCs/>
          <w:sz w:val="28"/>
          <w:rtl/>
        </w:rPr>
        <w:t>‌</w:t>
      </w:r>
      <w:r w:rsidRPr="003F3B94">
        <w:rPr>
          <w:rFonts w:ascii="Abo-thar" w:hAnsi="Abo-thar" w:hint="cs"/>
          <w:bCs/>
          <w:sz w:val="28"/>
          <w:rtl/>
        </w:rPr>
        <w:t xml:space="preserve"> </w:t>
      </w:r>
      <w:r w:rsidRPr="003F3B94">
        <w:rPr>
          <w:rFonts w:ascii="mylotus" w:hAnsi="mylotus" w:hint="cs"/>
          <w:bCs/>
          <w:sz w:val="28"/>
          <w:rtl/>
        </w:rPr>
        <w:t>الإسلام</w:t>
      </w:r>
      <w:r w:rsidRPr="003F3B94">
        <w:rPr>
          <w:rFonts w:ascii="Abo-thar" w:hAnsi="Abo-thar"/>
          <w:bCs/>
          <w:sz w:val="28"/>
          <w:rtl/>
        </w:rPr>
        <w:t xml:space="preserve"> مثل ما </w:t>
      </w:r>
      <w:r w:rsidR="00D326AD" w:rsidRPr="003F3B94">
        <w:rPr>
          <w:rFonts w:ascii="Abo-thar" w:hAnsi="Abo-thar"/>
          <w:bCs/>
          <w:sz w:val="28"/>
          <w:rtl/>
        </w:rPr>
        <w:t>ك</w:t>
      </w:r>
      <w:r w:rsidRPr="003F3B94">
        <w:rPr>
          <w:rFonts w:ascii="Abo-thar" w:hAnsi="Abo-thar"/>
          <w:bCs/>
          <w:sz w:val="28"/>
          <w:rtl/>
        </w:rPr>
        <w:t>ان من هذا عل</w:t>
      </w:r>
      <w:r w:rsidR="00D326AD" w:rsidRPr="003F3B94">
        <w:rPr>
          <w:rFonts w:ascii="Abo-thar" w:hAnsi="Abo-thar" w:hint="cs"/>
          <w:bCs/>
          <w:sz w:val="28"/>
          <w:rtl/>
        </w:rPr>
        <w:t>ي</w:t>
      </w:r>
      <w:r w:rsidRPr="003F3B94">
        <w:rPr>
          <w:rFonts w:ascii="Abo-thar" w:hAnsi="Abo-thar" w:hint="eastAsia"/>
          <w:bCs/>
          <w:sz w:val="28"/>
          <w:rtl/>
        </w:rPr>
        <w:t>هم</w:t>
      </w:r>
      <w:r w:rsidRPr="003F3B94">
        <w:rPr>
          <w:rFonts w:ascii="Abo-thar" w:hAnsi="Abo-thar"/>
          <w:bCs/>
          <w:sz w:val="28"/>
          <w:rtl/>
        </w:rPr>
        <w:t xml:space="preserve"> لعن</w:t>
      </w:r>
      <w:r w:rsidRPr="003F3B94">
        <w:rPr>
          <w:rFonts w:ascii="Abo-thar" w:hAnsi="Abo-thar" w:hint="cs"/>
          <w:bCs/>
          <w:sz w:val="28"/>
          <w:rtl/>
        </w:rPr>
        <w:t>ة</w:t>
      </w:r>
      <w:r w:rsidRPr="003F3B94">
        <w:rPr>
          <w:rFonts w:cs="Times New Roman" w:hint="cs"/>
          <w:bCs/>
          <w:sz w:val="28"/>
          <w:rtl/>
        </w:rPr>
        <w:t>‌</w:t>
      </w:r>
      <w:r w:rsidRPr="003F3B94">
        <w:rPr>
          <w:rFonts w:ascii="Abo-thar" w:hAnsi="Abo-thar" w:hint="cs"/>
          <w:bCs/>
          <w:sz w:val="28"/>
          <w:rtl/>
        </w:rPr>
        <w:t xml:space="preserve"> </w:t>
      </w:r>
      <w:r w:rsidRPr="003F3B94">
        <w:rPr>
          <w:rFonts w:ascii="mylotus" w:hAnsi="mylotus" w:hint="cs"/>
          <w:bCs/>
          <w:sz w:val="28"/>
          <w:rtl/>
        </w:rPr>
        <w:t>الله</w:t>
      </w:r>
      <w:r w:rsidRPr="003F3B94">
        <w:rPr>
          <w:rFonts w:ascii="Abo-thar" w:hAnsi="Abo-thar" w:hint="cs"/>
          <w:bCs/>
          <w:sz w:val="28"/>
          <w:rtl/>
        </w:rPr>
        <w:t xml:space="preserve"> </w:t>
      </w:r>
      <w:r w:rsidRPr="003F3B94">
        <w:rPr>
          <w:rFonts w:ascii="mylotus" w:hAnsi="mylotus" w:hint="cs"/>
          <w:bCs/>
          <w:sz w:val="28"/>
          <w:rtl/>
        </w:rPr>
        <w:t>وغضبه</w:t>
      </w:r>
      <w:r w:rsidR="00F456DF" w:rsidRPr="003F3B94">
        <w:rPr>
          <w:rFonts w:ascii="Abo-thar" w:hAnsi="Abo-thar" w:hint="cs"/>
          <w:sz w:val="28"/>
          <w:rtl/>
        </w:rPr>
        <w:t>»</w:t>
      </w:r>
      <w:r w:rsidR="0041266B" w:rsidRPr="0021507A">
        <w:rPr>
          <w:rFonts w:ascii="Abo-thar" w:hAnsi="Abo-thar" w:cs="Arabic11 BT"/>
          <w:sz w:val="28"/>
          <w:vertAlign w:val="superscript"/>
          <w:rtl/>
        </w:rPr>
        <w:t>(</w:t>
      </w:r>
      <w:r w:rsidR="0041266B" w:rsidRPr="0021507A">
        <w:rPr>
          <w:rStyle w:val="FootnoteReference"/>
          <w:rFonts w:ascii="Abo-thar" w:hAnsi="Abo-thar" w:cs="Arabic11 BT"/>
          <w:sz w:val="28"/>
          <w:rtl/>
        </w:rPr>
        <w:footnoteReference w:id="297"/>
      </w:r>
      <w:r w:rsidR="0041266B" w:rsidRPr="0021507A">
        <w:rPr>
          <w:rFonts w:ascii="Abo-thar" w:hAnsi="Abo-thar" w:cs="Arabic11 BT"/>
          <w:sz w:val="28"/>
          <w:vertAlign w:val="superscript"/>
          <w:rtl/>
        </w:rPr>
        <w:t>)</w:t>
      </w:r>
      <w:r w:rsidR="00217AB4" w:rsidRPr="003F3B94">
        <w:rPr>
          <w:rFonts w:ascii="Abo-thar" w:hAnsi="Abo-thar" w:hint="cs"/>
          <w:sz w:val="28"/>
          <w:rtl/>
        </w:rPr>
        <w:t>.</w:t>
      </w:r>
    </w:p>
    <w:p w:rsidR="005C664D" w:rsidRPr="003F3B94" w:rsidRDefault="005C664D" w:rsidP="003F3B94">
      <w:pPr>
        <w:pStyle w:val="a0"/>
        <w:rPr>
          <w:rFonts w:hint="cs"/>
          <w:rtl/>
        </w:rPr>
      </w:pPr>
      <w:r w:rsidRPr="003F3B94">
        <w:rPr>
          <w:rFonts w:ascii="Abo-thar" w:hAnsi="Abo-thar"/>
          <w:sz w:val="28"/>
          <w:rtl/>
        </w:rPr>
        <w:t>2</w:t>
      </w:r>
      <w:r w:rsidR="00217AB4" w:rsidRPr="003F3B94">
        <w:rPr>
          <w:rFonts w:ascii="Abo-thar" w:hAnsi="Abo-thar"/>
          <w:sz w:val="28"/>
          <w:rtl/>
        </w:rPr>
        <w:t>-</w:t>
      </w:r>
      <w:r w:rsidR="00147857" w:rsidRPr="003F3B94">
        <w:rPr>
          <w:rFonts w:ascii="Abo-thar" w:hAnsi="Abo-thar"/>
          <w:sz w:val="28"/>
          <w:rtl/>
        </w:rPr>
        <w:t xml:space="preserve"> </w:t>
      </w:r>
      <w:r w:rsidRPr="003F3B94">
        <w:rPr>
          <w:rFonts w:ascii="Abo-thar" w:hAnsi="Abo-thar" w:hint="cs"/>
          <w:sz w:val="28"/>
          <w:rtl/>
        </w:rPr>
        <w:t>وفي</w:t>
      </w:r>
      <w:r w:rsidRPr="003F3B94">
        <w:rPr>
          <w:rFonts w:ascii="Abo-thar" w:hAnsi="Abo-thar"/>
          <w:sz w:val="28"/>
          <w:rtl/>
        </w:rPr>
        <w:t xml:space="preserve"> «رجال </w:t>
      </w:r>
      <w:r w:rsidRPr="003F3B94">
        <w:rPr>
          <w:rFonts w:ascii="Abo-thar" w:hAnsi="Abo-thar" w:hint="cs"/>
          <w:sz w:val="28"/>
          <w:rtl/>
        </w:rPr>
        <w:t>ال</w:t>
      </w:r>
      <w:r w:rsidR="00D326AD" w:rsidRPr="003F3B94">
        <w:rPr>
          <w:rFonts w:ascii="Abo-thar" w:hAnsi="Abo-thar"/>
          <w:sz w:val="28"/>
          <w:rtl/>
        </w:rPr>
        <w:t>ك</w:t>
      </w:r>
      <w:r w:rsidRPr="003F3B94">
        <w:rPr>
          <w:rFonts w:ascii="Abo-thar" w:hAnsi="Abo-thar"/>
          <w:sz w:val="28"/>
          <w:rtl/>
        </w:rPr>
        <w:t>ش</w:t>
      </w:r>
      <w:r w:rsidR="00D326AD" w:rsidRPr="003F3B94">
        <w:rPr>
          <w:rFonts w:ascii="Abo-thar" w:hAnsi="Abo-thar" w:hint="cs"/>
          <w:sz w:val="28"/>
          <w:rtl/>
        </w:rPr>
        <w:t>ي</w:t>
      </w:r>
      <w:r w:rsidRPr="003F3B94">
        <w:rPr>
          <w:rFonts w:ascii="Abo-thar" w:hAnsi="Abo-thar"/>
          <w:sz w:val="28"/>
          <w:rtl/>
        </w:rPr>
        <w:t>»</w:t>
      </w:r>
      <w:r w:rsidRPr="003F3B94">
        <w:rPr>
          <w:rFonts w:ascii="Abo-thar" w:hAnsi="Abo-thar" w:hint="cs"/>
          <w:sz w:val="28"/>
          <w:rtl/>
        </w:rPr>
        <w:t xml:space="preserve"> وفي الرجال الكبير </w:t>
      </w:r>
      <w:r w:rsidR="00217AB4" w:rsidRPr="003F3B94">
        <w:rPr>
          <w:rFonts w:ascii="Abo-thar" w:hAnsi="Abo-thar" w:hint="cs"/>
          <w:sz w:val="28"/>
          <w:rtl/>
        </w:rPr>
        <w:t>(</w:t>
      </w:r>
      <w:r w:rsidRPr="003F3B94">
        <w:rPr>
          <w:rFonts w:ascii="Abo-thar" w:hAnsi="Abo-thar" w:hint="cs"/>
          <w:sz w:val="28"/>
          <w:rtl/>
        </w:rPr>
        <w:t>منهج المقال</w:t>
      </w:r>
      <w:r w:rsidR="00F57F65" w:rsidRPr="003F3B94">
        <w:rPr>
          <w:rFonts w:ascii="Abo-thar" w:hAnsi="Abo-thar" w:hint="cs"/>
          <w:sz w:val="28"/>
          <w:rtl/>
        </w:rPr>
        <w:t>)</w:t>
      </w:r>
      <w:r w:rsidRPr="003F3B94">
        <w:rPr>
          <w:rFonts w:ascii="Abo-thar" w:hAnsi="Abo-thar" w:hint="cs"/>
          <w:sz w:val="28"/>
          <w:rtl/>
        </w:rPr>
        <w:t xml:space="preserve"> ذكرت مطاعن مفصلة بشأن </w:t>
      </w:r>
      <w:r w:rsidRPr="003F3B94">
        <w:rPr>
          <w:rFonts w:ascii="Abo-thar" w:hAnsi="Abo-thar"/>
          <w:sz w:val="28"/>
          <w:rtl/>
        </w:rPr>
        <w:t>«</w:t>
      </w:r>
      <w:r w:rsidRPr="003F3B94">
        <w:rPr>
          <w:rFonts w:ascii="Abo-thar" w:hAnsi="Abo-thar" w:hint="cs"/>
          <w:sz w:val="28"/>
          <w:rtl/>
        </w:rPr>
        <w:t>أحمد بن هلال</w:t>
      </w:r>
      <w:r w:rsidRPr="003F3B94">
        <w:rPr>
          <w:rFonts w:ascii="Abo-thar" w:hAnsi="Abo-thar"/>
          <w:sz w:val="28"/>
          <w:rtl/>
        </w:rPr>
        <w:t>»</w:t>
      </w:r>
      <w:r w:rsidRPr="003F3B94">
        <w:rPr>
          <w:rFonts w:ascii="Abo-thar" w:hAnsi="Abo-thar" w:hint="cs"/>
          <w:sz w:val="28"/>
          <w:rtl/>
        </w:rPr>
        <w:t xml:space="preserve"> فيما يلي نص بعضها</w:t>
      </w:r>
      <w:r w:rsidR="00217AB4" w:rsidRPr="003F3B94">
        <w:rPr>
          <w:rFonts w:ascii="Abo-thar" w:hAnsi="Abo-thar" w:hint="cs"/>
          <w:sz w:val="28"/>
          <w:rtl/>
        </w:rPr>
        <w:t>:</w:t>
      </w:r>
    </w:p>
    <w:p w:rsidR="005C664D" w:rsidRPr="003F3B94" w:rsidRDefault="00EF2588" w:rsidP="00255A16">
      <w:pPr>
        <w:pStyle w:val="a0"/>
        <w:rPr>
          <w:rFonts w:hint="cs"/>
          <w:rtl/>
        </w:rPr>
      </w:pPr>
      <w:r w:rsidRPr="003F3B94">
        <w:rPr>
          <w:rFonts w:ascii="Abo-thar" w:hAnsi="Abo-thar" w:hint="cs"/>
          <w:sz w:val="28"/>
          <w:rtl/>
        </w:rPr>
        <w:t>«</w:t>
      </w:r>
      <w:r w:rsidR="00217AB4" w:rsidRPr="003F3B94">
        <w:rPr>
          <w:rFonts w:ascii="Abo-thar" w:hAnsi="Abo-thar"/>
          <w:sz w:val="28"/>
          <w:rtl/>
        </w:rPr>
        <w:t>(</w:t>
      </w:r>
      <w:r w:rsidR="005C664D" w:rsidRPr="003F3B94">
        <w:rPr>
          <w:rFonts w:ascii="Abo-thar" w:hAnsi="Abo-thar"/>
          <w:bCs/>
          <w:sz w:val="28"/>
          <w:rtl/>
        </w:rPr>
        <w:t>ورد على القاسم بن العلا نسخة ما خرج من لعن ابن هلال</w:t>
      </w:r>
      <w:r w:rsidR="00217AB4" w:rsidRPr="003F3B94">
        <w:rPr>
          <w:rFonts w:ascii="Abo-thar" w:hAnsi="Abo-thar"/>
          <w:bCs/>
          <w:sz w:val="28"/>
          <w:rtl/>
        </w:rPr>
        <w:t>،</w:t>
      </w:r>
      <w:r w:rsidR="005C664D" w:rsidRPr="003F3B94">
        <w:rPr>
          <w:rFonts w:ascii="Abo-thar" w:hAnsi="Abo-thar"/>
          <w:bCs/>
          <w:sz w:val="28"/>
          <w:rtl/>
        </w:rPr>
        <w:t xml:space="preserve"> وكان ابتداء ذلك</w:t>
      </w:r>
      <w:r w:rsidR="00217AB4" w:rsidRPr="003F3B94">
        <w:rPr>
          <w:rFonts w:ascii="Abo-thar" w:hAnsi="Abo-thar"/>
          <w:bCs/>
          <w:sz w:val="28"/>
          <w:rtl/>
        </w:rPr>
        <w:t>،</w:t>
      </w:r>
      <w:r w:rsidR="005C664D" w:rsidRPr="003F3B94">
        <w:rPr>
          <w:rFonts w:ascii="Abo-thar" w:hAnsi="Abo-thar"/>
          <w:bCs/>
          <w:sz w:val="28"/>
          <w:rtl/>
        </w:rPr>
        <w:t xml:space="preserve"> أن كتب</w:t>
      </w:r>
      <w:r w:rsidR="00BC4BA9" w:rsidRPr="00BC4BA9">
        <w:rPr>
          <w:rFonts w:ascii="Abo-thar" w:hAnsi="Abo-thar" w:cs="CTraditional Arabic"/>
          <w:sz w:val="28"/>
          <w:rtl/>
        </w:rPr>
        <w:t>÷</w:t>
      </w:r>
      <w:r w:rsidR="005C664D" w:rsidRPr="003F3B94">
        <w:rPr>
          <w:rFonts w:ascii="Abo-thar" w:hAnsi="Abo-thar"/>
          <w:bCs/>
          <w:sz w:val="28"/>
          <w:rtl/>
        </w:rPr>
        <w:t xml:space="preserve"> إلى قوامه بالعراق احذروا الصوفي المتصن</w:t>
      </w:r>
      <w:r w:rsidR="005C664D" w:rsidRPr="003F3B94">
        <w:rPr>
          <w:rFonts w:ascii="Abo-thar" w:hAnsi="Abo-thar" w:hint="cs"/>
          <w:bCs/>
          <w:sz w:val="28"/>
          <w:rtl/>
        </w:rPr>
        <w:t>ِّ</w:t>
      </w:r>
      <w:r w:rsidR="005C664D" w:rsidRPr="003F3B94">
        <w:rPr>
          <w:rFonts w:ascii="Abo-thar" w:hAnsi="Abo-thar"/>
          <w:bCs/>
          <w:sz w:val="28"/>
          <w:rtl/>
        </w:rPr>
        <w:t>ع</w:t>
      </w:r>
      <w:r w:rsidR="00217AB4" w:rsidRPr="003F3B94">
        <w:rPr>
          <w:rFonts w:ascii="Abo-thar" w:hAnsi="Abo-thar" w:hint="cs"/>
          <w:bCs/>
          <w:sz w:val="28"/>
          <w:rtl/>
        </w:rPr>
        <w:t>!</w:t>
      </w:r>
      <w:r w:rsidR="005C664D" w:rsidRPr="003F3B94">
        <w:rPr>
          <w:rFonts w:ascii="Abo-thar" w:hAnsi="Abo-thar"/>
          <w:bCs/>
          <w:sz w:val="28"/>
          <w:rtl/>
        </w:rPr>
        <w:t xml:space="preserve"> قال</w:t>
      </w:r>
      <w:r w:rsidR="00217AB4" w:rsidRPr="003F3B94">
        <w:rPr>
          <w:rFonts w:ascii="Abo-thar" w:hAnsi="Abo-thar" w:hint="cs"/>
          <w:bCs/>
          <w:sz w:val="28"/>
          <w:rtl/>
        </w:rPr>
        <w:t>:</w:t>
      </w:r>
      <w:r w:rsidR="005C664D" w:rsidRPr="003F3B94">
        <w:rPr>
          <w:rFonts w:ascii="Abo-thar" w:hAnsi="Abo-thar"/>
          <w:bCs/>
          <w:sz w:val="28"/>
          <w:rtl/>
        </w:rPr>
        <w:t xml:space="preserve"> وكان من شأن أحمد بن هلال أنه قد كان حج أربعا</w:t>
      </w:r>
      <w:r w:rsidR="005C664D" w:rsidRPr="003F3B94">
        <w:rPr>
          <w:rFonts w:ascii="Abo-thar" w:hAnsi="Abo-thar" w:hint="cs"/>
          <w:bCs/>
          <w:sz w:val="28"/>
          <w:rtl/>
        </w:rPr>
        <w:t>ً</w:t>
      </w:r>
      <w:r w:rsidR="005C664D" w:rsidRPr="003F3B94">
        <w:rPr>
          <w:rFonts w:ascii="Abo-thar" w:hAnsi="Abo-thar"/>
          <w:bCs/>
          <w:sz w:val="28"/>
          <w:rtl/>
        </w:rPr>
        <w:t xml:space="preserve"> وخمسين حجة</w:t>
      </w:r>
      <w:r w:rsidR="00217AB4" w:rsidRPr="003F3B94">
        <w:rPr>
          <w:rFonts w:ascii="Abo-thar" w:hAnsi="Abo-thar"/>
          <w:bCs/>
          <w:sz w:val="28"/>
          <w:rtl/>
        </w:rPr>
        <w:t>،</w:t>
      </w:r>
      <w:r w:rsidR="005C664D" w:rsidRPr="003F3B94">
        <w:rPr>
          <w:rFonts w:ascii="Abo-thar" w:hAnsi="Abo-thar"/>
          <w:bCs/>
          <w:sz w:val="28"/>
          <w:rtl/>
        </w:rPr>
        <w:t xml:space="preserve"> عشرون منها على قدميه</w:t>
      </w:r>
      <w:r w:rsidR="00217AB4" w:rsidRPr="003F3B94">
        <w:rPr>
          <w:rFonts w:ascii="Abo-thar" w:hAnsi="Abo-thar"/>
          <w:bCs/>
          <w:sz w:val="28"/>
          <w:rtl/>
        </w:rPr>
        <w:t>،</w:t>
      </w:r>
      <w:r w:rsidR="005C664D" w:rsidRPr="003F3B94">
        <w:rPr>
          <w:rFonts w:ascii="Abo-thar" w:hAnsi="Abo-thar"/>
          <w:bCs/>
          <w:sz w:val="28"/>
          <w:rtl/>
        </w:rPr>
        <w:t xml:space="preserve"> قال</w:t>
      </w:r>
      <w:r w:rsidR="00217AB4" w:rsidRPr="003F3B94">
        <w:rPr>
          <w:rFonts w:ascii="Abo-thar" w:hAnsi="Abo-thar" w:hint="cs"/>
          <w:bCs/>
          <w:sz w:val="28"/>
          <w:rtl/>
        </w:rPr>
        <w:t>:</w:t>
      </w:r>
      <w:r w:rsidR="005C664D" w:rsidRPr="003F3B94">
        <w:rPr>
          <w:rFonts w:ascii="Abo-thar" w:hAnsi="Abo-thar"/>
          <w:bCs/>
          <w:sz w:val="28"/>
          <w:rtl/>
        </w:rPr>
        <w:t xml:space="preserve"> وكان روا</w:t>
      </w:r>
      <w:r w:rsidR="005C664D" w:rsidRPr="003F3B94">
        <w:rPr>
          <w:rFonts w:ascii="Abo-thar" w:hAnsi="Abo-thar" w:hint="cs"/>
          <w:bCs/>
          <w:sz w:val="28"/>
          <w:rtl/>
        </w:rPr>
        <w:t>ة</w:t>
      </w:r>
      <w:r w:rsidR="005C664D" w:rsidRPr="003F3B94">
        <w:rPr>
          <w:rFonts w:ascii="Abo-thar" w:hAnsi="Abo-thar"/>
          <w:bCs/>
          <w:sz w:val="28"/>
          <w:rtl/>
        </w:rPr>
        <w:t xml:space="preserve"> أصحابنا بالعراق لقوه وكتبوا منه</w:t>
      </w:r>
      <w:r w:rsidR="00217AB4" w:rsidRPr="003F3B94">
        <w:rPr>
          <w:rFonts w:ascii="Abo-thar" w:hAnsi="Abo-thar"/>
          <w:bCs/>
          <w:sz w:val="28"/>
          <w:rtl/>
        </w:rPr>
        <w:t>،</w:t>
      </w:r>
      <w:r w:rsidR="005C664D" w:rsidRPr="003F3B94">
        <w:rPr>
          <w:rFonts w:ascii="Abo-thar" w:hAnsi="Abo-thar"/>
          <w:bCs/>
          <w:sz w:val="28"/>
          <w:rtl/>
        </w:rPr>
        <w:t xml:space="preserve"> وأنكروا ما ورد في مذمته</w:t>
      </w:r>
      <w:r w:rsidR="00217AB4" w:rsidRPr="003F3B94">
        <w:rPr>
          <w:rFonts w:ascii="Abo-thar" w:hAnsi="Abo-thar"/>
          <w:bCs/>
          <w:sz w:val="28"/>
          <w:rtl/>
        </w:rPr>
        <w:t>،</w:t>
      </w:r>
      <w:r w:rsidR="005C664D" w:rsidRPr="003F3B94">
        <w:rPr>
          <w:rFonts w:ascii="Abo-thar" w:hAnsi="Abo-thar"/>
          <w:bCs/>
          <w:sz w:val="28"/>
          <w:rtl/>
        </w:rPr>
        <w:t xml:space="preserve"> فحملوا القاسم بن العلا على أن يراجع في أمره فخرج إليه</w:t>
      </w:r>
      <w:r w:rsidR="00217AB4" w:rsidRPr="003F3B94">
        <w:rPr>
          <w:rFonts w:ascii="Abo-thar" w:hAnsi="Abo-thar" w:hint="cs"/>
          <w:bCs/>
          <w:sz w:val="28"/>
          <w:rtl/>
        </w:rPr>
        <w:t>:</w:t>
      </w:r>
      <w:r w:rsidR="005C664D" w:rsidRPr="003F3B94">
        <w:rPr>
          <w:rFonts w:ascii="Abo-thar" w:hAnsi="Abo-thar"/>
          <w:bCs/>
          <w:sz w:val="28"/>
          <w:rtl/>
        </w:rPr>
        <w:t xml:space="preserve"> قد كان أمرنا نفذ إليك في المتصن</w:t>
      </w:r>
      <w:r w:rsidR="005C664D" w:rsidRPr="003F3B94">
        <w:rPr>
          <w:rFonts w:ascii="Abo-thar" w:hAnsi="Abo-thar" w:hint="cs"/>
          <w:bCs/>
          <w:sz w:val="28"/>
          <w:rtl/>
        </w:rPr>
        <w:t>ِّ</w:t>
      </w:r>
      <w:r w:rsidR="005C664D" w:rsidRPr="003F3B94">
        <w:rPr>
          <w:rFonts w:ascii="Abo-thar" w:hAnsi="Abo-thar"/>
          <w:bCs/>
          <w:sz w:val="28"/>
          <w:rtl/>
        </w:rPr>
        <w:t>ع ابن هلال لا رحمه الله</w:t>
      </w:r>
      <w:r w:rsidR="00217AB4" w:rsidRPr="003F3B94">
        <w:rPr>
          <w:rFonts w:ascii="Abo-thar" w:hAnsi="Abo-thar"/>
          <w:bCs/>
          <w:sz w:val="28"/>
          <w:rtl/>
        </w:rPr>
        <w:t>،</w:t>
      </w:r>
      <w:r w:rsidR="005C664D" w:rsidRPr="003F3B94">
        <w:rPr>
          <w:rFonts w:ascii="Abo-thar" w:hAnsi="Abo-thar"/>
          <w:bCs/>
          <w:sz w:val="28"/>
          <w:rtl/>
        </w:rPr>
        <w:t xml:space="preserve"> بما قد علمت لم يزل لا غفر الله له ذنبه ولا أقاله عثرته يداخل في أمرنا بلا إذن منا ولا رض</w:t>
      </w:r>
      <w:r w:rsidR="005C664D" w:rsidRPr="003F3B94">
        <w:rPr>
          <w:rFonts w:ascii="Abo-thar" w:hAnsi="Abo-thar" w:hint="cs"/>
          <w:bCs/>
          <w:sz w:val="28"/>
          <w:rtl/>
        </w:rPr>
        <w:t>اً</w:t>
      </w:r>
      <w:r w:rsidR="00217AB4" w:rsidRPr="003F3B94">
        <w:rPr>
          <w:rFonts w:ascii="Abo-thar" w:hAnsi="Abo-thar"/>
          <w:bCs/>
          <w:sz w:val="28"/>
          <w:rtl/>
        </w:rPr>
        <w:t>،</w:t>
      </w:r>
      <w:r w:rsidR="005C664D" w:rsidRPr="003F3B94">
        <w:rPr>
          <w:rFonts w:ascii="Abo-thar" w:hAnsi="Abo-thar"/>
          <w:bCs/>
          <w:sz w:val="28"/>
          <w:rtl/>
        </w:rPr>
        <w:t xml:space="preserve"> يستبد برأيه</w:t>
      </w:r>
      <w:r w:rsidR="00217AB4" w:rsidRPr="003F3B94">
        <w:rPr>
          <w:rFonts w:ascii="Abo-thar" w:hAnsi="Abo-thar"/>
          <w:bCs/>
          <w:sz w:val="28"/>
          <w:rtl/>
        </w:rPr>
        <w:t>،</w:t>
      </w:r>
      <w:r w:rsidR="005C664D" w:rsidRPr="003F3B94">
        <w:rPr>
          <w:rFonts w:ascii="Abo-thar" w:hAnsi="Abo-thar"/>
          <w:bCs/>
          <w:sz w:val="28"/>
          <w:rtl/>
        </w:rPr>
        <w:t xml:space="preserve"> فيتحامى من ديوننا</w:t>
      </w:r>
      <w:r w:rsidR="00217AB4" w:rsidRPr="003F3B94">
        <w:rPr>
          <w:rFonts w:ascii="Abo-thar" w:hAnsi="Abo-thar"/>
          <w:bCs/>
          <w:sz w:val="28"/>
          <w:rtl/>
        </w:rPr>
        <w:t>،</w:t>
      </w:r>
      <w:r w:rsidR="005C664D" w:rsidRPr="003F3B94">
        <w:rPr>
          <w:rFonts w:ascii="Abo-thar" w:hAnsi="Abo-thar"/>
          <w:bCs/>
          <w:sz w:val="28"/>
          <w:rtl/>
        </w:rPr>
        <w:t xml:space="preserve"> لا يمضى من أمرنا إلا بما يهواه ويريد</w:t>
      </w:r>
      <w:r w:rsidR="00217AB4" w:rsidRPr="003F3B94">
        <w:rPr>
          <w:rFonts w:ascii="Abo-thar" w:hAnsi="Abo-thar"/>
          <w:bCs/>
          <w:sz w:val="28"/>
          <w:rtl/>
        </w:rPr>
        <w:t>،</w:t>
      </w:r>
      <w:r w:rsidR="005C664D" w:rsidRPr="003F3B94">
        <w:rPr>
          <w:rFonts w:ascii="Abo-thar" w:hAnsi="Abo-thar"/>
          <w:bCs/>
          <w:sz w:val="28"/>
          <w:rtl/>
        </w:rPr>
        <w:t xml:space="preserve"> أراده الله بذلك في نار جهنم</w:t>
      </w:r>
      <w:r w:rsidR="00217AB4" w:rsidRPr="003F3B94">
        <w:rPr>
          <w:rFonts w:ascii="Abo-thar" w:hAnsi="Abo-thar"/>
          <w:bCs/>
          <w:sz w:val="28"/>
          <w:rtl/>
        </w:rPr>
        <w:t>،</w:t>
      </w:r>
      <w:r w:rsidR="005C664D" w:rsidRPr="003F3B94">
        <w:rPr>
          <w:rFonts w:ascii="Abo-thar" w:hAnsi="Abo-thar"/>
          <w:bCs/>
          <w:sz w:val="28"/>
          <w:rtl/>
        </w:rPr>
        <w:t xml:space="preserve"> فصبرنا عليه حتى تبَّر</w:t>
      </w:r>
      <w:r w:rsidR="005C664D" w:rsidRPr="003F3B94">
        <w:rPr>
          <w:rFonts w:ascii="Abo-thar" w:hAnsi="Abo-thar" w:hint="cs"/>
          <w:bCs/>
          <w:sz w:val="28"/>
          <w:rtl/>
        </w:rPr>
        <w:t>َ</w:t>
      </w:r>
      <w:r w:rsidR="005C664D" w:rsidRPr="003F3B94">
        <w:rPr>
          <w:rFonts w:ascii="Abo-thar" w:hAnsi="Abo-thar"/>
          <w:bCs/>
          <w:sz w:val="28"/>
          <w:rtl/>
        </w:rPr>
        <w:t xml:space="preserve"> اللهُ بدعوتنا عمرَه</w:t>
      </w:r>
      <w:r w:rsidR="00217AB4" w:rsidRPr="003F3B94">
        <w:rPr>
          <w:rFonts w:ascii="Abo-thar" w:hAnsi="Abo-thar"/>
          <w:bCs/>
          <w:sz w:val="28"/>
          <w:rtl/>
        </w:rPr>
        <w:t>،</w:t>
      </w:r>
      <w:r w:rsidR="005C664D" w:rsidRPr="003F3B94">
        <w:rPr>
          <w:rFonts w:ascii="Abo-thar" w:hAnsi="Abo-thar"/>
          <w:bCs/>
          <w:sz w:val="28"/>
          <w:rtl/>
        </w:rPr>
        <w:t xml:space="preserve"> وكنا قد عر</w:t>
      </w:r>
      <w:r w:rsidR="005C664D" w:rsidRPr="003F3B94">
        <w:rPr>
          <w:rFonts w:ascii="Abo-thar" w:hAnsi="Abo-thar" w:hint="cs"/>
          <w:bCs/>
          <w:sz w:val="28"/>
          <w:rtl/>
        </w:rPr>
        <w:t>َّ</w:t>
      </w:r>
      <w:r w:rsidR="005C664D" w:rsidRPr="003F3B94">
        <w:rPr>
          <w:rFonts w:ascii="Abo-thar" w:hAnsi="Abo-thar"/>
          <w:bCs/>
          <w:sz w:val="28"/>
          <w:rtl/>
        </w:rPr>
        <w:t>فنا خبر</w:t>
      </w:r>
      <w:r w:rsidR="005C664D" w:rsidRPr="003F3B94">
        <w:rPr>
          <w:rFonts w:ascii="Abo-thar" w:hAnsi="Abo-thar" w:hint="cs"/>
          <w:bCs/>
          <w:sz w:val="28"/>
          <w:rtl/>
        </w:rPr>
        <w:t>َ</w:t>
      </w:r>
      <w:r w:rsidR="005C664D" w:rsidRPr="003F3B94">
        <w:rPr>
          <w:rFonts w:ascii="Abo-thar" w:hAnsi="Abo-thar"/>
          <w:bCs/>
          <w:sz w:val="28"/>
          <w:rtl/>
        </w:rPr>
        <w:t>ه قوما</w:t>
      </w:r>
      <w:r w:rsidR="005C664D" w:rsidRPr="003F3B94">
        <w:rPr>
          <w:rFonts w:ascii="Abo-thar" w:hAnsi="Abo-thar" w:hint="cs"/>
          <w:bCs/>
          <w:sz w:val="28"/>
          <w:rtl/>
        </w:rPr>
        <w:t>ً</w:t>
      </w:r>
      <w:r w:rsidR="005C664D" w:rsidRPr="003F3B94">
        <w:rPr>
          <w:rFonts w:ascii="Abo-thar" w:hAnsi="Abo-thar"/>
          <w:bCs/>
          <w:sz w:val="28"/>
          <w:rtl/>
        </w:rPr>
        <w:t xml:space="preserve"> من موالينا في أيامه</w:t>
      </w:r>
      <w:r w:rsidR="00217AB4" w:rsidRPr="003F3B94">
        <w:rPr>
          <w:rFonts w:ascii="Abo-thar" w:hAnsi="Abo-thar"/>
          <w:bCs/>
          <w:sz w:val="28"/>
          <w:rtl/>
        </w:rPr>
        <w:t>،</w:t>
      </w:r>
      <w:r w:rsidR="005C664D" w:rsidRPr="003F3B94">
        <w:rPr>
          <w:rFonts w:ascii="Abo-thar" w:hAnsi="Abo-thar"/>
          <w:bCs/>
          <w:sz w:val="28"/>
          <w:rtl/>
        </w:rPr>
        <w:t xml:space="preserve"> لا رحمه الله وأمرناهم بإلقاء ذلك إلى الخاص من موالينا</w:t>
      </w:r>
      <w:r w:rsidR="00217AB4" w:rsidRPr="003F3B94">
        <w:rPr>
          <w:rFonts w:ascii="Abo-thar" w:hAnsi="Abo-thar"/>
          <w:bCs/>
          <w:sz w:val="28"/>
          <w:rtl/>
        </w:rPr>
        <w:t>،</w:t>
      </w:r>
      <w:r w:rsidR="005C664D" w:rsidRPr="003F3B94">
        <w:rPr>
          <w:rFonts w:ascii="Abo-thar" w:hAnsi="Abo-thar"/>
          <w:bCs/>
          <w:sz w:val="28"/>
          <w:rtl/>
        </w:rPr>
        <w:t xml:space="preserve"> ونحن نبرأ إلى الله من ابن هلال لا رحمه الله</w:t>
      </w:r>
      <w:r w:rsidR="00217AB4" w:rsidRPr="003F3B94">
        <w:rPr>
          <w:rFonts w:ascii="Abo-thar" w:hAnsi="Abo-thar"/>
          <w:bCs/>
          <w:sz w:val="28"/>
          <w:rtl/>
        </w:rPr>
        <w:t>،</w:t>
      </w:r>
      <w:r w:rsidR="005C664D" w:rsidRPr="003F3B94">
        <w:rPr>
          <w:rFonts w:ascii="Abo-thar" w:hAnsi="Abo-thar"/>
          <w:bCs/>
          <w:sz w:val="28"/>
          <w:rtl/>
        </w:rPr>
        <w:t xml:space="preserve"> وممن لا يبرأ منه</w:t>
      </w:r>
      <w:r w:rsidR="00217AB4" w:rsidRPr="003F3B94">
        <w:rPr>
          <w:rFonts w:ascii="Abo-thar" w:hAnsi="Abo-thar"/>
          <w:bCs/>
          <w:sz w:val="28"/>
          <w:rtl/>
        </w:rPr>
        <w:t>.</w:t>
      </w:r>
      <w:r w:rsidR="00147857" w:rsidRPr="003F3B94">
        <w:rPr>
          <w:rFonts w:ascii="Abo-thar" w:hAnsi="Abo-thar" w:hint="cs"/>
          <w:bCs/>
          <w:sz w:val="28"/>
          <w:rtl/>
        </w:rPr>
        <w:t xml:space="preserve"> </w:t>
      </w:r>
      <w:r w:rsidR="005C664D" w:rsidRPr="003F3B94">
        <w:rPr>
          <w:rFonts w:ascii="Abo-thar" w:hAnsi="Abo-thar" w:hint="cs"/>
          <w:bCs/>
          <w:sz w:val="28"/>
          <w:rtl/>
        </w:rPr>
        <w:t>وأعلِم الإسحاقي سلَّمه الله وأهل بيته مما أعلمناك من حال هذا الفاجر</w:t>
      </w:r>
      <w:r w:rsidR="00217AB4" w:rsidRPr="003F3B94">
        <w:rPr>
          <w:rFonts w:ascii="Abo-thar" w:hAnsi="Abo-thar" w:hint="cs"/>
          <w:bCs/>
          <w:sz w:val="28"/>
          <w:rtl/>
        </w:rPr>
        <w:t>!</w:t>
      </w:r>
      <w:r w:rsidRPr="003F3B94">
        <w:rPr>
          <w:rFonts w:ascii="Abo-thar" w:hAnsi="Abo-thar"/>
          <w:bCs/>
          <w:sz w:val="28"/>
          <w:rtl/>
        </w:rPr>
        <w:t>»</w:t>
      </w:r>
      <w:r w:rsidR="00F57F65" w:rsidRPr="0021507A">
        <w:rPr>
          <w:rFonts w:ascii="Abo-thar" w:hAnsi="Abo-thar" w:cs="Arabic11 BT"/>
          <w:sz w:val="28"/>
          <w:vertAlign w:val="superscript"/>
          <w:rtl/>
        </w:rPr>
        <w:t>(</w:t>
      </w:r>
      <w:r w:rsidR="00F57F65" w:rsidRPr="0021507A">
        <w:rPr>
          <w:rStyle w:val="FootnoteReference"/>
          <w:rFonts w:ascii="Abo-thar" w:hAnsi="Abo-thar" w:cs="Arabic11 BT"/>
          <w:sz w:val="28"/>
          <w:rtl/>
        </w:rPr>
        <w:footnoteReference w:id="298"/>
      </w:r>
      <w:r w:rsidR="00F57F65" w:rsidRPr="0021507A">
        <w:rPr>
          <w:rFonts w:ascii="Abo-thar" w:hAnsi="Abo-thar" w:cs="Arabic11 BT"/>
          <w:sz w:val="28"/>
          <w:vertAlign w:val="superscript"/>
          <w:rtl/>
        </w:rPr>
        <w:t>)</w:t>
      </w:r>
      <w:r w:rsidR="00217AB4" w:rsidRPr="003F3B94">
        <w:rPr>
          <w:rFonts w:ascii="Abo-thar" w:hAnsi="Abo-thar" w:hint="cs"/>
          <w:bCs/>
          <w:sz w:val="28"/>
          <w:rtl/>
        </w:rPr>
        <w:t>.</w:t>
      </w:r>
    </w:p>
    <w:p w:rsidR="005C664D" w:rsidRPr="003F3B94" w:rsidRDefault="005C664D" w:rsidP="003F3B94">
      <w:pPr>
        <w:pStyle w:val="a0"/>
        <w:rPr>
          <w:rFonts w:hint="cs"/>
          <w:rtl/>
        </w:rPr>
      </w:pPr>
      <w:r w:rsidRPr="003F3B94">
        <w:rPr>
          <w:rFonts w:ascii="Abo-thar" w:hAnsi="Abo-thar" w:hint="cs"/>
          <w:sz w:val="28"/>
          <w:rtl/>
        </w:rPr>
        <w:t>وبعد أن صدر هذا التوقيع من جانب الإمام</w:t>
      </w:r>
      <w:r w:rsidR="00147857" w:rsidRPr="003F3B94">
        <w:rPr>
          <w:rFonts w:ascii="Abo-thar" w:hAnsi="Abo-thar" w:hint="cs"/>
          <w:sz w:val="28"/>
          <w:rtl/>
        </w:rPr>
        <w:t xml:space="preserve"> </w:t>
      </w:r>
      <w:r w:rsidR="003C7AEB" w:rsidRPr="003C7AEB">
        <w:rPr>
          <w:rFonts w:ascii="Abo-thar" w:hAnsi="Abo-thar" w:cs="CTraditional Arabic"/>
          <w:sz w:val="28"/>
          <w:rtl/>
        </w:rPr>
        <w:t>÷</w:t>
      </w:r>
      <w:r w:rsidR="00147857" w:rsidRPr="003F3B94">
        <w:rPr>
          <w:rFonts w:ascii="Abo-thar" w:hAnsi="Abo-thar"/>
          <w:sz w:val="28"/>
          <w:rtl/>
        </w:rPr>
        <w:t xml:space="preserve"> </w:t>
      </w:r>
      <w:r w:rsidRPr="003F3B94">
        <w:rPr>
          <w:rFonts w:ascii="Abo-thar" w:hAnsi="Abo-thar" w:hint="cs"/>
          <w:sz w:val="28"/>
          <w:rtl/>
        </w:rPr>
        <w:t>وذُكر فيه أعمال أحمد بن هلال الشنيعة ووُصِف بتلك الصفات الذميمة</w:t>
      </w:r>
      <w:r w:rsidR="00217AB4" w:rsidRPr="003F3B94">
        <w:rPr>
          <w:rFonts w:ascii="Abo-thar" w:hAnsi="Abo-thar" w:hint="cs"/>
          <w:sz w:val="28"/>
          <w:rtl/>
        </w:rPr>
        <w:t>،</w:t>
      </w:r>
      <w:r w:rsidRPr="003F3B94">
        <w:rPr>
          <w:rFonts w:ascii="Abo-thar" w:hAnsi="Abo-thar" w:hint="cs"/>
          <w:sz w:val="28"/>
          <w:rtl/>
        </w:rPr>
        <w:t xml:space="preserve"> لم يقنع الشيعة بذلك الذم به ولم يصدقوه وأصروا على حسن ظنهم به</w:t>
      </w:r>
      <w:r w:rsidR="00217AB4" w:rsidRPr="003F3B94">
        <w:rPr>
          <w:rFonts w:ascii="Abo-thar" w:hAnsi="Abo-thar" w:hint="cs"/>
          <w:sz w:val="28"/>
          <w:rtl/>
        </w:rPr>
        <w:t>!!</w:t>
      </w:r>
      <w:r w:rsidRPr="003F3B94">
        <w:rPr>
          <w:rFonts w:ascii="Abo-thar" w:hAnsi="Abo-thar" w:hint="cs"/>
          <w:sz w:val="28"/>
          <w:rtl/>
        </w:rPr>
        <w:t xml:space="preserve"> عندئذٍ صدر التوقيع هذه المرة بالعبارات التالية</w:t>
      </w:r>
      <w:r w:rsidR="00217AB4" w:rsidRPr="003F3B94">
        <w:rPr>
          <w:rFonts w:ascii="Abo-thar" w:hAnsi="Abo-thar" w:hint="cs"/>
          <w:sz w:val="28"/>
          <w:rtl/>
        </w:rPr>
        <w:t>:</w:t>
      </w:r>
    </w:p>
    <w:p w:rsidR="005C664D" w:rsidRPr="003F3B94" w:rsidRDefault="00EF2588" w:rsidP="003F3B94">
      <w:pPr>
        <w:pStyle w:val="a0"/>
        <w:rPr>
          <w:rFonts w:hint="cs"/>
          <w:rtl/>
        </w:rPr>
      </w:pPr>
      <w:r w:rsidRPr="003F3B94">
        <w:rPr>
          <w:rFonts w:ascii="Abo-thar" w:hAnsi="Abo-thar" w:hint="cs"/>
          <w:sz w:val="28"/>
          <w:rtl/>
        </w:rPr>
        <w:t>«</w:t>
      </w:r>
      <w:r w:rsidR="00217AB4" w:rsidRPr="003F3B94">
        <w:rPr>
          <w:rFonts w:ascii="Abo-thar" w:hAnsi="Abo-thar" w:hint="cs"/>
          <w:sz w:val="28"/>
          <w:rtl/>
        </w:rPr>
        <w:t>...</w:t>
      </w:r>
      <w:r w:rsidR="005C664D" w:rsidRPr="003F3B94">
        <w:rPr>
          <w:rFonts w:ascii="Abo-thar" w:hAnsi="Abo-thar" w:hint="cs"/>
          <w:sz w:val="28"/>
          <w:rtl/>
        </w:rPr>
        <w:t xml:space="preserve"> </w:t>
      </w:r>
      <w:r w:rsidR="005C664D" w:rsidRPr="003F3B94">
        <w:rPr>
          <w:rFonts w:ascii="Abo-thar" w:hAnsi="Abo-thar"/>
          <w:bCs/>
          <w:sz w:val="28"/>
          <w:rtl/>
        </w:rPr>
        <w:t xml:space="preserve">وقد علمتم ما </w:t>
      </w:r>
      <w:r w:rsidR="00D326AD" w:rsidRPr="003F3B94">
        <w:rPr>
          <w:rFonts w:ascii="Abo-thar" w:hAnsi="Abo-thar"/>
          <w:bCs/>
          <w:sz w:val="28"/>
          <w:rtl/>
        </w:rPr>
        <w:t>ك</w:t>
      </w:r>
      <w:r w:rsidR="005C664D" w:rsidRPr="003F3B94">
        <w:rPr>
          <w:rFonts w:ascii="Abo-thar" w:hAnsi="Abo-thar"/>
          <w:bCs/>
          <w:sz w:val="28"/>
          <w:rtl/>
        </w:rPr>
        <w:t xml:space="preserve">ان من </w:t>
      </w:r>
      <w:r w:rsidR="005C664D" w:rsidRPr="003F3B94">
        <w:rPr>
          <w:rFonts w:ascii="Abo-thar" w:hAnsi="Abo-thar" w:hint="cs"/>
          <w:bCs/>
          <w:sz w:val="28"/>
          <w:rtl/>
        </w:rPr>
        <w:t>أ</w:t>
      </w:r>
      <w:r w:rsidR="005C664D" w:rsidRPr="003F3B94">
        <w:rPr>
          <w:rFonts w:ascii="Abo-thar" w:hAnsi="Abo-thar"/>
          <w:bCs/>
          <w:sz w:val="28"/>
          <w:rtl/>
        </w:rPr>
        <w:t>مر</w:t>
      </w:r>
      <w:r w:rsidR="005C664D" w:rsidRPr="003F3B94">
        <w:rPr>
          <w:rFonts w:ascii="Abo-thar" w:hAnsi="Abo-thar" w:hint="cs"/>
          <w:bCs/>
          <w:sz w:val="28"/>
          <w:rtl/>
        </w:rPr>
        <w:t xml:space="preserve"> </w:t>
      </w:r>
      <w:r w:rsidR="005C664D" w:rsidRPr="003F3B94">
        <w:rPr>
          <w:rFonts w:ascii="Abo-thar" w:hAnsi="Abo-thar"/>
          <w:bCs/>
          <w:sz w:val="28"/>
          <w:rtl/>
        </w:rPr>
        <w:t>الدهقان عل</w:t>
      </w:r>
      <w:r w:rsidR="00D326AD" w:rsidRPr="003F3B94">
        <w:rPr>
          <w:rFonts w:ascii="Abo-thar" w:hAnsi="Abo-thar" w:hint="cs"/>
          <w:bCs/>
          <w:sz w:val="28"/>
          <w:rtl/>
        </w:rPr>
        <w:t>ي</w:t>
      </w:r>
      <w:r w:rsidR="005C664D" w:rsidRPr="003F3B94">
        <w:rPr>
          <w:rFonts w:ascii="Abo-thar" w:hAnsi="Abo-thar" w:hint="eastAsia"/>
          <w:bCs/>
          <w:sz w:val="28"/>
          <w:rtl/>
        </w:rPr>
        <w:t>ه</w:t>
      </w:r>
      <w:r w:rsidR="005C664D" w:rsidRPr="003F3B94">
        <w:rPr>
          <w:rFonts w:ascii="Abo-thar" w:hAnsi="Abo-thar"/>
          <w:bCs/>
          <w:sz w:val="28"/>
          <w:rtl/>
        </w:rPr>
        <w:t xml:space="preserve"> لعنة </w:t>
      </w:r>
      <w:r w:rsidR="005C664D" w:rsidRPr="003F3B94">
        <w:rPr>
          <w:rFonts w:cs="Times New Roman" w:hint="cs"/>
          <w:bCs/>
          <w:sz w:val="28"/>
          <w:rtl/>
        </w:rPr>
        <w:t>‌</w:t>
      </w:r>
      <w:r w:rsidR="005C664D" w:rsidRPr="003F3B94">
        <w:rPr>
          <w:rFonts w:ascii="mylotus" w:hAnsi="mylotus" w:hint="cs"/>
          <w:bCs/>
          <w:sz w:val="28"/>
          <w:rtl/>
        </w:rPr>
        <w:t>الله</w:t>
      </w:r>
      <w:r w:rsidR="005C664D" w:rsidRPr="003F3B94">
        <w:rPr>
          <w:rFonts w:ascii="Abo-thar" w:hAnsi="Abo-thar" w:hint="cs"/>
          <w:bCs/>
          <w:sz w:val="28"/>
          <w:rtl/>
        </w:rPr>
        <w:t xml:space="preserve"> </w:t>
      </w:r>
      <w:r w:rsidR="005C664D" w:rsidRPr="003F3B94">
        <w:rPr>
          <w:rFonts w:ascii="mylotus" w:hAnsi="mylotus" w:hint="cs"/>
          <w:bCs/>
          <w:sz w:val="28"/>
          <w:rtl/>
        </w:rPr>
        <w:t>وخدمته</w:t>
      </w:r>
      <w:r w:rsidR="005C664D" w:rsidRPr="003F3B94">
        <w:rPr>
          <w:rFonts w:ascii="Abo-thar" w:hAnsi="Abo-thar" w:hint="cs"/>
          <w:bCs/>
          <w:sz w:val="28"/>
          <w:rtl/>
        </w:rPr>
        <w:t xml:space="preserve"> </w:t>
      </w:r>
      <w:r w:rsidR="005C664D" w:rsidRPr="003F3B94">
        <w:rPr>
          <w:rFonts w:ascii="mylotus" w:hAnsi="mylotus" w:hint="cs"/>
          <w:bCs/>
          <w:sz w:val="28"/>
          <w:rtl/>
        </w:rPr>
        <w:t>وطول</w:t>
      </w:r>
      <w:r w:rsidR="005C664D" w:rsidRPr="003F3B94">
        <w:rPr>
          <w:rFonts w:ascii="Abo-thar" w:hAnsi="Abo-thar" w:hint="cs"/>
          <w:bCs/>
          <w:sz w:val="28"/>
          <w:rtl/>
        </w:rPr>
        <w:t xml:space="preserve"> </w:t>
      </w:r>
      <w:r w:rsidR="005C664D" w:rsidRPr="003F3B94">
        <w:rPr>
          <w:rFonts w:ascii="mylotus" w:hAnsi="mylotus" w:hint="cs"/>
          <w:bCs/>
          <w:sz w:val="28"/>
          <w:rtl/>
        </w:rPr>
        <w:t>صحبته</w:t>
      </w:r>
      <w:r w:rsidR="00217AB4" w:rsidRPr="003F3B94">
        <w:rPr>
          <w:rFonts w:ascii="Abo-thar" w:hAnsi="Abo-thar" w:hint="cs"/>
          <w:bCs/>
          <w:sz w:val="28"/>
          <w:rtl/>
        </w:rPr>
        <w:t>،</w:t>
      </w:r>
      <w:r w:rsidR="005C664D" w:rsidRPr="003F3B94">
        <w:rPr>
          <w:rFonts w:ascii="Abo-thar" w:hAnsi="Abo-thar" w:hint="cs"/>
          <w:bCs/>
          <w:sz w:val="28"/>
          <w:rtl/>
        </w:rPr>
        <w:t xml:space="preserve"> </w:t>
      </w:r>
      <w:r w:rsidR="005C664D" w:rsidRPr="003F3B94">
        <w:rPr>
          <w:rFonts w:ascii="Abo-thar" w:hAnsi="Abo-thar"/>
          <w:bCs/>
          <w:sz w:val="28"/>
          <w:rtl/>
        </w:rPr>
        <w:t>ف</w:t>
      </w:r>
      <w:r w:rsidR="005C664D" w:rsidRPr="003F3B94">
        <w:rPr>
          <w:rFonts w:ascii="Abo-thar" w:hAnsi="Abo-thar" w:hint="cs"/>
          <w:bCs/>
          <w:sz w:val="28"/>
          <w:rtl/>
        </w:rPr>
        <w:t>أ</w:t>
      </w:r>
      <w:r w:rsidR="005C664D" w:rsidRPr="003F3B94">
        <w:rPr>
          <w:rFonts w:ascii="Abo-thar" w:hAnsi="Abo-thar"/>
          <w:bCs/>
          <w:sz w:val="28"/>
          <w:rtl/>
        </w:rPr>
        <w:t xml:space="preserve">بدله </w:t>
      </w:r>
      <w:r w:rsidR="005C664D" w:rsidRPr="003F3B94">
        <w:rPr>
          <w:rFonts w:cs="Times New Roman" w:hint="cs"/>
          <w:bCs/>
          <w:sz w:val="28"/>
          <w:rtl/>
        </w:rPr>
        <w:t>‌</w:t>
      </w:r>
      <w:r w:rsidR="005C664D" w:rsidRPr="003F3B94">
        <w:rPr>
          <w:rFonts w:ascii="mylotus" w:hAnsi="mylotus" w:hint="cs"/>
          <w:bCs/>
          <w:sz w:val="28"/>
          <w:rtl/>
        </w:rPr>
        <w:t>الله</w:t>
      </w:r>
      <w:r w:rsidR="005C664D" w:rsidRPr="003F3B94">
        <w:rPr>
          <w:rFonts w:ascii="Abo-thar" w:hAnsi="Abo-thar" w:hint="cs"/>
          <w:bCs/>
          <w:sz w:val="28"/>
          <w:rtl/>
        </w:rPr>
        <w:t xml:space="preserve"> </w:t>
      </w:r>
      <w:r w:rsidR="005C664D" w:rsidRPr="003F3B94">
        <w:rPr>
          <w:rFonts w:ascii="mylotus" w:hAnsi="mylotus" w:hint="cs"/>
          <w:bCs/>
          <w:sz w:val="28"/>
          <w:rtl/>
        </w:rPr>
        <w:t>بالإيمان</w:t>
      </w:r>
      <w:r w:rsidR="005C664D" w:rsidRPr="003F3B94">
        <w:rPr>
          <w:rFonts w:ascii="Abo-thar" w:hAnsi="Abo-thar"/>
          <w:bCs/>
          <w:sz w:val="28"/>
          <w:rtl/>
        </w:rPr>
        <w:t xml:space="preserve"> </w:t>
      </w:r>
      <w:r w:rsidR="00D326AD" w:rsidRPr="003F3B94">
        <w:rPr>
          <w:rFonts w:ascii="Abo-thar" w:hAnsi="Abo-thar"/>
          <w:bCs/>
          <w:sz w:val="28"/>
          <w:rtl/>
        </w:rPr>
        <w:t>ك</w:t>
      </w:r>
      <w:r w:rsidR="005C664D" w:rsidRPr="003F3B94">
        <w:rPr>
          <w:rFonts w:ascii="Abo-thar" w:hAnsi="Abo-thar"/>
          <w:bCs/>
          <w:sz w:val="28"/>
          <w:rtl/>
        </w:rPr>
        <w:t>فراً ح</w:t>
      </w:r>
      <w:r w:rsidR="00D326AD" w:rsidRPr="003F3B94">
        <w:rPr>
          <w:rFonts w:ascii="Abo-thar" w:hAnsi="Abo-thar" w:hint="cs"/>
          <w:bCs/>
          <w:sz w:val="28"/>
          <w:rtl/>
        </w:rPr>
        <w:t>ي</w:t>
      </w:r>
      <w:r w:rsidR="005C664D" w:rsidRPr="003F3B94">
        <w:rPr>
          <w:rFonts w:ascii="Abo-thar" w:hAnsi="Abo-thar" w:hint="eastAsia"/>
          <w:bCs/>
          <w:sz w:val="28"/>
          <w:rtl/>
        </w:rPr>
        <w:t>ن</w:t>
      </w:r>
      <w:r w:rsidR="005C664D" w:rsidRPr="003F3B94">
        <w:rPr>
          <w:rFonts w:ascii="Abo-thar" w:hAnsi="Abo-thar"/>
          <w:bCs/>
          <w:sz w:val="28"/>
          <w:rtl/>
        </w:rPr>
        <w:t xml:space="preserve"> فعل ما فعل</w:t>
      </w:r>
      <w:r w:rsidR="00217AB4" w:rsidRPr="003F3B94">
        <w:rPr>
          <w:rFonts w:ascii="Abo-thar" w:hAnsi="Abo-thar" w:hint="cs"/>
          <w:bCs/>
          <w:sz w:val="28"/>
          <w:rtl/>
        </w:rPr>
        <w:t>،</w:t>
      </w:r>
      <w:r w:rsidR="005C664D" w:rsidRPr="003F3B94">
        <w:rPr>
          <w:rFonts w:ascii="Abo-thar" w:hAnsi="Abo-thar"/>
          <w:bCs/>
          <w:sz w:val="28"/>
          <w:rtl/>
        </w:rPr>
        <w:t xml:space="preserve"> فعاجله </w:t>
      </w:r>
      <w:r w:rsidR="005C664D" w:rsidRPr="003F3B94">
        <w:rPr>
          <w:rFonts w:cs="Times New Roman" w:hint="cs"/>
          <w:bCs/>
          <w:sz w:val="28"/>
          <w:rtl/>
        </w:rPr>
        <w:t>‌</w:t>
      </w:r>
      <w:r w:rsidR="005C664D" w:rsidRPr="003F3B94">
        <w:rPr>
          <w:rFonts w:ascii="mylotus" w:hAnsi="mylotus" w:hint="cs"/>
          <w:bCs/>
          <w:sz w:val="28"/>
          <w:rtl/>
        </w:rPr>
        <w:t>ا</w:t>
      </w:r>
      <w:r w:rsidR="005C664D" w:rsidRPr="003F3B94">
        <w:rPr>
          <w:rFonts w:ascii="Abo-thar" w:hAnsi="Abo-thar" w:hint="cs"/>
          <w:bCs/>
          <w:sz w:val="28"/>
          <w:rtl/>
        </w:rPr>
        <w:t xml:space="preserve">لله بالنقمة ولم </w:t>
      </w:r>
      <w:r w:rsidR="00D326AD" w:rsidRPr="003F3B94">
        <w:rPr>
          <w:rFonts w:ascii="Abo-thar" w:hAnsi="Abo-thar" w:hint="cs"/>
          <w:bCs/>
          <w:sz w:val="28"/>
          <w:rtl/>
        </w:rPr>
        <w:t>ي</w:t>
      </w:r>
      <w:r w:rsidR="005C664D" w:rsidRPr="003F3B94">
        <w:rPr>
          <w:rFonts w:ascii="Abo-thar" w:hAnsi="Abo-thar" w:hint="eastAsia"/>
          <w:bCs/>
          <w:sz w:val="28"/>
          <w:rtl/>
        </w:rPr>
        <w:t>مهله</w:t>
      </w:r>
      <w:r w:rsidR="00217AB4" w:rsidRPr="003F3B94">
        <w:rPr>
          <w:rFonts w:ascii="Abo-thar" w:hAnsi="Abo-thar" w:hint="cs"/>
          <w:bCs/>
          <w:sz w:val="28"/>
          <w:rtl/>
        </w:rPr>
        <w:t>،</w:t>
      </w:r>
      <w:r w:rsidR="005C664D" w:rsidRPr="003F3B94">
        <w:rPr>
          <w:rFonts w:ascii="Abo-thar" w:hAnsi="Abo-thar"/>
          <w:bCs/>
          <w:sz w:val="28"/>
          <w:rtl/>
        </w:rPr>
        <w:t xml:space="preserve"> والحمد</w:t>
      </w:r>
      <w:r w:rsidR="005C664D" w:rsidRPr="003F3B94">
        <w:rPr>
          <w:rFonts w:ascii="Abo-thar" w:hAnsi="Abo-thar" w:hint="cs"/>
          <w:bCs/>
          <w:sz w:val="28"/>
          <w:rtl/>
        </w:rPr>
        <w:t xml:space="preserve"> لِـلَّهِ</w:t>
      </w:r>
      <w:r w:rsidR="005C664D" w:rsidRPr="003F3B94">
        <w:rPr>
          <w:rFonts w:ascii="Abo-thar" w:hAnsi="Abo-thar"/>
          <w:bCs/>
          <w:sz w:val="28"/>
          <w:rtl/>
        </w:rPr>
        <w:t xml:space="preserve"> لا شر</w:t>
      </w:r>
      <w:r w:rsidR="00D326AD" w:rsidRPr="003F3B94">
        <w:rPr>
          <w:rFonts w:ascii="Abo-thar" w:hAnsi="Abo-thar" w:hint="cs"/>
          <w:bCs/>
          <w:sz w:val="28"/>
          <w:rtl/>
        </w:rPr>
        <w:t>ي</w:t>
      </w:r>
      <w:r w:rsidR="00D326AD" w:rsidRPr="003F3B94">
        <w:rPr>
          <w:rFonts w:ascii="Abo-thar" w:hAnsi="Abo-thar" w:hint="eastAsia"/>
          <w:bCs/>
          <w:sz w:val="28"/>
          <w:rtl/>
        </w:rPr>
        <w:t>ك</w:t>
      </w:r>
      <w:r w:rsidR="005C664D" w:rsidRPr="003F3B94">
        <w:rPr>
          <w:rFonts w:ascii="Abo-thar" w:hAnsi="Abo-thar"/>
          <w:bCs/>
          <w:sz w:val="28"/>
          <w:rtl/>
        </w:rPr>
        <w:t xml:space="preserve"> له</w:t>
      </w:r>
      <w:r w:rsidR="00217AB4" w:rsidRPr="003F3B94">
        <w:rPr>
          <w:rFonts w:ascii="Abo-thar" w:hAnsi="Abo-thar" w:hint="cs"/>
          <w:bCs/>
          <w:sz w:val="28"/>
          <w:rtl/>
        </w:rPr>
        <w:t>،</w:t>
      </w:r>
      <w:r w:rsidR="005C664D" w:rsidRPr="003F3B94">
        <w:rPr>
          <w:rFonts w:ascii="Abo-thar" w:hAnsi="Abo-thar"/>
          <w:bCs/>
          <w:sz w:val="28"/>
          <w:rtl/>
        </w:rPr>
        <w:t xml:space="preserve"> وصل</w:t>
      </w:r>
      <w:r w:rsidR="005C664D" w:rsidRPr="003F3B94">
        <w:rPr>
          <w:rFonts w:ascii="Abo-thar" w:hAnsi="Abo-thar" w:hint="cs"/>
          <w:bCs/>
          <w:sz w:val="28"/>
          <w:rtl/>
        </w:rPr>
        <w:t>َّى</w:t>
      </w:r>
      <w:r w:rsidR="005C664D" w:rsidRPr="003F3B94">
        <w:rPr>
          <w:rFonts w:ascii="Abo-thar" w:hAnsi="Abo-thar"/>
          <w:bCs/>
          <w:sz w:val="28"/>
          <w:rtl/>
        </w:rPr>
        <w:t xml:space="preserve"> </w:t>
      </w:r>
      <w:r w:rsidR="005C664D" w:rsidRPr="003F3B94">
        <w:rPr>
          <w:rFonts w:cs="Times New Roman" w:hint="cs"/>
          <w:bCs/>
          <w:sz w:val="28"/>
          <w:rtl/>
        </w:rPr>
        <w:t>‌</w:t>
      </w:r>
      <w:r w:rsidR="005C664D" w:rsidRPr="003F3B94">
        <w:rPr>
          <w:rFonts w:ascii="mylotus" w:hAnsi="mylotus" w:hint="cs"/>
          <w:bCs/>
          <w:sz w:val="28"/>
          <w:rtl/>
        </w:rPr>
        <w:t>الله</w:t>
      </w:r>
      <w:r w:rsidR="005C664D" w:rsidRPr="003F3B94">
        <w:rPr>
          <w:rFonts w:ascii="Abo-thar" w:hAnsi="Abo-thar" w:hint="cs"/>
          <w:bCs/>
          <w:sz w:val="28"/>
          <w:rtl/>
        </w:rPr>
        <w:t xml:space="preserve"> </w:t>
      </w:r>
      <w:r w:rsidR="005C664D" w:rsidRPr="003F3B94">
        <w:rPr>
          <w:rFonts w:ascii="mylotus" w:hAnsi="mylotus" w:hint="cs"/>
          <w:bCs/>
          <w:sz w:val="28"/>
          <w:rtl/>
        </w:rPr>
        <w:t>علی</w:t>
      </w:r>
      <w:r w:rsidR="005C664D" w:rsidRPr="003F3B94">
        <w:rPr>
          <w:rFonts w:ascii="Abo-thar" w:hAnsi="Abo-thar"/>
          <w:bCs/>
          <w:sz w:val="28"/>
          <w:rtl/>
        </w:rPr>
        <w:t xml:space="preserve"> محم</w:t>
      </w:r>
      <w:r w:rsidR="005C664D" w:rsidRPr="003F3B94">
        <w:rPr>
          <w:rFonts w:ascii="Abo-thar" w:hAnsi="Abo-thar" w:hint="cs"/>
          <w:bCs/>
          <w:sz w:val="28"/>
          <w:rtl/>
        </w:rPr>
        <w:t>ّ</w:t>
      </w:r>
      <w:r w:rsidR="005C664D" w:rsidRPr="003F3B94">
        <w:rPr>
          <w:rFonts w:ascii="Abo-thar" w:hAnsi="Abo-thar"/>
          <w:bCs/>
          <w:sz w:val="28"/>
          <w:rtl/>
        </w:rPr>
        <w:t>د وآله</w:t>
      </w:r>
      <w:r w:rsidR="005C664D" w:rsidRPr="003F3B94">
        <w:rPr>
          <w:rFonts w:ascii="Abo-thar" w:hAnsi="Abo-thar" w:hint="cs"/>
          <w:bCs/>
          <w:sz w:val="28"/>
          <w:rtl/>
        </w:rPr>
        <w:t xml:space="preserve"> وسلَّم</w:t>
      </w:r>
      <w:r w:rsidR="00F456DF" w:rsidRPr="003F3B94">
        <w:rPr>
          <w:rFonts w:ascii="Abo-thar" w:hAnsi="Abo-thar"/>
          <w:bCs/>
          <w:sz w:val="28"/>
          <w:rtl/>
        </w:rPr>
        <w:t>»</w:t>
      </w:r>
      <w:r w:rsidR="00217AB4" w:rsidRPr="003F3B94">
        <w:rPr>
          <w:rFonts w:ascii="Abo-thar" w:hAnsi="Abo-thar" w:hint="cs"/>
          <w:sz w:val="28"/>
          <w:rtl/>
        </w:rPr>
        <w:t>.</w:t>
      </w:r>
    </w:p>
    <w:p w:rsidR="005C664D" w:rsidRPr="003F3B94" w:rsidRDefault="005C664D" w:rsidP="00255A16">
      <w:pPr>
        <w:pStyle w:val="a0"/>
        <w:rPr>
          <w:rFonts w:hint="cs"/>
          <w:rtl/>
        </w:rPr>
      </w:pPr>
      <w:r w:rsidRPr="003F3B94">
        <w:rPr>
          <w:rFonts w:ascii="Abo-thar" w:hAnsi="Abo-thar" w:hint="cs"/>
          <w:sz w:val="28"/>
          <w:rtl/>
        </w:rPr>
        <w:t>3</w:t>
      </w:r>
      <w:r w:rsidR="00217AB4" w:rsidRPr="003F3B94">
        <w:rPr>
          <w:rFonts w:ascii="Abo-thar" w:hAnsi="Abo-thar" w:hint="cs"/>
          <w:sz w:val="28"/>
          <w:rtl/>
        </w:rPr>
        <w:t>-</w:t>
      </w:r>
      <w:r w:rsidRPr="003F3B94">
        <w:rPr>
          <w:rFonts w:ascii="Abo-thar" w:hAnsi="Abo-thar" w:hint="cs"/>
          <w:sz w:val="28"/>
          <w:rtl/>
        </w:rPr>
        <w:t xml:space="preserve"> وقال عنه العلامة الحلي في </w:t>
      </w:r>
      <w:r w:rsidRPr="003F3B94">
        <w:rPr>
          <w:rFonts w:ascii="Abo-thar" w:hAnsi="Abo-thar"/>
          <w:sz w:val="28"/>
          <w:rtl/>
        </w:rPr>
        <w:t>«</w:t>
      </w:r>
      <w:r w:rsidRPr="003F3B94">
        <w:rPr>
          <w:rFonts w:ascii="Abo-thar" w:hAnsi="Abo-thar" w:hint="cs"/>
          <w:sz w:val="28"/>
          <w:rtl/>
        </w:rPr>
        <w:t>خلاصة الأقوال</w:t>
      </w:r>
      <w:r w:rsidRPr="003F3B94">
        <w:rPr>
          <w:rFonts w:ascii="Abo-thar" w:hAnsi="Abo-thar"/>
          <w:sz w:val="28"/>
          <w:rtl/>
        </w:rPr>
        <w:t>»</w:t>
      </w:r>
      <w:r w:rsidR="00217AB4" w:rsidRPr="003F3B94">
        <w:rPr>
          <w:rFonts w:ascii="Abo-thar" w:hAnsi="Abo-thar" w:hint="cs"/>
          <w:sz w:val="28"/>
          <w:rtl/>
        </w:rPr>
        <w:t>:</w:t>
      </w:r>
      <w:r w:rsidR="00255A16">
        <w:rPr>
          <w:rFonts w:ascii="Abo-thar" w:hAnsi="Abo-thar" w:hint="cs"/>
          <w:sz w:val="28"/>
          <w:rtl/>
        </w:rPr>
        <w:t xml:space="preserve"> </w:t>
      </w:r>
      <w:r w:rsidR="00EF2588" w:rsidRPr="003F3B94">
        <w:rPr>
          <w:rFonts w:ascii="Abo-thar" w:hAnsi="Abo-thar" w:hint="cs"/>
          <w:sz w:val="28"/>
          <w:rtl/>
        </w:rPr>
        <w:t>«</w:t>
      </w:r>
      <w:r w:rsidRPr="003F3B94">
        <w:rPr>
          <w:rFonts w:ascii="Abo-thar" w:hAnsi="Abo-thar"/>
          <w:bCs/>
          <w:sz w:val="28"/>
          <w:rtl/>
        </w:rPr>
        <w:t xml:space="preserve">غال ورد فيه ذم كثير من سيدنا أبي محمد العسكري </w:t>
      </w:r>
      <w:r w:rsidR="003C7AEB" w:rsidRPr="003C7AEB">
        <w:rPr>
          <w:rFonts w:ascii="Abo-thar" w:hAnsi="Abo-thar" w:cs="CTraditional Arabic"/>
          <w:sz w:val="28"/>
          <w:rtl/>
        </w:rPr>
        <w:t>÷</w:t>
      </w:r>
      <w:r w:rsidR="00F456DF" w:rsidRPr="003F3B94">
        <w:rPr>
          <w:rFonts w:ascii="Abo-thar" w:hAnsi="Abo-thar"/>
          <w:bCs/>
          <w:sz w:val="28"/>
          <w:rtl/>
        </w:rPr>
        <w:t>»</w:t>
      </w:r>
      <w:r w:rsidR="00217AB4" w:rsidRPr="003F3B94">
        <w:rPr>
          <w:rFonts w:ascii="Abo-thar" w:hAnsi="Abo-thar" w:hint="cs"/>
          <w:sz w:val="28"/>
          <w:rtl/>
        </w:rPr>
        <w:t>.</w:t>
      </w:r>
    </w:p>
    <w:p w:rsidR="005C664D" w:rsidRPr="003F3B94" w:rsidRDefault="005C664D" w:rsidP="003F3B94">
      <w:pPr>
        <w:pStyle w:val="a0"/>
        <w:rPr>
          <w:rFonts w:hint="cs"/>
          <w:rtl/>
        </w:rPr>
      </w:pPr>
      <w:r w:rsidRPr="003F3B94">
        <w:rPr>
          <w:rFonts w:ascii="Abo-thar" w:hAnsi="Abo-thar" w:hint="cs"/>
          <w:sz w:val="28"/>
          <w:rtl/>
        </w:rPr>
        <w:t>4</w:t>
      </w:r>
      <w:r w:rsidR="00217AB4" w:rsidRPr="003F3B94">
        <w:rPr>
          <w:rFonts w:ascii="Abo-thar" w:hAnsi="Abo-thar" w:hint="cs"/>
          <w:sz w:val="28"/>
          <w:rtl/>
        </w:rPr>
        <w:t>-</w:t>
      </w:r>
      <w:r w:rsidRPr="003F3B94">
        <w:rPr>
          <w:rFonts w:ascii="Abo-thar" w:hAnsi="Abo-thar" w:hint="cs"/>
          <w:sz w:val="28"/>
          <w:rtl/>
        </w:rPr>
        <w:t xml:space="preserve"> وذكره ابن داود في </w:t>
      </w:r>
      <w:r w:rsidR="00F57F65" w:rsidRPr="003F3B94">
        <w:rPr>
          <w:rFonts w:ascii="Abo-thar" w:hAnsi="Abo-thar" w:hint="cs"/>
          <w:sz w:val="28"/>
          <w:rtl/>
        </w:rPr>
        <w:t xml:space="preserve">رجاله </w:t>
      </w:r>
      <w:r w:rsidRPr="003F3B94">
        <w:rPr>
          <w:rFonts w:ascii="Abo-thar" w:hAnsi="Abo-thar" w:hint="cs"/>
          <w:sz w:val="28"/>
          <w:rtl/>
        </w:rPr>
        <w:t xml:space="preserve">ضمن من </w:t>
      </w:r>
      <w:r w:rsidR="00EF2588" w:rsidRPr="003F3B94">
        <w:rPr>
          <w:rFonts w:ascii="Abo-thar" w:hAnsi="Abo-thar" w:hint="cs"/>
          <w:sz w:val="28"/>
          <w:rtl/>
        </w:rPr>
        <w:t>«</w:t>
      </w:r>
      <w:r w:rsidRPr="003F3B94">
        <w:rPr>
          <w:rFonts w:ascii="Abo-thar" w:hAnsi="Abo-thar" w:hint="cs"/>
          <w:bCs/>
          <w:sz w:val="28"/>
          <w:rtl/>
        </w:rPr>
        <w:t>ورد عليه اللعنة</w:t>
      </w:r>
      <w:r w:rsidR="00EF2588" w:rsidRPr="003F3B94">
        <w:rPr>
          <w:rFonts w:ascii="Abo-thar" w:hAnsi="Abo-thar" w:hint="cs"/>
          <w:sz w:val="28"/>
          <w:rtl/>
        </w:rPr>
        <w:t>»</w:t>
      </w:r>
      <w:r w:rsidR="00F57F65" w:rsidRPr="0021507A">
        <w:rPr>
          <w:rFonts w:ascii="Abo-thar" w:hAnsi="Abo-thar" w:cs="Arabic11 BT"/>
          <w:sz w:val="28"/>
          <w:vertAlign w:val="superscript"/>
          <w:rtl/>
        </w:rPr>
        <w:t>(</w:t>
      </w:r>
      <w:r w:rsidR="00F57F65" w:rsidRPr="0021507A">
        <w:rPr>
          <w:rStyle w:val="FootnoteReference"/>
          <w:rFonts w:ascii="Abo-thar" w:hAnsi="Abo-thar" w:cs="Arabic11 BT"/>
          <w:sz w:val="28"/>
          <w:rtl/>
        </w:rPr>
        <w:footnoteReference w:id="299"/>
      </w:r>
      <w:r w:rsidR="00F57F65" w:rsidRPr="0021507A">
        <w:rPr>
          <w:rFonts w:ascii="Abo-thar" w:hAnsi="Abo-thar" w:cs="Arabic11 BT"/>
          <w:sz w:val="28"/>
          <w:vertAlign w:val="superscript"/>
          <w:rtl/>
        </w:rPr>
        <w:t>)</w:t>
      </w:r>
      <w:r w:rsidR="00217AB4" w:rsidRPr="003F3B94">
        <w:rPr>
          <w:rFonts w:ascii="Abo-thar" w:hAnsi="Abo-thar" w:hint="cs"/>
          <w:sz w:val="28"/>
          <w:rtl/>
        </w:rPr>
        <w:t>.</w:t>
      </w:r>
    </w:p>
    <w:p w:rsidR="005C664D" w:rsidRPr="00995B26" w:rsidRDefault="005C664D" w:rsidP="003F3B94">
      <w:pPr>
        <w:pStyle w:val="a0"/>
        <w:rPr>
          <w:rFonts w:hint="cs"/>
          <w:rtl/>
        </w:rPr>
      </w:pPr>
      <w:r w:rsidRPr="003F3B94">
        <w:rPr>
          <w:rFonts w:ascii="Abo-thar" w:hAnsi="Abo-thar" w:hint="cs"/>
          <w:sz w:val="28"/>
          <w:rtl/>
        </w:rPr>
        <w:t xml:space="preserve">ويروي </w:t>
      </w:r>
      <w:r w:rsidRPr="003F3B94">
        <w:rPr>
          <w:rFonts w:ascii="Abo-thar" w:hAnsi="Abo-thar"/>
          <w:sz w:val="28"/>
          <w:rtl/>
        </w:rPr>
        <w:t>«</w:t>
      </w:r>
      <w:r w:rsidRPr="003F3B94">
        <w:rPr>
          <w:rFonts w:ascii="Abo-thar" w:hAnsi="Abo-thar" w:hint="cs"/>
          <w:b/>
          <w:bCs/>
          <w:sz w:val="28"/>
          <w:rtl/>
        </w:rPr>
        <w:t>أحمد بن هلال</w:t>
      </w:r>
      <w:r w:rsidRPr="003F3B94">
        <w:rPr>
          <w:rFonts w:ascii="Abo-thar" w:hAnsi="Abo-thar"/>
          <w:sz w:val="28"/>
          <w:rtl/>
        </w:rPr>
        <w:t>»</w:t>
      </w:r>
      <w:r w:rsidRPr="003F3B94">
        <w:rPr>
          <w:rFonts w:ascii="Abo-thar" w:hAnsi="Abo-thar" w:hint="cs"/>
          <w:sz w:val="28"/>
          <w:rtl/>
        </w:rPr>
        <w:t xml:space="preserve"> هذا الحديث عن </w:t>
      </w:r>
      <w:r w:rsidRPr="003F3B94">
        <w:rPr>
          <w:rFonts w:ascii="Abo-thar" w:hAnsi="Abo-thar"/>
          <w:sz w:val="28"/>
          <w:rtl/>
        </w:rPr>
        <w:t>«</w:t>
      </w:r>
      <w:r w:rsidRPr="003F3B94">
        <w:rPr>
          <w:rFonts w:ascii="Abo-thar" w:hAnsi="Abo-thar" w:hint="cs"/>
          <w:b/>
          <w:bCs/>
          <w:sz w:val="28"/>
          <w:rtl/>
        </w:rPr>
        <w:t>أبان بن عثمان</w:t>
      </w:r>
      <w:r w:rsidRPr="003F3B94">
        <w:rPr>
          <w:rFonts w:ascii="Abo-thar" w:hAnsi="Abo-thar"/>
          <w:sz w:val="28"/>
          <w:rtl/>
        </w:rPr>
        <w:t>»</w:t>
      </w:r>
      <w:r w:rsidRPr="003F3B94">
        <w:rPr>
          <w:rFonts w:ascii="Abo-thar" w:hAnsi="Abo-thar" w:hint="cs"/>
          <w:sz w:val="28"/>
          <w:rtl/>
        </w:rPr>
        <w:t xml:space="preserve"> الذي كان ناووسياً والناووسية كانوا فرقة ذهبت إلى إلـهية الإمام الصادق</w:t>
      </w:r>
      <w:r w:rsidR="00217AB4" w:rsidRPr="003F3B94">
        <w:rPr>
          <w:rFonts w:ascii="Abo-thar" w:hAnsi="Abo-thar" w:hint="cs"/>
          <w:sz w:val="28"/>
          <w:rtl/>
        </w:rPr>
        <w:t>!!</w:t>
      </w:r>
      <w:r w:rsidRPr="003F3B94">
        <w:rPr>
          <w:rFonts w:ascii="Abo-thar" w:hAnsi="Abo-thar" w:hint="cs"/>
          <w:sz w:val="28"/>
          <w:rtl/>
        </w:rPr>
        <w:t xml:space="preserve"> ولذلك قال فخر المحققين عنه</w:t>
      </w:r>
      <w:r w:rsidR="00217AB4" w:rsidRPr="003F3B94">
        <w:rPr>
          <w:rFonts w:ascii="Abo-thar" w:hAnsi="Abo-thar" w:hint="cs"/>
          <w:sz w:val="28"/>
          <w:rtl/>
        </w:rPr>
        <w:t>:</w:t>
      </w:r>
      <w:r w:rsidRPr="003F3B94">
        <w:rPr>
          <w:rFonts w:ascii="Abo-thar" w:hAnsi="Abo-thar" w:hint="cs"/>
          <w:sz w:val="28"/>
          <w:rtl/>
        </w:rPr>
        <w:t xml:space="preserve"> </w:t>
      </w:r>
      <w:r w:rsidR="00EF2588" w:rsidRPr="003F3B94">
        <w:rPr>
          <w:rFonts w:ascii="Abo-thar" w:hAnsi="Abo-thar" w:hint="cs"/>
          <w:sz w:val="28"/>
          <w:rtl/>
        </w:rPr>
        <w:t>«</w:t>
      </w:r>
      <w:r w:rsidRPr="003F3B94">
        <w:rPr>
          <w:rFonts w:ascii="Abo-thar" w:hAnsi="Abo-thar"/>
          <w:bCs/>
          <w:sz w:val="28"/>
          <w:rtl/>
        </w:rPr>
        <w:t>سألت من والدي عن أبان بن عثمان فقال</w:t>
      </w:r>
      <w:r w:rsidR="00217AB4" w:rsidRPr="003F3B94">
        <w:rPr>
          <w:rFonts w:ascii="Abo-thar" w:hAnsi="Abo-thar"/>
          <w:bCs/>
          <w:sz w:val="28"/>
          <w:rtl/>
        </w:rPr>
        <w:t>:</w:t>
      </w:r>
      <w:r w:rsidRPr="003F3B94">
        <w:rPr>
          <w:rFonts w:ascii="Abo-thar" w:hAnsi="Abo-thar"/>
          <w:bCs/>
          <w:sz w:val="28"/>
          <w:rtl/>
        </w:rPr>
        <w:t xml:space="preserve"> الأقرب عدم قبول روا</w:t>
      </w:r>
      <w:r w:rsidR="00D326AD" w:rsidRPr="003F3B94">
        <w:rPr>
          <w:rFonts w:ascii="Abo-thar" w:hAnsi="Abo-thar" w:hint="cs"/>
          <w:bCs/>
          <w:sz w:val="28"/>
          <w:rtl/>
        </w:rPr>
        <w:t>ي</w:t>
      </w:r>
      <w:r w:rsidRPr="003F3B94">
        <w:rPr>
          <w:rFonts w:ascii="Abo-thar" w:hAnsi="Abo-thar" w:hint="eastAsia"/>
          <w:bCs/>
          <w:sz w:val="28"/>
          <w:rtl/>
        </w:rPr>
        <w:t>ته</w:t>
      </w:r>
      <w:r w:rsidRPr="003F3B94">
        <w:rPr>
          <w:rFonts w:ascii="Abo-thar" w:hAnsi="Abo-thar"/>
          <w:bCs/>
          <w:sz w:val="28"/>
          <w:rtl/>
        </w:rPr>
        <w:t xml:space="preserve"> لقوله تعال</w:t>
      </w:r>
      <w:r w:rsidRPr="003F3B94">
        <w:rPr>
          <w:rFonts w:ascii="Abo-thar" w:hAnsi="Abo-thar" w:hint="cs"/>
          <w:bCs/>
          <w:sz w:val="28"/>
          <w:rtl/>
        </w:rPr>
        <w:t>ی</w:t>
      </w:r>
      <w:r w:rsidR="00217AB4" w:rsidRPr="003F3B94">
        <w:rPr>
          <w:rFonts w:ascii="Abo-thar" w:hAnsi="Abo-thar"/>
          <w:bCs/>
          <w:sz w:val="28"/>
          <w:rtl/>
        </w:rPr>
        <w:t>:</w:t>
      </w:r>
      <w:r w:rsidR="00B06788" w:rsidRPr="003F3B94">
        <w:rPr>
          <w:rFonts w:ascii="Abo-thar" w:hAnsi="Abo-thar" w:hint="cs"/>
          <w:bCs/>
          <w:sz w:val="28"/>
          <w:rtl/>
        </w:rPr>
        <w:t xml:space="preserve"> </w:t>
      </w:r>
      <w:r w:rsidR="00B06788" w:rsidRPr="00995B26">
        <w:rPr>
          <w:rFonts w:ascii="Abo-thar" w:hAnsi="Abo-thar" w:cs="Traditional Arabic" w:hint="cs"/>
          <w:b/>
          <w:sz w:val="28"/>
          <w:rtl/>
        </w:rPr>
        <w:t>﴿</w:t>
      </w:r>
      <w:r w:rsidR="00B06788" w:rsidRPr="0067048A">
        <w:rPr>
          <w:rFonts w:ascii="KFGQPC Uthmanic Script HAFS" w:cs="KFGQPC Uthmanic Script HAFS" w:hint="eastAsia"/>
          <w:sz w:val="28"/>
          <w:szCs w:val="28"/>
          <w:rtl/>
        </w:rPr>
        <w:t>يَ</w:t>
      </w:r>
      <w:r w:rsidR="00B06788" w:rsidRPr="0067048A">
        <w:rPr>
          <w:rFonts w:ascii="KFGQPC Uthmanic Script HAFS" w:cs="KFGQPC Uthmanic Script HAFS" w:hint="cs"/>
          <w:sz w:val="28"/>
          <w:szCs w:val="28"/>
          <w:rtl/>
        </w:rPr>
        <w:t>ٰٓ</w:t>
      </w:r>
      <w:r w:rsidR="00B06788" w:rsidRPr="0067048A">
        <w:rPr>
          <w:rFonts w:ascii="KFGQPC Uthmanic Script HAFS" w:cs="KFGQPC Uthmanic Script HAFS" w:hint="eastAsia"/>
          <w:sz w:val="28"/>
          <w:szCs w:val="28"/>
          <w:rtl/>
        </w:rPr>
        <w:t>أَيُّهَا</w:t>
      </w:r>
      <w:r w:rsidR="00B06788" w:rsidRPr="0067048A">
        <w:rPr>
          <w:rFonts w:ascii="KFGQPC Uthmanic Script HAFS" w:cs="KFGQPC Uthmanic Script HAFS"/>
          <w:sz w:val="28"/>
          <w:szCs w:val="28"/>
          <w:rtl/>
        </w:rPr>
        <w:t xml:space="preserve"> </w:t>
      </w:r>
      <w:r w:rsidR="00B06788" w:rsidRPr="0067048A">
        <w:rPr>
          <w:rFonts w:ascii="KFGQPC Uthmanic Script HAFS" w:cs="KFGQPC Uthmanic Script HAFS" w:hint="cs"/>
          <w:sz w:val="28"/>
          <w:szCs w:val="28"/>
          <w:rtl/>
        </w:rPr>
        <w:t>ٱ</w:t>
      </w:r>
      <w:r w:rsidR="00B06788" w:rsidRPr="0067048A">
        <w:rPr>
          <w:rFonts w:ascii="KFGQPC Uthmanic Script HAFS" w:cs="KFGQPC Uthmanic Script HAFS" w:hint="eastAsia"/>
          <w:sz w:val="28"/>
          <w:szCs w:val="28"/>
          <w:rtl/>
        </w:rPr>
        <w:t>لَّذِينَ</w:t>
      </w:r>
      <w:r w:rsidR="00B06788" w:rsidRPr="0067048A">
        <w:rPr>
          <w:rFonts w:ascii="KFGQPC Uthmanic Script HAFS" w:cs="KFGQPC Uthmanic Script HAFS"/>
          <w:sz w:val="28"/>
          <w:szCs w:val="28"/>
          <w:rtl/>
        </w:rPr>
        <w:t xml:space="preserve"> </w:t>
      </w:r>
      <w:r w:rsidR="00B06788" w:rsidRPr="0067048A">
        <w:rPr>
          <w:rFonts w:ascii="KFGQPC Uthmanic Script HAFS" w:cs="KFGQPC Uthmanic Script HAFS" w:hint="eastAsia"/>
          <w:sz w:val="28"/>
          <w:szCs w:val="28"/>
          <w:rtl/>
        </w:rPr>
        <w:t>ءَامَنُو</w:t>
      </w:r>
      <w:r w:rsidR="00B06788" w:rsidRPr="0067048A">
        <w:rPr>
          <w:rFonts w:ascii="KFGQPC Uthmanic Script HAFS" w:cs="KFGQPC Uthmanic Script HAFS" w:hint="cs"/>
          <w:sz w:val="28"/>
          <w:szCs w:val="28"/>
          <w:rtl/>
        </w:rPr>
        <w:t>ٓ</w:t>
      </w:r>
      <w:r w:rsidR="00B06788" w:rsidRPr="0067048A">
        <w:rPr>
          <w:rFonts w:ascii="KFGQPC Uthmanic Script HAFS" w:cs="KFGQPC Uthmanic Script HAFS" w:hint="eastAsia"/>
          <w:sz w:val="28"/>
          <w:szCs w:val="28"/>
          <w:rtl/>
        </w:rPr>
        <w:t>اْ</w:t>
      </w:r>
      <w:r w:rsidR="00B06788" w:rsidRPr="0067048A">
        <w:rPr>
          <w:rFonts w:ascii="KFGQPC Uthmanic Script HAFS" w:cs="KFGQPC Uthmanic Script HAFS"/>
          <w:sz w:val="28"/>
          <w:szCs w:val="28"/>
          <w:rtl/>
        </w:rPr>
        <w:t xml:space="preserve"> </w:t>
      </w:r>
      <w:r w:rsidR="00B06788" w:rsidRPr="0067048A">
        <w:rPr>
          <w:rFonts w:ascii="KFGQPC Uthmanic Script HAFS" w:cs="KFGQPC Uthmanic Script HAFS" w:hint="eastAsia"/>
          <w:sz w:val="28"/>
          <w:szCs w:val="28"/>
          <w:rtl/>
        </w:rPr>
        <w:t>إِن</w:t>
      </w:r>
      <w:r w:rsidR="00B06788" w:rsidRPr="0067048A">
        <w:rPr>
          <w:rFonts w:ascii="KFGQPC Uthmanic Script HAFS" w:cs="KFGQPC Uthmanic Script HAFS"/>
          <w:sz w:val="28"/>
          <w:szCs w:val="28"/>
          <w:rtl/>
        </w:rPr>
        <w:t xml:space="preserve"> </w:t>
      </w:r>
      <w:r w:rsidR="00B06788" w:rsidRPr="0067048A">
        <w:rPr>
          <w:rFonts w:ascii="KFGQPC Uthmanic Script HAFS" w:cs="KFGQPC Uthmanic Script HAFS" w:hint="eastAsia"/>
          <w:sz w:val="28"/>
          <w:szCs w:val="28"/>
          <w:rtl/>
        </w:rPr>
        <w:t>جَا</w:t>
      </w:r>
      <w:r w:rsidR="00B06788" w:rsidRPr="0067048A">
        <w:rPr>
          <w:rFonts w:ascii="KFGQPC Uthmanic Script HAFS" w:cs="KFGQPC Uthmanic Script HAFS" w:hint="cs"/>
          <w:sz w:val="28"/>
          <w:szCs w:val="28"/>
          <w:rtl/>
        </w:rPr>
        <w:t>ٓ</w:t>
      </w:r>
      <w:r w:rsidR="00B06788" w:rsidRPr="0067048A">
        <w:rPr>
          <w:rFonts w:ascii="KFGQPC Uthmanic Script HAFS" w:cs="KFGQPC Uthmanic Script HAFS" w:hint="eastAsia"/>
          <w:sz w:val="28"/>
          <w:szCs w:val="28"/>
          <w:rtl/>
        </w:rPr>
        <w:t>ءَكُم</w:t>
      </w:r>
      <w:r w:rsidR="00B06788" w:rsidRPr="0067048A">
        <w:rPr>
          <w:rFonts w:ascii="KFGQPC Uthmanic Script HAFS" w:cs="KFGQPC Uthmanic Script HAFS" w:hint="cs"/>
          <w:sz w:val="28"/>
          <w:szCs w:val="28"/>
          <w:rtl/>
        </w:rPr>
        <w:t>ۡ</w:t>
      </w:r>
      <w:r w:rsidR="00B06788" w:rsidRPr="0067048A">
        <w:rPr>
          <w:rFonts w:ascii="KFGQPC Uthmanic Script HAFS" w:cs="KFGQPC Uthmanic Script HAFS"/>
          <w:sz w:val="28"/>
          <w:szCs w:val="28"/>
          <w:rtl/>
        </w:rPr>
        <w:t xml:space="preserve"> </w:t>
      </w:r>
      <w:r w:rsidR="00B06788" w:rsidRPr="0067048A">
        <w:rPr>
          <w:rFonts w:ascii="KFGQPC Uthmanic Script HAFS" w:cs="KFGQPC Uthmanic Script HAFS" w:hint="eastAsia"/>
          <w:sz w:val="28"/>
          <w:szCs w:val="28"/>
          <w:rtl/>
        </w:rPr>
        <w:t>فَاسِقُ</w:t>
      </w:r>
      <w:r w:rsidR="00B06788" w:rsidRPr="0067048A">
        <w:rPr>
          <w:rFonts w:ascii="KFGQPC Uthmanic Script HAFS" w:cs="KFGQPC Uthmanic Script HAFS" w:hint="cs"/>
          <w:sz w:val="28"/>
          <w:szCs w:val="28"/>
          <w:rtl/>
        </w:rPr>
        <w:t>ۢ</w:t>
      </w:r>
      <w:r w:rsidR="00B06788" w:rsidRPr="0067048A">
        <w:rPr>
          <w:rFonts w:ascii="KFGQPC Uthmanic Script HAFS" w:cs="KFGQPC Uthmanic Script HAFS"/>
          <w:sz w:val="28"/>
          <w:szCs w:val="28"/>
          <w:rtl/>
        </w:rPr>
        <w:t xml:space="preserve"> </w:t>
      </w:r>
      <w:r w:rsidR="00B06788" w:rsidRPr="0067048A">
        <w:rPr>
          <w:rFonts w:ascii="KFGQPC Uthmanic Script HAFS" w:cs="KFGQPC Uthmanic Script HAFS" w:hint="eastAsia"/>
          <w:sz w:val="28"/>
          <w:szCs w:val="28"/>
          <w:rtl/>
        </w:rPr>
        <w:t>بِنَبَإ</w:t>
      </w:r>
      <w:r w:rsidR="00B06788" w:rsidRPr="0067048A">
        <w:rPr>
          <w:rFonts w:ascii="KFGQPC Uthmanic Script HAFS" w:cs="KFGQPC Uthmanic Script HAFS" w:hint="cs"/>
          <w:sz w:val="28"/>
          <w:szCs w:val="28"/>
          <w:rtl/>
        </w:rPr>
        <w:t>ٖ</w:t>
      </w:r>
      <w:r w:rsidR="00B06788" w:rsidRPr="0067048A">
        <w:rPr>
          <w:rFonts w:ascii="KFGQPC Uthmanic Script HAFS" w:cs="KFGQPC Uthmanic Script HAFS"/>
          <w:sz w:val="28"/>
          <w:szCs w:val="28"/>
          <w:rtl/>
        </w:rPr>
        <w:t xml:space="preserve"> </w:t>
      </w:r>
      <w:r w:rsidR="00B06788" w:rsidRPr="0067048A">
        <w:rPr>
          <w:rFonts w:ascii="KFGQPC Uthmanic Script HAFS" w:cs="KFGQPC Uthmanic Script HAFS" w:hint="eastAsia"/>
          <w:sz w:val="28"/>
          <w:szCs w:val="28"/>
          <w:rtl/>
        </w:rPr>
        <w:t>فَتَبَيَّنُو</w:t>
      </w:r>
      <w:r w:rsidR="00B06788" w:rsidRPr="0067048A">
        <w:rPr>
          <w:rFonts w:ascii="KFGQPC Uthmanic Script HAFS" w:cs="KFGQPC Uthmanic Script HAFS" w:hint="cs"/>
          <w:sz w:val="28"/>
          <w:szCs w:val="28"/>
          <w:rtl/>
        </w:rPr>
        <w:t>ٓ</w:t>
      </w:r>
      <w:r w:rsidR="00B06788" w:rsidRPr="0067048A">
        <w:rPr>
          <w:rFonts w:ascii="KFGQPC Uthmanic Script HAFS" w:cs="KFGQPC Uthmanic Script HAFS" w:hint="eastAsia"/>
          <w:sz w:val="28"/>
          <w:szCs w:val="28"/>
          <w:rtl/>
        </w:rPr>
        <w:t>اْ</w:t>
      </w:r>
      <w:r w:rsidR="00B06788" w:rsidRPr="0067048A">
        <w:rPr>
          <w:rFonts w:ascii="KFGQPC Uthmanic Script HAFS" w:cs="KFGQPC Uthmanic Script HAFS"/>
          <w:sz w:val="28"/>
          <w:szCs w:val="28"/>
          <w:rtl/>
        </w:rPr>
        <w:t xml:space="preserve"> </w:t>
      </w:r>
      <w:r w:rsidR="00B06788" w:rsidRPr="0067048A">
        <w:rPr>
          <w:rFonts w:ascii="KFGQPC Uthmanic Script HAFS" w:cs="KFGQPC Uthmanic Script HAFS" w:hint="eastAsia"/>
          <w:sz w:val="28"/>
          <w:szCs w:val="28"/>
          <w:rtl/>
        </w:rPr>
        <w:t>أَن</w:t>
      </w:r>
      <w:r w:rsidR="00B06788" w:rsidRPr="0067048A">
        <w:rPr>
          <w:rFonts w:ascii="KFGQPC Uthmanic Script HAFS" w:cs="KFGQPC Uthmanic Script HAFS"/>
          <w:sz w:val="28"/>
          <w:szCs w:val="28"/>
          <w:rtl/>
        </w:rPr>
        <w:t xml:space="preserve"> </w:t>
      </w:r>
      <w:r w:rsidR="00B06788" w:rsidRPr="0067048A">
        <w:rPr>
          <w:rFonts w:ascii="KFGQPC Uthmanic Script HAFS" w:cs="KFGQPC Uthmanic Script HAFS" w:hint="eastAsia"/>
          <w:sz w:val="28"/>
          <w:szCs w:val="28"/>
          <w:rtl/>
        </w:rPr>
        <w:t>تُصِيبُواْ</w:t>
      </w:r>
      <w:r w:rsidR="00B06788" w:rsidRPr="0067048A">
        <w:rPr>
          <w:rFonts w:ascii="KFGQPC Uthmanic Script HAFS" w:cs="KFGQPC Uthmanic Script HAFS"/>
          <w:sz w:val="28"/>
          <w:szCs w:val="28"/>
          <w:rtl/>
        </w:rPr>
        <w:t xml:space="preserve"> </w:t>
      </w:r>
      <w:r w:rsidR="00B06788" w:rsidRPr="0067048A">
        <w:rPr>
          <w:rFonts w:ascii="KFGQPC Uthmanic Script HAFS" w:cs="KFGQPC Uthmanic Script HAFS" w:hint="eastAsia"/>
          <w:sz w:val="28"/>
          <w:szCs w:val="28"/>
          <w:rtl/>
        </w:rPr>
        <w:t>قَو</w:t>
      </w:r>
      <w:r w:rsidR="00B06788" w:rsidRPr="0067048A">
        <w:rPr>
          <w:rFonts w:ascii="KFGQPC Uthmanic Script HAFS" w:cs="KFGQPC Uthmanic Script HAFS" w:hint="cs"/>
          <w:sz w:val="28"/>
          <w:szCs w:val="28"/>
          <w:rtl/>
        </w:rPr>
        <w:t>ۡ</w:t>
      </w:r>
      <w:r w:rsidR="00B06788" w:rsidRPr="0067048A">
        <w:rPr>
          <w:rFonts w:ascii="KFGQPC Uthmanic Script HAFS" w:cs="KFGQPC Uthmanic Script HAFS" w:hint="eastAsia"/>
          <w:sz w:val="28"/>
          <w:szCs w:val="28"/>
          <w:rtl/>
        </w:rPr>
        <w:t>مَ</w:t>
      </w:r>
      <w:r w:rsidR="00B06788" w:rsidRPr="0067048A">
        <w:rPr>
          <w:rFonts w:ascii="KFGQPC Uthmanic Script HAFS" w:cs="KFGQPC Uthmanic Script HAFS" w:hint="cs"/>
          <w:sz w:val="28"/>
          <w:szCs w:val="28"/>
          <w:rtl/>
        </w:rPr>
        <w:t>ۢ</w:t>
      </w:r>
      <w:r w:rsidR="00B06788" w:rsidRPr="0067048A">
        <w:rPr>
          <w:rFonts w:ascii="KFGQPC Uthmanic Script HAFS" w:cs="KFGQPC Uthmanic Script HAFS" w:hint="eastAsia"/>
          <w:sz w:val="28"/>
          <w:szCs w:val="28"/>
          <w:rtl/>
        </w:rPr>
        <w:t>ا</w:t>
      </w:r>
      <w:r w:rsidR="00B06788" w:rsidRPr="0067048A">
        <w:rPr>
          <w:rFonts w:ascii="KFGQPC Uthmanic Script HAFS" w:cs="KFGQPC Uthmanic Script HAFS"/>
          <w:sz w:val="28"/>
          <w:szCs w:val="28"/>
          <w:rtl/>
        </w:rPr>
        <w:t xml:space="preserve"> </w:t>
      </w:r>
      <w:r w:rsidR="00B06788" w:rsidRPr="0067048A">
        <w:rPr>
          <w:rFonts w:ascii="KFGQPC Uthmanic Script HAFS" w:cs="KFGQPC Uthmanic Script HAFS" w:hint="eastAsia"/>
          <w:sz w:val="28"/>
          <w:szCs w:val="28"/>
          <w:rtl/>
        </w:rPr>
        <w:t>بِجَهَ</w:t>
      </w:r>
      <w:r w:rsidR="00B06788" w:rsidRPr="0067048A">
        <w:rPr>
          <w:rFonts w:ascii="KFGQPC Uthmanic Script HAFS" w:cs="KFGQPC Uthmanic Script HAFS" w:hint="cs"/>
          <w:sz w:val="28"/>
          <w:szCs w:val="28"/>
          <w:rtl/>
        </w:rPr>
        <w:t>ٰ</w:t>
      </w:r>
      <w:r w:rsidR="00B06788" w:rsidRPr="0067048A">
        <w:rPr>
          <w:rFonts w:ascii="KFGQPC Uthmanic Script HAFS" w:cs="KFGQPC Uthmanic Script HAFS" w:hint="eastAsia"/>
          <w:sz w:val="28"/>
          <w:szCs w:val="28"/>
          <w:rtl/>
        </w:rPr>
        <w:t>لَة</w:t>
      </w:r>
      <w:r w:rsidR="00B06788" w:rsidRPr="0067048A">
        <w:rPr>
          <w:rFonts w:ascii="KFGQPC Uthmanic Script HAFS" w:cs="KFGQPC Uthmanic Script HAFS" w:hint="cs"/>
          <w:sz w:val="28"/>
          <w:szCs w:val="28"/>
          <w:rtl/>
        </w:rPr>
        <w:t>ٖ</w:t>
      </w:r>
      <w:r w:rsidR="00B06788" w:rsidRPr="0067048A">
        <w:rPr>
          <w:rFonts w:ascii="KFGQPC Uthmanic Script HAFS" w:cs="KFGQPC Uthmanic Script HAFS"/>
          <w:sz w:val="28"/>
          <w:szCs w:val="28"/>
          <w:rtl/>
        </w:rPr>
        <w:t xml:space="preserve"> </w:t>
      </w:r>
      <w:r w:rsidR="00B06788" w:rsidRPr="0067048A">
        <w:rPr>
          <w:rFonts w:ascii="KFGQPC Uthmanic Script HAFS" w:cs="KFGQPC Uthmanic Script HAFS" w:hint="eastAsia"/>
          <w:sz w:val="28"/>
          <w:szCs w:val="28"/>
          <w:rtl/>
        </w:rPr>
        <w:t>فَتُص</w:t>
      </w:r>
      <w:r w:rsidR="00B06788" w:rsidRPr="0067048A">
        <w:rPr>
          <w:rFonts w:ascii="KFGQPC Uthmanic Script HAFS" w:cs="KFGQPC Uthmanic Script HAFS" w:hint="cs"/>
          <w:sz w:val="28"/>
          <w:szCs w:val="28"/>
          <w:rtl/>
        </w:rPr>
        <w:t>ۡ</w:t>
      </w:r>
      <w:r w:rsidR="00B06788" w:rsidRPr="0067048A">
        <w:rPr>
          <w:rFonts w:ascii="KFGQPC Uthmanic Script HAFS" w:cs="KFGQPC Uthmanic Script HAFS" w:hint="eastAsia"/>
          <w:sz w:val="28"/>
          <w:szCs w:val="28"/>
          <w:rtl/>
        </w:rPr>
        <w:t>بِحُواْ</w:t>
      </w:r>
      <w:r w:rsidR="00B06788" w:rsidRPr="0067048A">
        <w:rPr>
          <w:rFonts w:ascii="KFGQPC Uthmanic Script HAFS" w:cs="KFGQPC Uthmanic Script HAFS"/>
          <w:sz w:val="28"/>
          <w:szCs w:val="28"/>
          <w:rtl/>
        </w:rPr>
        <w:t xml:space="preserve"> </w:t>
      </w:r>
      <w:r w:rsidR="00B06788" w:rsidRPr="0067048A">
        <w:rPr>
          <w:rFonts w:ascii="KFGQPC Uthmanic Script HAFS" w:cs="KFGQPC Uthmanic Script HAFS" w:hint="eastAsia"/>
          <w:sz w:val="28"/>
          <w:szCs w:val="28"/>
          <w:rtl/>
        </w:rPr>
        <w:t>عَلَى</w:t>
      </w:r>
      <w:r w:rsidR="00B06788" w:rsidRPr="0067048A">
        <w:rPr>
          <w:rFonts w:ascii="KFGQPC Uthmanic Script HAFS" w:cs="KFGQPC Uthmanic Script HAFS" w:hint="cs"/>
          <w:sz w:val="28"/>
          <w:szCs w:val="28"/>
          <w:rtl/>
        </w:rPr>
        <w:t>ٰ</w:t>
      </w:r>
      <w:r w:rsidR="00B06788" w:rsidRPr="0067048A">
        <w:rPr>
          <w:rFonts w:ascii="KFGQPC Uthmanic Script HAFS" w:cs="KFGQPC Uthmanic Script HAFS"/>
          <w:sz w:val="28"/>
          <w:szCs w:val="28"/>
          <w:rtl/>
        </w:rPr>
        <w:t xml:space="preserve"> </w:t>
      </w:r>
      <w:r w:rsidR="00B06788" w:rsidRPr="0067048A">
        <w:rPr>
          <w:rFonts w:ascii="KFGQPC Uthmanic Script HAFS" w:cs="KFGQPC Uthmanic Script HAFS" w:hint="eastAsia"/>
          <w:sz w:val="28"/>
          <w:szCs w:val="28"/>
          <w:rtl/>
        </w:rPr>
        <w:t>مَا</w:t>
      </w:r>
      <w:r w:rsidR="00B06788" w:rsidRPr="0067048A">
        <w:rPr>
          <w:rFonts w:ascii="KFGQPC Uthmanic Script HAFS" w:cs="KFGQPC Uthmanic Script HAFS"/>
          <w:sz w:val="28"/>
          <w:szCs w:val="28"/>
          <w:rtl/>
        </w:rPr>
        <w:t xml:space="preserve"> </w:t>
      </w:r>
      <w:r w:rsidR="00B06788" w:rsidRPr="0067048A">
        <w:rPr>
          <w:rFonts w:ascii="KFGQPC Uthmanic Script HAFS" w:cs="KFGQPC Uthmanic Script HAFS" w:hint="eastAsia"/>
          <w:sz w:val="28"/>
          <w:szCs w:val="28"/>
          <w:rtl/>
        </w:rPr>
        <w:t>فَعَل</w:t>
      </w:r>
      <w:r w:rsidR="00B06788" w:rsidRPr="0067048A">
        <w:rPr>
          <w:rFonts w:ascii="KFGQPC Uthmanic Script HAFS" w:cs="KFGQPC Uthmanic Script HAFS" w:hint="cs"/>
          <w:sz w:val="28"/>
          <w:szCs w:val="28"/>
          <w:rtl/>
        </w:rPr>
        <w:t>ۡ</w:t>
      </w:r>
      <w:r w:rsidR="00B06788" w:rsidRPr="0067048A">
        <w:rPr>
          <w:rFonts w:ascii="KFGQPC Uthmanic Script HAFS" w:cs="KFGQPC Uthmanic Script HAFS" w:hint="eastAsia"/>
          <w:sz w:val="28"/>
          <w:szCs w:val="28"/>
          <w:rtl/>
        </w:rPr>
        <w:t>تُم</w:t>
      </w:r>
      <w:r w:rsidR="00B06788" w:rsidRPr="0067048A">
        <w:rPr>
          <w:rFonts w:ascii="KFGQPC Uthmanic Script HAFS" w:cs="KFGQPC Uthmanic Script HAFS" w:hint="cs"/>
          <w:sz w:val="28"/>
          <w:szCs w:val="28"/>
          <w:rtl/>
        </w:rPr>
        <w:t>ۡ</w:t>
      </w:r>
      <w:r w:rsidR="00B06788" w:rsidRPr="0067048A">
        <w:rPr>
          <w:rFonts w:ascii="KFGQPC Uthmanic Script HAFS" w:cs="KFGQPC Uthmanic Script HAFS"/>
          <w:sz w:val="28"/>
          <w:szCs w:val="28"/>
          <w:rtl/>
        </w:rPr>
        <w:t xml:space="preserve"> </w:t>
      </w:r>
      <w:r w:rsidR="00B06788" w:rsidRPr="0067048A">
        <w:rPr>
          <w:rFonts w:ascii="KFGQPC Uthmanic Script HAFS" w:cs="KFGQPC Uthmanic Script HAFS" w:hint="eastAsia"/>
          <w:sz w:val="28"/>
          <w:szCs w:val="28"/>
          <w:rtl/>
        </w:rPr>
        <w:t>نَ</w:t>
      </w:r>
      <w:r w:rsidR="00B06788" w:rsidRPr="0067048A">
        <w:rPr>
          <w:rFonts w:ascii="KFGQPC Uthmanic Script HAFS" w:cs="KFGQPC Uthmanic Script HAFS" w:hint="cs"/>
          <w:sz w:val="28"/>
          <w:szCs w:val="28"/>
          <w:rtl/>
        </w:rPr>
        <w:t>ٰ</w:t>
      </w:r>
      <w:r w:rsidR="00B06788" w:rsidRPr="0067048A">
        <w:rPr>
          <w:rFonts w:ascii="KFGQPC Uthmanic Script HAFS" w:cs="KFGQPC Uthmanic Script HAFS" w:hint="eastAsia"/>
          <w:sz w:val="28"/>
          <w:szCs w:val="28"/>
          <w:rtl/>
        </w:rPr>
        <w:t>دِمِينَ</w:t>
      </w:r>
      <w:r w:rsidR="00B06788" w:rsidRPr="0067048A">
        <w:rPr>
          <w:rFonts w:ascii="KFGQPC Uthmanic Script HAFS" w:cs="KFGQPC Uthmanic Script HAFS"/>
          <w:sz w:val="28"/>
          <w:szCs w:val="28"/>
          <w:rtl/>
        </w:rPr>
        <w:t xml:space="preserve"> </w:t>
      </w:r>
      <w:r w:rsidR="00B06788" w:rsidRPr="0067048A">
        <w:rPr>
          <w:rFonts w:ascii="KFGQPC Uthmanic Script HAFS" w:cs="KFGQPC Uthmanic Script HAFS" w:hint="cs"/>
          <w:sz w:val="28"/>
          <w:szCs w:val="28"/>
          <w:rtl/>
        </w:rPr>
        <w:t>٦</w:t>
      </w:r>
      <w:r w:rsidR="00B06788" w:rsidRPr="00995B26">
        <w:rPr>
          <w:rFonts w:ascii="Abo-thar" w:hAnsi="Abo-thar" w:cs="Traditional Arabic" w:hint="cs"/>
          <w:b/>
          <w:sz w:val="28"/>
          <w:rtl/>
        </w:rPr>
        <w:t>﴾</w:t>
      </w:r>
      <w:r w:rsidRPr="00995B26">
        <w:rPr>
          <w:rFonts w:ascii="Abo-thar" w:hAnsi="Abo-thar" w:hint="cs"/>
          <w:bCs/>
          <w:sz w:val="28"/>
          <w:rtl/>
        </w:rPr>
        <w:t xml:space="preserve"> </w:t>
      </w:r>
      <w:r w:rsidRPr="003108CB">
        <w:rPr>
          <w:rStyle w:val="Char2"/>
          <w:rFonts w:hint="cs"/>
          <w:rtl/>
        </w:rPr>
        <w:t>[</w:t>
      </w:r>
      <w:r w:rsidRPr="003108CB">
        <w:rPr>
          <w:rStyle w:val="Char2"/>
          <w:rtl/>
        </w:rPr>
        <w:t>الحجرات</w:t>
      </w:r>
      <w:r w:rsidR="00B06788" w:rsidRPr="003108CB">
        <w:rPr>
          <w:rStyle w:val="Char2"/>
          <w:rFonts w:hint="cs"/>
          <w:rtl/>
        </w:rPr>
        <w:t xml:space="preserve">: </w:t>
      </w:r>
      <w:r w:rsidRPr="003108CB">
        <w:rPr>
          <w:rStyle w:val="Char2"/>
          <w:rtl/>
        </w:rPr>
        <w:t>6</w:t>
      </w:r>
      <w:r w:rsidRPr="003108CB">
        <w:rPr>
          <w:rStyle w:val="Char2"/>
          <w:rFonts w:hint="cs"/>
          <w:rtl/>
        </w:rPr>
        <w:t>]</w:t>
      </w:r>
      <w:r w:rsidR="00B06788" w:rsidRPr="00995B26">
        <w:rPr>
          <w:rFonts w:ascii="Abo-thar" w:hAnsi="Abo-thar" w:hint="cs"/>
          <w:sz w:val="28"/>
          <w:rtl/>
        </w:rPr>
        <w:t xml:space="preserve"> </w:t>
      </w:r>
      <w:r w:rsidR="00EF2588" w:rsidRPr="00995B26">
        <w:rPr>
          <w:rFonts w:ascii="Abo-thar" w:hAnsi="Abo-thar" w:hint="cs"/>
          <w:sz w:val="28"/>
          <w:rtl/>
        </w:rPr>
        <w:t>»</w:t>
      </w:r>
      <w:r w:rsidR="00217AB4" w:rsidRPr="00995B26">
        <w:rPr>
          <w:rFonts w:ascii="Abo-thar" w:hAnsi="Abo-thar" w:hint="cs"/>
          <w:sz w:val="28"/>
          <w:rtl/>
        </w:rPr>
        <w:t>.</w:t>
      </w:r>
    </w:p>
    <w:p w:rsidR="005C664D" w:rsidRPr="003F3B94" w:rsidRDefault="005C664D" w:rsidP="003F3B94">
      <w:pPr>
        <w:pStyle w:val="a0"/>
        <w:rPr>
          <w:rFonts w:hint="cs"/>
          <w:rtl/>
        </w:rPr>
      </w:pPr>
      <w:r w:rsidRPr="003F3B94">
        <w:rPr>
          <w:rFonts w:ascii="Abo-thar" w:hAnsi="Abo-thar" w:hint="cs"/>
          <w:sz w:val="28"/>
          <w:rtl/>
        </w:rPr>
        <w:t xml:space="preserve">تلك كانت الأحاديث العشرة التي أوردها صاحب </w:t>
      </w:r>
      <w:r w:rsidRPr="003F3B94">
        <w:rPr>
          <w:rFonts w:ascii="Abo-thar" w:hAnsi="Abo-thar" w:hint="eastAsia"/>
          <w:sz w:val="28"/>
          <w:rtl/>
        </w:rPr>
        <w:t>«</w:t>
      </w:r>
      <w:r w:rsidRPr="003F3B94">
        <w:rPr>
          <w:rFonts w:ascii="Abo-thar" w:hAnsi="Abo-thar" w:hint="cs"/>
          <w:b/>
          <w:bCs/>
          <w:sz w:val="28"/>
          <w:rtl/>
        </w:rPr>
        <w:t>وسائل الشيعة</w:t>
      </w:r>
      <w:r w:rsidRPr="003F3B94">
        <w:rPr>
          <w:rFonts w:ascii="Abo-thar" w:hAnsi="Abo-thar" w:hint="eastAsia"/>
          <w:sz w:val="28"/>
          <w:rtl/>
        </w:rPr>
        <w:t>»</w:t>
      </w:r>
      <w:r w:rsidRPr="003F3B94">
        <w:rPr>
          <w:rFonts w:ascii="Abo-thar" w:hAnsi="Abo-thar" w:hint="cs"/>
          <w:sz w:val="28"/>
          <w:rtl/>
        </w:rPr>
        <w:t xml:space="preserve"> في باب وجوب خمس أرباح المكاسب والزراعات والصناعات وجمعها إلى بعضها البعض كي يصنع منها بناء ذا واجهة مرعبة ولكنها تؤمِّنُ رزقاً مفيداً للطفيليين الذين يعيشون عالة على أموال الناس</w:t>
      </w:r>
      <w:r w:rsidR="00217AB4" w:rsidRPr="003F3B94">
        <w:rPr>
          <w:rFonts w:ascii="Abo-thar" w:hAnsi="Abo-thar" w:hint="cs"/>
          <w:sz w:val="28"/>
          <w:rtl/>
        </w:rPr>
        <w:t>!!</w:t>
      </w:r>
      <w:r w:rsidRPr="003F3B94">
        <w:rPr>
          <w:rFonts w:ascii="Abo-thar" w:hAnsi="Abo-thar" w:hint="cs"/>
          <w:sz w:val="28"/>
          <w:rtl/>
        </w:rPr>
        <w:t xml:space="preserve"> </w:t>
      </w:r>
    </w:p>
    <w:p w:rsidR="005C664D" w:rsidRPr="003F3B94" w:rsidRDefault="005C664D" w:rsidP="003F3B94">
      <w:pPr>
        <w:pStyle w:val="a0"/>
        <w:rPr>
          <w:rFonts w:hint="cs"/>
          <w:rtl/>
        </w:rPr>
      </w:pPr>
      <w:r w:rsidRPr="003F3B94">
        <w:rPr>
          <w:rFonts w:ascii="Abo-thar" w:hAnsi="Abo-thar" w:hint="cs"/>
          <w:sz w:val="28"/>
          <w:rtl/>
        </w:rPr>
        <w:t>أجل لقد أوجدوا من تلك الأقوال المتهافتة والمضطربة والمليئة بالمجهولات حانوتاً عظيماً يمكن من خلاله الحصول على خمس دخل جميع الناس في الدنيا ليختصوا به أسرة واحدة لا تشكل أكثر من</w:t>
      </w:r>
      <w:r w:rsidR="00147857" w:rsidRPr="003F3B94">
        <w:rPr>
          <w:rFonts w:ascii="Abo-thar" w:hAnsi="Abo-thar" w:hint="cs"/>
          <w:sz w:val="28"/>
          <w:rtl/>
        </w:rPr>
        <w:t xml:space="preserve"> </w:t>
      </w:r>
      <w:r w:rsidRPr="003F3B94">
        <w:rPr>
          <w:rFonts w:ascii="Abo-thar" w:hAnsi="Abo-thar" w:hint="cs"/>
          <w:sz w:val="28"/>
          <w:rtl/>
        </w:rPr>
        <w:t>0</w:t>
      </w:r>
      <w:r w:rsidR="00217AB4" w:rsidRPr="003F3B94">
        <w:rPr>
          <w:rFonts w:ascii="Abo-thar" w:hAnsi="Abo-thar" w:hint="cs"/>
          <w:sz w:val="28"/>
          <w:rtl/>
        </w:rPr>
        <w:t>.</w:t>
      </w:r>
      <w:r w:rsidRPr="003F3B94">
        <w:rPr>
          <w:rFonts w:ascii="Abo-thar" w:hAnsi="Abo-thar" w:hint="cs"/>
          <w:sz w:val="28"/>
          <w:rtl/>
        </w:rPr>
        <w:t>5 بالألف من سكان العالم</w:t>
      </w:r>
      <w:r w:rsidR="001E0DB7" w:rsidRPr="003F3B94">
        <w:rPr>
          <w:rFonts w:ascii="Abo-thar" w:hAnsi="Abo-thar" w:hint="cs"/>
          <w:sz w:val="28"/>
          <w:rtl/>
        </w:rPr>
        <w:t>،</w:t>
      </w:r>
      <w:r w:rsidRPr="003F3B94">
        <w:rPr>
          <w:rFonts w:ascii="Abo-thar" w:hAnsi="Abo-thar" w:hint="cs"/>
          <w:sz w:val="28"/>
          <w:rtl/>
        </w:rPr>
        <w:t xml:space="preserve"> ولا يزال هذا الحانوت يعمل بكل حماس ونشاط بين أفقر الناس على وجه الأرض ويحميه حماة ودعاة السحر والخرافة ويصونونه من كل أذى أو تعطيل</w:t>
      </w:r>
      <w:r w:rsidR="00217AB4" w:rsidRPr="003F3B94">
        <w:rPr>
          <w:rFonts w:ascii="Abo-thar" w:hAnsi="Abo-thar" w:hint="cs"/>
          <w:sz w:val="28"/>
          <w:rtl/>
        </w:rPr>
        <w:t>!</w:t>
      </w:r>
      <w:r w:rsidRPr="003F3B94">
        <w:rPr>
          <w:rFonts w:ascii="Abo-thar" w:hAnsi="Abo-thar" w:hint="cs"/>
          <w:sz w:val="28"/>
          <w:rtl/>
        </w:rPr>
        <w:t xml:space="preserve"> </w:t>
      </w:r>
    </w:p>
    <w:p w:rsidR="00FE2278" w:rsidRPr="003F3B94" w:rsidRDefault="00FE2278" w:rsidP="00A33EB8">
      <w:pPr>
        <w:widowControl w:val="0"/>
        <w:jc w:val="center"/>
        <w:rPr>
          <w:rFonts w:ascii="mylotus" w:hAnsi="mylotus" w:cs="mylotus"/>
          <w:b/>
          <w:bCs/>
          <w:sz w:val="28"/>
          <w:rtl/>
        </w:rPr>
      </w:pPr>
      <w:r w:rsidRPr="00A33EB8">
        <w:rPr>
          <w:rFonts w:ascii="mylotus" w:hAnsi="mylotus" w:cs="B Lotus"/>
          <w:b/>
          <w:bCs/>
          <w:sz w:val="28"/>
          <w:rtl/>
        </w:rPr>
        <w:t>***</w:t>
      </w:r>
    </w:p>
    <w:p w:rsidR="005C664D" w:rsidRPr="003F3B94" w:rsidRDefault="005C664D" w:rsidP="003F3B94">
      <w:pPr>
        <w:pStyle w:val="a0"/>
        <w:rPr>
          <w:rFonts w:hint="cs"/>
          <w:rtl/>
        </w:rPr>
      </w:pPr>
      <w:r w:rsidRPr="003F3B94">
        <w:rPr>
          <w:rFonts w:ascii="Abo-thar" w:hAnsi="Abo-thar" w:hint="cs"/>
          <w:sz w:val="28"/>
          <w:rtl/>
        </w:rPr>
        <w:t xml:space="preserve">مرَّت معنا الأحاديث العشرة التي جاءت في </w:t>
      </w:r>
      <w:r w:rsidRPr="003F3B94">
        <w:rPr>
          <w:rFonts w:ascii="Abo-thar" w:hAnsi="Abo-thar"/>
          <w:sz w:val="28"/>
          <w:rtl/>
        </w:rPr>
        <w:t>«</w:t>
      </w:r>
      <w:r w:rsidRPr="003F3B94">
        <w:rPr>
          <w:rFonts w:ascii="Abo-thar" w:hAnsi="Abo-thar" w:hint="cs"/>
          <w:b/>
          <w:bCs/>
          <w:sz w:val="28"/>
          <w:rtl/>
        </w:rPr>
        <w:t>الوسائل</w:t>
      </w:r>
      <w:r w:rsidRPr="003F3B94">
        <w:rPr>
          <w:rFonts w:ascii="Abo-thar" w:hAnsi="Abo-thar"/>
          <w:sz w:val="28"/>
          <w:rtl/>
        </w:rPr>
        <w:t>»</w:t>
      </w:r>
      <w:r w:rsidRPr="003F3B94">
        <w:rPr>
          <w:rFonts w:ascii="Abo-thar" w:hAnsi="Abo-thar" w:hint="cs"/>
          <w:sz w:val="28"/>
          <w:rtl/>
        </w:rPr>
        <w:t xml:space="preserve"> في هذا الباب</w:t>
      </w:r>
      <w:r w:rsidR="00217AB4" w:rsidRPr="003F3B94">
        <w:rPr>
          <w:rFonts w:ascii="Abo-thar" w:hAnsi="Abo-thar" w:hint="cs"/>
          <w:sz w:val="28"/>
          <w:rtl/>
        </w:rPr>
        <w:t>،</w:t>
      </w:r>
      <w:r w:rsidRPr="003F3B94">
        <w:rPr>
          <w:rFonts w:ascii="Abo-thar" w:hAnsi="Abo-thar" w:hint="cs"/>
          <w:sz w:val="28"/>
          <w:rtl/>
        </w:rPr>
        <w:t xml:space="preserve"> وتبين حالها سنداً ومتناً</w:t>
      </w:r>
      <w:r w:rsidR="00217AB4" w:rsidRPr="003F3B94">
        <w:rPr>
          <w:rFonts w:ascii="Abo-thar" w:hAnsi="Abo-thar" w:hint="cs"/>
          <w:sz w:val="28"/>
          <w:rtl/>
        </w:rPr>
        <w:t>،</w:t>
      </w:r>
      <w:r w:rsidRPr="003F3B94">
        <w:rPr>
          <w:rFonts w:ascii="Abo-thar" w:hAnsi="Abo-thar" w:hint="cs"/>
          <w:sz w:val="28"/>
          <w:rtl/>
        </w:rPr>
        <w:t xml:space="preserve"> ولكن هناك حديثٌ آخر في هذا الموضوع يبدو أنه سقط من قلم المرحوم الشيخ الحُرّ العاملي</w:t>
      </w:r>
      <w:r w:rsidR="00217AB4" w:rsidRPr="003F3B94">
        <w:rPr>
          <w:rFonts w:ascii="Abo-thar" w:hAnsi="Abo-thar" w:hint="cs"/>
          <w:sz w:val="28"/>
          <w:rtl/>
        </w:rPr>
        <w:t>،</w:t>
      </w:r>
      <w:r w:rsidRPr="003F3B94">
        <w:rPr>
          <w:rFonts w:ascii="Abo-thar" w:hAnsi="Abo-thar" w:hint="cs"/>
          <w:sz w:val="28"/>
          <w:rtl/>
        </w:rPr>
        <w:t xml:space="preserve"> أو أنه لم يذكره في الوسائل لشدّة ضعفه</w:t>
      </w:r>
      <w:r w:rsidR="00217AB4" w:rsidRPr="003F3B94">
        <w:rPr>
          <w:rFonts w:ascii="Abo-thar" w:hAnsi="Abo-thar" w:hint="cs"/>
          <w:sz w:val="28"/>
          <w:rtl/>
        </w:rPr>
        <w:t>،</w:t>
      </w:r>
      <w:r w:rsidRPr="003F3B94">
        <w:rPr>
          <w:rFonts w:ascii="Abo-thar" w:hAnsi="Abo-thar" w:hint="cs"/>
          <w:sz w:val="28"/>
          <w:rtl/>
        </w:rPr>
        <w:t xml:space="preserve"> ولكن هذا الاحتمال ضعيف جداً لأنه إذا كان الحر العاملي لم يمتنع عن ذكر حديث </w:t>
      </w:r>
      <w:r w:rsidRPr="003F3B94">
        <w:rPr>
          <w:rFonts w:ascii="Abo-thar" w:hAnsi="Abo-thar"/>
          <w:sz w:val="28"/>
          <w:rtl/>
        </w:rPr>
        <w:t>«</w:t>
      </w:r>
      <w:r w:rsidRPr="003F3B94">
        <w:rPr>
          <w:rFonts w:ascii="Abo-thar" w:hAnsi="Abo-thar" w:hint="cs"/>
          <w:sz w:val="28"/>
          <w:rtl/>
        </w:rPr>
        <w:t>أحمد بن هلال</w:t>
      </w:r>
      <w:r w:rsidRPr="003F3B94">
        <w:rPr>
          <w:rFonts w:ascii="Abo-thar" w:hAnsi="Abo-thar"/>
          <w:sz w:val="28"/>
          <w:rtl/>
        </w:rPr>
        <w:t>»</w:t>
      </w:r>
      <w:r w:rsidRPr="003F3B94">
        <w:rPr>
          <w:rFonts w:ascii="Abo-thar" w:hAnsi="Abo-thar" w:hint="cs"/>
          <w:sz w:val="28"/>
          <w:rtl/>
        </w:rPr>
        <w:t xml:space="preserve"> الذي لم يروِهِ سوى </w:t>
      </w:r>
      <w:r w:rsidRPr="003F3B94">
        <w:rPr>
          <w:rFonts w:ascii="Abo-thar" w:hAnsi="Abo-thar"/>
          <w:sz w:val="28"/>
          <w:rtl/>
        </w:rPr>
        <w:t>«</w:t>
      </w:r>
      <w:r w:rsidRPr="003F3B94">
        <w:rPr>
          <w:rFonts w:ascii="Abo-thar" w:hAnsi="Abo-thar" w:hint="cs"/>
          <w:sz w:val="28"/>
          <w:rtl/>
        </w:rPr>
        <w:t>ابن إدريس</w:t>
      </w:r>
      <w:r w:rsidRPr="003F3B94">
        <w:rPr>
          <w:rFonts w:ascii="Abo-thar" w:hAnsi="Abo-thar"/>
          <w:sz w:val="28"/>
          <w:rtl/>
        </w:rPr>
        <w:t>»</w:t>
      </w:r>
      <w:r w:rsidRPr="003F3B94">
        <w:rPr>
          <w:rFonts w:ascii="Abo-thar" w:hAnsi="Abo-thar" w:hint="cs"/>
          <w:sz w:val="28"/>
          <w:rtl/>
        </w:rPr>
        <w:t xml:space="preserve"> في السرائر</w:t>
      </w:r>
      <w:r w:rsidR="00217AB4" w:rsidRPr="003F3B94">
        <w:rPr>
          <w:rFonts w:ascii="Abo-thar" w:hAnsi="Abo-thar" w:hint="cs"/>
          <w:sz w:val="28"/>
          <w:rtl/>
        </w:rPr>
        <w:t>،</w:t>
      </w:r>
      <w:r w:rsidRPr="003F3B94">
        <w:rPr>
          <w:rFonts w:ascii="Abo-thar" w:hAnsi="Abo-thar" w:hint="cs"/>
          <w:sz w:val="28"/>
          <w:rtl/>
        </w:rPr>
        <w:t xml:space="preserve"> فمن البعيد أن يمتنع عن ذكر حديثٍ رواه الشيخ الطوسي في «التهذيب»</w:t>
      </w:r>
      <w:r w:rsidR="00920257" w:rsidRPr="003F3B94">
        <w:rPr>
          <w:rFonts w:ascii="Abo-thar" w:hAnsi="Abo-thar" w:hint="cs"/>
          <w:sz w:val="28"/>
          <w:rtl/>
        </w:rPr>
        <w:t>،</w:t>
      </w:r>
      <w:r w:rsidR="00711FB2" w:rsidRPr="003F3B94">
        <w:rPr>
          <w:rFonts w:ascii="Abo-thar" w:hAnsi="Abo-thar" w:hint="cs"/>
          <w:sz w:val="28"/>
          <w:rtl/>
        </w:rPr>
        <w:t xml:space="preserve"> باب الخُمس والغنائم</w:t>
      </w:r>
      <w:r w:rsidR="00217AB4" w:rsidRPr="003F3B94">
        <w:rPr>
          <w:rFonts w:ascii="Abo-thar" w:hAnsi="Abo-thar" w:hint="cs"/>
          <w:sz w:val="28"/>
          <w:rtl/>
        </w:rPr>
        <w:t>،</w:t>
      </w:r>
      <w:r w:rsidRPr="003F3B94">
        <w:rPr>
          <w:rFonts w:ascii="Abo-thar" w:hAnsi="Abo-thar" w:hint="cs"/>
          <w:sz w:val="28"/>
          <w:rtl/>
        </w:rPr>
        <w:t xml:space="preserve"> وفيما يلي نص هذا الحديث</w:t>
      </w:r>
      <w:r w:rsidR="00217AB4" w:rsidRPr="003F3B94">
        <w:rPr>
          <w:rFonts w:ascii="Abo-thar" w:hAnsi="Abo-thar" w:hint="cs"/>
          <w:sz w:val="28"/>
          <w:rtl/>
        </w:rPr>
        <w:t>:</w:t>
      </w:r>
    </w:p>
    <w:p w:rsidR="005C664D" w:rsidRPr="00995B26" w:rsidRDefault="00EF2588" w:rsidP="003F3B94">
      <w:pPr>
        <w:pStyle w:val="a0"/>
        <w:rPr>
          <w:rFonts w:hint="cs"/>
          <w:rtl/>
        </w:rPr>
      </w:pPr>
      <w:r w:rsidRPr="004408B9">
        <w:rPr>
          <w:rFonts w:ascii="Abo-thar" w:hAnsi="Abo-thar" w:cs="KFGQPC Uthman Taha Naskh" w:hint="cs"/>
          <w:sz w:val="28"/>
          <w:rtl/>
        </w:rPr>
        <w:t>«</w:t>
      </w:r>
      <w:r w:rsidR="005C664D" w:rsidRPr="004408B9">
        <w:rPr>
          <w:rFonts w:ascii="Abo-thar" w:hAnsi="Abo-thar" w:cs="KFGQPC Uthman Taha Naskh"/>
          <w:bCs/>
          <w:sz w:val="28"/>
          <w:rtl/>
        </w:rPr>
        <w:t xml:space="preserve">عَلِيُّ بْنُ الحَسَنِ بْنِ فَضَّالٍ عَنِ الحَسَنِ بْنِ عَلِيِّ بْنِ يُوسُفَ عَنْ مُحَمَّدِ بْنِ سِنَانٍ عَنْ عَبْدِ الصَّمَدِ بْنِ بَشِيرٍ عَنْ حُكَيْمٍ مُؤَذِّنِ بَنِي عَبْسٍ عَنْ أَبِي عَبْدِ اللهِ </w:t>
      </w:r>
      <w:r w:rsidR="00BC4BA9" w:rsidRPr="00BC4BA9">
        <w:rPr>
          <w:rFonts w:ascii="Abo-thar" w:hAnsi="Abo-thar" w:cs="CTraditional Arabic" w:hint="cs"/>
          <w:sz w:val="28"/>
          <w:rtl/>
        </w:rPr>
        <w:t>÷</w:t>
      </w:r>
      <w:r w:rsidR="005C664D" w:rsidRPr="004408B9">
        <w:rPr>
          <w:rFonts w:ascii="Abo-thar" w:hAnsi="Abo-thar" w:cs="KFGQPC Uthman Taha Naskh"/>
          <w:bCs/>
          <w:sz w:val="28"/>
          <w:rtl/>
        </w:rPr>
        <w:t xml:space="preserve"> قَالَ قُلْتُ لَهُ</w:t>
      </w:r>
      <w:r w:rsidR="00217AB4" w:rsidRPr="004408B9">
        <w:rPr>
          <w:rFonts w:ascii="Abo-thar" w:hAnsi="Abo-thar" w:cs="KFGQPC Uthman Taha Naskh" w:hint="cs"/>
          <w:bCs/>
          <w:sz w:val="28"/>
          <w:rtl/>
        </w:rPr>
        <w:t>:</w:t>
      </w:r>
      <w:r w:rsidR="005C664D" w:rsidRPr="003F3B94">
        <w:rPr>
          <w:rFonts w:ascii="Abo-thar" w:hAnsi="Abo-thar"/>
          <w:bCs/>
          <w:sz w:val="28"/>
          <w:rtl/>
        </w:rPr>
        <w:t xml:space="preserve"> </w:t>
      </w:r>
      <w:r w:rsidR="00B06788" w:rsidRPr="00995B26">
        <w:rPr>
          <w:rFonts w:ascii="Abo-thar" w:hAnsi="Abo-thar" w:cs="Traditional Arabic" w:hint="cs"/>
          <w:b/>
          <w:sz w:val="28"/>
          <w:rtl/>
        </w:rPr>
        <w:t>﴿</w:t>
      </w:r>
      <w:r w:rsidR="00B06788" w:rsidRPr="0067048A">
        <w:rPr>
          <w:rFonts w:ascii="KFGQPC Uthmanic Script HAFS" w:cs="KFGQPC Uthmanic Script HAFS" w:hint="eastAsia"/>
          <w:sz w:val="28"/>
          <w:szCs w:val="28"/>
          <w:rtl/>
        </w:rPr>
        <w:t>وَ</w:t>
      </w:r>
      <w:r w:rsidR="00B06788" w:rsidRPr="0067048A">
        <w:rPr>
          <w:rFonts w:ascii="KFGQPC Uthmanic Script HAFS" w:cs="KFGQPC Uthmanic Script HAFS" w:hint="cs"/>
          <w:sz w:val="28"/>
          <w:szCs w:val="28"/>
          <w:rtl/>
        </w:rPr>
        <w:t>ٱ</w:t>
      </w:r>
      <w:r w:rsidR="00B06788" w:rsidRPr="0067048A">
        <w:rPr>
          <w:rFonts w:ascii="KFGQPC Uthmanic Script HAFS" w:cs="KFGQPC Uthmanic Script HAFS" w:hint="eastAsia"/>
          <w:sz w:val="28"/>
          <w:szCs w:val="28"/>
          <w:rtl/>
        </w:rPr>
        <w:t>ع</w:t>
      </w:r>
      <w:r w:rsidR="00B06788" w:rsidRPr="0067048A">
        <w:rPr>
          <w:rFonts w:ascii="KFGQPC Uthmanic Script HAFS" w:cs="KFGQPC Uthmanic Script HAFS" w:hint="cs"/>
          <w:sz w:val="28"/>
          <w:szCs w:val="28"/>
          <w:rtl/>
        </w:rPr>
        <w:t>ۡ</w:t>
      </w:r>
      <w:r w:rsidR="00B06788" w:rsidRPr="0067048A">
        <w:rPr>
          <w:rFonts w:ascii="KFGQPC Uthmanic Script HAFS" w:cs="KFGQPC Uthmanic Script HAFS" w:hint="eastAsia"/>
          <w:sz w:val="28"/>
          <w:szCs w:val="28"/>
          <w:rtl/>
        </w:rPr>
        <w:t>لَمُو</w:t>
      </w:r>
      <w:r w:rsidR="00B06788" w:rsidRPr="0067048A">
        <w:rPr>
          <w:rFonts w:ascii="KFGQPC Uthmanic Script HAFS" w:cs="KFGQPC Uthmanic Script HAFS" w:hint="cs"/>
          <w:sz w:val="28"/>
          <w:szCs w:val="28"/>
          <w:rtl/>
        </w:rPr>
        <w:t>ٓ</w:t>
      </w:r>
      <w:r w:rsidR="00B06788" w:rsidRPr="0067048A">
        <w:rPr>
          <w:rFonts w:ascii="KFGQPC Uthmanic Script HAFS" w:cs="KFGQPC Uthmanic Script HAFS" w:hint="eastAsia"/>
          <w:sz w:val="28"/>
          <w:szCs w:val="28"/>
          <w:rtl/>
        </w:rPr>
        <w:t>اْ</w:t>
      </w:r>
      <w:r w:rsidR="00B06788" w:rsidRPr="0067048A">
        <w:rPr>
          <w:rFonts w:ascii="KFGQPC Uthmanic Script HAFS" w:cs="KFGQPC Uthmanic Script HAFS"/>
          <w:sz w:val="28"/>
          <w:szCs w:val="28"/>
          <w:rtl/>
        </w:rPr>
        <w:t xml:space="preserve"> </w:t>
      </w:r>
      <w:r w:rsidR="00B06788" w:rsidRPr="0067048A">
        <w:rPr>
          <w:rFonts w:ascii="KFGQPC Uthmanic Script HAFS" w:cs="KFGQPC Uthmanic Script HAFS" w:hint="eastAsia"/>
          <w:sz w:val="28"/>
          <w:szCs w:val="28"/>
          <w:rtl/>
        </w:rPr>
        <w:t>أَنَّمَا</w:t>
      </w:r>
      <w:r w:rsidR="00B06788" w:rsidRPr="0067048A">
        <w:rPr>
          <w:rFonts w:ascii="KFGQPC Uthmanic Script HAFS" w:cs="KFGQPC Uthmanic Script HAFS"/>
          <w:sz w:val="28"/>
          <w:szCs w:val="28"/>
          <w:rtl/>
        </w:rPr>
        <w:t xml:space="preserve"> </w:t>
      </w:r>
      <w:r w:rsidR="00B06788" w:rsidRPr="0067048A">
        <w:rPr>
          <w:rFonts w:ascii="KFGQPC Uthmanic Script HAFS" w:cs="KFGQPC Uthmanic Script HAFS" w:hint="eastAsia"/>
          <w:sz w:val="28"/>
          <w:szCs w:val="28"/>
          <w:rtl/>
        </w:rPr>
        <w:t>غَنِم</w:t>
      </w:r>
      <w:r w:rsidR="00B06788" w:rsidRPr="0067048A">
        <w:rPr>
          <w:rFonts w:ascii="KFGQPC Uthmanic Script HAFS" w:cs="KFGQPC Uthmanic Script HAFS" w:hint="cs"/>
          <w:sz w:val="28"/>
          <w:szCs w:val="28"/>
          <w:rtl/>
        </w:rPr>
        <w:t>ۡ</w:t>
      </w:r>
      <w:r w:rsidR="00B06788" w:rsidRPr="0067048A">
        <w:rPr>
          <w:rFonts w:ascii="KFGQPC Uthmanic Script HAFS" w:cs="KFGQPC Uthmanic Script HAFS" w:hint="eastAsia"/>
          <w:sz w:val="28"/>
          <w:szCs w:val="28"/>
          <w:rtl/>
        </w:rPr>
        <w:t>تُم</w:t>
      </w:r>
      <w:r w:rsidR="00B06788" w:rsidRPr="0067048A">
        <w:rPr>
          <w:rFonts w:ascii="KFGQPC Uthmanic Script HAFS" w:cs="KFGQPC Uthmanic Script HAFS"/>
          <w:sz w:val="28"/>
          <w:szCs w:val="28"/>
          <w:rtl/>
        </w:rPr>
        <w:t xml:space="preserve"> </w:t>
      </w:r>
      <w:r w:rsidR="00B06788" w:rsidRPr="0067048A">
        <w:rPr>
          <w:rFonts w:ascii="KFGQPC Uthmanic Script HAFS" w:cs="KFGQPC Uthmanic Script HAFS" w:hint="eastAsia"/>
          <w:sz w:val="28"/>
          <w:szCs w:val="28"/>
          <w:rtl/>
        </w:rPr>
        <w:t>مِّن</w:t>
      </w:r>
      <w:r w:rsidR="00B06788" w:rsidRPr="0067048A">
        <w:rPr>
          <w:rFonts w:ascii="KFGQPC Uthmanic Script HAFS" w:cs="KFGQPC Uthmanic Script HAFS"/>
          <w:sz w:val="28"/>
          <w:szCs w:val="28"/>
          <w:rtl/>
        </w:rPr>
        <w:t xml:space="preserve"> </w:t>
      </w:r>
      <w:r w:rsidR="00B06788" w:rsidRPr="0067048A">
        <w:rPr>
          <w:rFonts w:ascii="KFGQPC Uthmanic Script HAFS" w:cs="KFGQPC Uthmanic Script HAFS" w:hint="eastAsia"/>
          <w:sz w:val="28"/>
          <w:szCs w:val="28"/>
          <w:rtl/>
        </w:rPr>
        <w:t>شَي</w:t>
      </w:r>
      <w:r w:rsidR="00B06788" w:rsidRPr="0067048A">
        <w:rPr>
          <w:rFonts w:ascii="KFGQPC Uthmanic Script HAFS" w:cs="KFGQPC Uthmanic Script HAFS" w:hint="cs"/>
          <w:sz w:val="28"/>
          <w:szCs w:val="28"/>
          <w:rtl/>
        </w:rPr>
        <w:t>ۡ</w:t>
      </w:r>
      <w:r w:rsidR="00B06788" w:rsidRPr="0067048A">
        <w:rPr>
          <w:rFonts w:ascii="KFGQPC Uthmanic Script HAFS" w:cs="KFGQPC Uthmanic Script HAFS" w:hint="eastAsia"/>
          <w:sz w:val="28"/>
          <w:szCs w:val="28"/>
          <w:rtl/>
        </w:rPr>
        <w:t>ء</w:t>
      </w:r>
      <w:r w:rsidR="00B06788" w:rsidRPr="0067048A">
        <w:rPr>
          <w:rFonts w:ascii="KFGQPC Uthmanic Script HAFS" w:cs="KFGQPC Uthmanic Script HAFS" w:hint="cs"/>
          <w:sz w:val="28"/>
          <w:szCs w:val="28"/>
          <w:rtl/>
        </w:rPr>
        <w:t>ٖ</w:t>
      </w:r>
      <w:r w:rsidR="00B06788" w:rsidRPr="0067048A">
        <w:rPr>
          <w:rFonts w:ascii="KFGQPC Uthmanic Script HAFS" w:cs="KFGQPC Uthmanic Script HAFS"/>
          <w:sz w:val="28"/>
          <w:szCs w:val="28"/>
          <w:rtl/>
        </w:rPr>
        <w:t xml:space="preserve"> </w:t>
      </w:r>
      <w:r w:rsidR="00B06788" w:rsidRPr="0067048A">
        <w:rPr>
          <w:rFonts w:ascii="KFGQPC Uthmanic Script HAFS" w:cs="KFGQPC Uthmanic Script HAFS" w:hint="eastAsia"/>
          <w:sz w:val="28"/>
          <w:szCs w:val="28"/>
          <w:rtl/>
        </w:rPr>
        <w:t>فَأَنَّ</w:t>
      </w:r>
      <w:r w:rsidR="00B06788" w:rsidRPr="0067048A">
        <w:rPr>
          <w:rFonts w:ascii="KFGQPC Uthmanic Script HAFS" w:cs="KFGQPC Uthmanic Script HAFS"/>
          <w:sz w:val="28"/>
          <w:szCs w:val="28"/>
          <w:rtl/>
        </w:rPr>
        <w:t xml:space="preserve"> </w:t>
      </w:r>
      <w:r w:rsidR="00B06788" w:rsidRPr="0067048A">
        <w:rPr>
          <w:rFonts w:ascii="KFGQPC Uthmanic Script HAFS" w:cs="KFGQPC Uthmanic Script HAFS" w:hint="eastAsia"/>
          <w:sz w:val="28"/>
          <w:szCs w:val="28"/>
          <w:rtl/>
        </w:rPr>
        <w:t>لِلَّهِ</w:t>
      </w:r>
      <w:r w:rsidR="00B06788" w:rsidRPr="0067048A">
        <w:rPr>
          <w:rFonts w:ascii="KFGQPC Uthmanic Script HAFS" w:cs="KFGQPC Uthmanic Script HAFS"/>
          <w:sz w:val="28"/>
          <w:szCs w:val="28"/>
          <w:rtl/>
        </w:rPr>
        <w:t xml:space="preserve"> </w:t>
      </w:r>
      <w:r w:rsidR="00B06788" w:rsidRPr="0067048A">
        <w:rPr>
          <w:rFonts w:ascii="KFGQPC Uthmanic Script HAFS" w:cs="KFGQPC Uthmanic Script HAFS" w:hint="eastAsia"/>
          <w:sz w:val="28"/>
          <w:szCs w:val="28"/>
          <w:rtl/>
        </w:rPr>
        <w:t>خُمُسَهُ</w:t>
      </w:r>
      <w:r w:rsidR="00B06788" w:rsidRPr="0067048A">
        <w:rPr>
          <w:rFonts w:ascii="KFGQPC Uthmanic Script HAFS" w:cs="KFGQPC Uthmanic Script HAFS" w:hint="cs"/>
          <w:sz w:val="28"/>
          <w:szCs w:val="28"/>
          <w:rtl/>
        </w:rPr>
        <w:t>ۥ</w:t>
      </w:r>
      <w:r w:rsidR="00B06788" w:rsidRPr="0067048A">
        <w:rPr>
          <w:rFonts w:ascii="KFGQPC Uthmanic Script HAFS" w:cs="KFGQPC Uthmanic Script HAFS"/>
          <w:sz w:val="28"/>
          <w:szCs w:val="28"/>
          <w:rtl/>
        </w:rPr>
        <w:t xml:space="preserve"> </w:t>
      </w:r>
      <w:r w:rsidR="00B06788" w:rsidRPr="0067048A">
        <w:rPr>
          <w:rFonts w:ascii="KFGQPC Uthmanic Script HAFS" w:cs="KFGQPC Uthmanic Script HAFS" w:hint="eastAsia"/>
          <w:sz w:val="28"/>
          <w:szCs w:val="28"/>
          <w:rtl/>
        </w:rPr>
        <w:t>وَلِلرَّسُولِ</w:t>
      </w:r>
      <w:r w:rsidR="00B06788" w:rsidRPr="00995B26">
        <w:rPr>
          <w:rFonts w:ascii="KFGQPC Uthmanic Script HAFS" w:cs="Times New Roman" w:hint="cs"/>
          <w:sz w:val="28"/>
          <w:rtl/>
        </w:rPr>
        <w:t>...</w:t>
      </w:r>
      <w:r w:rsidR="00B06788" w:rsidRPr="00995B26">
        <w:rPr>
          <w:rFonts w:ascii="Abo-thar" w:hAnsi="Abo-thar" w:cs="Traditional Arabic" w:hint="cs"/>
          <w:b/>
          <w:sz w:val="28"/>
          <w:rtl/>
        </w:rPr>
        <w:t>﴾</w:t>
      </w:r>
      <w:r w:rsidR="00B06788" w:rsidRPr="00995B26">
        <w:rPr>
          <w:rFonts w:ascii="Abo-thar" w:hAnsi="Abo-thar" w:hint="cs"/>
          <w:b/>
          <w:sz w:val="28"/>
          <w:rtl/>
        </w:rPr>
        <w:t xml:space="preserve"> </w:t>
      </w:r>
      <w:r w:rsidR="005C664D" w:rsidRPr="003108CB">
        <w:rPr>
          <w:rStyle w:val="Char2"/>
          <w:rFonts w:hint="cs"/>
          <w:rtl/>
        </w:rPr>
        <w:t>[الأنفال</w:t>
      </w:r>
      <w:r w:rsidR="00217AB4" w:rsidRPr="003108CB">
        <w:rPr>
          <w:rStyle w:val="Char2"/>
          <w:rFonts w:hint="cs"/>
          <w:rtl/>
        </w:rPr>
        <w:t>:</w:t>
      </w:r>
      <w:r w:rsidR="00B06788" w:rsidRPr="003108CB">
        <w:rPr>
          <w:rStyle w:val="Char2"/>
          <w:rFonts w:hint="cs"/>
          <w:rtl/>
        </w:rPr>
        <w:t xml:space="preserve"> </w:t>
      </w:r>
      <w:r w:rsidR="005C664D" w:rsidRPr="003108CB">
        <w:rPr>
          <w:rStyle w:val="Char2"/>
          <w:rFonts w:hint="cs"/>
          <w:rtl/>
        </w:rPr>
        <w:t>41]</w:t>
      </w:r>
      <w:r w:rsidR="005C664D" w:rsidRPr="00995B26">
        <w:rPr>
          <w:rFonts w:ascii="Abo-thar" w:hAnsi="Abo-thar" w:hint="cs"/>
          <w:b/>
          <w:sz w:val="28"/>
          <w:rtl/>
        </w:rPr>
        <w:t xml:space="preserve"> </w:t>
      </w:r>
      <w:r w:rsidR="005C664D" w:rsidRPr="004408B9">
        <w:rPr>
          <w:rFonts w:ascii="Abo-thar" w:hAnsi="Abo-thar" w:cs="KFGQPC Uthman Taha Naskh"/>
          <w:bCs/>
          <w:sz w:val="28"/>
          <w:rtl/>
        </w:rPr>
        <w:t>قَالَ</w:t>
      </w:r>
      <w:r w:rsidR="00217AB4" w:rsidRPr="004408B9">
        <w:rPr>
          <w:rFonts w:ascii="Abo-thar" w:hAnsi="Abo-thar" w:cs="KFGQPC Uthman Taha Naskh" w:hint="cs"/>
          <w:bCs/>
          <w:sz w:val="28"/>
          <w:rtl/>
        </w:rPr>
        <w:t>:</w:t>
      </w:r>
      <w:r w:rsidR="005C664D" w:rsidRPr="004408B9">
        <w:rPr>
          <w:rFonts w:ascii="Abo-thar" w:hAnsi="Abo-thar" w:cs="KFGQPC Uthman Taha Naskh"/>
          <w:bCs/>
          <w:sz w:val="28"/>
          <w:rtl/>
        </w:rPr>
        <w:t xml:space="preserve"> هِيَ واللهِ الإِفَادَةُ يَوْماً بِيَوْمٍ إِلَّا أَنَّ أَبِي </w:t>
      </w:r>
      <w:r w:rsidR="00BC4BA9" w:rsidRPr="00BC4BA9">
        <w:rPr>
          <w:rFonts w:ascii="Abo-thar" w:hAnsi="Abo-thar" w:cs="CTraditional Arabic" w:hint="cs"/>
          <w:sz w:val="28"/>
          <w:rtl/>
        </w:rPr>
        <w:t>÷</w:t>
      </w:r>
      <w:r w:rsidR="005C664D" w:rsidRPr="004408B9">
        <w:rPr>
          <w:rFonts w:ascii="Abo-thar" w:hAnsi="Abo-thar" w:cs="KFGQPC Uthman Taha Naskh"/>
          <w:bCs/>
          <w:sz w:val="28"/>
          <w:rtl/>
        </w:rPr>
        <w:t xml:space="preserve"> جَعَلَ شِيعَتَنَا مِنْ ذَلِكَ فِي حِلٍّ لِيَزْكُوا</w:t>
      </w:r>
      <w:r w:rsidRPr="004408B9">
        <w:rPr>
          <w:rFonts w:ascii="Abo-thar" w:hAnsi="Abo-thar" w:cs="KFGQPC Uthman Taha Naskh" w:hint="cs"/>
          <w:sz w:val="28"/>
          <w:rtl/>
        </w:rPr>
        <w:t>»</w:t>
      </w:r>
      <w:r w:rsidR="00711FB2" w:rsidRPr="0021507A">
        <w:rPr>
          <w:rFonts w:ascii="Abo-thar" w:hAnsi="Abo-thar" w:cs="Arabic11 BT"/>
          <w:sz w:val="28"/>
          <w:vertAlign w:val="superscript"/>
          <w:rtl/>
        </w:rPr>
        <w:t>(</w:t>
      </w:r>
      <w:r w:rsidR="00711FB2" w:rsidRPr="0021507A">
        <w:rPr>
          <w:rStyle w:val="FootnoteReference"/>
          <w:rFonts w:ascii="Abo-thar" w:hAnsi="Abo-thar" w:cs="Arabic11 BT"/>
          <w:sz w:val="28"/>
          <w:rtl/>
        </w:rPr>
        <w:footnoteReference w:id="300"/>
      </w:r>
      <w:r w:rsidR="00711FB2" w:rsidRPr="0021507A">
        <w:rPr>
          <w:rFonts w:ascii="Abo-thar" w:hAnsi="Abo-thar" w:cs="Arabic11 BT"/>
          <w:sz w:val="28"/>
          <w:vertAlign w:val="superscript"/>
          <w:rtl/>
        </w:rPr>
        <w:t>)</w:t>
      </w:r>
      <w:r w:rsidR="00217AB4" w:rsidRPr="00995B26">
        <w:rPr>
          <w:rFonts w:ascii="Abo-thar" w:hAnsi="Abo-thar" w:hint="cs"/>
          <w:sz w:val="28"/>
          <w:rtl/>
        </w:rPr>
        <w:t>.</w:t>
      </w:r>
    </w:p>
    <w:p w:rsidR="005C664D" w:rsidRPr="003F3B94" w:rsidRDefault="005C664D" w:rsidP="003F3B94">
      <w:pPr>
        <w:pStyle w:val="a0"/>
        <w:rPr>
          <w:rFonts w:hint="cs"/>
          <w:rtl/>
        </w:rPr>
      </w:pPr>
      <w:r w:rsidRPr="003F3B94">
        <w:rPr>
          <w:rFonts w:ascii="Abo-thar" w:hAnsi="Abo-thar" w:hint="cs"/>
          <w:sz w:val="28"/>
          <w:rtl/>
        </w:rPr>
        <w:t>وفيما يلي نقد هذا الحديث سنداً ومتناً</w:t>
      </w:r>
      <w:r w:rsidR="00217AB4" w:rsidRPr="003F3B94">
        <w:rPr>
          <w:rFonts w:ascii="Abo-thar" w:hAnsi="Abo-thar" w:hint="cs"/>
          <w:sz w:val="28"/>
          <w:rtl/>
        </w:rPr>
        <w:t>:</w:t>
      </w:r>
    </w:p>
    <w:p w:rsidR="005C664D" w:rsidRPr="003F3B94" w:rsidRDefault="005C664D" w:rsidP="003F3B94">
      <w:pPr>
        <w:pStyle w:val="a0"/>
        <w:rPr>
          <w:rFonts w:hint="cs"/>
          <w:rtl/>
        </w:rPr>
      </w:pPr>
      <w:r w:rsidRPr="003F3B94">
        <w:rPr>
          <w:rFonts w:ascii="Abo-thar" w:hAnsi="Abo-thar" w:hint="cs"/>
          <w:sz w:val="28"/>
          <w:rtl/>
        </w:rPr>
        <w:t xml:space="preserve">يكفي دليلاً على ضعف هذا الحديث وسقوطه من الاعتبار أن راويه </w:t>
      </w:r>
      <w:r w:rsidR="00EF2588" w:rsidRPr="003F3B94">
        <w:rPr>
          <w:rFonts w:ascii="Abo-thar" w:hAnsi="Abo-thar" w:hint="cs"/>
          <w:sz w:val="28"/>
          <w:rtl/>
        </w:rPr>
        <w:t>«</w:t>
      </w:r>
      <w:r w:rsidRPr="003F3B94">
        <w:rPr>
          <w:rFonts w:ascii="Abo-thar" w:hAnsi="Abo-thar"/>
          <w:bCs/>
          <w:sz w:val="28"/>
          <w:rtl/>
        </w:rPr>
        <w:t>عَلِيُّ بْنُ الحَسَنِ بْنِ فَضَّالٍ</w:t>
      </w:r>
      <w:r w:rsidR="00EF2588" w:rsidRPr="003F3B94">
        <w:rPr>
          <w:rFonts w:ascii="Abo-thar" w:hAnsi="Abo-thar" w:hint="cs"/>
          <w:sz w:val="28"/>
          <w:rtl/>
        </w:rPr>
        <w:t>»</w:t>
      </w:r>
      <w:r w:rsidRPr="003F3B94">
        <w:rPr>
          <w:rFonts w:ascii="Abo-thar" w:hAnsi="Abo-thar" w:hint="cs"/>
          <w:sz w:val="28"/>
          <w:rtl/>
        </w:rPr>
        <w:t xml:space="preserve"> الذي بينا حاله الوخيمة بالتفصيل في كتابنا «الزكاة» خلال نقدنا للأحاديث الستة التي رويت بشأن انحصار الزكاة في الأشياء التسعة</w:t>
      </w:r>
      <w:r w:rsidR="00217AB4" w:rsidRPr="003F3B94">
        <w:rPr>
          <w:rFonts w:ascii="Abo-thar" w:hAnsi="Abo-thar" w:hint="cs"/>
          <w:sz w:val="28"/>
          <w:rtl/>
        </w:rPr>
        <w:t>،</w:t>
      </w:r>
      <w:r w:rsidRPr="003F3B94">
        <w:rPr>
          <w:rFonts w:ascii="Abo-thar" w:hAnsi="Abo-thar" w:hint="cs"/>
          <w:sz w:val="28"/>
          <w:rtl/>
        </w:rPr>
        <w:t xml:space="preserve"> وأشرنا إلى أحواله باختصار في كتابنا الحالي هذا</w:t>
      </w:r>
      <w:r w:rsidR="00217AB4" w:rsidRPr="0021507A">
        <w:rPr>
          <w:rFonts w:cs="Arabic11 BT"/>
          <w:b/>
          <w:sz w:val="28"/>
          <w:vertAlign w:val="superscript"/>
          <w:rtl/>
        </w:rPr>
        <w:t>(</w:t>
      </w:r>
      <w:r w:rsidRPr="0021507A">
        <w:rPr>
          <w:rStyle w:val="FootnoteReference"/>
          <w:rFonts w:cs="Arabic11 BT"/>
          <w:b/>
          <w:sz w:val="28"/>
          <w:rtl/>
        </w:rPr>
        <w:footnoteReference w:id="301"/>
      </w:r>
      <w:r w:rsidR="00217AB4" w:rsidRPr="0021507A">
        <w:rPr>
          <w:rFonts w:cs="Arabic11 BT"/>
          <w:b/>
          <w:sz w:val="28"/>
          <w:vertAlign w:val="superscript"/>
          <w:rtl/>
        </w:rPr>
        <w:t>)</w:t>
      </w:r>
      <w:r w:rsidR="00217AB4" w:rsidRPr="003F3B94">
        <w:rPr>
          <w:rFonts w:ascii="Abo-thar" w:hAnsi="Abo-thar" w:hint="cs"/>
          <w:sz w:val="28"/>
          <w:rtl/>
        </w:rPr>
        <w:t>.</w:t>
      </w:r>
    </w:p>
    <w:p w:rsidR="005C664D" w:rsidRPr="003F3B94" w:rsidRDefault="005C664D" w:rsidP="003F3B94">
      <w:pPr>
        <w:pStyle w:val="a0"/>
        <w:rPr>
          <w:rFonts w:hint="cs"/>
          <w:rtl/>
        </w:rPr>
      </w:pPr>
      <w:r w:rsidRPr="003F3B94">
        <w:rPr>
          <w:rFonts w:ascii="Abo-thar" w:hAnsi="Abo-thar" w:hint="cs"/>
          <w:sz w:val="28"/>
          <w:rtl/>
        </w:rPr>
        <w:t xml:space="preserve">أما راوي الحديث الآخر فهو </w:t>
      </w:r>
      <w:r w:rsidRPr="003F3B94">
        <w:rPr>
          <w:rFonts w:ascii="Abo-thar" w:hAnsi="Abo-thar"/>
          <w:sz w:val="28"/>
          <w:rtl/>
        </w:rPr>
        <w:t>«</w:t>
      </w:r>
      <w:r w:rsidRPr="003F3B94">
        <w:rPr>
          <w:rFonts w:ascii="Abo-thar" w:hAnsi="Abo-thar"/>
          <w:bCs/>
          <w:sz w:val="28"/>
          <w:rtl/>
        </w:rPr>
        <w:t>مُحَمَّد</w:t>
      </w:r>
      <w:r w:rsidRPr="003F3B94">
        <w:rPr>
          <w:rFonts w:ascii="Abo-thar" w:hAnsi="Abo-thar" w:hint="cs"/>
          <w:bCs/>
          <w:sz w:val="28"/>
          <w:rtl/>
        </w:rPr>
        <w:t>ُ</w:t>
      </w:r>
      <w:r w:rsidRPr="003F3B94">
        <w:rPr>
          <w:rFonts w:ascii="Abo-thar" w:hAnsi="Abo-thar"/>
          <w:bCs/>
          <w:sz w:val="28"/>
          <w:rtl/>
        </w:rPr>
        <w:t xml:space="preserve"> بْن</w:t>
      </w:r>
      <w:r w:rsidRPr="003F3B94">
        <w:rPr>
          <w:rFonts w:ascii="Abo-thar" w:hAnsi="Abo-thar" w:hint="cs"/>
          <w:bCs/>
          <w:sz w:val="28"/>
          <w:rtl/>
        </w:rPr>
        <w:t>ُ</w:t>
      </w:r>
      <w:r w:rsidRPr="003F3B94">
        <w:rPr>
          <w:rFonts w:ascii="Abo-thar" w:hAnsi="Abo-thar"/>
          <w:bCs/>
          <w:sz w:val="28"/>
          <w:rtl/>
        </w:rPr>
        <w:t xml:space="preserve"> سِنَانٍ</w:t>
      </w:r>
      <w:r w:rsidRPr="003F3B94">
        <w:rPr>
          <w:rFonts w:ascii="Abo-thar" w:hAnsi="Abo-thar"/>
          <w:sz w:val="28"/>
          <w:rtl/>
        </w:rPr>
        <w:t>»</w:t>
      </w:r>
      <w:r w:rsidRPr="003F3B94">
        <w:rPr>
          <w:rFonts w:ascii="Abo-thar" w:hAnsi="Abo-thar" w:hint="cs"/>
          <w:sz w:val="28"/>
          <w:rtl/>
        </w:rPr>
        <w:t xml:space="preserve"> وهذا أيضاً بينَّا حالَه في كتابنا «الزكاة» ضمن نقدنا للحديث السادس حول زكاة التجارة</w:t>
      </w:r>
      <w:r w:rsidR="00217AB4" w:rsidRPr="003F3B94">
        <w:rPr>
          <w:rFonts w:ascii="Abo-thar" w:hAnsi="Abo-thar" w:hint="cs"/>
          <w:sz w:val="28"/>
          <w:rtl/>
        </w:rPr>
        <w:t>.</w:t>
      </w:r>
      <w:r w:rsidRPr="003F3B94">
        <w:rPr>
          <w:rFonts w:ascii="Abo-thar" w:hAnsi="Abo-thar" w:hint="cs"/>
          <w:sz w:val="28"/>
          <w:rtl/>
        </w:rPr>
        <w:t xml:space="preserve"> وإليكم مختصراً عن ترجمته كي يعلم القرّاء الكرام حال رواة هذه الأحاديث</w:t>
      </w:r>
      <w:r w:rsidR="00217AB4" w:rsidRPr="003F3B94">
        <w:rPr>
          <w:rFonts w:ascii="Abo-thar" w:hAnsi="Abo-thar" w:hint="cs"/>
          <w:sz w:val="28"/>
          <w:rtl/>
        </w:rPr>
        <w:t>:</w:t>
      </w:r>
    </w:p>
    <w:p w:rsidR="005C664D" w:rsidRPr="003F3B94" w:rsidRDefault="005C664D" w:rsidP="003F3B94">
      <w:pPr>
        <w:pStyle w:val="a0"/>
        <w:rPr>
          <w:rFonts w:hint="cs"/>
          <w:rtl/>
          <w:lang w:bidi="ar-SY"/>
        </w:rPr>
      </w:pPr>
      <w:r w:rsidRPr="003F3B94">
        <w:rPr>
          <w:rFonts w:ascii="Abo-thar" w:hAnsi="Abo-thar" w:hint="cs"/>
          <w:sz w:val="28"/>
          <w:rtl/>
        </w:rPr>
        <w:t>1</w:t>
      </w:r>
      <w:r w:rsidR="00217AB4" w:rsidRPr="003F3B94">
        <w:rPr>
          <w:rFonts w:ascii="Abo-thar" w:hAnsi="Abo-thar" w:hint="cs"/>
          <w:sz w:val="28"/>
          <w:rtl/>
        </w:rPr>
        <w:t>-</w:t>
      </w:r>
      <w:r w:rsidRPr="003F3B94">
        <w:rPr>
          <w:rFonts w:ascii="Abo-thar" w:hAnsi="Abo-thar" w:hint="cs"/>
          <w:sz w:val="28"/>
          <w:rtl/>
        </w:rPr>
        <w:t xml:space="preserve"> قال عن الشيخ الطوسيُّ في رجاله</w:t>
      </w:r>
      <w:r w:rsidR="00217AB4" w:rsidRPr="003F3B94">
        <w:rPr>
          <w:rFonts w:ascii="Abo-thar" w:hAnsi="Abo-thar" w:hint="cs"/>
          <w:sz w:val="28"/>
          <w:rtl/>
        </w:rPr>
        <w:t>:</w:t>
      </w:r>
      <w:r w:rsidRPr="003F3B94">
        <w:rPr>
          <w:rFonts w:ascii="Abo-thar" w:hAnsi="Abo-thar" w:hint="cs"/>
          <w:sz w:val="28"/>
          <w:rtl/>
        </w:rPr>
        <w:t xml:space="preserve"> إنه ضعيفٌ</w:t>
      </w:r>
      <w:r w:rsidR="00217AB4" w:rsidRPr="003F3B94">
        <w:rPr>
          <w:rFonts w:ascii="Abo-thar" w:hAnsi="Abo-thar" w:hint="cs"/>
          <w:sz w:val="28"/>
          <w:rtl/>
        </w:rPr>
        <w:t>.</w:t>
      </w:r>
      <w:r w:rsidRPr="003F3B94">
        <w:rPr>
          <w:rFonts w:ascii="Abo-thar" w:hAnsi="Abo-thar" w:hint="cs"/>
          <w:sz w:val="28"/>
          <w:rtl/>
        </w:rPr>
        <w:t xml:space="preserve"> وقال عنه </w:t>
      </w:r>
      <w:r w:rsidRPr="003F3B94">
        <w:rPr>
          <w:rFonts w:ascii="Abo-thar" w:hAnsi="Abo-thar"/>
          <w:sz w:val="28"/>
          <w:rtl/>
        </w:rPr>
        <w:t>في «الفهرست»</w:t>
      </w:r>
      <w:r w:rsidR="00217AB4" w:rsidRPr="003F3B94">
        <w:rPr>
          <w:rFonts w:ascii="Abo-thar" w:hAnsi="Abo-thar"/>
          <w:sz w:val="28"/>
          <w:rtl/>
        </w:rPr>
        <w:t>:</w:t>
      </w:r>
      <w:r w:rsidRPr="003F3B94">
        <w:rPr>
          <w:rFonts w:ascii="Abo-thar" w:hAnsi="Abo-thar"/>
          <w:sz w:val="28"/>
          <w:rtl/>
        </w:rPr>
        <w:t xml:space="preserve"> </w:t>
      </w:r>
      <w:r w:rsidR="00EF2588" w:rsidRPr="003F3B94">
        <w:rPr>
          <w:rFonts w:ascii="Abo-thar" w:hAnsi="Abo-thar"/>
          <w:sz w:val="28"/>
          <w:rtl/>
        </w:rPr>
        <w:t>«</w:t>
      </w:r>
      <w:r w:rsidRPr="003F3B94">
        <w:rPr>
          <w:rFonts w:ascii="Abo-thar" w:hAnsi="Abo-thar" w:hint="cs"/>
          <w:bCs/>
          <w:sz w:val="28"/>
          <w:rtl/>
        </w:rPr>
        <w:t>محمد بن سنان</w:t>
      </w:r>
      <w:r w:rsidR="00217AB4" w:rsidRPr="003F3B94">
        <w:rPr>
          <w:rFonts w:ascii="Abo-thar" w:hAnsi="Abo-thar" w:hint="cs"/>
          <w:bCs/>
          <w:sz w:val="28"/>
          <w:rtl/>
        </w:rPr>
        <w:t>:</w:t>
      </w:r>
      <w:r w:rsidRPr="003F3B94">
        <w:rPr>
          <w:rFonts w:ascii="Abo-thar" w:hAnsi="Abo-thar" w:hint="cs"/>
          <w:bCs/>
          <w:sz w:val="28"/>
          <w:rtl/>
        </w:rPr>
        <w:t xml:space="preserve"> </w:t>
      </w:r>
      <w:r w:rsidRPr="003F3B94">
        <w:rPr>
          <w:rFonts w:ascii="Abo-thar" w:hAnsi="Abo-thar"/>
          <w:bCs/>
          <w:sz w:val="28"/>
          <w:rtl/>
        </w:rPr>
        <w:t>له كتب وقد طُعِنَ عليه وضُعِّفَ</w:t>
      </w:r>
      <w:r w:rsidR="00217AB4" w:rsidRPr="003F3B94">
        <w:rPr>
          <w:rFonts w:ascii="Abo-thar" w:hAnsi="Abo-thar"/>
          <w:bCs/>
          <w:sz w:val="28"/>
          <w:rtl/>
        </w:rPr>
        <w:t>.</w:t>
      </w:r>
      <w:r w:rsidRPr="003F3B94">
        <w:rPr>
          <w:rFonts w:ascii="Abo-thar" w:hAnsi="Abo-thar"/>
          <w:bCs/>
          <w:sz w:val="28"/>
          <w:rtl/>
        </w:rPr>
        <w:t xml:space="preserve"> وكُتُبُه مثل كتب الحسين بن سعيد على عددها وله كتاب النوادر وجميع ما رواه إلا ما كان فيها من تخليط أو غلوّ</w:t>
      </w:r>
      <w:r w:rsidR="00217AB4" w:rsidRPr="003F3B94">
        <w:rPr>
          <w:rFonts w:ascii="Abo-thar" w:hAnsi="Abo-thar"/>
          <w:bCs/>
          <w:sz w:val="28"/>
          <w:rtl/>
        </w:rPr>
        <w:t>...</w:t>
      </w:r>
      <w:r w:rsidR="00EF2588" w:rsidRPr="003F3B94">
        <w:rPr>
          <w:rFonts w:ascii="Abo-thar" w:hAnsi="Abo-thar"/>
          <w:sz w:val="28"/>
          <w:rtl/>
        </w:rPr>
        <w:t>»</w:t>
      </w:r>
      <w:r w:rsidR="00711FB2" w:rsidRPr="0021507A">
        <w:rPr>
          <w:rFonts w:ascii="Abo-thar" w:hAnsi="Abo-thar" w:cs="Arabic11 BT"/>
          <w:sz w:val="28"/>
          <w:vertAlign w:val="superscript"/>
          <w:rtl/>
        </w:rPr>
        <w:t>(</w:t>
      </w:r>
      <w:r w:rsidR="00711FB2" w:rsidRPr="0021507A">
        <w:rPr>
          <w:rStyle w:val="FootnoteReference"/>
          <w:rFonts w:ascii="Abo-thar" w:hAnsi="Abo-thar" w:cs="Arabic11 BT"/>
          <w:sz w:val="28"/>
          <w:rtl/>
        </w:rPr>
        <w:footnoteReference w:id="302"/>
      </w:r>
      <w:r w:rsidR="00711FB2" w:rsidRPr="0021507A">
        <w:rPr>
          <w:rFonts w:ascii="Abo-thar" w:hAnsi="Abo-thar" w:cs="Arabic11 BT"/>
          <w:sz w:val="28"/>
          <w:vertAlign w:val="superscript"/>
          <w:rtl/>
        </w:rPr>
        <w:t>)</w:t>
      </w:r>
      <w:r w:rsidR="00217AB4" w:rsidRPr="003F3B94">
        <w:rPr>
          <w:rFonts w:ascii="Abo-thar" w:hAnsi="Abo-thar"/>
          <w:sz w:val="28"/>
          <w:rtl/>
        </w:rPr>
        <w:t>.</w:t>
      </w:r>
    </w:p>
    <w:p w:rsidR="005C664D" w:rsidRPr="003F3B94" w:rsidRDefault="005C664D" w:rsidP="003F3B94">
      <w:pPr>
        <w:pStyle w:val="a0"/>
        <w:rPr>
          <w:rFonts w:hint="cs"/>
          <w:rtl/>
        </w:rPr>
      </w:pPr>
      <w:r w:rsidRPr="003F3B94">
        <w:rPr>
          <w:rFonts w:ascii="Abo-thar" w:hAnsi="Abo-thar" w:hint="cs"/>
          <w:sz w:val="28"/>
          <w:rtl/>
        </w:rPr>
        <w:t>2</w:t>
      </w:r>
      <w:r w:rsidR="00217AB4" w:rsidRPr="003F3B94">
        <w:rPr>
          <w:rFonts w:ascii="Abo-thar" w:hAnsi="Abo-thar" w:hint="cs"/>
          <w:sz w:val="28"/>
          <w:rtl/>
        </w:rPr>
        <w:t>-</w:t>
      </w:r>
      <w:r w:rsidR="00147857" w:rsidRPr="003F3B94">
        <w:rPr>
          <w:rFonts w:ascii="Abo-thar" w:hAnsi="Abo-thar" w:hint="cs"/>
          <w:sz w:val="28"/>
          <w:rtl/>
        </w:rPr>
        <w:t xml:space="preserve"> </w:t>
      </w:r>
      <w:r w:rsidRPr="003F3B94">
        <w:rPr>
          <w:rFonts w:ascii="Abo-thar" w:hAnsi="Abo-thar" w:hint="cs"/>
          <w:sz w:val="28"/>
          <w:rtl/>
        </w:rPr>
        <w:t>وق</w:t>
      </w:r>
      <w:r w:rsidRPr="003F3B94">
        <w:rPr>
          <w:rFonts w:ascii="Abo-thar" w:hAnsi="Abo-thar"/>
          <w:sz w:val="28"/>
          <w:rtl/>
        </w:rPr>
        <w:t xml:space="preserve">ال </w:t>
      </w:r>
      <w:r w:rsidRPr="003F3B94">
        <w:rPr>
          <w:rFonts w:ascii="Abo-thar" w:hAnsi="Abo-thar" w:hint="cs"/>
          <w:sz w:val="28"/>
          <w:rtl/>
        </w:rPr>
        <w:t xml:space="preserve">عنه </w:t>
      </w:r>
      <w:r w:rsidRPr="003F3B94">
        <w:rPr>
          <w:rFonts w:ascii="Abo-thar" w:hAnsi="Abo-thar"/>
          <w:sz w:val="28"/>
          <w:rtl/>
        </w:rPr>
        <w:t>النجاشي</w:t>
      </w:r>
      <w:r w:rsidRPr="003F3B94">
        <w:rPr>
          <w:rFonts w:ascii="Abo-thar" w:hAnsi="Abo-thar" w:hint="cs"/>
          <w:sz w:val="28"/>
          <w:rtl/>
        </w:rPr>
        <w:t>ُّ</w:t>
      </w:r>
      <w:r w:rsidR="00711FB2" w:rsidRPr="003F3B94">
        <w:rPr>
          <w:rFonts w:ascii="Abo-thar" w:hAnsi="Abo-thar"/>
          <w:sz w:val="28"/>
          <w:rtl/>
        </w:rPr>
        <w:t xml:space="preserve"> في رجاله</w:t>
      </w:r>
      <w:r w:rsidR="00217AB4" w:rsidRPr="003F3B94">
        <w:rPr>
          <w:rFonts w:ascii="Abo-thar" w:hAnsi="Abo-thar"/>
          <w:sz w:val="28"/>
          <w:rtl/>
        </w:rPr>
        <w:t>:</w:t>
      </w:r>
      <w:r w:rsidRPr="003F3B94">
        <w:rPr>
          <w:rFonts w:ascii="Abo-thar" w:hAnsi="Abo-thar"/>
          <w:sz w:val="28"/>
          <w:rtl/>
        </w:rPr>
        <w:t xml:space="preserve"> </w:t>
      </w:r>
      <w:r w:rsidR="00EF2588" w:rsidRPr="003F3B94">
        <w:rPr>
          <w:rFonts w:ascii="Abo-thar" w:hAnsi="Abo-thar"/>
          <w:sz w:val="28"/>
          <w:rtl/>
        </w:rPr>
        <w:t>«</w:t>
      </w:r>
      <w:r w:rsidRPr="003F3B94">
        <w:rPr>
          <w:rFonts w:ascii="Abo-thar" w:hAnsi="Abo-thar"/>
          <w:bCs/>
          <w:sz w:val="28"/>
          <w:rtl/>
        </w:rPr>
        <w:t>هو رجل ضعيف جداً لا</w:t>
      </w:r>
      <w:r w:rsidRPr="003F3B94">
        <w:rPr>
          <w:rFonts w:cs="Times New Roman" w:hint="cs"/>
          <w:bCs/>
          <w:sz w:val="28"/>
          <w:rtl/>
        </w:rPr>
        <w:t> </w:t>
      </w:r>
      <w:r w:rsidRPr="003F3B94">
        <w:rPr>
          <w:rFonts w:ascii="Abo-thar" w:hAnsi="Abo-thar"/>
          <w:bCs/>
          <w:sz w:val="28"/>
          <w:rtl/>
        </w:rPr>
        <w:t>يعوّل عليه و</w:t>
      </w:r>
      <w:r w:rsidRPr="003F3B94">
        <w:rPr>
          <w:rFonts w:ascii="Abo-thar" w:hAnsi="Abo-thar" w:hint="cs"/>
          <w:bCs/>
          <w:sz w:val="28"/>
          <w:rtl/>
        </w:rPr>
        <w:t xml:space="preserve">لا </w:t>
      </w:r>
      <w:r w:rsidRPr="003F3B94">
        <w:rPr>
          <w:rFonts w:ascii="Abo-thar" w:hAnsi="Abo-thar"/>
          <w:bCs/>
          <w:sz w:val="28"/>
          <w:rtl/>
        </w:rPr>
        <w:t>يُلتفت إلى ما تفرّد به وكان الفضل بن شاذان يقول لا أستحل أن أروي أحاديث محمد بن سنان</w:t>
      </w:r>
      <w:r w:rsidR="00EF2588" w:rsidRPr="003F3B94">
        <w:rPr>
          <w:rFonts w:ascii="Abo-thar" w:hAnsi="Abo-thar"/>
          <w:sz w:val="28"/>
          <w:rtl/>
        </w:rPr>
        <w:t>»</w:t>
      </w:r>
      <w:r w:rsidR="00711FB2" w:rsidRPr="0021507A">
        <w:rPr>
          <w:rFonts w:ascii="Abo-thar" w:hAnsi="Abo-thar" w:cs="Arabic11 BT"/>
          <w:sz w:val="28"/>
          <w:vertAlign w:val="superscript"/>
          <w:rtl/>
        </w:rPr>
        <w:t>(</w:t>
      </w:r>
      <w:r w:rsidR="00711FB2" w:rsidRPr="0021507A">
        <w:rPr>
          <w:rStyle w:val="FootnoteReference"/>
          <w:rFonts w:ascii="Abo-thar" w:hAnsi="Abo-thar" w:cs="Arabic11 BT"/>
          <w:sz w:val="28"/>
          <w:rtl/>
        </w:rPr>
        <w:footnoteReference w:id="303"/>
      </w:r>
      <w:r w:rsidR="00711FB2" w:rsidRPr="0021507A">
        <w:rPr>
          <w:rFonts w:ascii="Abo-thar" w:hAnsi="Abo-thar" w:cs="Arabic11 BT"/>
          <w:sz w:val="28"/>
          <w:vertAlign w:val="superscript"/>
          <w:rtl/>
        </w:rPr>
        <w:t>)</w:t>
      </w:r>
      <w:r w:rsidR="00217AB4" w:rsidRPr="003F3B94">
        <w:rPr>
          <w:rFonts w:ascii="Abo-thar" w:hAnsi="Abo-thar"/>
          <w:sz w:val="28"/>
          <w:rtl/>
        </w:rPr>
        <w:t>.</w:t>
      </w:r>
    </w:p>
    <w:p w:rsidR="005C664D" w:rsidRPr="003F3B94" w:rsidRDefault="005C664D" w:rsidP="003F3B94">
      <w:pPr>
        <w:pStyle w:val="a0"/>
        <w:rPr>
          <w:rFonts w:hint="cs"/>
          <w:rtl/>
        </w:rPr>
      </w:pPr>
      <w:r w:rsidRPr="003F3B94">
        <w:rPr>
          <w:rFonts w:ascii="Abo-thar" w:hAnsi="Abo-thar" w:hint="cs"/>
          <w:sz w:val="28"/>
          <w:rtl/>
        </w:rPr>
        <w:t>3</w:t>
      </w:r>
      <w:r w:rsidR="00217AB4" w:rsidRPr="003F3B94">
        <w:rPr>
          <w:rFonts w:ascii="Abo-thar" w:hAnsi="Abo-thar" w:hint="cs"/>
          <w:sz w:val="28"/>
          <w:rtl/>
        </w:rPr>
        <w:t>-</w:t>
      </w:r>
      <w:r w:rsidRPr="003F3B94">
        <w:rPr>
          <w:rFonts w:ascii="Abo-thar" w:hAnsi="Abo-thar" w:hint="cs"/>
          <w:sz w:val="28"/>
          <w:rtl/>
        </w:rPr>
        <w:t xml:space="preserve"> وقال ابن الغضائري عنه</w:t>
      </w:r>
      <w:r w:rsidR="00217AB4" w:rsidRPr="003F3B94">
        <w:rPr>
          <w:rFonts w:ascii="Abo-thar" w:hAnsi="Abo-thar" w:hint="cs"/>
          <w:sz w:val="28"/>
          <w:rtl/>
        </w:rPr>
        <w:t>:</w:t>
      </w:r>
      <w:r w:rsidRPr="003F3B94">
        <w:rPr>
          <w:rFonts w:ascii="Abo-thar" w:hAnsi="Abo-thar" w:hint="cs"/>
          <w:sz w:val="28"/>
          <w:rtl/>
        </w:rPr>
        <w:t xml:space="preserve"> </w:t>
      </w:r>
      <w:r w:rsidR="00EF2588" w:rsidRPr="003F3B94">
        <w:rPr>
          <w:rFonts w:ascii="Abo-thar" w:hAnsi="Abo-thar" w:hint="cs"/>
          <w:sz w:val="28"/>
          <w:rtl/>
        </w:rPr>
        <w:t>«</w:t>
      </w:r>
      <w:r w:rsidRPr="003F3B94">
        <w:rPr>
          <w:rFonts w:ascii="Abo-thar" w:hAnsi="Abo-thar" w:hint="cs"/>
          <w:bCs/>
          <w:sz w:val="28"/>
          <w:rtl/>
        </w:rPr>
        <w:t>محمد بن سنان ضعيفٌ غالٍ لا يُلْتَفَتُ إليه</w:t>
      </w:r>
      <w:r w:rsidR="00EF2588" w:rsidRPr="003F3B94">
        <w:rPr>
          <w:rFonts w:ascii="Abo-thar" w:hAnsi="Abo-thar" w:hint="cs"/>
          <w:sz w:val="28"/>
          <w:rtl/>
        </w:rPr>
        <w:t>»</w:t>
      </w:r>
      <w:r w:rsidR="00217AB4" w:rsidRPr="003F3B94">
        <w:rPr>
          <w:rFonts w:ascii="Abo-thar" w:hAnsi="Abo-thar" w:hint="cs"/>
          <w:sz w:val="28"/>
          <w:rtl/>
        </w:rPr>
        <w:t>.</w:t>
      </w:r>
    </w:p>
    <w:p w:rsidR="005C664D" w:rsidRPr="003F3B94" w:rsidRDefault="005C664D" w:rsidP="003F3B94">
      <w:pPr>
        <w:pStyle w:val="a0"/>
        <w:rPr>
          <w:rFonts w:hint="cs"/>
          <w:rtl/>
        </w:rPr>
      </w:pPr>
      <w:r w:rsidRPr="003F3B94">
        <w:rPr>
          <w:rFonts w:ascii="Abo-thar" w:hAnsi="Abo-thar" w:hint="cs"/>
          <w:sz w:val="28"/>
          <w:rtl/>
        </w:rPr>
        <w:t>4</w:t>
      </w:r>
      <w:r w:rsidR="00217AB4" w:rsidRPr="003F3B94">
        <w:rPr>
          <w:rFonts w:ascii="Abo-thar" w:hAnsi="Abo-thar" w:hint="cs"/>
          <w:sz w:val="28"/>
          <w:rtl/>
        </w:rPr>
        <w:t>-</w:t>
      </w:r>
      <w:r w:rsidRPr="003F3B94">
        <w:rPr>
          <w:rFonts w:ascii="Abo-thar" w:hAnsi="Abo-thar" w:hint="cs"/>
          <w:sz w:val="28"/>
          <w:rtl/>
        </w:rPr>
        <w:t xml:space="preserve"> وقال ابن داود في رجاله</w:t>
      </w:r>
      <w:r w:rsidR="00217AB4" w:rsidRPr="003F3B94">
        <w:rPr>
          <w:rFonts w:ascii="Abo-thar" w:hAnsi="Abo-thar" w:hint="cs"/>
          <w:sz w:val="28"/>
          <w:rtl/>
        </w:rPr>
        <w:t>:</w:t>
      </w:r>
      <w:r w:rsidRPr="003F3B94">
        <w:rPr>
          <w:rFonts w:ascii="Abo-thar" w:hAnsi="Abo-thar" w:hint="cs"/>
          <w:sz w:val="28"/>
          <w:rtl/>
        </w:rPr>
        <w:t xml:space="preserve"> </w:t>
      </w:r>
      <w:r w:rsidR="00EF2588" w:rsidRPr="003F3B94">
        <w:rPr>
          <w:rFonts w:ascii="Abo-thar" w:hAnsi="Abo-thar" w:hint="cs"/>
          <w:sz w:val="28"/>
          <w:rtl/>
        </w:rPr>
        <w:t>«</w:t>
      </w:r>
      <w:r w:rsidRPr="003F3B94">
        <w:rPr>
          <w:rFonts w:ascii="Abo-thar" w:hAnsi="Abo-thar" w:hint="cs"/>
          <w:b/>
          <w:bCs/>
          <w:sz w:val="28"/>
          <w:rtl/>
        </w:rPr>
        <w:t>ضعيفٌ غالٍ</w:t>
      </w:r>
      <w:r w:rsidR="00217AB4" w:rsidRPr="003F3B94">
        <w:rPr>
          <w:rFonts w:ascii="Abo-thar" w:hAnsi="Abo-thar" w:hint="cs"/>
          <w:b/>
          <w:bCs/>
          <w:sz w:val="28"/>
          <w:rtl/>
        </w:rPr>
        <w:t>،</w:t>
      </w:r>
      <w:r w:rsidRPr="003F3B94">
        <w:rPr>
          <w:rFonts w:ascii="Abo-thar" w:hAnsi="Abo-thar" w:hint="cs"/>
          <w:b/>
          <w:bCs/>
          <w:sz w:val="28"/>
          <w:rtl/>
        </w:rPr>
        <w:t xml:space="preserve"> </w:t>
      </w:r>
      <w:r w:rsidRPr="003F3B94">
        <w:rPr>
          <w:rFonts w:ascii="Abo-thar" w:hAnsi="Abo-thar"/>
          <w:b/>
          <w:bCs/>
          <w:sz w:val="28"/>
          <w:rtl/>
        </w:rPr>
        <w:t>قد طُعِنَ عليه وضُعِّفَ</w:t>
      </w:r>
      <w:r w:rsidR="00F456DF" w:rsidRPr="003F3B94">
        <w:rPr>
          <w:rFonts w:ascii="Abo-thar" w:hAnsi="Abo-thar"/>
          <w:sz w:val="28"/>
          <w:rtl/>
        </w:rPr>
        <w:t>»</w:t>
      </w:r>
      <w:r w:rsidR="00711FB2" w:rsidRPr="0021507A">
        <w:rPr>
          <w:rFonts w:ascii="Abo-thar" w:hAnsi="Abo-thar" w:cs="Arabic11 BT"/>
          <w:sz w:val="28"/>
          <w:vertAlign w:val="superscript"/>
          <w:rtl/>
        </w:rPr>
        <w:t>(</w:t>
      </w:r>
      <w:r w:rsidR="00711FB2" w:rsidRPr="0021507A">
        <w:rPr>
          <w:rStyle w:val="FootnoteReference"/>
          <w:rFonts w:ascii="Abo-thar" w:hAnsi="Abo-thar" w:cs="Arabic11 BT"/>
          <w:sz w:val="28"/>
          <w:rtl/>
        </w:rPr>
        <w:footnoteReference w:id="304"/>
      </w:r>
      <w:r w:rsidR="00711FB2" w:rsidRPr="0021507A">
        <w:rPr>
          <w:rFonts w:ascii="Abo-thar" w:hAnsi="Abo-thar" w:cs="Arabic11 BT"/>
          <w:sz w:val="28"/>
          <w:vertAlign w:val="superscript"/>
          <w:rtl/>
        </w:rPr>
        <w:t>)</w:t>
      </w:r>
      <w:r w:rsidR="00217AB4" w:rsidRPr="003F3B94">
        <w:rPr>
          <w:rFonts w:ascii="Abo-thar" w:hAnsi="Abo-thar" w:hint="cs"/>
          <w:sz w:val="28"/>
          <w:rtl/>
        </w:rPr>
        <w:t>.</w:t>
      </w:r>
      <w:r w:rsidR="00147857" w:rsidRPr="003F3B94">
        <w:rPr>
          <w:rFonts w:ascii="Abo-thar" w:hAnsi="Abo-thar" w:hint="cs"/>
          <w:sz w:val="28"/>
          <w:rtl/>
        </w:rPr>
        <w:t xml:space="preserve"> </w:t>
      </w:r>
      <w:r w:rsidRPr="003F3B94">
        <w:rPr>
          <w:rFonts w:ascii="Abo-thar" w:hAnsi="Abo-thar" w:hint="cs"/>
          <w:sz w:val="28"/>
          <w:rtl/>
        </w:rPr>
        <w:t xml:space="preserve">وذكر ابن داود أيضاً في موضع آخر من رجاله </w:t>
      </w:r>
      <w:r w:rsidR="00EF2588" w:rsidRPr="003F3B94">
        <w:rPr>
          <w:rFonts w:ascii="Abo-thar" w:hAnsi="Abo-thar" w:hint="cs"/>
          <w:sz w:val="28"/>
          <w:rtl/>
        </w:rPr>
        <w:t>«</w:t>
      </w:r>
      <w:r w:rsidRPr="003F3B94">
        <w:rPr>
          <w:rFonts w:ascii="Abo-thar" w:hAnsi="Abo-thar"/>
          <w:bCs/>
          <w:sz w:val="28"/>
          <w:rtl/>
        </w:rPr>
        <w:t>إن محمد بن سنان كان يقول</w:t>
      </w:r>
      <w:r w:rsidRPr="003F3B94">
        <w:rPr>
          <w:rFonts w:ascii="Abo-thar" w:hAnsi="Abo-thar" w:hint="cs"/>
          <w:bCs/>
          <w:sz w:val="28"/>
          <w:rtl/>
        </w:rPr>
        <w:t xml:space="preserve"> </w:t>
      </w:r>
      <w:r w:rsidRPr="003F3B94">
        <w:rPr>
          <w:rFonts w:ascii="Abo-thar" w:hAnsi="Abo-thar"/>
          <w:bCs/>
          <w:sz w:val="28"/>
          <w:rtl/>
        </w:rPr>
        <w:t>«لا ترووا عني مما حدثتُ شيئاً</w:t>
      </w:r>
      <w:r w:rsidR="00217AB4" w:rsidRPr="003F3B94">
        <w:rPr>
          <w:rFonts w:ascii="Abo-thar" w:hAnsi="Abo-thar"/>
          <w:bCs/>
          <w:sz w:val="28"/>
          <w:rtl/>
        </w:rPr>
        <w:t>،</w:t>
      </w:r>
      <w:r w:rsidRPr="003F3B94">
        <w:rPr>
          <w:rFonts w:ascii="Abo-thar" w:hAnsi="Abo-thar"/>
          <w:bCs/>
          <w:sz w:val="28"/>
          <w:rtl/>
        </w:rPr>
        <w:t xml:space="preserve"> فإنما هي كتب اشتريتها من السوق</w:t>
      </w:r>
      <w:r w:rsidR="00217AB4" w:rsidRPr="003F3B94">
        <w:rPr>
          <w:rFonts w:ascii="Abo-thar" w:hAnsi="Abo-thar"/>
          <w:bCs/>
          <w:sz w:val="28"/>
          <w:rtl/>
        </w:rPr>
        <w:t>!</w:t>
      </w:r>
      <w:r w:rsidRPr="003F3B94">
        <w:rPr>
          <w:rFonts w:ascii="Abo-thar" w:hAnsi="Abo-thar"/>
          <w:bCs/>
          <w:sz w:val="28"/>
          <w:rtl/>
        </w:rPr>
        <w:t>»</w:t>
      </w:r>
      <w:r w:rsidR="00EF2588" w:rsidRPr="003F3B94">
        <w:rPr>
          <w:rFonts w:ascii="Abo-thar" w:hAnsi="Abo-thar" w:hint="cs"/>
          <w:sz w:val="28"/>
          <w:rtl/>
        </w:rPr>
        <w:t>»</w:t>
      </w:r>
      <w:r w:rsidR="00711FB2" w:rsidRPr="0021507A">
        <w:rPr>
          <w:rFonts w:ascii="Abo-thar" w:hAnsi="Abo-thar" w:cs="Arabic11 BT"/>
          <w:sz w:val="28"/>
          <w:vertAlign w:val="superscript"/>
          <w:rtl/>
        </w:rPr>
        <w:t>(</w:t>
      </w:r>
      <w:r w:rsidR="00711FB2" w:rsidRPr="0021507A">
        <w:rPr>
          <w:rStyle w:val="FootnoteReference"/>
          <w:rFonts w:ascii="Abo-thar" w:hAnsi="Abo-thar" w:cs="Arabic11 BT"/>
          <w:sz w:val="28"/>
          <w:rtl/>
        </w:rPr>
        <w:footnoteReference w:id="305"/>
      </w:r>
      <w:r w:rsidR="00711FB2" w:rsidRPr="0021507A">
        <w:rPr>
          <w:rFonts w:ascii="Abo-thar" w:hAnsi="Abo-thar" w:cs="Arabic11 BT"/>
          <w:sz w:val="28"/>
          <w:vertAlign w:val="superscript"/>
          <w:rtl/>
        </w:rPr>
        <w:t>)</w:t>
      </w:r>
      <w:r w:rsidRPr="003F3B94">
        <w:rPr>
          <w:rFonts w:ascii="Abo-thar" w:hAnsi="Abo-thar" w:hint="cs"/>
          <w:sz w:val="28"/>
          <w:rtl/>
        </w:rPr>
        <w:t xml:space="preserve"> أي أنه أقر قبل وفاته أن أحاديثه إنما كان مصدرها أوراق كان يشتريها من السوق ويروي كل ما وجده فيها</w:t>
      </w:r>
      <w:r w:rsidR="00217AB4" w:rsidRPr="003F3B94">
        <w:rPr>
          <w:rFonts w:ascii="Abo-thar" w:hAnsi="Abo-thar" w:hint="cs"/>
          <w:sz w:val="28"/>
          <w:rtl/>
        </w:rPr>
        <w:t>!!</w:t>
      </w:r>
      <w:r w:rsidRPr="003F3B94">
        <w:rPr>
          <w:rFonts w:ascii="Abo-thar" w:hAnsi="Abo-thar" w:hint="cs"/>
          <w:sz w:val="28"/>
          <w:rtl/>
        </w:rPr>
        <w:t xml:space="preserve"> وهذا النص ذكره أيضاً الكشـيّ في رجاله</w:t>
      </w:r>
      <w:r w:rsidR="00711FB2" w:rsidRPr="0021507A">
        <w:rPr>
          <w:rFonts w:ascii="Abo-thar" w:hAnsi="Abo-thar" w:cs="Arabic11 BT"/>
          <w:sz w:val="28"/>
          <w:vertAlign w:val="superscript"/>
          <w:rtl/>
        </w:rPr>
        <w:t>(</w:t>
      </w:r>
      <w:r w:rsidR="00711FB2" w:rsidRPr="0021507A">
        <w:rPr>
          <w:rStyle w:val="FootnoteReference"/>
          <w:rFonts w:ascii="Abo-thar" w:hAnsi="Abo-thar" w:cs="Arabic11 BT"/>
          <w:sz w:val="28"/>
          <w:rtl/>
        </w:rPr>
        <w:footnoteReference w:id="306"/>
      </w:r>
      <w:r w:rsidR="00711FB2" w:rsidRPr="0021507A">
        <w:rPr>
          <w:rFonts w:ascii="Abo-thar" w:hAnsi="Abo-thar" w:cs="Arabic11 BT"/>
          <w:sz w:val="28"/>
          <w:vertAlign w:val="superscript"/>
          <w:rtl/>
        </w:rPr>
        <w:t>)</w:t>
      </w:r>
      <w:r w:rsidR="00711FB2" w:rsidRPr="003F3B94">
        <w:rPr>
          <w:rFonts w:ascii="Abo-thar" w:hAnsi="Abo-thar" w:hint="cs"/>
          <w:sz w:val="28"/>
          <w:rtl/>
        </w:rPr>
        <w:t xml:space="preserve"> </w:t>
      </w:r>
      <w:r w:rsidRPr="003F3B94">
        <w:rPr>
          <w:rFonts w:ascii="Abo-thar" w:hAnsi="Abo-thar" w:hint="cs"/>
          <w:sz w:val="28"/>
          <w:rtl/>
        </w:rPr>
        <w:t xml:space="preserve">والميرزا محمد الاسترآبادي في </w:t>
      </w:r>
      <w:r w:rsidRPr="003F3B94">
        <w:rPr>
          <w:rFonts w:ascii="Abo-thar" w:hAnsi="Abo-thar"/>
          <w:sz w:val="28"/>
          <w:rtl/>
        </w:rPr>
        <w:t>«</w:t>
      </w:r>
      <w:r w:rsidRPr="003F3B94">
        <w:rPr>
          <w:rFonts w:ascii="Abo-thar" w:hAnsi="Abo-thar" w:hint="cs"/>
          <w:sz w:val="28"/>
          <w:rtl/>
        </w:rPr>
        <w:t>منهج المقال</w:t>
      </w:r>
      <w:r w:rsidRPr="003F3B94">
        <w:rPr>
          <w:rFonts w:ascii="Abo-thar" w:hAnsi="Abo-thar"/>
          <w:sz w:val="28"/>
          <w:rtl/>
        </w:rPr>
        <w:t>»</w:t>
      </w:r>
      <w:r w:rsidR="00711FB2" w:rsidRPr="0021507A">
        <w:rPr>
          <w:rFonts w:ascii="Abo-thar" w:hAnsi="Abo-thar" w:cs="Arabic11 BT"/>
          <w:sz w:val="28"/>
          <w:vertAlign w:val="superscript"/>
          <w:rtl/>
        </w:rPr>
        <w:t>(</w:t>
      </w:r>
      <w:r w:rsidR="00711FB2" w:rsidRPr="0021507A">
        <w:rPr>
          <w:rStyle w:val="FootnoteReference"/>
          <w:rFonts w:ascii="Abo-thar" w:hAnsi="Abo-thar" w:cs="Arabic11 BT"/>
          <w:sz w:val="28"/>
          <w:rtl/>
        </w:rPr>
        <w:footnoteReference w:id="307"/>
      </w:r>
      <w:r w:rsidR="00711FB2" w:rsidRPr="0021507A">
        <w:rPr>
          <w:rFonts w:ascii="Abo-thar" w:hAnsi="Abo-thar" w:cs="Arabic11 BT"/>
          <w:sz w:val="28"/>
          <w:vertAlign w:val="superscript"/>
          <w:rtl/>
        </w:rPr>
        <w:t>)</w:t>
      </w:r>
      <w:r w:rsidR="00217AB4" w:rsidRPr="003F3B94">
        <w:rPr>
          <w:rFonts w:ascii="Abo-thar" w:hAnsi="Abo-thar" w:hint="cs"/>
          <w:sz w:val="28"/>
          <w:rtl/>
        </w:rPr>
        <w:t>.</w:t>
      </w:r>
      <w:r w:rsidRPr="003F3B94">
        <w:rPr>
          <w:rFonts w:ascii="Abo-thar" w:hAnsi="Abo-thar" w:hint="cs"/>
          <w:sz w:val="28"/>
          <w:rtl/>
        </w:rPr>
        <w:t xml:space="preserve"> ثم عقَّب ابن داود على ما ذكره بقوله</w:t>
      </w:r>
      <w:r w:rsidR="00217AB4" w:rsidRPr="003F3B94">
        <w:rPr>
          <w:rFonts w:ascii="Abo-thar" w:hAnsi="Abo-thar" w:hint="cs"/>
          <w:sz w:val="28"/>
          <w:rtl/>
        </w:rPr>
        <w:t>:</w:t>
      </w:r>
      <w:r w:rsidR="00147857" w:rsidRPr="003F3B94">
        <w:rPr>
          <w:rFonts w:ascii="Abo-thar" w:hAnsi="Abo-thar" w:hint="cs"/>
          <w:sz w:val="28"/>
          <w:rtl/>
        </w:rPr>
        <w:t xml:space="preserve"> </w:t>
      </w:r>
      <w:r w:rsidR="00EF2588" w:rsidRPr="003F3B94">
        <w:rPr>
          <w:rFonts w:ascii="Abo-thar" w:hAnsi="Abo-thar" w:hint="cs"/>
          <w:sz w:val="28"/>
          <w:rtl/>
        </w:rPr>
        <w:t>«</w:t>
      </w:r>
      <w:r w:rsidRPr="003F3B94">
        <w:rPr>
          <w:rFonts w:ascii="Abo-thar" w:hAnsi="Abo-thar"/>
          <w:bCs/>
          <w:sz w:val="28"/>
          <w:rtl/>
        </w:rPr>
        <w:t>والغالب على حديثه الفساد وعلماء الرجال متفقون على أنه من الكذ</w:t>
      </w:r>
      <w:r w:rsidRPr="003F3B94">
        <w:rPr>
          <w:rFonts w:ascii="Abo-thar" w:hAnsi="Abo-thar" w:hint="cs"/>
          <w:bCs/>
          <w:sz w:val="28"/>
          <w:rtl/>
        </w:rPr>
        <w:t>َّ</w:t>
      </w:r>
      <w:r w:rsidRPr="003F3B94">
        <w:rPr>
          <w:rFonts w:ascii="Abo-thar" w:hAnsi="Abo-thar"/>
          <w:bCs/>
          <w:sz w:val="28"/>
          <w:rtl/>
        </w:rPr>
        <w:t>ابين</w:t>
      </w:r>
      <w:r w:rsidR="00F456DF" w:rsidRPr="003F3B94">
        <w:rPr>
          <w:rFonts w:ascii="Abo-thar" w:hAnsi="Abo-thar"/>
          <w:bCs/>
          <w:sz w:val="28"/>
          <w:rtl/>
        </w:rPr>
        <w:t>»</w:t>
      </w:r>
      <w:r w:rsidR="00217AB4" w:rsidRPr="003F3B94">
        <w:rPr>
          <w:rFonts w:ascii="Abo-thar" w:hAnsi="Abo-thar" w:hint="cs"/>
          <w:sz w:val="28"/>
          <w:rtl/>
        </w:rPr>
        <w:t>.</w:t>
      </w:r>
    </w:p>
    <w:p w:rsidR="005C664D" w:rsidRPr="003F3B94" w:rsidRDefault="005C664D" w:rsidP="003F3B94">
      <w:pPr>
        <w:pStyle w:val="a0"/>
        <w:rPr>
          <w:rFonts w:hint="cs"/>
          <w:rtl/>
        </w:rPr>
      </w:pPr>
      <w:r w:rsidRPr="003F3B94">
        <w:rPr>
          <w:rFonts w:ascii="Abo-thar" w:hAnsi="Abo-thar" w:hint="cs"/>
          <w:sz w:val="28"/>
          <w:rtl/>
        </w:rPr>
        <w:t>5</w:t>
      </w:r>
      <w:r w:rsidR="00217AB4" w:rsidRPr="003F3B94">
        <w:rPr>
          <w:rFonts w:ascii="Abo-thar" w:hAnsi="Abo-thar" w:hint="cs"/>
          <w:sz w:val="28"/>
          <w:rtl/>
        </w:rPr>
        <w:t>-</w:t>
      </w:r>
      <w:r w:rsidRPr="003F3B94">
        <w:rPr>
          <w:rFonts w:ascii="Abo-thar" w:hAnsi="Abo-thar" w:hint="cs"/>
          <w:sz w:val="28"/>
          <w:rtl/>
        </w:rPr>
        <w:t xml:space="preserve"> ذكر النجاشيُّ في رجاله والميرزا محمد الاسترآبادي في </w:t>
      </w:r>
      <w:r w:rsidRPr="003F3B94">
        <w:rPr>
          <w:rFonts w:ascii="Abo-thar" w:hAnsi="Abo-thar"/>
          <w:sz w:val="28"/>
          <w:rtl/>
        </w:rPr>
        <w:t>«</w:t>
      </w:r>
      <w:r w:rsidRPr="003F3B94">
        <w:rPr>
          <w:rFonts w:ascii="Abo-thar" w:hAnsi="Abo-thar" w:hint="cs"/>
          <w:sz w:val="28"/>
          <w:rtl/>
        </w:rPr>
        <w:t>منهج المقال</w:t>
      </w:r>
      <w:r w:rsidRPr="003F3B94">
        <w:rPr>
          <w:rFonts w:ascii="Abo-thar" w:hAnsi="Abo-thar"/>
          <w:sz w:val="28"/>
          <w:rtl/>
        </w:rPr>
        <w:t>»</w:t>
      </w:r>
      <w:r w:rsidRPr="003F3B94">
        <w:rPr>
          <w:rFonts w:ascii="Abo-thar" w:hAnsi="Abo-thar" w:hint="cs"/>
          <w:sz w:val="28"/>
          <w:rtl/>
        </w:rPr>
        <w:t xml:space="preserve"> وسائر علماء الرجال عن </w:t>
      </w:r>
      <w:r w:rsidRPr="003F3B94">
        <w:rPr>
          <w:rFonts w:ascii="Abo-thar" w:hAnsi="Abo-thar"/>
          <w:bCs/>
          <w:sz w:val="28"/>
          <w:rtl/>
        </w:rPr>
        <w:t xml:space="preserve">الفضل بن شاذان </w:t>
      </w:r>
      <w:r w:rsidRPr="003F3B94">
        <w:rPr>
          <w:rFonts w:ascii="Abo-thar" w:hAnsi="Abo-thar" w:hint="cs"/>
          <w:bCs/>
          <w:sz w:val="28"/>
          <w:rtl/>
        </w:rPr>
        <w:t xml:space="preserve">أنه كان </w:t>
      </w:r>
      <w:r w:rsidRPr="003F3B94">
        <w:rPr>
          <w:rFonts w:ascii="Abo-thar" w:hAnsi="Abo-thar"/>
          <w:bCs/>
          <w:sz w:val="28"/>
          <w:rtl/>
        </w:rPr>
        <w:t>يقول</w:t>
      </w:r>
      <w:r w:rsidR="00217AB4" w:rsidRPr="003F3B94">
        <w:rPr>
          <w:rFonts w:ascii="Abo-thar" w:hAnsi="Abo-thar" w:hint="cs"/>
          <w:bCs/>
          <w:sz w:val="28"/>
          <w:rtl/>
        </w:rPr>
        <w:t>:</w:t>
      </w:r>
      <w:r w:rsidRPr="003F3B94">
        <w:rPr>
          <w:rFonts w:ascii="Abo-thar" w:hAnsi="Abo-thar"/>
          <w:bCs/>
          <w:sz w:val="28"/>
          <w:rtl/>
        </w:rPr>
        <w:t xml:space="preserve"> لا أستحل أن أروي أحاديث محمد بن سنان</w:t>
      </w:r>
      <w:r w:rsidR="00217AB4" w:rsidRPr="003F3B94">
        <w:rPr>
          <w:rFonts w:ascii="Abo-thar" w:hAnsi="Abo-thar" w:hint="cs"/>
          <w:sz w:val="28"/>
          <w:rtl/>
        </w:rPr>
        <w:t>.</w:t>
      </w:r>
    </w:p>
    <w:p w:rsidR="005C664D" w:rsidRPr="003F3B94" w:rsidRDefault="005C664D" w:rsidP="003F3B94">
      <w:pPr>
        <w:pStyle w:val="a0"/>
        <w:rPr>
          <w:rFonts w:hint="cs"/>
          <w:rtl/>
        </w:rPr>
      </w:pPr>
      <w:r w:rsidRPr="003F3B94">
        <w:rPr>
          <w:rFonts w:ascii="Abo-thar" w:hAnsi="Abo-thar" w:hint="cs"/>
          <w:sz w:val="28"/>
          <w:rtl/>
        </w:rPr>
        <w:t>6</w:t>
      </w:r>
      <w:r w:rsidR="00217AB4" w:rsidRPr="003F3B94">
        <w:rPr>
          <w:rFonts w:ascii="Abo-thar" w:hAnsi="Abo-thar" w:hint="cs"/>
          <w:sz w:val="28"/>
          <w:rtl/>
        </w:rPr>
        <w:t>-</w:t>
      </w:r>
      <w:r w:rsidR="00711FB2" w:rsidRPr="003F3B94">
        <w:rPr>
          <w:rFonts w:ascii="Abo-thar" w:hAnsi="Abo-thar" w:hint="cs"/>
          <w:sz w:val="28"/>
          <w:rtl/>
        </w:rPr>
        <w:t xml:space="preserve"> ذكر العلامة الحلي في رجاله</w:t>
      </w:r>
      <w:r w:rsidRPr="003F3B94">
        <w:rPr>
          <w:rFonts w:ascii="Abo-thar" w:hAnsi="Abo-thar" w:hint="cs"/>
          <w:sz w:val="28"/>
          <w:rtl/>
        </w:rPr>
        <w:t xml:space="preserve"> والمرحوم </w:t>
      </w:r>
      <w:r w:rsidRPr="003F3B94">
        <w:rPr>
          <w:rFonts w:ascii="Abo-thar" w:hAnsi="Abo-thar"/>
          <w:sz w:val="28"/>
          <w:rtl/>
        </w:rPr>
        <w:t xml:space="preserve">الميرزا محمد الاسترآبادي في </w:t>
      </w:r>
      <w:r w:rsidRPr="003F3B94">
        <w:rPr>
          <w:rFonts w:ascii="Abo-thar" w:hAnsi="Abo-thar" w:hint="cs"/>
          <w:sz w:val="28"/>
          <w:rtl/>
        </w:rPr>
        <w:t>رجاله</w:t>
      </w:r>
      <w:r w:rsidR="00217AB4" w:rsidRPr="003F3B94">
        <w:rPr>
          <w:rFonts w:ascii="Abo-thar" w:hAnsi="Abo-thar" w:hint="cs"/>
          <w:sz w:val="28"/>
          <w:rtl/>
        </w:rPr>
        <w:t>:</w:t>
      </w:r>
      <w:r w:rsidRPr="003F3B94">
        <w:rPr>
          <w:rFonts w:ascii="Abo-thar" w:hAnsi="Abo-thar" w:hint="cs"/>
          <w:sz w:val="28"/>
          <w:rtl/>
        </w:rPr>
        <w:t xml:space="preserve"> </w:t>
      </w:r>
      <w:r w:rsidR="00EF2588" w:rsidRPr="003F3B94">
        <w:rPr>
          <w:rFonts w:ascii="Abo-thar" w:hAnsi="Abo-thar" w:hint="cs"/>
          <w:sz w:val="28"/>
          <w:rtl/>
        </w:rPr>
        <w:t>«</w:t>
      </w:r>
      <w:r w:rsidRPr="003F3B94">
        <w:rPr>
          <w:rFonts w:ascii="Abo-thar" w:hAnsi="Abo-thar"/>
          <w:bCs/>
          <w:sz w:val="28"/>
          <w:rtl/>
        </w:rPr>
        <w:t>قال الفضل بن شاذان في بعض كتبه</w:t>
      </w:r>
      <w:r w:rsidR="00217AB4" w:rsidRPr="003F3B94">
        <w:rPr>
          <w:rFonts w:ascii="Abo-thar" w:hAnsi="Abo-thar"/>
          <w:bCs/>
          <w:sz w:val="28"/>
          <w:rtl/>
        </w:rPr>
        <w:t>:</w:t>
      </w:r>
      <w:r w:rsidRPr="003F3B94">
        <w:rPr>
          <w:rFonts w:ascii="Abo-thar" w:hAnsi="Abo-thar"/>
          <w:bCs/>
          <w:sz w:val="28"/>
          <w:rtl/>
        </w:rPr>
        <w:t xml:space="preserve"> الكذابون المشهورون</w:t>
      </w:r>
      <w:r w:rsidR="00217AB4" w:rsidRPr="003F3B94">
        <w:rPr>
          <w:rFonts w:ascii="Abo-thar" w:hAnsi="Abo-thar"/>
          <w:bCs/>
          <w:sz w:val="28"/>
          <w:rtl/>
        </w:rPr>
        <w:t>:</w:t>
      </w:r>
      <w:r w:rsidRPr="003F3B94">
        <w:rPr>
          <w:rFonts w:ascii="Abo-thar" w:hAnsi="Abo-thar"/>
          <w:bCs/>
          <w:sz w:val="28"/>
          <w:rtl/>
        </w:rPr>
        <w:t xml:space="preserve"> أبو الخطاب ويونس بن ظبيان ويزيد الصائغ </w:t>
      </w:r>
      <w:r w:rsidRPr="003F3B94">
        <w:rPr>
          <w:rFonts w:ascii="Abo-thar" w:hAnsi="Abo-thar"/>
          <w:bCs/>
          <w:sz w:val="28"/>
          <w:u w:val="single"/>
          <w:rtl/>
        </w:rPr>
        <w:t>ومحمد بن سنان</w:t>
      </w:r>
      <w:r w:rsidRPr="003F3B94">
        <w:rPr>
          <w:rFonts w:ascii="Abo-thar" w:hAnsi="Abo-thar"/>
          <w:bCs/>
          <w:sz w:val="28"/>
          <w:rtl/>
        </w:rPr>
        <w:t xml:space="preserve"> وأبو سمينة أشهرهم</w:t>
      </w:r>
      <w:r w:rsidR="00F456DF" w:rsidRPr="003F3B94">
        <w:rPr>
          <w:rFonts w:ascii="Abo-thar" w:hAnsi="Abo-thar"/>
          <w:bCs/>
          <w:sz w:val="28"/>
          <w:rtl/>
        </w:rPr>
        <w:t>»</w:t>
      </w:r>
      <w:r w:rsidR="00711FB2" w:rsidRPr="0021507A">
        <w:rPr>
          <w:rFonts w:ascii="Abo-thar" w:hAnsi="Abo-thar" w:cs="Arabic11 BT"/>
          <w:sz w:val="28"/>
          <w:vertAlign w:val="superscript"/>
          <w:rtl/>
        </w:rPr>
        <w:t>(</w:t>
      </w:r>
      <w:r w:rsidR="00711FB2" w:rsidRPr="0021507A">
        <w:rPr>
          <w:rStyle w:val="FootnoteReference"/>
          <w:rFonts w:ascii="Abo-thar" w:hAnsi="Abo-thar" w:cs="Arabic11 BT"/>
          <w:sz w:val="28"/>
          <w:rtl/>
        </w:rPr>
        <w:footnoteReference w:id="308"/>
      </w:r>
      <w:r w:rsidR="00711FB2" w:rsidRPr="0021507A">
        <w:rPr>
          <w:rFonts w:ascii="Abo-thar" w:hAnsi="Abo-thar" w:cs="Arabic11 BT"/>
          <w:sz w:val="28"/>
          <w:vertAlign w:val="superscript"/>
          <w:rtl/>
        </w:rPr>
        <w:t>)</w:t>
      </w:r>
      <w:r w:rsidR="00217AB4" w:rsidRPr="003F3B94">
        <w:rPr>
          <w:rFonts w:ascii="Abo-thar" w:hAnsi="Abo-thar" w:hint="cs"/>
          <w:sz w:val="28"/>
          <w:rtl/>
        </w:rPr>
        <w:t>.</w:t>
      </w:r>
    </w:p>
    <w:p w:rsidR="005C664D" w:rsidRPr="003F3B94" w:rsidRDefault="005C664D" w:rsidP="003F3B94">
      <w:pPr>
        <w:pStyle w:val="a0"/>
        <w:rPr>
          <w:rFonts w:hint="cs"/>
          <w:rtl/>
        </w:rPr>
      </w:pPr>
      <w:r w:rsidRPr="003F3B94">
        <w:rPr>
          <w:rFonts w:ascii="Abo-thar" w:hAnsi="Abo-thar" w:hint="cs"/>
          <w:sz w:val="28"/>
          <w:rtl/>
        </w:rPr>
        <w:t xml:space="preserve">وأما بالنسبة إلى </w:t>
      </w:r>
      <w:r w:rsidRPr="003F3B94">
        <w:rPr>
          <w:rFonts w:ascii="Abo-thar" w:hAnsi="Abo-thar"/>
          <w:sz w:val="28"/>
          <w:rtl/>
        </w:rPr>
        <w:t>«</w:t>
      </w:r>
      <w:r w:rsidRPr="003F3B94">
        <w:rPr>
          <w:rFonts w:ascii="Abo-thar" w:hAnsi="Abo-thar"/>
          <w:bCs/>
          <w:sz w:val="28"/>
          <w:rtl/>
        </w:rPr>
        <w:t>حُكَيْمٍ مُؤَذِّنِ بَنِي عَبْسٍ</w:t>
      </w:r>
      <w:r w:rsidRPr="003F3B94">
        <w:rPr>
          <w:rFonts w:ascii="Abo-thar" w:hAnsi="Abo-thar"/>
          <w:sz w:val="28"/>
          <w:rtl/>
        </w:rPr>
        <w:t>»</w:t>
      </w:r>
      <w:r w:rsidRPr="003F3B94">
        <w:rPr>
          <w:rFonts w:ascii="Abo-thar" w:hAnsi="Abo-thar" w:hint="cs"/>
          <w:sz w:val="28"/>
          <w:rtl/>
        </w:rPr>
        <w:t xml:space="preserve"> أي راوي الحديث المتصل بالمعصوم فحاله مجهولة</w:t>
      </w:r>
      <w:r w:rsidR="00217AB4" w:rsidRPr="003F3B94">
        <w:rPr>
          <w:rFonts w:ascii="Abo-thar" w:hAnsi="Abo-thar" w:hint="cs"/>
          <w:sz w:val="28"/>
          <w:rtl/>
        </w:rPr>
        <w:t>.</w:t>
      </w:r>
    </w:p>
    <w:p w:rsidR="005C664D" w:rsidRPr="003F3B94" w:rsidRDefault="005C664D" w:rsidP="003F3B94">
      <w:pPr>
        <w:pStyle w:val="a0"/>
        <w:rPr>
          <w:rFonts w:hint="cs"/>
          <w:rtl/>
        </w:rPr>
      </w:pPr>
      <w:r w:rsidRPr="003F3B94">
        <w:rPr>
          <w:rFonts w:ascii="Abo-thar" w:hAnsi="Abo-thar" w:hint="cs"/>
          <w:sz w:val="28"/>
          <w:rtl/>
        </w:rPr>
        <w:t>1</w:t>
      </w:r>
      <w:r w:rsidR="00217AB4" w:rsidRPr="003F3B94">
        <w:rPr>
          <w:rFonts w:ascii="Abo-thar" w:hAnsi="Abo-thar" w:hint="cs"/>
          <w:sz w:val="28"/>
          <w:rtl/>
        </w:rPr>
        <w:t>-</w:t>
      </w:r>
      <w:r w:rsidRPr="003F3B94">
        <w:rPr>
          <w:rFonts w:ascii="Abo-thar" w:hAnsi="Abo-thar" w:hint="cs"/>
          <w:sz w:val="28"/>
          <w:rtl/>
        </w:rPr>
        <w:t xml:space="preserve"> قال المرحوم المحقق السبزواري في كتابه </w:t>
      </w:r>
      <w:r w:rsidRPr="003F3B94">
        <w:rPr>
          <w:rFonts w:ascii="Abo-thar" w:hAnsi="Abo-thar"/>
          <w:sz w:val="28"/>
          <w:rtl/>
        </w:rPr>
        <w:t>«</w:t>
      </w:r>
      <w:r w:rsidRPr="003F3B94">
        <w:rPr>
          <w:rFonts w:ascii="Abo-thar" w:hAnsi="Abo-thar" w:hint="cs"/>
          <w:sz w:val="28"/>
          <w:rtl/>
        </w:rPr>
        <w:t>ذخيرة المعاد</w:t>
      </w:r>
      <w:r w:rsidRPr="003F3B94">
        <w:rPr>
          <w:rFonts w:ascii="Abo-thar" w:hAnsi="Abo-thar"/>
          <w:sz w:val="28"/>
          <w:rtl/>
        </w:rPr>
        <w:t>»</w:t>
      </w:r>
      <w:r w:rsidRPr="003F3B94">
        <w:rPr>
          <w:rFonts w:ascii="Abo-thar" w:hAnsi="Abo-thar" w:hint="cs"/>
          <w:sz w:val="28"/>
          <w:rtl/>
        </w:rPr>
        <w:t xml:space="preserve"> في تعليقه على هذا الحديث</w:t>
      </w:r>
      <w:r w:rsidR="00217AB4" w:rsidRPr="003F3B94">
        <w:rPr>
          <w:rFonts w:ascii="Abo-thar" w:hAnsi="Abo-thar" w:hint="cs"/>
          <w:sz w:val="28"/>
          <w:rtl/>
        </w:rPr>
        <w:t>:</w:t>
      </w:r>
      <w:r w:rsidRPr="003F3B94">
        <w:rPr>
          <w:rFonts w:ascii="Abo-thar" w:hAnsi="Abo-thar" w:hint="cs"/>
          <w:sz w:val="28"/>
          <w:rtl/>
        </w:rPr>
        <w:t xml:space="preserve"> </w:t>
      </w:r>
      <w:r w:rsidR="00EF2588" w:rsidRPr="003F3B94">
        <w:rPr>
          <w:rFonts w:ascii="Abo-thar" w:hAnsi="Abo-thar" w:hint="cs"/>
          <w:sz w:val="28"/>
          <w:rtl/>
        </w:rPr>
        <w:t>«</w:t>
      </w:r>
      <w:r w:rsidRPr="003F3B94">
        <w:rPr>
          <w:rFonts w:ascii="Abo-thar" w:hAnsi="Abo-thar"/>
          <w:bCs/>
          <w:sz w:val="28"/>
          <w:rtl/>
        </w:rPr>
        <w:t>ورواه</w:t>
      </w:r>
      <w:r w:rsidRPr="003F3B94">
        <w:rPr>
          <w:rFonts w:ascii="Abo-thar" w:hAnsi="Abo-thar" w:hint="cs"/>
          <w:bCs/>
          <w:sz w:val="28"/>
          <w:rtl/>
        </w:rPr>
        <w:t xml:space="preserve"> </w:t>
      </w:r>
      <w:r w:rsidRPr="003F3B94">
        <w:rPr>
          <w:rFonts w:ascii="Abo-thar" w:hAnsi="Abo-thar"/>
          <w:bCs/>
          <w:sz w:val="28"/>
          <w:rtl/>
        </w:rPr>
        <w:t xml:space="preserve">الكليني عن حُكَيْمٍ في الضعيف </w:t>
      </w:r>
      <w:r w:rsidRPr="003F3B94">
        <w:rPr>
          <w:rFonts w:ascii="Abo-thar" w:hAnsi="Abo-thar" w:hint="cs"/>
          <w:bCs/>
          <w:sz w:val="28"/>
          <w:rtl/>
        </w:rPr>
        <w:t>أيضاً</w:t>
      </w:r>
      <w:r w:rsidR="00217AB4" w:rsidRPr="003F3B94">
        <w:rPr>
          <w:rFonts w:ascii="Abo-thar" w:hAnsi="Abo-thar" w:hint="cs"/>
          <w:bCs/>
          <w:sz w:val="28"/>
          <w:rtl/>
        </w:rPr>
        <w:t>،</w:t>
      </w:r>
      <w:r w:rsidRPr="003F3B94">
        <w:rPr>
          <w:rFonts w:ascii="Abo-thar" w:hAnsi="Abo-thar"/>
          <w:bCs/>
          <w:sz w:val="28"/>
          <w:rtl/>
        </w:rPr>
        <w:t xml:space="preserve"> ور</w:t>
      </w:r>
      <w:r w:rsidRPr="003F3B94">
        <w:rPr>
          <w:rFonts w:ascii="Abo-thar" w:hAnsi="Abo-thar" w:hint="cs"/>
          <w:bCs/>
          <w:sz w:val="28"/>
          <w:rtl/>
        </w:rPr>
        <w:t>ُ</w:t>
      </w:r>
      <w:r w:rsidRPr="003F3B94">
        <w:rPr>
          <w:rFonts w:ascii="Abo-thar" w:hAnsi="Abo-thar"/>
          <w:bCs/>
          <w:sz w:val="28"/>
          <w:rtl/>
        </w:rPr>
        <w:t>د</w:t>
      </w:r>
      <w:r w:rsidRPr="003F3B94">
        <w:rPr>
          <w:rFonts w:ascii="Abo-thar" w:hAnsi="Abo-thar" w:hint="cs"/>
          <w:bCs/>
          <w:sz w:val="28"/>
          <w:rtl/>
        </w:rPr>
        <w:t>َّ</w:t>
      </w:r>
      <w:r w:rsidRPr="003F3B94">
        <w:rPr>
          <w:rFonts w:ascii="Abo-thar" w:hAnsi="Abo-thar"/>
          <w:bCs/>
          <w:sz w:val="28"/>
          <w:rtl/>
        </w:rPr>
        <w:t xml:space="preserve"> بضعف السند لاشتماله على عدة من الضعفاء</w:t>
      </w:r>
      <w:r w:rsidRPr="003F3B94">
        <w:rPr>
          <w:rFonts w:ascii="Abo-thar" w:hAnsi="Abo-thar" w:hint="cs"/>
          <w:bCs/>
          <w:sz w:val="28"/>
          <w:rtl/>
        </w:rPr>
        <w:t xml:space="preserve"> </w:t>
      </w:r>
      <w:r w:rsidRPr="003F3B94">
        <w:rPr>
          <w:rFonts w:ascii="Abo-thar" w:hAnsi="Abo-thar"/>
          <w:bCs/>
          <w:sz w:val="28"/>
          <w:rtl/>
        </w:rPr>
        <w:t>والمجاهيل</w:t>
      </w:r>
      <w:r w:rsidR="00EF2588" w:rsidRPr="003F3B94">
        <w:rPr>
          <w:rFonts w:ascii="Abo-thar" w:hAnsi="Abo-thar" w:hint="cs"/>
          <w:sz w:val="28"/>
          <w:rtl/>
        </w:rPr>
        <w:t>»</w:t>
      </w:r>
      <w:r w:rsidR="00217AB4" w:rsidRPr="003F3B94">
        <w:rPr>
          <w:rFonts w:ascii="Abo-thar" w:hAnsi="Abo-thar" w:hint="cs"/>
          <w:sz w:val="28"/>
          <w:rtl/>
        </w:rPr>
        <w:t>.</w:t>
      </w:r>
    </w:p>
    <w:p w:rsidR="005C664D" w:rsidRPr="003F3B94" w:rsidRDefault="005C664D" w:rsidP="003F3B94">
      <w:pPr>
        <w:pStyle w:val="a0"/>
        <w:rPr>
          <w:rFonts w:hint="cs"/>
          <w:rtl/>
        </w:rPr>
      </w:pPr>
      <w:r w:rsidRPr="003F3B94">
        <w:rPr>
          <w:rFonts w:ascii="Abo-thar" w:hAnsi="Abo-thar" w:hint="cs"/>
          <w:sz w:val="28"/>
          <w:rtl/>
        </w:rPr>
        <w:t>2</w:t>
      </w:r>
      <w:r w:rsidR="00217AB4" w:rsidRPr="003F3B94">
        <w:rPr>
          <w:rFonts w:ascii="Abo-thar" w:hAnsi="Abo-thar" w:hint="cs"/>
          <w:sz w:val="28"/>
          <w:rtl/>
        </w:rPr>
        <w:t>-</w:t>
      </w:r>
      <w:r w:rsidRPr="003F3B94">
        <w:rPr>
          <w:rFonts w:ascii="Abo-thar" w:hAnsi="Abo-thar" w:hint="cs"/>
          <w:sz w:val="28"/>
          <w:rtl/>
        </w:rPr>
        <w:t xml:space="preserve"> وضمن تعليق المرحوم الشهيد الأول في كتابه </w:t>
      </w:r>
      <w:r w:rsidRPr="003F3B94">
        <w:rPr>
          <w:rFonts w:ascii="Abo-thar" w:hAnsi="Abo-thar"/>
          <w:sz w:val="28"/>
          <w:rtl/>
        </w:rPr>
        <w:t>«</w:t>
      </w:r>
      <w:r w:rsidRPr="003F3B94">
        <w:rPr>
          <w:rFonts w:ascii="Abo-thar" w:hAnsi="Abo-thar" w:hint="cs"/>
          <w:sz w:val="28"/>
          <w:rtl/>
        </w:rPr>
        <w:t>الذكرى</w:t>
      </w:r>
      <w:r w:rsidRPr="003F3B94">
        <w:rPr>
          <w:rFonts w:ascii="Abo-thar" w:hAnsi="Abo-thar"/>
          <w:sz w:val="28"/>
          <w:rtl/>
        </w:rPr>
        <w:t>»</w:t>
      </w:r>
      <w:r w:rsidRPr="003F3B94">
        <w:rPr>
          <w:rFonts w:ascii="Abo-thar" w:hAnsi="Abo-thar" w:hint="cs"/>
          <w:sz w:val="28"/>
          <w:rtl/>
        </w:rPr>
        <w:t xml:space="preserve"> على روايةٍ في سندها</w:t>
      </w:r>
      <w:r w:rsidR="00217AB4" w:rsidRPr="003F3B94">
        <w:rPr>
          <w:rFonts w:ascii="Abo-thar" w:hAnsi="Abo-thar" w:hint="cs"/>
          <w:sz w:val="28"/>
          <w:rtl/>
        </w:rPr>
        <w:t>:</w:t>
      </w:r>
      <w:r w:rsidRPr="003F3B94">
        <w:rPr>
          <w:rFonts w:ascii="Abo-thar" w:hAnsi="Abo-thar" w:hint="cs"/>
          <w:sz w:val="28"/>
          <w:rtl/>
        </w:rPr>
        <w:t xml:space="preserve"> </w:t>
      </w:r>
      <w:r w:rsidRPr="003F3B94">
        <w:rPr>
          <w:rFonts w:ascii="Abo-thar" w:hAnsi="Abo-thar"/>
          <w:b/>
          <w:bCs/>
          <w:sz w:val="28"/>
          <w:rtl/>
        </w:rPr>
        <w:t>حُكَيْمٍ</w:t>
      </w:r>
      <w:r w:rsidRPr="003F3B94">
        <w:rPr>
          <w:rFonts w:ascii="Abo-thar" w:hAnsi="Abo-thar" w:hint="cs"/>
          <w:b/>
          <w:bCs/>
          <w:sz w:val="28"/>
          <w:rtl/>
        </w:rPr>
        <w:t xml:space="preserve"> بن مسكين</w:t>
      </w:r>
      <w:r w:rsidR="00217AB4" w:rsidRPr="003F3B94">
        <w:rPr>
          <w:rFonts w:ascii="Abo-thar" w:hAnsi="Abo-thar" w:hint="cs"/>
          <w:sz w:val="28"/>
          <w:rtl/>
        </w:rPr>
        <w:t>،</w:t>
      </w:r>
      <w:r w:rsidRPr="003F3B94">
        <w:rPr>
          <w:rFonts w:ascii="Abo-thar" w:hAnsi="Abo-thar" w:hint="cs"/>
          <w:sz w:val="28"/>
          <w:rtl/>
        </w:rPr>
        <w:t xml:space="preserve"> قال إن الرواية لا</w:t>
      </w:r>
      <w:r w:rsidRPr="003F3B94">
        <w:rPr>
          <w:rFonts w:cs="Times New Roman" w:hint="cs"/>
          <w:sz w:val="28"/>
          <w:rtl/>
        </w:rPr>
        <w:t> </w:t>
      </w:r>
      <w:r w:rsidRPr="003F3B94">
        <w:rPr>
          <w:rFonts w:ascii="Abo-thar" w:hAnsi="Abo-thar" w:hint="cs"/>
          <w:sz w:val="28"/>
          <w:rtl/>
        </w:rPr>
        <w:t>تصح للسبب ذاته</w:t>
      </w:r>
      <w:r w:rsidR="00217AB4" w:rsidRPr="003F3B94">
        <w:rPr>
          <w:rFonts w:ascii="Abo-thar" w:hAnsi="Abo-thar" w:hint="cs"/>
          <w:sz w:val="28"/>
          <w:rtl/>
        </w:rPr>
        <w:t>.</w:t>
      </w:r>
    </w:p>
    <w:p w:rsidR="005C664D" w:rsidRPr="00995B26" w:rsidRDefault="005C664D" w:rsidP="003F3B94">
      <w:pPr>
        <w:pStyle w:val="a0"/>
        <w:rPr>
          <w:rFonts w:hint="cs"/>
          <w:rtl/>
        </w:rPr>
      </w:pPr>
      <w:r w:rsidRPr="003F3B94">
        <w:rPr>
          <w:rFonts w:ascii="Abo-thar" w:hAnsi="Abo-thar" w:hint="cs"/>
          <w:sz w:val="28"/>
          <w:rtl/>
        </w:rPr>
        <w:t>3</w:t>
      </w:r>
      <w:r w:rsidR="00217AB4" w:rsidRPr="003F3B94">
        <w:rPr>
          <w:rFonts w:ascii="Abo-thar" w:hAnsi="Abo-thar" w:hint="cs"/>
          <w:sz w:val="28"/>
          <w:rtl/>
        </w:rPr>
        <w:t>-</w:t>
      </w:r>
      <w:r w:rsidRPr="003F3B94">
        <w:rPr>
          <w:rFonts w:ascii="Abo-thar" w:hAnsi="Abo-thar" w:hint="cs"/>
          <w:sz w:val="28"/>
          <w:rtl/>
        </w:rPr>
        <w:t xml:space="preserve"> وقال المرحوم المقدَّس الأردبيلي في كتابه </w:t>
      </w:r>
      <w:r w:rsidRPr="003F3B94">
        <w:rPr>
          <w:rFonts w:ascii="Abo-thar" w:hAnsi="Abo-thar"/>
          <w:sz w:val="28"/>
          <w:rtl/>
        </w:rPr>
        <w:t>«</w:t>
      </w:r>
      <w:r w:rsidRPr="003F3B94">
        <w:rPr>
          <w:rFonts w:ascii="Abo-thar" w:hAnsi="Abo-thar" w:hint="cs"/>
          <w:sz w:val="28"/>
          <w:rtl/>
        </w:rPr>
        <w:t>زبدة البيان</w:t>
      </w:r>
      <w:r w:rsidRPr="003F3B94">
        <w:rPr>
          <w:rFonts w:ascii="Abo-thar" w:hAnsi="Abo-thar"/>
          <w:sz w:val="28"/>
          <w:rtl/>
        </w:rPr>
        <w:t>»</w:t>
      </w:r>
      <w:r w:rsidRPr="003F3B94">
        <w:rPr>
          <w:rFonts w:ascii="Abo-thar" w:hAnsi="Abo-thar" w:hint="cs"/>
          <w:sz w:val="28"/>
          <w:rtl/>
        </w:rPr>
        <w:t xml:space="preserve"> </w:t>
      </w:r>
      <w:r w:rsidR="00217AB4" w:rsidRPr="003F3B94">
        <w:rPr>
          <w:rFonts w:ascii="Abo-thar" w:hAnsi="Abo-thar" w:hint="cs"/>
          <w:sz w:val="28"/>
          <w:rtl/>
        </w:rPr>
        <w:t>(</w:t>
      </w:r>
      <w:r w:rsidRPr="003F3B94">
        <w:rPr>
          <w:rFonts w:ascii="Abo-thar" w:hAnsi="Abo-thar" w:hint="cs"/>
          <w:sz w:val="28"/>
          <w:rtl/>
        </w:rPr>
        <w:t>ص110</w:t>
      </w:r>
      <w:r w:rsidR="00217AB4" w:rsidRPr="003F3B94">
        <w:rPr>
          <w:rFonts w:ascii="Abo-thar" w:hAnsi="Abo-thar" w:hint="cs"/>
          <w:sz w:val="28"/>
          <w:rtl/>
        </w:rPr>
        <w:t>)</w:t>
      </w:r>
      <w:r w:rsidRPr="003F3B94">
        <w:rPr>
          <w:rFonts w:ascii="Abo-thar" w:hAnsi="Abo-thar" w:hint="cs"/>
          <w:sz w:val="28"/>
          <w:rtl/>
        </w:rPr>
        <w:t xml:space="preserve"> في تعليقه على هذا الحديث</w:t>
      </w:r>
      <w:r w:rsidR="00217AB4" w:rsidRPr="003F3B94">
        <w:rPr>
          <w:rFonts w:ascii="Abo-thar" w:hAnsi="Abo-thar" w:hint="cs"/>
          <w:sz w:val="28"/>
          <w:rtl/>
        </w:rPr>
        <w:t>:</w:t>
      </w:r>
      <w:r w:rsidRPr="003F3B94">
        <w:rPr>
          <w:rFonts w:ascii="Abo-thar" w:hAnsi="Abo-thar" w:hint="cs"/>
          <w:sz w:val="28"/>
          <w:rtl/>
        </w:rPr>
        <w:t xml:space="preserve"> </w:t>
      </w:r>
      <w:r w:rsidR="00EF2588" w:rsidRPr="003F3B94">
        <w:rPr>
          <w:rFonts w:ascii="Abo-thar" w:hAnsi="Abo-thar" w:hint="cs"/>
          <w:sz w:val="28"/>
          <w:rtl/>
        </w:rPr>
        <w:t>«</w:t>
      </w:r>
      <w:r w:rsidRPr="003F3B94">
        <w:rPr>
          <w:rFonts w:ascii="Abo-thar" w:hAnsi="Abo-thar" w:hint="cs"/>
          <w:bCs/>
          <w:sz w:val="28"/>
          <w:rtl/>
        </w:rPr>
        <w:t>والظاهر أن لا قائل به</w:t>
      </w:r>
      <w:r w:rsidR="00217AB4" w:rsidRPr="003F3B94">
        <w:rPr>
          <w:rFonts w:ascii="Abo-thar" w:hAnsi="Abo-thar" w:hint="cs"/>
          <w:bCs/>
          <w:sz w:val="28"/>
          <w:rtl/>
        </w:rPr>
        <w:t>!!</w:t>
      </w:r>
      <w:r w:rsidR="00EF2588" w:rsidRPr="003F3B94">
        <w:rPr>
          <w:rFonts w:ascii="Abo-thar" w:hAnsi="Abo-thar" w:hint="cs"/>
          <w:sz w:val="28"/>
          <w:rtl/>
        </w:rPr>
        <w:t>»</w:t>
      </w:r>
      <w:r w:rsidR="00217AB4" w:rsidRPr="003F3B94">
        <w:rPr>
          <w:rFonts w:ascii="Abo-thar" w:hAnsi="Abo-thar" w:hint="cs"/>
          <w:sz w:val="28"/>
          <w:rtl/>
        </w:rPr>
        <w:t>.</w:t>
      </w:r>
      <w:r w:rsidRPr="003F3B94">
        <w:rPr>
          <w:rFonts w:ascii="Abo-thar" w:hAnsi="Abo-thar" w:hint="cs"/>
          <w:sz w:val="28"/>
          <w:rtl/>
        </w:rPr>
        <w:t xml:space="preserve"> وأن آية</w:t>
      </w:r>
      <w:r w:rsidR="00B06788" w:rsidRPr="003F3B94">
        <w:rPr>
          <w:rFonts w:ascii="Abo-thar" w:hAnsi="Abo-thar" w:hint="cs"/>
          <w:sz w:val="28"/>
          <w:rtl/>
        </w:rPr>
        <w:t xml:space="preserve">: </w:t>
      </w:r>
      <w:r w:rsidR="00B06788" w:rsidRPr="00995B26">
        <w:rPr>
          <w:rFonts w:ascii="Abo-thar" w:hAnsi="Abo-thar" w:cs="Traditional Arabic" w:hint="cs"/>
          <w:sz w:val="28"/>
          <w:rtl/>
        </w:rPr>
        <w:t>﴿</w:t>
      </w:r>
      <w:r w:rsidR="00B06788" w:rsidRPr="0067048A">
        <w:rPr>
          <w:rFonts w:ascii="KFGQPC Uthmanic Script HAFS" w:cs="KFGQPC Uthmanic Script HAFS" w:hint="eastAsia"/>
          <w:sz w:val="28"/>
          <w:szCs w:val="28"/>
          <w:rtl/>
        </w:rPr>
        <w:t>وَ</w:t>
      </w:r>
      <w:r w:rsidR="00B06788" w:rsidRPr="0067048A">
        <w:rPr>
          <w:rFonts w:ascii="KFGQPC Uthmanic Script HAFS" w:cs="KFGQPC Uthmanic Script HAFS" w:hint="cs"/>
          <w:sz w:val="28"/>
          <w:szCs w:val="28"/>
          <w:rtl/>
        </w:rPr>
        <w:t>ٱ</w:t>
      </w:r>
      <w:r w:rsidR="00B06788" w:rsidRPr="0067048A">
        <w:rPr>
          <w:rFonts w:ascii="KFGQPC Uthmanic Script HAFS" w:cs="KFGQPC Uthmanic Script HAFS" w:hint="eastAsia"/>
          <w:sz w:val="28"/>
          <w:szCs w:val="28"/>
          <w:rtl/>
        </w:rPr>
        <w:t>ع</w:t>
      </w:r>
      <w:r w:rsidR="00B06788" w:rsidRPr="0067048A">
        <w:rPr>
          <w:rFonts w:ascii="KFGQPC Uthmanic Script HAFS" w:cs="KFGQPC Uthmanic Script HAFS" w:hint="cs"/>
          <w:sz w:val="28"/>
          <w:szCs w:val="28"/>
          <w:rtl/>
        </w:rPr>
        <w:t>ۡ</w:t>
      </w:r>
      <w:r w:rsidR="00B06788" w:rsidRPr="0067048A">
        <w:rPr>
          <w:rFonts w:ascii="KFGQPC Uthmanic Script HAFS" w:cs="KFGQPC Uthmanic Script HAFS" w:hint="eastAsia"/>
          <w:sz w:val="28"/>
          <w:szCs w:val="28"/>
          <w:rtl/>
        </w:rPr>
        <w:t>لَمُو</w:t>
      </w:r>
      <w:r w:rsidR="00B06788" w:rsidRPr="0067048A">
        <w:rPr>
          <w:rFonts w:ascii="KFGQPC Uthmanic Script HAFS" w:cs="KFGQPC Uthmanic Script HAFS" w:hint="cs"/>
          <w:sz w:val="28"/>
          <w:szCs w:val="28"/>
          <w:rtl/>
        </w:rPr>
        <w:t>ٓ</w:t>
      </w:r>
      <w:r w:rsidR="00B06788" w:rsidRPr="0067048A">
        <w:rPr>
          <w:rFonts w:ascii="KFGQPC Uthmanic Script HAFS" w:cs="KFGQPC Uthmanic Script HAFS" w:hint="eastAsia"/>
          <w:sz w:val="28"/>
          <w:szCs w:val="28"/>
          <w:rtl/>
        </w:rPr>
        <w:t>اْ</w:t>
      </w:r>
      <w:r w:rsidR="00B06788" w:rsidRPr="0067048A">
        <w:rPr>
          <w:rFonts w:ascii="KFGQPC Uthmanic Script HAFS" w:cs="KFGQPC Uthmanic Script HAFS"/>
          <w:sz w:val="28"/>
          <w:szCs w:val="28"/>
          <w:rtl/>
        </w:rPr>
        <w:t xml:space="preserve"> </w:t>
      </w:r>
      <w:r w:rsidR="00B06788" w:rsidRPr="0067048A">
        <w:rPr>
          <w:rFonts w:ascii="KFGQPC Uthmanic Script HAFS" w:cs="KFGQPC Uthmanic Script HAFS" w:hint="eastAsia"/>
          <w:sz w:val="28"/>
          <w:szCs w:val="28"/>
          <w:rtl/>
        </w:rPr>
        <w:t>أَنَّمَا</w:t>
      </w:r>
      <w:r w:rsidR="00B06788" w:rsidRPr="0067048A">
        <w:rPr>
          <w:rFonts w:ascii="KFGQPC Uthmanic Script HAFS" w:cs="KFGQPC Uthmanic Script HAFS"/>
          <w:sz w:val="28"/>
          <w:szCs w:val="28"/>
          <w:rtl/>
        </w:rPr>
        <w:t xml:space="preserve"> </w:t>
      </w:r>
      <w:r w:rsidR="00B06788" w:rsidRPr="0067048A">
        <w:rPr>
          <w:rFonts w:ascii="KFGQPC Uthmanic Script HAFS" w:cs="KFGQPC Uthmanic Script HAFS" w:hint="eastAsia"/>
          <w:sz w:val="28"/>
          <w:szCs w:val="28"/>
          <w:rtl/>
        </w:rPr>
        <w:t>غَنِم</w:t>
      </w:r>
      <w:r w:rsidR="00B06788" w:rsidRPr="0067048A">
        <w:rPr>
          <w:rFonts w:ascii="KFGQPC Uthmanic Script HAFS" w:cs="KFGQPC Uthmanic Script HAFS" w:hint="cs"/>
          <w:sz w:val="28"/>
          <w:szCs w:val="28"/>
          <w:rtl/>
        </w:rPr>
        <w:t>ۡ</w:t>
      </w:r>
      <w:r w:rsidR="00B06788" w:rsidRPr="0067048A">
        <w:rPr>
          <w:rFonts w:ascii="KFGQPC Uthmanic Script HAFS" w:cs="KFGQPC Uthmanic Script HAFS" w:hint="eastAsia"/>
          <w:sz w:val="28"/>
          <w:szCs w:val="28"/>
          <w:rtl/>
        </w:rPr>
        <w:t>تُم</w:t>
      </w:r>
      <w:r w:rsidR="00B06788" w:rsidRPr="0067048A">
        <w:rPr>
          <w:rFonts w:ascii="KFGQPC Uthmanic Script HAFS" w:cs="KFGQPC Uthmanic Script HAFS"/>
          <w:sz w:val="28"/>
          <w:szCs w:val="28"/>
          <w:rtl/>
        </w:rPr>
        <w:t xml:space="preserve"> </w:t>
      </w:r>
      <w:r w:rsidR="00B06788" w:rsidRPr="0067048A">
        <w:rPr>
          <w:rFonts w:ascii="KFGQPC Uthmanic Script HAFS" w:cs="KFGQPC Uthmanic Script HAFS" w:hint="eastAsia"/>
          <w:sz w:val="28"/>
          <w:szCs w:val="28"/>
          <w:rtl/>
        </w:rPr>
        <w:t>مِّن</w:t>
      </w:r>
      <w:r w:rsidR="00B06788" w:rsidRPr="0067048A">
        <w:rPr>
          <w:rFonts w:ascii="KFGQPC Uthmanic Script HAFS" w:cs="KFGQPC Uthmanic Script HAFS"/>
          <w:sz w:val="28"/>
          <w:szCs w:val="28"/>
          <w:rtl/>
        </w:rPr>
        <w:t xml:space="preserve"> </w:t>
      </w:r>
      <w:r w:rsidR="00B06788" w:rsidRPr="0067048A">
        <w:rPr>
          <w:rFonts w:ascii="KFGQPC Uthmanic Script HAFS" w:cs="KFGQPC Uthmanic Script HAFS" w:hint="eastAsia"/>
          <w:sz w:val="28"/>
          <w:szCs w:val="28"/>
          <w:rtl/>
        </w:rPr>
        <w:t>شَي</w:t>
      </w:r>
      <w:r w:rsidR="00B06788" w:rsidRPr="0067048A">
        <w:rPr>
          <w:rFonts w:ascii="KFGQPC Uthmanic Script HAFS" w:cs="KFGQPC Uthmanic Script HAFS" w:hint="cs"/>
          <w:sz w:val="28"/>
          <w:szCs w:val="28"/>
          <w:rtl/>
        </w:rPr>
        <w:t>ۡ</w:t>
      </w:r>
      <w:r w:rsidR="00B06788" w:rsidRPr="0067048A">
        <w:rPr>
          <w:rFonts w:ascii="KFGQPC Uthmanic Script HAFS" w:cs="KFGQPC Uthmanic Script HAFS" w:hint="eastAsia"/>
          <w:sz w:val="28"/>
          <w:szCs w:val="28"/>
          <w:rtl/>
        </w:rPr>
        <w:t>ء</w:t>
      </w:r>
      <w:r w:rsidR="00B06788" w:rsidRPr="0067048A">
        <w:rPr>
          <w:rFonts w:ascii="KFGQPC Uthmanic Script HAFS" w:cs="KFGQPC Uthmanic Script HAFS" w:hint="cs"/>
          <w:sz w:val="28"/>
          <w:szCs w:val="28"/>
          <w:rtl/>
        </w:rPr>
        <w:t>ٖ</w:t>
      </w:r>
      <w:r w:rsidR="00B06788" w:rsidRPr="00995B26">
        <w:rPr>
          <w:rFonts w:ascii="KFGQPC Uthmanic Script HAFS" w:cs="Times New Roman" w:hint="cs"/>
          <w:sz w:val="28"/>
          <w:rtl/>
        </w:rPr>
        <w:t>...</w:t>
      </w:r>
      <w:r w:rsidR="00B06788" w:rsidRPr="00995B26">
        <w:rPr>
          <w:rFonts w:ascii="Abo-thar" w:hAnsi="Abo-thar" w:cs="Traditional Arabic" w:hint="cs"/>
          <w:sz w:val="28"/>
          <w:rtl/>
        </w:rPr>
        <w:t>﴾</w:t>
      </w:r>
      <w:r w:rsidRPr="00995B26">
        <w:rPr>
          <w:rFonts w:ascii="Abo-thar" w:hAnsi="Abo-thar"/>
          <w:sz w:val="28"/>
          <w:rtl/>
        </w:rPr>
        <w:t xml:space="preserve"> </w:t>
      </w:r>
      <w:r w:rsidRPr="00995B26">
        <w:rPr>
          <w:rFonts w:ascii="Abo-thar" w:hAnsi="Abo-thar" w:hint="cs"/>
          <w:sz w:val="28"/>
          <w:rtl/>
        </w:rPr>
        <w:t>خاصة بخمس غنائم دار الحرب فقط</w:t>
      </w:r>
      <w:r w:rsidR="00217AB4" w:rsidRPr="00995B26">
        <w:rPr>
          <w:rFonts w:ascii="Abo-thar" w:hAnsi="Abo-thar" w:hint="cs"/>
          <w:sz w:val="28"/>
          <w:rtl/>
        </w:rPr>
        <w:t>.</w:t>
      </w:r>
      <w:r w:rsidRPr="00995B26">
        <w:rPr>
          <w:rFonts w:ascii="Abo-thar" w:hAnsi="Abo-thar" w:hint="cs"/>
          <w:sz w:val="28"/>
          <w:rtl/>
        </w:rPr>
        <w:t xml:space="preserve"> ثم قال</w:t>
      </w:r>
      <w:r w:rsidR="00217AB4" w:rsidRPr="00995B26">
        <w:rPr>
          <w:rFonts w:ascii="Abo-thar" w:hAnsi="Abo-thar" w:hint="cs"/>
          <w:sz w:val="28"/>
          <w:rtl/>
        </w:rPr>
        <w:t>:</w:t>
      </w:r>
      <w:r w:rsidRPr="00995B26">
        <w:rPr>
          <w:rFonts w:ascii="Abo-thar" w:hAnsi="Abo-thar" w:hint="cs"/>
          <w:sz w:val="28"/>
          <w:rtl/>
        </w:rPr>
        <w:t xml:space="preserve"> </w:t>
      </w:r>
      <w:r w:rsidR="00EF2588" w:rsidRPr="00995B26">
        <w:rPr>
          <w:rFonts w:ascii="Abo-thar" w:hAnsi="Abo-thar" w:hint="cs"/>
          <w:sz w:val="28"/>
          <w:rtl/>
        </w:rPr>
        <w:t>«</w:t>
      </w:r>
      <w:r w:rsidRPr="00995B26">
        <w:rPr>
          <w:rFonts w:ascii="Abo-thar" w:hAnsi="Abo-thar"/>
          <w:bCs/>
          <w:sz w:val="28"/>
          <w:rtl/>
        </w:rPr>
        <w:t>وأنه تكليف شاق</w:t>
      </w:r>
      <w:r w:rsidR="00217AB4" w:rsidRPr="00995B26">
        <w:rPr>
          <w:rFonts w:ascii="Abo-thar" w:hAnsi="Abo-thar"/>
          <w:bCs/>
          <w:sz w:val="28"/>
          <w:rtl/>
        </w:rPr>
        <w:t>،</w:t>
      </w:r>
      <w:r w:rsidRPr="00995B26">
        <w:rPr>
          <w:rFonts w:ascii="Abo-thar" w:hAnsi="Abo-thar"/>
          <w:bCs/>
          <w:sz w:val="28"/>
          <w:rtl/>
        </w:rPr>
        <w:t xml:space="preserve"> وإلزام شخص ب</w:t>
      </w:r>
      <w:r w:rsidRPr="00995B26">
        <w:rPr>
          <w:rFonts w:ascii="Abo-thar" w:hAnsi="Abo-thar" w:hint="cs"/>
          <w:bCs/>
          <w:sz w:val="28"/>
          <w:rtl/>
        </w:rPr>
        <w:t>إ</w:t>
      </w:r>
      <w:r w:rsidRPr="00995B26">
        <w:rPr>
          <w:rFonts w:ascii="Abo-thar" w:hAnsi="Abo-thar"/>
          <w:bCs/>
          <w:sz w:val="28"/>
          <w:rtl/>
        </w:rPr>
        <w:t>خراج خمس جميع ما يملكه بمثله مشكل</w:t>
      </w:r>
      <w:r w:rsidR="00217AB4" w:rsidRPr="00995B26">
        <w:rPr>
          <w:rFonts w:ascii="Abo-thar" w:hAnsi="Abo-thar"/>
          <w:bCs/>
          <w:sz w:val="28"/>
          <w:rtl/>
        </w:rPr>
        <w:t>،</w:t>
      </w:r>
      <w:r w:rsidRPr="00995B26">
        <w:rPr>
          <w:rFonts w:ascii="Abo-thar" w:hAnsi="Abo-thar"/>
          <w:bCs/>
          <w:sz w:val="28"/>
          <w:rtl/>
        </w:rPr>
        <w:t xml:space="preserve"> و</w:t>
      </w:r>
      <w:r w:rsidRPr="00995B26">
        <w:rPr>
          <w:rFonts w:ascii="Abo-thar" w:hAnsi="Abo-thar" w:hint="cs"/>
          <w:bCs/>
          <w:sz w:val="28"/>
          <w:rtl/>
        </w:rPr>
        <w:t>الأصل</w:t>
      </w:r>
      <w:r w:rsidRPr="00995B26">
        <w:rPr>
          <w:rFonts w:ascii="Abo-thar" w:hAnsi="Abo-thar"/>
          <w:bCs/>
          <w:sz w:val="28"/>
          <w:rtl/>
        </w:rPr>
        <w:t xml:space="preserve"> والشريعة السهلة السمحة ينفيانه</w:t>
      </w:r>
      <w:r w:rsidR="00217AB4" w:rsidRPr="00995B26">
        <w:rPr>
          <w:rFonts w:ascii="Abo-thar" w:hAnsi="Abo-thar"/>
          <w:bCs/>
          <w:sz w:val="28"/>
          <w:rtl/>
        </w:rPr>
        <w:t>،</w:t>
      </w:r>
      <w:r w:rsidRPr="00995B26">
        <w:rPr>
          <w:rFonts w:ascii="Abo-thar" w:hAnsi="Abo-thar"/>
          <w:bCs/>
          <w:sz w:val="28"/>
          <w:rtl/>
        </w:rPr>
        <w:t xml:space="preserve"> والرواية غير صحيحة وفي صراحتها تأم</w:t>
      </w:r>
      <w:r w:rsidRPr="00995B26">
        <w:rPr>
          <w:rFonts w:ascii="Abo-thar" w:hAnsi="Abo-thar" w:hint="cs"/>
          <w:bCs/>
          <w:sz w:val="28"/>
          <w:rtl/>
        </w:rPr>
        <w:t>ّ</w:t>
      </w:r>
      <w:r w:rsidRPr="00995B26">
        <w:rPr>
          <w:rFonts w:ascii="Abo-thar" w:hAnsi="Abo-thar"/>
          <w:bCs/>
          <w:sz w:val="28"/>
          <w:rtl/>
        </w:rPr>
        <w:t>ل</w:t>
      </w:r>
      <w:r w:rsidR="00EF2588" w:rsidRPr="00995B26">
        <w:rPr>
          <w:rFonts w:ascii="Abo-thar" w:hAnsi="Abo-thar" w:hint="cs"/>
          <w:sz w:val="28"/>
          <w:rtl/>
        </w:rPr>
        <w:t>»</w:t>
      </w:r>
      <w:r w:rsidR="00217AB4" w:rsidRPr="00995B26">
        <w:rPr>
          <w:rFonts w:ascii="Abo-thar" w:hAnsi="Abo-thar" w:hint="cs"/>
          <w:sz w:val="28"/>
          <w:rtl/>
        </w:rPr>
        <w:t>.</w:t>
      </w:r>
      <w:r w:rsidRPr="00995B26">
        <w:rPr>
          <w:rFonts w:ascii="Abo-thar" w:hAnsi="Abo-thar" w:hint="cs"/>
          <w:sz w:val="28"/>
          <w:rtl/>
        </w:rPr>
        <w:t xml:space="preserve"> </w:t>
      </w:r>
    </w:p>
    <w:p w:rsidR="005C664D" w:rsidRPr="003F3B94" w:rsidRDefault="005C664D" w:rsidP="003F3B94">
      <w:pPr>
        <w:pStyle w:val="a0"/>
        <w:rPr>
          <w:rFonts w:hint="cs"/>
          <w:rtl/>
        </w:rPr>
      </w:pPr>
      <w:r w:rsidRPr="003F3B94">
        <w:rPr>
          <w:rFonts w:ascii="Abo-thar" w:hAnsi="Abo-thar" w:hint="cs"/>
          <w:sz w:val="28"/>
          <w:rtl/>
        </w:rPr>
        <w:t>4</w:t>
      </w:r>
      <w:r w:rsidR="00217AB4" w:rsidRPr="003F3B94">
        <w:rPr>
          <w:rFonts w:ascii="Abo-thar" w:hAnsi="Abo-thar" w:hint="cs"/>
          <w:sz w:val="28"/>
          <w:rtl/>
        </w:rPr>
        <w:t>-</w:t>
      </w:r>
      <w:r w:rsidRPr="003F3B94">
        <w:rPr>
          <w:rFonts w:ascii="Abo-thar" w:hAnsi="Abo-thar" w:hint="cs"/>
          <w:sz w:val="28"/>
          <w:rtl/>
        </w:rPr>
        <w:t xml:space="preserve"> وكتب المرحوم </w:t>
      </w:r>
      <w:r w:rsidRPr="003F3B94">
        <w:rPr>
          <w:rFonts w:ascii="Abo-thar" w:hAnsi="Abo-thar"/>
          <w:sz w:val="28"/>
          <w:rtl/>
        </w:rPr>
        <w:t>«الفاضل الجواد الكاظمي» في كتابه «مسالك الأفهام»</w:t>
      </w:r>
      <w:r w:rsidRPr="003F3B94">
        <w:rPr>
          <w:rFonts w:ascii="Abo-thar" w:hAnsi="Abo-thar" w:hint="cs"/>
          <w:sz w:val="28"/>
          <w:rtl/>
        </w:rPr>
        <w:t xml:space="preserve"> </w:t>
      </w:r>
      <w:r w:rsidR="00217AB4" w:rsidRPr="003F3B94">
        <w:rPr>
          <w:rFonts w:ascii="Abo-thar" w:hAnsi="Abo-thar" w:hint="cs"/>
          <w:sz w:val="28"/>
          <w:rtl/>
        </w:rPr>
        <w:t>(</w:t>
      </w:r>
      <w:r w:rsidRPr="003F3B94">
        <w:rPr>
          <w:rFonts w:ascii="Abo-thar" w:hAnsi="Abo-thar" w:hint="cs"/>
          <w:sz w:val="28"/>
          <w:rtl/>
        </w:rPr>
        <w:t>ج2</w:t>
      </w:r>
      <w:r w:rsidR="00920257" w:rsidRPr="003F3B94">
        <w:rPr>
          <w:rFonts w:ascii="Abo-thar" w:hAnsi="Abo-thar" w:hint="cs"/>
          <w:sz w:val="28"/>
          <w:rtl/>
        </w:rPr>
        <w:t xml:space="preserve">، </w:t>
      </w:r>
      <w:r w:rsidRPr="003F3B94">
        <w:rPr>
          <w:rFonts w:ascii="Abo-thar" w:hAnsi="Abo-thar" w:hint="cs"/>
          <w:sz w:val="28"/>
          <w:rtl/>
        </w:rPr>
        <w:t>ص18</w:t>
      </w:r>
      <w:r w:rsidR="00217AB4" w:rsidRPr="003F3B94">
        <w:rPr>
          <w:rFonts w:ascii="Abo-thar" w:hAnsi="Abo-thar" w:hint="cs"/>
          <w:sz w:val="28"/>
          <w:rtl/>
        </w:rPr>
        <w:t>)</w:t>
      </w:r>
      <w:r w:rsidRPr="003F3B94">
        <w:rPr>
          <w:rFonts w:ascii="Abo-thar" w:hAnsi="Abo-thar" w:hint="cs"/>
          <w:sz w:val="28"/>
          <w:rtl/>
        </w:rPr>
        <w:t xml:space="preserve"> معلقاً على هذه الرواية</w:t>
      </w:r>
      <w:r w:rsidR="00217AB4" w:rsidRPr="003F3B94">
        <w:rPr>
          <w:rFonts w:ascii="Abo-thar" w:hAnsi="Abo-thar"/>
          <w:sz w:val="28"/>
          <w:rtl/>
        </w:rPr>
        <w:t>:</w:t>
      </w:r>
      <w:r w:rsidRPr="003F3B94">
        <w:rPr>
          <w:rFonts w:ascii="Abo-thar" w:hAnsi="Abo-thar" w:hint="cs"/>
          <w:sz w:val="28"/>
          <w:rtl/>
        </w:rPr>
        <w:t xml:space="preserve"> </w:t>
      </w:r>
      <w:r w:rsidR="00EF2588" w:rsidRPr="003F3B94">
        <w:rPr>
          <w:rFonts w:ascii="Abo-thar" w:hAnsi="Abo-thar" w:hint="cs"/>
          <w:sz w:val="28"/>
          <w:rtl/>
        </w:rPr>
        <w:t>«</w:t>
      </w:r>
      <w:r w:rsidRPr="003F3B94">
        <w:rPr>
          <w:rFonts w:ascii="Abo-thar" w:hAnsi="Abo-thar" w:hint="cs"/>
          <w:b/>
          <w:bCs/>
          <w:sz w:val="28"/>
          <w:rtl/>
        </w:rPr>
        <w:t>والخبر غير صحيح</w:t>
      </w:r>
      <w:r w:rsidR="00EF2588" w:rsidRPr="003F3B94">
        <w:rPr>
          <w:rFonts w:ascii="Abo-thar" w:hAnsi="Abo-thar" w:hint="cs"/>
          <w:sz w:val="28"/>
          <w:rtl/>
        </w:rPr>
        <w:t>»</w:t>
      </w:r>
      <w:r w:rsidR="00217AB4" w:rsidRPr="003F3B94">
        <w:rPr>
          <w:rFonts w:ascii="Abo-thar" w:hAnsi="Abo-thar" w:hint="cs"/>
          <w:sz w:val="28"/>
          <w:rtl/>
        </w:rPr>
        <w:t>.</w:t>
      </w:r>
    </w:p>
    <w:p w:rsidR="005C664D" w:rsidRPr="003F3B94" w:rsidRDefault="005C664D" w:rsidP="003F3B94">
      <w:pPr>
        <w:pStyle w:val="a0"/>
        <w:rPr>
          <w:rFonts w:hint="cs"/>
          <w:rtl/>
        </w:rPr>
      </w:pPr>
      <w:r w:rsidRPr="003F3B94">
        <w:rPr>
          <w:rFonts w:ascii="Abo-thar" w:hAnsi="Abo-thar" w:hint="cs"/>
          <w:sz w:val="28"/>
          <w:rtl/>
        </w:rPr>
        <w:t>5</w:t>
      </w:r>
      <w:r w:rsidR="00217AB4" w:rsidRPr="003F3B94">
        <w:rPr>
          <w:rFonts w:ascii="Abo-thar" w:hAnsi="Abo-thar" w:hint="cs"/>
          <w:sz w:val="28"/>
          <w:rtl/>
        </w:rPr>
        <w:t>-</w:t>
      </w:r>
      <w:r w:rsidRPr="003F3B94">
        <w:rPr>
          <w:rFonts w:ascii="Abo-thar" w:hAnsi="Abo-thar" w:hint="cs"/>
          <w:sz w:val="28"/>
          <w:rtl/>
        </w:rPr>
        <w:t xml:space="preserve"> واعتبر العلامة المجلسي في كتابه </w:t>
      </w:r>
      <w:r w:rsidRPr="003F3B94">
        <w:rPr>
          <w:rFonts w:ascii="Abo-thar" w:hAnsi="Abo-thar"/>
          <w:sz w:val="28"/>
          <w:rtl/>
        </w:rPr>
        <w:t>«</w:t>
      </w:r>
      <w:r w:rsidRPr="003F3B94">
        <w:rPr>
          <w:rFonts w:ascii="Abo-thar" w:hAnsi="Abo-thar" w:hint="cs"/>
          <w:sz w:val="28"/>
          <w:rtl/>
        </w:rPr>
        <w:t>مرآة العقول</w:t>
      </w:r>
      <w:r w:rsidRPr="003F3B94">
        <w:rPr>
          <w:rFonts w:ascii="Abo-thar" w:hAnsi="Abo-thar"/>
          <w:sz w:val="28"/>
          <w:rtl/>
        </w:rPr>
        <w:t>»</w:t>
      </w:r>
      <w:r w:rsidR="00217AB4" w:rsidRPr="003F3B94">
        <w:rPr>
          <w:rFonts w:ascii="Abo-thar" w:hAnsi="Abo-thar" w:hint="cs"/>
          <w:sz w:val="28"/>
          <w:rtl/>
        </w:rPr>
        <w:t>،</w:t>
      </w:r>
      <w:r w:rsidRPr="003F3B94">
        <w:rPr>
          <w:rFonts w:ascii="Abo-thar" w:hAnsi="Abo-thar" w:hint="cs"/>
          <w:sz w:val="28"/>
          <w:rtl/>
        </w:rPr>
        <w:t xml:space="preserve"> في تعليقه على هذا الحديث أن الحديثَ طبقاً للمشهور ضعيفٌ</w:t>
      </w:r>
      <w:r w:rsidR="00217AB4" w:rsidRPr="003F3B94">
        <w:rPr>
          <w:rFonts w:ascii="Abo-thar" w:hAnsi="Abo-thar" w:hint="cs"/>
          <w:sz w:val="28"/>
          <w:rtl/>
        </w:rPr>
        <w:t>.</w:t>
      </w:r>
    </w:p>
    <w:p w:rsidR="005C664D" w:rsidRPr="003F3B94" w:rsidRDefault="005C664D" w:rsidP="003F3B94">
      <w:pPr>
        <w:pStyle w:val="a0"/>
        <w:rPr>
          <w:rFonts w:hint="cs"/>
          <w:rtl/>
        </w:rPr>
      </w:pPr>
      <w:r w:rsidRPr="003F3B94">
        <w:rPr>
          <w:rFonts w:ascii="Abo-thar" w:hAnsi="Abo-thar" w:hint="cs"/>
          <w:sz w:val="28"/>
          <w:rtl/>
        </w:rPr>
        <w:t>تلك كانت جميع الأحاديث التي أوردها المحدِّثون والفقهاء بشأن خمس أرباح المكاسب والتجارات والزراعات والصناعات</w:t>
      </w:r>
      <w:r w:rsidR="001E0DB7" w:rsidRPr="003F3B94">
        <w:rPr>
          <w:rFonts w:ascii="Abo-thar" w:hAnsi="Abo-thar" w:hint="cs"/>
          <w:sz w:val="28"/>
          <w:rtl/>
        </w:rPr>
        <w:t>،</w:t>
      </w:r>
      <w:r w:rsidRPr="003F3B94">
        <w:rPr>
          <w:rFonts w:ascii="Abo-thar" w:hAnsi="Abo-thar" w:hint="cs"/>
          <w:sz w:val="28"/>
          <w:rtl/>
        </w:rPr>
        <w:t xml:space="preserve"> وقد تبيَّن بالدلائل الواضحة والتحقيق الدقيق الذي مرَّ معنا أنها جميعاً بلا استثناء غير صحيحة وغير موثوقة ولا</w:t>
      </w:r>
      <w:r w:rsidRPr="003F3B94">
        <w:rPr>
          <w:rFonts w:cs="Times New Roman" w:hint="cs"/>
          <w:sz w:val="28"/>
          <w:rtl/>
        </w:rPr>
        <w:t> </w:t>
      </w:r>
      <w:r w:rsidRPr="003F3B94">
        <w:rPr>
          <w:rFonts w:ascii="Abo-thar" w:hAnsi="Abo-thar" w:hint="cs"/>
          <w:sz w:val="28"/>
          <w:rtl/>
        </w:rPr>
        <w:t>يمكن التعويل عليها بل هي في الحقيقة من وضع واختلاق عدة من الغلاة والمفسدين والمغرضين المتعصبين</w:t>
      </w:r>
      <w:r w:rsidR="00217AB4" w:rsidRPr="003F3B94">
        <w:rPr>
          <w:rFonts w:ascii="Abo-thar" w:hAnsi="Abo-thar" w:hint="cs"/>
          <w:sz w:val="28"/>
          <w:rtl/>
        </w:rPr>
        <w:t>.</w:t>
      </w:r>
      <w:r w:rsidRPr="003F3B94">
        <w:rPr>
          <w:rFonts w:ascii="Abo-thar" w:hAnsi="Abo-thar" w:hint="cs"/>
          <w:sz w:val="28"/>
          <w:rtl/>
        </w:rPr>
        <w:t xml:space="preserve"> وحتى لو فرضنا أنها سلمت من جميع تلك العوارض والمفاسد فإن أقصى ما تدلّ عليه هو أن خمس الأرباح خاص بالإمام وحده لا غيره</w:t>
      </w:r>
      <w:r w:rsidR="001E0DB7" w:rsidRPr="003F3B94">
        <w:rPr>
          <w:rFonts w:ascii="Abo-thar" w:hAnsi="Abo-thar" w:hint="cs"/>
          <w:sz w:val="28"/>
          <w:rtl/>
        </w:rPr>
        <w:t>،</w:t>
      </w:r>
      <w:r w:rsidRPr="003F3B94">
        <w:rPr>
          <w:rFonts w:ascii="Abo-thar" w:hAnsi="Abo-thar" w:hint="cs"/>
          <w:sz w:val="28"/>
          <w:rtl/>
        </w:rPr>
        <w:t xml:space="preserve"> هذا في حين أن صاحب المدارك صرّح قائلاً إن روايات خمس أرباح المكاسب لا تخلو من ضعف في السند وقصور في الدلالة</w:t>
      </w:r>
      <w:r w:rsidR="001E0DB7" w:rsidRPr="003F3B94">
        <w:rPr>
          <w:rFonts w:ascii="Abo-thar" w:hAnsi="Abo-thar" w:hint="cs"/>
          <w:sz w:val="28"/>
          <w:rtl/>
        </w:rPr>
        <w:t>،</w:t>
      </w:r>
      <w:r w:rsidRPr="003F3B94">
        <w:rPr>
          <w:rFonts w:ascii="Abo-thar" w:hAnsi="Abo-thar" w:hint="cs"/>
          <w:sz w:val="28"/>
          <w:rtl/>
        </w:rPr>
        <w:t xml:space="preserve"> وكل من ترك التعصب والغرض جانباً يعلم كل العلم أن هذا الموضوع من أساسه من وضع واختراع المغرضين والمتعصبين</w:t>
      </w:r>
      <w:r w:rsidR="001E0DB7" w:rsidRPr="003F3B94">
        <w:rPr>
          <w:rFonts w:ascii="Abo-thar" w:hAnsi="Abo-thar" w:hint="cs"/>
          <w:sz w:val="28"/>
          <w:rtl/>
        </w:rPr>
        <w:t>،</w:t>
      </w:r>
      <w:r w:rsidRPr="003F3B94">
        <w:rPr>
          <w:rFonts w:ascii="Abo-thar" w:hAnsi="Abo-thar" w:hint="cs"/>
          <w:sz w:val="28"/>
          <w:rtl/>
        </w:rPr>
        <w:t xml:space="preserve"> ولو فرضنا جدلاً أن جميع هذه الأحاديث صحيحة ويمكن الاستناد إليها والتعويل عليها </w:t>
      </w:r>
      <w:r w:rsidR="00217AB4" w:rsidRPr="003F3B94">
        <w:rPr>
          <w:rFonts w:ascii="Abo-thar" w:hAnsi="Abo-thar" w:hint="cs"/>
          <w:sz w:val="28"/>
          <w:rtl/>
        </w:rPr>
        <w:t>(</w:t>
      </w:r>
      <w:r w:rsidRPr="003F3B94">
        <w:rPr>
          <w:rFonts w:ascii="Abo-thar" w:hAnsi="Abo-thar" w:hint="cs"/>
          <w:sz w:val="28"/>
          <w:rtl/>
        </w:rPr>
        <w:t>والحال أن الأمر خلا فذلك طبعاً</w:t>
      </w:r>
      <w:r w:rsidR="00217AB4" w:rsidRPr="003F3B94">
        <w:rPr>
          <w:rFonts w:ascii="Abo-thar" w:hAnsi="Abo-thar" w:hint="cs"/>
          <w:sz w:val="28"/>
          <w:rtl/>
        </w:rPr>
        <w:t>)</w:t>
      </w:r>
      <w:r w:rsidRPr="003F3B94">
        <w:rPr>
          <w:rFonts w:ascii="Abo-thar" w:hAnsi="Abo-thar" w:hint="cs"/>
          <w:sz w:val="28"/>
          <w:rtl/>
        </w:rPr>
        <w:t xml:space="preserve"> وأن أرباح المكاسب والفوائد اليومية مشمولة بالخمس فإن طائفة الشيعة الإمامية التي تقبل تلك الأحاديث هي اليوم في حل من أداء ذلك الخمس بدلالة الأحاديث العديدة التي ستأتي لاحقاً إن شاء الله</w:t>
      </w:r>
      <w:r w:rsidR="00217AB4" w:rsidRPr="003F3B94">
        <w:rPr>
          <w:rFonts w:ascii="Abo-thar" w:hAnsi="Abo-thar" w:hint="cs"/>
          <w:sz w:val="28"/>
          <w:rtl/>
        </w:rPr>
        <w:t>!</w:t>
      </w:r>
      <w:r w:rsidRPr="003F3B94">
        <w:rPr>
          <w:rFonts w:ascii="Abo-thar" w:hAnsi="Abo-thar" w:hint="cs"/>
          <w:sz w:val="28"/>
          <w:rtl/>
        </w:rPr>
        <w:t xml:space="preserve"> أما المخالفون أي عامة المسلمين في الدنيا </w:t>
      </w:r>
      <w:r w:rsidR="00217AB4" w:rsidRPr="003F3B94">
        <w:rPr>
          <w:rFonts w:ascii="Abo-thar" w:hAnsi="Abo-thar" w:hint="cs"/>
          <w:sz w:val="28"/>
          <w:rtl/>
        </w:rPr>
        <w:t>(</w:t>
      </w:r>
      <w:r w:rsidRPr="003F3B94">
        <w:rPr>
          <w:rFonts w:ascii="Abo-thar" w:hAnsi="Abo-thar" w:hint="cs"/>
          <w:sz w:val="28"/>
          <w:rtl/>
        </w:rPr>
        <w:t>غير طائفة الشيعة الإثني عشرية</w:t>
      </w:r>
      <w:r w:rsidR="00217AB4" w:rsidRPr="003F3B94">
        <w:rPr>
          <w:rFonts w:ascii="Abo-thar" w:hAnsi="Abo-thar" w:hint="cs"/>
          <w:sz w:val="28"/>
          <w:rtl/>
        </w:rPr>
        <w:t>)</w:t>
      </w:r>
      <w:r w:rsidRPr="003F3B94">
        <w:rPr>
          <w:rFonts w:ascii="Abo-thar" w:hAnsi="Abo-thar" w:hint="cs"/>
          <w:sz w:val="28"/>
          <w:rtl/>
        </w:rPr>
        <w:t xml:space="preserve"> فإنها ترى أن تلك الروايات مردودة وغير صحيحة ولا</w:t>
      </w:r>
      <w:r w:rsidRPr="003F3B94">
        <w:rPr>
          <w:rFonts w:cs="Times New Roman" w:hint="cs"/>
          <w:sz w:val="28"/>
          <w:rtl/>
        </w:rPr>
        <w:t> </w:t>
      </w:r>
      <w:r w:rsidRPr="003F3B94">
        <w:rPr>
          <w:rFonts w:ascii="Abo-thar" w:hAnsi="Abo-thar" w:hint="cs"/>
          <w:sz w:val="28"/>
          <w:rtl/>
        </w:rPr>
        <w:t>يمكن التعويل عليه بل ليس لها أدنى قيمة ويعتبرونها بدعة كبيرة ليس لها أي سند في كتاب الله ولا أي أثر في سنة رسوله</w:t>
      </w:r>
      <w:r w:rsidR="00147857" w:rsidRPr="003F3B94">
        <w:rPr>
          <w:rFonts w:ascii="Abo-thar" w:hAnsi="Abo-thar" w:hint="cs"/>
          <w:sz w:val="28"/>
          <w:rtl/>
        </w:rPr>
        <w:t xml:space="preserve"> </w:t>
      </w:r>
      <w:r w:rsidR="003C7AEB" w:rsidRPr="003C7AEB">
        <w:rPr>
          <w:rFonts w:ascii="Abo-thar" w:hAnsi="Abo-thar" w:cs="CTraditional Arabic" w:hint="cs"/>
          <w:sz w:val="28"/>
          <w:rtl/>
        </w:rPr>
        <w:t>ص</w:t>
      </w:r>
      <w:r w:rsidR="00147857" w:rsidRPr="003F3B94">
        <w:rPr>
          <w:rFonts w:ascii="Abo-thar" w:hAnsi="Abo-thar" w:hint="cs"/>
          <w:sz w:val="28"/>
          <w:rtl/>
        </w:rPr>
        <w:t xml:space="preserve"> </w:t>
      </w:r>
      <w:r w:rsidRPr="003F3B94">
        <w:rPr>
          <w:rFonts w:ascii="Abo-thar" w:hAnsi="Abo-thar" w:hint="cs"/>
          <w:sz w:val="28"/>
          <w:rtl/>
        </w:rPr>
        <w:t>وسيرته</w:t>
      </w:r>
      <w:r w:rsidR="00217AB4" w:rsidRPr="003F3B94">
        <w:rPr>
          <w:rFonts w:ascii="Abo-thar" w:hAnsi="Abo-thar" w:hint="cs"/>
          <w:sz w:val="28"/>
          <w:rtl/>
        </w:rPr>
        <w:t>.</w:t>
      </w:r>
      <w:r w:rsidRPr="003F3B94">
        <w:rPr>
          <w:rFonts w:ascii="Abo-thar" w:hAnsi="Abo-thar" w:hint="cs"/>
          <w:sz w:val="28"/>
          <w:rtl/>
        </w:rPr>
        <w:t xml:space="preserve"> </w:t>
      </w:r>
    </w:p>
    <w:p w:rsidR="003D6690" w:rsidRPr="00995B26" w:rsidRDefault="003D6690" w:rsidP="007D2B8A">
      <w:pPr>
        <w:pStyle w:val="a5"/>
        <w:rPr>
          <w:rFonts w:hint="cs"/>
          <w:rtl/>
        </w:rPr>
      </w:pPr>
      <w:bookmarkStart w:id="104" w:name="_Toc387843075"/>
      <w:r w:rsidRPr="00995B26">
        <w:rPr>
          <w:rFonts w:hint="cs"/>
          <w:rtl/>
        </w:rPr>
        <w:t>3- فتوى إعفاء الشيعة من أداء الخمس</w:t>
      </w:r>
      <w:bookmarkEnd w:id="104"/>
    </w:p>
    <w:p w:rsidR="005C664D" w:rsidRPr="003F3B94" w:rsidRDefault="005C664D" w:rsidP="003F3B94">
      <w:pPr>
        <w:pStyle w:val="a0"/>
        <w:rPr>
          <w:rFonts w:hint="cs"/>
          <w:rtl/>
        </w:rPr>
      </w:pPr>
      <w:r w:rsidRPr="003F3B94">
        <w:rPr>
          <w:rFonts w:ascii="Abo-thar" w:hAnsi="Abo-thar" w:hint="cs"/>
          <w:sz w:val="28"/>
          <w:rtl/>
        </w:rPr>
        <w:t>هذا والحال أنه مع كل ذلك الوصف لو فرضنا أن مثل هذا الخمس كان واجباً كما يفيده مضمون هذه الأحاديث</w:t>
      </w:r>
      <w:r w:rsidR="001E0DB7" w:rsidRPr="003F3B94">
        <w:rPr>
          <w:rFonts w:ascii="Abo-thar" w:hAnsi="Abo-thar" w:hint="cs"/>
          <w:sz w:val="28"/>
          <w:rtl/>
        </w:rPr>
        <w:t>،</w:t>
      </w:r>
      <w:r w:rsidRPr="003F3B94">
        <w:rPr>
          <w:rFonts w:ascii="Abo-thar" w:hAnsi="Abo-thar" w:hint="cs"/>
          <w:sz w:val="28"/>
          <w:rtl/>
        </w:rPr>
        <w:t xml:space="preserve"> فإنه يكون كذلك زمن حياة الإمام وحضوره</w:t>
      </w:r>
      <w:r w:rsidR="001E0DB7" w:rsidRPr="003F3B94">
        <w:rPr>
          <w:rFonts w:ascii="Abo-thar" w:hAnsi="Abo-thar" w:hint="cs"/>
          <w:sz w:val="28"/>
          <w:rtl/>
        </w:rPr>
        <w:t>،</w:t>
      </w:r>
      <w:r w:rsidRPr="003F3B94">
        <w:rPr>
          <w:rFonts w:ascii="Abo-thar" w:hAnsi="Abo-thar" w:hint="cs"/>
          <w:sz w:val="28"/>
          <w:rtl/>
        </w:rPr>
        <w:t xml:space="preserve"> وهذا الإمام قد أحلَّ عامَّة الشيعة من هذا الخمس بنصِّ أخبار عديدة</w:t>
      </w:r>
      <w:r w:rsidR="001E0DB7" w:rsidRPr="003F3B94">
        <w:rPr>
          <w:rFonts w:ascii="Abo-thar" w:hAnsi="Abo-thar" w:hint="cs"/>
          <w:sz w:val="28"/>
          <w:rtl/>
        </w:rPr>
        <w:t>،</w:t>
      </w:r>
      <w:r w:rsidRPr="003F3B94">
        <w:rPr>
          <w:rFonts w:ascii="Abo-thar" w:hAnsi="Abo-thar" w:hint="cs"/>
          <w:sz w:val="28"/>
          <w:rtl/>
        </w:rPr>
        <w:t xml:space="preserve"> هذا رغم أن الشيعة كانوا يستطيعون الوصول إليه</w:t>
      </w:r>
      <w:r w:rsidR="001E0DB7" w:rsidRPr="003F3B94">
        <w:rPr>
          <w:rFonts w:ascii="Abo-thar" w:hAnsi="Abo-thar" w:hint="cs"/>
          <w:sz w:val="28"/>
          <w:rtl/>
        </w:rPr>
        <w:t>،</w:t>
      </w:r>
      <w:r w:rsidRPr="003F3B94">
        <w:rPr>
          <w:rFonts w:ascii="Abo-thar" w:hAnsi="Abo-thar" w:hint="cs"/>
          <w:sz w:val="28"/>
          <w:rtl/>
        </w:rPr>
        <w:t xml:space="preserve"> فما بالك بمثل أيامنا حيث لا يستطيع الشيعة الوصول إلى أحد من الأئمة </w:t>
      </w:r>
      <w:r w:rsidR="00963EFD" w:rsidRPr="00963EFD">
        <w:rPr>
          <w:rFonts w:ascii="Abo-thar" w:hAnsi="Abo-thar" w:cs="CTraditional Arabic" w:hint="cs"/>
          <w:sz w:val="28"/>
          <w:rtl/>
        </w:rPr>
        <w:t>‡</w:t>
      </w:r>
      <w:r w:rsidR="001E0DB7" w:rsidRPr="003F3B94">
        <w:rPr>
          <w:rFonts w:ascii="Abo-thar" w:hAnsi="Abo-thar" w:hint="cs"/>
          <w:sz w:val="28"/>
          <w:rtl/>
        </w:rPr>
        <w:t>،</w:t>
      </w:r>
      <w:r w:rsidRPr="003F3B94">
        <w:rPr>
          <w:rFonts w:ascii="Abo-thar" w:hAnsi="Abo-thar" w:hint="cs"/>
          <w:sz w:val="28"/>
          <w:rtl/>
        </w:rPr>
        <w:t xml:space="preserve"> فتحليل الخمس لهم أوضح ومن باب أولى</w:t>
      </w:r>
      <w:r w:rsidR="00217AB4" w:rsidRPr="003F3B94">
        <w:rPr>
          <w:rFonts w:ascii="Abo-thar" w:hAnsi="Abo-thar" w:hint="cs"/>
          <w:sz w:val="28"/>
          <w:rtl/>
        </w:rPr>
        <w:t>!</w:t>
      </w:r>
      <w:r w:rsidR="00147857" w:rsidRPr="003F3B94">
        <w:rPr>
          <w:rFonts w:ascii="Abo-thar" w:hAnsi="Abo-thar" w:hint="cs"/>
          <w:sz w:val="28"/>
          <w:rtl/>
        </w:rPr>
        <w:t xml:space="preserve"> </w:t>
      </w:r>
      <w:r w:rsidRPr="003F3B94">
        <w:rPr>
          <w:rFonts w:ascii="Abo-thar" w:hAnsi="Abo-thar" w:hint="cs"/>
          <w:sz w:val="28"/>
          <w:rtl/>
        </w:rPr>
        <w:t>ونجد هذه الحقيقة منعكسة حتى لدى الفقهاء ذاتهم الذين يأخذون بمضمون تلك الأحاديث في إيجاب أخذ خمس أرباح المكاسب حيث نجد أن فتاواهم في هذا الصدد بشأن زماننا [أي زمن الغيبة] مترددة وضعيفة</w:t>
      </w:r>
      <w:r w:rsidR="00217AB4" w:rsidRPr="003F3B94">
        <w:rPr>
          <w:rFonts w:ascii="Abo-thar" w:hAnsi="Abo-thar" w:hint="cs"/>
          <w:sz w:val="28"/>
          <w:rtl/>
        </w:rPr>
        <w:t>.</w:t>
      </w:r>
      <w:r w:rsidRPr="003F3B94">
        <w:rPr>
          <w:rFonts w:ascii="Abo-thar" w:hAnsi="Abo-thar" w:hint="cs"/>
          <w:sz w:val="28"/>
          <w:rtl/>
        </w:rPr>
        <w:t xml:space="preserve"> وفيما يلي الدليل على ذلك</w:t>
      </w:r>
      <w:r w:rsidR="00217AB4" w:rsidRPr="003F3B94">
        <w:rPr>
          <w:rFonts w:ascii="Abo-thar" w:hAnsi="Abo-thar" w:hint="cs"/>
          <w:sz w:val="28"/>
          <w:rtl/>
        </w:rPr>
        <w:t>:</w:t>
      </w:r>
      <w:r w:rsidRPr="003F3B94">
        <w:rPr>
          <w:rFonts w:ascii="Abo-thar" w:hAnsi="Abo-thar" w:hint="cs"/>
          <w:sz w:val="28"/>
          <w:rtl/>
        </w:rPr>
        <w:t xml:space="preserve"> </w:t>
      </w:r>
    </w:p>
    <w:p w:rsidR="007D07D3" w:rsidRPr="003F3B94" w:rsidRDefault="005C664D" w:rsidP="003F3B94">
      <w:pPr>
        <w:pStyle w:val="a0"/>
        <w:rPr>
          <w:rFonts w:hint="cs"/>
          <w:rtl/>
        </w:rPr>
      </w:pPr>
      <w:r w:rsidRPr="003F3B94">
        <w:rPr>
          <w:rFonts w:ascii="Abo-thar" w:hAnsi="Abo-thar" w:hint="cs"/>
          <w:sz w:val="28"/>
          <w:rtl/>
        </w:rPr>
        <w:t>1</w:t>
      </w:r>
      <w:r w:rsidR="00217AB4" w:rsidRPr="003F3B94">
        <w:rPr>
          <w:rFonts w:ascii="Abo-thar" w:hAnsi="Abo-thar" w:hint="cs"/>
          <w:sz w:val="28"/>
          <w:rtl/>
        </w:rPr>
        <w:t>-</w:t>
      </w:r>
      <w:r w:rsidRPr="003F3B94">
        <w:rPr>
          <w:rFonts w:ascii="Abo-thar" w:hAnsi="Abo-thar" w:hint="cs"/>
          <w:sz w:val="28"/>
          <w:rtl/>
        </w:rPr>
        <w:t xml:space="preserve"> ذهب المرحوم الفقيه </w:t>
      </w:r>
      <w:r w:rsidRPr="003F3B94">
        <w:rPr>
          <w:rFonts w:ascii="Abo-thar" w:hAnsi="Abo-thar" w:hint="eastAsia"/>
          <w:sz w:val="28"/>
          <w:rtl/>
        </w:rPr>
        <w:t>«</w:t>
      </w:r>
      <w:r w:rsidRPr="003F3B94">
        <w:rPr>
          <w:rFonts w:ascii="Abo-thar" w:hAnsi="Abo-thar" w:hint="cs"/>
          <w:b/>
          <w:bCs/>
          <w:sz w:val="28"/>
          <w:rtl/>
        </w:rPr>
        <w:t>أحمد بن محمد بن الجنيد</w:t>
      </w:r>
      <w:r w:rsidRPr="003F3B94">
        <w:rPr>
          <w:rFonts w:ascii="Abo-thar" w:hAnsi="Abo-thar" w:hint="eastAsia"/>
          <w:sz w:val="28"/>
          <w:rtl/>
        </w:rPr>
        <w:t>»</w:t>
      </w:r>
      <w:r w:rsidR="00217AB4" w:rsidRPr="0021507A">
        <w:rPr>
          <w:rFonts w:cs="Arabic11 BT"/>
          <w:b/>
          <w:sz w:val="28"/>
          <w:vertAlign w:val="superscript"/>
          <w:rtl/>
        </w:rPr>
        <w:t>(</w:t>
      </w:r>
      <w:r w:rsidRPr="0021507A">
        <w:rPr>
          <w:rStyle w:val="FootnoteReference"/>
          <w:rFonts w:cs="Arabic11 BT"/>
          <w:b/>
          <w:sz w:val="28"/>
          <w:rtl/>
        </w:rPr>
        <w:footnoteReference w:id="309"/>
      </w:r>
      <w:r w:rsidR="00217AB4" w:rsidRPr="0021507A">
        <w:rPr>
          <w:rFonts w:cs="Arabic11 BT"/>
          <w:b/>
          <w:sz w:val="28"/>
          <w:vertAlign w:val="superscript"/>
          <w:rtl/>
        </w:rPr>
        <w:t>)</w:t>
      </w:r>
      <w:r w:rsidRPr="003F3B94">
        <w:rPr>
          <w:sz w:val="28"/>
          <w:rtl/>
        </w:rPr>
        <w:t xml:space="preserve"> </w:t>
      </w:r>
      <w:r w:rsidR="00217AB4" w:rsidRPr="003F3B94">
        <w:rPr>
          <w:rFonts w:hint="cs"/>
          <w:sz w:val="28"/>
          <w:rtl/>
        </w:rPr>
        <w:t>-</w:t>
      </w:r>
      <w:r w:rsidRPr="003F3B94">
        <w:rPr>
          <w:rFonts w:hint="cs"/>
          <w:sz w:val="28"/>
          <w:rtl/>
        </w:rPr>
        <w:t xml:space="preserve"> </w:t>
      </w:r>
      <w:r w:rsidRPr="003F3B94">
        <w:rPr>
          <w:rFonts w:ascii="Abo-thar" w:hAnsi="Abo-thar" w:hint="cs"/>
          <w:sz w:val="28"/>
          <w:rtl/>
        </w:rPr>
        <w:t>الذي كان من عظماء علماء الشيعة في ذروة قوة الديالمة</w:t>
      </w:r>
      <w:r w:rsidR="001E0DB7" w:rsidRPr="003F3B94">
        <w:rPr>
          <w:rFonts w:ascii="Abo-thar" w:hAnsi="Abo-thar" w:hint="cs"/>
          <w:sz w:val="28"/>
          <w:rtl/>
        </w:rPr>
        <w:t>،</w:t>
      </w:r>
      <w:r w:rsidRPr="003F3B94">
        <w:rPr>
          <w:rFonts w:ascii="Abo-thar" w:hAnsi="Abo-thar" w:hint="cs"/>
          <w:sz w:val="28"/>
          <w:rtl/>
        </w:rPr>
        <w:t xml:space="preserve"> فكان من مؤيدي مذهب الشيعة في أوج الشهرة </w:t>
      </w:r>
      <w:r w:rsidRPr="003F3B94">
        <w:rPr>
          <w:rFonts w:ascii="Abo-thar" w:hAnsi="Abo-thar" w:hint="cs"/>
          <w:b/>
          <w:sz w:val="28"/>
          <w:rtl/>
        </w:rPr>
        <w:t xml:space="preserve">والعظمة </w:t>
      </w:r>
      <w:r w:rsidRPr="003F3B94">
        <w:rPr>
          <w:rFonts w:cs="Times New Roman" w:hint="cs"/>
          <w:b/>
          <w:sz w:val="28"/>
          <w:rtl/>
        </w:rPr>
        <w:t>–</w:t>
      </w:r>
      <w:r w:rsidRPr="003F3B94">
        <w:rPr>
          <w:rFonts w:ascii="Abo-thar" w:hAnsi="Abo-thar" w:hint="cs"/>
          <w:b/>
          <w:sz w:val="28"/>
          <w:rtl/>
        </w:rPr>
        <w:t xml:space="preserve"> إلى أنه على فرض كون هذه الأخبار صحيحة وقابلة للاستناد إليها فإن خمس الأرباح يختص بالإمام وأما في زماننا فالأصل براءة الذمة منها</w:t>
      </w:r>
      <w:r w:rsidR="00217AB4" w:rsidRPr="003F3B94">
        <w:rPr>
          <w:rFonts w:ascii="Abo-thar" w:hAnsi="Abo-thar" w:hint="cs"/>
          <w:b/>
          <w:sz w:val="28"/>
          <w:rtl/>
        </w:rPr>
        <w:t>.</w:t>
      </w:r>
      <w:r w:rsidRPr="003F3B94">
        <w:rPr>
          <w:rFonts w:ascii="Abo-thar" w:hAnsi="Abo-thar" w:hint="cs"/>
          <w:sz w:val="28"/>
          <w:rtl/>
        </w:rPr>
        <w:t xml:space="preserve"> </w:t>
      </w:r>
    </w:p>
    <w:p w:rsidR="005C664D" w:rsidRPr="003F3B94" w:rsidRDefault="007D07D3" w:rsidP="00254729">
      <w:pPr>
        <w:pStyle w:val="a0"/>
        <w:ind w:left="624" w:hanging="340"/>
        <w:rPr>
          <w:rFonts w:hint="cs"/>
          <w:rtl/>
        </w:rPr>
      </w:pPr>
      <w:r w:rsidRPr="003F3B94">
        <w:rPr>
          <w:rFonts w:ascii="Abo-thar" w:hAnsi="Abo-thar" w:hint="cs"/>
          <w:sz w:val="28"/>
          <w:rtl/>
        </w:rPr>
        <w:t xml:space="preserve">ألف - </w:t>
      </w:r>
      <w:r w:rsidR="005C664D" w:rsidRPr="003F3B94">
        <w:rPr>
          <w:rFonts w:ascii="Abo-thar" w:hAnsi="Abo-thar" w:hint="cs"/>
          <w:sz w:val="28"/>
          <w:rtl/>
        </w:rPr>
        <w:t>نقل عنه ذلك</w:t>
      </w:r>
      <w:r w:rsidR="00147857" w:rsidRPr="003F3B94">
        <w:rPr>
          <w:rFonts w:ascii="Abo-thar" w:hAnsi="Abo-thar" w:hint="cs"/>
          <w:sz w:val="28"/>
          <w:rtl/>
        </w:rPr>
        <w:t xml:space="preserve"> </w:t>
      </w:r>
      <w:r w:rsidR="005C664D" w:rsidRPr="003F3B94">
        <w:rPr>
          <w:rFonts w:ascii="Abo-thar" w:hAnsi="Abo-thar" w:hint="cs"/>
          <w:sz w:val="28"/>
          <w:rtl/>
        </w:rPr>
        <w:t xml:space="preserve">العلامة الحلي في </w:t>
      </w:r>
      <w:r w:rsidR="005C664D" w:rsidRPr="003F3B94">
        <w:rPr>
          <w:rFonts w:ascii="Abo-thar" w:hAnsi="Abo-thar" w:hint="eastAsia"/>
          <w:sz w:val="28"/>
          <w:rtl/>
        </w:rPr>
        <w:t>«</w:t>
      </w:r>
      <w:r w:rsidR="005C664D" w:rsidRPr="003F3B94">
        <w:rPr>
          <w:rFonts w:ascii="Abo-thar" w:hAnsi="Abo-thar" w:hint="cs"/>
          <w:sz w:val="28"/>
          <w:rtl/>
        </w:rPr>
        <w:t>مختلف الشيعة</w:t>
      </w:r>
      <w:r w:rsidR="005C664D" w:rsidRPr="003F3B94">
        <w:rPr>
          <w:rFonts w:ascii="Abo-thar" w:hAnsi="Abo-thar" w:hint="eastAsia"/>
          <w:sz w:val="28"/>
          <w:rtl/>
        </w:rPr>
        <w:t>»</w:t>
      </w:r>
      <w:r w:rsidR="005C664D" w:rsidRPr="003F3B94">
        <w:rPr>
          <w:rFonts w:ascii="Abo-thar" w:hAnsi="Abo-thar" w:hint="cs"/>
          <w:sz w:val="28"/>
          <w:rtl/>
        </w:rPr>
        <w:t xml:space="preserve"> وقال</w:t>
      </w:r>
      <w:r w:rsidR="00217AB4" w:rsidRPr="003F3B94">
        <w:rPr>
          <w:rFonts w:ascii="Abo-thar" w:hAnsi="Abo-thar" w:hint="cs"/>
          <w:sz w:val="28"/>
          <w:rtl/>
        </w:rPr>
        <w:t>:</w:t>
      </w:r>
      <w:r w:rsidR="005C664D" w:rsidRPr="003F3B94">
        <w:rPr>
          <w:rFonts w:ascii="Abo-thar" w:hAnsi="Abo-thar" w:hint="cs"/>
          <w:sz w:val="28"/>
          <w:rtl/>
        </w:rPr>
        <w:t xml:space="preserve"> </w:t>
      </w:r>
      <w:r w:rsidR="00EF2588" w:rsidRPr="003F3B94">
        <w:rPr>
          <w:rFonts w:ascii="Abo-thar" w:hAnsi="Abo-thar" w:hint="cs"/>
          <w:sz w:val="28"/>
          <w:rtl/>
        </w:rPr>
        <w:t>«</w:t>
      </w:r>
      <w:r w:rsidR="005C664D" w:rsidRPr="003F3B94">
        <w:rPr>
          <w:rFonts w:ascii="Abo-thar" w:hAnsi="Abo-thar" w:hint="cs"/>
          <w:b/>
          <w:bCs/>
          <w:sz w:val="28"/>
          <w:rtl/>
        </w:rPr>
        <w:t>احتج ابن الجنيد بأصالة براءة الذمة</w:t>
      </w:r>
      <w:r w:rsidR="00EF2588" w:rsidRPr="003F3B94">
        <w:rPr>
          <w:rFonts w:ascii="Abo-thar" w:hAnsi="Abo-thar" w:hint="cs"/>
          <w:sz w:val="28"/>
          <w:rtl/>
        </w:rPr>
        <w:t>»</w:t>
      </w:r>
      <w:r w:rsidR="005736CE" w:rsidRPr="0021507A">
        <w:rPr>
          <w:rFonts w:cs="Arabic11 BT"/>
          <w:b/>
          <w:sz w:val="28"/>
          <w:vertAlign w:val="superscript"/>
          <w:rtl/>
        </w:rPr>
        <w:t>(</w:t>
      </w:r>
      <w:r w:rsidR="005736CE" w:rsidRPr="0021507A">
        <w:rPr>
          <w:rStyle w:val="FootnoteReference"/>
          <w:rFonts w:cs="Arabic11 BT"/>
          <w:b/>
          <w:sz w:val="28"/>
          <w:rtl/>
        </w:rPr>
        <w:footnoteReference w:id="310"/>
      </w:r>
      <w:r w:rsidR="005736CE" w:rsidRPr="0021507A">
        <w:rPr>
          <w:rFonts w:cs="Arabic11 BT"/>
          <w:b/>
          <w:sz w:val="28"/>
          <w:vertAlign w:val="superscript"/>
          <w:rtl/>
        </w:rPr>
        <w:t>)</w:t>
      </w:r>
      <w:r w:rsidR="00217AB4" w:rsidRPr="003F3B94">
        <w:rPr>
          <w:rFonts w:ascii="Abo-thar" w:hAnsi="Abo-thar" w:hint="cs"/>
          <w:sz w:val="28"/>
          <w:rtl/>
        </w:rPr>
        <w:t>.</w:t>
      </w:r>
      <w:r w:rsidR="005C664D" w:rsidRPr="003F3B94">
        <w:rPr>
          <w:rFonts w:ascii="Abo-thar" w:hAnsi="Abo-thar" w:hint="cs"/>
          <w:sz w:val="28"/>
          <w:rtl/>
        </w:rPr>
        <w:t xml:space="preserve"> </w:t>
      </w:r>
    </w:p>
    <w:p w:rsidR="005C664D" w:rsidRPr="003F3B94" w:rsidRDefault="007D07D3" w:rsidP="00254729">
      <w:pPr>
        <w:pStyle w:val="a0"/>
        <w:ind w:left="624" w:hanging="340"/>
        <w:rPr>
          <w:rFonts w:hint="cs"/>
          <w:rtl/>
        </w:rPr>
      </w:pPr>
      <w:r w:rsidRPr="003F3B94">
        <w:rPr>
          <w:rFonts w:ascii="Abo-thar" w:hAnsi="Abo-thar" w:hint="cs"/>
          <w:sz w:val="28"/>
          <w:rtl/>
        </w:rPr>
        <w:t xml:space="preserve">ب - </w:t>
      </w:r>
      <w:r w:rsidR="005C664D" w:rsidRPr="003F3B94">
        <w:rPr>
          <w:rFonts w:ascii="Abo-thar" w:hAnsi="Abo-thar" w:hint="cs"/>
          <w:sz w:val="28"/>
          <w:rtl/>
        </w:rPr>
        <w:t xml:space="preserve">وقال المحقق السبزواري في </w:t>
      </w:r>
      <w:r w:rsidR="005C664D" w:rsidRPr="003F3B94">
        <w:rPr>
          <w:rFonts w:ascii="Abo-thar" w:hAnsi="Abo-thar" w:hint="eastAsia"/>
          <w:sz w:val="28"/>
          <w:rtl/>
        </w:rPr>
        <w:t>«</w:t>
      </w:r>
      <w:r w:rsidR="005C664D" w:rsidRPr="003F3B94">
        <w:rPr>
          <w:rFonts w:ascii="Abo-thar" w:hAnsi="Abo-thar" w:hint="cs"/>
          <w:sz w:val="28"/>
          <w:rtl/>
        </w:rPr>
        <w:t>ذخيرة المعاد</w:t>
      </w:r>
      <w:r w:rsidR="005C664D" w:rsidRPr="003F3B94">
        <w:rPr>
          <w:rFonts w:ascii="Abo-thar" w:hAnsi="Abo-thar" w:hint="eastAsia"/>
          <w:sz w:val="28"/>
          <w:rtl/>
        </w:rPr>
        <w:t>»</w:t>
      </w:r>
      <w:r w:rsidR="00217AB4" w:rsidRPr="003F3B94">
        <w:rPr>
          <w:rFonts w:ascii="Abo-thar" w:hAnsi="Abo-thar" w:hint="cs"/>
          <w:sz w:val="28"/>
          <w:rtl/>
        </w:rPr>
        <w:t>:</w:t>
      </w:r>
      <w:r w:rsidR="005C664D" w:rsidRPr="003F3B94">
        <w:rPr>
          <w:rFonts w:ascii="Abo-thar" w:hAnsi="Abo-thar" w:hint="cs"/>
          <w:sz w:val="28"/>
          <w:rtl/>
        </w:rPr>
        <w:t xml:space="preserve"> </w:t>
      </w:r>
      <w:r w:rsidR="00EF2588" w:rsidRPr="003F3B94">
        <w:rPr>
          <w:rFonts w:ascii="Abo-thar" w:hAnsi="Abo-thar" w:hint="cs"/>
          <w:sz w:val="28"/>
          <w:rtl/>
        </w:rPr>
        <w:t>«</w:t>
      </w:r>
      <w:r w:rsidR="005C664D" w:rsidRPr="003F3B94">
        <w:rPr>
          <w:rFonts w:ascii="Abo-thar" w:hAnsi="Abo-thar"/>
          <w:sz w:val="28"/>
          <w:rtl/>
        </w:rPr>
        <w:t>والخمس واجب أيضا</w:t>
      </w:r>
      <w:r w:rsidR="005C664D" w:rsidRPr="003F3B94">
        <w:rPr>
          <w:rFonts w:ascii="Abo-thar" w:hAnsi="Abo-thar" w:hint="cs"/>
          <w:sz w:val="28"/>
          <w:rtl/>
        </w:rPr>
        <w:t>ً</w:t>
      </w:r>
      <w:r w:rsidR="005C664D" w:rsidRPr="003F3B94">
        <w:rPr>
          <w:rFonts w:ascii="Abo-thar" w:hAnsi="Abo-thar"/>
          <w:sz w:val="28"/>
          <w:rtl/>
        </w:rPr>
        <w:t xml:space="preserve"> فيما يفضل عن مؤنة سنة له ولعياله من أرباح التجارات والصناعات والزراعات</w:t>
      </w:r>
      <w:r w:rsidR="00217AB4" w:rsidRPr="003F3B94">
        <w:rPr>
          <w:rFonts w:ascii="Abo-thar" w:hAnsi="Abo-thar"/>
          <w:sz w:val="28"/>
          <w:rtl/>
        </w:rPr>
        <w:t>.</w:t>
      </w:r>
      <w:r w:rsidR="00217AB4" w:rsidRPr="003F3B94">
        <w:rPr>
          <w:rFonts w:ascii="Abo-thar" w:hAnsi="Abo-thar" w:hint="cs"/>
          <w:sz w:val="28"/>
          <w:rtl/>
        </w:rPr>
        <w:t>..</w:t>
      </w:r>
      <w:r w:rsidR="005C664D" w:rsidRPr="003F3B94">
        <w:rPr>
          <w:rFonts w:ascii="Abo-thar" w:hAnsi="Abo-thar" w:hint="cs"/>
          <w:sz w:val="28"/>
          <w:rtl/>
        </w:rPr>
        <w:t xml:space="preserve"> </w:t>
      </w:r>
      <w:r w:rsidR="005C664D" w:rsidRPr="003F3B94">
        <w:rPr>
          <w:rFonts w:ascii="Abo-thar" w:hAnsi="Abo-thar"/>
          <w:sz w:val="28"/>
          <w:rtl/>
        </w:rPr>
        <w:t>ونقل عن ابن الجنيد أنه قال و</w:t>
      </w:r>
      <w:r w:rsidR="005C664D" w:rsidRPr="003F3B94">
        <w:rPr>
          <w:rFonts w:ascii="Abo-thar" w:hAnsi="Abo-thar" w:hint="cs"/>
          <w:sz w:val="28"/>
          <w:rtl/>
        </w:rPr>
        <w:t>أ</w:t>
      </w:r>
      <w:r w:rsidR="005C664D" w:rsidRPr="003F3B94">
        <w:rPr>
          <w:rFonts w:ascii="Abo-thar" w:hAnsi="Abo-thar"/>
          <w:sz w:val="28"/>
          <w:rtl/>
        </w:rPr>
        <w:t>ما ما استفيد من ميراث أو كد</w:t>
      </w:r>
      <w:r w:rsidR="005C664D" w:rsidRPr="003F3B94">
        <w:rPr>
          <w:rFonts w:ascii="Abo-thar" w:hAnsi="Abo-thar" w:hint="cs"/>
          <w:sz w:val="28"/>
          <w:rtl/>
        </w:rPr>
        <w:t>ِّ</w:t>
      </w:r>
      <w:r w:rsidR="005C664D" w:rsidRPr="003F3B94">
        <w:rPr>
          <w:rFonts w:ascii="Abo-thar" w:hAnsi="Abo-thar"/>
          <w:sz w:val="28"/>
          <w:rtl/>
        </w:rPr>
        <w:t xml:space="preserve"> يد</w:t>
      </w:r>
      <w:r w:rsidR="005C664D" w:rsidRPr="003F3B94">
        <w:rPr>
          <w:rFonts w:ascii="Abo-thar" w:hAnsi="Abo-thar" w:hint="cs"/>
          <w:sz w:val="28"/>
          <w:rtl/>
        </w:rPr>
        <w:t>ٍ</w:t>
      </w:r>
      <w:r w:rsidR="005C664D" w:rsidRPr="003F3B94">
        <w:rPr>
          <w:rFonts w:ascii="Abo-thar" w:hAnsi="Abo-thar"/>
          <w:sz w:val="28"/>
          <w:rtl/>
        </w:rPr>
        <w:t xml:space="preserve"> أو صلة</w:t>
      </w:r>
      <w:r w:rsidR="005C664D" w:rsidRPr="003F3B94">
        <w:rPr>
          <w:rFonts w:ascii="Abo-thar" w:hAnsi="Abo-thar" w:hint="cs"/>
          <w:sz w:val="28"/>
          <w:rtl/>
        </w:rPr>
        <w:t>ٍ</w:t>
      </w:r>
      <w:r w:rsidR="005C664D" w:rsidRPr="003F3B94">
        <w:rPr>
          <w:rFonts w:ascii="Abo-thar" w:hAnsi="Abo-thar"/>
          <w:sz w:val="28"/>
          <w:rtl/>
        </w:rPr>
        <w:t xml:space="preserve"> أو ربح تجارة أو نحو ذلك فالأحوط </w:t>
      </w:r>
      <w:r w:rsidR="005C664D" w:rsidRPr="003F3B94">
        <w:rPr>
          <w:rFonts w:ascii="Abo-thar" w:hAnsi="Abo-thar" w:hint="cs"/>
          <w:sz w:val="28"/>
          <w:rtl/>
        </w:rPr>
        <w:t>إ</w:t>
      </w:r>
      <w:r w:rsidR="005C664D" w:rsidRPr="003F3B94">
        <w:rPr>
          <w:rFonts w:ascii="Abo-thar" w:hAnsi="Abo-thar"/>
          <w:sz w:val="28"/>
          <w:rtl/>
        </w:rPr>
        <w:t>خراجه لاختلاف الرواية في ذلك ولو لم يخرجه ال</w:t>
      </w:r>
      <w:r w:rsidR="005C664D" w:rsidRPr="003F3B94">
        <w:rPr>
          <w:rFonts w:ascii="Abo-thar" w:hAnsi="Abo-thar" w:hint="cs"/>
          <w:sz w:val="28"/>
          <w:rtl/>
        </w:rPr>
        <w:t>إ</w:t>
      </w:r>
      <w:r w:rsidR="005C664D" w:rsidRPr="003F3B94">
        <w:rPr>
          <w:rFonts w:ascii="Abo-thar" w:hAnsi="Abo-thar"/>
          <w:sz w:val="28"/>
          <w:rtl/>
        </w:rPr>
        <w:t>نسان لم يكن كتارك الزكاة التي لا خلاف فيها</w:t>
      </w:r>
      <w:r w:rsidR="00217AB4" w:rsidRPr="003F3B94">
        <w:rPr>
          <w:rFonts w:ascii="Abo-thar" w:hAnsi="Abo-thar"/>
          <w:sz w:val="28"/>
          <w:rtl/>
        </w:rPr>
        <w:t>.</w:t>
      </w:r>
      <w:r w:rsidR="00217AB4" w:rsidRPr="003F3B94">
        <w:rPr>
          <w:rFonts w:ascii="Abo-thar" w:hAnsi="Abo-thar" w:hint="cs"/>
          <w:sz w:val="28"/>
          <w:rtl/>
        </w:rPr>
        <w:t>.</w:t>
      </w:r>
      <w:r w:rsidR="005C664D" w:rsidRPr="003F3B94">
        <w:rPr>
          <w:rFonts w:ascii="Abo-thar" w:hAnsi="Abo-thar"/>
          <w:sz w:val="28"/>
          <w:rtl/>
        </w:rPr>
        <w:t xml:space="preserve"> </w:t>
      </w:r>
      <w:r w:rsidR="005C664D" w:rsidRPr="003F3B94">
        <w:rPr>
          <w:rFonts w:ascii="Abo-thar" w:hAnsi="Abo-thar"/>
          <w:b/>
          <w:bCs/>
          <w:sz w:val="28"/>
          <w:u w:val="single"/>
          <w:rtl/>
        </w:rPr>
        <w:t>وظاهر كلامه العفو عن هذا النوع وفي البيان</w:t>
      </w:r>
      <w:r w:rsidR="00217AB4" w:rsidRPr="003F3B94">
        <w:rPr>
          <w:rFonts w:ascii="Abo-thar" w:hAnsi="Abo-thar" w:hint="cs"/>
          <w:b/>
          <w:bCs/>
          <w:sz w:val="28"/>
          <w:u w:val="single"/>
          <w:rtl/>
        </w:rPr>
        <w:t>:</w:t>
      </w:r>
      <w:r w:rsidR="005C664D" w:rsidRPr="003F3B94">
        <w:rPr>
          <w:rFonts w:ascii="Abo-thar" w:hAnsi="Abo-thar"/>
          <w:b/>
          <w:bCs/>
          <w:sz w:val="28"/>
          <w:u w:val="single"/>
          <w:rtl/>
        </w:rPr>
        <w:t xml:space="preserve"> وظاهر ابن الجنيد وابن أبي عقيل العفو عن هذا النوع و</w:t>
      </w:r>
      <w:r w:rsidR="005C664D" w:rsidRPr="003F3B94">
        <w:rPr>
          <w:rFonts w:ascii="Abo-thar" w:hAnsi="Abo-thar" w:hint="cs"/>
          <w:b/>
          <w:bCs/>
          <w:sz w:val="28"/>
          <w:u w:val="single"/>
          <w:rtl/>
        </w:rPr>
        <w:t>أ</w:t>
      </w:r>
      <w:r w:rsidR="005C664D" w:rsidRPr="003F3B94">
        <w:rPr>
          <w:rFonts w:ascii="Abo-thar" w:hAnsi="Abo-thar"/>
          <w:b/>
          <w:bCs/>
          <w:sz w:val="28"/>
          <w:u w:val="single"/>
          <w:rtl/>
        </w:rPr>
        <w:t>نه لا خ</w:t>
      </w:r>
      <w:r w:rsidR="005C664D" w:rsidRPr="003F3B94">
        <w:rPr>
          <w:rFonts w:ascii="Abo-thar" w:hAnsi="Abo-thar" w:hint="cs"/>
          <w:b/>
          <w:bCs/>
          <w:sz w:val="28"/>
          <w:u w:val="single"/>
          <w:rtl/>
        </w:rPr>
        <w:t>ُ</w:t>
      </w:r>
      <w:r w:rsidR="005C664D" w:rsidRPr="003F3B94">
        <w:rPr>
          <w:rFonts w:ascii="Abo-thar" w:hAnsi="Abo-thar"/>
          <w:b/>
          <w:bCs/>
          <w:sz w:val="28"/>
          <w:u w:val="single"/>
          <w:rtl/>
        </w:rPr>
        <w:t>مس فيه</w:t>
      </w:r>
      <w:r w:rsidR="00EF2588" w:rsidRPr="003F3B94">
        <w:rPr>
          <w:rFonts w:ascii="Abo-thar" w:hAnsi="Abo-thar" w:hint="cs"/>
          <w:sz w:val="28"/>
          <w:rtl/>
        </w:rPr>
        <w:t>»</w:t>
      </w:r>
      <w:r w:rsidR="005736CE" w:rsidRPr="0021507A">
        <w:rPr>
          <w:rFonts w:ascii="Abo-thar" w:hAnsi="Abo-thar" w:cs="Arabic11 BT"/>
          <w:sz w:val="28"/>
          <w:vertAlign w:val="superscript"/>
          <w:rtl/>
        </w:rPr>
        <w:t>(</w:t>
      </w:r>
      <w:r w:rsidR="005736CE" w:rsidRPr="0021507A">
        <w:rPr>
          <w:rStyle w:val="FootnoteReference"/>
          <w:rFonts w:ascii="Abo-thar" w:hAnsi="Abo-thar" w:cs="Arabic11 BT"/>
          <w:sz w:val="28"/>
          <w:rtl/>
        </w:rPr>
        <w:footnoteReference w:id="311"/>
      </w:r>
      <w:r w:rsidR="005736CE" w:rsidRPr="0021507A">
        <w:rPr>
          <w:rFonts w:ascii="Abo-thar" w:hAnsi="Abo-thar" w:cs="Arabic11 BT"/>
          <w:sz w:val="28"/>
          <w:vertAlign w:val="superscript"/>
          <w:rtl/>
        </w:rPr>
        <w:t>)</w:t>
      </w:r>
      <w:r w:rsidR="00217AB4" w:rsidRPr="003F3B94">
        <w:rPr>
          <w:rFonts w:ascii="Abo-thar" w:hAnsi="Abo-thar" w:hint="cs"/>
          <w:sz w:val="28"/>
          <w:rtl/>
        </w:rPr>
        <w:t>.</w:t>
      </w:r>
      <w:r w:rsidR="005C664D" w:rsidRPr="003F3B94">
        <w:rPr>
          <w:rFonts w:ascii="Abo-thar" w:hAnsi="Abo-thar" w:hint="cs"/>
          <w:sz w:val="28"/>
          <w:rtl/>
        </w:rPr>
        <w:t xml:space="preserve"> </w:t>
      </w:r>
    </w:p>
    <w:p w:rsidR="007D07D3" w:rsidRPr="003F3B94" w:rsidRDefault="007D07D3" w:rsidP="003F3B94">
      <w:pPr>
        <w:pStyle w:val="a0"/>
        <w:rPr>
          <w:rFonts w:hint="cs"/>
          <w:rtl/>
        </w:rPr>
      </w:pPr>
      <w:r w:rsidRPr="003F3B94">
        <w:rPr>
          <w:rFonts w:ascii="Abo-thar" w:hAnsi="Abo-thar" w:hint="cs"/>
          <w:sz w:val="28"/>
          <w:rtl/>
        </w:rPr>
        <w:t>2- ابن أبي عقيل الذي كان من كبار علماء الشيعة في عصره، ذهب إلى هذا المذهب أيضًا، والدليل على ذلك ما جاء في عبارة المحقق السبزواري التي قال فيها إن ابن أبي عقيل المعروف بالـ «العُمَا</w:t>
      </w:r>
      <w:r w:rsidR="005736CE" w:rsidRPr="003F3B94">
        <w:rPr>
          <w:rFonts w:ascii="Abo-thar" w:hAnsi="Abo-thar" w:hint="cs"/>
          <w:sz w:val="28"/>
          <w:rtl/>
        </w:rPr>
        <w:t>ني» من أقدم علماء الشيعة، وقد أف</w:t>
      </w:r>
      <w:r w:rsidRPr="003F3B94">
        <w:rPr>
          <w:rFonts w:ascii="Abo-thar" w:hAnsi="Abo-thar" w:hint="cs"/>
          <w:sz w:val="28"/>
          <w:rtl/>
        </w:rPr>
        <w:t>تى بإباحة الخمس في القرن الثالث والرابع الهجري.</w:t>
      </w:r>
    </w:p>
    <w:p w:rsidR="005C664D" w:rsidRPr="003F3B94" w:rsidRDefault="007D07D3" w:rsidP="003F3B94">
      <w:pPr>
        <w:pStyle w:val="a0"/>
        <w:rPr>
          <w:rFonts w:hint="cs"/>
          <w:rtl/>
        </w:rPr>
      </w:pPr>
      <w:r w:rsidRPr="003F3B94">
        <w:rPr>
          <w:rFonts w:ascii="Abo-thar" w:hAnsi="Abo-thar" w:hint="cs"/>
          <w:sz w:val="28"/>
          <w:rtl/>
        </w:rPr>
        <w:t>3</w:t>
      </w:r>
      <w:r w:rsidR="00217AB4" w:rsidRPr="003F3B94">
        <w:rPr>
          <w:rFonts w:ascii="Abo-thar" w:hAnsi="Abo-thar" w:hint="cs"/>
          <w:sz w:val="28"/>
          <w:rtl/>
        </w:rPr>
        <w:t>-</w:t>
      </w:r>
      <w:r w:rsidR="005C664D" w:rsidRPr="003F3B94">
        <w:rPr>
          <w:rFonts w:ascii="Abo-thar" w:hAnsi="Abo-thar" w:hint="cs"/>
          <w:sz w:val="28"/>
          <w:rtl/>
        </w:rPr>
        <w:t xml:space="preserve"> اعتبرَ الشيخ يوسف البحراني في </w:t>
      </w:r>
      <w:r w:rsidR="005C664D" w:rsidRPr="003F3B94">
        <w:rPr>
          <w:rFonts w:ascii="Abo-thar" w:hAnsi="Abo-thar" w:hint="eastAsia"/>
          <w:sz w:val="28"/>
          <w:rtl/>
        </w:rPr>
        <w:t>«</w:t>
      </w:r>
      <w:r w:rsidR="005C664D" w:rsidRPr="003F3B94">
        <w:rPr>
          <w:rFonts w:ascii="Abo-thar" w:hAnsi="Abo-thar" w:hint="cs"/>
          <w:sz w:val="28"/>
          <w:rtl/>
        </w:rPr>
        <w:t>الحدائق</w:t>
      </w:r>
      <w:r w:rsidR="005C664D" w:rsidRPr="003F3B94">
        <w:rPr>
          <w:rFonts w:ascii="Abo-thar" w:hAnsi="Abo-thar" w:hint="eastAsia"/>
          <w:sz w:val="28"/>
          <w:rtl/>
        </w:rPr>
        <w:t>»</w:t>
      </w:r>
      <w:r w:rsidR="005736CE" w:rsidRPr="0021507A">
        <w:rPr>
          <w:rFonts w:ascii="Abo-thar" w:hAnsi="Abo-thar" w:cs="Arabic11 BT"/>
          <w:sz w:val="28"/>
          <w:vertAlign w:val="superscript"/>
          <w:rtl/>
        </w:rPr>
        <w:t>(</w:t>
      </w:r>
      <w:r w:rsidR="005736CE" w:rsidRPr="0021507A">
        <w:rPr>
          <w:rStyle w:val="FootnoteReference"/>
          <w:rFonts w:ascii="Abo-thar" w:hAnsi="Abo-thar" w:cs="Arabic11 BT"/>
          <w:sz w:val="28"/>
          <w:rtl/>
        </w:rPr>
        <w:footnoteReference w:id="312"/>
      </w:r>
      <w:r w:rsidR="005736CE" w:rsidRPr="0021507A">
        <w:rPr>
          <w:rFonts w:ascii="Abo-thar" w:hAnsi="Abo-thar" w:cs="Arabic11 BT"/>
          <w:sz w:val="28"/>
          <w:vertAlign w:val="superscript"/>
          <w:rtl/>
        </w:rPr>
        <w:t>)</w:t>
      </w:r>
      <w:r w:rsidR="00147857" w:rsidRPr="003F3B94">
        <w:rPr>
          <w:sz w:val="28"/>
          <w:rtl/>
        </w:rPr>
        <w:t xml:space="preserve"> </w:t>
      </w:r>
      <w:r w:rsidR="005C664D" w:rsidRPr="003F3B94">
        <w:rPr>
          <w:rFonts w:ascii="Abo-thar" w:hAnsi="Abo-thar" w:hint="cs"/>
          <w:sz w:val="28"/>
          <w:rtl/>
        </w:rPr>
        <w:t>الشيخَ ابنَ الجنيد من القائلين بسقوط الخمس وقال</w:t>
      </w:r>
      <w:r w:rsidR="00217AB4" w:rsidRPr="003F3B94">
        <w:rPr>
          <w:rFonts w:ascii="Abo-thar" w:hAnsi="Abo-thar" w:hint="cs"/>
          <w:sz w:val="28"/>
          <w:rtl/>
        </w:rPr>
        <w:t>:</w:t>
      </w:r>
      <w:r w:rsidR="005C664D" w:rsidRPr="003F3B94">
        <w:rPr>
          <w:rFonts w:ascii="Abo-thar" w:hAnsi="Abo-thar" w:hint="cs"/>
          <w:sz w:val="28"/>
          <w:rtl/>
        </w:rPr>
        <w:t xml:space="preserve"> </w:t>
      </w:r>
      <w:r w:rsidR="00EF2588" w:rsidRPr="003F3B94">
        <w:rPr>
          <w:rFonts w:ascii="Abo-thar" w:hAnsi="Abo-thar" w:hint="cs"/>
          <w:sz w:val="28"/>
          <w:rtl/>
        </w:rPr>
        <w:t>«</w:t>
      </w:r>
      <w:r w:rsidR="005C664D" w:rsidRPr="003F3B94">
        <w:rPr>
          <w:rFonts w:ascii="Abo-thar" w:hAnsi="Abo-thar"/>
          <w:sz w:val="28"/>
          <w:rtl/>
        </w:rPr>
        <w:t>ون</w:t>
      </w:r>
      <w:r w:rsidR="005C664D" w:rsidRPr="003F3B94">
        <w:rPr>
          <w:rFonts w:ascii="Abo-thar" w:hAnsi="Abo-thar" w:hint="cs"/>
          <w:sz w:val="28"/>
          <w:rtl/>
        </w:rPr>
        <w:t>ُ</w:t>
      </w:r>
      <w:r w:rsidR="005C664D" w:rsidRPr="003F3B94">
        <w:rPr>
          <w:rFonts w:ascii="Abo-thar" w:hAnsi="Abo-thar"/>
          <w:sz w:val="28"/>
          <w:rtl/>
        </w:rPr>
        <w:t>ق</w:t>
      </w:r>
      <w:r w:rsidR="005C664D" w:rsidRPr="003F3B94">
        <w:rPr>
          <w:rFonts w:ascii="Abo-thar" w:hAnsi="Abo-thar" w:hint="cs"/>
          <w:sz w:val="28"/>
          <w:rtl/>
        </w:rPr>
        <w:t>ِ</w:t>
      </w:r>
      <w:r w:rsidR="005C664D" w:rsidRPr="003F3B94">
        <w:rPr>
          <w:rFonts w:ascii="Abo-thar" w:hAnsi="Abo-thar"/>
          <w:sz w:val="28"/>
          <w:rtl/>
        </w:rPr>
        <w:t>ل</w:t>
      </w:r>
      <w:r w:rsidR="005C664D" w:rsidRPr="003F3B94">
        <w:rPr>
          <w:rFonts w:ascii="Abo-thar" w:hAnsi="Abo-thar" w:hint="cs"/>
          <w:sz w:val="28"/>
          <w:rtl/>
        </w:rPr>
        <w:t>َ</w:t>
      </w:r>
      <w:r w:rsidR="005C664D" w:rsidRPr="003F3B94">
        <w:rPr>
          <w:rFonts w:ascii="Abo-thar" w:hAnsi="Abo-thar"/>
          <w:sz w:val="28"/>
          <w:rtl/>
        </w:rPr>
        <w:t xml:space="preserve"> عن ابن الجنيد في المختصر </w:t>
      </w:r>
      <w:r w:rsidR="005C664D" w:rsidRPr="003F3B94">
        <w:rPr>
          <w:rFonts w:ascii="Abo-thar" w:hAnsi="Abo-thar" w:hint="cs"/>
          <w:sz w:val="28"/>
          <w:rtl/>
        </w:rPr>
        <w:t>الأحمدي</w:t>
      </w:r>
      <w:r w:rsidR="005C664D" w:rsidRPr="003F3B94">
        <w:rPr>
          <w:rFonts w:ascii="Abo-thar" w:hAnsi="Abo-thar"/>
          <w:sz w:val="28"/>
          <w:rtl/>
        </w:rPr>
        <w:t xml:space="preserve"> </w:t>
      </w:r>
      <w:r w:rsidR="005C664D" w:rsidRPr="003F3B94">
        <w:rPr>
          <w:rFonts w:ascii="Abo-thar" w:hAnsi="Abo-thar" w:hint="cs"/>
          <w:sz w:val="28"/>
          <w:rtl/>
        </w:rPr>
        <w:t>أ</w:t>
      </w:r>
      <w:r w:rsidR="005C664D" w:rsidRPr="003F3B94">
        <w:rPr>
          <w:rFonts w:ascii="Abo-thar" w:hAnsi="Abo-thar"/>
          <w:sz w:val="28"/>
          <w:rtl/>
        </w:rPr>
        <w:t>نه قال</w:t>
      </w:r>
      <w:r w:rsidR="00217AB4" w:rsidRPr="003F3B94">
        <w:rPr>
          <w:rFonts w:ascii="Abo-thar" w:hAnsi="Abo-thar"/>
          <w:sz w:val="28"/>
          <w:rtl/>
        </w:rPr>
        <w:t>:</w:t>
      </w:r>
      <w:r w:rsidR="005C664D" w:rsidRPr="003F3B94">
        <w:rPr>
          <w:rFonts w:ascii="Abo-thar" w:hAnsi="Abo-thar"/>
          <w:sz w:val="28"/>
          <w:rtl/>
        </w:rPr>
        <w:t xml:space="preserve"> ف</w:t>
      </w:r>
      <w:r w:rsidR="005C664D" w:rsidRPr="003F3B94">
        <w:rPr>
          <w:rFonts w:ascii="Abo-thar" w:hAnsi="Abo-thar" w:hint="cs"/>
          <w:sz w:val="28"/>
          <w:rtl/>
        </w:rPr>
        <w:t>أ</w:t>
      </w:r>
      <w:r w:rsidR="005C664D" w:rsidRPr="003F3B94">
        <w:rPr>
          <w:rFonts w:ascii="Abo-thar" w:hAnsi="Abo-thar"/>
          <w:sz w:val="28"/>
          <w:rtl/>
        </w:rPr>
        <w:t>ما ما استفيد من ميراث أو كد</w:t>
      </w:r>
      <w:r w:rsidR="005C664D" w:rsidRPr="003F3B94">
        <w:rPr>
          <w:rFonts w:ascii="Abo-thar" w:hAnsi="Abo-thar" w:hint="cs"/>
          <w:sz w:val="28"/>
          <w:rtl/>
        </w:rPr>
        <w:t xml:space="preserve">ِّ </w:t>
      </w:r>
      <w:r w:rsidR="005C664D" w:rsidRPr="003F3B94">
        <w:rPr>
          <w:rFonts w:ascii="Abo-thar" w:hAnsi="Abo-thar"/>
          <w:sz w:val="28"/>
          <w:rtl/>
        </w:rPr>
        <w:t>يد</w:t>
      </w:r>
      <w:r w:rsidR="005C664D" w:rsidRPr="003F3B94">
        <w:rPr>
          <w:rFonts w:ascii="Abo-thar" w:hAnsi="Abo-thar" w:hint="cs"/>
          <w:sz w:val="28"/>
          <w:rtl/>
        </w:rPr>
        <w:t>ٍ</w:t>
      </w:r>
      <w:r w:rsidR="005C664D" w:rsidRPr="003F3B94">
        <w:rPr>
          <w:rFonts w:ascii="Abo-thar" w:hAnsi="Abo-thar"/>
          <w:sz w:val="28"/>
          <w:rtl/>
        </w:rPr>
        <w:t xml:space="preserve"> أو صلة أخ أو ربح تجارة أو نحو ذلك فال</w:t>
      </w:r>
      <w:r w:rsidR="005C664D" w:rsidRPr="003F3B94">
        <w:rPr>
          <w:rFonts w:ascii="Abo-thar" w:hAnsi="Abo-thar" w:hint="cs"/>
          <w:sz w:val="28"/>
          <w:rtl/>
        </w:rPr>
        <w:t>أ</w:t>
      </w:r>
      <w:r w:rsidR="005C664D" w:rsidRPr="003F3B94">
        <w:rPr>
          <w:rFonts w:ascii="Abo-thar" w:hAnsi="Abo-thar"/>
          <w:sz w:val="28"/>
          <w:rtl/>
        </w:rPr>
        <w:t xml:space="preserve">حوط </w:t>
      </w:r>
      <w:r w:rsidR="005C664D" w:rsidRPr="003F3B94">
        <w:rPr>
          <w:rFonts w:ascii="Abo-thar" w:hAnsi="Abo-thar" w:hint="cs"/>
          <w:sz w:val="28"/>
          <w:rtl/>
        </w:rPr>
        <w:t>إ</w:t>
      </w:r>
      <w:r w:rsidR="005C664D" w:rsidRPr="003F3B94">
        <w:rPr>
          <w:rFonts w:ascii="Abo-thar" w:hAnsi="Abo-thar"/>
          <w:sz w:val="28"/>
          <w:rtl/>
        </w:rPr>
        <w:t>خراجه لاختلاف الرواية في ذلك</w:t>
      </w:r>
      <w:r w:rsidR="00217AB4" w:rsidRPr="003F3B94">
        <w:rPr>
          <w:rFonts w:ascii="Abo-thar" w:hAnsi="Abo-thar"/>
          <w:sz w:val="28"/>
          <w:rtl/>
        </w:rPr>
        <w:t>،</w:t>
      </w:r>
      <w:r w:rsidR="005C664D" w:rsidRPr="003F3B94">
        <w:rPr>
          <w:rFonts w:ascii="Abo-thar" w:hAnsi="Abo-thar"/>
          <w:sz w:val="28"/>
          <w:rtl/>
        </w:rPr>
        <w:t xml:space="preserve"> ولو لم يخرج ال</w:t>
      </w:r>
      <w:r w:rsidR="005C664D" w:rsidRPr="003F3B94">
        <w:rPr>
          <w:rFonts w:ascii="Abo-thar" w:hAnsi="Abo-thar" w:hint="cs"/>
          <w:sz w:val="28"/>
          <w:rtl/>
        </w:rPr>
        <w:t>إ</w:t>
      </w:r>
      <w:r w:rsidR="005C664D" w:rsidRPr="003F3B94">
        <w:rPr>
          <w:rFonts w:ascii="Abo-thar" w:hAnsi="Abo-thar"/>
          <w:sz w:val="28"/>
          <w:rtl/>
        </w:rPr>
        <w:t>نسان لم يكن كتارك الزكاة الت</w:t>
      </w:r>
      <w:r w:rsidR="005C664D" w:rsidRPr="003F3B94">
        <w:rPr>
          <w:rFonts w:ascii="Abo-thar" w:hAnsi="Abo-thar" w:hint="cs"/>
          <w:sz w:val="28"/>
          <w:rtl/>
        </w:rPr>
        <w:t>ي</w:t>
      </w:r>
      <w:r w:rsidR="005C664D" w:rsidRPr="003F3B94">
        <w:rPr>
          <w:rFonts w:ascii="Abo-thar" w:hAnsi="Abo-thar"/>
          <w:sz w:val="28"/>
          <w:rtl/>
        </w:rPr>
        <w:t xml:space="preserve"> لا خلاف فيها</w:t>
      </w:r>
      <w:r w:rsidR="00217AB4" w:rsidRPr="003F3B94">
        <w:rPr>
          <w:rFonts w:ascii="Abo-thar" w:hAnsi="Abo-thar"/>
          <w:sz w:val="28"/>
          <w:rtl/>
        </w:rPr>
        <w:t>.</w:t>
      </w:r>
      <w:r w:rsidR="005C664D" w:rsidRPr="003F3B94">
        <w:rPr>
          <w:rFonts w:ascii="Abo-thar" w:hAnsi="Abo-thar"/>
          <w:sz w:val="28"/>
          <w:rtl/>
        </w:rPr>
        <w:t xml:space="preserve"> </w:t>
      </w:r>
      <w:r w:rsidR="005C664D" w:rsidRPr="003F3B94">
        <w:rPr>
          <w:rFonts w:ascii="Abo-thar" w:hAnsi="Abo-thar"/>
          <w:b/>
          <w:bCs/>
          <w:sz w:val="28"/>
          <w:rtl/>
        </w:rPr>
        <w:t>وهو ظاهر ف</w:t>
      </w:r>
      <w:r w:rsidR="005C664D" w:rsidRPr="003F3B94">
        <w:rPr>
          <w:rFonts w:ascii="Abo-thar" w:hAnsi="Abo-thar" w:hint="cs"/>
          <w:b/>
          <w:bCs/>
          <w:sz w:val="28"/>
          <w:rtl/>
        </w:rPr>
        <w:t>ي</w:t>
      </w:r>
      <w:r w:rsidR="005C664D" w:rsidRPr="003F3B94">
        <w:rPr>
          <w:rFonts w:ascii="Abo-thar" w:hAnsi="Abo-thar"/>
          <w:b/>
          <w:bCs/>
          <w:sz w:val="28"/>
          <w:rtl/>
        </w:rPr>
        <w:t xml:space="preserve"> العفو عن هذه النوع</w:t>
      </w:r>
      <w:r w:rsidR="00217AB4" w:rsidRPr="003F3B94">
        <w:rPr>
          <w:rFonts w:ascii="Abo-thar" w:hAnsi="Abo-thar"/>
          <w:b/>
          <w:bCs/>
          <w:sz w:val="28"/>
          <w:rtl/>
        </w:rPr>
        <w:t>،</w:t>
      </w:r>
      <w:r w:rsidR="005C664D" w:rsidRPr="003F3B94">
        <w:rPr>
          <w:rFonts w:ascii="Abo-thar" w:hAnsi="Abo-thar"/>
          <w:b/>
          <w:bCs/>
          <w:sz w:val="28"/>
          <w:rtl/>
        </w:rPr>
        <w:t xml:space="preserve"> وحكاه الشهيد في البيان عن ظاهر ابن </w:t>
      </w:r>
      <w:r w:rsidR="005C664D" w:rsidRPr="003F3B94">
        <w:rPr>
          <w:rFonts w:ascii="Abo-thar" w:hAnsi="Abo-thar" w:hint="cs"/>
          <w:b/>
          <w:bCs/>
          <w:sz w:val="28"/>
          <w:rtl/>
        </w:rPr>
        <w:t>أ</w:t>
      </w:r>
      <w:r w:rsidR="005C664D" w:rsidRPr="003F3B94">
        <w:rPr>
          <w:rFonts w:ascii="Abo-thar" w:hAnsi="Abo-thar"/>
          <w:b/>
          <w:bCs/>
          <w:sz w:val="28"/>
          <w:rtl/>
        </w:rPr>
        <w:t>بى عقيل</w:t>
      </w:r>
      <w:r w:rsidR="00217AB4" w:rsidRPr="0021507A">
        <w:rPr>
          <w:rFonts w:cs="Arabic11 BT"/>
          <w:b/>
          <w:sz w:val="28"/>
          <w:vertAlign w:val="superscript"/>
          <w:rtl/>
        </w:rPr>
        <w:t>(</w:t>
      </w:r>
      <w:r w:rsidR="005C664D" w:rsidRPr="0021507A">
        <w:rPr>
          <w:rStyle w:val="FootnoteReference"/>
          <w:rFonts w:cs="Arabic11 BT"/>
          <w:b/>
          <w:sz w:val="28"/>
          <w:rtl/>
        </w:rPr>
        <w:footnoteReference w:id="313"/>
      </w:r>
      <w:r w:rsidR="00217AB4" w:rsidRPr="0021507A">
        <w:rPr>
          <w:rFonts w:cs="Arabic11 BT"/>
          <w:b/>
          <w:sz w:val="28"/>
          <w:vertAlign w:val="superscript"/>
          <w:rtl/>
        </w:rPr>
        <w:t>)</w:t>
      </w:r>
      <w:r w:rsidR="005C664D" w:rsidRPr="003F3B94">
        <w:rPr>
          <w:sz w:val="28"/>
          <w:rtl/>
        </w:rPr>
        <w:t xml:space="preserve"> </w:t>
      </w:r>
      <w:r w:rsidR="005C664D" w:rsidRPr="003F3B94">
        <w:rPr>
          <w:rFonts w:ascii="Abo-thar" w:hAnsi="Abo-thar" w:hint="cs"/>
          <w:b/>
          <w:bCs/>
          <w:sz w:val="28"/>
          <w:rtl/>
        </w:rPr>
        <w:t>أ</w:t>
      </w:r>
      <w:r w:rsidR="005C664D" w:rsidRPr="003F3B94">
        <w:rPr>
          <w:rFonts w:ascii="Abo-thar" w:hAnsi="Abo-thar"/>
          <w:b/>
          <w:bCs/>
          <w:sz w:val="28"/>
          <w:rtl/>
        </w:rPr>
        <w:t>يضا</w:t>
      </w:r>
      <w:r w:rsidR="005C664D" w:rsidRPr="003F3B94">
        <w:rPr>
          <w:rFonts w:ascii="Abo-thar" w:hAnsi="Abo-thar" w:hint="cs"/>
          <w:b/>
          <w:bCs/>
          <w:sz w:val="28"/>
          <w:rtl/>
        </w:rPr>
        <w:t>ً</w:t>
      </w:r>
      <w:r w:rsidR="005C664D" w:rsidRPr="003F3B94">
        <w:rPr>
          <w:rFonts w:ascii="Abo-thar" w:hAnsi="Abo-thar"/>
          <w:b/>
          <w:bCs/>
          <w:sz w:val="28"/>
          <w:rtl/>
        </w:rPr>
        <w:t xml:space="preserve"> فقال</w:t>
      </w:r>
      <w:r w:rsidR="00217AB4" w:rsidRPr="003F3B94">
        <w:rPr>
          <w:rFonts w:ascii="Abo-thar" w:hAnsi="Abo-thar"/>
          <w:b/>
          <w:bCs/>
          <w:sz w:val="28"/>
          <w:rtl/>
        </w:rPr>
        <w:t>:</w:t>
      </w:r>
      <w:r w:rsidR="005C664D" w:rsidRPr="003F3B94">
        <w:rPr>
          <w:rFonts w:ascii="Abo-thar" w:hAnsi="Abo-thar"/>
          <w:b/>
          <w:bCs/>
          <w:sz w:val="28"/>
          <w:rtl/>
        </w:rPr>
        <w:t xml:space="preserve"> وظاهر ابن الجنيد وابن </w:t>
      </w:r>
      <w:r w:rsidR="005C664D" w:rsidRPr="003F3B94">
        <w:rPr>
          <w:rFonts w:ascii="Abo-thar" w:hAnsi="Abo-thar" w:hint="cs"/>
          <w:b/>
          <w:bCs/>
          <w:sz w:val="28"/>
          <w:rtl/>
        </w:rPr>
        <w:t>أ</w:t>
      </w:r>
      <w:r w:rsidR="005C664D" w:rsidRPr="003F3B94">
        <w:rPr>
          <w:rFonts w:ascii="Abo-thar" w:hAnsi="Abo-thar"/>
          <w:b/>
          <w:bCs/>
          <w:sz w:val="28"/>
          <w:rtl/>
        </w:rPr>
        <w:t>بى عقيل العفو عن هذا النوع و</w:t>
      </w:r>
      <w:r w:rsidR="005C664D" w:rsidRPr="003F3B94">
        <w:rPr>
          <w:rFonts w:ascii="Abo-thar" w:hAnsi="Abo-thar" w:hint="cs"/>
          <w:b/>
          <w:bCs/>
          <w:sz w:val="28"/>
          <w:rtl/>
        </w:rPr>
        <w:t>أ</w:t>
      </w:r>
      <w:r w:rsidR="005C664D" w:rsidRPr="003F3B94">
        <w:rPr>
          <w:rFonts w:ascii="Abo-thar" w:hAnsi="Abo-thar"/>
          <w:b/>
          <w:bCs/>
          <w:sz w:val="28"/>
          <w:rtl/>
        </w:rPr>
        <w:t>نه لا خمس فيه</w:t>
      </w:r>
      <w:r w:rsidR="00EF2588" w:rsidRPr="003F3B94">
        <w:rPr>
          <w:rFonts w:ascii="Abo-thar" w:hAnsi="Abo-thar" w:hint="cs"/>
          <w:sz w:val="28"/>
          <w:rtl/>
        </w:rPr>
        <w:t>»</w:t>
      </w:r>
      <w:r w:rsidR="00217AB4" w:rsidRPr="003F3B94">
        <w:rPr>
          <w:rFonts w:ascii="Abo-thar" w:hAnsi="Abo-thar" w:hint="cs"/>
          <w:sz w:val="28"/>
          <w:rtl/>
        </w:rPr>
        <w:t>.</w:t>
      </w:r>
      <w:r w:rsidR="00147857" w:rsidRPr="003F3B94">
        <w:rPr>
          <w:rFonts w:ascii="Abo-thar" w:hAnsi="Abo-thar" w:hint="cs"/>
          <w:sz w:val="28"/>
          <w:rtl/>
        </w:rPr>
        <w:t xml:space="preserve"> </w:t>
      </w:r>
    </w:p>
    <w:p w:rsidR="007D07D3" w:rsidRPr="003F3B94" w:rsidRDefault="007D07D3" w:rsidP="00254729">
      <w:pPr>
        <w:pStyle w:val="a0"/>
        <w:rPr>
          <w:rFonts w:hint="cs"/>
          <w:rtl/>
        </w:rPr>
      </w:pPr>
      <w:r w:rsidRPr="003F3B94">
        <w:rPr>
          <w:rFonts w:ascii="Abo-thar" w:hAnsi="Abo-thar" w:hint="cs"/>
          <w:sz w:val="28"/>
          <w:rtl/>
        </w:rPr>
        <w:t xml:space="preserve">4- ويقول الشيخ الطوسي: </w:t>
      </w:r>
      <w:r w:rsidRPr="003F3B94">
        <w:rPr>
          <w:rFonts w:ascii="Abo-thar" w:hAnsi="Abo-thar"/>
          <w:sz w:val="28"/>
          <w:rtl/>
        </w:rPr>
        <w:t>«وأمّا الغنائم والـمتاجر والـمنا</w:t>
      </w:r>
      <w:r w:rsidR="00D326AD" w:rsidRPr="003F3B94">
        <w:rPr>
          <w:rFonts w:ascii="Abo-thar" w:hAnsi="Abo-thar"/>
          <w:sz w:val="28"/>
          <w:rtl/>
        </w:rPr>
        <w:t>ك</w:t>
      </w:r>
      <w:r w:rsidRPr="003F3B94">
        <w:rPr>
          <w:rFonts w:ascii="Abo-thar" w:hAnsi="Abo-thar"/>
          <w:sz w:val="28"/>
          <w:rtl/>
        </w:rPr>
        <w:t xml:space="preserve">ح وما </w:t>
      </w:r>
      <w:r w:rsidR="00D326AD" w:rsidRPr="003F3B94">
        <w:rPr>
          <w:rFonts w:ascii="Abo-thar" w:hAnsi="Abo-thar" w:hint="cs"/>
          <w:sz w:val="28"/>
          <w:rtl/>
        </w:rPr>
        <w:t>ي</w:t>
      </w:r>
      <w:r w:rsidRPr="003F3B94">
        <w:rPr>
          <w:rFonts w:ascii="Abo-thar" w:hAnsi="Abo-thar" w:hint="eastAsia"/>
          <w:sz w:val="28"/>
          <w:rtl/>
        </w:rPr>
        <w:t>جري</w:t>
      </w:r>
      <w:r w:rsidRPr="003F3B94">
        <w:rPr>
          <w:rFonts w:ascii="Abo-thar" w:hAnsi="Abo-thar"/>
          <w:sz w:val="28"/>
          <w:rtl/>
        </w:rPr>
        <w:t xml:space="preserve"> مجر</w:t>
      </w:r>
      <w:r w:rsidR="00D326AD" w:rsidRPr="003F3B94">
        <w:rPr>
          <w:rFonts w:ascii="Abo-thar" w:hAnsi="Abo-thar" w:hint="cs"/>
          <w:sz w:val="28"/>
          <w:rtl/>
        </w:rPr>
        <w:t>ي</w:t>
      </w:r>
      <w:r w:rsidRPr="003F3B94">
        <w:rPr>
          <w:rFonts w:ascii="Abo-thar" w:hAnsi="Abo-thar" w:hint="eastAsia"/>
          <w:sz w:val="28"/>
          <w:rtl/>
        </w:rPr>
        <w:t>ها</w:t>
      </w:r>
      <w:r w:rsidRPr="003F3B94">
        <w:rPr>
          <w:rFonts w:ascii="Abo-thar" w:hAnsi="Abo-thar"/>
          <w:sz w:val="28"/>
          <w:rtl/>
        </w:rPr>
        <w:t xml:space="preserve"> ممّا </w:t>
      </w:r>
      <w:r w:rsidR="00D326AD" w:rsidRPr="003F3B94">
        <w:rPr>
          <w:rFonts w:ascii="Abo-thar" w:hAnsi="Abo-thar" w:hint="cs"/>
          <w:sz w:val="28"/>
          <w:rtl/>
        </w:rPr>
        <w:t>ي</w:t>
      </w:r>
      <w:r w:rsidRPr="003F3B94">
        <w:rPr>
          <w:rFonts w:ascii="Abo-thar" w:hAnsi="Abo-thar" w:hint="eastAsia"/>
          <w:sz w:val="28"/>
          <w:rtl/>
        </w:rPr>
        <w:t>جب</w:t>
      </w:r>
      <w:r w:rsidRPr="003F3B94">
        <w:rPr>
          <w:rFonts w:ascii="Abo-thar" w:hAnsi="Abo-thar"/>
          <w:sz w:val="28"/>
          <w:rtl/>
        </w:rPr>
        <w:t xml:space="preserve"> للإمام ف</w:t>
      </w:r>
      <w:r w:rsidR="00D326AD" w:rsidRPr="003F3B94">
        <w:rPr>
          <w:rFonts w:ascii="Abo-thar" w:hAnsi="Abo-thar" w:hint="cs"/>
          <w:sz w:val="28"/>
          <w:rtl/>
        </w:rPr>
        <w:t>ي</w:t>
      </w:r>
      <w:r w:rsidRPr="003F3B94">
        <w:rPr>
          <w:rFonts w:ascii="Abo-thar" w:hAnsi="Abo-thar" w:hint="eastAsia"/>
          <w:sz w:val="28"/>
          <w:rtl/>
        </w:rPr>
        <w:t>ها</w:t>
      </w:r>
      <w:r w:rsidRPr="003F3B94">
        <w:rPr>
          <w:rFonts w:ascii="Abo-thar" w:hAnsi="Abo-thar"/>
          <w:sz w:val="28"/>
          <w:rtl/>
        </w:rPr>
        <w:t xml:space="preserve"> الخمس وأنَّهم </w:t>
      </w:r>
      <w:r w:rsidR="00963EFD" w:rsidRPr="00963EFD">
        <w:rPr>
          <w:rFonts w:ascii="Abo-thar" w:hAnsi="Abo-thar" w:cs="CTraditional Arabic"/>
          <w:sz w:val="28"/>
          <w:rtl/>
        </w:rPr>
        <w:t>‡</w:t>
      </w:r>
      <w:r w:rsidRPr="003F3B94">
        <w:rPr>
          <w:rFonts w:ascii="Abo-thar" w:hAnsi="Abo-thar"/>
          <w:sz w:val="28"/>
          <w:rtl/>
        </w:rPr>
        <w:t xml:space="preserve"> قد أباحُوا ذلك لنا وسوّغوا التصرّفَ».</w:t>
      </w:r>
      <w:r w:rsidRPr="0021507A">
        <w:rPr>
          <w:rFonts w:cs="Arabic11 BT"/>
          <w:b/>
          <w:sz w:val="28"/>
          <w:vertAlign w:val="superscript"/>
          <w:rtl/>
        </w:rPr>
        <w:t>(</w:t>
      </w:r>
      <w:r w:rsidRPr="0021507A">
        <w:rPr>
          <w:rStyle w:val="FootnoteReference"/>
          <w:rFonts w:cs="Arabic11 BT"/>
          <w:b/>
          <w:sz w:val="28"/>
          <w:rtl/>
        </w:rPr>
        <w:footnoteReference w:id="314"/>
      </w:r>
      <w:r w:rsidRPr="0021507A">
        <w:rPr>
          <w:rFonts w:cs="Arabic11 BT"/>
          <w:b/>
          <w:sz w:val="28"/>
          <w:vertAlign w:val="superscript"/>
          <w:rtl/>
        </w:rPr>
        <w:t>)</w:t>
      </w:r>
    </w:p>
    <w:p w:rsidR="007D07D3" w:rsidRPr="003F3B94" w:rsidRDefault="007D07D3" w:rsidP="003F3B94">
      <w:pPr>
        <w:pStyle w:val="a0"/>
        <w:rPr>
          <w:rFonts w:hint="cs"/>
          <w:rtl/>
        </w:rPr>
      </w:pPr>
      <w:r w:rsidRPr="003F3B94">
        <w:rPr>
          <w:rFonts w:ascii="Abo-thar" w:hAnsi="Abo-thar" w:hint="cs"/>
          <w:sz w:val="28"/>
          <w:rtl/>
        </w:rPr>
        <w:t xml:space="preserve">من هذا يتبيَّن أن الأئمَّة أحلوا الشيعة من دفع الخمس. وبعد ذلك أتى الشيخ بأخبار هبة الخمس للشيعة واستند إليها. </w:t>
      </w:r>
    </w:p>
    <w:p w:rsidR="005C664D" w:rsidRPr="003F3B94" w:rsidRDefault="005C664D" w:rsidP="003F3B94">
      <w:pPr>
        <w:pStyle w:val="a0"/>
        <w:rPr>
          <w:rFonts w:hint="cs"/>
          <w:rtl/>
        </w:rPr>
      </w:pPr>
      <w:r w:rsidRPr="003F3B94">
        <w:rPr>
          <w:rFonts w:ascii="Abo-thar" w:hAnsi="Abo-thar" w:hint="cs"/>
          <w:sz w:val="28"/>
          <w:rtl/>
        </w:rPr>
        <w:t xml:space="preserve"> </w:t>
      </w:r>
      <w:r w:rsidR="007D07D3" w:rsidRPr="003F3B94">
        <w:rPr>
          <w:rFonts w:ascii="Abo-thar" w:hAnsi="Abo-thar" w:hint="cs"/>
          <w:sz w:val="28"/>
          <w:rtl/>
        </w:rPr>
        <w:t>5</w:t>
      </w:r>
      <w:r w:rsidR="00217AB4" w:rsidRPr="003F3B94">
        <w:rPr>
          <w:rFonts w:ascii="Abo-thar" w:hAnsi="Abo-thar" w:hint="cs"/>
          <w:sz w:val="28"/>
          <w:rtl/>
        </w:rPr>
        <w:t>-</w:t>
      </w:r>
      <w:r w:rsidRPr="003F3B94">
        <w:rPr>
          <w:rFonts w:ascii="Abo-thar" w:hAnsi="Abo-thar" w:hint="cs"/>
          <w:sz w:val="28"/>
          <w:rtl/>
        </w:rPr>
        <w:t xml:space="preserve"> طبقاً لنقل السبزواري في </w:t>
      </w:r>
      <w:r w:rsidRPr="003F3B94">
        <w:rPr>
          <w:rFonts w:ascii="Abo-thar" w:hAnsi="Abo-thar"/>
          <w:sz w:val="28"/>
          <w:rtl/>
        </w:rPr>
        <w:t>«</w:t>
      </w:r>
      <w:r w:rsidRPr="003F3B94">
        <w:rPr>
          <w:rFonts w:ascii="Abo-thar" w:hAnsi="Abo-thar" w:hint="cs"/>
          <w:sz w:val="28"/>
          <w:rtl/>
        </w:rPr>
        <w:t>ذخيرة المعاد</w:t>
      </w:r>
      <w:r w:rsidRPr="003F3B94">
        <w:rPr>
          <w:rFonts w:ascii="Abo-thar" w:hAnsi="Abo-thar"/>
          <w:sz w:val="28"/>
          <w:rtl/>
        </w:rPr>
        <w:t>»</w:t>
      </w:r>
      <w:r w:rsidRPr="003F3B94">
        <w:rPr>
          <w:rFonts w:ascii="Abo-thar" w:hAnsi="Abo-thar" w:hint="cs"/>
          <w:sz w:val="28"/>
          <w:rtl/>
        </w:rPr>
        <w:t xml:space="preserve"> فإن الشيخ </w:t>
      </w:r>
      <w:r w:rsidRPr="003F3B94">
        <w:rPr>
          <w:rFonts w:ascii="Abo-thar" w:hAnsi="Abo-thar"/>
          <w:sz w:val="28"/>
          <w:rtl/>
        </w:rPr>
        <w:t>«</w:t>
      </w:r>
      <w:r w:rsidRPr="003F3B94">
        <w:rPr>
          <w:rFonts w:ascii="Abo-thar" w:hAnsi="Abo-thar" w:hint="cs"/>
          <w:b/>
          <w:bCs/>
          <w:sz w:val="28"/>
          <w:rtl/>
        </w:rPr>
        <w:t>سلار</w:t>
      </w:r>
      <w:r w:rsidRPr="003F3B94">
        <w:rPr>
          <w:rFonts w:ascii="Abo-thar" w:hAnsi="Abo-thar" w:hint="cs"/>
          <w:sz w:val="28"/>
          <w:rtl/>
        </w:rPr>
        <w:t>»</w:t>
      </w:r>
      <w:r w:rsidR="00217AB4" w:rsidRPr="0021507A">
        <w:rPr>
          <w:rStyle w:val="FootnoteReference"/>
          <w:rFonts w:cs="Arabic11 BT"/>
          <w:b/>
          <w:sz w:val="28"/>
          <w:rtl/>
        </w:rPr>
        <w:t>(</w:t>
      </w:r>
      <w:r w:rsidRPr="0021507A">
        <w:rPr>
          <w:rStyle w:val="FootnoteReference"/>
          <w:rFonts w:cs="Arabic11 BT"/>
          <w:b/>
          <w:sz w:val="28"/>
          <w:rtl/>
        </w:rPr>
        <w:footnoteReference w:id="315"/>
      </w:r>
      <w:r w:rsidR="00217AB4" w:rsidRPr="0021507A">
        <w:rPr>
          <w:rStyle w:val="FootnoteReference"/>
          <w:rFonts w:cs="Arabic11 BT"/>
          <w:b/>
          <w:sz w:val="28"/>
          <w:rtl/>
        </w:rPr>
        <w:t>)</w:t>
      </w:r>
      <w:r w:rsidR="00217AB4" w:rsidRPr="003F3B94">
        <w:rPr>
          <w:rFonts w:ascii="Abo-thar" w:hAnsi="Abo-thar" w:hint="cs"/>
          <w:sz w:val="28"/>
          <w:rtl/>
        </w:rPr>
        <w:t>،</w:t>
      </w:r>
      <w:r w:rsidRPr="003F3B94">
        <w:rPr>
          <w:rFonts w:ascii="Abo-thar" w:hAnsi="Abo-thar" w:hint="cs"/>
          <w:sz w:val="28"/>
          <w:rtl/>
        </w:rPr>
        <w:t xml:space="preserve"> وهو حمزة بن عبد العزيز الديلمي المعاصر للسيد المرتضى والشيخ الطوسي</w:t>
      </w:r>
      <w:r w:rsidR="00217AB4" w:rsidRPr="003F3B94">
        <w:rPr>
          <w:rFonts w:ascii="Abo-thar" w:hAnsi="Abo-thar" w:hint="cs"/>
          <w:sz w:val="28"/>
          <w:rtl/>
        </w:rPr>
        <w:t>،</w:t>
      </w:r>
      <w:r w:rsidRPr="003F3B94">
        <w:rPr>
          <w:rFonts w:ascii="Abo-thar" w:hAnsi="Abo-thar" w:hint="cs"/>
          <w:sz w:val="28"/>
          <w:rtl/>
        </w:rPr>
        <w:t xml:space="preserve"> قال</w:t>
      </w:r>
      <w:r w:rsidR="00217AB4" w:rsidRPr="003F3B94">
        <w:rPr>
          <w:rFonts w:ascii="Abo-thar" w:hAnsi="Abo-thar" w:hint="cs"/>
          <w:sz w:val="28"/>
          <w:rtl/>
        </w:rPr>
        <w:t>:</w:t>
      </w:r>
      <w:r w:rsidRPr="003F3B94">
        <w:rPr>
          <w:rFonts w:ascii="Abo-thar" w:hAnsi="Abo-thar" w:hint="cs"/>
          <w:sz w:val="28"/>
          <w:rtl/>
        </w:rPr>
        <w:t xml:space="preserve"> </w:t>
      </w:r>
      <w:r w:rsidR="00EF2588" w:rsidRPr="003F3B94">
        <w:rPr>
          <w:rFonts w:ascii="Abo-thar" w:hAnsi="Abo-thar" w:hint="cs"/>
          <w:sz w:val="28"/>
          <w:rtl/>
        </w:rPr>
        <w:t>«</w:t>
      </w:r>
      <w:r w:rsidRPr="003F3B94">
        <w:rPr>
          <w:rFonts w:ascii="Abo-thar" w:hAnsi="Abo-thar" w:hint="cs"/>
          <w:bCs/>
          <w:sz w:val="28"/>
          <w:rtl/>
        </w:rPr>
        <w:t xml:space="preserve">والأنفال له </w:t>
      </w:r>
      <w:r w:rsidR="00217AB4" w:rsidRPr="003F3B94">
        <w:rPr>
          <w:rFonts w:ascii="Abo-thar" w:hAnsi="Abo-thar" w:hint="cs"/>
          <w:bCs/>
          <w:sz w:val="28"/>
          <w:rtl/>
        </w:rPr>
        <w:t>(</w:t>
      </w:r>
      <w:r w:rsidRPr="003F3B94">
        <w:rPr>
          <w:rFonts w:ascii="Abo-thar" w:hAnsi="Abo-thar" w:hint="cs"/>
          <w:bCs/>
          <w:sz w:val="28"/>
          <w:rtl/>
        </w:rPr>
        <w:t>أي للإمام</w:t>
      </w:r>
      <w:r w:rsidR="00217AB4" w:rsidRPr="003F3B94">
        <w:rPr>
          <w:rFonts w:ascii="Abo-thar" w:hAnsi="Abo-thar" w:hint="cs"/>
          <w:bCs/>
          <w:sz w:val="28"/>
          <w:rtl/>
        </w:rPr>
        <w:t>)</w:t>
      </w:r>
      <w:r w:rsidRPr="003F3B94">
        <w:rPr>
          <w:rFonts w:ascii="Abo-thar" w:hAnsi="Abo-thar" w:hint="cs"/>
          <w:bCs/>
          <w:sz w:val="28"/>
          <w:rtl/>
        </w:rPr>
        <w:t xml:space="preserve"> أيضاً</w:t>
      </w:r>
      <w:r w:rsidRPr="003F3B94">
        <w:rPr>
          <w:rFonts w:ascii="Abo-thar" w:hAnsi="Abo-thar"/>
          <w:sz w:val="28"/>
          <w:rtl/>
        </w:rPr>
        <w:t xml:space="preserve"> </w:t>
      </w:r>
      <w:r w:rsidRPr="003F3B94">
        <w:rPr>
          <w:rFonts w:ascii="Abo-thar" w:hAnsi="Abo-thar"/>
          <w:bCs/>
          <w:sz w:val="28"/>
          <w:rtl/>
        </w:rPr>
        <w:t xml:space="preserve">وهي كل </w:t>
      </w:r>
      <w:r w:rsidRPr="003F3B94">
        <w:rPr>
          <w:rFonts w:ascii="Abo-thar" w:hAnsi="Abo-thar" w:hint="cs"/>
          <w:bCs/>
          <w:sz w:val="28"/>
          <w:rtl/>
        </w:rPr>
        <w:t>أ</w:t>
      </w:r>
      <w:r w:rsidRPr="003F3B94">
        <w:rPr>
          <w:rFonts w:ascii="Abo-thar" w:hAnsi="Abo-thar"/>
          <w:bCs/>
          <w:sz w:val="28"/>
          <w:rtl/>
        </w:rPr>
        <w:t xml:space="preserve">رض فتحت من غير </w:t>
      </w:r>
      <w:r w:rsidRPr="003F3B94">
        <w:rPr>
          <w:rFonts w:ascii="Abo-thar" w:hAnsi="Abo-thar" w:hint="cs"/>
          <w:bCs/>
          <w:sz w:val="28"/>
          <w:rtl/>
        </w:rPr>
        <w:t>أن</w:t>
      </w:r>
      <w:r w:rsidRPr="003F3B94">
        <w:rPr>
          <w:rFonts w:ascii="Abo-thar" w:hAnsi="Abo-thar"/>
          <w:bCs/>
          <w:sz w:val="28"/>
          <w:rtl/>
        </w:rPr>
        <w:t xml:space="preserve"> يوجف</w:t>
      </w:r>
      <w:r w:rsidRPr="003F3B94">
        <w:rPr>
          <w:rFonts w:ascii="Abo-thar" w:hAnsi="Abo-thar" w:hint="cs"/>
          <w:bCs/>
          <w:sz w:val="28"/>
          <w:rtl/>
        </w:rPr>
        <w:t xml:space="preserve"> </w:t>
      </w:r>
      <w:r w:rsidRPr="003F3B94">
        <w:rPr>
          <w:rFonts w:ascii="Abo-thar" w:hAnsi="Abo-thar"/>
          <w:bCs/>
          <w:sz w:val="28"/>
          <w:rtl/>
        </w:rPr>
        <w:t>عليها بخيل</w:t>
      </w:r>
      <w:r w:rsidR="00217AB4" w:rsidRPr="003F3B94">
        <w:rPr>
          <w:rFonts w:ascii="Abo-thar" w:hAnsi="Abo-thar" w:hint="cs"/>
          <w:bCs/>
          <w:sz w:val="28"/>
          <w:rtl/>
        </w:rPr>
        <w:t>..</w:t>
      </w:r>
      <w:r w:rsidR="00147857" w:rsidRPr="003F3B94">
        <w:rPr>
          <w:rFonts w:ascii="Abo-thar" w:hAnsi="Abo-thar" w:hint="cs"/>
          <w:bCs/>
          <w:sz w:val="28"/>
          <w:rtl/>
        </w:rPr>
        <w:t xml:space="preserve"> </w:t>
      </w:r>
      <w:r w:rsidR="00217AB4" w:rsidRPr="003F3B94">
        <w:rPr>
          <w:rFonts w:ascii="Abo-thar" w:hAnsi="Abo-thar" w:hint="cs"/>
          <w:bCs/>
          <w:sz w:val="28"/>
          <w:rtl/>
        </w:rPr>
        <w:t>(</w:t>
      </w:r>
      <w:r w:rsidRPr="003F3B94">
        <w:rPr>
          <w:rFonts w:ascii="Abo-thar" w:hAnsi="Abo-thar"/>
          <w:bCs/>
          <w:sz w:val="28"/>
          <w:rtl/>
        </w:rPr>
        <w:t xml:space="preserve">إلى </w:t>
      </w:r>
      <w:r w:rsidRPr="003F3B94">
        <w:rPr>
          <w:rFonts w:ascii="Abo-thar" w:hAnsi="Abo-thar" w:hint="cs"/>
          <w:bCs/>
          <w:sz w:val="28"/>
          <w:rtl/>
        </w:rPr>
        <w:t>أن</w:t>
      </w:r>
      <w:r w:rsidRPr="003F3B94">
        <w:rPr>
          <w:rFonts w:ascii="Abo-thar" w:hAnsi="Abo-thar"/>
          <w:bCs/>
          <w:sz w:val="28"/>
          <w:rtl/>
        </w:rPr>
        <w:t xml:space="preserve"> قال</w:t>
      </w:r>
      <w:r w:rsidR="00217AB4" w:rsidRPr="003F3B94">
        <w:rPr>
          <w:rFonts w:ascii="Abo-thar" w:hAnsi="Abo-thar" w:hint="cs"/>
          <w:bCs/>
          <w:sz w:val="28"/>
          <w:rtl/>
        </w:rPr>
        <w:t>)</w:t>
      </w:r>
      <w:r w:rsidR="00147857" w:rsidRPr="003F3B94">
        <w:rPr>
          <w:rFonts w:ascii="Abo-thar" w:hAnsi="Abo-thar" w:hint="cs"/>
          <w:bCs/>
          <w:sz w:val="28"/>
          <w:rtl/>
        </w:rPr>
        <w:t xml:space="preserve"> </w:t>
      </w:r>
      <w:r w:rsidRPr="003F3B94">
        <w:rPr>
          <w:rFonts w:ascii="Abo-thar" w:hAnsi="Abo-thar"/>
          <w:bCs/>
          <w:sz w:val="28"/>
          <w:rtl/>
        </w:rPr>
        <w:t xml:space="preserve">فليس </w:t>
      </w:r>
      <w:r w:rsidRPr="003F3B94">
        <w:rPr>
          <w:rFonts w:ascii="Abo-thar" w:hAnsi="Abo-thar" w:hint="cs"/>
          <w:bCs/>
          <w:sz w:val="28"/>
          <w:rtl/>
        </w:rPr>
        <w:t>لأحد</w:t>
      </w:r>
      <w:r w:rsidRPr="003F3B94">
        <w:rPr>
          <w:rFonts w:ascii="Abo-thar" w:hAnsi="Abo-thar"/>
          <w:bCs/>
          <w:sz w:val="28"/>
          <w:rtl/>
        </w:rPr>
        <w:t xml:space="preserve"> </w:t>
      </w:r>
      <w:r w:rsidRPr="003F3B94">
        <w:rPr>
          <w:rFonts w:ascii="Abo-thar" w:hAnsi="Abo-thar" w:hint="cs"/>
          <w:bCs/>
          <w:sz w:val="28"/>
          <w:rtl/>
        </w:rPr>
        <w:t>أن</w:t>
      </w:r>
      <w:r w:rsidRPr="003F3B94">
        <w:rPr>
          <w:rFonts w:ascii="Abo-thar" w:hAnsi="Abo-thar"/>
          <w:bCs/>
          <w:sz w:val="28"/>
          <w:rtl/>
        </w:rPr>
        <w:t xml:space="preserve"> يتصر</w:t>
      </w:r>
      <w:r w:rsidRPr="003F3B94">
        <w:rPr>
          <w:rFonts w:ascii="Abo-thar" w:hAnsi="Abo-thar" w:hint="cs"/>
          <w:bCs/>
          <w:sz w:val="28"/>
          <w:rtl/>
        </w:rPr>
        <w:t>ّ</w:t>
      </w:r>
      <w:r w:rsidRPr="003F3B94">
        <w:rPr>
          <w:rFonts w:ascii="Abo-thar" w:hAnsi="Abo-thar"/>
          <w:bCs/>
          <w:sz w:val="28"/>
          <w:rtl/>
        </w:rPr>
        <w:t>ف في ش</w:t>
      </w:r>
      <w:r w:rsidRPr="003F3B94">
        <w:rPr>
          <w:rFonts w:ascii="Abo-thar" w:hAnsi="Abo-thar" w:hint="cs"/>
          <w:bCs/>
          <w:sz w:val="28"/>
          <w:rtl/>
        </w:rPr>
        <w:t>يءٍ</w:t>
      </w:r>
      <w:r w:rsidRPr="003F3B94">
        <w:rPr>
          <w:rFonts w:ascii="Abo-thar" w:hAnsi="Abo-thar"/>
          <w:bCs/>
          <w:sz w:val="28"/>
          <w:rtl/>
        </w:rPr>
        <w:t xml:space="preserve"> من ذلك </w:t>
      </w:r>
      <w:r w:rsidRPr="003F3B94">
        <w:rPr>
          <w:rFonts w:ascii="Abo-thar" w:hAnsi="Abo-thar" w:hint="cs"/>
          <w:bCs/>
          <w:sz w:val="28"/>
          <w:rtl/>
        </w:rPr>
        <w:t>إلا</w:t>
      </w:r>
      <w:r w:rsidRPr="003F3B94">
        <w:rPr>
          <w:rFonts w:ascii="Abo-thar" w:hAnsi="Abo-thar"/>
          <w:bCs/>
          <w:sz w:val="28"/>
          <w:rtl/>
        </w:rPr>
        <w:t xml:space="preserve"> </w:t>
      </w:r>
      <w:r w:rsidRPr="003F3B94">
        <w:rPr>
          <w:rFonts w:ascii="Abo-thar" w:hAnsi="Abo-thar" w:hint="cs"/>
          <w:bCs/>
          <w:sz w:val="28"/>
          <w:rtl/>
        </w:rPr>
        <w:t>بإذنه</w:t>
      </w:r>
      <w:r w:rsidRPr="003F3B94">
        <w:rPr>
          <w:rFonts w:ascii="Abo-thar" w:hAnsi="Abo-thar"/>
          <w:bCs/>
          <w:sz w:val="28"/>
          <w:rtl/>
        </w:rPr>
        <w:t xml:space="preserve"> فمن تص</w:t>
      </w:r>
      <w:r w:rsidRPr="003F3B94">
        <w:rPr>
          <w:rFonts w:ascii="Abo-thar" w:hAnsi="Abo-thar" w:hint="cs"/>
          <w:bCs/>
          <w:sz w:val="28"/>
          <w:rtl/>
        </w:rPr>
        <w:t>ـ</w:t>
      </w:r>
      <w:r w:rsidRPr="003F3B94">
        <w:rPr>
          <w:rFonts w:ascii="Abo-thar" w:hAnsi="Abo-thar"/>
          <w:bCs/>
          <w:sz w:val="28"/>
          <w:rtl/>
        </w:rPr>
        <w:t>ر</w:t>
      </w:r>
      <w:r w:rsidRPr="003F3B94">
        <w:rPr>
          <w:rFonts w:ascii="Abo-thar" w:hAnsi="Abo-thar" w:hint="cs"/>
          <w:bCs/>
          <w:sz w:val="28"/>
          <w:rtl/>
        </w:rPr>
        <w:t>ُّ</w:t>
      </w:r>
      <w:r w:rsidRPr="003F3B94">
        <w:rPr>
          <w:rFonts w:ascii="Abo-thar" w:hAnsi="Abo-thar"/>
          <w:bCs/>
          <w:sz w:val="28"/>
          <w:rtl/>
        </w:rPr>
        <w:t>ف في ش</w:t>
      </w:r>
      <w:r w:rsidRPr="003F3B94">
        <w:rPr>
          <w:rFonts w:ascii="Abo-thar" w:hAnsi="Abo-thar" w:hint="cs"/>
          <w:bCs/>
          <w:sz w:val="28"/>
          <w:rtl/>
        </w:rPr>
        <w:t xml:space="preserve">يءٍ </w:t>
      </w:r>
      <w:r w:rsidRPr="003F3B94">
        <w:rPr>
          <w:rFonts w:ascii="Abo-thar" w:hAnsi="Abo-thar"/>
          <w:bCs/>
          <w:sz w:val="28"/>
          <w:rtl/>
        </w:rPr>
        <w:t xml:space="preserve">من ذلك </w:t>
      </w:r>
      <w:r w:rsidRPr="003F3B94">
        <w:rPr>
          <w:rFonts w:ascii="Abo-thar" w:hAnsi="Abo-thar" w:hint="cs"/>
          <w:bCs/>
          <w:sz w:val="28"/>
          <w:rtl/>
        </w:rPr>
        <w:t>بإذنه</w:t>
      </w:r>
      <w:r w:rsidRPr="003F3B94">
        <w:rPr>
          <w:rFonts w:ascii="Abo-thar" w:hAnsi="Abo-thar"/>
          <w:bCs/>
          <w:sz w:val="28"/>
          <w:rtl/>
        </w:rPr>
        <w:t xml:space="preserve"> فله </w:t>
      </w:r>
      <w:r w:rsidRPr="003F3B94">
        <w:rPr>
          <w:rFonts w:ascii="Abo-thar" w:hAnsi="Abo-thar" w:hint="cs"/>
          <w:bCs/>
          <w:sz w:val="28"/>
          <w:rtl/>
        </w:rPr>
        <w:t>أربعة</w:t>
      </w:r>
      <w:r w:rsidRPr="003F3B94">
        <w:rPr>
          <w:rFonts w:ascii="Abo-thar" w:hAnsi="Abo-thar"/>
          <w:bCs/>
          <w:sz w:val="28"/>
          <w:rtl/>
        </w:rPr>
        <w:t xml:space="preserve"> </w:t>
      </w:r>
      <w:r w:rsidRPr="003F3B94">
        <w:rPr>
          <w:rFonts w:ascii="Abo-thar" w:hAnsi="Abo-thar" w:hint="cs"/>
          <w:bCs/>
          <w:sz w:val="28"/>
          <w:rtl/>
        </w:rPr>
        <w:t>أخماس</w:t>
      </w:r>
      <w:r w:rsidRPr="003F3B94">
        <w:rPr>
          <w:rFonts w:ascii="Abo-thar" w:hAnsi="Abo-thar"/>
          <w:bCs/>
          <w:sz w:val="28"/>
          <w:rtl/>
        </w:rPr>
        <w:t xml:space="preserve"> المستفاد </w:t>
      </w:r>
      <w:r w:rsidRPr="003F3B94">
        <w:rPr>
          <w:rFonts w:ascii="Abo-thar" w:hAnsi="Abo-thar" w:hint="cs"/>
          <w:bCs/>
          <w:sz w:val="28"/>
          <w:rtl/>
        </w:rPr>
        <w:t>وللإمام</w:t>
      </w:r>
      <w:r w:rsidRPr="003F3B94">
        <w:rPr>
          <w:rFonts w:ascii="Abo-thar" w:hAnsi="Abo-thar"/>
          <w:bCs/>
          <w:sz w:val="28"/>
          <w:rtl/>
        </w:rPr>
        <w:t xml:space="preserve"> الخُمس</w:t>
      </w:r>
      <w:r w:rsidR="00217AB4" w:rsidRPr="003F3B94">
        <w:rPr>
          <w:rFonts w:ascii="Abo-thar" w:hAnsi="Abo-thar" w:hint="cs"/>
          <w:bCs/>
          <w:sz w:val="28"/>
          <w:rtl/>
        </w:rPr>
        <w:t>،</w:t>
      </w:r>
      <w:r w:rsidRPr="003F3B94">
        <w:rPr>
          <w:rFonts w:ascii="Abo-thar" w:hAnsi="Abo-thar"/>
          <w:bCs/>
          <w:sz w:val="28"/>
          <w:rtl/>
        </w:rPr>
        <w:t xml:space="preserve"> وفي هذا الزمان قد</w:t>
      </w:r>
      <w:r w:rsidRPr="003F3B94">
        <w:rPr>
          <w:rFonts w:ascii="Abo-thar" w:hAnsi="Abo-thar" w:hint="cs"/>
          <w:bCs/>
          <w:sz w:val="28"/>
          <w:rtl/>
        </w:rPr>
        <w:t xml:space="preserve"> أ</w:t>
      </w:r>
      <w:r w:rsidRPr="003F3B94">
        <w:rPr>
          <w:rFonts w:ascii="Abo-thar" w:hAnsi="Abo-thar"/>
          <w:bCs/>
          <w:sz w:val="28"/>
          <w:rtl/>
        </w:rPr>
        <w:t>حلونا</w:t>
      </w:r>
      <w:r w:rsidRPr="003F3B94">
        <w:rPr>
          <w:rFonts w:ascii="Abo-thar" w:hAnsi="Abo-thar" w:hint="cs"/>
          <w:bCs/>
          <w:sz w:val="28"/>
          <w:rtl/>
        </w:rPr>
        <w:t xml:space="preserve"> </w:t>
      </w:r>
      <w:r w:rsidRPr="003F3B94">
        <w:rPr>
          <w:rFonts w:ascii="Abo-thar" w:hAnsi="Abo-thar"/>
          <w:bCs/>
          <w:sz w:val="28"/>
          <w:rtl/>
        </w:rPr>
        <w:t>بالتصرف فيه من ذلك كرما</w:t>
      </w:r>
      <w:r w:rsidRPr="003F3B94">
        <w:rPr>
          <w:rFonts w:ascii="Abo-thar" w:hAnsi="Abo-thar" w:hint="cs"/>
          <w:bCs/>
          <w:sz w:val="28"/>
          <w:rtl/>
        </w:rPr>
        <w:t>ً</w:t>
      </w:r>
      <w:r w:rsidRPr="003F3B94">
        <w:rPr>
          <w:rFonts w:ascii="Abo-thar" w:hAnsi="Abo-thar"/>
          <w:bCs/>
          <w:sz w:val="28"/>
          <w:rtl/>
        </w:rPr>
        <w:t xml:space="preserve"> وفضلا</w:t>
      </w:r>
      <w:r w:rsidRPr="003F3B94">
        <w:rPr>
          <w:rFonts w:ascii="Abo-thar" w:hAnsi="Abo-thar" w:hint="cs"/>
          <w:bCs/>
          <w:sz w:val="28"/>
          <w:rtl/>
        </w:rPr>
        <w:t>ً</w:t>
      </w:r>
      <w:r w:rsidRPr="003F3B94">
        <w:rPr>
          <w:rFonts w:ascii="Abo-thar" w:hAnsi="Abo-thar"/>
          <w:bCs/>
          <w:sz w:val="28"/>
          <w:rtl/>
        </w:rPr>
        <w:t xml:space="preserve"> لنا خاصة</w:t>
      </w:r>
      <w:r w:rsidR="00F456DF" w:rsidRPr="003F3B94">
        <w:rPr>
          <w:rFonts w:ascii="Abo-thar" w:hAnsi="Abo-thar" w:hint="cs"/>
          <w:bCs/>
          <w:sz w:val="28"/>
          <w:rtl/>
        </w:rPr>
        <w:t>»</w:t>
      </w:r>
      <w:r w:rsidR="00217AB4" w:rsidRPr="003F3B94">
        <w:rPr>
          <w:rFonts w:ascii="Abo-thar" w:hAnsi="Abo-thar" w:hint="cs"/>
          <w:bCs/>
          <w:sz w:val="28"/>
          <w:rtl/>
        </w:rPr>
        <w:t>.</w:t>
      </w:r>
    </w:p>
    <w:p w:rsidR="007D07D3" w:rsidRPr="003F3B94" w:rsidRDefault="007D07D3" w:rsidP="00254729">
      <w:pPr>
        <w:pStyle w:val="a0"/>
        <w:rPr>
          <w:rFonts w:hint="cs"/>
          <w:rtl/>
        </w:rPr>
      </w:pPr>
      <w:r w:rsidRPr="003F3B94">
        <w:rPr>
          <w:rFonts w:ascii="Abo-thar" w:hAnsi="Abo-thar" w:hint="cs"/>
          <w:sz w:val="28"/>
          <w:rtl/>
        </w:rPr>
        <w:t>6- المحقق الحلي أحد القائلين بسقوط الخمس في نفقات الزواج وإعداد المنزل والتجارة. ويقول:</w:t>
      </w:r>
      <w:r w:rsidR="00254729">
        <w:rPr>
          <w:rFonts w:hint="cs"/>
          <w:rtl/>
        </w:rPr>
        <w:t xml:space="preserve"> </w:t>
      </w:r>
      <w:r w:rsidRPr="003F3B94">
        <w:rPr>
          <w:rFonts w:ascii="Abo-thar" w:hAnsi="Abo-thar" w:hint="cs"/>
          <w:sz w:val="28"/>
          <w:rtl/>
        </w:rPr>
        <w:t>«</w:t>
      </w:r>
      <w:r w:rsidRPr="003F3B94">
        <w:rPr>
          <w:rFonts w:ascii="Abo-thar" w:hAnsi="Abo-thar"/>
          <w:sz w:val="28"/>
          <w:rtl/>
        </w:rPr>
        <w:t>ثبتَ إِباحةُ الـمنا</w:t>
      </w:r>
      <w:r w:rsidR="00D326AD" w:rsidRPr="003F3B94">
        <w:rPr>
          <w:rFonts w:ascii="Abo-thar" w:hAnsi="Abo-thar"/>
          <w:sz w:val="28"/>
          <w:rtl/>
        </w:rPr>
        <w:t>ك</w:t>
      </w:r>
      <w:r w:rsidRPr="003F3B94">
        <w:rPr>
          <w:rFonts w:ascii="Abo-thar" w:hAnsi="Abo-thar"/>
          <w:sz w:val="28"/>
          <w:rtl/>
        </w:rPr>
        <w:t>ح والـمسا</w:t>
      </w:r>
      <w:r w:rsidR="00D326AD" w:rsidRPr="003F3B94">
        <w:rPr>
          <w:rFonts w:ascii="Abo-thar" w:hAnsi="Abo-thar"/>
          <w:sz w:val="28"/>
          <w:rtl/>
        </w:rPr>
        <w:t>ك</w:t>
      </w:r>
      <w:r w:rsidRPr="003F3B94">
        <w:rPr>
          <w:rFonts w:ascii="Abo-thar" w:hAnsi="Abo-thar"/>
          <w:sz w:val="28"/>
          <w:rtl/>
        </w:rPr>
        <w:t>ن والـمتاجر ف</w:t>
      </w:r>
      <w:r w:rsidR="00D326AD" w:rsidRPr="003F3B94">
        <w:rPr>
          <w:rFonts w:ascii="Abo-thar" w:hAnsi="Abo-thar" w:hint="cs"/>
          <w:sz w:val="28"/>
          <w:rtl/>
        </w:rPr>
        <w:t>ي</w:t>
      </w:r>
      <w:r w:rsidRPr="003F3B94">
        <w:rPr>
          <w:rFonts w:ascii="Abo-thar" w:hAnsi="Abo-thar"/>
          <w:sz w:val="28"/>
          <w:rtl/>
        </w:rPr>
        <w:t xml:space="preserve"> حال الغَ</w:t>
      </w:r>
      <w:r w:rsidR="00D326AD" w:rsidRPr="003F3B94">
        <w:rPr>
          <w:rFonts w:ascii="Abo-thar" w:hAnsi="Abo-thar" w:hint="cs"/>
          <w:sz w:val="28"/>
          <w:rtl/>
        </w:rPr>
        <w:t>ي</w:t>
      </w:r>
      <w:r w:rsidRPr="003F3B94">
        <w:rPr>
          <w:rFonts w:ascii="Abo-thar" w:hAnsi="Abo-thar" w:hint="eastAsia"/>
          <w:sz w:val="28"/>
          <w:rtl/>
        </w:rPr>
        <w:t>بةِ،</w:t>
      </w:r>
      <w:r w:rsidRPr="003F3B94">
        <w:rPr>
          <w:rFonts w:ascii="Abo-thar" w:hAnsi="Abo-thar"/>
          <w:sz w:val="28"/>
          <w:rtl/>
        </w:rPr>
        <w:t xml:space="preserve"> وإن </w:t>
      </w:r>
      <w:r w:rsidR="00D326AD" w:rsidRPr="003F3B94">
        <w:rPr>
          <w:rFonts w:ascii="Abo-thar" w:hAnsi="Abo-thar"/>
          <w:sz w:val="28"/>
          <w:rtl/>
        </w:rPr>
        <w:t>ك</w:t>
      </w:r>
      <w:r w:rsidRPr="003F3B94">
        <w:rPr>
          <w:rFonts w:ascii="Abo-thar" w:hAnsi="Abo-thar"/>
          <w:sz w:val="28"/>
          <w:rtl/>
        </w:rPr>
        <w:t>انَ ذلك بِأجمَعهِ للإمام أو بَعضِهِ ولا</w:t>
      </w:r>
      <w:r w:rsidR="00D326AD" w:rsidRPr="003F3B94">
        <w:rPr>
          <w:rFonts w:ascii="Abo-thar" w:hAnsi="Abo-thar" w:hint="cs"/>
          <w:sz w:val="28"/>
          <w:rtl/>
        </w:rPr>
        <w:t>ي</w:t>
      </w:r>
      <w:r w:rsidRPr="003F3B94">
        <w:rPr>
          <w:rFonts w:ascii="Abo-thar" w:hAnsi="Abo-thar" w:hint="eastAsia"/>
          <w:sz w:val="28"/>
          <w:rtl/>
        </w:rPr>
        <w:t>جبُ</w:t>
      </w:r>
      <w:r w:rsidRPr="003F3B94">
        <w:rPr>
          <w:rFonts w:ascii="Abo-thar" w:hAnsi="Abo-thar"/>
          <w:sz w:val="28"/>
          <w:rtl/>
        </w:rPr>
        <w:t xml:space="preserve"> إخراجُ حِصَّةِ الـموجود</w:t>
      </w:r>
      <w:r w:rsidR="00D326AD" w:rsidRPr="003F3B94">
        <w:rPr>
          <w:rFonts w:ascii="Abo-thar" w:hAnsi="Abo-thar" w:hint="cs"/>
          <w:sz w:val="28"/>
          <w:rtl/>
        </w:rPr>
        <w:t>ي</w:t>
      </w:r>
      <w:r w:rsidRPr="003F3B94">
        <w:rPr>
          <w:rFonts w:ascii="Abo-thar" w:hAnsi="Abo-thar" w:hint="eastAsia"/>
          <w:sz w:val="28"/>
          <w:rtl/>
        </w:rPr>
        <w:t>ن</w:t>
      </w:r>
      <w:r w:rsidRPr="003F3B94">
        <w:rPr>
          <w:rFonts w:ascii="Abo-thar" w:hAnsi="Abo-thar"/>
          <w:sz w:val="28"/>
          <w:rtl/>
        </w:rPr>
        <w:t xml:space="preserve"> من أرباب الخمس».</w:t>
      </w:r>
    </w:p>
    <w:p w:rsidR="005C664D" w:rsidRPr="003F3B94" w:rsidRDefault="007D07D3" w:rsidP="003F3B94">
      <w:pPr>
        <w:pStyle w:val="a0"/>
        <w:rPr>
          <w:rFonts w:hint="cs"/>
          <w:rtl/>
        </w:rPr>
      </w:pPr>
      <w:r w:rsidRPr="003F3B94">
        <w:rPr>
          <w:rFonts w:ascii="Abo-thar" w:hAnsi="Abo-thar" w:hint="cs"/>
          <w:sz w:val="28"/>
          <w:rtl/>
        </w:rPr>
        <w:t>7 و 8-</w:t>
      </w:r>
      <w:r w:rsidR="005C664D" w:rsidRPr="003F3B94">
        <w:rPr>
          <w:rFonts w:ascii="Abo-thar" w:hAnsi="Abo-thar" w:hint="cs"/>
          <w:sz w:val="28"/>
          <w:rtl/>
        </w:rPr>
        <w:t xml:space="preserve"> وذهب العماني والإسكافي</w:t>
      </w:r>
      <w:r w:rsidR="00217AB4" w:rsidRPr="0021507A">
        <w:rPr>
          <w:rFonts w:cs="Arabic11 BT"/>
          <w:b/>
          <w:sz w:val="28"/>
          <w:vertAlign w:val="superscript"/>
          <w:rtl/>
        </w:rPr>
        <w:t>(</w:t>
      </w:r>
      <w:r w:rsidR="005C664D" w:rsidRPr="0021507A">
        <w:rPr>
          <w:rStyle w:val="FootnoteReference"/>
          <w:rFonts w:cs="Arabic11 BT"/>
          <w:b/>
          <w:sz w:val="28"/>
          <w:rtl/>
        </w:rPr>
        <w:footnoteReference w:id="316"/>
      </w:r>
      <w:r w:rsidR="00217AB4" w:rsidRPr="0021507A">
        <w:rPr>
          <w:rFonts w:cs="Arabic11 BT"/>
          <w:b/>
          <w:sz w:val="28"/>
          <w:vertAlign w:val="superscript"/>
          <w:rtl/>
        </w:rPr>
        <w:t>)</w:t>
      </w:r>
      <w:r w:rsidR="005C664D" w:rsidRPr="003F3B94">
        <w:rPr>
          <w:rFonts w:ascii="Abo-thar" w:hAnsi="Abo-thar" w:hint="cs"/>
          <w:sz w:val="28"/>
          <w:rtl/>
        </w:rPr>
        <w:t xml:space="preserve"> طبقاً لنقل [الفقيه السيد </w:t>
      </w:r>
      <w:r w:rsidR="005C664D" w:rsidRPr="003F3B94">
        <w:rPr>
          <w:rFonts w:ascii="Abo-thar" w:hAnsi="Abo-thar"/>
          <w:sz w:val="28"/>
          <w:rtl/>
        </w:rPr>
        <w:t>علي الطباطبائي</w:t>
      </w:r>
      <w:r w:rsidR="005C664D" w:rsidRPr="003F3B94">
        <w:rPr>
          <w:rFonts w:ascii="Abo-thar" w:hAnsi="Abo-thar" w:hint="cs"/>
          <w:sz w:val="28"/>
          <w:rtl/>
        </w:rPr>
        <w:t xml:space="preserve">] صاحب </w:t>
      </w:r>
      <w:r w:rsidR="005C664D" w:rsidRPr="003F3B94">
        <w:rPr>
          <w:rFonts w:ascii="Abo-thar" w:hAnsi="Abo-thar"/>
          <w:sz w:val="28"/>
          <w:rtl/>
        </w:rPr>
        <w:t>«</w:t>
      </w:r>
      <w:r w:rsidR="005C664D" w:rsidRPr="003F3B94">
        <w:rPr>
          <w:rFonts w:ascii="Abo-thar" w:hAnsi="Abo-thar" w:hint="cs"/>
          <w:sz w:val="28"/>
          <w:rtl/>
        </w:rPr>
        <w:t>رياض المسائل</w:t>
      </w:r>
      <w:r w:rsidR="005C664D" w:rsidRPr="003F3B94">
        <w:rPr>
          <w:rFonts w:ascii="Abo-thar" w:hAnsi="Abo-thar"/>
          <w:sz w:val="28"/>
          <w:rtl/>
        </w:rPr>
        <w:t>»</w:t>
      </w:r>
      <w:r w:rsidR="005C664D" w:rsidRPr="003F3B94">
        <w:rPr>
          <w:rFonts w:ascii="Abo-thar" w:hAnsi="Abo-thar" w:hint="cs"/>
          <w:sz w:val="28"/>
          <w:rtl/>
        </w:rPr>
        <w:t xml:space="preserve"> إلى عفو الإمام عن الخُمس وتحليله للشيعة</w:t>
      </w:r>
      <w:r w:rsidR="00217AB4" w:rsidRPr="003F3B94">
        <w:rPr>
          <w:rFonts w:ascii="Abo-thar" w:hAnsi="Abo-thar" w:hint="cs"/>
          <w:sz w:val="28"/>
          <w:rtl/>
        </w:rPr>
        <w:t>،</w:t>
      </w:r>
      <w:r w:rsidR="005C664D" w:rsidRPr="003F3B94">
        <w:rPr>
          <w:rFonts w:ascii="Abo-thar" w:hAnsi="Abo-thar" w:hint="cs"/>
          <w:sz w:val="28"/>
          <w:rtl/>
        </w:rPr>
        <w:t xml:space="preserve"> لأنه مال الإمام الشخصي</w:t>
      </w:r>
      <w:r w:rsidR="00217AB4" w:rsidRPr="0021507A">
        <w:rPr>
          <w:rFonts w:cs="Arabic11 BT"/>
          <w:b/>
          <w:sz w:val="28"/>
          <w:vertAlign w:val="superscript"/>
          <w:rtl/>
        </w:rPr>
        <w:t>(</w:t>
      </w:r>
      <w:r w:rsidR="005C664D" w:rsidRPr="0021507A">
        <w:rPr>
          <w:rStyle w:val="FootnoteReference"/>
          <w:rFonts w:cs="Arabic11 BT"/>
          <w:b/>
          <w:sz w:val="28"/>
          <w:rtl/>
        </w:rPr>
        <w:footnoteReference w:id="317"/>
      </w:r>
      <w:r w:rsidR="00217AB4" w:rsidRPr="0021507A">
        <w:rPr>
          <w:rFonts w:cs="Arabic11 BT"/>
          <w:b/>
          <w:sz w:val="28"/>
          <w:vertAlign w:val="superscript"/>
          <w:rtl/>
        </w:rPr>
        <w:t>)</w:t>
      </w:r>
      <w:r w:rsidR="00217AB4" w:rsidRPr="003F3B94">
        <w:rPr>
          <w:sz w:val="28"/>
          <w:rtl/>
        </w:rPr>
        <w:t>.</w:t>
      </w:r>
    </w:p>
    <w:p w:rsidR="005C664D" w:rsidRPr="003F3B94" w:rsidRDefault="007D07D3" w:rsidP="003F3B94">
      <w:pPr>
        <w:pStyle w:val="a0"/>
        <w:rPr>
          <w:rFonts w:hint="cs"/>
          <w:rtl/>
        </w:rPr>
      </w:pPr>
      <w:r w:rsidRPr="003F3B94">
        <w:rPr>
          <w:rFonts w:ascii="Abo-thar" w:hAnsi="Abo-thar" w:hint="cs"/>
          <w:sz w:val="28"/>
          <w:rtl/>
        </w:rPr>
        <w:t>9</w:t>
      </w:r>
      <w:r w:rsidR="00217AB4" w:rsidRPr="003F3B94">
        <w:rPr>
          <w:rFonts w:ascii="Abo-thar" w:hAnsi="Abo-thar" w:hint="cs"/>
          <w:sz w:val="28"/>
          <w:rtl/>
        </w:rPr>
        <w:t>-</w:t>
      </w:r>
      <w:r w:rsidR="005C664D" w:rsidRPr="003F3B94">
        <w:rPr>
          <w:rFonts w:ascii="Abo-thar" w:hAnsi="Abo-thar" w:hint="cs"/>
          <w:sz w:val="28"/>
          <w:rtl/>
        </w:rPr>
        <w:t xml:space="preserve"> </w:t>
      </w:r>
      <w:r w:rsidRPr="003F3B94">
        <w:rPr>
          <w:rFonts w:ascii="Abo-thar" w:hAnsi="Abo-thar" w:hint="cs"/>
          <w:sz w:val="28"/>
          <w:rtl/>
        </w:rPr>
        <w:t>واعتبر الفقيه</w:t>
      </w:r>
      <w:r w:rsidR="005C664D" w:rsidRPr="003F3B94">
        <w:rPr>
          <w:rFonts w:ascii="Abo-thar" w:hAnsi="Abo-thar" w:hint="cs"/>
          <w:sz w:val="28"/>
          <w:rtl/>
        </w:rPr>
        <w:t xml:space="preserve"> </w:t>
      </w:r>
      <w:r w:rsidRPr="003F3B94">
        <w:rPr>
          <w:rFonts w:ascii="Abo-thar" w:hAnsi="Abo-thar" w:hint="cs"/>
          <w:sz w:val="28"/>
          <w:rtl/>
        </w:rPr>
        <w:t>الحسن بن زين الدين العاملي [</w:t>
      </w:r>
      <w:r w:rsidR="005C664D" w:rsidRPr="003F3B94">
        <w:rPr>
          <w:rFonts w:ascii="Abo-thar" w:hAnsi="Abo-thar" w:hint="cs"/>
          <w:sz w:val="28"/>
          <w:rtl/>
        </w:rPr>
        <w:t xml:space="preserve">صاحب </w:t>
      </w:r>
      <w:r w:rsidR="005C664D" w:rsidRPr="003F3B94">
        <w:rPr>
          <w:rFonts w:ascii="Abo-thar" w:hAnsi="Abo-thar"/>
          <w:sz w:val="28"/>
          <w:rtl/>
        </w:rPr>
        <w:t>«</w:t>
      </w:r>
      <w:r w:rsidR="005C664D" w:rsidRPr="003F3B94">
        <w:rPr>
          <w:rFonts w:ascii="Abo-thar" w:hAnsi="Abo-thar" w:hint="cs"/>
          <w:sz w:val="28"/>
          <w:rtl/>
        </w:rPr>
        <w:t>منتقى الجمان</w:t>
      </w:r>
      <w:r w:rsidR="005C664D" w:rsidRPr="003F3B94">
        <w:rPr>
          <w:rFonts w:ascii="Abo-thar" w:hAnsi="Abo-thar"/>
          <w:sz w:val="28"/>
          <w:rtl/>
        </w:rPr>
        <w:t>»</w:t>
      </w:r>
      <w:r w:rsidRPr="003F3B94">
        <w:rPr>
          <w:rFonts w:ascii="Abo-thar" w:hAnsi="Abo-thar" w:hint="cs"/>
          <w:sz w:val="28"/>
          <w:rtl/>
        </w:rPr>
        <w:t>] أن خًمْس الأرباح حق الإمام وقال</w:t>
      </w:r>
      <w:r w:rsidR="00217AB4" w:rsidRPr="003F3B94">
        <w:rPr>
          <w:rFonts w:ascii="Abo-thar" w:hAnsi="Abo-thar" w:hint="cs"/>
          <w:sz w:val="28"/>
          <w:rtl/>
        </w:rPr>
        <w:t>:</w:t>
      </w:r>
      <w:r w:rsidR="005C664D" w:rsidRPr="003F3B94">
        <w:rPr>
          <w:rFonts w:ascii="Abo-thar" w:hAnsi="Abo-thar" w:hint="cs"/>
          <w:sz w:val="28"/>
          <w:rtl/>
        </w:rPr>
        <w:t xml:space="preserve"> </w:t>
      </w:r>
      <w:r w:rsidR="00EF2588" w:rsidRPr="003F3B94">
        <w:rPr>
          <w:rFonts w:ascii="Abo-thar" w:hAnsi="Abo-thar" w:hint="cs"/>
          <w:sz w:val="28"/>
          <w:rtl/>
        </w:rPr>
        <w:t>«</w:t>
      </w:r>
      <w:r w:rsidR="005C664D" w:rsidRPr="003F3B94">
        <w:rPr>
          <w:rFonts w:ascii="Abo-thar" w:hAnsi="Abo-thar"/>
          <w:bCs/>
          <w:sz w:val="28"/>
          <w:rtl/>
        </w:rPr>
        <w:t>قلت</w:t>
      </w:r>
      <w:r w:rsidR="00217AB4" w:rsidRPr="003F3B94">
        <w:rPr>
          <w:rFonts w:ascii="Abo-thar" w:hAnsi="Abo-thar"/>
          <w:bCs/>
          <w:sz w:val="28"/>
          <w:rtl/>
        </w:rPr>
        <w:t>:</w:t>
      </w:r>
      <w:r w:rsidR="005C664D" w:rsidRPr="003F3B94">
        <w:rPr>
          <w:rFonts w:ascii="Abo-thar" w:hAnsi="Abo-thar"/>
          <w:bCs/>
          <w:sz w:val="28"/>
          <w:rtl/>
        </w:rPr>
        <w:t xml:space="preserve"> لا يخفى قوة دلالة هذا الحديث على تحليل حق </w:t>
      </w:r>
      <w:r w:rsidR="005C664D" w:rsidRPr="003F3B94">
        <w:rPr>
          <w:rFonts w:ascii="Abo-thar" w:hAnsi="Abo-thar" w:hint="cs"/>
          <w:bCs/>
          <w:sz w:val="28"/>
          <w:rtl/>
        </w:rPr>
        <w:t>الإمام</w:t>
      </w:r>
      <w:r w:rsidR="005C664D" w:rsidRPr="003F3B94">
        <w:rPr>
          <w:rFonts w:ascii="Abo-thar" w:hAnsi="Abo-thar"/>
          <w:bCs/>
          <w:sz w:val="28"/>
          <w:rtl/>
        </w:rPr>
        <w:t xml:space="preserve"> </w:t>
      </w:r>
      <w:r w:rsidR="003C7AEB" w:rsidRPr="003C7AEB">
        <w:rPr>
          <w:rFonts w:ascii="Abo-thar" w:hAnsi="Abo-thar" w:cs="CTraditional Arabic"/>
          <w:sz w:val="28"/>
          <w:rtl/>
        </w:rPr>
        <w:t>÷</w:t>
      </w:r>
      <w:r w:rsidR="005C664D" w:rsidRPr="003F3B94">
        <w:rPr>
          <w:rFonts w:ascii="Abo-thar" w:hAnsi="Abo-thar"/>
          <w:bCs/>
          <w:sz w:val="28"/>
          <w:rtl/>
        </w:rPr>
        <w:t xml:space="preserve"> في خصوص النوع المعروف في كلام الأصحاب بالأرباح</w:t>
      </w:r>
      <w:r w:rsidR="00217AB4" w:rsidRPr="003F3B94">
        <w:rPr>
          <w:rFonts w:ascii="Abo-thar" w:hAnsi="Abo-thar" w:hint="cs"/>
          <w:bCs/>
          <w:sz w:val="28"/>
          <w:rtl/>
        </w:rPr>
        <w:t>،</w:t>
      </w:r>
      <w:r w:rsidR="005C664D" w:rsidRPr="003F3B94">
        <w:rPr>
          <w:rFonts w:ascii="Abo-thar" w:hAnsi="Abo-thar"/>
          <w:bCs/>
          <w:sz w:val="28"/>
          <w:rtl/>
        </w:rPr>
        <w:t xml:space="preserve"> فإذا أضفته إلى الأخبار السالفة</w:t>
      </w:r>
      <w:r w:rsidR="005C664D" w:rsidRPr="003F3B94">
        <w:rPr>
          <w:rFonts w:ascii="Abo-thar" w:hAnsi="Abo-thar" w:hint="cs"/>
          <w:bCs/>
          <w:sz w:val="28"/>
          <w:rtl/>
        </w:rPr>
        <w:t xml:space="preserve"> </w:t>
      </w:r>
      <w:r w:rsidR="005C664D" w:rsidRPr="003F3B94">
        <w:rPr>
          <w:rFonts w:ascii="Abo-thar" w:hAnsi="Abo-thar"/>
          <w:bCs/>
          <w:sz w:val="28"/>
          <w:rtl/>
        </w:rPr>
        <w:t xml:space="preserve">الدالة بمعونة ما حققناه على اختصاصه </w:t>
      </w:r>
      <w:r w:rsidR="003C7AEB" w:rsidRPr="003C7AEB">
        <w:rPr>
          <w:rFonts w:ascii="Abo-thar" w:hAnsi="Abo-thar" w:cs="CTraditional Arabic"/>
          <w:sz w:val="28"/>
          <w:rtl/>
        </w:rPr>
        <w:t>÷</w:t>
      </w:r>
      <w:r w:rsidR="005C664D" w:rsidRPr="003F3B94">
        <w:rPr>
          <w:rFonts w:ascii="Abo-thar" w:hAnsi="Abo-thar"/>
          <w:bCs/>
          <w:sz w:val="28"/>
          <w:rtl/>
        </w:rPr>
        <w:t xml:space="preserve"> بخمسها عرفت وجه مصير بعض قدمائنا إلى عدم وجوب إخراجه بخصوصه في حال الغيبة وتحققت أن استضعاف المتأخرين له نا</w:t>
      </w:r>
      <w:r w:rsidR="005C664D" w:rsidRPr="003F3B94">
        <w:rPr>
          <w:rFonts w:ascii="Abo-thar" w:hAnsi="Abo-thar" w:hint="cs"/>
          <w:bCs/>
          <w:sz w:val="28"/>
          <w:rtl/>
        </w:rPr>
        <w:t>شٍ</w:t>
      </w:r>
      <w:r w:rsidR="005C664D" w:rsidRPr="003F3B94">
        <w:rPr>
          <w:rFonts w:ascii="Abo-thar" w:hAnsi="Abo-thar"/>
          <w:bCs/>
          <w:sz w:val="28"/>
          <w:rtl/>
        </w:rPr>
        <w:t xml:space="preserve"> من قلة التفحص عن الأخبار ومعانيها والقناعة بميسور النظر فيها</w:t>
      </w:r>
      <w:r w:rsidR="00EF2588" w:rsidRPr="003F3B94">
        <w:rPr>
          <w:rFonts w:ascii="Abo-thar" w:hAnsi="Abo-thar" w:hint="cs"/>
          <w:sz w:val="28"/>
          <w:rtl/>
        </w:rPr>
        <w:t>»</w:t>
      </w:r>
      <w:r w:rsidR="00217AB4" w:rsidRPr="0021507A">
        <w:rPr>
          <w:rFonts w:cs="Arabic11 BT"/>
          <w:b/>
          <w:sz w:val="28"/>
          <w:vertAlign w:val="superscript"/>
          <w:rtl/>
        </w:rPr>
        <w:t>(</w:t>
      </w:r>
      <w:r w:rsidR="005C664D" w:rsidRPr="0021507A">
        <w:rPr>
          <w:rStyle w:val="FootnoteReference"/>
          <w:rFonts w:cs="Arabic11 BT"/>
          <w:b/>
          <w:sz w:val="28"/>
          <w:rtl/>
        </w:rPr>
        <w:footnoteReference w:id="318"/>
      </w:r>
      <w:r w:rsidR="00217AB4" w:rsidRPr="0021507A">
        <w:rPr>
          <w:rFonts w:cs="Arabic11 BT"/>
          <w:b/>
          <w:sz w:val="28"/>
          <w:vertAlign w:val="superscript"/>
          <w:rtl/>
        </w:rPr>
        <w:t>)</w:t>
      </w:r>
      <w:r w:rsidR="00217AB4" w:rsidRPr="003F3B94">
        <w:rPr>
          <w:rFonts w:ascii="Abo-thar" w:hAnsi="Abo-thar" w:hint="cs"/>
          <w:sz w:val="28"/>
          <w:rtl/>
        </w:rPr>
        <w:t>.</w:t>
      </w:r>
    </w:p>
    <w:p w:rsidR="005C664D" w:rsidRPr="003F3B94" w:rsidRDefault="007D07D3" w:rsidP="003F3B94">
      <w:pPr>
        <w:pStyle w:val="a0"/>
        <w:rPr>
          <w:rFonts w:hint="cs"/>
          <w:rtl/>
        </w:rPr>
      </w:pPr>
      <w:r w:rsidRPr="003F3B94">
        <w:rPr>
          <w:rFonts w:ascii="Abo-thar" w:hAnsi="Abo-thar" w:hint="cs"/>
          <w:sz w:val="28"/>
          <w:rtl/>
        </w:rPr>
        <w:t>10</w:t>
      </w:r>
      <w:r w:rsidR="00217AB4" w:rsidRPr="003F3B94">
        <w:rPr>
          <w:rFonts w:ascii="Abo-thar" w:hAnsi="Abo-thar" w:hint="cs"/>
          <w:sz w:val="28"/>
          <w:rtl/>
        </w:rPr>
        <w:t>-</w:t>
      </w:r>
      <w:r w:rsidR="005C664D" w:rsidRPr="003F3B94">
        <w:rPr>
          <w:rFonts w:ascii="Abo-thar" w:hAnsi="Abo-thar" w:hint="cs"/>
          <w:sz w:val="28"/>
          <w:rtl/>
        </w:rPr>
        <w:t xml:space="preserve"> وقال [الفقيه السيد محمد العاملي] صاحب </w:t>
      </w:r>
      <w:r w:rsidR="005C664D" w:rsidRPr="003F3B94">
        <w:rPr>
          <w:rFonts w:ascii="Abo-thar" w:hAnsi="Abo-thar"/>
          <w:sz w:val="28"/>
          <w:rtl/>
        </w:rPr>
        <w:t>«</w:t>
      </w:r>
      <w:r w:rsidR="005C664D" w:rsidRPr="003F3B94">
        <w:rPr>
          <w:rFonts w:ascii="Abo-thar" w:hAnsi="Abo-thar" w:hint="cs"/>
          <w:sz w:val="28"/>
          <w:rtl/>
        </w:rPr>
        <w:t>المدارك</w:t>
      </w:r>
      <w:r w:rsidR="005C664D" w:rsidRPr="003F3B94">
        <w:rPr>
          <w:rFonts w:ascii="Abo-thar" w:hAnsi="Abo-thar"/>
          <w:sz w:val="28"/>
          <w:rtl/>
        </w:rPr>
        <w:t>»</w:t>
      </w:r>
      <w:r w:rsidR="00217AB4" w:rsidRPr="003F3B94">
        <w:rPr>
          <w:rFonts w:ascii="Abo-thar" w:hAnsi="Abo-thar" w:hint="cs"/>
          <w:sz w:val="28"/>
          <w:rtl/>
        </w:rPr>
        <w:t>:</w:t>
      </w:r>
      <w:r w:rsidR="005C664D" w:rsidRPr="003F3B94">
        <w:rPr>
          <w:rFonts w:ascii="Abo-thar" w:hAnsi="Abo-thar" w:hint="cs"/>
          <w:sz w:val="28"/>
          <w:rtl/>
        </w:rPr>
        <w:t xml:space="preserve"> </w:t>
      </w:r>
      <w:r w:rsidR="00EF2588" w:rsidRPr="003F3B94">
        <w:rPr>
          <w:rFonts w:ascii="Abo-thar" w:hAnsi="Abo-thar" w:hint="cs"/>
          <w:sz w:val="28"/>
          <w:rtl/>
        </w:rPr>
        <w:t>«</w:t>
      </w:r>
      <w:r w:rsidR="005C664D" w:rsidRPr="003F3B94">
        <w:rPr>
          <w:rFonts w:ascii="Abo-thar" w:hAnsi="Abo-thar"/>
          <w:bCs/>
          <w:sz w:val="28"/>
          <w:rtl/>
        </w:rPr>
        <w:t>مقتض</w:t>
      </w:r>
      <w:r w:rsidR="005C664D" w:rsidRPr="003F3B94">
        <w:rPr>
          <w:rFonts w:ascii="Abo-thar" w:hAnsi="Abo-thar" w:hint="cs"/>
          <w:bCs/>
          <w:sz w:val="28"/>
          <w:rtl/>
        </w:rPr>
        <w:t>ـ</w:t>
      </w:r>
      <w:r w:rsidR="005C664D" w:rsidRPr="003F3B94">
        <w:rPr>
          <w:rFonts w:ascii="Abo-thar" w:hAnsi="Abo-thar"/>
          <w:bCs/>
          <w:sz w:val="28"/>
          <w:rtl/>
        </w:rPr>
        <w:t>ى صحيحة الحارث بن المغيرة النضري</w:t>
      </w:r>
      <w:r w:rsidR="00217AB4" w:rsidRPr="003F3B94">
        <w:rPr>
          <w:rFonts w:ascii="Abo-thar" w:hAnsi="Abo-thar"/>
          <w:bCs/>
          <w:sz w:val="28"/>
          <w:rtl/>
        </w:rPr>
        <w:t>،</w:t>
      </w:r>
      <w:r w:rsidR="005C664D" w:rsidRPr="003F3B94">
        <w:rPr>
          <w:rFonts w:ascii="Abo-thar" w:hAnsi="Abo-thar"/>
          <w:bCs/>
          <w:sz w:val="28"/>
          <w:rtl/>
        </w:rPr>
        <w:t xml:space="preserve"> وصحيحة الفضلاء وما في معناهما</w:t>
      </w:r>
      <w:r w:rsidR="00217AB4" w:rsidRPr="003F3B94">
        <w:rPr>
          <w:rFonts w:ascii="Abo-thar" w:hAnsi="Abo-thar" w:hint="cs"/>
          <w:bCs/>
          <w:sz w:val="28"/>
          <w:rtl/>
        </w:rPr>
        <w:t>،</w:t>
      </w:r>
      <w:r w:rsidR="00147857" w:rsidRPr="003F3B94">
        <w:rPr>
          <w:rFonts w:ascii="Abo-thar" w:hAnsi="Abo-thar" w:hint="cs"/>
          <w:bCs/>
          <w:sz w:val="28"/>
          <w:rtl/>
        </w:rPr>
        <w:t xml:space="preserve"> </w:t>
      </w:r>
      <w:r w:rsidR="005C664D" w:rsidRPr="003F3B94">
        <w:rPr>
          <w:rFonts w:ascii="Abo-thar" w:hAnsi="Abo-thar"/>
          <w:bCs/>
          <w:sz w:val="28"/>
          <w:rtl/>
        </w:rPr>
        <w:t>العفو عن هذا النوع كما اختاره ابن الجنيد</w:t>
      </w:r>
      <w:r w:rsidR="00217AB4" w:rsidRPr="003F3B94">
        <w:rPr>
          <w:rFonts w:ascii="Abo-thar" w:hAnsi="Abo-thar"/>
          <w:bCs/>
          <w:sz w:val="28"/>
          <w:rtl/>
        </w:rPr>
        <w:t>.</w:t>
      </w:r>
      <w:r w:rsidR="00217AB4" w:rsidRPr="003F3B94">
        <w:rPr>
          <w:rFonts w:ascii="Abo-thar" w:hAnsi="Abo-thar" w:hint="cs"/>
          <w:bCs/>
          <w:sz w:val="28"/>
          <w:rtl/>
        </w:rPr>
        <w:t>...</w:t>
      </w:r>
      <w:r w:rsidR="00147857" w:rsidRPr="003F3B94">
        <w:rPr>
          <w:rFonts w:ascii="Abo-thar" w:hAnsi="Abo-thar" w:hint="cs"/>
          <w:bCs/>
          <w:sz w:val="28"/>
          <w:rtl/>
        </w:rPr>
        <w:t xml:space="preserve"> </w:t>
      </w:r>
      <w:r w:rsidR="005C664D" w:rsidRPr="003F3B94">
        <w:rPr>
          <w:rFonts w:ascii="Abo-thar" w:hAnsi="Abo-thar"/>
          <w:bCs/>
          <w:sz w:val="28"/>
          <w:rtl/>
        </w:rPr>
        <w:t xml:space="preserve">إباحتهم </w:t>
      </w:r>
      <w:r w:rsidR="00963EFD" w:rsidRPr="00963EFD">
        <w:rPr>
          <w:rFonts w:ascii="Abo-thar" w:hAnsi="Abo-thar" w:cs="CTraditional Arabic"/>
          <w:sz w:val="28"/>
          <w:rtl/>
        </w:rPr>
        <w:t>‡</w:t>
      </w:r>
      <w:r w:rsidR="005C664D" w:rsidRPr="003F3B94">
        <w:rPr>
          <w:rFonts w:ascii="Abo-thar" w:hAnsi="Abo-thar"/>
          <w:bCs/>
          <w:sz w:val="28"/>
          <w:rtl/>
        </w:rPr>
        <w:t xml:space="preserve"> لشيعتهم حقوقهم من هذا النوع</w:t>
      </w:r>
      <w:r w:rsidR="00217AB4" w:rsidRPr="003F3B94">
        <w:rPr>
          <w:rFonts w:ascii="Abo-thar" w:hAnsi="Abo-thar"/>
          <w:bCs/>
          <w:sz w:val="28"/>
          <w:rtl/>
        </w:rPr>
        <w:t>،</w:t>
      </w:r>
      <w:r w:rsidR="005C664D" w:rsidRPr="003F3B94">
        <w:rPr>
          <w:rFonts w:ascii="Abo-thar" w:hAnsi="Abo-thar"/>
          <w:bCs/>
          <w:sz w:val="28"/>
          <w:rtl/>
        </w:rPr>
        <w:t xml:space="preserve"> فإن ثبت اختصاصهم بخمس</w:t>
      </w:r>
      <w:r w:rsidR="005C664D" w:rsidRPr="003F3B94">
        <w:rPr>
          <w:rFonts w:ascii="Abo-thar" w:hAnsi="Abo-thar" w:hint="cs"/>
          <w:bCs/>
          <w:sz w:val="28"/>
          <w:rtl/>
        </w:rPr>
        <w:t xml:space="preserve"> </w:t>
      </w:r>
      <w:r w:rsidR="005C664D" w:rsidRPr="003F3B94">
        <w:rPr>
          <w:rFonts w:ascii="Abo-thar" w:hAnsi="Abo-thar"/>
          <w:bCs/>
          <w:sz w:val="28"/>
          <w:rtl/>
        </w:rPr>
        <w:t>ذلك وجب القول بالعفو عنه مطلقا</w:t>
      </w:r>
      <w:r w:rsidR="005C664D" w:rsidRPr="003F3B94">
        <w:rPr>
          <w:rFonts w:ascii="Abo-thar" w:hAnsi="Abo-thar" w:hint="cs"/>
          <w:bCs/>
          <w:sz w:val="28"/>
          <w:rtl/>
        </w:rPr>
        <w:t>ً</w:t>
      </w:r>
      <w:r w:rsidR="005C664D" w:rsidRPr="003F3B94">
        <w:rPr>
          <w:rFonts w:ascii="Abo-thar" w:hAnsi="Abo-thar"/>
          <w:bCs/>
          <w:sz w:val="28"/>
          <w:rtl/>
        </w:rPr>
        <w:t xml:space="preserve"> كما أطلقه ابن الجنيد</w:t>
      </w:r>
      <w:r w:rsidR="00217AB4" w:rsidRPr="003F3B94">
        <w:rPr>
          <w:rFonts w:ascii="Abo-thar" w:hAnsi="Abo-thar" w:hint="cs"/>
          <w:sz w:val="28"/>
          <w:rtl/>
        </w:rPr>
        <w:t>..</w:t>
      </w:r>
      <w:r w:rsidR="00EF2588" w:rsidRPr="003F3B94">
        <w:rPr>
          <w:rFonts w:ascii="Abo-thar" w:hAnsi="Abo-thar" w:hint="cs"/>
          <w:sz w:val="28"/>
          <w:rtl/>
        </w:rPr>
        <w:t>»</w:t>
      </w:r>
      <w:r w:rsidR="00217AB4" w:rsidRPr="0021507A">
        <w:rPr>
          <w:rFonts w:cs="Arabic11 BT"/>
          <w:b/>
          <w:sz w:val="28"/>
          <w:vertAlign w:val="superscript"/>
          <w:rtl/>
        </w:rPr>
        <w:t>(</w:t>
      </w:r>
      <w:r w:rsidR="005C664D" w:rsidRPr="0021507A">
        <w:rPr>
          <w:rStyle w:val="FootnoteReference"/>
          <w:rFonts w:cs="Arabic11 BT"/>
          <w:b/>
          <w:sz w:val="28"/>
          <w:rtl/>
        </w:rPr>
        <w:footnoteReference w:id="319"/>
      </w:r>
      <w:r w:rsidR="00217AB4" w:rsidRPr="0021507A">
        <w:rPr>
          <w:rFonts w:cs="Arabic11 BT"/>
          <w:b/>
          <w:sz w:val="28"/>
          <w:vertAlign w:val="superscript"/>
          <w:rtl/>
        </w:rPr>
        <w:t>)</w:t>
      </w:r>
      <w:r w:rsidR="00217AB4" w:rsidRPr="003F3B94">
        <w:rPr>
          <w:rFonts w:ascii="Abo-thar" w:hAnsi="Abo-thar" w:hint="cs"/>
          <w:sz w:val="28"/>
          <w:rtl/>
        </w:rPr>
        <w:t>.</w:t>
      </w:r>
    </w:p>
    <w:p w:rsidR="005C664D" w:rsidRPr="003F3B94" w:rsidRDefault="005C664D" w:rsidP="003F3B94">
      <w:pPr>
        <w:pStyle w:val="a0"/>
        <w:rPr>
          <w:rFonts w:hint="cs"/>
          <w:rtl/>
        </w:rPr>
      </w:pPr>
      <w:r w:rsidRPr="003F3B94">
        <w:rPr>
          <w:rFonts w:ascii="Abo-thar" w:hAnsi="Abo-thar" w:hint="cs"/>
          <w:sz w:val="28"/>
          <w:rtl/>
        </w:rPr>
        <w:t>فصاحب المدارك هنا متفق في هذه العقيدة والفتوى مع سائر فقهاء الشيعة الذين اعتبروا أن خمس الأرباح مباح للشيعة</w:t>
      </w:r>
      <w:r w:rsidR="00217AB4" w:rsidRPr="003F3B94">
        <w:rPr>
          <w:rFonts w:ascii="Abo-thar" w:hAnsi="Abo-thar" w:hint="cs"/>
          <w:sz w:val="28"/>
          <w:rtl/>
        </w:rPr>
        <w:t>.</w:t>
      </w:r>
      <w:r w:rsidRPr="003F3B94">
        <w:rPr>
          <w:rFonts w:ascii="Abo-thar" w:hAnsi="Abo-thar" w:hint="cs"/>
          <w:sz w:val="28"/>
          <w:rtl/>
        </w:rPr>
        <w:t xml:space="preserve"> أما بالنسبة إلى سهم الإمام من الغنائم والأنفال والآجام ورؤوس الجبال وأمثالها فقد قال في آخر كتاب الخمس</w:t>
      </w:r>
      <w:r w:rsidR="00217AB4" w:rsidRPr="003F3B94">
        <w:rPr>
          <w:rFonts w:ascii="Abo-thar" w:hAnsi="Abo-thar" w:hint="cs"/>
          <w:sz w:val="28"/>
          <w:rtl/>
        </w:rPr>
        <w:t>:</w:t>
      </w:r>
      <w:r w:rsidRPr="003F3B94">
        <w:rPr>
          <w:rFonts w:ascii="Abo-thar" w:hAnsi="Abo-thar" w:hint="cs"/>
          <w:sz w:val="28"/>
          <w:rtl/>
        </w:rPr>
        <w:t xml:space="preserve"> </w:t>
      </w:r>
      <w:r w:rsidR="00EF2588" w:rsidRPr="003F3B94">
        <w:rPr>
          <w:rFonts w:ascii="Abo-thar" w:hAnsi="Abo-thar" w:hint="cs"/>
          <w:sz w:val="28"/>
          <w:rtl/>
        </w:rPr>
        <w:t>«</w:t>
      </w:r>
      <w:r w:rsidRPr="003F3B94">
        <w:rPr>
          <w:rFonts w:ascii="Abo-thar" w:hAnsi="Abo-thar" w:hint="cs"/>
          <w:b/>
          <w:bCs/>
          <w:sz w:val="28"/>
          <w:rtl/>
        </w:rPr>
        <w:t>وكيف كان فالمستفاد من الأخبار المتقدمة إباحة حقوقهم من جميع ذلك</w:t>
      </w:r>
      <w:r w:rsidR="00EF2588" w:rsidRPr="003F3B94">
        <w:rPr>
          <w:rFonts w:ascii="Abo-thar" w:hAnsi="Abo-thar" w:hint="cs"/>
          <w:b/>
          <w:bCs/>
          <w:sz w:val="28"/>
          <w:rtl/>
        </w:rPr>
        <w:t>»</w:t>
      </w:r>
      <w:r w:rsidR="00217AB4" w:rsidRPr="003F3B94">
        <w:rPr>
          <w:rFonts w:ascii="Abo-thar" w:hAnsi="Abo-thar" w:hint="cs"/>
          <w:b/>
          <w:bCs/>
          <w:sz w:val="28"/>
          <w:rtl/>
        </w:rPr>
        <w:t>.</w:t>
      </w:r>
      <w:r w:rsidRPr="003F3B94">
        <w:rPr>
          <w:rFonts w:ascii="Abo-thar" w:hAnsi="Abo-thar" w:hint="cs"/>
          <w:b/>
          <w:bCs/>
          <w:sz w:val="28"/>
          <w:rtl/>
        </w:rPr>
        <w:t xml:space="preserve"> </w:t>
      </w:r>
    </w:p>
    <w:p w:rsidR="00805824" w:rsidRPr="003F3B94" w:rsidRDefault="006979A7" w:rsidP="003F3B94">
      <w:pPr>
        <w:pStyle w:val="a0"/>
        <w:rPr>
          <w:rFonts w:hint="cs"/>
          <w:rtl/>
        </w:rPr>
      </w:pPr>
      <w:r w:rsidRPr="003F3B94">
        <w:rPr>
          <w:rFonts w:ascii="Abo-thar" w:hAnsi="Abo-thar" w:hint="cs"/>
          <w:sz w:val="28"/>
          <w:rtl/>
        </w:rPr>
        <w:t>11</w:t>
      </w:r>
      <w:r w:rsidR="00217AB4" w:rsidRPr="003F3B94">
        <w:rPr>
          <w:rFonts w:ascii="Abo-thar" w:hAnsi="Abo-thar" w:hint="cs"/>
          <w:sz w:val="28"/>
          <w:rtl/>
        </w:rPr>
        <w:t>-</w:t>
      </w:r>
      <w:r w:rsidR="005C664D" w:rsidRPr="003F3B94">
        <w:rPr>
          <w:rFonts w:ascii="Abo-thar" w:hAnsi="Abo-thar" w:hint="cs"/>
          <w:sz w:val="28"/>
          <w:rtl/>
        </w:rPr>
        <w:t xml:space="preserve"> وقال المرحوم الميرزا محمد باقر الخياباني المعروف بـ المحقق السبزواري صاحب كتاب </w:t>
      </w:r>
      <w:r w:rsidR="005C664D" w:rsidRPr="003F3B94">
        <w:rPr>
          <w:rFonts w:ascii="Abo-thar" w:hAnsi="Abo-thar"/>
          <w:sz w:val="28"/>
          <w:rtl/>
        </w:rPr>
        <w:t>«</w:t>
      </w:r>
      <w:r w:rsidR="005C664D" w:rsidRPr="003F3B94">
        <w:rPr>
          <w:rFonts w:ascii="Abo-thar" w:hAnsi="Abo-thar" w:hint="cs"/>
          <w:sz w:val="28"/>
          <w:rtl/>
        </w:rPr>
        <w:t>ذخيرة المعاد</w:t>
      </w:r>
      <w:r w:rsidR="005C664D" w:rsidRPr="003F3B94">
        <w:rPr>
          <w:rFonts w:ascii="Abo-thar" w:hAnsi="Abo-thar"/>
          <w:sz w:val="28"/>
          <w:rtl/>
        </w:rPr>
        <w:t>»</w:t>
      </w:r>
      <w:r w:rsidR="005C664D" w:rsidRPr="003F3B94">
        <w:rPr>
          <w:rFonts w:ascii="Abo-thar" w:hAnsi="Abo-thar" w:hint="cs"/>
          <w:sz w:val="28"/>
          <w:rtl/>
        </w:rPr>
        <w:t xml:space="preserve"> القيِّم في هذا الصدد</w:t>
      </w:r>
      <w:r w:rsidR="00217AB4" w:rsidRPr="003F3B94">
        <w:rPr>
          <w:rFonts w:ascii="Abo-thar" w:hAnsi="Abo-thar" w:hint="cs"/>
          <w:sz w:val="28"/>
          <w:rtl/>
        </w:rPr>
        <w:t>:</w:t>
      </w:r>
    </w:p>
    <w:p w:rsidR="005C664D" w:rsidRPr="003F3B94" w:rsidRDefault="00EF2588" w:rsidP="003F3B94">
      <w:pPr>
        <w:pStyle w:val="a0"/>
        <w:rPr>
          <w:rFonts w:hint="cs"/>
          <w:rtl/>
        </w:rPr>
      </w:pPr>
      <w:r w:rsidRPr="003F3B94">
        <w:rPr>
          <w:rFonts w:ascii="Abo-thar" w:hAnsi="Abo-thar" w:hint="cs"/>
          <w:sz w:val="28"/>
          <w:rtl/>
        </w:rPr>
        <w:t>«</w:t>
      </w:r>
      <w:r w:rsidR="005C664D" w:rsidRPr="003F3B94">
        <w:rPr>
          <w:rFonts w:ascii="Abo-thar" w:hAnsi="Abo-thar"/>
          <w:bCs/>
          <w:sz w:val="28"/>
          <w:rtl/>
        </w:rPr>
        <w:t>والذ</w:t>
      </w:r>
      <w:r w:rsidR="005C664D" w:rsidRPr="003F3B94">
        <w:rPr>
          <w:rFonts w:ascii="Abo-thar" w:hAnsi="Abo-thar" w:hint="cs"/>
          <w:bCs/>
          <w:sz w:val="28"/>
          <w:rtl/>
        </w:rPr>
        <w:t>ي</w:t>
      </w:r>
      <w:r w:rsidR="005C664D" w:rsidRPr="003F3B94">
        <w:rPr>
          <w:rFonts w:ascii="Abo-thar" w:hAnsi="Abo-thar"/>
          <w:bCs/>
          <w:sz w:val="28"/>
          <w:rtl/>
        </w:rPr>
        <w:t xml:space="preserve"> يقتضيه الدليل</w:t>
      </w:r>
      <w:r w:rsidR="005C664D" w:rsidRPr="003F3B94">
        <w:rPr>
          <w:rFonts w:ascii="Abo-thar" w:hAnsi="Abo-thar" w:hint="cs"/>
          <w:bCs/>
          <w:sz w:val="28"/>
          <w:rtl/>
        </w:rPr>
        <w:t xml:space="preserve"> </w:t>
      </w:r>
      <w:r w:rsidR="005C664D" w:rsidRPr="003F3B94">
        <w:rPr>
          <w:rFonts w:ascii="Abo-thar" w:hAnsi="Abo-thar"/>
          <w:bCs/>
          <w:sz w:val="28"/>
          <w:rtl/>
        </w:rPr>
        <w:t xml:space="preserve">خروج خمس </w:t>
      </w:r>
      <w:r w:rsidR="005C664D" w:rsidRPr="003F3B94">
        <w:rPr>
          <w:rFonts w:ascii="Abo-thar" w:hAnsi="Abo-thar" w:hint="cs"/>
          <w:bCs/>
          <w:sz w:val="28"/>
          <w:rtl/>
        </w:rPr>
        <w:t>الأرباح</w:t>
      </w:r>
      <w:r w:rsidR="005C664D" w:rsidRPr="003F3B94">
        <w:rPr>
          <w:rFonts w:ascii="Abo-thar" w:hAnsi="Abo-thar"/>
          <w:bCs/>
          <w:sz w:val="28"/>
          <w:rtl/>
        </w:rPr>
        <w:t xml:space="preserve"> عن هذا الحكم واختصاص</w:t>
      </w:r>
      <w:r w:rsidR="005C664D" w:rsidRPr="003F3B94">
        <w:rPr>
          <w:rFonts w:ascii="Abo-thar" w:hAnsi="Abo-thar" w:hint="cs"/>
          <w:bCs/>
          <w:sz w:val="28"/>
          <w:rtl/>
        </w:rPr>
        <w:t>ه</w:t>
      </w:r>
      <w:r w:rsidR="005C664D" w:rsidRPr="003F3B94">
        <w:rPr>
          <w:rFonts w:ascii="Abo-thar" w:hAnsi="Abo-thar"/>
          <w:bCs/>
          <w:sz w:val="28"/>
          <w:rtl/>
        </w:rPr>
        <w:t xml:space="preserve"> </w:t>
      </w:r>
      <w:r w:rsidR="005C664D" w:rsidRPr="003F3B94">
        <w:rPr>
          <w:rFonts w:ascii="Abo-thar" w:hAnsi="Abo-thar" w:hint="cs"/>
          <w:bCs/>
          <w:sz w:val="28"/>
          <w:rtl/>
        </w:rPr>
        <w:t>بالإمام</w:t>
      </w:r>
      <w:r w:rsidR="005C664D" w:rsidRPr="003F3B94">
        <w:rPr>
          <w:rFonts w:ascii="Abo-thar" w:hAnsi="Abo-thar"/>
          <w:bCs/>
          <w:sz w:val="28"/>
          <w:rtl/>
        </w:rPr>
        <w:t xml:space="preserve"> </w:t>
      </w:r>
      <w:r w:rsidR="00BC4BA9" w:rsidRPr="00BC4BA9">
        <w:rPr>
          <w:rFonts w:ascii="Abo-thar" w:hAnsi="Abo-thar" w:cs="CTraditional Arabic"/>
          <w:sz w:val="28"/>
          <w:rtl/>
        </w:rPr>
        <w:t>÷</w:t>
      </w:r>
      <w:r w:rsidR="005C664D" w:rsidRPr="003F3B94">
        <w:rPr>
          <w:rFonts w:ascii="Abo-thar" w:hAnsi="Abo-thar"/>
          <w:bCs/>
          <w:sz w:val="28"/>
          <w:rtl/>
        </w:rPr>
        <w:t xml:space="preserve"> لما مر من </w:t>
      </w:r>
      <w:r w:rsidR="005C664D" w:rsidRPr="003F3B94">
        <w:rPr>
          <w:rFonts w:ascii="Abo-thar" w:hAnsi="Abo-thar" w:hint="cs"/>
          <w:bCs/>
          <w:sz w:val="28"/>
          <w:rtl/>
        </w:rPr>
        <w:t>الأخبار</w:t>
      </w:r>
      <w:r w:rsidR="005C664D" w:rsidRPr="003F3B94">
        <w:rPr>
          <w:rFonts w:ascii="Abo-thar" w:hAnsi="Abo-thar"/>
          <w:bCs/>
          <w:sz w:val="28"/>
          <w:rtl/>
        </w:rPr>
        <w:t xml:space="preserve"> الدالة</w:t>
      </w:r>
      <w:r w:rsidR="005C664D" w:rsidRPr="003F3B94">
        <w:rPr>
          <w:rFonts w:ascii="Abo-thar" w:hAnsi="Abo-thar" w:hint="cs"/>
          <w:bCs/>
          <w:sz w:val="28"/>
          <w:rtl/>
        </w:rPr>
        <w:t xml:space="preserve"> </w:t>
      </w:r>
      <w:r w:rsidR="005C664D" w:rsidRPr="003F3B94">
        <w:rPr>
          <w:rFonts w:ascii="Abo-thar" w:hAnsi="Abo-thar"/>
          <w:bCs/>
          <w:sz w:val="28"/>
          <w:rtl/>
        </w:rPr>
        <w:t>عليه مع سلامتها عن المعارض</w:t>
      </w:r>
      <w:r w:rsidRPr="003F3B94">
        <w:rPr>
          <w:rFonts w:ascii="Abo-thar" w:hAnsi="Abo-thar" w:hint="cs"/>
          <w:sz w:val="28"/>
          <w:rtl/>
        </w:rPr>
        <w:t>»</w:t>
      </w:r>
      <w:r w:rsidR="00217AB4" w:rsidRPr="003F3B94">
        <w:rPr>
          <w:rFonts w:ascii="Abo-thar" w:hAnsi="Abo-thar" w:hint="cs"/>
          <w:sz w:val="28"/>
          <w:rtl/>
        </w:rPr>
        <w:t>.</w:t>
      </w:r>
    </w:p>
    <w:p w:rsidR="005C664D" w:rsidRPr="003F3B94" w:rsidRDefault="005C664D" w:rsidP="00254729">
      <w:pPr>
        <w:pStyle w:val="a0"/>
        <w:rPr>
          <w:rFonts w:hint="cs"/>
          <w:rtl/>
        </w:rPr>
      </w:pPr>
      <w:r w:rsidRPr="003F3B94">
        <w:rPr>
          <w:rFonts w:ascii="Abo-thar" w:hAnsi="Abo-thar" w:hint="cs"/>
          <w:sz w:val="28"/>
          <w:rtl/>
        </w:rPr>
        <w:t xml:space="preserve">ثم قال المرحوم </w:t>
      </w:r>
      <w:r w:rsidRPr="003F3B94">
        <w:rPr>
          <w:rFonts w:ascii="Abo-thar" w:hAnsi="Abo-thar"/>
          <w:sz w:val="28"/>
          <w:rtl/>
        </w:rPr>
        <w:t xml:space="preserve">السبزواري </w:t>
      </w:r>
      <w:r w:rsidRPr="003F3B94">
        <w:rPr>
          <w:rFonts w:ascii="Abo-thar" w:hAnsi="Abo-thar" w:hint="cs"/>
          <w:sz w:val="28"/>
          <w:rtl/>
        </w:rPr>
        <w:t>في موضع آخر من</w:t>
      </w:r>
      <w:r w:rsidRPr="003F3B94">
        <w:rPr>
          <w:rFonts w:ascii="Abo-thar" w:hAnsi="Abo-thar"/>
          <w:sz w:val="28"/>
          <w:rtl/>
        </w:rPr>
        <w:t xml:space="preserve"> كتابه </w:t>
      </w:r>
      <w:r w:rsidRPr="003F3B94">
        <w:rPr>
          <w:rFonts w:ascii="Abo-thar" w:hAnsi="Abo-thar" w:hint="cs"/>
          <w:sz w:val="28"/>
          <w:rtl/>
        </w:rPr>
        <w:t>هذا</w:t>
      </w:r>
      <w:r w:rsidR="00217AB4" w:rsidRPr="003F3B94">
        <w:rPr>
          <w:rFonts w:ascii="Abo-thar" w:hAnsi="Abo-thar" w:hint="cs"/>
          <w:sz w:val="28"/>
          <w:rtl/>
        </w:rPr>
        <w:t>:</w:t>
      </w:r>
      <w:r w:rsidRPr="003F3B94">
        <w:rPr>
          <w:rFonts w:ascii="Abo-thar" w:hAnsi="Abo-thar" w:hint="cs"/>
          <w:sz w:val="28"/>
          <w:rtl/>
        </w:rPr>
        <w:t xml:space="preserve"> </w:t>
      </w:r>
      <w:r w:rsidR="00EF2588" w:rsidRPr="003F3B94">
        <w:rPr>
          <w:rFonts w:ascii="Abo-thar" w:hAnsi="Abo-thar" w:hint="cs"/>
          <w:sz w:val="28"/>
          <w:rtl/>
        </w:rPr>
        <w:t>«</w:t>
      </w:r>
      <w:r w:rsidRPr="003F3B94">
        <w:rPr>
          <w:rFonts w:ascii="Abo-thar" w:hAnsi="Abo-thar" w:hint="cs"/>
          <w:bCs/>
          <w:sz w:val="28"/>
          <w:rtl/>
        </w:rPr>
        <w:t>ول</w:t>
      </w:r>
      <w:r w:rsidRPr="003F3B94">
        <w:rPr>
          <w:rFonts w:ascii="Abo-thar" w:hAnsi="Abo-thar"/>
          <w:bCs/>
          <w:sz w:val="28"/>
          <w:rtl/>
        </w:rPr>
        <w:t>كن المستفاد من عد</w:t>
      </w:r>
      <w:r w:rsidRPr="003F3B94">
        <w:rPr>
          <w:rFonts w:ascii="Abo-thar" w:hAnsi="Abo-thar" w:hint="cs"/>
          <w:bCs/>
          <w:sz w:val="28"/>
          <w:rtl/>
        </w:rPr>
        <w:t>َّ</w:t>
      </w:r>
      <w:r w:rsidRPr="003F3B94">
        <w:rPr>
          <w:rFonts w:ascii="Abo-thar" w:hAnsi="Abo-thar"/>
          <w:bCs/>
          <w:sz w:val="28"/>
          <w:rtl/>
        </w:rPr>
        <w:t xml:space="preserve">ة من </w:t>
      </w:r>
      <w:r w:rsidRPr="003F3B94">
        <w:rPr>
          <w:rFonts w:ascii="Abo-thar" w:hAnsi="Abo-thar" w:hint="cs"/>
          <w:bCs/>
          <w:sz w:val="28"/>
          <w:rtl/>
        </w:rPr>
        <w:t>الأخبار</w:t>
      </w:r>
      <w:r w:rsidRPr="003F3B94">
        <w:rPr>
          <w:rFonts w:ascii="Abo-thar" w:hAnsi="Abo-thar"/>
          <w:bCs/>
          <w:sz w:val="28"/>
          <w:rtl/>
        </w:rPr>
        <w:t xml:space="preserve"> </w:t>
      </w:r>
      <w:r w:rsidRPr="003F3B94">
        <w:rPr>
          <w:rFonts w:ascii="Abo-thar" w:hAnsi="Abo-thar" w:hint="cs"/>
          <w:bCs/>
          <w:sz w:val="28"/>
          <w:rtl/>
        </w:rPr>
        <w:t>أ</w:t>
      </w:r>
      <w:r w:rsidRPr="003F3B94">
        <w:rPr>
          <w:rFonts w:ascii="Abo-thar" w:hAnsi="Abo-thar"/>
          <w:bCs/>
          <w:sz w:val="28"/>
          <w:rtl/>
        </w:rPr>
        <w:t>ن</w:t>
      </w:r>
      <w:r w:rsidRPr="003F3B94">
        <w:rPr>
          <w:rFonts w:ascii="Abo-thar" w:hAnsi="Abo-thar" w:hint="cs"/>
          <w:bCs/>
          <w:sz w:val="28"/>
          <w:rtl/>
        </w:rPr>
        <w:t>َّ</w:t>
      </w:r>
      <w:r w:rsidRPr="003F3B94">
        <w:rPr>
          <w:rFonts w:ascii="Abo-thar" w:hAnsi="Abo-thar"/>
          <w:bCs/>
          <w:sz w:val="28"/>
          <w:rtl/>
        </w:rPr>
        <w:t xml:space="preserve">ه مخصوص </w:t>
      </w:r>
      <w:r w:rsidRPr="003F3B94">
        <w:rPr>
          <w:rFonts w:ascii="Abo-thar" w:hAnsi="Abo-thar" w:hint="cs"/>
          <w:bCs/>
          <w:sz w:val="28"/>
          <w:rtl/>
        </w:rPr>
        <w:t>بالإمام</w:t>
      </w:r>
      <w:r w:rsidRPr="003F3B94">
        <w:rPr>
          <w:rFonts w:ascii="Abo-thar" w:hAnsi="Abo-thar"/>
          <w:bCs/>
          <w:sz w:val="28"/>
          <w:rtl/>
        </w:rPr>
        <w:t xml:space="preserve"> </w:t>
      </w:r>
      <w:r w:rsidR="00BC4BA9" w:rsidRPr="00BC4BA9">
        <w:rPr>
          <w:rFonts w:ascii="Abo-thar" w:hAnsi="Abo-thar" w:cs="CTraditional Arabic"/>
          <w:sz w:val="28"/>
          <w:rtl/>
        </w:rPr>
        <w:t>÷</w:t>
      </w:r>
      <w:r w:rsidR="00217AB4" w:rsidRPr="003F3B94">
        <w:rPr>
          <w:rFonts w:ascii="Abo-thar" w:hAnsi="Abo-thar" w:hint="cs"/>
          <w:bCs/>
          <w:sz w:val="28"/>
          <w:rtl/>
        </w:rPr>
        <w:t>،</w:t>
      </w:r>
      <w:r w:rsidRPr="003F3B94">
        <w:rPr>
          <w:rFonts w:ascii="Abo-thar" w:hAnsi="Abo-thar" w:hint="cs"/>
          <w:bCs/>
          <w:sz w:val="28"/>
          <w:rtl/>
        </w:rPr>
        <w:t xml:space="preserve"> </w:t>
      </w:r>
      <w:r w:rsidRPr="003F3B94">
        <w:rPr>
          <w:rFonts w:ascii="Abo-thar" w:hAnsi="Abo-thar"/>
          <w:bCs/>
          <w:sz w:val="28"/>
          <w:rtl/>
        </w:rPr>
        <w:t xml:space="preserve">أو المستفاد من كثير منها </w:t>
      </w:r>
      <w:r w:rsidRPr="003F3B94">
        <w:rPr>
          <w:rFonts w:ascii="Abo-thar" w:hAnsi="Abo-thar" w:hint="cs"/>
          <w:bCs/>
          <w:sz w:val="28"/>
          <w:rtl/>
        </w:rPr>
        <w:t>أنهم</w:t>
      </w:r>
      <w:r w:rsidRPr="003F3B94">
        <w:rPr>
          <w:rFonts w:ascii="Abo-thar" w:hAnsi="Abo-thar"/>
          <w:bCs/>
          <w:sz w:val="28"/>
          <w:rtl/>
        </w:rPr>
        <w:t xml:space="preserve"> </w:t>
      </w:r>
      <w:r w:rsidR="00BC4BA9" w:rsidRPr="00BC4BA9">
        <w:rPr>
          <w:rFonts w:ascii="Abo-thar" w:hAnsi="Abo-thar" w:cs="CTraditional Arabic"/>
          <w:sz w:val="28"/>
          <w:rtl/>
        </w:rPr>
        <w:t>÷</w:t>
      </w:r>
      <w:r w:rsidRPr="003F3B94">
        <w:rPr>
          <w:rFonts w:ascii="Abo-thar" w:hAnsi="Abo-thar"/>
          <w:bCs/>
          <w:sz w:val="28"/>
          <w:rtl/>
        </w:rPr>
        <w:t xml:space="preserve"> </w:t>
      </w:r>
      <w:r w:rsidRPr="003F3B94">
        <w:rPr>
          <w:rFonts w:ascii="Abo-thar" w:hAnsi="Abo-thar" w:hint="cs"/>
          <w:bCs/>
          <w:sz w:val="28"/>
          <w:rtl/>
        </w:rPr>
        <w:t>أباحوه</w:t>
      </w:r>
      <w:r w:rsidRPr="003F3B94">
        <w:rPr>
          <w:rFonts w:ascii="Abo-thar" w:hAnsi="Abo-thar"/>
          <w:bCs/>
          <w:sz w:val="28"/>
          <w:rtl/>
        </w:rPr>
        <w:t xml:space="preserve"> لشيعتهم</w:t>
      </w:r>
      <w:r w:rsidR="00EF2588" w:rsidRPr="003F3B94">
        <w:rPr>
          <w:rFonts w:ascii="Abo-thar" w:hAnsi="Abo-thar" w:hint="cs"/>
          <w:sz w:val="28"/>
          <w:rtl/>
        </w:rPr>
        <w:t>»</w:t>
      </w:r>
      <w:r w:rsidR="00217AB4" w:rsidRPr="003F3B94">
        <w:rPr>
          <w:rFonts w:ascii="Abo-thar" w:hAnsi="Abo-thar" w:hint="cs"/>
          <w:sz w:val="28"/>
          <w:rtl/>
        </w:rPr>
        <w:t>.</w:t>
      </w:r>
      <w:r w:rsidR="006979A7" w:rsidRPr="003F3B94">
        <w:rPr>
          <w:rFonts w:ascii="Abo-thar" w:hAnsi="Abo-thar" w:hint="cs"/>
          <w:sz w:val="28"/>
          <w:rtl/>
        </w:rPr>
        <w:t xml:space="preserve"> وهذا يؤيد القول السابق أيضًا ويؤكده.</w:t>
      </w:r>
    </w:p>
    <w:p w:rsidR="005C664D" w:rsidRPr="003F3B94" w:rsidRDefault="006979A7" w:rsidP="003F3B94">
      <w:pPr>
        <w:pStyle w:val="a0"/>
        <w:rPr>
          <w:rFonts w:hint="cs"/>
          <w:rtl/>
        </w:rPr>
      </w:pPr>
      <w:r w:rsidRPr="003F3B94">
        <w:rPr>
          <w:rFonts w:ascii="Abo-thar" w:hAnsi="Abo-thar" w:hint="cs"/>
          <w:sz w:val="28"/>
          <w:rtl/>
        </w:rPr>
        <w:t>12</w:t>
      </w:r>
      <w:r w:rsidR="005C664D" w:rsidRPr="003F3B94">
        <w:rPr>
          <w:rFonts w:ascii="Abo-thar" w:hAnsi="Abo-thar" w:hint="cs"/>
          <w:sz w:val="28"/>
          <w:rtl/>
        </w:rPr>
        <w:t xml:space="preserve"> </w:t>
      </w:r>
      <w:r w:rsidR="005C664D" w:rsidRPr="003F3B94">
        <w:rPr>
          <w:rFonts w:cs="Times New Roman" w:hint="cs"/>
          <w:sz w:val="28"/>
          <w:rtl/>
        </w:rPr>
        <w:t>–</w:t>
      </w:r>
      <w:r w:rsidR="005C664D" w:rsidRPr="003F3B94">
        <w:rPr>
          <w:rFonts w:ascii="Abo-thar" w:hAnsi="Abo-thar" w:hint="cs"/>
          <w:sz w:val="28"/>
          <w:rtl/>
        </w:rPr>
        <w:t xml:space="preserve"> </w:t>
      </w:r>
      <w:r w:rsidR="005C664D" w:rsidRPr="003F3B94">
        <w:rPr>
          <w:rFonts w:ascii="mylotus" w:hAnsi="mylotus" w:hint="cs"/>
          <w:sz w:val="28"/>
          <w:rtl/>
        </w:rPr>
        <w:t>واعتبر</w:t>
      </w:r>
      <w:r w:rsidR="005C664D" w:rsidRPr="003F3B94">
        <w:rPr>
          <w:rFonts w:ascii="Abo-thar" w:hAnsi="Abo-thar" w:hint="cs"/>
          <w:sz w:val="28"/>
          <w:rtl/>
        </w:rPr>
        <w:t xml:space="preserve"> </w:t>
      </w:r>
      <w:r w:rsidR="005C664D" w:rsidRPr="003F3B94">
        <w:rPr>
          <w:rFonts w:ascii="mylotus" w:hAnsi="mylotus" w:hint="cs"/>
          <w:sz w:val="28"/>
          <w:rtl/>
        </w:rPr>
        <w:t>المرحوم</w:t>
      </w:r>
      <w:r w:rsidR="005C664D" w:rsidRPr="003F3B94">
        <w:rPr>
          <w:rFonts w:ascii="Abo-thar" w:hAnsi="Abo-thar" w:hint="cs"/>
          <w:sz w:val="28"/>
          <w:rtl/>
        </w:rPr>
        <w:t xml:space="preserve"> </w:t>
      </w:r>
      <w:r w:rsidR="005C664D" w:rsidRPr="003F3B94">
        <w:rPr>
          <w:rFonts w:ascii="mylotus" w:hAnsi="mylotus" w:hint="cs"/>
          <w:sz w:val="28"/>
          <w:rtl/>
        </w:rPr>
        <w:t>الملا</w:t>
      </w:r>
      <w:r w:rsidR="005C664D" w:rsidRPr="003F3B94">
        <w:rPr>
          <w:rFonts w:ascii="Abo-thar" w:hAnsi="Abo-thar" w:hint="cs"/>
          <w:sz w:val="28"/>
          <w:rtl/>
        </w:rPr>
        <w:t xml:space="preserve"> </w:t>
      </w:r>
      <w:r w:rsidR="005C664D" w:rsidRPr="003F3B94">
        <w:rPr>
          <w:rFonts w:ascii="mylotus" w:hAnsi="mylotus" w:hint="cs"/>
          <w:sz w:val="28"/>
          <w:rtl/>
        </w:rPr>
        <w:t>محسن</w:t>
      </w:r>
      <w:r w:rsidR="005C664D" w:rsidRPr="003F3B94">
        <w:rPr>
          <w:rFonts w:ascii="Abo-thar" w:hAnsi="Abo-thar" w:hint="cs"/>
          <w:sz w:val="28"/>
          <w:rtl/>
        </w:rPr>
        <w:t xml:space="preserve"> </w:t>
      </w:r>
      <w:r w:rsidR="005C664D" w:rsidRPr="003F3B94">
        <w:rPr>
          <w:rFonts w:ascii="mylotus" w:hAnsi="mylotus" w:hint="cs"/>
          <w:sz w:val="28"/>
          <w:rtl/>
        </w:rPr>
        <w:t>الفيض</w:t>
      </w:r>
      <w:r w:rsidR="005C664D" w:rsidRPr="003F3B94">
        <w:rPr>
          <w:rFonts w:ascii="Abo-thar" w:hAnsi="Abo-thar" w:hint="cs"/>
          <w:sz w:val="28"/>
          <w:rtl/>
        </w:rPr>
        <w:t xml:space="preserve"> </w:t>
      </w:r>
      <w:r w:rsidR="005C664D" w:rsidRPr="003F3B94">
        <w:rPr>
          <w:rFonts w:ascii="mylotus" w:hAnsi="mylotus" w:hint="cs"/>
          <w:sz w:val="28"/>
          <w:rtl/>
        </w:rPr>
        <w:t>الكا</w:t>
      </w:r>
      <w:r w:rsidR="005C664D" w:rsidRPr="003F3B94">
        <w:rPr>
          <w:rFonts w:ascii="Abo-thar" w:hAnsi="Abo-thar" w:hint="cs"/>
          <w:sz w:val="28"/>
          <w:rtl/>
        </w:rPr>
        <w:t>شاني أن حق الإمام</w:t>
      </w:r>
      <w:r w:rsidR="00147857" w:rsidRPr="003F3B94">
        <w:rPr>
          <w:rFonts w:ascii="Abo-thar" w:hAnsi="Abo-thar" w:hint="cs"/>
          <w:sz w:val="28"/>
          <w:rtl/>
        </w:rPr>
        <w:t xml:space="preserve"> </w:t>
      </w:r>
      <w:r w:rsidR="005C664D" w:rsidRPr="003F3B94">
        <w:rPr>
          <w:rFonts w:ascii="Abo-thar" w:hAnsi="Abo-thar" w:hint="cs"/>
          <w:sz w:val="28"/>
          <w:rtl/>
        </w:rPr>
        <w:t>في زماننا ساقطٌ</w:t>
      </w:r>
      <w:r w:rsidRPr="0021507A">
        <w:rPr>
          <w:rStyle w:val="FootnoteReference"/>
          <w:rFonts w:cs="Arabic11 BT"/>
          <w:b/>
          <w:sz w:val="28"/>
          <w:rtl/>
        </w:rPr>
        <w:t>(</w:t>
      </w:r>
      <w:r w:rsidRPr="0021507A">
        <w:rPr>
          <w:rStyle w:val="FootnoteReference"/>
          <w:rFonts w:cs="Arabic11 BT"/>
          <w:b/>
          <w:sz w:val="28"/>
          <w:rtl/>
        </w:rPr>
        <w:footnoteReference w:id="320"/>
      </w:r>
      <w:r w:rsidRPr="0021507A">
        <w:rPr>
          <w:rStyle w:val="FootnoteReference"/>
          <w:rFonts w:cs="Arabic11 BT"/>
          <w:b/>
          <w:sz w:val="28"/>
          <w:rtl/>
        </w:rPr>
        <w:t>)</w:t>
      </w:r>
      <w:r w:rsidR="005C664D" w:rsidRPr="003F3B94">
        <w:rPr>
          <w:rFonts w:ascii="Abo-thar" w:hAnsi="Abo-thar" w:hint="cs"/>
          <w:sz w:val="28"/>
          <w:rtl/>
        </w:rPr>
        <w:t xml:space="preserve"> </w:t>
      </w:r>
      <w:r w:rsidR="00217AB4" w:rsidRPr="003F3B94">
        <w:rPr>
          <w:rFonts w:ascii="Abo-thar" w:hAnsi="Abo-thar" w:hint="cs"/>
          <w:sz w:val="28"/>
          <w:rtl/>
        </w:rPr>
        <w:t>(</w:t>
      </w:r>
      <w:r w:rsidR="005C664D" w:rsidRPr="003F3B94">
        <w:rPr>
          <w:rFonts w:ascii="Abo-thar" w:hAnsi="Abo-thar" w:hint="cs"/>
          <w:sz w:val="28"/>
          <w:rtl/>
        </w:rPr>
        <w:t>كما تم تحقيقه من أن خمس المكاسب حقٌّ للإمام فقط ومختصٌّ به</w:t>
      </w:r>
      <w:r w:rsidR="00217AB4" w:rsidRPr="003F3B94">
        <w:rPr>
          <w:rFonts w:ascii="Abo-thar" w:hAnsi="Abo-thar" w:hint="cs"/>
          <w:sz w:val="28"/>
          <w:rtl/>
        </w:rPr>
        <w:t>).</w:t>
      </w:r>
    </w:p>
    <w:p w:rsidR="005C664D" w:rsidRPr="003F3B94" w:rsidRDefault="006979A7" w:rsidP="00254729">
      <w:pPr>
        <w:pStyle w:val="a0"/>
        <w:rPr>
          <w:rFonts w:hint="cs"/>
          <w:rtl/>
        </w:rPr>
      </w:pPr>
      <w:r w:rsidRPr="003F3B94">
        <w:rPr>
          <w:rFonts w:ascii="Abo-thar" w:hAnsi="Abo-thar" w:hint="cs"/>
          <w:sz w:val="28"/>
          <w:rtl/>
        </w:rPr>
        <w:t>13</w:t>
      </w:r>
      <w:r w:rsidR="00217AB4" w:rsidRPr="003F3B94">
        <w:rPr>
          <w:rFonts w:ascii="Abo-thar" w:hAnsi="Abo-thar" w:hint="cs"/>
          <w:sz w:val="28"/>
          <w:rtl/>
        </w:rPr>
        <w:t>-</w:t>
      </w:r>
      <w:r w:rsidR="005C664D" w:rsidRPr="003F3B94">
        <w:rPr>
          <w:rFonts w:ascii="Abo-thar" w:hAnsi="Abo-thar" w:hint="cs"/>
          <w:sz w:val="28"/>
          <w:rtl/>
        </w:rPr>
        <w:t xml:space="preserve"> وأيَّد </w:t>
      </w:r>
      <w:r w:rsidR="00805824" w:rsidRPr="003F3B94">
        <w:rPr>
          <w:rFonts w:ascii="Abo-thar" w:hAnsi="Abo-thar" w:hint="cs"/>
          <w:sz w:val="28"/>
          <w:rtl/>
        </w:rPr>
        <w:t xml:space="preserve">السيد علي الطباطبائي </w:t>
      </w:r>
      <w:r w:rsidR="005C664D" w:rsidRPr="003F3B94">
        <w:rPr>
          <w:rFonts w:ascii="Abo-thar" w:hAnsi="Abo-thar" w:hint="cs"/>
          <w:sz w:val="28"/>
          <w:rtl/>
        </w:rPr>
        <w:t xml:space="preserve">صاحب </w:t>
      </w:r>
      <w:r w:rsidR="005C664D" w:rsidRPr="003F3B94">
        <w:rPr>
          <w:rFonts w:ascii="Abo-thar" w:hAnsi="Abo-thar"/>
          <w:sz w:val="28"/>
          <w:rtl/>
        </w:rPr>
        <w:t>«</w:t>
      </w:r>
      <w:r w:rsidR="005C664D" w:rsidRPr="003F3B94">
        <w:rPr>
          <w:rFonts w:ascii="Abo-thar" w:hAnsi="Abo-thar" w:hint="cs"/>
          <w:sz w:val="28"/>
          <w:rtl/>
        </w:rPr>
        <w:t>الرياض</w:t>
      </w:r>
      <w:r w:rsidR="005C664D" w:rsidRPr="003F3B94">
        <w:rPr>
          <w:rFonts w:ascii="Abo-thar" w:hAnsi="Abo-thar"/>
          <w:sz w:val="28"/>
          <w:rtl/>
        </w:rPr>
        <w:t>»</w:t>
      </w:r>
      <w:r w:rsidR="00217AB4" w:rsidRPr="0021507A">
        <w:rPr>
          <w:rStyle w:val="FootnoteReference"/>
          <w:rFonts w:cs="Arabic11 BT"/>
          <w:b/>
          <w:sz w:val="28"/>
          <w:rtl/>
        </w:rPr>
        <w:t>(</w:t>
      </w:r>
      <w:r w:rsidR="005C664D" w:rsidRPr="0021507A">
        <w:rPr>
          <w:rStyle w:val="FootnoteReference"/>
          <w:rFonts w:cs="Arabic11 BT"/>
          <w:b/>
          <w:sz w:val="28"/>
          <w:rtl/>
        </w:rPr>
        <w:footnoteReference w:id="321"/>
      </w:r>
      <w:r w:rsidR="00217AB4" w:rsidRPr="0021507A">
        <w:rPr>
          <w:rStyle w:val="FootnoteReference"/>
          <w:rFonts w:cs="Arabic11 BT"/>
          <w:b/>
          <w:sz w:val="28"/>
          <w:rtl/>
        </w:rPr>
        <w:t>)</w:t>
      </w:r>
      <w:r w:rsidR="005C664D" w:rsidRPr="003F3B94">
        <w:rPr>
          <w:rFonts w:ascii="Abo-thar" w:hAnsi="Abo-thar"/>
          <w:sz w:val="28"/>
          <w:rtl/>
        </w:rPr>
        <w:t xml:space="preserve"> </w:t>
      </w:r>
      <w:r w:rsidR="005C664D" w:rsidRPr="003F3B94">
        <w:rPr>
          <w:rFonts w:ascii="Abo-thar" w:hAnsi="Abo-thar" w:hint="cs"/>
          <w:sz w:val="28"/>
          <w:rtl/>
        </w:rPr>
        <w:t>قول العلماء الذين حلَّلُوا الخُمس للشيعة في عهد الغيبة وقال</w:t>
      </w:r>
      <w:r w:rsidR="00217AB4" w:rsidRPr="003F3B94">
        <w:rPr>
          <w:rFonts w:ascii="Abo-thar" w:hAnsi="Abo-thar" w:hint="cs"/>
          <w:sz w:val="28"/>
          <w:rtl/>
        </w:rPr>
        <w:t>:</w:t>
      </w:r>
      <w:r w:rsidR="00254729">
        <w:rPr>
          <w:rFonts w:ascii="Abo-thar" w:hAnsi="Abo-thar" w:hint="cs"/>
          <w:sz w:val="28"/>
          <w:rtl/>
        </w:rPr>
        <w:t xml:space="preserve"> </w:t>
      </w:r>
      <w:r w:rsidR="00EF2588" w:rsidRPr="003F3B94">
        <w:rPr>
          <w:rFonts w:ascii="Abo-thar" w:hAnsi="Abo-thar" w:hint="cs"/>
          <w:sz w:val="28"/>
          <w:rtl/>
        </w:rPr>
        <w:t>«</w:t>
      </w:r>
      <w:r w:rsidR="005C664D" w:rsidRPr="003F3B94">
        <w:rPr>
          <w:rFonts w:ascii="Abo-thar" w:hAnsi="Abo-thar"/>
          <w:bCs/>
          <w:sz w:val="28"/>
          <w:rtl/>
        </w:rPr>
        <w:t xml:space="preserve">ولولا اختصاصه بهم لما ساغ لهم </w:t>
      </w:r>
      <w:r w:rsidR="005C664D" w:rsidRPr="003F3B94">
        <w:rPr>
          <w:rFonts w:ascii="Abo-thar" w:hAnsi="Abo-thar" w:hint="cs"/>
          <w:bCs/>
          <w:sz w:val="28"/>
          <w:rtl/>
        </w:rPr>
        <w:t xml:space="preserve">ذلك </w:t>
      </w:r>
      <w:r w:rsidR="00217AB4" w:rsidRPr="003F3B94">
        <w:rPr>
          <w:rFonts w:ascii="Abo-thar" w:hAnsi="Abo-thar" w:hint="cs"/>
          <w:bCs/>
          <w:sz w:val="28"/>
          <w:rtl/>
        </w:rPr>
        <w:t>(</w:t>
      </w:r>
      <w:r w:rsidR="005C664D" w:rsidRPr="003F3B94">
        <w:rPr>
          <w:rFonts w:ascii="Abo-thar" w:hAnsi="Abo-thar" w:hint="cs"/>
          <w:bCs/>
          <w:sz w:val="28"/>
          <w:rtl/>
        </w:rPr>
        <w:t xml:space="preserve">أي </w:t>
      </w:r>
      <w:r w:rsidR="005C664D" w:rsidRPr="003F3B94">
        <w:rPr>
          <w:rFonts w:ascii="Abo-thar" w:hAnsi="Abo-thar"/>
          <w:bCs/>
          <w:sz w:val="28"/>
          <w:rtl/>
        </w:rPr>
        <w:t>تحل</w:t>
      </w:r>
      <w:r w:rsidR="00D326AD" w:rsidRPr="003F3B94">
        <w:rPr>
          <w:rFonts w:ascii="Abo-thar" w:hAnsi="Abo-thar"/>
          <w:bCs/>
          <w:sz w:val="28"/>
          <w:rtl/>
        </w:rPr>
        <w:t>ي</w:t>
      </w:r>
      <w:r w:rsidR="005C664D" w:rsidRPr="003F3B94">
        <w:rPr>
          <w:rFonts w:ascii="Abo-thar" w:hAnsi="Abo-thar"/>
          <w:bCs/>
          <w:sz w:val="28"/>
          <w:rtl/>
        </w:rPr>
        <w:t>ل</w:t>
      </w:r>
      <w:r w:rsidR="005C664D" w:rsidRPr="003F3B94">
        <w:rPr>
          <w:rFonts w:ascii="Abo-thar" w:hAnsi="Abo-thar" w:hint="cs"/>
          <w:bCs/>
          <w:sz w:val="28"/>
          <w:rtl/>
        </w:rPr>
        <w:t>ه لشيعتهم</w:t>
      </w:r>
      <w:r w:rsidR="00217AB4" w:rsidRPr="003F3B94">
        <w:rPr>
          <w:rFonts w:ascii="Abo-thar" w:hAnsi="Abo-thar" w:hint="cs"/>
          <w:bCs/>
          <w:sz w:val="28"/>
          <w:rtl/>
        </w:rPr>
        <w:t>)</w:t>
      </w:r>
      <w:r w:rsidR="005C664D" w:rsidRPr="003F3B94">
        <w:rPr>
          <w:rFonts w:ascii="Abo-thar" w:hAnsi="Abo-thar" w:hint="cs"/>
          <w:bCs/>
          <w:sz w:val="28"/>
          <w:rtl/>
        </w:rPr>
        <w:t xml:space="preserve"> </w:t>
      </w:r>
      <w:r w:rsidR="005C664D" w:rsidRPr="003F3B94">
        <w:rPr>
          <w:rFonts w:ascii="Abo-thar" w:hAnsi="Abo-thar"/>
          <w:bCs/>
          <w:sz w:val="28"/>
          <w:rtl/>
        </w:rPr>
        <w:t>لعدم جواز</w:t>
      </w:r>
      <w:r w:rsidR="005C664D" w:rsidRPr="003F3B94">
        <w:rPr>
          <w:rFonts w:ascii="Abo-thar" w:hAnsi="Abo-thar" w:hint="cs"/>
          <w:bCs/>
          <w:sz w:val="28"/>
          <w:rtl/>
        </w:rPr>
        <w:t xml:space="preserve"> </w:t>
      </w:r>
      <w:r w:rsidR="005C664D" w:rsidRPr="003F3B94">
        <w:rPr>
          <w:rFonts w:ascii="Abo-thar" w:hAnsi="Abo-thar"/>
          <w:bCs/>
          <w:sz w:val="28"/>
          <w:rtl/>
        </w:rPr>
        <w:t>التصر</w:t>
      </w:r>
      <w:r w:rsidR="005C664D" w:rsidRPr="003F3B94">
        <w:rPr>
          <w:rFonts w:ascii="Abo-thar" w:hAnsi="Abo-thar" w:hint="cs"/>
          <w:bCs/>
          <w:sz w:val="28"/>
          <w:rtl/>
        </w:rPr>
        <w:t>ُّ</w:t>
      </w:r>
      <w:r w:rsidR="005C664D" w:rsidRPr="003F3B94">
        <w:rPr>
          <w:rFonts w:ascii="Abo-thar" w:hAnsi="Abo-thar"/>
          <w:bCs/>
          <w:sz w:val="28"/>
          <w:rtl/>
        </w:rPr>
        <w:t>ف ف</w:t>
      </w:r>
      <w:r w:rsidR="005C664D" w:rsidRPr="003F3B94">
        <w:rPr>
          <w:rFonts w:ascii="Abo-thar" w:hAnsi="Abo-thar" w:hint="cs"/>
          <w:bCs/>
          <w:sz w:val="28"/>
          <w:rtl/>
        </w:rPr>
        <w:t>ي</w:t>
      </w:r>
      <w:r w:rsidR="005C664D" w:rsidRPr="003F3B94">
        <w:rPr>
          <w:rFonts w:ascii="Abo-thar" w:hAnsi="Abo-thar"/>
          <w:bCs/>
          <w:sz w:val="28"/>
          <w:rtl/>
        </w:rPr>
        <w:t xml:space="preserve"> مال</w:t>
      </w:r>
      <w:r w:rsidR="005C664D" w:rsidRPr="003F3B94">
        <w:rPr>
          <w:rFonts w:cs="Times New Roman" w:hint="cs"/>
          <w:bCs/>
          <w:sz w:val="28"/>
          <w:rtl/>
        </w:rPr>
        <w:t>‌</w:t>
      </w:r>
      <w:r w:rsidR="005C664D" w:rsidRPr="003F3B94">
        <w:rPr>
          <w:rFonts w:ascii="Abo-thar" w:hAnsi="Abo-thar" w:hint="cs"/>
          <w:bCs/>
          <w:sz w:val="28"/>
          <w:rtl/>
        </w:rPr>
        <w:t xml:space="preserve"> </w:t>
      </w:r>
      <w:r w:rsidR="005C664D" w:rsidRPr="003F3B94">
        <w:rPr>
          <w:rFonts w:ascii="Abo-thar" w:hAnsi="Abo-thar"/>
          <w:bCs/>
          <w:sz w:val="28"/>
          <w:rtl/>
        </w:rPr>
        <w:t>الغ</w:t>
      </w:r>
      <w:r w:rsidR="00D326AD" w:rsidRPr="003F3B94">
        <w:rPr>
          <w:rFonts w:ascii="Abo-thar" w:hAnsi="Abo-thar"/>
          <w:bCs/>
          <w:sz w:val="28"/>
          <w:rtl/>
        </w:rPr>
        <w:t>ي</w:t>
      </w:r>
      <w:r w:rsidR="005C664D" w:rsidRPr="003F3B94">
        <w:rPr>
          <w:rFonts w:ascii="Abo-thar" w:hAnsi="Abo-thar"/>
          <w:bCs/>
          <w:sz w:val="28"/>
          <w:rtl/>
        </w:rPr>
        <w:t>ر</w:t>
      </w:r>
      <w:r w:rsidR="00EF2588" w:rsidRPr="003F3B94">
        <w:rPr>
          <w:rFonts w:ascii="Abo-thar" w:hAnsi="Abo-thar" w:hint="cs"/>
          <w:sz w:val="28"/>
          <w:rtl/>
        </w:rPr>
        <w:t>»</w:t>
      </w:r>
      <w:r w:rsidR="00217AB4" w:rsidRPr="003F3B94">
        <w:rPr>
          <w:rFonts w:ascii="Abo-thar" w:hAnsi="Abo-thar" w:hint="cs"/>
          <w:sz w:val="28"/>
          <w:rtl/>
        </w:rPr>
        <w:t>.</w:t>
      </w:r>
    </w:p>
    <w:p w:rsidR="005C664D" w:rsidRPr="003F3B94" w:rsidRDefault="00805824" w:rsidP="00254729">
      <w:pPr>
        <w:pStyle w:val="a0"/>
        <w:rPr>
          <w:rFonts w:hint="cs"/>
          <w:rtl/>
        </w:rPr>
      </w:pPr>
      <w:r w:rsidRPr="003F3B94">
        <w:rPr>
          <w:rFonts w:ascii="Abo-thar" w:hAnsi="Abo-thar" w:hint="cs"/>
          <w:sz w:val="28"/>
          <w:rtl/>
        </w:rPr>
        <w:t>14</w:t>
      </w:r>
      <w:r w:rsidR="00217AB4" w:rsidRPr="003F3B94">
        <w:rPr>
          <w:rFonts w:ascii="Abo-thar" w:hAnsi="Abo-thar" w:hint="cs"/>
          <w:sz w:val="28"/>
          <w:rtl/>
        </w:rPr>
        <w:t>-</w:t>
      </w:r>
      <w:r w:rsidR="005C664D" w:rsidRPr="003F3B94">
        <w:rPr>
          <w:rFonts w:ascii="Abo-thar" w:hAnsi="Abo-thar" w:hint="cs"/>
          <w:sz w:val="28"/>
          <w:rtl/>
        </w:rPr>
        <w:t xml:space="preserve"> وأضاف العلامة المجلسي في كتابه</w:t>
      </w:r>
      <w:r w:rsidR="005C664D" w:rsidRPr="003F3B94">
        <w:rPr>
          <w:rFonts w:ascii="Abo-thar" w:hAnsi="Abo-thar"/>
          <w:sz w:val="28"/>
          <w:rtl/>
        </w:rPr>
        <w:t>«</w:t>
      </w:r>
      <w:r w:rsidR="005C664D" w:rsidRPr="003F3B94">
        <w:rPr>
          <w:rFonts w:ascii="Abo-thar" w:hAnsi="Abo-thar" w:hint="cs"/>
          <w:sz w:val="28"/>
          <w:rtl/>
        </w:rPr>
        <w:t>مرآة العقول</w:t>
      </w:r>
      <w:r w:rsidR="005C664D" w:rsidRPr="003F3B94">
        <w:rPr>
          <w:rFonts w:ascii="Abo-thar" w:hAnsi="Abo-thar"/>
          <w:sz w:val="28"/>
          <w:rtl/>
        </w:rPr>
        <w:t>»</w:t>
      </w:r>
      <w:r w:rsidR="005C664D" w:rsidRPr="003F3B94">
        <w:rPr>
          <w:rFonts w:ascii="Abo-thar" w:hAnsi="Abo-thar" w:hint="cs"/>
          <w:sz w:val="28"/>
          <w:rtl/>
        </w:rPr>
        <w:t xml:space="preserve"> </w:t>
      </w:r>
      <w:r w:rsidR="00217AB4" w:rsidRPr="003F3B94">
        <w:rPr>
          <w:rFonts w:ascii="Abo-thar" w:hAnsi="Abo-thar" w:hint="cs"/>
          <w:sz w:val="28"/>
          <w:rtl/>
        </w:rPr>
        <w:t>(</w:t>
      </w:r>
      <w:r w:rsidR="005C664D" w:rsidRPr="003F3B94">
        <w:rPr>
          <w:rFonts w:ascii="Abo-thar" w:hAnsi="Abo-thar" w:hint="cs"/>
          <w:sz w:val="28"/>
          <w:rtl/>
        </w:rPr>
        <w:t>ج1</w:t>
      </w:r>
      <w:r w:rsidR="00920257" w:rsidRPr="003F3B94">
        <w:rPr>
          <w:rFonts w:ascii="Abo-thar" w:hAnsi="Abo-thar" w:hint="cs"/>
          <w:sz w:val="28"/>
          <w:rtl/>
        </w:rPr>
        <w:t xml:space="preserve">، </w:t>
      </w:r>
      <w:r w:rsidR="005C664D" w:rsidRPr="003F3B94">
        <w:rPr>
          <w:rFonts w:ascii="Abo-thar" w:hAnsi="Abo-thar" w:hint="cs"/>
          <w:sz w:val="28"/>
          <w:rtl/>
        </w:rPr>
        <w:t>ص446</w:t>
      </w:r>
      <w:r w:rsidR="00217AB4" w:rsidRPr="003F3B94">
        <w:rPr>
          <w:rFonts w:ascii="Abo-thar" w:hAnsi="Abo-thar" w:hint="cs"/>
          <w:sz w:val="28"/>
          <w:rtl/>
        </w:rPr>
        <w:t>)</w:t>
      </w:r>
      <w:r w:rsidR="005C664D" w:rsidRPr="003F3B94">
        <w:rPr>
          <w:rFonts w:ascii="Abo-thar" w:hAnsi="Abo-thar" w:hint="cs"/>
          <w:sz w:val="28"/>
          <w:rtl/>
        </w:rPr>
        <w:t xml:space="preserve"> ضمن تعليقه على رواية «</w:t>
      </w:r>
      <w:r w:rsidR="005C664D" w:rsidRPr="003F3B94">
        <w:rPr>
          <w:rFonts w:ascii="Abo-thar" w:hAnsi="Abo-thar"/>
          <w:bCs/>
          <w:sz w:val="28"/>
          <w:rtl/>
        </w:rPr>
        <w:t>حُكَيْمٍ مُؤَذِّنِ بَنِي عَبْسٍ</w:t>
      </w:r>
      <w:r w:rsidR="005C664D" w:rsidRPr="003F3B94">
        <w:rPr>
          <w:rFonts w:ascii="Abo-thar" w:hAnsi="Abo-thar" w:hint="cs"/>
          <w:sz w:val="28"/>
          <w:rtl/>
        </w:rPr>
        <w:t>» قول المتأخرين أيضاً في هذا الباب وقال</w:t>
      </w:r>
      <w:r w:rsidR="00217AB4" w:rsidRPr="003F3B94">
        <w:rPr>
          <w:rFonts w:ascii="Abo-thar" w:hAnsi="Abo-thar" w:hint="cs"/>
          <w:sz w:val="28"/>
          <w:rtl/>
        </w:rPr>
        <w:t>:</w:t>
      </w:r>
      <w:r w:rsidR="005C664D" w:rsidRPr="003F3B94">
        <w:rPr>
          <w:rFonts w:ascii="Abo-thar" w:hAnsi="Abo-thar" w:hint="cs"/>
          <w:sz w:val="28"/>
          <w:rtl/>
        </w:rPr>
        <w:t xml:space="preserve"> </w:t>
      </w:r>
      <w:r w:rsidR="00EF2588" w:rsidRPr="003F3B94">
        <w:rPr>
          <w:rFonts w:ascii="Abo-thar" w:hAnsi="Abo-thar" w:hint="cs"/>
          <w:sz w:val="28"/>
          <w:rtl/>
        </w:rPr>
        <w:t>«</w:t>
      </w:r>
      <w:r w:rsidR="005C664D" w:rsidRPr="003F3B94">
        <w:rPr>
          <w:rFonts w:ascii="Abo-thar" w:hAnsi="Abo-thar"/>
          <w:bCs/>
          <w:sz w:val="28"/>
          <w:rtl/>
        </w:rPr>
        <w:t>و ذهب جماعة من المتأخرين إلى أن هذا النوع من الخُمس حصة الإمام منه أو جميعه ساقط في زمان الغيبة</w:t>
      </w:r>
      <w:r w:rsidR="00217AB4" w:rsidRPr="003F3B94">
        <w:rPr>
          <w:rFonts w:ascii="Abo-thar" w:hAnsi="Abo-thar"/>
          <w:bCs/>
          <w:sz w:val="28"/>
          <w:rtl/>
        </w:rPr>
        <w:t>،</w:t>
      </w:r>
      <w:r w:rsidR="005C664D" w:rsidRPr="003F3B94">
        <w:rPr>
          <w:rFonts w:ascii="Abo-thar" w:hAnsi="Abo-thar"/>
          <w:bCs/>
          <w:sz w:val="28"/>
          <w:rtl/>
        </w:rPr>
        <w:t xml:space="preserve"> للأخبار الدالة على أنهم </w:t>
      </w:r>
      <w:r w:rsidR="00963EFD" w:rsidRPr="00963EFD">
        <w:rPr>
          <w:rFonts w:ascii="Abo-thar" w:hAnsi="Abo-thar" w:cs="CTraditional Arabic"/>
          <w:sz w:val="28"/>
          <w:rtl/>
        </w:rPr>
        <w:t>‡</w:t>
      </w:r>
      <w:r w:rsidR="005C664D" w:rsidRPr="003F3B94">
        <w:rPr>
          <w:rFonts w:ascii="Abo-thar" w:hAnsi="Abo-thar"/>
          <w:bCs/>
          <w:sz w:val="28"/>
          <w:rtl/>
        </w:rPr>
        <w:t xml:space="preserve"> أباحوا ذلك لشيعتهم مع أن بعض المتأخرين قالوا بأن جميع هذا الخُمس للإمام</w:t>
      </w:r>
      <w:r w:rsidR="00F456DF" w:rsidRPr="003F3B94">
        <w:rPr>
          <w:rFonts w:ascii="Abo-thar" w:hAnsi="Abo-thar"/>
          <w:bCs/>
          <w:sz w:val="28"/>
          <w:rtl/>
        </w:rPr>
        <w:t>»</w:t>
      </w:r>
      <w:r w:rsidR="00217AB4" w:rsidRPr="003F3B94">
        <w:rPr>
          <w:rFonts w:ascii="Abo-thar" w:hAnsi="Abo-thar" w:hint="cs"/>
          <w:sz w:val="28"/>
          <w:rtl/>
        </w:rPr>
        <w:t>.</w:t>
      </w:r>
      <w:r w:rsidR="005C664D" w:rsidRPr="003F3B94">
        <w:rPr>
          <w:rFonts w:ascii="Abo-thar" w:hAnsi="Abo-thar" w:hint="cs"/>
          <w:sz w:val="28"/>
          <w:rtl/>
        </w:rPr>
        <w:t xml:space="preserve"> </w:t>
      </w:r>
    </w:p>
    <w:p w:rsidR="005C664D" w:rsidRPr="003F3B94" w:rsidRDefault="005C664D" w:rsidP="003F3B94">
      <w:pPr>
        <w:pStyle w:val="a0"/>
        <w:rPr>
          <w:rFonts w:hint="cs"/>
          <w:rtl/>
        </w:rPr>
      </w:pPr>
      <w:r w:rsidRPr="003F3B94">
        <w:rPr>
          <w:rFonts w:ascii="Abo-thar" w:hAnsi="Abo-thar" w:hint="cs"/>
          <w:sz w:val="28"/>
          <w:rtl/>
        </w:rPr>
        <w:t xml:space="preserve">فرغم أن صاحب </w:t>
      </w:r>
      <w:r w:rsidRPr="003F3B94">
        <w:rPr>
          <w:rFonts w:ascii="Abo-thar" w:hAnsi="Abo-thar" w:hint="eastAsia"/>
          <w:sz w:val="28"/>
          <w:rtl/>
        </w:rPr>
        <w:t>«</w:t>
      </w:r>
      <w:r w:rsidRPr="003F3B94">
        <w:rPr>
          <w:rFonts w:ascii="Abo-thar" w:hAnsi="Abo-thar" w:hint="cs"/>
          <w:sz w:val="28"/>
          <w:rtl/>
        </w:rPr>
        <w:t>منتقى الجمان</w:t>
      </w:r>
      <w:r w:rsidRPr="003F3B94">
        <w:rPr>
          <w:rFonts w:ascii="Abo-thar" w:hAnsi="Abo-thar" w:hint="eastAsia"/>
          <w:sz w:val="28"/>
          <w:rtl/>
        </w:rPr>
        <w:t>»</w:t>
      </w:r>
      <w:r w:rsidRPr="003F3B94">
        <w:rPr>
          <w:rFonts w:ascii="Abo-thar" w:hAnsi="Abo-thar" w:hint="cs"/>
          <w:sz w:val="28"/>
          <w:rtl/>
        </w:rPr>
        <w:t xml:space="preserve"> لام المتأخرين على قلة تفحصهم للأخبار ونظرتهم السطحية السريعة لها وأنهم لهذا السبب اعتبروها أخباراً ضعيفةً إلا أن المجلسي يقرّ بأن عدداً من </w:t>
      </w:r>
      <w:r w:rsidRPr="003F3B94">
        <w:rPr>
          <w:rFonts w:ascii="Abo-thar" w:hAnsi="Abo-thar" w:hint="cs"/>
          <w:b/>
          <w:bCs/>
          <w:i/>
          <w:iCs/>
          <w:sz w:val="28"/>
          <w:rtl/>
        </w:rPr>
        <w:t>المتأخرين</w:t>
      </w:r>
      <w:r w:rsidRPr="003F3B94">
        <w:rPr>
          <w:rFonts w:ascii="Abo-thar" w:hAnsi="Abo-thar" w:hint="cs"/>
          <w:sz w:val="28"/>
          <w:rtl/>
        </w:rPr>
        <w:t xml:space="preserve"> أيضاً اضطر بسبب تلك الأخبار إلى الذهاب إلى سقوط خمس الأرباح عن الشيعة زمن الغيبة</w:t>
      </w:r>
      <w:r w:rsidR="00217AB4" w:rsidRPr="003F3B94">
        <w:rPr>
          <w:rFonts w:ascii="Abo-thar" w:hAnsi="Abo-thar" w:hint="cs"/>
          <w:sz w:val="28"/>
          <w:rtl/>
        </w:rPr>
        <w:t>.</w:t>
      </w:r>
      <w:r w:rsidRPr="003F3B94">
        <w:rPr>
          <w:rFonts w:ascii="Abo-thar" w:hAnsi="Abo-thar" w:hint="cs"/>
          <w:sz w:val="28"/>
          <w:rtl/>
        </w:rPr>
        <w:t xml:space="preserve"> </w:t>
      </w:r>
    </w:p>
    <w:p w:rsidR="005C664D" w:rsidRPr="003F3B94" w:rsidRDefault="00805824" w:rsidP="00254729">
      <w:pPr>
        <w:pStyle w:val="a0"/>
        <w:rPr>
          <w:rFonts w:hint="cs"/>
          <w:rtl/>
        </w:rPr>
      </w:pPr>
      <w:r w:rsidRPr="003F3B94">
        <w:rPr>
          <w:rFonts w:ascii="Abo-thar" w:hAnsi="Abo-thar" w:hint="cs"/>
          <w:sz w:val="28"/>
          <w:rtl/>
        </w:rPr>
        <w:t>15</w:t>
      </w:r>
      <w:r w:rsidR="00217AB4" w:rsidRPr="003F3B94">
        <w:rPr>
          <w:rFonts w:ascii="Abo-thar" w:hAnsi="Abo-thar" w:hint="cs"/>
          <w:sz w:val="28"/>
          <w:rtl/>
        </w:rPr>
        <w:t>-</w:t>
      </w:r>
      <w:r w:rsidR="005C664D" w:rsidRPr="003F3B94">
        <w:rPr>
          <w:rFonts w:ascii="Abo-thar" w:hAnsi="Abo-thar" w:hint="cs"/>
          <w:sz w:val="28"/>
          <w:rtl/>
        </w:rPr>
        <w:t xml:space="preserve"> وقال المرحوم الشيخ محمد حسن صاحب الجواهر في كتاب </w:t>
      </w:r>
      <w:r w:rsidR="005C664D" w:rsidRPr="003F3B94">
        <w:rPr>
          <w:rFonts w:ascii="Abo-thar" w:hAnsi="Abo-thar"/>
          <w:sz w:val="28"/>
          <w:rtl/>
        </w:rPr>
        <w:t>«</w:t>
      </w:r>
      <w:r w:rsidR="005C664D" w:rsidRPr="003F3B94">
        <w:rPr>
          <w:rFonts w:ascii="Abo-thar" w:hAnsi="Abo-thar" w:hint="cs"/>
          <w:sz w:val="28"/>
          <w:rtl/>
        </w:rPr>
        <w:t>الزكاة</w:t>
      </w:r>
      <w:r w:rsidR="005C664D" w:rsidRPr="003F3B94">
        <w:rPr>
          <w:rFonts w:ascii="Abo-thar" w:hAnsi="Abo-thar"/>
          <w:sz w:val="28"/>
          <w:rtl/>
        </w:rPr>
        <w:t>»</w:t>
      </w:r>
      <w:r w:rsidR="00147857" w:rsidRPr="003F3B94">
        <w:rPr>
          <w:rFonts w:ascii="Abo-thar" w:hAnsi="Abo-thar" w:hint="cs"/>
          <w:sz w:val="28"/>
          <w:rtl/>
        </w:rPr>
        <w:t xml:space="preserve"> </w:t>
      </w:r>
      <w:r w:rsidR="00217AB4" w:rsidRPr="003F3B94">
        <w:rPr>
          <w:rFonts w:ascii="Abo-thar" w:hAnsi="Abo-thar" w:hint="cs"/>
          <w:sz w:val="28"/>
          <w:rtl/>
        </w:rPr>
        <w:t>(</w:t>
      </w:r>
      <w:r w:rsidR="005C664D" w:rsidRPr="003F3B94">
        <w:rPr>
          <w:rFonts w:ascii="Abo-thar" w:hAnsi="Abo-thar" w:hint="cs"/>
          <w:sz w:val="28"/>
          <w:rtl/>
        </w:rPr>
        <w:t>ص164</w:t>
      </w:r>
      <w:r w:rsidR="00217AB4" w:rsidRPr="003F3B94">
        <w:rPr>
          <w:rFonts w:ascii="Abo-thar" w:hAnsi="Abo-thar" w:hint="cs"/>
          <w:sz w:val="28"/>
          <w:rtl/>
        </w:rPr>
        <w:t>،</w:t>
      </w:r>
      <w:r w:rsidR="005C664D" w:rsidRPr="003F3B94">
        <w:rPr>
          <w:rFonts w:ascii="Abo-thar" w:hAnsi="Abo-thar" w:hint="cs"/>
          <w:sz w:val="28"/>
          <w:rtl/>
        </w:rPr>
        <w:t xml:space="preserve"> طبع تبريز</w:t>
      </w:r>
      <w:r w:rsidR="00217AB4" w:rsidRPr="003F3B94">
        <w:rPr>
          <w:rFonts w:ascii="Abo-thar" w:hAnsi="Abo-thar" w:hint="cs"/>
          <w:sz w:val="28"/>
          <w:rtl/>
        </w:rPr>
        <w:t>)</w:t>
      </w:r>
      <w:r w:rsidR="005C664D" w:rsidRPr="003F3B94">
        <w:rPr>
          <w:rFonts w:ascii="Abo-thar" w:hAnsi="Abo-thar" w:hint="cs"/>
          <w:sz w:val="28"/>
          <w:rtl/>
        </w:rPr>
        <w:t xml:space="preserve"> في هذا الصدد</w:t>
      </w:r>
      <w:r w:rsidR="00217AB4" w:rsidRPr="003F3B94">
        <w:rPr>
          <w:rFonts w:ascii="Abo-thar" w:hAnsi="Abo-thar" w:hint="cs"/>
          <w:sz w:val="28"/>
          <w:rtl/>
        </w:rPr>
        <w:t>:</w:t>
      </w:r>
      <w:r w:rsidR="00254729">
        <w:rPr>
          <w:rFonts w:ascii="Abo-thar" w:hAnsi="Abo-thar" w:hint="cs"/>
          <w:sz w:val="28"/>
          <w:rtl/>
        </w:rPr>
        <w:t xml:space="preserve"> </w:t>
      </w:r>
      <w:r w:rsidR="00EF2588" w:rsidRPr="003F3B94">
        <w:rPr>
          <w:rFonts w:ascii="Abo-thar" w:hAnsi="Abo-thar" w:hint="cs"/>
          <w:sz w:val="28"/>
          <w:rtl/>
        </w:rPr>
        <w:t>«</w:t>
      </w:r>
      <w:r w:rsidR="005C664D" w:rsidRPr="003F3B94">
        <w:rPr>
          <w:rFonts w:ascii="Abo-thar" w:hAnsi="Abo-thar" w:hint="eastAsia"/>
          <w:bCs/>
          <w:sz w:val="28"/>
          <w:rtl/>
        </w:rPr>
        <w:t>بل</w:t>
      </w:r>
      <w:r w:rsidR="005C664D" w:rsidRPr="003F3B94">
        <w:rPr>
          <w:rFonts w:ascii="Abo-thar" w:hAnsi="Abo-thar"/>
          <w:bCs/>
          <w:sz w:val="28"/>
          <w:rtl/>
        </w:rPr>
        <w:t xml:space="preserve"> </w:t>
      </w:r>
      <w:r w:rsidR="005C664D" w:rsidRPr="003F3B94">
        <w:rPr>
          <w:rFonts w:ascii="Abo-thar" w:hAnsi="Abo-thar" w:hint="eastAsia"/>
          <w:bCs/>
          <w:sz w:val="28"/>
          <w:rtl/>
        </w:rPr>
        <w:t>لولا</w:t>
      </w:r>
      <w:r w:rsidR="005C664D" w:rsidRPr="003F3B94">
        <w:rPr>
          <w:rFonts w:ascii="Abo-thar" w:hAnsi="Abo-thar" w:hint="cs"/>
          <w:bCs/>
          <w:sz w:val="28"/>
          <w:rtl/>
        </w:rPr>
        <w:t xml:space="preserve"> </w:t>
      </w:r>
      <w:r w:rsidR="005C664D" w:rsidRPr="003F3B94">
        <w:rPr>
          <w:rFonts w:ascii="Abo-thar" w:hAnsi="Abo-thar" w:hint="eastAsia"/>
          <w:bCs/>
          <w:sz w:val="28"/>
          <w:rtl/>
        </w:rPr>
        <w:t>وحشة</w:t>
      </w:r>
      <w:r w:rsidR="005C664D" w:rsidRPr="003F3B94">
        <w:rPr>
          <w:rFonts w:ascii="Abo-thar" w:hAnsi="Abo-thar"/>
          <w:bCs/>
          <w:sz w:val="28"/>
          <w:rtl/>
        </w:rPr>
        <w:t xml:space="preserve"> </w:t>
      </w:r>
      <w:r w:rsidR="005C664D" w:rsidRPr="003F3B94">
        <w:rPr>
          <w:rFonts w:ascii="Abo-thar" w:hAnsi="Abo-thar" w:hint="eastAsia"/>
          <w:bCs/>
          <w:sz w:val="28"/>
          <w:rtl/>
        </w:rPr>
        <w:t>الانفراد</w:t>
      </w:r>
      <w:r w:rsidR="005C664D" w:rsidRPr="003F3B94">
        <w:rPr>
          <w:rFonts w:ascii="Abo-thar" w:hAnsi="Abo-thar"/>
          <w:bCs/>
          <w:sz w:val="28"/>
          <w:rtl/>
        </w:rPr>
        <w:t xml:space="preserve"> </w:t>
      </w:r>
      <w:r w:rsidR="005C664D" w:rsidRPr="003F3B94">
        <w:rPr>
          <w:rFonts w:ascii="Abo-thar" w:hAnsi="Abo-thar" w:hint="eastAsia"/>
          <w:bCs/>
          <w:sz w:val="28"/>
          <w:rtl/>
        </w:rPr>
        <w:t>عن</w:t>
      </w:r>
      <w:r w:rsidR="005C664D" w:rsidRPr="003F3B94">
        <w:rPr>
          <w:rFonts w:ascii="Abo-thar" w:hAnsi="Abo-thar"/>
          <w:bCs/>
          <w:sz w:val="28"/>
          <w:rtl/>
        </w:rPr>
        <w:t xml:space="preserve"> </w:t>
      </w:r>
      <w:r w:rsidR="005C664D" w:rsidRPr="003F3B94">
        <w:rPr>
          <w:rFonts w:ascii="Abo-thar" w:hAnsi="Abo-thar" w:hint="eastAsia"/>
          <w:bCs/>
          <w:sz w:val="28"/>
          <w:rtl/>
        </w:rPr>
        <w:t>ظاهر</w:t>
      </w:r>
      <w:r w:rsidR="005C664D" w:rsidRPr="003F3B94">
        <w:rPr>
          <w:rFonts w:ascii="Abo-thar" w:hAnsi="Abo-thar"/>
          <w:bCs/>
          <w:sz w:val="28"/>
          <w:rtl/>
        </w:rPr>
        <w:t xml:space="preserve"> </w:t>
      </w:r>
      <w:r w:rsidR="005C664D" w:rsidRPr="003F3B94">
        <w:rPr>
          <w:rFonts w:ascii="Abo-thar" w:hAnsi="Abo-thar" w:hint="eastAsia"/>
          <w:bCs/>
          <w:sz w:val="28"/>
          <w:rtl/>
        </w:rPr>
        <w:t>اتفاق</w:t>
      </w:r>
      <w:r w:rsidR="005C664D" w:rsidRPr="003F3B94">
        <w:rPr>
          <w:rFonts w:ascii="Abo-thar" w:hAnsi="Abo-thar"/>
          <w:bCs/>
          <w:sz w:val="28"/>
          <w:rtl/>
        </w:rPr>
        <w:t xml:space="preserve"> </w:t>
      </w:r>
      <w:r w:rsidR="005C664D" w:rsidRPr="003F3B94">
        <w:rPr>
          <w:rFonts w:ascii="Abo-thar" w:hAnsi="Abo-thar" w:hint="cs"/>
          <w:bCs/>
          <w:sz w:val="28"/>
          <w:rtl/>
        </w:rPr>
        <w:t>الأصحاب</w:t>
      </w:r>
      <w:r w:rsidR="005C664D" w:rsidRPr="003F3B94">
        <w:rPr>
          <w:rFonts w:ascii="Abo-thar" w:hAnsi="Abo-thar"/>
          <w:bCs/>
          <w:sz w:val="28"/>
          <w:rtl/>
        </w:rPr>
        <w:t xml:space="preserve"> </w:t>
      </w:r>
      <w:r w:rsidR="005C664D" w:rsidRPr="003F3B94">
        <w:rPr>
          <w:rFonts w:ascii="Abo-thar" w:hAnsi="Abo-thar" w:hint="eastAsia"/>
          <w:bCs/>
          <w:sz w:val="28"/>
          <w:rtl/>
        </w:rPr>
        <w:t>ل</w:t>
      </w:r>
      <w:r w:rsidR="005C664D" w:rsidRPr="003F3B94">
        <w:rPr>
          <w:rFonts w:ascii="Abo-thar" w:hAnsi="Abo-thar" w:hint="cs"/>
          <w:bCs/>
          <w:sz w:val="28"/>
          <w:rtl/>
        </w:rPr>
        <w:t>أ</w:t>
      </w:r>
      <w:r w:rsidR="005C664D" w:rsidRPr="003F3B94">
        <w:rPr>
          <w:rFonts w:ascii="Abo-thar" w:hAnsi="Abo-thar" w:hint="eastAsia"/>
          <w:bCs/>
          <w:sz w:val="28"/>
          <w:rtl/>
        </w:rPr>
        <w:t>مكن</w:t>
      </w:r>
      <w:r w:rsidR="005C664D" w:rsidRPr="003F3B94">
        <w:rPr>
          <w:rFonts w:ascii="Abo-thar" w:hAnsi="Abo-thar"/>
          <w:bCs/>
          <w:sz w:val="28"/>
          <w:rtl/>
        </w:rPr>
        <w:t xml:space="preserve"> </w:t>
      </w:r>
      <w:r w:rsidR="005C664D" w:rsidRPr="003F3B94">
        <w:rPr>
          <w:rFonts w:ascii="Abo-thar" w:hAnsi="Abo-thar" w:hint="eastAsia"/>
          <w:bCs/>
          <w:sz w:val="28"/>
          <w:rtl/>
        </w:rPr>
        <w:t>دعوى</w:t>
      </w:r>
      <w:r w:rsidR="005C664D" w:rsidRPr="003F3B94">
        <w:rPr>
          <w:rFonts w:ascii="Abo-thar" w:hAnsi="Abo-thar" w:hint="cs"/>
          <w:bCs/>
          <w:sz w:val="28"/>
          <w:rtl/>
        </w:rPr>
        <w:t xml:space="preserve"> </w:t>
      </w:r>
      <w:r w:rsidR="005C664D" w:rsidRPr="003F3B94">
        <w:rPr>
          <w:rFonts w:ascii="Abo-thar" w:hAnsi="Abo-thar" w:hint="eastAsia"/>
          <w:bCs/>
          <w:sz w:val="28"/>
          <w:rtl/>
        </w:rPr>
        <w:t>ظهور</w:t>
      </w:r>
      <w:r w:rsidR="005C664D" w:rsidRPr="003F3B94">
        <w:rPr>
          <w:rFonts w:ascii="Abo-thar" w:hAnsi="Abo-thar"/>
          <w:bCs/>
          <w:sz w:val="28"/>
          <w:rtl/>
        </w:rPr>
        <w:t xml:space="preserve"> </w:t>
      </w:r>
      <w:r w:rsidR="005C664D" w:rsidRPr="003F3B94">
        <w:rPr>
          <w:rFonts w:ascii="Abo-thar" w:hAnsi="Abo-thar" w:hint="cs"/>
          <w:bCs/>
          <w:sz w:val="28"/>
          <w:rtl/>
        </w:rPr>
        <w:t>الأخبار</w:t>
      </w:r>
      <w:r w:rsidR="005C664D" w:rsidRPr="003F3B94">
        <w:rPr>
          <w:rFonts w:ascii="Abo-thar" w:hAnsi="Abo-thar"/>
          <w:bCs/>
          <w:sz w:val="28"/>
          <w:rtl/>
        </w:rPr>
        <w:t xml:space="preserve"> </w:t>
      </w:r>
      <w:r w:rsidR="005C664D" w:rsidRPr="003F3B94">
        <w:rPr>
          <w:rFonts w:ascii="Abo-thar" w:hAnsi="Abo-thar" w:hint="eastAsia"/>
          <w:bCs/>
          <w:sz w:val="28"/>
          <w:rtl/>
        </w:rPr>
        <w:t>في</w:t>
      </w:r>
      <w:r w:rsidR="005C664D" w:rsidRPr="003F3B94">
        <w:rPr>
          <w:rFonts w:ascii="Abo-thar" w:hAnsi="Abo-thar"/>
          <w:bCs/>
          <w:sz w:val="28"/>
          <w:rtl/>
        </w:rPr>
        <w:t xml:space="preserve"> </w:t>
      </w:r>
      <w:r w:rsidR="005C664D" w:rsidRPr="003F3B94">
        <w:rPr>
          <w:rFonts w:ascii="Abo-thar" w:hAnsi="Abo-thar" w:hint="cs"/>
          <w:bCs/>
          <w:sz w:val="28"/>
          <w:rtl/>
        </w:rPr>
        <w:t>أن</w:t>
      </w:r>
      <w:r w:rsidR="005C664D" w:rsidRPr="003F3B94">
        <w:rPr>
          <w:rFonts w:ascii="Abo-thar" w:hAnsi="Abo-thar"/>
          <w:bCs/>
          <w:sz w:val="28"/>
          <w:rtl/>
        </w:rPr>
        <w:t xml:space="preserve"> </w:t>
      </w:r>
      <w:r w:rsidR="005C664D" w:rsidRPr="003F3B94">
        <w:rPr>
          <w:rFonts w:ascii="Abo-thar" w:hAnsi="Abo-thar" w:hint="eastAsia"/>
          <w:bCs/>
          <w:sz w:val="28"/>
          <w:rtl/>
        </w:rPr>
        <w:t>الخُمس</w:t>
      </w:r>
      <w:r w:rsidR="005C664D" w:rsidRPr="003F3B94">
        <w:rPr>
          <w:rFonts w:ascii="Abo-thar" w:hAnsi="Abo-thar"/>
          <w:bCs/>
          <w:sz w:val="28"/>
          <w:rtl/>
        </w:rPr>
        <w:t xml:space="preserve"> </w:t>
      </w:r>
      <w:r w:rsidR="005C664D" w:rsidRPr="003F3B94">
        <w:rPr>
          <w:rFonts w:ascii="Abo-thar" w:hAnsi="Abo-thar" w:hint="eastAsia"/>
          <w:bCs/>
          <w:sz w:val="28"/>
          <w:rtl/>
        </w:rPr>
        <w:t>جميعه</w:t>
      </w:r>
      <w:r w:rsidR="005C664D" w:rsidRPr="003F3B94">
        <w:rPr>
          <w:rFonts w:ascii="Abo-thar" w:hAnsi="Abo-thar"/>
          <w:bCs/>
          <w:sz w:val="28"/>
          <w:rtl/>
        </w:rPr>
        <w:t xml:space="preserve"> </w:t>
      </w:r>
      <w:r w:rsidR="005C664D" w:rsidRPr="003F3B94">
        <w:rPr>
          <w:rFonts w:ascii="Abo-thar" w:hAnsi="Abo-thar" w:hint="cs"/>
          <w:bCs/>
          <w:sz w:val="28"/>
          <w:rtl/>
        </w:rPr>
        <w:t>للإمام</w:t>
      </w:r>
      <w:r w:rsidR="00147857" w:rsidRPr="003F3B94">
        <w:rPr>
          <w:rFonts w:ascii="Abo-thar" w:hAnsi="Abo-thar" w:hint="cs"/>
          <w:sz w:val="28"/>
          <w:rtl/>
        </w:rPr>
        <w:t xml:space="preserve"> </w:t>
      </w:r>
      <w:r w:rsidR="003C7AEB" w:rsidRPr="003C7AEB">
        <w:rPr>
          <w:rFonts w:ascii="Abo-thar" w:hAnsi="Abo-thar" w:cs="CTraditional Arabic"/>
          <w:sz w:val="28"/>
          <w:rtl/>
        </w:rPr>
        <w:t>÷</w:t>
      </w:r>
      <w:r w:rsidR="00EF2588" w:rsidRPr="003F3B94">
        <w:rPr>
          <w:rFonts w:ascii="Abo-thar" w:hAnsi="Abo-thar"/>
          <w:sz w:val="28"/>
          <w:rtl/>
        </w:rPr>
        <w:t>»</w:t>
      </w:r>
      <w:r w:rsidR="00217AB4" w:rsidRPr="003F3B94">
        <w:rPr>
          <w:rFonts w:ascii="Abo-thar" w:hAnsi="Abo-thar" w:hint="cs"/>
          <w:sz w:val="28"/>
          <w:rtl/>
        </w:rPr>
        <w:t>.</w:t>
      </w:r>
    </w:p>
    <w:p w:rsidR="005C664D" w:rsidRPr="003F3B94" w:rsidRDefault="005C664D" w:rsidP="003F3B94">
      <w:pPr>
        <w:pStyle w:val="a0"/>
        <w:rPr>
          <w:rFonts w:hint="cs"/>
          <w:rtl/>
        </w:rPr>
      </w:pPr>
      <w:r w:rsidRPr="003F3B94">
        <w:rPr>
          <w:rFonts w:ascii="Abo-thar" w:hAnsi="Abo-thar" w:hint="cs"/>
          <w:sz w:val="28"/>
          <w:rtl/>
        </w:rPr>
        <w:t>فهو إضافةً إ</w:t>
      </w:r>
      <w:r w:rsidRPr="003F3B94">
        <w:rPr>
          <w:rFonts w:ascii="Abo-thar" w:hAnsi="Abo-thar" w:hint="eastAsia"/>
          <w:sz w:val="28"/>
          <w:rtl/>
        </w:rPr>
        <w:t>لى</w:t>
      </w:r>
      <w:r w:rsidRPr="003F3B94">
        <w:rPr>
          <w:rFonts w:ascii="Abo-thar" w:hAnsi="Abo-thar" w:hint="cs"/>
          <w:sz w:val="28"/>
          <w:rtl/>
        </w:rPr>
        <w:t xml:space="preserve"> اعتباره خُمْسَ أرباح المكاسب حقّاً خاصّاً بالإمام</w:t>
      </w:r>
      <w:r w:rsidR="00217AB4" w:rsidRPr="003F3B94">
        <w:rPr>
          <w:rFonts w:ascii="Abo-thar" w:hAnsi="Abo-thar" w:hint="cs"/>
          <w:sz w:val="28"/>
          <w:rtl/>
        </w:rPr>
        <w:t>،</w:t>
      </w:r>
      <w:r w:rsidRPr="003F3B94">
        <w:rPr>
          <w:rFonts w:ascii="Abo-thar" w:hAnsi="Abo-thar" w:hint="cs"/>
          <w:sz w:val="28"/>
          <w:rtl/>
        </w:rPr>
        <w:t xml:space="preserve"> يصرِّحُ أنه لولا وحشة الانفراد لاعتبر جميع أنواع الخُمس حقّاً خاصّاً للإمام</w:t>
      </w:r>
      <w:r w:rsidR="00217AB4" w:rsidRPr="003F3B94">
        <w:rPr>
          <w:rFonts w:ascii="Abo-thar" w:hAnsi="Abo-thar" w:hint="cs"/>
          <w:sz w:val="28"/>
          <w:rtl/>
        </w:rPr>
        <w:t>.</w:t>
      </w:r>
    </w:p>
    <w:p w:rsidR="005C664D" w:rsidRPr="003F3B94" w:rsidRDefault="005C664D" w:rsidP="003F3B94">
      <w:pPr>
        <w:pStyle w:val="a0"/>
        <w:rPr>
          <w:rFonts w:hint="cs"/>
          <w:rtl/>
        </w:rPr>
      </w:pPr>
      <w:r w:rsidRPr="003F3B94">
        <w:rPr>
          <w:rFonts w:ascii="Abo-thar" w:hAnsi="Abo-thar" w:hint="cs"/>
          <w:sz w:val="28"/>
          <w:rtl/>
        </w:rPr>
        <w:t>هذا ولما كان الأئمة قد حللوا هذا الخُمس لشيعتهم</w:t>
      </w:r>
      <w:r w:rsidR="00217AB4" w:rsidRPr="003F3B94">
        <w:rPr>
          <w:rFonts w:ascii="Abo-thar" w:hAnsi="Abo-thar" w:hint="cs"/>
          <w:sz w:val="28"/>
          <w:rtl/>
        </w:rPr>
        <w:t>،</w:t>
      </w:r>
      <w:r w:rsidRPr="003F3B94">
        <w:rPr>
          <w:rFonts w:ascii="Abo-thar" w:hAnsi="Abo-thar" w:hint="cs"/>
          <w:sz w:val="28"/>
          <w:rtl/>
        </w:rPr>
        <w:t xml:space="preserve"> كما تدل عليه ثلاثون روايةً متواترةً</w:t>
      </w:r>
      <w:r w:rsidR="00217AB4" w:rsidRPr="003F3B94">
        <w:rPr>
          <w:rFonts w:ascii="Abo-thar" w:hAnsi="Abo-thar" w:hint="cs"/>
          <w:sz w:val="28"/>
          <w:rtl/>
        </w:rPr>
        <w:t>،</w:t>
      </w:r>
      <w:r w:rsidRPr="003F3B94">
        <w:rPr>
          <w:rFonts w:ascii="Abo-thar" w:hAnsi="Abo-thar" w:hint="cs"/>
          <w:sz w:val="28"/>
          <w:rtl/>
        </w:rPr>
        <w:t xml:space="preserve"> فليس أحدٌ من الشيعة مطالباً إِذَنْ بأداء الخُمس</w:t>
      </w:r>
      <w:r w:rsidR="00217AB4" w:rsidRPr="003F3B94">
        <w:rPr>
          <w:rFonts w:ascii="Abo-thar" w:hAnsi="Abo-thar" w:hint="cs"/>
          <w:sz w:val="28"/>
          <w:rtl/>
        </w:rPr>
        <w:t>.</w:t>
      </w:r>
    </w:p>
    <w:p w:rsidR="005C664D" w:rsidRPr="003F3B94" w:rsidRDefault="00805824" w:rsidP="00254729">
      <w:pPr>
        <w:pStyle w:val="a0"/>
        <w:rPr>
          <w:rFonts w:hint="cs"/>
          <w:rtl/>
        </w:rPr>
      </w:pPr>
      <w:r w:rsidRPr="003F3B94">
        <w:rPr>
          <w:rFonts w:ascii="Abo-thar" w:hAnsi="Abo-thar" w:hint="cs"/>
          <w:sz w:val="28"/>
          <w:rtl/>
        </w:rPr>
        <w:t>16</w:t>
      </w:r>
      <w:r w:rsidR="005C664D" w:rsidRPr="003F3B94">
        <w:rPr>
          <w:rFonts w:ascii="Abo-thar" w:hAnsi="Abo-thar" w:hint="cs"/>
          <w:sz w:val="28"/>
          <w:rtl/>
        </w:rPr>
        <w:t xml:space="preserve"> </w:t>
      </w:r>
      <w:r w:rsidR="005C664D" w:rsidRPr="003F3B94">
        <w:rPr>
          <w:rFonts w:cs="Times New Roman" w:hint="cs"/>
          <w:sz w:val="28"/>
          <w:rtl/>
        </w:rPr>
        <w:t>–</w:t>
      </w:r>
      <w:r w:rsidR="005C664D" w:rsidRPr="003F3B94">
        <w:rPr>
          <w:rFonts w:hint="cs"/>
          <w:sz w:val="28"/>
          <w:rtl/>
        </w:rPr>
        <w:t xml:space="preserve"> </w:t>
      </w:r>
      <w:r w:rsidR="005C664D" w:rsidRPr="003F3B94">
        <w:rPr>
          <w:rFonts w:ascii="Abo-thar" w:hAnsi="Abo-thar" w:hint="cs"/>
          <w:sz w:val="28"/>
          <w:rtl/>
        </w:rPr>
        <w:t xml:space="preserve">ردَّ المرحوم الشيخ الجليل المحدِّث </w:t>
      </w:r>
      <w:r w:rsidR="005C664D" w:rsidRPr="003F3B94">
        <w:rPr>
          <w:rFonts w:ascii="Abo-thar" w:hAnsi="Abo-thar" w:hint="eastAsia"/>
          <w:sz w:val="28"/>
          <w:rtl/>
        </w:rPr>
        <w:t>«</w:t>
      </w:r>
      <w:r w:rsidR="005C664D" w:rsidRPr="003F3B94">
        <w:rPr>
          <w:rFonts w:ascii="Abo-thar" w:hAnsi="Abo-thar" w:hint="cs"/>
          <w:sz w:val="28"/>
          <w:rtl/>
        </w:rPr>
        <w:t>عبد الله بن صالح البحراني</w:t>
      </w:r>
      <w:r w:rsidR="005C664D" w:rsidRPr="003F3B94">
        <w:rPr>
          <w:rFonts w:ascii="Abo-thar" w:hAnsi="Abo-thar" w:hint="eastAsia"/>
          <w:sz w:val="28"/>
          <w:rtl/>
        </w:rPr>
        <w:t>»</w:t>
      </w:r>
      <w:r w:rsidR="00217AB4" w:rsidRPr="0021507A">
        <w:rPr>
          <w:rFonts w:cs="Arabic11 BT"/>
          <w:b/>
          <w:sz w:val="28"/>
          <w:vertAlign w:val="superscript"/>
          <w:rtl/>
        </w:rPr>
        <w:t>(</w:t>
      </w:r>
      <w:r w:rsidR="005C664D" w:rsidRPr="0021507A">
        <w:rPr>
          <w:rStyle w:val="FootnoteReference"/>
          <w:rFonts w:cs="Arabic11 BT"/>
          <w:b/>
          <w:sz w:val="28"/>
          <w:rtl/>
        </w:rPr>
        <w:footnoteReference w:id="322"/>
      </w:r>
      <w:r w:rsidR="00217AB4" w:rsidRPr="0021507A">
        <w:rPr>
          <w:rFonts w:cs="Arabic11 BT"/>
          <w:b/>
          <w:sz w:val="28"/>
          <w:vertAlign w:val="superscript"/>
          <w:rtl/>
        </w:rPr>
        <w:t>)</w:t>
      </w:r>
      <w:r w:rsidR="005C664D" w:rsidRPr="003F3B94">
        <w:rPr>
          <w:sz w:val="28"/>
          <w:rtl/>
        </w:rPr>
        <w:t xml:space="preserve"> </w:t>
      </w:r>
      <w:r w:rsidR="005C664D" w:rsidRPr="003F3B94">
        <w:rPr>
          <w:rFonts w:ascii="Abo-thar" w:hAnsi="Abo-thar" w:hint="cs"/>
          <w:sz w:val="28"/>
          <w:rtl/>
        </w:rPr>
        <w:t>بكل الشجاعة التي</w:t>
      </w:r>
      <w:r w:rsidR="00147857" w:rsidRPr="003F3B94">
        <w:rPr>
          <w:rFonts w:ascii="Abo-thar" w:hAnsi="Abo-thar" w:hint="cs"/>
          <w:sz w:val="28"/>
          <w:rtl/>
        </w:rPr>
        <w:t xml:space="preserve"> </w:t>
      </w:r>
      <w:r w:rsidR="005C664D" w:rsidRPr="003F3B94">
        <w:rPr>
          <w:rFonts w:ascii="Abo-thar" w:hAnsi="Abo-thar" w:hint="cs"/>
          <w:sz w:val="28"/>
          <w:rtl/>
        </w:rPr>
        <w:t>يتحلى بها العالم الرباني بشكل صريح وقاطع أقوال جميع المخالفين وصرّح دون أي إبهام وبصوت واضح لا تردُّدَ فيه</w:t>
      </w:r>
      <w:r w:rsidR="00217AB4" w:rsidRPr="003F3B94">
        <w:rPr>
          <w:rFonts w:ascii="Abo-thar" w:hAnsi="Abo-thar" w:hint="cs"/>
          <w:sz w:val="28"/>
          <w:rtl/>
        </w:rPr>
        <w:t>:</w:t>
      </w:r>
      <w:r w:rsidR="00254729">
        <w:rPr>
          <w:rFonts w:ascii="Abo-thar" w:hAnsi="Abo-thar" w:hint="cs"/>
          <w:sz w:val="28"/>
          <w:rtl/>
        </w:rPr>
        <w:t xml:space="preserve"> </w:t>
      </w:r>
      <w:r w:rsidR="00EF2588" w:rsidRPr="003F3B94">
        <w:rPr>
          <w:rFonts w:ascii="Abo-thar" w:hAnsi="Abo-thar" w:hint="cs"/>
          <w:sz w:val="28"/>
          <w:rtl/>
        </w:rPr>
        <w:t>«</w:t>
      </w:r>
      <w:r w:rsidR="00D326AD" w:rsidRPr="003F3B94">
        <w:rPr>
          <w:rFonts w:ascii="Abo-thar" w:hAnsi="Abo-thar"/>
          <w:b/>
          <w:bCs/>
          <w:sz w:val="28"/>
          <w:rtl/>
        </w:rPr>
        <w:t>يك</w:t>
      </w:r>
      <w:r w:rsidR="005C664D" w:rsidRPr="003F3B94">
        <w:rPr>
          <w:rFonts w:ascii="Abo-thar" w:hAnsi="Abo-thar"/>
          <w:b/>
          <w:bCs/>
          <w:sz w:val="28"/>
          <w:rtl/>
        </w:rPr>
        <w:t>ون</w:t>
      </w:r>
      <w:r w:rsidR="005C664D" w:rsidRPr="003F3B94">
        <w:rPr>
          <w:rFonts w:cs="Times New Roman" w:hint="cs"/>
          <w:b/>
          <w:bCs/>
          <w:sz w:val="28"/>
          <w:rtl/>
        </w:rPr>
        <w:t>‌</w:t>
      </w:r>
      <w:r w:rsidR="005C664D" w:rsidRPr="003F3B94">
        <w:rPr>
          <w:rFonts w:ascii="Abo-thar" w:hAnsi="Abo-thar"/>
          <w:b/>
          <w:bCs/>
          <w:sz w:val="28"/>
          <w:rtl/>
        </w:rPr>
        <w:t xml:space="preserve"> الخُمس ب</w:t>
      </w:r>
      <w:r w:rsidR="005C664D" w:rsidRPr="003F3B94">
        <w:rPr>
          <w:rFonts w:ascii="Abo-thar" w:hAnsi="Abo-thar" w:hint="cs"/>
          <w:b/>
          <w:bCs/>
          <w:sz w:val="28"/>
          <w:rtl/>
        </w:rPr>
        <w:t>أ</w:t>
      </w:r>
      <w:r w:rsidR="005C664D" w:rsidRPr="003F3B94">
        <w:rPr>
          <w:rFonts w:ascii="Abo-thar" w:hAnsi="Abo-thar"/>
          <w:b/>
          <w:bCs/>
          <w:sz w:val="28"/>
          <w:rtl/>
        </w:rPr>
        <w:t>جمعه مباحاً للش</w:t>
      </w:r>
      <w:r w:rsidR="00D326AD" w:rsidRPr="003F3B94">
        <w:rPr>
          <w:rFonts w:ascii="Abo-thar" w:hAnsi="Abo-thar"/>
          <w:b/>
          <w:bCs/>
          <w:sz w:val="28"/>
          <w:rtl/>
        </w:rPr>
        <w:t>ي</w:t>
      </w:r>
      <w:r w:rsidR="005C664D" w:rsidRPr="003F3B94">
        <w:rPr>
          <w:rFonts w:ascii="Abo-thar" w:hAnsi="Abo-thar"/>
          <w:b/>
          <w:bCs/>
          <w:sz w:val="28"/>
          <w:rtl/>
        </w:rPr>
        <w:t>ع</w:t>
      </w:r>
      <w:r w:rsidR="005C664D" w:rsidRPr="003F3B94">
        <w:rPr>
          <w:rFonts w:ascii="Abo-thar" w:hAnsi="Abo-thar" w:hint="cs"/>
          <w:b/>
          <w:bCs/>
          <w:sz w:val="28"/>
          <w:rtl/>
        </w:rPr>
        <w:t>ة</w:t>
      </w:r>
      <w:r w:rsidR="005C664D" w:rsidRPr="003F3B94">
        <w:rPr>
          <w:rFonts w:ascii="Abo-thar" w:hAnsi="Abo-thar"/>
          <w:b/>
          <w:bCs/>
          <w:sz w:val="28"/>
          <w:rtl/>
        </w:rPr>
        <w:t xml:space="preserve"> وساقطاً عنهم فلا </w:t>
      </w:r>
      <w:r w:rsidR="00D326AD" w:rsidRPr="003F3B94">
        <w:rPr>
          <w:rFonts w:ascii="Abo-thar" w:hAnsi="Abo-thar"/>
          <w:b/>
          <w:bCs/>
          <w:sz w:val="28"/>
          <w:rtl/>
        </w:rPr>
        <w:t>ي</w:t>
      </w:r>
      <w:r w:rsidR="005C664D" w:rsidRPr="003F3B94">
        <w:rPr>
          <w:rFonts w:ascii="Abo-thar" w:hAnsi="Abo-thar"/>
          <w:b/>
          <w:bCs/>
          <w:sz w:val="28"/>
          <w:rtl/>
        </w:rPr>
        <w:t>جب عل</w:t>
      </w:r>
      <w:r w:rsidR="00D326AD" w:rsidRPr="003F3B94">
        <w:rPr>
          <w:rFonts w:ascii="Abo-thar" w:hAnsi="Abo-thar"/>
          <w:b/>
          <w:bCs/>
          <w:sz w:val="28"/>
          <w:rtl/>
        </w:rPr>
        <w:t>ي</w:t>
      </w:r>
      <w:r w:rsidR="005C664D" w:rsidRPr="003F3B94">
        <w:rPr>
          <w:rFonts w:ascii="Abo-thar" w:hAnsi="Abo-thar"/>
          <w:b/>
          <w:bCs/>
          <w:sz w:val="28"/>
          <w:rtl/>
        </w:rPr>
        <w:t xml:space="preserve">هم </w:t>
      </w:r>
      <w:r w:rsidR="005C664D" w:rsidRPr="003F3B94">
        <w:rPr>
          <w:rFonts w:ascii="Abo-thar" w:hAnsi="Abo-thar" w:hint="cs"/>
          <w:b/>
          <w:bCs/>
          <w:sz w:val="28"/>
          <w:rtl/>
        </w:rPr>
        <w:t>إ</w:t>
      </w:r>
      <w:r w:rsidR="005C664D" w:rsidRPr="003F3B94">
        <w:rPr>
          <w:rFonts w:ascii="Abo-thar" w:hAnsi="Abo-thar"/>
          <w:b/>
          <w:bCs/>
          <w:sz w:val="28"/>
          <w:rtl/>
        </w:rPr>
        <w:t>خراجه</w:t>
      </w:r>
      <w:r w:rsidR="00EF2588" w:rsidRPr="003F3B94">
        <w:rPr>
          <w:rFonts w:ascii="Abo-thar" w:hAnsi="Abo-thar" w:hint="cs"/>
          <w:sz w:val="28"/>
          <w:rtl/>
        </w:rPr>
        <w:t>»</w:t>
      </w:r>
      <w:r w:rsidR="00217AB4" w:rsidRPr="0021507A">
        <w:rPr>
          <w:rFonts w:cs="Arabic11 BT"/>
          <w:b/>
          <w:sz w:val="28"/>
          <w:vertAlign w:val="superscript"/>
          <w:rtl/>
        </w:rPr>
        <w:t>(</w:t>
      </w:r>
      <w:r w:rsidR="005C664D" w:rsidRPr="0021507A">
        <w:rPr>
          <w:rStyle w:val="FootnoteReference"/>
          <w:rFonts w:cs="Arabic11 BT"/>
          <w:b/>
          <w:sz w:val="28"/>
          <w:rtl/>
        </w:rPr>
        <w:footnoteReference w:id="323"/>
      </w:r>
      <w:r w:rsidR="00217AB4" w:rsidRPr="0021507A">
        <w:rPr>
          <w:rFonts w:cs="Arabic11 BT"/>
          <w:b/>
          <w:sz w:val="28"/>
          <w:vertAlign w:val="superscript"/>
          <w:rtl/>
        </w:rPr>
        <w:t>)</w:t>
      </w:r>
      <w:r w:rsidR="00217AB4" w:rsidRPr="003F3B94">
        <w:rPr>
          <w:rFonts w:ascii="Abo-thar" w:hAnsi="Abo-thar" w:hint="cs"/>
          <w:sz w:val="28"/>
          <w:rtl/>
        </w:rPr>
        <w:t>.</w:t>
      </w:r>
      <w:r w:rsidR="00147857" w:rsidRPr="003F3B94">
        <w:rPr>
          <w:rFonts w:ascii="Abo-thar" w:hAnsi="Abo-thar" w:hint="cs"/>
          <w:sz w:val="28"/>
          <w:rtl/>
        </w:rPr>
        <w:t xml:space="preserve"> </w:t>
      </w:r>
    </w:p>
    <w:p w:rsidR="005C664D" w:rsidRPr="003F3B94" w:rsidRDefault="00805824" w:rsidP="003F3B94">
      <w:pPr>
        <w:pStyle w:val="a0"/>
        <w:rPr>
          <w:rtl/>
        </w:rPr>
      </w:pPr>
      <w:r w:rsidRPr="003F3B94">
        <w:rPr>
          <w:rFonts w:ascii="Abo-thar" w:hAnsi="Abo-thar"/>
          <w:sz w:val="28"/>
          <w:rtl/>
        </w:rPr>
        <w:t xml:space="preserve">17 - وأخيرًا يعتبر المقدَّس الأردبيلي الخُمْس ساقطًا عن الشيعة في حال الغيبة والظهور، ويقول: </w:t>
      </w:r>
    </w:p>
    <w:p w:rsidR="00805824" w:rsidRPr="003F3B94" w:rsidRDefault="00805824" w:rsidP="003F3B94">
      <w:pPr>
        <w:pStyle w:val="a0"/>
        <w:rPr>
          <w:rFonts w:hint="cs"/>
          <w:rtl/>
          <w:lang w:bidi="fa-IR"/>
        </w:rPr>
      </w:pPr>
      <w:r w:rsidRPr="003F3B94">
        <w:rPr>
          <w:rFonts w:ascii="Abo-thar" w:hAnsi="Abo-thar" w:hint="cs"/>
          <w:sz w:val="28"/>
          <w:rtl/>
          <w:lang w:bidi="fa-IR"/>
        </w:rPr>
        <w:t>«</w:t>
      </w:r>
      <w:r w:rsidRPr="003F3B94">
        <w:rPr>
          <w:rFonts w:ascii="Abo-thar" w:hAnsi="Abo-thar"/>
          <w:sz w:val="28"/>
          <w:rtl/>
          <w:lang w:bidi="fa-IR"/>
        </w:rPr>
        <w:t>واعلم أنَّ عمومَ الأخبارِ</w:t>
      </w:r>
      <w:r w:rsidRPr="003F3B94">
        <w:rPr>
          <w:rFonts w:ascii="Abo-thar" w:hAnsi="Abo-thar" w:hint="cs"/>
          <w:sz w:val="28"/>
          <w:rtl/>
          <w:lang w:bidi="fa-IR"/>
        </w:rPr>
        <w:t xml:space="preserve"> </w:t>
      </w:r>
      <w:r w:rsidR="00D326AD" w:rsidRPr="003F3B94">
        <w:rPr>
          <w:rFonts w:ascii="Abo-thar" w:hAnsi="Abo-thar"/>
          <w:sz w:val="28"/>
          <w:rtl/>
          <w:lang w:bidi="fa-IR"/>
        </w:rPr>
        <w:t>ي</w:t>
      </w:r>
      <w:r w:rsidRPr="003F3B94">
        <w:rPr>
          <w:rFonts w:ascii="Abo-thar" w:hAnsi="Abo-thar"/>
          <w:sz w:val="28"/>
          <w:rtl/>
          <w:lang w:bidi="fa-IR"/>
        </w:rPr>
        <w:t>دلُّ علی السُّـقوطِ بال</w:t>
      </w:r>
      <w:r w:rsidR="00D326AD" w:rsidRPr="003F3B94">
        <w:rPr>
          <w:rFonts w:ascii="Abo-thar" w:hAnsi="Abo-thar"/>
          <w:sz w:val="28"/>
          <w:rtl/>
          <w:lang w:bidi="fa-IR"/>
        </w:rPr>
        <w:t>ك</w:t>
      </w:r>
      <w:r w:rsidRPr="003F3B94">
        <w:rPr>
          <w:rFonts w:ascii="Abo-thar" w:hAnsi="Abo-thar"/>
          <w:sz w:val="28"/>
          <w:rtl/>
          <w:lang w:bidi="fa-IR"/>
        </w:rPr>
        <w:t>لّ</w:t>
      </w:r>
      <w:r w:rsidR="00D326AD" w:rsidRPr="003F3B94">
        <w:rPr>
          <w:rFonts w:ascii="Abo-thar" w:hAnsi="Abo-thar"/>
          <w:sz w:val="28"/>
          <w:rtl/>
          <w:lang w:bidi="fa-IR"/>
        </w:rPr>
        <w:t>ي</w:t>
      </w:r>
      <w:r w:rsidRPr="003F3B94">
        <w:rPr>
          <w:rFonts w:ascii="Abo-thar" w:hAnsi="Abo-thar"/>
          <w:sz w:val="28"/>
          <w:rtl/>
          <w:lang w:bidi="fa-IR"/>
        </w:rPr>
        <w:t>ة ف</w:t>
      </w:r>
      <w:r w:rsidRPr="003F3B94">
        <w:rPr>
          <w:rFonts w:ascii="Abo-thar" w:hAnsi="Abo-thar" w:hint="cs"/>
          <w:sz w:val="28"/>
          <w:rtl/>
          <w:lang w:bidi="fa-IR"/>
        </w:rPr>
        <w:t>ي</w:t>
      </w:r>
      <w:r w:rsidRPr="003F3B94">
        <w:rPr>
          <w:rFonts w:ascii="Abo-thar" w:hAnsi="Abo-thar"/>
          <w:sz w:val="28"/>
          <w:rtl/>
          <w:lang w:bidi="fa-IR"/>
        </w:rPr>
        <w:t xml:space="preserve"> زمانِ الغَ</w:t>
      </w:r>
      <w:r w:rsidR="00D326AD" w:rsidRPr="003F3B94">
        <w:rPr>
          <w:rFonts w:ascii="Abo-thar" w:hAnsi="Abo-thar"/>
          <w:sz w:val="28"/>
          <w:rtl/>
          <w:lang w:bidi="fa-IR"/>
        </w:rPr>
        <w:t>ي</w:t>
      </w:r>
      <w:r w:rsidRPr="003F3B94">
        <w:rPr>
          <w:rFonts w:ascii="Abo-thar" w:hAnsi="Abo-thar"/>
          <w:sz w:val="28"/>
          <w:rtl/>
          <w:lang w:bidi="fa-IR"/>
        </w:rPr>
        <w:t>بةِ والحضورِ بمعنی عَدمِ الوجوبِ الحتم</w:t>
      </w:r>
      <w:r w:rsidRPr="003F3B94">
        <w:rPr>
          <w:rFonts w:ascii="Abo-thar" w:hAnsi="Abo-thar" w:hint="cs"/>
          <w:sz w:val="28"/>
          <w:rtl/>
          <w:lang w:bidi="fa-IR"/>
        </w:rPr>
        <w:t>يّ</w:t>
      </w:r>
      <w:r w:rsidRPr="003F3B94">
        <w:rPr>
          <w:rFonts w:ascii="Abo-thar" w:hAnsi="Abo-thar"/>
          <w:sz w:val="28"/>
          <w:rtl/>
          <w:lang w:bidi="fa-IR"/>
        </w:rPr>
        <w:t xml:space="preserve"> ف</w:t>
      </w:r>
      <w:r w:rsidR="00D326AD" w:rsidRPr="003F3B94">
        <w:rPr>
          <w:rFonts w:ascii="Abo-thar" w:hAnsi="Abo-thar"/>
          <w:sz w:val="28"/>
          <w:rtl/>
          <w:lang w:bidi="fa-IR"/>
        </w:rPr>
        <w:t>ك</w:t>
      </w:r>
      <w:r w:rsidRPr="003F3B94">
        <w:rPr>
          <w:rFonts w:ascii="Abo-thar" w:hAnsi="Abo-thar"/>
          <w:sz w:val="28"/>
          <w:rtl/>
          <w:lang w:bidi="fa-IR"/>
        </w:rPr>
        <w:t xml:space="preserve">أنَّهم </w:t>
      </w:r>
      <w:r w:rsidR="00963EFD" w:rsidRPr="00963EFD">
        <w:rPr>
          <w:rFonts w:ascii="Abo-thar" w:hAnsi="Abo-thar" w:cs="CTraditional Arabic"/>
          <w:sz w:val="28"/>
          <w:rtl/>
          <w:lang w:bidi="fa-IR"/>
        </w:rPr>
        <w:t>‡</w:t>
      </w:r>
      <w:r w:rsidRPr="003F3B94">
        <w:rPr>
          <w:rFonts w:ascii="Abo-thar" w:hAnsi="Abo-thar"/>
          <w:sz w:val="28"/>
          <w:rtl/>
          <w:lang w:bidi="fa-IR"/>
        </w:rPr>
        <w:t xml:space="preserve"> أخبروا بذل</w:t>
      </w:r>
      <w:r w:rsidRPr="003F3B94">
        <w:rPr>
          <w:rFonts w:ascii="Abo-thar" w:hAnsi="Abo-thar" w:hint="cs"/>
          <w:sz w:val="28"/>
          <w:rtl/>
          <w:lang w:bidi="fa-IR"/>
        </w:rPr>
        <w:t>ك</w:t>
      </w:r>
      <w:r w:rsidRPr="003F3B94">
        <w:rPr>
          <w:rFonts w:ascii="Abo-thar" w:hAnsi="Abo-thar"/>
          <w:sz w:val="28"/>
          <w:rtl/>
          <w:lang w:bidi="fa-IR"/>
        </w:rPr>
        <w:t xml:space="preserve"> فَعُلِمَ عدمُ الوجوب الحتم</w:t>
      </w:r>
      <w:r w:rsidRPr="003F3B94">
        <w:rPr>
          <w:rFonts w:ascii="Abo-thar" w:hAnsi="Abo-thar" w:hint="cs"/>
          <w:sz w:val="28"/>
          <w:rtl/>
          <w:lang w:bidi="fa-IR"/>
        </w:rPr>
        <w:t>ي</w:t>
      </w:r>
      <w:r w:rsidRPr="003F3B94">
        <w:rPr>
          <w:rFonts w:ascii="Abo-thar" w:hAnsi="Abo-thar"/>
          <w:sz w:val="28"/>
          <w:rtl/>
          <w:lang w:bidi="fa-IR"/>
        </w:rPr>
        <w:t xml:space="preserve"> فلا </w:t>
      </w:r>
      <w:r w:rsidR="00D326AD" w:rsidRPr="003F3B94">
        <w:rPr>
          <w:rFonts w:ascii="Abo-thar" w:hAnsi="Abo-thar"/>
          <w:sz w:val="28"/>
          <w:rtl/>
          <w:lang w:bidi="fa-IR"/>
        </w:rPr>
        <w:t>ي</w:t>
      </w:r>
      <w:r w:rsidRPr="003F3B94">
        <w:rPr>
          <w:rFonts w:ascii="Abo-thar" w:hAnsi="Abo-thar"/>
          <w:sz w:val="28"/>
          <w:rtl/>
          <w:lang w:bidi="fa-IR"/>
        </w:rPr>
        <w:t xml:space="preserve">رَدُّ أنَّهُ لا </w:t>
      </w:r>
      <w:r w:rsidR="00D326AD" w:rsidRPr="003F3B94">
        <w:rPr>
          <w:rFonts w:ascii="Abo-thar" w:hAnsi="Abo-thar"/>
          <w:sz w:val="28"/>
          <w:rtl/>
          <w:lang w:bidi="fa-IR"/>
        </w:rPr>
        <w:t>ي</w:t>
      </w:r>
      <w:r w:rsidRPr="003F3B94">
        <w:rPr>
          <w:rFonts w:ascii="Abo-thar" w:hAnsi="Abo-thar"/>
          <w:sz w:val="28"/>
          <w:rtl/>
          <w:lang w:bidi="fa-IR"/>
        </w:rPr>
        <w:t>جوزُ الإباحةُ بعدَ موتِهـم</w:t>
      </w:r>
      <w:r w:rsidRPr="003F3B94">
        <w:rPr>
          <w:rFonts w:ascii="Abo-thar" w:hAnsi="Abo-thar" w:hint="cs"/>
          <w:sz w:val="28"/>
          <w:rtl/>
          <w:lang w:bidi="fa-IR"/>
        </w:rPr>
        <w:t>،</w:t>
      </w:r>
      <w:r w:rsidRPr="003F3B94">
        <w:rPr>
          <w:rFonts w:ascii="Abo-thar" w:hAnsi="Abo-thar"/>
          <w:sz w:val="28"/>
          <w:rtl/>
          <w:lang w:bidi="fa-IR"/>
        </w:rPr>
        <w:t xml:space="preserve"> لأنهُ مالُ الغ</w:t>
      </w:r>
      <w:r w:rsidR="00D326AD" w:rsidRPr="003F3B94">
        <w:rPr>
          <w:rFonts w:ascii="Abo-thar" w:hAnsi="Abo-thar"/>
          <w:sz w:val="28"/>
          <w:rtl/>
          <w:lang w:bidi="fa-IR"/>
        </w:rPr>
        <w:t>ي</w:t>
      </w:r>
      <w:r w:rsidRPr="003F3B94">
        <w:rPr>
          <w:rFonts w:ascii="Abo-thar" w:hAnsi="Abo-thar"/>
          <w:sz w:val="28"/>
          <w:rtl/>
          <w:lang w:bidi="fa-IR"/>
        </w:rPr>
        <w:t>ـر مـع التصر</w:t>
      </w:r>
      <w:r w:rsidR="00D326AD" w:rsidRPr="003F3B94">
        <w:rPr>
          <w:rFonts w:ascii="Abo-thar" w:hAnsi="Abo-thar"/>
          <w:sz w:val="28"/>
          <w:rtl/>
          <w:lang w:bidi="fa-IR"/>
        </w:rPr>
        <w:t>ي</w:t>
      </w:r>
      <w:r w:rsidRPr="003F3B94">
        <w:rPr>
          <w:rFonts w:ascii="Abo-thar" w:hAnsi="Abo-thar"/>
          <w:sz w:val="28"/>
          <w:rtl/>
          <w:lang w:bidi="fa-IR"/>
        </w:rPr>
        <w:t>ح ف</w:t>
      </w:r>
      <w:r w:rsidR="00D326AD" w:rsidRPr="003F3B94">
        <w:rPr>
          <w:rFonts w:ascii="Abo-thar" w:hAnsi="Abo-thar"/>
          <w:sz w:val="28"/>
          <w:rtl/>
          <w:lang w:bidi="fa-IR"/>
        </w:rPr>
        <w:t>ي</w:t>
      </w:r>
      <w:r w:rsidRPr="003F3B94">
        <w:rPr>
          <w:rFonts w:ascii="Abo-thar" w:hAnsi="Abo-thar"/>
          <w:sz w:val="28"/>
          <w:rtl/>
          <w:lang w:bidi="fa-IR"/>
        </w:rPr>
        <w:t xml:space="preserve"> البعض بالسقوطِ </w:t>
      </w:r>
      <w:r w:rsidRPr="003F3B94">
        <w:rPr>
          <w:rFonts w:ascii="Abo-thar" w:hAnsi="Abo-thar" w:hint="cs"/>
          <w:sz w:val="28"/>
          <w:rtl/>
          <w:lang w:bidi="fa-IR"/>
        </w:rPr>
        <w:t>إ</w:t>
      </w:r>
      <w:r w:rsidRPr="003F3B94">
        <w:rPr>
          <w:rFonts w:ascii="Abo-thar" w:hAnsi="Abo-thar"/>
          <w:sz w:val="28"/>
          <w:rtl/>
          <w:lang w:bidi="fa-IR"/>
        </w:rPr>
        <w:t>لی ق</w:t>
      </w:r>
      <w:r w:rsidR="00D326AD" w:rsidRPr="003F3B94">
        <w:rPr>
          <w:rFonts w:ascii="Abo-thar" w:hAnsi="Abo-thar"/>
          <w:sz w:val="28"/>
          <w:rtl/>
          <w:lang w:bidi="fa-IR"/>
        </w:rPr>
        <w:t>ي</w:t>
      </w:r>
      <w:r w:rsidRPr="003F3B94">
        <w:rPr>
          <w:rFonts w:ascii="Abo-thar" w:hAnsi="Abo-thar"/>
          <w:sz w:val="28"/>
          <w:rtl/>
          <w:lang w:bidi="fa-IR"/>
        </w:rPr>
        <w:t>امِ القائم و</w:t>
      </w:r>
      <w:r w:rsidR="00D326AD" w:rsidRPr="003F3B94">
        <w:rPr>
          <w:rFonts w:ascii="Abo-thar" w:hAnsi="Abo-thar"/>
          <w:sz w:val="28"/>
          <w:rtl/>
          <w:lang w:bidi="fa-IR"/>
        </w:rPr>
        <w:t>ي</w:t>
      </w:r>
      <w:r w:rsidRPr="003F3B94">
        <w:rPr>
          <w:rFonts w:ascii="Abo-thar" w:hAnsi="Abo-thar"/>
          <w:sz w:val="28"/>
          <w:rtl/>
          <w:lang w:bidi="fa-IR"/>
        </w:rPr>
        <w:t>ومِ الق</w:t>
      </w:r>
      <w:r w:rsidR="00D326AD" w:rsidRPr="003F3B94">
        <w:rPr>
          <w:rFonts w:ascii="Abo-thar" w:hAnsi="Abo-thar"/>
          <w:sz w:val="28"/>
          <w:rtl/>
          <w:lang w:bidi="fa-IR"/>
        </w:rPr>
        <w:t>ي</w:t>
      </w:r>
      <w:r w:rsidRPr="003F3B94">
        <w:rPr>
          <w:rFonts w:ascii="Abo-thar" w:hAnsi="Abo-thar"/>
          <w:sz w:val="28"/>
          <w:rtl/>
          <w:lang w:bidi="fa-IR"/>
        </w:rPr>
        <w:t>امةِ بل ظاهرُها سقوطُ الخُمسِ بال</w:t>
      </w:r>
      <w:r w:rsidR="00D326AD" w:rsidRPr="003F3B94">
        <w:rPr>
          <w:rFonts w:ascii="Abo-thar" w:hAnsi="Abo-thar"/>
          <w:sz w:val="28"/>
          <w:rtl/>
          <w:lang w:bidi="fa-IR"/>
        </w:rPr>
        <w:t>ك</w:t>
      </w:r>
      <w:r w:rsidRPr="003F3B94">
        <w:rPr>
          <w:rFonts w:ascii="Abo-thar" w:hAnsi="Abo-thar"/>
          <w:sz w:val="28"/>
          <w:rtl/>
          <w:lang w:bidi="fa-IR"/>
        </w:rPr>
        <w:t>لّ</w:t>
      </w:r>
      <w:r w:rsidR="00D326AD" w:rsidRPr="003F3B94">
        <w:rPr>
          <w:rFonts w:ascii="Abo-thar" w:hAnsi="Abo-thar"/>
          <w:sz w:val="28"/>
          <w:rtl/>
          <w:lang w:bidi="fa-IR"/>
        </w:rPr>
        <w:t>ي</w:t>
      </w:r>
      <w:r w:rsidRPr="003F3B94">
        <w:rPr>
          <w:rFonts w:ascii="Abo-thar" w:hAnsi="Abo-thar"/>
          <w:sz w:val="28"/>
          <w:rtl/>
          <w:lang w:bidi="fa-IR"/>
        </w:rPr>
        <w:t>ةِ ف</w:t>
      </w:r>
      <w:r w:rsidR="00D326AD" w:rsidRPr="003F3B94">
        <w:rPr>
          <w:rFonts w:ascii="Abo-thar" w:hAnsi="Abo-thar"/>
          <w:sz w:val="28"/>
          <w:rtl/>
          <w:lang w:bidi="fa-IR"/>
        </w:rPr>
        <w:t>ي</w:t>
      </w:r>
      <w:r w:rsidRPr="003F3B94">
        <w:rPr>
          <w:rFonts w:ascii="Abo-thar" w:hAnsi="Abo-thar"/>
          <w:sz w:val="28"/>
          <w:rtl/>
          <w:lang w:bidi="fa-IR"/>
        </w:rPr>
        <w:t xml:space="preserve"> حِصَّةِ الفقراءِ أ</w:t>
      </w:r>
      <w:r w:rsidR="00D326AD" w:rsidRPr="003F3B94">
        <w:rPr>
          <w:rFonts w:ascii="Abo-thar" w:hAnsi="Abo-thar"/>
          <w:sz w:val="28"/>
          <w:rtl/>
          <w:lang w:bidi="fa-IR"/>
        </w:rPr>
        <w:t>ي</w:t>
      </w:r>
      <w:r w:rsidRPr="003F3B94">
        <w:rPr>
          <w:rFonts w:ascii="Abo-thar" w:hAnsi="Abo-thar"/>
          <w:sz w:val="28"/>
          <w:rtl/>
          <w:lang w:bidi="fa-IR"/>
        </w:rPr>
        <w:t>ضاً واِباحةِ أ</w:t>
      </w:r>
      <w:r w:rsidR="00D326AD" w:rsidRPr="003F3B94">
        <w:rPr>
          <w:rFonts w:ascii="Abo-thar" w:hAnsi="Abo-thar"/>
          <w:sz w:val="28"/>
          <w:rtl/>
          <w:lang w:bidi="fa-IR"/>
        </w:rPr>
        <w:t>ك</w:t>
      </w:r>
      <w:r w:rsidRPr="003F3B94">
        <w:rPr>
          <w:rFonts w:ascii="Abo-thar" w:hAnsi="Abo-thar"/>
          <w:sz w:val="28"/>
          <w:rtl/>
          <w:lang w:bidi="fa-IR"/>
        </w:rPr>
        <w:t>لهِ مطلقاً سواءٌ أ</w:t>
      </w:r>
      <w:r w:rsidR="00D326AD" w:rsidRPr="003F3B94">
        <w:rPr>
          <w:rFonts w:ascii="Abo-thar" w:hAnsi="Abo-thar"/>
          <w:sz w:val="28"/>
          <w:rtl/>
          <w:lang w:bidi="fa-IR"/>
        </w:rPr>
        <w:t>ك</w:t>
      </w:r>
      <w:r w:rsidRPr="003F3B94">
        <w:rPr>
          <w:rFonts w:ascii="Abo-thar" w:hAnsi="Abo-thar"/>
          <w:sz w:val="28"/>
          <w:rtl/>
          <w:lang w:bidi="fa-IR"/>
        </w:rPr>
        <w:t>لَ مِن مالِه ذل</w:t>
      </w:r>
      <w:r w:rsidRPr="003F3B94">
        <w:rPr>
          <w:rFonts w:ascii="Abo-thar" w:hAnsi="Abo-thar" w:hint="cs"/>
          <w:sz w:val="28"/>
          <w:rtl/>
          <w:lang w:bidi="fa-IR"/>
        </w:rPr>
        <w:t>ك</w:t>
      </w:r>
      <w:r w:rsidRPr="003F3B94">
        <w:rPr>
          <w:rFonts w:ascii="Abo-thar" w:hAnsi="Abo-thar"/>
          <w:sz w:val="28"/>
          <w:rtl/>
          <w:lang w:bidi="fa-IR"/>
        </w:rPr>
        <w:t xml:space="preserve"> أو غَ</w:t>
      </w:r>
      <w:r w:rsidR="00D326AD" w:rsidRPr="003F3B94">
        <w:rPr>
          <w:rFonts w:ascii="Abo-thar" w:hAnsi="Abo-thar"/>
          <w:sz w:val="28"/>
          <w:rtl/>
          <w:lang w:bidi="fa-IR"/>
        </w:rPr>
        <w:t>ي</w:t>
      </w:r>
      <w:r w:rsidRPr="003F3B94">
        <w:rPr>
          <w:rFonts w:ascii="Abo-thar" w:hAnsi="Abo-thar"/>
          <w:sz w:val="28"/>
          <w:rtl/>
          <w:lang w:bidi="fa-IR"/>
        </w:rPr>
        <w:t>ره</w:t>
      </w:r>
      <w:r w:rsidRPr="003F3B94">
        <w:rPr>
          <w:rFonts w:ascii="Abo-thar" w:hAnsi="Abo-thar" w:hint="cs"/>
          <w:sz w:val="28"/>
          <w:rtl/>
          <w:lang w:bidi="fa-IR"/>
        </w:rPr>
        <w:t>،</w:t>
      </w:r>
      <w:r w:rsidRPr="003F3B94">
        <w:rPr>
          <w:rFonts w:ascii="Abo-thar" w:hAnsi="Abo-thar"/>
          <w:sz w:val="28"/>
          <w:rtl/>
          <w:lang w:bidi="fa-IR"/>
        </w:rPr>
        <w:t xml:space="preserve"> وهذه الأخبارُ هِ</w:t>
      </w:r>
      <w:r w:rsidRPr="003F3B94">
        <w:rPr>
          <w:rFonts w:ascii="Abo-thar" w:hAnsi="Abo-thar" w:hint="cs"/>
          <w:sz w:val="28"/>
          <w:rtl/>
          <w:lang w:bidi="fa-IR"/>
        </w:rPr>
        <w:t>ي</w:t>
      </w:r>
      <w:r w:rsidRPr="003F3B94">
        <w:rPr>
          <w:rFonts w:ascii="Abo-thar" w:hAnsi="Abo-thar"/>
          <w:sz w:val="28"/>
          <w:rtl/>
          <w:lang w:bidi="fa-IR"/>
        </w:rPr>
        <w:t xml:space="preserve"> الت</w:t>
      </w:r>
      <w:r w:rsidRPr="003F3B94">
        <w:rPr>
          <w:rFonts w:ascii="Abo-thar" w:hAnsi="Abo-thar" w:hint="cs"/>
          <w:sz w:val="28"/>
          <w:rtl/>
          <w:lang w:bidi="fa-IR"/>
        </w:rPr>
        <w:t>ي</w:t>
      </w:r>
      <w:r w:rsidRPr="003F3B94">
        <w:rPr>
          <w:rFonts w:ascii="Abo-thar" w:hAnsi="Abo-thar"/>
          <w:sz w:val="28"/>
          <w:rtl/>
          <w:lang w:bidi="fa-IR"/>
        </w:rPr>
        <w:t xml:space="preserve"> دلَّت علی السقوطِ حالَ الغَ</w:t>
      </w:r>
      <w:r w:rsidR="00D326AD" w:rsidRPr="003F3B94">
        <w:rPr>
          <w:rFonts w:ascii="Abo-thar" w:hAnsi="Abo-thar"/>
          <w:sz w:val="28"/>
          <w:rtl/>
          <w:lang w:bidi="fa-IR"/>
        </w:rPr>
        <w:t>ي</w:t>
      </w:r>
      <w:r w:rsidRPr="003F3B94">
        <w:rPr>
          <w:rFonts w:ascii="Abo-thar" w:hAnsi="Abo-thar"/>
          <w:sz w:val="28"/>
          <w:rtl/>
          <w:lang w:bidi="fa-IR"/>
        </w:rPr>
        <w:t>بةِ</w:t>
      </w:r>
      <w:r w:rsidRPr="003F3B94">
        <w:rPr>
          <w:rFonts w:ascii="Abo-thar" w:hAnsi="Abo-thar" w:hint="cs"/>
          <w:sz w:val="28"/>
          <w:rtl/>
          <w:lang w:bidi="fa-IR"/>
        </w:rPr>
        <w:t>»</w:t>
      </w:r>
      <w:r w:rsidR="005736CE" w:rsidRPr="0021507A">
        <w:rPr>
          <w:rFonts w:ascii="Abo-thar" w:hAnsi="Abo-thar" w:cs="Arabic11 BT"/>
          <w:sz w:val="28"/>
          <w:vertAlign w:val="superscript"/>
          <w:rtl/>
          <w:lang w:bidi="fa-IR"/>
        </w:rPr>
        <w:t>(</w:t>
      </w:r>
      <w:r w:rsidR="005736CE" w:rsidRPr="0021507A">
        <w:rPr>
          <w:rStyle w:val="FootnoteReference"/>
          <w:rFonts w:ascii="Abo-thar" w:hAnsi="Abo-thar" w:cs="Arabic11 BT"/>
          <w:sz w:val="28"/>
          <w:rtl/>
          <w:lang w:bidi="fa-IR"/>
        </w:rPr>
        <w:footnoteReference w:id="324"/>
      </w:r>
      <w:r w:rsidR="005736CE" w:rsidRPr="0021507A">
        <w:rPr>
          <w:rFonts w:ascii="Abo-thar" w:hAnsi="Abo-thar" w:cs="Arabic11 BT"/>
          <w:sz w:val="28"/>
          <w:vertAlign w:val="superscript"/>
          <w:rtl/>
          <w:lang w:bidi="fa-IR"/>
        </w:rPr>
        <w:t>)</w:t>
      </w:r>
      <w:r w:rsidRPr="003F3B94">
        <w:rPr>
          <w:rFonts w:ascii="Abo-thar" w:hAnsi="Abo-thar"/>
          <w:sz w:val="28"/>
          <w:rtl/>
          <w:lang w:bidi="fa-IR"/>
        </w:rPr>
        <w:t>.</w:t>
      </w:r>
    </w:p>
    <w:p w:rsidR="00805824" w:rsidRPr="003F3B94" w:rsidRDefault="00805824" w:rsidP="00254729">
      <w:pPr>
        <w:pStyle w:val="a0"/>
        <w:spacing w:after="0"/>
        <w:rPr>
          <w:rFonts w:hint="cs"/>
          <w:rtl/>
          <w:lang w:bidi="fa-IR"/>
        </w:rPr>
      </w:pPr>
      <w:r w:rsidRPr="003F3B94">
        <w:rPr>
          <w:rFonts w:ascii="Abo-thar" w:hAnsi="Abo-thar" w:hint="cs"/>
          <w:sz w:val="28"/>
          <w:rtl/>
          <w:lang w:bidi="fa-IR"/>
        </w:rPr>
        <w:t>تدل هذه العبارة بوضوح على أن الخمس ساقط عن الشيعة إلى أن يقوم القائم، بل ساقط عن الشيعة إلى يوم القيامة. يقول الفاضل الشيباني عن الشيخ المقدس الأردبيلي: «</w:t>
      </w:r>
      <w:r w:rsidRPr="003F3B94">
        <w:rPr>
          <w:rFonts w:ascii="Abo-thar" w:hAnsi="Abo-thar"/>
          <w:sz w:val="28"/>
          <w:rtl/>
          <w:lang w:bidi="fa-IR"/>
        </w:rPr>
        <w:t>وال</w:t>
      </w:r>
      <w:r w:rsidRPr="003F3B94">
        <w:rPr>
          <w:rFonts w:ascii="Abo-thar" w:hAnsi="Abo-thar" w:hint="cs"/>
          <w:sz w:val="28"/>
          <w:rtl/>
          <w:lang w:bidi="fa-IR"/>
        </w:rPr>
        <w:t>ـ</w:t>
      </w:r>
      <w:r w:rsidRPr="003F3B94">
        <w:rPr>
          <w:rFonts w:ascii="Abo-thar" w:hAnsi="Abo-thar"/>
          <w:sz w:val="28"/>
          <w:rtl/>
          <w:lang w:bidi="fa-IR"/>
        </w:rPr>
        <w:t xml:space="preserve">مصنّفُ دام ظلّهُ </w:t>
      </w:r>
      <w:r w:rsidR="00D326AD" w:rsidRPr="003F3B94">
        <w:rPr>
          <w:rFonts w:ascii="Abo-thar" w:hAnsi="Abo-thar"/>
          <w:sz w:val="28"/>
          <w:rtl/>
          <w:lang w:bidi="fa-IR"/>
        </w:rPr>
        <w:t>ي</w:t>
      </w:r>
      <w:r w:rsidRPr="003F3B94">
        <w:rPr>
          <w:rFonts w:ascii="Abo-thar" w:hAnsi="Abo-thar"/>
          <w:sz w:val="28"/>
          <w:rtl/>
          <w:lang w:bidi="fa-IR"/>
        </w:rPr>
        <w:t>ری عدمَ وجوبِ الخمسِ ف</w:t>
      </w:r>
      <w:r w:rsidRPr="003F3B94">
        <w:rPr>
          <w:rFonts w:ascii="Abo-thar" w:hAnsi="Abo-thar" w:hint="cs"/>
          <w:sz w:val="28"/>
          <w:rtl/>
          <w:lang w:bidi="fa-IR"/>
        </w:rPr>
        <w:t>ي</w:t>
      </w:r>
      <w:r w:rsidRPr="003F3B94">
        <w:rPr>
          <w:rFonts w:ascii="Abo-thar" w:hAnsi="Abo-thar"/>
          <w:sz w:val="28"/>
          <w:rtl/>
          <w:lang w:bidi="fa-IR"/>
        </w:rPr>
        <w:t xml:space="preserve"> زَمن الغَ</w:t>
      </w:r>
      <w:r w:rsidR="00D326AD" w:rsidRPr="003F3B94">
        <w:rPr>
          <w:rFonts w:ascii="Abo-thar" w:hAnsi="Abo-thar"/>
          <w:sz w:val="28"/>
          <w:rtl/>
          <w:lang w:bidi="fa-IR"/>
        </w:rPr>
        <w:t>ي</w:t>
      </w:r>
      <w:r w:rsidRPr="003F3B94">
        <w:rPr>
          <w:rFonts w:ascii="Abo-thar" w:hAnsi="Abo-thar"/>
          <w:sz w:val="28"/>
          <w:rtl/>
          <w:lang w:bidi="fa-IR"/>
        </w:rPr>
        <w:t>بةِ</w:t>
      </w:r>
      <w:r w:rsidRPr="003F3B94">
        <w:rPr>
          <w:rFonts w:ascii="Abo-thar" w:hAnsi="Abo-thar" w:hint="cs"/>
          <w:sz w:val="28"/>
          <w:rtl/>
          <w:lang w:bidi="fa-IR"/>
        </w:rPr>
        <w:t>».</w:t>
      </w:r>
    </w:p>
    <w:p w:rsidR="005C664D" w:rsidRPr="00995B26" w:rsidRDefault="003D6690" w:rsidP="007D2B8A">
      <w:pPr>
        <w:pStyle w:val="a5"/>
        <w:rPr>
          <w:rFonts w:hint="cs"/>
          <w:rtl/>
        </w:rPr>
      </w:pPr>
      <w:bookmarkStart w:id="105" w:name="_Toc387843076"/>
      <w:r w:rsidRPr="00995B26">
        <w:rPr>
          <w:rFonts w:hint="cs"/>
          <w:rtl/>
        </w:rPr>
        <w:t xml:space="preserve">4- </w:t>
      </w:r>
      <w:r w:rsidR="005C664D" w:rsidRPr="00995B26">
        <w:rPr>
          <w:rFonts w:hint="cs"/>
          <w:rtl/>
        </w:rPr>
        <w:t>نتيجة ما تقدم</w:t>
      </w:r>
      <w:r w:rsidR="00805824" w:rsidRPr="00995B26">
        <w:rPr>
          <w:rFonts w:hint="cs"/>
          <w:rtl/>
        </w:rPr>
        <w:t xml:space="preserve"> من البحث</w:t>
      </w:r>
      <w:bookmarkEnd w:id="105"/>
    </w:p>
    <w:p w:rsidR="005C664D" w:rsidRPr="003F3B94" w:rsidRDefault="005C664D" w:rsidP="003F3B94">
      <w:pPr>
        <w:pStyle w:val="a0"/>
        <w:rPr>
          <w:rFonts w:hint="cs"/>
          <w:rtl/>
        </w:rPr>
      </w:pPr>
      <w:r w:rsidRPr="003F3B94">
        <w:rPr>
          <w:rFonts w:ascii="Abo-thar" w:hAnsi="Abo-thar" w:hint="cs"/>
          <w:sz w:val="28"/>
          <w:rtl/>
        </w:rPr>
        <w:t xml:space="preserve">قلنا في الصفحات الماضية إن </w:t>
      </w:r>
      <w:r w:rsidRPr="003F3B94">
        <w:rPr>
          <w:rFonts w:ascii="Abo-thar" w:hAnsi="Abo-thar"/>
          <w:sz w:val="28"/>
          <w:rtl/>
        </w:rPr>
        <w:t>«</w:t>
      </w:r>
      <w:r w:rsidRPr="003F3B94">
        <w:rPr>
          <w:rFonts w:ascii="Abo-thar" w:hAnsi="Abo-thar" w:hint="cs"/>
          <w:sz w:val="28"/>
          <w:rtl/>
        </w:rPr>
        <w:t>الخُمُس</w:t>
      </w:r>
      <w:r w:rsidRPr="003F3B94">
        <w:rPr>
          <w:rFonts w:ascii="Abo-thar" w:hAnsi="Abo-thar"/>
          <w:sz w:val="28"/>
          <w:rtl/>
        </w:rPr>
        <w:t>»</w:t>
      </w:r>
      <w:r w:rsidRPr="003F3B94">
        <w:rPr>
          <w:rFonts w:ascii="Abo-thar" w:hAnsi="Abo-thar" w:hint="cs"/>
          <w:sz w:val="28"/>
          <w:rtl/>
        </w:rPr>
        <w:t xml:space="preserve"> الرائج اليوم بين الشيعة الإمامية ليس له أثر ولا سند لا في كتاب الله ولا في سنة رسول الله</w:t>
      </w:r>
      <w:r w:rsidR="00147857" w:rsidRPr="003F3B94">
        <w:rPr>
          <w:rFonts w:ascii="Abo-thar" w:hAnsi="Abo-thar" w:hint="cs"/>
          <w:sz w:val="28"/>
          <w:rtl/>
        </w:rPr>
        <w:t xml:space="preserve"> </w:t>
      </w:r>
      <w:r w:rsidR="003C7AEB" w:rsidRPr="003C7AEB">
        <w:rPr>
          <w:rFonts w:ascii="Abo-thar" w:hAnsi="Abo-thar" w:cs="CTraditional Arabic" w:hint="cs"/>
          <w:sz w:val="28"/>
          <w:rtl/>
        </w:rPr>
        <w:t>ص</w:t>
      </w:r>
      <w:r w:rsidR="00147857" w:rsidRPr="003F3B94">
        <w:rPr>
          <w:rFonts w:ascii="Abo-thar" w:hAnsi="Abo-thar" w:hint="cs"/>
          <w:sz w:val="28"/>
          <w:rtl/>
        </w:rPr>
        <w:t xml:space="preserve"> </w:t>
      </w:r>
      <w:r w:rsidRPr="003F3B94">
        <w:rPr>
          <w:rFonts w:ascii="Abo-thar" w:hAnsi="Abo-thar" w:hint="cs"/>
          <w:sz w:val="28"/>
          <w:rtl/>
        </w:rPr>
        <w:t>ولا في سيرته ولا في عمل وسلوك الخلفاء بعد النبي</w:t>
      </w:r>
      <w:r w:rsidR="00147857" w:rsidRPr="003F3B94">
        <w:rPr>
          <w:rFonts w:ascii="Abo-thar" w:hAnsi="Abo-thar" w:hint="cs"/>
          <w:sz w:val="28"/>
          <w:rtl/>
        </w:rPr>
        <w:t xml:space="preserve"> </w:t>
      </w:r>
      <w:r w:rsidR="003C7AEB" w:rsidRPr="003C7AEB">
        <w:rPr>
          <w:rFonts w:ascii="Abo-thar" w:hAnsi="Abo-thar" w:cs="CTraditional Arabic" w:hint="cs"/>
          <w:sz w:val="28"/>
          <w:rtl/>
        </w:rPr>
        <w:t>ص</w:t>
      </w:r>
      <w:r w:rsidR="00217AB4" w:rsidRPr="003F3B94">
        <w:rPr>
          <w:rFonts w:ascii="Abo-thar" w:hAnsi="Abo-thar" w:hint="cs"/>
          <w:sz w:val="28"/>
          <w:rtl/>
        </w:rPr>
        <w:t>.</w:t>
      </w:r>
      <w:r w:rsidRPr="003F3B94">
        <w:rPr>
          <w:rFonts w:ascii="Abo-thar" w:hAnsi="Abo-thar" w:hint="cs"/>
          <w:sz w:val="28"/>
          <w:rtl/>
        </w:rPr>
        <w:t xml:space="preserve"> ورغم أن حضـرة أمير المؤمنين</w:t>
      </w:r>
      <w:r w:rsidR="00147857" w:rsidRPr="003F3B94">
        <w:rPr>
          <w:rFonts w:ascii="Abo-thar" w:hAnsi="Abo-thar" w:hint="cs"/>
          <w:sz w:val="28"/>
          <w:rtl/>
        </w:rPr>
        <w:t xml:space="preserve"> </w:t>
      </w:r>
      <w:r w:rsidR="003C7AEB" w:rsidRPr="003C7AEB">
        <w:rPr>
          <w:rFonts w:ascii="Abo-thar" w:hAnsi="Abo-thar" w:cs="CTraditional Arabic"/>
          <w:sz w:val="28"/>
          <w:rtl/>
        </w:rPr>
        <w:t>÷</w:t>
      </w:r>
      <w:r w:rsidR="00147857" w:rsidRPr="003F3B94">
        <w:rPr>
          <w:rFonts w:ascii="Abo-thar" w:hAnsi="Abo-thar"/>
          <w:sz w:val="28"/>
          <w:rtl/>
        </w:rPr>
        <w:t xml:space="preserve"> </w:t>
      </w:r>
      <w:r w:rsidRPr="003F3B94">
        <w:rPr>
          <w:rFonts w:ascii="Abo-thar" w:hAnsi="Abo-thar" w:hint="cs"/>
          <w:sz w:val="28"/>
          <w:rtl/>
        </w:rPr>
        <w:t>كان يأخذ الخمس من الأموال التي اختلطت بحرام إلا أنه لم يكن يأخذ ذلك الخمس لنفسه ولا يعطيه لأي من بني هاشم وذلك لأنه كان يرى ذلك الخمس جزءاً من أموال الزكاة والصدقات التي تصرف في مصارف الزكاة</w:t>
      </w:r>
      <w:r w:rsidR="00217AB4" w:rsidRPr="003F3B94">
        <w:rPr>
          <w:rFonts w:ascii="Abo-thar" w:hAnsi="Abo-thar" w:hint="cs"/>
          <w:sz w:val="28"/>
          <w:rtl/>
        </w:rPr>
        <w:t>.</w:t>
      </w:r>
      <w:r w:rsidRPr="003F3B94">
        <w:rPr>
          <w:rFonts w:ascii="Abo-thar" w:hAnsi="Abo-thar" w:hint="cs"/>
          <w:sz w:val="28"/>
          <w:rtl/>
        </w:rPr>
        <w:t xml:space="preserve"> كما أنه لم يأخذ أحد من الأئمة المعصومين سلام الله عليهم تحت أي عنوان مثل ذلك الخمس من الناس</w:t>
      </w:r>
      <w:r w:rsidR="001E0DB7" w:rsidRPr="003F3B94">
        <w:rPr>
          <w:rFonts w:ascii="Abo-thar" w:hAnsi="Abo-thar" w:hint="cs"/>
          <w:sz w:val="28"/>
          <w:rtl/>
        </w:rPr>
        <w:t>،</w:t>
      </w:r>
      <w:r w:rsidRPr="003F3B94">
        <w:rPr>
          <w:rFonts w:ascii="Abo-thar" w:hAnsi="Abo-thar" w:hint="cs"/>
          <w:sz w:val="28"/>
          <w:rtl/>
        </w:rPr>
        <w:t xml:space="preserve"> إلى درجة أننا لا نجد بين كل هذه الأحاديث من صحيح وضعيف ولا في جميع كتب التاريخ للموالين والمخالفين أي خبر يثبت أن أولئك الأجلاء الكرام كانوا يأخذون شيئاً تحت عنوان الخمس من أرباح الناس ومكاسبهم الناس</w:t>
      </w:r>
      <w:r w:rsidR="001E0DB7" w:rsidRPr="003F3B94">
        <w:rPr>
          <w:rFonts w:ascii="Abo-thar" w:hAnsi="Abo-thar" w:hint="cs"/>
          <w:sz w:val="28"/>
          <w:rtl/>
        </w:rPr>
        <w:t>،</w:t>
      </w:r>
      <w:r w:rsidRPr="003F3B94">
        <w:rPr>
          <w:rFonts w:ascii="Abo-thar" w:hAnsi="Abo-thar" w:hint="cs"/>
          <w:sz w:val="28"/>
          <w:rtl/>
        </w:rPr>
        <w:t xml:space="preserve"> إلى الحد الذي كان حضرة سيد الساجدين علي بن الحسين زين العابدين</w:t>
      </w:r>
      <w:r w:rsidR="00147857" w:rsidRPr="003F3B94">
        <w:rPr>
          <w:rFonts w:ascii="Abo-thar" w:hAnsi="Abo-thar" w:hint="cs"/>
          <w:sz w:val="28"/>
          <w:rtl/>
        </w:rPr>
        <w:t xml:space="preserve"> </w:t>
      </w:r>
      <w:r w:rsidR="003C7AEB" w:rsidRPr="003C7AEB">
        <w:rPr>
          <w:rFonts w:ascii="Abo-thar" w:hAnsi="Abo-thar" w:cs="CTraditional Arabic"/>
          <w:sz w:val="28"/>
          <w:rtl/>
        </w:rPr>
        <w:t>÷</w:t>
      </w:r>
      <w:r w:rsidR="00147857" w:rsidRPr="003F3B94">
        <w:rPr>
          <w:rFonts w:ascii="Abo-thar" w:hAnsi="Abo-thar"/>
          <w:sz w:val="28"/>
          <w:rtl/>
        </w:rPr>
        <w:t xml:space="preserve"> </w:t>
      </w:r>
      <w:r w:rsidRPr="003F3B94">
        <w:rPr>
          <w:rFonts w:ascii="Abo-thar" w:hAnsi="Abo-thar" w:hint="cs"/>
          <w:sz w:val="28"/>
          <w:rtl/>
        </w:rPr>
        <w:t>يقول ذلك القول المشهور والمعروف</w:t>
      </w:r>
      <w:r w:rsidR="00217AB4" w:rsidRPr="003F3B94">
        <w:rPr>
          <w:rFonts w:ascii="Abo-thar" w:hAnsi="Abo-thar" w:hint="cs"/>
          <w:sz w:val="28"/>
          <w:rtl/>
        </w:rPr>
        <w:t>:</w:t>
      </w:r>
      <w:r w:rsidRPr="003F3B94">
        <w:rPr>
          <w:rFonts w:ascii="Abo-thar" w:hAnsi="Abo-thar" w:hint="cs"/>
          <w:sz w:val="28"/>
          <w:rtl/>
        </w:rPr>
        <w:t xml:space="preserve"> </w:t>
      </w:r>
      <w:r w:rsidR="00EF2588" w:rsidRPr="004408B9">
        <w:rPr>
          <w:rFonts w:ascii="Abo-thar" w:hAnsi="Abo-thar" w:cs="KFGQPC Uthman Taha Naskh" w:hint="cs"/>
          <w:sz w:val="28"/>
          <w:rtl/>
        </w:rPr>
        <w:t>«</w:t>
      </w:r>
      <w:r w:rsidRPr="004408B9">
        <w:rPr>
          <w:rFonts w:ascii="Abo-thar" w:hAnsi="Abo-thar" w:cs="KFGQPC Uthman Taha Naskh"/>
          <w:b/>
          <w:bCs/>
          <w:sz w:val="28"/>
          <w:rtl/>
        </w:rPr>
        <w:t>مَا أَكَلْتُ بِقَرَابَتِي مِنْ رَسُولِ اللهِ</w:t>
      </w:r>
      <w:r w:rsidR="00147857" w:rsidRPr="004408B9">
        <w:rPr>
          <w:rFonts w:ascii="Abo-thar" w:hAnsi="Abo-thar" w:cs="KFGQPC Uthman Taha Naskh"/>
          <w:b/>
          <w:bCs/>
          <w:sz w:val="28"/>
          <w:rtl/>
        </w:rPr>
        <w:t xml:space="preserve"> </w:t>
      </w:r>
      <w:r w:rsidR="003C7AEB" w:rsidRPr="003C7AEB">
        <w:rPr>
          <w:rFonts w:ascii="Abo-thar" w:hAnsi="Abo-thar" w:cs="CTraditional Arabic"/>
          <w:sz w:val="28"/>
          <w:rtl/>
        </w:rPr>
        <w:t>ص</w:t>
      </w:r>
      <w:r w:rsidR="00147857" w:rsidRPr="004408B9">
        <w:rPr>
          <w:rFonts w:ascii="Abo-thar" w:hAnsi="Abo-thar" w:cs="KFGQPC Uthman Taha Naskh"/>
          <w:sz w:val="28"/>
          <w:rtl/>
        </w:rPr>
        <w:t xml:space="preserve"> </w:t>
      </w:r>
      <w:r w:rsidRPr="004408B9">
        <w:rPr>
          <w:rFonts w:ascii="Abo-thar" w:hAnsi="Abo-thar" w:cs="KFGQPC Uthman Taha Naskh"/>
          <w:b/>
          <w:bCs/>
          <w:sz w:val="28"/>
          <w:rtl/>
        </w:rPr>
        <w:t>شَيْئاً قَط</w:t>
      </w:r>
      <w:r w:rsidR="00EF2588" w:rsidRPr="004408B9">
        <w:rPr>
          <w:rFonts w:ascii="Abo-thar" w:hAnsi="Abo-thar" w:cs="KFGQPC Uthman Taha Naskh" w:hint="cs"/>
          <w:sz w:val="28"/>
          <w:rtl/>
        </w:rPr>
        <w:t>»</w:t>
      </w:r>
      <w:r w:rsidR="00217AB4" w:rsidRPr="0021507A">
        <w:rPr>
          <w:rFonts w:cs="Arabic11 BT"/>
          <w:b/>
          <w:sz w:val="28"/>
          <w:vertAlign w:val="superscript"/>
          <w:rtl/>
        </w:rPr>
        <w:t>(</w:t>
      </w:r>
      <w:r w:rsidRPr="0021507A">
        <w:rPr>
          <w:rStyle w:val="FootnoteReference"/>
          <w:rFonts w:cs="Arabic11 BT"/>
          <w:b/>
          <w:sz w:val="28"/>
          <w:rtl/>
        </w:rPr>
        <w:footnoteReference w:id="325"/>
      </w:r>
      <w:r w:rsidR="00217AB4" w:rsidRPr="0021507A">
        <w:rPr>
          <w:rFonts w:cs="Arabic11 BT"/>
          <w:b/>
          <w:sz w:val="28"/>
          <w:vertAlign w:val="superscript"/>
          <w:rtl/>
        </w:rPr>
        <w:t>)</w:t>
      </w:r>
      <w:r w:rsidR="00217AB4" w:rsidRPr="003F3B94">
        <w:rPr>
          <w:rFonts w:ascii="Abo-thar" w:hAnsi="Abo-thar" w:hint="cs"/>
          <w:sz w:val="28"/>
          <w:rtl/>
        </w:rPr>
        <w:t>،</w:t>
      </w:r>
      <w:r w:rsidR="00147857" w:rsidRPr="003F3B94">
        <w:rPr>
          <w:rFonts w:ascii="Abo-thar" w:hAnsi="Abo-thar" w:hint="cs"/>
          <w:sz w:val="28"/>
          <w:rtl/>
        </w:rPr>
        <w:t xml:space="preserve"> </w:t>
      </w:r>
      <w:r w:rsidRPr="003F3B94">
        <w:rPr>
          <w:rFonts w:ascii="Abo-thar" w:hAnsi="Abo-thar" w:hint="cs"/>
          <w:sz w:val="28"/>
          <w:rtl/>
        </w:rPr>
        <w:t>وجاء في قصة خروج زيد بن موسى بن جعفر</w:t>
      </w:r>
      <w:r w:rsidR="00147857" w:rsidRPr="003F3B94">
        <w:rPr>
          <w:rFonts w:ascii="Abo-thar" w:hAnsi="Abo-thar" w:hint="cs"/>
          <w:sz w:val="28"/>
          <w:rtl/>
        </w:rPr>
        <w:t xml:space="preserve"> </w:t>
      </w:r>
      <w:r w:rsidR="003C7AEB" w:rsidRPr="003C7AEB">
        <w:rPr>
          <w:rFonts w:ascii="Abo-thar" w:hAnsi="Abo-thar" w:cs="CTraditional Arabic"/>
          <w:sz w:val="28"/>
          <w:rtl/>
        </w:rPr>
        <w:t>÷</w:t>
      </w:r>
      <w:r w:rsidR="00147857" w:rsidRPr="003F3B94">
        <w:rPr>
          <w:rFonts w:ascii="Abo-thar" w:hAnsi="Abo-thar"/>
          <w:sz w:val="28"/>
          <w:rtl/>
        </w:rPr>
        <w:t xml:space="preserve"> </w:t>
      </w:r>
      <w:r w:rsidRPr="003F3B94">
        <w:rPr>
          <w:rFonts w:ascii="Abo-thar" w:hAnsi="Abo-thar" w:hint="cs"/>
          <w:sz w:val="28"/>
          <w:rtl/>
        </w:rPr>
        <w:t xml:space="preserve">التي روتها كتب العامَّة والخاصَّة </w:t>
      </w:r>
      <w:r w:rsidR="00EF2588" w:rsidRPr="003F3B94">
        <w:rPr>
          <w:rFonts w:ascii="Abo-thar" w:hAnsi="Abo-thar" w:hint="cs"/>
          <w:b/>
          <w:bCs/>
          <w:sz w:val="28"/>
          <w:rtl/>
        </w:rPr>
        <w:t>«</w:t>
      </w:r>
      <w:r w:rsidRPr="003F3B94">
        <w:rPr>
          <w:rFonts w:ascii="Abo-thar" w:hAnsi="Abo-thar" w:hint="eastAsia"/>
          <w:sz w:val="28"/>
          <w:rtl/>
        </w:rPr>
        <w:t>أن</w:t>
      </w:r>
      <w:r w:rsidRPr="003F3B94">
        <w:rPr>
          <w:rFonts w:ascii="Abo-thar" w:hAnsi="Abo-thar"/>
          <w:sz w:val="28"/>
          <w:rtl/>
        </w:rPr>
        <w:t xml:space="preserve"> </w:t>
      </w:r>
      <w:r w:rsidRPr="003F3B94">
        <w:rPr>
          <w:rFonts w:ascii="Abo-thar" w:hAnsi="Abo-thar" w:hint="eastAsia"/>
          <w:sz w:val="28"/>
          <w:rtl/>
        </w:rPr>
        <w:t>زيد</w:t>
      </w:r>
      <w:r w:rsidRPr="003F3B94">
        <w:rPr>
          <w:rFonts w:ascii="Abo-thar" w:hAnsi="Abo-thar"/>
          <w:sz w:val="28"/>
          <w:rtl/>
        </w:rPr>
        <w:t xml:space="preserve"> </w:t>
      </w:r>
      <w:r w:rsidRPr="003F3B94">
        <w:rPr>
          <w:rFonts w:ascii="Abo-thar" w:hAnsi="Abo-thar" w:hint="eastAsia"/>
          <w:sz w:val="28"/>
          <w:rtl/>
        </w:rPr>
        <w:t>بن</w:t>
      </w:r>
      <w:r w:rsidRPr="003F3B94">
        <w:rPr>
          <w:rFonts w:ascii="Abo-thar" w:hAnsi="Abo-thar"/>
          <w:sz w:val="28"/>
          <w:rtl/>
        </w:rPr>
        <w:t xml:space="preserve"> </w:t>
      </w:r>
      <w:r w:rsidRPr="003F3B94">
        <w:rPr>
          <w:rFonts w:ascii="Abo-thar" w:hAnsi="Abo-thar" w:hint="eastAsia"/>
          <w:sz w:val="28"/>
          <w:rtl/>
        </w:rPr>
        <w:t>موسى</w:t>
      </w:r>
      <w:r w:rsidRPr="003F3B94">
        <w:rPr>
          <w:rFonts w:ascii="Abo-thar" w:hAnsi="Abo-thar"/>
          <w:sz w:val="28"/>
          <w:rtl/>
        </w:rPr>
        <w:t xml:space="preserve"> </w:t>
      </w:r>
      <w:r w:rsidRPr="003F3B94">
        <w:rPr>
          <w:rFonts w:ascii="Abo-thar" w:hAnsi="Abo-thar" w:hint="eastAsia"/>
          <w:sz w:val="28"/>
          <w:rtl/>
        </w:rPr>
        <w:t>خرج</w:t>
      </w:r>
      <w:r w:rsidRPr="003F3B94">
        <w:rPr>
          <w:rFonts w:ascii="Abo-thar" w:hAnsi="Abo-thar"/>
          <w:sz w:val="28"/>
          <w:rtl/>
        </w:rPr>
        <w:t xml:space="preserve"> </w:t>
      </w:r>
      <w:r w:rsidRPr="003F3B94">
        <w:rPr>
          <w:rFonts w:ascii="Abo-thar" w:hAnsi="Abo-thar" w:hint="eastAsia"/>
          <w:sz w:val="28"/>
          <w:rtl/>
        </w:rPr>
        <w:t>بالبصرة</w:t>
      </w:r>
      <w:r w:rsidRPr="003F3B94">
        <w:rPr>
          <w:rFonts w:ascii="Abo-thar" w:hAnsi="Abo-thar"/>
          <w:sz w:val="28"/>
          <w:rtl/>
        </w:rPr>
        <w:t xml:space="preserve"> </w:t>
      </w:r>
      <w:r w:rsidRPr="003F3B94">
        <w:rPr>
          <w:rFonts w:ascii="Abo-thar" w:hAnsi="Abo-thar" w:hint="eastAsia"/>
          <w:sz w:val="28"/>
          <w:rtl/>
        </w:rPr>
        <w:t>على</w:t>
      </w:r>
      <w:r w:rsidRPr="003F3B94">
        <w:rPr>
          <w:rFonts w:ascii="Abo-thar" w:hAnsi="Abo-thar"/>
          <w:sz w:val="28"/>
          <w:rtl/>
        </w:rPr>
        <w:t xml:space="preserve"> </w:t>
      </w:r>
      <w:r w:rsidRPr="003F3B94">
        <w:rPr>
          <w:rFonts w:ascii="Abo-thar" w:hAnsi="Abo-thar" w:hint="eastAsia"/>
          <w:sz w:val="28"/>
          <w:rtl/>
        </w:rPr>
        <w:t>المأمون</w:t>
      </w:r>
      <w:r w:rsidRPr="003F3B94">
        <w:rPr>
          <w:rFonts w:ascii="Abo-thar" w:hAnsi="Abo-thar"/>
          <w:sz w:val="28"/>
          <w:rtl/>
        </w:rPr>
        <w:t xml:space="preserve"> </w:t>
      </w:r>
      <w:r w:rsidRPr="003F3B94">
        <w:rPr>
          <w:rFonts w:ascii="Abo-thar" w:hAnsi="Abo-thar" w:hint="eastAsia"/>
          <w:sz w:val="28"/>
          <w:rtl/>
        </w:rPr>
        <w:t>وفتك</w:t>
      </w:r>
      <w:r w:rsidRPr="003F3B94">
        <w:rPr>
          <w:rFonts w:ascii="Abo-thar" w:hAnsi="Abo-thar"/>
          <w:sz w:val="28"/>
          <w:rtl/>
        </w:rPr>
        <w:t xml:space="preserve"> </w:t>
      </w:r>
      <w:r w:rsidRPr="003F3B94">
        <w:rPr>
          <w:rFonts w:ascii="Abo-thar" w:hAnsi="Abo-thar" w:hint="eastAsia"/>
          <w:sz w:val="28"/>
          <w:rtl/>
        </w:rPr>
        <w:t>بأهلها</w:t>
      </w:r>
      <w:r w:rsidR="00217AB4" w:rsidRPr="003F3B94">
        <w:rPr>
          <w:rFonts w:ascii="Abo-thar" w:hAnsi="Abo-thar"/>
          <w:sz w:val="28"/>
          <w:rtl/>
        </w:rPr>
        <w:t>.</w:t>
      </w:r>
      <w:r w:rsidRPr="003F3B94">
        <w:rPr>
          <w:rFonts w:ascii="Abo-thar" w:hAnsi="Abo-thar"/>
          <w:sz w:val="28"/>
          <w:rtl/>
        </w:rPr>
        <w:t xml:space="preserve"> </w:t>
      </w:r>
      <w:r w:rsidRPr="003F3B94">
        <w:rPr>
          <w:rFonts w:ascii="Abo-thar" w:hAnsi="Abo-thar" w:hint="eastAsia"/>
          <w:sz w:val="28"/>
          <w:rtl/>
        </w:rPr>
        <w:t>فبعث</w:t>
      </w:r>
      <w:r w:rsidRPr="003F3B94">
        <w:rPr>
          <w:rFonts w:ascii="Abo-thar" w:hAnsi="Abo-thar"/>
          <w:sz w:val="28"/>
          <w:rtl/>
        </w:rPr>
        <w:t xml:space="preserve"> </w:t>
      </w:r>
      <w:r w:rsidRPr="003F3B94">
        <w:rPr>
          <w:rFonts w:ascii="Abo-thar" w:hAnsi="Abo-thar" w:hint="eastAsia"/>
          <w:sz w:val="28"/>
          <w:rtl/>
        </w:rPr>
        <w:t>إليه</w:t>
      </w:r>
      <w:r w:rsidRPr="003F3B94">
        <w:rPr>
          <w:rFonts w:ascii="Abo-thar" w:hAnsi="Abo-thar"/>
          <w:sz w:val="28"/>
          <w:rtl/>
        </w:rPr>
        <w:t xml:space="preserve"> </w:t>
      </w:r>
      <w:r w:rsidRPr="003F3B94">
        <w:rPr>
          <w:rFonts w:ascii="Abo-thar" w:hAnsi="Abo-thar" w:hint="eastAsia"/>
          <w:sz w:val="28"/>
          <w:rtl/>
        </w:rPr>
        <w:t>المأمون</w:t>
      </w:r>
      <w:r w:rsidRPr="003F3B94">
        <w:rPr>
          <w:rFonts w:ascii="Abo-thar" w:hAnsi="Abo-thar"/>
          <w:sz w:val="28"/>
          <w:rtl/>
        </w:rPr>
        <w:t xml:space="preserve"> </w:t>
      </w:r>
      <w:r w:rsidRPr="003F3B94">
        <w:rPr>
          <w:rFonts w:ascii="Abo-thar" w:hAnsi="Abo-thar" w:hint="eastAsia"/>
          <w:sz w:val="28"/>
          <w:rtl/>
        </w:rPr>
        <w:t>أخاه</w:t>
      </w:r>
      <w:r w:rsidRPr="003F3B94">
        <w:rPr>
          <w:rFonts w:ascii="Abo-thar" w:hAnsi="Abo-thar"/>
          <w:sz w:val="28"/>
          <w:rtl/>
        </w:rPr>
        <w:t xml:space="preserve"> </w:t>
      </w:r>
      <w:r w:rsidRPr="003F3B94">
        <w:rPr>
          <w:rFonts w:ascii="Abo-thar" w:hAnsi="Abo-thar" w:hint="eastAsia"/>
          <w:sz w:val="28"/>
          <w:rtl/>
        </w:rPr>
        <w:t>علي</w:t>
      </w:r>
      <w:r w:rsidRPr="003F3B94">
        <w:rPr>
          <w:rFonts w:ascii="Abo-thar" w:hAnsi="Abo-thar"/>
          <w:sz w:val="28"/>
          <w:rtl/>
        </w:rPr>
        <w:t xml:space="preserve"> </w:t>
      </w:r>
      <w:r w:rsidRPr="003F3B94">
        <w:rPr>
          <w:rFonts w:ascii="Abo-thar" w:hAnsi="Abo-thar" w:hint="eastAsia"/>
          <w:sz w:val="28"/>
          <w:rtl/>
        </w:rPr>
        <w:t>بن</w:t>
      </w:r>
      <w:r w:rsidRPr="003F3B94">
        <w:rPr>
          <w:rFonts w:ascii="Abo-thar" w:hAnsi="Abo-thar"/>
          <w:sz w:val="28"/>
          <w:rtl/>
        </w:rPr>
        <w:t xml:space="preserve"> </w:t>
      </w:r>
      <w:r w:rsidRPr="003F3B94">
        <w:rPr>
          <w:rFonts w:ascii="Abo-thar" w:hAnsi="Abo-thar" w:hint="eastAsia"/>
          <w:sz w:val="28"/>
          <w:rtl/>
        </w:rPr>
        <w:t>موسى</w:t>
      </w:r>
      <w:r w:rsidRPr="003F3B94">
        <w:rPr>
          <w:rFonts w:ascii="Abo-thar" w:hAnsi="Abo-thar"/>
          <w:sz w:val="28"/>
          <w:rtl/>
        </w:rPr>
        <w:t xml:space="preserve"> </w:t>
      </w:r>
      <w:r w:rsidRPr="003F3B94">
        <w:rPr>
          <w:rFonts w:ascii="Abo-thar" w:hAnsi="Abo-thar" w:hint="eastAsia"/>
          <w:sz w:val="28"/>
          <w:rtl/>
        </w:rPr>
        <w:t>الرضا</w:t>
      </w:r>
      <w:r w:rsidR="00147857" w:rsidRPr="003F3B94">
        <w:rPr>
          <w:rFonts w:ascii="Abo-thar" w:hAnsi="Abo-thar"/>
          <w:sz w:val="28"/>
          <w:rtl/>
        </w:rPr>
        <w:t xml:space="preserve"> </w:t>
      </w:r>
      <w:r w:rsidR="003C7AEB" w:rsidRPr="003C7AEB">
        <w:rPr>
          <w:rFonts w:ascii="Abo-thar" w:hAnsi="Abo-thar" w:cs="CTraditional Arabic"/>
          <w:sz w:val="28"/>
          <w:rtl/>
        </w:rPr>
        <w:t>÷</w:t>
      </w:r>
      <w:r w:rsidR="00147857" w:rsidRPr="003F3B94">
        <w:rPr>
          <w:rFonts w:ascii="Abo-thar" w:hAnsi="Abo-thar"/>
          <w:sz w:val="28"/>
          <w:rtl/>
        </w:rPr>
        <w:t xml:space="preserve"> </w:t>
      </w:r>
      <w:r w:rsidRPr="003F3B94">
        <w:rPr>
          <w:rFonts w:ascii="Abo-thar" w:hAnsi="Abo-thar" w:hint="eastAsia"/>
          <w:sz w:val="28"/>
          <w:rtl/>
        </w:rPr>
        <w:t>يرد</w:t>
      </w:r>
      <w:r w:rsidRPr="003F3B94">
        <w:rPr>
          <w:rFonts w:ascii="Abo-thar" w:hAnsi="Abo-thar" w:hint="cs"/>
          <w:sz w:val="28"/>
          <w:rtl/>
        </w:rPr>
        <w:t>ُّ</w:t>
      </w:r>
      <w:r w:rsidRPr="003F3B94">
        <w:rPr>
          <w:rFonts w:ascii="Abo-thar" w:hAnsi="Abo-thar" w:hint="eastAsia"/>
          <w:sz w:val="28"/>
          <w:rtl/>
        </w:rPr>
        <w:t>ه</w:t>
      </w:r>
      <w:r w:rsidRPr="003F3B94">
        <w:rPr>
          <w:rFonts w:ascii="Abo-thar" w:hAnsi="Abo-thar"/>
          <w:sz w:val="28"/>
          <w:rtl/>
        </w:rPr>
        <w:t xml:space="preserve"> </w:t>
      </w:r>
      <w:r w:rsidRPr="003F3B94">
        <w:rPr>
          <w:rFonts w:ascii="Abo-thar" w:hAnsi="Abo-thar" w:hint="eastAsia"/>
          <w:sz w:val="28"/>
          <w:rtl/>
        </w:rPr>
        <w:t>عن</w:t>
      </w:r>
      <w:r w:rsidRPr="003F3B94">
        <w:rPr>
          <w:rFonts w:ascii="Abo-thar" w:hAnsi="Abo-thar"/>
          <w:sz w:val="28"/>
          <w:rtl/>
        </w:rPr>
        <w:t xml:space="preserve"> </w:t>
      </w:r>
      <w:r w:rsidRPr="003F3B94">
        <w:rPr>
          <w:rFonts w:ascii="Abo-thar" w:hAnsi="Abo-thar" w:hint="eastAsia"/>
          <w:sz w:val="28"/>
          <w:rtl/>
        </w:rPr>
        <w:t>ذلك</w:t>
      </w:r>
      <w:r w:rsidR="00217AB4" w:rsidRPr="003F3B94">
        <w:rPr>
          <w:rFonts w:ascii="Abo-thar" w:hAnsi="Abo-thar"/>
          <w:sz w:val="28"/>
          <w:rtl/>
        </w:rPr>
        <w:t>.</w:t>
      </w:r>
      <w:r w:rsidRPr="003F3B94">
        <w:rPr>
          <w:rFonts w:ascii="Abo-thar" w:hAnsi="Abo-thar"/>
          <w:sz w:val="28"/>
          <w:rtl/>
        </w:rPr>
        <w:t xml:space="preserve"> </w:t>
      </w:r>
      <w:r w:rsidRPr="003F3B94">
        <w:rPr>
          <w:rFonts w:ascii="Abo-thar" w:hAnsi="Abo-thar" w:hint="eastAsia"/>
          <w:sz w:val="28"/>
          <w:rtl/>
        </w:rPr>
        <w:t>فسار</w:t>
      </w:r>
      <w:r w:rsidRPr="003F3B94">
        <w:rPr>
          <w:rFonts w:ascii="Abo-thar" w:hAnsi="Abo-thar"/>
          <w:sz w:val="28"/>
          <w:rtl/>
        </w:rPr>
        <w:t xml:space="preserve"> </w:t>
      </w:r>
      <w:r w:rsidRPr="003F3B94">
        <w:rPr>
          <w:rFonts w:ascii="Abo-thar" w:hAnsi="Abo-thar" w:hint="eastAsia"/>
          <w:sz w:val="28"/>
          <w:rtl/>
        </w:rPr>
        <w:t>إليه</w:t>
      </w:r>
      <w:r w:rsidRPr="003F3B94">
        <w:rPr>
          <w:rFonts w:ascii="Abo-thar" w:hAnsi="Abo-thar"/>
          <w:sz w:val="28"/>
          <w:rtl/>
        </w:rPr>
        <w:t xml:space="preserve"> </w:t>
      </w:r>
      <w:r w:rsidRPr="003F3B94">
        <w:rPr>
          <w:rFonts w:ascii="Abo-thar" w:hAnsi="Abo-thar" w:hint="eastAsia"/>
          <w:sz w:val="28"/>
          <w:rtl/>
        </w:rPr>
        <w:t>فيما</w:t>
      </w:r>
      <w:r w:rsidRPr="003F3B94">
        <w:rPr>
          <w:rFonts w:ascii="Abo-thar" w:hAnsi="Abo-thar"/>
          <w:sz w:val="28"/>
          <w:rtl/>
        </w:rPr>
        <w:t xml:space="preserve"> </w:t>
      </w:r>
      <w:r w:rsidRPr="003F3B94">
        <w:rPr>
          <w:rFonts w:ascii="Abo-thar" w:hAnsi="Abo-thar" w:hint="eastAsia"/>
          <w:sz w:val="28"/>
          <w:rtl/>
        </w:rPr>
        <w:t>قيل</w:t>
      </w:r>
      <w:r w:rsidRPr="003F3B94">
        <w:rPr>
          <w:rFonts w:ascii="Abo-thar" w:hAnsi="Abo-thar"/>
          <w:sz w:val="28"/>
          <w:rtl/>
        </w:rPr>
        <w:t xml:space="preserve"> </w:t>
      </w:r>
      <w:r w:rsidRPr="003F3B94">
        <w:rPr>
          <w:rFonts w:ascii="Abo-thar" w:hAnsi="Abo-thar" w:hint="eastAsia"/>
          <w:sz w:val="28"/>
          <w:rtl/>
        </w:rPr>
        <w:t>و</w:t>
      </w:r>
      <w:r w:rsidRPr="003F3B94">
        <w:rPr>
          <w:rFonts w:ascii="Abo-thar" w:hAnsi="Abo-thar" w:hint="cs"/>
          <w:sz w:val="28"/>
          <w:rtl/>
        </w:rPr>
        <w:t>َ</w:t>
      </w:r>
      <w:r w:rsidRPr="003F3B94">
        <w:rPr>
          <w:rFonts w:ascii="Abo-thar" w:hAnsi="Abo-thar" w:hint="eastAsia"/>
          <w:sz w:val="28"/>
          <w:rtl/>
        </w:rPr>
        <w:t>ح</w:t>
      </w:r>
      <w:r w:rsidRPr="003F3B94">
        <w:rPr>
          <w:rFonts w:ascii="Abo-thar" w:hAnsi="Abo-thar" w:hint="cs"/>
          <w:sz w:val="28"/>
          <w:rtl/>
        </w:rPr>
        <w:t>َ</w:t>
      </w:r>
      <w:r w:rsidRPr="003F3B94">
        <w:rPr>
          <w:rFonts w:ascii="Abo-thar" w:hAnsi="Abo-thar" w:hint="eastAsia"/>
          <w:sz w:val="28"/>
          <w:rtl/>
        </w:rPr>
        <w:t>ج</w:t>
      </w:r>
      <w:r w:rsidRPr="003F3B94">
        <w:rPr>
          <w:rFonts w:ascii="Abo-thar" w:hAnsi="Abo-thar" w:hint="cs"/>
          <w:sz w:val="28"/>
          <w:rtl/>
        </w:rPr>
        <w:t>َّ</w:t>
      </w:r>
      <w:r w:rsidRPr="003F3B94">
        <w:rPr>
          <w:rFonts w:ascii="Abo-thar" w:hAnsi="Abo-thar" w:hint="eastAsia"/>
          <w:sz w:val="28"/>
          <w:rtl/>
        </w:rPr>
        <w:t>ه</w:t>
      </w:r>
      <w:r w:rsidRPr="003F3B94">
        <w:rPr>
          <w:rFonts w:ascii="Abo-thar" w:hAnsi="Abo-thar" w:hint="cs"/>
          <w:sz w:val="28"/>
          <w:rtl/>
        </w:rPr>
        <w:t>ُ</w:t>
      </w:r>
      <w:r w:rsidRPr="003F3B94">
        <w:rPr>
          <w:rFonts w:ascii="Abo-thar" w:hAnsi="Abo-thar"/>
          <w:sz w:val="28"/>
          <w:rtl/>
        </w:rPr>
        <w:t xml:space="preserve"> </w:t>
      </w:r>
      <w:r w:rsidRPr="003F3B94">
        <w:rPr>
          <w:rFonts w:ascii="Abo-thar" w:hAnsi="Abo-thar" w:hint="eastAsia"/>
          <w:sz w:val="28"/>
          <w:rtl/>
        </w:rPr>
        <w:t>وقال</w:t>
      </w:r>
      <w:r w:rsidRPr="003F3B94">
        <w:rPr>
          <w:rFonts w:ascii="Abo-thar" w:hAnsi="Abo-thar"/>
          <w:sz w:val="28"/>
          <w:rtl/>
        </w:rPr>
        <w:t xml:space="preserve"> </w:t>
      </w:r>
      <w:r w:rsidRPr="003F3B94">
        <w:rPr>
          <w:rFonts w:ascii="Abo-thar" w:hAnsi="Abo-thar" w:hint="eastAsia"/>
          <w:sz w:val="28"/>
          <w:rtl/>
        </w:rPr>
        <w:t>له</w:t>
      </w:r>
      <w:r w:rsidR="00217AB4" w:rsidRPr="003F3B94">
        <w:rPr>
          <w:rFonts w:ascii="Abo-thar" w:hAnsi="Abo-thar"/>
          <w:b/>
          <w:bCs/>
          <w:sz w:val="28"/>
          <w:rtl/>
        </w:rPr>
        <w:t>:</w:t>
      </w:r>
      <w:r w:rsidRPr="003F3B94">
        <w:rPr>
          <w:rFonts w:ascii="Abo-thar" w:hAnsi="Abo-thar"/>
          <w:b/>
          <w:bCs/>
          <w:sz w:val="28"/>
          <w:rtl/>
        </w:rPr>
        <w:t xml:space="preserve"> </w:t>
      </w:r>
      <w:r w:rsidRPr="003F3B94">
        <w:rPr>
          <w:rFonts w:ascii="Abo-thar" w:hAnsi="Abo-thar" w:hint="eastAsia"/>
          <w:b/>
          <w:bCs/>
          <w:sz w:val="28"/>
          <w:rtl/>
        </w:rPr>
        <w:t>ويلك</w:t>
      </w:r>
      <w:r w:rsidRPr="003F3B94">
        <w:rPr>
          <w:rFonts w:ascii="Abo-thar" w:hAnsi="Abo-thar"/>
          <w:b/>
          <w:bCs/>
          <w:sz w:val="28"/>
          <w:rtl/>
        </w:rPr>
        <w:t xml:space="preserve"> </w:t>
      </w:r>
      <w:r w:rsidRPr="003F3B94">
        <w:rPr>
          <w:rFonts w:ascii="Abo-thar" w:hAnsi="Abo-thar" w:hint="eastAsia"/>
          <w:b/>
          <w:bCs/>
          <w:sz w:val="28"/>
          <w:rtl/>
        </w:rPr>
        <w:t>يا</w:t>
      </w:r>
      <w:r w:rsidRPr="003F3B94">
        <w:rPr>
          <w:rFonts w:ascii="Abo-thar" w:hAnsi="Abo-thar"/>
          <w:b/>
          <w:bCs/>
          <w:sz w:val="28"/>
          <w:rtl/>
        </w:rPr>
        <w:t xml:space="preserve"> </w:t>
      </w:r>
      <w:r w:rsidRPr="003F3B94">
        <w:rPr>
          <w:rFonts w:ascii="Abo-thar" w:hAnsi="Abo-thar" w:hint="eastAsia"/>
          <w:b/>
          <w:bCs/>
          <w:sz w:val="28"/>
          <w:rtl/>
        </w:rPr>
        <w:t>زيد</w:t>
      </w:r>
      <w:r w:rsidR="00217AB4" w:rsidRPr="003F3B94">
        <w:rPr>
          <w:rFonts w:ascii="Abo-thar" w:hAnsi="Abo-thar" w:hint="cs"/>
          <w:b/>
          <w:bCs/>
          <w:sz w:val="28"/>
          <w:rtl/>
        </w:rPr>
        <w:t>!</w:t>
      </w:r>
      <w:r w:rsidRPr="003F3B94">
        <w:rPr>
          <w:rFonts w:ascii="Abo-thar" w:hAnsi="Abo-thar"/>
          <w:b/>
          <w:bCs/>
          <w:sz w:val="28"/>
          <w:rtl/>
        </w:rPr>
        <w:t xml:space="preserve"> </w:t>
      </w:r>
      <w:r w:rsidRPr="003F3B94">
        <w:rPr>
          <w:rFonts w:ascii="Abo-thar" w:hAnsi="Abo-thar" w:hint="eastAsia"/>
          <w:b/>
          <w:bCs/>
          <w:sz w:val="28"/>
          <w:rtl/>
        </w:rPr>
        <w:t>فعلت</w:t>
      </w:r>
      <w:r w:rsidRPr="003F3B94">
        <w:rPr>
          <w:rFonts w:ascii="Abo-thar" w:hAnsi="Abo-thar"/>
          <w:b/>
          <w:bCs/>
          <w:sz w:val="28"/>
          <w:rtl/>
        </w:rPr>
        <w:t xml:space="preserve"> </w:t>
      </w:r>
      <w:r w:rsidRPr="003F3B94">
        <w:rPr>
          <w:rFonts w:ascii="Abo-thar" w:hAnsi="Abo-thar" w:hint="eastAsia"/>
          <w:b/>
          <w:bCs/>
          <w:sz w:val="28"/>
          <w:rtl/>
        </w:rPr>
        <w:t>بالمسلمين</w:t>
      </w:r>
      <w:r w:rsidRPr="003F3B94">
        <w:rPr>
          <w:rFonts w:ascii="Abo-thar" w:hAnsi="Abo-thar"/>
          <w:b/>
          <w:bCs/>
          <w:sz w:val="28"/>
          <w:rtl/>
        </w:rPr>
        <w:t xml:space="preserve"> </w:t>
      </w:r>
      <w:r w:rsidRPr="003F3B94">
        <w:rPr>
          <w:rFonts w:ascii="Abo-thar" w:hAnsi="Abo-thar" w:hint="eastAsia"/>
          <w:b/>
          <w:bCs/>
          <w:sz w:val="28"/>
          <w:rtl/>
        </w:rPr>
        <w:t>ما</w:t>
      </w:r>
      <w:r w:rsidRPr="003F3B94">
        <w:rPr>
          <w:rFonts w:ascii="Abo-thar" w:hAnsi="Abo-thar"/>
          <w:b/>
          <w:bCs/>
          <w:sz w:val="28"/>
          <w:rtl/>
        </w:rPr>
        <w:t xml:space="preserve"> </w:t>
      </w:r>
      <w:r w:rsidRPr="003F3B94">
        <w:rPr>
          <w:rFonts w:ascii="Abo-thar" w:hAnsi="Abo-thar" w:hint="eastAsia"/>
          <w:b/>
          <w:bCs/>
          <w:sz w:val="28"/>
          <w:rtl/>
        </w:rPr>
        <w:t>فعلت</w:t>
      </w:r>
      <w:r w:rsidR="00217AB4" w:rsidRPr="003F3B94">
        <w:rPr>
          <w:rFonts w:ascii="Abo-thar" w:hAnsi="Abo-thar" w:hint="eastAsia"/>
          <w:b/>
          <w:bCs/>
          <w:sz w:val="28"/>
          <w:rtl/>
        </w:rPr>
        <w:t>،</w:t>
      </w:r>
      <w:r w:rsidRPr="003F3B94">
        <w:rPr>
          <w:rFonts w:ascii="Abo-thar" w:hAnsi="Abo-thar"/>
          <w:b/>
          <w:bCs/>
          <w:sz w:val="28"/>
          <w:rtl/>
        </w:rPr>
        <w:t xml:space="preserve"> </w:t>
      </w:r>
      <w:r w:rsidRPr="003F3B94">
        <w:rPr>
          <w:rFonts w:ascii="Abo-thar" w:hAnsi="Abo-thar" w:hint="eastAsia"/>
          <w:b/>
          <w:bCs/>
          <w:sz w:val="28"/>
          <w:rtl/>
        </w:rPr>
        <w:t>وتزعم</w:t>
      </w:r>
      <w:r w:rsidRPr="003F3B94">
        <w:rPr>
          <w:rFonts w:ascii="Abo-thar" w:hAnsi="Abo-thar"/>
          <w:b/>
          <w:bCs/>
          <w:sz w:val="28"/>
          <w:rtl/>
        </w:rPr>
        <w:t xml:space="preserve"> </w:t>
      </w:r>
      <w:r w:rsidRPr="003F3B94">
        <w:rPr>
          <w:rFonts w:ascii="Abo-thar" w:hAnsi="Abo-thar" w:hint="eastAsia"/>
          <w:b/>
          <w:bCs/>
          <w:sz w:val="28"/>
          <w:rtl/>
        </w:rPr>
        <w:t>أنك</w:t>
      </w:r>
      <w:r w:rsidRPr="003F3B94">
        <w:rPr>
          <w:rFonts w:ascii="Abo-thar" w:hAnsi="Abo-thar"/>
          <w:b/>
          <w:bCs/>
          <w:sz w:val="28"/>
          <w:rtl/>
        </w:rPr>
        <w:t xml:space="preserve"> </w:t>
      </w:r>
      <w:r w:rsidRPr="003F3B94">
        <w:rPr>
          <w:rFonts w:ascii="Abo-thar" w:hAnsi="Abo-thar" w:hint="eastAsia"/>
          <w:b/>
          <w:bCs/>
          <w:sz w:val="28"/>
          <w:rtl/>
        </w:rPr>
        <w:t>ابن</w:t>
      </w:r>
      <w:r w:rsidRPr="003F3B94">
        <w:rPr>
          <w:rFonts w:ascii="Abo-thar" w:hAnsi="Abo-thar"/>
          <w:b/>
          <w:bCs/>
          <w:sz w:val="28"/>
          <w:rtl/>
        </w:rPr>
        <w:t xml:space="preserve"> </w:t>
      </w:r>
      <w:r w:rsidRPr="003F3B94">
        <w:rPr>
          <w:rFonts w:ascii="Abo-thar" w:hAnsi="Abo-thar" w:hint="eastAsia"/>
          <w:b/>
          <w:bCs/>
          <w:sz w:val="28"/>
          <w:rtl/>
        </w:rPr>
        <w:t>فاطمة</w:t>
      </w:r>
      <w:r w:rsidRPr="003F3B94">
        <w:rPr>
          <w:rFonts w:ascii="Abo-thar" w:hAnsi="Abo-thar"/>
          <w:b/>
          <w:bCs/>
          <w:sz w:val="28"/>
          <w:rtl/>
        </w:rPr>
        <w:t xml:space="preserve"> </w:t>
      </w:r>
      <w:r w:rsidRPr="003F3B94">
        <w:rPr>
          <w:rFonts w:ascii="Abo-thar" w:hAnsi="Abo-thar" w:hint="eastAsia"/>
          <w:b/>
          <w:bCs/>
          <w:sz w:val="28"/>
          <w:rtl/>
        </w:rPr>
        <w:t>بنت</w:t>
      </w:r>
      <w:r w:rsidRPr="003F3B94">
        <w:rPr>
          <w:rFonts w:ascii="Abo-thar" w:hAnsi="Abo-thar"/>
          <w:b/>
          <w:bCs/>
          <w:sz w:val="28"/>
          <w:rtl/>
        </w:rPr>
        <w:t xml:space="preserve"> </w:t>
      </w:r>
      <w:r w:rsidRPr="003F3B94">
        <w:rPr>
          <w:rFonts w:ascii="Abo-thar" w:hAnsi="Abo-thar" w:hint="eastAsia"/>
          <w:b/>
          <w:bCs/>
          <w:sz w:val="28"/>
          <w:rtl/>
        </w:rPr>
        <w:t>رسول</w:t>
      </w:r>
      <w:r w:rsidRPr="003F3B94">
        <w:rPr>
          <w:rFonts w:ascii="Abo-thar" w:hAnsi="Abo-thar"/>
          <w:b/>
          <w:bCs/>
          <w:sz w:val="28"/>
          <w:rtl/>
        </w:rPr>
        <w:t xml:space="preserve"> </w:t>
      </w:r>
      <w:r w:rsidRPr="003F3B94">
        <w:rPr>
          <w:rFonts w:ascii="Abo-thar" w:hAnsi="Abo-thar" w:hint="eastAsia"/>
          <w:b/>
          <w:bCs/>
          <w:sz w:val="28"/>
          <w:rtl/>
        </w:rPr>
        <w:t>الله</w:t>
      </w:r>
      <w:r w:rsidR="00147857" w:rsidRPr="003F3B94">
        <w:rPr>
          <w:rFonts w:ascii="Abo-thar" w:hAnsi="Abo-thar"/>
          <w:b/>
          <w:bCs/>
          <w:sz w:val="28"/>
          <w:rtl/>
        </w:rPr>
        <w:t xml:space="preserve"> </w:t>
      </w:r>
      <w:r w:rsidR="003C7AEB" w:rsidRPr="003C7AEB">
        <w:rPr>
          <w:rFonts w:ascii="Abo-thar" w:hAnsi="Abo-thar" w:cs="CTraditional Arabic"/>
          <w:sz w:val="28"/>
          <w:rtl/>
        </w:rPr>
        <w:t>ص</w:t>
      </w:r>
      <w:r w:rsidR="00217AB4" w:rsidRPr="003F3B94">
        <w:rPr>
          <w:rFonts w:ascii="Abo-thar" w:hAnsi="Abo-thar"/>
          <w:sz w:val="28"/>
          <w:rtl/>
        </w:rPr>
        <w:t>؟</w:t>
      </w:r>
      <w:r w:rsidR="00217AB4" w:rsidRPr="003F3B94">
        <w:rPr>
          <w:rFonts w:ascii="Abo-thar" w:hAnsi="Abo-thar" w:hint="cs"/>
          <w:b/>
          <w:bCs/>
          <w:sz w:val="28"/>
          <w:rtl/>
        </w:rPr>
        <w:t>!</w:t>
      </w:r>
      <w:r w:rsidRPr="003F3B94">
        <w:rPr>
          <w:rFonts w:ascii="Abo-thar" w:hAnsi="Abo-thar"/>
          <w:b/>
          <w:bCs/>
          <w:sz w:val="28"/>
          <w:rtl/>
        </w:rPr>
        <w:t xml:space="preserve"> </w:t>
      </w:r>
      <w:r w:rsidRPr="003F3B94">
        <w:rPr>
          <w:rFonts w:ascii="Abo-thar" w:hAnsi="Abo-thar" w:hint="eastAsia"/>
          <w:b/>
          <w:bCs/>
          <w:sz w:val="28"/>
          <w:rtl/>
        </w:rPr>
        <w:t>والله</w:t>
      </w:r>
      <w:r w:rsidRPr="003F3B94">
        <w:rPr>
          <w:rFonts w:ascii="Abo-thar" w:hAnsi="Abo-thar"/>
          <w:b/>
          <w:bCs/>
          <w:sz w:val="28"/>
          <w:rtl/>
        </w:rPr>
        <w:t xml:space="preserve"> </w:t>
      </w:r>
      <w:r w:rsidRPr="003F3B94">
        <w:rPr>
          <w:rFonts w:ascii="Abo-thar" w:hAnsi="Abo-thar" w:hint="eastAsia"/>
          <w:b/>
          <w:bCs/>
          <w:sz w:val="28"/>
          <w:rtl/>
        </w:rPr>
        <w:t>لأشد</w:t>
      </w:r>
      <w:r w:rsidRPr="003F3B94">
        <w:rPr>
          <w:rFonts w:ascii="Abo-thar" w:hAnsi="Abo-thar"/>
          <w:b/>
          <w:bCs/>
          <w:sz w:val="28"/>
          <w:rtl/>
        </w:rPr>
        <w:t xml:space="preserve"> </w:t>
      </w:r>
      <w:r w:rsidRPr="003F3B94">
        <w:rPr>
          <w:rFonts w:ascii="Abo-thar" w:hAnsi="Abo-thar" w:hint="eastAsia"/>
          <w:b/>
          <w:bCs/>
          <w:sz w:val="28"/>
          <w:rtl/>
        </w:rPr>
        <w:t>الناس</w:t>
      </w:r>
      <w:r w:rsidRPr="003F3B94">
        <w:rPr>
          <w:rFonts w:ascii="Abo-thar" w:hAnsi="Abo-thar"/>
          <w:b/>
          <w:bCs/>
          <w:sz w:val="28"/>
          <w:rtl/>
        </w:rPr>
        <w:t xml:space="preserve"> </w:t>
      </w:r>
      <w:r w:rsidRPr="003F3B94">
        <w:rPr>
          <w:rFonts w:ascii="Abo-thar" w:hAnsi="Abo-thar" w:hint="eastAsia"/>
          <w:b/>
          <w:bCs/>
          <w:sz w:val="28"/>
          <w:rtl/>
        </w:rPr>
        <w:t>عليك</w:t>
      </w:r>
      <w:r w:rsidRPr="003F3B94">
        <w:rPr>
          <w:rFonts w:ascii="Abo-thar" w:hAnsi="Abo-thar"/>
          <w:b/>
          <w:bCs/>
          <w:sz w:val="28"/>
          <w:rtl/>
        </w:rPr>
        <w:t xml:space="preserve"> </w:t>
      </w:r>
      <w:r w:rsidRPr="003F3B94">
        <w:rPr>
          <w:rFonts w:ascii="Abo-thar" w:hAnsi="Abo-thar" w:hint="eastAsia"/>
          <w:b/>
          <w:bCs/>
          <w:sz w:val="28"/>
          <w:rtl/>
        </w:rPr>
        <w:t>رسول</w:t>
      </w:r>
      <w:r w:rsidRPr="003F3B94">
        <w:rPr>
          <w:rFonts w:ascii="Abo-thar" w:hAnsi="Abo-thar"/>
          <w:b/>
          <w:bCs/>
          <w:sz w:val="28"/>
          <w:rtl/>
        </w:rPr>
        <w:t xml:space="preserve"> </w:t>
      </w:r>
      <w:r w:rsidRPr="003F3B94">
        <w:rPr>
          <w:rFonts w:ascii="Abo-thar" w:hAnsi="Abo-thar" w:hint="eastAsia"/>
          <w:b/>
          <w:bCs/>
          <w:sz w:val="28"/>
          <w:rtl/>
        </w:rPr>
        <w:t>الله</w:t>
      </w:r>
      <w:r w:rsidR="00147857" w:rsidRPr="003F3B94">
        <w:rPr>
          <w:rFonts w:ascii="Abo-thar" w:hAnsi="Abo-thar"/>
          <w:b/>
          <w:bCs/>
          <w:sz w:val="28"/>
          <w:rtl/>
        </w:rPr>
        <w:t xml:space="preserve"> </w:t>
      </w:r>
      <w:r w:rsidR="003C7AEB" w:rsidRPr="003C7AEB">
        <w:rPr>
          <w:rFonts w:ascii="Abo-thar" w:hAnsi="Abo-thar" w:cs="CTraditional Arabic"/>
          <w:sz w:val="28"/>
          <w:rtl/>
        </w:rPr>
        <w:t>ص</w:t>
      </w:r>
      <w:r w:rsidR="00217AB4" w:rsidRPr="003F3B94">
        <w:rPr>
          <w:rFonts w:ascii="Abo-thar" w:hAnsi="Abo-thar"/>
          <w:sz w:val="28"/>
          <w:rtl/>
        </w:rPr>
        <w:t>.</w:t>
      </w:r>
      <w:r w:rsidRPr="003F3B94">
        <w:rPr>
          <w:rFonts w:ascii="Abo-thar" w:hAnsi="Abo-thar"/>
          <w:b/>
          <w:bCs/>
          <w:sz w:val="28"/>
          <w:rtl/>
        </w:rPr>
        <w:t xml:space="preserve"> </w:t>
      </w:r>
      <w:r w:rsidRPr="003F3B94">
        <w:rPr>
          <w:rFonts w:ascii="Abo-thar" w:hAnsi="Abo-thar" w:hint="eastAsia"/>
          <w:b/>
          <w:bCs/>
          <w:sz w:val="28"/>
          <w:rtl/>
        </w:rPr>
        <w:t>ينبغي</w:t>
      </w:r>
      <w:r w:rsidRPr="003F3B94">
        <w:rPr>
          <w:rFonts w:ascii="Abo-thar" w:hAnsi="Abo-thar"/>
          <w:b/>
          <w:bCs/>
          <w:sz w:val="28"/>
          <w:rtl/>
        </w:rPr>
        <w:t xml:space="preserve"> </w:t>
      </w:r>
      <w:r w:rsidRPr="003F3B94">
        <w:rPr>
          <w:rFonts w:ascii="Abo-thar" w:hAnsi="Abo-thar" w:hint="eastAsia"/>
          <w:b/>
          <w:bCs/>
          <w:sz w:val="28"/>
          <w:rtl/>
        </w:rPr>
        <w:t>لمن</w:t>
      </w:r>
      <w:r w:rsidRPr="003F3B94">
        <w:rPr>
          <w:rFonts w:ascii="Abo-thar" w:hAnsi="Abo-thar"/>
          <w:b/>
          <w:bCs/>
          <w:sz w:val="28"/>
          <w:rtl/>
        </w:rPr>
        <w:t xml:space="preserve"> </w:t>
      </w:r>
      <w:r w:rsidRPr="003F3B94">
        <w:rPr>
          <w:rFonts w:ascii="Abo-thar" w:hAnsi="Abo-thar" w:hint="eastAsia"/>
          <w:b/>
          <w:bCs/>
          <w:sz w:val="28"/>
          <w:rtl/>
        </w:rPr>
        <w:t>أخذ</w:t>
      </w:r>
      <w:r w:rsidRPr="003F3B94">
        <w:rPr>
          <w:rFonts w:ascii="Abo-thar" w:hAnsi="Abo-thar"/>
          <w:b/>
          <w:bCs/>
          <w:sz w:val="28"/>
          <w:rtl/>
        </w:rPr>
        <w:t xml:space="preserve"> </w:t>
      </w:r>
      <w:r w:rsidRPr="003F3B94">
        <w:rPr>
          <w:rFonts w:ascii="Abo-thar" w:hAnsi="Abo-thar" w:hint="eastAsia"/>
          <w:b/>
          <w:bCs/>
          <w:sz w:val="28"/>
          <w:rtl/>
        </w:rPr>
        <w:t>برسول</w:t>
      </w:r>
      <w:r w:rsidRPr="003F3B94">
        <w:rPr>
          <w:rFonts w:ascii="Abo-thar" w:hAnsi="Abo-thar"/>
          <w:b/>
          <w:bCs/>
          <w:sz w:val="28"/>
          <w:rtl/>
        </w:rPr>
        <w:t xml:space="preserve"> </w:t>
      </w:r>
      <w:r w:rsidRPr="003F3B94">
        <w:rPr>
          <w:rFonts w:ascii="Abo-thar" w:hAnsi="Abo-thar" w:hint="eastAsia"/>
          <w:b/>
          <w:bCs/>
          <w:sz w:val="28"/>
          <w:rtl/>
        </w:rPr>
        <w:t>الله</w:t>
      </w:r>
      <w:r w:rsidRPr="003F3B94">
        <w:rPr>
          <w:rFonts w:ascii="Abo-thar" w:hAnsi="Abo-thar"/>
          <w:b/>
          <w:bCs/>
          <w:sz w:val="28"/>
          <w:rtl/>
        </w:rPr>
        <w:t xml:space="preserve"> </w:t>
      </w:r>
      <w:r w:rsidRPr="003F3B94">
        <w:rPr>
          <w:rFonts w:ascii="Abo-thar" w:hAnsi="Abo-thar" w:hint="eastAsia"/>
          <w:b/>
          <w:bCs/>
          <w:sz w:val="28"/>
          <w:rtl/>
        </w:rPr>
        <w:t>أن</w:t>
      </w:r>
      <w:r w:rsidRPr="003F3B94">
        <w:rPr>
          <w:rFonts w:ascii="Abo-thar" w:hAnsi="Abo-thar"/>
          <w:b/>
          <w:bCs/>
          <w:sz w:val="28"/>
          <w:rtl/>
        </w:rPr>
        <w:t xml:space="preserve"> </w:t>
      </w:r>
      <w:r w:rsidRPr="003F3B94">
        <w:rPr>
          <w:rFonts w:ascii="Abo-thar" w:hAnsi="Abo-thar" w:hint="eastAsia"/>
          <w:b/>
          <w:bCs/>
          <w:sz w:val="28"/>
          <w:rtl/>
        </w:rPr>
        <w:t>يعطي</w:t>
      </w:r>
      <w:r w:rsidRPr="003F3B94">
        <w:rPr>
          <w:rFonts w:ascii="Abo-thar" w:hAnsi="Abo-thar"/>
          <w:b/>
          <w:bCs/>
          <w:sz w:val="28"/>
          <w:rtl/>
        </w:rPr>
        <w:t xml:space="preserve"> </w:t>
      </w:r>
      <w:r w:rsidRPr="003F3B94">
        <w:rPr>
          <w:rFonts w:ascii="Abo-thar" w:hAnsi="Abo-thar" w:hint="eastAsia"/>
          <w:b/>
          <w:bCs/>
          <w:sz w:val="28"/>
          <w:rtl/>
        </w:rPr>
        <w:t>به</w:t>
      </w:r>
      <w:r w:rsidR="00217AB4" w:rsidRPr="003F3B94">
        <w:rPr>
          <w:rFonts w:ascii="Abo-thar" w:hAnsi="Abo-thar"/>
          <w:b/>
          <w:bCs/>
          <w:sz w:val="28"/>
          <w:rtl/>
        </w:rPr>
        <w:t>.</w:t>
      </w:r>
      <w:r w:rsidR="00147857" w:rsidRPr="003F3B94">
        <w:rPr>
          <w:rFonts w:ascii="Abo-thar" w:hAnsi="Abo-thar" w:hint="cs"/>
          <w:b/>
          <w:bCs/>
          <w:sz w:val="28"/>
          <w:rtl/>
        </w:rPr>
        <w:t xml:space="preserve"> </w:t>
      </w:r>
    </w:p>
    <w:p w:rsidR="005C664D" w:rsidRPr="003F3B94" w:rsidRDefault="005C664D" w:rsidP="003F3B94">
      <w:pPr>
        <w:pStyle w:val="a0"/>
        <w:rPr>
          <w:rFonts w:hint="cs"/>
          <w:rtl/>
        </w:rPr>
      </w:pPr>
      <w:r w:rsidRPr="003F3B94">
        <w:rPr>
          <w:rFonts w:ascii="Abo-thar" w:hAnsi="Abo-thar" w:hint="eastAsia"/>
          <w:b/>
          <w:bCs/>
          <w:sz w:val="28"/>
          <w:rtl/>
          <w:lang w:bidi="ar-SY"/>
        </w:rPr>
        <w:t>فبلغ</w:t>
      </w:r>
      <w:r w:rsidRPr="003F3B94">
        <w:rPr>
          <w:rFonts w:ascii="Abo-thar" w:hAnsi="Abo-thar"/>
          <w:b/>
          <w:bCs/>
          <w:sz w:val="28"/>
          <w:rtl/>
          <w:lang w:bidi="ar-SY"/>
        </w:rPr>
        <w:t xml:space="preserve"> </w:t>
      </w:r>
      <w:r w:rsidRPr="003F3B94">
        <w:rPr>
          <w:rFonts w:ascii="Abo-thar" w:hAnsi="Abo-thar" w:hint="eastAsia"/>
          <w:b/>
          <w:bCs/>
          <w:sz w:val="28"/>
          <w:rtl/>
          <w:lang w:bidi="ar-SY"/>
        </w:rPr>
        <w:t>كلامه</w:t>
      </w:r>
      <w:r w:rsidRPr="003F3B94">
        <w:rPr>
          <w:rFonts w:ascii="Abo-thar" w:hAnsi="Abo-thar"/>
          <w:b/>
          <w:bCs/>
          <w:sz w:val="28"/>
          <w:rtl/>
          <w:lang w:bidi="ar-SY"/>
        </w:rPr>
        <w:t xml:space="preserve"> </w:t>
      </w:r>
      <w:r w:rsidRPr="003F3B94">
        <w:rPr>
          <w:rFonts w:ascii="Abo-thar" w:hAnsi="Abo-thar" w:hint="eastAsia"/>
          <w:b/>
          <w:bCs/>
          <w:sz w:val="28"/>
          <w:rtl/>
          <w:lang w:bidi="ar-SY"/>
        </w:rPr>
        <w:t>المأمون</w:t>
      </w:r>
      <w:r w:rsidRPr="003F3B94">
        <w:rPr>
          <w:rFonts w:ascii="Abo-thar" w:hAnsi="Abo-thar"/>
          <w:b/>
          <w:bCs/>
          <w:sz w:val="28"/>
          <w:rtl/>
          <w:lang w:bidi="ar-SY"/>
        </w:rPr>
        <w:t xml:space="preserve"> </w:t>
      </w:r>
      <w:r w:rsidRPr="003F3B94">
        <w:rPr>
          <w:rFonts w:ascii="Abo-thar" w:hAnsi="Abo-thar" w:hint="eastAsia"/>
          <w:b/>
          <w:bCs/>
          <w:sz w:val="28"/>
          <w:rtl/>
          <w:lang w:bidi="ar-SY"/>
        </w:rPr>
        <w:t>فبكى</w:t>
      </w:r>
      <w:r w:rsidR="00217AB4" w:rsidRPr="003F3B94">
        <w:rPr>
          <w:rFonts w:ascii="Abo-thar" w:hAnsi="Abo-thar" w:hint="eastAsia"/>
          <w:b/>
          <w:bCs/>
          <w:sz w:val="28"/>
          <w:rtl/>
          <w:lang w:bidi="ar-SY"/>
        </w:rPr>
        <w:t>،</w:t>
      </w:r>
      <w:r w:rsidRPr="003F3B94">
        <w:rPr>
          <w:rFonts w:ascii="Abo-thar" w:hAnsi="Abo-thar"/>
          <w:b/>
          <w:bCs/>
          <w:sz w:val="28"/>
          <w:rtl/>
          <w:lang w:bidi="ar-SY"/>
        </w:rPr>
        <w:t xml:space="preserve"> </w:t>
      </w:r>
      <w:r w:rsidRPr="003F3B94">
        <w:rPr>
          <w:rFonts w:ascii="Abo-thar" w:hAnsi="Abo-thar" w:hint="eastAsia"/>
          <w:b/>
          <w:bCs/>
          <w:sz w:val="28"/>
          <w:rtl/>
          <w:lang w:bidi="ar-SY"/>
        </w:rPr>
        <w:t>وقال</w:t>
      </w:r>
      <w:r w:rsidR="00217AB4" w:rsidRPr="003F3B94">
        <w:rPr>
          <w:rFonts w:ascii="Abo-thar" w:hAnsi="Abo-thar"/>
          <w:b/>
          <w:bCs/>
          <w:sz w:val="28"/>
          <w:rtl/>
          <w:lang w:bidi="ar-SY"/>
        </w:rPr>
        <w:t>:</w:t>
      </w:r>
      <w:r w:rsidRPr="003F3B94">
        <w:rPr>
          <w:rFonts w:ascii="Abo-thar" w:hAnsi="Abo-thar"/>
          <w:b/>
          <w:bCs/>
          <w:sz w:val="28"/>
          <w:rtl/>
          <w:lang w:bidi="ar-SY"/>
        </w:rPr>
        <w:t xml:space="preserve"> </w:t>
      </w:r>
      <w:r w:rsidRPr="003F3B94">
        <w:rPr>
          <w:rFonts w:ascii="Abo-thar" w:hAnsi="Abo-thar" w:hint="eastAsia"/>
          <w:b/>
          <w:bCs/>
          <w:sz w:val="28"/>
          <w:rtl/>
          <w:lang w:bidi="ar-SY"/>
        </w:rPr>
        <w:t>هكذا</w:t>
      </w:r>
      <w:r w:rsidRPr="003F3B94">
        <w:rPr>
          <w:rFonts w:ascii="Abo-thar" w:hAnsi="Abo-thar"/>
          <w:b/>
          <w:bCs/>
          <w:sz w:val="28"/>
          <w:rtl/>
          <w:lang w:bidi="ar-SY"/>
        </w:rPr>
        <w:t xml:space="preserve"> </w:t>
      </w:r>
      <w:r w:rsidRPr="003F3B94">
        <w:rPr>
          <w:rFonts w:ascii="Abo-thar" w:hAnsi="Abo-thar" w:hint="eastAsia"/>
          <w:b/>
          <w:bCs/>
          <w:sz w:val="28"/>
          <w:rtl/>
          <w:lang w:bidi="ar-SY"/>
        </w:rPr>
        <w:t>ينبغي</w:t>
      </w:r>
      <w:r w:rsidRPr="003F3B94">
        <w:rPr>
          <w:rFonts w:ascii="Abo-thar" w:hAnsi="Abo-thar"/>
          <w:b/>
          <w:bCs/>
          <w:sz w:val="28"/>
          <w:rtl/>
          <w:lang w:bidi="ar-SY"/>
        </w:rPr>
        <w:t xml:space="preserve"> </w:t>
      </w:r>
      <w:r w:rsidRPr="003F3B94">
        <w:rPr>
          <w:rFonts w:ascii="Abo-thar" w:hAnsi="Abo-thar" w:hint="eastAsia"/>
          <w:b/>
          <w:bCs/>
          <w:sz w:val="28"/>
          <w:rtl/>
          <w:lang w:bidi="ar-SY"/>
        </w:rPr>
        <w:t>أن</w:t>
      </w:r>
      <w:r w:rsidRPr="003F3B94">
        <w:rPr>
          <w:rFonts w:ascii="Abo-thar" w:hAnsi="Abo-thar"/>
          <w:b/>
          <w:bCs/>
          <w:sz w:val="28"/>
          <w:rtl/>
          <w:lang w:bidi="ar-SY"/>
        </w:rPr>
        <w:t xml:space="preserve"> </w:t>
      </w:r>
      <w:r w:rsidRPr="003F3B94">
        <w:rPr>
          <w:rFonts w:ascii="Abo-thar" w:hAnsi="Abo-thar" w:hint="eastAsia"/>
          <w:b/>
          <w:bCs/>
          <w:sz w:val="28"/>
          <w:rtl/>
          <w:lang w:bidi="ar-SY"/>
        </w:rPr>
        <w:t>يكون</w:t>
      </w:r>
      <w:r w:rsidRPr="003F3B94">
        <w:rPr>
          <w:rFonts w:ascii="Abo-thar" w:hAnsi="Abo-thar"/>
          <w:b/>
          <w:bCs/>
          <w:sz w:val="28"/>
          <w:rtl/>
          <w:lang w:bidi="ar-SY"/>
        </w:rPr>
        <w:t xml:space="preserve"> </w:t>
      </w:r>
      <w:r w:rsidRPr="003F3B94">
        <w:rPr>
          <w:rFonts w:ascii="Abo-thar" w:hAnsi="Abo-thar" w:hint="eastAsia"/>
          <w:b/>
          <w:bCs/>
          <w:sz w:val="28"/>
          <w:rtl/>
          <w:lang w:bidi="ar-SY"/>
        </w:rPr>
        <w:t>أهل</w:t>
      </w:r>
      <w:r w:rsidRPr="003F3B94">
        <w:rPr>
          <w:rFonts w:ascii="Abo-thar" w:hAnsi="Abo-thar"/>
          <w:b/>
          <w:bCs/>
          <w:sz w:val="28"/>
          <w:rtl/>
          <w:lang w:bidi="ar-SY"/>
        </w:rPr>
        <w:t xml:space="preserve"> </w:t>
      </w:r>
      <w:r w:rsidRPr="003F3B94">
        <w:rPr>
          <w:rFonts w:ascii="Abo-thar" w:hAnsi="Abo-thar" w:hint="eastAsia"/>
          <w:b/>
          <w:bCs/>
          <w:sz w:val="28"/>
          <w:rtl/>
          <w:lang w:bidi="ar-SY"/>
        </w:rPr>
        <w:t>بيت</w:t>
      </w:r>
      <w:r w:rsidRPr="003F3B94">
        <w:rPr>
          <w:rFonts w:ascii="Abo-thar" w:hAnsi="Abo-thar"/>
          <w:b/>
          <w:bCs/>
          <w:sz w:val="28"/>
          <w:rtl/>
          <w:lang w:bidi="ar-SY"/>
        </w:rPr>
        <w:t xml:space="preserve"> </w:t>
      </w:r>
      <w:r w:rsidRPr="003F3B94">
        <w:rPr>
          <w:rFonts w:ascii="Abo-thar" w:hAnsi="Abo-thar" w:hint="eastAsia"/>
          <w:b/>
          <w:bCs/>
          <w:sz w:val="28"/>
          <w:rtl/>
          <w:lang w:bidi="ar-SY"/>
        </w:rPr>
        <w:t>النبو</w:t>
      </w:r>
      <w:r w:rsidRPr="003F3B94">
        <w:rPr>
          <w:rFonts w:ascii="Abo-thar" w:hAnsi="Abo-thar" w:hint="cs"/>
          <w:b/>
          <w:bCs/>
          <w:sz w:val="28"/>
          <w:rtl/>
          <w:lang w:bidi="ar-SY"/>
        </w:rPr>
        <w:t>ّ</w:t>
      </w:r>
      <w:r w:rsidRPr="003F3B94">
        <w:rPr>
          <w:rFonts w:ascii="Abo-thar" w:hAnsi="Abo-thar" w:hint="eastAsia"/>
          <w:b/>
          <w:bCs/>
          <w:sz w:val="28"/>
          <w:rtl/>
          <w:lang w:bidi="ar-SY"/>
        </w:rPr>
        <w:t>ة</w:t>
      </w:r>
      <w:r w:rsidR="00F456DF" w:rsidRPr="003F3B94">
        <w:rPr>
          <w:rFonts w:ascii="Abo-thar" w:hAnsi="Abo-thar"/>
          <w:b/>
          <w:bCs/>
          <w:sz w:val="28"/>
          <w:rtl/>
          <w:lang w:bidi="ar-SY"/>
        </w:rPr>
        <w:t>»</w:t>
      </w:r>
      <w:r w:rsidR="00217AB4" w:rsidRPr="0021507A">
        <w:rPr>
          <w:rFonts w:cs="Arabic11 BT"/>
          <w:b/>
          <w:sz w:val="28"/>
          <w:vertAlign w:val="superscript"/>
          <w:rtl/>
          <w:lang w:bidi="ar-SY"/>
        </w:rPr>
        <w:t>(</w:t>
      </w:r>
      <w:r w:rsidRPr="0021507A">
        <w:rPr>
          <w:rStyle w:val="FootnoteReference"/>
          <w:rFonts w:cs="Arabic11 BT"/>
          <w:b/>
          <w:sz w:val="28"/>
          <w:rtl/>
          <w:lang w:bidi="ar-SY"/>
        </w:rPr>
        <w:footnoteReference w:id="326"/>
      </w:r>
      <w:r w:rsidR="00217AB4" w:rsidRPr="0021507A">
        <w:rPr>
          <w:rFonts w:cs="Arabic11 BT"/>
          <w:b/>
          <w:sz w:val="28"/>
          <w:vertAlign w:val="superscript"/>
          <w:rtl/>
          <w:lang w:bidi="ar-SY"/>
        </w:rPr>
        <w:t>)</w:t>
      </w:r>
      <w:r w:rsidR="00217AB4" w:rsidRPr="003F3B94">
        <w:rPr>
          <w:rFonts w:hint="cs"/>
          <w:sz w:val="28"/>
          <w:rtl/>
          <w:lang w:bidi="ar-SY"/>
        </w:rPr>
        <w:t>.</w:t>
      </w:r>
      <w:r w:rsidRPr="003F3B94">
        <w:rPr>
          <w:rFonts w:hint="cs"/>
          <w:sz w:val="28"/>
          <w:rtl/>
          <w:lang w:bidi="ar-SY"/>
        </w:rPr>
        <w:t xml:space="preserve"> </w:t>
      </w:r>
    </w:p>
    <w:p w:rsidR="005C664D" w:rsidRPr="003F3B94" w:rsidRDefault="005C664D" w:rsidP="00254729">
      <w:pPr>
        <w:pStyle w:val="a0"/>
        <w:rPr>
          <w:rFonts w:hint="cs"/>
          <w:rtl/>
        </w:rPr>
      </w:pPr>
      <w:r w:rsidRPr="003F3B94">
        <w:rPr>
          <w:rFonts w:hint="cs"/>
          <w:sz w:val="28"/>
          <w:rtl/>
        </w:rPr>
        <w:t>وكلام حضرة الإمام الرضا</w:t>
      </w:r>
      <w:r w:rsidR="00147857" w:rsidRPr="003F3B94">
        <w:rPr>
          <w:rFonts w:hint="cs"/>
          <w:sz w:val="28"/>
          <w:rtl/>
        </w:rPr>
        <w:t xml:space="preserve"> </w:t>
      </w:r>
      <w:r w:rsidR="003C7AEB" w:rsidRPr="003C7AEB">
        <w:rPr>
          <w:rFonts w:ascii="Abo-thar" w:hAnsi="Abo-thar" w:cs="CTraditional Arabic"/>
          <w:sz w:val="28"/>
          <w:rtl/>
        </w:rPr>
        <w:t>÷</w:t>
      </w:r>
      <w:r w:rsidR="00147857" w:rsidRPr="003F3B94">
        <w:rPr>
          <w:rFonts w:ascii="Abo-thar" w:hAnsi="Abo-thar"/>
          <w:sz w:val="28"/>
          <w:rtl/>
        </w:rPr>
        <w:t xml:space="preserve"> </w:t>
      </w:r>
      <w:r w:rsidRPr="003F3B94">
        <w:rPr>
          <w:rFonts w:hint="cs"/>
          <w:sz w:val="28"/>
          <w:rtl/>
        </w:rPr>
        <w:t>هذا مأخوذ من سيرة وكلام حضرة الإمام زين العابدين</w:t>
      </w:r>
      <w:r w:rsidR="003C7AEB" w:rsidRPr="003C7AEB">
        <w:rPr>
          <w:rFonts w:ascii="Abo-thar" w:hAnsi="Abo-thar" w:cs="CTraditional Arabic"/>
          <w:sz w:val="28"/>
          <w:rtl/>
        </w:rPr>
        <w:t>÷</w:t>
      </w:r>
      <w:r w:rsidR="00147857" w:rsidRPr="003F3B94">
        <w:rPr>
          <w:rFonts w:ascii="Abo-thar" w:hAnsi="Abo-thar"/>
          <w:sz w:val="28"/>
          <w:rtl/>
        </w:rPr>
        <w:t xml:space="preserve"> </w:t>
      </w:r>
      <w:r w:rsidRPr="003F3B94">
        <w:rPr>
          <w:rFonts w:ascii="Abo-thar" w:hAnsi="Abo-thar" w:hint="cs"/>
          <w:sz w:val="28"/>
          <w:rtl/>
        </w:rPr>
        <w:t>الذي كان إذا أراد السفر كتم نسبه وأخفى قرابته من رسول الله</w:t>
      </w:r>
      <w:r w:rsidR="00147857" w:rsidRPr="003F3B94">
        <w:rPr>
          <w:rFonts w:ascii="Abo-thar" w:hAnsi="Abo-thar" w:hint="cs"/>
          <w:sz w:val="28"/>
          <w:rtl/>
        </w:rPr>
        <w:t xml:space="preserve"> </w:t>
      </w:r>
      <w:r w:rsidR="003C7AEB" w:rsidRPr="003C7AEB">
        <w:rPr>
          <w:rFonts w:ascii="Abo-thar" w:hAnsi="Abo-thar" w:cs="CTraditional Arabic"/>
          <w:sz w:val="28"/>
          <w:rtl/>
        </w:rPr>
        <w:t>ص</w:t>
      </w:r>
      <w:r w:rsidR="00147857" w:rsidRPr="003F3B94">
        <w:rPr>
          <w:rFonts w:ascii="Abo-thar" w:hAnsi="Abo-thar"/>
          <w:sz w:val="28"/>
          <w:rtl/>
        </w:rPr>
        <w:t xml:space="preserve"> </w:t>
      </w:r>
      <w:r w:rsidRPr="003F3B94">
        <w:rPr>
          <w:rFonts w:ascii="Abo-thar" w:hAnsi="Abo-thar" w:hint="cs"/>
          <w:sz w:val="28"/>
          <w:rtl/>
        </w:rPr>
        <w:t xml:space="preserve">عن </w:t>
      </w:r>
      <w:r w:rsidRPr="003F3B94">
        <w:rPr>
          <w:rFonts w:ascii="Abo-thar" w:hAnsi="Abo-thar"/>
          <w:sz w:val="28"/>
          <w:rtl/>
        </w:rPr>
        <w:t xml:space="preserve">الرِّفْقَةِ </w:t>
      </w:r>
      <w:r w:rsidRPr="003F3B94">
        <w:rPr>
          <w:rFonts w:ascii="Abo-thar" w:hAnsi="Abo-thar" w:hint="cs"/>
          <w:sz w:val="28"/>
          <w:rtl/>
        </w:rPr>
        <w:t>فلمّا سُئل عن علّة ذلك قال</w:t>
      </w:r>
      <w:r w:rsidR="00217AB4" w:rsidRPr="003F3B94">
        <w:rPr>
          <w:rFonts w:ascii="Abo-thar" w:hAnsi="Abo-thar" w:hint="cs"/>
          <w:sz w:val="28"/>
          <w:rtl/>
        </w:rPr>
        <w:t>:</w:t>
      </w:r>
      <w:r w:rsidRPr="003F3B94">
        <w:rPr>
          <w:rFonts w:ascii="Abo-thar" w:hAnsi="Abo-thar" w:hint="cs"/>
          <w:sz w:val="28"/>
          <w:rtl/>
        </w:rPr>
        <w:t xml:space="preserve"> </w:t>
      </w:r>
      <w:r w:rsidR="00EF2588" w:rsidRPr="004408B9">
        <w:rPr>
          <w:rFonts w:ascii="Abo-thar" w:hAnsi="Abo-thar" w:cs="KFGQPC Uthman Taha Naskh" w:hint="cs"/>
          <w:sz w:val="28"/>
          <w:rtl/>
        </w:rPr>
        <w:t>«</w:t>
      </w:r>
      <w:r w:rsidRPr="004408B9">
        <w:rPr>
          <w:rFonts w:ascii="Abo-thar" w:hAnsi="Abo-thar" w:cs="KFGQPC Uthman Taha Naskh"/>
          <w:b/>
          <w:bCs/>
          <w:sz w:val="28"/>
          <w:rtl/>
        </w:rPr>
        <w:t>أَكْرَهُ أَنْ آخُذَ بِرَسُولِ اللهِ مَا لَا أُعْطِي مِثْلَه‏</w:t>
      </w:r>
      <w:r w:rsidR="00F456DF" w:rsidRPr="004408B9">
        <w:rPr>
          <w:rFonts w:ascii="Abo-thar" w:hAnsi="Abo-thar" w:cs="KFGQPC Uthman Taha Naskh" w:hint="cs"/>
          <w:b/>
          <w:bCs/>
          <w:sz w:val="28"/>
          <w:rtl/>
        </w:rPr>
        <w:t>»</w:t>
      </w:r>
      <w:r w:rsidR="00217AB4" w:rsidRPr="0021507A">
        <w:rPr>
          <w:rFonts w:cs="Arabic11 BT"/>
          <w:b/>
          <w:sz w:val="28"/>
          <w:vertAlign w:val="superscript"/>
          <w:rtl/>
        </w:rPr>
        <w:t>(</w:t>
      </w:r>
      <w:r w:rsidRPr="0021507A">
        <w:rPr>
          <w:rStyle w:val="FootnoteReference"/>
          <w:rFonts w:cs="Arabic11 BT"/>
          <w:b/>
          <w:sz w:val="28"/>
          <w:rtl/>
        </w:rPr>
        <w:footnoteReference w:id="327"/>
      </w:r>
      <w:r w:rsidR="00217AB4" w:rsidRPr="0021507A">
        <w:rPr>
          <w:rFonts w:cs="Arabic11 BT"/>
          <w:b/>
          <w:sz w:val="28"/>
          <w:vertAlign w:val="superscript"/>
          <w:rtl/>
        </w:rPr>
        <w:t>)</w:t>
      </w:r>
      <w:r w:rsidR="00217AB4" w:rsidRPr="003F3B94">
        <w:rPr>
          <w:rFonts w:hint="cs"/>
          <w:sz w:val="28"/>
          <w:rtl/>
        </w:rPr>
        <w:t>.</w:t>
      </w:r>
      <w:r w:rsidR="00147857" w:rsidRPr="003F3B94">
        <w:rPr>
          <w:sz w:val="28"/>
          <w:rtl/>
        </w:rPr>
        <w:t xml:space="preserve"> </w:t>
      </w:r>
    </w:p>
    <w:p w:rsidR="005C664D" w:rsidRPr="003F3B94" w:rsidRDefault="005C664D" w:rsidP="003F3B94">
      <w:pPr>
        <w:pStyle w:val="a0"/>
        <w:rPr>
          <w:rFonts w:hint="cs"/>
          <w:rtl/>
        </w:rPr>
      </w:pPr>
      <w:r w:rsidRPr="003F3B94">
        <w:rPr>
          <w:rFonts w:hint="cs"/>
          <w:sz w:val="28"/>
          <w:rtl/>
        </w:rPr>
        <w:t>ولا يوجد في أخبارنا حتى زمن الإمام الصادق</w:t>
      </w:r>
      <w:r w:rsidR="00147857" w:rsidRPr="003F3B94">
        <w:rPr>
          <w:rFonts w:hint="cs"/>
          <w:sz w:val="28"/>
          <w:rtl/>
        </w:rPr>
        <w:t xml:space="preserve"> </w:t>
      </w:r>
      <w:r w:rsidR="003C7AEB" w:rsidRPr="003C7AEB">
        <w:rPr>
          <w:rFonts w:ascii="Abo-thar" w:hAnsi="Abo-thar" w:cs="CTraditional Arabic"/>
          <w:sz w:val="28"/>
          <w:rtl/>
        </w:rPr>
        <w:t>÷</w:t>
      </w:r>
      <w:r w:rsidR="00147857" w:rsidRPr="003F3B94">
        <w:rPr>
          <w:rFonts w:ascii="Abo-thar" w:hAnsi="Abo-thar"/>
          <w:sz w:val="28"/>
          <w:rtl/>
        </w:rPr>
        <w:t xml:space="preserve"> </w:t>
      </w:r>
      <w:r w:rsidRPr="003F3B94">
        <w:rPr>
          <w:rFonts w:hint="cs"/>
          <w:sz w:val="28"/>
          <w:rtl/>
        </w:rPr>
        <w:t>أي حديث يثبت أن الأئمة كانوا يأخذون لأنفسهم أي شيء من أموال الناس تحت أي عنوان كان</w:t>
      </w:r>
      <w:r w:rsidR="00217AB4" w:rsidRPr="003F3B94">
        <w:rPr>
          <w:rFonts w:hint="cs"/>
          <w:sz w:val="28"/>
          <w:rtl/>
        </w:rPr>
        <w:t>،</w:t>
      </w:r>
      <w:r w:rsidR="00147857" w:rsidRPr="003F3B94">
        <w:rPr>
          <w:rFonts w:hint="cs"/>
          <w:sz w:val="28"/>
          <w:rtl/>
        </w:rPr>
        <w:t xml:space="preserve"> </w:t>
      </w:r>
      <w:r w:rsidRPr="003F3B94">
        <w:rPr>
          <w:rFonts w:hint="cs"/>
          <w:sz w:val="28"/>
          <w:rtl/>
        </w:rPr>
        <w:t>أما بالنسبة إلى الإمام الصادق</w:t>
      </w:r>
      <w:r w:rsidR="00147857" w:rsidRPr="003F3B94">
        <w:rPr>
          <w:rFonts w:hint="cs"/>
          <w:sz w:val="28"/>
          <w:rtl/>
        </w:rPr>
        <w:t xml:space="preserve"> </w:t>
      </w:r>
      <w:r w:rsidR="003C7AEB" w:rsidRPr="003C7AEB">
        <w:rPr>
          <w:rFonts w:ascii="Abo-thar" w:hAnsi="Abo-thar" w:cs="CTraditional Arabic"/>
          <w:sz w:val="28"/>
          <w:rtl/>
        </w:rPr>
        <w:t>÷</w:t>
      </w:r>
      <w:r w:rsidR="00147857" w:rsidRPr="003F3B94">
        <w:rPr>
          <w:rFonts w:ascii="Abo-thar" w:hAnsi="Abo-thar"/>
          <w:sz w:val="28"/>
          <w:rtl/>
        </w:rPr>
        <w:t xml:space="preserve"> </w:t>
      </w:r>
      <w:r w:rsidRPr="003F3B94">
        <w:rPr>
          <w:rFonts w:hint="cs"/>
          <w:sz w:val="28"/>
          <w:rtl/>
        </w:rPr>
        <w:t xml:space="preserve">فقد روى </w:t>
      </w:r>
      <w:r w:rsidRPr="003F3B94">
        <w:rPr>
          <w:rFonts w:ascii="Abo-thar" w:hAnsi="Abo-thar" w:hint="cs"/>
          <w:sz w:val="28"/>
          <w:rtl/>
        </w:rPr>
        <w:t xml:space="preserve">الشيخ الصدوق في كتابه «من لا يحضـره الفقيه» وكذلك في كتابه </w:t>
      </w:r>
      <w:r w:rsidRPr="003F3B94">
        <w:rPr>
          <w:rFonts w:ascii="Abo-thar" w:hAnsi="Abo-thar"/>
          <w:sz w:val="28"/>
          <w:rtl/>
        </w:rPr>
        <w:t>«</w:t>
      </w:r>
      <w:r w:rsidRPr="003F3B94">
        <w:rPr>
          <w:rFonts w:ascii="Abo-thar" w:hAnsi="Abo-thar" w:hint="cs"/>
          <w:sz w:val="28"/>
          <w:rtl/>
        </w:rPr>
        <w:t>علل الشـرائع</w:t>
      </w:r>
      <w:r w:rsidRPr="003F3B94">
        <w:rPr>
          <w:rFonts w:ascii="Abo-thar" w:hAnsi="Abo-thar"/>
          <w:sz w:val="28"/>
          <w:rtl/>
        </w:rPr>
        <w:t>»</w:t>
      </w:r>
      <w:r w:rsidRPr="003F3B94">
        <w:rPr>
          <w:rFonts w:ascii="Abo-thar" w:hAnsi="Abo-thar" w:hint="cs"/>
          <w:sz w:val="28"/>
          <w:rtl/>
        </w:rPr>
        <w:t xml:space="preserve"> فقال</w:t>
      </w:r>
      <w:r w:rsidR="00217AB4" w:rsidRPr="003F3B94">
        <w:rPr>
          <w:rFonts w:ascii="Abo-thar" w:hAnsi="Abo-thar" w:hint="cs"/>
          <w:sz w:val="28"/>
          <w:rtl/>
        </w:rPr>
        <w:t>:</w:t>
      </w:r>
      <w:r w:rsidRPr="003F3B94">
        <w:rPr>
          <w:rFonts w:ascii="Abo-thar" w:hAnsi="Abo-thar" w:hint="cs"/>
          <w:sz w:val="28"/>
          <w:rtl/>
        </w:rPr>
        <w:t xml:space="preserve"> </w:t>
      </w:r>
      <w:r w:rsidR="00EF2588" w:rsidRPr="004408B9">
        <w:rPr>
          <w:rFonts w:ascii="Abo-thar" w:hAnsi="Abo-thar" w:cs="KFGQPC Uthman Taha Naskh" w:hint="cs"/>
          <w:sz w:val="28"/>
          <w:rtl/>
        </w:rPr>
        <w:t>«</w:t>
      </w:r>
      <w:r w:rsidRPr="004408B9">
        <w:rPr>
          <w:rFonts w:ascii="Abo-thar" w:hAnsi="Abo-thar" w:cs="KFGQPC Uthman Taha Naskh"/>
          <w:sz w:val="28"/>
          <w:rtl/>
        </w:rPr>
        <w:t xml:space="preserve">وَ رَوَى عَبْدُ اللهِ بْنُ بُكَيْرٍ عَنْ أَبِي عَبْدِ اللهِ </w:t>
      </w:r>
      <w:r w:rsidR="00BC4BA9" w:rsidRPr="00BC4BA9">
        <w:rPr>
          <w:rFonts w:ascii="Abo-thar" w:hAnsi="Abo-thar" w:cs="CTraditional Arabic" w:hint="cs"/>
          <w:sz w:val="28"/>
          <w:rtl/>
        </w:rPr>
        <w:t>÷</w:t>
      </w:r>
      <w:r w:rsidRPr="004408B9">
        <w:rPr>
          <w:rFonts w:ascii="Abo-thar" w:hAnsi="Abo-thar" w:cs="KFGQPC Uthman Taha Naskh"/>
          <w:sz w:val="28"/>
          <w:rtl/>
        </w:rPr>
        <w:t xml:space="preserve"> أَنَّهُ قَالَ</w:t>
      </w:r>
      <w:r w:rsidR="00217AB4" w:rsidRPr="004408B9">
        <w:rPr>
          <w:rFonts w:ascii="Abo-thar" w:hAnsi="Abo-thar" w:cs="KFGQPC Uthman Taha Naskh" w:hint="cs"/>
          <w:sz w:val="28"/>
          <w:rtl/>
        </w:rPr>
        <w:t>:</w:t>
      </w:r>
      <w:r w:rsidRPr="004408B9">
        <w:rPr>
          <w:rFonts w:ascii="Abo-thar" w:hAnsi="Abo-thar" w:cs="KFGQPC Uthman Taha Naskh"/>
          <w:sz w:val="28"/>
          <w:rtl/>
        </w:rPr>
        <w:t xml:space="preserve"> </w:t>
      </w:r>
      <w:r w:rsidRPr="004408B9">
        <w:rPr>
          <w:rFonts w:ascii="Abo-thar" w:hAnsi="Abo-thar" w:cs="KFGQPC Uthman Taha Naskh"/>
          <w:b/>
          <w:bCs/>
          <w:sz w:val="28"/>
          <w:rtl/>
        </w:rPr>
        <w:t>إِنِّي لآَخُذُ مِنْ أَحَدِكُمُ الدِّرْهَمَ وإِنِّي لَمِنْ أَكْثَرِ أَهْلِ المَدِينَةِ مَالًا مَا أُرِيدُ بِذَلِكَ إِلَّا أَنْ تُطَهَّرُوا</w:t>
      </w:r>
      <w:r w:rsidR="00217AB4" w:rsidRPr="004408B9">
        <w:rPr>
          <w:rFonts w:ascii="Abo-thar" w:hAnsi="Abo-thar" w:cs="KFGQPC Uthman Taha Naskh" w:hint="cs"/>
          <w:sz w:val="28"/>
          <w:rtl/>
        </w:rPr>
        <w:t>!!</w:t>
      </w:r>
      <w:r w:rsidR="00EF2588" w:rsidRPr="004408B9">
        <w:rPr>
          <w:rFonts w:ascii="Abo-thar" w:hAnsi="Abo-thar" w:cs="KFGQPC Uthman Taha Naskh" w:hint="cs"/>
          <w:sz w:val="28"/>
          <w:rtl/>
        </w:rPr>
        <w:t>»</w:t>
      </w:r>
      <w:r w:rsidR="00CF46B9" w:rsidRPr="003F3B94">
        <w:rPr>
          <w:rFonts w:ascii="Abo-thar" w:hAnsi="Abo-thar"/>
          <w:sz w:val="28"/>
          <w:vertAlign w:val="superscript"/>
          <w:rtl/>
        </w:rPr>
        <w:t xml:space="preserve"> </w:t>
      </w:r>
      <w:r w:rsidR="00CF46B9" w:rsidRPr="0021507A">
        <w:rPr>
          <w:rFonts w:ascii="Abo-thar" w:hAnsi="Abo-thar" w:cs="Arabic11 BT"/>
          <w:sz w:val="28"/>
          <w:vertAlign w:val="superscript"/>
          <w:rtl/>
        </w:rPr>
        <w:t>(</w:t>
      </w:r>
      <w:r w:rsidR="00CF46B9" w:rsidRPr="0021507A">
        <w:rPr>
          <w:rStyle w:val="FootnoteReference"/>
          <w:rFonts w:ascii="Abo-thar" w:hAnsi="Abo-thar" w:cs="Arabic11 BT"/>
          <w:sz w:val="28"/>
          <w:rtl/>
        </w:rPr>
        <w:footnoteReference w:id="328"/>
      </w:r>
      <w:r w:rsidR="00CF46B9" w:rsidRPr="0021507A">
        <w:rPr>
          <w:rFonts w:ascii="Abo-thar" w:hAnsi="Abo-thar" w:cs="Arabic11 BT"/>
          <w:sz w:val="28"/>
          <w:vertAlign w:val="superscript"/>
          <w:rtl/>
        </w:rPr>
        <w:t>)</w:t>
      </w:r>
      <w:r w:rsidR="00217AB4" w:rsidRPr="003F3B94">
        <w:rPr>
          <w:rFonts w:ascii="Abo-thar" w:hAnsi="Abo-thar" w:hint="cs"/>
          <w:sz w:val="28"/>
          <w:rtl/>
        </w:rPr>
        <w:t>.</w:t>
      </w:r>
    </w:p>
    <w:p w:rsidR="00FE2278" w:rsidRPr="003F3B94" w:rsidRDefault="005C664D" w:rsidP="003F3B94">
      <w:pPr>
        <w:pStyle w:val="a0"/>
        <w:rPr>
          <w:rFonts w:hint="cs"/>
          <w:rtl/>
        </w:rPr>
      </w:pPr>
      <w:r w:rsidRPr="003F3B94">
        <w:rPr>
          <w:rFonts w:ascii="Abo-thar" w:hAnsi="Abo-thar" w:hint="cs"/>
          <w:sz w:val="28"/>
          <w:rtl/>
        </w:rPr>
        <w:t xml:space="preserve">سند هذا الحديث معلول ومجروح لأن فيه </w:t>
      </w:r>
      <w:r w:rsidRPr="003F3B94">
        <w:rPr>
          <w:rFonts w:ascii="Abo-thar" w:hAnsi="Abo-thar" w:hint="eastAsia"/>
          <w:sz w:val="28"/>
          <w:rtl/>
        </w:rPr>
        <w:t>«</w:t>
      </w:r>
      <w:r w:rsidRPr="003F3B94">
        <w:rPr>
          <w:rFonts w:ascii="Abo-thar" w:hAnsi="Abo-thar" w:hint="cs"/>
          <w:sz w:val="28"/>
          <w:rtl/>
        </w:rPr>
        <w:t>عبد الله بن بكير</w:t>
      </w:r>
      <w:r w:rsidRPr="003F3B94">
        <w:rPr>
          <w:rFonts w:ascii="Abo-thar" w:hAnsi="Abo-thar" w:hint="eastAsia"/>
          <w:sz w:val="28"/>
          <w:rtl/>
        </w:rPr>
        <w:t>»</w:t>
      </w:r>
      <w:r w:rsidRPr="003F3B94">
        <w:rPr>
          <w:rFonts w:ascii="Abo-thar" w:hAnsi="Abo-thar" w:hint="cs"/>
          <w:sz w:val="28"/>
          <w:rtl/>
        </w:rPr>
        <w:t xml:space="preserve"> الذي كان فطحياً فاسد المذهب</w:t>
      </w:r>
      <w:r w:rsidR="00217AB4" w:rsidRPr="003F3B94">
        <w:rPr>
          <w:rFonts w:ascii="Abo-thar" w:hAnsi="Abo-thar" w:hint="cs"/>
          <w:sz w:val="28"/>
          <w:rtl/>
        </w:rPr>
        <w:t>.</w:t>
      </w:r>
      <w:r w:rsidRPr="003F3B94">
        <w:rPr>
          <w:rFonts w:ascii="Abo-thar" w:hAnsi="Abo-thar" w:hint="cs"/>
          <w:sz w:val="28"/>
          <w:rtl/>
        </w:rPr>
        <w:t xml:space="preserve"> كما أن فيه </w:t>
      </w:r>
      <w:r w:rsidRPr="003F3B94">
        <w:rPr>
          <w:rFonts w:ascii="Abo-thar" w:hAnsi="Abo-thar" w:hint="eastAsia"/>
          <w:sz w:val="28"/>
          <w:rtl/>
        </w:rPr>
        <w:t>«</w:t>
      </w:r>
      <w:r w:rsidRPr="003F3B94">
        <w:rPr>
          <w:rFonts w:ascii="Abo-thar" w:hAnsi="Abo-thar" w:hint="cs"/>
          <w:sz w:val="28"/>
          <w:rtl/>
        </w:rPr>
        <w:t>الحسن بن فضال</w:t>
      </w:r>
      <w:r w:rsidRPr="003F3B94">
        <w:rPr>
          <w:rFonts w:ascii="Abo-thar" w:hAnsi="Abo-thar" w:hint="eastAsia"/>
          <w:sz w:val="28"/>
          <w:rtl/>
        </w:rPr>
        <w:t>»</w:t>
      </w:r>
      <w:r w:rsidRPr="003F3B94">
        <w:rPr>
          <w:rFonts w:ascii="Abo-thar" w:hAnsi="Abo-thar" w:hint="cs"/>
          <w:sz w:val="28"/>
          <w:rtl/>
        </w:rPr>
        <w:t xml:space="preserve"> الذي كان فطحياً أيضاً وطبقاً لقول صاحب السرائر كان كافراً وملعوناً</w:t>
      </w:r>
      <w:r w:rsidR="00217AB4" w:rsidRPr="003F3B94">
        <w:rPr>
          <w:rFonts w:ascii="Abo-thar" w:hAnsi="Abo-thar" w:hint="cs"/>
          <w:sz w:val="28"/>
          <w:rtl/>
        </w:rPr>
        <w:t>.</w:t>
      </w:r>
      <w:r w:rsidRPr="003F3B94">
        <w:rPr>
          <w:rFonts w:ascii="Abo-thar" w:hAnsi="Abo-thar" w:hint="cs"/>
          <w:sz w:val="28"/>
          <w:rtl/>
        </w:rPr>
        <w:t xml:space="preserve"> هذا بمعزل عن أننا لا ندري الصفة أو العنوان التي أخذ الإمام بها ذلك الدرهم</w:t>
      </w:r>
      <w:r w:rsidR="00217AB4" w:rsidRPr="003F3B94">
        <w:rPr>
          <w:rFonts w:ascii="Abo-thar" w:hAnsi="Abo-thar" w:hint="cs"/>
          <w:sz w:val="28"/>
          <w:rtl/>
        </w:rPr>
        <w:t>؟</w:t>
      </w:r>
      <w:r w:rsidRPr="003F3B94">
        <w:rPr>
          <w:rFonts w:ascii="Abo-thar" w:hAnsi="Abo-thar" w:hint="cs"/>
          <w:sz w:val="28"/>
          <w:rtl/>
        </w:rPr>
        <w:t xml:space="preserve"> رغم أن لحن الرواية يفيد أنه إذا كان الإمام يأخذ شيئاً فلم يكن ذلك من باب الخمس بل من باب الزكاة</w:t>
      </w:r>
      <w:r w:rsidR="001E0DB7" w:rsidRPr="003F3B94">
        <w:rPr>
          <w:rFonts w:ascii="Abo-thar" w:hAnsi="Abo-thar" w:hint="cs"/>
          <w:sz w:val="28"/>
          <w:rtl/>
        </w:rPr>
        <w:t>،</w:t>
      </w:r>
      <w:r w:rsidRPr="003F3B94">
        <w:rPr>
          <w:rFonts w:ascii="Abo-thar" w:hAnsi="Abo-thar" w:hint="cs"/>
          <w:sz w:val="28"/>
          <w:rtl/>
        </w:rPr>
        <w:t xml:space="preserve"> لأنه استند إلى ما نصت عليه الآية الكريمة التي تقول</w:t>
      </w:r>
      <w:r w:rsidR="00217AB4" w:rsidRPr="003F3B94">
        <w:rPr>
          <w:rFonts w:ascii="Abo-thar" w:hAnsi="Abo-thar" w:hint="cs"/>
          <w:sz w:val="28"/>
          <w:rtl/>
        </w:rPr>
        <w:t>:</w:t>
      </w:r>
    </w:p>
    <w:p w:rsidR="00FE2278" w:rsidRPr="003F3B94" w:rsidRDefault="00B06788" w:rsidP="003F3B94">
      <w:pPr>
        <w:pStyle w:val="a0"/>
        <w:rPr>
          <w:rFonts w:hint="cs"/>
          <w:rtl/>
        </w:rPr>
      </w:pPr>
      <w:r w:rsidRPr="00995B26">
        <w:rPr>
          <w:rFonts w:ascii="Abo-thar" w:hAnsi="Abo-thar" w:cs="Traditional Arabic" w:hint="cs"/>
          <w:sz w:val="28"/>
          <w:rtl/>
        </w:rPr>
        <w:t>﴿</w:t>
      </w:r>
      <w:r w:rsidRPr="0067048A">
        <w:rPr>
          <w:rFonts w:ascii="KFGQPC Uthmanic Script HAFS" w:cs="KFGQPC Uthmanic Script HAFS" w:hint="eastAsia"/>
          <w:sz w:val="28"/>
          <w:szCs w:val="28"/>
          <w:rtl/>
        </w:rPr>
        <w:t>خُذ</w:t>
      </w:r>
      <w:r w:rsidRPr="0067048A">
        <w:rPr>
          <w:rFonts w:ascii="KFGQPC Uthmanic Script HAFS" w:cs="KFGQPC Uthmanic Script HAFS" w:hint="cs"/>
          <w:sz w:val="28"/>
          <w:szCs w:val="28"/>
          <w:rtl/>
        </w:rPr>
        <w:t>ۡ</w:t>
      </w:r>
      <w:r w:rsidRPr="0067048A">
        <w:rPr>
          <w:rFonts w:ascii="KFGQPC Uthmanic Script HAFS" w:cs="KFGQPC Uthmanic Script HAFS"/>
          <w:sz w:val="28"/>
          <w:szCs w:val="28"/>
          <w:rtl/>
        </w:rPr>
        <w:t xml:space="preserve"> </w:t>
      </w:r>
      <w:r w:rsidRPr="0067048A">
        <w:rPr>
          <w:rFonts w:ascii="KFGQPC Uthmanic Script HAFS" w:cs="KFGQPC Uthmanic Script HAFS" w:hint="eastAsia"/>
          <w:sz w:val="28"/>
          <w:szCs w:val="28"/>
          <w:rtl/>
        </w:rPr>
        <w:t>مِن</w:t>
      </w:r>
      <w:r w:rsidRPr="0067048A">
        <w:rPr>
          <w:rFonts w:ascii="KFGQPC Uthmanic Script HAFS" w:cs="KFGQPC Uthmanic Script HAFS" w:hint="cs"/>
          <w:sz w:val="28"/>
          <w:szCs w:val="28"/>
          <w:rtl/>
        </w:rPr>
        <w:t>ۡ</w:t>
      </w:r>
      <w:r w:rsidRPr="0067048A">
        <w:rPr>
          <w:rFonts w:ascii="KFGQPC Uthmanic Script HAFS" w:cs="KFGQPC Uthmanic Script HAFS"/>
          <w:sz w:val="28"/>
          <w:szCs w:val="28"/>
          <w:rtl/>
        </w:rPr>
        <w:t xml:space="preserve"> </w:t>
      </w:r>
      <w:r w:rsidRPr="0067048A">
        <w:rPr>
          <w:rFonts w:ascii="KFGQPC Uthmanic Script HAFS" w:cs="KFGQPC Uthmanic Script HAFS" w:hint="eastAsia"/>
          <w:sz w:val="28"/>
          <w:szCs w:val="28"/>
          <w:rtl/>
        </w:rPr>
        <w:t>أَم</w:t>
      </w:r>
      <w:r w:rsidRPr="0067048A">
        <w:rPr>
          <w:rFonts w:ascii="KFGQPC Uthmanic Script HAFS" w:cs="KFGQPC Uthmanic Script HAFS" w:hint="cs"/>
          <w:sz w:val="28"/>
          <w:szCs w:val="28"/>
          <w:rtl/>
        </w:rPr>
        <w:t>ۡ</w:t>
      </w:r>
      <w:r w:rsidRPr="0067048A">
        <w:rPr>
          <w:rFonts w:ascii="KFGQPC Uthmanic Script HAFS" w:cs="KFGQPC Uthmanic Script HAFS" w:hint="eastAsia"/>
          <w:sz w:val="28"/>
          <w:szCs w:val="28"/>
          <w:rtl/>
        </w:rPr>
        <w:t>وَ</w:t>
      </w:r>
      <w:r w:rsidRPr="0067048A">
        <w:rPr>
          <w:rFonts w:ascii="KFGQPC Uthmanic Script HAFS" w:cs="KFGQPC Uthmanic Script HAFS" w:hint="cs"/>
          <w:sz w:val="28"/>
          <w:szCs w:val="28"/>
          <w:rtl/>
        </w:rPr>
        <w:t>ٰ</w:t>
      </w:r>
      <w:r w:rsidRPr="0067048A">
        <w:rPr>
          <w:rFonts w:ascii="KFGQPC Uthmanic Script HAFS" w:cs="KFGQPC Uthmanic Script HAFS" w:hint="eastAsia"/>
          <w:sz w:val="28"/>
          <w:szCs w:val="28"/>
          <w:rtl/>
        </w:rPr>
        <w:t>لِهِم</w:t>
      </w:r>
      <w:r w:rsidRPr="0067048A">
        <w:rPr>
          <w:rFonts w:ascii="KFGQPC Uthmanic Script HAFS" w:cs="KFGQPC Uthmanic Script HAFS" w:hint="cs"/>
          <w:sz w:val="28"/>
          <w:szCs w:val="28"/>
          <w:rtl/>
        </w:rPr>
        <w:t>ۡ</w:t>
      </w:r>
      <w:r w:rsidRPr="0067048A">
        <w:rPr>
          <w:rFonts w:ascii="KFGQPC Uthmanic Script HAFS" w:cs="KFGQPC Uthmanic Script HAFS"/>
          <w:sz w:val="28"/>
          <w:szCs w:val="28"/>
          <w:rtl/>
        </w:rPr>
        <w:t xml:space="preserve"> </w:t>
      </w:r>
      <w:r w:rsidRPr="0067048A">
        <w:rPr>
          <w:rFonts w:ascii="KFGQPC Uthmanic Script HAFS" w:cs="KFGQPC Uthmanic Script HAFS" w:hint="eastAsia"/>
          <w:sz w:val="28"/>
          <w:szCs w:val="28"/>
          <w:rtl/>
        </w:rPr>
        <w:t>صَدَقَة</w:t>
      </w:r>
      <w:r w:rsidRPr="0067048A">
        <w:rPr>
          <w:rFonts w:ascii="KFGQPC Uthmanic Script HAFS" w:cs="KFGQPC Uthmanic Script HAFS" w:hint="cs"/>
          <w:sz w:val="28"/>
          <w:szCs w:val="28"/>
          <w:rtl/>
        </w:rPr>
        <w:t>ٗ</w:t>
      </w:r>
      <w:r w:rsidRPr="0067048A">
        <w:rPr>
          <w:rFonts w:ascii="KFGQPC Uthmanic Script HAFS" w:cs="KFGQPC Uthmanic Script HAFS"/>
          <w:sz w:val="28"/>
          <w:szCs w:val="28"/>
          <w:rtl/>
        </w:rPr>
        <w:t xml:space="preserve"> </w:t>
      </w:r>
      <w:r w:rsidRPr="0067048A">
        <w:rPr>
          <w:rFonts w:ascii="KFGQPC Uthmanic Script HAFS" w:cs="KFGQPC Uthmanic Script HAFS" w:hint="eastAsia"/>
          <w:sz w:val="28"/>
          <w:szCs w:val="28"/>
          <w:rtl/>
        </w:rPr>
        <w:t>تُطَهِّرُهُم</w:t>
      </w:r>
      <w:r w:rsidRPr="0067048A">
        <w:rPr>
          <w:rFonts w:ascii="KFGQPC Uthmanic Script HAFS" w:cs="KFGQPC Uthmanic Script HAFS" w:hint="cs"/>
          <w:sz w:val="28"/>
          <w:szCs w:val="28"/>
          <w:rtl/>
        </w:rPr>
        <w:t>ۡ</w:t>
      </w:r>
      <w:r w:rsidRPr="0067048A">
        <w:rPr>
          <w:rFonts w:ascii="KFGQPC Uthmanic Script HAFS" w:cs="KFGQPC Uthmanic Script HAFS"/>
          <w:sz w:val="28"/>
          <w:szCs w:val="28"/>
          <w:rtl/>
        </w:rPr>
        <w:t xml:space="preserve"> </w:t>
      </w:r>
      <w:r w:rsidRPr="0067048A">
        <w:rPr>
          <w:rFonts w:ascii="KFGQPC Uthmanic Script HAFS" w:cs="KFGQPC Uthmanic Script HAFS" w:hint="eastAsia"/>
          <w:sz w:val="28"/>
          <w:szCs w:val="28"/>
          <w:rtl/>
        </w:rPr>
        <w:t>وَتُزَكِّيهِم</w:t>
      </w:r>
      <w:r w:rsidRPr="0067048A">
        <w:rPr>
          <w:rFonts w:ascii="KFGQPC Uthmanic Script HAFS" w:cs="KFGQPC Uthmanic Script HAFS"/>
          <w:sz w:val="28"/>
          <w:szCs w:val="28"/>
          <w:rtl/>
        </w:rPr>
        <w:t xml:space="preserve"> </w:t>
      </w:r>
      <w:r w:rsidRPr="0067048A">
        <w:rPr>
          <w:rFonts w:ascii="KFGQPC Uthmanic Script HAFS" w:cs="KFGQPC Uthmanic Script HAFS" w:hint="eastAsia"/>
          <w:sz w:val="28"/>
          <w:szCs w:val="28"/>
          <w:rtl/>
        </w:rPr>
        <w:t>بِهَا</w:t>
      </w:r>
      <w:r w:rsidRPr="00995B26">
        <w:rPr>
          <w:rFonts w:ascii="KFGQPC Uthmanic Script HAFS" w:cs="Times New Roman" w:hint="cs"/>
          <w:sz w:val="28"/>
          <w:rtl/>
        </w:rPr>
        <w:t>...</w:t>
      </w:r>
      <w:r w:rsidRPr="00995B26">
        <w:rPr>
          <w:rFonts w:ascii="Abo-thar" w:hAnsi="Abo-thar" w:cs="Traditional Arabic" w:hint="cs"/>
          <w:sz w:val="28"/>
          <w:rtl/>
        </w:rPr>
        <w:t>﴾</w:t>
      </w:r>
      <w:r w:rsidR="005C664D" w:rsidRPr="003F3B94">
        <w:rPr>
          <w:rFonts w:ascii="Abo-thar" w:hAnsi="Abo-thar" w:hint="cs"/>
          <w:sz w:val="28"/>
          <w:rtl/>
        </w:rPr>
        <w:t xml:space="preserve"> </w:t>
      </w:r>
      <w:r w:rsidR="005C664D" w:rsidRPr="003108CB">
        <w:rPr>
          <w:rStyle w:val="Char2"/>
          <w:rtl/>
        </w:rPr>
        <w:t>[التوبة</w:t>
      </w:r>
      <w:r w:rsidRPr="003108CB">
        <w:rPr>
          <w:rStyle w:val="Char2"/>
          <w:rFonts w:hint="cs"/>
          <w:rtl/>
        </w:rPr>
        <w:t xml:space="preserve">: </w:t>
      </w:r>
      <w:r w:rsidR="005C664D" w:rsidRPr="003108CB">
        <w:rPr>
          <w:rStyle w:val="Char2"/>
          <w:rtl/>
        </w:rPr>
        <w:t>103]</w:t>
      </w:r>
    </w:p>
    <w:p w:rsidR="005C664D" w:rsidRPr="003F3B94" w:rsidRDefault="005C664D" w:rsidP="003F3B94">
      <w:pPr>
        <w:pStyle w:val="a0"/>
        <w:rPr>
          <w:rFonts w:hint="cs"/>
          <w:rtl/>
        </w:rPr>
      </w:pPr>
      <w:r w:rsidRPr="003F3B94">
        <w:rPr>
          <w:rFonts w:hint="cs"/>
          <w:sz w:val="28"/>
          <w:rtl/>
        </w:rPr>
        <w:t>ومن الواضح تماماً أن الكلام فيها عن أخذ الزكاة</w:t>
      </w:r>
      <w:r w:rsidR="001E0DB7" w:rsidRPr="003F3B94">
        <w:rPr>
          <w:rFonts w:hint="cs"/>
          <w:sz w:val="28"/>
          <w:rtl/>
        </w:rPr>
        <w:t>،</w:t>
      </w:r>
      <w:r w:rsidRPr="003F3B94">
        <w:rPr>
          <w:rFonts w:hint="cs"/>
          <w:sz w:val="28"/>
          <w:rtl/>
        </w:rPr>
        <w:t xml:space="preserve"> فعند التدقيق والتأمل في الروايات الواردة في هذا الباب يتضح أن بعض </w:t>
      </w:r>
      <w:r w:rsidRPr="003F3B94">
        <w:rPr>
          <w:rFonts w:ascii="Abo-thar" w:hAnsi="Abo-thar" w:hint="cs"/>
          <w:sz w:val="28"/>
          <w:rtl/>
        </w:rPr>
        <w:t>الأئمة المعصومين</w:t>
      </w:r>
      <w:r w:rsidR="00147857" w:rsidRPr="003F3B94">
        <w:rPr>
          <w:rFonts w:ascii="Abo-thar" w:hAnsi="Abo-thar" w:hint="cs"/>
          <w:sz w:val="28"/>
          <w:rtl/>
        </w:rPr>
        <w:t xml:space="preserve"> </w:t>
      </w:r>
      <w:r w:rsidR="00963EFD" w:rsidRPr="00963EFD">
        <w:rPr>
          <w:rFonts w:ascii="Abo-thar" w:hAnsi="Abo-thar" w:cs="CTraditional Arabic"/>
          <w:sz w:val="28"/>
          <w:rtl/>
        </w:rPr>
        <w:t>‡</w:t>
      </w:r>
      <w:r w:rsidR="00147857" w:rsidRPr="003F3B94">
        <w:rPr>
          <w:rFonts w:ascii="Abo-thar" w:hAnsi="Abo-thar"/>
          <w:sz w:val="28"/>
          <w:rtl/>
        </w:rPr>
        <w:t xml:space="preserve"> </w:t>
      </w:r>
      <w:r w:rsidRPr="003F3B94">
        <w:rPr>
          <w:rFonts w:hint="cs"/>
          <w:sz w:val="28"/>
          <w:rtl/>
        </w:rPr>
        <w:t>كانوا يأخذون الزكاة والفطرة من شيعتهم كما أوردنا روايات بهذا الشأن في كتاب الزكاة وكتابنا الحالي هذا</w:t>
      </w:r>
      <w:r w:rsidR="00217AB4" w:rsidRPr="003F3B94">
        <w:rPr>
          <w:rFonts w:hint="cs"/>
          <w:sz w:val="28"/>
          <w:rtl/>
        </w:rPr>
        <w:t>.</w:t>
      </w:r>
      <w:r w:rsidRPr="003F3B94">
        <w:rPr>
          <w:rFonts w:hint="cs"/>
          <w:sz w:val="28"/>
          <w:rtl/>
        </w:rPr>
        <w:t xml:space="preserve"> </w:t>
      </w:r>
    </w:p>
    <w:p w:rsidR="00071132" w:rsidRPr="003F3B94" w:rsidRDefault="00071132" w:rsidP="003F3B94">
      <w:pPr>
        <w:pStyle w:val="a0"/>
        <w:rPr>
          <w:rtl/>
          <w:lang w:bidi="ar-SY"/>
        </w:rPr>
        <w:sectPr w:rsidR="00071132" w:rsidRPr="003F3B94" w:rsidSect="00010AE3">
          <w:headerReference w:type="default" r:id="rId30"/>
          <w:footnotePr>
            <w:numRestart w:val="eachPage"/>
          </w:footnotePr>
          <w:type w:val="oddPage"/>
          <w:pgSz w:w="9356" w:h="13608" w:code="34"/>
          <w:pgMar w:top="964" w:right="1134" w:bottom="1134" w:left="964" w:header="0" w:footer="851" w:gutter="0"/>
          <w:cols w:space="708"/>
          <w:titlePg/>
          <w:bidi/>
          <w:rtlGutter/>
          <w:docGrid w:linePitch="360"/>
        </w:sectPr>
      </w:pPr>
    </w:p>
    <w:p w:rsidR="005C664D" w:rsidRPr="00995B26" w:rsidRDefault="003D6690" w:rsidP="00071132">
      <w:pPr>
        <w:pStyle w:val="Heading1"/>
        <w:rPr>
          <w:rFonts w:hint="cs"/>
          <w:rtl/>
        </w:rPr>
      </w:pPr>
      <w:bookmarkStart w:id="106" w:name="_Toc387843077"/>
      <w:r w:rsidRPr="00995B26">
        <w:rPr>
          <w:rFonts w:hint="cs"/>
          <w:rtl/>
        </w:rPr>
        <w:t>الفصل السادس</w:t>
      </w:r>
      <w:r w:rsidR="00071132">
        <w:rPr>
          <w:rtl/>
        </w:rPr>
        <w:br/>
      </w:r>
      <w:r w:rsidR="005C664D" w:rsidRPr="00995B26">
        <w:rPr>
          <w:rFonts w:hint="cs"/>
          <w:rtl/>
        </w:rPr>
        <w:t>أحاديث إباحة الخمس وتحليله للشيعة</w:t>
      </w:r>
      <w:bookmarkEnd w:id="106"/>
    </w:p>
    <w:p w:rsidR="005C664D" w:rsidRPr="003F3B94" w:rsidRDefault="005C664D" w:rsidP="003F3B94">
      <w:pPr>
        <w:pStyle w:val="a0"/>
        <w:rPr>
          <w:rFonts w:hint="cs"/>
          <w:rtl/>
        </w:rPr>
      </w:pPr>
      <w:r w:rsidRPr="003F3B94">
        <w:rPr>
          <w:rFonts w:ascii="Abo-thar" w:hAnsi="Abo-thar" w:hint="cs"/>
          <w:sz w:val="28"/>
          <w:rtl/>
        </w:rPr>
        <w:t>لقد اتضح للقارئ المؤمن المنصف من الشـرح الذي ذكرناه مدى ضعف وتهافت الأساس الذي تقوم عليه مسألة الخمس</w:t>
      </w:r>
      <w:r w:rsidR="00217AB4" w:rsidRPr="003F3B94">
        <w:rPr>
          <w:rFonts w:ascii="Abo-thar" w:hAnsi="Abo-thar" w:hint="cs"/>
          <w:sz w:val="28"/>
          <w:rtl/>
        </w:rPr>
        <w:t>!</w:t>
      </w:r>
      <w:r w:rsidRPr="003F3B94">
        <w:rPr>
          <w:rFonts w:ascii="Abo-thar" w:hAnsi="Abo-thar" w:hint="cs"/>
          <w:sz w:val="28"/>
          <w:rtl/>
        </w:rPr>
        <w:t xml:space="preserve"> وحتى لو فرضنا جدلاً أن جميع الأحاديث التي جاءت في باب وجوب الخمس صحيحة </w:t>
      </w:r>
      <w:r w:rsidR="00217AB4" w:rsidRPr="003F3B94">
        <w:rPr>
          <w:rFonts w:ascii="Abo-thar" w:hAnsi="Abo-thar" w:hint="cs"/>
          <w:sz w:val="28"/>
          <w:rtl/>
        </w:rPr>
        <w:t>(</w:t>
      </w:r>
      <w:r w:rsidRPr="003F3B94">
        <w:rPr>
          <w:rFonts w:ascii="Abo-thar" w:hAnsi="Abo-thar" w:hint="cs"/>
          <w:sz w:val="28"/>
          <w:rtl/>
        </w:rPr>
        <w:t>مع أنها كلها كما لاحظنا ضعيفة</w:t>
      </w:r>
      <w:r w:rsidR="00217AB4" w:rsidRPr="003F3B94">
        <w:rPr>
          <w:rFonts w:ascii="Abo-thar" w:hAnsi="Abo-thar" w:hint="cs"/>
          <w:sz w:val="28"/>
          <w:rtl/>
        </w:rPr>
        <w:t>)</w:t>
      </w:r>
      <w:r w:rsidR="001E0DB7" w:rsidRPr="003F3B94">
        <w:rPr>
          <w:rFonts w:ascii="Abo-thar" w:hAnsi="Abo-thar" w:hint="cs"/>
          <w:sz w:val="28"/>
          <w:rtl/>
        </w:rPr>
        <w:t>،</w:t>
      </w:r>
      <w:r w:rsidRPr="003F3B94">
        <w:rPr>
          <w:rFonts w:ascii="Abo-thar" w:hAnsi="Abo-thar" w:hint="cs"/>
          <w:sz w:val="28"/>
          <w:rtl/>
        </w:rPr>
        <w:t xml:space="preserve"> وفرضنا جدلاً أيضاً أنها تثبت الخمس في أرباح المكاسب وغيرها </w:t>
      </w:r>
      <w:r w:rsidR="00217AB4" w:rsidRPr="003F3B94">
        <w:rPr>
          <w:rFonts w:ascii="Abo-thar" w:hAnsi="Abo-thar" w:hint="cs"/>
          <w:sz w:val="28"/>
          <w:rtl/>
        </w:rPr>
        <w:t>(</w:t>
      </w:r>
      <w:r w:rsidRPr="003F3B94">
        <w:rPr>
          <w:rFonts w:ascii="Abo-thar" w:hAnsi="Abo-thar" w:hint="cs"/>
          <w:sz w:val="28"/>
          <w:rtl/>
        </w:rPr>
        <w:t>مع أنه تبين أنها لو ثبتت فإنها خاصة بالإمام</w:t>
      </w:r>
      <w:r w:rsidR="00217AB4" w:rsidRPr="003F3B94">
        <w:rPr>
          <w:rFonts w:ascii="Abo-thar" w:hAnsi="Abo-thar" w:hint="cs"/>
          <w:sz w:val="28"/>
          <w:rtl/>
        </w:rPr>
        <w:t>)</w:t>
      </w:r>
      <w:r w:rsidR="001E0DB7" w:rsidRPr="003F3B94">
        <w:rPr>
          <w:rFonts w:ascii="Abo-thar" w:hAnsi="Abo-thar" w:hint="cs"/>
          <w:sz w:val="28"/>
          <w:rtl/>
        </w:rPr>
        <w:t>،</w:t>
      </w:r>
      <w:r w:rsidRPr="003F3B94">
        <w:rPr>
          <w:rFonts w:ascii="Abo-thar" w:hAnsi="Abo-thar" w:hint="cs"/>
          <w:sz w:val="28"/>
          <w:rtl/>
        </w:rPr>
        <w:t xml:space="preserve"> رغم ذلك فإن الأحاديث التي سننقلها فيما يلي من كتب الشيعة المعتمدة والموثوقة تبيِّن أن حضرات الأئمة </w:t>
      </w:r>
      <w:r w:rsidR="00963EFD" w:rsidRPr="00963EFD">
        <w:rPr>
          <w:rFonts w:ascii="Abo-thar" w:hAnsi="Abo-thar" w:cs="CTraditional Arabic" w:hint="cs"/>
          <w:sz w:val="28"/>
          <w:rtl/>
        </w:rPr>
        <w:t>‡</w:t>
      </w:r>
      <w:r w:rsidRPr="003F3B94">
        <w:rPr>
          <w:rFonts w:ascii="Abo-thar" w:hAnsi="Abo-thar" w:hint="cs"/>
          <w:sz w:val="28"/>
          <w:rtl/>
        </w:rPr>
        <w:t xml:space="preserve"> وهبوا ذلك الخمس لشيعتهم وحللوه لهم</w:t>
      </w:r>
      <w:r w:rsidR="001E0DB7" w:rsidRPr="003F3B94">
        <w:rPr>
          <w:rFonts w:ascii="Abo-thar" w:hAnsi="Abo-thar" w:hint="cs"/>
          <w:sz w:val="28"/>
          <w:rtl/>
        </w:rPr>
        <w:t>،</w:t>
      </w:r>
      <w:r w:rsidRPr="003F3B94">
        <w:rPr>
          <w:rFonts w:ascii="Abo-thar" w:hAnsi="Abo-thar" w:hint="cs"/>
          <w:sz w:val="28"/>
          <w:rtl/>
        </w:rPr>
        <w:t xml:space="preserve"> ولا ينقضي العجب والحيرة بعد مطالعة هذه الأحاديث الكثيرة من مواصلة القوم لأخذ الخمس</w:t>
      </w:r>
      <w:r w:rsidR="001E0DB7" w:rsidRPr="003F3B94">
        <w:rPr>
          <w:rFonts w:ascii="Abo-thar" w:hAnsi="Abo-thar" w:hint="cs"/>
          <w:sz w:val="28"/>
          <w:rtl/>
        </w:rPr>
        <w:t>،</w:t>
      </w:r>
      <w:r w:rsidRPr="003F3B94">
        <w:rPr>
          <w:rFonts w:ascii="Abo-thar" w:hAnsi="Abo-thar" w:hint="cs"/>
          <w:sz w:val="28"/>
          <w:rtl/>
        </w:rPr>
        <w:t xml:space="preserve"> هذا مع أنه حتى لو فرضنا وجوب مثل هذا الخمس الذي لا نجد له في كتاب الله ولا في سنة رسوله أي أثر</w:t>
      </w:r>
      <w:r w:rsidR="001E0DB7" w:rsidRPr="003F3B94">
        <w:rPr>
          <w:rFonts w:ascii="Abo-thar" w:hAnsi="Abo-thar" w:hint="cs"/>
          <w:sz w:val="28"/>
          <w:rtl/>
        </w:rPr>
        <w:t>،</w:t>
      </w:r>
      <w:r w:rsidRPr="003F3B94">
        <w:rPr>
          <w:rFonts w:ascii="Abo-thar" w:hAnsi="Abo-thar" w:hint="cs"/>
          <w:sz w:val="28"/>
          <w:rtl/>
        </w:rPr>
        <w:t xml:space="preserve"> وفرضنا أن الأئمة</w:t>
      </w:r>
      <w:r w:rsidR="001E0DB7" w:rsidRPr="003F3B94">
        <w:rPr>
          <w:rFonts w:ascii="Abo-thar" w:hAnsi="Abo-thar" w:hint="cs"/>
          <w:sz w:val="28"/>
          <w:rtl/>
        </w:rPr>
        <w:t>،</w:t>
      </w:r>
      <w:r w:rsidRPr="003F3B94">
        <w:rPr>
          <w:rFonts w:ascii="Abo-thar" w:hAnsi="Abo-thar" w:hint="cs"/>
          <w:sz w:val="28"/>
          <w:rtl/>
        </w:rPr>
        <w:t xml:space="preserve"> طبقاً لعقائد المفوضة لعنهم الله</w:t>
      </w:r>
      <w:r w:rsidR="001E0DB7" w:rsidRPr="003F3B94">
        <w:rPr>
          <w:rFonts w:ascii="Abo-thar" w:hAnsi="Abo-thar" w:hint="cs"/>
          <w:sz w:val="28"/>
          <w:rtl/>
        </w:rPr>
        <w:t>،</w:t>
      </w:r>
      <w:r w:rsidRPr="003F3B94">
        <w:rPr>
          <w:rFonts w:ascii="Abo-thar" w:hAnsi="Abo-thar" w:hint="cs"/>
          <w:sz w:val="28"/>
          <w:rtl/>
        </w:rPr>
        <w:t xml:space="preserve"> كانوا يمتلكون مثل تلك الصلاحية والحق في وضع أحكام جديدة والتحريم والتحليل بعد انقطاع الوحي واختتام الرسل</w:t>
      </w:r>
      <w:r w:rsidR="001E0DB7" w:rsidRPr="003F3B94">
        <w:rPr>
          <w:rFonts w:ascii="Abo-thar" w:hAnsi="Abo-thar" w:hint="cs"/>
          <w:sz w:val="28"/>
          <w:rtl/>
        </w:rPr>
        <w:t>،</w:t>
      </w:r>
      <w:r w:rsidRPr="003F3B94">
        <w:rPr>
          <w:rFonts w:ascii="Abo-thar" w:hAnsi="Abo-thar" w:hint="cs"/>
          <w:sz w:val="28"/>
          <w:rtl/>
        </w:rPr>
        <w:t xml:space="preserve"> مع كل هذه الافتراضات المستحيلة فإن الأحاديث التالية تثبت أنه إذا كان للأئمة حق وسهم فإنهم وهبوه لشيعتهم وتصدقوا به</w:t>
      </w:r>
      <w:r w:rsidR="001E0DB7" w:rsidRPr="003F3B94">
        <w:rPr>
          <w:rFonts w:ascii="Abo-thar" w:hAnsi="Abo-thar" w:hint="cs"/>
          <w:sz w:val="28"/>
          <w:rtl/>
        </w:rPr>
        <w:t>،</w:t>
      </w:r>
      <w:r w:rsidRPr="003F3B94">
        <w:rPr>
          <w:rFonts w:ascii="Abo-thar" w:hAnsi="Abo-thar" w:hint="cs"/>
          <w:sz w:val="28"/>
          <w:rtl/>
        </w:rPr>
        <w:t xml:space="preserve"> فلماذا لا يزال الفقهاء يطالبون به الشيعة</w:t>
      </w:r>
      <w:r w:rsidR="00217AB4" w:rsidRPr="003F3B94">
        <w:rPr>
          <w:rFonts w:ascii="Abo-thar" w:hAnsi="Abo-thar" w:hint="cs"/>
          <w:sz w:val="28"/>
          <w:rtl/>
        </w:rPr>
        <w:t>؟!</w:t>
      </w:r>
      <w:r w:rsidRPr="003F3B94">
        <w:rPr>
          <w:rFonts w:ascii="Abo-thar" w:hAnsi="Abo-thar" w:hint="cs"/>
          <w:sz w:val="28"/>
          <w:rtl/>
        </w:rPr>
        <w:t xml:space="preserve"> ألا ينطبق عليهم المثل</w:t>
      </w:r>
      <w:r w:rsidR="00217AB4" w:rsidRPr="003F3B94">
        <w:rPr>
          <w:rFonts w:ascii="Abo-thar" w:hAnsi="Abo-thar" w:hint="cs"/>
          <w:sz w:val="28"/>
          <w:rtl/>
        </w:rPr>
        <w:t>:</w:t>
      </w:r>
      <w:r w:rsidRPr="003F3B94">
        <w:rPr>
          <w:rFonts w:ascii="Abo-thar" w:hAnsi="Abo-thar" w:hint="cs"/>
          <w:sz w:val="28"/>
          <w:rtl/>
        </w:rPr>
        <w:t xml:space="preserve"> المَلِكُ سامَحَ ورضيَ والشيخ علي خان لا يسامح ولا</w:t>
      </w:r>
      <w:r w:rsidRPr="003F3B94">
        <w:rPr>
          <w:rFonts w:cs="Times New Roman" w:hint="cs"/>
          <w:sz w:val="28"/>
          <w:rtl/>
        </w:rPr>
        <w:t> </w:t>
      </w:r>
      <w:r w:rsidRPr="003F3B94">
        <w:rPr>
          <w:rFonts w:ascii="Abo-thar" w:hAnsi="Abo-thar" w:hint="cs"/>
          <w:sz w:val="28"/>
          <w:rtl/>
        </w:rPr>
        <w:t>يرضى</w:t>
      </w:r>
      <w:r w:rsidR="00217AB4" w:rsidRPr="003F3B94">
        <w:rPr>
          <w:rFonts w:ascii="Abo-thar" w:hAnsi="Abo-thar" w:hint="cs"/>
          <w:sz w:val="28"/>
          <w:rtl/>
        </w:rPr>
        <w:t>؟!</w:t>
      </w:r>
      <w:r w:rsidRPr="003F3B94">
        <w:rPr>
          <w:rFonts w:ascii="Abo-thar" w:hAnsi="Abo-thar" w:hint="cs"/>
          <w:sz w:val="28"/>
          <w:rtl/>
        </w:rPr>
        <w:t xml:space="preserve"> </w:t>
      </w:r>
    </w:p>
    <w:p w:rsidR="003D6690" w:rsidRPr="00C3556F" w:rsidRDefault="003D6690" w:rsidP="00C3556F">
      <w:pPr>
        <w:pStyle w:val="a5"/>
        <w:rPr>
          <w:rFonts w:hint="cs"/>
          <w:rtl/>
        </w:rPr>
      </w:pPr>
      <w:bookmarkStart w:id="107" w:name="_Toc387843078"/>
      <w:r w:rsidRPr="00C3556F">
        <w:rPr>
          <w:rFonts w:hint="cs"/>
          <w:rtl/>
        </w:rPr>
        <w:t>1- أخبار الإعفاء مِنْ قِبَلِ الأئمة</w:t>
      </w:r>
      <w:bookmarkEnd w:id="107"/>
    </w:p>
    <w:p w:rsidR="005C664D" w:rsidRDefault="005C664D" w:rsidP="003F3B94">
      <w:pPr>
        <w:pStyle w:val="a0"/>
        <w:rPr>
          <w:rFonts w:ascii="Abo-thar" w:hAnsi="Abo-thar" w:hint="cs"/>
          <w:sz w:val="28"/>
          <w:rtl/>
        </w:rPr>
      </w:pPr>
      <w:r w:rsidRPr="003F3B94">
        <w:rPr>
          <w:rFonts w:ascii="Abo-thar" w:hAnsi="Abo-thar" w:hint="cs"/>
          <w:sz w:val="28"/>
          <w:rtl/>
        </w:rPr>
        <w:t>فيما يلي بيان هذه الأحاديث من كتب الشيعة المعتمدة حسب ترتيب وتتالي الأئمة</w:t>
      </w:r>
      <w:r w:rsidR="00147857" w:rsidRPr="003F3B94">
        <w:rPr>
          <w:rFonts w:ascii="Abo-thar" w:hAnsi="Abo-thar" w:hint="cs"/>
          <w:sz w:val="28"/>
          <w:rtl/>
        </w:rPr>
        <w:t xml:space="preserve"> </w:t>
      </w:r>
      <w:r w:rsidR="00963EFD" w:rsidRPr="00963EFD">
        <w:rPr>
          <w:rFonts w:ascii="Abo-thar" w:hAnsi="Abo-thar" w:cs="CTraditional Arabic"/>
          <w:sz w:val="28"/>
          <w:rtl/>
        </w:rPr>
        <w:t>‡</w:t>
      </w:r>
      <w:r w:rsidR="00147857" w:rsidRPr="003F3B94">
        <w:rPr>
          <w:rFonts w:ascii="Abo-thar" w:hAnsi="Abo-thar"/>
          <w:sz w:val="28"/>
          <w:rtl/>
        </w:rPr>
        <w:t xml:space="preserve"> </w:t>
      </w:r>
      <w:r w:rsidRPr="003F3B94">
        <w:rPr>
          <w:rFonts w:ascii="Abo-thar" w:hAnsi="Abo-thar" w:hint="cs"/>
          <w:sz w:val="28"/>
          <w:rtl/>
        </w:rPr>
        <w:t xml:space="preserve">الذين نقلت عنهم أحاديث إباحتهم </w:t>
      </w:r>
      <w:r w:rsidRPr="003F3B94">
        <w:rPr>
          <w:rFonts w:ascii="Abo-thar" w:hAnsi="Abo-thar"/>
          <w:sz w:val="28"/>
          <w:rtl/>
        </w:rPr>
        <w:t>«</w:t>
      </w:r>
      <w:r w:rsidRPr="003F3B94">
        <w:rPr>
          <w:rFonts w:ascii="Abo-thar" w:hAnsi="Abo-thar" w:hint="cs"/>
          <w:sz w:val="28"/>
          <w:rtl/>
        </w:rPr>
        <w:t>الخُمُس</w:t>
      </w:r>
      <w:r w:rsidRPr="003F3B94">
        <w:rPr>
          <w:rFonts w:ascii="Abo-thar" w:hAnsi="Abo-thar"/>
          <w:sz w:val="28"/>
          <w:rtl/>
        </w:rPr>
        <w:t>»</w:t>
      </w:r>
      <w:r w:rsidRPr="003F3B94">
        <w:rPr>
          <w:rFonts w:ascii="Abo-thar" w:hAnsi="Abo-thar" w:hint="cs"/>
          <w:sz w:val="28"/>
          <w:rtl/>
        </w:rPr>
        <w:t xml:space="preserve"> وتحليله لشيعتهم</w:t>
      </w:r>
      <w:r w:rsidR="00217AB4" w:rsidRPr="003F3B94">
        <w:rPr>
          <w:rFonts w:ascii="Abo-thar" w:hAnsi="Abo-thar" w:hint="cs"/>
          <w:sz w:val="28"/>
          <w:rtl/>
        </w:rPr>
        <w:t>:</w:t>
      </w:r>
    </w:p>
    <w:p w:rsidR="00254729" w:rsidRPr="003F3B94" w:rsidRDefault="00254729" w:rsidP="003F3B94">
      <w:pPr>
        <w:pStyle w:val="a0"/>
        <w:rPr>
          <w:rFonts w:hint="cs"/>
          <w:rtl/>
          <w:lang w:bidi="ar-SY"/>
        </w:rPr>
      </w:pPr>
    </w:p>
    <w:p w:rsidR="003D6690" w:rsidRPr="00995B26" w:rsidRDefault="003D6690" w:rsidP="003C671C">
      <w:pPr>
        <w:pStyle w:val="a6"/>
        <w:rPr>
          <w:rFonts w:hint="cs"/>
          <w:rtl/>
        </w:rPr>
      </w:pPr>
      <w:bookmarkStart w:id="108" w:name="_Toc387843079"/>
      <w:r w:rsidRPr="00995B26">
        <w:rPr>
          <w:rFonts w:hint="cs"/>
          <w:rtl/>
        </w:rPr>
        <w:t xml:space="preserve">1- الإمام علي </w:t>
      </w:r>
      <w:r w:rsidR="003C7AEB" w:rsidRPr="003C7AEB">
        <w:rPr>
          <w:rFonts w:cs="CTraditional Arabic" w:hint="cs"/>
          <w:bCs w:val="0"/>
          <w:rtl/>
        </w:rPr>
        <w:t>÷</w:t>
      </w:r>
      <w:bookmarkEnd w:id="108"/>
    </w:p>
    <w:p w:rsidR="005C664D" w:rsidRPr="003F3B94" w:rsidRDefault="005C664D" w:rsidP="00254729">
      <w:pPr>
        <w:pStyle w:val="a0"/>
        <w:rPr>
          <w:rFonts w:hint="cs"/>
          <w:rtl/>
          <w:lang w:bidi="fa-IR"/>
        </w:rPr>
      </w:pPr>
      <w:r w:rsidRPr="003F3B94">
        <w:rPr>
          <w:rFonts w:ascii="Abo-thar" w:hAnsi="Abo-thar" w:hint="cs"/>
          <w:sz w:val="28"/>
          <w:rtl/>
          <w:lang w:bidi="ar-SY"/>
        </w:rPr>
        <w:t>1</w:t>
      </w:r>
      <w:r w:rsidR="00217AB4" w:rsidRPr="003F3B94">
        <w:rPr>
          <w:rFonts w:ascii="Abo-thar" w:hAnsi="Abo-thar" w:hint="cs"/>
          <w:sz w:val="28"/>
          <w:rtl/>
          <w:lang w:bidi="ar-SY"/>
        </w:rPr>
        <w:t>-</w:t>
      </w:r>
      <w:r w:rsidRPr="003F3B94">
        <w:rPr>
          <w:rFonts w:ascii="Abo-thar" w:hAnsi="Abo-thar" w:hint="cs"/>
          <w:sz w:val="28"/>
          <w:rtl/>
          <w:lang w:bidi="ar-SY"/>
        </w:rPr>
        <w:t xml:space="preserve"> الشيخ الطوسي في «التهذيب»</w:t>
      </w:r>
      <w:r w:rsidR="00217AB4" w:rsidRPr="003F3B94">
        <w:rPr>
          <w:rFonts w:ascii="Abo-thar" w:hAnsi="Abo-thar" w:hint="cs"/>
          <w:sz w:val="28"/>
          <w:rtl/>
          <w:lang w:bidi="ar-SY"/>
        </w:rPr>
        <w:t>:</w:t>
      </w:r>
      <w:r w:rsidRPr="003F3B94">
        <w:rPr>
          <w:rFonts w:ascii="Abo-thar" w:hAnsi="Abo-thar" w:hint="cs"/>
          <w:sz w:val="28"/>
          <w:rtl/>
          <w:lang w:bidi="ar-SY"/>
        </w:rPr>
        <w:t xml:space="preserve"> </w:t>
      </w:r>
      <w:r w:rsidR="00EF2588" w:rsidRPr="004408B9">
        <w:rPr>
          <w:rFonts w:ascii="Abo-thar" w:hAnsi="Abo-thar" w:cs="KFGQPC Uthman Taha Naskh" w:hint="cs"/>
          <w:sz w:val="28"/>
          <w:rtl/>
          <w:lang w:bidi="ar-SY"/>
        </w:rPr>
        <w:t>«</w:t>
      </w:r>
      <w:r w:rsidRPr="004408B9">
        <w:rPr>
          <w:rFonts w:ascii="Abo-thar" w:hAnsi="Abo-thar" w:cs="KFGQPC Uthman Taha Naskh"/>
          <w:sz w:val="28"/>
          <w:rtl/>
          <w:lang w:bidi="ar-SY"/>
        </w:rPr>
        <w:t>عَنْ أَبِي بَصِيرٍ وزُرَارَةَ ومُحَمَّدِ بْنِ مُسْلِمٍ عَنْ أَبِي جَعْفَرٍ</w:t>
      </w:r>
      <w:r w:rsidR="00BC4BA9" w:rsidRPr="00BC4BA9">
        <w:rPr>
          <w:rFonts w:ascii="Abo-thar" w:hAnsi="Abo-thar" w:cs="CTraditional Arabic"/>
          <w:sz w:val="28"/>
          <w:rtl/>
          <w:lang w:bidi="ar-SY"/>
        </w:rPr>
        <w:t>÷</w:t>
      </w:r>
      <w:r w:rsidRPr="004408B9">
        <w:rPr>
          <w:rFonts w:ascii="Abo-thar" w:hAnsi="Abo-thar" w:cs="KFGQPC Uthman Taha Naskh"/>
          <w:sz w:val="28"/>
          <w:rtl/>
          <w:lang w:bidi="ar-SY"/>
        </w:rPr>
        <w:t xml:space="preserve"> قَالَ قَالَ أَمِيرُ المُؤْمِنِينَ عَلِيُّ بْنُ أَبِي طَالِبٍ </w:t>
      </w:r>
      <w:r w:rsidR="00BC4BA9" w:rsidRPr="00BC4BA9">
        <w:rPr>
          <w:rFonts w:ascii="Abo-thar" w:hAnsi="Abo-thar" w:cs="CTraditional Arabic" w:hint="cs"/>
          <w:sz w:val="28"/>
          <w:rtl/>
          <w:lang w:bidi="ar-SY"/>
        </w:rPr>
        <w:t>÷</w:t>
      </w:r>
      <w:r w:rsidR="00217AB4" w:rsidRPr="004408B9">
        <w:rPr>
          <w:rFonts w:ascii="Abo-thar" w:hAnsi="Abo-thar" w:cs="KFGQPC Uthman Taha Naskh" w:hint="cs"/>
          <w:sz w:val="28"/>
          <w:rtl/>
          <w:lang w:bidi="ar-SY"/>
        </w:rPr>
        <w:t>:</w:t>
      </w:r>
      <w:r w:rsidRPr="004408B9">
        <w:rPr>
          <w:rFonts w:ascii="Abo-thar" w:hAnsi="Abo-thar" w:cs="KFGQPC Uthman Taha Naskh"/>
          <w:sz w:val="28"/>
          <w:rtl/>
          <w:lang w:bidi="ar-SY"/>
        </w:rPr>
        <w:t xml:space="preserve"> </w:t>
      </w:r>
      <w:r w:rsidRPr="004408B9">
        <w:rPr>
          <w:rFonts w:ascii="Abo-thar" w:hAnsi="Abo-thar" w:cs="KFGQPC Uthman Taha Naskh"/>
          <w:b/>
          <w:bCs/>
          <w:sz w:val="28"/>
          <w:rtl/>
          <w:lang w:bidi="ar-SY"/>
        </w:rPr>
        <w:t>هَلَكَ النَّاسُ‏</w:t>
      </w:r>
      <w:r w:rsidRPr="004408B9">
        <w:rPr>
          <w:rFonts w:ascii="Abo-thar" w:hAnsi="Abo-thar" w:cs="KFGQPC Uthman Taha Naskh" w:hint="cs"/>
          <w:b/>
          <w:bCs/>
          <w:sz w:val="28"/>
          <w:rtl/>
          <w:lang w:bidi="ar-SY"/>
        </w:rPr>
        <w:t xml:space="preserve"> </w:t>
      </w:r>
      <w:r w:rsidRPr="004408B9">
        <w:rPr>
          <w:rFonts w:ascii="Abo-thar" w:hAnsi="Abo-thar" w:cs="KFGQPC Uthman Taha Naskh"/>
          <w:b/>
          <w:bCs/>
          <w:sz w:val="28"/>
          <w:rtl/>
          <w:lang w:bidi="ar-SY"/>
        </w:rPr>
        <w:t>فِي بُطُونِهِمْ وفُرُوجِهِمْ لِأَنَّهُمْ لَمْ يُؤَدُّوا إِلَيْنَا حَقَّنَا</w:t>
      </w:r>
      <w:r w:rsidR="00217AB4" w:rsidRPr="004408B9">
        <w:rPr>
          <w:rFonts w:ascii="Abo-thar" w:hAnsi="Abo-thar" w:cs="KFGQPC Uthman Taha Naskh" w:hint="cs"/>
          <w:b/>
          <w:bCs/>
          <w:sz w:val="28"/>
          <w:rtl/>
          <w:lang w:bidi="ar-SY"/>
        </w:rPr>
        <w:t>،</w:t>
      </w:r>
      <w:r w:rsidRPr="004408B9">
        <w:rPr>
          <w:rFonts w:ascii="Abo-thar" w:hAnsi="Abo-thar" w:cs="KFGQPC Uthman Taha Naskh"/>
          <w:b/>
          <w:bCs/>
          <w:sz w:val="28"/>
          <w:rtl/>
          <w:lang w:bidi="ar-SY"/>
        </w:rPr>
        <w:t xml:space="preserve"> </w:t>
      </w:r>
      <w:r w:rsidRPr="004408B9">
        <w:rPr>
          <w:rFonts w:ascii="Abo-thar" w:hAnsi="Abo-thar" w:cs="KFGQPC Uthman Taha Naskh"/>
          <w:b/>
          <w:bCs/>
          <w:sz w:val="28"/>
          <w:u w:val="single"/>
          <w:rtl/>
          <w:lang w:bidi="ar-SY"/>
        </w:rPr>
        <w:t>أَلَا وإِنَّ شِيعَتَنَا مِنْ ذَلِكَ وآبَاءَهُمْ فِي حِلٍّ</w:t>
      </w:r>
      <w:r w:rsidR="00EF2588" w:rsidRPr="004408B9">
        <w:rPr>
          <w:rFonts w:ascii="Abo-thar" w:hAnsi="Abo-thar" w:cs="KFGQPC Uthman Taha Naskh" w:hint="cs"/>
          <w:sz w:val="28"/>
          <w:rtl/>
          <w:lang w:bidi="ar-SY"/>
        </w:rPr>
        <w:t>»</w:t>
      </w:r>
      <w:r w:rsidR="00CF46B9" w:rsidRPr="0021507A">
        <w:rPr>
          <w:rFonts w:ascii="Abo-thar" w:hAnsi="Abo-thar" w:cs="Arabic11 BT"/>
          <w:sz w:val="28"/>
          <w:vertAlign w:val="superscript"/>
          <w:rtl/>
          <w:lang w:bidi="ar-SY"/>
        </w:rPr>
        <w:t>(</w:t>
      </w:r>
      <w:r w:rsidR="00CF46B9" w:rsidRPr="0021507A">
        <w:rPr>
          <w:rStyle w:val="FootnoteReference"/>
          <w:rFonts w:ascii="Abo-thar" w:hAnsi="Abo-thar" w:cs="Arabic11 BT"/>
          <w:sz w:val="28"/>
          <w:rtl/>
          <w:lang w:bidi="ar-SY"/>
        </w:rPr>
        <w:footnoteReference w:id="329"/>
      </w:r>
      <w:r w:rsidR="00CF46B9" w:rsidRPr="0021507A">
        <w:rPr>
          <w:rFonts w:ascii="Abo-thar" w:hAnsi="Abo-thar" w:cs="Arabic11 BT"/>
          <w:sz w:val="28"/>
          <w:vertAlign w:val="superscript"/>
          <w:rtl/>
          <w:lang w:bidi="ar-SY"/>
        </w:rPr>
        <w:t>)</w:t>
      </w:r>
      <w:r w:rsidR="00217AB4" w:rsidRPr="003F3B94">
        <w:rPr>
          <w:rFonts w:ascii="Abo-thar" w:hAnsi="Abo-thar" w:hint="cs"/>
          <w:sz w:val="28"/>
          <w:rtl/>
          <w:lang w:bidi="ar-SY"/>
        </w:rPr>
        <w:t>.</w:t>
      </w:r>
    </w:p>
    <w:p w:rsidR="005C664D" w:rsidRPr="003F3B94" w:rsidRDefault="005C664D" w:rsidP="003F3B94">
      <w:pPr>
        <w:pStyle w:val="a0"/>
        <w:rPr>
          <w:rFonts w:hint="cs"/>
          <w:rtl/>
        </w:rPr>
      </w:pPr>
      <w:r w:rsidRPr="003F3B94">
        <w:rPr>
          <w:rFonts w:ascii="Abo-thar" w:hAnsi="Abo-thar" w:hint="cs"/>
          <w:sz w:val="28"/>
          <w:rtl/>
        </w:rPr>
        <w:t>2</w:t>
      </w:r>
      <w:r w:rsidR="00217AB4" w:rsidRPr="003F3B94">
        <w:rPr>
          <w:rFonts w:ascii="Abo-thar" w:hAnsi="Abo-thar" w:hint="cs"/>
          <w:sz w:val="28"/>
          <w:rtl/>
        </w:rPr>
        <w:t>-</w:t>
      </w:r>
      <w:r w:rsidRPr="003F3B94">
        <w:rPr>
          <w:rFonts w:ascii="Abo-thar" w:hAnsi="Abo-thar" w:hint="cs"/>
          <w:sz w:val="28"/>
          <w:rtl/>
        </w:rPr>
        <w:t xml:space="preserve"> وروى الشيخ الصدوق في </w:t>
      </w:r>
      <w:r w:rsidRPr="003F3B94">
        <w:rPr>
          <w:rFonts w:ascii="Abo-thar" w:hAnsi="Abo-thar"/>
          <w:sz w:val="28"/>
          <w:rtl/>
        </w:rPr>
        <w:t>«</w:t>
      </w:r>
      <w:r w:rsidRPr="003F3B94">
        <w:rPr>
          <w:rFonts w:ascii="Abo-thar" w:hAnsi="Abo-thar" w:hint="cs"/>
          <w:sz w:val="28"/>
          <w:rtl/>
        </w:rPr>
        <w:t>علل الشـرائع</w:t>
      </w:r>
      <w:r w:rsidRPr="003F3B94">
        <w:rPr>
          <w:rFonts w:ascii="Abo-thar" w:hAnsi="Abo-thar"/>
          <w:sz w:val="28"/>
          <w:rtl/>
        </w:rPr>
        <w:t>»</w:t>
      </w:r>
      <w:r w:rsidRPr="003F3B94">
        <w:rPr>
          <w:sz w:val="28"/>
          <w:rtl/>
        </w:rPr>
        <w:t xml:space="preserve"> </w:t>
      </w:r>
      <w:r w:rsidRPr="003F3B94">
        <w:rPr>
          <w:rFonts w:hint="cs"/>
          <w:sz w:val="28"/>
          <w:rtl/>
        </w:rPr>
        <w:t xml:space="preserve">الحديث السابق ذاته عن </w:t>
      </w:r>
      <w:r w:rsidRPr="003F3B94">
        <w:rPr>
          <w:rFonts w:ascii="Abo-thar" w:hAnsi="Abo-thar"/>
          <w:sz w:val="28"/>
          <w:rtl/>
        </w:rPr>
        <w:t>«محمد بن الحسن الصفار»</w:t>
      </w:r>
      <w:r w:rsidRPr="003F3B94">
        <w:rPr>
          <w:rFonts w:hint="cs"/>
          <w:sz w:val="28"/>
          <w:rtl/>
        </w:rPr>
        <w:t xml:space="preserve"> عن رواة الحديث السابق مع فارق أنه في ذكر في آخره </w:t>
      </w:r>
      <w:r w:rsidR="00EF2588" w:rsidRPr="004408B9">
        <w:rPr>
          <w:rFonts w:ascii="Abo-thar" w:hAnsi="Abo-thar" w:cs="KFGQPC Uthman Taha Naskh" w:hint="cs"/>
          <w:sz w:val="28"/>
          <w:rtl/>
        </w:rPr>
        <w:t>«</w:t>
      </w:r>
      <w:r w:rsidRPr="004408B9">
        <w:rPr>
          <w:rFonts w:ascii="Abo-thar" w:hAnsi="Abo-thar" w:cs="KFGQPC Uthman Taha Naskh" w:hint="cs"/>
          <w:b/>
          <w:bCs/>
          <w:sz w:val="28"/>
          <w:rtl/>
        </w:rPr>
        <w:t>و</w:t>
      </w:r>
      <w:r w:rsidRPr="004408B9">
        <w:rPr>
          <w:rFonts w:ascii="Abo-thar" w:hAnsi="Abo-thar" w:cs="KFGQPC Uthman Taha Naskh"/>
          <w:b/>
          <w:bCs/>
          <w:sz w:val="28"/>
          <w:rtl/>
        </w:rPr>
        <w:t>أبناءَهُمْ فِي حِلٍّ</w:t>
      </w:r>
      <w:r w:rsidR="00CF46B9" w:rsidRPr="004408B9">
        <w:rPr>
          <w:rFonts w:ascii="Abo-thar" w:hAnsi="Abo-thar" w:cs="KFGQPC Uthman Taha Naskh" w:hint="cs"/>
          <w:sz w:val="28"/>
          <w:rtl/>
        </w:rPr>
        <w:t>..</w:t>
      </w:r>
      <w:r w:rsidRPr="004408B9">
        <w:rPr>
          <w:rFonts w:ascii="Abo-thar" w:hAnsi="Abo-thar" w:cs="KFGQPC Uthman Taha Naskh"/>
          <w:sz w:val="28"/>
          <w:rtl/>
        </w:rPr>
        <w:t>‏</w:t>
      </w:r>
      <w:r w:rsidR="00EF2588" w:rsidRPr="004408B9">
        <w:rPr>
          <w:rFonts w:ascii="Abo-thar" w:hAnsi="Abo-thar" w:cs="KFGQPC Uthman Taha Naskh" w:hint="cs"/>
          <w:sz w:val="28"/>
          <w:rtl/>
        </w:rPr>
        <w:t>»</w:t>
      </w:r>
      <w:r w:rsidR="00CF46B9" w:rsidRPr="0021507A">
        <w:rPr>
          <w:rFonts w:cs="Arabic11 BT"/>
          <w:b/>
          <w:sz w:val="28"/>
          <w:vertAlign w:val="superscript"/>
          <w:rtl/>
        </w:rPr>
        <w:t>(</w:t>
      </w:r>
      <w:r w:rsidR="00CF46B9" w:rsidRPr="0021507A">
        <w:rPr>
          <w:rStyle w:val="FootnoteReference"/>
          <w:rFonts w:cs="Arabic11 BT"/>
          <w:b/>
          <w:sz w:val="28"/>
          <w:rtl/>
        </w:rPr>
        <w:footnoteReference w:id="330"/>
      </w:r>
      <w:r w:rsidR="00CF46B9" w:rsidRPr="0021507A">
        <w:rPr>
          <w:rFonts w:cs="Arabic11 BT"/>
          <w:b/>
          <w:sz w:val="28"/>
          <w:vertAlign w:val="superscript"/>
          <w:rtl/>
        </w:rPr>
        <w:t>)</w:t>
      </w:r>
      <w:r w:rsidRPr="003F3B94">
        <w:rPr>
          <w:rFonts w:ascii="Abo-thar" w:hAnsi="Abo-thar" w:hint="cs"/>
          <w:sz w:val="28"/>
          <w:rtl/>
        </w:rPr>
        <w:t xml:space="preserve"> بدلاً من </w:t>
      </w:r>
      <w:r w:rsidR="00EF2588" w:rsidRPr="004408B9">
        <w:rPr>
          <w:rFonts w:ascii="Abo-thar" w:hAnsi="Abo-thar" w:cs="KFGQPC Uthman Taha Naskh" w:hint="cs"/>
          <w:sz w:val="28"/>
          <w:rtl/>
        </w:rPr>
        <w:t>«</w:t>
      </w:r>
      <w:r w:rsidRPr="004408B9">
        <w:rPr>
          <w:rFonts w:ascii="Abo-thar" w:hAnsi="Abo-thar" w:cs="KFGQPC Uthman Taha Naskh"/>
          <w:sz w:val="28"/>
          <w:rtl/>
        </w:rPr>
        <w:t>وَ آبَاءَهُمْ</w:t>
      </w:r>
      <w:r w:rsidR="00EF2588" w:rsidRPr="004408B9">
        <w:rPr>
          <w:rFonts w:ascii="Abo-thar" w:hAnsi="Abo-thar" w:cs="KFGQPC Uthman Taha Naskh" w:hint="cs"/>
          <w:sz w:val="28"/>
          <w:rtl/>
        </w:rPr>
        <w:t>»</w:t>
      </w:r>
      <w:r w:rsidR="00217AB4" w:rsidRPr="003F3B94">
        <w:rPr>
          <w:rFonts w:ascii="Abo-thar" w:hAnsi="Abo-thar" w:hint="cs"/>
          <w:sz w:val="28"/>
          <w:rtl/>
        </w:rPr>
        <w:t>.</w:t>
      </w:r>
    </w:p>
    <w:p w:rsidR="005C664D" w:rsidRPr="003F3B94" w:rsidRDefault="005C664D" w:rsidP="00254729">
      <w:pPr>
        <w:pStyle w:val="a0"/>
        <w:rPr>
          <w:rFonts w:hint="cs"/>
          <w:rtl/>
        </w:rPr>
      </w:pPr>
      <w:r w:rsidRPr="003F3B94">
        <w:rPr>
          <w:rFonts w:ascii="Abo-thar" w:hAnsi="Abo-thar" w:hint="cs"/>
          <w:sz w:val="28"/>
          <w:rtl/>
        </w:rPr>
        <w:t>3</w:t>
      </w:r>
      <w:r w:rsidR="00217AB4" w:rsidRPr="003F3B94">
        <w:rPr>
          <w:rFonts w:ascii="Abo-thar" w:hAnsi="Abo-thar" w:hint="cs"/>
          <w:sz w:val="28"/>
          <w:rtl/>
        </w:rPr>
        <w:t>-</w:t>
      </w:r>
      <w:r w:rsidRPr="003F3B94">
        <w:rPr>
          <w:rFonts w:ascii="Abo-thar" w:hAnsi="Abo-thar" w:hint="cs"/>
          <w:sz w:val="28"/>
          <w:rtl/>
        </w:rPr>
        <w:t xml:space="preserve"> كما روى الشيخ الصدوق في </w:t>
      </w:r>
      <w:r w:rsidRPr="003F3B94">
        <w:rPr>
          <w:rFonts w:ascii="Abo-thar" w:hAnsi="Abo-thar"/>
          <w:sz w:val="28"/>
          <w:rtl/>
        </w:rPr>
        <w:t>«</w:t>
      </w:r>
      <w:r w:rsidRPr="003F3B94">
        <w:rPr>
          <w:rFonts w:ascii="Abo-thar" w:hAnsi="Abo-thar" w:hint="cs"/>
          <w:sz w:val="28"/>
          <w:rtl/>
        </w:rPr>
        <w:t>علل الشرائع</w:t>
      </w:r>
      <w:r w:rsidRPr="003F3B94">
        <w:rPr>
          <w:rFonts w:ascii="Abo-thar" w:hAnsi="Abo-thar"/>
          <w:sz w:val="28"/>
          <w:rtl/>
        </w:rPr>
        <w:t>»</w:t>
      </w:r>
      <w:r w:rsidRPr="003F3B94">
        <w:rPr>
          <w:sz w:val="28"/>
          <w:rtl/>
        </w:rPr>
        <w:t xml:space="preserve"> </w:t>
      </w:r>
      <w:r w:rsidRPr="003F3B94">
        <w:rPr>
          <w:rFonts w:ascii="Abo-thar" w:hAnsi="Abo-thar" w:hint="cs"/>
          <w:sz w:val="28"/>
          <w:rtl/>
        </w:rPr>
        <w:t xml:space="preserve">أيضاً بإسناده </w:t>
      </w:r>
      <w:r w:rsidR="00EF2588" w:rsidRPr="004408B9">
        <w:rPr>
          <w:rFonts w:ascii="Abo-thar" w:hAnsi="Abo-thar" w:cs="KFGQPC Uthman Taha Naskh" w:hint="cs"/>
          <w:sz w:val="28"/>
          <w:rtl/>
        </w:rPr>
        <w:t>«</w:t>
      </w:r>
      <w:r w:rsidRPr="004408B9">
        <w:rPr>
          <w:rFonts w:ascii="Abo-thar" w:hAnsi="Abo-thar" w:cs="KFGQPC Uthman Taha Naskh"/>
          <w:sz w:val="28"/>
          <w:rtl/>
        </w:rPr>
        <w:t>عَنْ مُحَمَّدِ بْنِ الحَسَنِ الصَّفَّارِ عَنِ العَبَّاسِ بْنِ مَعْرُوفٍ عَنْ حَمَّادِ بْنِ عِيسَى عَنْ حَرِيزٍ عَنْ زُرَارَةَ عَنْ أَبِي جَعْفَرٍ</w:t>
      </w:r>
      <w:r w:rsidR="00BC4BA9" w:rsidRPr="00BC4BA9">
        <w:rPr>
          <w:rFonts w:ascii="Abo-thar" w:hAnsi="Abo-thar" w:cs="CTraditional Arabic" w:hint="cs"/>
          <w:sz w:val="28"/>
          <w:rtl/>
        </w:rPr>
        <w:t>÷</w:t>
      </w:r>
      <w:r w:rsidRPr="004408B9">
        <w:rPr>
          <w:rFonts w:ascii="Abo-thar" w:hAnsi="Abo-thar" w:cs="KFGQPC Uthman Taha Naskh"/>
          <w:sz w:val="28"/>
          <w:rtl/>
        </w:rPr>
        <w:t xml:space="preserve"> أَنَّهُ قَالَ</w:t>
      </w:r>
      <w:r w:rsidR="00217AB4" w:rsidRPr="004408B9">
        <w:rPr>
          <w:rFonts w:ascii="Abo-thar" w:hAnsi="Abo-thar" w:cs="KFGQPC Uthman Taha Naskh" w:hint="cs"/>
          <w:sz w:val="28"/>
          <w:rtl/>
        </w:rPr>
        <w:t>:</w:t>
      </w:r>
      <w:r w:rsidRPr="004408B9">
        <w:rPr>
          <w:rFonts w:ascii="Abo-thar" w:hAnsi="Abo-thar" w:cs="KFGQPC Uthman Taha Naskh"/>
          <w:sz w:val="28"/>
          <w:rtl/>
        </w:rPr>
        <w:t xml:space="preserve"> </w:t>
      </w:r>
      <w:r w:rsidR="006D4328" w:rsidRPr="004408B9">
        <w:rPr>
          <w:rFonts w:ascii="Abo-thar" w:hAnsi="Abo-thar" w:cs="KFGQPC Uthman Taha Naskh"/>
          <w:bCs/>
          <w:sz w:val="28"/>
          <w:rtl/>
        </w:rPr>
        <w:t xml:space="preserve">إِنَّ أَمِيرَ المُؤْمِنِينَ </w:t>
      </w:r>
      <w:r w:rsidR="006D4328" w:rsidRPr="004408B9">
        <w:rPr>
          <w:rFonts w:ascii="Abo-thar" w:hAnsi="Abo-thar" w:cs="KFGQPC Uthman Taha Naskh"/>
          <w:bCs/>
          <w:sz w:val="28"/>
          <w:rtl/>
        </w:rPr>
        <w:sym w:font="AGA Arabesque" w:char="F075"/>
      </w:r>
      <w:r w:rsidR="006D4328" w:rsidRPr="004408B9">
        <w:rPr>
          <w:rFonts w:ascii="Abo-thar" w:hAnsi="Abo-thar" w:cs="KFGQPC Uthman Taha Naskh"/>
          <w:bCs/>
          <w:sz w:val="28"/>
          <w:rtl/>
        </w:rPr>
        <w:t xml:space="preserve"> حَلَّلَهُمْ مِنَ الخُمُسِ يَعْ</w:t>
      </w:r>
      <w:r w:rsidR="00CF46B9" w:rsidRPr="004408B9">
        <w:rPr>
          <w:rFonts w:ascii="Abo-thar" w:hAnsi="Abo-thar" w:cs="KFGQPC Uthman Taha Naskh" w:hint="cs"/>
          <w:bCs/>
          <w:sz w:val="28"/>
          <w:rtl/>
        </w:rPr>
        <w:t>ـ</w:t>
      </w:r>
      <w:r w:rsidR="006D4328" w:rsidRPr="004408B9">
        <w:rPr>
          <w:rFonts w:ascii="Abo-thar" w:hAnsi="Abo-thar" w:cs="KFGQPC Uthman Taha Naskh"/>
          <w:bCs/>
          <w:sz w:val="28"/>
          <w:rtl/>
        </w:rPr>
        <w:t>نِي الشِّيعَةَ لِيَطِيبَ مَوْلِدُهُمْ</w:t>
      </w:r>
      <w:r w:rsidR="00EF2588" w:rsidRPr="004408B9">
        <w:rPr>
          <w:rFonts w:ascii="Abo-thar" w:hAnsi="Abo-thar" w:cs="KFGQPC Uthman Taha Naskh" w:hint="cs"/>
          <w:sz w:val="28"/>
          <w:rtl/>
        </w:rPr>
        <w:t>»</w:t>
      </w:r>
      <w:r w:rsidR="00CF46B9" w:rsidRPr="0021507A">
        <w:rPr>
          <w:rFonts w:cs="Arabic11 BT"/>
          <w:b/>
          <w:sz w:val="28"/>
          <w:vertAlign w:val="superscript"/>
          <w:rtl/>
        </w:rPr>
        <w:t>(</w:t>
      </w:r>
      <w:r w:rsidR="00CF46B9" w:rsidRPr="0021507A">
        <w:rPr>
          <w:rStyle w:val="FootnoteReference"/>
          <w:rFonts w:cs="Arabic11 BT"/>
          <w:b/>
          <w:sz w:val="28"/>
          <w:rtl/>
        </w:rPr>
        <w:footnoteReference w:id="331"/>
      </w:r>
      <w:r w:rsidR="00CF46B9" w:rsidRPr="0021507A">
        <w:rPr>
          <w:rFonts w:cs="Arabic11 BT"/>
          <w:b/>
          <w:sz w:val="28"/>
          <w:vertAlign w:val="superscript"/>
          <w:rtl/>
        </w:rPr>
        <w:t>)</w:t>
      </w:r>
      <w:r w:rsidR="00217AB4" w:rsidRPr="003F3B94">
        <w:rPr>
          <w:rFonts w:ascii="Abo-thar" w:hAnsi="Abo-thar" w:hint="cs"/>
          <w:sz w:val="28"/>
          <w:rtl/>
        </w:rPr>
        <w:t>.</w:t>
      </w:r>
    </w:p>
    <w:p w:rsidR="005C664D" w:rsidRPr="003F3B94" w:rsidRDefault="005C664D" w:rsidP="003F3B94">
      <w:pPr>
        <w:pStyle w:val="a0"/>
        <w:rPr>
          <w:rFonts w:hint="cs"/>
          <w:rtl/>
        </w:rPr>
      </w:pPr>
      <w:r w:rsidRPr="003F3B94">
        <w:rPr>
          <w:rFonts w:ascii="Abo-thar" w:hAnsi="Abo-thar" w:hint="cs"/>
          <w:sz w:val="28"/>
          <w:rtl/>
        </w:rPr>
        <w:t>4</w:t>
      </w:r>
      <w:r w:rsidR="00217AB4" w:rsidRPr="003F3B94">
        <w:rPr>
          <w:rFonts w:ascii="Abo-thar" w:hAnsi="Abo-thar" w:hint="cs"/>
          <w:sz w:val="28"/>
          <w:rtl/>
        </w:rPr>
        <w:t>-</w:t>
      </w:r>
      <w:r w:rsidRPr="003F3B94">
        <w:rPr>
          <w:rFonts w:ascii="Abo-thar" w:hAnsi="Abo-thar" w:hint="cs"/>
          <w:sz w:val="28"/>
          <w:rtl/>
        </w:rPr>
        <w:t xml:space="preserve"> رُوِيَ في التفسير المنسوب للإمام ال</w:t>
      </w:r>
      <w:r w:rsidRPr="003F3B94">
        <w:rPr>
          <w:rFonts w:ascii="Abo-thar" w:hAnsi="Abo-thar"/>
          <w:sz w:val="28"/>
          <w:rtl/>
        </w:rPr>
        <w:t>حَسَن</w:t>
      </w:r>
      <w:r w:rsidRPr="003F3B94">
        <w:rPr>
          <w:rFonts w:ascii="Abo-thar" w:hAnsi="Abo-thar" w:hint="cs"/>
          <w:sz w:val="28"/>
          <w:rtl/>
        </w:rPr>
        <w:t>ِ</w:t>
      </w:r>
      <w:r w:rsidRPr="003F3B94">
        <w:rPr>
          <w:rFonts w:ascii="Abo-thar" w:hAnsi="Abo-thar"/>
          <w:sz w:val="28"/>
          <w:rtl/>
        </w:rPr>
        <w:t xml:space="preserve"> بْن</w:t>
      </w:r>
      <w:r w:rsidRPr="003F3B94">
        <w:rPr>
          <w:rFonts w:ascii="Abo-thar" w:hAnsi="Abo-thar" w:hint="cs"/>
          <w:sz w:val="28"/>
          <w:rtl/>
        </w:rPr>
        <w:t>ِ</w:t>
      </w:r>
      <w:r w:rsidRPr="003F3B94">
        <w:rPr>
          <w:rFonts w:ascii="Abo-thar" w:hAnsi="Abo-thar"/>
          <w:sz w:val="28"/>
          <w:rtl/>
        </w:rPr>
        <w:t xml:space="preserve"> عَلِيٍّ العَسْكَرِيّ</w:t>
      </w:r>
      <w:r w:rsidRPr="003F3B94">
        <w:rPr>
          <w:rFonts w:ascii="Abo-thar" w:hAnsi="Abo-thar" w:hint="cs"/>
          <w:sz w:val="28"/>
          <w:rtl/>
        </w:rPr>
        <w:t>ِ</w:t>
      </w:r>
      <w:r w:rsidRPr="003F3B94">
        <w:rPr>
          <w:rFonts w:ascii="Abo-thar" w:hAnsi="Abo-thar"/>
          <w:sz w:val="28"/>
          <w:rtl/>
        </w:rPr>
        <w:t xml:space="preserve"> </w:t>
      </w:r>
      <w:r w:rsidR="00BC4BA9" w:rsidRPr="00BC4BA9">
        <w:rPr>
          <w:rFonts w:ascii="Abo-thar" w:hAnsi="Abo-thar" w:cs="CTraditional Arabic" w:hint="cs"/>
          <w:sz w:val="28"/>
          <w:rtl/>
        </w:rPr>
        <w:t>÷</w:t>
      </w:r>
      <w:r w:rsidRPr="003F3B94">
        <w:rPr>
          <w:rFonts w:ascii="Abo-thar" w:hAnsi="Abo-thar"/>
          <w:sz w:val="28"/>
          <w:rtl/>
        </w:rPr>
        <w:t xml:space="preserve"> فِي تَفْسِيرِهِ عَنْ آبَائِهِ عَنْ أَمِيرِ المُؤْمِنِينَ </w:t>
      </w:r>
      <w:r w:rsidR="00BC4BA9" w:rsidRPr="00BC4BA9">
        <w:rPr>
          <w:rFonts w:ascii="Abo-thar" w:hAnsi="Abo-thar" w:cs="CTraditional Arabic" w:hint="cs"/>
          <w:sz w:val="28"/>
          <w:rtl/>
        </w:rPr>
        <w:t>÷</w:t>
      </w:r>
      <w:r w:rsidRPr="003F3B94">
        <w:rPr>
          <w:rFonts w:ascii="Abo-thar" w:hAnsi="Abo-thar"/>
          <w:sz w:val="28"/>
          <w:rtl/>
        </w:rPr>
        <w:t xml:space="preserve"> أَنَّهُ قَالَ لِرَسُولِ اللهِ</w:t>
      </w:r>
      <w:r w:rsidR="00147857" w:rsidRPr="003F3B94">
        <w:rPr>
          <w:rFonts w:ascii="Abo-thar" w:hAnsi="Abo-thar"/>
          <w:sz w:val="28"/>
          <w:rtl/>
        </w:rPr>
        <w:t xml:space="preserve"> </w:t>
      </w:r>
      <w:r w:rsidR="003C7AEB" w:rsidRPr="003C7AEB">
        <w:rPr>
          <w:rFonts w:ascii="Abo-thar" w:hAnsi="Abo-thar" w:cs="CTraditional Arabic"/>
          <w:sz w:val="28"/>
          <w:rtl/>
        </w:rPr>
        <w:t>ص</w:t>
      </w:r>
      <w:r w:rsidR="00217AB4" w:rsidRPr="003F3B94">
        <w:rPr>
          <w:rFonts w:ascii="Abo-thar" w:hAnsi="Abo-thar"/>
          <w:sz w:val="28"/>
          <w:rtl/>
        </w:rPr>
        <w:t>:</w:t>
      </w:r>
      <w:r w:rsidRPr="003F3B94">
        <w:rPr>
          <w:rFonts w:ascii="Abo-thar" w:hAnsi="Abo-thar"/>
          <w:sz w:val="28"/>
          <w:rtl/>
        </w:rPr>
        <w:t xml:space="preserve"> </w:t>
      </w:r>
      <w:r w:rsidR="00EF2588" w:rsidRPr="004408B9">
        <w:rPr>
          <w:rFonts w:ascii="Abo-thar" w:hAnsi="Abo-thar" w:cs="KFGQPC Uthman Taha Naskh" w:hint="cs"/>
          <w:sz w:val="28"/>
          <w:rtl/>
        </w:rPr>
        <w:t>«</w:t>
      </w:r>
      <w:r w:rsidRPr="004408B9">
        <w:rPr>
          <w:rFonts w:ascii="Abo-thar" w:hAnsi="Abo-thar" w:cs="KFGQPC Uthman Taha Naskh"/>
          <w:bCs/>
          <w:sz w:val="28"/>
          <w:rtl/>
        </w:rPr>
        <w:t>قَدْ عَلِمْتُ يَا رَسُولَ اللهِ أَنَّهُ سَيَكُونُ بَعْدَكَ مُلْكٌ عَضُوضٌ وجَبْرٌ فَيُسْتَوْلَى عَلَى خُمُس</w:t>
      </w:r>
      <w:r w:rsidRPr="004408B9">
        <w:rPr>
          <w:rFonts w:ascii="Abo-thar" w:hAnsi="Abo-thar" w:cs="KFGQPC Uthman Taha Naskh" w:hint="cs"/>
          <w:bCs/>
          <w:sz w:val="28"/>
          <w:rtl/>
        </w:rPr>
        <w:t>ـ</w:t>
      </w:r>
      <w:r w:rsidRPr="004408B9">
        <w:rPr>
          <w:rFonts w:ascii="Abo-thar" w:hAnsi="Abo-thar" w:cs="KFGQPC Uthman Taha Naskh"/>
          <w:bCs/>
          <w:sz w:val="28"/>
          <w:rtl/>
        </w:rPr>
        <w:t xml:space="preserve">ِي </w:t>
      </w:r>
      <w:r w:rsidR="00217AB4" w:rsidRPr="004408B9">
        <w:rPr>
          <w:rFonts w:ascii="Abo-thar" w:hAnsi="Abo-thar" w:cs="KFGQPC Uthman Taha Naskh"/>
          <w:bCs/>
          <w:sz w:val="28"/>
          <w:rtl/>
        </w:rPr>
        <w:t>(</w:t>
      </w:r>
      <w:r w:rsidRPr="004408B9">
        <w:rPr>
          <w:rFonts w:ascii="Abo-thar" w:hAnsi="Abo-thar" w:cs="KFGQPC Uthman Taha Naskh"/>
          <w:bCs/>
          <w:sz w:val="28"/>
          <w:rtl/>
        </w:rPr>
        <w:t>مِنَ السَّبْيِ</w:t>
      </w:r>
      <w:r w:rsidR="00217AB4" w:rsidRPr="004408B9">
        <w:rPr>
          <w:rFonts w:ascii="Abo-thar" w:hAnsi="Abo-thar" w:cs="KFGQPC Uthman Taha Naskh"/>
          <w:bCs/>
          <w:sz w:val="28"/>
          <w:rtl/>
        </w:rPr>
        <w:t>)</w:t>
      </w:r>
      <w:r w:rsidRPr="004408B9">
        <w:rPr>
          <w:rFonts w:ascii="Abo-thar" w:hAnsi="Abo-thar" w:cs="KFGQPC Uthman Taha Naskh"/>
          <w:bCs/>
          <w:sz w:val="28"/>
          <w:rtl/>
        </w:rPr>
        <w:t xml:space="preserve"> وَالْغَنَائِمِ وَيَبِيعُونَهُ فَلَا يَحِلُ‏</w:t>
      </w:r>
      <w:r w:rsidRPr="004408B9">
        <w:rPr>
          <w:rFonts w:ascii="Abo-thar" w:hAnsi="Abo-thar" w:cs="KFGQPC Uthman Taha Naskh" w:hint="cs"/>
          <w:bCs/>
          <w:sz w:val="28"/>
          <w:rtl/>
        </w:rPr>
        <w:t xml:space="preserve"> </w:t>
      </w:r>
      <w:r w:rsidRPr="004408B9">
        <w:rPr>
          <w:rFonts w:ascii="Abo-thar" w:hAnsi="Abo-thar" w:cs="KFGQPC Uthman Taha Naskh"/>
          <w:bCs/>
          <w:sz w:val="28"/>
          <w:rtl/>
        </w:rPr>
        <w:t>لِمُشْتَرِيهِ لِأَنَّ نَصِيبِي فِيهِ فَقَدْ وَهَبْتُ نَصِيبِي مِنْهُ لِكُلِّ مَنْ مَلَكَ شَيْئاً مِنْ ذَلِكَ مِنْ شِيعَتِي لِتَحِلَّ لَهُمْ مَنَافِعُهُمْ مِنْ مَأْكَلٍ ومَشْرَبٍ ولِتَطِيبَ مَوَالِيدُهُمْ وَلَا</w:t>
      </w:r>
      <w:r w:rsidRPr="004408B9">
        <w:rPr>
          <w:rFonts w:cs="Times New Roman" w:hint="cs"/>
          <w:bCs/>
          <w:sz w:val="28"/>
          <w:rtl/>
        </w:rPr>
        <w:t> </w:t>
      </w:r>
      <w:r w:rsidRPr="004408B9">
        <w:rPr>
          <w:rFonts w:ascii="Abo-thar" w:hAnsi="Abo-thar" w:cs="KFGQPC Uthman Taha Naskh"/>
          <w:bCs/>
          <w:sz w:val="28"/>
          <w:rtl/>
        </w:rPr>
        <w:t>يَكُونَ أَوْلَادُهُمْ أَوْلَادَ حَرَامٍ</w:t>
      </w:r>
      <w:r w:rsidR="00217AB4" w:rsidRPr="004408B9">
        <w:rPr>
          <w:rFonts w:ascii="Abo-thar" w:hAnsi="Abo-thar" w:cs="KFGQPC Uthman Taha Naskh" w:hint="cs"/>
          <w:bCs/>
          <w:sz w:val="28"/>
          <w:rtl/>
        </w:rPr>
        <w:t>!</w:t>
      </w:r>
      <w:r w:rsidR="00147857" w:rsidRPr="004408B9">
        <w:rPr>
          <w:rFonts w:ascii="Abo-thar" w:hAnsi="Abo-thar" w:cs="KFGQPC Uthman Taha Naskh" w:hint="cs"/>
          <w:bCs/>
          <w:sz w:val="28"/>
          <w:rtl/>
        </w:rPr>
        <w:t xml:space="preserve"> </w:t>
      </w:r>
      <w:r w:rsidRPr="004408B9">
        <w:rPr>
          <w:rFonts w:ascii="Abo-thar" w:hAnsi="Abo-thar" w:cs="KFGQPC Uthman Taha Naskh"/>
          <w:bCs/>
          <w:sz w:val="28"/>
          <w:rtl/>
        </w:rPr>
        <w:t>فَقَالَ رَسُولُ اللهِ</w:t>
      </w:r>
      <w:r w:rsidR="00147857" w:rsidRPr="004408B9">
        <w:rPr>
          <w:rFonts w:ascii="Abo-thar" w:hAnsi="Abo-thar" w:cs="KFGQPC Uthman Taha Naskh"/>
          <w:bCs/>
          <w:sz w:val="28"/>
          <w:rtl/>
        </w:rPr>
        <w:t xml:space="preserve"> </w:t>
      </w:r>
      <w:r w:rsidR="003C7AEB" w:rsidRPr="003C7AEB">
        <w:rPr>
          <w:rFonts w:ascii="Abo-thar" w:hAnsi="Abo-thar" w:cs="CTraditional Arabic"/>
          <w:sz w:val="28"/>
          <w:rtl/>
        </w:rPr>
        <w:t>ص</w:t>
      </w:r>
      <w:r w:rsidR="00217AB4" w:rsidRPr="004408B9">
        <w:rPr>
          <w:rFonts w:ascii="Abo-thar" w:hAnsi="Abo-thar" w:cs="KFGQPC Uthman Taha Naskh"/>
          <w:sz w:val="28"/>
          <w:rtl/>
        </w:rPr>
        <w:t>:</w:t>
      </w:r>
      <w:r w:rsidRPr="004408B9">
        <w:rPr>
          <w:rFonts w:ascii="Abo-thar" w:hAnsi="Abo-thar" w:cs="KFGQPC Uthman Taha Naskh"/>
          <w:bCs/>
          <w:sz w:val="28"/>
          <w:rtl/>
        </w:rPr>
        <w:t xml:space="preserve"> مَا تَصَدَّقَ أَحَدٌ أَفْضَلَ مِنْ صَدَقَتِكَ</w:t>
      </w:r>
      <w:r w:rsidR="00217AB4" w:rsidRPr="004408B9">
        <w:rPr>
          <w:rFonts w:ascii="Abo-thar" w:hAnsi="Abo-thar" w:cs="KFGQPC Uthman Taha Naskh" w:hint="cs"/>
          <w:bCs/>
          <w:sz w:val="28"/>
          <w:rtl/>
        </w:rPr>
        <w:t>،</w:t>
      </w:r>
      <w:r w:rsidRPr="004408B9">
        <w:rPr>
          <w:rFonts w:ascii="Abo-thar" w:hAnsi="Abo-thar" w:cs="KFGQPC Uthman Taha Naskh"/>
          <w:bCs/>
          <w:sz w:val="28"/>
          <w:rtl/>
        </w:rPr>
        <w:t xml:space="preserve"> وقَدْ تَبِعْتَ رَسُولَ اللهِ فِي فِعْلِكَ</w:t>
      </w:r>
      <w:r w:rsidR="00217AB4" w:rsidRPr="004408B9">
        <w:rPr>
          <w:rFonts w:ascii="Abo-thar" w:hAnsi="Abo-thar" w:cs="KFGQPC Uthman Taha Naskh" w:hint="cs"/>
          <w:bCs/>
          <w:sz w:val="28"/>
          <w:rtl/>
        </w:rPr>
        <w:t>،</w:t>
      </w:r>
      <w:r w:rsidRPr="004408B9">
        <w:rPr>
          <w:rFonts w:ascii="Abo-thar" w:hAnsi="Abo-thar" w:cs="KFGQPC Uthman Taha Naskh"/>
          <w:bCs/>
          <w:sz w:val="28"/>
          <w:rtl/>
        </w:rPr>
        <w:t xml:space="preserve"> أَحَلَّ الشِّيعَةَ كُلَّ مَا كَانَ فِيهِ مِنْ غَنِيمَةٍ وَبَيْعٍ مِنْ نَصِيبِهِ عَلَى وَاحِدٍ مِنْ شِيعَتِي وَلَا أُحِلُّهَا أَنَا ولَا أَنْتَ لِغَيْرِهِمْ</w:t>
      </w:r>
      <w:r w:rsidR="00F456DF" w:rsidRPr="004408B9">
        <w:rPr>
          <w:rFonts w:ascii="Abo-thar" w:hAnsi="Abo-thar" w:cs="KFGQPC Uthman Taha Naskh" w:hint="cs"/>
          <w:bCs/>
          <w:sz w:val="28"/>
          <w:rtl/>
        </w:rPr>
        <w:t>»</w:t>
      </w:r>
      <w:r w:rsidR="00CF46B9" w:rsidRPr="0021507A">
        <w:rPr>
          <w:rFonts w:ascii="Abo-thar" w:hAnsi="Abo-thar" w:cs="Arabic11 BT"/>
          <w:sz w:val="28"/>
          <w:vertAlign w:val="superscript"/>
          <w:rtl/>
        </w:rPr>
        <w:t>(</w:t>
      </w:r>
      <w:r w:rsidR="00CF46B9" w:rsidRPr="0021507A">
        <w:rPr>
          <w:rStyle w:val="FootnoteReference"/>
          <w:rFonts w:ascii="Abo-thar" w:hAnsi="Abo-thar" w:cs="Arabic11 BT"/>
          <w:sz w:val="28"/>
          <w:rtl/>
        </w:rPr>
        <w:footnoteReference w:id="332"/>
      </w:r>
      <w:r w:rsidR="00CF46B9" w:rsidRPr="0021507A">
        <w:rPr>
          <w:rFonts w:ascii="Abo-thar" w:hAnsi="Abo-thar" w:cs="Arabic11 BT"/>
          <w:sz w:val="28"/>
          <w:vertAlign w:val="superscript"/>
          <w:rtl/>
        </w:rPr>
        <w:t>)</w:t>
      </w:r>
      <w:r w:rsidR="00217AB4" w:rsidRPr="003F3B94">
        <w:rPr>
          <w:rFonts w:ascii="Abo-thar" w:hAnsi="Abo-thar" w:hint="cs"/>
          <w:sz w:val="28"/>
          <w:rtl/>
        </w:rPr>
        <w:t>.</w:t>
      </w:r>
    </w:p>
    <w:p w:rsidR="005C664D" w:rsidRPr="00254729" w:rsidRDefault="005C664D" w:rsidP="003F3B94">
      <w:pPr>
        <w:pStyle w:val="a0"/>
        <w:rPr>
          <w:rFonts w:hint="cs"/>
          <w:spacing w:val="-4"/>
          <w:rtl/>
        </w:rPr>
      </w:pPr>
      <w:r w:rsidRPr="00254729">
        <w:rPr>
          <w:rFonts w:ascii="Abo-thar" w:hAnsi="Abo-thar" w:hint="cs"/>
          <w:spacing w:val="-4"/>
          <w:sz w:val="28"/>
          <w:rtl/>
        </w:rPr>
        <w:t>ولا يخفى أننا لا نعدُّ هذا التفسير المنسوب للإمام العسكري كتاباً موثوقاً ولا</w:t>
      </w:r>
      <w:r w:rsidRPr="00254729">
        <w:rPr>
          <w:rFonts w:cs="Times New Roman" w:hint="cs"/>
          <w:spacing w:val="-4"/>
          <w:sz w:val="28"/>
          <w:rtl/>
        </w:rPr>
        <w:t> </w:t>
      </w:r>
      <w:r w:rsidRPr="00254729">
        <w:rPr>
          <w:rFonts w:ascii="Abo-thar" w:hAnsi="Abo-thar" w:hint="cs"/>
          <w:spacing w:val="-4"/>
          <w:sz w:val="28"/>
          <w:rtl/>
        </w:rPr>
        <w:t>صحيحاً وليس هذا فحسب بل نعتبره كتاباً مكذوباً برمَّته وفضيحةً وعاراً لكثرة ما فيه من الأكاذيب والموضوعات والخرافات</w:t>
      </w:r>
      <w:r w:rsidR="00217AB4" w:rsidRPr="00254729">
        <w:rPr>
          <w:rFonts w:ascii="Abo-thar" w:hAnsi="Abo-thar" w:hint="cs"/>
          <w:spacing w:val="-4"/>
          <w:sz w:val="28"/>
          <w:rtl/>
        </w:rPr>
        <w:t>،</w:t>
      </w:r>
      <w:r w:rsidRPr="00254729">
        <w:rPr>
          <w:rFonts w:ascii="Abo-thar" w:hAnsi="Abo-thar" w:hint="cs"/>
          <w:spacing w:val="-4"/>
          <w:sz w:val="28"/>
          <w:rtl/>
        </w:rPr>
        <w:t xml:space="preserve"> ودين الإسلام بريءٌ من مثل تلك الأراجيف والترَّهات</w:t>
      </w:r>
      <w:r w:rsidR="00217AB4" w:rsidRPr="00254729">
        <w:rPr>
          <w:rFonts w:ascii="Abo-thar" w:hAnsi="Abo-thar" w:hint="cs"/>
          <w:spacing w:val="-4"/>
          <w:sz w:val="28"/>
          <w:rtl/>
        </w:rPr>
        <w:t>،</w:t>
      </w:r>
      <w:r w:rsidRPr="00254729">
        <w:rPr>
          <w:rFonts w:ascii="Abo-thar" w:hAnsi="Abo-thar" w:hint="cs"/>
          <w:spacing w:val="-4"/>
          <w:sz w:val="28"/>
          <w:rtl/>
        </w:rPr>
        <w:t xml:space="preserve"> وعلى قول العالم العاصر السيد الشوشتري مُدَّ ظلُّه</w:t>
      </w:r>
      <w:r w:rsidR="00217AB4" w:rsidRPr="00254729">
        <w:rPr>
          <w:rFonts w:ascii="Abo-thar" w:hAnsi="Abo-thar" w:hint="cs"/>
          <w:spacing w:val="-4"/>
          <w:sz w:val="28"/>
          <w:rtl/>
        </w:rPr>
        <w:t>:</w:t>
      </w:r>
      <w:r w:rsidRPr="00254729">
        <w:rPr>
          <w:rFonts w:ascii="Abo-thar" w:hAnsi="Abo-thar" w:hint="cs"/>
          <w:spacing w:val="-4"/>
          <w:sz w:val="28"/>
          <w:rtl/>
        </w:rPr>
        <w:t xml:space="preserve"> </w:t>
      </w:r>
      <w:r w:rsidR="00EF2588" w:rsidRPr="00254729">
        <w:rPr>
          <w:rFonts w:ascii="Abo-thar" w:hAnsi="Abo-thar" w:hint="cs"/>
          <w:spacing w:val="-4"/>
          <w:sz w:val="28"/>
          <w:rtl/>
        </w:rPr>
        <w:t>«</w:t>
      </w:r>
      <w:r w:rsidRPr="00254729">
        <w:rPr>
          <w:rFonts w:ascii="Abo-thar" w:hAnsi="Abo-thar" w:hint="cs"/>
          <w:b/>
          <w:bCs/>
          <w:spacing w:val="-4"/>
          <w:sz w:val="28"/>
          <w:rtl/>
        </w:rPr>
        <w:t>لو كان هذا الكتاب صحيحاً لكان دين الإسلام باطلاً</w:t>
      </w:r>
      <w:r w:rsidR="00217AB4" w:rsidRPr="00254729">
        <w:rPr>
          <w:rFonts w:ascii="Abo-thar" w:hAnsi="Abo-thar" w:hint="cs"/>
          <w:spacing w:val="-4"/>
          <w:sz w:val="28"/>
          <w:rtl/>
        </w:rPr>
        <w:t>!</w:t>
      </w:r>
      <w:r w:rsidR="00EF2588" w:rsidRPr="00254729">
        <w:rPr>
          <w:rFonts w:ascii="Abo-thar" w:hAnsi="Abo-thar" w:hint="cs"/>
          <w:spacing w:val="-4"/>
          <w:sz w:val="28"/>
          <w:rtl/>
        </w:rPr>
        <w:t>»</w:t>
      </w:r>
      <w:r w:rsidR="00217AB4" w:rsidRPr="00254729">
        <w:rPr>
          <w:rFonts w:ascii="Abo-thar" w:hAnsi="Abo-thar" w:hint="cs"/>
          <w:spacing w:val="-4"/>
          <w:sz w:val="28"/>
          <w:rtl/>
        </w:rPr>
        <w:t>.</w:t>
      </w:r>
    </w:p>
    <w:p w:rsidR="006D4328" w:rsidRPr="003F3B94" w:rsidRDefault="006D4328" w:rsidP="003F3B94">
      <w:pPr>
        <w:pStyle w:val="a0"/>
        <w:rPr>
          <w:rFonts w:hint="cs"/>
          <w:rtl/>
        </w:rPr>
      </w:pPr>
      <w:r w:rsidRPr="003F3B94">
        <w:rPr>
          <w:rFonts w:ascii="Abo-thar" w:hAnsi="Abo-thar" w:hint="cs"/>
          <w:sz w:val="28"/>
          <w:rtl/>
        </w:rPr>
        <w:t>ولكننا لإثبات الحُجَّة على الخصم نُحاربه بسلاحه!</w:t>
      </w:r>
    </w:p>
    <w:p w:rsidR="003D6690" w:rsidRPr="00995B26" w:rsidRDefault="003D6690" w:rsidP="00254729">
      <w:pPr>
        <w:pStyle w:val="a6"/>
        <w:rPr>
          <w:rFonts w:hint="cs"/>
          <w:rtl/>
        </w:rPr>
      </w:pPr>
      <w:bookmarkStart w:id="109" w:name="_Toc387843080"/>
      <w:r w:rsidRPr="00995B26">
        <w:rPr>
          <w:rFonts w:hint="cs"/>
          <w:rtl/>
        </w:rPr>
        <w:t xml:space="preserve">2- فاطمة الزهرا </w:t>
      </w:r>
      <w:r w:rsidR="008B3243" w:rsidRPr="008B3243">
        <w:rPr>
          <w:rFonts w:cs="CTraditional Arabic" w:hint="cs"/>
          <w:bCs w:val="0"/>
          <w:rtl/>
        </w:rPr>
        <w:t>‘</w:t>
      </w:r>
      <w:bookmarkEnd w:id="109"/>
    </w:p>
    <w:p w:rsidR="005C664D" w:rsidRPr="003F3B94" w:rsidRDefault="005C664D" w:rsidP="003F3B94">
      <w:pPr>
        <w:pStyle w:val="a0"/>
        <w:rPr>
          <w:rFonts w:hint="cs"/>
          <w:rtl/>
          <w:lang w:bidi="ar-SY"/>
        </w:rPr>
      </w:pPr>
      <w:r w:rsidRPr="003F3B94">
        <w:rPr>
          <w:rFonts w:ascii="Abo-thar" w:hAnsi="Abo-thar" w:hint="cs"/>
          <w:sz w:val="28"/>
          <w:rtl/>
        </w:rPr>
        <w:t>5</w:t>
      </w:r>
      <w:r w:rsidR="00217AB4" w:rsidRPr="003F3B94">
        <w:rPr>
          <w:rFonts w:ascii="Abo-thar" w:hAnsi="Abo-thar" w:hint="cs"/>
          <w:sz w:val="28"/>
          <w:rtl/>
        </w:rPr>
        <w:t>-</w:t>
      </w:r>
      <w:r w:rsidRPr="003F3B94">
        <w:rPr>
          <w:rFonts w:ascii="Abo-thar" w:hAnsi="Abo-thar" w:hint="cs"/>
          <w:sz w:val="28"/>
          <w:rtl/>
        </w:rPr>
        <w:t xml:space="preserve"> روى </w:t>
      </w:r>
      <w:r w:rsidR="00CF46B9" w:rsidRPr="003F3B94">
        <w:rPr>
          <w:rFonts w:ascii="Abo-thar" w:hAnsi="Abo-thar" w:hint="cs"/>
          <w:sz w:val="28"/>
          <w:rtl/>
        </w:rPr>
        <w:t>الشيخ الطوسي في «التهذيب»</w:t>
      </w:r>
      <w:r w:rsidRPr="003F3B94">
        <w:rPr>
          <w:rFonts w:ascii="Abo-thar" w:hAnsi="Abo-thar" w:hint="cs"/>
          <w:sz w:val="28"/>
          <w:rtl/>
        </w:rPr>
        <w:t xml:space="preserve"> بسنده</w:t>
      </w:r>
      <w:r w:rsidR="00217AB4" w:rsidRPr="003F3B94">
        <w:rPr>
          <w:rFonts w:ascii="Abo-thar" w:hAnsi="Abo-thar" w:hint="cs"/>
          <w:sz w:val="28"/>
          <w:rtl/>
        </w:rPr>
        <w:t>:</w:t>
      </w:r>
      <w:r w:rsidRPr="003F3B94">
        <w:rPr>
          <w:rFonts w:ascii="Abo-thar" w:hAnsi="Abo-thar" w:hint="cs"/>
          <w:sz w:val="28"/>
          <w:rtl/>
        </w:rPr>
        <w:t xml:space="preserve"> </w:t>
      </w:r>
      <w:r w:rsidR="00EF2588" w:rsidRPr="004408B9">
        <w:rPr>
          <w:rFonts w:ascii="Abo-thar" w:hAnsi="Abo-thar" w:cs="KFGQPC Uthman Taha Naskh" w:hint="cs"/>
          <w:sz w:val="28"/>
          <w:rtl/>
        </w:rPr>
        <w:t>«</w:t>
      </w:r>
      <w:r w:rsidR="00217AB4" w:rsidRPr="004408B9">
        <w:rPr>
          <w:rFonts w:ascii="Abo-thar" w:hAnsi="Abo-thar" w:cs="KFGQPC Uthman Taha Naskh" w:hint="cs"/>
          <w:sz w:val="28"/>
          <w:rtl/>
        </w:rPr>
        <w:t>...</w:t>
      </w:r>
      <w:r w:rsidRPr="004408B9">
        <w:rPr>
          <w:rFonts w:ascii="Abo-thar" w:hAnsi="Abo-thar" w:cs="KFGQPC Uthman Taha Naskh"/>
          <w:bCs/>
          <w:sz w:val="28"/>
          <w:rtl/>
        </w:rPr>
        <w:t xml:space="preserve">عَنِ الفُضَيْلِ عَنْ أَبِي عَبْدِ اللهِ </w:t>
      </w:r>
      <w:r w:rsidR="00BC4BA9" w:rsidRPr="00BC4BA9">
        <w:rPr>
          <w:rFonts w:ascii="Abo-thar" w:hAnsi="Abo-thar" w:cs="CTraditional Arabic"/>
          <w:sz w:val="28"/>
          <w:rtl/>
        </w:rPr>
        <w:t>÷</w:t>
      </w:r>
      <w:r w:rsidRPr="004408B9">
        <w:rPr>
          <w:rFonts w:ascii="Abo-thar" w:hAnsi="Abo-thar" w:cs="KFGQPC Uthman Taha Naskh"/>
          <w:bCs/>
          <w:sz w:val="28"/>
          <w:rtl/>
        </w:rPr>
        <w:t xml:space="preserve"> قَالَ مَنْ وَجَدَ بَرْدَ حُبِّنَا فِي كَبِدِهِ فَلْيَحْمَدِ اللهَ عَلَى أَوَّلِ النِّعَمِ</w:t>
      </w:r>
      <w:r w:rsidR="00217AB4" w:rsidRPr="004408B9">
        <w:rPr>
          <w:rFonts w:ascii="Abo-thar" w:hAnsi="Abo-thar" w:cs="KFGQPC Uthman Taha Naskh" w:hint="cs"/>
          <w:bCs/>
          <w:sz w:val="28"/>
          <w:rtl/>
        </w:rPr>
        <w:t>.</w:t>
      </w:r>
      <w:r w:rsidRPr="004408B9">
        <w:rPr>
          <w:rFonts w:ascii="Abo-thar" w:hAnsi="Abo-thar" w:cs="KFGQPC Uthman Taha Naskh"/>
          <w:bCs/>
          <w:sz w:val="28"/>
          <w:rtl/>
        </w:rPr>
        <w:t xml:space="preserve"> قَالَ قُلْتُ</w:t>
      </w:r>
      <w:r w:rsidR="00217AB4" w:rsidRPr="004408B9">
        <w:rPr>
          <w:rFonts w:ascii="Abo-thar" w:hAnsi="Abo-thar" w:cs="KFGQPC Uthman Taha Naskh" w:hint="cs"/>
          <w:bCs/>
          <w:sz w:val="28"/>
          <w:rtl/>
        </w:rPr>
        <w:t>:</w:t>
      </w:r>
      <w:r w:rsidRPr="004408B9">
        <w:rPr>
          <w:rFonts w:ascii="Abo-thar" w:hAnsi="Abo-thar" w:cs="KFGQPC Uthman Taha Naskh"/>
          <w:bCs/>
          <w:sz w:val="28"/>
          <w:rtl/>
        </w:rPr>
        <w:t xml:space="preserve"> جُعِلْتُ فِدَاكَ</w:t>
      </w:r>
      <w:r w:rsidR="00217AB4" w:rsidRPr="004408B9">
        <w:rPr>
          <w:rFonts w:ascii="Abo-thar" w:hAnsi="Abo-thar" w:cs="KFGQPC Uthman Taha Naskh" w:hint="cs"/>
          <w:bCs/>
          <w:sz w:val="28"/>
          <w:rtl/>
        </w:rPr>
        <w:t>!</w:t>
      </w:r>
      <w:r w:rsidRPr="004408B9">
        <w:rPr>
          <w:rFonts w:ascii="Abo-thar" w:hAnsi="Abo-thar" w:cs="KFGQPC Uthman Taha Naskh"/>
          <w:bCs/>
          <w:sz w:val="28"/>
          <w:rtl/>
        </w:rPr>
        <w:t xml:space="preserve"> مَا أَوَّلُ النِّعَمِ</w:t>
      </w:r>
      <w:r w:rsidR="00217AB4" w:rsidRPr="004408B9">
        <w:rPr>
          <w:rFonts w:ascii="Abo-thar" w:hAnsi="Abo-thar" w:cs="KFGQPC Uthman Taha Naskh" w:hint="cs"/>
          <w:bCs/>
          <w:sz w:val="28"/>
          <w:rtl/>
        </w:rPr>
        <w:t>؟</w:t>
      </w:r>
      <w:r w:rsidRPr="004408B9">
        <w:rPr>
          <w:rFonts w:ascii="Abo-thar" w:hAnsi="Abo-thar" w:cs="KFGQPC Uthman Taha Naskh"/>
          <w:bCs/>
          <w:sz w:val="28"/>
          <w:rtl/>
        </w:rPr>
        <w:t xml:space="preserve"> قَالَ</w:t>
      </w:r>
      <w:r w:rsidR="00217AB4" w:rsidRPr="004408B9">
        <w:rPr>
          <w:rFonts w:ascii="Abo-thar" w:hAnsi="Abo-thar" w:cs="KFGQPC Uthman Taha Naskh" w:hint="cs"/>
          <w:bCs/>
          <w:sz w:val="28"/>
          <w:rtl/>
        </w:rPr>
        <w:t>:</w:t>
      </w:r>
      <w:r w:rsidRPr="004408B9">
        <w:rPr>
          <w:rFonts w:ascii="Abo-thar" w:hAnsi="Abo-thar" w:cs="KFGQPC Uthman Taha Naskh"/>
          <w:bCs/>
          <w:sz w:val="28"/>
          <w:rtl/>
        </w:rPr>
        <w:t xml:space="preserve"> طِيبُ الوِلَادَةِ</w:t>
      </w:r>
      <w:r w:rsidR="00217AB4" w:rsidRPr="004408B9">
        <w:rPr>
          <w:rFonts w:ascii="Abo-thar" w:hAnsi="Abo-thar" w:cs="KFGQPC Uthman Taha Naskh" w:hint="cs"/>
          <w:bCs/>
          <w:sz w:val="28"/>
          <w:rtl/>
        </w:rPr>
        <w:t>.</w:t>
      </w:r>
      <w:r w:rsidRPr="004408B9">
        <w:rPr>
          <w:rFonts w:ascii="Abo-thar" w:hAnsi="Abo-thar" w:cs="KFGQPC Uthman Taha Naskh"/>
          <w:bCs/>
          <w:sz w:val="28"/>
          <w:rtl/>
        </w:rPr>
        <w:t xml:space="preserve"> ثُمَّ قَالَ أَبُو عَبْدِ اللهِ </w:t>
      </w:r>
      <w:r w:rsidR="00BC4BA9" w:rsidRPr="00BC4BA9">
        <w:rPr>
          <w:rFonts w:ascii="Abo-thar" w:hAnsi="Abo-thar" w:cs="CTraditional Arabic" w:hint="cs"/>
          <w:sz w:val="28"/>
          <w:rtl/>
        </w:rPr>
        <w:t>÷</w:t>
      </w:r>
      <w:r w:rsidR="00217AB4" w:rsidRPr="004408B9">
        <w:rPr>
          <w:rFonts w:ascii="Abo-thar" w:hAnsi="Abo-thar" w:cs="KFGQPC Uthman Taha Naskh" w:hint="cs"/>
          <w:bCs/>
          <w:sz w:val="28"/>
          <w:rtl/>
        </w:rPr>
        <w:t>:</w:t>
      </w:r>
      <w:r w:rsidRPr="004408B9">
        <w:rPr>
          <w:rFonts w:ascii="Abo-thar" w:hAnsi="Abo-thar" w:cs="KFGQPC Uthman Taha Naskh"/>
          <w:bCs/>
          <w:sz w:val="28"/>
          <w:rtl/>
        </w:rPr>
        <w:t xml:space="preserve"> قَالَ أَمِيرُ المُؤْمِنِينَ </w:t>
      </w:r>
      <w:r w:rsidR="00BC4BA9" w:rsidRPr="00BC4BA9">
        <w:rPr>
          <w:rFonts w:ascii="Abo-thar" w:hAnsi="Abo-thar" w:cs="CTraditional Arabic" w:hint="cs"/>
          <w:sz w:val="28"/>
          <w:rtl/>
        </w:rPr>
        <w:t>÷</w:t>
      </w:r>
      <w:r w:rsidRPr="004408B9">
        <w:rPr>
          <w:rFonts w:ascii="Abo-thar" w:hAnsi="Abo-thar" w:cs="KFGQPC Uthman Taha Naskh"/>
          <w:bCs/>
          <w:sz w:val="28"/>
          <w:rtl/>
        </w:rPr>
        <w:t xml:space="preserve"> لِفَاطِمَةَ </w:t>
      </w:r>
      <w:r w:rsidR="00BC4BA9" w:rsidRPr="00BC4BA9">
        <w:rPr>
          <w:rFonts w:ascii="Abo-thar" w:hAnsi="Abo-thar" w:cs="CTraditional Arabic" w:hint="cs"/>
          <w:sz w:val="28"/>
          <w:rtl/>
        </w:rPr>
        <w:t>÷</w:t>
      </w:r>
      <w:r w:rsidR="00217AB4" w:rsidRPr="004408B9">
        <w:rPr>
          <w:rFonts w:ascii="Abo-thar" w:hAnsi="Abo-thar" w:cs="KFGQPC Uthman Taha Naskh" w:hint="cs"/>
          <w:bCs/>
          <w:sz w:val="28"/>
          <w:rtl/>
        </w:rPr>
        <w:t>:</w:t>
      </w:r>
      <w:r w:rsidRPr="004408B9">
        <w:rPr>
          <w:rFonts w:ascii="Abo-thar" w:hAnsi="Abo-thar" w:cs="KFGQPC Uthman Taha Naskh"/>
          <w:bCs/>
          <w:sz w:val="28"/>
          <w:rtl/>
        </w:rPr>
        <w:t xml:space="preserve"> أَحِلِّي نَصِيبَكِ مِنَ الفَيْ‏ءِ لآِبَاءِ شِيعَتِنَا لِيَطِيبُوا</w:t>
      </w:r>
      <w:r w:rsidR="00217AB4" w:rsidRPr="004408B9">
        <w:rPr>
          <w:rFonts w:ascii="Abo-thar" w:hAnsi="Abo-thar" w:cs="KFGQPC Uthman Taha Naskh" w:hint="cs"/>
          <w:bCs/>
          <w:sz w:val="28"/>
          <w:rtl/>
        </w:rPr>
        <w:t>.</w:t>
      </w:r>
      <w:r w:rsidRPr="004408B9">
        <w:rPr>
          <w:rFonts w:ascii="Abo-thar" w:hAnsi="Abo-thar" w:cs="KFGQPC Uthman Taha Naskh"/>
          <w:bCs/>
          <w:sz w:val="28"/>
          <w:rtl/>
        </w:rPr>
        <w:t xml:space="preserve"> ثُمَّ قَالَ أَبُو عَبْدِ اللهِ </w:t>
      </w:r>
      <w:r w:rsidR="00BC4BA9" w:rsidRPr="00BC4BA9">
        <w:rPr>
          <w:rFonts w:ascii="Abo-thar" w:hAnsi="Abo-thar" w:cs="CTraditional Arabic"/>
          <w:sz w:val="28"/>
          <w:rtl/>
        </w:rPr>
        <w:t>÷</w:t>
      </w:r>
      <w:r w:rsidRPr="004408B9">
        <w:rPr>
          <w:rFonts w:ascii="Abo-thar" w:hAnsi="Abo-thar" w:cs="KFGQPC Uthman Taha Naskh"/>
          <w:bCs/>
          <w:sz w:val="28"/>
          <w:rtl/>
        </w:rPr>
        <w:t xml:space="preserve"> إِنَّا أَحْلَلْنَا أُمَّهَاتِ شِيعَتِنَا لآِبَائِهِمْ لِيَطِيبُوا</w:t>
      </w:r>
      <w:r w:rsidR="00EF2588" w:rsidRPr="004408B9">
        <w:rPr>
          <w:rFonts w:ascii="Abo-thar" w:hAnsi="Abo-thar" w:cs="KFGQPC Uthman Taha Naskh" w:hint="cs"/>
          <w:sz w:val="28"/>
          <w:rtl/>
        </w:rPr>
        <w:t>»</w:t>
      </w:r>
      <w:r w:rsidR="00CF46B9" w:rsidRPr="0021507A">
        <w:rPr>
          <w:rFonts w:ascii="Abo-thar" w:hAnsi="Abo-thar" w:cs="Arabic11 BT"/>
          <w:sz w:val="28"/>
          <w:vertAlign w:val="superscript"/>
          <w:rtl/>
        </w:rPr>
        <w:t>(</w:t>
      </w:r>
      <w:r w:rsidR="00CF46B9" w:rsidRPr="0021507A">
        <w:rPr>
          <w:rStyle w:val="FootnoteReference"/>
          <w:rFonts w:ascii="Abo-thar" w:hAnsi="Abo-thar" w:cs="Arabic11 BT"/>
          <w:sz w:val="28"/>
          <w:rtl/>
        </w:rPr>
        <w:footnoteReference w:id="333"/>
      </w:r>
      <w:r w:rsidR="00CF46B9" w:rsidRPr="0021507A">
        <w:rPr>
          <w:rFonts w:ascii="Abo-thar" w:hAnsi="Abo-thar" w:cs="Arabic11 BT"/>
          <w:sz w:val="28"/>
          <w:vertAlign w:val="superscript"/>
          <w:rtl/>
        </w:rPr>
        <w:t>)</w:t>
      </w:r>
      <w:r w:rsidR="00217AB4" w:rsidRPr="003F3B94">
        <w:rPr>
          <w:rFonts w:ascii="Abo-thar" w:hAnsi="Abo-thar" w:hint="cs"/>
          <w:sz w:val="28"/>
          <w:rtl/>
        </w:rPr>
        <w:t>.</w:t>
      </w:r>
    </w:p>
    <w:p w:rsidR="006D4328" w:rsidRPr="003F3B94" w:rsidRDefault="006D4328" w:rsidP="003F3B94">
      <w:pPr>
        <w:pStyle w:val="a0"/>
        <w:rPr>
          <w:rFonts w:hint="cs"/>
          <w:rtl/>
          <w:lang w:bidi="ar-SY"/>
        </w:rPr>
      </w:pPr>
      <w:r w:rsidRPr="003F3B94">
        <w:rPr>
          <w:rFonts w:ascii="Abo-thar" w:hAnsi="Abo-thar"/>
          <w:sz w:val="28"/>
          <w:rtl/>
          <w:lang w:bidi="ar-SY"/>
        </w:rPr>
        <w:t xml:space="preserve">ولم يصدر عن حضرات الحسنين ولا عن عَلِيِّ بن الحسين </w:t>
      </w:r>
      <w:r w:rsidR="00963EFD" w:rsidRPr="00963EFD">
        <w:rPr>
          <w:rFonts w:ascii="Abo-thar" w:hAnsi="Abo-thar" w:cs="CTraditional Arabic"/>
          <w:sz w:val="28"/>
          <w:rtl/>
          <w:lang w:bidi="ar-SY"/>
        </w:rPr>
        <w:t>‡</w:t>
      </w:r>
      <w:r w:rsidRPr="003F3B94">
        <w:rPr>
          <w:rFonts w:ascii="Abo-thar" w:hAnsi="Abo-thar"/>
          <w:sz w:val="28"/>
          <w:rtl/>
          <w:lang w:bidi="ar-SY"/>
        </w:rPr>
        <w:t xml:space="preserve"> أيُّ حديث في باب «الخُمْس»، لا في فرضه ولا في تحليله!!</w:t>
      </w:r>
    </w:p>
    <w:p w:rsidR="003D6690" w:rsidRPr="00995B26" w:rsidRDefault="003D6690" w:rsidP="003C671C">
      <w:pPr>
        <w:pStyle w:val="a6"/>
        <w:rPr>
          <w:rFonts w:hint="cs"/>
          <w:rtl/>
        </w:rPr>
      </w:pPr>
      <w:bookmarkStart w:id="110" w:name="_Toc387843081"/>
      <w:r w:rsidRPr="00995B26">
        <w:rPr>
          <w:rFonts w:hint="cs"/>
          <w:rtl/>
        </w:rPr>
        <w:t xml:space="preserve">3- الإمام الباقر </w:t>
      </w:r>
      <w:r w:rsidR="003C7AEB" w:rsidRPr="003C7AEB">
        <w:rPr>
          <w:rFonts w:cs="CTraditional Arabic" w:hint="cs"/>
          <w:bCs w:val="0"/>
          <w:rtl/>
        </w:rPr>
        <w:t>÷</w:t>
      </w:r>
      <w:bookmarkEnd w:id="110"/>
      <w:r w:rsidRPr="00995B26">
        <w:rPr>
          <w:rFonts w:hint="cs"/>
          <w:rtl/>
        </w:rPr>
        <w:t xml:space="preserve"> </w:t>
      </w:r>
    </w:p>
    <w:p w:rsidR="005C664D" w:rsidRPr="003F3B94" w:rsidRDefault="005C664D" w:rsidP="003F3B94">
      <w:pPr>
        <w:pStyle w:val="a0"/>
        <w:rPr>
          <w:rFonts w:hint="cs"/>
          <w:rtl/>
          <w:lang w:bidi="ar-SY"/>
        </w:rPr>
      </w:pPr>
      <w:r w:rsidRPr="003F3B94">
        <w:rPr>
          <w:rFonts w:ascii="Abo-thar" w:hAnsi="Abo-thar" w:hint="cs"/>
          <w:sz w:val="28"/>
          <w:rtl/>
          <w:lang w:bidi="ar-SY"/>
        </w:rPr>
        <w:t>6</w:t>
      </w:r>
      <w:r w:rsidR="00217AB4" w:rsidRPr="003F3B94">
        <w:rPr>
          <w:rFonts w:ascii="Abo-thar" w:hAnsi="Abo-thar" w:hint="cs"/>
          <w:sz w:val="28"/>
          <w:rtl/>
          <w:lang w:bidi="ar-SY"/>
        </w:rPr>
        <w:t>-</w:t>
      </w:r>
      <w:r w:rsidRPr="003F3B94">
        <w:rPr>
          <w:rFonts w:ascii="Abo-thar" w:hAnsi="Abo-thar" w:hint="cs"/>
          <w:sz w:val="28"/>
          <w:rtl/>
          <w:lang w:bidi="ar-SY"/>
        </w:rPr>
        <w:t xml:space="preserve"> روى </w:t>
      </w:r>
      <w:r w:rsidR="007B5F29" w:rsidRPr="003F3B94">
        <w:rPr>
          <w:rFonts w:ascii="Abo-thar" w:hAnsi="Abo-thar" w:hint="cs"/>
          <w:sz w:val="28"/>
          <w:rtl/>
          <w:lang w:bidi="ar-SY"/>
        </w:rPr>
        <w:t>الشيخ الطوسي في «التهذيب»</w:t>
      </w:r>
      <w:r w:rsidRPr="003F3B94">
        <w:rPr>
          <w:rFonts w:ascii="Abo-thar" w:hAnsi="Abo-thar" w:hint="cs"/>
          <w:sz w:val="28"/>
          <w:rtl/>
          <w:lang w:bidi="ar-SY"/>
        </w:rPr>
        <w:t xml:space="preserve"> وفي </w:t>
      </w:r>
      <w:r w:rsidRPr="003F3B94">
        <w:rPr>
          <w:rFonts w:ascii="Abo-thar" w:hAnsi="Abo-thar"/>
          <w:sz w:val="28"/>
          <w:rtl/>
          <w:lang w:bidi="ar-SY"/>
        </w:rPr>
        <w:t>«</w:t>
      </w:r>
      <w:r w:rsidRPr="003F3B94">
        <w:rPr>
          <w:rFonts w:ascii="Abo-thar" w:hAnsi="Abo-thar" w:hint="cs"/>
          <w:sz w:val="28"/>
          <w:rtl/>
          <w:lang w:bidi="ar-SY"/>
        </w:rPr>
        <w:t>الاستبصار</w:t>
      </w:r>
      <w:r w:rsidRPr="003F3B94">
        <w:rPr>
          <w:rFonts w:ascii="Abo-thar" w:hAnsi="Abo-thar"/>
          <w:sz w:val="28"/>
          <w:rtl/>
          <w:lang w:bidi="ar-SY"/>
        </w:rPr>
        <w:t>»</w:t>
      </w:r>
      <w:r w:rsidRPr="003F3B94">
        <w:rPr>
          <w:rFonts w:ascii="Abo-thar" w:hAnsi="Abo-thar" w:hint="cs"/>
          <w:sz w:val="28"/>
          <w:rtl/>
          <w:lang w:bidi="ar-SY"/>
        </w:rPr>
        <w:t xml:space="preserve"> بإسناده</w:t>
      </w:r>
      <w:r w:rsidR="00217AB4" w:rsidRPr="003F3B94">
        <w:rPr>
          <w:rFonts w:ascii="Abo-thar" w:hAnsi="Abo-thar" w:hint="cs"/>
          <w:sz w:val="28"/>
          <w:rtl/>
          <w:lang w:bidi="ar-SY"/>
        </w:rPr>
        <w:t>:</w:t>
      </w:r>
      <w:r w:rsidRPr="003F3B94">
        <w:rPr>
          <w:rFonts w:ascii="Abo-thar" w:hAnsi="Abo-thar" w:hint="cs"/>
          <w:sz w:val="28"/>
          <w:rtl/>
          <w:lang w:bidi="ar-SY"/>
        </w:rPr>
        <w:t xml:space="preserve"> </w:t>
      </w:r>
      <w:r w:rsidR="00EF2588" w:rsidRPr="004408B9">
        <w:rPr>
          <w:rFonts w:ascii="Abo-thar" w:hAnsi="Abo-thar" w:cs="KFGQPC Uthman Taha Naskh" w:hint="cs"/>
          <w:sz w:val="28"/>
          <w:rtl/>
          <w:lang w:bidi="ar-SY"/>
        </w:rPr>
        <w:t>«</w:t>
      </w:r>
      <w:r w:rsidR="00217AB4" w:rsidRPr="004408B9">
        <w:rPr>
          <w:rFonts w:ascii="Abo-thar" w:hAnsi="Abo-thar" w:cs="KFGQPC Uthman Taha Naskh" w:hint="cs"/>
          <w:sz w:val="28"/>
          <w:rtl/>
          <w:lang w:bidi="ar-SY"/>
        </w:rPr>
        <w:t>...</w:t>
      </w:r>
      <w:r w:rsidRPr="004408B9">
        <w:rPr>
          <w:rFonts w:ascii="Abo-thar" w:hAnsi="Abo-thar" w:cs="KFGQPC Uthman Taha Naskh"/>
          <w:bCs/>
          <w:sz w:val="28"/>
          <w:rtl/>
          <w:lang w:bidi="ar-SY"/>
        </w:rPr>
        <w:t xml:space="preserve">عَنْ أَبِي حَمْزَةَ الثُّمَالِيِّ عَنْ أَبِي جَعْفَرٍ </w:t>
      </w:r>
      <w:r w:rsidR="00BC4BA9" w:rsidRPr="00BC4BA9">
        <w:rPr>
          <w:rFonts w:ascii="Abo-thar" w:hAnsi="Abo-thar" w:cs="CTraditional Arabic"/>
          <w:sz w:val="28"/>
          <w:rtl/>
          <w:lang w:bidi="ar-SY"/>
        </w:rPr>
        <w:t>÷</w:t>
      </w:r>
      <w:r w:rsidRPr="004408B9">
        <w:rPr>
          <w:rFonts w:ascii="Abo-thar" w:hAnsi="Abo-thar" w:cs="KFGQPC Uthman Taha Naskh"/>
          <w:bCs/>
          <w:sz w:val="28"/>
          <w:rtl/>
          <w:lang w:bidi="ar-SY"/>
        </w:rPr>
        <w:t xml:space="preserve"> قَالَ سَمِعْتُهُ يَقُولُ مِنْ أَحْلَلْنَا لَهُ شَيْئاً أَصَابَهُ مِنْ أَعْمَالِ الظَّالِمِينَ فَهُوَ لَهُ حَلَالٌ ومَا حَرَّمْنَاهُ مِنْ ذَلِكَ فَهُوَ حَرَام</w:t>
      </w:r>
      <w:r w:rsidR="00EF2588" w:rsidRPr="004408B9">
        <w:rPr>
          <w:rFonts w:ascii="Abo-thar" w:hAnsi="Abo-thar" w:cs="KFGQPC Uthman Taha Naskh" w:hint="cs"/>
          <w:sz w:val="28"/>
          <w:rtl/>
          <w:lang w:bidi="ar-SY"/>
        </w:rPr>
        <w:t>»</w:t>
      </w:r>
      <w:r w:rsidR="00CF46B9" w:rsidRPr="0021507A">
        <w:rPr>
          <w:rFonts w:ascii="Abo-thar" w:hAnsi="Abo-thar" w:cs="Arabic11 BT"/>
          <w:sz w:val="28"/>
          <w:vertAlign w:val="superscript"/>
          <w:rtl/>
          <w:lang w:bidi="ar-SY"/>
        </w:rPr>
        <w:t>(</w:t>
      </w:r>
      <w:r w:rsidR="00CF46B9" w:rsidRPr="0021507A">
        <w:rPr>
          <w:rStyle w:val="FootnoteReference"/>
          <w:rFonts w:ascii="Abo-thar" w:hAnsi="Abo-thar" w:cs="Arabic11 BT"/>
          <w:sz w:val="28"/>
          <w:rtl/>
          <w:lang w:bidi="ar-SY"/>
        </w:rPr>
        <w:footnoteReference w:id="334"/>
      </w:r>
      <w:r w:rsidR="00CF46B9" w:rsidRPr="0021507A">
        <w:rPr>
          <w:rFonts w:ascii="Abo-thar" w:hAnsi="Abo-thar" w:cs="Arabic11 BT"/>
          <w:sz w:val="28"/>
          <w:vertAlign w:val="superscript"/>
          <w:rtl/>
          <w:lang w:bidi="ar-SY"/>
        </w:rPr>
        <w:t>)</w:t>
      </w:r>
      <w:r w:rsidR="00217AB4" w:rsidRPr="003F3B94">
        <w:rPr>
          <w:rFonts w:ascii="Abo-thar" w:hAnsi="Abo-thar" w:hint="cs"/>
          <w:sz w:val="28"/>
          <w:rtl/>
          <w:lang w:bidi="ar-SY"/>
        </w:rPr>
        <w:t>.</w:t>
      </w:r>
    </w:p>
    <w:p w:rsidR="005C664D" w:rsidRPr="00995B26" w:rsidRDefault="005C664D" w:rsidP="003F3B94">
      <w:pPr>
        <w:pStyle w:val="a0"/>
        <w:rPr>
          <w:rFonts w:hint="cs"/>
          <w:rtl/>
          <w:lang w:bidi="ar-SY"/>
        </w:rPr>
      </w:pPr>
      <w:r w:rsidRPr="003F3B94">
        <w:rPr>
          <w:rFonts w:ascii="Abo-thar" w:hAnsi="Abo-thar" w:hint="cs"/>
          <w:sz w:val="28"/>
          <w:rtl/>
          <w:lang w:bidi="ar-SY"/>
        </w:rPr>
        <w:t>7</w:t>
      </w:r>
      <w:r w:rsidR="00217AB4" w:rsidRPr="003F3B94">
        <w:rPr>
          <w:rFonts w:ascii="Abo-thar" w:hAnsi="Abo-thar" w:hint="cs"/>
          <w:sz w:val="28"/>
          <w:rtl/>
          <w:lang w:bidi="ar-SY"/>
        </w:rPr>
        <w:t>-</w:t>
      </w:r>
      <w:r w:rsidRPr="003F3B94">
        <w:rPr>
          <w:rFonts w:ascii="Abo-thar" w:hAnsi="Abo-thar" w:hint="cs"/>
          <w:sz w:val="28"/>
          <w:rtl/>
          <w:lang w:bidi="ar-SY"/>
        </w:rPr>
        <w:t xml:space="preserve"> وروى الشيخ الطوسي في «التهذيب» وفي </w:t>
      </w:r>
      <w:r w:rsidRPr="003F3B94">
        <w:rPr>
          <w:rFonts w:ascii="Abo-thar" w:hAnsi="Abo-thar"/>
          <w:sz w:val="28"/>
          <w:rtl/>
          <w:lang w:bidi="ar-SY"/>
        </w:rPr>
        <w:t>«</w:t>
      </w:r>
      <w:r w:rsidRPr="003F3B94">
        <w:rPr>
          <w:rFonts w:ascii="Abo-thar" w:hAnsi="Abo-thar" w:hint="cs"/>
          <w:sz w:val="28"/>
          <w:rtl/>
          <w:lang w:bidi="ar-SY"/>
        </w:rPr>
        <w:t>الاستبصار</w:t>
      </w:r>
      <w:r w:rsidRPr="003F3B94">
        <w:rPr>
          <w:rFonts w:ascii="Abo-thar" w:hAnsi="Abo-thar"/>
          <w:sz w:val="28"/>
          <w:rtl/>
          <w:lang w:bidi="ar-SY"/>
        </w:rPr>
        <w:t>»</w:t>
      </w:r>
      <w:r w:rsidRPr="003F3B94">
        <w:rPr>
          <w:rFonts w:ascii="Abo-thar" w:hAnsi="Abo-thar" w:hint="cs"/>
          <w:sz w:val="28"/>
          <w:rtl/>
          <w:lang w:bidi="ar-SY"/>
        </w:rPr>
        <w:t xml:space="preserve"> بإسناده</w:t>
      </w:r>
      <w:r w:rsidR="00217AB4" w:rsidRPr="003F3B94">
        <w:rPr>
          <w:rFonts w:ascii="Abo-thar" w:hAnsi="Abo-thar" w:hint="cs"/>
          <w:sz w:val="28"/>
          <w:rtl/>
          <w:lang w:bidi="ar-SY"/>
        </w:rPr>
        <w:t>:</w:t>
      </w:r>
      <w:r w:rsidRPr="003F3B94">
        <w:rPr>
          <w:rFonts w:ascii="Abo-thar" w:hAnsi="Abo-thar" w:hint="cs"/>
          <w:sz w:val="28"/>
          <w:rtl/>
          <w:lang w:bidi="ar-SY"/>
        </w:rPr>
        <w:t xml:space="preserve"> </w:t>
      </w:r>
      <w:r w:rsidR="00EF2588" w:rsidRPr="004408B9">
        <w:rPr>
          <w:rFonts w:ascii="Abo-thar" w:hAnsi="Abo-thar" w:cs="KFGQPC Uthman Taha Naskh" w:hint="cs"/>
          <w:sz w:val="28"/>
          <w:rtl/>
          <w:lang w:bidi="ar-SY"/>
        </w:rPr>
        <w:t>«</w:t>
      </w:r>
      <w:r w:rsidRPr="004408B9">
        <w:rPr>
          <w:rFonts w:ascii="Abo-thar" w:hAnsi="Abo-thar" w:cs="KFGQPC Uthman Taha Naskh"/>
          <w:bCs/>
          <w:sz w:val="28"/>
          <w:rtl/>
          <w:lang w:bidi="ar-SY"/>
        </w:rPr>
        <w:t xml:space="preserve">عَنْ حُكَيْمٍ مُؤَذِّنِ بَنِي عَبْسٍ عَنْ أَبِي عَبْدِ اللهِ </w:t>
      </w:r>
      <w:r w:rsidR="00BC4BA9" w:rsidRPr="00BC4BA9">
        <w:rPr>
          <w:rFonts w:ascii="Abo-thar" w:hAnsi="Abo-thar" w:cs="CTraditional Arabic"/>
          <w:sz w:val="28"/>
          <w:rtl/>
          <w:lang w:bidi="ar-SY"/>
        </w:rPr>
        <w:t>÷</w:t>
      </w:r>
      <w:r w:rsidRPr="004408B9">
        <w:rPr>
          <w:rFonts w:ascii="Abo-thar" w:hAnsi="Abo-thar" w:cs="KFGQPC Uthman Taha Naskh"/>
          <w:bCs/>
          <w:sz w:val="28"/>
          <w:rtl/>
          <w:lang w:bidi="ar-SY"/>
        </w:rPr>
        <w:t xml:space="preserve"> قَالَ قُلْتُ لَهُ</w:t>
      </w:r>
      <w:r w:rsidR="00217AB4" w:rsidRPr="004408B9">
        <w:rPr>
          <w:rFonts w:ascii="Abo-thar" w:hAnsi="Abo-thar" w:cs="KFGQPC Uthman Taha Naskh" w:hint="cs"/>
          <w:bCs/>
          <w:sz w:val="28"/>
          <w:rtl/>
          <w:lang w:bidi="ar-SY"/>
        </w:rPr>
        <w:t>:</w:t>
      </w:r>
      <w:r w:rsidRPr="003F3B94">
        <w:rPr>
          <w:rFonts w:ascii="Abo-thar" w:hAnsi="Abo-thar"/>
          <w:bCs/>
          <w:sz w:val="28"/>
          <w:rtl/>
          <w:lang w:bidi="ar-SY"/>
        </w:rPr>
        <w:t xml:space="preserve"> </w:t>
      </w:r>
      <w:r w:rsidR="00B06788" w:rsidRPr="00995B26">
        <w:rPr>
          <w:rFonts w:ascii="Abo-thar" w:hAnsi="Abo-thar" w:cs="Traditional Arabic" w:hint="cs"/>
          <w:b/>
          <w:sz w:val="28"/>
          <w:rtl/>
          <w:lang w:bidi="ar-SY"/>
        </w:rPr>
        <w:t>﴿</w:t>
      </w:r>
      <w:r w:rsidR="00B06788" w:rsidRPr="0067048A">
        <w:rPr>
          <w:rFonts w:ascii="KFGQPC Uthmanic Script HAFS" w:cs="KFGQPC Uthmanic Script HAFS" w:hint="eastAsia"/>
          <w:sz w:val="28"/>
          <w:szCs w:val="28"/>
          <w:rtl/>
        </w:rPr>
        <w:t>وَ</w:t>
      </w:r>
      <w:r w:rsidR="00B06788" w:rsidRPr="0067048A">
        <w:rPr>
          <w:rFonts w:ascii="KFGQPC Uthmanic Script HAFS" w:cs="KFGQPC Uthmanic Script HAFS" w:hint="cs"/>
          <w:sz w:val="28"/>
          <w:szCs w:val="28"/>
          <w:rtl/>
        </w:rPr>
        <w:t>ٱ</w:t>
      </w:r>
      <w:r w:rsidR="00B06788" w:rsidRPr="0067048A">
        <w:rPr>
          <w:rFonts w:ascii="KFGQPC Uthmanic Script HAFS" w:cs="KFGQPC Uthmanic Script HAFS" w:hint="eastAsia"/>
          <w:sz w:val="28"/>
          <w:szCs w:val="28"/>
          <w:rtl/>
        </w:rPr>
        <w:t>ع</w:t>
      </w:r>
      <w:r w:rsidR="00B06788" w:rsidRPr="0067048A">
        <w:rPr>
          <w:rFonts w:ascii="KFGQPC Uthmanic Script HAFS" w:cs="KFGQPC Uthmanic Script HAFS" w:hint="cs"/>
          <w:sz w:val="28"/>
          <w:szCs w:val="28"/>
          <w:rtl/>
        </w:rPr>
        <w:t>ۡ</w:t>
      </w:r>
      <w:r w:rsidR="00B06788" w:rsidRPr="0067048A">
        <w:rPr>
          <w:rFonts w:ascii="KFGQPC Uthmanic Script HAFS" w:cs="KFGQPC Uthmanic Script HAFS" w:hint="eastAsia"/>
          <w:sz w:val="28"/>
          <w:szCs w:val="28"/>
          <w:rtl/>
        </w:rPr>
        <w:t>لَمُو</w:t>
      </w:r>
      <w:r w:rsidR="00B06788" w:rsidRPr="0067048A">
        <w:rPr>
          <w:rFonts w:ascii="KFGQPC Uthmanic Script HAFS" w:cs="KFGQPC Uthmanic Script HAFS" w:hint="cs"/>
          <w:sz w:val="28"/>
          <w:szCs w:val="28"/>
          <w:rtl/>
        </w:rPr>
        <w:t>ٓ</w:t>
      </w:r>
      <w:r w:rsidR="00B06788" w:rsidRPr="0067048A">
        <w:rPr>
          <w:rFonts w:ascii="KFGQPC Uthmanic Script HAFS" w:cs="KFGQPC Uthmanic Script HAFS" w:hint="eastAsia"/>
          <w:sz w:val="28"/>
          <w:szCs w:val="28"/>
          <w:rtl/>
        </w:rPr>
        <w:t>اْ</w:t>
      </w:r>
      <w:r w:rsidR="00B06788" w:rsidRPr="0067048A">
        <w:rPr>
          <w:rFonts w:ascii="KFGQPC Uthmanic Script HAFS" w:cs="KFGQPC Uthmanic Script HAFS"/>
          <w:sz w:val="28"/>
          <w:szCs w:val="28"/>
          <w:rtl/>
        </w:rPr>
        <w:t xml:space="preserve"> </w:t>
      </w:r>
      <w:r w:rsidR="00B06788" w:rsidRPr="0067048A">
        <w:rPr>
          <w:rFonts w:ascii="KFGQPC Uthmanic Script HAFS" w:cs="KFGQPC Uthmanic Script HAFS" w:hint="eastAsia"/>
          <w:sz w:val="28"/>
          <w:szCs w:val="28"/>
          <w:rtl/>
        </w:rPr>
        <w:t>أَنَّمَا</w:t>
      </w:r>
      <w:r w:rsidR="00B06788" w:rsidRPr="0067048A">
        <w:rPr>
          <w:rFonts w:ascii="KFGQPC Uthmanic Script HAFS" w:cs="KFGQPC Uthmanic Script HAFS"/>
          <w:sz w:val="28"/>
          <w:szCs w:val="28"/>
          <w:rtl/>
        </w:rPr>
        <w:t xml:space="preserve"> </w:t>
      </w:r>
      <w:r w:rsidR="00B06788" w:rsidRPr="0067048A">
        <w:rPr>
          <w:rFonts w:ascii="KFGQPC Uthmanic Script HAFS" w:cs="KFGQPC Uthmanic Script HAFS" w:hint="eastAsia"/>
          <w:sz w:val="28"/>
          <w:szCs w:val="28"/>
          <w:rtl/>
        </w:rPr>
        <w:t>غَنِم</w:t>
      </w:r>
      <w:r w:rsidR="00B06788" w:rsidRPr="0067048A">
        <w:rPr>
          <w:rFonts w:ascii="KFGQPC Uthmanic Script HAFS" w:cs="KFGQPC Uthmanic Script HAFS" w:hint="cs"/>
          <w:sz w:val="28"/>
          <w:szCs w:val="28"/>
          <w:rtl/>
        </w:rPr>
        <w:t>ۡ</w:t>
      </w:r>
      <w:r w:rsidR="00B06788" w:rsidRPr="0067048A">
        <w:rPr>
          <w:rFonts w:ascii="KFGQPC Uthmanic Script HAFS" w:cs="KFGQPC Uthmanic Script HAFS" w:hint="eastAsia"/>
          <w:sz w:val="28"/>
          <w:szCs w:val="28"/>
          <w:rtl/>
        </w:rPr>
        <w:t>تُم</w:t>
      </w:r>
      <w:r w:rsidR="00B06788" w:rsidRPr="0067048A">
        <w:rPr>
          <w:rFonts w:ascii="KFGQPC Uthmanic Script HAFS" w:cs="KFGQPC Uthmanic Script HAFS"/>
          <w:sz w:val="28"/>
          <w:szCs w:val="28"/>
          <w:rtl/>
        </w:rPr>
        <w:t xml:space="preserve"> </w:t>
      </w:r>
      <w:r w:rsidR="00B06788" w:rsidRPr="0067048A">
        <w:rPr>
          <w:rFonts w:ascii="KFGQPC Uthmanic Script HAFS" w:cs="KFGQPC Uthmanic Script HAFS" w:hint="eastAsia"/>
          <w:sz w:val="28"/>
          <w:szCs w:val="28"/>
          <w:rtl/>
        </w:rPr>
        <w:t>مِّن</w:t>
      </w:r>
      <w:r w:rsidR="00B06788" w:rsidRPr="0067048A">
        <w:rPr>
          <w:rFonts w:ascii="KFGQPC Uthmanic Script HAFS" w:cs="KFGQPC Uthmanic Script HAFS"/>
          <w:sz w:val="28"/>
          <w:szCs w:val="28"/>
          <w:rtl/>
        </w:rPr>
        <w:t xml:space="preserve"> </w:t>
      </w:r>
      <w:r w:rsidR="00B06788" w:rsidRPr="0067048A">
        <w:rPr>
          <w:rFonts w:ascii="KFGQPC Uthmanic Script HAFS" w:cs="KFGQPC Uthmanic Script HAFS" w:hint="eastAsia"/>
          <w:sz w:val="28"/>
          <w:szCs w:val="28"/>
          <w:rtl/>
        </w:rPr>
        <w:t>شَي</w:t>
      </w:r>
      <w:r w:rsidR="00B06788" w:rsidRPr="0067048A">
        <w:rPr>
          <w:rFonts w:ascii="KFGQPC Uthmanic Script HAFS" w:cs="KFGQPC Uthmanic Script HAFS" w:hint="cs"/>
          <w:sz w:val="28"/>
          <w:szCs w:val="28"/>
          <w:rtl/>
        </w:rPr>
        <w:t>ۡ</w:t>
      </w:r>
      <w:r w:rsidR="00B06788" w:rsidRPr="0067048A">
        <w:rPr>
          <w:rFonts w:ascii="KFGQPC Uthmanic Script HAFS" w:cs="KFGQPC Uthmanic Script HAFS" w:hint="eastAsia"/>
          <w:sz w:val="28"/>
          <w:szCs w:val="28"/>
          <w:rtl/>
        </w:rPr>
        <w:t>ء</w:t>
      </w:r>
      <w:r w:rsidR="00B06788" w:rsidRPr="0067048A">
        <w:rPr>
          <w:rFonts w:ascii="KFGQPC Uthmanic Script HAFS" w:cs="KFGQPC Uthmanic Script HAFS" w:hint="cs"/>
          <w:sz w:val="28"/>
          <w:szCs w:val="28"/>
          <w:rtl/>
        </w:rPr>
        <w:t>ٖ</w:t>
      </w:r>
      <w:r w:rsidR="00B06788" w:rsidRPr="0067048A">
        <w:rPr>
          <w:rFonts w:ascii="KFGQPC Uthmanic Script HAFS" w:cs="KFGQPC Uthmanic Script HAFS"/>
          <w:sz w:val="28"/>
          <w:szCs w:val="28"/>
          <w:rtl/>
        </w:rPr>
        <w:t xml:space="preserve"> </w:t>
      </w:r>
      <w:r w:rsidR="00B06788" w:rsidRPr="0067048A">
        <w:rPr>
          <w:rFonts w:ascii="KFGQPC Uthmanic Script HAFS" w:cs="KFGQPC Uthmanic Script HAFS" w:hint="eastAsia"/>
          <w:sz w:val="28"/>
          <w:szCs w:val="28"/>
          <w:rtl/>
        </w:rPr>
        <w:t>فَأَنَّ</w:t>
      </w:r>
      <w:r w:rsidR="00B06788" w:rsidRPr="0067048A">
        <w:rPr>
          <w:rFonts w:ascii="KFGQPC Uthmanic Script HAFS" w:cs="KFGQPC Uthmanic Script HAFS"/>
          <w:sz w:val="28"/>
          <w:szCs w:val="28"/>
          <w:rtl/>
        </w:rPr>
        <w:t xml:space="preserve"> </w:t>
      </w:r>
      <w:r w:rsidR="00B06788" w:rsidRPr="0067048A">
        <w:rPr>
          <w:rFonts w:ascii="KFGQPC Uthmanic Script HAFS" w:cs="KFGQPC Uthmanic Script HAFS" w:hint="eastAsia"/>
          <w:sz w:val="28"/>
          <w:szCs w:val="28"/>
          <w:rtl/>
        </w:rPr>
        <w:t>لِلَّهِ</w:t>
      </w:r>
      <w:r w:rsidR="00B06788" w:rsidRPr="0067048A">
        <w:rPr>
          <w:rFonts w:ascii="KFGQPC Uthmanic Script HAFS" w:cs="KFGQPC Uthmanic Script HAFS"/>
          <w:sz w:val="28"/>
          <w:szCs w:val="28"/>
          <w:rtl/>
        </w:rPr>
        <w:t xml:space="preserve"> </w:t>
      </w:r>
      <w:r w:rsidR="00B06788" w:rsidRPr="0067048A">
        <w:rPr>
          <w:rFonts w:ascii="KFGQPC Uthmanic Script HAFS" w:cs="KFGQPC Uthmanic Script HAFS" w:hint="eastAsia"/>
          <w:sz w:val="28"/>
          <w:szCs w:val="28"/>
          <w:rtl/>
        </w:rPr>
        <w:t>خُمُسَهُ</w:t>
      </w:r>
      <w:r w:rsidR="00B06788" w:rsidRPr="0067048A">
        <w:rPr>
          <w:rFonts w:ascii="KFGQPC Uthmanic Script HAFS" w:cs="KFGQPC Uthmanic Script HAFS" w:hint="cs"/>
          <w:sz w:val="28"/>
          <w:szCs w:val="28"/>
          <w:rtl/>
        </w:rPr>
        <w:t>ۥ</w:t>
      </w:r>
      <w:r w:rsidR="00B06788" w:rsidRPr="0067048A">
        <w:rPr>
          <w:rFonts w:ascii="KFGQPC Uthmanic Script HAFS" w:cs="KFGQPC Uthmanic Script HAFS"/>
          <w:sz w:val="28"/>
          <w:szCs w:val="28"/>
          <w:rtl/>
        </w:rPr>
        <w:t xml:space="preserve"> </w:t>
      </w:r>
      <w:r w:rsidR="00B06788" w:rsidRPr="0067048A">
        <w:rPr>
          <w:rFonts w:ascii="KFGQPC Uthmanic Script HAFS" w:cs="KFGQPC Uthmanic Script HAFS" w:hint="eastAsia"/>
          <w:sz w:val="28"/>
          <w:szCs w:val="28"/>
          <w:rtl/>
        </w:rPr>
        <w:t>وَلِلرَّسُولِ</w:t>
      </w:r>
      <w:r w:rsidR="00B06788" w:rsidRPr="00995B26">
        <w:rPr>
          <w:rFonts w:ascii="KFGQPC Uthmanic Script HAFS" w:cs="Times New Roman" w:hint="cs"/>
          <w:sz w:val="28"/>
          <w:rtl/>
        </w:rPr>
        <w:t>...</w:t>
      </w:r>
      <w:r w:rsidR="00B06788" w:rsidRPr="00995B26">
        <w:rPr>
          <w:rFonts w:ascii="Abo-thar" w:hAnsi="Abo-thar" w:cs="Traditional Arabic" w:hint="cs"/>
          <w:b/>
          <w:sz w:val="28"/>
          <w:rtl/>
          <w:lang w:bidi="ar-SY"/>
        </w:rPr>
        <w:t>﴾</w:t>
      </w:r>
      <w:r w:rsidR="00B06788" w:rsidRPr="004408B9">
        <w:rPr>
          <w:rFonts w:ascii="Abo-thar" w:hAnsi="Abo-thar" w:cs="KFGQPC Uthman Taha Naskh" w:hint="cs"/>
          <w:b/>
          <w:sz w:val="28"/>
          <w:rtl/>
          <w:lang w:bidi="ar-SY"/>
        </w:rPr>
        <w:t xml:space="preserve">؟ </w:t>
      </w:r>
      <w:r w:rsidRPr="004408B9">
        <w:rPr>
          <w:rFonts w:ascii="Abo-thar" w:hAnsi="Abo-thar" w:cs="KFGQPC Uthman Taha Naskh"/>
          <w:bCs/>
          <w:sz w:val="28"/>
          <w:rtl/>
          <w:lang w:bidi="ar-SY"/>
        </w:rPr>
        <w:t>قَالَ</w:t>
      </w:r>
      <w:r w:rsidR="00217AB4" w:rsidRPr="004408B9">
        <w:rPr>
          <w:rFonts w:ascii="Abo-thar" w:hAnsi="Abo-thar" w:cs="KFGQPC Uthman Taha Naskh" w:hint="cs"/>
          <w:bCs/>
          <w:sz w:val="28"/>
          <w:rtl/>
          <w:lang w:bidi="ar-SY"/>
        </w:rPr>
        <w:t>:</w:t>
      </w:r>
      <w:r w:rsidRPr="004408B9">
        <w:rPr>
          <w:rFonts w:ascii="Abo-thar" w:hAnsi="Abo-thar" w:cs="KFGQPC Uthman Taha Naskh"/>
          <w:bCs/>
          <w:sz w:val="28"/>
          <w:rtl/>
          <w:lang w:bidi="ar-SY"/>
        </w:rPr>
        <w:t xml:space="preserve"> هِيَ واللهِ الإِفَادَةُ يَوْماً بِيَوْمٍ إِلَّا أَنَّ أَبِي </w:t>
      </w:r>
      <w:r w:rsidR="00BC4BA9" w:rsidRPr="00BC4BA9">
        <w:rPr>
          <w:rFonts w:ascii="Abo-thar" w:hAnsi="Abo-thar" w:cs="CTraditional Arabic" w:hint="cs"/>
          <w:sz w:val="28"/>
          <w:rtl/>
          <w:lang w:bidi="ar-SY"/>
        </w:rPr>
        <w:t>÷</w:t>
      </w:r>
      <w:r w:rsidRPr="004408B9">
        <w:rPr>
          <w:rFonts w:ascii="Abo-thar" w:hAnsi="Abo-thar" w:cs="KFGQPC Uthman Taha Naskh"/>
          <w:bCs/>
          <w:sz w:val="28"/>
          <w:rtl/>
          <w:lang w:bidi="ar-SY"/>
        </w:rPr>
        <w:t xml:space="preserve"> جَعَلَ شِيعَتَنَا مِنْ ذَلِكَ فِي حِلٍّ لِيَزْكُو</w:t>
      </w:r>
      <w:r w:rsidRPr="004408B9">
        <w:rPr>
          <w:rFonts w:ascii="Abo-thar" w:hAnsi="Abo-thar" w:cs="KFGQPC Uthman Taha Naskh" w:hint="cs"/>
          <w:bCs/>
          <w:sz w:val="28"/>
          <w:rtl/>
          <w:lang w:bidi="ar-SY"/>
        </w:rPr>
        <w:t>ْ</w:t>
      </w:r>
      <w:r w:rsidRPr="004408B9">
        <w:rPr>
          <w:rFonts w:ascii="Abo-thar" w:hAnsi="Abo-thar" w:cs="KFGQPC Uthman Taha Naskh"/>
          <w:bCs/>
          <w:sz w:val="28"/>
          <w:rtl/>
          <w:lang w:bidi="ar-SY"/>
        </w:rPr>
        <w:t>ا</w:t>
      </w:r>
      <w:r w:rsidR="00EF2588" w:rsidRPr="004408B9">
        <w:rPr>
          <w:rFonts w:ascii="Abo-thar" w:hAnsi="Abo-thar" w:cs="KFGQPC Uthman Taha Naskh" w:hint="cs"/>
          <w:sz w:val="28"/>
          <w:rtl/>
          <w:lang w:bidi="ar-SY"/>
        </w:rPr>
        <w:t>»</w:t>
      </w:r>
      <w:r w:rsidR="00CF46B9" w:rsidRPr="0021507A">
        <w:rPr>
          <w:rFonts w:ascii="Abo-thar" w:hAnsi="Abo-thar" w:cs="Arabic11 BT"/>
          <w:sz w:val="28"/>
          <w:vertAlign w:val="superscript"/>
          <w:rtl/>
          <w:lang w:bidi="ar-SY"/>
        </w:rPr>
        <w:t>(</w:t>
      </w:r>
      <w:r w:rsidR="00CF46B9" w:rsidRPr="0021507A">
        <w:rPr>
          <w:rStyle w:val="FootnoteReference"/>
          <w:rFonts w:ascii="Abo-thar" w:hAnsi="Abo-thar" w:cs="Arabic11 BT"/>
          <w:sz w:val="28"/>
          <w:rtl/>
          <w:lang w:bidi="ar-SY"/>
        </w:rPr>
        <w:footnoteReference w:id="335"/>
      </w:r>
      <w:r w:rsidR="00CF46B9" w:rsidRPr="0021507A">
        <w:rPr>
          <w:rFonts w:ascii="Abo-thar" w:hAnsi="Abo-thar" w:cs="Arabic11 BT"/>
          <w:sz w:val="28"/>
          <w:vertAlign w:val="superscript"/>
          <w:rtl/>
          <w:lang w:bidi="ar-SY"/>
        </w:rPr>
        <w:t>)</w:t>
      </w:r>
      <w:r w:rsidR="00217AB4" w:rsidRPr="00995B26">
        <w:rPr>
          <w:rFonts w:ascii="Abo-thar" w:hAnsi="Abo-thar" w:hint="cs"/>
          <w:sz w:val="28"/>
          <w:rtl/>
          <w:lang w:bidi="ar-SY"/>
        </w:rPr>
        <w:t>.</w:t>
      </w:r>
    </w:p>
    <w:p w:rsidR="005C664D" w:rsidRPr="003F3B94" w:rsidRDefault="005C664D" w:rsidP="003F3B94">
      <w:pPr>
        <w:pStyle w:val="a0"/>
        <w:rPr>
          <w:rtl/>
          <w:lang w:bidi="ar-SY"/>
        </w:rPr>
      </w:pPr>
      <w:r w:rsidRPr="003F3B94">
        <w:rPr>
          <w:rFonts w:ascii="Abo-thar" w:hAnsi="Abo-thar" w:hint="cs"/>
          <w:sz w:val="28"/>
          <w:rtl/>
          <w:lang w:bidi="ar-SY"/>
        </w:rPr>
        <w:t>8</w:t>
      </w:r>
      <w:r w:rsidR="00217AB4" w:rsidRPr="003F3B94">
        <w:rPr>
          <w:rFonts w:ascii="Abo-thar" w:hAnsi="Abo-thar" w:hint="cs"/>
          <w:sz w:val="28"/>
          <w:rtl/>
          <w:lang w:bidi="ar-SY"/>
        </w:rPr>
        <w:t>-</w:t>
      </w:r>
      <w:r w:rsidRPr="003F3B94">
        <w:rPr>
          <w:rFonts w:ascii="Abo-thar" w:hAnsi="Abo-thar" w:hint="cs"/>
          <w:sz w:val="28"/>
          <w:rtl/>
          <w:lang w:bidi="ar-SY"/>
        </w:rPr>
        <w:t xml:space="preserve"> وأيضاً في «التهذيب» </w:t>
      </w:r>
      <w:r w:rsidR="007B5F29" w:rsidRPr="003F3B94">
        <w:rPr>
          <w:rFonts w:ascii="Abo-thar" w:hAnsi="Abo-thar" w:hint="cs"/>
          <w:sz w:val="28"/>
          <w:rtl/>
          <w:lang w:bidi="ar-SY"/>
        </w:rPr>
        <w:t>و«</w:t>
      </w:r>
      <w:r w:rsidRPr="003F3B94">
        <w:rPr>
          <w:rFonts w:ascii="Abo-thar" w:hAnsi="Abo-thar" w:hint="cs"/>
          <w:sz w:val="28"/>
          <w:rtl/>
          <w:lang w:bidi="ar-SY"/>
        </w:rPr>
        <w:t>الاستبصار</w:t>
      </w:r>
      <w:r w:rsidRPr="003F3B94">
        <w:rPr>
          <w:rFonts w:ascii="Abo-thar" w:hAnsi="Abo-thar"/>
          <w:sz w:val="28"/>
          <w:rtl/>
          <w:lang w:bidi="ar-SY"/>
        </w:rPr>
        <w:t>»</w:t>
      </w:r>
      <w:r w:rsidR="007B5F29" w:rsidRPr="003F3B94">
        <w:rPr>
          <w:rFonts w:ascii="Abo-thar" w:hAnsi="Abo-thar" w:hint="cs"/>
          <w:sz w:val="28"/>
          <w:rtl/>
          <w:lang w:bidi="ar-SY"/>
        </w:rPr>
        <w:t xml:space="preserve"> للطوسي،</w:t>
      </w:r>
      <w:r w:rsidRPr="003F3B94">
        <w:rPr>
          <w:rFonts w:ascii="Abo-thar" w:hAnsi="Abo-thar" w:hint="cs"/>
          <w:sz w:val="28"/>
          <w:rtl/>
          <w:lang w:bidi="ar-SY"/>
        </w:rPr>
        <w:t xml:space="preserve"> </w:t>
      </w:r>
      <w:r w:rsidR="007B5F29" w:rsidRPr="003F3B94">
        <w:rPr>
          <w:rFonts w:ascii="Abo-thar" w:hAnsi="Abo-thar" w:hint="cs"/>
          <w:sz w:val="28"/>
          <w:rtl/>
          <w:lang w:bidi="ar-SY"/>
        </w:rPr>
        <w:t>و</w:t>
      </w:r>
      <w:r w:rsidRPr="003F3B94">
        <w:rPr>
          <w:rFonts w:ascii="Abo-thar" w:hAnsi="Abo-thar" w:hint="cs"/>
          <w:sz w:val="28"/>
          <w:rtl/>
          <w:lang w:bidi="ar-SY"/>
        </w:rPr>
        <w:t xml:space="preserve">في </w:t>
      </w:r>
      <w:r w:rsidRPr="003F3B94">
        <w:rPr>
          <w:rFonts w:ascii="Abo-thar" w:hAnsi="Abo-thar"/>
          <w:sz w:val="28"/>
          <w:rtl/>
          <w:lang w:bidi="ar-SY"/>
        </w:rPr>
        <w:t>«</w:t>
      </w:r>
      <w:r w:rsidRPr="003F3B94">
        <w:rPr>
          <w:rFonts w:ascii="Abo-thar" w:hAnsi="Abo-thar" w:hint="cs"/>
          <w:sz w:val="28"/>
          <w:rtl/>
          <w:lang w:bidi="ar-SY"/>
        </w:rPr>
        <w:t>الكافي</w:t>
      </w:r>
      <w:r w:rsidRPr="003F3B94">
        <w:rPr>
          <w:rFonts w:ascii="Abo-thar" w:hAnsi="Abo-thar"/>
          <w:sz w:val="28"/>
          <w:rtl/>
          <w:lang w:bidi="ar-SY"/>
        </w:rPr>
        <w:t>»</w:t>
      </w:r>
      <w:r w:rsidR="007B5F29" w:rsidRPr="003F3B94">
        <w:rPr>
          <w:rFonts w:ascii="Abo-thar" w:hAnsi="Abo-thar" w:hint="cs"/>
          <w:sz w:val="28"/>
          <w:rtl/>
          <w:lang w:bidi="ar-SY"/>
        </w:rPr>
        <w:t xml:space="preserve"> للكليني</w:t>
      </w:r>
      <w:r w:rsidRPr="003F3B94">
        <w:rPr>
          <w:rFonts w:ascii="Abo-thar" w:hAnsi="Abo-thar" w:hint="cs"/>
          <w:sz w:val="28"/>
          <w:rtl/>
          <w:lang w:bidi="ar-SY"/>
        </w:rPr>
        <w:t xml:space="preserve"> بإسنادهم </w:t>
      </w:r>
      <w:r w:rsidR="00EF2588" w:rsidRPr="004408B9">
        <w:rPr>
          <w:rFonts w:ascii="Abo-thar" w:hAnsi="Abo-thar" w:cs="KFGQPC Uthman Taha Naskh" w:hint="cs"/>
          <w:sz w:val="28"/>
          <w:rtl/>
          <w:lang w:bidi="ar-SY"/>
        </w:rPr>
        <w:t>«</w:t>
      </w:r>
      <w:r w:rsidR="00217AB4" w:rsidRPr="004408B9">
        <w:rPr>
          <w:rFonts w:ascii="Abo-thar" w:hAnsi="Abo-thar" w:cs="KFGQPC Uthman Taha Naskh" w:hint="cs"/>
          <w:sz w:val="28"/>
          <w:rtl/>
          <w:lang w:bidi="ar-SY"/>
        </w:rPr>
        <w:t>...</w:t>
      </w:r>
      <w:r w:rsidRPr="004408B9">
        <w:rPr>
          <w:rFonts w:ascii="Abo-thar" w:hAnsi="Abo-thar" w:cs="KFGQPC Uthman Taha Naskh"/>
          <w:b/>
          <w:bCs/>
          <w:sz w:val="28"/>
          <w:rtl/>
          <w:lang w:bidi="ar-SY"/>
        </w:rPr>
        <w:t xml:space="preserve">عَنْ مُحَمَّدِ بْنِ مُسْلِمٍ عَنْ أَحَدِهِمَا </w:t>
      </w:r>
      <w:r w:rsidR="00BC4BA9" w:rsidRPr="00BC4BA9">
        <w:rPr>
          <w:rFonts w:ascii="Abo-thar" w:hAnsi="Abo-thar" w:cs="CTraditional Arabic"/>
          <w:b/>
          <w:sz w:val="28"/>
          <w:rtl/>
          <w:lang w:bidi="ar-SY"/>
        </w:rPr>
        <w:t>÷</w:t>
      </w:r>
      <w:r w:rsidRPr="004408B9">
        <w:rPr>
          <w:rFonts w:ascii="Abo-thar" w:hAnsi="Abo-thar" w:cs="KFGQPC Uthman Taha Naskh"/>
          <w:b/>
          <w:bCs/>
          <w:sz w:val="28"/>
          <w:rtl/>
          <w:lang w:bidi="ar-SY"/>
        </w:rPr>
        <w:t xml:space="preserve"> قَالَ</w:t>
      </w:r>
      <w:r w:rsidR="00217AB4" w:rsidRPr="004408B9">
        <w:rPr>
          <w:rFonts w:ascii="Abo-thar" w:hAnsi="Abo-thar" w:cs="KFGQPC Uthman Taha Naskh" w:hint="cs"/>
          <w:b/>
          <w:bCs/>
          <w:sz w:val="28"/>
          <w:rtl/>
          <w:lang w:bidi="ar-SY"/>
        </w:rPr>
        <w:t>:</w:t>
      </w:r>
      <w:r w:rsidRPr="004408B9">
        <w:rPr>
          <w:rFonts w:ascii="Abo-thar" w:hAnsi="Abo-thar" w:cs="KFGQPC Uthman Taha Naskh"/>
          <w:b/>
          <w:bCs/>
          <w:sz w:val="28"/>
          <w:rtl/>
          <w:lang w:bidi="ar-SY"/>
        </w:rPr>
        <w:t xml:space="preserve"> إِنَّ أَشَدَّ مَا فِيهِ النَّاسُ يَوْمَ القِيَامَةِ أَنْ يَقُومَ صَاحِبُ الخُمُسِ فَيَقُولَ يَا رَبِّ خُمُس</w:t>
      </w:r>
      <w:r w:rsidRPr="004408B9">
        <w:rPr>
          <w:rFonts w:ascii="Abo-thar" w:hAnsi="Abo-thar" w:cs="KFGQPC Uthman Taha Naskh" w:hint="cs"/>
          <w:b/>
          <w:bCs/>
          <w:sz w:val="28"/>
          <w:rtl/>
          <w:lang w:bidi="ar-SY"/>
        </w:rPr>
        <w:t>ـ</w:t>
      </w:r>
      <w:r w:rsidRPr="004408B9">
        <w:rPr>
          <w:rFonts w:ascii="Abo-thar" w:hAnsi="Abo-thar" w:cs="KFGQPC Uthman Taha Naskh"/>
          <w:b/>
          <w:bCs/>
          <w:sz w:val="28"/>
          <w:rtl/>
          <w:lang w:bidi="ar-SY"/>
        </w:rPr>
        <w:t>ِي وَقَدْ طَيَّبْنَا ذَلِكَ لِشِيعَتِنَا لِتَطِيبَ وِلَادَتُهُمْ ولِتَزْكُوَ وِلَادَتُهُم</w:t>
      </w:r>
      <w:r w:rsidRPr="004408B9">
        <w:rPr>
          <w:rFonts w:ascii="Abo-thar" w:hAnsi="Abo-thar" w:cs="KFGQPC Uthman Taha Naskh" w:hint="cs"/>
          <w:b/>
          <w:bCs/>
          <w:sz w:val="28"/>
          <w:rtl/>
          <w:lang w:bidi="ar-SY"/>
        </w:rPr>
        <w:t>ْ</w:t>
      </w:r>
      <w:r w:rsidR="00EF2588" w:rsidRPr="004408B9">
        <w:rPr>
          <w:rFonts w:ascii="Abo-thar" w:hAnsi="Abo-thar" w:cs="KFGQPC Uthman Taha Naskh" w:hint="cs"/>
          <w:sz w:val="28"/>
          <w:rtl/>
          <w:lang w:bidi="ar-SY"/>
        </w:rPr>
        <w:t>»</w:t>
      </w:r>
      <w:r w:rsidR="00CF46B9" w:rsidRPr="0021507A">
        <w:rPr>
          <w:rFonts w:ascii="Abo-thar" w:hAnsi="Abo-thar" w:cs="Arabic11 BT"/>
          <w:sz w:val="28"/>
          <w:vertAlign w:val="superscript"/>
          <w:rtl/>
          <w:lang w:bidi="ar-SY"/>
        </w:rPr>
        <w:t>(</w:t>
      </w:r>
      <w:r w:rsidR="00CF46B9" w:rsidRPr="0021507A">
        <w:rPr>
          <w:rStyle w:val="FootnoteReference"/>
          <w:rFonts w:ascii="Abo-thar" w:hAnsi="Abo-thar" w:cs="Arabic11 BT"/>
          <w:sz w:val="28"/>
          <w:rtl/>
          <w:lang w:bidi="ar-SY"/>
        </w:rPr>
        <w:footnoteReference w:id="336"/>
      </w:r>
      <w:r w:rsidR="00CF46B9" w:rsidRPr="0021507A">
        <w:rPr>
          <w:rFonts w:ascii="Abo-thar" w:hAnsi="Abo-thar" w:cs="Arabic11 BT"/>
          <w:sz w:val="28"/>
          <w:vertAlign w:val="superscript"/>
          <w:rtl/>
          <w:lang w:bidi="ar-SY"/>
        </w:rPr>
        <w:t>)</w:t>
      </w:r>
      <w:r w:rsidR="00217AB4" w:rsidRPr="003F3B94">
        <w:rPr>
          <w:rFonts w:ascii="Abo-thar" w:hAnsi="Abo-thar" w:hint="cs"/>
          <w:sz w:val="28"/>
          <w:rtl/>
          <w:lang w:bidi="ar-SY"/>
        </w:rPr>
        <w:t>.</w:t>
      </w:r>
    </w:p>
    <w:p w:rsidR="005C664D" w:rsidRPr="00995B26" w:rsidRDefault="005C664D" w:rsidP="003F3B94">
      <w:pPr>
        <w:pStyle w:val="a0"/>
        <w:rPr>
          <w:rFonts w:hint="cs"/>
          <w:rtl/>
          <w:lang w:bidi="ar-SY"/>
        </w:rPr>
      </w:pPr>
      <w:r w:rsidRPr="003F3B94">
        <w:rPr>
          <w:rFonts w:ascii="Abo-thar" w:hAnsi="Abo-thar" w:hint="cs"/>
          <w:sz w:val="28"/>
          <w:rtl/>
          <w:lang w:bidi="ar-SY"/>
        </w:rPr>
        <w:t>9</w:t>
      </w:r>
      <w:r w:rsidR="00217AB4" w:rsidRPr="003F3B94">
        <w:rPr>
          <w:rFonts w:ascii="Abo-thar" w:hAnsi="Abo-thar" w:hint="cs"/>
          <w:sz w:val="28"/>
          <w:rtl/>
          <w:lang w:bidi="ar-SY"/>
        </w:rPr>
        <w:t>-</w:t>
      </w:r>
      <w:r w:rsidRPr="003F3B94">
        <w:rPr>
          <w:rFonts w:ascii="Abo-thar" w:hAnsi="Abo-thar" w:hint="cs"/>
          <w:sz w:val="28"/>
          <w:rtl/>
          <w:lang w:bidi="ar-SY"/>
        </w:rPr>
        <w:t xml:space="preserve"> وروى الحرّ العاملي في </w:t>
      </w:r>
      <w:r w:rsidRPr="003F3B94">
        <w:rPr>
          <w:rFonts w:ascii="Abo-thar" w:hAnsi="Abo-thar"/>
          <w:sz w:val="28"/>
          <w:rtl/>
          <w:lang w:bidi="ar-SY"/>
        </w:rPr>
        <w:t>«</w:t>
      </w:r>
      <w:r w:rsidRPr="003F3B94">
        <w:rPr>
          <w:rFonts w:ascii="Abo-thar" w:hAnsi="Abo-thar" w:hint="cs"/>
          <w:sz w:val="28"/>
          <w:rtl/>
          <w:lang w:bidi="ar-SY"/>
        </w:rPr>
        <w:t>وسائل الشيعة</w:t>
      </w:r>
      <w:r w:rsidRPr="003F3B94">
        <w:rPr>
          <w:rFonts w:ascii="Abo-thar" w:hAnsi="Abo-thar"/>
          <w:sz w:val="28"/>
          <w:rtl/>
          <w:lang w:bidi="ar-SY"/>
        </w:rPr>
        <w:t>»</w:t>
      </w:r>
      <w:r w:rsidRPr="003F3B94">
        <w:rPr>
          <w:rFonts w:ascii="Abo-thar" w:hAnsi="Abo-thar" w:hint="cs"/>
          <w:sz w:val="28"/>
          <w:rtl/>
          <w:lang w:bidi="ar-SY"/>
        </w:rPr>
        <w:t xml:space="preserve"> </w:t>
      </w:r>
      <w:r w:rsidR="007B5F29" w:rsidRPr="003F3B94">
        <w:rPr>
          <w:rFonts w:ascii="Abo-thar" w:hAnsi="Abo-thar" w:hint="cs"/>
          <w:sz w:val="28"/>
          <w:rtl/>
          <w:lang w:bidi="ar-SY"/>
        </w:rPr>
        <w:t>ن</w:t>
      </w:r>
      <w:r w:rsidRPr="003F3B94">
        <w:rPr>
          <w:rFonts w:ascii="Abo-thar" w:hAnsi="Abo-thar" w:hint="cs"/>
          <w:sz w:val="28"/>
          <w:rtl/>
          <w:lang w:bidi="ar-SY"/>
        </w:rPr>
        <w:t xml:space="preserve">قلاً عن الكافي للكليني بإسناده </w:t>
      </w:r>
      <w:r w:rsidR="00EF2588" w:rsidRPr="004408B9">
        <w:rPr>
          <w:rFonts w:ascii="Abo-thar" w:hAnsi="Abo-thar" w:cs="KFGQPC Uthman Taha Naskh" w:hint="cs"/>
          <w:sz w:val="28"/>
          <w:rtl/>
          <w:lang w:bidi="ar-SY"/>
        </w:rPr>
        <w:t>«</w:t>
      </w:r>
      <w:r w:rsidR="00217AB4" w:rsidRPr="004408B9">
        <w:rPr>
          <w:rFonts w:ascii="Abo-thar" w:hAnsi="Abo-thar" w:cs="KFGQPC Uthman Taha Naskh" w:hint="cs"/>
          <w:sz w:val="28"/>
          <w:rtl/>
          <w:lang w:bidi="ar-SY"/>
        </w:rPr>
        <w:t>...</w:t>
      </w:r>
      <w:r w:rsidRPr="004408B9">
        <w:rPr>
          <w:rFonts w:ascii="Abo-thar" w:hAnsi="Abo-thar" w:cs="KFGQPC Uthman Taha Naskh"/>
          <w:b/>
          <w:bCs/>
          <w:sz w:val="28"/>
          <w:rtl/>
          <w:lang w:bidi="ar-SY"/>
        </w:rPr>
        <w:t xml:space="preserve">عَنْ عَاصِمِ بْنِ حُمَيْدٍ عَنْ أَبِي حَمْزَةَ عَنْ أَبِي جَعْفَرٍ </w:t>
      </w:r>
      <w:r w:rsidR="00BC4BA9" w:rsidRPr="00BC4BA9">
        <w:rPr>
          <w:rFonts w:ascii="Abo-thar" w:hAnsi="Abo-thar" w:cs="CTraditional Arabic"/>
          <w:b/>
          <w:sz w:val="28"/>
          <w:rtl/>
          <w:lang w:bidi="ar-SY"/>
        </w:rPr>
        <w:t>÷</w:t>
      </w:r>
      <w:r w:rsidRPr="004408B9">
        <w:rPr>
          <w:rFonts w:ascii="Abo-thar" w:hAnsi="Abo-thar" w:cs="KFGQPC Uthman Taha Naskh"/>
          <w:b/>
          <w:bCs/>
          <w:sz w:val="28"/>
          <w:rtl/>
          <w:lang w:bidi="ar-SY"/>
        </w:rPr>
        <w:t xml:space="preserve"> فِي حَدِيثٍ قَالَ</w:t>
      </w:r>
      <w:r w:rsidR="00217AB4" w:rsidRPr="004408B9">
        <w:rPr>
          <w:rFonts w:ascii="Abo-thar" w:hAnsi="Abo-thar" w:cs="KFGQPC Uthman Taha Naskh" w:hint="cs"/>
          <w:b/>
          <w:bCs/>
          <w:sz w:val="28"/>
          <w:rtl/>
          <w:lang w:bidi="ar-SY"/>
        </w:rPr>
        <w:t>:</w:t>
      </w:r>
      <w:r w:rsidRPr="004408B9">
        <w:rPr>
          <w:rFonts w:ascii="Abo-thar" w:hAnsi="Abo-thar" w:cs="KFGQPC Uthman Taha Naskh"/>
          <w:b/>
          <w:bCs/>
          <w:sz w:val="28"/>
          <w:rtl/>
          <w:lang w:bidi="ar-SY"/>
        </w:rPr>
        <w:t xml:space="preserve"> إِنَّ اللهَ جَعَلَ لَنَا أَهْلَ البَيْتِ سِهَاماً ثَلَاثَةً فِي جَمِيعِ الفَيْ‏ءِ فَقَالَ تَبَارَكَ وتَعَالَى</w:t>
      </w:r>
      <w:r w:rsidR="00B06788" w:rsidRPr="004408B9">
        <w:rPr>
          <w:rFonts w:ascii="Abo-thar" w:hAnsi="Abo-thar" w:cs="KFGQPC Uthman Taha Naskh" w:hint="cs"/>
          <w:b/>
          <w:bCs/>
          <w:sz w:val="28"/>
          <w:rtl/>
          <w:lang w:bidi="ar-SY"/>
        </w:rPr>
        <w:t>:</w:t>
      </w:r>
      <w:r w:rsidR="00B06788" w:rsidRPr="003F3B94">
        <w:rPr>
          <w:rFonts w:ascii="Abo-thar" w:hAnsi="Abo-thar" w:hint="cs"/>
          <w:b/>
          <w:bCs/>
          <w:sz w:val="28"/>
          <w:rtl/>
          <w:lang w:bidi="ar-SY"/>
        </w:rPr>
        <w:t xml:space="preserve"> </w:t>
      </w:r>
      <w:r w:rsidR="00B06788" w:rsidRPr="00995B26">
        <w:rPr>
          <w:rFonts w:ascii="Abo-thar" w:hAnsi="Abo-thar" w:cs="Traditional Arabic" w:hint="cs"/>
          <w:sz w:val="28"/>
          <w:rtl/>
          <w:lang w:bidi="ar-SY"/>
        </w:rPr>
        <w:t>﴿</w:t>
      </w:r>
      <w:r w:rsidR="00B06788" w:rsidRPr="0067048A">
        <w:rPr>
          <w:rFonts w:ascii="KFGQPC Uthmanic Script HAFS" w:cs="KFGQPC Uthmanic Script HAFS" w:hint="eastAsia"/>
          <w:sz w:val="28"/>
          <w:szCs w:val="28"/>
          <w:rtl/>
        </w:rPr>
        <w:t>وَ</w:t>
      </w:r>
      <w:r w:rsidR="00B06788" w:rsidRPr="0067048A">
        <w:rPr>
          <w:rFonts w:ascii="KFGQPC Uthmanic Script HAFS" w:cs="KFGQPC Uthmanic Script HAFS" w:hint="cs"/>
          <w:sz w:val="28"/>
          <w:szCs w:val="28"/>
          <w:rtl/>
        </w:rPr>
        <w:t>ٱ</w:t>
      </w:r>
      <w:r w:rsidR="00B06788" w:rsidRPr="0067048A">
        <w:rPr>
          <w:rFonts w:ascii="KFGQPC Uthmanic Script HAFS" w:cs="KFGQPC Uthmanic Script HAFS" w:hint="eastAsia"/>
          <w:sz w:val="28"/>
          <w:szCs w:val="28"/>
          <w:rtl/>
        </w:rPr>
        <w:t>ع</w:t>
      </w:r>
      <w:r w:rsidR="00B06788" w:rsidRPr="0067048A">
        <w:rPr>
          <w:rFonts w:ascii="KFGQPC Uthmanic Script HAFS" w:cs="KFGQPC Uthmanic Script HAFS" w:hint="cs"/>
          <w:sz w:val="28"/>
          <w:szCs w:val="28"/>
          <w:rtl/>
        </w:rPr>
        <w:t>ۡ</w:t>
      </w:r>
      <w:r w:rsidR="00B06788" w:rsidRPr="0067048A">
        <w:rPr>
          <w:rFonts w:ascii="KFGQPC Uthmanic Script HAFS" w:cs="KFGQPC Uthmanic Script HAFS" w:hint="eastAsia"/>
          <w:sz w:val="28"/>
          <w:szCs w:val="28"/>
          <w:rtl/>
        </w:rPr>
        <w:t>لَمُو</w:t>
      </w:r>
      <w:r w:rsidR="00B06788" w:rsidRPr="0067048A">
        <w:rPr>
          <w:rFonts w:ascii="KFGQPC Uthmanic Script HAFS" w:cs="KFGQPC Uthmanic Script HAFS" w:hint="cs"/>
          <w:sz w:val="28"/>
          <w:szCs w:val="28"/>
          <w:rtl/>
        </w:rPr>
        <w:t>ٓ</w:t>
      </w:r>
      <w:r w:rsidR="00B06788" w:rsidRPr="0067048A">
        <w:rPr>
          <w:rFonts w:ascii="KFGQPC Uthmanic Script HAFS" w:cs="KFGQPC Uthmanic Script HAFS" w:hint="eastAsia"/>
          <w:sz w:val="28"/>
          <w:szCs w:val="28"/>
          <w:rtl/>
        </w:rPr>
        <w:t>اْ</w:t>
      </w:r>
      <w:r w:rsidR="00B06788" w:rsidRPr="0067048A">
        <w:rPr>
          <w:rFonts w:ascii="KFGQPC Uthmanic Script HAFS" w:cs="KFGQPC Uthmanic Script HAFS"/>
          <w:sz w:val="28"/>
          <w:szCs w:val="28"/>
          <w:rtl/>
        </w:rPr>
        <w:t xml:space="preserve"> </w:t>
      </w:r>
      <w:r w:rsidR="00B06788" w:rsidRPr="0067048A">
        <w:rPr>
          <w:rFonts w:ascii="KFGQPC Uthmanic Script HAFS" w:cs="KFGQPC Uthmanic Script HAFS" w:hint="eastAsia"/>
          <w:sz w:val="28"/>
          <w:szCs w:val="28"/>
          <w:rtl/>
        </w:rPr>
        <w:t>أَنَّمَا</w:t>
      </w:r>
      <w:r w:rsidR="00B06788" w:rsidRPr="0067048A">
        <w:rPr>
          <w:rFonts w:ascii="KFGQPC Uthmanic Script HAFS" w:cs="KFGQPC Uthmanic Script HAFS"/>
          <w:sz w:val="28"/>
          <w:szCs w:val="28"/>
          <w:rtl/>
        </w:rPr>
        <w:t xml:space="preserve"> </w:t>
      </w:r>
      <w:r w:rsidR="00B06788" w:rsidRPr="0067048A">
        <w:rPr>
          <w:rFonts w:ascii="KFGQPC Uthmanic Script HAFS" w:cs="KFGQPC Uthmanic Script HAFS" w:hint="eastAsia"/>
          <w:sz w:val="28"/>
          <w:szCs w:val="28"/>
          <w:rtl/>
        </w:rPr>
        <w:t>غَنِم</w:t>
      </w:r>
      <w:r w:rsidR="00B06788" w:rsidRPr="0067048A">
        <w:rPr>
          <w:rFonts w:ascii="KFGQPC Uthmanic Script HAFS" w:cs="KFGQPC Uthmanic Script HAFS" w:hint="cs"/>
          <w:sz w:val="28"/>
          <w:szCs w:val="28"/>
          <w:rtl/>
        </w:rPr>
        <w:t>ۡ</w:t>
      </w:r>
      <w:r w:rsidR="00B06788" w:rsidRPr="0067048A">
        <w:rPr>
          <w:rFonts w:ascii="KFGQPC Uthmanic Script HAFS" w:cs="KFGQPC Uthmanic Script HAFS" w:hint="eastAsia"/>
          <w:sz w:val="28"/>
          <w:szCs w:val="28"/>
          <w:rtl/>
        </w:rPr>
        <w:t>تُم</w:t>
      </w:r>
      <w:r w:rsidR="00B06788" w:rsidRPr="0067048A">
        <w:rPr>
          <w:rFonts w:ascii="KFGQPC Uthmanic Script HAFS" w:cs="KFGQPC Uthmanic Script HAFS"/>
          <w:sz w:val="28"/>
          <w:szCs w:val="28"/>
          <w:rtl/>
        </w:rPr>
        <w:t xml:space="preserve"> </w:t>
      </w:r>
      <w:r w:rsidR="00B06788" w:rsidRPr="0067048A">
        <w:rPr>
          <w:rFonts w:ascii="KFGQPC Uthmanic Script HAFS" w:cs="KFGQPC Uthmanic Script HAFS" w:hint="eastAsia"/>
          <w:sz w:val="28"/>
          <w:szCs w:val="28"/>
          <w:rtl/>
        </w:rPr>
        <w:t>مِّن</w:t>
      </w:r>
      <w:r w:rsidR="00B06788" w:rsidRPr="0067048A">
        <w:rPr>
          <w:rFonts w:ascii="KFGQPC Uthmanic Script HAFS" w:cs="KFGQPC Uthmanic Script HAFS"/>
          <w:sz w:val="28"/>
          <w:szCs w:val="28"/>
          <w:rtl/>
        </w:rPr>
        <w:t xml:space="preserve"> </w:t>
      </w:r>
      <w:r w:rsidR="00B06788" w:rsidRPr="0067048A">
        <w:rPr>
          <w:rFonts w:ascii="KFGQPC Uthmanic Script HAFS" w:cs="KFGQPC Uthmanic Script HAFS" w:hint="eastAsia"/>
          <w:sz w:val="28"/>
          <w:szCs w:val="28"/>
          <w:rtl/>
        </w:rPr>
        <w:t>شَي</w:t>
      </w:r>
      <w:r w:rsidR="00B06788" w:rsidRPr="0067048A">
        <w:rPr>
          <w:rFonts w:ascii="KFGQPC Uthmanic Script HAFS" w:cs="KFGQPC Uthmanic Script HAFS" w:hint="cs"/>
          <w:sz w:val="28"/>
          <w:szCs w:val="28"/>
          <w:rtl/>
        </w:rPr>
        <w:t>ۡ</w:t>
      </w:r>
      <w:r w:rsidR="00B06788" w:rsidRPr="0067048A">
        <w:rPr>
          <w:rFonts w:ascii="KFGQPC Uthmanic Script HAFS" w:cs="KFGQPC Uthmanic Script HAFS" w:hint="eastAsia"/>
          <w:sz w:val="28"/>
          <w:szCs w:val="28"/>
          <w:rtl/>
        </w:rPr>
        <w:t>ء</w:t>
      </w:r>
      <w:r w:rsidR="00B06788" w:rsidRPr="0067048A">
        <w:rPr>
          <w:rFonts w:ascii="KFGQPC Uthmanic Script HAFS" w:cs="KFGQPC Uthmanic Script HAFS" w:hint="cs"/>
          <w:sz w:val="28"/>
          <w:szCs w:val="28"/>
          <w:rtl/>
        </w:rPr>
        <w:t>ٖ</w:t>
      </w:r>
      <w:r w:rsidR="00B06788" w:rsidRPr="0067048A">
        <w:rPr>
          <w:rFonts w:ascii="KFGQPC Uthmanic Script HAFS" w:cs="KFGQPC Uthmanic Script HAFS"/>
          <w:sz w:val="28"/>
          <w:szCs w:val="28"/>
          <w:rtl/>
        </w:rPr>
        <w:t xml:space="preserve"> </w:t>
      </w:r>
      <w:r w:rsidR="00B06788" w:rsidRPr="0067048A">
        <w:rPr>
          <w:rFonts w:ascii="KFGQPC Uthmanic Script HAFS" w:cs="KFGQPC Uthmanic Script HAFS" w:hint="eastAsia"/>
          <w:sz w:val="28"/>
          <w:szCs w:val="28"/>
          <w:rtl/>
        </w:rPr>
        <w:t>فَأَنَّ</w:t>
      </w:r>
      <w:r w:rsidR="00B06788" w:rsidRPr="0067048A">
        <w:rPr>
          <w:rFonts w:ascii="KFGQPC Uthmanic Script HAFS" w:cs="KFGQPC Uthmanic Script HAFS"/>
          <w:sz w:val="28"/>
          <w:szCs w:val="28"/>
          <w:rtl/>
        </w:rPr>
        <w:t xml:space="preserve"> </w:t>
      </w:r>
      <w:r w:rsidR="00B06788" w:rsidRPr="0067048A">
        <w:rPr>
          <w:rFonts w:ascii="KFGQPC Uthmanic Script HAFS" w:cs="KFGQPC Uthmanic Script HAFS" w:hint="eastAsia"/>
          <w:sz w:val="28"/>
          <w:szCs w:val="28"/>
          <w:rtl/>
        </w:rPr>
        <w:t>لِلَّهِ</w:t>
      </w:r>
      <w:r w:rsidR="00B06788" w:rsidRPr="0067048A">
        <w:rPr>
          <w:rFonts w:ascii="KFGQPC Uthmanic Script HAFS" w:cs="KFGQPC Uthmanic Script HAFS"/>
          <w:sz w:val="28"/>
          <w:szCs w:val="28"/>
          <w:rtl/>
        </w:rPr>
        <w:t xml:space="preserve"> </w:t>
      </w:r>
      <w:r w:rsidR="00B06788" w:rsidRPr="0067048A">
        <w:rPr>
          <w:rFonts w:ascii="KFGQPC Uthmanic Script HAFS" w:cs="KFGQPC Uthmanic Script HAFS" w:hint="eastAsia"/>
          <w:sz w:val="28"/>
          <w:szCs w:val="28"/>
          <w:rtl/>
        </w:rPr>
        <w:t>خُمُسَهُ</w:t>
      </w:r>
      <w:r w:rsidR="00B06788" w:rsidRPr="0067048A">
        <w:rPr>
          <w:rFonts w:ascii="KFGQPC Uthmanic Script HAFS" w:cs="KFGQPC Uthmanic Script HAFS" w:hint="cs"/>
          <w:sz w:val="28"/>
          <w:szCs w:val="28"/>
          <w:rtl/>
        </w:rPr>
        <w:t>ۥ</w:t>
      </w:r>
      <w:r w:rsidR="00B06788" w:rsidRPr="0067048A">
        <w:rPr>
          <w:rFonts w:ascii="KFGQPC Uthmanic Script HAFS" w:cs="KFGQPC Uthmanic Script HAFS"/>
          <w:sz w:val="28"/>
          <w:szCs w:val="28"/>
          <w:rtl/>
        </w:rPr>
        <w:t xml:space="preserve"> </w:t>
      </w:r>
      <w:r w:rsidR="00B06788" w:rsidRPr="0067048A">
        <w:rPr>
          <w:rFonts w:ascii="KFGQPC Uthmanic Script HAFS" w:cs="KFGQPC Uthmanic Script HAFS" w:hint="eastAsia"/>
          <w:sz w:val="28"/>
          <w:szCs w:val="28"/>
          <w:rtl/>
        </w:rPr>
        <w:t>وَلِلرَّسُولِ</w:t>
      </w:r>
      <w:r w:rsidR="00B06788" w:rsidRPr="0067048A">
        <w:rPr>
          <w:rFonts w:ascii="KFGQPC Uthmanic Script HAFS" w:cs="KFGQPC Uthmanic Script HAFS"/>
          <w:sz w:val="28"/>
          <w:szCs w:val="28"/>
          <w:rtl/>
        </w:rPr>
        <w:t xml:space="preserve"> </w:t>
      </w:r>
      <w:r w:rsidR="00B06788" w:rsidRPr="0067048A">
        <w:rPr>
          <w:rFonts w:ascii="KFGQPC Uthmanic Script HAFS" w:cs="KFGQPC Uthmanic Script HAFS" w:hint="eastAsia"/>
          <w:sz w:val="28"/>
          <w:szCs w:val="28"/>
          <w:rtl/>
        </w:rPr>
        <w:t>وَلِذِي</w:t>
      </w:r>
      <w:r w:rsidR="00B06788" w:rsidRPr="0067048A">
        <w:rPr>
          <w:rFonts w:ascii="KFGQPC Uthmanic Script HAFS" w:cs="KFGQPC Uthmanic Script HAFS"/>
          <w:sz w:val="28"/>
          <w:szCs w:val="28"/>
          <w:rtl/>
        </w:rPr>
        <w:t xml:space="preserve"> </w:t>
      </w:r>
      <w:r w:rsidR="00B06788" w:rsidRPr="0067048A">
        <w:rPr>
          <w:rFonts w:ascii="KFGQPC Uthmanic Script HAFS" w:cs="KFGQPC Uthmanic Script HAFS" w:hint="cs"/>
          <w:sz w:val="28"/>
          <w:szCs w:val="28"/>
          <w:rtl/>
        </w:rPr>
        <w:t>ٱ</w:t>
      </w:r>
      <w:r w:rsidR="00B06788" w:rsidRPr="0067048A">
        <w:rPr>
          <w:rFonts w:ascii="KFGQPC Uthmanic Script HAFS" w:cs="KFGQPC Uthmanic Script HAFS" w:hint="eastAsia"/>
          <w:sz w:val="28"/>
          <w:szCs w:val="28"/>
          <w:rtl/>
        </w:rPr>
        <w:t>ل</w:t>
      </w:r>
      <w:r w:rsidR="00B06788" w:rsidRPr="0067048A">
        <w:rPr>
          <w:rFonts w:ascii="KFGQPC Uthmanic Script HAFS" w:cs="KFGQPC Uthmanic Script HAFS" w:hint="cs"/>
          <w:sz w:val="28"/>
          <w:szCs w:val="28"/>
          <w:rtl/>
        </w:rPr>
        <w:t>ۡ</w:t>
      </w:r>
      <w:r w:rsidR="00B06788" w:rsidRPr="0067048A">
        <w:rPr>
          <w:rFonts w:ascii="KFGQPC Uthmanic Script HAFS" w:cs="KFGQPC Uthmanic Script HAFS" w:hint="eastAsia"/>
          <w:sz w:val="28"/>
          <w:szCs w:val="28"/>
          <w:rtl/>
        </w:rPr>
        <w:t>قُر</w:t>
      </w:r>
      <w:r w:rsidR="00B06788" w:rsidRPr="0067048A">
        <w:rPr>
          <w:rFonts w:ascii="KFGQPC Uthmanic Script HAFS" w:cs="KFGQPC Uthmanic Script HAFS" w:hint="cs"/>
          <w:sz w:val="28"/>
          <w:szCs w:val="28"/>
          <w:rtl/>
        </w:rPr>
        <w:t>ۡ</w:t>
      </w:r>
      <w:r w:rsidR="00B06788" w:rsidRPr="0067048A">
        <w:rPr>
          <w:rFonts w:ascii="KFGQPC Uthmanic Script HAFS" w:cs="KFGQPC Uthmanic Script HAFS" w:hint="eastAsia"/>
          <w:sz w:val="28"/>
          <w:szCs w:val="28"/>
          <w:rtl/>
        </w:rPr>
        <w:t>بَى</w:t>
      </w:r>
      <w:r w:rsidR="00B06788" w:rsidRPr="0067048A">
        <w:rPr>
          <w:rFonts w:ascii="KFGQPC Uthmanic Script HAFS" w:cs="KFGQPC Uthmanic Script HAFS" w:hint="cs"/>
          <w:sz w:val="28"/>
          <w:szCs w:val="28"/>
          <w:rtl/>
        </w:rPr>
        <w:t>ٰ</w:t>
      </w:r>
      <w:r w:rsidR="00B06788" w:rsidRPr="0067048A">
        <w:rPr>
          <w:rFonts w:ascii="KFGQPC Uthmanic Script HAFS" w:cs="KFGQPC Uthmanic Script HAFS"/>
          <w:sz w:val="28"/>
          <w:szCs w:val="28"/>
          <w:rtl/>
        </w:rPr>
        <w:t xml:space="preserve"> </w:t>
      </w:r>
      <w:r w:rsidR="00B06788" w:rsidRPr="0067048A">
        <w:rPr>
          <w:rFonts w:ascii="KFGQPC Uthmanic Script HAFS" w:cs="KFGQPC Uthmanic Script HAFS" w:hint="eastAsia"/>
          <w:sz w:val="28"/>
          <w:szCs w:val="28"/>
          <w:rtl/>
        </w:rPr>
        <w:t>وَ</w:t>
      </w:r>
      <w:r w:rsidR="00B06788" w:rsidRPr="0067048A">
        <w:rPr>
          <w:rFonts w:ascii="KFGQPC Uthmanic Script HAFS" w:cs="KFGQPC Uthmanic Script HAFS" w:hint="cs"/>
          <w:sz w:val="28"/>
          <w:szCs w:val="28"/>
          <w:rtl/>
        </w:rPr>
        <w:t>ٱ</w:t>
      </w:r>
      <w:r w:rsidR="00B06788" w:rsidRPr="0067048A">
        <w:rPr>
          <w:rFonts w:ascii="KFGQPC Uthmanic Script HAFS" w:cs="KFGQPC Uthmanic Script HAFS" w:hint="eastAsia"/>
          <w:sz w:val="28"/>
          <w:szCs w:val="28"/>
          <w:rtl/>
        </w:rPr>
        <w:t>ل</w:t>
      </w:r>
      <w:r w:rsidR="00B06788" w:rsidRPr="0067048A">
        <w:rPr>
          <w:rFonts w:ascii="KFGQPC Uthmanic Script HAFS" w:cs="KFGQPC Uthmanic Script HAFS" w:hint="cs"/>
          <w:sz w:val="28"/>
          <w:szCs w:val="28"/>
          <w:rtl/>
        </w:rPr>
        <w:t>ۡ</w:t>
      </w:r>
      <w:r w:rsidR="00B06788" w:rsidRPr="0067048A">
        <w:rPr>
          <w:rFonts w:ascii="KFGQPC Uthmanic Script HAFS" w:cs="KFGQPC Uthmanic Script HAFS" w:hint="eastAsia"/>
          <w:sz w:val="28"/>
          <w:szCs w:val="28"/>
          <w:rtl/>
        </w:rPr>
        <w:t>يَتَ</w:t>
      </w:r>
      <w:r w:rsidR="00B06788" w:rsidRPr="0067048A">
        <w:rPr>
          <w:rFonts w:ascii="KFGQPC Uthmanic Script HAFS" w:cs="KFGQPC Uthmanic Script HAFS" w:hint="cs"/>
          <w:sz w:val="28"/>
          <w:szCs w:val="28"/>
          <w:rtl/>
        </w:rPr>
        <w:t>ٰ</w:t>
      </w:r>
      <w:r w:rsidR="00B06788" w:rsidRPr="0067048A">
        <w:rPr>
          <w:rFonts w:ascii="KFGQPC Uthmanic Script HAFS" w:cs="KFGQPC Uthmanic Script HAFS" w:hint="eastAsia"/>
          <w:sz w:val="28"/>
          <w:szCs w:val="28"/>
          <w:rtl/>
        </w:rPr>
        <w:t>مَى</w:t>
      </w:r>
      <w:r w:rsidR="00B06788" w:rsidRPr="0067048A">
        <w:rPr>
          <w:rFonts w:ascii="KFGQPC Uthmanic Script HAFS" w:cs="KFGQPC Uthmanic Script HAFS" w:hint="cs"/>
          <w:sz w:val="28"/>
          <w:szCs w:val="28"/>
          <w:rtl/>
        </w:rPr>
        <w:t>ٰ</w:t>
      </w:r>
      <w:r w:rsidR="00B06788" w:rsidRPr="0067048A">
        <w:rPr>
          <w:rFonts w:ascii="KFGQPC Uthmanic Script HAFS" w:cs="KFGQPC Uthmanic Script HAFS"/>
          <w:sz w:val="28"/>
          <w:szCs w:val="28"/>
          <w:rtl/>
        </w:rPr>
        <w:t xml:space="preserve"> </w:t>
      </w:r>
      <w:r w:rsidR="00B06788" w:rsidRPr="0067048A">
        <w:rPr>
          <w:rFonts w:ascii="KFGQPC Uthmanic Script HAFS" w:cs="KFGQPC Uthmanic Script HAFS" w:hint="eastAsia"/>
          <w:sz w:val="28"/>
          <w:szCs w:val="28"/>
          <w:rtl/>
        </w:rPr>
        <w:t>وَ</w:t>
      </w:r>
      <w:r w:rsidR="00B06788" w:rsidRPr="0067048A">
        <w:rPr>
          <w:rFonts w:ascii="KFGQPC Uthmanic Script HAFS" w:cs="KFGQPC Uthmanic Script HAFS" w:hint="cs"/>
          <w:sz w:val="28"/>
          <w:szCs w:val="28"/>
          <w:rtl/>
        </w:rPr>
        <w:t>ٱ</w:t>
      </w:r>
      <w:r w:rsidR="00B06788" w:rsidRPr="0067048A">
        <w:rPr>
          <w:rFonts w:ascii="KFGQPC Uthmanic Script HAFS" w:cs="KFGQPC Uthmanic Script HAFS" w:hint="eastAsia"/>
          <w:sz w:val="28"/>
          <w:szCs w:val="28"/>
          <w:rtl/>
        </w:rPr>
        <w:t>ل</w:t>
      </w:r>
      <w:r w:rsidR="00B06788" w:rsidRPr="0067048A">
        <w:rPr>
          <w:rFonts w:ascii="KFGQPC Uthmanic Script HAFS" w:cs="KFGQPC Uthmanic Script HAFS" w:hint="cs"/>
          <w:sz w:val="28"/>
          <w:szCs w:val="28"/>
          <w:rtl/>
        </w:rPr>
        <w:t>ۡ</w:t>
      </w:r>
      <w:r w:rsidR="00B06788" w:rsidRPr="0067048A">
        <w:rPr>
          <w:rFonts w:ascii="KFGQPC Uthmanic Script HAFS" w:cs="KFGQPC Uthmanic Script HAFS" w:hint="eastAsia"/>
          <w:sz w:val="28"/>
          <w:szCs w:val="28"/>
          <w:rtl/>
        </w:rPr>
        <w:t>مَسَ</w:t>
      </w:r>
      <w:r w:rsidR="00B06788" w:rsidRPr="0067048A">
        <w:rPr>
          <w:rFonts w:ascii="KFGQPC Uthmanic Script HAFS" w:cs="KFGQPC Uthmanic Script HAFS" w:hint="cs"/>
          <w:sz w:val="28"/>
          <w:szCs w:val="28"/>
          <w:rtl/>
        </w:rPr>
        <w:t>ٰ</w:t>
      </w:r>
      <w:r w:rsidR="00B06788" w:rsidRPr="0067048A">
        <w:rPr>
          <w:rFonts w:ascii="KFGQPC Uthmanic Script HAFS" w:cs="KFGQPC Uthmanic Script HAFS" w:hint="eastAsia"/>
          <w:sz w:val="28"/>
          <w:szCs w:val="28"/>
          <w:rtl/>
        </w:rPr>
        <w:t>كِينِ</w:t>
      </w:r>
      <w:r w:rsidR="00B06788" w:rsidRPr="0067048A">
        <w:rPr>
          <w:rFonts w:ascii="KFGQPC Uthmanic Script HAFS" w:cs="KFGQPC Uthmanic Script HAFS"/>
          <w:sz w:val="28"/>
          <w:szCs w:val="28"/>
          <w:rtl/>
        </w:rPr>
        <w:t xml:space="preserve"> </w:t>
      </w:r>
      <w:r w:rsidR="00B06788" w:rsidRPr="0067048A">
        <w:rPr>
          <w:rFonts w:ascii="KFGQPC Uthmanic Script HAFS" w:cs="KFGQPC Uthmanic Script HAFS" w:hint="eastAsia"/>
          <w:sz w:val="28"/>
          <w:szCs w:val="28"/>
          <w:rtl/>
        </w:rPr>
        <w:t>وَ</w:t>
      </w:r>
      <w:r w:rsidR="00B06788" w:rsidRPr="0067048A">
        <w:rPr>
          <w:rFonts w:ascii="KFGQPC Uthmanic Script HAFS" w:cs="KFGQPC Uthmanic Script HAFS" w:hint="cs"/>
          <w:sz w:val="28"/>
          <w:szCs w:val="28"/>
          <w:rtl/>
        </w:rPr>
        <w:t>ٱ</w:t>
      </w:r>
      <w:r w:rsidR="00B06788" w:rsidRPr="0067048A">
        <w:rPr>
          <w:rFonts w:ascii="KFGQPC Uthmanic Script HAFS" w:cs="KFGQPC Uthmanic Script HAFS" w:hint="eastAsia"/>
          <w:sz w:val="28"/>
          <w:szCs w:val="28"/>
          <w:rtl/>
        </w:rPr>
        <w:t>ب</w:t>
      </w:r>
      <w:r w:rsidR="00B06788" w:rsidRPr="0067048A">
        <w:rPr>
          <w:rFonts w:ascii="KFGQPC Uthmanic Script HAFS" w:cs="KFGQPC Uthmanic Script HAFS" w:hint="cs"/>
          <w:sz w:val="28"/>
          <w:szCs w:val="28"/>
          <w:rtl/>
        </w:rPr>
        <w:t>ۡ</w:t>
      </w:r>
      <w:r w:rsidR="00B06788" w:rsidRPr="0067048A">
        <w:rPr>
          <w:rFonts w:ascii="KFGQPC Uthmanic Script HAFS" w:cs="KFGQPC Uthmanic Script HAFS" w:hint="eastAsia"/>
          <w:sz w:val="28"/>
          <w:szCs w:val="28"/>
          <w:rtl/>
        </w:rPr>
        <w:t>نِ</w:t>
      </w:r>
      <w:r w:rsidR="00B06788" w:rsidRPr="0067048A">
        <w:rPr>
          <w:rFonts w:ascii="KFGQPC Uthmanic Script HAFS" w:cs="KFGQPC Uthmanic Script HAFS"/>
          <w:sz w:val="28"/>
          <w:szCs w:val="28"/>
          <w:rtl/>
        </w:rPr>
        <w:t xml:space="preserve"> </w:t>
      </w:r>
      <w:r w:rsidR="00B06788" w:rsidRPr="0067048A">
        <w:rPr>
          <w:rFonts w:ascii="KFGQPC Uthmanic Script HAFS" w:cs="KFGQPC Uthmanic Script HAFS" w:hint="cs"/>
          <w:sz w:val="28"/>
          <w:szCs w:val="28"/>
          <w:rtl/>
        </w:rPr>
        <w:t>ٱ</w:t>
      </w:r>
      <w:r w:rsidR="00B06788" w:rsidRPr="0067048A">
        <w:rPr>
          <w:rFonts w:ascii="KFGQPC Uthmanic Script HAFS" w:cs="KFGQPC Uthmanic Script HAFS" w:hint="eastAsia"/>
          <w:sz w:val="28"/>
          <w:szCs w:val="28"/>
          <w:rtl/>
        </w:rPr>
        <w:t>لسَّبِيلِ</w:t>
      </w:r>
      <w:r w:rsidR="00B06788" w:rsidRPr="00995B26">
        <w:rPr>
          <w:rFonts w:ascii="Abo-thar" w:hAnsi="Abo-thar" w:cs="Traditional Arabic" w:hint="cs"/>
          <w:sz w:val="28"/>
          <w:rtl/>
          <w:lang w:bidi="ar-SY"/>
        </w:rPr>
        <w:t>﴾</w:t>
      </w:r>
      <w:r w:rsidRPr="00995B26">
        <w:rPr>
          <w:rFonts w:ascii="Abo-thar" w:hAnsi="Abo-thar"/>
          <w:b/>
          <w:bCs/>
          <w:sz w:val="28"/>
          <w:rtl/>
          <w:lang w:bidi="ar-SY"/>
        </w:rPr>
        <w:t xml:space="preserve"> </w:t>
      </w:r>
      <w:r w:rsidRPr="003108CB">
        <w:rPr>
          <w:rStyle w:val="Char2"/>
          <w:rFonts w:hint="cs"/>
          <w:rtl/>
        </w:rPr>
        <w:t>[الأنفال</w:t>
      </w:r>
      <w:r w:rsidR="00B06788" w:rsidRPr="003108CB">
        <w:rPr>
          <w:rStyle w:val="Char2"/>
          <w:rFonts w:hint="cs"/>
          <w:rtl/>
        </w:rPr>
        <w:t xml:space="preserve">: </w:t>
      </w:r>
      <w:r w:rsidRPr="003108CB">
        <w:rPr>
          <w:rStyle w:val="Char2"/>
          <w:rFonts w:hint="cs"/>
          <w:rtl/>
        </w:rPr>
        <w:t>41]</w:t>
      </w:r>
      <w:r w:rsidR="00217AB4" w:rsidRPr="004408B9">
        <w:rPr>
          <w:rFonts w:ascii="Abo-thar" w:hAnsi="Abo-thar" w:cs="KFGQPC Uthman Taha Naskh" w:hint="cs"/>
          <w:sz w:val="26"/>
          <w:szCs w:val="26"/>
          <w:rtl/>
          <w:lang w:bidi="ar-SY"/>
        </w:rPr>
        <w:t>،</w:t>
      </w:r>
      <w:r w:rsidRPr="004408B9">
        <w:rPr>
          <w:rFonts w:ascii="Abo-thar" w:hAnsi="Abo-thar" w:cs="KFGQPC Uthman Taha Naskh" w:hint="cs"/>
          <w:b/>
          <w:bCs/>
          <w:sz w:val="28"/>
          <w:rtl/>
          <w:lang w:bidi="ar-SY"/>
        </w:rPr>
        <w:t xml:space="preserve"> </w:t>
      </w:r>
      <w:r w:rsidRPr="004408B9">
        <w:rPr>
          <w:rFonts w:ascii="Abo-thar" w:hAnsi="Abo-thar" w:cs="KFGQPC Uthman Taha Naskh"/>
          <w:b/>
          <w:bCs/>
          <w:sz w:val="28"/>
          <w:rtl/>
          <w:lang w:bidi="ar-SY"/>
        </w:rPr>
        <w:t>فَنَحْنُ أَصْحَابُ الخُمُسِ والْفَيْ‏ءِ وقَدْ حَرَّمْنَاهُ عَلَى جَمِيعِ النَّاسِ مَا خَلَا شِيعَتَنَا</w:t>
      </w:r>
      <w:r w:rsidR="00EF2588" w:rsidRPr="004408B9">
        <w:rPr>
          <w:rFonts w:ascii="Abo-thar" w:hAnsi="Abo-thar" w:cs="KFGQPC Uthman Taha Naskh" w:hint="cs"/>
          <w:sz w:val="28"/>
          <w:rtl/>
          <w:lang w:bidi="ar-SY"/>
        </w:rPr>
        <w:t>»</w:t>
      </w:r>
      <w:r w:rsidR="00CF46B9" w:rsidRPr="0021507A">
        <w:rPr>
          <w:rFonts w:ascii="Abo-thar" w:hAnsi="Abo-thar" w:cs="Arabic11 BT"/>
          <w:sz w:val="28"/>
          <w:vertAlign w:val="superscript"/>
          <w:rtl/>
          <w:lang w:bidi="ar-SY"/>
        </w:rPr>
        <w:t>(</w:t>
      </w:r>
      <w:r w:rsidR="00CF46B9" w:rsidRPr="0021507A">
        <w:rPr>
          <w:rStyle w:val="FootnoteReference"/>
          <w:rFonts w:ascii="Abo-thar" w:hAnsi="Abo-thar" w:cs="Arabic11 BT"/>
          <w:sz w:val="28"/>
          <w:rtl/>
          <w:lang w:bidi="ar-SY"/>
        </w:rPr>
        <w:footnoteReference w:id="337"/>
      </w:r>
      <w:r w:rsidR="00CF46B9" w:rsidRPr="0021507A">
        <w:rPr>
          <w:rFonts w:ascii="Abo-thar" w:hAnsi="Abo-thar" w:cs="Arabic11 BT"/>
          <w:sz w:val="28"/>
          <w:vertAlign w:val="superscript"/>
          <w:rtl/>
          <w:lang w:bidi="ar-SY"/>
        </w:rPr>
        <w:t>)</w:t>
      </w:r>
      <w:r w:rsidR="00217AB4" w:rsidRPr="00995B26">
        <w:rPr>
          <w:rFonts w:ascii="Abo-thar" w:hAnsi="Abo-thar" w:hint="cs"/>
          <w:sz w:val="28"/>
          <w:rtl/>
          <w:lang w:bidi="ar-SY"/>
        </w:rPr>
        <w:t>.</w:t>
      </w:r>
    </w:p>
    <w:p w:rsidR="005C664D" w:rsidRPr="003F3B94" w:rsidRDefault="005C664D" w:rsidP="003F3B94">
      <w:pPr>
        <w:pStyle w:val="a0"/>
        <w:rPr>
          <w:rFonts w:hint="cs"/>
          <w:rtl/>
          <w:lang w:bidi="ar-SY"/>
        </w:rPr>
      </w:pPr>
      <w:r w:rsidRPr="003F3B94">
        <w:rPr>
          <w:rFonts w:ascii="Abo-thar" w:hAnsi="Abo-thar" w:hint="cs"/>
          <w:sz w:val="28"/>
          <w:rtl/>
          <w:lang w:bidi="ar-SY"/>
        </w:rPr>
        <w:t>10</w:t>
      </w:r>
      <w:r w:rsidR="00217AB4" w:rsidRPr="003F3B94">
        <w:rPr>
          <w:rFonts w:ascii="Abo-thar" w:hAnsi="Abo-thar" w:hint="cs"/>
          <w:sz w:val="28"/>
          <w:rtl/>
          <w:lang w:bidi="ar-SY"/>
        </w:rPr>
        <w:t>-</w:t>
      </w:r>
      <w:r w:rsidRPr="003F3B94">
        <w:rPr>
          <w:rFonts w:ascii="Abo-thar" w:hAnsi="Abo-thar" w:hint="cs"/>
          <w:sz w:val="28"/>
          <w:rtl/>
          <w:lang w:bidi="ar-SY"/>
        </w:rPr>
        <w:t xml:space="preserve"> وروى الشيخ الطوسي في «التهذيب» دعاءً لحضرة الإمام الباقر</w:t>
      </w:r>
      <w:r w:rsidR="00147857" w:rsidRPr="003F3B94">
        <w:rPr>
          <w:rFonts w:ascii="Abo-thar" w:hAnsi="Abo-thar" w:hint="cs"/>
          <w:sz w:val="28"/>
          <w:rtl/>
          <w:lang w:bidi="ar-SY"/>
        </w:rPr>
        <w:t xml:space="preserve"> </w:t>
      </w:r>
      <w:r w:rsidR="003C7AEB" w:rsidRPr="003C7AEB">
        <w:rPr>
          <w:rFonts w:ascii="Abo-thar" w:hAnsi="Abo-thar" w:cs="CTraditional Arabic"/>
          <w:sz w:val="28"/>
          <w:rtl/>
          <w:lang w:bidi="ar-SY"/>
        </w:rPr>
        <w:t>÷</w:t>
      </w:r>
      <w:r w:rsidR="00147857" w:rsidRPr="003F3B94">
        <w:rPr>
          <w:rFonts w:ascii="Abo-thar" w:hAnsi="Abo-thar"/>
          <w:sz w:val="28"/>
          <w:rtl/>
          <w:lang w:bidi="ar-SY"/>
        </w:rPr>
        <w:t xml:space="preserve"> </w:t>
      </w:r>
      <w:r w:rsidRPr="003F3B94">
        <w:rPr>
          <w:rFonts w:ascii="Abo-thar" w:hAnsi="Abo-thar" w:hint="cs"/>
          <w:sz w:val="28"/>
          <w:rtl/>
          <w:lang w:bidi="ar-SY"/>
        </w:rPr>
        <w:t xml:space="preserve">دعا به في آخر حديث له عن موضوع </w:t>
      </w:r>
      <w:r w:rsidRPr="003F3B94">
        <w:rPr>
          <w:rFonts w:ascii="Abo-thar" w:hAnsi="Abo-thar"/>
          <w:sz w:val="28"/>
          <w:rtl/>
          <w:lang w:bidi="ar-SY"/>
        </w:rPr>
        <w:t>«</w:t>
      </w:r>
      <w:r w:rsidRPr="003F3B94">
        <w:rPr>
          <w:rFonts w:ascii="Abo-thar" w:hAnsi="Abo-thar" w:hint="cs"/>
          <w:sz w:val="28"/>
          <w:rtl/>
          <w:lang w:bidi="ar-SY"/>
        </w:rPr>
        <w:t>الخُمُس</w:t>
      </w:r>
      <w:r w:rsidRPr="003F3B94">
        <w:rPr>
          <w:rFonts w:ascii="Abo-thar" w:hAnsi="Abo-thar"/>
          <w:sz w:val="28"/>
          <w:rtl/>
          <w:lang w:bidi="ar-SY"/>
        </w:rPr>
        <w:t>»</w:t>
      </w:r>
      <w:r w:rsidRPr="003F3B94">
        <w:rPr>
          <w:rFonts w:ascii="Abo-thar" w:hAnsi="Abo-thar" w:hint="cs"/>
          <w:sz w:val="28"/>
          <w:rtl/>
          <w:lang w:bidi="ar-SY"/>
        </w:rPr>
        <w:t xml:space="preserve"> فقال</w:t>
      </w:r>
      <w:r w:rsidR="00217AB4" w:rsidRPr="003F3B94">
        <w:rPr>
          <w:rFonts w:ascii="Abo-thar" w:hAnsi="Abo-thar" w:hint="cs"/>
          <w:sz w:val="28"/>
          <w:rtl/>
          <w:lang w:bidi="ar-SY"/>
        </w:rPr>
        <w:t>:</w:t>
      </w:r>
      <w:r w:rsidRPr="003F3B94">
        <w:rPr>
          <w:rFonts w:ascii="Abo-thar" w:hAnsi="Abo-thar" w:hint="cs"/>
          <w:sz w:val="28"/>
          <w:rtl/>
          <w:lang w:bidi="ar-SY"/>
        </w:rPr>
        <w:t xml:space="preserve"> </w:t>
      </w:r>
      <w:r w:rsidR="00EF2588" w:rsidRPr="004408B9">
        <w:rPr>
          <w:rFonts w:ascii="Abo-thar" w:hAnsi="Abo-thar" w:cs="KFGQPC Uthman Taha Naskh" w:hint="cs"/>
          <w:sz w:val="28"/>
          <w:rtl/>
          <w:lang w:bidi="ar-SY"/>
        </w:rPr>
        <w:t>«</w:t>
      </w:r>
      <w:r w:rsidRPr="004408B9">
        <w:rPr>
          <w:rFonts w:ascii="Abo-thar" w:hAnsi="Abo-thar" w:cs="KFGQPC Uthman Taha Naskh"/>
          <w:b/>
          <w:bCs/>
          <w:sz w:val="28"/>
          <w:rtl/>
          <w:lang w:bidi="ar-SY"/>
        </w:rPr>
        <w:t>اللَّهُمَّ إِنَّا قَدْ أَحْلَلْنَا ذَلِكَ لِشِيعَتِنَا</w:t>
      </w:r>
      <w:r w:rsidR="00EF2588" w:rsidRPr="004408B9">
        <w:rPr>
          <w:rFonts w:ascii="Abo-thar" w:hAnsi="Abo-thar" w:cs="KFGQPC Uthman Taha Naskh" w:hint="cs"/>
          <w:sz w:val="28"/>
          <w:rtl/>
          <w:lang w:bidi="ar-SY"/>
        </w:rPr>
        <w:t>»</w:t>
      </w:r>
      <w:r w:rsidR="00CF46B9" w:rsidRPr="0021507A">
        <w:rPr>
          <w:rFonts w:ascii="Abo-thar" w:hAnsi="Abo-thar" w:cs="Arabic11 BT"/>
          <w:sz w:val="28"/>
          <w:vertAlign w:val="superscript"/>
          <w:rtl/>
          <w:lang w:bidi="ar-SY"/>
        </w:rPr>
        <w:t>(</w:t>
      </w:r>
      <w:r w:rsidR="00CF46B9" w:rsidRPr="0021507A">
        <w:rPr>
          <w:rStyle w:val="FootnoteReference"/>
          <w:rFonts w:ascii="Abo-thar" w:hAnsi="Abo-thar" w:cs="Arabic11 BT"/>
          <w:sz w:val="28"/>
          <w:rtl/>
          <w:lang w:bidi="ar-SY"/>
        </w:rPr>
        <w:footnoteReference w:id="338"/>
      </w:r>
      <w:r w:rsidR="00CF46B9" w:rsidRPr="0021507A">
        <w:rPr>
          <w:rFonts w:ascii="Abo-thar" w:hAnsi="Abo-thar" w:cs="Arabic11 BT"/>
          <w:sz w:val="28"/>
          <w:vertAlign w:val="superscript"/>
          <w:rtl/>
          <w:lang w:bidi="ar-SY"/>
        </w:rPr>
        <w:t>)</w:t>
      </w:r>
      <w:r w:rsidR="00217AB4" w:rsidRPr="003F3B94">
        <w:rPr>
          <w:rFonts w:ascii="Abo-thar" w:hAnsi="Abo-thar" w:hint="cs"/>
          <w:sz w:val="28"/>
          <w:rtl/>
          <w:lang w:bidi="ar-SY"/>
        </w:rPr>
        <w:t>.</w:t>
      </w:r>
    </w:p>
    <w:p w:rsidR="005C664D" w:rsidRPr="00995B26" w:rsidRDefault="005C664D" w:rsidP="003F3B94">
      <w:pPr>
        <w:pStyle w:val="a0"/>
        <w:rPr>
          <w:rFonts w:hint="cs"/>
          <w:rtl/>
          <w:lang w:bidi="ar-SY"/>
        </w:rPr>
      </w:pPr>
      <w:r w:rsidRPr="003F3B94">
        <w:rPr>
          <w:rFonts w:ascii="Abo-thar" w:hAnsi="Abo-thar" w:hint="cs"/>
          <w:sz w:val="28"/>
          <w:rtl/>
          <w:lang w:bidi="ar-SY"/>
        </w:rPr>
        <w:t>11</w:t>
      </w:r>
      <w:r w:rsidR="00217AB4" w:rsidRPr="003F3B94">
        <w:rPr>
          <w:rFonts w:ascii="Abo-thar" w:hAnsi="Abo-thar" w:hint="cs"/>
          <w:sz w:val="28"/>
          <w:rtl/>
          <w:lang w:bidi="ar-SY"/>
        </w:rPr>
        <w:t>-</w:t>
      </w:r>
      <w:r w:rsidRPr="003F3B94">
        <w:rPr>
          <w:rFonts w:ascii="Abo-thar" w:hAnsi="Abo-thar" w:hint="cs"/>
          <w:sz w:val="28"/>
          <w:rtl/>
          <w:lang w:bidi="ar-SY"/>
        </w:rPr>
        <w:t xml:space="preserve"> وروى المجلسيُّ </w:t>
      </w:r>
      <w:r w:rsidR="007B5F29" w:rsidRPr="003F3B94">
        <w:rPr>
          <w:rFonts w:ascii="Abo-thar" w:hAnsi="Abo-thar" w:hint="cs"/>
          <w:sz w:val="28"/>
          <w:rtl/>
          <w:lang w:bidi="ar-SY"/>
        </w:rPr>
        <w:t>في</w:t>
      </w:r>
      <w:r w:rsidRPr="003F3B94">
        <w:rPr>
          <w:rFonts w:ascii="Abo-thar" w:hAnsi="Abo-thar" w:hint="cs"/>
          <w:sz w:val="28"/>
          <w:rtl/>
          <w:lang w:bidi="ar-SY"/>
        </w:rPr>
        <w:t xml:space="preserve"> </w:t>
      </w:r>
      <w:r w:rsidRPr="003F3B94">
        <w:rPr>
          <w:rFonts w:ascii="Abo-thar" w:hAnsi="Abo-thar"/>
          <w:sz w:val="28"/>
          <w:rtl/>
          <w:lang w:bidi="ar-SY"/>
        </w:rPr>
        <w:t>«</w:t>
      </w:r>
      <w:r w:rsidRPr="003F3B94">
        <w:rPr>
          <w:rFonts w:ascii="Abo-thar" w:hAnsi="Abo-thar" w:hint="cs"/>
          <w:sz w:val="28"/>
          <w:rtl/>
          <w:lang w:bidi="ar-SY"/>
        </w:rPr>
        <w:t>بحار الأنوار</w:t>
      </w:r>
      <w:r w:rsidRPr="003F3B94">
        <w:rPr>
          <w:rFonts w:ascii="Abo-thar" w:hAnsi="Abo-thar"/>
          <w:sz w:val="28"/>
          <w:rtl/>
          <w:lang w:bidi="ar-SY"/>
        </w:rPr>
        <w:t>»</w:t>
      </w:r>
      <w:r w:rsidRPr="003F3B94">
        <w:rPr>
          <w:rFonts w:ascii="Abo-thar" w:hAnsi="Abo-thar" w:hint="cs"/>
          <w:sz w:val="28"/>
          <w:rtl/>
          <w:lang w:bidi="ar-SY"/>
        </w:rPr>
        <w:t xml:space="preserve"> نقلاً عن تفسير </w:t>
      </w:r>
      <w:r w:rsidRPr="003F3B94">
        <w:rPr>
          <w:rFonts w:ascii="Abo-thar" w:hAnsi="Abo-thar"/>
          <w:sz w:val="28"/>
          <w:rtl/>
          <w:lang w:bidi="ar-SY"/>
        </w:rPr>
        <w:t>«</w:t>
      </w:r>
      <w:r w:rsidRPr="003F3B94">
        <w:rPr>
          <w:rFonts w:ascii="Abo-thar" w:hAnsi="Abo-thar" w:hint="cs"/>
          <w:sz w:val="28"/>
          <w:rtl/>
          <w:lang w:bidi="ar-SY"/>
        </w:rPr>
        <w:t>فرات بن إبراهيم</w:t>
      </w:r>
      <w:r w:rsidRPr="003F3B94">
        <w:rPr>
          <w:rFonts w:ascii="Abo-thar" w:hAnsi="Abo-thar"/>
          <w:sz w:val="28"/>
          <w:rtl/>
          <w:lang w:bidi="ar-SY"/>
        </w:rPr>
        <w:t>»</w:t>
      </w:r>
      <w:r w:rsidR="00217AB4" w:rsidRPr="003F3B94">
        <w:rPr>
          <w:rFonts w:ascii="Abo-thar" w:hAnsi="Abo-thar" w:hint="cs"/>
          <w:sz w:val="28"/>
          <w:rtl/>
          <w:lang w:bidi="ar-SY"/>
        </w:rPr>
        <w:t>:</w:t>
      </w:r>
      <w:r w:rsidRPr="003F3B94">
        <w:rPr>
          <w:rFonts w:ascii="Abo-thar" w:hAnsi="Abo-thar" w:hint="cs"/>
          <w:sz w:val="28"/>
          <w:rtl/>
          <w:lang w:bidi="ar-SY"/>
        </w:rPr>
        <w:t xml:space="preserve"> </w:t>
      </w:r>
      <w:r w:rsidR="00EF2588" w:rsidRPr="00394385">
        <w:rPr>
          <w:rFonts w:ascii="Abo-thar" w:hAnsi="Abo-thar" w:cs="KFGQPC Uthman Taha Naskh" w:hint="cs"/>
          <w:sz w:val="28"/>
          <w:rtl/>
          <w:lang w:bidi="ar-SY"/>
        </w:rPr>
        <w:t>«</w:t>
      </w:r>
      <w:r w:rsidR="00217AB4" w:rsidRPr="00394385">
        <w:rPr>
          <w:rFonts w:ascii="Abo-thar" w:hAnsi="Abo-thar" w:cs="KFGQPC Uthman Taha Naskh" w:hint="cs"/>
          <w:sz w:val="28"/>
          <w:rtl/>
          <w:lang w:bidi="ar-SY"/>
        </w:rPr>
        <w:t>...</w:t>
      </w:r>
      <w:r w:rsidRPr="00394385">
        <w:rPr>
          <w:rFonts w:ascii="Abo-thar" w:hAnsi="Abo-thar" w:cs="KFGQPC Uthman Taha Naskh"/>
          <w:b/>
          <w:bCs/>
          <w:sz w:val="28"/>
          <w:rtl/>
          <w:lang w:bidi="ar-SY"/>
        </w:rPr>
        <w:t xml:space="preserve">عَنْ عَلِيِّ بْنِ عَبْدِ اللهِ عَنِ الثُّمَالِيِّ عَنْ أَبِي جَعْفَرٍ </w:t>
      </w:r>
      <w:r w:rsidR="00BC4BA9" w:rsidRPr="00BC4BA9">
        <w:rPr>
          <w:rFonts w:ascii="Abo-thar" w:hAnsi="Abo-thar" w:cs="CTraditional Arabic"/>
          <w:b/>
          <w:sz w:val="28"/>
          <w:rtl/>
          <w:lang w:bidi="ar-SY"/>
        </w:rPr>
        <w:t>÷</w:t>
      </w:r>
      <w:r w:rsidRPr="00394385">
        <w:rPr>
          <w:rFonts w:ascii="Abo-thar" w:hAnsi="Abo-thar" w:cs="KFGQPC Uthman Taha Naskh"/>
          <w:b/>
          <w:bCs/>
          <w:sz w:val="28"/>
          <w:rtl/>
          <w:lang w:bidi="ar-SY"/>
        </w:rPr>
        <w:t xml:space="preserve"> قَالَ قَالَ اللهُ تَبَارَكَ وتَعَالَى</w:t>
      </w:r>
      <w:r w:rsidR="00217AB4" w:rsidRPr="00394385">
        <w:rPr>
          <w:rFonts w:ascii="Abo-thar" w:hAnsi="Abo-thar" w:cs="KFGQPC Uthman Taha Naskh" w:hint="cs"/>
          <w:b/>
          <w:bCs/>
          <w:sz w:val="28"/>
          <w:rtl/>
          <w:lang w:bidi="ar-SY"/>
        </w:rPr>
        <w:t>:</w:t>
      </w:r>
      <w:r w:rsidR="00B06788" w:rsidRPr="00394385">
        <w:rPr>
          <w:rFonts w:ascii="Abo-thar" w:hAnsi="Abo-thar" w:cs="KFGQPC Uthman Taha Naskh" w:hint="cs"/>
          <w:b/>
          <w:bCs/>
          <w:sz w:val="28"/>
          <w:rtl/>
          <w:lang w:bidi="ar-SY"/>
        </w:rPr>
        <w:t xml:space="preserve"> </w:t>
      </w:r>
      <w:r w:rsidR="00B06788" w:rsidRPr="00995B26">
        <w:rPr>
          <w:rFonts w:ascii="Abo-thar" w:hAnsi="Abo-thar" w:cs="Traditional Arabic" w:hint="cs"/>
          <w:sz w:val="28"/>
          <w:rtl/>
          <w:lang w:bidi="ar-SY"/>
        </w:rPr>
        <w:t>﴿</w:t>
      </w:r>
      <w:r w:rsidR="00B06788" w:rsidRPr="0067048A">
        <w:rPr>
          <w:rFonts w:ascii="KFGQPC Uthmanic Script HAFS" w:cs="KFGQPC Uthmanic Script HAFS" w:hint="eastAsia"/>
          <w:sz w:val="28"/>
          <w:szCs w:val="28"/>
          <w:rtl/>
        </w:rPr>
        <w:t>مَّا</w:t>
      </w:r>
      <w:r w:rsidR="00B06788" w:rsidRPr="0067048A">
        <w:rPr>
          <w:rFonts w:ascii="KFGQPC Uthmanic Script HAFS" w:cs="KFGQPC Uthmanic Script HAFS" w:hint="cs"/>
          <w:sz w:val="28"/>
          <w:szCs w:val="28"/>
          <w:rtl/>
        </w:rPr>
        <w:t>ٓ</w:t>
      </w:r>
      <w:r w:rsidR="00B06788" w:rsidRPr="0067048A">
        <w:rPr>
          <w:rFonts w:ascii="KFGQPC Uthmanic Script HAFS" w:cs="KFGQPC Uthmanic Script HAFS"/>
          <w:sz w:val="28"/>
          <w:szCs w:val="28"/>
          <w:rtl/>
        </w:rPr>
        <w:t xml:space="preserve"> </w:t>
      </w:r>
      <w:r w:rsidR="00B06788" w:rsidRPr="0067048A">
        <w:rPr>
          <w:rFonts w:ascii="KFGQPC Uthmanic Script HAFS" w:cs="KFGQPC Uthmanic Script HAFS" w:hint="eastAsia"/>
          <w:sz w:val="28"/>
          <w:szCs w:val="28"/>
          <w:rtl/>
        </w:rPr>
        <w:t>أَفَا</w:t>
      </w:r>
      <w:r w:rsidR="00B06788" w:rsidRPr="0067048A">
        <w:rPr>
          <w:rFonts w:ascii="KFGQPC Uthmanic Script HAFS" w:cs="KFGQPC Uthmanic Script HAFS" w:hint="cs"/>
          <w:sz w:val="28"/>
          <w:szCs w:val="28"/>
          <w:rtl/>
        </w:rPr>
        <w:t>ٓ</w:t>
      </w:r>
      <w:r w:rsidR="00B06788" w:rsidRPr="0067048A">
        <w:rPr>
          <w:rFonts w:ascii="KFGQPC Uthmanic Script HAFS" w:cs="KFGQPC Uthmanic Script HAFS" w:hint="eastAsia"/>
          <w:sz w:val="28"/>
          <w:szCs w:val="28"/>
          <w:rtl/>
        </w:rPr>
        <w:t>ءَ</w:t>
      </w:r>
      <w:r w:rsidR="00B06788" w:rsidRPr="0067048A">
        <w:rPr>
          <w:rFonts w:ascii="KFGQPC Uthmanic Script HAFS" w:cs="KFGQPC Uthmanic Script HAFS"/>
          <w:sz w:val="28"/>
          <w:szCs w:val="28"/>
          <w:rtl/>
        </w:rPr>
        <w:t xml:space="preserve"> </w:t>
      </w:r>
      <w:r w:rsidR="00B06788" w:rsidRPr="0067048A">
        <w:rPr>
          <w:rFonts w:ascii="KFGQPC Uthmanic Script HAFS" w:cs="KFGQPC Uthmanic Script HAFS" w:hint="cs"/>
          <w:sz w:val="28"/>
          <w:szCs w:val="28"/>
          <w:rtl/>
        </w:rPr>
        <w:t>ٱ</w:t>
      </w:r>
      <w:r w:rsidR="00B06788" w:rsidRPr="0067048A">
        <w:rPr>
          <w:rFonts w:ascii="KFGQPC Uthmanic Script HAFS" w:cs="KFGQPC Uthmanic Script HAFS" w:hint="eastAsia"/>
          <w:sz w:val="28"/>
          <w:szCs w:val="28"/>
          <w:rtl/>
        </w:rPr>
        <w:t>للَّهُ</w:t>
      </w:r>
      <w:r w:rsidR="00B06788" w:rsidRPr="0067048A">
        <w:rPr>
          <w:rFonts w:ascii="KFGQPC Uthmanic Script HAFS" w:cs="KFGQPC Uthmanic Script HAFS"/>
          <w:sz w:val="28"/>
          <w:szCs w:val="28"/>
          <w:rtl/>
        </w:rPr>
        <w:t xml:space="preserve"> </w:t>
      </w:r>
      <w:r w:rsidR="00B06788" w:rsidRPr="0067048A">
        <w:rPr>
          <w:rFonts w:ascii="KFGQPC Uthmanic Script HAFS" w:cs="KFGQPC Uthmanic Script HAFS" w:hint="eastAsia"/>
          <w:sz w:val="28"/>
          <w:szCs w:val="28"/>
          <w:rtl/>
        </w:rPr>
        <w:t>عَلَى</w:t>
      </w:r>
      <w:r w:rsidR="00B06788" w:rsidRPr="0067048A">
        <w:rPr>
          <w:rFonts w:ascii="KFGQPC Uthmanic Script HAFS" w:cs="KFGQPC Uthmanic Script HAFS" w:hint="cs"/>
          <w:sz w:val="28"/>
          <w:szCs w:val="28"/>
          <w:rtl/>
        </w:rPr>
        <w:t>ٰ</w:t>
      </w:r>
      <w:r w:rsidR="00B06788" w:rsidRPr="0067048A">
        <w:rPr>
          <w:rFonts w:ascii="KFGQPC Uthmanic Script HAFS" w:cs="KFGQPC Uthmanic Script HAFS"/>
          <w:sz w:val="28"/>
          <w:szCs w:val="28"/>
          <w:rtl/>
        </w:rPr>
        <w:t xml:space="preserve"> </w:t>
      </w:r>
      <w:r w:rsidR="00B06788" w:rsidRPr="0067048A">
        <w:rPr>
          <w:rFonts w:ascii="KFGQPC Uthmanic Script HAFS" w:cs="KFGQPC Uthmanic Script HAFS" w:hint="eastAsia"/>
          <w:sz w:val="28"/>
          <w:szCs w:val="28"/>
          <w:rtl/>
        </w:rPr>
        <w:t>رَسُولِهِ</w:t>
      </w:r>
      <w:r w:rsidR="00B06788" w:rsidRPr="0067048A">
        <w:rPr>
          <w:rFonts w:ascii="KFGQPC Uthmanic Script HAFS" w:cs="KFGQPC Uthmanic Script HAFS" w:hint="cs"/>
          <w:sz w:val="28"/>
          <w:szCs w:val="28"/>
          <w:rtl/>
        </w:rPr>
        <w:t>ۦ</w:t>
      </w:r>
      <w:r w:rsidR="00B06788" w:rsidRPr="0067048A">
        <w:rPr>
          <w:rFonts w:ascii="KFGQPC Uthmanic Script HAFS" w:cs="KFGQPC Uthmanic Script HAFS"/>
          <w:sz w:val="28"/>
          <w:szCs w:val="28"/>
          <w:rtl/>
        </w:rPr>
        <w:t xml:space="preserve"> </w:t>
      </w:r>
      <w:r w:rsidR="00B06788" w:rsidRPr="0067048A">
        <w:rPr>
          <w:rFonts w:ascii="KFGQPC Uthmanic Script HAFS" w:cs="KFGQPC Uthmanic Script HAFS" w:hint="eastAsia"/>
          <w:sz w:val="28"/>
          <w:szCs w:val="28"/>
          <w:rtl/>
        </w:rPr>
        <w:t>مِن</w:t>
      </w:r>
      <w:r w:rsidR="00B06788" w:rsidRPr="0067048A">
        <w:rPr>
          <w:rFonts w:ascii="KFGQPC Uthmanic Script HAFS" w:cs="KFGQPC Uthmanic Script HAFS" w:hint="cs"/>
          <w:sz w:val="28"/>
          <w:szCs w:val="28"/>
          <w:rtl/>
        </w:rPr>
        <w:t>ۡ</w:t>
      </w:r>
      <w:r w:rsidR="00B06788" w:rsidRPr="0067048A">
        <w:rPr>
          <w:rFonts w:ascii="KFGQPC Uthmanic Script HAFS" w:cs="KFGQPC Uthmanic Script HAFS"/>
          <w:sz w:val="28"/>
          <w:szCs w:val="28"/>
          <w:rtl/>
        </w:rPr>
        <w:t xml:space="preserve"> </w:t>
      </w:r>
      <w:r w:rsidR="00B06788" w:rsidRPr="0067048A">
        <w:rPr>
          <w:rFonts w:ascii="KFGQPC Uthmanic Script HAFS" w:cs="KFGQPC Uthmanic Script HAFS" w:hint="eastAsia"/>
          <w:sz w:val="28"/>
          <w:szCs w:val="28"/>
          <w:rtl/>
        </w:rPr>
        <w:t>أَه</w:t>
      </w:r>
      <w:r w:rsidR="00B06788" w:rsidRPr="0067048A">
        <w:rPr>
          <w:rFonts w:ascii="KFGQPC Uthmanic Script HAFS" w:cs="KFGQPC Uthmanic Script HAFS" w:hint="cs"/>
          <w:sz w:val="28"/>
          <w:szCs w:val="28"/>
          <w:rtl/>
        </w:rPr>
        <w:t>ۡ</w:t>
      </w:r>
      <w:r w:rsidR="00B06788" w:rsidRPr="0067048A">
        <w:rPr>
          <w:rFonts w:ascii="KFGQPC Uthmanic Script HAFS" w:cs="KFGQPC Uthmanic Script HAFS" w:hint="eastAsia"/>
          <w:sz w:val="28"/>
          <w:szCs w:val="28"/>
          <w:rtl/>
        </w:rPr>
        <w:t>لِ</w:t>
      </w:r>
      <w:r w:rsidR="00B06788" w:rsidRPr="0067048A">
        <w:rPr>
          <w:rFonts w:ascii="KFGQPC Uthmanic Script HAFS" w:cs="KFGQPC Uthmanic Script HAFS"/>
          <w:sz w:val="28"/>
          <w:szCs w:val="28"/>
          <w:rtl/>
        </w:rPr>
        <w:t xml:space="preserve"> </w:t>
      </w:r>
      <w:r w:rsidR="00B06788" w:rsidRPr="0067048A">
        <w:rPr>
          <w:rFonts w:ascii="KFGQPC Uthmanic Script HAFS" w:cs="KFGQPC Uthmanic Script HAFS" w:hint="cs"/>
          <w:sz w:val="28"/>
          <w:szCs w:val="28"/>
          <w:rtl/>
        </w:rPr>
        <w:t>ٱ</w:t>
      </w:r>
      <w:r w:rsidR="00B06788" w:rsidRPr="0067048A">
        <w:rPr>
          <w:rFonts w:ascii="KFGQPC Uthmanic Script HAFS" w:cs="KFGQPC Uthmanic Script HAFS" w:hint="eastAsia"/>
          <w:sz w:val="28"/>
          <w:szCs w:val="28"/>
          <w:rtl/>
        </w:rPr>
        <w:t>ل</w:t>
      </w:r>
      <w:r w:rsidR="00B06788" w:rsidRPr="0067048A">
        <w:rPr>
          <w:rFonts w:ascii="KFGQPC Uthmanic Script HAFS" w:cs="KFGQPC Uthmanic Script HAFS" w:hint="cs"/>
          <w:sz w:val="28"/>
          <w:szCs w:val="28"/>
          <w:rtl/>
        </w:rPr>
        <w:t>ۡ</w:t>
      </w:r>
      <w:r w:rsidR="00B06788" w:rsidRPr="0067048A">
        <w:rPr>
          <w:rFonts w:ascii="KFGQPC Uthmanic Script HAFS" w:cs="KFGQPC Uthmanic Script HAFS" w:hint="eastAsia"/>
          <w:sz w:val="28"/>
          <w:szCs w:val="28"/>
          <w:rtl/>
        </w:rPr>
        <w:t>قُرَى</w:t>
      </w:r>
      <w:r w:rsidR="00B06788" w:rsidRPr="0067048A">
        <w:rPr>
          <w:rFonts w:ascii="KFGQPC Uthmanic Script HAFS" w:cs="KFGQPC Uthmanic Script HAFS" w:hint="cs"/>
          <w:sz w:val="28"/>
          <w:szCs w:val="28"/>
          <w:rtl/>
        </w:rPr>
        <w:t>ٰ</w:t>
      </w:r>
      <w:r w:rsidR="00B06788" w:rsidRPr="0067048A">
        <w:rPr>
          <w:rFonts w:ascii="KFGQPC Uthmanic Script HAFS" w:cs="KFGQPC Uthmanic Script HAFS"/>
          <w:sz w:val="28"/>
          <w:szCs w:val="28"/>
          <w:rtl/>
        </w:rPr>
        <w:t xml:space="preserve"> </w:t>
      </w:r>
      <w:r w:rsidR="00B06788" w:rsidRPr="0067048A">
        <w:rPr>
          <w:rFonts w:ascii="KFGQPC Uthmanic Script HAFS" w:cs="KFGQPC Uthmanic Script HAFS" w:hint="eastAsia"/>
          <w:sz w:val="28"/>
          <w:szCs w:val="28"/>
          <w:rtl/>
        </w:rPr>
        <w:t>فَلِلَّهِ</w:t>
      </w:r>
      <w:r w:rsidR="00B06788" w:rsidRPr="0067048A">
        <w:rPr>
          <w:rFonts w:ascii="KFGQPC Uthmanic Script HAFS" w:cs="KFGQPC Uthmanic Script HAFS"/>
          <w:sz w:val="28"/>
          <w:szCs w:val="28"/>
          <w:rtl/>
        </w:rPr>
        <w:t xml:space="preserve"> </w:t>
      </w:r>
      <w:r w:rsidR="00B06788" w:rsidRPr="0067048A">
        <w:rPr>
          <w:rFonts w:ascii="KFGQPC Uthmanic Script HAFS" w:cs="KFGQPC Uthmanic Script HAFS" w:hint="eastAsia"/>
          <w:sz w:val="28"/>
          <w:szCs w:val="28"/>
          <w:rtl/>
        </w:rPr>
        <w:t>وَلِلرَّسُولِ</w:t>
      </w:r>
      <w:r w:rsidR="00B06788" w:rsidRPr="0067048A">
        <w:rPr>
          <w:rFonts w:ascii="KFGQPC Uthmanic Script HAFS" w:cs="KFGQPC Uthmanic Script HAFS"/>
          <w:sz w:val="28"/>
          <w:szCs w:val="28"/>
          <w:rtl/>
        </w:rPr>
        <w:t xml:space="preserve"> </w:t>
      </w:r>
      <w:r w:rsidR="00B06788" w:rsidRPr="0067048A">
        <w:rPr>
          <w:rFonts w:ascii="KFGQPC Uthmanic Script HAFS" w:cs="KFGQPC Uthmanic Script HAFS" w:hint="eastAsia"/>
          <w:sz w:val="28"/>
          <w:szCs w:val="28"/>
          <w:rtl/>
        </w:rPr>
        <w:t>وَلِذِي</w:t>
      </w:r>
      <w:r w:rsidR="00B06788" w:rsidRPr="0067048A">
        <w:rPr>
          <w:rFonts w:ascii="KFGQPC Uthmanic Script HAFS" w:cs="KFGQPC Uthmanic Script HAFS"/>
          <w:sz w:val="28"/>
          <w:szCs w:val="28"/>
          <w:rtl/>
        </w:rPr>
        <w:t xml:space="preserve"> </w:t>
      </w:r>
      <w:r w:rsidR="00B06788" w:rsidRPr="0067048A">
        <w:rPr>
          <w:rFonts w:ascii="KFGQPC Uthmanic Script HAFS" w:cs="KFGQPC Uthmanic Script HAFS" w:hint="cs"/>
          <w:sz w:val="28"/>
          <w:szCs w:val="28"/>
          <w:rtl/>
        </w:rPr>
        <w:t>ٱ</w:t>
      </w:r>
      <w:r w:rsidR="00B06788" w:rsidRPr="0067048A">
        <w:rPr>
          <w:rFonts w:ascii="KFGQPC Uthmanic Script HAFS" w:cs="KFGQPC Uthmanic Script HAFS" w:hint="eastAsia"/>
          <w:sz w:val="28"/>
          <w:szCs w:val="28"/>
          <w:rtl/>
        </w:rPr>
        <w:t>ل</w:t>
      </w:r>
      <w:r w:rsidR="00B06788" w:rsidRPr="0067048A">
        <w:rPr>
          <w:rFonts w:ascii="KFGQPC Uthmanic Script HAFS" w:cs="KFGQPC Uthmanic Script HAFS" w:hint="cs"/>
          <w:sz w:val="28"/>
          <w:szCs w:val="28"/>
          <w:rtl/>
        </w:rPr>
        <w:t>ۡ</w:t>
      </w:r>
      <w:r w:rsidR="00B06788" w:rsidRPr="0067048A">
        <w:rPr>
          <w:rFonts w:ascii="KFGQPC Uthmanic Script HAFS" w:cs="KFGQPC Uthmanic Script HAFS" w:hint="eastAsia"/>
          <w:sz w:val="28"/>
          <w:szCs w:val="28"/>
          <w:rtl/>
        </w:rPr>
        <w:t>قُر</w:t>
      </w:r>
      <w:r w:rsidR="00B06788" w:rsidRPr="0067048A">
        <w:rPr>
          <w:rFonts w:ascii="KFGQPC Uthmanic Script HAFS" w:cs="KFGQPC Uthmanic Script HAFS" w:hint="cs"/>
          <w:sz w:val="28"/>
          <w:szCs w:val="28"/>
          <w:rtl/>
        </w:rPr>
        <w:t>ۡ</w:t>
      </w:r>
      <w:r w:rsidR="00B06788" w:rsidRPr="0067048A">
        <w:rPr>
          <w:rFonts w:ascii="KFGQPC Uthmanic Script HAFS" w:cs="KFGQPC Uthmanic Script HAFS" w:hint="eastAsia"/>
          <w:sz w:val="28"/>
          <w:szCs w:val="28"/>
          <w:rtl/>
        </w:rPr>
        <w:t>بَى</w:t>
      </w:r>
      <w:r w:rsidR="00B06788" w:rsidRPr="0067048A">
        <w:rPr>
          <w:rFonts w:ascii="KFGQPC Uthmanic Script HAFS" w:cs="KFGQPC Uthmanic Script HAFS" w:hint="cs"/>
          <w:sz w:val="28"/>
          <w:szCs w:val="28"/>
          <w:rtl/>
        </w:rPr>
        <w:t>ٰ</w:t>
      </w:r>
      <w:r w:rsidR="00B06788" w:rsidRPr="00995B26">
        <w:rPr>
          <w:rFonts w:ascii="KFGQPC Uthmanic Script HAFS" w:cs="Times New Roman" w:hint="cs"/>
          <w:sz w:val="28"/>
          <w:rtl/>
        </w:rPr>
        <w:t>...</w:t>
      </w:r>
      <w:r w:rsidR="00B06788" w:rsidRPr="00995B26">
        <w:rPr>
          <w:rFonts w:ascii="Abo-thar" w:hAnsi="Abo-thar" w:cs="Traditional Arabic" w:hint="cs"/>
          <w:sz w:val="28"/>
          <w:rtl/>
          <w:lang w:bidi="ar-SY"/>
        </w:rPr>
        <w:t>﴾</w:t>
      </w:r>
      <w:r w:rsidRPr="00995B26">
        <w:rPr>
          <w:rFonts w:ascii="Abo-thar" w:hAnsi="Abo-thar"/>
          <w:b/>
          <w:bCs/>
          <w:sz w:val="28"/>
          <w:rtl/>
          <w:lang w:bidi="ar-SY"/>
        </w:rPr>
        <w:t xml:space="preserve"> </w:t>
      </w:r>
      <w:r w:rsidRPr="00394385">
        <w:rPr>
          <w:rFonts w:ascii="Abo-thar" w:hAnsi="Abo-thar" w:cs="KFGQPC Uthman Taha Naskh"/>
          <w:b/>
          <w:bCs/>
          <w:sz w:val="28"/>
          <w:rtl/>
          <w:lang w:bidi="ar-SY"/>
        </w:rPr>
        <w:t>فَمَا كَانَ لِلرَّسُولِ فَهُوَ لَنَا وشِيعَتِنَا حَلَّلْنَاهُ لَهُمْ وطَيَّبْنَاهُ لَهُمْ</w:t>
      </w:r>
      <w:r w:rsidR="00217AB4" w:rsidRPr="00394385">
        <w:rPr>
          <w:rFonts w:ascii="Abo-thar" w:hAnsi="Abo-thar" w:cs="KFGQPC Uthman Taha Naskh" w:hint="cs"/>
          <w:b/>
          <w:bCs/>
          <w:sz w:val="28"/>
          <w:rtl/>
          <w:lang w:bidi="ar-SY"/>
        </w:rPr>
        <w:t>.</w:t>
      </w:r>
      <w:r w:rsidRPr="00394385">
        <w:rPr>
          <w:rFonts w:ascii="Abo-thar" w:hAnsi="Abo-thar" w:cs="KFGQPC Uthman Taha Naskh"/>
          <w:b/>
          <w:bCs/>
          <w:sz w:val="28"/>
          <w:rtl/>
          <w:lang w:bidi="ar-SY"/>
        </w:rPr>
        <w:t xml:space="preserve"> يَا أَبَا حَمْزَةَ</w:t>
      </w:r>
      <w:r w:rsidR="00217AB4" w:rsidRPr="00394385">
        <w:rPr>
          <w:rFonts w:ascii="Abo-thar" w:hAnsi="Abo-thar" w:cs="KFGQPC Uthman Taha Naskh" w:hint="cs"/>
          <w:b/>
          <w:bCs/>
          <w:sz w:val="28"/>
          <w:rtl/>
          <w:lang w:bidi="ar-SY"/>
        </w:rPr>
        <w:t>!</w:t>
      </w:r>
      <w:r w:rsidRPr="00394385">
        <w:rPr>
          <w:rFonts w:ascii="Abo-thar" w:hAnsi="Abo-thar" w:cs="KFGQPC Uthman Taha Naskh"/>
          <w:b/>
          <w:bCs/>
          <w:sz w:val="28"/>
          <w:rtl/>
          <w:lang w:bidi="ar-SY"/>
        </w:rPr>
        <w:t xml:space="preserve"> واللهِ لَا يُضْرَبُ عَلَى شَيْ‏ءٍ مِنَ الأَشْيَاءِ فِي شَرْقِ الأَرْضِ ولَا غَرْبِهَا إِلَّا كَانَ حَرَاماً سُحْتاً عَلَى مَنْ نَالَ مِنْهُ شَيْئاً مَا خَلَانَا وشِيعَتَنَا فَإِنَّا طَيَّبْنَاهُ لَكُمْ وجَعَلْنَاهُ لَكُمْ</w:t>
      </w:r>
      <w:r w:rsidR="00EF2588" w:rsidRPr="00394385">
        <w:rPr>
          <w:rFonts w:ascii="Abo-thar" w:hAnsi="Abo-thar" w:cs="KFGQPC Uthman Taha Naskh" w:hint="cs"/>
          <w:sz w:val="28"/>
          <w:rtl/>
          <w:lang w:bidi="ar-SY"/>
        </w:rPr>
        <w:t>»</w:t>
      </w:r>
      <w:r w:rsidR="00CF46B9" w:rsidRPr="0021507A">
        <w:rPr>
          <w:rFonts w:ascii="Abo-thar" w:hAnsi="Abo-thar" w:cs="Arabic11 BT"/>
          <w:sz w:val="28"/>
          <w:vertAlign w:val="superscript"/>
          <w:rtl/>
          <w:lang w:bidi="ar-SY"/>
        </w:rPr>
        <w:t>(</w:t>
      </w:r>
      <w:r w:rsidR="00CF46B9" w:rsidRPr="0021507A">
        <w:rPr>
          <w:rStyle w:val="FootnoteReference"/>
          <w:rFonts w:ascii="Abo-thar" w:hAnsi="Abo-thar" w:cs="Arabic11 BT"/>
          <w:sz w:val="28"/>
          <w:rtl/>
          <w:lang w:bidi="ar-SY"/>
        </w:rPr>
        <w:footnoteReference w:id="339"/>
      </w:r>
      <w:r w:rsidR="00CF46B9" w:rsidRPr="0021507A">
        <w:rPr>
          <w:rFonts w:ascii="Abo-thar" w:hAnsi="Abo-thar" w:cs="Arabic11 BT"/>
          <w:sz w:val="28"/>
          <w:vertAlign w:val="superscript"/>
          <w:rtl/>
          <w:lang w:bidi="ar-SY"/>
        </w:rPr>
        <w:t>)</w:t>
      </w:r>
      <w:r w:rsidR="00217AB4" w:rsidRPr="00995B26">
        <w:rPr>
          <w:rFonts w:ascii="Abo-thar" w:hAnsi="Abo-thar" w:hint="cs"/>
          <w:sz w:val="28"/>
          <w:rtl/>
          <w:lang w:bidi="ar-SY"/>
        </w:rPr>
        <w:t>.</w:t>
      </w:r>
    </w:p>
    <w:p w:rsidR="000262E0" w:rsidRPr="003F3B94" w:rsidRDefault="000262E0" w:rsidP="003F3B94">
      <w:pPr>
        <w:pStyle w:val="a0"/>
        <w:rPr>
          <w:rFonts w:hint="cs"/>
          <w:rtl/>
          <w:lang w:bidi="fa-IR"/>
        </w:rPr>
      </w:pPr>
      <w:r w:rsidRPr="003F3B94">
        <w:rPr>
          <w:rFonts w:ascii="Abo-thar" w:hAnsi="Abo-thar" w:hint="cs"/>
          <w:sz w:val="28"/>
          <w:rtl/>
          <w:lang w:bidi="ar-SY"/>
        </w:rPr>
        <w:t xml:space="preserve">12- </w:t>
      </w:r>
      <w:r w:rsidR="007B5F29" w:rsidRPr="003F3B94">
        <w:rPr>
          <w:rFonts w:ascii="Abo-thar" w:hAnsi="Abo-thar" w:hint="cs"/>
          <w:sz w:val="28"/>
          <w:rtl/>
          <w:lang w:bidi="ar-SY"/>
        </w:rPr>
        <w:t>وروى الطوسي في "التهذيب"</w:t>
      </w:r>
      <w:r w:rsidRPr="003F3B94">
        <w:rPr>
          <w:rFonts w:ascii="Abo-thar" w:hAnsi="Abo-thar" w:hint="cs"/>
          <w:sz w:val="28"/>
          <w:rtl/>
          <w:lang w:bidi="ar-SY"/>
        </w:rPr>
        <w:t xml:space="preserve"> والاستبصار: بإسناده: </w:t>
      </w:r>
      <w:r w:rsidRPr="00394385">
        <w:rPr>
          <w:rFonts w:ascii="Abo-thar" w:hAnsi="Abo-thar" w:cs="KFGQPC Uthman Taha Naskh"/>
          <w:b/>
          <w:bCs/>
          <w:sz w:val="28"/>
          <w:rtl/>
          <w:lang w:bidi="ar-SY"/>
        </w:rPr>
        <w:t>«...</w:t>
      </w:r>
      <w:r w:rsidR="006D4328" w:rsidRPr="00394385">
        <w:rPr>
          <w:rFonts w:ascii="Abo-thar" w:hAnsi="Abo-thar" w:cs="KFGQPC Uthman Taha Naskh"/>
          <w:b/>
          <w:bCs/>
          <w:sz w:val="28"/>
          <w:rtl/>
          <w:lang w:bidi="ar-SY"/>
        </w:rPr>
        <w:t>عَنِ الحَكَمِ بْنِ عِلْبَاءٍ الأَسَدِيِّ قَالَ: وُلِّيتُ البَحْرَيْنَ فَأَصَبْتُ بِهَا مَالًا كَثِيراً فَأَنْفَقْتُ واشْتَرَيْتُ ضِيَاعاً كَثِيرَةً واشْتَرَيْتُ رَقِيقاً وأُمَّهَاتِ أَوْلَادٍ ووُلِدَ لِي ثُمَّ خَرَجْتُ إِلَى مَكَّةَ فَحَمَلْتُ عِيَالِي وأُمَّهَاتِ أَوْلَادِي ونِسَائِي وحَمَلْتُ خُمُسَ ذَلِكَ المَالِ فَدَخَلْتُ عَلَى أَبِي جَعْفَرٍ</w:t>
      </w:r>
      <w:r w:rsidR="00BC4BA9" w:rsidRPr="00BC4BA9">
        <w:rPr>
          <w:rFonts w:ascii="Abo-thar" w:hAnsi="Abo-thar" w:cs="CTraditional Arabic" w:hint="cs"/>
          <w:b/>
          <w:sz w:val="28"/>
          <w:rtl/>
          <w:lang w:bidi="ar-SY"/>
        </w:rPr>
        <w:t>÷</w:t>
      </w:r>
      <w:r w:rsidR="006D4328" w:rsidRPr="00394385">
        <w:rPr>
          <w:rFonts w:ascii="Abo-thar" w:hAnsi="Abo-thar" w:cs="KFGQPC Uthman Taha Naskh"/>
          <w:b/>
          <w:bCs/>
          <w:sz w:val="28"/>
          <w:rtl/>
          <w:lang w:bidi="ar-SY"/>
        </w:rPr>
        <w:t xml:space="preserve"> فَقُلْتُ لَهُ: إِنِّي وُلِّيتُ البَحْرَيْنَ فَأَصَبْتُ بِهَا مَالًا كَثِيراً واشْتَرَيْتُ مَتَاعاً واشْتَرَيْتُ رَقِيقاً واشْتَرَيْتُ أُمَّهَاتِ أَوْلَادٍ ووُلِدَ لِي وأَنْفَقْتُ، وهَذَا خُمُسُ ذَلِكَ المَالِ وهَؤُلَاءِ أُمَّهَاتُ أَوْلَادِي ونِسَائِي قَدْ أَتَيْتُكَ بِهِ. فَقَالَ: أَمَا إِنَّهُ كُلَّهُ لَنَا، وقَدْ قَبِلْتُ مَا جِئْتَ بِهِ، وقَدْ حَلَّلْتُكَ مِنْ أُمَّهَاتِ أَوْلَادِكَ ونِسَائِكَ ومَا أَنْفَقْتَ وضَمِنْتُ لَكَ عَلَيَّ وعَلَى أَبِيَ الجَنَّة</w:t>
      </w:r>
      <w:r w:rsidRPr="00394385">
        <w:rPr>
          <w:rFonts w:ascii="Abo-thar" w:hAnsi="Abo-thar" w:cs="KFGQPC Uthman Taha Naskh"/>
          <w:b/>
          <w:bCs/>
          <w:sz w:val="28"/>
          <w:rtl/>
          <w:lang w:bidi="ar-SY"/>
        </w:rPr>
        <w:t>»</w:t>
      </w:r>
      <w:r w:rsidR="00CF46B9" w:rsidRPr="0021507A">
        <w:rPr>
          <w:rFonts w:ascii="Abo-thar" w:hAnsi="Abo-thar" w:cs="Arabic11 BT"/>
          <w:b/>
          <w:sz w:val="28"/>
          <w:vertAlign w:val="superscript"/>
          <w:rtl/>
          <w:lang w:bidi="ar-SY"/>
        </w:rPr>
        <w:t>(</w:t>
      </w:r>
      <w:r w:rsidR="00CF46B9" w:rsidRPr="0021507A">
        <w:rPr>
          <w:rStyle w:val="FootnoteReference"/>
          <w:rFonts w:ascii="Abo-thar" w:hAnsi="Abo-thar" w:cs="Arabic11 BT"/>
          <w:b/>
          <w:sz w:val="28"/>
          <w:rtl/>
          <w:lang w:bidi="ar-SY"/>
        </w:rPr>
        <w:footnoteReference w:id="340"/>
      </w:r>
      <w:r w:rsidR="00CF46B9" w:rsidRPr="0021507A">
        <w:rPr>
          <w:rFonts w:ascii="Abo-thar" w:hAnsi="Abo-thar" w:cs="Arabic11 BT"/>
          <w:b/>
          <w:sz w:val="28"/>
          <w:vertAlign w:val="superscript"/>
          <w:rtl/>
          <w:lang w:bidi="ar-SY"/>
        </w:rPr>
        <w:t>)</w:t>
      </w:r>
      <w:r w:rsidRPr="003F3B94">
        <w:rPr>
          <w:rFonts w:ascii="Abo-thar" w:hAnsi="Abo-thar"/>
          <w:b/>
          <w:bCs/>
          <w:sz w:val="28"/>
          <w:rtl/>
          <w:lang w:bidi="ar-SY"/>
        </w:rPr>
        <w:t>.</w:t>
      </w:r>
    </w:p>
    <w:p w:rsidR="003D6690" w:rsidRPr="00995B26" w:rsidRDefault="003D6690" w:rsidP="003C671C">
      <w:pPr>
        <w:pStyle w:val="a6"/>
        <w:rPr>
          <w:rFonts w:hint="cs"/>
          <w:rtl/>
        </w:rPr>
      </w:pPr>
      <w:bookmarkStart w:id="111" w:name="_Toc387843082"/>
      <w:r w:rsidRPr="00995B26">
        <w:rPr>
          <w:rFonts w:hint="cs"/>
          <w:rtl/>
        </w:rPr>
        <w:t xml:space="preserve">4- الإمام الصادق </w:t>
      </w:r>
      <w:r w:rsidR="003C7AEB" w:rsidRPr="003C7AEB">
        <w:rPr>
          <w:rFonts w:cs="CTraditional Arabic" w:hint="cs"/>
          <w:bCs w:val="0"/>
          <w:rtl/>
        </w:rPr>
        <w:t>÷</w:t>
      </w:r>
      <w:bookmarkEnd w:id="111"/>
    </w:p>
    <w:p w:rsidR="005C664D" w:rsidRPr="003F3B94" w:rsidRDefault="005C664D" w:rsidP="003F3B94">
      <w:pPr>
        <w:pStyle w:val="a0"/>
        <w:rPr>
          <w:rFonts w:hint="cs"/>
          <w:rtl/>
          <w:lang w:bidi="ar-SY"/>
        </w:rPr>
      </w:pPr>
      <w:r w:rsidRPr="003F3B94">
        <w:rPr>
          <w:rFonts w:ascii="Abo-thar" w:hAnsi="Abo-thar" w:hint="cs"/>
          <w:sz w:val="28"/>
          <w:rtl/>
          <w:lang w:bidi="ar-SY"/>
        </w:rPr>
        <w:t>1</w:t>
      </w:r>
      <w:r w:rsidR="000262E0" w:rsidRPr="003F3B94">
        <w:rPr>
          <w:rFonts w:ascii="Abo-thar" w:hAnsi="Abo-thar" w:hint="cs"/>
          <w:sz w:val="28"/>
          <w:rtl/>
          <w:lang w:bidi="ar-SY"/>
        </w:rPr>
        <w:t>3</w:t>
      </w:r>
      <w:r w:rsidR="00217AB4" w:rsidRPr="003F3B94">
        <w:rPr>
          <w:rFonts w:ascii="Abo-thar" w:hAnsi="Abo-thar" w:hint="cs"/>
          <w:sz w:val="28"/>
          <w:rtl/>
          <w:lang w:bidi="ar-SY"/>
        </w:rPr>
        <w:t>-</w:t>
      </w:r>
      <w:r w:rsidRPr="003F3B94">
        <w:rPr>
          <w:rFonts w:ascii="Abo-thar" w:hAnsi="Abo-thar" w:hint="cs"/>
          <w:sz w:val="28"/>
          <w:rtl/>
          <w:lang w:bidi="ar-SY"/>
        </w:rPr>
        <w:t xml:space="preserve"> روى الشيخ الطوسي في «التهذيب» وفي </w:t>
      </w:r>
      <w:r w:rsidRPr="003F3B94">
        <w:rPr>
          <w:rFonts w:ascii="Abo-thar" w:hAnsi="Abo-thar"/>
          <w:sz w:val="28"/>
          <w:rtl/>
          <w:lang w:bidi="ar-SY"/>
        </w:rPr>
        <w:t>«</w:t>
      </w:r>
      <w:r w:rsidRPr="003F3B94">
        <w:rPr>
          <w:rFonts w:ascii="Abo-thar" w:hAnsi="Abo-thar" w:hint="cs"/>
          <w:sz w:val="28"/>
          <w:rtl/>
          <w:lang w:bidi="ar-SY"/>
        </w:rPr>
        <w:t>الاستبصار</w:t>
      </w:r>
      <w:r w:rsidRPr="003F3B94">
        <w:rPr>
          <w:rFonts w:ascii="Abo-thar" w:hAnsi="Abo-thar"/>
          <w:sz w:val="28"/>
          <w:rtl/>
          <w:lang w:bidi="ar-SY"/>
        </w:rPr>
        <w:t>»</w:t>
      </w:r>
      <w:r w:rsidRPr="003F3B94">
        <w:rPr>
          <w:rFonts w:ascii="Abo-thar" w:hAnsi="Abo-thar" w:hint="cs"/>
          <w:sz w:val="28"/>
          <w:rtl/>
          <w:lang w:bidi="ar-SY"/>
        </w:rPr>
        <w:t xml:space="preserve"> بإسناده</w:t>
      </w:r>
      <w:r w:rsidR="00217AB4" w:rsidRPr="003F3B94">
        <w:rPr>
          <w:rFonts w:ascii="Abo-thar" w:hAnsi="Abo-thar" w:hint="cs"/>
          <w:sz w:val="28"/>
          <w:rtl/>
          <w:lang w:bidi="ar-SY"/>
        </w:rPr>
        <w:t>:</w:t>
      </w:r>
      <w:r w:rsidRPr="003F3B94">
        <w:rPr>
          <w:rFonts w:ascii="Abo-thar" w:hAnsi="Abo-thar" w:hint="cs"/>
          <w:sz w:val="28"/>
          <w:rtl/>
          <w:lang w:bidi="ar-SY"/>
        </w:rPr>
        <w:t xml:space="preserve"> </w:t>
      </w:r>
      <w:r w:rsidR="00EF2588" w:rsidRPr="00394385">
        <w:rPr>
          <w:rFonts w:ascii="Abo-thar" w:hAnsi="Abo-thar" w:cs="KFGQPC Uthman Taha Naskh" w:hint="cs"/>
          <w:sz w:val="28"/>
          <w:rtl/>
          <w:lang w:bidi="ar-SY"/>
        </w:rPr>
        <w:t>«</w:t>
      </w:r>
      <w:r w:rsidRPr="00394385">
        <w:rPr>
          <w:rFonts w:ascii="Abo-thar" w:hAnsi="Abo-thar" w:cs="KFGQPC Uthman Taha Naskh" w:hint="cs"/>
          <w:b/>
          <w:bCs/>
          <w:sz w:val="28"/>
          <w:rtl/>
          <w:lang w:bidi="ar-SY"/>
        </w:rPr>
        <w:t>ع</w:t>
      </w:r>
      <w:r w:rsidRPr="00394385">
        <w:rPr>
          <w:rFonts w:ascii="Abo-thar" w:hAnsi="Abo-thar" w:cs="KFGQPC Uthman Taha Naskh"/>
          <w:b/>
          <w:bCs/>
          <w:sz w:val="28"/>
          <w:rtl/>
          <w:lang w:bidi="ar-SY"/>
        </w:rPr>
        <w:t xml:space="preserve">َنْ فَضَالَةَ بْنِ أَيُّوبَ عَنْ عُمَرَ بْنِ أَبَانٍ الكَلْبِيِّ عَنْ ضُرَيْسٍ الكُنَاسِيِّ قَالَ قَالَ أَبُو عَبْدِ اللهِ </w:t>
      </w:r>
      <w:r w:rsidR="00BC4BA9" w:rsidRPr="00BC4BA9">
        <w:rPr>
          <w:rFonts w:ascii="Abo-thar" w:hAnsi="Abo-thar" w:cs="CTraditional Arabic" w:hint="cs"/>
          <w:b/>
          <w:sz w:val="28"/>
          <w:rtl/>
          <w:lang w:bidi="ar-SY"/>
        </w:rPr>
        <w:t>÷</w:t>
      </w:r>
      <w:r w:rsidR="00217AB4" w:rsidRPr="00394385">
        <w:rPr>
          <w:rFonts w:ascii="Abo-thar" w:hAnsi="Abo-thar" w:cs="KFGQPC Uthman Taha Naskh" w:hint="cs"/>
          <w:b/>
          <w:bCs/>
          <w:sz w:val="28"/>
          <w:rtl/>
          <w:lang w:bidi="ar-SY"/>
        </w:rPr>
        <w:t>:</w:t>
      </w:r>
      <w:r w:rsidRPr="00394385">
        <w:rPr>
          <w:rFonts w:ascii="Abo-thar" w:hAnsi="Abo-thar" w:cs="KFGQPC Uthman Taha Naskh"/>
          <w:b/>
          <w:bCs/>
          <w:sz w:val="28"/>
          <w:rtl/>
          <w:lang w:bidi="ar-SY"/>
        </w:rPr>
        <w:t xml:space="preserve"> أَ تَدْرِي مِنْ أَيْنَ دَخَلَ عَلَى النَّاسِ الزِّنَا</w:t>
      </w:r>
      <w:r w:rsidR="00217AB4" w:rsidRPr="00394385">
        <w:rPr>
          <w:rFonts w:ascii="Abo-thar" w:hAnsi="Abo-thar" w:cs="KFGQPC Uthman Taha Naskh" w:hint="cs"/>
          <w:b/>
          <w:bCs/>
          <w:sz w:val="28"/>
          <w:rtl/>
          <w:lang w:bidi="ar-SY"/>
        </w:rPr>
        <w:t>؟</w:t>
      </w:r>
      <w:r w:rsidRPr="00394385">
        <w:rPr>
          <w:rFonts w:ascii="Abo-thar" w:hAnsi="Abo-thar" w:cs="KFGQPC Uthman Taha Naskh"/>
          <w:b/>
          <w:bCs/>
          <w:sz w:val="28"/>
          <w:rtl/>
          <w:lang w:bidi="ar-SY"/>
        </w:rPr>
        <w:t xml:space="preserve"> فَقُلْتُ</w:t>
      </w:r>
      <w:r w:rsidR="00217AB4" w:rsidRPr="00394385">
        <w:rPr>
          <w:rFonts w:ascii="Abo-thar" w:hAnsi="Abo-thar" w:cs="KFGQPC Uthman Taha Naskh" w:hint="cs"/>
          <w:b/>
          <w:bCs/>
          <w:sz w:val="28"/>
          <w:rtl/>
          <w:lang w:bidi="ar-SY"/>
        </w:rPr>
        <w:t>:</w:t>
      </w:r>
      <w:r w:rsidRPr="00394385">
        <w:rPr>
          <w:rFonts w:ascii="Abo-thar" w:hAnsi="Abo-thar" w:cs="KFGQPC Uthman Taha Naskh"/>
          <w:b/>
          <w:bCs/>
          <w:sz w:val="28"/>
          <w:rtl/>
          <w:lang w:bidi="ar-SY"/>
        </w:rPr>
        <w:t xml:space="preserve"> لَا</w:t>
      </w:r>
      <w:r w:rsidRPr="00394385">
        <w:rPr>
          <w:rFonts w:cs="Times New Roman" w:hint="cs"/>
          <w:b/>
          <w:bCs/>
          <w:sz w:val="28"/>
          <w:rtl/>
          <w:lang w:bidi="ar-SY"/>
        </w:rPr>
        <w:t> </w:t>
      </w:r>
      <w:r w:rsidRPr="00394385">
        <w:rPr>
          <w:rFonts w:ascii="Abo-thar" w:hAnsi="Abo-thar" w:cs="KFGQPC Uthman Taha Naskh"/>
          <w:b/>
          <w:bCs/>
          <w:sz w:val="28"/>
          <w:rtl/>
          <w:lang w:bidi="ar-SY"/>
        </w:rPr>
        <w:t>أَدْرِي</w:t>
      </w:r>
      <w:r w:rsidR="00217AB4" w:rsidRPr="00394385">
        <w:rPr>
          <w:rFonts w:ascii="Abo-thar" w:hAnsi="Abo-thar" w:cs="KFGQPC Uthman Taha Naskh" w:hint="cs"/>
          <w:b/>
          <w:bCs/>
          <w:sz w:val="28"/>
          <w:rtl/>
          <w:lang w:bidi="ar-SY"/>
        </w:rPr>
        <w:t>!</w:t>
      </w:r>
      <w:r w:rsidRPr="00394385">
        <w:rPr>
          <w:rFonts w:ascii="Abo-thar" w:hAnsi="Abo-thar" w:cs="KFGQPC Uthman Taha Naskh"/>
          <w:b/>
          <w:bCs/>
          <w:sz w:val="28"/>
          <w:rtl/>
          <w:lang w:bidi="ar-SY"/>
        </w:rPr>
        <w:t xml:space="preserve"> فَقَالَ</w:t>
      </w:r>
      <w:r w:rsidR="00217AB4" w:rsidRPr="00394385">
        <w:rPr>
          <w:rFonts w:ascii="Abo-thar" w:hAnsi="Abo-thar" w:cs="KFGQPC Uthman Taha Naskh" w:hint="cs"/>
          <w:b/>
          <w:bCs/>
          <w:sz w:val="28"/>
          <w:rtl/>
          <w:lang w:bidi="ar-SY"/>
        </w:rPr>
        <w:t>:</w:t>
      </w:r>
      <w:r w:rsidRPr="00394385">
        <w:rPr>
          <w:rFonts w:ascii="Abo-thar" w:hAnsi="Abo-thar" w:cs="KFGQPC Uthman Taha Naskh"/>
          <w:b/>
          <w:bCs/>
          <w:sz w:val="28"/>
          <w:rtl/>
          <w:lang w:bidi="ar-SY"/>
        </w:rPr>
        <w:t xml:space="preserve"> مِنْ قِبَلِ خُمُسِنَا أَهْلَ البَيْتِ إِلَّا لِشِيعَتِنَا الأَطْيَبِينَ فَإِنَّهُ مُحَلَّلٌ لَهُمْ ولِمِيلَادِهِمْ</w:t>
      </w:r>
      <w:r w:rsidR="00EF2588" w:rsidRPr="00394385">
        <w:rPr>
          <w:rFonts w:ascii="Abo-thar" w:hAnsi="Abo-thar" w:cs="KFGQPC Uthman Taha Naskh" w:hint="cs"/>
          <w:sz w:val="28"/>
          <w:rtl/>
          <w:lang w:bidi="ar-SY"/>
        </w:rPr>
        <w:t>»</w:t>
      </w:r>
      <w:r w:rsidR="00CF46B9" w:rsidRPr="0021507A">
        <w:rPr>
          <w:rFonts w:ascii="Abo-thar" w:hAnsi="Abo-thar" w:cs="Arabic11 BT"/>
          <w:sz w:val="28"/>
          <w:vertAlign w:val="superscript"/>
          <w:rtl/>
          <w:lang w:bidi="ar-SY"/>
        </w:rPr>
        <w:t>(</w:t>
      </w:r>
      <w:r w:rsidR="00CF46B9" w:rsidRPr="0021507A">
        <w:rPr>
          <w:rStyle w:val="FootnoteReference"/>
          <w:rFonts w:ascii="Abo-thar" w:hAnsi="Abo-thar" w:cs="Arabic11 BT"/>
          <w:sz w:val="28"/>
          <w:rtl/>
          <w:lang w:bidi="ar-SY"/>
        </w:rPr>
        <w:footnoteReference w:id="341"/>
      </w:r>
      <w:r w:rsidR="00CF46B9" w:rsidRPr="0021507A">
        <w:rPr>
          <w:rFonts w:ascii="Abo-thar" w:hAnsi="Abo-thar" w:cs="Arabic11 BT"/>
          <w:sz w:val="28"/>
          <w:vertAlign w:val="superscript"/>
          <w:rtl/>
          <w:lang w:bidi="ar-SY"/>
        </w:rPr>
        <w:t>)</w:t>
      </w:r>
      <w:r w:rsidR="00217AB4" w:rsidRPr="003F3B94">
        <w:rPr>
          <w:rFonts w:ascii="Abo-thar" w:hAnsi="Abo-thar" w:hint="cs"/>
          <w:sz w:val="28"/>
          <w:rtl/>
          <w:lang w:bidi="ar-SY"/>
        </w:rPr>
        <w:t>.</w:t>
      </w:r>
      <w:r w:rsidRPr="003F3B94">
        <w:rPr>
          <w:rFonts w:ascii="Abo-thar" w:hAnsi="Abo-thar"/>
          <w:sz w:val="28"/>
          <w:rtl/>
          <w:lang w:bidi="ar-SY"/>
        </w:rPr>
        <w:t xml:space="preserve"> </w:t>
      </w:r>
    </w:p>
    <w:p w:rsidR="005C664D" w:rsidRPr="003F3B94" w:rsidRDefault="005C664D" w:rsidP="003F3B94">
      <w:pPr>
        <w:pStyle w:val="a0"/>
        <w:rPr>
          <w:rFonts w:hint="cs"/>
          <w:rtl/>
          <w:lang w:bidi="ar-SY"/>
        </w:rPr>
      </w:pPr>
      <w:r w:rsidRPr="003F3B94">
        <w:rPr>
          <w:rFonts w:ascii="Abo-thar" w:hAnsi="Abo-thar" w:hint="cs"/>
          <w:sz w:val="28"/>
          <w:rtl/>
          <w:lang w:bidi="ar-SY"/>
        </w:rPr>
        <w:t>1</w:t>
      </w:r>
      <w:r w:rsidR="000262E0" w:rsidRPr="003F3B94">
        <w:rPr>
          <w:rFonts w:ascii="Abo-thar" w:hAnsi="Abo-thar" w:hint="cs"/>
          <w:sz w:val="28"/>
          <w:rtl/>
          <w:lang w:bidi="ar-SY"/>
        </w:rPr>
        <w:t>4</w:t>
      </w:r>
      <w:r w:rsidR="00217AB4" w:rsidRPr="003F3B94">
        <w:rPr>
          <w:rFonts w:ascii="Abo-thar" w:hAnsi="Abo-thar" w:hint="cs"/>
          <w:sz w:val="28"/>
          <w:rtl/>
          <w:lang w:bidi="ar-SY"/>
        </w:rPr>
        <w:t>-</w:t>
      </w:r>
      <w:r w:rsidRPr="003F3B94">
        <w:rPr>
          <w:rFonts w:ascii="Abo-thar" w:hAnsi="Abo-thar" w:hint="cs"/>
          <w:sz w:val="28"/>
          <w:rtl/>
          <w:lang w:bidi="ar-SY"/>
        </w:rPr>
        <w:t xml:space="preserve"> والحديث ذاته رواه الكُلَيْنِيّ في </w:t>
      </w:r>
      <w:r w:rsidRPr="003F3B94">
        <w:rPr>
          <w:rFonts w:ascii="Abo-thar" w:hAnsi="Abo-thar"/>
          <w:sz w:val="28"/>
          <w:rtl/>
          <w:lang w:bidi="ar-SY"/>
        </w:rPr>
        <w:t>«</w:t>
      </w:r>
      <w:r w:rsidRPr="003F3B94">
        <w:rPr>
          <w:rFonts w:ascii="Abo-thar" w:hAnsi="Abo-thar" w:hint="cs"/>
          <w:sz w:val="28"/>
          <w:rtl/>
          <w:lang w:bidi="ar-SY"/>
        </w:rPr>
        <w:t>الكافي</w:t>
      </w:r>
      <w:r w:rsidRPr="003F3B94">
        <w:rPr>
          <w:rFonts w:ascii="Abo-thar" w:hAnsi="Abo-thar"/>
          <w:sz w:val="28"/>
          <w:rtl/>
          <w:lang w:bidi="ar-SY"/>
        </w:rPr>
        <w:t>»</w:t>
      </w:r>
      <w:r w:rsidRPr="003F3B94">
        <w:rPr>
          <w:rFonts w:ascii="Abo-thar" w:hAnsi="Abo-thar" w:hint="cs"/>
          <w:sz w:val="28"/>
          <w:rtl/>
          <w:lang w:bidi="ar-SY"/>
        </w:rPr>
        <w:t xml:space="preserve"> من طريق </w:t>
      </w:r>
      <w:r w:rsidR="00EF2588" w:rsidRPr="00394385">
        <w:rPr>
          <w:rFonts w:ascii="Abo-thar" w:hAnsi="Abo-thar" w:cs="KFGQPC Uthman Taha Naskh" w:hint="cs"/>
          <w:sz w:val="28"/>
          <w:rtl/>
          <w:lang w:bidi="ar-SY"/>
        </w:rPr>
        <w:t>«</w:t>
      </w:r>
      <w:r w:rsidRPr="00394385">
        <w:rPr>
          <w:rFonts w:ascii="Abo-thar" w:hAnsi="Abo-thar" w:cs="KFGQPC Uthman Taha Naskh"/>
          <w:b/>
          <w:bCs/>
          <w:sz w:val="28"/>
          <w:rtl/>
          <w:lang w:bidi="ar-SY"/>
        </w:rPr>
        <w:t>عَلِيّ</w:t>
      </w:r>
      <w:r w:rsidRPr="00394385">
        <w:rPr>
          <w:rFonts w:ascii="Abo-thar" w:hAnsi="Abo-thar" w:cs="KFGQPC Uthman Taha Naskh" w:hint="cs"/>
          <w:b/>
          <w:bCs/>
          <w:sz w:val="28"/>
          <w:rtl/>
          <w:lang w:bidi="ar-SY"/>
        </w:rPr>
        <w:t>ِ</w:t>
      </w:r>
      <w:r w:rsidRPr="00394385">
        <w:rPr>
          <w:rFonts w:ascii="Abo-thar" w:hAnsi="Abo-thar" w:cs="KFGQPC Uthman Taha Naskh"/>
          <w:b/>
          <w:bCs/>
          <w:sz w:val="28"/>
          <w:rtl/>
          <w:lang w:bidi="ar-SY"/>
        </w:rPr>
        <w:t xml:space="preserve"> بْن</w:t>
      </w:r>
      <w:r w:rsidRPr="00394385">
        <w:rPr>
          <w:rFonts w:ascii="Abo-thar" w:hAnsi="Abo-thar" w:cs="KFGQPC Uthman Taha Naskh" w:hint="cs"/>
          <w:b/>
          <w:bCs/>
          <w:sz w:val="28"/>
          <w:rtl/>
          <w:lang w:bidi="ar-SY"/>
        </w:rPr>
        <w:t>ِ</w:t>
      </w:r>
      <w:r w:rsidRPr="00394385">
        <w:rPr>
          <w:rFonts w:ascii="Abo-thar" w:hAnsi="Abo-thar" w:cs="KFGQPC Uthman Taha Naskh"/>
          <w:b/>
          <w:bCs/>
          <w:sz w:val="28"/>
          <w:rtl/>
          <w:lang w:bidi="ar-SY"/>
        </w:rPr>
        <w:t xml:space="preserve"> إِبْرَاهِيمَ عَنْ أَبِيهِ عَنِ ابْنِ مَحْبُوبٍ عَنْ</w:t>
      </w:r>
      <w:r w:rsidR="00EA1B67" w:rsidRPr="00394385">
        <w:rPr>
          <w:rFonts w:ascii="Abo-thar" w:hAnsi="Abo-thar" w:cs="KFGQPC Uthman Taha Naskh"/>
          <w:b/>
          <w:bCs/>
          <w:sz w:val="28"/>
          <w:rtl/>
          <w:lang w:bidi="ar-SY"/>
        </w:rPr>
        <w:t xml:space="preserve"> ضُرَيْسٍ الكُنَاسِيِّ قَالَ: قَالَ أَبُو عَبْدِ اللهِ </w:t>
      </w:r>
      <w:r w:rsidR="00BC4BA9" w:rsidRPr="00BC4BA9">
        <w:rPr>
          <w:rFonts w:ascii="Abo-thar" w:hAnsi="Abo-thar" w:cs="CTraditional Arabic" w:hint="cs"/>
          <w:b/>
          <w:sz w:val="28"/>
          <w:rtl/>
          <w:lang w:bidi="ar-SY"/>
        </w:rPr>
        <w:t>÷</w:t>
      </w:r>
      <w:r w:rsidR="00EA1B67" w:rsidRPr="00394385">
        <w:rPr>
          <w:rFonts w:ascii="Abo-thar" w:hAnsi="Abo-thar" w:cs="KFGQPC Uthman Taha Naskh"/>
          <w:b/>
          <w:bCs/>
          <w:sz w:val="28"/>
          <w:rtl/>
          <w:lang w:bidi="ar-SY"/>
        </w:rPr>
        <w:t>: مِنْ أَيْنَ دَخَلَ عَلَى النَّاسِ الزِّنَا؟ فَقُلْتُ: لَا أَدْرِي!</w:t>
      </w:r>
      <w:r w:rsidR="00EA1B67" w:rsidRPr="00394385">
        <w:rPr>
          <w:rFonts w:ascii="Abo-thar" w:hAnsi="Abo-thar" w:cs="KFGQPC Uthman Taha Naskh" w:hint="cs"/>
          <w:b/>
          <w:bCs/>
          <w:sz w:val="28"/>
          <w:rtl/>
          <w:lang w:bidi="ar-SY"/>
        </w:rPr>
        <w:t xml:space="preserve"> </w:t>
      </w:r>
      <w:r w:rsidR="00EA1B67" w:rsidRPr="00394385">
        <w:rPr>
          <w:rFonts w:ascii="Abo-thar" w:hAnsi="Abo-thar" w:cs="KFGQPC Uthman Taha Naskh"/>
          <w:b/>
          <w:bCs/>
          <w:sz w:val="28"/>
          <w:rtl/>
          <w:lang w:bidi="ar-SY"/>
        </w:rPr>
        <w:t>فَقَالَ: مِنْ قِبَلِ خُمُسِنَا أَهْلَ البَيْتِ إِلَّا لِشِيعَتِنَا الأَطْيَبِينَ فَإِنَّهُ مُحَلَّلٌ لَهُمْ ولِمِيلَادِهِمْ</w:t>
      </w:r>
      <w:r w:rsidR="00EF2588" w:rsidRPr="00394385">
        <w:rPr>
          <w:rFonts w:ascii="Abo-thar" w:hAnsi="Abo-thar" w:cs="KFGQPC Uthman Taha Naskh" w:hint="cs"/>
          <w:sz w:val="28"/>
          <w:rtl/>
          <w:lang w:bidi="ar-SY"/>
        </w:rPr>
        <w:t>»</w:t>
      </w:r>
      <w:r w:rsidR="00CF46B9" w:rsidRPr="0021507A">
        <w:rPr>
          <w:rFonts w:ascii="Abo-thar" w:hAnsi="Abo-thar" w:cs="Arabic11 BT"/>
          <w:sz w:val="28"/>
          <w:vertAlign w:val="superscript"/>
          <w:rtl/>
          <w:lang w:bidi="ar-SY"/>
        </w:rPr>
        <w:t>(</w:t>
      </w:r>
      <w:r w:rsidR="00CF46B9" w:rsidRPr="0021507A">
        <w:rPr>
          <w:rStyle w:val="FootnoteReference"/>
          <w:rFonts w:ascii="Abo-thar" w:hAnsi="Abo-thar" w:cs="Arabic11 BT"/>
          <w:sz w:val="28"/>
          <w:rtl/>
          <w:lang w:bidi="ar-SY"/>
        </w:rPr>
        <w:footnoteReference w:id="342"/>
      </w:r>
      <w:r w:rsidR="00CF46B9" w:rsidRPr="0021507A">
        <w:rPr>
          <w:rFonts w:ascii="Abo-thar" w:hAnsi="Abo-thar" w:cs="Arabic11 BT"/>
          <w:sz w:val="28"/>
          <w:vertAlign w:val="superscript"/>
          <w:rtl/>
          <w:lang w:bidi="ar-SY"/>
        </w:rPr>
        <w:t>)</w:t>
      </w:r>
      <w:r w:rsidR="00217AB4" w:rsidRPr="003F3B94">
        <w:rPr>
          <w:rFonts w:ascii="Abo-thar" w:hAnsi="Abo-thar" w:hint="cs"/>
          <w:sz w:val="28"/>
          <w:rtl/>
          <w:lang w:bidi="ar-SY"/>
        </w:rPr>
        <w:t>.</w:t>
      </w:r>
      <w:r w:rsidRPr="003F3B94">
        <w:rPr>
          <w:rFonts w:ascii="Abo-thar" w:hAnsi="Abo-thar"/>
          <w:sz w:val="28"/>
          <w:rtl/>
          <w:lang w:bidi="ar-SY"/>
        </w:rPr>
        <w:t>‏</w:t>
      </w:r>
    </w:p>
    <w:p w:rsidR="005C664D" w:rsidRPr="003F3B94" w:rsidRDefault="005C664D" w:rsidP="003F3B94">
      <w:pPr>
        <w:pStyle w:val="a0"/>
        <w:rPr>
          <w:rFonts w:hint="cs"/>
          <w:rtl/>
          <w:lang w:bidi="ar-SY"/>
        </w:rPr>
      </w:pPr>
      <w:r w:rsidRPr="003F3B94">
        <w:rPr>
          <w:rFonts w:ascii="Abo-thar" w:hAnsi="Abo-thar" w:hint="cs"/>
          <w:sz w:val="28"/>
          <w:rtl/>
          <w:lang w:bidi="ar-SY"/>
        </w:rPr>
        <w:t>1</w:t>
      </w:r>
      <w:r w:rsidR="009C22A2" w:rsidRPr="003F3B94">
        <w:rPr>
          <w:rFonts w:ascii="Abo-thar" w:hAnsi="Abo-thar" w:hint="cs"/>
          <w:sz w:val="28"/>
          <w:rtl/>
          <w:lang w:bidi="ar-SY"/>
        </w:rPr>
        <w:t>5</w:t>
      </w:r>
      <w:r w:rsidR="00217AB4" w:rsidRPr="003F3B94">
        <w:rPr>
          <w:rFonts w:ascii="Abo-thar" w:hAnsi="Abo-thar" w:hint="cs"/>
          <w:sz w:val="28"/>
          <w:rtl/>
          <w:lang w:bidi="ar-SY"/>
        </w:rPr>
        <w:t>-</w:t>
      </w:r>
      <w:r w:rsidRPr="003F3B94">
        <w:rPr>
          <w:rFonts w:ascii="Abo-thar" w:hAnsi="Abo-thar" w:hint="cs"/>
          <w:sz w:val="28"/>
          <w:rtl/>
          <w:lang w:bidi="ar-SY"/>
        </w:rPr>
        <w:t xml:space="preserve"> وروى الشيخ الطوسي في «التهذيب» والشيخ الصدوق في «من لا يحضره الفقيه» بإسنادهم </w:t>
      </w:r>
      <w:r w:rsidR="00EF2588" w:rsidRPr="00394385">
        <w:rPr>
          <w:rFonts w:ascii="Abo-thar" w:hAnsi="Abo-thar" w:cs="KFGQPC Uthman Taha Naskh" w:hint="cs"/>
          <w:sz w:val="28"/>
          <w:rtl/>
          <w:lang w:bidi="ar-SY"/>
        </w:rPr>
        <w:t>«</w:t>
      </w:r>
      <w:r w:rsidR="00217AB4" w:rsidRPr="00394385">
        <w:rPr>
          <w:rFonts w:ascii="Abo-thar" w:hAnsi="Abo-thar" w:cs="KFGQPC Uthman Taha Naskh" w:hint="cs"/>
          <w:bCs/>
          <w:sz w:val="28"/>
          <w:rtl/>
          <w:lang w:bidi="ar-SY"/>
        </w:rPr>
        <w:t>...</w:t>
      </w:r>
      <w:r w:rsidRPr="00394385">
        <w:rPr>
          <w:rFonts w:ascii="Abo-thar" w:hAnsi="Abo-thar" w:cs="KFGQPC Uthman Taha Naskh" w:hint="cs"/>
          <w:bCs/>
          <w:sz w:val="28"/>
          <w:rtl/>
          <w:lang w:bidi="ar-SY"/>
        </w:rPr>
        <w:t xml:space="preserve"> </w:t>
      </w:r>
      <w:r w:rsidRPr="00394385">
        <w:rPr>
          <w:rFonts w:ascii="Abo-thar" w:hAnsi="Abo-thar" w:cs="KFGQPC Uthman Taha Naskh"/>
          <w:bCs/>
          <w:sz w:val="28"/>
          <w:rtl/>
          <w:lang w:bidi="ar-SY"/>
        </w:rPr>
        <w:t xml:space="preserve">عَنْ يُونُسَ بْنِ يَعْقُوبَ قَالَ كُنْتُ عِنْدَ أَبِي عَبْدِ اللهِ </w:t>
      </w:r>
      <w:r w:rsidR="00BC4BA9" w:rsidRPr="00BC4BA9">
        <w:rPr>
          <w:rFonts w:ascii="Abo-thar" w:hAnsi="Abo-thar" w:cs="CTraditional Arabic"/>
          <w:sz w:val="28"/>
          <w:rtl/>
          <w:lang w:bidi="ar-SY"/>
        </w:rPr>
        <w:t>÷</w:t>
      </w:r>
      <w:r w:rsidRPr="00394385">
        <w:rPr>
          <w:rFonts w:ascii="Abo-thar" w:hAnsi="Abo-thar" w:cs="KFGQPC Uthman Taha Naskh"/>
          <w:bCs/>
          <w:sz w:val="28"/>
          <w:rtl/>
          <w:lang w:bidi="ar-SY"/>
        </w:rPr>
        <w:t xml:space="preserve"> فَدَخَلَ عَلَيْهِ رَجُلٌ مِنَ القَمَّاطِينَ فَقَالَ جُعِلْتُ فِدَاكَ تَقَعُ فِي أَيْدِينَا الأَرْبَاحُ والْأَمْوَالُ وتِجَارَاتٌ نَعْرِفُ أَنَّ حَقَّكَ فِيهَا ثَابِتٌ وإِنَّا عَنْ ذَلِكَ مُقَصِّرُونَ فَقَالَ </w:t>
      </w:r>
      <w:r w:rsidR="00BC4BA9" w:rsidRPr="00BC4BA9">
        <w:rPr>
          <w:rFonts w:ascii="Abo-thar" w:hAnsi="Abo-thar" w:cs="CTraditional Arabic"/>
          <w:sz w:val="28"/>
          <w:rtl/>
          <w:lang w:bidi="ar-SY"/>
        </w:rPr>
        <w:t>÷</w:t>
      </w:r>
      <w:r w:rsidR="00217AB4" w:rsidRPr="00394385">
        <w:rPr>
          <w:rFonts w:ascii="Abo-thar" w:hAnsi="Abo-thar" w:cs="KFGQPC Uthman Taha Naskh" w:hint="cs"/>
          <w:bCs/>
          <w:sz w:val="28"/>
          <w:rtl/>
          <w:lang w:bidi="ar-SY"/>
        </w:rPr>
        <w:t>:</w:t>
      </w:r>
      <w:r w:rsidRPr="00394385">
        <w:rPr>
          <w:rFonts w:ascii="Abo-thar" w:hAnsi="Abo-thar" w:cs="KFGQPC Uthman Taha Naskh"/>
          <w:bCs/>
          <w:sz w:val="28"/>
          <w:rtl/>
          <w:lang w:bidi="ar-SY"/>
        </w:rPr>
        <w:t xml:space="preserve"> مَا أَنْصَفْنَاكُمْ إِنْ كَلَّفْنَاكُمْ ذَلِكَ اليَوْم</w:t>
      </w:r>
      <w:r w:rsidR="00EF2588" w:rsidRPr="00394385">
        <w:rPr>
          <w:rFonts w:ascii="Abo-thar" w:hAnsi="Abo-thar" w:cs="KFGQPC Uthman Taha Naskh" w:hint="cs"/>
          <w:sz w:val="28"/>
          <w:rtl/>
          <w:lang w:bidi="ar-SY"/>
        </w:rPr>
        <w:t>»</w:t>
      </w:r>
      <w:r w:rsidR="00CF46B9" w:rsidRPr="0021507A">
        <w:rPr>
          <w:rFonts w:ascii="Abo-thar" w:hAnsi="Abo-thar" w:cs="Arabic11 BT"/>
          <w:sz w:val="28"/>
          <w:vertAlign w:val="superscript"/>
          <w:rtl/>
          <w:lang w:bidi="ar-SY"/>
        </w:rPr>
        <w:t>(</w:t>
      </w:r>
      <w:r w:rsidR="00CF46B9" w:rsidRPr="0021507A">
        <w:rPr>
          <w:rStyle w:val="FootnoteReference"/>
          <w:rFonts w:ascii="Abo-thar" w:hAnsi="Abo-thar" w:cs="Arabic11 BT"/>
          <w:sz w:val="28"/>
          <w:rtl/>
          <w:lang w:bidi="ar-SY"/>
        </w:rPr>
        <w:footnoteReference w:id="343"/>
      </w:r>
      <w:r w:rsidR="00CF46B9" w:rsidRPr="0021507A">
        <w:rPr>
          <w:rFonts w:ascii="Abo-thar" w:hAnsi="Abo-thar" w:cs="Arabic11 BT"/>
          <w:sz w:val="28"/>
          <w:vertAlign w:val="superscript"/>
          <w:rtl/>
          <w:lang w:bidi="ar-SY"/>
        </w:rPr>
        <w:t>)</w:t>
      </w:r>
      <w:r w:rsidR="00217AB4" w:rsidRPr="003F3B94">
        <w:rPr>
          <w:rFonts w:ascii="Abo-thar" w:hAnsi="Abo-thar" w:hint="cs"/>
          <w:sz w:val="28"/>
          <w:rtl/>
          <w:lang w:bidi="ar-SY"/>
        </w:rPr>
        <w:t>.</w:t>
      </w:r>
    </w:p>
    <w:p w:rsidR="005C664D" w:rsidRPr="003F3B94" w:rsidRDefault="005C664D" w:rsidP="003F3B94">
      <w:pPr>
        <w:pStyle w:val="a0"/>
        <w:rPr>
          <w:rFonts w:hint="cs"/>
          <w:rtl/>
          <w:lang w:bidi="ar-SY"/>
        </w:rPr>
      </w:pPr>
      <w:r w:rsidRPr="003F3B94">
        <w:rPr>
          <w:rFonts w:ascii="Abo-thar" w:hAnsi="Abo-thar" w:hint="cs"/>
          <w:sz w:val="28"/>
          <w:rtl/>
          <w:lang w:bidi="ar-SY"/>
        </w:rPr>
        <w:t>1</w:t>
      </w:r>
      <w:r w:rsidR="009C22A2" w:rsidRPr="003F3B94">
        <w:rPr>
          <w:rFonts w:ascii="Abo-thar" w:hAnsi="Abo-thar" w:hint="cs"/>
          <w:sz w:val="28"/>
          <w:rtl/>
          <w:lang w:bidi="ar-SY"/>
        </w:rPr>
        <w:t>6</w:t>
      </w:r>
      <w:r w:rsidR="00217AB4" w:rsidRPr="003F3B94">
        <w:rPr>
          <w:rFonts w:ascii="Abo-thar" w:hAnsi="Abo-thar" w:hint="cs"/>
          <w:sz w:val="28"/>
          <w:rtl/>
          <w:lang w:bidi="ar-SY"/>
        </w:rPr>
        <w:t>-</w:t>
      </w:r>
      <w:r w:rsidRPr="003F3B94">
        <w:rPr>
          <w:rFonts w:ascii="Abo-thar" w:hAnsi="Abo-thar" w:hint="cs"/>
          <w:sz w:val="28"/>
          <w:rtl/>
          <w:lang w:bidi="ar-SY"/>
        </w:rPr>
        <w:t xml:space="preserve"> وأيضاً في «التهذيب» و</w:t>
      </w:r>
      <w:r w:rsidRPr="003F3B94">
        <w:rPr>
          <w:rFonts w:ascii="Abo-thar" w:hAnsi="Abo-thar"/>
          <w:sz w:val="28"/>
          <w:rtl/>
          <w:lang w:bidi="ar-SY"/>
        </w:rPr>
        <w:t>«</w:t>
      </w:r>
      <w:r w:rsidRPr="003F3B94">
        <w:rPr>
          <w:rFonts w:ascii="Abo-thar" w:hAnsi="Abo-thar" w:hint="cs"/>
          <w:sz w:val="28"/>
          <w:rtl/>
          <w:lang w:bidi="ar-SY"/>
        </w:rPr>
        <w:t>الاستبصار</w:t>
      </w:r>
      <w:r w:rsidRPr="003F3B94">
        <w:rPr>
          <w:rFonts w:ascii="Abo-thar" w:hAnsi="Abo-thar"/>
          <w:sz w:val="28"/>
          <w:rtl/>
          <w:lang w:bidi="ar-SY"/>
        </w:rPr>
        <w:t>»</w:t>
      </w:r>
      <w:r w:rsidRPr="003F3B94">
        <w:rPr>
          <w:rFonts w:ascii="Abo-thar" w:hAnsi="Abo-thar" w:hint="cs"/>
          <w:sz w:val="28"/>
          <w:rtl/>
          <w:lang w:bidi="ar-SY"/>
        </w:rPr>
        <w:t xml:space="preserve"> و«من لا</w:t>
      </w:r>
      <w:r w:rsidRPr="003F3B94">
        <w:rPr>
          <w:rFonts w:cs="Times New Roman" w:hint="cs"/>
          <w:sz w:val="28"/>
          <w:rtl/>
          <w:lang w:bidi="ar-SY"/>
        </w:rPr>
        <w:t> </w:t>
      </w:r>
      <w:r w:rsidRPr="003F3B94">
        <w:rPr>
          <w:rFonts w:ascii="Abo-thar" w:hAnsi="Abo-thar" w:hint="cs"/>
          <w:sz w:val="28"/>
          <w:rtl/>
          <w:lang w:bidi="ar-SY"/>
        </w:rPr>
        <w:t>يحضره الفقيه» بإسنادهم</w:t>
      </w:r>
      <w:r w:rsidR="00217AB4" w:rsidRPr="003F3B94">
        <w:rPr>
          <w:rFonts w:ascii="Abo-thar" w:hAnsi="Abo-thar" w:hint="cs"/>
          <w:sz w:val="28"/>
          <w:rtl/>
          <w:lang w:bidi="ar-SY"/>
        </w:rPr>
        <w:t>:</w:t>
      </w:r>
      <w:r w:rsidRPr="003F3B94">
        <w:rPr>
          <w:rFonts w:ascii="Abo-thar" w:hAnsi="Abo-thar" w:hint="cs"/>
          <w:sz w:val="28"/>
          <w:rtl/>
          <w:lang w:bidi="ar-SY"/>
        </w:rPr>
        <w:t xml:space="preserve"> </w:t>
      </w:r>
      <w:r w:rsidR="00EF2588" w:rsidRPr="00394385">
        <w:rPr>
          <w:rFonts w:ascii="Abo-thar" w:hAnsi="Abo-thar" w:cs="KFGQPC Uthman Taha Naskh" w:hint="cs"/>
          <w:sz w:val="28"/>
          <w:rtl/>
          <w:lang w:bidi="ar-SY"/>
        </w:rPr>
        <w:t>«</w:t>
      </w:r>
      <w:r w:rsidR="00217AB4" w:rsidRPr="00394385">
        <w:rPr>
          <w:rFonts w:ascii="Abo-thar" w:hAnsi="Abo-thar" w:cs="KFGQPC Uthman Taha Naskh" w:hint="cs"/>
          <w:sz w:val="28"/>
          <w:rtl/>
          <w:lang w:bidi="ar-SY"/>
        </w:rPr>
        <w:t>...</w:t>
      </w:r>
      <w:r w:rsidRPr="00394385">
        <w:rPr>
          <w:rFonts w:ascii="Abo-thar" w:hAnsi="Abo-thar" w:cs="KFGQPC Uthman Taha Naskh" w:hint="cs"/>
          <w:sz w:val="28"/>
          <w:rtl/>
          <w:lang w:bidi="ar-SY"/>
        </w:rPr>
        <w:t xml:space="preserve"> </w:t>
      </w:r>
      <w:r w:rsidRPr="00394385">
        <w:rPr>
          <w:rFonts w:ascii="Abo-thar" w:hAnsi="Abo-thar" w:cs="KFGQPC Uthman Taha Naskh"/>
          <w:b/>
          <w:bCs/>
          <w:sz w:val="28"/>
          <w:rtl/>
          <w:lang w:bidi="ar-SY"/>
        </w:rPr>
        <w:t xml:space="preserve">عَنْ دَاوُدَ بْنِ كَثِيرٍ الرَّقِّيِّ عَنْ أَبِي عَبْدِ اللهِ </w:t>
      </w:r>
      <w:r w:rsidR="00BC4BA9" w:rsidRPr="00BC4BA9">
        <w:rPr>
          <w:rFonts w:ascii="Abo-thar" w:hAnsi="Abo-thar" w:cs="CTraditional Arabic"/>
          <w:b/>
          <w:sz w:val="28"/>
          <w:rtl/>
          <w:lang w:bidi="ar-SY"/>
        </w:rPr>
        <w:t>÷</w:t>
      </w:r>
      <w:r w:rsidRPr="00394385">
        <w:rPr>
          <w:rFonts w:ascii="Abo-thar" w:hAnsi="Abo-thar" w:cs="KFGQPC Uthman Taha Naskh"/>
          <w:b/>
          <w:bCs/>
          <w:sz w:val="28"/>
          <w:rtl/>
          <w:lang w:bidi="ar-SY"/>
        </w:rPr>
        <w:t xml:space="preserve"> قال</w:t>
      </w:r>
      <w:r w:rsidR="00217AB4" w:rsidRPr="00394385">
        <w:rPr>
          <w:rFonts w:ascii="Abo-thar" w:hAnsi="Abo-thar" w:cs="KFGQPC Uthman Taha Naskh"/>
          <w:b/>
          <w:bCs/>
          <w:sz w:val="28"/>
          <w:rtl/>
          <w:lang w:bidi="ar-SY"/>
        </w:rPr>
        <w:t>:</w:t>
      </w:r>
      <w:r w:rsidRPr="00394385">
        <w:rPr>
          <w:rFonts w:ascii="Abo-thar" w:hAnsi="Abo-thar" w:cs="KFGQPC Uthman Taha Naskh"/>
          <w:b/>
          <w:bCs/>
          <w:sz w:val="28"/>
          <w:rtl/>
          <w:lang w:bidi="ar-SY"/>
        </w:rPr>
        <w:t xml:space="preserve"> سَمِعْتُهُ يَقُولُ</w:t>
      </w:r>
      <w:r w:rsidR="00217AB4" w:rsidRPr="00394385">
        <w:rPr>
          <w:rFonts w:ascii="Abo-thar" w:hAnsi="Abo-thar" w:cs="KFGQPC Uthman Taha Naskh" w:hint="cs"/>
          <w:b/>
          <w:bCs/>
          <w:sz w:val="28"/>
          <w:rtl/>
          <w:lang w:bidi="ar-SY"/>
        </w:rPr>
        <w:t>:</w:t>
      </w:r>
      <w:r w:rsidRPr="00394385">
        <w:rPr>
          <w:rFonts w:ascii="Abo-thar" w:hAnsi="Abo-thar" w:cs="KFGQPC Uthman Taha Naskh"/>
          <w:b/>
          <w:bCs/>
          <w:sz w:val="28"/>
          <w:rtl/>
          <w:lang w:bidi="ar-SY"/>
        </w:rPr>
        <w:t xml:space="preserve"> النَّاسُ كُلُّهُمْ يَعِيشُونَ فِي فَضْلِ مَظْلِمَتِنَا إِلَّا أَنَّا أَحْلَلْنَا شِيعَتَنَا مِنْ ذَلِكَ</w:t>
      </w:r>
      <w:r w:rsidR="00EF2588" w:rsidRPr="00394385">
        <w:rPr>
          <w:rFonts w:ascii="Abo-thar" w:hAnsi="Abo-thar" w:cs="KFGQPC Uthman Taha Naskh" w:hint="cs"/>
          <w:sz w:val="28"/>
          <w:rtl/>
          <w:lang w:bidi="ar-SY"/>
        </w:rPr>
        <w:t>»</w:t>
      </w:r>
      <w:r w:rsidR="00CF46B9" w:rsidRPr="0021507A">
        <w:rPr>
          <w:rFonts w:ascii="Abo-thar" w:hAnsi="Abo-thar" w:cs="Arabic11 BT"/>
          <w:sz w:val="28"/>
          <w:vertAlign w:val="superscript"/>
          <w:rtl/>
          <w:lang w:bidi="ar-SY"/>
        </w:rPr>
        <w:t>(</w:t>
      </w:r>
      <w:r w:rsidR="00CF46B9" w:rsidRPr="0021507A">
        <w:rPr>
          <w:rStyle w:val="FootnoteReference"/>
          <w:rFonts w:ascii="Abo-thar" w:hAnsi="Abo-thar" w:cs="Arabic11 BT"/>
          <w:sz w:val="28"/>
          <w:rtl/>
          <w:lang w:bidi="ar-SY"/>
        </w:rPr>
        <w:footnoteReference w:id="344"/>
      </w:r>
      <w:r w:rsidR="00CF46B9" w:rsidRPr="0021507A">
        <w:rPr>
          <w:rFonts w:ascii="Abo-thar" w:hAnsi="Abo-thar" w:cs="Arabic11 BT"/>
          <w:sz w:val="28"/>
          <w:vertAlign w:val="superscript"/>
          <w:rtl/>
          <w:lang w:bidi="ar-SY"/>
        </w:rPr>
        <w:t>)</w:t>
      </w:r>
      <w:r w:rsidR="00217AB4" w:rsidRPr="003F3B94">
        <w:rPr>
          <w:rFonts w:ascii="Abo-thar" w:hAnsi="Abo-thar" w:hint="cs"/>
          <w:sz w:val="28"/>
          <w:rtl/>
          <w:lang w:bidi="ar-SY"/>
        </w:rPr>
        <w:t>.</w:t>
      </w:r>
    </w:p>
    <w:p w:rsidR="005C664D" w:rsidRPr="003F3B94" w:rsidRDefault="005C664D" w:rsidP="003F3B94">
      <w:pPr>
        <w:pStyle w:val="a0"/>
        <w:rPr>
          <w:rFonts w:hint="cs"/>
          <w:rtl/>
          <w:lang w:bidi="ar-SY"/>
        </w:rPr>
      </w:pPr>
      <w:r w:rsidRPr="003F3B94">
        <w:rPr>
          <w:rFonts w:ascii="Abo-thar" w:hAnsi="Abo-thar" w:hint="cs"/>
          <w:sz w:val="28"/>
          <w:rtl/>
          <w:lang w:bidi="ar-SY"/>
        </w:rPr>
        <w:t xml:space="preserve">و قد روى الشيخ الصدوق الرواية الأخيرة ذاتها في </w:t>
      </w:r>
      <w:r w:rsidRPr="003F3B94">
        <w:rPr>
          <w:rFonts w:ascii="Abo-thar" w:hAnsi="Abo-thar"/>
          <w:sz w:val="28"/>
          <w:rtl/>
          <w:lang w:bidi="ar-SY"/>
        </w:rPr>
        <w:t>«</w:t>
      </w:r>
      <w:r w:rsidRPr="003F3B94">
        <w:rPr>
          <w:rFonts w:ascii="Abo-thar" w:hAnsi="Abo-thar" w:hint="cs"/>
          <w:sz w:val="28"/>
          <w:rtl/>
          <w:lang w:bidi="ar-SY"/>
        </w:rPr>
        <w:t>علل الشرائع</w:t>
      </w:r>
      <w:r w:rsidRPr="003F3B94">
        <w:rPr>
          <w:rFonts w:ascii="Abo-thar" w:hAnsi="Abo-thar"/>
          <w:sz w:val="28"/>
          <w:rtl/>
          <w:lang w:bidi="ar-SY"/>
        </w:rPr>
        <w:t>»</w:t>
      </w:r>
      <w:r w:rsidRPr="003F3B94">
        <w:rPr>
          <w:rFonts w:ascii="Abo-thar" w:hAnsi="Abo-thar" w:hint="cs"/>
          <w:sz w:val="28"/>
          <w:rtl/>
          <w:lang w:bidi="ar-SY"/>
        </w:rPr>
        <w:t xml:space="preserve"> من طريق </w:t>
      </w:r>
      <w:r w:rsidR="00EF2588" w:rsidRPr="003F3B94">
        <w:rPr>
          <w:rFonts w:ascii="Abo-thar" w:hAnsi="Abo-thar" w:hint="cs"/>
          <w:sz w:val="28"/>
          <w:rtl/>
          <w:lang w:bidi="ar-SY"/>
        </w:rPr>
        <w:t>«</w:t>
      </w:r>
      <w:r w:rsidRPr="003F3B94">
        <w:rPr>
          <w:rFonts w:ascii="Abo-thar" w:hAnsi="Abo-thar"/>
          <w:bCs/>
          <w:sz w:val="28"/>
          <w:rtl/>
          <w:lang w:bidi="ar-SY"/>
        </w:rPr>
        <w:t>الهيثم النهدي عن السندي بن محمد عن يحيى بن عمران الزيات عن داود الرقي</w:t>
      </w:r>
      <w:r w:rsidRPr="003F3B94">
        <w:rPr>
          <w:rFonts w:ascii="Abo-thar" w:hAnsi="Abo-thar"/>
          <w:sz w:val="28"/>
          <w:rtl/>
          <w:lang w:bidi="ar-SY"/>
        </w:rPr>
        <w:t>‏</w:t>
      </w:r>
      <w:r w:rsidR="00217AB4" w:rsidRPr="003F3B94">
        <w:rPr>
          <w:rFonts w:ascii="Abo-thar" w:hAnsi="Abo-thar" w:hint="cs"/>
          <w:sz w:val="28"/>
          <w:rtl/>
          <w:lang w:bidi="ar-SY"/>
        </w:rPr>
        <w:t>....</w:t>
      </w:r>
      <w:r w:rsidRPr="003F3B94">
        <w:rPr>
          <w:rFonts w:ascii="Abo-thar" w:hAnsi="Abo-thar" w:hint="cs"/>
          <w:sz w:val="28"/>
          <w:rtl/>
          <w:lang w:bidi="ar-SY"/>
        </w:rPr>
        <w:t xml:space="preserve"> الحديث</w:t>
      </w:r>
      <w:r w:rsidR="00EF2588" w:rsidRPr="003F3B94">
        <w:rPr>
          <w:rFonts w:ascii="Abo-thar" w:hAnsi="Abo-thar" w:hint="cs"/>
          <w:sz w:val="28"/>
          <w:rtl/>
          <w:lang w:bidi="ar-SY"/>
        </w:rPr>
        <w:t>»</w:t>
      </w:r>
      <w:r w:rsidR="00CF46B9" w:rsidRPr="0021507A">
        <w:rPr>
          <w:rFonts w:ascii="Abo-thar" w:hAnsi="Abo-thar" w:cs="Arabic11 BT"/>
          <w:sz w:val="28"/>
          <w:vertAlign w:val="superscript"/>
          <w:rtl/>
          <w:lang w:bidi="ar-SY"/>
        </w:rPr>
        <w:t>(</w:t>
      </w:r>
      <w:r w:rsidR="00CF46B9" w:rsidRPr="0021507A">
        <w:rPr>
          <w:rStyle w:val="FootnoteReference"/>
          <w:rFonts w:ascii="Abo-thar" w:hAnsi="Abo-thar" w:cs="Arabic11 BT"/>
          <w:sz w:val="28"/>
          <w:rtl/>
          <w:lang w:bidi="ar-SY"/>
        </w:rPr>
        <w:footnoteReference w:id="345"/>
      </w:r>
      <w:r w:rsidR="00CF46B9" w:rsidRPr="0021507A">
        <w:rPr>
          <w:rFonts w:ascii="Abo-thar" w:hAnsi="Abo-thar" w:cs="Arabic11 BT"/>
          <w:sz w:val="28"/>
          <w:vertAlign w:val="superscript"/>
          <w:rtl/>
          <w:lang w:bidi="ar-SY"/>
        </w:rPr>
        <w:t>)</w:t>
      </w:r>
      <w:r w:rsidR="00217AB4" w:rsidRPr="003F3B94">
        <w:rPr>
          <w:rFonts w:ascii="Abo-thar" w:hAnsi="Abo-thar" w:hint="cs"/>
          <w:sz w:val="28"/>
          <w:rtl/>
          <w:lang w:bidi="ar-SY"/>
        </w:rPr>
        <w:t>.</w:t>
      </w:r>
    </w:p>
    <w:p w:rsidR="005C664D" w:rsidRPr="003F3B94" w:rsidRDefault="005C664D" w:rsidP="003F3B94">
      <w:pPr>
        <w:pStyle w:val="a0"/>
        <w:rPr>
          <w:rFonts w:hint="cs"/>
          <w:rtl/>
          <w:lang w:bidi="ar-SY"/>
        </w:rPr>
      </w:pPr>
      <w:r w:rsidRPr="003F3B94">
        <w:rPr>
          <w:rFonts w:ascii="Abo-thar" w:hAnsi="Abo-thar" w:hint="cs"/>
          <w:sz w:val="28"/>
          <w:rtl/>
          <w:lang w:bidi="ar-SY"/>
        </w:rPr>
        <w:t>1</w:t>
      </w:r>
      <w:r w:rsidR="009C22A2" w:rsidRPr="003F3B94">
        <w:rPr>
          <w:rFonts w:ascii="Abo-thar" w:hAnsi="Abo-thar" w:hint="cs"/>
          <w:sz w:val="28"/>
          <w:rtl/>
          <w:lang w:bidi="ar-SY"/>
        </w:rPr>
        <w:t>7</w:t>
      </w:r>
      <w:r w:rsidR="00217AB4" w:rsidRPr="003F3B94">
        <w:rPr>
          <w:rFonts w:ascii="Abo-thar" w:hAnsi="Abo-thar" w:hint="cs"/>
          <w:sz w:val="28"/>
          <w:rtl/>
          <w:lang w:bidi="ar-SY"/>
        </w:rPr>
        <w:t>-</w:t>
      </w:r>
      <w:r w:rsidR="00E20925" w:rsidRPr="003F3B94">
        <w:rPr>
          <w:rFonts w:ascii="Abo-thar" w:hAnsi="Abo-thar" w:hint="cs"/>
          <w:sz w:val="28"/>
          <w:rtl/>
          <w:lang w:bidi="ar-SY"/>
        </w:rPr>
        <w:t xml:space="preserve"> وروى الشيخ الطوسي في «التهذيب»</w:t>
      </w:r>
      <w:r w:rsidRPr="003F3B94">
        <w:rPr>
          <w:rFonts w:ascii="Abo-thar" w:hAnsi="Abo-thar" w:hint="cs"/>
          <w:sz w:val="28"/>
          <w:rtl/>
          <w:lang w:bidi="ar-SY"/>
        </w:rPr>
        <w:t xml:space="preserve"> بسنده </w:t>
      </w:r>
      <w:r w:rsidR="00EF2588" w:rsidRPr="00394385">
        <w:rPr>
          <w:rFonts w:ascii="Abo-thar" w:hAnsi="Abo-thar" w:cs="KFGQPC Uthman Taha Naskh" w:hint="cs"/>
          <w:sz w:val="28"/>
          <w:rtl/>
          <w:lang w:bidi="ar-SY"/>
        </w:rPr>
        <w:t>«</w:t>
      </w:r>
      <w:r w:rsidR="00217AB4" w:rsidRPr="00394385">
        <w:rPr>
          <w:rFonts w:ascii="Abo-thar" w:hAnsi="Abo-thar" w:cs="KFGQPC Uthman Taha Naskh" w:hint="cs"/>
          <w:sz w:val="28"/>
          <w:rtl/>
          <w:lang w:bidi="ar-SY"/>
        </w:rPr>
        <w:t>...</w:t>
      </w:r>
      <w:r w:rsidRPr="00394385">
        <w:rPr>
          <w:rFonts w:ascii="Abo-thar" w:hAnsi="Abo-thar" w:cs="KFGQPC Uthman Taha Naskh" w:hint="cs"/>
          <w:sz w:val="28"/>
          <w:rtl/>
          <w:lang w:bidi="ar-SY"/>
        </w:rPr>
        <w:t xml:space="preserve"> </w:t>
      </w:r>
      <w:r w:rsidRPr="00394385">
        <w:rPr>
          <w:rFonts w:ascii="Abo-thar" w:hAnsi="Abo-thar" w:cs="KFGQPC Uthman Taha Naskh" w:hint="cs"/>
          <w:bCs/>
          <w:sz w:val="28"/>
          <w:rtl/>
          <w:lang w:bidi="ar-SY"/>
        </w:rPr>
        <w:t>عَ</w:t>
      </w:r>
      <w:r w:rsidRPr="00394385">
        <w:rPr>
          <w:rFonts w:ascii="Abo-thar" w:hAnsi="Abo-thar" w:cs="KFGQPC Uthman Taha Naskh"/>
          <w:bCs/>
          <w:sz w:val="28"/>
          <w:rtl/>
          <w:lang w:bidi="ar-SY"/>
        </w:rPr>
        <w:t xml:space="preserve">نِ الحَارِثِ بْنِ المُغِيرَةِ النَّصْرِيِّ عَنْ أَبِي عَبْدِ اللهِ </w:t>
      </w:r>
      <w:r w:rsidR="00BC4BA9" w:rsidRPr="00BC4BA9">
        <w:rPr>
          <w:rFonts w:ascii="Abo-thar" w:hAnsi="Abo-thar" w:cs="CTraditional Arabic"/>
          <w:sz w:val="28"/>
          <w:rtl/>
          <w:lang w:bidi="ar-SY"/>
        </w:rPr>
        <w:t>÷</w:t>
      </w:r>
      <w:r w:rsidRPr="00394385">
        <w:rPr>
          <w:rFonts w:ascii="Abo-thar" w:hAnsi="Abo-thar" w:cs="KFGQPC Uthman Taha Naskh"/>
          <w:bCs/>
          <w:sz w:val="28"/>
          <w:rtl/>
          <w:lang w:bidi="ar-SY"/>
        </w:rPr>
        <w:t xml:space="preserve"> قَالَ</w:t>
      </w:r>
      <w:r w:rsidR="00217AB4" w:rsidRPr="00394385">
        <w:rPr>
          <w:rFonts w:ascii="Abo-thar" w:hAnsi="Abo-thar" w:cs="KFGQPC Uthman Taha Naskh" w:hint="cs"/>
          <w:bCs/>
          <w:sz w:val="28"/>
          <w:rtl/>
          <w:lang w:bidi="ar-SY"/>
        </w:rPr>
        <w:t>:</w:t>
      </w:r>
      <w:r w:rsidRPr="00394385">
        <w:rPr>
          <w:rFonts w:ascii="Abo-thar" w:hAnsi="Abo-thar" w:cs="KFGQPC Uthman Taha Naskh"/>
          <w:bCs/>
          <w:sz w:val="28"/>
          <w:rtl/>
          <w:lang w:bidi="ar-SY"/>
        </w:rPr>
        <w:t xml:space="preserve"> قُلْتُ لَهُ إِنَّ لَنَا أَمْوَالًا مِنْ غَلَّاتٍ وتِجَارَاتٍ ونَحْوِ ذَلِكَ وقَدْ عَلِمْتُ أَنَّ لَكَ فِيهَا حَقّاً ق</w:t>
      </w:r>
      <w:r w:rsidRPr="00394385">
        <w:rPr>
          <w:rFonts w:ascii="Abo-thar" w:hAnsi="Abo-thar" w:cs="KFGQPC Uthman Taha Naskh" w:hint="cs"/>
          <w:bCs/>
          <w:sz w:val="28"/>
          <w:rtl/>
          <w:lang w:bidi="ar-SY"/>
        </w:rPr>
        <w:t>َ</w:t>
      </w:r>
      <w:r w:rsidRPr="00394385">
        <w:rPr>
          <w:rFonts w:ascii="Abo-thar" w:hAnsi="Abo-thar" w:cs="KFGQPC Uthman Taha Naskh"/>
          <w:bCs/>
          <w:sz w:val="28"/>
          <w:rtl/>
          <w:lang w:bidi="ar-SY"/>
        </w:rPr>
        <w:t>ال</w:t>
      </w:r>
      <w:r w:rsidRPr="00394385">
        <w:rPr>
          <w:rFonts w:ascii="Abo-thar" w:hAnsi="Abo-thar" w:cs="KFGQPC Uthman Taha Naskh" w:hint="cs"/>
          <w:bCs/>
          <w:sz w:val="28"/>
          <w:rtl/>
          <w:lang w:bidi="ar-SY"/>
        </w:rPr>
        <w:t>َ</w:t>
      </w:r>
      <w:r w:rsidR="00217AB4" w:rsidRPr="00394385">
        <w:rPr>
          <w:rFonts w:ascii="Abo-thar" w:hAnsi="Abo-thar" w:cs="KFGQPC Uthman Taha Naskh"/>
          <w:bCs/>
          <w:sz w:val="28"/>
          <w:rtl/>
          <w:lang w:bidi="ar-SY"/>
        </w:rPr>
        <w:t>:</w:t>
      </w:r>
      <w:r w:rsidRPr="00394385">
        <w:rPr>
          <w:rFonts w:ascii="Abo-thar" w:hAnsi="Abo-thar" w:cs="KFGQPC Uthman Taha Naskh"/>
          <w:bCs/>
          <w:sz w:val="28"/>
          <w:rtl/>
          <w:lang w:bidi="ar-SY"/>
        </w:rPr>
        <w:t xml:space="preserve"> فَلِمَ أَحْلَلْنَا إِذاً لِشِيعَتِنَا إِلَّا لِتَطِيبَ وِلَادَتُهُمْ وكُلُّ مَنْ وَالَى آبَائِي فَهُمْ فِي حِلٍّ مِمَّا فِي أَيْدِيهِمْ مِنْ حَقِّنَا فَلْيُبَلِّغِ الشَّاهِدُ الغَائِبَ</w:t>
      </w:r>
      <w:r w:rsidR="00EF2588" w:rsidRPr="00394385">
        <w:rPr>
          <w:rFonts w:ascii="Abo-thar" w:hAnsi="Abo-thar" w:cs="KFGQPC Uthman Taha Naskh" w:hint="cs"/>
          <w:sz w:val="28"/>
          <w:rtl/>
          <w:lang w:bidi="ar-SY"/>
        </w:rPr>
        <w:t>»</w:t>
      </w:r>
      <w:r w:rsidR="00CF46B9" w:rsidRPr="0021507A">
        <w:rPr>
          <w:rFonts w:ascii="Abo-thar" w:hAnsi="Abo-thar" w:cs="Arabic11 BT"/>
          <w:sz w:val="28"/>
          <w:vertAlign w:val="superscript"/>
          <w:rtl/>
          <w:lang w:bidi="ar-SY"/>
        </w:rPr>
        <w:t>(</w:t>
      </w:r>
      <w:r w:rsidR="00CF46B9" w:rsidRPr="0021507A">
        <w:rPr>
          <w:rStyle w:val="FootnoteReference"/>
          <w:rFonts w:ascii="Abo-thar" w:hAnsi="Abo-thar" w:cs="Arabic11 BT"/>
          <w:sz w:val="28"/>
          <w:rtl/>
          <w:lang w:bidi="ar-SY"/>
        </w:rPr>
        <w:footnoteReference w:id="346"/>
      </w:r>
      <w:r w:rsidR="00CF46B9" w:rsidRPr="0021507A">
        <w:rPr>
          <w:rFonts w:ascii="Abo-thar" w:hAnsi="Abo-thar" w:cs="Arabic11 BT"/>
          <w:sz w:val="28"/>
          <w:vertAlign w:val="superscript"/>
          <w:rtl/>
          <w:lang w:bidi="ar-SY"/>
        </w:rPr>
        <w:t>)</w:t>
      </w:r>
      <w:r w:rsidR="00217AB4" w:rsidRPr="003F3B94">
        <w:rPr>
          <w:rFonts w:ascii="Abo-thar" w:hAnsi="Abo-thar" w:hint="cs"/>
          <w:sz w:val="28"/>
          <w:rtl/>
          <w:lang w:bidi="ar-SY"/>
        </w:rPr>
        <w:t>.</w:t>
      </w:r>
      <w:r w:rsidRPr="003F3B94">
        <w:rPr>
          <w:rFonts w:ascii="Abo-thar" w:hAnsi="Abo-thar"/>
          <w:sz w:val="28"/>
          <w:rtl/>
          <w:lang w:bidi="ar-SY"/>
        </w:rPr>
        <w:t xml:space="preserve"> </w:t>
      </w:r>
    </w:p>
    <w:p w:rsidR="007F7BD2" w:rsidRPr="003F3B94" w:rsidRDefault="007F7BD2" w:rsidP="003F3B94">
      <w:pPr>
        <w:pStyle w:val="a0"/>
        <w:rPr>
          <w:rtl/>
          <w:lang w:bidi="ar-SY"/>
        </w:rPr>
      </w:pPr>
      <w:r w:rsidRPr="003F3B94">
        <w:rPr>
          <w:rFonts w:ascii="Abo-thar" w:hAnsi="Abo-thar"/>
          <w:sz w:val="28"/>
          <w:rtl/>
          <w:lang w:bidi="ar-SY"/>
        </w:rPr>
        <w:t>(وهذا الحديث معروف بصحيحة النصري).</w:t>
      </w:r>
    </w:p>
    <w:p w:rsidR="005C664D" w:rsidRPr="003F3B94" w:rsidRDefault="005C664D" w:rsidP="003F3B94">
      <w:pPr>
        <w:pStyle w:val="a0"/>
        <w:rPr>
          <w:rFonts w:hint="cs"/>
          <w:rtl/>
          <w:lang w:bidi="ar-SY"/>
        </w:rPr>
      </w:pPr>
      <w:r w:rsidRPr="003F3B94">
        <w:rPr>
          <w:rFonts w:ascii="Abo-thar" w:hAnsi="Abo-thar" w:hint="cs"/>
          <w:sz w:val="28"/>
          <w:rtl/>
          <w:lang w:bidi="ar-SY"/>
        </w:rPr>
        <w:t>1</w:t>
      </w:r>
      <w:r w:rsidR="009C22A2" w:rsidRPr="003F3B94">
        <w:rPr>
          <w:rFonts w:ascii="Abo-thar" w:hAnsi="Abo-thar" w:hint="cs"/>
          <w:sz w:val="28"/>
          <w:rtl/>
          <w:lang w:bidi="ar-SY"/>
        </w:rPr>
        <w:t>8</w:t>
      </w:r>
      <w:r w:rsidR="00217AB4" w:rsidRPr="003F3B94">
        <w:rPr>
          <w:rFonts w:ascii="Abo-thar" w:hAnsi="Abo-thar" w:hint="cs"/>
          <w:sz w:val="28"/>
          <w:rtl/>
          <w:lang w:bidi="ar-SY"/>
        </w:rPr>
        <w:t>-</w:t>
      </w:r>
      <w:r w:rsidRPr="003F3B94">
        <w:rPr>
          <w:rFonts w:ascii="Abo-thar" w:hAnsi="Abo-thar" w:hint="cs"/>
          <w:sz w:val="28"/>
          <w:rtl/>
          <w:lang w:bidi="ar-SY"/>
        </w:rPr>
        <w:t xml:space="preserve"> وروى الحرّ العاملي في </w:t>
      </w:r>
      <w:r w:rsidRPr="003F3B94">
        <w:rPr>
          <w:rFonts w:ascii="Abo-thar" w:hAnsi="Abo-thar"/>
          <w:sz w:val="28"/>
          <w:rtl/>
          <w:lang w:bidi="ar-SY"/>
        </w:rPr>
        <w:t>«</w:t>
      </w:r>
      <w:r w:rsidRPr="003F3B94">
        <w:rPr>
          <w:rFonts w:ascii="Abo-thar" w:hAnsi="Abo-thar" w:hint="cs"/>
          <w:sz w:val="28"/>
          <w:rtl/>
          <w:lang w:bidi="ar-SY"/>
        </w:rPr>
        <w:t>الوسائل</w:t>
      </w:r>
      <w:r w:rsidRPr="003F3B94">
        <w:rPr>
          <w:rFonts w:ascii="Abo-thar" w:hAnsi="Abo-thar"/>
          <w:sz w:val="28"/>
          <w:rtl/>
          <w:lang w:bidi="ar-SY"/>
        </w:rPr>
        <w:t>»</w:t>
      </w:r>
      <w:r w:rsidRPr="003F3B94">
        <w:rPr>
          <w:rFonts w:ascii="Abo-thar" w:hAnsi="Abo-thar" w:hint="cs"/>
          <w:sz w:val="28"/>
          <w:rtl/>
          <w:lang w:bidi="ar-SY"/>
        </w:rPr>
        <w:t xml:space="preserve"> عن </w:t>
      </w:r>
      <w:r w:rsidR="00EF2588" w:rsidRPr="00394385">
        <w:rPr>
          <w:rFonts w:ascii="Abo-thar" w:hAnsi="Abo-thar" w:cs="KFGQPC Uthman Taha Naskh" w:hint="cs"/>
          <w:sz w:val="28"/>
          <w:rtl/>
          <w:lang w:bidi="ar-SY"/>
        </w:rPr>
        <w:t>«</w:t>
      </w:r>
      <w:r w:rsidRPr="00394385">
        <w:rPr>
          <w:rFonts w:ascii="Abo-thar" w:hAnsi="Abo-thar" w:cs="KFGQPC Uthman Taha Naskh"/>
          <w:bCs/>
          <w:sz w:val="28"/>
          <w:rtl/>
          <w:lang w:bidi="ar-SY"/>
        </w:rPr>
        <w:t>الْعَيَّاشِيّ</w:t>
      </w:r>
      <w:r w:rsidRPr="00394385">
        <w:rPr>
          <w:rFonts w:ascii="Abo-thar" w:hAnsi="Abo-thar" w:cs="KFGQPC Uthman Taha Naskh" w:hint="cs"/>
          <w:bCs/>
          <w:sz w:val="28"/>
          <w:rtl/>
          <w:lang w:bidi="ar-SY"/>
        </w:rPr>
        <w:t>ِ</w:t>
      </w:r>
      <w:r w:rsidRPr="00394385">
        <w:rPr>
          <w:rFonts w:ascii="Abo-thar" w:hAnsi="Abo-thar" w:cs="KFGQPC Uthman Taha Naskh"/>
          <w:bCs/>
          <w:sz w:val="28"/>
          <w:rtl/>
          <w:lang w:bidi="ar-SY"/>
        </w:rPr>
        <w:t xml:space="preserve"> فِي تَفْسِيرِهِ عَنْ فَيْضِ بْنِ أَبِي شَيْبَةَ عَنْ‏</w:t>
      </w:r>
      <w:r w:rsidRPr="00394385">
        <w:rPr>
          <w:rFonts w:ascii="Abo-thar" w:hAnsi="Abo-thar" w:cs="KFGQPC Uthman Taha Naskh" w:hint="cs"/>
          <w:bCs/>
          <w:sz w:val="28"/>
          <w:rtl/>
          <w:lang w:bidi="ar-SY"/>
        </w:rPr>
        <w:t xml:space="preserve"> </w:t>
      </w:r>
      <w:r w:rsidRPr="00394385">
        <w:rPr>
          <w:rFonts w:ascii="Abo-thar" w:hAnsi="Abo-thar" w:cs="KFGQPC Uthman Taha Naskh"/>
          <w:bCs/>
          <w:sz w:val="28"/>
          <w:rtl/>
          <w:lang w:bidi="ar-SY"/>
        </w:rPr>
        <w:t xml:space="preserve">رَجُلٍ عَنْ أَبِي عَبْدِ اللهِ </w:t>
      </w:r>
      <w:r w:rsidR="00BC4BA9" w:rsidRPr="00BC4BA9">
        <w:rPr>
          <w:rFonts w:ascii="Abo-thar" w:hAnsi="Abo-thar" w:cs="CTraditional Arabic"/>
          <w:sz w:val="28"/>
          <w:rtl/>
          <w:lang w:bidi="ar-SY"/>
        </w:rPr>
        <w:t>÷</w:t>
      </w:r>
      <w:r w:rsidRPr="00394385">
        <w:rPr>
          <w:rFonts w:ascii="Abo-thar" w:hAnsi="Abo-thar" w:cs="KFGQPC Uthman Taha Naskh"/>
          <w:bCs/>
          <w:sz w:val="28"/>
          <w:rtl/>
          <w:lang w:bidi="ar-SY"/>
        </w:rPr>
        <w:t xml:space="preserve"> قَالَ</w:t>
      </w:r>
      <w:r w:rsidR="00217AB4" w:rsidRPr="00394385">
        <w:rPr>
          <w:rFonts w:ascii="Abo-thar" w:hAnsi="Abo-thar" w:cs="KFGQPC Uthman Taha Naskh" w:hint="cs"/>
          <w:bCs/>
          <w:sz w:val="28"/>
          <w:rtl/>
          <w:lang w:bidi="ar-SY"/>
        </w:rPr>
        <w:t>:</w:t>
      </w:r>
      <w:r w:rsidRPr="00394385">
        <w:rPr>
          <w:rFonts w:ascii="Abo-thar" w:hAnsi="Abo-thar" w:cs="KFGQPC Uthman Taha Naskh"/>
          <w:bCs/>
          <w:sz w:val="28"/>
          <w:rtl/>
          <w:lang w:bidi="ar-SY"/>
        </w:rPr>
        <w:t xml:space="preserve"> إِنَّ أَشَدَّ مَا فِيهِ النَّاسُ يَوْمَ القِيَامَةِ إِذَا قَامَ صَاحِبُ الخُمُسِ فَقَالَ</w:t>
      </w:r>
      <w:r w:rsidR="00217AB4" w:rsidRPr="00394385">
        <w:rPr>
          <w:rFonts w:ascii="Abo-thar" w:hAnsi="Abo-thar" w:cs="KFGQPC Uthman Taha Naskh"/>
          <w:bCs/>
          <w:sz w:val="28"/>
          <w:rtl/>
          <w:lang w:bidi="ar-SY"/>
        </w:rPr>
        <w:t>:</w:t>
      </w:r>
      <w:r w:rsidRPr="00394385">
        <w:rPr>
          <w:rFonts w:ascii="Abo-thar" w:hAnsi="Abo-thar" w:cs="KFGQPC Uthman Taha Naskh"/>
          <w:bCs/>
          <w:sz w:val="28"/>
          <w:rtl/>
          <w:lang w:bidi="ar-SY"/>
        </w:rPr>
        <w:t xml:space="preserve"> يَا رَبِّ خُمُسِي وإِنَّ شِيعَتَنَا مِنْ ذَلِكَ فِي حِلٍّ</w:t>
      </w:r>
      <w:r w:rsidR="00EF2588" w:rsidRPr="00394385">
        <w:rPr>
          <w:rFonts w:ascii="Abo-thar" w:hAnsi="Abo-thar" w:cs="KFGQPC Uthman Taha Naskh" w:hint="cs"/>
          <w:sz w:val="28"/>
          <w:rtl/>
          <w:lang w:bidi="ar-SY"/>
        </w:rPr>
        <w:t>»</w:t>
      </w:r>
      <w:r w:rsidR="00CF46B9" w:rsidRPr="0021507A">
        <w:rPr>
          <w:rFonts w:ascii="Abo-thar" w:hAnsi="Abo-thar" w:cs="Arabic11 BT"/>
          <w:sz w:val="28"/>
          <w:vertAlign w:val="superscript"/>
          <w:rtl/>
          <w:lang w:bidi="ar-SY"/>
        </w:rPr>
        <w:t>(</w:t>
      </w:r>
      <w:r w:rsidR="00CF46B9" w:rsidRPr="0021507A">
        <w:rPr>
          <w:rStyle w:val="FootnoteReference"/>
          <w:rFonts w:ascii="Abo-thar" w:hAnsi="Abo-thar" w:cs="Arabic11 BT"/>
          <w:sz w:val="28"/>
          <w:rtl/>
          <w:lang w:bidi="ar-SY"/>
        </w:rPr>
        <w:footnoteReference w:id="347"/>
      </w:r>
      <w:r w:rsidR="00CF46B9" w:rsidRPr="0021507A">
        <w:rPr>
          <w:rFonts w:ascii="Abo-thar" w:hAnsi="Abo-thar" w:cs="Arabic11 BT"/>
          <w:sz w:val="28"/>
          <w:vertAlign w:val="superscript"/>
          <w:rtl/>
          <w:lang w:bidi="ar-SY"/>
        </w:rPr>
        <w:t>)</w:t>
      </w:r>
      <w:r w:rsidR="00217AB4" w:rsidRPr="003F3B94">
        <w:rPr>
          <w:rFonts w:ascii="Abo-thar" w:hAnsi="Abo-thar" w:hint="cs"/>
          <w:sz w:val="28"/>
          <w:rtl/>
          <w:lang w:bidi="ar-SY"/>
        </w:rPr>
        <w:t>.</w:t>
      </w:r>
    </w:p>
    <w:p w:rsidR="005C664D" w:rsidRPr="003F3B94" w:rsidRDefault="005C664D" w:rsidP="00254729">
      <w:pPr>
        <w:pStyle w:val="a0"/>
        <w:rPr>
          <w:rFonts w:hint="cs"/>
          <w:rtl/>
        </w:rPr>
      </w:pPr>
      <w:r w:rsidRPr="003F3B94">
        <w:rPr>
          <w:rFonts w:ascii="Abo-thar" w:hAnsi="Abo-thar" w:hint="cs"/>
          <w:sz w:val="28"/>
          <w:rtl/>
          <w:lang w:bidi="ar-SY"/>
        </w:rPr>
        <w:t>1</w:t>
      </w:r>
      <w:r w:rsidR="009C22A2" w:rsidRPr="003F3B94">
        <w:rPr>
          <w:rFonts w:ascii="Abo-thar" w:hAnsi="Abo-thar" w:hint="cs"/>
          <w:sz w:val="28"/>
          <w:rtl/>
          <w:lang w:bidi="ar-SY"/>
        </w:rPr>
        <w:t>9</w:t>
      </w:r>
      <w:r w:rsidR="00217AB4" w:rsidRPr="003F3B94">
        <w:rPr>
          <w:rFonts w:ascii="Abo-thar" w:hAnsi="Abo-thar" w:hint="cs"/>
          <w:sz w:val="28"/>
          <w:rtl/>
          <w:lang w:bidi="ar-SY"/>
        </w:rPr>
        <w:t>-</w:t>
      </w:r>
      <w:r w:rsidRPr="003F3B94">
        <w:rPr>
          <w:rFonts w:ascii="Abo-thar" w:hAnsi="Abo-thar" w:hint="cs"/>
          <w:sz w:val="28"/>
          <w:rtl/>
          <w:lang w:bidi="ar-SY"/>
        </w:rPr>
        <w:t xml:space="preserve"> وفي </w:t>
      </w:r>
      <w:r w:rsidRPr="003F3B94">
        <w:rPr>
          <w:rFonts w:ascii="Abo-thar" w:hAnsi="Abo-thar"/>
          <w:sz w:val="28"/>
          <w:rtl/>
          <w:lang w:bidi="ar-SY"/>
        </w:rPr>
        <w:t>«</w:t>
      </w:r>
      <w:r w:rsidRPr="003F3B94">
        <w:rPr>
          <w:rFonts w:ascii="Abo-thar" w:hAnsi="Abo-thar" w:hint="cs"/>
          <w:sz w:val="28"/>
          <w:rtl/>
          <w:lang w:bidi="ar-SY"/>
        </w:rPr>
        <w:t>التهذيب</w:t>
      </w:r>
      <w:r w:rsidRPr="003F3B94">
        <w:rPr>
          <w:rFonts w:ascii="Abo-thar" w:hAnsi="Abo-thar"/>
          <w:sz w:val="28"/>
          <w:rtl/>
          <w:lang w:bidi="ar-SY"/>
        </w:rPr>
        <w:t>»</w:t>
      </w:r>
      <w:r w:rsidRPr="003F3B94">
        <w:rPr>
          <w:rFonts w:ascii="Abo-thar" w:hAnsi="Abo-thar" w:hint="cs"/>
          <w:sz w:val="28"/>
          <w:rtl/>
          <w:lang w:bidi="ar-SY"/>
        </w:rPr>
        <w:t xml:space="preserve"> و</w:t>
      </w:r>
      <w:r w:rsidRPr="003F3B94">
        <w:rPr>
          <w:rFonts w:ascii="Abo-thar" w:hAnsi="Abo-thar"/>
          <w:sz w:val="28"/>
          <w:rtl/>
          <w:lang w:bidi="ar-SY"/>
        </w:rPr>
        <w:t>«</w:t>
      </w:r>
      <w:r w:rsidRPr="003F3B94">
        <w:rPr>
          <w:rFonts w:ascii="Abo-thar" w:hAnsi="Abo-thar" w:hint="cs"/>
          <w:sz w:val="28"/>
          <w:rtl/>
          <w:lang w:bidi="ar-SY"/>
        </w:rPr>
        <w:t>الكافي</w:t>
      </w:r>
      <w:r w:rsidRPr="003F3B94">
        <w:rPr>
          <w:rFonts w:ascii="Abo-thar" w:hAnsi="Abo-thar"/>
          <w:sz w:val="28"/>
          <w:rtl/>
          <w:lang w:bidi="ar-SY"/>
        </w:rPr>
        <w:t>»</w:t>
      </w:r>
      <w:r w:rsidRPr="003F3B94">
        <w:rPr>
          <w:rFonts w:ascii="Abo-thar" w:hAnsi="Abo-thar" w:hint="cs"/>
          <w:sz w:val="28"/>
          <w:rtl/>
          <w:lang w:bidi="ar-SY"/>
        </w:rPr>
        <w:t xml:space="preserve"> </w:t>
      </w:r>
      <w:r w:rsidR="00EF2588" w:rsidRPr="00394385">
        <w:rPr>
          <w:rFonts w:ascii="Abo-thar" w:hAnsi="Abo-thar" w:cs="KFGQPC Uthman Taha Naskh" w:hint="cs"/>
          <w:sz w:val="28"/>
          <w:rtl/>
          <w:lang w:bidi="ar-SY"/>
        </w:rPr>
        <w:t>«</w:t>
      </w:r>
      <w:r w:rsidR="00217AB4" w:rsidRPr="00394385">
        <w:rPr>
          <w:rFonts w:ascii="Abo-thar" w:hAnsi="Abo-thar" w:cs="KFGQPC Uthman Taha Naskh" w:hint="cs"/>
          <w:sz w:val="28"/>
          <w:rtl/>
          <w:lang w:bidi="ar-SY"/>
        </w:rPr>
        <w:t>...</w:t>
      </w:r>
      <w:r w:rsidRPr="00394385">
        <w:rPr>
          <w:rFonts w:ascii="Abo-thar" w:hAnsi="Abo-thar" w:cs="KFGQPC Uthman Taha Naskh"/>
          <w:bCs/>
          <w:sz w:val="28"/>
          <w:rtl/>
          <w:lang w:bidi="ar-SY"/>
        </w:rPr>
        <w:t>عَنْ مُعَاذِ بْنِ كَثِيرٍ بَيَّاعِ الأَكْسِيَةِ عَنْ أَبِي عَبْدِ اللهِ</w:t>
      </w:r>
      <w:r w:rsidR="00BC4BA9" w:rsidRPr="00BC4BA9">
        <w:rPr>
          <w:rFonts w:ascii="Abo-thar" w:hAnsi="Abo-thar" w:cs="CTraditional Arabic"/>
          <w:sz w:val="28"/>
          <w:rtl/>
          <w:lang w:bidi="ar-SY"/>
        </w:rPr>
        <w:t>÷</w:t>
      </w:r>
      <w:r w:rsidRPr="00394385">
        <w:rPr>
          <w:rFonts w:ascii="Abo-thar" w:hAnsi="Abo-thar" w:cs="KFGQPC Uthman Taha Naskh"/>
          <w:bCs/>
          <w:sz w:val="28"/>
          <w:rtl/>
          <w:lang w:bidi="ar-SY"/>
        </w:rPr>
        <w:t xml:space="preserve"> قَالَ</w:t>
      </w:r>
      <w:r w:rsidR="00217AB4" w:rsidRPr="00394385">
        <w:rPr>
          <w:rFonts w:ascii="Abo-thar" w:hAnsi="Abo-thar" w:cs="KFGQPC Uthman Taha Naskh"/>
          <w:bCs/>
          <w:sz w:val="28"/>
          <w:rtl/>
          <w:lang w:bidi="ar-SY"/>
        </w:rPr>
        <w:t>:</w:t>
      </w:r>
      <w:r w:rsidRPr="00394385">
        <w:rPr>
          <w:rFonts w:ascii="Abo-thar" w:hAnsi="Abo-thar" w:cs="KFGQPC Uthman Taha Naskh"/>
          <w:bCs/>
          <w:sz w:val="28"/>
          <w:rtl/>
          <w:lang w:bidi="ar-SY"/>
        </w:rPr>
        <w:t xml:space="preserve"> مُوَسَّعٌ عَلَى شِيعَتِنَا أَنْ يُنْفِقُوا مِمَّا فِي أَيْدِيهِمْ بِالْمَعْرُوفِ فَإِذَا قَامَ قَائِمُنَا </w:t>
      </w:r>
      <w:r w:rsidR="00BC4BA9" w:rsidRPr="00BC4BA9">
        <w:rPr>
          <w:rFonts w:ascii="Abo-thar" w:hAnsi="Abo-thar" w:cs="CTraditional Arabic"/>
          <w:sz w:val="28"/>
          <w:rtl/>
          <w:lang w:bidi="ar-SY"/>
        </w:rPr>
        <w:t>÷</w:t>
      </w:r>
      <w:r w:rsidRPr="00394385">
        <w:rPr>
          <w:rFonts w:ascii="Abo-thar" w:hAnsi="Abo-thar" w:cs="KFGQPC Uthman Taha Naskh"/>
          <w:bCs/>
          <w:sz w:val="28"/>
          <w:rtl/>
          <w:lang w:bidi="ar-SY"/>
        </w:rPr>
        <w:t xml:space="preserve"> حَرُمَ عَلَى كُلِّ ذِي كَنْزٍ كَنْزُهُ حَتَّى يَأْتُوهُ بِهِ يَسْتَعِينُ بِهِ</w:t>
      </w:r>
      <w:r w:rsidR="00EF2588" w:rsidRPr="00394385">
        <w:rPr>
          <w:rFonts w:ascii="Abo-thar" w:hAnsi="Abo-thar" w:cs="KFGQPC Uthman Taha Naskh" w:hint="cs"/>
          <w:sz w:val="28"/>
          <w:rtl/>
          <w:lang w:bidi="ar-SY"/>
        </w:rPr>
        <w:t>»</w:t>
      </w:r>
      <w:r w:rsidR="00CF46B9" w:rsidRPr="0021507A">
        <w:rPr>
          <w:rFonts w:ascii="Abo-thar" w:hAnsi="Abo-thar" w:cs="Arabic11 BT"/>
          <w:sz w:val="28"/>
          <w:vertAlign w:val="superscript"/>
          <w:rtl/>
          <w:lang w:bidi="ar-SY"/>
        </w:rPr>
        <w:t>(</w:t>
      </w:r>
      <w:r w:rsidR="00CF46B9" w:rsidRPr="0021507A">
        <w:rPr>
          <w:rStyle w:val="FootnoteReference"/>
          <w:rFonts w:ascii="Abo-thar" w:hAnsi="Abo-thar" w:cs="Arabic11 BT"/>
          <w:sz w:val="28"/>
          <w:rtl/>
          <w:lang w:bidi="ar-SY"/>
        </w:rPr>
        <w:footnoteReference w:id="348"/>
      </w:r>
      <w:r w:rsidR="00CF46B9" w:rsidRPr="0021507A">
        <w:rPr>
          <w:rFonts w:ascii="Abo-thar" w:hAnsi="Abo-thar" w:cs="Arabic11 BT"/>
          <w:sz w:val="28"/>
          <w:vertAlign w:val="superscript"/>
          <w:rtl/>
          <w:lang w:bidi="ar-SY"/>
        </w:rPr>
        <w:t>)</w:t>
      </w:r>
      <w:r w:rsidR="00217AB4" w:rsidRPr="003F3B94">
        <w:rPr>
          <w:rFonts w:ascii="Abo-thar" w:hAnsi="Abo-thar" w:hint="cs"/>
          <w:sz w:val="28"/>
          <w:rtl/>
          <w:lang w:bidi="ar-SY"/>
        </w:rPr>
        <w:t>.</w:t>
      </w:r>
    </w:p>
    <w:p w:rsidR="005C664D" w:rsidRPr="003F3B94" w:rsidRDefault="009C22A2" w:rsidP="00254729">
      <w:pPr>
        <w:pStyle w:val="a0"/>
        <w:rPr>
          <w:rFonts w:hint="cs"/>
          <w:rtl/>
          <w:lang w:bidi="ar-SY"/>
        </w:rPr>
      </w:pPr>
      <w:r w:rsidRPr="003F3B94">
        <w:rPr>
          <w:rFonts w:ascii="Abo-thar" w:hAnsi="Abo-thar" w:hint="cs"/>
          <w:sz w:val="28"/>
          <w:rtl/>
        </w:rPr>
        <w:t>20</w:t>
      </w:r>
      <w:r w:rsidR="00254729">
        <w:rPr>
          <w:rFonts w:ascii="Abo-thar" w:hAnsi="Abo-thar" w:hint="cs"/>
          <w:sz w:val="28"/>
          <w:rtl/>
        </w:rPr>
        <w:t>-</w:t>
      </w:r>
      <w:r w:rsidR="005C664D" w:rsidRPr="003F3B94">
        <w:rPr>
          <w:rFonts w:ascii="Abo-thar" w:hAnsi="Abo-thar" w:hint="cs"/>
          <w:sz w:val="28"/>
          <w:rtl/>
        </w:rPr>
        <w:t xml:space="preserve"> وفي </w:t>
      </w:r>
      <w:r w:rsidR="005C664D" w:rsidRPr="003F3B94">
        <w:rPr>
          <w:rFonts w:ascii="Abo-thar" w:hAnsi="Abo-thar"/>
          <w:sz w:val="28"/>
          <w:rtl/>
        </w:rPr>
        <w:t>«</w:t>
      </w:r>
      <w:r w:rsidR="005C664D" w:rsidRPr="003F3B94">
        <w:rPr>
          <w:rFonts w:ascii="Abo-thar" w:hAnsi="Abo-thar" w:hint="cs"/>
          <w:sz w:val="28"/>
          <w:rtl/>
        </w:rPr>
        <w:t>وسائل الشيعة</w:t>
      </w:r>
      <w:r w:rsidR="005C664D" w:rsidRPr="003F3B94">
        <w:rPr>
          <w:rFonts w:ascii="Abo-thar" w:hAnsi="Abo-thar"/>
          <w:sz w:val="28"/>
          <w:rtl/>
        </w:rPr>
        <w:t>»</w:t>
      </w:r>
      <w:r w:rsidR="005C664D" w:rsidRPr="003F3B94">
        <w:rPr>
          <w:rFonts w:ascii="Abo-thar" w:hAnsi="Abo-thar" w:hint="cs"/>
          <w:sz w:val="28"/>
          <w:rtl/>
        </w:rPr>
        <w:t xml:space="preserve"> نقلاً عن الشيخ الطوسي في «التهذيب» بإسناده </w:t>
      </w:r>
      <w:r w:rsidR="00EF2588" w:rsidRPr="00394385">
        <w:rPr>
          <w:rFonts w:ascii="Abo-thar" w:hAnsi="Abo-thar" w:cs="KFGQPC Uthman Taha Naskh" w:hint="cs"/>
          <w:sz w:val="28"/>
          <w:rtl/>
        </w:rPr>
        <w:t>«</w:t>
      </w:r>
      <w:r w:rsidR="00217AB4" w:rsidRPr="00394385">
        <w:rPr>
          <w:rFonts w:ascii="Abo-thar" w:hAnsi="Abo-thar" w:cs="KFGQPC Uthman Taha Naskh" w:hint="cs"/>
          <w:sz w:val="28"/>
          <w:rtl/>
        </w:rPr>
        <w:t>...</w:t>
      </w:r>
      <w:r w:rsidR="005C664D" w:rsidRPr="00394385">
        <w:rPr>
          <w:rFonts w:ascii="Abo-thar" w:hAnsi="Abo-thar" w:cs="KFGQPC Uthman Taha Naskh" w:hint="cs"/>
          <w:sz w:val="28"/>
          <w:rtl/>
        </w:rPr>
        <w:t xml:space="preserve"> </w:t>
      </w:r>
      <w:r w:rsidR="005C664D" w:rsidRPr="00394385">
        <w:rPr>
          <w:rFonts w:ascii="Abo-thar" w:hAnsi="Abo-thar" w:cs="KFGQPC Uthman Taha Naskh"/>
          <w:bCs/>
          <w:sz w:val="28"/>
          <w:rtl/>
        </w:rPr>
        <w:t>عَنْ عُمَرَ بْنِ يَزِيدَ قَالَ</w:t>
      </w:r>
      <w:r w:rsidR="007F7BD2" w:rsidRPr="00394385">
        <w:rPr>
          <w:rFonts w:ascii="Abo-thar" w:hAnsi="Abo-thar" w:cs="KFGQPC Uthman Taha Naskh" w:hint="cs"/>
          <w:bCs/>
          <w:sz w:val="28"/>
          <w:rtl/>
        </w:rPr>
        <w:t xml:space="preserve">: </w:t>
      </w:r>
      <w:r w:rsidR="007F7BD2" w:rsidRPr="00394385">
        <w:rPr>
          <w:rFonts w:ascii="Abo-thar" w:hAnsi="Abo-thar" w:cs="KFGQPC Uthman Taha Naskh"/>
          <w:bCs/>
          <w:sz w:val="28"/>
          <w:rtl/>
        </w:rPr>
        <w:t>رأ</w:t>
      </w:r>
      <w:r w:rsidR="007F7BD2" w:rsidRPr="00394385">
        <w:rPr>
          <w:rFonts w:ascii="Abo-thar" w:hAnsi="Abo-thar" w:cs="KFGQPC Uthman Taha Naskh" w:hint="cs"/>
          <w:bCs/>
          <w:sz w:val="28"/>
          <w:rtl/>
        </w:rPr>
        <w:t>ي</w:t>
      </w:r>
      <w:r w:rsidR="007F7BD2" w:rsidRPr="00394385">
        <w:rPr>
          <w:rFonts w:ascii="Abo-thar" w:hAnsi="Abo-thar" w:cs="KFGQPC Uthman Taha Naskh" w:hint="eastAsia"/>
          <w:bCs/>
          <w:sz w:val="28"/>
          <w:rtl/>
        </w:rPr>
        <w:t>تُ</w:t>
      </w:r>
      <w:r w:rsidR="007F7BD2" w:rsidRPr="00394385">
        <w:rPr>
          <w:rFonts w:ascii="Abo-thar" w:hAnsi="Abo-thar" w:cs="KFGQPC Uthman Taha Naskh"/>
          <w:bCs/>
          <w:sz w:val="28"/>
          <w:rtl/>
        </w:rPr>
        <w:t xml:space="preserve"> أباس</w:t>
      </w:r>
      <w:r w:rsidR="007F7BD2" w:rsidRPr="00394385">
        <w:rPr>
          <w:rFonts w:ascii="Abo-thar" w:hAnsi="Abo-thar" w:cs="KFGQPC Uthman Taha Naskh" w:hint="cs"/>
          <w:bCs/>
          <w:sz w:val="28"/>
          <w:rtl/>
        </w:rPr>
        <w:t>ي</w:t>
      </w:r>
      <w:r w:rsidR="007F7BD2" w:rsidRPr="00394385">
        <w:rPr>
          <w:rFonts w:ascii="Abo-thar" w:hAnsi="Abo-thar" w:cs="KFGQPC Uthman Taha Naskh" w:hint="eastAsia"/>
          <w:bCs/>
          <w:sz w:val="28"/>
          <w:rtl/>
        </w:rPr>
        <w:t>ار</w:t>
      </w:r>
      <w:r w:rsidR="007F7BD2" w:rsidRPr="00394385">
        <w:rPr>
          <w:rFonts w:ascii="Abo-thar" w:hAnsi="Abo-thar" w:cs="KFGQPC Uthman Taha Naskh"/>
          <w:bCs/>
          <w:sz w:val="28"/>
          <w:rtl/>
        </w:rPr>
        <w:t xml:space="preserve"> </w:t>
      </w:r>
      <w:r w:rsidR="007F7BD2" w:rsidRPr="00394385">
        <w:rPr>
          <w:rFonts w:ascii="Abo-thar" w:hAnsi="Abo-thar" w:cs="KFGQPC Uthman Taha Naskh" w:hint="cs"/>
          <w:bCs/>
          <w:sz w:val="28"/>
          <w:rtl/>
        </w:rPr>
        <w:t>[</w:t>
      </w:r>
      <w:r w:rsidR="007F7BD2" w:rsidRPr="00394385">
        <w:rPr>
          <w:rFonts w:ascii="Abo-thar" w:hAnsi="Abo-thar" w:cs="KFGQPC Uthman Taha Naskh"/>
          <w:bCs/>
          <w:sz w:val="28"/>
          <w:rtl/>
        </w:rPr>
        <w:t>مِسمَع بن عبدالـملك بالـمد</w:t>
      </w:r>
      <w:r w:rsidR="007F7BD2" w:rsidRPr="00394385">
        <w:rPr>
          <w:rFonts w:ascii="Abo-thar" w:hAnsi="Abo-thar" w:cs="KFGQPC Uthman Taha Naskh" w:hint="cs"/>
          <w:bCs/>
          <w:sz w:val="28"/>
          <w:rtl/>
        </w:rPr>
        <w:t>ي</w:t>
      </w:r>
      <w:r w:rsidR="007F7BD2" w:rsidRPr="00394385">
        <w:rPr>
          <w:rFonts w:ascii="Abo-thar" w:hAnsi="Abo-thar" w:cs="KFGQPC Uthman Taha Naskh" w:hint="eastAsia"/>
          <w:bCs/>
          <w:sz w:val="28"/>
          <w:rtl/>
        </w:rPr>
        <w:t>نة</w:t>
      </w:r>
      <w:r w:rsidR="007F7BD2" w:rsidRPr="00394385">
        <w:rPr>
          <w:rFonts w:ascii="Abo-thar" w:hAnsi="Abo-thar" w:cs="KFGQPC Uthman Taha Naskh" w:hint="cs"/>
          <w:bCs/>
          <w:sz w:val="28"/>
          <w:rtl/>
        </w:rPr>
        <w:t>]</w:t>
      </w:r>
      <w:r w:rsidR="007F7BD2" w:rsidRPr="00394385">
        <w:rPr>
          <w:rFonts w:ascii="Abo-thar" w:hAnsi="Abo-thar" w:cs="KFGQPC Uthman Taha Naskh"/>
          <w:bCs/>
          <w:sz w:val="28"/>
          <w:rtl/>
        </w:rPr>
        <w:t xml:space="preserve"> وقد </w:t>
      </w:r>
      <w:r w:rsidR="00D326AD" w:rsidRPr="00394385">
        <w:rPr>
          <w:rFonts w:ascii="Abo-thar" w:hAnsi="Abo-thar" w:cs="KFGQPC Uthman Taha Naskh"/>
          <w:bCs/>
          <w:sz w:val="28"/>
          <w:rtl/>
        </w:rPr>
        <w:t>ك</w:t>
      </w:r>
      <w:r w:rsidR="007F7BD2" w:rsidRPr="00394385">
        <w:rPr>
          <w:rFonts w:ascii="Abo-thar" w:hAnsi="Abo-thar" w:cs="KFGQPC Uthman Taha Naskh"/>
          <w:bCs/>
          <w:sz w:val="28"/>
          <w:rtl/>
        </w:rPr>
        <w:t>ان حمل إل</w:t>
      </w:r>
      <w:r w:rsidR="007F7BD2" w:rsidRPr="00394385">
        <w:rPr>
          <w:rFonts w:ascii="Abo-thar" w:hAnsi="Abo-thar" w:cs="KFGQPC Uthman Taha Naskh" w:hint="cs"/>
          <w:bCs/>
          <w:sz w:val="28"/>
          <w:rtl/>
        </w:rPr>
        <w:t>ی</w:t>
      </w:r>
      <w:r w:rsidR="007F7BD2" w:rsidRPr="00394385">
        <w:rPr>
          <w:rFonts w:ascii="Abo-thar" w:hAnsi="Abo-thar" w:cs="KFGQPC Uthman Taha Naskh"/>
          <w:bCs/>
          <w:sz w:val="28"/>
          <w:rtl/>
        </w:rPr>
        <w:t xml:space="preserve"> أبي عبدالله</w:t>
      </w:r>
      <w:r w:rsidR="00DB22C3" w:rsidRPr="00394385">
        <w:rPr>
          <w:rFonts w:ascii="Abo-thar" w:hAnsi="Abo-thar" w:cs="KFGQPC Uthman Taha Naskh"/>
          <w:bCs/>
          <w:sz w:val="28"/>
          <w:rtl/>
        </w:rPr>
        <w:sym w:font="AGA Arabesque" w:char="F075"/>
      </w:r>
      <w:r w:rsidR="007F7BD2" w:rsidRPr="00394385">
        <w:rPr>
          <w:rFonts w:ascii="Abo-thar" w:hAnsi="Abo-thar" w:cs="KFGQPC Uthman Taha Naskh"/>
          <w:bCs/>
          <w:sz w:val="28"/>
          <w:rtl/>
        </w:rPr>
        <w:t xml:space="preserve"> مالاً في تلك السنة فردّه عل</w:t>
      </w:r>
      <w:r w:rsidR="00DB22C3" w:rsidRPr="00394385">
        <w:rPr>
          <w:rFonts w:ascii="Abo-thar" w:hAnsi="Abo-thar" w:cs="KFGQPC Uthman Taha Naskh" w:hint="cs"/>
          <w:bCs/>
          <w:sz w:val="28"/>
          <w:rtl/>
        </w:rPr>
        <w:t>ي</w:t>
      </w:r>
      <w:r w:rsidR="007F7BD2" w:rsidRPr="00394385">
        <w:rPr>
          <w:rFonts w:ascii="Abo-thar" w:hAnsi="Abo-thar" w:cs="KFGQPC Uthman Taha Naskh" w:hint="eastAsia"/>
          <w:bCs/>
          <w:sz w:val="28"/>
          <w:rtl/>
        </w:rPr>
        <w:t>ه،</w:t>
      </w:r>
      <w:r w:rsidR="007F7BD2" w:rsidRPr="00394385">
        <w:rPr>
          <w:rFonts w:ascii="Abo-thar" w:hAnsi="Abo-thar" w:cs="KFGQPC Uthman Taha Naskh"/>
          <w:bCs/>
          <w:sz w:val="28"/>
          <w:rtl/>
        </w:rPr>
        <w:t xml:space="preserve"> فقلتُ له: لِمَ ردَّ عل</w:t>
      </w:r>
      <w:r w:rsidR="00DB22C3" w:rsidRPr="00394385">
        <w:rPr>
          <w:rFonts w:ascii="Abo-thar" w:hAnsi="Abo-thar" w:cs="KFGQPC Uthman Taha Naskh" w:hint="cs"/>
          <w:bCs/>
          <w:sz w:val="28"/>
          <w:rtl/>
        </w:rPr>
        <w:t>ي</w:t>
      </w:r>
      <w:r w:rsidR="007F7BD2" w:rsidRPr="00394385">
        <w:rPr>
          <w:rFonts w:ascii="Abo-thar" w:hAnsi="Abo-thar" w:cs="KFGQPC Uthman Taha Naskh" w:hint="eastAsia"/>
          <w:bCs/>
          <w:sz w:val="28"/>
          <w:rtl/>
        </w:rPr>
        <w:t>كَ</w:t>
      </w:r>
      <w:r w:rsidR="007F7BD2" w:rsidRPr="00394385">
        <w:rPr>
          <w:rFonts w:ascii="Abo-thar" w:hAnsi="Abo-thar" w:cs="KFGQPC Uthman Taha Naskh"/>
          <w:bCs/>
          <w:sz w:val="28"/>
          <w:rtl/>
        </w:rPr>
        <w:t xml:space="preserve"> أبوعبد الله الـمال الذ</w:t>
      </w:r>
      <w:r w:rsidR="00D326AD" w:rsidRPr="00394385">
        <w:rPr>
          <w:rFonts w:ascii="Abo-thar" w:hAnsi="Abo-thar" w:cs="KFGQPC Uthman Taha Naskh" w:hint="cs"/>
          <w:bCs/>
          <w:sz w:val="28"/>
          <w:rtl/>
        </w:rPr>
        <w:t>ي</w:t>
      </w:r>
      <w:r w:rsidR="007F7BD2" w:rsidRPr="00394385">
        <w:rPr>
          <w:rFonts w:ascii="Abo-thar" w:hAnsi="Abo-thar" w:cs="KFGQPC Uthman Taha Naskh"/>
          <w:bCs/>
          <w:sz w:val="28"/>
          <w:rtl/>
        </w:rPr>
        <w:t xml:space="preserve"> حملتَـهُ إل</w:t>
      </w:r>
      <w:r w:rsidR="00DB22C3" w:rsidRPr="00394385">
        <w:rPr>
          <w:rFonts w:ascii="Abo-thar" w:hAnsi="Abo-thar" w:cs="KFGQPC Uthman Taha Naskh" w:hint="cs"/>
          <w:bCs/>
          <w:sz w:val="28"/>
          <w:rtl/>
        </w:rPr>
        <w:t>ي</w:t>
      </w:r>
      <w:r w:rsidR="007F7BD2" w:rsidRPr="00394385">
        <w:rPr>
          <w:rFonts w:ascii="Abo-thar" w:hAnsi="Abo-thar" w:cs="KFGQPC Uthman Taha Naskh" w:hint="eastAsia"/>
          <w:bCs/>
          <w:sz w:val="28"/>
          <w:rtl/>
        </w:rPr>
        <w:t>ه؟</w:t>
      </w:r>
      <w:r w:rsidR="007F7BD2" w:rsidRPr="00394385">
        <w:rPr>
          <w:rFonts w:ascii="Abo-thar" w:hAnsi="Abo-thar" w:cs="KFGQPC Uthman Taha Naskh"/>
          <w:bCs/>
          <w:sz w:val="28"/>
          <w:rtl/>
        </w:rPr>
        <w:t xml:space="preserve"> فقال: إني قلتُ له ح</w:t>
      </w:r>
      <w:r w:rsidR="00DB22C3" w:rsidRPr="00394385">
        <w:rPr>
          <w:rFonts w:ascii="Abo-thar" w:hAnsi="Abo-thar" w:cs="KFGQPC Uthman Taha Naskh" w:hint="cs"/>
          <w:bCs/>
          <w:sz w:val="28"/>
          <w:rtl/>
        </w:rPr>
        <w:t>ي</w:t>
      </w:r>
      <w:r w:rsidR="007F7BD2" w:rsidRPr="00394385">
        <w:rPr>
          <w:rFonts w:ascii="Abo-thar" w:hAnsi="Abo-thar" w:cs="KFGQPC Uthman Taha Naskh" w:hint="eastAsia"/>
          <w:bCs/>
          <w:sz w:val="28"/>
          <w:rtl/>
        </w:rPr>
        <w:t>ن</w:t>
      </w:r>
      <w:r w:rsidR="007F7BD2" w:rsidRPr="00394385">
        <w:rPr>
          <w:rFonts w:ascii="Abo-thar" w:hAnsi="Abo-thar" w:cs="KFGQPC Uthman Taha Naskh"/>
          <w:bCs/>
          <w:sz w:val="28"/>
          <w:rtl/>
        </w:rPr>
        <w:t xml:space="preserve"> حملتُ إل</w:t>
      </w:r>
      <w:r w:rsidR="00DB22C3" w:rsidRPr="00394385">
        <w:rPr>
          <w:rFonts w:ascii="Abo-thar" w:hAnsi="Abo-thar" w:cs="KFGQPC Uthman Taha Naskh" w:hint="cs"/>
          <w:bCs/>
          <w:sz w:val="28"/>
          <w:rtl/>
        </w:rPr>
        <w:t>ي</w:t>
      </w:r>
      <w:r w:rsidR="007F7BD2" w:rsidRPr="00394385">
        <w:rPr>
          <w:rFonts w:ascii="Abo-thar" w:hAnsi="Abo-thar" w:cs="KFGQPC Uthman Taha Naskh" w:hint="eastAsia"/>
          <w:bCs/>
          <w:sz w:val="28"/>
          <w:rtl/>
        </w:rPr>
        <w:t>ه</w:t>
      </w:r>
      <w:r w:rsidR="00DB22C3" w:rsidRPr="00394385">
        <w:rPr>
          <w:rFonts w:ascii="Abo-thar" w:hAnsi="Abo-thar" w:cs="KFGQPC Uthman Taha Naskh"/>
          <w:bCs/>
          <w:sz w:val="28"/>
          <w:rtl/>
        </w:rPr>
        <w:t xml:space="preserve"> الـمالَ</w:t>
      </w:r>
      <w:r w:rsidR="00217AB4" w:rsidRPr="00394385">
        <w:rPr>
          <w:rFonts w:ascii="Abo-thar" w:hAnsi="Abo-thar" w:cs="KFGQPC Uthman Taha Naskh" w:hint="cs"/>
          <w:bCs/>
          <w:sz w:val="28"/>
          <w:rtl/>
        </w:rPr>
        <w:t>:</w:t>
      </w:r>
      <w:r w:rsidR="005C664D" w:rsidRPr="00394385">
        <w:rPr>
          <w:rFonts w:ascii="Abo-thar" w:hAnsi="Abo-thar" w:cs="KFGQPC Uthman Taha Naskh"/>
          <w:bCs/>
          <w:sz w:val="28"/>
          <w:rtl/>
        </w:rPr>
        <w:t xml:space="preserve"> إِنِّي كُنْتُ وُلِّيتُ الغَوْصَ فَأَصَبْتُ أَرْبَعَمِائَةِ أَلْفِ دِرْهَمٍ وقَدْ جِئْتُ بِخُمُسِهَا ثَمَانِينَ أَلْفَ دِرْهَمٍ وكَرِهْتُ أَنْ أَحْبِسَهَا عَنْكَ وأَعْرِضَ لَهَا وهِيَ حَقُّكَ الَّذِي جَعَلَ اللهُ تَعَالَى لَكَ فِي أَمْوَالِنَا فَقَالَ</w:t>
      </w:r>
      <w:r w:rsidR="00217AB4" w:rsidRPr="00394385">
        <w:rPr>
          <w:rFonts w:ascii="Abo-thar" w:hAnsi="Abo-thar" w:cs="KFGQPC Uthman Taha Naskh"/>
          <w:bCs/>
          <w:sz w:val="28"/>
          <w:rtl/>
        </w:rPr>
        <w:t>:</w:t>
      </w:r>
      <w:r w:rsidR="005C664D" w:rsidRPr="00394385">
        <w:rPr>
          <w:rFonts w:ascii="Abo-thar" w:hAnsi="Abo-thar" w:cs="KFGQPC Uthman Taha Naskh"/>
          <w:bCs/>
          <w:sz w:val="28"/>
          <w:rtl/>
        </w:rPr>
        <w:t xml:space="preserve"> ومَا لَنَا مِنَ الأَرْضِ ومَا أَخْرَجَ اللهُ مِنْهَا إِلَّا الخُمُسُ يَا أَبَا سَيَّارٍ</w:t>
      </w:r>
      <w:r w:rsidR="00217AB4" w:rsidRPr="00394385">
        <w:rPr>
          <w:rFonts w:ascii="Abo-thar" w:hAnsi="Abo-thar" w:cs="KFGQPC Uthman Taha Naskh" w:hint="cs"/>
          <w:bCs/>
          <w:sz w:val="28"/>
          <w:rtl/>
        </w:rPr>
        <w:t>!</w:t>
      </w:r>
      <w:r w:rsidR="005C664D" w:rsidRPr="00394385">
        <w:rPr>
          <w:rFonts w:ascii="Abo-thar" w:hAnsi="Abo-thar" w:cs="KFGQPC Uthman Taha Naskh"/>
          <w:bCs/>
          <w:sz w:val="28"/>
          <w:rtl/>
        </w:rPr>
        <w:t xml:space="preserve"> الأَرْضُ كُلُّهَا لَنَا</w:t>
      </w:r>
      <w:r w:rsidR="00217AB4" w:rsidRPr="00394385">
        <w:rPr>
          <w:rFonts w:ascii="Abo-thar" w:hAnsi="Abo-thar" w:cs="KFGQPC Uthman Taha Naskh" w:hint="cs"/>
          <w:bCs/>
          <w:sz w:val="28"/>
          <w:rtl/>
        </w:rPr>
        <w:t>،</w:t>
      </w:r>
      <w:r w:rsidR="005C664D" w:rsidRPr="00394385">
        <w:rPr>
          <w:rFonts w:ascii="Abo-thar" w:hAnsi="Abo-thar" w:cs="KFGQPC Uthman Taha Naskh"/>
          <w:bCs/>
          <w:sz w:val="28"/>
          <w:rtl/>
        </w:rPr>
        <w:t xml:space="preserve"> فَمَا أَخْرَجَ اللهُ مِنْهَا مِنْ شَيْ‏ءٍ فَهُوَ لَنَا</w:t>
      </w:r>
      <w:r w:rsidR="00217AB4" w:rsidRPr="00394385">
        <w:rPr>
          <w:rFonts w:ascii="Abo-thar" w:hAnsi="Abo-thar" w:cs="KFGQPC Uthman Taha Naskh" w:hint="cs"/>
          <w:bCs/>
          <w:sz w:val="28"/>
          <w:rtl/>
        </w:rPr>
        <w:t>.</w:t>
      </w:r>
      <w:r w:rsidR="005C664D" w:rsidRPr="00394385">
        <w:rPr>
          <w:rFonts w:ascii="Abo-thar" w:hAnsi="Abo-thar" w:cs="KFGQPC Uthman Taha Naskh"/>
          <w:bCs/>
          <w:sz w:val="28"/>
          <w:rtl/>
        </w:rPr>
        <w:t xml:space="preserve"> قَالَ قُلْتُ لَهُ</w:t>
      </w:r>
      <w:r w:rsidR="00217AB4" w:rsidRPr="00394385">
        <w:rPr>
          <w:rFonts w:ascii="Abo-thar" w:hAnsi="Abo-thar" w:cs="KFGQPC Uthman Taha Naskh" w:hint="cs"/>
          <w:bCs/>
          <w:sz w:val="28"/>
          <w:rtl/>
        </w:rPr>
        <w:t>:</w:t>
      </w:r>
      <w:r w:rsidR="005C664D" w:rsidRPr="00394385">
        <w:rPr>
          <w:rFonts w:ascii="Abo-thar" w:hAnsi="Abo-thar" w:cs="KFGQPC Uthman Taha Naskh"/>
          <w:bCs/>
          <w:sz w:val="28"/>
          <w:rtl/>
        </w:rPr>
        <w:t xml:space="preserve"> أَنَا أَحْمِلُ إِلَيْكَ المَالَ كُلَّهُ</w:t>
      </w:r>
      <w:r w:rsidR="00217AB4" w:rsidRPr="00394385">
        <w:rPr>
          <w:rFonts w:ascii="Abo-thar" w:hAnsi="Abo-thar" w:cs="KFGQPC Uthman Taha Naskh" w:hint="cs"/>
          <w:bCs/>
          <w:sz w:val="28"/>
          <w:rtl/>
        </w:rPr>
        <w:t>.</w:t>
      </w:r>
      <w:r w:rsidR="005C664D" w:rsidRPr="00394385">
        <w:rPr>
          <w:rFonts w:ascii="Abo-thar" w:hAnsi="Abo-thar" w:cs="KFGQPC Uthman Taha Naskh"/>
          <w:bCs/>
          <w:sz w:val="28"/>
          <w:rtl/>
        </w:rPr>
        <w:t xml:space="preserve"> فَقَالَ لِي</w:t>
      </w:r>
      <w:r w:rsidR="00217AB4" w:rsidRPr="00394385">
        <w:rPr>
          <w:rFonts w:ascii="Abo-thar" w:hAnsi="Abo-thar" w:cs="KFGQPC Uthman Taha Naskh" w:hint="cs"/>
          <w:bCs/>
          <w:sz w:val="28"/>
          <w:rtl/>
        </w:rPr>
        <w:t>:</w:t>
      </w:r>
      <w:r w:rsidR="005C664D" w:rsidRPr="00394385">
        <w:rPr>
          <w:rFonts w:ascii="Abo-thar" w:hAnsi="Abo-thar" w:cs="KFGQPC Uthman Taha Naskh"/>
          <w:bCs/>
          <w:sz w:val="28"/>
          <w:rtl/>
        </w:rPr>
        <w:t xml:space="preserve"> يَا أَبَا سَيَّارٍ</w:t>
      </w:r>
      <w:r w:rsidR="00217AB4" w:rsidRPr="00394385">
        <w:rPr>
          <w:rFonts w:ascii="Abo-thar" w:hAnsi="Abo-thar" w:cs="KFGQPC Uthman Taha Naskh" w:hint="cs"/>
          <w:bCs/>
          <w:sz w:val="28"/>
          <w:rtl/>
        </w:rPr>
        <w:t>!</w:t>
      </w:r>
      <w:r w:rsidR="005C664D" w:rsidRPr="00394385">
        <w:rPr>
          <w:rFonts w:ascii="Abo-thar" w:hAnsi="Abo-thar" w:cs="KFGQPC Uthman Taha Naskh"/>
          <w:bCs/>
          <w:sz w:val="28"/>
          <w:rtl/>
        </w:rPr>
        <w:t xml:space="preserve"> قَدْ طَيَّبْنَاهُ لَكَ وحَلَّلْنَاكَ مِنْهُ فَضُمَّ إِلَيْكَ مَالَكَ وكُلُّ مَا كَانَ فِي أَيْدِي شِيعَتِنَا مِنَ الأَرْضِ فَهُمْ فِيهِ مُحَلَّلُونَ ومُحَلَّلٌ لَهُمْ ذَلِكَ إِلَى أَنْ يَقُومَ قَائِمُنَا فَيَجْبِيَهُمْ طَسْقَ مَا كَانَ فِي أَيْدِي سِوَاهُمْ فَإِنَّ كَسْبَهُمْ مِنَ الأَرْضِ حَرَامٌ عَلَيْهِمْ حَتَّى يَقُومَ قَائِمُنَا فَيَأْخُذَ الأَرْضَ مِنْ أَيْدِيهِمْ ويُخْرِجَهُمْ مِنْهَا صَغَرَة</w:t>
      </w:r>
      <w:r w:rsidR="00EF2588" w:rsidRPr="00394385">
        <w:rPr>
          <w:rFonts w:ascii="Abo-thar" w:hAnsi="Abo-thar" w:cs="KFGQPC Uthman Taha Naskh" w:hint="cs"/>
          <w:sz w:val="28"/>
          <w:rtl/>
        </w:rPr>
        <w:t>»</w:t>
      </w:r>
      <w:r w:rsidR="00CF46B9" w:rsidRPr="0021507A">
        <w:rPr>
          <w:rFonts w:ascii="Abo-thar" w:hAnsi="Abo-thar" w:cs="Arabic11 BT"/>
          <w:sz w:val="28"/>
          <w:vertAlign w:val="superscript"/>
          <w:rtl/>
        </w:rPr>
        <w:t>(</w:t>
      </w:r>
      <w:r w:rsidR="00CF46B9" w:rsidRPr="0021507A">
        <w:rPr>
          <w:rStyle w:val="FootnoteReference"/>
          <w:rFonts w:ascii="Abo-thar" w:hAnsi="Abo-thar" w:cs="Arabic11 BT"/>
          <w:sz w:val="28"/>
          <w:rtl/>
        </w:rPr>
        <w:footnoteReference w:id="349"/>
      </w:r>
      <w:r w:rsidR="00CF46B9" w:rsidRPr="0021507A">
        <w:rPr>
          <w:rFonts w:ascii="Abo-thar" w:hAnsi="Abo-thar" w:cs="Arabic11 BT"/>
          <w:sz w:val="28"/>
          <w:vertAlign w:val="superscript"/>
          <w:rtl/>
        </w:rPr>
        <w:t>)</w:t>
      </w:r>
      <w:r w:rsidR="00217AB4" w:rsidRPr="003F3B94">
        <w:rPr>
          <w:rFonts w:ascii="Abo-thar" w:hAnsi="Abo-thar" w:hint="cs"/>
          <w:sz w:val="28"/>
          <w:rtl/>
        </w:rPr>
        <w:t>.</w:t>
      </w:r>
    </w:p>
    <w:p w:rsidR="005C664D" w:rsidRPr="003F3B94" w:rsidRDefault="005C664D" w:rsidP="003F3B94">
      <w:pPr>
        <w:pStyle w:val="a0"/>
        <w:rPr>
          <w:rFonts w:hint="cs"/>
          <w:rtl/>
          <w:lang w:bidi="ar-SY"/>
        </w:rPr>
      </w:pPr>
      <w:r w:rsidRPr="003F3B94">
        <w:rPr>
          <w:rFonts w:ascii="Abo-thar" w:hAnsi="Abo-thar" w:hint="cs"/>
          <w:sz w:val="28"/>
          <w:rtl/>
          <w:lang w:bidi="ar-SY"/>
        </w:rPr>
        <w:t xml:space="preserve">وقد روى الكُلَيْنِيّ في </w:t>
      </w:r>
      <w:r w:rsidRPr="003F3B94">
        <w:rPr>
          <w:rFonts w:ascii="Abo-thar" w:hAnsi="Abo-thar"/>
          <w:sz w:val="28"/>
          <w:rtl/>
          <w:lang w:bidi="ar-SY"/>
        </w:rPr>
        <w:t>«</w:t>
      </w:r>
      <w:r w:rsidR="00DB22C3" w:rsidRPr="003F3B94">
        <w:rPr>
          <w:rFonts w:ascii="Abo-thar" w:hAnsi="Abo-thar" w:hint="cs"/>
          <w:sz w:val="28"/>
          <w:rtl/>
          <w:lang w:bidi="ar-SY"/>
        </w:rPr>
        <w:t xml:space="preserve">أصول </w:t>
      </w:r>
      <w:r w:rsidRPr="003F3B94">
        <w:rPr>
          <w:rFonts w:ascii="Abo-thar" w:hAnsi="Abo-thar" w:hint="cs"/>
          <w:sz w:val="28"/>
          <w:rtl/>
          <w:lang w:bidi="ar-SY"/>
        </w:rPr>
        <w:t>الكافي</w:t>
      </w:r>
      <w:r w:rsidRPr="003F3B94">
        <w:rPr>
          <w:rFonts w:ascii="Abo-thar" w:hAnsi="Abo-thar"/>
          <w:sz w:val="28"/>
          <w:rtl/>
          <w:lang w:bidi="ar-SY"/>
        </w:rPr>
        <w:t>»</w:t>
      </w:r>
      <w:r w:rsidRPr="003F3B94">
        <w:rPr>
          <w:rFonts w:ascii="Abo-thar" w:hAnsi="Abo-thar" w:hint="cs"/>
          <w:sz w:val="28"/>
          <w:rtl/>
          <w:lang w:bidi="ar-SY"/>
        </w:rPr>
        <w:t xml:space="preserve"> هذا الحديث من طريق أخرى </w:t>
      </w:r>
      <w:r w:rsidRPr="003F3B94">
        <w:rPr>
          <w:rFonts w:ascii="Abo-thar" w:hAnsi="Abo-thar"/>
          <w:sz w:val="28"/>
          <w:rtl/>
          <w:lang w:bidi="ar-SY"/>
        </w:rPr>
        <w:t>عَنِ ابْنِ مَحْبُوبٍ عَنْ عُمَرَ بْنِ يَزِيد</w:t>
      </w:r>
      <w:r w:rsidRPr="003F3B94">
        <w:rPr>
          <w:rFonts w:ascii="Abo-thar" w:hAnsi="Abo-thar" w:hint="cs"/>
          <w:sz w:val="28"/>
          <w:rtl/>
          <w:lang w:bidi="ar-SY"/>
        </w:rPr>
        <w:t xml:space="preserve"> </w:t>
      </w:r>
      <w:r w:rsidRPr="003F3B94">
        <w:rPr>
          <w:rFonts w:ascii="Abo-thar" w:hAnsi="Abo-thar"/>
          <w:sz w:val="28"/>
          <w:rtl/>
          <w:lang w:bidi="ar-SY"/>
        </w:rPr>
        <w:t>قَالَ</w:t>
      </w:r>
      <w:r w:rsidR="00217AB4" w:rsidRPr="003F3B94">
        <w:rPr>
          <w:rFonts w:ascii="Abo-thar" w:hAnsi="Abo-thar"/>
          <w:sz w:val="28"/>
          <w:rtl/>
          <w:lang w:bidi="ar-SY"/>
        </w:rPr>
        <w:t>:</w:t>
      </w:r>
      <w:r w:rsidRPr="003F3B94">
        <w:rPr>
          <w:rFonts w:ascii="Abo-thar" w:hAnsi="Abo-thar"/>
          <w:sz w:val="28"/>
          <w:rtl/>
          <w:lang w:bidi="ar-SY"/>
        </w:rPr>
        <w:t xml:space="preserve"> رَأَيْتُ مِسْمَعا</w:t>
      </w:r>
      <w:r w:rsidRPr="003F3B94">
        <w:rPr>
          <w:rFonts w:ascii="Abo-thar" w:hAnsi="Abo-thar" w:hint="cs"/>
          <w:sz w:val="28"/>
          <w:rtl/>
          <w:lang w:bidi="ar-SY"/>
        </w:rPr>
        <w:t>ً</w:t>
      </w:r>
      <w:r w:rsidR="00217AB4" w:rsidRPr="003F3B94">
        <w:rPr>
          <w:rFonts w:ascii="Abo-thar" w:hAnsi="Abo-thar" w:hint="cs"/>
          <w:sz w:val="28"/>
          <w:rtl/>
          <w:lang w:bidi="ar-SY"/>
        </w:rPr>
        <w:t>...،</w:t>
      </w:r>
      <w:r w:rsidRPr="003F3B94">
        <w:rPr>
          <w:rFonts w:ascii="Abo-thar" w:hAnsi="Abo-thar" w:hint="cs"/>
          <w:sz w:val="28"/>
          <w:rtl/>
          <w:lang w:bidi="ar-SY"/>
        </w:rPr>
        <w:t xml:space="preserve"> وفيه يقول أبُو سيَّار</w:t>
      </w:r>
      <w:r w:rsidR="00217AB4" w:rsidRPr="003F3B94">
        <w:rPr>
          <w:rFonts w:ascii="Abo-thar" w:hAnsi="Abo-thar" w:hint="cs"/>
          <w:sz w:val="28"/>
          <w:rtl/>
          <w:lang w:bidi="ar-SY"/>
        </w:rPr>
        <w:t>:</w:t>
      </w:r>
      <w:r w:rsidRPr="003F3B94">
        <w:rPr>
          <w:rFonts w:ascii="Abo-thar" w:hAnsi="Abo-thar" w:hint="cs"/>
          <w:sz w:val="28"/>
          <w:rtl/>
          <w:lang w:bidi="ar-SY"/>
        </w:rPr>
        <w:t xml:space="preserve"> </w:t>
      </w:r>
      <w:r w:rsidRPr="00394385">
        <w:rPr>
          <w:rFonts w:ascii="Abo-thar" w:hAnsi="Abo-thar" w:cs="KFGQPC Uthman Taha Naskh"/>
          <w:sz w:val="28"/>
          <w:rtl/>
          <w:lang w:bidi="ar-SY"/>
        </w:rPr>
        <w:t>«</w:t>
      </w:r>
      <w:r w:rsidRPr="00394385">
        <w:rPr>
          <w:rFonts w:ascii="Abo-thar" w:hAnsi="Abo-thar" w:cs="KFGQPC Uthman Taha Naskh"/>
          <w:bCs/>
          <w:sz w:val="28"/>
          <w:rtl/>
          <w:lang w:bidi="ar-SY"/>
        </w:rPr>
        <w:t>إِنِّي كُنْتُ وُلِّيتُ البَحْرَيْنَ الغَوْصَ</w:t>
      </w:r>
      <w:r w:rsidRPr="00394385">
        <w:rPr>
          <w:rFonts w:ascii="Abo-thar" w:hAnsi="Abo-thar" w:cs="KFGQPC Uthman Taha Naskh"/>
          <w:sz w:val="28"/>
          <w:rtl/>
          <w:lang w:bidi="ar-SY"/>
        </w:rPr>
        <w:t>»</w:t>
      </w:r>
      <w:r w:rsidR="00147857" w:rsidRPr="003F3B94">
        <w:rPr>
          <w:rFonts w:ascii="Abo-thar" w:hAnsi="Abo-thar"/>
          <w:sz w:val="28"/>
          <w:rtl/>
          <w:lang w:bidi="ar-SY"/>
        </w:rPr>
        <w:t xml:space="preserve"> </w:t>
      </w:r>
      <w:r w:rsidRPr="003F3B94">
        <w:rPr>
          <w:rFonts w:ascii="Abo-thar" w:hAnsi="Abo-thar" w:hint="cs"/>
          <w:sz w:val="28"/>
          <w:rtl/>
          <w:lang w:bidi="ar-SY"/>
        </w:rPr>
        <w:t>إلى أن يقول</w:t>
      </w:r>
      <w:r w:rsidR="00217AB4" w:rsidRPr="003F3B94">
        <w:rPr>
          <w:rFonts w:ascii="Abo-thar" w:hAnsi="Abo-thar" w:hint="cs"/>
          <w:sz w:val="28"/>
          <w:rtl/>
          <w:lang w:bidi="ar-SY"/>
        </w:rPr>
        <w:t>:</w:t>
      </w:r>
      <w:r w:rsidRPr="003F3B94">
        <w:rPr>
          <w:rFonts w:ascii="Abo-thar" w:hAnsi="Abo-thar" w:hint="cs"/>
          <w:sz w:val="28"/>
          <w:rtl/>
          <w:lang w:bidi="ar-SY"/>
        </w:rPr>
        <w:t xml:space="preserve"> </w:t>
      </w:r>
      <w:r w:rsidR="00EF2588" w:rsidRPr="00394385">
        <w:rPr>
          <w:rFonts w:ascii="Abo-thar" w:hAnsi="Abo-thar" w:cs="KFGQPC Uthman Taha Naskh" w:hint="cs"/>
          <w:sz w:val="28"/>
          <w:rtl/>
          <w:lang w:bidi="ar-SY"/>
        </w:rPr>
        <w:t>«</w:t>
      </w:r>
      <w:r w:rsidRPr="00394385">
        <w:rPr>
          <w:rFonts w:ascii="Abo-thar" w:hAnsi="Abo-thar" w:cs="KFGQPC Uthman Taha Naskh"/>
          <w:bCs/>
          <w:sz w:val="28"/>
          <w:rtl/>
          <w:lang w:bidi="ar-SY"/>
        </w:rPr>
        <w:t>فَيَجْبِيَهُمْ طَسْقَ مَا كَانَ فِي أَيْدِيهِمْ ويَتْرُكَ الأَرْضَ فِي أَيْدِيهِمْ وأَمَّا مَا كَانَ فِي أَيْدِي غَيْرِهِمْ فَإِنَّ كَسْبَهُمْ مِنَ الأَرْضِ حَرَامٌ عَلَيْهِم</w:t>
      </w:r>
      <w:r w:rsidRPr="00394385">
        <w:rPr>
          <w:rFonts w:ascii="Abo-thar" w:hAnsi="Abo-thar" w:cs="KFGQPC Uthman Taha Naskh"/>
          <w:sz w:val="28"/>
          <w:rtl/>
          <w:lang w:bidi="ar-SY"/>
        </w:rPr>
        <w:t>‏</w:t>
      </w:r>
      <w:r w:rsidR="00DB22C3" w:rsidRPr="00394385">
        <w:rPr>
          <w:rFonts w:ascii="Abo-thar" w:hAnsi="Abo-thar" w:cs="KFGQPC Uthman Taha Naskh" w:hint="cs"/>
          <w:sz w:val="28"/>
          <w:rtl/>
          <w:lang w:bidi="ar-SY"/>
        </w:rPr>
        <w:t xml:space="preserve"> </w:t>
      </w:r>
      <w:r w:rsidR="00DB22C3" w:rsidRPr="00394385">
        <w:rPr>
          <w:rFonts w:ascii="Abo-thar" w:hAnsi="Abo-thar" w:cs="KFGQPC Uthman Taha Naskh"/>
          <w:sz w:val="28"/>
          <w:rtl/>
          <w:lang w:bidi="ar-SY"/>
        </w:rPr>
        <w:t>حَتَّى يَقومُ قَائمُنَا</w:t>
      </w:r>
      <w:r w:rsidR="00DB22C3" w:rsidRPr="00394385">
        <w:rPr>
          <w:rFonts w:ascii="Abo-thar" w:hAnsi="Abo-thar" w:cs="KFGQPC Uthman Taha Naskh" w:hint="cs"/>
          <w:sz w:val="28"/>
          <w:rtl/>
          <w:lang w:bidi="ar-SY"/>
        </w:rPr>
        <w:t>»</w:t>
      </w:r>
      <w:r w:rsidR="00CF46B9" w:rsidRPr="0021507A">
        <w:rPr>
          <w:rFonts w:ascii="Abo-thar" w:hAnsi="Abo-thar" w:cs="Arabic11 BT"/>
          <w:sz w:val="28"/>
          <w:vertAlign w:val="superscript"/>
          <w:rtl/>
          <w:lang w:bidi="ar-SY"/>
        </w:rPr>
        <w:t>(</w:t>
      </w:r>
      <w:r w:rsidR="00CF46B9" w:rsidRPr="0021507A">
        <w:rPr>
          <w:rStyle w:val="FootnoteReference"/>
          <w:rFonts w:ascii="Abo-thar" w:hAnsi="Abo-thar" w:cs="Arabic11 BT"/>
          <w:sz w:val="28"/>
          <w:rtl/>
          <w:lang w:bidi="ar-SY"/>
        </w:rPr>
        <w:footnoteReference w:id="350"/>
      </w:r>
      <w:r w:rsidR="00CF46B9" w:rsidRPr="0021507A">
        <w:rPr>
          <w:rFonts w:ascii="Abo-thar" w:hAnsi="Abo-thar" w:cs="Arabic11 BT"/>
          <w:sz w:val="28"/>
          <w:vertAlign w:val="superscript"/>
          <w:rtl/>
          <w:lang w:bidi="ar-SY"/>
        </w:rPr>
        <w:t>)</w:t>
      </w:r>
      <w:r w:rsidR="00DB22C3" w:rsidRPr="003F3B94">
        <w:rPr>
          <w:rFonts w:ascii="Abo-thar" w:hAnsi="Abo-thar" w:hint="cs"/>
          <w:sz w:val="28"/>
          <w:rtl/>
          <w:lang w:bidi="ar-SY"/>
        </w:rPr>
        <w:t xml:space="preserve">. </w:t>
      </w:r>
      <w:r w:rsidR="00DB22C3" w:rsidRPr="003F3B94">
        <w:rPr>
          <w:rFonts w:ascii="Abo-thar" w:hAnsi="Abo-thar"/>
          <w:sz w:val="28"/>
          <w:rtl/>
          <w:lang w:bidi="ar-SY"/>
        </w:rPr>
        <w:t>وقد اعتبر العلامة المَجْلِسِيّ هذا الحديث صحيحاً.</w:t>
      </w:r>
    </w:p>
    <w:p w:rsidR="005C664D" w:rsidRPr="003F3B94" w:rsidRDefault="005C664D" w:rsidP="003F3B94">
      <w:pPr>
        <w:pStyle w:val="a0"/>
        <w:rPr>
          <w:rFonts w:hint="cs"/>
          <w:rtl/>
          <w:lang w:bidi="ar-SY"/>
        </w:rPr>
      </w:pPr>
      <w:r w:rsidRPr="003F3B94">
        <w:rPr>
          <w:rFonts w:ascii="Abo-thar" w:hAnsi="Abo-thar" w:hint="cs"/>
          <w:sz w:val="28"/>
          <w:rtl/>
          <w:lang w:bidi="ar-SY"/>
        </w:rPr>
        <w:t>ومضمون هذا الحديث مثل مضمون الذي قبله</w:t>
      </w:r>
      <w:r w:rsidR="00217AB4" w:rsidRPr="003F3B94">
        <w:rPr>
          <w:rFonts w:ascii="Abo-thar" w:hAnsi="Abo-thar" w:hint="cs"/>
          <w:sz w:val="28"/>
          <w:rtl/>
          <w:lang w:bidi="ar-SY"/>
        </w:rPr>
        <w:t>،</w:t>
      </w:r>
      <w:r w:rsidRPr="003F3B94">
        <w:rPr>
          <w:rFonts w:ascii="Abo-thar" w:hAnsi="Abo-thar" w:hint="cs"/>
          <w:sz w:val="28"/>
          <w:rtl/>
          <w:lang w:bidi="ar-SY"/>
        </w:rPr>
        <w:t xml:space="preserve"> ومع أنه كان بإمكاننا أن نعدهما حديثين إلا أنه لما كان المضمون متَّحداً اعتبرناهما حديثاً واحداً</w:t>
      </w:r>
      <w:r w:rsidR="00217AB4" w:rsidRPr="003F3B94">
        <w:rPr>
          <w:rFonts w:ascii="Abo-thar" w:hAnsi="Abo-thar" w:hint="cs"/>
          <w:sz w:val="28"/>
          <w:rtl/>
          <w:lang w:bidi="ar-SY"/>
        </w:rPr>
        <w:t>.</w:t>
      </w:r>
    </w:p>
    <w:p w:rsidR="005C664D" w:rsidRPr="003F3B94" w:rsidRDefault="005C664D" w:rsidP="00254729">
      <w:pPr>
        <w:pStyle w:val="a0"/>
        <w:rPr>
          <w:rFonts w:hint="cs"/>
          <w:rtl/>
        </w:rPr>
      </w:pPr>
      <w:r w:rsidRPr="003F3B94">
        <w:rPr>
          <w:rFonts w:ascii="Abo-thar" w:hAnsi="Abo-thar" w:hint="cs"/>
          <w:sz w:val="28"/>
          <w:rtl/>
          <w:lang w:bidi="ar-SY"/>
        </w:rPr>
        <w:t>2</w:t>
      </w:r>
      <w:r w:rsidR="009C22A2" w:rsidRPr="003F3B94">
        <w:rPr>
          <w:rFonts w:ascii="Abo-thar" w:hAnsi="Abo-thar" w:hint="cs"/>
          <w:sz w:val="28"/>
          <w:rtl/>
          <w:lang w:bidi="ar-SY"/>
        </w:rPr>
        <w:t>1</w:t>
      </w:r>
      <w:r w:rsidR="00254729">
        <w:rPr>
          <w:rFonts w:ascii="Abo-thar" w:hAnsi="Abo-thar" w:hint="cs"/>
          <w:sz w:val="28"/>
          <w:rtl/>
          <w:lang w:bidi="ar-SY"/>
        </w:rPr>
        <w:t>-</w:t>
      </w:r>
      <w:r w:rsidRPr="003F3B94">
        <w:rPr>
          <w:rFonts w:ascii="Abo-thar" w:hAnsi="Abo-thar" w:hint="cs"/>
          <w:sz w:val="28"/>
          <w:rtl/>
          <w:lang w:bidi="ar-SY"/>
        </w:rPr>
        <w:t xml:space="preserve"> وأيضاً في «التهذيب» و</w:t>
      </w:r>
      <w:r w:rsidRPr="003F3B94">
        <w:rPr>
          <w:rFonts w:ascii="Abo-thar" w:hAnsi="Abo-thar"/>
          <w:sz w:val="28"/>
          <w:rtl/>
          <w:lang w:bidi="ar-SY"/>
        </w:rPr>
        <w:t>«</w:t>
      </w:r>
      <w:r w:rsidRPr="003F3B94">
        <w:rPr>
          <w:rFonts w:ascii="Abo-thar" w:hAnsi="Abo-thar" w:hint="cs"/>
          <w:sz w:val="28"/>
          <w:rtl/>
          <w:lang w:bidi="ar-SY"/>
        </w:rPr>
        <w:t>الاستبصار</w:t>
      </w:r>
      <w:r w:rsidRPr="003F3B94">
        <w:rPr>
          <w:rFonts w:ascii="Abo-thar" w:hAnsi="Abo-thar"/>
          <w:sz w:val="28"/>
          <w:rtl/>
          <w:lang w:bidi="ar-SY"/>
        </w:rPr>
        <w:t>»</w:t>
      </w:r>
      <w:r w:rsidR="00E20925" w:rsidRPr="003F3B94">
        <w:rPr>
          <w:rFonts w:ascii="Abo-thar" w:hAnsi="Abo-thar" w:hint="cs"/>
          <w:sz w:val="28"/>
          <w:rtl/>
          <w:lang w:bidi="ar-SY"/>
        </w:rPr>
        <w:t xml:space="preserve"> </w:t>
      </w:r>
      <w:r w:rsidRPr="003F3B94">
        <w:rPr>
          <w:rFonts w:ascii="Abo-thar" w:hAnsi="Abo-thar" w:hint="cs"/>
          <w:sz w:val="28"/>
          <w:rtl/>
          <w:lang w:bidi="ar-SY"/>
        </w:rPr>
        <w:t xml:space="preserve">بالإسناد </w:t>
      </w:r>
      <w:r w:rsidR="00EF2588" w:rsidRPr="00394385">
        <w:rPr>
          <w:rFonts w:ascii="Abo-thar" w:hAnsi="Abo-thar" w:cs="KFGQPC Uthman Taha Naskh" w:hint="cs"/>
          <w:sz w:val="28"/>
          <w:rtl/>
          <w:lang w:bidi="ar-SY"/>
        </w:rPr>
        <w:t>«</w:t>
      </w:r>
      <w:r w:rsidR="00217AB4" w:rsidRPr="00394385">
        <w:rPr>
          <w:rFonts w:ascii="Abo-thar" w:hAnsi="Abo-thar" w:cs="KFGQPC Uthman Taha Naskh" w:hint="cs"/>
          <w:sz w:val="28"/>
          <w:rtl/>
          <w:lang w:bidi="ar-SY"/>
        </w:rPr>
        <w:t>...</w:t>
      </w:r>
      <w:r w:rsidRPr="00394385">
        <w:rPr>
          <w:rFonts w:ascii="Abo-thar" w:hAnsi="Abo-thar" w:cs="KFGQPC Uthman Taha Naskh" w:hint="cs"/>
          <w:sz w:val="28"/>
          <w:rtl/>
          <w:lang w:bidi="ar-SY"/>
        </w:rPr>
        <w:t xml:space="preserve"> </w:t>
      </w:r>
      <w:r w:rsidRPr="00394385">
        <w:rPr>
          <w:rFonts w:ascii="Abo-thar" w:hAnsi="Abo-thar" w:cs="KFGQPC Uthman Taha Naskh"/>
          <w:bCs/>
          <w:sz w:val="28"/>
          <w:rtl/>
          <w:lang w:bidi="ar-SY"/>
        </w:rPr>
        <w:t>عَنْ مُحَمَّدِ بْنِ أَبِي عُمَيْرٍ عَنِ الحَكَمِ بْنِ عِلْبَاءٍ الأَسَدِيِّ قَالَ</w:t>
      </w:r>
      <w:r w:rsidR="00217AB4" w:rsidRPr="00394385">
        <w:rPr>
          <w:rFonts w:ascii="Abo-thar" w:hAnsi="Abo-thar" w:cs="KFGQPC Uthman Taha Naskh"/>
          <w:bCs/>
          <w:sz w:val="28"/>
          <w:rtl/>
          <w:lang w:bidi="ar-SY"/>
        </w:rPr>
        <w:t>:</w:t>
      </w:r>
      <w:r w:rsidRPr="00394385">
        <w:rPr>
          <w:rFonts w:ascii="Abo-thar" w:hAnsi="Abo-thar" w:cs="KFGQPC Uthman Taha Naskh"/>
          <w:bCs/>
          <w:sz w:val="28"/>
          <w:rtl/>
          <w:lang w:bidi="ar-SY"/>
        </w:rPr>
        <w:t xml:space="preserve"> وُلِّيتُ البَحْرَيْنَ فَأَصَبْتُ بِهَا مَالًا كَثِيراً فَأَنْفَقْتُ واشْتَرَيْتُ ضِيَاعاً كَثِيرَةً واشْتَرَيْتُ رَقِيقاً وأُمَّهَاتِ أَوْلَادٍ ووُلِدَ لِي ثُمَّ خَرَجْتُ إِلَى مَكَّةَ فَحَمَلْتُ عِيَالِي وأُمَّهَاتِ أَوْلَادِي ونِسَائِي وحَمَلْتُ خُمُسَ ذَلِكَ المَالِ فَدَخَلْتُ عَلَى أَبِي جَعْفَرٍ </w:t>
      </w:r>
      <w:r w:rsidR="00BC4BA9" w:rsidRPr="00BC4BA9">
        <w:rPr>
          <w:rFonts w:ascii="Abo-thar" w:hAnsi="Abo-thar" w:cs="CTraditional Arabic"/>
          <w:sz w:val="28"/>
          <w:rtl/>
          <w:lang w:bidi="ar-SY"/>
        </w:rPr>
        <w:t>÷</w:t>
      </w:r>
      <w:r w:rsidRPr="00394385">
        <w:rPr>
          <w:rFonts w:ascii="Abo-thar" w:hAnsi="Abo-thar" w:cs="KFGQPC Uthman Taha Naskh"/>
          <w:bCs/>
          <w:sz w:val="28"/>
          <w:rtl/>
          <w:lang w:bidi="ar-SY"/>
        </w:rPr>
        <w:t xml:space="preserve"> فَقُلْتُ لَهُ إِنِّي وُلِّيتُ البَحْرَيْنَ فَأَصَبْتُ بِهَا مَالًا كَثِيراً واشْتَرَيْتُ مَتَاعاً واشْتَرَيْتُ رَقِيقاً واشْتَرَيْتُ أُمَّهَاتِ أَوْلَادٍ ووُلِدَ لِي وأَنْفَقْتُ وهَذَا خُمُسُ ذَلِكَ المَالِ وهَؤُلَاءِ أُمَّهَاتُ أَوْلَادِي ونِسَائِي قَدْ أَتَيْتُكَ بِهِ فَقَالَ</w:t>
      </w:r>
      <w:r w:rsidR="00217AB4" w:rsidRPr="00394385">
        <w:rPr>
          <w:rFonts w:ascii="Abo-thar" w:hAnsi="Abo-thar" w:cs="KFGQPC Uthman Taha Naskh"/>
          <w:bCs/>
          <w:sz w:val="28"/>
          <w:rtl/>
          <w:lang w:bidi="ar-SY"/>
        </w:rPr>
        <w:t>:</w:t>
      </w:r>
      <w:r w:rsidRPr="00394385">
        <w:rPr>
          <w:rFonts w:ascii="Abo-thar" w:hAnsi="Abo-thar" w:cs="KFGQPC Uthman Taha Naskh"/>
          <w:bCs/>
          <w:sz w:val="28"/>
          <w:rtl/>
          <w:lang w:bidi="ar-SY"/>
        </w:rPr>
        <w:t xml:space="preserve"> أَمَا إِنَّهُ كُلَّهُ لَنَا وقَدْ قَبِلْتُ مَا جِئْتَ بِهِ وقَدْ حَلَّلْتُكَ مِنْ أُمَّهَاتِ أَوْلَادِكَ ونِسَائِكَ ومَا أَنْفَقْتَ وضَمِنْتُ لَكَ عَلَيَّ وعَلَى أَبِيَ الجَنَّة</w:t>
      </w:r>
      <w:r w:rsidR="00EF2588" w:rsidRPr="00394385">
        <w:rPr>
          <w:rFonts w:ascii="Abo-thar" w:hAnsi="Abo-thar" w:cs="KFGQPC Uthman Taha Naskh" w:hint="cs"/>
          <w:sz w:val="28"/>
          <w:rtl/>
          <w:lang w:bidi="ar-SY"/>
        </w:rPr>
        <w:t>»</w:t>
      </w:r>
      <w:r w:rsidR="00CF46B9" w:rsidRPr="0021507A">
        <w:rPr>
          <w:rFonts w:ascii="Abo-thar" w:hAnsi="Abo-thar" w:cs="Arabic11 BT"/>
          <w:sz w:val="28"/>
          <w:vertAlign w:val="superscript"/>
          <w:rtl/>
          <w:lang w:bidi="ar-SY"/>
        </w:rPr>
        <w:t>(</w:t>
      </w:r>
      <w:r w:rsidR="00CF46B9" w:rsidRPr="0021507A">
        <w:rPr>
          <w:rStyle w:val="FootnoteReference"/>
          <w:rFonts w:ascii="Abo-thar" w:hAnsi="Abo-thar" w:cs="Arabic11 BT"/>
          <w:sz w:val="28"/>
          <w:rtl/>
          <w:lang w:bidi="ar-SY"/>
        </w:rPr>
        <w:footnoteReference w:id="351"/>
      </w:r>
      <w:r w:rsidR="00CF46B9" w:rsidRPr="0021507A">
        <w:rPr>
          <w:rFonts w:ascii="Abo-thar" w:hAnsi="Abo-thar" w:cs="Arabic11 BT"/>
          <w:sz w:val="28"/>
          <w:vertAlign w:val="superscript"/>
          <w:rtl/>
          <w:lang w:bidi="ar-SY"/>
        </w:rPr>
        <w:t>)</w:t>
      </w:r>
      <w:r w:rsidR="00217AB4" w:rsidRPr="003F3B94">
        <w:rPr>
          <w:rFonts w:ascii="Abo-thar" w:hAnsi="Abo-thar" w:hint="cs"/>
          <w:sz w:val="28"/>
          <w:rtl/>
          <w:lang w:bidi="ar-SY"/>
        </w:rPr>
        <w:t>.</w:t>
      </w:r>
    </w:p>
    <w:p w:rsidR="005C664D" w:rsidRPr="00995B26" w:rsidRDefault="005C664D" w:rsidP="003F3B94">
      <w:pPr>
        <w:pStyle w:val="a0"/>
        <w:rPr>
          <w:rFonts w:hint="cs"/>
          <w:rtl/>
          <w:lang w:bidi="ar-SY"/>
        </w:rPr>
      </w:pPr>
      <w:r w:rsidRPr="003F3B94">
        <w:rPr>
          <w:rFonts w:ascii="Abo-thar" w:hAnsi="Abo-thar" w:hint="cs"/>
          <w:sz w:val="28"/>
          <w:rtl/>
        </w:rPr>
        <w:t>2</w:t>
      </w:r>
      <w:r w:rsidR="009C22A2" w:rsidRPr="003F3B94">
        <w:rPr>
          <w:rFonts w:ascii="Abo-thar" w:hAnsi="Abo-thar" w:hint="cs"/>
          <w:sz w:val="28"/>
          <w:rtl/>
        </w:rPr>
        <w:t>2</w:t>
      </w:r>
      <w:r w:rsidR="00217AB4" w:rsidRPr="003F3B94">
        <w:rPr>
          <w:rFonts w:ascii="Abo-thar" w:hAnsi="Abo-thar" w:hint="cs"/>
          <w:sz w:val="28"/>
          <w:rtl/>
        </w:rPr>
        <w:t>-</w:t>
      </w:r>
      <w:r w:rsidRPr="003F3B94">
        <w:rPr>
          <w:rFonts w:ascii="Abo-thar" w:hAnsi="Abo-thar" w:hint="cs"/>
          <w:sz w:val="28"/>
          <w:rtl/>
        </w:rPr>
        <w:t xml:space="preserve"> وروى الكُلَيْنِيّ في </w:t>
      </w:r>
      <w:r w:rsidRPr="003F3B94">
        <w:rPr>
          <w:rFonts w:ascii="Abo-thar" w:hAnsi="Abo-thar"/>
          <w:sz w:val="28"/>
          <w:rtl/>
        </w:rPr>
        <w:t>«</w:t>
      </w:r>
      <w:r w:rsidRPr="003F3B94">
        <w:rPr>
          <w:rFonts w:ascii="Abo-thar" w:hAnsi="Abo-thar" w:hint="cs"/>
          <w:sz w:val="28"/>
          <w:rtl/>
        </w:rPr>
        <w:t>الكافي</w:t>
      </w:r>
      <w:r w:rsidRPr="003F3B94">
        <w:rPr>
          <w:rFonts w:ascii="Abo-thar" w:hAnsi="Abo-thar"/>
          <w:sz w:val="28"/>
          <w:rtl/>
        </w:rPr>
        <w:t>»</w:t>
      </w:r>
      <w:r w:rsidRPr="003F3B94">
        <w:rPr>
          <w:rFonts w:ascii="Abo-thar" w:hAnsi="Abo-thar" w:hint="cs"/>
          <w:sz w:val="28"/>
          <w:rtl/>
        </w:rPr>
        <w:t xml:space="preserve"> بالإسناد</w:t>
      </w:r>
      <w:r w:rsidR="00E20925" w:rsidRPr="003F3B94">
        <w:rPr>
          <w:rFonts w:ascii="Abo-thar" w:hAnsi="Abo-thar" w:hint="cs"/>
          <w:sz w:val="28"/>
          <w:rtl/>
        </w:rPr>
        <w:t>:</w:t>
      </w:r>
      <w:r w:rsidRPr="003F3B94">
        <w:rPr>
          <w:rFonts w:ascii="Abo-thar" w:hAnsi="Abo-thar" w:hint="cs"/>
          <w:sz w:val="28"/>
          <w:rtl/>
        </w:rPr>
        <w:t xml:space="preserve"> </w:t>
      </w:r>
      <w:r w:rsidR="00EF2588" w:rsidRPr="00394385">
        <w:rPr>
          <w:rFonts w:ascii="Abo-thar" w:hAnsi="Abo-thar" w:cs="KFGQPC Uthman Taha Naskh" w:hint="cs"/>
          <w:sz w:val="28"/>
          <w:rtl/>
        </w:rPr>
        <w:t>«</w:t>
      </w:r>
      <w:r w:rsidR="00217AB4" w:rsidRPr="00394385">
        <w:rPr>
          <w:rFonts w:ascii="Abo-thar" w:hAnsi="Abo-thar" w:cs="KFGQPC Uthman Taha Naskh" w:hint="cs"/>
          <w:sz w:val="28"/>
          <w:rtl/>
        </w:rPr>
        <w:t>...</w:t>
      </w:r>
      <w:r w:rsidRPr="00394385">
        <w:rPr>
          <w:rFonts w:ascii="Abo-thar" w:hAnsi="Abo-thar" w:cs="KFGQPC Uthman Taha Naskh" w:hint="cs"/>
          <w:sz w:val="28"/>
          <w:rtl/>
        </w:rPr>
        <w:t xml:space="preserve"> </w:t>
      </w:r>
      <w:r w:rsidRPr="00394385">
        <w:rPr>
          <w:rFonts w:ascii="Abo-thar" w:hAnsi="Abo-thar" w:cs="KFGQPC Uthman Taha Naskh"/>
          <w:bCs/>
          <w:sz w:val="28"/>
          <w:rtl/>
        </w:rPr>
        <w:t>عَنْ يُونُسَ بْنِ ظَبْيَانَ أَوِ المُعَلَّى بْنِ خُنَيْسٍ</w:t>
      </w:r>
      <w:r w:rsidR="00DB22C3" w:rsidRPr="00394385">
        <w:rPr>
          <w:rFonts w:ascii="Abo-thar" w:hAnsi="Abo-thar" w:cs="KFGQPC Uthman Taha Naskh" w:hint="cs"/>
          <w:bCs/>
          <w:sz w:val="28"/>
          <w:rtl/>
        </w:rPr>
        <w:t xml:space="preserve"> </w:t>
      </w:r>
      <w:r w:rsidR="00DB22C3" w:rsidRPr="00394385">
        <w:rPr>
          <w:rFonts w:ascii="Abo-thar" w:hAnsi="Abo-thar" w:cs="KFGQPC Uthman Taha Naskh"/>
          <w:bCs/>
          <w:sz w:val="28"/>
          <w:rtl/>
        </w:rPr>
        <w:t xml:space="preserve">[ملاحظة: كلاهما من الغُلاة] </w:t>
      </w:r>
      <w:r w:rsidRPr="00394385">
        <w:rPr>
          <w:rFonts w:ascii="Abo-thar" w:hAnsi="Abo-thar" w:cs="KFGQPC Uthman Taha Naskh"/>
          <w:bCs/>
          <w:sz w:val="28"/>
          <w:rtl/>
        </w:rPr>
        <w:t xml:space="preserve"> قَالَ</w:t>
      </w:r>
      <w:r w:rsidR="00217AB4" w:rsidRPr="00394385">
        <w:rPr>
          <w:rFonts w:ascii="Abo-thar" w:hAnsi="Abo-thar" w:cs="KFGQPC Uthman Taha Naskh"/>
          <w:bCs/>
          <w:sz w:val="28"/>
          <w:rtl/>
        </w:rPr>
        <w:t>:</w:t>
      </w:r>
      <w:r w:rsidRPr="00394385">
        <w:rPr>
          <w:rFonts w:ascii="Abo-thar" w:hAnsi="Abo-thar" w:cs="KFGQPC Uthman Taha Naskh"/>
          <w:bCs/>
          <w:sz w:val="28"/>
          <w:rtl/>
        </w:rPr>
        <w:t xml:space="preserve"> قُلْتُ لِأَبِي عَبْدِ اللهِ </w:t>
      </w:r>
      <w:r w:rsidR="00BC4BA9" w:rsidRPr="00BC4BA9">
        <w:rPr>
          <w:rFonts w:ascii="Abo-thar" w:hAnsi="Abo-thar" w:cs="CTraditional Arabic"/>
          <w:sz w:val="28"/>
          <w:rtl/>
        </w:rPr>
        <w:t>÷</w:t>
      </w:r>
      <w:r w:rsidRPr="00394385">
        <w:rPr>
          <w:rFonts w:ascii="Abo-thar" w:hAnsi="Abo-thar" w:cs="KFGQPC Uthman Taha Naskh"/>
          <w:bCs/>
          <w:sz w:val="28"/>
          <w:rtl/>
        </w:rPr>
        <w:t xml:space="preserve"> مَا لَكُمْ مِنْ هَذِهِ الأَرْضِ فَتَبَسَّمَ ثُمَّ قَالَ</w:t>
      </w:r>
      <w:r w:rsidR="00217AB4" w:rsidRPr="00394385">
        <w:rPr>
          <w:rFonts w:ascii="Abo-thar" w:hAnsi="Abo-thar" w:cs="KFGQPC Uthman Taha Naskh"/>
          <w:bCs/>
          <w:sz w:val="28"/>
          <w:rtl/>
        </w:rPr>
        <w:t>:</w:t>
      </w:r>
      <w:r w:rsidRPr="00394385">
        <w:rPr>
          <w:rFonts w:ascii="Abo-thar" w:hAnsi="Abo-thar" w:cs="KFGQPC Uthman Taha Naskh"/>
          <w:bCs/>
          <w:sz w:val="28"/>
          <w:rtl/>
        </w:rPr>
        <w:t xml:space="preserve"> إِنَّ اللهَ تَبَارَكَ وتَعَالَى بَعَثَ جَبْرَئِيلَ </w:t>
      </w:r>
      <w:r w:rsidR="00BC4BA9" w:rsidRPr="00BC4BA9">
        <w:rPr>
          <w:rFonts w:ascii="Abo-thar" w:hAnsi="Abo-thar" w:cs="CTraditional Arabic"/>
          <w:sz w:val="28"/>
          <w:rtl/>
        </w:rPr>
        <w:t>÷</w:t>
      </w:r>
      <w:r w:rsidRPr="00394385">
        <w:rPr>
          <w:rFonts w:ascii="Abo-thar" w:hAnsi="Abo-thar" w:cs="KFGQPC Uthman Taha Naskh"/>
          <w:bCs/>
          <w:sz w:val="28"/>
          <w:rtl/>
        </w:rPr>
        <w:t xml:space="preserve"> وأَمَرَهُ أَنْ يَخْرِقَ بِإِبْهَامِهِ ثَمَانِيَةَ أَنْهَارٍ فِي الأَرْضِ مِنْهَا سَيْحَانُ وجَيْحَانُ وهُوَ نَهَرُ بَلْخَ والْخشوع وهُوَ نَهَرُ الشَّاشِ ومِهْرَانُ وهُوَ نَهَرُ الهِنْدِ ونِيلُ مِصْرَ ودِجْلَةُ والْفُرَاتُ فَمَا سَقَتْ أَوِ اسْتَقَتْ فَهُوَ لَنَا ومَا كَانَ لَنَا فَهُوَ لِشِيعَتِنَا ولَيْسَ لِعَدُوِّنَا مِنْهُ شَيْ‏ءٌ إِلَّا مَا غَصَبَ عَلَيْهِ وإِنَّ وَلِيَّنَا لَفِي أَوْسَعَ فِيمَا بَيْنَ ذِهْ إِلَى ذِهْ يَعْنِي بَيْنَ السَّمَاءِ والْأَرْضِ ثُمَّ تَلَا هَذِهِ الآيَةَ</w:t>
      </w:r>
      <w:r w:rsidR="00B06788" w:rsidRPr="00394385">
        <w:rPr>
          <w:rFonts w:ascii="Abo-thar" w:hAnsi="Abo-thar" w:cs="KFGQPC Uthman Taha Naskh" w:hint="cs"/>
          <w:bCs/>
          <w:sz w:val="28"/>
          <w:rtl/>
        </w:rPr>
        <w:t xml:space="preserve">: </w:t>
      </w:r>
      <w:r w:rsidR="00B06788" w:rsidRPr="00995B26">
        <w:rPr>
          <w:rFonts w:ascii="Abo-thar" w:hAnsi="Abo-thar" w:cs="Traditional Arabic" w:hint="cs"/>
          <w:b/>
          <w:sz w:val="28"/>
          <w:rtl/>
          <w:lang w:bidi="ar-SY"/>
        </w:rPr>
        <w:t>﴿</w:t>
      </w:r>
      <w:r w:rsidR="00B06788" w:rsidRPr="0067048A">
        <w:rPr>
          <w:rFonts w:ascii="KFGQPC Uthmanic Script HAFS" w:cs="KFGQPC Uthmanic Script HAFS" w:hint="eastAsia"/>
          <w:sz w:val="28"/>
          <w:szCs w:val="28"/>
          <w:rtl/>
        </w:rPr>
        <w:t>قُل</w:t>
      </w:r>
      <w:r w:rsidR="00B06788" w:rsidRPr="0067048A">
        <w:rPr>
          <w:rFonts w:ascii="KFGQPC Uthmanic Script HAFS" w:cs="KFGQPC Uthmanic Script HAFS" w:hint="cs"/>
          <w:sz w:val="28"/>
          <w:szCs w:val="28"/>
          <w:rtl/>
        </w:rPr>
        <w:t>ۡ</w:t>
      </w:r>
      <w:r w:rsidR="00B06788" w:rsidRPr="0067048A">
        <w:rPr>
          <w:rFonts w:ascii="KFGQPC Uthmanic Script HAFS" w:cs="KFGQPC Uthmanic Script HAFS"/>
          <w:sz w:val="28"/>
          <w:szCs w:val="28"/>
          <w:rtl/>
        </w:rPr>
        <w:t xml:space="preserve"> </w:t>
      </w:r>
      <w:r w:rsidR="00B06788" w:rsidRPr="0067048A">
        <w:rPr>
          <w:rFonts w:ascii="KFGQPC Uthmanic Script HAFS" w:cs="KFGQPC Uthmanic Script HAFS" w:hint="eastAsia"/>
          <w:sz w:val="28"/>
          <w:szCs w:val="28"/>
          <w:rtl/>
        </w:rPr>
        <w:t>هِيَ</w:t>
      </w:r>
      <w:r w:rsidR="00B06788" w:rsidRPr="0067048A">
        <w:rPr>
          <w:rFonts w:ascii="KFGQPC Uthmanic Script HAFS" w:cs="KFGQPC Uthmanic Script HAFS"/>
          <w:sz w:val="28"/>
          <w:szCs w:val="28"/>
          <w:rtl/>
        </w:rPr>
        <w:t xml:space="preserve"> </w:t>
      </w:r>
      <w:r w:rsidR="00B06788" w:rsidRPr="0067048A">
        <w:rPr>
          <w:rFonts w:ascii="KFGQPC Uthmanic Script HAFS" w:cs="KFGQPC Uthmanic Script HAFS" w:hint="eastAsia"/>
          <w:sz w:val="28"/>
          <w:szCs w:val="28"/>
          <w:rtl/>
        </w:rPr>
        <w:t>لِلَّذِينَ</w:t>
      </w:r>
      <w:r w:rsidR="00B06788" w:rsidRPr="0067048A">
        <w:rPr>
          <w:rFonts w:ascii="KFGQPC Uthmanic Script HAFS" w:cs="KFGQPC Uthmanic Script HAFS"/>
          <w:sz w:val="28"/>
          <w:szCs w:val="28"/>
          <w:rtl/>
        </w:rPr>
        <w:t xml:space="preserve"> </w:t>
      </w:r>
      <w:r w:rsidR="00B06788" w:rsidRPr="0067048A">
        <w:rPr>
          <w:rFonts w:ascii="KFGQPC Uthmanic Script HAFS" w:cs="KFGQPC Uthmanic Script HAFS" w:hint="eastAsia"/>
          <w:sz w:val="28"/>
          <w:szCs w:val="28"/>
          <w:rtl/>
        </w:rPr>
        <w:t>ءَامَنُواْ</w:t>
      </w:r>
      <w:r w:rsidR="00B06788" w:rsidRPr="0067048A">
        <w:rPr>
          <w:rFonts w:ascii="KFGQPC Uthmanic Script HAFS" w:cs="KFGQPC Uthmanic Script HAFS"/>
          <w:sz w:val="28"/>
          <w:szCs w:val="28"/>
          <w:rtl/>
        </w:rPr>
        <w:t xml:space="preserve"> </w:t>
      </w:r>
      <w:r w:rsidR="00B06788" w:rsidRPr="0067048A">
        <w:rPr>
          <w:rFonts w:ascii="KFGQPC Uthmanic Script HAFS" w:cs="KFGQPC Uthmanic Script HAFS" w:hint="eastAsia"/>
          <w:sz w:val="28"/>
          <w:szCs w:val="28"/>
          <w:rtl/>
        </w:rPr>
        <w:t>فِي</w:t>
      </w:r>
      <w:r w:rsidR="00B06788" w:rsidRPr="0067048A">
        <w:rPr>
          <w:rFonts w:ascii="KFGQPC Uthmanic Script HAFS" w:cs="KFGQPC Uthmanic Script HAFS"/>
          <w:sz w:val="28"/>
          <w:szCs w:val="28"/>
          <w:rtl/>
        </w:rPr>
        <w:t xml:space="preserve"> </w:t>
      </w:r>
      <w:r w:rsidR="00B06788" w:rsidRPr="0067048A">
        <w:rPr>
          <w:rFonts w:ascii="KFGQPC Uthmanic Script HAFS" w:cs="KFGQPC Uthmanic Script HAFS" w:hint="cs"/>
          <w:sz w:val="28"/>
          <w:szCs w:val="28"/>
          <w:rtl/>
        </w:rPr>
        <w:t>ٱ</w:t>
      </w:r>
      <w:r w:rsidR="00B06788" w:rsidRPr="0067048A">
        <w:rPr>
          <w:rFonts w:ascii="KFGQPC Uthmanic Script HAFS" w:cs="KFGQPC Uthmanic Script HAFS" w:hint="eastAsia"/>
          <w:sz w:val="28"/>
          <w:szCs w:val="28"/>
          <w:rtl/>
        </w:rPr>
        <w:t>ل</w:t>
      </w:r>
      <w:r w:rsidR="00B06788" w:rsidRPr="0067048A">
        <w:rPr>
          <w:rFonts w:ascii="KFGQPC Uthmanic Script HAFS" w:cs="KFGQPC Uthmanic Script HAFS" w:hint="cs"/>
          <w:sz w:val="28"/>
          <w:szCs w:val="28"/>
          <w:rtl/>
        </w:rPr>
        <w:t>ۡ</w:t>
      </w:r>
      <w:r w:rsidR="00B06788" w:rsidRPr="0067048A">
        <w:rPr>
          <w:rFonts w:ascii="KFGQPC Uthmanic Script HAFS" w:cs="KFGQPC Uthmanic Script HAFS" w:hint="eastAsia"/>
          <w:sz w:val="28"/>
          <w:szCs w:val="28"/>
          <w:rtl/>
        </w:rPr>
        <w:t>حَيَو</w:t>
      </w:r>
      <w:r w:rsidR="00B06788" w:rsidRPr="0067048A">
        <w:rPr>
          <w:rFonts w:ascii="KFGQPC Uthmanic Script HAFS" w:cs="KFGQPC Uthmanic Script HAFS" w:hint="cs"/>
          <w:sz w:val="28"/>
          <w:szCs w:val="28"/>
          <w:rtl/>
        </w:rPr>
        <w:t>ٰ</w:t>
      </w:r>
      <w:r w:rsidR="00B06788" w:rsidRPr="0067048A">
        <w:rPr>
          <w:rFonts w:ascii="KFGQPC Uthmanic Script HAFS" w:cs="KFGQPC Uthmanic Script HAFS" w:hint="eastAsia"/>
          <w:sz w:val="28"/>
          <w:szCs w:val="28"/>
          <w:rtl/>
        </w:rPr>
        <w:t>ةِ</w:t>
      </w:r>
      <w:r w:rsidR="00B06788" w:rsidRPr="0067048A">
        <w:rPr>
          <w:rFonts w:ascii="KFGQPC Uthmanic Script HAFS" w:cs="KFGQPC Uthmanic Script HAFS"/>
          <w:sz w:val="28"/>
          <w:szCs w:val="28"/>
          <w:rtl/>
        </w:rPr>
        <w:t xml:space="preserve"> </w:t>
      </w:r>
      <w:r w:rsidR="00B06788" w:rsidRPr="0067048A">
        <w:rPr>
          <w:rFonts w:ascii="KFGQPC Uthmanic Script HAFS" w:cs="KFGQPC Uthmanic Script HAFS" w:hint="cs"/>
          <w:sz w:val="28"/>
          <w:szCs w:val="28"/>
          <w:rtl/>
        </w:rPr>
        <w:t>ٱ</w:t>
      </w:r>
      <w:r w:rsidR="00B06788" w:rsidRPr="0067048A">
        <w:rPr>
          <w:rFonts w:ascii="KFGQPC Uthmanic Script HAFS" w:cs="KFGQPC Uthmanic Script HAFS" w:hint="eastAsia"/>
          <w:sz w:val="28"/>
          <w:szCs w:val="28"/>
          <w:rtl/>
        </w:rPr>
        <w:t>لدُّن</w:t>
      </w:r>
      <w:r w:rsidR="00B06788" w:rsidRPr="0067048A">
        <w:rPr>
          <w:rFonts w:ascii="KFGQPC Uthmanic Script HAFS" w:cs="KFGQPC Uthmanic Script HAFS" w:hint="cs"/>
          <w:sz w:val="28"/>
          <w:szCs w:val="28"/>
          <w:rtl/>
        </w:rPr>
        <w:t>ۡ</w:t>
      </w:r>
      <w:r w:rsidR="00B06788" w:rsidRPr="0067048A">
        <w:rPr>
          <w:rFonts w:ascii="KFGQPC Uthmanic Script HAFS" w:cs="KFGQPC Uthmanic Script HAFS" w:hint="eastAsia"/>
          <w:sz w:val="28"/>
          <w:szCs w:val="28"/>
          <w:rtl/>
        </w:rPr>
        <w:t>يَا</w:t>
      </w:r>
      <w:r w:rsidR="00B06788" w:rsidRPr="00995B26">
        <w:rPr>
          <w:rFonts w:ascii="Abo-thar" w:hAnsi="Abo-thar" w:cs="Traditional Arabic" w:hint="cs"/>
          <w:b/>
          <w:sz w:val="28"/>
          <w:rtl/>
          <w:lang w:bidi="ar-SY"/>
        </w:rPr>
        <w:t>﴾</w:t>
      </w:r>
      <w:r w:rsidRPr="00995B26">
        <w:rPr>
          <w:rFonts w:ascii="Abo-thar" w:hAnsi="Abo-thar"/>
          <w:bCs/>
          <w:sz w:val="28"/>
          <w:rtl/>
          <w:lang w:bidi="ar-SY"/>
        </w:rPr>
        <w:t xml:space="preserve"> </w:t>
      </w:r>
      <w:r w:rsidRPr="00394385">
        <w:rPr>
          <w:rFonts w:ascii="Abo-thar" w:hAnsi="Abo-thar" w:cs="KFGQPC Uthman Taha Naskh" w:hint="cs"/>
          <w:bCs/>
          <w:sz w:val="28"/>
          <w:rtl/>
          <w:lang w:bidi="ar-SY"/>
        </w:rPr>
        <w:t>ال</w:t>
      </w:r>
      <w:r w:rsidRPr="00394385">
        <w:rPr>
          <w:rFonts w:ascii="Abo-thar" w:hAnsi="Abo-thar" w:cs="KFGQPC Uthman Taha Naskh"/>
          <w:bCs/>
          <w:sz w:val="28"/>
          <w:rtl/>
          <w:lang w:bidi="ar-SY"/>
        </w:rPr>
        <w:t>مَغْصُوبِينَ عَلَيْهَا</w:t>
      </w:r>
      <w:r w:rsidR="00B06788" w:rsidRPr="00394385">
        <w:rPr>
          <w:rFonts w:ascii="Abo-thar" w:hAnsi="Abo-thar" w:cs="KFGQPC Uthman Taha Naskh" w:hint="cs"/>
          <w:bCs/>
          <w:sz w:val="28"/>
          <w:rtl/>
          <w:lang w:bidi="ar-SY"/>
        </w:rPr>
        <w:t xml:space="preserve"> </w:t>
      </w:r>
      <w:r w:rsidR="00B06788" w:rsidRPr="00995B26">
        <w:rPr>
          <w:rFonts w:ascii="Abo-thar" w:hAnsi="Abo-thar" w:cs="Traditional Arabic" w:hint="cs"/>
          <w:b/>
          <w:sz w:val="28"/>
          <w:rtl/>
          <w:lang w:bidi="ar-SY"/>
        </w:rPr>
        <w:t>﴿</w:t>
      </w:r>
      <w:r w:rsidR="00B06788" w:rsidRPr="0067048A">
        <w:rPr>
          <w:rFonts w:ascii="KFGQPC Uthmanic Script HAFS" w:cs="KFGQPC Uthmanic Script HAFS" w:hint="eastAsia"/>
          <w:sz w:val="28"/>
          <w:szCs w:val="28"/>
          <w:rtl/>
        </w:rPr>
        <w:t>خَالِصَة</w:t>
      </w:r>
      <w:r w:rsidR="00B06788" w:rsidRPr="0067048A">
        <w:rPr>
          <w:rFonts w:ascii="KFGQPC Uthmanic Script HAFS" w:cs="KFGQPC Uthmanic Script HAFS" w:hint="cs"/>
          <w:sz w:val="28"/>
          <w:szCs w:val="28"/>
          <w:rtl/>
        </w:rPr>
        <w:t>ٗ</w:t>
      </w:r>
      <w:r w:rsidR="00B06788" w:rsidRPr="0067048A">
        <w:rPr>
          <w:rFonts w:ascii="KFGQPC Uthmanic Script HAFS" w:cs="KFGQPC Uthmanic Script HAFS"/>
          <w:sz w:val="28"/>
          <w:szCs w:val="28"/>
          <w:rtl/>
        </w:rPr>
        <w:t xml:space="preserve"> </w:t>
      </w:r>
      <w:r w:rsidR="00B06788" w:rsidRPr="0067048A">
        <w:rPr>
          <w:rFonts w:ascii="KFGQPC Uthmanic Script HAFS" w:cs="KFGQPC Uthmanic Script HAFS" w:hint="eastAsia"/>
          <w:sz w:val="28"/>
          <w:szCs w:val="28"/>
          <w:rtl/>
        </w:rPr>
        <w:t>يَو</w:t>
      </w:r>
      <w:r w:rsidR="00B06788" w:rsidRPr="0067048A">
        <w:rPr>
          <w:rFonts w:ascii="KFGQPC Uthmanic Script HAFS" w:cs="KFGQPC Uthmanic Script HAFS" w:hint="cs"/>
          <w:sz w:val="28"/>
          <w:szCs w:val="28"/>
          <w:rtl/>
        </w:rPr>
        <w:t>ۡ</w:t>
      </w:r>
      <w:r w:rsidR="00B06788" w:rsidRPr="0067048A">
        <w:rPr>
          <w:rFonts w:ascii="KFGQPC Uthmanic Script HAFS" w:cs="KFGQPC Uthmanic Script HAFS" w:hint="eastAsia"/>
          <w:sz w:val="28"/>
          <w:szCs w:val="28"/>
          <w:rtl/>
        </w:rPr>
        <w:t>مَ</w:t>
      </w:r>
      <w:r w:rsidR="00B06788" w:rsidRPr="0067048A">
        <w:rPr>
          <w:rFonts w:ascii="KFGQPC Uthmanic Script HAFS" w:cs="KFGQPC Uthmanic Script HAFS"/>
          <w:sz w:val="28"/>
          <w:szCs w:val="28"/>
          <w:rtl/>
        </w:rPr>
        <w:t xml:space="preserve"> </w:t>
      </w:r>
      <w:r w:rsidR="00B06788" w:rsidRPr="0067048A">
        <w:rPr>
          <w:rFonts w:ascii="KFGQPC Uthmanic Script HAFS" w:cs="KFGQPC Uthmanic Script HAFS" w:hint="cs"/>
          <w:sz w:val="28"/>
          <w:szCs w:val="28"/>
          <w:rtl/>
        </w:rPr>
        <w:t>ٱ</w:t>
      </w:r>
      <w:r w:rsidR="00B06788" w:rsidRPr="0067048A">
        <w:rPr>
          <w:rFonts w:ascii="KFGQPC Uthmanic Script HAFS" w:cs="KFGQPC Uthmanic Script HAFS" w:hint="eastAsia"/>
          <w:sz w:val="28"/>
          <w:szCs w:val="28"/>
          <w:rtl/>
        </w:rPr>
        <w:t>ل</w:t>
      </w:r>
      <w:r w:rsidR="00B06788" w:rsidRPr="0067048A">
        <w:rPr>
          <w:rFonts w:ascii="KFGQPC Uthmanic Script HAFS" w:cs="KFGQPC Uthmanic Script HAFS" w:hint="cs"/>
          <w:sz w:val="28"/>
          <w:szCs w:val="28"/>
          <w:rtl/>
        </w:rPr>
        <w:t>ۡ</w:t>
      </w:r>
      <w:r w:rsidR="00B06788" w:rsidRPr="0067048A">
        <w:rPr>
          <w:rFonts w:ascii="KFGQPC Uthmanic Script HAFS" w:cs="KFGQPC Uthmanic Script HAFS" w:hint="eastAsia"/>
          <w:sz w:val="28"/>
          <w:szCs w:val="28"/>
          <w:rtl/>
        </w:rPr>
        <w:t>قِيَ</w:t>
      </w:r>
      <w:r w:rsidR="00B06788" w:rsidRPr="0067048A">
        <w:rPr>
          <w:rFonts w:ascii="KFGQPC Uthmanic Script HAFS" w:cs="KFGQPC Uthmanic Script HAFS" w:hint="cs"/>
          <w:sz w:val="28"/>
          <w:szCs w:val="28"/>
          <w:rtl/>
        </w:rPr>
        <w:t>ٰ</w:t>
      </w:r>
      <w:r w:rsidR="00B06788" w:rsidRPr="0067048A">
        <w:rPr>
          <w:rFonts w:ascii="KFGQPC Uthmanic Script HAFS" w:cs="KFGQPC Uthmanic Script HAFS" w:hint="eastAsia"/>
          <w:sz w:val="28"/>
          <w:szCs w:val="28"/>
          <w:rtl/>
        </w:rPr>
        <w:t>مَةِ</w:t>
      </w:r>
      <w:r w:rsidR="00B06788" w:rsidRPr="00995B26">
        <w:rPr>
          <w:rFonts w:ascii="Abo-thar" w:hAnsi="Abo-thar" w:cs="Traditional Arabic" w:hint="cs"/>
          <w:b/>
          <w:sz w:val="28"/>
          <w:rtl/>
          <w:lang w:bidi="ar-SY"/>
        </w:rPr>
        <w:t>﴾</w:t>
      </w:r>
      <w:r w:rsidRPr="00995B26">
        <w:rPr>
          <w:rFonts w:ascii="Abo-thar" w:hAnsi="Abo-thar"/>
          <w:bCs/>
          <w:sz w:val="28"/>
          <w:rtl/>
          <w:lang w:bidi="ar-SY"/>
        </w:rPr>
        <w:t xml:space="preserve"> </w:t>
      </w:r>
      <w:r w:rsidRPr="00394385">
        <w:rPr>
          <w:rFonts w:ascii="Abo-thar" w:hAnsi="Abo-thar" w:cs="KFGQPC Uthman Taha Naskh"/>
          <w:bCs/>
          <w:sz w:val="28"/>
          <w:rtl/>
          <w:lang w:bidi="ar-SY"/>
        </w:rPr>
        <w:t>بِلَا غَصْبٍ</w:t>
      </w:r>
      <w:r w:rsidR="00EF2588" w:rsidRPr="00394385">
        <w:rPr>
          <w:rFonts w:ascii="Abo-thar" w:hAnsi="Abo-thar" w:cs="KFGQPC Uthman Taha Naskh" w:hint="cs"/>
          <w:sz w:val="28"/>
          <w:rtl/>
          <w:lang w:bidi="ar-SY"/>
        </w:rPr>
        <w:t>»</w:t>
      </w:r>
      <w:r w:rsidR="00CF46B9" w:rsidRPr="0021507A">
        <w:rPr>
          <w:rFonts w:ascii="Abo-thar" w:hAnsi="Abo-thar" w:cs="Arabic11 BT"/>
          <w:sz w:val="28"/>
          <w:vertAlign w:val="superscript"/>
          <w:rtl/>
          <w:lang w:bidi="ar-SY"/>
        </w:rPr>
        <w:t>(</w:t>
      </w:r>
      <w:r w:rsidR="00CF46B9" w:rsidRPr="0021507A">
        <w:rPr>
          <w:rStyle w:val="FootnoteReference"/>
          <w:rFonts w:ascii="Abo-thar" w:hAnsi="Abo-thar" w:cs="Arabic11 BT"/>
          <w:sz w:val="28"/>
          <w:rtl/>
          <w:lang w:bidi="ar-SY"/>
        </w:rPr>
        <w:footnoteReference w:id="352"/>
      </w:r>
      <w:r w:rsidR="00CF46B9" w:rsidRPr="0021507A">
        <w:rPr>
          <w:rFonts w:ascii="Abo-thar" w:hAnsi="Abo-thar" w:cs="Arabic11 BT"/>
          <w:sz w:val="28"/>
          <w:vertAlign w:val="superscript"/>
          <w:rtl/>
          <w:lang w:bidi="ar-SY"/>
        </w:rPr>
        <w:t>)</w:t>
      </w:r>
      <w:r w:rsidR="00217AB4" w:rsidRPr="00995B26">
        <w:rPr>
          <w:rFonts w:ascii="Abo-thar" w:hAnsi="Abo-thar" w:hint="cs"/>
          <w:sz w:val="28"/>
          <w:rtl/>
          <w:lang w:bidi="ar-SY"/>
        </w:rPr>
        <w:t>.</w:t>
      </w:r>
    </w:p>
    <w:p w:rsidR="005C664D" w:rsidRPr="003F3B94" w:rsidRDefault="005C664D" w:rsidP="003F3B94">
      <w:pPr>
        <w:pStyle w:val="a0"/>
        <w:rPr>
          <w:rFonts w:hint="cs"/>
          <w:rtl/>
        </w:rPr>
      </w:pPr>
      <w:r w:rsidRPr="003F3B94">
        <w:rPr>
          <w:rFonts w:ascii="Abo-thar" w:hAnsi="Abo-thar" w:hint="cs"/>
          <w:sz w:val="28"/>
          <w:rtl/>
          <w:lang w:bidi="ar-SY"/>
        </w:rPr>
        <w:t>وهنا أذكر بما قلته مراراً</w:t>
      </w:r>
      <w:r w:rsidR="00217AB4" w:rsidRPr="003F3B94">
        <w:rPr>
          <w:rFonts w:ascii="Abo-thar" w:hAnsi="Abo-thar" w:hint="cs"/>
          <w:sz w:val="28"/>
          <w:rtl/>
          <w:lang w:bidi="ar-SY"/>
        </w:rPr>
        <w:t>:</w:t>
      </w:r>
      <w:r w:rsidRPr="003F3B94">
        <w:rPr>
          <w:rFonts w:ascii="Abo-thar" w:hAnsi="Abo-thar" w:hint="cs"/>
          <w:sz w:val="28"/>
          <w:rtl/>
          <w:lang w:bidi="ar-SY"/>
        </w:rPr>
        <w:t xml:space="preserve"> من أننا لا نعير أي أهمية ولا نعتقد بأي قيمة لتلك الأحاديث التي لا شاهد لها من كتاب الله تعالى ولا من سنة وسيرة رسوله</w:t>
      </w:r>
      <w:r w:rsidR="00147857" w:rsidRPr="003F3B94">
        <w:rPr>
          <w:rFonts w:ascii="Abo-thar" w:hAnsi="Abo-thar" w:hint="cs"/>
          <w:sz w:val="28"/>
          <w:rtl/>
          <w:lang w:bidi="ar-SY"/>
        </w:rPr>
        <w:t xml:space="preserve"> </w:t>
      </w:r>
      <w:r w:rsidR="003C7AEB" w:rsidRPr="003C7AEB">
        <w:rPr>
          <w:rFonts w:ascii="Abo-thar" w:hAnsi="Abo-thar" w:cs="CTraditional Arabic"/>
          <w:sz w:val="28"/>
          <w:rtl/>
          <w:lang w:bidi="ar-SY"/>
        </w:rPr>
        <w:t>ص</w:t>
      </w:r>
      <w:r w:rsidR="00217AB4" w:rsidRPr="003F3B94">
        <w:rPr>
          <w:rFonts w:ascii="Abo-thar" w:hAnsi="Abo-thar"/>
          <w:sz w:val="28"/>
          <w:rtl/>
          <w:lang w:bidi="ar-SY"/>
        </w:rPr>
        <w:t>،</w:t>
      </w:r>
      <w:r w:rsidRPr="003F3B94">
        <w:rPr>
          <w:rFonts w:ascii="Abo-thar" w:hAnsi="Abo-thar" w:hint="cs"/>
          <w:sz w:val="28"/>
          <w:rtl/>
          <w:lang w:bidi="ar-SY"/>
        </w:rPr>
        <w:t xml:space="preserve"> خاصة مثل هذا الحديث وأضرابه الذي يرويه غلاةٌ كذابون معروفون بالكذب</w:t>
      </w:r>
      <w:r w:rsidR="00217AB4" w:rsidRPr="003F3B94">
        <w:rPr>
          <w:rFonts w:ascii="Abo-thar" w:hAnsi="Abo-thar" w:hint="cs"/>
          <w:sz w:val="28"/>
          <w:rtl/>
          <w:lang w:bidi="ar-SY"/>
        </w:rPr>
        <w:t>،</w:t>
      </w:r>
      <w:r w:rsidRPr="003F3B94">
        <w:rPr>
          <w:rFonts w:ascii="Abo-thar" w:hAnsi="Abo-thar" w:hint="cs"/>
          <w:sz w:val="28"/>
          <w:rtl/>
          <w:lang w:bidi="ar-SY"/>
        </w:rPr>
        <w:t xml:space="preserve"> ولكن لما كان الخصم يعتقد بصحة هذه الأحاديث فإننا نذكرها من باب إلزام الخصم بما يلتزم ومن باب إقامة الحجة عليه</w:t>
      </w:r>
      <w:r w:rsidR="00217AB4" w:rsidRPr="003F3B94">
        <w:rPr>
          <w:rFonts w:ascii="Abo-thar" w:hAnsi="Abo-thar" w:hint="cs"/>
          <w:sz w:val="28"/>
          <w:rtl/>
          <w:lang w:bidi="ar-SY"/>
        </w:rPr>
        <w:t>،</w:t>
      </w:r>
      <w:r w:rsidRPr="003F3B94">
        <w:rPr>
          <w:rFonts w:ascii="Abo-thar" w:hAnsi="Abo-thar" w:hint="cs"/>
          <w:sz w:val="28"/>
          <w:rtl/>
          <w:lang w:bidi="ar-SY"/>
        </w:rPr>
        <w:t xml:space="preserve"> على قول الشاعر</w:t>
      </w:r>
      <w:r w:rsidR="00217AB4" w:rsidRPr="003F3B94">
        <w:rPr>
          <w:rFonts w:ascii="Abo-thar" w:hAnsi="Abo-thar" w:hint="cs"/>
          <w:sz w:val="28"/>
          <w:rtl/>
          <w:lang w:bidi="ar-SY"/>
        </w:rPr>
        <w:t>:</w:t>
      </w:r>
      <w:r w:rsidRPr="003F3B94">
        <w:rPr>
          <w:rFonts w:ascii="Abo-thar" w:hAnsi="Abo-thar" w:hint="cs"/>
          <w:sz w:val="28"/>
          <w:rtl/>
          <w:lang w:bidi="ar-SY"/>
        </w:rPr>
        <w:t xml:space="preserve"> </w:t>
      </w:r>
    </w:p>
    <w:p w:rsidR="005C664D" w:rsidRPr="00C3556F" w:rsidRDefault="005C664D" w:rsidP="00C3556F">
      <w:pPr>
        <w:widowControl w:val="0"/>
        <w:jc w:val="lowKashida"/>
        <w:rPr>
          <w:rFonts w:ascii="Abo-thar" w:hAnsi="Abo-thar" w:cs="B Lotus" w:hint="cs"/>
          <w:sz w:val="28"/>
          <w:rtl/>
        </w:rPr>
      </w:pPr>
      <w:r w:rsidRPr="00C3556F">
        <w:rPr>
          <w:rFonts w:ascii="Abo-thar" w:hAnsi="Abo-thar" w:cs="B Lotus" w:hint="cs"/>
          <w:sz w:val="28"/>
          <w:rtl/>
        </w:rPr>
        <w:t xml:space="preserve">خواهى </w:t>
      </w:r>
      <w:r w:rsidRPr="00C3556F">
        <w:rPr>
          <w:rFonts w:ascii="Abo-thar" w:hAnsi="Abo-thar" w:cs="B Lotus" w:hint="eastAsia"/>
          <w:sz w:val="28"/>
          <w:rtl/>
        </w:rPr>
        <w:t>كه</w:t>
      </w:r>
      <w:r w:rsidRPr="00C3556F">
        <w:rPr>
          <w:rFonts w:ascii="Abo-thar" w:hAnsi="Abo-thar" w:cs="B Lotus" w:hint="cs"/>
          <w:sz w:val="28"/>
          <w:rtl/>
        </w:rPr>
        <w:t xml:space="preserve"> </w:t>
      </w:r>
      <w:r w:rsidRPr="00C3556F">
        <w:rPr>
          <w:rFonts w:ascii="Abo-thar" w:hAnsi="Abo-thar" w:cs="B Lotus" w:hint="eastAsia"/>
          <w:sz w:val="28"/>
          <w:rtl/>
        </w:rPr>
        <w:t>شود</w:t>
      </w:r>
      <w:r w:rsidRPr="00C3556F">
        <w:rPr>
          <w:rFonts w:ascii="Abo-thar" w:hAnsi="Abo-thar" w:cs="B Lotus" w:hint="cs"/>
          <w:sz w:val="28"/>
          <w:rtl/>
        </w:rPr>
        <w:t xml:space="preserve"> خصم تو عاجز بسخن</w:t>
      </w:r>
      <w:r w:rsidR="00DB22C3" w:rsidRPr="00C3556F">
        <w:rPr>
          <w:rFonts w:ascii="Abo-thar" w:hAnsi="Abo-thar" w:cs="B Lotus" w:hint="cs"/>
          <w:sz w:val="28"/>
          <w:rtl/>
        </w:rPr>
        <w:tab/>
      </w:r>
      <w:r w:rsidR="00DB22C3" w:rsidRPr="00C3556F">
        <w:rPr>
          <w:rFonts w:ascii="Abo-thar" w:hAnsi="Abo-thar" w:cs="B Lotus" w:hint="cs"/>
          <w:sz w:val="28"/>
          <w:rtl/>
        </w:rPr>
        <w:tab/>
      </w:r>
      <w:r w:rsidRPr="00C3556F">
        <w:rPr>
          <w:rFonts w:ascii="Abo-thar" w:hAnsi="Abo-thar" w:cs="B Lotus" w:hint="cs"/>
          <w:sz w:val="28"/>
          <w:rtl/>
        </w:rPr>
        <w:t>او را بسخن‌هاى خود الزامش كن</w:t>
      </w:r>
    </w:p>
    <w:p w:rsidR="005C664D" w:rsidRPr="003F3B94" w:rsidRDefault="005C664D" w:rsidP="003F3B94">
      <w:pPr>
        <w:pStyle w:val="a0"/>
        <w:rPr>
          <w:rFonts w:hint="cs"/>
          <w:rtl/>
          <w:lang w:bidi="ar-SY"/>
        </w:rPr>
      </w:pPr>
      <w:r w:rsidRPr="003F3B94">
        <w:rPr>
          <w:rFonts w:ascii="Abo-thar" w:hAnsi="Abo-thar" w:hint="cs"/>
          <w:sz w:val="28"/>
          <w:rtl/>
          <w:lang w:bidi="ar-SY"/>
        </w:rPr>
        <w:t>أي</w:t>
      </w:r>
      <w:r w:rsidR="00217AB4" w:rsidRPr="003F3B94">
        <w:rPr>
          <w:rFonts w:ascii="Abo-thar" w:hAnsi="Abo-thar" w:hint="cs"/>
          <w:sz w:val="28"/>
          <w:rtl/>
          <w:lang w:bidi="ar-SY"/>
        </w:rPr>
        <w:t>:</w:t>
      </w:r>
      <w:r w:rsidR="00147857" w:rsidRPr="003F3B94">
        <w:rPr>
          <w:rFonts w:ascii="Abo-thar" w:hAnsi="Abo-thar" w:hint="cs"/>
          <w:sz w:val="28"/>
          <w:rtl/>
          <w:lang w:bidi="ar-SY"/>
        </w:rPr>
        <w:t xml:space="preserve"> </w:t>
      </w:r>
      <w:r w:rsidRPr="003F3B94">
        <w:rPr>
          <w:rFonts w:ascii="Abo-thar" w:hAnsi="Abo-thar" w:hint="cs"/>
          <w:sz w:val="28"/>
          <w:rtl/>
          <w:lang w:bidi="ar-SY"/>
        </w:rPr>
        <w:t>إذا أردت إفحام خصمك وإسكاته</w:t>
      </w:r>
      <w:r w:rsidR="00147857" w:rsidRPr="003F3B94">
        <w:rPr>
          <w:rFonts w:ascii="Abo-thar" w:hAnsi="Abo-thar" w:hint="cs"/>
          <w:sz w:val="28"/>
          <w:rtl/>
          <w:lang w:bidi="ar-SY"/>
        </w:rPr>
        <w:t xml:space="preserve"> </w:t>
      </w:r>
      <w:r w:rsidRPr="003F3B94">
        <w:rPr>
          <w:rFonts w:ascii="Abo-thar" w:hAnsi="Abo-thar" w:hint="cs"/>
          <w:sz w:val="28"/>
          <w:rtl/>
          <w:lang w:bidi="ar-SY"/>
        </w:rPr>
        <w:t>فألزمه بكلامه ذاته</w:t>
      </w:r>
      <w:r w:rsidR="00217AB4" w:rsidRPr="003F3B94">
        <w:rPr>
          <w:rFonts w:ascii="Abo-thar" w:hAnsi="Abo-thar" w:hint="cs"/>
          <w:sz w:val="28"/>
          <w:rtl/>
          <w:lang w:bidi="ar-SY"/>
        </w:rPr>
        <w:t>.</w:t>
      </w:r>
      <w:r w:rsidRPr="003F3B94">
        <w:rPr>
          <w:rFonts w:ascii="Abo-thar" w:hAnsi="Abo-thar" w:hint="cs"/>
          <w:sz w:val="28"/>
          <w:rtl/>
          <w:lang w:bidi="ar-SY"/>
        </w:rPr>
        <w:t xml:space="preserve"> </w:t>
      </w:r>
    </w:p>
    <w:p w:rsidR="005C664D" w:rsidRPr="003F3B94" w:rsidRDefault="005C664D" w:rsidP="003F3B94">
      <w:pPr>
        <w:pStyle w:val="a0"/>
        <w:rPr>
          <w:rFonts w:hint="cs"/>
          <w:rtl/>
          <w:lang w:bidi="ar-SY"/>
        </w:rPr>
      </w:pPr>
      <w:r w:rsidRPr="003F3B94">
        <w:rPr>
          <w:rFonts w:ascii="Abo-thar" w:hAnsi="Abo-thar" w:hint="cs"/>
          <w:sz w:val="28"/>
          <w:rtl/>
          <w:lang w:bidi="ar-SY"/>
        </w:rPr>
        <w:t>2</w:t>
      </w:r>
      <w:r w:rsidR="009C22A2" w:rsidRPr="003F3B94">
        <w:rPr>
          <w:rFonts w:ascii="Abo-thar" w:hAnsi="Abo-thar" w:hint="cs"/>
          <w:sz w:val="28"/>
          <w:rtl/>
          <w:lang w:bidi="ar-SY"/>
        </w:rPr>
        <w:t>3</w:t>
      </w:r>
      <w:r w:rsidR="00217AB4" w:rsidRPr="003F3B94">
        <w:rPr>
          <w:rFonts w:ascii="Abo-thar" w:hAnsi="Abo-thar" w:hint="cs"/>
          <w:sz w:val="28"/>
          <w:rtl/>
          <w:lang w:bidi="ar-SY"/>
        </w:rPr>
        <w:t>-</w:t>
      </w:r>
      <w:r w:rsidRPr="003F3B94">
        <w:rPr>
          <w:rFonts w:ascii="Abo-thar" w:hAnsi="Abo-thar" w:hint="cs"/>
          <w:sz w:val="28"/>
          <w:rtl/>
          <w:lang w:bidi="ar-SY"/>
        </w:rPr>
        <w:t xml:space="preserve"> وروى الكُلَيْنِيّ في </w:t>
      </w:r>
      <w:r w:rsidRPr="003F3B94">
        <w:rPr>
          <w:rFonts w:ascii="Abo-thar" w:hAnsi="Abo-thar"/>
          <w:sz w:val="28"/>
          <w:rtl/>
          <w:lang w:bidi="ar-SY"/>
        </w:rPr>
        <w:t>«</w:t>
      </w:r>
      <w:r w:rsidRPr="003F3B94">
        <w:rPr>
          <w:rFonts w:ascii="Abo-thar" w:hAnsi="Abo-thar" w:hint="cs"/>
          <w:sz w:val="28"/>
          <w:rtl/>
          <w:lang w:bidi="ar-SY"/>
        </w:rPr>
        <w:t>الكافي</w:t>
      </w:r>
      <w:r w:rsidRPr="003F3B94">
        <w:rPr>
          <w:rFonts w:ascii="Abo-thar" w:hAnsi="Abo-thar"/>
          <w:sz w:val="28"/>
          <w:rtl/>
          <w:lang w:bidi="ar-SY"/>
        </w:rPr>
        <w:t>»</w:t>
      </w:r>
      <w:r w:rsidRPr="003F3B94">
        <w:rPr>
          <w:rFonts w:ascii="Abo-thar" w:hAnsi="Abo-thar" w:hint="cs"/>
          <w:sz w:val="28"/>
          <w:rtl/>
          <w:lang w:bidi="ar-SY"/>
        </w:rPr>
        <w:t xml:space="preserve"> أيضاً بالإسناد </w:t>
      </w:r>
      <w:r w:rsidR="00EF2588" w:rsidRPr="00394385">
        <w:rPr>
          <w:rFonts w:ascii="Abo-thar" w:hAnsi="Abo-thar" w:cs="KFGQPC Uthman Taha Naskh" w:hint="cs"/>
          <w:sz w:val="28"/>
          <w:rtl/>
          <w:lang w:bidi="ar-SY"/>
        </w:rPr>
        <w:t>«</w:t>
      </w:r>
      <w:r w:rsidR="00217AB4" w:rsidRPr="00394385">
        <w:rPr>
          <w:rFonts w:ascii="Abo-thar" w:hAnsi="Abo-thar" w:cs="KFGQPC Uthman Taha Naskh" w:hint="cs"/>
          <w:sz w:val="28"/>
          <w:rtl/>
          <w:lang w:bidi="ar-SY"/>
        </w:rPr>
        <w:t>...</w:t>
      </w:r>
      <w:r w:rsidRPr="00394385">
        <w:rPr>
          <w:rFonts w:ascii="Abo-thar" w:hAnsi="Abo-thar" w:cs="KFGQPC Uthman Taha Naskh"/>
          <w:bCs/>
          <w:sz w:val="28"/>
          <w:rtl/>
          <w:lang w:bidi="ar-SY"/>
        </w:rPr>
        <w:t>عَنْ مُحَمَّدِ بْنِ سِنَانٍ عَنْ يُونُسَ بْنِ يَعْقُوبَ عَنْ عَبْدِ العَزِيزِ بْنِ نَافِعٍ قَالَ</w:t>
      </w:r>
      <w:r w:rsidR="00217AB4" w:rsidRPr="00394385">
        <w:rPr>
          <w:rFonts w:ascii="Abo-thar" w:hAnsi="Abo-thar" w:cs="KFGQPC Uthman Taha Naskh"/>
          <w:bCs/>
          <w:sz w:val="28"/>
          <w:rtl/>
          <w:lang w:bidi="ar-SY"/>
        </w:rPr>
        <w:t>:</w:t>
      </w:r>
      <w:r w:rsidRPr="00394385">
        <w:rPr>
          <w:rFonts w:ascii="Abo-thar" w:hAnsi="Abo-thar" w:cs="KFGQPC Uthman Taha Naskh"/>
          <w:bCs/>
          <w:sz w:val="28"/>
          <w:rtl/>
          <w:lang w:bidi="ar-SY"/>
        </w:rPr>
        <w:t xml:space="preserve"> طَلَبْنَا الإِذْنَ عَلَى أَبِي عَبْدِ اللهِ </w:t>
      </w:r>
      <w:r w:rsidR="00BC4BA9" w:rsidRPr="00BC4BA9">
        <w:rPr>
          <w:rFonts w:ascii="Abo-thar" w:hAnsi="Abo-thar" w:cs="CTraditional Arabic"/>
          <w:sz w:val="28"/>
          <w:rtl/>
          <w:lang w:bidi="ar-SY"/>
        </w:rPr>
        <w:t>÷</w:t>
      </w:r>
      <w:r w:rsidRPr="00394385">
        <w:rPr>
          <w:rFonts w:ascii="Abo-thar" w:hAnsi="Abo-thar" w:cs="KFGQPC Uthman Taha Naskh"/>
          <w:bCs/>
          <w:sz w:val="28"/>
          <w:rtl/>
          <w:lang w:bidi="ar-SY"/>
        </w:rPr>
        <w:t xml:space="preserve"> وأَرْسَلْنَا إِلَيْهِ فَأَرْسَلَ إِلَيْنَا ادْخُلُوا اثْنَيْنِ اثْنَيْنِ فَدَخَلْتُ أَنَا ورَجُلٌ مَعِي فَقُلْتُ لِلرَّجُلِ أُحِبُّ أَنْ تَسْتَأْذِنَ بِالْمَسْأَلَةِ فَقَالَ</w:t>
      </w:r>
      <w:r w:rsidR="00217AB4" w:rsidRPr="00394385">
        <w:rPr>
          <w:rFonts w:ascii="Abo-thar" w:hAnsi="Abo-thar" w:cs="KFGQPC Uthman Taha Naskh"/>
          <w:bCs/>
          <w:sz w:val="28"/>
          <w:rtl/>
          <w:lang w:bidi="ar-SY"/>
        </w:rPr>
        <w:t>:</w:t>
      </w:r>
      <w:r w:rsidRPr="00394385">
        <w:rPr>
          <w:rFonts w:ascii="Abo-thar" w:hAnsi="Abo-thar" w:cs="KFGQPC Uthman Taha Naskh"/>
          <w:bCs/>
          <w:sz w:val="28"/>
          <w:rtl/>
          <w:lang w:bidi="ar-SY"/>
        </w:rPr>
        <w:t xml:space="preserve"> نَعَمْ</w:t>
      </w:r>
      <w:r w:rsidR="00217AB4" w:rsidRPr="00394385">
        <w:rPr>
          <w:rFonts w:ascii="Abo-thar" w:hAnsi="Abo-thar" w:cs="KFGQPC Uthman Taha Naskh" w:hint="cs"/>
          <w:bCs/>
          <w:sz w:val="28"/>
          <w:rtl/>
          <w:lang w:bidi="ar-SY"/>
        </w:rPr>
        <w:t>.</w:t>
      </w:r>
      <w:r w:rsidRPr="00394385">
        <w:rPr>
          <w:rFonts w:ascii="Abo-thar" w:hAnsi="Abo-thar" w:cs="KFGQPC Uthman Taha Naskh"/>
          <w:bCs/>
          <w:sz w:val="28"/>
          <w:rtl/>
          <w:lang w:bidi="ar-SY"/>
        </w:rPr>
        <w:t xml:space="preserve"> فَقَالَ لَهُ</w:t>
      </w:r>
      <w:r w:rsidR="00217AB4" w:rsidRPr="00394385">
        <w:rPr>
          <w:rFonts w:ascii="Abo-thar" w:hAnsi="Abo-thar" w:cs="KFGQPC Uthman Taha Naskh" w:hint="cs"/>
          <w:bCs/>
          <w:sz w:val="28"/>
          <w:rtl/>
          <w:lang w:bidi="ar-SY"/>
        </w:rPr>
        <w:t>:</w:t>
      </w:r>
      <w:r w:rsidRPr="00394385">
        <w:rPr>
          <w:rFonts w:ascii="Abo-thar" w:hAnsi="Abo-thar" w:cs="KFGQPC Uthman Taha Naskh"/>
          <w:bCs/>
          <w:sz w:val="28"/>
          <w:rtl/>
          <w:lang w:bidi="ar-SY"/>
        </w:rPr>
        <w:t xml:space="preserve"> جُعِلْتُ فِدَاكَ</w:t>
      </w:r>
      <w:r w:rsidR="00217AB4" w:rsidRPr="00394385">
        <w:rPr>
          <w:rFonts w:ascii="Abo-thar" w:hAnsi="Abo-thar" w:cs="KFGQPC Uthman Taha Naskh" w:hint="cs"/>
          <w:bCs/>
          <w:sz w:val="28"/>
          <w:rtl/>
          <w:lang w:bidi="ar-SY"/>
        </w:rPr>
        <w:t>!</w:t>
      </w:r>
      <w:r w:rsidRPr="00394385">
        <w:rPr>
          <w:rFonts w:ascii="Abo-thar" w:hAnsi="Abo-thar" w:cs="KFGQPC Uthman Taha Naskh"/>
          <w:bCs/>
          <w:sz w:val="28"/>
          <w:rtl/>
          <w:lang w:bidi="ar-SY"/>
        </w:rPr>
        <w:t xml:space="preserve"> إِنَّ أَبِي كَانَ مِمَّنْ سَبَاهُ بَنُو أُمَيَّةَ قَدْ عَلِمْتُ أَنَّ بَنِي أُمَيَّةَ لَمْ يَكُنْ لَهُمْ أَنْ يُحَرِّمُوا ولَا يُحَلِّلُوا ولَمْ يَكُنْ لَهُمْ مِمَّا فِي أَيْدِيهِمْ قَلِيلٌ ولَا كَثِيرٌ وإِنَّمَا ذَلِكَ لَكُمْ فَإِذَا ذَكَرْتُ رَدَّ الَّذِي كُنْتُ فِيهِ دَخَلَنِي مِنْ ذَلِكَ مَا يَكَادُ يُفْسِدُ عَلَيَّ عَقْلِي مَا أَنَا فِيهِ فَقَالَ لَهُ</w:t>
      </w:r>
      <w:r w:rsidR="00217AB4" w:rsidRPr="00394385">
        <w:rPr>
          <w:rFonts w:ascii="Abo-thar" w:hAnsi="Abo-thar" w:cs="KFGQPC Uthman Taha Naskh" w:hint="cs"/>
          <w:bCs/>
          <w:sz w:val="28"/>
          <w:rtl/>
          <w:lang w:bidi="ar-SY"/>
        </w:rPr>
        <w:t>:</w:t>
      </w:r>
      <w:r w:rsidRPr="00394385">
        <w:rPr>
          <w:rFonts w:ascii="Abo-thar" w:hAnsi="Abo-thar" w:cs="KFGQPC Uthman Taha Naskh"/>
          <w:bCs/>
          <w:sz w:val="28"/>
          <w:rtl/>
          <w:lang w:bidi="ar-SY"/>
        </w:rPr>
        <w:t xml:space="preserve"> أَنْتَ فِي حِلٍّ مِمَّا كَانَ مِنْ ذَلِكَ</w:t>
      </w:r>
      <w:r w:rsidR="00217AB4" w:rsidRPr="00394385">
        <w:rPr>
          <w:rFonts w:ascii="Abo-thar" w:hAnsi="Abo-thar" w:cs="KFGQPC Uthman Taha Naskh" w:hint="cs"/>
          <w:bCs/>
          <w:sz w:val="28"/>
          <w:rtl/>
          <w:lang w:bidi="ar-SY"/>
        </w:rPr>
        <w:t>،</w:t>
      </w:r>
      <w:r w:rsidRPr="00394385">
        <w:rPr>
          <w:rFonts w:ascii="Abo-thar" w:hAnsi="Abo-thar" w:cs="KFGQPC Uthman Taha Naskh"/>
          <w:bCs/>
          <w:sz w:val="28"/>
          <w:rtl/>
          <w:lang w:bidi="ar-SY"/>
        </w:rPr>
        <w:t xml:space="preserve"> وكُلُّ مَنْ كَانَ فِي مِثْلِ حَالِكَ مِنْ وَرَائِي فَهُوَ فِي حِلٍّ مِنْ ذَلِكَ</w:t>
      </w:r>
      <w:r w:rsidR="00EF2588" w:rsidRPr="00394385">
        <w:rPr>
          <w:rFonts w:ascii="Abo-thar" w:hAnsi="Abo-thar" w:cs="KFGQPC Uthman Taha Naskh" w:hint="cs"/>
          <w:sz w:val="28"/>
          <w:rtl/>
          <w:lang w:bidi="ar-SY"/>
        </w:rPr>
        <w:t>»</w:t>
      </w:r>
      <w:r w:rsidR="00CF46B9" w:rsidRPr="0021507A">
        <w:rPr>
          <w:rFonts w:ascii="Abo-thar" w:hAnsi="Abo-thar" w:cs="Arabic11 BT"/>
          <w:sz w:val="28"/>
          <w:vertAlign w:val="superscript"/>
          <w:rtl/>
          <w:lang w:bidi="ar-SY"/>
        </w:rPr>
        <w:t>(</w:t>
      </w:r>
      <w:r w:rsidR="00CF46B9" w:rsidRPr="0021507A">
        <w:rPr>
          <w:rStyle w:val="FootnoteReference"/>
          <w:rFonts w:ascii="Abo-thar" w:hAnsi="Abo-thar" w:cs="Arabic11 BT"/>
          <w:sz w:val="28"/>
          <w:rtl/>
          <w:lang w:bidi="ar-SY"/>
        </w:rPr>
        <w:footnoteReference w:id="353"/>
      </w:r>
      <w:r w:rsidR="00CF46B9" w:rsidRPr="0021507A">
        <w:rPr>
          <w:rFonts w:ascii="Abo-thar" w:hAnsi="Abo-thar" w:cs="Arabic11 BT"/>
          <w:sz w:val="28"/>
          <w:vertAlign w:val="superscript"/>
          <w:rtl/>
          <w:lang w:bidi="ar-SY"/>
        </w:rPr>
        <w:t>)</w:t>
      </w:r>
      <w:r w:rsidR="00217AB4" w:rsidRPr="003F3B94">
        <w:rPr>
          <w:rFonts w:ascii="Abo-thar" w:hAnsi="Abo-thar" w:hint="cs"/>
          <w:sz w:val="28"/>
          <w:rtl/>
          <w:lang w:bidi="ar-SY"/>
        </w:rPr>
        <w:t>.</w:t>
      </w:r>
      <w:r w:rsidRPr="003F3B94">
        <w:rPr>
          <w:rFonts w:ascii="Abo-thar" w:hAnsi="Abo-thar" w:hint="cs"/>
          <w:sz w:val="28"/>
          <w:rtl/>
          <w:lang w:bidi="ar-SY"/>
        </w:rPr>
        <w:t xml:space="preserve"> </w:t>
      </w:r>
    </w:p>
    <w:p w:rsidR="005C664D" w:rsidRPr="003F3B94" w:rsidRDefault="005C664D" w:rsidP="003F3B94">
      <w:pPr>
        <w:pStyle w:val="a0"/>
        <w:rPr>
          <w:rFonts w:hint="cs"/>
          <w:rtl/>
          <w:lang w:bidi="ar-SY"/>
        </w:rPr>
      </w:pPr>
      <w:r w:rsidRPr="003F3B94">
        <w:rPr>
          <w:rFonts w:ascii="Abo-thar" w:hAnsi="Abo-thar" w:hint="cs"/>
          <w:sz w:val="28"/>
          <w:rtl/>
          <w:lang w:bidi="ar-SY"/>
        </w:rPr>
        <w:t>2</w:t>
      </w:r>
      <w:r w:rsidR="009C22A2" w:rsidRPr="003F3B94">
        <w:rPr>
          <w:rFonts w:ascii="Abo-thar" w:hAnsi="Abo-thar" w:hint="cs"/>
          <w:sz w:val="28"/>
          <w:rtl/>
          <w:lang w:bidi="ar-SY"/>
        </w:rPr>
        <w:t>4</w:t>
      </w:r>
      <w:r w:rsidR="00217AB4" w:rsidRPr="003F3B94">
        <w:rPr>
          <w:rFonts w:ascii="Abo-thar" w:hAnsi="Abo-thar" w:hint="cs"/>
          <w:sz w:val="28"/>
          <w:rtl/>
          <w:lang w:bidi="ar-SY"/>
        </w:rPr>
        <w:t>-</w:t>
      </w:r>
      <w:r w:rsidRPr="003F3B94">
        <w:rPr>
          <w:rFonts w:ascii="Abo-thar" w:hAnsi="Abo-thar" w:hint="cs"/>
          <w:sz w:val="28"/>
          <w:rtl/>
          <w:lang w:bidi="ar-SY"/>
        </w:rPr>
        <w:t xml:space="preserve"> وفي «التهذيب» و</w:t>
      </w:r>
      <w:r w:rsidRPr="003F3B94">
        <w:rPr>
          <w:rFonts w:ascii="Abo-thar" w:hAnsi="Abo-thar"/>
          <w:sz w:val="28"/>
          <w:rtl/>
          <w:lang w:bidi="ar-SY"/>
        </w:rPr>
        <w:t>«</w:t>
      </w:r>
      <w:r w:rsidRPr="003F3B94">
        <w:rPr>
          <w:rFonts w:ascii="Abo-thar" w:hAnsi="Abo-thar" w:hint="cs"/>
          <w:sz w:val="28"/>
          <w:rtl/>
          <w:lang w:bidi="ar-SY"/>
        </w:rPr>
        <w:t>الاستبصار</w:t>
      </w:r>
      <w:r w:rsidRPr="003F3B94">
        <w:rPr>
          <w:rFonts w:ascii="Abo-thar" w:hAnsi="Abo-thar"/>
          <w:sz w:val="28"/>
          <w:rtl/>
          <w:lang w:bidi="ar-SY"/>
        </w:rPr>
        <w:t>»</w:t>
      </w:r>
      <w:r w:rsidRPr="003F3B94">
        <w:rPr>
          <w:rFonts w:ascii="Abo-thar" w:hAnsi="Abo-thar" w:hint="cs"/>
          <w:sz w:val="28"/>
          <w:rtl/>
          <w:lang w:bidi="ar-SY"/>
        </w:rPr>
        <w:t xml:space="preserve"> بالإسناد </w:t>
      </w:r>
      <w:r w:rsidR="00EF2588" w:rsidRPr="00394385">
        <w:rPr>
          <w:rFonts w:ascii="Abo-thar" w:hAnsi="Abo-thar" w:cs="KFGQPC Uthman Taha Naskh" w:hint="cs"/>
          <w:sz w:val="28"/>
          <w:rtl/>
          <w:lang w:bidi="ar-SY"/>
        </w:rPr>
        <w:t>«</w:t>
      </w:r>
      <w:r w:rsidR="00217AB4" w:rsidRPr="00394385">
        <w:rPr>
          <w:rFonts w:ascii="Abo-thar" w:hAnsi="Abo-thar" w:cs="KFGQPC Uthman Taha Naskh" w:hint="cs"/>
          <w:sz w:val="28"/>
          <w:rtl/>
          <w:lang w:bidi="ar-SY"/>
        </w:rPr>
        <w:t>...</w:t>
      </w:r>
      <w:r w:rsidRPr="00394385">
        <w:rPr>
          <w:rFonts w:ascii="Abo-thar" w:hAnsi="Abo-thar" w:cs="KFGQPC Uthman Taha Naskh"/>
          <w:sz w:val="28"/>
          <w:rtl/>
          <w:lang w:bidi="ar-SY"/>
        </w:rPr>
        <w:t xml:space="preserve"> </w:t>
      </w:r>
      <w:r w:rsidRPr="00394385">
        <w:rPr>
          <w:rFonts w:ascii="Abo-thar" w:hAnsi="Abo-thar" w:cs="KFGQPC Uthman Taha Naskh"/>
          <w:bCs/>
          <w:sz w:val="28"/>
          <w:rtl/>
          <w:lang w:bidi="ar-SY"/>
        </w:rPr>
        <w:t xml:space="preserve">عَنْ أَبِي سَلَمَةَ سَالِمِ بْنِ مُكْرَمٍ وهُوَ أَبُو خَدِيجَةَ عَنْ أَبِي عَبْدِ اللهِ </w:t>
      </w:r>
      <w:r w:rsidR="00BC4BA9" w:rsidRPr="00BC4BA9">
        <w:rPr>
          <w:rFonts w:ascii="Abo-thar" w:hAnsi="Abo-thar" w:cs="CTraditional Arabic"/>
          <w:sz w:val="28"/>
          <w:rtl/>
          <w:lang w:bidi="ar-SY"/>
        </w:rPr>
        <w:t>÷</w:t>
      </w:r>
      <w:r w:rsidRPr="00394385">
        <w:rPr>
          <w:rFonts w:ascii="Abo-thar" w:hAnsi="Abo-thar" w:cs="KFGQPC Uthman Taha Naskh"/>
          <w:bCs/>
          <w:sz w:val="28"/>
          <w:rtl/>
          <w:lang w:bidi="ar-SY"/>
        </w:rPr>
        <w:t xml:space="preserve"> قَالَ قَالَ لَهُ رَجُلٌ وأَنَا حَاضِرٌ</w:t>
      </w:r>
      <w:r w:rsidR="00217AB4" w:rsidRPr="00394385">
        <w:rPr>
          <w:rFonts w:ascii="Abo-thar" w:hAnsi="Abo-thar" w:cs="KFGQPC Uthman Taha Naskh" w:hint="cs"/>
          <w:bCs/>
          <w:sz w:val="28"/>
          <w:rtl/>
          <w:lang w:bidi="ar-SY"/>
        </w:rPr>
        <w:t>:</w:t>
      </w:r>
      <w:r w:rsidRPr="00394385">
        <w:rPr>
          <w:rFonts w:ascii="Abo-thar" w:hAnsi="Abo-thar" w:cs="KFGQPC Uthman Taha Naskh"/>
          <w:bCs/>
          <w:sz w:val="28"/>
          <w:rtl/>
          <w:lang w:bidi="ar-SY"/>
        </w:rPr>
        <w:t xml:space="preserve"> حَلِّلْ لِيَ الفُرُوجَ</w:t>
      </w:r>
      <w:r w:rsidR="00217AB4" w:rsidRPr="00394385">
        <w:rPr>
          <w:rFonts w:ascii="Abo-thar" w:hAnsi="Abo-thar" w:cs="KFGQPC Uthman Taha Naskh" w:hint="cs"/>
          <w:bCs/>
          <w:sz w:val="28"/>
          <w:rtl/>
          <w:lang w:bidi="ar-SY"/>
        </w:rPr>
        <w:t>.</w:t>
      </w:r>
      <w:r w:rsidRPr="00394385">
        <w:rPr>
          <w:rFonts w:ascii="Abo-thar" w:hAnsi="Abo-thar" w:cs="KFGQPC Uthman Taha Naskh"/>
          <w:bCs/>
          <w:sz w:val="28"/>
          <w:rtl/>
          <w:lang w:bidi="ar-SY"/>
        </w:rPr>
        <w:t xml:space="preserve"> فَفَزِعَ أَبُو عَبْدِ اللهِ </w:t>
      </w:r>
      <w:r w:rsidR="00BC4BA9" w:rsidRPr="00BC4BA9">
        <w:rPr>
          <w:rFonts w:ascii="Abo-thar" w:hAnsi="Abo-thar" w:cs="CTraditional Arabic"/>
          <w:sz w:val="28"/>
          <w:rtl/>
          <w:lang w:bidi="ar-SY"/>
        </w:rPr>
        <w:t>÷</w:t>
      </w:r>
      <w:r w:rsidRPr="00394385">
        <w:rPr>
          <w:rFonts w:ascii="Abo-thar" w:hAnsi="Abo-thar" w:cs="KFGQPC Uthman Taha Naskh"/>
          <w:bCs/>
          <w:sz w:val="28"/>
          <w:rtl/>
          <w:lang w:bidi="ar-SY"/>
        </w:rPr>
        <w:t xml:space="preserve"> فَقَالَ لَهُ رَجُلٌ</w:t>
      </w:r>
      <w:r w:rsidR="00217AB4" w:rsidRPr="00394385">
        <w:rPr>
          <w:rFonts w:ascii="Abo-thar" w:hAnsi="Abo-thar" w:cs="KFGQPC Uthman Taha Naskh" w:hint="cs"/>
          <w:bCs/>
          <w:sz w:val="28"/>
          <w:rtl/>
          <w:lang w:bidi="ar-SY"/>
        </w:rPr>
        <w:t>:</w:t>
      </w:r>
      <w:r w:rsidRPr="00394385">
        <w:rPr>
          <w:rFonts w:ascii="Abo-thar" w:hAnsi="Abo-thar" w:cs="KFGQPC Uthman Taha Naskh"/>
          <w:bCs/>
          <w:sz w:val="28"/>
          <w:rtl/>
          <w:lang w:bidi="ar-SY"/>
        </w:rPr>
        <w:t xml:space="preserve"> لَيْسَ يَسْأَلُكَ أَنْ يَعْتَرِضَ الطَّرِيقَ إِنَّمَا يَسْأَلُكَ خَادِماً يَشْتَرِيهَا أَوِ امْرَأَةً يَتَزَوَّجُهَا أَوْ مِيرَاثاً يُصِيبُهُ أَوْ تِجَارَةً أَوْ شَيْئاً أَعْطَاهُ</w:t>
      </w:r>
      <w:r w:rsidR="00217AB4" w:rsidRPr="00394385">
        <w:rPr>
          <w:rFonts w:ascii="Abo-thar" w:hAnsi="Abo-thar" w:cs="KFGQPC Uthman Taha Naskh" w:hint="cs"/>
          <w:bCs/>
          <w:sz w:val="28"/>
          <w:rtl/>
          <w:lang w:bidi="ar-SY"/>
        </w:rPr>
        <w:t>.</w:t>
      </w:r>
      <w:r w:rsidRPr="00394385">
        <w:rPr>
          <w:rFonts w:ascii="Abo-thar" w:hAnsi="Abo-thar" w:cs="KFGQPC Uthman Taha Naskh"/>
          <w:bCs/>
          <w:sz w:val="28"/>
          <w:rtl/>
          <w:lang w:bidi="ar-SY"/>
        </w:rPr>
        <w:t xml:space="preserve"> فَقَالَ</w:t>
      </w:r>
      <w:r w:rsidR="00217AB4" w:rsidRPr="00394385">
        <w:rPr>
          <w:rFonts w:ascii="Abo-thar" w:hAnsi="Abo-thar" w:cs="KFGQPC Uthman Taha Naskh" w:hint="cs"/>
          <w:bCs/>
          <w:sz w:val="28"/>
          <w:rtl/>
          <w:lang w:bidi="ar-SY"/>
        </w:rPr>
        <w:t>:</w:t>
      </w:r>
      <w:r w:rsidRPr="00394385">
        <w:rPr>
          <w:rFonts w:ascii="Abo-thar" w:hAnsi="Abo-thar" w:cs="KFGQPC Uthman Taha Naskh"/>
          <w:bCs/>
          <w:sz w:val="28"/>
          <w:rtl/>
          <w:lang w:bidi="ar-SY"/>
        </w:rPr>
        <w:t xml:space="preserve"> هَذَا لِشِيعَتِنَا حَلَالٌ الشَّاهِدِ مِنْهُمْ والْغَائِبِ والْمَيِّتِ مِنْهُمْ والْحَيِّ ومَا يُولَدُ مِنْهُمْ إِلَى يَوْمِ القِيَامَةِ فَهُوَ لَهُمْ حَلَالٌ</w:t>
      </w:r>
      <w:r w:rsidR="00217AB4" w:rsidRPr="00394385">
        <w:rPr>
          <w:rFonts w:ascii="Abo-thar" w:hAnsi="Abo-thar" w:cs="KFGQPC Uthman Taha Naskh"/>
          <w:bCs/>
          <w:sz w:val="28"/>
          <w:rtl/>
          <w:lang w:bidi="ar-SY"/>
        </w:rPr>
        <w:t>.</w:t>
      </w:r>
      <w:r w:rsidR="00217AB4" w:rsidRPr="00394385">
        <w:rPr>
          <w:rFonts w:ascii="Abo-thar" w:hAnsi="Abo-thar" w:cs="KFGQPC Uthman Taha Naskh" w:hint="cs"/>
          <w:bCs/>
          <w:sz w:val="28"/>
          <w:rtl/>
          <w:lang w:bidi="ar-SY"/>
        </w:rPr>
        <w:t>.</w:t>
      </w:r>
      <w:r w:rsidRPr="00394385">
        <w:rPr>
          <w:rFonts w:ascii="Abo-thar" w:hAnsi="Abo-thar" w:cs="KFGQPC Uthman Taha Naskh"/>
          <w:bCs/>
          <w:sz w:val="28"/>
          <w:rtl/>
          <w:lang w:bidi="ar-SY"/>
        </w:rPr>
        <w:t>‏</w:t>
      </w:r>
      <w:r w:rsidR="00EF2588" w:rsidRPr="00394385">
        <w:rPr>
          <w:rFonts w:ascii="Abo-thar" w:hAnsi="Abo-thar" w:cs="KFGQPC Uthman Taha Naskh" w:hint="cs"/>
          <w:sz w:val="28"/>
          <w:rtl/>
          <w:lang w:bidi="ar-SY"/>
        </w:rPr>
        <w:t>»</w:t>
      </w:r>
      <w:r w:rsidR="00CF46B9" w:rsidRPr="0021507A">
        <w:rPr>
          <w:rFonts w:ascii="Abo-thar" w:hAnsi="Abo-thar" w:cs="Arabic11 BT"/>
          <w:sz w:val="28"/>
          <w:vertAlign w:val="superscript"/>
          <w:rtl/>
          <w:lang w:bidi="ar-SY"/>
        </w:rPr>
        <w:t>(</w:t>
      </w:r>
      <w:r w:rsidR="00CF46B9" w:rsidRPr="0021507A">
        <w:rPr>
          <w:rStyle w:val="FootnoteReference"/>
          <w:rFonts w:ascii="Abo-thar" w:hAnsi="Abo-thar" w:cs="Arabic11 BT"/>
          <w:sz w:val="28"/>
          <w:rtl/>
          <w:lang w:bidi="ar-SY"/>
        </w:rPr>
        <w:footnoteReference w:id="354"/>
      </w:r>
      <w:r w:rsidR="00CF46B9" w:rsidRPr="0021507A">
        <w:rPr>
          <w:rFonts w:ascii="Abo-thar" w:hAnsi="Abo-thar" w:cs="Arabic11 BT"/>
          <w:sz w:val="28"/>
          <w:vertAlign w:val="superscript"/>
          <w:rtl/>
          <w:lang w:bidi="ar-SY"/>
        </w:rPr>
        <w:t>)</w:t>
      </w:r>
      <w:r w:rsidR="00217AB4" w:rsidRPr="003F3B94">
        <w:rPr>
          <w:rFonts w:ascii="Abo-thar" w:hAnsi="Abo-thar" w:hint="cs"/>
          <w:sz w:val="28"/>
          <w:rtl/>
          <w:lang w:bidi="ar-SY"/>
        </w:rPr>
        <w:t>.</w:t>
      </w:r>
    </w:p>
    <w:p w:rsidR="005C664D" w:rsidRPr="003F3B94" w:rsidRDefault="005C664D" w:rsidP="00254729">
      <w:pPr>
        <w:pStyle w:val="a0"/>
        <w:rPr>
          <w:rFonts w:hint="cs"/>
          <w:rtl/>
          <w:lang w:bidi="ar-SY"/>
        </w:rPr>
      </w:pPr>
      <w:r w:rsidRPr="003F3B94">
        <w:rPr>
          <w:rFonts w:ascii="Abo-thar" w:hAnsi="Abo-thar" w:hint="cs"/>
          <w:sz w:val="28"/>
          <w:rtl/>
          <w:lang w:bidi="ar-SY"/>
        </w:rPr>
        <w:t>2</w:t>
      </w:r>
      <w:r w:rsidR="009C22A2" w:rsidRPr="003F3B94">
        <w:rPr>
          <w:rFonts w:ascii="Abo-thar" w:hAnsi="Abo-thar" w:hint="cs"/>
          <w:sz w:val="28"/>
          <w:rtl/>
          <w:lang w:bidi="ar-SY"/>
        </w:rPr>
        <w:t>5</w:t>
      </w:r>
      <w:r w:rsidRPr="003F3B94">
        <w:rPr>
          <w:rFonts w:ascii="Abo-thar" w:hAnsi="Abo-thar" w:hint="cs"/>
          <w:sz w:val="28"/>
          <w:rtl/>
          <w:lang w:bidi="ar-SY"/>
        </w:rPr>
        <w:t xml:space="preserve"> </w:t>
      </w:r>
      <w:r w:rsidR="00217AB4" w:rsidRPr="003F3B94">
        <w:rPr>
          <w:rFonts w:ascii="Abo-thar" w:hAnsi="Abo-thar" w:hint="cs"/>
          <w:sz w:val="28"/>
          <w:rtl/>
          <w:lang w:bidi="ar-SY"/>
        </w:rPr>
        <w:t>-</w:t>
      </w:r>
      <w:r w:rsidRPr="003F3B94">
        <w:rPr>
          <w:rFonts w:ascii="Abo-thar" w:hAnsi="Abo-thar" w:hint="cs"/>
          <w:sz w:val="28"/>
          <w:rtl/>
          <w:lang w:bidi="ar-SY"/>
        </w:rPr>
        <w:t xml:space="preserve"> وفي «التهذيب» بالإسناد </w:t>
      </w:r>
      <w:r w:rsidR="00EF2588" w:rsidRPr="00394385">
        <w:rPr>
          <w:rFonts w:ascii="Abo-thar" w:hAnsi="Abo-thar" w:cs="KFGQPC Uthman Taha Naskh" w:hint="cs"/>
          <w:sz w:val="28"/>
          <w:rtl/>
          <w:lang w:bidi="ar-SY"/>
        </w:rPr>
        <w:t>«</w:t>
      </w:r>
      <w:r w:rsidR="00217AB4" w:rsidRPr="00394385">
        <w:rPr>
          <w:rFonts w:ascii="Abo-thar" w:hAnsi="Abo-thar" w:cs="KFGQPC Uthman Taha Naskh" w:hint="cs"/>
          <w:sz w:val="28"/>
          <w:rtl/>
          <w:lang w:bidi="ar-SY"/>
        </w:rPr>
        <w:t>...</w:t>
      </w:r>
      <w:r w:rsidRPr="00394385">
        <w:rPr>
          <w:rFonts w:ascii="Abo-thar" w:hAnsi="Abo-thar" w:cs="KFGQPC Uthman Taha Naskh"/>
          <w:bCs/>
          <w:sz w:val="28"/>
          <w:rtl/>
          <w:lang w:bidi="ar-SY"/>
        </w:rPr>
        <w:t xml:space="preserve">عَنْ عَبْدِ اللهِ بْنِ القَاسِمِ الحَضْرَمِيِّ عَنْ عَبْدِ اللهِ بْنِ سِنَانٍ قَالَ قَالَ أَبُو عَبْدِ اللهِ </w:t>
      </w:r>
      <w:r w:rsidR="00BC4BA9" w:rsidRPr="00BC4BA9">
        <w:rPr>
          <w:rFonts w:ascii="Abo-thar" w:hAnsi="Abo-thar" w:cs="CTraditional Arabic"/>
          <w:sz w:val="28"/>
          <w:rtl/>
          <w:lang w:bidi="ar-SY"/>
        </w:rPr>
        <w:t>÷</w:t>
      </w:r>
      <w:r w:rsidR="00217AB4" w:rsidRPr="00394385">
        <w:rPr>
          <w:rFonts w:ascii="Abo-thar" w:hAnsi="Abo-thar" w:cs="KFGQPC Uthman Taha Naskh" w:hint="cs"/>
          <w:bCs/>
          <w:sz w:val="28"/>
          <w:rtl/>
          <w:lang w:bidi="ar-SY"/>
        </w:rPr>
        <w:t>:</w:t>
      </w:r>
      <w:r w:rsidRPr="00394385">
        <w:rPr>
          <w:rFonts w:ascii="Abo-thar" w:hAnsi="Abo-thar" w:cs="KFGQPC Uthman Taha Naskh"/>
          <w:bCs/>
          <w:sz w:val="28"/>
          <w:rtl/>
          <w:lang w:bidi="ar-SY"/>
        </w:rPr>
        <w:t xml:space="preserve"> عَلَى كُلِّ امْرِئٍ غَنِمَ أَوِ اكْتَسَبَ الخُمُسُ مِمَّا أَصَابَ لِفَاطِمَةَ</w:t>
      </w:r>
      <w:r w:rsidR="00BC4BA9" w:rsidRPr="00BC4BA9">
        <w:rPr>
          <w:rFonts w:ascii="Abo-thar" w:hAnsi="Abo-thar" w:cs="CTraditional Arabic"/>
          <w:sz w:val="28"/>
          <w:rtl/>
          <w:lang w:bidi="ar-SY"/>
        </w:rPr>
        <w:t>÷</w:t>
      </w:r>
      <w:r w:rsidRPr="00394385">
        <w:rPr>
          <w:rFonts w:ascii="Abo-thar" w:hAnsi="Abo-thar" w:cs="KFGQPC Uthman Taha Naskh"/>
          <w:bCs/>
          <w:sz w:val="28"/>
          <w:rtl/>
          <w:lang w:bidi="ar-SY"/>
        </w:rPr>
        <w:t xml:space="preserve"> ولِمَنْ يَلِي أَمْرَهَا مِنْ بَعْدِهَا مِنْ ذُرِّيَّتِهَا الحُجَجِ عَلَى النَّاسِ فَذَاكَ لَهُمْ خَاصَّةً يَضَعُونَهُ حَيْثُ شَاءُوا إِذْ حَرُمَ عَلَيْهِمُ الصَّدَقَةُ حَتَّى الخَيَّاطُ لَيَخِيطُ قَمِيصاً بِخَمْسَةِ دَوَانِيقَ فَلَنَا مِنْهَا دَانِقٌ إِلَّا مَنْ أَحْلَلْنَا مِنْ شِيعَتِنَا لِتَطِيبَ لَهُمْ بِهِ الوِلَادَةُ</w:t>
      </w:r>
      <w:r w:rsidR="00EF2588" w:rsidRPr="00394385">
        <w:rPr>
          <w:rFonts w:ascii="Abo-thar" w:hAnsi="Abo-thar" w:cs="KFGQPC Uthman Taha Naskh" w:hint="cs"/>
          <w:sz w:val="28"/>
          <w:rtl/>
          <w:lang w:bidi="ar-SY"/>
        </w:rPr>
        <w:t>»</w:t>
      </w:r>
      <w:r w:rsidR="00CF46B9" w:rsidRPr="0021507A">
        <w:rPr>
          <w:rFonts w:ascii="Abo-thar" w:hAnsi="Abo-thar" w:cs="Arabic11 BT"/>
          <w:sz w:val="28"/>
          <w:vertAlign w:val="superscript"/>
          <w:rtl/>
          <w:lang w:bidi="ar-SY"/>
        </w:rPr>
        <w:t>(</w:t>
      </w:r>
      <w:r w:rsidR="00CF46B9" w:rsidRPr="0021507A">
        <w:rPr>
          <w:rStyle w:val="FootnoteReference"/>
          <w:rFonts w:ascii="Abo-thar" w:hAnsi="Abo-thar" w:cs="Arabic11 BT"/>
          <w:sz w:val="28"/>
          <w:rtl/>
          <w:lang w:bidi="ar-SY"/>
        </w:rPr>
        <w:footnoteReference w:id="355"/>
      </w:r>
      <w:r w:rsidR="00CF46B9" w:rsidRPr="0021507A">
        <w:rPr>
          <w:rFonts w:ascii="Abo-thar" w:hAnsi="Abo-thar" w:cs="Arabic11 BT"/>
          <w:sz w:val="28"/>
          <w:vertAlign w:val="superscript"/>
          <w:rtl/>
          <w:lang w:bidi="ar-SY"/>
        </w:rPr>
        <w:t>)</w:t>
      </w:r>
      <w:r w:rsidR="00217AB4" w:rsidRPr="003F3B94">
        <w:rPr>
          <w:rFonts w:ascii="Abo-thar" w:hAnsi="Abo-thar" w:hint="cs"/>
          <w:sz w:val="28"/>
          <w:rtl/>
          <w:lang w:bidi="ar-SY"/>
        </w:rPr>
        <w:t>.</w:t>
      </w:r>
    </w:p>
    <w:p w:rsidR="005C664D" w:rsidRPr="003F3B94" w:rsidRDefault="005C664D" w:rsidP="003F3B94">
      <w:pPr>
        <w:pStyle w:val="a0"/>
        <w:rPr>
          <w:rFonts w:hint="cs"/>
          <w:rtl/>
          <w:lang w:bidi="ar-SY"/>
        </w:rPr>
      </w:pPr>
      <w:r w:rsidRPr="003F3B94">
        <w:rPr>
          <w:rFonts w:ascii="Abo-thar" w:hAnsi="Abo-thar" w:hint="cs"/>
          <w:sz w:val="28"/>
          <w:rtl/>
          <w:lang w:bidi="ar-SY"/>
        </w:rPr>
        <w:t>2</w:t>
      </w:r>
      <w:r w:rsidR="009C22A2" w:rsidRPr="003F3B94">
        <w:rPr>
          <w:rFonts w:ascii="Abo-thar" w:hAnsi="Abo-thar" w:hint="cs"/>
          <w:sz w:val="28"/>
          <w:rtl/>
          <w:lang w:bidi="ar-SY"/>
        </w:rPr>
        <w:t>6</w:t>
      </w:r>
      <w:r w:rsidR="00217AB4" w:rsidRPr="003F3B94">
        <w:rPr>
          <w:rFonts w:ascii="Abo-thar" w:hAnsi="Abo-thar" w:hint="cs"/>
          <w:sz w:val="28"/>
          <w:rtl/>
          <w:lang w:bidi="ar-SY"/>
        </w:rPr>
        <w:t>-</w:t>
      </w:r>
      <w:r w:rsidR="00A31F6A" w:rsidRPr="003F3B94">
        <w:rPr>
          <w:rFonts w:ascii="Abo-thar" w:hAnsi="Abo-thar" w:hint="cs"/>
          <w:sz w:val="28"/>
          <w:rtl/>
          <w:lang w:bidi="ar-SY"/>
        </w:rPr>
        <w:t xml:space="preserve"> وفي «التهذيب» للشيخ الطوسي </w:t>
      </w:r>
      <w:r w:rsidRPr="003F3B94">
        <w:rPr>
          <w:rFonts w:ascii="Abo-thar" w:hAnsi="Abo-thar" w:hint="cs"/>
          <w:sz w:val="28"/>
          <w:rtl/>
          <w:lang w:bidi="ar-SY"/>
        </w:rPr>
        <w:t xml:space="preserve">بالإسناد </w:t>
      </w:r>
      <w:r w:rsidR="00EF2588" w:rsidRPr="00394385">
        <w:rPr>
          <w:rFonts w:ascii="Abo-thar" w:hAnsi="Abo-thar" w:cs="KFGQPC Uthman Taha Naskh" w:hint="cs"/>
          <w:sz w:val="28"/>
          <w:rtl/>
          <w:lang w:bidi="ar-SY"/>
        </w:rPr>
        <w:t>«</w:t>
      </w:r>
      <w:r w:rsidR="00217AB4" w:rsidRPr="00394385">
        <w:rPr>
          <w:rFonts w:ascii="Abo-thar" w:hAnsi="Abo-thar" w:cs="KFGQPC Uthman Taha Naskh" w:hint="cs"/>
          <w:sz w:val="28"/>
          <w:rtl/>
          <w:lang w:bidi="ar-SY"/>
        </w:rPr>
        <w:t>...</w:t>
      </w:r>
      <w:r w:rsidRPr="00394385">
        <w:rPr>
          <w:rFonts w:ascii="Abo-thar" w:hAnsi="Abo-thar" w:cs="KFGQPC Uthman Taha Naskh"/>
          <w:sz w:val="28"/>
          <w:rtl/>
          <w:lang w:bidi="ar-SY"/>
        </w:rPr>
        <w:t xml:space="preserve"> </w:t>
      </w:r>
      <w:r w:rsidRPr="00394385">
        <w:rPr>
          <w:rFonts w:ascii="Abo-thar" w:hAnsi="Abo-thar" w:cs="KFGQPC Uthman Taha Naskh"/>
          <w:bCs/>
          <w:sz w:val="28"/>
          <w:rtl/>
          <w:lang w:bidi="ar-SY"/>
        </w:rPr>
        <w:t>عَنِ الحَسَنِ بْنِ مَحْبُوبٍ عَنْ عُمَرَ بْنِ يَزِيدَ قَالَ</w:t>
      </w:r>
      <w:r w:rsidR="00217AB4" w:rsidRPr="00394385">
        <w:rPr>
          <w:rFonts w:ascii="Abo-thar" w:hAnsi="Abo-thar" w:cs="KFGQPC Uthman Taha Naskh"/>
          <w:bCs/>
          <w:sz w:val="28"/>
          <w:rtl/>
          <w:lang w:bidi="ar-SY"/>
        </w:rPr>
        <w:t>:</w:t>
      </w:r>
      <w:r w:rsidRPr="00394385">
        <w:rPr>
          <w:rFonts w:ascii="Abo-thar" w:hAnsi="Abo-thar" w:cs="KFGQPC Uthman Taha Naskh"/>
          <w:bCs/>
          <w:sz w:val="28"/>
          <w:rtl/>
          <w:lang w:bidi="ar-SY"/>
        </w:rPr>
        <w:t xml:space="preserve"> سَمِعْتُ رَجُلًا مِنْ أَهْلِ الجَبَلِ يَسْأَلُ أَبَا عَبْدِ اللهِ </w:t>
      </w:r>
      <w:r w:rsidR="00BC4BA9" w:rsidRPr="00BC4BA9">
        <w:rPr>
          <w:rFonts w:ascii="Abo-thar" w:hAnsi="Abo-thar" w:cs="CTraditional Arabic"/>
          <w:sz w:val="28"/>
          <w:rtl/>
          <w:lang w:bidi="ar-SY"/>
        </w:rPr>
        <w:t>÷</w:t>
      </w:r>
      <w:r w:rsidRPr="00394385">
        <w:rPr>
          <w:rFonts w:ascii="Abo-thar" w:hAnsi="Abo-thar" w:cs="KFGQPC Uthman Taha Naskh"/>
          <w:bCs/>
          <w:sz w:val="28"/>
          <w:rtl/>
          <w:lang w:bidi="ar-SY"/>
        </w:rPr>
        <w:t xml:space="preserve"> عَنْ رَجُلٍ أَخَذَ أَرْضاً مَوَاتاً تَرَكَهَا أَهْلُهَا فَعَمَرَهَا وأَكْرَى أَنْهَارَهَا وبَنَى فِيهَا بُيُوتاً وغَرَسَ فِيهَا نَخْلًا وشَجَراً قَالَ فَقَالَ أَبُو عَبْدِ اللهِ </w:t>
      </w:r>
      <w:r w:rsidR="00BC4BA9" w:rsidRPr="00BC4BA9">
        <w:rPr>
          <w:rFonts w:ascii="Abo-thar" w:hAnsi="Abo-thar" w:cs="CTraditional Arabic"/>
          <w:sz w:val="28"/>
          <w:rtl/>
          <w:lang w:bidi="ar-SY"/>
        </w:rPr>
        <w:t>÷</w:t>
      </w:r>
      <w:r w:rsidR="00217AB4" w:rsidRPr="00394385">
        <w:rPr>
          <w:rFonts w:ascii="Abo-thar" w:hAnsi="Abo-thar" w:cs="KFGQPC Uthman Taha Naskh" w:hint="cs"/>
          <w:bCs/>
          <w:sz w:val="28"/>
          <w:rtl/>
          <w:lang w:bidi="ar-SY"/>
        </w:rPr>
        <w:t>:</w:t>
      </w:r>
      <w:r w:rsidRPr="00394385">
        <w:rPr>
          <w:rFonts w:ascii="Abo-thar" w:hAnsi="Abo-thar" w:cs="KFGQPC Uthman Taha Naskh"/>
          <w:bCs/>
          <w:sz w:val="28"/>
          <w:rtl/>
          <w:lang w:bidi="ar-SY"/>
        </w:rPr>
        <w:t xml:space="preserve"> كَانَ أَمِيرُ المُؤْمِنِينَ </w:t>
      </w:r>
      <w:r w:rsidR="00BC4BA9" w:rsidRPr="00BC4BA9">
        <w:rPr>
          <w:rFonts w:ascii="Abo-thar" w:hAnsi="Abo-thar" w:cs="CTraditional Arabic"/>
          <w:sz w:val="28"/>
          <w:rtl/>
          <w:lang w:bidi="ar-SY"/>
        </w:rPr>
        <w:t>÷</w:t>
      </w:r>
      <w:r w:rsidRPr="00394385">
        <w:rPr>
          <w:rFonts w:ascii="Abo-thar" w:hAnsi="Abo-thar" w:cs="KFGQPC Uthman Taha Naskh"/>
          <w:bCs/>
          <w:sz w:val="28"/>
          <w:rtl/>
          <w:lang w:bidi="ar-SY"/>
        </w:rPr>
        <w:t xml:space="preserve"> يَقُولُ</w:t>
      </w:r>
      <w:r w:rsidR="00217AB4" w:rsidRPr="00394385">
        <w:rPr>
          <w:rFonts w:ascii="Abo-thar" w:hAnsi="Abo-thar" w:cs="KFGQPC Uthman Taha Naskh" w:hint="cs"/>
          <w:bCs/>
          <w:sz w:val="28"/>
          <w:rtl/>
          <w:lang w:bidi="ar-SY"/>
        </w:rPr>
        <w:t>:</w:t>
      </w:r>
      <w:r w:rsidRPr="00394385">
        <w:rPr>
          <w:rFonts w:ascii="Abo-thar" w:hAnsi="Abo-thar" w:cs="KFGQPC Uthman Taha Naskh"/>
          <w:bCs/>
          <w:sz w:val="28"/>
          <w:rtl/>
          <w:lang w:bidi="ar-SY"/>
        </w:rPr>
        <w:t xml:space="preserve"> مَنْ أَحْيَا أَرْضاً مِنَ المُؤْمِنِينَ فَهِيَ لَهُ وعَلَيْهِ طَسْقُهَا يُؤَدِّيهِ إِلَى الإِمَامِ فِي حَالِ الهُدْنَةِ فَإِذَا ظَهَرَ القَائِمُ </w:t>
      </w:r>
      <w:r w:rsidR="00BC4BA9" w:rsidRPr="00BC4BA9">
        <w:rPr>
          <w:rFonts w:ascii="Abo-thar" w:hAnsi="Abo-thar" w:cs="CTraditional Arabic"/>
          <w:sz w:val="28"/>
          <w:rtl/>
          <w:lang w:bidi="ar-SY"/>
        </w:rPr>
        <w:t>÷</w:t>
      </w:r>
      <w:r w:rsidRPr="00394385">
        <w:rPr>
          <w:rFonts w:ascii="Abo-thar" w:hAnsi="Abo-thar" w:cs="KFGQPC Uthman Taha Naskh"/>
          <w:bCs/>
          <w:sz w:val="28"/>
          <w:rtl/>
          <w:lang w:bidi="ar-SY"/>
        </w:rPr>
        <w:t xml:space="preserve"> فَلْيُوَطِّنْ نَفْسَهُ عَلَى أَنْ تُؤْخَذَ مِنْهُ</w:t>
      </w:r>
      <w:r w:rsidR="00EF2588" w:rsidRPr="00394385">
        <w:rPr>
          <w:rFonts w:ascii="Abo-thar" w:hAnsi="Abo-thar" w:cs="KFGQPC Uthman Taha Naskh" w:hint="cs"/>
          <w:sz w:val="28"/>
          <w:rtl/>
          <w:lang w:bidi="ar-SY"/>
        </w:rPr>
        <w:t>»</w:t>
      </w:r>
      <w:r w:rsidR="00CF46B9" w:rsidRPr="0021507A">
        <w:rPr>
          <w:rFonts w:ascii="Abo-thar" w:hAnsi="Abo-thar" w:cs="Arabic11 BT"/>
          <w:sz w:val="28"/>
          <w:vertAlign w:val="superscript"/>
          <w:rtl/>
          <w:lang w:bidi="ar-SY"/>
        </w:rPr>
        <w:t>(</w:t>
      </w:r>
      <w:r w:rsidR="00CF46B9" w:rsidRPr="0021507A">
        <w:rPr>
          <w:rStyle w:val="FootnoteReference"/>
          <w:rFonts w:ascii="Abo-thar" w:hAnsi="Abo-thar" w:cs="Arabic11 BT"/>
          <w:sz w:val="28"/>
          <w:rtl/>
          <w:lang w:bidi="ar-SY"/>
        </w:rPr>
        <w:footnoteReference w:id="356"/>
      </w:r>
      <w:r w:rsidR="00CF46B9" w:rsidRPr="0021507A">
        <w:rPr>
          <w:rFonts w:ascii="Abo-thar" w:hAnsi="Abo-thar" w:cs="Arabic11 BT"/>
          <w:sz w:val="28"/>
          <w:vertAlign w:val="superscript"/>
          <w:rtl/>
          <w:lang w:bidi="ar-SY"/>
        </w:rPr>
        <w:t>)</w:t>
      </w:r>
      <w:r w:rsidR="00217AB4" w:rsidRPr="003F3B94">
        <w:rPr>
          <w:rFonts w:ascii="Abo-thar" w:hAnsi="Abo-thar" w:hint="cs"/>
          <w:sz w:val="28"/>
          <w:rtl/>
          <w:lang w:bidi="ar-SY"/>
        </w:rPr>
        <w:t>.</w:t>
      </w:r>
    </w:p>
    <w:p w:rsidR="005C664D" w:rsidRPr="003F3B94" w:rsidRDefault="005C664D" w:rsidP="00254729">
      <w:pPr>
        <w:pStyle w:val="a0"/>
        <w:rPr>
          <w:rFonts w:hint="cs"/>
          <w:rtl/>
          <w:lang w:bidi="ar-SY"/>
        </w:rPr>
      </w:pPr>
      <w:r w:rsidRPr="003F3B94">
        <w:rPr>
          <w:rFonts w:ascii="Abo-thar" w:hAnsi="Abo-thar" w:hint="cs"/>
          <w:sz w:val="28"/>
          <w:rtl/>
          <w:lang w:bidi="ar-SY"/>
        </w:rPr>
        <w:t>2</w:t>
      </w:r>
      <w:r w:rsidR="009C22A2" w:rsidRPr="003F3B94">
        <w:rPr>
          <w:rFonts w:ascii="Abo-thar" w:hAnsi="Abo-thar" w:hint="cs"/>
          <w:sz w:val="28"/>
          <w:rtl/>
          <w:lang w:bidi="ar-SY"/>
        </w:rPr>
        <w:t>7</w:t>
      </w:r>
      <w:r w:rsidRPr="003F3B94">
        <w:rPr>
          <w:rFonts w:cs="Times New Roman" w:hint="cs"/>
          <w:sz w:val="28"/>
          <w:rtl/>
          <w:lang w:bidi="ar-SY"/>
        </w:rPr>
        <w:t>–</w:t>
      </w:r>
      <w:r w:rsidRPr="003F3B94">
        <w:rPr>
          <w:rFonts w:ascii="Abo-thar" w:hAnsi="Abo-thar" w:hint="cs"/>
          <w:sz w:val="28"/>
          <w:rtl/>
          <w:lang w:bidi="ar-SY"/>
        </w:rPr>
        <w:t xml:space="preserve"> وفي كتاب </w:t>
      </w:r>
      <w:r w:rsidRPr="003F3B94">
        <w:rPr>
          <w:rFonts w:ascii="Abo-thar" w:hAnsi="Abo-thar"/>
          <w:sz w:val="28"/>
          <w:rtl/>
          <w:lang w:bidi="ar-SY"/>
        </w:rPr>
        <w:t>«</w:t>
      </w:r>
      <w:r w:rsidRPr="003F3B94">
        <w:rPr>
          <w:rFonts w:ascii="Abo-thar" w:hAnsi="Abo-thar" w:hint="cs"/>
          <w:sz w:val="28"/>
          <w:rtl/>
          <w:lang w:bidi="ar-SY"/>
        </w:rPr>
        <w:t>مشكوة الأنوار</w:t>
      </w:r>
      <w:r w:rsidRPr="003F3B94">
        <w:rPr>
          <w:rFonts w:ascii="Abo-thar" w:hAnsi="Abo-thar"/>
          <w:sz w:val="28"/>
          <w:rtl/>
          <w:lang w:bidi="ar-SY"/>
        </w:rPr>
        <w:t>»</w:t>
      </w:r>
      <w:r w:rsidRPr="003F3B94">
        <w:rPr>
          <w:rFonts w:ascii="Abo-thar" w:hAnsi="Abo-thar" w:hint="cs"/>
          <w:sz w:val="28"/>
          <w:rtl/>
          <w:lang w:bidi="ar-SY"/>
        </w:rPr>
        <w:t xml:space="preserve"> للطبرسي</w:t>
      </w:r>
      <w:r w:rsidR="00217AB4" w:rsidRPr="003F3B94">
        <w:rPr>
          <w:rFonts w:ascii="Abo-thar" w:hAnsi="Abo-thar" w:hint="cs"/>
          <w:sz w:val="28"/>
          <w:rtl/>
          <w:lang w:bidi="ar-SY"/>
        </w:rPr>
        <w:t>:</w:t>
      </w:r>
      <w:r w:rsidRPr="003F3B94">
        <w:rPr>
          <w:rFonts w:ascii="Abo-thar" w:hAnsi="Abo-thar" w:hint="cs"/>
          <w:sz w:val="28"/>
          <w:rtl/>
          <w:lang w:bidi="ar-SY"/>
        </w:rPr>
        <w:t xml:space="preserve"> </w:t>
      </w:r>
      <w:r w:rsidR="00EF2588" w:rsidRPr="00394385">
        <w:rPr>
          <w:rFonts w:ascii="Abo-thar" w:hAnsi="Abo-thar" w:cs="KFGQPC Uthman Taha Naskh" w:hint="cs"/>
          <w:sz w:val="28"/>
          <w:rtl/>
          <w:lang w:bidi="ar-SY"/>
        </w:rPr>
        <w:t>«</w:t>
      </w:r>
      <w:r w:rsidRPr="00394385">
        <w:rPr>
          <w:rFonts w:ascii="Abo-thar" w:hAnsi="Abo-thar" w:cs="KFGQPC Uthman Taha Naskh"/>
          <w:bCs/>
          <w:sz w:val="28"/>
          <w:rtl/>
          <w:lang w:bidi="ar-SY"/>
        </w:rPr>
        <w:t>عن مفضل بن عمر قال قال أبو عبد الله</w:t>
      </w:r>
      <w:r w:rsidR="00BC4BA9" w:rsidRPr="00BC4BA9">
        <w:rPr>
          <w:rFonts w:ascii="Abo-thar" w:hAnsi="Abo-thar" w:cs="CTraditional Arabic"/>
          <w:sz w:val="28"/>
          <w:rtl/>
          <w:lang w:bidi="ar-SY"/>
        </w:rPr>
        <w:t>÷</w:t>
      </w:r>
      <w:r w:rsidR="00217AB4" w:rsidRPr="00394385">
        <w:rPr>
          <w:rFonts w:ascii="Abo-thar" w:hAnsi="Abo-thar" w:cs="KFGQPC Uthman Taha Naskh" w:hint="cs"/>
          <w:bCs/>
          <w:sz w:val="28"/>
          <w:rtl/>
          <w:lang w:bidi="ar-SY"/>
        </w:rPr>
        <w:t>:</w:t>
      </w:r>
      <w:r w:rsidRPr="00394385">
        <w:rPr>
          <w:rFonts w:ascii="Abo-thar" w:hAnsi="Abo-thar" w:cs="KFGQPC Uthman Taha Naskh"/>
          <w:bCs/>
          <w:sz w:val="28"/>
          <w:rtl/>
          <w:lang w:bidi="ar-SY"/>
        </w:rPr>
        <w:t xml:space="preserve"> قد كنت فرضت عليكم الخمس في أموالكم فقد جعلت مكانه بر</w:t>
      </w:r>
      <w:r w:rsidRPr="00394385">
        <w:rPr>
          <w:rFonts w:ascii="Abo-thar" w:hAnsi="Abo-thar" w:cs="KFGQPC Uthman Taha Naskh" w:hint="cs"/>
          <w:bCs/>
          <w:sz w:val="28"/>
          <w:rtl/>
          <w:lang w:bidi="ar-SY"/>
        </w:rPr>
        <w:t>ّ</w:t>
      </w:r>
      <w:r w:rsidRPr="00394385">
        <w:rPr>
          <w:rFonts w:ascii="Abo-thar" w:hAnsi="Abo-thar" w:cs="KFGQPC Uthman Taha Naskh"/>
          <w:bCs/>
          <w:sz w:val="28"/>
          <w:rtl/>
          <w:lang w:bidi="ar-SY"/>
        </w:rPr>
        <w:t xml:space="preserve"> إخوانكم</w:t>
      </w:r>
      <w:r w:rsidRPr="00394385">
        <w:rPr>
          <w:rFonts w:ascii="Abo-thar" w:hAnsi="Abo-thar" w:cs="KFGQPC Uthman Taha Naskh"/>
          <w:sz w:val="28"/>
          <w:rtl/>
          <w:lang w:bidi="ar-SY"/>
        </w:rPr>
        <w:t>‏</w:t>
      </w:r>
      <w:r w:rsidR="00EF2588" w:rsidRPr="00394385">
        <w:rPr>
          <w:rFonts w:ascii="Abo-thar" w:hAnsi="Abo-thar" w:cs="KFGQPC Uthman Taha Naskh" w:hint="cs"/>
          <w:sz w:val="28"/>
          <w:rtl/>
          <w:lang w:bidi="ar-SY"/>
        </w:rPr>
        <w:t>»</w:t>
      </w:r>
      <w:r w:rsidR="00CF46B9" w:rsidRPr="0021507A">
        <w:rPr>
          <w:rFonts w:ascii="Abo-thar" w:hAnsi="Abo-thar" w:cs="Arabic11 BT"/>
          <w:sz w:val="28"/>
          <w:vertAlign w:val="superscript"/>
          <w:rtl/>
          <w:lang w:bidi="ar-SY"/>
        </w:rPr>
        <w:t>(</w:t>
      </w:r>
      <w:r w:rsidR="00CF46B9" w:rsidRPr="0021507A">
        <w:rPr>
          <w:rStyle w:val="FootnoteReference"/>
          <w:rFonts w:ascii="Abo-thar" w:hAnsi="Abo-thar" w:cs="Arabic11 BT"/>
          <w:sz w:val="28"/>
          <w:rtl/>
          <w:lang w:bidi="ar-SY"/>
        </w:rPr>
        <w:footnoteReference w:id="357"/>
      </w:r>
      <w:r w:rsidR="00CF46B9" w:rsidRPr="0021507A">
        <w:rPr>
          <w:rFonts w:ascii="Abo-thar" w:hAnsi="Abo-thar" w:cs="Arabic11 BT"/>
          <w:sz w:val="28"/>
          <w:vertAlign w:val="superscript"/>
          <w:rtl/>
          <w:lang w:bidi="ar-SY"/>
        </w:rPr>
        <w:t>)</w:t>
      </w:r>
      <w:r w:rsidR="00217AB4" w:rsidRPr="003F3B94">
        <w:rPr>
          <w:rFonts w:ascii="Abo-thar" w:hAnsi="Abo-thar" w:hint="cs"/>
          <w:sz w:val="28"/>
          <w:rtl/>
          <w:lang w:bidi="ar-SY"/>
        </w:rPr>
        <w:t>.</w:t>
      </w:r>
    </w:p>
    <w:p w:rsidR="003D6690" w:rsidRPr="00995B26" w:rsidRDefault="003D6690" w:rsidP="003C671C">
      <w:pPr>
        <w:pStyle w:val="a6"/>
        <w:rPr>
          <w:rFonts w:hint="cs"/>
          <w:rtl/>
        </w:rPr>
      </w:pPr>
      <w:bookmarkStart w:id="112" w:name="_Toc387843083"/>
      <w:r w:rsidRPr="00995B26">
        <w:rPr>
          <w:rFonts w:hint="cs"/>
          <w:rtl/>
        </w:rPr>
        <w:t xml:space="preserve">5- الإمام محمد التقي </w:t>
      </w:r>
      <w:r w:rsidR="003C7AEB" w:rsidRPr="003C7AEB">
        <w:rPr>
          <w:rFonts w:cs="CTraditional Arabic" w:hint="cs"/>
          <w:bCs w:val="0"/>
          <w:rtl/>
        </w:rPr>
        <w:t>÷</w:t>
      </w:r>
      <w:bookmarkEnd w:id="112"/>
    </w:p>
    <w:p w:rsidR="005C664D" w:rsidRPr="003F3B94" w:rsidRDefault="003D6690" w:rsidP="003F3B94">
      <w:pPr>
        <w:pStyle w:val="a0"/>
        <w:rPr>
          <w:rFonts w:hint="cs"/>
          <w:rtl/>
          <w:lang w:bidi="ar-SY"/>
        </w:rPr>
      </w:pPr>
      <w:r w:rsidRPr="003F3B94">
        <w:rPr>
          <w:rFonts w:ascii="Abo-thar" w:hAnsi="Abo-thar" w:hint="cs"/>
          <w:sz w:val="28"/>
          <w:rtl/>
          <w:lang w:bidi="ar-SY"/>
        </w:rPr>
        <w:t>1</w:t>
      </w:r>
      <w:r w:rsidR="00217AB4" w:rsidRPr="003F3B94">
        <w:rPr>
          <w:rFonts w:ascii="Abo-thar" w:hAnsi="Abo-thar" w:hint="cs"/>
          <w:sz w:val="28"/>
          <w:rtl/>
          <w:lang w:bidi="ar-SY"/>
        </w:rPr>
        <w:t>-</w:t>
      </w:r>
      <w:r w:rsidR="005C664D" w:rsidRPr="003F3B94">
        <w:rPr>
          <w:rFonts w:ascii="Abo-thar" w:hAnsi="Abo-thar" w:hint="cs"/>
          <w:sz w:val="28"/>
          <w:rtl/>
          <w:lang w:bidi="ar-SY"/>
        </w:rPr>
        <w:t xml:space="preserve"> </w:t>
      </w:r>
      <w:r w:rsidR="007B5F29" w:rsidRPr="003F3B94">
        <w:rPr>
          <w:rFonts w:ascii="Abo-thar" w:hAnsi="Abo-thar" w:hint="cs"/>
          <w:sz w:val="28"/>
          <w:rtl/>
          <w:lang w:bidi="ar-SY"/>
        </w:rPr>
        <w:t>في «التهذيب» أيضاً للشيخ الطوسي</w:t>
      </w:r>
      <w:r w:rsidR="005C664D" w:rsidRPr="003F3B94">
        <w:rPr>
          <w:rFonts w:ascii="Abo-thar" w:hAnsi="Abo-thar" w:hint="cs"/>
          <w:sz w:val="28"/>
          <w:rtl/>
          <w:lang w:bidi="ar-SY"/>
        </w:rPr>
        <w:t xml:space="preserve"> وفي «من لا يحضره الفقيه» بالإسناد</w:t>
      </w:r>
      <w:r w:rsidR="00217AB4" w:rsidRPr="003F3B94">
        <w:rPr>
          <w:rFonts w:ascii="Abo-thar" w:hAnsi="Abo-thar" w:hint="cs"/>
          <w:sz w:val="28"/>
          <w:rtl/>
          <w:lang w:bidi="ar-SY"/>
        </w:rPr>
        <w:t>:</w:t>
      </w:r>
      <w:r w:rsidR="005C664D" w:rsidRPr="003F3B94">
        <w:rPr>
          <w:rFonts w:ascii="Abo-thar" w:hAnsi="Abo-thar" w:hint="cs"/>
          <w:sz w:val="28"/>
          <w:rtl/>
          <w:lang w:bidi="ar-SY"/>
        </w:rPr>
        <w:t xml:space="preserve"> </w:t>
      </w:r>
      <w:r w:rsidR="00EF2588" w:rsidRPr="00394385">
        <w:rPr>
          <w:rFonts w:ascii="Abo-thar" w:hAnsi="Abo-thar" w:cs="KFGQPC Uthman Taha Naskh" w:hint="cs"/>
          <w:sz w:val="28"/>
          <w:rtl/>
          <w:lang w:bidi="ar-SY"/>
        </w:rPr>
        <w:t>«</w:t>
      </w:r>
      <w:r w:rsidR="00217AB4" w:rsidRPr="00394385">
        <w:rPr>
          <w:rFonts w:ascii="Abo-thar" w:hAnsi="Abo-thar" w:cs="KFGQPC Uthman Taha Naskh" w:hint="cs"/>
          <w:sz w:val="28"/>
          <w:rtl/>
          <w:lang w:bidi="ar-SY"/>
        </w:rPr>
        <w:t>...</w:t>
      </w:r>
      <w:r w:rsidR="005C664D" w:rsidRPr="00394385">
        <w:rPr>
          <w:rFonts w:ascii="Abo-thar" w:hAnsi="Abo-thar" w:cs="KFGQPC Uthman Taha Naskh" w:hint="cs"/>
          <w:sz w:val="28"/>
          <w:rtl/>
          <w:lang w:bidi="ar-SY"/>
        </w:rPr>
        <w:t xml:space="preserve"> </w:t>
      </w:r>
      <w:r w:rsidR="005C664D" w:rsidRPr="00394385">
        <w:rPr>
          <w:rFonts w:ascii="Abo-thar" w:hAnsi="Abo-thar" w:cs="KFGQPC Uthman Taha Naskh" w:hint="cs"/>
          <w:bCs/>
          <w:sz w:val="28"/>
          <w:rtl/>
          <w:lang w:bidi="ar-SY"/>
        </w:rPr>
        <w:t>ع</w:t>
      </w:r>
      <w:r w:rsidR="005C664D" w:rsidRPr="00394385">
        <w:rPr>
          <w:rFonts w:ascii="Abo-thar" w:hAnsi="Abo-thar" w:cs="KFGQPC Uthman Taha Naskh"/>
          <w:bCs/>
          <w:sz w:val="28"/>
          <w:rtl/>
          <w:lang w:bidi="ar-SY"/>
        </w:rPr>
        <w:t>َنْ عَلِيِّ بْنِ مَهْزِيَارَ أَنَّهُ قَالَ</w:t>
      </w:r>
      <w:r w:rsidR="00217AB4" w:rsidRPr="00394385">
        <w:rPr>
          <w:rFonts w:ascii="Abo-thar" w:hAnsi="Abo-thar" w:cs="KFGQPC Uthman Taha Naskh" w:hint="cs"/>
          <w:bCs/>
          <w:sz w:val="28"/>
          <w:rtl/>
          <w:lang w:bidi="ar-SY"/>
        </w:rPr>
        <w:t>:</w:t>
      </w:r>
      <w:r w:rsidR="005C664D" w:rsidRPr="00394385">
        <w:rPr>
          <w:rFonts w:ascii="Abo-thar" w:hAnsi="Abo-thar" w:cs="KFGQPC Uthman Taha Naskh"/>
          <w:bCs/>
          <w:sz w:val="28"/>
          <w:rtl/>
          <w:lang w:bidi="ar-SY"/>
        </w:rPr>
        <w:t xml:space="preserve"> قَرَأْتُ فِي كِتَابٍ لِأَبِي جَعْفَرٍ </w:t>
      </w:r>
      <w:r w:rsidR="00BC4BA9" w:rsidRPr="00BC4BA9">
        <w:rPr>
          <w:rFonts w:ascii="Abo-thar" w:hAnsi="Abo-thar" w:cs="CTraditional Arabic"/>
          <w:sz w:val="28"/>
          <w:rtl/>
          <w:lang w:bidi="ar-SY"/>
        </w:rPr>
        <w:t>÷</w:t>
      </w:r>
      <w:r w:rsidR="005C664D" w:rsidRPr="00394385">
        <w:rPr>
          <w:rFonts w:ascii="Abo-thar" w:hAnsi="Abo-thar" w:cs="KFGQPC Uthman Taha Naskh"/>
          <w:bCs/>
          <w:sz w:val="28"/>
          <w:rtl/>
          <w:lang w:bidi="ar-SY"/>
        </w:rPr>
        <w:t xml:space="preserve"> إِلَى رَجُلٍ يَسْأَلُهُ أَنْ يَجْعَلَهُ فِي حِلٍّ مِنْ مَأْكَلِهِ ومَشْرَبِهِ مِنَ الخُمُسِ فَكَتَبَ </w:t>
      </w:r>
      <w:r w:rsidR="00BC4BA9" w:rsidRPr="00BC4BA9">
        <w:rPr>
          <w:rFonts w:ascii="Abo-thar" w:hAnsi="Abo-thar" w:cs="CTraditional Arabic"/>
          <w:sz w:val="28"/>
          <w:rtl/>
          <w:lang w:bidi="ar-SY"/>
        </w:rPr>
        <w:t>÷</w:t>
      </w:r>
      <w:r w:rsidR="005C664D" w:rsidRPr="00394385">
        <w:rPr>
          <w:rFonts w:ascii="Abo-thar" w:hAnsi="Abo-thar" w:cs="KFGQPC Uthman Taha Naskh"/>
          <w:bCs/>
          <w:sz w:val="28"/>
          <w:rtl/>
          <w:lang w:bidi="ar-SY"/>
        </w:rPr>
        <w:t xml:space="preserve"> بِخَطِّهِ مَنْ أَعْوَزَهُ شَيْ‏ءٌ مِنْ حَقِّي فَهُوَ فِي حِ</w:t>
      </w:r>
      <w:r w:rsidR="005C664D" w:rsidRPr="00394385">
        <w:rPr>
          <w:rFonts w:ascii="Abo-thar" w:hAnsi="Abo-thar" w:cs="KFGQPC Uthman Taha Naskh" w:hint="cs"/>
          <w:bCs/>
          <w:sz w:val="28"/>
          <w:rtl/>
          <w:lang w:bidi="ar-SY"/>
        </w:rPr>
        <w:t>لّ</w:t>
      </w:r>
      <w:r w:rsidR="005C664D" w:rsidRPr="00394385">
        <w:rPr>
          <w:rFonts w:ascii="Abo-thar" w:hAnsi="Abo-thar" w:cs="KFGQPC Uthman Taha Naskh"/>
          <w:sz w:val="28"/>
          <w:rtl/>
          <w:lang w:bidi="ar-SY"/>
        </w:rPr>
        <w:t>‏</w:t>
      </w:r>
      <w:r w:rsidR="005C664D" w:rsidRPr="00394385">
        <w:rPr>
          <w:rFonts w:ascii="Abo-thar" w:hAnsi="Abo-thar" w:cs="KFGQPC Uthman Taha Naskh" w:hint="cs"/>
          <w:sz w:val="28"/>
          <w:rtl/>
          <w:lang w:bidi="ar-SY"/>
        </w:rPr>
        <w:t>ّ</w:t>
      </w:r>
      <w:r w:rsidR="00EF2588" w:rsidRPr="00394385">
        <w:rPr>
          <w:rFonts w:ascii="Abo-thar" w:hAnsi="Abo-thar" w:cs="KFGQPC Uthman Taha Naskh" w:hint="cs"/>
          <w:sz w:val="28"/>
          <w:rtl/>
          <w:lang w:bidi="ar-SY"/>
        </w:rPr>
        <w:t>»</w:t>
      </w:r>
      <w:r w:rsidR="00CF46B9" w:rsidRPr="0021507A">
        <w:rPr>
          <w:rFonts w:ascii="Abo-thar" w:hAnsi="Abo-thar" w:cs="Arabic11 BT"/>
          <w:sz w:val="28"/>
          <w:vertAlign w:val="superscript"/>
          <w:rtl/>
          <w:lang w:bidi="ar-SY"/>
        </w:rPr>
        <w:t>(</w:t>
      </w:r>
      <w:r w:rsidR="00CF46B9" w:rsidRPr="0021507A">
        <w:rPr>
          <w:rStyle w:val="FootnoteReference"/>
          <w:rFonts w:ascii="Abo-thar" w:hAnsi="Abo-thar" w:cs="Arabic11 BT"/>
          <w:sz w:val="28"/>
          <w:rtl/>
          <w:lang w:bidi="ar-SY"/>
        </w:rPr>
        <w:footnoteReference w:id="358"/>
      </w:r>
      <w:r w:rsidR="00CF46B9" w:rsidRPr="0021507A">
        <w:rPr>
          <w:rFonts w:ascii="Abo-thar" w:hAnsi="Abo-thar" w:cs="Arabic11 BT"/>
          <w:sz w:val="28"/>
          <w:vertAlign w:val="superscript"/>
          <w:rtl/>
          <w:lang w:bidi="ar-SY"/>
        </w:rPr>
        <w:t>)</w:t>
      </w:r>
      <w:r w:rsidR="00217AB4" w:rsidRPr="003F3B94">
        <w:rPr>
          <w:rFonts w:ascii="Abo-thar" w:hAnsi="Abo-thar" w:hint="cs"/>
          <w:sz w:val="28"/>
          <w:rtl/>
          <w:lang w:bidi="ar-SY"/>
        </w:rPr>
        <w:t>.</w:t>
      </w:r>
    </w:p>
    <w:p w:rsidR="009C22A2" w:rsidRPr="00254729" w:rsidRDefault="003D6690" w:rsidP="003F3B94">
      <w:pPr>
        <w:pStyle w:val="a0"/>
        <w:rPr>
          <w:rFonts w:hint="cs"/>
          <w:spacing w:val="-4"/>
          <w:rtl/>
          <w:lang w:bidi="fa-IR"/>
        </w:rPr>
      </w:pPr>
      <w:r w:rsidRPr="00254729">
        <w:rPr>
          <w:rFonts w:ascii="Abo-thar" w:hAnsi="Abo-thar" w:hint="cs"/>
          <w:spacing w:val="-4"/>
          <w:sz w:val="28"/>
          <w:rtl/>
          <w:lang w:bidi="ar-SY"/>
        </w:rPr>
        <w:t>2</w:t>
      </w:r>
      <w:r w:rsidR="009C22A2" w:rsidRPr="00254729">
        <w:rPr>
          <w:rFonts w:ascii="Abo-thar" w:hAnsi="Abo-thar" w:hint="cs"/>
          <w:spacing w:val="-4"/>
          <w:sz w:val="28"/>
          <w:rtl/>
          <w:lang w:bidi="ar-SY"/>
        </w:rPr>
        <w:t xml:space="preserve">- </w:t>
      </w:r>
      <w:r w:rsidR="007B5F29" w:rsidRPr="00254729">
        <w:rPr>
          <w:rFonts w:ascii="Abo-thar" w:hAnsi="Abo-thar" w:hint="cs"/>
          <w:spacing w:val="-4"/>
          <w:sz w:val="28"/>
          <w:rtl/>
          <w:lang w:bidi="ar-SY"/>
        </w:rPr>
        <w:t>و</w:t>
      </w:r>
      <w:r w:rsidR="009C22A2" w:rsidRPr="00254729">
        <w:rPr>
          <w:rFonts w:ascii="Abo-thar" w:hAnsi="Abo-thar" w:hint="cs"/>
          <w:spacing w:val="-4"/>
          <w:sz w:val="28"/>
          <w:rtl/>
          <w:lang w:bidi="ar-SY"/>
        </w:rPr>
        <w:t xml:space="preserve">في </w:t>
      </w:r>
      <w:r w:rsidR="009C22A2" w:rsidRPr="00254729">
        <w:rPr>
          <w:rFonts w:ascii="Abo-thar" w:hAnsi="Abo-thar"/>
          <w:spacing w:val="-4"/>
          <w:sz w:val="28"/>
          <w:rtl/>
          <w:lang w:bidi="ar-SY"/>
        </w:rPr>
        <w:t>«</w:t>
      </w:r>
      <w:r w:rsidR="009C22A2" w:rsidRPr="00254729">
        <w:rPr>
          <w:rFonts w:ascii="Abo-thar" w:hAnsi="Abo-thar" w:hint="cs"/>
          <w:spacing w:val="-4"/>
          <w:sz w:val="28"/>
          <w:rtl/>
          <w:lang w:bidi="ar-SY"/>
        </w:rPr>
        <w:t>ال</w:t>
      </w:r>
      <w:r w:rsidR="009C22A2" w:rsidRPr="00254729">
        <w:rPr>
          <w:rFonts w:ascii="Abo-thar" w:hAnsi="Abo-thar"/>
          <w:spacing w:val="-4"/>
          <w:sz w:val="28"/>
          <w:rtl/>
          <w:lang w:bidi="ar-SY"/>
        </w:rPr>
        <w:t>تهذيب»</w:t>
      </w:r>
      <w:r w:rsidR="009C22A2" w:rsidRPr="00254729">
        <w:rPr>
          <w:rFonts w:ascii="Abo-thar" w:hAnsi="Abo-thar" w:hint="cs"/>
          <w:spacing w:val="-4"/>
          <w:sz w:val="28"/>
          <w:rtl/>
          <w:lang w:bidi="ar-SY"/>
        </w:rPr>
        <w:t xml:space="preserve"> </w:t>
      </w:r>
      <w:r w:rsidR="007B5F29" w:rsidRPr="00254729">
        <w:rPr>
          <w:rFonts w:ascii="Abo-thar" w:hAnsi="Abo-thar" w:hint="cs"/>
          <w:spacing w:val="-4"/>
          <w:sz w:val="28"/>
          <w:rtl/>
          <w:lang w:bidi="ar-SY"/>
        </w:rPr>
        <w:t>و</w:t>
      </w:r>
      <w:r w:rsidR="009C22A2" w:rsidRPr="00254729">
        <w:rPr>
          <w:rFonts w:ascii="Abo-thar" w:hAnsi="Abo-thar"/>
          <w:spacing w:val="-4"/>
          <w:sz w:val="28"/>
          <w:rtl/>
          <w:lang w:bidi="ar-SY"/>
        </w:rPr>
        <w:t>«ا</w:t>
      </w:r>
      <w:r w:rsidR="009C22A2" w:rsidRPr="00254729">
        <w:rPr>
          <w:rFonts w:ascii="Abo-thar" w:hAnsi="Abo-thar" w:hint="cs"/>
          <w:spacing w:val="-4"/>
          <w:sz w:val="28"/>
          <w:rtl/>
          <w:lang w:bidi="ar-SY"/>
        </w:rPr>
        <w:t>لا</w:t>
      </w:r>
      <w:r w:rsidR="009C22A2" w:rsidRPr="00254729">
        <w:rPr>
          <w:rFonts w:ascii="Abo-thar" w:hAnsi="Abo-thar"/>
          <w:spacing w:val="-4"/>
          <w:sz w:val="28"/>
          <w:rtl/>
          <w:lang w:bidi="ar-SY"/>
        </w:rPr>
        <w:t>ستبصار»</w:t>
      </w:r>
      <w:r w:rsidR="009C22A2" w:rsidRPr="00254729">
        <w:rPr>
          <w:rFonts w:ascii="Abo-thar" w:hAnsi="Abo-thar" w:hint="cs"/>
          <w:spacing w:val="-4"/>
          <w:sz w:val="28"/>
          <w:rtl/>
          <w:lang w:bidi="ar-SY"/>
        </w:rPr>
        <w:t>، مما ورد في الكتاب المفصل الذي كتبه الإمام محمد التقي</w:t>
      </w:r>
      <w:r w:rsidR="009C22A2" w:rsidRPr="00254729">
        <w:rPr>
          <w:rFonts w:ascii="Abo-thar" w:hAnsi="Abo-thar" w:hint="cs"/>
          <w:spacing w:val="-4"/>
          <w:sz w:val="28"/>
          <w:rtl/>
          <w:lang w:bidi="ar-SY"/>
        </w:rPr>
        <w:sym w:font="AGA Arabesque" w:char="F075"/>
      </w:r>
      <w:r w:rsidR="009C22A2" w:rsidRPr="00254729">
        <w:rPr>
          <w:rFonts w:ascii="Abo-thar" w:hAnsi="Abo-thar" w:hint="cs"/>
          <w:spacing w:val="-4"/>
          <w:sz w:val="28"/>
          <w:rtl/>
          <w:lang w:bidi="ar-SY"/>
        </w:rPr>
        <w:t xml:space="preserve"> إلى علي بن مهزيار، نقرأ فيه</w:t>
      </w:r>
      <w:r w:rsidR="009C22A2" w:rsidRPr="00254729">
        <w:rPr>
          <w:rFonts w:ascii="Abo-thar" w:hAnsi="Abo-thar"/>
          <w:spacing w:val="-4"/>
          <w:sz w:val="28"/>
          <w:rtl/>
          <w:lang w:bidi="ar-SY"/>
        </w:rPr>
        <w:t>:</w:t>
      </w:r>
      <w:r w:rsidR="009C22A2" w:rsidRPr="00254729">
        <w:rPr>
          <w:rFonts w:ascii="Abo-thar" w:hAnsi="Abo-thar" w:hint="cs"/>
          <w:spacing w:val="-4"/>
          <w:sz w:val="28"/>
          <w:rtl/>
          <w:lang w:bidi="ar-SY"/>
        </w:rPr>
        <w:t xml:space="preserve"> </w:t>
      </w:r>
      <w:r w:rsidR="009C22A2" w:rsidRPr="00254729">
        <w:rPr>
          <w:rFonts w:cs="KFGQPC Uthman Taha Naskh" w:hint="cs"/>
          <w:spacing w:val="-4"/>
          <w:rtl/>
          <w:lang w:bidi="fa-IR"/>
        </w:rPr>
        <w:t>«</w:t>
      </w:r>
      <w:r w:rsidR="009C22A2" w:rsidRPr="00254729">
        <w:rPr>
          <w:rStyle w:val="Char"/>
          <w:spacing w:val="-4"/>
          <w:rtl/>
          <w:lang w:bidi="fa-IR"/>
        </w:rPr>
        <w:t>...</w:t>
      </w:r>
      <w:r w:rsidR="009C22A2" w:rsidRPr="00254729">
        <w:rPr>
          <w:rStyle w:val="Char"/>
          <w:rFonts w:hint="cs"/>
          <w:spacing w:val="-4"/>
          <w:rtl/>
          <w:lang w:bidi="fa-IR"/>
        </w:rPr>
        <w:t xml:space="preserve"> </w:t>
      </w:r>
      <w:r w:rsidR="009C22A2" w:rsidRPr="00254729">
        <w:rPr>
          <w:rStyle w:val="Char"/>
          <w:spacing w:val="-4"/>
          <w:rtl/>
          <w:lang w:bidi="fa-IR"/>
        </w:rPr>
        <w:t>ولَمْ أُوجِبْ ذَلِكَ عَلَيْهِمْ فِي كُلِّ عَامٍ ولَا أُوجِبُ عَلَيْهِمْ إِلَّا الزَّكَاةَ الَّتِي فَرَضَهَا اللهُ عَلَيْهِمْ وإِنَّمَا أَوْجَبْتُ عَلَيْهِمُ الخُمُسَ فِي سَنَتِي هَذِهِ فِي الذَّهَبِ والْفِضَّةِ الَّتِي قَدْ حَالَ عَلَيْهَا الحَوْلُ ولَمْ أُوجِبْ ذَلِكَ عَلَيْهِمْ فِي مَتَاعٍ ولَا آنِيَةٍ ولَا دَوَابَّ ولَا خَدَمٍ ولَا رِبْحٍ رَبِحَهُ فِي تِجَارَةٍ ولَا ضَيْعَةٍ... تَخْفِيفاً مِنِّي عَنْ مَوَالِيَّ ومَنّاً مِنِّي عَلَيْهِمْ</w:t>
      </w:r>
      <w:r w:rsidR="009C22A2" w:rsidRPr="00254729">
        <w:rPr>
          <w:rFonts w:cs="KFGQPC Uthman Taha Naskh" w:hint="cs"/>
          <w:spacing w:val="-4"/>
          <w:rtl/>
          <w:lang w:bidi="fa-IR"/>
        </w:rPr>
        <w:t>»</w:t>
      </w:r>
      <w:r w:rsidR="00CF46B9" w:rsidRPr="00254729">
        <w:rPr>
          <w:rFonts w:ascii="Abo-thar" w:hAnsi="Abo-thar" w:cs="Arabic11 BT"/>
          <w:spacing w:val="-4"/>
          <w:sz w:val="28"/>
          <w:vertAlign w:val="superscript"/>
          <w:rtl/>
          <w:lang w:bidi="ar-SY"/>
        </w:rPr>
        <w:t>(</w:t>
      </w:r>
      <w:r w:rsidR="00CF46B9" w:rsidRPr="00254729">
        <w:rPr>
          <w:rFonts w:ascii="Abo-thar" w:hAnsi="Abo-thar" w:cs="Arabic11 BT"/>
          <w:spacing w:val="-4"/>
          <w:sz w:val="28"/>
          <w:vertAlign w:val="superscript"/>
          <w:rtl/>
          <w:lang w:bidi="ar-SY"/>
        </w:rPr>
        <w:footnoteReference w:id="359"/>
      </w:r>
      <w:r w:rsidR="00CF46B9" w:rsidRPr="00254729">
        <w:rPr>
          <w:rFonts w:ascii="Abo-thar" w:hAnsi="Abo-thar" w:cs="Arabic11 BT"/>
          <w:spacing w:val="-4"/>
          <w:sz w:val="28"/>
          <w:vertAlign w:val="superscript"/>
          <w:rtl/>
          <w:lang w:bidi="ar-SY"/>
        </w:rPr>
        <w:t>)</w:t>
      </w:r>
      <w:r w:rsidR="009C22A2" w:rsidRPr="00254729">
        <w:rPr>
          <w:rFonts w:cs="B Lotus" w:hint="cs"/>
          <w:spacing w:val="-4"/>
          <w:rtl/>
          <w:lang w:bidi="fa-IR"/>
        </w:rPr>
        <w:t>.</w:t>
      </w:r>
    </w:p>
    <w:p w:rsidR="003D6690" w:rsidRPr="00995B26" w:rsidRDefault="003D6690" w:rsidP="003C671C">
      <w:pPr>
        <w:pStyle w:val="a6"/>
        <w:rPr>
          <w:rFonts w:hint="cs"/>
          <w:rtl/>
        </w:rPr>
      </w:pPr>
      <w:bookmarkStart w:id="113" w:name="_Toc387843084"/>
      <w:r w:rsidRPr="00995B26">
        <w:rPr>
          <w:rFonts w:hint="cs"/>
          <w:rtl/>
        </w:rPr>
        <w:t>6- إمام الزمان</w:t>
      </w:r>
      <w:bookmarkEnd w:id="113"/>
    </w:p>
    <w:p w:rsidR="005C664D" w:rsidRPr="003F3B94" w:rsidRDefault="005C664D" w:rsidP="003F3B94">
      <w:pPr>
        <w:pStyle w:val="a0"/>
        <w:rPr>
          <w:rFonts w:hint="cs"/>
          <w:rtl/>
          <w:lang w:bidi="ar-SY"/>
        </w:rPr>
      </w:pPr>
      <w:r w:rsidRPr="003F3B94">
        <w:rPr>
          <w:rFonts w:ascii="Abo-thar" w:hAnsi="Abo-thar" w:hint="cs"/>
          <w:sz w:val="28"/>
          <w:rtl/>
          <w:lang w:bidi="ar-SY"/>
        </w:rPr>
        <w:t>في «إكمال الدين» للشيخ الصدوق</w:t>
      </w:r>
      <w:r w:rsidR="00217AB4" w:rsidRPr="003F3B94">
        <w:rPr>
          <w:rFonts w:ascii="Abo-thar" w:hAnsi="Abo-thar" w:hint="cs"/>
          <w:sz w:val="28"/>
          <w:rtl/>
          <w:lang w:bidi="ar-SY"/>
        </w:rPr>
        <w:t>،</w:t>
      </w:r>
      <w:r w:rsidRPr="003F3B94">
        <w:rPr>
          <w:rFonts w:ascii="Abo-thar" w:hAnsi="Abo-thar" w:hint="cs"/>
          <w:sz w:val="28"/>
          <w:rtl/>
          <w:lang w:bidi="ar-SY"/>
        </w:rPr>
        <w:t xml:space="preserve"> و</w:t>
      </w:r>
      <w:r w:rsidRPr="003F3B94">
        <w:rPr>
          <w:rFonts w:ascii="Abo-thar" w:hAnsi="Abo-thar"/>
          <w:sz w:val="28"/>
          <w:rtl/>
          <w:lang w:bidi="ar-SY"/>
        </w:rPr>
        <w:t>«</w:t>
      </w:r>
      <w:r w:rsidRPr="003F3B94">
        <w:rPr>
          <w:rFonts w:ascii="Abo-thar" w:hAnsi="Abo-thar" w:hint="cs"/>
          <w:sz w:val="28"/>
          <w:rtl/>
          <w:lang w:bidi="ar-SY"/>
        </w:rPr>
        <w:t>الاحتجاج</w:t>
      </w:r>
      <w:r w:rsidRPr="003F3B94">
        <w:rPr>
          <w:rFonts w:ascii="Abo-thar" w:hAnsi="Abo-thar"/>
          <w:sz w:val="28"/>
          <w:rtl/>
          <w:lang w:bidi="ar-SY"/>
        </w:rPr>
        <w:t>»</w:t>
      </w:r>
      <w:r w:rsidRPr="003F3B94">
        <w:rPr>
          <w:rFonts w:ascii="Abo-thar" w:hAnsi="Abo-thar" w:hint="cs"/>
          <w:sz w:val="28"/>
          <w:rtl/>
          <w:lang w:bidi="ar-SY"/>
        </w:rPr>
        <w:t xml:space="preserve"> للطبرسي بالإسناد</w:t>
      </w:r>
      <w:r w:rsidR="00217AB4" w:rsidRPr="003F3B94">
        <w:rPr>
          <w:rFonts w:ascii="Abo-thar" w:hAnsi="Abo-thar" w:hint="cs"/>
          <w:sz w:val="28"/>
          <w:rtl/>
          <w:lang w:bidi="ar-SY"/>
        </w:rPr>
        <w:t>:</w:t>
      </w:r>
      <w:r w:rsidRPr="003F3B94">
        <w:rPr>
          <w:rFonts w:ascii="Abo-thar" w:hAnsi="Abo-thar" w:hint="cs"/>
          <w:sz w:val="28"/>
          <w:rtl/>
          <w:lang w:bidi="ar-SY"/>
        </w:rPr>
        <w:t xml:space="preserve"> </w:t>
      </w:r>
      <w:r w:rsidR="00EF2588" w:rsidRPr="00394385">
        <w:rPr>
          <w:rFonts w:ascii="Abo-thar" w:hAnsi="Abo-thar" w:cs="KFGQPC Uthman Taha Naskh" w:hint="cs"/>
          <w:sz w:val="28"/>
          <w:rtl/>
          <w:lang w:bidi="ar-SY"/>
        </w:rPr>
        <w:t>«</w:t>
      </w:r>
      <w:r w:rsidR="00217AB4" w:rsidRPr="00394385">
        <w:rPr>
          <w:rFonts w:ascii="Abo-thar" w:hAnsi="Abo-thar" w:cs="KFGQPC Uthman Taha Naskh" w:hint="cs"/>
          <w:sz w:val="28"/>
          <w:rtl/>
          <w:lang w:bidi="ar-SY"/>
        </w:rPr>
        <w:t>...</w:t>
      </w:r>
      <w:r w:rsidRPr="00394385">
        <w:rPr>
          <w:rFonts w:ascii="Abo-thar" w:hAnsi="Abo-thar" w:cs="KFGQPC Uthman Taha Naskh" w:hint="cs"/>
          <w:b/>
          <w:bCs/>
          <w:sz w:val="28"/>
          <w:rtl/>
          <w:lang w:bidi="ar-SY"/>
        </w:rPr>
        <w:t>عَ</w:t>
      </w:r>
      <w:r w:rsidRPr="00394385">
        <w:rPr>
          <w:rFonts w:ascii="Abo-thar" w:hAnsi="Abo-thar" w:cs="KFGQPC Uthman Taha Naskh"/>
          <w:b/>
          <w:bCs/>
          <w:sz w:val="28"/>
          <w:rtl/>
          <w:lang w:bidi="ar-SY"/>
        </w:rPr>
        <w:t xml:space="preserve">نْ إِسْحَاقَ بْنِ يَعْقُوبَ فِيمَا وَرَدَ عَلَيْهِ مِنَ التَّوْقِيعَاتِ بِخَطِّ صَاحِبِ الزَّمَانِ </w:t>
      </w:r>
      <w:r w:rsidR="00BC4BA9" w:rsidRPr="00BC4BA9">
        <w:rPr>
          <w:rFonts w:ascii="Abo-thar" w:hAnsi="Abo-thar" w:cs="CTraditional Arabic"/>
          <w:b/>
          <w:sz w:val="28"/>
          <w:rtl/>
          <w:lang w:bidi="ar-SY"/>
        </w:rPr>
        <w:t>÷</w:t>
      </w:r>
      <w:r w:rsidRPr="00394385">
        <w:rPr>
          <w:rFonts w:ascii="Abo-thar" w:hAnsi="Abo-thar" w:cs="KFGQPC Uthman Taha Naskh"/>
          <w:b/>
          <w:bCs/>
          <w:sz w:val="28"/>
          <w:rtl/>
          <w:lang w:bidi="ar-SY"/>
        </w:rPr>
        <w:t xml:space="preserve"> أَمَّا مَا سَأَلْتَ عَنْهُ مِنْ أَمْرِ المُنْكِرِينَ لِي إِلَى أَنْ قَالَ</w:t>
      </w:r>
      <w:r w:rsidR="00217AB4" w:rsidRPr="00394385">
        <w:rPr>
          <w:rFonts w:ascii="Abo-thar" w:hAnsi="Abo-thar" w:cs="KFGQPC Uthman Taha Naskh" w:hint="cs"/>
          <w:b/>
          <w:bCs/>
          <w:sz w:val="28"/>
          <w:rtl/>
          <w:lang w:bidi="ar-SY"/>
        </w:rPr>
        <w:t>:</w:t>
      </w:r>
      <w:r w:rsidRPr="00394385">
        <w:rPr>
          <w:rFonts w:ascii="Abo-thar" w:hAnsi="Abo-thar" w:cs="KFGQPC Uthman Taha Naskh"/>
          <w:b/>
          <w:bCs/>
          <w:sz w:val="28"/>
          <w:rtl/>
          <w:lang w:bidi="ar-SY"/>
        </w:rPr>
        <w:t xml:space="preserve"> وأَمَّا المُتَلَبِّسُونَ بِأَمْوَالِنَا فَمَنِ اسْتَحَلَّ مِنْهَا شَيْئاً فَأَكَلَهُ فَإِنَّمَا يَأْكُلُ النِّيرَانَ وأَمَّا الخُمُسُ فَقَدْ أُبِيحَ لِشِيعَتِنَا وجُعِلُوا </w:t>
      </w:r>
      <w:r w:rsidRPr="00394385">
        <w:rPr>
          <w:rFonts w:ascii="Abo-thar" w:hAnsi="Abo-thar" w:cs="KFGQPC Uthman Taha Naskh"/>
          <w:sz w:val="28"/>
          <w:rtl/>
          <w:lang w:bidi="ar-SY"/>
        </w:rPr>
        <w:t>مِنْهُ فِي حِلٍّ إِلَى أَنْ يَظْهَرَ أَمْرُنَا لِتَطِيبَ وِلَادَتُهُمْ ولَا تَخْبُثَ</w:t>
      </w:r>
      <w:r w:rsidR="00EF2588" w:rsidRPr="00394385">
        <w:rPr>
          <w:rFonts w:ascii="Abo-thar" w:hAnsi="Abo-thar" w:cs="KFGQPC Uthman Taha Naskh" w:hint="cs"/>
          <w:sz w:val="28"/>
          <w:rtl/>
          <w:lang w:bidi="ar-SY"/>
        </w:rPr>
        <w:t>»</w:t>
      </w:r>
      <w:r w:rsidR="007B5F29" w:rsidRPr="0021507A">
        <w:rPr>
          <w:rFonts w:ascii="Abo-thar" w:hAnsi="Abo-thar" w:cs="Arabic11 BT"/>
          <w:sz w:val="28"/>
          <w:vertAlign w:val="superscript"/>
          <w:rtl/>
          <w:lang w:bidi="ar-SY"/>
        </w:rPr>
        <w:t>(</w:t>
      </w:r>
      <w:r w:rsidR="007B5F29" w:rsidRPr="0021507A">
        <w:rPr>
          <w:rStyle w:val="FootnoteReference"/>
          <w:rFonts w:ascii="Abo-thar" w:hAnsi="Abo-thar" w:cs="Arabic11 BT"/>
          <w:sz w:val="28"/>
          <w:rtl/>
          <w:lang w:bidi="ar-SY"/>
        </w:rPr>
        <w:footnoteReference w:id="360"/>
      </w:r>
      <w:r w:rsidR="007B5F29" w:rsidRPr="0021507A">
        <w:rPr>
          <w:rFonts w:ascii="Abo-thar" w:hAnsi="Abo-thar" w:cs="Arabic11 BT"/>
          <w:sz w:val="28"/>
          <w:vertAlign w:val="superscript"/>
          <w:rtl/>
          <w:lang w:bidi="ar-SY"/>
        </w:rPr>
        <w:t>)</w:t>
      </w:r>
      <w:r w:rsidR="00217AB4" w:rsidRPr="003F3B94">
        <w:rPr>
          <w:rFonts w:ascii="Abo-thar" w:hAnsi="Abo-thar" w:hint="cs"/>
          <w:sz w:val="28"/>
          <w:rtl/>
          <w:lang w:bidi="ar-SY"/>
        </w:rPr>
        <w:t>.</w:t>
      </w:r>
      <w:r w:rsidR="00542D29" w:rsidRPr="003F3B94">
        <w:rPr>
          <w:rFonts w:ascii="Abo-thar" w:hAnsi="Abo-thar" w:hint="cs"/>
          <w:sz w:val="28"/>
          <w:rtl/>
          <w:lang w:bidi="ar-SY"/>
        </w:rPr>
        <w:t xml:space="preserve">  </w:t>
      </w:r>
      <w:r w:rsidRPr="003F3B94">
        <w:rPr>
          <w:rFonts w:ascii="Abo-thar" w:hAnsi="Abo-thar" w:hint="cs"/>
          <w:sz w:val="28"/>
          <w:rtl/>
          <w:lang w:bidi="ar-SY"/>
        </w:rPr>
        <w:t>وفي «البحار» و</w:t>
      </w:r>
      <w:r w:rsidRPr="003F3B94">
        <w:rPr>
          <w:rFonts w:ascii="Abo-thar" w:hAnsi="Abo-thar"/>
          <w:sz w:val="28"/>
          <w:rtl/>
          <w:lang w:bidi="ar-SY"/>
        </w:rPr>
        <w:t>«</w:t>
      </w:r>
      <w:r w:rsidRPr="003F3B94">
        <w:rPr>
          <w:rFonts w:ascii="Abo-thar" w:hAnsi="Abo-thar" w:hint="cs"/>
          <w:sz w:val="28"/>
          <w:rtl/>
          <w:lang w:bidi="ar-SY"/>
        </w:rPr>
        <w:t>الاحتجاج</w:t>
      </w:r>
      <w:r w:rsidRPr="003F3B94">
        <w:rPr>
          <w:rFonts w:ascii="Abo-thar" w:hAnsi="Abo-thar"/>
          <w:sz w:val="28"/>
          <w:rtl/>
          <w:lang w:bidi="ar-SY"/>
        </w:rPr>
        <w:t>»</w:t>
      </w:r>
      <w:r w:rsidRPr="003F3B94">
        <w:rPr>
          <w:rFonts w:ascii="Abo-thar" w:hAnsi="Abo-thar" w:hint="cs"/>
          <w:sz w:val="28"/>
          <w:rtl/>
          <w:lang w:bidi="ar-SY"/>
        </w:rPr>
        <w:t xml:space="preserve"> عبارة </w:t>
      </w:r>
      <w:r w:rsidRPr="003F3B94">
        <w:rPr>
          <w:rFonts w:ascii="Abo-thar" w:hAnsi="Abo-thar"/>
          <w:sz w:val="28"/>
          <w:rtl/>
          <w:lang w:bidi="ar-SY"/>
        </w:rPr>
        <w:t>«</w:t>
      </w:r>
      <w:r w:rsidRPr="003F3B94">
        <w:rPr>
          <w:rFonts w:ascii="Abo-thar" w:hAnsi="Abo-thar" w:hint="cs"/>
          <w:sz w:val="28"/>
          <w:rtl/>
          <w:lang w:bidi="ar-SY"/>
        </w:rPr>
        <w:t>إلى وقت ظهورنا</w:t>
      </w:r>
      <w:r w:rsidRPr="003F3B94">
        <w:rPr>
          <w:rFonts w:ascii="Abo-thar" w:hAnsi="Abo-thar"/>
          <w:sz w:val="28"/>
          <w:rtl/>
          <w:lang w:bidi="ar-SY"/>
        </w:rPr>
        <w:t>»</w:t>
      </w:r>
      <w:r w:rsidRPr="003F3B94">
        <w:rPr>
          <w:rFonts w:ascii="Abo-thar" w:hAnsi="Abo-thar" w:hint="cs"/>
          <w:sz w:val="28"/>
          <w:rtl/>
          <w:lang w:bidi="ar-SY"/>
        </w:rPr>
        <w:t xml:space="preserve"> بدلاً من </w:t>
      </w:r>
      <w:r w:rsidRPr="00394385">
        <w:rPr>
          <w:rFonts w:ascii="Abo-thar" w:hAnsi="Abo-thar" w:cs="KFGQPC Uthman Taha Naskh" w:hint="cs"/>
          <w:sz w:val="28"/>
          <w:rtl/>
          <w:lang w:bidi="ar-SY"/>
        </w:rPr>
        <w:t>«</w:t>
      </w:r>
      <w:r w:rsidRPr="00394385">
        <w:rPr>
          <w:rFonts w:ascii="Abo-thar" w:hAnsi="Abo-thar" w:cs="KFGQPC Uthman Taha Naskh"/>
          <w:sz w:val="28"/>
          <w:rtl/>
          <w:lang w:bidi="ar-SY"/>
        </w:rPr>
        <w:t>إِلَى أَنْ يَظْهَرَ أَمْرُنَا</w:t>
      </w:r>
      <w:r w:rsidRPr="00394385">
        <w:rPr>
          <w:rFonts w:ascii="Abo-thar" w:hAnsi="Abo-thar" w:cs="KFGQPC Uthman Taha Naskh" w:hint="cs"/>
          <w:sz w:val="28"/>
          <w:rtl/>
          <w:lang w:bidi="ar-SY"/>
        </w:rPr>
        <w:t>»</w:t>
      </w:r>
      <w:r w:rsidR="00217AB4" w:rsidRPr="003F3B94">
        <w:rPr>
          <w:rFonts w:ascii="Abo-thar" w:hAnsi="Abo-thar" w:hint="cs"/>
          <w:sz w:val="28"/>
          <w:rtl/>
          <w:lang w:bidi="ar-SY"/>
        </w:rPr>
        <w:t>.</w:t>
      </w:r>
    </w:p>
    <w:p w:rsidR="003D6690" w:rsidRPr="003F3B94" w:rsidRDefault="00542D29" w:rsidP="003F3B94">
      <w:pPr>
        <w:pStyle w:val="a0"/>
        <w:rPr>
          <w:rFonts w:hint="cs"/>
          <w:rtl/>
          <w:lang w:bidi="ar-SY"/>
        </w:rPr>
      </w:pPr>
      <w:r w:rsidRPr="003F3B94">
        <w:rPr>
          <w:rFonts w:ascii="Abo-thar" w:hAnsi="Abo-thar" w:hint="cs"/>
          <w:sz w:val="28"/>
          <w:rtl/>
          <w:lang w:bidi="ar-SY"/>
        </w:rPr>
        <w:t xml:space="preserve">إذن منذ ذلك الوقت وحتى وقت ظهور إمام الزمان، أصبح خمس المال مباحاً للشيعة وحلالاً لهم، وسقط وجوب دفعه عنهم، إضافة إلى التأكيد على طيب معيشتهم و طيب ولادتهم. ولكن رغم كل هذا التأكيد لا ندري لماذا بقي من الواجب على الشيعة أن يدفعوا الخمس ويكونوا أسوأ من الكفار الذي يدفعون الجزية!! وهل من تفسير لذلك سوى أن ذلك الفريق من علماء الشيعة الذين يوجبون أداء الخمس إنما يفكرون في مصلحتهم المادية الخاصة وفي معاشهم ورفاههم المادي؟ </w:t>
      </w:r>
    </w:p>
    <w:p w:rsidR="00A81A0D" w:rsidRPr="003F3B94" w:rsidRDefault="002C20DB" w:rsidP="003F3B94">
      <w:pPr>
        <w:pStyle w:val="a0"/>
        <w:rPr>
          <w:rFonts w:hint="cs"/>
          <w:rtl/>
          <w:lang w:bidi="ar-SY"/>
        </w:rPr>
      </w:pPr>
      <w:r w:rsidRPr="003F3B94">
        <w:rPr>
          <w:rFonts w:ascii="Abo-thar" w:hAnsi="Abo-thar"/>
          <w:sz w:val="28"/>
          <w:rtl/>
          <w:lang w:bidi="ar-SY"/>
        </w:rPr>
        <w:t>إن الأحاديث الموجودة في هذا الباب أكثر مما ذكرناه في هذه الصفحات، ولكن هذا المقدار يكفي طالبَ الحقيقة، وكما ذكَّرنا سابقاً لا توجد في كتب الشيعة حول وجوب خُمْس أرباح المكاسب أكثر من عشرة أحاديث خَمْسَةٌ منها صريحة تماماً بأن خُمْسَ أرباح المكاسب خاصٌّ بشخص الإمام حصراً، وأسانيد كل تلك الأحاديث إما ضعيفةٌ أو مجهولةٌ، في حين أن أحاديث إباحة الخمس وتحليله التي جاءت في كتب الشيعة يتجاوز عددها الثلاثين حديثاً، أكثرها معتبر من حيث سنده أو على الأقل حالها أفضل من حال الأحاديث المعارضة، وعلى فرض ضعف بعضها فإنها من حيث الكثرة تفوض بعدة</w:t>
      </w:r>
      <w:r w:rsidR="00A117F0" w:rsidRPr="003F3B94">
        <w:rPr>
          <w:rFonts w:ascii="Abo-thar" w:hAnsi="Abo-thar"/>
          <w:sz w:val="28"/>
          <w:rtl/>
          <w:lang w:bidi="ar-SY"/>
        </w:rPr>
        <w:t xml:space="preserve"> أضعاف عدد أحاديث وجوب الخُمْس.</w:t>
      </w:r>
      <w:r w:rsidRPr="003F3B94">
        <w:rPr>
          <w:rFonts w:ascii="Abo-thar" w:hAnsi="Abo-thar"/>
          <w:sz w:val="28"/>
          <w:rtl/>
          <w:lang w:bidi="ar-SY"/>
        </w:rPr>
        <w:t xml:space="preserve"> هذا كلُّه إضافةً إلى شهادة آيات القرآن وشهادة العقل والوجدان وحقائق التاريخ، ومخالفة سنة نبي آخر الزمان التي لا تُبقي محملاً للاعتناء بأحاديث الوجوب.</w:t>
      </w:r>
    </w:p>
    <w:p w:rsidR="005C664D" w:rsidRPr="00995B26" w:rsidRDefault="00542D29" w:rsidP="007D2B8A">
      <w:pPr>
        <w:pStyle w:val="a5"/>
        <w:rPr>
          <w:rFonts w:hint="cs"/>
          <w:rtl/>
          <w:lang w:bidi="ar-SY"/>
        </w:rPr>
      </w:pPr>
      <w:bookmarkStart w:id="114" w:name="_Toc387843085"/>
      <w:r w:rsidRPr="00995B26">
        <w:rPr>
          <w:rFonts w:hint="cs"/>
          <w:rtl/>
          <w:lang w:bidi="ar-SY"/>
        </w:rPr>
        <w:t xml:space="preserve">2- </w:t>
      </w:r>
      <w:r w:rsidR="005C664D" w:rsidRPr="00995B26">
        <w:rPr>
          <w:rFonts w:hint="cs"/>
          <w:rtl/>
          <w:lang w:bidi="ar-SY"/>
        </w:rPr>
        <w:t xml:space="preserve">الإشكالات </w:t>
      </w:r>
      <w:r w:rsidRPr="00995B26">
        <w:rPr>
          <w:rFonts w:hint="cs"/>
          <w:rtl/>
          <w:lang w:bidi="ar-SY"/>
        </w:rPr>
        <w:t xml:space="preserve">على أخبار </w:t>
      </w:r>
      <w:r w:rsidR="005C664D" w:rsidRPr="00995B26">
        <w:rPr>
          <w:rFonts w:hint="cs"/>
          <w:rtl/>
          <w:lang w:bidi="ar-SY"/>
        </w:rPr>
        <w:t xml:space="preserve">تحليل </w:t>
      </w:r>
      <w:r w:rsidRPr="00995B26">
        <w:rPr>
          <w:rFonts w:hint="cs"/>
          <w:rtl/>
          <w:lang w:bidi="ar-SY"/>
        </w:rPr>
        <w:t>الخمس</w:t>
      </w:r>
      <w:bookmarkEnd w:id="114"/>
    </w:p>
    <w:p w:rsidR="005C664D" w:rsidRPr="003F3B94" w:rsidRDefault="005C664D" w:rsidP="003F3B94">
      <w:pPr>
        <w:pStyle w:val="a0"/>
        <w:rPr>
          <w:rFonts w:hint="cs"/>
          <w:rtl/>
          <w:lang w:bidi="ar-SY"/>
        </w:rPr>
      </w:pPr>
      <w:r w:rsidRPr="003F3B94">
        <w:rPr>
          <w:rFonts w:ascii="Abo-thar" w:hAnsi="Abo-thar" w:hint="cs"/>
          <w:b/>
          <w:bCs/>
          <w:sz w:val="28"/>
          <w:rtl/>
          <w:lang w:bidi="ar-SY"/>
        </w:rPr>
        <w:t>الإشكال الأول</w:t>
      </w:r>
      <w:r w:rsidR="00217AB4" w:rsidRPr="003F3B94">
        <w:rPr>
          <w:rFonts w:ascii="Abo-thar" w:hAnsi="Abo-thar" w:hint="cs"/>
          <w:b/>
          <w:bCs/>
          <w:sz w:val="28"/>
          <w:rtl/>
          <w:lang w:bidi="ar-SY"/>
        </w:rPr>
        <w:t>:</w:t>
      </w:r>
      <w:r w:rsidRPr="003F3B94">
        <w:rPr>
          <w:rFonts w:ascii="Abo-thar" w:hAnsi="Abo-thar" w:hint="cs"/>
          <w:sz w:val="28"/>
          <w:rtl/>
          <w:lang w:bidi="ar-SY"/>
        </w:rPr>
        <w:t xml:space="preserve"> هو في سند هذه الأحاديث</w:t>
      </w:r>
      <w:r w:rsidR="001E0DB7" w:rsidRPr="003F3B94">
        <w:rPr>
          <w:rFonts w:ascii="Abo-thar" w:hAnsi="Abo-thar" w:hint="cs"/>
          <w:sz w:val="28"/>
          <w:rtl/>
          <w:lang w:bidi="ar-SY"/>
        </w:rPr>
        <w:t>،</w:t>
      </w:r>
      <w:r w:rsidRPr="003F3B94">
        <w:rPr>
          <w:rFonts w:ascii="Abo-thar" w:hAnsi="Abo-thar" w:hint="cs"/>
          <w:sz w:val="28"/>
          <w:rtl/>
          <w:lang w:bidi="ar-SY"/>
        </w:rPr>
        <w:t xml:space="preserve"> إذ إن معظم هذه الأخبار ضعيفةٌ سنداً وفي أسانيدها أسماءٌ لغلاةٌ وكذَّابين</w:t>
      </w:r>
      <w:r w:rsidR="00217AB4" w:rsidRPr="003F3B94">
        <w:rPr>
          <w:rFonts w:ascii="Abo-thar" w:hAnsi="Abo-thar" w:hint="cs"/>
          <w:sz w:val="28"/>
          <w:rtl/>
          <w:lang w:bidi="ar-SY"/>
        </w:rPr>
        <w:t>.</w:t>
      </w:r>
      <w:r w:rsidRPr="003F3B94">
        <w:rPr>
          <w:rFonts w:ascii="Abo-thar" w:hAnsi="Abo-thar" w:hint="cs"/>
          <w:sz w:val="28"/>
          <w:rtl/>
          <w:lang w:bidi="ar-SY"/>
        </w:rPr>
        <w:t xml:space="preserve"> </w:t>
      </w:r>
    </w:p>
    <w:p w:rsidR="005C664D" w:rsidRPr="003F3B94" w:rsidRDefault="005C664D" w:rsidP="003F3B94">
      <w:pPr>
        <w:pStyle w:val="a0"/>
        <w:rPr>
          <w:rFonts w:hint="cs"/>
          <w:rtl/>
          <w:lang w:bidi="ar-SY"/>
        </w:rPr>
      </w:pPr>
      <w:r w:rsidRPr="003F3B94">
        <w:rPr>
          <w:rFonts w:ascii="Abo-thar" w:hAnsi="Abo-thar" w:hint="cs"/>
          <w:sz w:val="28"/>
          <w:rtl/>
          <w:lang w:bidi="ar-SY"/>
        </w:rPr>
        <w:t>ويُقال في الإجابة عن هذا الإشكال إنه رغم إقرارنا بضعف هذه الأخبار إلا أن درجتها لا تقل عن درجة الأخبار التي توجب الخمس في أرباح المكاسب والتجارات</w:t>
      </w:r>
      <w:r w:rsidR="001E0DB7" w:rsidRPr="003F3B94">
        <w:rPr>
          <w:rFonts w:ascii="Abo-thar" w:hAnsi="Abo-thar" w:hint="cs"/>
          <w:sz w:val="28"/>
          <w:rtl/>
          <w:lang w:bidi="ar-SY"/>
        </w:rPr>
        <w:t>،</w:t>
      </w:r>
      <w:r w:rsidRPr="003F3B94">
        <w:rPr>
          <w:rFonts w:ascii="Abo-thar" w:hAnsi="Abo-thar" w:hint="cs"/>
          <w:sz w:val="28"/>
          <w:rtl/>
          <w:lang w:bidi="ar-SY"/>
        </w:rPr>
        <w:t xml:space="preserve"> إن لم تكن أقوى منها</w:t>
      </w:r>
      <w:r w:rsidR="001E0DB7" w:rsidRPr="003F3B94">
        <w:rPr>
          <w:rFonts w:ascii="Abo-thar" w:hAnsi="Abo-thar" w:hint="cs"/>
          <w:sz w:val="28"/>
          <w:rtl/>
          <w:lang w:bidi="ar-SY"/>
        </w:rPr>
        <w:t>،</w:t>
      </w:r>
      <w:r w:rsidRPr="003F3B94">
        <w:rPr>
          <w:rFonts w:ascii="Abo-thar" w:hAnsi="Abo-thar" w:hint="cs"/>
          <w:sz w:val="28"/>
          <w:rtl/>
          <w:lang w:bidi="ar-SY"/>
        </w:rPr>
        <w:t xml:space="preserve"> لأن جميع تلك الأخبار كما حققناه ضعيفة قد وضعها حفنة من الغلاة والكذابين والمغرضين</w:t>
      </w:r>
      <w:r w:rsidR="001E0DB7" w:rsidRPr="003F3B94">
        <w:rPr>
          <w:rFonts w:ascii="Abo-thar" w:hAnsi="Abo-thar" w:hint="cs"/>
          <w:sz w:val="28"/>
          <w:rtl/>
          <w:lang w:bidi="ar-SY"/>
        </w:rPr>
        <w:t>،</w:t>
      </w:r>
      <w:r w:rsidRPr="003F3B94">
        <w:rPr>
          <w:rFonts w:ascii="Abo-thar" w:hAnsi="Abo-thar" w:hint="cs"/>
          <w:sz w:val="28"/>
          <w:rtl/>
          <w:lang w:bidi="ar-SY"/>
        </w:rPr>
        <w:t xml:space="preserve"> فالخمس الذي أوجبته عشرة من مثل تلك الأحاديث يمكن لثلاثين حديثاً مشابهاً أن يحللوه ويتصدقوا به على الشيعة</w:t>
      </w:r>
      <w:r w:rsidR="001E0DB7" w:rsidRPr="003F3B94">
        <w:rPr>
          <w:rFonts w:ascii="Abo-thar" w:hAnsi="Abo-thar" w:hint="cs"/>
          <w:sz w:val="28"/>
          <w:rtl/>
          <w:lang w:bidi="ar-SY"/>
        </w:rPr>
        <w:t>،</w:t>
      </w:r>
      <w:r w:rsidRPr="003F3B94">
        <w:rPr>
          <w:rFonts w:ascii="Abo-thar" w:hAnsi="Abo-thar" w:hint="cs"/>
          <w:sz w:val="28"/>
          <w:rtl/>
          <w:lang w:bidi="ar-SY"/>
        </w:rPr>
        <w:t xml:space="preserve"> فكثرة أخبار تحليل الخمس كافية لحل هذا الإشكال</w:t>
      </w:r>
      <w:r w:rsidR="00217AB4" w:rsidRPr="003F3B94">
        <w:rPr>
          <w:rFonts w:ascii="Abo-thar" w:hAnsi="Abo-thar" w:hint="cs"/>
          <w:sz w:val="28"/>
          <w:rtl/>
          <w:lang w:bidi="ar-SY"/>
        </w:rPr>
        <w:t>.</w:t>
      </w:r>
      <w:r w:rsidR="00147857" w:rsidRPr="003F3B94">
        <w:rPr>
          <w:rFonts w:ascii="Abo-thar" w:hAnsi="Abo-thar" w:hint="cs"/>
          <w:sz w:val="28"/>
          <w:rtl/>
          <w:lang w:bidi="ar-SY"/>
        </w:rPr>
        <w:t xml:space="preserve"> </w:t>
      </w:r>
    </w:p>
    <w:p w:rsidR="005C664D" w:rsidRPr="003F3B94" w:rsidRDefault="005C664D" w:rsidP="003F3B94">
      <w:pPr>
        <w:pStyle w:val="a0"/>
        <w:rPr>
          <w:rFonts w:hint="cs"/>
          <w:rtl/>
          <w:lang w:bidi="ar-SY"/>
        </w:rPr>
      </w:pPr>
      <w:r w:rsidRPr="003F3B94">
        <w:rPr>
          <w:rFonts w:ascii="Abo-thar" w:hAnsi="Abo-thar" w:hint="cs"/>
          <w:b/>
          <w:bCs/>
          <w:sz w:val="28"/>
          <w:rtl/>
          <w:lang w:bidi="ar-SY"/>
        </w:rPr>
        <w:t>الثاني</w:t>
      </w:r>
      <w:r w:rsidR="00217AB4" w:rsidRPr="003F3B94">
        <w:rPr>
          <w:rFonts w:ascii="Abo-thar" w:hAnsi="Abo-thar" w:hint="cs"/>
          <w:b/>
          <w:bCs/>
          <w:sz w:val="28"/>
          <w:rtl/>
          <w:lang w:bidi="ar-SY"/>
        </w:rPr>
        <w:t>:</w:t>
      </w:r>
      <w:r w:rsidRPr="003F3B94">
        <w:rPr>
          <w:rFonts w:ascii="Abo-thar" w:hAnsi="Abo-thar" w:hint="cs"/>
          <w:sz w:val="28"/>
          <w:rtl/>
          <w:lang w:bidi="ar-SY"/>
        </w:rPr>
        <w:t xml:space="preserve"> قيل إن </w:t>
      </w:r>
      <w:r w:rsidRPr="003F3B94">
        <w:rPr>
          <w:rFonts w:ascii="Abo-thar" w:hAnsi="Abo-thar"/>
          <w:sz w:val="28"/>
          <w:rtl/>
          <w:lang w:bidi="ar-SY"/>
        </w:rPr>
        <w:t>«</w:t>
      </w:r>
      <w:r w:rsidRPr="003F3B94">
        <w:rPr>
          <w:rFonts w:ascii="Abo-thar" w:hAnsi="Abo-thar" w:hint="cs"/>
          <w:sz w:val="28"/>
          <w:rtl/>
          <w:lang w:bidi="ar-SY"/>
        </w:rPr>
        <w:t>الخُمُس</w:t>
      </w:r>
      <w:r w:rsidRPr="003F3B94">
        <w:rPr>
          <w:rFonts w:ascii="Abo-thar" w:hAnsi="Abo-thar"/>
          <w:sz w:val="28"/>
          <w:rtl/>
          <w:lang w:bidi="ar-SY"/>
        </w:rPr>
        <w:t>»</w:t>
      </w:r>
      <w:r w:rsidRPr="003F3B94">
        <w:rPr>
          <w:rFonts w:ascii="Abo-thar" w:hAnsi="Abo-thar" w:hint="cs"/>
          <w:sz w:val="28"/>
          <w:rtl/>
          <w:lang w:bidi="ar-SY"/>
        </w:rPr>
        <w:t xml:space="preserve"> الذي تمت هبته للشيعة وإباحته لهم هو </w:t>
      </w:r>
      <w:r w:rsidRPr="003F3B94">
        <w:rPr>
          <w:rFonts w:ascii="Abo-thar" w:hAnsi="Abo-thar"/>
          <w:sz w:val="28"/>
          <w:rtl/>
          <w:lang w:bidi="ar-SY"/>
        </w:rPr>
        <w:t>«</w:t>
      </w:r>
      <w:r w:rsidRPr="003F3B94">
        <w:rPr>
          <w:rFonts w:ascii="Abo-thar" w:hAnsi="Abo-thar" w:hint="cs"/>
          <w:sz w:val="28"/>
          <w:rtl/>
          <w:lang w:bidi="ar-SY"/>
        </w:rPr>
        <w:t>خُمُس</w:t>
      </w:r>
      <w:r w:rsidRPr="003F3B94">
        <w:rPr>
          <w:rFonts w:ascii="Abo-thar" w:hAnsi="Abo-thar"/>
          <w:sz w:val="28"/>
          <w:rtl/>
          <w:lang w:bidi="ar-SY"/>
        </w:rPr>
        <w:t>»</w:t>
      </w:r>
      <w:r w:rsidRPr="003F3B94">
        <w:rPr>
          <w:rFonts w:ascii="Abo-thar" w:hAnsi="Abo-thar" w:hint="cs"/>
          <w:sz w:val="28"/>
          <w:rtl/>
          <w:lang w:bidi="ar-SY"/>
        </w:rPr>
        <w:t xml:space="preserve"> غنائم الحرب التي كانت تُؤخذ زمن خلفاء الجور</w:t>
      </w:r>
      <w:r w:rsidR="00217AB4" w:rsidRPr="003F3B94">
        <w:rPr>
          <w:rFonts w:ascii="Abo-thar" w:hAnsi="Abo-thar" w:hint="cs"/>
          <w:sz w:val="28"/>
          <w:rtl/>
          <w:lang w:bidi="ar-SY"/>
        </w:rPr>
        <w:t>.</w:t>
      </w:r>
      <w:r w:rsidRPr="003F3B94">
        <w:rPr>
          <w:rFonts w:ascii="Abo-thar" w:hAnsi="Abo-thar" w:hint="cs"/>
          <w:sz w:val="28"/>
          <w:rtl/>
          <w:lang w:bidi="ar-SY"/>
        </w:rPr>
        <w:t xml:space="preserve"> فلما كانت هناك إماء من ضمن تلك الغنائم وكان بعضُهُنَّ يقع بأيدي الشيعة</w:t>
      </w:r>
      <w:r w:rsidR="00217AB4" w:rsidRPr="003F3B94">
        <w:rPr>
          <w:rFonts w:ascii="Abo-thar" w:hAnsi="Abo-thar" w:hint="cs"/>
          <w:sz w:val="28"/>
          <w:rtl/>
          <w:lang w:bidi="ar-SY"/>
        </w:rPr>
        <w:t>،</w:t>
      </w:r>
      <w:r w:rsidRPr="003F3B94">
        <w:rPr>
          <w:rFonts w:ascii="Abo-thar" w:hAnsi="Abo-thar" w:hint="cs"/>
          <w:sz w:val="28"/>
          <w:rtl/>
          <w:lang w:bidi="ar-SY"/>
        </w:rPr>
        <w:t xml:space="preserve"> وكان الواجب أن تكون تلك الحروب تمَّت بإذن الإمام</w:t>
      </w:r>
      <w:r w:rsidR="00217AB4" w:rsidRPr="003F3B94">
        <w:rPr>
          <w:rFonts w:ascii="Abo-thar" w:hAnsi="Abo-thar" w:hint="cs"/>
          <w:sz w:val="28"/>
          <w:rtl/>
          <w:lang w:bidi="ar-SY"/>
        </w:rPr>
        <w:t>،</w:t>
      </w:r>
      <w:r w:rsidRPr="003F3B94">
        <w:rPr>
          <w:rFonts w:ascii="Abo-thar" w:hAnsi="Abo-thar" w:hint="cs"/>
          <w:sz w:val="28"/>
          <w:rtl/>
          <w:lang w:bidi="ar-SY"/>
        </w:rPr>
        <w:t xml:space="preserve"> وأن يكون الإمام صاحب الحق في أخذ خمس تلك الغنائم وتقسيم الباقي على المقاتلين المستحقين بوصفه الإمام الشرعي</w:t>
      </w:r>
      <w:r w:rsidR="00217AB4" w:rsidRPr="003F3B94">
        <w:rPr>
          <w:rFonts w:ascii="Abo-thar" w:hAnsi="Abo-thar" w:hint="cs"/>
          <w:sz w:val="28"/>
          <w:rtl/>
          <w:lang w:bidi="ar-SY"/>
        </w:rPr>
        <w:t>،</w:t>
      </w:r>
      <w:r w:rsidRPr="003F3B94">
        <w:rPr>
          <w:rFonts w:ascii="Abo-thar" w:hAnsi="Abo-thar" w:hint="cs"/>
          <w:sz w:val="28"/>
          <w:rtl/>
          <w:lang w:bidi="ar-SY"/>
        </w:rPr>
        <w:t xml:space="preserve"> وكل ذلك لم يحصل</w:t>
      </w:r>
      <w:r w:rsidR="00217AB4" w:rsidRPr="003F3B94">
        <w:rPr>
          <w:rFonts w:ascii="Abo-thar" w:hAnsi="Abo-thar" w:hint="cs"/>
          <w:sz w:val="28"/>
          <w:rtl/>
          <w:lang w:bidi="ar-SY"/>
        </w:rPr>
        <w:t>،</w:t>
      </w:r>
      <w:r w:rsidRPr="003F3B94">
        <w:rPr>
          <w:rFonts w:ascii="Abo-thar" w:hAnsi="Abo-thar" w:hint="cs"/>
          <w:sz w:val="28"/>
          <w:rtl/>
          <w:lang w:bidi="ar-SY"/>
        </w:rPr>
        <w:t xml:space="preserve"> فإن الذين تصرفوا بتلك الغنائم إنما تصرفوا في مال حرام لا يحلُّ لهم</w:t>
      </w:r>
      <w:r w:rsidR="00217AB4" w:rsidRPr="003F3B94">
        <w:rPr>
          <w:rFonts w:ascii="Abo-thar" w:hAnsi="Abo-thar" w:hint="cs"/>
          <w:sz w:val="28"/>
          <w:rtl/>
          <w:lang w:bidi="ar-SY"/>
        </w:rPr>
        <w:t>؛</w:t>
      </w:r>
      <w:r w:rsidR="00147857" w:rsidRPr="003F3B94">
        <w:rPr>
          <w:rFonts w:ascii="Abo-thar" w:hAnsi="Abo-thar" w:hint="cs"/>
          <w:sz w:val="28"/>
          <w:rtl/>
          <w:lang w:bidi="ar-SY"/>
        </w:rPr>
        <w:t xml:space="preserve"> </w:t>
      </w:r>
      <w:r w:rsidRPr="003F3B94">
        <w:rPr>
          <w:rFonts w:ascii="Abo-thar" w:hAnsi="Abo-thar" w:hint="cs"/>
          <w:sz w:val="28"/>
          <w:rtl/>
          <w:lang w:bidi="ar-SY"/>
        </w:rPr>
        <w:t>فلأجل ذلك كان الأئمة يحلون تلك الأموال لشيعتهم كي يصبح نكاحهم لأولئك الإماء حلالاً ويصبح الأولاد الذين تولدوا من تلك الزيجات أولاد حلال</w:t>
      </w:r>
      <w:r w:rsidR="00217AB4" w:rsidRPr="003F3B94">
        <w:rPr>
          <w:rFonts w:ascii="Abo-thar" w:hAnsi="Abo-thar" w:hint="cs"/>
          <w:sz w:val="28"/>
          <w:rtl/>
          <w:lang w:bidi="ar-SY"/>
        </w:rPr>
        <w:t>،</w:t>
      </w:r>
      <w:r w:rsidRPr="003F3B94">
        <w:rPr>
          <w:rFonts w:ascii="Abo-thar" w:hAnsi="Abo-thar" w:hint="cs"/>
          <w:sz w:val="28"/>
          <w:rtl/>
          <w:lang w:bidi="ar-SY"/>
        </w:rPr>
        <w:t xml:space="preserve"> ولكي تصبح أموال تلك الغنائ</w:t>
      </w:r>
      <w:r w:rsidRPr="003F3B94">
        <w:rPr>
          <w:rFonts w:ascii="Abo-thar" w:hAnsi="Abo-thar" w:hint="eastAsia"/>
          <w:sz w:val="28"/>
          <w:rtl/>
          <w:lang w:bidi="ar-SY"/>
        </w:rPr>
        <w:t>م</w:t>
      </w:r>
      <w:r w:rsidRPr="003F3B94">
        <w:rPr>
          <w:rFonts w:ascii="Abo-thar" w:hAnsi="Abo-thar" w:hint="cs"/>
          <w:sz w:val="28"/>
          <w:rtl/>
          <w:lang w:bidi="ar-SY"/>
        </w:rPr>
        <w:t xml:space="preserve"> التي استخدمها الغانمون من الشيعة في دفع مهور نسائهم حلالاً كي يكون زواجهم صحيحاً وأولادهم أولاد حلال</w:t>
      </w:r>
      <w:r w:rsidR="00217AB4" w:rsidRPr="003F3B94">
        <w:rPr>
          <w:rFonts w:ascii="Abo-thar" w:hAnsi="Abo-thar" w:hint="cs"/>
          <w:sz w:val="28"/>
          <w:rtl/>
          <w:lang w:bidi="ar-SY"/>
        </w:rPr>
        <w:t>!</w:t>
      </w:r>
    </w:p>
    <w:p w:rsidR="005C664D" w:rsidRPr="003F3B94" w:rsidRDefault="005C664D" w:rsidP="003F3B94">
      <w:pPr>
        <w:pStyle w:val="a0"/>
        <w:rPr>
          <w:rFonts w:hint="cs"/>
          <w:rtl/>
          <w:lang w:bidi="ar-SY"/>
        </w:rPr>
      </w:pPr>
      <w:r w:rsidRPr="003F3B94">
        <w:rPr>
          <w:rFonts w:ascii="Abo-thar" w:hAnsi="Abo-thar" w:hint="cs"/>
          <w:sz w:val="28"/>
          <w:rtl/>
          <w:lang w:bidi="ar-SY"/>
        </w:rPr>
        <w:t>وأقول في الإجابة عن هذه الشبهة</w:t>
      </w:r>
      <w:r w:rsidR="00217AB4" w:rsidRPr="003F3B94">
        <w:rPr>
          <w:rFonts w:ascii="Abo-thar" w:hAnsi="Abo-thar" w:hint="cs"/>
          <w:sz w:val="28"/>
          <w:rtl/>
          <w:lang w:bidi="ar-SY"/>
        </w:rPr>
        <w:t>،</w:t>
      </w:r>
      <w:r w:rsidRPr="003F3B94">
        <w:rPr>
          <w:rFonts w:ascii="Abo-thar" w:hAnsi="Abo-thar" w:hint="cs"/>
          <w:sz w:val="28"/>
          <w:rtl/>
          <w:lang w:bidi="ar-SY"/>
        </w:rPr>
        <w:t xml:space="preserve"> رغم أننا نعتقد أن </w:t>
      </w:r>
      <w:r w:rsidRPr="003F3B94">
        <w:rPr>
          <w:rFonts w:ascii="Abo-thar" w:hAnsi="Abo-thar"/>
          <w:sz w:val="28"/>
          <w:rtl/>
          <w:lang w:bidi="ar-SY"/>
        </w:rPr>
        <w:t>«</w:t>
      </w:r>
      <w:r w:rsidRPr="003F3B94">
        <w:rPr>
          <w:rFonts w:ascii="Abo-thar" w:hAnsi="Abo-thar" w:hint="cs"/>
          <w:sz w:val="28"/>
          <w:rtl/>
          <w:lang w:bidi="ar-SY"/>
        </w:rPr>
        <w:t>الخُمُس</w:t>
      </w:r>
      <w:r w:rsidRPr="003F3B94">
        <w:rPr>
          <w:rFonts w:ascii="Abo-thar" w:hAnsi="Abo-thar"/>
          <w:sz w:val="28"/>
          <w:rtl/>
          <w:lang w:bidi="ar-SY"/>
        </w:rPr>
        <w:t>»</w:t>
      </w:r>
      <w:r w:rsidRPr="003F3B94">
        <w:rPr>
          <w:rFonts w:ascii="Abo-thar" w:hAnsi="Abo-thar" w:hint="cs"/>
          <w:sz w:val="28"/>
          <w:rtl/>
          <w:lang w:bidi="ar-SY"/>
        </w:rPr>
        <w:t xml:space="preserve"> لا يكون إلا من غنائم دار الحرب</w:t>
      </w:r>
      <w:r w:rsidR="00217AB4" w:rsidRPr="003F3B94">
        <w:rPr>
          <w:rFonts w:ascii="Abo-thar" w:hAnsi="Abo-thar" w:hint="cs"/>
          <w:sz w:val="28"/>
          <w:rtl/>
          <w:lang w:bidi="ar-SY"/>
        </w:rPr>
        <w:t>،</w:t>
      </w:r>
      <w:r w:rsidRPr="003F3B94">
        <w:rPr>
          <w:rFonts w:ascii="Abo-thar" w:hAnsi="Abo-thar" w:hint="cs"/>
          <w:sz w:val="28"/>
          <w:rtl/>
          <w:lang w:bidi="ar-SY"/>
        </w:rPr>
        <w:t xml:space="preserve"> وأن </w:t>
      </w:r>
      <w:r w:rsidRPr="003F3B94">
        <w:rPr>
          <w:rFonts w:ascii="Abo-thar" w:hAnsi="Abo-thar"/>
          <w:sz w:val="28"/>
          <w:rtl/>
          <w:lang w:bidi="ar-SY"/>
        </w:rPr>
        <w:t>«</w:t>
      </w:r>
      <w:r w:rsidRPr="003F3B94">
        <w:rPr>
          <w:rFonts w:ascii="Abo-thar" w:hAnsi="Abo-thar" w:hint="cs"/>
          <w:sz w:val="28"/>
          <w:rtl/>
          <w:lang w:bidi="ar-SY"/>
        </w:rPr>
        <w:t>الخُمُس</w:t>
      </w:r>
      <w:r w:rsidRPr="003F3B94">
        <w:rPr>
          <w:rFonts w:ascii="Abo-thar" w:hAnsi="Abo-thar"/>
          <w:sz w:val="28"/>
          <w:rtl/>
          <w:lang w:bidi="ar-SY"/>
        </w:rPr>
        <w:t>»</w:t>
      </w:r>
      <w:r w:rsidRPr="003F3B94">
        <w:rPr>
          <w:rFonts w:ascii="Abo-thar" w:hAnsi="Abo-thar" w:hint="cs"/>
          <w:sz w:val="28"/>
          <w:rtl/>
          <w:lang w:bidi="ar-SY"/>
        </w:rPr>
        <w:t xml:space="preserve"> الموهوب للشيعة والذي تصدَّق به الأئمة وأحلوه هو خُمُس غنائم الحرب فقط</w:t>
      </w:r>
      <w:r w:rsidR="00217AB4" w:rsidRPr="003F3B94">
        <w:rPr>
          <w:rFonts w:ascii="Abo-thar" w:hAnsi="Abo-thar" w:hint="cs"/>
          <w:sz w:val="28"/>
          <w:rtl/>
          <w:lang w:bidi="ar-SY"/>
        </w:rPr>
        <w:t>،</w:t>
      </w:r>
      <w:r w:rsidRPr="003F3B94">
        <w:rPr>
          <w:rFonts w:ascii="Abo-thar" w:hAnsi="Abo-thar" w:hint="cs"/>
          <w:sz w:val="28"/>
          <w:rtl/>
          <w:lang w:bidi="ar-SY"/>
        </w:rPr>
        <w:t xml:space="preserve"> إلا أن الأخبار التي أوردناها صريحةٌ في أن </w:t>
      </w:r>
      <w:r w:rsidRPr="003F3B94">
        <w:rPr>
          <w:rFonts w:ascii="Abo-thar" w:hAnsi="Abo-thar"/>
          <w:sz w:val="28"/>
          <w:rtl/>
          <w:lang w:bidi="ar-SY"/>
        </w:rPr>
        <w:t>«</w:t>
      </w:r>
      <w:r w:rsidRPr="003F3B94">
        <w:rPr>
          <w:rFonts w:ascii="Abo-thar" w:hAnsi="Abo-thar" w:hint="cs"/>
          <w:sz w:val="28"/>
          <w:rtl/>
          <w:lang w:bidi="ar-SY"/>
        </w:rPr>
        <w:t>الخُمُس</w:t>
      </w:r>
      <w:r w:rsidRPr="003F3B94">
        <w:rPr>
          <w:rFonts w:ascii="Abo-thar" w:hAnsi="Abo-thar"/>
          <w:sz w:val="28"/>
          <w:rtl/>
          <w:lang w:bidi="ar-SY"/>
        </w:rPr>
        <w:t>»</w:t>
      </w:r>
      <w:r w:rsidRPr="003F3B94">
        <w:rPr>
          <w:rFonts w:ascii="Abo-thar" w:hAnsi="Abo-thar" w:hint="cs"/>
          <w:sz w:val="28"/>
          <w:rtl/>
          <w:lang w:bidi="ar-SY"/>
        </w:rPr>
        <w:t xml:space="preserve"> الذي تمَّت هبته للشيعة والتصدق به</w:t>
      </w:r>
      <w:r w:rsidR="00147857" w:rsidRPr="003F3B94">
        <w:rPr>
          <w:rFonts w:ascii="Abo-thar" w:hAnsi="Abo-thar" w:hint="cs"/>
          <w:sz w:val="28"/>
          <w:rtl/>
          <w:lang w:bidi="ar-SY"/>
        </w:rPr>
        <w:t xml:space="preserve"> </w:t>
      </w:r>
      <w:r w:rsidRPr="003F3B94">
        <w:rPr>
          <w:rFonts w:ascii="Abo-thar" w:hAnsi="Abo-thar" w:hint="cs"/>
          <w:sz w:val="28"/>
          <w:rtl/>
          <w:lang w:bidi="ar-SY"/>
        </w:rPr>
        <w:t>عليهم وتحليله لهم إنما هو جميع أنواع الخمس التي يدَّعونها</w:t>
      </w:r>
      <w:r w:rsidR="00217AB4" w:rsidRPr="003F3B94">
        <w:rPr>
          <w:rFonts w:ascii="Abo-thar" w:hAnsi="Abo-thar" w:hint="cs"/>
          <w:sz w:val="28"/>
          <w:rtl/>
          <w:lang w:bidi="ar-SY"/>
        </w:rPr>
        <w:t>.</w:t>
      </w:r>
      <w:r w:rsidR="00147857" w:rsidRPr="003F3B94">
        <w:rPr>
          <w:rFonts w:ascii="Abo-thar" w:hAnsi="Abo-thar" w:hint="cs"/>
          <w:sz w:val="28"/>
          <w:rtl/>
          <w:lang w:bidi="ar-SY"/>
        </w:rPr>
        <w:t xml:space="preserve"> </w:t>
      </w:r>
      <w:r w:rsidRPr="003F3B94">
        <w:rPr>
          <w:rFonts w:ascii="Abo-thar" w:hAnsi="Abo-thar" w:hint="cs"/>
          <w:sz w:val="28"/>
          <w:rtl/>
          <w:lang w:bidi="ar-SY"/>
        </w:rPr>
        <w:t>إذْ نجد مثلاً في الحديث الأول</w:t>
      </w:r>
      <w:r w:rsidR="00217AB4" w:rsidRPr="003F3B94">
        <w:rPr>
          <w:rFonts w:ascii="Abo-thar" w:hAnsi="Abo-thar" w:hint="cs"/>
          <w:sz w:val="28"/>
          <w:rtl/>
          <w:lang w:bidi="ar-SY"/>
        </w:rPr>
        <w:t>:</w:t>
      </w:r>
      <w:r w:rsidRPr="003F3B94">
        <w:rPr>
          <w:rFonts w:ascii="Abo-thar" w:hAnsi="Abo-thar" w:hint="cs"/>
          <w:sz w:val="28"/>
          <w:rtl/>
          <w:lang w:bidi="ar-SY"/>
        </w:rPr>
        <w:t xml:space="preserve"> </w:t>
      </w:r>
      <w:r w:rsidR="00EF2588" w:rsidRPr="00394385">
        <w:rPr>
          <w:rFonts w:ascii="Abo-thar" w:hAnsi="Abo-thar" w:cs="KFGQPC Uthman Taha Naskh" w:hint="cs"/>
          <w:sz w:val="28"/>
          <w:rtl/>
          <w:lang w:bidi="ar-SY"/>
        </w:rPr>
        <w:t>«</w:t>
      </w:r>
      <w:r w:rsidRPr="00394385">
        <w:rPr>
          <w:rFonts w:ascii="Abo-thar" w:hAnsi="Abo-thar" w:cs="KFGQPC Uthman Taha Naskh"/>
          <w:b/>
          <w:bCs/>
          <w:sz w:val="28"/>
          <w:rtl/>
          <w:lang w:bidi="ar-SY"/>
        </w:rPr>
        <w:t xml:space="preserve">قَالَ أَمِيرُ المُؤْمِنِينَ عَلِيُّ بْنُ أَبِي طَالِبٍ </w:t>
      </w:r>
      <w:r w:rsidR="00BC4BA9" w:rsidRPr="00BC4BA9">
        <w:rPr>
          <w:rFonts w:ascii="Abo-thar" w:hAnsi="Abo-thar" w:cs="CTraditional Arabic" w:hint="cs"/>
          <w:b/>
          <w:sz w:val="28"/>
          <w:rtl/>
          <w:lang w:bidi="ar-SY"/>
        </w:rPr>
        <w:t>÷</w:t>
      </w:r>
      <w:r w:rsidR="00217AB4" w:rsidRPr="00394385">
        <w:rPr>
          <w:rFonts w:ascii="Abo-thar" w:hAnsi="Abo-thar" w:cs="KFGQPC Uthman Taha Naskh" w:hint="cs"/>
          <w:b/>
          <w:bCs/>
          <w:sz w:val="28"/>
          <w:rtl/>
          <w:lang w:bidi="ar-SY"/>
        </w:rPr>
        <w:t>:</w:t>
      </w:r>
      <w:r w:rsidRPr="00394385">
        <w:rPr>
          <w:rFonts w:ascii="Abo-thar" w:hAnsi="Abo-thar" w:cs="KFGQPC Uthman Taha Naskh"/>
          <w:sz w:val="28"/>
          <w:rtl/>
          <w:lang w:bidi="ar-SY"/>
        </w:rPr>
        <w:t xml:space="preserve"> </w:t>
      </w:r>
      <w:r w:rsidRPr="00394385">
        <w:rPr>
          <w:rFonts w:ascii="Abo-thar" w:hAnsi="Abo-thar" w:cs="KFGQPC Uthman Taha Naskh"/>
          <w:b/>
          <w:bCs/>
          <w:sz w:val="28"/>
          <w:rtl/>
          <w:lang w:bidi="ar-SY"/>
        </w:rPr>
        <w:t>هَلَكَ النَّاسُ‏ فِي بُطُونِهِمْ وفُرُوجِهِمْ لِأَنَّهُمْ لَمْ يُؤَدُّوا إِلَيْنَا حَقَّنَا</w:t>
      </w:r>
      <w:r w:rsidR="00217AB4" w:rsidRPr="00394385">
        <w:rPr>
          <w:rFonts w:ascii="Abo-thar" w:hAnsi="Abo-thar" w:cs="KFGQPC Uthman Taha Naskh"/>
          <w:b/>
          <w:bCs/>
          <w:sz w:val="28"/>
          <w:rtl/>
          <w:lang w:bidi="ar-SY"/>
        </w:rPr>
        <w:t>،</w:t>
      </w:r>
      <w:r w:rsidRPr="00394385">
        <w:rPr>
          <w:rFonts w:ascii="Abo-thar" w:hAnsi="Abo-thar" w:cs="KFGQPC Uthman Taha Naskh"/>
          <w:b/>
          <w:bCs/>
          <w:sz w:val="28"/>
          <w:rtl/>
          <w:lang w:bidi="ar-SY"/>
        </w:rPr>
        <w:t xml:space="preserve"> أَلَا وإِنَّ شِيعَتَنَا مِنْ ذَلِكَ وآبَاءَهُمْ فِي حِلٍّ</w:t>
      </w:r>
      <w:r w:rsidR="00EF2588" w:rsidRPr="00394385">
        <w:rPr>
          <w:rFonts w:ascii="Abo-thar" w:hAnsi="Abo-thar" w:cs="KFGQPC Uthman Taha Naskh" w:hint="cs"/>
          <w:sz w:val="28"/>
          <w:rtl/>
          <w:lang w:bidi="ar-SY"/>
        </w:rPr>
        <w:t>»</w:t>
      </w:r>
      <w:r w:rsidRPr="003F3B94">
        <w:rPr>
          <w:rFonts w:ascii="Abo-thar" w:hAnsi="Abo-thar" w:hint="cs"/>
          <w:sz w:val="28"/>
          <w:rtl/>
          <w:lang w:bidi="ar-SY"/>
        </w:rPr>
        <w:t xml:space="preserve"> والذي يظهر منه أن ما تمت هبته وتحليله هو الأموال ذات العلاقة بجميع أمور الحياة التي أهمها ما يتعلق بالبطن </w:t>
      </w:r>
      <w:r w:rsidR="00217AB4" w:rsidRPr="003F3B94">
        <w:rPr>
          <w:rFonts w:ascii="Abo-thar" w:hAnsi="Abo-thar" w:hint="cs"/>
          <w:sz w:val="28"/>
          <w:rtl/>
          <w:lang w:bidi="ar-SY"/>
        </w:rPr>
        <w:t>(</w:t>
      </w:r>
      <w:r w:rsidRPr="003F3B94">
        <w:rPr>
          <w:rFonts w:ascii="Abo-thar" w:hAnsi="Abo-thar" w:hint="cs"/>
          <w:sz w:val="28"/>
          <w:rtl/>
          <w:lang w:bidi="ar-SY"/>
        </w:rPr>
        <w:t>المآكل والمشارب</w:t>
      </w:r>
      <w:r w:rsidR="00217AB4" w:rsidRPr="003F3B94">
        <w:rPr>
          <w:rFonts w:ascii="Abo-thar" w:hAnsi="Abo-thar" w:hint="cs"/>
          <w:sz w:val="28"/>
          <w:rtl/>
          <w:lang w:bidi="ar-SY"/>
        </w:rPr>
        <w:t>)</w:t>
      </w:r>
      <w:r w:rsidRPr="003F3B94">
        <w:rPr>
          <w:rFonts w:ascii="Abo-thar" w:hAnsi="Abo-thar" w:hint="cs"/>
          <w:sz w:val="28"/>
          <w:rtl/>
          <w:lang w:bidi="ar-SY"/>
        </w:rPr>
        <w:t xml:space="preserve"> والفرج </w:t>
      </w:r>
      <w:r w:rsidR="00217AB4" w:rsidRPr="003F3B94">
        <w:rPr>
          <w:rFonts w:ascii="Abo-thar" w:hAnsi="Abo-thar" w:hint="cs"/>
          <w:sz w:val="28"/>
          <w:rtl/>
          <w:lang w:bidi="ar-SY"/>
        </w:rPr>
        <w:t>(</w:t>
      </w:r>
      <w:r w:rsidRPr="003F3B94">
        <w:rPr>
          <w:rFonts w:ascii="Abo-thar" w:hAnsi="Abo-thar" w:hint="cs"/>
          <w:sz w:val="28"/>
          <w:rtl/>
          <w:lang w:bidi="ar-SY"/>
        </w:rPr>
        <w:t>الزيجات</w:t>
      </w:r>
      <w:r w:rsidR="00217AB4" w:rsidRPr="003F3B94">
        <w:rPr>
          <w:rFonts w:ascii="Abo-thar" w:hAnsi="Abo-thar" w:hint="cs"/>
          <w:sz w:val="28"/>
          <w:rtl/>
          <w:lang w:bidi="ar-SY"/>
        </w:rPr>
        <w:t>).</w:t>
      </w:r>
      <w:r w:rsidRPr="003F3B94">
        <w:rPr>
          <w:rFonts w:ascii="Abo-thar" w:hAnsi="Abo-thar" w:hint="cs"/>
          <w:sz w:val="28"/>
          <w:rtl/>
          <w:lang w:bidi="ar-SY"/>
        </w:rPr>
        <w:t xml:space="preserve"> وفي الحديث الرابع يقول أمير المؤمنين</w:t>
      </w:r>
      <w:r w:rsidR="00217AB4" w:rsidRPr="003F3B94">
        <w:rPr>
          <w:rFonts w:ascii="Abo-thar" w:hAnsi="Abo-thar" w:hint="cs"/>
          <w:sz w:val="28"/>
          <w:rtl/>
          <w:lang w:bidi="ar-SY"/>
        </w:rPr>
        <w:t>:</w:t>
      </w:r>
      <w:r w:rsidRPr="003F3B94">
        <w:rPr>
          <w:rFonts w:ascii="Abo-thar" w:hAnsi="Abo-thar" w:hint="cs"/>
          <w:sz w:val="28"/>
          <w:rtl/>
          <w:lang w:bidi="ar-SY"/>
        </w:rPr>
        <w:t xml:space="preserve"> </w:t>
      </w:r>
      <w:r w:rsidR="00EF2588" w:rsidRPr="00394385">
        <w:rPr>
          <w:rFonts w:ascii="Abo-thar" w:hAnsi="Abo-thar" w:cs="KFGQPC Uthman Taha Naskh" w:hint="cs"/>
          <w:sz w:val="28"/>
          <w:rtl/>
          <w:lang w:bidi="ar-SY"/>
        </w:rPr>
        <w:t>«</w:t>
      </w:r>
      <w:r w:rsidRPr="00394385">
        <w:rPr>
          <w:rFonts w:ascii="Abo-thar" w:hAnsi="Abo-thar" w:cs="KFGQPC Uthman Taha Naskh"/>
          <w:bCs/>
          <w:sz w:val="28"/>
          <w:rtl/>
          <w:lang w:bidi="ar-SY"/>
        </w:rPr>
        <w:t>فَقَدْ وَهَبْتُ نَصِيبِي مِنْهُ لِكُلِّ مَنْ مَلَكَ شَيْئاً مِنْ ذَلِكَ مِنْ شِيعَتِي لِتَحِلَّ ل</w:t>
      </w:r>
      <w:r w:rsidRPr="00394385">
        <w:rPr>
          <w:rFonts w:ascii="Abo-thar" w:hAnsi="Abo-thar" w:cs="KFGQPC Uthman Taha Naskh" w:hint="cs"/>
          <w:bCs/>
          <w:sz w:val="28"/>
          <w:rtl/>
          <w:lang w:bidi="ar-SY"/>
        </w:rPr>
        <w:t>َـ</w:t>
      </w:r>
      <w:r w:rsidRPr="00394385">
        <w:rPr>
          <w:rFonts w:ascii="Abo-thar" w:hAnsi="Abo-thar" w:cs="KFGQPC Uthman Taha Naskh"/>
          <w:bCs/>
          <w:sz w:val="28"/>
          <w:rtl/>
          <w:lang w:bidi="ar-SY"/>
        </w:rPr>
        <w:t>هُمْ مَنَافِعُهُمْ مِنْ مَأْكَلٍ ومَشْرَبٍ ولِتَطِيبَ مَوَالِيدُهُمْ</w:t>
      </w:r>
      <w:r w:rsidR="00EF2588" w:rsidRPr="00394385">
        <w:rPr>
          <w:rFonts w:ascii="Abo-thar" w:hAnsi="Abo-thar" w:cs="KFGQPC Uthman Taha Naskh" w:hint="cs"/>
          <w:sz w:val="28"/>
          <w:rtl/>
          <w:lang w:bidi="ar-SY"/>
        </w:rPr>
        <w:t>»</w:t>
      </w:r>
      <w:r w:rsidRPr="003F3B94">
        <w:rPr>
          <w:rFonts w:ascii="Abo-thar" w:hAnsi="Abo-thar" w:hint="cs"/>
          <w:sz w:val="28"/>
          <w:rtl/>
          <w:lang w:bidi="ar-SY"/>
        </w:rPr>
        <w:t xml:space="preserve"> فتحليل المأكل والمشرب ناظرٌ إلى جميع الأشياء</w:t>
      </w:r>
      <w:r w:rsidR="00217AB4" w:rsidRPr="003F3B94">
        <w:rPr>
          <w:rFonts w:ascii="Abo-thar" w:hAnsi="Abo-thar" w:hint="cs"/>
          <w:sz w:val="28"/>
          <w:rtl/>
          <w:lang w:bidi="ar-SY"/>
        </w:rPr>
        <w:t>.</w:t>
      </w:r>
    </w:p>
    <w:p w:rsidR="005C664D" w:rsidRPr="003F3B94" w:rsidRDefault="005C664D" w:rsidP="003F3B94">
      <w:pPr>
        <w:pStyle w:val="a0"/>
        <w:rPr>
          <w:rFonts w:hint="cs"/>
          <w:rtl/>
          <w:lang w:bidi="ar-SY"/>
        </w:rPr>
      </w:pPr>
      <w:r w:rsidRPr="003F3B94">
        <w:rPr>
          <w:rFonts w:ascii="Abo-thar" w:hAnsi="Abo-thar" w:hint="cs"/>
          <w:sz w:val="28"/>
          <w:rtl/>
          <w:lang w:bidi="ar-SY"/>
        </w:rPr>
        <w:t>وكذلك وجدنا في الحديث السابع عبارة</w:t>
      </w:r>
      <w:r w:rsidR="00217AB4" w:rsidRPr="003F3B94">
        <w:rPr>
          <w:rFonts w:ascii="Abo-thar" w:hAnsi="Abo-thar" w:hint="cs"/>
          <w:sz w:val="28"/>
          <w:rtl/>
          <w:lang w:bidi="ar-SY"/>
        </w:rPr>
        <w:t>:</w:t>
      </w:r>
      <w:r w:rsidRPr="003F3B94">
        <w:rPr>
          <w:rFonts w:ascii="Abo-thar" w:hAnsi="Abo-thar" w:hint="cs"/>
          <w:sz w:val="28"/>
          <w:rtl/>
          <w:lang w:bidi="ar-SY"/>
        </w:rPr>
        <w:t xml:space="preserve"> </w:t>
      </w:r>
      <w:r w:rsidR="00EF2588" w:rsidRPr="00394385">
        <w:rPr>
          <w:rFonts w:ascii="Abo-thar" w:hAnsi="Abo-thar" w:cs="KFGQPC Uthman Taha Naskh" w:hint="cs"/>
          <w:sz w:val="28"/>
          <w:rtl/>
          <w:lang w:bidi="ar-SY"/>
        </w:rPr>
        <w:t>«</w:t>
      </w:r>
      <w:r w:rsidRPr="00394385">
        <w:rPr>
          <w:rFonts w:ascii="Abo-thar" w:hAnsi="Abo-thar" w:cs="KFGQPC Uthman Taha Naskh"/>
          <w:bCs/>
          <w:sz w:val="28"/>
          <w:rtl/>
          <w:lang w:bidi="ar-SY"/>
        </w:rPr>
        <w:t>قَالَ</w:t>
      </w:r>
      <w:r w:rsidR="00217AB4" w:rsidRPr="00394385">
        <w:rPr>
          <w:rFonts w:ascii="Abo-thar" w:hAnsi="Abo-thar" w:cs="KFGQPC Uthman Taha Naskh"/>
          <w:bCs/>
          <w:sz w:val="28"/>
          <w:rtl/>
          <w:lang w:bidi="ar-SY"/>
        </w:rPr>
        <w:t>:</w:t>
      </w:r>
      <w:r w:rsidRPr="00394385">
        <w:rPr>
          <w:rFonts w:ascii="Abo-thar" w:hAnsi="Abo-thar" w:cs="KFGQPC Uthman Taha Naskh"/>
          <w:bCs/>
          <w:sz w:val="28"/>
          <w:rtl/>
          <w:lang w:bidi="ar-SY"/>
        </w:rPr>
        <w:t xml:space="preserve"> هِيَ واللهِ الإِفَادَةُ يَوْماً بِيَوْمٍ إِلَّا أَنَّ أَبِي </w:t>
      </w:r>
      <w:r w:rsidR="00BC4BA9" w:rsidRPr="00BC4BA9">
        <w:rPr>
          <w:rFonts w:ascii="Abo-thar" w:hAnsi="Abo-thar" w:cs="CTraditional Arabic"/>
          <w:sz w:val="28"/>
          <w:rtl/>
          <w:lang w:bidi="ar-SY"/>
        </w:rPr>
        <w:t>÷</w:t>
      </w:r>
      <w:r w:rsidRPr="00394385">
        <w:rPr>
          <w:rFonts w:ascii="Abo-thar" w:hAnsi="Abo-thar" w:cs="KFGQPC Uthman Taha Naskh"/>
          <w:bCs/>
          <w:sz w:val="28"/>
          <w:rtl/>
          <w:lang w:bidi="ar-SY"/>
        </w:rPr>
        <w:t xml:space="preserve"> جَعَلَ شِيعَتَنَا مِنْ ذَلِكَ فِي حِلٍّ لِيَزْكُوْا</w:t>
      </w:r>
      <w:r w:rsidR="00EF2588" w:rsidRPr="00394385">
        <w:rPr>
          <w:rFonts w:ascii="Abo-thar" w:hAnsi="Abo-thar" w:cs="KFGQPC Uthman Taha Naskh" w:hint="cs"/>
          <w:sz w:val="28"/>
          <w:rtl/>
          <w:lang w:bidi="ar-SY"/>
        </w:rPr>
        <w:t>»</w:t>
      </w:r>
      <w:r w:rsidRPr="003F3B94">
        <w:rPr>
          <w:rFonts w:ascii="Abo-thar" w:hAnsi="Abo-thar" w:hint="cs"/>
          <w:sz w:val="28"/>
          <w:rtl/>
          <w:lang w:bidi="ar-SY"/>
        </w:rPr>
        <w:t xml:space="preserve"> ومعلومٌ أن الإفادة يوماً بيوم إنما تتعلق بالأشياء والأموال التي يكسبها الإنسان كل يوم والتي أبحت حلالاً</w:t>
      </w:r>
      <w:r w:rsidR="00217AB4" w:rsidRPr="003F3B94">
        <w:rPr>
          <w:rFonts w:ascii="Abo-thar" w:hAnsi="Abo-thar" w:hint="cs"/>
          <w:sz w:val="28"/>
          <w:rtl/>
          <w:lang w:bidi="ar-SY"/>
        </w:rPr>
        <w:t>.</w:t>
      </w:r>
      <w:r w:rsidRPr="003F3B94">
        <w:rPr>
          <w:rFonts w:ascii="Abo-thar" w:hAnsi="Abo-thar" w:hint="cs"/>
          <w:sz w:val="28"/>
          <w:rtl/>
          <w:lang w:bidi="ar-SY"/>
        </w:rPr>
        <w:t xml:space="preserve"> </w:t>
      </w:r>
    </w:p>
    <w:p w:rsidR="005C664D" w:rsidRPr="003F3B94" w:rsidRDefault="005C664D" w:rsidP="003F3B94">
      <w:pPr>
        <w:pStyle w:val="a0"/>
        <w:rPr>
          <w:rFonts w:hint="cs"/>
          <w:rtl/>
          <w:lang w:bidi="ar-SY"/>
        </w:rPr>
      </w:pPr>
      <w:r w:rsidRPr="003F3B94">
        <w:rPr>
          <w:rFonts w:ascii="Abo-thar" w:hAnsi="Abo-thar" w:hint="cs"/>
          <w:sz w:val="28"/>
          <w:rtl/>
          <w:lang w:bidi="ar-SY"/>
        </w:rPr>
        <w:t>وكذلك نجد في الحديث الرابع عشر أن السائل سأل فقال</w:t>
      </w:r>
      <w:r w:rsidR="00217AB4" w:rsidRPr="003F3B94">
        <w:rPr>
          <w:rFonts w:ascii="Abo-thar" w:hAnsi="Abo-thar" w:hint="cs"/>
          <w:sz w:val="28"/>
          <w:rtl/>
          <w:lang w:bidi="ar-SY"/>
        </w:rPr>
        <w:t>:</w:t>
      </w:r>
      <w:r w:rsidRPr="003F3B94">
        <w:rPr>
          <w:rFonts w:ascii="Abo-thar" w:hAnsi="Abo-thar" w:hint="cs"/>
          <w:sz w:val="28"/>
          <w:rtl/>
          <w:lang w:bidi="ar-SY"/>
        </w:rPr>
        <w:t xml:space="preserve"> </w:t>
      </w:r>
      <w:r w:rsidR="00EF2588" w:rsidRPr="00394385">
        <w:rPr>
          <w:rFonts w:ascii="Abo-thar" w:hAnsi="Abo-thar" w:cs="KFGQPC Uthman Taha Naskh" w:hint="cs"/>
          <w:sz w:val="28"/>
          <w:rtl/>
          <w:lang w:bidi="ar-SY"/>
        </w:rPr>
        <w:t>«</w:t>
      </w:r>
      <w:r w:rsidRPr="00394385">
        <w:rPr>
          <w:rFonts w:ascii="Abo-thar" w:hAnsi="Abo-thar" w:cs="KFGQPC Uthman Taha Naskh"/>
          <w:bCs/>
          <w:sz w:val="28"/>
          <w:rtl/>
          <w:lang w:bidi="ar-SY"/>
        </w:rPr>
        <w:t>تَقَعُ فِي أَيْدِينَا الأَرْبَاحُ والْأَمْوَالُ وتِجَارَاتٌ نَعْرِفُ أَنَّ حَقَّكَ فِيهَا ثَابِتٌ</w:t>
      </w:r>
      <w:r w:rsidR="00EF2588" w:rsidRPr="00394385">
        <w:rPr>
          <w:rFonts w:ascii="Abo-thar" w:hAnsi="Abo-thar" w:cs="KFGQPC Uthman Taha Naskh" w:hint="cs"/>
          <w:sz w:val="28"/>
          <w:rtl/>
          <w:lang w:bidi="ar-SY"/>
        </w:rPr>
        <w:t>»</w:t>
      </w:r>
      <w:r w:rsidRPr="003F3B94">
        <w:rPr>
          <w:rFonts w:ascii="Abo-thar" w:hAnsi="Abo-thar" w:hint="cs"/>
          <w:sz w:val="28"/>
          <w:rtl/>
          <w:lang w:bidi="ar-SY"/>
        </w:rPr>
        <w:t xml:space="preserve"> والعبارة واضحة تماماً أن الأمر لا يتعلق بغنائم الحرب أو الإماء</w:t>
      </w:r>
      <w:r w:rsidR="00217AB4" w:rsidRPr="003F3B94">
        <w:rPr>
          <w:rFonts w:ascii="Abo-thar" w:hAnsi="Abo-thar" w:hint="cs"/>
          <w:sz w:val="28"/>
          <w:rtl/>
          <w:lang w:bidi="ar-SY"/>
        </w:rPr>
        <w:t>.</w:t>
      </w:r>
      <w:r w:rsidR="00147857" w:rsidRPr="003F3B94">
        <w:rPr>
          <w:rFonts w:ascii="Abo-thar" w:hAnsi="Abo-thar" w:hint="cs"/>
          <w:sz w:val="28"/>
          <w:rtl/>
          <w:lang w:bidi="ar-SY"/>
        </w:rPr>
        <w:t xml:space="preserve"> </w:t>
      </w:r>
      <w:r w:rsidRPr="003F3B94">
        <w:rPr>
          <w:rFonts w:ascii="Abo-thar" w:hAnsi="Abo-thar" w:hint="cs"/>
          <w:sz w:val="28"/>
          <w:rtl/>
          <w:lang w:bidi="ar-SY"/>
        </w:rPr>
        <w:t xml:space="preserve">ومثله ما جاء في الحديث السادس عشر أن </w:t>
      </w:r>
      <w:r w:rsidRPr="003F3B94">
        <w:rPr>
          <w:rFonts w:ascii="Abo-thar" w:hAnsi="Abo-thar"/>
          <w:sz w:val="28"/>
          <w:rtl/>
          <w:lang w:bidi="ar-SY"/>
        </w:rPr>
        <w:t>«الحَارِث</w:t>
      </w:r>
      <w:r w:rsidRPr="003F3B94">
        <w:rPr>
          <w:rFonts w:ascii="Abo-thar" w:hAnsi="Abo-thar" w:hint="cs"/>
          <w:sz w:val="28"/>
          <w:rtl/>
          <w:lang w:bidi="ar-SY"/>
        </w:rPr>
        <w:t>َ</w:t>
      </w:r>
      <w:r w:rsidRPr="003F3B94">
        <w:rPr>
          <w:rFonts w:ascii="Abo-thar" w:hAnsi="Abo-thar"/>
          <w:sz w:val="28"/>
          <w:rtl/>
          <w:lang w:bidi="ar-SY"/>
        </w:rPr>
        <w:t xml:space="preserve"> بْن</w:t>
      </w:r>
      <w:r w:rsidRPr="003F3B94">
        <w:rPr>
          <w:rFonts w:ascii="Abo-thar" w:hAnsi="Abo-thar" w:hint="cs"/>
          <w:sz w:val="28"/>
          <w:rtl/>
          <w:lang w:bidi="ar-SY"/>
        </w:rPr>
        <w:t>َ</w:t>
      </w:r>
      <w:r w:rsidRPr="003F3B94">
        <w:rPr>
          <w:rFonts w:ascii="Abo-thar" w:hAnsi="Abo-thar"/>
          <w:sz w:val="28"/>
          <w:rtl/>
          <w:lang w:bidi="ar-SY"/>
        </w:rPr>
        <w:t xml:space="preserve"> المُغِيرَةِ النَّصْرِيّ</w:t>
      </w:r>
      <w:r w:rsidRPr="003F3B94">
        <w:rPr>
          <w:rFonts w:ascii="Abo-thar" w:hAnsi="Abo-thar" w:hint="cs"/>
          <w:sz w:val="28"/>
          <w:rtl/>
          <w:lang w:bidi="ar-SY"/>
        </w:rPr>
        <w:t>َ</w:t>
      </w:r>
      <w:r w:rsidR="00147857" w:rsidRPr="003F3B94">
        <w:rPr>
          <w:rFonts w:ascii="Abo-thar" w:hAnsi="Abo-thar"/>
          <w:sz w:val="28"/>
          <w:rtl/>
          <w:lang w:bidi="ar-SY"/>
        </w:rPr>
        <w:t>»</w:t>
      </w:r>
      <w:r w:rsidRPr="003F3B94">
        <w:rPr>
          <w:rFonts w:ascii="Abo-thar" w:hAnsi="Abo-thar" w:hint="cs"/>
          <w:sz w:val="28"/>
          <w:rtl/>
          <w:lang w:bidi="ar-SY"/>
        </w:rPr>
        <w:t xml:space="preserve"> قال</w:t>
      </w:r>
      <w:r w:rsidR="00217AB4" w:rsidRPr="003F3B94">
        <w:rPr>
          <w:rFonts w:ascii="Abo-thar" w:hAnsi="Abo-thar" w:hint="cs"/>
          <w:sz w:val="28"/>
          <w:rtl/>
          <w:lang w:bidi="ar-SY"/>
        </w:rPr>
        <w:t>:</w:t>
      </w:r>
      <w:r w:rsidRPr="003F3B94">
        <w:rPr>
          <w:rFonts w:ascii="Abo-thar" w:hAnsi="Abo-thar" w:hint="cs"/>
          <w:sz w:val="28"/>
          <w:rtl/>
          <w:lang w:bidi="ar-SY"/>
        </w:rPr>
        <w:t xml:space="preserve"> </w:t>
      </w:r>
      <w:r w:rsidR="00EF2588" w:rsidRPr="00394385">
        <w:rPr>
          <w:rFonts w:ascii="Abo-thar" w:hAnsi="Abo-thar" w:cs="KFGQPC Uthman Taha Naskh" w:hint="cs"/>
          <w:sz w:val="28"/>
          <w:rtl/>
          <w:lang w:bidi="ar-SY"/>
        </w:rPr>
        <w:t>«</w:t>
      </w:r>
      <w:r w:rsidRPr="00394385">
        <w:rPr>
          <w:rFonts w:ascii="Abo-thar" w:hAnsi="Abo-thar" w:cs="KFGQPC Uthman Taha Naskh"/>
          <w:bCs/>
          <w:sz w:val="28"/>
          <w:rtl/>
          <w:lang w:bidi="ar-SY"/>
        </w:rPr>
        <w:t>إِنَّ لَنَا أَمْوَالًا مِنْ غَلَّاتٍ وتِجَارَاتٍ ونَحْوِ ذَلِكَ وقَدْ عَلِمْتُ أَنَّ لَكَ فِيهَا حَقّاً</w:t>
      </w:r>
      <w:r w:rsidR="00EF2588" w:rsidRPr="00394385">
        <w:rPr>
          <w:rFonts w:ascii="Abo-thar" w:hAnsi="Abo-thar" w:cs="KFGQPC Uthman Taha Naskh" w:hint="cs"/>
          <w:sz w:val="28"/>
          <w:rtl/>
          <w:lang w:bidi="ar-SY"/>
        </w:rPr>
        <w:t>»</w:t>
      </w:r>
      <w:r w:rsidR="00217AB4" w:rsidRPr="003F3B94">
        <w:rPr>
          <w:rFonts w:ascii="Abo-thar" w:hAnsi="Abo-thar" w:hint="cs"/>
          <w:sz w:val="28"/>
          <w:rtl/>
          <w:lang w:bidi="ar-SY"/>
        </w:rPr>
        <w:t>،</w:t>
      </w:r>
      <w:r w:rsidRPr="003F3B94">
        <w:rPr>
          <w:rFonts w:ascii="Abo-thar" w:hAnsi="Abo-thar" w:hint="cs"/>
          <w:sz w:val="28"/>
          <w:rtl/>
          <w:lang w:bidi="ar-SY"/>
        </w:rPr>
        <w:t xml:space="preserve"> مثله ما جاء في الحديث التاسع عشر</w:t>
      </w:r>
      <w:r w:rsidR="00217AB4" w:rsidRPr="003F3B94">
        <w:rPr>
          <w:rFonts w:ascii="Abo-thar" w:hAnsi="Abo-thar" w:hint="cs"/>
          <w:sz w:val="28"/>
          <w:rtl/>
          <w:lang w:bidi="ar-SY"/>
        </w:rPr>
        <w:t>:</w:t>
      </w:r>
      <w:r w:rsidRPr="003F3B94">
        <w:rPr>
          <w:rFonts w:ascii="Abo-thar" w:hAnsi="Abo-thar" w:hint="cs"/>
          <w:sz w:val="28"/>
          <w:rtl/>
          <w:lang w:bidi="ar-SY"/>
        </w:rPr>
        <w:t xml:space="preserve"> </w:t>
      </w:r>
      <w:r w:rsidR="00EF2588" w:rsidRPr="00394385">
        <w:rPr>
          <w:rFonts w:ascii="Abo-thar" w:hAnsi="Abo-thar" w:cs="KFGQPC Uthman Taha Naskh" w:hint="cs"/>
          <w:sz w:val="28"/>
          <w:rtl/>
          <w:lang w:bidi="ar-SY"/>
        </w:rPr>
        <w:t>«</w:t>
      </w:r>
      <w:r w:rsidRPr="00394385">
        <w:rPr>
          <w:rFonts w:ascii="Abo-thar" w:hAnsi="Abo-thar" w:cs="KFGQPC Uthman Taha Naskh"/>
          <w:bCs/>
          <w:sz w:val="28"/>
          <w:rtl/>
          <w:lang w:bidi="ar-SY"/>
        </w:rPr>
        <w:t>إِنِّي كُنْتُ وُلِّيتُ الغَوْصَ</w:t>
      </w:r>
      <w:r w:rsidR="00EF2588" w:rsidRPr="00394385">
        <w:rPr>
          <w:rFonts w:ascii="Abo-thar" w:hAnsi="Abo-thar" w:cs="KFGQPC Uthman Taha Naskh" w:hint="cs"/>
          <w:sz w:val="28"/>
          <w:rtl/>
          <w:lang w:bidi="ar-SY"/>
        </w:rPr>
        <w:t>»</w:t>
      </w:r>
      <w:r w:rsidRPr="003F3B94">
        <w:rPr>
          <w:rFonts w:ascii="Abo-thar" w:hAnsi="Abo-thar" w:hint="cs"/>
          <w:sz w:val="28"/>
          <w:rtl/>
          <w:lang w:bidi="ar-SY"/>
        </w:rPr>
        <w:t xml:space="preserve"> وكلها لا علاقة لها أبداً بغنائم الحرب</w:t>
      </w:r>
      <w:r w:rsidR="00217AB4" w:rsidRPr="003F3B94">
        <w:rPr>
          <w:rFonts w:ascii="Abo-thar" w:hAnsi="Abo-thar" w:hint="cs"/>
          <w:sz w:val="28"/>
          <w:rtl/>
          <w:lang w:bidi="ar-SY"/>
        </w:rPr>
        <w:t>.</w:t>
      </w:r>
    </w:p>
    <w:p w:rsidR="005C664D" w:rsidRPr="003F3B94" w:rsidRDefault="005C664D" w:rsidP="003F3B94">
      <w:pPr>
        <w:pStyle w:val="a0"/>
        <w:rPr>
          <w:rFonts w:hint="cs"/>
          <w:rtl/>
          <w:lang w:bidi="ar-SY"/>
        </w:rPr>
      </w:pPr>
      <w:r w:rsidRPr="003F3B94">
        <w:rPr>
          <w:rFonts w:ascii="Abo-thar" w:hAnsi="Abo-thar" w:hint="cs"/>
          <w:sz w:val="28"/>
          <w:rtl/>
          <w:lang w:bidi="ar-SY"/>
        </w:rPr>
        <w:t>وفي الحديث الحادي والعشرين يقول الإمام</w:t>
      </w:r>
      <w:r w:rsidR="00217AB4" w:rsidRPr="003F3B94">
        <w:rPr>
          <w:rFonts w:ascii="Abo-thar" w:hAnsi="Abo-thar" w:hint="cs"/>
          <w:sz w:val="28"/>
          <w:rtl/>
          <w:lang w:bidi="ar-SY"/>
        </w:rPr>
        <w:t>:</w:t>
      </w:r>
      <w:r w:rsidRPr="003F3B94">
        <w:rPr>
          <w:rFonts w:ascii="Abo-thar" w:hAnsi="Abo-thar" w:hint="cs"/>
          <w:sz w:val="28"/>
          <w:rtl/>
          <w:lang w:bidi="ar-SY"/>
        </w:rPr>
        <w:t xml:space="preserve"> </w:t>
      </w:r>
      <w:r w:rsidR="00EF2588" w:rsidRPr="00394385">
        <w:rPr>
          <w:rFonts w:ascii="Abo-thar" w:hAnsi="Abo-thar" w:cs="KFGQPC Uthman Taha Naskh" w:hint="cs"/>
          <w:sz w:val="28"/>
          <w:rtl/>
          <w:lang w:bidi="ar-SY"/>
        </w:rPr>
        <w:t>«</w:t>
      </w:r>
      <w:r w:rsidRPr="00394385">
        <w:rPr>
          <w:rFonts w:ascii="Abo-thar" w:hAnsi="Abo-thar" w:cs="KFGQPC Uthman Taha Naskh"/>
          <w:bCs/>
          <w:sz w:val="28"/>
          <w:rtl/>
          <w:lang w:bidi="ar-SY"/>
        </w:rPr>
        <w:t>فَمَا سَقَتْ أَوِ اسْتَقَتْ فَهُوَ لَنَا ومَا كَانَ لَنَا فَهُوَ لِشِيعَتِنَا</w:t>
      </w:r>
      <w:r w:rsidR="00EF2588" w:rsidRPr="00394385">
        <w:rPr>
          <w:rFonts w:ascii="Abo-thar" w:hAnsi="Abo-thar" w:cs="KFGQPC Uthman Taha Naskh" w:hint="cs"/>
          <w:sz w:val="28"/>
          <w:rtl/>
          <w:lang w:bidi="ar-SY"/>
        </w:rPr>
        <w:t>»</w:t>
      </w:r>
      <w:r w:rsidR="00147857" w:rsidRPr="003F3B94">
        <w:rPr>
          <w:rFonts w:ascii="Abo-thar" w:hAnsi="Abo-thar" w:hint="cs"/>
          <w:sz w:val="28"/>
          <w:rtl/>
          <w:lang w:bidi="ar-SY"/>
        </w:rPr>
        <w:t xml:space="preserve"> </w:t>
      </w:r>
      <w:r w:rsidRPr="003F3B94">
        <w:rPr>
          <w:rFonts w:ascii="Abo-thar" w:hAnsi="Abo-thar" w:hint="cs"/>
          <w:sz w:val="28"/>
          <w:rtl/>
          <w:lang w:bidi="ar-SY"/>
        </w:rPr>
        <w:t>إلى أن يقول</w:t>
      </w:r>
      <w:r w:rsidR="00217AB4" w:rsidRPr="003F3B94">
        <w:rPr>
          <w:rFonts w:ascii="Abo-thar" w:hAnsi="Abo-thar" w:hint="cs"/>
          <w:sz w:val="28"/>
          <w:rtl/>
          <w:lang w:bidi="ar-SY"/>
        </w:rPr>
        <w:t>:</w:t>
      </w:r>
      <w:r w:rsidRPr="003F3B94">
        <w:rPr>
          <w:rFonts w:ascii="Abo-thar" w:hAnsi="Abo-thar" w:hint="cs"/>
          <w:sz w:val="28"/>
          <w:rtl/>
          <w:lang w:bidi="ar-SY"/>
        </w:rPr>
        <w:t xml:space="preserve"> </w:t>
      </w:r>
      <w:r w:rsidR="00EF2588" w:rsidRPr="00394385">
        <w:rPr>
          <w:rFonts w:ascii="Abo-thar" w:hAnsi="Abo-thar" w:cs="KFGQPC Uthman Taha Naskh" w:hint="cs"/>
          <w:sz w:val="28"/>
          <w:rtl/>
          <w:lang w:bidi="ar-SY"/>
        </w:rPr>
        <w:t>«</w:t>
      </w:r>
      <w:r w:rsidRPr="00394385">
        <w:rPr>
          <w:rFonts w:ascii="Abo-thar" w:hAnsi="Abo-thar" w:cs="KFGQPC Uthman Taha Naskh"/>
          <w:bCs/>
          <w:sz w:val="28"/>
          <w:rtl/>
          <w:lang w:bidi="ar-SY"/>
        </w:rPr>
        <w:t>وإِنَّ وَلِيَّنَا لَفِي أَوْسَعَ فِيمَا بَيْنَ ذِهْ إِلَى ذِهْ يَعْنِي بَيْنَ السَّمَاءِ والْأَرْضِ</w:t>
      </w:r>
      <w:r w:rsidR="00EF2588" w:rsidRPr="00394385">
        <w:rPr>
          <w:rFonts w:ascii="Abo-thar" w:hAnsi="Abo-thar" w:cs="KFGQPC Uthman Taha Naskh" w:hint="cs"/>
          <w:sz w:val="28"/>
          <w:rtl/>
          <w:lang w:bidi="ar-SY"/>
        </w:rPr>
        <w:t>»</w:t>
      </w:r>
      <w:r w:rsidRPr="003F3B94">
        <w:rPr>
          <w:rFonts w:ascii="Abo-thar" w:hAnsi="Abo-thar" w:hint="cs"/>
          <w:sz w:val="28"/>
          <w:rtl/>
          <w:lang w:bidi="ar-SY"/>
        </w:rPr>
        <w:t xml:space="preserve"> ومن الواضح تماماً أن الأموال التي سعتها ما بين السماء والأرض ليست هي غنائم الحرب التي لا تقع إلا في حالات قليلة</w:t>
      </w:r>
      <w:r w:rsidR="00217AB4" w:rsidRPr="003F3B94">
        <w:rPr>
          <w:rFonts w:ascii="Abo-thar" w:hAnsi="Abo-thar" w:hint="cs"/>
          <w:sz w:val="28"/>
          <w:rtl/>
          <w:lang w:bidi="ar-SY"/>
        </w:rPr>
        <w:t>.</w:t>
      </w:r>
      <w:r w:rsidRPr="003F3B94">
        <w:rPr>
          <w:rFonts w:ascii="Abo-thar" w:hAnsi="Abo-thar" w:hint="cs"/>
          <w:sz w:val="28"/>
          <w:rtl/>
          <w:lang w:bidi="ar-SY"/>
        </w:rPr>
        <w:t xml:space="preserve"> وهكذا جاء في الحديث الثالث والعشرين كلامٌ عن الميراث والتجارة والجائزة</w:t>
      </w:r>
      <w:r w:rsidR="00217AB4" w:rsidRPr="003F3B94">
        <w:rPr>
          <w:rFonts w:ascii="Abo-thar" w:hAnsi="Abo-thar" w:hint="cs"/>
          <w:sz w:val="28"/>
          <w:rtl/>
          <w:lang w:bidi="ar-SY"/>
        </w:rPr>
        <w:t>،</w:t>
      </w:r>
      <w:r w:rsidRPr="003F3B94">
        <w:rPr>
          <w:rFonts w:ascii="Abo-thar" w:hAnsi="Abo-thar" w:hint="cs"/>
          <w:sz w:val="28"/>
          <w:rtl/>
          <w:lang w:bidi="ar-SY"/>
        </w:rPr>
        <w:t xml:space="preserve"> وفي الحديث السابع والعشرين الحديث عن المأكل والمشروب الذي يفيد عموم الأموال</w:t>
      </w:r>
      <w:r w:rsidR="00217AB4" w:rsidRPr="003F3B94">
        <w:rPr>
          <w:rFonts w:ascii="Abo-thar" w:hAnsi="Abo-thar" w:hint="cs"/>
          <w:sz w:val="28"/>
          <w:rtl/>
          <w:lang w:bidi="ar-SY"/>
        </w:rPr>
        <w:t>،</w:t>
      </w:r>
      <w:r w:rsidRPr="003F3B94">
        <w:rPr>
          <w:rFonts w:ascii="Abo-thar" w:hAnsi="Abo-thar" w:hint="cs"/>
          <w:sz w:val="28"/>
          <w:rtl/>
          <w:lang w:bidi="ar-SY"/>
        </w:rPr>
        <w:t xml:space="preserve"> وأن التحليل خمسها للشيعة يفيد تحليل جميع أنواع الخمس لهم من جميع الأموال المُتَصَوَّرة</w:t>
      </w:r>
      <w:r w:rsidR="00217AB4" w:rsidRPr="003F3B94">
        <w:rPr>
          <w:rFonts w:ascii="Abo-thar" w:hAnsi="Abo-thar" w:hint="cs"/>
          <w:sz w:val="28"/>
          <w:rtl/>
          <w:lang w:bidi="ar-SY"/>
        </w:rPr>
        <w:t>.</w:t>
      </w:r>
    </w:p>
    <w:p w:rsidR="005C664D" w:rsidRPr="003F3B94" w:rsidRDefault="005C664D" w:rsidP="003F3B94">
      <w:pPr>
        <w:pStyle w:val="a0"/>
        <w:rPr>
          <w:rFonts w:hint="cs"/>
          <w:rtl/>
          <w:lang w:bidi="ar-SY"/>
        </w:rPr>
      </w:pPr>
      <w:r w:rsidRPr="003F3B94">
        <w:rPr>
          <w:rFonts w:ascii="Abo-thar" w:hAnsi="Abo-thar" w:hint="cs"/>
          <w:b/>
          <w:bCs/>
          <w:sz w:val="28"/>
          <w:rtl/>
          <w:lang w:bidi="ar-SY"/>
        </w:rPr>
        <w:t>الإشكال الثالث</w:t>
      </w:r>
      <w:r w:rsidR="00217AB4" w:rsidRPr="003F3B94">
        <w:rPr>
          <w:rFonts w:ascii="Abo-thar" w:hAnsi="Abo-thar" w:hint="cs"/>
          <w:b/>
          <w:bCs/>
          <w:sz w:val="28"/>
          <w:rtl/>
          <w:lang w:bidi="ar-SY"/>
        </w:rPr>
        <w:t>:</w:t>
      </w:r>
      <w:r w:rsidRPr="003F3B94">
        <w:rPr>
          <w:rFonts w:ascii="Abo-thar" w:hAnsi="Abo-thar" w:hint="cs"/>
          <w:sz w:val="28"/>
          <w:rtl/>
          <w:lang w:bidi="ar-SY"/>
        </w:rPr>
        <w:t xml:space="preserve"> الذي طرح في هذا الصدد وهو إشكال واه جداً ولا مورد له بل لا يستحق الالتفات إليه أصلاً</w:t>
      </w:r>
      <w:r w:rsidR="001E0DB7" w:rsidRPr="003F3B94">
        <w:rPr>
          <w:rFonts w:ascii="Abo-thar" w:hAnsi="Abo-thar" w:hint="cs"/>
          <w:sz w:val="28"/>
          <w:rtl/>
          <w:lang w:bidi="ar-SY"/>
        </w:rPr>
        <w:t>،</w:t>
      </w:r>
      <w:r w:rsidRPr="003F3B94">
        <w:rPr>
          <w:rFonts w:ascii="Abo-thar" w:hAnsi="Abo-thar" w:hint="cs"/>
          <w:sz w:val="28"/>
          <w:rtl/>
          <w:lang w:bidi="ar-SY"/>
        </w:rPr>
        <w:t xml:space="preserve"> هو أن كل إمام يحق له أن يتصدق بسهمه على شيعته ويحلله لهم</w:t>
      </w:r>
      <w:r w:rsidR="001E0DB7" w:rsidRPr="003F3B94">
        <w:rPr>
          <w:rFonts w:ascii="Abo-thar" w:hAnsi="Abo-thar" w:hint="cs"/>
          <w:sz w:val="28"/>
          <w:rtl/>
          <w:lang w:bidi="ar-SY"/>
        </w:rPr>
        <w:t>،</w:t>
      </w:r>
      <w:r w:rsidRPr="003F3B94">
        <w:rPr>
          <w:rFonts w:ascii="Abo-thar" w:hAnsi="Abo-thar" w:hint="cs"/>
          <w:sz w:val="28"/>
          <w:rtl/>
          <w:lang w:bidi="ar-SY"/>
        </w:rPr>
        <w:t xml:space="preserve"> ولكنه لا يحق له أن يحلل سهم الإمام الذي بعده</w:t>
      </w:r>
      <w:r w:rsidR="001E0DB7" w:rsidRPr="003F3B94">
        <w:rPr>
          <w:rFonts w:ascii="Abo-thar" w:hAnsi="Abo-thar" w:hint="cs"/>
          <w:sz w:val="28"/>
          <w:rtl/>
          <w:lang w:bidi="ar-SY"/>
        </w:rPr>
        <w:t>،</w:t>
      </w:r>
      <w:r w:rsidRPr="003F3B94">
        <w:rPr>
          <w:rFonts w:ascii="Abo-thar" w:hAnsi="Abo-thar" w:hint="cs"/>
          <w:sz w:val="28"/>
          <w:rtl/>
          <w:lang w:bidi="ar-SY"/>
        </w:rPr>
        <w:t xml:space="preserve"> بل إن الذين أشكلوا هذا الإشكال وذكروا هذه الشبهة قالوا ليس للإمام الحق في تحليل السهم المتعلق بالسادة </w:t>
      </w:r>
      <w:r w:rsidR="00217AB4" w:rsidRPr="003F3B94">
        <w:rPr>
          <w:rFonts w:ascii="Abo-thar" w:hAnsi="Abo-thar" w:hint="cs"/>
          <w:sz w:val="28"/>
          <w:rtl/>
          <w:lang w:bidi="ar-SY"/>
        </w:rPr>
        <w:t>(</w:t>
      </w:r>
      <w:r w:rsidRPr="003F3B94">
        <w:rPr>
          <w:rFonts w:ascii="Abo-thar" w:hAnsi="Abo-thar" w:hint="cs"/>
          <w:sz w:val="28"/>
          <w:rtl/>
          <w:lang w:bidi="ar-SY"/>
        </w:rPr>
        <w:t>بني هاشم</w:t>
      </w:r>
      <w:r w:rsidR="00217AB4" w:rsidRPr="003F3B94">
        <w:rPr>
          <w:rFonts w:ascii="Abo-thar" w:hAnsi="Abo-thar" w:hint="cs"/>
          <w:sz w:val="28"/>
          <w:rtl/>
          <w:lang w:bidi="ar-SY"/>
        </w:rPr>
        <w:t>)</w:t>
      </w:r>
      <w:r w:rsidRPr="003F3B94">
        <w:rPr>
          <w:rFonts w:ascii="Abo-thar" w:hAnsi="Abo-thar" w:hint="cs"/>
          <w:sz w:val="28"/>
          <w:rtl/>
          <w:lang w:bidi="ar-SY"/>
        </w:rPr>
        <w:t xml:space="preserve"> من أرباح المكاسب للشيعة والتصدق به عليهم</w:t>
      </w:r>
      <w:r w:rsidR="00217AB4" w:rsidRPr="003F3B94">
        <w:rPr>
          <w:rFonts w:ascii="Abo-thar" w:hAnsi="Abo-thar" w:hint="cs"/>
          <w:sz w:val="28"/>
          <w:rtl/>
          <w:lang w:bidi="ar-SY"/>
        </w:rPr>
        <w:t>.</w:t>
      </w:r>
      <w:r w:rsidRPr="003F3B94">
        <w:rPr>
          <w:rFonts w:ascii="Abo-thar" w:hAnsi="Abo-thar" w:hint="cs"/>
          <w:sz w:val="28"/>
          <w:rtl/>
          <w:lang w:bidi="ar-SY"/>
        </w:rPr>
        <w:t xml:space="preserve"> </w:t>
      </w:r>
    </w:p>
    <w:p w:rsidR="005C664D" w:rsidRPr="003F3B94" w:rsidRDefault="005C664D" w:rsidP="003F3B94">
      <w:pPr>
        <w:pStyle w:val="a0"/>
        <w:rPr>
          <w:rFonts w:hint="cs"/>
          <w:rtl/>
          <w:lang w:bidi="ar-SY"/>
        </w:rPr>
      </w:pPr>
      <w:r w:rsidRPr="003F3B94">
        <w:rPr>
          <w:rFonts w:ascii="Abo-thar" w:hAnsi="Abo-thar" w:hint="cs"/>
          <w:sz w:val="28"/>
          <w:rtl/>
          <w:lang w:bidi="ar-SY"/>
        </w:rPr>
        <w:t>ونحن لن نتعرض للقسم الأخير من هذا الإشكال وذلك لأنه قد ثبت لمن قرأ ما أوردناه في كتابنا هذا حتى الآن أنه ليس للسادة من بني هاشم حق في خمس أرباح المكاسب والتجارات وأنه لو فرض أن ثمة حق فإنه خاص بالإمام وحده فقط</w:t>
      </w:r>
      <w:r w:rsidR="00217AB4" w:rsidRPr="003F3B94">
        <w:rPr>
          <w:rFonts w:ascii="Abo-thar" w:hAnsi="Abo-thar" w:hint="cs"/>
          <w:sz w:val="28"/>
          <w:rtl/>
          <w:lang w:bidi="ar-SY"/>
        </w:rPr>
        <w:t>.</w:t>
      </w:r>
      <w:r w:rsidRPr="003F3B94">
        <w:rPr>
          <w:rFonts w:ascii="Abo-thar" w:hAnsi="Abo-thar" w:hint="cs"/>
          <w:sz w:val="28"/>
          <w:rtl/>
          <w:lang w:bidi="ar-SY"/>
        </w:rPr>
        <w:t xml:space="preserve"> أما قولهم بأن كل إمام يحق له أن يتصدق بسهمه على الشيعة ولا يحق له التصرف بسهم الإمام الذي بعده</w:t>
      </w:r>
      <w:r w:rsidR="001E0DB7" w:rsidRPr="003F3B94">
        <w:rPr>
          <w:rFonts w:ascii="Abo-thar" w:hAnsi="Abo-thar" w:hint="cs"/>
          <w:sz w:val="28"/>
          <w:rtl/>
          <w:lang w:bidi="ar-SY"/>
        </w:rPr>
        <w:t>،</w:t>
      </w:r>
      <w:r w:rsidRPr="003F3B94">
        <w:rPr>
          <w:rFonts w:ascii="Abo-thar" w:hAnsi="Abo-thar" w:hint="cs"/>
          <w:sz w:val="28"/>
          <w:rtl/>
          <w:lang w:bidi="ar-SY"/>
        </w:rPr>
        <w:t xml:space="preserve"> ولعلهم يريدون القول أنه لا بد من أخذ سهم إمام الزمان من الشيعة في هذا العصر</w:t>
      </w:r>
      <w:r w:rsidR="00217AB4" w:rsidRPr="003F3B94">
        <w:rPr>
          <w:rFonts w:ascii="Abo-thar" w:hAnsi="Abo-thar" w:hint="cs"/>
          <w:sz w:val="28"/>
          <w:rtl/>
          <w:lang w:bidi="ar-SY"/>
        </w:rPr>
        <w:t>؟!</w:t>
      </w:r>
      <w:r w:rsidRPr="003F3B94">
        <w:rPr>
          <w:rFonts w:ascii="Abo-thar" w:hAnsi="Abo-thar" w:hint="cs"/>
          <w:sz w:val="28"/>
          <w:rtl/>
          <w:lang w:bidi="ar-SY"/>
        </w:rPr>
        <w:t xml:space="preserve"> </w:t>
      </w:r>
    </w:p>
    <w:p w:rsidR="00A117F0" w:rsidRPr="003F3B94" w:rsidRDefault="005C664D" w:rsidP="003F3B94">
      <w:pPr>
        <w:pStyle w:val="a0"/>
        <w:rPr>
          <w:rFonts w:hint="cs"/>
          <w:rtl/>
          <w:lang w:bidi="ar-SY"/>
        </w:rPr>
      </w:pPr>
      <w:r w:rsidRPr="003F3B94">
        <w:rPr>
          <w:rFonts w:ascii="Abo-thar" w:hAnsi="Abo-thar" w:hint="cs"/>
          <w:b/>
          <w:bCs/>
          <w:sz w:val="28"/>
          <w:rtl/>
          <w:lang w:bidi="ar-SY"/>
        </w:rPr>
        <w:t>فالجواب أن هذا الإشكال باطل من جميع الأوجه</w:t>
      </w:r>
      <w:r w:rsidR="00217AB4" w:rsidRPr="003F3B94">
        <w:rPr>
          <w:rFonts w:ascii="Abo-thar" w:hAnsi="Abo-thar" w:hint="cs"/>
          <w:b/>
          <w:bCs/>
          <w:sz w:val="28"/>
          <w:rtl/>
          <w:lang w:bidi="ar-SY"/>
        </w:rPr>
        <w:t>:</w:t>
      </w:r>
      <w:r w:rsidRPr="003F3B94">
        <w:rPr>
          <w:rFonts w:ascii="Abo-thar" w:hAnsi="Abo-thar" w:hint="cs"/>
          <w:sz w:val="28"/>
          <w:rtl/>
          <w:lang w:bidi="ar-SY"/>
        </w:rPr>
        <w:t xml:space="preserve"> </w:t>
      </w:r>
    </w:p>
    <w:p w:rsidR="00D945AA" w:rsidRPr="003F3B94" w:rsidRDefault="005C664D" w:rsidP="003F3B94">
      <w:pPr>
        <w:pStyle w:val="a0"/>
        <w:rPr>
          <w:rFonts w:hint="cs"/>
          <w:rtl/>
          <w:lang w:bidi="ar-SY"/>
        </w:rPr>
      </w:pPr>
      <w:r w:rsidRPr="003F3B94">
        <w:rPr>
          <w:rFonts w:ascii="Abo-thar" w:hAnsi="Abo-thar" w:hint="cs"/>
          <w:b/>
          <w:bCs/>
          <w:sz w:val="28"/>
          <w:rtl/>
          <w:lang w:bidi="ar-SY"/>
        </w:rPr>
        <w:t>أولاً</w:t>
      </w:r>
      <w:r w:rsidR="00A117F0" w:rsidRPr="003F3B94">
        <w:rPr>
          <w:rFonts w:ascii="Abo-thar" w:hAnsi="Abo-thar" w:hint="cs"/>
          <w:b/>
          <w:bCs/>
          <w:sz w:val="28"/>
          <w:rtl/>
          <w:lang w:bidi="ar-SY"/>
        </w:rPr>
        <w:t>:</w:t>
      </w:r>
      <w:r w:rsidRPr="003F3B94">
        <w:rPr>
          <w:rFonts w:ascii="Abo-thar" w:hAnsi="Abo-thar" w:hint="cs"/>
          <w:sz w:val="28"/>
          <w:rtl/>
          <w:lang w:bidi="ar-SY"/>
        </w:rPr>
        <w:t xml:space="preserve"> لأن الأحاديث صريحة بأن الحقوق التي تم التصدق بها وتحليلها تتعلق بجميع الأزمنة ولا تنحصر بزمان إمام الوقت</w:t>
      </w:r>
      <w:r w:rsidR="00217AB4" w:rsidRPr="003F3B94">
        <w:rPr>
          <w:rFonts w:ascii="Abo-thar" w:hAnsi="Abo-thar" w:hint="cs"/>
          <w:sz w:val="28"/>
          <w:rtl/>
          <w:lang w:bidi="ar-SY"/>
        </w:rPr>
        <w:t>.</w:t>
      </w:r>
      <w:r w:rsidRPr="003F3B94">
        <w:rPr>
          <w:rFonts w:ascii="Abo-thar" w:hAnsi="Abo-thar" w:hint="cs"/>
          <w:sz w:val="28"/>
          <w:rtl/>
          <w:lang w:bidi="ar-SY"/>
        </w:rPr>
        <w:t xml:space="preserve"> فمثلاً جاء في الحديث الأول</w:t>
      </w:r>
      <w:r w:rsidR="00217AB4" w:rsidRPr="003F3B94">
        <w:rPr>
          <w:rFonts w:ascii="Abo-thar" w:hAnsi="Abo-thar" w:hint="cs"/>
          <w:sz w:val="28"/>
          <w:rtl/>
          <w:lang w:bidi="ar-SY"/>
        </w:rPr>
        <w:t>:</w:t>
      </w:r>
      <w:r w:rsidR="00147857" w:rsidRPr="003F3B94">
        <w:rPr>
          <w:rFonts w:ascii="Abo-thar" w:hAnsi="Abo-thar" w:hint="cs"/>
          <w:sz w:val="28"/>
          <w:rtl/>
          <w:lang w:bidi="ar-SY"/>
        </w:rPr>
        <w:t xml:space="preserve"> </w:t>
      </w:r>
      <w:r w:rsidRPr="003F3B94">
        <w:rPr>
          <w:rFonts w:ascii="Abo-thar" w:hAnsi="Abo-thar" w:hint="cs"/>
          <w:sz w:val="28"/>
          <w:rtl/>
          <w:lang w:bidi="ar-SY"/>
        </w:rPr>
        <w:t>الذي روي عن أمير المؤمنين</w:t>
      </w:r>
      <w:r w:rsidR="00147857" w:rsidRPr="003F3B94">
        <w:rPr>
          <w:rFonts w:ascii="Abo-thar" w:hAnsi="Abo-thar" w:hint="cs"/>
          <w:sz w:val="28"/>
          <w:rtl/>
          <w:lang w:bidi="ar-SY"/>
        </w:rPr>
        <w:t xml:space="preserve"> </w:t>
      </w:r>
      <w:r w:rsidR="003C7AEB" w:rsidRPr="003C7AEB">
        <w:rPr>
          <w:rFonts w:ascii="Abo-thar" w:hAnsi="Abo-thar" w:cs="CTraditional Arabic"/>
          <w:sz w:val="28"/>
          <w:rtl/>
          <w:lang w:bidi="ar-SY"/>
        </w:rPr>
        <w:t>÷</w:t>
      </w:r>
      <w:r w:rsidR="00147857" w:rsidRPr="003F3B94">
        <w:rPr>
          <w:rFonts w:ascii="Abo-thar" w:hAnsi="Abo-thar"/>
          <w:sz w:val="28"/>
          <w:rtl/>
          <w:lang w:bidi="ar-SY"/>
        </w:rPr>
        <w:t xml:space="preserve"> </w:t>
      </w:r>
      <w:r w:rsidRPr="003F3B94">
        <w:rPr>
          <w:rFonts w:ascii="Abo-thar" w:hAnsi="Abo-thar" w:hint="cs"/>
          <w:sz w:val="28"/>
          <w:rtl/>
          <w:lang w:bidi="ar-SY"/>
        </w:rPr>
        <w:t>أنه قال</w:t>
      </w:r>
      <w:r w:rsidR="00217AB4" w:rsidRPr="003F3B94">
        <w:rPr>
          <w:rFonts w:ascii="Abo-thar" w:hAnsi="Abo-thar" w:hint="cs"/>
          <w:sz w:val="28"/>
          <w:rtl/>
          <w:lang w:bidi="ar-SY"/>
        </w:rPr>
        <w:t>:</w:t>
      </w:r>
      <w:r w:rsidRPr="003F3B94">
        <w:rPr>
          <w:rFonts w:ascii="Abo-thar" w:hAnsi="Abo-thar" w:hint="cs"/>
          <w:sz w:val="28"/>
          <w:rtl/>
          <w:lang w:bidi="ar-SY"/>
        </w:rPr>
        <w:t xml:space="preserve"> </w:t>
      </w:r>
      <w:r w:rsidR="00EF2588" w:rsidRPr="00394385">
        <w:rPr>
          <w:rFonts w:ascii="Abo-thar" w:hAnsi="Abo-thar" w:cs="KFGQPC Uthman Taha Naskh" w:hint="cs"/>
          <w:sz w:val="28"/>
          <w:rtl/>
          <w:lang w:bidi="ar-SY"/>
        </w:rPr>
        <w:t>«</w:t>
      </w:r>
      <w:r w:rsidR="00217AB4" w:rsidRPr="00394385">
        <w:rPr>
          <w:rFonts w:ascii="Abo-thar" w:hAnsi="Abo-thar" w:cs="KFGQPC Uthman Taha Naskh" w:hint="cs"/>
          <w:sz w:val="28"/>
          <w:rtl/>
          <w:lang w:bidi="ar-SY"/>
        </w:rPr>
        <w:t>..</w:t>
      </w:r>
      <w:r w:rsidRPr="00394385">
        <w:rPr>
          <w:rFonts w:ascii="Abo-thar" w:hAnsi="Abo-thar" w:cs="KFGQPC Uthman Taha Naskh"/>
          <w:b/>
          <w:bCs/>
          <w:sz w:val="28"/>
          <w:rtl/>
          <w:lang w:bidi="ar-SY"/>
        </w:rPr>
        <w:t xml:space="preserve">أَلَا وإِنَّ شِيعَتَنَا مِنْ ذَلِكَ وآبَاءَهُمْ </w:t>
      </w:r>
      <w:r w:rsidRPr="00394385">
        <w:rPr>
          <w:rFonts w:cs="Times New Roman" w:hint="cs"/>
          <w:b/>
          <w:bCs/>
          <w:sz w:val="28"/>
          <w:rtl/>
          <w:lang w:bidi="ar-SY"/>
        </w:rPr>
        <w:t>–</w:t>
      </w:r>
      <w:r w:rsidRPr="00394385">
        <w:rPr>
          <w:rFonts w:ascii="Abo-thar" w:hAnsi="Abo-thar" w:cs="KFGQPC Uthman Taha Naskh" w:hint="cs"/>
          <w:b/>
          <w:bCs/>
          <w:sz w:val="28"/>
          <w:rtl/>
          <w:lang w:bidi="ar-SY"/>
        </w:rPr>
        <w:t xml:space="preserve"> وفي رواية الصدوق</w:t>
      </w:r>
      <w:r w:rsidR="00217AB4" w:rsidRPr="00394385">
        <w:rPr>
          <w:rFonts w:ascii="Abo-thar" w:hAnsi="Abo-thar" w:cs="KFGQPC Uthman Taha Naskh" w:hint="cs"/>
          <w:b/>
          <w:bCs/>
          <w:sz w:val="28"/>
          <w:rtl/>
          <w:lang w:bidi="ar-SY"/>
        </w:rPr>
        <w:t>:</w:t>
      </w:r>
      <w:r w:rsidRPr="00394385">
        <w:rPr>
          <w:rFonts w:ascii="Abo-thar" w:hAnsi="Abo-thar" w:cs="KFGQPC Uthman Taha Naskh" w:hint="cs"/>
          <w:b/>
          <w:bCs/>
          <w:sz w:val="28"/>
          <w:rtl/>
          <w:lang w:bidi="ar-SY"/>
        </w:rPr>
        <w:t xml:space="preserve"> وأبناءَهم </w:t>
      </w:r>
      <w:r w:rsidR="00217AB4" w:rsidRPr="00394385">
        <w:rPr>
          <w:rFonts w:ascii="Abo-thar" w:hAnsi="Abo-thar" w:cs="KFGQPC Uthman Taha Naskh" w:hint="cs"/>
          <w:b/>
          <w:bCs/>
          <w:sz w:val="28"/>
          <w:rtl/>
          <w:lang w:bidi="ar-SY"/>
        </w:rPr>
        <w:t>-</w:t>
      </w:r>
      <w:r w:rsidRPr="00394385">
        <w:rPr>
          <w:rFonts w:ascii="Abo-thar" w:hAnsi="Abo-thar" w:cs="KFGQPC Uthman Taha Naskh" w:hint="cs"/>
          <w:b/>
          <w:bCs/>
          <w:sz w:val="28"/>
          <w:rtl/>
          <w:lang w:bidi="ar-SY"/>
        </w:rPr>
        <w:t xml:space="preserve"> </w:t>
      </w:r>
      <w:r w:rsidRPr="00394385">
        <w:rPr>
          <w:rFonts w:ascii="Abo-thar" w:hAnsi="Abo-thar" w:cs="KFGQPC Uthman Taha Naskh"/>
          <w:b/>
          <w:bCs/>
          <w:sz w:val="28"/>
          <w:rtl/>
          <w:lang w:bidi="ar-SY"/>
        </w:rPr>
        <w:t>فِي حِلٍّ</w:t>
      </w:r>
      <w:r w:rsidR="00EF2588" w:rsidRPr="00394385">
        <w:rPr>
          <w:rFonts w:ascii="Abo-thar" w:hAnsi="Abo-thar" w:cs="KFGQPC Uthman Taha Naskh" w:hint="cs"/>
          <w:sz w:val="28"/>
          <w:rtl/>
          <w:lang w:bidi="ar-SY"/>
        </w:rPr>
        <w:t>»</w:t>
      </w:r>
      <w:r w:rsidR="00D945AA" w:rsidRPr="003F3B94">
        <w:rPr>
          <w:rFonts w:ascii="Abo-thar" w:hAnsi="Abo-thar" w:hint="cs"/>
          <w:sz w:val="28"/>
          <w:rtl/>
          <w:lang w:bidi="ar-SY"/>
        </w:rPr>
        <w:t>.</w:t>
      </w:r>
    </w:p>
    <w:p w:rsidR="005C664D" w:rsidRPr="003F3B94" w:rsidRDefault="005C664D" w:rsidP="003F3B94">
      <w:pPr>
        <w:pStyle w:val="a0"/>
        <w:rPr>
          <w:rFonts w:hint="cs"/>
          <w:rtl/>
          <w:lang w:bidi="ar-SY"/>
        </w:rPr>
      </w:pPr>
      <w:r w:rsidRPr="003F3B94">
        <w:rPr>
          <w:rFonts w:ascii="Abo-thar" w:hAnsi="Abo-thar" w:hint="cs"/>
          <w:sz w:val="28"/>
          <w:rtl/>
          <w:lang w:bidi="ar-SY"/>
        </w:rPr>
        <w:t>فمن الواضح أن الكلام لا يتعلق بزمن أمير المؤمنين فقط لأن كلمة الآباء والأبناء تفيد العموم ولا تتعلق بزمن خاص</w:t>
      </w:r>
      <w:r w:rsidR="00217AB4" w:rsidRPr="003F3B94">
        <w:rPr>
          <w:rFonts w:ascii="Abo-thar" w:hAnsi="Abo-thar" w:hint="cs"/>
          <w:sz w:val="28"/>
          <w:rtl/>
          <w:lang w:bidi="ar-SY"/>
        </w:rPr>
        <w:t>،</w:t>
      </w:r>
      <w:r w:rsidRPr="003F3B94">
        <w:rPr>
          <w:rFonts w:ascii="Abo-thar" w:hAnsi="Abo-thar" w:hint="cs"/>
          <w:sz w:val="28"/>
          <w:rtl/>
          <w:lang w:bidi="ar-SY"/>
        </w:rPr>
        <w:t xml:space="preserve"> خاصة أن هذا الحديث إنما رواه الإمام الباقر</w:t>
      </w:r>
      <w:r w:rsidR="00147857" w:rsidRPr="003F3B94">
        <w:rPr>
          <w:rFonts w:ascii="Abo-thar" w:hAnsi="Abo-thar" w:hint="cs"/>
          <w:sz w:val="28"/>
          <w:rtl/>
          <w:lang w:bidi="ar-SY"/>
        </w:rPr>
        <w:t xml:space="preserve"> </w:t>
      </w:r>
      <w:r w:rsidR="003C7AEB" w:rsidRPr="003C7AEB">
        <w:rPr>
          <w:rFonts w:ascii="Abo-thar" w:hAnsi="Abo-thar" w:cs="CTraditional Arabic"/>
          <w:sz w:val="28"/>
          <w:rtl/>
          <w:lang w:bidi="ar-SY"/>
        </w:rPr>
        <w:t>÷</w:t>
      </w:r>
      <w:r w:rsidR="00147857" w:rsidRPr="003F3B94">
        <w:rPr>
          <w:rFonts w:ascii="Abo-thar" w:hAnsi="Abo-thar"/>
          <w:sz w:val="28"/>
          <w:rtl/>
          <w:lang w:bidi="ar-SY"/>
        </w:rPr>
        <w:t xml:space="preserve"> </w:t>
      </w:r>
      <w:r w:rsidRPr="003F3B94">
        <w:rPr>
          <w:rFonts w:ascii="Abo-thar" w:hAnsi="Abo-thar" w:hint="cs"/>
          <w:sz w:val="28"/>
          <w:rtl/>
          <w:lang w:bidi="ar-SY"/>
        </w:rPr>
        <w:t>عن الإمام علي</w:t>
      </w:r>
      <w:r w:rsidR="00147857" w:rsidRPr="003F3B94">
        <w:rPr>
          <w:rFonts w:ascii="Abo-thar" w:hAnsi="Abo-thar" w:hint="cs"/>
          <w:sz w:val="28"/>
          <w:rtl/>
          <w:lang w:bidi="ar-SY"/>
        </w:rPr>
        <w:t xml:space="preserve"> </w:t>
      </w:r>
      <w:r w:rsidR="003C7AEB" w:rsidRPr="003C7AEB">
        <w:rPr>
          <w:rFonts w:ascii="Abo-thar" w:hAnsi="Abo-thar" w:cs="CTraditional Arabic"/>
          <w:sz w:val="28"/>
          <w:rtl/>
          <w:lang w:bidi="ar-SY"/>
        </w:rPr>
        <w:t>÷</w:t>
      </w:r>
      <w:r w:rsidR="00217AB4" w:rsidRPr="003F3B94">
        <w:rPr>
          <w:rFonts w:ascii="Abo-thar" w:hAnsi="Abo-thar"/>
          <w:sz w:val="28"/>
          <w:rtl/>
          <w:lang w:bidi="ar-SY"/>
        </w:rPr>
        <w:t>،</w:t>
      </w:r>
      <w:r w:rsidRPr="003F3B94">
        <w:rPr>
          <w:rFonts w:ascii="Abo-thar" w:hAnsi="Abo-thar" w:hint="cs"/>
          <w:sz w:val="28"/>
          <w:rtl/>
          <w:lang w:bidi="ar-SY"/>
        </w:rPr>
        <w:t xml:space="preserve"> ومن البديهي أن الإمام الباقر لا يريد القول أن الشيعة في زمن عليٍّ</w:t>
      </w:r>
      <w:r w:rsidR="00147857" w:rsidRPr="003F3B94">
        <w:rPr>
          <w:rFonts w:ascii="Abo-thar" w:hAnsi="Abo-thar" w:hint="cs"/>
          <w:sz w:val="28"/>
          <w:rtl/>
          <w:lang w:bidi="ar-SY"/>
        </w:rPr>
        <w:t xml:space="preserve"> </w:t>
      </w:r>
      <w:r w:rsidR="003C7AEB" w:rsidRPr="003C7AEB">
        <w:rPr>
          <w:rFonts w:ascii="Abo-thar" w:hAnsi="Abo-thar" w:cs="CTraditional Arabic"/>
          <w:sz w:val="28"/>
          <w:rtl/>
          <w:lang w:bidi="ar-SY"/>
        </w:rPr>
        <w:t>÷</w:t>
      </w:r>
      <w:r w:rsidR="00147857" w:rsidRPr="003F3B94">
        <w:rPr>
          <w:rFonts w:ascii="Abo-thar" w:hAnsi="Abo-thar"/>
          <w:sz w:val="28"/>
          <w:rtl/>
          <w:lang w:bidi="ar-SY"/>
        </w:rPr>
        <w:t xml:space="preserve"> </w:t>
      </w:r>
      <w:r w:rsidRPr="003F3B94">
        <w:rPr>
          <w:rFonts w:ascii="Abo-thar" w:hAnsi="Abo-thar" w:hint="cs"/>
          <w:sz w:val="28"/>
          <w:rtl/>
          <w:lang w:bidi="ar-SY"/>
        </w:rPr>
        <w:t>أو أبناءهم أو آباءهم فقط كانوا في حلٍّ من الخمس وأن هذا التحليل لا يشمل الآخرين</w:t>
      </w:r>
      <w:r w:rsidR="00217AB4" w:rsidRPr="003F3B94">
        <w:rPr>
          <w:rFonts w:ascii="Abo-thar" w:hAnsi="Abo-thar" w:hint="cs"/>
          <w:sz w:val="28"/>
          <w:rtl/>
          <w:lang w:bidi="ar-SY"/>
        </w:rPr>
        <w:t>،</w:t>
      </w:r>
      <w:r w:rsidRPr="003F3B94">
        <w:rPr>
          <w:rFonts w:ascii="Abo-thar" w:hAnsi="Abo-thar" w:hint="cs"/>
          <w:sz w:val="28"/>
          <w:rtl/>
          <w:lang w:bidi="ar-SY"/>
        </w:rPr>
        <w:t xml:space="preserve"> بل قصده أن التحليل شامل لعامة الشيعة في كل زمن</w:t>
      </w:r>
      <w:r w:rsidR="00217AB4" w:rsidRPr="003F3B94">
        <w:rPr>
          <w:rFonts w:ascii="Abo-thar" w:hAnsi="Abo-thar" w:hint="cs"/>
          <w:sz w:val="28"/>
          <w:rtl/>
          <w:lang w:bidi="ar-SY"/>
        </w:rPr>
        <w:t>.</w:t>
      </w:r>
    </w:p>
    <w:p w:rsidR="005C664D" w:rsidRPr="003F3B94" w:rsidRDefault="005C664D" w:rsidP="003F3B94">
      <w:pPr>
        <w:pStyle w:val="a0"/>
        <w:rPr>
          <w:rFonts w:hint="cs"/>
          <w:rtl/>
          <w:lang w:bidi="ar-SY"/>
        </w:rPr>
      </w:pPr>
      <w:r w:rsidRPr="003F3B94">
        <w:rPr>
          <w:rFonts w:ascii="Abo-thar" w:hAnsi="Abo-thar" w:hint="cs"/>
          <w:sz w:val="28"/>
          <w:rtl/>
          <w:lang w:bidi="ar-SY"/>
        </w:rPr>
        <w:t>وفي الحديث 18 يقول حضرة الصادق</w:t>
      </w:r>
      <w:r w:rsidR="00147857" w:rsidRPr="003F3B94">
        <w:rPr>
          <w:rFonts w:ascii="Abo-thar" w:hAnsi="Abo-thar" w:hint="cs"/>
          <w:sz w:val="28"/>
          <w:rtl/>
          <w:lang w:bidi="ar-SY"/>
        </w:rPr>
        <w:t xml:space="preserve"> </w:t>
      </w:r>
      <w:r w:rsidR="003C7AEB" w:rsidRPr="003C7AEB">
        <w:rPr>
          <w:rFonts w:ascii="Abo-thar" w:hAnsi="Abo-thar" w:cs="CTraditional Arabic"/>
          <w:sz w:val="28"/>
          <w:rtl/>
          <w:lang w:bidi="ar-SY"/>
        </w:rPr>
        <w:t>÷</w:t>
      </w:r>
      <w:r w:rsidR="00217AB4" w:rsidRPr="003F3B94">
        <w:rPr>
          <w:rFonts w:ascii="Abo-thar" w:hAnsi="Abo-thar"/>
          <w:sz w:val="28"/>
          <w:rtl/>
          <w:lang w:bidi="ar-SY"/>
        </w:rPr>
        <w:t>:</w:t>
      </w:r>
      <w:r w:rsidRPr="003F3B94">
        <w:rPr>
          <w:rFonts w:ascii="Abo-thar" w:hAnsi="Abo-thar" w:hint="cs"/>
          <w:sz w:val="28"/>
          <w:rtl/>
          <w:lang w:bidi="ar-SY"/>
        </w:rPr>
        <w:t xml:space="preserve"> </w:t>
      </w:r>
      <w:r w:rsidR="00EF2588" w:rsidRPr="00394385">
        <w:rPr>
          <w:rFonts w:ascii="Abo-thar" w:hAnsi="Abo-thar" w:cs="KFGQPC Uthman Taha Naskh" w:hint="cs"/>
          <w:sz w:val="28"/>
          <w:rtl/>
          <w:lang w:bidi="ar-SY"/>
        </w:rPr>
        <w:t>«</w:t>
      </w:r>
      <w:r w:rsidRPr="00394385">
        <w:rPr>
          <w:rFonts w:ascii="Abo-thar" w:hAnsi="Abo-thar" w:cs="KFGQPC Uthman Taha Naskh"/>
          <w:bCs/>
          <w:sz w:val="28"/>
          <w:rtl/>
          <w:lang w:bidi="ar-SY"/>
        </w:rPr>
        <w:t xml:space="preserve">مُوَسَّعٌ عَلَى شِيعَتِنَا أَنْ يُنْفِقُوا مِمَّا فِي أَيْدِيهِمْ بِالمَعْرُوفِ فَإِذَا قَامَ قَائِمُنَا </w:t>
      </w:r>
      <w:r w:rsidR="00BC4BA9" w:rsidRPr="00BC4BA9">
        <w:rPr>
          <w:rFonts w:ascii="Abo-thar" w:hAnsi="Abo-thar" w:cs="CTraditional Arabic"/>
          <w:sz w:val="28"/>
          <w:rtl/>
          <w:lang w:bidi="ar-SY"/>
        </w:rPr>
        <w:t>÷</w:t>
      </w:r>
      <w:r w:rsidR="00217AB4" w:rsidRPr="00394385">
        <w:rPr>
          <w:rFonts w:ascii="Abo-thar" w:hAnsi="Abo-thar" w:cs="KFGQPC Uthman Taha Naskh" w:hint="cs"/>
          <w:bCs/>
          <w:sz w:val="28"/>
          <w:rtl/>
          <w:lang w:bidi="ar-SY"/>
        </w:rPr>
        <w:t>..</w:t>
      </w:r>
      <w:r w:rsidR="00F456DF" w:rsidRPr="00394385">
        <w:rPr>
          <w:rFonts w:ascii="Abo-thar" w:hAnsi="Abo-thar" w:cs="KFGQPC Uthman Taha Naskh" w:hint="cs"/>
          <w:bCs/>
          <w:sz w:val="28"/>
          <w:rtl/>
          <w:lang w:bidi="ar-SY"/>
        </w:rPr>
        <w:t>.</w:t>
      </w:r>
      <w:r w:rsidR="00EF2588" w:rsidRPr="00394385">
        <w:rPr>
          <w:rFonts w:ascii="Abo-thar" w:hAnsi="Abo-thar" w:cs="KFGQPC Uthman Taha Naskh" w:hint="cs"/>
          <w:sz w:val="28"/>
          <w:rtl/>
          <w:lang w:bidi="ar-SY"/>
        </w:rPr>
        <w:t>»</w:t>
      </w:r>
      <w:r w:rsidR="00F456DF" w:rsidRPr="003F3B94">
        <w:rPr>
          <w:rFonts w:ascii="Abo-thar" w:hAnsi="Abo-thar" w:hint="cs"/>
          <w:sz w:val="28"/>
          <w:rtl/>
          <w:lang w:bidi="ar-SY"/>
        </w:rPr>
        <w:t>.</w:t>
      </w:r>
    </w:p>
    <w:p w:rsidR="005C664D" w:rsidRPr="003F3B94" w:rsidRDefault="005C664D" w:rsidP="003F3B94">
      <w:pPr>
        <w:pStyle w:val="a0"/>
        <w:rPr>
          <w:rFonts w:hint="cs"/>
          <w:rtl/>
          <w:lang w:bidi="ar-SY"/>
        </w:rPr>
      </w:pPr>
      <w:r w:rsidRPr="003F3B94">
        <w:rPr>
          <w:rFonts w:ascii="Abo-thar" w:hAnsi="Abo-thar" w:hint="cs"/>
          <w:sz w:val="28"/>
          <w:rtl/>
          <w:lang w:bidi="ar-SY"/>
        </w:rPr>
        <w:t>وفي الحديث 19 يقول</w:t>
      </w:r>
      <w:r w:rsidR="00217AB4" w:rsidRPr="003F3B94">
        <w:rPr>
          <w:rFonts w:ascii="Abo-thar" w:hAnsi="Abo-thar" w:hint="cs"/>
          <w:sz w:val="28"/>
          <w:rtl/>
          <w:lang w:bidi="ar-SY"/>
        </w:rPr>
        <w:t>:</w:t>
      </w:r>
      <w:r w:rsidRPr="003F3B94">
        <w:rPr>
          <w:rFonts w:ascii="Abo-thar" w:hAnsi="Abo-thar" w:hint="cs"/>
          <w:sz w:val="28"/>
          <w:rtl/>
          <w:lang w:bidi="ar-SY"/>
        </w:rPr>
        <w:t xml:space="preserve"> </w:t>
      </w:r>
      <w:r w:rsidR="00EF2588" w:rsidRPr="00394385">
        <w:rPr>
          <w:rFonts w:ascii="Abo-thar" w:hAnsi="Abo-thar" w:cs="KFGQPC Uthman Taha Naskh" w:hint="cs"/>
          <w:sz w:val="28"/>
          <w:rtl/>
          <w:lang w:bidi="ar-SY"/>
        </w:rPr>
        <w:t>«</w:t>
      </w:r>
      <w:r w:rsidRPr="00394385">
        <w:rPr>
          <w:rFonts w:ascii="Abo-thar" w:hAnsi="Abo-thar" w:cs="KFGQPC Uthman Taha Naskh"/>
          <w:bCs/>
          <w:sz w:val="28"/>
          <w:rtl/>
          <w:lang w:bidi="ar-SY"/>
        </w:rPr>
        <w:t>وكُلُّ مَا كَانَ فِي أَيْدِي شِيعَتِنَا مِنَ الأَرْضِ فَهُمْ فِيهِ مُحَلَّلُونَ ومُحَلَّلٌ لَهُمْ ذَلِكَ إِلَى أَنْ يَقُومَ قَائِمُنَا</w:t>
      </w:r>
      <w:r w:rsidR="00217AB4" w:rsidRPr="00394385">
        <w:rPr>
          <w:rFonts w:ascii="Abo-thar" w:hAnsi="Abo-thar" w:cs="KFGQPC Uthman Taha Naskh" w:hint="cs"/>
          <w:sz w:val="28"/>
          <w:rtl/>
          <w:lang w:bidi="ar-SY"/>
        </w:rPr>
        <w:t>...</w:t>
      </w:r>
      <w:r w:rsidR="00EF2588" w:rsidRPr="00394385">
        <w:rPr>
          <w:rFonts w:ascii="Abo-thar" w:hAnsi="Abo-thar" w:cs="KFGQPC Uthman Taha Naskh" w:hint="cs"/>
          <w:sz w:val="28"/>
          <w:rtl/>
          <w:lang w:bidi="ar-SY"/>
        </w:rPr>
        <w:t>»</w:t>
      </w:r>
      <w:r w:rsidR="00F456DF" w:rsidRPr="003F3B94">
        <w:rPr>
          <w:rFonts w:ascii="Abo-thar" w:hAnsi="Abo-thar" w:hint="cs"/>
          <w:sz w:val="28"/>
          <w:rtl/>
          <w:lang w:bidi="ar-SY"/>
        </w:rPr>
        <w:t>.</w:t>
      </w:r>
    </w:p>
    <w:p w:rsidR="005C664D" w:rsidRPr="003F3B94" w:rsidRDefault="005C664D" w:rsidP="003F3B94">
      <w:pPr>
        <w:pStyle w:val="a0"/>
        <w:rPr>
          <w:rFonts w:hint="cs"/>
          <w:rtl/>
          <w:lang w:bidi="ar-SY"/>
        </w:rPr>
      </w:pPr>
      <w:r w:rsidRPr="003F3B94">
        <w:rPr>
          <w:rFonts w:ascii="Abo-thar" w:hAnsi="Abo-thar" w:hint="cs"/>
          <w:sz w:val="28"/>
          <w:rtl/>
          <w:lang w:bidi="ar-SY"/>
        </w:rPr>
        <w:t>وفي الحديث 23 يقول</w:t>
      </w:r>
      <w:r w:rsidR="00217AB4" w:rsidRPr="003F3B94">
        <w:rPr>
          <w:rFonts w:ascii="Abo-thar" w:hAnsi="Abo-thar" w:hint="cs"/>
          <w:sz w:val="28"/>
          <w:rtl/>
          <w:lang w:bidi="ar-SY"/>
        </w:rPr>
        <w:t>:</w:t>
      </w:r>
      <w:r w:rsidRPr="003F3B94">
        <w:rPr>
          <w:rFonts w:ascii="Abo-thar" w:hAnsi="Abo-thar" w:hint="cs"/>
          <w:sz w:val="28"/>
          <w:rtl/>
          <w:lang w:bidi="ar-SY"/>
        </w:rPr>
        <w:t xml:space="preserve"> </w:t>
      </w:r>
      <w:r w:rsidR="00EF2588" w:rsidRPr="00394385">
        <w:rPr>
          <w:rFonts w:ascii="Abo-thar" w:hAnsi="Abo-thar" w:cs="KFGQPC Uthman Taha Naskh" w:hint="cs"/>
          <w:sz w:val="28"/>
          <w:rtl/>
          <w:lang w:bidi="ar-SY"/>
        </w:rPr>
        <w:t>«</w:t>
      </w:r>
      <w:r w:rsidRPr="00394385">
        <w:rPr>
          <w:rFonts w:ascii="Abo-thar" w:hAnsi="Abo-thar" w:cs="KFGQPC Uthman Taha Naskh"/>
          <w:bCs/>
          <w:sz w:val="28"/>
          <w:rtl/>
          <w:lang w:bidi="ar-SY"/>
        </w:rPr>
        <w:t>هَذَا لِشِيعَتِنَا حَلَالٌ الشَّاهِدِ مِنْهُمْ والْغَائِبِ والْمَيِّتِ مِنْهُمْ والْحَيِّ ومَا يُولَدُ مِنْهُمْ إِلَى يَوْمِ القِيَامَةِ فَهُوَ لَهُمْ حَلَالٌ</w:t>
      </w:r>
      <w:r w:rsidR="00217AB4" w:rsidRPr="00394385">
        <w:rPr>
          <w:rFonts w:ascii="Abo-thar" w:hAnsi="Abo-thar" w:cs="KFGQPC Uthman Taha Naskh" w:hint="cs"/>
          <w:bCs/>
          <w:sz w:val="28"/>
          <w:rtl/>
          <w:lang w:bidi="ar-SY"/>
        </w:rPr>
        <w:t>...</w:t>
      </w:r>
      <w:r w:rsidR="00EF2588" w:rsidRPr="00394385">
        <w:rPr>
          <w:rFonts w:ascii="Abo-thar" w:hAnsi="Abo-thar" w:cs="KFGQPC Uthman Taha Naskh" w:hint="cs"/>
          <w:sz w:val="28"/>
          <w:rtl/>
          <w:lang w:bidi="ar-SY"/>
        </w:rPr>
        <w:t>»</w:t>
      </w:r>
      <w:r w:rsidR="00F456DF" w:rsidRPr="003F3B94">
        <w:rPr>
          <w:rFonts w:ascii="Abo-thar" w:hAnsi="Abo-thar" w:hint="cs"/>
          <w:sz w:val="28"/>
          <w:rtl/>
          <w:lang w:bidi="ar-SY"/>
        </w:rPr>
        <w:t>.</w:t>
      </w:r>
    </w:p>
    <w:p w:rsidR="005C664D" w:rsidRPr="003F3B94" w:rsidRDefault="005C664D" w:rsidP="003F3B94">
      <w:pPr>
        <w:pStyle w:val="a0"/>
        <w:rPr>
          <w:rFonts w:hint="cs"/>
          <w:rtl/>
          <w:lang w:bidi="ar-SY"/>
        </w:rPr>
      </w:pPr>
      <w:r w:rsidRPr="003F3B94">
        <w:rPr>
          <w:rFonts w:ascii="Abo-thar" w:hAnsi="Abo-thar" w:hint="cs"/>
          <w:sz w:val="28"/>
          <w:rtl/>
          <w:lang w:bidi="ar-SY"/>
        </w:rPr>
        <w:t>فهذا الإشكال لا محل له وهو في غاية التهافت والسقوط</w:t>
      </w:r>
      <w:r w:rsidR="00217AB4" w:rsidRPr="003F3B94">
        <w:rPr>
          <w:rFonts w:ascii="Abo-thar" w:hAnsi="Abo-thar" w:hint="cs"/>
          <w:sz w:val="28"/>
          <w:rtl/>
          <w:lang w:bidi="ar-SY"/>
        </w:rPr>
        <w:t>.</w:t>
      </w:r>
      <w:r w:rsidR="00147857" w:rsidRPr="003F3B94">
        <w:rPr>
          <w:rFonts w:ascii="Abo-thar" w:hAnsi="Abo-thar" w:hint="cs"/>
          <w:sz w:val="28"/>
          <w:rtl/>
          <w:lang w:bidi="ar-SY"/>
        </w:rPr>
        <w:t xml:space="preserve"> </w:t>
      </w:r>
      <w:r w:rsidRPr="003F3B94">
        <w:rPr>
          <w:rFonts w:ascii="Abo-thar" w:hAnsi="Abo-thar" w:hint="cs"/>
          <w:sz w:val="28"/>
          <w:rtl/>
          <w:lang w:bidi="ar-SY"/>
        </w:rPr>
        <w:t xml:space="preserve">وأما فيما يتعلق بحق إمام الزمان وسهمه فلسنا بحاجة </w:t>
      </w:r>
      <w:r w:rsidRPr="003F3B94">
        <w:rPr>
          <w:rFonts w:cs="Times New Roman" w:hint="cs"/>
          <w:sz w:val="28"/>
          <w:rtl/>
          <w:lang w:bidi="ar-SY"/>
        </w:rPr>
        <w:t>–</w:t>
      </w:r>
      <w:r w:rsidRPr="003F3B94">
        <w:rPr>
          <w:rFonts w:ascii="Abo-thar" w:hAnsi="Abo-thar" w:hint="cs"/>
          <w:sz w:val="28"/>
          <w:rtl/>
          <w:lang w:bidi="ar-SY"/>
        </w:rPr>
        <w:t xml:space="preserve"> بعد تلك البيانات </w:t>
      </w:r>
      <w:r w:rsidRPr="003F3B94">
        <w:rPr>
          <w:rFonts w:cs="Times New Roman" w:hint="cs"/>
          <w:sz w:val="28"/>
          <w:rtl/>
          <w:lang w:bidi="ar-SY"/>
        </w:rPr>
        <w:t>–</w:t>
      </w:r>
      <w:r w:rsidRPr="003F3B94">
        <w:rPr>
          <w:rFonts w:ascii="Abo-thar" w:hAnsi="Abo-thar" w:hint="cs"/>
          <w:sz w:val="28"/>
          <w:rtl/>
          <w:lang w:bidi="ar-SY"/>
        </w:rPr>
        <w:t xml:space="preserve"> إلى إقامة البرهان عليه خاصةً لأن الحديث 28 يروي خروج توقيع من صاحب الزمان وفيه</w:t>
      </w:r>
      <w:r w:rsidR="00217AB4" w:rsidRPr="003F3B94">
        <w:rPr>
          <w:rFonts w:ascii="Abo-thar" w:hAnsi="Abo-thar" w:hint="cs"/>
          <w:sz w:val="28"/>
          <w:rtl/>
          <w:lang w:bidi="ar-SY"/>
        </w:rPr>
        <w:t>:</w:t>
      </w:r>
      <w:r w:rsidRPr="003F3B94">
        <w:rPr>
          <w:rFonts w:ascii="Abo-thar" w:hAnsi="Abo-thar" w:hint="cs"/>
          <w:sz w:val="28"/>
          <w:rtl/>
          <w:lang w:bidi="ar-SY"/>
        </w:rPr>
        <w:t xml:space="preserve"> </w:t>
      </w:r>
      <w:r w:rsidR="00EF2588" w:rsidRPr="00394385">
        <w:rPr>
          <w:rFonts w:ascii="Abo-thar" w:hAnsi="Abo-thar" w:cs="KFGQPC Uthman Taha Naskh" w:hint="cs"/>
          <w:sz w:val="28"/>
          <w:rtl/>
          <w:lang w:bidi="ar-SY"/>
        </w:rPr>
        <w:t>«</w:t>
      </w:r>
      <w:r w:rsidRPr="00394385">
        <w:rPr>
          <w:rFonts w:ascii="Abo-thar" w:hAnsi="Abo-thar" w:cs="KFGQPC Uthman Taha Naskh"/>
          <w:b/>
          <w:bCs/>
          <w:sz w:val="28"/>
          <w:rtl/>
          <w:lang w:bidi="ar-SY"/>
        </w:rPr>
        <w:t>وأَمَّا الخُمُسُ فَقَدْ أُبِيحَ لِشِيعَتِنَا وجُعِلُوا مِنْهُ فِي حِلٍّ</w:t>
      </w:r>
      <w:r w:rsidR="00EF2588" w:rsidRPr="00394385">
        <w:rPr>
          <w:rFonts w:ascii="Abo-thar" w:hAnsi="Abo-thar" w:cs="KFGQPC Uthman Taha Naskh" w:hint="cs"/>
          <w:sz w:val="28"/>
          <w:rtl/>
          <w:lang w:bidi="ar-SY"/>
        </w:rPr>
        <w:t>»</w:t>
      </w:r>
      <w:r w:rsidR="00217AB4" w:rsidRPr="003F3B94">
        <w:rPr>
          <w:rFonts w:ascii="Abo-thar" w:hAnsi="Abo-thar" w:hint="cs"/>
          <w:sz w:val="28"/>
          <w:rtl/>
          <w:lang w:bidi="ar-SY"/>
        </w:rPr>
        <w:t>،</w:t>
      </w:r>
      <w:r w:rsidRPr="003F3B94">
        <w:rPr>
          <w:rFonts w:ascii="Abo-thar" w:hAnsi="Abo-thar" w:hint="cs"/>
          <w:sz w:val="28"/>
          <w:rtl/>
          <w:lang w:bidi="ar-SY"/>
        </w:rPr>
        <w:t xml:space="preserve"> والعبارة بمثابة توقيع وتصديق على كل ما قاله الأئمة السابقون في هذا الصدد</w:t>
      </w:r>
      <w:r w:rsidR="00217AB4" w:rsidRPr="003F3B94">
        <w:rPr>
          <w:rFonts w:ascii="Abo-thar" w:hAnsi="Abo-thar" w:hint="cs"/>
          <w:sz w:val="28"/>
          <w:rtl/>
          <w:lang w:bidi="ar-SY"/>
        </w:rPr>
        <w:t>،</w:t>
      </w:r>
      <w:r w:rsidRPr="003F3B94">
        <w:rPr>
          <w:rFonts w:ascii="Abo-thar" w:hAnsi="Abo-thar" w:hint="cs"/>
          <w:sz w:val="28"/>
          <w:rtl/>
          <w:lang w:bidi="ar-SY"/>
        </w:rPr>
        <w:t xml:space="preserve"> وهي لم تبقِ لأحدٍ مجالاً للتأويل أو التشكك والإشكال</w:t>
      </w:r>
      <w:r w:rsidR="00217AB4" w:rsidRPr="003F3B94">
        <w:rPr>
          <w:rFonts w:ascii="Abo-thar" w:hAnsi="Abo-thar" w:hint="cs"/>
          <w:sz w:val="28"/>
          <w:rtl/>
          <w:lang w:bidi="ar-SY"/>
        </w:rPr>
        <w:t>.</w:t>
      </w:r>
      <w:r w:rsidRPr="003F3B94">
        <w:rPr>
          <w:rFonts w:ascii="Abo-thar" w:hAnsi="Abo-thar" w:hint="cs"/>
          <w:sz w:val="28"/>
          <w:rtl/>
          <w:lang w:bidi="ar-SY"/>
        </w:rPr>
        <w:t xml:space="preserve"> </w:t>
      </w:r>
    </w:p>
    <w:p w:rsidR="005C664D" w:rsidRPr="003F3B94" w:rsidRDefault="005C664D" w:rsidP="003F3B94">
      <w:pPr>
        <w:pStyle w:val="a0"/>
        <w:rPr>
          <w:rFonts w:hint="cs"/>
          <w:rtl/>
          <w:lang w:bidi="ar-SY"/>
        </w:rPr>
      </w:pPr>
      <w:r w:rsidRPr="003F3B94">
        <w:rPr>
          <w:rFonts w:ascii="Abo-thar" w:hAnsi="Abo-thar" w:hint="cs"/>
          <w:sz w:val="28"/>
          <w:rtl/>
          <w:lang w:bidi="ar-SY"/>
        </w:rPr>
        <w:t>فاتَّضح لكلِّ ذي إنصاف أن ليس لذلك الخمس الشامل الذي يقولون به والرائج اليوم بين الشيعة الإمامية حقيقةٌ</w:t>
      </w:r>
      <w:r w:rsidR="00217AB4" w:rsidRPr="003F3B94">
        <w:rPr>
          <w:rFonts w:ascii="Abo-thar" w:hAnsi="Abo-thar" w:hint="cs"/>
          <w:sz w:val="28"/>
          <w:rtl/>
          <w:lang w:bidi="ar-SY"/>
        </w:rPr>
        <w:t>.</w:t>
      </w:r>
    </w:p>
    <w:p w:rsidR="00F01908" w:rsidRPr="00254729" w:rsidRDefault="00F01908" w:rsidP="00F01908">
      <w:pPr>
        <w:widowControl w:val="0"/>
        <w:spacing w:before="240"/>
        <w:jc w:val="center"/>
        <w:rPr>
          <w:rFonts w:ascii="mylotus" w:hAnsi="mylotus" w:cs="B Lotus"/>
          <w:b/>
          <w:bCs/>
          <w:sz w:val="28"/>
          <w:rtl/>
          <w:lang w:bidi="ar-SY"/>
        </w:rPr>
      </w:pPr>
      <w:r w:rsidRPr="00254729">
        <w:rPr>
          <w:rFonts w:ascii="mylotus" w:hAnsi="mylotus" w:cs="B Lotus"/>
          <w:b/>
          <w:bCs/>
          <w:sz w:val="28"/>
          <w:rtl/>
          <w:lang w:bidi="ar-SY"/>
        </w:rPr>
        <w:t>* * *</w:t>
      </w:r>
    </w:p>
    <w:p w:rsidR="005C664D" w:rsidRPr="003F3B94" w:rsidRDefault="005C664D" w:rsidP="003F3B94">
      <w:pPr>
        <w:pStyle w:val="a0"/>
        <w:rPr>
          <w:rFonts w:hint="cs"/>
          <w:rtl/>
          <w:lang w:bidi="ar-SY"/>
        </w:rPr>
      </w:pPr>
      <w:r w:rsidRPr="003F3B94">
        <w:rPr>
          <w:rFonts w:ascii="Abo-thar" w:hAnsi="Abo-thar" w:hint="cs"/>
          <w:sz w:val="28"/>
          <w:rtl/>
          <w:lang w:bidi="ar-SY"/>
        </w:rPr>
        <w:t>إلى هنا عرفنا جميع أحاديث الخمس التي أوردناها في فصول هذا الكتاب وأقسامه المختلفة</w:t>
      </w:r>
      <w:r w:rsidR="00147857" w:rsidRPr="003F3B94">
        <w:rPr>
          <w:rFonts w:ascii="Abo-thar" w:hAnsi="Abo-thar" w:hint="cs"/>
          <w:sz w:val="28"/>
          <w:rtl/>
          <w:lang w:bidi="ar-SY"/>
        </w:rPr>
        <w:t xml:space="preserve"> و</w:t>
      </w:r>
      <w:r w:rsidRPr="003F3B94">
        <w:rPr>
          <w:rFonts w:ascii="Abo-thar" w:hAnsi="Abo-thar" w:hint="cs"/>
          <w:sz w:val="28"/>
          <w:rtl/>
          <w:lang w:bidi="ar-SY"/>
        </w:rPr>
        <w:t>وضعناها أمام طلاب الحق والحقيقة وختمناها بذكر أحاديث تحليل الخمس وإباحته للشيعة</w:t>
      </w:r>
      <w:r w:rsidR="001E0DB7" w:rsidRPr="003F3B94">
        <w:rPr>
          <w:rFonts w:ascii="Abo-thar" w:hAnsi="Abo-thar" w:hint="cs"/>
          <w:sz w:val="28"/>
          <w:rtl/>
          <w:lang w:bidi="ar-SY"/>
        </w:rPr>
        <w:t>،</w:t>
      </w:r>
      <w:r w:rsidRPr="003F3B94">
        <w:rPr>
          <w:rFonts w:ascii="Abo-thar" w:hAnsi="Abo-thar" w:hint="cs"/>
          <w:sz w:val="28"/>
          <w:rtl/>
          <w:lang w:bidi="ar-SY"/>
        </w:rPr>
        <w:t xml:space="preserve"> وتبيَّن أن خمس أرباح المكاسب والتجارات والزراعات خاص بالإمام وحده وليس للآخرين حق فيه</w:t>
      </w:r>
      <w:r w:rsidR="001E0DB7" w:rsidRPr="003F3B94">
        <w:rPr>
          <w:rFonts w:ascii="Abo-thar" w:hAnsi="Abo-thar" w:hint="cs"/>
          <w:sz w:val="28"/>
          <w:rtl/>
          <w:lang w:bidi="ar-SY"/>
        </w:rPr>
        <w:t>،</w:t>
      </w:r>
      <w:r w:rsidRPr="003F3B94">
        <w:rPr>
          <w:rFonts w:ascii="Abo-thar" w:hAnsi="Abo-thar" w:hint="cs"/>
          <w:sz w:val="28"/>
          <w:rtl/>
          <w:lang w:bidi="ar-SY"/>
        </w:rPr>
        <w:t xml:space="preserve"> وأن خمس المعادن والكنوز والغوص ليس سوى أحد أفراد الزكاة ومصرفه مصرف الزكاة</w:t>
      </w:r>
      <w:r w:rsidR="001E0DB7" w:rsidRPr="003F3B94">
        <w:rPr>
          <w:rFonts w:ascii="Abo-thar" w:hAnsi="Abo-thar" w:hint="cs"/>
          <w:sz w:val="28"/>
          <w:rtl/>
          <w:lang w:bidi="ar-SY"/>
        </w:rPr>
        <w:t>،</w:t>
      </w:r>
      <w:r w:rsidR="00147857" w:rsidRPr="003F3B94">
        <w:rPr>
          <w:rFonts w:ascii="Abo-thar" w:hAnsi="Abo-thar" w:hint="cs"/>
          <w:sz w:val="28"/>
          <w:rtl/>
          <w:lang w:bidi="ar-SY"/>
        </w:rPr>
        <w:t xml:space="preserve"> </w:t>
      </w:r>
      <w:r w:rsidRPr="003F3B94">
        <w:rPr>
          <w:rFonts w:ascii="Abo-thar" w:hAnsi="Abo-thar" w:hint="cs"/>
          <w:sz w:val="28"/>
          <w:rtl/>
          <w:lang w:bidi="ar-SY"/>
        </w:rPr>
        <w:t>وأما خمس الغنائم</w:t>
      </w:r>
      <w:r w:rsidR="001E0DB7" w:rsidRPr="003F3B94">
        <w:rPr>
          <w:rFonts w:ascii="Abo-thar" w:hAnsi="Abo-thar" w:hint="cs"/>
          <w:sz w:val="28"/>
          <w:rtl/>
          <w:lang w:bidi="ar-SY"/>
        </w:rPr>
        <w:t>،</w:t>
      </w:r>
      <w:r w:rsidR="00147857" w:rsidRPr="003F3B94">
        <w:rPr>
          <w:rFonts w:ascii="Abo-thar" w:hAnsi="Abo-thar" w:hint="cs"/>
          <w:sz w:val="28"/>
          <w:rtl/>
          <w:lang w:bidi="ar-SY"/>
        </w:rPr>
        <w:t xml:space="preserve"> </w:t>
      </w:r>
      <w:r w:rsidRPr="003F3B94">
        <w:rPr>
          <w:rFonts w:ascii="Abo-thar" w:hAnsi="Abo-thar" w:hint="cs"/>
          <w:sz w:val="28"/>
          <w:rtl/>
          <w:lang w:bidi="ar-SY"/>
        </w:rPr>
        <w:t>أي غنائم الحرب</w:t>
      </w:r>
      <w:r w:rsidR="001E0DB7" w:rsidRPr="003F3B94">
        <w:rPr>
          <w:rFonts w:ascii="Abo-thar" w:hAnsi="Abo-thar" w:hint="cs"/>
          <w:sz w:val="28"/>
          <w:rtl/>
          <w:lang w:bidi="ar-SY"/>
        </w:rPr>
        <w:t>،</w:t>
      </w:r>
      <w:r w:rsidRPr="003F3B94">
        <w:rPr>
          <w:rFonts w:ascii="Abo-thar" w:hAnsi="Abo-thar" w:hint="cs"/>
          <w:sz w:val="28"/>
          <w:rtl/>
          <w:lang w:bidi="ar-SY"/>
        </w:rPr>
        <w:t xml:space="preserve"> فلم يعد لها أثر في زماننا</w:t>
      </w:r>
      <w:r w:rsidR="00217AB4" w:rsidRPr="003F3B94">
        <w:rPr>
          <w:rFonts w:ascii="Abo-thar" w:hAnsi="Abo-thar" w:hint="cs"/>
          <w:sz w:val="28"/>
          <w:rtl/>
          <w:lang w:bidi="ar-SY"/>
        </w:rPr>
        <w:t>.</w:t>
      </w:r>
      <w:r w:rsidRPr="003F3B94">
        <w:rPr>
          <w:rFonts w:ascii="Abo-thar" w:hAnsi="Abo-thar" w:hint="cs"/>
          <w:sz w:val="28"/>
          <w:rtl/>
          <w:lang w:bidi="ar-SY"/>
        </w:rPr>
        <w:t xml:space="preserve"> </w:t>
      </w:r>
    </w:p>
    <w:p w:rsidR="005C664D" w:rsidRDefault="005C664D" w:rsidP="003F3B94">
      <w:pPr>
        <w:pStyle w:val="a0"/>
        <w:rPr>
          <w:rFonts w:ascii="Abo-thar" w:hAnsi="Abo-thar" w:hint="cs"/>
          <w:sz w:val="28"/>
          <w:rtl/>
          <w:lang w:bidi="ar-SY"/>
        </w:rPr>
      </w:pPr>
      <w:r w:rsidRPr="003F3B94">
        <w:rPr>
          <w:rFonts w:ascii="Abo-thar" w:hAnsi="Abo-thar" w:hint="cs"/>
          <w:sz w:val="28"/>
          <w:rtl/>
          <w:lang w:bidi="ar-SY"/>
        </w:rPr>
        <w:t>إذا كان الأمر كذلك فإن السؤال المنطقي الذي يطرح نفسه هو</w:t>
      </w:r>
      <w:r w:rsidR="00217AB4" w:rsidRPr="003F3B94">
        <w:rPr>
          <w:rFonts w:ascii="Abo-thar" w:hAnsi="Abo-thar" w:hint="cs"/>
          <w:sz w:val="28"/>
          <w:rtl/>
          <w:lang w:bidi="ar-SY"/>
        </w:rPr>
        <w:t>:</w:t>
      </w:r>
      <w:r w:rsidRPr="003F3B94">
        <w:rPr>
          <w:rFonts w:ascii="Abo-thar" w:hAnsi="Abo-thar" w:hint="cs"/>
          <w:sz w:val="28"/>
          <w:rtl/>
          <w:lang w:bidi="ar-SY"/>
        </w:rPr>
        <w:t xml:space="preserve"> ما هو منشأ هذه العقيدة</w:t>
      </w:r>
      <w:r w:rsidR="00217AB4" w:rsidRPr="003F3B94">
        <w:rPr>
          <w:rFonts w:ascii="Abo-thar" w:hAnsi="Abo-thar" w:hint="cs"/>
          <w:sz w:val="28"/>
          <w:rtl/>
          <w:lang w:bidi="ar-SY"/>
        </w:rPr>
        <w:t>؟</w:t>
      </w:r>
      <w:r w:rsidRPr="003F3B94">
        <w:rPr>
          <w:rFonts w:ascii="Abo-thar" w:hAnsi="Abo-thar" w:hint="cs"/>
          <w:sz w:val="28"/>
          <w:rtl/>
          <w:lang w:bidi="ar-SY"/>
        </w:rPr>
        <w:t xml:space="preserve"> ولماذا امتلك الإمام الحق في خمس أرباح مكاسب الناس رغم أنه أباحها لهم فيما بعد وحللها لهم</w:t>
      </w:r>
      <w:r w:rsidR="00217AB4" w:rsidRPr="003F3B94">
        <w:rPr>
          <w:rFonts w:ascii="Abo-thar" w:hAnsi="Abo-thar" w:hint="cs"/>
          <w:sz w:val="28"/>
          <w:rtl/>
          <w:lang w:bidi="ar-SY"/>
        </w:rPr>
        <w:t>؟</w:t>
      </w:r>
      <w:r w:rsidRPr="003F3B94">
        <w:rPr>
          <w:rFonts w:ascii="Abo-thar" w:hAnsi="Abo-thar" w:hint="cs"/>
          <w:sz w:val="28"/>
          <w:rtl/>
          <w:lang w:bidi="ar-SY"/>
        </w:rPr>
        <w:t xml:space="preserve"> إن هذه العقيدة منشأها في الواقع الغلاة</w:t>
      </w:r>
      <w:r w:rsidR="001E0DB7" w:rsidRPr="003F3B94">
        <w:rPr>
          <w:rFonts w:ascii="Abo-thar" w:hAnsi="Abo-thar" w:hint="cs"/>
          <w:sz w:val="28"/>
          <w:rtl/>
          <w:lang w:bidi="ar-SY"/>
        </w:rPr>
        <w:t>،</w:t>
      </w:r>
      <w:r w:rsidRPr="003F3B94">
        <w:rPr>
          <w:rFonts w:ascii="Abo-thar" w:hAnsi="Abo-thar" w:hint="cs"/>
          <w:sz w:val="28"/>
          <w:rtl/>
          <w:lang w:bidi="ar-SY"/>
        </w:rPr>
        <w:t xml:space="preserve"> ومؤداها يعود لصالح الطفيليين الذين يعيشون على حساب الآخرين</w:t>
      </w:r>
      <w:r w:rsidR="001E0DB7" w:rsidRPr="003F3B94">
        <w:rPr>
          <w:rFonts w:ascii="Abo-thar" w:hAnsi="Abo-thar" w:hint="cs"/>
          <w:sz w:val="28"/>
          <w:rtl/>
          <w:lang w:bidi="ar-SY"/>
        </w:rPr>
        <w:t>،</w:t>
      </w:r>
      <w:r w:rsidRPr="003F3B94">
        <w:rPr>
          <w:rFonts w:ascii="Abo-thar" w:hAnsi="Abo-thar" w:hint="cs"/>
          <w:sz w:val="28"/>
          <w:rtl/>
          <w:lang w:bidi="ar-SY"/>
        </w:rPr>
        <w:t xml:space="preserve"> وهي عقيدة تخالف العقل والوجدان وتخالف كتاب الله وسنة رسوله</w:t>
      </w:r>
      <w:r w:rsidR="00217AB4" w:rsidRPr="003F3B94">
        <w:rPr>
          <w:rFonts w:ascii="Abo-thar" w:hAnsi="Abo-thar" w:hint="cs"/>
          <w:sz w:val="28"/>
          <w:rtl/>
          <w:lang w:bidi="ar-SY"/>
        </w:rPr>
        <w:t>.</w:t>
      </w:r>
      <w:r w:rsidRPr="003F3B94">
        <w:rPr>
          <w:rFonts w:ascii="Abo-thar" w:hAnsi="Abo-thar" w:hint="cs"/>
          <w:sz w:val="28"/>
          <w:rtl/>
          <w:lang w:bidi="ar-SY"/>
        </w:rPr>
        <w:t xml:space="preserve"> ولما رأى واضعو هذه الفكرة أن هضم مثل هذا الكلام الكبير والادعاء الضخم ليس بالأمر السهل حتى بالنسبة للعوام البسطاء</w:t>
      </w:r>
      <w:r w:rsidR="001E0DB7" w:rsidRPr="003F3B94">
        <w:rPr>
          <w:rFonts w:ascii="Abo-thar" w:hAnsi="Abo-thar" w:hint="cs"/>
          <w:sz w:val="28"/>
          <w:rtl/>
          <w:lang w:bidi="ar-SY"/>
        </w:rPr>
        <w:t>،</w:t>
      </w:r>
      <w:r w:rsidRPr="003F3B94">
        <w:rPr>
          <w:rFonts w:ascii="Abo-thar" w:hAnsi="Abo-thar" w:hint="cs"/>
          <w:sz w:val="28"/>
          <w:rtl/>
          <w:lang w:bidi="ar-SY"/>
        </w:rPr>
        <w:t xml:space="preserve"> لذا وجدوا أنه لابد لهم من وضع أدلة تدعم مقولتهم واختراع أحاديث تؤيد مدعاهم بشكل جذري</w:t>
      </w:r>
      <w:r w:rsidR="001E0DB7" w:rsidRPr="003F3B94">
        <w:rPr>
          <w:rFonts w:ascii="Abo-thar" w:hAnsi="Abo-thar" w:hint="cs"/>
          <w:sz w:val="28"/>
          <w:rtl/>
          <w:lang w:bidi="ar-SY"/>
        </w:rPr>
        <w:t>،</w:t>
      </w:r>
      <w:r w:rsidRPr="003F3B94">
        <w:rPr>
          <w:rFonts w:ascii="Abo-thar" w:hAnsi="Abo-thar" w:hint="cs"/>
          <w:sz w:val="28"/>
          <w:rtl/>
          <w:lang w:bidi="ar-SY"/>
        </w:rPr>
        <w:t xml:space="preserve"> وهذا ما فعلوه</w:t>
      </w:r>
      <w:r w:rsidR="00217AB4" w:rsidRPr="003F3B94">
        <w:rPr>
          <w:rFonts w:ascii="Abo-thar" w:hAnsi="Abo-thar" w:hint="cs"/>
          <w:sz w:val="28"/>
          <w:rtl/>
          <w:lang w:bidi="ar-SY"/>
        </w:rPr>
        <w:t>.</w:t>
      </w:r>
    </w:p>
    <w:p w:rsidR="00254729" w:rsidRDefault="00254729" w:rsidP="003F3B94">
      <w:pPr>
        <w:pStyle w:val="a0"/>
        <w:rPr>
          <w:rFonts w:ascii="Abo-thar" w:hAnsi="Abo-thar" w:hint="cs"/>
          <w:sz w:val="28"/>
          <w:rtl/>
          <w:lang w:bidi="ar-SY"/>
        </w:rPr>
      </w:pPr>
    </w:p>
    <w:p w:rsidR="00254729" w:rsidRDefault="00254729" w:rsidP="003F3B94">
      <w:pPr>
        <w:pStyle w:val="a0"/>
        <w:rPr>
          <w:rFonts w:ascii="Abo-thar" w:hAnsi="Abo-thar" w:hint="cs"/>
          <w:sz w:val="28"/>
          <w:rtl/>
          <w:lang w:bidi="ar-SY"/>
        </w:rPr>
      </w:pPr>
    </w:p>
    <w:p w:rsidR="00254729" w:rsidRPr="003F3B94" w:rsidRDefault="00254729" w:rsidP="003F3B94">
      <w:pPr>
        <w:pStyle w:val="a0"/>
        <w:rPr>
          <w:rFonts w:hint="cs"/>
          <w:rtl/>
          <w:lang w:bidi="ar-SY"/>
        </w:rPr>
      </w:pPr>
    </w:p>
    <w:p w:rsidR="00542D29" w:rsidRPr="00995B26" w:rsidRDefault="00542D29" w:rsidP="007D2B8A">
      <w:pPr>
        <w:pStyle w:val="a5"/>
        <w:rPr>
          <w:rFonts w:hint="cs"/>
          <w:rtl/>
          <w:lang w:bidi="ar-SY"/>
        </w:rPr>
      </w:pPr>
      <w:bookmarkStart w:id="115" w:name="_Toc387843086"/>
      <w:r w:rsidRPr="00995B26">
        <w:rPr>
          <w:rFonts w:hint="cs"/>
          <w:rtl/>
          <w:lang w:bidi="ar-SY"/>
        </w:rPr>
        <w:t>3- نقد رأي  السيد رضا الهمداني في كتابه «مصباح الفقيه»</w:t>
      </w:r>
      <w:bookmarkEnd w:id="115"/>
    </w:p>
    <w:p w:rsidR="005C664D" w:rsidRPr="00394385" w:rsidRDefault="005C664D" w:rsidP="003F3B94">
      <w:pPr>
        <w:pStyle w:val="a0"/>
        <w:rPr>
          <w:rFonts w:cs="KFGQPC Uthman Taha Naskh" w:hint="cs"/>
          <w:rtl/>
          <w:lang w:bidi="ar-SY"/>
        </w:rPr>
      </w:pPr>
      <w:r w:rsidRPr="003F3B94">
        <w:rPr>
          <w:rFonts w:ascii="Abo-thar" w:hAnsi="Abo-thar" w:hint="cs"/>
          <w:sz w:val="28"/>
          <w:rtl/>
          <w:lang w:bidi="ar-SY"/>
        </w:rPr>
        <w:t xml:space="preserve">ذكر المرحوم الحاج </w:t>
      </w:r>
      <w:r w:rsidRPr="003F3B94">
        <w:rPr>
          <w:rFonts w:ascii="Abo-thar" w:hAnsi="Abo-thar"/>
          <w:sz w:val="28"/>
          <w:rtl/>
          <w:lang w:bidi="ar-SY"/>
        </w:rPr>
        <w:t>«</w:t>
      </w:r>
      <w:r w:rsidRPr="003F3B94">
        <w:rPr>
          <w:rFonts w:ascii="Abo-thar" w:hAnsi="Abo-thar" w:hint="cs"/>
          <w:sz w:val="28"/>
          <w:rtl/>
          <w:lang w:bidi="ar-SY"/>
        </w:rPr>
        <w:t>آقا رضا الهمداني</w:t>
      </w:r>
      <w:r w:rsidRPr="003F3B94">
        <w:rPr>
          <w:rFonts w:ascii="Abo-thar" w:hAnsi="Abo-thar"/>
          <w:sz w:val="28"/>
          <w:rtl/>
          <w:lang w:bidi="ar-SY"/>
        </w:rPr>
        <w:t>»</w:t>
      </w:r>
      <w:r w:rsidR="00217AB4" w:rsidRPr="0021507A">
        <w:rPr>
          <w:rFonts w:cs="Arabic11 BT"/>
          <w:b/>
          <w:sz w:val="28"/>
          <w:vertAlign w:val="superscript"/>
          <w:rtl/>
          <w:lang w:bidi="ar-SY"/>
        </w:rPr>
        <w:t>(</w:t>
      </w:r>
      <w:r w:rsidRPr="0021507A">
        <w:rPr>
          <w:rStyle w:val="FootnoteReference"/>
          <w:rFonts w:cs="Arabic11 BT"/>
          <w:b/>
          <w:sz w:val="28"/>
          <w:rtl/>
          <w:lang w:bidi="ar-SY"/>
        </w:rPr>
        <w:footnoteReference w:id="361"/>
      </w:r>
      <w:r w:rsidR="00217AB4" w:rsidRPr="0021507A">
        <w:rPr>
          <w:rFonts w:cs="Arabic11 BT"/>
          <w:b/>
          <w:sz w:val="28"/>
          <w:vertAlign w:val="superscript"/>
          <w:rtl/>
          <w:lang w:bidi="ar-SY"/>
        </w:rPr>
        <w:t>)</w:t>
      </w:r>
      <w:r w:rsidRPr="003F3B94">
        <w:rPr>
          <w:sz w:val="28"/>
          <w:rtl/>
          <w:lang w:bidi="ar-SY"/>
        </w:rPr>
        <w:t xml:space="preserve"> </w:t>
      </w:r>
      <w:r w:rsidRPr="003F3B94">
        <w:rPr>
          <w:rFonts w:ascii="Abo-thar" w:hAnsi="Abo-thar" w:hint="cs"/>
          <w:sz w:val="28"/>
          <w:rtl/>
          <w:lang w:bidi="ar-SY"/>
        </w:rPr>
        <w:t xml:space="preserve">في باب </w:t>
      </w:r>
      <w:r w:rsidRPr="003F3B94">
        <w:rPr>
          <w:rFonts w:ascii="Abo-thar" w:hAnsi="Abo-thar"/>
          <w:sz w:val="28"/>
          <w:rtl/>
          <w:lang w:bidi="ar-SY"/>
        </w:rPr>
        <w:t>«</w:t>
      </w:r>
      <w:r w:rsidRPr="003F3B94">
        <w:rPr>
          <w:rFonts w:ascii="Abo-thar" w:hAnsi="Abo-thar" w:hint="cs"/>
          <w:sz w:val="28"/>
          <w:rtl/>
          <w:lang w:bidi="ar-SY"/>
        </w:rPr>
        <w:t>الخُمُس</w:t>
      </w:r>
      <w:r w:rsidRPr="003F3B94">
        <w:rPr>
          <w:rFonts w:ascii="Abo-thar" w:hAnsi="Abo-thar"/>
          <w:sz w:val="28"/>
          <w:rtl/>
          <w:lang w:bidi="ar-SY"/>
        </w:rPr>
        <w:t>»</w:t>
      </w:r>
      <w:r w:rsidRPr="003F3B94">
        <w:rPr>
          <w:rFonts w:ascii="Abo-thar" w:hAnsi="Abo-thar" w:hint="cs"/>
          <w:sz w:val="28"/>
          <w:rtl/>
          <w:lang w:bidi="ar-SY"/>
        </w:rPr>
        <w:t xml:space="preserve"> من كتابه </w:t>
      </w:r>
      <w:r w:rsidRPr="003F3B94">
        <w:rPr>
          <w:rFonts w:ascii="Abo-thar" w:hAnsi="Abo-thar"/>
          <w:sz w:val="28"/>
          <w:rtl/>
          <w:lang w:bidi="ar-SY"/>
        </w:rPr>
        <w:t>«</w:t>
      </w:r>
      <w:r w:rsidRPr="003F3B94">
        <w:rPr>
          <w:rFonts w:ascii="Abo-thar" w:hAnsi="Abo-thar" w:hint="cs"/>
          <w:bCs/>
          <w:sz w:val="28"/>
          <w:rtl/>
          <w:lang w:bidi="ar-SY"/>
        </w:rPr>
        <w:t>مصباح الفقيه</w:t>
      </w:r>
      <w:r w:rsidRPr="003F3B94">
        <w:rPr>
          <w:rFonts w:ascii="Abo-thar" w:hAnsi="Abo-thar"/>
          <w:sz w:val="28"/>
          <w:rtl/>
          <w:lang w:bidi="ar-SY"/>
        </w:rPr>
        <w:t>»</w:t>
      </w:r>
      <w:r w:rsidRPr="003F3B94">
        <w:rPr>
          <w:rFonts w:ascii="Abo-thar" w:hAnsi="Abo-thar" w:hint="cs"/>
          <w:sz w:val="28"/>
          <w:rtl/>
          <w:lang w:bidi="ar-SY"/>
        </w:rPr>
        <w:t xml:space="preserve"> </w:t>
      </w:r>
      <w:r w:rsidR="00217AB4" w:rsidRPr="003F3B94">
        <w:rPr>
          <w:rFonts w:ascii="Abo-thar" w:hAnsi="Abo-thar" w:hint="cs"/>
          <w:sz w:val="28"/>
          <w:rtl/>
          <w:lang w:bidi="ar-SY"/>
        </w:rPr>
        <w:t>(</w:t>
      </w:r>
      <w:r w:rsidRPr="003F3B94">
        <w:rPr>
          <w:rFonts w:ascii="Abo-thar" w:hAnsi="Abo-thar" w:hint="cs"/>
          <w:sz w:val="28"/>
          <w:rtl/>
          <w:lang w:bidi="ar-SY"/>
        </w:rPr>
        <w:t>المجلد 3</w:t>
      </w:r>
      <w:r w:rsidR="00920257" w:rsidRPr="003F3B94">
        <w:rPr>
          <w:rFonts w:ascii="Abo-thar" w:hAnsi="Abo-thar" w:hint="cs"/>
          <w:sz w:val="28"/>
          <w:rtl/>
          <w:lang w:bidi="ar-SY"/>
        </w:rPr>
        <w:t xml:space="preserve">، </w:t>
      </w:r>
      <w:r w:rsidRPr="003F3B94">
        <w:rPr>
          <w:rFonts w:ascii="Abo-thar" w:hAnsi="Abo-thar" w:hint="cs"/>
          <w:sz w:val="28"/>
          <w:rtl/>
          <w:lang w:bidi="ar-SY"/>
        </w:rPr>
        <w:t>ص108</w:t>
      </w:r>
      <w:r w:rsidR="00217AB4" w:rsidRPr="003F3B94">
        <w:rPr>
          <w:rFonts w:ascii="Abo-thar" w:hAnsi="Abo-thar" w:hint="cs"/>
          <w:sz w:val="28"/>
          <w:rtl/>
          <w:lang w:bidi="ar-SY"/>
        </w:rPr>
        <w:t>)</w:t>
      </w:r>
      <w:r w:rsidRPr="003F3B94">
        <w:rPr>
          <w:rFonts w:ascii="Abo-thar" w:hAnsi="Abo-thar" w:hint="cs"/>
          <w:sz w:val="28"/>
          <w:rtl/>
          <w:lang w:bidi="ar-SY"/>
        </w:rPr>
        <w:t xml:space="preserve"> ما نصُّه</w:t>
      </w:r>
      <w:r w:rsidR="00217AB4" w:rsidRPr="003F3B94">
        <w:rPr>
          <w:rFonts w:ascii="Abo-thar" w:hAnsi="Abo-thar" w:hint="cs"/>
          <w:sz w:val="28"/>
          <w:rtl/>
          <w:lang w:bidi="ar-SY"/>
        </w:rPr>
        <w:t>:</w:t>
      </w:r>
      <w:r w:rsidRPr="003F3B94">
        <w:rPr>
          <w:rFonts w:ascii="Abo-thar" w:hAnsi="Abo-thar" w:hint="cs"/>
          <w:sz w:val="28"/>
          <w:rtl/>
          <w:lang w:bidi="ar-SY"/>
        </w:rPr>
        <w:t xml:space="preserve"> </w:t>
      </w:r>
      <w:r w:rsidR="00EF2588" w:rsidRPr="00394385">
        <w:rPr>
          <w:rFonts w:ascii="Abo-thar" w:hAnsi="Abo-thar" w:cs="KFGQPC Uthman Taha Naskh" w:hint="cs"/>
          <w:sz w:val="28"/>
          <w:rtl/>
          <w:lang w:bidi="ar-SY"/>
        </w:rPr>
        <w:t>«</w:t>
      </w:r>
      <w:r w:rsidRPr="00394385">
        <w:rPr>
          <w:rFonts w:ascii="Abo-thar" w:hAnsi="Abo-thar" w:cs="KFGQPC Uthman Taha Naskh"/>
          <w:bCs/>
          <w:sz w:val="28"/>
          <w:rtl/>
          <w:lang w:bidi="ar-SY"/>
        </w:rPr>
        <w:t xml:space="preserve">يظهر من جملة من </w:t>
      </w:r>
      <w:r w:rsidRPr="00394385">
        <w:rPr>
          <w:rFonts w:ascii="Abo-thar" w:hAnsi="Abo-thar" w:cs="KFGQPC Uthman Taha Naskh" w:hint="cs"/>
          <w:bCs/>
          <w:sz w:val="28"/>
          <w:rtl/>
          <w:lang w:bidi="ar-SY"/>
        </w:rPr>
        <w:t>الأخبار</w:t>
      </w:r>
      <w:r w:rsidRPr="00394385">
        <w:rPr>
          <w:rFonts w:ascii="Abo-thar" w:hAnsi="Abo-thar" w:cs="KFGQPC Uthman Taha Naskh"/>
          <w:bCs/>
          <w:sz w:val="28"/>
          <w:rtl/>
          <w:lang w:bidi="ar-SY"/>
        </w:rPr>
        <w:t xml:space="preserve"> </w:t>
      </w:r>
      <w:r w:rsidRPr="00394385">
        <w:rPr>
          <w:rFonts w:ascii="Abo-thar" w:hAnsi="Abo-thar" w:cs="KFGQPC Uthman Taha Naskh" w:hint="cs"/>
          <w:bCs/>
          <w:sz w:val="28"/>
          <w:rtl/>
          <w:lang w:bidi="ar-SY"/>
        </w:rPr>
        <w:t>أن</w:t>
      </w:r>
      <w:r w:rsidRPr="00394385">
        <w:rPr>
          <w:rFonts w:ascii="Abo-thar" w:hAnsi="Abo-thar" w:cs="KFGQPC Uthman Taha Naskh"/>
          <w:bCs/>
          <w:sz w:val="28"/>
          <w:rtl/>
          <w:lang w:bidi="ar-SY"/>
        </w:rPr>
        <w:t xml:space="preserve"> الدنيا بأسرها ملك لرسول الله وأوصيائه عليه و</w:t>
      </w:r>
      <w:r w:rsidR="00963EFD" w:rsidRPr="00963EFD">
        <w:rPr>
          <w:rFonts w:ascii="Abo-thar" w:hAnsi="Abo-thar" w:cs="CTraditional Arabic"/>
          <w:sz w:val="28"/>
          <w:rtl/>
          <w:lang w:bidi="ar-SY"/>
        </w:rPr>
        <w:t>‡</w:t>
      </w:r>
      <w:r w:rsidRPr="00394385">
        <w:rPr>
          <w:rFonts w:ascii="Abo-thar" w:hAnsi="Abo-thar" w:cs="KFGQPC Uthman Taha Naskh"/>
          <w:bCs/>
          <w:sz w:val="28"/>
          <w:rtl/>
          <w:lang w:bidi="ar-SY"/>
        </w:rPr>
        <w:t xml:space="preserve"> ولهم التصرف فيها بما يريدون من </w:t>
      </w:r>
      <w:r w:rsidRPr="00394385">
        <w:rPr>
          <w:rFonts w:ascii="Abo-thar" w:hAnsi="Abo-thar" w:cs="KFGQPC Uthman Taha Naskh" w:hint="cs"/>
          <w:bCs/>
          <w:sz w:val="28"/>
          <w:rtl/>
          <w:lang w:bidi="ar-SY"/>
        </w:rPr>
        <w:t>الأخذ</w:t>
      </w:r>
      <w:r w:rsidRPr="00394385">
        <w:rPr>
          <w:rFonts w:ascii="Abo-thar" w:hAnsi="Abo-thar" w:cs="KFGQPC Uthman Taha Naskh"/>
          <w:bCs/>
          <w:sz w:val="28"/>
          <w:rtl/>
          <w:lang w:bidi="ar-SY"/>
        </w:rPr>
        <w:t xml:space="preserve"> والعطاء</w:t>
      </w:r>
      <w:r w:rsidR="00217AB4" w:rsidRPr="00254729">
        <w:rPr>
          <w:rFonts w:cs="Arabic11 BT"/>
          <w:b/>
          <w:sz w:val="28"/>
          <w:vertAlign w:val="superscript"/>
          <w:rtl/>
          <w:lang w:bidi="ar-SY"/>
        </w:rPr>
        <w:t>(</w:t>
      </w:r>
      <w:r w:rsidRPr="00254729">
        <w:rPr>
          <w:rStyle w:val="FootnoteReference"/>
          <w:rFonts w:cs="Arabic11 BT"/>
          <w:b/>
          <w:sz w:val="28"/>
          <w:rtl/>
          <w:lang w:bidi="ar-SY"/>
        </w:rPr>
        <w:footnoteReference w:id="362"/>
      </w:r>
      <w:r w:rsidR="00217AB4" w:rsidRPr="00254729">
        <w:rPr>
          <w:rFonts w:cs="Arabic11 BT"/>
          <w:b/>
          <w:sz w:val="28"/>
          <w:vertAlign w:val="superscript"/>
          <w:rtl/>
          <w:lang w:bidi="ar-SY"/>
        </w:rPr>
        <w:t>)</w:t>
      </w:r>
      <w:r w:rsidR="00217AB4" w:rsidRPr="00394385">
        <w:rPr>
          <w:rFonts w:cs="KFGQPC Uthman Taha Naskh"/>
          <w:sz w:val="28"/>
          <w:rtl/>
          <w:lang w:bidi="ar-SY"/>
        </w:rPr>
        <w:t>:</w:t>
      </w:r>
    </w:p>
    <w:p w:rsidR="005C664D" w:rsidRPr="00394385" w:rsidRDefault="005C664D" w:rsidP="00254729">
      <w:pPr>
        <w:pStyle w:val="a0"/>
        <w:ind w:left="624" w:hanging="340"/>
        <w:rPr>
          <w:rFonts w:cs="KFGQPC Uthman Taha Naskh" w:hint="cs"/>
          <w:rtl/>
          <w:lang w:bidi="ar-SY"/>
        </w:rPr>
      </w:pPr>
      <w:r w:rsidRPr="00394385">
        <w:rPr>
          <w:rFonts w:ascii="Abo-thar" w:hAnsi="Abo-thar" w:cs="KFGQPC Uthman Taha Naskh" w:hint="cs"/>
          <w:bCs/>
          <w:sz w:val="28"/>
          <w:rtl/>
          <w:lang w:bidi="ar-SY"/>
        </w:rPr>
        <w:t>1</w:t>
      </w:r>
      <w:r w:rsidR="00217AB4" w:rsidRPr="00394385">
        <w:rPr>
          <w:rFonts w:ascii="Abo-thar" w:hAnsi="Abo-thar" w:cs="KFGQPC Uthman Taha Naskh" w:hint="cs"/>
          <w:bCs/>
          <w:sz w:val="28"/>
          <w:rtl/>
          <w:lang w:bidi="ar-SY"/>
        </w:rPr>
        <w:t>-</w:t>
      </w:r>
      <w:r w:rsidRPr="00394385">
        <w:rPr>
          <w:rFonts w:ascii="Abo-thar" w:hAnsi="Abo-thar" w:cs="KFGQPC Uthman Taha Naskh" w:hint="cs"/>
          <w:bCs/>
          <w:sz w:val="28"/>
          <w:rtl/>
          <w:lang w:bidi="ar-SY"/>
        </w:rPr>
        <w:t xml:space="preserve"> </w:t>
      </w:r>
      <w:r w:rsidRPr="00394385">
        <w:rPr>
          <w:rFonts w:ascii="Abo-thar" w:hAnsi="Abo-thar" w:cs="KFGQPC Uthman Taha Naskh"/>
          <w:bCs/>
          <w:sz w:val="28"/>
          <w:rtl/>
          <w:lang w:bidi="ar-SY"/>
        </w:rPr>
        <w:t>منها رواية</w:t>
      </w:r>
      <w:r w:rsidRPr="00394385">
        <w:rPr>
          <w:rFonts w:ascii="Abo-thar" w:hAnsi="Abo-thar" w:cs="KFGQPC Uthman Taha Naskh" w:hint="cs"/>
          <w:bCs/>
          <w:sz w:val="28"/>
          <w:rtl/>
          <w:lang w:bidi="ar-SY"/>
        </w:rPr>
        <w:t>ُ</w:t>
      </w:r>
      <w:r w:rsidRPr="00394385">
        <w:rPr>
          <w:rFonts w:ascii="Abo-thar" w:hAnsi="Abo-thar" w:cs="KFGQPC Uthman Taha Naskh"/>
          <w:bCs/>
          <w:sz w:val="28"/>
          <w:rtl/>
          <w:lang w:bidi="ar-SY"/>
        </w:rPr>
        <w:t xml:space="preserve"> أَبِي بَصِيرٍ عَنْ أَبِي عَبْدِ اللهِ </w:t>
      </w:r>
      <w:r w:rsidR="00BC4BA9" w:rsidRPr="00BC4BA9">
        <w:rPr>
          <w:rFonts w:ascii="Abo-thar" w:hAnsi="Abo-thar" w:cs="CTraditional Arabic"/>
          <w:sz w:val="28"/>
          <w:rtl/>
          <w:lang w:bidi="ar-SY"/>
        </w:rPr>
        <w:t>÷</w:t>
      </w:r>
      <w:r w:rsidRPr="00394385">
        <w:rPr>
          <w:rFonts w:ascii="Abo-thar" w:hAnsi="Abo-thar" w:cs="KFGQPC Uthman Taha Naskh"/>
          <w:bCs/>
          <w:sz w:val="28"/>
          <w:rtl/>
          <w:lang w:bidi="ar-SY"/>
        </w:rPr>
        <w:t xml:space="preserve"> قَالَ قُلْتُ‏</w:t>
      </w:r>
      <w:r w:rsidRPr="00394385">
        <w:rPr>
          <w:rFonts w:ascii="Abo-thar" w:hAnsi="Abo-thar" w:cs="KFGQPC Uthman Taha Naskh" w:hint="cs"/>
          <w:bCs/>
          <w:sz w:val="28"/>
          <w:rtl/>
          <w:lang w:bidi="ar-SY"/>
        </w:rPr>
        <w:t xml:space="preserve"> </w:t>
      </w:r>
      <w:r w:rsidRPr="00394385">
        <w:rPr>
          <w:rFonts w:ascii="Abo-thar" w:hAnsi="Abo-thar" w:cs="KFGQPC Uthman Taha Naskh"/>
          <w:bCs/>
          <w:sz w:val="28"/>
          <w:rtl/>
          <w:lang w:bidi="ar-SY"/>
        </w:rPr>
        <w:t>لَهُ</w:t>
      </w:r>
      <w:r w:rsidR="00217AB4" w:rsidRPr="00394385">
        <w:rPr>
          <w:rFonts w:ascii="Abo-thar" w:hAnsi="Abo-thar" w:cs="KFGQPC Uthman Taha Naskh" w:hint="cs"/>
          <w:bCs/>
          <w:sz w:val="28"/>
          <w:rtl/>
          <w:lang w:bidi="ar-SY"/>
        </w:rPr>
        <w:t>:</w:t>
      </w:r>
      <w:r w:rsidRPr="00394385">
        <w:rPr>
          <w:rFonts w:ascii="Abo-thar" w:hAnsi="Abo-thar" w:cs="KFGQPC Uthman Taha Naskh"/>
          <w:bCs/>
          <w:sz w:val="28"/>
          <w:rtl/>
          <w:lang w:bidi="ar-SY"/>
        </w:rPr>
        <w:t xml:space="preserve"> أَ مَا عَلَى الإِمَامِ زَكَاةٌ</w:t>
      </w:r>
      <w:r w:rsidR="00217AB4" w:rsidRPr="00394385">
        <w:rPr>
          <w:rFonts w:ascii="Abo-thar" w:hAnsi="Abo-thar" w:cs="KFGQPC Uthman Taha Naskh" w:hint="cs"/>
          <w:bCs/>
          <w:sz w:val="28"/>
          <w:rtl/>
          <w:lang w:bidi="ar-SY"/>
        </w:rPr>
        <w:t>؟</w:t>
      </w:r>
      <w:r w:rsidRPr="00394385">
        <w:rPr>
          <w:rFonts w:ascii="Abo-thar" w:hAnsi="Abo-thar" w:cs="KFGQPC Uthman Taha Naskh"/>
          <w:bCs/>
          <w:sz w:val="28"/>
          <w:rtl/>
          <w:lang w:bidi="ar-SY"/>
        </w:rPr>
        <w:t xml:space="preserve"> فَقَالَ</w:t>
      </w:r>
      <w:r w:rsidR="00217AB4" w:rsidRPr="00394385">
        <w:rPr>
          <w:rFonts w:ascii="Abo-thar" w:hAnsi="Abo-thar" w:cs="KFGQPC Uthman Taha Naskh" w:hint="cs"/>
          <w:bCs/>
          <w:sz w:val="28"/>
          <w:rtl/>
          <w:lang w:bidi="ar-SY"/>
        </w:rPr>
        <w:t>:</w:t>
      </w:r>
      <w:r w:rsidRPr="00394385">
        <w:rPr>
          <w:rFonts w:ascii="Abo-thar" w:hAnsi="Abo-thar" w:cs="KFGQPC Uthman Taha Naskh"/>
          <w:bCs/>
          <w:sz w:val="28"/>
          <w:rtl/>
          <w:lang w:bidi="ar-SY"/>
        </w:rPr>
        <w:t xml:space="preserve"> أَحَلْتَ يَا أَبَا مُحَمَّدٍ</w:t>
      </w:r>
      <w:r w:rsidR="00217AB4" w:rsidRPr="00394385">
        <w:rPr>
          <w:rFonts w:ascii="Abo-thar" w:hAnsi="Abo-thar" w:cs="KFGQPC Uthman Taha Naskh" w:hint="cs"/>
          <w:bCs/>
          <w:sz w:val="28"/>
          <w:rtl/>
          <w:lang w:bidi="ar-SY"/>
        </w:rPr>
        <w:t>!</w:t>
      </w:r>
      <w:r w:rsidRPr="00394385">
        <w:rPr>
          <w:rFonts w:ascii="Abo-thar" w:hAnsi="Abo-thar" w:cs="KFGQPC Uthman Taha Naskh"/>
          <w:bCs/>
          <w:sz w:val="28"/>
          <w:rtl/>
          <w:lang w:bidi="ar-SY"/>
        </w:rPr>
        <w:t xml:space="preserve"> أَ مَا عَلِمَتْ أَنَّ الدُّنْيَا والْآخِرَةَ لِلْإِمَامِ يَضَعُهَا حَيْثُ يَشَاءُ ويَدْفَعُهَا إِلَى مَنْ يَشَاءُ جَائِزٌ لَهُ ذَلِكَ مِنَ الل</w:t>
      </w:r>
      <w:r w:rsidRPr="00394385">
        <w:rPr>
          <w:rFonts w:ascii="Abo-thar" w:hAnsi="Abo-thar" w:cs="KFGQPC Uthman Taha Naskh" w:hint="cs"/>
          <w:bCs/>
          <w:sz w:val="28"/>
          <w:rtl/>
          <w:lang w:bidi="ar-SY"/>
        </w:rPr>
        <w:t>هِ</w:t>
      </w:r>
      <w:r w:rsidR="00217AB4" w:rsidRPr="00394385">
        <w:rPr>
          <w:rFonts w:ascii="Abo-thar" w:hAnsi="Abo-thar" w:cs="KFGQPC Uthman Taha Naskh" w:hint="cs"/>
          <w:bCs/>
          <w:sz w:val="28"/>
          <w:rtl/>
          <w:lang w:bidi="ar-SY"/>
        </w:rPr>
        <w:t>؟</w:t>
      </w:r>
      <w:r w:rsidRPr="00394385">
        <w:rPr>
          <w:rFonts w:ascii="Abo-thar" w:hAnsi="Abo-thar" w:cs="KFGQPC Uthman Taha Naskh"/>
          <w:bCs/>
          <w:sz w:val="28"/>
          <w:rtl/>
          <w:lang w:bidi="ar-SY"/>
        </w:rPr>
        <w:t xml:space="preserve"> إِنَّ الإِمَامَ يَا أَبَا مُحَمَّدٍ لَا يَبِيتُ لَيْلَةً أَبَداً و</w:t>
      </w:r>
      <w:r w:rsidRPr="00394385">
        <w:rPr>
          <w:rFonts w:ascii="Abo-thar" w:hAnsi="Abo-thar" w:cs="KFGQPC Uthman Taha Naskh" w:hint="cs"/>
          <w:bCs/>
          <w:sz w:val="28"/>
          <w:rtl/>
          <w:lang w:bidi="ar-SY"/>
        </w:rPr>
        <w:t>لِـلَّهِ</w:t>
      </w:r>
      <w:r w:rsidRPr="00394385">
        <w:rPr>
          <w:rFonts w:ascii="Abo-thar" w:hAnsi="Abo-thar" w:cs="KFGQPC Uthman Taha Naskh"/>
          <w:bCs/>
          <w:sz w:val="28"/>
          <w:rtl/>
          <w:lang w:bidi="ar-SY"/>
        </w:rPr>
        <w:t xml:space="preserve"> فِي عُنُقِهِ حَقٌّ يَسْأَلُهُ عَنْهُ</w:t>
      </w:r>
      <w:r w:rsidR="00217AB4" w:rsidRPr="00394385">
        <w:rPr>
          <w:rFonts w:ascii="Abo-thar" w:hAnsi="Abo-thar" w:cs="KFGQPC Uthman Taha Naskh" w:hint="cs"/>
          <w:bCs/>
          <w:sz w:val="28"/>
          <w:rtl/>
          <w:lang w:bidi="ar-SY"/>
        </w:rPr>
        <w:t>.</w:t>
      </w:r>
      <w:r w:rsidR="00217AB4" w:rsidRPr="00254729">
        <w:rPr>
          <w:rFonts w:cs="Arabic11 BT"/>
          <w:b/>
          <w:sz w:val="28"/>
          <w:vertAlign w:val="superscript"/>
          <w:rtl/>
          <w:lang w:bidi="ar-SY"/>
        </w:rPr>
        <w:t>(</w:t>
      </w:r>
      <w:r w:rsidRPr="00254729">
        <w:rPr>
          <w:rStyle w:val="FootnoteReference"/>
          <w:rFonts w:cs="Arabic11 BT"/>
          <w:b/>
          <w:sz w:val="28"/>
          <w:rtl/>
          <w:lang w:bidi="ar-SY"/>
        </w:rPr>
        <w:footnoteReference w:id="363"/>
      </w:r>
      <w:r w:rsidR="00217AB4" w:rsidRPr="00254729">
        <w:rPr>
          <w:rFonts w:cs="Arabic11 BT"/>
          <w:b/>
          <w:sz w:val="28"/>
          <w:vertAlign w:val="superscript"/>
          <w:rtl/>
          <w:lang w:bidi="ar-SY"/>
        </w:rPr>
        <w:t>)</w:t>
      </w:r>
      <w:r w:rsidR="00217AB4" w:rsidRPr="00394385">
        <w:rPr>
          <w:rFonts w:cs="KFGQPC Uthman Taha Naskh" w:hint="cs"/>
          <w:b/>
          <w:bCs/>
          <w:sz w:val="28"/>
          <w:rtl/>
          <w:lang w:bidi="ar-SY"/>
        </w:rPr>
        <w:t>.</w:t>
      </w:r>
    </w:p>
    <w:p w:rsidR="005C664D" w:rsidRPr="00394385" w:rsidRDefault="005C664D" w:rsidP="00254729">
      <w:pPr>
        <w:pStyle w:val="a0"/>
        <w:ind w:left="624" w:hanging="340"/>
        <w:rPr>
          <w:rFonts w:cs="KFGQPC Uthman Taha Naskh" w:hint="cs"/>
          <w:rtl/>
        </w:rPr>
      </w:pPr>
      <w:r w:rsidRPr="00394385">
        <w:rPr>
          <w:rFonts w:ascii="Abo-thar" w:hAnsi="Abo-thar" w:cs="KFGQPC Uthman Taha Naskh" w:hint="cs"/>
          <w:bCs/>
          <w:sz w:val="28"/>
          <w:rtl/>
          <w:lang w:bidi="ar-SY"/>
        </w:rPr>
        <w:t>2</w:t>
      </w:r>
      <w:r w:rsidR="00217AB4" w:rsidRPr="00394385">
        <w:rPr>
          <w:rFonts w:cs="KFGQPC Uthman Taha Naskh" w:hint="cs"/>
          <w:b/>
          <w:bCs/>
          <w:sz w:val="28"/>
          <w:rtl/>
          <w:lang w:bidi="ar-SY"/>
        </w:rPr>
        <w:t>-</w:t>
      </w:r>
      <w:r w:rsidRPr="00394385">
        <w:rPr>
          <w:rFonts w:cs="KFGQPC Uthman Taha Naskh" w:hint="cs"/>
          <w:b/>
          <w:bCs/>
          <w:sz w:val="28"/>
          <w:rtl/>
          <w:lang w:bidi="ar-SY"/>
        </w:rPr>
        <w:t xml:space="preserve"> وخبر ا</w:t>
      </w:r>
      <w:r w:rsidRPr="00394385">
        <w:rPr>
          <w:rFonts w:cs="KFGQPC Uthman Taha Naskh"/>
          <w:b/>
          <w:bCs/>
          <w:sz w:val="28"/>
          <w:rtl/>
          <w:lang w:bidi="ar-SY"/>
        </w:rPr>
        <w:t xml:space="preserve">بْنِ الرَّيَّانِ قَالَ كَتَبْتُ إِلَى العَسْكَرِيِّ </w:t>
      </w:r>
      <w:r w:rsidR="00BC4BA9" w:rsidRPr="00BC4BA9">
        <w:rPr>
          <w:rFonts w:cs="CTraditional Arabic" w:hint="cs"/>
          <w:b/>
          <w:sz w:val="28"/>
          <w:rtl/>
          <w:lang w:bidi="ar-SY"/>
        </w:rPr>
        <w:t>÷</w:t>
      </w:r>
      <w:r w:rsidR="00217AB4" w:rsidRPr="00394385">
        <w:rPr>
          <w:rFonts w:cs="KFGQPC Uthman Taha Naskh" w:hint="cs"/>
          <w:b/>
          <w:bCs/>
          <w:sz w:val="28"/>
          <w:rtl/>
          <w:lang w:bidi="ar-SY"/>
        </w:rPr>
        <w:t>:</w:t>
      </w:r>
      <w:r w:rsidRPr="00394385">
        <w:rPr>
          <w:rFonts w:cs="KFGQPC Uthman Taha Naskh"/>
          <w:b/>
          <w:bCs/>
          <w:sz w:val="28"/>
          <w:rtl/>
          <w:lang w:bidi="ar-SY"/>
        </w:rPr>
        <w:t xml:space="preserve"> جُعِلْتُ فِدَاكَ</w:t>
      </w:r>
      <w:r w:rsidR="00217AB4" w:rsidRPr="00394385">
        <w:rPr>
          <w:rFonts w:cs="KFGQPC Uthman Taha Naskh" w:hint="cs"/>
          <w:b/>
          <w:bCs/>
          <w:sz w:val="28"/>
          <w:rtl/>
          <w:lang w:bidi="ar-SY"/>
        </w:rPr>
        <w:t>!</w:t>
      </w:r>
      <w:r w:rsidRPr="00394385">
        <w:rPr>
          <w:rFonts w:cs="KFGQPC Uthman Taha Naskh"/>
          <w:b/>
          <w:bCs/>
          <w:sz w:val="28"/>
          <w:rtl/>
          <w:lang w:bidi="ar-SY"/>
        </w:rPr>
        <w:t xml:space="preserve"> رُوِيَ لَنَا أَنْ لَيْسَ لِرَسُولِ اللهِ</w:t>
      </w:r>
      <w:r w:rsidR="00147857" w:rsidRPr="00394385">
        <w:rPr>
          <w:rFonts w:cs="KFGQPC Uthman Taha Naskh"/>
          <w:b/>
          <w:bCs/>
          <w:sz w:val="28"/>
          <w:rtl/>
          <w:lang w:bidi="ar-SY"/>
        </w:rPr>
        <w:t xml:space="preserve"> </w:t>
      </w:r>
      <w:r w:rsidR="003C7AEB" w:rsidRPr="003C7AEB">
        <w:rPr>
          <w:rFonts w:ascii="Abo-thar" w:hAnsi="Abo-thar" w:cs="CTraditional Arabic"/>
          <w:sz w:val="28"/>
          <w:rtl/>
          <w:lang w:bidi="ar-SY"/>
        </w:rPr>
        <w:t>ص</w:t>
      </w:r>
      <w:r w:rsidR="00147857" w:rsidRPr="00394385">
        <w:rPr>
          <w:rFonts w:ascii="Abo-thar" w:hAnsi="Abo-thar" w:cs="KFGQPC Uthman Taha Naskh"/>
          <w:sz w:val="28"/>
          <w:rtl/>
          <w:lang w:bidi="ar-SY"/>
        </w:rPr>
        <w:t xml:space="preserve"> </w:t>
      </w:r>
      <w:r w:rsidRPr="00394385">
        <w:rPr>
          <w:rFonts w:cs="KFGQPC Uthman Taha Naskh"/>
          <w:b/>
          <w:bCs/>
          <w:sz w:val="28"/>
          <w:rtl/>
          <w:lang w:bidi="ar-SY"/>
        </w:rPr>
        <w:t>مِنَ الدُّنْيَا إِلَّا الخُمُسُ</w:t>
      </w:r>
      <w:r w:rsidR="00217AB4" w:rsidRPr="00394385">
        <w:rPr>
          <w:rFonts w:cs="KFGQPC Uthman Taha Naskh" w:hint="cs"/>
          <w:b/>
          <w:bCs/>
          <w:sz w:val="28"/>
          <w:rtl/>
          <w:lang w:bidi="ar-SY"/>
        </w:rPr>
        <w:t>؟</w:t>
      </w:r>
      <w:r w:rsidRPr="00394385">
        <w:rPr>
          <w:rFonts w:cs="KFGQPC Uthman Taha Naskh"/>
          <w:b/>
          <w:bCs/>
          <w:sz w:val="28"/>
          <w:rtl/>
          <w:lang w:bidi="ar-SY"/>
        </w:rPr>
        <w:t xml:space="preserve"> فَجَاءَ الجَوَابُ</w:t>
      </w:r>
      <w:r w:rsidR="00217AB4" w:rsidRPr="00394385">
        <w:rPr>
          <w:rFonts w:cs="KFGQPC Uthman Taha Naskh" w:hint="cs"/>
          <w:b/>
          <w:bCs/>
          <w:sz w:val="28"/>
          <w:rtl/>
          <w:lang w:bidi="ar-SY"/>
        </w:rPr>
        <w:t>:</w:t>
      </w:r>
      <w:r w:rsidRPr="00394385">
        <w:rPr>
          <w:rFonts w:cs="KFGQPC Uthman Taha Naskh"/>
          <w:b/>
          <w:bCs/>
          <w:sz w:val="28"/>
          <w:rtl/>
          <w:lang w:bidi="ar-SY"/>
        </w:rPr>
        <w:t xml:space="preserve"> إِنَّ الدُّنْيَا ومَا عَلَيْهَا لِرَسُولِ اللهِ</w:t>
      </w:r>
      <w:r w:rsidR="003C7AEB" w:rsidRPr="003C7AEB">
        <w:rPr>
          <w:rFonts w:ascii="Abo-thar" w:hAnsi="Abo-thar" w:cs="CTraditional Arabic"/>
          <w:sz w:val="28"/>
          <w:rtl/>
          <w:lang w:bidi="ar-SY"/>
        </w:rPr>
        <w:t>ص</w:t>
      </w:r>
      <w:r w:rsidR="00217AB4" w:rsidRPr="00394385">
        <w:rPr>
          <w:rFonts w:ascii="Abo-thar" w:hAnsi="Abo-thar" w:cs="KFGQPC Uthman Taha Naskh"/>
          <w:sz w:val="28"/>
          <w:rtl/>
          <w:lang w:bidi="ar-SY"/>
        </w:rPr>
        <w:t>.</w:t>
      </w:r>
      <w:r w:rsidR="00217AB4" w:rsidRPr="00254729">
        <w:rPr>
          <w:rFonts w:cs="Arabic11 BT"/>
          <w:b/>
          <w:sz w:val="28"/>
          <w:vertAlign w:val="superscript"/>
          <w:rtl/>
          <w:lang w:bidi="ar-SY"/>
        </w:rPr>
        <w:t>(</w:t>
      </w:r>
      <w:r w:rsidRPr="00254729">
        <w:rPr>
          <w:rStyle w:val="FootnoteReference"/>
          <w:rFonts w:cs="Arabic11 BT"/>
          <w:b/>
          <w:sz w:val="28"/>
          <w:rtl/>
          <w:lang w:bidi="ar-SY"/>
        </w:rPr>
        <w:footnoteReference w:id="364"/>
      </w:r>
      <w:r w:rsidR="00217AB4" w:rsidRPr="00254729">
        <w:rPr>
          <w:rFonts w:cs="Arabic11 BT"/>
          <w:b/>
          <w:sz w:val="28"/>
          <w:vertAlign w:val="superscript"/>
          <w:rtl/>
          <w:lang w:bidi="ar-SY"/>
        </w:rPr>
        <w:t>)</w:t>
      </w:r>
      <w:r w:rsidR="00217AB4" w:rsidRPr="00394385">
        <w:rPr>
          <w:rFonts w:cs="KFGQPC Uthman Taha Naskh" w:hint="cs"/>
          <w:b/>
          <w:bCs/>
          <w:sz w:val="28"/>
          <w:rtl/>
          <w:lang w:bidi="ar-SY"/>
        </w:rPr>
        <w:t>.</w:t>
      </w:r>
    </w:p>
    <w:p w:rsidR="005C664D" w:rsidRPr="00394385" w:rsidRDefault="005C664D" w:rsidP="00254729">
      <w:pPr>
        <w:pStyle w:val="a0"/>
        <w:ind w:left="624" w:hanging="340"/>
        <w:rPr>
          <w:rFonts w:cs="KFGQPC Uthman Taha Naskh" w:hint="cs"/>
          <w:rtl/>
        </w:rPr>
      </w:pPr>
      <w:r w:rsidRPr="00394385">
        <w:rPr>
          <w:rFonts w:cs="KFGQPC Uthman Taha Naskh" w:hint="cs"/>
          <w:b/>
          <w:bCs/>
          <w:sz w:val="28"/>
          <w:rtl/>
        </w:rPr>
        <w:t>3</w:t>
      </w:r>
      <w:r w:rsidR="00217AB4" w:rsidRPr="00394385">
        <w:rPr>
          <w:rFonts w:cs="KFGQPC Uthman Taha Naskh" w:hint="cs"/>
          <w:b/>
          <w:bCs/>
          <w:sz w:val="28"/>
          <w:rtl/>
        </w:rPr>
        <w:t>-</w:t>
      </w:r>
      <w:r w:rsidRPr="00394385">
        <w:rPr>
          <w:rFonts w:cs="KFGQPC Uthman Taha Naskh" w:hint="cs"/>
          <w:b/>
          <w:bCs/>
          <w:sz w:val="28"/>
          <w:rtl/>
        </w:rPr>
        <w:t xml:space="preserve"> وفي مرسل </w:t>
      </w:r>
      <w:r w:rsidRPr="00394385">
        <w:rPr>
          <w:rFonts w:cs="KFGQPC Uthman Taha Naskh"/>
          <w:b/>
          <w:bCs/>
          <w:sz w:val="28"/>
          <w:rtl/>
        </w:rPr>
        <w:t xml:space="preserve">مُحَمَّدِ بْنِ عَبْدِ اللهِ </w:t>
      </w:r>
      <w:r w:rsidRPr="00394385">
        <w:rPr>
          <w:rFonts w:cs="KFGQPC Uthman Taha Naskh" w:hint="cs"/>
          <w:b/>
          <w:bCs/>
          <w:sz w:val="28"/>
          <w:rtl/>
        </w:rPr>
        <w:t>المضمر</w:t>
      </w:r>
      <w:r w:rsidR="00217AB4" w:rsidRPr="00394385">
        <w:rPr>
          <w:rFonts w:cs="KFGQPC Uthman Taha Naskh" w:hint="cs"/>
          <w:b/>
          <w:bCs/>
          <w:sz w:val="28"/>
          <w:rtl/>
        </w:rPr>
        <w:t>:</w:t>
      </w:r>
      <w:r w:rsidRPr="00394385">
        <w:rPr>
          <w:rFonts w:cs="KFGQPC Uthman Taha Naskh"/>
          <w:b/>
          <w:bCs/>
          <w:sz w:val="28"/>
          <w:rtl/>
        </w:rPr>
        <w:t xml:space="preserve"> قَالَ الدُّنْيَا ومَا فِيهَا لِـلَّهِ تَبَارَكَ وتَعَالَى ولِرَسُولِهِ ولَنَا فَمَنْ غَلَبَ عَلَى شَيْ‏ءٍ مِنْهَا فَلْيَتَّقِ اللهَ ولْيُؤَدِّ حَقَّ اللهِ تَبَارَكَ وتَعَالَى ولْيَبَرَّ إِخْوَانَهُ فَإِنْ لَمْ يَفْعَلْ ذَلِكَ فَاللهُ ورَسُولُهُ ونَحْنُ بُرَآءُ مِنْه</w:t>
      </w:r>
      <w:r w:rsidRPr="00394385">
        <w:rPr>
          <w:rFonts w:cs="KFGQPC Uthman Taha Naskh" w:hint="cs"/>
          <w:b/>
          <w:bCs/>
          <w:sz w:val="28"/>
          <w:rtl/>
        </w:rPr>
        <w:t>ُ</w:t>
      </w:r>
      <w:r w:rsidR="00217AB4" w:rsidRPr="00394385">
        <w:rPr>
          <w:rFonts w:cs="KFGQPC Uthman Taha Naskh" w:hint="cs"/>
          <w:b/>
          <w:bCs/>
          <w:sz w:val="28"/>
          <w:rtl/>
        </w:rPr>
        <w:t>.</w:t>
      </w:r>
      <w:r w:rsidR="00217AB4" w:rsidRPr="00254729">
        <w:rPr>
          <w:rFonts w:cs="Arabic11 BT"/>
          <w:b/>
          <w:sz w:val="28"/>
          <w:vertAlign w:val="superscript"/>
          <w:rtl/>
        </w:rPr>
        <w:t>(</w:t>
      </w:r>
      <w:r w:rsidRPr="00254729">
        <w:rPr>
          <w:rStyle w:val="FootnoteReference"/>
          <w:rFonts w:cs="Arabic11 BT"/>
          <w:b/>
          <w:sz w:val="28"/>
          <w:rtl/>
        </w:rPr>
        <w:footnoteReference w:id="365"/>
      </w:r>
      <w:r w:rsidR="00217AB4" w:rsidRPr="00254729">
        <w:rPr>
          <w:rFonts w:cs="Arabic11 BT"/>
          <w:b/>
          <w:sz w:val="28"/>
          <w:vertAlign w:val="superscript"/>
          <w:rtl/>
        </w:rPr>
        <w:t>)</w:t>
      </w:r>
      <w:r w:rsidR="00217AB4" w:rsidRPr="00394385">
        <w:rPr>
          <w:rFonts w:cs="KFGQPC Uthman Taha Naskh" w:hint="cs"/>
          <w:b/>
          <w:bCs/>
          <w:sz w:val="28"/>
          <w:rtl/>
        </w:rPr>
        <w:t>.</w:t>
      </w:r>
    </w:p>
    <w:p w:rsidR="005C664D" w:rsidRPr="00394385" w:rsidRDefault="005C664D" w:rsidP="00254729">
      <w:pPr>
        <w:pStyle w:val="a0"/>
        <w:ind w:left="624" w:hanging="340"/>
        <w:rPr>
          <w:rFonts w:cs="KFGQPC Uthman Taha Naskh" w:hint="cs"/>
          <w:rtl/>
          <w:lang w:bidi="ar-SY"/>
        </w:rPr>
      </w:pPr>
      <w:r w:rsidRPr="00394385">
        <w:rPr>
          <w:rFonts w:cs="KFGQPC Uthman Taha Naskh" w:hint="cs"/>
          <w:b/>
          <w:bCs/>
          <w:sz w:val="28"/>
          <w:rtl/>
        </w:rPr>
        <w:t>4</w:t>
      </w:r>
      <w:r w:rsidR="00217AB4" w:rsidRPr="00394385">
        <w:rPr>
          <w:rFonts w:cs="KFGQPC Uthman Taha Naskh" w:hint="cs"/>
          <w:b/>
          <w:bCs/>
          <w:sz w:val="28"/>
          <w:rtl/>
        </w:rPr>
        <w:t>-</w:t>
      </w:r>
      <w:r w:rsidRPr="00394385">
        <w:rPr>
          <w:rFonts w:cs="KFGQPC Uthman Taha Naskh" w:hint="cs"/>
          <w:b/>
          <w:bCs/>
          <w:sz w:val="28"/>
          <w:rtl/>
        </w:rPr>
        <w:t xml:space="preserve"> وفي خبر آخر عن الباقر</w:t>
      </w:r>
      <w:r w:rsidR="00147857" w:rsidRPr="00394385">
        <w:rPr>
          <w:rFonts w:ascii="Abo-thar" w:hAnsi="Abo-thar" w:cs="KFGQPC Uthman Taha Naskh" w:hint="cs"/>
          <w:b/>
          <w:bCs/>
          <w:sz w:val="28"/>
          <w:rtl/>
        </w:rPr>
        <w:t xml:space="preserve"> </w:t>
      </w:r>
      <w:r w:rsidR="003C7AEB" w:rsidRPr="003C7AEB">
        <w:rPr>
          <w:rFonts w:ascii="Abo-thar" w:hAnsi="Abo-thar" w:cs="CTraditional Arabic"/>
          <w:sz w:val="28"/>
          <w:rtl/>
        </w:rPr>
        <w:t>÷</w:t>
      </w:r>
      <w:r w:rsidR="00217AB4" w:rsidRPr="00394385">
        <w:rPr>
          <w:rFonts w:ascii="Abo-thar" w:hAnsi="Abo-thar" w:cs="KFGQPC Uthman Taha Naskh"/>
          <w:sz w:val="28"/>
          <w:rtl/>
        </w:rPr>
        <w:t>:</w:t>
      </w:r>
      <w:r w:rsidRPr="00394385">
        <w:rPr>
          <w:rFonts w:ascii="Abo-thar" w:hAnsi="Abo-thar" w:cs="KFGQPC Uthman Taha Naskh" w:hint="cs"/>
          <w:b/>
          <w:bCs/>
          <w:sz w:val="28"/>
          <w:rtl/>
        </w:rPr>
        <w:t xml:space="preserve"> </w:t>
      </w:r>
      <w:r w:rsidRPr="00394385">
        <w:rPr>
          <w:rFonts w:ascii="Abo-thar" w:hAnsi="Abo-thar" w:cs="KFGQPC Uthman Taha Naskh"/>
          <w:b/>
          <w:bCs/>
          <w:sz w:val="28"/>
          <w:rtl/>
        </w:rPr>
        <w:t>قَالَ قَالَ رَسُولُ اللهِ</w:t>
      </w:r>
      <w:r w:rsidR="00147857" w:rsidRPr="00394385">
        <w:rPr>
          <w:rFonts w:ascii="Abo-thar" w:hAnsi="Abo-thar" w:cs="KFGQPC Uthman Taha Naskh"/>
          <w:b/>
          <w:bCs/>
          <w:sz w:val="28"/>
          <w:rtl/>
        </w:rPr>
        <w:t xml:space="preserve"> </w:t>
      </w:r>
      <w:r w:rsidR="003C7AEB" w:rsidRPr="003C7AEB">
        <w:rPr>
          <w:rFonts w:ascii="Abo-thar" w:hAnsi="Abo-thar" w:cs="CTraditional Arabic"/>
          <w:sz w:val="28"/>
          <w:rtl/>
        </w:rPr>
        <w:t>ص</w:t>
      </w:r>
      <w:r w:rsidR="00217AB4" w:rsidRPr="00394385">
        <w:rPr>
          <w:rFonts w:ascii="Abo-thar" w:hAnsi="Abo-thar" w:cs="KFGQPC Uthman Taha Naskh"/>
          <w:sz w:val="28"/>
          <w:rtl/>
        </w:rPr>
        <w:t>:</w:t>
      </w:r>
      <w:r w:rsidRPr="00394385">
        <w:rPr>
          <w:rFonts w:ascii="Abo-thar" w:hAnsi="Abo-thar" w:cs="KFGQPC Uthman Taha Naskh"/>
          <w:b/>
          <w:bCs/>
          <w:sz w:val="28"/>
          <w:rtl/>
        </w:rPr>
        <w:t xml:space="preserve"> خَلَقَ اللهُ آدَمَ وأَقْطَعَهُ الدُّنْيَا قَطِيعَةً فَمَا كَانَ لآِدَمَ </w:t>
      </w:r>
      <w:r w:rsidR="00BC4BA9" w:rsidRPr="00BC4BA9">
        <w:rPr>
          <w:rFonts w:ascii="Abo-thar" w:hAnsi="Abo-thar" w:cs="CTraditional Arabic" w:hint="cs"/>
          <w:b/>
          <w:sz w:val="28"/>
          <w:rtl/>
        </w:rPr>
        <w:t>÷</w:t>
      </w:r>
      <w:r w:rsidRPr="00394385">
        <w:rPr>
          <w:rFonts w:ascii="Abo-thar" w:hAnsi="Abo-thar" w:cs="KFGQPC Uthman Taha Naskh"/>
          <w:b/>
          <w:bCs/>
          <w:sz w:val="28"/>
          <w:rtl/>
        </w:rPr>
        <w:t xml:space="preserve"> فَلِرَسُولِ اللهِ</w:t>
      </w:r>
      <w:r w:rsidR="00147857" w:rsidRPr="00394385">
        <w:rPr>
          <w:rFonts w:ascii="Abo-thar" w:hAnsi="Abo-thar" w:cs="KFGQPC Uthman Taha Naskh"/>
          <w:b/>
          <w:bCs/>
          <w:sz w:val="28"/>
          <w:rtl/>
        </w:rPr>
        <w:t xml:space="preserve"> </w:t>
      </w:r>
      <w:r w:rsidR="003C7AEB" w:rsidRPr="003C7AEB">
        <w:rPr>
          <w:rFonts w:ascii="Abo-thar" w:hAnsi="Abo-thar" w:cs="CTraditional Arabic"/>
          <w:sz w:val="28"/>
          <w:rtl/>
        </w:rPr>
        <w:t>ص</w:t>
      </w:r>
      <w:r w:rsidR="00147857" w:rsidRPr="00394385">
        <w:rPr>
          <w:rFonts w:ascii="Abo-thar" w:hAnsi="Abo-thar" w:cs="KFGQPC Uthman Taha Naskh"/>
          <w:sz w:val="28"/>
          <w:rtl/>
        </w:rPr>
        <w:t xml:space="preserve"> </w:t>
      </w:r>
      <w:r w:rsidRPr="00394385">
        <w:rPr>
          <w:rFonts w:ascii="Abo-thar" w:hAnsi="Abo-thar" w:cs="KFGQPC Uthman Taha Naskh"/>
          <w:b/>
          <w:bCs/>
          <w:sz w:val="28"/>
          <w:rtl/>
        </w:rPr>
        <w:t>ومَا كَانَ لِرَسُولِ اللهِ فَهُوَ لِلْأَئِمَّةِ مِنْ آلِ مُحَمَّدٍ</w:t>
      </w:r>
      <w:r w:rsidR="003C7AEB" w:rsidRPr="003C7AEB">
        <w:rPr>
          <w:rFonts w:ascii="Abo-thar" w:hAnsi="Abo-thar" w:cs="CTraditional Arabic"/>
          <w:sz w:val="28"/>
          <w:rtl/>
        </w:rPr>
        <w:t>ص</w:t>
      </w:r>
      <w:r w:rsidR="00217AB4" w:rsidRPr="00394385">
        <w:rPr>
          <w:rFonts w:ascii="Abo-thar" w:hAnsi="Abo-thar" w:cs="KFGQPC Uthman Taha Naskh"/>
          <w:sz w:val="28"/>
          <w:rtl/>
        </w:rPr>
        <w:t>.</w:t>
      </w:r>
      <w:r w:rsidR="00217AB4" w:rsidRPr="00254729">
        <w:rPr>
          <w:rFonts w:cs="Arabic11 BT"/>
          <w:b/>
          <w:sz w:val="28"/>
          <w:vertAlign w:val="superscript"/>
          <w:rtl/>
        </w:rPr>
        <w:t>(</w:t>
      </w:r>
      <w:r w:rsidRPr="00254729">
        <w:rPr>
          <w:rStyle w:val="FootnoteReference"/>
          <w:rFonts w:cs="Arabic11 BT"/>
          <w:b/>
          <w:sz w:val="28"/>
          <w:rtl/>
        </w:rPr>
        <w:footnoteReference w:id="366"/>
      </w:r>
      <w:r w:rsidR="00217AB4" w:rsidRPr="00254729">
        <w:rPr>
          <w:rFonts w:cs="Arabic11 BT"/>
          <w:b/>
          <w:sz w:val="28"/>
          <w:vertAlign w:val="superscript"/>
          <w:rtl/>
        </w:rPr>
        <w:t>)</w:t>
      </w:r>
      <w:r w:rsidR="00217AB4" w:rsidRPr="00394385">
        <w:rPr>
          <w:rFonts w:cs="KFGQPC Uthman Taha Naskh" w:hint="cs"/>
          <w:b/>
          <w:bCs/>
          <w:sz w:val="28"/>
          <w:rtl/>
        </w:rPr>
        <w:t>.</w:t>
      </w:r>
    </w:p>
    <w:p w:rsidR="005C664D" w:rsidRPr="00394385" w:rsidRDefault="005C664D" w:rsidP="00254729">
      <w:pPr>
        <w:pStyle w:val="a0"/>
        <w:ind w:left="624" w:hanging="340"/>
        <w:rPr>
          <w:rFonts w:cs="KFGQPC Uthman Taha Naskh" w:hint="cs"/>
          <w:rtl/>
        </w:rPr>
      </w:pPr>
      <w:r w:rsidRPr="00394385">
        <w:rPr>
          <w:rFonts w:cs="KFGQPC Uthman Taha Naskh" w:hint="cs"/>
          <w:b/>
          <w:bCs/>
          <w:sz w:val="28"/>
          <w:rtl/>
        </w:rPr>
        <w:t>5</w:t>
      </w:r>
      <w:r w:rsidR="00217AB4" w:rsidRPr="00394385">
        <w:rPr>
          <w:rFonts w:cs="KFGQPC Uthman Taha Naskh" w:hint="cs"/>
          <w:b/>
          <w:bCs/>
          <w:sz w:val="28"/>
          <w:rtl/>
        </w:rPr>
        <w:t>-</w:t>
      </w:r>
      <w:r w:rsidRPr="00394385">
        <w:rPr>
          <w:rFonts w:cs="KFGQPC Uthman Taha Naskh" w:hint="cs"/>
          <w:b/>
          <w:bCs/>
          <w:sz w:val="28"/>
          <w:rtl/>
        </w:rPr>
        <w:t xml:space="preserve"> </w:t>
      </w:r>
      <w:r w:rsidRPr="00394385">
        <w:rPr>
          <w:rFonts w:ascii="Abo-thar" w:hAnsi="Abo-thar" w:cs="KFGQPC Uthman Taha Naskh" w:hint="cs"/>
          <w:b/>
          <w:bCs/>
          <w:sz w:val="28"/>
          <w:rtl/>
        </w:rPr>
        <w:t>وفي خبر أبي سيارَ قال أبو عبد الله</w:t>
      </w:r>
      <w:r w:rsidR="00147857" w:rsidRPr="00394385">
        <w:rPr>
          <w:rFonts w:ascii="Abo-thar" w:hAnsi="Abo-thar" w:cs="KFGQPC Uthman Taha Naskh" w:hint="cs"/>
          <w:b/>
          <w:bCs/>
          <w:sz w:val="28"/>
          <w:rtl/>
        </w:rPr>
        <w:t xml:space="preserve"> </w:t>
      </w:r>
      <w:r w:rsidR="003C7AEB" w:rsidRPr="003C7AEB">
        <w:rPr>
          <w:rFonts w:ascii="Abo-thar" w:hAnsi="Abo-thar" w:cs="CTraditional Arabic"/>
          <w:sz w:val="28"/>
          <w:rtl/>
        </w:rPr>
        <w:t>÷</w:t>
      </w:r>
      <w:r w:rsidR="00217AB4" w:rsidRPr="00394385">
        <w:rPr>
          <w:rFonts w:ascii="Abo-thar" w:hAnsi="Abo-thar" w:cs="KFGQPC Uthman Taha Naskh"/>
          <w:sz w:val="28"/>
          <w:rtl/>
        </w:rPr>
        <w:t>:</w:t>
      </w:r>
      <w:r w:rsidRPr="00394385">
        <w:rPr>
          <w:rFonts w:ascii="Abo-thar" w:hAnsi="Abo-thar" w:cs="KFGQPC Uthman Taha Naskh" w:hint="cs"/>
          <w:b/>
          <w:bCs/>
          <w:sz w:val="28"/>
          <w:rtl/>
        </w:rPr>
        <w:t xml:space="preserve"> </w:t>
      </w:r>
      <w:r w:rsidRPr="00394385">
        <w:rPr>
          <w:rFonts w:ascii="Abo-thar" w:hAnsi="Abo-thar" w:cs="KFGQPC Uthman Taha Naskh"/>
          <w:b/>
          <w:bCs/>
          <w:sz w:val="28"/>
          <w:rtl/>
        </w:rPr>
        <w:t>أَوَمَا لَنَا مِنَ الأَرْضِ ومَا أَخْرَجَ اللهُ مِنْهَا إِلَّا الخُمُسُ يَا أَبَا سَيَّارٍ</w:t>
      </w:r>
      <w:r w:rsidR="00217AB4" w:rsidRPr="00394385">
        <w:rPr>
          <w:rFonts w:ascii="Abo-thar" w:hAnsi="Abo-thar" w:cs="KFGQPC Uthman Taha Naskh" w:hint="cs"/>
          <w:b/>
          <w:bCs/>
          <w:sz w:val="28"/>
          <w:rtl/>
        </w:rPr>
        <w:t>؟؟</w:t>
      </w:r>
      <w:r w:rsidRPr="00394385">
        <w:rPr>
          <w:rFonts w:ascii="Abo-thar" w:hAnsi="Abo-thar" w:cs="KFGQPC Uthman Taha Naskh"/>
          <w:b/>
          <w:bCs/>
          <w:sz w:val="28"/>
          <w:rtl/>
        </w:rPr>
        <w:t xml:space="preserve"> إِنَّ الأَرْضَ كُلَّهَا لَنَا فَمَا أَخْرَجَ اللهُ مِنْهَا مِنْ شَيْ‏ءٍ فَهُوَ لَنَا</w:t>
      </w:r>
      <w:r w:rsidR="00217AB4" w:rsidRPr="00394385">
        <w:rPr>
          <w:rFonts w:ascii="Abo-thar" w:hAnsi="Abo-thar" w:cs="KFGQPC Uthman Taha Naskh" w:hint="cs"/>
          <w:b/>
          <w:bCs/>
          <w:sz w:val="28"/>
          <w:rtl/>
        </w:rPr>
        <w:t>..</w:t>
      </w:r>
      <w:r w:rsidR="00217AB4" w:rsidRPr="00254729">
        <w:rPr>
          <w:rFonts w:cs="Arabic11 BT"/>
          <w:b/>
          <w:sz w:val="28"/>
          <w:vertAlign w:val="superscript"/>
          <w:rtl/>
        </w:rPr>
        <w:t>(</w:t>
      </w:r>
      <w:r w:rsidRPr="00254729">
        <w:rPr>
          <w:rStyle w:val="FootnoteReference"/>
          <w:rFonts w:cs="Arabic11 BT"/>
          <w:b/>
          <w:sz w:val="28"/>
          <w:rtl/>
        </w:rPr>
        <w:footnoteReference w:id="367"/>
      </w:r>
      <w:r w:rsidR="00217AB4" w:rsidRPr="00254729">
        <w:rPr>
          <w:rFonts w:cs="Arabic11 BT"/>
          <w:b/>
          <w:sz w:val="28"/>
          <w:vertAlign w:val="superscript"/>
          <w:rtl/>
        </w:rPr>
        <w:t>)</w:t>
      </w:r>
      <w:r w:rsidR="00217AB4" w:rsidRPr="00394385">
        <w:rPr>
          <w:rFonts w:cs="KFGQPC Uthman Taha Naskh" w:hint="cs"/>
          <w:b/>
          <w:bCs/>
          <w:sz w:val="28"/>
          <w:rtl/>
        </w:rPr>
        <w:t>.</w:t>
      </w:r>
    </w:p>
    <w:p w:rsidR="005C664D" w:rsidRPr="00995B26" w:rsidRDefault="005C664D" w:rsidP="00254729">
      <w:pPr>
        <w:pStyle w:val="a0"/>
        <w:ind w:left="624" w:hanging="340"/>
        <w:rPr>
          <w:rtl/>
        </w:rPr>
      </w:pPr>
      <w:r w:rsidRPr="00394385">
        <w:rPr>
          <w:rFonts w:cs="KFGQPC Uthman Taha Naskh" w:hint="cs"/>
          <w:b/>
          <w:bCs/>
          <w:sz w:val="28"/>
          <w:rtl/>
        </w:rPr>
        <w:t>6</w:t>
      </w:r>
      <w:r w:rsidR="00217AB4" w:rsidRPr="00394385">
        <w:rPr>
          <w:rFonts w:cs="KFGQPC Uthman Taha Naskh" w:hint="cs"/>
          <w:b/>
          <w:bCs/>
          <w:sz w:val="28"/>
          <w:rtl/>
        </w:rPr>
        <w:t>-</w:t>
      </w:r>
      <w:r w:rsidRPr="00394385">
        <w:rPr>
          <w:rFonts w:cs="KFGQPC Uthman Taha Naskh" w:hint="cs"/>
          <w:b/>
          <w:bCs/>
          <w:sz w:val="28"/>
          <w:rtl/>
        </w:rPr>
        <w:t xml:space="preserve"> وفي خبرِ </w:t>
      </w:r>
      <w:r w:rsidRPr="00394385">
        <w:rPr>
          <w:rFonts w:cs="KFGQPC Uthman Taha Naskh"/>
          <w:b/>
          <w:bCs/>
          <w:sz w:val="28"/>
          <w:rtl/>
        </w:rPr>
        <w:t xml:space="preserve">أَبِي خَالِدٍ الكَابُلِيِّ عَنْ أَبِي جَعْفَرٍ </w:t>
      </w:r>
      <w:r w:rsidR="00BC4BA9" w:rsidRPr="00BC4BA9">
        <w:rPr>
          <w:rFonts w:cs="CTraditional Arabic" w:hint="cs"/>
          <w:b/>
          <w:sz w:val="28"/>
          <w:rtl/>
        </w:rPr>
        <w:t>÷</w:t>
      </w:r>
      <w:r w:rsidRPr="00394385">
        <w:rPr>
          <w:rFonts w:cs="KFGQPC Uthman Taha Naskh"/>
          <w:b/>
          <w:bCs/>
          <w:sz w:val="28"/>
          <w:rtl/>
        </w:rPr>
        <w:t xml:space="preserve"> قَالَ</w:t>
      </w:r>
      <w:r w:rsidR="00217AB4" w:rsidRPr="00394385">
        <w:rPr>
          <w:rFonts w:cs="KFGQPC Uthman Taha Naskh" w:hint="cs"/>
          <w:b/>
          <w:bCs/>
          <w:sz w:val="28"/>
          <w:rtl/>
        </w:rPr>
        <w:t>:</w:t>
      </w:r>
      <w:r w:rsidRPr="00394385">
        <w:rPr>
          <w:rFonts w:cs="KFGQPC Uthman Taha Naskh"/>
          <w:b/>
          <w:bCs/>
          <w:sz w:val="28"/>
          <w:rtl/>
        </w:rPr>
        <w:t xml:space="preserve"> وَجَدْنَا فِي كِتَابِ عَلِيٍّ </w:t>
      </w:r>
      <w:r w:rsidR="00BC4BA9" w:rsidRPr="00BC4BA9">
        <w:rPr>
          <w:rFonts w:cs="CTraditional Arabic" w:hint="cs"/>
          <w:b/>
          <w:sz w:val="28"/>
          <w:rtl/>
        </w:rPr>
        <w:t>÷</w:t>
      </w:r>
      <w:r w:rsidR="00217AB4" w:rsidRPr="00394385">
        <w:rPr>
          <w:rFonts w:cs="KFGQPC Uthman Taha Naskh" w:hint="cs"/>
          <w:b/>
          <w:bCs/>
          <w:sz w:val="28"/>
          <w:rtl/>
        </w:rPr>
        <w:t>:</w:t>
      </w:r>
      <w:r w:rsidR="00B06788" w:rsidRPr="003F3B94">
        <w:rPr>
          <w:rFonts w:hint="cs"/>
          <w:b/>
          <w:bCs/>
          <w:sz w:val="28"/>
          <w:rtl/>
        </w:rPr>
        <w:t xml:space="preserve"> </w:t>
      </w:r>
      <w:r w:rsidR="00B06788" w:rsidRPr="00995B26">
        <w:rPr>
          <w:rFonts w:cs="Traditional Arabic" w:hint="cs"/>
          <w:sz w:val="28"/>
          <w:rtl/>
        </w:rPr>
        <w:t>﴿</w:t>
      </w:r>
      <w:r w:rsidR="00B06788" w:rsidRPr="0067048A">
        <w:rPr>
          <w:rFonts w:ascii="KFGQPC Uthmanic Script HAFS" w:cs="KFGQPC Uthmanic Script HAFS" w:hint="eastAsia"/>
          <w:sz w:val="28"/>
          <w:szCs w:val="28"/>
          <w:rtl/>
        </w:rPr>
        <w:t>إِنَّ</w:t>
      </w:r>
      <w:r w:rsidR="00B06788" w:rsidRPr="0067048A">
        <w:rPr>
          <w:rFonts w:ascii="KFGQPC Uthmanic Script HAFS" w:cs="KFGQPC Uthmanic Script HAFS"/>
          <w:sz w:val="28"/>
          <w:szCs w:val="28"/>
          <w:rtl/>
        </w:rPr>
        <w:t xml:space="preserve"> </w:t>
      </w:r>
      <w:r w:rsidR="00B06788" w:rsidRPr="0067048A">
        <w:rPr>
          <w:rFonts w:ascii="KFGQPC Uthmanic Script HAFS" w:cs="KFGQPC Uthmanic Script HAFS" w:hint="cs"/>
          <w:sz w:val="28"/>
          <w:szCs w:val="28"/>
          <w:rtl/>
        </w:rPr>
        <w:t>ٱ</w:t>
      </w:r>
      <w:r w:rsidR="00B06788" w:rsidRPr="0067048A">
        <w:rPr>
          <w:rFonts w:ascii="KFGQPC Uthmanic Script HAFS" w:cs="KFGQPC Uthmanic Script HAFS" w:hint="eastAsia"/>
          <w:sz w:val="28"/>
          <w:szCs w:val="28"/>
          <w:rtl/>
        </w:rPr>
        <w:t>ل</w:t>
      </w:r>
      <w:r w:rsidR="00B06788" w:rsidRPr="0067048A">
        <w:rPr>
          <w:rFonts w:ascii="KFGQPC Uthmanic Script HAFS" w:cs="KFGQPC Uthmanic Script HAFS" w:hint="cs"/>
          <w:sz w:val="28"/>
          <w:szCs w:val="28"/>
          <w:rtl/>
        </w:rPr>
        <w:t>ۡ</w:t>
      </w:r>
      <w:r w:rsidR="00B06788" w:rsidRPr="0067048A">
        <w:rPr>
          <w:rFonts w:ascii="KFGQPC Uthmanic Script HAFS" w:cs="KFGQPC Uthmanic Script HAFS" w:hint="eastAsia"/>
          <w:sz w:val="28"/>
          <w:szCs w:val="28"/>
          <w:rtl/>
        </w:rPr>
        <w:t>أَر</w:t>
      </w:r>
      <w:r w:rsidR="00B06788" w:rsidRPr="0067048A">
        <w:rPr>
          <w:rFonts w:ascii="KFGQPC Uthmanic Script HAFS" w:cs="KFGQPC Uthmanic Script HAFS" w:hint="cs"/>
          <w:sz w:val="28"/>
          <w:szCs w:val="28"/>
          <w:rtl/>
        </w:rPr>
        <w:t>ۡ</w:t>
      </w:r>
      <w:r w:rsidR="00B06788" w:rsidRPr="0067048A">
        <w:rPr>
          <w:rFonts w:ascii="KFGQPC Uthmanic Script HAFS" w:cs="KFGQPC Uthmanic Script HAFS" w:hint="eastAsia"/>
          <w:sz w:val="28"/>
          <w:szCs w:val="28"/>
          <w:rtl/>
        </w:rPr>
        <w:t>ضَ</w:t>
      </w:r>
      <w:r w:rsidR="00B06788" w:rsidRPr="0067048A">
        <w:rPr>
          <w:rFonts w:ascii="KFGQPC Uthmanic Script HAFS" w:cs="KFGQPC Uthmanic Script HAFS"/>
          <w:sz w:val="28"/>
          <w:szCs w:val="28"/>
          <w:rtl/>
        </w:rPr>
        <w:t xml:space="preserve"> </w:t>
      </w:r>
      <w:r w:rsidR="00B06788" w:rsidRPr="0067048A">
        <w:rPr>
          <w:rFonts w:ascii="KFGQPC Uthmanic Script HAFS" w:cs="KFGQPC Uthmanic Script HAFS" w:hint="eastAsia"/>
          <w:sz w:val="28"/>
          <w:szCs w:val="28"/>
          <w:rtl/>
        </w:rPr>
        <w:t>لِلَّهِ</w:t>
      </w:r>
      <w:r w:rsidR="00B06788" w:rsidRPr="0067048A">
        <w:rPr>
          <w:rFonts w:ascii="KFGQPC Uthmanic Script HAFS" w:cs="KFGQPC Uthmanic Script HAFS"/>
          <w:sz w:val="28"/>
          <w:szCs w:val="28"/>
          <w:rtl/>
        </w:rPr>
        <w:t xml:space="preserve"> </w:t>
      </w:r>
      <w:r w:rsidR="00B06788" w:rsidRPr="0067048A">
        <w:rPr>
          <w:rFonts w:ascii="KFGQPC Uthmanic Script HAFS" w:cs="KFGQPC Uthmanic Script HAFS" w:hint="eastAsia"/>
          <w:sz w:val="28"/>
          <w:szCs w:val="28"/>
          <w:rtl/>
        </w:rPr>
        <w:t>يُورِثُهَا</w:t>
      </w:r>
      <w:r w:rsidR="00B06788" w:rsidRPr="0067048A">
        <w:rPr>
          <w:rFonts w:ascii="KFGQPC Uthmanic Script HAFS" w:cs="KFGQPC Uthmanic Script HAFS"/>
          <w:sz w:val="28"/>
          <w:szCs w:val="28"/>
          <w:rtl/>
        </w:rPr>
        <w:t xml:space="preserve"> </w:t>
      </w:r>
      <w:r w:rsidR="00B06788" w:rsidRPr="0067048A">
        <w:rPr>
          <w:rFonts w:ascii="KFGQPC Uthmanic Script HAFS" w:cs="KFGQPC Uthmanic Script HAFS" w:hint="eastAsia"/>
          <w:sz w:val="28"/>
          <w:szCs w:val="28"/>
          <w:rtl/>
        </w:rPr>
        <w:t>مَن</w:t>
      </w:r>
      <w:r w:rsidR="00B06788" w:rsidRPr="0067048A">
        <w:rPr>
          <w:rFonts w:ascii="KFGQPC Uthmanic Script HAFS" w:cs="KFGQPC Uthmanic Script HAFS"/>
          <w:sz w:val="28"/>
          <w:szCs w:val="28"/>
          <w:rtl/>
        </w:rPr>
        <w:t xml:space="preserve"> </w:t>
      </w:r>
      <w:r w:rsidR="00B06788" w:rsidRPr="0067048A">
        <w:rPr>
          <w:rFonts w:ascii="KFGQPC Uthmanic Script HAFS" w:cs="KFGQPC Uthmanic Script HAFS" w:hint="eastAsia"/>
          <w:sz w:val="28"/>
          <w:szCs w:val="28"/>
          <w:rtl/>
        </w:rPr>
        <w:t>يَشَا</w:t>
      </w:r>
      <w:r w:rsidR="00B06788" w:rsidRPr="0067048A">
        <w:rPr>
          <w:rFonts w:ascii="KFGQPC Uthmanic Script HAFS" w:cs="KFGQPC Uthmanic Script HAFS" w:hint="cs"/>
          <w:sz w:val="28"/>
          <w:szCs w:val="28"/>
          <w:rtl/>
        </w:rPr>
        <w:t>ٓ</w:t>
      </w:r>
      <w:r w:rsidR="00B06788" w:rsidRPr="0067048A">
        <w:rPr>
          <w:rFonts w:ascii="KFGQPC Uthmanic Script HAFS" w:cs="KFGQPC Uthmanic Script HAFS" w:hint="eastAsia"/>
          <w:sz w:val="28"/>
          <w:szCs w:val="28"/>
          <w:rtl/>
        </w:rPr>
        <w:t>ءُ</w:t>
      </w:r>
      <w:r w:rsidR="00B06788" w:rsidRPr="0067048A">
        <w:rPr>
          <w:rFonts w:ascii="KFGQPC Uthmanic Script HAFS" w:cs="KFGQPC Uthmanic Script HAFS"/>
          <w:sz w:val="28"/>
          <w:szCs w:val="28"/>
          <w:rtl/>
        </w:rPr>
        <w:t xml:space="preserve"> </w:t>
      </w:r>
      <w:r w:rsidR="00B06788" w:rsidRPr="0067048A">
        <w:rPr>
          <w:rFonts w:ascii="KFGQPC Uthmanic Script HAFS" w:cs="KFGQPC Uthmanic Script HAFS" w:hint="eastAsia"/>
          <w:sz w:val="28"/>
          <w:szCs w:val="28"/>
          <w:rtl/>
        </w:rPr>
        <w:t>مِن</w:t>
      </w:r>
      <w:r w:rsidR="00B06788" w:rsidRPr="0067048A">
        <w:rPr>
          <w:rFonts w:ascii="KFGQPC Uthmanic Script HAFS" w:cs="KFGQPC Uthmanic Script HAFS" w:hint="cs"/>
          <w:sz w:val="28"/>
          <w:szCs w:val="28"/>
          <w:rtl/>
        </w:rPr>
        <w:t>ۡ</w:t>
      </w:r>
      <w:r w:rsidR="00B06788" w:rsidRPr="0067048A">
        <w:rPr>
          <w:rFonts w:ascii="KFGQPC Uthmanic Script HAFS" w:cs="KFGQPC Uthmanic Script HAFS"/>
          <w:sz w:val="28"/>
          <w:szCs w:val="28"/>
          <w:rtl/>
        </w:rPr>
        <w:t xml:space="preserve"> </w:t>
      </w:r>
      <w:r w:rsidR="00B06788" w:rsidRPr="0067048A">
        <w:rPr>
          <w:rFonts w:ascii="KFGQPC Uthmanic Script HAFS" w:cs="KFGQPC Uthmanic Script HAFS" w:hint="eastAsia"/>
          <w:sz w:val="28"/>
          <w:szCs w:val="28"/>
          <w:rtl/>
        </w:rPr>
        <w:t>عِبَادِهِ</w:t>
      </w:r>
      <w:r w:rsidR="00B06788" w:rsidRPr="0067048A">
        <w:rPr>
          <w:rFonts w:ascii="KFGQPC Uthmanic Script HAFS" w:cs="KFGQPC Uthmanic Script HAFS" w:hint="cs"/>
          <w:sz w:val="28"/>
          <w:szCs w:val="28"/>
          <w:rtl/>
        </w:rPr>
        <w:t>ۦۖ</w:t>
      </w:r>
      <w:r w:rsidR="00B06788" w:rsidRPr="0067048A">
        <w:rPr>
          <w:rFonts w:ascii="KFGQPC Uthmanic Script HAFS" w:cs="KFGQPC Uthmanic Script HAFS"/>
          <w:sz w:val="28"/>
          <w:szCs w:val="28"/>
          <w:rtl/>
        </w:rPr>
        <w:t xml:space="preserve"> </w:t>
      </w:r>
      <w:r w:rsidR="00B06788" w:rsidRPr="0067048A">
        <w:rPr>
          <w:rFonts w:ascii="KFGQPC Uthmanic Script HAFS" w:cs="KFGQPC Uthmanic Script HAFS" w:hint="eastAsia"/>
          <w:sz w:val="28"/>
          <w:szCs w:val="28"/>
          <w:rtl/>
        </w:rPr>
        <w:t>وَ</w:t>
      </w:r>
      <w:r w:rsidR="00B06788" w:rsidRPr="0067048A">
        <w:rPr>
          <w:rFonts w:ascii="KFGQPC Uthmanic Script HAFS" w:cs="KFGQPC Uthmanic Script HAFS" w:hint="cs"/>
          <w:sz w:val="28"/>
          <w:szCs w:val="28"/>
          <w:rtl/>
        </w:rPr>
        <w:t>ٱ</w:t>
      </w:r>
      <w:r w:rsidR="00B06788" w:rsidRPr="0067048A">
        <w:rPr>
          <w:rFonts w:ascii="KFGQPC Uthmanic Script HAFS" w:cs="KFGQPC Uthmanic Script HAFS" w:hint="eastAsia"/>
          <w:sz w:val="28"/>
          <w:szCs w:val="28"/>
          <w:rtl/>
        </w:rPr>
        <w:t>ل</w:t>
      </w:r>
      <w:r w:rsidR="00B06788" w:rsidRPr="0067048A">
        <w:rPr>
          <w:rFonts w:ascii="KFGQPC Uthmanic Script HAFS" w:cs="KFGQPC Uthmanic Script HAFS" w:hint="cs"/>
          <w:sz w:val="28"/>
          <w:szCs w:val="28"/>
          <w:rtl/>
        </w:rPr>
        <w:t>ۡ</w:t>
      </w:r>
      <w:r w:rsidR="00B06788" w:rsidRPr="0067048A">
        <w:rPr>
          <w:rFonts w:ascii="KFGQPC Uthmanic Script HAFS" w:cs="KFGQPC Uthmanic Script HAFS" w:hint="eastAsia"/>
          <w:sz w:val="28"/>
          <w:szCs w:val="28"/>
          <w:rtl/>
        </w:rPr>
        <w:t>عَ</w:t>
      </w:r>
      <w:r w:rsidR="00B06788" w:rsidRPr="0067048A">
        <w:rPr>
          <w:rFonts w:ascii="KFGQPC Uthmanic Script HAFS" w:cs="KFGQPC Uthmanic Script HAFS" w:hint="cs"/>
          <w:sz w:val="28"/>
          <w:szCs w:val="28"/>
          <w:rtl/>
        </w:rPr>
        <w:t>ٰ</w:t>
      </w:r>
      <w:r w:rsidR="00B06788" w:rsidRPr="0067048A">
        <w:rPr>
          <w:rFonts w:ascii="KFGQPC Uthmanic Script HAFS" w:cs="KFGQPC Uthmanic Script HAFS" w:hint="eastAsia"/>
          <w:sz w:val="28"/>
          <w:szCs w:val="28"/>
          <w:rtl/>
        </w:rPr>
        <w:t>قِبَةُ</w:t>
      </w:r>
      <w:r w:rsidR="00B06788" w:rsidRPr="0067048A">
        <w:rPr>
          <w:rFonts w:ascii="KFGQPC Uthmanic Script HAFS" w:cs="KFGQPC Uthmanic Script HAFS"/>
          <w:sz w:val="28"/>
          <w:szCs w:val="28"/>
          <w:rtl/>
        </w:rPr>
        <w:t xml:space="preserve"> </w:t>
      </w:r>
      <w:r w:rsidR="00B06788" w:rsidRPr="0067048A">
        <w:rPr>
          <w:rFonts w:ascii="KFGQPC Uthmanic Script HAFS" w:cs="KFGQPC Uthmanic Script HAFS" w:hint="eastAsia"/>
          <w:sz w:val="28"/>
          <w:szCs w:val="28"/>
          <w:rtl/>
        </w:rPr>
        <w:t>لِل</w:t>
      </w:r>
      <w:r w:rsidR="00B06788" w:rsidRPr="0067048A">
        <w:rPr>
          <w:rFonts w:ascii="KFGQPC Uthmanic Script HAFS" w:cs="KFGQPC Uthmanic Script HAFS" w:hint="cs"/>
          <w:sz w:val="28"/>
          <w:szCs w:val="28"/>
          <w:rtl/>
        </w:rPr>
        <w:t>ۡ</w:t>
      </w:r>
      <w:r w:rsidR="00B06788" w:rsidRPr="0067048A">
        <w:rPr>
          <w:rFonts w:ascii="KFGQPC Uthmanic Script HAFS" w:cs="KFGQPC Uthmanic Script HAFS" w:hint="eastAsia"/>
          <w:sz w:val="28"/>
          <w:szCs w:val="28"/>
          <w:rtl/>
        </w:rPr>
        <w:t>مُتَّقِينَ</w:t>
      </w:r>
      <w:r w:rsidR="00B06788" w:rsidRPr="00995B26">
        <w:rPr>
          <w:rFonts w:cs="Traditional Arabic" w:hint="cs"/>
          <w:sz w:val="28"/>
          <w:rtl/>
        </w:rPr>
        <w:t>﴾</w:t>
      </w:r>
      <w:r w:rsidRPr="00995B26">
        <w:rPr>
          <w:b/>
          <w:bCs/>
          <w:sz w:val="28"/>
          <w:rtl/>
        </w:rPr>
        <w:t xml:space="preserve"> </w:t>
      </w:r>
      <w:r w:rsidRPr="00394385">
        <w:rPr>
          <w:rFonts w:cs="KFGQPC Uthman Taha Naskh"/>
          <w:b/>
          <w:bCs/>
          <w:sz w:val="28"/>
          <w:rtl/>
        </w:rPr>
        <w:t>أَنَا وأَهْلُ بَيْتِيَ الَّذِينَ أَوْرَثَنَا اللهُ الأَرْضَ ونَحْنُ المُتَّقُونَ والْأَرْضُ كُلُّهَا لَنَا فَمَنْ أَحْيَا أَرْضاً مِنَ المُسْلِمِينَ فَلْيَعْمُرْهَا ولْيُؤَدِّ خَرَاجَهَا إِلَى الإِمَامِ مِنْ أَهْلِ بَيْتِي ولَهُ مَا أَكَلَ مِنْهَا</w:t>
      </w:r>
      <w:r w:rsidR="00217AB4" w:rsidRPr="00394385">
        <w:rPr>
          <w:rFonts w:cs="KFGQPC Uthman Taha Naskh" w:hint="cs"/>
          <w:b/>
          <w:bCs/>
          <w:sz w:val="28"/>
          <w:rtl/>
        </w:rPr>
        <w:t>..</w:t>
      </w:r>
      <w:r w:rsidR="00217AB4" w:rsidRPr="0021507A">
        <w:rPr>
          <w:rFonts w:cs="Arabic11 BT"/>
          <w:b/>
          <w:sz w:val="28"/>
          <w:vertAlign w:val="superscript"/>
          <w:rtl/>
        </w:rPr>
        <w:t>(</w:t>
      </w:r>
      <w:r w:rsidRPr="0021507A">
        <w:rPr>
          <w:rStyle w:val="FootnoteReference"/>
          <w:rFonts w:cs="Arabic11 BT"/>
          <w:b/>
          <w:sz w:val="28"/>
          <w:rtl/>
        </w:rPr>
        <w:footnoteReference w:id="368"/>
      </w:r>
      <w:r w:rsidR="00217AB4" w:rsidRPr="0021507A">
        <w:rPr>
          <w:rFonts w:cs="Arabic11 BT"/>
          <w:b/>
          <w:sz w:val="28"/>
          <w:vertAlign w:val="superscript"/>
          <w:rtl/>
        </w:rPr>
        <w:t>)</w:t>
      </w:r>
      <w:r w:rsidR="00217AB4" w:rsidRPr="00394385">
        <w:rPr>
          <w:rFonts w:cs="KFGQPC Uthman Taha Naskh" w:hint="cs"/>
          <w:sz w:val="28"/>
          <w:rtl/>
        </w:rPr>
        <w:t>.</w:t>
      </w:r>
      <w:r w:rsidR="00EF2588" w:rsidRPr="00394385">
        <w:rPr>
          <w:rFonts w:cs="KFGQPC Uthman Taha Naskh" w:hint="cs"/>
          <w:sz w:val="28"/>
          <w:rtl/>
        </w:rPr>
        <w:t>»</w:t>
      </w:r>
      <w:r w:rsidR="00217AB4" w:rsidRPr="0021507A">
        <w:rPr>
          <w:rFonts w:cs="Arabic11 BT"/>
          <w:b/>
          <w:sz w:val="28"/>
          <w:vertAlign w:val="superscript"/>
          <w:rtl/>
        </w:rPr>
        <w:t>(</w:t>
      </w:r>
      <w:r w:rsidRPr="0021507A">
        <w:rPr>
          <w:rStyle w:val="FootnoteReference"/>
          <w:rFonts w:cs="Arabic11 BT"/>
          <w:b/>
          <w:sz w:val="28"/>
          <w:rtl/>
        </w:rPr>
        <w:footnoteReference w:id="369"/>
      </w:r>
      <w:r w:rsidR="00217AB4" w:rsidRPr="0021507A">
        <w:rPr>
          <w:rFonts w:cs="Arabic11 BT"/>
          <w:b/>
          <w:sz w:val="28"/>
          <w:vertAlign w:val="superscript"/>
          <w:rtl/>
        </w:rPr>
        <w:t>)</w:t>
      </w:r>
      <w:r w:rsidR="00F456DF" w:rsidRPr="00995B26">
        <w:rPr>
          <w:rFonts w:hint="cs"/>
          <w:sz w:val="28"/>
          <w:rtl/>
        </w:rPr>
        <w:t>.</w:t>
      </w:r>
      <w:r w:rsidR="00147857" w:rsidRPr="00995B26">
        <w:rPr>
          <w:sz w:val="28"/>
          <w:rtl/>
        </w:rPr>
        <w:t xml:space="preserve"> </w:t>
      </w:r>
    </w:p>
    <w:p w:rsidR="005C664D" w:rsidRPr="003F3B94" w:rsidRDefault="005C664D" w:rsidP="00254729">
      <w:pPr>
        <w:pStyle w:val="a0"/>
        <w:spacing w:after="0"/>
        <w:rPr>
          <w:rFonts w:hint="cs"/>
          <w:rtl/>
        </w:rPr>
      </w:pPr>
      <w:r w:rsidRPr="003F3B94">
        <w:rPr>
          <w:rFonts w:hint="cs"/>
          <w:sz w:val="28"/>
          <w:rtl/>
        </w:rPr>
        <w:t>وبعد أن ذكر الهمداني هذه الأحاديث وذكر من أشكل على الأخذ بظاهرها قال</w:t>
      </w:r>
      <w:r w:rsidR="00217AB4" w:rsidRPr="003F3B94">
        <w:rPr>
          <w:rFonts w:hint="cs"/>
          <w:sz w:val="28"/>
          <w:rtl/>
        </w:rPr>
        <w:t>:</w:t>
      </w:r>
      <w:r w:rsidRPr="003F3B94">
        <w:rPr>
          <w:rFonts w:hint="cs"/>
          <w:sz w:val="28"/>
          <w:rtl/>
        </w:rPr>
        <w:t xml:space="preserve"> </w:t>
      </w:r>
    </w:p>
    <w:p w:rsidR="005C664D" w:rsidRPr="003F3B94" w:rsidRDefault="00EF2588" w:rsidP="003F3B94">
      <w:pPr>
        <w:pStyle w:val="a0"/>
        <w:rPr>
          <w:rFonts w:hint="cs"/>
          <w:rtl/>
        </w:rPr>
      </w:pPr>
      <w:r w:rsidRPr="003F3B94">
        <w:rPr>
          <w:rFonts w:hint="cs"/>
          <w:sz w:val="28"/>
          <w:rtl/>
        </w:rPr>
        <w:t>«</w:t>
      </w:r>
      <w:r w:rsidR="005C664D" w:rsidRPr="003F3B94">
        <w:rPr>
          <w:rFonts w:hint="cs"/>
          <w:sz w:val="28"/>
          <w:rtl/>
        </w:rPr>
        <w:t xml:space="preserve">فقضيَّة التعبُّد بظاهر هذه الروايات هو الالتزام بأن حال سائر الناس بالنسبة إلى ما بأيديهم من أموالهم بالمقايسة إلى النبي صلى الله عليه وآله وأوصيائه </w:t>
      </w:r>
      <w:r w:rsidR="00963EFD" w:rsidRPr="00963EFD">
        <w:rPr>
          <w:rFonts w:cs="CTraditional Arabic" w:hint="cs"/>
          <w:sz w:val="28"/>
          <w:rtl/>
        </w:rPr>
        <w:t>‡</w:t>
      </w:r>
      <w:r w:rsidR="005C664D" w:rsidRPr="003F3B94">
        <w:rPr>
          <w:rFonts w:hint="cs"/>
          <w:sz w:val="28"/>
          <w:rtl/>
        </w:rPr>
        <w:t xml:space="preserve"> حال العبد الذي وهبه مولاه شيئاً من أمواله ورخَّصه في أن يتصرَّف فيه كيف يشاء فذلك الشيء يصير ملكاً للعبد حقيقةً بناءً على أن العبد يملك ولكن لا على وجهٍ ينقطع علاقته عن السيد فإن مال العبد لا يزيد عن رقبته فهو مع ما له من المال ملكٌ لسيِّده ومتى شاء سيده أن ينتزع منه ما له جاز له ذلك</w:t>
      </w:r>
      <w:r w:rsidR="00217AB4" w:rsidRPr="003F3B94">
        <w:rPr>
          <w:rFonts w:hint="cs"/>
          <w:sz w:val="28"/>
          <w:rtl/>
        </w:rPr>
        <w:t>.</w:t>
      </w:r>
      <w:r w:rsidR="005C664D" w:rsidRPr="003F3B94">
        <w:rPr>
          <w:rFonts w:hint="cs"/>
          <w:sz w:val="28"/>
          <w:rtl/>
        </w:rPr>
        <w:t xml:space="preserve"> فيصحُّ إضافة المال إلى سيده أيضاً بل سيده أحقّ به من نفسه وأولى بإضافة المال إليه</w:t>
      </w:r>
      <w:r w:rsidR="00217AB4" w:rsidRPr="003F3B94">
        <w:rPr>
          <w:rFonts w:hint="cs"/>
          <w:sz w:val="28"/>
          <w:rtl/>
        </w:rPr>
        <w:t>،</w:t>
      </w:r>
      <w:r w:rsidR="005C664D" w:rsidRPr="003F3B94">
        <w:rPr>
          <w:rFonts w:hint="cs"/>
          <w:sz w:val="28"/>
          <w:rtl/>
        </w:rPr>
        <w:t xml:space="preserve"> فمن الجائز أن يكون ما في أيدي الناس بالإضافة إلى ساداتهم كذلك فإن الدنيا وما فيها أهون على الله من أن يجعلها ملكاً لأوليائه</w:t>
      </w:r>
      <w:r w:rsidR="00217AB4" w:rsidRPr="003F3B94">
        <w:rPr>
          <w:rFonts w:hint="cs"/>
          <w:sz w:val="28"/>
          <w:rtl/>
        </w:rPr>
        <w:t>،</w:t>
      </w:r>
      <w:r w:rsidR="005C664D" w:rsidRPr="003F3B94">
        <w:rPr>
          <w:rFonts w:hint="cs"/>
          <w:sz w:val="28"/>
          <w:rtl/>
        </w:rPr>
        <w:t xml:space="preserve"> ولا يمكن استكشاف عدمه من إجماع أو ضرورة فإن غاية ما يمكن معرفته بمثل هذه الأدلة هي أن الأئمة </w:t>
      </w:r>
      <w:r w:rsidR="00963EFD" w:rsidRPr="00963EFD">
        <w:rPr>
          <w:rFonts w:cs="CTraditional Arabic" w:hint="cs"/>
          <w:sz w:val="28"/>
          <w:rtl/>
        </w:rPr>
        <w:t>‡</w:t>
      </w:r>
      <w:r w:rsidR="005C664D" w:rsidRPr="003F3B94">
        <w:rPr>
          <w:rFonts w:hint="cs"/>
          <w:sz w:val="28"/>
          <w:rtl/>
        </w:rPr>
        <w:t xml:space="preserve"> كانوا ملتزمين في مقام العمل بالتجنُّب عمّا في أيدي الناس وعدم استباحة شيء منها إلا بشيء من الأسباب الظاهرية المقرَّرة في الشريعة وهذا لا يدل على أنه لم يكن لهم في الواقع إلا هذا فلا مانع عن التعبد بظواهر النصوص المزبورة المعتضدة بغيرها من المؤيدات العقلية والنقلية</w:t>
      </w:r>
      <w:r w:rsidRPr="003F3B94">
        <w:rPr>
          <w:rFonts w:hint="cs"/>
          <w:sz w:val="28"/>
          <w:rtl/>
        </w:rPr>
        <w:t>»</w:t>
      </w:r>
      <w:r w:rsidR="00217AB4" w:rsidRPr="0021507A">
        <w:rPr>
          <w:rFonts w:cs="Arabic11 BT"/>
          <w:b/>
          <w:sz w:val="28"/>
          <w:vertAlign w:val="superscript"/>
          <w:rtl/>
        </w:rPr>
        <w:t>(</w:t>
      </w:r>
      <w:r w:rsidR="005C664D" w:rsidRPr="0021507A">
        <w:rPr>
          <w:rStyle w:val="FootnoteReference"/>
          <w:rFonts w:cs="Arabic11 BT"/>
          <w:b/>
          <w:sz w:val="28"/>
          <w:rtl/>
        </w:rPr>
        <w:footnoteReference w:id="370"/>
      </w:r>
      <w:r w:rsidR="00217AB4" w:rsidRPr="0021507A">
        <w:rPr>
          <w:rFonts w:cs="Arabic11 BT"/>
          <w:b/>
          <w:sz w:val="28"/>
          <w:vertAlign w:val="superscript"/>
          <w:rtl/>
        </w:rPr>
        <w:t>)</w:t>
      </w:r>
      <w:r w:rsidR="00217AB4" w:rsidRPr="003F3B94">
        <w:rPr>
          <w:rFonts w:hint="cs"/>
          <w:sz w:val="28"/>
          <w:rtl/>
        </w:rPr>
        <w:t>.</w:t>
      </w:r>
      <w:r w:rsidR="00147857" w:rsidRPr="003F3B94">
        <w:rPr>
          <w:rFonts w:hint="cs"/>
          <w:sz w:val="28"/>
          <w:rtl/>
        </w:rPr>
        <w:t xml:space="preserve"> </w:t>
      </w:r>
      <w:r w:rsidR="005C664D" w:rsidRPr="003F3B94">
        <w:rPr>
          <w:rFonts w:hint="cs"/>
          <w:sz w:val="28"/>
          <w:rtl/>
        </w:rPr>
        <w:t>إلى هنا انتهى استدلال المرحوم الهمداني</w:t>
      </w:r>
      <w:r w:rsidR="00217AB4" w:rsidRPr="003F3B94">
        <w:rPr>
          <w:rFonts w:hint="cs"/>
          <w:sz w:val="28"/>
          <w:rtl/>
        </w:rPr>
        <w:t>.</w:t>
      </w:r>
    </w:p>
    <w:p w:rsidR="005C664D" w:rsidRPr="003F3B94" w:rsidRDefault="005C664D" w:rsidP="003F3B94">
      <w:pPr>
        <w:pStyle w:val="a0"/>
        <w:rPr>
          <w:rFonts w:hint="cs"/>
          <w:rtl/>
        </w:rPr>
      </w:pPr>
      <w:r w:rsidRPr="003F3B94">
        <w:rPr>
          <w:rFonts w:hint="cs"/>
          <w:sz w:val="28"/>
          <w:rtl/>
        </w:rPr>
        <w:t xml:space="preserve">هذا الدليل هو آخر أدلَّتهم وأقواها عندهم وخلاصته أنه لما كانت الدنيا </w:t>
      </w:r>
      <w:r w:rsidR="001253D2" w:rsidRPr="003F3B94">
        <w:rPr>
          <w:rFonts w:hint="cs"/>
          <w:sz w:val="28"/>
          <w:rtl/>
        </w:rPr>
        <w:t>و</w:t>
      </w:r>
      <w:r w:rsidRPr="003F3B94">
        <w:rPr>
          <w:rFonts w:hint="cs"/>
          <w:sz w:val="28"/>
          <w:rtl/>
        </w:rPr>
        <w:t xml:space="preserve">ما فيها ملكٌ لرسول الله والأئمة </w:t>
      </w:r>
      <w:r w:rsidR="00963EFD" w:rsidRPr="00963EFD">
        <w:rPr>
          <w:rFonts w:cs="CTraditional Arabic" w:hint="cs"/>
          <w:sz w:val="28"/>
          <w:rtl/>
        </w:rPr>
        <w:t>‡</w:t>
      </w:r>
      <w:r w:rsidRPr="003F3B94">
        <w:rPr>
          <w:rFonts w:hint="cs"/>
          <w:sz w:val="28"/>
          <w:rtl/>
        </w:rPr>
        <w:t xml:space="preserve"> وكان جميع الخلق عبيداً لديهم ومتطفِّلين على سفرتهم</w:t>
      </w:r>
      <w:r w:rsidR="00217AB4" w:rsidRPr="003F3B94">
        <w:rPr>
          <w:rFonts w:hint="cs"/>
          <w:sz w:val="28"/>
          <w:rtl/>
        </w:rPr>
        <w:t>،</w:t>
      </w:r>
      <w:r w:rsidRPr="003F3B94">
        <w:rPr>
          <w:rFonts w:hint="cs"/>
          <w:sz w:val="28"/>
          <w:rtl/>
        </w:rPr>
        <w:t xml:space="preserve"> فلهم </w:t>
      </w:r>
      <w:r w:rsidR="00217AB4" w:rsidRPr="003F3B94">
        <w:rPr>
          <w:rFonts w:hint="cs"/>
          <w:sz w:val="28"/>
          <w:rtl/>
        </w:rPr>
        <w:t>(</w:t>
      </w:r>
      <w:r w:rsidRPr="003F3B94">
        <w:rPr>
          <w:rFonts w:hint="cs"/>
          <w:sz w:val="28"/>
          <w:rtl/>
        </w:rPr>
        <w:t>أي للرسول والأئمة</w:t>
      </w:r>
      <w:r w:rsidR="00217AB4" w:rsidRPr="003F3B94">
        <w:rPr>
          <w:rFonts w:hint="cs"/>
          <w:sz w:val="28"/>
          <w:rtl/>
        </w:rPr>
        <w:t>)</w:t>
      </w:r>
      <w:r w:rsidRPr="003F3B94">
        <w:rPr>
          <w:rFonts w:hint="cs"/>
          <w:sz w:val="28"/>
          <w:rtl/>
        </w:rPr>
        <w:t xml:space="preserve"> الحقّ في أخذ ما شاؤوا من أموال الناس</w:t>
      </w:r>
      <w:r w:rsidR="00217AB4" w:rsidRPr="003F3B94">
        <w:rPr>
          <w:rFonts w:hint="cs"/>
          <w:sz w:val="28"/>
          <w:rtl/>
        </w:rPr>
        <w:t>،</w:t>
      </w:r>
      <w:r w:rsidRPr="003F3B94">
        <w:rPr>
          <w:rFonts w:hint="cs"/>
          <w:sz w:val="28"/>
          <w:rtl/>
        </w:rPr>
        <w:t xml:space="preserve"> لأنهم في الحقيقة إنما يأخذون من مالهم أنفسهم</w:t>
      </w:r>
      <w:r w:rsidR="00217AB4" w:rsidRPr="003F3B94">
        <w:rPr>
          <w:rFonts w:hint="cs"/>
          <w:sz w:val="28"/>
          <w:rtl/>
        </w:rPr>
        <w:t>.</w:t>
      </w:r>
    </w:p>
    <w:p w:rsidR="00542D29" w:rsidRPr="00995B26" w:rsidRDefault="00542D29" w:rsidP="003C671C">
      <w:pPr>
        <w:pStyle w:val="a6"/>
        <w:rPr>
          <w:rFonts w:hint="cs"/>
          <w:rtl/>
        </w:rPr>
      </w:pPr>
      <w:bookmarkStart w:id="116" w:name="_Toc387843087"/>
      <w:r w:rsidRPr="00995B26">
        <w:rPr>
          <w:rFonts w:hint="cs"/>
          <w:rtl/>
        </w:rPr>
        <w:t>1- ض</w:t>
      </w:r>
      <w:r w:rsidR="007D07D3" w:rsidRPr="00995B26">
        <w:rPr>
          <w:rFonts w:hint="cs"/>
          <w:rtl/>
        </w:rPr>
        <w:t>َ</w:t>
      </w:r>
      <w:r w:rsidRPr="00995B26">
        <w:rPr>
          <w:rFonts w:hint="cs"/>
          <w:rtl/>
        </w:rPr>
        <w:t>ع</w:t>
      </w:r>
      <w:r w:rsidR="007D07D3" w:rsidRPr="00995B26">
        <w:rPr>
          <w:rFonts w:hint="cs"/>
          <w:rtl/>
        </w:rPr>
        <w:t>ـ</w:t>
      </w:r>
      <w:r w:rsidRPr="00995B26">
        <w:rPr>
          <w:rFonts w:hint="cs"/>
          <w:rtl/>
        </w:rPr>
        <w:t>ف استدلال الهمداني</w:t>
      </w:r>
      <w:bookmarkEnd w:id="116"/>
    </w:p>
    <w:p w:rsidR="005C664D" w:rsidRPr="003F3B94" w:rsidRDefault="005C664D" w:rsidP="003F3B94">
      <w:pPr>
        <w:pStyle w:val="a0"/>
        <w:rPr>
          <w:rFonts w:hint="cs"/>
          <w:rtl/>
          <w:lang w:bidi="ar-SY"/>
        </w:rPr>
      </w:pPr>
      <w:r w:rsidRPr="003F3B94">
        <w:rPr>
          <w:rFonts w:hint="cs"/>
          <w:sz w:val="28"/>
          <w:rtl/>
          <w:lang w:bidi="ar-SY"/>
        </w:rPr>
        <w:t>ليس صحيحاً ما قاله المرحوم الهمداني من أن النصوص المذكورة مؤيَّدة بقرائن ومؤيدات عقلية ونقلية</w:t>
      </w:r>
      <w:r w:rsidR="001E0DB7" w:rsidRPr="003F3B94">
        <w:rPr>
          <w:rFonts w:hint="cs"/>
          <w:sz w:val="28"/>
          <w:rtl/>
          <w:lang w:bidi="ar-SY"/>
        </w:rPr>
        <w:t>،</w:t>
      </w:r>
      <w:r w:rsidRPr="003F3B94">
        <w:rPr>
          <w:rFonts w:hint="cs"/>
          <w:sz w:val="28"/>
          <w:rtl/>
          <w:lang w:bidi="ar-SY"/>
        </w:rPr>
        <w:t xml:space="preserve"> وذلك لأنه ليس لأي مخلوق من نوع البشر مثل هذا الحق والسلطان على آخرين من بني نوعه أن يختص لنفسه جزءاً من كدِّ يمينهم ونتاج عرق جبينهم</w:t>
      </w:r>
      <w:r w:rsidR="001E0DB7" w:rsidRPr="003F3B94">
        <w:rPr>
          <w:rFonts w:hint="cs"/>
          <w:sz w:val="28"/>
          <w:rtl/>
          <w:lang w:bidi="ar-SY"/>
        </w:rPr>
        <w:t>،</w:t>
      </w:r>
      <w:r w:rsidRPr="003F3B94">
        <w:rPr>
          <w:rFonts w:hint="cs"/>
          <w:sz w:val="28"/>
          <w:rtl/>
          <w:lang w:bidi="ar-SY"/>
        </w:rPr>
        <w:t xml:space="preserve"> هذا فضلاً عن أن يقول أن الدنيا وما فيها ملك لي</w:t>
      </w:r>
      <w:r w:rsidR="00217AB4" w:rsidRPr="003F3B94">
        <w:rPr>
          <w:rFonts w:hint="cs"/>
          <w:sz w:val="28"/>
          <w:rtl/>
          <w:lang w:bidi="ar-SY"/>
        </w:rPr>
        <w:t>،</w:t>
      </w:r>
      <w:r w:rsidRPr="003F3B94">
        <w:rPr>
          <w:rFonts w:hint="cs"/>
          <w:sz w:val="28"/>
          <w:rtl/>
          <w:lang w:bidi="ar-SY"/>
        </w:rPr>
        <w:t xml:space="preserve"> والناس كلهم عبيد وخدمٌ لي</w:t>
      </w:r>
      <w:r w:rsidR="00217AB4" w:rsidRPr="003F3B94">
        <w:rPr>
          <w:rFonts w:hint="cs"/>
          <w:sz w:val="28"/>
          <w:rtl/>
          <w:lang w:bidi="ar-SY"/>
        </w:rPr>
        <w:t>!!</w:t>
      </w:r>
      <w:r w:rsidRPr="003F3B94">
        <w:rPr>
          <w:rFonts w:hint="cs"/>
          <w:sz w:val="28"/>
          <w:rtl/>
          <w:lang w:bidi="ar-SY"/>
        </w:rPr>
        <w:t xml:space="preserve"> </w:t>
      </w:r>
    </w:p>
    <w:p w:rsidR="005C664D" w:rsidRPr="003F3B94" w:rsidRDefault="005C664D" w:rsidP="003F3B94">
      <w:pPr>
        <w:pStyle w:val="a0"/>
        <w:rPr>
          <w:rFonts w:hint="cs"/>
          <w:rtl/>
          <w:lang w:bidi="ar-SY"/>
        </w:rPr>
      </w:pPr>
      <w:r w:rsidRPr="003F3B94">
        <w:rPr>
          <w:rFonts w:hint="cs"/>
          <w:sz w:val="28"/>
          <w:rtl/>
          <w:lang w:bidi="ar-SY"/>
        </w:rPr>
        <w:t>لا يملك أي فرد مثل هذا الامتياز والأفضلية على أي فرد آخر</w:t>
      </w:r>
      <w:r w:rsidR="001E0DB7" w:rsidRPr="003F3B94">
        <w:rPr>
          <w:rFonts w:hint="cs"/>
          <w:sz w:val="28"/>
          <w:rtl/>
          <w:lang w:bidi="ar-SY"/>
        </w:rPr>
        <w:t>،</w:t>
      </w:r>
      <w:r w:rsidRPr="003F3B94">
        <w:rPr>
          <w:rFonts w:hint="cs"/>
          <w:sz w:val="28"/>
          <w:rtl/>
          <w:lang w:bidi="ar-SY"/>
        </w:rPr>
        <w:t xml:space="preserve"> سواء كان نبياً أو غير نبي</w:t>
      </w:r>
      <w:r w:rsidR="001E0DB7" w:rsidRPr="003F3B94">
        <w:rPr>
          <w:rFonts w:hint="cs"/>
          <w:sz w:val="28"/>
          <w:rtl/>
          <w:lang w:bidi="ar-SY"/>
        </w:rPr>
        <w:t>،</w:t>
      </w:r>
      <w:r w:rsidRPr="003F3B94">
        <w:rPr>
          <w:rFonts w:hint="cs"/>
          <w:sz w:val="28"/>
          <w:rtl/>
          <w:lang w:bidi="ar-SY"/>
        </w:rPr>
        <w:t xml:space="preserve"> ولا يستثنى من هذه القاعدة رسول الله وأئمة الهدى </w:t>
      </w:r>
      <w:r w:rsidR="00963EFD" w:rsidRPr="00963EFD">
        <w:rPr>
          <w:rFonts w:cs="CTraditional Arabic" w:hint="cs"/>
          <w:sz w:val="28"/>
          <w:rtl/>
          <w:lang w:bidi="ar-SY"/>
        </w:rPr>
        <w:t>‡</w:t>
      </w:r>
      <w:r w:rsidRPr="003F3B94">
        <w:rPr>
          <w:rFonts w:hint="cs"/>
          <w:sz w:val="28"/>
          <w:rtl/>
          <w:lang w:bidi="ar-SY"/>
        </w:rPr>
        <w:t xml:space="preserve"> لأنهم بشر مخلوقون كسائر البشر ويخضعون لذات التكاليف والقوانين التي يخضع لها بني الإنسان</w:t>
      </w:r>
      <w:r w:rsidR="00217AB4" w:rsidRPr="003F3B94">
        <w:rPr>
          <w:rFonts w:hint="cs"/>
          <w:sz w:val="28"/>
          <w:rtl/>
          <w:lang w:bidi="ar-SY"/>
        </w:rPr>
        <w:t>.</w:t>
      </w:r>
      <w:r w:rsidRPr="003F3B94">
        <w:rPr>
          <w:rFonts w:hint="cs"/>
          <w:sz w:val="28"/>
          <w:rtl/>
          <w:lang w:bidi="ar-SY"/>
        </w:rPr>
        <w:t xml:space="preserve"> </w:t>
      </w:r>
    </w:p>
    <w:p w:rsidR="005C664D" w:rsidRPr="003F3B94" w:rsidRDefault="005C664D" w:rsidP="003F3B94">
      <w:pPr>
        <w:pStyle w:val="a0"/>
        <w:rPr>
          <w:rFonts w:hint="cs"/>
          <w:rtl/>
          <w:lang w:bidi="ar-SY"/>
        </w:rPr>
      </w:pPr>
      <w:r w:rsidRPr="003F3B94">
        <w:rPr>
          <w:rFonts w:hint="cs"/>
          <w:sz w:val="28"/>
          <w:rtl/>
          <w:lang w:bidi="ar-SY"/>
        </w:rPr>
        <w:t>إن السماوات والأرض وما فيهما مخلوقة لِـلَّهِ رب العالمين وملك له</w:t>
      </w:r>
      <w:r w:rsidR="001E0DB7" w:rsidRPr="003F3B94">
        <w:rPr>
          <w:rFonts w:hint="cs"/>
          <w:sz w:val="28"/>
          <w:rtl/>
          <w:lang w:bidi="ar-SY"/>
        </w:rPr>
        <w:t>،</w:t>
      </w:r>
      <w:r w:rsidRPr="003F3B94">
        <w:rPr>
          <w:rFonts w:hint="cs"/>
          <w:sz w:val="28"/>
          <w:rtl/>
          <w:lang w:bidi="ar-SY"/>
        </w:rPr>
        <w:t xml:space="preserve"> والناس كلهم أيضاً مخلوقين لِـلَّهِ</w:t>
      </w:r>
      <w:r w:rsidR="00217AB4" w:rsidRPr="003F3B94">
        <w:rPr>
          <w:rFonts w:hint="cs"/>
          <w:sz w:val="28"/>
          <w:rtl/>
          <w:lang w:bidi="ar-SY"/>
        </w:rPr>
        <w:t>.</w:t>
      </w:r>
      <w:r w:rsidRPr="003F3B94">
        <w:rPr>
          <w:rFonts w:hint="cs"/>
          <w:sz w:val="28"/>
          <w:rtl/>
          <w:lang w:bidi="ar-SY"/>
        </w:rPr>
        <w:t xml:space="preserve"> وفي ديوان العدل الأهلي يتمتع جميع الناس بحق الحياة والأكل والشرب وسائر لوازم الحياة</w:t>
      </w:r>
      <w:r w:rsidR="001E0DB7" w:rsidRPr="003F3B94">
        <w:rPr>
          <w:rFonts w:hint="cs"/>
          <w:sz w:val="28"/>
          <w:rtl/>
          <w:lang w:bidi="ar-SY"/>
        </w:rPr>
        <w:t>،</w:t>
      </w:r>
      <w:r w:rsidRPr="003F3B94">
        <w:rPr>
          <w:rFonts w:hint="cs"/>
          <w:sz w:val="28"/>
          <w:rtl/>
          <w:lang w:bidi="ar-SY"/>
        </w:rPr>
        <w:t xml:space="preserve"> وكل إنسان يملك الحق بالعمل والكسب والارتزاق لرفع حاجاته</w:t>
      </w:r>
      <w:r w:rsidR="00217AB4" w:rsidRPr="003F3B94">
        <w:rPr>
          <w:rFonts w:hint="cs"/>
          <w:sz w:val="28"/>
          <w:rtl/>
          <w:lang w:bidi="ar-SY"/>
        </w:rPr>
        <w:t>.</w:t>
      </w:r>
      <w:r w:rsidRPr="003F3B94">
        <w:rPr>
          <w:rFonts w:hint="cs"/>
          <w:sz w:val="28"/>
          <w:rtl/>
          <w:lang w:bidi="ar-SY"/>
        </w:rPr>
        <w:t xml:space="preserve"> وجميع البشر من حيث حاجاتهم الطبيعية متماثلون أي جميعهم لهم نفس الحاجات فكلهم يملكون البدن والبطن والفرج ذاته والحاجة إلى المسكن والملبس والغذاء والزواج ذاتها</w:t>
      </w:r>
      <w:r w:rsidR="001E0DB7" w:rsidRPr="003F3B94">
        <w:rPr>
          <w:rFonts w:hint="cs"/>
          <w:sz w:val="28"/>
          <w:rtl/>
          <w:lang w:bidi="ar-SY"/>
        </w:rPr>
        <w:t>،</w:t>
      </w:r>
      <w:r w:rsidRPr="003F3B94">
        <w:rPr>
          <w:rFonts w:hint="cs"/>
          <w:sz w:val="28"/>
          <w:rtl/>
          <w:lang w:bidi="ar-SY"/>
        </w:rPr>
        <w:t xml:space="preserve"> وعليهم أن يسعوا إلى تلبية حاجاتهم في هذه الأرض التي خلق الله تعالى مخلوقاته عليها واستعمرهم فيها</w:t>
      </w:r>
      <w:r w:rsidR="00217AB4" w:rsidRPr="003F3B94">
        <w:rPr>
          <w:rFonts w:hint="cs"/>
          <w:sz w:val="28"/>
          <w:rtl/>
          <w:lang w:bidi="ar-SY"/>
        </w:rPr>
        <w:t>.</w:t>
      </w:r>
      <w:r w:rsidRPr="003F3B94">
        <w:rPr>
          <w:rFonts w:hint="cs"/>
          <w:sz w:val="28"/>
          <w:rtl/>
          <w:lang w:bidi="ar-SY"/>
        </w:rPr>
        <w:t xml:space="preserve"> </w:t>
      </w:r>
    </w:p>
    <w:p w:rsidR="005C664D" w:rsidRPr="003F3B94" w:rsidRDefault="005C664D" w:rsidP="003F3B94">
      <w:pPr>
        <w:pStyle w:val="a0"/>
        <w:rPr>
          <w:rFonts w:hint="cs"/>
          <w:rtl/>
          <w:lang w:bidi="ar-SY"/>
        </w:rPr>
      </w:pPr>
      <w:r w:rsidRPr="003F3B94">
        <w:rPr>
          <w:rFonts w:hint="cs"/>
          <w:sz w:val="28"/>
          <w:rtl/>
          <w:lang w:bidi="ar-SY"/>
        </w:rPr>
        <w:t>ما هو الفرق بين الحاجات الطبيعية والحياتية للنبي والإمام والحاجات الطبيعية والحياتية لسائر الناس حتى تكون أموال الدنيا وما فيها كلّها للنبي والإمام</w:t>
      </w:r>
      <w:r w:rsidR="00217AB4" w:rsidRPr="003F3B94">
        <w:rPr>
          <w:rFonts w:hint="cs"/>
          <w:sz w:val="28"/>
          <w:rtl/>
          <w:lang w:bidi="ar-SY"/>
        </w:rPr>
        <w:t>؟!</w:t>
      </w:r>
      <w:r w:rsidRPr="003F3B94">
        <w:rPr>
          <w:rFonts w:hint="cs"/>
          <w:sz w:val="28"/>
          <w:rtl/>
          <w:lang w:bidi="ar-SY"/>
        </w:rPr>
        <w:t xml:space="preserve"> كم بطناً أو فرجاً للنبي أو للإمام حتى يكون لهم أكثر مما لغيرهم من الدنيا أو يكون لهم كل شيء وللآخرين لا شيء</w:t>
      </w:r>
      <w:r w:rsidR="00217AB4" w:rsidRPr="003F3B94">
        <w:rPr>
          <w:rFonts w:hint="cs"/>
          <w:sz w:val="28"/>
          <w:rtl/>
          <w:lang w:bidi="ar-SY"/>
        </w:rPr>
        <w:t>؟؟!!</w:t>
      </w:r>
      <w:r w:rsidRPr="003F3B94">
        <w:rPr>
          <w:rFonts w:hint="cs"/>
          <w:sz w:val="28"/>
          <w:rtl/>
          <w:lang w:bidi="ar-SY"/>
        </w:rPr>
        <w:t xml:space="preserve"> </w:t>
      </w:r>
    </w:p>
    <w:p w:rsidR="005C664D" w:rsidRPr="00995B26" w:rsidRDefault="005C664D" w:rsidP="003F3B94">
      <w:pPr>
        <w:pStyle w:val="a0"/>
        <w:rPr>
          <w:rFonts w:hint="cs"/>
          <w:rtl/>
          <w:lang w:bidi="ar-SY"/>
        </w:rPr>
      </w:pPr>
      <w:r w:rsidRPr="003F3B94">
        <w:rPr>
          <w:rFonts w:hint="cs"/>
          <w:sz w:val="28"/>
          <w:rtl/>
          <w:lang w:bidi="ar-SY"/>
        </w:rPr>
        <w:t>متى وأين نجد في تاريخ الدنيا أيَّ نبي أو إمام احتاج إلى كلِّ الدنيا وما فيها وقام برفع حوائجه وتأمينها منها</w:t>
      </w:r>
      <w:r w:rsidR="00217AB4" w:rsidRPr="003F3B94">
        <w:rPr>
          <w:rFonts w:hint="cs"/>
          <w:sz w:val="28"/>
          <w:rtl/>
          <w:lang w:bidi="ar-SY"/>
        </w:rPr>
        <w:t>؟!</w:t>
      </w:r>
      <w:r w:rsidRPr="003F3B94">
        <w:rPr>
          <w:rFonts w:hint="cs"/>
          <w:sz w:val="28"/>
          <w:rtl/>
          <w:lang w:bidi="ar-SY"/>
        </w:rPr>
        <w:t xml:space="preserve"> حتى يأتي هؤلاء الحشوية الغلاة ويتكرمون بتقديم الدنيا وما فيها من الأزل إلى الأبد إلى النبي والأئمة</w:t>
      </w:r>
      <w:r w:rsidR="00217AB4" w:rsidRPr="003F3B94">
        <w:rPr>
          <w:rFonts w:hint="cs"/>
          <w:sz w:val="28"/>
          <w:rtl/>
          <w:lang w:bidi="ar-SY"/>
        </w:rPr>
        <w:t>؟!</w:t>
      </w:r>
      <w:r w:rsidRPr="003F3B94">
        <w:rPr>
          <w:rFonts w:hint="cs"/>
          <w:sz w:val="28"/>
          <w:rtl/>
          <w:lang w:bidi="ar-SY"/>
        </w:rPr>
        <w:t xml:space="preserve"> إن مثل هذه المجاملات أقرب للتخيلات والمبالغات الشاعرية منها إلى الحقائق الدينية</w:t>
      </w:r>
      <w:r w:rsidR="00217AB4" w:rsidRPr="003F3B94">
        <w:rPr>
          <w:rFonts w:hint="cs"/>
          <w:sz w:val="28"/>
          <w:rtl/>
          <w:lang w:bidi="ar-SY"/>
        </w:rPr>
        <w:t>!!</w:t>
      </w:r>
      <w:r w:rsidRPr="003F3B94">
        <w:rPr>
          <w:rFonts w:hint="cs"/>
          <w:sz w:val="28"/>
          <w:rtl/>
          <w:lang w:bidi="ar-SY"/>
        </w:rPr>
        <w:t xml:space="preserve"> مثل قول أحد الشعراء المتزلفين إلى أرباب القوة والسلطان</w:t>
      </w:r>
      <w:r w:rsidR="00217AB4" w:rsidRPr="003F3B94">
        <w:rPr>
          <w:rFonts w:hint="cs"/>
          <w:sz w:val="28"/>
          <w:rtl/>
          <w:lang w:bidi="ar-SY"/>
        </w:rPr>
        <w:t>:</w:t>
      </w:r>
      <w:r w:rsidRPr="003F3B94">
        <w:rPr>
          <w:rFonts w:hint="cs"/>
          <w:sz w:val="28"/>
          <w:rtl/>
          <w:lang w:bidi="ar-SY"/>
        </w:rPr>
        <w:t xml:space="preserve"> </w:t>
      </w:r>
    </w:p>
    <w:tbl>
      <w:tblPr>
        <w:bidiVisual/>
        <w:tblW w:w="0" w:type="auto"/>
        <w:tblInd w:w="79" w:type="dxa"/>
        <w:tblLook w:val="04A0" w:firstRow="1" w:lastRow="0" w:firstColumn="1" w:lastColumn="0" w:noHBand="0" w:noVBand="1"/>
      </w:tblPr>
      <w:tblGrid>
        <w:gridCol w:w="3347"/>
        <w:gridCol w:w="282"/>
        <w:gridCol w:w="3766"/>
      </w:tblGrid>
      <w:tr w:rsidR="00995B26" w:rsidRPr="00995B26" w:rsidTr="00663E9A">
        <w:tc>
          <w:tcPr>
            <w:tcW w:w="3402" w:type="dxa"/>
          </w:tcPr>
          <w:p w:rsidR="00F01908" w:rsidRPr="00995B26" w:rsidRDefault="00F01908" w:rsidP="00663E9A">
            <w:pPr>
              <w:jc w:val="lowKashida"/>
              <w:rPr>
                <w:rFonts w:cs="B Lotus" w:hint="cs"/>
                <w:sz w:val="2"/>
                <w:szCs w:val="2"/>
                <w:rtl/>
                <w:lang w:bidi="fa-IR"/>
              </w:rPr>
            </w:pPr>
            <w:r w:rsidRPr="00995B26">
              <w:rPr>
                <w:rFonts w:ascii="Lotus Linotype" w:hAnsi="Lotus Linotype" w:cs="B Lotus"/>
                <w:rtl/>
                <w:lang w:bidi="fa-IR"/>
              </w:rPr>
              <w:t>ثَری تا ثریّا به فرمایشت</w:t>
            </w:r>
            <w:r w:rsidRPr="00995B26">
              <w:rPr>
                <w:rFonts w:cs="B Lotus"/>
                <w:rtl/>
                <w:lang w:bidi="fa-IR"/>
              </w:rPr>
              <w:br/>
            </w:r>
          </w:p>
        </w:tc>
        <w:tc>
          <w:tcPr>
            <w:tcW w:w="283" w:type="dxa"/>
          </w:tcPr>
          <w:p w:rsidR="00F01908" w:rsidRPr="00995B26" w:rsidRDefault="00F01908" w:rsidP="00663E9A">
            <w:pPr>
              <w:jc w:val="center"/>
              <w:rPr>
                <w:rFonts w:cs="B Lotus" w:hint="cs"/>
                <w:rtl/>
                <w:lang w:bidi="fa-IR"/>
              </w:rPr>
            </w:pPr>
          </w:p>
        </w:tc>
        <w:tc>
          <w:tcPr>
            <w:tcW w:w="3828" w:type="dxa"/>
          </w:tcPr>
          <w:p w:rsidR="00F01908" w:rsidRPr="00995B26" w:rsidRDefault="00F01908" w:rsidP="00663E9A">
            <w:pPr>
              <w:jc w:val="lowKashida"/>
              <w:rPr>
                <w:rFonts w:cs="B Lotus" w:hint="cs"/>
                <w:sz w:val="2"/>
                <w:szCs w:val="2"/>
                <w:rtl/>
                <w:lang w:bidi="fa-IR"/>
              </w:rPr>
            </w:pPr>
            <w:r w:rsidRPr="00995B26">
              <w:rPr>
                <w:rFonts w:ascii="Lotus Linotype" w:hAnsi="Lotus Linotype" w:cs="B Lotus"/>
                <w:rtl/>
                <w:lang w:bidi="fa-IR"/>
              </w:rPr>
              <w:t>دو عالم یکی جزو بخشایشت</w:t>
            </w:r>
            <w:r w:rsidRPr="00995B26">
              <w:rPr>
                <w:rFonts w:cs="B Lotus"/>
                <w:rtl/>
                <w:lang w:bidi="fa-IR"/>
              </w:rPr>
              <w:br/>
            </w:r>
          </w:p>
        </w:tc>
      </w:tr>
    </w:tbl>
    <w:p w:rsidR="005C664D" w:rsidRPr="003F3B94" w:rsidRDefault="005C664D" w:rsidP="003F3B94">
      <w:pPr>
        <w:pStyle w:val="a0"/>
        <w:rPr>
          <w:rFonts w:hint="cs"/>
          <w:rtl/>
          <w:lang w:bidi="ar-SY"/>
        </w:rPr>
      </w:pPr>
      <w:r w:rsidRPr="003F3B94">
        <w:rPr>
          <w:rFonts w:hint="cs"/>
          <w:sz w:val="28"/>
          <w:rtl/>
          <w:lang w:bidi="ar-SY"/>
        </w:rPr>
        <w:t>أي</w:t>
      </w:r>
      <w:r w:rsidR="00217AB4" w:rsidRPr="003F3B94">
        <w:rPr>
          <w:rFonts w:hint="cs"/>
          <w:sz w:val="28"/>
          <w:rtl/>
          <w:lang w:bidi="ar-SY"/>
        </w:rPr>
        <w:t>:</w:t>
      </w:r>
      <w:r w:rsidR="007D07D3" w:rsidRPr="003F3B94">
        <w:rPr>
          <w:rFonts w:hint="cs"/>
          <w:sz w:val="28"/>
          <w:rtl/>
          <w:lang w:bidi="ar-SY"/>
        </w:rPr>
        <w:t xml:space="preserve"> </w:t>
      </w:r>
      <w:r w:rsidRPr="003F3B94">
        <w:rPr>
          <w:rFonts w:hint="cs"/>
          <w:sz w:val="28"/>
          <w:rtl/>
          <w:lang w:bidi="ar-SY"/>
        </w:rPr>
        <w:t xml:space="preserve"> الثرى إلى الثريا تحت أمرك</w:t>
      </w:r>
      <w:r w:rsidR="001E0DB7" w:rsidRPr="003F3B94">
        <w:rPr>
          <w:rFonts w:hint="cs"/>
          <w:sz w:val="28"/>
          <w:rtl/>
          <w:lang w:bidi="ar-SY"/>
        </w:rPr>
        <w:tab/>
      </w:r>
      <w:r w:rsidR="001E0DB7" w:rsidRPr="003F3B94">
        <w:rPr>
          <w:rFonts w:hint="cs"/>
          <w:sz w:val="28"/>
          <w:rtl/>
          <w:lang w:bidi="ar-SY"/>
        </w:rPr>
        <w:tab/>
      </w:r>
      <w:r w:rsidRPr="003F3B94">
        <w:rPr>
          <w:rFonts w:hint="cs"/>
          <w:sz w:val="28"/>
          <w:rtl/>
          <w:lang w:bidi="ar-SY"/>
        </w:rPr>
        <w:t>والدنيا والآخرة من صدقتك</w:t>
      </w:r>
      <w:r w:rsidR="00217AB4" w:rsidRPr="003F3B94">
        <w:rPr>
          <w:rFonts w:hint="cs"/>
          <w:sz w:val="28"/>
          <w:rtl/>
          <w:lang w:bidi="ar-SY"/>
        </w:rPr>
        <w:t>!!</w:t>
      </w:r>
    </w:p>
    <w:p w:rsidR="005C664D" w:rsidRPr="003F3B94" w:rsidRDefault="005C664D" w:rsidP="003F3B94">
      <w:pPr>
        <w:pStyle w:val="a0"/>
        <w:rPr>
          <w:rFonts w:hint="cs"/>
          <w:rtl/>
          <w:lang w:bidi="ar-SY"/>
        </w:rPr>
      </w:pPr>
      <w:r w:rsidRPr="003F3B94">
        <w:rPr>
          <w:rFonts w:hint="cs"/>
          <w:sz w:val="28"/>
          <w:rtl/>
          <w:lang w:bidi="ar-SY"/>
        </w:rPr>
        <w:t>من البديهي أن مثل هذه الخيالات لا مصداق لها أبداً في العالم الخارجي</w:t>
      </w:r>
      <w:r w:rsidR="001E0DB7" w:rsidRPr="003F3B94">
        <w:rPr>
          <w:rFonts w:hint="cs"/>
          <w:sz w:val="28"/>
          <w:rtl/>
          <w:lang w:bidi="ar-SY"/>
        </w:rPr>
        <w:t>،</w:t>
      </w:r>
      <w:r w:rsidRPr="003F3B94">
        <w:rPr>
          <w:rFonts w:hint="cs"/>
          <w:sz w:val="28"/>
          <w:rtl/>
          <w:lang w:bidi="ar-SY"/>
        </w:rPr>
        <w:t xml:space="preserve"> ولكننا لا نستطيع أن نمنع الشاعر من هيامه في أودية الخيالات</w:t>
      </w:r>
      <w:r w:rsidR="00217AB4" w:rsidRPr="003F3B94">
        <w:rPr>
          <w:rFonts w:hint="cs"/>
          <w:sz w:val="28"/>
          <w:rtl/>
          <w:lang w:bidi="ar-SY"/>
        </w:rPr>
        <w:t>!!</w:t>
      </w:r>
      <w:r w:rsidRPr="003F3B94">
        <w:rPr>
          <w:rFonts w:hint="cs"/>
          <w:sz w:val="28"/>
          <w:rtl/>
          <w:lang w:bidi="ar-SY"/>
        </w:rPr>
        <w:t xml:space="preserve"> </w:t>
      </w:r>
    </w:p>
    <w:p w:rsidR="005C664D" w:rsidRPr="003F3B94" w:rsidRDefault="005C664D" w:rsidP="003F3B94">
      <w:pPr>
        <w:pStyle w:val="a0"/>
        <w:rPr>
          <w:rFonts w:hint="cs"/>
          <w:rtl/>
          <w:lang w:bidi="ar-SY"/>
        </w:rPr>
      </w:pPr>
      <w:r w:rsidRPr="003F3B94">
        <w:rPr>
          <w:rFonts w:hint="cs"/>
          <w:sz w:val="28"/>
          <w:rtl/>
          <w:lang w:bidi="ar-SY"/>
        </w:rPr>
        <w:t>إذا أعطى الله تعالى كل الدنيا وما فيها ملكاً للنبي والإمام أو لأي شخص آخر</w:t>
      </w:r>
      <w:r w:rsidR="001E0DB7" w:rsidRPr="003F3B94">
        <w:rPr>
          <w:rFonts w:hint="cs"/>
          <w:sz w:val="28"/>
          <w:rtl/>
          <w:lang w:bidi="ar-SY"/>
        </w:rPr>
        <w:t>،</w:t>
      </w:r>
      <w:r w:rsidRPr="003F3B94">
        <w:rPr>
          <w:rFonts w:hint="cs"/>
          <w:sz w:val="28"/>
          <w:rtl/>
          <w:lang w:bidi="ar-SY"/>
        </w:rPr>
        <w:t xml:space="preserve"> ثم قيده وحصره في بدن طوله متر ونصف أو أكثر بقليل وأعطاه بطناً تشبعه عدة لقيمات وفرجاً تكفيه زيجةٌ واحدةٌ لإشباع غريزته الجنسية وبدناً تكفي لكسوته قماشة من بضعة أمتار ومسكناً يأويه وعمراً يبلغ ستين عاماً أو أكثر بقليل فإنه</w:t>
      </w:r>
      <w:r w:rsidR="00147857" w:rsidRPr="003F3B94">
        <w:rPr>
          <w:rFonts w:hint="cs"/>
          <w:sz w:val="28"/>
          <w:rtl/>
          <w:lang w:bidi="ar-SY"/>
        </w:rPr>
        <w:t xml:space="preserve"> </w:t>
      </w:r>
      <w:r w:rsidRPr="003F3B94">
        <w:rPr>
          <w:rFonts w:hint="cs"/>
          <w:sz w:val="28"/>
          <w:rtl/>
          <w:lang w:bidi="ar-SY"/>
        </w:rPr>
        <w:t>يكون قد قام بعمل عبثي لا يصدر عن مجنون فضلاً عن أن يصدر عن الله العليم الحكيم</w:t>
      </w:r>
      <w:r w:rsidR="00217AB4" w:rsidRPr="003F3B94">
        <w:rPr>
          <w:rFonts w:hint="cs"/>
          <w:sz w:val="28"/>
          <w:rtl/>
          <w:lang w:bidi="ar-SY"/>
        </w:rPr>
        <w:t>.</w:t>
      </w:r>
      <w:r w:rsidRPr="003F3B94">
        <w:rPr>
          <w:rFonts w:hint="cs"/>
          <w:sz w:val="28"/>
          <w:rtl/>
          <w:lang w:bidi="ar-SY"/>
        </w:rPr>
        <w:t xml:space="preserve"> </w:t>
      </w:r>
    </w:p>
    <w:p w:rsidR="005C664D" w:rsidRPr="003F3B94" w:rsidRDefault="005C664D" w:rsidP="003F3B94">
      <w:pPr>
        <w:pStyle w:val="a0"/>
        <w:rPr>
          <w:rFonts w:hint="cs"/>
          <w:rtl/>
          <w:lang w:bidi="ar-SY"/>
        </w:rPr>
      </w:pPr>
      <w:r w:rsidRPr="003F3B94">
        <w:rPr>
          <w:rFonts w:hint="cs"/>
          <w:sz w:val="28"/>
          <w:rtl/>
          <w:lang w:bidi="ar-SY"/>
        </w:rPr>
        <w:t>إذا قام رجل مجنون بذبح مئات آلاف الأبقار والأغنام وإعداد ملايين الأنواع من الأطعمة والأغذية لأجل ضيف واحدٍ نزل به تشبعه عدة ل</w:t>
      </w:r>
      <w:r w:rsidR="001253D2" w:rsidRPr="003F3B94">
        <w:rPr>
          <w:rFonts w:hint="cs"/>
          <w:sz w:val="28"/>
          <w:rtl/>
          <w:lang w:bidi="ar-SY"/>
        </w:rPr>
        <w:t>ُ</w:t>
      </w:r>
      <w:r w:rsidRPr="003F3B94">
        <w:rPr>
          <w:rFonts w:hint="cs"/>
          <w:sz w:val="28"/>
          <w:rtl/>
          <w:lang w:bidi="ar-SY"/>
        </w:rPr>
        <w:t>ق</w:t>
      </w:r>
      <w:r w:rsidR="001253D2" w:rsidRPr="003F3B94">
        <w:rPr>
          <w:rFonts w:hint="cs"/>
          <w:sz w:val="28"/>
          <w:rtl/>
          <w:lang w:bidi="ar-SY"/>
        </w:rPr>
        <w:t>َ</w:t>
      </w:r>
      <w:r w:rsidRPr="003F3B94">
        <w:rPr>
          <w:rFonts w:hint="cs"/>
          <w:sz w:val="28"/>
          <w:rtl/>
          <w:lang w:bidi="ar-SY"/>
        </w:rPr>
        <w:t>م</w:t>
      </w:r>
      <w:r w:rsidR="001E0DB7" w:rsidRPr="003F3B94">
        <w:rPr>
          <w:rFonts w:hint="cs"/>
          <w:sz w:val="28"/>
          <w:rtl/>
          <w:lang w:bidi="ar-SY"/>
        </w:rPr>
        <w:t>،</w:t>
      </w:r>
      <w:r w:rsidRPr="003F3B94">
        <w:rPr>
          <w:rFonts w:hint="cs"/>
          <w:sz w:val="28"/>
          <w:rtl/>
          <w:lang w:bidi="ar-SY"/>
        </w:rPr>
        <w:t xml:space="preserve"> والأسوأ من ذلك أنه لم يدع ذلك الضيف يتناول حتى تلك الل</w:t>
      </w:r>
      <w:r w:rsidR="001253D2" w:rsidRPr="003F3B94">
        <w:rPr>
          <w:rFonts w:hint="cs"/>
          <w:sz w:val="28"/>
          <w:rtl/>
          <w:lang w:bidi="ar-SY"/>
        </w:rPr>
        <w:t>ُ</w:t>
      </w:r>
      <w:r w:rsidRPr="003F3B94">
        <w:rPr>
          <w:rFonts w:hint="cs"/>
          <w:sz w:val="28"/>
          <w:rtl/>
          <w:lang w:bidi="ar-SY"/>
        </w:rPr>
        <w:t>ق</w:t>
      </w:r>
      <w:r w:rsidR="001253D2" w:rsidRPr="003F3B94">
        <w:rPr>
          <w:rFonts w:hint="cs"/>
          <w:sz w:val="28"/>
          <w:rtl/>
          <w:lang w:bidi="ar-SY"/>
        </w:rPr>
        <w:t>َ</w:t>
      </w:r>
      <w:r w:rsidRPr="003F3B94">
        <w:rPr>
          <w:rFonts w:hint="cs"/>
          <w:sz w:val="28"/>
          <w:rtl/>
          <w:lang w:bidi="ar-SY"/>
        </w:rPr>
        <w:t>م القليلة براحة</w:t>
      </w:r>
      <w:r w:rsidR="00217AB4" w:rsidRPr="003F3B94">
        <w:rPr>
          <w:rFonts w:hint="cs"/>
          <w:sz w:val="28"/>
          <w:rtl/>
          <w:lang w:bidi="ar-SY"/>
        </w:rPr>
        <w:t>،</w:t>
      </w:r>
      <w:r w:rsidRPr="003F3B94">
        <w:rPr>
          <w:rFonts w:hint="cs"/>
          <w:sz w:val="28"/>
          <w:rtl/>
          <w:lang w:bidi="ar-SY"/>
        </w:rPr>
        <w:t xml:space="preserve"> ألا يكون عمله مستهجناً وغريباً جداً</w:t>
      </w:r>
      <w:r w:rsidR="00217AB4" w:rsidRPr="003F3B94">
        <w:rPr>
          <w:rFonts w:hint="cs"/>
          <w:sz w:val="28"/>
          <w:rtl/>
          <w:lang w:bidi="ar-SY"/>
        </w:rPr>
        <w:t>؟!</w:t>
      </w:r>
      <w:r w:rsidRPr="003F3B94">
        <w:rPr>
          <w:rFonts w:hint="cs"/>
          <w:sz w:val="28"/>
          <w:rtl/>
          <w:lang w:bidi="ar-SY"/>
        </w:rPr>
        <w:t xml:space="preserve"> أين نجد مثل هذا المجنون في أي مكان أو زمان في تاريخ الدنيا</w:t>
      </w:r>
      <w:r w:rsidR="00217AB4" w:rsidRPr="003F3B94">
        <w:rPr>
          <w:rFonts w:hint="cs"/>
          <w:sz w:val="28"/>
          <w:rtl/>
          <w:lang w:bidi="ar-SY"/>
        </w:rPr>
        <w:t>؟</w:t>
      </w:r>
      <w:r w:rsidRPr="003F3B94">
        <w:rPr>
          <w:rFonts w:hint="cs"/>
          <w:sz w:val="28"/>
          <w:rtl/>
          <w:lang w:bidi="ar-SY"/>
        </w:rPr>
        <w:t xml:space="preserve"> فكيف نجيز نسبة مثل هذا العمل لِـلَّهِ الحكيم العليم</w:t>
      </w:r>
      <w:r w:rsidR="00217AB4" w:rsidRPr="003F3B94">
        <w:rPr>
          <w:rFonts w:hint="cs"/>
          <w:sz w:val="28"/>
          <w:rtl/>
          <w:lang w:bidi="ar-SY"/>
        </w:rPr>
        <w:t>؟!</w:t>
      </w:r>
      <w:r w:rsidRPr="003F3B94">
        <w:rPr>
          <w:rFonts w:hint="cs"/>
          <w:sz w:val="28"/>
          <w:rtl/>
          <w:lang w:bidi="ar-SY"/>
        </w:rPr>
        <w:t xml:space="preserve"> </w:t>
      </w:r>
    </w:p>
    <w:p w:rsidR="005C664D" w:rsidRPr="003F3B94" w:rsidRDefault="005C664D" w:rsidP="003F3B94">
      <w:pPr>
        <w:pStyle w:val="a0"/>
        <w:rPr>
          <w:rFonts w:hint="cs"/>
          <w:rtl/>
          <w:lang w:bidi="ar-SY"/>
        </w:rPr>
      </w:pPr>
      <w:r w:rsidRPr="003F3B94">
        <w:rPr>
          <w:rFonts w:hint="cs"/>
          <w:sz w:val="28"/>
          <w:rtl/>
          <w:lang w:bidi="ar-SY"/>
        </w:rPr>
        <w:t>ماذا كان للأنبياء والأئمة في حياتهم سوى التعب والكد والقوت الضروري والحياة المحدودة والمقيدة</w:t>
      </w:r>
      <w:r w:rsidR="00217AB4" w:rsidRPr="003F3B94">
        <w:rPr>
          <w:rFonts w:hint="cs"/>
          <w:sz w:val="28"/>
          <w:rtl/>
          <w:lang w:bidi="ar-SY"/>
        </w:rPr>
        <w:t>؟</w:t>
      </w:r>
      <w:r w:rsidRPr="003F3B94">
        <w:rPr>
          <w:rFonts w:hint="cs"/>
          <w:sz w:val="28"/>
          <w:rtl/>
          <w:lang w:bidi="ar-SY"/>
        </w:rPr>
        <w:t xml:space="preserve"> أليست أموال الدنيا لأجل الحياة</w:t>
      </w:r>
      <w:r w:rsidR="00217AB4" w:rsidRPr="003F3B94">
        <w:rPr>
          <w:rFonts w:hint="cs"/>
          <w:sz w:val="28"/>
          <w:rtl/>
          <w:lang w:bidi="ar-SY"/>
        </w:rPr>
        <w:t>؟</w:t>
      </w:r>
      <w:r w:rsidRPr="003F3B94">
        <w:rPr>
          <w:rFonts w:hint="cs"/>
          <w:sz w:val="28"/>
          <w:rtl/>
          <w:lang w:bidi="ar-SY"/>
        </w:rPr>
        <w:t xml:space="preserve"> أَوَلَا يقيم حياة الفرد </w:t>
      </w:r>
      <w:r w:rsidR="00217AB4" w:rsidRPr="003F3B94">
        <w:rPr>
          <w:rFonts w:hint="cs"/>
          <w:sz w:val="28"/>
          <w:rtl/>
          <w:lang w:bidi="ar-SY"/>
        </w:rPr>
        <w:t>-</w:t>
      </w:r>
      <w:r w:rsidRPr="003F3B94">
        <w:rPr>
          <w:rFonts w:hint="cs"/>
          <w:sz w:val="28"/>
          <w:rtl/>
          <w:lang w:bidi="ar-SY"/>
        </w:rPr>
        <w:t xml:space="preserve"> مع كل تلك الحدود والقيود التي لها </w:t>
      </w:r>
      <w:r w:rsidR="00217AB4" w:rsidRPr="003F3B94">
        <w:rPr>
          <w:rFonts w:hint="cs"/>
          <w:sz w:val="28"/>
          <w:rtl/>
          <w:lang w:bidi="ar-SY"/>
        </w:rPr>
        <w:t>-</w:t>
      </w:r>
      <w:r w:rsidRPr="003F3B94">
        <w:rPr>
          <w:rFonts w:hint="cs"/>
          <w:sz w:val="28"/>
          <w:rtl/>
          <w:lang w:bidi="ar-SY"/>
        </w:rPr>
        <w:t xml:space="preserve"> مقدارٌ محدَّدٌ من المال</w:t>
      </w:r>
      <w:r w:rsidR="00217AB4" w:rsidRPr="003F3B94">
        <w:rPr>
          <w:rFonts w:hint="cs"/>
          <w:sz w:val="28"/>
          <w:rtl/>
          <w:lang w:bidi="ar-SY"/>
        </w:rPr>
        <w:t>؟</w:t>
      </w:r>
      <w:r w:rsidRPr="003F3B94">
        <w:rPr>
          <w:rFonts w:hint="cs"/>
          <w:sz w:val="28"/>
          <w:rtl/>
          <w:lang w:bidi="ar-SY"/>
        </w:rPr>
        <w:t xml:space="preserve"> فما تلك المبالغات والتهويلات بلا حساب وبلا حدّ التي لا فائدة لها</w:t>
      </w:r>
      <w:r w:rsidR="00217AB4" w:rsidRPr="003F3B94">
        <w:rPr>
          <w:rFonts w:hint="cs"/>
          <w:sz w:val="28"/>
          <w:rtl/>
          <w:lang w:bidi="ar-SY"/>
        </w:rPr>
        <w:t>؟!</w:t>
      </w:r>
      <w:r w:rsidRPr="003F3B94">
        <w:rPr>
          <w:rFonts w:hint="cs"/>
          <w:sz w:val="28"/>
          <w:rtl/>
          <w:lang w:bidi="ar-SY"/>
        </w:rPr>
        <w:t xml:space="preserve"> إنها لا تعدو تجشؤٌ وقيءٌ صدر عن حفنة من الغلاة المشركين الذين لا يعرفون الله</w:t>
      </w:r>
      <w:r w:rsidR="001E0DB7" w:rsidRPr="003F3B94">
        <w:rPr>
          <w:rFonts w:hint="cs"/>
          <w:sz w:val="28"/>
          <w:rtl/>
          <w:lang w:bidi="ar-SY"/>
        </w:rPr>
        <w:t>،</w:t>
      </w:r>
      <w:r w:rsidRPr="003F3B94">
        <w:rPr>
          <w:rFonts w:hint="cs"/>
          <w:sz w:val="28"/>
          <w:rtl/>
          <w:lang w:bidi="ar-SY"/>
        </w:rPr>
        <w:t xml:space="preserve"> فلماذا أصبحت جزءاً من أصول الدين لدى بعض المسلمين</w:t>
      </w:r>
      <w:r w:rsidR="00217AB4" w:rsidRPr="003F3B94">
        <w:rPr>
          <w:rFonts w:hint="cs"/>
          <w:sz w:val="28"/>
          <w:rtl/>
          <w:lang w:bidi="ar-SY"/>
        </w:rPr>
        <w:t>؟</w:t>
      </w:r>
      <w:r w:rsidRPr="003F3B94">
        <w:rPr>
          <w:rFonts w:hint="cs"/>
          <w:sz w:val="28"/>
          <w:rtl/>
          <w:lang w:bidi="ar-SY"/>
        </w:rPr>
        <w:t xml:space="preserve"> </w:t>
      </w:r>
    </w:p>
    <w:p w:rsidR="005C664D" w:rsidRPr="003F3B94" w:rsidRDefault="005C664D" w:rsidP="003F3B94">
      <w:pPr>
        <w:pStyle w:val="a0"/>
        <w:rPr>
          <w:rFonts w:hint="cs"/>
          <w:rtl/>
          <w:lang w:bidi="ar-SY"/>
        </w:rPr>
      </w:pPr>
      <w:r w:rsidRPr="003F3B94">
        <w:rPr>
          <w:rFonts w:hint="cs"/>
          <w:sz w:val="28"/>
          <w:rtl/>
          <w:lang w:bidi="ar-SY"/>
        </w:rPr>
        <w:t>ما هو منشأ هذه العقائد</w:t>
      </w:r>
      <w:r w:rsidR="00217AB4" w:rsidRPr="003F3B94">
        <w:rPr>
          <w:rFonts w:hint="cs"/>
          <w:sz w:val="28"/>
          <w:rtl/>
          <w:lang w:bidi="ar-SY"/>
        </w:rPr>
        <w:t>؟</w:t>
      </w:r>
      <w:r w:rsidRPr="003F3B94">
        <w:rPr>
          <w:rFonts w:hint="cs"/>
          <w:sz w:val="28"/>
          <w:rtl/>
          <w:lang w:bidi="ar-SY"/>
        </w:rPr>
        <w:t xml:space="preserve"> ومن أي عقل رشحت</w:t>
      </w:r>
      <w:r w:rsidR="00217AB4" w:rsidRPr="003F3B94">
        <w:rPr>
          <w:rFonts w:hint="cs"/>
          <w:sz w:val="28"/>
          <w:rtl/>
          <w:lang w:bidi="ar-SY"/>
        </w:rPr>
        <w:t>؟</w:t>
      </w:r>
      <w:r w:rsidRPr="003F3B94">
        <w:rPr>
          <w:rFonts w:hint="cs"/>
          <w:sz w:val="28"/>
          <w:rtl/>
          <w:lang w:bidi="ar-SY"/>
        </w:rPr>
        <w:t xml:space="preserve"> هل رشحت إلا من يهود معاندين بنص التلمود</w:t>
      </w:r>
      <w:r w:rsidR="00217AB4" w:rsidRPr="003F3B94">
        <w:rPr>
          <w:rFonts w:hint="cs"/>
          <w:sz w:val="28"/>
          <w:rtl/>
          <w:lang w:bidi="ar-SY"/>
        </w:rPr>
        <w:t>؟!</w:t>
      </w:r>
      <w:r w:rsidRPr="003F3B94">
        <w:rPr>
          <w:rFonts w:hint="cs"/>
          <w:sz w:val="28"/>
          <w:rtl/>
          <w:lang w:bidi="ar-SY"/>
        </w:rPr>
        <w:t xml:space="preserve"> </w:t>
      </w:r>
    </w:p>
    <w:p w:rsidR="005C664D" w:rsidRPr="003F3B94" w:rsidRDefault="005C664D" w:rsidP="003F3B94">
      <w:pPr>
        <w:pStyle w:val="a0"/>
        <w:rPr>
          <w:rFonts w:hint="cs"/>
          <w:rtl/>
          <w:lang w:bidi="ar-SY"/>
        </w:rPr>
      </w:pPr>
      <w:r w:rsidRPr="003F3B94">
        <w:rPr>
          <w:rFonts w:hint="cs"/>
          <w:sz w:val="28"/>
          <w:rtl/>
          <w:lang w:bidi="ar-SY"/>
        </w:rPr>
        <w:t xml:space="preserve">لا شك أن مثل هذه المبالغات والإغراق والغلوّ إنما صدر عن غلاة من أمثال </w:t>
      </w:r>
      <w:r w:rsidRPr="003F3B94">
        <w:rPr>
          <w:rFonts w:hint="eastAsia"/>
          <w:sz w:val="28"/>
          <w:rtl/>
          <w:lang w:bidi="ar-SY"/>
        </w:rPr>
        <w:t>«</w:t>
      </w:r>
      <w:r w:rsidRPr="003F3B94">
        <w:rPr>
          <w:rFonts w:hint="cs"/>
          <w:sz w:val="28"/>
          <w:rtl/>
          <w:lang w:bidi="ar-SY"/>
        </w:rPr>
        <w:t>المعلى بن خنيس</w:t>
      </w:r>
      <w:r w:rsidRPr="003F3B94">
        <w:rPr>
          <w:rFonts w:hint="eastAsia"/>
          <w:sz w:val="28"/>
          <w:rtl/>
          <w:lang w:bidi="ar-SY"/>
        </w:rPr>
        <w:t>»</w:t>
      </w:r>
      <w:r w:rsidRPr="003F3B94">
        <w:rPr>
          <w:rFonts w:hint="cs"/>
          <w:sz w:val="28"/>
          <w:rtl/>
          <w:lang w:bidi="ar-SY"/>
        </w:rPr>
        <w:t xml:space="preserve"> و</w:t>
      </w:r>
      <w:r w:rsidRPr="003F3B94">
        <w:rPr>
          <w:rFonts w:hint="eastAsia"/>
          <w:sz w:val="28"/>
          <w:rtl/>
          <w:lang w:bidi="ar-SY"/>
        </w:rPr>
        <w:t>«</w:t>
      </w:r>
      <w:r w:rsidRPr="003F3B94">
        <w:rPr>
          <w:rFonts w:hint="cs"/>
          <w:sz w:val="28"/>
          <w:rtl/>
          <w:lang w:bidi="ar-SY"/>
        </w:rPr>
        <w:t>أحمد بن هلال</w:t>
      </w:r>
      <w:r w:rsidRPr="003F3B94">
        <w:rPr>
          <w:rFonts w:hint="eastAsia"/>
          <w:sz w:val="28"/>
          <w:rtl/>
          <w:lang w:bidi="ar-SY"/>
        </w:rPr>
        <w:t>»</w:t>
      </w:r>
      <w:r w:rsidRPr="003F3B94">
        <w:rPr>
          <w:rFonts w:hint="cs"/>
          <w:sz w:val="28"/>
          <w:rtl/>
          <w:lang w:bidi="ar-SY"/>
        </w:rPr>
        <w:t xml:space="preserve"> و</w:t>
      </w:r>
      <w:r w:rsidRPr="003F3B94">
        <w:rPr>
          <w:rFonts w:hint="eastAsia"/>
          <w:sz w:val="28"/>
          <w:rtl/>
          <w:lang w:bidi="ar-SY"/>
        </w:rPr>
        <w:t>«</w:t>
      </w:r>
      <w:r w:rsidRPr="003F3B94">
        <w:rPr>
          <w:rFonts w:hint="cs"/>
          <w:sz w:val="28"/>
          <w:rtl/>
          <w:lang w:bidi="ar-SY"/>
        </w:rPr>
        <w:t>محمد بن سنان</w:t>
      </w:r>
      <w:r w:rsidRPr="003F3B94">
        <w:rPr>
          <w:rFonts w:hint="eastAsia"/>
          <w:sz w:val="28"/>
          <w:rtl/>
          <w:lang w:bidi="ar-SY"/>
        </w:rPr>
        <w:t>»</w:t>
      </w:r>
      <w:r w:rsidRPr="003F3B94">
        <w:rPr>
          <w:rFonts w:hint="cs"/>
          <w:sz w:val="28"/>
          <w:rtl/>
          <w:lang w:bidi="ar-SY"/>
        </w:rPr>
        <w:t xml:space="preserve"> و</w:t>
      </w:r>
      <w:r w:rsidRPr="003F3B94">
        <w:rPr>
          <w:rFonts w:hint="eastAsia"/>
          <w:sz w:val="28"/>
          <w:rtl/>
          <w:lang w:bidi="ar-SY"/>
        </w:rPr>
        <w:t>«</w:t>
      </w:r>
      <w:r w:rsidRPr="003F3B94">
        <w:rPr>
          <w:rFonts w:hint="cs"/>
          <w:sz w:val="28"/>
          <w:rtl/>
          <w:lang w:bidi="ar-SY"/>
        </w:rPr>
        <w:t>علي بن أبي حمزة البطائني</w:t>
      </w:r>
      <w:r w:rsidRPr="003F3B94">
        <w:rPr>
          <w:rFonts w:hint="eastAsia"/>
          <w:sz w:val="28"/>
          <w:rtl/>
          <w:lang w:bidi="ar-SY"/>
        </w:rPr>
        <w:t>»</w:t>
      </w:r>
      <w:r w:rsidRPr="003F3B94">
        <w:rPr>
          <w:rFonts w:hint="cs"/>
          <w:sz w:val="28"/>
          <w:rtl/>
          <w:lang w:bidi="ar-SY"/>
        </w:rPr>
        <w:t xml:space="preserve"> و</w:t>
      </w:r>
      <w:r w:rsidRPr="003F3B94">
        <w:rPr>
          <w:rFonts w:hint="eastAsia"/>
          <w:sz w:val="28"/>
          <w:rtl/>
          <w:lang w:bidi="ar-SY"/>
        </w:rPr>
        <w:t>«</w:t>
      </w:r>
      <w:r w:rsidRPr="003F3B94">
        <w:rPr>
          <w:rFonts w:hint="cs"/>
          <w:sz w:val="28"/>
          <w:rtl/>
          <w:lang w:bidi="ar-SY"/>
        </w:rPr>
        <w:t>سهل بن زياد</w:t>
      </w:r>
      <w:r w:rsidRPr="003F3B94">
        <w:rPr>
          <w:rFonts w:hint="eastAsia"/>
          <w:sz w:val="28"/>
          <w:rtl/>
          <w:lang w:bidi="ar-SY"/>
        </w:rPr>
        <w:t>»</w:t>
      </w:r>
      <w:r w:rsidRPr="003F3B94">
        <w:rPr>
          <w:rFonts w:hint="cs"/>
          <w:sz w:val="28"/>
          <w:rtl/>
          <w:lang w:bidi="ar-SY"/>
        </w:rPr>
        <w:t xml:space="preserve"> و</w:t>
      </w:r>
      <w:r w:rsidRPr="003F3B94">
        <w:rPr>
          <w:rFonts w:hint="eastAsia"/>
          <w:sz w:val="28"/>
          <w:rtl/>
          <w:lang w:bidi="ar-SY"/>
        </w:rPr>
        <w:t>«</w:t>
      </w:r>
      <w:r w:rsidRPr="003F3B94">
        <w:rPr>
          <w:rFonts w:hint="cs"/>
          <w:sz w:val="28"/>
          <w:rtl/>
          <w:lang w:bidi="ar-SY"/>
        </w:rPr>
        <w:t>يونس بن ظبيان</w:t>
      </w:r>
      <w:r w:rsidRPr="003F3B94">
        <w:rPr>
          <w:rFonts w:hint="eastAsia"/>
          <w:sz w:val="28"/>
          <w:rtl/>
          <w:lang w:bidi="ar-SY"/>
        </w:rPr>
        <w:t>»</w:t>
      </w:r>
      <w:r w:rsidRPr="003F3B94">
        <w:rPr>
          <w:rFonts w:hint="cs"/>
          <w:sz w:val="28"/>
          <w:rtl/>
          <w:lang w:bidi="ar-SY"/>
        </w:rPr>
        <w:t xml:space="preserve"> وأمثالهم</w:t>
      </w:r>
      <w:r w:rsidR="00217AB4" w:rsidRPr="003F3B94">
        <w:rPr>
          <w:rFonts w:hint="cs"/>
          <w:sz w:val="28"/>
          <w:rtl/>
          <w:lang w:bidi="ar-SY"/>
        </w:rPr>
        <w:t>.</w:t>
      </w:r>
      <w:r w:rsidRPr="003F3B94">
        <w:rPr>
          <w:rFonts w:hint="cs"/>
          <w:sz w:val="28"/>
          <w:rtl/>
          <w:lang w:bidi="ar-SY"/>
        </w:rPr>
        <w:t xml:space="preserve"> أولئك الغلاة أنفسهم الذين ارتفعوا بالأئمة إلى حد التأليه وقال بعضهم بكل وقاحة</w:t>
      </w:r>
      <w:r w:rsidR="00217AB4" w:rsidRPr="003F3B94">
        <w:rPr>
          <w:rFonts w:hint="cs"/>
          <w:sz w:val="28"/>
          <w:rtl/>
          <w:lang w:bidi="ar-SY"/>
        </w:rPr>
        <w:t>،</w:t>
      </w:r>
      <w:r w:rsidRPr="003F3B94">
        <w:rPr>
          <w:rFonts w:hint="cs"/>
          <w:sz w:val="28"/>
          <w:rtl/>
          <w:lang w:bidi="ar-SY"/>
        </w:rPr>
        <w:t xml:space="preserve"> كما أقرّ</w:t>
      </w:r>
      <w:r w:rsidR="00217AB4" w:rsidRPr="003F3B94">
        <w:rPr>
          <w:rFonts w:hint="cs"/>
          <w:sz w:val="28"/>
          <w:rtl/>
          <w:lang w:bidi="ar-SY"/>
        </w:rPr>
        <w:t>:</w:t>
      </w:r>
      <w:r w:rsidRPr="003F3B94">
        <w:rPr>
          <w:rFonts w:hint="cs"/>
          <w:sz w:val="28"/>
          <w:rtl/>
          <w:lang w:bidi="ar-SY"/>
        </w:rPr>
        <w:t xml:space="preserve"> </w:t>
      </w:r>
      <w:r w:rsidR="00217AB4" w:rsidRPr="003F3B94">
        <w:rPr>
          <w:rFonts w:hint="cs"/>
          <w:sz w:val="28"/>
          <w:rtl/>
          <w:lang w:bidi="ar-SY"/>
        </w:rPr>
        <w:t>(</w:t>
      </w:r>
      <w:r w:rsidRPr="003F3B94">
        <w:rPr>
          <w:rFonts w:hint="cs"/>
          <w:sz w:val="28"/>
          <w:rtl/>
          <w:lang w:bidi="ar-SY"/>
        </w:rPr>
        <w:t>إنك تفعل بعبادك ما تشاء إنك على كل شيء قدير</w:t>
      </w:r>
      <w:r w:rsidR="00217AB4" w:rsidRPr="003F3B94">
        <w:rPr>
          <w:rFonts w:hint="cs"/>
          <w:sz w:val="28"/>
          <w:rtl/>
          <w:lang w:bidi="ar-SY"/>
        </w:rPr>
        <w:t>)</w:t>
      </w:r>
      <w:r w:rsidRPr="003F3B94">
        <w:rPr>
          <w:rFonts w:hint="cs"/>
          <w:sz w:val="28"/>
          <w:rtl/>
          <w:lang w:bidi="ar-SY"/>
        </w:rPr>
        <w:t xml:space="preserve"> أو نسبوا لأمير المؤمنين خُطَباً مثل خطبة البيان والخطبة التطنجية وأمثالها</w:t>
      </w:r>
      <w:r w:rsidR="00217AB4" w:rsidRPr="003F3B94">
        <w:rPr>
          <w:rFonts w:hint="cs"/>
          <w:sz w:val="28"/>
          <w:rtl/>
          <w:lang w:bidi="ar-SY"/>
        </w:rPr>
        <w:t>.</w:t>
      </w:r>
      <w:r w:rsidRPr="003F3B94">
        <w:rPr>
          <w:rFonts w:hint="cs"/>
          <w:sz w:val="28"/>
          <w:rtl/>
          <w:lang w:bidi="ar-SY"/>
        </w:rPr>
        <w:t xml:space="preserve"> </w:t>
      </w:r>
    </w:p>
    <w:p w:rsidR="005C664D" w:rsidRPr="003F3B94" w:rsidRDefault="005C664D" w:rsidP="003F3B94">
      <w:pPr>
        <w:pStyle w:val="a0"/>
        <w:rPr>
          <w:rFonts w:hint="cs"/>
          <w:rtl/>
          <w:lang w:bidi="ar-SY"/>
        </w:rPr>
      </w:pPr>
      <w:r w:rsidRPr="003F3B94">
        <w:rPr>
          <w:rFonts w:hint="cs"/>
          <w:sz w:val="28"/>
          <w:rtl/>
          <w:lang w:bidi="ar-SY"/>
        </w:rPr>
        <w:t>فلا يستبعد من مثل هؤلاء الغلاة عديم</w:t>
      </w:r>
      <w:r w:rsidR="007D07D3" w:rsidRPr="003F3B94">
        <w:rPr>
          <w:rFonts w:hint="cs"/>
          <w:sz w:val="28"/>
          <w:rtl/>
          <w:lang w:bidi="ar-SY"/>
        </w:rPr>
        <w:t>ي</w:t>
      </w:r>
      <w:r w:rsidRPr="003F3B94">
        <w:rPr>
          <w:rFonts w:hint="cs"/>
          <w:sz w:val="28"/>
          <w:rtl/>
          <w:lang w:bidi="ar-SY"/>
        </w:rPr>
        <w:t xml:space="preserve"> الحياء الذين لا يعرفون الله حق المعرفة أن يهبوا ملك السماوات والأرض للأئمة بل أن يجعلوا الأئمة خالقي السماوات والأرض</w:t>
      </w:r>
      <w:r w:rsidR="00217AB4" w:rsidRPr="003F3B94">
        <w:rPr>
          <w:rFonts w:hint="cs"/>
          <w:sz w:val="28"/>
          <w:rtl/>
          <w:lang w:bidi="ar-SY"/>
        </w:rPr>
        <w:t>!!</w:t>
      </w:r>
      <w:r w:rsidRPr="003F3B94">
        <w:rPr>
          <w:rFonts w:hint="cs"/>
          <w:sz w:val="28"/>
          <w:rtl/>
          <w:lang w:bidi="ar-SY"/>
        </w:rPr>
        <w:t xml:space="preserve"> ليس بعيداً أن ترشح مثل تلك الأفكار عن الغلاة والمشـركين</w:t>
      </w:r>
      <w:r w:rsidR="001E0DB7" w:rsidRPr="003F3B94">
        <w:rPr>
          <w:rFonts w:hint="cs"/>
          <w:sz w:val="28"/>
          <w:rtl/>
          <w:lang w:bidi="ar-SY"/>
        </w:rPr>
        <w:t>،</w:t>
      </w:r>
      <w:r w:rsidRPr="003F3B94">
        <w:rPr>
          <w:rFonts w:hint="cs"/>
          <w:sz w:val="28"/>
          <w:rtl/>
          <w:lang w:bidi="ar-SY"/>
        </w:rPr>
        <w:t xml:space="preserve"> ولا</w:t>
      </w:r>
      <w:r w:rsidRPr="003F3B94">
        <w:rPr>
          <w:rFonts w:cs="Times New Roman" w:hint="cs"/>
          <w:sz w:val="28"/>
          <w:rtl/>
          <w:lang w:bidi="ar-SY"/>
        </w:rPr>
        <w:t> </w:t>
      </w:r>
      <w:r w:rsidRPr="003F3B94">
        <w:rPr>
          <w:rFonts w:hint="cs"/>
          <w:sz w:val="28"/>
          <w:rtl/>
          <w:lang w:bidi="ar-SY"/>
        </w:rPr>
        <w:t>نستغرب صدور مثل ذلك الهراء والهذيان عنهم</w:t>
      </w:r>
      <w:r w:rsidR="00217AB4" w:rsidRPr="003F3B94">
        <w:rPr>
          <w:rFonts w:hint="cs"/>
          <w:sz w:val="28"/>
          <w:rtl/>
          <w:lang w:bidi="ar-SY"/>
        </w:rPr>
        <w:t>.</w:t>
      </w:r>
      <w:r w:rsidRPr="003F3B94">
        <w:rPr>
          <w:rFonts w:hint="cs"/>
          <w:sz w:val="28"/>
          <w:rtl/>
          <w:lang w:bidi="ar-SY"/>
        </w:rPr>
        <w:t xml:space="preserve"> ولكن عجبنا لا ينقضـي من العلماء الذين كانوا يعتبرون أنفسهم في زمانهم أهلاً لهداية المسلمين وإرشادهم وقيادتهم كيف قاموا بترويج مثل هذه الأفكار الخرافية وقاموا بالاستفادة منها</w:t>
      </w:r>
      <w:r w:rsidR="00217AB4" w:rsidRPr="003F3B94">
        <w:rPr>
          <w:rFonts w:hint="cs"/>
          <w:sz w:val="28"/>
          <w:rtl/>
          <w:lang w:bidi="ar-SY"/>
        </w:rPr>
        <w:t>؟!</w:t>
      </w:r>
      <w:r w:rsidRPr="003F3B94">
        <w:rPr>
          <w:rFonts w:hint="cs"/>
          <w:sz w:val="28"/>
          <w:rtl/>
          <w:lang w:bidi="ar-SY"/>
        </w:rPr>
        <w:t xml:space="preserve"> </w:t>
      </w:r>
    </w:p>
    <w:p w:rsidR="005C664D" w:rsidRPr="003F3B94" w:rsidRDefault="005C664D" w:rsidP="003F3B94">
      <w:pPr>
        <w:pStyle w:val="a0"/>
        <w:rPr>
          <w:rFonts w:hint="cs"/>
          <w:rtl/>
          <w:lang w:bidi="ar-SY"/>
        </w:rPr>
      </w:pPr>
      <w:r w:rsidRPr="003F3B94">
        <w:rPr>
          <w:rFonts w:hint="cs"/>
          <w:sz w:val="28"/>
          <w:rtl/>
          <w:lang w:bidi="ar-SY"/>
        </w:rPr>
        <w:t xml:space="preserve">إن تلك الآراء والأفكار الخاطئة من بقايا الجاهلية </w:t>
      </w:r>
      <w:r w:rsidR="001253D2" w:rsidRPr="003F3B94">
        <w:rPr>
          <w:rFonts w:hint="cs"/>
          <w:sz w:val="28"/>
          <w:rtl/>
          <w:lang w:bidi="ar-SY"/>
        </w:rPr>
        <w:t xml:space="preserve">وآثارها </w:t>
      </w:r>
      <w:r w:rsidRPr="003F3B94">
        <w:rPr>
          <w:rFonts w:hint="cs"/>
          <w:sz w:val="28"/>
          <w:rtl/>
          <w:lang w:bidi="ar-SY"/>
        </w:rPr>
        <w:t>وتذكِّرنا بعهود تسلط السلاطين الجبابرة والمستبدين الذين كانوا يعتبرون أنفسهم مالكي البلاد ورقاب العباد والناس كلهم عبيد خول لهم وكان الناس في تلك الأزمنة يصدقون ذلك ويعتقدون في ملوكهم مثل ذلك الاعتقاد</w:t>
      </w:r>
      <w:r w:rsidR="001E0DB7" w:rsidRPr="003F3B94">
        <w:rPr>
          <w:rFonts w:hint="cs"/>
          <w:sz w:val="28"/>
          <w:rtl/>
          <w:lang w:bidi="ar-SY"/>
        </w:rPr>
        <w:t>،</w:t>
      </w:r>
      <w:r w:rsidRPr="003F3B94">
        <w:rPr>
          <w:rFonts w:hint="cs"/>
          <w:sz w:val="28"/>
          <w:rtl/>
          <w:lang w:bidi="ar-SY"/>
        </w:rPr>
        <w:t xml:space="preserve"> كما نشاهد آثار ذلك في الكتب الدينية قبل الإسلام</w:t>
      </w:r>
      <w:r w:rsidR="001E0DB7" w:rsidRPr="003F3B94">
        <w:rPr>
          <w:rFonts w:hint="cs"/>
          <w:sz w:val="28"/>
          <w:rtl/>
          <w:lang w:bidi="ar-SY"/>
        </w:rPr>
        <w:t>،</w:t>
      </w:r>
      <w:r w:rsidRPr="003F3B94">
        <w:rPr>
          <w:rFonts w:hint="cs"/>
          <w:sz w:val="28"/>
          <w:rtl/>
          <w:lang w:bidi="ar-SY"/>
        </w:rPr>
        <w:t xml:space="preserve"> أو في تلمود اليهود الذين كانوا يعتبرون أنفسهم شعب الله المختار وأبناء الله وأحباءه</w:t>
      </w:r>
      <w:r w:rsidR="00217AB4" w:rsidRPr="003F3B94">
        <w:rPr>
          <w:rFonts w:hint="cs"/>
          <w:sz w:val="28"/>
          <w:rtl/>
          <w:lang w:bidi="ar-SY"/>
        </w:rPr>
        <w:t>.</w:t>
      </w:r>
      <w:r w:rsidRPr="003F3B94">
        <w:rPr>
          <w:rFonts w:hint="cs"/>
          <w:sz w:val="28"/>
          <w:rtl/>
          <w:lang w:bidi="ar-SY"/>
        </w:rPr>
        <w:t xml:space="preserve"> كما نجد أثر هذه العقيدة في سفر التكوين من التوراة في الفصل العاشر</w:t>
      </w:r>
      <w:r w:rsidR="00217AB4" w:rsidRPr="003F3B94">
        <w:rPr>
          <w:rFonts w:hint="cs"/>
          <w:sz w:val="28"/>
          <w:rtl/>
          <w:lang w:bidi="ar-SY"/>
        </w:rPr>
        <w:t>:</w:t>
      </w:r>
      <w:r w:rsidRPr="003F3B94">
        <w:rPr>
          <w:rFonts w:hint="cs"/>
          <w:sz w:val="28"/>
          <w:rtl/>
          <w:lang w:bidi="ar-SY"/>
        </w:rPr>
        <w:t xml:space="preserve"> أن الملك يملك أموال الناس وأرواحهم</w:t>
      </w:r>
      <w:r w:rsidR="00217AB4" w:rsidRPr="003F3B94">
        <w:rPr>
          <w:rFonts w:hint="cs"/>
          <w:sz w:val="28"/>
          <w:rtl/>
          <w:lang w:bidi="ar-SY"/>
        </w:rPr>
        <w:t>.</w:t>
      </w:r>
      <w:r w:rsidRPr="003F3B94">
        <w:rPr>
          <w:rFonts w:hint="cs"/>
          <w:sz w:val="28"/>
          <w:rtl/>
          <w:lang w:bidi="ar-SY"/>
        </w:rPr>
        <w:t xml:space="preserve"> فهذه هي عقيدة اليهود ومن قبلهم من أصحاب الملل المنسوخة</w:t>
      </w:r>
      <w:r w:rsidR="001E0DB7" w:rsidRPr="003F3B94">
        <w:rPr>
          <w:rFonts w:hint="cs"/>
          <w:sz w:val="28"/>
          <w:rtl/>
          <w:lang w:bidi="ar-SY"/>
        </w:rPr>
        <w:t>،</w:t>
      </w:r>
      <w:r w:rsidRPr="003F3B94">
        <w:rPr>
          <w:rFonts w:hint="cs"/>
          <w:sz w:val="28"/>
          <w:rtl/>
          <w:lang w:bidi="ar-SY"/>
        </w:rPr>
        <w:t xml:space="preserve"> كما ذكرنا فيما سبق نموذجاً على ذلك من تلمود اليهود</w:t>
      </w:r>
      <w:r w:rsidR="00217AB4" w:rsidRPr="003F3B94">
        <w:rPr>
          <w:rFonts w:hint="cs"/>
          <w:sz w:val="28"/>
          <w:rtl/>
          <w:lang w:bidi="ar-SY"/>
        </w:rPr>
        <w:t>.</w:t>
      </w:r>
      <w:r w:rsidRPr="003F3B94">
        <w:rPr>
          <w:rFonts w:hint="cs"/>
          <w:sz w:val="28"/>
          <w:rtl/>
          <w:lang w:bidi="ar-SY"/>
        </w:rPr>
        <w:t xml:space="preserve"> </w:t>
      </w:r>
    </w:p>
    <w:p w:rsidR="005C664D" w:rsidRPr="003F3B94" w:rsidRDefault="005C664D" w:rsidP="003F3B94">
      <w:pPr>
        <w:pStyle w:val="a0"/>
        <w:rPr>
          <w:rFonts w:hint="cs"/>
          <w:rtl/>
          <w:lang w:bidi="ar-SY"/>
        </w:rPr>
      </w:pPr>
      <w:r w:rsidRPr="003F3B94">
        <w:rPr>
          <w:rFonts w:hint="cs"/>
          <w:sz w:val="28"/>
          <w:rtl/>
          <w:lang w:bidi="ar-SY"/>
        </w:rPr>
        <w:t>أما الإسلام فإنه يعتبر جميع الناس عباداً لإله واحد وأبناءً لأب واحد وأم واحدة ويعتبر أن الأرض خُلِقت لعيش جميع بني آدم وقد أعلن الإسلام في أصقاع الدنيا حرية البشر بنحو كامل فلا علاقة له بمثل تلك العقائد وهو بريء منها</w:t>
      </w:r>
      <w:r w:rsidR="00217AB4" w:rsidRPr="003F3B94">
        <w:rPr>
          <w:rFonts w:hint="cs"/>
          <w:sz w:val="28"/>
          <w:rtl/>
          <w:lang w:bidi="ar-SY"/>
        </w:rPr>
        <w:t>.</w:t>
      </w:r>
      <w:r w:rsidRPr="003F3B94">
        <w:rPr>
          <w:rFonts w:hint="cs"/>
          <w:sz w:val="28"/>
          <w:rtl/>
          <w:lang w:bidi="ar-SY"/>
        </w:rPr>
        <w:t xml:space="preserve"> </w:t>
      </w:r>
    </w:p>
    <w:p w:rsidR="005C664D" w:rsidRPr="003F3B94" w:rsidRDefault="005C664D" w:rsidP="003F3B94">
      <w:pPr>
        <w:pStyle w:val="a0"/>
        <w:rPr>
          <w:rFonts w:hint="cs"/>
          <w:rtl/>
          <w:lang w:bidi="ar-SY"/>
        </w:rPr>
      </w:pPr>
      <w:r w:rsidRPr="003F3B94">
        <w:rPr>
          <w:rFonts w:hint="cs"/>
          <w:sz w:val="28"/>
          <w:rtl/>
          <w:lang w:bidi="ar-SY"/>
        </w:rPr>
        <w:t>وأساساً إن مثل ذلك الإدعاء يتنافى مع فلسفة بعثة الأنبياء والحكمة من إرسال الرسل</w:t>
      </w:r>
      <w:r w:rsidR="001253D2" w:rsidRPr="003F3B94">
        <w:rPr>
          <w:rFonts w:hint="cs"/>
          <w:sz w:val="28"/>
          <w:rtl/>
          <w:lang w:bidi="ar-SY"/>
        </w:rPr>
        <w:t xml:space="preserve"> ويتناقض معها لأن علة إرسال الر</w:t>
      </w:r>
      <w:r w:rsidRPr="003F3B94">
        <w:rPr>
          <w:rFonts w:hint="cs"/>
          <w:sz w:val="28"/>
          <w:rtl/>
          <w:lang w:bidi="ar-SY"/>
        </w:rPr>
        <w:t>سل وحكمة بعثة الأنبياء هي أنه لما كان الإنسان مدنياً بطبعه وكان لابد له أن يعيش في مجتمع مع الناس</w:t>
      </w:r>
      <w:r w:rsidR="001E0DB7" w:rsidRPr="003F3B94">
        <w:rPr>
          <w:rFonts w:hint="cs"/>
          <w:sz w:val="28"/>
          <w:rtl/>
          <w:lang w:bidi="ar-SY"/>
        </w:rPr>
        <w:t>،</w:t>
      </w:r>
      <w:r w:rsidRPr="003F3B94">
        <w:rPr>
          <w:rFonts w:hint="cs"/>
          <w:sz w:val="28"/>
          <w:rtl/>
          <w:lang w:bidi="ar-SY"/>
        </w:rPr>
        <w:t xml:space="preserve"> وكان من الجهة الآخرة ظلوماً جهولاً أنانياً لا يريد أن يقنع بحقه بل يسعى للاستيلاء على حق الآخرين لذا وقع النزاع والصراع بين بني البشـر</w:t>
      </w:r>
      <w:r w:rsidR="00217AB4" w:rsidRPr="003F3B94">
        <w:rPr>
          <w:rFonts w:hint="cs"/>
          <w:sz w:val="28"/>
          <w:rtl/>
          <w:lang w:bidi="ar-SY"/>
        </w:rPr>
        <w:t>.</w:t>
      </w:r>
      <w:r w:rsidRPr="003F3B94">
        <w:rPr>
          <w:rFonts w:hint="cs"/>
          <w:sz w:val="28"/>
          <w:rtl/>
          <w:lang w:bidi="ar-SY"/>
        </w:rPr>
        <w:t xml:space="preserve"> من هنا جاءت أهمية القوانين والتشريعات التي تحدد لكل من الفرد والمجتمع حدوده وتعين له حقوقه وواجباته</w:t>
      </w:r>
      <w:r w:rsidR="00217AB4" w:rsidRPr="003F3B94">
        <w:rPr>
          <w:rFonts w:hint="cs"/>
          <w:sz w:val="28"/>
          <w:rtl/>
          <w:lang w:bidi="ar-SY"/>
        </w:rPr>
        <w:t>.</w:t>
      </w:r>
      <w:r w:rsidRPr="003F3B94">
        <w:rPr>
          <w:rFonts w:hint="cs"/>
          <w:sz w:val="28"/>
          <w:rtl/>
          <w:lang w:bidi="ar-SY"/>
        </w:rPr>
        <w:t xml:space="preserve"> ولما كان الإنسان مبتلى بالشهوات والأغراض والحرص والطمع والأنانية وكان فاقداً للبصيرة الكافية بعواقب الأمور ونتائجها كان ذلك كله مانعاً له من أن يتمكن وحده من وضع القوانين العادلة وتشريع نظام الحياة الأمثل لذا أرسل الله تعالى أنبياءه ورسله كي يقوم الناس بالقسط وتنتظم أمور مجتمعاتهم ويستقر بينهم العدل</w:t>
      </w:r>
      <w:r w:rsidR="001E0DB7" w:rsidRPr="003F3B94">
        <w:rPr>
          <w:rFonts w:hint="cs"/>
          <w:sz w:val="28"/>
          <w:rtl/>
          <w:lang w:bidi="ar-SY"/>
        </w:rPr>
        <w:t>،</w:t>
      </w:r>
      <w:r w:rsidRPr="003F3B94">
        <w:rPr>
          <w:rFonts w:hint="cs"/>
          <w:sz w:val="28"/>
          <w:rtl/>
          <w:lang w:bidi="ar-SY"/>
        </w:rPr>
        <w:t xml:space="preserve"> كما قال تعالى في سورة الحديد</w:t>
      </w:r>
      <w:r w:rsidR="00217AB4" w:rsidRPr="003F3B94">
        <w:rPr>
          <w:rFonts w:hint="cs"/>
          <w:sz w:val="28"/>
          <w:rtl/>
          <w:lang w:bidi="ar-SY"/>
        </w:rPr>
        <w:t>:</w:t>
      </w:r>
      <w:r w:rsidRPr="003F3B94">
        <w:rPr>
          <w:rFonts w:hint="cs"/>
          <w:sz w:val="28"/>
          <w:rtl/>
          <w:lang w:bidi="ar-SY"/>
        </w:rPr>
        <w:t xml:space="preserve"> </w:t>
      </w:r>
    </w:p>
    <w:p w:rsidR="005C664D" w:rsidRPr="00995B26" w:rsidRDefault="00B06788" w:rsidP="003F3B94">
      <w:pPr>
        <w:pStyle w:val="a0"/>
        <w:rPr>
          <w:rFonts w:hint="cs"/>
          <w:rtl/>
        </w:rPr>
      </w:pPr>
      <w:r w:rsidRPr="00995B26">
        <w:rPr>
          <w:rFonts w:cs="Traditional Arabic" w:hint="cs"/>
          <w:sz w:val="28"/>
          <w:rtl/>
        </w:rPr>
        <w:t>﴿</w:t>
      </w:r>
      <w:r w:rsidRPr="0067048A">
        <w:rPr>
          <w:rFonts w:ascii="KFGQPC Uthmanic Script HAFS" w:cs="KFGQPC Uthmanic Script HAFS" w:hint="eastAsia"/>
          <w:sz w:val="28"/>
          <w:szCs w:val="28"/>
          <w:rtl/>
        </w:rPr>
        <w:t>لَقَد</w:t>
      </w:r>
      <w:r w:rsidRPr="0067048A">
        <w:rPr>
          <w:rFonts w:ascii="KFGQPC Uthmanic Script HAFS" w:cs="KFGQPC Uthmanic Script HAFS" w:hint="cs"/>
          <w:sz w:val="28"/>
          <w:szCs w:val="28"/>
          <w:rtl/>
        </w:rPr>
        <w:t>ۡ</w:t>
      </w:r>
      <w:r w:rsidRPr="0067048A">
        <w:rPr>
          <w:rFonts w:ascii="KFGQPC Uthmanic Script HAFS" w:cs="KFGQPC Uthmanic Script HAFS"/>
          <w:sz w:val="28"/>
          <w:szCs w:val="28"/>
          <w:rtl/>
        </w:rPr>
        <w:t xml:space="preserve"> </w:t>
      </w:r>
      <w:r w:rsidRPr="0067048A">
        <w:rPr>
          <w:rFonts w:ascii="KFGQPC Uthmanic Script HAFS" w:cs="KFGQPC Uthmanic Script HAFS" w:hint="eastAsia"/>
          <w:sz w:val="28"/>
          <w:szCs w:val="28"/>
          <w:rtl/>
        </w:rPr>
        <w:t>أَر</w:t>
      </w:r>
      <w:r w:rsidRPr="0067048A">
        <w:rPr>
          <w:rFonts w:ascii="KFGQPC Uthmanic Script HAFS" w:cs="KFGQPC Uthmanic Script HAFS" w:hint="cs"/>
          <w:sz w:val="28"/>
          <w:szCs w:val="28"/>
          <w:rtl/>
        </w:rPr>
        <w:t>ۡ</w:t>
      </w:r>
      <w:r w:rsidRPr="0067048A">
        <w:rPr>
          <w:rFonts w:ascii="KFGQPC Uthmanic Script HAFS" w:cs="KFGQPC Uthmanic Script HAFS" w:hint="eastAsia"/>
          <w:sz w:val="28"/>
          <w:szCs w:val="28"/>
          <w:rtl/>
        </w:rPr>
        <w:t>سَل</w:t>
      </w:r>
      <w:r w:rsidRPr="0067048A">
        <w:rPr>
          <w:rFonts w:ascii="KFGQPC Uthmanic Script HAFS" w:cs="KFGQPC Uthmanic Script HAFS" w:hint="cs"/>
          <w:sz w:val="28"/>
          <w:szCs w:val="28"/>
          <w:rtl/>
        </w:rPr>
        <w:t>ۡ</w:t>
      </w:r>
      <w:r w:rsidRPr="0067048A">
        <w:rPr>
          <w:rFonts w:ascii="KFGQPC Uthmanic Script HAFS" w:cs="KFGQPC Uthmanic Script HAFS" w:hint="eastAsia"/>
          <w:sz w:val="28"/>
          <w:szCs w:val="28"/>
          <w:rtl/>
        </w:rPr>
        <w:t>نَا</w:t>
      </w:r>
      <w:r w:rsidRPr="0067048A">
        <w:rPr>
          <w:rFonts w:ascii="KFGQPC Uthmanic Script HAFS" w:cs="KFGQPC Uthmanic Script HAFS"/>
          <w:sz w:val="28"/>
          <w:szCs w:val="28"/>
          <w:rtl/>
        </w:rPr>
        <w:t xml:space="preserve"> </w:t>
      </w:r>
      <w:r w:rsidRPr="0067048A">
        <w:rPr>
          <w:rFonts w:ascii="KFGQPC Uthmanic Script HAFS" w:cs="KFGQPC Uthmanic Script HAFS" w:hint="eastAsia"/>
          <w:sz w:val="28"/>
          <w:szCs w:val="28"/>
          <w:rtl/>
        </w:rPr>
        <w:t>رُسُلَنَا</w:t>
      </w:r>
      <w:r w:rsidRPr="0067048A">
        <w:rPr>
          <w:rFonts w:ascii="KFGQPC Uthmanic Script HAFS" w:cs="KFGQPC Uthmanic Script HAFS"/>
          <w:sz w:val="28"/>
          <w:szCs w:val="28"/>
          <w:rtl/>
        </w:rPr>
        <w:t xml:space="preserve"> </w:t>
      </w:r>
      <w:r w:rsidRPr="0067048A">
        <w:rPr>
          <w:rFonts w:ascii="KFGQPC Uthmanic Script HAFS" w:cs="KFGQPC Uthmanic Script HAFS" w:hint="eastAsia"/>
          <w:sz w:val="28"/>
          <w:szCs w:val="28"/>
          <w:rtl/>
        </w:rPr>
        <w:t>بِ</w:t>
      </w:r>
      <w:r w:rsidRPr="0067048A">
        <w:rPr>
          <w:rFonts w:ascii="KFGQPC Uthmanic Script HAFS" w:cs="KFGQPC Uthmanic Script HAFS" w:hint="cs"/>
          <w:sz w:val="28"/>
          <w:szCs w:val="28"/>
          <w:rtl/>
        </w:rPr>
        <w:t>ٱ</w:t>
      </w:r>
      <w:r w:rsidRPr="0067048A">
        <w:rPr>
          <w:rFonts w:ascii="KFGQPC Uthmanic Script HAFS" w:cs="KFGQPC Uthmanic Script HAFS" w:hint="eastAsia"/>
          <w:sz w:val="28"/>
          <w:szCs w:val="28"/>
          <w:rtl/>
        </w:rPr>
        <w:t>ل</w:t>
      </w:r>
      <w:r w:rsidRPr="0067048A">
        <w:rPr>
          <w:rFonts w:ascii="KFGQPC Uthmanic Script HAFS" w:cs="KFGQPC Uthmanic Script HAFS" w:hint="cs"/>
          <w:sz w:val="28"/>
          <w:szCs w:val="28"/>
          <w:rtl/>
        </w:rPr>
        <w:t>ۡ</w:t>
      </w:r>
      <w:r w:rsidRPr="0067048A">
        <w:rPr>
          <w:rFonts w:ascii="KFGQPC Uthmanic Script HAFS" w:cs="KFGQPC Uthmanic Script HAFS" w:hint="eastAsia"/>
          <w:sz w:val="28"/>
          <w:szCs w:val="28"/>
          <w:rtl/>
        </w:rPr>
        <w:t>بَيِّنَ</w:t>
      </w:r>
      <w:r w:rsidRPr="0067048A">
        <w:rPr>
          <w:rFonts w:ascii="KFGQPC Uthmanic Script HAFS" w:cs="KFGQPC Uthmanic Script HAFS" w:hint="cs"/>
          <w:sz w:val="28"/>
          <w:szCs w:val="28"/>
          <w:rtl/>
        </w:rPr>
        <w:t>ٰ</w:t>
      </w:r>
      <w:r w:rsidRPr="0067048A">
        <w:rPr>
          <w:rFonts w:ascii="KFGQPC Uthmanic Script HAFS" w:cs="KFGQPC Uthmanic Script HAFS" w:hint="eastAsia"/>
          <w:sz w:val="28"/>
          <w:szCs w:val="28"/>
          <w:rtl/>
        </w:rPr>
        <w:t>تِ</w:t>
      </w:r>
      <w:r w:rsidRPr="0067048A">
        <w:rPr>
          <w:rFonts w:ascii="KFGQPC Uthmanic Script HAFS" w:cs="KFGQPC Uthmanic Script HAFS"/>
          <w:sz w:val="28"/>
          <w:szCs w:val="28"/>
          <w:rtl/>
        </w:rPr>
        <w:t xml:space="preserve"> </w:t>
      </w:r>
      <w:r w:rsidRPr="0067048A">
        <w:rPr>
          <w:rFonts w:ascii="KFGQPC Uthmanic Script HAFS" w:cs="KFGQPC Uthmanic Script HAFS" w:hint="eastAsia"/>
          <w:sz w:val="28"/>
          <w:szCs w:val="28"/>
          <w:rtl/>
        </w:rPr>
        <w:t>وَأَنزَل</w:t>
      </w:r>
      <w:r w:rsidRPr="0067048A">
        <w:rPr>
          <w:rFonts w:ascii="KFGQPC Uthmanic Script HAFS" w:cs="KFGQPC Uthmanic Script HAFS" w:hint="cs"/>
          <w:sz w:val="28"/>
          <w:szCs w:val="28"/>
          <w:rtl/>
        </w:rPr>
        <w:t>ۡ</w:t>
      </w:r>
      <w:r w:rsidRPr="0067048A">
        <w:rPr>
          <w:rFonts w:ascii="KFGQPC Uthmanic Script HAFS" w:cs="KFGQPC Uthmanic Script HAFS" w:hint="eastAsia"/>
          <w:sz w:val="28"/>
          <w:szCs w:val="28"/>
          <w:rtl/>
        </w:rPr>
        <w:t>نَا</w:t>
      </w:r>
      <w:r w:rsidRPr="0067048A">
        <w:rPr>
          <w:rFonts w:ascii="KFGQPC Uthmanic Script HAFS" w:cs="KFGQPC Uthmanic Script HAFS"/>
          <w:sz w:val="28"/>
          <w:szCs w:val="28"/>
          <w:rtl/>
        </w:rPr>
        <w:t xml:space="preserve"> </w:t>
      </w:r>
      <w:r w:rsidRPr="0067048A">
        <w:rPr>
          <w:rFonts w:ascii="KFGQPC Uthmanic Script HAFS" w:cs="KFGQPC Uthmanic Script HAFS" w:hint="eastAsia"/>
          <w:sz w:val="28"/>
          <w:szCs w:val="28"/>
          <w:rtl/>
        </w:rPr>
        <w:t>مَعَهُمُ</w:t>
      </w:r>
      <w:r w:rsidRPr="0067048A">
        <w:rPr>
          <w:rFonts w:ascii="KFGQPC Uthmanic Script HAFS" w:cs="KFGQPC Uthmanic Script HAFS"/>
          <w:sz w:val="28"/>
          <w:szCs w:val="28"/>
          <w:rtl/>
        </w:rPr>
        <w:t xml:space="preserve"> </w:t>
      </w:r>
      <w:r w:rsidRPr="0067048A">
        <w:rPr>
          <w:rFonts w:ascii="KFGQPC Uthmanic Script HAFS" w:cs="KFGQPC Uthmanic Script HAFS" w:hint="cs"/>
          <w:sz w:val="28"/>
          <w:szCs w:val="28"/>
          <w:rtl/>
        </w:rPr>
        <w:t>ٱ</w:t>
      </w:r>
      <w:r w:rsidRPr="0067048A">
        <w:rPr>
          <w:rFonts w:ascii="KFGQPC Uthmanic Script HAFS" w:cs="KFGQPC Uthmanic Script HAFS" w:hint="eastAsia"/>
          <w:sz w:val="28"/>
          <w:szCs w:val="28"/>
          <w:rtl/>
        </w:rPr>
        <w:t>ل</w:t>
      </w:r>
      <w:r w:rsidRPr="0067048A">
        <w:rPr>
          <w:rFonts w:ascii="KFGQPC Uthmanic Script HAFS" w:cs="KFGQPC Uthmanic Script HAFS" w:hint="cs"/>
          <w:sz w:val="28"/>
          <w:szCs w:val="28"/>
          <w:rtl/>
        </w:rPr>
        <w:t>ۡ</w:t>
      </w:r>
      <w:r w:rsidRPr="0067048A">
        <w:rPr>
          <w:rFonts w:ascii="KFGQPC Uthmanic Script HAFS" w:cs="KFGQPC Uthmanic Script HAFS" w:hint="eastAsia"/>
          <w:sz w:val="28"/>
          <w:szCs w:val="28"/>
          <w:rtl/>
        </w:rPr>
        <w:t>كِتَ</w:t>
      </w:r>
      <w:r w:rsidRPr="0067048A">
        <w:rPr>
          <w:rFonts w:ascii="KFGQPC Uthmanic Script HAFS" w:cs="KFGQPC Uthmanic Script HAFS" w:hint="cs"/>
          <w:sz w:val="28"/>
          <w:szCs w:val="28"/>
          <w:rtl/>
        </w:rPr>
        <w:t>ٰ</w:t>
      </w:r>
      <w:r w:rsidRPr="0067048A">
        <w:rPr>
          <w:rFonts w:ascii="KFGQPC Uthmanic Script HAFS" w:cs="KFGQPC Uthmanic Script HAFS" w:hint="eastAsia"/>
          <w:sz w:val="28"/>
          <w:szCs w:val="28"/>
          <w:rtl/>
        </w:rPr>
        <w:t>بَ</w:t>
      </w:r>
      <w:r w:rsidRPr="0067048A">
        <w:rPr>
          <w:rFonts w:ascii="KFGQPC Uthmanic Script HAFS" w:cs="KFGQPC Uthmanic Script HAFS"/>
          <w:sz w:val="28"/>
          <w:szCs w:val="28"/>
          <w:rtl/>
        </w:rPr>
        <w:t xml:space="preserve"> </w:t>
      </w:r>
      <w:r w:rsidRPr="0067048A">
        <w:rPr>
          <w:rFonts w:ascii="KFGQPC Uthmanic Script HAFS" w:cs="KFGQPC Uthmanic Script HAFS" w:hint="eastAsia"/>
          <w:sz w:val="28"/>
          <w:szCs w:val="28"/>
          <w:rtl/>
        </w:rPr>
        <w:t>وَ</w:t>
      </w:r>
      <w:r w:rsidRPr="0067048A">
        <w:rPr>
          <w:rFonts w:ascii="KFGQPC Uthmanic Script HAFS" w:cs="KFGQPC Uthmanic Script HAFS" w:hint="cs"/>
          <w:sz w:val="28"/>
          <w:szCs w:val="28"/>
          <w:rtl/>
        </w:rPr>
        <w:t>ٱ</w:t>
      </w:r>
      <w:r w:rsidRPr="0067048A">
        <w:rPr>
          <w:rFonts w:ascii="KFGQPC Uthmanic Script HAFS" w:cs="KFGQPC Uthmanic Script HAFS" w:hint="eastAsia"/>
          <w:sz w:val="28"/>
          <w:szCs w:val="28"/>
          <w:rtl/>
        </w:rPr>
        <w:t>ل</w:t>
      </w:r>
      <w:r w:rsidRPr="0067048A">
        <w:rPr>
          <w:rFonts w:ascii="KFGQPC Uthmanic Script HAFS" w:cs="KFGQPC Uthmanic Script HAFS" w:hint="cs"/>
          <w:sz w:val="28"/>
          <w:szCs w:val="28"/>
          <w:rtl/>
        </w:rPr>
        <w:t>ۡ</w:t>
      </w:r>
      <w:r w:rsidRPr="0067048A">
        <w:rPr>
          <w:rFonts w:ascii="KFGQPC Uthmanic Script HAFS" w:cs="KFGQPC Uthmanic Script HAFS" w:hint="eastAsia"/>
          <w:sz w:val="28"/>
          <w:szCs w:val="28"/>
          <w:rtl/>
        </w:rPr>
        <w:t>مِيزَانَ</w:t>
      </w:r>
      <w:r w:rsidRPr="0067048A">
        <w:rPr>
          <w:rFonts w:ascii="KFGQPC Uthmanic Script HAFS" w:cs="KFGQPC Uthmanic Script HAFS"/>
          <w:sz w:val="28"/>
          <w:szCs w:val="28"/>
          <w:rtl/>
        </w:rPr>
        <w:t xml:space="preserve"> </w:t>
      </w:r>
      <w:r w:rsidRPr="0067048A">
        <w:rPr>
          <w:rFonts w:ascii="KFGQPC Uthmanic Script HAFS" w:cs="KFGQPC Uthmanic Script HAFS" w:hint="eastAsia"/>
          <w:sz w:val="28"/>
          <w:szCs w:val="28"/>
          <w:rtl/>
        </w:rPr>
        <w:t>لِيَقُومَ</w:t>
      </w:r>
      <w:r w:rsidRPr="0067048A">
        <w:rPr>
          <w:rFonts w:ascii="KFGQPC Uthmanic Script HAFS" w:cs="KFGQPC Uthmanic Script HAFS"/>
          <w:sz w:val="28"/>
          <w:szCs w:val="28"/>
          <w:rtl/>
        </w:rPr>
        <w:t xml:space="preserve"> </w:t>
      </w:r>
      <w:r w:rsidRPr="0067048A">
        <w:rPr>
          <w:rFonts w:ascii="KFGQPC Uthmanic Script HAFS" w:cs="KFGQPC Uthmanic Script HAFS" w:hint="cs"/>
          <w:sz w:val="28"/>
          <w:szCs w:val="28"/>
          <w:rtl/>
        </w:rPr>
        <w:t>ٱ</w:t>
      </w:r>
      <w:r w:rsidRPr="0067048A">
        <w:rPr>
          <w:rFonts w:ascii="KFGQPC Uthmanic Script HAFS" w:cs="KFGQPC Uthmanic Script HAFS" w:hint="eastAsia"/>
          <w:sz w:val="28"/>
          <w:szCs w:val="28"/>
          <w:rtl/>
        </w:rPr>
        <w:t>لنَّاسُ</w:t>
      </w:r>
      <w:r w:rsidRPr="0067048A">
        <w:rPr>
          <w:rFonts w:ascii="KFGQPC Uthmanic Script HAFS" w:cs="KFGQPC Uthmanic Script HAFS"/>
          <w:sz w:val="28"/>
          <w:szCs w:val="28"/>
          <w:rtl/>
        </w:rPr>
        <w:t xml:space="preserve"> </w:t>
      </w:r>
      <w:r w:rsidRPr="0067048A">
        <w:rPr>
          <w:rFonts w:ascii="KFGQPC Uthmanic Script HAFS" w:cs="KFGQPC Uthmanic Script HAFS" w:hint="eastAsia"/>
          <w:sz w:val="28"/>
          <w:szCs w:val="28"/>
          <w:rtl/>
        </w:rPr>
        <w:t>بِ</w:t>
      </w:r>
      <w:r w:rsidRPr="0067048A">
        <w:rPr>
          <w:rFonts w:ascii="KFGQPC Uthmanic Script HAFS" w:cs="KFGQPC Uthmanic Script HAFS" w:hint="cs"/>
          <w:sz w:val="28"/>
          <w:szCs w:val="28"/>
          <w:rtl/>
        </w:rPr>
        <w:t>ٱ</w:t>
      </w:r>
      <w:r w:rsidRPr="0067048A">
        <w:rPr>
          <w:rFonts w:ascii="KFGQPC Uthmanic Script HAFS" w:cs="KFGQPC Uthmanic Script HAFS" w:hint="eastAsia"/>
          <w:sz w:val="28"/>
          <w:szCs w:val="28"/>
          <w:rtl/>
        </w:rPr>
        <w:t>ل</w:t>
      </w:r>
      <w:r w:rsidRPr="0067048A">
        <w:rPr>
          <w:rFonts w:ascii="KFGQPC Uthmanic Script HAFS" w:cs="KFGQPC Uthmanic Script HAFS" w:hint="cs"/>
          <w:sz w:val="28"/>
          <w:szCs w:val="28"/>
          <w:rtl/>
        </w:rPr>
        <w:t>ۡ</w:t>
      </w:r>
      <w:r w:rsidRPr="0067048A">
        <w:rPr>
          <w:rFonts w:ascii="KFGQPC Uthmanic Script HAFS" w:cs="KFGQPC Uthmanic Script HAFS" w:hint="eastAsia"/>
          <w:sz w:val="28"/>
          <w:szCs w:val="28"/>
          <w:rtl/>
        </w:rPr>
        <w:t>قِس</w:t>
      </w:r>
      <w:r w:rsidRPr="0067048A">
        <w:rPr>
          <w:rFonts w:ascii="KFGQPC Uthmanic Script HAFS" w:cs="KFGQPC Uthmanic Script HAFS" w:hint="cs"/>
          <w:sz w:val="28"/>
          <w:szCs w:val="28"/>
          <w:rtl/>
        </w:rPr>
        <w:t>ۡ</w:t>
      </w:r>
      <w:r w:rsidRPr="0067048A">
        <w:rPr>
          <w:rFonts w:ascii="KFGQPC Uthmanic Script HAFS" w:cs="KFGQPC Uthmanic Script HAFS" w:hint="eastAsia"/>
          <w:sz w:val="28"/>
          <w:szCs w:val="28"/>
          <w:rtl/>
        </w:rPr>
        <w:t>طِ</w:t>
      </w:r>
      <w:r w:rsidRPr="00995B26">
        <w:rPr>
          <w:rFonts w:cs="Traditional Arabic" w:hint="cs"/>
          <w:sz w:val="28"/>
          <w:rtl/>
        </w:rPr>
        <w:t>﴾</w:t>
      </w:r>
      <w:r w:rsidRPr="003F3B94">
        <w:rPr>
          <w:rFonts w:hint="cs"/>
          <w:sz w:val="28"/>
          <w:rtl/>
        </w:rPr>
        <w:t xml:space="preserve"> </w:t>
      </w:r>
      <w:r w:rsidR="005C664D" w:rsidRPr="003108CB">
        <w:rPr>
          <w:rStyle w:val="Char2"/>
          <w:rFonts w:hint="cs"/>
          <w:rtl/>
        </w:rPr>
        <w:t>[الحديد</w:t>
      </w:r>
      <w:r w:rsidRPr="003108CB">
        <w:rPr>
          <w:rStyle w:val="Char2"/>
          <w:rFonts w:hint="cs"/>
          <w:rtl/>
        </w:rPr>
        <w:t xml:space="preserve">: </w:t>
      </w:r>
      <w:r w:rsidR="005C664D" w:rsidRPr="003108CB">
        <w:rPr>
          <w:rStyle w:val="Char2"/>
          <w:rFonts w:hint="cs"/>
          <w:rtl/>
        </w:rPr>
        <w:t>25</w:t>
      </w:r>
      <w:r w:rsidRPr="003108CB">
        <w:rPr>
          <w:rStyle w:val="Char2"/>
          <w:rFonts w:hint="cs"/>
          <w:rtl/>
        </w:rPr>
        <w:t>]</w:t>
      </w:r>
      <w:r w:rsidR="00217AB4" w:rsidRPr="003F3B94">
        <w:rPr>
          <w:rFonts w:hint="cs"/>
          <w:sz w:val="28"/>
          <w:rtl/>
        </w:rPr>
        <w:t>.</w:t>
      </w:r>
      <w:r w:rsidR="005C664D" w:rsidRPr="003F3B94">
        <w:rPr>
          <w:rFonts w:hint="cs"/>
          <w:sz w:val="28"/>
          <w:rtl/>
        </w:rPr>
        <w:t xml:space="preserve"> وكما قال سبحانه</w:t>
      </w:r>
      <w:r w:rsidR="00217AB4" w:rsidRPr="003F3B94">
        <w:rPr>
          <w:rFonts w:hint="cs"/>
          <w:sz w:val="28"/>
          <w:rtl/>
        </w:rPr>
        <w:t>:</w:t>
      </w:r>
      <w:r w:rsidRPr="003F3B94">
        <w:rPr>
          <w:rFonts w:hint="cs"/>
          <w:sz w:val="28"/>
          <w:rtl/>
        </w:rPr>
        <w:t xml:space="preserve"> </w:t>
      </w:r>
      <w:r w:rsidRPr="00995B26">
        <w:rPr>
          <w:rFonts w:cs="Traditional Arabic" w:hint="cs"/>
          <w:sz w:val="28"/>
          <w:rtl/>
        </w:rPr>
        <w:t>﴿</w:t>
      </w:r>
      <w:r w:rsidRPr="0067048A">
        <w:rPr>
          <w:rFonts w:ascii="KFGQPC Uthmanic Script HAFS" w:cs="KFGQPC Uthmanic Script HAFS" w:hint="eastAsia"/>
          <w:sz w:val="28"/>
          <w:szCs w:val="28"/>
          <w:rtl/>
        </w:rPr>
        <w:t>قُل</w:t>
      </w:r>
      <w:r w:rsidRPr="0067048A">
        <w:rPr>
          <w:rFonts w:ascii="KFGQPC Uthmanic Script HAFS" w:cs="KFGQPC Uthmanic Script HAFS" w:hint="cs"/>
          <w:sz w:val="28"/>
          <w:szCs w:val="28"/>
          <w:rtl/>
        </w:rPr>
        <w:t>ۡ</w:t>
      </w:r>
      <w:r w:rsidRPr="0067048A">
        <w:rPr>
          <w:rFonts w:ascii="KFGQPC Uthmanic Script HAFS" w:cs="KFGQPC Uthmanic Script HAFS"/>
          <w:sz w:val="28"/>
          <w:szCs w:val="28"/>
          <w:rtl/>
        </w:rPr>
        <w:t xml:space="preserve"> </w:t>
      </w:r>
      <w:r w:rsidRPr="0067048A">
        <w:rPr>
          <w:rFonts w:ascii="KFGQPC Uthmanic Script HAFS" w:cs="KFGQPC Uthmanic Script HAFS" w:hint="eastAsia"/>
          <w:sz w:val="28"/>
          <w:szCs w:val="28"/>
          <w:rtl/>
        </w:rPr>
        <w:t>أَمَرَ</w:t>
      </w:r>
      <w:r w:rsidRPr="0067048A">
        <w:rPr>
          <w:rFonts w:ascii="KFGQPC Uthmanic Script HAFS" w:cs="KFGQPC Uthmanic Script HAFS"/>
          <w:sz w:val="28"/>
          <w:szCs w:val="28"/>
          <w:rtl/>
        </w:rPr>
        <w:t xml:space="preserve"> </w:t>
      </w:r>
      <w:r w:rsidRPr="0067048A">
        <w:rPr>
          <w:rFonts w:ascii="KFGQPC Uthmanic Script HAFS" w:cs="KFGQPC Uthmanic Script HAFS" w:hint="eastAsia"/>
          <w:sz w:val="28"/>
          <w:szCs w:val="28"/>
          <w:rtl/>
        </w:rPr>
        <w:t>رَبِّي</w:t>
      </w:r>
      <w:r w:rsidRPr="0067048A">
        <w:rPr>
          <w:rFonts w:ascii="KFGQPC Uthmanic Script HAFS" w:cs="KFGQPC Uthmanic Script HAFS"/>
          <w:sz w:val="28"/>
          <w:szCs w:val="28"/>
          <w:rtl/>
        </w:rPr>
        <w:t xml:space="preserve"> </w:t>
      </w:r>
      <w:r w:rsidRPr="0067048A">
        <w:rPr>
          <w:rFonts w:ascii="KFGQPC Uthmanic Script HAFS" w:cs="KFGQPC Uthmanic Script HAFS" w:hint="eastAsia"/>
          <w:sz w:val="28"/>
          <w:szCs w:val="28"/>
          <w:rtl/>
        </w:rPr>
        <w:t>بِ</w:t>
      </w:r>
      <w:r w:rsidRPr="0067048A">
        <w:rPr>
          <w:rFonts w:ascii="KFGQPC Uthmanic Script HAFS" w:cs="KFGQPC Uthmanic Script HAFS" w:hint="cs"/>
          <w:sz w:val="28"/>
          <w:szCs w:val="28"/>
          <w:rtl/>
        </w:rPr>
        <w:t>ٱ</w:t>
      </w:r>
      <w:r w:rsidRPr="0067048A">
        <w:rPr>
          <w:rFonts w:ascii="KFGQPC Uthmanic Script HAFS" w:cs="KFGQPC Uthmanic Script HAFS" w:hint="eastAsia"/>
          <w:sz w:val="28"/>
          <w:szCs w:val="28"/>
          <w:rtl/>
        </w:rPr>
        <w:t>ل</w:t>
      </w:r>
      <w:r w:rsidRPr="0067048A">
        <w:rPr>
          <w:rFonts w:ascii="KFGQPC Uthmanic Script HAFS" w:cs="KFGQPC Uthmanic Script HAFS" w:hint="cs"/>
          <w:sz w:val="28"/>
          <w:szCs w:val="28"/>
          <w:rtl/>
        </w:rPr>
        <w:t>ۡ</w:t>
      </w:r>
      <w:r w:rsidRPr="0067048A">
        <w:rPr>
          <w:rFonts w:ascii="KFGQPC Uthmanic Script HAFS" w:cs="KFGQPC Uthmanic Script HAFS" w:hint="eastAsia"/>
          <w:sz w:val="28"/>
          <w:szCs w:val="28"/>
          <w:rtl/>
        </w:rPr>
        <w:t>قِس</w:t>
      </w:r>
      <w:r w:rsidRPr="0067048A">
        <w:rPr>
          <w:rFonts w:ascii="KFGQPC Uthmanic Script HAFS" w:cs="KFGQPC Uthmanic Script HAFS" w:hint="cs"/>
          <w:sz w:val="28"/>
          <w:szCs w:val="28"/>
          <w:rtl/>
        </w:rPr>
        <w:t>ۡ</w:t>
      </w:r>
      <w:r w:rsidRPr="0067048A">
        <w:rPr>
          <w:rFonts w:ascii="KFGQPC Uthmanic Script HAFS" w:cs="KFGQPC Uthmanic Script HAFS" w:hint="eastAsia"/>
          <w:sz w:val="28"/>
          <w:szCs w:val="28"/>
          <w:rtl/>
        </w:rPr>
        <w:t>طِ</w:t>
      </w:r>
      <w:r w:rsidRPr="00995B26">
        <w:rPr>
          <w:rFonts w:cs="Traditional Arabic" w:hint="cs"/>
          <w:sz w:val="28"/>
          <w:rtl/>
        </w:rPr>
        <w:t>﴾</w:t>
      </w:r>
      <w:r w:rsidR="005C664D" w:rsidRPr="00995B26">
        <w:rPr>
          <w:rFonts w:hint="cs"/>
          <w:sz w:val="28"/>
          <w:rtl/>
        </w:rPr>
        <w:t xml:space="preserve"> </w:t>
      </w:r>
      <w:r w:rsidR="005C664D" w:rsidRPr="003108CB">
        <w:rPr>
          <w:rStyle w:val="Char2"/>
          <w:rFonts w:hint="cs"/>
          <w:rtl/>
        </w:rPr>
        <w:t>[الأعراف</w:t>
      </w:r>
      <w:r w:rsidRPr="003108CB">
        <w:rPr>
          <w:rStyle w:val="Char2"/>
          <w:rFonts w:hint="cs"/>
          <w:rtl/>
        </w:rPr>
        <w:t xml:space="preserve">: </w:t>
      </w:r>
      <w:r w:rsidR="007D07D3" w:rsidRPr="003108CB">
        <w:rPr>
          <w:rStyle w:val="Char2"/>
          <w:rFonts w:hint="cs"/>
          <w:rtl/>
        </w:rPr>
        <w:t>29</w:t>
      </w:r>
      <w:r w:rsidRPr="003108CB">
        <w:rPr>
          <w:rStyle w:val="Char2"/>
          <w:rFonts w:hint="cs"/>
          <w:rtl/>
        </w:rPr>
        <w:t>]</w:t>
      </w:r>
      <w:r w:rsidR="00217AB4" w:rsidRPr="00995B26">
        <w:rPr>
          <w:rFonts w:hint="cs"/>
          <w:sz w:val="28"/>
          <w:rtl/>
        </w:rPr>
        <w:t>.</w:t>
      </w:r>
      <w:r w:rsidR="005C664D" w:rsidRPr="00995B26">
        <w:rPr>
          <w:rFonts w:hint="cs"/>
          <w:sz w:val="28"/>
          <w:rtl/>
        </w:rPr>
        <w:t xml:space="preserve"> </w:t>
      </w:r>
    </w:p>
    <w:p w:rsidR="005C664D" w:rsidRPr="003F3B94" w:rsidRDefault="005C664D" w:rsidP="003F3B94">
      <w:pPr>
        <w:pStyle w:val="a0"/>
        <w:rPr>
          <w:rFonts w:hint="cs"/>
          <w:rtl/>
        </w:rPr>
      </w:pPr>
      <w:r w:rsidRPr="003F3B94">
        <w:rPr>
          <w:rFonts w:hint="cs"/>
          <w:sz w:val="28"/>
          <w:rtl/>
        </w:rPr>
        <w:t>فكيف يمكن بعد ذلك أن يأتي رسول الله وأئمة الهدى سلام الله عليهم ويقولوا إن جميعَ أموال الدنيا هذه التي تتنازعون عليها والتي يسعى بعضكم أن يأكل مال البعض الآخر ويستولي على نتيجة كد يمينه</w:t>
      </w:r>
      <w:r w:rsidR="00217AB4" w:rsidRPr="003F3B94">
        <w:rPr>
          <w:rFonts w:hint="cs"/>
          <w:sz w:val="28"/>
          <w:rtl/>
        </w:rPr>
        <w:t>،</w:t>
      </w:r>
      <w:r w:rsidRPr="003F3B94">
        <w:rPr>
          <w:rFonts w:hint="cs"/>
          <w:sz w:val="28"/>
          <w:rtl/>
        </w:rPr>
        <w:t xml:space="preserve"> كلّها لنا وليست لأي أحد منكم</w:t>
      </w:r>
      <w:r w:rsidR="00217AB4" w:rsidRPr="003F3B94">
        <w:rPr>
          <w:rFonts w:hint="cs"/>
          <w:sz w:val="28"/>
          <w:rtl/>
        </w:rPr>
        <w:t>.</w:t>
      </w:r>
      <w:r w:rsidRPr="003F3B94">
        <w:rPr>
          <w:rFonts w:hint="cs"/>
          <w:sz w:val="28"/>
          <w:rtl/>
        </w:rPr>
        <w:t xml:space="preserve"> إنها مالي ومال ذريتي فقط</w:t>
      </w:r>
      <w:r w:rsidR="00217AB4" w:rsidRPr="003F3B94">
        <w:rPr>
          <w:rFonts w:hint="cs"/>
          <w:sz w:val="28"/>
          <w:rtl/>
        </w:rPr>
        <w:t>!!</w:t>
      </w:r>
      <w:r w:rsidRPr="003F3B94">
        <w:rPr>
          <w:rFonts w:hint="cs"/>
          <w:sz w:val="28"/>
          <w:rtl/>
        </w:rPr>
        <w:t xml:space="preserve"> </w:t>
      </w:r>
    </w:p>
    <w:p w:rsidR="00542D29" w:rsidRPr="00995B26" w:rsidRDefault="00542D29" w:rsidP="003C671C">
      <w:pPr>
        <w:pStyle w:val="a6"/>
        <w:rPr>
          <w:rFonts w:hint="cs"/>
          <w:rtl/>
        </w:rPr>
      </w:pPr>
      <w:bookmarkStart w:id="117" w:name="_Toc387843088"/>
      <w:r w:rsidRPr="00995B26">
        <w:rPr>
          <w:rFonts w:hint="cs"/>
          <w:rtl/>
        </w:rPr>
        <w:t>2- خطأ الدلائل الع</w:t>
      </w:r>
      <w:r w:rsidR="001253D2" w:rsidRPr="00995B26">
        <w:rPr>
          <w:rFonts w:hint="cs"/>
          <w:rtl/>
        </w:rPr>
        <w:t>ـ</w:t>
      </w:r>
      <w:r w:rsidRPr="00995B26">
        <w:rPr>
          <w:rFonts w:hint="cs"/>
          <w:rtl/>
        </w:rPr>
        <w:t>قلية التي قدَّمها الهمداني</w:t>
      </w:r>
      <w:bookmarkEnd w:id="117"/>
    </w:p>
    <w:p w:rsidR="005C664D" w:rsidRPr="00995B26" w:rsidRDefault="005C664D" w:rsidP="003F3B94">
      <w:pPr>
        <w:pStyle w:val="a0"/>
        <w:rPr>
          <w:rFonts w:hint="cs"/>
          <w:rtl/>
        </w:rPr>
      </w:pPr>
      <w:r w:rsidRPr="003F3B94">
        <w:rPr>
          <w:rFonts w:ascii="Abo-thar" w:hAnsi="Abo-thar" w:hint="cs"/>
          <w:sz w:val="28"/>
          <w:rtl/>
          <w:lang w:bidi="ar-SY"/>
        </w:rPr>
        <w:t>أما بالنسبة إلى الدليل النقلي الذي ادعاه الهمداني واستند إليه</w:t>
      </w:r>
      <w:r w:rsidR="00217AB4" w:rsidRPr="003F3B94">
        <w:rPr>
          <w:rFonts w:ascii="Abo-thar" w:hAnsi="Abo-thar" w:hint="cs"/>
          <w:sz w:val="28"/>
          <w:rtl/>
          <w:lang w:bidi="ar-SY"/>
        </w:rPr>
        <w:t>،</w:t>
      </w:r>
      <w:r w:rsidRPr="003F3B94">
        <w:rPr>
          <w:rFonts w:ascii="Abo-thar" w:hAnsi="Abo-thar" w:hint="cs"/>
          <w:sz w:val="28"/>
          <w:rtl/>
          <w:lang w:bidi="ar-SY"/>
        </w:rPr>
        <w:t xml:space="preserve"> أي الأخبار الدالة على أن الدنيا وما فيها ملكٌ للرسول </w:t>
      </w:r>
      <w:r w:rsidR="00D8448F" w:rsidRPr="003F3B94">
        <w:rPr>
          <w:rFonts w:ascii="Abo-thar" w:hAnsi="Abo-thar" w:hint="cs"/>
          <w:sz w:val="28"/>
          <w:rtl/>
          <w:lang w:bidi="ar-SY"/>
        </w:rPr>
        <w:t>و</w:t>
      </w:r>
      <w:r w:rsidRPr="003F3B94">
        <w:rPr>
          <w:rFonts w:ascii="Abo-thar" w:hAnsi="Abo-thar" w:hint="cs"/>
          <w:sz w:val="28"/>
          <w:rtl/>
          <w:lang w:bidi="ar-SY"/>
        </w:rPr>
        <w:t xml:space="preserve">الأئمة </w:t>
      </w:r>
      <w:r w:rsidR="00BC4BA9" w:rsidRPr="00BC4BA9">
        <w:rPr>
          <w:rFonts w:ascii="Abo-thar" w:hAnsi="Abo-thar" w:cs="CTraditional Arabic" w:hint="cs"/>
          <w:sz w:val="28"/>
          <w:rtl/>
          <w:lang w:bidi="ar-SY"/>
        </w:rPr>
        <w:t>÷</w:t>
      </w:r>
      <w:r w:rsidR="00217AB4" w:rsidRPr="003F3B94">
        <w:rPr>
          <w:rFonts w:ascii="Abo-thar" w:hAnsi="Abo-thar" w:hint="cs"/>
          <w:sz w:val="28"/>
          <w:rtl/>
          <w:lang w:bidi="ar-SY"/>
        </w:rPr>
        <w:t>،</w:t>
      </w:r>
      <w:r w:rsidRPr="003F3B94">
        <w:rPr>
          <w:rFonts w:ascii="Abo-thar" w:hAnsi="Abo-thar" w:hint="cs"/>
          <w:sz w:val="28"/>
          <w:rtl/>
          <w:lang w:bidi="ar-SY"/>
        </w:rPr>
        <w:t xml:space="preserve"> فأوضح دليل على بطلانه هو كتاب الله تعالى وهل من دليل نقلي أفضل من كتاب الله الذي هو منوِّر العقول وهاديها</w:t>
      </w:r>
      <w:r w:rsidR="00217AB4" w:rsidRPr="003F3B94">
        <w:rPr>
          <w:rFonts w:ascii="Abo-thar" w:hAnsi="Abo-thar" w:hint="cs"/>
          <w:sz w:val="28"/>
          <w:rtl/>
          <w:lang w:bidi="ar-SY"/>
        </w:rPr>
        <w:t>،</w:t>
      </w:r>
      <w:r w:rsidRPr="003F3B94">
        <w:rPr>
          <w:rFonts w:ascii="Abo-thar" w:hAnsi="Abo-thar" w:hint="cs"/>
          <w:sz w:val="28"/>
          <w:rtl/>
          <w:lang w:bidi="ar-SY"/>
        </w:rPr>
        <w:t xml:space="preserve"> كما يقول سبحانه</w:t>
      </w:r>
      <w:r w:rsidR="00217AB4" w:rsidRPr="003F3B94">
        <w:rPr>
          <w:rFonts w:ascii="Abo-thar" w:hAnsi="Abo-thar" w:hint="cs"/>
          <w:sz w:val="28"/>
          <w:rtl/>
          <w:lang w:bidi="ar-SY"/>
        </w:rPr>
        <w:t>:</w:t>
      </w:r>
      <w:r w:rsidR="00B06788" w:rsidRPr="003F3B94">
        <w:rPr>
          <w:rFonts w:ascii="Abo-thar" w:hAnsi="Abo-thar" w:hint="cs"/>
          <w:sz w:val="28"/>
          <w:rtl/>
          <w:lang w:bidi="ar-SY"/>
        </w:rPr>
        <w:t xml:space="preserve"> </w:t>
      </w:r>
      <w:r w:rsidR="00B06788" w:rsidRPr="00995B26">
        <w:rPr>
          <w:rFonts w:ascii="Abo-thar" w:hAnsi="Abo-thar" w:cs="Traditional Arabic" w:hint="cs"/>
          <w:sz w:val="28"/>
          <w:rtl/>
          <w:lang w:bidi="ar-SY"/>
        </w:rPr>
        <w:t>﴿</w:t>
      </w:r>
      <w:r w:rsidR="00B06788" w:rsidRPr="0067048A">
        <w:rPr>
          <w:rFonts w:ascii="KFGQPC Uthmanic Script HAFS" w:cs="KFGQPC Uthmanic Script HAFS" w:hint="eastAsia"/>
          <w:sz w:val="28"/>
          <w:szCs w:val="28"/>
          <w:rtl/>
        </w:rPr>
        <w:t>فَبِأَيِّ</w:t>
      </w:r>
      <w:r w:rsidR="00B06788" w:rsidRPr="0067048A">
        <w:rPr>
          <w:rFonts w:ascii="KFGQPC Uthmanic Script HAFS" w:cs="KFGQPC Uthmanic Script HAFS"/>
          <w:sz w:val="28"/>
          <w:szCs w:val="28"/>
          <w:rtl/>
        </w:rPr>
        <w:t xml:space="preserve"> </w:t>
      </w:r>
      <w:r w:rsidR="00B06788" w:rsidRPr="0067048A">
        <w:rPr>
          <w:rFonts w:ascii="KFGQPC Uthmanic Script HAFS" w:cs="KFGQPC Uthmanic Script HAFS" w:hint="eastAsia"/>
          <w:sz w:val="28"/>
          <w:szCs w:val="28"/>
          <w:rtl/>
        </w:rPr>
        <w:t>حَدِيثِ</w:t>
      </w:r>
      <w:r w:rsidR="00B06788" w:rsidRPr="0067048A">
        <w:rPr>
          <w:rFonts w:ascii="KFGQPC Uthmanic Script HAFS" w:cs="KFGQPC Uthmanic Script HAFS" w:hint="cs"/>
          <w:sz w:val="28"/>
          <w:szCs w:val="28"/>
          <w:rtl/>
        </w:rPr>
        <w:t>ۢ</w:t>
      </w:r>
      <w:r w:rsidR="00B06788" w:rsidRPr="0067048A">
        <w:rPr>
          <w:rFonts w:ascii="KFGQPC Uthmanic Script HAFS" w:cs="KFGQPC Uthmanic Script HAFS"/>
          <w:sz w:val="28"/>
          <w:szCs w:val="28"/>
          <w:rtl/>
        </w:rPr>
        <w:t xml:space="preserve"> </w:t>
      </w:r>
      <w:r w:rsidR="00B06788" w:rsidRPr="0067048A">
        <w:rPr>
          <w:rFonts w:ascii="KFGQPC Uthmanic Script HAFS" w:cs="KFGQPC Uthmanic Script HAFS" w:hint="eastAsia"/>
          <w:sz w:val="28"/>
          <w:szCs w:val="28"/>
          <w:rtl/>
        </w:rPr>
        <w:t>بَع</w:t>
      </w:r>
      <w:r w:rsidR="00B06788" w:rsidRPr="0067048A">
        <w:rPr>
          <w:rFonts w:ascii="KFGQPC Uthmanic Script HAFS" w:cs="KFGQPC Uthmanic Script HAFS" w:hint="cs"/>
          <w:sz w:val="28"/>
          <w:szCs w:val="28"/>
          <w:rtl/>
        </w:rPr>
        <w:t>ۡ</w:t>
      </w:r>
      <w:r w:rsidR="00B06788" w:rsidRPr="0067048A">
        <w:rPr>
          <w:rFonts w:ascii="KFGQPC Uthmanic Script HAFS" w:cs="KFGQPC Uthmanic Script HAFS" w:hint="eastAsia"/>
          <w:sz w:val="28"/>
          <w:szCs w:val="28"/>
          <w:rtl/>
        </w:rPr>
        <w:t>دَ</w:t>
      </w:r>
      <w:r w:rsidR="00B06788" w:rsidRPr="0067048A">
        <w:rPr>
          <w:rFonts w:ascii="KFGQPC Uthmanic Script HAFS" w:cs="KFGQPC Uthmanic Script HAFS"/>
          <w:sz w:val="28"/>
          <w:szCs w:val="28"/>
          <w:rtl/>
        </w:rPr>
        <w:t xml:space="preserve"> </w:t>
      </w:r>
      <w:r w:rsidR="00B06788" w:rsidRPr="0067048A">
        <w:rPr>
          <w:rFonts w:ascii="KFGQPC Uthmanic Script HAFS" w:cs="KFGQPC Uthmanic Script HAFS" w:hint="cs"/>
          <w:sz w:val="28"/>
          <w:szCs w:val="28"/>
          <w:rtl/>
        </w:rPr>
        <w:t>ٱ</w:t>
      </w:r>
      <w:r w:rsidR="00B06788" w:rsidRPr="0067048A">
        <w:rPr>
          <w:rFonts w:ascii="KFGQPC Uthmanic Script HAFS" w:cs="KFGQPC Uthmanic Script HAFS" w:hint="eastAsia"/>
          <w:sz w:val="28"/>
          <w:szCs w:val="28"/>
          <w:rtl/>
        </w:rPr>
        <w:t>للَّهِ</w:t>
      </w:r>
      <w:r w:rsidR="00B06788" w:rsidRPr="0067048A">
        <w:rPr>
          <w:rFonts w:ascii="KFGQPC Uthmanic Script HAFS" w:cs="KFGQPC Uthmanic Script HAFS"/>
          <w:sz w:val="28"/>
          <w:szCs w:val="28"/>
          <w:rtl/>
        </w:rPr>
        <w:t xml:space="preserve"> </w:t>
      </w:r>
      <w:r w:rsidR="00B06788" w:rsidRPr="0067048A">
        <w:rPr>
          <w:rFonts w:ascii="KFGQPC Uthmanic Script HAFS" w:cs="KFGQPC Uthmanic Script HAFS" w:hint="eastAsia"/>
          <w:sz w:val="28"/>
          <w:szCs w:val="28"/>
          <w:rtl/>
        </w:rPr>
        <w:t>وَءَايَ</w:t>
      </w:r>
      <w:r w:rsidR="00B06788" w:rsidRPr="0067048A">
        <w:rPr>
          <w:rFonts w:ascii="KFGQPC Uthmanic Script HAFS" w:cs="KFGQPC Uthmanic Script HAFS" w:hint="cs"/>
          <w:sz w:val="28"/>
          <w:szCs w:val="28"/>
          <w:rtl/>
        </w:rPr>
        <w:t>ٰ</w:t>
      </w:r>
      <w:r w:rsidR="00B06788" w:rsidRPr="0067048A">
        <w:rPr>
          <w:rFonts w:ascii="KFGQPC Uthmanic Script HAFS" w:cs="KFGQPC Uthmanic Script HAFS" w:hint="eastAsia"/>
          <w:sz w:val="28"/>
          <w:szCs w:val="28"/>
          <w:rtl/>
        </w:rPr>
        <w:t>تِهِ</w:t>
      </w:r>
      <w:r w:rsidR="00B06788" w:rsidRPr="0067048A">
        <w:rPr>
          <w:rFonts w:ascii="KFGQPC Uthmanic Script HAFS" w:cs="KFGQPC Uthmanic Script HAFS" w:hint="cs"/>
          <w:sz w:val="28"/>
          <w:szCs w:val="28"/>
          <w:rtl/>
        </w:rPr>
        <w:t>ۦ</w:t>
      </w:r>
      <w:r w:rsidR="00B06788" w:rsidRPr="0067048A">
        <w:rPr>
          <w:rFonts w:ascii="KFGQPC Uthmanic Script HAFS" w:cs="KFGQPC Uthmanic Script HAFS"/>
          <w:sz w:val="28"/>
          <w:szCs w:val="28"/>
          <w:rtl/>
        </w:rPr>
        <w:t xml:space="preserve"> </w:t>
      </w:r>
      <w:r w:rsidR="00B06788" w:rsidRPr="0067048A">
        <w:rPr>
          <w:rFonts w:ascii="KFGQPC Uthmanic Script HAFS" w:cs="KFGQPC Uthmanic Script HAFS" w:hint="eastAsia"/>
          <w:sz w:val="28"/>
          <w:szCs w:val="28"/>
          <w:rtl/>
        </w:rPr>
        <w:t>يُؤ</w:t>
      </w:r>
      <w:r w:rsidR="00B06788" w:rsidRPr="0067048A">
        <w:rPr>
          <w:rFonts w:ascii="KFGQPC Uthmanic Script HAFS" w:cs="KFGQPC Uthmanic Script HAFS" w:hint="cs"/>
          <w:sz w:val="28"/>
          <w:szCs w:val="28"/>
          <w:rtl/>
        </w:rPr>
        <w:t>ۡ</w:t>
      </w:r>
      <w:r w:rsidR="00B06788" w:rsidRPr="0067048A">
        <w:rPr>
          <w:rFonts w:ascii="KFGQPC Uthmanic Script HAFS" w:cs="KFGQPC Uthmanic Script HAFS" w:hint="eastAsia"/>
          <w:sz w:val="28"/>
          <w:szCs w:val="28"/>
          <w:rtl/>
        </w:rPr>
        <w:t>مِنُونَ</w:t>
      </w:r>
      <w:r w:rsidR="00B06788" w:rsidRPr="00995B26">
        <w:rPr>
          <w:rFonts w:ascii="Abo-thar" w:hAnsi="Abo-thar" w:cs="Traditional Arabic" w:hint="cs"/>
          <w:sz w:val="28"/>
          <w:rtl/>
          <w:lang w:bidi="ar-SY"/>
        </w:rPr>
        <w:t>﴾</w:t>
      </w:r>
      <w:r w:rsidRPr="00995B26">
        <w:rPr>
          <w:rFonts w:ascii="Abo-thar" w:hAnsi="Abo-thar"/>
          <w:sz w:val="28"/>
          <w:rtl/>
        </w:rPr>
        <w:t xml:space="preserve"> </w:t>
      </w:r>
      <w:r w:rsidRPr="003108CB">
        <w:rPr>
          <w:rStyle w:val="Char2"/>
          <w:rtl/>
        </w:rPr>
        <w:t>[الجاثية</w:t>
      </w:r>
      <w:r w:rsidR="00B06788" w:rsidRPr="003108CB">
        <w:rPr>
          <w:rStyle w:val="Char2"/>
          <w:rFonts w:hint="cs"/>
          <w:rtl/>
        </w:rPr>
        <w:t xml:space="preserve">: </w:t>
      </w:r>
      <w:r w:rsidRPr="003108CB">
        <w:rPr>
          <w:rStyle w:val="Char2"/>
          <w:rtl/>
        </w:rPr>
        <w:t>6]</w:t>
      </w:r>
      <w:r w:rsidR="00217AB4" w:rsidRPr="00995B26">
        <w:rPr>
          <w:rFonts w:ascii="Abo-thar" w:hAnsi="Abo-thar" w:hint="cs"/>
          <w:sz w:val="28"/>
          <w:rtl/>
        </w:rPr>
        <w:t>.</w:t>
      </w:r>
    </w:p>
    <w:p w:rsidR="005C664D" w:rsidRPr="003F3B94" w:rsidRDefault="005C664D" w:rsidP="003F3B94">
      <w:pPr>
        <w:pStyle w:val="a0"/>
        <w:rPr>
          <w:rFonts w:hint="cs"/>
          <w:rtl/>
        </w:rPr>
      </w:pPr>
      <w:r w:rsidRPr="003F3B94">
        <w:rPr>
          <w:rFonts w:ascii="Abo-thar" w:hAnsi="Abo-thar" w:hint="cs"/>
          <w:sz w:val="28"/>
          <w:rtl/>
        </w:rPr>
        <w:t>إن كتاب الله يقرِّر في أكثر من 29 آية مباركة أن ما في السموات والأرض ملك لِـلَّهِ وحده وأنه خلقها وسخرها لجميع الأنام وللناس كافة</w:t>
      </w:r>
      <w:r w:rsidR="00217AB4" w:rsidRPr="003F3B94">
        <w:rPr>
          <w:rFonts w:ascii="Abo-thar" w:hAnsi="Abo-thar" w:hint="cs"/>
          <w:sz w:val="28"/>
          <w:rtl/>
        </w:rPr>
        <w:t>:</w:t>
      </w:r>
      <w:r w:rsidRPr="003F3B94">
        <w:rPr>
          <w:rFonts w:ascii="Abo-thar" w:hAnsi="Abo-thar" w:hint="cs"/>
          <w:sz w:val="28"/>
          <w:rtl/>
        </w:rPr>
        <w:t xml:space="preserve"> </w:t>
      </w:r>
    </w:p>
    <w:p w:rsidR="005C664D" w:rsidRPr="003F3B94" w:rsidRDefault="00B06788" w:rsidP="009E1401">
      <w:pPr>
        <w:pStyle w:val="a0"/>
        <w:ind w:left="284" w:firstLine="0"/>
        <w:rPr>
          <w:rFonts w:hint="cs"/>
          <w:rtl/>
        </w:rPr>
      </w:pPr>
      <w:r w:rsidRPr="00995B26">
        <w:rPr>
          <w:rFonts w:ascii="Abo-thar" w:hAnsi="Abo-thar" w:cs="Traditional Arabic" w:hint="cs"/>
          <w:sz w:val="28"/>
          <w:rtl/>
        </w:rPr>
        <w:t>﴿</w:t>
      </w:r>
      <w:r w:rsidRPr="0067048A">
        <w:rPr>
          <w:rFonts w:ascii="KFGQPC Uthmanic Script HAFS" w:cs="KFGQPC Uthmanic Script HAFS" w:hint="eastAsia"/>
          <w:sz w:val="28"/>
          <w:szCs w:val="28"/>
          <w:rtl/>
        </w:rPr>
        <w:t>لَقَد</w:t>
      </w:r>
      <w:r w:rsidRPr="0067048A">
        <w:rPr>
          <w:rFonts w:ascii="KFGQPC Uthmanic Script HAFS" w:cs="KFGQPC Uthmanic Script HAFS" w:hint="cs"/>
          <w:sz w:val="28"/>
          <w:szCs w:val="28"/>
          <w:rtl/>
        </w:rPr>
        <w:t>ۡ</w:t>
      </w:r>
      <w:r w:rsidRPr="0067048A">
        <w:rPr>
          <w:rFonts w:ascii="KFGQPC Uthmanic Script HAFS" w:cs="KFGQPC Uthmanic Script HAFS"/>
          <w:sz w:val="28"/>
          <w:szCs w:val="28"/>
          <w:rtl/>
        </w:rPr>
        <w:t xml:space="preserve"> </w:t>
      </w:r>
      <w:r w:rsidRPr="0067048A">
        <w:rPr>
          <w:rFonts w:ascii="KFGQPC Uthmanic Script HAFS" w:cs="KFGQPC Uthmanic Script HAFS" w:hint="eastAsia"/>
          <w:sz w:val="28"/>
          <w:szCs w:val="28"/>
          <w:rtl/>
        </w:rPr>
        <w:t>أَر</w:t>
      </w:r>
      <w:r w:rsidRPr="0067048A">
        <w:rPr>
          <w:rFonts w:ascii="KFGQPC Uthmanic Script HAFS" w:cs="KFGQPC Uthmanic Script HAFS" w:hint="cs"/>
          <w:sz w:val="28"/>
          <w:szCs w:val="28"/>
          <w:rtl/>
        </w:rPr>
        <w:t>ۡ</w:t>
      </w:r>
      <w:r w:rsidRPr="0067048A">
        <w:rPr>
          <w:rFonts w:ascii="KFGQPC Uthmanic Script HAFS" w:cs="KFGQPC Uthmanic Script HAFS" w:hint="eastAsia"/>
          <w:sz w:val="28"/>
          <w:szCs w:val="28"/>
          <w:rtl/>
        </w:rPr>
        <w:t>سَل</w:t>
      </w:r>
      <w:r w:rsidRPr="0067048A">
        <w:rPr>
          <w:rFonts w:ascii="KFGQPC Uthmanic Script HAFS" w:cs="KFGQPC Uthmanic Script HAFS" w:hint="cs"/>
          <w:sz w:val="28"/>
          <w:szCs w:val="28"/>
          <w:rtl/>
        </w:rPr>
        <w:t>ۡ</w:t>
      </w:r>
      <w:r w:rsidRPr="0067048A">
        <w:rPr>
          <w:rFonts w:ascii="KFGQPC Uthmanic Script HAFS" w:cs="KFGQPC Uthmanic Script HAFS" w:hint="eastAsia"/>
          <w:sz w:val="28"/>
          <w:szCs w:val="28"/>
          <w:rtl/>
        </w:rPr>
        <w:t>نَا</w:t>
      </w:r>
      <w:r w:rsidRPr="0067048A">
        <w:rPr>
          <w:rFonts w:ascii="KFGQPC Uthmanic Script HAFS" w:cs="KFGQPC Uthmanic Script HAFS"/>
          <w:sz w:val="28"/>
          <w:szCs w:val="28"/>
          <w:rtl/>
        </w:rPr>
        <w:t xml:space="preserve"> </w:t>
      </w:r>
      <w:r w:rsidRPr="0067048A">
        <w:rPr>
          <w:rFonts w:ascii="KFGQPC Uthmanic Script HAFS" w:cs="KFGQPC Uthmanic Script HAFS" w:hint="eastAsia"/>
          <w:sz w:val="28"/>
          <w:szCs w:val="28"/>
          <w:rtl/>
        </w:rPr>
        <w:t>رُسُلَنَا</w:t>
      </w:r>
      <w:r w:rsidRPr="0067048A">
        <w:rPr>
          <w:rFonts w:ascii="KFGQPC Uthmanic Script HAFS" w:cs="KFGQPC Uthmanic Script HAFS"/>
          <w:sz w:val="28"/>
          <w:szCs w:val="28"/>
          <w:rtl/>
        </w:rPr>
        <w:t xml:space="preserve"> </w:t>
      </w:r>
      <w:r w:rsidRPr="0067048A">
        <w:rPr>
          <w:rFonts w:ascii="KFGQPC Uthmanic Script HAFS" w:cs="KFGQPC Uthmanic Script HAFS" w:hint="eastAsia"/>
          <w:sz w:val="28"/>
          <w:szCs w:val="28"/>
          <w:rtl/>
        </w:rPr>
        <w:t>بِ</w:t>
      </w:r>
      <w:r w:rsidRPr="0067048A">
        <w:rPr>
          <w:rFonts w:ascii="KFGQPC Uthmanic Script HAFS" w:cs="KFGQPC Uthmanic Script HAFS" w:hint="cs"/>
          <w:sz w:val="28"/>
          <w:szCs w:val="28"/>
          <w:rtl/>
        </w:rPr>
        <w:t>ٱ</w:t>
      </w:r>
      <w:r w:rsidRPr="0067048A">
        <w:rPr>
          <w:rFonts w:ascii="KFGQPC Uthmanic Script HAFS" w:cs="KFGQPC Uthmanic Script HAFS" w:hint="eastAsia"/>
          <w:sz w:val="28"/>
          <w:szCs w:val="28"/>
          <w:rtl/>
        </w:rPr>
        <w:t>ل</w:t>
      </w:r>
      <w:r w:rsidRPr="0067048A">
        <w:rPr>
          <w:rFonts w:ascii="KFGQPC Uthmanic Script HAFS" w:cs="KFGQPC Uthmanic Script HAFS" w:hint="cs"/>
          <w:sz w:val="28"/>
          <w:szCs w:val="28"/>
          <w:rtl/>
        </w:rPr>
        <w:t>ۡ</w:t>
      </w:r>
      <w:r w:rsidRPr="0067048A">
        <w:rPr>
          <w:rFonts w:ascii="KFGQPC Uthmanic Script HAFS" w:cs="KFGQPC Uthmanic Script HAFS" w:hint="eastAsia"/>
          <w:sz w:val="28"/>
          <w:szCs w:val="28"/>
          <w:rtl/>
        </w:rPr>
        <w:t>بَيِّنَ</w:t>
      </w:r>
      <w:r w:rsidRPr="0067048A">
        <w:rPr>
          <w:rFonts w:ascii="KFGQPC Uthmanic Script HAFS" w:cs="KFGQPC Uthmanic Script HAFS" w:hint="cs"/>
          <w:sz w:val="28"/>
          <w:szCs w:val="28"/>
          <w:rtl/>
        </w:rPr>
        <w:t>ٰ</w:t>
      </w:r>
      <w:r w:rsidRPr="0067048A">
        <w:rPr>
          <w:rFonts w:ascii="KFGQPC Uthmanic Script HAFS" w:cs="KFGQPC Uthmanic Script HAFS" w:hint="eastAsia"/>
          <w:sz w:val="28"/>
          <w:szCs w:val="28"/>
          <w:rtl/>
        </w:rPr>
        <w:t>تِ</w:t>
      </w:r>
      <w:r w:rsidRPr="0067048A">
        <w:rPr>
          <w:rFonts w:ascii="KFGQPC Uthmanic Script HAFS" w:cs="KFGQPC Uthmanic Script HAFS"/>
          <w:sz w:val="28"/>
          <w:szCs w:val="28"/>
          <w:rtl/>
        </w:rPr>
        <w:t xml:space="preserve"> </w:t>
      </w:r>
      <w:r w:rsidRPr="0067048A">
        <w:rPr>
          <w:rFonts w:ascii="KFGQPC Uthmanic Script HAFS" w:cs="KFGQPC Uthmanic Script HAFS" w:hint="eastAsia"/>
          <w:sz w:val="28"/>
          <w:szCs w:val="28"/>
          <w:rtl/>
        </w:rPr>
        <w:t>وَأَنزَل</w:t>
      </w:r>
      <w:r w:rsidRPr="0067048A">
        <w:rPr>
          <w:rFonts w:ascii="KFGQPC Uthmanic Script HAFS" w:cs="KFGQPC Uthmanic Script HAFS" w:hint="cs"/>
          <w:sz w:val="28"/>
          <w:szCs w:val="28"/>
          <w:rtl/>
        </w:rPr>
        <w:t>ۡ</w:t>
      </w:r>
      <w:r w:rsidRPr="0067048A">
        <w:rPr>
          <w:rFonts w:ascii="KFGQPC Uthmanic Script HAFS" w:cs="KFGQPC Uthmanic Script HAFS" w:hint="eastAsia"/>
          <w:sz w:val="28"/>
          <w:szCs w:val="28"/>
          <w:rtl/>
        </w:rPr>
        <w:t>نَا</w:t>
      </w:r>
      <w:r w:rsidRPr="0067048A">
        <w:rPr>
          <w:rFonts w:ascii="KFGQPC Uthmanic Script HAFS" w:cs="KFGQPC Uthmanic Script HAFS"/>
          <w:sz w:val="28"/>
          <w:szCs w:val="28"/>
          <w:rtl/>
        </w:rPr>
        <w:t xml:space="preserve"> </w:t>
      </w:r>
      <w:r w:rsidRPr="0067048A">
        <w:rPr>
          <w:rFonts w:ascii="KFGQPC Uthmanic Script HAFS" w:cs="KFGQPC Uthmanic Script HAFS" w:hint="eastAsia"/>
          <w:sz w:val="28"/>
          <w:szCs w:val="28"/>
          <w:rtl/>
        </w:rPr>
        <w:t>مَعَهُمُ</w:t>
      </w:r>
      <w:r w:rsidRPr="0067048A">
        <w:rPr>
          <w:rFonts w:ascii="KFGQPC Uthmanic Script HAFS" w:cs="KFGQPC Uthmanic Script HAFS"/>
          <w:sz w:val="28"/>
          <w:szCs w:val="28"/>
          <w:rtl/>
        </w:rPr>
        <w:t xml:space="preserve"> </w:t>
      </w:r>
      <w:r w:rsidRPr="0067048A">
        <w:rPr>
          <w:rFonts w:ascii="KFGQPC Uthmanic Script HAFS" w:cs="KFGQPC Uthmanic Script HAFS" w:hint="cs"/>
          <w:sz w:val="28"/>
          <w:szCs w:val="28"/>
          <w:rtl/>
        </w:rPr>
        <w:t>ٱ</w:t>
      </w:r>
      <w:r w:rsidRPr="0067048A">
        <w:rPr>
          <w:rFonts w:ascii="KFGQPC Uthmanic Script HAFS" w:cs="KFGQPC Uthmanic Script HAFS" w:hint="eastAsia"/>
          <w:sz w:val="28"/>
          <w:szCs w:val="28"/>
          <w:rtl/>
        </w:rPr>
        <w:t>ل</w:t>
      </w:r>
      <w:r w:rsidRPr="0067048A">
        <w:rPr>
          <w:rFonts w:ascii="KFGQPC Uthmanic Script HAFS" w:cs="KFGQPC Uthmanic Script HAFS" w:hint="cs"/>
          <w:sz w:val="28"/>
          <w:szCs w:val="28"/>
          <w:rtl/>
        </w:rPr>
        <w:t>ۡ</w:t>
      </w:r>
      <w:r w:rsidRPr="0067048A">
        <w:rPr>
          <w:rFonts w:ascii="KFGQPC Uthmanic Script HAFS" w:cs="KFGQPC Uthmanic Script HAFS" w:hint="eastAsia"/>
          <w:sz w:val="28"/>
          <w:szCs w:val="28"/>
          <w:rtl/>
        </w:rPr>
        <w:t>كِتَ</w:t>
      </w:r>
      <w:r w:rsidRPr="0067048A">
        <w:rPr>
          <w:rFonts w:ascii="KFGQPC Uthmanic Script HAFS" w:cs="KFGQPC Uthmanic Script HAFS" w:hint="cs"/>
          <w:sz w:val="28"/>
          <w:szCs w:val="28"/>
          <w:rtl/>
        </w:rPr>
        <w:t>ٰ</w:t>
      </w:r>
      <w:r w:rsidRPr="0067048A">
        <w:rPr>
          <w:rFonts w:ascii="KFGQPC Uthmanic Script HAFS" w:cs="KFGQPC Uthmanic Script HAFS" w:hint="eastAsia"/>
          <w:sz w:val="28"/>
          <w:szCs w:val="28"/>
          <w:rtl/>
        </w:rPr>
        <w:t>بَ</w:t>
      </w:r>
      <w:r w:rsidRPr="0067048A">
        <w:rPr>
          <w:rFonts w:ascii="KFGQPC Uthmanic Script HAFS" w:cs="KFGQPC Uthmanic Script HAFS"/>
          <w:sz w:val="28"/>
          <w:szCs w:val="28"/>
          <w:rtl/>
        </w:rPr>
        <w:t xml:space="preserve"> </w:t>
      </w:r>
      <w:r w:rsidRPr="0067048A">
        <w:rPr>
          <w:rFonts w:ascii="KFGQPC Uthmanic Script HAFS" w:cs="KFGQPC Uthmanic Script HAFS" w:hint="eastAsia"/>
          <w:sz w:val="28"/>
          <w:szCs w:val="28"/>
          <w:rtl/>
        </w:rPr>
        <w:t>وَ</w:t>
      </w:r>
      <w:r w:rsidRPr="0067048A">
        <w:rPr>
          <w:rFonts w:ascii="KFGQPC Uthmanic Script HAFS" w:cs="KFGQPC Uthmanic Script HAFS" w:hint="cs"/>
          <w:sz w:val="28"/>
          <w:szCs w:val="28"/>
          <w:rtl/>
        </w:rPr>
        <w:t>ٱ</w:t>
      </w:r>
      <w:r w:rsidRPr="0067048A">
        <w:rPr>
          <w:rFonts w:ascii="KFGQPC Uthmanic Script HAFS" w:cs="KFGQPC Uthmanic Script HAFS" w:hint="eastAsia"/>
          <w:sz w:val="28"/>
          <w:szCs w:val="28"/>
          <w:rtl/>
        </w:rPr>
        <w:t>ل</w:t>
      </w:r>
      <w:r w:rsidRPr="0067048A">
        <w:rPr>
          <w:rFonts w:ascii="KFGQPC Uthmanic Script HAFS" w:cs="KFGQPC Uthmanic Script HAFS" w:hint="cs"/>
          <w:sz w:val="28"/>
          <w:szCs w:val="28"/>
          <w:rtl/>
        </w:rPr>
        <w:t>ۡ</w:t>
      </w:r>
      <w:r w:rsidRPr="0067048A">
        <w:rPr>
          <w:rFonts w:ascii="KFGQPC Uthmanic Script HAFS" w:cs="KFGQPC Uthmanic Script HAFS" w:hint="eastAsia"/>
          <w:sz w:val="28"/>
          <w:szCs w:val="28"/>
          <w:rtl/>
        </w:rPr>
        <w:t>مِيزَانَ</w:t>
      </w:r>
      <w:r w:rsidRPr="0067048A">
        <w:rPr>
          <w:rFonts w:ascii="KFGQPC Uthmanic Script HAFS" w:cs="KFGQPC Uthmanic Script HAFS"/>
          <w:sz w:val="28"/>
          <w:szCs w:val="28"/>
          <w:rtl/>
        </w:rPr>
        <w:t xml:space="preserve"> </w:t>
      </w:r>
      <w:r w:rsidRPr="0067048A">
        <w:rPr>
          <w:rFonts w:ascii="KFGQPC Uthmanic Script HAFS" w:cs="KFGQPC Uthmanic Script HAFS" w:hint="eastAsia"/>
          <w:sz w:val="28"/>
          <w:szCs w:val="28"/>
          <w:rtl/>
        </w:rPr>
        <w:t>لِيَقُومَ</w:t>
      </w:r>
      <w:r w:rsidRPr="0067048A">
        <w:rPr>
          <w:rFonts w:ascii="KFGQPC Uthmanic Script HAFS" w:cs="KFGQPC Uthmanic Script HAFS"/>
          <w:sz w:val="28"/>
          <w:szCs w:val="28"/>
          <w:rtl/>
        </w:rPr>
        <w:t xml:space="preserve"> </w:t>
      </w:r>
      <w:r w:rsidRPr="0067048A">
        <w:rPr>
          <w:rFonts w:ascii="KFGQPC Uthmanic Script HAFS" w:cs="KFGQPC Uthmanic Script HAFS" w:hint="cs"/>
          <w:sz w:val="28"/>
          <w:szCs w:val="28"/>
          <w:rtl/>
        </w:rPr>
        <w:t>ٱ</w:t>
      </w:r>
      <w:r w:rsidRPr="0067048A">
        <w:rPr>
          <w:rFonts w:ascii="KFGQPC Uthmanic Script HAFS" w:cs="KFGQPC Uthmanic Script HAFS" w:hint="eastAsia"/>
          <w:sz w:val="28"/>
          <w:szCs w:val="28"/>
          <w:rtl/>
        </w:rPr>
        <w:t>لنَّاسُ</w:t>
      </w:r>
      <w:r w:rsidRPr="0067048A">
        <w:rPr>
          <w:rFonts w:ascii="KFGQPC Uthmanic Script HAFS" w:cs="KFGQPC Uthmanic Script HAFS"/>
          <w:sz w:val="28"/>
          <w:szCs w:val="28"/>
          <w:rtl/>
        </w:rPr>
        <w:t xml:space="preserve"> </w:t>
      </w:r>
      <w:r w:rsidRPr="0067048A">
        <w:rPr>
          <w:rFonts w:ascii="KFGQPC Uthmanic Script HAFS" w:cs="KFGQPC Uthmanic Script HAFS" w:hint="eastAsia"/>
          <w:sz w:val="28"/>
          <w:szCs w:val="28"/>
          <w:rtl/>
        </w:rPr>
        <w:t>بِ</w:t>
      </w:r>
      <w:r w:rsidRPr="0067048A">
        <w:rPr>
          <w:rFonts w:ascii="KFGQPC Uthmanic Script HAFS" w:cs="KFGQPC Uthmanic Script HAFS" w:hint="cs"/>
          <w:sz w:val="28"/>
          <w:szCs w:val="28"/>
          <w:rtl/>
        </w:rPr>
        <w:t>ٱ</w:t>
      </w:r>
      <w:r w:rsidRPr="0067048A">
        <w:rPr>
          <w:rFonts w:ascii="KFGQPC Uthmanic Script HAFS" w:cs="KFGQPC Uthmanic Script HAFS" w:hint="eastAsia"/>
          <w:sz w:val="28"/>
          <w:szCs w:val="28"/>
          <w:rtl/>
        </w:rPr>
        <w:t>ل</w:t>
      </w:r>
      <w:r w:rsidRPr="0067048A">
        <w:rPr>
          <w:rFonts w:ascii="KFGQPC Uthmanic Script HAFS" w:cs="KFGQPC Uthmanic Script HAFS" w:hint="cs"/>
          <w:sz w:val="28"/>
          <w:szCs w:val="28"/>
          <w:rtl/>
        </w:rPr>
        <w:t>ۡ</w:t>
      </w:r>
      <w:r w:rsidRPr="0067048A">
        <w:rPr>
          <w:rFonts w:ascii="KFGQPC Uthmanic Script HAFS" w:cs="KFGQPC Uthmanic Script HAFS" w:hint="eastAsia"/>
          <w:sz w:val="28"/>
          <w:szCs w:val="28"/>
          <w:rtl/>
        </w:rPr>
        <w:t>قِس</w:t>
      </w:r>
      <w:r w:rsidRPr="0067048A">
        <w:rPr>
          <w:rFonts w:ascii="KFGQPC Uthmanic Script HAFS" w:cs="KFGQPC Uthmanic Script HAFS" w:hint="cs"/>
          <w:sz w:val="28"/>
          <w:szCs w:val="28"/>
          <w:rtl/>
        </w:rPr>
        <w:t>ۡ</w:t>
      </w:r>
      <w:r w:rsidRPr="0067048A">
        <w:rPr>
          <w:rFonts w:ascii="KFGQPC Uthmanic Script HAFS" w:cs="KFGQPC Uthmanic Script HAFS" w:hint="eastAsia"/>
          <w:sz w:val="28"/>
          <w:szCs w:val="28"/>
          <w:rtl/>
        </w:rPr>
        <w:t>طِ</w:t>
      </w:r>
      <w:r w:rsidRPr="00995B26">
        <w:rPr>
          <w:rFonts w:ascii="Abo-thar" w:hAnsi="Abo-thar" w:cs="Traditional Arabic" w:hint="cs"/>
          <w:sz w:val="28"/>
          <w:rtl/>
        </w:rPr>
        <w:t>﴾</w:t>
      </w:r>
      <w:r w:rsidR="005C664D" w:rsidRPr="003F3B94">
        <w:rPr>
          <w:rFonts w:ascii="Abo-thar" w:hAnsi="Abo-thar" w:hint="cs"/>
          <w:sz w:val="28"/>
          <w:rtl/>
        </w:rPr>
        <w:t xml:space="preserve"> </w:t>
      </w:r>
      <w:r w:rsidR="005C664D" w:rsidRPr="003108CB">
        <w:rPr>
          <w:rStyle w:val="Char2"/>
          <w:rFonts w:hint="cs"/>
          <w:rtl/>
        </w:rPr>
        <w:t>[الحديد</w:t>
      </w:r>
      <w:r w:rsidRPr="003108CB">
        <w:rPr>
          <w:rStyle w:val="Char2"/>
          <w:rFonts w:hint="cs"/>
          <w:rtl/>
        </w:rPr>
        <w:t xml:space="preserve">: </w:t>
      </w:r>
      <w:r w:rsidR="005C664D" w:rsidRPr="003108CB">
        <w:rPr>
          <w:rStyle w:val="Char2"/>
          <w:rFonts w:hint="cs"/>
          <w:rtl/>
        </w:rPr>
        <w:t>25</w:t>
      </w:r>
      <w:r w:rsidRPr="003108CB">
        <w:rPr>
          <w:rStyle w:val="Char2"/>
          <w:rFonts w:hint="cs"/>
          <w:rtl/>
        </w:rPr>
        <w:t>]</w:t>
      </w:r>
      <w:r w:rsidR="00217AB4" w:rsidRPr="003F3B94">
        <w:rPr>
          <w:rFonts w:ascii="Abo-thar" w:hAnsi="Abo-thar" w:hint="cs"/>
          <w:sz w:val="28"/>
          <w:rtl/>
        </w:rPr>
        <w:t>.</w:t>
      </w:r>
    </w:p>
    <w:p w:rsidR="005C664D" w:rsidRPr="003F3B94" w:rsidRDefault="00B06788" w:rsidP="003F3B94">
      <w:pPr>
        <w:pStyle w:val="a0"/>
        <w:rPr>
          <w:rFonts w:hint="cs"/>
          <w:rtl/>
        </w:rPr>
      </w:pPr>
      <w:r w:rsidRPr="00995B26">
        <w:rPr>
          <w:rFonts w:ascii="Abo-thar" w:hAnsi="Abo-thar" w:cs="Traditional Arabic" w:hint="cs"/>
          <w:sz w:val="28"/>
          <w:rtl/>
        </w:rPr>
        <w:t>﴿</w:t>
      </w:r>
      <w:r w:rsidRPr="0067048A">
        <w:rPr>
          <w:rFonts w:ascii="KFGQPC Uthmanic Script HAFS" w:cs="KFGQPC Uthmanic Script HAFS" w:hint="eastAsia"/>
          <w:sz w:val="28"/>
          <w:szCs w:val="28"/>
          <w:rtl/>
        </w:rPr>
        <w:t>هُوَ</w:t>
      </w:r>
      <w:r w:rsidRPr="0067048A">
        <w:rPr>
          <w:rFonts w:ascii="KFGQPC Uthmanic Script HAFS" w:cs="KFGQPC Uthmanic Script HAFS"/>
          <w:sz w:val="28"/>
          <w:szCs w:val="28"/>
          <w:rtl/>
        </w:rPr>
        <w:t xml:space="preserve"> </w:t>
      </w:r>
      <w:r w:rsidRPr="0067048A">
        <w:rPr>
          <w:rFonts w:ascii="KFGQPC Uthmanic Script HAFS" w:cs="KFGQPC Uthmanic Script HAFS" w:hint="cs"/>
          <w:sz w:val="28"/>
          <w:szCs w:val="28"/>
          <w:rtl/>
        </w:rPr>
        <w:t>ٱ</w:t>
      </w:r>
      <w:r w:rsidRPr="0067048A">
        <w:rPr>
          <w:rFonts w:ascii="KFGQPC Uthmanic Script HAFS" w:cs="KFGQPC Uthmanic Script HAFS" w:hint="eastAsia"/>
          <w:sz w:val="28"/>
          <w:szCs w:val="28"/>
          <w:rtl/>
        </w:rPr>
        <w:t>لَّذِي</w:t>
      </w:r>
      <w:r w:rsidRPr="0067048A">
        <w:rPr>
          <w:rFonts w:ascii="KFGQPC Uthmanic Script HAFS" w:cs="KFGQPC Uthmanic Script HAFS"/>
          <w:sz w:val="28"/>
          <w:szCs w:val="28"/>
          <w:rtl/>
        </w:rPr>
        <w:t xml:space="preserve"> </w:t>
      </w:r>
      <w:r w:rsidRPr="0067048A">
        <w:rPr>
          <w:rFonts w:ascii="KFGQPC Uthmanic Script HAFS" w:cs="KFGQPC Uthmanic Script HAFS" w:hint="eastAsia"/>
          <w:sz w:val="28"/>
          <w:szCs w:val="28"/>
          <w:rtl/>
        </w:rPr>
        <w:t>خَلَقَ</w:t>
      </w:r>
      <w:r w:rsidRPr="0067048A">
        <w:rPr>
          <w:rFonts w:ascii="KFGQPC Uthmanic Script HAFS" w:cs="KFGQPC Uthmanic Script HAFS"/>
          <w:sz w:val="28"/>
          <w:szCs w:val="28"/>
          <w:rtl/>
        </w:rPr>
        <w:t xml:space="preserve"> </w:t>
      </w:r>
      <w:r w:rsidRPr="0067048A">
        <w:rPr>
          <w:rFonts w:ascii="KFGQPC Uthmanic Script HAFS" w:cs="KFGQPC Uthmanic Script HAFS" w:hint="eastAsia"/>
          <w:sz w:val="28"/>
          <w:szCs w:val="28"/>
          <w:rtl/>
        </w:rPr>
        <w:t>لَكُم</w:t>
      </w:r>
      <w:r w:rsidRPr="0067048A">
        <w:rPr>
          <w:rFonts w:ascii="KFGQPC Uthmanic Script HAFS" w:cs="KFGQPC Uthmanic Script HAFS"/>
          <w:sz w:val="28"/>
          <w:szCs w:val="28"/>
          <w:rtl/>
        </w:rPr>
        <w:t xml:space="preserve"> </w:t>
      </w:r>
      <w:r w:rsidRPr="0067048A">
        <w:rPr>
          <w:rFonts w:ascii="KFGQPC Uthmanic Script HAFS" w:cs="KFGQPC Uthmanic Script HAFS" w:hint="eastAsia"/>
          <w:sz w:val="28"/>
          <w:szCs w:val="28"/>
          <w:rtl/>
        </w:rPr>
        <w:t>مَّا</w:t>
      </w:r>
      <w:r w:rsidRPr="0067048A">
        <w:rPr>
          <w:rFonts w:ascii="KFGQPC Uthmanic Script HAFS" w:cs="KFGQPC Uthmanic Script HAFS"/>
          <w:sz w:val="28"/>
          <w:szCs w:val="28"/>
          <w:rtl/>
        </w:rPr>
        <w:t xml:space="preserve"> </w:t>
      </w:r>
      <w:r w:rsidRPr="0067048A">
        <w:rPr>
          <w:rFonts w:ascii="KFGQPC Uthmanic Script HAFS" w:cs="KFGQPC Uthmanic Script HAFS" w:hint="eastAsia"/>
          <w:sz w:val="28"/>
          <w:szCs w:val="28"/>
          <w:rtl/>
        </w:rPr>
        <w:t>فِي</w:t>
      </w:r>
      <w:r w:rsidRPr="0067048A">
        <w:rPr>
          <w:rFonts w:ascii="KFGQPC Uthmanic Script HAFS" w:cs="KFGQPC Uthmanic Script HAFS"/>
          <w:sz w:val="28"/>
          <w:szCs w:val="28"/>
          <w:rtl/>
        </w:rPr>
        <w:t xml:space="preserve"> </w:t>
      </w:r>
      <w:r w:rsidRPr="0067048A">
        <w:rPr>
          <w:rFonts w:ascii="KFGQPC Uthmanic Script HAFS" w:cs="KFGQPC Uthmanic Script HAFS" w:hint="cs"/>
          <w:sz w:val="28"/>
          <w:szCs w:val="28"/>
          <w:rtl/>
        </w:rPr>
        <w:t>ٱ</w:t>
      </w:r>
      <w:r w:rsidRPr="0067048A">
        <w:rPr>
          <w:rFonts w:ascii="KFGQPC Uthmanic Script HAFS" w:cs="KFGQPC Uthmanic Script HAFS" w:hint="eastAsia"/>
          <w:sz w:val="28"/>
          <w:szCs w:val="28"/>
          <w:rtl/>
        </w:rPr>
        <w:t>ل</w:t>
      </w:r>
      <w:r w:rsidRPr="0067048A">
        <w:rPr>
          <w:rFonts w:ascii="KFGQPC Uthmanic Script HAFS" w:cs="KFGQPC Uthmanic Script HAFS" w:hint="cs"/>
          <w:sz w:val="28"/>
          <w:szCs w:val="28"/>
          <w:rtl/>
        </w:rPr>
        <w:t>ۡ</w:t>
      </w:r>
      <w:r w:rsidRPr="0067048A">
        <w:rPr>
          <w:rFonts w:ascii="KFGQPC Uthmanic Script HAFS" w:cs="KFGQPC Uthmanic Script HAFS" w:hint="eastAsia"/>
          <w:sz w:val="28"/>
          <w:szCs w:val="28"/>
          <w:rtl/>
        </w:rPr>
        <w:t>أَر</w:t>
      </w:r>
      <w:r w:rsidRPr="0067048A">
        <w:rPr>
          <w:rFonts w:ascii="KFGQPC Uthmanic Script HAFS" w:cs="KFGQPC Uthmanic Script HAFS" w:hint="cs"/>
          <w:sz w:val="28"/>
          <w:szCs w:val="28"/>
          <w:rtl/>
        </w:rPr>
        <w:t>ۡ</w:t>
      </w:r>
      <w:r w:rsidRPr="0067048A">
        <w:rPr>
          <w:rFonts w:ascii="KFGQPC Uthmanic Script HAFS" w:cs="KFGQPC Uthmanic Script HAFS" w:hint="eastAsia"/>
          <w:sz w:val="28"/>
          <w:szCs w:val="28"/>
          <w:rtl/>
        </w:rPr>
        <w:t>ضِ</w:t>
      </w:r>
      <w:r w:rsidRPr="0067048A">
        <w:rPr>
          <w:rFonts w:ascii="KFGQPC Uthmanic Script HAFS" w:cs="KFGQPC Uthmanic Script HAFS"/>
          <w:sz w:val="28"/>
          <w:szCs w:val="28"/>
          <w:rtl/>
        </w:rPr>
        <w:t xml:space="preserve"> </w:t>
      </w:r>
      <w:r w:rsidRPr="0067048A">
        <w:rPr>
          <w:rFonts w:ascii="KFGQPC Uthmanic Script HAFS" w:cs="KFGQPC Uthmanic Script HAFS" w:hint="eastAsia"/>
          <w:sz w:val="28"/>
          <w:szCs w:val="28"/>
          <w:rtl/>
        </w:rPr>
        <w:t>جَمِيع</w:t>
      </w:r>
      <w:r w:rsidRPr="0067048A">
        <w:rPr>
          <w:rFonts w:ascii="KFGQPC Uthmanic Script HAFS" w:cs="KFGQPC Uthmanic Script HAFS" w:hint="cs"/>
          <w:sz w:val="28"/>
          <w:szCs w:val="28"/>
          <w:rtl/>
        </w:rPr>
        <w:t>ٗ</w:t>
      </w:r>
      <w:r w:rsidRPr="0067048A">
        <w:rPr>
          <w:rFonts w:ascii="KFGQPC Uthmanic Script HAFS" w:cs="KFGQPC Uthmanic Script HAFS" w:hint="eastAsia"/>
          <w:sz w:val="28"/>
          <w:szCs w:val="28"/>
          <w:rtl/>
        </w:rPr>
        <w:t>ا</w:t>
      </w:r>
      <w:r w:rsidRPr="00995B26">
        <w:rPr>
          <w:rFonts w:ascii="Abo-thar" w:hAnsi="Abo-thar" w:cs="Traditional Arabic" w:hint="cs"/>
          <w:sz w:val="28"/>
          <w:rtl/>
        </w:rPr>
        <w:t>﴾</w:t>
      </w:r>
      <w:r w:rsidR="005C664D" w:rsidRPr="003F3B94">
        <w:rPr>
          <w:rFonts w:ascii="Abo-thar" w:hAnsi="Abo-thar" w:hint="cs"/>
          <w:sz w:val="28"/>
          <w:rtl/>
        </w:rPr>
        <w:t xml:space="preserve"> </w:t>
      </w:r>
      <w:r w:rsidR="005C664D" w:rsidRPr="003108CB">
        <w:rPr>
          <w:rStyle w:val="Char2"/>
          <w:rFonts w:hint="cs"/>
          <w:rtl/>
        </w:rPr>
        <w:t>[البقرة</w:t>
      </w:r>
      <w:r w:rsidRPr="003108CB">
        <w:rPr>
          <w:rStyle w:val="Char2"/>
          <w:rFonts w:hint="cs"/>
          <w:rtl/>
        </w:rPr>
        <w:t xml:space="preserve">: </w:t>
      </w:r>
      <w:r w:rsidR="005C664D" w:rsidRPr="003108CB">
        <w:rPr>
          <w:rStyle w:val="Char2"/>
          <w:rFonts w:hint="cs"/>
          <w:rtl/>
        </w:rPr>
        <w:t>29]</w:t>
      </w:r>
      <w:r w:rsidR="00217AB4" w:rsidRPr="003F3B94">
        <w:rPr>
          <w:rFonts w:ascii="Abo-thar" w:hAnsi="Abo-thar" w:hint="cs"/>
          <w:sz w:val="28"/>
          <w:rtl/>
        </w:rPr>
        <w:t>.</w:t>
      </w:r>
    </w:p>
    <w:p w:rsidR="005C664D" w:rsidRPr="003F3B94" w:rsidRDefault="00B06788" w:rsidP="003F3B94">
      <w:pPr>
        <w:pStyle w:val="a0"/>
        <w:rPr>
          <w:rFonts w:hint="cs"/>
          <w:rtl/>
        </w:rPr>
      </w:pPr>
      <w:r w:rsidRPr="00995B26">
        <w:rPr>
          <w:rFonts w:ascii="Abo-thar" w:hAnsi="Abo-thar" w:cs="Traditional Arabic" w:hint="cs"/>
          <w:sz w:val="28"/>
          <w:rtl/>
        </w:rPr>
        <w:t>﴿</w:t>
      </w:r>
      <w:r w:rsidRPr="00995B26">
        <w:rPr>
          <w:rFonts w:ascii="KFGQPC Uthmanic Script HAFS" w:cs="KFGQPC Uthmanic Script HAFS" w:hint="eastAsia"/>
          <w:sz w:val="29"/>
          <w:szCs w:val="29"/>
          <w:rtl/>
        </w:rPr>
        <w:t>وَأَن</w:t>
      </w:r>
      <w:r w:rsidRPr="00995B26">
        <w:rPr>
          <w:rFonts w:ascii="KFGQPC Uthmanic Script HAFS" w:cs="KFGQPC Uthmanic Script HAFS"/>
          <w:sz w:val="29"/>
          <w:szCs w:val="29"/>
          <w:rtl/>
        </w:rPr>
        <w:t xml:space="preserve"> </w:t>
      </w:r>
      <w:r w:rsidRPr="00995B26">
        <w:rPr>
          <w:rFonts w:ascii="KFGQPC Uthmanic Script HAFS" w:cs="KFGQPC Uthmanic Script HAFS" w:hint="eastAsia"/>
          <w:sz w:val="29"/>
          <w:szCs w:val="29"/>
          <w:rtl/>
        </w:rPr>
        <w:t>لَّي</w:t>
      </w:r>
      <w:r w:rsidRPr="00995B26">
        <w:rPr>
          <w:rFonts w:ascii="KFGQPC Uthmanic Script HAFS" w:cs="KFGQPC Uthmanic Script HAFS" w:hint="cs"/>
          <w:sz w:val="29"/>
          <w:szCs w:val="29"/>
          <w:rtl/>
        </w:rPr>
        <w:t>ۡ</w:t>
      </w:r>
      <w:r w:rsidRPr="00995B26">
        <w:rPr>
          <w:rFonts w:ascii="KFGQPC Uthmanic Script HAFS" w:cs="KFGQPC Uthmanic Script HAFS" w:hint="eastAsia"/>
          <w:sz w:val="29"/>
          <w:szCs w:val="29"/>
          <w:rtl/>
        </w:rPr>
        <w:t>سَ</w:t>
      </w:r>
      <w:r w:rsidRPr="00995B26">
        <w:rPr>
          <w:rFonts w:ascii="KFGQPC Uthmanic Script HAFS" w:cs="KFGQPC Uthmanic Script HAFS"/>
          <w:sz w:val="29"/>
          <w:szCs w:val="29"/>
          <w:rtl/>
        </w:rPr>
        <w:t xml:space="preserve"> </w:t>
      </w:r>
      <w:r w:rsidRPr="00995B26">
        <w:rPr>
          <w:rFonts w:ascii="KFGQPC Uthmanic Script HAFS" w:cs="KFGQPC Uthmanic Script HAFS" w:hint="eastAsia"/>
          <w:sz w:val="29"/>
          <w:szCs w:val="29"/>
          <w:rtl/>
        </w:rPr>
        <w:t>لِل</w:t>
      </w:r>
      <w:r w:rsidRPr="00995B26">
        <w:rPr>
          <w:rFonts w:ascii="KFGQPC Uthmanic Script HAFS" w:cs="KFGQPC Uthmanic Script HAFS" w:hint="cs"/>
          <w:sz w:val="29"/>
          <w:szCs w:val="29"/>
          <w:rtl/>
        </w:rPr>
        <w:t>ۡ</w:t>
      </w:r>
      <w:r w:rsidRPr="00995B26">
        <w:rPr>
          <w:rFonts w:ascii="KFGQPC Uthmanic Script HAFS" w:cs="KFGQPC Uthmanic Script HAFS" w:hint="eastAsia"/>
          <w:sz w:val="29"/>
          <w:szCs w:val="29"/>
          <w:rtl/>
        </w:rPr>
        <w:t>إِنسَ</w:t>
      </w:r>
      <w:r w:rsidRPr="00995B26">
        <w:rPr>
          <w:rFonts w:ascii="KFGQPC Uthmanic Script HAFS" w:cs="KFGQPC Uthmanic Script HAFS" w:hint="cs"/>
          <w:sz w:val="29"/>
          <w:szCs w:val="29"/>
          <w:rtl/>
        </w:rPr>
        <w:t>ٰ</w:t>
      </w:r>
      <w:r w:rsidRPr="00995B26">
        <w:rPr>
          <w:rFonts w:ascii="KFGQPC Uthmanic Script HAFS" w:cs="KFGQPC Uthmanic Script HAFS" w:hint="eastAsia"/>
          <w:sz w:val="29"/>
          <w:szCs w:val="29"/>
          <w:rtl/>
        </w:rPr>
        <w:t>نِ</w:t>
      </w:r>
      <w:r w:rsidRPr="00995B26">
        <w:rPr>
          <w:rFonts w:ascii="KFGQPC Uthmanic Script HAFS" w:cs="KFGQPC Uthmanic Script HAFS"/>
          <w:sz w:val="29"/>
          <w:szCs w:val="29"/>
          <w:rtl/>
        </w:rPr>
        <w:t xml:space="preserve"> </w:t>
      </w:r>
      <w:r w:rsidRPr="00995B26">
        <w:rPr>
          <w:rFonts w:ascii="KFGQPC Uthmanic Script HAFS" w:cs="KFGQPC Uthmanic Script HAFS" w:hint="eastAsia"/>
          <w:sz w:val="29"/>
          <w:szCs w:val="29"/>
          <w:rtl/>
        </w:rPr>
        <w:t>إِلَّا</w:t>
      </w:r>
      <w:r w:rsidRPr="00995B26">
        <w:rPr>
          <w:rFonts w:ascii="KFGQPC Uthmanic Script HAFS" w:cs="KFGQPC Uthmanic Script HAFS"/>
          <w:sz w:val="29"/>
          <w:szCs w:val="29"/>
          <w:rtl/>
        </w:rPr>
        <w:t xml:space="preserve"> </w:t>
      </w:r>
      <w:r w:rsidRPr="00995B26">
        <w:rPr>
          <w:rFonts w:ascii="KFGQPC Uthmanic Script HAFS" w:cs="KFGQPC Uthmanic Script HAFS" w:hint="eastAsia"/>
          <w:sz w:val="29"/>
          <w:szCs w:val="29"/>
          <w:rtl/>
        </w:rPr>
        <w:t>مَا</w:t>
      </w:r>
      <w:r w:rsidRPr="00995B26">
        <w:rPr>
          <w:rFonts w:ascii="KFGQPC Uthmanic Script HAFS" w:cs="KFGQPC Uthmanic Script HAFS"/>
          <w:sz w:val="29"/>
          <w:szCs w:val="29"/>
          <w:rtl/>
        </w:rPr>
        <w:t xml:space="preserve"> </w:t>
      </w:r>
      <w:r w:rsidRPr="00995B26">
        <w:rPr>
          <w:rFonts w:ascii="KFGQPC Uthmanic Script HAFS" w:cs="KFGQPC Uthmanic Script HAFS" w:hint="eastAsia"/>
          <w:sz w:val="29"/>
          <w:szCs w:val="29"/>
          <w:rtl/>
        </w:rPr>
        <w:t>سَعَى</w:t>
      </w:r>
      <w:r w:rsidRPr="00995B26">
        <w:rPr>
          <w:rFonts w:ascii="KFGQPC Uthmanic Script HAFS" w:cs="KFGQPC Uthmanic Script HAFS" w:hint="cs"/>
          <w:sz w:val="29"/>
          <w:szCs w:val="29"/>
          <w:rtl/>
        </w:rPr>
        <w:t>ٰ</w:t>
      </w:r>
      <w:r w:rsidRPr="00995B26">
        <w:rPr>
          <w:rFonts w:ascii="KFGQPC Uthmanic Script HAFS" w:cs="KFGQPC Uthmanic Script HAFS"/>
          <w:sz w:val="29"/>
          <w:szCs w:val="29"/>
          <w:rtl/>
        </w:rPr>
        <w:t xml:space="preserve"> </w:t>
      </w:r>
      <w:r w:rsidRPr="00995B26">
        <w:rPr>
          <w:rFonts w:ascii="KFGQPC Uthmanic Script HAFS" w:cs="KFGQPC Uthmanic Script HAFS" w:hint="cs"/>
          <w:sz w:val="29"/>
          <w:szCs w:val="29"/>
          <w:rtl/>
        </w:rPr>
        <w:t>٣٩</w:t>
      </w:r>
      <w:r w:rsidRPr="00995B26">
        <w:rPr>
          <w:rFonts w:ascii="Abo-thar" w:hAnsi="Abo-thar" w:cs="Traditional Arabic" w:hint="cs"/>
          <w:sz w:val="28"/>
          <w:rtl/>
        </w:rPr>
        <w:t>﴾</w:t>
      </w:r>
      <w:r w:rsidR="005C664D" w:rsidRPr="003F3B94">
        <w:rPr>
          <w:rFonts w:ascii="Abo-thar" w:hAnsi="Abo-thar" w:hint="cs"/>
          <w:sz w:val="28"/>
          <w:rtl/>
        </w:rPr>
        <w:t xml:space="preserve"> </w:t>
      </w:r>
      <w:r w:rsidR="005C664D" w:rsidRPr="003108CB">
        <w:rPr>
          <w:rStyle w:val="Char2"/>
          <w:rFonts w:hint="cs"/>
          <w:rtl/>
        </w:rPr>
        <w:t>[النجم</w:t>
      </w:r>
      <w:r w:rsidRPr="003108CB">
        <w:rPr>
          <w:rStyle w:val="Char2"/>
          <w:rFonts w:hint="cs"/>
          <w:rtl/>
        </w:rPr>
        <w:t xml:space="preserve">: </w:t>
      </w:r>
      <w:r w:rsidR="005C664D" w:rsidRPr="003108CB">
        <w:rPr>
          <w:rStyle w:val="Char2"/>
          <w:rFonts w:hint="cs"/>
          <w:rtl/>
        </w:rPr>
        <w:t>39]</w:t>
      </w:r>
      <w:r w:rsidR="00217AB4" w:rsidRPr="003F3B94">
        <w:rPr>
          <w:rFonts w:ascii="Abo-thar" w:hAnsi="Abo-thar" w:hint="cs"/>
          <w:sz w:val="28"/>
          <w:rtl/>
        </w:rPr>
        <w:t>.</w:t>
      </w:r>
    </w:p>
    <w:p w:rsidR="005C664D" w:rsidRPr="003F3B94" w:rsidRDefault="00B06788" w:rsidP="003F3B94">
      <w:pPr>
        <w:pStyle w:val="a0"/>
        <w:rPr>
          <w:rFonts w:hint="cs"/>
          <w:rtl/>
        </w:rPr>
      </w:pPr>
      <w:r w:rsidRPr="00995B26">
        <w:rPr>
          <w:rFonts w:ascii="Abo-thar" w:hAnsi="Abo-thar" w:cs="Traditional Arabic" w:hint="cs"/>
          <w:sz w:val="28"/>
          <w:rtl/>
        </w:rPr>
        <w:t>﴿</w:t>
      </w:r>
      <w:r w:rsidRPr="0067048A">
        <w:rPr>
          <w:rFonts w:ascii="KFGQPC Uthmanic Script HAFS" w:cs="KFGQPC Uthmanic Script HAFS" w:hint="eastAsia"/>
          <w:sz w:val="28"/>
          <w:szCs w:val="28"/>
          <w:rtl/>
          <w:lang w:bidi="fa-IR"/>
        </w:rPr>
        <w:t>فَذَكِّر</w:t>
      </w:r>
      <w:r w:rsidRPr="0067048A">
        <w:rPr>
          <w:rFonts w:ascii="KFGQPC Uthmanic Script HAFS" w:cs="KFGQPC Uthmanic Script HAFS" w:hint="cs"/>
          <w:sz w:val="28"/>
          <w:szCs w:val="28"/>
          <w:rtl/>
          <w:lang w:bidi="fa-IR"/>
        </w:rPr>
        <w:t>ۡ</w:t>
      </w:r>
      <w:r w:rsidRPr="0067048A">
        <w:rPr>
          <w:rFonts w:ascii="KFGQPC Uthmanic Script HAFS" w:cs="KFGQPC Uthmanic Script HAFS"/>
          <w:sz w:val="28"/>
          <w:szCs w:val="28"/>
          <w:rtl/>
          <w:lang w:bidi="fa-IR"/>
        </w:rPr>
        <w:t xml:space="preserve"> </w:t>
      </w:r>
      <w:r w:rsidRPr="0067048A">
        <w:rPr>
          <w:rFonts w:ascii="KFGQPC Uthmanic Script HAFS" w:cs="KFGQPC Uthmanic Script HAFS" w:hint="eastAsia"/>
          <w:sz w:val="28"/>
          <w:szCs w:val="28"/>
          <w:rtl/>
          <w:lang w:bidi="fa-IR"/>
        </w:rPr>
        <w:t>إِنَّمَا</w:t>
      </w:r>
      <w:r w:rsidRPr="0067048A">
        <w:rPr>
          <w:rFonts w:ascii="KFGQPC Uthmanic Script HAFS" w:cs="KFGQPC Uthmanic Script HAFS" w:hint="cs"/>
          <w:sz w:val="28"/>
          <w:szCs w:val="28"/>
          <w:rtl/>
          <w:lang w:bidi="fa-IR"/>
        </w:rPr>
        <w:t>ٓ</w:t>
      </w:r>
      <w:r w:rsidRPr="0067048A">
        <w:rPr>
          <w:rFonts w:ascii="KFGQPC Uthmanic Script HAFS" w:cs="KFGQPC Uthmanic Script HAFS"/>
          <w:sz w:val="28"/>
          <w:szCs w:val="28"/>
          <w:rtl/>
          <w:lang w:bidi="fa-IR"/>
        </w:rPr>
        <w:t xml:space="preserve"> </w:t>
      </w:r>
      <w:r w:rsidRPr="0067048A">
        <w:rPr>
          <w:rFonts w:ascii="KFGQPC Uthmanic Script HAFS" w:cs="KFGQPC Uthmanic Script HAFS" w:hint="eastAsia"/>
          <w:sz w:val="28"/>
          <w:szCs w:val="28"/>
          <w:rtl/>
          <w:lang w:bidi="fa-IR"/>
        </w:rPr>
        <w:t>أَنتَ</w:t>
      </w:r>
      <w:r w:rsidRPr="0067048A">
        <w:rPr>
          <w:rFonts w:ascii="KFGQPC Uthmanic Script HAFS" w:cs="KFGQPC Uthmanic Script HAFS"/>
          <w:sz w:val="28"/>
          <w:szCs w:val="28"/>
          <w:rtl/>
          <w:lang w:bidi="fa-IR"/>
        </w:rPr>
        <w:t xml:space="preserve"> </w:t>
      </w:r>
      <w:r w:rsidRPr="0067048A">
        <w:rPr>
          <w:rFonts w:ascii="KFGQPC Uthmanic Script HAFS" w:cs="KFGQPC Uthmanic Script HAFS" w:hint="eastAsia"/>
          <w:sz w:val="28"/>
          <w:szCs w:val="28"/>
          <w:rtl/>
          <w:lang w:bidi="fa-IR"/>
        </w:rPr>
        <w:t>مُذَكِّر</w:t>
      </w:r>
      <w:r w:rsidRPr="0067048A">
        <w:rPr>
          <w:rFonts w:ascii="KFGQPC Uthmanic Script HAFS" w:cs="KFGQPC Uthmanic Script HAFS" w:hint="cs"/>
          <w:sz w:val="28"/>
          <w:szCs w:val="28"/>
          <w:rtl/>
          <w:lang w:bidi="fa-IR"/>
        </w:rPr>
        <w:t>ٞ</w:t>
      </w:r>
      <w:r w:rsidRPr="0067048A">
        <w:rPr>
          <w:rFonts w:ascii="KFGQPC Uthmanic Script HAFS" w:cs="KFGQPC Uthmanic Script HAFS"/>
          <w:sz w:val="28"/>
          <w:szCs w:val="28"/>
          <w:rtl/>
          <w:lang w:bidi="fa-IR"/>
        </w:rPr>
        <w:t xml:space="preserve"> </w:t>
      </w:r>
      <w:r w:rsidRPr="0067048A">
        <w:rPr>
          <w:rFonts w:ascii="KFGQPC Uthmanic Script HAFS" w:cs="KFGQPC Uthmanic Script HAFS" w:hint="cs"/>
          <w:sz w:val="28"/>
          <w:szCs w:val="28"/>
          <w:rtl/>
          <w:lang w:bidi="fa-IR"/>
        </w:rPr>
        <w:t>٢١</w:t>
      </w:r>
      <w:r w:rsidRPr="0067048A">
        <w:rPr>
          <w:rFonts w:ascii="KFGQPC Uthmanic Script HAFS" w:cs="KFGQPC Uthmanic Script HAFS"/>
          <w:sz w:val="28"/>
          <w:szCs w:val="28"/>
          <w:rtl/>
          <w:lang w:bidi="fa-IR"/>
        </w:rPr>
        <w:t xml:space="preserve"> </w:t>
      </w:r>
      <w:r w:rsidRPr="0067048A">
        <w:rPr>
          <w:rFonts w:ascii="KFGQPC Uthmanic Script HAFS" w:cs="KFGQPC Uthmanic Script HAFS" w:hint="eastAsia"/>
          <w:sz w:val="28"/>
          <w:szCs w:val="28"/>
          <w:rtl/>
          <w:lang w:bidi="fa-IR"/>
        </w:rPr>
        <w:t>لَّس</w:t>
      </w:r>
      <w:r w:rsidRPr="0067048A">
        <w:rPr>
          <w:rFonts w:ascii="KFGQPC Uthmanic Script HAFS" w:cs="KFGQPC Uthmanic Script HAFS" w:hint="cs"/>
          <w:sz w:val="28"/>
          <w:szCs w:val="28"/>
          <w:rtl/>
          <w:lang w:bidi="fa-IR"/>
        </w:rPr>
        <w:t>ۡ</w:t>
      </w:r>
      <w:r w:rsidRPr="0067048A">
        <w:rPr>
          <w:rFonts w:ascii="KFGQPC Uthmanic Script HAFS" w:cs="KFGQPC Uthmanic Script HAFS" w:hint="eastAsia"/>
          <w:sz w:val="28"/>
          <w:szCs w:val="28"/>
          <w:rtl/>
          <w:lang w:bidi="fa-IR"/>
        </w:rPr>
        <w:t>تَ</w:t>
      </w:r>
      <w:r w:rsidRPr="0067048A">
        <w:rPr>
          <w:rFonts w:ascii="KFGQPC Uthmanic Script HAFS" w:cs="KFGQPC Uthmanic Script HAFS"/>
          <w:sz w:val="28"/>
          <w:szCs w:val="28"/>
          <w:rtl/>
          <w:lang w:bidi="fa-IR"/>
        </w:rPr>
        <w:t xml:space="preserve"> </w:t>
      </w:r>
      <w:r w:rsidRPr="0067048A">
        <w:rPr>
          <w:rFonts w:ascii="KFGQPC Uthmanic Script HAFS" w:cs="KFGQPC Uthmanic Script HAFS" w:hint="eastAsia"/>
          <w:sz w:val="28"/>
          <w:szCs w:val="28"/>
          <w:rtl/>
          <w:lang w:bidi="fa-IR"/>
        </w:rPr>
        <w:t>عَلَي</w:t>
      </w:r>
      <w:r w:rsidRPr="0067048A">
        <w:rPr>
          <w:rFonts w:ascii="KFGQPC Uthmanic Script HAFS" w:cs="KFGQPC Uthmanic Script HAFS" w:hint="cs"/>
          <w:sz w:val="28"/>
          <w:szCs w:val="28"/>
          <w:rtl/>
          <w:lang w:bidi="fa-IR"/>
        </w:rPr>
        <w:t>ۡ</w:t>
      </w:r>
      <w:r w:rsidRPr="0067048A">
        <w:rPr>
          <w:rFonts w:ascii="KFGQPC Uthmanic Script HAFS" w:cs="KFGQPC Uthmanic Script HAFS" w:hint="eastAsia"/>
          <w:sz w:val="28"/>
          <w:szCs w:val="28"/>
          <w:rtl/>
          <w:lang w:bidi="fa-IR"/>
        </w:rPr>
        <w:t>هِم</w:t>
      </w:r>
      <w:r w:rsidRPr="0067048A">
        <w:rPr>
          <w:rFonts w:ascii="KFGQPC Uthmanic Script HAFS" w:cs="KFGQPC Uthmanic Script HAFS"/>
          <w:sz w:val="28"/>
          <w:szCs w:val="28"/>
          <w:rtl/>
          <w:lang w:bidi="fa-IR"/>
        </w:rPr>
        <w:t xml:space="preserve"> </w:t>
      </w:r>
      <w:r w:rsidRPr="0067048A">
        <w:rPr>
          <w:rFonts w:ascii="KFGQPC Uthmanic Script HAFS" w:cs="KFGQPC Uthmanic Script HAFS" w:hint="eastAsia"/>
          <w:sz w:val="28"/>
          <w:szCs w:val="28"/>
          <w:rtl/>
          <w:lang w:bidi="fa-IR"/>
        </w:rPr>
        <w:t>بِمُصَي</w:t>
      </w:r>
      <w:r w:rsidRPr="0067048A">
        <w:rPr>
          <w:rFonts w:ascii="KFGQPC Uthmanic Script HAFS" w:cs="KFGQPC Uthmanic Script HAFS" w:hint="cs"/>
          <w:sz w:val="28"/>
          <w:szCs w:val="28"/>
          <w:rtl/>
          <w:lang w:bidi="fa-IR"/>
        </w:rPr>
        <w:t>ۡ</w:t>
      </w:r>
      <w:r w:rsidRPr="0067048A">
        <w:rPr>
          <w:rFonts w:ascii="KFGQPC Uthmanic Script HAFS" w:cs="KFGQPC Uthmanic Script HAFS" w:hint="eastAsia"/>
          <w:sz w:val="28"/>
          <w:szCs w:val="28"/>
          <w:rtl/>
          <w:lang w:bidi="fa-IR"/>
        </w:rPr>
        <w:t>طِرٍ</w:t>
      </w:r>
      <w:r w:rsidRPr="0067048A">
        <w:rPr>
          <w:rFonts w:ascii="KFGQPC Uthmanic Script HAFS" w:cs="KFGQPC Uthmanic Script HAFS"/>
          <w:sz w:val="28"/>
          <w:szCs w:val="28"/>
          <w:rtl/>
          <w:lang w:bidi="fa-IR"/>
        </w:rPr>
        <w:t xml:space="preserve"> </w:t>
      </w:r>
      <w:r w:rsidRPr="0067048A">
        <w:rPr>
          <w:rFonts w:ascii="KFGQPC Uthmanic Script HAFS" w:cs="KFGQPC Uthmanic Script HAFS" w:hint="cs"/>
          <w:sz w:val="28"/>
          <w:szCs w:val="28"/>
          <w:rtl/>
          <w:lang w:bidi="fa-IR"/>
        </w:rPr>
        <w:t>٢٢</w:t>
      </w:r>
      <w:r w:rsidRPr="00995B26">
        <w:rPr>
          <w:rFonts w:ascii="Abo-thar" w:hAnsi="Abo-thar" w:cs="Traditional Arabic" w:hint="cs"/>
          <w:sz w:val="28"/>
          <w:rtl/>
        </w:rPr>
        <w:t>﴾</w:t>
      </w:r>
      <w:r w:rsidR="005C664D" w:rsidRPr="003F3B94">
        <w:rPr>
          <w:rFonts w:ascii="Abo-thar" w:hAnsi="Abo-thar" w:hint="cs"/>
          <w:sz w:val="28"/>
          <w:rtl/>
        </w:rPr>
        <w:t xml:space="preserve"> </w:t>
      </w:r>
      <w:r w:rsidR="005C664D" w:rsidRPr="003108CB">
        <w:rPr>
          <w:rStyle w:val="Char2"/>
          <w:rFonts w:hint="cs"/>
          <w:rtl/>
        </w:rPr>
        <w:t>[الغاشية</w:t>
      </w:r>
      <w:r w:rsidRPr="003108CB">
        <w:rPr>
          <w:rStyle w:val="Char2"/>
          <w:rFonts w:hint="cs"/>
          <w:rtl/>
        </w:rPr>
        <w:t xml:space="preserve">: </w:t>
      </w:r>
      <w:r w:rsidR="005C664D" w:rsidRPr="003108CB">
        <w:rPr>
          <w:rStyle w:val="Char2"/>
          <w:rFonts w:hint="cs"/>
          <w:rtl/>
        </w:rPr>
        <w:t>21</w:t>
      </w:r>
      <w:r w:rsidR="00217AB4" w:rsidRPr="003108CB">
        <w:rPr>
          <w:rStyle w:val="Char2"/>
          <w:rFonts w:hint="cs"/>
          <w:rtl/>
        </w:rPr>
        <w:t>-</w:t>
      </w:r>
      <w:r w:rsidR="005C664D" w:rsidRPr="003108CB">
        <w:rPr>
          <w:rStyle w:val="Char2"/>
          <w:rFonts w:hint="cs"/>
          <w:rtl/>
        </w:rPr>
        <w:t>22]</w:t>
      </w:r>
      <w:r w:rsidR="00217AB4" w:rsidRPr="003F3B94">
        <w:rPr>
          <w:rFonts w:ascii="Abo-thar" w:hAnsi="Abo-thar" w:hint="cs"/>
          <w:sz w:val="28"/>
          <w:rtl/>
        </w:rPr>
        <w:t>.</w:t>
      </w:r>
    </w:p>
    <w:p w:rsidR="005C664D" w:rsidRPr="003F3B94" w:rsidRDefault="005C664D" w:rsidP="003F3B94">
      <w:pPr>
        <w:pStyle w:val="a0"/>
        <w:rPr>
          <w:rFonts w:hint="cs"/>
          <w:rtl/>
        </w:rPr>
      </w:pPr>
      <w:r w:rsidRPr="003F3B94">
        <w:rPr>
          <w:rFonts w:ascii="Abo-thar" w:hAnsi="Abo-thar" w:hint="cs"/>
          <w:sz w:val="28"/>
          <w:rtl/>
        </w:rPr>
        <w:t>فمقام النبوة و</w:t>
      </w:r>
      <w:r w:rsidR="001253D2" w:rsidRPr="003F3B94">
        <w:rPr>
          <w:rFonts w:ascii="Abo-thar" w:hAnsi="Abo-thar" w:hint="cs"/>
          <w:sz w:val="28"/>
          <w:rtl/>
        </w:rPr>
        <w:t>منصب الرسالة هو فقط وفقط مقامُ إرشادٍ و</w:t>
      </w:r>
      <w:r w:rsidRPr="003F3B94">
        <w:rPr>
          <w:rFonts w:ascii="Abo-thar" w:hAnsi="Abo-thar" w:hint="cs"/>
          <w:sz w:val="28"/>
          <w:rtl/>
        </w:rPr>
        <w:t>تذكير وليس للنبي أي سيطرة وتحكُّم في رقاب الناس وممتلكاتهم</w:t>
      </w:r>
      <w:r w:rsidR="00217AB4" w:rsidRPr="003F3B94">
        <w:rPr>
          <w:rFonts w:ascii="Abo-thar" w:hAnsi="Abo-thar" w:hint="cs"/>
          <w:sz w:val="28"/>
          <w:rtl/>
        </w:rPr>
        <w:t>.</w:t>
      </w:r>
    </w:p>
    <w:p w:rsidR="005C664D" w:rsidRPr="00995B26" w:rsidRDefault="005C664D" w:rsidP="003F3B94">
      <w:pPr>
        <w:pStyle w:val="a0"/>
        <w:rPr>
          <w:rFonts w:hint="cs"/>
          <w:rtl/>
        </w:rPr>
      </w:pPr>
      <w:r w:rsidRPr="003F3B94">
        <w:rPr>
          <w:rFonts w:ascii="Abo-thar" w:hAnsi="Abo-thar" w:hint="cs"/>
          <w:sz w:val="28"/>
          <w:rtl/>
        </w:rPr>
        <w:t xml:space="preserve">وملك السموات والأرض </w:t>
      </w:r>
      <w:r w:rsidRPr="003F3B94">
        <w:rPr>
          <w:rFonts w:cs="Times New Roman" w:hint="cs"/>
          <w:sz w:val="28"/>
          <w:rtl/>
        </w:rPr>
        <w:t>–</w:t>
      </w:r>
      <w:r w:rsidRPr="003F3B94">
        <w:rPr>
          <w:rFonts w:ascii="Abo-thar" w:hAnsi="Abo-thar" w:hint="cs"/>
          <w:sz w:val="28"/>
          <w:rtl/>
        </w:rPr>
        <w:t xml:space="preserve"> </w:t>
      </w:r>
      <w:r w:rsidRPr="003F3B94">
        <w:rPr>
          <w:rFonts w:ascii="mylotus" w:hAnsi="mylotus" w:hint="cs"/>
          <w:sz w:val="28"/>
          <w:rtl/>
        </w:rPr>
        <w:t>طبقاً</w:t>
      </w:r>
      <w:r w:rsidRPr="003F3B94">
        <w:rPr>
          <w:rFonts w:ascii="Abo-thar" w:hAnsi="Abo-thar" w:hint="cs"/>
          <w:sz w:val="28"/>
          <w:rtl/>
        </w:rPr>
        <w:t xml:space="preserve"> </w:t>
      </w:r>
      <w:r w:rsidRPr="003F3B94">
        <w:rPr>
          <w:rFonts w:ascii="mylotus" w:hAnsi="mylotus" w:hint="cs"/>
          <w:sz w:val="28"/>
          <w:rtl/>
        </w:rPr>
        <w:t>لتعاليم</w:t>
      </w:r>
      <w:r w:rsidRPr="003F3B94">
        <w:rPr>
          <w:rFonts w:ascii="Abo-thar" w:hAnsi="Abo-thar" w:hint="cs"/>
          <w:sz w:val="28"/>
          <w:rtl/>
        </w:rPr>
        <w:t xml:space="preserve"> </w:t>
      </w:r>
      <w:r w:rsidRPr="003F3B94">
        <w:rPr>
          <w:rFonts w:ascii="mylotus" w:hAnsi="mylotus" w:hint="cs"/>
          <w:sz w:val="28"/>
          <w:rtl/>
        </w:rPr>
        <w:t>القرآن</w:t>
      </w:r>
      <w:r w:rsidRPr="003F3B94">
        <w:rPr>
          <w:rFonts w:ascii="Abo-thar" w:hAnsi="Abo-thar" w:hint="cs"/>
          <w:sz w:val="28"/>
          <w:rtl/>
        </w:rPr>
        <w:t xml:space="preserve"> </w:t>
      </w:r>
      <w:r w:rsidRPr="003F3B94">
        <w:rPr>
          <w:rFonts w:ascii="mylotus" w:hAnsi="mylotus" w:hint="cs"/>
          <w:sz w:val="28"/>
          <w:rtl/>
        </w:rPr>
        <w:t>الكريم</w:t>
      </w:r>
      <w:r w:rsidRPr="003F3B94">
        <w:rPr>
          <w:rFonts w:ascii="Abo-thar" w:hAnsi="Abo-thar" w:hint="cs"/>
          <w:sz w:val="28"/>
          <w:rtl/>
        </w:rPr>
        <w:t xml:space="preserve"> </w:t>
      </w:r>
      <w:r w:rsidRPr="003F3B94">
        <w:rPr>
          <w:rFonts w:cs="Times New Roman" w:hint="cs"/>
          <w:sz w:val="28"/>
          <w:rtl/>
        </w:rPr>
        <w:t>–</w:t>
      </w:r>
      <w:r w:rsidRPr="003F3B94">
        <w:rPr>
          <w:rFonts w:ascii="Abo-thar" w:hAnsi="Abo-thar" w:hint="cs"/>
          <w:sz w:val="28"/>
          <w:rtl/>
        </w:rPr>
        <w:t xml:space="preserve"> </w:t>
      </w:r>
      <w:r w:rsidRPr="003F3B94">
        <w:rPr>
          <w:rFonts w:ascii="mylotus" w:hAnsi="mylotus" w:hint="cs"/>
          <w:sz w:val="28"/>
          <w:rtl/>
        </w:rPr>
        <w:t>هو</w:t>
      </w:r>
      <w:r w:rsidRPr="003F3B94">
        <w:rPr>
          <w:rFonts w:ascii="Abo-thar" w:hAnsi="Abo-thar" w:hint="cs"/>
          <w:sz w:val="28"/>
          <w:rtl/>
        </w:rPr>
        <w:t xml:space="preserve"> لِـلَّهِ تعالى وحده وهو يعطيه لمن يشاء ويمنعه عمن يشاء والمؤمن والكافر في هذا العطاء أو المنع سواء</w:t>
      </w:r>
      <w:r w:rsidR="00217AB4" w:rsidRPr="003F3B94">
        <w:rPr>
          <w:rFonts w:ascii="Abo-thar" w:hAnsi="Abo-thar" w:hint="cs"/>
          <w:sz w:val="28"/>
          <w:rtl/>
        </w:rPr>
        <w:t>:</w:t>
      </w:r>
      <w:r w:rsidR="00B06788" w:rsidRPr="003F3B94">
        <w:rPr>
          <w:rFonts w:ascii="Abo-thar" w:hAnsi="Abo-thar" w:hint="cs"/>
          <w:sz w:val="28"/>
          <w:rtl/>
        </w:rPr>
        <w:t xml:space="preserve"> </w:t>
      </w:r>
      <w:r w:rsidR="00B06788" w:rsidRPr="00995B26">
        <w:rPr>
          <w:rFonts w:ascii="Abo-thar" w:hAnsi="Abo-thar" w:cs="Traditional Arabic" w:hint="cs"/>
          <w:sz w:val="28"/>
          <w:rtl/>
          <w:lang w:bidi="ar-SY"/>
        </w:rPr>
        <w:t>﴿</w:t>
      </w:r>
      <w:r w:rsidR="00B06788" w:rsidRPr="0067048A">
        <w:rPr>
          <w:rFonts w:ascii="KFGQPC Uthmanic Script HAFS" w:cs="KFGQPC Uthmanic Script HAFS" w:hint="eastAsia"/>
          <w:sz w:val="28"/>
          <w:szCs w:val="28"/>
          <w:rtl/>
        </w:rPr>
        <w:t>تُؤ</w:t>
      </w:r>
      <w:r w:rsidR="00B06788" w:rsidRPr="0067048A">
        <w:rPr>
          <w:rFonts w:ascii="KFGQPC Uthmanic Script HAFS" w:cs="KFGQPC Uthmanic Script HAFS" w:hint="cs"/>
          <w:sz w:val="28"/>
          <w:szCs w:val="28"/>
          <w:rtl/>
        </w:rPr>
        <w:t>ۡ</w:t>
      </w:r>
      <w:r w:rsidR="00B06788" w:rsidRPr="0067048A">
        <w:rPr>
          <w:rFonts w:ascii="KFGQPC Uthmanic Script HAFS" w:cs="KFGQPC Uthmanic Script HAFS" w:hint="eastAsia"/>
          <w:sz w:val="28"/>
          <w:szCs w:val="28"/>
          <w:rtl/>
        </w:rPr>
        <w:t>تِي</w:t>
      </w:r>
      <w:r w:rsidR="00B06788" w:rsidRPr="0067048A">
        <w:rPr>
          <w:rFonts w:ascii="KFGQPC Uthmanic Script HAFS" w:cs="KFGQPC Uthmanic Script HAFS"/>
          <w:sz w:val="28"/>
          <w:szCs w:val="28"/>
          <w:rtl/>
        </w:rPr>
        <w:t xml:space="preserve"> </w:t>
      </w:r>
      <w:r w:rsidR="00B06788" w:rsidRPr="0067048A">
        <w:rPr>
          <w:rFonts w:ascii="KFGQPC Uthmanic Script HAFS" w:cs="KFGQPC Uthmanic Script HAFS" w:hint="cs"/>
          <w:sz w:val="28"/>
          <w:szCs w:val="28"/>
          <w:rtl/>
        </w:rPr>
        <w:t>ٱ</w:t>
      </w:r>
      <w:r w:rsidR="00B06788" w:rsidRPr="0067048A">
        <w:rPr>
          <w:rFonts w:ascii="KFGQPC Uthmanic Script HAFS" w:cs="KFGQPC Uthmanic Script HAFS" w:hint="eastAsia"/>
          <w:sz w:val="28"/>
          <w:szCs w:val="28"/>
          <w:rtl/>
        </w:rPr>
        <w:t>ل</w:t>
      </w:r>
      <w:r w:rsidR="00B06788" w:rsidRPr="0067048A">
        <w:rPr>
          <w:rFonts w:ascii="KFGQPC Uthmanic Script HAFS" w:cs="KFGQPC Uthmanic Script HAFS" w:hint="cs"/>
          <w:sz w:val="28"/>
          <w:szCs w:val="28"/>
          <w:rtl/>
        </w:rPr>
        <w:t>ۡ</w:t>
      </w:r>
      <w:r w:rsidR="00B06788" w:rsidRPr="0067048A">
        <w:rPr>
          <w:rFonts w:ascii="KFGQPC Uthmanic Script HAFS" w:cs="KFGQPC Uthmanic Script HAFS" w:hint="eastAsia"/>
          <w:sz w:val="28"/>
          <w:szCs w:val="28"/>
          <w:rtl/>
        </w:rPr>
        <w:t>مُل</w:t>
      </w:r>
      <w:r w:rsidR="00B06788" w:rsidRPr="0067048A">
        <w:rPr>
          <w:rFonts w:ascii="KFGQPC Uthmanic Script HAFS" w:cs="KFGQPC Uthmanic Script HAFS" w:hint="cs"/>
          <w:sz w:val="28"/>
          <w:szCs w:val="28"/>
          <w:rtl/>
        </w:rPr>
        <w:t>ۡ</w:t>
      </w:r>
      <w:r w:rsidR="00B06788" w:rsidRPr="0067048A">
        <w:rPr>
          <w:rFonts w:ascii="KFGQPC Uthmanic Script HAFS" w:cs="KFGQPC Uthmanic Script HAFS" w:hint="eastAsia"/>
          <w:sz w:val="28"/>
          <w:szCs w:val="28"/>
          <w:rtl/>
        </w:rPr>
        <w:t>كَ</w:t>
      </w:r>
      <w:r w:rsidR="00B06788" w:rsidRPr="0067048A">
        <w:rPr>
          <w:rFonts w:ascii="KFGQPC Uthmanic Script HAFS" w:cs="KFGQPC Uthmanic Script HAFS"/>
          <w:sz w:val="28"/>
          <w:szCs w:val="28"/>
          <w:rtl/>
        </w:rPr>
        <w:t xml:space="preserve"> </w:t>
      </w:r>
      <w:r w:rsidR="00B06788" w:rsidRPr="0067048A">
        <w:rPr>
          <w:rFonts w:ascii="KFGQPC Uthmanic Script HAFS" w:cs="KFGQPC Uthmanic Script HAFS" w:hint="eastAsia"/>
          <w:sz w:val="28"/>
          <w:szCs w:val="28"/>
          <w:rtl/>
        </w:rPr>
        <w:t>مَن</w:t>
      </w:r>
      <w:r w:rsidR="00B06788" w:rsidRPr="0067048A">
        <w:rPr>
          <w:rFonts w:ascii="KFGQPC Uthmanic Script HAFS" w:cs="KFGQPC Uthmanic Script HAFS"/>
          <w:sz w:val="28"/>
          <w:szCs w:val="28"/>
          <w:rtl/>
        </w:rPr>
        <w:t xml:space="preserve"> </w:t>
      </w:r>
      <w:r w:rsidR="00B06788" w:rsidRPr="0067048A">
        <w:rPr>
          <w:rFonts w:ascii="KFGQPC Uthmanic Script HAFS" w:cs="KFGQPC Uthmanic Script HAFS" w:hint="eastAsia"/>
          <w:sz w:val="28"/>
          <w:szCs w:val="28"/>
          <w:rtl/>
        </w:rPr>
        <w:t>تَشَا</w:t>
      </w:r>
      <w:r w:rsidR="00B06788" w:rsidRPr="0067048A">
        <w:rPr>
          <w:rFonts w:ascii="KFGQPC Uthmanic Script HAFS" w:cs="KFGQPC Uthmanic Script HAFS" w:hint="cs"/>
          <w:sz w:val="28"/>
          <w:szCs w:val="28"/>
          <w:rtl/>
        </w:rPr>
        <w:t>ٓ</w:t>
      </w:r>
      <w:r w:rsidR="00B06788" w:rsidRPr="0067048A">
        <w:rPr>
          <w:rFonts w:ascii="KFGQPC Uthmanic Script HAFS" w:cs="KFGQPC Uthmanic Script HAFS" w:hint="eastAsia"/>
          <w:sz w:val="28"/>
          <w:szCs w:val="28"/>
          <w:rtl/>
        </w:rPr>
        <w:t>ءُ</w:t>
      </w:r>
      <w:r w:rsidR="00B06788" w:rsidRPr="0067048A">
        <w:rPr>
          <w:rFonts w:ascii="KFGQPC Uthmanic Script HAFS" w:cs="KFGQPC Uthmanic Script HAFS"/>
          <w:sz w:val="28"/>
          <w:szCs w:val="28"/>
          <w:rtl/>
        </w:rPr>
        <w:t xml:space="preserve"> </w:t>
      </w:r>
      <w:r w:rsidR="00B06788" w:rsidRPr="0067048A">
        <w:rPr>
          <w:rFonts w:ascii="KFGQPC Uthmanic Script HAFS" w:cs="KFGQPC Uthmanic Script HAFS" w:hint="eastAsia"/>
          <w:sz w:val="28"/>
          <w:szCs w:val="28"/>
          <w:rtl/>
        </w:rPr>
        <w:t>وَتَنزِعُ</w:t>
      </w:r>
      <w:r w:rsidR="00B06788" w:rsidRPr="0067048A">
        <w:rPr>
          <w:rFonts w:ascii="KFGQPC Uthmanic Script HAFS" w:cs="KFGQPC Uthmanic Script HAFS"/>
          <w:sz w:val="28"/>
          <w:szCs w:val="28"/>
          <w:rtl/>
        </w:rPr>
        <w:t xml:space="preserve"> </w:t>
      </w:r>
      <w:r w:rsidR="00B06788" w:rsidRPr="0067048A">
        <w:rPr>
          <w:rFonts w:ascii="KFGQPC Uthmanic Script HAFS" w:cs="KFGQPC Uthmanic Script HAFS" w:hint="cs"/>
          <w:sz w:val="28"/>
          <w:szCs w:val="28"/>
          <w:rtl/>
        </w:rPr>
        <w:t>ٱ</w:t>
      </w:r>
      <w:r w:rsidR="00B06788" w:rsidRPr="0067048A">
        <w:rPr>
          <w:rFonts w:ascii="KFGQPC Uthmanic Script HAFS" w:cs="KFGQPC Uthmanic Script HAFS" w:hint="eastAsia"/>
          <w:sz w:val="28"/>
          <w:szCs w:val="28"/>
          <w:rtl/>
        </w:rPr>
        <w:t>ل</w:t>
      </w:r>
      <w:r w:rsidR="00B06788" w:rsidRPr="0067048A">
        <w:rPr>
          <w:rFonts w:ascii="KFGQPC Uthmanic Script HAFS" w:cs="KFGQPC Uthmanic Script HAFS" w:hint="cs"/>
          <w:sz w:val="28"/>
          <w:szCs w:val="28"/>
          <w:rtl/>
        </w:rPr>
        <w:t>ۡ</w:t>
      </w:r>
      <w:r w:rsidR="00B06788" w:rsidRPr="0067048A">
        <w:rPr>
          <w:rFonts w:ascii="KFGQPC Uthmanic Script HAFS" w:cs="KFGQPC Uthmanic Script HAFS" w:hint="eastAsia"/>
          <w:sz w:val="28"/>
          <w:szCs w:val="28"/>
          <w:rtl/>
        </w:rPr>
        <w:t>مُل</w:t>
      </w:r>
      <w:r w:rsidR="00B06788" w:rsidRPr="0067048A">
        <w:rPr>
          <w:rFonts w:ascii="KFGQPC Uthmanic Script HAFS" w:cs="KFGQPC Uthmanic Script HAFS" w:hint="cs"/>
          <w:sz w:val="28"/>
          <w:szCs w:val="28"/>
          <w:rtl/>
        </w:rPr>
        <w:t>ۡ</w:t>
      </w:r>
      <w:r w:rsidR="00B06788" w:rsidRPr="0067048A">
        <w:rPr>
          <w:rFonts w:ascii="KFGQPC Uthmanic Script HAFS" w:cs="KFGQPC Uthmanic Script HAFS" w:hint="eastAsia"/>
          <w:sz w:val="28"/>
          <w:szCs w:val="28"/>
          <w:rtl/>
        </w:rPr>
        <w:t>كَ</w:t>
      </w:r>
      <w:r w:rsidR="00B06788" w:rsidRPr="0067048A">
        <w:rPr>
          <w:rFonts w:ascii="KFGQPC Uthmanic Script HAFS" w:cs="KFGQPC Uthmanic Script HAFS"/>
          <w:sz w:val="28"/>
          <w:szCs w:val="28"/>
          <w:rtl/>
        </w:rPr>
        <w:t xml:space="preserve"> </w:t>
      </w:r>
      <w:r w:rsidR="00B06788" w:rsidRPr="0067048A">
        <w:rPr>
          <w:rFonts w:ascii="KFGQPC Uthmanic Script HAFS" w:cs="KFGQPC Uthmanic Script HAFS" w:hint="eastAsia"/>
          <w:sz w:val="28"/>
          <w:szCs w:val="28"/>
          <w:rtl/>
        </w:rPr>
        <w:t>مِمَّن</w:t>
      </w:r>
      <w:r w:rsidR="00B06788" w:rsidRPr="0067048A">
        <w:rPr>
          <w:rFonts w:ascii="KFGQPC Uthmanic Script HAFS" w:cs="KFGQPC Uthmanic Script HAFS"/>
          <w:sz w:val="28"/>
          <w:szCs w:val="28"/>
          <w:rtl/>
        </w:rPr>
        <w:t xml:space="preserve"> </w:t>
      </w:r>
      <w:r w:rsidR="00B06788" w:rsidRPr="0067048A">
        <w:rPr>
          <w:rFonts w:ascii="KFGQPC Uthmanic Script HAFS" w:cs="KFGQPC Uthmanic Script HAFS" w:hint="eastAsia"/>
          <w:sz w:val="28"/>
          <w:szCs w:val="28"/>
          <w:rtl/>
        </w:rPr>
        <w:t>تَشَا</w:t>
      </w:r>
      <w:r w:rsidR="00B06788" w:rsidRPr="0067048A">
        <w:rPr>
          <w:rFonts w:ascii="KFGQPC Uthmanic Script HAFS" w:cs="KFGQPC Uthmanic Script HAFS" w:hint="cs"/>
          <w:sz w:val="28"/>
          <w:szCs w:val="28"/>
          <w:rtl/>
        </w:rPr>
        <w:t>ٓ</w:t>
      </w:r>
      <w:r w:rsidR="00B06788" w:rsidRPr="0067048A">
        <w:rPr>
          <w:rFonts w:ascii="KFGQPC Uthmanic Script HAFS" w:cs="KFGQPC Uthmanic Script HAFS" w:hint="eastAsia"/>
          <w:sz w:val="28"/>
          <w:szCs w:val="28"/>
          <w:rtl/>
        </w:rPr>
        <w:t>ءُ</w:t>
      </w:r>
      <w:r w:rsidR="00B06788" w:rsidRPr="00995B26">
        <w:rPr>
          <w:rFonts w:ascii="KFGQPC Uthmanic Script HAFS" w:cs="Times New Roman" w:hint="cs"/>
          <w:sz w:val="28"/>
          <w:rtl/>
        </w:rPr>
        <w:t>...</w:t>
      </w:r>
      <w:r w:rsidR="00B06788" w:rsidRPr="00995B26">
        <w:rPr>
          <w:rFonts w:ascii="Abo-thar" w:hAnsi="Abo-thar" w:cs="Traditional Arabic" w:hint="cs"/>
          <w:sz w:val="28"/>
          <w:rtl/>
          <w:lang w:bidi="ar-SY"/>
        </w:rPr>
        <w:t>﴾</w:t>
      </w:r>
      <w:r w:rsidR="00B06788" w:rsidRPr="00995B26">
        <w:rPr>
          <w:rFonts w:ascii="Abo-thar" w:hAnsi="Abo-thar" w:hint="cs"/>
          <w:sz w:val="28"/>
          <w:rtl/>
          <w:lang w:bidi="ar-SY"/>
        </w:rPr>
        <w:t xml:space="preserve"> </w:t>
      </w:r>
      <w:r w:rsidRPr="003108CB">
        <w:rPr>
          <w:rStyle w:val="Char2"/>
          <w:rtl/>
        </w:rPr>
        <w:t>[آل عمران</w:t>
      </w:r>
      <w:r w:rsidR="00B06788" w:rsidRPr="003108CB">
        <w:rPr>
          <w:rStyle w:val="Char2"/>
          <w:rFonts w:hint="cs"/>
          <w:rtl/>
        </w:rPr>
        <w:t xml:space="preserve">: </w:t>
      </w:r>
      <w:r w:rsidRPr="003108CB">
        <w:rPr>
          <w:rStyle w:val="Char2"/>
          <w:rtl/>
        </w:rPr>
        <w:t>26]</w:t>
      </w:r>
      <w:r w:rsidR="00217AB4" w:rsidRPr="00995B26">
        <w:rPr>
          <w:rFonts w:ascii="Abo-thar" w:hAnsi="Abo-thar" w:hint="cs"/>
          <w:sz w:val="28"/>
          <w:rtl/>
        </w:rPr>
        <w:t>.</w:t>
      </w:r>
    </w:p>
    <w:p w:rsidR="005C664D" w:rsidRPr="003F3B94" w:rsidRDefault="00B06788" w:rsidP="003F3B94">
      <w:pPr>
        <w:pStyle w:val="a0"/>
        <w:rPr>
          <w:rFonts w:hint="cs"/>
          <w:rtl/>
        </w:rPr>
      </w:pPr>
      <w:r w:rsidRPr="00995B26">
        <w:rPr>
          <w:rFonts w:ascii="Abo-thar" w:hAnsi="Abo-thar" w:cs="Traditional Arabic" w:hint="cs"/>
          <w:sz w:val="28"/>
          <w:rtl/>
          <w:lang w:bidi="ar-SY"/>
        </w:rPr>
        <w:t>﴿</w:t>
      </w:r>
      <w:r w:rsidRPr="0067048A">
        <w:rPr>
          <w:rFonts w:ascii="KFGQPC Uthmanic Script HAFS" w:cs="KFGQPC Uthmanic Script HAFS" w:hint="eastAsia"/>
          <w:sz w:val="28"/>
          <w:szCs w:val="28"/>
          <w:rtl/>
        </w:rPr>
        <w:t>وَءَاتَى</w:t>
      </w:r>
      <w:r w:rsidRPr="0067048A">
        <w:rPr>
          <w:rFonts w:ascii="KFGQPC Uthmanic Script HAFS" w:cs="KFGQPC Uthmanic Script HAFS" w:hint="cs"/>
          <w:sz w:val="28"/>
          <w:szCs w:val="28"/>
          <w:rtl/>
        </w:rPr>
        <w:t>ٰ</w:t>
      </w:r>
      <w:r w:rsidRPr="0067048A">
        <w:rPr>
          <w:rFonts w:ascii="KFGQPC Uthmanic Script HAFS" w:cs="KFGQPC Uthmanic Script HAFS" w:hint="eastAsia"/>
          <w:sz w:val="28"/>
          <w:szCs w:val="28"/>
          <w:rtl/>
        </w:rPr>
        <w:t>هُ</w:t>
      </w:r>
      <w:r w:rsidRPr="0067048A">
        <w:rPr>
          <w:rFonts w:ascii="KFGQPC Uthmanic Script HAFS" w:cs="KFGQPC Uthmanic Script HAFS"/>
          <w:sz w:val="28"/>
          <w:szCs w:val="28"/>
          <w:rtl/>
        </w:rPr>
        <w:t xml:space="preserve"> </w:t>
      </w:r>
      <w:r w:rsidRPr="0067048A">
        <w:rPr>
          <w:rFonts w:ascii="KFGQPC Uthmanic Script HAFS" w:cs="KFGQPC Uthmanic Script HAFS" w:hint="cs"/>
          <w:sz w:val="28"/>
          <w:szCs w:val="28"/>
          <w:rtl/>
        </w:rPr>
        <w:t>ٱ</w:t>
      </w:r>
      <w:r w:rsidRPr="0067048A">
        <w:rPr>
          <w:rFonts w:ascii="KFGQPC Uthmanic Script HAFS" w:cs="KFGQPC Uthmanic Script HAFS" w:hint="eastAsia"/>
          <w:sz w:val="28"/>
          <w:szCs w:val="28"/>
          <w:rtl/>
        </w:rPr>
        <w:t>للَّهُ</w:t>
      </w:r>
      <w:r w:rsidRPr="0067048A">
        <w:rPr>
          <w:rFonts w:ascii="KFGQPC Uthmanic Script HAFS" w:cs="KFGQPC Uthmanic Script HAFS"/>
          <w:sz w:val="28"/>
          <w:szCs w:val="28"/>
          <w:rtl/>
        </w:rPr>
        <w:t xml:space="preserve"> </w:t>
      </w:r>
      <w:r w:rsidRPr="0067048A">
        <w:rPr>
          <w:rFonts w:ascii="KFGQPC Uthmanic Script HAFS" w:cs="KFGQPC Uthmanic Script HAFS" w:hint="cs"/>
          <w:sz w:val="28"/>
          <w:szCs w:val="28"/>
          <w:rtl/>
        </w:rPr>
        <w:t>ٱ</w:t>
      </w:r>
      <w:r w:rsidRPr="0067048A">
        <w:rPr>
          <w:rFonts w:ascii="KFGQPC Uthmanic Script HAFS" w:cs="KFGQPC Uthmanic Script HAFS" w:hint="eastAsia"/>
          <w:sz w:val="28"/>
          <w:szCs w:val="28"/>
          <w:rtl/>
        </w:rPr>
        <w:t>ل</w:t>
      </w:r>
      <w:r w:rsidRPr="0067048A">
        <w:rPr>
          <w:rFonts w:ascii="KFGQPC Uthmanic Script HAFS" w:cs="KFGQPC Uthmanic Script HAFS" w:hint="cs"/>
          <w:sz w:val="28"/>
          <w:szCs w:val="28"/>
          <w:rtl/>
        </w:rPr>
        <w:t>ۡ</w:t>
      </w:r>
      <w:r w:rsidRPr="0067048A">
        <w:rPr>
          <w:rFonts w:ascii="KFGQPC Uthmanic Script HAFS" w:cs="KFGQPC Uthmanic Script HAFS" w:hint="eastAsia"/>
          <w:sz w:val="28"/>
          <w:szCs w:val="28"/>
          <w:rtl/>
        </w:rPr>
        <w:t>مُل</w:t>
      </w:r>
      <w:r w:rsidRPr="0067048A">
        <w:rPr>
          <w:rFonts w:ascii="KFGQPC Uthmanic Script HAFS" w:cs="KFGQPC Uthmanic Script HAFS" w:hint="cs"/>
          <w:sz w:val="28"/>
          <w:szCs w:val="28"/>
          <w:rtl/>
        </w:rPr>
        <w:t>ۡ</w:t>
      </w:r>
      <w:r w:rsidRPr="0067048A">
        <w:rPr>
          <w:rFonts w:ascii="KFGQPC Uthmanic Script HAFS" w:cs="KFGQPC Uthmanic Script HAFS" w:hint="eastAsia"/>
          <w:sz w:val="28"/>
          <w:szCs w:val="28"/>
          <w:rtl/>
        </w:rPr>
        <w:t>كَ</w:t>
      </w:r>
      <w:r w:rsidRPr="00995B26">
        <w:rPr>
          <w:rFonts w:ascii="KFGQPC Uthmanic Script HAFS" w:cs="Times New Roman" w:hint="cs"/>
          <w:sz w:val="28"/>
          <w:rtl/>
        </w:rPr>
        <w:t>...</w:t>
      </w:r>
      <w:r w:rsidRPr="00995B26">
        <w:rPr>
          <w:rFonts w:ascii="Abo-thar" w:hAnsi="Abo-thar" w:cs="Traditional Arabic" w:hint="cs"/>
          <w:sz w:val="28"/>
          <w:rtl/>
          <w:lang w:bidi="ar-SY"/>
        </w:rPr>
        <w:t>﴾</w:t>
      </w:r>
      <w:r w:rsidRPr="003F3B94">
        <w:rPr>
          <w:rFonts w:ascii="Abo-thar" w:hAnsi="Abo-thar" w:hint="cs"/>
          <w:sz w:val="28"/>
          <w:rtl/>
        </w:rPr>
        <w:t xml:space="preserve"> </w:t>
      </w:r>
      <w:r w:rsidR="005C664D" w:rsidRPr="003108CB">
        <w:rPr>
          <w:rStyle w:val="Char2"/>
          <w:rFonts w:hint="cs"/>
          <w:rtl/>
        </w:rPr>
        <w:t>[البقرة</w:t>
      </w:r>
      <w:r w:rsidRPr="003108CB">
        <w:rPr>
          <w:rStyle w:val="Char2"/>
          <w:rFonts w:hint="cs"/>
          <w:rtl/>
        </w:rPr>
        <w:t xml:space="preserve">: </w:t>
      </w:r>
      <w:r w:rsidR="005C664D" w:rsidRPr="003108CB">
        <w:rPr>
          <w:rStyle w:val="Char2"/>
          <w:rFonts w:hint="cs"/>
          <w:rtl/>
        </w:rPr>
        <w:t>251]</w:t>
      </w:r>
      <w:r w:rsidR="00217AB4" w:rsidRPr="003F3B94">
        <w:rPr>
          <w:rFonts w:ascii="Abo-thar" w:hAnsi="Abo-thar" w:hint="cs"/>
          <w:sz w:val="28"/>
          <w:rtl/>
        </w:rPr>
        <w:t>.</w:t>
      </w:r>
    </w:p>
    <w:p w:rsidR="005C664D" w:rsidRPr="003F3B94" w:rsidRDefault="00B06788" w:rsidP="003F3B94">
      <w:pPr>
        <w:pStyle w:val="a0"/>
        <w:rPr>
          <w:rFonts w:hint="cs"/>
          <w:rtl/>
        </w:rPr>
      </w:pPr>
      <w:r w:rsidRPr="00995B26">
        <w:rPr>
          <w:rFonts w:ascii="Abo-thar" w:hAnsi="Abo-thar" w:cs="Traditional Arabic" w:hint="cs"/>
          <w:sz w:val="28"/>
          <w:rtl/>
          <w:lang w:bidi="ar-SY"/>
        </w:rPr>
        <w:t>﴿</w:t>
      </w:r>
      <w:r w:rsidRPr="0067048A">
        <w:rPr>
          <w:rFonts w:ascii="KFGQPC Uthmanic Script HAFS" w:cs="KFGQPC Uthmanic Script HAFS" w:hint="eastAsia"/>
          <w:sz w:val="28"/>
          <w:szCs w:val="28"/>
          <w:rtl/>
        </w:rPr>
        <w:t>أَلَم</w:t>
      </w:r>
      <w:r w:rsidRPr="0067048A">
        <w:rPr>
          <w:rFonts w:ascii="KFGQPC Uthmanic Script HAFS" w:cs="KFGQPC Uthmanic Script HAFS" w:hint="cs"/>
          <w:sz w:val="28"/>
          <w:szCs w:val="28"/>
          <w:rtl/>
        </w:rPr>
        <w:t>ۡ</w:t>
      </w:r>
      <w:r w:rsidRPr="0067048A">
        <w:rPr>
          <w:rFonts w:ascii="KFGQPC Uthmanic Script HAFS" w:cs="KFGQPC Uthmanic Script HAFS"/>
          <w:sz w:val="28"/>
          <w:szCs w:val="28"/>
          <w:rtl/>
        </w:rPr>
        <w:t xml:space="preserve"> </w:t>
      </w:r>
      <w:r w:rsidRPr="0067048A">
        <w:rPr>
          <w:rFonts w:ascii="KFGQPC Uthmanic Script HAFS" w:cs="KFGQPC Uthmanic Script HAFS" w:hint="eastAsia"/>
          <w:sz w:val="28"/>
          <w:szCs w:val="28"/>
          <w:rtl/>
        </w:rPr>
        <w:t>تَرَ</w:t>
      </w:r>
      <w:r w:rsidRPr="0067048A">
        <w:rPr>
          <w:rFonts w:ascii="KFGQPC Uthmanic Script HAFS" w:cs="KFGQPC Uthmanic Script HAFS"/>
          <w:sz w:val="28"/>
          <w:szCs w:val="28"/>
          <w:rtl/>
        </w:rPr>
        <w:t xml:space="preserve"> </w:t>
      </w:r>
      <w:r w:rsidRPr="0067048A">
        <w:rPr>
          <w:rFonts w:ascii="KFGQPC Uthmanic Script HAFS" w:cs="KFGQPC Uthmanic Script HAFS" w:hint="eastAsia"/>
          <w:sz w:val="28"/>
          <w:szCs w:val="28"/>
          <w:rtl/>
        </w:rPr>
        <w:t>إِلَى</w:t>
      </w:r>
      <w:r w:rsidRPr="0067048A">
        <w:rPr>
          <w:rFonts w:ascii="KFGQPC Uthmanic Script HAFS" w:cs="KFGQPC Uthmanic Script HAFS"/>
          <w:sz w:val="28"/>
          <w:szCs w:val="28"/>
          <w:rtl/>
        </w:rPr>
        <w:t xml:space="preserve"> </w:t>
      </w:r>
      <w:r w:rsidRPr="0067048A">
        <w:rPr>
          <w:rFonts w:ascii="KFGQPC Uthmanic Script HAFS" w:cs="KFGQPC Uthmanic Script HAFS" w:hint="cs"/>
          <w:sz w:val="28"/>
          <w:szCs w:val="28"/>
          <w:rtl/>
        </w:rPr>
        <w:t>ٱ</w:t>
      </w:r>
      <w:r w:rsidRPr="0067048A">
        <w:rPr>
          <w:rFonts w:ascii="KFGQPC Uthmanic Script HAFS" w:cs="KFGQPC Uthmanic Script HAFS" w:hint="eastAsia"/>
          <w:sz w:val="28"/>
          <w:szCs w:val="28"/>
          <w:rtl/>
        </w:rPr>
        <w:t>لَّذِي</w:t>
      </w:r>
      <w:r w:rsidRPr="0067048A">
        <w:rPr>
          <w:rFonts w:ascii="KFGQPC Uthmanic Script HAFS" w:cs="KFGQPC Uthmanic Script HAFS"/>
          <w:sz w:val="28"/>
          <w:szCs w:val="28"/>
          <w:rtl/>
        </w:rPr>
        <w:t xml:space="preserve"> </w:t>
      </w:r>
      <w:r w:rsidRPr="0067048A">
        <w:rPr>
          <w:rFonts w:ascii="KFGQPC Uthmanic Script HAFS" w:cs="KFGQPC Uthmanic Script HAFS" w:hint="eastAsia"/>
          <w:sz w:val="28"/>
          <w:szCs w:val="28"/>
          <w:rtl/>
        </w:rPr>
        <w:t>حَا</w:t>
      </w:r>
      <w:r w:rsidRPr="0067048A">
        <w:rPr>
          <w:rFonts w:ascii="KFGQPC Uthmanic Script HAFS" w:cs="KFGQPC Uthmanic Script HAFS" w:hint="cs"/>
          <w:sz w:val="28"/>
          <w:szCs w:val="28"/>
          <w:rtl/>
        </w:rPr>
        <w:t>ٓ</w:t>
      </w:r>
      <w:r w:rsidRPr="0067048A">
        <w:rPr>
          <w:rFonts w:ascii="KFGQPC Uthmanic Script HAFS" w:cs="KFGQPC Uthmanic Script HAFS" w:hint="eastAsia"/>
          <w:sz w:val="28"/>
          <w:szCs w:val="28"/>
          <w:rtl/>
        </w:rPr>
        <w:t>جَّ</w:t>
      </w:r>
      <w:r w:rsidRPr="0067048A">
        <w:rPr>
          <w:rFonts w:ascii="KFGQPC Uthmanic Script HAFS" w:cs="KFGQPC Uthmanic Script HAFS"/>
          <w:sz w:val="28"/>
          <w:szCs w:val="28"/>
          <w:rtl/>
        </w:rPr>
        <w:t xml:space="preserve"> </w:t>
      </w:r>
      <w:r w:rsidRPr="0067048A">
        <w:rPr>
          <w:rFonts w:ascii="KFGQPC Uthmanic Script HAFS" w:cs="KFGQPC Uthmanic Script HAFS" w:hint="eastAsia"/>
          <w:sz w:val="28"/>
          <w:szCs w:val="28"/>
          <w:rtl/>
        </w:rPr>
        <w:t>إِب</w:t>
      </w:r>
      <w:r w:rsidRPr="0067048A">
        <w:rPr>
          <w:rFonts w:ascii="KFGQPC Uthmanic Script HAFS" w:cs="KFGQPC Uthmanic Script HAFS" w:hint="cs"/>
          <w:sz w:val="28"/>
          <w:szCs w:val="28"/>
          <w:rtl/>
        </w:rPr>
        <w:t>ۡ</w:t>
      </w:r>
      <w:r w:rsidRPr="0067048A">
        <w:rPr>
          <w:rFonts w:ascii="KFGQPC Uthmanic Script HAFS" w:cs="KFGQPC Uthmanic Script HAFS" w:hint="eastAsia"/>
          <w:sz w:val="28"/>
          <w:szCs w:val="28"/>
          <w:rtl/>
        </w:rPr>
        <w:t>رَ</w:t>
      </w:r>
      <w:r w:rsidRPr="0067048A">
        <w:rPr>
          <w:rFonts w:ascii="KFGQPC Uthmanic Script HAFS" w:cs="KFGQPC Uthmanic Script HAFS" w:hint="cs"/>
          <w:sz w:val="28"/>
          <w:szCs w:val="28"/>
          <w:rtl/>
        </w:rPr>
        <w:t>ٰ</w:t>
      </w:r>
      <w:r w:rsidRPr="0067048A">
        <w:rPr>
          <w:rFonts w:ascii="KFGQPC Uthmanic Script HAFS" w:cs="KFGQPC Uthmanic Script HAFS" w:hint="eastAsia"/>
          <w:sz w:val="28"/>
          <w:szCs w:val="28"/>
          <w:rtl/>
        </w:rPr>
        <w:t>هِ‍</w:t>
      </w:r>
      <w:r w:rsidRPr="0067048A">
        <w:rPr>
          <w:rFonts w:ascii="KFGQPC Uthmanic Script HAFS" w:cs="KFGQPC Uthmanic Script HAFS" w:hint="cs"/>
          <w:sz w:val="28"/>
          <w:szCs w:val="28"/>
          <w:rtl/>
        </w:rPr>
        <w:t>ۧ</w:t>
      </w:r>
      <w:r w:rsidRPr="0067048A">
        <w:rPr>
          <w:rFonts w:ascii="KFGQPC Uthmanic Script HAFS" w:cs="KFGQPC Uthmanic Script HAFS" w:hint="eastAsia"/>
          <w:sz w:val="28"/>
          <w:szCs w:val="28"/>
          <w:rtl/>
        </w:rPr>
        <w:t>مَ</w:t>
      </w:r>
      <w:r w:rsidRPr="0067048A">
        <w:rPr>
          <w:rFonts w:ascii="KFGQPC Uthmanic Script HAFS" w:cs="KFGQPC Uthmanic Script HAFS"/>
          <w:sz w:val="28"/>
          <w:szCs w:val="28"/>
          <w:rtl/>
        </w:rPr>
        <w:t xml:space="preserve"> </w:t>
      </w:r>
      <w:r w:rsidRPr="0067048A">
        <w:rPr>
          <w:rFonts w:ascii="KFGQPC Uthmanic Script HAFS" w:cs="KFGQPC Uthmanic Script HAFS" w:hint="eastAsia"/>
          <w:sz w:val="28"/>
          <w:szCs w:val="28"/>
          <w:rtl/>
        </w:rPr>
        <w:t>فِي</w:t>
      </w:r>
      <w:r w:rsidRPr="0067048A">
        <w:rPr>
          <w:rFonts w:ascii="KFGQPC Uthmanic Script HAFS" w:cs="KFGQPC Uthmanic Script HAFS"/>
          <w:sz w:val="28"/>
          <w:szCs w:val="28"/>
          <w:rtl/>
        </w:rPr>
        <w:t xml:space="preserve"> </w:t>
      </w:r>
      <w:r w:rsidRPr="0067048A">
        <w:rPr>
          <w:rFonts w:ascii="KFGQPC Uthmanic Script HAFS" w:cs="KFGQPC Uthmanic Script HAFS" w:hint="eastAsia"/>
          <w:sz w:val="28"/>
          <w:szCs w:val="28"/>
          <w:rtl/>
        </w:rPr>
        <w:t>رَبِّهِ</w:t>
      </w:r>
      <w:r w:rsidRPr="0067048A">
        <w:rPr>
          <w:rFonts w:ascii="KFGQPC Uthmanic Script HAFS" w:cs="KFGQPC Uthmanic Script HAFS" w:hint="cs"/>
          <w:sz w:val="28"/>
          <w:szCs w:val="28"/>
          <w:rtl/>
        </w:rPr>
        <w:t>ۦٓ</w:t>
      </w:r>
      <w:r w:rsidRPr="0067048A">
        <w:rPr>
          <w:rFonts w:ascii="KFGQPC Uthmanic Script HAFS" w:cs="KFGQPC Uthmanic Script HAFS"/>
          <w:sz w:val="28"/>
          <w:szCs w:val="28"/>
          <w:rtl/>
        </w:rPr>
        <w:t xml:space="preserve"> </w:t>
      </w:r>
      <w:r w:rsidRPr="0067048A">
        <w:rPr>
          <w:rFonts w:ascii="KFGQPC Uthmanic Script HAFS" w:cs="KFGQPC Uthmanic Script HAFS" w:hint="eastAsia"/>
          <w:sz w:val="28"/>
          <w:szCs w:val="28"/>
          <w:rtl/>
        </w:rPr>
        <w:t>أَن</w:t>
      </w:r>
      <w:r w:rsidRPr="0067048A">
        <w:rPr>
          <w:rFonts w:ascii="KFGQPC Uthmanic Script HAFS" w:cs="KFGQPC Uthmanic Script HAFS" w:hint="cs"/>
          <w:sz w:val="28"/>
          <w:szCs w:val="28"/>
          <w:rtl/>
        </w:rPr>
        <w:t>ۡ</w:t>
      </w:r>
      <w:r w:rsidRPr="0067048A">
        <w:rPr>
          <w:rFonts w:ascii="KFGQPC Uthmanic Script HAFS" w:cs="KFGQPC Uthmanic Script HAFS"/>
          <w:sz w:val="28"/>
          <w:szCs w:val="28"/>
          <w:rtl/>
        </w:rPr>
        <w:t xml:space="preserve"> </w:t>
      </w:r>
      <w:r w:rsidRPr="0067048A">
        <w:rPr>
          <w:rFonts w:ascii="KFGQPC Uthmanic Script HAFS" w:cs="KFGQPC Uthmanic Script HAFS" w:hint="eastAsia"/>
          <w:sz w:val="28"/>
          <w:szCs w:val="28"/>
          <w:rtl/>
        </w:rPr>
        <w:t>ءَاتَى</w:t>
      </w:r>
      <w:r w:rsidRPr="0067048A">
        <w:rPr>
          <w:rFonts w:ascii="KFGQPC Uthmanic Script HAFS" w:cs="KFGQPC Uthmanic Script HAFS" w:hint="cs"/>
          <w:sz w:val="28"/>
          <w:szCs w:val="28"/>
          <w:rtl/>
        </w:rPr>
        <w:t>ٰ</w:t>
      </w:r>
      <w:r w:rsidRPr="0067048A">
        <w:rPr>
          <w:rFonts w:ascii="KFGQPC Uthmanic Script HAFS" w:cs="KFGQPC Uthmanic Script HAFS" w:hint="eastAsia"/>
          <w:sz w:val="28"/>
          <w:szCs w:val="28"/>
          <w:rtl/>
        </w:rPr>
        <w:t>هُ</w:t>
      </w:r>
      <w:r w:rsidRPr="0067048A">
        <w:rPr>
          <w:rFonts w:ascii="KFGQPC Uthmanic Script HAFS" w:cs="KFGQPC Uthmanic Script HAFS"/>
          <w:sz w:val="28"/>
          <w:szCs w:val="28"/>
          <w:rtl/>
        </w:rPr>
        <w:t xml:space="preserve"> </w:t>
      </w:r>
      <w:r w:rsidRPr="0067048A">
        <w:rPr>
          <w:rFonts w:ascii="KFGQPC Uthmanic Script HAFS" w:cs="KFGQPC Uthmanic Script HAFS" w:hint="cs"/>
          <w:sz w:val="28"/>
          <w:szCs w:val="28"/>
          <w:rtl/>
        </w:rPr>
        <w:t>ٱ</w:t>
      </w:r>
      <w:r w:rsidRPr="0067048A">
        <w:rPr>
          <w:rFonts w:ascii="KFGQPC Uthmanic Script HAFS" w:cs="KFGQPC Uthmanic Script HAFS" w:hint="eastAsia"/>
          <w:sz w:val="28"/>
          <w:szCs w:val="28"/>
          <w:rtl/>
        </w:rPr>
        <w:t>للَّهُ</w:t>
      </w:r>
      <w:r w:rsidRPr="0067048A">
        <w:rPr>
          <w:rFonts w:ascii="KFGQPC Uthmanic Script HAFS" w:cs="KFGQPC Uthmanic Script HAFS"/>
          <w:sz w:val="28"/>
          <w:szCs w:val="28"/>
          <w:rtl/>
        </w:rPr>
        <w:t xml:space="preserve"> </w:t>
      </w:r>
      <w:r w:rsidRPr="0067048A">
        <w:rPr>
          <w:rFonts w:ascii="KFGQPC Uthmanic Script HAFS" w:cs="KFGQPC Uthmanic Script HAFS" w:hint="cs"/>
          <w:sz w:val="28"/>
          <w:szCs w:val="28"/>
          <w:rtl/>
        </w:rPr>
        <w:t>ٱ</w:t>
      </w:r>
      <w:r w:rsidRPr="0067048A">
        <w:rPr>
          <w:rFonts w:ascii="KFGQPC Uthmanic Script HAFS" w:cs="KFGQPC Uthmanic Script HAFS" w:hint="eastAsia"/>
          <w:sz w:val="28"/>
          <w:szCs w:val="28"/>
          <w:rtl/>
        </w:rPr>
        <w:t>ل</w:t>
      </w:r>
      <w:r w:rsidRPr="0067048A">
        <w:rPr>
          <w:rFonts w:ascii="KFGQPC Uthmanic Script HAFS" w:cs="KFGQPC Uthmanic Script HAFS" w:hint="cs"/>
          <w:sz w:val="28"/>
          <w:szCs w:val="28"/>
          <w:rtl/>
        </w:rPr>
        <w:t>ۡ</w:t>
      </w:r>
      <w:r w:rsidRPr="0067048A">
        <w:rPr>
          <w:rFonts w:ascii="KFGQPC Uthmanic Script HAFS" w:cs="KFGQPC Uthmanic Script HAFS" w:hint="eastAsia"/>
          <w:sz w:val="28"/>
          <w:szCs w:val="28"/>
          <w:rtl/>
        </w:rPr>
        <w:t>مُل</w:t>
      </w:r>
      <w:r w:rsidRPr="0067048A">
        <w:rPr>
          <w:rFonts w:ascii="KFGQPC Uthmanic Script HAFS" w:cs="KFGQPC Uthmanic Script HAFS" w:hint="cs"/>
          <w:sz w:val="28"/>
          <w:szCs w:val="28"/>
          <w:rtl/>
        </w:rPr>
        <w:t>ۡ</w:t>
      </w:r>
      <w:r w:rsidRPr="0067048A">
        <w:rPr>
          <w:rFonts w:ascii="KFGQPC Uthmanic Script HAFS" w:cs="KFGQPC Uthmanic Script HAFS" w:hint="eastAsia"/>
          <w:sz w:val="28"/>
          <w:szCs w:val="28"/>
          <w:rtl/>
        </w:rPr>
        <w:t>كَ</w:t>
      </w:r>
      <w:r w:rsidRPr="00995B26">
        <w:rPr>
          <w:rFonts w:ascii="KFGQPC Uthmanic Script HAFS" w:cs="Times New Roman" w:hint="cs"/>
          <w:sz w:val="28"/>
          <w:rtl/>
        </w:rPr>
        <w:t>...</w:t>
      </w:r>
      <w:r w:rsidRPr="00995B26">
        <w:rPr>
          <w:rFonts w:ascii="Abo-thar" w:hAnsi="Abo-thar" w:cs="Traditional Arabic" w:hint="cs"/>
          <w:sz w:val="28"/>
          <w:rtl/>
          <w:lang w:bidi="ar-SY"/>
        </w:rPr>
        <w:t>﴾</w:t>
      </w:r>
      <w:r w:rsidRPr="003F3B94">
        <w:rPr>
          <w:rFonts w:ascii="Abo-thar" w:hAnsi="Abo-thar" w:hint="cs"/>
          <w:sz w:val="28"/>
          <w:rtl/>
        </w:rPr>
        <w:t xml:space="preserve"> </w:t>
      </w:r>
      <w:r w:rsidR="005C664D" w:rsidRPr="009E1401">
        <w:rPr>
          <w:rStyle w:val="Char2"/>
          <w:rFonts w:hint="cs"/>
          <w:rtl/>
        </w:rPr>
        <w:t>[البقرة</w:t>
      </w:r>
      <w:r w:rsidRPr="009E1401">
        <w:rPr>
          <w:rStyle w:val="Char2"/>
          <w:rFonts w:hint="cs"/>
          <w:rtl/>
        </w:rPr>
        <w:t xml:space="preserve">: </w:t>
      </w:r>
      <w:r w:rsidR="005C664D" w:rsidRPr="009E1401">
        <w:rPr>
          <w:rStyle w:val="Char2"/>
          <w:rFonts w:hint="cs"/>
          <w:rtl/>
        </w:rPr>
        <w:t>258]</w:t>
      </w:r>
      <w:r w:rsidR="00217AB4" w:rsidRPr="003F3B94">
        <w:rPr>
          <w:rFonts w:ascii="Abo-thar" w:hAnsi="Abo-thar" w:hint="cs"/>
          <w:sz w:val="28"/>
          <w:rtl/>
        </w:rPr>
        <w:t>.</w:t>
      </w:r>
    </w:p>
    <w:p w:rsidR="005C664D" w:rsidRPr="003F3B94" w:rsidRDefault="005C664D" w:rsidP="003F3B94">
      <w:pPr>
        <w:pStyle w:val="a0"/>
        <w:rPr>
          <w:rFonts w:hint="cs"/>
          <w:rtl/>
        </w:rPr>
      </w:pPr>
      <w:r w:rsidRPr="003F3B94">
        <w:rPr>
          <w:rFonts w:ascii="Abo-thar" w:hAnsi="Abo-thar" w:hint="cs"/>
          <w:sz w:val="28"/>
          <w:rtl/>
        </w:rPr>
        <w:t>فالمُلك مُلك الله تعالى إن شاء آتاهُ داودَ</w:t>
      </w:r>
      <w:r w:rsidR="00147857" w:rsidRPr="003F3B94">
        <w:rPr>
          <w:rFonts w:ascii="Abo-thar" w:hAnsi="Abo-thar" w:hint="cs"/>
          <w:sz w:val="28"/>
          <w:rtl/>
        </w:rPr>
        <w:t xml:space="preserve"> </w:t>
      </w:r>
      <w:r w:rsidR="003C7AEB" w:rsidRPr="003C7AEB">
        <w:rPr>
          <w:rFonts w:ascii="Abo-thar" w:hAnsi="Abo-thar" w:cs="CTraditional Arabic"/>
          <w:sz w:val="28"/>
          <w:rtl/>
        </w:rPr>
        <w:t>÷</w:t>
      </w:r>
      <w:r w:rsidR="00217AB4" w:rsidRPr="003F3B94">
        <w:rPr>
          <w:rFonts w:ascii="Abo-thar" w:hAnsi="Abo-thar"/>
          <w:sz w:val="28"/>
          <w:rtl/>
        </w:rPr>
        <w:t>،</w:t>
      </w:r>
      <w:r w:rsidRPr="003F3B94">
        <w:rPr>
          <w:rFonts w:ascii="Abo-thar" w:hAnsi="Abo-thar" w:hint="cs"/>
          <w:sz w:val="28"/>
          <w:rtl/>
        </w:rPr>
        <w:t xml:space="preserve"> وإن شاء آتاهُ نمرود</w:t>
      </w:r>
      <w:r w:rsidR="00217AB4" w:rsidRPr="003F3B94">
        <w:rPr>
          <w:rFonts w:ascii="Abo-thar" w:hAnsi="Abo-thar" w:hint="cs"/>
          <w:sz w:val="28"/>
          <w:rtl/>
        </w:rPr>
        <w:t>.</w:t>
      </w:r>
    </w:p>
    <w:p w:rsidR="005C664D" w:rsidRPr="003F3B94" w:rsidRDefault="005C664D" w:rsidP="003F3B94">
      <w:pPr>
        <w:pStyle w:val="a0"/>
        <w:rPr>
          <w:rFonts w:hint="cs"/>
          <w:rtl/>
        </w:rPr>
      </w:pPr>
      <w:r w:rsidRPr="003F3B94">
        <w:rPr>
          <w:rFonts w:hint="cs"/>
          <w:sz w:val="28"/>
          <w:rtl/>
        </w:rPr>
        <w:t>ولا يشارك أحدٌ اللهَ تعالى في هذا الملك</w:t>
      </w:r>
      <w:r w:rsidR="00217AB4" w:rsidRPr="003F3B94">
        <w:rPr>
          <w:rFonts w:hint="cs"/>
          <w:sz w:val="28"/>
          <w:rtl/>
        </w:rPr>
        <w:t>:</w:t>
      </w:r>
      <w:r w:rsidRPr="003F3B94">
        <w:rPr>
          <w:rFonts w:hint="cs"/>
          <w:sz w:val="28"/>
          <w:rtl/>
        </w:rPr>
        <w:t xml:space="preserve"> </w:t>
      </w:r>
    </w:p>
    <w:p w:rsidR="005C664D" w:rsidRPr="003F3B94" w:rsidRDefault="00B06788" w:rsidP="003F3B94">
      <w:pPr>
        <w:pStyle w:val="a0"/>
        <w:rPr>
          <w:rFonts w:hint="cs"/>
          <w:rtl/>
        </w:rPr>
      </w:pPr>
      <w:r w:rsidRPr="00995B26">
        <w:rPr>
          <w:rFonts w:ascii="Abo-thar" w:hAnsi="Abo-thar" w:cs="Traditional Arabic" w:hint="cs"/>
          <w:sz w:val="28"/>
          <w:rtl/>
          <w:lang w:bidi="ar-SY"/>
        </w:rPr>
        <w:t>﴿</w:t>
      </w:r>
      <w:r w:rsidRPr="0067048A">
        <w:rPr>
          <w:rFonts w:ascii="KFGQPC Uthmanic Script HAFS" w:cs="KFGQPC Uthmanic Script HAFS" w:hint="eastAsia"/>
          <w:sz w:val="28"/>
          <w:szCs w:val="28"/>
          <w:rtl/>
        </w:rPr>
        <w:t>وَلَم</w:t>
      </w:r>
      <w:r w:rsidRPr="0067048A">
        <w:rPr>
          <w:rFonts w:ascii="KFGQPC Uthmanic Script HAFS" w:cs="KFGQPC Uthmanic Script HAFS" w:hint="cs"/>
          <w:sz w:val="28"/>
          <w:szCs w:val="28"/>
          <w:rtl/>
        </w:rPr>
        <w:t>ۡ</w:t>
      </w:r>
      <w:r w:rsidRPr="0067048A">
        <w:rPr>
          <w:rFonts w:ascii="KFGQPC Uthmanic Script HAFS" w:cs="KFGQPC Uthmanic Script HAFS"/>
          <w:sz w:val="28"/>
          <w:szCs w:val="28"/>
          <w:rtl/>
        </w:rPr>
        <w:t xml:space="preserve"> </w:t>
      </w:r>
      <w:r w:rsidRPr="0067048A">
        <w:rPr>
          <w:rFonts w:ascii="KFGQPC Uthmanic Script HAFS" w:cs="KFGQPC Uthmanic Script HAFS" w:hint="eastAsia"/>
          <w:sz w:val="28"/>
          <w:szCs w:val="28"/>
          <w:rtl/>
        </w:rPr>
        <w:t>يَكُن</w:t>
      </w:r>
      <w:r w:rsidRPr="0067048A">
        <w:rPr>
          <w:rFonts w:ascii="KFGQPC Uthmanic Script HAFS" w:cs="KFGQPC Uthmanic Script HAFS"/>
          <w:sz w:val="28"/>
          <w:szCs w:val="28"/>
          <w:rtl/>
        </w:rPr>
        <w:t xml:space="preserve"> </w:t>
      </w:r>
      <w:r w:rsidRPr="0067048A">
        <w:rPr>
          <w:rFonts w:ascii="KFGQPC Uthmanic Script HAFS" w:cs="KFGQPC Uthmanic Script HAFS" w:hint="eastAsia"/>
          <w:sz w:val="28"/>
          <w:szCs w:val="28"/>
          <w:rtl/>
        </w:rPr>
        <w:t>لَّهُ</w:t>
      </w:r>
      <w:r w:rsidRPr="0067048A">
        <w:rPr>
          <w:rFonts w:ascii="KFGQPC Uthmanic Script HAFS" w:cs="KFGQPC Uthmanic Script HAFS" w:hint="cs"/>
          <w:sz w:val="28"/>
          <w:szCs w:val="28"/>
          <w:rtl/>
        </w:rPr>
        <w:t>ۥ</w:t>
      </w:r>
      <w:r w:rsidRPr="0067048A">
        <w:rPr>
          <w:rFonts w:ascii="KFGQPC Uthmanic Script HAFS" w:cs="KFGQPC Uthmanic Script HAFS"/>
          <w:sz w:val="28"/>
          <w:szCs w:val="28"/>
          <w:rtl/>
        </w:rPr>
        <w:t xml:space="preserve"> </w:t>
      </w:r>
      <w:r w:rsidRPr="0067048A">
        <w:rPr>
          <w:rFonts w:ascii="KFGQPC Uthmanic Script HAFS" w:cs="KFGQPC Uthmanic Script HAFS" w:hint="eastAsia"/>
          <w:sz w:val="28"/>
          <w:szCs w:val="28"/>
          <w:rtl/>
        </w:rPr>
        <w:t>شَرِيك</w:t>
      </w:r>
      <w:r w:rsidRPr="0067048A">
        <w:rPr>
          <w:rFonts w:ascii="KFGQPC Uthmanic Script HAFS" w:cs="KFGQPC Uthmanic Script HAFS" w:hint="cs"/>
          <w:sz w:val="28"/>
          <w:szCs w:val="28"/>
          <w:rtl/>
        </w:rPr>
        <w:t>ٞ</w:t>
      </w:r>
      <w:r w:rsidRPr="0067048A">
        <w:rPr>
          <w:rFonts w:ascii="KFGQPC Uthmanic Script HAFS" w:cs="KFGQPC Uthmanic Script HAFS"/>
          <w:sz w:val="28"/>
          <w:szCs w:val="28"/>
          <w:rtl/>
        </w:rPr>
        <w:t xml:space="preserve"> </w:t>
      </w:r>
      <w:r w:rsidRPr="0067048A">
        <w:rPr>
          <w:rFonts w:ascii="KFGQPC Uthmanic Script HAFS" w:cs="KFGQPC Uthmanic Script HAFS" w:hint="eastAsia"/>
          <w:sz w:val="28"/>
          <w:szCs w:val="28"/>
          <w:rtl/>
        </w:rPr>
        <w:t>فِي</w:t>
      </w:r>
      <w:r w:rsidRPr="0067048A">
        <w:rPr>
          <w:rFonts w:ascii="KFGQPC Uthmanic Script HAFS" w:cs="KFGQPC Uthmanic Script HAFS"/>
          <w:sz w:val="28"/>
          <w:szCs w:val="28"/>
          <w:rtl/>
        </w:rPr>
        <w:t xml:space="preserve"> </w:t>
      </w:r>
      <w:r w:rsidRPr="0067048A">
        <w:rPr>
          <w:rFonts w:ascii="KFGQPC Uthmanic Script HAFS" w:cs="KFGQPC Uthmanic Script HAFS" w:hint="cs"/>
          <w:sz w:val="28"/>
          <w:szCs w:val="28"/>
          <w:rtl/>
        </w:rPr>
        <w:t>ٱ</w:t>
      </w:r>
      <w:r w:rsidRPr="0067048A">
        <w:rPr>
          <w:rFonts w:ascii="KFGQPC Uthmanic Script HAFS" w:cs="KFGQPC Uthmanic Script HAFS" w:hint="eastAsia"/>
          <w:sz w:val="28"/>
          <w:szCs w:val="28"/>
          <w:rtl/>
        </w:rPr>
        <w:t>ل</w:t>
      </w:r>
      <w:r w:rsidRPr="0067048A">
        <w:rPr>
          <w:rFonts w:ascii="KFGQPC Uthmanic Script HAFS" w:cs="KFGQPC Uthmanic Script HAFS" w:hint="cs"/>
          <w:sz w:val="28"/>
          <w:szCs w:val="28"/>
          <w:rtl/>
        </w:rPr>
        <w:t>ۡ</w:t>
      </w:r>
      <w:r w:rsidRPr="0067048A">
        <w:rPr>
          <w:rFonts w:ascii="KFGQPC Uthmanic Script HAFS" w:cs="KFGQPC Uthmanic Script HAFS" w:hint="eastAsia"/>
          <w:sz w:val="28"/>
          <w:szCs w:val="28"/>
          <w:rtl/>
        </w:rPr>
        <w:t>مُل</w:t>
      </w:r>
      <w:r w:rsidRPr="0067048A">
        <w:rPr>
          <w:rFonts w:ascii="KFGQPC Uthmanic Script HAFS" w:cs="KFGQPC Uthmanic Script HAFS" w:hint="cs"/>
          <w:sz w:val="28"/>
          <w:szCs w:val="28"/>
          <w:rtl/>
        </w:rPr>
        <w:t>ۡ</w:t>
      </w:r>
      <w:r w:rsidRPr="0067048A">
        <w:rPr>
          <w:rFonts w:ascii="KFGQPC Uthmanic Script HAFS" w:cs="KFGQPC Uthmanic Script HAFS" w:hint="eastAsia"/>
          <w:sz w:val="28"/>
          <w:szCs w:val="28"/>
          <w:rtl/>
        </w:rPr>
        <w:t>كِ</w:t>
      </w:r>
      <w:r w:rsidRPr="00995B26">
        <w:rPr>
          <w:rFonts w:ascii="Abo-thar" w:hAnsi="Abo-thar" w:cs="Traditional Arabic" w:hint="cs"/>
          <w:sz w:val="28"/>
          <w:rtl/>
          <w:lang w:bidi="ar-SY"/>
        </w:rPr>
        <w:t>﴾</w:t>
      </w:r>
      <w:r w:rsidRPr="003F3B94">
        <w:rPr>
          <w:rFonts w:hint="cs"/>
          <w:sz w:val="28"/>
          <w:rtl/>
          <w:lang w:bidi="ar-SY"/>
        </w:rPr>
        <w:t xml:space="preserve"> </w:t>
      </w:r>
      <w:r w:rsidR="005C664D" w:rsidRPr="009E1401">
        <w:rPr>
          <w:rStyle w:val="Char2"/>
          <w:rFonts w:hint="cs"/>
          <w:rtl/>
        </w:rPr>
        <w:t>[الإسراء</w:t>
      </w:r>
      <w:r w:rsidRPr="009E1401">
        <w:rPr>
          <w:rStyle w:val="Char2"/>
          <w:rFonts w:hint="cs"/>
          <w:rtl/>
        </w:rPr>
        <w:t xml:space="preserve">: </w:t>
      </w:r>
      <w:r w:rsidR="005C664D" w:rsidRPr="009E1401">
        <w:rPr>
          <w:rStyle w:val="Char2"/>
          <w:rFonts w:hint="cs"/>
          <w:rtl/>
        </w:rPr>
        <w:t>111]</w:t>
      </w:r>
      <w:r w:rsidR="00147857" w:rsidRPr="003F3B94">
        <w:rPr>
          <w:rFonts w:hint="cs"/>
          <w:sz w:val="28"/>
          <w:rtl/>
          <w:lang w:bidi="ar-SY"/>
        </w:rPr>
        <w:t xml:space="preserve"> و</w:t>
      </w:r>
      <w:r w:rsidR="005C664D" w:rsidRPr="009E1401">
        <w:rPr>
          <w:rStyle w:val="Char2"/>
          <w:rFonts w:hint="cs"/>
          <w:rtl/>
        </w:rPr>
        <w:t>[الفرقان</w:t>
      </w:r>
      <w:r w:rsidRPr="009E1401">
        <w:rPr>
          <w:rStyle w:val="Char2"/>
          <w:rFonts w:hint="cs"/>
          <w:rtl/>
        </w:rPr>
        <w:t xml:space="preserve">: </w:t>
      </w:r>
      <w:r w:rsidR="005C664D" w:rsidRPr="009E1401">
        <w:rPr>
          <w:rStyle w:val="Char2"/>
          <w:rFonts w:hint="cs"/>
          <w:rtl/>
        </w:rPr>
        <w:t>2]</w:t>
      </w:r>
      <w:r w:rsidR="00217AB4" w:rsidRPr="003F3B94">
        <w:rPr>
          <w:rFonts w:hint="cs"/>
          <w:sz w:val="28"/>
          <w:rtl/>
          <w:lang w:bidi="ar-SY"/>
        </w:rPr>
        <w:t>.</w:t>
      </w:r>
    </w:p>
    <w:p w:rsidR="005C664D" w:rsidRPr="00995B26" w:rsidRDefault="005C664D" w:rsidP="003F3B94">
      <w:pPr>
        <w:pStyle w:val="a0"/>
        <w:rPr>
          <w:rFonts w:hint="cs"/>
          <w:rtl/>
        </w:rPr>
      </w:pPr>
      <w:r w:rsidRPr="003F3B94">
        <w:rPr>
          <w:rFonts w:hint="cs"/>
          <w:sz w:val="28"/>
          <w:rtl/>
        </w:rPr>
        <w:t>فليت شعري أي غرض يبتغيه أولئك الغلاة من تعيينهم شركاء لِـلَّهِ في ملكه</w:t>
      </w:r>
      <w:r w:rsidR="00217AB4" w:rsidRPr="003F3B94">
        <w:rPr>
          <w:rFonts w:hint="cs"/>
          <w:sz w:val="28"/>
          <w:rtl/>
        </w:rPr>
        <w:t>؟!</w:t>
      </w:r>
      <w:r w:rsidRPr="003F3B94">
        <w:rPr>
          <w:rFonts w:hint="cs"/>
          <w:sz w:val="28"/>
          <w:rtl/>
        </w:rPr>
        <w:t xml:space="preserve"> فإن كان مرادهم من أن الدنيا وما فيها للرسول الأئمة هو أن لهم الأرض وما عليها</w:t>
      </w:r>
      <w:r w:rsidR="00217AB4" w:rsidRPr="003F3B94">
        <w:rPr>
          <w:rFonts w:hint="cs"/>
          <w:sz w:val="28"/>
          <w:rtl/>
        </w:rPr>
        <w:t>،</w:t>
      </w:r>
      <w:r w:rsidRPr="003F3B94">
        <w:rPr>
          <w:rFonts w:hint="cs"/>
          <w:sz w:val="28"/>
          <w:rtl/>
        </w:rPr>
        <w:t xml:space="preserve"> كما صرح بذلك خبر آخر يقول</w:t>
      </w:r>
      <w:r w:rsidR="00217AB4" w:rsidRPr="003F3B94">
        <w:rPr>
          <w:rFonts w:hint="cs"/>
          <w:sz w:val="28"/>
          <w:rtl/>
        </w:rPr>
        <w:t>:</w:t>
      </w:r>
      <w:r w:rsidRPr="003F3B94">
        <w:rPr>
          <w:rFonts w:hint="cs"/>
          <w:sz w:val="28"/>
          <w:rtl/>
        </w:rPr>
        <w:t xml:space="preserve"> </w:t>
      </w:r>
      <w:r w:rsidR="00EF2588" w:rsidRPr="003F3B94">
        <w:rPr>
          <w:rFonts w:hint="cs"/>
          <w:sz w:val="28"/>
          <w:rtl/>
        </w:rPr>
        <w:t>«</w:t>
      </w:r>
      <w:r w:rsidRPr="003F3B94">
        <w:rPr>
          <w:rFonts w:hint="cs"/>
          <w:b/>
          <w:bCs/>
          <w:sz w:val="28"/>
          <w:rtl/>
        </w:rPr>
        <w:t>الأرض لنا</w:t>
      </w:r>
      <w:r w:rsidR="00EF2588" w:rsidRPr="003F3B94">
        <w:rPr>
          <w:rFonts w:hint="cs"/>
          <w:sz w:val="28"/>
          <w:rtl/>
        </w:rPr>
        <w:t>»</w:t>
      </w:r>
      <w:r w:rsidRPr="003F3B94">
        <w:rPr>
          <w:rFonts w:hint="cs"/>
          <w:sz w:val="28"/>
          <w:rtl/>
        </w:rPr>
        <w:t xml:space="preserve"> فإن كتاب الله تعالى يكذِّب هذا الادعاء حين يقول</w:t>
      </w:r>
      <w:r w:rsidR="00217AB4" w:rsidRPr="003F3B94">
        <w:rPr>
          <w:rFonts w:hint="cs"/>
          <w:sz w:val="28"/>
          <w:rtl/>
        </w:rPr>
        <w:t>:</w:t>
      </w:r>
      <w:r w:rsidRPr="003F3B94">
        <w:rPr>
          <w:rFonts w:hint="cs"/>
          <w:sz w:val="28"/>
          <w:rtl/>
        </w:rPr>
        <w:t xml:space="preserve"> </w:t>
      </w:r>
      <w:r w:rsidR="00B06788" w:rsidRPr="00995B26">
        <w:rPr>
          <w:rFonts w:ascii="Abo-thar" w:hAnsi="Abo-thar" w:cs="Traditional Arabic" w:hint="cs"/>
          <w:sz w:val="28"/>
          <w:rtl/>
          <w:lang w:bidi="ar-SY"/>
        </w:rPr>
        <w:t>﴿</w:t>
      </w:r>
      <w:r w:rsidR="00B06788" w:rsidRPr="0067048A">
        <w:rPr>
          <w:rFonts w:ascii="KFGQPC Uthmanic Script HAFS" w:cs="KFGQPC Uthmanic Script HAFS" w:hint="eastAsia"/>
          <w:sz w:val="28"/>
          <w:szCs w:val="28"/>
          <w:rtl/>
        </w:rPr>
        <w:t>وَ</w:t>
      </w:r>
      <w:r w:rsidR="00B06788" w:rsidRPr="0067048A">
        <w:rPr>
          <w:rFonts w:ascii="KFGQPC Uthmanic Script HAFS" w:cs="KFGQPC Uthmanic Script HAFS" w:hint="cs"/>
          <w:sz w:val="28"/>
          <w:szCs w:val="28"/>
          <w:rtl/>
        </w:rPr>
        <w:t>ٱ</w:t>
      </w:r>
      <w:r w:rsidR="00B06788" w:rsidRPr="0067048A">
        <w:rPr>
          <w:rFonts w:ascii="KFGQPC Uthmanic Script HAFS" w:cs="KFGQPC Uthmanic Script HAFS" w:hint="eastAsia"/>
          <w:sz w:val="28"/>
          <w:szCs w:val="28"/>
          <w:rtl/>
        </w:rPr>
        <w:t>ل</w:t>
      </w:r>
      <w:r w:rsidR="00B06788" w:rsidRPr="0067048A">
        <w:rPr>
          <w:rFonts w:ascii="KFGQPC Uthmanic Script HAFS" w:cs="KFGQPC Uthmanic Script HAFS" w:hint="cs"/>
          <w:sz w:val="28"/>
          <w:szCs w:val="28"/>
          <w:rtl/>
        </w:rPr>
        <w:t>ۡ</w:t>
      </w:r>
      <w:r w:rsidR="00B06788" w:rsidRPr="0067048A">
        <w:rPr>
          <w:rFonts w:ascii="KFGQPC Uthmanic Script HAFS" w:cs="KFGQPC Uthmanic Script HAFS" w:hint="eastAsia"/>
          <w:sz w:val="28"/>
          <w:szCs w:val="28"/>
          <w:rtl/>
        </w:rPr>
        <w:t>أَر</w:t>
      </w:r>
      <w:r w:rsidR="00B06788" w:rsidRPr="0067048A">
        <w:rPr>
          <w:rFonts w:ascii="KFGQPC Uthmanic Script HAFS" w:cs="KFGQPC Uthmanic Script HAFS" w:hint="cs"/>
          <w:sz w:val="28"/>
          <w:szCs w:val="28"/>
          <w:rtl/>
        </w:rPr>
        <w:t>ۡ</w:t>
      </w:r>
      <w:r w:rsidR="00B06788" w:rsidRPr="0067048A">
        <w:rPr>
          <w:rFonts w:ascii="KFGQPC Uthmanic Script HAFS" w:cs="KFGQPC Uthmanic Script HAFS" w:hint="eastAsia"/>
          <w:sz w:val="28"/>
          <w:szCs w:val="28"/>
          <w:rtl/>
        </w:rPr>
        <w:t>ضَ</w:t>
      </w:r>
      <w:r w:rsidR="00B06788" w:rsidRPr="0067048A">
        <w:rPr>
          <w:rFonts w:ascii="KFGQPC Uthmanic Script HAFS" w:cs="KFGQPC Uthmanic Script HAFS"/>
          <w:sz w:val="28"/>
          <w:szCs w:val="28"/>
          <w:rtl/>
        </w:rPr>
        <w:t xml:space="preserve"> </w:t>
      </w:r>
      <w:r w:rsidR="00B06788" w:rsidRPr="0067048A">
        <w:rPr>
          <w:rFonts w:ascii="KFGQPC Uthmanic Script HAFS" w:cs="KFGQPC Uthmanic Script HAFS" w:hint="eastAsia"/>
          <w:sz w:val="28"/>
          <w:szCs w:val="28"/>
          <w:rtl/>
        </w:rPr>
        <w:t>وَضَعَهَا</w:t>
      </w:r>
      <w:r w:rsidR="00B06788" w:rsidRPr="0067048A">
        <w:rPr>
          <w:rFonts w:ascii="KFGQPC Uthmanic Script HAFS" w:cs="KFGQPC Uthmanic Script HAFS"/>
          <w:sz w:val="28"/>
          <w:szCs w:val="28"/>
          <w:rtl/>
        </w:rPr>
        <w:t xml:space="preserve"> </w:t>
      </w:r>
      <w:r w:rsidR="00B06788" w:rsidRPr="0067048A">
        <w:rPr>
          <w:rFonts w:ascii="KFGQPC Uthmanic Script HAFS" w:cs="KFGQPC Uthmanic Script HAFS" w:hint="eastAsia"/>
          <w:sz w:val="28"/>
          <w:szCs w:val="28"/>
          <w:rtl/>
        </w:rPr>
        <w:t>لِل</w:t>
      </w:r>
      <w:r w:rsidR="00B06788" w:rsidRPr="0067048A">
        <w:rPr>
          <w:rFonts w:ascii="KFGQPC Uthmanic Script HAFS" w:cs="KFGQPC Uthmanic Script HAFS" w:hint="cs"/>
          <w:sz w:val="28"/>
          <w:szCs w:val="28"/>
          <w:rtl/>
        </w:rPr>
        <w:t>ۡ</w:t>
      </w:r>
      <w:r w:rsidR="00B06788" w:rsidRPr="0067048A">
        <w:rPr>
          <w:rFonts w:ascii="KFGQPC Uthmanic Script HAFS" w:cs="KFGQPC Uthmanic Script HAFS" w:hint="eastAsia"/>
          <w:sz w:val="28"/>
          <w:szCs w:val="28"/>
          <w:rtl/>
        </w:rPr>
        <w:t>أَنَامِ</w:t>
      </w:r>
      <w:r w:rsidR="00B06788" w:rsidRPr="00995B26">
        <w:rPr>
          <w:rFonts w:ascii="Abo-thar" w:hAnsi="Abo-thar" w:cs="Traditional Arabic" w:hint="cs"/>
          <w:sz w:val="28"/>
          <w:rtl/>
          <w:lang w:bidi="ar-SY"/>
        </w:rPr>
        <w:t xml:space="preserve">﴾ </w:t>
      </w:r>
      <w:r w:rsidRPr="009E1401">
        <w:rPr>
          <w:rStyle w:val="Char2"/>
          <w:rtl/>
        </w:rPr>
        <w:t>[الرحمن</w:t>
      </w:r>
      <w:r w:rsidR="00B06788" w:rsidRPr="009E1401">
        <w:rPr>
          <w:rStyle w:val="Char2"/>
          <w:rFonts w:hint="cs"/>
          <w:rtl/>
        </w:rPr>
        <w:t xml:space="preserve">: </w:t>
      </w:r>
      <w:r w:rsidRPr="009E1401">
        <w:rPr>
          <w:rStyle w:val="Char2"/>
          <w:rtl/>
        </w:rPr>
        <w:t>10]</w:t>
      </w:r>
      <w:r w:rsidRPr="00995B26">
        <w:rPr>
          <w:rFonts w:hint="cs"/>
          <w:sz w:val="28"/>
          <w:rtl/>
        </w:rPr>
        <w:t xml:space="preserve"> أي جعلها لجميع الخلق</w:t>
      </w:r>
      <w:r w:rsidR="00217AB4" w:rsidRPr="00995B26">
        <w:rPr>
          <w:rFonts w:hint="cs"/>
          <w:sz w:val="28"/>
          <w:rtl/>
        </w:rPr>
        <w:t>.</w:t>
      </w:r>
      <w:r w:rsidRPr="00995B26">
        <w:rPr>
          <w:rFonts w:hint="cs"/>
          <w:sz w:val="28"/>
          <w:rtl/>
        </w:rPr>
        <w:t xml:space="preserve"> وهناك آيات عديدة في القرآن تبين أن الله تعالى جعل الأرض لكافة الناس</w:t>
      </w:r>
      <w:r w:rsidR="00217AB4" w:rsidRPr="00995B26">
        <w:rPr>
          <w:rFonts w:hint="cs"/>
          <w:sz w:val="28"/>
          <w:rtl/>
        </w:rPr>
        <w:t>،</w:t>
      </w:r>
      <w:r w:rsidRPr="00995B26">
        <w:rPr>
          <w:rFonts w:hint="cs"/>
          <w:sz w:val="28"/>
          <w:rtl/>
        </w:rPr>
        <w:t xml:space="preserve"> من ذلك الآيات التالية</w:t>
      </w:r>
      <w:r w:rsidR="00217AB4" w:rsidRPr="00995B26">
        <w:rPr>
          <w:rFonts w:hint="cs"/>
          <w:sz w:val="28"/>
          <w:rtl/>
        </w:rPr>
        <w:t>:</w:t>
      </w:r>
    </w:p>
    <w:p w:rsidR="005C664D" w:rsidRPr="003F3B94" w:rsidRDefault="00B06788" w:rsidP="003F3B94">
      <w:pPr>
        <w:pStyle w:val="a0"/>
        <w:rPr>
          <w:rFonts w:hint="cs"/>
          <w:rtl/>
        </w:rPr>
      </w:pPr>
      <w:r w:rsidRPr="00995B26">
        <w:rPr>
          <w:rFonts w:ascii="Abo-thar" w:hAnsi="Abo-thar" w:cs="Traditional Arabic" w:hint="cs"/>
          <w:sz w:val="28"/>
          <w:rtl/>
          <w:lang w:bidi="ar-SY"/>
        </w:rPr>
        <w:t>﴿</w:t>
      </w:r>
      <w:r w:rsidRPr="0067048A">
        <w:rPr>
          <w:rFonts w:ascii="KFGQPC Uthmanic Script HAFS" w:cs="KFGQPC Uthmanic Script HAFS" w:hint="cs"/>
          <w:sz w:val="28"/>
          <w:szCs w:val="28"/>
          <w:rtl/>
        </w:rPr>
        <w:t>ٱ</w:t>
      </w:r>
      <w:r w:rsidRPr="0067048A">
        <w:rPr>
          <w:rFonts w:ascii="KFGQPC Uthmanic Script HAFS" w:cs="KFGQPC Uthmanic Script HAFS" w:hint="eastAsia"/>
          <w:sz w:val="28"/>
          <w:szCs w:val="28"/>
          <w:rtl/>
        </w:rPr>
        <w:t>لَّذِي</w:t>
      </w:r>
      <w:r w:rsidRPr="0067048A">
        <w:rPr>
          <w:rFonts w:ascii="KFGQPC Uthmanic Script HAFS" w:cs="KFGQPC Uthmanic Script HAFS"/>
          <w:sz w:val="28"/>
          <w:szCs w:val="28"/>
          <w:rtl/>
        </w:rPr>
        <w:t xml:space="preserve"> </w:t>
      </w:r>
      <w:r w:rsidRPr="0067048A">
        <w:rPr>
          <w:rFonts w:ascii="KFGQPC Uthmanic Script HAFS" w:cs="KFGQPC Uthmanic Script HAFS" w:hint="eastAsia"/>
          <w:sz w:val="28"/>
          <w:szCs w:val="28"/>
          <w:rtl/>
        </w:rPr>
        <w:t>جَعَلَ</w:t>
      </w:r>
      <w:r w:rsidRPr="0067048A">
        <w:rPr>
          <w:rFonts w:ascii="KFGQPC Uthmanic Script HAFS" w:cs="KFGQPC Uthmanic Script HAFS"/>
          <w:sz w:val="28"/>
          <w:szCs w:val="28"/>
          <w:rtl/>
        </w:rPr>
        <w:t xml:space="preserve"> </w:t>
      </w:r>
      <w:r w:rsidRPr="0067048A">
        <w:rPr>
          <w:rFonts w:ascii="KFGQPC Uthmanic Script HAFS" w:cs="KFGQPC Uthmanic Script HAFS" w:hint="eastAsia"/>
          <w:sz w:val="28"/>
          <w:szCs w:val="28"/>
          <w:rtl/>
        </w:rPr>
        <w:t>لَكُمُ</w:t>
      </w:r>
      <w:r w:rsidRPr="0067048A">
        <w:rPr>
          <w:rFonts w:ascii="KFGQPC Uthmanic Script HAFS" w:cs="KFGQPC Uthmanic Script HAFS"/>
          <w:sz w:val="28"/>
          <w:szCs w:val="28"/>
          <w:rtl/>
        </w:rPr>
        <w:t xml:space="preserve"> </w:t>
      </w:r>
      <w:r w:rsidRPr="0067048A">
        <w:rPr>
          <w:rFonts w:ascii="KFGQPC Uthmanic Script HAFS" w:cs="KFGQPC Uthmanic Script HAFS" w:hint="cs"/>
          <w:sz w:val="28"/>
          <w:szCs w:val="28"/>
          <w:rtl/>
        </w:rPr>
        <w:t>ٱ</w:t>
      </w:r>
      <w:r w:rsidRPr="0067048A">
        <w:rPr>
          <w:rFonts w:ascii="KFGQPC Uthmanic Script HAFS" w:cs="KFGQPC Uthmanic Script HAFS" w:hint="eastAsia"/>
          <w:sz w:val="28"/>
          <w:szCs w:val="28"/>
          <w:rtl/>
        </w:rPr>
        <w:t>ل</w:t>
      </w:r>
      <w:r w:rsidRPr="0067048A">
        <w:rPr>
          <w:rFonts w:ascii="KFGQPC Uthmanic Script HAFS" w:cs="KFGQPC Uthmanic Script HAFS" w:hint="cs"/>
          <w:sz w:val="28"/>
          <w:szCs w:val="28"/>
          <w:rtl/>
        </w:rPr>
        <w:t>ۡ</w:t>
      </w:r>
      <w:r w:rsidRPr="0067048A">
        <w:rPr>
          <w:rFonts w:ascii="KFGQPC Uthmanic Script HAFS" w:cs="KFGQPC Uthmanic Script HAFS" w:hint="eastAsia"/>
          <w:sz w:val="28"/>
          <w:szCs w:val="28"/>
          <w:rtl/>
        </w:rPr>
        <w:t>أَر</w:t>
      </w:r>
      <w:r w:rsidRPr="0067048A">
        <w:rPr>
          <w:rFonts w:ascii="KFGQPC Uthmanic Script HAFS" w:cs="KFGQPC Uthmanic Script HAFS" w:hint="cs"/>
          <w:sz w:val="28"/>
          <w:szCs w:val="28"/>
          <w:rtl/>
        </w:rPr>
        <w:t>ۡ</w:t>
      </w:r>
      <w:r w:rsidRPr="0067048A">
        <w:rPr>
          <w:rFonts w:ascii="KFGQPC Uthmanic Script HAFS" w:cs="KFGQPC Uthmanic Script HAFS" w:hint="eastAsia"/>
          <w:sz w:val="28"/>
          <w:szCs w:val="28"/>
          <w:rtl/>
        </w:rPr>
        <w:t>ضَ</w:t>
      </w:r>
      <w:r w:rsidRPr="0067048A">
        <w:rPr>
          <w:rFonts w:ascii="KFGQPC Uthmanic Script HAFS" w:cs="KFGQPC Uthmanic Script HAFS"/>
          <w:sz w:val="28"/>
          <w:szCs w:val="28"/>
          <w:rtl/>
        </w:rPr>
        <w:t xml:space="preserve"> </w:t>
      </w:r>
      <w:r w:rsidRPr="0067048A">
        <w:rPr>
          <w:rFonts w:ascii="KFGQPC Uthmanic Script HAFS" w:cs="KFGQPC Uthmanic Script HAFS" w:hint="eastAsia"/>
          <w:sz w:val="28"/>
          <w:szCs w:val="28"/>
          <w:rtl/>
        </w:rPr>
        <w:t>فِرَ</w:t>
      </w:r>
      <w:r w:rsidRPr="0067048A">
        <w:rPr>
          <w:rFonts w:ascii="KFGQPC Uthmanic Script HAFS" w:cs="KFGQPC Uthmanic Script HAFS" w:hint="cs"/>
          <w:sz w:val="28"/>
          <w:szCs w:val="28"/>
          <w:rtl/>
        </w:rPr>
        <w:t>ٰ</w:t>
      </w:r>
      <w:r w:rsidRPr="0067048A">
        <w:rPr>
          <w:rFonts w:ascii="KFGQPC Uthmanic Script HAFS" w:cs="KFGQPC Uthmanic Script HAFS" w:hint="eastAsia"/>
          <w:sz w:val="28"/>
          <w:szCs w:val="28"/>
          <w:rtl/>
        </w:rPr>
        <w:t>ش</w:t>
      </w:r>
      <w:r w:rsidRPr="0067048A">
        <w:rPr>
          <w:rFonts w:ascii="KFGQPC Uthmanic Script HAFS" w:cs="KFGQPC Uthmanic Script HAFS" w:hint="cs"/>
          <w:sz w:val="28"/>
          <w:szCs w:val="28"/>
          <w:rtl/>
        </w:rPr>
        <w:t>ٗ</w:t>
      </w:r>
      <w:r w:rsidRPr="0067048A">
        <w:rPr>
          <w:rFonts w:ascii="KFGQPC Uthmanic Script HAFS" w:cs="KFGQPC Uthmanic Script HAFS" w:hint="eastAsia"/>
          <w:sz w:val="28"/>
          <w:szCs w:val="28"/>
          <w:rtl/>
        </w:rPr>
        <w:t>ا</w:t>
      </w:r>
      <w:r w:rsidRPr="00995B26">
        <w:rPr>
          <w:rFonts w:ascii="Abo-thar" w:hAnsi="Abo-thar" w:cs="Traditional Arabic" w:hint="cs"/>
          <w:sz w:val="28"/>
          <w:rtl/>
          <w:lang w:bidi="ar-SY"/>
        </w:rPr>
        <w:t>﴾</w:t>
      </w:r>
      <w:r w:rsidRPr="003F3B94">
        <w:rPr>
          <w:rFonts w:hint="cs"/>
          <w:sz w:val="28"/>
          <w:rtl/>
        </w:rPr>
        <w:t xml:space="preserve"> </w:t>
      </w:r>
      <w:r w:rsidR="005C664D" w:rsidRPr="009E1401">
        <w:rPr>
          <w:rStyle w:val="Char2"/>
          <w:rFonts w:hint="cs"/>
          <w:rtl/>
        </w:rPr>
        <w:t>[البقرة</w:t>
      </w:r>
      <w:r w:rsidRPr="009E1401">
        <w:rPr>
          <w:rStyle w:val="Char2"/>
          <w:rFonts w:hint="cs"/>
          <w:rtl/>
        </w:rPr>
        <w:t xml:space="preserve">: </w:t>
      </w:r>
      <w:r w:rsidR="005C664D" w:rsidRPr="009E1401">
        <w:rPr>
          <w:rStyle w:val="Char2"/>
          <w:rFonts w:hint="cs"/>
          <w:rtl/>
        </w:rPr>
        <w:t>22]</w:t>
      </w:r>
      <w:r w:rsidR="00217AB4" w:rsidRPr="003F3B94">
        <w:rPr>
          <w:rFonts w:hint="cs"/>
          <w:sz w:val="28"/>
          <w:rtl/>
        </w:rPr>
        <w:t>.</w:t>
      </w:r>
    </w:p>
    <w:p w:rsidR="005C664D" w:rsidRPr="003F3B94" w:rsidRDefault="00B06788" w:rsidP="003F3B94">
      <w:pPr>
        <w:pStyle w:val="a0"/>
        <w:rPr>
          <w:rFonts w:hint="cs"/>
          <w:rtl/>
        </w:rPr>
      </w:pPr>
      <w:r w:rsidRPr="00995B26">
        <w:rPr>
          <w:rFonts w:ascii="Abo-thar" w:hAnsi="Abo-thar" w:cs="Traditional Arabic" w:hint="cs"/>
          <w:sz w:val="28"/>
          <w:rtl/>
          <w:lang w:bidi="ar-SY"/>
        </w:rPr>
        <w:t>﴿</w:t>
      </w:r>
      <w:r w:rsidRPr="0067048A">
        <w:rPr>
          <w:rFonts w:ascii="KFGQPC Uthmanic Script HAFS" w:cs="KFGQPC Uthmanic Script HAFS" w:hint="eastAsia"/>
          <w:sz w:val="28"/>
          <w:szCs w:val="28"/>
          <w:rtl/>
        </w:rPr>
        <w:t>هُوَ</w:t>
      </w:r>
      <w:r w:rsidRPr="0067048A">
        <w:rPr>
          <w:rFonts w:ascii="KFGQPC Uthmanic Script HAFS" w:cs="KFGQPC Uthmanic Script HAFS"/>
          <w:sz w:val="28"/>
          <w:szCs w:val="28"/>
          <w:rtl/>
        </w:rPr>
        <w:t xml:space="preserve"> </w:t>
      </w:r>
      <w:r w:rsidRPr="0067048A">
        <w:rPr>
          <w:rFonts w:ascii="KFGQPC Uthmanic Script HAFS" w:cs="KFGQPC Uthmanic Script HAFS" w:hint="cs"/>
          <w:sz w:val="28"/>
          <w:szCs w:val="28"/>
          <w:rtl/>
        </w:rPr>
        <w:t>ٱ</w:t>
      </w:r>
      <w:r w:rsidRPr="0067048A">
        <w:rPr>
          <w:rFonts w:ascii="KFGQPC Uthmanic Script HAFS" w:cs="KFGQPC Uthmanic Script HAFS" w:hint="eastAsia"/>
          <w:sz w:val="28"/>
          <w:szCs w:val="28"/>
          <w:rtl/>
        </w:rPr>
        <w:t>لَّذِي</w:t>
      </w:r>
      <w:r w:rsidRPr="0067048A">
        <w:rPr>
          <w:rFonts w:ascii="KFGQPC Uthmanic Script HAFS" w:cs="KFGQPC Uthmanic Script HAFS"/>
          <w:sz w:val="28"/>
          <w:szCs w:val="28"/>
          <w:rtl/>
        </w:rPr>
        <w:t xml:space="preserve"> </w:t>
      </w:r>
      <w:r w:rsidRPr="0067048A">
        <w:rPr>
          <w:rFonts w:ascii="KFGQPC Uthmanic Script HAFS" w:cs="KFGQPC Uthmanic Script HAFS" w:hint="eastAsia"/>
          <w:sz w:val="28"/>
          <w:szCs w:val="28"/>
          <w:rtl/>
        </w:rPr>
        <w:t>جَعَلَ</w:t>
      </w:r>
      <w:r w:rsidRPr="0067048A">
        <w:rPr>
          <w:rFonts w:ascii="KFGQPC Uthmanic Script HAFS" w:cs="KFGQPC Uthmanic Script HAFS"/>
          <w:sz w:val="28"/>
          <w:szCs w:val="28"/>
          <w:rtl/>
        </w:rPr>
        <w:t xml:space="preserve"> </w:t>
      </w:r>
      <w:r w:rsidRPr="0067048A">
        <w:rPr>
          <w:rFonts w:ascii="KFGQPC Uthmanic Script HAFS" w:cs="KFGQPC Uthmanic Script HAFS" w:hint="eastAsia"/>
          <w:sz w:val="28"/>
          <w:szCs w:val="28"/>
          <w:rtl/>
        </w:rPr>
        <w:t>لَكُمُ</w:t>
      </w:r>
      <w:r w:rsidRPr="0067048A">
        <w:rPr>
          <w:rFonts w:ascii="KFGQPC Uthmanic Script HAFS" w:cs="KFGQPC Uthmanic Script HAFS"/>
          <w:sz w:val="28"/>
          <w:szCs w:val="28"/>
          <w:rtl/>
        </w:rPr>
        <w:t xml:space="preserve"> </w:t>
      </w:r>
      <w:r w:rsidRPr="0067048A">
        <w:rPr>
          <w:rFonts w:ascii="KFGQPC Uthmanic Script HAFS" w:cs="KFGQPC Uthmanic Script HAFS" w:hint="cs"/>
          <w:sz w:val="28"/>
          <w:szCs w:val="28"/>
          <w:rtl/>
        </w:rPr>
        <w:t>ٱ</w:t>
      </w:r>
      <w:r w:rsidRPr="0067048A">
        <w:rPr>
          <w:rFonts w:ascii="KFGQPC Uthmanic Script HAFS" w:cs="KFGQPC Uthmanic Script HAFS" w:hint="eastAsia"/>
          <w:sz w:val="28"/>
          <w:szCs w:val="28"/>
          <w:rtl/>
        </w:rPr>
        <w:t>ل</w:t>
      </w:r>
      <w:r w:rsidRPr="0067048A">
        <w:rPr>
          <w:rFonts w:ascii="KFGQPC Uthmanic Script HAFS" w:cs="KFGQPC Uthmanic Script HAFS" w:hint="cs"/>
          <w:sz w:val="28"/>
          <w:szCs w:val="28"/>
          <w:rtl/>
        </w:rPr>
        <w:t>ۡ</w:t>
      </w:r>
      <w:r w:rsidRPr="0067048A">
        <w:rPr>
          <w:rFonts w:ascii="KFGQPC Uthmanic Script HAFS" w:cs="KFGQPC Uthmanic Script HAFS" w:hint="eastAsia"/>
          <w:sz w:val="28"/>
          <w:szCs w:val="28"/>
          <w:rtl/>
        </w:rPr>
        <w:t>أَر</w:t>
      </w:r>
      <w:r w:rsidRPr="0067048A">
        <w:rPr>
          <w:rFonts w:ascii="KFGQPC Uthmanic Script HAFS" w:cs="KFGQPC Uthmanic Script HAFS" w:hint="cs"/>
          <w:sz w:val="28"/>
          <w:szCs w:val="28"/>
          <w:rtl/>
        </w:rPr>
        <w:t>ۡ</w:t>
      </w:r>
      <w:r w:rsidRPr="0067048A">
        <w:rPr>
          <w:rFonts w:ascii="KFGQPC Uthmanic Script HAFS" w:cs="KFGQPC Uthmanic Script HAFS" w:hint="eastAsia"/>
          <w:sz w:val="28"/>
          <w:szCs w:val="28"/>
          <w:rtl/>
        </w:rPr>
        <w:t>ضَ</w:t>
      </w:r>
      <w:r w:rsidRPr="0067048A">
        <w:rPr>
          <w:rFonts w:ascii="KFGQPC Uthmanic Script HAFS" w:cs="KFGQPC Uthmanic Script HAFS"/>
          <w:sz w:val="28"/>
          <w:szCs w:val="28"/>
          <w:rtl/>
        </w:rPr>
        <w:t xml:space="preserve"> </w:t>
      </w:r>
      <w:r w:rsidRPr="0067048A">
        <w:rPr>
          <w:rFonts w:ascii="KFGQPC Uthmanic Script HAFS" w:cs="KFGQPC Uthmanic Script HAFS" w:hint="eastAsia"/>
          <w:sz w:val="28"/>
          <w:szCs w:val="28"/>
          <w:rtl/>
        </w:rPr>
        <w:t>ذَلُول</w:t>
      </w:r>
      <w:r w:rsidRPr="0067048A">
        <w:rPr>
          <w:rFonts w:ascii="KFGQPC Uthmanic Script HAFS" w:cs="KFGQPC Uthmanic Script HAFS" w:hint="cs"/>
          <w:sz w:val="28"/>
          <w:szCs w:val="28"/>
          <w:rtl/>
        </w:rPr>
        <w:t>ٗ</w:t>
      </w:r>
      <w:r w:rsidRPr="0067048A">
        <w:rPr>
          <w:rFonts w:ascii="KFGQPC Uthmanic Script HAFS" w:cs="KFGQPC Uthmanic Script HAFS" w:hint="eastAsia"/>
          <w:sz w:val="28"/>
          <w:szCs w:val="28"/>
          <w:rtl/>
        </w:rPr>
        <w:t>ا</w:t>
      </w:r>
      <w:r w:rsidRPr="0067048A">
        <w:rPr>
          <w:rFonts w:ascii="KFGQPC Uthmanic Script HAFS" w:cs="KFGQPC Uthmanic Script HAFS"/>
          <w:sz w:val="28"/>
          <w:szCs w:val="28"/>
          <w:rtl/>
        </w:rPr>
        <w:t xml:space="preserve"> </w:t>
      </w:r>
      <w:r w:rsidRPr="0067048A">
        <w:rPr>
          <w:rFonts w:ascii="KFGQPC Uthmanic Script HAFS" w:cs="KFGQPC Uthmanic Script HAFS" w:hint="eastAsia"/>
          <w:sz w:val="28"/>
          <w:szCs w:val="28"/>
          <w:rtl/>
        </w:rPr>
        <w:t>فَ</w:t>
      </w:r>
      <w:r w:rsidRPr="0067048A">
        <w:rPr>
          <w:rFonts w:ascii="KFGQPC Uthmanic Script HAFS" w:cs="KFGQPC Uthmanic Script HAFS" w:hint="cs"/>
          <w:sz w:val="28"/>
          <w:szCs w:val="28"/>
          <w:rtl/>
        </w:rPr>
        <w:t>ٱ</w:t>
      </w:r>
      <w:r w:rsidRPr="0067048A">
        <w:rPr>
          <w:rFonts w:ascii="KFGQPC Uthmanic Script HAFS" w:cs="KFGQPC Uthmanic Script HAFS" w:hint="eastAsia"/>
          <w:sz w:val="28"/>
          <w:szCs w:val="28"/>
          <w:rtl/>
        </w:rPr>
        <w:t>م</w:t>
      </w:r>
      <w:r w:rsidRPr="0067048A">
        <w:rPr>
          <w:rFonts w:ascii="KFGQPC Uthmanic Script HAFS" w:cs="KFGQPC Uthmanic Script HAFS" w:hint="cs"/>
          <w:sz w:val="28"/>
          <w:szCs w:val="28"/>
          <w:rtl/>
        </w:rPr>
        <w:t>ۡ</w:t>
      </w:r>
      <w:r w:rsidRPr="0067048A">
        <w:rPr>
          <w:rFonts w:ascii="KFGQPC Uthmanic Script HAFS" w:cs="KFGQPC Uthmanic Script HAFS" w:hint="eastAsia"/>
          <w:sz w:val="28"/>
          <w:szCs w:val="28"/>
          <w:rtl/>
        </w:rPr>
        <w:t>شُواْ</w:t>
      </w:r>
      <w:r w:rsidRPr="0067048A">
        <w:rPr>
          <w:rFonts w:ascii="KFGQPC Uthmanic Script HAFS" w:cs="KFGQPC Uthmanic Script HAFS"/>
          <w:sz w:val="28"/>
          <w:szCs w:val="28"/>
          <w:rtl/>
        </w:rPr>
        <w:t xml:space="preserve"> </w:t>
      </w:r>
      <w:r w:rsidRPr="0067048A">
        <w:rPr>
          <w:rFonts w:ascii="KFGQPC Uthmanic Script HAFS" w:cs="KFGQPC Uthmanic Script HAFS" w:hint="eastAsia"/>
          <w:sz w:val="28"/>
          <w:szCs w:val="28"/>
          <w:rtl/>
        </w:rPr>
        <w:t>فِي</w:t>
      </w:r>
      <w:r w:rsidRPr="0067048A">
        <w:rPr>
          <w:rFonts w:ascii="KFGQPC Uthmanic Script HAFS" w:cs="KFGQPC Uthmanic Script HAFS"/>
          <w:sz w:val="28"/>
          <w:szCs w:val="28"/>
          <w:rtl/>
        </w:rPr>
        <w:t xml:space="preserve"> </w:t>
      </w:r>
      <w:r w:rsidRPr="0067048A">
        <w:rPr>
          <w:rFonts w:ascii="KFGQPC Uthmanic Script HAFS" w:cs="KFGQPC Uthmanic Script HAFS" w:hint="eastAsia"/>
          <w:sz w:val="28"/>
          <w:szCs w:val="28"/>
          <w:rtl/>
        </w:rPr>
        <w:t>مَنَاكِبِهَا</w:t>
      </w:r>
      <w:r w:rsidRPr="0067048A">
        <w:rPr>
          <w:rFonts w:ascii="KFGQPC Uthmanic Script HAFS" w:cs="KFGQPC Uthmanic Script HAFS"/>
          <w:sz w:val="28"/>
          <w:szCs w:val="28"/>
          <w:rtl/>
        </w:rPr>
        <w:t xml:space="preserve"> </w:t>
      </w:r>
      <w:r w:rsidRPr="0067048A">
        <w:rPr>
          <w:rFonts w:ascii="KFGQPC Uthmanic Script HAFS" w:cs="KFGQPC Uthmanic Script HAFS" w:hint="eastAsia"/>
          <w:sz w:val="28"/>
          <w:szCs w:val="28"/>
          <w:rtl/>
        </w:rPr>
        <w:t>وَكُلُواْ</w:t>
      </w:r>
      <w:r w:rsidRPr="0067048A">
        <w:rPr>
          <w:rFonts w:ascii="KFGQPC Uthmanic Script HAFS" w:cs="KFGQPC Uthmanic Script HAFS"/>
          <w:sz w:val="28"/>
          <w:szCs w:val="28"/>
          <w:rtl/>
        </w:rPr>
        <w:t xml:space="preserve"> </w:t>
      </w:r>
      <w:r w:rsidRPr="0067048A">
        <w:rPr>
          <w:rFonts w:ascii="KFGQPC Uthmanic Script HAFS" w:cs="KFGQPC Uthmanic Script HAFS" w:hint="eastAsia"/>
          <w:sz w:val="28"/>
          <w:szCs w:val="28"/>
          <w:rtl/>
        </w:rPr>
        <w:t>مِن</w:t>
      </w:r>
      <w:r w:rsidRPr="0067048A">
        <w:rPr>
          <w:rFonts w:ascii="KFGQPC Uthmanic Script HAFS" w:cs="KFGQPC Uthmanic Script HAFS"/>
          <w:sz w:val="28"/>
          <w:szCs w:val="28"/>
          <w:rtl/>
        </w:rPr>
        <w:t xml:space="preserve"> </w:t>
      </w:r>
      <w:r w:rsidRPr="0067048A">
        <w:rPr>
          <w:rFonts w:ascii="KFGQPC Uthmanic Script HAFS" w:cs="KFGQPC Uthmanic Script HAFS" w:hint="eastAsia"/>
          <w:sz w:val="28"/>
          <w:szCs w:val="28"/>
          <w:rtl/>
        </w:rPr>
        <w:t>رِّز</w:t>
      </w:r>
      <w:r w:rsidRPr="0067048A">
        <w:rPr>
          <w:rFonts w:ascii="KFGQPC Uthmanic Script HAFS" w:cs="KFGQPC Uthmanic Script HAFS" w:hint="cs"/>
          <w:sz w:val="28"/>
          <w:szCs w:val="28"/>
          <w:rtl/>
        </w:rPr>
        <w:t>ۡ</w:t>
      </w:r>
      <w:r w:rsidRPr="0067048A">
        <w:rPr>
          <w:rFonts w:ascii="KFGQPC Uthmanic Script HAFS" w:cs="KFGQPC Uthmanic Script HAFS" w:hint="eastAsia"/>
          <w:sz w:val="28"/>
          <w:szCs w:val="28"/>
          <w:rtl/>
        </w:rPr>
        <w:t>قِهِ</w:t>
      </w:r>
      <w:r w:rsidRPr="00995B26">
        <w:rPr>
          <w:rFonts w:ascii="Abo-thar" w:hAnsi="Abo-thar" w:cs="Traditional Arabic" w:hint="cs"/>
          <w:sz w:val="28"/>
          <w:rtl/>
          <w:lang w:bidi="ar-SY"/>
        </w:rPr>
        <w:t>﴾</w:t>
      </w:r>
      <w:r w:rsidR="005C664D" w:rsidRPr="003F3B94">
        <w:rPr>
          <w:rFonts w:hint="cs"/>
          <w:sz w:val="28"/>
          <w:rtl/>
        </w:rPr>
        <w:t xml:space="preserve"> </w:t>
      </w:r>
      <w:r w:rsidR="005C664D" w:rsidRPr="009E1401">
        <w:rPr>
          <w:rStyle w:val="Char2"/>
          <w:rFonts w:hint="cs"/>
          <w:rtl/>
        </w:rPr>
        <w:t>[الملك</w:t>
      </w:r>
      <w:r w:rsidRPr="009E1401">
        <w:rPr>
          <w:rStyle w:val="Char2"/>
          <w:rFonts w:hint="cs"/>
          <w:rtl/>
        </w:rPr>
        <w:t xml:space="preserve">: </w:t>
      </w:r>
      <w:r w:rsidR="005C664D" w:rsidRPr="009E1401">
        <w:rPr>
          <w:rStyle w:val="Char2"/>
          <w:rFonts w:hint="cs"/>
          <w:rtl/>
        </w:rPr>
        <w:t>15]</w:t>
      </w:r>
      <w:r w:rsidR="00217AB4" w:rsidRPr="003F3B94">
        <w:rPr>
          <w:rFonts w:hint="cs"/>
          <w:sz w:val="28"/>
          <w:rtl/>
        </w:rPr>
        <w:t>.</w:t>
      </w:r>
    </w:p>
    <w:p w:rsidR="005C664D" w:rsidRPr="003F3B94" w:rsidRDefault="00B06788" w:rsidP="009E1401">
      <w:pPr>
        <w:pStyle w:val="a0"/>
        <w:ind w:left="284" w:firstLine="0"/>
        <w:rPr>
          <w:rFonts w:hint="cs"/>
          <w:rtl/>
        </w:rPr>
      </w:pPr>
      <w:r w:rsidRPr="00995B26">
        <w:rPr>
          <w:rFonts w:ascii="Abo-thar" w:hAnsi="Abo-thar" w:cs="Traditional Arabic" w:hint="cs"/>
          <w:sz w:val="28"/>
          <w:rtl/>
          <w:lang w:bidi="ar-SY"/>
        </w:rPr>
        <w:t>﴿</w:t>
      </w:r>
      <w:r w:rsidRPr="0067048A">
        <w:rPr>
          <w:rFonts w:ascii="KFGQPC Uthmanic Script HAFS" w:cs="KFGQPC Uthmanic Script HAFS" w:hint="eastAsia"/>
          <w:sz w:val="28"/>
          <w:szCs w:val="28"/>
          <w:rtl/>
        </w:rPr>
        <w:t>وَلَقَد</w:t>
      </w:r>
      <w:r w:rsidRPr="0067048A">
        <w:rPr>
          <w:rFonts w:ascii="KFGQPC Uthmanic Script HAFS" w:cs="KFGQPC Uthmanic Script HAFS" w:hint="cs"/>
          <w:sz w:val="28"/>
          <w:szCs w:val="28"/>
          <w:rtl/>
        </w:rPr>
        <w:t>ۡ</w:t>
      </w:r>
      <w:r w:rsidRPr="0067048A">
        <w:rPr>
          <w:rFonts w:ascii="KFGQPC Uthmanic Script HAFS" w:cs="KFGQPC Uthmanic Script HAFS"/>
          <w:sz w:val="28"/>
          <w:szCs w:val="28"/>
          <w:rtl/>
        </w:rPr>
        <w:t xml:space="preserve"> </w:t>
      </w:r>
      <w:r w:rsidRPr="0067048A">
        <w:rPr>
          <w:rFonts w:ascii="KFGQPC Uthmanic Script HAFS" w:cs="KFGQPC Uthmanic Script HAFS" w:hint="eastAsia"/>
          <w:sz w:val="28"/>
          <w:szCs w:val="28"/>
          <w:rtl/>
        </w:rPr>
        <w:t>مَكَّنَّ</w:t>
      </w:r>
      <w:r w:rsidRPr="0067048A">
        <w:rPr>
          <w:rFonts w:ascii="KFGQPC Uthmanic Script HAFS" w:cs="KFGQPC Uthmanic Script HAFS" w:hint="cs"/>
          <w:sz w:val="28"/>
          <w:szCs w:val="28"/>
          <w:rtl/>
        </w:rPr>
        <w:t>ٰ</w:t>
      </w:r>
      <w:r w:rsidRPr="0067048A">
        <w:rPr>
          <w:rFonts w:ascii="KFGQPC Uthmanic Script HAFS" w:cs="KFGQPC Uthmanic Script HAFS" w:hint="eastAsia"/>
          <w:sz w:val="28"/>
          <w:szCs w:val="28"/>
          <w:rtl/>
        </w:rPr>
        <w:t>كُم</w:t>
      </w:r>
      <w:r w:rsidRPr="0067048A">
        <w:rPr>
          <w:rFonts w:ascii="KFGQPC Uthmanic Script HAFS" w:cs="KFGQPC Uthmanic Script HAFS" w:hint="cs"/>
          <w:sz w:val="28"/>
          <w:szCs w:val="28"/>
          <w:rtl/>
        </w:rPr>
        <w:t>ۡ</w:t>
      </w:r>
      <w:r w:rsidRPr="0067048A">
        <w:rPr>
          <w:rFonts w:ascii="KFGQPC Uthmanic Script HAFS" w:cs="KFGQPC Uthmanic Script HAFS"/>
          <w:sz w:val="28"/>
          <w:szCs w:val="28"/>
          <w:rtl/>
        </w:rPr>
        <w:t xml:space="preserve"> </w:t>
      </w:r>
      <w:r w:rsidRPr="0067048A">
        <w:rPr>
          <w:rFonts w:ascii="KFGQPC Uthmanic Script HAFS" w:cs="KFGQPC Uthmanic Script HAFS" w:hint="eastAsia"/>
          <w:sz w:val="28"/>
          <w:szCs w:val="28"/>
          <w:rtl/>
        </w:rPr>
        <w:t>فِي</w:t>
      </w:r>
      <w:r w:rsidRPr="0067048A">
        <w:rPr>
          <w:rFonts w:ascii="KFGQPC Uthmanic Script HAFS" w:cs="KFGQPC Uthmanic Script HAFS"/>
          <w:sz w:val="28"/>
          <w:szCs w:val="28"/>
          <w:rtl/>
        </w:rPr>
        <w:t xml:space="preserve"> </w:t>
      </w:r>
      <w:r w:rsidRPr="0067048A">
        <w:rPr>
          <w:rFonts w:ascii="KFGQPC Uthmanic Script HAFS" w:cs="KFGQPC Uthmanic Script HAFS" w:hint="cs"/>
          <w:sz w:val="28"/>
          <w:szCs w:val="28"/>
          <w:rtl/>
        </w:rPr>
        <w:t>ٱ</w:t>
      </w:r>
      <w:r w:rsidRPr="0067048A">
        <w:rPr>
          <w:rFonts w:ascii="KFGQPC Uthmanic Script HAFS" w:cs="KFGQPC Uthmanic Script HAFS" w:hint="eastAsia"/>
          <w:sz w:val="28"/>
          <w:szCs w:val="28"/>
          <w:rtl/>
        </w:rPr>
        <w:t>ل</w:t>
      </w:r>
      <w:r w:rsidRPr="0067048A">
        <w:rPr>
          <w:rFonts w:ascii="KFGQPC Uthmanic Script HAFS" w:cs="KFGQPC Uthmanic Script HAFS" w:hint="cs"/>
          <w:sz w:val="28"/>
          <w:szCs w:val="28"/>
          <w:rtl/>
        </w:rPr>
        <w:t>ۡ</w:t>
      </w:r>
      <w:r w:rsidRPr="0067048A">
        <w:rPr>
          <w:rFonts w:ascii="KFGQPC Uthmanic Script HAFS" w:cs="KFGQPC Uthmanic Script HAFS" w:hint="eastAsia"/>
          <w:sz w:val="28"/>
          <w:szCs w:val="28"/>
          <w:rtl/>
        </w:rPr>
        <w:t>أَر</w:t>
      </w:r>
      <w:r w:rsidRPr="0067048A">
        <w:rPr>
          <w:rFonts w:ascii="KFGQPC Uthmanic Script HAFS" w:cs="KFGQPC Uthmanic Script HAFS" w:hint="cs"/>
          <w:sz w:val="28"/>
          <w:szCs w:val="28"/>
          <w:rtl/>
        </w:rPr>
        <w:t>ۡ</w:t>
      </w:r>
      <w:r w:rsidRPr="0067048A">
        <w:rPr>
          <w:rFonts w:ascii="KFGQPC Uthmanic Script HAFS" w:cs="KFGQPC Uthmanic Script HAFS" w:hint="eastAsia"/>
          <w:sz w:val="28"/>
          <w:szCs w:val="28"/>
          <w:rtl/>
        </w:rPr>
        <w:t>ضِ</w:t>
      </w:r>
      <w:r w:rsidRPr="0067048A">
        <w:rPr>
          <w:rFonts w:ascii="KFGQPC Uthmanic Script HAFS" w:cs="KFGQPC Uthmanic Script HAFS"/>
          <w:sz w:val="28"/>
          <w:szCs w:val="28"/>
          <w:rtl/>
        </w:rPr>
        <w:t xml:space="preserve"> </w:t>
      </w:r>
      <w:r w:rsidRPr="0067048A">
        <w:rPr>
          <w:rFonts w:ascii="KFGQPC Uthmanic Script HAFS" w:cs="KFGQPC Uthmanic Script HAFS" w:hint="eastAsia"/>
          <w:sz w:val="28"/>
          <w:szCs w:val="28"/>
          <w:rtl/>
        </w:rPr>
        <w:t>وَجَعَل</w:t>
      </w:r>
      <w:r w:rsidRPr="0067048A">
        <w:rPr>
          <w:rFonts w:ascii="KFGQPC Uthmanic Script HAFS" w:cs="KFGQPC Uthmanic Script HAFS" w:hint="cs"/>
          <w:sz w:val="28"/>
          <w:szCs w:val="28"/>
          <w:rtl/>
        </w:rPr>
        <w:t>ۡ</w:t>
      </w:r>
      <w:r w:rsidRPr="0067048A">
        <w:rPr>
          <w:rFonts w:ascii="KFGQPC Uthmanic Script HAFS" w:cs="KFGQPC Uthmanic Script HAFS" w:hint="eastAsia"/>
          <w:sz w:val="28"/>
          <w:szCs w:val="28"/>
          <w:rtl/>
        </w:rPr>
        <w:t>نَا</w:t>
      </w:r>
      <w:r w:rsidRPr="0067048A">
        <w:rPr>
          <w:rFonts w:ascii="KFGQPC Uthmanic Script HAFS" w:cs="KFGQPC Uthmanic Script HAFS"/>
          <w:sz w:val="28"/>
          <w:szCs w:val="28"/>
          <w:rtl/>
        </w:rPr>
        <w:t xml:space="preserve"> </w:t>
      </w:r>
      <w:r w:rsidRPr="0067048A">
        <w:rPr>
          <w:rFonts w:ascii="KFGQPC Uthmanic Script HAFS" w:cs="KFGQPC Uthmanic Script HAFS" w:hint="eastAsia"/>
          <w:sz w:val="28"/>
          <w:szCs w:val="28"/>
          <w:rtl/>
        </w:rPr>
        <w:t>لَكُم</w:t>
      </w:r>
      <w:r w:rsidRPr="0067048A">
        <w:rPr>
          <w:rFonts w:ascii="KFGQPC Uthmanic Script HAFS" w:cs="KFGQPC Uthmanic Script HAFS" w:hint="cs"/>
          <w:sz w:val="28"/>
          <w:szCs w:val="28"/>
          <w:rtl/>
        </w:rPr>
        <w:t>ۡ</w:t>
      </w:r>
      <w:r w:rsidRPr="0067048A">
        <w:rPr>
          <w:rFonts w:ascii="KFGQPC Uthmanic Script HAFS" w:cs="KFGQPC Uthmanic Script HAFS"/>
          <w:sz w:val="28"/>
          <w:szCs w:val="28"/>
          <w:rtl/>
        </w:rPr>
        <w:t xml:space="preserve"> </w:t>
      </w:r>
      <w:r w:rsidRPr="0067048A">
        <w:rPr>
          <w:rFonts w:ascii="KFGQPC Uthmanic Script HAFS" w:cs="KFGQPC Uthmanic Script HAFS" w:hint="eastAsia"/>
          <w:sz w:val="28"/>
          <w:szCs w:val="28"/>
          <w:rtl/>
        </w:rPr>
        <w:t>فِيهَا</w:t>
      </w:r>
      <w:r w:rsidRPr="0067048A">
        <w:rPr>
          <w:rFonts w:ascii="KFGQPC Uthmanic Script HAFS" w:cs="KFGQPC Uthmanic Script HAFS"/>
          <w:sz w:val="28"/>
          <w:szCs w:val="28"/>
          <w:rtl/>
        </w:rPr>
        <w:t xml:space="preserve"> </w:t>
      </w:r>
      <w:r w:rsidRPr="0067048A">
        <w:rPr>
          <w:rFonts w:ascii="KFGQPC Uthmanic Script HAFS" w:cs="KFGQPC Uthmanic Script HAFS" w:hint="eastAsia"/>
          <w:sz w:val="28"/>
          <w:szCs w:val="28"/>
          <w:rtl/>
        </w:rPr>
        <w:t>مَعَ</w:t>
      </w:r>
      <w:r w:rsidRPr="0067048A">
        <w:rPr>
          <w:rFonts w:ascii="KFGQPC Uthmanic Script HAFS" w:cs="KFGQPC Uthmanic Script HAFS" w:hint="cs"/>
          <w:sz w:val="28"/>
          <w:szCs w:val="28"/>
          <w:rtl/>
        </w:rPr>
        <w:t>ٰ</w:t>
      </w:r>
      <w:r w:rsidRPr="0067048A">
        <w:rPr>
          <w:rFonts w:ascii="KFGQPC Uthmanic Script HAFS" w:cs="KFGQPC Uthmanic Script HAFS" w:hint="eastAsia"/>
          <w:sz w:val="28"/>
          <w:szCs w:val="28"/>
          <w:rtl/>
        </w:rPr>
        <w:t>يِشَ</w:t>
      </w:r>
      <w:r w:rsidRPr="0067048A">
        <w:rPr>
          <w:rFonts w:ascii="KFGQPC Uthmanic Script HAFS" w:cs="KFGQPC Uthmanic Script HAFS" w:hint="cs"/>
          <w:sz w:val="28"/>
          <w:szCs w:val="28"/>
          <w:rtl/>
        </w:rPr>
        <w:t>ۗ</w:t>
      </w:r>
      <w:r w:rsidRPr="0067048A">
        <w:rPr>
          <w:rFonts w:ascii="KFGQPC Uthmanic Script HAFS" w:cs="KFGQPC Uthmanic Script HAFS"/>
          <w:sz w:val="28"/>
          <w:szCs w:val="28"/>
          <w:rtl/>
        </w:rPr>
        <w:t xml:space="preserve"> </w:t>
      </w:r>
      <w:r w:rsidRPr="0067048A">
        <w:rPr>
          <w:rFonts w:ascii="KFGQPC Uthmanic Script HAFS" w:cs="KFGQPC Uthmanic Script HAFS" w:hint="eastAsia"/>
          <w:sz w:val="28"/>
          <w:szCs w:val="28"/>
          <w:rtl/>
        </w:rPr>
        <w:t>قَلِيل</w:t>
      </w:r>
      <w:r w:rsidRPr="0067048A">
        <w:rPr>
          <w:rFonts w:ascii="KFGQPC Uthmanic Script HAFS" w:cs="KFGQPC Uthmanic Script HAFS" w:hint="cs"/>
          <w:sz w:val="28"/>
          <w:szCs w:val="28"/>
          <w:rtl/>
        </w:rPr>
        <w:t>ٗ</w:t>
      </w:r>
      <w:r w:rsidRPr="0067048A">
        <w:rPr>
          <w:rFonts w:ascii="KFGQPC Uthmanic Script HAFS" w:cs="KFGQPC Uthmanic Script HAFS" w:hint="eastAsia"/>
          <w:sz w:val="28"/>
          <w:szCs w:val="28"/>
          <w:rtl/>
        </w:rPr>
        <w:t>ا</w:t>
      </w:r>
      <w:r w:rsidRPr="0067048A">
        <w:rPr>
          <w:rFonts w:ascii="KFGQPC Uthmanic Script HAFS" w:cs="KFGQPC Uthmanic Script HAFS"/>
          <w:sz w:val="28"/>
          <w:szCs w:val="28"/>
          <w:rtl/>
        </w:rPr>
        <w:t xml:space="preserve"> </w:t>
      </w:r>
      <w:r w:rsidRPr="0067048A">
        <w:rPr>
          <w:rFonts w:ascii="KFGQPC Uthmanic Script HAFS" w:cs="KFGQPC Uthmanic Script HAFS" w:hint="eastAsia"/>
          <w:sz w:val="28"/>
          <w:szCs w:val="28"/>
          <w:rtl/>
        </w:rPr>
        <w:t>مَّا</w:t>
      </w:r>
      <w:r w:rsidRPr="0067048A">
        <w:rPr>
          <w:rFonts w:ascii="KFGQPC Uthmanic Script HAFS" w:cs="KFGQPC Uthmanic Script HAFS"/>
          <w:sz w:val="28"/>
          <w:szCs w:val="28"/>
          <w:rtl/>
        </w:rPr>
        <w:t xml:space="preserve"> </w:t>
      </w:r>
      <w:r w:rsidRPr="0067048A">
        <w:rPr>
          <w:rFonts w:ascii="KFGQPC Uthmanic Script HAFS" w:cs="KFGQPC Uthmanic Script HAFS" w:hint="eastAsia"/>
          <w:sz w:val="28"/>
          <w:szCs w:val="28"/>
          <w:rtl/>
        </w:rPr>
        <w:t>تَش</w:t>
      </w:r>
      <w:r w:rsidRPr="0067048A">
        <w:rPr>
          <w:rFonts w:ascii="KFGQPC Uthmanic Script HAFS" w:cs="KFGQPC Uthmanic Script HAFS" w:hint="cs"/>
          <w:sz w:val="28"/>
          <w:szCs w:val="28"/>
          <w:rtl/>
        </w:rPr>
        <w:t>ۡ</w:t>
      </w:r>
      <w:r w:rsidRPr="0067048A">
        <w:rPr>
          <w:rFonts w:ascii="KFGQPC Uthmanic Script HAFS" w:cs="KFGQPC Uthmanic Script HAFS" w:hint="eastAsia"/>
          <w:sz w:val="28"/>
          <w:szCs w:val="28"/>
          <w:rtl/>
        </w:rPr>
        <w:t>كُرُونَ</w:t>
      </w:r>
      <w:r w:rsidRPr="00995B26">
        <w:rPr>
          <w:rFonts w:ascii="Abo-thar" w:hAnsi="Abo-thar" w:cs="Traditional Arabic" w:hint="cs"/>
          <w:sz w:val="28"/>
          <w:rtl/>
          <w:lang w:bidi="ar-SY"/>
        </w:rPr>
        <w:t>﴾</w:t>
      </w:r>
      <w:r w:rsidRPr="003F3B94">
        <w:rPr>
          <w:rFonts w:hint="cs"/>
          <w:sz w:val="28"/>
          <w:rtl/>
        </w:rPr>
        <w:t xml:space="preserve"> </w:t>
      </w:r>
      <w:r w:rsidR="005C664D" w:rsidRPr="009E1401">
        <w:rPr>
          <w:rStyle w:val="Char2"/>
          <w:rFonts w:hint="cs"/>
          <w:rtl/>
        </w:rPr>
        <w:t>[الأعراف</w:t>
      </w:r>
      <w:r w:rsidRPr="009E1401">
        <w:rPr>
          <w:rStyle w:val="Char2"/>
          <w:rFonts w:hint="cs"/>
          <w:rtl/>
        </w:rPr>
        <w:t xml:space="preserve">: </w:t>
      </w:r>
      <w:r w:rsidR="005C664D" w:rsidRPr="009E1401">
        <w:rPr>
          <w:rStyle w:val="Char2"/>
          <w:rFonts w:hint="cs"/>
          <w:rtl/>
        </w:rPr>
        <w:t>10]</w:t>
      </w:r>
      <w:r w:rsidR="00217AB4" w:rsidRPr="003F3B94">
        <w:rPr>
          <w:rFonts w:hint="cs"/>
          <w:sz w:val="28"/>
          <w:rtl/>
        </w:rPr>
        <w:t>.</w:t>
      </w:r>
    </w:p>
    <w:p w:rsidR="005C664D" w:rsidRPr="003F3B94" w:rsidRDefault="00B06788" w:rsidP="009E1401">
      <w:pPr>
        <w:pStyle w:val="a0"/>
        <w:ind w:left="284" w:firstLine="0"/>
        <w:rPr>
          <w:rFonts w:hint="cs"/>
          <w:rtl/>
        </w:rPr>
      </w:pPr>
      <w:r w:rsidRPr="00995B26">
        <w:rPr>
          <w:rFonts w:ascii="Abo-thar" w:hAnsi="Abo-thar" w:cs="Traditional Arabic" w:hint="cs"/>
          <w:sz w:val="28"/>
          <w:rtl/>
          <w:lang w:bidi="ar-SY"/>
        </w:rPr>
        <w:t>﴿</w:t>
      </w:r>
      <w:r w:rsidRPr="0067048A">
        <w:rPr>
          <w:rFonts w:ascii="KFGQPC Uthmanic Script HAFS" w:cs="KFGQPC Uthmanic Script HAFS" w:hint="cs"/>
          <w:sz w:val="28"/>
          <w:szCs w:val="28"/>
          <w:rtl/>
        </w:rPr>
        <w:t>ٱ</w:t>
      </w:r>
      <w:r w:rsidRPr="0067048A">
        <w:rPr>
          <w:rFonts w:ascii="KFGQPC Uthmanic Script HAFS" w:cs="KFGQPC Uthmanic Script HAFS" w:hint="eastAsia"/>
          <w:sz w:val="28"/>
          <w:szCs w:val="28"/>
          <w:rtl/>
        </w:rPr>
        <w:t>ه</w:t>
      </w:r>
      <w:r w:rsidRPr="0067048A">
        <w:rPr>
          <w:rFonts w:ascii="KFGQPC Uthmanic Script HAFS" w:cs="KFGQPC Uthmanic Script HAFS" w:hint="cs"/>
          <w:sz w:val="28"/>
          <w:szCs w:val="28"/>
          <w:rtl/>
        </w:rPr>
        <w:t>ۡ</w:t>
      </w:r>
      <w:r w:rsidRPr="0067048A">
        <w:rPr>
          <w:rFonts w:ascii="KFGQPC Uthmanic Script HAFS" w:cs="KFGQPC Uthmanic Script HAFS" w:hint="eastAsia"/>
          <w:sz w:val="28"/>
          <w:szCs w:val="28"/>
          <w:rtl/>
        </w:rPr>
        <w:t>بِطُواْ</w:t>
      </w:r>
      <w:r w:rsidRPr="0067048A">
        <w:rPr>
          <w:rFonts w:ascii="KFGQPC Uthmanic Script HAFS" w:cs="KFGQPC Uthmanic Script HAFS"/>
          <w:sz w:val="28"/>
          <w:szCs w:val="28"/>
          <w:rtl/>
        </w:rPr>
        <w:t xml:space="preserve"> </w:t>
      </w:r>
      <w:r w:rsidRPr="0067048A">
        <w:rPr>
          <w:rFonts w:ascii="KFGQPC Uthmanic Script HAFS" w:cs="KFGQPC Uthmanic Script HAFS" w:hint="eastAsia"/>
          <w:sz w:val="28"/>
          <w:szCs w:val="28"/>
          <w:rtl/>
        </w:rPr>
        <w:t>بَع</w:t>
      </w:r>
      <w:r w:rsidRPr="0067048A">
        <w:rPr>
          <w:rFonts w:ascii="KFGQPC Uthmanic Script HAFS" w:cs="KFGQPC Uthmanic Script HAFS" w:hint="cs"/>
          <w:sz w:val="28"/>
          <w:szCs w:val="28"/>
          <w:rtl/>
        </w:rPr>
        <w:t>ۡ</w:t>
      </w:r>
      <w:r w:rsidRPr="0067048A">
        <w:rPr>
          <w:rFonts w:ascii="KFGQPC Uthmanic Script HAFS" w:cs="KFGQPC Uthmanic Script HAFS" w:hint="eastAsia"/>
          <w:sz w:val="28"/>
          <w:szCs w:val="28"/>
          <w:rtl/>
        </w:rPr>
        <w:t>ضُكُم</w:t>
      </w:r>
      <w:r w:rsidRPr="0067048A">
        <w:rPr>
          <w:rFonts w:ascii="KFGQPC Uthmanic Script HAFS" w:cs="KFGQPC Uthmanic Script HAFS" w:hint="cs"/>
          <w:sz w:val="28"/>
          <w:szCs w:val="28"/>
          <w:rtl/>
        </w:rPr>
        <w:t>ۡ</w:t>
      </w:r>
      <w:r w:rsidRPr="0067048A">
        <w:rPr>
          <w:rFonts w:ascii="KFGQPC Uthmanic Script HAFS" w:cs="KFGQPC Uthmanic Script HAFS"/>
          <w:sz w:val="28"/>
          <w:szCs w:val="28"/>
          <w:rtl/>
        </w:rPr>
        <w:t xml:space="preserve"> </w:t>
      </w:r>
      <w:r w:rsidRPr="0067048A">
        <w:rPr>
          <w:rFonts w:ascii="KFGQPC Uthmanic Script HAFS" w:cs="KFGQPC Uthmanic Script HAFS" w:hint="eastAsia"/>
          <w:sz w:val="28"/>
          <w:szCs w:val="28"/>
          <w:rtl/>
        </w:rPr>
        <w:t>لِبَع</w:t>
      </w:r>
      <w:r w:rsidRPr="0067048A">
        <w:rPr>
          <w:rFonts w:ascii="KFGQPC Uthmanic Script HAFS" w:cs="KFGQPC Uthmanic Script HAFS" w:hint="cs"/>
          <w:sz w:val="28"/>
          <w:szCs w:val="28"/>
          <w:rtl/>
        </w:rPr>
        <w:t>ۡ</w:t>
      </w:r>
      <w:r w:rsidRPr="0067048A">
        <w:rPr>
          <w:rFonts w:ascii="KFGQPC Uthmanic Script HAFS" w:cs="KFGQPC Uthmanic Script HAFS" w:hint="eastAsia"/>
          <w:sz w:val="28"/>
          <w:szCs w:val="28"/>
          <w:rtl/>
        </w:rPr>
        <w:t>ضٍ</w:t>
      </w:r>
      <w:r w:rsidRPr="0067048A">
        <w:rPr>
          <w:rFonts w:ascii="KFGQPC Uthmanic Script HAFS" w:cs="KFGQPC Uthmanic Script HAFS"/>
          <w:sz w:val="28"/>
          <w:szCs w:val="28"/>
          <w:rtl/>
        </w:rPr>
        <w:t xml:space="preserve"> </w:t>
      </w:r>
      <w:r w:rsidRPr="0067048A">
        <w:rPr>
          <w:rFonts w:ascii="KFGQPC Uthmanic Script HAFS" w:cs="KFGQPC Uthmanic Script HAFS" w:hint="eastAsia"/>
          <w:sz w:val="28"/>
          <w:szCs w:val="28"/>
          <w:rtl/>
        </w:rPr>
        <w:t>عَدُوّ</w:t>
      </w:r>
      <w:r w:rsidRPr="0067048A">
        <w:rPr>
          <w:rFonts w:ascii="KFGQPC Uthmanic Script HAFS" w:cs="KFGQPC Uthmanic Script HAFS" w:hint="cs"/>
          <w:sz w:val="28"/>
          <w:szCs w:val="28"/>
          <w:rtl/>
        </w:rPr>
        <w:t>ٞۖ</w:t>
      </w:r>
      <w:r w:rsidRPr="0067048A">
        <w:rPr>
          <w:rFonts w:ascii="KFGQPC Uthmanic Script HAFS" w:cs="KFGQPC Uthmanic Script HAFS"/>
          <w:sz w:val="28"/>
          <w:szCs w:val="28"/>
          <w:rtl/>
        </w:rPr>
        <w:t xml:space="preserve"> </w:t>
      </w:r>
      <w:r w:rsidRPr="0067048A">
        <w:rPr>
          <w:rFonts w:ascii="KFGQPC Uthmanic Script HAFS" w:cs="KFGQPC Uthmanic Script HAFS" w:hint="eastAsia"/>
          <w:sz w:val="28"/>
          <w:szCs w:val="28"/>
          <w:rtl/>
        </w:rPr>
        <w:t>وَلَكُم</w:t>
      </w:r>
      <w:r w:rsidRPr="0067048A">
        <w:rPr>
          <w:rFonts w:ascii="KFGQPC Uthmanic Script HAFS" w:cs="KFGQPC Uthmanic Script HAFS" w:hint="cs"/>
          <w:sz w:val="28"/>
          <w:szCs w:val="28"/>
          <w:rtl/>
        </w:rPr>
        <w:t>ۡ</w:t>
      </w:r>
      <w:r w:rsidRPr="0067048A">
        <w:rPr>
          <w:rFonts w:ascii="KFGQPC Uthmanic Script HAFS" w:cs="KFGQPC Uthmanic Script HAFS"/>
          <w:sz w:val="28"/>
          <w:szCs w:val="28"/>
          <w:rtl/>
        </w:rPr>
        <w:t xml:space="preserve"> </w:t>
      </w:r>
      <w:r w:rsidRPr="0067048A">
        <w:rPr>
          <w:rFonts w:ascii="KFGQPC Uthmanic Script HAFS" w:cs="KFGQPC Uthmanic Script HAFS" w:hint="eastAsia"/>
          <w:sz w:val="28"/>
          <w:szCs w:val="28"/>
          <w:rtl/>
        </w:rPr>
        <w:t>فِي</w:t>
      </w:r>
      <w:r w:rsidRPr="0067048A">
        <w:rPr>
          <w:rFonts w:ascii="KFGQPC Uthmanic Script HAFS" w:cs="KFGQPC Uthmanic Script HAFS"/>
          <w:sz w:val="28"/>
          <w:szCs w:val="28"/>
          <w:rtl/>
        </w:rPr>
        <w:t xml:space="preserve"> </w:t>
      </w:r>
      <w:r w:rsidRPr="0067048A">
        <w:rPr>
          <w:rFonts w:ascii="KFGQPC Uthmanic Script HAFS" w:cs="KFGQPC Uthmanic Script HAFS" w:hint="cs"/>
          <w:sz w:val="28"/>
          <w:szCs w:val="28"/>
          <w:rtl/>
        </w:rPr>
        <w:t>ٱ</w:t>
      </w:r>
      <w:r w:rsidRPr="0067048A">
        <w:rPr>
          <w:rFonts w:ascii="KFGQPC Uthmanic Script HAFS" w:cs="KFGQPC Uthmanic Script HAFS" w:hint="eastAsia"/>
          <w:sz w:val="28"/>
          <w:szCs w:val="28"/>
          <w:rtl/>
        </w:rPr>
        <w:t>ل</w:t>
      </w:r>
      <w:r w:rsidRPr="0067048A">
        <w:rPr>
          <w:rFonts w:ascii="KFGQPC Uthmanic Script HAFS" w:cs="KFGQPC Uthmanic Script HAFS" w:hint="cs"/>
          <w:sz w:val="28"/>
          <w:szCs w:val="28"/>
          <w:rtl/>
        </w:rPr>
        <w:t>ۡ</w:t>
      </w:r>
      <w:r w:rsidRPr="0067048A">
        <w:rPr>
          <w:rFonts w:ascii="KFGQPC Uthmanic Script HAFS" w:cs="KFGQPC Uthmanic Script HAFS" w:hint="eastAsia"/>
          <w:sz w:val="28"/>
          <w:szCs w:val="28"/>
          <w:rtl/>
        </w:rPr>
        <w:t>أَر</w:t>
      </w:r>
      <w:r w:rsidRPr="0067048A">
        <w:rPr>
          <w:rFonts w:ascii="KFGQPC Uthmanic Script HAFS" w:cs="KFGQPC Uthmanic Script HAFS" w:hint="cs"/>
          <w:sz w:val="28"/>
          <w:szCs w:val="28"/>
          <w:rtl/>
        </w:rPr>
        <w:t>ۡ</w:t>
      </w:r>
      <w:r w:rsidRPr="0067048A">
        <w:rPr>
          <w:rFonts w:ascii="KFGQPC Uthmanic Script HAFS" w:cs="KFGQPC Uthmanic Script HAFS" w:hint="eastAsia"/>
          <w:sz w:val="28"/>
          <w:szCs w:val="28"/>
          <w:rtl/>
        </w:rPr>
        <w:t>ضِ</w:t>
      </w:r>
      <w:r w:rsidRPr="0067048A">
        <w:rPr>
          <w:rFonts w:ascii="KFGQPC Uthmanic Script HAFS" w:cs="KFGQPC Uthmanic Script HAFS"/>
          <w:sz w:val="28"/>
          <w:szCs w:val="28"/>
          <w:rtl/>
        </w:rPr>
        <w:t xml:space="preserve"> </w:t>
      </w:r>
      <w:r w:rsidRPr="0067048A">
        <w:rPr>
          <w:rFonts w:ascii="KFGQPC Uthmanic Script HAFS" w:cs="KFGQPC Uthmanic Script HAFS" w:hint="eastAsia"/>
          <w:sz w:val="28"/>
          <w:szCs w:val="28"/>
          <w:rtl/>
        </w:rPr>
        <w:t>مُس</w:t>
      </w:r>
      <w:r w:rsidRPr="0067048A">
        <w:rPr>
          <w:rFonts w:ascii="KFGQPC Uthmanic Script HAFS" w:cs="KFGQPC Uthmanic Script HAFS" w:hint="cs"/>
          <w:sz w:val="28"/>
          <w:szCs w:val="28"/>
          <w:rtl/>
        </w:rPr>
        <w:t>ۡ</w:t>
      </w:r>
      <w:r w:rsidRPr="0067048A">
        <w:rPr>
          <w:rFonts w:ascii="KFGQPC Uthmanic Script HAFS" w:cs="KFGQPC Uthmanic Script HAFS" w:hint="eastAsia"/>
          <w:sz w:val="28"/>
          <w:szCs w:val="28"/>
          <w:rtl/>
        </w:rPr>
        <w:t>تَقَرّ</w:t>
      </w:r>
      <w:r w:rsidRPr="0067048A">
        <w:rPr>
          <w:rFonts w:ascii="KFGQPC Uthmanic Script HAFS" w:cs="KFGQPC Uthmanic Script HAFS" w:hint="cs"/>
          <w:sz w:val="28"/>
          <w:szCs w:val="28"/>
          <w:rtl/>
        </w:rPr>
        <w:t>ٞ</w:t>
      </w:r>
      <w:r w:rsidRPr="0067048A">
        <w:rPr>
          <w:rFonts w:ascii="KFGQPC Uthmanic Script HAFS" w:cs="KFGQPC Uthmanic Script HAFS"/>
          <w:sz w:val="28"/>
          <w:szCs w:val="28"/>
          <w:rtl/>
        </w:rPr>
        <w:t xml:space="preserve"> </w:t>
      </w:r>
      <w:r w:rsidRPr="0067048A">
        <w:rPr>
          <w:rFonts w:ascii="KFGQPC Uthmanic Script HAFS" w:cs="KFGQPC Uthmanic Script HAFS" w:hint="eastAsia"/>
          <w:sz w:val="28"/>
          <w:szCs w:val="28"/>
          <w:rtl/>
        </w:rPr>
        <w:t>وَمَتَ</w:t>
      </w:r>
      <w:r w:rsidRPr="0067048A">
        <w:rPr>
          <w:rFonts w:ascii="KFGQPC Uthmanic Script HAFS" w:cs="KFGQPC Uthmanic Script HAFS" w:hint="cs"/>
          <w:sz w:val="28"/>
          <w:szCs w:val="28"/>
          <w:rtl/>
        </w:rPr>
        <w:t>ٰ</w:t>
      </w:r>
      <w:r w:rsidRPr="0067048A">
        <w:rPr>
          <w:rFonts w:ascii="KFGQPC Uthmanic Script HAFS" w:cs="KFGQPC Uthmanic Script HAFS" w:hint="eastAsia"/>
          <w:sz w:val="28"/>
          <w:szCs w:val="28"/>
          <w:rtl/>
        </w:rPr>
        <w:t>عٌ</w:t>
      </w:r>
      <w:r w:rsidRPr="0067048A">
        <w:rPr>
          <w:rFonts w:ascii="KFGQPC Uthmanic Script HAFS" w:cs="KFGQPC Uthmanic Script HAFS"/>
          <w:sz w:val="28"/>
          <w:szCs w:val="28"/>
          <w:rtl/>
        </w:rPr>
        <w:t xml:space="preserve"> </w:t>
      </w:r>
      <w:r w:rsidRPr="0067048A">
        <w:rPr>
          <w:rFonts w:ascii="KFGQPC Uthmanic Script HAFS" w:cs="KFGQPC Uthmanic Script HAFS" w:hint="eastAsia"/>
          <w:sz w:val="28"/>
          <w:szCs w:val="28"/>
          <w:rtl/>
        </w:rPr>
        <w:t>إِلَى</w:t>
      </w:r>
      <w:r w:rsidRPr="0067048A">
        <w:rPr>
          <w:rFonts w:ascii="KFGQPC Uthmanic Script HAFS" w:cs="KFGQPC Uthmanic Script HAFS" w:hint="cs"/>
          <w:sz w:val="28"/>
          <w:szCs w:val="28"/>
          <w:rtl/>
        </w:rPr>
        <w:t>ٰ</w:t>
      </w:r>
      <w:r w:rsidRPr="0067048A">
        <w:rPr>
          <w:rFonts w:ascii="KFGQPC Uthmanic Script HAFS" w:cs="KFGQPC Uthmanic Script HAFS"/>
          <w:sz w:val="28"/>
          <w:szCs w:val="28"/>
          <w:rtl/>
        </w:rPr>
        <w:t xml:space="preserve"> </w:t>
      </w:r>
      <w:r w:rsidRPr="0067048A">
        <w:rPr>
          <w:rFonts w:ascii="KFGQPC Uthmanic Script HAFS" w:cs="KFGQPC Uthmanic Script HAFS" w:hint="eastAsia"/>
          <w:sz w:val="28"/>
          <w:szCs w:val="28"/>
          <w:rtl/>
        </w:rPr>
        <w:t>حِين</w:t>
      </w:r>
      <w:r w:rsidRPr="0067048A">
        <w:rPr>
          <w:rFonts w:ascii="KFGQPC Uthmanic Script HAFS" w:cs="KFGQPC Uthmanic Script HAFS" w:hint="cs"/>
          <w:sz w:val="28"/>
          <w:szCs w:val="28"/>
          <w:rtl/>
        </w:rPr>
        <w:t>ٖ</w:t>
      </w:r>
      <w:r w:rsidRPr="00995B26">
        <w:rPr>
          <w:rFonts w:ascii="Abo-thar" w:hAnsi="Abo-thar" w:cs="Traditional Arabic" w:hint="cs"/>
          <w:sz w:val="28"/>
          <w:rtl/>
          <w:lang w:bidi="ar-SY"/>
        </w:rPr>
        <w:t>﴾</w:t>
      </w:r>
      <w:r w:rsidRPr="003F3B94">
        <w:rPr>
          <w:rFonts w:hint="cs"/>
          <w:sz w:val="28"/>
          <w:rtl/>
        </w:rPr>
        <w:t xml:space="preserve"> </w:t>
      </w:r>
      <w:r w:rsidR="005C664D" w:rsidRPr="009E1401">
        <w:rPr>
          <w:rStyle w:val="Char2"/>
          <w:rFonts w:hint="cs"/>
          <w:rtl/>
        </w:rPr>
        <w:t>[البقرة</w:t>
      </w:r>
      <w:r w:rsidRPr="009E1401">
        <w:rPr>
          <w:rStyle w:val="Char2"/>
          <w:rFonts w:hint="cs"/>
          <w:rtl/>
        </w:rPr>
        <w:t xml:space="preserve">: </w:t>
      </w:r>
      <w:r w:rsidR="005C664D" w:rsidRPr="009E1401">
        <w:rPr>
          <w:rStyle w:val="Char2"/>
          <w:rFonts w:hint="cs"/>
          <w:rtl/>
        </w:rPr>
        <w:t>36]</w:t>
      </w:r>
      <w:r w:rsidR="00217AB4" w:rsidRPr="003F3B94">
        <w:rPr>
          <w:rFonts w:hint="cs"/>
          <w:sz w:val="28"/>
          <w:rtl/>
        </w:rPr>
        <w:t>.</w:t>
      </w:r>
    </w:p>
    <w:p w:rsidR="005C664D" w:rsidRPr="003F3B94" w:rsidRDefault="00B06788" w:rsidP="003F3B94">
      <w:pPr>
        <w:pStyle w:val="a0"/>
        <w:rPr>
          <w:rFonts w:hint="cs"/>
          <w:rtl/>
        </w:rPr>
      </w:pPr>
      <w:r w:rsidRPr="00995B26">
        <w:rPr>
          <w:rFonts w:ascii="Abo-thar" w:hAnsi="Abo-thar" w:cs="Traditional Arabic" w:hint="cs"/>
          <w:sz w:val="28"/>
          <w:rtl/>
          <w:lang w:bidi="ar-SY"/>
        </w:rPr>
        <w:t>﴿</w:t>
      </w:r>
      <w:r w:rsidRPr="0067048A">
        <w:rPr>
          <w:rFonts w:ascii="KFGQPC Uthmanic Script HAFS" w:cs="KFGQPC Uthmanic Script HAFS" w:hint="eastAsia"/>
          <w:sz w:val="28"/>
          <w:szCs w:val="28"/>
          <w:rtl/>
        </w:rPr>
        <w:t>وَ</w:t>
      </w:r>
      <w:r w:rsidRPr="0067048A">
        <w:rPr>
          <w:rFonts w:ascii="KFGQPC Uthmanic Script HAFS" w:cs="KFGQPC Uthmanic Script HAFS" w:hint="cs"/>
          <w:sz w:val="28"/>
          <w:szCs w:val="28"/>
          <w:rtl/>
        </w:rPr>
        <w:t>ٱ</w:t>
      </w:r>
      <w:r w:rsidRPr="0067048A">
        <w:rPr>
          <w:rFonts w:ascii="KFGQPC Uthmanic Script HAFS" w:cs="KFGQPC Uthmanic Script HAFS" w:hint="eastAsia"/>
          <w:sz w:val="28"/>
          <w:szCs w:val="28"/>
          <w:rtl/>
        </w:rPr>
        <w:t>للَّهُ</w:t>
      </w:r>
      <w:r w:rsidRPr="0067048A">
        <w:rPr>
          <w:rFonts w:ascii="KFGQPC Uthmanic Script HAFS" w:cs="KFGQPC Uthmanic Script HAFS"/>
          <w:sz w:val="28"/>
          <w:szCs w:val="28"/>
          <w:rtl/>
        </w:rPr>
        <w:t xml:space="preserve"> </w:t>
      </w:r>
      <w:r w:rsidRPr="0067048A">
        <w:rPr>
          <w:rFonts w:ascii="KFGQPC Uthmanic Script HAFS" w:cs="KFGQPC Uthmanic Script HAFS" w:hint="eastAsia"/>
          <w:sz w:val="28"/>
          <w:szCs w:val="28"/>
          <w:rtl/>
        </w:rPr>
        <w:t>جَعَلَ</w:t>
      </w:r>
      <w:r w:rsidRPr="0067048A">
        <w:rPr>
          <w:rFonts w:ascii="KFGQPC Uthmanic Script HAFS" w:cs="KFGQPC Uthmanic Script HAFS"/>
          <w:sz w:val="28"/>
          <w:szCs w:val="28"/>
          <w:rtl/>
        </w:rPr>
        <w:t xml:space="preserve"> </w:t>
      </w:r>
      <w:r w:rsidRPr="0067048A">
        <w:rPr>
          <w:rFonts w:ascii="KFGQPC Uthmanic Script HAFS" w:cs="KFGQPC Uthmanic Script HAFS" w:hint="eastAsia"/>
          <w:sz w:val="28"/>
          <w:szCs w:val="28"/>
          <w:rtl/>
        </w:rPr>
        <w:t>لَكُمُ</w:t>
      </w:r>
      <w:r w:rsidRPr="0067048A">
        <w:rPr>
          <w:rFonts w:ascii="KFGQPC Uthmanic Script HAFS" w:cs="KFGQPC Uthmanic Script HAFS"/>
          <w:sz w:val="28"/>
          <w:szCs w:val="28"/>
          <w:rtl/>
        </w:rPr>
        <w:t xml:space="preserve"> </w:t>
      </w:r>
      <w:r w:rsidRPr="0067048A">
        <w:rPr>
          <w:rFonts w:ascii="KFGQPC Uthmanic Script HAFS" w:cs="KFGQPC Uthmanic Script HAFS" w:hint="cs"/>
          <w:sz w:val="28"/>
          <w:szCs w:val="28"/>
          <w:rtl/>
        </w:rPr>
        <w:t>ٱ</w:t>
      </w:r>
      <w:r w:rsidRPr="0067048A">
        <w:rPr>
          <w:rFonts w:ascii="KFGQPC Uthmanic Script HAFS" w:cs="KFGQPC Uthmanic Script HAFS" w:hint="eastAsia"/>
          <w:sz w:val="28"/>
          <w:szCs w:val="28"/>
          <w:rtl/>
        </w:rPr>
        <w:t>ل</w:t>
      </w:r>
      <w:r w:rsidRPr="0067048A">
        <w:rPr>
          <w:rFonts w:ascii="KFGQPC Uthmanic Script HAFS" w:cs="KFGQPC Uthmanic Script HAFS" w:hint="cs"/>
          <w:sz w:val="28"/>
          <w:szCs w:val="28"/>
          <w:rtl/>
        </w:rPr>
        <w:t>ۡ</w:t>
      </w:r>
      <w:r w:rsidRPr="0067048A">
        <w:rPr>
          <w:rFonts w:ascii="KFGQPC Uthmanic Script HAFS" w:cs="KFGQPC Uthmanic Script HAFS" w:hint="eastAsia"/>
          <w:sz w:val="28"/>
          <w:szCs w:val="28"/>
          <w:rtl/>
        </w:rPr>
        <w:t>أَر</w:t>
      </w:r>
      <w:r w:rsidRPr="0067048A">
        <w:rPr>
          <w:rFonts w:ascii="KFGQPC Uthmanic Script HAFS" w:cs="KFGQPC Uthmanic Script HAFS" w:hint="cs"/>
          <w:sz w:val="28"/>
          <w:szCs w:val="28"/>
          <w:rtl/>
        </w:rPr>
        <w:t>ۡ</w:t>
      </w:r>
      <w:r w:rsidRPr="0067048A">
        <w:rPr>
          <w:rFonts w:ascii="KFGQPC Uthmanic Script HAFS" w:cs="KFGQPC Uthmanic Script HAFS" w:hint="eastAsia"/>
          <w:sz w:val="28"/>
          <w:szCs w:val="28"/>
          <w:rtl/>
        </w:rPr>
        <w:t>ضَ</w:t>
      </w:r>
      <w:r w:rsidRPr="0067048A">
        <w:rPr>
          <w:rFonts w:ascii="KFGQPC Uthmanic Script HAFS" w:cs="KFGQPC Uthmanic Script HAFS"/>
          <w:sz w:val="28"/>
          <w:szCs w:val="28"/>
          <w:rtl/>
        </w:rPr>
        <w:t xml:space="preserve"> </w:t>
      </w:r>
      <w:r w:rsidRPr="0067048A">
        <w:rPr>
          <w:rFonts w:ascii="KFGQPC Uthmanic Script HAFS" w:cs="KFGQPC Uthmanic Script HAFS" w:hint="eastAsia"/>
          <w:sz w:val="28"/>
          <w:szCs w:val="28"/>
          <w:rtl/>
        </w:rPr>
        <w:t>بِسَاط</w:t>
      </w:r>
      <w:r w:rsidRPr="0067048A">
        <w:rPr>
          <w:rFonts w:ascii="KFGQPC Uthmanic Script HAFS" w:cs="KFGQPC Uthmanic Script HAFS" w:hint="cs"/>
          <w:sz w:val="28"/>
          <w:szCs w:val="28"/>
          <w:rtl/>
        </w:rPr>
        <w:t>ٗ</w:t>
      </w:r>
      <w:r w:rsidRPr="0067048A">
        <w:rPr>
          <w:rFonts w:ascii="KFGQPC Uthmanic Script HAFS" w:cs="KFGQPC Uthmanic Script HAFS" w:hint="eastAsia"/>
          <w:sz w:val="28"/>
          <w:szCs w:val="28"/>
          <w:rtl/>
        </w:rPr>
        <w:t>ا</w:t>
      </w:r>
      <w:r w:rsidRPr="00995B26">
        <w:rPr>
          <w:rFonts w:ascii="Abo-thar" w:hAnsi="Abo-thar" w:cs="Traditional Arabic" w:hint="cs"/>
          <w:sz w:val="28"/>
          <w:rtl/>
          <w:lang w:bidi="ar-SY"/>
        </w:rPr>
        <w:t>﴾</w:t>
      </w:r>
      <w:r w:rsidRPr="003F3B94">
        <w:rPr>
          <w:rFonts w:hint="cs"/>
          <w:sz w:val="28"/>
          <w:rtl/>
        </w:rPr>
        <w:t xml:space="preserve"> </w:t>
      </w:r>
      <w:r w:rsidR="005C664D" w:rsidRPr="009E1401">
        <w:rPr>
          <w:rStyle w:val="Char2"/>
          <w:rFonts w:hint="cs"/>
          <w:rtl/>
        </w:rPr>
        <w:t>[نوح</w:t>
      </w:r>
      <w:r w:rsidRPr="009E1401">
        <w:rPr>
          <w:rStyle w:val="Char2"/>
          <w:rFonts w:hint="cs"/>
          <w:rtl/>
        </w:rPr>
        <w:t xml:space="preserve">: </w:t>
      </w:r>
      <w:r w:rsidR="005C664D" w:rsidRPr="009E1401">
        <w:rPr>
          <w:rStyle w:val="Char2"/>
          <w:rFonts w:hint="cs"/>
          <w:rtl/>
        </w:rPr>
        <w:t>19]</w:t>
      </w:r>
      <w:r w:rsidR="00217AB4" w:rsidRPr="003F3B94">
        <w:rPr>
          <w:rFonts w:hint="cs"/>
          <w:sz w:val="28"/>
          <w:rtl/>
        </w:rPr>
        <w:t>.</w:t>
      </w:r>
    </w:p>
    <w:p w:rsidR="005C664D" w:rsidRPr="003F3B94" w:rsidRDefault="00B06788" w:rsidP="003F3B94">
      <w:pPr>
        <w:pStyle w:val="a0"/>
        <w:rPr>
          <w:rFonts w:hint="cs"/>
          <w:rtl/>
        </w:rPr>
      </w:pPr>
      <w:r w:rsidRPr="00995B26">
        <w:rPr>
          <w:rFonts w:ascii="Abo-thar" w:hAnsi="Abo-thar" w:cs="Traditional Arabic" w:hint="cs"/>
          <w:sz w:val="28"/>
          <w:rtl/>
          <w:lang w:bidi="ar-SY"/>
        </w:rPr>
        <w:t>﴿</w:t>
      </w:r>
      <w:r w:rsidRPr="0067048A">
        <w:rPr>
          <w:rFonts w:ascii="KFGQPC Uthmanic Script HAFS" w:cs="KFGQPC Uthmanic Script HAFS" w:hint="eastAsia"/>
          <w:sz w:val="28"/>
          <w:szCs w:val="28"/>
          <w:rtl/>
        </w:rPr>
        <w:t>يَ</w:t>
      </w:r>
      <w:r w:rsidRPr="0067048A">
        <w:rPr>
          <w:rFonts w:ascii="KFGQPC Uthmanic Script HAFS" w:cs="KFGQPC Uthmanic Script HAFS" w:hint="cs"/>
          <w:sz w:val="28"/>
          <w:szCs w:val="28"/>
          <w:rtl/>
        </w:rPr>
        <w:t>ٰ</w:t>
      </w:r>
      <w:r w:rsidRPr="0067048A">
        <w:rPr>
          <w:rFonts w:ascii="KFGQPC Uthmanic Script HAFS" w:cs="KFGQPC Uthmanic Script HAFS" w:hint="eastAsia"/>
          <w:sz w:val="28"/>
          <w:szCs w:val="28"/>
          <w:rtl/>
        </w:rPr>
        <w:t>قَو</w:t>
      </w:r>
      <w:r w:rsidRPr="0067048A">
        <w:rPr>
          <w:rFonts w:ascii="KFGQPC Uthmanic Script HAFS" w:cs="KFGQPC Uthmanic Script HAFS" w:hint="cs"/>
          <w:sz w:val="28"/>
          <w:szCs w:val="28"/>
          <w:rtl/>
        </w:rPr>
        <w:t>ۡ</w:t>
      </w:r>
      <w:r w:rsidRPr="0067048A">
        <w:rPr>
          <w:rFonts w:ascii="KFGQPC Uthmanic Script HAFS" w:cs="KFGQPC Uthmanic Script HAFS" w:hint="eastAsia"/>
          <w:sz w:val="28"/>
          <w:szCs w:val="28"/>
          <w:rtl/>
        </w:rPr>
        <w:t>مِ</w:t>
      </w:r>
      <w:r w:rsidRPr="0067048A">
        <w:rPr>
          <w:rFonts w:ascii="KFGQPC Uthmanic Script HAFS" w:cs="KFGQPC Uthmanic Script HAFS"/>
          <w:sz w:val="28"/>
          <w:szCs w:val="28"/>
          <w:rtl/>
        </w:rPr>
        <w:t xml:space="preserve"> </w:t>
      </w:r>
      <w:r w:rsidRPr="0067048A">
        <w:rPr>
          <w:rFonts w:ascii="KFGQPC Uthmanic Script HAFS" w:cs="KFGQPC Uthmanic Script HAFS" w:hint="eastAsia"/>
          <w:sz w:val="28"/>
          <w:szCs w:val="28"/>
          <w:rtl/>
        </w:rPr>
        <w:t>لَكُمُ</w:t>
      </w:r>
      <w:r w:rsidRPr="0067048A">
        <w:rPr>
          <w:rFonts w:ascii="KFGQPC Uthmanic Script HAFS" w:cs="KFGQPC Uthmanic Script HAFS"/>
          <w:sz w:val="28"/>
          <w:szCs w:val="28"/>
          <w:rtl/>
        </w:rPr>
        <w:t xml:space="preserve"> </w:t>
      </w:r>
      <w:r w:rsidRPr="0067048A">
        <w:rPr>
          <w:rFonts w:ascii="KFGQPC Uthmanic Script HAFS" w:cs="KFGQPC Uthmanic Script HAFS" w:hint="cs"/>
          <w:sz w:val="28"/>
          <w:szCs w:val="28"/>
          <w:rtl/>
        </w:rPr>
        <w:t>ٱ</w:t>
      </w:r>
      <w:r w:rsidRPr="0067048A">
        <w:rPr>
          <w:rFonts w:ascii="KFGQPC Uthmanic Script HAFS" w:cs="KFGQPC Uthmanic Script HAFS" w:hint="eastAsia"/>
          <w:sz w:val="28"/>
          <w:szCs w:val="28"/>
          <w:rtl/>
        </w:rPr>
        <w:t>ل</w:t>
      </w:r>
      <w:r w:rsidRPr="0067048A">
        <w:rPr>
          <w:rFonts w:ascii="KFGQPC Uthmanic Script HAFS" w:cs="KFGQPC Uthmanic Script HAFS" w:hint="cs"/>
          <w:sz w:val="28"/>
          <w:szCs w:val="28"/>
          <w:rtl/>
        </w:rPr>
        <w:t>ۡ</w:t>
      </w:r>
      <w:r w:rsidRPr="0067048A">
        <w:rPr>
          <w:rFonts w:ascii="KFGQPC Uthmanic Script HAFS" w:cs="KFGQPC Uthmanic Script HAFS" w:hint="eastAsia"/>
          <w:sz w:val="28"/>
          <w:szCs w:val="28"/>
          <w:rtl/>
        </w:rPr>
        <w:t>مُل</w:t>
      </w:r>
      <w:r w:rsidRPr="0067048A">
        <w:rPr>
          <w:rFonts w:ascii="KFGQPC Uthmanic Script HAFS" w:cs="KFGQPC Uthmanic Script HAFS" w:hint="cs"/>
          <w:sz w:val="28"/>
          <w:szCs w:val="28"/>
          <w:rtl/>
        </w:rPr>
        <w:t>ۡ</w:t>
      </w:r>
      <w:r w:rsidRPr="0067048A">
        <w:rPr>
          <w:rFonts w:ascii="KFGQPC Uthmanic Script HAFS" w:cs="KFGQPC Uthmanic Script HAFS" w:hint="eastAsia"/>
          <w:sz w:val="28"/>
          <w:szCs w:val="28"/>
          <w:rtl/>
        </w:rPr>
        <w:t>كُ</w:t>
      </w:r>
      <w:r w:rsidRPr="0067048A">
        <w:rPr>
          <w:rFonts w:ascii="KFGQPC Uthmanic Script HAFS" w:cs="KFGQPC Uthmanic Script HAFS"/>
          <w:sz w:val="28"/>
          <w:szCs w:val="28"/>
          <w:rtl/>
        </w:rPr>
        <w:t xml:space="preserve"> </w:t>
      </w:r>
      <w:r w:rsidRPr="0067048A">
        <w:rPr>
          <w:rFonts w:ascii="KFGQPC Uthmanic Script HAFS" w:cs="KFGQPC Uthmanic Script HAFS" w:hint="cs"/>
          <w:sz w:val="28"/>
          <w:szCs w:val="28"/>
          <w:rtl/>
        </w:rPr>
        <w:t>ٱ</w:t>
      </w:r>
      <w:r w:rsidRPr="0067048A">
        <w:rPr>
          <w:rFonts w:ascii="KFGQPC Uthmanic Script HAFS" w:cs="KFGQPC Uthmanic Script HAFS" w:hint="eastAsia"/>
          <w:sz w:val="28"/>
          <w:szCs w:val="28"/>
          <w:rtl/>
        </w:rPr>
        <w:t>ل</w:t>
      </w:r>
      <w:r w:rsidRPr="0067048A">
        <w:rPr>
          <w:rFonts w:ascii="KFGQPC Uthmanic Script HAFS" w:cs="KFGQPC Uthmanic Script HAFS" w:hint="cs"/>
          <w:sz w:val="28"/>
          <w:szCs w:val="28"/>
          <w:rtl/>
        </w:rPr>
        <w:t>ۡ</w:t>
      </w:r>
      <w:r w:rsidRPr="0067048A">
        <w:rPr>
          <w:rFonts w:ascii="KFGQPC Uthmanic Script HAFS" w:cs="KFGQPC Uthmanic Script HAFS" w:hint="eastAsia"/>
          <w:sz w:val="28"/>
          <w:szCs w:val="28"/>
          <w:rtl/>
        </w:rPr>
        <w:t>يَو</w:t>
      </w:r>
      <w:r w:rsidRPr="0067048A">
        <w:rPr>
          <w:rFonts w:ascii="KFGQPC Uthmanic Script HAFS" w:cs="KFGQPC Uthmanic Script HAFS" w:hint="cs"/>
          <w:sz w:val="28"/>
          <w:szCs w:val="28"/>
          <w:rtl/>
        </w:rPr>
        <w:t>ۡ</w:t>
      </w:r>
      <w:r w:rsidRPr="0067048A">
        <w:rPr>
          <w:rFonts w:ascii="KFGQPC Uthmanic Script HAFS" w:cs="KFGQPC Uthmanic Script HAFS" w:hint="eastAsia"/>
          <w:sz w:val="28"/>
          <w:szCs w:val="28"/>
          <w:rtl/>
        </w:rPr>
        <w:t>مَ</w:t>
      </w:r>
      <w:r w:rsidRPr="0067048A">
        <w:rPr>
          <w:rFonts w:ascii="KFGQPC Uthmanic Script HAFS" w:cs="KFGQPC Uthmanic Script HAFS"/>
          <w:sz w:val="28"/>
          <w:szCs w:val="28"/>
          <w:rtl/>
        </w:rPr>
        <w:t xml:space="preserve"> </w:t>
      </w:r>
      <w:r w:rsidRPr="0067048A">
        <w:rPr>
          <w:rFonts w:ascii="KFGQPC Uthmanic Script HAFS" w:cs="KFGQPC Uthmanic Script HAFS" w:hint="eastAsia"/>
          <w:sz w:val="28"/>
          <w:szCs w:val="28"/>
          <w:rtl/>
        </w:rPr>
        <w:t>ظَ</w:t>
      </w:r>
      <w:r w:rsidRPr="0067048A">
        <w:rPr>
          <w:rFonts w:ascii="KFGQPC Uthmanic Script HAFS" w:cs="KFGQPC Uthmanic Script HAFS" w:hint="cs"/>
          <w:sz w:val="28"/>
          <w:szCs w:val="28"/>
          <w:rtl/>
        </w:rPr>
        <w:t>ٰ</w:t>
      </w:r>
      <w:r w:rsidRPr="0067048A">
        <w:rPr>
          <w:rFonts w:ascii="KFGQPC Uthmanic Script HAFS" w:cs="KFGQPC Uthmanic Script HAFS" w:hint="eastAsia"/>
          <w:sz w:val="28"/>
          <w:szCs w:val="28"/>
          <w:rtl/>
        </w:rPr>
        <w:t>هِرِينَ</w:t>
      </w:r>
      <w:r w:rsidRPr="0067048A">
        <w:rPr>
          <w:rFonts w:ascii="KFGQPC Uthmanic Script HAFS" w:cs="KFGQPC Uthmanic Script HAFS"/>
          <w:sz w:val="28"/>
          <w:szCs w:val="28"/>
          <w:rtl/>
        </w:rPr>
        <w:t xml:space="preserve"> </w:t>
      </w:r>
      <w:r w:rsidRPr="0067048A">
        <w:rPr>
          <w:rFonts w:ascii="KFGQPC Uthmanic Script HAFS" w:cs="KFGQPC Uthmanic Script HAFS" w:hint="eastAsia"/>
          <w:sz w:val="28"/>
          <w:szCs w:val="28"/>
          <w:rtl/>
        </w:rPr>
        <w:t>فِي</w:t>
      </w:r>
      <w:r w:rsidRPr="0067048A">
        <w:rPr>
          <w:rFonts w:ascii="KFGQPC Uthmanic Script HAFS" w:cs="KFGQPC Uthmanic Script HAFS"/>
          <w:sz w:val="28"/>
          <w:szCs w:val="28"/>
          <w:rtl/>
        </w:rPr>
        <w:t xml:space="preserve"> </w:t>
      </w:r>
      <w:r w:rsidRPr="0067048A">
        <w:rPr>
          <w:rFonts w:ascii="KFGQPC Uthmanic Script HAFS" w:cs="KFGQPC Uthmanic Script HAFS" w:hint="cs"/>
          <w:sz w:val="28"/>
          <w:szCs w:val="28"/>
          <w:rtl/>
        </w:rPr>
        <w:t>ٱ</w:t>
      </w:r>
      <w:r w:rsidRPr="0067048A">
        <w:rPr>
          <w:rFonts w:ascii="KFGQPC Uthmanic Script HAFS" w:cs="KFGQPC Uthmanic Script HAFS" w:hint="eastAsia"/>
          <w:sz w:val="28"/>
          <w:szCs w:val="28"/>
          <w:rtl/>
        </w:rPr>
        <w:t>ل</w:t>
      </w:r>
      <w:r w:rsidRPr="0067048A">
        <w:rPr>
          <w:rFonts w:ascii="KFGQPC Uthmanic Script HAFS" w:cs="KFGQPC Uthmanic Script HAFS" w:hint="cs"/>
          <w:sz w:val="28"/>
          <w:szCs w:val="28"/>
          <w:rtl/>
        </w:rPr>
        <w:t>ۡ</w:t>
      </w:r>
      <w:r w:rsidRPr="0067048A">
        <w:rPr>
          <w:rFonts w:ascii="KFGQPC Uthmanic Script HAFS" w:cs="KFGQPC Uthmanic Script HAFS" w:hint="eastAsia"/>
          <w:sz w:val="28"/>
          <w:szCs w:val="28"/>
          <w:rtl/>
        </w:rPr>
        <w:t>أَر</w:t>
      </w:r>
      <w:r w:rsidRPr="0067048A">
        <w:rPr>
          <w:rFonts w:ascii="KFGQPC Uthmanic Script HAFS" w:cs="KFGQPC Uthmanic Script HAFS" w:hint="cs"/>
          <w:sz w:val="28"/>
          <w:szCs w:val="28"/>
          <w:rtl/>
        </w:rPr>
        <w:t>ۡ</w:t>
      </w:r>
      <w:r w:rsidRPr="0067048A">
        <w:rPr>
          <w:rFonts w:ascii="KFGQPC Uthmanic Script HAFS" w:cs="KFGQPC Uthmanic Script HAFS" w:hint="eastAsia"/>
          <w:sz w:val="28"/>
          <w:szCs w:val="28"/>
          <w:rtl/>
        </w:rPr>
        <w:t>ضِ</w:t>
      </w:r>
      <w:r w:rsidRPr="00995B26">
        <w:rPr>
          <w:rFonts w:ascii="KFGQPC Uthmanic Script HAFS" w:cs="Times New Roman" w:hint="cs"/>
          <w:sz w:val="28"/>
          <w:rtl/>
        </w:rPr>
        <w:t>...</w:t>
      </w:r>
      <w:r w:rsidRPr="00995B26">
        <w:rPr>
          <w:rFonts w:ascii="Abo-thar" w:hAnsi="Abo-thar" w:cs="Traditional Arabic" w:hint="cs"/>
          <w:sz w:val="28"/>
          <w:rtl/>
          <w:lang w:bidi="ar-SY"/>
        </w:rPr>
        <w:t>﴾</w:t>
      </w:r>
      <w:r w:rsidRPr="003F3B94">
        <w:rPr>
          <w:rFonts w:hint="cs"/>
          <w:sz w:val="28"/>
          <w:rtl/>
          <w:lang w:bidi="ar-SY"/>
        </w:rPr>
        <w:t xml:space="preserve"> </w:t>
      </w:r>
      <w:r w:rsidR="005C664D" w:rsidRPr="009E1401">
        <w:rPr>
          <w:rStyle w:val="Char2"/>
          <w:rFonts w:hint="cs"/>
          <w:rtl/>
        </w:rPr>
        <w:t>[غافر</w:t>
      </w:r>
      <w:r w:rsidRPr="009E1401">
        <w:rPr>
          <w:rStyle w:val="Char2"/>
          <w:rFonts w:hint="cs"/>
          <w:rtl/>
        </w:rPr>
        <w:t xml:space="preserve">: </w:t>
      </w:r>
      <w:r w:rsidR="005C664D" w:rsidRPr="009E1401">
        <w:rPr>
          <w:rStyle w:val="Char2"/>
          <w:rFonts w:hint="cs"/>
          <w:rtl/>
        </w:rPr>
        <w:t>29]</w:t>
      </w:r>
      <w:r w:rsidR="00217AB4" w:rsidRPr="003F3B94">
        <w:rPr>
          <w:rFonts w:hint="cs"/>
          <w:sz w:val="28"/>
          <w:rtl/>
          <w:lang w:bidi="ar-SY"/>
        </w:rPr>
        <w:t>.</w:t>
      </w:r>
    </w:p>
    <w:p w:rsidR="005C664D" w:rsidRPr="003F3B94" w:rsidRDefault="005C664D" w:rsidP="003F3B94">
      <w:pPr>
        <w:pStyle w:val="a0"/>
        <w:rPr>
          <w:rFonts w:hint="cs"/>
          <w:rtl/>
        </w:rPr>
      </w:pPr>
      <w:r w:rsidRPr="003F3B94">
        <w:rPr>
          <w:rFonts w:hint="cs"/>
          <w:sz w:val="28"/>
          <w:rtl/>
        </w:rPr>
        <w:t>فاختصاص الأرض بشخص واحد أو بعدة أشخاص معينين لا يتفق مع العقل المتين ولا يؤيده الشرع المبين</w:t>
      </w:r>
      <w:r w:rsidR="00217AB4" w:rsidRPr="003F3B94">
        <w:rPr>
          <w:rFonts w:hint="cs"/>
          <w:sz w:val="28"/>
          <w:rtl/>
        </w:rPr>
        <w:t>،</w:t>
      </w:r>
      <w:r w:rsidRPr="003F3B94">
        <w:rPr>
          <w:rFonts w:hint="cs"/>
          <w:sz w:val="28"/>
          <w:rtl/>
        </w:rPr>
        <w:t xml:space="preserve"> بل كتاب الله ينفي ذلك ويبطله</w:t>
      </w:r>
      <w:r w:rsidR="00217AB4" w:rsidRPr="003F3B94">
        <w:rPr>
          <w:rFonts w:hint="cs"/>
          <w:sz w:val="28"/>
          <w:rtl/>
        </w:rPr>
        <w:t>،</w:t>
      </w:r>
      <w:r w:rsidRPr="003F3B94">
        <w:rPr>
          <w:rFonts w:hint="cs"/>
          <w:sz w:val="28"/>
          <w:rtl/>
        </w:rPr>
        <w:t xml:space="preserve"> ولا يصدِّق مثل ذلك الكلام الذي هو من زخرف القول أيَّاً كان قائله</w:t>
      </w:r>
      <w:r w:rsidR="00217AB4" w:rsidRPr="003F3B94">
        <w:rPr>
          <w:rFonts w:hint="cs"/>
          <w:sz w:val="28"/>
          <w:rtl/>
        </w:rPr>
        <w:t>.</w:t>
      </w:r>
      <w:r w:rsidRPr="003F3B94">
        <w:rPr>
          <w:rFonts w:hint="cs"/>
          <w:sz w:val="28"/>
          <w:rtl/>
        </w:rPr>
        <w:t xml:space="preserve"> وجميع الحقائق المشهودة والآثار المحسوسة الموجودة تبين هذه الحقيقة</w:t>
      </w:r>
      <w:r w:rsidR="00217AB4" w:rsidRPr="003F3B94">
        <w:rPr>
          <w:rFonts w:hint="cs"/>
          <w:sz w:val="28"/>
          <w:rtl/>
        </w:rPr>
        <w:t>.</w:t>
      </w:r>
    </w:p>
    <w:p w:rsidR="005C664D" w:rsidRPr="003F3B94" w:rsidRDefault="005C664D" w:rsidP="003F3B94">
      <w:pPr>
        <w:pStyle w:val="a0"/>
        <w:rPr>
          <w:rFonts w:hint="cs"/>
          <w:rtl/>
        </w:rPr>
      </w:pPr>
      <w:r w:rsidRPr="003F3B94">
        <w:rPr>
          <w:rFonts w:hint="cs"/>
          <w:sz w:val="28"/>
          <w:rtl/>
        </w:rPr>
        <w:t>أما إذا أريد بالدنيا وما فيها الذي جعلته تلك الأخبار للرسول والأئمة</w:t>
      </w:r>
      <w:r w:rsidR="00217AB4" w:rsidRPr="003F3B94">
        <w:rPr>
          <w:rFonts w:hint="cs"/>
          <w:sz w:val="28"/>
          <w:rtl/>
        </w:rPr>
        <w:t>،</w:t>
      </w:r>
      <w:r w:rsidRPr="003F3B94">
        <w:rPr>
          <w:rFonts w:hint="cs"/>
          <w:sz w:val="28"/>
          <w:rtl/>
        </w:rPr>
        <w:t xml:space="preserve"> أموال الدنيا</w:t>
      </w:r>
      <w:r w:rsidR="00217AB4" w:rsidRPr="003F3B94">
        <w:rPr>
          <w:rFonts w:hint="cs"/>
          <w:sz w:val="28"/>
          <w:rtl/>
        </w:rPr>
        <w:t>،</w:t>
      </w:r>
      <w:r w:rsidRPr="003F3B94">
        <w:rPr>
          <w:rFonts w:hint="cs"/>
          <w:sz w:val="28"/>
          <w:rtl/>
        </w:rPr>
        <w:t xml:space="preserve"> فهذا أيضاً باطلٌ يردُّه القرآن الذي ذكر في أكثر من 14 آية كلمة </w:t>
      </w:r>
      <w:r w:rsidRPr="003F3B94">
        <w:rPr>
          <w:rFonts w:ascii="Abo-thar" w:hAnsi="Abo-thar"/>
          <w:sz w:val="28"/>
          <w:rtl/>
        </w:rPr>
        <w:t>«</w:t>
      </w:r>
      <w:r w:rsidRPr="003F3B94">
        <w:rPr>
          <w:rFonts w:ascii="Abo-thar" w:hAnsi="Abo-thar" w:hint="cs"/>
          <w:sz w:val="28"/>
          <w:rtl/>
        </w:rPr>
        <w:t>أموالكم</w:t>
      </w:r>
      <w:r w:rsidRPr="003F3B94">
        <w:rPr>
          <w:rFonts w:ascii="Abo-thar" w:hAnsi="Abo-thar"/>
          <w:sz w:val="28"/>
          <w:rtl/>
        </w:rPr>
        <w:t>»</w:t>
      </w:r>
      <w:r w:rsidRPr="003F3B94">
        <w:rPr>
          <w:rFonts w:ascii="Abo-thar" w:hAnsi="Abo-thar" w:hint="cs"/>
          <w:sz w:val="28"/>
          <w:rtl/>
        </w:rPr>
        <w:t xml:space="preserve"> التي تضيف ملكية الأموال إلى الناس بكل وضوح</w:t>
      </w:r>
      <w:r w:rsidR="00217AB4" w:rsidRPr="003F3B94">
        <w:rPr>
          <w:rFonts w:ascii="Abo-thar" w:hAnsi="Abo-thar" w:hint="cs"/>
          <w:sz w:val="28"/>
          <w:rtl/>
        </w:rPr>
        <w:t>،</w:t>
      </w:r>
      <w:r w:rsidRPr="003F3B94">
        <w:rPr>
          <w:rFonts w:ascii="Abo-thar" w:hAnsi="Abo-thar" w:hint="cs"/>
          <w:sz w:val="28"/>
          <w:rtl/>
        </w:rPr>
        <w:t xml:space="preserve"> كالآيات التالية</w:t>
      </w:r>
      <w:r w:rsidR="00217AB4" w:rsidRPr="003F3B94">
        <w:rPr>
          <w:rFonts w:ascii="Abo-thar" w:hAnsi="Abo-thar" w:hint="cs"/>
          <w:sz w:val="28"/>
          <w:rtl/>
        </w:rPr>
        <w:t>:</w:t>
      </w:r>
    </w:p>
    <w:p w:rsidR="005C664D" w:rsidRPr="003F3B94" w:rsidRDefault="00B06788" w:rsidP="003F3B94">
      <w:pPr>
        <w:pStyle w:val="a0"/>
        <w:rPr>
          <w:rFonts w:hint="cs"/>
          <w:rtl/>
        </w:rPr>
      </w:pPr>
      <w:r w:rsidRPr="00995B26">
        <w:rPr>
          <w:rFonts w:ascii="Abo-thar" w:hAnsi="Abo-thar" w:cs="Traditional Arabic" w:hint="cs"/>
          <w:sz w:val="28"/>
          <w:rtl/>
          <w:lang w:bidi="ar-SY"/>
        </w:rPr>
        <w:t>﴿</w:t>
      </w:r>
      <w:r w:rsidRPr="0067048A">
        <w:rPr>
          <w:rFonts w:ascii="KFGQPC Uthmanic Script HAFS" w:cs="KFGQPC Uthmanic Script HAFS" w:hint="eastAsia"/>
          <w:sz w:val="28"/>
          <w:szCs w:val="28"/>
          <w:rtl/>
        </w:rPr>
        <w:t>وَلَا</w:t>
      </w:r>
      <w:r w:rsidRPr="0067048A">
        <w:rPr>
          <w:rFonts w:ascii="KFGQPC Uthmanic Script HAFS" w:cs="KFGQPC Uthmanic Script HAFS"/>
          <w:sz w:val="28"/>
          <w:szCs w:val="28"/>
          <w:rtl/>
        </w:rPr>
        <w:t xml:space="preserve"> </w:t>
      </w:r>
      <w:r w:rsidRPr="0067048A">
        <w:rPr>
          <w:rFonts w:ascii="KFGQPC Uthmanic Script HAFS" w:cs="KFGQPC Uthmanic Script HAFS" w:hint="eastAsia"/>
          <w:sz w:val="28"/>
          <w:szCs w:val="28"/>
          <w:rtl/>
        </w:rPr>
        <w:t>تَأ</w:t>
      </w:r>
      <w:r w:rsidRPr="0067048A">
        <w:rPr>
          <w:rFonts w:ascii="KFGQPC Uthmanic Script HAFS" w:cs="KFGQPC Uthmanic Script HAFS" w:hint="cs"/>
          <w:sz w:val="28"/>
          <w:szCs w:val="28"/>
          <w:rtl/>
        </w:rPr>
        <w:t>ۡ</w:t>
      </w:r>
      <w:r w:rsidRPr="0067048A">
        <w:rPr>
          <w:rFonts w:ascii="KFGQPC Uthmanic Script HAFS" w:cs="KFGQPC Uthmanic Script HAFS" w:hint="eastAsia"/>
          <w:sz w:val="28"/>
          <w:szCs w:val="28"/>
          <w:rtl/>
        </w:rPr>
        <w:t>كُلُو</w:t>
      </w:r>
      <w:r w:rsidRPr="0067048A">
        <w:rPr>
          <w:rFonts w:ascii="KFGQPC Uthmanic Script HAFS" w:cs="KFGQPC Uthmanic Script HAFS" w:hint="cs"/>
          <w:sz w:val="28"/>
          <w:szCs w:val="28"/>
          <w:rtl/>
        </w:rPr>
        <w:t>ٓ</w:t>
      </w:r>
      <w:r w:rsidRPr="0067048A">
        <w:rPr>
          <w:rFonts w:ascii="KFGQPC Uthmanic Script HAFS" w:cs="KFGQPC Uthmanic Script HAFS" w:hint="eastAsia"/>
          <w:sz w:val="28"/>
          <w:szCs w:val="28"/>
          <w:rtl/>
        </w:rPr>
        <w:t>اْ</w:t>
      </w:r>
      <w:r w:rsidRPr="0067048A">
        <w:rPr>
          <w:rFonts w:ascii="KFGQPC Uthmanic Script HAFS" w:cs="KFGQPC Uthmanic Script HAFS"/>
          <w:sz w:val="28"/>
          <w:szCs w:val="28"/>
          <w:rtl/>
        </w:rPr>
        <w:t xml:space="preserve"> </w:t>
      </w:r>
      <w:r w:rsidRPr="0067048A">
        <w:rPr>
          <w:rFonts w:ascii="KFGQPC Uthmanic Script HAFS" w:cs="KFGQPC Uthmanic Script HAFS" w:hint="eastAsia"/>
          <w:sz w:val="28"/>
          <w:szCs w:val="28"/>
          <w:rtl/>
        </w:rPr>
        <w:t>أَم</w:t>
      </w:r>
      <w:r w:rsidRPr="0067048A">
        <w:rPr>
          <w:rFonts w:ascii="KFGQPC Uthmanic Script HAFS" w:cs="KFGQPC Uthmanic Script HAFS" w:hint="cs"/>
          <w:sz w:val="28"/>
          <w:szCs w:val="28"/>
          <w:rtl/>
        </w:rPr>
        <w:t>ۡ</w:t>
      </w:r>
      <w:r w:rsidRPr="0067048A">
        <w:rPr>
          <w:rFonts w:ascii="KFGQPC Uthmanic Script HAFS" w:cs="KFGQPC Uthmanic Script HAFS" w:hint="eastAsia"/>
          <w:sz w:val="28"/>
          <w:szCs w:val="28"/>
          <w:rtl/>
        </w:rPr>
        <w:t>وَ</w:t>
      </w:r>
      <w:r w:rsidRPr="0067048A">
        <w:rPr>
          <w:rFonts w:ascii="KFGQPC Uthmanic Script HAFS" w:cs="KFGQPC Uthmanic Script HAFS" w:hint="cs"/>
          <w:sz w:val="28"/>
          <w:szCs w:val="28"/>
          <w:rtl/>
        </w:rPr>
        <w:t>ٰ</w:t>
      </w:r>
      <w:r w:rsidRPr="0067048A">
        <w:rPr>
          <w:rFonts w:ascii="KFGQPC Uthmanic Script HAFS" w:cs="KFGQPC Uthmanic Script HAFS" w:hint="eastAsia"/>
          <w:sz w:val="28"/>
          <w:szCs w:val="28"/>
          <w:rtl/>
        </w:rPr>
        <w:t>لَكُم</w:t>
      </w:r>
      <w:r w:rsidRPr="0067048A">
        <w:rPr>
          <w:rFonts w:ascii="KFGQPC Uthmanic Script HAFS" w:cs="KFGQPC Uthmanic Script HAFS"/>
          <w:sz w:val="28"/>
          <w:szCs w:val="28"/>
          <w:rtl/>
        </w:rPr>
        <w:t xml:space="preserve"> </w:t>
      </w:r>
      <w:r w:rsidRPr="0067048A">
        <w:rPr>
          <w:rFonts w:ascii="KFGQPC Uthmanic Script HAFS" w:cs="KFGQPC Uthmanic Script HAFS" w:hint="eastAsia"/>
          <w:sz w:val="28"/>
          <w:szCs w:val="28"/>
          <w:rtl/>
        </w:rPr>
        <w:t>بَي</w:t>
      </w:r>
      <w:r w:rsidRPr="0067048A">
        <w:rPr>
          <w:rFonts w:ascii="KFGQPC Uthmanic Script HAFS" w:cs="KFGQPC Uthmanic Script HAFS" w:hint="cs"/>
          <w:sz w:val="28"/>
          <w:szCs w:val="28"/>
          <w:rtl/>
        </w:rPr>
        <w:t>ۡ</w:t>
      </w:r>
      <w:r w:rsidRPr="0067048A">
        <w:rPr>
          <w:rFonts w:ascii="KFGQPC Uthmanic Script HAFS" w:cs="KFGQPC Uthmanic Script HAFS" w:hint="eastAsia"/>
          <w:sz w:val="28"/>
          <w:szCs w:val="28"/>
          <w:rtl/>
        </w:rPr>
        <w:t>نَكُم</w:t>
      </w:r>
      <w:r w:rsidRPr="0067048A">
        <w:rPr>
          <w:rFonts w:ascii="KFGQPC Uthmanic Script HAFS" w:cs="KFGQPC Uthmanic Script HAFS"/>
          <w:sz w:val="28"/>
          <w:szCs w:val="28"/>
          <w:rtl/>
        </w:rPr>
        <w:t xml:space="preserve"> </w:t>
      </w:r>
      <w:r w:rsidRPr="0067048A">
        <w:rPr>
          <w:rFonts w:ascii="KFGQPC Uthmanic Script HAFS" w:cs="KFGQPC Uthmanic Script HAFS" w:hint="eastAsia"/>
          <w:sz w:val="28"/>
          <w:szCs w:val="28"/>
          <w:rtl/>
        </w:rPr>
        <w:t>بِ</w:t>
      </w:r>
      <w:r w:rsidRPr="0067048A">
        <w:rPr>
          <w:rFonts w:ascii="KFGQPC Uthmanic Script HAFS" w:cs="KFGQPC Uthmanic Script HAFS" w:hint="cs"/>
          <w:sz w:val="28"/>
          <w:szCs w:val="28"/>
          <w:rtl/>
        </w:rPr>
        <w:t>ٱ</w:t>
      </w:r>
      <w:r w:rsidRPr="0067048A">
        <w:rPr>
          <w:rFonts w:ascii="KFGQPC Uthmanic Script HAFS" w:cs="KFGQPC Uthmanic Script HAFS" w:hint="eastAsia"/>
          <w:sz w:val="28"/>
          <w:szCs w:val="28"/>
          <w:rtl/>
        </w:rPr>
        <w:t>ل</w:t>
      </w:r>
      <w:r w:rsidRPr="0067048A">
        <w:rPr>
          <w:rFonts w:ascii="KFGQPC Uthmanic Script HAFS" w:cs="KFGQPC Uthmanic Script HAFS" w:hint="cs"/>
          <w:sz w:val="28"/>
          <w:szCs w:val="28"/>
          <w:rtl/>
        </w:rPr>
        <w:t>ۡ</w:t>
      </w:r>
      <w:r w:rsidRPr="0067048A">
        <w:rPr>
          <w:rFonts w:ascii="KFGQPC Uthmanic Script HAFS" w:cs="KFGQPC Uthmanic Script HAFS" w:hint="eastAsia"/>
          <w:sz w:val="28"/>
          <w:szCs w:val="28"/>
          <w:rtl/>
        </w:rPr>
        <w:t>بَ</w:t>
      </w:r>
      <w:r w:rsidRPr="0067048A">
        <w:rPr>
          <w:rFonts w:ascii="KFGQPC Uthmanic Script HAFS" w:cs="KFGQPC Uthmanic Script HAFS" w:hint="cs"/>
          <w:sz w:val="28"/>
          <w:szCs w:val="28"/>
          <w:rtl/>
        </w:rPr>
        <w:t>ٰ</w:t>
      </w:r>
      <w:r w:rsidRPr="0067048A">
        <w:rPr>
          <w:rFonts w:ascii="KFGQPC Uthmanic Script HAFS" w:cs="KFGQPC Uthmanic Script HAFS" w:hint="eastAsia"/>
          <w:sz w:val="28"/>
          <w:szCs w:val="28"/>
          <w:rtl/>
        </w:rPr>
        <w:t>طِلِ</w:t>
      </w:r>
      <w:r w:rsidRPr="00995B26">
        <w:rPr>
          <w:rFonts w:ascii="KFGQPC Uthmanic Script HAFS" w:cs="Times New Roman" w:hint="cs"/>
          <w:sz w:val="28"/>
          <w:rtl/>
        </w:rPr>
        <w:t>...</w:t>
      </w:r>
      <w:r w:rsidRPr="00995B26">
        <w:rPr>
          <w:rFonts w:ascii="Abo-thar" w:hAnsi="Abo-thar" w:cs="Traditional Arabic" w:hint="cs"/>
          <w:sz w:val="28"/>
          <w:rtl/>
          <w:lang w:bidi="ar-SY"/>
        </w:rPr>
        <w:t>﴾</w:t>
      </w:r>
      <w:r w:rsidRPr="003F3B94">
        <w:rPr>
          <w:rFonts w:hint="cs"/>
          <w:sz w:val="28"/>
          <w:rtl/>
        </w:rPr>
        <w:t xml:space="preserve"> </w:t>
      </w:r>
      <w:r w:rsidR="005C664D" w:rsidRPr="009E1401">
        <w:rPr>
          <w:rStyle w:val="Char2"/>
          <w:rFonts w:hint="cs"/>
          <w:rtl/>
        </w:rPr>
        <w:t>[البقرة</w:t>
      </w:r>
      <w:r w:rsidRPr="009E1401">
        <w:rPr>
          <w:rStyle w:val="Char2"/>
          <w:rFonts w:hint="cs"/>
          <w:rtl/>
        </w:rPr>
        <w:t xml:space="preserve">: </w:t>
      </w:r>
      <w:r w:rsidR="005C664D" w:rsidRPr="009E1401">
        <w:rPr>
          <w:rStyle w:val="Char2"/>
          <w:rFonts w:hint="cs"/>
          <w:rtl/>
        </w:rPr>
        <w:t>188]</w:t>
      </w:r>
      <w:r w:rsidR="00217AB4" w:rsidRPr="003F3B94">
        <w:rPr>
          <w:rFonts w:hint="cs"/>
          <w:sz w:val="28"/>
          <w:rtl/>
        </w:rPr>
        <w:t>.</w:t>
      </w:r>
    </w:p>
    <w:p w:rsidR="005C664D" w:rsidRPr="003F3B94" w:rsidRDefault="00B06788" w:rsidP="003F3B94">
      <w:pPr>
        <w:pStyle w:val="a0"/>
        <w:rPr>
          <w:rFonts w:hint="cs"/>
          <w:rtl/>
        </w:rPr>
      </w:pPr>
      <w:r w:rsidRPr="00995B26">
        <w:rPr>
          <w:rFonts w:ascii="Abo-thar" w:hAnsi="Abo-thar" w:cs="Traditional Arabic" w:hint="cs"/>
          <w:sz w:val="28"/>
          <w:rtl/>
          <w:lang w:bidi="ar-SY"/>
        </w:rPr>
        <w:t>﴿</w:t>
      </w:r>
      <w:r w:rsidRPr="0067048A">
        <w:rPr>
          <w:rFonts w:ascii="KFGQPC Uthmanic Script HAFS" w:cs="KFGQPC Uthmanic Script HAFS" w:hint="eastAsia"/>
          <w:sz w:val="28"/>
          <w:szCs w:val="28"/>
          <w:rtl/>
        </w:rPr>
        <w:t>وَإِن</w:t>
      </w:r>
      <w:r w:rsidRPr="0067048A">
        <w:rPr>
          <w:rFonts w:ascii="KFGQPC Uthmanic Script HAFS" w:cs="KFGQPC Uthmanic Script HAFS"/>
          <w:sz w:val="28"/>
          <w:szCs w:val="28"/>
          <w:rtl/>
        </w:rPr>
        <w:t xml:space="preserve"> </w:t>
      </w:r>
      <w:r w:rsidRPr="0067048A">
        <w:rPr>
          <w:rFonts w:ascii="KFGQPC Uthmanic Script HAFS" w:cs="KFGQPC Uthmanic Script HAFS" w:hint="eastAsia"/>
          <w:sz w:val="28"/>
          <w:szCs w:val="28"/>
          <w:rtl/>
        </w:rPr>
        <w:t>تُب</w:t>
      </w:r>
      <w:r w:rsidRPr="0067048A">
        <w:rPr>
          <w:rFonts w:ascii="KFGQPC Uthmanic Script HAFS" w:cs="KFGQPC Uthmanic Script HAFS" w:hint="cs"/>
          <w:sz w:val="28"/>
          <w:szCs w:val="28"/>
          <w:rtl/>
        </w:rPr>
        <w:t>ۡ</w:t>
      </w:r>
      <w:r w:rsidRPr="0067048A">
        <w:rPr>
          <w:rFonts w:ascii="KFGQPC Uthmanic Script HAFS" w:cs="KFGQPC Uthmanic Script HAFS" w:hint="eastAsia"/>
          <w:sz w:val="28"/>
          <w:szCs w:val="28"/>
          <w:rtl/>
        </w:rPr>
        <w:t>تُم</w:t>
      </w:r>
      <w:r w:rsidRPr="0067048A">
        <w:rPr>
          <w:rFonts w:ascii="KFGQPC Uthmanic Script HAFS" w:cs="KFGQPC Uthmanic Script HAFS" w:hint="cs"/>
          <w:sz w:val="28"/>
          <w:szCs w:val="28"/>
          <w:rtl/>
        </w:rPr>
        <w:t>ۡ</w:t>
      </w:r>
      <w:r w:rsidRPr="0067048A">
        <w:rPr>
          <w:rFonts w:ascii="KFGQPC Uthmanic Script HAFS" w:cs="KFGQPC Uthmanic Script HAFS"/>
          <w:sz w:val="28"/>
          <w:szCs w:val="28"/>
          <w:rtl/>
        </w:rPr>
        <w:t xml:space="preserve"> </w:t>
      </w:r>
      <w:r w:rsidRPr="0067048A">
        <w:rPr>
          <w:rFonts w:ascii="KFGQPC Uthmanic Script HAFS" w:cs="KFGQPC Uthmanic Script HAFS" w:hint="eastAsia"/>
          <w:sz w:val="28"/>
          <w:szCs w:val="28"/>
          <w:rtl/>
        </w:rPr>
        <w:t>فَلَكُم</w:t>
      </w:r>
      <w:r w:rsidRPr="0067048A">
        <w:rPr>
          <w:rFonts w:ascii="KFGQPC Uthmanic Script HAFS" w:cs="KFGQPC Uthmanic Script HAFS" w:hint="cs"/>
          <w:sz w:val="28"/>
          <w:szCs w:val="28"/>
          <w:rtl/>
        </w:rPr>
        <w:t>ۡ</w:t>
      </w:r>
      <w:r w:rsidRPr="0067048A">
        <w:rPr>
          <w:rFonts w:ascii="KFGQPC Uthmanic Script HAFS" w:cs="KFGQPC Uthmanic Script HAFS"/>
          <w:sz w:val="28"/>
          <w:szCs w:val="28"/>
          <w:rtl/>
        </w:rPr>
        <w:t xml:space="preserve"> </w:t>
      </w:r>
      <w:r w:rsidRPr="0067048A">
        <w:rPr>
          <w:rFonts w:ascii="KFGQPC Uthmanic Script HAFS" w:cs="KFGQPC Uthmanic Script HAFS" w:hint="eastAsia"/>
          <w:sz w:val="28"/>
          <w:szCs w:val="28"/>
          <w:rtl/>
        </w:rPr>
        <w:t>رُءُوسُ</w:t>
      </w:r>
      <w:r w:rsidRPr="0067048A">
        <w:rPr>
          <w:rFonts w:ascii="KFGQPC Uthmanic Script HAFS" w:cs="KFGQPC Uthmanic Script HAFS"/>
          <w:sz w:val="28"/>
          <w:szCs w:val="28"/>
          <w:rtl/>
        </w:rPr>
        <w:t xml:space="preserve"> </w:t>
      </w:r>
      <w:r w:rsidRPr="0067048A">
        <w:rPr>
          <w:rFonts w:ascii="KFGQPC Uthmanic Script HAFS" w:cs="KFGQPC Uthmanic Script HAFS" w:hint="eastAsia"/>
          <w:sz w:val="28"/>
          <w:szCs w:val="28"/>
          <w:rtl/>
        </w:rPr>
        <w:t>أَم</w:t>
      </w:r>
      <w:r w:rsidRPr="0067048A">
        <w:rPr>
          <w:rFonts w:ascii="KFGQPC Uthmanic Script HAFS" w:cs="KFGQPC Uthmanic Script HAFS" w:hint="cs"/>
          <w:sz w:val="28"/>
          <w:szCs w:val="28"/>
          <w:rtl/>
        </w:rPr>
        <w:t>ۡ</w:t>
      </w:r>
      <w:r w:rsidRPr="0067048A">
        <w:rPr>
          <w:rFonts w:ascii="KFGQPC Uthmanic Script HAFS" w:cs="KFGQPC Uthmanic Script HAFS" w:hint="eastAsia"/>
          <w:sz w:val="28"/>
          <w:szCs w:val="28"/>
          <w:rtl/>
        </w:rPr>
        <w:t>وَ</w:t>
      </w:r>
      <w:r w:rsidRPr="0067048A">
        <w:rPr>
          <w:rFonts w:ascii="KFGQPC Uthmanic Script HAFS" w:cs="KFGQPC Uthmanic Script HAFS" w:hint="cs"/>
          <w:sz w:val="28"/>
          <w:szCs w:val="28"/>
          <w:rtl/>
        </w:rPr>
        <w:t>ٰ</w:t>
      </w:r>
      <w:r w:rsidRPr="0067048A">
        <w:rPr>
          <w:rFonts w:ascii="KFGQPC Uthmanic Script HAFS" w:cs="KFGQPC Uthmanic Script HAFS" w:hint="eastAsia"/>
          <w:sz w:val="28"/>
          <w:szCs w:val="28"/>
          <w:rtl/>
        </w:rPr>
        <w:t>لِكُم</w:t>
      </w:r>
      <w:r w:rsidRPr="0067048A">
        <w:rPr>
          <w:rFonts w:ascii="KFGQPC Uthmanic Script HAFS" w:cs="KFGQPC Uthmanic Script HAFS" w:hint="cs"/>
          <w:sz w:val="28"/>
          <w:szCs w:val="28"/>
          <w:rtl/>
        </w:rPr>
        <w:t>ۡ</w:t>
      </w:r>
      <w:r w:rsidRPr="00995B26">
        <w:rPr>
          <w:rFonts w:ascii="KFGQPC Uthmanic Script HAFS" w:cs="Times New Roman" w:hint="cs"/>
          <w:sz w:val="28"/>
          <w:rtl/>
        </w:rPr>
        <w:t>...</w:t>
      </w:r>
      <w:r w:rsidRPr="00995B26">
        <w:rPr>
          <w:rFonts w:ascii="Abo-thar" w:hAnsi="Abo-thar" w:cs="Traditional Arabic" w:hint="cs"/>
          <w:sz w:val="28"/>
          <w:rtl/>
          <w:lang w:bidi="ar-SY"/>
        </w:rPr>
        <w:t>﴾</w:t>
      </w:r>
      <w:r w:rsidRPr="003F3B94">
        <w:rPr>
          <w:rFonts w:hint="cs"/>
          <w:sz w:val="28"/>
          <w:rtl/>
        </w:rPr>
        <w:t xml:space="preserve"> </w:t>
      </w:r>
      <w:r w:rsidR="005C664D" w:rsidRPr="009E1401">
        <w:rPr>
          <w:rStyle w:val="Char2"/>
          <w:rFonts w:hint="cs"/>
          <w:rtl/>
        </w:rPr>
        <w:t>[البقرة</w:t>
      </w:r>
      <w:r w:rsidRPr="009E1401">
        <w:rPr>
          <w:rStyle w:val="Char2"/>
          <w:rFonts w:hint="cs"/>
          <w:rtl/>
        </w:rPr>
        <w:t xml:space="preserve">: </w:t>
      </w:r>
      <w:r w:rsidR="005C664D" w:rsidRPr="009E1401">
        <w:rPr>
          <w:rStyle w:val="Char2"/>
          <w:rFonts w:hint="cs"/>
          <w:rtl/>
        </w:rPr>
        <w:t>279]</w:t>
      </w:r>
      <w:r w:rsidR="00217AB4" w:rsidRPr="003F3B94">
        <w:rPr>
          <w:rFonts w:hint="cs"/>
          <w:sz w:val="28"/>
          <w:rtl/>
        </w:rPr>
        <w:t>.</w:t>
      </w:r>
    </w:p>
    <w:p w:rsidR="005C664D" w:rsidRPr="003F3B94" w:rsidRDefault="00B06788" w:rsidP="003F3B94">
      <w:pPr>
        <w:pStyle w:val="a0"/>
        <w:rPr>
          <w:rFonts w:hint="cs"/>
          <w:rtl/>
        </w:rPr>
      </w:pPr>
      <w:r w:rsidRPr="00995B26">
        <w:rPr>
          <w:rFonts w:ascii="Abo-thar" w:hAnsi="Abo-thar" w:cs="Traditional Arabic" w:hint="cs"/>
          <w:sz w:val="28"/>
          <w:rtl/>
          <w:lang w:bidi="ar-SY"/>
        </w:rPr>
        <w:t>﴿</w:t>
      </w:r>
      <w:r w:rsidRPr="0067048A">
        <w:rPr>
          <w:rFonts w:ascii="KFGQPC Uthmanic Script HAFS" w:cs="KFGQPC Uthmanic Script HAFS" w:hint="eastAsia"/>
          <w:sz w:val="28"/>
          <w:szCs w:val="28"/>
          <w:rtl/>
        </w:rPr>
        <w:t>لَتُب</w:t>
      </w:r>
      <w:r w:rsidRPr="0067048A">
        <w:rPr>
          <w:rFonts w:ascii="KFGQPC Uthmanic Script HAFS" w:cs="KFGQPC Uthmanic Script HAFS" w:hint="cs"/>
          <w:sz w:val="28"/>
          <w:szCs w:val="28"/>
          <w:rtl/>
        </w:rPr>
        <w:t>ۡ</w:t>
      </w:r>
      <w:r w:rsidRPr="0067048A">
        <w:rPr>
          <w:rFonts w:ascii="KFGQPC Uthmanic Script HAFS" w:cs="KFGQPC Uthmanic Script HAFS" w:hint="eastAsia"/>
          <w:sz w:val="28"/>
          <w:szCs w:val="28"/>
          <w:rtl/>
        </w:rPr>
        <w:t>لَوُنَّ</w:t>
      </w:r>
      <w:r w:rsidRPr="0067048A">
        <w:rPr>
          <w:rFonts w:ascii="KFGQPC Uthmanic Script HAFS" w:cs="KFGQPC Uthmanic Script HAFS"/>
          <w:sz w:val="28"/>
          <w:szCs w:val="28"/>
          <w:rtl/>
        </w:rPr>
        <w:t xml:space="preserve"> </w:t>
      </w:r>
      <w:r w:rsidRPr="0067048A">
        <w:rPr>
          <w:rFonts w:ascii="KFGQPC Uthmanic Script HAFS" w:cs="KFGQPC Uthmanic Script HAFS" w:hint="eastAsia"/>
          <w:sz w:val="28"/>
          <w:szCs w:val="28"/>
          <w:rtl/>
        </w:rPr>
        <w:t>فِي</w:t>
      </w:r>
      <w:r w:rsidRPr="0067048A">
        <w:rPr>
          <w:rFonts w:ascii="KFGQPC Uthmanic Script HAFS" w:cs="KFGQPC Uthmanic Script HAFS" w:hint="cs"/>
          <w:sz w:val="28"/>
          <w:szCs w:val="28"/>
          <w:rtl/>
        </w:rPr>
        <w:t>ٓ</w:t>
      </w:r>
      <w:r w:rsidRPr="0067048A">
        <w:rPr>
          <w:rFonts w:ascii="KFGQPC Uthmanic Script HAFS" w:cs="KFGQPC Uthmanic Script HAFS"/>
          <w:sz w:val="28"/>
          <w:szCs w:val="28"/>
          <w:rtl/>
        </w:rPr>
        <w:t xml:space="preserve"> </w:t>
      </w:r>
      <w:r w:rsidRPr="0067048A">
        <w:rPr>
          <w:rFonts w:ascii="KFGQPC Uthmanic Script HAFS" w:cs="KFGQPC Uthmanic Script HAFS" w:hint="eastAsia"/>
          <w:sz w:val="28"/>
          <w:szCs w:val="28"/>
          <w:rtl/>
        </w:rPr>
        <w:t>أَم</w:t>
      </w:r>
      <w:r w:rsidRPr="0067048A">
        <w:rPr>
          <w:rFonts w:ascii="KFGQPC Uthmanic Script HAFS" w:cs="KFGQPC Uthmanic Script HAFS" w:hint="cs"/>
          <w:sz w:val="28"/>
          <w:szCs w:val="28"/>
          <w:rtl/>
        </w:rPr>
        <w:t>ۡ</w:t>
      </w:r>
      <w:r w:rsidRPr="0067048A">
        <w:rPr>
          <w:rFonts w:ascii="KFGQPC Uthmanic Script HAFS" w:cs="KFGQPC Uthmanic Script HAFS" w:hint="eastAsia"/>
          <w:sz w:val="28"/>
          <w:szCs w:val="28"/>
          <w:rtl/>
        </w:rPr>
        <w:t>وَ</w:t>
      </w:r>
      <w:r w:rsidRPr="0067048A">
        <w:rPr>
          <w:rFonts w:ascii="KFGQPC Uthmanic Script HAFS" w:cs="KFGQPC Uthmanic Script HAFS" w:hint="cs"/>
          <w:sz w:val="28"/>
          <w:szCs w:val="28"/>
          <w:rtl/>
        </w:rPr>
        <w:t>ٰ</w:t>
      </w:r>
      <w:r w:rsidRPr="0067048A">
        <w:rPr>
          <w:rFonts w:ascii="KFGQPC Uthmanic Script HAFS" w:cs="KFGQPC Uthmanic Script HAFS" w:hint="eastAsia"/>
          <w:sz w:val="28"/>
          <w:szCs w:val="28"/>
          <w:rtl/>
        </w:rPr>
        <w:t>لِكُم</w:t>
      </w:r>
      <w:r w:rsidRPr="0067048A">
        <w:rPr>
          <w:rFonts w:ascii="KFGQPC Uthmanic Script HAFS" w:cs="KFGQPC Uthmanic Script HAFS" w:hint="cs"/>
          <w:sz w:val="28"/>
          <w:szCs w:val="28"/>
          <w:rtl/>
        </w:rPr>
        <w:t>ۡ</w:t>
      </w:r>
      <w:r w:rsidRPr="00995B26">
        <w:rPr>
          <w:rFonts w:ascii="KFGQPC Uthmanic Script HAFS" w:cs="Times New Roman" w:hint="cs"/>
          <w:sz w:val="28"/>
          <w:rtl/>
        </w:rPr>
        <w:t>...</w:t>
      </w:r>
      <w:r w:rsidRPr="00995B26">
        <w:rPr>
          <w:rFonts w:ascii="Abo-thar" w:hAnsi="Abo-thar" w:cs="Traditional Arabic" w:hint="cs"/>
          <w:sz w:val="28"/>
          <w:rtl/>
          <w:lang w:bidi="ar-SY"/>
        </w:rPr>
        <w:t>﴾</w:t>
      </w:r>
      <w:r w:rsidRPr="003F3B94">
        <w:rPr>
          <w:rFonts w:hint="cs"/>
          <w:sz w:val="28"/>
          <w:rtl/>
          <w:lang w:bidi="ar-SY"/>
        </w:rPr>
        <w:t xml:space="preserve"> </w:t>
      </w:r>
      <w:r w:rsidR="005C664D" w:rsidRPr="009E1401">
        <w:rPr>
          <w:rStyle w:val="Char2"/>
          <w:rFonts w:hint="cs"/>
          <w:rtl/>
        </w:rPr>
        <w:t>[آل عمران</w:t>
      </w:r>
      <w:r w:rsidRPr="009E1401">
        <w:rPr>
          <w:rStyle w:val="Char2"/>
          <w:rFonts w:hint="cs"/>
          <w:rtl/>
        </w:rPr>
        <w:t xml:space="preserve">: </w:t>
      </w:r>
      <w:r w:rsidR="005C664D" w:rsidRPr="009E1401">
        <w:rPr>
          <w:rStyle w:val="Char2"/>
          <w:rFonts w:hint="cs"/>
          <w:rtl/>
        </w:rPr>
        <w:t>186]</w:t>
      </w:r>
      <w:r w:rsidR="00217AB4" w:rsidRPr="003F3B94">
        <w:rPr>
          <w:rFonts w:hint="cs"/>
          <w:sz w:val="28"/>
          <w:rtl/>
          <w:lang w:bidi="ar-SY"/>
        </w:rPr>
        <w:t>.</w:t>
      </w:r>
    </w:p>
    <w:p w:rsidR="005C664D" w:rsidRPr="003F3B94" w:rsidRDefault="00B06788" w:rsidP="003F3B94">
      <w:pPr>
        <w:pStyle w:val="a0"/>
        <w:rPr>
          <w:rFonts w:hint="cs"/>
          <w:rtl/>
        </w:rPr>
      </w:pPr>
      <w:r w:rsidRPr="00995B26">
        <w:rPr>
          <w:rFonts w:ascii="Abo-thar" w:hAnsi="Abo-thar" w:cs="Traditional Arabic" w:hint="cs"/>
          <w:sz w:val="28"/>
          <w:rtl/>
          <w:lang w:bidi="ar-SY"/>
        </w:rPr>
        <w:t>﴿</w:t>
      </w:r>
      <w:r w:rsidRPr="0067048A">
        <w:rPr>
          <w:rFonts w:ascii="KFGQPC Uthmanic Script HAFS" w:cs="KFGQPC Uthmanic Script HAFS" w:hint="eastAsia"/>
          <w:sz w:val="28"/>
          <w:szCs w:val="28"/>
          <w:rtl/>
        </w:rPr>
        <w:t>وَلَا</w:t>
      </w:r>
      <w:r w:rsidRPr="0067048A">
        <w:rPr>
          <w:rFonts w:ascii="KFGQPC Uthmanic Script HAFS" w:cs="KFGQPC Uthmanic Script HAFS"/>
          <w:sz w:val="28"/>
          <w:szCs w:val="28"/>
          <w:rtl/>
        </w:rPr>
        <w:t xml:space="preserve"> </w:t>
      </w:r>
      <w:r w:rsidRPr="0067048A">
        <w:rPr>
          <w:rFonts w:ascii="KFGQPC Uthmanic Script HAFS" w:cs="KFGQPC Uthmanic Script HAFS" w:hint="eastAsia"/>
          <w:sz w:val="28"/>
          <w:szCs w:val="28"/>
          <w:rtl/>
        </w:rPr>
        <w:t>تَأ</w:t>
      </w:r>
      <w:r w:rsidRPr="0067048A">
        <w:rPr>
          <w:rFonts w:ascii="KFGQPC Uthmanic Script HAFS" w:cs="KFGQPC Uthmanic Script HAFS" w:hint="cs"/>
          <w:sz w:val="28"/>
          <w:szCs w:val="28"/>
          <w:rtl/>
        </w:rPr>
        <w:t>ۡ</w:t>
      </w:r>
      <w:r w:rsidRPr="0067048A">
        <w:rPr>
          <w:rFonts w:ascii="KFGQPC Uthmanic Script HAFS" w:cs="KFGQPC Uthmanic Script HAFS" w:hint="eastAsia"/>
          <w:sz w:val="28"/>
          <w:szCs w:val="28"/>
          <w:rtl/>
        </w:rPr>
        <w:t>كُلُو</w:t>
      </w:r>
      <w:r w:rsidRPr="0067048A">
        <w:rPr>
          <w:rFonts w:ascii="KFGQPC Uthmanic Script HAFS" w:cs="KFGQPC Uthmanic Script HAFS" w:hint="cs"/>
          <w:sz w:val="28"/>
          <w:szCs w:val="28"/>
          <w:rtl/>
        </w:rPr>
        <w:t>ٓ</w:t>
      </w:r>
      <w:r w:rsidRPr="0067048A">
        <w:rPr>
          <w:rFonts w:ascii="KFGQPC Uthmanic Script HAFS" w:cs="KFGQPC Uthmanic Script HAFS" w:hint="eastAsia"/>
          <w:sz w:val="28"/>
          <w:szCs w:val="28"/>
          <w:rtl/>
        </w:rPr>
        <w:t>اْ</w:t>
      </w:r>
      <w:r w:rsidRPr="0067048A">
        <w:rPr>
          <w:rFonts w:ascii="KFGQPC Uthmanic Script HAFS" w:cs="KFGQPC Uthmanic Script HAFS"/>
          <w:sz w:val="28"/>
          <w:szCs w:val="28"/>
          <w:rtl/>
        </w:rPr>
        <w:t xml:space="preserve"> </w:t>
      </w:r>
      <w:r w:rsidRPr="0067048A">
        <w:rPr>
          <w:rFonts w:ascii="KFGQPC Uthmanic Script HAFS" w:cs="KFGQPC Uthmanic Script HAFS" w:hint="eastAsia"/>
          <w:sz w:val="28"/>
          <w:szCs w:val="28"/>
          <w:rtl/>
        </w:rPr>
        <w:t>أَم</w:t>
      </w:r>
      <w:r w:rsidRPr="0067048A">
        <w:rPr>
          <w:rFonts w:ascii="KFGQPC Uthmanic Script HAFS" w:cs="KFGQPC Uthmanic Script HAFS" w:hint="cs"/>
          <w:sz w:val="28"/>
          <w:szCs w:val="28"/>
          <w:rtl/>
        </w:rPr>
        <w:t>ۡ</w:t>
      </w:r>
      <w:r w:rsidRPr="0067048A">
        <w:rPr>
          <w:rFonts w:ascii="KFGQPC Uthmanic Script HAFS" w:cs="KFGQPC Uthmanic Script HAFS" w:hint="eastAsia"/>
          <w:sz w:val="28"/>
          <w:szCs w:val="28"/>
          <w:rtl/>
        </w:rPr>
        <w:t>وَ</w:t>
      </w:r>
      <w:r w:rsidRPr="0067048A">
        <w:rPr>
          <w:rFonts w:ascii="KFGQPC Uthmanic Script HAFS" w:cs="KFGQPC Uthmanic Script HAFS" w:hint="cs"/>
          <w:sz w:val="28"/>
          <w:szCs w:val="28"/>
          <w:rtl/>
        </w:rPr>
        <w:t>ٰ</w:t>
      </w:r>
      <w:r w:rsidRPr="0067048A">
        <w:rPr>
          <w:rFonts w:ascii="KFGQPC Uthmanic Script HAFS" w:cs="KFGQPC Uthmanic Script HAFS" w:hint="eastAsia"/>
          <w:sz w:val="28"/>
          <w:szCs w:val="28"/>
          <w:rtl/>
        </w:rPr>
        <w:t>لَهُم</w:t>
      </w:r>
      <w:r w:rsidRPr="0067048A">
        <w:rPr>
          <w:rFonts w:ascii="KFGQPC Uthmanic Script HAFS" w:cs="KFGQPC Uthmanic Script HAFS" w:hint="cs"/>
          <w:sz w:val="28"/>
          <w:szCs w:val="28"/>
          <w:rtl/>
        </w:rPr>
        <w:t>ۡ</w:t>
      </w:r>
      <w:r w:rsidRPr="0067048A">
        <w:rPr>
          <w:rFonts w:ascii="KFGQPC Uthmanic Script HAFS" w:cs="KFGQPC Uthmanic Script HAFS"/>
          <w:sz w:val="28"/>
          <w:szCs w:val="28"/>
          <w:rtl/>
        </w:rPr>
        <w:t xml:space="preserve"> </w:t>
      </w:r>
      <w:r w:rsidRPr="0067048A">
        <w:rPr>
          <w:rFonts w:ascii="KFGQPC Uthmanic Script HAFS" w:cs="KFGQPC Uthmanic Script HAFS" w:hint="eastAsia"/>
          <w:sz w:val="28"/>
          <w:szCs w:val="28"/>
          <w:rtl/>
        </w:rPr>
        <w:t>إِلَى</w:t>
      </w:r>
      <w:r w:rsidRPr="0067048A">
        <w:rPr>
          <w:rFonts w:ascii="KFGQPC Uthmanic Script HAFS" w:cs="KFGQPC Uthmanic Script HAFS" w:hint="cs"/>
          <w:sz w:val="28"/>
          <w:szCs w:val="28"/>
          <w:rtl/>
        </w:rPr>
        <w:t>ٰٓ</w:t>
      </w:r>
      <w:r w:rsidRPr="0067048A">
        <w:rPr>
          <w:rFonts w:ascii="KFGQPC Uthmanic Script HAFS" w:cs="KFGQPC Uthmanic Script HAFS"/>
          <w:sz w:val="28"/>
          <w:szCs w:val="28"/>
          <w:rtl/>
        </w:rPr>
        <w:t xml:space="preserve"> </w:t>
      </w:r>
      <w:r w:rsidRPr="0067048A">
        <w:rPr>
          <w:rFonts w:ascii="KFGQPC Uthmanic Script HAFS" w:cs="KFGQPC Uthmanic Script HAFS" w:hint="eastAsia"/>
          <w:sz w:val="28"/>
          <w:szCs w:val="28"/>
          <w:rtl/>
        </w:rPr>
        <w:t>أَم</w:t>
      </w:r>
      <w:r w:rsidRPr="0067048A">
        <w:rPr>
          <w:rFonts w:ascii="KFGQPC Uthmanic Script HAFS" w:cs="KFGQPC Uthmanic Script HAFS" w:hint="cs"/>
          <w:sz w:val="28"/>
          <w:szCs w:val="28"/>
          <w:rtl/>
        </w:rPr>
        <w:t>ۡ</w:t>
      </w:r>
      <w:r w:rsidRPr="0067048A">
        <w:rPr>
          <w:rFonts w:ascii="KFGQPC Uthmanic Script HAFS" w:cs="KFGQPC Uthmanic Script HAFS" w:hint="eastAsia"/>
          <w:sz w:val="28"/>
          <w:szCs w:val="28"/>
          <w:rtl/>
        </w:rPr>
        <w:t>وَ</w:t>
      </w:r>
      <w:r w:rsidRPr="0067048A">
        <w:rPr>
          <w:rFonts w:ascii="KFGQPC Uthmanic Script HAFS" w:cs="KFGQPC Uthmanic Script HAFS" w:hint="cs"/>
          <w:sz w:val="28"/>
          <w:szCs w:val="28"/>
          <w:rtl/>
        </w:rPr>
        <w:t>ٰ</w:t>
      </w:r>
      <w:r w:rsidRPr="0067048A">
        <w:rPr>
          <w:rFonts w:ascii="KFGQPC Uthmanic Script HAFS" w:cs="KFGQPC Uthmanic Script HAFS" w:hint="eastAsia"/>
          <w:sz w:val="28"/>
          <w:szCs w:val="28"/>
          <w:rtl/>
        </w:rPr>
        <w:t>لِكُم</w:t>
      </w:r>
      <w:r w:rsidRPr="0067048A">
        <w:rPr>
          <w:rFonts w:ascii="KFGQPC Uthmanic Script HAFS" w:cs="KFGQPC Uthmanic Script HAFS" w:hint="cs"/>
          <w:sz w:val="28"/>
          <w:szCs w:val="28"/>
          <w:rtl/>
        </w:rPr>
        <w:t>ۡ</w:t>
      </w:r>
      <w:r w:rsidRPr="00995B26">
        <w:rPr>
          <w:rFonts w:ascii="KFGQPC Uthmanic Script HAFS" w:cs="Times New Roman" w:hint="cs"/>
          <w:sz w:val="28"/>
          <w:rtl/>
        </w:rPr>
        <w:t>...</w:t>
      </w:r>
      <w:r w:rsidRPr="00995B26">
        <w:rPr>
          <w:rFonts w:ascii="Abo-thar" w:hAnsi="Abo-thar" w:cs="Traditional Arabic" w:hint="cs"/>
          <w:sz w:val="28"/>
          <w:rtl/>
          <w:lang w:bidi="ar-SY"/>
        </w:rPr>
        <w:t>﴾</w:t>
      </w:r>
      <w:r w:rsidRPr="003F3B94">
        <w:rPr>
          <w:rFonts w:hint="cs"/>
          <w:sz w:val="28"/>
          <w:rtl/>
          <w:lang w:bidi="ar-SY"/>
        </w:rPr>
        <w:t xml:space="preserve"> </w:t>
      </w:r>
      <w:r w:rsidR="005C664D" w:rsidRPr="009E1401">
        <w:rPr>
          <w:rStyle w:val="Char2"/>
          <w:rFonts w:hint="cs"/>
          <w:rtl/>
        </w:rPr>
        <w:t>[النساء</w:t>
      </w:r>
      <w:r w:rsidRPr="009E1401">
        <w:rPr>
          <w:rStyle w:val="Char2"/>
          <w:rFonts w:hint="cs"/>
          <w:rtl/>
        </w:rPr>
        <w:t xml:space="preserve">: </w:t>
      </w:r>
      <w:r w:rsidR="005C664D" w:rsidRPr="009E1401">
        <w:rPr>
          <w:rStyle w:val="Char2"/>
          <w:rFonts w:hint="cs"/>
          <w:rtl/>
        </w:rPr>
        <w:t>2]</w:t>
      </w:r>
      <w:r w:rsidR="00217AB4" w:rsidRPr="003F3B94">
        <w:rPr>
          <w:rFonts w:hint="cs"/>
          <w:sz w:val="28"/>
          <w:rtl/>
          <w:lang w:bidi="ar-SY"/>
        </w:rPr>
        <w:t>.</w:t>
      </w:r>
    </w:p>
    <w:p w:rsidR="005C664D" w:rsidRPr="003F3B94" w:rsidRDefault="00B06788" w:rsidP="003F3B94">
      <w:pPr>
        <w:pStyle w:val="a0"/>
        <w:rPr>
          <w:rFonts w:hint="cs"/>
          <w:rtl/>
        </w:rPr>
      </w:pPr>
      <w:r w:rsidRPr="00995B26">
        <w:rPr>
          <w:rFonts w:ascii="Abo-thar" w:hAnsi="Abo-thar" w:cs="Traditional Arabic" w:hint="cs"/>
          <w:sz w:val="28"/>
          <w:rtl/>
          <w:lang w:bidi="ar-SY"/>
        </w:rPr>
        <w:t>﴿</w:t>
      </w:r>
      <w:r w:rsidRPr="00995B26">
        <w:rPr>
          <w:rFonts w:ascii="KFGQPC Uthmanic Script HAFS" w:cs="KFGQPC Uthmanic Script HAFS" w:hint="eastAsia"/>
          <w:sz w:val="29"/>
          <w:szCs w:val="29"/>
          <w:rtl/>
        </w:rPr>
        <w:t>وَلَا</w:t>
      </w:r>
      <w:r w:rsidRPr="00995B26">
        <w:rPr>
          <w:rFonts w:ascii="KFGQPC Uthmanic Script HAFS" w:cs="KFGQPC Uthmanic Script HAFS"/>
          <w:sz w:val="29"/>
          <w:szCs w:val="29"/>
          <w:rtl/>
        </w:rPr>
        <w:t xml:space="preserve"> </w:t>
      </w:r>
      <w:r w:rsidRPr="00995B26">
        <w:rPr>
          <w:rFonts w:ascii="KFGQPC Uthmanic Script HAFS" w:cs="KFGQPC Uthmanic Script HAFS" w:hint="eastAsia"/>
          <w:sz w:val="29"/>
          <w:szCs w:val="29"/>
          <w:rtl/>
        </w:rPr>
        <w:t>تُؤ</w:t>
      </w:r>
      <w:r w:rsidRPr="00995B26">
        <w:rPr>
          <w:rFonts w:ascii="KFGQPC Uthmanic Script HAFS" w:cs="KFGQPC Uthmanic Script HAFS" w:hint="cs"/>
          <w:sz w:val="29"/>
          <w:szCs w:val="29"/>
          <w:rtl/>
        </w:rPr>
        <w:t>ۡ</w:t>
      </w:r>
      <w:r w:rsidRPr="00995B26">
        <w:rPr>
          <w:rFonts w:ascii="KFGQPC Uthmanic Script HAFS" w:cs="KFGQPC Uthmanic Script HAFS" w:hint="eastAsia"/>
          <w:sz w:val="29"/>
          <w:szCs w:val="29"/>
          <w:rtl/>
        </w:rPr>
        <w:t>تُواْ</w:t>
      </w:r>
      <w:r w:rsidRPr="00995B26">
        <w:rPr>
          <w:rFonts w:ascii="KFGQPC Uthmanic Script HAFS" w:cs="KFGQPC Uthmanic Script HAFS"/>
          <w:sz w:val="29"/>
          <w:szCs w:val="29"/>
          <w:rtl/>
        </w:rPr>
        <w:t xml:space="preserve"> </w:t>
      </w:r>
      <w:r w:rsidRPr="00995B26">
        <w:rPr>
          <w:rFonts w:ascii="KFGQPC Uthmanic Script HAFS" w:cs="KFGQPC Uthmanic Script HAFS" w:hint="cs"/>
          <w:sz w:val="29"/>
          <w:szCs w:val="29"/>
          <w:rtl/>
        </w:rPr>
        <w:t>ٱ</w:t>
      </w:r>
      <w:r w:rsidRPr="00995B26">
        <w:rPr>
          <w:rFonts w:ascii="KFGQPC Uthmanic Script HAFS" w:cs="KFGQPC Uthmanic Script HAFS" w:hint="eastAsia"/>
          <w:sz w:val="29"/>
          <w:szCs w:val="29"/>
          <w:rtl/>
        </w:rPr>
        <w:t>لسُّفَهَا</w:t>
      </w:r>
      <w:r w:rsidRPr="00995B26">
        <w:rPr>
          <w:rFonts w:ascii="KFGQPC Uthmanic Script HAFS" w:cs="KFGQPC Uthmanic Script HAFS" w:hint="cs"/>
          <w:sz w:val="29"/>
          <w:szCs w:val="29"/>
          <w:rtl/>
        </w:rPr>
        <w:t>ٓ</w:t>
      </w:r>
      <w:r w:rsidRPr="00995B26">
        <w:rPr>
          <w:rFonts w:ascii="KFGQPC Uthmanic Script HAFS" w:cs="KFGQPC Uthmanic Script HAFS" w:hint="eastAsia"/>
          <w:sz w:val="29"/>
          <w:szCs w:val="29"/>
          <w:rtl/>
        </w:rPr>
        <w:t>ءَ</w:t>
      </w:r>
      <w:r w:rsidRPr="00995B26">
        <w:rPr>
          <w:rFonts w:ascii="KFGQPC Uthmanic Script HAFS" w:cs="KFGQPC Uthmanic Script HAFS"/>
          <w:sz w:val="29"/>
          <w:szCs w:val="29"/>
          <w:rtl/>
        </w:rPr>
        <w:t xml:space="preserve"> </w:t>
      </w:r>
      <w:r w:rsidRPr="00995B26">
        <w:rPr>
          <w:rFonts w:ascii="KFGQPC Uthmanic Script HAFS" w:cs="KFGQPC Uthmanic Script HAFS" w:hint="eastAsia"/>
          <w:sz w:val="29"/>
          <w:szCs w:val="29"/>
          <w:rtl/>
        </w:rPr>
        <w:t>أَم</w:t>
      </w:r>
      <w:r w:rsidRPr="00995B26">
        <w:rPr>
          <w:rFonts w:ascii="KFGQPC Uthmanic Script HAFS" w:cs="KFGQPC Uthmanic Script HAFS" w:hint="cs"/>
          <w:sz w:val="29"/>
          <w:szCs w:val="29"/>
          <w:rtl/>
        </w:rPr>
        <w:t>ۡ</w:t>
      </w:r>
      <w:r w:rsidRPr="00995B26">
        <w:rPr>
          <w:rFonts w:ascii="KFGQPC Uthmanic Script HAFS" w:cs="KFGQPC Uthmanic Script HAFS" w:hint="eastAsia"/>
          <w:sz w:val="29"/>
          <w:szCs w:val="29"/>
          <w:rtl/>
        </w:rPr>
        <w:t>وَ</w:t>
      </w:r>
      <w:r w:rsidRPr="00995B26">
        <w:rPr>
          <w:rFonts w:ascii="KFGQPC Uthmanic Script HAFS" w:cs="KFGQPC Uthmanic Script HAFS" w:hint="cs"/>
          <w:sz w:val="29"/>
          <w:szCs w:val="29"/>
          <w:rtl/>
        </w:rPr>
        <w:t>ٰ</w:t>
      </w:r>
      <w:r w:rsidRPr="00995B26">
        <w:rPr>
          <w:rFonts w:ascii="KFGQPC Uthmanic Script HAFS" w:cs="KFGQPC Uthmanic Script HAFS" w:hint="eastAsia"/>
          <w:sz w:val="29"/>
          <w:szCs w:val="29"/>
          <w:rtl/>
        </w:rPr>
        <w:t>لَكُمُ</w:t>
      </w:r>
      <w:r w:rsidRPr="00995B26">
        <w:rPr>
          <w:rFonts w:ascii="KFGQPC Uthmanic Script HAFS" w:cs="Times New Roman" w:hint="cs"/>
          <w:sz w:val="29"/>
          <w:szCs w:val="29"/>
          <w:rtl/>
        </w:rPr>
        <w:t>...</w:t>
      </w:r>
      <w:r w:rsidRPr="00995B26">
        <w:rPr>
          <w:rFonts w:ascii="Abo-thar" w:hAnsi="Abo-thar" w:cs="Traditional Arabic" w:hint="cs"/>
          <w:sz w:val="28"/>
          <w:rtl/>
          <w:lang w:bidi="ar-SY"/>
        </w:rPr>
        <w:t>﴾</w:t>
      </w:r>
      <w:r w:rsidRPr="003F3B94">
        <w:rPr>
          <w:rFonts w:hint="cs"/>
          <w:sz w:val="28"/>
          <w:rtl/>
          <w:lang w:bidi="ar-SY"/>
        </w:rPr>
        <w:t xml:space="preserve"> </w:t>
      </w:r>
      <w:r w:rsidR="005C664D" w:rsidRPr="009E1401">
        <w:rPr>
          <w:rStyle w:val="Char2"/>
          <w:rFonts w:hint="cs"/>
          <w:rtl/>
        </w:rPr>
        <w:t>[النساء</w:t>
      </w:r>
      <w:r w:rsidRPr="009E1401">
        <w:rPr>
          <w:rStyle w:val="Char2"/>
          <w:rFonts w:hint="cs"/>
          <w:rtl/>
        </w:rPr>
        <w:t xml:space="preserve">: </w:t>
      </w:r>
      <w:r w:rsidR="005C664D" w:rsidRPr="009E1401">
        <w:rPr>
          <w:rStyle w:val="Char2"/>
          <w:rFonts w:hint="cs"/>
          <w:rtl/>
        </w:rPr>
        <w:t>5]</w:t>
      </w:r>
      <w:r w:rsidR="00217AB4" w:rsidRPr="003F3B94">
        <w:rPr>
          <w:rFonts w:hint="cs"/>
          <w:sz w:val="28"/>
          <w:rtl/>
          <w:lang w:bidi="ar-SY"/>
        </w:rPr>
        <w:t>.</w:t>
      </w:r>
    </w:p>
    <w:p w:rsidR="005C664D" w:rsidRPr="003F3B94" w:rsidRDefault="00B06788" w:rsidP="003F3B94">
      <w:pPr>
        <w:pStyle w:val="a0"/>
        <w:rPr>
          <w:rFonts w:hint="cs"/>
          <w:rtl/>
        </w:rPr>
      </w:pPr>
      <w:r w:rsidRPr="00995B26">
        <w:rPr>
          <w:rFonts w:ascii="Abo-thar" w:hAnsi="Abo-thar" w:cs="Traditional Arabic" w:hint="cs"/>
          <w:sz w:val="28"/>
          <w:rtl/>
          <w:lang w:bidi="ar-SY"/>
        </w:rPr>
        <w:t>﴿</w:t>
      </w:r>
      <w:r w:rsidRPr="0067048A">
        <w:rPr>
          <w:rFonts w:ascii="KFGQPC Uthmanic Script HAFS" w:cs="KFGQPC Uthmanic Script HAFS" w:hint="eastAsia"/>
          <w:sz w:val="28"/>
          <w:szCs w:val="28"/>
          <w:rtl/>
        </w:rPr>
        <w:t>يَ</w:t>
      </w:r>
      <w:r w:rsidRPr="0067048A">
        <w:rPr>
          <w:rFonts w:ascii="KFGQPC Uthmanic Script HAFS" w:cs="KFGQPC Uthmanic Script HAFS" w:hint="cs"/>
          <w:sz w:val="28"/>
          <w:szCs w:val="28"/>
          <w:rtl/>
        </w:rPr>
        <w:t>ٰٓ</w:t>
      </w:r>
      <w:r w:rsidRPr="0067048A">
        <w:rPr>
          <w:rFonts w:ascii="KFGQPC Uthmanic Script HAFS" w:cs="KFGQPC Uthmanic Script HAFS" w:hint="eastAsia"/>
          <w:sz w:val="28"/>
          <w:szCs w:val="28"/>
          <w:rtl/>
        </w:rPr>
        <w:t>أَيُّهَا</w:t>
      </w:r>
      <w:r w:rsidRPr="0067048A">
        <w:rPr>
          <w:rFonts w:ascii="KFGQPC Uthmanic Script HAFS" w:cs="KFGQPC Uthmanic Script HAFS"/>
          <w:sz w:val="28"/>
          <w:szCs w:val="28"/>
          <w:rtl/>
        </w:rPr>
        <w:t xml:space="preserve"> </w:t>
      </w:r>
      <w:r w:rsidRPr="0067048A">
        <w:rPr>
          <w:rFonts w:ascii="KFGQPC Uthmanic Script HAFS" w:cs="KFGQPC Uthmanic Script HAFS" w:hint="cs"/>
          <w:sz w:val="28"/>
          <w:szCs w:val="28"/>
          <w:rtl/>
        </w:rPr>
        <w:t>ٱ</w:t>
      </w:r>
      <w:r w:rsidRPr="0067048A">
        <w:rPr>
          <w:rFonts w:ascii="KFGQPC Uthmanic Script HAFS" w:cs="KFGQPC Uthmanic Script HAFS" w:hint="eastAsia"/>
          <w:sz w:val="28"/>
          <w:szCs w:val="28"/>
          <w:rtl/>
        </w:rPr>
        <w:t>لَّذِينَ</w:t>
      </w:r>
      <w:r w:rsidRPr="0067048A">
        <w:rPr>
          <w:rFonts w:ascii="KFGQPC Uthmanic Script HAFS" w:cs="KFGQPC Uthmanic Script HAFS"/>
          <w:sz w:val="28"/>
          <w:szCs w:val="28"/>
          <w:rtl/>
        </w:rPr>
        <w:t xml:space="preserve"> </w:t>
      </w:r>
      <w:r w:rsidRPr="0067048A">
        <w:rPr>
          <w:rFonts w:ascii="KFGQPC Uthmanic Script HAFS" w:cs="KFGQPC Uthmanic Script HAFS" w:hint="eastAsia"/>
          <w:sz w:val="28"/>
          <w:szCs w:val="28"/>
          <w:rtl/>
        </w:rPr>
        <w:t>ءَامَنُواْ</w:t>
      </w:r>
      <w:r w:rsidRPr="0067048A">
        <w:rPr>
          <w:rFonts w:ascii="KFGQPC Uthmanic Script HAFS" w:cs="KFGQPC Uthmanic Script HAFS"/>
          <w:sz w:val="28"/>
          <w:szCs w:val="28"/>
          <w:rtl/>
        </w:rPr>
        <w:t xml:space="preserve"> </w:t>
      </w:r>
      <w:r w:rsidRPr="0067048A">
        <w:rPr>
          <w:rFonts w:ascii="KFGQPC Uthmanic Script HAFS" w:cs="KFGQPC Uthmanic Script HAFS" w:hint="eastAsia"/>
          <w:sz w:val="28"/>
          <w:szCs w:val="28"/>
          <w:rtl/>
        </w:rPr>
        <w:t>لَا</w:t>
      </w:r>
      <w:r w:rsidRPr="0067048A">
        <w:rPr>
          <w:rFonts w:ascii="KFGQPC Uthmanic Script HAFS" w:cs="KFGQPC Uthmanic Script HAFS"/>
          <w:sz w:val="28"/>
          <w:szCs w:val="28"/>
          <w:rtl/>
        </w:rPr>
        <w:t xml:space="preserve"> </w:t>
      </w:r>
      <w:r w:rsidRPr="0067048A">
        <w:rPr>
          <w:rFonts w:ascii="KFGQPC Uthmanic Script HAFS" w:cs="KFGQPC Uthmanic Script HAFS" w:hint="eastAsia"/>
          <w:sz w:val="28"/>
          <w:szCs w:val="28"/>
          <w:rtl/>
        </w:rPr>
        <w:t>تَأ</w:t>
      </w:r>
      <w:r w:rsidRPr="0067048A">
        <w:rPr>
          <w:rFonts w:ascii="KFGQPC Uthmanic Script HAFS" w:cs="KFGQPC Uthmanic Script HAFS" w:hint="cs"/>
          <w:sz w:val="28"/>
          <w:szCs w:val="28"/>
          <w:rtl/>
        </w:rPr>
        <w:t>ۡ</w:t>
      </w:r>
      <w:r w:rsidRPr="0067048A">
        <w:rPr>
          <w:rFonts w:ascii="KFGQPC Uthmanic Script HAFS" w:cs="KFGQPC Uthmanic Script HAFS" w:hint="eastAsia"/>
          <w:sz w:val="28"/>
          <w:szCs w:val="28"/>
          <w:rtl/>
        </w:rPr>
        <w:t>كُلُو</w:t>
      </w:r>
      <w:r w:rsidRPr="0067048A">
        <w:rPr>
          <w:rFonts w:ascii="KFGQPC Uthmanic Script HAFS" w:cs="KFGQPC Uthmanic Script HAFS" w:hint="cs"/>
          <w:sz w:val="28"/>
          <w:szCs w:val="28"/>
          <w:rtl/>
        </w:rPr>
        <w:t>ٓ</w:t>
      </w:r>
      <w:r w:rsidRPr="0067048A">
        <w:rPr>
          <w:rFonts w:ascii="KFGQPC Uthmanic Script HAFS" w:cs="KFGQPC Uthmanic Script HAFS" w:hint="eastAsia"/>
          <w:sz w:val="28"/>
          <w:szCs w:val="28"/>
          <w:rtl/>
        </w:rPr>
        <w:t>اْ</w:t>
      </w:r>
      <w:r w:rsidRPr="0067048A">
        <w:rPr>
          <w:rFonts w:ascii="KFGQPC Uthmanic Script HAFS" w:cs="KFGQPC Uthmanic Script HAFS"/>
          <w:sz w:val="28"/>
          <w:szCs w:val="28"/>
          <w:rtl/>
        </w:rPr>
        <w:t xml:space="preserve"> </w:t>
      </w:r>
      <w:r w:rsidRPr="0067048A">
        <w:rPr>
          <w:rFonts w:ascii="KFGQPC Uthmanic Script HAFS" w:cs="KFGQPC Uthmanic Script HAFS" w:hint="eastAsia"/>
          <w:sz w:val="28"/>
          <w:szCs w:val="28"/>
          <w:rtl/>
        </w:rPr>
        <w:t>أَم</w:t>
      </w:r>
      <w:r w:rsidRPr="0067048A">
        <w:rPr>
          <w:rFonts w:ascii="KFGQPC Uthmanic Script HAFS" w:cs="KFGQPC Uthmanic Script HAFS" w:hint="cs"/>
          <w:sz w:val="28"/>
          <w:szCs w:val="28"/>
          <w:rtl/>
        </w:rPr>
        <w:t>ۡ</w:t>
      </w:r>
      <w:r w:rsidRPr="0067048A">
        <w:rPr>
          <w:rFonts w:ascii="KFGQPC Uthmanic Script HAFS" w:cs="KFGQPC Uthmanic Script HAFS" w:hint="eastAsia"/>
          <w:sz w:val="28"/>
          <w:szCs w:val="28"/>
          <w:rtl/>
        </w:rPr>
        <w:t>وَ</w:t>
      </w:r>
      <w:r w:rsidRPr="0067048A">
        <w:rPr>
          <w:rFonts w:ascii="KFGQPC Uthmanic Script HAFS" w:cs="KFGQPC Uthmanic Script HAFS" w:hint="cs"/>
          <w:sz w:val="28"/>
          <w:szCs w:val="28"/>
          <w:rtl/>
        </w:rPr>
        <w:t>ٰ</w:t>
      </w:r>
      <w:r w:rsidRPr="0067048A">
        <w:rPr>
          <w:rFonts w:ascii="KFGQPC Uthmanic Script HAFS" w:cs="KFGQPC Uthmanic Script HAFS" w:hint="eastAsia"/>
          <w:sz w:val="28"/>
          <w:szCs w:val="28"/>
          <w:rtl/>
        </w:rPr>
        <w:t>لَكُم</w:t>
      </w:r>
      <w:r w:rsidRPr="0067048A">
        <w:rPr>
          <w:rFonts w:ascii="KFGQPC Uthmanic Script HAFS" w:cs="KFGQPC Uthmanic Script HAFS"/>
          <w:sz w:val="28"/>
          <w:szCs w:val="28"/>
          <w:rtl/>
        </w:rPr>
        <w:t xml:space="preserve"> </w:t>
      </w:r>
      <w:r w:rsidRPr="0067048A">
        <w:rPr>
          <w:rFonts w:ascii="KFGQPC Uthmanic Script HAFS" w:cs="KFGQPC Uthmanic Script HAFS" w:hint="eastAsia"/>
          <w:sz w:val="28"/>
          <w:szCs w:val="28"/>
          <w:rtl/>
        </w:rPr>
        <w:t>بَي</w:t>
      </w:r>
      <w:r w:rsidRPr="0067048A">
        <w:rPr>
          <w:rFonts w:ascii="KFGQPC Uthmanic Script HAFS" w:cs="KFGQPC Uthmanic Script HAFS" w:hint="cs"/>
          <w:sz w:val="28"/>
          <w:szCs w:val="28"/>
          <w:rtl/>
        </w:rPr>
        <w:t>ۡ</w:t>
      </w:r>
      <w:r w:rsidRPr="0067048A">
        <w:rPr>
          <w:rFonts w:ascii="KFGQPC Uthmanic Script HAFS" w:cs="KFGQPC Uthmanic Script HAFS" w:hint="eastAsia"/>
          <w:sz w:val="28"/>
          <w:szCs w:val="28"/>
          <w:rtl/>
        </w:rPr>
        <w:t>نَكُم</w:t>
      </w:r>
      <w:r w:rsidRPr="0067048A">
        <w:rPr>
          <w:rFonts w:ascii="KFGQPC Uthmanic Script HAFS" w:cs="KFGQPC Uthmanic Script HAFS"/>
          <w:sz w:val="28"/>
          <w:szCs w:val="28"/>
          <w:rtl/>
        </w:rPr>
        <w:t xml:space="preserve"> </w:t>
      </w:r>
      <w:r w:rsidRPr="0067048A">
        <w:rPr>
          <w:rFonts w:ascii="KFGQPC Uthmanic Script HAFS" w:cs="KFGQPC Uthmanic Script HAFS" w:hint="eastAsia"/>
          <w:sz w:val="28"/>
          <w:szCs w:val="28"/>
          <w:rtl/>
        </w:rPr>
        <w:t>بِ</w:t>
      </w:r>
      <w:r w:rsidRPr="0067048A">
        <w:rPr>
          <w:rFonts w:ascii="KFGQPC Uthmanic Script HAFS" w:cs="KFGQPC Uthmanic Script HAFS" w:hint="cs"/>
          <w:sz w:val="28"/>
          <w:szCs w:val="28"/>
          <w:rtl/>
        </w:rPr>
        <w:t>ٱ</w:t>
      </w:r>
      <w:r w:rsidRPr="0067048A">
        <w:rPr>
          <w:rFonts w:ascii="KFGQPC Uthmanic Script HAFS" w:cs="KFGQPC Uthmanic Script HAFS" w:hint="eastAsia"/>
          <w:sz w:val="28"/>
          <w:szCs w:val="28"/>
          <w:rtl/>
        </w:rPr>
        <w:t>ل</w:t>
      </w:r>
      <w:r w:rsidRPr="0067048A">
        <w:rPr>
          <w:rFonts w:ascii="KFGQPC Uthmanic Script HAFS" w:cs="KFGQPC Uthmanic Script HAFS" w:hint="cs"/>
          <w:sz w:val="28"/>
          <w:szCs w:val="28"/>
          <w:rtl/>
        </w:rPr>
        <w:t>ۡ</w:t>
      </w:r>
      <w:r w:rsidRPr="0067048A">
        <w:rPr>
          <w:rFonts w:ascii="KFGQPC Uthmanic Script HAFS" w:cs="KFGQPC Uthmanic Script HAFS" w:hint="eastAsia"/>
          <w:sz w:val="28"/>
          <w:szCs w:val="28"/>
          <w:rtl/>
        </w:rPr>
        <w:t>بَ</w:t>
      </w:r>
      <w:r w:rsidRPr="0067048A">
        <w:rPr>
          <w:rFonts w:ascii="KFGQPC Uthmanic Script HAFS" w:cs="KFGQPC Uthmanic Script HAFS" w:hint="cs"/>
          <w:sz w:val="28"/>
          <w:szCs w:val="28"/>
          <w:rtl/>
        </w:rPr>
        <w:t>ٰ</w:t>
      </w:r>
      <w:r w:rsidRPr="0067048A">
        <w:rPr>
          <w:rFonts w:ascii="KFGQPC Uthmanic Script HAFS" w:cs="KFGQPC Uthmanic Script HAFS" w:hint="eastAsia"/>
          <w:sz w:val="28"/>
          <w:szCs w:val="28"/>
          <w:rtl/>
        </w:rPr>
        <w:t>طِلِ</w:t>
      </w:r>
      <w:r w:rsidRPr="00995B26">
        <w:rPr>
          <w:rFonts w:ascii="KFGQPC Uthmanic Script HAFS" w:cs="Times New Roman" w:hint="cs"/>
          <w:sz w:val="28"/>
          <w:rtl/>
        </w:rPr>
        <w:t>...</w:t>
      </w:r>
      <w:r w:rsidRPr="00995B26">
        <w:rPr>
          <w:rFonts w:ascii="Abo-thar" w:hAnsi="Abo-thar" w:cs="Traditional Arabic" w:hint="cs"/>
          <w:sz w:val="28"/>
          <w:rtl/>
          <w:lang w:bidi="ar-SY"/>
        </w:rPr>
        <w:t>﴾</w:t>
      </w:r>
      <w:r w:rsidRPr="003F3B94">
        <w:rPr>
          <w:rFonts w:hint="cs"/>
          <w:sz w:val="28"/>
          <w:rtl/>
        </w:rPr>
        <w:t xml:space="preserve"> </w:t>
      </w:r>
      <w:r w:rsidR="005C664D" w:rsidRPr="009E1401">
        <w:rPr>
          <w:rStyle w:val="Char2"/>
          <w:rFonts w:hint="cs"/>
          <w:rtl/>
        </w:rPr>
        <w:t>[النساء</w:t>
      </w:r>
      <w:r w:rsidRPr="009E1401">
        <w:rPr>
          <w:rStyle w:val="Char2"/>
          <w:rFonts w:hint="cs"/>
          <w:rtl/>
        </w:rPr>
        <w:t xml:space="preserve">: </w:t>
      </w:r>
      <w:r w:rsidR="005C664D" w:rsidRPr="009E1401">
        <w:rPr>
          <w:rStyle w:val="Char2"/>
          <w:rFonts w:hint="cs"/>
          <w:rtl/>
        </w:rPr>
        <w:t>29]</w:t>
      </w:r>
      <w:r w:rsidR="00217AB4" w:rsidRPr="003F3B94">
        <w:rPr>
          <w:rFonts w:hint="cs"/>
          <w:sz w:val="28"/>
          <w:rtl/>
        </w:rPr>
        <w:t>.</w:t>
      </w:r>
    </w:p>
    <w:p w:rsidR="005C664D" w:rsidRPr="00995B26" w:rsidRDefault="005C664D" w:rsidP="003F3B94">
      <w:pPr>
        <w:pStyle w:val="a0"/>
        <w:rPr>
          <w:rFonts w:hint="cs"/>
          <w:rtl/>
        </w:rPr>
      </w:pPr>
      <w:r w:rsidRPr="003F3B94">
        <w:rPr>
          <w:rFonts w:hint="cs"/>
          <w:sz w:val="28"/>
          <w:rtl/>
        </w:rPr>
        <w:t>ومثله جاء في سائر الآيات كالآية 28 من سورة الأنفال</w:t>
      </w:r>
      <w:r w:rsidR="00217AB4" w:rsidRPr="003F3B94">
        <w:rPr>
          <w:rFonts w:hint="cs"/>
          <w:sz w:val="28"/>
          <w:rtl/>
        </w:rPr>
        <w:t>،</w:t>
      </w:r>
      <w:r w:rsidRPr="003F3B94">
        <w:rPr>
          <w:rFonts w:hint="cs"/>
          <w:sz w:val="28"/>
          <w:rtl/>
        </w:rPr>
        <w:t xml:space="preserve"> والآية 41 من سورة التوبة</w:t>
      </w:r>
      <w:r w:rsidR="00217AB4" w:rsidRPr="003F3B94">
        <w:rPr>
          <w:rFonts w:hint="cs"/>
          <w:sz w:val="28"/>
          <w:rtl/>
        </w:rPr>
        <w:t>،</w:t>
      </w:r>
      <w:r w:rsidRPr="003F3B94">
        <w:rPr>
          <w:rFonts w:hint="cs"/>
          <w:sz w:val="28"/>
          <w:rtl/>
        </w:rPr>
        <w:t xml:space="preserve"> والآية 37 من سورة النساء</w:t>
      </w:r>
      <w:r w:rsidR="00217AB4" w:rsidRPr="003F3B94">
        <w:rPr>
          <w:rFonts w:hint="cs"/>
          <w:sz w:val="28"/>
          <w:rtl/>
        </w:rPr>
        <w:t>،</w:t>
      </w:r>
      <w:r w:rsidRPr="003F3B94">
        <w:rPr>
          <w:rFonts w:hint="cs"/>
          <w:sz w:val="28"/>
          <w:rtl/>
        </w:rPr>
        <w:t xml:space="preserve"> والآية 36 من سورة محمد</w:t>
      </w:r>
      <w:r w:rsidR="00217AB4" w:rsidRPr="003F3B94">
        <w:rPr>
          <w:rFonts w:hint="cs"/>
          <w:sz w:val="28"/>
          <w:rtl/>
        </w:rPr>
        <w:t>،</w:t>
      </w:r>
      <w:r w:rsidRPr="003F3B94">
        <w:rPr>
          <w:rFonts w:hint="cs"/>
          <w:sz w:val="28"/>
          <w:rtl/>
        </w:rPr>
        <w:t xml:space="preserve"> والآية 11 من سورة الصف</w:t>
      </w:r>
      <w:r w:rsidR="00217AB4" w:rsidRPr="003F3B94">
        <w:rPr>
          <w:rFonts w:hint="cs"/>
          <w:sz w:val="28"/>
          <w:rtl/>
        </w:rPr>
        <w:t>،</w:t>
      </w:r>
      <w:r w:rsidRPr="003F3B94">
        <w:rPr>
          <w:rFonts w:hint="cs"/>
          <w:sz w:val="28"/>
          <w:rtl/>
        </w:rPr>
        <w:t xml:space="preserve"> والآية 9 من سورة المنافقون</w:t>
      </w:r>
      <w:r w:rsidR="00217AB4" w:rsidRPr="003F3B94">
        <w:rPr>
          <w:rFonts w:hint="cs"/>
          <w:sz w:val="28"/>
          <w:rtl/>
        </w:rPr>
        <w:t>،</w:t>
      </w:r>
      <w:r w:rsidRPr="003F3B94">
        <w:rPr>
          <w:rFonts w:hint="cs"/>
          <w:sz w:val="28"/>
          <w:rtl/>
        </w:rPr>
        <w:t xml:space="preserve"> والآية 15من سورة التغابن</w:t>
      </w:r>
      <w:r w:rsidR="00217AB4" w:rsidRPr="003F3B94">
        <w:rPr>
          <w:rFonts w:hint="cs"/>
          <w:sz w:val="28"/>
          <w:rtl/>
        </w:rPr>
        <w:t>،</w:t>
      </w:r>
      <w:r w:rsidRPr="003F3B94">
        <w:rPr>
          <w:rFonts w:hint="cs"/>
          <w:sz w:val="28"/>
          <w:rtl/>
        </w:rPr>
        <w:t xml:space="preserve"> كلها مثل قوله تعالى</w:t>
      </w:r>
      <w:r w:rsidR="00217AB4" w:rsidRPr="003F3B94">
        <w:rPr>
          <w:rFonts w:hint="cs"/>
          <w:sz w:val="28"/>
          <w:rtl/>
        </w:rPr>
        <w:t>:</w:t>
      </w:r>
      <w:r w:rsidR="00B06788" w:rsidRPr="003F3B94">
        <w:rPr>
          <w:rFonts w:hint="cs"/>
          <w:sz w:val="28"/>
          <w:rtl/>
        </w:rPr>
        <w:t xml:space="preserve"> </w:t>
      </w:r>
      <w:r w:rsidR="00B06788" w:rsidRPr="00995B26">
        <w:rPr>
          <w:rFonts w:ascii="Abo-thar" w:hAnsi="Abo-thar" w:cs="Traditional Arabic" w:hint="cs"/>
          <w:sz w:val="28"/>
          <w:rtl/>
          <w:lang w:bidi="ar-SY"/>
        </w:rPr>
        <w:t>﴿</w:t>
      </w:r>
      <w:r w:rsidR="00B06788" w:rsidRPr="0067048A">
        <w:rPr>
          <w:rFonts w:ascii="KFGQPC Uthmanic Script HAFS" w:cs="KFGQPC Uthmanic Script HAFS" w:hint="eastAsia"/>
          <w:sz w:val="28"/>
          <w:szCs w:val="28"/>
          <w:rtl/>
        </w:rPr>
        <w:t>وَ</w:t>
      </w:r>
      <w:r w:rsidR="00B06788" w:rsidRPr="0067048A">
        <w:rPr>
          <w:rFonts w:ascii="KFGQPC Uthmanic Script HAFS" w:cs="KFGQPC Uthmanic Script HAFS" w:hint="cs"/>
          <w:sz w:val="28"/>
          <w:szCs w:val="28"/>
          <w:rtl/>
        </w:rPr>
        <w:t>ٱ</w:t>
      </w:r>
      <w:r w:rsidR="00B06788" w:rsidRPr="0067048A">
        <w:rPr>
          <w:rFonts w:ascii="KFGQPC Uthmanic Script HAFS" w:cs="KFGQPC Uthmanic Script HAFS" w:hint="eastAsia"/>
          <w:sz w:val="28"/>
          <w:szCs w:val="28"/>
          <w:rtl/>
        </w:rPr>
        <w:t>ع</w:t>
      </w:r>
      <w:r w:rsidR="00B06788" w:rsidRPr="0067048A">
        <w:rPr>
          <w:rFonts w:ascii="KFGQPC Uthmanic Script HAFS" w:cs="KFGQPC Uthmanic Script HAFS" w:hint="cs"/>
          <w:sz w:val="28"/>
          <w:szCs w:val="28"/>
          <w:rtl/>
        </w:rPr>
        <w:t>ۡ</w:t>
      </w:r>
      <w:r w:rsidR="00B06788" w:rsidRPr="0067048A">
        <w:rPr>
          <w:rFonts w:ascii="KFGQPC Uthmanic Script HAFS" w:cs="KFGQPC Uthmanic Script HAFS" w:hint="eastAsia"/>
          <w:sz w:val="28"/>
          <w:szCs w:val="28"/>
          <w:rtl/>
        </w:rPr>
        <w:t>لَمُو</w:t>
      </w:r>
      <w:r w:rsidR="00B06788" w:rsidRPr="0067048A">
        <w:rPr>
          <w:rFonts w:ascii="KFGQPC Uthmanic Script HAFS" w:cs="KFGQPC Uthmanic Script HAFS" w:hint="cs"/>
          <w:sz w:val="28"/>
          <w:szCs w:val="28"/>
          <w:rtl/>
        </w:rPr>
        <w:t>ٓ</w:t>
      </w:r>
      <w:r w:rsidR="00B06788" w:rsidRPr="0067048A">
        <w:rPr>
          <w:rFonts w:ascii="KFGQPC Uthmanic Script HAFS" w:cs="KFGQPC Uthmanic Script HAFS" w:hint="eastAsia"/>
          <w:sz w:val="28"/>
          <w:szCs w:val="28"/>
          <w:rtl/>
        </w:rPr>
        <w:t>اْ</w:t>
      </w:r>
      <w:r w:rsidR="00B06788" w:rsidRPr="0067048A">
        <w:rPr>
          <w:rFonts w:ascii="KFGQPC Uthmanic Script HAFS" w:cs="KFGQPC Uthmanic Script HAFS"/>
          <w:sz w:val="28"/>
          <w:szCs w:val="28"/>
          <w:rtl/>
        </w:rPr>
        <w:t xml:space="preserve"> </w:t>
      </w:r>
      <w:r w:rsidR="00B06788" w:rsidRPr="0067048A">
        <w:rPr>
          <w:rFonts w:ascii="KFGQPC Uthmanic Script HAFS" w:cs="KFGQPC Uthmanic Script HAFS" w:hint="eastAsia"/>
          <w:sz w:val="28"/>
          <w:szCs w:val="28"/>
          <w:rtl/>
        </w:rPr>
        <w:t>أَنَّمَا</w:t>
      </w:r>
      <w:r w:rsidR="00B06788" w:rsidRPr="0067048A">
        <w:rPr>
          <w:rFonts w:ascii="KFGQPC Uthmanic Script HAFS" w:cs="KFGQPC Uthmanic Script HAFS" w:hint="cs"/>
          <w:sz w:val="28"/>
          <w:szCs w:val="28"/>
          <w:rtl/>
        </w:rPr>
        <w:t>ٓ</w:t>
      </w:r>
      <w:r w:rsidR="00B06788" w:rsidRPr="0067048A">
        <w:rPr>
          <w:rFonts w:ascii="KFGQPC Uthmanic Script HAFS" w:cs="KFGQPC Uthmanic Script HAFS"/>
          <w:sz w:val="28"/>
          <w:szCs w:val="28"/>
          <w:rtl/>
        </w:rPr>
        <w:t xml:space="preserve"> </w:t>
      </w:r>
      <w:r w:rsidR="00B06788" w:rsidRPr="0067048A">
        <w:rPr>
          <w:rFonts w:ascii="KFGQPC Uthmanic Script HAFS" w:cs="KFGQPC Uthmanic Script HAFS" w:hint="eastAsia"/>
          <w:sz w:val="28"/>
          <w:szCs w:val="28"/>
          <w:rtl/>
        </w:rPr>
        <w:t>أَم</w:t>
      </w:r>
      <w:r w:rsidR="00B06788" w:rsidRPr="0067048A">
        <w:rPr>
          <w:rFonts w:ascii="KFGQPC Uthmanic Script HAFS" w:cs="KFGQPC Uthmanic Script HAFS" w:hint="cs"/>
          <w:sz w:val="28"/>
          <w:szCs w:val="28"/>
          <w:rtl/>
        </w:rPr>
        <w:t>ۡ</w:t>
      </w:r>
      <w:r w:rsidR="00B06788" w:rsidRPr="0067048A">
        <w:rPr>
          <w:rFonts w:ascii="KFGQPC Uthmanic Script HAFS" w:cs="KFGQPC Uthmanic Script HAFS" w:hint="eastAsia"/>
          <w:sz w:val="28"/>
          <w:szCs w:val="28"/>
          <w:rtl/>
        </w:rPr>
        <w:t>وَ</w:t>
      </w:r>
      <w:r w:rsidR="00B06788" w:rsidRPr="0067048A">
        <w:rPr>
          <w:rFonts w:ascii="KFGQPC Uthmanic Script HAFS" w:cs="KFGQPC Uthmanic Script HAFS" w:hint="cs"/>
          <w:sz w:val="28"/>
          <w:szCs w:val="28"/>
          <w:rtl/>
        </w:rPr>
        <w:t>ٰ</w:t>
      </w:r>
      <w:r w:rsidR="00B06788" w:rsidRPr="0067048A">
        <w:rPr>
          <w:rFonts w:ascii="KFGQPC Uthmanic Script HAFS" w:cs="KFGQPC Uthmanic Script HAFS" w:hint="eastAsia"/>
          <w:sz w:val="28"/>
          <w:szCs w:val="28"/>
          <w:rtl/>
        </w:rPr>
        <w:t>لُكُم</w:t>
      </w:r>
      <w:r w:rsidR="00B06788" w:rsidRPr="0067048A">
        <w:rPr>
          <w:rFonts w:ascii="KFGQPC Uthmanic Script HAFS" w:cs="KFGQPC Uthmanic Script HAFS" w:hint="cs"/>
          <w:sz w:val="28"/>
          <w:szCs w:val="28"/>
          <w:rtl/>
        </w:rPr>
        <w:t>ۡ</w:t>
      </w:r>
      <w:r w:rsidR="00B06788" w:rsidRPr="0067048A">
        <w:rPr>
          <w:rFonts w:ascii="KFGQPC Uthmanic Script HAFS" w:cs="KFGQPC Uthmanic Script HAFS"/>
          <w:sz w:val="28"/>
          <w:szCs w:val="28"/>
          <w:rtl/>
        </w:rPr>
        <w:t xml:space="preserve"> </w:t>
      </w:r>
      <w:r w:rsidR="00B06788" w:rsidRPr="0067048A">
        <w:rPr>
          <w:rFonts w:ascii="KFGQPC Uthmanic Script HAFS" w:cs="KFGQPC Uthmanic Script HAFS" w:hint="eastAsia"/>
          <w:sz w:val="28"/>
          <w:szCs w:val="28"/>
          <w:rtl/>
        </w:rPr>
        <w:t>وَأَو</w:t>
      </w:r>
      <w:r w:rsidR="00B06788" w:rsidRPr="0067048A">
        <w:rPr>
          <w:rFonts w:ascii="KFGQPC Uthmanic Script HAFS" w:cs="KFGQPC Uthmanic Script HAFS" w:hint="cs"/>
          <w:sz w:val="28"/>
          <w:szCs w:val="28"/>
          <w:rtl/>
        </w:rPr>
        <w:t>ۡ</w:t>
      </w:r>
      <w:r w:rsidR="00B06788" w:rsidRPr="0067048A">
        <w:rPr>
          <w:rFonts w:ascii="KFGQPC Uthmanic Script HAFS" w:cs="KFGQPC Uthmanic Script HAFS" w:hint="eastAsia"/>
          <w:sz w:val="28"/>
          <w:szCs w:val="28"/>
          <w:rtl/>
        </w:rPr>
        <w:t>لَ</w:t>
      </w:r>
      <w:r w:rsidR="00B06788" w:rsidRPr="0067048A">
        <w:rPr>
          <w:rFonts w:ascii="KFGQPC Uthmanic Script HAFS" w:cs="KFGQPC Uthmanic Script HAFS" w:hint="cs"/>
          <w:sz w:val="28"/>
          <w:szCs w:val="28"/>
          <w:rtl/>
        </w:rPr>
        <w:t>ٰ</w:t>
      </w:r>
      <w:r w:rsidR="00B06788" w:rsidRPr="0067048A">
        <w:rPr>
          <w:rFonts w:ascii="KFGQPC Uthmanic Script HAFS" w:cs="KFGQPC Uthmanic Script HAFS" w:hint="eastAsia"/>
          <w:sz w:val="28"/>
          <w:szCs w:val="28"/>
          <w:rtl/>
        </w:rPr>
        <w:t>دُكُم</w:t>
      </w:r>
      <w:r w:rsidR="00B06788" w:rsidRPr="0067048A">
        <w:rPr>
          <w:rFonts w:ascii="KFGQPC Uthmanic Script HAFS" w:cs="KFGQPC Uthmanic Script HAFS" w:hint="cs"/>
          <w:sz w:val="28"/>
          <w:szCs w:val="28"/>
          <w:rtl/>
        </w:rPr>
        <w:t>ۡ</w:t>
      </w:r>
      <w:r w:rsidR="00B06788" w:rsidRPr="0067048A">
        <w:rPr>
          <w:rFonts w:ascii="KFGQPC Uthmanic Script HAFS" w:cs="KFGQPC Uthmanic Script HAFS"/>
          <w:sz w:val="28"/>
          <w:szCs w:val="28"/>
          <w:rtl/>
        </w:rPr>
        <w:t xml:space="preserve"> </w:t>
      </w:r>
      <w:r w:rsidR="00B06788" w:rsidRPr="0067048A">
        <w:rPr>
          <w:rFonts w:ascii="KFGQPC Uthmanic Script HAFS" w:cs="KFGQPC Uthmanic Script HAFS" w:hint="eastAsia"/>
          <w:sz w:val="28"/>
          <w:szCs w:val="28"/>
          <w:rtl/>
        </w:rPr>
        <w:t>فِت</w:t>
      </w:r>
      <w:r w:rsidR="00B06788" w:rsidRPr="0067048A">
        <w:rPr>
          <w:rFonts w:ascii="KFGQPC Uthmanic Script HAFS" w:cs="KFGQPC Uthmanic Script HAFS" w:hint="cs"/>
          <w:sz w:val="28"/>
          <w:szCs w:val="28"/>
          <w:rtl/>
        </w:rPr>
        <w:t>ۡ</w:t>
      </w:r>
      <w:r w:rsidR="00B06788" w:rsidRPr="0067048A">
        <w:rPr>
          <w:rFonts w:ascii="KFGQPC Uthmanic Script HAFS" w:cs="KFGQPC Uthmanic Script HAFS" w:hint="eastAsia"/>
          <w:sz w:val="28"/>
          <w:szCs w:val="28"/>
          <w:rtl/>
        </w:rPr>
        <w:t>نَة</w:t>
      </w:r>
      <w:r w:rsidR="00B06788" w:rsidRPr="0067048A">
        <w:rPr>
          <w:rFonts w:ascii="KFGQPC Uthmanic Script HAFS" w:cs="KFGQPC Uthmanic Script HAFS" w:hint="cs"/>
          <w:sz w:val="28"/>
          <w:szCs w:val="28"/>
          <w:rtl/>
        </w:rPr>
        <w:t>ٞ</w:t>
      </w:r>
      <w:r w:rsidR="00B06788" w:rsidRPr="00995B26">
        <w:rPr>
          <w:rFonts w:ascii="KFGQPC Uthmanic Script HAFS" w:cs="Times New Roman" w:hint="cs"/>
          <w:sz w:val="28"/>
          <w:rtl/>
        </w:rPr>
        <w:t>...</w:t>
      </w:r>
      <w:r w:rsidR="00B06788" w:rsidRPr="00995B26">
        <w:rPr>
          <w:rFonts w:ascii="Abo-thar" w:hAnsi="Abo-thar" w:cs="Traditional Arabic" w:hint="cs"/>
          <w:sz w:val="28"/>
          <w:rtl/>
          <w:lang w:bidi="ar-SY"/>
        </w:rPr>
        <w:t>﴾</w:t>
      </w:r>
      <w:r w:rsidRPr="00995B26">
        <w:rPr>
          <w:sz w:val="28"/>
          <w:rtl/>
        </w:rPr>
        <w:t xml:space="preserve"> </w:t>
      </w:r>
      <w:r w:rsidRPr="009E1401">
        <w:rPr>
          <w:rStyle w:val="Char2"/>
          <w:rtl/>
        </w:rPr>
        <w:t>[الأنفال</w:t>
      </w:r>
      <w:r w:rsidR="00B06788" w:rsidRPr="009E1401">
        <w:rPr>
          <w:rStyle w:val="Char2"/>
          <w:rFonts w:hint="cs"/>
          <w:rtl/>
        </w:rPr>
        <w:t xml:space="preserve">: </w:t>
      </w:r>
      <w:r w:rsidRPr="009E1401">
        <w:rPr>
          <w:rStyle w:val="Char2"/>
          <w:rtl/>
        </w:rPr>
        <w:t>28]</w:t>
      </w:r>
      <w:r w:rsidR="00217AB4" w:rsidRPr="00995B26">
        <w:rPr>
          <w:rFonts w:hint="cs"/>
          <w:sz w:val="28"/>
          <w:rtl/>
        </w:rPr>
        <w:t>.</w:t>
      </w:r>
    </w:p>
    <w:p w:rsidR="005C664D" w:rsidRPr="003F3B94" w:rsidRDefault="005C664D" w:rsidP="003F3B94">
      <w:pPr>
        <w:pStyle w:val="a0"/>
        <w:rPr>
          <w:rFonts w:hint="cs"/>
          <w:rtl/>
        </w:rPr>
      </w:pPr>
      <w:r w:rsidRPr="003F3B94">
        <w:rPr>
          <w:rFonts w:hint="cs"/>
          <w:sz w:val="28"/>
          <w:rtl/>
        </w:rPr>
        <w:t>ففي كل هذه الآيات أُضيفت الأموال إلى الناس ونُسِبت إليهم</w:t>
      </w:r>
      <w:r w:rsidR="00217AB4" w:rsidRPr="003F3B94">
        <w:rPr>
          <w:rFonts w:hint="cs"/>
          <w:sz w:val="28"/>
          <w:rtl/>
        </w:rPr>
        <w:t>.</w:t>
      </w:r>
    </w:p>
    <w:p w:rsidR="005C664D" w:rsidRPr="003F3B94" w:rsidRDefault="005C664D" w:rsidP="003F3B94">
      <w:pPr>
        <w:pStyle w:val="a0"/>
        <w:rPr>
          <w:rFonts w:hint="cs"/>
          <w:rtl/>
        </w:rPr>
      </w:pPr>
      <w:r w:rsidRPr="003F3B94">
        <w:rPr>
          <w:rFonts w:hint="cs"/>
          <w:sz w:val="28"/>
          <w:rtl/>
        </w:rPr>
        <w:t xml:space="preserve"> وكذلك جاءت كلمة «أموالهم» في أكثر من 30</w:t>
      </w:r>
      <w:r w:rsidR="001253D2" w:rsidRPr="003F3B94">
        <w:rPr>
          <w:rFonts w:hint="cs"/>
          <w:sz w:val="28"/>
          <w:rtl/>
        </w:rPr>
        <w:t xml:space="preserve"> </w:t>
      </w:r>
      <w:r w:rsidRPr="003F3B94">
        <w:rPr>
          <w:rFonts w:hint="cs"/>
          <w:sz w:val="28"/>
          <w:rtl/>
        </w:rPr>
        <w:t>موضعاً من القرآن التي تثبت ملك الأموال لأصحابها حتى للكفار والمخالفين</w:t>
      </w:r>
      <w:r w:rsidR="00217AB4" w:rsidRPr="003F3B94">
        <w:rPr>
          <w:rFonts w:hint="cs"/>
          <w:sz w:val="28"/>
          <w:rtl/>
        </w:rPr>
        <w:t>،</w:t>
      </w:r>
      <w:r w:rsidRPr="003F3B94">
        <w:rPr>
          <w:rFonts w:hint="cs"/>
          <w:sz w:val="28"/>
          <w:rtl/>
        </w:rPr>
        <w:t xml:space="preserve"> وذلك مثل قوله تعالى</w:t>
      </w:r>
      <w:r w:rsidR="00217AB4" w:rsidRPr="003F3B94">
        <w:rPr>
          <w:rFonts w:hint="cs"/>
          <w:sz w:val="28"/>
          <w:rtl/>
        </w:rPr>
        <w:t>:</w:t>
      </w:r>
      <w:r w:rsidRPr="003F3B94">
        <w:rPr>
          <w:rFonts w:hint="cs"/>
          <w:sz w:val="28"/>
          <w:rtl/>
        </w:rPr>
        <w:t xml:space="preserve"> </w:t>
      </w:r>
    </w:p>
    <w:p w:rsidR="005C664D" w:rsidRPr="003F3B94" w:rsidRDefault="00B06788" w:rsidP="003F3B94">
      <w:pPr>
        <w:pStyle w:val="a0"/>
        <w:rPr>
          <w:rFonts w:hint="cs"/>
          <w:rtl/>
        </w:rPr>
      </w:pPr>
      <w:r w:rsidRPr="00995B26">
        <w:rPr>
          <w:rFonts w:ascii="Abo-thar" w:hAnsi="Abo-thar" w:cs="Traditional Arabic" w:hint="cs"/>
          <w:sz w:val="28"/>
          <w:rtl/>
          <w:lang w:bidi="ar-SY"/>
        </w:rPr>
        <w:t>﴿</w:t>
      </w:r>
      <w:r w:rsidRPr="0067048A">
        <w:rPr>
          <w:rFonts w:ascii="KFGQPC Uthmanic Script HAFS" w:cs="KFGQPC Uthmanic Script HAFS" w:hint="eastAsia"/>
          <w:sz w:val="28"/>
          <w:szCs w:val="28"/>
          <w:rtl/>
        </w:rPr>
        <w:t>وَأَو</w:t>
      </w:r>
      <w:r w:rsidRPr="0067048A">
        <w:rPr>
          <w:rFonts w:ascii="KFGQPC Uthmanic Script HAFS" w:cs="KFGQPC Uthmanic Script HAFS" w:hint="cs"/>
          <w:sz w:val="28"/>
          <w:szCs w:val="28"/>
          <w:rtl/>
        </w:rPr>
        <w:t>ۡ</w:t>
      </w:r>
      <w:r w:rsidRPr="0067048A">
        <w:rPr>
          <w:rFonts w:ascii="KFGQPC Uthmanic Script HAFS" w:cs="KFGQPC Uthmanic Script HAFS" w:hint="eastAsia"/>
          <w:sz w:val="28"/>
          <w:szCs w:val="28"/>
          <w:rtl/>
        </w:rPr>
        <w:t>رَثَكُم</w:t>
      </w:r>
      <w:r w:rsidRPr="0067048A">
        <w:rPr>
          <w:rFonts w:ascii="KFGQPC Uthmanic Script HAFS" w:cs="KFGQPC Uthmanic Script HAFS" w:hint="cs"/>
          <w:sz w:val="28"/>
          <w:szCs w:val="28"/>
          <w:rtl/>
        </w:rPr>
        <w:t>ۡ</w:t>
      </w:r>
      <w:r w:rsidRPr="0067048A">
        <w:rPr>
          <w:rFonts w:ascii="KFGQPC Uthmanic Script HAFS" w:cs="KFGQPC Uthmanic Script HAFS"/>
          <w:sz w:val="28"/>
          <w:szCs w:val="28"/>
          <w:rtl/>
        </w:rPr>
        <w:t xml:space="preserve"> </w:t>
      </w:r>
      <w:r w:rsidRPr="0067048A">
        <w:rPr>
          <w:rFonts w:ascii="KFGQPC Uthmanic Script HAFS" w:cs="KFGQPC Uthmanic Script HAFS" w:hint="eastAsia"/>
          <w:sz w:val="28"/>
          <w:szCs w:val="28"/>
          <w:rtl/>
        </w:rPr>
        <w:t>أَر</w:t>
      </w:r>
      <w:r w:rsidRPr="0067048A">
        <w:rPr>
          <w:rFonts w:ascii="KFGQPC Uthmanic Script HAFS" w:cs="KFGQPC Uthmanic Script HAFS" w:hint="cs"/>
          <w:sz w:val="28"/>
          <w:szCs w:val="28"/>
          <w:rtl/>
        </w:rPr>
        <w:t>ۡ</w:t>
      </w:r>
      <w:r w:rsidRPr="0067048A">
        <w:rPr>
          <w:rFonts w:ascii="KFGQPC Uthmanic Script HAFS" w:cs="KFGQPC Uthmanic Script HAFS" w:hint="eastAsia"/>
          <w:sz w:val="28"/>
          <w:szCs w:val="28"/>
          <w:rtl/>
        </w:rPr>
        <w:t>ضَهُم</w:t>
      </w:r>
      <w:r w:rsidRPr="0067048A">
        <w:rPr>
          <w:rFonts w:ascii="KFGQPC Uthmanic Script HAFS" w:cs="KFGQPC Uthmanic Script HAFS" w:hint="cs"/>
          <w:sz w:val="28"/>
          <w:szCs w:val="28"/>
          <w:rtl/>
        </w:rPr>
        <w:t>ۡ</w:t>
      </w:r>
      <w:r w:rsidRPr="0067048A">
        <w:rPr>
          <w:rFonts w:ascii="KFGQPC Uthmanic Script HAFS" w:cs="KFGQPC Uthmanic Script HAFS"/>
          <w:sz w:val="28"/>
          <w:szCs w:val="28"/>
          <w:rtl/>
        </w:rPr>
        <w:t xml:space="preserve"> </w:t>
      </w:r>
      <w:r w:rsidRPr="0067048A">
        <w:rPr>
          <w:rFonts w:ascii="KFGQPC Uthmanic Script HAFS" w:cs="KFGQPC Uthmanic Script HAFS" w:hint="eastAsia"/>
          <w:sz w:val="28"/>
          <w:szCs w:val="28"/>
          <w:rtl/>
        </w:rPr>
        <w:t>وَدِيَ</w:t>
      </w:r>
      <w:r w:rsidRPr="0067048A">
        <w:rPr>
          <w:rFonts w:ascii="KFGQPC Uthmanic Script HAFS" w:cs="KFGQPC Uthmanic Script HAFS" w:hint="cs"/>
          <w:sz w:val="28"/>
          <w:szCs w:val="28"/>
          <w:rtl/>
        </w:rPr>
        <w:t>ٰ</w:t>
      </w:r>
      <w:r w:rsidRPr="0067048A">
        <w:rPr>
          <w:rFonts w:ascii="KFGQPC Uthmanic Script HAFS" w:cs="KFGQPC Uthmanic Script HAFS" w:hint="eastAsia"/>
          <w:sz w:val="28"/>
          <w:szCs w:val="28"/>
          <w:rtl/>
        </w:rPr>
        <w:t>رَهُم</w:t>
      </w:r>
      <w:r w:rsidRPr="0067048A">
        <w:rPr>
          <w:rFonts w:ascii="KFGQPC Uthmanic Script HAFS" w:cs="KFGQPC Uthmanic Script HAFS" w:hint="cs"/>
          <w:sz w:val="28"/>
          <w:szCs w:val="28"/>
          <w:rtl/>
        </w:rPr>
        <w:t>ۡ</w:t>
      </w:r>
      <w:r w:rsidRPr="0067048A">
        <w:rPr>
          <w:rFonts w:ascii="KFGQPC Uthmanic Script HAFS" w:cs="KFGQPC Uthmanic Script HAFS"/>
          <w:sz w:val="28"/>
          <w:szCs w:val="28"/>
          <w:rtl/>
        </w:rPr>
        <w:t xml:space="preserve"> </w:t>
      </w:r>
      <w:r w:rsidRPr="0067048A">
        <w:rPr>
          <w:rFonts w:ascii="KFGQPC Uthmanic Script HAFS" w:cs="KFGQPC Uthmanic Script HAFS" w:hint="eastAsia"/>
          <w:sz w:val="28"/>
          <w:szCs w:val="28"/>
          <w:rtl/>
        </w:rPr>
        <w:t>وَأَم</w:t>
      </w:r>
      <w:r w:rsidRPr="0067048A">
        <w:rPr>
          <w:rFonts w:ascii="KFGQPC Uthmanic Script HAFS" w:cs="KFGQPC Uthmanic Script HAFS" w:hint="cs"/>
          <w:sz w:val="28"/>
          <w:szCs w:val="28"/>
          <w:rtl/>
        </w:rPr>
        <w:t>ۡ</w:t>
      </w:r>
      <w:r w:rsidRPr="0067048A">
        <w:rPr>
          <w:rFonts w:ascii="KFGQPC Uthmanic Script HAFS" w:cs="KFGQPC Uthmanic Script HAFS" w:hint="eastAsia"/>
          <w:sz w:val="28"/>
          <w:szCs w:val="28"/>
          <w:rtl/>
        </w:rPr>
        <w:t>وَ</w:t>
      </w:r>
      <w:r w:rsidRPr="0067048A">
        <w:rPr>
          <w:rFonts w:ascii="KFGQPC Uthmanic Script HAFS" w:cs="KFGQPC Uthmanic Script HAFS" w:hint="cs"/>
          <w:sz w:val="28"/>
          <w:szCs w:val="28"/>
          <w:rtl/>
        </w:rPr>
        <w:t>ٰ</w:t>
      </w:r>
      <w:r w:rsidRPr="0067048A">
        <w:rPr>
          <w:rFonts w:ascii="KFGQPC Uthmanic Script HAFS" w:cs="KFGQPC Uthmanic Script HAFS" w:hint="eastAsia"/>
          <w:sz w:val="28"/>
          <w:szCs w:val="28"/>
          <w:rtl/>
        </w:rPr>
        <w:t>لَهُم</w:t>
      </w:r>
      <w:r w:rsidRPr="0067048A">
        <w:rPr>
          <w:rFonts w:ascii="KFGQPC Uthmanic Script HAFS" w:cs="KFGQPC Uthmanic Script HAFS" w:hint="cs"/>
          <w:sz w:val="28"/>
          <w:szCs w:val="28"/>
          <w:rtl/>
        </w:rPr>
        <w:t>ۡ</w:t>
      </w:r>
      <w:r w:rsidRPr="00995B26">
        <w:rPr>
          <w:rFonts w:ascii="Abo-thar" w:hAnsi="Abo-thar" w:cs="Traditional Arabic" w:hint="cs"/>
          <w:sz w:val="28"/>
          <w:rtl/>
          <w:lang w:bidi="ar-SY"/>
        </w:rPr>
        <w:t>...﴾</w:t>
      </w:r>
      <w:r w:rsidR="005C664D" w:rsidRPr="003F3B94">
        <w:rPr>
          <w:rFonts w:hint="cs"/>
          <w:sz w:val="28"/>
          <w:rtl/>
        </w:rPr>
        <w:t xml:space="preserve"> </w:t>
      </w:r>
      <w:r w:rsidR="005C664D" w:rsidRPr="009E1401">
        <w:rPr>
          <w:rStyle w:val="Char2"/>
          <w:rFonts w:hint="cs"/>
          <w:rtl/>
        </w:rPr>
        <w:t>[الأحزاب</w:t>
      </w:r>
      <w:r w:rsidR="00920257" w:rsidRPr="009E1401">
        <w:rPr>
          <w:rStyle w:val="Char2"/>
          <w:rFonts w:hint="cs"/>
          <w:rtl/>
        </w:rPr>
        <w:t xml:space="preserve">: </w:t>
      </w:r>
      <w:r w:rsidR="005C664D" w:rsidRPr="009E1401">
        <w:rPr>
          <w:rStyle w:val="Char2"/>
          <w:rFonts w:hint="cs"/>
          <w:rtl/>
        </w:rPr>
        <w:t>27]</w:t>
      </w:r>
      <w:r w:rsidR="00217AB4" w:rsidRPr="003F3B94">
        <w:rPr>
          <w:rFonts w:hint="cs"/>
          <w:sz w:val="28"/>
          <w:rtl/>
        </w:rPr>
        <w:t>.</w:t>
      </w:r>
    </w:p>
    <w:p w:rsidR="005C664D" w:rsidRPr="003F3B94" w:rsidRDefault="00B06788" w:rsidP="003F3B94">
      <w:pPr>
        <w:pStyle w:val="a0"/>
        <w:rPr>
          <w:rFonts w:hint="cs"/>
          <w:rtl/>
        </w:rPr>
      </w:pPr>
      <w:r w:rsidRPr="00995B26">
        <w:rPr>
          <w:rFonts w:ascii="Abo-thar" w:hAnsi="Abo-thar" w:cs="Traditional Arabic" w:hint="cs"/>
          <w:sz w:val="28"/>
          <w:rtl/>
          <w:lang w:bidi="ar-SY"/>
        </w:rPr>
        <w:t>﴿</w:t>
      </w:r>
      <w:r w:rsidRPr="0067048A">
        <w:rPr>
          <w:rFonts w:ascii="KFGQPC Uthmanic Script HAFS" w:cs="KFGQPC Uthmanic Script HAFS" w:hint="eastAsia"/>
          <w:sz w:val="28"/>
          <w:szCs w:val="28"/>
          <w:rtl/>
        </w:rPr>
        <w:t>وَلَا</w:t>
      </w:r>
      <w:r w:rsidRPr="0067048A">
        <w:rPr>
          <w:rFonts w:ascii="KFGQPC Uthmanic Script HAFS" w:cs="KFGQPC Uthmanic Script HAFS"/>
          <w:sz w:val="28"/>
          <w:szCs w:val="28"/>
          <w:rtl/>
        </w:rPr>
        <w:t xml:space="preserve"> </w:t>
      </w:r>
      <w:r w:rsidRPr="0067048A">
        <w:rPr>
          <w:rFonts w:ascii="KFGQPC Uthmanic Script HAFS" w:cs="KFGQPC Uthmanic Script HAFS" w:hint="eastAsia"/>
          <w:sz w:val="28"/>
          <w:szCs w:val="28"/>
          <w:rtl/>
        </w:rPr>
        <w:t>تُع</w:t>
      </w:r>
      <w:r w:rsidRPr="0067048A">
        <w:rPr>
          <w:rFonts w:ascii="KFGQPC Uthmanic Script HAFS" w:cs="KFGQPC Uthmanic Script HAFS" w:hint="cs"/>
          <w:sz w:val="28"/>
          <w:szCs w:val="28"/>
          <w:rtl/>
        </w:rPr>
        <w:t>ۡ</w:t>
      </w:r>
      <w:r w:rsidRPr="0067048A">
        <w:rPr>
          <w:rFonts w:ascii="KFGQPC Uthmanic Script HAFS" w:cs="KFGQPC Uthmanic Script HAFS" w:hint="eastAsia"/>
          <w:sz w:val="28"/>
          <w:szCs w:val="28"/>
          <w:rtl/>
        </w:rPr>
        <w:t>جِب</w:t>
      </w:r>
      <w:r w:rsidRPr="0067048A">
        <w:rPr>
          <w:rFonts w:ascii="KFGQPC Uthmanic Script HAFS" w:cs="KFGQPC Uthmanic Script HAFS" w:hint="cs"/>
          <w:sz w:val="28"/>
          <w:szCs w:val="28"/>
          <w:rtl/>
        </w:rPr>
        <w:t>ۡ</w:t>
      </w:r>
      <w:r w:rsidRPr="0067048A">
        <w:rPr>
          <w:rFonts w:ascii="KFGQPC Uthmanic Script HAFS" w:cs="KFGQPC Uthmanic Script HAFS" w:hint="eastAsia"/>
          <w:sz w:val="28"/>
          <w:szCs w:val="28"/>
          <w:rtl/>
        </w:rPr>
        <w:t>كَ</w:t>
      </w:r>
      <w:r w:rsidRPr="0067048A">
        <w:rPr>
          <w:rFonts w:ascii="KFGQPC Uthmanic Script HAFS" w:cs="KFGQPC Uthmanic Script HAFS"/>
          <w:sz w:val="28"/>
          <w:szCs w:val="28"/>
          <w:rtl/>
        </w:rPr>
        <w:t xml:space="preserve"> </w:t>
      </w:r>
      <w:r w:rsidRPr="0067048A">
        <w:rPr>
          <w:rFonts w:ascii="KFGQPC Uthmanic Script HAFS" w:cs="KFGQPC Uthmanic Script HAFS" w:hint="eastAsia"/>
          <w:sz w:val="28"/>
          <w:szCs w:val="28"/>
          <w:rtl/>
        </w:rPr>
        <w:t>أَم</w:t>
      </w:r>
      <w:r w:rsidRPr="0067048A">
        <w:rPr>
          <w:rFonts w:ascii="KFGQPC Uthmanic Script HAFS" w:cs="KFGQPC Uthmanic Script HAFS" w:hint="cs"/>
          <w:sz w:val="28"/>
          <w:szCs w:val="28"/>
          <w:rtl/>
        </w:rPr>
        <w:t>ۡ</w:t>
      </w:r>
      <w:r w:rsidRPr="0067048A">
        <w:rPr>
          <w:rFonts w:ascii="KFGQPC Uthmanic Script HAFS" w:cs="KFGQPC Uthmanic Script HAFS" w:hint="eastAsia"/>
          <w:sz w:val="28"/>
          <w:szCs w:val="28"/>
          <w:rtl/>
        </w:rPr>
        <w:t>وَ</w:t>
      </w:r>
      <w:r w:rsidRPr="0067048A">
        <w:rPr>
          <w:rFonts w:ascii="KFGQPC Uthmanic Script HAFS" w:cs="KFGQPC Uthmanic Script HAFS" w:hint="cs"/>
          <w:sz w:val="28"/>
          <w:szCs w:val="28"/>
          <w:rtl/>
        </w:rPr>
        <w:t>ٰ</w:t>
      </w:r>
      <w:r w:rsidRPr="0067048A">
        <w:rPr>
          <w:rFonts w:ascii="KFGQPC Uthmanic Script HAFS" w:cs="KFGQPC Uthmanic Script HAFS" w:hint="eastAsia"/>
          <w:sz w:val="28"/>
          <w:szCs w:val="28"/>
          <w:rtl/>
        </w:rPr>
        <w:t>لُهُم</w:t>
      </w:r>
      <w:r w:rsidRPr="0067048A">
        <w:rPr>
          <w:rFonts w:ascii="KFGQPC Uthmanic Script HAFS" w:cs="KFGQPC Uthmanic Script HAFS" w:hint="cs"/>
          <w:sz w:val="28"/>
          <w:szCs w:val="28"/>
          <w:rtl/>
        </w:rPr>
        <w:t>ۡ</w:t>
      </w:r>
      <w:r w:rsidRPr="0067048A">
        <w:rPr>
          <w:rFonts w:ascii="KFGQPC Uthmanic Script HAFS" w:cs="KFGQPC Uthmanic Script HAFS"/>
          <w:sz w:val="28"/>
          <w:szCs w:val="28"/>
          <w:rtl/>
        </w:rPr>
        <w:t xml:space="preserve"> </w:t>
      </w:r>
      <w:r w:rsidRPr="0067048A">
        <w:rPr>
          <w:rFonts w:ascii="KFGQPC Uthmanic Script HAFS" w:cs="KFGQPC Uthmanic Script HAFS" w:hint="eastAsia"/>
          <w:sz w:val="28"/>
          <w:szCs w:val="28"/>
          <w:rtl/>
        </w:rPr>
        <w:t>وَأَو</w:t>
      </w:r>
      <w:r w:rsidRPr="0067048A">
        <w:rPr>
          <w:rFonts w:ascii="KFGQPC Uthmanic Script HAFS" w:cs="KFGQPC Uthmanic Script HAFS" w:hint="cs"/>
          <w:sz w:val="28"/>
          <w:szCs w:val="28"/>
          <w:rtl/>
        </w:rPr>
        <w:t>ۡ</w:t>
      </w:r>
      <w:r w:rsidRPr="0067048A">
        <w:rPr>
          <w:rFonts w:ascii="KFGQPC Uthmanic Script HAFS" w:cs="KFGQPC Uthmanic Script HAFS" w:hint="eastAsia"/>
          <w:sz w:val="28"/>
          <w:szCs w:val="28"/>
          <w:rtl/>
        </w:rPr>
        <w:t>لَ</w:t>
      </w:r>
      <w:r w:rsidRPr="0067048A">
        <w:rPr>
          <w:rFonts w:ascii="KFGQPC Uthmanic Script HAFS" w:cs="KFGQPC Uthmanic Script HAFS" w:hint="cs"/>
          <w:sz w:val="28"/>
          <w:szCs w:val="28"/>
          <w:rtl/>
        </w:rPr>
        <w:t>ٰ</w:t>
      </w:r>
      <w:r w:rsidRPr="0067048A">
        <w:rPr>
          <w:rFonts w:ascii="KFGQPC Uthmanic Script HAFS" w:cs="KFGQPC Uthmanic Script HAFS" w:hint="eastAsia"/>
          <w:sz w:val="28"/>
          <w:szCs w:val="28"/>
          <w:rtl/>
        </w:rPr>
        <w:t>دُهُم</w:t>
      </w:r>
      <w:r w:rsidRPr="0067048A">
        <w:rPr>
          <w:rFonts w:ascii="KFGQPC Uthmanic Script HAFS" w:cs="KFGQPC Uthmanic Script HAFS" w:hint="cs"/>
          <w:sz w:val="28"/>
          <w:szCs w:val="28"/>
          <w:rtl/>
        </w:rPr>
        <w:t>ۡ</w:t>
      </w:r>
      <w:r w:rsidRPr="00995B26">
        <w:rPr>
          <w:rFonts w:ascii="KFGQPC Uthmanic Script HAFS" w:cs="Times New Roman" w:hint="cs"/>
          <w:sz w:val="28"/>
          <w:rtl/>
        </w:rPr>
        <w:t>...</w:t>
      </w:r>
      <w:r w:rsidRPr="00995B26">
        <w:rPr>
          <w:rFonts w:ascii="Abo-thar" w:hAnsi="Abo-thar" w:cs="Traditional Arabic" w:hint="cs"/>
          <w:sz w:val="28"/>
          <w:rtl/>
          <w:lang w:bidi="ar-SY"/>
        </w:rPr>
        <w:t>﴾</w:t>
      </w:r>
      <w:r w:rsidRPr="003F3B94">
        <w:rPr>
          <w:rFonts w:hint="cs"/>
          <w:sz w:val="28"/>
          <w:rtl/>
        </w:rPr>
        <w:t xml:space="preserve"> </w:t>
      </w:r>
      <w:r w:rsidR="005C664D" w:rsidRPr="009E1401">
        <w:rPr>
          <w:rStyle w:val="Char2"/>
          <w:rFonts w:hint="cs"/>
          <w:rtl/>
        </w:rPr>
        <w:t>[التوبة</w:t>
      </w:r>
      <w:r w:rsidRPr="009E1401">
        <w:rPr>
          <w:rStyle w:val="Char2"/>
          <w:rFonts w:hint="cs"/>
          <w:rtl/>
        </w:rPr>
        <w:t xml:space="preserve">: </w:t>
      </w:r>
      <w:r w:rsidR="005C664D" w:rsidRPr="009E1401">
        <w:rPr>
          <w:rStyle w:val="Char2"/>
          <w:rFonts w:hint="cs"/>
          <w:rtl/>
        </w:rPr>
        <w:t>85]</w:t>
      </w:r>
      <w:r w:rsidR="00217AB4" w:rsidRPr="003F3B94">
        <w:rPr>
          <w:rFonts w:hint="cs"/>
          <w:sz w:val="28"/>
          <w:rtl/>
        </w:rPr>
        <w:t>.</w:t>
      </w:r>
    </w:p>
    <w:p w:rsidR="005C664D" w:rsidRPr="003F3B94" w:rsidRDefault="005C664D" w:rsidP="003F3B94">
      <w:pPr>
        <w:pStyle w:val="a0"/>
        <w:rPr>
          <w:rFonts w:hint="cs"/>
          <w:rtl/>
        </w:rPr>
      </w:pPr>
      <w:r w:rsidRPr="003F3B94">
        <w:rPr>
          <w:rFonts w:hint="cs"/>
          <w:sz w:val="28"/>
          <w:rtl/>
        </w:rPr>
        <w:t>أو ما جاء عن فرعون في دعاء موسى ربَّه قائلاً</w:t>
      </w:r>
      <w:r w:rsidR="00217AB4" w:rsidRPr="003F3B94">
        <w:rPr>
          <w:rFonts w:hint="cs"/>
          <w:sz w:val="28"/>
          <w:rtl/>
        </w:rPr>
        <w:t>:</w:t>
      </w:r>
    </w:p>
    <w:p w:rsidR="005C664D" w:rsidRPr="003F3B94" w:rsidRDefault="00B06788" w:rsidP="009E1401">
      <w:pPr>
        <w:pStyle w:val="a0"/>
        <w:ind w:left="284" w:firstLine="0"/>
        <w:rPr>
          <w:rFonts w:hint="cs"/>
          <w:rtl/>
        </w:rPr>
      </w:pPr>
      <w:r w:rsidRPr="00995B26">
        <w:rPr>
          <w:rFonts w:ascii="Abo-thar" w:hAnsi="Abo-thar" w:cs="Traditional Arabic" w:hint="cs"/>
          <w:sz w:val="28"/>
          <w:rtl/>
          <w:lang w:bidi="ar-SY"/>
        </w:rPr>
        <w:t>﴿</w:t>
      </w:r>
      <w:r w:rsidRPr="0067048A">
        <w:rPr>
          <w:rFonts w:ascii="KFGQPC Uthmanic Script HAFS" w:cs="KFGQPC Uthmanic Script HAFS" w:hint="eastAsia"/>
          <w:sz w:val="28"/>
          <w:szCs w:val="28"/>
          <w:rtl/>
        </w:rPr>
        <w:t>رَبَّنَا</w:t>
      </w:r>
      <w:r w:rsidRPr="0067048A">
        <w:rPr>
          <w:rFonts w:ascii="KFGQPC Uthmanic Script HAFS" w:cs="KFGQPC Uthmanic Script HAFS"/>
          <w:sz w:val="28"/>
          <w:szCs w:val="28"/>
          <w:rtl/>
        </w:rPr>
        <w:t xml:space="preserve"> </w:t>
      </w:r>
      <w:r w:rsidRPr="0067048A">
        <w:rPr>
          <w:rFonts w:ascii="KFGQPC Uthmanic Script HAFS" w:cs="KFGQPC Uthmanic Script HAFS" w:hint="cs"/>
          <w:sz w:val="28"/>
          <w:szCs w:val="28"/>
          <w:rtl/>
        </w:rPr>
        <w:t>ٱ</w:t>
      </w:r>
      <w:r w:rsidRPr="0067048A">
        <w:rPr>
          <w:rFonts w:ascii="KFGQPC Uthmanic Script HAFS" w:cs="KFGQPC Uthmanic Script HAFS" w:hint="eastAsia"/>
          <w:sz w:val="28"/>
          <w:szCs w:val="28"/>
          <w:rtl/>
        </w:rPr>
        <w:t>ط</w:t>
      </w:r>
      <w:r w:rsidRPr="0067048A">
        <w:rPr>
          <w:rFonts w:ascii="KFGQPC Uthmanic Script HAFS" w:cs="KFGQPC Uthmanic Script HAFS" w:hint="cs"/>
          <w:sz w:val="28"/>
          <w:szCs w:val="28"/>
          <w:rtl/>
        </w:rPr>
        <w:t>ۡ</w:t>
      </w:r>
      <w:r w:rsidRPr="0067048A">
        <w:rPr>
          <w:rFonts w:ascii="KFGQPC Uthmanic Script HAFS" w:cs="KFGQPC Uthmanic Script HAFS" w:hint="eastAsia"/>
          <w:sz w:val="28"/>
          <w:szCs w:val="28"/>
          <w:rtl/>
        </w:rPr>
        <w:t>مِس</w:t>
      </w:r>
      <w:r w:rsidRPr="0067048A">
        <w:rPr>
          <w:rFonts w:ascii="KFGQPC Uthmanic Script HAFS" w:cs="KFGQPC Uthmanic Script HAFS" w:hint="cs"/>
          <w:sz w:val="28"/>
          <w:szCs w:val="28"/>
          <w:rtl/>
        </w:rPr>
        <w:t>ۡ</w:t>
      </w:r>
      <w:r w:rsidRPr="0067048A">
        <w:rPr>
          <w:rFonts w:ascii="KFGQPC Uthmanic Script HAFS" w:cs="KFGQPC Uthmanic Script HAFS"/>
          <w:sz w:val="28"/>
          <w:szCs w:val="28"/>
          <w:rtl/>
        </w:rPr>
        <w:t xml:space="preserve"> </w:t>
      </w:r>
      <w:r w:rsidRPr="0067048A">
        <w:rPr>
          <w:rFonts w:ascii="KFGQPC Uthmanic Script HAFS" w:cs="KFGQPC Uthmanic Script HAFS" w:hint="eastAsia"/>
          <w:sz w:val="28"/>
          <w:szCs w:val="28"/>
          <w:rtl/>
        </w:rPr>
        <w:t>عَلَى</w:t>
      </w:r>
      <w:r w:rsidRPr="0067048A">
        <w:rPr>
          <w:rFonts w:ascii="KFGQPC Uthmanic Script HAFS" w:cs="KFGQPC Uthmanic Script HAFS" w:hint="cs"/>
          <w:sz w:val="28"/>
          <w:szCs w:val="28"/>
          <w:rtl/>
        </w:rPr>
        <w:t>ٰٓ</w:t>
      </w:r>
      <w:r w:rsidRPr="0067048A">
        <w:rPr>
          <w:rFonts w:ascii="KFGQPC Uthmanic Script HAFS" w:cs="KFGQPC Uthmanic Script HAFS"/>
          <w:sz w:val="28"/>
          <w:szCs w:val="28"/>
          <w:rtl/>
        </w:rPr>
        <w:t xml:space="preserve"> </w:t>
      </w:r>
      <w:r w:rsidRPr="0067048A">
        <w:rPr>
          <w:rFonts w:ascii="KFGQPC Uthmanic Script HAFS" w:cs="KFGQPC Uthmanic Script HAFS" w:hint="eastAsia"/>
          <w:sz w:val="28"/>
          <w:szCs w:val="28"/>
          <w:rtl/>
        </w:rPr>
        <w:t>أَم</w:t>
      </w:r>
      <w:r w:rsidRPr="0067048A">
        <w:rPr>
          <w:rFonts w:ascii="KFGQPC Uthmanic Script HAFS" w:cs="KFGQPC Uthmanic Script HAFS" w:hint="cs"/>
          <w:sz w:val="28"/>
          <w:szCs w:val="28"/>
          <w:rtl/>
        </w:rPr>
        <w:t>ۡ</w:t>
      </w:r>
      <w:r w:rsidRPr="0067048A">
        <w:rPr>
          <w:rFonts w:ascii="KFGQPC Uthmanic Script HAFS" w:cs="KFGQPC Uthmanic Script HAFS" w:hint="eastAsia"/>
          <w:sz w:val="28"/>
          <w:szCs w:val="28"/>
          <w:rtl/>
        </w:rPr>
        <w:t>وَ</w:t>
      </w:r>
      <w:r w:rsidRPr="0067048A">
        <w:rPr>
          <w:rFonts w:ascii="KFGQPC Uthmanic Script HAFS" w:cs="KFGQPC Uthmanic Script HAFS" w:hint="cs"/>
          <w:sz w:val="28"/>
          <w:szCs w:val="28"/>
          <w:rtl/>
        </w:rPr>
        <w:t>ٰ</w:t>
      </w:r>
      <w:r w:rsidRPr="0067048A">
        <w:rPr>
          <w:rFonts w:ascii="KFGQPC Uthmanic Script HAFS" w:cs="KFGQPC Uthmanic Script HAFS" w:hint="eastAsia"/>
          <w:sz w:val="28"/>
          <w:szCs w:val="28"/>
          <w:rtl/>
        </w:rPr>
        <w:t>لِهِم</w:t>
      </w:r>
      <w:r w:rsidRPr="0067048A">
        <w:rPr>
          <w:rFonts w:ascii="KFGQPC Uthmanic Script HAFS" w:cs="KFGQPC Uthmanic Script HAFS" w:hint="cs"/>
          <w:sz w:val="28"/>
          <w:szCs w:val="28"/>
          <w:rtl/>
        </w:rPr>
        <w:t>ۡ</w:t>
      </w:r>
      <w:r w:rsidRPr="0067048A">
        <w:rPr>
          <w:rFonts w:ascii="KFGQPC Uthmanic Script HAFS" w:cs="KFGQPC Uthmanic Script HAFS"/>
          <w:sz w:val="28"/>
          <w:szCs w:val="28"/>
          <w:rtl/>
        </w:rPr>
        <w:t xml:space="preserve"> </w:t>
      </w:r>
      <w:r w:rsidRPr="0067048A">
        <w:rPr>
          <w:rFonts w:ascii="KFGQPC Uthmanic Script HAFS" w:cs="KFGQPC Uthmanic Script HAFS" w:hint="eastAsia"/>
          <w:sz w:val="28"/>
          <w:szCs w:val="28"/>
          <w:rtl/>
        </w:rPr>
        <w:t>وَ</w:t>
      </w:r>
      <w:r w:rsidRPr="0067048A">
        <w:rPr>
          <w:rFonts w:ascii="KFGQPC Uthmanic Script HAFS" w:cs="KFGQPC Uthmanic Script HAFS" w:hint="cs"/>
          <w:sz w:val="28"/>
          <w:szCs w:val="28"/>
          <w:rtl/>
        </w:rPr>
        <w:t>ٱ</w:t>
      </w:r>
      <w:r w:rsidRPr="0067048A">
        <w:rPr>
          <w:rFonts w:ascii="KFGQPC Uthmanic Script HAFS" w:cs="KFGQPC Uthmanic Script HAFS" w:hint="eastAsia"/>
          <w:sz w:val="28"/>
          <w:szCs w:val="28"/>
          <w:rtl/>
        </w:rPr>
        <w:t>ش</w:t>
      </w:r>
      <w:r w:rsidRPr="0067048A">
        <w:rPr>
          <w:rFonts w:ascii="KFGQPC Uthmanic Script HAFS" w:cs="KFGQPC Uthmanic Script HAFS" w:hint="cs"/>
          <w:sz w:val="28"/>
          <w:szCs w:val="28"/>
          <w:rtl/>
        </w:rPr>
        <w:t>ۡ</w:t>
      </w:r>
      <w:r w:rsidRPr="0067048A">
        <w:rPr>
          <w:rFonts w:ascii="KFGQPC Uthmanic Script HAFS" w:cs="KFGQPC Uthmanic Script HAFS" w:hint="eastAsia"/>
          <w:sz w:val="28"/>
          <w:szCs w:val="28"/>
          <w:rtl/>
        </w:rPr>
        <w:t>دُد</w:t>
      </w:r>
      <w:r w:rsidRPr="0067048A">
        <w:rPr>
          <w:rFonts w:ascii="KFGQPC Uthmanic Script HAFS" w:cs="KFGQPC Uthmanic Script HAFS" w:hint="cs"/>
          <w:sz w:val="28"/>
          <w:szCs w:val="28"/>
          <w:rtl/>
        </w:rPr>
        <w:t>ۡ</w:t>
      </w:r>
      <w:r w:rsidRPr="0067048A">
        <w:rPr>
          <w:rFonts w:ascii="KFGQPC Uthmanic Script HAFS" w:cs="KFGQPC Uthmanic Script HAFS"/>
          <w:sz w:val="28"/>
          <w:szCs w:val="28"/>
          <w:rtl/>
        </w:rPr>
        <w:t xml:space="preserve"> </w:t>
      </w:r>
      <w:r w:rsidRPr="0067048A">
        <w:rPr>
          <w:rFonts w:ascii="KFGQPC Uthmanic Script HAFS" w:cs="KFGQPC Uthmanic Script HAFS" w:hint="eastAsia"/>
          <w:sz w:val="28"/>
          <w:szCs w:val="28"/>
          <w:rtl/>
        </w:rPr>
        <w:t>عَلَى</w:t>
      </w:r>
      <w:r w:rsidRPr="0067048A">
        <w:rPr>
          <w:rFonts w:ascii="KFGQPC Uthmanic Script HAFS" w:cs="KFGQPC Uthmanic Script HAFS" w:hint="cs"/>
          <w:sz w:val="28"/>
          <w:szCs w:val="28"/>
          <w:rtl/>
        </w:rPr>
        <w:t>ٰ</w:t>
      </w:r>
      <w:r w:rsidRPr="0067048A">
        <w:rPr>
          <w:rFonts w:ascii="KFGQPC Uthmanic Script HAFS" w:cs="KFGQPC Uthmanic Script HAFS"/>
          <w:sz w:val="28"/>
          <w:szCs w:val="28"/>
          <w:rtl/>
        </w:rPr>
        <w:t xml:space="preserve"> </w:t>
      </w:r>
      <w:r w:rsidRPr="0067048A">
        <w:rPr>
          <w:rFonts w:ascii="KFGQPC Uthmanic Script HAFS" w:cs="KFGQPC Uthmanic Script HAFS" w:hint="eastAsia"/>
          <w:sz w:val="28"/>
          <w:szCs w:val="28"/>
          <w:rtl/>
        </w:rPr>
        <w:t>قُلُوبِهِم</w:t>
      </w:r>
      <w:r w:rsidRPr="0067048A">
        <w:rPr>
          <w:rFonts w:ascii="KFGQPC Uthmanic Script HAFS" w:cs="KFGQPC Uthmanic Script HAFS" w:hint="cs"/>
          <w:sz w:val="28"/>
          <w:szCs w:val="28"/>
          <w:rtl/>
        </w:rPr>
        <w:t>ۡ</w:t>
      </w:r>
      <w:r w:rsidRPr="0067048A">
        <w:rPr>
          <w:rFonts w:ascii="KFGQPC Uthmanic Script HAFS" w:cs="KFGQPC Uthmanic Script HAFS"/>
          <w:sz w:val="28"/>
          <w:szCs w:val="28"/>
          <w:rtl/>
        </w:rPr>
        <w:t xml:space="preserve"> </w:t>
      </w:r>
      <w:r w:rsidRPr="0067048A">
        <w:rPr>
          <w:rFonts w:ascii="KFGQPC Uthmanic Script HAFS" w:cs="KFGQPC Uthmanic Script HAFS" w:hint="eastAsia"/>
          <w:sz w:val="28"/>
          <w:szCs w:val="28"/>
          <w:rtl/>
        </w:rPr>
        <w:t>فَلَا</w:t>
      </w:r>
      <w:r w:rsidRPr="0067048A">
        <w:rPr>
          <w:rFonts w:ascii="KFGQPC Uthmanic Script HAFS" w:cs="KFGQPC Uthmanic Script HAFS"/>
          <w:sz w:val="28"/>
          <w:szCs w:val="28"/>
          <w:rtl/>
        </w:rPr>
        <w:t xml:space="preserve"> </w:t>
      </w:r>
      <w:r w:rsidRPr="0067048A">
        <w:rPr>
          <w:rFonts w:ascii="KFGQPC Uthmanic Script HAFS" w:cs="KFGQPC Uthmanic Script HAFS" w:hint="eastAsia"/>
          <w:sz w:val="28"/>
          <w:szCs w:val="28"/>
          <w:rtl/>
        </w:rPr>
        <w:t>يُؤ</w:t>
      </w:r>
      <w:r w:rsidRPr="0067048A">
        <w:rPr>
          <w:rFonts w:ascii="KFGQPC Uthmanic Script HAFS" w:cs="KFGQPC Uthmanic Script HAFS" w:hint="cs"/>
          <w:sz w:val="28"/>
          <w:szCs w:val="28"/>
          <w:rtl/>
        </w:rPr>
        <w:t>ۡ</w:t>
      </w:r>
      <w:r w:rsidRPr="0067048A">
        <w:rPr>
          <w:rFonts w:ascii="KFGQPC Uthmanic Script HAFS" w:cs="KFGQPC Uthmanic Script HAFS" w:hint="eastAsia"/>
          <w:sz w:val="28"/>
          <w:szCs w:val="28"/>
          <w:rtl/>
        </w:rPr>
        <w:t>مِنُواْ</w:t>
      </w:r>
      <w:r w:rsidRPr="0067048A">
        <w:rPr>
          <w:rFonts w:ascii="KFGQPC Uthmanic Script HAFS" w:cs="KFGQPC Uthmanic Script HAFS"/>
          <w:sz w:val="28"/>
          <w:szCs w:val="28"/>
          <w:rtl/>
        </w:rPr>
        <w:t xml:space="preserve"> </w:t>
      </w:r>
      <w:r w:rsidRPr="0067048A">
        <w:rPr>
          <w:rFonts w:ascii="KFGQPC Uthmanic Script HAFS" w:cs="KFGQPC Uthmanic Script HAFS" w:hint="eastAsia"/>
          <w:sz w:val="28"/>
          <w:szCs w:val="28"/>
          <w:rtl/>
        </w:rPr>
        <w:t>حَتَّى</w:t>
      </w:r>
      <w:r w:rsidRPr="0067048A">
        <w:rPr>
          <w:rFonts w:ascii="KFGQPC Uthmanic Script HAFS" w:cs="KFGQPC Uthmanic Script HAFS" w:hint="cs"/>
          <w:sz w:val="28"/>
          <w:szCs w:val="28"/>
          <w:rtl/>
        </w:rPr>
        <w:t>ٰ</w:t>
      </w:r>
      <w:r w:rsidRPr="0067048A">
        <w:rPr>
          <w:rFonts w:ascii="KFGQPC Uthmanic Script HAFS" w:cs="KFGQPC Uthmanic Script HAFS"/>
          <w:sz w:val="28"/>
          <w:szCs w:val="28"/>
          <w:rtl/>
        </w:rPr>
        <w:t xml:space="preserve"> </w:t>
      </w:r>
      <w:r w:rsidRPr="0067048A">
        <w:rPr>
          <w:rFonts w:ascii="KFGQPC Uthmanic Script HAFS" w:cs="KFGQPC Uthmanic Script HAFS" w:hint="eastAsia"/>
          <w:sz w:val="28"/>
          <w:szCs w:val="28"/>
          <w:rtl/>
        </w:rPr>
        <w:t>يَرَوُاْ</w:t>
      </w:r>
      <w:r w:rsidRPr="0067048A">
        <w:rPr>
          <w:rFonts w:ascii="KFGQPC Uthmanic Script HAFS" w:cs="KFGQPC Uthmanic Script HAFS"/>
          <w:sz w:val="28"/>
          <w:szCs w:val="28"/>
          <w:rtl/>
        </w:rPr>
        <w:t xml:space="preserve"> </w:t>
      </w:r>
      <w:r w:rsidRPr="0067048A">
        <w:rPr>
          <w:rFonts w:ascii="KFGQPC Uthmanic Script HAFS" w:cs="KFGQPC Uthmanic Script HAFS" w:hint="cs"/>
          <w:sz w:val="28"/>
          <w:szCs w:val="28"/>
          <w:rtl/>
        </w:rPr>
        <w:t>ٱ</w:t>
      </w:r>
      <w:r w:rsidRPr="0067048A">
        <w:rPr>
          <w:rFonts w:ascii="KFGQPC Uthmanic Script HAFS" w:cs="KFGQPC Uthmanic Script HAFS" w:hint="eastAsia"/>
          <w:sz w:val="28"/>
          <w:szCs w:val="28"/>
          <w:rtl/>
        </w:rPr>
        <w:t>ل</w:t>
      </w:r>
      <w:r w:rsidRPr="0067048A">
        <w:rPr>
          <w:rFonts w:ascii="KFGQPC Uthmanic Script HAFS" w:cs="KFGQPC Uthmanic Script HAFS" w:hint="cs"/>
          <w:sz w:val="28"/>
          <w:szCs w:val="28"/>
          <w:rtl/>
        </w:rPr>
        <w:t>ۡ</w:t>
      </w:r>
      <w:r w:rsidRPr="0067048A">
        <w:rPr>
          <w:rFonts w:ascii="KFGQPC Uthmanic Script HAFS" w:cs="KFGQPC Uthmanic Script HAFS" w:hint="eastAsia"/>
          <w:sz w:val="28"/>
          <w:szCs w:val="28"/>
          <w:rtl/>
        </w:rPr>
        <w:t>عَذَابَ</w:t>
      </w:r>
      <w:r w:rsidRPr="0067048A">
        <w:rPr>
          <w:rFonts w:ascii="KFGQPC Uthmanic Script HAFS" w:cs="KFGQPC Uthmanic Script HAFS"/>
          <w:sz w:val="28"/>
          <w:szCs w:val="28"/>
          <w:rtl/>
        </w:rPr>
        <w:t xml:space="preserve"> </w:t>
      </w:r>
      <w:r w:rsidRPr="0067048A">
        <w:rPr>
          <w:rFonts w:ascii="KFGQPC Uthmanic Script HAFS" w:cs="KFGQPC Uthmanic Script HAFS" w:hint="cs"/>
          <w:sz w:val="28"/>
          <w:szCs w:val="28"/>
          <w:rtl/>
        </w:rPr>
        <w:t>ٱ</w:t>
      </w:r>
      <w:r w:rsidRPr="0067048A">
        <w:rPr>
          <w:rFonts w:ascii="KFGQPC Uthmanic Script HAFS" w:cs="KFGQPC Uthmanic Script HAFS" w:hint="eastAsia"/>
          <w:sz w:val="28"/>
          <w:szCs w:val="28"/>
          <w:rtl/>
        </w:rPr>
        <w:t>ل</w:t>
      </w:r>
      <w:r w:rsidRPr="0067048A">
        <w:rPr>
          <w:rFonts w:ascii="KFGQPC Uthmanic Script HAFS" w:cs="KFGQPC Uthmanic Script HAFS" w:hint="cs"/>
          <w:sz w:val="28"/>
          <w:szCs w:val="28"/>
          <w:rtl/>
        </w:rPr>
        <w:t>ۡ</w:t>
      </w:r>
      <w:r w:rsidRPr="0067048A">
        <w:rPr>
          <w:rFonts w:ascii="KFGQPC Uthmanic Script HAFS" w:cs="KFGQPC Uthmanic Script HAFS" w:hint="eastAsia"/>
          <w:sz w:val="28"/>
          <w:szCs w:val="28"/>
          <w:rtl/>
        </w:rPr>
        <w:t>أَلِيمَ</w:t>
      </w:r>
      <w:r w:rsidRPr="00995B26">
        <w:rPr>
          <w:rFonts w:ascii="Abo-thar" w:hAnsi="Abo-thar" w:cs="Traditional Arabic" w:hint="cs"/>
          <w:sz w:val="28"/>
          <w:rtl/>
          <w:lang w:bidi="ar-SY"/>
        </w:rPr>
        <w:t>﴾</w:t>
      </w:r>
      <w:r w:rsidR="005C664D" w:rsidRPr="003F3B94">
        <w:rPr>
          <w:sz w:val="28"/>
          <w:rtl/>
        </w:rPr>
        <w:t xml:space="preserve"> </w:t>
      </w:r>
      <w:r w:rsidR="005C664D" w:rsidRPr="009E1401">
        <w:rPr>
          <w:rStyle w:val="Char2"/>
          <w:rtl/>
        </w:rPr>
        <w:t>[يونس</w:t>
      </w:r>
      <w:r w:rsidRPr="009E1401">
        <w:rPr>
          <w:rStyle w:val="Char2"/>
          <w:rFonts w:hint="cs"/>
          <w:rtl/>
        </w:rPr>
        <w:t xml:space="preserve">: </w:t>
      </w:r>
      <w:r w:rsidR="005C664D" w:rsidRPr="009E1401">
        <w:rPr>
          <w:rStyle w:val="Char2"/>
          <w:rtl/>
        </w:rPr>
        <w:t>88]</w:t>
      </w:r>
      <w:r w:rsidR="00217AB4" w:rsidRPr="003F3B94">
        <w:rPr>
          <w:rFonts w:hint="cs"/>
          <w:sz w:val="28"/>
          <w:rtl/>
        </w:rPr>
        <w:t>.</w:t>
      </w:r>
    </w:p>
    <w:p w:rsidR="005C664D" w:rsidRPr="003F3B94" w:rsidRDefault="005C664D" w:rsidP="003F3B94">
      <w:pPr>
        <w:pStyle w:val="a0"/>
        <w:rPr>
          <w:rFonts w:hint="cs"/>
          <w:rtl/>
        </w:rPr>
      </w:pPr>
      <w:r w:rsidRPr="003F3B94">
        <w:rPr>
          <w:rFonts w:hint="cs"/>
          <w:sz w:val="28"/>
          <w:rtl/>
        </w:rPr>
        <w:t>فأين نجد في القرآن الكريم في هذه الآيات أو في غيرها من الآيات أدنى إشارة إلى أن الأرض وما عليها ملكٌ لشخص أو لطائفة من الأشخاص</w:t>
      </w:r>
      <w:r w:rsidR="00217AB4" w:rsidRPr="003F3B94">
        <w:rPr>
          <w:rFonts w:hint="cs"/>
          <w:sz w:val="28"/>
          <w:rtl/>
        </w:rPr>
        <w:t>؟؟</w:t>
      </w:r>
      <w:r w:rsidR="00147857" w:rsidRPr="003F3B94">
        <w:rPr>
          <w:rFonts w:hint="cs"/>
          <w:sz w:val="28"/>
          <w:rtl/>
        </w:rPr>
        <w:t xml:space="preserve"> </w:t>
      </w:r>
      <w:r w:rsidRPr="003F3B94">
        <w:rPr>
          <w:rFonts w:hint="cs"/>
          <w:sz w:val="28"/>
          <w:rtl/>
        </w:rPr>
        <w:t>فما هذه المنَّة التي لا</w:t>
      </w:r>
      <w:r w:rsidRPr="003F3B94">
        <w:rPr>
          <w:rFonts w:cs="Times New Roman" w:hint="cs"/>
          <w:sz w:val="28"/>
          <w:rtl/>
        </w:rPr>
        <w:t> </w:t>
      </w:r>
      <w:r w:rsidRPr="003F3B94">
        <w:rPr>
          <w:rFonts w:hint="cs"/>
          <w:sz w:val="28"/>
          <w:rtl/>
        </w:rPr>
        <w:t>أساس لها أو الفضيلة المخترعة التي لا طعم لها التي ينسبونها لنبي الإسلام ولأهل بيته الكرام</w:t>
      </w:r>
      <w:r w:rsidR="00217AB4" w:rsidRPr="003F3B94">
        <w:rPr>
          <w:rFonts w:hint="cs"/>
          <w:sz w:val="28"/>
          <w:rtl/>
        </w:rPr>
        <w:t>؟!</w:t>
      </w:r>
    </w:p>
    <w:p w:rsidR="005C664D" w:rsidRPr="003F3B94" w:rsidRDefault="005C664D" w:rsidP="003F3B94">
      <w:pPr>
        <w:pStyle w:val="a0"/>
        <w:rPr>
          <w:rFonts w:hint="cs"/>
          <w:rtl/>
        </w:rPr>
      </w:pPr>
      <w:r w:rsidRPr="003F3B94">
        <w:rPr>
          <w:rFonts w:hint="cs"/>
          <w:sz w:val="28"/>
          <w:rtl/>
        </w:rPr>
        <w:t>وما أغنى النبيّ</w:t>
      </w:r>
      <w:r w:rsidR="00147857" w:rsidRPr="003F3B94">
        <w:rPr>
          <w:rFonts w:hint="cs"/>
          <w:sz w:val="28"/>
          <w:rtl/>
        </w:rPr>
        <w:t xml:space="preserve"> </w:t>
      </w:r>
      <w:r w:rsidR="003C7AEB" w:rsidRPr="003C7AEB">
        <w:rPr>
          <w:rFonts w:ascii="Abo-thar" w:hAnsi="Abo-thar" w:cs="CTraditional Arabic"/>
          <w:sz w:val="28"/>
          <w:rtl/>
        </w:rPr>
        <w:t>ص</w:t>
      </w:r>
      <w:r w:rsidR="00147857" w:rsidRPr="003F3B94">
        <w:rPr>
          <w:rFonts w:ascii="Abo-thar" w:hAnsi="Abo-thar"/>
          <w:sz w:val="28"/>
          <w:rtl/>
        </w:rPr>
        <w:t xml:space="preserve"> و</w:t>
      </w:r>
      <w:r w:rsidRPr="003F3B94">
        <w:rPr>
          <w:rFonts w:hint="cs"/>
          <w:sz w:val="28"/>
          <w:rtl/>
        </w:rPr>
        <w:t>الأئمّة الكرام عن مثل هذه الفضائل المخترعة</w:t>
      </w:r>
      <w:r w:rsidR="00217AB4" w:rsidRPr="003F3B94">
        <w:rPr>
          <w:rFonts w:hint="cs"/>
          <w:sz w:val="28"/>
          <w:rtl/>
        </w:rPr>
        <w:t>،</w:t>
      </w:r>
      <w:r w:rsidRPr="003F3B94">
        <w:rPr>
          <w:rFonts w:hint="cs"/>
          <w:sz w:val="28"/>
          <w:rtl/>
        </w:rPr>
        <w:t xml:space="preserve"> كيف لا</w:t>
      </w:r>
      <w:r w:rsidRPr="003F3B94">
        <w:rPr>
          <w:rFonts w:cs="Times New Roman" w:hint="cs"/>
          <w:sz w:val="28"/>
          <w:rtl/>
        </w:rPr>
        <w:t> </w:t>
      </w:r>
      <w:r w:rsidRPr="003F3B94">
        <w:rPr>
          <w:rFonts w:hint="cs"/>
          <w:sz w:val="28"/>
          <w:rtl/>
        </w:rPr>
        <w:t>وقد شهد تاريخهم المليء بالفخار أنهم رحلوا عن هذه الدنيا ولم يملكوا شيئاً من حطامها ولا تمتَّعوا بشيءٍ</w:t>
      </w:r>
      <w:r w:rsidR="00147857" w:rsidRPr="003F3B94">
        <w:rPr>
          <w:rFonts w:hint="cs"/>
          <w:sz w:val="28"/>
          <w:rtl/>
        </w:rPr>
        <w:t xml:space="preserve"> </w:t>
      </w:r>
      <w:r w:rsidRPr="003F3B94">
        <w:rPr>
          <w:rFonts w:hint="cs"/>
          <w:sz w:val="28"/>
          <w:rtl/>
        </w:rPr>
        <w:t>يذكر من أملاكها وأموالها وأراضيها وثرواتها</w:t>
      </w:r>
      <w:r w:rsidR="00217AB4" w:rsidRPr="003F3B94">
        <w:rPr>
          <w:rFonts w:hint="cs"/>
          <w:sz w:val="28"/>
          <w:rtl/>
        </w:rPr>
        <w:t>،</w:t>
      </w:r>
      <w:r w:rsidRPr="003F3B94">
        <w:rPr>
          <w:rFonts w:hint="cs"/>
          <w:sz w:val="28"/>
          <w:rtl/>
        </w:rPr>
        <w:t xml:space="preserve"> ورحلوا إلى عالم الآخرة</w:t>
      </w:r>
      <w:r w:rsidR="00217AB4" w:rsidRPr="003F3B94">
        <w:rPr>
          <w:rFonts w:hint="cs"/>
          <w:sz w:val="28"/>
          <w:rtl/>
        </w:rPr>
        <w:t>،</w:t>
      </w:r>
      <w:r w:rsidRPr="003F3B94">
        <w:rPr>
          <w:rFonts w:hint="cs"/>
          <w:sz w:val="28"/>
          <w:rtl/>
        </w:rPr>
        <w:t xml:space="preserve"> وهم الآن ليسوا بحاجة إلى الدنيا وما فيها حتى نثبت أنها وأموالها ملكٌ لهم</w:t>
      </w:r>
      <w:r w:rsidR="00217AB4" w:rsidRPr="003F3B94">
        <w:rPr>
          <w:rFonts w:hint="cs"/>
          <w:sz w:val="28"/>
          <w:rtl/>
        </w:rPr>
        <w:t>!!</w:t>
      </w:r>
    </w:p>
    <w:p w:rsidR="005C664D" w:rsidRPr="003F3B94" w:rsidRDefault="005C664D" w:rsidP="00F82D5E">
      <w:pPr>
        <w:pStyle w:val="a0"/>
        <w:rPr>
          <w:rFonts w:hint="cs"/>
          <w:rtl/>
        </w:rPr>
      </w:pPr>
      <w:r w:rsidRPr="003F3B94">
        <w:rPr>
          <w:rFonts w:hint="cs"/>
          <w:sz w:val="28"/>
          <w:rtl/>
        </w:rPr>
        <w:t>والعجيب أن هذه الدنيا ذاتها التي يدعي الغلاة أنها ملك للنبي والإمام</w:t>
      </w:r>
      <w:r w:rsidR="001E0DB7" w:rsidRPr="003F3B94">
        <w:rPr>
          <w:rFonts w:hint="cs"/>
          <w:sz w:val="28"/>
          <w:rtl/>
        </w:rPr>
        <w:t>،</w:t>
      </w:r>
      <w:r w:rsidRPr="003F3B94">
        <w:rPr>
          <w:rFonts w:hint="cs"/>
          <w:sz w:val="28"/>
          <w:rtl/>
        </w:rPr>
        <w:t xml:space="preserve"> كان رسول</w:t>
      </w:r>
      <w:r w:rsidR="00F82D5E">
        <w:rPr>
          <w:rFonts w:cs="Times New Roman" w:hint="cs"/>
          <w:sz w:val="28"/>
          <w:rtl/>
        </w:rPr>
        <w:t>‌</w:t>
      </w:r>
      <w:r w:rsidRPr="003F3B94">
        <w:rPr>
          <w:rFonts w:hint="cs"/>
          <w:sz w:val="28"/>
          <w:rtl/>
        </w:rPr>
        <w:t>الله</w:t>
      </w:r>
      <w:r w:rsidR="003C7AEB" w:rsidRPr="003C7AEB">
        <w:rPr>
          <w:rFonts w:ascii="Abo-thar" w:hAnsi="Abo-thar" w:cs="CTraditional Arabic"/>
          <w:sz w:val="28"/>
          <w:rtl/>
        </w:rPr>
        <w:t>ص</w:t>
      </w:r>
      <w:r w:rsidR="00147857" w:rsidRPr="003F3B94">
        <w:rPr>
          <w:rFonts w:ascii="Abo-thar" w:hAnsi="Abo-thar"/>
          <w:sz w:val="28"/>
          <w:rtl/>
        </w:rPr>
        <w:t xml:space="preserve"> </w:t>
      </w:r>
      <w:r w:rsidRPr="003F3B94">
        <w:rPr>
          <w:rFonts w:hint="cs"/>
          <w:sz w:val="28"/>
          <w:rtl/>
        </w:rPr>
        <w:t xml:space="preserve">ذاته يمتنع عن إعطائها لأعز ذي قرباه </w:t>
      </w:r>
      <w:r w:rsidRPr="003F3B94">
        <w:rPr>
          <w:rFonts w:cs="Times New Roman" w:hint="cs"/>
          <w:sz w:val="28"/>
          <w:rtl/>
        </w:rPr>
        <w:t>–</w:t>
      </w:r>
      <w:r w:rsidRPr="003F3B94">
        <w:rPr>
          <w:rFonts w:hint="cs"/>
          <w:sz w:val="28"/>
          <w:rtl/>
        </w:rPr>
        <w:t xml:space="preserve"> </w:t>
      </w:r>
      <w:r w:rsidRPr="003F3B94">
        <w:rPr>
          <w:rFonts w:ascii="mylotus" w:hAnsi="mylotus" w:hint="cs"/>
          <w:sz w:val="28"/>
          <w:rtl/>
        </w:rPr>
        <w:t>الذين</w:t>
      </w:r>
      <w:r w:rsidRPr="003F3B94">
        <w:rPr>
          <w:rFonts w:hint="cs"/>
          <w:sz w:val="28"/>
          <w:rtl/>
        </w:rPr>
        <w:t xml:space="preserve"> </w:t>
      </w:r>
      <w:r w:rsidRPr="003F3B94">
        <w:rPr>
          <w:rFonts w:ascii="mylotus" w:hAnsi="mylotus" w:hint="cs"/>
          <w:sz w:val="28"/>
          <w:rtl/>
        </w:rPr>
        <w:t>أريد</w:t>
      </w:r>
      <w:r w:rsidRPr="003F3B94">
        <w:rPr>
          <w:rFonts w:hint="cs"/>
          <w:sz w:val="28"/>
          <w:rtl/>
        </w:rPr>
        <w:t xml:space="preserve"> </w:t>
      </w:r>
      <w:r w:rsidRPr="003F3B94">
        <w:rPr>
          <w:rFonts w:ascii="mylotus" w:hAnsi="mylotus" w:hint="cs"/>
          <w:sz w:val="28"/>
          <w:rtl/>
        </w:rPr>
        <w:t>منهم</w:t>
      </w:r>
      <w:r w:rsidRPr="003F3B94">
        <w:rPr>
          <w:rFonts w:hint="cs"/>
          <w:sz w:val="28"/>
          <w:rtl/>
        </w:rPr>
        <w:t xml:space="preserve"> </w:t>
      </w:r>
      <w:r w:rsidRPr="003F3B94">
        <w:rPr>
          <w:rFonts w:ascii="mylotus" w:hAnsi="mylotus" w:hint="cs"/>
          <w:sz w:val="28"/>
          <w:rtl/>
        </w:rPr>
        <w:t>طبقاً</w:t>
      </w:r>
      <w:r w:rsidRPr="003F3B94">
        <w:rPr>
          <w:rFonts w:hint="cs"/>
          <w:sz w:val="28"/>
          <w:rtl/>
        </w:rPr>
        <w:t xml:space="preserve"> </w:t>
      </w:r>
      <w:r w:rsidRPr="003F3B94">
        <w:rPr>
          <w:rFonts w:ascii="mylotus" w:hAnsi="mylotus" w:hint="cs"/>
          <w:sz w:val="28"/>
          <w:rtl/>
        </w:rPr>
        <w:t>لبعض</w:t>
      </w:r>
      <w:r w:rsidRPr="003F3B94">
        <w:rPr>
          <w:rFonts w:hint="cs"/>
          <w:sz w:val="28"/>
          <w:rtl/>
        </w:rPr>
        <w:t xml:space="preserve"> </w:t>
      </w:r>
      <w:r w:rsidRPr="003F3B94">
        <w:rPr>
          <w:rFonts w:ascii="mylotus" w:hAnsi="mylotus" w:hint="cs"/>
          <w:sz w:val="28"/>
          <w:rtl/>
        </w:rPr>
        <w:t>التفاسير</w:t>
      </w:r>
      <w:r w:rsidR="00217AB4" w:rsidRPr="003F3B94">
        <w:rPr>
          <w:rFonts w:hint="cs"/>
          <w:sz w:val="28"/>
          <w:rtl/>
        </w:rPr>
        <w:t>:</w:t>
      </w:r>
      <w:r w:rsidRPr="003F3B94">
        <w:rPr>
          <w:rFonts w:hint="cs"/>
          <w:sz w:val="28"/>
          <w:rtl/>
        </w:rPr>
        <w:t xml:space="preserve"> فاطمة الزهراء </w:t>
      </w:r>
      <w:r w:rsidRPr="003F3B94">
        <w:rPr>
          <w:rFonts w:cs="Times New Roman" w:hint="cs"/>
          <w:sz w:val="28"/>
          <w:rtl/>
        </w:rPr>
        <w:t>–</w:t>
      </w:r>
      <w:r w:rsidRPr="003F3B94">
        <w:rPr>
          <w:rFonts w:hint="cs"/>
          <w:sz w:val="28"/>
          <w:rtl/>
        </w:rPr>
        <w:t xml:space="preserve"> </w:t>
      </w:r>
      <w:r w:rsidRPr="003F3B94">
        <w:rPr>
          <w:rFonts w:ascii="mylotus" w:hAnsi="mylotus" w:hint="cs"/>
          <w:sz w:val="28"/>
          <w:rtl/>
        </w:rPr>
        <w:t>ابتعاداً</w:t>
      </w:r>
      <w:r w:rsidRPr="003F3B94">
        <w:rPr>
          <w:rFonts w:hint="cs"/>
          <w:sz w:val="28"/>
          <w:rtl/>
        </w:rPr>
        <w:t xml:space="preserve"> </w:t>
      </w:r>
      <w:r w:rsidRPr="003F3B94">
        <w:rPr>
          <w:rFonts w:ascii="mylotus" w:hAnsi="mylotus" w:hint="cs"/>
          <w:sz w:val="28"/>
          <w:rtl/>
        </w:rPr>
        <w:t>عن</w:t>
      </w:r>
      <w:r w:rsidRPr="003F3B94">
        <w:rPr>
          <w:rFonts w:hint="cs"/>
          <w:sz w:val="28"/>
          <w:rtl/>
        </w:rPr>
        <w:t xml:space="preserve"> </w:t>
      </w:r>
      <w:r w:rsidRPr="003F3B94">
        <w:rPr>
          <w:rFonts w:ascii="mylotus" w:hAnsi="mylotus" w:hint="cs"/>
          <w:sz w:val="28"/>
          <w:rtl/>
        </w:rPr>
        <w:t>الإسراف</w:t>
      </w:r>
      <w:r w:rsidRPr="003F3B94">
        <w:rPr>
          <w:rFonts w:hint="cs"/>
          <w:sz w:val="28"/>
          <w:rtl/>
        </w:rPr>
        <w:t xml:space="preserve"> وعملاً بقوله تعالى</w:t>
      </w:r>
      <w:r w:rsidR="00217AB4" w:rsidRPr="003F3B94">
        <w:rPr>
          <w:rFonts w:hint="cs"/>
          <w:sz w:val="28"/>
          <w:rtl/>
        </w:rPr>
        <w:t>:</w:t>
      </w:r>
      <w:r w:rsidRPr="003F3B94">
        <w:rPr>
          <w:rFonts w:hint="cs"/>
          <w:sz w:val="28"/>
          <w:rtl/>
        </w:rPr>
        <w:t xml:space="preserve"> </w:t>
      </w:r>
    </w:p>
    <w:p w:rsidR="005C664D" w:rsidRPr="003F3B94" w:rsidRDefault="00B06788" w:rsidP="009E1401">
      <w:pPr>
        <w:pStyle w:val="a0"/>
        <w:ind w:left="284" w:firstLine="0"/>
        <w:rPr>
          <w:rFonts w:hint="cs"/>
          <w:rtl/>
        </w:rPr>
      </w:pPr>
      <w:r w:rsidRPr="00995B26">
        <w:rPr>
          <w:rFonts w:ascii="Abo-thar" w:hAnsi="Abo-thar" w:cs="Traditional Arabic" w:hint="cs"/>
          <w:sz w:val="28"/>
          <w:rtl/>
          <w:lang w:bidi="ar-SY"/>
        </w:rPr>
        <w:t>﴿</w:t>
      </w:r>
      <w:r w:rsidRPr="0067048A">
        <w:rPr>
          <w:rFonts w:ascii="KFGQPC Uthmanic Script HAFS" w:cs="KFGQPC Uthmanic Script HAFS" w:hint="eastAsia"/>
          <w:sz w:val="28"/>
          <w:szCs w:val="28"/>
          <w:rtl/>
          <w:lang w:bidi="fa-IR"/>
        </w:rPr>
        <w:t>وَءَاتِ</w:t>
      </w:r>
      <w:r w:rsidRPr="0067048A">
        <w:rPr>
          <w:rFonts w:ascii="KFGQPC Uthmanic Script HAFS" w:cs="KFGQPC Uthmanic Script HAFS"/>
          <w:sz w:val="28"/>
          <w:szCs w:val="28"/>
          <w:rtl/>
          <w:lang w:bidi="fa-IR"/>
        </w:rPr>
        <w:t xml:space="preserve"> </w:t>
      </w:r>
      <w:r w:rsidRPr="0067048A">
        <w:rPr>
          <w:rFonts w:ascii="KFGQPC Uthmanic Script HAFS" w:cs="KFGQPC Uthmanic Script HAFS" w:hint="eastAsia"/>
          <w:sz w:val="28"/>
          <w:szCs w:val="28"/>
          <w:rtl/>
          <w:lang w:bidi="fa-IR"/>
        </w:rPr>
        <w:t>ذَا</w:t>
      </w:r>
      <w:r w:rsidRPr="0067048A">
        <w:rPr>
          <w:rFonts w:ascii="KFGQPC Uthmanic Script HAFS" w:cs="KFGQPC Uthmanic Script HAFS"/>
          <w:sz w:val="28"/>
          <w:szCs w:val="28"/>
          <w:rtl/>
          <w:lang w:bidi="fa-IR"/>
        </w:rPr>
        <w:t xml:space="preserve"> </w:t>
      </w:r>
      <w:r w:rsidRPr="0067048A">
        <w:rPr>
          <w:rFonts w:ascii="KFGQPC Uthmanic Script HAFS" w:cs="KFGQPC Uthmanic Script HAFS" w:hint="cs"/>
          <w:sz w:val="28"/>
          <w:szCs w:val="28"/>
          <w:rtl/>
          <w:lang w:bidi="fa-IR"/>
        </w:rPr>
        <w:t>ٱ</w:t>
      </w:r>
      <w:r w:rsidRPr="0067048A">
        <w:rPr>
          <w:rFonts w:ascii="KFGQPC Uthmanic Script HAFS" w:cs="KFGQPC Uthmanic Script HAFS" w:hint="eastAsia"/>
          <w:sz w:val="28"/>
          <w:szCs w:val="28"/>
          <w:rtl/>
          <w:lang w:bidi="fa-IR"/>
        </w:rPr>
        <w:t>ل</w:t>
      </w:r>
      <w:r w:rsidRPr="0067048A">
        <w:rPr>
          <w:rFonts w:ascii="KFGQPC Uthmanic Script HAFS" w:cs="KFGQPC Uthmanic Script HAFS" w:hint="cs"/>
          <w:sz w:val="28"/>
          <w:szCs w:val="28"/>
          <w:rtl/>
          <w:lang w:bidi="fa-IR"/>
        </w:rPr>
        <w:t>ۡ</w:t>
      </w:r>
      <w:r w:rsidRPr="0067048A">
        <w:rPr>
          <w:rFonts w:ascii="KFGQPC Uthmanic Script HAFS" w:cs="KFGQPC Uthmanic Script HAFS" w:hint="eastAsia"/>
          <w:sz w:val="28"/>
          <w:szCs w:val="28"/>
          <w:rtl/>
          <w:lang w:bidi="fa-IR"/>
        </w:rPr>
        <w:t>قُر</w:t>
      </w:r>
      <w:r w:rsidRPr="0067048A">
        <w:rPr>
          <w:rFonts w:ascii="KFGQPC Uthmanic Script HAFS" w:cs="KFGQPC Uthmanic Script HAFS" w:hint="cs"/>
          <w:sz w:val="28"/>
          <w:szCs w:val="28"/>
          <w:rtl/>
          <w:lang w:bidi="fa-IR"/>
        </w:rPr>
        <w:t>ۡ</w:t>
      </w:r>
      <w:r w:rsidRPr="0067048A">
        <w:rPr>
          <w:rFonts w:ascii="KFGQPC Uthmanic Script HAFS" w:cs="KFGQPC Uthmanic Script HAFS" w:hint="eastAsia"/>
          <w:sz w:val="28"/>
          <w:szCs w:val="28"/>
          <w:rtl/>
          <w:lang w:bidi="fa-IR"/>
        </w:rPr>
        <w:t>بَى</w:t>
      </w:r>
      <w:r w:rsidRPr="0067048A">
        <w:rPr>
          <w:rFonts w:ascii="KFGQPC Uthmanic Script HAFS" w:cs="KFGQPC Uthmanic Script HAFS" w:hint="cs"/>
          <w:sz w:val="28"/>
          <w:szCs w:val="28"/>
          <w:rtl/>
          <w:lang w:bidi="fa-IR"/>
        </w:rPr>
        <w:t>ٰ</w:t>
      </w:r>
      <w:r w:rsidRPr="0067048A">
        <w:rPr>
          <w:rFonts w:ascii="KFGQPC Uthmanic Script HAFS" w:cs="KFGQPC Uthmanic Script HAFS"/>
          <w:sz w:val="28"/>
          <w:szCs w:val="28"/>
          <w:rtl/>
          <w:lang w:bidi="fa-IR"/>
        </w:rPr>
        <w:t xml:space="preserve"> </w:t>
      </w:r>
      <w:r w:rsidRPr="0067048A">
        <w:rPr>
          <w:rFonts w:ascii="KFGQPC Uthmanic Script HAFS" w:cs="KFGQPC Uthmanic Script HAFS" w:hint="eastAsia"/>
          <w:sz w:val="28"/>
          <w:szCs w:val="28"/>
          <w:rtl/>
          <w:lang w:bidi="fa-IR"/>
        </w:rPr>
        <w:t>حَقَّهُ</w:t>
      </w:r>
      <w:r w:rsidRPr="0067048A">
        <w:rPr>
          <w:rFonts w:ascii="KFGQPC Uthmanic Script HAFS" w:cs="KFGQPC Uthmanic Script HAFS" w:hint="cs"/>
          <w:sz w:val="28"/>
          <w:szCs w:val="28"/>
          <w:rtl/>
          <w:lang w:bidi="fa-IR"/>
        </w:rPr>
        <w:t>ۥ</w:t>
      </w:r>
      <w:r w:rsidRPr="0067048A">
        <w:rPr>
          <w:rFonts w:ascii="KFGQPC Uthmanic Script HAFS" w:cs="KFGQPC Uthmanic Script HAFS"/>
          <w:sz w:val="28"/>
          <w:szCs w:val="28"/>
          <w:rtl/>
          <w:lang w:bidi="fa-IR"/>
        </w:rPr>
        <w:t xml:space="preserve"> </w:t>
      </w:r>
      <w:r w:rsidRPr="0067048A">
        <w:rPr>
          <w:rFonts w:ascii="KFGQPC Uthmanic Script HAFS" w:cs="KFGQPC Uthmanic Script HAFS" w:hint="eastAsia"/>
          <w:sz w:val="28"/>
          <w:szCs w:val="28"/>
          <w:rtl/>
          <w:lang w:bidi="fa-IR"/>
        </w:rPr>
        <w:t>وَ</w:t>
      </w:r>
      <w:r w:rsidRPr="0067048A">
        <w:rPr>
          <w:rFonts w:ascii="KFGQPC Uthmanic Script HAFS" w:cs="KFGQPC Uthmanic Script HAFS" w:hint="cs"/>
          <w:sz w:val="28"/>
          <w:szCs w:val="28"/>
          <w:rtl/>
          <w:lang w:bidi="fa-IR"/>
        </w:rPr>
        <w:t>ٱ</w:t>
      </w:r>
      <w:r w:rsidRPr="0067048A">
        <w:rPr>
          <w:rFonts w:ascii="KFGQPC Uthmanic Script HAFS" w:cs="KFGQPC Uthmanic Script HAFS" w:hint="eastAsia"/>
          <w:sz w:val="28"/>
          <w:szCs w:val="28"/>
          <w:rtl/>
          <w:lang w:bidi="fa-IR"/>
        </w:rPr>
        <w:t>ل</w:t>
      </w:r>
      <w:r w:rsidRPr="0067048A">
        <w:rPr>
          <w:rFonts w:ascii="KFGQPC Uthmanic Script HAFS" w:cs="KFGQPC Uthmanic Script HAFS" w:hint="cs"/>
          <w:sz w:val="28"/>
          <w:szCs w:val="28"/>
          <w:rtl/>
          <w:lang w:bidi="fa-IR"/>
        </w:rPr>
        <w:t>ۡ</w:t>
      </w:r>
      <w:r w:rsidRPr="0067048A">
        <w:rPr>
          <w:rFonts w:ascii="KFGQPC Uthmanic Script HAFS" w:cs="KFGQPC Uthmanic Script HAFS" w:hint="eastAsia"/>
          <w:sz w:val="28"/>
          <w:szCs w:val="28"/>
          <w:rtl/>
          <w:lang w:bidi="fa-IR"/>
        </w:rPr>
        <w:t>مِس</w:t>
      </w:r>
      <w:r w:rsidRPr="0067048A">
        <w:rPr>
          <w:rFonts w:ascii="KFGQPC Uthmanic Script HAFS" w:cs="KFGQPC Uthmanic Script HAFS" w:hint="cs"/>
          <w:sz w:val="28"/>
          <w:szCs w:val="28"/>
          <w:rtl/>
          <w:lang w:bidi="fa-IR"/>
        </w:rPr>
        <w:t>ۡ</w:t>
      </w:r>
      <w:r w:rsidRPr="0067048A">
        <w:rPr>
          <w:rFonts w:ascii="KFGQPC Uthmanic Script HAFS" w:cs="KFGQPC Uthmanic Script HAFS" w:hint="eastAsia"/>
          <w:sz w:val="28"/>
          <w:szCs w:val="28"/>
          <w:rtl/>
          <w:lang w:bidi="fa-IR"/>
        </w:rPr>
        <w:t>كِينَ</w:t>
      </w:r>
      <w:r w:rsidRPr="0067048A">
        <w:rPr>
          <w:rFonts w:ascii="KFGQPC Uthmanic Script HAFS" w:cs="KFGQPC Uthmanic Script HAFS"/>
          <w:sz w:val="28"/>
          <w:szCs w:val="28"/>
          <w:rtl/>
          <w:lang w:bidi="fa-IR"/>
        </w:rPr>
        <w:t xml:space="preserve"> </w:t>
      </w:r>
      <w:r w:rsidRPr="0067048A">
        <w:rPr>
          <w:rFonts w:ascii="KFGQPC Uthmanic Script HAFS" w:cs="KFGQPC Uthmanic Script HAFS" w:hint="eastAsia"/>
          <w:sz w:val="28"/>
          <w:szCs w:val="28"/>
          <w:rtl/>
          <w:lang w:bidi="fa-IR"/>
        </w:rPr>
        <w:t>وَ</w:t>
      </w:r>
      <w:r w:rsidRPr="0067048A">
        <w:rPr>
          <w:rFonts w:ascii="KFGQPC Uthmanic Script HAFS" w:cs="KFGQPC Uthmanic Script HAFS" w:hint="cs"/>
          <w:sz w:val="28"/>
          <w:szCs w:val="28"/>
          <w:rtl/>
          <w:lang w:bidi="fa-IR"/>
        </w:rPr>
        <w:t>ٱ</w:t>
      </w:r>
      <w:r w:rsidRPr="0067048A">
        <w:rPr>
          <w:rFonts w:ascii="KFGQPC Uthmanic Script HAFS" w:cs="KFGQPC Uthmanic Script HAFS" w:hint="eastAsia"/>
          <w:sz w:val="28"/>
          <w:szCs w:val="28"/>
          <w:rtl/>
          <w:lang w:bidi="fa-IR"/>
        </w:rPr>
        <w:t>ب</w:t>
      </w:r>
      <w:r w:rsidRPr="0067048A">
        <w:rPr>
          <w:rFonts w:ascii="KFGQPC Uthmanic Script HAFS" w:cs="KFGQPC Uthmanic Script HAFS" w:hint="cs"/>
          <w:sz w:val="28"/>
          <w:szCs w:val="28"/>
          <w:rtl/>
          <w:lang w:bidi="fa-IR"/>
        </w:rPr>
        <w:t>ۡ</w:t>
      </w:r>
      <w:r w:rsidRPr="0067048A">
        <w:rPr>
          <w:rFonts w:ascii="KFGQPC Uthmanic Script HAFS" w:cs="KFGQPC Uthmanic Script HAFS" w:hint="eastAsia"/>
          <w:sz w:val="28"/>
          <w:szCs w:val="28"/>
          <w:rtl/>
          <w:lang w:bidi="fa-IR"/>
        </w:rPr>
        <w:t>نَ</w:t>
      </w:r>
      <w:r w:rsidRPr="0067048A">
        <w:rPr>
          <w:rFonts w:ascii="KFGQPC Uthmanic Script HAFS" w:cs="KFGQPC Uthmanic Script HAFS"/>
          <w:sz w:val="28"/>
          <w:szCs w:val="28"/>
          <w:rtl/>
          <w:lang w:bidi="fa-IR"/>
        </w:rPr>
        <w:t xml:space="preserve"> </w:t>
      </w:r>
      <w:r w:rsidRPr="0067048A">
        <w:rPr>
          <w:rFonts w:ascii="KFGQPC Uthmanic Script HAFS" w:cs="KFGQPC Uthmanic Script HAFS" w:hint="cs"/>
          <w:sz w:val="28"/>
          <w:szCs w:val="28"/>
          <w:rtl/>
          <w:lang w:bidi="fa-IR"/>
        </w:rPr>
        <w:t>ٱ</w:t>
      </w:r>
      <w:r w:rsidRPr="0067048A">
        <w:rPr>
          <w:rFonts w:ascii="KFGQPC Uthmanic Script HAFS" w:cs="KFGQPC Uthmanic Script HAFS" w:hint="eastAsia"/>
          <w:sz w:val="28"/>
          <w:szCs w:val="28"/>
          <w:rtl/>
          <w:lang w:bidi="fa-IR"/>
        </w:rPr>
        <w:t>لسَّبِيلِ</w:t>
      </w:r>
      <w:r w:rsidRPr="0067048A">
        <w:rPr>
          <w:rFonts w:ascii="KFGQPC Uthmanic Script HAFS" w:cs="KFGQPC Uthmanic Script HAFS"/>
          <w:sz w:val="28"/>
          <w:szCs w:val="28"/>
          <w:rtl/>
          <w:lang w:bidi="fa-IR"/>
        </w:rPr>
        <w:t xml:space="preserve"> </w:t>
      </w:r>
      <w:r w:rsidRPr="0067048A">
        <w:rPr>
          <w:rFonts w:ascii="KFGQPC Uthmanic Script HAFS" w:cs="KFGQPC Uthmanic Script HAFS" w:hint="eastAsia"/>
          <w:sz w:val="28"/>
          <w:szCs w:val="28"/>
          <w:rtl/>
          <w:lang w:bidi="fa-IR"/>
        </w:rPr>
        <w:t>وَلَا</w:t>
      </w:r>
      <w:r w:rsidRPr="0067048A">
        <w:rPr>
          <w:rFonts w:ascii="KFGQPC Uthmanic Script HAFS" w:cs="KFGQPC Uthmanic Script HAFS"/>
          <w:sz w:val="28"/>
          <w:szCs w:val="28"/>
          <w:rtl/>
          <w:lang w:bidi="fa-IR"/>
        </w:rPr>
        <w:t xml:space="preserve"> </w:t>
      </w:r>
      <w:r w:rsidRPr="0067048A">
        <w:rPr>
          <w:rFonts w:ascii="KFGQPC Uthmanic Script HAFS" w:cs="KFGQPC Uthmanic Script HAFS" w:hint="eastAsia"/>
          <w:sz w:val="28"/>
          <w:szCs w:val="28"/>
          <w:rtl/>
          <w:lang w:bidi="fa-IR"/>
        </w:rPr>
        <w:t>تُبَذِّر</w:t>
      </w:r>
      <w:r w:rsidRPr="0067048A">
        <w:rPr>
          <w:rFonts w:ascii="KFGQPC Uthmanic Script HAFS" w:cs="KFGQPC Uthmanic Script HAFS" w:hint="cs"/>
          <w:sz w:val="28"/>
          <w:szCs w:val="28"/>
          <w:rtl/>
          <w:lang w:bidi="fa-IR"/>
        </w:rPr>
        <w:t>ۡ</w:t>
      </w:r>
      <w:r w:rsidRPr="0067048A">
        <w:rPr>
          <w:rFonts w:ascii="KFGQPC Uthmanic Script HAFS" w:cs="KFGQPC Uthmanic Script HAFS"/>
          <w:sz w:val="28"/>
          <w:szCs w:val="28"/>
          <w:rtl/>
          <w:lang w:bidi="fa-IR"/>
        </w:rPr>
        <w:t xml:space="preserve"> </w:t>
      </w:r>
      <w:r w:rsidRPr="0067048A">
        <w:rPr>
          <w:rFonts w:ascii="KFGQPC Uthmanic Script HAFS" w:cs="KFGQPC Uthmanic Script HAFS" w:hint="eastAsia"/>
          <w:sz w:val="28"/>
          <w:szCs w:val="28"/>
          <w:rtl/>
          <w:lang w:bidi="fa-IR"/>
        </w:rPr>
        <w:t>تَب</w:t>
      </w:r>
      <w:r w:rsidRPr="0067048A">
        <w:rPr>
          <w:rFonts w:ascii="KFGQPC Uthmanic Script HAFS" w:cs="KFGQPC Uthmanic Script HAFS" w:hint="cs"/>
          <w:sz w:val="28"/>
          <w:szCs w:val="28"/>
          <w:rtl/>
          <w:lang w:bidi="fa-IR"/>
        </w:rPr>
        <w:t>ۡ</w:t>
      </w:r>
      <w:r w:rsidRPr="0067048A">
        <w:rPr>
          <w:rFonts w:ascii="KFGQPC Uthmanic Script HAFS" w:cs="KFGQPC Uthmanic Script HAFS" w:hint="eastAsia"/>
          <w:sz w:val="28"/>
          <w:szCs w:val="28"/>
          <w:rtl/>
          <w:lang w:bidi="fa-IR"/>
        </w:rPr>
        <w:t>ذِيرًا</w:t>
      </w:r>
      <w:r w:rsidRPr="0067048A">
        <w:rPr>
          <w:rFonts w:ascii="KFGQPC Uthmanic Script HAFS" w:cs="KFGQPC Uthmanic Script HAFS"/>
          <w:sz w:val="28"/>
          <w:szCs w:val="28"/>
          <w:rtl/>
          <w:lang w:bidi="fa-IR"/>
        </w:rPr>
        <w:t xml:space="preserve"> </w:t>
      </w:r>
      <w:r w:rsidRPr="0067048A">
        <w:rPr>
          <w:rFonts w:ascii="KFGQPC Uthmanic Script HAFS" w:cs="KFGQPC Uthmanic Script HAFS" w:hint="cs"/>
          <w:sz w:val="28"/>
          <w:szCs w:val="28"/>
          <w:rtl/>
          <w:lang w:bidi="fa-IR"/>
        </w:rPr>
        <w:t>٢٦</w:t>
      </w:r>
      <w:r w:rsidRPr="0067048A">
        <w:rPr>
          <w:rFonts w:ascii="KFGQPC Uthmanic Script HAFS" w:cs="KFGQPC Uthmanic Script HAFS"/>
          <w:sz w:val="28"/>
          <w:szCs w:val="28"/>
          <w:rtl/>
          <w:lang w:bidi="fa-IR"/>
        </w:rPr>
        <w:t xml:space="preserve"> </w:t>
      </w:r>
      <w:r w:rsidRPr="0067048A">
        <w:rPr>
          <w:rFonts w:ascii="KFGQPC Uthmanic Script HAFS" w:cs="KFGQPC Uthmanic Script HAFS" w:hint="eastAsia"/>
          <w:sz w:val="28"/>
          <w:szCs w:val="28"/>
          <w:rtl/>
          <w:lang w:bidi="fa-IR"/>
        </w:rPr>
        <w:t>إِنَّ</w:t>
      </w:r>
      <w:r w:rsidRPr="0067048A">
        <w:rPr>
          <w:rFonts w:ascii="KFGQPC Uthmanic Script HAFS" w:cs="KFGQPC Uthmanic Script HAFS"/>
          <w:sz w:val="28"/>
          <w:szCs w:val="28"/>
          <w:rtl/>
          <w:lang w:bidi="fa-IR"/>
        </w:rPr>
        <w:t xml:space="preserve"> </w:t>
      </w:r>
      <w:r w:rsidRPr="0067048A">
        <w:rPr>
          <w:rFonts w:ascii="KFGQPC Uthmanic Script HAFS" w:cs="KFGQPC Uthmanic Script HAFS" w:hint="cs"/>
          <w:sz w:val="28"/>
          <w:szCs w:val="28"/>
          <w:rtl/>
          <w:lang w:bidi="fa-IR"/>
        </w:rPr>
        <w:t>ٱ</w:t>
      </w:r>
      <w:r w:rsidRPr="0067048A">
        <w:rPr>
          <w:rFonts w:ascii="KFGQPC Uthmanic Script HAFS" w:cs="KFGQPC Uthmanic Script HAFS" w:hint="eastAsia"/>
          <w:sz w:val="28"/>
          <w:szCs w:val="28"/>
          <w:rtl/>
          <w:lang w:bidi="fa-IR"/>
        </w:rPr>
        <w:t>ل</w:t>
      </w:r>
      <w:r w:rsidRPr="0067048A">
        <w:rPr>
          <w:rFonts w:ascii="KFGQPC Uthmanic Script HAFS" w:cs="KFGQPC Uthmanic Script HAFS" w:hint="cs"/>
          <w:sz w:val="28"/>
          <w:szCs w:val="28"/>
          <w:rtl/>
          <w:lang w:bidi="fa-IR"/>
        </w:rPr>
        <w:t>ۡ</w:t>
      </w:r>
      <w:r w:rsidRPr="0067048A">
        <w:rPr>
          <w:rFonts w:ascii="KFGQPC Uthmanic Script HAFS" w:cs="KFGQPC Uthmanic Script HAFS" w:hint="eastAsia"/>
          <w:sz w:val="28"/>
          <w:szCs w:val="28"/>
          <w:rtl/>
          <w:lang w:bidi="fa-IR"/>
        </w:rPr>
        <w:t>مُبَذِّرِينَ</w:t>
      </w:r>
      <w:r w:rsidRPr="0067048A">
        <w:rPr>
          <w:rFonts w:ascii="KFGQPC Uthmanic Script HAFS" w:cs="KFGQPC Uthmanic Script HAFS"/>
          <w:sz w:val="28"/>
          <w:szCs w:val="28"/>
          <w:rtl/>
          <w:lang w:bidi="fa-IR"/>
        </w:rPr>
        <w:t xml:space="preserve"> </w:t>
      </w:r>
      <w:r w:rsidRPr="0067048A">
        <w:rPr>
          <w:rFonts w:ascii="KFGQPC Uthmanic Script HAFS" w:cs="KFGQPC Uthmanic Script HAFS" w:hint="eastAsia"/>
          <w:sz w:val="28"/>
          <w:szCs w:val="28"/>
          <w:rtl/>
          <w:lang w:bidi="fa-IR"/>
        </w:rPr>
        <w:t>كَانُو</w:t>
      </w:r>
      <w:r w:rsidRPr="0067048A">
        <w:rPr>
          <w:rFonts w:ascii="KFGQPC Uthmanic Script HAFS" w:cs="KFGQPC Uthmanic Script HAFS" w:hint="cs"/>
          <w:sz w:val="28"/>
          <w:szCs w:val="28"/>
          <w:rtl/>
          <w:lang w:bidi="fa-IR"/>
        </w:rPr>
        <w:t>ٓ</w:t>
      </w:r>
      <w:r w:rsidRPr="0067048A">
        <w:rPr>
          <w:rFonts w:ascii="KFGQPC Uthmanic Script HAFS" w:cs="KFGQPC Uthmanic Script HAFS" w:hint="eastAsia"/>
          <w:sz w:val="28"/>
          <w:szCs w:val="28"/>
          <w:rtl/>
          <w:lang w:bidi="fa-IR"/>
        </w:rPr>
        <w:t>اْ</w:t>
      </w:r>
      <w:r w:rsidRPr="0067048A">
        <w:rPr>
          <w:rFonts w:ascii="KFGQPC Uthmanic Script HAFS" w:cs="KFGQPC Uthmanic Script HAFS"/>
          <w:sz w:val="28"/>
          <w:szCs w:val="28"/>
          <w:rtl/>
          <w:lang w:bidi="fa-IR"/>
        </w:rPr>
        <w:t xml:space="preserve"> </w:t>
      </w:r>
      <w:r w:rsidRPr="0067048A">
        <w:rPr>
          <w:rFonts w:ascii="KFGQPC Uthmanic Script HAFS" w:cs="KFGQPC Uthmanic Script HAFS" w:hint="eastAsia"/>
          <w:sz w:val="28"/>
          <w:szCs w:val="28"/>
          <w:rtl/>
          <w:lang w:bidi="fa-IR"/>
        </w:rPr>
        <w:t>إِخ</w:t>
      </w:r>
      <w:r w:rsidRPr="0067048A">
        <w:rPr>
          <w:rFonts w:ascii="KFGQPC Uthmanic Script HAFS" w:cs="KFGQPC Uthmanic Script HAFS" w:hint="cs"/>
          <w:sz w:val="28"/>
          <w:szCs w:val="28"/>
          <w:rtl/>
          <w:lang w:bidi="fa-IR"/>
        </w:rPr>
        <w:t>ۡ</w:t>
      </w:r>
      <w:r w:rsidRPr="0067048A">
        <w:rPr>
          <w:rFonts w:ascii="KFGQPC Uthmanic Script HAFS" w:cs="KFGQPC Uthmanic Script HAFS" w:hint="eastAsia"/>
          <w:sz w:val="28"/>
          <w:szCs w:val="28"/>
          <w:rtl/>
          <w:lang w:bidi="fa-IR"/>
        </w:rPr>
        <w:t>وَ</w:t>
      </w:r>
      <w:r w:rsidRPr="0067048A">
        <w:rPr>
          <w:rFonts w:ascii="KFGQPC Uthmanic Script HAFS" w:cs="KFGQPC Uthmanic Script HAFS" w:hint="cs"/>
          <w:sz w:val="28"/>
          <w:szCs w:val="28"/>
          <w:rtl/>
          <w:lang w:bidi="fa-IR"/>
        </w:rPr>
        <w:t>ٰ</w:t>
      </w:r>
      <w:r w:rsidRPr="0067048A">
        <w:rPr>
          <w:rFonts w:ascii="KFGQPC Uthmanic Script HAFS" w:cs="KFGQPC Uthmanic Script HAFS" w:hint="eastAsia"/>
          <w:sz w:val="28"/>
          <w:szCs w:val="28"/>
          <w:rtl/>
          <w:lang w:bidi="fa-IR"/>
        </w:rPr>
        <w:t>نَ</w:t>
      </w:r>
      <w:r w:rsidRPr="0067048A">
        <w:rPr>
          <w:rFonts w:ascii="KFGQPC Uthmanic Script HAFS" w:cs="KFGQPC Uthmanic Script HAFS"/>
          <w:sz w:val="28"/>
          <w:szCs w:val="28"/>
          <w:rtl/>
          <w:lang w:bidi="fa-IR"/>
        </w:rPr>
        <w:t xml:space="preserve"> </w:t>
      </w:r>
      <w:r w:rsidRPr="0067048A">
        <w:rPr>
          <w:rFonts w:ascii="KFGQPC Uthmanic Script HAFS" w:cs="KFGQPC Uthmanic Script HAFS" w:hint="cs"/>
          <w:sz w:val="28"/>
          <w:szCs w:val="28"/>
          <w:rtl/>
          <w:lang w:bidi="fa-IR"/>
        </w:rPr>
        <w:t>ٱ</w:t>
      </w:r>
      <w:r w:rsidRPr="0067048A">
        <w:rPr>
          <w:rFonts w:ascii="KFGQPC Uthmanic Script HAFS" w:cs="KFGQPC Uthmanic Script HAFS" w:hint="eastAsia"/>
          <w:sz w:val="28"/>
          <w:szCs w:val="28"/>
          <w:rtl/>
          <w:lang w:bidi="fa-IR"/>
        </w:rPr>
        <w:t>لشَّيَ</w:t>
      </w:r>
      <w:r w:rsidRPr="0067048A">
        <w:rPr>
          <w:rFonts w:ascii="KFGQPC Uthmanic Script HAFS" w:cs="KFGQPC Uthmanic Script HAFS" w:hint="cs"/>
          <w:sz w:val="28"/>
          <w:szCs w:val="28"/>
          <w:rtl/>
          <w:lang w:bidi="fa-IR"/>
        </w:rPr>
        <w:t>ٰ</w:t>
      </w:r>
      <w:r w:rsidRPr="0067048A">
        <w:rPr>
          <w:rFonts w:ascii="KFGQPC Uthmanic Script HAFS" w:cs="KFGQPC Uthmanic Script HAFS" w:hint="eastAsia"/>
          <w:sz w:val="28"/>
          <w:szCs w:val="28"/>
          <w:rtl/>
          <w:lang w:bidi="fa-IR"/>
        </w:rPr>
        <w:t>طِينِ</w:t>
      </w:r>
      <w:r w:rsidRPr="0067048A">
        <w:rPr>
          <w:rFonts w:ascii="KFGQPC Uthmanic Script HAFS" w:cs="KFGQPC Uthmanic Script HAFS" w:hint="cs"/>
          <w:sz w:val="28"/>
          <w:szCs w:val="28"/>
          <w:rtl/>
          <w:lang w:bidi="fa-IR"/>
        </w:rPr>
        <w:t>ۖ</w:t>
      </w:r>
      <w:r w:rsidRPr="0067048A">
        <w:rPr>
          <w:rFonts w:ascii="KFGQPC Uthmanic Script HAFS" w:cs="KFGQPC Uthmanic Script HAFS"/>
          <w:sz w:val="28"/>
          <w:szCs w:val="28"/>
          <w:rtl/>
          <w:lang w:bidi="fa-IR"/>
        </w:rPr>
        <w:t xml:space="preserve"> </w:t>
      </w:r>
      <w:r w:rsidRPr="0067048A">
        <w:rPr>
          <w:rFonts w:ascii="KFGQPC Uthmanic Script HAFS" w:cs="KFGQPC Uthmanic Script HAFS" w:hint="eastAsia"/>
          <w:sz w:val="28"/>
          <w:szCs w:val="28"/>
          <w:rtl/>
          <w:lang w:bidi="fa-IR"/>
        </w:rPr>
        <w:t>وَكَانَ</w:t>
      </w:r>
      <w:r w:rsidRPr="0067048A">
        <w:rPr>
          <w:rFonts w:ascii="KFGQPC Uthmanic Script HAFS" w:cs="KFGQPC Uthmanic Script HAFS"/>
          <w:sz w:val="28"/>
          <w:szCs w:val="28"/>
          <w:rtl/>
          <w:lang w:bidi="fa-IR"/>
        </w:rPr>
        <w:t xml:space="preserve"> </w:t>
      </w:r>
      <w:r w:rsidRPr="0067048A">
        <w:rPr>
          <w:rFonts w:ascii="KFGQPC Uthmanic Script HAFS" w:cs="KFGQPC Uthmanic Script HAFS" w:hint="cs"/>
          <w:sz w:val="28"/>
          <w:szCs w:val="28"/>
          <w:rtl/>
          <w:lang w:bidi="fa-IR"/>
        </w:rPr>
        <w:t>ٱ</w:t>
      </w:r>
      <w:r w:rsidRPr="0067048A">
        <w:rPr>
          <w:rFonts w:ascii="KFGQPC Uthmanic Script HAFS" w:cs="KFGQPC Uthmanic Script HAFS" w:hint="eastAsia"/>
          <w:sz w:val="28"/>
          <w:szCs w:val="28"/>
          <w:rtl/>
          <w:lang w:bidi="fa-IR"/>
        </w:rPr>
        <w:t>لشَّي</w:t>
      </w:r>
      <w:r w:rsidRPr="0067048A">
        <w:rPr>
          <w:rFonts w:ascii="KFGQPC Uthmanic Script HAFS" w:cs="KFGQPC Uthmanic Script HAFS" w:hint="cs"/>
          <w:sz w:val="28"/>
          <w:szCs w:val="28"/>
          <w:rtl/>
          <w:lang w:bidi="fa-IR"/>
        </w:rPr>
        <w:t>ۡ</w:t>
      </w:r>
      <w:r w:rsidRPr="0067048A">
        <w:rPr>
          <w:rFonts w:ascii="KFGQPC Uthmanic Script HAFS" w:cs="KFGQPC Uthmanic Script HAFS" w:hint="eastAsia"/>
          <w:sz w:val="28"/>
          <w:szCs w:val="28"/>
          <w:rtl/>
          <w:lang w:bidi="fa-IR"/>
        </w:rPr>
        <w:t>طَ</w:t>
      </w:r>
      <w:r w:rsidRPr="0067048A">
        <w:rPr>
          <w:rFonts w:ascii="KFGQPC Uthmanic Script HAFS" w:cs="KFGQPC Uthmanic Script HAFS" w:hint="cs"/>
          <w:sz w:val="28"/>
          <w:szCs w:val="28"/>
          <w:rtl/>
          <w:lang w:bidi="fa-IR"/>
        </w:rPr>
        <w:t>ٰ</w:t>
      </w:r>
      <w:r w:rsidRPr="0067048A">
        <w:rPr>
          <w:rFonts w:ascii="KFGQPC Uthmanic Script HAFS" w:cs="KFGQPC Uthmanic Script HAFS" w:hint="eastAsia"/>
          <w:sz w:val="28"/>
          <w:szCs w:val="28"/>
          <w:rtl/>
          <w:lang w:bidi="fa-IR"/>
        </w:rPr>
        <w:t>نُ</w:t>
      </w:r>
      <w:r w:rsidRPr="0067048A">
        <w:rPr>
          <w:rFonts w:ascii="KFGQPC Uthmanic Script HAFS" w:cs="KFGQPC Uthmanic Script HAFS"/>
          <w:sz w:val="28"/>
          <w:szCs w:val="28"/>
          <w:rtl/>
          <w:lang w:bidi="fa-IR"/>
        </w:rPr>
        <w:t xml:space="preserve"> </w:t>
      </w:r>
      <w:r w:rsidRPr="0067048A">
        <w:rPr>
          <w:rFonts w:ascii="KFGQPC Uthmanic Script HAFS" w:cs="KFGQPC Uthmanic Script HAFS" w:hint="eastAsia"/>
          <w:sz w:val="28"/>
          <w:szCs w:val="28"/>
          <w:rtl/>
          <w:lang w:bidi="fa-IR"/>
        </w:rPr>
        <w:t>لِرَبِّهِ</w:t>
      </w:r>
      <w:r w:rsidRPr="0067048A">
        <w:rPr>
          <w:rFonts w:ascii="KFGQPC Uthmanic Script HAFS" w:cs="KFGQPC Uthmanic Script HAFS" w:hint="cs"/>
          <w:sz w:val="28"/>
          <w:szCs w:val="28"/>
          <w:rtl/>
          <w:lang w:bidi="fa-IR"/>
        </w:rPr>
        <w:t>ۦ</w:t>
      </w:r>
      <w:r w:rsidRPr="0067048A">
        <w:rPr>
          <w:rFonts w:ascii="KFGQPC Uthmanic Script HAFS" w:cs="KFGQPC Uthmanic Script HAFS"/>
          <w:sz w:val="28"/>
          <w:szCs w:val="28"/>
          <w:rtl/>
          <w:lang w:bidi="fa-IR"/>
        </w:rPr>
        <w:t xml:space="preserve"> </w:t>
      </w:r>
      <w:r w:rsidRPr="0067048A">
        <w:rPr>
          <w:rFonts w:ascii="KFGQPC Uthmanic Script HAFS" w:cs="KFGQPC Uthmanic Script HAFS" w:hint="eastAsia"/>
          <w:sz w:val="28"/>
          <w:szCs w:val="28"/>
          <w:rtl/>
          <w:lang w:bidi="fa-IR"/>
        </w:rPr>
        <w:t>كَفُور</w:t>
      </w:r>
      <w:r w:rsidRPr="0067048A">
        <w:rPr>
          <w:rFonts w:ascii="KFGQPC Uthmanic Script HAFS" w:cs="KFGQPC Uthmanic Script HAFS" w:hint="cs"/>
          <w:sz w:val="28"/>
          <w:szCs w:val="28"/>
          <w:rtl/>
          <w:lang w:bidi="fa-IR"/>
        </w:rPr>
        <w:t>ٗ</w:t>
      </w:r>
      <w:r w:rsidRPr="0067048A">
        <w:rPr>
          <w:rFonts w:ascii="KFGQPC Uthmanic Script HAFS" w:cs="KFGQPC Uthmanic Script HAFS" w:hint="eastAsia"/>
          <w:sz w:val="28"/>
          <w:szCs w:val="28"/>
          <w:rtl/>
          <w:lang w:bidi="fa-IR"/>
        </w:rPr>
        <w:t>ا</w:t>
      </w:r>
      <w:r w:rsidRPr="0067048A">
        <w:rPr>
          <w:rFonts w:ascii="KFGQPC Uthmanic Script HAFS" w:cs="KFGQPC Uthmanic Script HAFS"/>
          <w:sz w:val="28"/>
          <w:szCs w:val="28"/>
          <w:rtl/>
          <w:lang w:bidi="fa-IR"/>
        </w:rPr>
        <w:t xml:space="preserve"> </w:t>
      </w:r>
      <w:r w:rsidRPr="0067048A">
        <w:rPr>
          <w:rFonts w:ascii="KFGQPC Uthmanic Script HAFS" w:cs="KFGQPC Uthmanic Script HAFS" w:hint="cs"/>
          <w:sz w:val="28"/>
          <w:szCs w:val="28"/>
          <w:rtl/>
          <w:lang w:bidi="fa-IR"/>
        </w:rPr>
        <w:t>٢٧</w:t>
      </w:r>
      <w:r w:rsidRPr="00995B26">
        <w:rPr>
          <w:rFonts w:ascii="Abo-thar" w:hAnsi="Abo-thar" w:cs="Traditional Arabic" w:hint="cs"/>
          <w:sz w:val="28"/>
          <w:rtl/>
          <w:lang w:bidi="ar-SY"/>
        </w:rPr>
        <w:t>﴾</w:t>
      </w:r>
      <w:r w:rsidR="005C664D" w:rsidRPr="003F3B94">
        <w:rPr>
          <w:rFonts w:hint="cs"/>
          <w:sz w:val="28"/>
          <w:rtl/>
        </w:rPr>
        <w:t xml:space="preserve"> </w:t>
      </w:r>
      <w:r w:rsidR="005C664D" w:rsidRPr="009E1401">
        <w:rPr>
          <w:rStyle w:val="Char2"/>
          <w:rFonts w:hint="cs"/>
          <w:rtl/>
        </w:rPr>
        <w:t>[الإسراء</w:t>
      </w:r>
      <w:r w:rsidRPr="009E1401">
        <w:rPr>
          <w:rStyle w:val="Char2"/>
          <w:rFonts w:hint="cs"/>
          <w:rtl/>
        </w:rPr>
        <w:t>- 26-27</w:t>
      </w:r>
      <w:r w:rsidR="005C664D" w:rsidRPr="009E1401">
        <w:rPr>
          <w:rStyle w:val="Char2"/>
          <w:rFonts w:hint="cs"/>
          <w:rtl/>
        </w:rPr>
        <w:t>]</w:t>
      </w:r>
      <w:r w:rsidR="00217AB4" w:rsidRPr="003F3B94">
        <w:rPr>
          <w:rFonts w:hint="cs"/>
          <w:sz w:val="28"/>
          <w:rtl/>
        </w:rPr>
        <w:t>.</w:t>
      </w:r>
    </w:p>
    <w:p w:rsidR="005C664D" w:rsidRPr="003F3B94" w:rsidRDefault="005C664D" w:rsidP="003F3B94">
      <w:pPr>
        <w:pStyle w:val="a0"/>
        <w:rPr>
          <w:rFonts w:hint="cs"/>
          <w:rtl/>
        </w:rPr>
      </w:pPr>
      <w:r w:rsidRPr="003F3B94">
        <w:rPr>
          <w:rFonts w:hint="cs"/>
          <w:sz w:val="28"/>
          <w:rtl/>
        </w:rPr>
        <w:t>فهذه الآية الكريمة تخالف ما وضعه الغلاة على لسان الإمام مما يستند إليه الطفيليون في استيلائهم على جزء من أتعاب الناس حيث ادعوا أن الإمام قال</w:t>
      </w:r>
      <w:r w:rsidR="00217AB4" w:rsidRPr="003F3B94">
        <w:rPr>
          <w:rFonts w:hint="cs"/>
          <w:sz w:val="28"/>
          <w:rtl/>
        </w:rPr>
        <w:t>:</w:t>
      </w:r>
      <w:r w:rsidRPr="003F3B94">
        <w:rPr>
          <w:rFonts w:hint="cs"/>
          <w:sz w:val="28"/>
          <w:rtl/>
        </w:rPr>
        <w:t xml:space="preserve"> </w:t>
      </w:r>
      <w:r w:rsidR="00EF2588" w:rsidRPr="00394385">
        <w:rPr>
          <w:rFonts w:cs="KFGQPC Uthman Taha Naskh" w:hint="cs"/>
          <w:sz w:val="28"/>
          <w:rtl/>
        </w:rPr>
        <w:t>«</w:t>
      </w:r>
      <w:r w:rsidRPr="00394385">
        <w:rPr>
          <w:rFonts w:cs="KFGQPC Uthman Taha Naskh"/>
          <w:b/>
          <w:bCs/>
          <w:sz w:val="28"/>
          <w:rtl/>
        </w:rPr>
        <w:t>أَمَا عَلِمْتَ أَنَّ الدُّنْيَا لِلْإِمَامِ يَضَعُهَا حَيْثُ يَشَاءُ ويَدْفَعُهَا إِلَى مَنْ يَشَاءُ جَائِز</w:t>
      </w:r>
      <w:r w:rsidRPr="00394385">
        <w:rPr>
          <w:rFonts w:cs="KFGQPC Uthman Taha Naskh" w:hint="cs"/>
          <w:b/>
          <w:bCs/>
          <w:sz w:val="28"/>
          <w:rtl/>
        </w:rPr>
        <w:t>ة</w:t>
      </w:r>
      <w:r w:rsidRPr="00394385">
        <w:rPr>
          <w:rFonts w:cs="KFGQPC Uthman Taha Naskh"/>
          <w:b/>
          <w:bCs/>
          <w:sz w:val="28"/>
          <w:rtl/>
        </w:rPr>
        <w:t xml:space="preserve"> مِنَ اللهِ عَزَّ وجَلَّ لَهُ</w:t>
      </w:r>
      <w:r w:rsidR="00EF2588" w:rsidRPr="00394385">
        <w:rPr>
          <w:rFonts w:cs="KFGQPC Uthman Taha Naskh" w:hint="cs"/>
          <w:sz w:val="28"/>
          <w:rtl/>
        </w:rPr>
        <w:t>»</w:t>
      </w:r>
      <w:r w:rsidR="00217AB4" w:rsidRPr="003F3B94">
        <w:rPr>
          <w:rFonts w:hint="cs"/>
          <w:sz w:val="28"/>
          <w:rtl/>
        </w:rPr>
        <w:t>!!</w:t>
      </w:r>
      <w:r w:rsidRPr="003F3B94">
        <w:rPr>
          <w:rFonts w:hint="cs"/>
          <w:sz w:val="28"/>
          <w:rtl/>
        </w:rPr>
        <w:t xml:space="preserve"> فالعجب كيف يمتنع نبي الله عن إعطاء شيء زائد لابنته فاطمة أما الإمام أو ذلك الذي يعتبر نفسه نائباً للإمام فإنه يفعل في الأموال ما يشاء جائزةً له من الله</w:t>
      </w:r>
      <w:r w:rsidR="00217AB4" w:rsidRPr="003F3B94">
        <w:rPr>
          <w:rFonts w:hint="cs"/>
          <w:sz w:val="28"/>
          <w:rtl/>
        </w:rPr>
        <w:t>؟!</w:t>
      </w:r>
      <w:r w:rsidRPr="003F3B94">
        <w:rPr>
          <w:rFonts w:hint="cs"/>
          <w:sz w:val="28"/>
          <w:rtl/>
        </w:rPr>
        <w:t xml:space="preserve"> </w:t>
      </w:r>
    </w:p>
    <w:p w:rsidR="005C664D" w:rsidRPr="003F3B94" w:rsidRDefault="005C664D" w:rsidP="003F3B94">
      <w:pPr>
        <w:pStyle w:val="a0"/>
        <w:rPr>
          <w:rtl/>
        </w:rPr>
      </w:pPr>
      <w:r w:rsidRPr="003F3B94">
        <w:rPr>
          <w:rFonts w:hint="cs"/>
          <w:sz w:val="28"/>
          <w:rtl/>
        </w:rPr>
        <w:t xml:space="preserve">هذه الفضائل التي لا معنى لها والمليئة </w:t>
      </w:r>
      <w:r w:rsidR="001253D2" w:rsidRPr="003F3B94">
        <w:rPr>
          <w:rFonts w:hint="cs"/>
          <w:sz w:val="28"/>
          <w:rtl/>
        </w:rPr>
        <w:t>بالإطراء المفرط والمُبالَغ به</w:t>
      </w:r>
      <w:r w:rsidRPr="003F3B94">
        <w:rPr>
          <w:rFonts w:hint="cs"/>
          <w:sz w:val="28"/>
          <w:rtl/>
        </w:rPr>
        <w:t xml:space="preserve"> التي اخترعها الغلاة أو المغرضون للأئمة المعصومين أصبحت اليوم حجَّةً ووسيلةً لعدد من الطفيليين الذين يملؤون جيوبهم من أموال الناس باسم الأئمة وباسم خمس الإمام وسهمه</w:t>
      </w:r>
      <w:r w:rsidR="001E0DB7" w:rsidRPr="003F3B94">
        <w:rPr>
          <w:rFonts w:hint="cs"/>
          <w:sz w:val="28"/>
          <w:rtl/>
        </w:rPr>
        <w:t>،</w:t>
      </w:r>
      <w:r w:rsidRPr="003F3B94">
        <w:rPr>
          <w:rFonts w:hint="cs"/>
          <w:sz w:val="28"/>
          <w:rtl/>
        </w:rPr>
        <w:t xml:space="preserve"> أولئك الأئمة ذاتهم الذين أباحوا ذلك الخمس لشيعتهم في أكثر من ثلاثين حديثاً</w:t>
      </w:r>
      <w:r w:rsidR="001E0DB7" w:rsidRPr="003F3B94">
        <w:rPr>
          <w:rFonts w:hint="cs"/>
          <w:sz w:val="28"/>
          <w:rtl/>
        </w:rPr>
        <w:t>،</w:t>
      </w:r>
      <w:r w:rsidRPr="003F3B94">
        <w:rPr>
          <w:rFonts w:hint="cs"/>
          <w:sz w:val="28"/>
          <w:rtl/>
        </w:rPr>
        <w:t xml:space="preserve"> في مقابل ستة أحاديث نسبت إليهم توجب دفع ذلك السهم</w:t>
      </w:r>
      <w:r w:rsidR="00217AB4" w:rsidRPr="003F3B94">
        <w:rPr>
          <w:rFonts w:hint="cs"/>
          <w:sz w:val="28"/>
          <w:rtl/>
        </w:rPr>
        <w:t>.</w:t>
      </w:r>
      <w:r w:rsidR="00147857" w:rsidRPr="003F3B94">
        <w:rPr>
          <w:rFonts w:hint="cs"/>
          <w:sz w:val="28"/>
          <w:rtl/>
        </w:rPr>
        <w:t xml:space="preserve"> </w:t>
      </w:r>
      <w:r w:rsidRPr="003F3B94">
        <w:rPr>
          <w:rFonts w:hint="cs"/>
          <w:sz w:val="28"/>
          <w:rtl/>
        </w:rPr>
        <w:t xml:space="preserve">ثم أفتى بعض الفقهاء </w:t>
      </w:r>
      <w:r w:rsidR="001253D2" w:rsidRPr="003F3B94">
        <w:rPr>
          <w:rFonts w:hint="cs"/>
          <w:sz w:val="28"/>
          <w:rtl/>
        </w:rPr>
        <w:t>ب</w:t>
      </w:r>
      <w:r w:rsidRPr="003F3B94">
        <w:rPr>
          <w:rFonts w:hint="cs"/>
          <w:sz w:val="28"/>
          <w:rtl/>
        </w:rPr>
        <w:t>وجوب ذلك الخمس</w:t>
      </w:r>
      <w:r w:rsidR="001253D2" w:rsidRPr="003F3B94">
        <w:rPr>
          <w:rFonts w:hint="cs"/>
          <w:sz w:val="28"/>
          <w:rtl/>
        </w:rPr>
        <w:t xml:space="preserve"> استنادًا إليها، فصاروا</w:t>
      </w:r>
      <w:r w:rsidRPr="003F3B94">
        <w:rPr>
          <w:rFonts w:hint="cs"/>
          <w:sz w:val="28"/>
          <w:rtl/>
        </w:rPr>
        <w:t xml:space="preserve"> في ذلك </w:t>
      </w:r>
      <w:r w:rsidR="001253D2" w:rsidRPr="003F3B94">
        <w:rPr>
          <w:rFonts w:hint="cs"/>
          <w:sz w:val="28"/>
          <w:rtl/>
        </w:rPr>
        <w:t>ك</w:t>
      </w:r>
      <w:r w:rsidRPr="003F3B94">
        <w:rPr>
          <w:rFonts w:hint="cs"/>
          <w:sz w:val="28"/>
          <w:rtl/>
        </w:rPr>
        <w:t>السارقين المسلحين الذين يأخذون أموال الناس</w:t>
      </w:r>
      <w:r w:rsidR="001253D2" w:rsidRPr="003F3B94">
        <w:rPr>
          <w:rFonts w:hint="cs"/>
          <w:sz w:val="28"/>
          <w:rtl/>
        </w:rPr>
        <w:t>،</w:t>
      </w:r>
      <w:r w:rsidRPr="003F3B94">
        <w:rPr>
          <w:rFonts w:hint="cs"/>
          <w:sz w:val="28"/>
          <w:rtl/>
        </w:rPr>
        <w:t xml:space="preserve"> كما شبه المرحوم كاشف الغطاء التعامل مع سهم الإمام في هذا الزمن بالتعامل مع تلك الأموال بالتعامل مع مال الكافر الحربي الذي يتصرَّف فيه كل شخص كما يشاء</w:t>
      </w:r>
      <w:r w:rsidR="00217AB4" w:rsidRPr="003F3B94">
        <w:rPr>
          <w:rFonts w:hint="cs"/>
          <w:sz w:val="28"/>
          <w:rtl/>
        </w:rPr>
        <w:t>!!</w:t>
      </w:r>
      <w:r w:rsidRPr="003F3B94">
        <w:rPr>
          <w:rFonts w:hint="cs"/>
          <w:sz w:val="28"/>
          <w:rtl/>
        </w:rPr>
        <w:t xml:space="preserve"> إن هذه العقيدة المغالية بل الحمقاء التي تقول إن الأرض وما فيها ملك للإمام كانت مشهورة ومعروفة لدى الغلاة في زمن الأئمة </w:t>
      </w:r>
      <w:r w:rsidR="00963EFD" w:rsidRPr="00963EFD">
        <w:rPr>
          <w:rFonts w:cs="CTraditional Arabic" w:hint="cs"/>
          <w:sz w:val="28"/>
          <w:rtl/>
        </w:rPr>
        <w:t>‡</w:t>
      </w:r>
      <w:r w:rsidRPr="003F3B94">
        <w:rPr>
          <w:rFonts w:hint="cs"/>
          <w:sz w:val="28"/>
          <w:rtl/>
        </w:rPr>
        <w:t xml:space="preserve"> أنفسهم كما جاء في كتاب </w:t>
      </w:r>
      <w:r w:rsidRPr="003F3B94">
        <w:rPr>
          <w:rFonts w:hint="eastAsia"/>
          <w:sz w:val="28"/>
          <w:rtl/>
        </w:rPr>
        <w:t>«</w:t>
      </w:r>
      <w:r w:rsidRPr="003F3B94">
        <w:rPr>
          <w:rFonts w:hint="cs"/>
          <w:sz w:val="28"/>
          <w:rtl/>
        </w:rPr>
        <w:t>مستدرك الوسائل</w:t>
      </w:r>
      <w:r w:rsidRPr="003F3B94">
        <w:rPr>
          <w:rFonts w:hint="eastAsia"/>
          <w:sz w:val="28"/>
          <w:rtl/>
        </w:rPr>
        <w:t>»</w:t>
      </w:r>
      <w:r w:rsidRPr="003F3B94">
        <w:rPr>
          <w:rFonts w:hint="cs"/>
          <w:sz w:val="28"/>
          <w:rtl/>
        </w:rPr>
        <w:t xml:space="preserve"> </w:t>
      </w:r>
      <w:r w:rsidR="00217AB4" w:rsidRPr="003F3B94">
        <w:rPr>
          <w:rFonts w:hint="cs"/>
          <w:sz w:val="28"/>
          <w:rtl/>
        </w:rPr>
        <w:t>(</w:t>
      </w:r>
      <w:r w:rsidRPr="003F3B94">
        <w:rPr>
          <w:rFonts w:hint="cs"/>
          <w:sz w:val="28"/>
          <w:rtl/>
        </w:rPr>
        <w:t>ص555</w:t>
      </w:r>
      <w:r w:rsidR="00217AB4" w:rsidRPr="003F3B94">
        <w:rPr>
          <w:rFonts w:hint="cs"/>
          <w:sz w:val="28"/>
          <w:rtl/>
        </w:rPr>
        <w:t>)</w:t>
      </w:r>
      <w:r w:rsidRPr="003F3B94">
        <w:rPr>
          <w:rFonts w:hint="cs"/>
          <w:sz w:val="28"/>
          <w:rtl/>
        </w:rPr>
        <w:t xml:space="preserve"> نقلاً عن الكافي</w:t>
      </w:r>
      <w:r w:rsidR="00217AB4" w:rsidRPr="003F3B94">
        <w:rPr>
          <w:rFonts w:hint="cs"/>
          <w:sz w:val="28"/>
          <w:rtl/>
        </w:rPr>
        <w:t>:</w:t>
      </w:r>
      <w:r w:rsidRPr="003F3B94">
        <w:rPr>
          <w:rFonts w:hint="cs"/>
          <w:sz w:val="28"/>
          <w:rtl/>
        </w:rPr>
        <w:t xml:space="preserve"> </w:t>
      </w:r>
      <w:r w:rsidR="00EF2588" w:rsidRPr="00394385">
        <w:rPr>
          <w:rFonts w:cs="KFGQPC Uthman Taha Naskh" w:hint="cs"/>
          <w:sz w:val="28"/>
          <w:rtl/>
        </w:rPr>
        <w:t>«</w:t>
      </w:r>
      <w:r w:rsidRPr="00394385">
        <w:rPr>
          <w:rFonts w:cs="KFGQPC Uthman Taha Naskh"/>
          <w:b/>
          <w:bCs/>
          <w:sz w:val="28"/>
          <w:rtl/>
        </w:rPr>
        <w:t>عَلِيُّ بْنُ إِبْرَاهِيمَ عَنِ السَّرِيِّ بْنِ الرَّبِيعِ قَالَ</w:t>
      </w:r>
      <w:r w:rsidR="00217AB4" w:rsidRPr="00394385">
        <w:rPr>
          <w:rFonts w:cs="KFGQPC Uthman Taha Naskh" w:hint="cs"/>
          <w:b/>
          <w:bCs/>
          <w:sz w:val="28"/>
          <w:rtl/>
        </w:rPr>
        <w:t>:</w:t>
      </w:r>
      <w:r w:rsidRPr="00394385">
        <w:rPr>
          <w:rFonts w:cs="KFGQPC Uthman Taha Naskh"/>
          <w:b/>
          <w:bCs/>
          <w:sz w:val="28"/>
          <w:rtl/>
        </w:rPr>
        <w:t xml:space="preserve"> لَمْ يَكُنِ ابْنُ أَبِي عُمَيْرٍ</w:t>
      </w:r>
      <w:r w:rsidRPr="00394385">
        <w:rPr>
          <w:rFonts w:cs="KFGQPC Uthman Taha Naskh" w:hint="cs"/>
          <w:b/>
          <w:bCs/>
          <w:sz w:val="28"/>
          <w:rtl/>
        </w:rPr>
        <w:t xml:space="preserve"> </w:t>
      </w:r>
      <w:r w:rsidRPr="00394385">
        <w:rPr>
          <w:rFonts w:cs="KFGQPC Uthman Taha Naskh"/>
          <w:b/>
          <w:bCs/>
          <w:sz w:val="28"/>
          <w:rtl/>
        </w:rPr>
        <w:t>يَعْدِلُ بِهِشَامِ بْنِ الحَكَمِ شَيْئاً وَكَانَ لَا</w:t>
      </w:r>
      <w:r w:rsidRPr="00394385">
        <w:rPr>
          <w:rFonts w:cs="Times New Roman" w:hint="cs"/>
          <w:b/>
          <w:bCs/>
          <w:sz w:val="28"/>
          <w:rtl/>
        </w:rPr>
        <w:t> </w:t>
      </w:r>
      <w:r w:rsidRPr="00394385">
        <w:rPr>
          <w:rFonts w:cs="KFGQPC Uthman Taha Naskh"/>
          <w:b/>
          <w:bCs/>
          <w:sz w:val="28"/>
          <w:rtl/>
        </w:rPr>
        <w:t>يَغُبُّ إِتْيَانَهُ ثُمَّ انْقَطَعَ عَنْهُ وَخَالَفَهُ</w:t>
      </w:r>
      <w:r w:rsidR="00217AB4" w:rsidRPr="00394385">
        <w:rPr>
          <w:rFonts w:cs="KFGQPC Uthman Taha Naskh" w:hint="cs"/>
          <w:b/>
          <w:bCs/>
          <w:sz w:val="28"/>
          <w:rtl/>
        </w:rPr>
        <w:t>،</w:t>
      </w:r>
      <w:r w:rsidRPr="00394385">
        <w:rPr>
          <w:rFonts w:cs="KFGQPC Uthman Taha Naskh"/>
          <w:b/>
          <w:bCs/>
          <w:sz w:val="28"/>
          <w:rtl/>
        </w:rPr>
        <w:t xml:space="preserve"> وَكَانَ سَبَبُ ذَلِكَ أَنَّ أَبَا مَالِكٍ الحَضْ</w:t>
      </w:r>
      <w:r w:rsidRPr="00394385">
        <w:rPr>
          <w:rFonts w:cs="KFGQPC Uthman Taha Naskh" w:hint="cs"/>
          <w:b/>
          <w:bCs/>
          <w:sz w:val="28"/>
          <w:rtl/>
        </w:rPr>
        <w:t>ـ</w:t>
      </w:r>
      <w:r w:rsidRPr="00394385">
        <w:rPr>
          <w:rFonts w:cs="KFGQPC Uthman Taha Naskh"/>
          <w:b/>
          <w:bCs/>
          <w:sz w:val="28"/>
          <w:rtl/>
        </w:rPr>
        <w:t>رَمِيَّ كَانَ أَحَدَ رِجَالِ هِشَامٍ وَوَقَعَ بَيْنَهُ وَبَيْنَ ابْنِ أَبِي عُمَيْرٍ مُلَاحَاةٌ فِي شَيْ‏ءٍ مِنَ الْإِمَامَةِ</w:t>
      </w:r>
      <w:r w:rsidR="00217AB4" w:rsidRPr="00394385">
        <w:rPr>
          <w:rFonts w:cs="KFGQPC Uthman Taha Naskh" w:hint="cs"/>
          <w:b/>
          <w:bCs/>
          <w:sz w:val="28"/>
          <w:rtl/>
        </w:rPr>
        <w:t>؛</w:t>
      </w:r>
      <w:r w:rsidRPr="00394385">
        <w:rPr>
          <w:rFonts w:cs="KFGQPC Uthman Taha Naskh"/>
          <w:b/>
          <w:bCs/>
          <w:sz w:val="28"/>
          <w:rtl/>
        </w:rPr>
        <w:t xml:space="preserve"> قَالَ ابْنُ أَبِي عُمَيْرٍ</w:t>
      </w:r>
      <w:r w:rsidR="00217AB4" w:rsidRPr="00394385">
        <w:rPr>
          <w:rFonts w:cs="KFGQPC Uthman Taha Naskh" w:hint="cs"/>
          <w:b/>
          <w:bCs/>
          <w:sz w:val="28"/>
          <w:rtl/>
        </w:rPr>
        <w:t>:</w:t>
      </w:r>
      <w:r w:rsidRPr="00394385">
        <w:rPr>
          <w:rFonts w:cs="KFGQPC Uthman Taha Naskh"/>
          <w:b/>
          <w:bCs/>
          <w:sz w:val="28"/>
          <w:rtl/>
        </w:rPr>
        <w:t xml:space="preserve"> </w:t>
      </w:r>
      <w:r w:rsidRPr="00394385">
        <w:rPr>
          <w:rFonts w:cs="KFGQPC Uthman Taha Naskh" w:hint="cs"/>
          <w:b/>
          <w:bCs/>
          <w:sz w:val="28"/>
          <w:rtl/>
        </w:rPr>
        <w:t>"</w:t>
      </w:r>
      <w:r w:rsidRPr="00394385">
        <w:rPr>
          <w:rFonts w:cs="KFGQPC Uthman Taha Naskh"/>
          <w:b/>
          <w:bCs/>
          <w:sz w:val="28"/>
          <w:rtl/>
        </w:rPr>
        <w:t xml:space="preserve">الدُّنْيَا كُلُّهَا لِلْإِمَامِ </w:t>
      </w:r>
      <w:r w:rsidR="00BC4BA9" w:rsidRPr="00BC4BA9">
        <w:rPr>
          <w:rFonts w:cs="CTraditional Arabic" w:hint="cs"/>
          <w:b/>
          <w:sz w:val="28"/>
          <w:rtl/>
        </w:rPr>
        <w:t>÷</w:t>
      </w:r>
      <w:r w:rsidRPr="00394385">
        <w:rPr>
          <w:rFonts w:cs="KFGQPC Uthman Taha Naskh"/>
          <w:b/>
          <w:bCs/>
          <w:sz w:val="28"/>
          <w:rtl/>
        </w:rPr>
        <w:t xml:space="preserve"> عَلَى جِهَةِ الْمِلْكِ وَإِنَّهُ أَوْلَى بِهَا مِنَ الَّذِينَ هِيَ فِي أَيْدِيهِمْ</w:t>
      </w:r>
      <w:r w:rsidRPr="00394385">
        <w:rPr>
          <w:rFonts w:cs="KFGQPC Uthman Taha Naskh" w:hint="cs"/>
          <w:b/>
          <w:bCs/>
          <w:sz w:val="28"/>
          <w:rtl/>
        </w:rPr>
        <w:t>"</w:t>
      </w:r>
      <w:r w:rsidR="00217AB4" w:rsidRPr="00394385">
        <w:rPr>
          <w:rFonts w:cs="KFGQPC Uthman Taha Naskh" w:hint="cs"/>
          <w:b/>
          <w:bCs/>
          <w:sz w:val="28"/>
          <w:rtl/>
        </w:rPr>
        <w:t>.</w:t>
      </w:r>
      <w:r w:rsidRPr="00394385">
        <w:rPr>
          <w:rFonts w:cs="KFGQPC Uthman Taha Naskh"/>
          <w:b/>
          <w:bCs/>
          <w:sz w:val="28"/>
          <w:rtl/>
        </w:rPr>
        <w:t xml:space="preserve"> وَقَالَ أَبُو مَالِكٍ</w:t>
      </w:r>
      <w:r w:rsidR="00217AB4" w:rsidRPr="00394385">
        <w:rPr>
          <w:rFonts w:cs="KFGQPC Uthman Taha Naskh" w:hint="cs"/>
          <w:b/>
          <w:bCs/>
          <w:sz w:val="28"/>
          <w:rtl/>
        </w:rPr>
        <w:t>:</w:t>
      </w:r>
      <w:r w:rsidRPr="00394385">
        <w:rPr>
          <w:rFonts w:cs="KFGQPC Uthman Taha Naskh"/>
          <w:b/>
          <w:bCs/>
          <w:sz w:val="28"/>
          <w:rtl/>
        </w:rPr>
        <w:t xml:space="preserve"> </w:t>
      </w:r>
      <w:r w:rsidRPr="00394385">
        <w:rPr>
          <w:rFonts w:cs="KFGQPC Uthman Taha Naskh" w:hint="cs"/>
          <w:b/>
          <w:bCs/>
          <w:sz w:val="28"/>
          <w:rtl/>
        </w:rPr>
        <w:t>"</w:t>
      </w:r>
      <w:r w:rsidRPr="00394385">
        <w:rPr>
          <w:rFonts w:cs="KFGQPC Uthman Taha Naskh"/>
          <w:b/>
          <w:bCs/>
          <w:sz w:val="28"/>
          <w:rtl/>
        </w:rPr>
        <w:t>لَيْسَ كَذَلِكَ أَمْلَاكُ النَّاسِ ل</w:t>
      </w:r>
      <w:r w:rsidRPr="00394385">
        <w:rPr>
          <w:rFonts w:cs="KFGQPC Uthman Taha Naskh" w:hint="cs"/>
          <w:b/>
          <w:bCs/>
          <w:sz w:val="28"/>
          <w:rtl/>
        </w:rPr>
        <w:t>َـ</w:t>
      </w:r>
      <w:r w:rsidRPr="00394385">
        <w:rPr>
          <w:rFonts w:cs="KFGQPC Uthman Taha Naskh"/>
          <w:b/>
          <w:bCs/>
          <w:sz w:val="28"/>
          <w:rtl/>
        </w:rPr>
        <w:t>هُمْ إِلَّا مَا حَكَمَ اللهُ بِهِ لِلْإِمَامِ مِنَ الْفَيْ‏ءِ وَالخُمُسِ وَالمَغْنَمِ فَذَلِكَ لَهُ وَذَلِكَ أَيْضاً قَدْ بَيَّنَ اللهُ لِلْإِمَامِ أَيْنَ يَضَعُهُ وَكَيْفَ يَصْنَعُ بِهِ</w:t>
      </w:r>
      <w:r w:rsidRPr="00394385">
        <w:rPr>
          <w:rFonts w:cs="KFGQPC Uthman Taha Naskh" w:hint="cs"/>
          <w:b/>
          <w:bCs/>
          <w:sz w:val="28"/>
          <w:rtl/>
        </w:rPr>
        <w:t>"</w:t>
      </w:r>
      <w:r w:rsidR="00217AB4" w:rsidRPr="00394385">
        <w:rPr>
          <w:rFonts w:cs="KFGQPC Uthman Taha Naskh" w:hint="cs"/>
          <w:b/>
          <w:bCs/>
          <w:sz w:val="28"/>
          <w:rtl/>
        </w:rPr>
        <w:t>.</w:t>
      </w:r>
      <w:r w:rsidRPr="00394385">
        <w:rPr>
          <w:rFonts w:cs="KFGQPC Uthman Taha Naskh"/>
          <w:b/>
          <w:bCs/>
          <w:sz w:val="28"/>
          <w:rtl/>
        </w:rPr>
        <w:t xml:space="preserve"> فَتَرَاضَيَا بِهِشَامِ بْنِ الحَكَمِ وَصَارَا إِلَيْهِ</w:t>
      </w:r>
      <w:r w:rsidR="00217AB4" w:rsidRPr="00394385">
        <w:rPr>
          <w:rFonts w:cs="KFGQPC Uthman Taha Naskh" w:hint="cs"/>
          <w:b/>
          <w:bCs/>
          <w:sz w:val="28"/>
          <w:rtl/>
        </w:rPr>
        <w:t>،</w:t>
      </w:r>
      <w:r w:rsidRPr="00394385">
        <w:rPr>
          <w:rFonts w:cs="KFGQPC Uthman Taha Naskh"/>
          <w:b/>
          <w:bCs/>
          <w:sz w:val="28"/>
          <w:rtl/>
        </w:rPr>
        <w:t xml:space="preserve"> فَحَكَمَ هِشَامٌ لِأَبِي مَالِكٍ عَلَى ابْنِ أَبِي عُمَيْرٍ فَغَضِبَ ابْنُ أَبِي عُمَيْرٍ وَهَجَرَ هِشَاماً بَعْدَ ذَلِكَ</w:t>
      </w:r>
      <w:r w:rsidR="00EF2588" w:rsidRPr="00394385">
        <w:rPr>
          <w:rFonts w:cs="KFGQPC Uthman Taha Naskh" w:hint="cs"/>
          <w:sz w:val="28"/>
          <w:rtl/>
        </w:rPr>
        <w:t>»</w:t>
      </w:r>
      <w:r w:rsidR="00217AB4" w:rsidRPr="0021507A">
        <w:rPr>
          <w:rFonts w:cs="Arabic11 BT"/>
          <w:b/>
          <w:sz w:val="28"/>
          <w:vertAlign w:val="superscript"/>
          <w:rtl/>
        </w:rPr>
        <w:t>(</w:t>
      </w:r>
      <w:r w:rsidRPr="0021507A">
        <w:rPr>
          <w:rStyle w:val="FootnoteReference"/>
          <w:rFonts w:cs="Arabic11 BT"/>
          <w:b/>
          <w:sz w:val="28"/>
          <w:rtl/>
        </w:rPr>
        <w:footnoteReference w:id="371"/>
      </w:r>
      <w:r w:rsidR="00217AB4" w:rsidRPr="0021507A">
        <w:rPr>
          <w:rFonts w:cs="Arabic11 BT"/>
          <w:b/>
          <w:sz w:val="28"/>
          <w:vertAlign w:val="superscript"/>
          <w:rtl/>
        </w:rPr>
        <w:t>)</w:t>
      </w:r>
      <w:r w:rsidR="00217AB4" w:rsidRPr="003F3B94">
        <w:rPr>
          <w:rFonts w:hint="cs"/>
          <w:sz w:val="28"/>
          <w:rtl/>
        </w:rPr>
        <w:t>.</w:t>
      </w:r>
      <w:r w:rsidRPr="003F3B94">
        <w:rPr>
          <w:sz w:val="28"/>
          <w:rtl/>
        </w:rPr>
        <w:t xml:space="preserve"> </w:t>
      </w:r>
    </w:p>
    <w:p w:rsidR="005C664D" w:rsidRPr="003F3B94" w:rsidRDefault="005C664D" w:rsidP="003F3B94">
      <w:pPr>
        <w:pStyle w:val="a0"/>
        <w:rPr>
          <w:rFonts w:hint="cs"/>
          <w:rtl/>
        </w:rPr>
      </w:pPr>
      <w:r w:rsidRPr="003F3B94">
        <w:rPr>
          <w:rFonts w:hint="cs"/>
          <w:sz w:val="28"/>
          <w:rtl/>
        </w:rPr>
        <w:t xml:space="preserve"> ومثل هذه العقائد الشركية والحمقاء كانت شائعة في ذلك الزمن حيث أوجدتها فرقة الناووسية وجماعة الخطابية وأمثالهما الذين لم يعتبروا الأئمة مالكي الأرض وما فيها فحسب بل اعتبروهم إله السموات والأرض</w:t>
      </w:r>
      <w:r w:rsidR="00217AB4" w:rsidRPr="003F3B94">
        <w:rPr>
          <w:rFonts w:hint="cs"/>
          <w:sz w:val="28"/>
          <w:rtl/>
        </w:rPr>
        <w:t>.</w:t>
      </w:r>
      <w:r w:rsidRPr="003F3B94">
        <w:rPr>
          <w:rFonts w:hint="cs"/>
          <w:sz w:val="28"/>
          <w:rtl/>
        </w:rPr>
        <w:t xml:space="preserve"> </w:t>
      </w:r>
    </w:p>
    <w:p w:rsidR="005C664D" w:rsidRPr="003F3B94" w:rsidRDefault="005C664D" w:rsidP="003F3B94">
      <w:pPr>
        <w:pStyle w:val="a0"/>
        <w:rPr>
          <w:rFonts w:hint="cs"/>
          <w:rtl/>
        </w:rPr>
      </w:pPr>
      <w:r w:rsidRPr="003F3B94">
        <w:rPr>
          <w:rFonts w:hint="cs"/>
          <w:sz w:val="28"/>
          <w:rtl/>
        </w:rPr>
        <w:t>لعنة الله عليهم أبد الآبدين ودهر الداهرين</w:t>
      </w:r>
      <w:r w:rsidR="00217AB4" w:rsidRPr="003F3B94">
        <w:rPr>
          <w:rFonts w:hint="cs"/>
          <w:sz w:val="28"/>
          <w:rtl/>
        </w:rPr>
        <w:t>.</w:t>
      </w:r>
      <w:r w:rsidRPr="003F3B94">
        <w:rPr>
          <w:rFonts w:hint="cs"/>
          <w:sz w:val="28"/>
          <w:rtl/>
        </w:rPr>
        <w:t xml:space="preserve"> وهي عين العقائد السخيفة التي بقيت حتى اليوم مع فارق أن ضرر مثل هذه العقائد كان أقل في ذلك الزمن من ضررها اليوم لأنه في ذلكم الزمن كان الأئمة أحياء وكانوا يحاربون تلك العقائد أو على الأقل لم يكونوا يدعون أحداً يأخذ أموال الناس بغير حق باسمهم ولا كانوا هم يأخذون تلك الأموال</w:t>
      </w:r>
      <w:r w:rsidR="001E0DB7" w:rsidRPr="003F3B94">
        <w:rPr>
          <w:rFonts w:hint="cs"/>
          <w:sz w:val="28"/>
          <w:rtl/>
        </w:rPr>
        <w:t>،</w:t>
      </w:r>
      <w:r w:rsidRPr="003F3B94">
        <w:rPr>
          <w:rFonts w:hint="cs"/>
          <w:sz w:val="28"/>
          <w:rtl/>
        </w:rPr>
        <w:t xml:space="preserve"> أما اليوم فأهل التحقيق يعلمون ماذا يفعلون مع الناس من خلال نشر مثل هذه العقائد</w:t>
      </w:r>
      <w:r w:rsidR="00217AB4" w:rsidRPr="003F3B94">
        <w:rPr>
          <w:rFonts w:hint="cs"/>
          <w:sz w:val="28"/>
          <w:rtl/>
        </w:rPr>
        <w:t>؟!</w:t>
      </w:r>
    </w:p>
    <w:p w:rsidR="00542D29" w:rsidRPr="00995B26" w:rsidRDefault="00542D29" w:rsidP="007D2B8A">
      <w:pPr>
        <w:pStyle w:val="a5"/>
        <w:rPr>
          <w:rFonts w:hint="cs"/>
          <w:rtl/>
        </w:rPr>
      </w:pPr>
      <w:bookmarkStart w:id="118" w:name="_Toc387843089"/>
      <w:r w:rsidRPr="00995B26">
        <w:rPr>
          <w:rFonts w:hint="cs"/>
          <w:rtl/>
        </w:rPr>
        <w:t>4- تمحيص أسانيد ومتون أحاديث «مصباح الفقيه»</w:t>
      </w:r>
      <w:bookmarkEnd w:id="118"/>
    </w:p>
    <w:p w:rsidR="005C664D" w:rsidRPr="003F3B94" w:rsidRDefault="005C664D" w:rsidP="003F3B94">
      <w:pPr>
        <w:pStyle w:val="a0"/>
        <w:rPr>
          <w:rFonts w:hint="cs"/>
          <w:rtl/>
          <w:lang w:bidi="ar-SY"/>
        </w:rPr>
      </w:pPr>
      <w:r w:rsidRPr="003F3B94">
        <w:rPr>
          <w:rFonts w:hint="cs"/>
          <w:sz w:val="28"/>
          <w:rtl/>
        </w:rPr>
        <w:t>1</w:t>
      </w:r>
      <w:r w:rsidR="00217AB4" w:rsidRPr="003F3B94">
        <w:rPr>
          <w:rFonts w:hint="cs"/>
          <w:sz w:val="28"/>
          <w:rtl/>
        </w:rPr>
        <w:t>-</w:t>
      </w:r>
      <w:r w:rsidRPr="003F3B94">
        <w:rPr>
          <w:rFonts w:hint="cs"/>
          <w:sz w:val="28"/>
          <w:rtl/>
        </w:rPr>
        <w:t xml:space="preserve"> أول حديث استند إليه السيد الهمداني في هذا الباب حديثٌ رواه </w:t>
      </w:r>
      <w:r w:rsidRPr="003F3B94">
        <w:rPr>
          <w:rFonts w:ascii="Abo-thar" w:hAnsi="Abo-thar" w:hint="cs"/>
          <w:sz w:val="28"/>
          <w:rtl/>
        </w:rPr>
        <w:t xml:space="preserve">الكُلَيْنِيّ في </w:t>
      </w:r>
      <w:r w:rsidRPr="003F3B94">
        <w:rPr>
          <w:rFonts w:ascii="Abo-thar" w:hAnsi="Abo-thar"/>
          <w:sz w:val="28"/>
          <w:rtl/>
        </w:rPr>
        <w:t>«</w:t>
      </w:r>
      <w:r w:rsidRPr="003F3B94">
        <w:rPr>
          <w:rFonts w:ascii="Abo-thar" w:hAnsi="Abo-thar" w:hint="cs"/>
          <w:sz w:val="28"/>
          <w:rtl/>
        </w:rPr>
        <w:t>الكافي</w:t>
      </w:r>
      <w:r w:rsidRPr="003F3B94">
        <w:rPr>
          <w:rFonts w:ascii="Abo-thar" w:hAnsi="Abo-thar"/>
          <w:sz w:val="28"/>
          <w:rtl/>
        </w:rPr>
        <w:t>»</w:t>
      </w:r>
      <w:r w:rsidRPr="003F3B94">
        <w:rPr>
          <w:rFonts w:ascii="Abo-thar" w:hAnsi="Abo-thar" w:hint="cs"/>
          <w:sz w:val="28"/>
          <w:rtl/>
        </w:rPr>
        <w:t xml:space="preserve"> </w:t>
      </w:r>
      <w:r w:rsidRPr="003F3B94">
        <w:rPr>
          <w:rFonts w:hint="cs"/>
          <w:sz w:val="28"/>
          <w:rtl/>
        </w:rPr>
        <w:t>بالسند التالي</w:t>
      </w:r>
      <w:r w:rsidR="00217AB4" w:rsidRPr="003F3B94">
        <w:rPr>
          <w:rFonts w:hint="cs"/>
          <w:sz w:val="28"/>
          <w:rtl/>
        </w:rPr>
        <w:t>:</w:t>
      </w:r>
      <w:r w:rsidRPr="003F3B94">
        <w:rPr>
          <w:rFonts w:hint="cs"/>
          <w:sz w:val="28"/>
          <w:rtl/>
        </w:rPr>
        <w:t xml:space="preserve"> </w:t>
      </w:r>
      <w:r w:rsidR="00EF2588" w:rsidRPr="003F3B94">
        <w:rPr>
          <w:rFonts w:hint="cs"/>
          <w:sz w:val="28"/>
          <w:rtl/>
        </w:rPr>
        <w:t>«</w:t>
      </w:r>
      <w:r w:rsidRPr="003F3B94">
        <w:rPr>
          <w:rFonts w:hint="cs"/>
          <w:b/>
          <w:bCs/>
          <w:sz w:val="28"/>
          <w:rtl/>
        </w:rPr>
        <w:t>م</w:t>
      </w:r>
      <w:r w:rsidRPr="003F3B94">
        <w:rPr>
          <w:b/>
          <w:bCs/>
          <w:sz w:val="28"/>
          <w:rtl/>
        </w:rPr>
        <w:t xml:space="preserve">ُحَمَّدُ بْنُ يَحْيَى عَنْ مُحَمَّدِ بْنِ أَحْمَدَ عَنْ أَبِي عَبْدِ اللهِ الرَّازِيِّ عَنِ الحَسَنِ بْنِ عَلِيِّ بْنِ أَبِي حَمْزَةَ عَنْ أَبِيهِ عَنْ أَبِي بَصِيرٍ عَنْ أَبِي عَبْدِ اللهِ </w:t>
      </w:r>
      <w:r w:rsidR="00BC4BA9" w:rsidRPr="00BC4BA9">
        <w:rPr>
          <w:rFonts w:cs="CTraditional Arabic"/>
          <w:b/>
          <w:sz w:val="28"/>
          <w:rtl/>
        </w:rPr>
        <w:t>÷</w:t>
      </w:r>
      <w:r w:rsidRPr="003F3B94">
        <w:rPr>
          <w:b/>
          <w:bCs/>
          <w:sz w:val="28"/>
          <w:rtl/>
        </w:rPr>
        <w:t xml:space="preserve"> قَال</w:t>
      </w:r>
      <w:r w:rsidRPr="003F3B94">
        <w:rPr>
          <w:sz w:val="28"/>
          <w:rtl/>
        </w:rPr>
        <w:t>‏</w:t>
      </w:r>
      <w:r w:rsidR="00217AB4" w:rsidRPr="003F3B94">
        <w:rPr>
          <w:rFonts w:hint="cs"/>
          <w:sz w:val="28"/>
          <w:rtl/>
        </w:rPr>
        <w:t>..</w:t>
      </w:r>
      <w:r w:rsidR="00EF2588" w:rsidRPr="003F3B94">
        <w:rPr>
          <w:rFonts w:hint="cs"/>
          <w:sz w:val="28"/>
          <w:rtl/>
        </w:rPr>
        <w:t>»</w:t>
      </w:r>
      <w:r w:rsidR="00217AB4" w:rsidRPr="003F3B94">
        <w:rPr>
          <w:rFonts w:hint="cs"/>
          <w:sz w:val="28"/>
          <w:rtl/>
        </w:rPr>
        <w:t>.</w:t>
      </w:r>
    </w:p>
    <w:p w:rsidR="005C664D" w:rsidRPr="00995B26" w:rsidRDefault="005C664D" w:rsidP="003C671C">
      <w:pPr>
        <w:pStyle w:val="a6"/>
        <w:rPr>
          <w:rFonts w:hint="cs"/>
          <w:rtl/>
        </w:rPr>
      </w:pPr>
      <w:bookmarkStart w:id="119" w:name="_Toc215491155"/>
      <w:bookmarkStart w:id="120" w:name="_Toc215498074"/>
      <w:bookmarkStart w:id="121" w:name="_Toc387843090"/>
      <w:r w:rsidRPr="00995B26">
        <w:rPr>
          <w:rFonts w:hint="cs"/>
          <w:rtl/>
        </w:rPr>
        <w:t>سند الحديث الأول</w:t>
      </w:r>
      <w:r w:rsidR="00217AB4" w:rsidRPr="00995B26">
        <w:rPr>
          <w:rFonts w:hint="cs"/>
          <w:rtl/>
        </w:rPr>
        <w:t>:</w:t>
      </w:r>
      <w:bookmarkEnd w:id="119"/>
      <w:bookmarkEnd w:id="120"/>
      <w:bookmarkEnd w:id="121"/>
    </w:p>
    <w:p w:rsidR="005C664D" w:rsidRPr="003F3B94" w:rsidRDefault="005C664D" w:rsidP="003F3B94">
      <w:pPr>
        <w:pStyle w:val="a0"/>
        <w:rPr>
          <w:rFonts w:hint="cs"/>
          <w:rtl/>
        </w:rPr>
      </w:pPr>
      <w:r w:rsidRPr="003F3B94">
        <w:rPr>
          <w:rFonts w:hint="cs"/>
          <w:sz w:val="28"/>
          <w:rtl/>
          <w:lang w:bidi="ar-SY"/>
        </w:rPr>
        <w:t>و سنصرف النظر عن البحث في أحوال «م</w:t>
      </w:r>
      <w:r w:rsidRPr="003F3B94">
        <w:rPr>
          <w:sz w:val="28"/>
          <w:rtl/>
          <w:lang w:bidi="ar-SY"/>
        </w:rPr>
        <w:t>ُحَمَّد</w:t>
      </w:r>
      <w:r w:rsidRPr="003F3B94">
        <w:rPr>
          <w:rFonts w:hint="cs"/>
          <w:sz w:val="28"/>
          <w:rtl/>
          <w:lang w:bidi="ar-SY"/>
        </w:rPr>
        <w:t>ِ</w:t>
      </w:r>
      <w:r w:rsidRPr="003F3B94">
        <w:rPr>
          <w:sz w:val="28"/>
          <w:rtl/>
          <w:lang w:bidi="ar-SY"/>
        </w:rPr>
        <w:t xml:space="preserve"> بْن</w:t>
      </w:r>
      <w:r w:rsidRPr="003F3B94">
        <w:rPr>
          <w:rFonts w:hint="cs"/>
          <w:sz w:val="28"/>
          <w:rtl/>
          <w:lang w:bidi="ar-SY"/>
        </w:rPr>
        <w:t>ِ</w:t>
      </w:r>
      <w:r w:rsidRPr="003F3B94">
        <w:rPr>
          <w:sz w:val="28"/>
          <w:rtl/>
          <w:lang w:bidi="ar-SY"/>
        </w:rPr>
        <w:t xml:space="preserve"> يَحْيَى</w:t>
      </w:r>
      <w:r w:rsidRPr="003F3B94">
        <w:rPr>
          <w:rFonts w:hint="cs"/>
          <w:sz w:val="28"/>
          <w:rtl/>
          <w:lang w:bidi="ar-SY"/>
        </w:rPr>
        <w:t>» و</w:t>
      </w:r>
      <w:r w:rsidRPr="003F3B94">
        <w:rPr>
          <w:sz w:val="28"/>
          <w:rtl/>
          <w:lang w:bidi="ar-SY"/>
        </w:rPr>
        <w:t>«مُحَمَّدِ بْنِ أَحْمَدَ»</w:t>
      </w:r>
      <w:r w:rsidRPr="003F3B94">
        <w:rPr>
          <w:rFonts w:hint="cs"/>
          <w:sz w:val="28"/>
          <w:rtl/>
          <w:lang w:bidi="ar-SY"/>
        </w:rPr>
        <w:t xml:space="preserve"> لأنهما مجهولان</w:t>
      </w:r>
      <w:r w:rsidR="00217AB4" w:rsidRPr="003F3B94">
        <w:rPr>
          <w:rFonts w:hint="cs"/>
          <w:sz w:val="28"/>
          <w:rtl/>
          <w:lang w:bidi="ar-SY"/>
        </w:rPr>
        <w:t>،</w:t>
      </w:r>
      <w:r w:rsidRPr="003F3B94">
        <w:rPr>
          <w:rFonts w:hint="cs"/>
          <w:sz w:val="28"/>
          <w:rtl/>
          <w:lang w:bidi="ar-SY"/>
        </w:rPr>
        <w:t xml:space="preserve"> ونقتصر على بحث حال </w:t>
      </w:r>
      <w:r w:rsidRPr="003F3B94">
        <w:rPr>
          <w:rFonts w:ascii="Abo-thar" w:hAnsi="Abo-thar"/>
          <w:sz w:val="28"/>
          <w:rtl/>
          <w:lang w:bidi="ar-SY"/>
        </w:rPr>
        <w:t>«</w:t>
      </w:r>
      <w:r w:rsidRPr="003F3B94">
        <w:rPr>
          <w:b/>
          <w:bCs/>
          <w:sz w:val="28"/>
          <w:rtl/>
          <w:lang w:bidi="ar-SY"/>
        </w:rPr>
        <w:t>أَبِي عَبْدِ اللهِ الرَّازِيِّ</w:t>
      </w:r>
      <w:r w:rsidRPr="003F3B94">
        <w:rPr>
          <w:rFonts w:ascii="Abo-thar" w:hAnsi="Abo-thar"/>
          <w:sz w:val="28"/>
          <w:rtl/>
          <w:lang w:bidi="ar-SY"/>
        </w:rPr>
        <w:t>»</w:t>
      </w:r>
    </w:p>
    <w:p w:rsidR="005C664D" w:rsidRPr="003F3B94" w:rsidRDefault="005C664D" w:rsidP="00F82D5E">
      <w:pPr>
        <w:pStyle w:val="a0"/>
        <w:ind w:left="624" w:hanging="340"/>
        <w:rPr>
          <w:rFonts w:hint="cs"/>
          <w:rtl/>
        </w:rPr>
      </w:pPr>
      <w:r w:rsidRPr="003F3B94">
        <w:rPr>
          <w:rFonts w:hint="cs"/>
          <w:sz w:val="28"/>
          <w:rtl/>
        </w:rPr>
        <w:t>ألف</w:t>
      </w:r>
      <w:r w:rsidR="00217AB4" w:rsidRPr="003F3B94">
        <w:rPr>
          <w:rFonts w:hint="cs"/>
          <w:sz w:val="28"/>
          <w:rtl/>
        </w:rPr>
        <w:t>-</w:t>
      </w:r>
      <w:r w:rsidRPr="003F3B94">
        <w:rPr>
          <w:rFonts w:hint="cs"/>
          <w:sz w:val="28"/>
          <w:rtl/>
        </w:rPr>
        <w:t xml:space="preserve"> قال عنه </w:t>
      </w:r>
      <w:r w:rsidRPr="003F3B94">
        <w:rPr>
          <w:rFonts w:ascii="Abo-thar" w:hAnsi="Abo-thar" w:hint="cs"/>
          <w:sz w:val="28"/>
          <w:rtl/>
        </w:rPr>
        <w:t>ابن الغضائري</w:t>
      </w:r>
      <w:r w:rsidR="00217AB4" w:rsidRPr="003F3B94">
        <w:rPr>
          <w:rFonts w:hint="cs"/>
          <w:sz w:val="28"/>
          <w:rtl/>
        </w:rPr>
        <w:t>:</w:t>
      </w:r>
      <w:r w:rsidR="00147857" w:rsidRPr="003F3B94">
        <w:rPr>
          <w:rFonts w:hint="cs"/>
          <w:sz w:val="28"/>
          <w:rtl/>
        </w:rPr>
        <w:t xml:space="preserve"> </w:t>
      </w:r>
      <w:r w:rsidR="00EF2588" w:rsidRPr="003F3B94">
        <w:rPr>
          <w:rFonts w:hint="cs"/>
          <w:sz w:val="28"/>
          <w:rtl/>
        </w:rPr>
        <w:t>«</w:t>
      </w:r>
      <w:r w:rsidRPr="003F3B94">
        <w:rPr>
          <w:rFonts w:hint="cs"/>
          <w:b/>
          <w:bCs/>
          <w:sz w:val="28"/>
          <w:rtl/>
        </w:rPr>
        <w:t>م</w:t>
      </w:r>
      <w:r w:rsidRPr="003F3B94">
        <w:rPr>
          <w:b/>
          <w:bCs/>
          <w:sz w:val="28"/>
          <w:rtl/>
        </w:rPr>
        <w:t>حمد بن أحمد الجاموراني</w:t>
      </w:r>
      <w:r w:rsidR="00217AB4" w:rsidRPr="003F3B94">
        <w:rPr>
          <w:rFonts w:hint="cs"/>
          <w:b/>
          <w:bCs/>
          <w:sz w:val="28"/>
          <w:rtl/>
        </w:rPr>
        <w:t>:</w:t>
      </w:r>
      <w:r w:rsidRPr="003F3B94">
        <w:rPr>
          <w:rFonts w:hint="cs"/>
          <w:b/>
          <w:bCs/>
          <w:sz w:val="28"/>
          <w:rtl/>
        </w:rPr>
        <w:t xml:space="preserve"> </w:t>
      </w:r>
      <w:r w:rsidRPr="003F3B94">
        <w:rPr>
          <w:b/>
          <w:bCs/>
          <w:sz w:val="28"/>
          <w:rtl/>
        </w:rPr>
        <w:t>أبو عبد الله الرازي ضع</w:t>
      </w:r>
      <w:r w:rsidRPr="003F3B94">
        <w:rPr>
          <w:rFonts w:hint="cs"/>
          <w:b/>
          <w:bCs/>
          <w:sz w:val="28"/>
          <w:rtl/>
        </w:rPr>
        <w:t>َّ</w:t>
      </w:r>
      <w:r w:rsidRPr="003F3B94">
        <w:rPr>
          <w:b/>
          <w:bCs/>
          <w:sz w:val="28"/>
          <w:rtl/>
        </w:rPr>
        <w:t>فه القم</w:t>
      </w:r>
      <w:r w:rsidRPr="003F3B94">
        <w:rPr>
          <w:rFonts w:hint="cs"/>
          <w:b/>
          <w:bCs/>
          <w:sz w:val="28"/>
          <w:rtl/>
        </w:rPr>
        <w:t>ِّ</w:t>
      </w:r>
      <w:r w:rsidRPr="003F3B94">
        <w:rPr>
          <w:b/>
          <w:bCs/>
          <w:sz w:val="28"/>
          <w:rtl/>
        </w:rPr>
        <w:t>ي</w:t>
      </w:r>
      <w:r w:rsidRPr="003F3B94">
        <w:rPr>
          <w:rFonts w:hint="cs"/>
          <w:b/>
          <w:bCs/>
          <w:sz w:val="28"/>
          <w:rtl/>
        </w:rPr>
        <w:t>ُّ</w:t>
      </w:r>
      <w:r w:rsidRPr="003F3B94">
        <w:rPr>
          <w:b/>
          <w:bCs/>
          <w:sz w:val="28"/>
          <w:rtl/>
        </w:rPr>
        <w:t>ون واستثنوا من كتاب نوادر الحكمة ما رواه</w:t>
      </w:r>
      <w:r w:rsidR="00217AB4" w:rsidRPr="003F3B94">
        <w:rPr>
          <w:b/>
          <w:bCs/>
          <w:sz w:val="28"/>
          <w:rtl/>
        </w:rPr>
        <w:t>،</w:t>
      </w:r>
      <w:r w:rsidRPr="003F3B94">
        <w:rPr>
          <w:b/>
          <w:bCs/>
          <w:sz w:val="28"/>
          <w:rtl/>
        </w:rPr>
        <w:t xml:space="preserve"> وفي مذهبه ارتفاع</w:t>
      </w:r>
      <w:r w:rsidR="00EF2588" w:rsidRPr="003F3B94">
        <w:rPr>
          <w:rFonts w:hint="cs"/>
          <w:sz w:val="28"/>
          <w:rtl/>
        </w:rPr>
        <w:t>»</w:t>
      </w:r>
      <w:r w:rsidR="00F51ADA" w:rsidRPr="0021507A">
        <w:rPr>
          <w:rFonts w:cs="Arabic11 BT"/>
          <w:sz w:val="28"/>
          <w:vertAlign w:val="superscript"/>
          <w:rtl/>
        </w:rPr>
        <w:t>(</w:t>
      </w:r>
      <w:r w:rsidR="00F51ADA" w:rsidRPr="0021507A">
        <w:rPr>
          <w:rStyle w:val="FootnoteReference"/>
          <w:rFonts w:cs="Arabic11 BT"/>
          <w:sz w:val="28"/>
          <w:rtl/>
        </w:rPr>
        <w:footnoteReference w:id="372"/>
      </w:r>
      <w:r w:rsidR="00F51ADA" w:rsidRPr="0021507A">
        <w:rPr>
          <w:rFonts w:cs="Arabic11 BT"/>
          <w:sz w:val="28"/>
          <w:vertAlign w:val="superscript"/>
          <w:rtl/>
        </w:rPr>
        <w:t>)</w:t>
      </w:r>
      <w:r w:rsidR="00217AB4" w:rsidRPr="003F3B94">
        <w:rPr>
          <w:rFonts w:hint="cs"/>
          <w:sz w:val="28"/>
          <w:rtl/>
        </w:rPr>
        <w:t>.</w:t>
      </w:r>
    </w:p>
    <w:p w:rsidR="005C664D" w:rsidRPr="003F3B94" w:rsidRDefault="005C664D" w:rsidP="00F82D5E">
      <w:pPr>
        <w:pStyle w:val="a0"/>
        <w:ind w:left="624" w:hanging="340"/>
        <w:rPr>
          <w:rFonts w:hint="cs"/>
          <w:rtl/>
          <w:lang w:bidi="ar-SY"/>
        </w:rPr>
      </w:pPr>
      <w:r w:rsidRPr="003F3B94">
        <w:rPr>
          <w:rFonts w:hint="cs"/>
          <w:sz w:val="28"/>
          <w:rtl/>
        </w:rPr>
        <w:t>ب</w:t>
      </w:r>
      <w:r w:rsidR="00217AB4" w:rsidRPr="003F3B94">
        <w:rPr>
          <w:rFonts w:hint="cs"/>
          <w:sz w:val="28"/>
          <w:rtl/>
        </w:rPr>
        <w:t>-</w:t>
      </w:r>
      <w:r w:rsidRPr="003F3B94">
        <w:rPr>
          <w:rFonts w:hint="cs"/>
          <w:sz w:val="28"/>
          <w:rtl/>
        </w:rPr>
        <w:t xml:space="preserve"> وكرَّر العلامة الحلّيّ في</w:t>
      </w:r>
      <w:r w:rsidRPr="003F3B94">
        <w:rPr>
          <w:sz w:val="28"/>
          <w:rtl/>
        </w:rPr>
        <w:t xml:space="preserve"> </w:t>
      </w:r>
      <w:r w:rsidRPr="003F3B94">
        <w:rPr>
          <w:rFonts w:ascii="Abo-thar" w:hAnsi="Abo-thar"/>
          <w:sz w:val="28"/>
          <w:rtl/>
        </w:rPr>
        <w:t>«</w:t>
      </w:r>
      <w:r w:rsidRPr="003F3B94">
        <w:rPr>
          <w:rFonts w:ascii="Abo-thar" w:hAnsi="Abo-thar" w:hint="cs"/>
          <w:sz w:val="28"/>
          <w:rtl/>
        </w:rPr>
        <w:t>الخلاصة</w:t>
      </w:r>
      <w:r w:rsidRPr="003F3B94">
        <w:rPr>
          <w:rFonts w:ascii="Abo-thar" w:hAnsi="Abo-thar"/>
          <w:sz w:val="28"/>
          <w:rtl/>
        </w:rPr>
        <w:t>»</w:t>
      </w:r>
      <w:r w:rsidRPr="003F3B94">
        <w:rPr>
          <w:rFonts w:ascii="Abo-thar" w:hAnsi="Abo-thar" w:hint="cs"/>
          <w:sz w:val="28"/>
          <w:rtl/>
        </w:rPr>
        <w:t xml:space="preserve"> </w:t>
      </w:r>
      <w:r w:rsidRPr="003F3B94">
        <w:rPr>
          <w:rFonts w:hint="cs"/>
          <w:sz w:val="28"/>
          <w:rtl/>
        </w:rPr>
        <w:t xml:space="preserve">كلام </w:t>
      </w:r>
      <w:r w:rsidRPr="003F3B94">
        <w:rPr>
          <w:rFonts w:ascii="Abo-thar" w:hAnsi="Abo-thar" w:hint="cs"/>
          <w:sz w:val="28"/>
          <w:rtl/>
        </w:rPr>
        <w:t xml:space="preserve">ابن الغضائري </w:t>
      </w:r>
      <w:r w:rsidRPr="003F3B94">
        <w:rPr>
          <w:rFonts w:hint="cs"/>
          <w:sz w:val="28"/>
          <w:rtl/>
        </w:rPr>
        <w:t>عينه</w:t>
      </w:r>
      <w:r w:rsidR="00217AB4" w:rsidRPr="003F3B94">
        <w:rPr>
          <w:rFonts w:hint="cs"/>
          <w:sz w:val="28"/>
          <w:rtl/>
        </w:rPr>
        <w:t>.</w:t>
      </w:r>
    </w:p>
    <w:p w:rsidR="005C664D" w:rsidRPr="003F3B94" w:rsidRDefault="005C664D" w:rsidP="00F82D5E">
      <w:pPr>
        <w:pStyle w:val="a0"/>
        <w:ind w:left="624" w:hanging="340"/>
        <w:rPr>
          <w:rFonts w:hint="cs"/>
          <w:rtl/>
          <w:lang w:bidi="ar-SY"/>
        </w:rPr>
      </w:pPr>
      <w:r w:rsidRPr="003F3B94">
        <w:rPr>
          <w:rFonts w:hint="cs"/>
          <w:sz w:val="28"/>
          <w:rtl/>
          <w:lang w:bidi="ar-SY"/>
        </w:rPr>
        <w:t xml:space="preserve">ج </w:t>
      </w:r>
      <w:r w:rsidRPr="003F3B94">
        <w:rPr>
          <w:rFonts w:cs="Times New Roman" w:hint="cs"/>
          <w:sz w:val="28"/>
          <w:rtl/>
          <w:lang w:bidi="ar-SY"/>
        </w:rPr>
        <w:t>–</w:t>
      </w:r>
      <w:r w:rsidRPr="003F3B94">
        <w:rPr>
          <w:rFonts w:hint="cs"/>
          <w:sz w:val="28"/>
          <w:rtl/>
          <w:lang w:bidi="ar-SY"/>
        </w:rPr>
        <w:t xml:space="preserve"> </w:t>
      </w:r>
      <w:r w:rsidRPr="003F3B94">
        <w:rPr>
          <w:rFonts w:ascii="mylotus" w:hAnsi="mylotus" w:hint="cs"/>
          <w:sz w:val="28"/>
          <w:rtl/>
          <w:lang w:bidi="ar-SY"/>
        </w:rPr>
        <w:t>وأورده</w:t>
      </w:r>
      <w:r w:rsidRPr="003F3B94">
        <w:rPr>
          <w:rFonts w:hint="cs"/>
          <w:sz w:val="28"/>
          <w:rtl/>
          <w:lang w:bidi="ar-SY"/>
        </w:rPr>
        <w:t xml:space="preserve"> </w:t>
      </w:r>
      <w:r w:rsidRPr="003F3B94">
        <w:rPr>
          <w:rFonts w:ascii="mylotus" w:hAnsi="mylotus" w:hint="cs"/>
          <w:sz w:val="28"/>
          <w:rtl/>
          <w:lang w:bidi="ar-SY"/>
        </w:rPr>
        <w:t>صاحب</w:t>
      </w:r>
      <w:r w:rsidRPr="003F3B94">
        <w:rPr>
          <w:rFonts w:hint="cs"/>
          <w:sz w:val="28"/>
          <w:rtl/>
          <w:lang w:bidi="ar-SY"/>
        </w:rPr>
        <w:t xml:space="preserve"> </w:t>
      </w:r>
      <w:r w:rsidRPr="003F3B94">
        <w:rPr>
          <w:rFonts w:ascii="mylotus" w:hAnsi="mylotus" w:hint="cs"/>
          <w:sz w:val="28"/>
          <w:rtl/>
          <w:lang w:bidi="ar-SY"/>
        </w:rPr>
        <w:t>كتاب</w:t>
      </w:r>
      <w:r w:rsidRPr="003F3B94">
        <w:rPr>
          <w:rFonts w:hint="cs"/>
          <w:sz w:val="28"/>
          <w:rtl/>
          <w:lang w:bidi="ar-SY"/>
        </w:rPr>
        <w:t xml:space="preserve"> </w:t>
      </w:r>
      <w:r w:rsidRPr="003F3B94">
        <w:rPr>
          <w:rFonts w:ascii="mylotus" w:hAnsi="mylotus" w:hint="cs"/>
          <w:sz w:val="28"/>
          <w:rtl/>
          <w:lang w:bidi="ar-SY"/>
        </w:rPr>
        <w:t>الحاوي</w:t>
      </w:r>
      <w:r w:rsidR="00217AB4" w:rsidRPr="0021507A">
        <w:rPr>
          <w:rFonts w:cs="Arabic11 BT"/>
          <w:b/>
          <w:sz w:val="28"/>
          <w:vertAlign w:val="superscript"/>
          <w:rtl/>
          <w:lang w:bidi="ar-SY"/>
        </w:rPr>
        <w:t>(</w:t>
      </w:r>
      <w:r w:rsidRPr="0021507A">
        <w:rPr>
          <w:rStyle w:val="FootnoteReference"/>
          <w:rFonts w:cs="Arabic11 BT"/>
          <w:b/>
          <w:sz w:val="28"/>
          <w:rtl/>
          <w:lang w:bidi="ar-SY"/>
        </w:rPr>
        <w:footnoteReference w:id="373"/>
      </w:r>
      <w:r w:rsidR="00217AB4" w:rsidRPr="0021507A">
        <w:rPr>
          <w:rFonts w:cs="Arabic11 BT"/>
          <w:b/>
          <w:sz w:val="28"/>
          <w:vertAlign w:val="superscript"/>
          <w:rtl/>
          <w:lang w:bidi="ar-SY"/>
        </w:rPr>
        <w:t>)</w:t>
      </w:r>
      <w:r w:rsidRPr="003F3B94">
        <w:rPr>
          <w:sz w:val="28"/>
          <w:rtl/>
          <w:lang w:bidi="ar-SY"/>
        </w:rPr>
        <w:t xml:space="preserve"> </w:t>
      </w:r>
      <w:r w:rsidRPr="003F3B94">
        <w:rPr>
          <w:rFonts w:hint="cs"/>
          <w:sz w:val="28"/>
          <w:rtl/>
          <w:lang w:bidi="ar-SY"/>
        </w:rPr>
        <w:t>في عداد الضعفاء</w:t>
      </w:r>
      <w:r w:rsidR="00217AB4" w:rsidRPr="003F3B94">
        <w:rPr>
          <w:rFonts w:hint="cs"/>
          <w:sz w:val="28"/>
          <w:rtl/>
          <w:lang w:bidi="ar-SY"/>
        </w:rPr>
        <w:t>.</w:t>
      </w:r>
    </w:p>
    <w:p w:rsidR="005C664D" w:rsidRPr="003F3B94" w:rsidRDefault="005C664D" w:rsidP="003F3B94">
      <w:pPr>
        <w:pStyle w:val="a0"/>
        <w:rPr>
          <w:rFonts w:hint="cs"/>
          <w:rtl/>
          <w:lang w:bidi="ar-SY"/>
        </w:rPr>
      </w:pPr>
      <w:r w:rsidRPr="003F3B94">
        <w:rPr>
          <w:rFonts w:hint="cs"/>
          <w:sz w:val="28"/>
          <w:rtl/>
          <w:lang w:bidi="ar-SY"/>
        </w:rPr>
        <w:t xml:space="preserve">وقد روى أبو عبد الله الرازي الرواية عن </w:t>
      </w:r>
      <w:r w:rsidRPr="003F3B94">
        <w:rPr>
          <w:rFonts w:ascii="Abo-thar" w:hAnsi="Abo-thar"/>
          <w:sz w:val="28"/>
          <w:rtl/>
          <w:lang w:bidi="ar-SY"/>
        </w:rPr>
        <w:t>«</w:t>
      </w:r>
      <w:r w:rsidRPr="003F3B94">
        <w:rPr>
          <w:b/>
          <w:bCs/>
          <w:sz w:val="28"/>
          <w:rtl/>
          <w:lang w:bidi="ar-SY"/>
        </w:rPr>
        <w:t>الحَسَنِ بْنِ عَلِيِّ بْنِ أَبِي حَمْزَةَ</w:t>
      </w:r>
      <w:r w:rsidRPr="003F3B94">
        <w:rPr>
          <w:rFonts w:ascii="Abo-thar" w:hAnsi="Abo-thar"/>
          <w:sz w:val="28"/>
          <w:rtl/>
          <w:lang w:bidi="ar-SY"/>
        </w:rPr>
        <w:t>»</w:t>
      </w:r>
      <w:r w:rsidRPr="003F3B94">
        <w:rPr>
          <w:rFonts w:hint="cs"/>
          <w:sz w:val="28"/>
          <w:rtl/>
          <w:lang w:bidi="ar-SY"/>
        </w:rPr>
        <w:t xml:space="preserve"> البطائني</w:t>
      </w:r>
      <w:r w:rsidR="00217AB4" w:rsidRPr="003F3B94">
        <w:rPr>
          <w:rFonts w:hint="cs"/>
          <w:sz w:val="28"/>
          <w:rtl/>
          <w:lang w:bidi="ar-SY"/>
        </w:rPr>
        <w:t>،</w:t>
      </w:r>
      <w:r w:rsidRPr="003F3B94">
        <w:rPr>
          <w:rFonts w:hint="cs"/>
          <w:sz w:val="28"/>
          <w:rtl/>
          <w:lang w:bidi="ar-SY"/>
        </w:rPr>
        <w:t xml:space="preserve"> وفيما يلي بيان حاله</w:t>
      </w:r>
      <w:r w:rsidR="00217AB4" w:rsidRPr="003F3B94">
        <w:rPr>
          <w:rFonts w:hint="cs"/>
          <w:sz w:val="28"/>
          <w:rtl/>
          <w:lang w:bidi="ar-SY"/>
        </w:rPr>
        <w:t>:</w:t>
      </w:r>
    </w:p>
    <w:p w:rsidR="005C664D" w:rsidRPr="003F3B94" w:rsidRDefault="005C664D" w:rsidP="00F82D5E">
      <w:pPr>
        <w:pStyle w:val="a0"/>
        <w:ind w:left="624" w:hanging="340"/>
        <w:rPr>
          <w:rFonts w:hint="cs"/>
          <w:rtl/>
          <w:lang w:bidi="ar-SY"/>
        </w:rPr>
      </w:pPr>
      <w:r w:rsidRPr="003F3B94">
        <w:rPr>
          <w:rFonts w:hint="cs"/>
          <w:sz w:val="28"/>
          <w:rtl/>
          <w:lang w:bidi="ar-SY"/>
        </w:rPr>
        <w:t>أ</w:t>
      </w:r>
      <w:r w:rsidR="00217AB4" w:rsidRPr="003F3B94">
        <w:rPr>
          <w:rFonts w:hint="cs"/>
          <w:sz w:val="28"/>
          <w:rtl/>
          <w:lang w:bidi="ar-SY"/>
        </w:rPr>
        <w:t>-</w:t>
      </w:r>
      <w:r w:rsidRPr="003F3B94">
        <w:rPr>
          <w:rFonts w:hint="cs"/>
          <w:sz w:val="28"/>
          <w:rtl/>
          <w:lang w:bidi="ar-SY"/>
        </w:rPr>
        <w:t xml:space="preserve"> قال عنه </w:t>
      </w:r>
      <w:r w:rsidRPr="003F3B94">
        <w:rPr>
          <w:rFonts w:ascii="Abo-thar" w:hAnsi="Abo-thar" w:hint="cs"/>
          <w:sz w:val="28"/>
          <w:rtl/>
          <w:lang w:bidi="ar-SY"/>
        </w:rPr>
        <w:t>ابن الغضائري</w:t>
      </w:r>
      <w:r w:rsidR="00217AB4" w:rsidRPr="003F3B94">
        <w:rPr>
          <w:rFonts w:ascii="Abo-thar" w:hAnsi="Abo-thar" w:hint="cs"/>
          <w:sz w:val="28"/>
          <w:rtl/>
          <w:lang w:bidi="ar-SY"/>
        </w:rPr>
        <w:t>:</w:t>
      </w:r>
      <w:r w:rsidRPr="003F3B94">
        <w:rPr>
          <w:rFonts w:ascii="Abo-thar" w:hAnsi="Abo-thar" w:hint="cs"/>
          <w:sz w:val="28"/>
          <w:rtl/>
          <w:lang w:bidi="ar-SY"/>
        </w:rPr>
        <w:t xml:space="preserve"> </w:t>
      </w:r>
      <w:r w:rsidR="00EF2588" w:rsidRPr="003F3B94">
        <w:rPr>
          <w:rFonts w:ascii="Abo-thar" w:hAnsi="Abo-thar" w:hint="cs"/>
          <w:sz w:val="28"/>
          <w:rtl/>
          <w:lang w:bidi="ar-SY"/>
        </w:rPr>
        <w:t>«</w:t>
      </w:r>
      <w:r w:rsidRPr="003F3B94">
        <w:rPr>
          <w:rFonts w:ascii="Abo-thar" w:hAnsi="Abo-thar"/>
          <w:b/>
          <w:bCs/>
          <w:sz w:val="28"/>
          <w:rtl/>
          <w:lang w:bidi="ar-SY"/>
        </w:rPr>
        <w:t>الحسن بن علي بن أبي حمزة البطائني</w:t>
      </w:r>
      <w:r w:rsidR="00217AB4" w:rsidRPr="003F3B94">
        <w:rPr>
          <w:rFonts w:ascii="Abo-thar" w:hAnsi="Abo-thar" w:hint="cs"/>
          <w:b/>
          <w:bCs/>
          <w:sz w:val="28"/>
          <w:rtl/>
          <w:lang w:bidi="ar-SY"/>
        </w:rPr>
        <w:t>:</w:t>
      </w:r>
      <w:r w:rsidRPr="003F3B94">
        <w:rPr>
          <w:rFonts w:ascii="Abo-thar" w:hAnsi="Abo-thar" w:hint="cs"/>
          <w:b/>
          <w:bCs/>
          <w:sz w:val="28"/>
          <w:rtl/>
          <w:lang w:bidi="ar-SY"/>
        </w:rPr>
        <w:t xml:space="preserve"> </w:t>
      </w:r>
      <w:r w:rsidRPr="003F3B94">
        <w:rPr>
          <w:rFonts w:ascii="Abo-thar" w:hAnsi="Abo-thar"/>
          <w:b/>
          <w:bCs/>
          <w:sz w:val="28"/>
          <w:rtl/>
          <w:lang w:bidi="ar-SY"/>
        </w:rPr>
        <w:t>مولى الأنصار أبو محمد واقف بن واقف ضعيف في نفسه</w:t>
      </w:r>
      <w:r w:rsidR="00217AB4" w:rsidRPr="003F3B94">
        <w:rPr>
          <w:rFonts w:ascii="Abo-thar" w:hAnsi="Abo-thar"/>
          <w:b/>
          <w:bCs/>
          <w:sz w:val="28"/>
          <w:rtl/>
          <w:lang w:bidi="ar-SY"/>
        </w:rPr>
        <w:t>،</w:t>
      </w:r>
      <w:r w:rsidRPr="003F3B94">
        <w:rPr>
          <w:rFonts w:ascii="Abo-thar" w:hAnsi="Abo-thar"/>
          <w:b/>
          <w:bCs/>
          <w:sz w:val="28"/>
          <w:rtl/>
          <w:lang w:bidi="ar-SY"/>
        </w:rPr>
        <w:t xml:space="preserve"> وأبوه أوثق منه</w:t>
      </w:r>
      <w:r w:rsidR="00EF2588" w:rsidRPr="003F3B94">
        <w:rPr>
          <w:rFonts w:ascii="Abo-thar" w:hAnsi="Abo-thar" w:hint="cs"/>
          <w:sz w:val="28"/>
          <w:rtl/>
          <w:lang w:bidi="ar-SY"/>
        </w:rPr>
        <w:t>»</w:t>
      </w:r>
      <w:r w:rsidR="00217AB4" w:rsidRPr="003F3B94">
        <w:rPr>
          <w:rFonts w:ascii="Abo-thar" w:hAnsi="Abo-thar" w:hint="cs"/>
          <w:sz w:val="28"/>
          <w:rtl/>
          <w:lang w:bidi="ar-SY"/>
        </w:rPr>
        <w:t>.</w:t>
      </w:r>
      <w:r w:rsidRPr="003F3B94">
        <w:rPr>
          <w:rFonts w:ascii="Abo-thar" w:hAnsi="Abo-thar" w:hint="cs"/>
          <w:sz w:val="28"/>
          <w:rtl/>
          <w:lang w:bidi="ar-SY"/>
        </w:rPr>
        <w:t xml:space="preserve"> من الجدير بالذكر أن أباه هذا الذي عدَّه الغضائري أوثق منه</w:t>
      </w:r>
      <w:r w:rsidR="00217AB4" w:rsidRPr="003F3B94">
        <w:rPr>
          <w:rFonts w:ascii="Abo-thar" w:hAnsi="Abo-thar" w:hint="cs"/>
          <w:sz w:val="28"/>
          <w:rtl/>
          <w:lang w:bidi="ar-SY"/>
        </w:rPr>
        <w:t>،</w:t>
      </w:r>
      <w:r w:rsidRPr="003F3B94">
        <w:rPr>
          <w:rFonts w:ascii="Abo-thar" w:hAnsi="Abo-thar" w:hint="cs"/>
          <w:sz w:val="28"/>
          <w:rtl/>
          <w:lang w:bidi="ar-SY"/>
        </w:rPr>
        <w:t xml:space="preserve"> قد لعنه ابن الغضائري نفسه في ترجمته له</w:t>
      </w:r>
      <w:r w:rsidR="00217AB4" w:rsidRPr="003F3B94">
        <w:rPr>
          <w:rFonts w:ascii="Abo-thar" w:hAnsi="Abo-thar" w:hint="cs"/>
          <w:sz w:val="28"/>
          <w:rtl/>
          <w:lang w:bidi="ar-SY"/>
        </w:rPr>
        <w:t>!!</w:t>
      </w:r>
    </w:p>
    <w:p w:rsidR="005C664D" w:rsidRPr="003F3B94" w:rsidRDefault="005C664D" w:rsidP="00F82D5E">
      <w:pPr>
        <w:pStyle w:val="a0"/>
        <w:ind w:left="624" w:hanging="340"/>
        <w:rPr>
          <w:rFonts w:hint="cs"/>
          <w:rtl/>
          <w:lang w:bidi="ar-SY"/>
        </w:rPr>
      </w:pPr>
      <w:r w:rsidRPr="003F3B94">
        <w:rPr>
          <w:rFonts w:ascii="Abo-thar" w:hAnsi="Abo-thar" w:hint="cs"/>
          <w:sz w:val="28"/>
          <w:rtl/>
          <w:lang w:bidi="ar-SY"/>
        </w:rPr>
        <w:t>ب</w:t>
      </w:r>
      <w:r w:rsidR="00217AB4" w:rsidRPr="003F3B94">
        <w:rPr>
          <w:rFonts w:ascii="Abo-thar" w:hAnsi="Abo-thar" w:hint="cs"/>
          <w:sz w:val="28"/>
          <w:rtl/>
          <w:lang w:bidi="ar-SY"/>
        </w:rPr>
        <w:t>-</w:t>
      </w:r>
      <w:r w:rsidRPr="003F3B94">
        <w:rPr>
          <w:rFonts w:ascii="Abo-thar" w:hAnsi="Abo-thar" w:hint="cs"/>
          <w:sz w:val="28"/>
          <w:rtl/>
          <w:lang w:bidi="ar-SY"/>
        </w:rPr>
        <w:t xml:space="preserve"> وقال عنه الكشي في رجال</w:t>
      </w:r>
      <w:r w:rsidR="00217AB4" w:rsidRPr="003F3B94">
        <w:rPr>
          <w:rFonts w:ascii="Abo-thar" w:hAnsi="Abo-thar" w:hint="cs"/>
          <w:sz w:val="28"/>
          <w:rtl/>
          <w:lang w:bidi="ar-SY"/>
        </w:rPr>
        <w:t>،</w:t>
      </w:r>
      <w:r w:rsidRPr="003F3B94">
        <w:rPr>
          <w:rFonts w:ascii="Abo-thar" w:hAnsi="Abo-thar" w:hint="cs"/>
          <w:sz w:val="28"/>
          <w:rtl/>
          <w:lang w:bidi="ar-SY"/>
        </w:rPr>
        <w:t xml:space="preserve"> ضمن ترجمته لـ </w:t>
      </w:r>
      <w:r w:rsidRPr="003F3B94">
        <w:rPr>
          <w:rFonts w:ascii="Abo-thar" w:hAnsi="Abo-thar"/>
          <w:sz w:val="28"/>
          <w:rtl/>
          <w:lang w:bidi="ar-SY"/>
        </w:rPr>
        <w:t>«</w:t>
      </w:r>
      <w:r w:rsidRPr="003F3B94">
        <w:rPr>
          <w:rFonts w:ascii="Abo-thar" w:hAnsi="Abo-thar"/>
          <w:bCs/>
          <w:sz w:val="28"/>
          <w:rtl/>
          <w:lang w:bidi="ar-SY"/>
        </w:rPr>
        <w:t>شُعَيْبٍ العَقَرْقُوفِي</w:t>
      </w:r>
      <w:r w:rsidRPr="003F3B94">
        <w:rPr>
          <w:rFonts w:ascii="Abo-thar" w:hAnsi="Abo-thar"/>
          <w:sz w:val="28"/>
          <w:rtl/>
          <w:lang w:bidi="ar-SY"/>
        </w:rPr>
        <w:t>»</w:t>
      </w:r>
      <w:r w:rsidR="00217AB4" w:rsidRPr="003F3B94">
        <w:rPr>
          <w:rFonts w:ascii="Abo-thar" w:hAnsi="Abo-thar" w:hint="cs"/>
          <w:sz w:val="28"/>
          <w:rtl/>
          <w:lang w:bidi="ar-SY"/>
        </w:rPr>
        <w:t>:</w:t>
      </w:r>
      <w:r w:rsidRPr="003F3B94">
        <w:rPr>
          <w:rFonts w:ascii="Abo-thar" w:hAnsi="Abo-thar" w:hint="cs"/>
          <w:sz w:val="28"/>
          <w:rtl/>
          <w:lang w:bidi="ar-SY"/>
        </w:rPr>
        <w:t xml:space="preserve"> </w:t>
      </w:r>
      <w:r w:rsidR="00EF2588" w:rsidRPr="003F3B94">
        <w:rPr>
          <w:rFonts w:ascii="Abo-thar" w:hAnsi="Abo-thar" w:hint="cs"/>
          <w:sz w:val="28"/>
          <w:rtl/>
          <w:lang w:bidi="ar-SY"/>
        </w:rPr>
        <w:t>«</w:t>
      </w:r>
      <w:r w:rsidRPr="003F3B94">
        <w:rPr>
          <w:rFonts w:ascii="Abo-thar" w:hAnsi="Abo-thar"/>
          <w:bCs/>
          <w:sz w:val="28"/>
          <w:rtl/>
          <w:lang w:bidi="ar-SY"/>
        </w:rPr>
        <w:t xml:space="preserve">قال أبو عمرو </w:t>
      </w:r>
      <w:r w:rsidR="00217AB4" w:rsidRPr="003F3B94">
        <w:rPr>
          <w:rFonts w:ascii="Abo-thar" w:hAnsi="Abo-thar" w:hint="cs"/>
          <w:bCs/>
          <w:sz w:val="28"/>
          <w:rtl/>
          <w:lang w:bidi="ar-SY"/>
        </w:rPr>
        <w:t>(</w:t>
      </w:r>
      <w:r w:rsidRPr="003F3B94">
        <w:rPr>
          <w:rFonts w:ascii="Abo-thar" w:hAnsi="Abo-thar" w:hint="cs"/>
          <w:bCs/>
          <w:sz w:val="28"/>
          <w:rtl/>
          <w:lang w:bidi="ar-SY"/>
        </w:rPr>
        <w:t>أي الكشي</w:t>
      </w:r>
      <w:r w:rsidR="00217AB4" w:rsidRPr="003F3B94">
        <w:rPr>
          <w:rFonts w:ascii="Abo-thar" w:hAnsi="Abo-thar" w:hint="cs"/>
          <w:sz w:val="28"/>
          <w:rtl/>
          <w:lang w:bidi="ar-SY"/>
        </w:rPr>
        <w:t>):</w:t>
      </w:r>
      <w:r w:rsidRPr="003F3B94">
        <w:rPr>
          <w:rFonts w:ascii="Abo-thar" w:hAnsi="Abo-thar" w:hint="cs"/>
          <w:sz w:val="28"/>
          <w:rtl/>
          <w:lang w:bidi="ar-SY"/>
        </w:rPr>
        <w:t xml:space="preserve"> </w:t>
      </w:r>
      <w:r w:rsidRPr="003F3B94">
        <w:rPr>
          <w:rFonts w:ascii="Abo-thar" w:hAnsi="Abo-thar"/>
          <w:sz w:val="28"/>
          <w:rtl/>
          <w:lang w:bidi="ar-SY"/>
        </w:rPr>
        <w:t>محمد بن عبد الله بن مهران غال</w:t>
      </w:r>
      <w:r w:rsidR="00217AB4" w:rsidRPr="003F3B94">
        <w:rPr>
          <w:rFonts w:ascii="Abo-thar" w:hAnsi="Abo-thar"/>
          <w:sz w:val="28"/>
          <w:rtl/>
          <w:lang w:bidi="ar-SY"/>
        </w:rPr>
        <w:t>،</w:t>
      </w:r>
      <w:r w:rsidRPr="003F3B94">
        <w:rPr>
          <w:rFonts w:ascii="Abo-thar" w:hAnsi="Abo-thar"/>
          <w:bCs/>
          <w:sz w:val="28"/>
          <w:rtl/>
          <w:lang w:bidi="ar-SY"/>
        </w:rPr>
        <w:t xml:space="preserve"> و</w:t>
      </w:r>
      <w:r w:rsidRPr="003F3B94">
        <w:rPr>
          <w:rFonts w:ascii="Abo-thar" w:hAnsi="Abo-thar"/>
          <w:bCs/>
          <w:iCs/>
          <w:sz w:val="28"/>
          <w:rtl/>
          <w:lang w:bidi="ar-SY"/>
        </w:rPr>
        <w:t>الحسن بن علي بن أبي حمزة كذاب غال</w:t>
      </w:r>
      <w:r w:rsidR="00217AB4" w:rsidRPr="003F3B94">
        <w:rPr>
          <w:rFonts w:ascii="Abo-thar" w:hAnsi="Abo-thar"/>
          <w:bCs/>
          <w:iCs/>
          <w:sz w:val="28"/>
          <w:rtl/>
          <w:lang w:bidi="ar-SY"/>
        </w:rPr>
        <w:t>،</w:t>
      </w:r>
      <w:r w:rsidRPr="003F3B94">
        <w:rPr>
          <w:rFonts w:ascii="Abo-thar" w:hAnsi="Abo-thar"/>
          <w:bCs/>
          <w:sz w:val="28"/>
          <w:rtl/>
          <w:lang w:bidi="ar-SY"/>
        </w:rPr>
        <w:t xml:space="preserve"> </w:t>
      </w:r>
      <w:r w:rsidRPr="003F3B94">
        <w:rPr>
          <w:rFonts w:ascii="Abo-thar" w:hAnsi="Abo-thar"/>
          <w:sz w:val="28"/>
          <w:rtl/>
          <w:lang w:bidi="ar-SY"/>
        </w:rPr>
        <w:t>قال ولم أسمع في شعيب إلا خيرا</w:t>
      </w:r>
      <w:r w:rsidRPr="003F3B94">
        <w:rPr>
          <w:rFonts w:ascii="Abo-thar" w:hAnsi="Abo-thar" w:hint="cs"/>
          <w:sz w:val="28"/>
          <w:rtl/>
          <w:lang w:bidi="ar-SY"/>
        </w:rPr>
        <w:t>ً</w:t>
      </w:r>
      <w:r w:rsidR="00EF2588" w:rsidRPr="003F3B94">
        <w:rPr>
          <w:rFonts w:ascii="Abo-thar" w:hAnsi="Abo-thar" w:hint="cs"/>
          <w:sz w:val="28"/>
          <w:rtl/>
          <w:lang w:bidi="ar-SY"/>
        </w:rPr>
        <w:t>»</w:t>
      </w:r>
      <w:r w:rsidR="00217AB4" w:rsidRPr="003F3B94">
        <w:rPr>
          <w:rFonts w:ascii="Abo-thar" w:hAnsi="Abo-thar" w:hint="cs"/>
          <w:sz w:val="28"/>
          <w:rtl/>
          <w:lang w:bidi="ar-SY"/>
        </w:rPr>
        <w:t>.</w:t>
      </w:r>
    </w:p>
    <w:p w:rsidR="005C664D" w:rsidRPr="003F3B94" w:rsidRDefault="005C664D" w:rsidP="003F3B94">
      <w:pPr>
        <w:pStyle w:val="a0"/>
        <w:rPr>
          <w:rFonts w:hint="cs"/>
          <w:rtl/>
          <w:lang w:bidi="ar-SY"/>
        </w:rPr>
      </w:pPr>
      <w:r w:rsidRPr="003F3B94">
        <w:rPr>
          <w:rFonts w:ascii="Abo-thar" w:hAnsi="Abo-thar" w:hint="cs"/>
          <w:sz w:val="28"/>
          <w:rtl/>
          <w:lang w:bidi="ar-SY"/>
        </w:rPr>
        <w:t xml:space="preserve">والحسن بن علي هذا روى الحديث عن أبيه </w:t>
      </w:r>
      <w:r w:rsidRPr="003F3B94">
        <w:rPr>
          <w:rFonts w:ascii="Abo-thar" w:hAnsi="Abo-thar"/>
          <w:sz w:val="28"/>
          <w:rtl/>
          <w:lang w:bidi="ar-SY"/>
        </w:rPr>
        <w:t>«</w:t>
      </w:r>
      <w:r w:rsidRPr="003F3B94">
        <w:rPr>
          <w:rFonts w:ascii="Abo-thar" w:hAnsi="Abo-thar" w:hint="cs"/>
          <w:sz w:val="28"/>
          <w:rtl/>
          <w:lang w:bidi="ar-SY"/>
        </w:rPr>
        <w:t>علي بن أبي حمزة البطائني</w:t>
      </w:r>
      <w:r w:rsidRPr="003F3B94">
        <w:rPr>
          <w:rFonts w:ascii="Abo-thar" w:hAnsi="Abo-thar"/>
          <w:sz w:val="28"/>
          <w:rtl/>
          <w:lang w:bidi="ar-SY"/>
        </w:rPr>
        <w:t>»</w:t>
      </w:r>
      <w:r w:rsidRPr="003F3B94">
        <w:rPr>
          <w:rFonts w:ascii="Abo-thar" w:hAnsi="Abo-thar" w:hint="cs"/>
          <w:sz w:val="28"/>
          <w:rtl/>
          <w:lang w:bidi="ar-SY"/>
        </w:rPr>
        <w:t xml:space="preserve"> وفيما يلي ترجمته</w:t>
      </w:r>
      <w:r w:rsidR="00217AB4" w:rsidRPr="003F3B94">
        <w:rPr>
          <w:rFonts w:ascii="Abo-thar" w:hAnsi="Abo-thar" w:hint="cs"/>
          <w:sz w:val="28"/>
          <w:rtl/>
          <w:lang w:bidi="ar-SY"/>
        </w:rPr>
        <w:t>:</w:t>
      </w:r>
    </w:p>
    <w:p w:rsidR="005C664D" w:rsidRPr="003F3B94" w:rsidRDefault="005C664D" w:rsidP="00F82D5E">
      <w:pPr>
        <w:pStyle w:val="a0"/>
        <w:ind w:left="624" w:hanging="340"/>
        <w:rPr>
          <w:rFonts w:hint="cs"/>
          <w:rtl/>
          <w:lang w:bidi="ar-SY"/>
        </w:rPr>
      </w:pPr>
      <w:r w:rsidRPr="003F3B94">
        <w:rPr>
          <w:rFonts w:ascii="Abo-thar" w:hAnsi="Abo-thar" w:hint="cs"/>
          <w:sz w:val="28"/>
          <w:rtl/>
          <w:lang w:bidi="ar-SY"/>
        </w:rPr>
        <w:t>ألف</w:t>
      </w:r>
      <w:r w:rsidR="00217AB4" w:rsidRPr="003F3B94">
        <w:rPr>
          <w:rFonts w:ascii="Abo-thar" w:hAnsi="Abo-thar" w:hint="cs"/>
          <w:sz w:val="28"/>
          <w:rtl/>
          <w:lang w:bidi="ar-SY"/>
        </w:rPr>
        <w:t>-</w:t>
      </w:r>
      <w:r w:rsidRPr="003F3B94">
        <w:rPr>
          <w:rFonts w:ascii="Abo-thar" w:hAnsi="Abo-thar" w:hint="cs"/>
          <w:sz w:val="28"/>
          <w:rtl/>
          <w:lang w:bidi="ar-SY"/>
        </w:rPr>
        <w:t xml:space="preserve"> ذكر الشيخ الطوسي في أكثر من موضع من رجاله أن </w:t>
      </w:r>
      <w:r w:rsidRPr="003F3B94">
        <w:rPr>
          <w:rFonts w:ascii="Abo-thar" w:hAnsi="Abo-thar"/>
          <w:sz w:val="28"/>
          <w:rtl/>
          <w:lang w:bidi="ar-SY"/>
        </w:rPr>
        <w:t>«</w:t>
      </w:r>
      <w:r w:rsidRPr="003F3B94">
        <w:rPr>
          <w:rFonts w:ascii="Abo-thar" w:hAnsi="Abo-thar" w:hint="cs"/>
          <w:sz w:val="28"/>
          <w:rtl/>
          <w:lang w:bidi="ar-SY"/>
        </w:rPr>
        <w:t>علي بن أبي حمزة البطائني</w:t>
      </w:r>
      <w:r w:rsidRPr="003F3B94">
        <w:rPr>
          <w:rFonts w:ascii="Abo-thar" w:hAnsi="Abo-thar"/>
          <w:sz w:val="28"/>
          <w:rtl/>
          <w:lang w:bidi="ar-SY"/>
        </w:rPr>
        <w:t>»</w:t>
      </w:r>
      <w:r w:rsidRPr="003F3B94">
        <w:rPr>
          <w:rFonts w:ascii="Abo-thar" w:hAnsi="Abo-thar" w:hint="cs"/>
          <w:sz w:val="28"/>
          <w:rtl/>
          <w:lang w:bidi="ar-SY"/>
        </w:rPr>
        <w:t xml:space="preserve"> كان </w:t>
      </w:r>
      <w:r w:rsidRPr="003F3B94">
        <w:rPr>
          <w:rFonts w:ascii="Abo-thar" w:hAnsi="Abo-thar" w:hint="cs"/>
          <w:b/>
          <w:bCs/>
          <w:sz w:val="28"/>
          <w:rtl/>
          <w:lang w:bidi="ar-SY"/>
        </w:rPr>
        <w:t>واقفياً</w:t>
      </w:r>
      <w:r w:rsidR="00217AB4" w:rsidRPr="003F3B94">
        <w:rPr>
          <w:rFonts w:ascii="Abo-thar" w:hAnsi="Abo-thar" w:hint="cs"/>
          <w:sz w:val="28"/>
          <w:rtl/>
          <w:lang w:bidi="ar-SY"/>
        </w:rPr>
        <w:t>.</w:t>
      </w:r>
      <w:r w:rsidRPr="003F3B94">
        <w:rPr>
          <w:rFonts w:ascii="Abo-thar" w:hAnsi="Abo-thar" w:hint="cs"/>
          <w:sz w:val="28"/>
          <w:rtl/>
          <w:lang w:bidi="ar-SY"/>
        </w:rPr>
        <w:t xml:space="preserve"> وقال </w:t>
      </w:r>
      <w:r w:rsidRPr="003F3B94">
        <w:rPr>
          <w:rFonts w:ascii="Abo-thar" w:hAnsi="Abo-thar"/>
          <w:sz w:val="28"/>
          <w:rtl/>
          <w:lang w:bidi="ar-SY"/>
        </w:rPr>
        <w:t>«</w:t>
      </w:r>
      <w:r w:rsidRPr="003F3B94">
        <w:rPr>
          <w:rFonts w:ascii="Abo-thar" w:hAnsi="Abo-thar" w:hint="cs"/>
          <w:sz w:val="28"/>
          <w:rtl/>
          <w:lang w:bidi="ar-SY"/>
        </w:rPr>
        <w:t>علي بن الحسن الفضال</w:t>
      </w:r>
      <w:r w:rsidRPr="003F3B94">
        <w:rPr>
          <w:rFonts w:ascii="Abo-thar" w:hAnsi="Abo-thar"/>
          <w:sz w:val="28"/>
          <w:rtl/>
          <w:lang w:bidi="ar-SY"/>
        </w:rPr>
        <w:t>»</w:t>
      </w:r>
      <w:r w:rsidRPr="003F3B94">
        <w:rPr>
          <w:rFonts w:ascii="Abo-thar" w:hAnsi="Abo-thar" w:hint="cs"/>
          <w:sz w:val="28"/>
          <w:rtl/>
          <w:lang w:bidi="ar-SY"/>
        </w:rPr>
        <w:t xml:space="preserve"> </w:t>
      </w:r>
      <w:r w:rsidR="00217AB4" w:rsidRPr="003F3B94">
        <w:rPr>
          <w:rFonts w:ascii="Abo-thar" w:hAnsi="Abo-thar" w:hint="cs"/>
          <w:sz w:val="28"/>
          <w:rtl/>
          <w:lang w:bidi="ar-SY"/>
        </w:rPr>
        <w:t>(</w:t>
      </w:r>
      <w:r w:rsidRPr="003F3B94">
        <w:rPr>
          <w:rFonts w:ascii="Abo-thar" w:hAnsi="Abo-thar" w:hint="cs"/>
          <w:sz w:val="28"/>
          <w:rtl/>
          <w:lang w:bidi="ar-SY"/>
        </w:rPr>
        <w:t>الذي هو بحدّ ذاته ملعون على لسان الفقيه ابن إدريس</w:t>
      </w:r>
      <w:r w:rsidR="00217AB4" w:rsidRPr="003F3B94">
        <w:rPr>
          <w:rFonts w:ascii="Abo-thar" w:hAnsi="Abo-thar" w:hint="cs"/>
          <w:sz w:val="28"/>
          <w:rtl/>
          <w:lang w:bidi="ar-SY"/>
        </w:rPr>
        <w:t>):</w:t>
      </w:r>
      <w:r w:rsidRPr="003F3B94">
        <w:rPr>
          <w:rFonts w:ascii="Abo-thar" w:hAnsi="Abo-thar" w:hint="cs"/>
          <w:sz w:val="28"/>
          <w:rtl/>
          <w:lang w:bidi="ar-SY"/>
        </w:rPr>
        <w:t xml:space="preserve"> </w:t>
      </w:r>
      <w:r w:rsidR="00EF2588" w:rsidRPr="003F3B94">
        <w:rPr>
          <w:rFonts w:ascii="Abo-thar" w:hAnsi="Abo-thar" w:hint="cs"/>
          <w:sz w:val="28"/>
          <w:rtl/>
          <w:lang w:bidi="ar-SY"/>
        </w:rPr>
        <w:t>«</w:t>
      </w:r>
      <w:r w:rsidRPr="003F3B94">
        <w:rPr>
          <w:rFonts w:ascii="Abo-thar" w:hAnsi="Abo-thar"/>
          <w:bCs/>
          <w:sz w:val="28"/>
          <w:rtl/>
          <w:lang w:bidi="ar-SY"/>
        </w:rPr>
        <w:t xml:space="preserve">علي بن أبي حمزة </w:t>
      </w:r>
      <w:r w:rsidRPr="003F3B94">
        <w:rPr>
          <w:rFonts w:ascii="Abo-thar" w:hAnsi="Abo-thar" w:hint="cs"/>
          <w:bCs/>
          <w:sz w:val="28"/>
          <w:rtl/>
          <w:lang w:bidi="ar-SY"/>
        </w:rPr>
        <w:t>كذاب</w:t>
      </w:r>
      <w:r w:rsidR="00217AB4" w:rsidRPr="003F3B94">
        <w:rPr>
          <w:rFonts w:ascii="Abo-thar" w:hAnsi="Abo-thar" w:hint="cs"/>
          <w:bCs/>
          <w:sz w:val="28"/>
          <w:rtl/>
          <w:lang w:bidi="ar-SY"/>
        </w:rPr>
        <w:t>،</w:t>
      </w:r>
      <w:r w:rsidRPr="003F3B94">
        <w:rPr>
          <w:rFonts w:ascii="Abo-thar" w:hAnsi="Abo-thar" w:hint="cs"/>
          <w:bCs/>
          <w:sz w:val="28"/>
          <w:rtl/>
          <w:lang w:bidi="ar-SY"/>
        </w:rPr>
        <w:t xml:space="preserve"> متّهم</w:t>
      </w:r>
      <w:r w:rsidR="00217AB4" w:rsidRPr="003F3B94">
        <w:rPr>
          <w:rFonts w:ascii="Abo-thar" w:hAnsi="Abo-thar" w:hint="cs"/>
          <w:bCs/>
          <w:sz w:val="28"/>
          <w:rtl/>
          <w:lang w:bidi="ar-SY"/>
        </w:rPr>
        <w:t>،</w:t>
      </w:r>
      <w:r w:rsidRPr="003F3B94">
        <w:rPr>
          <w:rFonts w:ascii="Abo-thar" w:hAnsi="Abo-thar" w:hint="cs"/>
          <w:bCs/>
          <w:sz w:val="28"/>
          <w:rtl/>
          <w:lang w:bidi="ar-SY"/>
        </w:rPr>
        <w:t xml:space="preserve"> ملعون</w:t>
      </w:r>
      <w:r w:rsidR="00EF2588" w:rsidRPr="003F3B94">
        <w:rPr>
          <w:rFonts w:ascii="Abo-thar" w:hAnsi="Abo-thar" w:hint="cs"/>
          <w:sz w:val="28"/>
          <w:rtl/>
          <w:lang w:bidi="ar-SY"/>
        </w:rPr>
        <w:t>»</w:t>
      </w:r>
      <w:r w:rsidR="00217AB4" w:rsidRPr="003F3B94">
        <w:rPr>
          <w:rFonts w:ascii="Abo-thar" w:hAnsi="Abo-thar" w:hint="cs"/>
          <w:sz w:val="28"/>
          <w:rtl/>
          <w:lang w:bidi="ar-SY"/>
        </w:rPr>
        <w:t>.</w:t>
      </w:r>
      <w:r w:rsidR="00147857" w:rsidRPr="003F3B94">
        <w:rPr>
          <w:rFonts w:ascii="Abo-thar" w:hAnsi="Abo-thar" w:hint="cs"/>
          <w:sz w:val="28"/>
          <w:rtl/>
          <w:lang w:bidi="ar-SY"/>
        </w:rPr>
        <w:t xml:space="preserve"> </w:t>
      </w:r>
      <w:r w:rsidRPr="003F3B94">
        <w:rPr>
          <w:rFonts w:ascii="Abo-thar" w:hAnsi="Abo-thar" w:hint="cs"/>
          <w:sz w:val="28"/>
          <w:rtl/>
          <w:lang w:bidi="ar-SY"/>
        </w:rPr>
        <w:t>وويح من يعتبره نمرود كافراً</w:t>
      </w:r>
      <w:r w:rsidR="00217AB4" w:rsidRPr="003F3B94">
        <w:rPr>
          <w:rFonts w:ascii="Abo-thar" w:hAnsi="Abo-thar" w:hint="cs"/>
          <w:sz w:val="28"/>
          <w:rtl/>
          <w:lang w:bidi="ar-SY"/>
        </w:rPr>
        <w:t>!</w:t>
      </w:r>
    </w:p>
    <w:p w:rsidR="005C664D" w:rsidRPr="00EF714D" w:rsidRDefault="005C664D" w:rsidP="00F82D5E">
      <w:pPr>
        <w:pStyle w:val="a0"/>
        <w:ind w:left="624" w:hanging="340"/>
        <w:rPr>
          <w:rFonts w:hint="cs"/>
          <w:spacing w:val="-2"/>
          <w:rtl/>
          <w:lang w:bidi="ar-SY"/>
        </w:rPr>
      </w:pPr>
      <w:r w:rsidRPr="00EF714D">
        <w:rPr>
          <w:rFonts w:ascii="Abo-thar" w:hAnsi="Abo-thar" w:hint="cs"/>
          <w:spacing w:val="-2"/>
          <w:sz w:val="28"/>
          <w:rtl/>
          <w:lang w:bidi="ar-SY"/>
        </w:rPr>
        <w:t>ب</w:t>
      </w:r>
      <w:r w:rsidR="00217AB4" w:rsidRPr="00EF714D">
        <w:rPr>
          <w:rFonts w:ascii="Abo-thar" w:hAnsi="Abo-thar" w:hint="cs"/>
          <w:spacing w:val="-2"/>
          <w:sz w:val="28"/>
          <w:rtl/>
          <w:lang w:bidi="ar-SY"/>
        </w:rPr>
        <w:t>-</w:t>
      </w:r>
      <w:r w:rsidRPr="00EF714D">
        <w:rPr>
          <w:rFonts w:ascii="Abo-thar" w:hAnsi="Abo-thar" w:hint="cs"/>
          <w:spacing w:val="-2"/>
          <w:sz w:val="28"/>
          <w:rtl/>
          <w:lang w:bidi="ar-SY"/>
        </w:rPr>
        <w:t xml:space="preserve"> وقال عنه ابن الغضائري</w:t>
      </w:r>
      <w:r w:rsidR="00217AB4" w:rsidRPr="00EF714D">
        <w:rPr>
          <w:rFonts w:ascii="Abo-thar" w:hAnsi="Abo-thar" w:hint="cs"/>
          <w:spacing w:val="-2"/>
          <w:sz w:val="28"/>
          <w:rtl/>
          <w:lang w:bidi="ar-SY"/>
        </w:rPr>
        <w:t>:</w:t>
      </w:r>
      <w:r w:rsidRPr="00EF714D">
        <w:rPr>
          <w:rFonts w:ascii="Abo-thar" w:hAnsi="Abo-thar" w:hint="cs"/>
          <w:spacing w:val="-2"/>
          <w:sz w:val="28"/>
          <w:rtl/>
          <w:lang w:bidi="ar-SY"/>
        </w:rPr>
        <w:t xml:space="preserve"> </w:t>
      </w:r>
      <w:r w:rsidR="00EF2588" w:rsidRPr="00EF714D">
        <w:rPr>
          <w:rFonts w:ascii="Abo-thar" w:hAnsi="Abo-thar" w:hint="cs"/>
          <w:spacing w:val="-2"/>
          <w:sz w:val="28"/>
          <w:rtl/>
          <w:lang w:bidi="ar-SY"/>
        </w:rPr>
        <w:t>«</w:t>
      </w:r>
      <w:r w:rsidRPr="00EF714D">
        <w:rPr>
          <w:rFonts w:ascii="Abo-thar" w:hAnsi="Abo-thar"/>
          <w:b/>
          <w:bCs/>
          <w:spacing w:val="-2"/>
          <w:sz w:val="28"/>
          <w:rtl/>
          <w:lang w:bidi="ar-SY"/>
        </w:rPr>
        <w:t>علي بن أبي حمزة لعنه الله أصل الوقف وأشد الخلق عداوة للولي</w:t>
      </w:r>
      <w:r w:rsidRPr="00EF714D">
        <w:rPr>
          <w:rFonts w:ascii="Abo-thar" w:hAnsi="Abo-thar"/>
          <w:spacing w:val="-2"/>
          <w:sz w:val="28"/>
          <w:rtl/>
          <w:lang w:bidi="ar-SY"/>
        </w:rPr>
        <w:t xml:space="preserve"> </w:t>
      </w:r>
      <w:r w:rsidRPr="00EF714D">
        <w:rPr>
          <w:rFonts w:ascii="Abo-thar" w:hAnsi="Abo-thar" w:hint="cs"/>
          <w:spacing w:val="-2"/>
          <w:sz w:val="28"/>
          <w:rtl/>
          <w:lang w:bidi="ar-SY"/>
        </w:rPr>
        <w:t>[أي للإمام الرضا</w:t>
      </w:r>
      <w:r w:rsidR="00147857" w:rsidRPr="00EF714D">
        <w:rPr>
          <w:rFonts w:ascii="Abo-thar" w:hAnsi="Abo-thar" w:hint="cs"/>
          <w:spacing w:val="-2"/>
          <w:sz w:val="28"/>
          <w:rtl/>
          <w:lang w:bidi="ar-SY"/>
        </w:rPr>
        <w:t xml:space="preserve"> </w:t>
      </w:r>
      <w:r w:rsidR="003C7AEB" w:rsidRPr="00EF714D">
        <w:rPr>
          <w:rFonts w:ascii="Abo-thar" w:hAnsi="Abo-thar" w:cs="CTraditional Arabic"/>
          <w:spacing w:val="-2"/>
          <w:sz w:val="28"/>
          <w:rtl/>
          <w:lang w:bidi="ar-SY"/>
        </w:rPr>
        <w:t>÷</w:t>
      </w:r>
      <w:r w:rsidR="00147857" w:rsidRPr="00EF714D">
        <w:rPr>
          <w:rFonts w:ascii="Abo-thar" w:hAnsi="Abo-thar"/>
          <w:spacing w:val="-2"/>
          <w:sz w:val="28"/>
          <w:rtl/>
          <w:lang w:bidi="ar-SY"/>
        </w:rPr>
        <w:t>]</w:t>
      </w:r>
      <w:r w:rsidRPr="00EF714D">
        <w:rPr>
          <w:rFonts w:ascii="Abo-thar" w:hAnsi="Abo-thar" w:hint="cs"/>
          <w:spacing w:val="-2"/>
          <w:sz w:val="28"/>
          <w:rtl/>
          <w:lang w:bidi="ar-SY"/>
        </w:rPr>
        <w:t xml:space="preserve"> </w:t>
      </w:r>
      <w:r w:rsidRPr="00EF714D">
        <w:rPr>
          <w:rFonts w:ascii="Abo-thar" w:hAnsi="Abo-thar"/>
          <w:b/>
          <w:bCs/>
          <w:spacing w:val="-2"/>
          <w:sz w:val="28"/>
          <w:rtl/>
          <w:lang w:bidi="ar-SY"/>
        </w:rPr>
        <w:t xml:space="preserve">من بعد أبي </w:t>
      </w:r>
      <w:r w:rsidRPr="00EF714D">
        <w:rPr>
          <w:rFonts w:ascii="Abo-thar" w:hAnsi="Abo-thar" w:hint="cs"/>
          <w:b/>
          <w:bCs/>
          <w:spacing w:val="-2"/>
          <w:sz w:val="28"/>
          <w:rtl/>
          <w:lang w:bidi="ar-SY"/>
        </w:rPr>
        <w:t>إ</w:t>
      </w:r>
      <w:r w:rsidRPr="00EF714D">
        <w:rPr>
          <w:rFonts w:ascii="Abo-thar" w:hAnsi="Abo-thar"/>
          <w:b/>
          <w:bCs/>
          <w:spacing w:val="-2"/>
          <w:sz w:val="28"/>
          <w:rtl/>
          <w:lang w:bidi="ar-SY"/>
        </w:rPr>
        <w:t>براهيم</w:t>
      </w:r>
      <w:r w:rsidR="00EF2588" w:rsidRPr="00EF714D">
        <w:rPr>
          <w:rFonts w:ascii="Abo-thar" w:hAnsi="Abo-thar" w:hint="cs"/>
          <w:spacing w:val="-2"/>
          <w:sz w:val="28"/>
          <w:rtl/>
          <w:lang w:bidi="ar-SY"/>
        </w:rPr>
        <w:t>»</w:t>
      </w:r>
      <w:r w:rsidRPr="00EF714D">
        <w:rPr>
          <w:rFonts w:ascii="Abo-thar" w:hAnsi="Abo-thar"/>
          <w:spacing w:val="-2"/>
          <w:sz w:val="28"/>
          <w:rtl/>
          <w:lang w:bidi="ar-SY"/>
        </w:rPr>
        <w:t xml:space="preserve"> أي بعد الإمام موسى الكاظم</w:t>
      </w:r>
      <w:r w:rsidR="003C7AEB" w:rsidRPr="00EF714D">
        <w:rPr>
          <w:rFonts w:ascii="Abo-thar" w:hAnsi="Abo-thar" w:cs="CTraditional Arabic"/>
          <w:spacing w:val="-2"/>
          <w:sz w:val="28"/>
          <w:rtl/>
          <w:lang w:bidi="ar-SY"/>
        </w:rPr>
        <w:t>÷</w:t>
      </w:r>
      <w:r w:rsidR="00EF2588" w:rsidRPr="00EF714D">
        <w:rPr>
          <w:rFonts w:ascii="Abo-thar" w:hAnsi="Abo-thar"/>
          <w:spacing w:val="-2"/>
          <w:sz w:val="28"/>
          <w:rtl/>
          <w:lang w:bidi="ar-SY"/>
        </w:rPr>
        <w:t>»</w:t>
      </w:r>
      <w:r w:rsidR="00217AB4" w:rsidRPr="00EF714D">
        <w:rPr>
          <w:rFonts w:ascii="Abo-thar" w:hAnsi="Abo-thar" w:hint="cs"/>
          <w:spacing w:val="-2"/>
          <w:sz w:val="28"/>
          <w:rtl/>
          <w:lang w:bidi="ar-SY"/>
        </w:rPr>
        <w:t>.</w:t>
      </w:r>
    </w:p>
    <w:p w:rsidR="005C664D" w:rsidRPr="003F3B94" w:rsidRDefault="005C664D" w:rsidP="00F82D5E">
      <w:pPr>
        <w:pStyle w:val="a0"/>
        <w:ind w:left="624" w:hanging="340"/>
        <w:rPr>
          <w:rFonts w:hint="cs"/>
          <w:rtl/>
          <w:lang w:bidi="ar-SY"/>
        </w:rPr>
      </w:pPr>
      <w:r w:rsidRPr="003F3B94">
        <w:rPr>
          <w:rFonts w:ascii="Abo-thar" w:hAnsi="Abo-thar" w:hint="cs"/>
          <w:sz w:val="28"/>
          <w:rtl/>
          <w:lang w:bidi="ar-SY"/>
        </w:rPr>
        <w:t xml:space="preserve">ج </w:t>
      </w:r>
      <w:r w:rsidRPr="003F3B94">
        <w:rPr>
          <w:rFonts w:cs="Times New Roman" w:hint="cs"/>
          <w:sz w:val="28"/>
          <w:rtl/>
          <w:lang w:bidi="ar-SY"/>
        </w:rPr>
        <w:t>–</w:t>
      </w:r>
      <w:r w:rsidRPr="003F3B94">
        <w:rPr>
          <w:rFonts w:ascii="Abo-thar" w:hAnsi="Abo-thar" w:hint="cs"/>
          <w:sz w:val="28"/>
          <w:rtl/>
          <w:lang w:bidi="ar-SY"/>
        </w:rPr>
        <w:t xml:space="preserve"> وقال الكشي في رجاله</w:t>
      </w:r>
      <w:r w:rsidR="00217AB4" w:rsidRPr="003F3B94">
        <w:rPr>
          <w:rFonts w:ascii="Abo-thar" w:hAnsi="Abo-thar" w:hint="cs"/>
          <w:sz w:val="28"/>
          <w:rtl/>
          <w:lang w:bidi="ar-SY"/>
        </w:rPr>
        <w:t>:</w:t>
      </w:r>
      <w:r w:rsidR="00147857" w:rsidRPr="003F3B94">
        <w:rPr>
          <w:rFonts w:ascii="Abo-thar" w:hAnsi="Abo-thar" w:hint="cs"/>
          <w:sz w:val="28"/>
          <w:rtl/>
          <w:lang w:bidi="ar-SY"/>
        </w:rPr>
        <w:t xml:space="preserve"> </w:t>
      </w:r>
      <w:r w:rsidRPr="003F3B94">
        <w:rPr>
          <w:rFonts w:ascii="Abo-thar" w:hAnsi="Abo-thar" w:hint="cs"/>
          <w:sz w:val="28"/>
          <w:rtl/>
          <w:lang w:bidi="ar-SY"/>
        </w:rPr>
        <w:t xml:space="preserve">إن حضرة الإمام أبي الحسن الكاظم </w:t>
      </w:r>
      <w:r w:rsidR="00BC4BA9" w:rsidRPr="00BC4BA9">
        <w:rPr>
          <w:rFonts w:ascii="Abo-thar" w:hAnsi="Abo-thar" w:cs="CTraditional Arabic" w:hint="cs"/>
          <w:sz w:val="28"/>
          <w:rtl/>
          <w:lang w:bidi="ar-SY"/>
        </w:rPr>
        <w:t>÷</w:t>
      </w:r>
      <w:r w:rsidRPr="003F3B94">
        <w:rPr>
          <w:rFonts w:ascii="Abo-thar" w:hAnsi="Abo-thar" w:hint="cs"/>
          <w:sz w:val="28"/>
          <w:rtl/>
          <w:lang w:bidi="ar-SY"/>
        </w:rPr>
        <w:t xml:space="preserve"> قال لعليِّ بن أبي حمزة</w:t>
      </w:r>
      <w:r w:rsidR="00217AB4" w:rsidRPr="003F3B94">
        <w:rPr>
          <w:rFonts w:ascii="Abo-thar" w:hAnsi="Abo-thar" w:hint="cs"/>
          <w:sz w:val="28"/>
          <w:rtl/>
          <w:lang w:bidi="ar-SY"/>
        </w:rPr>
        <w:t>:</w:t>
      </w:r>
      <w:r w:rsidRPr="003F3B94">
        <w:rPr>
          <w:rFonts w:ascii="Abo-thar" w:hAnsi="Abo-thar" w:hint="cs"/>
          <w:sz w:val="28"/>
          <w:rtl/>
          <w:lang w:bidi="ar-SY"/>
        </w:rPr>
        <w:t xml:space="preserve"> </w:t>
      </w:r>
      <w:r w:rsidR="00EF2588" w:rsidRPr="00394385">
        <w:rPr>
          <w:rFonts w:ascii="Abo-thar" w:hAnsi="Abo-thar" w:cs="KFGQPC Uthman Taha Naskh" w:hint="cs"/>
          <w:sz w:val="28"/>
          <w:rtl/>
          <w:lang w:bidi="ar-SY"/>
        </w:rPr>
        <w:t>«</w:t>
      </w:r>
      <w:r w:rsidRPr="00394385">
        <w:rPr>
          <w:rFonts w:ascii="Abo-thar" w:hAnsi="Abo-thar" w:cs="KFGQPC Uthman Taha Naskh"/>
          <w:bCs/>
          <w:sz w:val="28"/>
          <w:rtl/>
          <w:lang w:bidi="ar-SY"/>
        </w:rPr>
        <w:t>إِنَّمَا أَنْتَ وَأَصْحَابُكَ يَا عَلِيُّ أَشْبَاهُ الحَمِير</w:t>
      </w:r>
      <w:r w:rsidR="00EF2588" w:rsidRPr="00394385">
        <w:rPr>
          <w:rFonts w:ascii="Abo-thar" w:hAnsi="Abo-thar" w:cs="KFGQPC Uthman Taha Naskh" w:hint="cs"/>
          <w:sz w:val="28"/>
          <w:rtl/>
          <w:lang w:bidi="ar-SY"/>
        </w:rPr>
        <w:t>»</w:t>
      </w:r>
      <w:r w:rsidR="00217AB4" w:rsidRPr="0021507A">
        <w:rPr>
          <w:rFonts w:cs="Arabic11 BT"/>
          <w:b/>
          <w:sz w:val="28"/>
          <w:vertAlign w:val="superscript"/>
          <w:rtl/>
          <w:lang w:bidi="ar-SY"/>
        </w:rPr>
        <w:t>(</w:t>
      </w:r>
      <w:r w:rsidRPr="0021507A">
        <w:rPr>
          <w:rStyle w:val="FootnoteReference"/>
          <w:rFonts w:cs="Arabic11 BT"/>
          <w:b/>
          <w:sz w:val="28"/>
          <w:rtl/>
          <w:lang w:bidi="ar-SY"/>
        </w:rPr>
        <w:footnoteReference w:id="374"/>
      </w:r>
      <w:r w:rsidR="00217AB4" w:rsidRPr="0021507A">
        <w:rPr>
          <w:rFonts w:cs="Arabic11 BT"/>
          <w:b/>
          <w:sz w:val="28"/>
          <w:vertAlign w:val="superscript"/>
          <w:rtl/>
          <w:lang w:bidi="ar-SY"/>
        </w:rPr>
        <w:t>)</w:t>
      </w:r>
      <w:r w:rsidR="00217AB4" w:rsidRPr="003F3B94">
        <w:rPr>
          <w:rFonts w:ascii="Abo-thar" w:hAnsi="Abo-thar" w:hint="cs"/>
          <w:sz w:val="28"/>
          <w:rtl/>
          <w:lang w:bidi="ar-SY"/>
        </w:rPr>
        <w:t>.</w:t>
      </w:r>
      <w:r w:rsidRPr="003F3B94">
        <w:rPr>
          <w:rFonts w:ascii="Abo-thar" w:hAnsi="Abo-thar" w:hint="cs"/>
          <w:sz w:val="28"/>
          <w:rtl/>
          <w:lang w:bidi="ar-SY"/>
        </w:rPr>
        <w:t xml:space="preserve"> وقال</w:t>
      </w:r>
      <w:r w:rsidR="00217AB4" w:rsidRPr="003F3B94">
        <w:rPr>
          <w:rFonts w:ascii="Abo-thar" w:hAnsi="Abo-thar" w:hint="cs"/>
          <w:sz w:val="28"/>
          <w:rtl/>
          <w:lang w:bidi="ar-SY"/>
        </w:rPr>
        <w:t>:</w:t>
      </w:r>
      <w:r w:rsidRPr="003F3B94">
        <w:rPr>
          <w:rFonts w:ascii="Abo-thar" w:hAnsi="Abo-thar" w:hint="cs"/>
          <w:sz w:val="28"/>
          <w:rtl/>
          <w:lang w:bidi="ar-SY"/>
        </w:rPr>
        <w:t xml:space="preserve"> </w:t>
      </w:r>
      <w:r w:rsidR="00EF2588" w:rsidRPr="003F3B94">
        <w:rPr>
          <w:rFonts w:ascii="Abo-thar" w:hAnsi="Abo-thar" w:hint="cs"/>
          <w:sz w:val="28"/>
          <w:rtl/>
          <w:lang w:bidi="ar-SY"/>
        </w:rPr>
        <w:t>«</w:t>
      </w:r>
      <w:r w:rsidRPr="003F3B94">
        <w:rPr>
          <w:rFonts w:ascii="Abo-thar" w:hAnsi="Abo-thar" w:hint="cs"/>
          <w:sz w:val="28"/>
          <w:rtl/>
          <w:lang w:bidi="ar-SY"/>
        </w:rPr>
        <w:t>ق</w:t>
      </w:r>
      <w:r w:rsidRPr="003F3B94">
        <w:rPr>
          <w:rFonts w:ascii="Abo-thar" w:hAnsi="Abo-thar"/>
          <w:sz w:val="28"/>
          <w:rtl/>
          <w:lang w:bidi="ar-SY"/>
        </w:rPr>
        <w:t>ال ابن مسعود</w:t>
      </w:r>
      <w:r w:rsidR="00217AB4" w:rsidRPr="003F3B94">
        <w:rPr>
          <w:rFonts w:ascii="Abo-thar" w:hAnsi="Abo-thar"/>
          <w:sz w:val="28"/>
          <w:rtl/>
          <w:lang w:bidi="ar-SY"/>
        </w:rPr>
        <w:t>،</w:t>
      </w:r>
      <w:r w:rsidRPr="003F3B94">
        <w:rPr>
          <w:rFonts w:ascii="Abo-thar" w:hAnsi="Abo-thar"/>
          <w:sz w:val="28"/>
          <w:rtl/>
          <w:lang w:bidi="ar-SY"/>
        </w:rPr>
        <w:t xml:space="preserve"> سمعت علي بن الحسن </w:t>
      </w:r>
      <w:r w:rsidRPr="003F3B94">
        <w:rPr>
          <w:rFonts w:ascii="Abo-thar" w:hAnsi="Abo-thar" w:hint="cs"/>
          <w:sz w:val="28"/>
          <w:rtl/>
          <w:lang w:bidi="ar-SY"/>
        </w:rPr>
        <w:t>[بن فضال</w:t>
      </w:r>
      <w:r w:rsidR="00217AB4" w:rsidRPr="003F3B94">
        <w:rPr>
          <w:rFonts w:ascii="Abo-thar" w:hAnsi="Abo-thar" w:hint="cs"/>
          <w:sz w:val="28"/>
          <w:rtl/>
          <w:lang w:bidi="ar-SY"/>
        </w:rPr>
        <w:t>،</w:t>
      </w:r>
      <w:r w:rsidRPr="003F3B94">
        <w:rPr>
          <w:rFonts w:ascii="Abo-thar" w:hAnsi="Abo-thar" w:hint="cs"/>
          <w:sz w:val="28"/>
          <w:rtl/>
          <w:lang w:bidi="ar-SY"/>
        </w:rPr>
        <w:t xml:space="preserve"> يقول]</w:t>
      </w:r>
      <w:r w:rsidR="00217AB4" w:rsidRPr="003F3B94">
        <w:rPr>
          <w:rFonts w:ascii="Abo-thar" w:hAnsi="Abo-thar" w:hint="cs"/>
          <w:sz w:val="28"/>
          <w:rtl/>
          <w:lang w:bidi="ar-SY"/>
        </w:rPr>
        <w:t>:</w:t>
      </w:r>
      <w:r w:rsidRPr="003F3B94">
        <w:rPr>
          <w:rFonts w:ascii="Abo-thar" w:hAnsi="Abo-thar" w:hint="cs"/>
          <w:sz w:val="28"/>
          <w:rtl/>
          <w:lang w:bidi="ar-SY"/>
        </w:rPr>
        <w:t xml:space="preserve"> </w:t>
      </w:r>
      <w:r w:rsidRPr="003F3B94">
        <w:rPr>
          <w:rFonts w:ascii="Abo-thar" w:hAnsi="Abo-thar"/>
          <w:bCs/>
          <w:sz w:val="28"/>
          <w:rtl/>
          <w:lang w:bidi="ar-SY"/>
        </w:rPr>
        <w:t>ابن أبي حمزة كذ</w:t>
      </w:r>
      <w:r w:rsidRPr="003F3B94">
        <w:rPr>
          <w:rFonts w:ascii="Abo-thar" w:hAnsi="Abo-thar" w:hint="cs"/>
          <w:bCs/>
          <w:sz w:val="28"/>
          <w:rtl/>
          <w:lang w:bidi="ar-SY"/>
        </w:rPr>
        <w:t>َّ</w:t>
      </w:r>
      <w:r w:rsidRPr="003F3B94">
        <w:rPr>
          <w:rFonts w:ascii="Abo-thar" w:hAnsi="Abo-thar"/>
          <w:bCs/>
          <w:sz w:val="28"/>
          <w:rtl/>
          <w:lang w:bidi="ar-SY"/>
        </w:rPr>
        <w:t>اب</w:t>
      </w:r>
      <w:r w:rsidRPr="003F3B94">
        <w:rPr>
          <w:rFonts w:ascii="Abo-thar" w:hAnsi="Abo-thar" w:hint="cs"/>
          <w:bCs/>
          <w:sz w:val="28"/>
          <w:rtl/>
          <w:lang w:bidi="ar-SY"/>
        </w:rPr>
        <w:t>ٌ</w:t>
      </w:r>
      <w:r w:rsidRPr="003F3B94">
        <w:rPr>
          <w:rFonts w:ascii="Abo-thar" w:hAnsi="Abo-thar"/>
          <w:bCs/>
          <w:sz w:val="28"/>
          <w:rtl/>
          <w:lang w:bidi="ar-SY"/>
        </w:rPr>
        <w:t xml:space="preserve"> ملعون</w:t>
      </w:r>
      <w:r w:rsidRPr="003F3B94">
        <w:rPr>
          <w:rFonts w:ascii="Abo-thar" w:hAnsi="Abo-thar" w:hint="cs"/>
          <w:bCs/>
          <w:sz w:val="28"/>
          <w:rtl/>
          <w:lang w:bidi="ar-SY"/>
        </w:rPr>
        <w:t>ٌ</w:t>
      </w:r>
      <w:r w:rsidR="00217AB4" w:rsidRPr="003F3B94">
        <w:rPr>
          <w:rFonts w:ascii="Abo-thar" w:hAnsi="Abo-thar"/>
          <w:bCs/>
          <w:sz w:val="28"/>
          <w:rtl/>
          <w:lang w:bidi="ar-SY"/>
        </w:rPr>
        <w:t>،</w:t>
      </w:r>
      <w:r w:rsidRPr="003F3B94">
        <w:rPr>
          <w:rFonts w:ascii="Abo-thar" w:hAnsi="Abo-thar"/>
          <w:sz w:val="28"/>
          <w:rtl/>
          <w:lang w:bidi="ar-SY"/>
        </w:rPr>
        <w:t xml:space="preserve"> قد رويت</w:t>
      </w:r>
      <w:r w:rsidRPr="003F3B94">
        <w:rPr>
          <w:rFonts w:ascii="Abo-thar" w:hAnsi="Abo-thar" w:hint="cs"/>
          <w:sz w:val="28"/>
          <w:rtl/>
          <w:lang w:bidi="ar-SY"/>
        </w:rPr>
        <w:t>ُ</w:t>
      </w:r>
      <w:r w:rsidRPr="003F3B94">
        <w:rPr>
          <w:rFonts w:ascii="Abo-thar" w:hAnsi="Abo-thar"/>
          <w:sz w:val="28"/>
          <w:rtl/>
          <w:lang w:bidi="ar-SY"/>
        </w:rPr>
        <w:t xml:space="preserve"> عنه أحاديث كثيرة</w:t>
      </w:r>
      <w:r w:rsidR="00217AB4" w:rsidRPr="003F3B94">
        <w:rPr>
          <w:rFonts w:ascii="Abo-thar" w:hAnsi="Abo-thar"/>
          <w:sz w:val="28"/>
          <w:rtl/>
          <w:lang w:bidi="ar-SY"/>
        </w:rPr>
        <w:t>،</w:t>
      </w:r>
      <w:r w:rsidRPr="003F3B94">
        <w:rPr>
          <w:rFonts w:ascii="Abo-thar" w:hAnsi="Abo-thar"/>
          <w:sz w:val="28"/>
          <w:rtl/>
          <w:lang w:bidi="ar-SY"/>
        </w:rPr>
        <w:t xml:space="preserve"> وكتبت</w:t>
      </w:r>
      <w:r w:rsidRPr="003F3B94">
        <w:rPr>
          <w:rFonts w:ascii="Abo-thar" w:hAnsi="Abo-thar" w:hint="cs"/>
          <w:sz w:val="28"/>
          <w:rtl/>
          <w:lang w:bidi="ar-SY"/>
        </w:rPr>
        <w:t>ُ</w:t>
      </w:r>
      <w:r w:rsidRPr="003F3B94">
        <w:rPr>
          <w:rFonts w:ascii="Abo-thar" w:hAnsi="Abo-thar"/>
          <w:sz w:val="28"/>
          <w:rtl/>
          <w:lang w:bidi="ar-SY"/>
        </w:rPr>
        <w:t xml:space="preserve"> تفسير القرآن كله من أوله إلى آخره</w:t>
      </w:r>
      <w:r w:rsidR="00217AB4" w:rsidRPr="003F3B94">
        <w:rPr>
          <w:rFonts w:ascii="Abo-thar" w:hAnsi="Abo-thar"/>
          <w:sz w:val="28"/>
          <w:rtl/>
          <w:lang w:bidi="ar-SY"/>
        </w:rPr>
        <w:t>،</w:t>
      </w:r>
      <w:r w:rsidRPr="003F3B94">
        <w:rPr>
          <w:rFonts w:ascii="Abo-thar" w:hAnsi="Abo-thar"/>
          <w:sz w:val="28"/>
          <w:rtl/>
          <w:lang w:bidi="ar-SY"/>
        </w:rPr>
        <w:t xml:space="preserve"> </w:t>
      </w:r>
      <w:r w:rsidRPr="003F3B94">
        <w:rPr>
          <w:rFonts w:ascii="Abo-thar" w:hAnsi="Abo-thar"/>
          <w:bCs/>
          <w:sz w:val="28"/>
          <w:rtl/>
          <w:lang w:bidi="ar-SY"/>
        </w:rPr>
        <w:t>إلا أني لا</w:t>
      </w:r>
      <w:r w:rsidRPr="003F3B94">
        <w:rPr>
          <w:rFonts w:cs="Times New Roman" w:hint="cs"/>
          <w:bCs/>
          <w:sz w:val="28"/>
          <w:rtl/>
          <w:lang w:bidi="ar-SY"/>
        </w:rPr>
        <w:t> </w:t>
      </w:r>
      <w:r w:rsidRPr="003F3B94">
        <w:rPr>
          <w:rFonts w:ascii="Abo-thar" w:hAnsi="Abo-thar"/>
          <w:bCs/>
          <w:sz w:val="28"/>
          <w:rtl/>
          <w:lang w:bidi="ar-SY"/>
        </w:rPr>
        <w:t>أستحل أن أروي عنه حديثا</w:t>
      </w:r>
      <w:r w:rsidRPr="003F3B94">
        <w:rPr>
          <w:rFonts w:ascii="Abo-thar" w:hAnsi="Abo-thar" w:hint="cs"/>
          <w:bCs/>
          <w:sz w:val="28"/>
          <w:rtl/>
          <w:lang w:bidi="ar-SY"/>
        </w:rPr>
        <w:t>ً</w:t>
      </w:r>
      <w:r w:rsidRPr="003F3B94">
        <w:rPr>
          <w:rFonts w:ascii="Abo-thar" w:hAnsi="Abo-thar"/>
          <w:bCs/>
          <w:sz w:val="28"/>
          <w:rtl/>
          <w:lang w:bidi="ar-SY"/>
        </w:rPr>
        <w:t xml:space="preserve"> واحدا</w:t>
      </w:r>
      <w:r w:rsidRPr="003F3B94">
        <w:rPr>
          <w:rFonts w:ascii="Abo-thar" w:hAnsi="Abo-thar" w:hint="cs"/>
          <w:bCs/>
          <w:sz w:val="28"/>
          <w:rtl/>
          <w:lang w:bidi="ar-SY"/>
        </w:rPr>
        <w:t>ً</w:t>
      </w:r>
      <w:r w:rsidR="00F456DF" w:rsidRPr="003F3B94">
        <w:rPr>
          <w:rFonts w:ascii="Abo-thar" w:hAnsi="Abo-thar"/>
          <w:bCs/>
          <w:sz w:val="28"/>
          <w:rtl/>
          <w:lang w:bidi="ar-SY"/>
        </w:rPr>
        <w:t>»</w:t>
      </w:r>
      <w:r w:rsidR="00217AB4" w:rsidRPr="0021507A">
        <w:rPr>
          <w:rFonts w:cs="Arabic11 BT"/>
          <w:b/>
          <w:sz w:val="28"/>
          <w:vertAlign w:val="superscript"/>
          <w:rtl/>
          <w:lang w:bidi="ar-SY"/>
        </w:rPr>
        <w:t>(</w:t>
      </w:r>
      <w:r w:rsidRPr="0021507A">
        <w:rPr>
          <w:rStyle w:val="FootnoteReference"/>
          <w:rFonts w:cs="Arabic11 BT"/>
          <w:b/>
          <w:sz w:val="28"/>
          <w:rtl/>
          <w:lang w:bidi="ar-SY"/>
        </w:rPr>
        <w:footnoteReference w:id="375"/>
      </w:r>
      <w:r w:rsidR="00217AB4" w:rsidRPr="0021507A">
        <w:rPr>
          <w:rFonts w:cs="Arabic11 BT"/>
          <w:b/>
          <w:sz w:val="28"/>
          <w:vertAlign w:val="superscript"/>
          <w:rtl/>
          <w:lang w:bidi="ar-SY"/>
        </w:rPr>
        <w:t>)</w:t>
      </w:r>
      <w:r w:rsidR="00217AB4" w:rsidRPr="003F3B94">
        <w:rPr>
          <w:rFonts w:ascii="Abo-thar" w:hAnsi="Abo-thar" w:hint="cs"/>
          <w:sz w:val="28"/>
          <w:rtl/>
          <w:lang w:bidi="ar-SY"/>
        </w:rPr>
        <w:t>.</w:t>
      </w:r>
    </w:p>
    <w:p w:rsidR="005C664D" w:rsidRPr="003F3B94" w:rsidRDefault="005C664D" w:rsidP="00F82D5E">
      <w:pPr>
        <w:pStyle w:val="a0"/>
        <w:ind w:left="624" w:hanging="340"/>
        <w:rPr>
          <w:rtl/>
          <w:lang w:bidi="ar-SY"/>
        </w:rPr>
      </w:pPr>
      <w:r w:rsidRPr="003F3B94">
        <w:rPr>
          <w:rFonts w:ascii="Abo-thar" w:hAnsi="Abo-thar" w:hint="cs"/>
          <w:sz w:val="28"/>
          <w:rtl/>
          <w:lang w:bidi="ar-SY"/>
        </w:rPr>
        <w:t>د</w:t>
      </w:r>
      <w:r w:rsidR="00217AB4" w:rsidRPr="003F3B94">
        <w:rPr>
          <w:rFonts w:ascii="Abo-thar" w:hAnsi="Abo-thar" w:hint="cs"/>
          <w:sz w:val="28"/>
          <w:rtl/>
          <w:lang w:bidi="ar-SY"/>
        </w:rPr>
        <w:t>-</w:t>
      </w:r>
      <w:r w:rsidRPr="003F3B94">
        <w:rPr>
          <w:rFonts w:ascii="Abo-thar" w:hAnsi="Abo-thar" w:hint="cs"/>
          <w:sz w:val="28"/>
          <w:rtl/>
          <w:lang w:bidi="ar-SY"/>
        </w:rPr>
        <w:t xml:space="preserve"> وقال الكشي</w:t>
      </w:r>
      <w:r w:rsidR="00217AB4" w:rsidRPr="003F3B94">
        <w:rPr>
          <w:rFonts w:ascii="Abo-thar" w:hAnsi="Abo-thar" w:hint="cs"/>
          <w:sz w:val="28"/>
          <w:rtl/>
          <w:lang w:bidi="ar-SY"/>
        </w:rPr>
        <w:t>:</w:t>
      </w:r>
      <w:r w:rsidRPr="003F3B94">
        <w:rPr>
          <w:rFonts w:ascii="Abo-thar" w:hAnsi="Abo-thar" w:hint="cs"/>
          <w:sz w:val="28"/>
          <w:rtl/>
          <w:lang w:bidi="ar-SY"/>
        </w:rPr>
        <w:t xml:space="preserve"> </w:t>
      </w:r>
      <w:r w:rsidR="00EF2588" w:rsidRPr="003F3B94">
        <w:rPr>
          <w:rFonts w:ascii="Abo-thar" w:hAnsi="Abo-thar" w:hint="cs"/>
          <w:sz w:val="28"/>
          <w:rtl/>
          <w:lang w:bidi="ar-SY"/>
        </w:rPr>
        <w:t>«</w:t>
      </w:r>
      <w:r w:rsidRPr="003F3B94">
        <w:rPr>
          <w:rFonts w:ascii="Abo-thar" w:hAnsi="Abo-thar"/>
          <w:bCs/>
          <w:sz w:val="28"/>
          <w:rtl/>
          <w:lang w:bidi="ar-SY"/>
        </w:rPr>
        <w:t>عن يونس بن عبد الرحمن</w:t>
      </w:r>
      <w:r w:rsidR="00217AB4" w:rsidRPr="003F3B94">
        <w:rPr>
          <w:rFonts w:ascii="Abo-thar" w:hAnsi="Abo-thar"/>
          <w:bCs/>
          <w:sz w:val="28"/>
          <w:rtl/>
          <w:lang w:bidi="ar-SY"/>
        </w:rPr>
        <w:t>،</w:t>
      </w:r>
      <w:r w:rsidRPr="003F3B94">
        <w:rPr>
          <w:rFonts w:ascii="Abo-thar" w:hAnsi="Abo-thar"/>
          <w:bCs/>
          <w:sz w:val="28"/>
          <w:rtl/>
          <w:lang w:bidi="ar-SY"/>
        </w:rPr>
        <w:t xml:space="preserve"> قال</w:t>
      </w:r>
      <w:r w:rsidR="00217AB4" w:rsidRPr="003F3B94">
        <w:rPr>
          <w:rFonts w:ascii="Abo-thar" w:hAnsi="Abo-thar"/>
          <w:bCs/>
          <w:sz w:val="28"/>
          <w:rtl/>
          <w:lang w:bidi="ar-SY"/>
        </w:rPr>
        <w:t>،</w:t>
      </w:r>
      <w:r w:rsidRPr="003F3B94">
        <w:rPr>
          <w:rFonts w:ascii="Abo-thar" w:hAnsi="Abo-thar"/>
          <w:bCs/>
          <w:sz w:val="28"/>
          <w:rtl/>
          <w:lang w:bidi="ar-SY"/>
        </w:rPr>
        <w:t xml:space="preserve"> دخلت على الرضا </w:t>
      </w:r>
      <w:r w:rsidR="00BC4BA9" w:rsidRPr="00BC4BA9">
        <w:rPr>
          <w:rFonts w:ascii="Abo-thar" w:hAnsi="Abo-thar" w:cs="CTraditional Arabic"/>
          <w:sz w:val="28"/>
          <w:rtl/>
          <w:lang w:bidi="ar-SY"/>
        </w:rPr>
        <w:t>÷</w:t>
      </w:r>
      <w:r w:rsidRPr="003F3B94">
        <w:rPr>
          <w:rFonts w:ascii="Abo-thar" w:hAnsi="Abo-thar"/>
          <w:bCs/>
          <w:sz w:val="28"/>
          <w:rtl/>
          <w:lang w:bidi="ar-SY"/>
        </w:rPr>
        <w:t xml:space="preserve"> فقال لي</w:t>
      </w:r>
      <w:r w:rsidR="00217AB4" w:rsidRPr="003F3B94">
        <w:rPr>
          <w:rFonts w:ascii="Abo-thar" w:hAnsi="Abo-thar" w:hint="cs"/>
          <w:bCs/>
          <w:sz w:val="28"/>
          <w:rtl/>
          <w:lang w:bidi="ar-SY"/>
        </w:rPr>
        <w:t>:</w:t>
      </w:r>
      <w:r w:rsidRPr="003F3B94">
        <w:rPr>
          <w:rFonts w:ascii="Abo-thar" w:hAnsi="Abo-thar"/>
          <w:bCs/>
          <w:sz w:val="28"/>
          <w:rtl/>
          <w:lang w:bidi="ar-SY"/>
        </w:rPr>
        <w:t xml:space="preserve"> مات علي</w:t>
      </w:r>
      <w:r w:rsidRPr="003F3B94">
        <w:rPr>
          <w:rFonts w:ascii="Abo-thar" w:hAnsi="Abo-thar" w:hint="cs"/>
          <w:bCs/>
          <w:sz w:val="28"/>
          <w:rtl/>
          <w:lang w:bidi="ar-SY"/>
        </w:rPr>
        <w:t>ُّ</w:t>
      </w:r>
      <w:r w:rsidRPr="003F3B94">
        <w:rPr>
          <w:rFonts w:ascii="Abo-thar" w:hAnsi="Abo-thar"/>
          <w:bCs/>
          <w:sz w:val="28"/>
          <w:rtl/>
          <w:lang w:bidi="ar-SY"/>
        </w:rPr>
        <w:t xml:space="preserve"> بن</w:t>
      </w:r>
      <w:r w:rsidRPr="003F3B94">
        <w:rPr>
          <w:rFonts w:ascii="Abo-thar" w:hAnsi="Abo-thar" w:hint="cs"/>
          <w:bCs/>
          <w:sz w:val="28"/>
          <w:rtl/>
          <w:lang w:bidi="ar-SY"/>
        </w:rPr>
        <w:t>ُ</w:t>
      </w:r>
      <w:r w:rsidRPr="003F3B94">
        <w:rPr>
          <w:rFonts w:ascii="Abo-thar" w:hAnsi="Abo-thar"/>
          <w:bCs/>
          <w:sz w:val="28"/>
          <w:rtl/>
          <w:lang w:bidi="ar-SY"/>
        </w:rPr>
        <w:t xml:space="preserve"> أبي حمزة</w:t>
      </w:r>
      <w:r w:rsidR="00217AB4" w:rsidRPr="003F3B94">
        <w:rPr>
          <w:rFonts w:ascii="Abo-thar" w:hAnsi="Abo-thar" w:hint="cs"/>
          <w:bCs/>
          <w:sz w:val="28"/>
          <w:rtl/>
          <w:lang w:bidi="ar-SY"/>
        </w:rPr>
        <w:t>؟</w:t>
      </w:r>
      <w:r w:rsidRPr="003F3B94">
        <w:rPr>
          <w:rFonts w:ascii="Abo-thar" w:hAnsi="Abo-thar"/>
          <w:bCs/>
          <w:sz w:val="28"/>
          <w:rtl/>
          <w:lang w:bidi="ar-SY"/>
        </w:rPr>
        <w:t xml:space="preserve"> قلت</w:t>
      </w:r>
      <w:r w:rsidR="00217AB4" w:rsidRPr="003F3B94">
        <w:rPr>
          <w:rFonts w:ascii="Abo-thar" w:hAnsi="Abo-thar" w:hint="cs"/>
          <w:bCs/>
          <w:sz w:val="28"/>
          <w:rtl/>
          <w:lang w:bidi="ar-SY"/>
        </w:rPr>
        <w:t>:</w:t>
      </w:r>
      <w:r w:rsidRPr="003F3B94">
        <w:rPr>
          <w:rFonts w:ascii="Abo-thar" w:hAnsi="Abo-thar"/>
          <w:bCs/>
          <w:sz w:val="28"/>
          <w:rtl/>
          <w:lang w:bidi="ar-SY"/>
        </w:rPr>
        <w:t xml:space="preserve"> نعم</w:t>
      </w:r>
      <w:r w:rsidR="00217AB4" w:rsidRPr="003F3B94">
        <w:rPr>
          <w:rFonts w:ascii="Abo-thar" w:hAnsi="Abo-thar"/>
          <w:bCs/>
          <w:sz w:val="28"/>
          <w:rtl/>
          <w:lang w:bidi="ar-SY"/>
        </w:rPr>
        <w:t>،</w:t>
      </w:r>
      <w:r w:rsidRPr="003F3B94">
        <w:rPr>
          <w:rFonts w:ascii="Abo-thar" w:hAnsi="Abo-thar"/>
          <w:bCs/>
          <w:sz w:val="28"/>
          <w:rtl/>
          <w:lang w:bidi="ar-SY"/>
        </w:rPr>
        <w:t xml:space="preserve"> قال</w:t>
      </w:r>
      <w:r w:rsidR="00217AB4" w:rsidRPr="003F3B94">
        <w:rPr>
          <w:rFonts w:ascii="Abo-thar" w:hAnsi="Abo-thar" w:hint="cs"/>
          <w:bCs/>
          <w:sz w:val="28"/>
          <w:rtl/>
          <w:lang w:bidi="ar-SY"/>
        </w:rPr>
        <w:t>:</w:t>
      </w:r>
      <w:r w:rsidRPr="003F3B94">
        <w:rPr>
          <w:rFonts w:ascii="Abo-thar" w:hAnsi="Abo-thar"/>
          <w:bCs/>
          <w:sz w:val="28"/>
          <w:rtl/>
          <w:lang w:bidi="ar-SY"/>
        </w:rPr>
        <w:t xml:space="preserve"> قد دخل النار</w:t>
      </w:r>
      <w:r w:rsidR="00217AB4" w:rsidRPr="003F3B94">
        <w:rPr>
          <w:rFonts w:ascii="Abo-thar" w:hAnsi="Abo-thar" w:hint="cs"/>
          <w:sz w:val="28"/>
          <w:rtl/>
          <w:lang w:bidi="ar-SY"/>
        </w:rPr>
        <w:t>..</w:t>
      </w:r>
      <w:r w:rsidR="00EF2588" w:rsidRPr="003F3B94">
        <w:rPr>
          <w:rFonts w:ascii="Abo-thar" w:hAnsi="Abo-thar" w:hint="cs"/>
          <w:sz w:val="28"/>
          <w:rtl/>
          <w:lang w:bidi="ar-SY"/>
        </w:rPr>
        <w:t>»</w:t>
      </w:r>
      <w:r w:rsidR="00217AB4" w:rsidRPr="0021507A">
        <w:rPr>
          <w:rFonts w:cs="Arabic11 BT"/>
          <w:b/>
          <w:sz w:val="28"/>
          <w:vertAlign w:val="superscript"/>
          <w:rtl/>
          <w:lang w:bidi="ar-SY"/>
        </w:rPr>
        <w:t>(</w:t>
      </w:r>
      <w:r w:rsidRPr="0021507A">
        <w:rPr>
          <w:rStyle w:val="FootnoteReference"/>
          <w:rFonts w:cs="Arabic11 BT"/>
          <w:b/>
          <w:sz w:val="28"/>
          <w:rtl/>
          <w:lang w:bidi="ar-SY"/>
        </w:rPr>
        <w:footnoteReference w:id="376"/>
      </w:r>
      <w:r w:rsidR="00217AB4" w:rsidRPr="0021507A">
        <w:rPr>
          <w:rFonts w:cs="Arabic11 BT"/>
          <w:b/>
          <w:sz w:val="28"/>
          <w:vertAlign w:val="superscript"/>
          <w:rtl/>
          <w:lang w:bidi="ar-SY"/>
        </w:rPr>
        <w:t>)</w:t>
      </w:r>
      <w:r w:rsidR="00217AB4" w:rsidRPr="003F3B94">
        <w:rPr>
          <w:rFonts w:ascii="Abo-thar" w:hAnsi="Abo-thar" w:hint="cs"/>
          <w:sz w:val="28"/>
          <w:rtl/>
          <w:lang w:bidi="ar-SY"/>
        </w:rPr>
        <w:t>.</w:t>
      </w:r>
    </w:p>
    <w:p w:rsidR="005C664D" w:rsidRPr="003F3B94" w:rsidRDefault="005C664D" w:rsidP="003F3B94">
      <w:pPr>
        <w:pStyle w:val="a0"/>
        <w:rPr>
          <w:rFonts w:hint="cs"/>
          <w:rtl/>
          <w:lang w:bidi="ar-SY"/>
        </w:rPr>
      </w:pPr>
      <w:r w:rsidRPr="003F3B94">
        <w:rPr>
          <w:rFonts w:ascii="Abo-thar" w:hAnsi="Abo-thar" w:hint="cs"/>
          <w:sz w:val="28"/>
          <w:rtl/>
          <w:lang w:bidi="ar-SY"/>
        </w:rPr>
        <w:t>هؤلاء هم رواة ذلك الحديث الذي ينفي عن الإمام المسؤولية عن أي شيء وأنه يفعل ما يشاء</w:t>
      </w:r>
      <w:r w:rsidR="00217AB4" w:rsidRPr="003F3B94">
        <w:rPr>
          <w:rFonts w:ascii="Abo-thar" w:hAnsi="Abo-thar" w:hint="cs"/>
          <w:sz w:val="28"/>
          <w:rtl/>
          <w:lang w:bidi="ar-SY"/>
        </w:rPr>
        <w:t>!</w:t>
      </w:r>
      <w:r w:rsidRPr="003F3B94">
        <w:rPr>
          <w:rFonts w:ascii="Abo-thar" w:hAnsi="Abo-thar" w:hint="cs"/>
          <w:sz w:val="28"/>
          <w:rtl/>
          <w:lang w:bidi="ar-SY"/>
        </w:rPr>
        <w:t xml:space="preserve"> وينبغي أن نعلم أن </w:t>
      </w:r>
      <w:r w:rsidRPr="003F3B94">
        <w:rPr>
          <w:rFonts w:ascii="Abo-thar" w:hAnsi="Abo-thar" w:hint="eastAsia"/>
          <w:sz w:val="28"/>
          <w:rtl/>
          <w:lang w:bidi="ar-SY"/>
        </w:rPr>
        <w:t>«</w:t>
      </w:r>
      <w:r w:rsidRPr="003F3B94">
        <w:rPr>
          <w:rFonts w:ascii="Abo-thar" w:hAnsi="Abo-thar" w:hint="cs"/>
          <w:sz w:val="28"/>
          <w:rtl/>
          <w:lang w:bidi="ar-SY"/>
        </w:rPr>
        <w:t>علي بن أبي حمزة البطائني</w:t>
      </w:r>
      <w:r w:rsidRPr="003F3B94">
        <w:rPr>
          <w:rFonts w:ascii="Abo-thar" w:hAnsi="Abo-thar" w:hint="eastAsia"/>
          <w:sz w:val="28"/>
          <w:rtl/>
          <w:lang w:bidi="ar-SY"/>
        </w:rPr>
        <w:t>»</w:t>
      </w:r>
      <w:r w:rsidRPr="003F3B94">
        <w:rPr>
          <w:rFonts w:ascii="Abo-thar" w:hAnsi="Abo-thar" w:hint="cs"/>
          <w:sz w:val="28"/>
          <w:rtl/>
          <w:lang w:bidi="ar-SY"/>
        </w:rPr>
        <w:t xml:space="preserve"> وأمثاله من الواقفة الراوين لهذه القصة</w:t>
      </w:r>
      <w:r w:rsidR="001E0DB7" w:rsidRPr="003F3B94">
        <w:rPr>
          <w:rFonts w:ascii="Abo-thar" w:hAnsi="Abo-thar" w:hint="cs"/>
          <w:sz w:val="28"/>
          <w:rtl/>
          <w:lang w:bidi="ar-SY"/>
        </w:rPr>
        <w:t>،</w:t>
      </w:r>
      <w:r w:rsidRPr="003F3B94">
        <w:rPr>
          <w:rFonts w:ascii="Abo-thar" w:hAnsi="Abo-thar" w:hint="cs"/>
          <w:sz w:val="28"/>
          <w:rtl/>
          <w:lang w:bidi="ar-SY"/>
        </w:rPr>
        <w:t xml:space="preserve"> لما كانوا أنفسهم من آخذي ذلك الخمس فإنهم كانوا يوسعون ميدان عملهم ورزقهم بوضع مثل هذه الأحاديث</w:t>
      </w:r>
      <w:r w:rsidR="00217AB4" w:rsidRPr="003F3B94">
        <w:rPr>
          <w:rFonts w:ascii="Abo-thar" w:hAnsi="Abo-thar" w:hint="cs"/>
          <w:sz w:val="28"/>
          <w:rtl/>
          <w:lang w:bidi="ar-SY"/>
        </w:rPr>
        <w:t>.</w:t>
      </w:r>
      <w:r w:rsidRPr="003F3B94">
        <w:rPr>
          <w:rFonts w:ascii="Abo-thar" w:hAnsi="Abo-thar" w:hint="cs"/>
          <w:sz w:val="28"/>
          <w:rtl/>
          <w:lang w:bidi="ar-SY"/>
        </w:rPr>
        <w:t xml:space="preserve"> </w:t>
      </w:r>
    </w:p>
    <w:p w:rsidR="005C664D" w:rsidRPr="00995B26" w:rsidRDefault="005C664D" w:rsidP="003C671C">
      <w:pPr>
        <w:pStyle w:val="a6"/>
        <w:rPr>
          <w:rFonts w:hint="cs"/>
          <w:rtl/>
        </w:rPr>
      </w:pPr>
      <w:bookmarkStart w:id="122" w:name="_Toc215491156"/>
      <w:bookmarkStart w:id="123" w:name="_Toc215498075"/>
      <w:bookmarkStart w:id="124" w:name="_Toc387843091"/>
      <w:r w:rsidRPr="00995B26">
        <w:rPr>
          <w:rFonts w:hint="cs"/>
          <w:rtl/>
        </w:rPr>
        <w:t>متن الحديث</w:t>
      </w:r>
      <w:bookmarkEnd w:id="122"/>
      <w:bookmarkEnd w:id="123"/>
      <w:r w:rsidRPr="00995B26">
        <w:rPr>
          <w:rFonts w:hint="cs"/>
          <w:rtl/>
        </w:rPr>
        <w:t xml:space="preserve"> </w:t>
      </w:r>
      <w:r w:rsidR="00542D29" w:rsidRPr="00995B26">
        <w:rPr>
          <w:rFonts w:hint="cs"/>
          <w:rtl/>
        </w:rPr>
        <w:t>الأول</w:t>
      </w:r>
      <w:r w:rsidR="003C671C">
        <w:rPr>
          <w:rFonts w:hint="cs"/>
          <w:rtl/>
        </w:rPr>
        <w:t>:</w:t>
      </w:r>
      <w:bookmarkEnd w:id="124"/>
    </w:p>
    <w:p w:rsidR="005C664D" w:rsidRPr="00995B26" w:rsidRDefault="005C664D" w:rsidP="003F3B94">
      <w:pPr>
        <w:pStyle w:val="a0"/>
        <w:rPr>
          <w:rFonts w:hint="cs"/>
          <w:rtl/>
        </w:rPr>
      </w:pPr>
      <w:r w:rsidRPr="003F3B94">
        <w:rPr>
          <w:rFonts w:ascii="Abo-thar" w:hAnsi="Abo-thar" w:hint="cs"/>
          <w:sz w:val="28"/>
          <w:rtl/>
          <w:lang w:bidi="ar-SY"/>
        </w:rPr>
        <w:t>كما ذكرنا سابقاً متن هذا الحديث مخالف لآيات الله ولروح الإسلام</w:t>
      </w:r>
      <w:r w:rsidR="001E0DB7" w:rsidRPr="003F3B94">
        <w:rPr>
          <w:rFonts w:ascii="Abo-thar" w:hAnsi="Abo-thar" w:hint="cs"/>
          <w:sz w:val="28"/>
          <w:rtl/>
          <w:lang w:bidi="ar-SY"/>
        </w:rPr>
        <w:t>،</w:t>
      </w:r>
      <w:r w:rsidRPr="003F3B94">
        <w:rPr>
          <w:rFonts w:ascii="Abo-thar" w:hAnsi="Abo-thar" w:hint="cs"/>
          <w:sz w:val="28"/>
          <w:rtl/>
          <w:lang w:bidi="ar-SY"/>
        </w:rPr>
        <w:t xml:space="preserve"> فالقرآن يقرر بكل وضوح أن كل إنسان نبياً كان أو إماماً أو غيرهما مسؤول أمام الله عن أعماله</w:t>
      </w:r>
      <w:r w:rsidR="00217AB4" w:rsidRPr="003F3B94">
        <w:rPr>
          <w:rFonts w:ascii="Abo-thar" w:hAnsi="Abo-thar" w:hint="cs"/>
          <w:sz w:val="28"/>
          <w:rtl/>
          <w:lang w:bidi="ar-SY"/>
        </w:rPr>
        <w:t>:</w:t>
      </w:r>
      <w:r w:rsidRPr="003F3B94">
        <w:rPr>
          <w:rFonts w:ascii="Abo-thar" w:hAnsi="Abo-thar" w:hint="cs"/>
          <w:sz w:val="28"/>
          <w:rtl/>
          <w:lang w:bidi="ar-SY"/>
        </w:rPr>
        <w:t xml:space="preserve"> </w:t>
      </w:r>
      <w:r w:rsidR="00B06788" w:rsidRPr="00995B26">
        <w:rPr>
          <w:rFonts w:ascii="Abo-thar" w:hAnsi="Abo-thar" w:cs="Traditional Arabic" w:hint="cs"/>
          <w:sz w:val="28"/>
          <w:rtl/>
          <w:lang w:bidi="ar-SY"/>
        </w:rPr>
        <w:t>﴿</w:t>
      </w:r>
      <w:r w:rsidR="00B06788" w:rsidRPr="0067048A">
        <w:rPr>
          <w:rFonts w:ascii="KFGQPC Uthmanic Script HAFS" w:cs="KFGQPC Uthmanic Script HAFS" w:hint="eastAsia"/>
          <w:sz w:val="28"/>
          <w:szCs w:val="28"/>
          <w:rtl/>
        </w:rPr>
        <w:t>فَلَنَس</w:t>
      </w:r>
      <w:r w:rsidR="00B06788" w:rsidRPr="0067048A">
        <w:rPr>
          <w:rFonts w:ascii="KFGQPC Uthmanic Script HAFS" w:cs="KFGQPC Uthmanic Script HAFS" w:hint="cs"/>
          <w:sz w:val="28"/>
          <w:szCs w:val="28"/>
          <w:rtl/>
        </w:rPr>
        <w:t>ۡ</w:t>
      </w:r>
      <w:r w:rsidR="00B06788" w:rsidRPr="0067048A">
        <w:rPr>
          <w:rFonts w:ascii="KFGQPC Uthmanic Script HAFS" w:cs="KFGQPC Uthmanic Script HAFS" w:hint="eastAsia"/>
          <w:sz w:val="28"/>
          <w:szCs w:val="28"/>
          <w:rtl/>
        </w:rPr>
        <w:t>‍</w:t>
      </w:r>
      <w:r w:rsidR="00B06788" w:rsidRPr="0067048A">
        <w:rPr>
          <w:rFonts w:ascii="KFGQPC Uthmanic Script HAFS" w:cs="KFGQPC Uthmanic Script HAFS" w:hint="cs"/>
          <w:sz w:val="28"/>
          <w:szCs w:val="28"/>
          <w:rtl/>
        </w:rPr>
        <w:t>ٔ</w:t>
      </w:r>
      <w:r w:rsidR="00B06788" w:rsidRPr="0067048A">
        <w:rPr>
          <w:rFonts w:ascii="KFGQPC Uthmanic Script HAFS" w:cs="KFGQPC Uthmanic Script HAFS" w:hint="eastAsia"/>
          <w:sz w:val="28"/>
          <w:szCs w:val="28"/>
          <w:rtl/>
        </w:rPr>
        <w:t>َلَنَّ</w:t>
      </w:r>
      <w:r w:rsidR="00B06788" w:rsidRPr="0067048A">
        <w:rPr>
          <w:rFonts w:ascii="KFGQPC Uthmanic Script HAFS" w:cs="KFGQPC Uthmanic Script HAFS"/>
          <w:sz w:val="28"/>
          <w:szCs w:val="28"/>
          <w:rtl/>
        </w:rPr>
        <w:t xml:space="preserve"> </w:t>
      </w:r>
      <w:r w:rsidR="00B06788" w:rsidRPr="0067048A">
        <w:rPr>
          <w:rFonts w:ascii="KFGQPC Uthmanic Script HAFS" w:cs="KFGQPC Uthmanic Script HAFS" w:hint="cs"/>
          <w:sz w:val="28"/>
          <w:szCs w:val="28"/>
          <w:rtl/>
        </w:rPr>
        <w:t>ٱ</w:t>
      </w:r>
      <w:r w:rsidR="00B06788" w:rsidRPr="0067048A">
        <w:rPr>
          <w:rFonts w:ascii="KFGQPC Uthmanic Script HAFS" w:cs="KFGQPC Uthmanic Script HAFS" w:hint="eastAsia"/>
          <w:sz w:val="28"/>
          <w:szCs w:val="28"/>
          <w:rtl/>
        </w:rPr>
        <w:t>لَّذِينَ</w:t>
      </w:r>
      <w:r w:rsidR="00B06788" w:rsidRPr="0067048A">
        <w:rPr>
          <w:rFonts w:ascii="KFGQPC Uthmanic Script HAFS" w:cs="KFGQPC Uthmanic Script HAFS"/>
          <w:sz w:val="28"/>
          <w:szCs w:val="28"/>
          <w:rtl/>
        </w:rPr>
        <w:t xml:space="preserve"> </w:t>
      </w:r>
      <w:r w:rsidR="00B06788" w:rsidRPr="0067048A">
        <w:rPr>
          <w:rFonts w:ascii="KFGQPC Uthmanic Script HAFS" w:cs="KFGQPC Uthmanic Script HAFS" w:hint="eastAsia"/>
          <w:sz w:val="28"/>
          <w:szCs w:val="28"/>
          <w:rtl/>
        </w:rPr>
        <w:t>أُر</w:t>
      </w:r>
      <w:r w:rsidR="00B06788" w:rsidRPr="0067048A">
        <w:rPr>
          <w:rFonts w:ascii="KFGQPC Uthmanic Script HAFS" w:cs="KFGQPC Uthmanic Script HAFS" w:hint="cs"/>
          <w:sz w:val="28"/>
          <w:szCs w:val="28"/>
          <w:rtl/>
        </w:rPr>
        <w:t>ۡ</w:t>
      </w:r>
      <w:r w:rsidR="00B06788" w:rsidRPr="0067048A">
        <w:rPr>
          <w:rFonts w:ascii="KFGQPC Uthmanic Script HAFS" w:cs="KFGQPC Uthmanic Script HAFS" w:hint="eastAsia"/>
          <w:sz w:val="28"/>
          <w:szCs w:val="28"/>
          <w:rtl/>
        </w:rPr>
        <w:t>سِلَ</w:t>
      </w:r>
      <w:r w:rsidR="00B06788" w:rsidRPr="0067048A">
        <w:rPr>
          <w:rFonts w:ascii="KFGQPC Uthmanic Script HAFS" w:cs="KFGQPC Uthmanic Script HAFS"/>
          <w:sz w:val="28"/>
          <w:szCs w:val="28"/>
          <w:rtl/>
        </w:rPr>
        <w:t xml:space="preserve"> </w:t>
      </w:r>
      <w:r w:rsidR="00B06788" w:rsidRPr="0067048A">
        <w:rPr>
          <w:rFonts w:ascii="KFGQPC Uthmanic Script HAFS" w:cs="KFGQPC Uthmanic Script HAFS" w:hint="eastAsia"/>
          <w:sz w:val="28"/>
          <w:szCs w:val="28"/>
          <w:rtl/>
        </w:rPr>
        <w:t>إِلَي</w:t>
      </w:r>
      <w:r w:rsidR="00B06788" w:rsidRPr="0067048A">
        <w:rPr>
          <w:rFonts w:ascii="KFGQPC Uthmanic Script HAFS" w:cs="KFGQPC Uthmanic Script HAFS" w:hint="cs"/>
          <w:sz w:val="28"/>
          <w:szCs w:val="28"/>
          <w:rtl/>
        </w:rPr>
        <w:t>ۡ</w:t>
      </w:r>
      <w:r w:rsidR="00B06788" w:rsidRPr="0067048A">
        <w:rPr>
          <w:rFonts w:ascii="KFGQPC Uthmanic Script HAFS" w:cs="KFGQPC Uthmanic Script HAFS" w:hint="eastAsia"/>
          <w:sz w:val="28"/>
          <w:szCs w:val="28"/>
          <w:rtl/>
        </w:rPr>
        <w:t>هِم</w:t>
      </w:r>
      <w:r w:rsidR="00B06788" w:rsidRPr="0067048A">
        <w:rPr>
          <w:rFonts w:ascii="KFGQPC Uthmanic Script HAFS" w:cs="KFGQPC Uthmanic Script HAFS" w:hint="cs"/>
          <w:sz w:val="28"/>
          <w:szCs w:val="28"/>
          <w:rtl/>
        </w:rPr>
        <w:t>ۡ</w:t>
      </w:r>
      <w:r w:rsidR="00B06788" w:rsidRPr="0067048A">
        <w:rPr>
          <w:rFonts w:ascii="KFGQPC Uthmanic Script HAFS" w:cs="KFGQPC Uthmanic Script HAFS"/>
          <w:sz w:val="28"/>
          <w:szCs w:val="28"/>
          <w:rtl/>
        </w:rPr>
        <w:t xml:space="preserve"> </w:t>
      </w:r>
      <w:r w:rsidR="00B06788" w:rsidRPr="0067048A">
        <w:rPr>
          <w:rFonts w:ascii="KFGQPC Uthmanic Script HAFS" w:cs="KFGQPC Uthmanic Script HAFS" w:hint="eastAsia"/>
          <w:sz w:val="28"/>
          <w:szCs w:val="28"/>
          <w:rtl/>
        </w:rPr>
        <w:t>وَلَنَس</w:t>
      </w:r>
      <w:r w:rsidR="00B06788" w:rsidRPr="0067048A">
        <w:rPr>
          <w:rFonts w:ascii="KFGQPC Uthmanic Script HAFS" w:cs="KFGQPC Uthmanic Script HAFS" w:hint="cs"/>
          <w:sz w:val="28"/>
          <w:szCs w:val="28"/>
          <w:rtl/>
        </w:rPr>
        <w:t>ۡ</w:t>
      </w:r>
      <w:r w:rsidR="00B06788" w:rsidRPr="0067048A">
        <w:rPr>
          <w:rFonts w:ascii="KFGQPC Uthmanic Script HAFS" w:cs="KFGQPC Uthmanic Script HAFS" w:hint="eastAsia"/>
          <w:sz w:val="28"/>
          <w:szCs w:val="28"/>
          <w:rtl/>
        </w:rPr>
        <w:t>‍</w:t>
      </w:r>
      <w:r w:rsidR="00B06788" w:rsidRPr="0067048A">
        <w:rPr>
          <w:rFonts w:ascii="KFGQPC Uthmanic Script HAFS" w:cs="KFGQPC Uthmanic Script HAFS" w:hint="cs"/>
          <w:sz w:val="28"/>
          <w:szCs w:val="28"/>
          <w:rtl/>
        </w:rPr>
        <w:t>ٔ</w:t>
      </w:r>
      <w:r w:rsidR="00B06788" w:rsidRPr="0067048A">
        <w:rPr>
          <w:rFonts w:ascii="KFGQPC Uthmanic Script HAFS" w:cs="KFGQPC Uthmanic Script HAFS" w:hint="eastAsia"/>
          <w:sz w:val="28"/>
          <w:szCs w:val="28"/>
          <w:rtl/>
        </w:rPr>
        <w:t>َلَنَّ</w:t>
      </w:r>
      <w:r w:rsidR="00B06788" w:rsidRPr="0067048A">
        <w:rPr>
          <w:rFonts w:ascii="KFGQPC Uthmanic Script HAFS" w:cs="KFGQPC Uthmanic Script HAFS"/>
          <w:sz w:val="28"/>
          <w:szCs w:val="28"/>
          <w:rtl/>
        </w:rPr>
        <w:t xml:space="preserve"> </w:t>
      </w:r>
      <w:r w:rsidR="00B06788" w:rsidRPr="0067048A">
        <w:rPr>
          <w:rFonts w:ascii="KFGQPC Uthmanic Script HAFS" w:cs="KFGQPC Uthmanic Script HAFS" w:hint="cs"/>
          <w:sz w:val="28"/>
          <w:szCs w:val="28"/>
          <w:rtl/>
        </w:rPr>
        <w:t>ٱ</w:t>
      </w:r>
      <w:r w:rsidR="00B06788" w:rsidRPr="0067048A">
        <w:rPr>
          <w:rFonts w:ascii="KFGQPC Uthmanic Script HAFS" w:cs="KFGQPC Uthmanic Script HAFS" w:hint="eastAsia"/>
          <w:sz w:val="28"/>
          <w:szCs w:val="28"/>
          <w:rtl/>
        </w:rPr>
        <w:t>ل</w:t>
      </w:r>
      <w:r w:rsidR="00B06788" w:rsidRPr="0067048A">
        <w:rPr>
          <w:rFonts w:ascii="KFGQPC Uthmanic Script HAFS" w:cs="KFGQPC Uthmanic Script HAFS" w:hint="cs"/>
          <w:sz w:val="28"/>
          <w:szCs w:val="28"/>
          <w:rtl/>
        </w:rPr>
        <w:t>ۡ</w:t>
      </w:r>
      <w:r w:rsidR="00B06788" w:rsidRPr="0067048A">
        <w:rPr>
          <w:rFonts w:ascii="KFGQPC Uthmanic Script HAFS" w:cs="KFGQPC Uthmanic Script HAFS" w:hint="eastAsia"/>
          <w:sz w:val="28"/>
          <w:szCs w:val="28"/>
          <w:rtl/>
        </w:rPr>
        <w:t>مُر</w:t>
      </w:r>
      <w:r w:rsidR="00B06788" w:rsidRPr="0067048A">
        <w:rPr>
          <w:rFonts w:ascii="KFGQPC Uthmanic Script HAFS" w:cs="KFGQPC Uthmanic Script HAFS" w:hint="cs"/>
          <w:sz w:val="28"/>
          <w:szCs w:val="28"/>
          <w:rtl/>
        </w:rPr>
        <w:t>ۡ</w:t>
      </w:r>
      <w:r w:rsidR="00B06788" w:rsidRPr="0067048A">
        <w:rPr>
          <w:rFonts w:ascii="KFGQPC Uthmanic Script HAFS" w:cs="KFGQPC Uthmanic Script HAFS" w:hint="eastAsia"/>
          <w:sz w:val="28"/>
          <w:szCs w:val="28"/>
          <w:rtl/>
        </w:rPr>
        <w:t>سَلِينَ</w:t>
      </w:r>
      <w:r w:rsidR="00B06788" w:rsidRPr="0067048A">
        <w:rPr>
          <w:rFonts w:ascii="KFGQPC Uthmanic Script HAFS" w:cs="KFGQPC Uthmanic Script HAFS"/>
          <w:sz w:val="28"/>
          <w:szCs w:val="28"/>
          <w:rtl/>
        </w:rPr>
        <w:t xml:space="preserve"> </w:t>
      </w:r>
      <w:r w:rsidR="00B06788" w:rsidRPr="0067048A">
        <w:rPr>
          <w:rFonts w:ascii="KFGQPC Uthmanic Script HAFS" w:cs="KFGQPC Uthmanic Script HAFS" w:hint="cs"/>
          <w:sz w:val="28"/>
          <w:szCs w:val="28"/>
          <w:rtl/>
        </w:rPr>
        <w:t>٦</w:t>
      </w:r>
      <w:r w:rsidR="00B06788" w:rsidRPr="00995B26">
        <w:rPr>
          <w:rFonts w:ascii="Abo-thar" w:hAnsi="Abo-thar" w:cs="Traditional Arabic" w:hint="cs"/>
          <w:sz w:val="28"/>
          <w:rtl/>
          <w:lang w:bidi="ar-SY"/>
        </w:rPr>
        <w:t>﴾</w:t>
      </w:r>
      <w:r w:rsidR="00B06788" w:rsidRPr="00995B26">
        <w:rPr>
          <w:rFonts w:ascii="Abo-thar" w:hAnsi="Abo-thar" w:hint="cs"/>
          <w:sz w:val="28"/>
          <w:rtl/>
          <w:lang w:bidi="ar-SY"/>
        </w:rPr>
        <w:t xml:space="preserve"> </w:t>
      </w:r>
      <w:r w:rsidRPr="009E1401">
        <w:rPr>
          <w:rStyle w:val="Char2"/>
          <w:rFonts w:hint="cs"/>
          <w:rtl/>
        </w:rPr>
        <w:t>[الأعراف</w:t>
      </w:r>
      <w:r w:rsidR="00B06788" w:rsidRPr="009E1401">
        <w:rPr>
          <w:rStyle w:val="Char2"/>
          <w:rFonts w:hint="cs"/>
          <w:rtl/>
        </w:rPr>
        <w:t xml:space="preserve">: </w:t>
      </w:r>
      <w:r w:rsidRPr="009E1401">
        <w:rPr>
          <w:rStyle w:val="Char2"/>
          <w:rFonts w:hint="cs"/>
          <w:rtl/>
        </w:rPr>
        <w:t>6]</w:t>
      </w:r>
      <w:r w:rsidR="00217AB4" w:rsidRPr="00995B26">
        <w:rPr>
          <w:rFonts w:ascii="Abo-thar" w:hAnsi="Abo-thar" w:hint="cs"/>
          <w:sz w:val="28"/>
          <w:rtl/>
          <w:lang w:bidi="ar-SY"/>
        </w:rPr>
        <w:t>.</w:t>
      </w:r>
      <w:r w:rsidRPr="00995B26">
        <w:rPr>
          <w:rFonts w:ascii="Abo-thar" w:hAnsi="Abo-thar" w:hint="cs"/>
          <w:sz w:val="28"/>
          <w:rtl/>
          <w:lang w:bidi="ar-SY"/>
        </w:rPr>
        <w:t xml:space="preserve"> </w:t>
      </w:r>
    </w:p>
    <w:p w:rsidR="005C664D" w:rsidRPr="00995B26" w:rsidRDefault="005C664D" w:rsidP="003F3B94">
      <w:pPr>
        <w:pStyle w:val="a0"/>
        <w:rPr>
          <w:rFonts w:hint="cs"/>
          <w:rtl/>
          <w:lang w:bidi="ar-SY"/>
        </w:rPr>
      </w:pPr>
      <w:r w:rsidRPr="003F3B94">
        <w:rPr>
          <w:rFonts w:ascii="Abo-thar" w:hAnsi="Abo-thar" w:hint="cs"/>
          <w:sz w:val="28"/>
          <w:rtl/>
          <w:lang w:bidi="ar-SY"/>
        </w:rPr>
        <w:t>فكيف لا يكون إعطاء الزكاة واجباً على الأنبياء</w:t>
      </w:r>
      <w:r w:rsidR="001E0DB7" w:rsidRPr="003F3B94">
        <w:rPr>
          <w:rFonts w:ascii="Abo-thar" w:hAnsi="Abo-thar" w:hint="cs"/>
          <w:sz w:val="28"/>
          <w:rtl/>
          <w:lang w:bidi="ar-SY"/>
        </w:rPr>
        <w:t>،</w:t>
      </w:r>
      <w:r w:rsidRPr="003F3B94">
        <w:rPr>
          <w:rFonts w:ascii="Abo-thar" w:hAnsi="Abo-thar" w:hint="cs"/>
          <w:sz w:val="28"/>
          <w:rtl/>
          <w:lang w:bidi="ar-SY"/>
        </w:rPr>
        <w:t xml:space="preserve"> وافتراض مثل هذا الأمر بشأن الإمام من المحالات</w:t>
      </w:r>
      <w:r w:rsidR="00217AB4" w:rsidRPr="003F3B94">
        <w:rPr>
          <w:rFonts w:ascii="Abo-thar" w:hAnsi="Abo-thar" w:hint="cs"/>
          <w:sz w:val="28"/>
          <w:rtl/>
          <w:lang w:bidi="ar-SY"/>
        </w:rPr>
        <w:t>.</w:t>
      </w:r>
      <w:r w:rsidRPr="003F3B94">
        <w:rPr>
          <w:rFonts w:ascii="Abo-thar" w:hAnsi="Abo-thar" w:hint="cs"/>
          <w:sz w:val="28"/>
          <w:rtl/>
          <w:lang w:bidi="ar-SY"/>
        </w:rPr>
        <w:t xml:space="preserve"> إن في القرآن الكريم آيات واضحة بشأن دفع الأنبياء لزكاة أموالهم ومسؤوليتهم أمام الله تعالى</w:t>
      </w:r>
      <w:r w:rsidR="001E0DB7" w:rsidRPr="003F3B94">
        <w:rPr>
          <w:rFonts w:ascii="Abo-thar" w:hAnsi="Abo-thar" w:hint="cs"/>
          <w:sz w:val="28"/>
          <w:rtl/>
          <w:lang w:bidi="ar-SY"/>
        </w:rPr>
        <w:t>،</w:t>
      </w:r>
      <w:r w:rsidRPr="003F3B94">
        <w:rPr>
          <w:rFonts w:ascii="Abo-thar" w:hAnsi="Abo-thar" w:hint="cs"/>
          <w:sz w:val="28"/>
          <w:rtl/>
          <w:lang w:bidi="ar-SY"/>
        </w:rPr>
        <w:t xml:space="preserve"> والوحيد الذي لا يُسأَل هو الحق عز وجل</w:t>
      </w:r>
      <w:r w:rsidR="00217AB4" w:rsidRPr="003F3B94">
        <w:rPr>
          <w:rFonts w:ascii="Abo-thar" w:hAnsi="Abo-thar" w:hint="cs"/>
          <w:sz w:val="28"/>
          <w:rtl/>
          <w:lang w:bidi="ar-SY"/>
        </w:rPr>
        <w:t>:</w:t>
      </w:r>
      <w:r w:rsidR="00B06788" w:rsidRPr="003F3B94">
        <w:rPr>
          <w:rFonts w:ascii="Abo-thar" w:hAnsi="Abo-thar" w:hint="cs"/>
          <w:sz w:val="28"/>
          <w:rtl/>
          <w:lang w:bidi="ar-SY"/>
        </w:rPr>
        <w:t xml:space="preserve"> </w:t>
      </w:r>
      <w:r w:rsidR="00B06788" w:rsidRPr="00995B26">
        <w:rPr>
          <w:rFonts w:ascii="Abo-thar" w:hAnsi="Abo-thar" w:cs="Traditional Arabic" w:hint="cs"/>
          <w:sz w:val="28"/>
          <w:rtl/>
          <w:lang w:bidi="ar-SY"/>
        </w:rPr>
        <w:t>﴿</w:t>
      </w:r>
      <w:r w:rsidR="00B06788" w:rsidRPr="0067048A">
        <w:rPr>
          <w:rFonts w:ascii="KFGQPC Uthmanic Script HAFS" w:cs="KFGQPC Uthmanic Script HAFS" w:hint="eastAsia"/>
          <w:sz w:val="28"/>
          <w:szCs w:val="28"/>
          <w:rtl/>
        </w:rPr>
        <w:t>لَا</w:t>
      </w:r>
      <w:r w:rsidR="00B06788" w:rsidRPr="0067048A">
        <w:rPr>
          <w:rFonts w:ascii="KFGQPC Uthmanic Script HAFS" w:cs="KFGQPC Uthmanic Script HAFS"/>
          <w:sz w:val="28"/>
          <w:szCs w:val="28"/>
          <w:rtl/>
        </w:rPr>
        <w:t xml:space="preserve"> </w:t>
      </w:r>
      <w:r w:rsidR="00B06788" w:rsidRPr="0067048A">
        <w:rPr>
          <w:rFonts w:ascii="KFGQPC Uthmanic Script HAFS" w:cs="KFGQPC Uthmanic Script HAFS" w:hint="eastAsia"/>
          <w:sz w:val="28"/>
          <w:szCs w:val="28"/>
          <w:rtl/>
        </w:rPr>
        <w:t>يُس</w:t>
      </w:r>
      <w:r w:rsidR="00B06788" w:rsidRPr="0067048A">
        <w:rPr>
          <w:rFonts w:ascii="KFGQPC Uthmanic Script HAFS" w:cs="KFGQPC Uthmanic Script HAFS" w:hint="cs"/>
          <w:sz w:val="28"/>
          <w:szCs w:val="28"/>
          <w:rtl/>
        </w:rPr>
        <w:t>ۡ</w:t>
      </w:r>
      <w:r w:rsidR="00B06788" w:rsidRPr="0067048A">
        <w:rPr>
          <w:rFonts w:ascii="KFGQPC Uthmanic Script HAFS" w:cs="KFGQPC Uthmanic Script HAFS" w:hint="eastAsia"/>
          <w:sz w:val="28"/>
          <w:szCs w:val="28"/>
          <w:rtl/>
        </w:rPr>
        <w:t>‍</w:t>
      </w:r>
      <w:r w:rsidR="00B06788" w:rsidRPr="0067048A">
        <w:rPr>
          <w:rFonts w:ascii="KFGQPC Uthmanic Script HAFS" w:cs="KFGQPC Uthmanic Script HAFS" w:hint="cs"/>
          <w:sz w:val="28"/>
          <w:szCs w:val="28"/>
          <w:rtl/>
        </w:rPr>
        <w:t>ٔ</w:t>
      </w:r>
      <w:r w:rsidR="00B06788" w:rsidRPr="0067048A">
        <w:rPr>
          <w:rFonts w:ascii="KFGQPC Uthmanic Script HAFS" w:cs="KFGQPC Uthmanic Script HAFS" w:hint="eastAsia"/>
          <w:sz w:val="28"/>
          <w:szCs w:val="28"/>
          <w:rtl/>
        </w:rPr>
        <w:t>َلُ</w:t>
      </w:r>
      <w:r w:rsidR="00B06788" w:rsidRPr="0067048A">
        <w:rPr>
          <w:rFonts w:ascii="KFGQPC Uthmanic Script HAFS" w:cs="KFGQPC Uthmanic Script HAFS"/>
          <w:sz w:val="28"/>
          <w:szCs w:val="28"/>
          <w:rtl/>
        </w:rPr>
        <w:t xml:space="preserve"> </w:t>
      </w:r>
      <w:r w:rsidR="00B06788" w:rsidRPr="0067048A">
        <w:rPr>
          <w:rFonts w:ascii="KFGQPC Uthmanic Script HAFS" w:cs="KFGQPC Uthmanic Script HAFS" w:hint="eastAsia"/>
          <w:sz w:val="28"/>
          <w:szCs w:val="28"/>
          <w:rtl/>
        </w:rPr>
        <w:t>عَمَّا</w:t>
      </w:r>
      <w:r w:rsidR="00B06788" w:rsidRPr="0067048A">
        <w:rPr>
          <w:rFonts w:ascii="KFGQPC Uthmanic Script HAFS" w:cs="KFGQPC Uthmanic Script HAFS"/>
          <w:sz w:val="28"/>
          <w:szCs w:val="28"/>
          <w:rtl/>
        </w:rPr>
        <w:t xml:space="preserve"> </w:t>
      </w:r>
      <w:r w:rsidR="00B06788" w:rsidRPr="0067048A">
        <w:rPr>
          <w:rFonts w:ascii="KFGQPC Uthmanic Script HAFS" w:cs="KFGQPC Uthmanic Script HAFS" w:hint="eastAsia"/>
          <w:sz w:val="28"/>
          <w:szCs w:val="28"/>
          <w:rtl/>
        </w:rPr>
        <w:t>يَف</w:t>
      </w:r>
      <w:r w:rsidR="00B06788" w:rsidRPr="0067048A">
        <w:rPr>
          <w:rFonts w:ascii="KFGQPC Uthmanic Script HAFS" w:cs="KFGQPC Uthmanic Script HAFS" w:hint="cs"/>
          <w:sz w:val="28"/>
          <w:szCs w:val="28"/>
          <w:rtl/>
        </w:rPr>
        <w:t>ۡ</w:t>
      </w:r>
      <w:r w:rsidR="00B06788" w:rsidRPr="0067048A">
        <w:rPr>
          <w:rFonts w:ascii="KFGQPC Uthmanic Script HAFS" w:cs="KFGQPC Uthmanic Script HAFS" w:hint="eastAsia"/>
          <w:sz w:val="28"/>
          <w:szCs w:val="28"/>
          <w:rtl/>
        </w:rPr>
        <w:t>عَلُ</w:t>
      </w:r>
      <w:r w:rsidR="00B06788" w:rsidRPr="0067048A">
        <w:rPr>
          <w:rFonts w:ascii="KFGQPC Uthmanic Script HAFS" w:cs="KFGQPC Uthmanic Script HAFS"/>
          <w:sz w:val="28"/>
          <w:szCs w:val="28"/>
          <w:rtl/>
        </w:rPr>
        <w:t xml:space="preserve"> </w:t>
      </w:r>
      <w:r w:rsidR="00B06788" w:rsidRPr="0067048A">
        <w:rPr>
          <w:rFonts w:ascii="KFGQPC Uthmanic Script HAFS" w:cs="KFGQPC Uthmanic Script HAFS" w:hint="eastAsia"/>
          <w:sz w:val="28"/>
          <w:szCs w:val="28"/>
          <w:rtl/>
        </w:rPr>
        <w:t>وَهُم</w:t>
      </w:r>
      <w:r w:rsidR="00B06788" w:rsidRPr="0067048A">
        <w:rPr>
          <w:rFonts w:ascii="KFGQPC Uthmanic Script HAFS" w:cs="KFGQPC Uthmanic Script HAFS" w:hint="cs"/>
          <w:sz w:val="28"/>
          <w:szCs w:val="28"/>
          <w:rtl/>
        </w:rPr>
        <w:t>ۡ</w:t>
      </w:r>
      <w:r w:rsidR="00B06788" w:rsidRPr="0067048A">
        <w:rPr>
          <w:rFonts w:ascii="KFGQPC Uthmanic Script HAFS" w:cs="KFGQPC Uthmanic Script HAFS"/>
          <w:sz w:val="28"/>
          <w:szCs w:val="28"/>
          <w:rtl/>
        </w:rPr>
        <w:t xml:space="preserve"> </w:t>
      </w:r>
      <w:r w:rsidR="00B06788" w:rsidRPr="0067048A">
        <w:rPr>
          <w:rFonts w:ascii="KFGQPC Uthmanic Script HAFS" w:cs="KFGQPC Uthmanic Script HAFS" w:hint="eastAsia"/>
          <w:sz w:val="28"/>
          <w:szCs w:val="28"/>
          <w:rtl/>
        </w:rPr>
        <w:t>يُس</w:t>
      </w:r>
      <w:r w:rsidR="00B06788" w:rsidRPr="0067048A">
        <w:rPr>
          <w:rFonts w:ascii="KFGQPC Uthmanic Script HAFS" w:cs="KFGQPC Uthmanic Script HAFS" w:hint="cs"/>
          <w:sz w:val="28"/>
          <w:szCs w:val="28"/>
          <w:rtl/>
        </w:rPr>
        <w:t>ۡ</w:t>
      </w:r>
      <w:r w:rsidR="00B06788" w:rsidRPr="0067048A">
        <w:rPr>
          <w:rFonts w:ascii="KFGQPC Uthmanic Script HAFS" w:cs="KFGQPC Uthmanic Script HAFS" w:hint="eastAsia"/>
          <w:sz w:val="28"/>
          <w:szCs w:val="28"/>
          <w:rtl/>
        </w:rPr>
        <w:t>‍</w:t>
      </w:r>
      <w:r w:rsidR="00B06788" w:rsidRPr="0067048A">
        <w:rPr>
          <w:rFonts w:ascii="KFGQPC Uthmanic Script HAFS" w:cs="KFGQPC Uthmanic Script HAFS" w:hint="cs"/>
          <w:sz w:val="28"/>
          <w:szCs w:val="28"/>
          <w:rtl/>
        </w:rPr>
        <w:t>ٔ</w:t>
      </w:r>
      <w:r w:rsidR="00B06788" w:rsidRPr="0067048A">
        <w:rPr>
          <w:rFonts w:ascii="KFGQPC Uthmanic Script HAFS" w:cs="KFGQPC Uthmanic Script HAFS" w:hint="eastAsia"/>
          <w:sz w:val="28"/>
          <w:szCs w:val="28"/>
          <w:rtl/>
        </w:rPr>
        <w:t>َلُونَ</w:t>
      </w:r>
      <w:r w:rsidR="00B06788" w:rsidRPr="0067048A">
        <w:rPr>
          <w:rFonts w:ascii="KFGQPC Uthmanic Script HAFS" w:cs="KFGQPC Uthmanic Script HAFS"/>
          <w:sz w:val="28"/>
          <w:szCs w:val="28"/>
          <w:rtl/>
        </w:rPr>
        <w:t xml:space="preserve"> </w:t>
      </w:r>
      <w:r w:rsidR="00B06788" w:rsidRPr="0067048A">
        <w:rPr>
          <w:rFonts w:ascii="KFGQPC Uthmanic Script HAFS" w:cs="KFGQPC Uthmanic Script HAFS" w:hint="cs"/>
          <w:sz w:val="28"/>
          <w:szCs w:val="28"/>
          <w:rtl/>
        </w:rPr>
        <w:t>٢٣</w:t>
      </w:r>
      <w:r w:rsidR="00B06788" w:rsidRPr="00995B26">
        <w:rPr>
          <w:rFonts w:ascii="Abo-thar" w:hAnsi="Abo-thar" w:cs="Traditional Arabic" w:hint="cs"/>
          <w:sz w:val="28"/>
          <w:rtl/>
          <w:lang w:bidi="ar-SY"/>
        </w:rPr>
        <w:t>﴾</w:t>
      </w:r>
      <w:r w:rsidRPr="00995B26">
        <w:rPr>
          <w:rFonts w:ascii="Abo-thar" w:hAnsi="Abo-thar" w:hint="cs"/>
          <w:sz w:val="28"/>
          <w:rtl/>
          <w:lang w:bidi="ar-SY"/>
        </w:rPr>
        <w:t xml:space="preserve"> </w:t>
      </w:r>
      <w:r w:rsidRPr="009E1401">
        <w:rPr>
          <w:rStyle w:val="Char2"/>
          <w:rFonts w:hint="cs"/>
          <w:rtl/>
        </w:rPr>
        <w:t>[الأنبياء</w:t>
      </w:r>
      <w:r w:rsidR="00B06788" w:rsidRPr="009E1401">
        <w:rPr>
          <w:rStyle w:val="Char2"/>
          <w:rFonts w:hint="cs"/>
          <w:rtl/>
        </w:rPr>
        <w:t xml:space="preserve">: </w:t>
      </w:r>
      <w:r w:rsidRPr="009E1401">
        <w:rPr>
          <w:rStyle w:val="Char2"/>
          <w:rFonts w:hint="cs"/>
          <w:rtl/>
        </w:rPr>
        <w:t>23]</w:t>
      </w:r>
      <w:r w:rsidR="00217AB4" w:rsidRPr="00995B26">
        <w:rPr>
          <w:rFonts w:ascii="Abo-thar" w:hAnsi="Abo-thar" w:hint="cs"/>
          <w:sz w:val="28"/>
          <w:rtl/>
          <w:lang w:bidi="ar-SY"/>
        </w:rPr>
        <w:t>.</w:t>
      </w:r>
      <w:r w:rsidRPr="00995B26">
        <w:rPr>
          <w:rFonts w:ascii="Abo-thar" w:hAnsi="Abo-thar" w:hint="cs"/>
          <w:sz w:val="28"/>
          <w:rtl/>
          <w:lang w:bidi="ar-SY"/>
        </w:rPr>
        <w:t xml:space="preserve"> </w:t>
      </w:r>
    </w:p>
    <w:p w:rsidR="005C664D" w:rsidRPr="00995B26" w:rsidRDefault="005C664D" w:rsidP="003C671C">
      <w:pPr>
        <w:pStyle w:val="a6"/>
        <w:rPr>
          <w:rFonts w:hint="cs"/>
          <w:rtl/>
        </w:rPr>
      </w:pPr>
      <w:bookmarkStart w:id="125" w:name="_Toc215491157"/>
      <w:bookmarkStart w:id="126" w:name="_Toc215498076"/>
      <w:bookmarkStart w:id="127" w:name="_Toc387843092"/>
      <w:r w:rsidRPr="00995B26">
        <w:rPr>
          <w:rFonts w:hint="cs"/>
          <w:rtl/>
        </w:rPr>
        <w:t>سند الحديث الثاني</w:t>
      </w:r>
      <w:r w:rsidR="00217AB4" w:rsidRPr="00995B26">
        <w:rPr>
          <w:rFonts w:hint="cs"/>
          <w:rtl/>
        </w:rPr>
        <w:t>:</w:t>
      </w:r>
      <w:bookmarkEnd w:id="125"/>
      <w:bookmarkEnd w:id="126"/>
      <w:bookmarkEnd w:id="127"/>
      <w:r w:rsidRPr="00995B26">
        <w:rPr>
          <w:rFonts w:hint="cs"/>
          <w:rtl/>
        </w:rPr>
        <w:t xml:space="preserve"> </w:t>
      </w:r>
    </w:p>
    <w:p w:rsidR="005C664D" w:rsidRPr="003F3B94" w:rsidRDefault="005C664D" w:rsidP="003F3B94">
      <w:pPr>
        <w:pStyle w:val="a0"/>
        <w:rPr>
          <w:rFonts w:hint="cs"/>
          <w:rtl/>
        </w:rPr>
      </w:pPr>
      <w:r w:rsidRPr="003F3B94">
        <w:rPr>
          <w:rFonts w:ascii="Abo-thar" w:hAnsi="Abo-thar" w:hint="cs"/>
          <w:sz w:val="28"/>
          <w:rtl/>
        </w:rPr>
        <w:t>أما سند الحديث الثاني من الأحاديث التي يستند إليها الفقهاء الآخذون للخمس</w:t>
      </w:r>
      <w:r w:rsidR="00217AB4" w:rsidRPr="003F3B94">
        <w:rPr>
          <w:rFonts w:ascii="Abo-thar" w:hAnsi="Abo-thar" w:hint="cs"/>
          <w:sz w:val="28"/>
          <w:rtl/>
        </w:rPr>
        <w:t>!</w:t>
      </w:r>
      <w:r w:rsidRPr="003F3B94">
        <w:rPr>
          <w:rFonts w:ascii="Abo-thar" w:hAnsi="Abo-thar" w:hint="cs"/>
          <w:sz w:val="28"/>
          <w:rtl/>
        </w:rPr>
        <w:t xml:space="preserve"> فهو حسبما ذكره السيد الهمداني في </w:t>
      </w:r>
      <w:r w:rsidRPr="003F3B94">
        <w:rPr>
          <w:rFonts w:ascii="Abo-thar" w:hAnsi="Abo-thar"/>
          <w:sz w:val="28"/>
          <w:rtl/>
        </w:rPr>
        <w:t>«</w:t>
      </w:r>
      <w:r w:rsidRPr="003F3B94">
        <w:rPr>
          <w:rFonts w:ascii="Abo-thar" w:hAnsi="Abo-thar" w:hint="cs"/>
          <w:sz w:val="28"/>
          <w:rtl/>
        </w:rPr>
        <w:t>مصباح الفقيه</w:t>
      </w:r>
      <w:r w:rsidRPr="003F3B94">
        <w:rPr>
          <w:rFonts w:ascii="Abo-thar" w:hAnsi="Abo-thar"/>
          <w:sz w:val="28"/>
          <w:rtl/>
        </w:rPr>
        <w:t>»</w:t>
      </w:r>
      <w:r w:rsidRPr="003F3B94">
        <w:rPr>
          <w:rFonts w:ascii="Abo-thar" w:hAnsi="Abo-thar" w:hint="cs"/>
          <w:sz w:val="28"/>
          <w:rtl/>
        </w:rPr>
        <w:t xml:space="preserve"> كما يلي</w:t>
      </w:r>
      <w:r w:rsidR="00217AB4" w:rsidRPr="003F3B94">
        <w:rPr>
          <w:rFonts w:ascii="Abo-thar" w:hAnsi="Abo-thar" w:hint="cs"/>
          <w:sz w:val="28"/>
          <w:rtl/>
        </w:rPr>
        <w:t>:</w:t>
      </w:r>
    </w:p>
    <w:p w:rsidR="005C664D" w:rsidRPr="00394385" w:rsidRDefault="005C664D" w:rsidP="003F3B94">
      <w:pPr>
        <w:pStyle w:val="a0"/>
        <w:rPr>
          <w:rFonts w:cs="KFGQPC Uthman Taha Naskh" w:hint="cs"/>
          <w:rtl/>
        </w:rPr>
      </w:pPr>
      <w:r w:rsidRPr="00394385">
        <w:rPr>
          <w:rFonts w:ascii="Abo-thar" w:hAnsi="Abo-thar" w:cs="KFGQPC Uthman Taha Naskh" w:hint="cs"/>
          <w:sz w:val="28"/>
          <w:rtl/>
        </w:rPr>
        <w:t>2</w:t>
      </w:r>
      <w:r w:rsidR="00217AB4" w:rsidRPr="00394385">
        <w:rPr>
          <w:rFonts w:ascii="Abo-thar" w:hAnsi="Abo-thar" w:cs="KFGQPC Uthman Taha Naskh" w:hint="cs"/>
          <w:sz w:val="28"/>
          <w:rtl/>
        </w:rPr>
        <w:t>-</w:t>
      </w:r>
      <w:r w:rsidRPr="00394385">
        <w:rPr>
          <w:rFonts w:ascii="Abo-thar" w:hAnsi="Abo-thar" w:cs="KFGQPC Uthman Taha Naskh" w:hint="cs"/>
          <w:sz w:val="28"/>
          <w:rtl/>
        </w:rPr>
        <w:t xml:space="preserve"> </w:t>
      </w:r>
      <w:r w:rsidRPr="00394385">
        <w:rPr>
          <w:rFonts w:ascii="Abo-thar" w:hAnsi="Abo-thar" w:cs="KFGQPC Uthman Taha Naskh"/>
          <w:sz w:val="28"/>
          <w:rtl/>
        </w:rPr>
        <w:t xml:space="preserve">عَلِيُّ بْنُ مُحَمَّدٍ عَنْ سَهْلِ بْنِ زِيَادٍ عَنْ مُحَمَّدِ بْنِ عِيسَى عَنْ مُحَمَّدِ بْنِ الرَّيَّانِ قَالَ كَتَبْتُ إِلَى العَسْكَرِيِّ </w:t>
      </w:r>
      <w:r w:rsidR="00BC4BA9" w:rsidRPr="00BC4BA9">
        <w:rPr>
          <w:rFonts w:ascii="Abo-thar" w:hAnsi="Abo-thar" w:cs="CTraditional Arabic" w:hint="cs"/>
          <w:sz w:val="28"/>
          <w:rtl/>
        </w:rPr>
        <w:t>÷</w:t>
      </w:r>
      <w:r w:rsidR="00217AB4" w:rsidRPr="00394385">
        <w:rPr>
          <w:rFonts w:ascii="Abo-thar" w:hAnsi="Abo-thar" w:cs="KFGQPC Uthman Taha Naskh" w:hint="cs"/>
          <w:sz w:val="28"/>
          <w:rtl/>
        </w:rPr>
        <w:t>..</w:t>
      </w:r>
    </w:p>
    <w:p w:rsidR="005C664D" w:rsidRPr="003F3B94" w:rsidRDefault="005C664D" w:rsidP="003F3B94">
      <w:pPr>
        <w:pStyle w:val="a0"/>
        <w:rPr>
          <w:rFonts w:hint="cs"/>
          <w:rtl/>
        </w:rPr>
      </w:pPr>
      <w:r w:rsidRPr="003F3B94">
        <w:rPr>
          <w:rFonts w:ascii="Abo-thar" w:hAnsi="Abo-thar" w:hint="cs"/>
          <w:sz w:val="28"/>
          <w:rtl/>
        </w:rPr>
        <w:t xml:space="preserve">في هذا الحديث سنصرف النظر عن حال راويه الأول </w:t>
      </w:r>
      <w:r w:rsidRPr="003F3B94">
        <w:rPr>
          <w:rFonts w:ascii="Abo-thar" w:hAnsi="Abo-thar"/>
          <w:sz w:val="28"/>
          <w:rtl/>
        </w:rPr>
        <w:t>«عَلِيّ</w:t>
      </w:r>
      <w:r w:rsidRPr="003F3B94">
        <w:rPr>
          <w:rFonts w:ascii="Abo-thar" w:hAnsi="Abo-thar" w:hint="cs"/>
          <w:sz w:val="28"/>
          <w:rtl/>
        </w:rPr>
        <w:t>ِ</w:t>
      </w:r>
      <w:r w:rsidRPr="003F3B94">
        <w:rPr>
          <w:rFonts w:ascii="Abo-thar" w:hAnsi="Abo-thar"/>
          <w:sz w:val="28"/>
          <w:rtl/>
        </w:rPr>
        <w:t xml:space="preserve"> بْن</w:t>
      </w:r>
      <w:r w:rsidRPr="003F3B94">
        <w:rPr>
          <w:rFonts w:ascii="Abo-thar" w:hAnsi="Abo-thar" w:hint="cs"/>
          <w:sz w:val="28"/>
          <w:rtl/>
        </w:rPr>
        <w:t>ِ</w:t>
      </w:r>
      <w:r w:rsidRPr="003F3B94">
        <w:rPr>
          <w:rFonts w:ascii="Abo-thar" w:hAnsi="Abo-thar"/>
          <w:sz w:val="28"/>
          <w:rtl/>
        </w:rPr>
        <w:t xml:space="preserve"> مُحَمَّدٍ»</w:t>
      </w:r>
      <w:r w:rsidRPr="003F3B94">
        <w:rPr>
          <w:rFonts w:ascii="Abo-thar" w:hAnsi="Abo-thar" w:hint="cs"/>
          <w:sz w:val="28"/>
          <w:rtl/>
        </w:rPr>
        <w:t>أيّاً كان</w:t>
      </w:r>
      <w:r w:rsidR="00217AB4" w:rsidRPr="003F3B94">
        <w:rPr>
          <w:rFonts w:ascii="Abo-thar" w:hAnsi="Abo-thar" w:hint="cs"/>
          <w:sz w:val="28"/>
          <w:rtl/>
        </w:rPr>
        <w:t>،</w:t>
      </w:r>
      <w:r w:rsidRPr="003F3B94">
        <w:rPr>
          <w:rFonts w:ascii="Abo-thar" w:hAnsi="Abo-thar" w:hint="cs"/>
          <w:sz w:val="28"/>
          <w:rtl/>
        </w:rPr>
        <w:t xml:space="preserve"> لأن معرفة أحوال سائر رجال السند تغنينا عن ذلك</w:t>
      </w:r>
      <w:r w:rsidR="00217AB4" w:rsidRPr="003F3B94">
        <w:rPr>
          <w:rFonts w:ascii="Abo-thar" w:hAnsi="Abo-thar" w:hint="cs"/>
          <w:sz w:val="28"/>
          <w:rtl/>
        </w:rPr>
        <w:t>.</w:t>
      </w:r>
      <w:r w:rsidRPr="003F3B94">
        <w:rPr>
          <w:rFonts w:ascii="Abo-thar" w:hAnsi="Abo-thar" w:hint="cs"/>
          <w:sz w:val="28"/>
          <w:rtl/>
        </w:rPr>
        <w:t xml:space="preserve"> </w:t>
      </w:r>
      <w:r w:rsidRPr="003F3B94">
        <w:rPr>
          <w:rFonts w:ascii="Abo-thar" w:hAnsi="Abo-thar"/>
          <w:sz w:val="28"/>
          <w:rtl/>
        </w:rPr>
        <w:t>«عَلِيُّ بْنُ مُحَمَّدٍ»</w:t>
      </w:r>
      <w:r w:rsidRPr="003F3B94">
        <w:rPr>
          <w:rFonts w:ascii="Abo-thar" w:hAnsi="Abo-thar" w:hint="cs"/>
          <w:sz w:val="28"/>
          <w:rtl/>
        </w:rPr>
        <w:t xml:space="preserve"> هذا روى الرواية عن </w:t>
      </w:r>
      <w:r w:rsidRPr="003F3B94">
        <w:rPr>
          <w:rFonts w:ascii="Abo-thar" w:hAnsi="Abo-thar"/>
          <w:sz w:val="28"/>
          <w:rtl/>
        </w:rPr>
        <w:t>«سَهْلِ بْنِ زِيَادٍ»</w:t>
      </w:r>
      <w:r w:rsidR="00217AB4" w:rsidRPr="003F3B94">
        <w:rPr>
          <w:rFonts w:ascii="Abo-thar" w:hAnsi="Abo-thar" w:hint="cs"/>
          <w:sz w:val="28"/>
          <w:rtl/>
        </w:rPr>
        <w:t>،</w:t>
      </w:r>
      <w:r w:rsidRPr="003F3B94">
        <w:rPr>
          <w:rFonts w:ascii="Abo-thar" w:hAnsi="Abo-thar" w:hint="cs"/>
          <w:sz w:val="28"/>
          <w:rtl/>
        </w:rPr>
        <w:t xml:space="preserve"> وقد بينا طرفاً من حاله الوخيمة في تعليقنا على أحاديث وجوب الخمس</w:t>
      </w:r>
      <w:r w:rsidR="00217AB4" w:rsidRPr="003F3B94">
        <w:rPr>
          <w:rFonts w:ascii="Abo-thar" w:hAnsi="Abo-thar" w:hint="cs"/>
          <w:sz w:val="28"/>
          <w:rtl/>
        </w:rPr>
        <w:t>،</w:t>
      </w:r>
      <w:r w:rsidRPr="003F3B94">
        <w:rPr>
          <w:rFonts w:ascii="Abo-thar" w:hAnsi="Abo-thar" w:hint="cs"/>
          <w:sz w:val="28"/>
          <w:rtl/>
        </w:rPr>
        <w:t xml:space="preserve"> ونعيد هنا التذكير بأهم ما جاء في ذلك</w:t>
      </w:r>
      <w:r w:rsidR="00217AB4" w:rsidRPr="003F3B94">
        <w:rPr>
          <w:rFonts w:ascii="Abo-thar" w:hAnsi="Abo-thar" w:hint="cs"/>
          <w:sz w:val="28"/>
          <w:rtl/>
        </w:rPr>
        <w:t>:</w:t>
      </w:r>
    </w:p>
    <w:p w:rsidR="005C664D" w:rsidRPr="003F3B94" w:rsidRDefault="005C664D" w:rsidP="00EF714D">
      <w:pPr>
        <w:pStyle w:val="a0"/>
        <w:ind w:left="624" w:hanging="340"/>
        <w:rPr>
          <w:rFonts w:hint="cs"/>
          <w:rtl/>
          <w:lang w:bidi="ar-SY"/>
        </w:rPr>
      </w:pPr>
      <w:r w:rsidRPr="003F3B94">
        <w:rPr>
          <w:rFonts w:ascii="Abo-thar" w:hAnsi="Abo-thar" w:hint="cs"/>
          <w:sz w:val="28"/>
          <w:rtl/>
        </w:rPr>
        <w:t>ألف</w:t>
      </w:r>
      <w:r w:rsidR="00217AB4" w:rsidRPr="003F3B94">
        <w:rPr>
          <w:rFonts w:ascii="Abo-thar" w:hAnsi="Abo-thar" w:hint="cs"/>
          <w:sz w:val="28"/>
          <w:rtl/>
        </w:rPr>
        <w:t>-</w:t>
      </w:r>
      <w:r w:rsidR="00147857" w:rsidRPr="003F3B94">
        <w:rPr>
          <w:rFonts w:ascii="Abo-thar" w:hAnsi="Abo-thar" w:hint="cs"/>
          <w:sz w:val="28"/>
          <w:rtl/>
        </w:rPr>
        <w:t xml:space="preserve"> </w:t>
      </w:r>
      <w:r w:rsidRPr="003F3B94">
        <w:rPr>
          <w:rFonts w:ascii="Abo-thar" w:hAnsi="Abo-thar" w:hint="cs"/>
          <w:sz w:val="28"/>
          <w:rtl/>
        </w:rPr>
        <w:t xml:space="preserve">اعتبره الشيخ الطوسي في </w:t>
      </w:r>
      <w:r w:rsidRPr="003F3B94">
        <w:rPr>
          <w:rFonts w:ascii="Abo-thar" w:hAnsi="Abo-thar"/>
          <w:sz w:val="28"/>
          <w:rtl/>
        </w:rPr>
        <w:t>«</w:t>
      </w:r>
      <w:r w:rsidRPr="003F3B94">
        <w:rPr>
          <w:rFonts w:ascii="Abo-thar" w:hAnsi="Abo-thar" w:hint="cs"/>
          <w:sz w:val="28"/>
          <w:rtl/>
        </w:rPr>
        <w:t>الفهرست</w:t>
      </w:r>
      <w:r w:rsidRPr="003F3B94">
        <w:rPr>
          <w:rFonts w:ascii="Abo-thar" w:hAnsi="Abo-thar"/>
          <w:sz w:val="28"/>
          <w:rtl/>
        </w:rPr>
        <w:t>»</w:t>
      </w:r>
      <w:r w:rsidRPr="003F3B94">
        <w:rPr>
          <w:rFonts w:ascii="Abo-thar" w:hAnsi="Abo-thar" w:hint="cs"/>
          <w:sz w:val="28"/>
          <w:rtl/>
        </w:rPr>
        <w:t xml:space="preserve"> ضعيفاً وقال عنه في </w:t>
      </w:r>
      <w:r w:rsidRPr="003F3B94">
        <w:rPr>
          <w:rFonts w:ascii="Abo-thar" w:hAnsi="Abo-thar"/>
          <w:sz w:val="28"/>
          <w:rtl/>
        </w:rPr>
        <w:t>«</w:t>
      </w:r>
      <w:r w:rsidRPr="003F3B94">
        <w:rPr>
          <w:rFonts w:ascii="Abo-thar" w:hAnsi="Abo-thar" w:hint="cs"/>
          <w:sz w:val="28"/>
          <w:rtl/>
        </w:rPr>
        <w:t>الاستبصار</w:t>
      </w:r>
      <w:r w:rsidRPr="003F3B94">
        <w:rPr>
          <w:rFonts w:ascii="Abo-thar" w:hAnsi="Abo-thar"/>
          <w:sz w:val="28"/>
          <w:rtl/>
        </w:rPr>
        <w:t>»</w:t>
      </w:r>
      <w:r w:rsidR="00217AB4" w:rsidRPr="003F3B94">
        <w:rPr>
          <w:rFonts w:ascii="Abo-thar" w:hAnsi="Abo-thar" w:hint="cs"/>
          <w:sz w:val="28"/>
          <w:rtl/>
        </w:rPr>
        <w:t>:</w:t>
      </w:r>
      <w:r w:rsidRPr="003F3B94">
        <w:rPr>
          <w:rFonts w:ascii="Abo-thar" w:hAnsi="Abo-thar" w:hint="cs"/>
          <w:sz w:val="28"/>
          <w:rtl/>
        </w:rPr>
        <w:t xml:space="preserve"> </w:t>
      </w:r>
      <w:r w:rsidRPr="003F3B94">
        <w:rPr>
          <w:rFonts w:ascii="Abo-thar" w:hAnsi="Abo-thar"/>
          <w:b/>
          <w:bCs/>
          <w:sz w:val="28"/>
          <w:rtl/>
        </w:rPr>
        <w:t>ضَعِيفٌ جِدّاً عِنْدَ نُقَّادِ الأَخْبَار</w:t>
      </w:r>
      <w:r w:rsidR="00217AB4" w:rsidRPr="003F3B94">
        <w:rPr>
          <w:rFonts w:ascii="Abo-thar" w:hAnsi="Abo-thar" w:hint="cs"/>
          <w:sz w:val="28"/>
          <w:rtl/>
        </w:rPr>
        <w:t>.</w:t>
      </w:r>
    </w:p>
    <w:p w:rsidR="005C664D" w:rsidRPr="003F3B94" w:rsidRDefault="005C664D" w:rsidP="00EF714D">
      <w:pPr>
        <w:pStyle w:val="a0"/>
        <w:ind w:left="624" w:hanging="340"/>
        <w:rPr>
          <w:rFonts w:hint="cs"/>
          <w:rtl/>
        </w:rPr>
      </w:pPr>
      <w:r w:rsidRPr="003F3B94">
        <w:rPr>
          <w:rFonts w:ascii="Abo-thar" w:hAnsi="Abo-thar" w:hint="cs"/>
          <w:sz w:val="28"/>
          <w:rtl/>
          <w:lang w:bidi="ar-SY"/>
        </w:rPr>
        <w:t>ب</w:t>
      </w:r>
      <w:r w:rsidR="00217AB4" w:rsidRPr="003F3B94">
        <w:rPr>
          <w:rFonts w:ascii="Abo-thar" w:hAnsi="Abo-thar" w:hint="cs"/>
          <w:sz w:val="28"/>
          <w:rtl/>
          <w:lang w:bidi="ar-SY"/>
        </w:rPr>
        <w:t>-</w:t>
      </w:r>
      <w:r w:rsidRPr="003F3B94">
        <w:rPr>
          <w:rFonts w:ascii="Abo-thar" w:hAnsi="Abo-thar" w:hint="cs"/>
          <w:sz w:val="28"/>
          <w:rtl/>
          <w:lang w:bidi="ar-SY"/>
        </w:rPr>
        <w:t xml:space="preserve"> قال عنه النجاشي</w:t>
      </w:r>
      <w:r w:rsidR="00217AB4" w:rsidRPr="003F3B94">
        <w:rPr>
          <w:rFonts w:ascii="Abo-thar" w:hAnsi="Abo-thar" w:hint="cs"/>
          <w:sz w:val="28"/>
          <w:rtl/>
          <w:lang w:bidi="ar-SY"/>
        </w:rPr>
        <w:t>:</w:t>
      </w:r>
      <w:r w:rsidRPr="003F3B94">
        <w:rPr>
          <w:rFonts w:ascii="Abo-thar" w:hAnsi="Abo-thar" w:hint="cs"/>
          <w:sz w:val="28"/>
          <w:rtl/>
          <w:lang w:bidi="ar-SY"/>
        </w:rPr>
        <w:t xml:space="preserve"> </w:t>
      </w:r>
      <w:r w:rsidR="00EF2588" w:rsidRPr="003F3B94">
        <w:rPr>
          <w:rFonts w:ascii="Abo-thar" w:hAnsi="Abo-thar" w:hint="cs"/>
          <w:sz w:val="28"/>
          <w:rtl/>
          <w:lang w:bidi="ar-SY"/>
        </w:rPr>
        <w:t>«</w:t>
      </w:r>
      <w:r w:rsidRPr="003F3B94">
        <w:rPr>
          <w:rFonts w:ascii="Abo-thar" w:hAnsi="Abo-thar"/>
          <w:b/>
          <w:bCs/>
          <w:sz w:val="28"/>
          <w:rtl/>
          <w:lang w:bidi="ar-SY"/>
        </w:rPr>
        <w:t>سَهْل بن زِيَاد أبو سعيد الآدمي الرازي</w:t>
      </w:r>
      <w:r w:rsidR="00217AB4" w:rsidRPr="003F3B94">
        <w:rPr>
          <w:rFonts w:ascii="Abo-thar" w:hAnsi="Abo-thar"/>
          <w:b/>
          <w:bCs/>
          <w:sz w:val="28"/>
          <w:rtl/>
          <w:lang w:bidi="ar-SY"/>
        </w:rPr>
        <w:t>:</w:t>
      </w:r>
      <w:r w:rsidRPr="003F3B94">
        <w:rPr>
          <w:rFonts w:ascii="Abo-thar" w:hAnsi="Abo-thar"/>
          <w:b/>
          <w:bCs/>
          <w:sz w:val="28"/>
          <w:rtl/>
          <w:lang w:bidi="ar-SY"/>
        </w:rPr>
        <w:t xml:space="preserve"> كان ضعيفاً في الحديث</w:t>
      </w:r>
      <w:r w:rsidR="00217AB4" w:rsidRPr="003F3B94">
        <w:rPr>
          <w:rFonts w:ascii="Abo-thar" w:hAnsi="Abo-thar"/>
          <w:b/>
          <w:bCs/>
          <w:sz w:val="28"/>
          <w:rtl/>
          <w:lang w:bidi="ar-SY"/>
        </w:rPr>
        <w:t>،</w:t>
      </w:r>
      <w:r w:rsidRPr="003F3B94">
        <w:rPr>
          <w:rFonts w:ascii="Abo-thar" w:hAnsi="Abo-thar"/>
          <w:b/>
          <w:bCs/>
          <w:sz w:val="28"/>
          <w:rtl/>
          <w:lang w:bidi="ar-SY"/>
        </w:rPr>
        <w:t xml:space="preserve"> غير معتمد فيه</w:t>
      </w:r>
      <w:r w:rsidR="00217AB4" w:rsidRPr="003F3B94">
        <w:rPr>
          <w:rFonts w:ascii="Abo-thar" w:hAnsi="Abo-thar"/>
          <w:b/>
          <w:bCs/>
          <w:sz w:val="28"/>
          <w:rtl/>
          <w:lang w:bidi="ar-SY"/>
        </w:rPr>
        <w:t>.</w:t>
      </w:r>
      <w:r w:rsidRPr="003F3B94">
        <w:rPr>
          <w:rFonts w:ascii="Abo-thar" w:hAnsi="Abo-thar"/>
          <w:b/>
          <w:bCs/>
          <w:sz w:val="28"/>
          <w:rtl/>
          <w:lang w:bidi="ar-SY"/>
        </w:rPr>
        <w:t xml:space="preserve"> وكان أحمد بن محمد بن عيسى يشهد عليه بالغلوّ والكذب وأخرجه من قم إلى الريّ وكان يسكنها</w:t>
      </w:r>
      <w:r w:rsidR="00EF2588" w:rsidRPr="003F3B94">
        <w:rPr>
          <w:rFonts w:ascii="Abo-thar" w:hAnsi="Abo-thar" w:hint="cs"/>
          <w:sz w:val="28"/>
          <w:rtl/>
          <w:lang w:bidi="ar-SY"/>
        </w:rPr>
        <w:t>»</w:t>
      </w:r>
      <w:r w:rsidR="00217AB4" w:rsidRPr="003F3B94">
        <w:rPr>
          <w:rFonts w:ascii="Abo-thar" w:hAnsi="Abo-thar" w:hint="cs"/>
          <w:sz w:val="28"/>
          <w:rtl/>
          <w:lang w:bidi="ar-SY"/>
        </w:rPr>
        <w:t>.</w:t>
      </w:r>
    </w:p>
    <w:p w:rsidR="005C664D" w:rsidRPr="003F3B94" w:rsidRDefault="005C664D" w:rsidP="00EF714D">
      <w:pPr>
        <w:pStyle w:val="a0"/>
        <w:ind w:left="624" w:hanging="340"/>
        <w:rPr>
          <w:rFonts w:hint="cs"/>
          <w:rtl/>
        </w:rPr>
      </w:pPr>
      <w:r w:rsidRPr="003F3B94">
        <w:rPr>
          <w:rFonts w:ascii="Abo-thar" w:hAnsi="Abo-thar" w:hint="cs"/>
          <w:sz w:val="28"/>
          <w:rtl/>
        </w:rPr>
        <w:t>ج</w:t>
      </w:r>
      <w:r w:rsidR="00217AB4" w:rsidRPr="003F3B94">
        <w:rPr>
          <w:rFonts w:ascii="Abo-thar" w:hAnsi="Abo-thar" w:hint="cs"/>
          <w:sz w:val="28"/>
          <w:rtl/>
        </w:rPr>
        <w:t>-</w:t>
      </w:r>
      <w:r w:rsidRPr="003F3B94">
        <w:rPr>
          <w:rFonts w:ascii="Abo-thar" w:hAnsi="Abo-thar" w:hint="cs"/>
          <w:sz w:val="28"/>
          <w:rtl/>
        </w:rPr>
        <w:t xml:space="preserve"> اعتبره ابن الغضائري أيضاً فاسد الرواية وفاسد الدين وقال</w:t>
      </w:r>
      <w:r w:rsidR="00217AB4" w:rsidRPr="003F3B94">
        <w:rPr>
          <w:rFonts w:ascii="Abo-thar" w:hAnsi="Abo-thar" w:hint="cs"/>
          <w:sz w:val="28"/>
          <w:rtl/>
        </w:rPr>
        <w:t>:</w:t>
      </w:r>
      <w:r w:rsidRPr="003F3B94">
        <w:rPr>
          <w:rFonts w:ascii="Abo-thar" w:hAnsi="Abo-thar" w:hint="cs"/>
          <w:sz w:val="28"/>
          <w:rtl/>
        </w:rPr>
        <w:t xml:space="preserve"> </w:t>
      </w:r>
      <w:r w:rsidR="00EF2588" w:rsidRPr="003F3B94">
        <w:rPr>
          <w:rFonts w:ascii="Abo-thar" w:hAnsi="Abo-thar" w:hint="cs"/>
          <w:sz w:val="28"/>
          <w:rtl/>
        </w:rPr>
        <w:t>«</w:t>
      </w:r>
      <w:r w:rsidRPr="003F3B94">
        <w:rPr>
          <w:rFonts w:ascii="Abo-thar" w:hAnsi="Abo-thar"/>
          <w:b/>
          <w:bCs/>
          <w:sz w:val="28"/>
          <w:rtl/>
        </w:rPr>
        <w:t>سهل بن زياد أبو سعيد الآدمي الرازي</w:t>
      </w:r>
      <w:r w:rsidR="00217AB4" w:rsidRPr="003F3B94">
        <w:rPr>
          <w:rFonts w:ascii="Abo-thar" w:hAnsi="Abo-thar"/>
          <w:b/>
          <w:bCs/>
          <w:sz w:val="28"/>
          <w:rtl/>
        </w:rPr>
        <w:t>:</w:t>
      </w:r>
      <w:r w:rsidRPr="003F3B94">
        <w:rPr>
          <w:rFonts w:ascii="Abo-thar" w:hAnsi="Abo-thar"/>
          <w:b/>
          <w:bCs/>
          <w:sz w:val="28"/>
          <w:rtl/>
        </w:rPr>
        <w:t xml:space="preserve"> كان ضعيفاً جداً فاسد الرواية والمذهب وكان أحمد بن محمد بن عيسى الأشعري أخرجه من قم وأظهر البراءة منه ونهى الناس عن السماع منه والرواية ويروي المراسيل ويعتمد المجاهيل</w:t>
      </w:r>
      <w:r w:rsidR="00F456DF" w:rsidRPr="003F3B94">
        <w:rPr>
          <w:rFonts w:ascii="Abo-thar" w:hAnsi="Abo-thar"/>
          <w:b/>
          <w:bCs/>
          <w:sz w:val="28"/>
          <w:rtl/>
        </w:rPr>
        <w:t>»</w:t>
      </w:r>
      <w:r w:rsidR="00217AB4" w:rsidRPr="003F3B94">
        <w:rPr>
          <w:rFonts w:ascii="Abo-thar" w:hAnsi="Abo-thar" w:hint="cs"/>
          <w:sz w:val="28"/>
          <w:rtl/>
        </w:rPr>
        <w:t>.</w:t>
      </w:r>
    </w:p>
    <w:p w:rsidR="005C664D" w:rsidRPr="003F3B94" w:rsidRDefault="005C664D" w:rsidP="00EF714D">
      <w:pPr>
        <w:pStyle w:val="a0"/>
        <w:ind w:left="624" w:hanging="340"/>
        <w:rPr>
          <w:rFonts w:hint="cs"/>
          <w:rtl/>
        </w:rPr>
      </w:pPr>
      <w:r w:rsidRPr="003F3B94">
        <w:rPr>
          <w:rFonts w:ascii="Abo-thar" w:hAnsi="Abo-thar" w:hint="cs"/>
          <w:b/>
          <w:bCs/>
          <w:sz w:val="28"/>
          <w:rtl/>
        </w:rPr>
        <w:t>د</w:t>
      </w:r>
      <w:r w:rsidR="00217AB4" w:rsidRPr="003F3B94">
        <w:rPr>
          <w:rFonts w:ascii="Abo-thar" w:hAnsi="Abo-thar" w:hint="cs"/>
          <w:b/>
          <w:bCs/>
          <w:sz w:val="28"/>
          <w:rtl/>
        </w:rPr>
        <w:t>-</w:t>
      </w:r>
      <w:r w:rsidRPr="003F3B94">
        <w:rPr>
          <w:rFonts w:ascii="Abo-thar" w:hAnsi="Abo-thar" w:hint="cs"/>
          <w:b/>
          <w:bCs/>
          <w:sz w:val="28"/>
          <w:rtl/>
        </w:rPr>
        <w:t xml:space="preserve"> و</w:t>
      </w:r>
      <w:r w:rsidRPr="003F3B94">
        <w:rPr>
          <w:rFonts w:ascii="Abo-thar" w:hAnsi="Abo-thar" w:hint="cs"/>
          <w:sz w:val="28"/>
          <w:rtl/>
        </w:rPr>
        <w:t>في كتاب «</w:t>
      </w:r>
      <w:r w:rsidRPr="003F3B94">
        <w:rPr>
          <w:rFonts w:ascii="Abo-thar" w:hAnsi="Abo-thar"/>
          <w:sz w:val="28"/>
          <w:rtl/>
        </w:rPr>
        <w:t>تحرير الطاووسي</w:t>
      </w:r>
      <w:r w:rsidRPr="003F3B94">
        <w:rPr>
          <w:rFonts w:ascii="Abo-thar" w:hAnsi="Abo-thar" w:hint="cs"/>
          <w:sz w:val="28"/>
          <w:rtl/>
        </w:rPr>
        <w:t>»</w:t>
      </w:r>
      <w:r w:rsidR="00217AB4" w:rsidRPr="003F3B94">
        <w:rPr>
          <w:rFonts w:ascii="Abo-thar" w:hAnsi="Abo-thar" w:hint="cs"/>
          <w:sz w:val="28"/>
          <w:rtl/>
        </w:rPr>
        <w:t>:</w:t>
      </w:r>
      <w:r w:rsidRPr="003F3B94">
        <w:rPr>
          <w:rFonts w:ascii="Abo-thar" w:hAnsi="Abo-thar" w:hint="cs"/>
          <w:sz w:val="28"/>
          <w:rtl/>
        </w:rPr>
        <w:t xml:space="preserve"> </w:t>
      </w:r>
      <w:r w:rsidR="00EF2588" w:rsidRPr="003F3B94">
        <w:rPr>
          <w:rFonts w:ascii="Abo-thar" w:hAnsi="Abo-thar" w:hint="cs"/>
          <w:sz w:val="28"/>
          <w:rtl/>
        </w:rPr>
        <w:t>«</w:t>
      </w:r>
      <w:r w:rsidRPr="003F3B94">
        <w:rPr>
          <w:rFonts w:ascii="Abo-thar" w:hAnsi="Abo-thar"/>
          <w:b/>
          <w:bCs/>
          <w:sz w:val="28"/>
          <w:rtl/>
        </w:rPr>
        <w:t>عن الفضل بن شاذان عن طريق علي بن محمد</w:t>
      </w:r>
      <w:r w:rsidR="00217AB4" w:rsidRPr="003F3B94">
        <w:rPr>
          <w:rFonts w:ascii="Abo-thar" w:hAnsi="Abo-thar"/>
          <w:b/>
          <w:bCs/>
          <w:sz w:val="28"/>
          <w:rtl/>
        </w:rPr>
        <w:t>:</w:t>
      </w:r>
      <w:r w:rsidRPr="003F3B94">
        <w:rPr>
          <w:rFonts w:ascii="Abo-thar" w:hAnsi="Abo-thar"/>
          <w:b/>
          <w:bCs/>
          <w:sz w:val="28"/>
          <w:rtl/>
        </w:rPr>
        <w:t xml:space="preserve"> </w:t>
      </w:r>
      <w:r w:rsidRPr="003F3B94">
        <w:rPr>
          <w:rFonts w:ascii="Abo-thar" w:hAnsi="Abo-thar" w:hint="cs"/>
          <w:b/>
          <w:bCs/>
          <w:sz w:val="28"/>
          <w:rtl/>
        </w:rPr>
        <w:t>إ</w:t>
      </w:r>
      <w:r w:rsidRPr="003F3B94">
        <w:rPr>
          <w:rFonts w:ascii="Abo-thar" w:hAnsi="Abo-thar"/>
          <w:b/>
          <w:bCs/>
          <w:sz w:val="28"/>
          <w:rtl/>
        </w:rPr>
        <w:t xml:space="preserve">نه كان يقول عنه </w:t>
      </w:r>
      <w:r w:rsidRPr="003F3B94">
        <w:rPr>
          <w:rFonts w:ascii="Abo-thar" w:hAnsi="Abo-thar" w:hint="cs"/>
          <w:b/>
          <w:bCs/>
          <w:sz w:val="28"/>
          <w:rtl/>
        </w:rPr>
        <w:t>أ</w:t>
      </w:r>
      <w:r w:rsidRPr="003F3B94">
        <w:rPr>
          <w:rFonts w:ascii="Abo-thar" w:hAnsi="Abo-thar"/>
          <w:b/>
          <w:bCs/>
          <w:sz w:val="28"/>
          <w:rtl/>
        </w:rPr>
        <w:t>نه أحمق</w:t>
      </w:r>
      <w:r w:rsidR="00217AB4" w:rsidRPr="003F3B94">
        <w:rPr>
          <w:rFonts w:ascii="Abo-thar" w:hAnsi="Abo-thar" w:hint="cs"/>
          <w:b/>
          <w:bCs/>
          <w:sz w:val="28"/>
          <w:rtl/>
        </w:rPr>
        <w:t>!</w:t>
      </w:r>
      <w:r w:rsidR="00EF2588" w:rsidRPr="003F3B94">
        <w:rPr>
          <w:rFonts w:ascii="Abo-thar" w:hAnsi="Abo-thar" w:hint="cs"/>
          <w:sz w:val="28"/>
          <w:rtl/>
        </w:rPr>
        <w:t>»</w:t>
      </w:r>
      <w:r w:rsidR="00217AB4" w:rsidRPr="003F3B94">
        <w:rPr>
          <w:rFonts w:ascii="Abo-thar" w:hAnsi="Abo-thar" w:hint="cs"/>
          <w:sz w:val="28"/>
          <w:rtl/>
        </w:rPr>
        <w:t>.</w:t>
      </w:r>
    </w:p>
    <w:p w:rsidR="005C664D" w:rsidRPr="00EF714D" w:rsidRDefault="005C664D" w:rsidP="003F3B94">
      <w:pPr>
        <w:pStyle w:val="a0"/>
        <w:rPr>
          <w:rFonts w:hint="cs"/>
          <w:rtl/>
        </w:rPr>
      </w:pPr>
      <w:r w:rsidRPr="00EF714D">
        <w:rPr>
          <w:rFonts w:ascii="Abo-thar" w:hAnsi="Abo-thar" w:hint="cs"/>
          <w:sz w:val="28"/>
          <w:rtl/>
        </w:rPr>
        <w:t xml:space="preserve">ويمكن الاطلاع على المزيد من مثالب ومطاعن هذا الرجل من كتب الرجال الكشي </w:t>
      </w:r>
      <w:r w:rsidR="00217AB4" w:rsidRPr="00EF714D">
        <w:rPr>
          <w:rFonts w:ascii="Abo-thar" w:hAnsi="Abo-thar" w:hint="cs"/>
          <w:sz w:val="28"/>
          <w:rtl/>
        </w:rPr>
        <w:t>(</w:t>
      </w:r>
      <w:r w:rsidRPr="00EF714D">
        <w:rPr>
          <w:rFonts w:ascii="Abo-thar" w:hAnsi="Abo-thar" w:hint="cs"/>
          <w:sz w:val="28"/>
          <w:rtl/>
        </w:rPr>
        <w:t>ص 473</w:t>
      </w:r>
      <w:r w:rsidR="00217AB4" w:rsidRPr="00EF714D">
        <w:rPr>
          <w:rFonts w:ascii="Abo-thar" w:hAnsi="Abo-thar" w:hint="cs"/>
          <w:sz w:val="28"/>
          <w:rtl/>
        </w:rPr>
        <w:t>)،</w:t>
      </w:r>
      <w:r w:rsidRPr="00EF714D">
        <w:rPr>
          <w:rFonts w:ascii="Abo-thar" w:hAnsi="Abo-thar" w:hint="cs"/>
          <w:sz w:val="28"/>
          <w:rtl/>
        </w:rPr>
        <w:t xml:space="preserve"> جامع الرواة </w:t>
      </w:r>
      <w:r w:rsidR="00217AB4" w:rsidRPr="00EF714D">
        <w:rPr>
          <w:rFonts w:ascii="Abo-thar" w:hAnsi="Abo-thar" w:hint="cs"/>
          <w:sz w:val="28"/>
          <w:rtl/>
        </w:rPr>
        <w:t>(</w:t>
      </w:r>
      <w:r w:rsidR="00F51ADA" w:rsidRPr="00EF714D">
        <w:rPr>
          <w:rFonts w:ascii="Abo-thar" w:hAnsi="Abo-thar" w:hint="cs"/>
          <w:sz w:val="28"/>
          <w:rtl/>
        </w:rPr>
        <w:t>ج</w:t>
      </w:r>
      <w:r w:rsidRPr="00EF714D">
        <w:rPr>
          <w:rFonts w:ascii="Abo-thar" w:hAnsi="Abo-thar" w:hint="cs"/>
          <w:sz w:val="28"/>
          <w:rtl/>
        </w:rPr>
        <w:t>1</w:t>
      </w:r>
      <w:r w:rsidR="00920257" w:rsidRPr="00EF714D">
        <w:rPr>
          <w:rFonts w:ascii="Abo-thar" w:hAnsi="Abo-thar" w:hint="cs"/>
          <w:sz w:val="28"/>
          <w:rtl/>
        </w:rPr>
        <w:t>،</w:t>
      </w:r>
      <w:r w:rsidR="00F51ADA" w:rsidRPr="00EF714D">
        <w:rPr>
          <w:rFonts w:ascii="Abo-thar" w:hAnsi="Abo-thar" w:hint="cs"/>
          <w:sz w:val="28"/>
          <w:rtl/>
        </w:rPr>
        <w:t xml:space="preserve"> ص</w:t>
      </w:r>
      <w:r w:rsidR="00920257" w:rsidRPr="00EF714D">
        <w:rPr>
          <w:rFonts w:ascii="Abo-thar" w:hAnsi="Abo-thar" w:hint="cs"/>
          <w:sz w:val="28"/>
          <w:rtl/>
        </w:rPr>
        <w:t xml:space="preserve"> </w:t>
      </w:r>
      <w:r w:rsidRPr="00EF714D">
        <w:rPr>
          <w:rFonts w:ascii="Abo-thar" w:hAnsi="Abo-thar" w:hint="cs"/>
          <w:sz w:val="28"/>
          <w:rtl/>
        </w:rPr>
        <w:t>363</w:t>
      </w:r>
      <w:r w:rsidR="00217AB4" w:rsidRPr="00EF714D">
        <w:rPr>
          <w:rFonts w:ascii="Abo-thar" w:hAnsi="Abo-thar" w:hint="cs"/>
          <w:sz w:val="28"/>
          <w:rtl/>
        </w:rPr>
        <w:t>)،</w:t>
      </w:r>
      <w:r w:rsidRPr="00EF714D">
        <w:rPr>
          <w:rFonts w:ascii="Abo-thar" w:hAnsi="Abo-thar" w:hint="cs"/>
          <w:sz w:val="28"/>
          <w:rtl/>
        </w:rPr>
        <w:t xml:space="preserve"> نقد الرجال </w:t>
      </w:r>
      <w:r w:rsidR="00217AB4" w:rsidRPr="00EF714D">
        <w:rPr>
          <w:rFonts w:ascii="Abo-thar" w:hAnsi="Abo-thar" w:hint="cs"/>
          <w:sz w:val="28"/>
          <w:rtl/>
        </w:rPr>
        <w:t>(</w:t>
      </w:r>
      <w:r w:rsidRPr="00EF714D">
        <w:rPr>
          <w:rFonts w:ascii="Abo-thar" w:hAnsi="Abo-thar" w:hint="cs"/>
          <w:sz w:val="28"/>
          <w:rtl/>
        </w:rPr>
        <w:t>ص 165</w:t>
      </w:r>
      <w:r w:rsidR="00217AB4" w:rsidRPr="00EF714D">
        <w:rPr>
          <w:rFonts w:ascii="Abo-thar" w:hAnsi="Abo-thar" w:hint="cs"/>
          <w:sz w:val="28"/>
          <w:rtl/>
        </w:rPr>
        <w:t>)</w:t>
      </w:r>
      <w:r w:rsidRPr="00EF714D">
        <w:rPr>
          <w:rFonts w:ascii="Abo-thar" w:hAnsi="Abo-thar" w:hint="cs"/>
          <w:sz w:val="28"/>
          <w:rtl/>
        </w:rPr>
        <w:t xml:space="preserve"> وقاموس الرجال </w:t>
      </w:r>
      <w:r w:rsidR="00217AB4" w:rsidRPr="00EF714D">
        <w:rPr>
          <w:rFonts w:ascii="Abo-thar" w:hAnsi="Abo-thar" w:hint="cs"/>
          <w:sz w:val="28"/>
          <w:rtl/>
        </w:rPr>
        <w:t>(</w:t>
      </w:r>
      <w:r w:rsidR="00F51ADA" w:rsidRPr="00EF714D">
        <w:rPr>
          <w:rFonts w:ascii="Abo-thar" w:hAnsi="Abo-thar" w:hint="cs"/>
          <w:sz w:val="28"/>
          <w:rtl/>
        </w:rPr>
        <w:t>ج</w:t>
      </w:r>
      <w:r w:rsidRPr="00EF714D">
        <w:rPr>
          <w:rFonts w:ascii="Abo-thar" w:hAnsi="Abo-thar" w:hint="cs"/>
          <w:sz w:val="28"/>
          <w:rtl/>
        </w:rPr>
        <w:t>5</w:t>
      </w:r>
      <w:r w:rsidR="00920257" w:rsidRPr="00EF714D">
        <w:rPr>
          <w:rFonts w:ascii="Abo-thar" w:hAnsi="Abo-thar" w:hint="cs"/>
          <w:sz w:val="28"/>
          <w:rtl/>
        </w:rPr>
        <w:t xml:space="preserve">، </w:t>
      </w:r>
      <w:r w:rsidRPr="00EF714D">
        <w:rPr>
          <w:rFonts w:ascii="Abo-thar" w:hAnsi="Abo-thar" w:hint="cs"/>
          <w:sz w:val="28"/>
          <w:rtl/>
        </w:rPr>
        <w:t>ص38</w:t>
      </w:r>
      <w:r w:rsidR="00217AB4" w:rsidRPr="00EF714D">
        <w:rPr>
          <w:rFonts w:ascii="Abo-thar" w:hAnsi="Abo-thar" w:hint="cs"/>
          <w:sz w:val="28"/>
          <w:rtl/>
        </w:rPr>
        <w:t>).</w:t>
      </w:r>
    </w:p>
    <w:p w:rsidR="005C664D" w:rsidRPr="003F3B94" w:rsidRDefault="005C664D" w:rsidP="003F3B94">
      <w:pPr>
        <w:pStyle w:val="a0"/>
        <w:rPr>
          <w:rFonts w:hint="cs"/>
          <w:rtl/>
        </w:rPr>
      </w:pPr>
      <w:r w:rsidRPr="003F3B94">
        <w:rPr>
          <w:rFonts w:ascii="Abo-thar" w:hAnsi="Abo-thar"/>
          <w:sz w:val="28"/>
          <w:rtl/>
        </w:rPr>
        <w:t>«سَهْل</w:t>
      </w:r>
      <w:r w:rsidRPr="003F3B94">
        <w:rPr>
          <w:rFonts w:ascii="Abo-thar" w:hAnsi="Abo-thar" w:hint="cs"/>
          <w:sz w:val="28"/>
          <w:rtl/>
        </w:rPr>
        <w:t>ُ</w:t>
      </w:r>
      <w:r w:rsidRPr="003F3B94">
        <w:rPr>
          <w:rFonts w:ascii="Abo-thar" w:hAnsi="Abo-thar"/>
          <w:sz w:val="28"/>
          <w:rtl/>
        </w:rPr>
        <w:t xml:space="preserve"> بْن</w:t>
      </w:r>
      <w:r w:rsidRPr="003F3B94">
        <w:rPr>
          <w:rFonts w:ascii="Abo-thar" w:hAnsi="Abo-thar" w:hint="cs"/>
          <w:sz w:val="28"/>
          <w:rtl/>
        </w:rPr>
        <w:t>ُ</w:t>
      </w:r>
      <w:r w:rsidRPr="003F3B94">
        <w:rPr>
          <w:rFonts w:ascii="Abo-thar" w:hAnsi="Abo-thar"/>
          <w:sz w:val="28"/>
          <w:rtl/>
        </w:rPr>
        <w:t xml:space="preserve"> زِيَادٍ»</w:t>
      </w:r>
      <w:r w:rsidRPr="003F3B94">
        <w:rPr>
          <w:rFonts w:ascii="Abo-thar" w:hAnsi="Abo-thar" w:hint="cs"/>
          <w:sz w:val="28"/>
          <w:rtl/>
        </w:rPr>
        <w:t xml:space="preserve"> هذا يروي الحديث عن </w:t>
      </w:r>
      <w:r w:rsidRPr="003F3B94">
        <w:rPr>
          <w:rFonts w:ascii="Abo-thar" w:hAnsi="Abo-thar"/>
          <w:sz w:val="28"/>
          <w:rtl/>
        </w:rPr>
        <w:t>«مُحَمَّدِ بْنِ عِيسَى»</w:t>
      </w:r>
      <w:r w:rsidRPr="003F3B94">
        <w:rPr>
          <w:rFonts w:ascii="Abo-thar" w:hAnsi="Abo-thar" w:hint="cs"/>
          <w:sz w:val="28"/>
          <w:rtl/>
        </w:rPr>
        <w:t xml:space="preserve"> وفيما يلي حاله لدى أئمة الرجال</w:t>
      </w:r>
      <w:r w:rsidR="00217AB4" w:rsidRPr="003F3B94">
        <w:rPr>
          <w:rFonts w:ascii="Abo-thar" w:hAnsi="Abo-thar" w:hint="cs"/>
          <w:sz w:val="28"/>
          <w:rtl/>
        </w:rPr>
        <w:t>:</w:t>
      </w:r>
    </w:p>
    <w:p w:rsidR="005C664D" w:rsidRPr="003F3B94" w:rsidRDefault="005C664D" w:rsidP="00EF714D">
      <w:pPr>
        <w:pStyle w:val="a0"/>
        <w:ind w:left="624" w:hanging="340"/>
        <w:rPr>
          <w:rFonts w:hint="cs"/>
          <w:rtl/>
        </w:rPr>
      </w:pPr>
      <w:r w:rsidRPr="003F3B94">
        <w:rPr>
          <w:rFonts w:ascii="Abo-thar" w:hAnsi="Abo-thar" w:hint="cs"/>
          <w:sz w:val="28"/>
          <w:rtl/>
        </w:rPr>
        <w:t>ألف</w:t>
      </w:r>
      <w:r w:rsidR="00217AB4" w:rsidRPr="003F3B94">
        <w:rPr>
          <w:rFonts w:ascii="Abo-thar" w:hAnsi="Abo-thar" w:hint="cs"/>
          <w:sz w:val="28"/>
          <w:rtl/>
        </w:rPr>
        <w:t>-</w:t>
      </w:r>
      <w:r w:rsidRPr="003F3B94">
        <w:rPr>
          <w:rFonts w:ascii="Abo-thar" w:hAnsi="Abo-thar" w:hint="cs"/>
          <w:sz w:val="28"/>
          <w:rtl/>
        </w:rPr>
        <w:t xml:space="preserve"> اعتبره الشيخ الطوسي ضعيفاً في موضعين من كتابه </w:t>
      </w:r>
      <w:r w:rsidRPr="003F3B94">
        <w:rPr>
          <w:rFonts w:ascii="Abo-thar" w:hAnsi="Abo-thar"/>
          <w:sz w:val="28"/>
          <w:rtl/>
        </w:rPr>
        <w:t>«</w:t>
      </w:r>
      <w:r w:rsidRPr="003F3B94">
        <w:rPr>
          <w:rFonts w:ascii="Abo-thar" w:hAnsi="Abo-thar" w:hint="cs"/>
          <w:sz w:val="28"/>
          <w:rtl/>
        </w:rPr>
        <w:t>الفهرست</w:t>
      </w:r>
      <w:r w:rsidRPr="003F3B94">
        <w:rPr>
          <w:rFonts w:ascii="Abo-thar" w:hAnsi="Abo-thar"/>
          <w:sz w:val="28"/>
          <w:rtl/>
        </w:rPr>
        <w:t>»</w:t>
      </w:r>
      <w:r w:rsidR="00147857" w:rsidRPr="003F3B94">
        <w:rPr>
          <w:rFonts w:ascii="Abo-thar" w:hAnsi="Abo-thar" w:hint="cs"/>
          <w:sz w:val="28"/>
          <w:rtl/>
        </w:rPr>
        <w:t xml:space="preserve"> </w:t>
      </w:r>
      <w:r w:rsidRPr="003F3B94">
        <w:rPr>
          <w:rFonts w:ascii="Abo-thar" w:hAnsi="Abo-thar" w:hint="cs"/>
          <w:sz w:val="28"/>
          <w:rtl/>
        </w:rPr>
        <w:t>وقال عنه في</w:t>
      </w:r>
      <w:r w:rsidR="00217AB4" w:rsidRPr="003F3B94">
        <w:rPr>
          <w:rFonts w:ascii="Abo-thar" w:hAnsi="Abo-thar" w:hint="cs"/>
          <w:sz w:val="28"/>
          <w:rtl/>
        </w:rPr>
        <w:t>:</w:t>
      </w:r>
      <w:r w:rsidRPr="003F3B94">
        <w:rPr>
          <w:rFonts w:ascii="Abo-thar" w:hAnsi="Abo-thar" w:hint="cs"/>
          <w:sz w:val="28"/>
          <w:rtl/>
        </w:rPr>
        <w:t xml:space="preserve"> </w:t>
      </w:r>
      <w:r w:rsidR="00EF2588" w:rsidRPr="003F3B94">
        <w:rPr>
          <w:rFonts w:ascii="Abo-thar" w:hAnsi="Abo-thar" w:hint="cs"/>
          <w:sz w:val="28"/>
          <w:rtl/>
        </w:rPr>
        <w:t>«</w:t>
      </w:r>
      <w:r w:rsidRPr="003F3B94">
        <w:rPr>
          <w:rFonts w:ascii="Abo-thar" w:hAnsi="Abo-thar"/>
          <w:b/>
          <w:bCs/>
          <w:sz w:val="28"/>
          <w:rtl/>
        </w:rPr>
        <w:t>محمد بن عيسى بن عبيد</w:t>
      </w:r>
      <w:r w:rsidRPr="003F3B94">
        <w:rPr>
          <w:rFonts w:ascii="Abo-thar" w:hAnsi="Abo-thar" w:hint="cs"/>
          <w:b/>
          <w:bCs/>
          <w:sz w:val="28"/>
          <w:rtl/>
        </w:rPr>
        <w:t xml:space="preserve"> ال</w:t>
      </w:r>
      <w:r w:rsidRPr="003F3B94">
        <w:rPr>
          <w:rFonts w:ascii="Abo-thar" w:hAnsi="Abo-thar"/>
          <w:b/>
          <w:bCs/>
          <w:sz w:val="28"/>
          <w:rtl/>
        </w:rPr>
        <w:t>يَقْطِينِ</w:t>
      </w:r>
      <w:r w:rsidRPr="003F3B94">
        <w:rPr>
          <w:rFonts w:ascii="Abo-thar" w:hAnsi="Abo-thar" w:hint="cs"/>
          <w:b/>
          <w:bCs/>
          <w:sz w:val="28"/>
          <w:rtl/>
        </w:rPr>
        <w:t xml:space="preserve">يُّ </w:t>
      </w:r>
      <w:r w:rsidRPr="003F3B94">
        <w:rPr>
          <w:rFonts w:ascii="Abo-thar" w:hAnsi="Abo-thar"/>
          <w:b/>
          <w:bCs/>
          <w:sz w:val="28"/>
          <w:rtl/>
        </w:rPr>
        <w:t>ضعيف</w:t>
      </w:r>
      <w:r w:rsidRPr="003F3B94">
        <w:rPr>
          <w:rFonts w:ascii="Abo-thar" w:hAnsi="Abo-thar" w:hint="cs"/>
          <w:b/>
          <w:bCs/>
          <w:sz w:val="28"/>
          <w:rtl/>
        </w:rPr>
        <w:t>ٌ</w:t>
      </w:r>
      <w:r w:rsidRPr="003F3B94">
        <w:rPr>
          <w:rFonts w:ascii="Abo-thar" w:hAnsi="Abo-thar"/>
          <w:b/>
          <w:bCs/>
          <w:sz w:val="28"/>
          <w:rtl/>
        </w:rPr>
        <w:t xml:space="preserve"> استثناه أبو جعفر</w:t>
      </w:r>
      <w:r w:rsidRPr="003F3B94">
        <w:rPr>
          <w:rFonts w:ascii="Abo-thar" w:hAnsi="Abo-thar" w:hint="cs"/>
          <w:b/>
          <w:bCs/>
          <w:sz w:val="28"/>
          <w:rtl/>
        </w:rPr>
        <w:t xml:space="preserve"> </w:t>
      </w:r>
      <w:r w:rsidRPr="003F3B94">
        <w:rPr>
          <w:rFonts w:ascii="Abo-thar" w:hAnsi="Abo-thar"/>
          <w:b/>
          <w:bCs/>
          <w:sz w:val="28"/>
          <w:rtl/>
        </w:rPr>
        <w:t>محمد بن علي بن بابويه عن رجال نوادر الحكمة وقال لا أروي ما يختص بروايته</w:t>
      </w:r>
      <w:r w:rsidR="00217AB4" w:rsidRPr="003F3B94">
        <w:rPr>
          <w:rFonts w:ascii="Abo-thar" w:hAnsi="Abo-thar"/>
          <w:b/>
          <w:bCs/>
          <w:sz w:val="28"/>
          <w:rtl/>
        </w:rPr>
        <w:t>،</w:t>
      </w:r>
      <w:r w:rsidRPr="003F3B94">
        <w:rPr>
          <w:rFonts w:ascii="Abo-thar" w:hAnsi="Abo-thar"/>
          <w:b/>
          <w:bCs/>
          <w:sz w:val="28"/>
          <w:rtl/>
        </w:rPr>
        <w:t xml:space="preserve"> وقيل إنه كان يذهب مذهب الغلاة</w:t>
      </w:r>
      <w:r w:rsidR="00EF2588" w:rsidRPr="003F3B94">
        <w:rPr>
          <w:rFonts w:ascii="Abo-thar" w:hAnsi="Abo-thar" w:hint="cs"/>
          <w:sz w:val="28"/>
          <w:rtl/>
        </w:rPr>
        <w:t>»</w:t>
      </w:r>
      <w:r w:rsidR="00F51ADA" w:rsidRPr="0021507A">
        <w:rPr>
          <w:rFonts w:ascii="Abo-thar" w:hAnsi="Abo-thar" w:cs="Arabic11 BT"/>
          <w:sz w:val="28"/>
          <w:vertAlign w:val="superscript"/>
          <w:rtl/>
        </w:rPr>
        <w:t>(</w:t>
      </w:r>
      <w:r w:rsidR="00F51ADA" w:rsidRPr="0021507A">
        <w:rPr>
          <w:rStyle w:val="FootnoteReference"/>
          <w:rFonts w:ascii="Abo-thar" w:hAnsi="Abo-thar" w:cs="Arabic11 BT"/>
          <w:sz w:val="28"/>
          <w:rtl/>
        </w:rPr>
        <w:footnoteReference w:id="377"/>
      </w:r>
      <w:r w:rsidR="00F51ADA" w:rsidRPr="0021507A">
        <w:rPr>
          <w:rFonts w:ascii="Abo-thar" w:hAnsi="Abo-thar" w:cs="Arabic11 BT"/>
          <w:sz w:val="28"/>
          <w:vertAlign w:val="superscript"/>
          <w:rtl/>
        </w:rPr>
        <w:t>)</w:t>
      </w:r>
      <w:r w:rsidR="00217AB4" w:rsidRPr="003F3B94">
        <w:rPr>
          <w:rFonts w:ascii="Abo-thar" w:hAnsi="Abo-thar" w:hint="cs"/>
          <w:sz w:val="28"/>
          <w:rtl/>
        </w:rPr>
        <w:t>.</w:t>
      </w:r>
    </w:p>
    <w:p w:rsidR="005C664D" w:rsidRPr="003F3B94" w:rsidRDefault="005C664D" w:rsidP="00EF714D">
      <w:pPr>
        <w:pStyle w:val="a0"/>
        <w:ind w:left="624" w:firstLine="0"/>
        <w:rPr>
          <w:rFonts w:hint="cs"/>
          <w:rtl/>
        </w:rPr>
      </w:pPr>
      <w:r w:rsidRPr="003F3B94">
        <w:rPr>
          <w:rFonts w:ascii="Abo-thar" w:hAnsi="Abo-thar" w:hint="cs"/>
          <w:sz w:val="28"/>
          <w:rtl/>
        </w:rPr>
        <w:t>ومن البديهي أن مثل هذه الروايات لا يضعها إلا الغلاة</w:t>
      </w:r>
      <w:r w:rsidR="00217AB4" w:rsidRPr="003F3B94">
        <w:rPr>
          <w:rFonts w:ascii="Abo-thar" w:hAnsi="Abo-thar" w:hint="cs"/>
          <w:sz w:val="28"/>
          <w:rtl/>
        </w:rPr>
        <w:t>.</w:t>
      </w:r>
    </w:p>
    <w:p w:rsidR="005C664D" w:rsidRPr="003F3B94" w:rsidRDefault="005C664D" w:rsidP="00EF714D">
      <w:pPr>
        <w:pStyle w:val="a0"/>
        <w:ind w:left="624" w:hanging="340"/>
        <w:rPr>
          <w:rFonts w:hint="cs"/>
          <w:rtl/>
        </w:rPr>
      </w:pPr>
      <w:r w:rsidRPr="003F3B94">
        <w:rPr>
          <w:rFonts w:ascii="Abo-thar" w:hAnsi="Abo-thar" w:hint="cs"/>
          <w:sz w:val="28"/>
          <w:rtl/>
        </w:rPr>
        <w:t>ب</w:t>
      </w:r>
      <w:r w:rsidR="00217AB4" w:rsidRPr="003F3B94">
        <w:rPr>
          <w:rFonts w:ascii="Abo-thar" w:hAnsi="Abo-thar" w:hint="cs"/>
          <w:sz w:val="28"/>
          <w:rtl/>
        </w:rPr>
        <w:t>-</w:t>
      </w:r>
      <w:r w:rsidRPr="003F3B94">
        <w:rPr>
          <w:rFonts w:ascii="Abo-thar" w:hAnsi="Abo-thar" w:hint="cs"/>
          <w:sz w:val="28"/>
          <w:rtl/>
        </w:rPr>
        <w:t xml:space="preserve"> جرحه ا</w:t>
      </w:r>
      <w:r w:rsidRPr="003F3B94">
        <w:rPr>
          <w:rFonts w:ascii="Abo-thar" w:hAnsi="Abo-thar"/>
          <w:sz w:val="28"/>
          <w:rtl/>
        </w:rPr>
        <w:t xml:space="preserve">لشيخ حسن بن زين الدين صاحب المعالم </w:t>
      </w:r>
      <w:r w:rsidRPr="003F3B94">
        <w:rPr>
          <w:rFonts w:ascii="Abo-thar" w:hAnsi="Abo-thar" w:hint="cs"/>
          <w:sz w:val="28"/>
          <w:rtl/>
        </w:rPr>
        <w:t>في «تحرير الطاوسي» وقال</w:t>
      </w:r>
      <w:r w:rsidR="00217AB4" w:rsidRPr="003F3B94">
        <w:rPr>
          <w:rFonts w:ascii="Abo-thar" w:hAnsi="Abo-thar" w:hint="cs"/>
          <w:sz w:val="28"/>
          <w:rtl/>
        </w:rPr>
        <w:t>:</w:t>
      </w:r>
      <w:r w:rsidRPr="003F3B94">
        <w:rPr>
          <w:rFonts w:ascii="Abo-thar" w:hAnsi="Abo-thar" w:hint="cs"/>
          <w:sz w:val="28"/>
          <w:rtl/>
        </w:rPr>
        <w:t xml:space="preserve"> </w:t>
      </w:r>
      <w:r w:rsidR="00EF2588" w:rsidRPr="003F3B94">
        <w:rPr>
          <w:rFonts w:ascii="Abo-thar" w:hAnsi="Abo-thar" w:hint="cs"/>
          <w:sz w:val="28"/>
          <w:rtl/>
        </w:rPr>
        <w:t>«</w:t>
      </w:r>
      <w:r w:rsidRPr="003F3B94">
        <w:rPr>
          <w:rFonts w:ascii="Abo-thar" w:hAnsi="Abo-thar" w:hint="cs"/>
          <w:bCs/>
          <w:sz w:val="28"/>
          <w:rtl/>
        </w:rPr>
        <w:t>هو مقدوحٌ فيه</w:t>
      </w:r>
      <w:r w:rsidR="00EF2588" w:rsidRPr="003F3B94">
        <w:rPr>
          <w:rFonts w:ascii="Abo-thar" w:hAnsi="Abo-thar" w:hint="cs"/>
          <w:sz w:val="28"/>
          <w:rtl/>
        </w:rPr>
        <w:t>»</w:t>
      </w:r>
      <w:r w:rsidR="00217AB4" w:rsidRPr="003F3B94">
        <w:rPr>
          <w:rFonts w:ascii="Abo-thar" w:hAnsi="Abo-thar" w:hint="cs"/>
          <w:sz w:val="28"/>
          <w:rtl/>
        </w:rPr>
        <w:t>.</w:t>
      </w:r>
    </w:p>
    <w:p w:rsidR="005C664D" w:rsidRPr="003F3B94" w:rsidRDefault="005C664D" w:rsidP="00EF714D">
      <w:pPr>
        <w:pStyle w:val="a0"/>
        <w:ind w:left="624" w:hanging="340"/>
        <w:rPr>
          <w:rFonts w:hint="cs"/>
          <w:rtl/>
        </w:rPr>
      </w:pPr>
      <w:r w:rsidRPr="003F3B94">
        <w:rPr>
          <w:rFonts w:ascii="Abo-thar" w:hAnsi="Abo-thar" w:hint="cs"/>
          <w:sz w:val="28"/>
          <w:rtl/>
        </w:rPr>
        <w:t xml:space="preserve">ج </w:t>
      </w:r>
      <w:r w:rsidRPr="003F3B94">
        <w:rPr>
          <w:rFonts w:cs="Times New Roman" w:hint="cs"/>
          <w:sz w:val="28"/>
          <w:rtl/>
        </w:rPr>
        <w:t>–</w:t>
      </w:r>
      <w:r w:rsidRPr="003F3B94">
        <w:rPr>
          <w:rFonts w:ascii="Abo-thar" w:hAnsi="Abo-thar" w:hint="cs"/>
          <w:sz w:val="28"/>
          <w:rtl/>
        </w:rPr>
        <w:t xml:space="preserve"> وقال عنه الشهيد الثاني</w:t>
      </w:r>
      <w:r w:rsidR="00217AB4" w:rsidRPr="003F3B94">
        <w:rPr>
          <w:rFonts w:ascii="Abo-thar" w:hAnsi="Abo-thar" w:hint="cs"/>
          <w:sz w:val="28"/>
          <w:rtl/>
        </w:rPr>
        <w:t>:</w:t>
      </w:r>
      <w:r w:rsidRPr="003F3B94">
        <w:rPr>
          <w:rFonts w:ascii="Abo-thar" w:hAnsi="Abo-thar" w:hint="cs"/>
          <w:sz w:val="28"/>
          <w:rtl/>
        </w:rPr>
        <w:t xml:space="preserve"> </w:t>
      </w:r>
      <w:r w:rsidR="00EF2588" w:rsidRPr="003F3B94">
        <w:rPr>
          <w:rFonts w:ascii="Abo-thar" w:hAnsi="Abo-thar" w:hint="cs"/>
          <w:sz w:val="28"/>
          <w:rtl/>
        </w:rPr>
        <w:t>«</w:t>
      </w:r>
      <w:r w:rsidRPr="003F3B94">
        <w:rPr>
          <w:rFonts w:ascii="Abo-thar" w:hAnsi="Abo-thar"/>
          <w:bCs/>
          <w:sz w:val="28"/>
          <w:rtl/>
        </w:rPr>
        <w:t>محمد بن عيسى</w:t>
      </w:r>
      <w:r w:rsidRPr="003F3B94">
        <w:rPr>
          <w:rFonts w:ascii="Abo-thar" w:hAnsi="Abo-thar" w:hint="cs"/>
          <w:bCs/>
          <w:sz w:val="28"/>
          <w:rtl/>
        </w:rPr>
        <w:t xml:space="preserve"> في حديثه قرينة عظيمة على ميله وانحرافه</w:t>
      </w:r>
      <w:r w:rsidR="00217AB4" w:rsidRPr="003F3B94">
        <w:rPr>
          <w:rFonts w:ascii="Abo-thar" w:hAnsi="Abo-thar" w:hint="cs"/>
          <w:sz w:val="28"/>
          <w:rtl/>
        </w:rPr>
        <w:t>،</w:t>
      </w:r>
      <w:r w:rsidRPr="003F3B94">
        <w:rPr>
          <w:rFonts w:ascii="Abo-thar" w:hAnsi="Abo-thar" w:hint="cs"/>
          <w:sz w:val="28"/>
          <w:rtl/>
        </w:rPr>
        <w:t xml:space="preserve"> </w:t>
      </w:r>
      <w:r w:rsidR="00217AB4" w:rsidRPr="003F3B94">
        <w:rPr>
          <w:rFonts w:ascii="Abo-thar" w:hAnsi="Abo-thar" w:hint="cs"/>
          <w:sz w:val="28"/>
          <w:rtl/>
        </w:rPr>
        <w:t>(</w:t>
      </w:r>
      <w:r w:rsidRPr="003F3B94">
        <w:rPr>
          <w:rFonts w:ascii="Abo-thar" w:hAnsi="Abo-thar" w:hint="cs"/>
          <w:sz w:val="28"/>
          <w:rtl/>
        </w:rPr>
        <w:t>علاوة على أنه ضعيفٌ في نفسه</w:t>
      </w:r>
      <w:r w:rsidR="00217AB4" w:rsidRPr="003F3B94">
        <w:rPr>
          <w:rFonts w:ascii="Abo-thar" w:hAnsi="Abo-thar" w:hint="cs"/>
          <w:sz w:val="28"/>
          <w:rtl/>
        </w:rPr>
        <w:t>)</w:t>
      </w:r>
      <w:r w:rsidR="00F456DF" w:rsidRPr="003F3B94">
        <w:rPr>
          <w:rFonts w:ascii="Abo-thar" w:hAnsi="Abo-thar" w:hint="cs"/>
          <w:sz w:val="28"/>
          <w:rtl/>
        </w:rPr>
        <w:t>»</w:t>
      </w:r>
      <w:r w:rsidR="00217AB4" w:rsidRPr="003F3B94">
        <w:rPr>
          <w:rFonts w:ascii="Abo-thar" w:hAnsi="Abo-thar" w:hint="cs"/>
          <w:sz w:val="28"/>
          <w:rtl/>
        </w:rPr>
        <w:t>.</w:t>
      </w:r>
    </w:p>
    <w:p w:rsidR="005C664D" w:rsidRPr="003F3B94" w:rsidRDefault="005C664D" w:rsidP="00EF714D">
      <w:pPr>
        <w:pStyle w:val="a0"/>
        <w:ind w:left="624" w:hanging="340"/>
        <w:rPr>
          <w:rFonts w:hint="cs"/>
          <w:rtl/>
        </w:rPr>
      </w:pPr>
      <w:r w:rsidRPr="003F3B94">
        <w:rPr>
          <w:rFonts w:ascii="Abo-thar" w:hAnsi="Abo-thar" w:hint="cs"/>
          <w:sz w:val="28"/>
          <w:rtl/>
        </w:rPr>
        <w:t>د</w:t>
      </w:r>
      <w:r w:rsidR="00217AB4" w:rsidRPr="003F3B94">
        <w:rPr>
          <w:rFonts w:ascii="Abo-thar" w:hAnsi="Abo-thar" w:hint="cs"/>
          <w:sz w:val="28"/>
          <w:rtl/>
        </w:rPr>
        <w:t>-</w:t>
      </w:r>
      <w:r w:rsidRPr="003F3B94">
        <w:rPr>
          <w:rFonts w:ascii="Abo-thar" w:hAnsi="Abo-thar" w:hint="cs"/>
          <w:sz w:val="28"/>
          <w:rtl/>
        </w:rPr>
        <w:t xml:space="preserve"> نقل </w:t>
      </w:r>
      <w:r w:rsidRPr="003F3B94">
        <w:rPr>
          <w:rFonts w:ascii="Abo-thar" w:hAnsi="Abo-thar"/>
          <w:sz w:val="28"/>
          <w:rtl/>
        </w:rPr>
        <w:t xml:space="preserve">العلامة المامقاني في </w:t>
      </w:r>
      <w:r w:rsidRPr="003F3B94">
        <w:rPr>
          <w:rFonts w:ascii="Abo-thar" w:hAnsi="Abo-thar" w:hint="cs"/>
          <w:sz w:val="28"/>
          <w:rtl/>
        </w:rPr>
        <w:t>«</w:t>
      </w:r>
      <w:r w:rsidRPr="003F3B94">
        <w:rPr>
          <w:rFonts w:ascii="Abo-thar" w:hAnsi="Abo-thar"/>
          <w:sz w:val="28"/>
          <w:rtl/>
        </w:rPr>
        <w:t>تنقيح المقال</w:t>
      </w:r>
      <w:r w:rsidRPr="003F3B94">
        <w:rPr>
          <w:rFonts w:ascii="Abo-thar" w:hAnsi="Abo-thar" w:hint="cs"/>
          <w:sz w:val="28"/>
          <w:rtl/>
        </w:rPr>
        <w:t>»</w:t>
      </w:r>
      <w:r w:rsidR="00F51ADA" w:rsidRPr="0021507A">
        <w:rPr>
          <w:rFonts w:ascii="Abo-thar" w:hAnsi="Abo-thar" w:cs="Arabic11 BT"/>
          <w:sz w:val="28"/>
          <w:vertAlign w:val="superscript"/>
          <w:rtl/>
        </w:rPr>
        <w:t>(</w:t>
      </w:r>
      <w:r w:rsidR="00F51ADA" w:rsidRPr="0021507A">
        <w:rPr>
          <w:rStyle w:val="FootnoteReference"/>
          <w:rFonts w:ascii="Abo-thar" w:hAnsi="Abo-thar" w:cs="Arabic11 BT"/>
          <w:sz w:val="28"/>
          <w:rtl/>
        </w:rPr>
        <w:footnoteReference w:id="378"/>
      </w:r>
      <w:r w:rsidR="00F51ADA" w:rsidRPr="0021507A">
        <w:rPr>
          <w:rFonts w:ascii="Abo-thar" w:hAnsi="Abo-thar" w:cs="Arabic11 BT"/>
          <w:sz w:val="28"/>
          <w:vertAlign w:val="superscript"/>
          <w:rtl/>
        </w:rPr>
        <w:t>)</w:t>
      </w:r>
      <w:r w:rsidRPr="003F3B94">
        <w:rPr>
          <w:rFonts w:ascii="Abo-thar" w:hAnsi="Abo-thar" w:hint="cs"/>
          <w:sz w:val="28"/>
          <w:rtl/>
        </w:rPr>
        <w:t xml:space="preserve"> تضعيفه عن بعض الفقهاء الكبار مثل المحقق في المعتبر وكاشف الرموز</w:t>
      </w:r>
      <w:r w:rsidR="00217AB4" w:rsidRPr="003F3B94">
        <w:rPr>
          <w:rFonts w:ascii="Abo-thar" w:hAnsi="Abo-thar" w:hint="cs"/>
          <w:sz w:val="28"/>
          <w:rtl/>
        </w:rPr>
        <w:t>،</w:t>
      </w:r>
      <w:r w:rsidRPr="003F3B94">
        <w:rPr>
          <w:rFonts w:ascii="Abo-thar" w:hAnsi="Abo-thar" w:hint="cs"/>
          <w:sz w:val="28"/>
          <w:rtl/>
        </w:rPr>
        <w:t xml:space="preserve"> والعلامة في المختلف</w:t>
      </w:r>
      <w:r w:rsidR="00217AB4" w:rsidRPr="003F3B94">
        <w:rPr>
          <w:rFonts w:ascii="Abo-thar" w:hAnsi="Abo-thar" w:hint="cs"/>
          <w:sz w:val="28"/>
          <w:rtl/>
        </w:rPr>
        <w:t>،</w:t>
      </w:r>
      <w:r w:rsidRPr="003F3B94">
        <w:rPr>
          <w:rFonts w:ascii="Abo-thar" w:hAnsi="Abo-thar" w:hint="cs"/>
          <w:sz w:val="28"/>
          <w:rtl/>
        </w:rPr>
        <w:t xml:space="preserve"> والسيد في المدارك</w:t>
      </w:r>
      <w:r w:rsidR="00217AB4" w:rsidRPr="003F3B94">
        <w:rPr>
          <w:rFonts w:ascii="Abo-thar" w:hAnsi="Abo-thar" w:hint="cs"/>
          <w:sz w:val="28"/>
          <w:rtl/>
        </w:rPr>
        <w:t>،</w:t>
      </w:r>
      <w:r w:rsidRPr="003F3B94">
        <w:rPr>
          <w:rFonts w:ascii="Abo-thar" w:hAnsi="Abo-thar" w:hint="cs"/>
          <w:sz w:val="28"/>
          <w:rtl/>
        </w:rPr>
        <w:t xml:space="preserve"> وصاحب الذخيرة</w:t>
      </w:r>
      <w:r w:rsidR="00217AB4" w:rsidRPr="003F3B94">
        <w:rPr>
          <w:rFonts w:ascii="Abo-thar" w:hAnsi="Abo-thar" w:hint="cs"/>
          <w:sz w:val="28"/>
          <w:rtl/>
        </w:rPr>
        <w:t>،</w:t>
      </w:r>
      <w:r w:rsidRPr="003F3B94">
        <w:rPr>
          <w:rFonts w:ascii="Abo-thar" w:hAnsi="Abo-thar" w:hint="cs"/>
          <w:sz w:val="28"/>
          <w:rtl/>
        </w:rPr>
        <w:t xml:space="preserve"> والفاضل المقداد في التنقيح</w:t>
      </w:r>
      <w:r w:rsidR="00217AB4" w:rsidRPr="003F3B94">
        <w:rPr>
          <w:rFonts w:ascii="Abo-thar" w:hAnsi="Abo-thar" w:hint="cs"/>
          <w:sz w:val="28"/>
          <w:rtl/>
        </w:rPr>
        <w:t>،</w:t>
      </w:r>
      <w:r w:rsidRPr="003F3B94">
        <w:rPr>
          <w:rFonts w:ascii="Abo-thar" w:hAnsi="Abo-thar" w:hint="cs"/>
          <w:sz w:val="28"/>
          <w:rtl/>
        </w:rPr>
        <w:t xml:space="preserve"> والشهيد الثاني في روض الجنان</w:t>
      </w:r>
      <w:r w:rsidR="00217AB4" w:rsidRPr="003F3B94">
        <w:rPr>
          <w:rFonts w:ascii="Abo-thar" w:hAnsi="Abo-thar" w:hint="cs"/>
          <w:sz w:val="28"/>
          <w:rtl/>
        </w:rPr>
        <w:t>.</w:t>
      </w:r>
    </w:p>
    <w:p w:rsidR="005C664D" w:rsidRPr="003F3B94" w:rsidRDefault="005C664D" w:rsidP="003F3B94">
      <w:pPr>
        <w:pStyle w:val="a0"/>
        <w:rPr>
          <w:rFonts w:hint="cs"/>
          <w:rtl/>
        </w:rPr>
      </w:pPr>
      <w:r w:rsidRPr="003F3B94">
        <w:rPr>
          <w:rFonts w:ascii="Abo-thar" w:hAnsi="Abo-thar" w:hint="cs"/>
          <w:sz w:val="28"/>
          <w:rtl/>
        </w:rPr>
        <w:t>أقول</w:t>
      </w:r>
      <w:r w:rsidR="00217AB4" w:rsidRPr="003F3B94">
        <w:rPr>
          <w:rFonts w:ascii="Abo-thar" w:hAnsi="Abo-thar" w:hint="cs"/>
          <w:sz w:val="28"/>
          <w:rtl/>
        </w:rPr>
        <w:t>:</w:t>
      </w:r>
      <w:r w:rsidRPr="003F3B94">
        <w:rPr>
          <w:rFonts w:ascii="Abo-thar" w:hAnsi="Abo-thar" w:hint="cs"/>
          <w:sz w:val="28"/>
          <w:rtl/>
        </w:rPr>
        <w:t xml:space="preserve"> ولما كان كلُّ حديثٍ يتبع أخس رجاله</w:t>
      </w:r>
      <w:r w:rsidR="00217AB4" w:rsidRPr="003F3B94">
        <w:rPr>
          <w:rFonts w:ascii="Abo-thar" w:hAnsi="Abo-thar" w:hint="cs"/>
          <w:sz w:val="28"/>
          <w:rtl/>
        </w:rPr>
        <w:t>،</w:t>
      </w:r>
      <w:r w:rsidRPr="003F3B94">
        <w:rPr>
          <w:rFonts w:ascii="Abo-thar" w:hAnsi="Abo-thar" w:hint="cs"/>
          <w:sz w:val="28"/>
          <w:rtl/>
        </w:rPr>
        <w:t xml:space="preserve"> كما تتبع كل نتيجة أخس مقدماتها</w:t>
      </w:r>
      <w:r w:rsidR="00217AB4" w:rsidRPr="003F3B94">
        <w:rPr>
          <w:rFonts w:ascii="Abo-thar" w:hAnsi="Abo-thar" w:hint="cs"/>
          <w:sz w:val="28"/>
          <w:rtl/>
        </w:rPr>
        <w:t>،</w:t>
      </w:r>
      <w:r w:rsidRPr="003F3B94">
        <w:rPr>
          <w:rFonts w:ascii="Abo-thar" w:hAnsi="Abo-thar" w:hint="cs"/>
          <w:sz w:val="28"/>
          <w:rtl/>
        </w:rPr>
        <w:t xml:space="preserve"> فقد أصبح معلوماً ما هي قيمة حديثٍ يرويه </w:t>
      </w:r>
      <w:r w:rsidRPr="003F3B94">
        <w:rPr>
          <w:rFonts w:ascii="Abo-thar" w:hAnsi="Abo-thar"/>
          <w:sz w:val="28"/>
          <w:rtl/>
        </w:rPr>
        <w:t>«سَهْل</w:t>
      </w:r>
      <w:r w:rsidRPr="003F3B94">
        <w:rPr>
          <w:rFonts w:ascii="Abo-thar" w:hAnsi="Abo-thar" w:hint="cs"/>
          <w:sz w:val="28"/>
          <w:rtl/>
        </w:rPr>
        <w:t>ُ</w:t>
      </w:r>
      <w:r w:rsidRPr="003F3B94">
        <w:rPr>
          <w:rFonts w:ascii="Abo-thar" w:hAnsi="Abo-thar"/>
          <w:sz w:val="28"/>
          <w:rtl/>
        </w:rPr>
        <w:t xml:space="preserve"> بْن</w:t>
      </w:r>
      <w:r w:rsidRPr="003F3B94">
        <w:rPr>
          <w:rFonts w:ascii="Abo-thar" w:hAnsi="Abo-thar" w:hint="cs"/>
          <w:sz w:val="28"/>
          <w:rtl/>
        </w:rPr>
        <w:t>ُ</w:t>
      </w:r>
      <w:r w:rsidRPr="003F3B94">
        <w:rPr>
          <w:rFonts w:ascii="Abo-thar" w:hAnsi="Abo-thar"/>
          <w:sz w:val="28"/>
          <w:rtl/>
        </w:rPr>
        <w:t xml:space="preserve"> زِيَادٍ»</w:t>
      </w:r>
      <w:r w:rsidRPr="003F3B94">
        <w:rPr>
          <w:rFonts w:ascii="Abo-thar" w:hAnsi="Abo-thar" w:hint="cs"/>
          <w:sz w:val="28"/>
          <w:rtl/>
        </w:rPr>
        <w:t xml:space="preserve"> عن </w:t>
      </w:r>
      <w:r w:rsidRPr="003F3B94">
        <w:rPr>
          <w:rFonts w:ascii="Abo-thar" w:hAnsi="Abo-thar"/>
          <w:sz w:val="28"/>
          <w:rtl/>
        </w:rPr>
        <w:t>«مُحَمَّدِ بْنِ عِيسَى»</w:t>
      </w:r>
      <w:r w:rsidR="00217AB4" w:rsidRPr="003F3B94">
        <w:rPr>
          <w:rFonts w:ascii="Abo-thar" w:hAnsi="Abo-thar" w:hint="cs"/>
          <w:sz w:val="28"/>
          <w:rtl/>
        </w:rPr>
        <w:t>!!</w:t>
      </w:r>
    </w:p>
    <w:p w:rsidR="00542D29" w:rsidRPr="00995B26" w:rsidRDefault="00542D29" w:rsidP="003C671C">
      <w:pPr>
        <w:pStyle w:val="a6"/>
        <w:rPr>
          <w:rFonts w:hint="cs"/>
          <w:rtl/>
        </w:rPr>
      </w:pPr>
      <w:bookmarkStart w:id="128" w:name="_Toc387843093"/>
      <w:r w:rsidRPr="00995B26">
        <w:rPr>
          <w:rFonts w:hint="cs"/>
          <w:rtl/>
        </w:rPr>
        <w:t>متن الحديث الثاني</w:t>
      </w:r>
      <w:r w:rsidR="003C671C">
        <w:rPr>
          <w:rFonts w:hint="cs"/>
          <w:rtl/>
        </w:rPr>
        <w:t>:</w:t>
      </w:r>
      <w:bookmarkEnd w:id="128"/>
    </w:p>
    <w:p w:rsidR="005C664D" w:rsidRPr="003F3B94" w:rsidRDefault="005C664D" w:rsidP="003F3B94">
      <w:pPr>
        <w:pStyle w:val="a0"/>
        <w:rPr>
          <w:rFonts w:hint="cs"/>
          <w:rtl/>
        </w:rPr>
      </w:pPr>
      <w:r w:rsidRPr="003F3B94">
        <w:rPr>
          <w:rFonts w:ascii="Abo-thar" w:hAnsi="Abo-thar" w:hint="cs"/>
          <w:sz w:val="28"/>
          <w:rtl/>
        </w:rPr>
        <w:t>أما متن الحديث الذي يقول</w:t>
      </w:r>
      <w:r w:rsidR="00217AB4" w:rsidRPr="003F3B94">
        <w:rPr>
          <w:rFonts w:ascii="Abo-thar" w:hAnsi="Abo-thar" w:hint="cs"/>
          <w:sz w:val="28"/>
          <w:rtl/>
        </w:rPr>
        <w:t>:</w:t>
      </w:r>
      <w:r w:rsidRPr="003F3B94">
        <w:rPr>
          <w:rFonts w:ascii="Abo-thar" w:hAnsi="Abo-thar" w:hint="cs"/>
          <w:sz w:val="28"/>
          <w:rtl/>
        </w:rPr>
        <w:t xml:space="preserve"> </w:t>
      </w:r>
      <w:r w:rsidR="00EF2588" w:rsidRPr="00394385">
        <w:rPr>
          <w:rFonts w:ascii="Abo-thar" w:hAnsi="Abo-thar" w:cs="KFGQPC Uthman Taha Naskh" w:hint="cs"/>
          <w:sz w:val="28"/>
          <w:rtl/>
        </w:rPr>
        <w:t>«</w:t>
      </w:r>
      <w:r w:rsidRPr="00394385">
        <w:rPr>
          <w:rFonts w:cs="KFGQPC Uthman Taha Naskh"/>
          <w:b/>
          <w:bCs/>
          <w:sz w:val="28"/>
          <w:rtl/>
        </w:rPr>
        <w:t>إِنَّ الدُّنْيَا ومَا عَلَيْهَا لِرَسُولِ اللهِ</w:t>
      </w:r>
      <w:r w:rsidR="00147857" w:rsidRPr="00394385">
        <w:rPr>
          <w:rFonts w:cs="KFGQPC Uthman Taha Naskh"/>
          <w:b/>
          <w:bCs/>
          <w:sz w:val="28"/>
          <w:rtl/>
        </w:rPr>
        <w:t xml:space="preserve"> </w:t>
      </w:r>
      <w:r w:rsidR="003C7AEB" w:rsidRPr="003C7AEB">
        <w:rPr>
          <w:rFonts w:ascii="Abo-thar" w:hAnsi="Abo-thar" w:cs="CTraditional Arabic"/>
          <w:sz w:val="28"/>
          <w:rtl/>
        </w:rPr>
        <w:t>ص</w:t>
      </w:r>
      <w:r w:rsidR="00EF2588" w:rsidRPr="00394385">
        <w:rPr>
          <w:rFonts w:ascii="Abo-thar" w:hAnsi="Abo-thar" w:cs="KFGQPC Uthman Taha Naskh"/>
          <w:sz w:val="28"/>
          <w:rtl/>
        </w:rPr>
        <w:t>»</w:t>
      </w:r>
      <w:r w:rsidR="00217AB4" w:rsidRPr="003F3B94">
        <w:rPr>
          <w:rFonts w:ascii="Abo-thar" w:hAnsi="Abo-thar" w:hint="cs"/>
          <w:sz w:val="28"/>
          <w:rtl/>
        </w:rPr>
        <w:t>،</w:t>
      </w:r>
      <w:r w:rsidRPr="003F3B94">
        <w:rPr>
          <w:rFonts w:ascii="Abo-thar" w:hAnsi="Abo-thar" w:hint="cs"/>
          <w:sz w:val="28"/>
          <w:rtl/>
        </w:rPr>
        <w:t xml:space="preserve"> فبغض النظر عن حكم العقل والوجدان التاريخ وسيرة خاتم النبيين</w:t>
      </w:r>
      <w:r w:rsidR="00147857" w:rsidRPr="003F3B94">
        <w:rPr>
          <w:rFonts w:ascii="Abo-thar" w:hAnsi="Abo-thar" w:hint="cs"/>
          <w:sz w:val="28"/>
          <w:rtl/>
        </w:rPr>
        <w:t xml:space="preserve"> </w:t>
      </w:r>
      <w:r w:rsidR="003C7AEB" w:rsidRPr="003C7AEB">
        <w:rPr>
          <w:rFonts w:ascii="Abo-thar" w:hAnsi="Abo-thar" w:cs="CTraditional Arabic"/>
          <w:sz w:val="28"/>
          <w:rtl/>
        </w:rPr>
        <w:t>ص</w:t>
      </w:r>
      <w:r w:rsidR="00147857" w:rsidRPr="003F3B94">
        <w:rPr>
          <w:rFonts w:ascii="Abo-thar" w:hAnsi="Abo-thar"/>
          <w:sz w:val="28"/>
          <w:rtl/>
        </w:rPr>
        <w:t xml:space="preserve"> </w:t>
      </w:r>
      <w:r w:rsidRPr="003F3B94">
        <w:rPr>
          <w:rFonts w:ascii="Abo-thar" w:hAnsi="Abo-thar" w:hint="cs"/>
          <w:sz w:val="28"/>
          <w:rtl/>
        </w:rPr>
        <w:t xml:space="preserve">فإنه يكفي لبيان فساد متنه وعدم اعتباره أن الله تعالى نسب في أكثر من </w:t>
      </w:r>
      <w:r w:rsidR="00755AAC">
        <w:rPr>
          <w:rFonts w:ascii="Abo-thar" w:hAnsi="Abo-thar" w:hint="cs"/>
          <w:sz w:val="28"/>
          <w:rtl/>
        </w:rPr>
        <w:t>مائة</w:t>
      </w:r>
      <w:r w:rsidRPr="003F3B94">
        <w:rPr>
          <w:rFonts w:ascii="Abo-thar" w:hAnsi="Abo-thar" w:hint="cs"/>
          <w:sz w:val="28"/>
          <w:rtl/>
        </w:rPr>
        <w:t xml:space="preserve"> آية من كتابه مال الدنيا للناس وأضافه لمختلف الأشخاص والأفراد في هذا العالم ولم ينسبه إلى رسول الله</w:t>
      </w:r>
      <w:r w:rsidR="00147857" w:rsidRPr="003F3B94">
        <w:rPr>
          <w:rFonts w:ascii="Abo-thar" w:hAnsi="Abo-thar" w:hint="cs"/>
          <w:sz w:val="28"/>
          <w:rtl/>
        </w:rPr>
        <w:t xml:space="preserve"> </w:t>
      </w:r>
      <w:r w:rsidR="003C7AEB" w:rsidRPr="003C7AEB">
        <w:rPr>
          <w:rFonts w:ascii="Abo-thar" w:hAnsi="Abo-thar" w:cs="CTraditional Arabic"/>
          <w:sz w:val="28"/>
          <w:rtl/>
        </w:rPr>
        <w:t>ص</w:t>
      </w:r>
      <w:r w:rsidR="00147857" w:rsidRPr="003F3B94">
        <w:rPr>
          <w:rFonts w:ascii="Abo-thar" w:hAnsi="Abo-thar"/>
          <w:sz w:val="28"/>
          <w:rtl/>
        </w:rPr>
        <w:t xml:space="preserve"> </w:t>
      </w:r>
      <w:r w:rsidRPr="003F3B94">
        <w:rPr>
          <w:rFonts w:ascii="Abo-thar" w:hAnsi="Abo-thar" w:hint="cs"/>
          <w:sz w:val="28"/>
          <w:rtl/>
        </w:rPr>
        <w:t>ولا حتى في نصف آية مباركة</w:t>
      </w:r>
      <w:r w:rsidR="00217AB4" w:rsidRPr="003F3B94">
        <w:rPr>
          <w:rFonts w:ascii="Abo-thar" w:hAnsi="Abo-thar" w:hint="cs"/>
          <w:sz w:val="28"/>
          <w:rtl/>
        </w:rPr>
        <w:t>!</w:t>
      </w:r>
    </w:p>
    <w:p w:rsidR="005C664D" w:rsidRPr="00995B26" w:rsidRDefault="005C664D" w:rsidP="003C671C">
      <w:pPr>
        <w:pStyle w:val="a6"/>
        <w:rPr>
          <w:rFonts w:hint="cs"/>
          <w:rtl/>
        </w:rPr>
      </w:pPr>
      <w:bookmarkStart w:id="129" w:name="_Toc215491158"/>
      <w:bookmarkStart w:id="130" w:name="_Toc215498077"/>
      <w:bookmarkStart w:id="131" w:name="_Toc387843094"/>
      <w:r w:rsidRPr="00995B26">
        <w:rPr>
          <w:rFonts w:hint="cs"/>
          <w:rtl/>
        </w:rPr>
        <w:t>سند الحديث الثالث</w:t>
      </w:r>
      <w:r w:rsidR="00217AB4" w:rsidRPr="00995B26">
        <w:rPr>
          <w:rFonts w:hint="cs"/>
          <w:rtl/>
        </w:rPr>
        <w:t>:</w:t>
      </w:r>
      <w:bookmarkEnd w:id="129"/>
      <w:bookmarkEnd w:id="130"/>
      <w:bookmarkEnd w:id="131"/>
    </w:p>
    <w:p w:rsidR="005C664D" w:rsidRPr="003F3B94" w:rsidRDefault="005C664D" w:rsidP="003F3B94">
      <w:pPr>
        <w:pStyle w:val="a0"/>
        <w:rPr>
          <w:rFonts w:hint="cs"/>
          <w:rtl/>
        </w:rPr>
      </w:pPr>
      <w:r w:rsidRPr="003F3B94">
        <w:rPr>
          <w:rFonts w:ascii="Abo-thar" w:hAnsi="Abo-thar" w:hint="cs"/>
          <w:sz w:val="28"/>
          <w:rtl/>
        </w:rPr>
        <w:t>3</w:t>
      </w:r>
      <w:r w:rsidR="00217AB4" w:rsidRPr="003F3B94">
        <w:rPr>
          <w:rFonts w:ascii="Abo-thar" w:hAnsi="Abo-thar" w:hint="cs"/>
          <w:sz w:val="28"/>
          <w:rtl/>
        </w:rPr>
        <w:t>-</w:t>
      </w:r>
      <w:r w:rsidR="00147857" w:rsidRPr="003F3B94">
        <w:rPr>
          <w:rFonts w:ascii="Abo-thar" w:hAnsi="Abo-thar"/>
          <w:sz w:val="28"/>
          <w:rtl/>
        </w:rPr>
        <w:t xml:space="preserve"> </w:t>
      </w:r>
      <w:r w:rsidRPr="00EF714D">
        <w:rPr>
          <w:rFonts w:ascii="Abo-thar" w:hAnsi="Abo-thar" w:cs="KFGQPC Uthman Taha Naskh"/>
          <w:bCs/>
          <w:sz w:val="28"/>
          <w:rtl/>
        </w:rPr>
        <w:t xml:space="preserve">الحُسَيْنُ بْنُ مُحَمَّدٍ عَنْ مُعَلَّى بْنِ مُحَمَّدٍ قَالَ أَخْبَرَنِي أَحْمَدُ بْنُ مُحَمَّدِ بْنِ عَبْدِ اللهِ </w:t>
      </w:r>
      <w:r w:rsidRPr="00EF714D">
        <w:rPr>
          <w:rFonts w:ascii="Abo-thar" w:hAnsi="Abo-thar" w:cs="KFGQPC Uthman Taha Naskh"/>
          <w:bCs/>
          <w:sz w:val="28"/>
          <w:u w:val="single"/>
          <w:rtl/>
        </w:rPr>
        <w:t>عَمَّنْ رَوَاهُ</w:t>
      </w:r>
      <w:r w:rsidRPr="00EF714D">
        <w:rPr>
          <w:rFonts w:ascii="Abo-thar" w:hAnsi="Abo-thar" w:cs="KFGQPC Uthman Taha Naskh"/>
          <w:sz w:val="28"/>
          <w:rtl/>
        </w:rPr>
        <w:t xml:space="preserve"> قَالَ</w:t>
      </w:r>
      <w:r w:rsidR="00217AB4" w:rsidRPr="00EF714D">
        <w:rPr>
          <w:rFonts w:ascii="Abo-thar" w:hAnsi="Abo-thar" w:cs="KFGQPC Uthman Taha Naskh" w:hint="cs"/>
          <w:sz w:val="28"/>
          <w:rtl/>
        </w:rPr>
        <w:t>:</w:t>
      </w:r>
      <w:r w:rsidRPr="00EF714D">
        <w:rPr>
          <w:rFonts w:ascii="Abo-thar" w:hAnsi="Abo-thar" w:cs="KFGQPC Uthman Taha Naskh"/>
          <w:sz w:val="28"/>
          <w:rtl/>
        </w:rPr>
        <w:t xml:space="preserve"> الدُّنْيَا وَمَا فِيهَا </w:t>
      </w:r>
      <w:r w:rsidRPr="00EF714D">
        <w:rPr>
          <w:rFonts w:ascii="Abo-thar" w:hAnsi="Abo-thar" w:cs="KFGQPC Uthman Taha Naskh" w:hint="cs"/>
          <w:sz w:val="28"/>
          <w:rtl/>
        </w:rPr>
        <w:t>لِـلَّهِ</w:t>
      </w:r>
      <w:r w:rsidRPr="00EF714D">
        <w:rPr>
          <w:rFonts w:ascii="Abo-thar" w:hAnsi="Abo-thar" w:cs="KFGQPC Uthman Taha Naskh"/>
          <w:sz w:val="28"/>
          <w:rtl/>
        </w:rPr>
        <w:t xml:space="preserve"> تَبَارَكَ وَتَعَالَى وَلِرَسُولِهِ وَلَنَا</w:t>
      </w:r>
      <w:r w:rsidR="00217AB4" w:rsidRPr="003F3B94">
        <w:rPr>
          <w:rFonts w:ascii="Abo-thar" w:hAnsi="Abo-thar" w:hint="cs"/>
          <w:sz w:val="28"/>
          <w:rtl/>
        </w:rPr>
        <w:t>...</w:t>
      </w:r>
      <w:r w:rsidRPr="003F3B94">
        <w:rPr>
          <w:rFonts w:ascii="Abo-thar" w:hAnsi="Abo-thar" w:hint="cs"/>
          <w:sz w:val="28"/>
          <w:rtl/>
        </w:rPr>
        <w:t xml:space="preserve"> الحديث</w:t>
      </w:r>
      <w:r w:rsidR="00217AB4" w:rsidRPr="003F3B94">
        <w:rPr>
          <w:rFonts w:ascii="Abo-thar" w:hAnsi="Abo-thar" w:hint="cs"/>
          <w:sz w:val="28"/>
          <w:rtl/>
        </w:rPr>
        <w:t>.</w:t>
      </w:r>
    </w:p>
    <w:p w:rsidR="005C664D" w:rsidRPr="003F3B94" w:rsidRDefault="005C664D" w:rsidP="003F3B94">
      <w:pPr>
        <w:pStyle w:val="a0"/>
        <w:rPr>
          <w:rFonts w:hint="cs"/>
          <w:rtl/>
        </w:rPr>
      </w:pPr>
      <w:r w:rsidRPr="003F3B94">
        <w:rPr>
          <w:rFonts w:ascii="Abo-thar" w:hAnsi="Abo-thar" w:hint="cs"/>
          <w:sz w:val="28"/>
          <w:rtl/>
        </w:rPr>
        <w:t xml:space="preserve">الراوي الأول في هذا الحديث </w:t>
      </w:r>
      <w:r w:rsidRPr="003F3B94">
        <w:rPr>
          <w:rFonts w:cs="Times New Roman" w:hint="cs"/>
          <w:sz w:val="28"/>
          <w:rtl/>
        </w:rPr>
        <w:t>–</w:t>
      </w:r>
      <w:r w:rsidRPr="003F3B94">
        <w:rPr>
          <w:rFonts w:ascii="Abo-thar" w:hAnsi="Abo-thar" w:hint="cs"/>
          <w:sz w:val="28"/>
          <w:rtl/>
        </w:rPr>
        <w:t xml:space="preserve"> هذا إن جاز تسميت</w:t>
      </w:r>
      <w:r w:rsidR="00F51ADA" w:rsidRPr="003F3B94">
        <w:rPr>
          <w:rFonts w:ascii="Abo-thar" w:hAnsi="Abo-thar" w:hint="cs"/>
          <w:sz w:val="28"/>
          <w:rtl/>
        </w:rPr>
        <w:t>ه بحديثٍ لأنه مرويٌ عن مُضْمَر</w:t>
      </w:r>
      <w:r w:rsidRPr="003F3B94">
        <w:rPr>
          <w:rFonts w:ascii="Abo-thar" w:hAnsi="Abo-thar" w:hint="cs"/>
          <w:sz w:val="28"/>
          <w:rtl/>
        </w:rPr>
        <w:t xml:space="preserve"> وقد لا يكون هذا المضمر إماماً فلا ندري عمن رُوِيَ حقيقةً</w:t>
      </w:r>
      <w:r w:rsidR="00217AB4" w:rsidRPr="003F3B94">
        <w:rPr>
          <w:rFonts w:ascii="Abo-thar" w:hAnsi="Abo-thar" w:hint="cs"/>
          <w:sz w:val="28"/>
          <w:rtl/>
        </w:rPr>
        <w:t>؟!</w:t>
      </w:r>
      <w:r w:rsidRPr="003F3B94">
        <w:rPr>
          <w:rFonts w:ascii="Abo-thar" w:hAnsi="Abo-thar" w:hint="cs"/>
          <w:sz w:val="28"/>
          <w:rtl/>
        </w:rPr>
        <w:t xml:space="preserve"> </w:t>
      </w:r>
      <w:r w:rsidRPr="003F3B94">
        <w:rPr>
          <w:rFonts w:cs="Times New Roman" w:hint="cs"/>
          <w:sz w:val="28"/>
          <w:rtl/>
        </w:rPr>
        <w:t>–</w:t>
      </w:r>
      <w:r w:rsidRPr="003F3B94">
        <w:rPr>
          <w:rFonts w:ascii="Abo-thar" w:hAnsi="Abo-thar" w:hint="cs"/>
          <w:sz w:val="28"/>
          <w:rtl/>
        </w:rPr>
        <w:t xml:space="preserve"> هو </w:t>
      </w:r>
      <w:r w:rsidRPr="003F3B94">
        <w:rPr>
          <w:rFonts w:ascii="Abo-thar" w:hAnsi="Abo-thar"/>
          <w:sz w:val="28"/>
          <w:rtl/>
        </w:rPr>
        <w:t>«الْحُسَيْنُ بْنُ مُحَمَّدٍ»</w:t>
      </w:r>
      <w:r w:rsidRPr="003F3B94">
        <w:rPr>
          <w:rFonts w:ascii="Abo-thar" w:hAnsi="Abo-thar" w:hint="cs"/>
          <w:sz w:val="28"/>
          <w:rtl/>
        </w:rPr>
        <w:t xml:space="preserve"> وينبغي اعتباره من المجهولين</w:t>
      </w:r>
      <w:r w:rsidR="00217AB4" w:rsidRPr="003F3B94">
        <w:rPr>
          <w:rFonts w:ascii="Abo-thar" w:hAnsi="Abo-thar" w:hint="cs"/>
          <w:sz w:val="28"/>
          <w:rtl/>
        </w:rPr>
        <w:t>،</w:t>
      </w:r>
      <w:r w:rsidRPr="003F3B94">
        <w:rPr>
          <w:rFonts w:ascii="Abo-thar" w:hAnsi="Abo-thar" w:hint="cs"/>
          <w:sz w:val="28"/>
          <w:rtl/>
        </w:rPr>
        <w:t xml:space="preserve"> وقد روى عن </w:t>
      </w:r>
      <w:r w:rsidRPr="003F3B94">
        <w:rPr>
          <w:rFonts w:ascii="Abo-thar" w:hAnsi="Abo-thar"/>
          <w:sz w:val="28"/>
          <w:rtl/>
        </w:rPr>
        <w:t>«مُعَلَّى بْنِ مُحَمَّدٍ»</w:t>
      </w:r>
      <w:r w:rsidR="00217AB4" w:rsidRPr="003F3B94">
        <w:rPr>
          <w:rFonts w:ascii="Abo-thar" w:hAnsi="Abo-thar" w:hint="cs"/>
          <w:sz w:val="28"/>
          <w:rtl/>
        </w:rPr>
        <w:t>،</w:t>
      </w:r>
      <w:r w:rsidRPr="003F3B94">
        <w:rPr>
          <w:rFonts w:ascii="Abo-thar" w:hAnsi="Abo-thar" w:hint="cs"/>
          <w:sz w:val="28"/>
          <w:rtl/>
        </w:rPr>
        <w:t xml:space="preserve"> وفيما يلي ما قالته عنه كتب الرجال</w:t>
      </w:r>
      <w:r w:rsidR="00217AB4" w:rsidRPr="003F3B94">
        <w:rPr>
          <w:rFonts w:ascii="Abo-thar" w:hAnsi="Abo-thar" w:hint="cs"/>
          <w:sz w:val="28"/>
          <w:rtl/>
        </w:rPr>
        <w:t>،</w:t>
      </w:r>
      <w:r w:rsidRPr="003F3B94">
        <w:rPr>
          <w:rFonts w:ascii="Abo-thar" w:hAnsi="Abo-thar" w:hint="cs"/>
          <w:sz w:val="28"/>
          <w:rtl/>
        </w:rPr>
        <w:t xml:space="preserve"> طبقاً لما ذكره العلامة المامقاني في </w:t>
      </w:r>
      <w:r w:rsidRPr="003F3B94">
        <w:rPr>
          <w:rFonts w:ascii="Abo-thar" w:hAnsi="Abo-thar"/>
          <w:sz w:val="28"/>
          <w:rtl/>
        </w:rPr>
        <w:t>«</w:t>
      </w:r>
      <w:r w:rsidRPr="003F3B94">
        <w:rPr>
          <w:rFonts w:ascii="Abo-thar" w:hAnsi="Abo-thar" w:hint="cs"/>
          <w:sz w:val="28"/>
          <w:rtl/>
        </w:rPr>
        <w:t>تنقيح المقال</w:t>
      </w:r>
      <w:r w:rsidRPr="003F3B94">
        <w:rPr>
          <w:rFonts w:ascii="Abo-thar" w:hAnsi="Abo-thar"/>
          <w:sz w:val="28"/>
          <w:rtl/>
        </w:rPr>
        <w:t>»</w:t>
      </w:r>
      <w:r w:rsidR="00F51ADA" w:rsidRPr="0021507A">
        <w:rPr>
          <w:rFonts w:ascii="Abo-thar" w:hAnsi="Abo-thar" w:cs="Arabic11 BT"/>
          <w:sz w:val="28"/>
          <w:vertAlign w:val="superscript"/>
          <w:rtl/>
        </w:rPr>
        <w:t>(</w:t>
      </w:r>
      <w:r w:rsidR="00F51ADA" w:rsidRPr="0021507A">
        <w:rPr>
          <w:rStyle w:val="FootnoteReference"/>
          <w:rFonts w:ascii="Abo-thar" w:hAnsi="Abo-thar" w:cs="Arabic11 BT"/>
          <w:sz w:val="28"/>
          <w:rtl/>
        </w:rPr>
        <w:footnoteReference w:id="379"/>
      </w:r>
      <w:r w:rsidR="00F51ADA" w:rsidRPr="0021507A">
        <w:rPr>
          <w:rFonts w:ascii="Abo-thar" w:hAnsi="Abo-thar" w:cs="Arabic11 BT"/>
          <w:sz w:val="28"/>
          <w:vertAlign w:val="superscript"/>
          <w:rtl/>
        </w:rPr>
        <w:t>)</w:t>
      </w:r>
      <w:r w:rsidR="00217AB4" w:rsidRPr="003F3B94">
        <w:rPr>
          <w:rFonts w:ascii="Abo-thar" w:hAnsi="Abo-thar" w:hint="cs"/>
          <w:sz w:val="28"/>
          <w:rtl/>
        </w:rPr>
        <w:t>:</w:t>
      </w:r>
    </w:p>
    <w:p w:rsidR="005C664D" w:rsidRPr="003F3B94" w:rsidRDefault="005C664D" w:rsidP="00EF714D">
      <w:pPr>
        <w:pStyle w:val="a0"/>
        <w:ind w:left="624" w:hanging="340"/>
        <w:rPr>
          <w:rFonts w:hint="cs"/>
          <w:rtl/>
        </w:rPr>
      </w:pPr>
      <w:r w:rsidRPr="003F3B94">
        <w:rPr>
          <w:rFonts w:ascii="Abo-thar" w:hAnsi="Abo-thar" w:hint="cs"/>
          <w:sz w:val="28"/>
          <w:rtl/>
        </w:rPr>
        <w:t>ألف</w:t>
      </w:r>
      <w:r w:rsidR="00217AB4" w:rsidRPr="003F3B94">
        <w:rPr>
          <w:rFonts w:ascii="Abo-thar" w:hAnsi="Abo-thar" w:hint="cs"/>
          <w:sz w:val="28"/>
          <w:rtl/>
        </w:rPr>
        <w:t>-</w:t>
      </w:r>
      <w:r w:rsidRPr="003F3B94">
        <w:rPr>
          <w:rFonts w:ascii="Abo-thar" w:hAnsi="Abo-thar" w:hint="cs"/>
          <w:sz w:val="28"/>
          <w:rtl/>
        </w:rPr>
        <w:t xml:space="preserve"> قال عنه المرحوم النجاشي في رجاله</w:t>
      </w:r>
      <w:r w:rsidR="00217AB4" w:rsidRPr="003F3B94">
        <w:rPr>
          <w:rFonts w:ascii="Abo-thar" w:hAnsi="Abo-thar" w:hint="cs"/>
          <w:sz w:val="28"/>
          <w:rtl/>
        </w:rPr>
        <w:t>:</w:t>
      </w:r>
      <w:r w:rsidRPr="003F3B94">
        <w:rPr>
          <w:rFonts w:ascii="Abo-thar" w:hAnsi="Abo-thar" w:hint="cs"/>
          <w:sz w:val="28"/>
          <w:rtl/>
        </w:rPr>
        <w:t xml:space="preserve"> </w:t>
      </w:r>
      <w:r w:rsidR="00EF2588" w:rsidRPr="003F3B94">
        <w:rPr>
          <w:rFonts w:ascii="Abo-thar" w:hAnsi="Abo-thar" w:hint="cs"/>
          <w:sz w:val="28"/>
          <w:rtl/>
        </w:rPr>
        <w:t>«</w:t>
      </w:r>
      <w:r w:rsidRPr="003F3B94">
        <w:rPr>
          <w:rFonts w:ascii="Abo-thar" w:hAnsi="Abo-thar"/>
          <w:bCs/>
          <w:sz w:val="28"/>
          <w:rtl/>
        </w:rPr>
        <w:t>معلى بن محمد البص</w:t>
      </w:r>
      <w:r w:rsidRPr="003F3B94">
        <w:rPr>
          <w:rFonts w:ascii="Abo-thar" w:hAnsi="Abo-thar" w:hint="cs"/>
          <w:bCs/>
          <w:sz w:val="28"/>
          <w:rtl/>
        </w:rPr>
        <w:t>ـ</w:t>
      </w:r>
      <w:r w:rsidRPr="003F3B94">
        <w:rPr>
          <w:rFonts w:ascii="Abo-thar" w:hAnsi="Abo-thar"/>
          <w:bCs/>
          <w:sz w:val="28"/>
          <w:rtl/>
        </w:rPr>
        <w:t>ري</w:t>
      </w:r>
      <w:r w:rsidR="00217AB4" w:rsidRPr="003F3B94">
        <w:rPr>
          <w:rFonts w:ascii="Abo-thar" w:hAnsi="Abo-thar" w:hint="cs"/>
          <w:bCs/>
          <w:sz w:val="28"/>
          <w:rtl/>
        </w:rPr>
        <w:t>:</w:t>
      </w:r>
      <w:r w:rsidRPr="003F3B94">
        <w:rPr>
          <w:rFonts w:ascii="Abo-thar" w:hAnsi="Abo-thar" w:hint="cs"/>
          <w:bCs/>
          <w:sz w:val="28"/>
          <w:rtl/>
        </w:rPr>
        <w:t xml:space="preserve"> </w:t>
      </w:r>
      <w:r w:rsidRPr="003F3B94">
        <w:rPr>
          <w:rFonts w:ascii="Abo-thar" w:hAnsi="Abo-thar"/>
          <w:bCs/>
          <w:sz w:val="28"/>
          <w:rtl/>
        </w:rPr>
        <w:t>أبو الحسن مضطرب الحديث والمذهب</w:t>
      </w:r>
      <w:r w:rsidR="00217AB4" w:rsidRPr="003F3B94">
        <w:rPr>
          <w:rFonts w:ascii="Abo-thar" w:hAnsi="Abo-thar"/>
          <w:sz w:val="28"/>
          <w:rtl/>
        </w:rPr>
        <w:t>،</w:t>
      </w:r>
      <w:r w:rsidRPr="003F3B94">
        <w:rPr>
          <w:rFonts w:ascii="Abo-thar" w:hAnsi="Abo-thar"/>
          <w:sz w:val="28"/>
          <w:rtl/>
        </w:rPr>
        <w:t xml:space="preserve"> وكتبه قريبة</w:t>
      </w:r>
      <w:r w:rsidR="00217AB4" w:rsidRPr="003F3B94">
        <w:rPr>
          <w:rFonts w:ascii="Abo-thar" w:hAnsi="Abo-thar"/>
          <w:sz w:val="28"/>
          <w:rtl/>
        </w:rPr>
        <w:t>.</w:t>
      </w:r>
      <w:r w:rsidRPr="003F3B94">
        <w:rPr>
          <w:rFonts w:ascii="Abo-thar" w:hAnsi="Abo-thar"/>
          <w:sz w:val="28"/>
          <w:rtl/>
        </w:rPr>
        <w:t xml:space="preserve"> له كتب‏</w:t>
      </w:r>
      <w:r w:rsidR="00217AB4" w:rsidRPr="003F3B94">
        <w:rPr>
          <w:rFonts w:ascii="Abo-thar" w:hAnsi="Abo-thar" w:hint="cs"/>
          <w:sz w:val="28"/>
          <w:rtl/>
        </w:rPr>
        <w:t>..</w:t>
      </w:r>
      <w:r w:rsidR="00EF2588" w:rsidRPr="003F3B94">
        <w:rPr>
          <w:rFonts w:ascii="Abo-thar" w:hAnsi="Abo-thar" w:hint="cs"/>
          <w:sz w:val="28"/>
          <w:rtl/>
        </w:rPr>
        <w:t>»</w:t>
      </w:r>
      <w:r w:rsidR="00217AB4" w:rsidRPr="003F3B94">
        <w:rPr>
          <w:rFonts w:ascii="Abo-thar" w:hAnsi="Abo-thar" w:hint="cs"/>
          <w:sz w:val="28"/>
          <w:rtl/>
        </w:rPr>
        <w:t>.</w:t>
      </w:r>
    </w:p>
    <w:p w:rsidR="005C664D" w:rsidRPr="003F3B94" w:rsidRDefault="005C664D" w:rsidP="00EF714D">
      <w:pPr>
        <w:pStyle w:val="a0"/>
        <w:ind w:left="624" w:hanging="340"/>
        <w:rPr>
          <w:rFonts w:hint="cs"/>
          <w:rtl/>
        </w:rPr>
      </w:pPr>
      <w:r w:rsidRPr="003F3B94">
        <w:rPr>
          <w:rFonts w:ascii="Abo-thar" w:hAnsi="Abo-thar" w:hint="cs"/>
          <w:sz w:val="28"/>
          <w:rtl/>
        </w:rPr>
        <w:t>ب</w:t>
      </w:r>
      <w:r w:rsidR="00217AB4" w:rsidRPr="003F3B94">
        <w:rPr>
          <w:rFonts w:ascii="Abo-thar" w:hAnsi="Abo-thar" w:hint="cs"/>
          <w:sz w:val="28"/>
          <w:rtl/>
        </w:rPr>
        <w:t>-</w:t>
      </w:r>
      <w:r w:rsidRPr="003F3B94">
        <w:rPr>
          <w:rFonts w:ascii="Abo-thar" w:hAnsi="Abo-thar" w:hint="cs"/>
          <w:sz w:val="28"/>
          <w:rtl/>
        </w:rPr>
        <w:t xml:space="preserve"> وذمَّه العلامة الحلي في </w:t>
      </w:r>
      <w:r w:rsidRPr="003F3B94">
        <w:rPr>
          <w:rFonts w:ascii="Abo-thar" w:hAnsi="Abo-thar"/>
          <w:sz w:val="28"/>
          <w:rtl/>
        </w:rPr>
        <w:t>«</w:t>
      </w:r>
      <w:r w:rsidRPr="003F3B94">
        <w:rPr>
          <w:rFonts w:ascii="Abo-thar" w:hAnsi="Abo-thar" w:hint="cs"/>
          <w:sz w:val="28"/>
          <w:rtl/>
        </w:rPr>
        <w:t>الخلاصة</w:t>
      </w:r>
      <w:r w:rsidRPr="003F3B94">
        <w:rPr>
          <w:rFonts w:ascii="Abo-thar" w:hAnsi="Abo-thar"/>
          <w:sz w:val="28"/>
          <w:rtl/>
        </w:rPr>
        <w:t>»</w:t>
      </w:r>
      <w:r w:rsidRPr="003F3B94">
        <w:rPr>
          <w:rFonts w:ascii="Abo-thar" w:hAnsi="Abo-thar" w:hint="cs"/>
          <w:sz w:val="28"/>
          <w:rtl/>
        </w:rPr>
        <w:t xml:space="preserve"> بهذه المطاعن ذاتها</w:t>
      </w:r>
      <w:r w:rsidR="00217AB4" w:rsidRPr="003F3B94">
        <w:rPr>
          <w:rFonts w:ascii="Abo-thar" w:hAnsi="Abo-thar" w:hint="cs"/>
          <w:sz w:val="28"/>
          <w:rtl/>
        </w:rPr>
        <w:t>.</w:t>
      </w:r>
    </w:p>
    <w:p w:rsidR="005C664D" w:rsidRPr="003F3B94" w:rsidRDefault="005C664D" w:rsidP="00EF714D">
      <w:pPr>
        <w:pStyle w:val="a0"/>
        <w:ind w:left="624" w:hanging="340"/>
        <w:rPr>
          <w:rFonts w:hint="cs"/>
          <w:rtl/>
        </w:rPr>
      </w:pPr>
      <w:r w:rsidRPr="003F3B94">
        <w:rPr>
          <w:rFonts w:ascii="Abo-thar" w:hAnsi="Abo-thar" w:hint="cs"/>
          <w:sz w:val="28"/>
          <w:rtl/>
        </w:rPr>
        <w:t>ج</w:t>
      </w:r>
      <w:r w:rsidR="00217AB4" w:rsidRPr="003F3B94">
        <w:rPr>
          <w:rFonts w:ascii="Abo-thar" w:hAnsi="Abo-thar" w:hint="cs"/>
          <w:sz w:val="28"/>
          <w:rtl/>
        </w:rPr>
        <w:t>-</w:t>
      </w:r>
      <w:r w:rsidRPr="003F3B94">
        <w:rPr>
          <w:rFonts w:ascii="Abo-thar" w:hAnsi="Abo-thar" w:hint="cs"/>
          <w:sz w:val="28"/>
          <w:rtl/>
        </w:rPr>
        <w:t xml:space="preserve"> وقال عنه ابن الغضائري</w:t>
      </w:r>
      <w:r w:rsidR="00217AB4" w:rsidRPr="003F3B94">
        <w:rPr>
          <w:rFonts w:ascii="Abo-thar" w:hAnsi="Abo-thar" w:hint="cs"/>
          <w:sz w:val="28"/>
          <w:rtl/>
        </w:rPr>
        <w:t>:</w:t>
      </w:r>
      <w:r w:rsidRPr="003F3B94">
        <w:rPr>
          <w:rFonts w:ascii="Abo-thar" w:hAnsi="Abo-thar" w:hint="cs"/>
          <w:sz w:val="28"/>
          <w:rtl/>
        </w:rPr>
        <w:t xml:space="preserve"> </w:t>
      </w:r>
      <w:r w:rsidR="00EF2588" w:rsidRPr="003F3B94">
        <w:rPr>
          <w:rFonts w:ascii="Abo-thar" w:hAnsi="Abo-thar" w:hint="cs"/>
          <w:sz w:val="28"/>
          <w:rtl/>
        </w:rPr>
        <w:t>«</w:t>
      </w:r>
      <w:r w:rsidRPr="003F3B94">
        <w:rPr>
          <w:rFonts w:ascii="Abo-thar" w:hAnsi="Abo-thar"/>
          <w:bCs/>
          <w:sz w:val="28"/>
          <w:rtl/>
        </w:rPr>
        <w:t>المعلى بن محمد البص</w:t>
      </w:r>
      <w:r w:rsidRPr="003F3B94">
        <w:rPr>
          <w:rFonts w:ascii="Abo-thar" w:hAnsi="Abo-thar" w:hint="cs"/>
          <w:bCs/>
          <w:sz w:val="28"/>
          <w:rtl/>
        </w:rPr>
        <w:t>ـ</w:t>
      </w:r>
      <w:r w:rsidRPr="003F3B94">
        <w:rPr>
          <w:rFonts w:ascii="Abo-thar" w:hAnsi="Abo-thar"/>
          <w:bCs/>
          <w:sz w:val="28"/>
          <w:rtl/>
        </w:rPr>
        <w:t>ري</w:t>
      </w:r>
      <w:r w:rsidRPr="003F3B94">
        <w:rPr>
          <w:rFonts w:ascii="Abo-thar" w:hAnsi="Abo-thar" w:hint="cs"/>
          <w:bCs/>
          <w:sz w:val="28"/>
          <w:rtl/>
        </w:rPr>
        <w:t xml:space="preserve"> </w:t>
      </w:r>
      <w:r w:rsidRPr="003F3B94">
        <w:rPr>
          <w:rFonts w:ascii="Abo-thar" w:hAnsi="Abo-thar"/>
          <w:bCs/>
          <w:sz w:val="28"/>
          <w:rtl/>
        </w:rPr>
        <w:t>أبو محمد ي</w:t>
      </w:r>
      <w:r w:rsidRPr="003F3B94">
        <w:rPr>
          <w:rFonts w:ascii="Abo-thar" w:hAnsi="Abo-thar" w:hint="cs"/>
          <w:bCs/>
          <w:sz w:val="28"/>
          <w:rtl/>
        </w:rPr>
        <w:t>ُ</w:t>
      </w:r>
      <w:r w:rsidRPr="003F3B94">
        <w:rPr>
          <w:rFonts w:ascii="Abo-thar" w:hAnsi="Abo-thar"/>
          <w:bCs/>
          <w:sz w:val="28"/>
          <w:rtl/>
        </w:rPr>
        <w:t>عرف حديثه وي</w:t>
      </w:r>
      <w:r w:rsidRPr="003F3B94">
        <w:rPr>
          <w:rFonts w:ascii="Abo-thar" w:hAnsi="Abo-thar" w:hint="cs"/>
          <w:bCs/>
          <w:sz w:val="28"/>
          <w:rtl/>
        </w:rPr>
        <w:t>ُ</w:t>
      </w:r>
      <w:r w:rsidRPr="003F3B94">
        <w:rPr>
          <w:rFonts w:ascii="Abo-thar" w:hAnsi="Abo-thar"/>
          <w:bCs/>
          <w:sz w:val="28"/>
          <w:rtl/>
        </w:rPr>
        <w:t>نكر ويروي عن الضعفاء ويجوز أن يخرج شاهدا</w:t>
      </w:r>
      <w:r w:rsidRPr="003F3B94">
        <w:rPr>
          <w:rFonts w:ascii="Abo-thar" w:hAnsi="Abo-thar" w:hint="cs"/>
          <w:bCs/>
          <w:sz w:val="28"/>
          <w:rtl/>
        </w:rPr>
        <w:t>ً</w:t>
      </w:r>
      <w:r w:rsidR="00F456DF" w:rsidRPr="003F3B94">
        <w:rPr>
          <w:rFonts w:ascii="Abo-thar" w:hAnsi="Abo-thar"/>
          <w:bCs/>
          <w:sz w:val="28"/>
          <w:rtl/>
        </w:rPr>
        <w:t>»</w:t>
      </w:r>
      <w:r w:rsidR="00217AB4" w:rsidRPr="003F3B94">
        <w:rPr>
          <w:rFonts w:ascii="Abo-thar" w:hAnsi="Abo-thar" w:hint="cs"/>
          <w:sz w:val="28"/>
          <w:rtl/>
        </w:rPr>
        <w:t>.</w:t>
      </w:r>
    </w:p>
    <w:p w:rsidR="005C664D" w:rsidRPr="003F3B94" w:rsidRDefault="005C664D" w:rsidP="003F3B94">
      <w:pPr>
        <w:pStyle w:val="a0"/>
        <w:rPr>
          <w:rtl/>
          <w:lang w:bidi="ar-SY"/>
        </w:rPr>
      </w:pPr>
      <w:r w:rsidRPr="003F3B94">
        <w:rPr>
          <w:rFonts w:ascii="Abo-thar" w:hAnsi="Abo-thar" w:hint="cs"/>
          <w:sz w:val="28"/>
          <w:rtl/>
          <w:lang w:bidi="ar-SY"/>
        </w:rPr>
        <w:t xml:space="preserve">وقد روى </w:t>
      </w:r>
      <w:r w:rsidRPr="003F3B94">
        <w:rPr>
          <w:rFonts w:ascii="Abo-thar" w:hAnsi="Abo-thar"/>
          <w:sz w:val="28"/>
          <w:rtl/>
          <w:lang w:bidi="ar-SY"/>
        </w:rPr>
        <w:t>مُعَلَّى بْن</w:t>
      </w:r>
      <w:r w:rsidRPr="003F3B94">
        <w:rPr>
          <w:rFonts w:ascii="Abo-thar" w:hAnsi="Abo-thar" w:hint="cs"/>
          <w:sz w:val="28"/>
          <w:rtl/>
          <w:lang w:bidi="ar-SY"/>
        </w:rPr>
        <w:t>ُ</w:t>
      </w:r>
      <w:r w:rsidRPr="003F3B94">
        <w:rPr>
          <w:rFonts w:ascii="Abo-thar" w:hAnsi="Abo-thar"/>
          <w:sz w:val="28"/>
          <w:rtl/>
          <w:lang w:bidi="ar-SY"/>
        </w:rPr>
        <w:t xml:space="preserve"> مُحَمَّدٍ </w:t>
      </w:r>
      <w:r w:rsidRPr="003F3B94">
        <w:rPr>
          <w:rFonts w:ascii="Abo-thar" w:hAnsi="Abo-thar" w:hint="cs"/>
          <w:sz w:val="28"/>
          <w:rtl/>
          <w:lang w:bidi="ar-SY"/>
        </w:rPr>
        <w:t>حديثه هذا عن «</w:t>
      </w:r>
      <w:r w:rsidRPr="003F3B94">
        <w:rPr>
          <w:rFonts w:ascii="Abo-thar" w:hAnsi="Abo-thar"/>
          <w:b/>
          <w:bCs/>
          <w:sz w:val="28"/>
          <w:rtl/>
          <w:lang w:bidi="ar-SY"/>
        </w:rPr>
        <w:t>أَحْمَد</w:t>
      </w:r>
      <w:r w:rsidRPr="003F3B94">
        <w:rPr>
          <w:rFonts w:ascii="Abo-thar" w:hAnsi="Abo-thar" w:hint="cs"/>
          <w:b/>
          <w:bCs/>
          <w:sz w:val="28"/>
          <w:rtl/>
          <w:lang w:bidi="ar-SY"/>
        </w:rPr>
        <w:t>ِ</w:t>
      </w:r>
      <w:r w:rsidRPr="003F3B94">
        <w:rPr>
          <w:rFonts w:ascii="Abo-thar" w:hAnsi="Abo-thar"/>
          <w:b/>
          <w:bCs/>
          <w:sz w:val="28"/>
          <w:rtl/>
          <w:lang w:bidi="ar-SY"/>
        </w:rPr>
        <w:t xml:space="preserve"> بْن</w:t>
      </w:r>
      <w:r w:rsidRPr="003F3B94">
        <w:rPr>
          <w:rFonts w:ascii="Abo-thar" w:hAnsi="Abo-thar" w:hint="cs"/>
          <w:b/>
          <w:bCs/>
          <w:sz w:val="28"/>
          <w:rtl/>
          <w:lang w:bidi="ar-SY"/>
        </w:rPr>
        <w:t>ِ</w:t>
      </w:r>
      <w:r w:rsidRPr="003F3B94">
        <w:rPr>
          <w:rFonts w:ascii="Abo-thar" w:hAnsi="Abo-thar"/>
          <w:b/>
          <w:bCs/>
          <w:sz w:val="28"/>
          <w:rtl/>
          <w:lang w:bidi="ar-SY"/>
        </w:rPr>
        <w:t xml:space="preserve"> مُحَمَّدِ بْنِ عَبْدِ اللهِ</w:t>
      </w:r>
      <w:r w:rsidRPr="003F3B94">
        <w:rPr>
          <w:rFonts w:ascii="Abo-thar" w:hAnsi="Abo-thar" w:hint="cs"/>
          <w:sz w:val="28"/>
          <w:rtl/>
          <w:lang w:bidi="ar-SY"/>
        </w:rPr>
        <w:t>» وهو رجل مجهول الحال كما قال المامقاني في تنقيح المقال و</w:t>
      </w:r>
      <w:r w:rsidRPr="003F3B94">
        <w:rPr>
          <w:rFonts w:ascii="Abo-thar" w:hAnsi="Abo-thar"/>
          <w:sz w:val="28"/>
          <w:rtl/>
          <w:lang w:bidi="ar-SY"/>
        </w:rPr>
        <w:t>«</w:t>
      </w:r>
      <w:r w:rsidRPr="003F3B94">
        <w:rPr>
          <w:rFonts w:ascii="Abo-thar" w:hAnsi="Abo-thar" w:hint="cs"/>
          <w:sz w:val="28"/>
          <w:rtl/>
          <w:lang w:bidi="ar-SY"/>
        </w:rPr>
        <w:t>نتائج التنقيح</w:t>
      </w:r>
      <w:r w:rsidRPr="003F3B94">
        <w:rPr>
          <w:rFonts w:ascii="Abo-thar" w:hAnsi="Abo-thar"/>
          <w:sz w:val="28"/>
          <w:rtl/>
          <w:lang w:bidi="ar-SY"/>
        </w:rPr>
        <w:t>»</w:t>
      </w:r>
      <w:r w:rsidR="00147857" w:rsidRPr="003F3B94">
        <w:rPr>
          <w:rFonts w:ascii="Abo-thar" w:hAnsi="Abo-thar" w:hint="cs"/>
          <w:sz w:val="28"/>
          <w:rtl/>
          <w:lang w:bidi="ar-SY"/>
        </w:rPr>
        <w:t xml:space="preserve"> </w:t>
      </w:r>
      <w:r w:rsidR="00217AB4" w:rsidRPr="003F3B94">
        <w:rPr>
          <w:rFonts w:ascii="Abo-thar" w:hAnsi="Abo-thar" w:hint="cs"/>
          <w:sz w:val="28"/>
          <w:rtl/>
          <w:lang w:bidi="ar-SY"/>
        </w:rPr>
        <w:t>(</w:t>
      </w:r>
      <w:r w:rsidRPr="003F3B94">
        <w:rPr>
          <w:rFonts w:ascii="Abo-thar" w:hAnsi="Abo-thar" w:hint="cs"/>
          <w:sz w:val="28"/>
          <w:rtl/>
          <w:lang w:bidi="ar-SY"/>
        </w:rPr>
        <w:t>ص10</w:t>
      </w:r>
      <w:r w:rsidR="00217AB4" w:rsidRPr="003F3B94">
        <w:rPr>
          <w:rFonts w:ascii="Abo-thar" w:hAnsi="Abo-thar" w:hint="cs"/>
          <w:sz w:val="28"/>
          <w:rtl/>
          <w:lang w:bidi="ar-SY"/>
        </w:rPr>
        <w:t>):</w:t>
      </w:r>
      <w:r w:rsidRPr="003F3B94">
        <w:rPr>
          <w:rFonts w:ascii="Abo-thar" w:hAnsi="Abo-thar" w:hint="cs"/>
          <w:sz w:val="28"/>
          <w:rtl/>
          <w:lang w:bidi="ar-SY"/>
        </w:rPr>
        <w:t xml:space="preserve"> </w:t>
      </w:r>
      <w:r w:rsidR="00EF2588" w:rsidRPr="003F3B94">
        <w:rPr>
          <w:rFonts w:ascii="Abo-thar" w:hAnsi="Abo-thar" w:hint="cs"/>
          <w:sz w:val="28"/>
          <w:rtl/>
          <w:lang w:bidi="ar-SY"/>
        </w:rPr>
        <w:t>«</w:t>
      </w:r>
      <w:r w:rsidRPr="003F3B94">
        <w:rPr>
          <w:rFonts w:ascii="Abo-thar" w:hAnsi="Abo-thar"/>
          <w:b/>
          <w:bCs/>
          <w:sz w:val="28"/>
          <w:rtl/>
          <w:lang w:bidi="ar-SY"/>
        </w:rPr>
        <w:t>أَحْمَد</w:t>
      </w:r>
      <w:r w:rsidRPr="003F3B94">
        <w:rPr>
          <w:rFonts w:ascii="Abo-thar" w:hAnsi="Abo-thar" w:hint="cs"/>
          <w:b/>
          <w:bCs/>
          <w:sz w:val="28"/>
          <w:rtl/>
          <w:lang w:bidi="ar-SY"/>
        </w:rPr>
        <w:t>ُ</w:t>
      </w:r>
      <w:r w:rsidRPr="003F3B94">
        <w:rPr>
          <w:rFonts w:ascii="Abo-thar" w:hAnsi="Abo-thar"/>
          <w:b/>
          <w:bCs/>
          <w:sz w:val="28"/>
          <w:rtl/>
          <w:lang w:bidi="ar-SY"/>
        </w:rPr>
        <w:t xml:space="preserve"> بْن</w:t>
      </w:r>
      <w:r w:rsidRPr="003F3B94">
        <w:rPr>
          <w:rFonts w:ascii="Abo-thar" w:hAnsi="Abo-thar" w:hint="cs"/>
          <w:b/>
          <w:bCs/>
          <w:sz w:val="28"/>
          <w:rtl/>
          <w:lang w:bidi="ar-SY"/>
        </w:rPr>
        <w:t>ُ</w:t>
      </w:r>
      <w:r w:rsidRPr="003F3B94">
        <w:rPr>
          <w:rFonts w:ascii="Abo-thar" w:hAnsi="Abo-thar"/>
          <w:b/>
          <w:bCs/>
          <w:sz w:val="28"/>
          <w:rtl/>
          <w:lang w:bidi="ar-SY"/>
        </w:rPr>
        <w:t xml:space="preserve"> مُحَمَّدِ بْنِ عَبْدِ اللهِ</w:t>
      </w:r>
      <w:r w:rsidRPr="003F3B94">
        <w:rPr>
          <w:rFonts w:ascii="Abo-thar" w:hAnsi="Abo-thar" w:hint="cs"/>
          <w:b/>
          <w:bCs/>
          <w:sz w:val="28"/>
          <w:rtl/>
          <w:lang w:bidi="ar-SY"/>
        </w:rPr>
        <w:t xml:space="preserve"> الأسديُّ</w:t>
      </w:r>
      <w:r w:rsidR="00217AB4" w:rsidRPr="003F3B94">
        <w:rPr>
          <w:rFonts w:ascii="Abo-thar" w:hAnsi="Abo-thar" w:hint="cs"/>
          <w:b/>
          <w:bCs/>
          <w:sz w:val="28"/>
          <w:rtl/>
          <w:lang w:bidi="ar-SY"/>
        </w:rPr>
        <w:t>،</w:t>
      </w:r>
      <w:r w:rsidRPr="003F3B94">
        <w:rPr>
          <w:rFonts w:ascii="Abo-thar" w:hAnsi="Abo-thar" w:hint="cs"/>
          <w:b/>
          <w:bCs/>
          <w:sz w:val="28"/>
          <w:rtl/>
          <w:lang w:bidi="ar-SY"/>
        </w:rPr>
        <w:t xml:space="preserve"> مجهولٌ</w:t>
      </w:r>
      <w:r w:rsidR="00EF2588" w:rsidRPr="003F3B94">
        <w:rPr>
          <w:rFonts w:ascii="Abo-thar" w:hAnsi="Abo-thar" w:hint="cs"/>
          <w:sz w:val="28"/>
          <w:rtl/>
          <w:lang w:bidi="ar-SY"/>
        </w:rPr>
        <w:t>»</w:t>
      </w:r>
      <w:r w:rsidR="00EF714D">
        <w:rPr>
          <w:rFonts w:hint="cs"/>
          <w:rtl/>
          <w:lang w:bidi="ar-SY"/>
        </w:rPr>
        <w:t>.</w:t>
      </w:r>
    </w:p>
    <w:p w:rsidR="005C664D" w:rsidRPr="003F3B94" w:rsidRDefault="005C664D" w:rsidP="003F3B94">
      <w:pPr>
        <w:pStyle w:val="a0"/>
        <w:rPr>
          <w:rFonts w:hint="cs"/>
          <w:rtl/>
        </w:rPr>
      </w:pPr>
      <w:r w:rsidRPr="003F3B94">
        <w:rPr>
          <w:rFonts w:ascii="Abo-thar" w:hAnsi="Abo-thar" w:hint="cs"/>
          <w:sz w:val="28"/>
          <w:rtl/>
        </w:rPr>
        <w:t xml:space="preserve">إذن لا ندري عمن يروي </w:t>
      </w:r>
      <w:r w:rsidRPr="003F3B94">
        <w:rPr>
          <w:rFonts w:ascii="Abo-thar" w:hAnsi="Abo-thar"/>
          <w:sz w:val="28"/>
          <w:rtl/>
        </w:rPr>
        <w:t>«مُعَلَّى بْن</w:t>
      </w:r>
      <w:r w:rsidRPr="003F3B94">
        <w:rPr>
          <w:rFonts w:ascii="Abo-thar" w:hAnsi="Abo-thar" w:hint="cs"/>
          <w:sz w:val="28"/>
          <w:rtl/>
        </w:rPr>
        <w:t>ُ</w:t>
      </w:r>
      <w:r w:rsidRPr="003F3B94">
        <w:rPr>
          <w:rFonts w:ascii="Abo-thar" w:hAnsi="Abo-thar"/>
          <w:sz w:val="28"/>
          <w:rtl/>
        </w:rPr>
        <w:t xml:space="preserve"> مُحَمَّدٍ»</w:t>
      </w:r>
      <w:r w:rsidRPr="003F3B94">
        <w:rPr>
          <w:rFonts w:ascii="Abo-thar" w:hAnsi="Abo-thar" w:hint="cs"/>
          <w:sz w:val="28"/>
          <w:rtl/>
        </w:rPr>
        <w:t xml:space="preserve"> المضطرب المسكين حديثه المضطرب</w:t>
      </w:r>
      <w:r w:rsidR="00217AB4" w:rsidRPr="003F3B94">
        <w:rPr>
          <w:rFonts w:ascii="Abo-thar" w:hAnsi="Abo-thar" w:hint="cs"/>
          <w:sz w:val="28"/>
          <w:rtl/>
        </w:rPr>
        <w:t>،</w:t>
      </w:r>
      <w:r w:rsidRPr="003F3B94">
        <w:rPr>
          <w:rFonts w:ascii="Abo-thar" w:hAnsi="Abo-thar" w:hint="cs"/>
          <w:sz w:val="28"/>
          <w:rtl/>
        </w:rPr>
        <w:t xml:space="preserve"> لاسيما أن سند الحديث ينتهي إلى عبارة </w:t>
      </w:r>
      <w:r w:rsidR="00217AB4" w:rsidRPr="003F3B94">
        <w:rPr>
          <w:rFonts w:ascii="Abo-thar" w:hAnsi="Abo-thar" w:hint="cs"/>
          <w:sz w:val="28"/>
          <w:rtl/>
        </w:rPr>
        <w:t>(</w:t>
      </w:r>
      <w:r w:rsidRPr="003F3B94">
        <w:rPr>
          <w:rFonts w:ascii="Abo-thar" w:hAnsi="Abo-thar"/>
          <w:sz w:val="28"/>
          <w:u w:val="single"/>
          <w:rtl/>
        </w:rPr>
        <w:t>عَمَّنْ رَوَاهُ</w:t>
      </w:r>
      <w:r w:rsidR="00217AB4" w:rsidRPr="003F3B94">
        <w:rPr>
          <w:rFonts w:ascii="Abo-thar" w:hAnsi="Abo-thar" w:hint="cs"/>
          <w:sz w:val="28"/>
          <w:rtl/>
        </w:rPr>
        <w:t>)</w:t>
      </w:r>
      <w:r w:rsidRPr="003F3B94">
        <w:rPr>
          <w:rFonts w:ascii="Abo-thar" w:hAnsi="Abo-thar" w:hint="cs"/>
          <w:sz w:val="28"/>
          <w:rtl/>
        </w:rPr>
        <w:t xml:space="preserve"> ولا ندري من هو الذي رواه</w:t>
      </w:r>
      <w:r w:rsidR="00217AB4" w:rsidRPr="003F3B94">
        <w:rPr>
          <w:rFonts w:ascii="Abo-thar" w:hAnsi="Abo-thar" w:hint="cs"/>
          <w:sz w:val="28"/>
          <w:rtl/>
        </w:rPr>
        <w:t>؟!</w:t>
      </w:r>
    </w:p>
    <w:p w:rsidR="005C664D" w:rsidRPr="003F3B94" w:rsidRDefault="005C664D" w:rsidP="003F3B94">
      <w:pPr>
        <w:pStyle w:val="a0"/>
        <w:rPr>
          <w:rFonts w:hint="cs"/>
          <w:rtl/>
          <w:lang w:bidi="ar-SY"/>
        </w:rPr>
      </w:pPr>
      <w:r w:rsidRPr="003F3B94">
        <w:rPr>
          <w:rFonts w:ascii="Abo-thar" w:hAnsi="Abo-thar" w:hint="cs"/>
          <w:sz w:val="28"/>
          <w:rtl/>
          <w:lang w:bidi="ar-SY"/>
        </w:rPr>
        <w:t xml:space="preserve">يقول العلامة المجلسي في </w:t>
      </w:r>
      <w:r w:rsidRPr="003F3B94">
        <w:rPr>
          <w:rFonts w:ascii="Abo-thar" w:hAnsi="Abo-thar"/>
          <w:sz w:val="28"/>
          <w:rtl/>
          <w:lang w:bidi="ar-SY"/>
        </w:rPr>
        <w:t>«</w:t>
      </w:r>
      <w:r w:rsidRPr="003F3B94">
        <w:rPr>
          <w:rFonts w:ascii="Abo-thar" w:hAnsi="Abo-thar" w:hint="cs"/>
          <w:sz w:val="28"/>
          <w:rtl/>
          <w:lang w:bidi="ar-SY"/>
        </w:rPr>
        <w:t>مرآة العقول</w:t>
      </w:r>
      <w:r w:rsidRPr="003F3B94">
        <w:rPr>
          <w:rFonts w:ascii="Abo-thar" w:hAnsi="Abo-thar"/>
          <w:sz w:val="28"/>
          <w:rtl/>
          <w:lang w:bidi="ar-SY"/>
        </w:rPr>
        <w:t>»</w:t>
      </w:r>
      <w:r w:rsidR="00F51ADA" w:rsidRPr="003F3B94">
        <w:rPr>
          <w:rFonts w:ascii="Abo-thar" w:hAnsi="Abo-thar" w:hint="cs"/>
          <w:sz w:val="28"/>
          <w:rtl/>
          <w:lang w:bidi="ar-SY"/>
        </w:rPr>
        <w:t xml:space="preserve"> </w:t>
      </w:r>
      <w:r w:rsidRPr="003F3B94">
        <w:rPr>
          <w:rFonts w:ascii="Abo-thar" w:hAnsi="Abo-thar" w:hint="cs"/>
          <w:sz w:val="28"/>
          <w:rtl/>
          <w:lang w:bidi="ar-SY"/>
        </w:rPr>
        <w:t>معلقاً على هذا الحديث</w:t>
      </w:r>
      <w:r w:rsidR="00217AB4" w:rsidRPr="003F3B94">
        <w:rPr>
          <w:rFonts w:ascii="Abo-thar" w:hAnsi="Abo-thar" w:hint="cs"/>
          <w:sz w:val="28"/>
          <w:rtl/>
          <w:lang w:bidi="ar-SY"/>
        </w:rPr>
        <w:t>:</w:t>
      </w:r>
      <w:r w:rsidRPr="003F3B94">
        <w:rPr>
          <w:rFonts w:ascii="Abo-thar" w:hAnsi="Abo-thar" w:hint="cs"/>
          <w:sz w:val="28"/>
          <w:rtl/>
          <w:lang w:bidi="ar-SY"/>
        </w:rPr>
        <w:t xml:space="preserve"> </w:t>
      </w:r>
      <w:r w:rsidR="00EF2588" w:rsidRPr="003F3B94">
        <w:rPr>
          <w:rFonts w:ascii="Abo-thar" w:hAnsi="Abo-thar" w:hint="cs"/>
          <w:sz w:val="28"/>
          <w:rtl/>
          <w:lang w:bidi="ar-SY"/>
        </w:rPr>
        <w:t>«</w:t>
      </w:r>
      <w:r w:rsidRPr="003F3B94">
        <w:rPr>
          <w:rFonts w:ascii="Abo-thar" w:hAnsi="Abo-thar"/>
          <w:b/>
          <w:bCs/>
          <w:sz w:val="28"/>
          <w:rtl/>
          <w:lang w:bidi="ar-SY"/>
        </w:rPr>
        <w:t>ضعيف</w:t>
      </w:r>
      <w:r w:rsidRPr="003F3B94">
        <w:rPr>
          <w:rFonts w:ascii="Abo-thar" w:hAnsi="Abo-thar" w:hint="cs"/>
          <w:b/>
          <w:bCs/>
          <w:sz w:val="28"/>
          <w:rtl/>
          <w:lang w:bidi="ar-SY"/>
        </w:rPr>
        <w:t>ٌ</w:t>
      </w:r>
      <w:r w:rsidRPr="003F3B94">
        <w:rPr>
          <w:rFonts w:ascii="Abo-thar" w:hAnsi="Abo-thar"/>
          <w:b/>
          <w:bCs/>
          <w:sz w:val="28"/>
          <w:rtl/>
          <w:lang w:bidi="ar-SY"/>
        </w:rPr>
        <w:t xml:space="preserve"> موقوف</w:t>
      </w:r>
      <w:r w:rsidRPr="003F3B94">
        <w:rPr>
          <w:rFonts w:ascii="Abo-thar" w:hAnsi="Abo-thar" w:hint="cs"/>
          <w:b/>
          <w:bCs/>
          <w:sz w:val="28"/>
          <w:rtl/>
          <w:lang w:bidi="ar-SY"/>
        </w:rPr>
        <w:t>ٌ</w:t>
      </w:r>
      <w:r w:rsidRPr="003F3B94">
        <w:rPr>
          <w:rFonts w:ascii="Abo-thar" w:hAnsi="Abo-thar"/>
          <w:b/>
          <w:bCs/>
          <w:sz w:val="28"/>
          <w:rtl/>
          <w:lang w:bidi="ar-SY"/>
        </w:rPr>
        <w:t xml:space="preserve"> أو مضمر</w:t>
      </w:r>
      <w:r w:rsidRPr="003F3B94">
        <w:rPr>
          <w:rFonts w:ascii="Abo-thar" w:hAnsi="Abo-thar" w:hint="cs"/>
          <w:b/>
          <w:bCs/>
          <w:sz w:val="28"/>
          <w:rtl/>
          <w:lang w:bidi="ar-SY"/>
        </w:rPr>
        <w:t>ٌ</w:t>
      </w:r>
      <w:r w:rsidR="00217AB4" w:rsidRPr="003F3B94">
        <w:rPr>
          <w:rFonts w:ascii="Abo-thar" w:hAnsi="Abo-thar"/>
          <w:sz w:val="28"/>
          <w:rtl/>
          <w:lang w:bidi="ar-SY"/>
        </w:rPr>
        <w:t>.</w:t>
      </w:r>
      <w:r w:rsidRPr="003F3B94">
        <w:rPr>
          <w:rFonts w:ascii="Abo-thar" w:hAnsi="Abo-thar" w:hint="cs"/>
          <w:sz w:val="28"/>
          <w:rtl/>
          <w:lang w:bidi="ar-SY"/>
        </w:rPr>
        <w:t xml:space="preserve"> و</w:t>
      </w:r>
      <w:r w:rsidRPr="003F3B94">
        <w:rPr>
          <w:rFonts w:ascii="Abo-thar" w:hAnsi="Abo-thar"/>
          <w:sz w:val="28"/>
          <w:rtl/>
          <w:lang w:bidi="ar-SY"/>
        </w:rPr>
        <w:t>كون «</w:t>
      </w:r>
      <w:r w:rsidRPr="003F3B94">
        <w:rPr>
          <w:rFonts w:ascii="Abo-thar" w:hAnsi="Abo-thar"/>
          <w:b/>
          <w:bCs/>
          <w:sz w:val="28"/>
          <w:rtl/>
          <w:lang w:bidi="ar-SY"/>
        </w:rPr>
        <w:t>من رواه</w:t>
      </w:r>
      <w:r w:rsidRPr="003F3B94">
        <w:rPr>
          <w:rFonts w:ascii="Abo-thar" w:hAnsi="Abo-thar"/>
          <w:sz w:val="28"/>
          <w:rtl/>
          <w:lang w:bidi="ar-SY"/>
        </w:rPr>
        <w:t>» عبارة عن الإمام كما قيل بعيد</w:t>
      </w:r>
      <w:r w:rsidR="00EF2588" w:rsidRPr="003F3B94">
        <w:rPr>
          <w:rFonts w:ascii="Abo-thar" w:hAnsi="Abo-thar" w:hint="cs"/>
          <w:sz w:val="28"/>
          <w:rtl/>
          <w:lang w:bidi="ar-SY"/>
        </w:rPr>
        <w:t>»</w:t>
      </w:r>
      <w:r w:rsidR="00F51ADA" w:rsidRPr="0021507A">
        <w:rPr>
          <w:rFonts w:ascii="Abo-thar" w:hAnsi="Abo-thar" w:cs="Arabic11 BT"/>
          <w:sz w:val="28"/>
          <w:vertAlign w:val="superscript"/>
          <w:rtl/>
          <w:lang w:bidi="ar-SY"/>
        </w:rPr>
        <w:t>(</w:t>
      </w:r>
      <w:r w:rsidR="00F51ADA" w:rsidRPr="0021507A">
        <w:rPr>
          <w:rStyle w:val="FootnoteReference"/>
          <w:rFonts w:ascii="Abo-thar" w:hAnsi="Abo-thar" w:cs="Arabic11 BT"/>
          <w:sz w:val="28"/>
          <w:rtl/>
          <w:lang w:bidi="ar-SY"/>
        </w:rPr>
        <w:footnoteReference w:id="380"/>
      </w:r>
      <w:r w:rsidR="00F51ADA" w:rsidRPr="0021507A">
        <w:rPr>
          <w:rFonts w:ascii="Abo-thar" w:hAnsi="Abo-thar" w:cs="Arabic11 BT"/>
          <w:sz w:val="28"/>
          <w:vertAlign w:val="superscript"/>
          <w:rtl/>
          <w:lang w:bidi="ar-SY"/>
        </w:rPr>
        <w:t>)</w:t>
      </w:r>
      <w:r w:rsidR="00217AB4" w:rsidRPr="003F3B94">
        <w:rPr>
          <w:rFonts w:ascii="Abo-thar" w:hAnsi="Abo-thar" w:hint="cs"/>
          <w:sz w:val="28"/>
          <w:rtl/>
          <w:lang w:bidi="ar-SY"/>
        </w:rPr>
        <w:t>.</w:t>
      </w:r>
    </w:p>
    <w:p w:rsidR="005C664D" w:rsidRPr="003F3B94" w:rsidRDefault="005C664D" w:rsidP="003F3B94">
      <w:pPr>
        <w:pStyle w:val="a0"/>
        <w:rPr>
          <w:rFonts w:hint="cs"/>
          <w:rtl/>
          <w:lang w:bidi="ar-SY"/>
        </w:rPr>
      </w:pPr>
      <w:r w:rsidRPr="003F3B94">
        <w:rPr>
          <w:rFonts w:ascii="Abo-thar" w:hAnsi="Abo-thar" w:hint="cs"/>
          <w:sz w:val="28"/>
          <w:rtl/>
          <w:lang w:bidi="ar-SY"/>
        </w:rPr>
        <w:t>فهذا الحديث بمعزل عن رواته المضطربين والمجاهيل الذين لا يعرف لهم اسم ولا صفة</w:t>
      </w:r>
      <w:r w:rsidR="001E0DB7" w:rsidRPr="003F3B94">
        <w:rPr>
          <w:rFonts w:ascii="Abo-thar" w:hAnsi="Abo-thar" w:hint="cs"/>
          <w:sz w:val="28"/>
          <w:rtl/>
          <w:lang w:bidi="ar-SY"/>
        </w:rPr>
        <w:t>،</w:t>
      </w:r>
      <w:r w:rsidRPr="003F3B94">
        <w:rPr>
          <w:rFonts w:ascii="Abo-thar" w:hAnsi="Abo-thar" w:hint="cs"/>
          <w:sz w:val="28"/>
          <w:rtl/>
          <w:lang w:bidi="ar-SY"/>
        </w:rPr>
        <w:t xml:space="preserve"> يصعب اعتباره حديثاً لأنه ليس من كلام إمام معصوم</w:t>
      </w:r>
      <w:r w:rsidR="00217AB4" w:rsidRPr="003F3B94">
        <w:rPr>
          <w:rFonts w:ascii="Abo-thar" w:hAnsi="Abo-thar" w:hint="cs"/>
          <w:sz w:val="28"/>
          <w:rtl/>
          <w:lang w:bidi="ar-SY"/>
        </w:rPr>
        <w:t>.</w:t>
      </w:r>
      <w:r w:rsidRPr="003F3B94">
        <w:rPr>
          <w:rFonts w:ascii="Abo-thar" w:hAnsi="Abo-thar" w:hint="cs"/>
          <w:sz w:val="28"/>
          <w:rtl/>
          <w:lang w:bidi="ar-SY"/>
        </w:rPr>
        <w:t xml:space="preserve"> </w:t>
      </w:r>
    </w:p>
    <w:p w:rsidR="00542D29" w:rsidRPr="00995B26" w:rsidRDefault="00542D29" w:rsidP="003C671C">
      <w:pPr>
        <w:pStyle w:val="a6"/>
        <w:rPr>
          <w:rFonts w:hint="cs"/>
          <w:rtl/>
        </w:rPr>
      </w:pPr>
      <w:bookmarkStart w:id="132" w:name="_Toc387843095"/>
      <w:r w:rsidRPr="00995B26">
        <w:rPr>
          <w:rFonts w:hint="cs"/>
          <w:rtl/>
        </w:rPr>
        <w:t>متن الحديث الثالث:</w:t>
      </w:r>
      <w:bookmarkEnd w:id="132"/>
    </w:p>
    <w:p w:rsidR="005C664D" w:rsidRPr="003F3B94" w:rsidRDefault="005C664D" w:rsidP="003F3B94">
      <w:pPr>
        <w:pStyle w:val="a0"/>
        <w:rPr>
          <w:rFonts w:hint="cs"/>
          <w:rtl/>
          <w:lang w:bidi="ar-SY"/>
        </w:rPr>
      </w:pPr>
      <w:r w:rsidRPr="003F3B94">
        <w:rPr>
          <w:rFonts w:ascii="Abo-thar" w:hAnsi="Abo-thar" w:hint="cs"/>
          <w:sz w:val="28"/>
          <w:rtl/>
          <w:lang w:bidi="ar-SY"/>
        </w:rPr>
        <w:t>أما متن الحديث الذي يقول</w:t>
      </w:r>
      <w:r w:rsidR="00217AB4" w:rsidRPr="003F3B94">
        <w:rPr>
          <w:rFonts w:ascii="Abo-thar" w:hAnsi="Abo-thar" w:hint="cs"/>
          <w:sz w:val="28"/>
          <w:rtl/>
          <w:lang w:bidi="ar-SY"/>
        </w:rPr>
        <w:t>:</w:t>
      </w:r>
      <w:r w:rsidR="00EF2588" w:rsidRPr="00394385">
        <w:rPr>
          <w:rFonts w:ascii="Abo-thar" w:hAnsi="Abo-thar" w:cs="KFGQPC Uthman Taha Naskh" w:hint="cs"/>
          <w:sz w:val="28"/>
          <w:rtl/>
          <w:lang w:bidi="ar-SY"/>
        </w:rPr>
        <w:t>«</w:t>
      </w:r>
      <w:r w:rsidRPr="00394385">
        <w:rPr>
          <w:rFonts w:ascii="Abo-thar" w:hAnsi="Abo-thar" w:cs="KFGQPC Uthman Taha Naskh"/>
          <w:bCs/>
          <w:sz w:val="28"/>
          <w:rtl/>
          <w:lang w:bidi="ar-SY"/>
        </w:rPr>
        <w:t xml:space="preserve">الدُّنْيَا وَمَا فِيهَا </w:t>
      </w:r>
      <w:r w:rsidRPr="00394385">
        <w:rPr>
          <w:rFonts w:ascii="Abo-thar" w:hAnsi="Abo-thar" w:cs="KFGQPC Uthman Taha Naskh" w:hint="cs"/>
          <w:bCs/>
          <w:sz w:val="28"/>
          <w:rtl/>
          <w:lang w:bidi="ar-SY"/>
        </w:rPr>
        <w:t>لِـلَّهِ</w:t>
      </w:r>
      <w:r w:rsidRPr="00394385">
        <w:rPr>
          <w:rFonts w:ascii="Abo-thar" w:hAnsi="Abo-thar" w:cs="KFGQPC Uthman Taha Naskh"/>
          <w:bCs/>
          <w:sz w:val="28"/>
          <w:rtl/>
          <w:lang w:bidi="ar-SY"/>
        </w:rPr>
        <w:t xml:space="preserve"> تَبَارَكَ وَتَعَالَى وَلِرَسُولِهِ وَلَنَا</w:t>
      </w:r>
      <w:r w:rsidR="00EF2588" w:rsidRPr="00394385">
        <w:rPr>
          <w:rFonts w:ascii="Abo-thar" w:hAnsi="Abo-thar" w:cs="KFGQPC Uthman Taha Naskh" w:hint="cs"/>
          <w:sz w:val="28"/>
          <w:rtl/>
          <w:lang w:bidi="ar-SY"/>
        </w:rPr>
        <w:t>»</w:t>
      </w:r>
      <w:r w:rsidRPr="003F3B94">
        <w:rPr>
          <w:rFonts w:ascii="Abo-thar" w:hAnsi="Abo-thar" w:hint="cs"/>
          <w:sz w:val="28"/>
          <w:rtl/>
          <w:lang w:bidi="ar-SY"/>
        </w:rPr>
        <w:t xml:space="preserve"> فإن الهدف الذي يسعى آخذو الخمس إلى استنتاجه من هذا المتن </w:t>
      </w:r>
      <w:r w:rsidRPr="003F3B94">
        <w:rPr>
          <w:rFonts w:cs="Times New Roman" w:hint="cs"/>
          <w:sz w:val="28"/>
          <w:rtl/>
          <w:lang w:bidi="ar-SY"/>
        </w:rPr>
        <w:t>–</w:t>
      </w:r>
      <w:r w:rsidRPr="003F3B94">
        <w:rPr>
          <w:rFonts w:ascii="Abo-thar" w:hAnsi="Abo-thar" w:hint="cs"/>
          <w:sz w:val="28"/>
          <w:rtl/>
          <w:lang w:bidi="ar-SY"/>
        </w:rPr>
        <w:t xml:space="preserve"> على فرض صحته </w:t>
      </w:r>
      <w:r w:rsidRPr="003F3B94">
        <w:rPr>
          <w:rFonts w:cs="Times New Roman" w:hint="cs"/>
          <w:sz w:val="28"/>
          <w:rtl/>
          <w:lang w:bidi="ar-SY"/>
        </w:rPr>
        <w:t>–</w:t>
      </w:r>
      <w:r w:rsidRPr="003F3B94">
        <w:rPr>
          <w:rFonts w:ascii="Abo-thar" w:hAnsi="Abo-thar" w:hint="cs"/>
          <w:sz w:val="28"/>
          <w:rtl/>
          <w:lang w:bidi="ar-SY"/>
        </w:rPr>
        <w:t xml:space="preserve"> غير صحيح</w:t>
      </w:r>
      <w:r w:rsidR="00217AB4" w:rsidRPr="003F3B94">
        <w:rPr>
          <w:rFonts w:ascii="Abo-thar" w:hAnsi="Abo-thar" w:hint="cs"/>
          <w:sz w:val="28"/>
          <w:rtl/>
          <w:lang w:bidi="ar-SY"/>
        </w:rPr>
        <w:t>.</w:t>
      </w:r>
      <w:r w:rsidRPr="003F3B94">
        <w:rPr>
          <w:rFonts w:ascii="Abo-thar" w:hAnsi="Abo-thar" w:hint="cs"/>
          <w:sz w:val="28"/>
          <w:rtl/>
          <w:lang w:bidi="ar-SY"/>
        </w:rPr>
        <w:t xml:space="preserve"> لأنه إذا لم يعتبر الرسول والإمام شركاء لِـلَّهِ في قوله إن الدنيا وما فيها لِـلَّهِ ولرسوله ولنا </w:t>
      </w:r>
      <w:r w:rsidR="00217AB4" w:rsidRPr="003F3B94">
        <w:rPr>
          <w:rFonts w:ascii="Abo-thar" w:hAnsi="Abo-thar" w:hint="cs"/>
          <w:sz w:val="28"/>
          <w:rtl/>
          <w:lang w:bidi="ar-SY"/>
        </w:rPr>
        <w:t>(</w:t>
      </w:r>
      <w:r w:rsidRPr="003F3B94">
        <w:rPr>
          <w:rFonts w:ascii="Abo-thar" w:hAnsi="Abo-thar" w:hint="cs"/>
          <w:sz w:val="28"/>
          <w:rtl/>
          <w:lang w:bidi="ar-SY"/>
        </w:rPr>
        <w:t>مع أن مفهوم هذه العبارة مفهوم شركي</w:t>
      </w:r>
      <w:r w:rsidR="00217AB4" w:rsidRPr="003F3B94">
        <w:rPr>
          <w:rFonts w:ascii="Abo-thar" w:hAnsi="Abo-thar" w:hint="cs"/>
          <w:sz w:val="28"/>
          <w:rtl/>
          <w:lang w:bidi="ar-SY"/>
        </w:rPr>
        <w:t>)</w:t>
      </w:r>
      <w:r w:rsidRPr="003F3B94">
        <w:rPr>
          <w:rFonts w:ascii="Abo-thar" w:hAnsi="Abo-thar" w:hint="cs"/>
          <w:sz w:val="28"/>
          <w:rtl/>
          <w:lang w:bidi="ar-SY"/>
        </w:rPr>
        <w:t xml:space="preserve"> فلن تنتج عنه تلك النتيجة</w:t>
      </w:r>
      <w:r w:rsidR="001E0DB7" w:rsidRPr="003F3B94">
        <w:rPr>
          <w:rFonts w:ascii="Abo-thar" w:hAnsi="Abo-thar" w:hint="cs"/>
          <w:sz w:val="28"/>
          <w:rtl/>
          <w:lang w:bidi="ar-SY"/>
        </w:rPr>
        <w:t>،</w:t>
      </w:r>
      <w:r w:rsidRPr="003F3B94">
        <w:rPr>
          <w:rFonts w:ascii="Abo-thar" w:hAnsi="Abo-thar" w:hint="cs"/>
          <w:sz w:val="28"/>
          <w:rtl/>
          <w:lang w:bidi="ar-SY"/>
        </w:rPr>
        <w:t xml:space="preserve"> خاصة أنه قال بعدئذ</w:t>
      </w:r>
      <w:r w:rsidR="00217AB4" w:rsidRPr="003F3B94">
        <w:rPr>
          <w:rFonts w:ascii="Abo-thar" w:hAnsi="Abo-thar" w:hint="cs"/>
          <w:sz w:val="28"/>
          <w:rtl/>
          <w:lang w:bidi="ar-SY"/>
        </w:rPr>
        <w:t>:</w:t>
      </w:r>
      <w:r w:rsidRPr="003F3B94">
        <w:rPr>
          <w:rFonts w:ascii="Abo-thar" w:hAnsi="Abo-thar" w:hint="cs"/>
          <w:sz w:val="28"/>
          <w:rtl/>
          <w:lang w:bidi="ar-SY"/>
        </w:rPr>
        <w:t xml:space="preserve"> </w:t>
      </w:r>
      <w:r w:rsidR="00EF2588" w:rsidRPr="00394385">
        <w:rPr>
          <w:rFonts w:ascii="Abo-thar" w:hAnsi="Abo-thar" w:cs="KFGQPC Uthman Taha Naskh" w:hint="cs"/>
          <w:sz w:val="28"/>
          <w:rtl/>
          <w:lang w:bidi="ar-SY"/>
        </w:rPr>
        <w:t>«</w:t>
      </w:r>
      <w:r w:rsidRPr="00394385">
        <w:rPr>
          <w:rFonts w:cs="KFGQPC Uthman Taha Naskh"/>
          <w:b/>
          <w:bCs/>
          <w:sz w:val="28"/>
          <w:rtl/>
          <w:lang w:bidi="ar-SY"/>
        </w:rPr>
        <w:t>فَمَنْ غَلَبَ عَلَى شَيْ‏ءٍ مِنْهَا فَلْيَتَّقِ اللهَ ولْيُؤَدِّ حَقَّ اللهِ تَبَارَكَ وتَعَالَى ولْيَبَرَّ إِخْوَانَهُ</w:t>
      </w:r>
      <w:r w:rsidR="00EF2588" w:rsidRPr="00394385">
        <w:rPr>
          <w:rFonts w:ascii="Abo-thar" w:hAnsi="Abo-thar" w:cs="KFGQPC Uthman Taha Naskh" w:hint="cs"/>
          <w:sz w:val="28"/>
          <w:rtl/>
          <w:lang w:bidi="ar-SY"/>
        </w:rPr>
        <w:t>»</w:t>
      </w:r>
      <w:r w:rsidR="00217AB4" w:rsidRPr="003F3B94">
        <w:rPr>
          <w:rFonts w:ascii="Abo-thar" w:hAnsi="Abo-thar" w:hint="cs"/>
          <w:sz w:val="28"/>
          <w:rtl/>
          <w:lang w:bidi="ar-SY"/>
        </w:rPr>
        <w:t>؟؟</w:t>
      </w:r>
      <w:r w:rsidRPr="003F3B94">
        <w:rPr>
          <w:rFonts w:ascii="Abo-thar" w:hAnsi="Abo-thar" w:hint="cs"/>
          <w:sz w:val="28"/>
          <w:rtl/>
          <w:lang w:bidi="ar-SY"/>
        </w:rPr>
        <w:t xml:space="preserve"> فهذه هي النتيجة المذكورة في الحديث لتلك المقدمة</w:t>
      </w:r>
      <w:r w:rsidR="001E0DB7" w:rsidRPr="003F3B94">
        <w:rPr>
          <w:rFonts w:ascii="Abo-thar" w:hAnsi="Abo-thar" w:hint="cs"/>
          <w:sz w:val="28"/>
          <w:rtl/>
          <w:lang w:bidi="ar-SY"/>
        </w:rPr>
        <w:t>،</w:t>
      </w:r>
      <w:r w:rsidRPr="003F3B94">
        <w:rPr>
          <w:rFonts w:ascii="Abo-thar" w:hAnsi="Abo-thar" w:hint="cs"/>
          <w:sz w:val="28"/>
          <w:rtl/>
          <w:lang w:bidi="ar-SY"/>
        </w:rPr>
        <w:t xml:space="preserve"> مهما كانت المقدمة فاسدة وكان استنتاج هذه النتيجة منها غير صحيح وغير كامل</w:t>
      </w:r>
      <w:r w:rsidR="001E0DB7" w:rsidRPr="003F3B94">
        <w:rPr>
          <w:rFonts w:ascii="Abo-thar" w:hAnsi="Abo-thar" w:hint="cs"/>
          <w:sz w:val="28"/>
          <w:rtl/>
          <w:lang w:bidi="ar-SY"/>
        </w:rPr>
        <w:t>،</w:t>
      </w:r>
      <w:r w:rsidRPr="003F3B94">
        <w:rPr>
          <w:rFonts w:ascii="Abo-thar" w:hAnsi="Abo-thar" w:hint="cs"/>
          <w:sz w:val="28"/>
          <w:rtl/>
          <w:lang w:bidi="ar-SY"/>
        </w:rPr>
        <w:t xml:space="preserve"> ولكن العبارة بحد ذاتها صحيحة المعنى</w:t>
      </w:r>
      <w:r w:rsidR="00217AB4" w:rsidRPr="003F3B94">
        <w:rPr>
          <w:rFonts w:ascii="Abo-thar" w:hAnsi="Abo-thar" w:hint="cs"/>
          <w:sz w:val="28"/>
          <w:rtl/>
          <w:lang w:bidi="ar-SY"/>
        </w:rPr>
        <w:t>.</w:t>
      </w:r>
      <w:r w:rsidRPr="003F3B94">
        <w:rPr>
          <w:rFonts w:ascii="Abo-thar" w:hAnsi="Abo-thar" w:hint="cs"/>
          <w:sz w:val="28"/>
          <w:rtl/>
          <w:lang w:bidi="ar-SY"/>
        </w:rPr>
        <w:t xml:space="preserve"> فما هو حق الله الواجب أداؤه</w:t>
      </w:r>
      <w:r w:rsidR="00217AB4" w:rsidRPr="003F3B94">
        <w:rPr>
          <w:rFonts w:ascii="Abo-thar" w:hAnsi="Abo-thar" w:hint="cs"/>
          <w:sz w:val="28"/>
          <w:rtl/>
          <w:lang w:bidi="ar-SY"/>
        </w:rPr>
        <w:t>؟</w:t>
      </w:r>
      <w:r w:rsidR="00147857" w:rsidRPr="003F3B94">
        <w:rPr>
          <w:rFonts w:ascii="Abo-thar" w:hAnsi="Abo-thar" w:hint="cs"/>
          <w:sz w:val="28"/>
          <w:rtl/>
          <w:lang w:bidi="ar-SY"/>
        </w:rPr>
        <w:t xml:space="preserve"> </w:t>
      </w:r>
      <w:r w:rsidRPr="003F3B94">
        <w:rPr>
          <w:rFonts w:ascii="Abo-thar" w:hAnsi="Abo-thar" w:hint="cs"/>
          <w:sz w:val="28"/>
          <w:rtl/>
          <w:lang w:bidi="ar-SY"/>
        </w:rPr>
        <w:t>إنه ذلك الحق الذي تدل عليه الآيات الواضحات وليس هو ما اخترعه ووضعه الغلاة المغرضون</w:t>
      </w:r>
      <w:r w:rsidR="00217AB4" w:rsidRPr="003F3B94">
        <w:rPr>
          <w:rFonts w:ascii="Abo-thar" w:hAnsi="Abo-thar" w:hint="cs"/>
          <w:sz w:val="28"/>
          <w:rtl/>
          <w:lang w:bidi="ar-SY"/>
        </w:rPr>
        <w:t>.</w:t>
      </w:r>
      <w:r w:rsidRPr="003F3B94">
        <w:rPr>
          <w:rFonts w:ascii="Abo-thar" w:hAnsi="Abo-thar" w:hint="cs"/>
          <w:sz w:val="28"/>
          <w:rtl/>
          <w:lang w:bidi="ar-SY"/>
        </w:rPr>
        <w:t xml:space="preserve"> </w:t>
      </w:r>
    </w:p>
    <w:p w:rsidR="005C664D" w:rsidRPr="003F3B94" w:rsidRDefault="00147857" w:rsidP="003F3B94">
      <w:pPr>
        <w:pStyle w:val="a0"/>
        <w:rPr>
          <w:rFonts w:hint="cs"/>
          <w:rtl/>
          <w:lang w:bidi="ar-SY"/>
        </w:rPr>
      </w:pPr>
      <w:r w:rsidRPr="003F3B94">
        <w:rPr>
          <w:rFonts w:ascii="Abo-thar" w:hAnsi="Abo-thar" w:hint="cs"/>
          <w:b/>
          <w:bCs/>
          <w:sz w:val="28"/>
          <w:rtl/>
          <w:lang w:bidi="ar-SY"/>
        </w:rPr>
        <w:t xml:space="preserve"> </w:t>
      </w:r>
      <w:r w:rsidR="005C664D" w:rsidRPr="003F3B94">
        <w:rPr>
          <w:rFonts w:ascii="Abo-thar" w:hAnsi="Abo-thar" w:hint="cs"/>
          <w:b/>
          <w:bCs/>
          <w:sz w:val="28"/>
          <w:rtl/>
          <w:lang w:bidi="ar-SY"/>
        </w:rPr>
        <w:t>الحديث الرابع</w:t>
      </w:r>
      <w:r w:rsidR="00217AB4" w:rsidRPr="003F3B94">
        <w:rPr>
          <w:rFonts w:ascii="Abo-thar" w:hAnsi="Abo-thar" w:hint="cs"/>
          <w:sz w:val="28"/>
          <w:rtl/>
          <w:lang w:bidi="ar-SY"/>
        </w:rPr>
        <w:t>:</w:t>
      </w:r>
      <w:r w:rsidR="005C664D" w:rsidRPr="003F3B94">
        <w:rPr>
          <w:rFonts w:ascii="Abo-thar" w:hAnsi="Abo-thar" w:hint="cs"/>
          <w:sz w:val="28"/>
          <w:rtl/>
          <w:lang w:bidi="ar-SY"/>
        </w:rPr>
        <w:t xml:space="preserve"> 4</w:t>
      </w:r>
      <w:r w:rsidR="00217AB4" w:rsidRPr="003F3B94">
        <w:rPr>
          <w:rFonts w:ascii="Abo-thar" w:hAnsi="Abo-thar" w:hint="cs"/>
          <w:sz w:val="28"/>
          <w:rtl/>
          <w:lang w:bidi="ar-SY"/>
        </w:rPr>
        <w:t>-</w:t>
      </w:r>
      <w:r w:rsidR="005C664D" w:rsidRPr="003F3B94">
        <w:rPr>
          <w:rFonts w:ascii="Abo-thar" w:hAnsi="Abo-thar" w:hint="cs"/>
          <w:sz w:val="28"/>
          <w:rtl/>
          <w:lang w:bidi="ar-SY"/>
        </w:rPr>
        <w:t xml:space="preserve"> </w:t>
      </w:r>
      <w:r w:rsidR="00EF2588" w:rsidRPr="00394385">
        <w:rPr>
          <w:rFonts w:ascii="Abo-thar" w:hAnsi="Abo-thar" w:cs="KFGQPC Uthman Taha Naskh" w:hint="cs"/>
          <w:sz w:val="28"/>
          <w:rtl/>
          <w:lang w:bidi="ar-SY"/>
        </w:rPr>
        <w:t>«</w:t>
      </w:r>
      <w:r w:rsidR="005C664D" w:rsidRPr="00394385">
        <w:rPr>
          <w:rFonts w:ascii="Abo-thar" w:hAnsi="Abo-thar" w:cs="KFGQPC Uthman Taha Naskh" w:hint="cs"/>
          <w:b/>
          <w:bCs/>
          <w:sz w:val="28"/>
          <w:rtl/>
          <w:lang w:bidi="ar-SY"/>
        </w:rPr>
        <w:t>م</w:t>
      </w:r>
      <w:r w:rsidR="005C664D" w:rsidRPr="00394385">
        <w:rPr>
          <w:rFonts w:ascii="Abo-thar" w:hAnsi="Abo-thar" w:cs="KFGQPC Uthman Taha Naskh"/>
          <w:b/>
          <w:bCs/>
          <w:sz w:val="28"/>
          <w:rtl/>
          <w:lang w:bidi="ar-SY"/>
        </w:rPr>
        <w:t xml:space="preserve">ُحَمَّدُ بْنُ يَحْيَى عَنْ أَحْمَدَ بْنِ مُحَمَّدٍ رَفَعَهُ عَنْ عَمْرِو بْنِ شِمْرٍ عَنْ جَابِرٍ </w:t>
      </w:r>
      <w:r w:rsidR="005C664D" w:rsidRPr="00394385">
        <w:rPr>
          <w:rFonts w:ascii="Abo-thar" w:hAnsi="Abo-thar" w:cs="KFGQPC Uthman Taha Naskh" w:hint="cs"/>
          <w:b/>
          <w:bCs/>
          <w:sz w:val="28"/>
          <w:rtl/>
          <w:lang w:bidi="ar-SY"/>
        </w:rPr>
        <w:t>[</w:t>
      </w:r>
      <w:r w:rsidR="005C664D" w:rsidRPr="00394385">
        <w:rPr>
          <w:rFonts w:ascii="Abo-thar" w:hAnsi="Abo-thar" w:cs="KFGQPC Uthman Taha Naskh"/>
          <w:b/>
          <w:bCs/>
          <w:sz w:val="28"/>
          <w:rtl/>
          <w:lang w:bidi="ar-SY"/>
        </w:rPr>
        <w:t>بْنِ يَزِيدَ الجُعْفِ</w:t>
      </w:r>
      <w:r w:rsidR="005C664D" w:rsidRPr="00394385">
        <w:rPr>
          <w:rFonts w:ascii="Abo-thar" w:hAnsi="Abo-thar" w:cs="KFGQPC Uthman Taha Naskh" w:hint="cs"/>
          <w:b/>
          <w:bCs/>
          <w:sz w:val="28"/>
          <w:rtl/>
          <w:lang w:bidi="ar-SY"/>
        </w:rPr>
        <w:t xml:space="preserve">يِّ] </w:t>
      </w:r>
      <w:r w:rsidR="005C664D" w:rsidRPr="00394385">
        <w:rPr>
          <w:rFonts w:ascii="Abo-thar" w:hAnsi="Abo-thar" w:cs="KFGQPC Uthman Taha Naskh"/>
          <w:b/>
          <w:bCs/>
          <w:sz w:val="28"/>
          <w:rtl/>
          <w:lang w:bidi="ar-SY"/>
        </w:rPr>
        <w:t>عَنْ أَبِي جَعْفَرٍ</w:t>
      </w:r>
      <w:r w:rsidRPr="00394385">
        <w:rPr>
          <w:rFonts w:ascii="Abo-thar" w:hAnsi="Abo-thar" w:cs="KFGQPC Uthman Taha Naskh"/>
          <w:b/>
          <w:bCs/>
          <w:sz w:val="28"/>
          <w:rtl/>
          <w:lang w:bidi="ar-SY"/>
        </w:rPr>
        <w:t xml:space="preserve"> </w:t>
      </w:r>
      <w:r w:rsidR="003C7AEB" w:rsidRPr="003C7AEB">
        <w:rPr>
          <w:rFonts w:ascii="Abo-thar" w:hAnsi="Abo-thar" w:cs="CTraditional Arabic"/>
          <w:b/>
          <w:sz w:val="28"/>
          <w:rtl/>
          <w:lang w:bidi="ar-SY"/>
        </w:rPr>
        <w:t>÷</w:t>
      </w:r>
      <w:r w:rsidRPr="00394385">
        <w:rPr>
          <w:rFonts w:ascii="Abo-thar" w:hAnsi="Abo-thar" w:cs="KFGQPC Uthman Taha Naskh"/>
          <w:b/>
          <w:bCs/>
          <w:sz w:val="28"/>
          <w:rtl/>
          <w:lang w:bidi="ar-SY"/>
        </w:rPr>
        <w:t xml:space="preserve"> </w:t>
      </w:r>
      <w:r w:rsidR="005C664D" w:rsidRPr="00394385">
        <w:rPr>
          <w:rFonts w:ascii="Abo-thar" w:hAnsi="Abo-thar" w:cs="KFGQPC Uthman Taha Naskh"/>
          <w:b/>
          <w:bCs/>
          <w:sz w:val="28"/>
          <w:rtl/>
          <w:lang w:bidi="ar-SY"/>
        </w:rPr>
        <w:t>قَالَ قَالَ رَسُولُ اللهِ</w:t>
      </w:r>
      <w:r w:rsidRPr="00394385">
        <w:rPr>
          <w:rFonts w:ascii="Abo-thar" w:hAnsi="Abo-thar" w:cs="KFGQPC Uthman Taha Naskh"/>
          <w:sz w:val="28"/>
          <w:rtl/>
          <w:lang w:bidi="ar-SY"/>
        </w:rPr>
        <w:t xml:space="preserve"> </w:t>
      </w:r>
      <w:r w:rsidR="003C7AEB" w:rsidRPr="003C7AEB">
        <w:rPr>
          <w:rFonts w:ascii="Abo-thar" w:hAnsi="Abo-thar" w:cs="CTraditional Arabic"/>
          <w:sz w:val="28"/>
          <w:rtl/>
          <w:lang w:bidi="ar-SY"/>
        </w:rPr>
        <w:t>ص</w:t>
      </w:r>
      <w:r w:rsidR="00217AB4" w:rsidRPr="00394385">
        <w:rPr>
          <w:rFonts w:ascii="Abo-thar" w:hAnsi="Abo-thar" w:cs="KFGQPC Uthman Taha Naskh"/>
          <w:sz w:val="28"/>
          <w:rtl/>
          <w:lang w:bidi="ar-SY"/>
        </w:rPr>
        <w:t>.</w:t>
      </w:r>
      <w:r w:rsidR="00F456DF" w:rsidRPr="00394385">
        <w:rPr>
          <w:rFonts w:ascii="Abo-thar" w:hAnsi="Abo-thar" w:cs="KFGQPC Uthman Taha Naskh" w:hint="cs"/>
          <w:sz w:val="28"/>
          <w:rtl/>
          <w:lang w:bidi="ar-SY"/>
        </w:rPr>
        <w:t>...</w:t>
      </w:r>
      <w:r w:rsidR="00EF2588" w:rsidRPr="00394385">
        <w:rPr>
          <w:rFonts w:ascii="Abo-thar" w:hAnsi="Abo-thar" w:cs="KFGQPC Uthman Taha Naskh" w:hint="cs"/>
          <w:sz w:val="28"/>
          <w:rtl/>
          <w:lang w:bidi="ar-SY"/>
        </w:rPr>
        <w:t>»</w:t>
      </w:r>
      <w:r w:rsidR="00F456DF" w:rsidRPr="003F3B94">
        <w:rPr>
          <w:rFonts w:ascii="Abo-thar" w:hAnsi="Abo-thar" w:hint="cs"/>
          <w:sz w:val="28"/>
          <w:rtl/>
          <w:lang w:bidi="ar-SY"/>
        </w:rPr>
        <w:t>.</w:t>
      </w:r>
    </w:p>
    <w:p w:rsidR="005C664D" w:rsidRPr="00995B26" w:rsidRDefault="00542D29" w:rsidP="003C671C">
      <w:pPr>
        <w:pStyle w:val="a6"/>
        <w:rPr>
          <w:rFonts w:hint="cs"/>
          <w:rtl/>
        </w:rPr>
      </w:pPr>
      <w:bookmarkStart w:id="133" w:name="_Toc215491159"/>
      <w:bookmarkStart w:id="134" w:name="_Toc215498078"/>
      <w:bookmarkStart w:id="135" w:name="_Toc387843096"/>
      <w:r w:rsidRPr="00995B26">
        <w:rPr>
          <w:rFonts w:hint="cs"/>
          <w:rtl/>
        </w:rPr>
        <w:t xml:space="preserve">تمحيص </w:t>
      </w:r>
      <w:r w:rsidR="005C664D" w:rsidRPr="00995B26">
        <w:rPr>
          <w:rFonts w:hint="cs"/>
          <w:rtl/>
        </w:rPr>
        <w:t>سند الحديث الرابع</w:t>
      </w:r>
      <w:r w:rsidR="00217AB4" w:rsidRPr="00995B26">
        <w:rPr>
          <w:rFonts w:hint="cs"/>
          <w:rtl/>
        </w:rPr>
        <w:t>:</w:t>
      </w:r>
      <w:bookmarkEnd w:id="133"/>
      <w:bookmarkEnd w:id="134"/>
      <w:bookmarkEnd w:id="135"/>
    </w:p>
    <w:p w:rsidR="005C664D" w:rsidRPr="003F3B94" w:rsidRDefault="005C664D" w:rsidP="003F3B94">
      <w:pPr>
        <w:pStyle w:val="a0"/>
        <w:rPr>
          <w:rFonts w:hint="cs"/>
          <w:rtl/>
          <w:lang w:bidi="ar-SY"/>
        </w:rPr>
      </w:pPr>
      <w:r w:rsidRPr="003F3B94">
        <w:rPr>
          <w:rFonts w:ascii="Abo-thar" w:hAnsi="Abo-thar" w:hint="cs"/>
          <w:sz w:val="28"/>
          <w:rtl/>
          <w:lang w:bidi="ar-SY"/>
        </w:rPr>
        <w:t>هنا أيضاً نصرف النظر عن أول راويين في السند</w:t>
      </w:r>
      <w:r w:rsidR="00217AB4" w:rsidRPr="003F3B94">
        <w:rPr>
          <w:rFonts w:ascii="Abo-thar" w:hAnsi="Abo-thar" w:hint="cs"/>
          <w:sz w:val="28"/>
          <w:rtl/>
          <w:lang w:bidi="ar-SY"/>
        </w:rPr>
        <w:t>:</w:t>
      </w:r>
      <w:r w:rsidRPr="003F3B94">
        <w:rPr>
          <w:rFonts w:ascii="Abo-thar" w:hAnsi="Abo-thar" w:hint="cs"/>
          <w:sz w:val="28"/>
          <w:rtl/>
          <w:lang w:bidi="ar-SY"/>
        </w:rPr>
        <w:t xml:space="preserve"> </w:t>
      </w:r>
      <w:r w:rsidRPr="003F3B94">
        <w:rPr>
          <w:rFonts w:ascii="Abo-thar" w:hAnsi="Abo-thar"/>
          <w:sz w:val="28"/>
          <w:rtl/>
          <w:lang w:bidi="ar-SY"/>
        </w:rPr>
        <w:t>«</w:t>
      </w:r>
      <w:r w:rsidRPr="003F3B94">
        <w:rPr>
          <w:rFonts w:ascii="Abo-thar" w:hAnsi="Abo-thar" w:hint="cs"/>
          <w:sz w:val="28"/>
          <w:rtl/>
          <w:lang w:bidi="ar-SY"/>
        </w:rPr>
        <w:t>م</w:t>
      </w:r>
      <w:r w:rsidRPr="003F3B94">
        <w:rPr>
          <w:rFonts w:ascii="Abo-thar" w:hAnsi="Abo-thar"/>
          <w:sz w:val="28"/>
          <w:rtl/>
          <w:lang w:bidi="ar-SY"/>
        </w:rPr>
        <w:t>ُحَمَّدُ بْنُ يَحْيَى عَنْ أَحْمَدَ بْنِ مُحَمَّدٍ»</w:t>
      </w:r>
      <w:r w:rsidR="00217AB4" w:rsidRPr="003F3B94">
        <w:rPr>
          <w:rFonts w:ascii="Abo-thar" w:hAnsi="Abo-thar" w:hint="cs"/>
          <w:sz w:val="28"/>
          <w:rtl/>
          <w:lang w:bidi="ar-SY"/>
        </w:rPr>
        <w:t>،</w:t>
      </w:r>
      <w:r w:rsidRPr="003F3B94">
        <w:rPr>
          <w:rFonts w:ascii="Abo-thar" w:hAnsi="Abo-thar" w:hint="cs"/>
          <w:sz w:val="28"/>
          <w:rtl/>
          <w:lang w:bidi="ar-SY"/>
        </w:rPr>
        <w:t xml:space="preserve"> إذْ طالما أن الحديث رفع إلى </w:t>
      </w:r>
      <w:r w:rsidRPr="003F3B94">
        <w:rPr>
          <w:rFonts w:ascii="Abo-thar" w:hAnsi="Abo-thar"/>
          <w:sz w:val="28"/>
          <w:rtl/>
          <w:lang w:bidi="ar-SY"/>
        </w:rPr>
        <w:t>«</w:t>
      </w:r>
      <w:r w:rsidRPr="003F3B94">
        <w:rPr>
          <w:rFonts w:ascii="Abo-thar" w:hAnsi="Abo-thar"/>
          <w:b/>
          <w:bCs/>
          <w:sz w:val="28"/>
          <w:rtl/>
          <w:lang w:bidi="ar-SY"/>
        </w:rPr>
        <w:t>عَمْرِو بْنِ شِمْرٍ</w:t>
      </w:r>
      <w:r w:rsidRPr="003F3B94">
        <w:rPr>
          <w:rFonts w:ascii="Abo-thar" w:hAnsi="Abo-thar"/>
          <w:sz w:val="28"/>
          <w:rtl/>
          <w:lang w:bidi="ar-SY"/>
        </w:rPr>
        <w:t>»</w:t>
      </w:r>
      <w:r w:rsidRPr="003F3B94">
        <w:rPr>
          <w:rFonts w:ascii="Abo-thar" w:hAnsi="Abo-thar" w:hint="cs"/>
          <w:sz w:val="28"/>
          <w:rtl/>
          <w:lang w:bidi="ar-SY"/>
        </w:rPr>
        <w:t xml:space="preserve"> فيكفينا أن نعلم حاله التعيسة حتى ندرك درجة هذا الحديث</w:t>
      </w:r>
      <w:r w:rsidR="00217AB4" w:rsidRPr="003F3B94">
        <w:rPr>
          <w:rFonts w:ascii="Abo-thar" w:hAnsi="Abo-thar" w:hint="cs"/>
          <w:sz w:val="28"/>
          <w:rtl/>
          <w:lang w:bidi="ar-SY"/>
        </w:rPr>
        <w:t>،</w:t>
      </w:r>
      <w:r w:rsidRPr="003F3B94">
        <w:rPr>
          <w:rFonts w:ascii="Abo-thar" w:hAnsi="Abo-thar" w:hint="cs"/>
          <w:sz w:val="28"/>
          <w:rtl/>
          <w:lang w:bidi="ar-SY"/>
        </w:rPr>
        <w:t xml:space="preserve"> فإليكم ما قاله علماء الرجال بشأنه</w:t>
      </w:r>
      <w:r w:rsidR="00217AB4" w:rsidRPr="003F3B94">
        <w:rPr>
          <w:rFonts w:ascii="Abo-thar" w:hAnsi="Abo-thar" w:hint="cs"/>
          <w:sz w:val="28"/>
          <w:rtl/>
          <w:lang w:bidi="ar-SY"/>
        </w:rPr>
        <w:t>:</w:t>
      </w:r>
    </w:p>
    <w:p w:rsidR="005C664D" w:rsidRPr="003F3B94" w:rsidRDefault="005C664D" w:rsidP="00EF714D">
      <w:pPr>
        <w:pStyle w:val="a0"/>
        <w:ind w:left="624" w:hanging="340"/>
        <w:rPr>
          <w:rFonts w:hint="cs"/>
          <w:rtl/>
          <w:lang w:bidi="ar-SY"/>
        </w:rPr>
      </w:pPr>
      <w:r w:rsidRPr="003F3B94">
        <w:rPr>
          <w:rFonts w:ascii="Abo-thar" w:hAnsi="Abo-thar" w:hint="cs"/>
          <w:sz w:val="28"/>
          <w:rtl/>
          <w:lang w:bidi="ar-SY"/>
        </w:rPr>
        <w:t>ألف</w:t>
      </w:r>
      <w:r w:rsidR="00EF714D">
        <w:rPr>
          <w:rFonts w:ascii="Abo-thar" w:hAnsi="Abo-thar" w:hint="cs"/>
          <w:sz w:val="28"/>
          <w:rtl/>
          <w:lang w:bidi="ar-SY"/>
        </w:rPr>
        <w:t>-</w:t>
      </w:r>
      <w:r w:rsidRPr="003F3B94">
        <w:rPr>
          <w:rFonts w:ascii="Abo-thar" w:hAnsi="Abo-thar" w:hint="cs"/>
          <w:sz w:val="28"/>
          <w:rtl/>
          <w:lang w:bidi="ar-SY"/>
        </w:rPr>
        <w:t xml:space="preserve"> قال النجاشي في رجاله </w:t>
      </w:r>
      <w:r w:rsidR="00217AB4" w:rsidRPr="003F3B94">
        <w:rPr>
          <w:rFonts w:ascii="Abo-thar" w:hAnsi="Abo-thar" w:hint="cs"/>
          <w:sz w:val="28"/>
          <w:rtl/>
          <w:lang w:bidi="ar-SY"/>
        </w:rPr>
        <w:t>(</w:t>
      </w:r>
      <w:r w:rsidRPr="003F3B94">
        <w:rPr>
          <w:rFonts w:ascii="Abo-thar" w:hAnsi="Abo-thar" w:hint="cs"/>
          <w:sz w:val="28"/>
          <w:rtl/>
          <w:lang w:bidi="ar-SY"/>
        </w:rPr>
        <w:t>ص287</w:t>
      </w:r>
      <w:r w:rsidR="00217AB4" w:rsidRPr="003F3B94">
        <w:rPr>
          <w:rFonts w:ascii="Abo-thar" w:hAnsi="Abo-thar" w:hint="cs"/>
          <w:sz w:val="28"/>
          <w:rtl/>
          <w:lang w:bidi="ar-SY"/>
        </w:rPr>
        <w:t>):</w:t>
      </w:r>
      <w:r w:rsidRPr="003F3B94">
        <w:rPr>
          <w:rFonts w:ascii="Abo-thar" w:hAnsi="Abo-thar" w:hint="cs"/>
          <w:sz w:val="28"/>
          <w:rtl/>
          <w:lang w:bidi="ar-SY"/>
        </w:rPr>
        <w:t xml:space="preserve"> </w:t>
      </w:r>
      <w:r w:rsidR="00EF2588" w:rsidRPr="003F3B94">
        <w:rPr>
          <w:rFonts w:ascii="Abo-thar" w:hAnsi="Abo-thar" w:hint="cs"/>
          <w:sz w:val="28"/>
          <w:rtl/>
          <w:lang w:bidi="ar-SY"/>
        </w:rPr>
        <w:t>«</w:t>
      </w:r>
      <w:r w:rsidRPr="003F3B94">
        <w:rPr>
          <w:rFonts w:ascii="Abo-thar" w:hAnsi="Abo-thar"/>
          <w:b/>
          <w:bCs/>
          <w:sz w:val="28"/>
          <w:rtl/>
          <w:lang w:bidi="ar-SY"/>
        </w:rPr>
        <w:t>عمرو بن شمر أبو عبد الله الجعفي</w:t>
      </w:r>
      <w:r w:rsidR="00217AB4" w:rsidRPr="003F3B94">
        <w:rPr>
          <w:rFonts w:ascii="Abo-thar" w:hAnsi="Abo-thar" w:hint="cs"/>
          <w:b/>
          <w:bCs/>
          <w:sz w:val="28"/>
          <w:rtl/>
          <w:lang w:bidi="ar-SY"/>
        </w:rPr>
        <w:t>:</w:t>
      </w:r>
      <w:r w:rsidRPr="003F3B94">
        <w:rPr>
          <w:rFonts w:ascii="Abo-thar" w:hAnsi="Abo-thar" w:hint="cs"/>
          <w:b/>
          <w:bCs/>
          <w:sz w:val="28"/>
          <w:rtl/>
          <w:lang w:bidi="ar-SY"/>
        </w:rPr>
        <w:t xml:space="preserve"> </w:t>
      </w:r>
      <w:r w:rsidRPr="003F3B94">
        <w:rPr>
          <w:rFonts w:ascii="Abo-thar" w:hAnsi="Abo-thar"/>
          <w:b/>
          <w:bCs/>
          <w:sz w:val="28"/>
          <w:rtl/>
          <w:lang w:bidi="ar-SY"/>
        </w:rPr>
        <w:t>عربي</w:t>
      </w:r>
      <w:r w:rsidR="00217AB4" w:rsidRPr="003F3B94">
        <w:rPr>
          <w:rFonts w:ascii="Abo-thar" w:hAnsi="Abo-thar"/>
          <w:b/>
          <w:bCs/>
          <w:sz w:val="28"/>
          <w:rtl/>
          <w:lang w:bidi="ar-SY"/>
        </w:rPr>
        <w:t>،</w:t>
      </w:r>
      <w:r w:rsidRPr="003F3B94">
        <w:rPr>
          <w:rFonts w:ascii="Abo-thar" w:hAnsi="Abo-thar"/>
          <w:b/>
          <w:bCs/>
          <w:sz w:val="28"/>
          <w:rtl/>
          <w:lang w:bidi="ar-SY"/>
        </w:rPr>
        <w:t xml:space="preserve"> روى عن أبي عبد الله </w:t>
      </w:r>
      <w:r w:rsidR="003C7AEB" w:rsidRPr="003C7AEB">
        <w:rPr>
          <w:rFonts w:ascii="Abo-thar" w:hAnsi="Abo-thar" w:cs="CTraditional Arabic"/>
          <w:b/>
          <w:sz w:val="28"/>
          <w:rtl/>
          <w:lang w:bidi="ar-SY"/>
        </w:rPr>
        <w:t>÷</w:t>
      </w:r>
      <w:r w:rsidR="00217AB4" w:rsidRPr="003F3B94">
        <w:rPr>
          <w:rFonts w:ascii="Abo-thar" w:hAnsi="Abo-thar"/>
          <w:b/>
          <w:bCs/>
          <w:sz w:val="28"/>
          <w:rtl/>
          <w:lang w:bidi="ar-SY"/>
        </w:rPr>
        <w:t>،</w:t>
      </w:r>
      <w:r w:rsidRPr="003F3B94">
        <w:rPr>
          <w:rFonts w:ascii="Abo-thar" w:hAnsi="Abo-thar"/>
          <w:b/>
          <w:bCs/>
          <w:sz w:val="28"/>
          <w:rtl/>
          <w:lang w:bidi="ar-SY"/>
        </w:rPr>
        <w:t xml:space="preserve"> ضعيف جدا</w:t>
      </w:r>
      <w:r w:rsidR="00217AB4" w:rsidRPr="003F3B94">
        <w:rPr>
          <w:rFonts w:ascii="Abo-thar" w:hAnsi="Abo-thar"/>
          <w:b/>
          <w:bCs/>
          <w:sz w:val="28"/>
          <w:rtl/>
          <w:lang w:bidi="ar-SY"/>
        </w:rPr>
        <w:t>،</w:t>
      </w:r>
      <w:r w:rsidRPr="003F3B94">
        <w:rPr>
          <w:rFonts w:ascii="Abo-thar" w:hAnsi="Abo-thar"/>
          <w:b/>
          <w:bCs/>
          <w:sz w:val="28"/>
          <w:rtl/>
          <w:lang w:bidi="ar-SY"/>
        </w:rPr>
        <w:t xml:space="preserve"> زيد أحاديث في كتب جابر الجعفي ينسب بعضها إليه</w:t>
      </w:r>
      <w:r w:rsidR="00217AB4" w:rsidRPr="003F3B94">
        <w:rPr>
          <w:rFonts w:ascii="Abo-thar" w:hAnsi="Abo-thar"/>
          <w:b/>
          <w:bCs/>
          <w:sz w:val="28"/>
          <w:rtl/>
          <w:lang w:bidi="ar-SY"/>
        </w:rPr>
        <w:t>،</w:t>
      </w:r>
      <w:r w:rsidRPr="003F3B94">
        <w:rPr>
          <w:rFonts w:ascii="Abo-thar" w:hAnsi="Abo-thar"/>
          <w:b/>
          <w:bCs/>
          <w:sz w:val="28"/>
          <w:rtl/>
          <w:lang w:bidi="ar-SY"/>
        </w:rPr>
        <w:t xml:space="preserve"> والأمر مل</w:t>
      </w:r>
      <w:r w:rsidRPr="003F3B94">
        <w:rPr>
          <w:rFonts w:ascii="Abo-thar" w:hAnsi="Abo-thar" w:hint="cs"/>
          <w:b/>
          <w:bCs/>
          <w:sz w:val="28"/>
          <w:rtl/>
          <w:lang w:bidi="ar-SY"/>
        </w:rPr>
        <w:t>ت</w:t>
      </w:r>
      <w:r w:rsidRPr="003F3B94">
        <w:rPr>
          <w:rFonts w:ascii="Abo-thar" w:hAnsi="Abo-thar"/>
          <w:b/>
          <w:bCs/>
          <w:sz w:val="28"/>
          <w:rtl/>
          <w:lang w:bidi="ar-SY"/>
        </w:rPr>
        <w:t>بس</w:t>
      </w:r>
      <w:r w:rsidRPr="003F3B94">
        <w:rPr>
          <w:rFonts w:ascii="Abo-thar" w:hAnsi="Abo-thar" w:hint="cs"/>
          <w:b/>
          <w:bCs/>
          <w:sz w:val="28"/>
          <w:rtl/>
          <w:lang w:bidi="ar-SY"/>
        </w:rPr>
        <w:t>ٌ</w:t>
      </w:r>
      <w:r w:rsidR="00F456DF" w:rsidRPr="003F3B94">
        <w:rPr>
          <w:rFonts w:ascii="Abo-thar" w:hAnsi="Abo-thar"/>
          <w:b/>
          <w:bCs/>
          <w:sz w:val="28"/>
          <w:rtl/>
          <w:lang w:bidi="ar-SY"/>
        </w:rPr>
        <w:t>»</w:t>
      </w:r>
      <w:r w:rsidR="00F51ADA" w:rsidRPr="0021507A">
        <w:rPr>
          <w:rFonts w:ascii="Abo-thar" w:hAnsi="Abo-thar" w:cs="Arabic11 BT"/>
          <w:sz w:val="28"/>
          <w:vertAlign w:val="superscript"/>
          <w:rtl/>
          <w:lang w:bidi="ar-SY"/>
        </w:rPr>
        <w:t>(</w:t>
      </w:r>
      <w:r w:rsidR="00F51ADA" w:rsidRPr="0021507A">
        <w:rPr>
          <w:rStyle w:val="FootnoteReference"/>
          <w:rFonts w:ascii="Abo-thar" w:hAnsi="Abo-thar" w:cs="Arabic11 BT"/>
          <w:sz w:val="28"/>
          <w:rtl/>
          <w:lang w:bidi="ar-SY"/>
        </w:rPr>
        <w:footnoteReference w:id="381"/>
      </w:r>
      <w:r w:rsidR="00F51ADA" w:rsidRPr="0021507A">
        <w:rPr>
          <w:rFonts w:ascii="Abo-thar" w:hAnsi="Abo-thar" w:cs="Arabic11 BT"/>
          <w:sz w:val="28"/>
          <w:vertAlign w:val="superscript"/>
          <w:rtl/>
          <w:lang w:bidi="ar-SY"/>
        </w:rPr>
        <w:t>)</w:t>
      </w:r>
      <w:r w:rsidR="00217AB4" w:rsidRPr="003F3B94">
        <w:rPr>
          <w:rFonts w:ascii="Abo-thar" w:hAnsi="Abo-thar" w:hint="cs"/>
          <w:sz w:val="28"/>
          <w:rtl/>
          <w:lang w:bidi="ar-SY"/>
        </w:rPr>
        <w:t>.</w:t>
      </w:r>
    </w:p>
    <w:p w:rsidR="005C664D" w:rsidRPr="003F3B94" w:rsidRDefault="005C664D" w:rsidP="00EF714D">
      <w:pPr>
        <w:pStyle w:val="a0"/>
        <w:ind w:left="624" w:hanging="340"/>
        <w:rPr>
          <w:rFonts w:hint="cs"/>
          <w:rtl/>
          <w:lang w:bidi="ar-SY"/>
        </w:rPr>
      </w:pPr>
      <w:r w:rsidRPr="003F3B94">
        <w:rPr>
          <w:rFonts w:ascii="Abo-thar" w:hAnsi="Abo-thar" w:hint="cs"/>
          <w:sz w:val="28"/>
          <w:rtl/>
          <w:lang w:bidi="ar-SY"/>
        </w:rPr>
        <w:t>ب</w:t>
      </w:r>
      <w:r w:rsidR="00217AB4" w:rsidRPr="003F3B94">
        <w:rPr>
          <w:rFonts w:ascii="Abo-thar" w:hAnsi="Abo-thar" w:hint="cs"/>
          <w:sz w:val="28"/>
          <w:rtl/>
          <w:lang w:bidi="ar-SY"/>
        </w:rPr>
        <w:t>-</w:t>
      </w:r>
      <w:r w:rsidRPr="003F3B94">
        <w:rPr>
          <w:rFonts w:ascii="Abo-thar" w:hAnsi="Abo-thar" w:hint="cs"/>
          <w:sz w:val="28"/>
          <w:rtl/>
          <w:lang w:bidi="ar-SY"/>
        </w:rPr>
        <w:t xml:space="preserve"> وقال ابن الغضائري في رجاله </w:t>
      </w:r>
      <w:r w:rsidR="00217AB4" w:rsidRPr="003F3B94">
        <w:rPr>
          <w:rFonts w:ascii="Abo-thar" w:hAnsi="Abo-thar" w:hint="cs"/>
          <w:sz w:val="28"/>
          <w:rtl/>
          <w:lang w:bidi="ar-SY"/>
        </w:rPr>
        <w:t>(</w:t>
      </w:r>
      <w:r w:rsidRPr="003F3B94">
        <w:rPr>
          <w:rFonts w:ascii="Abo-thar" w:hAnsi="Abo-thar" w:hint="cs"/>
          <w:sz w:val="28"/>
          <w:rtl/>
          <w:lang w:bidi="ar-SY"/>
        </w:rPr>
        <w:t>4</w:t>
      </w:r>
      <w:r w:rsidR="00920257" w:rsidRPr="003F3B94">
        <w:rPr>
          <w:rFonts w:ascii="Abo-thar" w:hAnsi="Abo-thar" w:hint="cs"/>
          <w:sz w:val="28"/>
          <w:rtl/>
          <w:lang w:bidi="ar-SY"/>
        </w:rPr>
        <w:t xml:space="preserve">، </w:t>
      </w:r>
      <w:r w:rsidRPr="003F3B94">
        <w:rPr>
          <w:rFonts w:ascii="Abo-thar" w:hAnsi="Abo-thar" w:hint="cs"/>
          <w:sz w:val="28"/>
          <w:rtl/>
          <w:lang w:bidi="ar-SY"/>
        </w:rPr>
        <w:t>305</w:t>
      </w:r>
      <w:r w:rsidR="00217AB4" w:rsidRPr="003F3B94">
        <w:rPr>
          <w:rFonts w:ascii="Abo-thar" w:hAnsi="Abo-thar" w:hint="cs"/>
          <w:sz w:val="28"/>
          <w:rtl/>
          <w:lang w:bidi="ar-SY"/>
        </w:rPr>
        <w:t>):</w:t>
      </w:r>
      <w:r w:rsidRPr="003F3B94">
        <w:rPr>
          <w:rFonts w:ascii="Abo-thar" w:hAnsi="Abo-thar" w:hint="cs"/>
          <w:sz w:val="28"/>
          <w:rtl/>
          <w:lang w:bidi="ar-SY"/>
        </w:rPr>
        <w:t xml:space="preserve"> </w:t>
      </w:r>
      <w:r w:rsidR="00EF2588" w:rsidRPr="003F3B94">
        <w:rPr>
          <w:rFonts w:ascii="Abo-thar" w:hAnsi="Abo-thar" w:hint="cs"/>
          <w:sz w:val="28"/>
          <w:rtl/>
          <w:lang w:bidi="ar-SY"/>
        </w:rPr>
        <w:t>«</w:t>
      </w:r>
      <w:r w:rsidRPr="003F3B94">
        <w:rPr>
          <w:rFonts w:ascii="Abo-thar" w:hAnsi="Abo-thar"/>
          <w:b/>
          <w:bCs/>
          <w:sz w:val="28"/>
          <w:rtl/>
          <w:lang w:bidi="ar-SY"/>
        </w:rPr>
        <w:t>عمرو بن شمر أبو عبد الله الجعفي</w:t>
      </w:r>
      <w:r w:rsidR="00217AB4" w:rsidRPr="003F3B94">
        <w:rPr>
          <w:rFonts w:ascii="Abo-thar" w:hAnsi="Abo-thar" w:hint="cs"/>
          <w:b/>
          <w:bCs/>
          <w:sz w:val="28"/>
          <w:rtl/>
          <w:lang w:bidi="ar-SY"/>
        </w:rPr>
        <w:t>:</w:t>
      </w:r>
      <w:r w:rsidRPr="003F3B94">
        <w:rPr>
          <w:rFonts w:ascii="Abo-thar" w:hAnsi="Abo-thar" w:hint="cs"/>
          <w:b/>
          <w:bCs/>
          <w:sz w:val="28"/>
          <w:rtl/>
          <w:lang w:bidi="ar-SY"/>
        </w:rPr>
        <w:t xml:space="preserve"> </w:t>
      </w:r>
      <w:r w:rsidRPr="003F3B94">
        <w:rPr>
          <w:rFonts w:ascii="Abo-thar" w:hAnsi="Abo-thar"/>
          <w:b/>
          <w:bCs/>
          <w:sz w:val="28"/>
          <w:rtl/>
          <w:lang w:bidi="ar-SY"/>
        </w:rPr>
        <w:t xml:space="preserve">كوفي روى عن أبي عبد الله </w:t>
      </w:r>
      <w:r w:rsidR="003C7AEB" w:rsidRPr="003C7AEB">
        <w:rPr>
          <w:rFonts w:ascii="Abo-thar" w:hAnsi="Abo-thar" w:cs="CTraditional Arabic"/>
          <w:b/>
          <w:sz w:val="28"/>
          <w:rtl/>
          <w:lang w:bidi="ar-SY"/>
        </w:rPr>
        <w:t>÷</w:t>
      </w:r>
      <w:r w:rsidRPr="003F3B94">
        <w:rPr>
          <w:rFonts w:ascii="Abo-thar" w:hAnsi="Abo-thar"/>
          <w:b/>
          <w:bCs/>
          <w:sz w:val="28"/>
          <w:rtl/>
          <w:lang w:bidi="ar-SY"/>
        </w:rPr>
        <w:t xml:space="preserve"> وجابر</w:t>
      </w:r>
      <w:r w:rsidR="00217AB4" w:rsidRPr="003F3B94">
        <w:rPr>
          <w:rFonts w:ascii="Abo-thar" w:hAnsi="Abo-thar" w:hint="cs"/>
          <w:b/>
          <w:bCs/>
          <w:sz w:val="28"/>
          <w:rtl/>
          <w:lang w:bidi="ar-SY"/>
        </w:rPr>
        <w:t>،</w:t>
      </w:r>
      <w:r w:rsidRPr="003F3B94">
        <w:rPr>
          <w:rFonts w:ascii="Abo-thar" w:hAnsi="Abo-thar"/>
          <w:b/>
          <w:bCs/>
          <w:sz w:val="28"/>
          <w:rtl/>
          <w:lang w:bidi="ar-SY"/>
        </w:rPr>
        <w:t xml:space="preserve"> ضعيف</w:t>
      </w:r>
      <w:r w:rsidRPr="003F3B94">
        <w:rPr>
          <w:rFonts w:ascii="Abo-thar" w:hAnsi="Abo-thar" w:hint="cs"/>
          <w:b/>
          <w:bCs/>
          <w:sz w:val="28"/>
          <w:rtl/>
          <w:lang w:bidi="ar-SY"/>
        </w:rPr>
        <w:t>ٌ</w:t>
      </w:r>
      <w:r w:rsidR="00EF2588" w:rsidRPr="003F3B94">
        <w:rPr>
          <w:rFonts w:ascii="Abo-thar" w:hAnsi="Abo-thar" w:hint="cs"/>
          <w:sz w:val="28"/>
          <w:rtl/>
          <w:lang w:bidi="ar-SY"/>
        </w:rPr>
        <w:t>»</w:t>
      </w:r>
      <w:r w:rsidR="00F51ADA" w:rsidRPr="0021507A">
        <w:rPr>
          <w:rFonts w:ascii="Abo-thar" w:hAnsi="Abo-thar" w:cs="Arabic11 BT"/>
          <w:sz w:val="28"/>
          <w:vertAlign w:val="superscript"/>
          <w:rtl/>
          <w:lang w:bidi="ar-SY"/>
        </w:rPr>
        <w:t>(</w:t>
      </w:r>
      <w:r w:rsidR="00F51ADA" w:rsidRPr="0021507A">
        <w:rPr>
          <w:rStyle w:val="FootnoteReference"/>
          <w:rFonts w:ascii="Abo-thar" w:hAnsi="Abo-thar" w:cs="Arabic11 BT"/>
          <w:sz w:val="28"/>
          <w:rtl/>
          <w:lang w:bidi="ar-SY"/>
        </w:rPr>
        <w:footnoteReference w:id="382"/>
      </w:r>
      <w:r w:rsidR="00F51ADA" w:rsidRPr="0021507A">
        <w:rPr>
          <w:rFonts w:ascii="Abo-thar" w:hAnsi="Abo-thar" w:cs="Arabic11 BT"/>
          <w:sz w:val="28"/>
          <w:vertAlign w:val="superscript"/>
          <w:rtl/>
          <w:lang w:bidi="ar-SY"/>
        </w:rPr>
        <w:t>)</w:t>
      </w:r>
      <w:r w:rsidR="00217AB4" w:rsidRPr="003F3B94">
        <w:rPr>
          <w:rFonts w:ascii="Abo-thar" w:hAnsi="Abo-thar" w:hint="cs"/>
          <w:sz w:val="28"/>
          <w:rtl/>
          <w:lang w:bidi="ar-SY"/>
        </w:rPr>
        <w:t>.</w:t>
      </w:r>
    </w:p>
    <w:p w:rsidR="005C664D" w:rsidRPr="003F3B94" w:rsidRDefault="005C664D" w:rsidP="00EF714D">
      <w:pPr>
        <w:pStyle w:val="a0"/>
        <w:ind w:left="624" w:hanging="340"/>
        <w:rPr>
          <w:rFonts w:hint="cs"/>
          <w:rtl/>
          <w:lang w:bidi="ar-SY"/>
        </w:rPr>
      </w:pPr>
      <w:r w:rsidRPr="003F3B94">
        <w:rPr>
          <w:rFonts w:ascii="Abo-thar" w:hAnsi="Abo-thar" w:hint="cs"/>
          <w:sz w:val="28"/>
          <w:rtl/>
          <w:lang w:bidi="ar-SY"/>
        </w:rPr>
        <w:t>ج</w:t>
      </w:r>
      <w:r w:rsidR="00217AB4" w:rsidRPr="003F3B94">
        <w:rPr>
          <w:rFonts w:ascii="Abo-thar" w:hAnsi="Abo-thar" w:hint="cs"/>
          <w:sz w:val="28"/>
          <w:rtl/>
          <w:lang w:bidi="ar-SY"/>
        </w:rPr>
        <w:t>-</w:t>
      </w:r>
      <w:r w:rsidRPr="003F3B94">
        <w:rPr>
          <w:rFonts w:ascii="Abo-thar" w:hAnsi="Abo-thar" w:hint="cs"/>
          <w:sz w:val="28"/>
          <w:rtl/>
          <w:lang w:bidi="ar-SY"/>
        </w:rPr>
        <w:t>وأورده العلامة الحلي في</w:t>
      </w:r>
      <w:r w:rsidRPr="003F3B94">
        <w:rPr>
          <w:rFonts w:ascii="Abo-thar" w:hAnsi="Abo-thar"/>
          <w:sz w:val="28"/>
          <w:rtl/>
          <w:lang w:bidi="ar-SY"/>
        </w:rPr>
        <w:t xml:space="preserve"> «</w:t>
      </w:r>
      <w:r w:rsidRPr="003F3B94">
        <w:rPr>
          <w:rFonts w:ascii="Abo-thar" w:hAnsi="Abo-thar" w:hint="cs"/>
          <w:sz w:val="28"/>
          <w:rtl/>
          <w:lang w:bidi="ar-SY"/>
        </w:rPr>
        <w:t>الخلاصة</w:t>
      </w:r>
      <w:r w:rsidRPr="003F3B94">
        <w:rPr>
          <w:rFonts w:ascii="Abo-thar" w:hAnsi="Abo-thar"/>
          <w:sz w:val="28"/>
          <w:rtl/>
          <w:lang w:bidi="ar-SY"/>
        </w:rPr>
        <w:t>»</w:t>
      </w:r>
      <w:r w:rsidRPr="003F3B94">
        <w:rPr>
          <w:rFonts w:ascii="Abo-thar" w:hAnsi="Abo-thar" w:hint="cs"/>
          <w:sz w:val="28"/>
          <w:rtl/>
          <w:lang w:bidi="ar-SY"/>
        </w:rPr>
        <w:t xml:space="preserve"> في القسم الثاني </w:t>
      </w:r>
      <w:r w:rsidR="00217AB4" w:rsidRPr="003F3B94">
        <w:rPr>
          <w:rFonts w:ascii="Abo-thar" w:hAnsi="Abo-thar" w:hint="cs"/>
          <w:sz w:val="28"/>
          <w:rtl/>
          <w:lang w:bidi="ar-SY"/>
        </w:rPr>
        <w:t>(</w:t>
      </w:r>
      <w:r w:rsidRPr="003F3B94">
        <w:rPr>
          <w:rFonts w:ascii="Abo-thar" w:hAnsi="Abo-thar" w:hint="cs"/>
          <w:sz w:val="28"/>
          <w:rtl/>
          <w:lang w:bidi="ar-SY"/>
        </w:rPr>
        <w:t>الضعفاء</w:t>
      </w:r>
      <w:r w:rsidR="00217AB4" w:rsidRPr="003F3B94">
        <w:rPr>
          <w:rFonts w:ascii="Abo-thar" w:hAnsi="Abo-thar" w:hint="cs"/>
          <w:sz w:val="28"/>
          <w:rtl/>
          <w:lang w:bidi="ar-SY"/>
        </w:rPr>
        <w:t>)</w:t>
      </w:r>
      <w:r w:rsidRPr="003F3B94">
        <w:rPr>
          <w:rFonts w:ascii="Abo-thar" w:hAnsi="Abo-thar" w:hint="cs"/>
          <w:sz w:val="28"/>
          <w:rtl/>
          <w:lang w:bidi="ar-SY"/>
        </w:rPr>
        <w:t xml:space="preserve"> ونقل ما ذكره النجاشي وابن الغضائري عنه</w:t>
      </w:r>
      <w:r w:rsidR="00217AB4" w:rsidRPr="003F3B94">
        <w:rPr>
          <w:rFonts w:ascii="Abo-thar" w:hAnsi="Abo-thar" w:hint="cs"/>
          <w:sz w:val="28"/>
          <w:rtl/>
          <w:lang w:bidi="ar-SY"/>
        </w:rPr>
        <w:t>،</w:t>
      </w:r>
      <w:r w:rsidRPr="003F3B94">
        <w:rPr>
          <w:rFonts w:ascii="Abo-thar" w:hAnsi="Abo-thar" w:hint="cs"/>
          <w:sz w:val="28"/>
          <w:rtl/>
          <w:lang w:bidi="ar-SY"/>
        </w:rPr>
        <w:t xml:space="preserve"> وقال بعد عبارة </w:t>
      </w:r>
      <w:r w:rsidR="00217AB4" w:rsidRPr="003F3B94">
        <w:rPr>
          <w:rFonts w:ascii="Abo-thar" w:hAnsi="Abo-thar" w:hint="cs"/>
          <w:sz w:val="28"/>
          <w:rtl/>
          <w:lang w:bidi="ar-SY"/>
        </w:rPr>
        <w:t>(</w:t>
      </w:r>
      <w:r w:rsidRPr="003F3B94">
        <w:rPr>
          <w:rFonts w:ascii="Abo-thar" w:hAnsi="Abo-thar"/>
          <w:b/>
          <w:bCs/>
          <w:sz w:val="28"/>
          <w:rtl/>
          <w:lang w:bidi="ar-SY"/>
        </w:rPr>
        <w:t>و الأمر مل</w:t>
      </w:r>
      <w:r w:rsidRPr="003F3B94">
        <w:rPr>
          <w:rFonts w:ascii="Abo-thar" w:hAnsi="Abo-thar" w:hint="cs"/>
          <w:b/>
          <w:bCs/>
          <w:sz w:val="28"/>
          <w:rtl/>
          <w:lang w:bidi="ar-SY"/>
        </w:rPr>
        <w:t>ت</w:t>
      </w:r>
      <w:r w:rsidRPr="003F3B94">
        <w:rPr>
          <w:rFonts w:ascii="Abo-thar" w:hAnsi="Abo-thar"/>
          <w:b/>
          <w:bCs/>
          <w:sz w:val="28"/>
          <w:rtl/>
          <w:lang w:bidi="ar-SY"/>
        </w:rPr>
        <w:t>بس</w:t>
      </w:r>
      <w:r w:rsidRPr="003F3B94">
        <w:rPr>
          <w:rFonts w:ascii="Abo-thar" w:hAnsi="Abo-thar" w:hint="cs"/>
          <w:b/>
          <w:bCs/>
          <w:sz w:val="28"/>
          <w:rtl/>
          <w:lang w:bidi="ar-SY"/>
        </w:rPr>
        <w:t>ٌ</w:t>
      </w:r>
      <w:r w:rsidR="00217AB4" w:rsidRPr="003F3B94">
        <w:rPr>
          <w:rFonts w:ascii="Abo-thar" w:hAnsi="Abo-thar" w:hint="cs"/>
          <w:b/>
          <w:bCs/>
          <w:sz w:val="28"/>
          <w:rtl/>
          <w:lang w:bidi="ar-SY"/>
        </w:rPr>
        <w:t>):</w:t>
      </w:r>
      <w:r w:rsidRPr="003F3B94">
        <w:rPr>
          <w:rFonts w:ascii="Abo-thar" w:hAnsi="Abo-thar" w:hint="cs"/>
          <w:b/>
          <w:bCs/>
          <w:sz w:val="28"/>
          <w:rtl/>
          <w:lang w:bidi="ar-SY"/>
        </w:rPr>
        <w:t xml:space="preserve"> فلا أعتمد على شيء مما يرويه</w:t>
      </w:r>
      <w:r w:rsidR="00F51ADA" w:rsidRPr="0021507A">
        <w:rPr>
          <w:rFonts w:ascii="Abo-thar" w:hAnsi="Abo-thar" w:cs="Arabic11 BT"/>
          <w:b/>
          <w:sz w:val="28"/>
          <w:vertAlign w:val="superscript"/>
          <w:rtl/>
          <w:lang w:bidi="ar-SY"/>
        </w:rPr>
        <w:t>(</w:t>
      </w:r>
      <w:r w:rsidR="00F51ADA" w:rsidRPr="0021507A">
        <w:rPr>
          <w:rStyle w:val="FootnoteReference"/>
          <w:rFonts w:ascii="Abo-thar" w:hAnsi="Abo-thar" w:cs="Arabic11 BT"/>
          <w:b/>
          <w:sz w:val="28"/>
          <w:rtl/>
          <w:lang w:bidi="ar-SY"/>
        </w:rPr>
        <w:footnoteReference w:id="383"/>
      </w:r>
      <w:r w:rsidR="00F51ADA" w:rsidRPr="0021507A">
        <w:rPr>
          <w:rFonts w:ascii="Abo-thar" w:hAnsi="Abo-thar" w:cs="Arabic11 BT"/>
          <w:b/>
          <w:sz w:val="28"/>
          <w:vertAlign w:val="superscript"/>
          <w:rtl/>
          <w:lang w:bidi="ar-SY"/>
        </w:rPr>
        <w:t>)</w:t>
      </w:r>
      <w:r w:rsidR="00217AB4" w:rsidRPr="003F3B94">
        <w:rPr>
          <w:rFonts w:ascii="Abo-thar" w:hAnsi="Abo-thar" w:hint="cs"/>
          <w:b/>
          <w:bCs/>
          <w:sz w:val="28"/>
          <w:rtl/>
          <w:lang w:bidi="ar-SY"/>
        </w:rPr>
        <w:t>.</w:t>
      </w:r>
    </w:p>
    <w:p w:rsidR="005C664D" w:rsidRPr="003F3B94" w:rsidRDefault="005C664D" w:rsidP="00EF714D">
      <w:pPr>
        <w:pStyle w:val="a0"/>
        <w:ind w:left="624" w:hanging="340"/>
        <w:rPr>
          <w:rFonts w:hint="cs"/>
          <w:rtl/>
          <w:lang w:bidi="ar-SY"/>
        </w:rPr>
      </w:pPr>
      <w:r w:rsidRPr="003F3B94">
        <w:rPr>
          <w:rFonts w:ascii="Abo-thar" w:hAnsi="Abo-thar" w:hint="cs"/>
          <w:sz w:val="28"/>
          <w:rtl/>
          <w:lang w:bidi="ar-SY"/>
        </w:rPr>
        <w:t>د</w:t>
      </w:r>
      <w:r w:rsidR="00217AB4" w:rsidRPr="003F3B94">
        <w:rPr>
          <w:rFonts w:ascii="Abo-thar" w:hAnsi="Abo-thar" w:hint="cs"/>
          <w:sz w:val="28"/>
          <w:rtl/>
          <w:lang w:bidi="ar-SY"/>
        </w:rPr>
        <w:t>-</w:t>
      </w:r>
      <w:r w:rsidRPr="003F3B94">
        <w:rPr>
          <w:rFonts w:ascii="Abo-thar" w:hAnsi="Abo-thar" w:hint="cs"/>
          <w:sz w:val="28"/>
          <w:rtl/>
          <w:lang w:bidi="ar-SY"/>
        </w:rPr>
        <w:t xml:space="preserve"> يروي الكشيّ في رجاله </w:t>
      </w:r>
      <w:r w:rsidR="00217AB4" w:rsidRPr="003F3B94">
        <w:rPr>
          <w:rFonts w:ascii="Abo-thar" w:hAnsi="Abo-thar" w:hint="cs"/>
          <w:sz w:val="28"/>
          <w:rtl/>
          <w:lang w:bidi="ar-SY"/>
        </w:rPr>
        <w:t>(</w:t>
      </w:r>
      <w:r w:rsidRPr="003F3B94">
        <w:rPr>
          <w:rFonts w:ascii="Abo-thar" w:hAnsi="Abo-thar" w:hint="cs"/>
          <w:sz w:val="28"/>
          <w:rtl/>
          <w:lang w:bidi="ar-SY"/>
        </w:rPr>
        <w:t>ص173</w:t>
      </w:r>
      <w:r w:rsidR="00217AB4" w:rsidRPr="003F3B94">
        <w:rPr>
          <w:rFonts w:ascii="Abo-thar" w:hAnsi="Abo-thar" w:hint="cs"/>
          <w:sz w:val="28"/>
          <w:rtl/>
          <w:lang w:bidi="ar-SY"/>
        </w:rPr>
        <w:t>)</w:t>
      </w:r>
      <w:r w:rsidRPr="003F3B94">
        <w:rPr>
          <w:rFonts w:ascii="Abo-thar" w:hAnsi="Abo-thar" w:hint="cs"/>
          <w:sz w:val="28"/>
          <w:rtl/>
          <w:lang w:bidi="ar-SY"/>
        </w:rPr>
        <w:t xml:space="preserve"> روايةً عن </w:t>
      </w:r>
      <w:r w:rsidRPr="003F3B94">
        <w:rPr>
          <w:rFonts w:ascii="Abo-thar" w:hAnsi="Abo-thar"/>
          <w:sz w:val="28"/>
          <w:rtl/>
          <w:lang w:bidi="ar-SY"/>
        </w:rPr>
        <w:t xml:space="preserve">«عمرو بن شمر» </w:t>
      </w:r>
      <w:r w:rsidRPr="003F3B94">
        <w:rPr>
          <w:rFonts w:ascii="Abo-thar" w:hAnsi="Abo-thar" w:hint="cs"/>
          <w:sz w:val="28"/>
          <w:rtl/>
          <w:lang w:bidi="ar-SY"/>
        </w:rPr>
        <w:t>يرويها عن</w:t>
      </w:r>
      <w:r w:rsidRPr="003F3B94">
        <w:rPr>
          <w:rFonts w:ascii="Abo-thar" w:hAnsi="Abo-thar"/>
          <w:sz w:val="28"/>
          <w:rtl/>
          <w:lang w:bidi="ar-SY"/>
        </w:rPr>
        <w:t xml:space="preserve"> جابر بن يزيد</w:t>
      </w:r>
      <w:r w:rsidR="00217AB4" w:rsidRPr="003F3B94">
        <w:rPr>
          <w:rFonts w:ascii="Abo-thar" w:hAnsi="Abo-thar" w:hint="cs"/>
          <w:sz w:val="28"/>
          <w:rtl/>
          <w:lang w:bidi="ar-SY"/>
        </w:rPr>
        <w:t>،</w:t>
      </w:r>
      <w:r w:rsidRPr="003F3B94">
        <w:rPr>
          <w:rFonts w:ascii="Abo-thar" w:hAnsi="Abo-thar" w:hint="cs"/>
          <w:sz w:val="28"/>
          <w:rtl/>
          <w:lang w:bidi="ar-SY"/>
        </w:rPr>
        <w:t xml:space="preserve"> ثم يقول في آخر الرواية</w:t>
      </w:r>
      <w:r w:rsidR="00217AB4" w:rsidRPr="003F3B94">
        <w:rPr>
          <w:rFonts w:ascii="Abo-thar" w:hAnsi="Abo-thar" w:hint="cs"/>
          <w:sz w:val="28"/>
          <w:rtl/>
          <w:lang w:bidi="ar-SY"/>
        </w:rPr>
        <w:t>:</w:t>
      </w:r>
      <w:r w:rsidRPr="003F3B94">
        <w:rPr>
          <w:rFonts w:ascii="Abo-thar" w:hAnsi="Abo-thar" w:hint="cs"/>
          <w:sz w:val="28"/>
          <w:rtl/>
          <w:lang w:bidi="ar-SY"/>
        </w:rPr>
        <w:t xml:space="preserve"> </w:t>
      </w:r>
      <w:r w:rsidR="00EF2588" w:rsidRPr="00394385">
        <w:rPr>
          <w:rFonts w:ascii="Abo-thar" w:hAnsi="Abo-thar" w:cs="KFGQPC Uthman Taha Naskh" w:hint="cs"/>
          <w:sz w:val="28"/>
          <w:rtl/>
          <w:lang w:bidi="ar-SY"/>
        </w:rPr>
        <w:t>«</w:t>
      </w:r>
      <w:r w:rsidRPr="00394385">
        <w:rPr>
          <w:rFonts w:ascii="Abo-thar" w:hAnsi="Abo-thar" w:cs="KFGQPC Uthman Taha Naskh"/>
          <w:b/>
          <w:bCs/>
          <w:sz w:val="28"/>
          <w:rtl/>
          <w:lang w:bidi="ar-SY"/>
        </w:rPr>
        <w:t>هَذَا حَدِيثٌ مَوْضُوعٌ لَا</w:t>
      </w:r>
      <w:r w:rsidRPr="00394385">
        <w:rPr>
          <w:rFonts w:cs="Times New Roman" w:hint="cs"/>
          <w:b/>
          <w:bCs/>
          <w:sz w:val="28"/>
          <w:rtl/>
          <w:lang w:bidi="ar-SY"/>
        </w:rPr>
        <w:t> </w:t>
      </w:r>
      <w:r w:rsidRPr="00394385">
        <w:rPr>
          <w:rFonts w:ascii="Abo-thar" w:hAnsi="Abo-thar" w:cs="KFGQPC Uthman Taha Naskh"/>
          <w:b/>
          <w:bCs/>
          <w:sz w:val="28"/>
          <w:rtl/>
          <w:lang w:bidi="ar-SY"/>
        </w:rPr>
        <w:t>شَكَّ فِي كَذِبِهِ وَرُوَاتُهُ كُلُّهُمْ مُتَّهَمُونَ بِالْغُلُوِّ وَالتَّفْوِيض</w:t>
      </w:r>
      <w:r w:rsidR="00EF2588" w:rsidRPr="00394385">
        <w:rPr>
          <w:rFonts w:ascii="Abo-thar" w:hAnsi="Abo-thar" w:cs="KFGQPC Uthman Taha Naskh" w:hint="cs"/>
          <w:sz w:val="28"/>
          <w:rtl/>
          <w:lang w:bidi="ar-SY"/>
        </w:rPr>
        <w:t>»</w:t>
      </w:r>
      <w:r w:rsidR="00217AB4" w:rsidRPr="0021507A">
        <w:rPr>
          <w:rFonts w:cs="Arabic11 BT"/>
          <w:b/>
          <w:sz w:val="28"/>
          <w:vertAlign w:val="superscript"/>
          <w:rtl/>
          <w:lang w:bidi="ar-SY"/>
        </w:rPr>
        <w:t>(</w:t>
      </w:r>
      <w:r w:rsidRPr="0021507A">
        <w:rPr>
          <w:rStyle w:val="FootnoteReference"/>
          <w:rFonts w:cs="Arabic11 BT"/>
          <w:b/>
          <w:sz w:val="28"/>
          <w:rtl/>
          <w:lang w:bidi="ar-SY"/>
        </w:rPr>
        <w:footnoteReference w:id="384"/>
      </w:r>
      <w:r w:rsidR="00217AB4" w:rsidRPr="0021507A">
        <w:rPr>
          <w:rFonts w:cs="Arabic11 BT"/>
          <w:b/>
          <w:sz w:val="28"/>
          <w:vertAlign w:val="superscript"/>
          <w:rtl/>
          <w:lang w:bidi="ar-SY"/>
        </w:rPr>
        <w:t>)</w:t>
      </w:r>
      <w:r w:rsidR="00217AB4" w:rsidRPr="003F3B94">
        <w:rPr>
          <w:rFonts w:hint="cs"/>
          <w:sz w:val="28"/>
          <w:rtl/>
          <w:lang w:bidi="ar-SY"/>
        </w:rPr>
        <w:t>.</w:t>
      </w:r>
    </w:p>
    <w:p w:rsidR="005C664D" w:rsidRPr="003F3B94" w:rsidRDefault="00EF714D" w:rsidP="00EF714D">
      <w:pPr>
        <w:pStyle w:val="a0"/>
        <w:ind w:left="624" w:hanging="340"/>
        <w:rPr>
          <w:rFonts w:hint="cs"/>
          <w:rtl/>
          <w:lang w:bidi="ar-SY"/>
        </w:rPr>
      </w:pPr>
      <w:r>
        <w:rPr>
          <w:rFonts w:hint="cs"/>
          <w:sz w:val="28"/>
          <w:rtl/>
          <w:lang w:bidi="ar-SY"/>
        </w:rPr>
        <w:t>هـ</w:t>
      </w:r>
      <w:r w:rsidR="00217AB4" w:rsidRPr="003F3B94">
        <w:rPr>
          <w:rFonts w:hint="cs"/>
          <w:sz w:val="28"/>
          <w:rtl/>
          <w:lang w:bidi="ar-SY"/>
        </w:rPr>
        <w:t>-</w:t>
      </w:r>
      <w:r w:rsidR="005C664D" w:rsidRPr="003F3B94">
        <w:rPr>
          <w:rFonts w:hint="cs"/>
          <w:sz w:val="28"/>
          <w:rtl/>
          <w:lang w:bidi="ar-SY"/>
        </w:rPr>
        <w:t xml:space="preserve"> واعتبره العلامة المجلسي في </w:t>
      </w:r>
      <w:r w:rsidR="005C664D" w:rsidRPr="003F3B94">
        <w:rPr>
          <w:rFonts w:ascii="Abo-thar" w:hAnsi="Abo-thar"/>
          <w:sz w:val="28"/>
          <w:rtl/>
          <w:lang w:bidi="ar-SY"/>
        </w:rPr>
        <w:t>«</w:t>
      </w:r>
      <w:r w:rsidR="005C664D" w:rsidRPr="003F3B94">
        <w:rPr>
          <w:rFonts w:ascii="Abo-thar" w:hAnsi="Abo-thar" w:hint="cs"/>
          <w:sz w:val="28"/>
          <w:rtl/>
          <w:lang w:bidi="ar-SY"/>
        </w:rPr>
        <w:t>الوجيزة</w:t>
      </w:r>
      <w:r w:rsidR="005C664D" w:rsidRPr="003F3B94">
        <w:rPr>
          <w:rFonts w:ascii="Abo-thar" w:hAnsi="Abo-thar"/>
          <w:sz w:val="28"/>
          <w:rtl/>
          <w:lang w:bidi="ar-SY"/>
        </w:rPr>
        <w:t>»</w:t>
      </w:r>
      <w:r w:rsidR="00147857" w:rsidRPr="003F3B94">
        <w:rPr>
          <w:sz w:val="28"/>
          <w:rtl/>
          <w:lang w:bidi="ar-SY"/>
        </w:rPr>
        <w:t xml:space="preserve"> </w:t>
      </w:r>
      <w:r w:rsidR="005C664D" w:rsidRPr="003F3B94">
        <w:rPr>
          <w:rFonts w:hint="cs"/>
          <w:sz w:val="28"/>
          <w:rtl/>
          <w:lang w:bidi="ar-SY"/>
        </w:rPr>
        <w:t xml:space="preserve">وفي </w:t>
      </w:r>
      <w:r w:rsidR="005C664D" w:rsidRPr="003F3B94">
        <w:rPr>
          <w:rFonts w:ascii="Abo-thar" w:hAnsi="Abo-thar"/>
          <w:sz w:val="28"/>
          <w:rtl/>
          <w:lang w:bidi="ar-SY"/>
        </w:rPr>
        <w:t>«</w:t>
      </w:r>
      <w:r w:rsidR="005C664D" w:rsidRPr="003F3B94">
        <w:rPr>
          <w:rFonts w:ascii="Abo-thar" w:hAnsi="Abo-thar" w:hint="cs"/>
          <w:sz w:val="28"/>
          <w:rtl/>
          <w:lang w:bidi="ar-SY"/>
        </w:rPr>
        <w:t>مرآة العقول</w:t>
      </w:r>
      <w:r w:rsidR="005C664D" w:rsidRPr="003F3B94">
        <w:rPr>
          <w:rFonts w:ascii="Abo-thar" w:hAnsi="Abo-thar"/>
          <w:sz w:val="28"/>
          <w:rtl/>
          <w:lang w:bidi="ar-SY"/>
        </w:rPr>
        <w:t>»</w:t>
      </w:r>
      <w:r w:rsidR="005C664D" w:rsidRPr="003F3B94">
        <w:rPr>
          <w:rFonts w:ascii="Abo-thar" w:hAnsi="Abo-thar" w:hint="cs"/>
          <w:sz w:val="28"/>
          <w:rtl/>
          <w:lang w:bidi="ar-SY"/>
        </w:rPr>
        <w:t xml:space="preserve"> ضعيفاً وقال</w:t>
      </w:r>
      <w:r w:rsidR="00217AB4" w:rsidRPr="003F3B94">
        <w:rPr>
          <w:rFonts w:ascii="Abo-thar" w:hAnsi="Abo-thar" w:hint="cs"/>
          <w:sz w:val="28"/>
          <w:rtl/>
          <w:lang w:bidi="ar-SY"/>
        </w:rPr>
        <w:t>:</w:t>
      </w:r>
      <w:r w:rsidR="005C664D" w:rsidRPr="003F3B94">
        <w:rPr>
          <w:rFonts w:ascii="Abo-thar" w:hAnsi="Abo-thar" w:hint="cs"/>
          <w:sz w:val="28"/>
          <w:rtl/>
          <w:lang w:bidi="ar-SY"/>
        </w:rPr>
        <w:t xml:space="preserve"> </w:t>
      </w:r>
      <w:r w:rsidR="00EF2588" w:rsidRPr="003F3B94">
        <w:rPr>
          <w:rFonts w:ascii="Abo-thar" w:hAnsi="Abo-thar" w:hint="cs"/>
          <w:sz w:val="28"/>
          <w:rtl/>
          <w:lang w:bidi="ar-SY"/>
        </w:rPr>
        <w:t>«</w:t>
      </w:r>
      <w:r w:rsidR="005C664D" w:rsidRPr="003F3B94">
        <w:rPr>
          <w:rFonts w:ascii="Abo-thar" w:hAnsi="Abo-thar" w:hint="cs"/>
          <w:b/>
          <w:bCs/>
          <w:sz w:val="28"/>
          <w:rtl/>
          <w:lang w:bidi="ar-SY"/>
        </w:rPr>
        <w:t>وكان ضعفه مما لا مرية فيه</w:t>
      </w:r>
      <w:r w:rsidR="00EF2588" w:rsidRPr="003F3B94">
        <w:rPr>
          <w:rFonts w:ascii="Abo-thar" w:hAnsi="Abo-thar" w:hint="cs"/>
          <w:sz w:val="28"/>
          <w:rtl/>
          <w:lang w:bidi="ar-SY"/>
        </w:rPr>
        <w:t>»</w:t>
      </w:r>
      <w:r w:rsidR="00217AB4" w:rsidRPr="003F3B94">
        <w:rPr>
          <w:rFonts w:ascii="Abo-thar" w:hAnsi="Abo-thar" w:hint="cs"/>
          <w:sz w:val="28"/>
          <w:rtl/>
          <w:lang w:bidi="ar-SY"/>
        </w:rPr>
        <w:t>.</w:t>
      </w:r>
    </w:p>
    <w:p w:rsidR="005C664D" w:rsidRPr="003F3B94" w:rsidRDefault="005C664D" w:rsidP="00EF714D">
      <w:pPr>
        <w:pStyle w:val="a0"/>
        <w:ind w:left="624" w:hanging="340"/>
        <w:rPr>
          <w:rFonts w:hint="cs"/>
          <w:rtl/>
          <w:lang w:bidi="ar-SY"/>
        </w:rPr>
      </w:pPr>
      <w:r w:rsidRPr="003F3B94">
        <w:rPr>
          <w:rFonts w:ascii="Abo-thar" w:hAnsi="Abo-thar" w:hint="cs"/>
          <w:sz w:val="28"/>
          <w:rtl/>
          <w:lang w:bidi="ar-SY"/>
        </w:rPr>
        <w:t>و</w:t>
      </w:r>
      <w:r w:rsidR="00217AB4" w:rsidRPr="003F3B94">
        <w:rPr>
          <w:rFonts w:ascii="Abo-thar" w:hAnsi="Abo-thar" w:hint="cs"/>
          <w:sz w:val="28"/>
          <w:rtl/>
          <w:lang w:bidi="ar-SY"/>
        </w:rPr>
        <w:t>-</w:t>
      </w:r>
      <w:r w:rsidRPr="003F3B94">
        <w:rPr>
          <w:rFonts w:ascii="Abo-thar" w:hAnsi="Abo-thar" w:hint="cs"/>
          <w:sz w:val="28"/>
          <w:rtl/>
          <w:lang w:bidi="ar-SY"/>
        </w:rPr>
        <w:t xml:space="preserve"> وأورده ابن أبي داود في الباب الثاني من رجاله الخاص بالمجروحين والمجهولين</w:t>
      </w:r>
      <w:r w:rsidR="00217AB4" w:rsidRPr="003F3B94">
        <w:rPr>
          <w:rFonts w:ascii="Abo-thar" w:hAnsi="Abo-thar" w:hint="cs"/>
          <w:sz w:val="28"/>
          <w:rtl/>
          <w:lang w:bidi="ar-SY"/>
        </w:rPr>
        <w:t>.</w:t>
      </w:r>
    </w:p>
    <w:p w:rsidR="005C664D" w:rsidRPr="003F3B94" w:rsidRDefault="005C664D" w:rsidP="003F3B94">
      <w:pPr>
        <w:pStyle w:val="a0"/>
        <w:rPr>
          <w:rFonts w:hint="cs"/>
          <w:rtl/>
        </w:rPr>
      </w:pPr>
      <w:r w:rsidRPr="003F3B94">
        <w:rPr>
          <w:rFonts w:ascii="Abo-thar" w:hAnsi="Abo-thar" w:hint="cs"/>
          <w:sz w:val="28"/>
          <w:rtl/>
          <w:lang w:bidi="ar-SY"/>
        </w:rPr>
        <w:t xml:space="preserve">أما بالنسبة إلى </w:t>
      </w:r>
      <w:r w:rsidRPr="003F3B94">
        <w:rPr>
          <w:rFonts w:ascii="Abo-thar" w:hAnsi="Abo-thar"/>
          <w:sz w:val="28"/>
          <w:rtl/>
          <w:lang w:bidi="ar-SY"/>
        </w:rPr>
        <w:t>«</w:t>
      </w:r>
      <w:r w:rsidRPr="003F3B94">
        <w:rPr>
          <w:rFonts w:ascii="Abo-thar" w:hAnsi="Abo-thar"/>
          <w:b/>
          <w:bCs/>
          <w:sz w:val="28"/>
          <w:rtl/>
          <w:lang w:bidi="ar-SY"/>
        </w:rPr>
        <w:t>جَابِرِ بْنِ يَزِيدَ الجُعْفِي</w:t>
      </w:r>
      <w:r w:rsidRPr="003F3B94">
        <w:rPr>
          <w:rFonts w:ascii="Abo-thar" w:hAnsi="Abo-thar" w:hint="cs"/>
          <w:b/>
          <w:bCs/>
          <w:sz w:val="28"/>
          <w:rtl/>
          <w:lang w:bidi="ar-SY"/>
        </w:rPr>
        <w:t>ِّ</w:t>
      </w:r>
      <w:r w:rsidRPr="003F3B94">
        <w:rPr>
          <w:rFonts w:ascii="Abo-thar" w:hAnsi="Abo-thar"/>
          <w:sz w:val="28"/>
          <w:rtl/>
          <w:lang w:bidi="ar-SY"/>
        </w:rPr>
        <w:t>‏</w:t>
      </w:r>
      <w:r w:rsidRPr="003F3B94">
        <w:rPr>
          <w:rFonts w:ascii="Abo-thar" w:hAnsi="Abo-thar" w:hint="cs"/>
          <w:sz w:val="28"/>
          <w:rtl/>
          <w:lang w:bidi="ar-SY"/>
        </w:rPr>
        <w:t>ِّ</w:t>
      </w:r>
      <w:r w:rsidRPr="003F3B94">
        <w:rPr>
          <w:rFonts w:ascii="Abo-thar" w:hAnsi="Abo-thar"/>
          <w:sz w:val="28"/>
          <w:rtl/>
          <w:lang w:bidi="ar-SY"/>
        </w:rPr>
        <w:t>»</w:t>
      </w:r>
      <w:r w:rsidR="00217AB4" w:rsidRPr="003F3B94">
        <w:rPr>
          <w:rFonts w:hint="cs"/>
          <w:sz w:val="28"/>
          <w:rtl/>
          <w:lang w:bidi="ar-SY"/>
        </w:rPr>
        <w:t>:</w:t>
      </w:r>
      <w:r w:rsidRPr="003F3B94">
        <w:rPr>
          <w:rFonts w:hint="cs"/>
          <w:sz w:val="28"/>
          <w:rtl/>
          <w:lang w:bidi="ar-SY"/>
        </w:rPr>
        <w:t xml:space="preserve"> </w:t>
      </w:r>
    </w:p>
    <w:p w:rsidR="005C664D" w:rsidRPr="003F3B94" w:rsidRDefault="005C664D" w:rsidP="00EF714D">
      <w:pPr>
        <w:pStyle w:val="a0"/>
        <w:ind w:left="624" w:hanging="340"/>
        <w:rPr>
          <w:rFonts w:hint="cs"/>
          <w:rtl/>
          <w:lang w:bidi="ar-SY"/>
        </w:rPr>
      </w:pPr>
      <w:r w:rsidRPr="003F3B94">
        <w:rPr>
          <w:rFonts w:hint="cs"/>
          <w:sz w:val="28"/>
          <w:rtl/>
        </w:rPr>
        <w:t>ألف</w:t>
      </w:r>
      <w:r w:rsidR="00217AB4" w:rsidRPr="003F3B94">
        <w:rPr>
          <w:rFonts w:hint="cs"/>
          <w:sz w:val="28"/>
          <w:rtl/>
        </w:rPr>
        <w:t>-</w:t>
      </w:r>
      <w:r w:rsidRPr="003F3B94">
        <w:rPr>
          <w:rFonts w:hint="cs"/>
          <w:sz w:val="28"/>
          <w:rtl/>
        </w:rPr>
        <w:t xml:space="preserve"> </w:t>
      </w:r>
      <w:r w:rsidRPr="003F3B94">
        <w:rPr>
          <w:rFonts w:hint="eastAsia"/>
          <w:sz w:val="28"/>
          <w:rtl/>
        </w:rPr>
        <w:t>قال</w:t>
      </w:r>
      <w:r w:rsidRPr="003F3B94">
        <w:rPr>
          <w:sz w:val="28"/>
          <w:rtl/>
        </w:rPr>
        <w:t xml:space="preserve"> </w:t>
      </w:r>
      <w:r w:rsidRPr="003F3B94">
        <w:rPr>
          <w:rFonts w:hint="eastAsia"/>
          <w:sz w:val="28"/>
          <w:rtl/>
        </w:rPr>
        <w:t>عنه</w:t>
      </w:r>
      <w:r w:rsidRPr="003F3B94">
        <w:rPr>
          <w:sz w:val="28"/>
          <w:rtl/>
        </w:rPr>
        <w:t xml:space="preserve"> </w:t>
      </w:r>
      <w:r w:rsidRPr="003F3B94">
        <w:rPr>
          <w:rFonts w:hint="eastAsia"/>
          <w:sz w:val="28"/>
          <w:rtl/>
        </w:rPr>
        <w:t>النجاشي</w:t>
      </w:r>
      <w:r w:rsidRPr="003F3B94">
        <w:rPr>
          <w:rFonts w:hint="cs"/>
          <w:sz w:val="28"/>
          <w:rtl/>
        </w:rPr>
        <w:t xml:space="preserve"> في رجاله </w:t>
      </w:r>
      <w:r w:rsidR="00217AB4" w:rsidRPr="003F3B94">
        <w:rPr>
          <w:rFonts w:hint="cs"/>
          <w:sz w:val="28"/>
          <w:rtl/>
        </w:rPr>
        <w:t>(</w:t>
      </w:r>
      <w:r w:rsidRPr="003F3B94">
        <w:rPr>
          <w:rFonts w:hint="cs"/>
          <w:sz w:val="28"/>
          <w:rtl/>
        </w:rPr>
        <w:t>ص99</w:t>
      </w:r>
      <w:r w:rsidR="00217AB4" w:rsidRPr="003F3B94">
        <w:rPr>
          <w:rFonts w:hint="cs"/>
          <w:sz w:val="28"/>
          <w:rtl/>
        </w:rPr>
        <w:t>)</w:t>
      </w:r>
      <w:r w:rsidR="00217AB4" w:rsidRPr="003F3B94">
        <w:rPr>
          <w:sz w:val="28"/>
          <w:rtl/>
        </w:rPr>
        <w:t>:</w:t>
      </w:r>
      <w:r w:rsidRPr="003F3B94">
        <w:rPr>
          <w:sz w:val="28"/>
          <w:rtl/>
        </w:rPr>
        <w:t xml:space="preserve"> </w:t>
      </w:r>
      <w:r w:rsidR="00EF2588" w:rsidRPr="003F3B94">
        <w:rPr>
          <w:sz w:val="28"/>
          <w:rtl/>
        </w:rPr>
        <w:t>«</w:t>
      </w:r>
      <w:r w:rsidRPr="003F3B94">
        <w:rPr>
          <w:rFonts w:hint="eastAsia"/>
          <w:b/>
          <w:bCs/>
          <w:sz w:val="28"/>
          <w:rtl/>
        </w:rPr>
        <w:t>روى</w:t>
      </w:r>
      <w:r w:rsidRPr="003F3B94">
        <w:rPr>
          <w:b/>
          <w:bCs/>
          <w:sz w:val="28"/>
          <w:rtl/>
        </w:rPr>
        <w:t xml:space="preserve"> </w:t>
      </w:r>
      <w:r w:rsidRPr="003F3B94">
        <w:rPr>
          <w:rFonts w:hint="eastAsia"/>
          <w:b/>
          <w:bCs/>
          <w:sz w:val="28"/>
          <w:rtl/>
        </w:rPr>
        <w:t>عنه</w:t>
      </w:r>
      <w:r w:rsidRPr="003F3B94">
        <w:rPr>
          <w:b/>
          <w:bCs/>
          <w:sz w:val="28"/>
          <w:rtl/>
        </w:rPr>
        <w:t xml:space="preserve"> </w:t>
      </w:r>
      <w:r w:rsidRPr="003F3B94">
        <w:rPr>
          <w:rFonts w:hint="eastAsia"/>
          <w:b/>
          <w:bCs/>
          <w:sz w:val="28"/>
          <w:rtl/>
        </w:rPr>
        <w:t>جماعةٌ</w:t>
      </w:r>
      <w:r w:rsidRPr="003F3B94">
        <w:rPr>
          <w:b/>
          <w:bCs/>
          <w:sz w:val="28"/>
          <w:rtl/>
        </w:rPr>
        <w:t xml:space="preserve"> </w:t>
      </w:r>
      <w:r w:rsidRPr="003F3B94">
        <w:rPr>
          <w:rFonts w:hint="eastAsia"/>
          <w:b/>
          <w:bCs/>
          <w:sz w:val="28"/>
          <w:rtl/>
        </w:rPr>
        <w:t>غُمِزَ</w:t>
      </w:r>
      <w:r w:rsidRPr="003F3B94">
        <w:rPr>
          <w:b/>
          <w:bCs/>
          <w:sz w:val="28"/>
          <w:rtl/>
        </w:rPr>
        <w:t xml:space="preserve"> </w:t>
      </w:r>
      <w:r w:rsidRPr="003F3B94">
        <w:rPr>
          <w:rFonts w:hint="eastAsia"/>
          <w:b/>
          <w:bCs/>
          <w:sz w:val="28"/>
          <w:rtl/>
        </w:rPr>
        <w:t>فيهم</w:t>
      </w:r>
      <w:r w:rsidRPr="003F3B94">
        <w:rPr>
          <w:b/>
          <w:bCs/>
          <w:sz w:val="28"/>
          <w:rtl/>
        </w:rPr>
        <w:t xml:space="preserve"> </w:t>
      </w:r>
      <w:r w:rsidRPr="003F3B94">
        <w:rPr>
          <w:rFonts w:hint="eastAsia"/>
          <w:b/>
          <w:bCs/>
          <w:sz w:val="28"/>
          <w:rtl/>
        </w:rPr>
        <w:t>وضُعِّفُوا</w:t>
      </w:r>
      <w:r w:rsidR="00217AB4" w:rsidRPr="003F3B94">
        <w:rPr>
          <w:rFonts w:hint="eastAsia"/>
          <w:b/>
          <w:bCs/>
          <w:sz w:val="28"/>
          <w:rtl/>
        </w:rPr>
        <w:t>،</w:t>
      </w:r>
      <w:r w:rsidRPr="003F3B94">
        <w:rPr>
          <w:b/>
          <w:bCs/>
          <w:sz w:val="28"/>
          <w:rtl/>
        </w:rPr>
        <w:t xml:space="preserve"> </w:t>
      </w:r>
      <w:r w:rsidRPr="003F3B94">
        <w:rPr>
          <w:rFonts w:hint="eastAsia"/>
          <w:b/>
          <w:bCs/>
          <w:sz w:val="28"/>
          <w:rtl/>
        </w:rPr>
        <w:t>منهم</w:t>
      </w:r>
      <w:r w:rsidR="00217AB4" w:rsidRPr="003F3B94">
        <w:rPr>
          <w:b/>
          <w:bCs/>
          <w:sz w:val="28"/>
          <w:rtl/>
        </w:rPr>
        <w:t>:</w:t>
      </w:r>
      <w:r w:rsidRPr="003F3B94">
        <w:rPr>
          <w:b/>
          <w:bCs/>
          <w:sz w:val="28"/>
          <w:rtl/>
        </w:rPr>
        <w:t xml:space="preserve"> </w:t>
      </w:r>
      <w:r w:rsidRPr="003F3B94">
        <w:rPr>
          <w:rFonts w:hint="eastAsia"/>
          <w:b/>
          <w:bCs/>
          <w:sz w:val="28"/>
          <w:rtl/>
        </w:rPr>
        <w:t>عمرو</w:t>
      </w:r>
      <w:r w:rsidRPr="003F3B94">
        <w:rPr>
          <w:b/>
          <w:bCs/>
          <w:sz w:val="28"/>
          <w:rtl/>
        </w:rPr>
        <w:t xml:space="preserve"> </w:t>
      </w:r>
      <w:r w:rsidRPr="003F3B94">
        <w:rPr>
          <w:rFonts w:hint="eastAsia"/>
          <w:b/>
          <w:bCs/>
          <w:sz w:val="28"/>
          <w:rtl/>
        </w:rPr>
        <w:t>بن</w:t>
      </w:r>
      <w:r w:rsidRPr="003F3B94">
        <w:rPr>
          <w:b/>
          <w:bCs/>
          <w:sz w:val="28"/>
          <w:rtl/>
        </w:rPr>
        <w:t xml:space="preserve"> </w:t>
      </w:r>
      <w:r w:rsidRPr="003F3B94">
        <w:rPr>
          <w:rFonts w:hint="eastAsia"/>
          <w:b/>
          <w:bCs/>
          <w:sz w:val="28"/>
          <w:rtl/>
        </w:rPr>
        <w:t>شمر</w:t>
      </w:r>
      <w:r w:rsidR="00217AB4" w:rsidRPr="003F3B94">
        <w:rPr>
          <w:rFonts w:hint="eastAsia"/>
          <w:b/>
          <w:bCs/>
          <w:sz w:val="28"/>
          <w:rtl/>
        </w:rPr>
        <w:t>،</w:t>
      </w:r>
      <w:r w:rsidRPr="003F3B94">
        <w:rPr>
          <w:b/>
          <w:bCs/>
          <w:sz w:val="28"/>
          <w:rtl/>
        </w:rPr>
        <w:t xml:space="preserve"> </w:t>
      </w:r>
      <w:r w:rsidRPr="003F3B94">
        <w:rPr>
          <w:rFonts w:hint="eastAsia"/>
          <w:b/>
          <w:bCs/>
          <w:sz w:val="28"/>
          <w:rtl/>
        </w:rPr>
        <w:t>ومفضل</w:t>
      </w:r>
      <w:r w:rsidRPr="003F3B94">
        <w:rPr>
          <w:b/>
          <w:bCs/>
          <w:sz w:val="28"/>
          <w:rtl/>
        </w:rPr>
        <w:t xml:space="preserve"> </w:t>
      </w:r>
      <w:r w:rsidRPr="003F3B94">
        <w:rPr>
          <w:rFonts w:hint="eastAsia"/>
          <w:b/>
          <w:bCs/>
          <w:sz w:val="28"/>
          <w:rtl/>
        </w:rPr>
        <w:t>بن</w:t>
      </w:r>
      <w:r w:rsidRPr="003F3B94">
        <w:rPr>
          <w:b/>
          <w:bCs/>
          <w:sz w:val="28"/>
          <w:rtl/>
        </w:rPr>
        <w:t xml:space="preserve"> </w:t>
      </w:r>
      <w:r w:rsidRPr="003F3B94">
        <w:rPr>
          <w:rFonts w:hint="eastAsia"/>
          <w:b/>
          <w:bCs/>
          <w:sz w:val="28"/>
          <w:rtl/>
        </w:rPr>
        <w:t>صالح</w:t>
      </w:r>
      <w:r w:rsidR="00217AB4" w:rsidRPr="003F3B94">
        <w:rPr>
          <w:rFonts w:hint="eastAsia"/>
          <w:b/>
          <w:bCs/>
          <w:sz w:val="28"/>
          <w:rtl/>
        </w:rPr>
        <w:t>،</w:t>
      </w:r>
      <w:r w:rsidRPr="003F3B94">
        <w:rPr>
          <w:b/>
          <w:bCs/>
          <w:sz w:val="28"/>
          <w:rtl/>
        </w:rPr>
        <w:t xml:space="preserve"> </w:t>
      </w:r>
      <w:r w:rsidRPr="003F3B94">
        <w:rPr>
          <w:rFonts w:hint="eastAsia"/>
          <w:b/>
          <w:bCs/>
          <w:sz w:val="28"/>
          <w:rtl/>
        </w:rPr>
        <w:t>ومنخل</w:t>
      </w:r>
      <w:r w:rsidRPr="003F3B94">
        <w:rPr>
          <w:b/>
          <w:bCs/>
          <w:sz w:val="28"/>
          <w:rtl/>
        </w:rPr>
        <w:t xml:space="preserve"> </w:t>
      </w:r>
      <w:r w:rsidRPr="003F3B94">
        <w:rPr>
          <w:rFonts w:hint="eastAsia"/>
          <w:b/>
          <w:bCs/>
          <w:sz w:val="28"/>
          <w:rtl/>
        </w:rPr>
        <w:t>بن</w:t>
      </w:r>
      <w:r w:rsidRPr="003F3B94">
        <w:rPr>
          <w:b/>
          <w:bCs/>
          <w:sz w:val="28"/>
          <w:rtl/>
        </w:rPr>
        <w:t xml:space="preserve"> </w:t>
      </w:r>
      <w:r w:rsidRPr="003F3B94">
        <w:rPr>
          <w:rFonts w:hint="eastAsia"/>
          <w:b/>
          <w:bCs/>
          <w:sz w:val="28"/>
          <w:rtl/>
        </w:rPr>
        <w:t>جميل</w:t>
      </w:r>
      <w:r w:rsidR="00217AB4" w:rsidRPr="003F3B94">
        <w:rPr>
          <w:rFonts w:hint="eastAsia"/>
          <w:b/>
          <w:bCs/>
          <w:sz w:val="28"/>
          <w:rtl/>
        </w:rPr>
        <w:t>،</w:t>
      </w:r>
      <w:r w:rsidRPr="003F3B94">
        <w:rPr>
          <w:b/>
          <w:bCs/>
          <w:sz w:val="28"/>
          <w:rtl/>
        </w:rPr>
        <w:t xml:space="preserve"> </w:t>
      </w:r>
      <w:r w:rsidRPr="003F3B94">
        <w:rPr>
          <w:rFonts w:hint="eastAsia"/>
          <w:b/>
          <w:bCs/>
          <w:sz w:val="28"/>
          <w:rtl/>
        </w:rPr>
        <w:t>ويوسف</w:t>
      </w:r>
      <w:r w:rsidRPr="003F3B94">
        <w:rPr>
          <w:b/>
          <w:bCs/>
          <w:sz w:val="28"/>
          <w:rtl/>
        </w:rPr>
        <w:t xml:space="preserve"> </w:t>
      </w:r>
      <w:r w:rsidRPr="003F3B94">
        <w:rPr>
          <w:rFonts w:hint="eastAsia"/>
          <w:b/>
          <w:bCs/>
          <w:sz w:val="28"/>
          <w:rtl/>
        </w:rPr>
        <w:t>بن</w:t>
      </w:r>
      <w:r w:rsidRPr="003F3B94">
        <w:rPr>
          <w:b/>
          <w:bCs/>
          <w:sz w:val="28"/>
          <w:rtl/>
        </w:rPr>
        <w:t xml:space="preserve"> </w:t>
      </w:r>
      <w:r w:rsidRPr="003F3B94">
        <w:rPr>
          <w:rFonts w:hint="eastAsia"/>
          <w:b/>
          <w:bCs/>
          <w:sz w:val="28"/>
          <w:rtl/>
        </w:rPr>
        <w:t>يعقوب</w:t>
      </w:r>
      <w:r w:rsidR="00217AB4" w:rsidRPr="003F3B94">
        <w:rPr>
          <w:b/>
          <w:bCs/>
          <w:sz w:val="28"/>
          <w:rtl/>
        </w:rPr>
        <w:t>.</w:t>
      </w:r>
      <w:r w:rsidRPr="003F3B94">
        <w:rPr>
          <w:b/>
          <w:bCs/>
          <w:sz w:val="28"/>
          <w:rtl/>
        </w:rPr>
        <w:t xml:space="preserve"> </w:t>
      </w:r>
      <w:r w:rsidRPr="003F3B94">
        <w:rPr>
          <w:rFonts w:hint="eastAsia"/>
          <w:b/>
          <w:bCs/>
          <w:sz w:val="28"/>
          <w:rtl/>
        </w:rPr>
        <w:t>وكان</w:t>
      </w:r>
      <w:r w:rsidRPr="003F3B94">
        <w:rPr>
          <w:b/>
          <w:bCs/>
          <w:sz w:val="28"/>
          <w:rtl/>
        </w:rPr>
        <w:t xml:space="preserve"> </w:t>
      </w:r>
      <w:r w:rsidRPr="003F3B94">
        <w:rPr>
          <w:rFonts w:hint="eastAsia"/>
          <w:b/>
          <w:bCs/>
          <w:sz w:val="28"/>
          <w:rtl/>
        </w:rPr>
        <w:t>في</w:t>
      </w:r>
      <w:r w:rsidRPr="003F3B94">
        <w:rPr>
          <w:b/>
          <w:bCs/>
          <w:sz w:val="28"/>
          <w:rtl/>
        </w:rPr>
        <w:t xml:space="preserve"> </w:t>
      </w:r>
      <w:r w:rsidRPr="003F3B94">
        <w:rPr>
          <w:rFonts w:hint="eastAsia"/>
          <w:b/>
          <w:bCs/>
          <w:sz w:val="28"/>
          <w:rtl/>
        </w:rPr>
        <w:t>نفسه</w:t>
      </w:r>
      <w:r w:rsidRPr="003F3B94">
        <w:rPr>
          <w:b/>
          <w:bCs/>
          <w:sz w:val="28"/>
          <w:rtl/>
        </w:rPr>
        <w:t xml:space="preserve"> </w:t>
      </w:r>
      <w:r w:rsidRPr="003F3B94">
        <w:rPr>
          <w:rFonts w:hint="eastAsia"/>
          <w:b/>
          <w:bCs/>
          <w:sz w:val="28"/>
          <w:rtl/>
        </w:rPr>
        <w:t>مختلطاً</w:t>
      </w:r>
      <w:r w:rsidR="00217AB4" w:rsidRPr="003F3B94">
        <w:rPr>
          <w:b/>
          <w:bCs/>
          <w:sz w:val="28"/>
          <w:rtl/>
        </w:rPr>
        <w:t>...</w:t>
      </w:r>
      <w:r w:rsidRPr="003F3B94">
        <w:rPr>
          <w:b/>
          <w:bCs/>
          <w:sz w:val="28"/>
          <w:rtl/>
        </w:rPr>
        <w:t xml:space="preserve"> </w:t>
      </w:r>
      <w:r w:rsidRPr="003F3B94">
        <w:rPr>
          <w:rFonts w:hint="eastAsia"/>
          <w:b/>
          <w:bCs/>
          <w:sz w:val="28"/>
          <w:rtl/>
        </w:rPr>
        <w:t>وقلَّ</w:t>
      </w:r>
      <w:r w:rsidRPr="003F3B94">
        <w:rPr>
          <w:b/>
          <w:bCs/>
          <w:sz w:val="28"/>
          <w:rtl/>
        </w:rPr>
        <w:t xml:space="preserve"> </w:t>
      </w:r>
      <w:r w:rsidRPr="003F3B94">
        <w:rPr>
          <w:rFonts w:hint="eastAsia"/>
          <w:b/>
          <w:bCs/>
          <w:sz w:val="28"/>
          <w:rtl/>
        </w:rPr>
        <w:t>ما</w:t>
      </w:r>
      <w:r w:rsidRPr="003F3B94">
        <w:rPr>
          <w:b/>
          <w:bCs/>
          <w:sz w:val="28"/>
          <w:rtl/>
        </w:rPr>
        <w:t xml:space="preserve"> </w:t>
      </w:r>
      <w:r w:rsidRPr="003F3B94">
        <w:rPr>
          <w:rFonts w:hint="eastAsia"/>
          <w:b/>
          <w:bCs/>
          <w:sz w:val="28"/>
          <w:rtl/>
        </w:rPr>
        <w:t>يورد</w:t>
      </w:r>
      <w:r w:rsidRPr="003F3B94">
        <w:rPr>
          <w:b/>
          <w:bCs/>
          <w:sz w:val="28"/>
          <w:rtl/>
        </w:rPr>
        <w:t xml:space="preserve"> </w:t>
      </w:r>
      <w:r w:rsidRPr="003F3B94">
        <w:rPr>
          <w:rFonts w:hint="eastAsia"/>
          <w:b/>
          <w:bCs/>
          <w:sz w:val="28"/>
          <w:rtl/>
        </w:rPr>
        <w:t>عنه</w:t>
      </w:r>
      <w:r w:rsidRPr="003F3B94">
        <w:rPr>
          <w:b/>
          <w:bCs/>
          <w:sz w:val="28"/>
          <w:rtl/>
        </w:rPr>
        <w:t xml:space="preserve"> </w:t>
      </w:r>
      <w:r w:rsidRPr="003F3B94">
        <w:rPr>
          <w:rFonts w:hint="eastAsia"/>
          <w:b/>
          <w:bCs/>
          <w:sz w:val="28"/>
          <w:rtl/>
        </w:rPr>
        <w:t>شيءٌ</w:t>
      </w:r>
      <w:r w:rsidRPr="003F3B94">
        <w:rPr>
          <w:b/>
          <w:bCs/>
          <w:sz w:val="28"/>
          <w:rtl/>
        </w:rPr>
        <w:t xml:space="preserve"> </w:t>
      </w:r>
      <w:r w:rsidRPr="003F3B94">
        <w:rPr>
          <w:rFonts w:hint="eastAsia"/>
          <w:b/>
          <w:bCs/>
          <w:sz w:val="28"/>
          <w:rtl/>
        </w:rPr>
        <w:t>في</w:t>
      </w:r>
      <w:r w:rsidRPr="003F3B94">
        <w:rPr>
          <w:b/>
          <w:bCs/>
          <w:sz w:val="28"/>
          <w:rtl/>
        </w:rPr>
        <w:t xml:space="preserve"> </w:t>
      </w:r>
      <w:r w:rsidRPr="003F3B94">
        <w:rPr>
          <w:rFonts w:hint="eastAsia"/>
          <w:b/>
          <w:bCs/>
          <w:sz w:val="28"/>
          <w:rtl/>
        </w:rPr>
        <w:t>الحلال</w:t>
      </w:r>
      <w:r w:rsidRPr="003F3B94">
        <w:rPr>
          <w:b/>
          <w:bCs/>
          <w:sz w:val="28"/>
          <w:rtl/>
        </w:rPr>
        <w:t xml:space="preserve"> </w:t>
      </w:r>
      <w:r w:rsidRPr="003F3B94">
        <w:rPr>
          <w:rFonts w:hint="eastAsia"/>
          <w:b/>
          <w:bCs/>
          <w:sz w:val="28"/>
          <w:rtl/>
        </w:rPr>
        <w:t>والحرام</w:t>
      </w:r>
      <w:r w:rsidR="00F456DF" w:rsidRPr="003F3B94">
        <w:rPr>
          <w:b/>
          <w:bCs/>
          <w:sz w:val="28"/>
          <w:rtl/>
        </w:rPr>
        <w:t>»</w:t>
      </w:r>
      <w:r w:rsidR="00F51ADA" w:rsidRPr="0021507A">
        <w:rPr>
          <w:rFonts w:cs="Arabic11 BT"/>
          <w:sz w:val="28"/>
          <w:vertAlign w:val="superscript"/>
          <w:rtl/>
        </w:rPr>
        <w:t>(</w:t>
      </w:r>
      <w:r w:rsidR="00F51ADA" w:rsidRPr="0021507A">
        <w:rPr>
          <w:rStyle w:val="FootnoteReference"/>
          <w:rFonts w:cs="Arabic11 BT"/>
          <w:sz w:val="28"/>
          <w:rtl/>
        </w:rPr>
        <w:footnoteReference w:id="385"/>
      </w:r>
      <w:r w:rsidR="00F51ADA" w:rsidRPr="0021507A">
        <w:rPr>
          <w:rFonts w:cs="Arabic11 BT"/>
          <w:sz w:val="28"/>
          <w:vertAlign w:val="superscript"/>
          <w:rtl/>
        </w:rPr>
        <w:t>)</w:t>
      </w:r>
      <w:r w:rsidR="00217AB4" w:rsidRPr="003F3B94">
        <w:rPr>
          <w:rFonts w:hint="cs"/>
          <w:sz w:val="28"/>
          <w:rtl/>
        </w:rPr>
        <w:t>.</w:t>
      </w:r>
    </w:p>
    <w:p w:rsidR="005C664D" w:rsidRPr="003F3B94" w:rsidRDefault="005C664D" w:rsidP="00EF714D">
      <w:pPr>
        <w:pStyle w:val="a0"/>
        <w:ind w:left="624" w:hanging="340"/>
        <w:rPr>
          <w:rFonts w:hint="cs"/>
          <w:rtl/>
          <w:lang w:bidi="ar-SY"/>
        </w:rPr>
      </w:pPr>
      <w:r w:rsidRPr="003F3B94">
        <w:rPr>
          <w:rFonts w:hint="cs"/>
          <w:sz w:val="28"/>
          <w:rtl/>
          <w:lang w:bidi="ar-SY"/>
        </w:rPr>
        <w:t xml:space="preserve">ب </w:t>
      </w:r>
      <w:r w:rsidR="00217AB4" w:rsidRPr="003F3B94">
        <w:rPr>
          <w:rFonts w:hint="cs"/>
          <w:sz w:val="28"/>
          <w:rtl/>
          <w:lang w:bidi="ar-SY"/>
        </w:rPr>
        <w:t>-</w:t>
      </w:r>
      <w:r w:rsidRPr="003F3B94">
        <w:rPr>
          <w:rFonts w:hint="cs"/>
          <w:sz w:val="28"/>
          <w:rtl/>
          <w:lang w:bidi="ar-SY"/>
        </w:rPr>
        <w:t xml:space="preserve"> </w:t>
      </w:r>
      <w:r w:rsidRPr="003F3B94">
        <w:rPr>
          <w:sz w:val="28"/>
          <w:rtl/>
          <w:lang w:bidi="ar-SY"/>
        </w:rPr>
        <w:t xml:space="preserve">وقال </w:t>
      </w:r>
      <w:r w:rsidRPr="003F3B94">
        <w:rPr>
          <w:rFonts w:hint="cs"/>
          <w:sz w:val="28"/>
          <w:rtl/>
          <w:lang w:bidi="ar-SY"/>
        </w:rPr>
        <w:t xml:space="preserve">عنه </w:t>
      </w:r>
      <w:r w:rsidRPr="003F3B94">
        <w:rPr>
          <w:sz w:val="28"/>
          <w:rtl/>
          <w:lang w:bidi="ar-SY"/>
        </w:rPr>
        <w:t>ابن الغضائري</w:t>
      </w:r>
      <w:r w:rsidR="00217AB4" w:rsidRPr="003F3B94">
        <w:rPr>
          <w:sz w:val="28"/>
          <w:rtl/>
          <w:lang w:bidi="ar-SY"/>
        </w:rPr>
        <w:t>:</w:t>
      </w:r>
      <w:r w:rsidRPr="003F3B94">
        <w:rPr>
          <w:sz w:val="28"/>
          <w:rtl/>
          <w:lang w:bidi="ar-SY"/>
        </w:rPr>
        <w:t xml:space="preserve"> </w:t>
      </w:r>
      <w:r w:rsidR="00EF2588" w:rsidRPr="003F3B94">
        <w:rPr>
          <w:sz w:val="28"/>
          <w:rtl/>
          <w:lang w:bidi="ar-SY"/>
        </w:rPr>
        <w:t>«</w:t>
      </w:r>
      <w:r w:rsidRPr="003F3B94">
        <w:rPr>
          <w:b/>
          <w:bCs/>
          <w:sz w:val="28"/>
          <w:rtl/>
          <w:lang w:bidi="ar-SY"/>
        </w:rPr>
        <w:t>إن جابر بن يزيد الجعفي الكوفي ثقة في نفسه</w:t>
      </w:r>
      <w:r w:rsidR="00217AB4" w:rsidRPr="003F3B94">
        <w:rPr>
          <w:b/>
          <w:bCs/>
          <w:sz w:val="28"/>
          <w:rtl/>
          <w:lang w:bidi="ar-SY"/>
        </w:rPr>
        <w:t>،</w:t>
      </w:r>
      <w:r w:rsidRPr="003F3B94">
        <w:rPr>
          <w:b/>
          <w:bCs/>
          <w:sz w:val="28"/>
          <w:rtl/>
          <w:lang w:bidi="ar-SY"/>
        </w:rPr>
        <w:t xml:space="preserve"> ولكنَّ جُلَّ من روى عنه ضعيفٌ</w:t>
      </w:r>
      <w:r w:rsidR="00EF2588" w:rsidRPr="003F3B94">
        <w:rPr>
          <w:sz w:val="28"/>
          <w:rtl/>
          <w:lang w:bidi="ar-SY"/>
        </w:rPr>
        <w:t>»</w:t>
      </w:r>
      <w:r w:rsidR="00217AB4" w:rsidRPr="003F3B94">
        <w:rPr>
          <w:rFonts w:hint="cs"/>
          <w:sz w:val="28"/>
          <w:rtl/>
          <w:lang w:bidi="ar-SY"/>
        </w:rPr>
        <w:t>.</w:t>
      </w:r>
    </w:p>
    <w:p w:rsidR="005C664D" w:rsidRPr="003F3B94" w:rsidRDefault="005C664D" w:rsidP="00EF714D">
      <w:pPr>
        <w:pStyle w:val="a0"/>
        <w:ind w:left="624" w:hanging="340"/>
        <w:rPr>
          <w:rFonts w:hint="cs"/>
          <w:rtl/>
          <w:lang w:bidi="ar-SY"/>
        </w:rPr>
      </w:pPr>
      <w:r w:rsidRPr="003F3B94">
        <w:rPr>
          <w:rFonts w:hint="cs"/>
          <w:sz w:val="28"/>
          <w:rtl/>
          <w:lang w:bidi="ar-SY"/>
        </w:rPr>
        <w:t>ج</w:t>
      </w:r>
      <w:r w:rsidR="00217AB4" w:rsidRPr="003F3B94">
        <w:rPr>
          <w:rFonts w:hint="cs"/>
          <w:sz w:val="28"/>
          <w:rtl/>
          <w:lang w:bidi="ar-SY"/>
        </w:rPr>
        <w:t>-</w:t>
      </w:r>
      <w:r w:rsidRPr="003F3B94">
        <w:rPr>
          <w:rFonts w:hint="cs"/>
          <w:sz w:val="28"/>
          <w:rtl/>
          <w:lang w:bidi="ar-SY"/>
        </w:rPr>
        <w:t xml:space="preserve"> وروى الكشي في رجاله في ترجمته ل</w:t>
      </w:r>
      <w:r w:rsidRPr="003F3B94">
        <w:rPr>
          <w:sz w:val="28"/>
          <w:rtl/>
          <w:lang w:bidi="ar-SY"/>
        </w:rPr>
        <w:t>جابر بن يزيد الجعفي</w:t>
      </w:r>
      <w:r w:rsidRPr="003F3B94">
        <w:rPr>
          <w:rFonts w:hint="cs"/>
          <w:sz w:val="28"/>
          <w:rtl/>
          <w:lang w:bidi="ar-SY"/>
        </w:rPr>
        <w:t xml:space="preserve"> الرواية التالية</w:t>
      </w:r>
      <w:r w:rsidR="00217AB4" w:rsidRPr="003F3B94">
        <w:rPr>
          <w:rFonts w:hint="cs"/>
          <w:sz w:val="28"/>
          <w:rtl/>
          <w:lang w:bidi="ar-SY"/>
        </w:rPr>
        <w:t>:</w:t>
      </w:r>
      <w:r w:rsidRPr="003F3B94">
        <w:rPr>
          <w:rFonts w:hint="cs"/>
          <w:sz w:val="28"/>
          <w:rtl/>
          <w:lang w:bidi="ar-SY"/>
        </w:rPr>
        <w:t xml:space="preserve"> </w:t>
      </w:r>
      <w:r w:rsidR="00EF2588" w:rsidRPr="003F3B94">
        <w:rPr>
          <w:rFonts w:hint="cs"/>
          <w:sz w:val="28"/>
          <w:rtl/>
          <w:lang w:bidi="ar-SY"/>
        </w:rPr>
        <w:t>«</w:t>
      </w:r>
      <w:r w:rsidRPr="003F3B94">
        <w:rPr>
          <w:sz w:val="28"/>
          <w:rtl/>
          <w:lang w:bidi="ar-SY"/>
        </w:rPr>
        <w:t>حدثني حمدويه وإبراهيم ابنا نصير</w:t>
      </w:r>
      <w:r w:rsidR="00217AB4" w:rsidRPr="003F3B94">
        <w:rPr>
          <w:sz w:val="28"/>
          <w:rtl/>
          <w:lang w:bidi="ar-SY"/>
        </w:rPr>
        <w:t>،</w:t>
      </w:r>
      <w:r w:rsidRPr="003F3B94">
        <w:rPr>
          <w:sz w:val="28"/>
          <w:rtl/>
          <w:lang w:bidi="ar-SY"/>
        </w:rPr>
        <w:t xml:space="preserve"> قالا حدثنا محمد بن عيسى</w:t>
      </w:r>
      <w:r w:rsidR="00217AB4" w:rsidRPr="003F3B94">
        <w:rPr>
          <w:sz w:val="28"/>
          <w:rtl/>
          <w:lang w:bidi="ar-SY"/>
        </w:rPr>
        <w:t>،</w:t>
      </w:r>
      <w:r w:rsidRPr="003F3B94">
        <w:rPr>
          <w:sz w:val="28"/>
          <w:rtl/>
          <w:lang w:bidi="ar-SY"/>
        </w:rPr>
        <w:t xml:space="preserve"> عن علي بن الحكم</w:t>
      </w:r>
      <w:r w:rsidR="00217AB4" w:rsidRPr="003F3B94">
        <w:rPr>
          <w:sz w:val="28"/>
          <w:rtl/>
          <w:lang w:bidi="ar-SY"/>
        </w:rPr>
        <w:t>،</w:t>
      </w:r>
      <w:r w:rsidRPr="003F3B94">
        <w:rPr>
          <w:sz w:val="28"/>
          <w:rtl/>
          <w:lang w:bidi="ar-SY"/>
        </w:rPr>
        <w:t xml:space="preserve"> عن ابن بكير</w:t>
      </w:r>
      <w:r w:rsidR="00217AB4" w:rsidRPr="003F3B94">
        <w:rPr>
          <w:sz w:val="28"/>
          <w:rtl/>
          <w:lang w:bidi="ar-SY"/>
        </w:rPr>
        <w:t>،</w:t>
      </w:r>
      <w:r w:rsidRPr="003F3B94">
        <w:rPr>
          <w:sz w:val="28"/>
          <w:rtl/>
          <w:lang w:bidi="ar-SY"/>
        </w:rPr>
        <w:t xml:space="preserve"> عن زرارة</w:t>
      </w:r>
      <w:r w:rsidR="00217AB4" w:rsidRPr="003F3B94">
        <w:rPr>
          <w:sz w:val="28"/>
          <w:rtl/>
          <w:lang w:bidi="ar-SY"/>
        </w:rPr>
        <w:t>،</w:t>
      </w:r>
      <w:r w:rsidRPr="003F3B94">
        <w:rPr>
          <w:sz w:val="28"/>
          <w:rtl/>
          <w:lang w:bidi="ar-SY"/>
        </w:rPr>
        <w:t xml:space="preserve"> قال</w:t>
      </w:r>
      <w:r w:rsidR="00217AB4" w:rsidRPr="003F3B94">
        <w:rPr>
          <w:rFonts w:hint="cs"/>
          <w:sz w:val="28"/>
          <w:rtl/>
          <w:lang w:bidi="ar-SY"/>
        </w:rPr>
        <w:t>:</w:t>
      </w:r>
      <w:r w:rsidRPr="003F3B94">
        <w:rPr>
          <w:sz w:val="28"/>
          <w:rtl/>
          <w:lang w:bidi="ar-SY"/>
        </w:rPr>
        <w:t xml:space="preserve"> </w:t>
      </w:r>
      <w:r w:rsidRPr="003F3B94">
        <w:rPr>
          <w:b/>
          <w:bCs/>
          <w:sz w:val="28"/>
          <w:rtl/>
          <w:lang w:bidi="ar-SY"/>
        </w:rPr>
        <w:t xml:space="preserve">سألت أبا عبد الله </w:t>
      </w:r>
      <w:r w:rsidR="003C7AEB" w:rsidRPr="003C7AEB">
        <w:rPr>
          <w:rFonts w:cs="CTraditional Arabic"/>
          <w:b/>
          <w:sz w:val="28"/>
          <w:rtl/>
          <w:lang w:bidi="ar-SY"/>
        </w:rPr>
        <w:t>÷</w:t>
      </w:r>
      <w:r w:rsidRPr="003F3B94">
        <w:rPr>
          <w:b/>
          <w:bCs/>
          <w:sz w:val="28"/>
          <w:rtl/>
          <w:lang w:bidi="ar-SY"/>
        </w:rPr>
        <w:t xml:space="preserve"> عن أحاديث جابر فقال ما رأيته عند أبي قط إلا مر</w:t>
      </w:r>
      <w:r w:rsidRPr="003F3B94">
        <w:rPr>
          <w:rFonts w:hint="cs"/>
          <w:b/>
          <w:bCs/>
          <w:sz w:val="28"/>
          <w:rtl/>
          <w:lang w:bidi="ar-SY"/>
        </w:rPr>
        <w:t>ّ</w:t>
      </w:r>
      <w:r w:rsidRPr="003F3B94">
        <w:rPr>
          <w:b/>
          <w:bCs/>
          <w:sz w:val="28"/>
          <w:rtl/>
          <w:lang w:bidi="ar-SY"/>
        </w:rPr>
        <w:t>ة</w:t>
      </w:r>
      <w:r w:rsidRPr="003F3B94">
        <w:rPr>
          <w:rFonts w:hint="cs"/>
          <w:b/>
          <w:bCs/>
          <w:sz w:val="28"/>
          <w:rtl/>
          <w:lang w:bidi="ar-SY"/>
        </w:rPr>
        <w:t>ً</w:t>
      </w:r>
      <w:r w:rsidRPr="003F3B94">
        <w:rPr>
          <w:b/>
          <w:bCs/>
          <w:sz w:val="28"/>
          <w:rtl/>
          <w:lang w:bidi="ar-SY"/>
        </w:rPr>
        <w:t xml:space="preserve"> واحدة</w:t>
      </w:r>
      <w:r w:rsidRPr="003F3B94">
        <w:rPr>
          <w:rFonts w:hint="cs"/>
          <w:b/>
          <w:bCs/>
          <w:sz w:val="28"/>
          <w:rtl/>
          <w:lang w:bidi="ar-SY"/>
        </w:rPr>
        <w:t>ً</w:t>
      </w:r>
      <w:r w:rsidRPr="003F3B94">
        <w:rPr>
          <w:b/>
          <w:bCs/>
          <w:sz w:val="28"/>
          <w:rtl/>
          <w:lang w:bidi="ar-SY"/>
        </w:rPr>
        <w:t xml:space="preserve"> وما دخل علي</w:t>
      </w:r>
      <w:r w:rsidRPr="003F3B94">
        <w:rPr>
          <w:rFonts w:hint="cs"/>
          <w:b/>
          <w:bCs/>
          <w:sz w:val="28"/>
          <w:rtl/>
          <w:lang w:bidi="ar-SY"/>
        </w:rPr>
        <w:t>َّ</w:t>
      </w:r>
      <w:r w:rsidRPr="003F3B94">
        <w:rPr>
          <w:b/>
          <w:bCs/>
          <w:sz w:val="28"/>
          <w:rtl/>
          <w:lang w:bidi="ar-SY"/>
        </w:rPr>
        <w:t xml:space="preserve"> قط</w:t>
      </w:r>
      <w:r w:rsidR="00F456DF" w:rsidRPr="003F3B94">
        <w:rPr>
          <w:sz w:val="28"/>
          <w:rtl/>
          <w:lang w:bidi="ar-SY"/>
        </w:rPr>
        <w:t>»</w:t>
      </w:r>
      <w:r w:rsidR="00217AB4" w:rsidRPr="003F3B94">
        <w:rPr>
          <w:rFonts w:hint="cs"/>
          <w:sz w:val="28"/>
          <w:rtl/>
          <w:lang w:bidi="ar-SY"/>
        </w:rPr>
        <w:t>.</w:t>
      </w:r>
    </w:p>
    <w:p w:rsidR="005C664D" w:rsidRPr="003F3B94" w:rsidRDefault="005C664D" w:rsidP="00EF714D">
      <w:pPr>
        <w:pStyle w:val="a0"/>
        <w:ind w:left="624" w:hanging="340"/>
        <w:rPr>
          <w:rFonts w:hint="cs"/>
          <w:rtl/>
          <w:lang w:bidi="ar-SY"/>
        </w:rPr>
      </w:pPr>
      <w:r w:rsidRPr="003F3B94">
        <w:rPr>
          <w:rFonts w:hint="cs"/>
          <w:sz w:val="28"/>
          <w:rtl/>
          <w:lang w:bidi="ar-SY"/>
        </w:rPr>
        <w:t xml:space="preserve"> د</w:t>
      </w:r>
      <w:r w:rsidR="00217AB4" w:rsidRPr="003F3B94">
        <w:rPr>
          <w:rFonts w:hint="cs"/>
          <w:sz w:val="28"/>
          <w:rtl/>
          <w:lang w:bidi="ar-SY"/>
        </w:rPr>
        <w:t>-</w:t>
      </w:r>
      <w:r w:rsidRPr="003F3B94">
        <w:rPr>
          <w:rFonts w:hint="cs"/>
          <w:sz w:val="28"/>
          <w:rtl/>
          <w:lang w:bidi="ar-SY"/>
        </w:rPr>
        <w:t xml:space="preserve"> وقال ابن الجوزي في «المنتظم»</w:t>
      </w:r>
      <w:r w:rsidR="00217AB4" w:rsidRPr="003F3B94">
        <w:rPr>
          <w:rFonts w:hint="cs"/>
          <w:sz w:val="28"/>
          <w:rtl/>
          <w:lang w:bidi="ar-SY"/>
        </w:rPr>
        <w:t>:</w:t>
      </w:r>
      <w:r w:rsidRPr="003F3B94">
        <w:rPr>
          <w:rFonts w:hint="cs"/>
          <w:sz w:val="28"/>
          <w:rtl/>
          <w:lang w:bidi="ar-SY"/>
        </w:rPr>
        <w:t xml:space="preserve"> </w:t>
      </w:r>
      <w:r w:rsidR="00EF2588" w:rsidRPr="003F3B94">
        <w:rPr>
          <w:rFonts w:hint="cs"/>
          <w:sz w:val="28"/>
          <w:rtl/>
          <w:lang w:bidi="ar-SY"/>
        </w:rPr>
        <w:t>«</w:t>
      </w:r>
      <w:r w:rsidRPr="003F3B94">
        <w:rPr>
          <w:b/>
          <w:bCs/>
          <w:sz w:val="28"/>
          <w:rtl/>
          <w:lang w:bidi="ar-SY"/>
        </w:rPr>
        <w:t>جَابِرِ بْنِ يَزِيدَ الجُعْفِي</w:t>
      </w:r>
      <w:r w:rsidR="00217AB4" w:rsidRPr="003F3B94">
        <w:rPr>
          <w:b/>
          <w:bCs/>
          <w:sz w:val="28"/>
          <w:rtl/>
          <w:lang w:bidi="ar-SY"/>
        </w:rPr>
        <w:t>:</w:t>
      </w:r>
      <w:r w:rsidRPr="003F3B94">
        <w:rPr>
          <w:b/>
          <w:bCs/>
          <w:sz w:val="28"/>
          <w:rtl/>
          <w:lang w:bidi="ar-SY"/>
        </w:rPr>
        <w:t xml:space="preserve"> كان </w:t>
      </w:r>
      <w:r w:rsidRPr="003F3B94">
        <w:rPr>
          <w:rFonts w:hint="cs"/>
          <w:b/>
          <w:bCs/>
          <w:sz w:val="28"/>
          <w:rtl/>
          <w:lang w:bidi="ar-SY"/>
        </w:rPr>
        <w:t>رافضيّاً غالياً</w:t>
      </w:r>
      <w:r w:rsidR="00217AB4" w:rsidRPr="003F3B94">
        <w:rPr>
          <w:b/>
          <w:bCs/>
          <w:sz w:val="28"/>
          <w:rtl/>
          <w:lang w:bidi="ar-SY"/>
        </w:rPr>
        <w:t>،</w:t>
      </w:r>
      <w:r w:rsidRPr="003F3B94">
        <w:rPr>
          <w:b/>
          <w:bCs/>
          <w:sz w:val="28"/>
          <w:rtl/>
          <w:lang w:bidi="ar-SY"/>
        </w:rPr>
        <w:t xml:space="preserve"> يقول بالرجعة</w:t>
      </w:r>
      <w:r w:rsidR="00217AB4" w:rsidRPr="003F3B94">
        <w:rPr>
          <w:b/>
          <w:bCs/>
          <w:sz w:val="28"/>
          <w:rtl/>
          <w:lang w:bidi="ar-SY"/>
        </w:rPr>
        <w:t>،</w:t>
      </w:r>
      <w:r w:rsidRPr="003F3B94">
        <w:rPr>
          <w:b/>
          <w:bCs/>
          <w:sz w:val="28"/>
          <w:rtl/>
          <w:lang w:bidi="ar-SY"/>
        </w:rPr>
        <w:t xml:space="preserve"> وروى عنه سفيان</w:t>
      </w:r>
      <w:r w:rsidR="00217AB4" w:rsidRPr="003F3B94">
        <w:rPr>
          <w:b/>
          <w:bCs/>
          <w:sz w:val="28"/>
          <w:rtl/>
          <w:lang w:bidi="ar-SY"/>
        </w:rPr>
        <w:t>،</w:t>
      </w:r>
      <w:r w:rsidRPr="003F3B94">
        <w:rPr>
          <w:b/>
          <w:bCs/>
          <w:sz w:val="28"/>
          <w:rtl/>
          <w:lang w:bidi="ar-SY"/>
        </w:rPr>
        <w:t xml:space="preserve"> وشعبة</w:t>
      </w:r>
      <w:r w:rsidR="00EF2588" w:rsidRPr="003F3B94">
        <w:rPr>
          <w:rFonts w:hint="cs"/>
          <w:sz w:val="28"/>
          <w:rtl/>
          <w:lang w:bidi="ar-SY"/>
        </w:rPr>
        <w:t>»</w:t>
      </w:r>
      <w:r w:rsidR="00217AB4" w:rsidRPr="0021507A">
        <w:rPr>
          <w:rFonts w:cs="Arabic11 BT"/>
          <w:b/>
          <w:sz w:val="28"/>
          <w:vertAlign w:val="superscript"/>
          <w:rtl/>
          <w:lang w:bidi="ar-SY"/>
        </w:rPr>
        <w:t>(</w:t>
      </w:r>
      <w:r w:rsidRPr="0021507A">
        <w:rPr>
          <w:rStyle w:val="FootnoteReference"/>
          <w:rFonts w:cs="Arabic11 BT"/>
          <w:b/>
          <w:sz w:val="28"/>
          <w:rtl/>
          <w:lang w:bidi="ar-SY"/>
        </w:rPr>
        <w:footnoteReference w:id="386"/>
      </w:r>
      <w:r w:rsidR="00217AB4" w:rsidRPr="0021507A">
        <w:rPr>
          <w:rFonts w:cs="Arabic11 BT"/>
          <w:b/>
          <w:sz w:val="28"/>
          <w:vertAlign w:val="superscript"/>
          <w:rtl/>
          <w:lang w:bidi="ar-SY"/>
        </w:rPr>
        <w:t>)</w:t>
      </w:r>
      <w:r w:rsidR="00217AB4" w:rsidRPr="003F3B94">
        <w:rPr>
          <w:rFonts w:hint="cs"/>
          <w:sz w:val="28"/>
          <w:rtl/>
          <w:lang w:bidi="ar-SY"/>
        </w:rPr>
        <w:t>.</w:t>
      </w:r>
    </w:p>
    <w:p w:rsidR="005C664D" w:rsidRPr="00995B26" w:rsidRDefault="005C664D" w:rsidP="00EF714D">
      <w:pPr>
        <w:pStyle w:val="a0"/>
        <w:rPr>
          <w:rFonts w:hint="cs"/>
          <w:rtl/>
          <w:lang w:bidi="ar-SY"/>
        </w:rPr>
      </w:pPr>
      <w:r w:rsidRPr="003F3B94">
        <w:rPr>
          <w:rFonts w:hint="cs"/>
          <w:sz w:val="28"/>
          <w:rtl/>
          <w:lang w:bidi="ar-SY"/>
        </w:rPr>
        <w:t>أما الحديث الخامس</w:t>
      </w:r>
      <w:r w:rsidR="00217AB4" w:rsidRPr="003F3B94">
        <w:rPr>
          <w:sz w:val="28"/>
          <w:rtl/>
          <w:lang w:bidi="ar-SY"/>
        </w:rPr>
        <w:t>:</w:t>
      </w:r>
      <w:r w:rsidRPr="003F3B94">
        <w:rPr>
          <w:rFonts w:hint="cs"/>
          <w:sz w:val="28"/>
          <w:rtl/>
          <w:lang w:bidi="ar-SY"/>
        </w:rPr>
        <w:t xml:space="preserve"> الذي رواه</w:t>
      </w:r>
      <w:r w:rsidR="00217AB4" w:rsidRPr="003F3B94">
        <w:rPr>
          <w:rFonts w:hint="cs"/>
          <w:sz w:val="28"/>
          <w:rtl/>
          <w:lang w:bidi="ar-SY"/>
        </w:rPr>
        <w:t>:</w:t>
      </w:r>
      <w:r w:rsidRPr="003F3B94">
        <w:rPr>
          <w:rFonts w:hint="cs"/>
          <w:sz w:val="28"/>
          <w:rtl/>
          <w:lang w:bidi="ar-SY"/>
        </w:rPr>
        <w:t xml:space="preserve"> </w:t>
      </w:r>
      <w:r w:rsidR="00EF2588" w:rsidRPr="00394385">
        <w:rPr>
          <w:rFonts w:cs="KFGQPC Uthman Taha Naskh" w:hint="cs"/>
          <w:sz w:val="28"/>
          <w:rtl/>
          <w:lang w:bidi="ar-SY"/>
        </w:rPr>
        <w:t>«</w:t>
      </w:r>
      <w:r w:rsidRPr="00394385">
        <w:rPr>
          <w:rFonts w:cs="KFGQPC Uthman Taha Naskh"/>
          <w:b/>
          <w:bCs/>
          <w:sz w:val="28"/>
          <w:rtl/>
          <w:lang w:bidi="ar-SY"/>
        </w:rPr>
        <w:t xml:space="preserve">مُحَمَّدُ بْنُ يَحْيَى عَنْ أَحْمَدَ بْنِ مُحَمَّدِ بْنِ عِيسَى عَنِ ابْنِ مَحْبُوبٍ عَنْ هِشَامِ بْنِ سَالِمٍ عَنْ أَبِي خَالِدٍ الكَابُلِيِّ عَنْ أَبِي جَعْفَرٍ </w:t>
      </w:r>
      <w:r w:rsidR="00BC4BA9" w:rsidRPr="00BC4BA9">
        <w:rPr>
          <w:rFonts w:cs="CTraditional Arabic"/>
          <w:b/>
          <w:sz w:val="28"/>
          <w:rtl/>
          <w:lang w:bidi="ar-SY"/>
        </w:rPr>
        <w:t>÷</w:t>
      </w:r>
      <w:r w:rsidRPr="00394385">
        <w:rPr>
          <w:rFonts w:cs="KFGQPC Uthman Taha Naskh"/>
          <w:b/>
          <w:bCs/>
          <w:sz w:val="28"/>
          <w:rtl/>
          <w:lang w:bidi="ar-SY"/>
        </w:rPr>
        <w:t xml:space="preserve"> قَالَ وَجَدْنَا فِي كِتَابِ عَلِيٍّ</w:t>
      </w:r>
      <w:r w:rsidR="00BC4BA9" w:rsidRPr="00BC4BA9">
        <w:rPr>
          <w:rFonts w:cs="CTraditional Arabic" w:hint="cs"/>
          <w:b/>
          <w:sz w:val="28"/>
          <w:rtl/>
          <w:lang w:bidi="ar-SY"/>
        </w:rPr>
        <w:t>÷</w:t>
      </w:r>
      <w:r w:rsidR="00217AB4" w:rsidRPr="00394385">
        <w:rPr>
          <w:rFonts w:cs="KFGQPC Uthman Taha Naskh" w:hint="cs"/>
          <w:b/>
          <w:bCs/>
          <w:sz w:val="28"/>
          <w:rtl/>
          <w:lang w:bidi="ar-SY"/>
        </w:rPr>
        <w:t>:</w:t>
      </w:r>
      <w:r w:rsidRPr="00394385">
        <w:rPr>
          <w:rFonts w:cs="KFGQPC Uthman Taha Naskh"/>
          <w:b/>
          <w:bCs/>
          <w:sz w:val="28"/>
          <w:rtl/>
          <w:lang w:bidi="ar-SY"/>
        </w:rPr>
        <w:t xml:space="preserve"> </w:t>
      </w:r>
      <w:r w:rsidR="00B06788" w:rsidRPr="00995B26">
        <w:rPr>
          <w:rFonts w:cs="Traditional Arabic" w:hint="cs"/>
          <w:sz w:val="28"/>
          <w:rtl/>
          <w:lang w:bidi="ar-SY"/>
        </w:rPr>
        <w:t>﴿</w:t>
      </w:r>
      <w:r w:rsidR="00B06788" w:rsidRPr="0067048A">
        <w:rPr>
          <w:rFonts w:ascii="KFGQPC Uthmanic Script HAFS" w:cs="KFGQPC Uthmanic Script HAFS" w:hint="eastAsia"/>
          <w:sz w:val="28"/>
          <w:szCs w:val="28"/>
          <w:rtl/>
        </w:rPr>
        <w:t>إِنَّ</w:t>
      </w:r>
      <w:r w:rsidR="00B06788" w:rsidRPr="0067048A">
        <w:rPr>
          <w:rFonts w:ascii="KFGQPC Uthmanic Script HAFS" w:cs="KFGQPC Uthmanic Script HAFS"/>
          <w:sz w:val="28"/>
          <w:szCs w:val="28"/>
          <w:rtl/>
        </w:rPr>
        <w:t xml:space="preserve"> </w:t>
      </w:r>
      <w:r w:rsidR="00B06788" w:rsidRPr="0067048A">
        <w:rPr>
          <w:rFonts w:ascii="KFGQPC Uthmanic Script HAFS" w:cs="KFGQPC Uthmanic Script HAFS" w:hint="cs"/>
          <w:sz w:val="28"/>
          <w:szCs w:val="28"/>
          <w:rtl/>
        </w:rPr>
        <w:t>ٱ</w:t>
      </w:r>
      <w:r w:rsidR="00B06788" w:rsidRPr="0067048A">
        <w:rPr>
          <w:rFonts w:ascii="KFGQPC Uthmanic Script HAFS" w:cs="KFGQPC Uthmanic Script HAFS" w:hint="eastAsia"/>
          <w:sz w:val="28"/>
          <w:szCs w:val="28"/>
          <w:rtl/>
        </w:rPr>
        <w:t>ل</w:t>
      </w:r>
      <w:r w:rsidR="00B06788" w:rsidRPr="0067048A">
        <w:rPr>
          <w:rFonts w:ascii="KFGQPC Uthmanic Script HAFS" w:cs="KFGQPC Uthmanic Script HAFS" w:hint="cs"/>
          <w:sz w:val="28"/>
          <w:szCs w:val="28"/>
          <w:rtl/>
        </w:rPr>
        <w:t>ۡ</w:t>
      </w:r>
      <w:r w:rsidR="00B06788" w:rsidRPr="0067048A">
        <w:rPr>
          <w:rFonts w:ascii="KFGQPC Uthmanic Script HAFS" w:cs="KFGQPC Uthmanic Script HAFS" w:hint="eastAsia"/>
          <w:sz w:val="28"/>
          <w:szCs w:val="28"/>
          <w:rtl/>
        </w:rPr>
        <w:t>أَر</w:t>
      </w:r>
      <w:r w:rsidR="00B06788" w:rsidRPr="0067048A">
        <w:rPr>
          <w:rFonts w:ascii="KFGQPC Uthmanic Script HAFS" w:cs="KFGQPC Uthmanic Script HAFS" w:hint="cs"/>
          <w:sz w:val="28"/>
          <w:szCs w:val="28"/>
          <w:rtl/>
        </w:rPr>
        <w:t>ۡ</w:t>
      </w:r>
      <w:r w:rsidR="00B06788" w:rsidRPr="0067048A">
        <w:rPr>
          <w:rFonts w:ascii="KFGQPC Uthmanic Script HAFS" w:cs="KFGQPC Uthmanic Script HAFS" w:hint="eastAsia"/>
          <w:sz w:val="28"/>
          <w:szCs w:val="28"/>
          <w:rtl/>
        </w:rPr>
        <w:t>ضَ</w:t>
      </w:r>
      <w:r w:rsidR="00B06788" w:rsidRPr="0067048A">
        <w:rPr>
          <w:rFonts w:ascii="KFGQPC Uthmanic Script HAFS" w:cs="KFGQPC Uthmanic Script HAFS"/>
          <w:sz w:val="28"/>
          <w:szCs w:val="28"/>
          <w:rtl/>
        </w:rPr>
        <w:t xml:space="preserve"> </w:t>
      </w:r>
      <w:r w:rsidR="00B06788" w:rsidRPr="0067048A">
        <w:rPr>
          <w:rFonts w:ascii="KFGQPC Uthmanic Script HAFS" w:cs="KFGQPC Uthmanic Script HAFS" w:hint="eastAsia"/>
          <w:sz w:val="28"/>
          <w:szCs w:val="28"/>
          <w:rtl/>
        </w:rPr>
        <w:t>لِلَّهِ</w:t>
      </w:r>
      <w:r w:rsidR="00B06788" w:rsidRPr="0067048A">
        <w:rPr>
          <w:rFonts w:ascii="KFGQPC Uthmanic Script HAFS" w:cs="KFGQPC Uthmanic Script HAFS"/>
          <w:sz w:val="28"/>
          <w:szCs w:val="28"/>
          <w:rtl/>
        </w:rPr>
        <w:t xml:space="preserve"> </w:t>
      </w:r>
      <w:r w:rsidR="00B06788" w:rsidRPr="0067048A">
        <w:rPr>
          <w:rFonts w:ascii="KFGQPC Uthmanic Script HAFS" w:cs="KFGQPC Uthmanic Script HAFS" w:hint="eastAsia"/>
          <w:sz w:val="28"/>
          <w:szCs w:val="28"/>
          <w:rtl/>
        </w:rPr>
        <w:t>يُورِثُهَا</w:t>
      </w:r>
      <w:r w:rsidR="00B06788" w:rsidRPr="0067048A">
        <w:rPr>
          <w:rFonts w:ascii="KFGQPC Uthmanic Script HAFS" w:cs="KFGQPC Uthmanic Script HAFS"/>
          <w:sz w:val="28"/>
          <w:szCs w:val="28"/>
          <w:rtl/>
        </w:rPr>
        <w:t xml:space="preserve"> </w:t>
      </w:r>
      <w:r w:rsidR="00B06788" w:rsidRPr="0067048A">
        <w:rPr>
          <w:rFonts w:ascii="KFGQPC Uthmanic Script HAFS" w:cs="KFGQPC Uthmanic Script HAFS" w:hint="eastAsia"/>
          <w:sz w:val="28"/>
          <w:szCs w:val="28"/>
          <w:rtl/>
        </w:rPr>
        <w:t>مَن</w:t>
      </w:r>
      <w:r w:rsidR="00B06788" w:rsidRPr="0067048A">
        <w:rPr>
          <w:rFonts w:ascii="KFGQPC Uthmanic Script HAFS" w:cs="KFGQPC Uthmanic Script HAFS"/>
          <w:sz w:val="28"/>
          <w:szCs w:val="28"/>
          <w:rtl/>
        </w:rPr>
        <w:t xml:space="preserve"> </w:t>
      </w:r>
      <w:r w:rsidR="00B06788" w:rsidRPr="0067048A">
        <w:rPr>
          <w:rFonts w:ascii="KFGQPC Uthmanic Script HAFS" w:cs="KFGQPC Uthmanic Script HAFS" w:hint="eastAsia"/>
          <w:sz w:val="28"/>
          <w:szCs w:val="28"/>
          <w:rtl/>
        </w:rPr>
        <w:t>يَشَا</w:t>
      </w:r>
      <w:r w:rsidR="00B06788" w:rsidRPr="0067048A">
        <w:rPr>
          <w:rFonts w:ascii="KFGQPC Uthmanic Script HAFS" w:cs="KFGQPC Uthmanic Script HAFS" w:hint="cs"/>
          <w:sz w:val="28"/>
          <w:szCs w:val="28"/>
          <w:rtl/>
        </w:rPr>
        <w:t>ٓ</w:t>
      </w:r>
      <w:r w:rsidR="00B06788" w:rsidRPr="0067048A">
        <w:rPr>
          <w:rFonts w:ascii="KFGQPC Uthmanic Script HAFS" w:cs="KFGQPC Uthmanic Script HAFS" w:hint="eastAsia"/>
          <w:sz w:val="28"/>
          <w:szCs w:val="28"/>
          <w:rtl/>
        </w:rPr>
        <w:t>ءُ</w:t>
      </w:r>
      <w:r w:rsidR="00B06788" w:rsidRPr="0067048A">
        <w:rPr>
          <w:rFonts w:ascii="KFGQPC Uthmanic Script HAFS" w:cs="KFGQPC Uthmanic Script HAFS"/>
          <w:sz w:val="28"/>
          <w:szCs w:val="28"/>
          <w:rtl/>
        </w:rPr>
        <w:t xml:space="preserve"> </w:t>
      </w:r>
      <w:r w:rsidR="00B06788" w:rsidRPr="0067048A">
        <w:rPr>
          <w:rFonts w:ascii="KFGQPC Uthmanic Script HAFS" w:cs="KFGQPC Uthmanic Script HAFS" w:hint="eastAsia"/>
          <w:sz w:val="28"/>
          <w:szCs w:val="28"/>
          <w:rtl/>
        </w:rPr>
        <w:t>مِن</w:t>
      </w:r>
      <w:r w:rsidR="00B06788" w:rsidRPr="0067048A">
        <w:rPr>
          <w:rFonts w:ascii="KFGQPC Uthmanic Script HAFS" w:cs="KFGQPC Uthmanic Script HAFS" w:hint="cs"/>
          <w:sz w:val="28"/>
          <w:szCs w:val="28"/>
          <w:rtl/>
        </w:rPr>
        <w:t>ۡ</w:t>
      </w:r>
      <w:r w:rsidR="00B06788" w:rsidRPr="0067048A">
        <w:rPr>
          <w:rFonts w:ascii="KFGQPC Uthmanic Script HAFS" w:cs="KFGQPC Uthmanic Script HAFS"/>
          <w:sz w:val="28"/>
          <w:szCs w:val="28"/>
          <w:rtl/>
        </w:rPr>
        <w:t xml:space="preserve"> </w:t>
      </w:r>
      <w:r w:rsidR="00B06788" w:rsidRPr="0067048A">
        <w:rPr>
          <w:rFonts w:ascii="KFGQPC Uthmanic Script HAFS" w:cs="KFGQPC Uthmanic Script HAFS" w:hint="eastAsia"/>
          <w:sz w:val="28"/>
          <w:szCs w:val="28"/>
          <w:rtl/>
        </w:rPr>
        <w:t>عِبَادِهِ</w:t>
      </w:r>
      <w:r w:rsidR="00B06788" w:rsidRPr="0067048A">
        <w:rPr>
          <w:rFonts w:ascii="KFGQPC Uthmanic Script HAFS" w:cs="KFGQPC Uthmanic Script HAFS" w:hint="cs"/>
          <w:sz w:val="28"/>
          <w:szCs w:val="28"/>
          <w:rtl/>
        </w:rPr>
        <w:t>ۦۖ</w:t>
      </w:r>
      <w:r w:rsidR="00B06788" w:rsidRPr="0067048A">
        <w:rPr>
          <w:rFonts w:ascii="KFGQPC Uthmanic Script HAFS" w:cs="KFGQPC Uthmanic Script HAFS"/>
          <w:sz w:val="28"/>
          <w:szCs w:val="28"/>
          <w:rtl/>
        </w:rPr>
        <w:t xml:space="preserve"> </w:t>
      </w:r>
      <w:r w:rsidR="00B06788" w:rsidRPr="0067048A">
        <w:rPr>
          <w:rFonts w:ascii="KFGQPC Uthmanic Script HAFS" w:cs="KFGQPC Uthmanic Script HAFS" w:hint="eastAsia"/>
          <w:sz w:val="28"/>
          <w:szCs w:val="28"/>
          <w:rtl/>
        </w:rPr>
        <w:t>وَ</w:t>
      </w:r>
      <w:r w:rsidR="00B06788" w:rsidRPr="0067048A">
        <w:rPr>
          <w:rFonts w:ascii="KFGQPC Uthmanic Script HAFS" w:cs="KFGQPC Uthmanic Script HAFS" w:hint="cs"/>
          <w:sz w:val="28"/>
          <w:szCs w:val="28"/>
          <w:rtl/>
        </w:rPr>
        <w:t>ٱ</w:t>
      </w:r>
      <w:r w:rsidR="00B06788" w:rsidRPr="0067048A">
        <w:rPr>
          <w:rFonts w:ascii="KFGQPC Uthmanic Script HAFS" w:cs="KFGQPC Uthmanic Script HAFS" w:hint="eastAsia"/>
          <w:sz w:val="28"/>
          <w:szCs w:val="28"/>
          <w:rtl/>
        </w:rPr>
        <w:t>ل</w:t>
      </w:r>
      <w:r w:rsidR="00B06788" w:rsidRPr="0067048A">
        <w:rPr>
          <w:rFonts w:ascii="KFGQPC Uthmanic Script HAFS" w:cs="KFGQPC Uthmanic Script HAFS" w:hint="cs"/>
          <w:sz w:val="28"/>
          <w:szCs w:val="28"/>
          <w:rtl/>
        </w:rPr>
        <w:t>ۡ</w:t>
      </w:r>
      <w:r w:rsidR="00B06788" w:rsidRPr="0067048A">
        <w:rPr>
          <w:rFonts w:ascii="KFGQPC Uthmanic Script HAFS" w:cs="KFGQPC Uthmanic Script HAFS" w:hint="eastAsia"/>
          <w:sz w:val="28"/>
          <w:szCs w:val="28"/>
          <w:rtl/>
        </w:rPr>
        <w:t>عَ</w:t>
      </w:r>
      <w:r w:rsidR="00B06788" w:rsidRPr="0067048A">
        <w:rPr>
          <w:rFonts w:ascii="KFGQPC Uthmanic Script HAFS" w:cs="KFGQPC Uthmanic Script HAFS" w:hint="cs"/>
          <w:sz w:val="28"/>
          <w:szCs w:val="28"/>
          <w:rtl/>
        </w:rPr>
        <w:t>ٰ</w:t>
      </w:r>
      <w:r w:rsidR="00B06788" w:rsidRPr="0067048A">
        <w:rPr>
          <w:rFonts w:ascii="KFGQPC Uthmanic Script HAFS" w:cs="KFGQPC Uthmanic Script HAFS" w:hint="eastAsia"/>
          <w:sz w:val="28"/>
          <w:szCs w:val="28"/>
          <w:rtl/>
        </w:rPr>
        <w:t>قِبَةُ</w:t>
      </w:r>
      <w:r w:rsidR="00B06788" w:rsidRPr="0067048A">
        <w:rPr>
          <w:rFonts w:ascii="KFGQPC Uthmanic Script HAFS" w:cs="KFGQPC Uthmanic Script HAFS"/>
          <w:sz w:val="28"/>
          <w:szCs w:val="28"/>
          <w:rtl/>
        </w:rPr>
        <w:t xml:space="preserve"> </w:t>
      </w:r>
      <w:r w:rsidR="00B06788" w:rsidRPr="0067048A">
        <w:rPr>
          <w:rFonts w:ascii="KFGQPC Uthmanic Script HAFS" w:cs="KFGQPC Uthmanic Script HAFS" w:hint="eastAsia"/>
          <w:sz w:val="28"/>
          <w:szCs w:val="28"/>
          <w:rtl/>
        </w:rPr>
        <w:t>لِل</w:t>
      </w:r>
      <w:r w:rsidR="00B06788" w:rsidRPr="0067048A">
        <w:rPr>
          <w:rFonts w:ascii="KFGQPC Uthmanic Script HAFS" w:cs="KFGQPC Uthmanic Script HAFS" w:hint="cs"/>
          <w:sz w:val="28"/>
          <w:szCs w:val="28"/>
          <w:rtl/>
        </w:rPr>
        <w:t>ۡ</w:t>
      </w:r>
      <w:r w:rsidR="00B06788" w:rsidRPr="0067048A">
        <w:rPr>
          <w:rFonts w:ascii="KFGQPC Uthmanic Script HAFS" w:cs="KFGQPC Uthmanic Script HAFS" w:hint="eastAsia"/>
          <w:sz w:val="28"/>
          <w:szCs w:val="28"/>
          <w:rtl/>
        </w:rPr>
        <w:t>مُتَّقِينَ</w:t>
      </w:r>
      <w:r w:rsidR="00B06788" w:rsidRPr="00995B26">
        <w:rPr>
          <w:rFonts w:cs="Traditional Arabic" w:hint="cs"/>
          <w:sz w:val="28"/>
          <w:rtl/>
          <w:lang w:bidi="ar-SY"/>
        </w:rPr>
        <w:t>﴾</w:t>
      </w:r>
      <w:r w:rsidR="00B06788" w:rsidRPr="00995B26">
        <w:rPr>
          <w:rFonts w:hint="cs"/>
          <w:sz w:val="28"/>
          <w:rtl/>
          <w:lang w:bidi="ar-SY"/>
        </w:rPr>
        <w:t xml:space="preserve"> </w:t>
      </w:r>
      <w:r w:rsidRPr="00394385">
        <w:rPr>
          <w:rFonts w:cs="KFGQPC Uthman Taha Naskh"/>
          <w:b/>
          <w:bCs/>
          <w:sz w:val="28"/>
          <w:rtl/>
          <w:lang w:bidi="ar-SY"/>
        </w:rPr>
        <w:t>أَنَا وَأَهْلُ بَيْتِيَ الَّذِينَ أَوْرَثَنَا اللهُ الأَرْضَ ونَحْنُ المُتَّقُونَ والْأَرْضُ كُلُّهَا لَنَا</w:t>
      </w:r>
      <w:r w:rsidR="00217AB4" w:rsidRPr="00394385">
        <w:rPr>
          <w:rFonts w:cs="KFGQPC Uthman Taha Naskh" w:hint="cs"/>
          <w:sz w:val="28"/>
          <w:rtl/>
          <w:lang w:bidi="ar-SY"/>
        </w:rPr>
        <w:t>...</w:t>
      </w:r>
      <w:r w:rsidRPr="00995B26">
        <w:rPr>
          <w:rFonts w:hint="cs"/>
          <w:sz w:val="28"/>
          <w:rtl/>
          <w:lang w:bidi="ar-SY"/>
        </w:rPr>
        <w:t xml:space="preserve"> إلى آخر الحديث</w:t>
      </w:r>
      <w:r w:rsidR="00F456DF" w:rsidRPr="00995B26">
        <w:rPr>
          <w:rFonts w:hint="cs"/>
          <w:sz w:val="28"/>
          <w:rtl/>
          <w:lang w:bidi="ar-SY"/>
        </w:rPr>
        <w:t>»</w:t>
      </w:r>
      <w:r w:rsidR="00217AB4" w:rsidRPr="0021507A">
        <w:rPr>
          <w:rFonts w:cs="Arabic11 BT"/>
          <w:b/>
          <w:sz w:val="28"/>
          <w:vertAlign w:val="superscript"/>
          <w:rtl/>
          <w:lang w:bidi="ar-SY"/>
        </w:rPr>
        <w:t>(</w:t>
      </w:r>
      <w:r w:rsidRPr="0021507A">
        <w:rPr>
          <w:rStyle w:val="FootnoteReference"/>
          <w:rFonts w:cs="Arabic11 BT"/>
          <w:b/>
          <w:sz w:val="28"/>
          <w:rtl/>
          <w:lang w:bidi="ar-SY"/>
        </w:rPr>
        <w:footnoteReference w:id="387"/>
      </w:r>
      <w:r w:rsidR="00217AB4" w:rsidRPr="0021507A">
        <w:rPr>
          <w:rFonts w:cs="Arabic11 BT"/>
          <w:b/>
          <w:sz w:val="28"/>
          <w:vertAlign w:val="superscript"/>
          <w:rtl/>
          <w:lang w:bidi="ar-SY"/>
        </w:rPr>
        <w:t>)</w:t>
      </w:r>
      <w:r w:rsidR="00F456DF" w:rsidRPr="00995B26">
        <w:rPr>
          <w:rFonts w:hint="cs"/>
          <w:sz w:val="28"/>
          <w:rtl/>
          <w:lang w:bidi="ar-SY"/>
        </w:rPr>
        <w:t>.</w:t>
      </w:r>
    </w:p>
    <w:p w:rsidR="005C664D" w:rsidRPr="003F3B94" w:rsidRDefault="005C664D" w:rsidP="003F3B94">
      <w:pPr>
        <w:pStyle w:val="a0"/>
        <w:rPr>
          <w:rFonts w:hint="cs"/>
          <w:rtl/>
        </w:rPr>
      </w:pPr>
      <w:r w:rsidRPr="003F3B94">
        <w:rPr>
          <w:rFonts w:hint="cs"/>
          <w:sz w:val="28"/>
          <w:rtl/>
          <w:lang w:bidi="ar-SY"/>
        </w:rPr>
        <w:t>فأقول</w:t>
      </w:r>
      <w:r w:rsidR="00217AB4" w:rsidRPr="003F3B94">
        <w:rPr>
          <w:rFonts w:hint="cs"/>
          <w:sz w:val="28"/>
          <w:rtl/>
          <w:lang w:bidi="ar-SY"/>
        </w:rPr>
        <w:t>:</w:t>
      </w:r>
      <w:r w:rsidRPr="003F3B94">
        <w:rPr>
          <w:rFonts w:hint="cs"/>
          <w:sz w:val="28"/>
          <w:rtl/>
          <w:lang w:bidi="ar-SY"/>
        </w:rPr>
        <w:t xml:space="preserve"> رغم أن هذا الحديث أيضاً غير صحيح بل حسب تشخيص العلامة المجلسي حديث </w:t>
      </w:r>
      <w:r w:rsidR="00217AB4" w:rsidRPr="003F3B94">
        <w:rPr>
          <w:rFonts w:hint="cs"/>
          <w:sz w:val="28"/>
          <w:rtl/>
          <w:lang w:bidi="ar-SY"/>
        </w:rPr>
        <w:t>(</w:t>
      </w:r>
      <w:r w:rsidRPr="003F3B94">
        <w:rPr>
          <w:rFonts w:hint="cs"/>
          <w:sz w:val="28"/>
          <w:rtl/>
          <w:lang w:bidi="ar-SY"/>
        </w:rPr>
        <w:t>حسنٌ</w:t>
      </w:r>
      <w:r w:rsidR="00217AB4" w:rsidRPr="003F3B94">
        <w:rPr>
          <w:rFonts w:hint="cs"/>
          <w:sz w:val="28"/>
          <w:rtl/>
          <w:lang w:bidi="ar-SY"/>
        </w:rPr>
        <w:t>)،</w:t>
      </w:r>
      <w:r w:rsidRPr="003F3B94">
        <w:rPr>
          <w:rFonts w:hint="cs"/>
          <w:sz w:val="28"/>
          <w:rtl/>
          <w:lang w:bidi="ar-SY"/>
        </w:rPr>
        <w:t xml:space="preserve"> فإن متن الحديث أيضاً لا يفي بغرض الغلاة والمفوِّضة</w:t>
      </w:r>
      <w:r w:rsidR="00217AB4" w:rsidRPr="003F3B94">
        <w:rPr>
          <w:rFonts w:hint="cs"/>
          <w:sz w:val="28"/>
          <w:rtl/>
          <w:lang w:bidi="ar-SY"/>
        </w:rPr>
        <w:t>،</w:t>
      </w:r>
      <w:r w:rsidRPr="003F3B94">
        <w:rPr>
          <w:rFonts w:hint="cs"/>
          <w:sz w:val="28"/>
          <w:rtl/>
          <w:lang w:bidi="ar-SY"/>
        </w:rPr>
        <w:t xml:space="preserve"> فإذا جاء يوم أورث الله تعالى فيه الأرض لإمامٍ من أهل بيت رسول الله</w:t>
      </w:r>
      <w:r w:rsidR="00147857" w:rsidRPr="003F3B94">
        <w:rPr>
          <w:rFonts w:hint="cs"/>
          <w:sz w:val="28"/>
          <w:rtl/>
          <w:lang w:bidi="ar-SY"/>
        </w:rPr>
        <w:t xml:space="preserve"> </w:t>
      </w:r>
      <w:r w:rsidR="003C7AEB" w:rsidRPr="003C7AEB">
        <w:rPr>
          <w:rFonts w:ascii="Abo-thar" w:hAnsi="Abo-thar" w:cs="CTraditional Arabic"/>
          <w:sz w:val="28"/>
          <w:rtl/>
          <w:lang w:bidi="ar-SY"/>
        </w:rPr>
        <w:t>ص</w:t>
      </w:r>
      <w:r w:rsidR="00147857" w:rsidRPr="003F3B94">
        <w:rPr>
          <w:rFonts w:ascii="Abo-thar" w:hAnsi="Abo-thar"/>
          <w:sz w:val="28"/>
          <w:rtl/>
          <w:lang w:bidi="ar-SY"/>
        </w:rPr>
        <w:t xml:space="preserve"> </w:t>
      </w:r>
      <w:r w:rsidRPr="003F3B94">
        <w:rPr>
          <w:rFonts w:ascii="Abo-thar" w:hAnsi="Abo-thar" w:hint="cs"/>
          <w:sz w:val="28"/>
          <w:rtl/>
          <w:lang w:bidi="ar-SY"/>
        </w:rPr>
        <w:t>فسيحصل كذا وكذا</w:t>
      </w:r>
      <w:r w:rsidR="00217AB4" w:rsidRPr="003F3B94">
        <w:rPr>
          <w:rFonts w:ascii="Abo-thar" w:hAnsi="Abo-thar" w:hint="cs"/>
          <w:sz w:val="28"/>
          <w:rtl/>
          <w:lang w:bidi="ar-SY"/>
        </w:rPr>
        <w:t>...</w:t>
      </w:r>
      <w:r w:rsidR="00147857" w:rsidRPr="003F3B94">
        <w:rPr>
          <w:rFonts w:ascii="Abo-thar" w:hAnsi="Abo-thar" w:hint="cs"/>
          <w:sz w:val="28"/>
          <w:rtl/>
          <w:lang w:bidi="ar-SY"/>
        </w:rPr>
        <w:t xml:space="preserve"> </w:t>
      </w:r>
      <w:r w:rsidRPr="003F3B94">
        <w:rPr>
          <w:rFonts w:ascii="Abo-thar" w:hAnsi="Abo-thar" w:hint="cs"/>
          <w:sz w:val="28"/>
          <w:rtl/>
          <w:lang w:bidi="ar-SY"/>
        </w:rPr>
        <w:t>واليوم أيضاً كذلك لا بد من إعطاء خراج الأرض لإمام المسلمين وحاكمهم</w:t>
      </w:r>
      <w:r w:rsidR="00217AB4" w:rsidRPr="003F3B94">
        <w:rPr>
          <w:rFonts w:ascii="Abo-thar" w:hAnsi="Abo-thar" w:hint="cs"/>
          <w:sz w:val="28"/>
          <w:rtl/>
          <w:lang w:bidi="ar-SY"/>
        </w:rPr>
        <w:t>.</w:t>
      </w:r>
    </w:p>
    <w:p w:rsidR="00542D29" w:rsidRPr="00C3556F" w:rsidRDefault="00542D29" w:rsidP="00A33EB8">
      <w:pPr>
        <w:widowControl w:val="0"/>
        <w:jc w:val="center"/>
        <w:rPr>
          <w:rFonts w:ascii="mylotus" w:hAnsi="mylotus" w:cs="mylotus"/>
          <w:b/>
          <w:bCs/>
          <w:sz w:val="28"/>
          <w:rtl/>
        </w:rPr>
      </w:pPr>
      <w:r w:rsidRPr="00A33EB8">
        <w:rPr>
          <w:rFonts w:ascii="mylotus" w:hAnsi="mylotus" w:cs="B Lotus"/>
          <w:b/>
          <w:bCs/>
          <w:sz w:val="28"/>
          <w:rtl/>
        </w:rPr>
        <w:t>***</w:t>
      </w:r>
    </w:p>
    <w:p w:rsidR="005C664D" w:rsidRPr="00995B26" w:rsidRDefault="00542D29" w:rsidP="00C3556F">
      <w:pPr>
        <w:pStyle w:val="a6"/>
        <w:rPr>
          <w:rFonts w:hint="cs"/>
          <w:rtl/>
        </w:rPr>
      </w:pPr>
      <w:bookmarkStart w:id="136" w:name="_Toc215491160"/>
      <w:bookmarkStart w:id="137" w:name="_Toc215498079"/>
      <w:bookmarkStart w:id="138" w:name="_Toc387843097"/>
      <w:r w:rsidRPr="00995B26">
        <w:rPr>
          <w:rFonts w:hint="cs"/>
          <w:rtl/>
        </w:rPr>
        <w:t>[</w:t>
      </w:r>
      <w:r w:rsidR="005C664D" w:rsidRPr="00995B26">
        <w:rPr>
          <w:rFonts w:hint="cs"/>
          <w:rtl/>
        </w:rPr>
        <w:t xml:space="preserve">الأموال التي كان الناس يدفعونها إلى الأئمة </w:t>
      </w:r>
      <w:r w:rsidR="00963EFD" w:rsidRPr="00963EFD">
        <w:rPr>
          <w:rFonts w:cs="CTraditional Arabic" w:hint="cs"/>
          <w:bCs w:val="0"/>
          <w:rtl/>
        </w:rPr>
        <w:t>‡</w:t>
      </w:r>
      <w:bookmarkEnd w:id="136"/>
      <w:bookmarkEnd w:id="137"/>
      <w:r w:rsidRPr="00995B26">
        <w:rPr>
          <w:rFonts w:hint="cs"/>
          <w:rtl/>
        </w:rPr>
        <w:t>]</w:t>
      </w:r>
      <w:bookmarkEnd w:id="138"/>
    </w:p>
    <w:p w:rsidR="005C664D" w:rsidRPr="003F3B94" w:rsidRDefault="005C664D" w:rsidP="003F3B94">
      <w:pPr>
        <w:pStyle w:val="a0"/>
        <w:rPr>
          <w:rFonts w:hint="cs"/>
          <w:rtl/>
          <w:lang w:bidi="ar-SY"/>
        </w:rPr>
      </w:pPr>
      <w:r w:rsidRPr="003F3B94">
        <w:rPr>
          <w:rFonts w:hint="cs"/>
          <w:sz w:val="28"/>
          <w:rtl/>
          <w:lang w:bidi="ar-SY"/>
        </w:rPr>
        <w:t xml:space="preserve">بما أن كتب التاريخ تذكر أنه كان للأئمة </w:t>
      </w:r>
      <w:r w:rsidR="00963EFD" w:rsidRPr="00963EFD">
        <w:rPr>
          <w:rFonts w:cs="CTraditional Arabic" w:hint="cs"/>
          <w:sz w:val="28"/>
          <w:rtl/>
          <w:lang w:bidi="ar-SY"/>
        </w:rPr>
        <w:t>‡</w:t>
      </w:r>
      <w:r w:rsidRPr="003F3B94">
        <w:rPr>
          <w:rFonts w:hint="cs"/>
          <w:sz w:val="28"/>
          <w:rtl/>
          <w:lang w:bidi="ar-SY"/>
        </w:rPr>
        <w:t xml:space="preserve"> وكلاء وقوام بين الناس يقبضون من الناس أموالاً شرعية باسم الأئمة وبالنيابة عنهم</w:t>
      </w:r>
      <w:r w:rsidR="001E0DB7" w:rsidRPr="003F3B94">
        <w:rPr>
          <w:rFonts w:hint="cs"/>
          <w:sz w:val="28"/>
          <w:rtl/>
          <w:lang w:bidi="ar-SY"/>
        </w:rPr>
        <w:t>،</w:t>
      </w:r>
      <w:r w:rsidRPr="003F3B94">
        <w:rPr>
          <w:rFonts w:hint="cs"/>
          <w:sz w:val="28"/>
          <w:rtl/>
          <w:lang w:bidi="ar-SY"/>
        </w:rPr>
        <w:t xml:space="preserve"> فإن هذا قد ينشئ شبهة لدى البعض بأن تكون تلك الأموال التي يقبضونها خمس أرباح المكاسب</w:t>
      </w:r>
      <w:r w:rsidR="00217AB4" w:rsidRPr="003F3B94">
        <w:rPr>
          <w:rFonts w:hint="cs"/>
          <w:sz w:val="28"/>
          <w:rtl/>
          <w:lang w:bidi="ar-SY"/>
        </w:rPr>
        <w:t>!</w:t>
      </w:r>
      <w:r w:rsidRPr="003F3B94">
        <w:rPr>
          <w:rFonts w:hint="cs"/>
          <w:sz w:val="28"/>
          <w:rtl/>
          <w:lang w:bidi="ar-SY"/>
        </w:rPr>
        <w:t xml:space="preserve"> هذا رغم أنه لا يوجد في كتب الحديث ولا في كتب التاريخ أي خبر أو أثر يثبت هذا المدعى بأن الأئمة كانوا يأخذون من أحد شيئاً باسم خمس أرباح المكاسب</w:t>
      </w:r>
      <w:r w:rsidR="001E0DB7" w:rsidRPr="003F3B94">
        <w:rPr>
          <w:rFonts w:hint="cs"/>
          <w:sz w:val="28"/>
          <w:rtl/>
          <w:lang w:bidi="ar-SY"/>
        </w:rPr>
        <w:t>،</w:t>
      </w:r>
      <w:r w:rsidRPr="003F3B94">
        <w:rPr>
          <w:rFonts w:hint="cs"/>
          <w:sz w:val="28"/>
          <w:rtl/>
          <w:lang w:bidi="ar-SY"/>
        </w:rPr>
        <w:t xml:space="preserve"> إلا أننا</w:t>
      </w:r>
      <w:r w:rsidR="00147857" w:rsidRPr="003F3B94">
        <w:rPr>
          <w:rFonts w:hint="cs"/>
          <w:sz w:val="28"/>
          <w:rtl/>
          <w:lang w:bidi="ar-SY"/>
        </w:rPr>
        <w:t xml:space="preserve"> </w:t>
      </w:r>
      <w:r w:rsidRPr="003F3B94">
        <w:rPr>
          <w:rFonts w:hint="cs"/>
          <w:sz w:val="28"/>
          <w:rtl/>
          <w:lang w:bidi="ar-SY"/>
        </w:rPr>
        <w:t>دفعاً لهذه الشبهة سنذكر فيما يلي قائمة ببعض الأموال التي كان الوكلاء يقبضونها من الناس باسم الأئمة</w:t>
      </w:r>
      <w:r w:rsidR="00217AB4" w:rsidRPr="003F3B94">
        <w:rPr>
          <w:rFonts w:hint="cs"/>
          <w:sz w:val="28"/>
          <w:rtl/>
          <w:lang w:bidi="ar-SY"/>
        </w:rPr>
        <w:t>.</w:t>
      </w:r>
      <w:r w:rsidRPr="003F3B94">
        <w:rPr>
          <w:rFonts w:hint="cs"/>
          <w:sz w:val="28"/>
          <w:rtl/>
          <w:lang w:bidi="ar-SY"/>
        </w:rPr>
        <w:t xml:space="preserve"> </w:t>
      </w:r>
    </w:p>
    <w:p w:rsidR="005C664D" w:rsidRPr="003F3B94" w:rsidRDefault="005C664D" w:rsidP="003F3B94">
      <w:pPr>
        <w:pStyle w:val="a0"/>
        <w:rPr>
          <w:rFonts w:hint="cs"/>
          <w:rtl/>
          <w:lang w:bidi="ar-SY"/>
        </w:rPr>
      </w:pPr>
      <w:r w:rsidRPr="003F3B94">
        <w:rPr>
          <w:rFonts w:hint="cs"/>
          <w:sz w:val="28"/>
          <w:rtl/>
          <w:lang w:bidi="ar-SY"/>
        </w:rPr>
        <w:t>كما ذكرنا سابقاً كان معظم ما يدفعه الشيعة من أموال للأئمة في زمنهم هو زكاة أموالهم</w:t>
      </w:r>
      <w:r w:rsidR="00217AB4" w:rsidRPr="003F3B94">
        <w:rPr>
          <w:rFonts w:hint="cs"/>
          <w:sz w:val="28"/>
          <w:rtl/>
          <w:lang w:bidi="ar-SY"/>
        </w:rPr>
        <w:t>:</w:t>
      </w:r>
      <w:r w:rsidRPr="003F3B94">
        <w:rPr>
          <w:rFonts w:hint="cs"/>
          <w:sz w:val="28"/>
          <w:rtl/>
          <w:lang w:bidi="ar-SY"/>
        </w:rPr>
        <w:t xml:space="preserve"> </w:t>
      </w:r>
    </w:p>
    <w:p w:rsidR="005C664D" w:rsidRPr="003F3B94" w:rsidRDefault="005C664D" w:rsidP="003F3B94">
      <w:pPr>
        <w:pStyle w:val="a0"/>
        <w:rPr>
          <w:rFonts w:hint="cs"/>
          <w:rtl/>
          <w:lang w:bidi="ar-SY"/>
        </w:rPr>
      </w:pPr>
      <w:bookmarkStart w:id="139" w:name="_Toc215491161"/>
      <w:bookmarkStart w:id="140" w:name="_Toc215498080"/>
      <w:r w:rsidRPr="003F3B94">
        <w:rPr>
          <w:rFonts w:hint="cs"/>
          <w:b/>
          <w:bCs/>
          <w:sz w:val="28"/>
          <w:rtl/>
          <w:lang w:bidi="ar-SY"/>
        </w:rPr>
        <w:t>النوع الأول</w:t>
      </w:r>
      <w:r w:rsidR="00217AB4" w:rsidRPr="003F3B94">
        <w:rPr>
          <w:rFonts w:hint="cs"/>
          <w:b/>
          <w:bCs/>
          <w:sz w:val="28"/>
          <w:rtl/>
          <w:lang w:bidi="ar-SY"/>
        </w:rPr>
        <w:t>:</w:t>
      </w:r>
      <w:r w:rsidRPr="003F3B94">
        <w:rPr>
          <w:rFonts w:hint="cs"/>
          <w:b/>
          <w:bCs/>
          <w:sz w:val="28"/>
          <w:rtl/>
          <w:lang w:bidi="ar-SY"/>
        </w:rPr>
        <w:t xml:space="preserve"> الزكاة</w:t>
      </w:r>
      <w:bookmarkEnd w:id="139"/>
      <w:bookmarkEnd w:id="140"/>
      <w:r w:rsidR="001E0DB7" w:rsidRPr="003F3B94">
        <w:rPr>
          <w:rFonts w:hint="cs"/>
          <w:b/>
          <w:bCs/>
          <w:sz w:val="28"/>
          <w:rtl/>
          <w:lang w:bidi="ar-SY"/>
        </w:rPr>
        <w:t>:</w:t>
      </w:r>
    </w:p>
    <w:p w:rsidR="005C664D" w:rsidRPr="003F3B94" w:rsidRDefault="005C664D" w:rsidP="00EF714D">
      <w:pPr>
        <w:pStyle w:val="a0"/>
        <w:ind w:left="624" w:hanging="340"/>
        <w:rPr>
          <w:rFonts w:hint="cs"/>
          <w:rtl/>
          <w:lang w:bidi="ar-SY"/>
        </w:rPr>
      </w:pPr>
      <w:r w:rsidRPr="003F3B94">
        <w:rPr>
          <w:rFonts w:hint="cs"/>
          <w:sz w:val="28"/>
          <w:rtl/>
          <w:lang w:bidi="ar-SY"/>
        </w:rPr>
        <w:t xml:space="preserve">ألف </w:t>
      </w:r>
      <w:r w:rsidRPr="003F3B94">
        <w:rPr>
          <w:rFonts w:cs="Times New Roman" w:hint="cs"/>
          <w:sz w:val="28"/>
          <w:rtl/>
          <w:lang w:bidi="ar-SY"/>
        </w:rPr>
        <w:t>–</w:t>
      </w:r>
      <w:r w:rsidRPr="003F3B94">
        <w:rPr>
          <w:rFonts w:hint="cs"/>
          <w:sz w:val="28"/>
          <w:rtl/>
          <w:lang w:bidi="ar-SY"/>
        </w:rPr>
        <w:t xml:space="preserve"> </w:t>
      </w:r>
      <w:r w:rsidRPr="003F3B94">
        <w:rPr>
          <w:rFonts w:ascii="mylotus" w:hAnsi="mylotus" w:hint="cs"/>
          <w:sz w:val="28"/>
          <w:rtl/>
          <w:lang w:bidi="ar-SY"/>
        </w:rPr>
        <w:t>قال</w:t>
      </w:r>
      <w:r w:rsidRPr="003F3B94">
        <w:rPr>
          <w:rFonts w:hint="cs"/>
          <w:sz w:val="28"/>
          <w:rtl/>
          <w:lang w:bidi="ar-SY"/>
        </w:rPr>
        <w:t xml:space="preserve"> </w:t>
      </w:r>
      <w:r w:rsidRPr="003F3B94">
        <w:rPr>
          <w:rFonts w:ascii="mylotus" w:hAnsi="mylotus" w:hint="cs"/>
          <w:sz w:val="28"/>
          <w:rtl/>
          <w:lang w:bidi="ar-SY"/>
        </w:rPr>
        <w:t>الكشي</w:t>
      </w:r>
      <w:r w:rsidRPr="003F3B94">
        <w:rPr>
          <w:rFonts w:hint="cs"/>
          <w:sz w:val="28"/>
          <w:rtl/>
          <w:lang w:bidi="ar-SY"/>
        </w:rPr>
        <w:t xml:space="preserve"> </w:t>
      </w:r>
      <w:r w:rsidRPr="003F3B94">
        <w:rPr>
          <w:rFonts w:ascii="mylotus" w:hAnsi="mylotus" w:hint="cs"/>
          <w:sz w:val="28"/>
          <w:rtl/>
          <w:lang w:bidi="ar-SY"/>
        </w:rPr>
        <w:t>في</w:t>
      </w:r>
      <w:r w:rsidRPr="003F3B94">
        <w:rPr>
          <w:rFonts w:hint="cs"/>
          <w:sz w:val="28"/>
          <w:rtl/>
          <w:lang w:bidi="ar-SY"/>
        </w:rPr>
        <w:t xml:space="preserve"> </w:t>
      </w:r>
      <w:r w:rsidRPr="003F3B94">
        <w:rPr>
          <w:rFonts w:ascii="mylotus" w:hAnsi="mylotus" w:hint="cs"/>
          <w:sz w:val="28"/>
          <w:rtl/>
          <w:lang w:bidi="ar-SY"/>
        </w:rPr>
        <w:t>رجاله</w:t>
      </w:r>
      <w:r w:rsidRPr="003F3B94">
        <w:rPr>
          <w:rFonts w:hint="cs"/>
          <w:sz w:val="28"/>
          <w:rtl/>
          <w:lang w:bidi="ar-SY"/>
        </w:rPr>
        <w:t xml:space="preserve"> </w:t>
      </w:r>
      <w:r w:rsidR="00217AB4" w:rsidRPr="003F3B94">
        <w:rPr>
          <w:rFonts w:hint="cs"/>
          <w:sz w:val="28"/>
          <w:rtl/>
          <w:lang w:bidi="ar-SY"/>
        </w:rPr>
        <w:t>(</w:t>
      </w:r>
      <w:r w:rsidRPr="003F3B94">
        <w:rPr>
          <w:rFonts w:hint="cs"/>
          <w:sz w:val="28"/>
          <w:rtl/>
          <w:lang w:bidi="ar-SY"/>
        </w:rPr>
        <w:t>ص 390</w:t>
      </w:r>
      <w:r w:rsidR="00217AB4" w:rsidRPr="003F3B94">
        <w:rPr>
          <w:rFonts w:hint="cs"/>
          <w:sz w:val="28"/>
          <w:rtl/>
          <w:lang w:bidi="ar-SY"/>
        </w:rPr>
        <w:t>)</w:t>
      </w:r>
      <w:r w:rsidRPr="003F3B94">
        <w:rPr>
          <w:rFonts w:hint="cs"/>
          <w:sz w:val="28"/>
          <w:rtl/>
          <w:lang w:bidi="ar-SY"/>
        </w:rPr>
        <w:t xml:space="preserve"> ضمن بيانه لابتداء نشأة مذهب الواقفة</w:t>
      </w:r>
      <w:r w:rsidR="00217AB4" w:rsidRPr="003F3B94">
        <w:rPr>
          <w:rFonts w:hint="cs"/>
          <w:sz w:val="28"/>
          <w:rtl/>
          <w:lang w:bidi="ar-SY"/>
        </w:rPr>
        <w:t>:</w:t>
      </w:r>
      <w:r w:rsidRPr="003F3B94">
        <w:rPr>
          <w:rFonts w:hint="cs"/>
          <w:sz w:val="28"/>
          <w:rtl/>
          <w:lang w:bidi="ar-SY"/>
        </w:rPr>
        <w:t xml:space="preserve"> </w:t>
      </w:r>
      <w:r w:rsidR="00EF2588" w:rsidRPr="003F3B94">
        <w:rPr>
          <w:rFonts w:hint="cs"/>
          <w:sz w:val="28"/>
          <w:rtl/>
          <w:lang w:bidi="ar-SY"/>
        </w:rPr>
        <w:t>«</w:t>
      </w:r>
      <w:r w:rsidRPr="003F3B94">
        <w:rPr>
          <w:rFonts w:ascii="Abo-thar" w:hAnsi="Abo-thar"/>
          <w:b/>
          <w:bCs/>
          <w:sz w:val="28"/>
          <w:rtl/>
          <w:lang w:bidi="ar-SY"/>
        </w:rPr>
        <w:t xml:space="preserve">كَانَ </w:t>
      </w:r>
      <w:r w:rsidRPr="003F3B94">
        <w:rPr>
          <w:rFonts w:ascii="Abo-thar" w:hAnsi="Abo-thar" w:hint="cs"/>
          <w:b/>
          <w:bCs/>
          <w:sz w:val="28"/>
          <w:rtl/>
          <w:lang w:bidi="ar-SY"/>
        </w:rPr>
        <w:t>بَدْءُ</w:t>
      </w:r>
      <w:r w:rsidRPr="003F3B94">
        <w:rPr>
          <w:rFonts w:ascii="Abo-thar" w:hAnsi="Abo-thar"/>
          <w:b/>
          <w:bCs/>
          <w:sz w:val="28"/>
          <w:rtl/>
          <w:lang w:bidi="ar-SY"/>
        </w:rPr>
        <w:t xml:space="preserve"> الوَاقِفَةِ أَنَّهُ كَانَ اجْتَمَعَ ثَلَاثُونَ أَلْفَ دِينَارٍ عِنْدَ الأَشَاعِثَةِ زَكَاةُ أَمْوَالِهِمْ</w:t>
      </w:r>
      <w:r w:rsidR="00217AB4" w:rsidRPr="003F3B94">
        <w:rPr>
          <w:rFonts w:hint="cs"/>
          <w:sz w:val="28"/>
          <w:rtl/>
          <w:lang w:bidi="ar-SY"/>
        </w:rPr>
        <w:t>..</w:t>
      </w:r>
      <w:r w:rsidR="00EF2588" w:rsidRPr="003F3B94">
        <w:rPr>
          <w:rFonts w:hint="cs"/>
          <w:sz w:val="28"/>
          <w:rtl/>
          <w:lang w:bidi="ar-SY"/>
        </w:rPr>
        <w:t>»</w:t>
      </w:r>
      <w:r w:rsidR="00F51ADA" w:rsidRPr="0021507A">
        <w:rPr>
          <w:rFonts w:cs="Arabic11 BT"/>
          <w:sz w:val="28"/>
          <w:vertAlign w:val="superscript"/>
          <w:rtl/>
          <w:lang w:bidi="ar-SY"/>
        </w:rPr>
        <w:t>(</w:t>
      </w:r>
      <w:r w:rsidR="00F51ADA" w:rsidRPr="0021507A">
        <w:rPr>
          <w:rStyle w:val="FootnoteReference"/>
          <w:rFonts w:cs="Arabic11 BT"/>
          <w:sz w:val="28"/>
          <w:rtl/>
          <w:lang w:bidi="ar-SY"/>
        </w:rPr>
        <w:footnoteReference w:id="388"/>
      </w:r>
      <w:r w:rsidR="00F51ADA" w:rsidRPr="0021507A">
        <w:rPr>
          <w:rFonts w:cs="Arabic11 BT"/>
          <w:sz w:val="28"/>
          <w:vertAlign w:val="superscript"/>
          <w:rtl/>
          <w:lang w:bidi="ar-SY"/>
        </w:rPr>
        <w:t>)</w:t>
      </w:r>
      <w:r w:rsidR="00217AB4" w:rsidRPr="003F3B94">
        <w:rPr>
          <w:rFonts w:hint="cs"/>
          <w:sz w:val="28"/>
          <w:rtl/>
          <w:lang w:bidi="ar-SY"/>
        </w:rPr>
        <w:t>.</w:t>
      </w:r>
    </w:p>
    <w:p w:rsidR="005C664D" w:rsidRPr="003F3B94" w:rsidRDefault="005C664D" w:rsidP="00EF714D">
      <w:pPr>
        <w:pStyle w:val="a0"/>
        <w:ind w:left="624" w:hanging="340"/>
        <w:rPr>
          <w:rFonts w:hint="cs"/>
          <w:rtl/>
          <w:lang w:bidi="ar-SY"/>
        </w:rPr>
      </w:pPr>
      <w:r w:rsidRPr="003F3B94">
        <w:rPr>
          <w:rFonts w:hint="cs"/>
          <w:sz w:val="28"/>
          <w:rtl/>
          <w:lang w:bidi="ar-SY"/>
        </w:rPr>
        <w:t>ب</w:t>
      </w:r>
      <w:r w:rsidR="00217AB4" w:rsidRPr="003F3B94">
        <w:rPr>
          <w:rFonts w:hint="cs"/>
          <w:sz w:val="28"/>
          <w:rtl/>
          <w:lang w:bidi="ar-SY"/>
        </w:rPr>
        <w:t>-</w:t>
      </w:r>
      <w:r w:rsidRPr="003F3B94">
        <w:rPr>
          <w:rFonts w:hint="cs"/>
          <w:sz w:val="28"/>
          <w:rtl/>
          <w:lang w:bidi="ar-SY"/>
        </w:rPr>
        <w:t xml:space="preserve"> وروى </w:t>
      </w:r>
      <w:r w:rsidRPr="003F3B94">
        <w:rPr>
          <w:rFonts w:ascii="Abo-thar" w:hAnsi="Abo-thar" w:hint="cs"/>
          <w:sz w:val="28"/>
          <w:rtl/>
          <w:lang w:bidi="ar-SY"/>
        </w:rPr>
        <w:t xml:space="preserve">الشيخ الطوسي في «التهذيب» </w:t>
      </w:r>
      <w:r w:rsidR="00217AB4" w:rsidRPr="003F3B94">
        <w:rPr>
          <w:rFonts w:ascii="Abo-thar" w:hAnsi="Abo-thar" w:hint="cs"/>
          <w:sz w:val="28"/>
          <w:rtl/>
          <w:lang w:bidi="ar-SY"/>
        </w:rPr>
        <w:t>(</w:t>
      </w:r>
      <w:r w:rsidRPr="003F3B94">
        <w:rPr>
          <w:rFonts w:ascii="Abo-thar" w:hAnsi="Abo-thar"/>
          <w:sz w:val="28"/>
          <w:rtl/>
          <w:lang w:bidi="ar-SY"/>
        </w:rPr>
        <w:t>ج 4</w:t>
      </w:r>
      <w:r w:rsidR="00920257" w:rsidRPr="003F3B94">
        <w:rPr>
          <w:rFonts w:ascii="Abo-thar" w:hAnsi="Abo-thar" w:hint="cs"/>
          <w:sz w:val="28"/>
          <w:rtl/>
          <w:lang w:bidi="ar-SY"/>
        </w:rPr>
        <w:t xml:space="preserve">، </w:t>
      </w:r>
      <w:r w:rsidRPr="003F3B94">
        <w:rPr>
          <w:rFonts w:ascii="Abo-thar" w:hAnsi="Abo-thar"/>
          <w:sz w:val="28"/>
          <w:rtl/>
          <w:lang w:bidi="ar-SY"/>
        </w:rPr>
        <w:t xml:space="preserve"> ص53</w:t>
      </w:r>
      <w:r w:rsidR="00217AB4" w:rsidRPr="003F3B94">
        <w:rPr>
          <w:rFonts w:ascii="Abo-thar" w:hAnsi="Abo-thar" w:hint="cs"/>
          <w:sz w:val="28"/>
          <w:rtl/>
          <w:lang w:bidi="ar-SY"/>
        </w:rPr>
        <w:t>)</w:t>
      </w:r>
      <w:r w:rsidRPr="003F3B94">
        <w:rPr>
          <w:rFonts w:ascii="Abo-thar" w:hAnsi="Abo-thar" w:hint="cs"/>
          <w:sz w:val="28"/>
          <w:rtl/>
          <w:lang w:bidi="ar-SY"/>
        </w:rPr>
        <w:t xml:space="preserve"> بإسناده </w:t>
      </w:r>
      <w:r w:rsidR="00EF2588" w:rsidRPr="00394385">
        <w:rPr>
          <w:rFonts w:ascii="Abo-thar" w:hAnsi="Abo-thar" w:cs="KFGQPC Uthman Taha Naskh" w:hint="cs"/>
          <w:sz w:val="28"/>
          <w:rtl/>
          <w:lang w:bidi="ar-SY"/>
        </w:rPr>
        <w:t>«</w:t>
      </w:r>
      <w:r w:rsidRPr="00394385">
        <w:rPr>
          <w:rFonts w:ascii="Abo-thar" w:hAnsi="Abo-thar" w:cs="KFGQPC Uthman Taha Naskh"/>
          <w:b/>
          <w:bCs/>
          <w:sz w:val="28"/>
          <w:rtl/>
          <w:lang w:bidi="ar-SY"/>
        </w:rPr>
        <w:t>عَنْ إِبْرَاهِيمَ‏</w:t>
      </w:r>
      <w:r w:rsidRPr="00394385">
        <w:rPr>
          <w:rFonts w:ascii="Abo-thar" w:hAnsi="Abo-thar" w:cs="KFGQPC Uthman Taha Naskh" w:hint="cs"/>
          <w:b/>
          <w:bCs/>
          <w:sz w:val="28"/>
          <w:rtl/>
          <w:lang w:bidi="ar-SY"/>
        </w:rPr>
        <w:t xml:space="preserve"> ال</w:t>
      </w:r>
      <w:r w:rsidRPr="00394385">
        <w:rPr>
          <w:rFonts w:ascii="Abo-thar" w:hAnsi="Abo-thar" w:cs="KFGQPC Uthman Taha Naskh"/>
          <w:b/>
          <w:bCs/>
          <w:sz w:val="28"/>
          <w:rtl/>
          <w:lang w:bidi="ar-SY"/>
        </w:rPr>
        <w:t xml:space="preserve">أَوْسِيِّ عَنِ الرِّضَا </w:t>
      </w:r>
      <w:r w:rsidR="00BC4BA9" w:rsidRPr="00BC4BA9">
        <w:rPr>
          <w:rFonts w:ascii="Abo-thar" w:hAnsi="Abo-thar" w:cs="CTraditional Arabic"/>
          <w:b/>
          <w:sz w:val="28"/>
          <w:rtl/>
          <w:lang w:bidi="ar-SY"/>
        </w:rPr>
        <w:t>÷</w:t>
      </w:r>
      <w:r w:rsidRPr="00394385">
        <w:rPr>
          <w:rFonts w:ascii="Abo-thar" w:hAnsi="Abo-thar" w:cs="KFGQPC Uthman Taha Naskh"/>
          <w:b/>
          <w:bCs/>
          <w:sz w:val="28"/>
          <w:rtl/>
          <w:lang w:bidi="ar-SY"/>
        </w:rPr>
        <w:t xml:space="preserve"> قَالَ</w:t>
      </w:r>
      <w:r w:rsidR="00217AB4" w:rsidRPr="00394385">
        <w:rPr>
          <w:rFonts w:ascii="Abo-thar" w:hAnsi="Abo-thar" w:cs="KFGQPC Uthman Taha Naskh" w:hint="cs"/>
          <w:b/>
          <w:bCs/>
          <w:sz w:val="28"/>
          <w:rtl/>
          <w:lang w:bidi="ar-SY"/>
        </w:rPr>
        <w:t>:</w:t>
      </w:r>
      <w:r w:rsidRPr="00394385">
        <w:rPr>
          <w:rFonts w:ascii="Abo-thar" w:hAnsi="Abo-thar" w:cs="KFGQPC Uthman Taha Naskh"/>
          <w:b/>
          <w:bCs/>
          <w:sz w:val="28"/>
          <w:rtl/>
          <w:lang w:bidi="ar-SY"/>
        </w:rPr>
        <w:t xml:space="preserve"> سَمِعْتُ أَبِي يَقُولُ</w:t>
      </w:r>
      <w:r w:rsidR="00217AB4" w:rsidRPr="00394385">
        <w:rPr>
          <w:rFonts w:ascii="Abo-thar" w:hAnsi="Abo-thar" w:cs="KFGQPC Uthman Taha Naskh" w:hint="cs"/>
          <w:b/>
          <w:bCs/>
          <w:sz w:val="28"/>
          <w:rtl/>
          <w:lang w:bidi="ar-SY"/>
        </w:rPr>
        <w:t>:</w:t>
      </w:r>
      <w:r w:rsidRPr="00394385">
        <w:rPr>
          <w:rFonts w:ascii="Abo-thar" w:hAnsi="Abo-thar" w:cs="KFGQPC Uthman Taha Naskh"/>
          <w:b/>
          <w:bCs/>
          <w:sz w:val="28"/>
          <w:rtl/>
          <w:lang w:bidi="ar-SY"/>
        </w:rPr>
        <w:t xml:space="preserve"> كُنْتُ عِنْدَ أَبِي يَوْماً فَأَتَاهُ رَجُلٌ فَقَالَ</w:t>
      </w:r>
      <w:r w:rsidR="00217AB4" w:rsidRPr="00394385">
        <w:rPr>
          <w:rFonts w:ascii="Abo-thar" w:hAnsi="Abo-thar" w:cs="KFGQPC Uthman Taha Naskh" w:hint="cs"/>
          <w:b/>
          <w:bCs/>
          <w:sz w:val="28"/>
          <w:rtl/>
          <w:lang w:bidi="ar-SY"/>
        </w:rPr>
        <w:t>:</w:t>
      </w:r>
      <w:r w:rsidRPr="00394385">
        <w:rPr>
          <w:rFonts w:ascii="Abo-thar" w:hAnsi="Abo-thar" w:cs="KFGQPC Uthman Taha Naskh"/>
          <w:b/>
          <w:bCs/>
          <w:sz w:val="28"/>
          <w:rtl/>
          <w:lang w:bidi="ar-SY"/>
        </w:rPr>
        <w:t xml:space="preserve"> إِنِّي رَجُلٌ مِنْ أَهْلِ الرَّيِّ ولِي زَكَاةٌ فَإِلَى مَنْ أَدْفَعُهَا</w:t>
      </w:r>
      <w:r w:rsidR="00217AB4" w:rsidRPr="00394385">
        <w:rPr>
          <w:rFonts w:ascii="Abo-thar" w:hAnsi="Abo-thar" w:cs="KFGQPC Uthman Taha Naskh" w:hint="cs"/>
          <w:b/>
          <w:bCs/>
          <w:sz w:val="28"/>
          <w:rtl/>
          <w:lang w:bidi="ar-SY"/>
        </w:rPr>
        <w:t>؟</w:t>
      </w:r>
      <w:r w:rsidRPr="00394385">
        <w:rPr>
          <w:rFonts w:ascii="Abo-thar" w:hAnsi="Abo-thar" w:cs="KFGQPC Uthman Taha Naskh"/>
          <w:b/>
          <w:bCs/>
          <w:sz w:val="28"/>
          <w:rtl/>
          <w:lang w:bidi="ar-SY"/>
        </w:rPr>
        <w:t xml:space="preserve"> قَالَ</w:t>
      </w:r>
      <w:r w:rsidR="00217AB4" w:rsidRPr="00394385">
        <w:rPr>
          <w:rFonts w:ascii="Abo-thar" w:hAnsi="Abo-thar" w:cs="KFGQPC Uthman Taha Naskh" w:hint="cs"/>
          <w:b/>
          <w:bCs/>
          <w:sz w:val="28"/>
          <w:rtl/>
          <w:lang w:bidi="ar-SY"/>
        </w:rPr>
        <w:t>:</w:t>
      </w:r>
      <w:r w:rsidRPr="00394385">
        <w:rPr>
          <w:rFonts w:ascii="Abo-thar" w:hAnsi="Abo-thar" w:cs="KFGQPC Uthman Taha Naskh"/>
          <w:b/>
          <w:bCs/>
          <w:sz w:val="28"/>
          <w:rtl/>
          <w:lang w:bidi="ar-SY"/>
        </w:rPr>
        <w:t xml:space="preserve"> إِلَيْنَا</w:t>
      </w:r>
      <w:r w:rsidR="00217AB4" w:rsidRPr="00394385">
        <w:rPr>
          <w:rFonts w:ascii="Abo-thar" w:hAnsi="Abo-thar" w:cs="KFGQPC Uthman Taha Naskh" w:hint="cs"/>
          <w:b/>
          <w:bCs/>
          <w:sz w:val="28"/>
          <w:rtl/>
          <w:lang w:bidi="ar-SY"/>
        </w:rPr>
        <w:t>.</w:t>
      </w:r>
      <w:r w:rsidRPr="00394385">
        <w:rPr>
          <w:rFonts w:ascii="Abo-thar" w:hAnsi="Abo-thar" w:cs="KFGQPC Uthman Taha Naskh"/>
          <w:b/>
          <w:bCs/>
          <w:sz w:val="28"/>
          <w:rtl/>
          <w:lang w:bidi="ar-SY"/>
        </w:rPr>
        <w:t xml:space="preserve"> فَقَالَ أَلَيْسَ الصَّدَقَةُ مُحَرَّمَةً عَلَيْكُمْ فَقَالَ بَلَى إِذَا دَفَعْتَهَا إِلَى شِيعَتِنَا فَقَدْ دَفَعْتَهَا إِلَيْنَا</w:t>
      </w:r>
      <w:r w:rsidR="00217AB4" w:rsidRPr="00394385">
        <w:rPr>
          <w:rFonts w:ascii="Abo-thar" w:hAnsi="Abo-thar" w:cs="KFGQPC Uthman Taha Naskh" w:hint="cs"/>
          <w:sz w:val="28"/>
          <w:rtl/>
          <w:lang w:bidi="ar-SY"/>
        </w:rPr>
        <w:t>...</w:t>
      </w:r>
      <w:r w:rsidR="00EF2588" w:rsidRPr="00394385">
        <w:rPr>
          <w:rFonts w:ascii="Abo-thar" w:hAnsi="Abo-thar" w:cs="KFGQPC Uthman Taha Naskh" w:hint="cs"/>
          <w:sz w:val="28"/>
          <w:rtl/>
          <w:lang w:bidi="ar-SY"/>
        </w:rPr>
        <w:t>»</w:t>
      </w:r>
      <w:r w:rsidR="00F51ADA" w:rsidRPr="0021507A">
        <w:rPr>
          <w:rFonts w:ascii="Abo-thar" w:hAnsi="Abo-thar" w:cs="Arabic11 BT"/>
          <w:sz w:val="28"/>
          <w:vertAlign w:val="superscript"/>
          <w:rtl/>
          <w:lang w:bidi="ar-SY"/>
        </w:rPr>
        <w:t>(</w:t>
      </w:r>
      <w:r w:rsidR="00F51ADA" w:rsidRPr="0021507A">
        <w:rPr>
          <w:rStyle w:val="FootnoteReference"/>
          <w:rFonts w:cs="Arabic11 BT"/>
          <w:sz w:val="28"/>
          <w:rtl/>
          <w:lang w:bidi="ar-SY"/>
        </w:rPr>
        <w:footnoteReference w:id="389"/>
      </w:r>
      <w:r w:rsidR="00F51ADA" w:rsidRPr="0021507A">
        <w:rPr>
          <w:rFonts w:ascii="Abo-thar" w:hAnsi="Abo-thar" w:cs="Arabic11 BT"/>
          <w:sz w:val="28"/>
          <w:vertAlign w:val="superscript"/>
          <w:rtl/>
          <w:lang w:bidi="ar-SY"/>
        </w:rPr>
        <w:t>)</w:t>
      </w:r>
      <w:r w:rsidR="00217AB4" w:rsidRPr="003F3B94">
        <w:rPr>
          <w:rFonts w:hint="cs"/>
          <w:sz w:val="28"/>
          <w:rtl/>
          <w:lang w:bidi="ar-SY"/>
        </w:rPr>
        <w:t>.</w:t>
      </w:r>
    </w:p>
    <w:p w:rsidR="005C664D" w:rsidRPr="003F3B94" w:rsidRDefault="005C664D" w:rsidP="00EF714D">
      <w:pPr>
        <w:pStyle w:val="a0"/>
        <w:ind w:left="624" w:firstLine="0"/>
        <w:rPr>
          <w:rFonts w:hint="cs"/>
          <w:rtl/>
          <w:lang w:bidi="ar-SY"/>
        </w:rPr>
      </w:pPr>
      <w:r w:rsidRPr="003F3B94">
        <w:rPr>
          <w:rFonts w:hint="cs"/>
          <w:sz w:val="28"/>
          <w:rtl/>
          <w:lang w:bidi="ar-SY"/>
        </w:rPr>
        <w:t>ومن البديهي أنه لما يسأل رجل الإمام إلى من يدفع زكاة ماله فيجيبه الإمام إلينا فهذا معناه أنه كان من الواجب عليهم دفع الزكاة إلى إمام زمانهم</w:t>
      </w:r>
      <w:r w:rsidR="00217AB4" w:rsidRPr="003F3B94">
        <w:rPr>
          <w:rFonts w:hint="cs"/>
          <w:sz w:val="28"/>
          <w:rtl/>
          <w:lang w:bidi="ar-SY"/>
        </w:rPr>
        <w:t>،</w:t>
      </w:r>
      <w:r w:rsidRPr="003F3B94">
        <w:rPr>
          <w:rFonts w:hint="cs"/>
          <w:sz w:val="28"/>
          <w:rtl/>
          <w:lang w:bidi="ar-SY"/>
        </w:rPr>
        <w:t xml:space="preserve"> وهكذا كانوا يفعلون</w:t>
      </w:r>
      <w:r w:rsidR="00217AB4" w:rsidRPr="003F3B94">
        <w:rPr>
          <w:rFonts w:hint="cs"/>
          <w:sz w:val="28"/>
          <w:rtl/>
          <w:lang w:bidi="ar-SY"/>
        </w:rPr>
        <w:t>.</w:t>
      </w:r>
    </w:p>
    <w:p w:rsidR="005C664D" w:rsidRPr="003F3B94" w:rsidRDefault="005C664D" w:rsidP="00EF714D">
      <w:pPr>
        <w:pStyle w:val="a0"/>
        <w:ind w:left="624" w:hanging="340"/>
        <w:rPr>
          <w:rtl/>
          <w:lang w:bidi="ar-SY"/>
        </w:rPr>
      </w:pPr>
      <w:r w:rsidRPr="003F3B94">
        <w:rPr>
          <w:rFonts w:hint="cs"/>
          <w:sz w:val="28"/>
          <w:rtl/>
          <w:lang w:bidi="ar-SY"/>
        </w:rPr>
        <w:t>ج</w:t>
      </w:r>
      <w:r w:rsidR="00217AB4" w:rsidRPr="003F3B94">
        <w:rPr>
          <w:rFonts w:hint="cs"/>
          <w:sz w:val="28"/>
          <w:rtl/>
          <w:lang w:bidi="ar-SY"/>
        </w:rPr>
        <w:t>-</w:t>
      </w:r>
      <w:r w:rsidRPr="003F3B94">
        <w:rPr>
          <w:rFonts w:hint="cs"/>
          <w:sz w:val="28"/>
          <w:rtl/>
          <w:lang w:bidi="ar-SY"/>
        </w:rPr>
        <w:t xml:space="preserve"> وروى </w:t>
      </w:r>
      <w:r w:rsidRPr="003F3B94">
        <w:rPr>
          <w:rFonts w:ascii="Abo-thar" w:hAnsi="Abo-thar" w:hint="cs"/>
          <w:sz w:val="28"/>
          <w:rtl/>
          <w:lang w:bidi="ar-SY"/>
        </w:rPr>
        <w:t>الشيخ الطوسي في «التهذيب» بإسناده</w:t>
      </w:r>
      <w:r w:rsidRPr="003F3B94">
        <w:rPr>
          <w:rFonts w:hint="cs"/>
          <w:sz w:val="28"/>
          <w:rtl/>
          <w:lang w:bidi="ar-SY"/>
        </w:rPr>
        <w:t xml:space="preserve"> </w:t>
      </w:r>
      <w:r w:rsidR="00EF2588" w:rsidRPr="00394385">
        <w:rPr>
          <w:rFonts w:cs="KFGQPC Uthman Taha Naskh" w:hint="cs"/>
          <w:sz w:val="28"/>
          <w:rtl/>
          <w:lang w:bidi="ar-SY"/>
        </w:rPr>
        <w:t>«</w:t>
      </w:r>
      <w:r w:rsidRPr="00394385">
        <w:rPr>
          <w:rFonts w:cs="KFGQPC Uthman Taha Naskh"/>
          <w:b/>
          <w:bCs/>
          <w:sz w:val="28"/>
          <w:rtl/>
          <w:lang w:bidi="ar-SY"/>
        </w:rPr>
        <w:t xml:space="preserve">عَنْ مُحَمَّدِ بْنِ إِسْمَاعِيلَ بْنِ بَزِيعٍ قَالَ بَعَثْتُ إِلَى الرِّضَا </w:t>
      </w:r>
      <w:r w:rsidR="00BC4BA9" w:rsidRPr="00BC4BA9">
        <w:rPr>
          <w:rFonts w:cs="CTraditional Arabic"/>
          <w:b/>
          <w:sz w:val="28"/>
          <w:rtl/>
          <w:lang w:bidi="ar-SY"/>
        </w:rPr>
        <w:t>÷</w:t>
      </w:r>
      <w:r w:rsidRPr="00394385">
        <w:rPr>
          <w:rFonts w:cs="KFGQPC Uthman Taha Naskh"/>
          <w:b/>
          <w:bCs/>
          <w:sz w:val="28"/>
          <w:rtl/>
          <w:lang w:bidi="ar-SY"/>
        </w:rPr>
        <w:t xml:space="preserve"> بِدَنَانِيرَ مِنْ قِبَلِ بَعْضِ أَهْلِي وكَتَبْتُ إِلَيْهِ أُخْبِرُهُ أَنَّ فِيهَا زَكَاةً خَمْسَةً وسَبْعِينَ والْبَاقِيَ صِلَةٌ فَكَتَبَ </w:t>
      </w:r>
      <w:r w:rsidR="00BC4BA9" w:rsidRPr="00BC4BA9">
        <w:rPr>
          <w:rFonts w:cs="CTraditional Arabic"/>
          <w:b/>
          <w:sz w:val="28"/>
          <w:rtl/>
          <w:lang w:bidi="ar-SY"/>
        </w:rPr>
        <w:t>÷</w:t>
      </w:r>
      <w:r w:rsidRPr="00394385">
        <w:rPr>
          <w:rFonts w:cs="KFGQPC Uthman Taha Naskh"/>
          <w:b/>
          <w:bCs/>
          <w:sz w:val="28"/>
          <w:rtl/>
          <w:lang w:bidi="ar-SY"/>
        </w:rPr>
        <w:t xml:space="preserve"> بِخَطِّهِ قَبَضْتُ وبَعَثْتُ إِلَيْهِ دَنَانِيرَ لِي ولِغَيْرِي وكَتَبْتُ إِلَيْهِ أَنَّهَا مِنْ فِطْرَةِ العِيَالِ فَكَتَبَ‏</w:t>
      </w:r>
      <w:r w:rsidRPr="00394385">
        <w:rPr>
          <w:rFonts w:cs="KFGQPC Uthman Taha Naskh" w:hint="cs"/>
          <w:b/>
          <w:bCs/>
          <w:sz w:val="28"/>
          <w:rtl/>
          <w:lang w:bidi="ar-SY"/>
        </w:rPr>
        <w:t xml:space="preserve"> </w:t>
      </w:r>
      <w:r w:rsidR="00BC4BA9" w:rsidRPr="00BC4BA9">
        <w:rPr>
          <w:rFonts w:cs="CTraditional Arabic" w:hint="cs"/>
          <w:b/>
          <w:sz w:val="28"/>
          <w:rtl/>
          <w:lang w:bidi="ar-SY"/>
        </w:rPr>
        <w:t>÷</w:t>
      </w:r>
      <w:r w:rsidRPr="00394385">
        <w:rPr>
          <w:rFonts w:cs="KFGQPC Uthman Taha Naskh" w:hint="cs"/>
          <w:b/>
          <w:bCs/>
          <w:sz w:val="28"/>
          <w:rtl/>
          <w:lang w:bidi="ar-SY"/>
        </w:rPr>
        <w:t xml:space="preserve"> </w:t>
      </w:r>
      <w:r w:rsidRPr="00394385">
        <w:rPr>
          <w:rFonts w:cs="KFGQPC Uthman Taha Naskh"/>
          <w:b/>
          <w:bCs/>
          <w:sz w:val="28"/>
          <w:rtl/>
          <w:lang w:bidi="ar-SY"/>
        </w:rPr>
        <w:t>بِخَطِّهِ قَبَضْتُ</w:t>
      </w:r>
      <w:r w:rsidR="00F51ADA" w:rsidRPr="00EF714D">
        <w:rPr>
          <w:rFonts w:cs="Arabic11 BT"/>
          <w:b/>
          <w:sz w:val="28"/>
          <w:vertAlign w:val="superscript"/>
          <w:rtl/>
          <w:lang w:bidi="ar-SY"/>
        </w:rPr>
        <w:t>(</w:t>
      </w:r>
      <w:r w:rsidR="00F51ADA" w:rsidRPr="00EF714D">
        <w:rPr>
          <w:rStyle w:val="FootnoteReference"/>
          <w:rFonts w:cs="Arabic11 BT"/>
          <w:b/>
          <w:sz w:val="28"/>
          <w:rtl/>
          <w:lang w:bidi="ar-SY"/>
        </w:rPr>
        <w:footnoteReference w:id="390"/>
      </w:r>
      <w:r w:rsidR="00F51ADA" w:rsidRPr="00EF714D">
        <w:rPr>
          <w:rFonts w:cs="Arabic11 BT"/>
          <w:b/>
          <w:sz w:val="28"/>
          <w:vertAlign w:val="superscript"/>
          <w:rtl/>
          <w:lang w:bidi="ar-SY"/>
        </w:rPr>
        <w:t>)</w:t>
      </w:r>
      <w:r w:rsidR="00EF2588" w:rsidRPr="00394385">
        <w:rPr>
          <w:rFonts w:cs="KFGQPC Uthman Taha Naskh" w:hint="cs"/>
          <w:sz w:val="28"/>
          <w:rtl/>
          <w:lang w:bidi="ar-SY"/>
        </w:rPr>
        <w:t>»</w:t>
      </w:r>
      <w:r w:rsidR="00217AB4" w:rsidRPr="0021507A">
        <w:rPr>
          <w:rFonts w:cs="Arabic11 BT"/>
          <w:b/>
          <w:sz w:val="28"/>
          <w:vertAlign w:val="superscript"/>
          <w:rtl/>
          <w:lang w:bidi="ar-SY"/>
        </w:rPr>
        <w:t>(</w:t>
      </w:r>
      <w:r w:rsidRPr="0021507A">
        <w:rPr>
          <w:rStyle w:val="FootnoteReference"/>
          <w:rFonts w:cs="Arabic11 BT"/>
          <w:b/>
          <w:sz w:val="28"/>
          <w:rtl/>
          <w:lang w:bidi="ar-SY"/>
        </w:rPr>
        <w:footnoteReference w:id="391"/>
      </w:r>
      <w:r w:rsidR="00217AB4" w:rsidRPr="0021507A">
        <w:rPr>
          <w:rFonts w:cs="Arabic11 BT"/>
          <w:b/>
          <w:sz w:val="28"/>
          <w:vertAlign w:val="superscript"/>
          <w:rtl/>
          <w:lang w:bidi="ar-SY"/>
        </w:rPr>
        <w:t>)</w:t>
      </w:r>
      <w:r w:rsidR="00217AB4" w:rsidRPr="003F3B94">
        <w:rPr>
          <w:rFonts w:hint="cs"/>
          <w:sz w:val="28"/>
          <w:rtl/>
          <w:lang w:bidi="ar-SY"/>
        </w:rPr>
        <w:t>.</w:t>
      </w:r>
    </w:p>
    <w:p w:rsidR="005C664D" w:rsidRPr="003F3B94" w:rsidRDefault="005C664D" w:rsidP="003F3B94">
      <w:pPr>
        <w:pStyle w:val="a0"/>
        <w:rPr>
          <w:rFonts w:hint="cs"/>
          <w:rtl/>
          <w:lang w:bidi="ar-SY"/>
        </w:rPr>
      </w:pPr>
      <w:r w:rsidRPr="003F3B94">
        <w:rPr>
          <w:rFonts w:hint="cs"/>
          <w:sz w:val="28"/>
          <w:rtl/>
          <w:lang w:bidi="ar-SY"/>
        </w:rPr>
        <w:t>فهذا الحديث يبين أن الشيعة كانوا يرسلون زكاة أموالهم وفطرتهم وفطرة عيالهم إلى إمام زمانهم</w:t>
      </w:r>
      <w:r w:rsidR="00217AB4" w:rsidRPr="003F3B94">
        <w:rPr>
          <w:rFonts w:hint="cs"/>
          <w:sz w:val="28"/>
          <w:rtl/>
          <w:lang w:bidi="ar-SY"/>
        </w:rPr>
        <w:t>.</w:t>
      </w:r>
    </w:p>
    <w:p w:rsidR="005C664D" w:rsidRPr="003F3B94" w:rsidRDefault="005C664D" w:rsidP="003F3B94">
      <w:pPr>
        <w:pStyle w:val="a0"/>
        <w:rPr>
          <w:rFonts w:hint="cs"/>
          <w:rtl/>
          <w:lang w:bidi="ar-SY"/>
        </w:rPr>
      </w:pPr>
      <w:bookmarkStart w:id="141" w:name="_Toc215491162"/>
      <w:bookmarkStart w:id="142" w:name="_Toc215498081"/>
      <w:r w:rsidRPr="003F3B94">
        <w:rPr>
          <w:rFonts w:hint="cs"/>
          <w:b/>
          <w:bCs/>
          <w:sz w:val="28"/>
          <w:rtl/>
          <w:lang w:bidi="ar-SY"/>
        </w:rPr>
        <w:t>النوع الثاني</w:t>
      </w:r>
      <w:r w:rsidR="00217AB4" w:rsidRPr="003F3B94">
        <w:rPr>
          <w:rFonts w:hint="cs"/>
          <w:b/>
          <w:bCs/>
          <w:sz w:val="28"/>
          <w:rtl/>
          <w:lang w:bidi="ar-SY"/>
        </w:rPr>
        <w:t>:</w:t>
      </w:r>
      <w:r w:rsidRPr="003F3B94">
        <w:rPr>
          <w:rFonts w:hint="cs"/>
          <w:b/>
          <w:bCs/>
          <w:sz w:val="28"/>
          <w:rtl/>
          <w:lang w:bidi="ar-SY"/>
        </w:rPr>
        <w:t xml:space="preserve"> الأوقاف</w:t>
      </w:r>
      <w:bookmarkEnd w:id="141"/>
      <w:bookmarkEnd w:id="142"/>
      <w:r w:rsidR="001E0DB7" w:rsidRPr="003F3B94">
        <w:rPr>
          <w:rFonts w:hint="cs"/>
          <w:b/>
          <w:bCs/>
          <w:sz w:val="28"/>
          <w:rtl/>
          <w:lang w:bidi="ar-SY"/>
        </w:rPr>
        <w:t>:</w:t>
      </w:r>
    </w:p>
    <w:p w:rsidR="005C664D" w:rsidRPr="003F3B94" w:rsidRDefault="005C664D" w:rsidP="003F3B94">
      <w:pPr>
        <w:pStyle w:val="a0"/>
        <w:rPr>
          <w:rFonts w:hint="cs"/>
          <w:rtl/>
          <w:lang w:bidi="ar-SY"/>
        </w:rPr>
      </w:pPr>
      <w:r w:rsidRPr="003F3B94">
        <w:rPr>
          <w:rFonts w:hint="cs"/>
          <w:sz w:val="28"/>
          <w:rtl/>
          <w:lang w:bidi="ar-SY"/>
        </w:rPr>
        <w:t xml:space="preserve">من الأموال الأخرى التي كانت تُعْطى إلى </w:t>
      </w:r>
      <w:r w:rsidRPr="003F3B94">
        <w:rPr>
          <w:rFonts w:ascii="Abo-thar" w:hAnsi="Abo-thar" w:hint="cs"/>
          <w:sz w:val="28"/>
          <w:rtl/>
          <w:lang w:bidi="ar-SY"/>
        </w:rPr>
        <w:t>الأئمة</w:t>
      </w:r>
      <w:r w:rsidR="00147857" w:rsidRPr="003F3B94">
        <w:rPr>
          <w:rFonts w:ascii="Abo-thar" w:hAnsi="Abo-thar" w:hint="cs"/>
          <w:sz w:val="28"/>
          <w:rtl/>
          <w:lang w:bidi="ar-SY"/>
        </w:rPr>
        <w:t xml:space="preserve"> </w:t>
      </w:r>
      <w:r w:rsidR="00963EFD" w:rsidRPr="00963EFD">
        <w:rPr>
          <w:rFonts w:ascii="Abo-thar" w:hAnsi="Abo-thar" w:cs="CTraditional Arabic"/>
          <w:sz w:val="28"/>
          <w:rtl/>
          <w:lang w:bidi="ar-SY"/>
        </w:rPr>
        <w:t>‡</w:t>
      </w:r>
      <w:r w:rsidR="00147857" w:rsidRPr="003F3B94">
        <w:rPr>
          <w:rFonts w:ascii="Abo-thar" w:hAnsi="Abo-thar"/>
          <w:sz w:val="28"/>
          <w:rtl/>
          <w:lang w:bidi="ar-SY"/>
        </w:rPr>
        <w:t xml:space="preserve"> </w:t>
      </w:r>
      <w:r w:rsidRPr="003F3B94">
        <w:rPr>
          <w:rFonts w:hint="cs"/>
          <w:sz w:val="28"/>
          <w:rtl/>
          <w:lang w:bidi="ar-SY"/>
        </w:rPr>
        <w:t>أن بعض الشيعة كانوا يخصصون شيئاً من أموالهم وخاصة من أوقافهم للأئمة</w:t>
      </w:r>
      <w:r w:rsidR="00147857" w:rsidRPr="003F3B94">
        <w:rPr>
          <w:rFonts w:hint="cs"/>
          <w:sz w:val="28"/>
          <w:rtl/>
          <w:lang w:bidi="ar-SY"/>
        </w:rPr>
        <w:t xml:space="preserve"> </w:t>
      </w:r>
      <w:r w:rsidR="00963EFD" w:rsidRPr="00963EFD">
        <w:rPr>
          <w:rFonts w:ascii="Abo-thar" w:hAnsi="Abo-thar" w:cs="CTraditional Arabic"/>
          <w:sz w:val="28"/>
          <w:rtl/>
          <w:lang w:bidi="ar-SY"/>
        </w:rPr>
        <w:t>‡</w:t>
      </w:r>
      <w:r w:rsidR="00217AB4" w:rsidRPr="003F3B94">
        <w:rPr>
          <w:rFonts w:ascii="Abo-thar" w:hAnsi="Abo-thar"/>
          <w:sz w:val="28"/>
          <w:rtl/>
          <w:lang w:bidi="ar-SY"/>
        </w:rPr>
        <w:t>:</w:t>
      </w:r>
    </w:p>
    <w:p w:rsidR="005C664D" w:rsidRPr="00EF714D" w:rsidRDefault="005C664D" w:rsidP="00EF714D">
      <w:pPr>
        <w:pStyle w:val="a0"/>
        <w:ind w:left="624" w:hanging="340"/>
        <w:rPr>
          <w:rFonts w:hint="cs"/>
          <w:spacing w:val="-2"/>
          <w:rtl/>
          <w:lang w:bidi="ar-SY"/>
        </w:rPr>
      </w:pPr>
      <w:r w:rsidRPr="00EF714D">
        <w:rPr>
          <w:rFonts w:hint="cs"/>
          <w:spacing w:val="-2"/>
          <w:sz w:val="28"/>
          <w:rtl/>
          <w:lang w:bidi="ar-SY"/>
        </w:rPr>
        <w:t>ألف</w:t>
      </w:r>
      <w:r w:rsidR="00EF714D" w:rsidRPr="00EF714D">
        <w:rPr>
          <w:rFonts w:hint="cs"/>
          <w:spacing w:val="-2"/>
          <w:sz w:val="28"/>
          <w:rtl/>
          <w:lang w:bidi="ar-SY"/>
        </w:rPr>
        <w:t>-</w:t>
      </w:r>
      <w:r w:rsidRPr="00EF714D">
        <w:rPr>
          <w:rFonts w:hint="cs"/>
          <w:spacing w:val="-2"/>
          <w:sz w:val="28"/>
          <w:rtl/>
          <w:lang w:bidi="ar-SY"/>
        </w:rPr>
        <w:t xml:space="preserve"> </w:t>
      </w:r>
      <w:r w:rsidRPr="00EF714D">
        <w:rPr>
          <w:rFonts w:ascii="mylotus" w:hAnsi="mylotus" w:hint="cs"/>
          <w:spacing w:val="-2"/>
          <w:sz w:val="28"/>
          <w:rtl/>
          <w:lang w:bidi="ar-SY"/>
        </w:rPr>
        <w:t>كما</w:t>
      </w:r>
      <w:r w:rsidRPr="00EF714D">
        <w:rPr>
          <w:rFonts w:hint="cs"/>
          <w:spacing w:val="-2"/>
          <w:sz w:val="28"/>
          <w:rtl/>
          <w:lang w:bidi="ar-SY"/>
        </w:rPr>
        <w:t xml:space="preserve"> </w:t>
      </w:r>
      <w:r w:rsidRPr="00EF714D">
        <w:rPr>
          <w:rFonts w:ascii="mylotus" w:hAnsi="mylotus" w:hint="cs"/>
          <w:spacing w:val="-2"/>
          <w:sz w:val="28"/>
          <w:rtl/>
          <w:lang w:bidi="ar-SY"/>
        </w:rPr>
        <w:t>جاء</w:t>
      </w:r>
      <w:r w:rsidRPr="00EF714D">
        <w:rPr>
          <w:rFonts w:hint="cs"/>
          <w:spacing w:val="-2"/>
          <w:sz w:val="28"/>
          <w:rtl/>
          <w:lang w:bidi="ar-SY"/>
        </w:rPr>
        <w:t xml:space="preserve"> </w:t>
      </w:r>
      <w:r w:rsidRPr="00EF714D">
        <w:rPr>
          <w:rFonts w:ascii="mylotus" w:hAnsi="mylotus" w:hint="cs"/>
          <w:spacing w:val="-2"/>
          <w:sz w:val="28"/>
          <w:rtl/>
          <w:lang w:bidi="ar-SY"/>
        </w:rPr>
        <w:t>في</w:t>
      </w:r>
      <w:r w:rsidRPr="00EF714D">
        <w:rPr>
          <w:rFonts w:hint="cs"/>
          <w:spacing w:val="-2"/>
          <w:sz w:val="28"/>
          <w:rtl/>
          <w:lang w:bidi="ar-SY"/>
        </w:rPr>
        <w:t xml:space="preserve"> </w:t>
      </w:r>
      <w:r w:rsidRPr="00EF714D">
        <w:rPr>
          <w:rFonts w:ascii="mylotus" w:hAnsi="mylotus" w:hint="cs"/>
          <w:spacing w:val="-2"/>
          <w:sz w:val="28"/>
          <w:rtl/>
          <w:lang w:bidi="ar-SY"/>
        </w:rPr>
        <w:t>كتاب</w:t>
      </w:r>
      <w:r w:rsidRPr="00EF714D">
        <w:rPr>
          <w:rFonts w:hint="cs"/>
          <w:spacing w:val="-2"/>
          <w:sz w:val="28"/>
          <w:rtl/>
          <w:lang w:bidi="ar-SY"/>
        </w:rPr>
        <w:t xml:space="preserve"> </w:t>
      </w:r>
      <w:r w:rsidRPr="00EF714D">
        <w:rPr>
          <w:rFonts w:ascii="Abo-thar" w:hAnsi="Abo-thar" w:hint="cs"/>
          <w:spacing w:val="-2"/>
          <w:sz w:val="28"/>
          <w:rtl/>
          <w:lang w:bidi="ar-SY"/>
        </w:rPr>
        <w:t xml:space="preserve">«من لا يحضـره الفقيه» </w:t>
      </w:r>
      <w:r w:rsidRPr="00EF714D">
        <w:rPr>
          <w:rFonts w:hint="cs"/>
          <w:spacing w:val="-2"/>
          <w:sz w:val="28"/>
          <w:rtl/>
          <w:lang w:bidi="ar-SY"/>
        </w:rPr>
        <w:t>في باب الوقف</w:t>
      </w:r>
      <w:r w:rsidR="00217AB4" w:rsidRPr="00EF714D">
        <w:rPr>
          <w:rFonts w:hint="cs"/>
          <w:spacing w:val="-2"/>
          <w:sz w:val="28"/>
          <w:rtl/>
          <w:lang w:bidi="ar-SY"/>
        </w:rPr>
        <w:t>:</w:t>
      </w:r>
      <w:r w:rsidRPr="00EF714D">
        <w:rPr>
          <w:rFonts w:hint="cs"/>
          <w:spacing w:val="-2"/>
          <w:sz w:val="28"/>
          <w:rtl/>
          <w:lang w:bidi="ar-SY"/>
        </w:rPr>
        <w:t xml:space="preserve"> </w:t>
      </w:r>
      <w:r w:rsidR="00EF2588" w:rsidRPr="00EF714D">
        <w:rPr>
          <w:rFonts w:cs="KFGQPC Uthman Taha Naskh" w:hint="cs"/>
          <w:spacing w:val="-2"/>
          <w:sz w:val="28"/>
          <w:rtl/>
          <w:lang w:bidi="ar-SY"/>
        </w:rPr>
        <w:t>«</w:t>
      </w:r>
      <w:r w:rsidRPr="00EF714D">
        <w:rPr>
          <w:rFonts w:cs="KFGQPC Uthman Taha Naskh"/>
          <w:b/>
          <w:bCs/>
          <w:spacing w:val="-2"/>
          <w:sz w:val="28"/>
          <w:rtl/>
          <w:lang w:bidi="ar-SY"/>
        </w:rPr>
        <w:t>وَ رَوَى العَبَّاسُ بْنُ مَعْرُوفٍ عَنْ عَلِيِّ بْنِ مَهْزِيَارَ قَالَ</w:t>
      </w:r>
      <w:r w:rsidR="00217AB4" w:rsidRPr="00EF714D">
        <w:rPr>
          <w:rFonts w:cs="KFGQPC Uthman Taha Naskh" w:hint="cs"/>
          <w:b/>
          <w:bCs/>
          <w:spacing w:val="-2"/>
          <w:sz w:val="28"/>
          <w:rtl/>
          <w:lang w:bidi="ar-SY"/>
        </w:rPr>
        <w:t>:</w:t>
      </w:r>
      <w:r w:rsidRPr="00EF714D">
        <w:rPr>
          <w:rFonts w:cs="KFGQPC Uthman Taha Naskh"/>
          <w:b/>
          <w:bCs/>
          <w:spacing w:val="-2"/>
          <w:sz w:val="28"/>
          <w:rtl/>
          <w:lang w:bidi="ar-SY"/>
        </w:rPr>
        <w:t xml:space="preserve"> كَتَبْتُ إِلَى أَبِي جَعْفَرٍ </w:t>
      </w:r>
      <w:r w:rsidR="00BC4BA9" w:rsidRPr="00EF714D">
        <w:rPr>
          <w:rFonts w:cs="CTraditional Arabic"/>
          <w:b/>
          <w:spacing w:val="-2"/>
          <w:sz w:val="28"/>
          <w:rtl/>
          <w:lang w:bidi="ar-SY"/>
        </w:rPr>
        <w:t>÷</w:t>
      </w:r>
      <w:r w:rsidRPr="00EF714D">
        <w:rPr>
          <w:rFonts w:cs="KFGQPC Uthman Taha Naskh"/>
          <w:b/>
          <w:bCs/>
          <w:spacing w:val="-2"/>
          <w:sz w:val="28"/>
          <w:rtl/>
          <w:lang w:bidi="ar-SY"/>
        </w:rPr>
        <w:t xml:space="preserve"> أَنَّ فُلَاناً ابْتَاعَ ضَيْعَةً فَوَقَفَهَا وجَعَلَ لَكَ فِي الوَقْفِ الخُمُسَ ويَسْأَلُ عَنْ رَأْيِكَ فِي بَيْعِ حِصَّتِكَ مِنَ الأَرْض</w:t>
      </w:r>
      <w:r w:rsidR="00217AB4" w:rsidRPr="00EF714D">
        <w:rPr>
          <w:rFonts w:cs="KFGQPC Uthman Taha Naskh" w:hint="cs"/>
          <w:spacing w:val="-2"/>
          <w:sz w:val="28"/>
          <w:rtl/>
          <w:lang w:bidi="ar-SY"/>
        </w:rPr>
        <w:t>....</w:t>
      </w:r>
      <w:r w:rsidRPr="00EF714D">
        <w:rPr>
          <w:rFonts w:cs="KFGQPC Uthman Taha Naskh" w:hint="cs"/>
          <w:spacing w:val="-2"/>
          <w:sz w:val="28"/>
          <w:rtl/>
          <w:lang w:bidi="ar-SY"/>
        </w:rPr>
        <w:t xml:space="preserve"> الحديث</w:t>
      </w:r>
      <w:r w:rsidR="00EF2588" w:rsidRPr="00EF714D">
        <w:rPr>
          <w:rFonts w:cs="KFGQPC Uthman Taha Naskh" w:hint="cs"/>
          <w:spacing w:val="-2"/>
          <w:sz w:val="28"/>
          <w:rtl/>
          <w:lang w:bidi="ar-SY"/>
        </w:rPr>
        <w:t>»</w:t>
      </w:r>
      <w:r w:rsidR="00217AB4" w:rsidRPr="00EF714D">
        <w:rPr>
          <w:rFonts w:hint="cs"/>
          <w:spacing w:val="-2"/>
          <w:sz w:val="28"/>
          <w:rtl/>
          <w:lang w:bidi="ar-SY"/>
        </w:rPr>
        <w:t>.</w:t>
      </w:r>
    </w:p>
    <w:p w:rsidR="005C664D" w:rsidRPr="003F3B94" w:rsidRDefault="005C664D" w:rsidP="00EF714D">
      <w:pPr>
        <w:pStyle w:val="a0"/>
        <w:ind w:left="624" w:firstLine="0"/>
        <w:rPr>
          <w:rFonts w:hint="cs"/>
          <w:rtl/>
          <w:lang w:bidi="ar-SY"/>
        </w:rPr>
      </w:pPr>
      <w:r w:rsidRPr="003F3B94">
        <w:rPr>
          <w:rFonts w:hint="cs"/>
          <w:sz w:val="28"/>
          <w:rtl/>
          <w:lang w:bidi="ar-SY"/>
        </w:rPr>
        <w:t>وهذا يبيِّن أن مثل ذلك الخمس إنما كان في الواقع وقفاً تبرُّعياً وقفه بعض الشيعة لهذا الغرض</w:t>
      </w:r>
      <w:r w:rsidR="00217AB4" w:rsidRPr="003F3B94">
        <w:rPr>
          <w:rFonts w:hint="cs"/>
          <w:sz w:val="28"/>
          <w:rtl/>
          <w:lang w:bidi="ar-SY"/>
        </w:rPr>
        <w:t>.</w:t>
      </w:r>
    </w:p>
    <w:p w:rsidR="005C664D" w:rsidRPr="003F3B94" w:rsidRDefault="005C664D" w:rsidP="00EF714D">
      <w:pPr>
        <w:pStyle w:val="a0"/>
        <w:ind w:left="624" w:hanging="340"/>
        <w:rPr>
          <w:rFonts w:hint="cs"/>
          <w:rtl/>
          <w:lang w:bidi="ar-SY"/>
        </w:rPr>
      </w:pPr>
      <w:r w:rsidRPr="003F3B94">
        <w:rPr>
          <w:rFonts w:hint="cs"/>
          <w:sz w:val="28"/>
          <w:rtl/>
          <w:lang w:bidi="ar-SY"/>
        </w:rPr>
        <w:t>ب</w:t>
      </w:r>
      <w:r w:rsidR="00217AB4" w:rsidRPr="003F3B94">
        <w:rPr>
          <w:rFonts w:hint="cs"/>
          <w:sz w:val="28"/>
          <w:rtl/>
          <w:lang w:bidi="ar-SY"/>
        </w:rPr>
        <w:t>-</w:t>
      </w:r>
      <w:r w:rsidRPr="003F3B94">
        <w:rPr>
          <w:rFonts w:hint="cs"/>
          <w:sz w:val="28"/>
          <w:rtl/>
          <w:lang w:bidi="ar-SY"/>
        </w:rPr>
        <w:t xml:space="preserve"> جاء في الأصول الأربعة</w:t>
      </w:r>
      <w:r w:rsidR="00217AB4" w:rsidRPr="003F3B94">
        <w:rPr>
          <w:rFonts w:hint="cs"/>
          <w:sz w:val="28"/>
          <w:rtl/>
          <w:lang w:bidi="ar-SY"/>
        </w:rPr>
        <w:t>:</w:t>
      </w:r>
      <w:r w:rsidRPr="003F3B94">
        <w:rPr>
          <w:rFonts w:hint="cs"/>
          <w:sz w:val="28"/>
          <w:rtl/>
          <w:lang w:bidi="ar-SY"/>
        </w:rPr>
        <w:t xml:space="preserve"> </w:t>
      </w:r>
      <w:r w:rsidR="00EF2588" w:rsidRPr="00394385">
        <w:rPr>
          <w:rFonts w:cs="KFGQPC Uthman Taha Naskh" w:hint="cs"/>
          <w:sz w:val="28"/>
          <w:rtl/>
          <w:lang w:bidi="ar-SY"/>
        </w:rPr>
        <w:t>«</w:t>
      </w:r>
      <w:r w:rsidRPr="00394385">
        <w:rPr>
          <w:rFonts w:cs="KFGQPC Uthman Taha Naskh"/>
          <w:b/>
          <w:bCs/>
          <w:sz w:val="28"/>
          <w:rtl/>
          <w:lang w:bidi="ar-SY"/>
        </w:rPr>
        <w:t>عَلِيُّ بْنُ إِبْرَاهِيمَ عَنْ أَبِيهِ قَالَ</w:t>
      </w:r>
      <w:r w:rsidR="00D8448F" w:rsidRPr="00394385">
        <w:rPr>
          <w:rFonts w:cs="KFGQPC Uthman Taha Naskh" w:hint="cs"/>
          <w:b/>
          <w:bCs/>
          <w:sz w:val="28"/>
          <w:rtl/>
          <w:lang w:bidi="ar-SY"/>
        </w:rPr>
        <w:t>:</w:t>
      </w:r>
      <w:r w:rsidRPr="00394385">
        <w:rPr>
          <w:rFonts w:cs="KFGQPC Uthman Taha Naskh"/>
          <w:b/>
          <w:bCs/>
          <w:sz w:val="28"/>
          <w:rtl/>
          <w:lang w:bidi="ar-SY"/>
        </w:rPr>
        <w:t xml:space="preserve"> كُنْتُ عِنْدَ أَبِي جَعْفَرٍ الثَّانِي </w:t>
      </w:r>
      <w:r w:rsidR="00BC4BA9" w:rsidRPr="00BC4BA9">
        <w:rPr>
          <w:rFonts w:cs="CTraditional Arabic"/>
          <w:b/>
          <w:sz w:val="28"/>
          <w:rtl/>
          <w:lang w:bidi="ar-SY"/>
        </w:rPr>
        <w:t>÷</w:t>
      </w:r>
      <w:r w:rsidRPr="00394385">
        <w:rPr>
          <w:rFonts w:cs="KFGQPC Uthman Taha Naskh"/>
          <w:b/>
          <w:bCs/>
          <w:sz w:val="28"/>
          <w:rtl/>
          <w:lang w:bidi="ar-SY"/>
        </w:rPr>
        <w:t xml:space="preserve"> إِذْ دَخَلَ عَلَيْهِ صَالِحُ بْنُ مُحَمَّدِ بْنِ سَهْلٍ وكَانَ يَتَوَلَّى لَهُ الوَقْفَ بِقُمَّ فَقَالَ يَا سَيِّدِي اجْعَلْنِي مِنْ عَشَرَةِ آلَافٍ فِي حِلٍّ فَإِنِّي أَنْفَقْتُهَا فَقَالَ لَهُ أَنْتَ فِي حِلٍّ</w:t>
      </w:r>
      <w:r w:rsidR="00EF2588" w:rsidRPr="00394385">
        <w:rPr>
          <w:rFonts w:cs="KFGQPC Uthman Taha Naskh" w:hint="cs"/>
          <w:sz w:val="28"/>
          <w:rtl/>
          <w:lang w:bidi="ar-SY"/>
        </w:rPr>
        <w:t>»</w:t>
      </w:r>
      <w:r w:rsidR="00217AB4" w:rsidRPr="0021507A">
        <w:rPr>
          <w:rFonts w:cs="Arabic11 BT"/>
          <w:b/>
          <w:sz w:val="28"/>
          <w:vertAlign w:val="superscript"/>
          <w:rtl/>
          <w:lang w:bidi="ar-SY"/>
        </w:rPr>
        <w:t>(</w:t>
      </w:r>
      <w:r w:rsidRPr="0021507A">
        <w:rPr>
          <w:rStyle w:val="FootnoteReference"/>
          <w:rFonts w:cs="Arabic11 BT"/>
          <w:b/>
          <w:sz w:val="28"/>
          <w:rtl/>
          <w:lang w:bidi="ar-SY"/>
        </w:rPr>
        <w:footnoteReference w:id="392"/>
      </w:r>
      <w:r w:rsidR="00217AB4" w:rsidRPr="0021507A">
        <w:rPr>
          <w:rFonts w:cs="Arabic11 BT"/>
          <w:b/>
          <w:sz w:val="28"/>
          <w:vertAlign w:val="superscript"/>
          <w:rtl/>
          <w:lang w:bidi="ar-SY"/>
        </w:rPr>
        <w:t>)</w:t>
      </w:r>
      <w:r w:rsidR="00217AB4" w:rsidRPr="003F3B94">
        <w:rPr>
          <w:sz w:val="28"/>
          <w:rtl/>
          <w:lang w:bidi="ar-SY"/>
        </w:rPr>
        <w:t>.</w:t>
      </w:r>
      <w:r w:rsidRPr="003F3B94">
        <w:rPr>
          <w:rFonts w:hint="cs"/>
          <w:sz w:val="28"/>
          <w:rtl/>
          <w:lang w:bidi="ar-SY"/>
        </w:rPr>
        <w:t xml:space="preserve"> </w:t>
      </w:r>
    </w:p>
    <w:p w:rsidR="005C664D" w:rsidRPr="003F3B94" w:rsidRDefault="005C664D" w:rsidP="00EF714D">
      <w:pPr>
        <w:pStyle w:val="a0"/>
        <w:ind w:left="624" w:firstLine="0"/>
        <w:rPr>
          <w:rFonts w:hint="cs"/>
          <w:rtl/>
          <w:lang w:bidi="ar-SY"/>
        </w:rPr>
      </w:pPr>
      <w:r w:rsidRPr="003F3B94">
        <w:rPr>
          <w:rFonts w:hint="cs"/>
          <w:sz w:val="28"/>
          <w:rtl/>
          <w:lang w:bidi="ar-SY"/>
        </w:rPr>
        <w:t xml:space="preserve">وهذا الحديث يبيِّن أنه كانت هناك أوقافاً ضخمة توقف باسم الإمام في </w:t>
      </w:r>
      <w:r w:rsidRPr="003F3B94">
        <w:rPr>
          <w:rFonts w:ascii="Abo-thar" w:hAnsi="Abo-thar"/>
          <w:sz w:val="28"/>
          <w:rtl/>
          <w:lang w:bidi="ar-SY"/>
        </w:rPr>
        <w:t>«</w:t>
      </w:r>
      <w:r w:rsidRPr="003F3B94">
        <w:rPr>
          <w:rFonts w:ascii="Abo-thar" w:hAnsi="Abo-thar" w:hint="cs"/>
          <w:sz w:val="28"/>
          <w:rtl/>
          <w:lang w:bidi="ar-SY"/>
        </w:rPr>
        <w:t>قم</w:t>
      </w:r>
      <w:r w:rsidRPr="003F3B94">
        <w:rPr>
          <w:rFonts w:ascii="Abo-thar" w:hAnsi="Abo-thar"/>
          <w:sz w:val="28"/>
          <w:rtl/>
          <w:lang w:bidi="ar-SY"/>
        </w:rPr>
        <w:t>»</w:t>
      </w:r>
      <w:r w:rsidRPr="003F3B94">
        <w:rPr>
          <w:rFonts w:ascii="Abo-thar" w:hAnsi="Abo-thar" w:hint="cs"/>
          <w:sz w:val="28"/>
          <w:rtl/>
          <w:lang w:bidi="ar-SY"/>
        </w:rPr>
        <w:t xml:space="preserve"> وفي غيرها من المدن</w:t>
      </w:r>
      <w:r w:rsidR="00217AB4" w:rsidRPr="003F3B94">
        <w:rPr>
          <w:rFonts w:ascii="Abo-thar" w:hAnsi="Abo-thar" w:hint="cs"/>
          <w:sz w:val="28"/>
          <w:rtl/>
          <w:lang w:bidi="ar-SY"/>
        </w:rPr>
        <w:t>،</w:t>
      </w:r>
      <w:r w:rsidRPr="003F3B94">
        <w:rPr>
          <w:rFonts w:ascii="Abo-thar" w:hAnsi="Abo-thar" w:hint="cs"/>
          <w:sz w:val="28"/>
          <w:rtl/>
          <w:lang w:bidi="ar-SY"/>
        </w:rPr>
        <w:t xml:space="preserve"> وجاء المشرف عليها حتى يطلب من الإمام أن يحله من مبلغ عشرة آلاف درهم منها</w:t>
      </w:r>
      <w:r w:rsidR="00217AB4" w:rsidRPr="003F3B94">
        <w:rPr>
          <w:rFonts w:ascii="Abo-thar" w:hAnsi="Abo-thar" w:hint="cs"/>
          <w:sz w:val="28"/>
          <w:rtl/>
          <w:lang w:bidi="ar-SY"/>
        </w:rPr>
        <w:t>!!</w:t>
      </w:r>
    </w:p>
    <w:p w:rsidR="005C664D" w:rsidRPr="003F3B94" w:rsidRDefault="005C664D" w:rsidP="00EF714D">
      <w:pPr>
        <w:pStyle w:val="a0"/>
        <w:ind w:left="624" w:hanging="340"/>
        <w:rPr>
          <w:rFonts w:hint="cs"/>
          <w:rtl/>
        </w:rPr>
      </w:pPr>
      <w:r w:rsidRPr="003F3B94">
        <w:rPr>
          <w:rFonts w:ascii="Abo-thar" w:hAnsi="Abo-thar" w:hint="cs"/>
          <w:sz w:val="28"/>
          <w:rtl/>
          <w:lang w:bidi="ar-SY"/>
        </w:rPr>
        <w:t xml:space="preserve">ج </w:t>
      </w:r>
      <w:r w:rsidRPr="003F3B94">
        <w:rPr>
          <w:rFonts w:cs="Times New Roman" w:hint="cs"/>
          <w:sz w:val="28"/>
          <w:rtl/>
          <w:lang w:bidi="ar-SY"/>
        </w:rPr>
        <w:t>–</w:t>
      </w:r>
      <w:r w:rsidRPr="003F3B94">
        <w:rPr>
          <w:rFonts w:ascii="Abo-thar" w:hAnsi="Abo-thar" w:hint="cs"/>
          <w:sz w:val="28"/>
          <w:rtl/>
          <w:lang w:bidi="ar-SY"/>
        </w:rPr>
        <w:t xml:space="preserve"> </w:t>
      </w:r>
      <w:r w:rsidRPr="003F3B94">
        <w:rPr>
          <w:rFonts w:hint="cs"/>
          <w:sz w:val="28"/>
          <w:rtl/>
          <w:lang w:bidi="ar-SY"/>
        </w:rPr>
        <w:t>جاء في كتاب تاريخ قم تأل</w:t>
      </w:r>
      <w:r w:rsidR="00F51ADA" w:rsidRPr="003F3B94">
        <w:rPr>
          <w:rFonts w:hint="cs"/>
          <w:sz w:val="28"/>
          <w:rtl/>
          <w:lang w:bidi="ar-SY"/>
        </w:rPr>
        <w:t>يف الحسن بن محمد بن الحسن القمي</w:t>
      </w:r>
      <w:r w:rsidRPr="003F3B94">
        <w:rPr>
          <w:rFonts w:hint="cs"/>
          <w:sz w:val="28"/>
          <w:rtl/>
          <w:lang w:bidi="ar-SY"/>
        </w:rPr>
        <w:t xml:space="preserve"> في بيانه لفضائل الأشعريين</w:t>
      </w:r>
      <w:r w:rsidR="00217AB4" w:rsidRPr="003F3B94">
        <w:rPr>
          <w:rFonts w:hint="cs"/>
          <w:sz w:val="28"/>
          <w:rtl/>
          <w:lang w:bidi="ar-SY"/>
        </w:rPr>
        <w:t>:</w:t>
      </w:r>
      <w:r w:rsidR="00147857" w:rsidRPr="003F3B94">
        <w:rPr>
          <w:rFonts w:hint="cs"/>
          <w:sz w:val="28"/>
          <w:rtl/>
          <w:lang w:bidi="ar-SY"/>
        </w:rPr>
        <w:t xml:space="preserve"> </w:t>
      </w:r>
      <w:r w:rsidR="00EF2588" w:rsidRPr="003F3B94">
        <w:rPr>
          <w:rFonts w:hint="cs"/>
          <w:sz w:val="28"/>
          <w:rtl/>
          <w:lang w:bidi="ar-SY"/>
        </w:rPr>
        <w:t>«</w:t>
      </w:r>
      <w:r w:rsidRPr="003F3B94">
        <w:rPr>
          <w:rFonts w:hint="cs"/>
          <w:b/>
          <w:bCs/>
          <w:sz w:val="28"/>
          <w:rtl/>
          <w:lang w:bidi="ar-SY"/>
        </w:rPr>
        <w:t xml:space="preserve">ومن مناقبهم الأخرى وقف هذه العشيرة من العرب التي استقرت في قم كثيراً من الضيع والمزارع والمنازل وغير ذلك كثيراً مما كانوا يملكونه ويتصرفون فيه من مال ومنال وأمتعة وضياع وعقارات وَهِبَتِهَا إلى الأئمة </w:t>
      </w:r>
      <w:r w:rsidR="00963EFD" w:rsidRPr="00963EFD">
        <w:rPr>
          <w:rFonts w:cs="CTraditional Arabic" w:hint="cs"/>
          <w:b/>
          <w:sz w:val="28"/>
          <w:rtl/>
          <w:lang w:bidi="ar-SY"/>
        </w:rPr>
        <w:t>‡</w:t>
      </w:r>
      <w:r w:rsidR="00EF2588" w:rsidRPr="003F3B94">
        <w:rPr>
          <w:rFonts w:hint="cs"/>
          <w:sz w:val="28"/>
          <w:rtl/>
          <w:lang w:bidi="ar-SY"/>
        </w:rPr>
        <w:t>»</w:t>
      </w:r>
      <w:r w:rsidR="00F51ADA" w:rsidRPr="0021507A">
        <w:rPr>
          <w:rFonts w:cs="Arabic11 BT"/>
          <w:sz w:val="28"/>
          <w:vertAlign w:val="superscript"/>
          <w:rtl/>
          <w:lang w:bidi="ar-SY"/>
        </w:rPr>
        <w:t>(</w:t>
      </w:r>
      <w:r w:rsidR="00F51ADA" w:rsidRPr="0021507A">
        <w:rPr>
          <w:rStyle w:val="FootnoteReference"/>
          <w:rFonts w:cs="Arabic11 BT"/>
          <w:sz w:val="28"/>
          <w:rtl/>
          <w:lang w:bidi="ar-SY"/>
        </w:rPr>
        <w:footnoteReference w:id="393"/>
      </w:r>
      <w:r w:rsidR="00F51ADA" w:rsidRPr="0021507A">
        <w:rPr>
          <w:rFonts w:cs="Arabic11 BT"/>
          <w:sz w:val="28"/>
          <w:vertAlign w:val="superscript"/>
          <w:rtl/>
          <w:lang w:bidi="ar-SY"/>
        </w:rPr>
        <w:t>)</w:t>
      </w:r>
      <w:r w:rsidR="00217AB4" w:rsidRPr="003F3B94">
        <w:rPr>
          <w:rFonts w:hint="cs"/>
          <w:sz w:val="28"/>
          <w:rtl/>
          <w:lang w:bidi="ar-SY"/>
        </w:rPr>
        <w:t>.</w:t>
      </w:r>
    </w:p>
    <w:p w:rsidR="005C664D" w:rsidRPr="003F3B94" w:rsidRDefault="005C664D" w:rsidP="003F3B94">
      <w:pPr>
        <w:pStyle w:val="a0"/>
        <w:rPr>
          <w:rFonts w:hint="cs"/>
          <w:rtl/>
          <w:lang w:bidi="ar-SY"/>
        </w:rPr>
      </w:pPr>
      <w:bookmarkStart w:id="143" w:name="_Toc215491163"/>
      <w:bookmarkStart w:id="144" w:name="_Toc215498082"/>
      <w:r w:rsidRPr="003F3B94">
        <w:rPr>
          <w:rFonts w:hint="cs"/>
          <w:b/>
          <w:bCs/>
          <w:sz w:val="28"/>
          <w:rtl/>
          <w:lang w:bidi="ar-SY"/>
        </w:rPr>
        <w:t>النوع الثالث</w:t>
      </w:r>
      <w:r w:rsidR="00217AB4" w:rsidRPr="003F3B94">
        <w:rPr>
          <w:rFonts w:hint="cs"/>
          <w:b/>
          <w:bCs/>
          <w:sz w:val="28"/>
          <w:rtl/>
          <w:lang w:bidi="ar-SY"/>
        </w:rPr>
        <w:t>:</w:t>
      </w:r>
      <w:r w:rsidRPr="003F3B94">
        <w:rPr>
          <w:rFonts w:hint="cs"/>
          <w:b/>
          <w:bCs/>
          <w:sz w:val="28"/>
          <w:rtl/>
          <w:lang w:bidi="ar-SY"/>
        </w:rPr>
        <w:t xml:space="preserve"> الوصية</w:t>
      </w:r>
      <w:bookmarkEnd w:id="143"/>
      <w:bookmarkEnd w:id="144"/>
    </w:p>
    <w:p w:rsidR="005C664D" w:rsidRPr="003F3B94" w:rsidRDefault="005C664D" w:rsidP="003F3B94">
      <w:pPr>
        <w:pStyle w:val="a0"/>
        <w:rPr>
          <w:rFonts w:hint="cs"/>
          <w:rtl/>
        </w:rPr>
      </w:pPr>
      <w:r w:rsidRPr="003F3B94">
        <w:rPr>
          <w:rFonts w:hint="cs"/>
          <w:sz w:val="28"/>
          <w:rtl/>
        </w:rPr>
        <w:t xml:space="preserve">النوع الثالث كان الأموال التي يوصي بها بعض الشيعة بشكل خاص لآل محمد </w:t>
      </w:r>
      <w:r w:rsidR="00963EFD" w:rsidRPr="00963EFD">
        <w:rPr>
          <w:rFonts w:cs="CTraditional Arabic" w:hint="cs"/>
          <w:sz w:val="28"/>
          <w:rtl/>
        </w:rPr>
        <w:t>‡</w:t>
      </w:r>
      <w:r w:rsidR="00217AB4" w:rsidRPr="003F3B94">
        <w:rPr>
          <w:rFonts w:hint="cs"/>
          <w:sz w:val="28"/>
          <w:rtl/>
        </w:rPr>
        <w:t>:</w:t>
      </w:r>
    </w:p>
    <w:p w:rsidR="005C664D" w:rsidRPr="003F3B94" w:rsidRDefault="005C664D" w:rsidP="00A1493A">
      <w:pPr>
        <w:pStyle w:val="a0"/>
        <w:ind w:left="624" w:hanging="340"/>
        <w:rPr>
          <w:rFonts w:hint="cs"/>
          <w:rtl/>
        </w:rPr>
      </w:pPr>
      <w:r w:rsidRPr="003F3B94">
        <w:rPr>
          <w:rFonts w:hint="cs"/>
          <w:sz w:val="28"/>
          <w:rtl/>
        </w:rPr>
        <w:t xml:space="preserve">ألف </w:t>
      </w:r>
      <w:r w:rsidRPr="003F3B94">
        <w:rPr>
          <w:rFonts w:cs="Times New Roman" w:hint="cs"/>
          <w:sz w:val="28"/>
          <w:rtl/>
        </w:rPr>
        <w:t>–</w:t>
      </w:r>
      <w:r w:rsidRPr="003F3B94">
        <w:rPr>
          <w:rFonts w:hint="cs"/>
          <w:sz w:val="28"/>
          <w:rtl/>
        </w:rPr>
        <w:t xml:space="preserve"> </w:t>
      </w:r>
      <w:r w:rsidRPr="003F3B94">
        <w:rPr>
          <w:rFonts w:ascii="mylotus" w:hAnsi="mylotus" w:hint="cs"/>
          <w:sz w:val="28"/>
          <w:rtl/>
        </w:rPr>
        <w:t>كما</w:t>
      </w:r>
      <w:r w:rsidRPr="003F3B94">
        <w:rPr>
          <w:rFonts w:hint="cs"/>
          <w:sz w:val="28"/>
          <w:rtl/>
        </w:rPr>
        <w:t xml:space="preserve"> </w:t>
      </w:r>
      <w:r w:rsidRPr="003F3B94">
        <w:rPr>
          <w:rFonts w:ascii="mylotus" w:hAnsi="mylotus" w:hint="cs"/>
          <w:sz w:val="28"/>
          <w:rtl/>
        </w:rPr>
        <w:t>جاء</w:t>
      </w:r>
      <w:r w:rsidRPr="003F3B94">
        <w:rPr>
          <w:rFonts w:hint="cs"/>
          <w:sz w:val="28"/>
          <w:rtl/>
        </w:rPr>
        <w:t xml:space="preserve"> </w:t>
      </w:r>
      <w:r w:rsidRPr="003F3B94">
        <w:rPr>
          <w:rFonts w:ascii="mylotus" w:hAnsi="mylotus" w:hint="cs"/>
          <w:sz w:val="28"/>
          <w:rtl/>
        </w:rPr>
        <w:t>في</w:t>
      </w:r>
      <w:r w:rsidRPr="003F3B94">
        <w:rPr>
          <w:rFonts w:hint="cs"/>
          <w:sz w:val="28"/>
          <w:rtl/>
        </w:rPr>
        <w:t xml:space="preserve"> </w:t>
      </w:r>
      <w:r w:rsidRPr="003F3B94">
        <w:rPr>
          <w:rFonts w:ascii="mylotus" w:hAnsi="mylotus" w:hint="cs"/>
          <w:sz w:val="28"/>
          <w:rtl/>
        </w:rPr>
        <w:t>كتاب</w:t>
      </w:r>
      <w:r w:rsidRPr="003F3B94">
        <w:rPr>
          <w:rFonts w:hint="cs"/>
          <w:sz w:val="28"/>
          <w:rtl/>
        </w:rPr>
        <w:t xml:space="preserve"> </w:t>
      </w:r>
      <w:r w:rsidRPr="003F3B94">
        <w:rPr>
          <w:rFonts w:ascii="Abo-thar" w:hAnsi="Abo-thar" w:hint="cs"/>
          <w:sz w:val="28"/>
          <w:rtl/>
        </w:rPr>
        <w:t xml:space="preserve">«من لا يحضره الفقيه» </w:t>
      </w:r>
      <w:r w:rsidRPr="003F3B94">
        <w:rPr>
          <w:rFonts w:hint="cs"/>
          <w:sz w:val="28"/>
          <w:rtl/>
        </w:rPr>
        <w:t>باب نوادر الوصايا</w:t>
      </w:r>
      <w:r w:rsidR="00217AB4" w:rsidRPr="003F3B94">
        <w:rPr>
          <w:rFonts w:hint="cs"/>
          <w:sz w:val="28"/>
          <w:rtl/>
        </w:rPr>
        <w:t>:</w:t>
      </w:r>
      <w:r w:rsidRPr="003F3B94">
        <w:rPr>
          <w:rFonts w:hint="cs"/>
          <w:sz w:val="28"/>
          <w:rtl/>
        </w:rPr>
        <w:t xml:space="preserve"> </w:t>
      </w:r>
      <w:r w:rsidR="00EF2588" w:rsidRPr="00394385">
        <w:rPr>
          <w:rFonts w:cs="KFGQPC Uthman Taha Naskh" w:hint="cs"/>
          <w:sz w:val="28"/>
          <w:rtl/>
        </w:rPr>
        <w:t>«</w:t>
      </w:r>
      <w:r w:rsidRPr="00394385">
        <w:rPr>
          <w:rFonts w:cs="KFGQPC Uthman Taha Naskh"/>
          <w:b/>
          <w:bCs/>
          <w:sz w:val="28"/>
          <w:rtl/>
        </w:rPr>
        <w:t>رَوَى عَلِيُّ بْنُ مَهْزِيَارَ عَنْ أَحْمَدَ بْنِ حَمْزَةَ قَالَ قُلْتُ لَهُ إِنَّ فِي بَلَدِنَا رُبَّمَا أُوصِيَ بِالْمَالِ لآِلِ مُحَمَّدٍ فَيَأْتُونِّي بِهِ فَأَكْرَهُ أَنْ أَحْمِلَهُ إِلَيْكَ حَتَّى أَسْتَأْمِرَكَ</w:t>
      </w:r>
      <w:r w:rsidR="00217AB4" w:rsidRPr="00394385">
        <w:rPr>
          <w:rFonts w:cs="KFGQPC Uthman Taha Naskh" w:hint="cs"/>
          <w:b/>
          <w:bCs/>
          <w:sz w:val="28"/>
          <w:rtl/>
        </w:rPr>
        <w:t>؟</w:t>
      </w:r>
      <w:r w:rsidRPr="00394385">
        <w:rPr>
          <w:rFonts w:cs="KFGQPC Uthman Taha Naskh"/>
          <w:b/>
          <w:bCs/>
          <w:sz w:val="28"/>
          <w:rtl/>
        </w:rPr>
        <w:t xml:space="preserve"> فَقَالَ</w:t>
      </w:r>
      <w:r w:rsidR="00217AB4" w:rsidRPr="00394385">
        <w:rPr>
          <w:rFonts w:cs="KFGQPC Uthman Taha Naskh" w:hint="cs"/>
          <w:b/>
          <w:bCs/>
          <w:sz w:val="28"/>
          <w:rtl/>
        </w:rPr>
        <w:t>:</w:t>
      </w:r>
      <w:r w:rsidRPr="00394385">
        <w:rPr>
          <w:rFonts w:cs="KFGQPC Uthman Taha Naskh"/>
          <w:b/>
          <w:bCs/>
          <w:sz w:val="28"/>
          <w:rtl/>
        </w:rPr>
        <w:t xml:space="preserve"> لَا تَأْتِنِي بِهِ ولَا تَعَرَّضْ لَه</w:t>
      </w:r>
      <w:r w:rsidRPr="00394385">
        <w:rPr>
          <w:rFonts w:cs="KFGQPC Uthman Taha Naskh"/>
          <w:sz w:val="28"/>
          <w:rtl/>
        </w:rPr>
        <w:t>‏</w:t>
      </w:r>
      <w:r w:rsidR="00217AB4" w:rsidRPr="00394385">
        <w:rPr>
          <w:rFonts w:cs="KFGQPC Uthman Taha Naskh" w:hint="cs"/>
          <w:sz w:val="28"/>
          <w:rtl/>
        </w:rPr>
        <w:t>..</w:t>
      </w:r>
      <w:r w:rsidR="00EF2588" w:rsidRPr="00394385">
        <w:rPr>
          <w:rFonts w:cs="KFGQPC Uthman Taha Naskh" w:hint="cs"/>
          <w:sz w:val="28"/>
          <w:rtl/>
        </w:rPr>
        <w:t>»</w:t>
      </w:r>
      <w:r w:rsidR="00F51ADA" w:rsidRPr="0021507A">
        <w:rPr>
          <w:rFonts w:cs="Arabic11 BT"/>
          <w:sz w:val="28"/>
          <w:vertAlign w:val="superscript"/>
          <w:rtl/>
        </w:rPr>
        <w:t>(</w:t>
      </w:r>
      <w:r w:rsidR="00F51ADA" w:rsidRPr="0021507A">
        <w:rPr>
          <w:rStyle w:val="FootnoteReference"/>
          <w:rFonts w:cs="Arabic11 BT"/>
          <w:sz w:val="28"/>
          <w:rtl/>
        </w:rPr>
        <w:footnoteReference w:id="394"/>
      </w:r>
      <w:r w:rsidR="00F51ADA" w:rsidRPr="0021507A">
        <w:rPr>
          <w:rFonts w:cs="Arabic11 BT"/>
          <w:sz w:val="28"/>
          <w:vertAlign w:val="superscript"/>
          <w:rtl/>
        </w:rPr>
        <w:t>)</w:t>
      </w:r>
      <w:r w:rsidR="00217AB4" w:rsidRPr="003F3B94">
        <w:rPr>
          <w:rFonts w:hint="cs"/>
          <w:sz w:val="28"/>
          <w:rtl/>
        </w:rPr>
        <w:t>.</w:t>
      </w:r>
    </w:p>
    <w:p w:rsidR="005C664D" w:rsidRPr="003F3B94" w:rsidRDefault="005C664D" w:rsidP="003F3B94">
      <w:pPr>
        <w:pStyle w:val="a0"/>
        <w:rPr>
          <w:rFonts w:hint="cs"/>
          <w:rtl/>
        </w:rPr>
      </w:pPr>
      <w:r w:rsidRPr="003F3B94">
        <w:rPr>
          <w:rFonts w:hint="cs"/>
          <w:sz w:val="28"/>
          <w:rtl/>
        </w:rPr>
        <w:t>فهذا يبيِّن أنَّ بعض الشيعة كان يوصي بأموالٍ لآل محمد وكان يراجع وكلاء الأئمة</w:t>
      </w:r>
      <w:r w:rsidR="00147857" w:rsidRPr="003F3B94">
        <w:rPr>
          <w:rFonts w:hint="cs"/>
          <w:sz w:val="28"/>
          <w:rtl/>
        </w:rPr>
        <w:t xml:space="preserve"> </w:t>
      </w:r>
      <w:r w:rsidR="00963EFD" w:rsidRPr="00963EFD">
        <w:rPr>
          <w:rFonts w:ascii="Abo-thar" w:hAnsi="Abo-thar" w:cs="CTraditional Arabic"/>
          <w:sz w:val="28"/>
          <w:rtl/>
        </w:rPr>
        <w:t>‡</w:t>
      </w:r>
      <w:r w:rsidR="00147857" w:rsidRPr="003F3B94">
        <w:rPr>
          <w:rFonts w:ascii="Abo-thar" w:hAnsi="Abo-thar"/>
          <w:sz w:val="28"/>
          <w:rtl/>
        </w:rPr>
        <w:t xml:space="preserve"> </w:t>
      </w:r>
      <w:r w:rsidRPr="003F3B94">
        <w:rPr>
          <w:rFonts w:hint="cs"/>
          <w:sz w:val="28"/>
          <w:rtl/>
        </w:rPr>
        <w:t>كي يدفعها لهم</w:t>
      </w:r>
      <w:r w:rsidR="00217AB4" w:rsidRPr="003F3B94">
        <w:rPr>
          <w:rFonts w:hint="cs"/>
          <w:sz w:val="28"/>
          <w:rtl/>
        </w:rPr>
        <w:t>.</w:t>
      </w:r>
    </w:p>
    <w:p w:rsidR="005C664D" w:rsidRPr="003F3B94" w:rsidRDefault="005C664D" w:rsidP="00A1493A">
      <w:pPr>
        <w:pStyle w:val="a0"/>
        <w:ind w:left="624" w:hanging="340"/>
        <w:rPr>
          <w:rFonts w:hint="cs"/>
          <w:rtl/>
        </w:rPr>
      </w:pPr>
      <w:r w:rsidRPr="003F3B94">
        <w:rPr>
          <w:rFonts w:hint="cs"/>
          <w:sz w:val="28"/>
          <w:rtl/>
        </w:rPr>
        <w:t xml:space="preserve">ب </w:t>
      </w:r>
      <w:r w:rsidRPr="003F3B94">
        <w:rPr>
          <w:rFonts w:cs="Times New Roman" w:hint="cs"/>
          <w:sz w:val="28"/>
          <w:rtl/>
        </w:rPr>
        <w:t>–</w:t>
      </w:r>
      <w:r w:rsidRPr="003F3B94">
        <w:rPr>
          <w:rFonts w:hint="cs"/>
          <w:sz w:val="28"/>
          <w:rtl/>
        </w:rPr>
        <w:t xml:space="preserve"> </w:t>
      </w:r>
      <w:r w:rsidRPr="003F3B94">
        <w:rPr>
          <w:rFonts w:ascii="mylotus" w:hAnsi="mylotus" w:hint="cs"/>
          <w:sz w:val="28"/>
          <w:rtl/>
        </w:rPr>
        <w:t>وفي</w:t>
      </w:r>
      <w:r w:rsidRPr="003F3B94">
        <w:rPr>
          <w:rFonts w:hint="cs"/>
          <w:sz w:val="28"/>
          <w:rtl/>
        </w:rPr>
        <w:t xml:space="preserve"> </w:t>
      </w:r>
      <w:r w:rsidRPr="003F3B94">
        <w:rPr>
          <w:rFonts w:ascii="mylotus" w:hAnsi="mylotus" w:hint="cs"/>
          <w:sz w:val="28"/>
          <w:rtl/>
        </w:rPr>
        <w:t>الكتاب</w:t>
      </w:r>
      <w:r w:rsidRPr="003F3B94">
        <w:rPr>
          <w:rFonts w:hint="cs"/>
          <w:sz w:val="28"/>
          <w:rtl/>
        </w:rPr>
        <w:t xml:space="preserve"> </w:t>
      </w:r>
      <w:r w:rsidRPr="003F3B94">
        <w:rPr>
          <w:rFonts w:ascii="mylotus" w:hAnsi="mylotus" w:hint="cs"/>
          <w:sz w:val="28"/>
          <w:rtl/>
        </w:rPr>
        <w:t>ذاته</w:t>
      </w:r>
      <w:r w:rsidRPr="003F3B94">
        <w:rPr>
          <w:rFonts w:hint="cs"/>
          <w:sz w:val="28"/>
          <w:rtl/>
        </w:rPr>
        <w:t xml:space="preserve"> </w:t>
      </w:r>
      <w:r w:rsidRPr="003F3B94">
        <w:rPr>
          <w:rFonts w:ascii="mylotus" w:hAnsi="mylotus" w:hint="cs"/>
          <w:sz w:val="28"/>
          <w:rtl/>
        </w:rPr>
        <w:t>والصفحة</w:t>
      </w:r>
      <w:r w:rsidRPr="003F3B94">
        <w:rPr>
          <w:rFonts w:hint="cs"/>
          <w:sz w:val="28"/>
          <w:rtl/>
        </w:rPr>
        <w:t xml:space="preserve"> </w:t>
      </w:r>
      <w:r w:rsidRPr="003F3B94">
        <w:rPr>
          <w:rFonts w:ascii="mylotus" w:hAnsi="mylotus" w:hint="cs"/>
          <w:sz w:val="28"/>
          <w:rtl/>
        </w:rPr>
        <w:t>ذاتها</w:t>
      </w:r>
      <w:r w:rsidR="00217AB4" w:rsidRPr="003F3B94">
        <w:rPr>
          <w:rFonts w:hint="cs"/>
          <w:sz w:val="28"/>
          <w:rtl/>
        </w:rPr>
        <w:t>:</w:t>
      </w:r>
      <w:r w:rsidRPr="003F3B94">
        <w:rPr>
          <w:rFonts w:hint="cs"/>
          <w:sz w:val="28"/>
          <w:rtl/>
        </w:rPr>
        <w:t xml:space="preserve"> </w:t>
      </w:r>
      <w:r w:rsidR="00EF2588" w:rsidRPr="00394385">
        <w:rPr>
          <w:rFonts w:cs="KFGQPC Uthman Taha Naskh" w:hint="cs"/>
          <w:sz w:val="28"/>
          <w:rtl/>
        </w:rPr>
        <w:t>«</w:t>
      </w:r>
      <w:r w:rsidRPr="00394385">
        <w:rPr>
          <w:rFonts w:cs="KFGQPC Uthman Taha Naskh"/>
          <w:b/>
          <w:bCs/>
          <w:sz w:val="28"/>
          <w:rtl/>
        </w:rPr>
        <w:t xml:space="preserve">وَ رَوَى مُحَمَّدُ بْنُ أَبِي عُمَيْرٍ عَنْ حَمَّادِ بْنِ عُثْمَانَ عَنْ أَبِي عَبْدِ اللهِ </w:t>
      </w:r>
      <w:r w:rsidR="00BC4BA9" w:rsidRPr="00BC4BA9">
        <w:rPr>
          <w:rFonts w:cs="CTraditional Arabic"/>
          <w:b/>
          <w:sz w:val="28"/>
          <w:rtl/>
        </w:rPr>
        <w:t>÷</w:t>
      </w:r>
      <w:r w:rsidRPr="00394385">
        <w:rPr>
          <w:rFonts w:cs="KFGQPC Uthman Taha Naskh"/>
          <w:b/>
          <w:bCs/>
          <w:sz w:val="28"/>
          <w:rtl/>
        </w:rPr>
        <w:t xml:space="preserve"> قَالَ أَوْصَى رَجُلٌ بِثَلَاثِينَ دِينَاراً لِوُلْدِ فَاطِمَةَ </w:t>
      </w:r>
      <w:r w:rsidR="00BC4BA9" w:rsidRPr="00BC4BA9">
        <w:rPr>
          <w:rFonts w:cs="CTraditional Arabic"/>
          <w:b/>
          <w:sz w:val="28"/>
          <w:rtl/>
        </w:rPr>
        <w:t>÷</w:t>
      </w:r>
      <w:r w:rsidRPr="00394385">
        <w:rPr>
          <w:rFonts w:cs="KFGQPC Uthman Taha Naskh"/>
          <w:b/>
          <w:bCs/>
          <w:sz w:val="28"/>
          <w:rtl/>
        </w:rPr>
        <w:t xml:space="preserve"> قَالَ فَأَتَى بِهَا الرَّجُلُ أَبَا عَبْدِ اللهِ </w:t>
      </w:r>
      <w:r w:rsidR="00BC4BA9" w:rsidRPr="00BC4BA9">
        <w:rPr>
          <w:rFonts w:cs="CTraditional Arabic"/>
          <w:b/>
          <w:sz w:val="28"/>
          <w:rtl/>
        </w:rPr>
        <w:t>÷</w:t>
      </w:r>
      <w:r w:rsidRPr="00394385">
        <w:rPr>
          <w:rFonts w:cs="KFGQPC Uthman Taha Naskh"/>
          <w:b/>
          <w:bCs/>
          <w:sz w:val="28"/>
          <w:rtl/>
        </w:rPr>
        <w:t xml:space="preserve"> فَقَالَ أَبُو عَبْدِ اللهِ </w:t>
      </w:r>
      <w:r w:rsidR="00BC4BA9" w:rsidRPr="00BC4BA9">
        <w:rPr>
          <w:rFonts w:cs="CTraditional Arabic"/>
          <w:b/>
          <w:sz w:val="28"/>
          <w:rtl/>
        </w:rPr>
        <w:t>÷</w:t>
      </w:r>
      <w:r w:rsidRPr="00394385">
        <w:rPr>
          <w:rFonts w:cs="KFGQPC Uthman Taha Naskh"/>
          <w:b/>
          <w:bCs/>
          <w:sz w:val="28"/>
          <w:rtl/>
        </w:rPr>
        <w:t xml:space="preserve"> ادْفَعْهَا إِلَى فُلَانٍ شَيْخٍ مِنْ وُلْدِ فَاطِمَةَ </w:t>
      </w:r>
      <w:r w:rsidR="00BC4BA9" w:rsidRPr="00BC4BA9">
        <w:rPr>
          <w:rFonts w:cs="CTraditional Arabic"/>
          <w:b/>
          <w:sz w:val="28"/>
          <w:rtl/>
        </w:rPr>
        <w:t>÷</w:t>
      </w:r>
      <w:r w:rsidRPr="00394385">
        <w:rPr>
          <w:rFonts w:cs="KFGQPC Uthman Taha Naskh"/>
          <w:b/>
          <w:bCs/>
          <w:sz w:val="28"/>
          <w:rtl/>
        </w:rPr>
        <w:t xml:space="preserve"> وكَانَ مُعِيلًا مُقِلًّا</w:t>
      </w:r>
      <w:r w:rsidR="00217AB4" w:rsidRPr="00394385">
        <w:rPr>
          <w:rFonts w:cs="KFGQPC Uthman Taha Naskh"/>
          <w:b/>
          <w:bCs/>
          <w:sz w:val="28"/>
          <w:rtl/>
        </w:rPr>
        <w:t>.</w:t>
      </w:r>
      <w:r w:rsidR="00217AB4" w:rsidRPr="00394385">
        <w:rPr>
          <w:rFonts w:cs="KFGQPC Uthman Taha Naskh" w:hint="cs"/>
          <w:b/>
          <w:bCs/>
          <w:sz w:val="28"/>
          <w:rtl/>
        </w:rPr>
        <w:t>.</w:t>
      </w:r>
      <w:r w:rsidR="00EF2588" w:rsidRPr="00394385">
        <w:rPr>
          <w:rFonts w:cs="KFGQPC Uthman Taha Naskh" w:hint="cs"/>
          <w:sz w:val="28"/>
          <w:rtl/>
        </w:rPr>
        <w:t>»</w:t>
      </w:r>
      <w:r w:rsidR="00217AB4" w:rsidRPr="003F3B94">
        <w:rPr>
          <w:rFonts w:hint="cs"/>
          <w:sz w:val="28"/>
          <w:rtl/>
        </w:rPr>
        <w:t>.</w:t>
      </w:r>
    </w:p>
    <w:p w:rsidR="005C664D" w:rsidRPr="003F3B94" w:rsidRDefault="005C664D" w:rsidP="003F3B94">
      <w:pPr>
        <w:pStyle w:val="a0"/>
        <w:rPr>
          <w:rFonts w:hint="cs"/>
          <w:rtl/>
        </w:rPr>
      </w:pPr>
      <w:r w:rsidRPr="003F3B94">
        <w:rPr>
          <w:rFonts w:hint="cs"/>
          <w:sz w:val="28"/>
          <w:rtl/>
        </w:rPr>
        <w:t xml:space="preserve">فهذه هي الأموال التي كان الشيعة يأتون بها الأئمة </w:t>
      </w:r>
      <w:r w:rsidR="00963EFD" w:rsidRPr="00963EFD">
        <w:rPr>
          <w:rFonts w:cs="CTraditional Arabic" w:hint="cs"/>
          <w:sz w:val="28"/>
          <w:rtl/>
        </w:rPr>
        <w:t>‡</w:t>
      </w:r>
      <w:r w:rsidR="00217AB4" w:rsidRPr="003F3B94">
        <w:rPr>
          <w:rFonts w:hint="cs"/>
          <w:sz w:val="28"/>
          <w:rtl/>
        </w:rPr>
        <w:t>،</w:t>
      </w:r>
      <w:r w:rsidRPr="003F3B94">
        <w:rPr>
          <w:rFonts w:hint="cs"/>
          <w:sz w:val="28"/>
          <w:rtl/>
        </w:rPr>
        <w:t xml:space="preserve"> ولا نجد أن الأئمة الكرام كانوا يأخذون شيئاً من الخمس </w:t>
      </w:r>
      <w:r w:rsidR="00217AB4" w:rsidRPr="003F3B94">
        <w:rPr>
          <w:rFonts w:hint="cs"/>
          <w:sz w:val="28"/>
          <w:rtl/>
        </w:rPr>
        <w:t>(</w:t>
      </w:r>
      <w:r w:rsidRPr="003F3B94">
        <w:rPr>
          <w:rFonts w:hint="cs"/>
          <w:sz w:val="28"/>
          <w:rtl/>
        </w:rPr>
        <w:t>خاصة خمس أرباح المكاسب</w:t>
      </w:r>
      <w:r w:rsidR="00217AB4" w:rsidRPr="003F3B94">
        <w:rPr>
          <w:rFonts w:hint="cs"/>
          <w:sz w:val="28"/>
          <w:rtl/>
        </w:rPr>
        <w:t>)</w:t>
      </w:r>
      <w:r w:rsidRPr="003F3B94">
        <w:rPr>
          <w:rFonts w:hint="cs"/>
          <w:sz w:val="28"/>
          <w:rtl/>
        </w:rPr>
        <w:t xml:space="preserve"> من الناس</w:t>
      </w:r>
      <w:r w:rsidR="00217AB4" w:rsidRPr="003F3B94">
        <w:rPr>
          <w:rFonts w:hint="cs"/>
          <w:sz w:val="28"/>
          <w:rtl/>
        </w:rPr>
        <w:t>.</w:t>
      </w:r>
      <w:r w:rsidR="00147857" w:rsidRPr="003F3B94">
        <w:rPr>
          <w:rFonts w:hint="cs"/>
          <w:sz w:val="28"/>
          <w:rtl/>
        </w:rPr>
        <w:t xml:space="preserve"> </w:t>
      </w:r>
      <w:r w:rsidRPr="003F3B94">
        <w:rPr>
          <w:rFonts w:hint="cs"/>
          <w:sz w:val="28"/>
          <w:rtl/>
        </w:rPr>
        <w:t>وبالطبع فإن ما كانوا يأخذونه لم يكونوا يأخذونه لأنفسهم بل كانوا يوصلونه إلى مستحقيه</w:t>
      </w:r>
      <w:r w:rsidR="00217AB4" w:rsidRPr="003F3B94">
        <w:rPr>
          <w:rFonts w:hint="cs"/>
          <w:sz w:val="28"/>
          <w:rtl/>
        </w:rPr>
        <w:t>.</w:t>
      </w:r>
      <w:r w:rsidR="00147857" w:rsidRPr="003F3B94">
        <w:rPr>
          <w:rFonts w:hint="cs"/>
          <w:sz w:val="28"/>
          <w:rtl/>
        </w:rPr>
        <w:t xml:space="preserve"> </w:t>
      </w:r>
      <w:r w:rsidRPr="003F3B94">
        <w:rPr>
          <w:rFonts w:hint="cs"/>
          <w:sz w:val="28"/>
          <w:rtl/>
        </w:rPr>
        <w:t xml:space="preserve">كما جاء في </w:t>
      </w:r>
      <w:r w:rsidRPr="003F3B94">
        <w:rPr>
          <w:rFonts w:ascii="Abo-thar" w:hAnsi="Abo-thar" w:hint="cs"/>
          <w:sz w:val="28"/>
          <w:rtl/>
        </w:rPr>
        <w:t>كتاب «التهذيب»</w:t>
      </w:r>
      <w:r w:rsidRPr="003F3B94">
        <w:rPr>
          <w:rFonts w:hint="cs"/>
          <w:sz w:val="28"/>
          <w:rtl/>
        </w:rPr>
        <w:t xml:space="preserve"> </w:t>
      </w:r>
      <w:r w:rsidRPr="003F3B94">
        <w:rPr>
          <w:rFonts w:ascii="Abo-thar" w:hAnsi="Abo-thar" w:hint="cs"/>
          <w:sz w:val="28"/>
          <w:rtl/>
        </w:rPr>
        <w:t xml:space="preserve">للشيخ الطوسي </w:t>
      </w:r>
      <w:r w:rsidR="00217AB4" w:rsidRPr="003F3B94">
        <w:rPr>
          <w:rFonts w:ascii="Abo-thar" w:hAnsi="Abo-thar" w:hint="cs"/>
          <w:sz w:val="28"/>
          <w:rtl/>
        </w:rPr>
        <w:t>(</w:t>
      </w:r>
      <w:r w:rsidRPr="003F3B94">
        <w:rPr>
          <w:rFonts w:ascii="Abo-thar" w:hAnsi="Abo-thar" w:hint="cs"/>
          <w:sz w:val="28"/>
          <w:rtl/>
        </w:rPr>
        <w:t>ج4</w:t>
      </w:r>
      <w:r w:rsidR="00920257" w:rsidRPr="003F3B94">
        <w:rPr>
          <w:rFonts w:ascii="Abo-thar" w:hAnsi="Abo-thar" w:hint="cs"/>
          <w:sz w:val="28"/>
          <w:rtl/>
        </w:rPr>
        <w:t xml:space="preserve">، </w:t>
      </w:r>
      <w:r w:rsidRPr="003F3B94">
        <w:rPr>
          <w:rFonts w:ascii="Abo-thar" w:hAnsi="Abo-thar" w:hint="cs"/>
          <w:sz w:val="28"/>
          <w:rtl/>
        </w:rPr>
        <w:t>ص61</w:t>
      </w:r>
      <w:r w:rsidR="00217AB4" w:rsidRPr="003F3B94">
        <w:rPr>
          <w:rFonts w:ascii="Abo-thar" w:hAnsi="Abo-thar" w:hint="cs"/>
          <w:sz w:val="28"/>
          <w:rtl/>
        </w:rPr>
        <w:t>):</w:t>
      </w:r>
      <w:r w:rsidRPr="003F3B94">
        <w:rPr>
          <w:rFonts w:ascii="Abo-thar" w:hAnsi="Abo-thar" w:hint="cs"/>
          <w:sz w:val="28"/>
          <w:rtl/>
        </w:rPr>
        <w:t xml:space="preserve"> </w:t>
      </w:r>
      <w:r w:rsidR="00EF2588" w:rsidRPr="00394385">
        <w:rPr>
          <w:rFonts w:ascii="Abo-thar" w:hAnsi="Abo-thar" w:cs="KFGQPC Uthman Taha Naskh" w:hint="cs"/>
          <w:sz w:val="28"/>
          <w:rtl/>
        </w:rPr>
        <w:t>«</w:t>
      </w:r>
      <w:r w:rsidRPr="00394385">
        <w:rPr>
          <w:rFonts w:ascii="Abo-thar" w:hAnsi="Abo-thar" w:cs="KFGQPC Uthman Taha Naskh"/>
          <w:b/>
          <w:bCs/>
          <w:sz w:val="28"/>
          <w:rtl/>
        </w:rPr>
        <w:t xml:space="preserve">فَلَيْسَ فِي هَذَا الخَبَرِ أَنَّهُ قَبَضَ ذَلِكَ لِنَفْسِهِ أَوْ لِغَيْرِهِ ويَحْتَمِلُ أَنْ يَكُونَ ذَلِكَ إِنَّمَا قَبَضَ لِغَيْرِهِ مِمَّنْ يَسْتَحِقُّ ذَلِكَ لِأَنَّهُمْ </w:t>
      </w:r>
      <w:r w:rsidR="00BC4BA9" w:rsidRPr="00BC4BA9">
        <w:rPr>
          <w:rFonts w:ascii="Abo-thar" w:hAnsi="Abo-thar" w:cs="CTraditional Arabic"/>
          <w:b/>
          <w:sz w:val="28"/>
          <w:rtl/>
        </w:rPr>
        <w:t>÷</w:t>
      </w:r>
      <w:r w:rsidRPr="00394385">
        <w:rPr>
          <w:rFonts w:ascii="Abo-thar" w:hAnsi="Abo-thar" w:cs="KFGQPC Uthman Taha Naskh"/>
          <w:b/>
          <w:bCs/>
          <w:sz w:val="28"/>
          <w:rtl/>
        </w:rPr>
        <w:t xml:space="preserve"> كَانُوا يَقْبِضُونَ الزَّكَوَاتِ ويَطْلُبُونَهَا ويُفَرِّقُونَهَا عَلَى مَوَالِيهِمْ مِمَّنْ يَسْتَحِقُّ ذَلِك</w:t>
      </w:r>
      <w:r w:rsidR="00EF2588" w:rsidRPr="00394385">
        <w:rPr>
          <w:rFonts w:ascii="Abo-thar" w:hAnsi="Abo-thar" w:cs="KFGQPC Uthman Taha Naskh" w:hint="cs"/>
          <w:sz w:val="28"/>
          <w:rtl/>
        </w:rPr>
        <w:t>»</w:t>
      </w:r>
      <w:r w:rsidR="00F51ADA" w:rsidRPr="0021507A">
        <w:rPr>
          <w:rFonts w:ascii="Abo-thar" w:hAnsi="Abo-thar" w:cs="Arabic11 BT"/>
          <w:sz w:val="28"/>
          <w:vertAlign w:val="superscript"/>
          <w:rtl/>
        </w:rPr>
        <w:t>(</w:t>
      </w:r>
      <w:r w:rsidR="00F51ADA" w:rsidRPr="0021507A">
        <w:rPr>
          <w:rStyle w:val="FootnoteReference"/>
          <w:rFonts w:ascii="Abo-thar" w:hAnsi="Abo-thar" w:cs="Arabic11 BT"/>
          <w:sz w:val="28"/>
          <w:rtl/>
        </w:rPr>
        <w:footnoteReference w:id="395"/>
      </w:r>
      <w:r w:rsidR="00F51ADA" w:rsidRPr="0021507A">
        <w:rPr>
          <w:rFonts w:ascii="Abo-thar" w:hAnsi="Abo-thar" w:cs="Arabic11 BT"/>
          <w:sz w:val="28"/>
          <w:vertAlign w:val="superscript"/>
          <w:rtl/>
        </w:rPr>
        <w:t>)</w:t>
      </w:r>
      <w:r w:rsidR="00217AB4" w:rsidRPr="003F3B94">
        <w:rPr>
          <w:rFonts w:ascii="Abo-thar" w:hAnsi="Abo-thar" w:hint="cs"/>
          <w:sz w:val="28"/>
          <w:rtl/>
        </w:rPr>
        <w:t>.</w:t>
      </w:r>
    </w:p>
    <w:p w:rsidR="005C664D" w:rsidRPr="003F3B94" w:rsidRDefault="005C664D" w:rsidP="00A1493A">
      <w:pPr>
        <w:pStyle w:val="a0"/>
        <w:rPr>
          <w:rFonts w:hint="cs"/>
          <w:rtl/>
        </w:rPr>
      </w:pPr>
      <w:r w:rsidRPr="003F3B94">
        <w:rPr>
          <w:rFonts w:ascii="Abo-thar" w:hAnsi="Abo-thar" w:hint="cs"/>
          <w:sz w:val="28"/>
          <w:rtl/>
        </w:rPr>
        <w:t>وفي الكتاب نفسه</w:t>
      </w:r>
      <w:r w:rsidR="00217AB4" w:rsidRPr="003F3B94">
        <w:rPr>
          <w:rFonts w:ascii="Abo-thar" w:hAnsi="Abo-thar" w:hint="cs"/>
          <w:sz w:val="28"/>
          <w:rtl/>
        </w:rPr>
        <w:t>،</w:t>
      </w:r>
      <w:r w:rsidRPr="003F3B94">
        <w:rPr>
          <w:rFonts w:ascii="Abo-thar" w:hAnsi="Abo-thar" w:hint="cs"/>
          <w:sz w:val="28"/>
          <w:rtl/>
        </w:rPr>
        <w:t xml:space="preserve"> وكذلك في كتاب </w:t>
      </w:r>
      <w:r w:rsidRPr="003F3B94">
        <w:rPr>
          <w:rFonts w:ascii="Abo-thar" w:hAnsi="Abo-thar"/>
          <w:sz w:val="28"/>
          <w:rtl/>
        </w:rPr>
        <w:t>«</w:t>
      </w:r>
      <w:r w:rsidRPr="003F3B94">
        <w:rPr>
          <w:rFonts w:ascii="Abo-thar" w:hAnsi="Abo-thar" w:hint="cs"/>
          <w:sz w:val="28"/>
          <w:rtl/>
        </w:rPr>
        <w:t>الكافي</w:t>
      </w:r>
      <w:r w:rsidRPr="003F3B94">
        <w:rPr>
          <w:rFonts w:ascii="Abo-thar" w:hAnsi="Abo-thar"/>
          <w:sz w:val="28"/>
          <w:rtl/>
        </w:rPr>
        <w:t>»</w:t>
      </w:r>
      <w:r w:rsidRPr="003F3B94">
        <w:rPr>
          <w:rFonts w:ascii="Abo-thar" w:hAnsi="Abo-thar" w:hint="cs"/>
          <w:sz w:val="28"/>
          <w:rtl/>
        </w:rPr>
        <w:t xml:space="preserve"> في الحديث المرسل</w:t>
      </w:r>
      <w:r w:rsidR="00217AB4" w:rsidRPr="003F3B94">
        <w:rPr>
          <w:rFonts w:ascii="Abo-thar" w:hAnsi="Abo-thar" w:hint="cs"/>
          <w:sz w:val="28"/>
          <w:rtl/>
        </w:rPr>
        <w:t>:</w:t>
      </w:r>
      <w:r w:rsidRPr="003F3B94">
        <w:rPr>
          <w:rFonts w:ascii="Abo-thar" w:hAnsi="Abo-thar" w:hint="cs"/>
          <w:sz w:val="28"/>
          <w:rtl/>
        </w:rPr>
        <w:t xml:space="preserve"> </w:t>
      </w:r>
      <w:r w:rsidR="00EF2588" w:rsidRPr="00394385">
        <w:rPr>
          <w:rFonts w:ascii="Abo-thar" w:hAnsi="Abo-thar" w:cs="KFGQPC Uthman Taha Naskh" w:hint="cs"/>
          <w:sz w:val="28"/>
          <w:rtl/>
        </w:rPr>
        <w:t>«</w:t>
      </w:r>
      <w:r w:rsidRPr="00394385">
        <w:rPr>
          <w:rFonts w:ascii="Abo-thar" w:hAnsi="Abo-thar" w:cs="KFGQPC Uthman Taha Naskh"/>
          <w:sz w:val="28"/>
          <w:rtl/>
        </w:rPr>
        <w:t>الْحَسَنُ بْنُ رَاشِدٍ قَالَ حَدَّثَنِي حَمَّادُ بْنُ عِيسَى قَالَ رَوَاهُ لِي بَعْضُ أَصْحَابِنَا ذَكَرَهُ عَنِ العَبْدِ الصَّالِحِ أَبِي الحَسَنِ الأَوَّلِ</w:t>
      </w:r>
      <w:r w:rsidR="00BC4BA9" w:rsidRPr="00BC4BA9">
        <w:rPr>
          <w:rFonts w:ascii="Abo-thar" w:hAnsi="Abo-thar" w:cs="CTraditional Arabic" w:hint="cs"/>
          <w:sz w:val="28"/>
          <w:rtl/>
        </w:rPr>
        <w:t>÷</w:t>
      </w:r>
      <w:r w:rsidRPr="00394385">
        <w:rPr>
          <w:rFonts w:ascii="Abo-thar" w:hAnsi="Abo-thar" w:cs="KFGQPC Uthman Taha Naskh"/>
          <w:sz w:val="28"/>
          <w:rtl/>
        </w:rPr>
        <w:t xml:space="preserve"> </w:t>
      </w:r>
      <w:r w:rsidRPr="00394385">
        <w:rPr>
          <w:rFonts w:ascii="Abo-thar" w:hAnsi="Abo-thar" w:cs="KFGQPC Uthman Taha Naskh" w:hint="cs"/>
          <w:sz w:val="28"/>
          <w:rtl/>
        </w:rPr>
        <w:t>[أي الإمام موسى بن جعفر</w:t>
      </w:r>
      <w:r w:rsidR="00147857" w:rsidRPr="00394385">
        <w:rPr>
          <w:rFonts w:ascii="Abo-thar" w:hAnsi="Abo-thar" w:cs="KFGQPC Uthman Taha Naskh" w:hint="cs"/>
          <w:sz w:val="28"/>
          <w:rtl/>
        </w:rPr>
        <w:t xml:space="preserve"> </w:t>
      </w:r>
      <w:r w:rsidR="003C7AEB" w:rsidRPr="003C7AEB">
        <w:rPr>
          <w:rFonts w:ascii="Abo-thar" w:hAnsi="Abo-thar" w:cs="CTraditional Arabic"/>
          <w:sz w:val="28"/>
          <w:rtl/>
        </w:rPr>
        <w:t>÷</w:t>
      </w:r>
      <w:r w:rsidR="00147857" w:rsidRPr="00394385">
        <w:rPr>
          <w:rFonts w:ascii="Abo-thar" w:hAnsi="Abo-thar" w:cs="KFGQPC Uthman Taha Naskh"/>
          <w:sz w:val="28"/>
          <w:rtl/>
        </w:rPr>
        <w:t>]</w:t>
      </w:r>
      <w:r w:rsidR="00EF2588" w:rsidRPr="00394385">
        <w:rPr>
          <w:rFonts w:ascii="Abo-thar" w:hAnsi="Abo-thar" w:cs="KFGQPC Uthman Taha Naskh" w:hint="cs"/>
          <w:sz w:val="28"/>
          <w:rtl/>
        </w:rPr>
        <w:t>»</w:t>
      </w:r>
      <w:r w:rsidRPr="003F3B94">
        <w:rPr>
          <w:rFonts w:ascii="Abo-thar" w:hAnsi="Abo-thar" w:hint="cs"/>
          <w:sz w:val="28"/>
          <w:rtl/>
        </w:rPr>
        <w:t xml:space="preserve"> وفيه يشرح تقسيم الإمام للغنائم والفيء والأنفال وأموال الزكاة ويقول</w:t>
      </w:r>
      <w:r w:rsidR="00217AB4" w:rsidRPr="003F3B94">
        <w:rPr>
          <w:rFonts w:ascii="Abo-thar" w:hAnsi="Abo-thar" w:hint="cs"/>
          <w:sz w:val="28"/>
          <w:rtl/>
        </w:rPr>
        <w:t>:</w:t>
      </w:r>
      <w:r w:rsidRPr="003F3B94">
        <w:rPr>
          <w:rFonts w:ascii="Abo-thar" w:hAnsi="Abo-thar" w:hint="cs"/>
          <w:sz w:val="28"/>
          <w:rtl/>
        </w:rPr>
        <w:t xml:space="preserve"> </w:t>
      </w:r>
      <w:r w:rsidR="00EF2588" w:rsidRPr="00394385">
        <w:rPr>
          <w:rFonts w:ascii="Abo-thar" w:hAnsi="Abo-thar" w:cs="KFGQPC Uthman Taha Naskh" w:hint="cs"/>
          <w:sz w:val="28"/>
          <w:rtl/>
        </w:rPr>
        <w:t>«</w:t>
      </w:r>
      <w:r w:rsidRPr="00394385">
        <w:rPr>
          <w:rFonts w:ascii="Abo-thar" w:hAnsi="Abo-thar" w:cs="KFGQPC Uthman Taha Naskh"/>
          <w:b/>
          <w:bCs/>
          <w:sz w:val="28"/>
          <w:rtl/>
        </w:rPr>
        <w:t xml:space="preserve">فَيُقْسَمُ بَيْنَ الوَالِي وبَيْنَ شُرَكَائِهِ الَّذِينَ هُمْ عُمَّالُ الأَرْضِ وأَكَرَتُهَا فَيُدْفَعُ إِلَيْهِمْ أَنْصِبَاؤُهُمْ عَلَى قَدْرِ مَا صَالَحَهُمْ عَلَيْهِ ويَأْخُذُ البَاقِيَ فَيَكُونُ ذَلِكَ أَرْزَاقَ أَعْوَانِهِ عَلَى دِينِ اللهِ وفِي مَصْلَحَةِ مَا يَنُوبُهُ مِنْ تَقْوِيَةِ الإِسْلَامِ وتَقْوِيَةِ الدِّينِ فِي وَجْهِ الجِهَادِ وغَيْرِ ذَلِكَ مِمَّا فِيهِ مَصْلَحَةُ العَامَّةِ لَيْسَ لِنَفْسِهِ </w:t>
      </w:r>
      <w:r w:rsidRPr="00394385">
        <w:rPr>
          <w:rFonts w:ascii="Abo-thar" w:hAnsi="Abo-thar" w:cs="KFGQPC Uthman Taha Naskh" w:hint="cs"/>
          <w:b/>
          <w:bCs/>
          <w:sz w:val="28"/>
          <w:rtl/>
        </w:rPr>
        <w:t xml:space="preserve">[أي الوالي والإمام] </w:t>
      </w:r>
      <w:r w:rsidRPr="00394385">
        <w:rPr>
          <w:rFonts w:ascii="Abo-thar" w:hAnsi="Abo-thar" w:cs="KFGQPC Uthman Taha Naskh"/>
          <w:b/>
          <w:bCs/>
          <w:sz w:val="28"/>
          <w:rtl/>
        </w:rPr>
        <w:t>مِنْ ذَلِكَ قَلِيلٌ ولَا كَثِير</w:t>
      </w:r>
      <w:r w:rsidR="00EF2588" w:rsidRPr="00394385">
        <w:rPr>
          <w:rFonts w:ascii="Abo-thar" w:hAnsi="Abo-thar" w:cs="KFGQPC Uthman Taha Naskh" w:hint="cs"/>
          <w:sz w:val="28"/>
          <w:rtl/>
        </w:rPr>
        <w:t>»</w:t>
      </w:r>
      <w:r w:rsidR="00217AB4" w:rsidRPr="003F3B94">
        <w:rPr>
          <w:rFonts w:ascii="Abo-thar" w:hAnsi="Abo-thar" w:hint="cs"/>
          <w:sz w:val="28"/>
          <w:rtl/>
        </w:rPr>
        <w:t>.</w:t>
      </w:r>
      <w:r w:rsidR="00147857" w:rsidRPr="003F3B94">
        <w:rPr>
          <w:rFonts w:ascii="Abo-thar" w:hAnsi="Abo-thar" w:hint="cs"/>
          <w:sz w:val="28"/>
          <w:rtl/>
        </w:rPr>
        <w:t xml:space="preserve"> </w:t>
      </w:r>
      <w:r w:rsidRPr="003F3B94">
        <w:rPr>
          <w:rFonts w:ascii="Abo-thar" w:hAnsi="Abo-thar" w:hint="cs"/>
          <w:sz w:val="28"/>
          <w:rtl/>
        </w:rPr>
        <w:t>وقبلها بأسطر يقول بشأن الخمس</w:t>
      </w:r>
      <w:r w:rsidR="00217AB4" w:rsidRPr="003F3B94">
        <w:rPr>
          <w:rFonts w:ascii="Abo-thar" w:hAnsi="Abo-thar" w:hint="cs"/>
          <w:sz w:val="28"/>
          <w:rtl/>
        </w:rPr>
        <w:t>:</w:t>
      </w:r>
      <w:r w:rsidRPr="003F3B94">
        <w:rPr>
          <w:rFonts w:ascii="Abo-thar" w:hAnsi="Abo-thar" w:hint="cs"/>
          <w:sz w:val="28"/>
          <w:rtl/>
        </w:rPr>
        <w:t xml:space="preserve"> </w:t>
      </w:r>
      <w:r w:rsidR="00EF2588" w:rsidRPr="00394385">
        <w:rPr>
          <w:rFonts w:ascii="Abo-thar" w:hAnsi="Abo-thar" w:cs="KFGQPC Uthman Taha Naskh" w:hint="cs"/>
          <w:sz w:val="28"/>
          <w:rtl/>
        </w:rPr>
        <w:t>«</w:t>
      </w:r>
      <w:r w:rsidRPr="00394385">
        <w:rPr>
          <w:rFonts w:ascii="Abo-thar" w:hAnsi="Abo-thar" w:cs="KFGQPC Uthman Taha Naskh"/>
          <w:b/>
          <w:bCs/>
          <w:sz w:val="28"/>
          <w:rtl/>
        </w:rPr>
        <w:t>وَ لَهُ أَنْ يَسُدَّ بِذَلِكَ المَالِ جَمِيعَ مَا يَنُوبُهُ مِنْ قَبْلِ إِعْطَاءِ المُؤَلَّفَةِ قُلُوبُهُمْ وغَيْرِ ذَلِكَ مِنْ صُنُوفِ مَا يَنُوبُه</w:t>
      </w:r>
      <w:r w:rsidR="00EF2588" w:rsidRPr="00394385">
        <w:rPr>
          <w:rFonts w:ascii="Abo-thar" w:hAnsi="Abo-thar" w:cs="KFGQPC Uthman Taha Naskh" w:hint="cs"/>
          <w:sz w:val="28"/>
          <w:rtl/>
        </w:rPr>
        <w:t>»</w:t>
      </w:r>
      <w:r w:rsidR="00F51ADA" w:rsidRPr="0021507A">
        <w:rPr>
          <w:rFonts w:ascii="Abo-thar" w:hAnsi="Abo-thar" w:cs="Arabic11 BT"/>
          <w:sz w:val="28"/>
          <w:vertAlign w:val="superscript"/>
          <w:rtl/>
        </w:rPr>
        <w:t>(</w:t>
      </w:r>
      <w:r w:rsidR="00F51ADA" w:rsidRPr="0021507A">
        <w:rPr>
          <w:rStyle w:val="FootnoteReference"/>
          <w:rFonts w:ascii="Abo-thar" w:hAnsi="Abo-thar" w:cs="Arabic11 BT"/>
          <w:sz w:val="28"/>
          <w:rtl/>
        </w:rPr>
        <w:footnoteReference w:id="396"/>
      </w:r>
      <w:r w:rsidR="00F51ADA" w:rsidRPr="0021507A">
        <w:rPr>
          <w:rFonts w:ascii="Abo-thar" w:hAnsi="Abo-thar" w:cs="Arabic11 BT"/>
          <w:sz w:val="28"/>
          <w:vertAlign w:val="superscript"/>
          <w:rtl/>
        </w:rPr>
        <w:t>)</w:t>
      </w:r>
      <w:r w:rsidR="00217AB4" w:rsidRPr="003F3B94">
        <w:rPr>
          <w:rFonts w:ascii="Abo-thar" w:hAnsi="Abo-thar" w:hint="cs"/>
          <w:sz w:val="28"/>
          <w:rtl/>
        </w:rPr>
        <w:t>.</w:t>
      </w:r>
    </w:p>
    <w:p w:rsidR="005C664D" w:rsidRPr="003F3B94" w:rsidRDefault="005C664D" w:rsidP="003F3B94">
      <w:pPr>
        <w:pStyle w:val="a0"/>
        <w:rPr>
          <w:rFonts w:hint="cs"/>
          <w:rtl/>
        </w:rPr>
      </w:pPr>
      <w:r w:rsidRPr="003F3B94">
        <w:rPr>
          <w:rFonts w:ascii="Abo-thar" w:hAnsi="Abo-thar" w:hint="cs"/>
          <w:sz w:val="28"/>
          <w:rtl/>
        </w:rPr>
        <w:t xml:space="preserve">فهذا يُبَيِّن أنه ليس لرئيس المسلمين أو قائدهم أو من بيده زمام أمورهم وبعبارة مختصرة ليس لإمام </w:t>
      </w:r>
      <w:r w:rsidRPr="003F3B94">
        <w:rPr>
          <w:rFonts w:ascii="Abo-thar" w:hAnsi="Abo-thar" w:hint="eastAsia"/>
          <w:sz w:val="28"/>
          <w:rtl/>
        </w:rPr>
        <w:t>المسلمين</w:t>
      </w:r>
      <w:r w:rsidRPr="003F3B94">
        <w:rPr>
          <w:rFonts w:ascii="Abo-thar" w:hAnsi="Abo-thar" w:hint="cs"/>
          <w:sz w:val="28"/>
          <w:rtl/>
        </w:rPr>
        <w:t xml:space="preserve"> شيء من الأموال المذكورة يملكه ملكاً خاصاً به</w:t>
      </w:r>
      <w:r w:rsidR="00217AB4" w:rsidRPr="003F3B94">
        <w:rPr>
          <w:rFonts w:ascii="Abo-thar" w:hAnsi="Abo-thar" w:hint="cs"/>
          <w:sz w:val="28"/>
          <w:rtl/>
        </w:rPr>
        <w:t>،</w:t>
      </w:r>
      <w:r w:rsidRPr="003F3B94">
        <w:rPr>
          <w:rFonts w:ascii="Abo-thar" w:hAnsi="Abo-thar" w:hint="cs"/>
          <w:sz w:val="28"/>
          <w:rtl/>
        </w:rPr>
        <w:t xml:space="preserve"> بل أمره فيها أمر سائر المسلمين يأخذ منها كما يأخذون</w:t>
      </w:r>
      <w:r w:rsidR="00217AB4" w:rsidRPr="003F3B94">
        <w:rPr>
          <w:rFonts w:ascii="Abo-thar" w:hAnsi="Abo-thar" w:hint="cs"/>
          <w:sz w:val="28"/>
          <w:rtl/>
        </w:rPr>
        <w:t>.</w:t>
      </w:r>
    </w:p>
    <w:p w:rsidR="005C664D" w:rsidRPr="003F3B94" w:rsidRDefault="005C664D" w:rsidP="003F3B94">
      <w:pPr>
        <w:pStyle w:val="a0"/>
        <w:rPr>
          <w:rFonts w:hint="cs"/>
          <w:rtl/>
        </w:rPr>
      </w:pPr>
      <w:r w:rsidRPr="003F3B94">
        <w:rPr>
          <w:rFonts w:ascii="Abo-thar" w:hAnsi="Abo-thar" w:hint="cs"/>
          <w:sz w:val="28"/>
          <w:rtl/>
        </w:rPr>
        <w:t>فما يدَّعيه الغلاة وأتباعهم من أن الأرض وما فيها ملك للإمام وله أن يأخذ منها ما يشاء ويفعل فيها ما يشاء</w:t>
      </w:r>
      <w:r w:rsidR="00217AB4" w:rsidRPr="003F3B94">
        <w:rPr>
          <w:rFonts w:ascii="Abo-thar" w:hAnsi="Abo-thar" w:hint="cs"/>
          <w:sz w:val="28"/>
          <w:rtl/>
        </w:rPr>
        <w:t>،</w:t>
      </w:r>
      <w:r w:rsidRPr="003F3B94">
        <w:rPr>
          <w:rFonts w:ascii="Abo-thar" w:hAnsi="Abo-thar" w:hint="cs"/>
          <w:sz w:val="28"/>
          <w:rtl/>
        </w:rPr>
        <w:t xml:space="preserve"> والناس كلهم عبيد وعيال على سفرته</w:t>
      </w:r>
      <w:r w:rsidR="00217AB4" w:rsidRPr="003F3B94">
        <w:rPr>
          <w:rFonts w:ascii="Abo-thar" w:hAnsi="Abo-thar" w:hint="cs"/>
          <w:sz w:val="28"/>
          <w:rtl/>
        </w:rPr>
        <w:t>،</w:t>
      </w:r>
      <w:r w:rsidRPr="003F3B94">
        <w:rPr>
          <w:rFonts w:ascii="Abo-thar" w:hAnsi="Abo-thar" w:hint="cs"/>
          <w:sz w:val="28"/>
          <w:rtl/>
        </w:rPr>
        <w:t xml:space="preserve"> ليس سوى ادعاء باطل وهُرَاءٍ فارغٍ</w:t>
      </w:r>
      <w:r w:rsidR="00217AB4" w:rsidRPr="003F3B94">
        <w:rPr>
          <w:rFonts w:ascii="Abo-thar" w:hAnsi="Abo-thar" w:hint="cs"/>
          <w:sz w:val="28"/>
          <w:rtl/>
        </w:rPr>
        <w:t>.</w:t>
      </w:r>
      <w:r w:rsidRPr="003F3B94">
        <w:rPr>
          <w:rFonts w:ascii="Abo-thar" w:hAnsi="Abo-thar" w:hint="cs"/>
          <w:sz w:val="28"/>
          <w:rtl/>
        </w:rPr>
        <w:t xml:space="preserve"> </w:t>
      </w:r>
      <w:r w:rsidRPr="003F3B94">
        <w:rPr>
          <w:rFonts w:ascii="Abo-thar" w:hAnsi="Abo-thar" w:hint="cs"/>
          <w:b/>
          <w:bCs/>
          <w:sz w:val="28"/>
          <w:rtl/>
        </w:rPr>
        <w:t>أعاذنا الله من هفوات اللسان ومضلات الفتن</w:t>
      </w:r>
      <w:r w:rsidR="00217AB4" w:rsidRPr="003F3B94">
        <w:rPr>
          <w:rFonts w:ascii="Abo-thar" w:hAnsi="Abo-thar" w:hint="cs"/>
          <w:sz w:val="28"/>
          <w:rtl/>
        </w:rPr>
        <w:t>.</w:t>
      </w:r>
      <w:r w:rsidRPr="003F3B94">
        <w:rPr>
          <w:rFonts w:ascii="Abo-thar" w:hAnsi="Abo-thar" w:hint="cs"/>
          <w:sz w:val="28"/>
          <w:rtl/>
        </w:rPr>
        <w:t xml:space="preserve"> </w:t>
      </w:r>
    </w:p>
    <w:p w:rsidR="005C664D" w:rsidRPr="00995B26" w:rsidRDefault="00542D29" w:rsidP="007D2B8A">
      <w:pPr>
        <w:pStyle w:val="a5"/>
        <w:rPr>
          <w:rFonts w:hint="cs"/>
          <w:rtl/>
        </w:rPr>
      </w:pPr>
      <w:bookmarkStart w:id="145" w:name="_Toc215491164"/>
      <w:bookmarkStart w:id="146" w:name="_Toc215498083"/>
      <w:bookmarkStart w:id="147" w:name="_Toc387843098"/>
      <w:r w:rsidRPr="00995B26">
        <w:rPr>
          <w:rFonts w:hint="cs"/>
          <w:rtl/>
        </w:rPr>
        <w:t>5- ال</w:t>
      </w:r>
      <w:r w:rsidR="005C664D" w:rsidRPr="00995B26">
        <w:rPr>
          <w:rFonts w:hint="cs"/>
          <w:rtl/>
        </w:rPr>
        <w:t xml:space="preserve">تحقيق في خمس آل محمد </w:t>
      </w:r>
      <w:r w:rsidR="00963EFD" w:rsidRPr="00963EFD">
        <w:rPr>
          <w:rFonts w:cs="CTraditional Arabic" w:hint="cs"/>
          <w:rtl/>
        </w:rPr>
        <w:t>‡</w:t>
      </w:r>
      <w:bookmarkEnd w:id="145"/>
      <w:bookmarkEnd w:id="146"/>
      <w:bookmarkEnd w:id="147"/>
    </w:p>
    <w:p w:rsidR="005C664D" w:rsidRPr="003F3B94" w:rsidRDefault="005C664D" w:rsidP="003F3B94">
      <w:pPr>
        <w:pStyle w:val="a0"/>
        <w:rPr>
          <w:rFonts w:hint="cs"/>
          <w:rtl/>
          <w:lang w:bidi="ar-SY"/>
        </w:rPr>
      </w:pPr>
      <w:r w:rsidRPr="003F3B94">
        <w:rPr>
          <w:rFonts w:ascii="Abo-thar" w:hAnsi="Abo-thar" w:hint="cs"/>
          <w:sz w:val="28"/>
          <w:rtl/>
        </w:rPr>
        <w:t>جاء في سيرة رسول الله</w:t>
      </w:r>
      <w:r w:rsidR="00147857" w:rsidRPr="003F3B94">
        <w:rPr>
          <w:rFonts w:ascii="Abo-thar" w:hAnsi="Abo-thar" w:hint="cs"/>
          <w:sz w:val="28"/>
          <w:rtl/>
        </w:rPr>
        <w:t xml:space="preserve"> </w:t>
      </w:r>
      <w:r w:rsidR="003C7AEB" w:rsidRPr="003C7AEB">
        <w:rPr>
          <w:rFonts w:ascii="Abo-thar" w:hAnsi="Abo-thar" w:cs="CTraditional Arabic" w:hint="cs"/>
          <w:sz w:val="28"/>
          <w:rtl/>
        </w:rPr>
        <w:t>ص</w:t>
      </w:r>
      <w:r w:rsidR="00147857" w:rsidRPr="003F3B94">
        <w:rPr>
          <w:rFonts w:ascii="Abo-thar" w:hAnsi="Abo-thar" w:hint="cs"/>
          <w:sz w:val="28"/>
          <w:rtl/>
        </w:rPr>
        <w:t xml:space="preserve"> </w:t>
      </w:r>
      <w:r w:rsidRPr="003F3B94">
        <w:rPr>
          <w:rFonts w:ascii="Abo-thar" w:hAnsi="Abo-thar" w:hint="cs"/>
          <w:sz w:val="28"/>
          <w:rtl/>
        </w:rPr>
        <w:t xml:space="preserve">أنه كان يعطي مقداراً من الخمس الذي يأخذه من غنائم دار الحرب لأهل بيته أي زوجاته الطاهرات كما يعطي مقداراً منه لذي قرباه مثل أمير المؤمنين وفاطمة </w:t>
      </w:r>
      <w:r w:rsidR="003C7AEB" w:rsidRPr="003C7AEB">
        <w:rPr>
          <w:rFonts w:ascii="Abo-thar" w:hAnsi="Abo-thar" w:cs="CTraditional Arabic" w:hint="cs"/>
          <w:sz w:val="28"/>
          <w:rtl/>
        </w:rPr>
        <w:t>إ</w:t>
      </w:r>
      <w:r w:rsidR="001E0DB7" w:rsidRPr="003F3B94">
        <w:rPr>
          <w:rFonts w:ascii="Abo-thar" w:hAnsi="Abo-thar" w:hint="cs"/>
          <w:sz w:val="28"/>
          <w:rtl/>
        </w:rPr>
        <w:t>،</w:t>
      </w:r>
      <w:r w:rsidRPr="003F3B94">
        <w:rPr>
          <w:rFonts w:ascii="Abo-thar" w:hAnsi="Abo-thar" w:hint="cs"/>
          <w:sz w:val="28"/>
          <w:rtl/>
        </w:rPr>
        <w:t xml:space="preserve"> كما يعطي مقداراً منه أيضاً لأصحابه ومواليه مثل أبي بكر وزيد بن حارثة وأمثالهما</w:t>
      </w:r>
      <w:r w:rsidR="001E0DB7" w:rsidRPr="003F3B94">
        <w:rPr>
          <w:rFonts w:ascii="Abo-thar" w:hAnsi="Abo-thar" w:hint="cs"/>
          <w:sz w:val="28"/>
          <w:rtl/>
        </w:rPr>
        <w:t>،</w:t>
      </w:r>
      <w:r w:rsidRPr="003F3B94">
        <w:rPr>
          <w:rFonts w:ascii="Abo-thar" w:hAnsi="Abo-thar" w:hint="cs"/>
          <w:sz w:val="28"/>
          <w:rtl/>
        </w:rPr>
        <w:t xml:space="preserve"> ثم يصرف بقية الخمس في صالح المسلمين ويعطي منه المؤلفة قلوبهم ونفقة الأيتام والمساكين وأبناء السبيل من عامة المسلمين</w:t>
      </w:r>
      <w:r w:rsidR="00217AB4" w:rsidRPr="003F3B94">
        <w:rPr>
          <w:rFonts w:ascii="Abo-thar" w:hAnsi="Abo-thar" w:hint="cs"/>
          <w:sz w:val="28"/>
          <w:rtl/>
        </w:rPr>
        <w:t>.</w:t>
      </w:r>
      <w:r w:rsidRPr="003F3B94">
        <w:rPr>
          <w:rFonts w:ascii="Abo-thar" w:hAnsi="Abo-thar" w:hint="cs"/>
          <w:sz w:val="28"/>
          <w:rtl/>
        </w:rPr>
        <w:t xml:space="preserve"> كما ذكرنا سابقاً أن </w:t>
      </w:r>
      <w:r w:rsidRPr="003F3B94">
        <w:rPr>
          <w:rFonts w:ascii="Abo-thar" w:hAnsi="Abo-thar" w:hint="eastAsia"/>
          <w:b/>
          <w:bCs/>
          <w:sz w:val="28"/>
          <w:rtl/>
        </w:rPr>
        <w:t>الْح</w:t>
      </w:r>
      <w:r w:rsidR="00394385">
        <w:rPr>
          <w:rFonts w:ascii="Abo-thar" w:hAnsi="Abo-thar" w:hint="cs"/>
          <w:b/>
          <w:bCs/>
          <w:sz w:val="28"/>
          <w:rtl/>
        </w:rPr>
        <w:t>ـ</w:t>
      </w:r>
      <w:r w:rsidRPr="003F3B94">
        <w:rPr>
          <w:rFonts w:ascii="Abo-thar" w:hAnsi="Abo-thar" w:hint="eastAsia"/>
          <w:b/>
          <w:bCs/>
          <w:sz w:val="28"/>
          <w:rtl/>
        </w:rPr>
        <w:t>َسَن</w:t>
      </w:r>
      <w:r w:rsidRPr="003F3B94">
        <w:rPr>
          <w:rFonts w:ascii="Abo-thar" w:hAnsi="Abo-thar" w:hint="cs"/>
          <w:b/>
          <w:bCs/>
          <w:sz w:val="28"/>
          <w:rtl/>
        </w:rPr>
        <w:t>َ</w:t>
      </w:r>
      <w:r w:rsidRPr="003F3B94">
        <w:rPr>
          <w:rFonts w:ascii="Abo-thar" w:hAnsi="Abo-thar"/>
          <w:b/>
          <w:bCs/>
          <w:sz w:val="28"/>
          <w:rtl/>
        </w:rPr>
        <w:t xml:space="preserve"> </w:t>
      </w:r>
      <w:r w:rsidRPr="003F3B94">
        <w:rPr>
          <w:rFonts w:ascii="Abo-thar" w:hAnsi="Abo-thar" w:hint="eastAsia"/>
          <w:b/>
          <w:bCs/>
          <w:sz w:val="28"/>
          <w:rtl/>
        </w:rPr>
        <w:t>بْن</w:t>
      </w:r>
      <w:r w:rsidRPr="003F3B94">
        <w:rPr>
          <w:rFonts w:ascii="Abo-thar" w:hAnsi="Abo-thar" w:hint="cs"/>
          <w:b/>
          <w:bCs/>
          <w:sz w:val="28"/>
          <w:rtl/>
        </w:rPr>
        <w:t>َ</w:t>
      </w:r>
      <w:r w:rsidRPr="003F3B94">
        <w:rPr>
          <w:rFonts w:ascii="Abo-thar" w:hAnsi="Abo-thar"/>
          <w:b/>
          <w:bCs/>
          <w:sz w:val="28"/>
          <w:rtl/>
        </w:rPr>
        <w:t xml:space="preserve"> </w:t>
      </w:r>
      <w:r w:rsidRPr="003F3B94">
        <w:rPr>
          <w:rFonts w:ascii="Abo-thar" w:hAnsi="Abo-thar" w:hint="eastAsia"/>
          <w:b/>
          <w:bCs/>
          <w:sz w:val="28"/>
          <w:rtl/>
        </w:rPr>
        <w:t>مُحَمَّدِ</w:t>
      </w:r>
      <w:r w:rsidRPr="003F3B94">
        <w:rPr>
          <w:rFonts w:ascii="Abo-thar" w:hAnsi="Abo-thar"/>
          <w:b/>
          <w:bCs/>
          <w:sz w:val="28"/>
          <w:rtl/>
        </w:rPr>
        <w:t xml:space="preserve"> </w:t>
      </w:r>
      <w:r w:rsidRPr="003F3B94">
        <w:rPr>
          <w:rFonts w:ascii="Abo-thar" w:hAnsi="Abo-thar" w:hint="eastAsia"/>
          <w:b/>
          <w:bCs/>
          <w:sz w:val="28"/>
          <w:rtl/>
        </w:rPr>
        <w:t>ابْنِ</w:t>
      </w:r>
      <w:r w:rsidRPr="003F3B94">
        <w:rPr>
          <w:rFonts w:ascii="Abo-thar" w:hAnsi="Abo-thar"/>
          <w:b/>
          <w:bCs/>
          <w:sz w:val="28"/>
          <w:rtl/>
        </w:rPr>
        <w:t xml:space="preserve"> </w:t>
      </w:r>
      <w:r w:rsidRPr="003F3B94">
        <w:rPr>
          <w:rFonts w:ascii="Abo-thar" w:hAnsi="Abo-thar" w:hint="eastAsia"/>
          <w:b/>
          <w:bCs/>
          <w:sz w:val="28"/>
          <w:rtl/>
        </w:rPr>
        <w:t>الحَنَفِيَّةِ</w:t>
      </w:r>
      <w:r w:rsidRPr="003F3B94">
        <w:rPr>
          <w:rFonts w:ascii="Abo-thar" w:hAnsi="Abo-thar"/>
          <w:b/>
          <w:bCs/>
          <w:sz w:val="28"/>
          <w:rtl/>
        </w:rPr>
        <w:t xml:space="preserve"> </w:t>
      </w:r>
      <w:r w:rsidRPr="003F3B94">
        <w:rPr>
          <w:rFonts w:ascii="Abo-thar" w:hAnsi="Abo-thar" w:hint="eastAsia"/>
          <w:b/>
          <w:bCs/>
          <w:sz w:val="28"/>
          <w:rtl/>
        </w:rPr>
        <w:t>قَالَ</w:t>
      </w:r>
      <w:r w:rsidR="00217AB4" w:rsidRPr="003F3B94">
        <w:rPr>
          <w:rFonts w:ascii="Abo-thar" w:hAnsi="Abo-thar"/>
          <w:b/>
          <w:bCs/>
          <w:sz w:val="28"/>
          <w:rtl/>
        </w:rPr>
        <w:t>:</w:t>
      </w:r>
      <w:r w:rsidRPr="003F3B94">
        <w:rPr>
          <w:rFonts w:ascii="Abo-thar" w:hAnsi="Abo-thar"/>
          <w:b/>
          <w:bCs/>
          <w:sz w:val="28"/>
          <w:rtl/>
        </w:rPr>
        <w:t xml:space="preserve"> </w:t>
      </w:r>
      <w:r w:rsidR="00EF2588" w:rsidRPr="00394385">
        <w:rPr>
          <w:rFonts w:ascii="Abo-thar" w:hAnsi="Abo-thar" w:cs="KFGQPC Uthman Taha Naskh" w:hint="cs"/>
          <w:b/>
          <w:bCs/>
          <w:sz w:val="28"/>
          <w:rtl/>
        </w:rPr>
        <w:t>«</w:t>
      </w:r>
      <w:r w:rsidRPr="00394385">
        <w:rPr>
          <w:rFonts w:ascii="Abo-thar" w:hAnsi="Abo-thar" w:cs="KFGQPC Uthman Taha Naskh" w:hint="eastAsia"/>
          <w:b/>
          <w:bCs/>
          <w:sz w:val="28"/>
          <w:rtl/>
        </w:rPr>
        <w:t>اخْتَلَفَ</w:t>
      </w:r>
      <w:r w:rsidRPr="00394385">
        <w:rPr>
          <w:rFonts w:ascii="Abo-thar" w:hAnsi="Abo-thar" w:cs="KFGQPC Uthman Taha Naskh"/>
          <w:b/>
          <w:bCs/>
          <w:sz w:val="28"/>
          <w:rtl/>
        </w:rPr>
        <w:t xml:space="preserve"> </w:t>
      </w:r>
      <w:r w:rsidRPr="00394385">
        <w:rPr>
          <w:rFonts w:ascii="Abo-thar" w:hAnsi="Abo-thar" w:cs="KFGQPC Uthman Taha Naskh" w:hint="eastAsia"/>
          <w:b/>
          <w:bCs/>
          <w:sz w:val="28"/>
          <w:rtl/>
        </w:rPr>
        <w:t>النَّاسُ</w:t>
      </w:r>
      <w:r w:rsidRPr="00394385">
        <w:rPr>
          <w:rFonts w:ascii="Abo-thar" w:hAnsi="Abo-thar" w:cs="KFGQPC Uthman Taha Naskh"/>
          <w:b/>
          <w:bCs/>
          <w:sz w:val="28"/>
          <w:rtl/>
        </w:rPr>
        <w:t xml:space="preserve"> </w:t>
      </w:r>
      <w:r w:rsidRPr="00394385">
        <w:rPr>
          <w:rFonts w:ascii="Abo-thar" w:hAnsi="Abo-thar" w:cs="KFGQPC Uthman Taha Naskh" w:hint="eastAsia"/>
          <w:b/>
          <w:bCs/>
          <w:sz w:val="28"/>
          <w:rtl/>
        </w:rPr>
        <w:t>ف</w:t>
      </w:r>
      <w:r w:rsidRPr="00394385">
        <w:rPr>
          <w:rFonts w:ascii="Abo-thar" w:hAnsi="Abo-thar" w:cs="KFGQPC Uthman Taha Naskh" w:hint="cs"/>
          <w:b/>
          <w:bCs/>
          <w:sz w:val="28"/>
          <w:rtl/>
        </w:rPr>
        <w:t>ي</w:t>
      </w:r>
      <w:r w:rsidRPr="00394385">
        <w:rPr>
          <w:rFonts w:ascii="Abo-thar" w:hAnsi="Abo-thar" w:cs="KFGQPC Uthman Taha Naskh"/>
          <w:b/>
          <w:bCs/>
          <w:sz w:val="28"/>
          <w:rtl/>
        </w:rPr>
        <w:t xml:space="preserve"> </w:t>
      </w:r>
      <w:r w:rsidRPr="00394385">
        <w:rPr>
          <w:rFonts w:ascii="Abo-thar" w:hAnsi="Abo-thar" w:cs="KFGQPC Uthman Taha Naskh" w:hint="eastAsia"/>
          <w:b/>
          <w:bCs/>
          <w:sz w:val="28"/>
          <w:rtl/>
        </w:rPr>
        <w:t>هَذَيْنِ</w:t>
      </w:r>
      <w:r w:rsidRPr="00394385">
        <w:rPr>
          <w:rFonts w:ascii="Abo-thar" w:hAnsi="Abo-thar" w:cs="KFGQPC Uthman Taha Naskh"/>
          <w:b/>
          <w:bCs/>
          <w:sz w:val="28"/>
          <w:rtl/>
        </w:rPr>
        <w:t xml:space="preserve"> </w:t>
      </w:r>
      <w:r w:rsidRPr="00394385">
        <w:rPr>
          <w:rFonts w:ascii="Abo-thar" w:hAnsi="Abo-thar" w:cs="KFGQPC Uthman Taha Naskh" w:hint="eastAsia"/>
          <w:b/>
          <w:bCs/>
          <w:sz w:val="28"/>
          <w:rtl/>
        </w:rPr>
        <w:t>السَّهْمَيْنِ</w:t>
      </w:r>
      <w:r w:rsidRPr="00394385">
        <w:rPr>
          <w:rFonts w:ascii="Abo-thar" w:hAnsi="Abo-thar" w:cs="KFGQPC Uthman Taha Naskh"/>
          <w:b/>
          <w:bCs/>
          <w:sz w:val="28"/>
          <w:rtl/>
        </w:rPr>
        <w:t xml:space="preserve"> </w:t>
      </w:r>
      <w:r w:rsidRPr="00394385">
        <w:rPr>
          <w:rFonts w:ascii="Abo-thar" w:hAnsi="Abo-thar" w:cs="KFGQPC Uthman Taha Naskh" w:hint="cs"/>
          <w:sz w:val="28"/>
          <w:rtl/>
        </w:rPr>
        <w:t>[أي سهم رسول الله وسهم ذوي القربى المذكوران في آية خمس الغنائم في سورة الأنفال]</w:t>
      </w:r>
      <w:r w:rsidRPr="00394385">
        <w:rPr>
          <w:rFonts w:ascii="Abo-thar" w:hAnsi="Abo-thar" w:cs="KFGQPC Uthman Taha Naskh" w:hint="cs"/>
          <w:b/>
          <w:bCs/>
          <w:sz w:val="28"/>
          <w:rtl/>
        </w:rPr>
        <w:t xml:space="preserve"> </w:t>
      </w:r>
      <w:r w:rsidRPr="00394385">
        <w:rPr>
          <w:rFonts w:ascii="Abo-thar" w:hAnsi="Abo-thar" w:cs="KFGQPC Uthman Taha Naskh" w:hint="eastAsia"/>
          <w:b/>
          <w:bCs/>
          <w:sz w:val="28"/>
          <w:rtl/>
        </w:rPr>
        <w:t>بَعْدَ</w:t>
      </w:r>
      <w:r w:rsidRPr="00394385">
        <w:rPr>
          <w:rFonts w:ascii="Abo-thar" w:hAnsi="Abo-thar" w:cs="KFGQPC Uthman Taha Naskh"/>
          <w:b/>
          <w:bCs/>
          <w:sz w:val="28"/>
          <w:rtl/>
        </w:rPr>
        <w:t xml:space="preserve"> </w:t>
      </w:r>
      <w:r w:rsidRPr="00394385">
        <w:rPr>
          <w:rFonts w:ascii="Abo-thar" w:hAnsi="Abo-thar" w:cs="KFGQPC Uthman Taha Naskh" w:hint="eastAsia"/>
          <w:b/>
          <w:bCs/>
          <w:sz w:val="28"/>
          <w:rtl/>
        </w:rPr>
        <w:t>وَفَاةِ</w:t>
      </w:r>
      <w:r w:rsidRPr="00394385">
        <w:rPr>
          <w:rFonts w:ascii="Abo-thar" w:hAnsi="Abo-thar" w:cs="KFGQPC Uthman Taha Naskh"/>
          <w:b/>
          <w:bCs/>
          <w:sz w:val="28"/>
          <w:rtl/>
        </w:rPr>
        <w:t xml:space="preserve"> </w:t>
      </w:r>
      <w:r w:rsidRPr="00394385">
        <w:rPr>
          <w:rFonts w:ascii="Abo-thar" w:hAnsi="Abo-thar" w:cs="KFGQPC Uthman Taha Naskh" w:hint="eastAsia"/>
          <w:b/>
          <w:bCs/>
          <w:sz w:val="28"/>
          <w:rtl/>
        </w:rPr>
        <w:t>رَسُولِ</w:t>
      </w:r>
      <w:r w:rsidRPr="00394385">
        <w:rPr>
          <w:rFonts w:ascii="Abo-thar" w:hAnsi="Abo-thar" w:cs="KFGQPC Uthman Taha Naskh"/>
          <w:b/>
          <w:bCs/>
          <w:sz w:val="28"/>
          <w:rtl/>
        </w:rPr>
        <w:t xml:space="preserve"> </w:t>
      </w:r>
      <w:r w:rsidRPr="00394385">
        <w:rPr>
          <w:rFonts w:ascii="Abo-thar" w:hAnsi="Abo-thar" w:cs="KFGQPC Uthman Taha Naskh" w:hint="cs"/>
          <w:b/>
          <w:bCs/>
          <w:sz w:val="28"/>
          <w:rtl/>
        </w:rPr>
        <w:t>اللهِ</w:t>
      </w:r>
      <w:r w:rsidRPr="00394385">
        <w:rPr>
          <w:rFonts w:ascii="Abo-thar" w:hAnsi="Abo-thar" w:cs="KFGQPC Uthman Taha Naskh"/>
          <w:b/>
          <w:bCs/>
          <w:sz w:val="28"/>
          <w:rtl/>
        </w:rPr>
        <w:t xml:space="preserve"> </w:t>
      </w:r>
      <w:r w:rsidR="00217AB4" w:rsidRPr="00394385">
        <w:rPr>
          <w:rFonts w:ascii="Abo-thar" w:hAnsi="Abo-thar" w:cs="KFGQPC Uthman Taha Naskh"/>
          <w:b/>
          <w:bCs/>
          <w:sz w:val="28"/>
          <w:rtl/>
        </w:rPr>
        <w:t>-</w:t>
      </w:r>
      <w:r w:rsidR="00147857" w:rsidRPr="00394385">
        <w:rPr>
          <w:rFonts w:ascii="Abo-thar" w:hAnsi="Abo-thar" w:cs="KFGQPC Uthman Taha Naskh"/>
          <w:sz w:val="28"/>
          <w:rtl/>
        </w:rPr>
        <w:t xml:space="preserve"> </w:t>
      </w:r>
      <w:r w:rsidR="003C7AEB" w:rsidRPr="003C7AEB">
        <w:rPr>
          <w:rFonts w:ascii="Abo-thar" w:hAnsi="Abo-thar" w:cs="CTraditional Arabic"/>
          <w:sz w:val="28"/>
          <w:rtl/>
        </w:rPr>
        <w:t>ص</w:t>
      </w:r>
      <w:r w:rsidR="00147857" w:rsidRPr="00394385">
        <w:rPr>
          <w:rFonts w:ascii="Abo-thar" w:hAnsi="Abo-thar" w:cs="KFGQPC Uthman Taha Naskh"/>
          <w:sz w:val="28"/>
          <w:rtl/>
        </w:rPr>
        <w:t xml:space="preserve"> </w:t>
      </w:r>
      <w:r w:rsidR="00217AB4" w:rsidRPr="00394385">
        <w:rPr>
          <w:rFonts w:ascii="Abo-thar" w:hAnsi="Abo-thar" w:cs="KFGQPC Uthman Taha Naskh"/>
          <w:b/>
          <w:bCs/>
          <w:sz w:val="28"/>
          <w:rtl/>
        </w:rPr>
        <w:t>-</w:t>
      </w:r>
      <w:r w:rsidRPr="00394385">
        <w:rPr>
          <w:rFonts w:ascii="Abo-thar" w:hAnsi="Abo-thar" w:cs="KFGQPC Uthman Taha Naskh"/>
          <w:b/>
          <w:bCs/>
          <w:sz w:val="28"/>
          <w:rtl/>
        </w:rPr>
        <w:t xml:space="preserve"> </w:t>
      </w:r>
      <w:r w:rsidRPr="00394385">
        <w:rPr>
          <w:rFonts w:ascii="Abo-thar" w:hAnsi="Abo-thar" w:cs="KFGQPC Uthman Taha Naskh" w:hint="eastAsia"/>
          <w:b/>
          <w:bCs/>
          <w:sz w:val="28"/>
          <w:rtl/>
        </w:rPr>
        <w:t>فَقَالَ</w:t>
      </w:r>
      <w:r w:rsidRPr="00394385">
        <w:rPr>
          <w:rFonts w:ascii="Abo-thar" w:hAnsi="Abo-thar" w:cs="KFGQPC Uthman Taha Naskh"/>
          <w:b/>
          <w:bCs/>
          <w:sz w:val="28"/>
          <w:rtl/>
        </w:rPr>
        <w:t xml:space="preserve"> </w:t>
      </w:r>
      <w:r w:rsidRPr="00394385">
        <w:rPr>
          <w:rFonts w:ascii="Abo-thar" w:hAnsi="Abo-thar" w:cs="KFGQPC Uthman Taha Naskh" w:hint="eastAsia"/>
          <w:b/>
          <w:bCs/>
          <w:sz w:val="28"/>
          <w:rtl/>
        </w:rPr>
        <w:t>قَائِلُونَ</w:t>
      </w:r>
      <w:r w:rsidRPr="00394385">
        <w:rPr>
          <w:rFonts w:ascii="Abo-thar" w:hAnsi="Abo-thar" w:cs="KFGQPC Uthman Taha Naskh"/>
          <w:b/>
          <w:bCs/>
          <w:sz w:val="28"/>
          <w:rtl/>
        </w:rPr>
        <w:t xml:space="preserve"> </w:t>
      </w:r>
      <w:r w:rsidRPr="00394385">
        <w:rPr>
          <w:rFonts w:ascii="Abo-thar" w:hAnsi="Abo-thar" w:cs="KFGQPC Uthman Taha Naskh" w:hint="eastAsia"/>
          <w:b/>
          <w:bCs/>
          <w:sz w:val="28"/>
          <w:rtl/>
        </w:rPr>
        <w:t>سَهْمُ</w:t>
      </w:r>
      <w:r w:rsidRPr="00394385">
        <w:rPr>
          <w:rFonts w:ascii="Abo-thar" w:hAnsi="Abo-thar" w:cs="KFGQPC Uthman Taha Naskh"/>
          <w:b/>
          <w:bCs/>
          <w:sz w:val="28"/>
          <w:rtl/>
        </w:rPr>
        <w:t xml:space="preserve"> </w:t>
      </w:r>
      <w:r w:rsidRPr="00394385">
        <w:rPr>
          <w:rFonts w:ascii="Abo-thar" w:hAnsi="Abo-thar" w:cs="KFGQPC Uthman Taha Naskh" w:hint="eastAsia"/>
          <w:b/>
          <w:bCs/>
          <w:sz w:val="28"/>
          <w:rtl/>
        </w:rPr>
        <w:t>ذِ</w:t>
      </w:r>
      <w:r w:rsidRPr="00394385">
        <w:rPr>
          <w:rFonts w:ascii="Abo-thar" w:hAnsi="Abo-thar" w:cs="KFGQPC Uthman Taha Naskh" w:hint="cs"/>
          <w:b/>
          <w:bCs/>
          <w:sz w:val="28"/>
          <w:rtl/>
        </w:rPr>
        <w:t>ي</w:t>
      </w:r>
      <w:r w:rsidRPr="00394385">
        <w:rPr>
          <w:rFonts w:ascii="Abo-thar" w:hAnsi="Abo-thar" w:cs="KFGQPC Uthman Taha Naskh"/>
          <w:b/>
          <w:bCs/>
          <w:sz w:val="28"/>
          <w:rtl/>
        </w:rPr>
        <w:t xml:space="preserve"> </w:t>
      </w:r>
      <w:r w:rsidRPr="00394385">
        <w:rPr>
          <w:rFonts w:ascii="Abo-thar" w:hAnsi="Abo-thar" w:cs="KFGQPC Uthman Taha Naskh" w:hint="eastAsia"/>
          <w:b/>
          <w:bCs/>
          <w:sz w:val="28"/>
          <w:rtl/>
        </w:rPr>
        <w:t>الْقُرْبَى</w:t>
      </w:r>
      <w:r w:rsidRPr="00394385">
        <w:rPr>
          <w:rFonts w:ascii="Abo-thar" w:hAnsi="Abo-thar" w:cs="KFGQPC Uthman Taha Naskh"/>
          <w:b/>
          <w:bCs/>
          <w:sz w:val="28"/>
          <w:rtl/>
        </w:rPr>
        <w:t xml:space="preserve"> </w:t>
      </w:r>
      <w:r w:rsidRPr="00394385">
        <w:rPr>
          <w:rFonts w:ascii="Abo-thar" w:hAnsi="Abo-thar" w:cs="KFGQPC Uthman Taha Naskh" w:hint="eastAsia"/>
          <w:b/>
          <w:bCs/>
          <w:sz w:val="28"/>
          <w:rtl/>
        </w:rPr>
        <w:t>لِقَرَابَةِ</w:t>
      </w:r>
      <w:r w:rsidRPr="00394385">
        <w:rPr>
          <w:rFonts w:ascii="Abo-thar" w:hAnsi="Abo-thar" w:cs="KFGQPC Uthman Taha Naskh"/>
          <w:b/>
          <w:bCs/>
          <w:sz w:val="28"/>
          <w:rtl/>
        </w:rPr>
        <w:t xml:space="preserve"> </w:t>
      </w:r>
      <w:r w:rsidRPr="00394385">
        <w:rPr>
          <w:rFonts w:ascii="Abo-thar" w:hAnsi="Abo-thar" w:cs="KFGQPC Uthman Taha Naskh" w:hint="eastAsia"/>
          <w:b/>
          <w:bCs/>
          <w:sz w:val="28"/>
          <w:rtl/>
        </w:rPr>
        <w:t>النَّبِ</w:t>
      </w:r>
      <w:r w:rsidRPr="00394385">
        <w:rPr>
          <w:rFonts w:ascii="Abo-thar" w:hAnsi="Abo-thar" w:cs="KFGQPC Uthman Taha Naskh" w:hint="cs"/>
          <w:b/>
          <w:bCs/>
          <w:sz w:val="28"/>
          <w:rtl/>
        </w:rPr>
        <w:t>يِّ</w:t>
      </w:r>
      <w:r w:rsidRPr="00394385">
        <w:rPr>
          <w:rFonts w:ascii="Abo-thar" w:hAnsi="Abo-thar" w:cs="KFGQPC Uthman Taha Naskh"/>
          <w:b/>
          <w:bCs/>
          <w:sz w:val="28"/>
          <w:rtl/>
        </w:rPr>
        <w:t xml:space="preserve"> </w:t>
      </w:r>
      <w:r w:rsidR="00217AB4" w:rsidRPr="00394385">
        <w:rPr>
          <w:rFonts w:ascii="Abo-thar" w:hAnsi="Abo-thar" w:cs="KFGQPC Uthman Taha Naskh"/>
          <w:b/>
          <w:bCs/>
          <w:sz w:val="28"/>
          <w:rtl/>
        </w:rPr>
        <w:t>-</w:t>
      </w:r>
      <w:r w:rsidR="00147857" w:rsidRPr="00394385">
        <w:rPr>
          <w:rFonts w:ascii="Abo-thar" w:hAnsi="Abo-thar" w:cs="KFGQPC Uthman Taha Naskh"/>
          <w:sz w:val="28"/>
          <w:rtl/>
        </w:rPr>
        <w:t xml:space="preserve"> </w:t>
      </w:r>
      <w:r w:rsidR="003C7AEB" w:rsidRPr="003C7AEB">
        <w:rPr>
          <w:rFonts w:ascii="Abo-thar" w:hAnsi="Abo-thar" w:cs="CTraditional Arabic"/>
          <w:sz w:val="28"/>
          <w:rtl/>
        </w:rPr>
        <w:t>ص</w:t>
      </w:r>
      <w:r w:rsidR="00147857" w:rsidRPr="00394385">
        <w:rPr>
          <w:rFonts w:ascii="Abo-thar" w:hAnsi="Abo-thar" w:cs="KFGQPC Uthman Taha Naskh"/>
          <w:sz w:val="28"/>
          <w:rtl/>
        </w:rPr>
        <w:t xml:space="preserve"> </w:t>
      </w:r>
      <w:r w:rsidR="00217AB4" w:rsidRPr="00394385">
        <w:rPr>
          <w:rFonts w:ascii="Abo-thar" w:hAnsi="Abo-thar" w:cs="KFGQPC Uthman Taha Naskh"/>
          <w:b/>
          <w:bCs/>
          <w:sz w:val="28"/>
          <w:rtl/>
        </w:rPr>
        <w:t>-</w:t>
      </w:r>
      <w:r w:rsidRPr="00394385">
        <w:rPr>
          <w:rFonts w:ascii="Abo-thar" w:hAnsi="Abo-thar" w:cs="KFGQPC Uthman Taha Naskh"/>
          <w:b/>
          <w:bCs/>
          <w:sz w:val="28"/>
          <w:rtl/>
        </w:rPr>
        <w:t xml:space="preserve"> </w:t>
      </w:r>
      <w:r w:rsidRPr="00394385">
        <w:rPr>
          <w:rFonts w:ascii="Abo-thar" w:hAnsi="Abo-thar" w:cs="KFGQPC Uthman Taha Naskh" w:hint="eastAsia"/>
          <w:b/>
          <w:bCs/>
          <w:sz w:val="28"/>
          <w:rtl/>
        </w:rPr>
        <w:t>وَقَالَ</w:t>
      </w:r>
      <w:r w:rsidRPr="00394385">
        <w:rPr>
          <w:rFonts w:ascii="Abo-thar" w:hAnsi="Abo-thar" w:cs="KFGQPC Uthman Taha Naskh"/>
          <w:b/>
          <w:bCs/>
          <w:sz w:val="28"/>
          <w:rtl/>
        </w:rPr>
        <w:t xml:space="preserve"> </w:t>
      </w:r>
      <w:r w:rsidRPr="00394385">
        <w:rPr>
          <w:rFonts w:ascii="Abo-thar" w:hAnsi="Abo-thar" w:cs="KFGQPC Uthman Taha Naskh" w:hint="eastAsia"/>
          <w:b/>
          <w:bCs/>
          <w:sz w:val="28"/>
          <w:rtl/>
        </w:rPr>
        <w:t>قَائِلُونَ</w:t>
      </w:r>
      <w:r w:rsidRPr="00394385">
        <w:rPr>
          <w:rFonts w:ascii="Abo-thar" w:hAnsi="Abo-thar" w:cs="KFGQPC Uthman Taha Naskh"/>
          <w:b/>
          <w:bCs/>
          <w:sz w:val="28"/>
          <w:rtl/>
        </w:rPr>
        <w:t xml:space="preserve"> </w:t>
      </w:r>
      <w:r w:rsidRPr="00394385">
        <w:rPr>
          <w:rFonts w:ascii="Abo-thar" w:hAnsi="Abo-thar" w:cs="KFGQPC Uthman Taha Naskh" w:hint="eastAsia"/>
          <w:b/>
          <w:bCs/>
          <w:sz w:val="28"/>
          <w:rtl/>
        </w:rPr>
        <w:t>لِقَرَابَةِ</w:t>
      </w:r>
      <w:r w:rsidRPr="00394385">
        <w:rPr>
          <w:rFonts w:ascii="Abo-thar" w:hAnsi="Abo-thar" w:cs="KFGQPC Uthman Taha Naskh"/>
          <w:b/>
          <w:bCs/>
          <w:sz w:val="28"/>
          <w:rtl/>
        </w:rPr>
        <w:t xml:space="preserve"> </w:t>
      </w:r>
      <w:r w:rsidRPr="00394385">
        <w:rPr>
          <w:rFonts w:ascii="Abo-thar" w:hAnsi="Abo-thar" w:cs="KFGQPC Uthman Taha Naskh" w:hint="eastAsia"/>
          <w:b/>
          <w:bCs/>
          <w:sz w:val="28"/>
          <w:rtl/>
        </w:rPr>
        <w:t>الخَلِيفَةِ</w:t>
      </w:r>
      <w:r w:rsidRPr="00394385">
        <w:rPr>
          <w:rFonts w:ascii="Abo-thar" w:hAnsi="Abo-thar" w:cs="KFGQPC Uthman Taha Naskh"/>
          <w:b/>
          <w:bCs/>
          <w:sz w:val="28"/>
          <w:rtl/>
        </w:rPr>
        <w:t xml:space="preserve"> </w:t>
      </w:r>
      <w:r w:rsidRPr="00394385">
        <w:rPr>
          <w:rFonts w:ascii="Abo-thar" w:hAnsi="Abo-thar" w:cs="KFGQPC Uthman Taha Naskh" w:hint="eastAsia"/>
          <w:b/>
          <w:bCs/>
          <w:sz w:val="28"/>
          <w:rtl/>
        </w:rPr>
        <w:t>وَقَالَ</w:t>
      </w:r>
      <w:r w:rsidRPr="00394385">
        <w:rPr>
          <w:rFonts w:ascii="Abo-thar" w:hAnsi="Abo-thar" w:cs="KFGQPC Uthman Taha Naskh"/>
          <w:b/>
          <w:bCs/>
          <w:sz w:val="28"/>
          <w:rtl/>
        </w:rPr>
        <w:t xml:space="preserve"> </w:t>
      </w:r>
      <w:r w:rsidRPr="00394385">
        <w:rPr>
          <w:rFonts w:ascii="Abo-thar" w:hAnsi="Abo-thar" w:cs="KFGQPC Uthman Taha Naskh" w:hint="eastAsia"/>
          <w:b/>
          <w:bCs/>
          <w:sz w:val="28"/>
          <w:rtl/>
        </w:rPr>
        <w:t>قَائِلُونَ</w:t>
      </w:r>
      <w:r w:rsidRPr="00394385">
        <w:rPr>
          <w:rFonts w:ascii="Abo-thar" w:hAnsi="Abo-thar" w:cs="KFGQPC Uthman Taha Naskh"/>
          <w:b/>
          <w:bCs/>
          <w:sz w:val="28"/>
          <w:rtl/>
        </w:rPr>
        <w:t xml:space="preserve"> </w:t>
      </w:r>
      <w:r w:rsidRPr="00394385">
        <w:rPr>
          <w:rFonts w:ascii="Abo-thar" w:hAnsi="Abo-thar" w:cs="KFGQPC Uthman Taha Naskh" w:hint="eastAsia"/>
          <w:b/>
          <w:bCs/>
          <w:sz w:val="28"/>
          <w:rtl/>
        </w:rPr>
        <w:t>سَهْمُ</w:t>
      </w:r>
      <w:r w:rsidRPr="00394385">
        <w:rPr>
          <w:rFonts w:ascii="Abo-thar" w:hAnsi="Abo-thar" w:cs="KFGQPC Uthman Taha Naskh"/>
          <w:b/>
          <w:bCs/>
          <w:sz w:val="28"/>
          <w:rtl/>
        </w:rPr>
        <w:t xml:space="preserve"> </w:t>
      </w:r>
      <w:r w:rsidRPr="00394385">
        <w:rPr>
          <w:rFonts w:ascii="Abo-thar" w:hAnsi="Abo-thar" w:cs="KFGQPC Uthman Taha Naskh" w:hint="eastAsia"/>
          <w:b/>
          <w:bCs/>
          <w:sz w:val="28"/>
          <w:rtl/>
        </w:rPr>
        <w:t>النَّبِ</w:t>
      </w:r>
      <w:r w:rsidRPr="00394385">
        <w:rPr>
          <w:rFonts w:ascii="Abo-thar" w:hAnsi="Abo-thar" w:cs="KFGQPC Uthman Taha Naskh" w:hint="cs"/>
          <w:b/>
          <w:bCs/>
          <w:sz w:val="28"/>
          <w:rtl/>
        </w:rPr>
        <w:t>يِّ</w:t>
      </w:r>
      <w:r w:rsidRPr="00394385">
        <w:rPr>
          <w:rFonts w:ascii="Abo-thar" w:hAnsi="Abo-thar" w:cs="KFGQPC Uthman Taha Naskh"/>
          <w:b/>
          <w:bCs/>
          <w:sz w:val="28"/>
          <w:rtl/>
        </w:rPr>
        <w:t xml:space="preserve"> </w:t>
      </w:r>
      <w:r w:rsidR="00217AB4" w:rsidRPr="00394385">
        <w:rPr>
          <w:rFonts w:ascii="Abo-thar" w:hAnsi="Abo-thar" w:cs="KFGQPC Uthman Taha Naskh"/>
          <w:b/>
          <w:bCs/>
          <w:sz w:val="28"/>
          <w:rtl/>
        </w:rPr>
        <w:t>-</w:t>
      </w:r>
      <w:r w:rsidR="00147857" w:rsidRPr="00394385">
        <w:rPr>
          <w:rFonts w:ascii="Abo-thar" w:hAnsi="Abo-thar" w:cs="KFGQPC Uthman Taha Naskh"/>
          <w:sz w:val="28"/>
          <w:rtl/>
        </w:rPr>
        <w:t xml:space="preserve"> </w:t>
      </w:r>
      <w:r w:rsidR="003C7AEB" w:rsidRPr="003C7AEB">
        <w:rPr>
          <w:rFonts w:ascii="Abo-thar" w:hAnsi="Abo-thar" w:cs="CTraditional Arabic"/>
          <w:sz w:val="28"/>
          <w:rtl/>
        </w:rPr>
        <w:t>ص</w:t>
      </w:r>
      <w:r w:rsidR="00147857" w:rsidRPr="00394385">
        <w:rPr>
          <w:rFonts w:ascii="Abo-thar" w:hAnsi="Abo-thar" w:cs="KFGQPC Uthman Taha Naskh"/>
          <w:sz w:val="28"/>
          <w:rtl/>
        </w:rPr>
        <w:t xml:space="preserve"> </w:t>
      </w:r>
      <w:r w:rsidR="00217AB4" w:rsidRPr="00394385">
        <w:rPr>
          <w:rFonts w:ascii="Abo-thar" w:hAnsi="Abo-thar" w:cs="KFGQPC Uthman Taha Naskh"/>
          <w:b/>
          <w:bCs/>
          <w:sz w:val="28"/>
          <w:rtl/>
        </w:rPr>
        <w:t>-</w:t>
      </w:r>
      <w:r w:rsidRPr="00394385">
        <w:rPr>
          <w:rFonts w:ascii="Abo-thar" w:hAnsi="Abo-thar" w:cs="KFGQPC Uthman Taha Naskh"/>
          <w:b/>
          <w:bCs/>
          <w:sz w:val="28"/>
          <w:rtl/>
        </w:rPr>
        <w:t xml:space="preserve"> </w:t>
      </w:r>
      <w:r w:rsidRPr="00394385">
        <w:rPr>
          <w:rFonts w:ascii="Abo-thar" w:hAnsi="Abo-thar" w:cs="KFGQPC Uthman Taha Naskh" w:hint="eastAsia"/>
          <w:b/>
          <w:bCs/>
          <w:sz w:val="28"/>
          <w:rtl/>
        </w:rPr>
        <w:t>لِلْخَلِيفَةِ</w:t>
      </w:r>
      <w:r w:rsidRPr="00394385">
        <w:rPr>
          <w:rFonts w:ascii="Abo-thar" w:hAnsi="Abo-thar" w:cs="KFGQPC Uthman Taha Naskh"/>
          <w:b/>
          <w:bCs/>
          <w:sz w:val="28"/>
          <w:rtl/>
        </w:rPr>
        <w:t xml:space="preserve"> </w:t>
      </w:r>
      <w:r w:rsidRPr="00394385">
        <w:rPr>
          <w:rFonts w:ascii="Abo-thar" w:hAnsi="Abo-thar" w:cs="KFGQPC Uthman Taha Naskh" w:hint="eastAsia"/>
          <w:b/>
          <w:bCs/>
          <w:sz w:val="28"/>
          <w:rtl/>
        </w:rPr>
        <w:t>مِنْ</w:t>
      </w:r>
      <w:r w:rsidRPr="00394385">
        <w:rPr>
          <w:rFonts w:ascii="Abo-thar" w:hAnsi="Abo-thar" w:cs="KFGQPC Uthman Taha Naskh"/>
          <w:b/>
          <w:bCs/>
          <w:sz w:val="28"/>
          <w:rtl/>
        </w:rPr>
        <w:t xml:space="preserve"> </w:t>
      </w:r>
      <w:r w:rsidRPr="00394385">
        <w:rPr>
          <w:rFonts w:ascii="Abo-thar" w:hAnsi="Abo-thar" w:cs="KFGQPC Uthman Taha Naskh" w:hint="eastAsia"/>
          <w:b/>
          <w:bCs/>
          <w:sz w:val="28"/>
          <w:rtl/>
        </w:rPr>
        <w:t>بَعْدِهِ</w:t>
      </w:r>
      <w:r w:rsidR="00217AB4" w:rsidRPr="00A1493A">
        <w:rPr>
          <w:rFonts w:cs="Arabic11 BT"/>
          <w:b/>
          <w:sz w:val="28"/>
          <w:vertAlign w:val="superscript"/>
          <w:rtl/>
        </w:rPr>
        <w:t>(</w:t>
      </w:r>
      <w:r w:rsidRPr="00A1493A">
        <w:rPr>
          <w:rStyle w:val="FootnoteReference"/>
          <w:rFonts w:cs="Arabic11 BT"/>
          <w:b/>
          <w:sz w:val="28"/>
          <w:rtl/>
        </w:rPr>
        <w:footnoteReference w:id="397"/>
      </w:r>
      <w:r w:rsidR="00217AB4" w:rsidRPr="00A1493A">
        <w:rPr>
          <w:rFonts w:cs="Arabic11 BT"/>
          <w:b/>
          <w:sz w:val="28"/>
          <w:vertAlign w:val="superscript"/>
          <w:rtl/>
        </w:rPr>
        <w:t>)</w:t>
      </w:r>
      <w:r w:rsidR="00217AB4" w:rsidRPr="00394385">
        <w:rPr>
          <w:rFonts w:ascii="Abo-thar" w:hAnsi="Abo-thar" w:cs="KFGQPC Uthman Taha Naskh" w:hint="cs"/>
          <w:b/>
          <w:bCs/>
          <w:sz w:val="28"/>
          <w:rtl/>
        </w:rPr>
        <w:t>،</w:t>
      </w:r>
      <w:r w:rsidRPr="00394385">
        <w:rPr>
          <w:rFonts w:ascii="Abo-thar" w:hAnsi="Abo-thar" w:cs="KFGQPC Uthman Taha Naskh" w:hint="cs"/>
          <w:b/>
          <w:bCs/>
          <w:sz w:val="28"/>
          <w:rtl/>
        </w:rPr>
        <w:t xml:space="preserve"> </w:t>
      </w:r>
      <w:r w:rsidRPr="00394385">
        <w:rPr>
          <w:rFonts w:ascii="Abo-thar" w:hAnsi="Abo-thar" w:cs="KFGQPC Uthman Taha Naskh" w:hint="eastAsia"/>
          <w:b/>
          <w:bCs/>
          <w:sz w:val="28"/>
          <w:rtl/>
        </w:rPr>
        <w:t>فَاجْتَمَعَ</w:t>
      </w:r>
      <w:r w:rsidRPr="00394385">
        <w:rPr>
          <w:rFonts w:ascii="Abo-thar" w:hAnsi="Abo-thar" w:cs="KFGQPC Uthman Taha Naskh"/>
          <w:b/>
          <w:bCs/>
          <w:sz w:val="28"/>
          <w:rtl/>
        </w:rPr>
        <w:t xml:space="preserve"> </w:t>
      </w:r>
      <w:r w:rsidRPr="00394385">
        <w:rPr>
          <w:rFonts w:ascii="Abo-thar" w:hAnsi="Abo-thar" w:cs="KFGQPC Uthman Taha Naskh" w:hint="eastAsia"/>
          <w:b/>
          <w:bCs/>
          <w:sz w:val="28"/>
          <w:rtl/>
        </w:rPr>
        <w:t>رَأْيُهُمْ</w:t>
      </w:r>
      <w:r w:rsidRPr="00394385">
        <w:rPr>
          <w:rFonts w:ascii="Abo-thar" w:hAnsi="Abo-thar" w:cs="KFGQPC Uthman Taha Naskh"/>
          <w:b/>
          <w:bCs/>
          <w:sz w:val="28"/>
          <w:rtl/>
        </w:rPr>
        <w:t xml:space="preserve"> </w:t>
      </w:r>
      <w:r w:rsidRPr="00394385">
        <w:rPr>
          <w:rFonts w:ascii="Abo-thar" w:hAnsi="Abo-thar" w:cs="KFGQPC Uthman Taha Naskh" w:hint="eastAsia"/>
          <w:b/>
          <w:bCs/>
          <w:sz w:val="28"/>
          <w:rtl/>
        </w:rPr>
        <w:t>عَلَى</w:t>
      </w:r>
      <w:r w:rsidRPr="00394385">
        <w:rPr>
          <w:rFonts w:ascii="Abo-thar" w:hAnsi="Abo-thar" w:cs="KFGQPC Uthman Taha Naskh"/>
          <w:b/>
          <w:bCs/>
          <w:sz w:val="28"/>
          <w:rtl/>
        </w:rPr>
        <w:t xml:space="preserve"> </w:t>
      </w:r>
      <w:r w:rsidRPr="00394385">
        <w:rPr>
          <w:rFonts w:ascii="Abo-thar" w:hAnsi="Abo-thar" w:cs="KFGQPC Uthman Taha Naskh" w:hint="eastAsia"/>
          <w:b/>
          <w:bCs/>
          <w:sz w:val="28"/>
          <w:rtl/>
        </w:rPr>
        <w:t>أَنْ</w:t>
      </w:r>
      <w:r w:rsidRPr="00394385">
        <w:rPr>
          <w:rFonts w:ascii="Abo-thar" w:hAnsi="Abo-thar" w:cs="KFGQPC Uthman Taha Naskh"/>
          <w:b/>
          <w:bCs/>
          <w:sz w:val="28"/>
          <w:rtl/>
        </w:rPr>
        <w:t xml:space="preserve"> </w:t>
      </w:r>
      <w:r w:rsidRPr="00394385">
        <w:rPr>
          <w:rFonts w:ascii="Abo-thar" w:hAnsi="Abo-thar" w:cs="KFGQPC Uthman Taha Naskh" w:hint="eastAsia"/>
          <w:b/>
          <w:bCs/>
          <w:sz w:val="28"/>
          <w:rtl/>
        </w:rPr>
        <w:t>يَجْعَلُوا</w:t>
      </w:r>
      <w:r w:rsidRPr="00394385">
        <w:rPr>
          <w:rFonts w:ascii="Abo-thar" w:hAnsi="Abo-thar" w:cs="KFGQPC Uthman Taha Naskh"/>
          <w:b/>
          <w:bCs/>
          <w:sz w:val="28"/>
          <w:rtl/>
        </w:rPr>
        <w:t xml:space="preserve"> </w:t>
      </w:r>
      <w:r w:rsidRPr="00394385">
        <w:rPr>
          <w:rFonts w:ascii="Abo-thar" w:hAnsi="Abo-thar" w:cs="KFGQPC Uthman Taha Naskh" w:hint="eastAsia"/>
          <w:b/>
          <w:bCs/>
          <w:sz w:val="28"/>
          <w:rtl/>
        </w:rPr>
        <w:t>هَذَيْنِ</w:t>
      </w:r>
      <w:r w:rsidRPr="00394385">
        <w:rPr>
          <w:rFonts w:ascii="Abo-thar" w:hAnsi="Abo-thar" w:cs="KFGQPC Uthman Taha Naskh"/>
          <w:b/>
          <w:bCs/>
          <w:sz w:val="28"/>
          <w:rtl/>
        </w:rPr>
        <w:t xml:space="preserve"> </w:t>
      </w:r>
      <w:r w:rsidRPr="00394385">
        <w:rPr>
          <w:rFonts w:ascii="Abo-thar" w:hAnsi="Abo-thar" w:cs="KFGQPC Uthman Taha Naskh" w:hint="eastAsia"/>
          <w:b/>
          <w:bCs/>
          <w:sz w:val="28"/>
          <w:rtl/>
        </w:rPr>
        <w:t>السَّهْمَيْنِ</w:t>
      </w:r>
      <w:r w:rsidRPr="00394385">
        <w:rPr>
          <w:rFonts w:ascii="Abo-thar" w:hAnsi="Abo-thar" w:cs="KFGQPC Uthman Taha Naskh"/>
          <w:b/>
          <w:bCs/>
          <w:sz w:val="28"/>
          <w:rtl/>
        </w:rPr>
        <w:t xml:space="preserve"> </w:t>
      </w:r>
      <w:r w:rsidRPr="00394385">
        <w:rPr>
          <w:rFonts w:ascii="Abo-thar" w:hAnsi="Abo-thar" w:cs="KFGQPC Uthman Taha Naskh" w:hint="eastAsia"/>
          <w:b/>
          <w:bCs/>
          <w:sz w:val="28"/>
          <w:rtl/>
        </w:rPr>
        <w:t>ف</w:t>
      </w:r>
      <w:r w:rsidRPr="00394385">
        <w:rPr>
          <w:rFonts w:ascii="Abo-thar" w:hAnsi="Abo-thar" w:cs="KFGQPC Uthman Taha Naskh" w:hint="cs"/>
          <w:b/>
          <w:bCs/>
          <w:sz w:val="28"/>
          <w:rtl/>
        </w:rPr>
        <w:t>ي</w:t>
      </w:r>
      <w:r w:rsidRPr="00394385">
        <w:rPr>
          <w:rFonts w:ascii="Abo-thar" w:hAnsi="Abo-thar" w:cs="KFGQPC Uthman Taha Naskh"/>
          <w:b/>
          <w:bCs/>
          <w:sz w:val="28"/>
          <w:rtl/>
        </w:rPr>
        <w:t xml:space="preserve"> </w:t>
      </w:r>
      <w:r w:rsidRPr="00394385">
        <w:rPr>
          <w:rFonts w:ascii="Abo-thar" w:hAnsi="Abo-thar" w:cs="KFGQPC Uthman Taha Naskh" w:hint="eastAsia"/>
          <w:b/>
          <w:bCs/>
          <w:sz w:val="28"/>
          <w:rtl/>
        </w:rPr>
        <w:t>الْخَيْلِ</w:t>
      </w:r>
      <w:r w:rsidRPr="00394385">
        <w:rPr>
          <w:rFonts w:ascii="Abo-thar" w:hAnsi="Abo-thar" w:cs="KFGQPC Uthman Taha Naskh"/>
          <w:b/>
          <w:bCs/>
          <w:sz w:val="28"/>
          <w:rtl/>
        </w:rPr>
        <w:t xml:space="preserve"> </w:t>
      </w:r>
      <w:r w:rsidRPr="00394385">
        <w:rPr>
          <w:rFonts w:ascii="Abo-thar" w:hAnsi="Abo-thar" w:cs="KFGQPC Uthman Taha Naskh" w:hint="eastAsia"/>
          <w:b/>
          <w:bCs/>
          <w:sz w:val="28"/>
          <w:rtl/>
        </w:rPr>
        <w:t>وَالْعُدَّةِ</w:t>
      </w:r>
      <w:r w:rsidRPr="00394385">
        <w:rPr>
          <w:rFonts w:ascii="Abo-thar" w:hAnsi="Abo-thar" w:cs="KFGQPC Uthman Taha Naskh"/>
          <w:b/>
          <w:bCs/>
          <w:sz w:val="28"/>
          <w:rtl/>
        </w:rPr>
        <w:t xml:space="preserve"> </w:t>
      </w:r>
      <w:r w:rsidRPr="00394385">
        <w:rPr>
          <w:rFonts w:ascii="Abo-thar" w:hAnsi="Abo-thar" w:cs="KFGQPC Uthman Taha Naskh" w:hint="eastAsia"/>
          <w:b/>
          <w:bCs/>
          <w:sz w:val="28"/>
          <w:rtl/>
        </w:rPr>
        <w:t>ف</w:t>
      </w:r>
      <w:r w:rsidRPr="00394385">
        <w:rPr>
          <w:rFonts w:ascii="Abo-thar" w:hAnsi="Abo-thar" w:cs="KFGQPC Uthman Taha Naskh" w:hint="cs"/>
          <w:b/>
          <w:bCs/>
          <w:sz w:val="28"/>
          <w:rtl/>
        </w:rPr>
        <w:t>ي</w:t>
      </w:r>
      <w:r w:rsidRPr="00394385">
        <w:rPr>
          <w:rFonts w:ascii="Abo-thar" w:hAnsi="Abo-thar" w:cs="KFGQPC Uthman Taha Naskh"/>
          <w:b/>
          <w:bCs/>
          <w:sz w:val="28"/>
          <w:rtl/>
        </w:rPr>
        <w:t xml:space="preserve"> </w:t>
      </w:r>
      <w:r w:rsidRPr="00394385">
        <w:rPr>
          <w:rFonts w:ascii="Abo-thar" w:hAnsi="Abo-thar" w:cs="KFGQPC Uthman Taha Naskh" w:hint="eastAsia"/>
          <w:b/>
          <w:bCs/>
          <w:sz w:val="28"/>
          <w:rtl/>
        </w:rPr>
        <w:t>سَبِيلِ</w:t>
      </w:r>
      <w:r w:rsidRPr="00394385">
        <w:rPr>
          <w:rFonts w:ascii="Abo-thar" w:hAnsi="Abo-thar" w:cs="KFGQPC Uthman Taha Naskh"/>
          <w:b/>
          <w:bCs/>
          <w:sz w:val="28"/>
          <w:rtl/>
        </w:rPr>
        <w:t xml:space="preserve"> </w:t>
      </w:r>
      <w:r w:rsidRPr="00394385">
        <w:rPr>
          <w:rFonts w:ascii="Abo-thar" w:hAnsi="Abo-thar" w:cs="KFGQPC Uthman Taha Naskh" w:hint="cs"/>
          <w:b/>
          <w:bCs/>
          <w:sz w:val="28"/>
          <w:rtl/>
        </w:rPr>
        <w:t>اللهِ</w:t>
      </w:r>
      <w:r w:rsidRPr="00394385">
        <w:rPr>
          <w:rFonts w:ascii="Abo-thar" w:hAnsi="Abo-thar" w:cs="KFGQPC Uthman Taha Naskh"/>
          <w:b/>
          <w:bCs/>
          <w:sz w:val="28"/>
          <w:rtl/>
        </w:rPr>
        <w:t xml:space="preserve"> </w:t>
      </w:r>
      <w:r w:rsidRPr="00394385">
        <w:rPr>
          <w:rFonts w:ascii="Abo-thar" w:hAnsi="Abo-thar" w:cs="KFGQPC Uthman Taha Naskh" w:hint="eastAsia"/>
          <w:b/>
          <w:bCs/>
          <w:sz w:val="28"/>
          <w:rtl/>
        </w:rPr>
        <w:t>فَكَانَا</w:t>
      </w:r>
      <w:r w:rsidRPr="00394385">
        <w:rPr>
          <w:rFonts w:ascii="Abo-thar" w:hAnsi="Abo-thar" w:cs="KFGQPC Uthman Taha Naskh"/>
          <w:b/>
          <w:bCs/>
          <w:sz w:val="28"/>
          <w:rtl/>
        </w:rPr>
        <w:t xml:space="preserve"> </w:t>
      </w:r>
      <w:r w:rsidRPr="00394385">
        <w:rPr>
          <w:rFonts w:ascii="Abo-thar" w:hAnsi="Abo-thar" w:cs="KFGQPC Uthman Taha Naskh" w:hint="eastAsia"/>
          <w:b/>
          <w:bCs/>
          <w:sz w:val="28"/>
          <w:rtl/>
        </w:rPr>
        <w:t>عَلَى</w:t>
      </w:r>
      <w:r w:rsidRPr="00394385">
        <w:rPr>
          <w:rFonts w:ascii="Abo-thar" w:hAnsi="Abo-thar" w:cs="KFGQPC Uthman Taha Naskh"/>
          <w:b/>
          <w:bCs/>
          <w:sz w:val="28"/>
          <w:rtl/>
        </w:rPr>
        <w:t xml:space="preserve"> </w:t>
      </w:r>
      <w:r w:rsidRPr="00394385">
        <w:rPr>
          <w:rFonts w:ascii="Abo-thar" w:hAnsi="Abo-thar" w:cs="KFGQPC Uthman Taha Naskh" w:hint="eastAsia"/>
          <w:b/>
          <w:bCs/>
          <w:sz w:val="28"/>
          <w:rtl/>
        </w:rPr>
        <w:t>ذَلِكَ</w:t>
      </w:r>
      <w:r w:rsidRPr="00394385">
        <w:rPr>
          <w:rFonts w:ascii="Abo-thar" w:hAnsi="Abo-thar" w:cs="KFGQPC Uthman Taha Naskh"/>
          <w:b/>
          <w:bCs/>
          <w:sz w:val="28"/>
          <w:rtl/>
        </w:rPr>
        <w:t xml:space="preserve"> </w:t>
      </w:r>
      <w:r w:rsidRPr="00394385">
        <w:rPr>
          <w:rFonts w:ascii="Abo-thar" w:hAnsi="Abo-thar" w:cs="KFGQPC Uthman Taha Naskh" w:hint="eastAsia"/>
          <w:b/>
          <w:bCs/>
          <w:sz w:val="28"/>
          <w:rtl/>
        </w:rPr>
        <w:t>ف</w:t>
      </w:r>
      <w:r w:rsidRPr="00394385">
        <w:rPr>
          <w:rFonts w:ascii="Abo-thar" w:hAnsi="Abo-thar" w:cs="KFGQPC Uthman Taha Naskh" w:hint="cs"/>
          <w:b/>
          <w:bCs/>
          <w:sz w:val="28"/>
          <w:rtl/>
        </w:rPr>
        <w:t>ي</w:t>
      </w:r>
      <w:r w:rsidRPr="00394385">
        <w:rPr>
          <w:rFonts w:ascii="Abo-thar" w:hAnsi="Abo-thar" w:cs="KFGQPC Uthman Taha Naskh"/>
          <w:b/>
          <w:bCs/>
          <w:sz w:val="28"/>
          <w:rtl/>
        </w:rPr>
        <w:t xml:space="preserve"> </w:t>
      </w:r>
      <w:r w:rsidRPr="00394385">
        <w:rPr>
          <w:rFonts w:ascii="Abo-thar" w:hAnsi="Abo-thar" w:cs="KFGQPC Uthman Taha Naskh" w:hint="eastAsia"/>
          <w:b/>
          <w:bCs/>
          <w:sz w:val="28"/>
          <w:rtl/>
        </w:rPr>
        <w:t>خِلاَفَةِ</w:t>
      </w:r>
      <w:r w:rsidRPr="00394385">
        <w:rPr>
          <w:rFonts w:ascii="Abo-thar" w:hAnsi="Abo-thar" w:cs="KFGQPC Uthman Taha Naskh"/>
          <w:b/>
          <w:bCs/>
          <w:sz w:val="28"/>
          <w:rtl/>
        </w:rPr>
        <w:t xml:space="preserve"> </w:t>
      </w:r>
      <w:r w:rsidRPr="00394385">
        <w:rPr>
          <w:rFonts w:ascii="Abo-thar" w:hAnsi="Abo-thar" w:cs="KFGQPC Uthman Taha Naskh" w:hint="eastAsia"/>
          <w:b/>
          <w:bCs/>
          <w:sz w:val="28"/>
          <w:rtl/>
        </w:rPr>
        <w:t>أَبِى</w:t>
      </w:r>
      <w:r w:rsidRPr="00394385">
        <w:rPr>
          <w:rFonts w:ascii="Abo-thar" w:hAnsi="Abo-thar" w:cs="KFGQPC Uthman Taha Naskh"/>
          <w:b/>
          <w:bCs/>
          <w:sz w:val="28"/>
          <w:rtl/>
        </w:rPr>
        <w:t xml:space="preserve"> </w:t>
      </w:r>
      <w:r w:rsidRPr="00394385">
        <w:rPr>
          <w:rFonts w:ascii="Abo-thar" w:hAnsi="Abo-thar" w:cs="KFGQPC Uthman Taha Naskh" w:hint="eastAsia"/>
          <w:b/>
          <w:bCs/>
          <w:sz w:val="28"/>
          <w:rtl/>
        </w:rPr>
        <w:t>بَكْرٍ</w:t>
      </w:r>
      <w:r w:rsidRPr="00394385">
        <w:rPr>
          <w:rFonts w:ascii="Abo-thar" w:hAnsi="Abo-thar" w:cs="KFGQPC Uthman Taha Naskh"/>
          <w:b/>
          <w:bCs/>
          <w:sz w:val="28"/>
          <w:rtl/>
        </w:rPr>
        <w:t xml:space="preserve"> </w:t>
      </w:r>
      <w:r w:rsidRPr="00394385">
        <w:rPr>
          <w:rFonts w:ascii="Abo-thar" w:hAnsi="Abo-thar" w:cs="KFGQPC Uthman Taha Naskh" w:hint="eastAsia"/>
          <w:b/>
          <w:bCs/>
          <w:sz w:val="28"/>
          <w:rtl/>
        </w:rPr>
        <w:t>وَعُمَرَ</w:t>
      </w:r>
      <w:r w:rsidR="00EF2588" w:rsidRPr="00394385">
        <w:rPr>
          <w:rFonts w:ascii="Abo-thar" w:hAnsi="Abo-thar" w:cs="KFGQPC Uthman Taha Naskh" w:hint="cs"/>
          <w:b/>
          <w:bCs/>
          <w:sz w:val="28"/>
          <w:rtl/>
        </w:rPr>
        <w:t>»</w:t>
      </w:r>
      <w:r w:rsidR="00217AB4" w:rsidRPr="0021507A">
        <w:rPr>
          <w:rFonts w:cs="Arabic11 BT"/>
          <w:b/>
          <w:sz w:val="28"/>
          <w:vertAlign w:val="superscript"/>
          <w:rtl/>
        </w:rPr>
        <w:t>(</w:t>
      </w:r>
      <w:r w:rsidRPr="0021507A">
        <w:rPr>
          <w:rStyle w:val="FootnoteReference"/>
          <w:rFonts w:cs="Arabic11 BT"/>
          <w:b/>
          <w:sz w:val="28"/>
          <w:rtl/>
        </w:rPr>
        <w:footnoteReference w:id="398"/>
      </w:r>
      <w:r w:rsidR="00217AB4" w:rsidRPr="0021507A">
        <w:rPr>
          <w:rFonts w:cs="Arabic11 BT"/>
          <w:b/>
          <w:sz w:val="28"/>
          <w:vertAlign w:val="superscript"/>
          <w:rtl/>
        </w:rPr>
        <w:t>)</w:t>
      </w:r>
      <w:r w:rsidR="00217AB4" w:rsidRPr="003F3B94">
        <w:rPr>
          <w:rFonts w:ascii="Abo-thar" w:hAnsi="Abo-thar"/>
          <w:b/>
          <w:bCs/>
          <w:sz w:val="28"/>
          <w:rtl/>
        </w:rPr>
        <w:t>.</w:t>
      </w:r>
    </w:p>
    <w:p w:rsidR="005C664D" w:rsidRPr="003F3B94" w:rsidRDefault="005C664D" w:rsidP="003F3B94">
      <w:pPr>
        <w:pStyle w:val="a0"/>
        <w:rPr>
          <w:rFonts w:hint="cs"/>
          <w:rtl/>
        </w:rPr>
      </w:pPr>
      <w:r w:rsidRPr="003F3B94">
        <w:rPr>
          <w:rFonts w:ascii="Abo-thar" w:hAnsi="Abo-thar" w:hint="cs"/>
          <w:sz w:val="28"/>
          <w:rtl/>
        </w:rPr>
        <w:t xml:space="preserve">وجاء في الكتاب ذاته </w:t>
      </w:r>
      <w:r w:rsidR="00217AB4" w:rsidRPr="003F3B94">
        <w:rPr>
          <w:rFonts w:ascii="Abo-thar" w:hAnsi="Abo-thar" w:hint="cs"/>
          <w:sz w:val="28"/>
          <w:rtl/>
        </w:rPr>
        <w:t>(</w:t>
      </w:r>
      <w:r w:rsidRPr="003F3B94">
        <w:rPr>
          <w:rFonts w:ascii="Abo-thar" w:hAnsi="Abo-thar" w:hint="cs"/>
          <w:sz w:val="28"/>
          <w:rtl/>
        </w:rPr>
        <w:t>أي سنن البيهقي</w:t>
      </w:r>
      <w:r w:rsidR="00217AB4" w:rsidRPr="003F3B94">
        <w:rPr>
          <w:rFonts w:ascii="Abo-thar" w:hAnsi="Abo-thar" w:hint="cs"/>
          <w:sz w:val="28"/>
          <w:rtl/>
        </w:rPr>
        <w:t>)</w:t>
      </w:r>
      <w:r w:rsidRPr="003F3B94">
        <w:rPr>
          <w:rFonts w:ascii="Abo-thar" w:hAnsi="Abo-thar" w:hint="cs"/>
          <w:sz w:val="28"/>
          <w:rtl/>
        </w:rPr>
        <w:t xml:space="preserve"> رواية أخرى </w:t>
      </w:r>
      <w:r w:rsidR="00EF2588" w:rsidRPr="00394385">
        <w:rPr>
          <w:rFonts w:ascii="Abo-thar" w:hAnsi="Abo-thar" w:cs="KFGQPC Uthman Taha Naskh" w:hint="cs"/>
          <w:sz w:val="28"/>
          <w:rtl/>
        </w:rPr>
        <w:t>«</w:t>
      </w:r>
      <w:r w:rsidRPr="00394385">
        <w:rPr>
          <w:rFonts w:ascii="Abo-thar" w:hAnsi="Abo-thar" w:cs="KFGQPC Uthman Taha Naskh" w:hint="cs"/>
          <w:b/>
          <w:bCs/>
          <w:sz w:val="28"/>
          <w:rtl/>
        </w:rPr>
        <w:t>عن حضـرة الصادق</w:t>
      </w:r>
      <w:r w:rsidR="00147857" w:rsidRPr="00394385">
        <w:rPr>
          <w:rFonts w:ascii="Abo-thar" w:hAnsi="Abo-thar" w:cs="KFGQPC Uthman Taha Naskh" w:hint="cs"/>
          <w:b/>
          <w:bCs/>
          <w:sz w:val="28"/>
          <w:rtl/>
        </w:rPr>
        <w:t xml:space="preserve"> </w:t>
      </w:r>
      <w:r w:rsidR="003C7AEB" w:rsidRPr="003C7AEB">
        <w:rPr>
          <w:rFonts w:ascii="Abo-thar" w:hAnsi="Abo-thar" w:cs="CTraditional Arabic"/>
          <w:sz w:val="28"/>
          <w:rtl/>
        </w:rPr>
        <w:t>÷</w:t>
      </w:r>
      <w:r w:rsidR="00147857" w:rsidRPr="00394385">
        <w:rPr>
          <w:rFonts w:ascii="Abo-thar" w:hAnsi="Abo-thar" w:cs="KFGQPC Uthman Taha Naskh"/>
          <w:sz w:val="28"/>
          <w:rtl/>
        </w:rPr>
        <w:t xml:space="preserve"> </w:t>
      </w:r>
      <w:r w:rsidRPr="00394385">
        <w:rPr>
          <w:rFonts w:ascii="Abo-thar" w:hAnsi="Abo-thar" w:cs="KFGQPC Uthman Taha Naskh" w:hint="cs"/>
          <w:b/>
          <w:bCs/>
          <w:sz w:val="28"/>
          <w:rtl/>
        </w:rPr>
        <w:t>عن أبيه الهمام الإمام الباقر</w:t>
      </w:r>
      <w:r w:rsidR="00147857" w:rsidRPr="00394385">
        <w:rPr>
          <w:rFonts w:ascii="Abo-thar" w:hAnsi="Abo-thar" w:cs="KFGQPC Uthman Taha Naskh" w:hint="cs"/>
          <w:b/>
          <w:bCs/>
          <w:sz w:val="28"/>
          <w:rtl/>
        </w:rPr>
        <w:t xml:space="preserve"> </w:t>
      </w:r>
      <w:r w:rsidR="003C7AEB" w:rsidRPr="003C7AEB">
        <w:rPr>
          <w:rFonts w:ascii="Abo-thar" w:hAnsi="Abo-thar" w:cs="CTraditional Arabic"/>
          <w:sz w:val="28"/>
          <w:rtl/>
        </w:rPr>
        <w:t>÷</w:t>
      </w:r>
      <w:r w:rsidR="00217AB4" w:rsidRPr="00394385">
        <w:rPr>
          <w:rFonts w:ascii="Abo-thar" w:hAnsi="Abo-thar" w:cs="KFGQPC Uthman Taha Naskh"/>
          <w:sz w:val="28"/>
          <w:rtl/>
        </w:rPr>
        <w:t>:</w:t>
      </w:r>
      <w:r w:rsidRPr="00394385">
        <w:rPr>
          <w:rFonts w:ascii="Abo-thar" w:hAnsi="Abo-thar" w:cs="KFGQPC Uthman Taha Naskh"/>
          <w:b/>
          <w:bCs/>
          <w:sz w:val="28"/>
          <w:rtl/>
        </w:rPr>
        <w:t xml:space="preserve"> أَنَّ حَسَنًا وَحُسَيْنًا وَابْنَ عَبَّاسٍ وَعَبْدَ </w:t>
      </w:r>
      <w:r w:rsidRPr="00394385">
        <w:rPr>
          <w:rFonts w:ascii="Abo-thar" w:hAnsi="Abo-thar" w:cs="KFGQPC Uthman Taha Naskh" w:hint="cs"/>
          <w:b/>
          <w:bCs/>
          <w:sz w:val="28"/>
          <w:rtl/>
        </w:rPr>
        <w:t>اللهِ</w:t>
      </w:r>
      <w:r w:rsidRPr="00394385">
        <w:rPr>
          <w:rFonts w:ascii="Abo-thar" w:hAnsi="Abo-thar" w:cs="KFGQPC Uthman Taha Naskh"/>
          <w:b/>
          <w:bCs/>
          <w:sz w:val="28"/>
          <w:rtl/>
        </w:rPr>
        <w:t xml:space="preserve"> بْنَ جَعْفَرٍ رَضِ</w:t>
      </w:r>
      <w:r w:rsidRPr="00394385">
        <w:rPr>
          <w:rFonts w:ascii="Abo-thar" w:hAnsi="Abo-thar" w:cs="KFGQPC Uthman Taha Naskh" w:hint="cs"/>
          <w:b/>
          <w:bCs/>
          <w:sz w:val="28"/>
          <w:rtl/>
        </w:rPr>
        <w:t>يَ</w:t>
      </w:r>
      <w:r w:rsidRPr="00394385">
        <w:rPr>
          <w:rFonts w:ascii="Abo-thar" w:hAnsi="Abo-thar" w:cs="KFGQPC Uthman Taha Naskh"/>
          <w:b/>
          <w:bCs/>
          <w:sz w:val="28"/>
          <w:rtl/>
        </w:rPr>
        <w:t xml:space="preserve"> </w:t>
      </w:r>
      <w:r w:rsidRPr="00394385">
        <w:rPr>
          <w:rFonts w:ascii="Abo-thar" w:hAnsi="Abo-thar" w:cs="KFGQPC Uthman Taha Naskh" w:hint="cs"/>
          <w:b/>
          <w:bCs/>
          <w:sz w:val="28"/>
          <w:rtl/>
        </w:rPr>
        <w:t>اللهُ</w:t>
      </w:r>
      <w:r w:rsidRPr="00394385">
        <w:rPr>
          <w:rFonts w:ascii="Abo-thar" w:hAnsi="Abo-thar" w:cs="KFGQPC Uthman Taha Naskh"/>
          <w:b/>
          <w:bCs/>
          <w:sz w:val="28"/>
          <w:rtl/>
        </w:rPr>
        <w:t xml:space="preserve"> عَنْهُمْ سَأَلُوا عَلِيًّا رَضِ</w:t>
      </w:r>
      <w:r w:rsidRPr="00394385">
        <w:rPr>
          <w:rFonts w:ascii="Abo-thar" w:hAnsi="Abo-thar" w:cs="KFGQPC Uthman Taha Naskh" w:hint="cs"/>
          <w:b/>
          <w:bCs/>
          <w:sz w:val="28"/>
          <w:rtl/>
        </w:rPr>
        <w:t>يَ</w:t>
      </w:r>
      <w:r w:rsidRPr="00394385">
        <w:rPr>
          <w:rFonts w:ascii="Abo-thar" w:hAnsi="Abo-thar" w:cs="KFGQPC Uthman Taha Naskh"/>
          <w:b/>
          <w:bCs/>
          <w:sz w:val="28"/>
          <w:rtl/>
        </w:rPr>
        <w:t xml:space="preserve"> </w:t>
      </w:r>
      <w:r w:rsidRPr="00394385">
        <w:rPr>
          <w:rFonts w:ascii="Abo-thar" w:hAnsi="Abo-thar" w:cs="KFGQPC Uthman Taha Naskh" w:hint="cs"/>
          <w:b/>
          <w:bCs/>
          <w:sz w:val="28"/>
          <w:rtl/>
        </w:rPr>
        <w:t>اللهُ</w:t>
      </w:r>
      <w:r w:rsidRPr="00394385">
        <w:rPr>
          <w:rFonts w:ascii="Abo-thar" w:hAnsi="Abo-thar" w:cs="KFGQPC Uthman Taha Naskh"/>
          <w:b/>
          <w:bCs/>
          <w:sz w:val="28"/>
          <w:rtl/>
        </w:rPr>
        <w:t xml:space="preserve"> عَنْهُ نَصِيبَهُمْ مِنَ الخُمُسِ فَقَالَ</w:t>
      </w:r>
      <w:r w:rsidR="00217AB4" w:rsidRPr="00394385">
        <w:rPr>
          <w:rFonts w:ascii="Abo-thar" w:hAnsi="Abo-thar" w:cs="KFGQPC Uthman Taha Naskh"/>
          <w:b/>
          <w:bCs/>
          <w:sz w:val="28"/>
          <w:rtl/>
        </w:rPr>
        <w:t>:</w:t>
      </w:r>
      <w:r w:rsidRPr="00394385">
        <w:rPr>
          <w:rFonts w:ascii="Abo-thar" w:hAnsi="Abo-thar" w:cs="KFGQPC Uthman Taha Naskh"/>
          <w:b/>
          <w:bCs/>
          <w:sz w:val="28"/>
          <w:rtl/>
        </w:rPr>
        <w:t xml:space="preserve"> هُوَ لَكُمْ حَقٌّ</w:t>
      </w:r>
      <w:r w:rsidR="00217AB4" w:rsidRPr="00394385">
        <w:rPr>
          <w:rFonts w:ascii="Abo-thar" w:hAnsi="Abo-thar" w:cs="KFGQPC Uthman Taha Naskh" w:hint="cs"/>
          <w:b/>
          <w:bCs/>
          <w:sz w:val="28"/>
          <w:rtl/>
        </w:rPr>
        <w:t>،</w:t>
      </w:r>
      <w:r w:rsidRPr="00394385">
        <w:rPr>
          <w:rFonts w:ascii="Abo-thar" w:hAnsi="Abo-thar" w:cs="KFGQPC Uthman Taha Naskh"/>
          <w:b/>
          <w:bCs/>
          <w:sz w:val="28"/>
          <w:rtl/>
        </w:rPr>
        <w:t xml:space="preserve"> وَلَكِنِّى مُحَارِبٌ مُعَاوِيَةَ فَإِنْ شِئْتُمْ تَرَكْتُمْ حَقَّكُمْ مِنْهُ</w:t>
      </w:r>
      <w:r w:rsidR="00EF2588" w:rsidRPr="00394385">
        <w:rPr>
          <w:rFonts w:ascii="Abo-thar" w:hAnsi="Abo-thar" w:cs="KFGQPC Uthman Taha Naskh" w:hint="cs"/>
          <w:sz w:val="28"/>
          <w:rtl/>
        </w:rPr>
        <w:t>»</w:t>
      </w:r>
      <w:r w:rsidR="00217AB4" w:rsidRPr="0021507A">
        <w:rPr>
          <w:rFonts w:cs="Arabic11 BT"/>
          <w:b/>
          <w:sz w:val="28"/>
          <w:vertAlign w:val="superscript"/>
          <w:rtl/>
        </w:rPr>
        <w:t>(</w:t>
      </w:r>
      <w:r w:rsidRPr="0021507A">
        <w:rPr>
          <w:rStyle w:val="FootnoteReference"/>
          <w:rFonts w:cs="Arabic11 BT"/>
          <w:b/>
          <w:sz w:val="28"/>
          <w:rtl/>
        </w:rPr>
        <w:footnoteReference w:id="399"/>
      </w:r>
      <w:r w:rsidR="00217AB4" w:rsidRPr="0021507A">
        <w:rPr>
          <w:rFonts w:cs="Arabic11 BT"/>
          <w:b/>
          <w:sz w:val="28"/>
          <w:vertAlign w:val="superscript"/>
          <w:rtl/>
        </w:rPr>
        <w:t>)</w:t>
      </w:r>
      <w:r w:rsidR="00217AB4" w:rsidRPr="003F3B94">
        <w:rPr>
          <w:rFonts w:ascii="Abo-thar" w:hAnsi="Abo-thar" w:hint="cs"/>
          <w:sz w:val="28"/>
          <w:rtl/>
        </w:rPr>
        <w:t>.</w:t>
      </w:r>
      <w:r w:rsidRPr="003F3B94">
        <w:rPr>
          <w:rFonts w:ascii="Abo-thar" w:hAnsi="Abo-thar" w:hint="cs"/>
          <w:sz w:val="28"/>
          <w:rtl/>
        </w:rPr>
        <w:t xml:space="preserve"> </w:t>
      </w:r>
    </w:p>
    <w:p w:rsidR="005C664D" w:rsidRPr="003F3B94" w:rsidRDefault="005C664D" w:rsidP="003F3B94">
      <w:pPr>
        <w:pStyle w:val="a0"/>
        <w:rPr>
          <w:rFonts w:hint="cs"/>
          <w:rtl/>
        </w:rPr>
      </w:pPr>
      <w:r w:rsidRPr="003F3B94">
        <w:rPr>
          <w:rFonts w:ascii="Abo-thar" w:hAnsi="Abo-thar" w:hint="cs"/>
          <w:sz w:val="28"/>
          <w:rtl/>
        </w:rPr>
        <w:t xml:space="preserve">وفي </w:t>
      </w:r>
      <w:r w:rsidR="00217AB4" w:rsidRPr="003F3B94">
        <w:rPr>
          <w:rFonts w:ascii="Abo-thar" w:hAnsi="Abo-thar" w:hint="cs"/>
          <w:sz w:val="28"/>
          <w:rtl/>
        </w:rPr>
        <w:t>(</w:t>
      </w:r>
      <w:r w:rsidRPr="003F3B94">
        <w:rPr>
          <w:rFonts w:ascii="Abo-thar" w:hAnsi="Abo-thar" w:hint="cs"/>
          <w:sz w:val="28"/>
          <w:rtl/>
        </w:rPr>
        <w:t>ص342</w:t>
      </w:r>
      <w:r w:rsidR="00217AB4" w:rsidRPr="003F3B94">
        <w:rPr>
          <w:rFonts w:ascii="Abo-thar" w:hAnsi="Abo-thar" w:hint="cs"/>
          <w:sz w:val="28"/>
          <w:rtl/>
        </w:rPr>
        <w:t>)</w:t>
      </w:r>
      <w:r w:rsidRPr="003F3B94">
        <w:rPr>
          <w:rFonts w:ascii="Abo-thar" w:hAnsi="Abo-thar" w:hint="cs"/>
          <w:sz w:val="28"/>
          <w:rtl/>
        </w:rPr>
        <w:t xml:space="preserve"> من الكتاب ذاته روايةٌ أخرى عن </w:t>
      </w:r>
      <w:r w:rsidR="00EF2588" w:rsidRPr="00394385">
        <w:rPr>
          <w:rFonts w:ascii="Abo-thar" w:hAnsi="Abo-thar" w:cs="KFGQPC Uthman Taha Naskh" w:hint="cs"/>
          <w:sz w:val="28"/>
          <w:rtl/>
        </w:rPr>
        <w:t>«</w:t>
      </w:r>
      <w:r w:rsidRPr="00394385">
        <w:rPr>
          <w:rFonts w:ascii="Abo-thar" w:hAnsi="Abo-thar" w:cs="KFGQPC Uthman Taha Naskh"/>
          <w:b/>
          <w:bCs/>
          <w:sz w:val="28"/>
          <w:rtl/>
        </w:rPr>
        <w:t>عَنْ مُحَمَّدِ بْنِ إِسْحَاقَ قَالَ</w:t>
      </w:r>
      <w:r w:rsidR="00217AB4" w:rsidRPr="00394385">
        <w:rPr>
          <w:rFonts w:ascii="Abo-thar" w:hAnsi="Abo-thar" w:cs="KFGQPC Uthman Taha Naskh"/>
          <w:b/>
          <w:bCs/>
          <w:sz w:val="28"/>
          <w:rtl/>
        </w:rPr>
        <w:t>:</w:t>
      </w:r>
      <w:r w:rsidRPr="00394385">
        <w:rPr>
          <w:rFonts w:ascii="Abo-thar" w:hAnsi="Abo-thar" w:cs="KFGQPC Uthman Taha Naskh"/>
          <w:b/>
          <w:bCs/>
          <w:sz w:val="28"/>
          <w:rtl/>
        </w:rPr>
        <w:t xml:space="preserve"> سَأَلْتُ أَبَا جَعْفَرٍ يَعْنِى الْبَاقِرَ كَيْفَ صَنَعَ عَلِىٌّ </w:t>
      </w:r>
      <w:r w:rsidR="00217AB4" w:rsidRPr="00394385">
        <w:rPr>
          <w:rFonts w:ascii="Abo-thar" w:hAnsi="Abo-thar" w:cs="KFGQPC Uthman Taha Naskh" w:hint="cs"/>
          <w:b/>
          <w:bCs/>
          <w:sz w:val="28"/>
          <w:rtl/>
        </w:rPr>
        <w:t>(</w:t>
      </w:r>
      <w:r w:rsidRPr="00394385">
        <w:rPr>
          <w:rFonts w:ascii="Abo-thar" w:hAnsi="Abo-thar" w:cs="KFGQPC Uthman Taha Naskh" w:hint="cs"/>
          <w:b/>
          <w:bCs/>
          <w:sz w:val="28"/>
          <w:rtl/>
        </w:rPr>
        <w:t>رض</w:t>
      </w:r>
      <w:r w:rsidR="00217AB4" w:rsidRPr="00394385">
        <w:rPr>
          <w:rFonts w:ascii="Abo-thar" w:hAnsi="Abo-thar" w:cs="KFGQPC Uthman Taha Naskh" w:hint="cs"/>
          <w:b/>
          <w:bCs/>
          <w:sz w:val="28"/>
          <w:rtl/>
        </w:rPr>
        <w:t>)</w:t>
      </w:r>
      <w:r w:rsidRPr="00394385">
        <w:rPr>
          <w:rFonts w:ascii="Abo-thar" w:hAnsi="Abo-thar" w:cs="KFGQPC Uthman Taha Naskh"/>
          <w:b/>
          <w:bCs/>
          <w:sz w:val="28"/>
          <w:rtl/>
        </w:rPr>
        <w:t xml:space="preserve"> ف</w:t>
      </w:r>
      <w:r w:rsidRPr="00394385">
        <w:rPr>
          <w:rFonts w:ascii="Abo-thar" w:hAnsi="Abo-thar" w:cs="KFGQPC Uthman Taha Naskh" w:hint="cs"/>
          <w:b/>
          <w:bCs/>
          <w:sz w:val="28"/>
          <w:rtl/>
        </w:rPr>
        <w:t>ي</w:t>
      </w:r>
      <w:r w:rsidRPr="00394385">
        <w:rPr>
          <w:rFonts w:ascii="Abo-thar" w:hAnsi="Abo-thar" w:cs="KFGQPC Uthman Taha Naskh"/>
          <w:b/>
          <w:bCs/>
          <w:sz w:val="28"/>
          <w:rtl/>
        </w:rPr>
        <w:t xml:space="preserve"> سَهْمِ ذِ</w:t>
      </w:r>
      <w:r w:rsidRPr="00394385">
        <w:rPr>
          <w:rFonts w:ascii="Abo-thar" w:hAnsi="Abo-thar" w:cs="KFGQPC Uthman Taha Naskh" w:hint="cs"/>
          <w:b/>
          <w:bCs/>
          <w:sz w:val="28"/>
          <w:rtl/>
        </w:rPr>
        <w:t>ي</w:t>
      </w:r>
      <w:r w:rsidRPr="00394385">
        <w:rPr>
          <w:rFonts w:ascii="Abo-thar" w:hAnsi="Abo-thar" w:cs="KFGQPC Uthman Taha Naskh"/>
          <w:b/>
          <w:bCs/>
          <w:sz w:val="28"/>
          <w:rtl/>
        </w:rPr>
        <w:t xml:space="preserve"> الْقُرْبَى</w:t>
      </w:r>
      <w:r w:rsidR="00217AB4" w:rsidRPr="00394385">
        <w:rPr>
          <w:rFonts w:ascii="Abo-thar" w:hAnsi="Abo-thar" w:cs="KFGQPC Uthman Taha Naskh"/>
          <w:b/>
          <w:bCs/>
          <w:sz w:val="28"/>
          <w:rtl/>
        </w:rPr>
        <w:t>؟</w:t>
      </w:r>
      <w:r w:rsidRPr="00394385">
        <w:rPr>
          <w:rFonts w:ascii="Abo-thar" w:hAnsi="Abo-thar" w:cs="KFGQPC Uthman Taha Naskh"/>
          <w:b/>
          <w:bCs/>
          <w:sz w:val="28"/>
          <w:rtl/>
        </w:rPr>
        <w:t xml:space="preserve"> قَالَ</w:t>
      </w:r>
      <w:r w:rsidR="00217AB4" w:rsidRPr="00394385">
        <w:rPr>
          <w:rFonts w:ascii="Abo-thar" w:hAnsi="Abo-thar" w:cs="KFGQPC Uthman Taha Naskh"/>
          <w:b/>
          <w:bCs/>
          <w:sz w:val="28"/>
          <w:rtl/>
        </w:rPr>
        <w:t>:</w:t>
      </w:r>
      <w:r w:rsidRPr="00394385">
        <w:rPr>
          <w:rFonts w:ascii="Abo-thar" w:hAnsi="Abo-thar" w:cs="KFGQPC Uthman Taha Naskh"/>
          <w:b/>
          <w:bCs/>
          <w:sz w:val="28"/>
          <w:rtl/>
        </w:rPr>
        <w:t xml:space="preserve"> سَلَكَ بِهِ طَرِيقَ أَبِى بَكْرٍ وَعُمَرَ </w:t>
      </w:r>
      <w:r w:rsidR="00217AB4" w:rsidRPr="00394385">
        <w:rPr>
          <w:rFonts w:ascii="Abo-thar" w:hAnsi="Abo-thar" w:cs="KFGQPC Uthman Taha Naskh" w:hint="cs"/>
          <w:b/>
          <w:bCs/>
          <w:sz w:val="28"/>
          <w:rtl/>
        </w:rPr>
        <w:t>(</w:t>
      </w:r>
      <w:r w:rsidRPr="00394385">
        <w:rPr>
          <w:rFonts w:ascii="Abo-thar" w:hAnsi="Abo-thar" w:cs="KFGQPC Uthman Taha Naskh" w:hint="cs"/>
          <w:b/>
          <w:bCs/>
          <w:sz w:val="28"/>
          <w:rtl/>
        </w:rPr>
        <w:t>رض</w:t>
      </w:r>
      <w:r w:rsidR="00217AB4" w:rsidRPr="00394385">
        <w:rPr>
          <w:rFonts w:ascii="Abo-thar" w:hAnsi="Abo-thar" w:cs="KFGQPC Uthman Taha Naskh" w:hint="cs"/>
          <w:b/>
          <w:bCs/>
          <w:sz w:val="28"/>
          <w:rtl/>
        </w:rPr>
        <w:t>).</w:t>
      </w:r>
      <w:r w:rsidRPr="00394385">
        <w:rPr>
          <w:rFonts w:ascii="Abo-thar" w:hAnsi="Abo-thar" w:cs="KFGQPC Uthman Taha Naskh"/>
          <w:b/>
          <w:bCs/>
          <w:sz w:val="28"/>
          <w:rtl/>
        </w:rPr>
        <w:t xml:space="preserve"> قَالَ قُلْتُ</w:t>
      </w:r>
      <w:r w:rsidR="00217AB4" w:rsidRPr="00394385">
        <w:rPr>
          <w:rFonts w:ascii="Abo-thar" w:hAnsi="Abo-thar" w:cs="KFGQPC Uthman Taha Naskh"/>
          <w:b/>
          <w:bCs/>
          <w:sz w:val="28"/>
          <w:rtl/>
        </w:rPr>
        <w:t>:</w:t>
      </w:r>
      <w:r w:rsidRPr="00394385">
        <w:rPr>
          <w:rFonts w:ascii="Abo-thar" w:hAnsi="Abo-thar" w:cs="KFGQPC Uthman Taha Naskh"/>
          <w:b/>
          <w:bCs/>
          <w:sz w:val="28"/>
          <w:rtl/>
        </w:rPr>
        <w:t xml:space="preserve"> وَكَيْفَ وَأَنْتُمْ تَقُولُونَ مَا تَقُولُونَ</w:t>
      </w:r>
      <w:r w:rsidR="00217AB4" w:rsidRPr="00394385">
        <w:rPr>
          <w:rFonts w:ascii="Abo-thar" w:hAnsi="Abo-thar" w:cs="KFGQPC Uthman Taha Naskh"/>
          <w:b/>
          <w:bCs/>
          <w:sz w:val="28"/>
          <w:rtl/>
        </w:rPr>
        <w:t>؟</w:t>
      </w:r>
      <w:r w:rsidRPr="00394385">
        <w:rPr>
          <w:rFonts w:ascii="Abo-thar" w:hAnsi="Abo-thar" w:cs="KFGQPC Uthman Taha Naskh"/>
          <w:b/>
          <w:bCs/>
          <w:sz w:val="28"/>
          <w:rtl/>
        </w:rPr>
        <w:t xml:space="preserve"> قَالَ</w:t>
      </w:r>
      <w:r w:rsidR="00217AB4" w:rsidRPr="00394385">
        <w:rPr>
          <w:rFonts w:ascii="Abo-thar" w:hAnsi="Abo-thar" w:cs="KFGQPC Uthman Taha Naskh"/>
          <w:b/>
          <w:bCs/>
          <w:sz w:val="28"/>
          <w:rtl/>
        </w:rPr>
        <w:t>:</w:t>
      </w:r>
      <w:r w:rsidRPr="00394385">
        <w:rPr>
          <w:rFonts w:ascii="Abo-thar" w:hAnsi="Abo-thar" w:cs="KFGQPC Uthman Taha Naskh"/>
          <w:b/>
          <w:bCs/>
          <w:sz w:val="28"/>
          <w:rtl/>
        </w:rPr>
        <w:t xml:space="preserve"> أَمَا </w:t>
      </w:r>
      <w:r w:rsidRPr="00394385">
        <w:rPr>
          <w:rFonts w:ascii="Abo-thar" w:hAnsi="Abo-thar" w:cs="KFGQPC Uthman Taha Naskh" w:hint="cs"/>
          <w:b/>
          <w:bCs/>
          <w:sz w:val="28"/>
          <w:rtl/>
        </w:rPr>
        <w:t>وَاللهِ</w:t>
      </w:r>
      <w:r w:rsidRPr="00394385">
        <w:rPr>
          <w:rFonts w:ascii="Abo-thar" w:hAnsi="Abo-thar" w:cs="KFGQPC Uthman Taha Naskh"/>
          <w:b/>
          <w:bCs/>
          <w:sz w:val="28"/>
          <w:rtl/>
        </w:rPr>
        <w:t xml:space="preserve"> مَا كَانُوا يَصْدِرُونَ إِلاَّ عَنْ رَأْيِهِ وَلَكِنْ كَانَ يَكْرَهُ أَنْ يُدَّعَى عَلَيْهِ خِلاَفُ أَبِى بَكْرٍ وَعُمَرَ</w:t>
      </w:r>
      <w:r w:rsidR="00F456DF" w:rsidRPr="00394385">
        <w:rPr>
          <w:rFonts w:ascii="Abo-thar" w:hAnsi="Abo-thar" w:cs="KFGQPC Uthman Taha Naskh"/>
          <w:b/>
          <w:bCs/>
          <w:sz w:val="28"/>
          <w:rtl/>
        </w:rPr>
        <w:t>»</w:t>
      </w:r>
      <w:r w:rsidR="00217AB4" w:rsidRPr="0021507A">
        <w:rPr>
          <w:rFonts w:cs="Arabic11 BT"/>
          <w:b/>
          <w:sz w:val="28"/>
          <w:vertAlign w:val="superscript"/>
          <w:rtl/>
        </w:rPr>
        <w:t>(</w:t>
      </w:r>
      <w:r w:rsidRPr="0021507A">
        <w:rPr>
          <w:rStyle w:val="FootnoteReference"/>
          <w:rFonts w:cs="Arabic11 BT"/>
          <w:b/>
          <w:sz w:val="28"/>
          <w:rtl/>
        </w:rPr>
        <w:footnoteReference w:id="400"/>
      </w:r>
      <w:r w:rsidR="00217AB4" w:rsidRPr="0021507A">
        <w:rPr>
          <w:rFonts w:cs="Arabic11 BT"/>
          <w:b/>
          <w:sz w:val="28"/>
          <w:vertAlign w:val="superscript"/>
          <w:rtl/>
        </w:rPr>
        <w:t>)</w:t>
      </w:r>
      <w:r w:rsidR="00217AB4" w:rsidRPr="003F3B94">
        <w:rPr>
          <w:sz w:val="28"/>
          <w:rtl/>
        </w:rPr>
        <w:t>.</w:t>
      </w:r>
      <w:r w:rsidRPr="003F3B94">
        <w:rPr>
          <w:rFonts w:ascii="Abo-thar" w:hAnsi="Abo-thar" w:hint="cs"/>
          <w:sz w:val="28"/>
          <w:rtl/>
        </w:rPr>
        <w:t xml:space="preserve"> </w:t>
      </w:r>
    </w:p>
    <w:p w:rsidR="005C664D" w:rsidRPr="003F3B94" w:rsidRDefault="005C664D" w:rsidP="003F3B94">
      <w:pPr>
        <w:pStyle w:val="a0"/>
        <w:rPr>
          <w:rFonts w:hint="cs"/>
          <w:rtl/>
        </w:rPr>
      </w:pPr>
      <w:r w:rsidRPr="003F3B94">
        <w:rPr>
          <w:rFonts w:ascii="Abo-thar" w:hAnsi="Abo-thar" w:hint="cs"/>
          <w:sz w:val="28"/>
          <w:rtl/>
        </w:rPr>
        <w:t>وقد وردت بعض الأحاديث الأخرى بنفس المضمون حتى من طريق الخاصة</w:t>
      </w:r>
      <w:r w:rsidR="001E0DB7" w:rsidRPr="003F3B94">
        <w:rPr>
          <w:rFonts w:ascii="Abo-thar" w:hAnsi="Abo-thar" w:hint="cs"/>
          <w:sz w:val="28"/>
          <w:rtl/>
        </w:rPr>
        <w:t>،</w:t>
      </w:r>
      <w:r w:rsidRPr="003F3B94">
        <w:rPr>
          <w:rFonts w:ascii="Abo-thar" w:hAnsi="Abo-thar" w:hint="cs"/>
          <w:sz w:val="28"/>
          <w:rtl/>
        </w:rPr>
        <w:t xml:space="preserve"> من ذلك ما روي أن علي السلام امتنع عن إعطاء خمس الغنائم لذي قرباه حتى لا</w:t>
      </w:r>
      <w:r w:rsidRPr="003F3B94">
        <w:rPr>
          <w:rFonts w:cs="Times New Roman" w:hint="cs"/>
          <w:sz w:val="28"/>
          <w:rtl/>
        </w:rPr>
        <w:t> </w:t>
      </w:r>
      <w:r w:rsidRPr="003F3B94">
        <w:rPr>
          <w:rFonts w:ascii="Abo-thar" w:hAnsi="Abo-thar" w:hint="cs"/>
          <w:sz w:val="28"/>
          <w:rtl/>
        </w:rPr>
        <w:t>ينسبه الناس إلى مخالفة أبي بكر وعمر</w:t>
      </w:r>
      <w:r w:rsidR="00217AB4" w:rsidRPr="0021507A">
        <w:rPr>
          <w:rFonts w:cs="Arabic11 BT"/>
          <w:b/>
          <w:sz w:val="28"/>
          <w:vertAlign w:val="superscript"/>
          <w:rtl/>
        </w:rPr>
        <w:t>(</w:t>
      </w:r>
      <w:r w:rsidRPr="0021507A">
        <w:rPr>
          <w:rStyle w:val="FootnoteReference"/>
          <w:rFonts w:cs="Arabic11 BT"/>
          <w:b/>
          <w:sz w:val="28"/>
          <w:rtl/>
        </w:rPr>
        <w:footnoteReference w:id="401"/>
      </w:r>
      <w:r w:rsidR="00217AB4" w:rsidRPr="0021507A">
        <w:rPr>
          <w:rFonts w:cs="Arabic11 BT"/>
          <w:b/>
          <w:sz w:val="28"/>
          <w:vertAlign w:val="superscript"/>
          <w:rtl/>
        </w:rPr>
        <w:t>)</w:t>
      </w:r>
      <w:r w:rsidR="00217AB4" w:rsidRPr="003F3B94">
        <w:rPr>
          <w:rFonts w:ascii="Abo-thar" w:hAnsi="Abo-thar" w:hint="cs"/>
          <w:sz w:val="28"/>
          <w:rtl/>
        </w:rPr>
        <w:t>.</w:t>
      </w:r>
      <w:r w:rsidRPr="003F3B94">
        <w:rPr>
          <w:rFonts w:ascii="Abo-thar" w:hAnsi="Abo-thar" w:hint="cs"/>
          <w:sz w:val="28"/>
          <w:rtl/>
        </w:rPr>
        <w:t xml:space="preserve"> </w:t>
      </w:r>
    </w:p>
    <w:p w:rsidR="005C664D" w:rsidRPr="003F3B94" w:rsidRDefault="005C664D" w:rsidP="003F3B94">
      <w:pPr>
        <w:pStyle w:val="a0"/>
        <w:rPr>
          <w:rFonts w:hint="cs"/>
          <w:rtl/>
        </w:rPr>
      </w:pPr>
      <w:r w:rsidRPr="003F3B94">
        <w:rPr>
          <w:rFonts w:ascii="Abo-thar" w:hAnsi="Abo-thar" w:hint="cs"/>
          <w:sz w:val="28"/>
          <w:rtl/>
        </w:rPr>
        <w:t xml:space="preserve">وقد ذكرنا أن هذا الكلام مردود في نظرنا لأننا نعتبر أن أمير المؤمنين </w:t>
      </w:r>
      <w:r w:rsidR="003C7AEB" w:rsidRPr="003C7AEB">
        <w:rPr>
          <w:rFonts w:ascii="Abo-thar" w:hAnsi="Abo-thar" w:cs="CTraditional Arabic" w:hint="cs"/>
          <w:sz w:val="28"/>
          <w:rtl/>
        </w:rPr>
        <w:t>÷</w:t>
      </w:r>
      <w:r w:rsidRPr="003F3B94">
        <w:rPr>
          <w:rFonts w:ascii="Abo-thar" w:hAnsi="Abo-thar" w:hint="cs"/>
          <w:sz w:val="28"/>
          <w:rtl/>
        </w:rPr>
        <w:t xml:space="preserve"> أرفع شأناً من أن يترك العمل بالواجب ويضيع حقوق ذوي الحقوق خوفاً من مخالفة أبي بكر وعمر</w:t>
      </w:r>
      <w:r w:rsidR="00217AB4" w:rsidRPr="003F3B94">
        <w:rPr>
          <w:rFonts w:ascii="Abo-thar" w:hAnsi="Abo-thar" w:hint="cs"/>
          <w:sz w:val="28"/>
          <w:rtl/>
        </w:rPr>
        <w:t>.</w:t>
      </w:r>
      <w:r w:rsidRPr="003F3B94">
        <w:rPr>
          <w:rFonts w:ascii="Abo-thar" w:hAnsi="Abo-thar" w:hint="cs"/>
          <w:sz w:val="28"/>
          <w:rtl/>
        </w:rPr>
        <w:t xml:space="preserve"> بل كان حضرته لا يخاف أحداً سوى الله ولم يكن يضيع حقاً لذي حق</w:t>
      </w:r>
      <w:r w:rsidR="001E0DB7" w:rsidRPr="003F3B94">
        <w:rPr>
          <w:rFonts w:ascii="Abo-thar" w:hAnsi="Abo-thar" w:hint="cs"/>
          <w:sz w:val="28"/>
          <w:rtl/>
        </w:rPr>
        <w:t>،</w:t>
      </w:r>
      <w:r w:rsidRPr="003F3B94">
        <w:rPr>
          <w:rFonts w:ascii="Abo-thar" w:hAnsi="Abo-thar" w:hint="cs"/>
          <w:sz w:val="28"/>
          <w:rtl/>
        </w:rPr>
        <w:t xml:space="preserve"> ونسبة مثل هذا الأمر إليه ظلم كبير </w:t>
      </w:r>
      <w:r w:rsidR="00F51ADA" w:rsidRPr="003F3B94">
        <w:rPr>
          <w:rFonts w:ascii="Abo-thar" w:hAnsi="Abo-thar" w:hint="cs"/>
          <w:sz w:val="28"/>
          <w:rtl/>
        </w:rPr>
        <w:t>له</w:t>
      </w:r>
      <w:r w:rsidR="00217AB4" w:rsidRPr="003F3B94">
        <w:rPr>
          <w:rFonts w:ascii="Abo-thar" w:hAnsi="Abo-thar" w:hint="cs"/>
          <w:sz w:val="28"/>
          <w:rtl/>
        </w:rPr>
        <w:t>.</w:t>
      </w:r>
      <w:r w:rsidRPr="003F3B94">
        <w:rPr>
          <w:rFonts w:ascii="Abo-thar" w:hAnsi="Abo-thar" w:hint="cs"/>
          <w:sz w:val="28"/>
          <w:rtl/>
        </w:rPr>
        <w:t xml:space="preserve"> </w:t>
      </w:r>
    </w:p>
    <w:p w:rsidR="005C664D" w:rsidRPr="003F3B94" w:rsidRDefault="005C664D" w:rsidP="003F3B94">
      <w:pPr>
        <w:pStyle w:val="a0"/>
        <w:rPr>
          <w:rtl/>
        </w:rPr>
      </w:pPr>
      <w:r w:rsidRPr="003F3B94">
        <w:rPr>
          <w:rFonts w:ascii="Abo-thar" w:hAnsi="Abo-thar" w:hint="cs"/>
          <w:sz w:val="28"/>
          <w:rtl/>
        </w:rPr>
        <w:t>وكذلك يظهر من أحاديث الإمامية وكتبهم المعتمدة أن ما كان الإمام يأخذه من خمس غنائم الحرب كان يصرفه على مصالح المسلمين</w:t>
      </w:r>
      <w:r w:rsidR="001E0DB7" w:rsidRPr="003F3B94">
        <w:rPr>
          <w:rFonts w:ascii="Abo-thar" w:hAnsi="Abo-thar" w:hint="cs"/>
          <w:sz w:val="28"/>
          <w:rtl/>
        </w:rPr>
        <w:t>،</w:t>
      </w:r>
      <w:r w:rsidRPr="003F3B94">
        <w:rPr>
          <w:rFonts w:ascii="Abo-thar" w:hAnsi="Abo-thar" w:hint="cs"/>
          <w:sz w:val="28"/>
          <w:rtl/>
        </w:rPr>
        <w:t xml:space="preserve"> كما جاء في تفسير </w:t>
      </w:r>
      <w:r w:rsidRPr="003F3B94">
        <w:rPr>
          <w:rFonts w:ascii="Abo-thar" w:hAnsi="Abo-thar"/>
          <w:sz w:val="28"/>
          <w:rtl/>
        </w:rPr>
        <w:t>«</w:t>
      </w:r>
      <w:r w:rsidRPr="003F3B94">
        <w:rPr>
          <w:rFonts w:ascii="Abo-thar" w:hAnsi="Abo-thar" w:hint="cs"/>
          <w:sz w:val="28"/>
          <w:rtl/>
        </w:rPr>
        <w:t>علي بن إبراهيم القمِّيّ</w:t>
      </w:r>
      <w:r w:rsidRPr="003F3B94">
        <w:rPr>
          <w:rFonts w:ascii="Abo-thar" w:hAnsi="Abo-thar"/>
          <w:sz w:val="28"/>
          <w:rtl/>
        </w:rPr>
        <w:t>»</w:t>
      </w:r>
      <w:r w:rsidRPr="003F3B94">
        <w:rPr>
          <w:rFonts w:ascii="Abo-thar" w:hAnsi="Abo-thar" w:hint="cs"/>
          <w:sz w:val="28"/>
          <w:rtl/>
        </w:rPr>
        <w:t xml:space="preserve"> </w:t>
      </w:r>
      <w:r w:rsidR="00217AB4" w:rsidRPr="003F3B94">
        <w:rPr>
          <w:rFonts w:ascii="Abo-thar" w:hAnsi="Abo-thar" w:hint="cs"/>
          <w:sz w:val="28"/>
          <w:rtl/>
        </w:rPr>
        <w:t>(</w:t>
      </w:r>
      <w:r w:rsidRPr="003F3B94">
        <w:rPr>
          <w:rFonts w:ascii="Abo-thar" w:hAnsi="Abo-thar" w:hint="cs"/>
          <w:sz w:val="28"/>
          <w:rtl/>
        </w:rPr>
        <w:t>ص 254</w:t>
      </w:r>
      <w:r w:rsidR="00217AB4" w:rsidRPr="003F3B94">
        <w:rPr>
          <w:rFonts w:ascii="Abo-thar" w:hAnsi="Abo-thar" w:hint="cs"/>
          <w:sz w:val="28"/>
          <w:rtl/>
        </w:rPr>
        <w:t>)</w:t>
      </w:r>
      <w:r w:rsidRPr="003F3B94">
        <w:rPr>
          <w:rFonts w:ascii="Abo-thar" w:hAnsi="Abo-thar" w:hint="cs"/>
          <w:sz w:val="28"/>
          <w:rtl/>
        </w:rPr>
        <w:t xml:space="preserve"> أو المجلد العشرين من </w:t>
      </w:r>
      <w:r w:rsidRPr="003F3B94">
        <w:rPr>
          <w:rFonts w:ascii="Abo-thar" w:hAnsi="Abo-thar"/>
          <w:sz w:val="28"/>
          <w:rtl/>
        </w:rPr>
        <w:t>«بحار</w:t>
      </w:r>
      <w:r w:rsidRPr="003F3B94">
        <w:rPr>
          <w:rFonts w:ascii="Abo-thar" w:hAnsi="Abo-thar" w:hint="cs"/>
          <w:sz w:val="28"/>
          <w:rtl/>
        </w:rPr>
        <w:t xml:space="preserve"> </w:t>
      </w:r>
      <w:r w:rsidRPr="003F3B94">
        <w:rPr>
          <w:rFonts w:ascii="Abo-thar" w:hAnsi="Abo-thar"/>
          <w:sz w:val="28"/>
          <w:rtl/>
        </w:rPr>
        <w:t>الأنوار»</w:t>
      </w:r>
      <w:r w:rsidRPr="003F3B94">
        <w:rPr>
          <w:rFonts w:ascii="Abo-thar" w:hAnsi="Abo-thar" w:hint="cs"/>
          <w:sz w:val="28"/>
          <w:rtl/>
        </w:rPr>
        <w:t xml:space="preserve"> </w:t>
      </w:r>
      <w:r w:rsidR="00217AB4" w:rsidRPr="003F3B94">
        <w:rPr>
          <w:rFonts w:ascii="Abo-thar" w:hAnsi="Abo-thar" w:hint="cs"/>
          <w:sz w:val="28"/>
          <w:rtl/>
        </w:rPr>
        <w:t>(</w:t>
      </w:r>
      <w:r w:rsidRPr="003F3B94">
        <w:rPr>
          <w:rFonts w:ascii="Abo-thar" w:hAnsi="Abo-thar" w:hint="cs"/>
          <w:sz w:val="28"/>
          <w:rtl/>
        </w:rPr>
        <w:t>ص51</w:t>
      </w:r>
      <w:r w:rsidR="00217AB4" w:rsidRPr="003F3B94">
        <w:rPr>
          <w:rFonts w:ascii="Abo-thar" w:hAnsi="Abo-thar" w:hint="cs"/>
          <w:sz w:val="28"/>
          <w:rtl/>
        </w:rPr>
        <w:t>)</w:t>
      </w:r>
      <w:r w:rsidR="00217AB4" w:rsidRPr="0021507A">
        <w:rPr>
          <w:rFonts w:cs="Arabic11 BT"/>
          <w:b/>
          <w:sz w:val="28"/>
          <w:vertAlign w:val="superscript"/>
          <w:rtl/>
        </w:rPr>
        <w:t>(</w:t>
      </w:r>
      <w:r w:rsidRPr="0021507A">
        <w:rPr>
          <w:rStyle w:val="FootnoteReference"/>
          <w:rFonts w:cs="Arabic11 BT"/>
          <w:b/>
          <w:sz w:val="28"/>
          <w:rtl/>
        </w:rPr>
        <w:footnoteReference w:id="402"/>
      </w:r>
      <w:r w:rsidR="00217AB4" w:rsidRPr="0021507A">
        <w:rPr>
          <w:rFonts w:cs="Arabic11 BT"/>
          <w:b/>
          <w:sz w:val="28"/>
          <w:vertAlign w:val="superscript"/>
          <w:rtl/>
        </w:rPr>
        <w:t>)</w:t>
      </w:r>
      <w:r w:rsidRPr="003F3B94">
        <w:rPr>
          <w:sz w:val="28"/>
          <w:rtl/>
        </w:rPr>
        <w:t xml:space="preserve"> </w:t>
      </w:r>
      <w:r w:rsidRPr="003F3B94">
        <w:rPr>
          <w:rFonts w:ascii="Abo-thar" w:hAnsi="Abo-thar" w:hint="cs"/>
          <w:sz w:val="28"/>
          <w:rtl/>
        </w:rPr>
        <w:t>نقلاً ذلك التفسير</w:t>
      </w:r>
      <w:r w:rsidR="00217AB4" w:rsidRPr="003F3B94">
        <w:rPr>
          <w:rFonts w:ascii="Abo-thar" w:hAnsi="Abo-thar" w:hint="cs"/>
          <w:sz w:val="28"/>
          <w:rtl/>
        </w:rPr>
        <w:t>:</w:t>
      </w:r>
    </w:p>
    <w:p w:rsidR="005C664D" w:rsidRPr="003F3B94" w:rsidRDefault="00EF2588" w:rsidP="003F3B94">
      <w:pPr>
        <w:pStyle w:val="a0"/>
        <w:rPr>
          <w:rFonts w:hint="cs"/>
          <w:rtl/>
        </w:rPr>
      </w:pPr>
      <w:r w:rsidRPr="00394385">
        <w:rPr>
          <w:rFonts w:ascii="Abo-thar" w:hAnsi="Abo-thar" w:cs="KFGQPC Uthman Taha Naskh" w:hint="cs"/>
          <w:sz w:val="28"/>
          <w:rtl/>
        </w:rPr>
        <w:t>«</w:t>
      </w:r>
      <w:r w:rsidR="005C664D" w:rsidRPr="00394385">
        <w:rPr>
          <w:rFonts w:ascii="Abo-thar" w:hAnsi="Abo-thar" w:cs="KFGQPC Uthman Taha Naskh"/>
          <w:b/>
          <w:bCs/>
          <w:sz w:val="28"/>
          <w:rtl/>
        </w:rPr>
        <w:t>يُخْرَجُ الخُمُسُ ويُقْسَمُ عَلَى سِتَّةِ أَسْهُمٍ سَهْمٍ لِـلَّهِ وسَهْمٍ لِرَسُولِ اللهِ وسَهْمٍ لِلْإِمَامِ فَسَهْمَ اللهِ وسَهْمَ الرَّسُولِ يَرِثُهُ الإِمَامُ فَيَكُونُ لِلْإِمَامِ ثَلَاثَةُ أَسْهُمٍ مِنْ سِتَّةٍ والثَّلَاثَةُ الأَسْهُمِ لِأَيْتَامِ آلِ الرَّسُولِ ومَسَاكِينِهِمْ وأَبْنَاءِ سَبِيلِهِمْ وإِنَّمَا صَارَتْ لِلْإِمَامِ وَحْدَهُ مِنَ الخُمُسِ ثَلَاثَةُ أَسْهُمٍ لِأَنَّ اللهَ قَدْ أَلْزَمَهُ بِمَا أَلْزَمَ النَّبِيَّ</w:t>
      </w:r>
      <w:r w:rsidR="00147857" w:rsidRPr="00394385">
        <w:rPr>
          <w:rFonts w:ascii="Abo-thar" w:hAnsi="Abo-thar" w:cs="KFGQPC Uthman Taha Naskh"/>
          <w:b/>
          <w:bCs/>
          <w:sz w:val="28"/>
          <w:rtl/>
        </w:rPr>
        <w:t xml:space="preserve"> </w:t>
      </w:r>
      <w:r w:rsidR="003C7AEB" w:rsidRPr="003C7AEB">
        <w:rPr>
          <w:rFonts w:ascii="Abo-thar" w:hAnsi="Abo-thar" w:cs="CTraditional Arabic"/>
          <w:sz w:val="28"/>
          <w:rtl/>
        </w:rPr>
        <w:t>ص</w:t>
      </w:r>
      <w:r w:rsidR="00147857" w:rsidRPr="00394385">
        <w:rPr>
          <w:rFonts w:ascii="Abo-thar" w:hAnsi="Abo-thar" w:cs="KFGQPC Uthman Taha Naskh"/>
          <w:sz w:val="28"/>
          <w:rtl/>
        </w:rPr>
        <w:t xml:space="preserve"> </w:t>
      </w:r>
      <w:r w:rsidR="005C664D" w:rsidRPr="00394385">
        <w:rPr>
          <w:rFonts w:ascii="Abo-thar" w:hAnsi="Abo-thar" w:cs="KFGQPC Uthman Taha Naskh"/>
          <w:b/>
          <w:bCs/>
          <w:sz w:val="28"/>
          <w:rtl/>
        </w:rPr>
        <w:t>مِنْ تَرْبِيَةِ الأَيْتَامِ ومُؤَنِ المُسْلِمِينَ وقَضَاءِ دُيُونِهِمْ وحَمْلِهِمْ فِي الحَجِّ والْجِهَاد</w:t>
      </w:r>
      <w:r w:rsidR="00F456DF" w:rsidRPr="00394385">
        <w:rPr>
          <w:rFonts w:ascii="Abo-thar" w:hAnsi="Abo-thar" w:cs="KFGQPC Uthman Taha Naskh" w:hint="cs"/>
          <w:b/>
          <w:bCs/>
          <w:sz w:val="28"/>
          <w:rtl/>
        </w:rPr>
        <w:t>»</w:t>
      </w:r>
      <w:r w:rsidR="00217AB4" w:rsidRPr="003F3B94">
        <w:rPr>
          <w:rFonts w:ascii="Abo-thar" w:hAnsi="Abo-thar" w:hint="cs"/>
          <w:sz w:val="28"/>
          <w:rtl/>
        </w:rPr>
        <w:t>.</w:t>
      </w:r>
    </w:p>
    <w:p w:rsidR="005C664D" w:rsidRPr="003F3B94" w:rsidRDefault="005C664D" w:rsidP="003F3B94">
      <w:pPr>
        <w:pStyle w:val="a0"/>
        <w:rPr>
          <w:rFonts w:hint="cs"/>
          <w:rtl/>
        </w:rPr>
      </w:pPr>
      <w:r w:rsidRPr="003F3B94">
        <w:rPr>
          <w:rFonts w:ascii="Abo-thar" w:hAnsi="Abo-thar" w:hint="cs"/>
          <w:sz w:val="28"/>
          <w:rtl/>
        </w:rPr>
        <w:t xml:space="preserve">بناء على ذلك يتبين أن تمييز بني هاشم وتفضيلهم بحق مالي معلوم واختصاصهم بذلك الخمس </w:t>
      </w:r>
      <w:r w:rsidR="00217AB4" w:rsidRPr="003F3B94">
        <w:rPr>
          <w:rFonts w:ascii="Abo-thar" w:hAnsi="Abo-thar" w:hint="cs"/>
          <w:sz w:val="28"/>
          <w:rtl/>
        </w:rPr>
        <w:t>(</w:t>
      </w:r>
      <w:r w:rsidRPr="003F3B94">
        <w:rPr>
          <w:rFonts w:ascii="Abo-thar" w:hAnsi="Abo-thar" w:hint="cs"/>
          <w:sz w:val="28"/>
          <w:rtl/>
        </w:rPr>
        <w:t>الذي يشمل خمسةً وعشرين شيئاً أو أكثر</w:t>
      </w:r>
      <w:r w:rsidR="00217AB4" w:rsidRPr="003F3B94">
        <w:rPr>
          <w:rFonts w:ascii="Abo-thar" w:hAnsi="Abo-thar" w:hint="cs"/>
          <w:sz w:val="28"/>
          <w:rtl/>
        </w:rPr>
        <w:t>)</w:t>
      </w:r>
      <w:r w:rsidRPr="003F3B94">
        <w:rPr>
          <w:rFonts w:ascii="Abo-thar" w:hAnsi="Abo-thar" w:hint="cs"/>
          <w:sz w:val="28"/>
          <w:rtl/>
        </w:rPr>
        <w:t xml:space="preserve"> لا يتفق أبداً مع روح الشريعة والكتاب والسنة</w:t>
      </w:r>
      <w:r w:rsidR="00217AB4" w:rsidRPr="003F3B94">
        <w:rPr>
          <w:rFonts w:ascii="Abo-thar" w:hAnsi="Abo-thar" w:hint="cs"/>
          <w:sz w:val="28"/>
          <w:rtl/>
        </w:rPr>
        <w:t>.</w:t>
      </w:r>
      <w:r w:rsidRPr="003F3B94">
        <w:rPr>
          <w:rFonts w:ascii="Abo-thar" w:hAnsi="Abo-thar" w:hint="cs"/>
          <w:sz w:val="28"/>
          <w:rtl/>
        </w:rPr>
        <w:t xml:space="preserve"> أما العذر الذي يذكرونه من أنه لما كانت الزكاة قد حُرِّمت على بني هاشم فقد عوضهم الله عنها بإيجاب الخمس لهم</w:t>
      </w:r>
      <w:r w:rsidR="00217AB4" w:rsidRPr="003F3B94">
        <w:rPr>
          <w:rFonts w:ascii="Abo-thar" w:hAnsi="Abo-thar" w:hint="cs"/>
          <w:sz w:val="28"/>
          <w:rtl/>
        </w:rPr>
        <w:t>،</w:t>
      </w:r>
      <w:r w:rsidRPr="003F3B94">
        <w:rPr>
          <w:rFonts w:ascii="Abo-thar" w:hAnsi="Abo-thar" w:hint="cs"/>
          <w:sz w:val="28"/>
          <w:rtl/>
        </w:rPr>
        <w:t xml:space="preserve"> فهو عذرٌ أقبح من ذنب</w:t>
      </w:r>
      <w:r w:rsidR="00217AB4" w:rsidRPr="003F3B94">
        <w:rPr>
          <w:rFonts w:ascii="Abo-thar" w:hAnsi="Abo-thar" w:hint="cs"/>
          <w:sz w:val="28"/>
          <w:rtl/>
        </w:rPr>
        <w:t>!</w:t>
      </w:r>
      <w:r w:rsidRPr="003F3B94">
        <w:rPr>
          <w:rFonts w:ascii="Abo-thar" w:hAnsi="Abo-thar" w:hint="cs"/>
          <w:sz w:val="28"/>
          <w:rtl/>
        </w:rPr>
        <w:t xml:space="preserve"> لما يلي</w:t>
      </w:r>
      <w:r w:rsidR="00217AB4" w:rsidRPr="003F3B94">
        <w:rPr>
          <w:rFonts w:ascii="Abo-thar" w:hAnsi="Abo-thar" w:hint="cs"/>
          <w:sz w:val="28"/>
          <w:rtl/>
        </w:rPr>
        <w:t>:</w:t>
      </w:r>
      <w:r w:rsidRPr="003F3B94">
        <w:rPr>
          <w:rFonts w:ascii="Abo-thar" w:hAnsi="Abo-thar" w:hint="cs"/>
          <w:sz w:val="28"/>
          <w:rtl/>
        </w:rPr>
        <w:t xml:space="preserve"> </w:t>
      </w:r>
    </w:p>
    <w:p w:rsidR="005C664D" w:rsidRPr="003F3B94" w:rsidRDefault="005C664D" w:rsidP="003F3B94">
      <w:pPr>
        <w:pStyle w:val="a0"/>
        <w:rPr>
          <w:rFonts w:hint="cs"/>
          <w:rtl/>
        </w:rPr>
      </w:pPr>
      <w:r w:rsidRPr="003F3B94">
        <w:rPr>
          <w:rFonts w:ascii="Abo-thar" w:hAnsi="Abo-thar" w:hint="cs"/>
          <w:sz w:val="28"/>
          <w:rtl/>
        </w:rPr>
        <w:t>أولاً</w:t>
      </w:r>
      <w:r w:rsidR="00217AB4" w:rsidRPr="003F3B94">
        <w:rPr>
          <w:rFonts w:ascii="Abo-thar" w:hAnsi="Abo-thar" w:hint="cs"/>
          <w:sz w:val="28"/>
          <w:rtl/>
        </w:rPr>
        <w:t>:</w:t>
      </w:r>
      <w:r w:rsidRPr="003F3B94">
        <w:rPr>
          <w:rFonts w:ascii="Abo-thar" w:hAnsi="Abo-thar" w:hint="cs"/>
          <w:sz w:val="28"/>
          <w:rtl/>
        </w:rPr>
        <w:t xml:space="preserve"> كما ذكرنا سابقاً لم تثبت حرمة الصدقة على بني هاشم وذرية النبي إلى الأبد بعد رسول الله</w:t>
      </w:r>
      <w:r w:rsidR="00147857" w:rsidRPr="003F3B94">
        <w:rPr>
          <w:rFonts w:ascii="Abo-thar" w:hAnsi="Abo-thar" w:hint="cs"/>
          <w:sz w:val="28"/>
          <w:rtl/>
        </w:rPr>
        <w:t xml:space="preserve"> </w:t>
      </w:r>
      <w:r w:rsidR="003C7AEB" w:rsidRPr="003C7AEB">
        <w:rPr>
          <w:rFonts w:ascii="Abo-thar" w:hAnsi="Abo-thar" w:cs="CTraditional Arabic" w:hint="cs"/>
          <w:sz w:val="28"/>
          <w:rtl/>
        </w:rPr>
        <w:t>ص</w:t>
      </w:r>
      <w:r w:rsidR="00217AB4" w:rsidRPr="003F3B94">
        <w:rPr>
          <w:rFonts w:ascii="Abo-thar" w:hAnsi="Abo-thar" w:hint="cs"/>
          <w:sz w:val="28"/>
          <w:rtl/>
        </w:rPr>
        <w:t>.</w:t>
      </w:r>
      <w:r w:rsidRPr="003F3B94">
        <w:rPr>
          <w:rFonts w:ascii="Abo-thar" w:hAnsi="Abo-thar" w:hint="cs"/>
          <w:sz w:val="28"/>
          <w:rtl/>
        </w:rPr>
        <w:t xml:space="preserve"> وإذا كان النبيُّ قد حرَّم عليهم ذلك في حياته من باب المصلحة فإن ذلك لم يكن تشريعاً أبدياً</w:t>
      </w:r>
      <w:r w:rsidR="001E0DB7" w:rsidRPr="003F3B94">
        <w:rPr>
          <w:rFonts w:ascii="Abo-thar" w:hAnsi="Abo-thar" w:hint="cs"/>
          <w:sz w:val="28"/>
          <w:rtl/>
        </w:rPr>
        <w:t>،</w:t>
      </w:r>
      <w:r w:rsidRPr="003F3B94">
        <w:rPr>
          <w:rFonts w:ascii="Abo-thar" w:hAnsi="Abo-thar" w:hint="cs"/>
          <w:sz w:val="28"/>
          <w:rtl/>
        </w:rPr>
        <w:t xml:space="preserve"> كما رأينا أنه بعد رحيله</w:t>
      </w:r>
      <w:r w:rsidR="00147857" w:rsidRPr="003F3B94">
        <w:rPr>
          <w:rFonts w:ascii="Abo-thar" w:hAnsi="Abo-thar" w:hint="cs"/>
          <w:sz w:val="28"/>
          <w:rtl/>
        </w:rPr>
        <w:t xml:space="preserve"> </w:t>
      </w:r>
      <w:r w:rsidR="003C7AEB" w:rsidRPr="003C7AEB">
        <w:rPr>
          <w:rFonts w:ascii="Abo-thar" w:hAnsi="Abo-thar" w:cs="CTraditional Arabic" w:hint="cs"/>
          <w:sz w:val="28"/>
          <w:rtl/>
        </w:rPr>
        <w:t>ص</w:t>
      </w:r>
      <w:r w:rsidR="00147857" w:rsidRPr="003F3B94">
        <w:rPr>
          <w:rFonts w:ascii="Abo-thar" w:hAnsi="Abo-thar" w:hint="cs"/>
          <w:sz w:val="28"/>
          <w:rtl/>
        </w:rPr>
        <w:t xml:space="preserve"> </w:t>
      </w:r>
      <w:r w:rsidRPr="003F3B94">
        <w:rPr>
          <w:rFonts w:ascii="Abo-thar" w:hAnsi="Abo-thar" w:hint="cs"/>
          <w:sz w:val="28"/>
          <w:rtl/>
        </w:rPr>
        <w:t>كان جميع أهل بيته وبنو هاشم يستفيدون من بيت المال الذي كانت الصدقات وأموال الزكاة أحد مصادره</w:t>
      </w:r>
      <w:r w:rsidR="00217AB4" w:rsidRPr="003F3B94">
        <w:rPr>
          <w:rFonts w:ascii="Abo-thar" w:hAnsi="Abo-thar" w:hint="cs"/>
          <w:sz w:val="28"/>
          <w:rtl/>
        </w:rPr>
        <w:t>.</w:t>
      </w:r>
      <w:r w:rsidRPr="003F3B94">
        <w:rPr>
          <w:rFonts w:ascii="Abo-thar" w:hAnsi="Abo-thar" w:hint="cs"/>
          <w:sz w:val="28"/>
          <w:rtl/>
        </w:rPr>
        <w:t xml:space="preserve"> </w:t>
      </w:r>
    </w:p>
    <w:p w:rsidR="005C664D" w:rsidRPr="003F3B94" w:rsidRDefault="005C664D" w:rsidP="003F3B94">
      <w:pPr>
        <w:pStyle w:val="a0"/>
        <w:rPr>
          <w:rFonts w:hint="cs"/>
          <w:rtl/>
        </w:rPr>
      </w:pPr>
      <w:r w:rsidRPr="003F3B94">
        <w:rPr>
          <w:rFonts w:ascii="Abo-thar" w:hAnsi="Abo-thar" w:hint="cs"/>
          <w:sz w:val="28"/>
          <w:rtl/>
        </w:rPr>
        <w:t>ثانياً</w:t>
      </w:r>
      <w:r w:rsidR="00217AB4" w:rsidRPr="003F3B94">
        <w:rPr>
          <w:rFonts w:ascii="Abo-thar" w:hAnsi="Abo-thar" w:hint="cs"/>
          <w:sz w:val="28"/>
          <w:rtl/>
        </w:rPr>
        <w:t>:</w:t>
      </w:r>
      <w:r w:rsidRPr="003F3B94">
        <w:rPr>
          <w:rFonts w:ascii="Abo-thar" w:hAnsi="Abo-thar" w:hint="cs"/>
          <w:sz w:val="28"/>
          <w:rtl/>
        </w:rPr>
        <w:t xml:space="preserve"> لو فرضنا جدلاً أن زكاة غير بني هاشم على بني هاشم محرَّمةٌ فإنه من المتفق عليه أن زكاة أغنياء بني هاشم على فقرائهم لا تحرم</w:t>
      </w:r>
      <w:r w:rsidR="00217AB4" w:rsidRPr="003F3B94">
        <w:rPr>
          <w:rFonts w:ascii="Abo-thar" w:hAnsi="Abo-thar" w:hint="cs"/>
          <w:sz w:val="28"/>
          <w:rtl/>
        </w:rPr>
        <w:t>.</w:t>
      </w:r>
      <w:r w:rsidRPr="003F3B94">
        <w:rPr>
          <w:rFonts w:ascii="Abo-thar" w:hAnsi="Abo-thar" w:hint="cs"/>
          <w:sz w:val="28"/>
          <w:rtl/>
        </w:rPr>
        <w:t xml:space="preserve"> وقد وردت في ذلك أحاديث كثيرة</w:t>
      </w:r>
      <w:r w:rsidR="00217AB4" w:rsidRPr="003F3B94">
        <w:rPr>
          <w:rFonts w:ascii="Abo-thar" w:hAnsi="Abo-thar" w:hint="cs"/>
          <w:sz w:val="28"/>
          <w:rtl/>
        </w:rPr>
        <w:t>،</w:t>
      </w:r>
      <w:r w:rsidRPr="003F3B94">
        <w:rPr>
          <w:rFonts w:ascii="Abo-thar" w:hAnsi="Abo-thar" w:hint="cs"/>
          <w:sz w:val="28"/>
          <w:rtl/>
        </w:rPr>
        <w:t xml:space="preserve"> نعتذر عن الإتيان بها منعاً للتطويل</w:t>
      </w:r>
      <w:r w:rsidR="001E0DB7" w:rsidRPr="003F3B94">
        <w:rPr>
          <w:rFonts w:ascii="Abo-thar" w:hAnsi="Abo-thar" w:hint="cs"/>
          <w:sz w:val="28"/>
          <w:rtl/>
        </w:rPr>
        <w:t>،</w:t>
      </w:r>
      <w:r w:rsidRPr="003F3B94">
        <w:rPr>
          <w:rFonts w:ascii="Abo-thar" w:hAnsi="Abo-thar" w:hint="cs"/>
          <w:sz w:val="28"/>
          <w:rtl/>
        </w:rPr>
        <w:t xml:space="preserve"> وفتوى عامة فقهاء الشيعة هي على ذلك</w:t>
      </w:r>
      <w:r w:rsidR="00217AB4" w:rsidRPr="003F3B94">
        <w:rPr>
          <w:rFonts w:ascii="Abo-thar" w:hAnsi="Abo-thar" w:hint="cs"/>
          <w:sz w:val="28"/>
          <w:rtl/>
        </w:rPr>
        <w:t>.</w:t>
      </w:r>
      <w:r w:rsidRPr="003F3B94">
        <w:rPr>
          <w:rFonts w:ascii="Abo-thar" w:hAnsi="Abo-thar" w:hint="cs"/>
          <w:sz w:val="28"/>
          <w:rtl/>
        </w:rPr>
        <w:t xml:space="preserve"> </w:t>
      </w:r>
    </w:p>
    <w:p w:rsidR="005C664D" w:rsidRPr="003F3B94" w:rsidRDefault="005C664D" w:rsidP="003F3B94">
      <w:pPr>
        <w:pStyle w:val="a0"/>
        <w:rPr>
          <w:rFonts w:hint="cs"/>
          <w:rtl/>
        </w:rPr>
      </w:pPr>
      <w:r w:rsidRPr="003F3B94">
        <w:rPr>
          <w:rFonts w:ascii="Abo-thar" w:hAnsi="Abo-thar" w:hint="cs"/>
          <w:sz w:val="28"/>
          <w:rtl/>
        </w:rPr>
        <w:t>وقد شاهدنا على الدوام أن الأغنياء من السادة الهاشميين أكثر من الأغنياء في غير السادة</w:t>
      </w:r>
      <w:r w:rsidR="001E0DB7" w:rsidRPr="003F3B94">
        <w:rPr>
          <w:rFonts w:ascii="Abo-thar" w:hAnsi="Abo-thar" w:hint="cs"/>
          <w:sz w:val="28"/>
          <w:rtl/>
        </w:rPr>
        <w:t>،</w:t>
      </w:r>
      <w:r w:rsidRPr="003F3B94">
        <w:rPr>
          <w:rFonts w:ascii="Abo-thar" w:hAnsi="Abo-thar" w:hint="cs"/>
          <w:sz w:val="28"/>
          <w:rtl/>
        </w:rPr>
        <w:t xml:space="preserve"> فلو أنهم أعطوا زكاتهم كما أمر الله بها لفقرائهم لكفاهم ذلك</w:t>
      </w:r>
      <w:r w:rsidR="001E0DB7" w:rsidRPr="003F3B94">
        <w:rPr>
          <w:rFonts w:ascii="Abo-thar" w:hAnsi="Abo-thar" w:hint="cs"/>
          <w:sz w:val="28"/>
          <w:rtl/>
        </w:rPr>
        <w:t>،</w:t>
      </w:r>
      <w:r w:rsidRPr="003F3B94">
        <w:rPr>
          <w:rFonts w:ascii="Abo-thar" w:hAnsi="Abo-thar" w:hint="cs"/>
          <w:sz w:val="28"/>
          <w:rtl/>
        </w:rPr>
        <w:t xml:space="preserve"> فما الحاجة إذن لمثل هذا الخمس الذي ليس له قاعدة ولا حساب ولا ميزان ولا ملاك والذي يُعَدُّ من أكثر الامتيازات والحقوق الخاصة بأسرة معينة ظلماً</w:t>
      </w:r>
      <w:r w:rsidR="001E0DB7" w:rsidRPr="003F3B94">
        <w:rPr>
          <w:rFonts w:ascii="Abo-thar" w:hAnsi="Abo-thar" w:hint="cs"/>
          <w:sz w:val="28"/>
          <w:rtl/>
        </w:rPr>
        <w:t>،</w:t>
      </w:r>
      <w:r w:rsidRPr="003F3B94">
        <w:rPr>
          <w:rFonts w:ascii="Abo-thar" w:hAnsi="Abo-thar" w:hint="cs"/>
          <w:sz w:val="28"/>
          <w:rtl/>
        </w:rPr>
        <w:t xml:space="preserve"> والذي يؤدي بالمآل إلى توجيه التهمة لصاحب الشريعة والعياذ بالله وللإسلام</w:t>
      </w:r>
      <w:r w:rsidR="00217AB4" w:rsidRPr="003F3B94">
        <w:rPr>
          <w:rFonts w:ascii="Abo-thar" w:hAnsi="Abo-thar" w:hint="cs"/>
          <w:sz w:val="28"/>
          <w:rtl/>
        </w:rPr>
        <w:t>.</w:t>
      </w:r>
      <w:r w:rsidRPr="003F3B94">
        <w:rPr>
          <w:rFonts w:ascii="Abo-thar" w:hAnsi="Abo-thar" w:hint="cs"/>
          <w:sz w:val="28"/>
          <w:rtl/>
        </w:rPr>
        <w:t xml:space="preserve"> </w:t>
      </w:r>
      <w:r w:rsidR="00217AB4" w:rsidRPr="003F3B94">
        <w:rPr>
          <w:rFonts w:ascii="Abo-thar" w:hAnsi="Abo-thar" w:hint="cs"/>
          <w:sz w:val="28"/>
          <w:rtl/>
        </w:rPr>
        <w:t>(</w:t>
      </w:r>
      <w:r w:rsidRPr="003F3B94">
        <w:rPr>
          <w:rFonts w:ascii="Abo-thar" w:hAnsi="Abo-thar" w:hint="cs"/>
          <w:sz w:val="28"/>
          <w:rtl/>
        </w:rPr>
        <w:t>نعوذ بالله من عدو جاحد وولي جاهل</w:t>
      </w:r>
      <w:r w:rsidR="00217AB4" w:rsidRPr="003F3B94">
        <w:rPr>
          <w:rFonts w:ascii="Abo-thar" w:hAnsi="Abo-thar" w:hint="cs"/>
          <w:sz w:val="28"/>
          <w:rtl/>
        </w:rPr>
        <w:t>)</w:t>
      </w:r>
      <w:r w:rsidRPr="003F3B94">
        <w:rPr>
          <w:rFonts w:ascii="Abo-thar" w:hAnsi="Abo-thar" w:hint="cs"/>
          <w:sz w:val="28"/>
          <w:rtl/>
        </w:rPr>
        <w:t xml:space="preserve"> وما تأليفنا لهذا الكتاب إلا لغرض الدفاع عن الإسلام ورسوله وتبرئته وتنزيهه من مثل هذه التهمة الباطلة </w:t>
      </w:r>
      <w:r w:rsidRPr="003F3B94">
        <w:rPr>
          <w:rFonts w:ascii="Abo-thar" w:hAnsi="Abo-thar"/>
          <w:sz w:val="28"/>
          <w:rtl/>
        </w:rPr>
        <w:t>و</w:t>
      </w:r>
      <w:r w:rsidRPr="003F3B94">
        <w:rPr>
          <w:rFonts w:ascii="Abo-thar" w:hAnsi="Abo-thar"/>
          <w:b/>
          <w:bCs/>
          <w:sz w:val="28"/>
          <w:rtl/>
        </w:rPr>
        <w:t>مَا تَوْفِيقِي إِلَّا بِا</w:t>
      </w:r>
      <w:r w:rsidRPr="003F3B94">
        <w:rPr>
          <w:rFonts w:ascii="Abo-thar" w:hAnsi="Abo-thar" w:hint="cs"/>
          <w:b/>
          <w:bCs/>
          <w:sz w:val="28"/>
          <w:rtl/>
        </w:rPr>
        <w:t>للهِ</w:t>
      </w:r>
      <w:r w:rsidRPr="003F3B94">
        <w:rPr>
          <w:rFonts w:ascii="Abo-thar" w:hAnsi="Abo-thar"/>
          <w:b/>
          <w:bCs/>
          <w:sz w:val="28"/>
          <w:rtl/>
        </w:rPr>
        <w:t xml:space="preserve"> عَلَيْهِ تَوَكَّلْتُ وَإِلَيْهِ أُنِيبُ</w:t>
      </w:r>
      <w:r w:rsidR="00217AB4" w:rsidRPr="003F3B94">
        <w:rPr>
          <w:rFonts w:ascii="Abo-thar" w:hAnsi="Abo-thar" w:hint="cs"/>
          <w:sz w:val="28"/>
          <w:rtl/>
        </w:rPr>
        <w:t>.</w:t>
      </w:r>
      <w:r w:rsidRPr="003F3B94">
        <w:rPr>
          <w:rFonts w:ascii="Abo-thar" w:hAnsi="Abo-thar" w:hint="cs"/>
          <w:sz w:val="28"/>
          <w:rtl/>
        </w:rPr>
        <w:t xml:space="preserve"> </w:t>
      </w:r>
    </w:p>
    <w:p w:rsidR="005C664D" w:rsidRPr="00995B26" w:rsidRDefault="00542D29" w:rsidP="007D2B8A">
      <w:pPr>
        <w:pStyle w:val="a5"/>
        <w:rPr>
          <w:rFonts w:hint="cs"/>
          <w:rtl/>
        </w:rPr>
      </w:pPr>
      <w:bookmarkStart w:id="148" w:name="_Toc215491165"/>
      <w:bookmarkStart w:id="149" w:name="_Toc215498084"/>
      <w:bookmarkStart w:id="150" w:name="_Toc387843099"/>
      <w:r w:rsidRPr="00995B26">
        <w:rPr>
          <w:rFonts w:hint="cs"/>
          <w:rtl/>
        </w:rPr>
        <w:t>6- دفع</w:t>
      </w:r>
      <w:r w:rsidR="005C664D" w:rsidRPr="00995B26">
        <w:rPr>
          <w:rFonts w:hint="cs"/>
          <w:rtl/>
        </w:rPr>
        <w:t xml:space="preserve"> الخمس في زمن الغيبة</w:t>
      </w:r>
      <w:bookmarkEnd w:id="148"/>
      <w:bookmarkEnd w:id="149"/>
      <w:bookmarkEnd w:id="150"/>
    </w:p>
    <w:p w:rsidR="005C664D" w:rsidRPr="003F3B94" w:rsidRDefault="005C664D" w:rsidP="00A1493A">
      <w:pPr>
        <w:pStyle w:val="a0"/>
        <w:rPr>
          <w:rFonts w:hint="cs"/>
          <w:rtl/>
          <w:lang w:bidi="ar-SY"/>
        </w:rPr>
      </w:pPr>
      <w:r w:rsidRPr="003F3B94">
        <w:rPr>
          <w:rFonts w:ascii="Abo-thar" w:hAnsi="Abo-thar" w:hint="cs"/>
          <w:sz w:val="28"/>
          <w:rtl/>
          <w:lang w:bidi="ar-SY"/>
        </w:rPr>
        <w:t>اتضحت لأهل التحقيق وطلاب الحقِّ</w:t>
      </w:r>
      <w:r w:rsidR="00217AB4" w:rsidRPr="003F3B94">
        <w:rPr>
          <w:rFonts w:ascii="Abo-thar" w:hAnsi="Abo-thar" w:hint="cs"/>
          <w:sz w:val="28"/>
          <w:rtl/>
          <w:lang w:bidi="ar-SY"/>
        </w:rPr>
        <w:t>،</w:t>
      </w:r>
      <w:r w:rsidRPr="003F3B94">
        <w:rPr>
          <w:rFonts w:ascii="Abo-thar" w:hAnsi="Abo-thar" w:hint="cs"/>
          <w:sz w:val="28"/>
          <w:rtl/>
          <w:lang w:bidi="ar-SY"/>
        </w:rPr>
        <w:t xml:space="preserve"> مما سبق بيانه</w:t>
      </w:r>
      <w:r w:rsidR="00217AB4" w:rsidRPr="003F3B94">
        <w:rPr>
          <w:rFonts w:ascii="Abo-thar" w:hAnsi="Abo-thar" w:hint="cs"/>
          <w:sz w:val="28"/>
          <w:rtl/>
          <w:lang w:bidi="ar-SY"/>
        </w:rPr>
        <w:t>،</w:t>
      </w:r>
      <w:r w:rsidRPr="003F3B94">
        <w:rPr>
          <w:rFonts w:ascii="Abo-thar" w:hAnsi="Abo-thar" w:hint="cs"/>
          <w:sz w:val="28"/>
          <w:rtl/>
          <w:lang w:bidi="ar-SY"/>
        </w:rPr>
        <w:t xml:space="preserve"> حقيقة قضيَّة </w:t>
      </w:r>
      <w:r w:rsidRPr="003F3B94">
        <w:rPr>
          <w:rFonts w:ascii="Abo-thar" w:hAnsi="Abo-thar"/>
          <w:sz w:val="28"/>
          <w:rtl/>
          <w:lang w:bidi="ar-SY"/>
        </w:rPr>
        <w:t>«</w:t>
      </w:r>
      <w:r w:rsidRPr="003F3B94">
        <w:rPr>
          <w:rFonts w:ascii="Abo-thar" w:hAnsi="Abo-thar" w:hint="cs"/>
          <w:sz w:val="28"/>
          <w:rtl/>
          <w:lang w:bidi="ar-SY"/>
        </w:rPr>
        <w:t>الخُمُس</w:t>
      </w:r>
      <w:r w:rsidRPr="003F3B94">
        <w:rPr>
          <w:rFonts w:ascii="Abo-thar" w:hAnsi="Abo-thar"/>
          <w:sz w:val="28"/>
          <w:rtl/>
          <w:lang w:bidi="ar-SY"/>
        </w:rPr>
        <w:t>»</w:t>
      </w:r>
      <w:r w:rsidR="00217AB4" w:rsidRPr="003F3B94">
        <w:rPr>
          <w:rFonts w:ascii="Abo-thar" w:hAnsi="Abo-thar" w:hint="cs"/>
          <w:sz w:val="28"/>
          <w:rtl/>
          <w:lang w:bidi="ar-SY"/>
        </w:rPr>
        <w:t>.</w:t>
      </w:r>
      <w:r w:rsidRPr="003F3B94">
        <w:rPr>
          <w:rFonts w:ascii="Abo-thar" w:hAnsi="Abo-thar" w:hint="cs"/>
          <w:sz w:val="28"/>
          <w:rtl/>
          <w:lang w:bidi="ar-SY"/>
        </w:rPr>
        <w:t xml:space="preserve"> فأصل الخمس في بداية الأمر كان ذلك الخمس الذي يؤخذ من غنائم دار الحرب ويوزَّع على ذي القربى واليتامى والمساكين وأبناء السبيل</w:t>
      </w:r>
      <w:r w:rsidR="00217AB4" w:rsidRPr="003F3B94">
        <w:rPr>
          <w:rFonts w:ascii="Abo-thar" w:hAnsi="Abo-thar" w:hint="cs"/>
          <w:sz w:val="28"/>
          <w:rtl/>
          <w:lang w:bidi="ar-SY"/>
        </w:rPr>
        <w:t>،</w:t>
      </w:r>
      <w:r w:rsidRPr="003F3B94">
        <w:rPr>
          <w:rFonts w:ascii="Abo-thar" w:hAnsi="Abo-thar" w:hint="cs"/>
          <w:sz w:val="28"/>
          <w:rtl/>
          <w:lang w:bidi="ar-SY"/>
        </w:rPr>
        <w:t xml:space="preserve"> وكان لفقراء بني هشام سهم منه أيضاً تحت إشراف النبيّ</w:t>
      </w:r>
      <w:r w:rsidR="00147857" w:rsidRPr="003F3B94">
        <w:rPr>
          <w:rFonts w:ascii="Abo-thar" w:hAnsi="Abo-thar" w:hint="cs"/>
          <w:sz w:val="28"/>
          <w:rtl/>
          <w:lang w:bidi="ar-SY"/>
        </w:rPr>
        <w:t xml:space="preserve"> </w:t>
      </w:r>
      <w:r w:rsidR="003C7AEB" w:rsidRPr="003C7AEB">
        <w:rPr>
          <w:rFonts w:ascii="Abo-thar" w:hAnsi="Abo-thar" w:cs="CTraditional Arabic"/>
          <w:sz w:val="28"/>
          <w:rtl/>
          <w:lang w:bidi="ar-SY"/>
        </w:rPr>
        <w:t>ص</w:t>
      </w:r>
      <w:r w:rsidR="00147857" w:rsidRPr="003F3B94">
        <w:rPr>
          <w:rFonts w:ascii="Abo-thar" w:hAnsi="Abo-thar"/>
          <w:sz w:val="28"/>
          <w:rtl/>
          <w:lang w:bidi="ar-SY"/>
        </w:rPr>
        <w:t xml:space="preserve"> </w:t>
      </w:r>
      <w:r w:rsidRPr="003F3B94">
        <w:rPr>
          <w:rFonts w:ascii="Abo-thar" w:hAnsi="Abo-thar" w:hint="cs"/>
          <w:sz w:val="28"/>
          <w:rtl/>
          <w:lang w:bidi="ar-SY"/>
        </w:rPr>
        <w:t>يعطي منه من شاء منهم</w:t>
      </w:r>
      <w:r w:rsidR="00217AB4" w:rsidRPr="003F3B94">
        <w:rPr>
          <w:rFonts w:ascii="Abo-thar" w:hAnsi="Abo-thar" w:hint="cs"/>
          <w:sz w:val="28"/>
          <w:rtl/>
          <w:lang w:bidi="ar-SY"/>
        </w:rPr>
        <w:t>.</w:t>
      </w:r>
      <w:r w:rsidRPr="003F3B94">
        <w:rPr>
          <w:rFonts w:ascii="Abo-thar" w:hAnsi="Abo-thar" w:hint="cs"/>
          <w:sz w:val="28"/>
          <w:rtl/>
          <w:lang w:bidi="ar-SY"/>
        </w:rPr>
        <w:t xml:space="preserve"> ثم تطور الأمر تدريجياً حيث أدخلوا فيه بعض الأموال التي فيها الزكاة مثل المعادن والركاز </w:t>
      </w:r>
      <w:r w:rsidR="00217AB4" w:rsidRPr="003F3B94">
        <w:rPr>
          <w:rFonts w:ascii="Abo-thar" w:hAnsi="Abo-thar" w:hint="cs"/>
          <w:sz w:val="28"/>
          <w:rtl/>
          <w:lang w:bidi="ar-SY"/>
        </w:rPr>
        <w:t>(</w:t>
      </w:r>
      <w:r w:rsidRPr="003F3B94">
        <w:rPr>
          <w:rFonts w:ascii="Abo-thar" w:hAnsi="Abo-thar" w:hint="cs"/>
          <w:sz w:val="28"/>
          <w:rtl/>
          <w:lang w:bidi="ar-SY"/>
        </w:rPr>
        <w:t>الكنوز المدفونة</w:t>
      </w:r>
      <w:r w:rsidR="00217AB4" w:rsidRPr="003F3B94">
        <w:rPr>
          <w:rFonts w:ascii="Abo-thar" w:hAnsi="Abo-thar" w:hint="cs"/>
          <w:sz w:val="28"/>
          <w:rtl/>
          <w:lang w:bidi="ar-SY"/>
        </w:rPr>
        <w:t>)</w:t>
      </w:r>
      <w:r w:rsidR="00147857" w:rsidRPr="003F3B94">
        <w:rPr>
          <w:rFonts w:ascii="Abo-thar" w:hAnsi="Abo-thar" w:hint="cs"/>
          <w:sz w:val="28"/>
          <w:rtl/>
          <w:lang w:bidi="ar-SY"/>
        </w:rPr>
        <w:t xml:space="preserve"> و</w:t>
      </w:r>
      <w:r w:rsidRPr="003F3B94">
        <w:rPr>
          <w:rFonts w:ascii="Abo-thar" w:hAnsi="Abo-thar" w:hint="cs"/>
          <w:sz w:val="28"/>
          <w:rtl/>
          <w:lang w:bidi="ar-SY"/>
        </w:rPr>
        <w:t>نتائج الغوص</w:t>
      </w:r>
      <w:r w:rsidR="00217AB4" w:rsidRPr="003F3B94">
        <w:rPr>
          <w:rFonts w:ascii="Abo-thar" w:hAnsi="Abo-thar" w:hint="cs"/>
          <w:sz w:val="28"/>
          <w:rtl/>
          <w:lang w:bidi="ar-SY"/>
        </w:rPr>
        <w:t>،</w:t>
      </w:r>
      <w:r w:rsidRPr="003F3B94">
        <w:rPr>
          <w:rFonts w:ascii="Abo-thar" w:hAnsi="Abo-thar" w:hint="cs"/>
          <w:sz w:val="28"/>
          <w:rtl/>
          <w:lang w:bidi="ar-SY"/>
        </w:rPr>
        <w:t xml:space="preserve"> ثم بعد ذلك تم تعميمه إلى جميع الأموال والأرباح التي يكسبها الإنسان</w:t>
      </w:r>
      <w:r w:rsidR="00217AB4" w:rsidRPr="003F3B94">
        <w:rPr>
          <w:rFonts w:ascii="Abo-thar" w:hAnsi="Abo-thar" w:hint="cs"/>
          <w:sz w:val="28"/>
          <w:rtl/>
          <w:lang w:bidi="ar-SY"/>
        </w:rPr>
        <w:t>.</w:t>
      </w:r>
      <w:r w:rsidRPr="003F3B94">
        <w:rPr>
          <w:rFonts w:ascii="Abo-thar" w:hAnsi="Abo-thar" w:hint="cs"/>
          <w:sz w:val="28"/>
          <w:rtl/>
          <w:lang w:bidi="ar-SY"/>
        </w:rPr>
        <w:t xml:space="preserve"> ولكن ورغم كل ذلك فقد تبين لنا من الأحاديث التي أوردناها أن الأئمة</w:t>
      </w:r>
      <w:r w:rsidR="00147857" w:rsidRPr="003F3B94">
        <w:rPr>
          <w:rFonts w:ascii="Abo-thar" w:hAnsi="Abo-thar" w:hint="cs"/>
          <w:sz w:val="28"/>
          <w:rtl/>
          <w:lang w:bidi="ar-SY"/>
        </w:rPr>
        <w:t xml:space="preserve"> </w:t>
      </w:r>
      <w:r w:rsidR="00963EFD" w:rsidRPr="00963EFD">
        <w:rPr>
          <w:rFonts w:ascii="Abo-thar" w:hAnsi="Abo-thar" w:cs="CTraditional Arabic"/>
          <w:sz w:val="28"/>
          <w:rtl/>
          <w:lang w:bidi="ar-SY"/>
        </w:rPr>
        <w:t>‡</w:t>
      </w:r>
      <w:r w:rsidR="00147857" w:rsidRPr="003F3B94">
        <w:rPr>
          <w:rFonts w:ascii="Abo-thar" w:hAnsi="Abo-thar"/>
          <w:sz w:val="28"/>
          <w:rtl/>
          <w:lang w:bidi="ar-SY"/>
        </w:rPr>
        <w:t xml:space="preserve"> </w:t>
      </w:r>
      <w:r w:rsidRPr="003F3B94">
        <w:rPr>
          <w:rFonts w:ascii="Abo-thar" w:hAnsi="Abo-thar" w:hint="cs"/>
          <w:sz w:val="28"/>
          <w:rtl/>
          <w:lang w:bidi="ar-SY"/>
        </w:rPr>
        <w:t>أباحوا في النهاية كل ذلك الخمس لشيعتهم وحللوه لهم</w:t>
      </w:r>
      <w:r w:rsidR="00217AB4" w:rsidRPr="003F3B94">
        <w:rPr>
          <w:rFonts w:ascii="Abo-thar" w:hAnsi="Abo-thar" w:hint="cs"/>
          <w:sz w:val="28"/>
          <w:rtl/>
          <w:lang w:bidi="ar-SY"/>
        </w:rPr>
        <w:t>.</w:t>
      </w:r>
      <w:r w:rsidRPr="003F3B94">
        <w:rPr>
          <w:rFonts w:ascii="Abo-thar" w:hAnsi="Abo-thar" w:hint="cs"/>
          <w:sz w:val="28"/>
          <w:rtl/>
          <w:lang w:bidi="ar-SY"/>
        </w:rPr>
        <w:t xml:space="preserve"> ولكن أولئك الذين هم أكثر كاثوليكيةً من البابا والذين ينطبق عليهم المثال</w:t>
      </w:r>
      <w:r w:rsidR="00217AB4" w:rsidRPr="003F3B94">
        <w:rPr>
          <w:rFonts w:ascii="Abo-thar" w:hAnsi="Abo-thar" w:hint="cs"/>
          <w:sz w:val="28"/>
          <w:rtl/>
          <w:lang w:bidi="ar-SY"/>
        </w:rPr>
        <w:t>:</w:t>
      </w:r>
      <w:r w:rsidRPr="003F3B94">
        <w:rPr>
          <w:rFonts w:ascii="Abo-thar" w:hAnsi="Abo-thar" w:hint="cs"/>
          <w:sz w:val="28"/>
          <w:rtl/>
          <w:lang w:bidi="ar-SY"/>
        </w:rPr>
        <w:t xml:space="preserve"> المَلِكُ وهبَ وسامحَ ولكن الشيخ علي خان لا يُسامِحُ</w:t>
      </w:r>
      <w:r w:rsidR="00217AB4" w:rsidRPr="003F3B94">
        <w:rPr>
          <w:rFonts w:ascii="Abo-thar" w:hAnsi="Abo-thar" w:hint="cs"/>
          <w:sz w:val="28"/>
          <w:rtl/>
          <w:lang w:bidi="ar-SY"/>
        </w:rPr>
        <w:t>!</w:t>
      </w:r>
      <w:r w:rsidR="00147857" w:rsidRPr="003F3B94">
        <w:rPr>
          <w:rFonts w:ascii="Abo-thar" w:hAnsi="Abo-thar" w:hint="cs"/>
          <w:sz w:val="28"/>
          <w:rtl/>
          <w:lang w:bidi="ar-SY"/>
        </w:rPr>
        <w:t xml:space="preserve"> </w:t>
      </w:r>
      <w:r w:rsidRPr="003F3B94">
        <w:rPr>
          <w:rFonts w:ascii="Abo-thar" w:hAnsi="Abo-thar" w:hint="cs"/>
          <w:sz w:val="28"/>
          <w:rtl/>
          <w:lang w:bidi="ar-SY"/>
        </w:rPr>
        <w:t>بقوا مصرين على وجوب أداء الخمس من جميع الأشياء المذكورة ومن غنائم الحرب كذلك</w:t>
      </w:r>
      <w:r w:rsidR="00217AB4" w:rsidRPr="003F3B94">
        <w:rPr>
          <w:rFonts w:ascii="Abo-thar" w:hAnsi="Abo-thar" w:hint="cs"/>
          <w:sz w:val="28"/>
          <w:rtl/>
          <w:lang w:bidi="ar-SY"/>
        </w:rPr>
        <w:t>.</w:t>
      </w:r>
      <w:r w:rsidR="00147857" w:rsidRPr="003F3B94">
        <w:rPr>
          <w:rFonts w:ascii="Abo-thar" w:hAnsi="Abo-thar" w:hint="cs"/>
          <w:sz w:val="28"/>
          <w:rtl/>
          <w:lang w:bidi="ar-SY"/>
        </w:rPr>
        <w:t xml:space="preserve"> </w:t>
      </w:r>
      <w:r w:rsidRPr="003F3B94">
        <w:rPr>
          <w:rFonts w:ascii="Abo-thar" w:hAnsi="Abo-thar" w:hint="cs"/>
          <w:sz w:val="28"/>
          <w:rtl/>
          <w:lang w:bidi="ar-SY"/>
        </w:rPr>
        <w:t>لكنهم لما واجهوا إشكالاً بشأن خمس أرباح المكاسب الذي نصت الروايات على اختصاصه بالإمام</w:t>
      </w:r>
      <w:r w:rsidR="00217AB4" w:rsidRPr="003F3B94">
        <w:rPr>
          <w:rFonts w:ascii="Abo-thar" w:hAnsi="Abo-thar" w:hint="cs"/>
          <w:sz w:val="28"/>
          <w:rtl/>
          <w:lang w:bidi="ar-SY"/>
        </w:rPr>
        <w:t>،</w:t>
      </w:r>
      <w:r w:rsidRPr="003F3B94">
        <w:rPr>
          <w:rFonts w:ascii="Abo-thar" w:hAnsi="Abo-thar" w:hint="cs"/>
          <w:sz w:val="28"/>
          <w:rtl/>
          <w:lang w:bidi="ar-SY"/>
        </w:rPr>
        <w:t xml:space="preserve"> وهو أن الإمام الآن غير موجود ولا سبيل للوصول إليه لإعطائه هذا الخمس</w:t>
      </w:r>
      <w:r w:rsidR="00217AB4" w:rsidRPr="003F3B94">
        <w:rPr>
          <w:rFonts w:ascii="Abo-thar" w:hAnsi="Abo-thar" w:hint="cs"/>
          <w:sz w:val="28"/>
          <w:rtl/>
          <w:lang w:bidi="ar-SY"/>
        </w:rPr>
        <w:t>،</w:t>
      </w:r>
      <w:r w:rsidRPr="003F3B94">
        <w:rPr>
          <w:rFonts w:ascii="Abo-thar" w:hAnsi="Abo-thar" w:hint="cs"/>
          <w:sz w:val="28"/>
          <w:rtl/>
          <w:lang w:bidi="ar-SY"/>
        </w:rPr>
        <w:t xml:space="preserve"> وقع بينهم الاختلاف وتفرقت آراؤهم في ذلك</w:t>
      </w:r>
      <w:r w:rsidR="00217AB4" w:rsidRPr="003F3B94">
        <w:rPr>
          <w:rFonts w:ascii="Abo-thar" w:hAnsi="Abo-thar" w:hint="cs"/>
          <w:sz w:val="28"/>
          <w:rtl/>
          <w:lang w:bidi="ar-SY"/>
        </w:rPr>
        <w:t>.</w:t>
      </w:r>
    </w:p>
    <w:p w:rsidR="005C664D" w:rsidRPr="003F3B94" w:rsidRDefault="005C664D" w:rsidP="00A1493A">
      <w:pPr>
        <w:pStyle w:val="a0"/>
        <w:spacing w:after="0"/>
        <w:rPr>
          <w:rFonts w:hint="cs"/>
          <w:rtl/>
          <w:lang w:bidi="ar-SY"/>
        </w:rPr>
      </w:pPr>
      <w:r w:rsidRPr="003F3B94">
        <w:rPr>
          <w:rFonts w:ascii="Abo-thar" w:hAnsi="Abo-thar" w:hint="cs"/>
          <w:sz w:val="28"/>
          <w:rtl/>
          <w:lang w:bidi="ar-SY"/>
        </w:rPr>
        <w:t>فرأى بعضهم أن إعطاء الخمس لم يَعُدْ واجباً أصلاً</w:t>
      </w:r>
      <w:r w:rsidR="00217AB4" w:rsidRPr="003F3B94">
        <w:rPr>
          <w:rFonts w:ascii="Abo-thar" w:hAnsi="Abo-thar" w:hint="cs"/>
          <w:sz w:val="28"/>
          <w:rtl/>
          <w:lang w:bidi="ar-SY"/>
        </w:rPr>
        <w:t>:</w:t>
      </w:r>
    </w:p>
    <w:p w:rsidR="005C664D" w:rsidRPr="00A1493A" w:rsidRDefault="005C664D" w:rsidP="00A1493A">
      <w:pPr>
        <w:pStyle w:val="a0"/>
        <w:rPr>
          <w:rFonts w:hint="cs"/>
          <w:spacing w:val="-2"/>
          <w:rtl/>
          <w:lang w:bidi="ar-SY"/>
        </w:rPr>
      </w:pPr>
      <w:r w:rsidRPr="00A1493A">
        <w:rPr>
          <w:rFonts w:ascii="Abo-thar" w:hAnsi="Abo-thar" w:hint="cs"/>
          <w:spacing w:val="-2"/>
          <w:sz w:val="28"/>
          <w:rtl/>
          <w:lang w:bidi="ar-SY"/>
        </w:rPr>
        <w:t>1</w:t>
      </w:r>
      <w:r w:rsidR="00217AB4" w:rsidRPr="00A1493A">
        <w:rPr>
          <w:rFonts w:ascii="Abo-thar" w:hAnsi="Abo-thar" w:hint="cs"/>
          <w:spacing w:val="-2"/>
          <w:sz w:val="28"/>
          <w:rtl/>
          <w:lang w:bidi="ar-SY"/>
        </w:rPr>
        <w:t>-</w:t>
      </w:r>
      <w:r w:rsidRPr="00A1493A">
        <w:rPr>
          <w:rFonts w:ascii="Abo-thar" w:hAnsi="Abo-thar" w:hint="cs"/>
          <w:spacing w:val="-2"/>
          <w:sz w:val="28"/>
          <w:rtl/>
          <w:lang w:bidi="ar-SY"/>
        </w:rPr>
        <w:t xml:space="preserve"> جاء في كتاب «تجديد الدَّوَارِس» الذي يعتبر من أحدث الكتب الفقهية التي دونت في زماننا النص التالي</w:t>
      </w:r>
      <w:r w:rsidR="00217AB4" w:rsidRPr="00A1493A">
        <w:rPr>
          <w:rFonts w:ascii="Abo-thar" w:hAnsi="Abo-thar" w:hint="cs"/>
          <w:spacing w:val="-2"/>
          <w:sz w:val="28"/>
          <w:rtl/>
          <w:lang w:bidi="ar-SY"/>
        </w:rPr>
        <w:t>:</w:t>
      </w:r>
      <w:r w:rsidRPr="00A1493A">
        <w:rPr>
          <w:rFonts w:ascii="Abo-thar" w:hAnsi="Abo-thar" w:hint="cs"/>
          <w:spacing w:val="-2"/>
          <w:sz w:val="28"/>
          <w:rtl/>
          <w:lang w:bidi="ar-SY"/>
        </w:rPr>
        <w:t xml:space="preserve"> </w:t>
      </w:r>
      <w:r w:rsidR="00EF2588" w:rsidRPr="00A1493A">
        <w:rPr>
          <w:rFonts w:ascii="Abo-thar" w:hAnsi="Abo-thar" w:hint="cs"/>
          <w:spacing w:val="-2"/>
          <w:sz w:val="28"/>
          <w:rtl/>
          <w:lang w:bidi="ar-SY"/>
        </w:rPr>
        <w:t>«</w:t>
      </w:r>
      <w:r w:rsidRPr="00A1493A">
        <w:rPr>
          <w:rFonts w:ascii="Abo-thar" w:hAnsi="Abo-thar" w:hint="cs"/>
          <w:spacing w:val="-2"/>
          <w:sz w:val="28"/>
          <w:rtl/>
          <w:lang w:bidi="ar-SY"/>
        </w:rPr>
        <w:t xml:space="preserve">اختلف الأصحاب </w:t>
      </w:r>
      <w:r w:rsidR="00217AB4" w:rsidRPr="00A1493A">
        <w:rPr>
          <w:rFonts w:ascii="Abo-thar" w:hAnsi="Abo-thar" w:hint="cs"/>
          <w:spacing w:val="-2"/>
          <w:sz w:val="28"/>
          <w:rtl/>
          <w:lang w:bidi="ar-SY"/>
        </w:rPr>
        <w:t>(</w:t>
      </w:r>
      <w:r w:rsidRPr="00A1493A">
        <w:rPr>
          <w:rFonts w:ascii="Abo-thar" w:hAnsi="Abo-thar" w:hint="cs"/>
          <w:spacing w:val="-2"/>
          <w:sz w:val="28"/>
          <w:rtl/>
          <w:lang w:bidi="ar-SY"/>
        </w:rPr>
        <w:t>يعني فقهاء الشيعة الإمامية</w:t>
      </w:r>
      <w:r w:rsidR="00217AB4" w:rsidRPr="00A1493A">
        <w:rPr>
          <w:rFonts w:ascii="Abo-thar" w:hAnsi="Abo-thar" w:hint="cs"/>
          <w:spacing w:val="-2"/>
          <w:sz w:val="28"/>
          <w:rtl/>
          <w:lang w:bidi="ar-SY"/>
        </w:rPr>
        <w:t>)</w:t>
      </w:r>
      <w:r w:rsidRPr="00A1493A">
        <w:rPr>
          <w:rFonts w:ascii="Abo-thar" w:hAnsi="Abo-thar" w:hint="cs"/>
          <w:spacing w:val="-2"/>
          <w:sz w:val="28"/>
          <w:rtl/>
          <w:lang w:bidi="ar-SY"/>
        </w:rPr>
        <w:t xml:space="preserve"> في حكم الأخماس زمن الغيبة وانقطاع السفارة إلى عدة أقوال</w:t>
      </w:r>
      <w:r w:rsidR="00217AB4" w:rsidRPr="00A1493A">
        <w:rPr>
          <w:rFonts w:ascii="Abo-thar" w:hAnsi="Abo-thar" w:hint="cs"/>
          <w:spacing w:val="-2"/>
          <w:sz w:val="28"/>
          <w:rtl/>
          <w:lang w:bidi="ar-SY"/>
        </w:rPr>
        <w:t>،</w:t>
      </w:r>
      <w:r w:rsidRPr="00A1493A">
        <w:rPr>
          <w:rFonts w:ascii="Abo-thar" w:hAnsi="Abo-thar" w:hint="cs"/>
          <w:spacing w:val="-2"/>
          <w:sz w:val="28"/>
          <w:rtl/>
          <w:lang w:bidi="ar-SY"/>
        </w:rPr>
        <w:t xml:space="preserve"> منها أن </w:t>
      </w:r>
      <w:r w:rsidRPr="00A1493A">
        <w:rPr>
          <w:rFonts w:ascii="Lotus Linotype" w:hAnsi="Lotus Linotype"/>
          <w:spacing w:val="-2"/>
          <w:sz w:val="28"/>
          <w:rtl/>
          <w:lang w:bidi="ar-SY"/>
        </w:rPr>
        <w:t>«</w:t>
      </w:r>
      <w:r w:rsidRPr="00A1493A">
        <w:rPr>
          <w:rFonts w:ascii="Lotus Linotype" w:hAnsi="Lotus Linotype" w:hint="cs"/>
          <w:spacing w:val="-2"/>
          <w:sz w:val="28"/>
          <w:rtl/>
          <w:lang w:bidi="ar-SY"/>
        </w:rPr>
        <w:t>الخُمُس</w:t>
      </w:r>
      <w:r w:rsidRPr="00A1493A">
        <w:rPr>
          <w:rFonts w:ascii="Lotus Linotype" w:hAnsi="Lotus Linotype"/>
          <w:spacing w:val="-2"/>
          <w:sz w:val="28"/>
          <w:rtl/>
          <w:lang w:bidi="ar-SY"/>
        </w:rPr>
        <w:t>»</w:t>
      </w:r>
      <w:r w:rsidRPr="00A1493A">
        <w:rPr>
          <w:rFonts w:ascii="Lotus Linotype" w:hAnsi="Lotus Linotype" w:hint="cs"/>
          <w:spacing w:val="-2"/>
          <w:sz w:val="28"/>
          <w:rtl/>
          <w:lang w:bidi="ar-SY"/>
        </w:rPr>
        <w:t xml:space="preserve"> </w:t>
      </w:r>
      <w:r w:rsidRPr="00A1493A">
        <w:rPr>
          <w:rFonts w:ascii="Abo-thar" w:hAnsi="Abo-thar" w:hint="cs"/>
          <w:spacing w:val="-2"/>
          <w:sz w:val="28"/>
          <w:rtl/>
          <w:lang w:bidi="ar-SY"/>
        </w:rPr>
        <w:t>لا يتعلق بشيءٍ من الأموال التي بأيدي الشيعة</w:t>
      </w:r>
      <w:r w:rsidR="00217AB4" w:rsidRPr="00A1493A">
        <w:rPr>
          <w:rFonts w:ascii="Abo-thar" w:hAnsi="Abo-thar" w:hint="cs"/>
          <w:spacing w:val="-2"/>
          <w:sz w:val="28"/>
          <w:rtl/>
          <w:lang w:bidi="ar-SY"/>
        </w:rPr>
        <w:t>.</w:t>
      </w:r>
      <w:r w:rsidRPr="00A1493A">
        <w:rPr>
          <w:rFonts w:ascii="Abo-thar" w:hAnsi="Abo-thar" w:hint="cs"/>
          <w:spacing w:val="-2"/>
          <w:sz w:val="28"/>
          <w:rtl/>
          <w:lang w:bidi="ar-SY"/>
        </w:rPr>
        <w:t xml:space="preserve"> وقد نسب كلٌّ من الشيخ المفيد في </w:t>
      </w:r>
      <w:r w:rsidRPr="00A1493A">
        <w:rPr>
          <w:rFonts w:ascii="Abo-thar" w:hAnsi="Abo-thar"/>
          <w:spacing w:val="-2"/>
          <w:sz w:val="28"/>
          <w:rtl/>
          <w:lang w:bidi="ar-SY"/>
        </w:rPr>
        <w:t>«</w:t>
      </w:r>
      <w:r w:rsidRPr="00A1493A">
        <w:rPr>
          <w:rFonts w:ascii="Abo-thar" w:hAnsi="Abo-thar" w:hint="cs"/>
          <w:spacing w:val="-2"/>
          <w:sz w:val="28"/>
          <w:rtl/>
          <w:lang w:bidi="ar-SY"/>
        </w:rPr>
        <w:t>المقنعة</w:t>
      </w:r>
      <w:r w:rsidRPr="00A1493A">
        <w:rPr>
          <w:rFonts w:ascii="Abo-thar" w:hAnsi="Abo-thar"/>
          <w:spacing w:val="-2"/>
          <w:sz w:val="28"/>
          <w:rtl/>
          <w:lang w:bidi="ar-SY"/>
        </w:rPr>
        <w:t>»</w:t>
      </w:r>
      <w:r w:rsidRPr="00A1493A">
        <w:rPr>
          <w:rFonts w:ascii="Abo-thar" w:hAnsi="Abo-thar" w:hint="cs"/>
          <w:spacing w:val="-2"/>
          <w:sz w:val="28"/>
          <w:rtl/>
          <w:lang w:bidi="ar-SY"/>
        </w:rPr>
        <w:t xml:space="preserve"> والشيخ الطوسي في «النهاية» وفي </w:t>
      </w:r>
      <w:r w:rsidRPr="00A1493A">
        <w:rPr>
          <w:rFonts w:ascii="Abo-thar" w:hAnsi="Abo-thar"/>
          <w:spacing w:val="-2"/>
          <w:sz w:val="28"/>
          <w:rtl/>
          <w:lang w:bidi="ar-SY"/>
        </w:rPr>
        <w:t>«</w:t>
      </w:r>
      <w:r w:rsidRPr="00A1493A">
        <w:rPr>
          <w:rFonts w:ascii="Abo-thar" w:hAnsi="Abo-thar" w:hint="cs"/>
          <w:spacing w:val="-2"/>
          <w:sz w:val="28"/>
          <w:rtl/>
          <w:lang w:bidi="ar-SY"/>
        </w:rPr>
        <w:t>المبسوط</w:t>
      </w:r>
      <w:r w:rsidRPr="00A1493A">
        <w:rPr>
          <w:rFonts w:ascii="Abo-thar" w:hAnsi="Abo-thar"/>
          <w:spacing w:val="-2"/>
          <w:sz w:val="28"/>
          <w:rtl/>
          <w:lang w:bidi="ar-SY"/>
        </w:rPr>
        <w:t>»</w:t>
      </w:r>
      <w:r w:rsidRPr="00A1493A">
        <w:rPr>
          <w:rFonts w:ascii="Abo-thar" w:hAnsi="Abo-thar" w:hint="cs"/>
          <w:spacing w:val="-2"/>
          <w:sz w:val="28"/>
          <w:rtl/>
          <w:lang w:bidi="ar-SY"/>
        </w:rPr>
        <w:t xml:space="preserve"> هذا القولَ إلى بعض علماء الشيعة</w:t>
      </w:r>
      <w:r w:rsidR="00217AB4" w:rsidRPr="00A1493A">
        <w:rPr>
          <w:rFonts w:ascii="Abo-thar" w:hAnsi="Abo-thar" w:hint="cs"/>
          <w:spacing w:val="-2"/>
          <w:sz w:val="28"/>
          <w:rtl/>
          <w:lang w:bidi="ar-SY"/>
        </w:rPr>
        <w:t>،</w:t>
      </w:r>
      <w:r w:rsidRPr="00A1493A">
        <w:rPr>
          <w:rFonts w:ascii="Abo-thar" w:hAnsi="Abo-thar" w:hint="cs"/>
          <w:spacing w:val="-2"/>
          <w:sz w:val="28"/>
          <w:rtl/>
          <w:lang w:bidi="ar-SY"/>
        </w:rPr>
        <w:t xml:space="preserve"> والظاهر من كلام «الديلمي»</w:t>
      </w:r>
      <w:r w:rsidR="00217AB4" w:rsidRPr="00A1493A">
        <w:rPr>
          <w:rFonts w:cs="Arabic11 BT"/>
          <w:b/>
          <w:spacing w:val="-2"/>
          <w:sz w:val="28"/>
          <w:vertAlign w:val="superscript"/>
          <w:rtl/>
          <w:lang w:bidi="ar-SY"/>
        </w:rPr>
        <w:t>(</w:t>
      </w:r>
      <w:r w:rsidRPr="00A1493A">
        <w:rPr>
          <w:rStyle w:val="FootnoteReference"/>
          <w:rFonts w:cs="Arabic11 BT"/>
          <w:b/>
          <w:spacing w:val="-2"/>
          <w:sz w:val="28"/>
          <w:rtl/>
          <w:lang w:bidi="ar-SY"/>
        </w:rPr>
        <w:footnoteReference w:id="403"/>
      </w:r>
      <w:r w:rsidR="00217AB4" w:rsidRPr="00A1493A">
        <w:rPr>
          <w:rFonts w:cs="Arabic11 BT"/>
          <w:b/>
          <w:spacing w:val="-2"/>
          <w:sz w:val="28"/>
          <w:vertAlign w:val="superscript"/>
          <w:rtl/>
          <w:lang w:bidi="ar-SY"/>
        </w:rPr>
        <w:t>)</w:t>
      </w:r>
      <w:r w:rsidRPr="00A1493A">
        <w:rPr>
          <w:spacing w:val="-2"/>
          <w:sz w:val="28"/>
          <w:rtl/>
          <w:lang w:bidi="ar-SY"/>
        </w:rPr>
        <w:t xml:space="preserve"> </w:t>
      </w:r>
      <w:r w:rsidRPr="00A1493A">
        <w:rPr>
          <w:rFonts w:ascii="Abo-thar" w:hAnsi="Abo-thar" w:hint="cs"/>
          <w:spacing w:val="-2"/>
          <w:sz w:val="28"/>
          <w:rtl/>
          <w:lang w:bidi="ar-SY"/>
        </w:rPr>
        <w:t xml:space="preserve">في </w:t>
      </w:r>
      <w:r w:rsidRPr="00A1493A">
        <w:rPr>
          <w:rFonts w:ascii="Lotus Linotype" w:hAnsi="Lotus Linotype"/>
          <w:spacing w:val="-2"/>
          <w:sz w:val="28"/>
          <w:rtl/>
          <w:lang w:bidi="ar-SY"/>
        </w:rPr>
        <w:t>«</w:t>
      </w:r>
      <w:r w:rsidRPr="00A1493A">
        <w:rPr>
          <w:rFonts w:ascii="Abo-thar" w:hAnsi="Abo-thar" w:hint="cs"/>
          <w:spacing w:val="-2"/>
          <w:sz w:val="28"/>
          <w:rtl/>
          <w:lang w:bidi="ar-SY"/>
        </w:rPr>
        <w:t>المواسم</w:t>
      </w:r>
      <w:r w:rsidRPr="00A1493A">
        <w:rPr>
          <w:rFonts w:ascii="Lotus Linotype" w:hAnsi="Lotus Linotype"/>
          <w:spacing w:val="-2"/>
          <w:sz w:val="28"/>
          <w:rtl/>
          <w:lang w:bidi="ar-SY"/>
        </w:rPr>
        <w:t>»</w:t>
      </w:r>
      <w:r w:rsidRPr="00A1493A">
        <w:rPr>
          <w:rFonts w:ascii="Lotus Linotype" w:hAnsi="Lotus Linotype" w:hint="cs"/>
          <w:spacing w:val="-2"/>
          <w:sz w:val="28"/>
          <w:rtl/>
          <w:lang w:bidi="ar-SY"/>
        </w:rPr>
        <w:t xml:space="preserve"> </w:t>
      </w:r>
      <w:r w:rsidRPr="00A1493A">
        <w:rPr>
          <w:rFonts w:ascii="Abo-thar" w:hAnsi="Abo-thar" w:hint="cs"/>
          <w:spacing w:val="-2"/>
          <w:sz w:val="28"/>
          <w:rtl/>
          <w:lang w:bidi="ar-SY"/>
        </w:rPr>
        <w:t>هو هذا القول</w:t>
      </w:r>
      <w:r w:rsidR="00217AB4" w:rsidRPr="00A1493A">
        <w:rPr>
          <w:rFonts w:ascii="Abo-thar" w:hAnsi="Abo-thar" w:hint="cs"/>
          <w:spacing w:val="-2"/>
          <w:sz w:val="28"/>
          <w:rtl/>
          <w:lang w:bidi="ar-SY"/>
        </w:rPr>
        <w:t>.</w:t>
      </w:r>
      <w:r w:rsidRPr="00A1493A">
        <w:rPr>
          <w:rFonts w:ascii="Abo-thar" w:hAnsi="Abo-thar" w:hint="cs"/>
          <w:spacing w:val="-2"/>
          <w:sz w:val="28"/>
          <w:rtl/>
          <w:lang w:bidi="ar-SY"/>
        </w:rPr>
        <w:t xml:space="preserve"> وقد ذهب المرحوم المحقق السبزواري صاحب </w:t>
      </w:r>
      <w:r w:rsidRPr="00A1493A">
        <w:rPr>
          <w:rFonts w:ascii="Lotus Linotype" w:hAnsi="Lotus Linotype"/>
          <w:spacing w:val="-2"/>
          <w:sz w:val="28"/>
          <w:rtl/>
          <w:lang w:bidi="ar-SY"/>
        </w:rPr>
        <w:t>«</w:t>
      </w:r>
      <w:r w:rsidRPr="00A1493A">
        <w:rPr>
          <w:rFonts w:ascii="Lotus Linotype" w:hAnsi="Lotus Linotype" w:hint="cs"/>
          <w:spacing w:val="-2"/>
          <w:sz w:val="28"/>
          <w:rtl/>
          <w:lang w:bidi="ar-SY"/>
        </w:rPr>
        <w:t>ذخيرة المعاد</w:t>
      </w:r>
      <w:r w:rsidRPr="00A1493A">
        <w:rPr>
          <w:rFonts w:ascii="Lotus Linotype" w:hAnsi="Lotus Linotype"/>
          <w:spacing w:val="-2"/>
          <w:sz w:val="28"/>
          <w:rtl/>
          <w:lang w:bidi="ar-SY"/>
        </w:rPr>
        <w:t>»</w:t>
      </w:r>
      <w:r w:rsidRPr="00A1493A">
        <w:rPr>
          <w:rFonts w:ascii="Lotus Linotype" w:hAnsi="Lotus Linotype" w:hint="cs"/>
          <w:spacing w:val="-2"/>
          <w:sz w:val="28"/>
          <w:rtl/>
          <w:lang w:bidi="ar-SY"/>
        </w:rPr>
        <w:t xml:space="preserve"> </w:t>
      </w:r>
      <w:r w:rsidRPr="00A1493A">
        <w:rPr>
          <w:rFonts w:ascii="Abo-thar" w:hAnsi="Abo-thar" w:hint="cs"/>
          <w:spacing w:val="-2"/>
          <w:sz w:val="28"/>
          <w:rtl/>
          <w:lang w:bidi="ar-SY"/>
        </w:rPr>
        <w:t>أيضاً</w:t>
      </w:r>
      <w:r w:rsidRPr="00A1493A">
        <w:rPr>
          <w:rFonts w:ascii="Lotus Linotype" w:hAnsi="Lotus Linotype" w:hint="cs"/>
          <w:spacing w:val="-2"/>
          <w:sz w:val="28"/>
          <w:rtl/>
          <w:lang w:bidi="ar-SY"/>
        </w:rPr>
        <w:t xml:space="preserve"> إلى هذا القول</w:t>
      </w:r>
      <w:r w:rsidR="00EF2588" w:rsidRPr="00A1493A">
        <w:rPr>
          <w:rFonts w:ascii="Abo-thar" w:hAnsi="Abo-thar" w:hint="cs"/>
          <w:spacing w:val="-2"/>
          <w:sz w:val="28"/>
          <w:rtl/>
          <w:lang w:bidi="ar-SY"/>
        </w:rPr>
        <w:t>»</w:t>
      </w:r>
      <w:r w:rsidR="00F51ADA" w:rsidRPr="00A1493A">
        <w:rPr>
          <w:rFonts w:ascii="Abo-thar" w:hAnsi="Abo-thar" w:cs="Arabic11 BT"/>
          <w:spacing w:val="-2"/>
          <w:sz w:val="28"/>
          <w:vertAlign w:val="superscript"/>
          <w:rtl/>
          <w:lang w:bidi="ar-SY"/>
        </w:rPr>
        <w:t>(</w:t>
      </w:r>
      <w:r w:rsidR="00F51ADA" w:rsidRPr="00A1493A">
        <w:rPr>
          <w:rStyle w:val="FootnoteReference"/>
          <w:rFonts w:ascii="Abo-thar" w:hAnsi="Abo-thar" w:cs="Arabic11 BT"/>
          <w:spacing w:val="-2"/>
          <w:sz w:val="28"/>
          <w:rtl/>
          <w:lang w:bidi="ar-SY"/>
        </w:rPr>
        <w:footnoteReference w:id="404"/>
      </w:r>
      <w:r w:rsidR="00F51ADA" w:rsidRPr="00A1493A">
        <w:rPr>
          <w:rFonts w:ascii="Abo-thar" w:hAnsi="Abo-thar" w:cs="Arabic11 BT"/>
          <w:spacing w:val="-2"/>
          <w:sz w:val="28"/>
          <w:vertAlign w:val="superscript"/>
          <w:rtl/>
          <w:lang w:bidi="ar-SY"/>
        </w:rPr>
        <w:t>)</w:t>
      </w:r>
      <w:r w:rsidR="00217AB4" w:rsidRPr="00A1493A">
        <w:rPr>
          <w:rFonts w:ascii="Abo-thar" w:hAnsi="Abo-thar" w:hint="cs"/>
          <w:spacing w:val="-2"/>
          <w:sz w:val="28"/>
          <w:rtl/>
          <w:lang w:bidi="ar-SY"/>
        </w:rPr>
        <w:t>.</w:t>
      </w:r>
    </w:p>
    <w:p w:rsidR="005C664D" w:rsidRPr="003F3B94" w:rsidRDefault="00217AB4" w:rsidP="00A1493A">
      <w:pPr>
        <w:pStyle w:val="a0"/>
        <w:rPr>
          <w:rFonts w:hint="cs"/>
          <w:rtl/>
          <w:lang w:bidi="fa-IR"/>
        </w:rPr>
      </w:pPr>
      <w:r w:rsidRPr="003F3B94">
        <w:rPr>
          <w:rFonts w:ascii="Abo-thar" w:hAnsi="Abo-thar" w:hint="cs"/>
          <w:sz w:val="28"/>
          <w:rtl/>
          <w:lang w:bidi="ar-SY"/>
        </w:rPr>
        <w:t>(</w:t>
      </w:r>
      <w:r w:rsidR="005C664D" w:rsidRPr="003F3B94">
        <w:rPr>
          <w:rFonts w:ascii="Abo-thar" w:hAnsi="Abo-thar" w:hint="cs"/>
          <w:sz w:val="28"/>
          <w:rtl/>
          <w:lang w:bidi="ar-SY"/>
        </w:rPr>
        <w:t>ولقد ذكرنا آراء علماء الشيعة في هذا الخصوص في الصفحات الماضية</w:t>
      </w:r>
      <w:r w:rsidRPr="003F3B94">
        <w:rPr>
          <w:rFonts w:ascii="Abo-thar" w:hAnsi="Abo-thar" w:hint="cs"/>
          <w:sz w:val="28"/>
          <w:rtl/>
          <w:lang w:bidi="ar-SY"/>
        </w:rPr>
        <w:t>).</w:t>
      </w:r>
    </w:p>
    <w:p w:rsidR="005C664D" w:rsidRPr="003F3B94" w:rsidRDefault="005C664D" w:rsidP="003F3B94">
      <w:pPr>
        <w:pStyle w:val="a0"/>
        <w:rPr>
          <w:rFonts w:hint="cs"/>
          <w:rtl/>
        </w:rPr>
      </w:pPr>
      <w:r w:rsidRPr="003F3B94">
        <w:rPr>
          <w:rFonts w:ascii="Lotus Linotype" w:hAnsi="Lotus Linotype" w:hint="cs"/>
          <w:sz w:val="28"/>
          <w:rtl/>
        </w:rPr>
        <w:t>2</w:t>
      </w:r>
      <w:r w:rsidR="00217AB4" w:rsidRPr="003F3B94">
        <w:rPr>
          <w:rFonts w:ascii="Lotus Linotype" w:hAnsi="Lotus Linotype" w:hint="cs"/>
          <w:sz w:val="28"/>
          <w:rtl/>
        </w:rPr>
        <w:t>-</w:t>
      </w:r>
      <w:r w:rsidRPr="003F3B94">
        <w:rPr>
          <w:rFonts w:ascii="Lotus Linotype" w:hAnsi="Lotus Linotype" w:hint="cs"/>
          <w:sz w:val="28"/>
          <w:rtl/>
        </w:rPr>
        <w:t xml:space="preserve"> وجاء في كتاب </w:t>
      </w:r>
      <w:r w:rsidRPr="003F3B94">
        <w:rPr>
          <w:rFonts w:ascii="Lotus Linotype" w:hAnsi="Lotus Linotype"/>
          <w:sz w:val="28"/>
          <w:rtl/>
        </w:rPr>
        <w:t>«</w:t>
      </w:r>
      <w:r w:rsidRPr="003F3B94">
        <w:rPr>
          <w:rFonts w:ascii="Lotus Linotype" w:hAnsi="Lotus Linotype" w:hint="cs"/>
          <w:sz w:val="28"/>
          <w:rtl/>
        </w:rPr>
        <w:t>مصباح الفقيه</w:t>
      </w:r>
      <w:r w:rsidRPr="003F3B94">
        <w:rPr>
          <w:rFonts w:ascii="Lotus Linotype" w:hAnsi="Lotus Linotype"/>
          <w:sz w:val="28"/>
          <w:rtl/>
        </w:rPr>
        <w:t>»</w:t>
      </w:r>
      <w:r w:rsidRPr="003F3B94">
        <w:rPr>
          <w:rFonts w:ascii="Lotus Linotype" w:hAnsi="Lotus Linotype" w:hint="cs"/>
          <w:sz w:val="28"/>
          <w:rtl/>
        </w:rPr>
        <w:t xml:space="preserve"> للمرحوح الحاج </w:t>
      </w:r>
      <w:r w:rsidRPr="003F3B94">
        <w:rPr>
          <w:rFonts w:ascii="Lotus Linotype" w:hAnsi="Lotus Linotype"/>
          <w:sz w:val="28"/>
          <w:rtl/>
        </w:rPr>
        <w:t>«</w:t>
      </w:r>
      <w:r w:rsidRPr="003F3B94">
        <w:rPr>
          <w:rFonts w:ascii="Lotus Linotype" w:hAnsi="Lotus Linotype" w:hint="cs"/>
          <w:sz w:val="28"/>
          <w:rtl/>
        </w:rPr>
        <w:t>آقا رضا الهمداني</w:t>
      </w:r>
      <w:r w:rsidRPr="003F3B94">
        <w:rPr>
          <w:rFonts w:ascii="Lotus Linotype" w:hAnsi="Lotus Linotype"/>
          <w:sz w:val="28"/>
          <w:rtl/>
        </w:rPr>
        <w:t>»</w:t>
      </w:r>
      <w:r w:rsidRPr="003F3B94">
        <w:rPr>
          <w:rFonts w:ascii="Lotus Linotype" w:hAnsi="Lotus Linotype" w:hint="cs"/>
          <w:sz w:val="28"/>
          <w:rtl/>
        </w:rPr>
        <w:t xml:space="preserve"> ما نصه</w:t>
      </w:r>
      <w:r w:rsidR="00217AB4" w:rsidRPr="003F3B94">
        <w:rPr>
          <w:rFonts w:ascii="Lotus Linotype" w:hAnsi="Lotus Linotype" w:hint="cs"/>
          <w:sz w:val="28"/>
          <w:rtl/>
        </w:rPr>
        <w:t>:</w:t>
      </w:r>
      <w:r w:rsidRPr="003F3B94">
        <w:rPr>
          <w:rFonts w:ascii="Lotus Linotype" w:hAnsi="Lotus Linotype" w:hint="cs"/>
          <w:sz w:val="28"/>
          <w:rtl/>
        </w:rPr>
        <w:t xml:space="preserve"> </w:t>
      </w:r>
      <w:r w:rsidR="00EF2588" w:rsidRPr="003F3B94">
        <w:rPr>
          <w:rFonts w:ascii="Lotus Linotype" w:hAnsi="Lotus Linotype" w:hint="cs"/>
          <w:sz w:val="28"/>
          <w:rtl/>
        </w:rPr>
        <w:t>«</w:t>
      </w:r>
      <w:r w:rsidRPr="003F3B94">
        <w:rPr>
          <w:rFonts w:ascii="Lotus Linotype" w:hAnsi="Lotus Linotype" w:hint="cs"/>
          <w:sz w:val="28"/>
          <w:rtl/>
        </w:rPr>
        <w:t xml:space="preserve">نظير هذا الاستدلال في الضعف </w:t>
      </w:r>
      <w:r w:rsidRPr="003F3B94">
        <w:rPr>
          <w:rFonts w:ascii="Lotus Linotype" w:hAnsi="Lotus Linotype" w:hint="cs"/>
          <w:b/>
          <w:bCs/>
          <w:sz w:val="28"/>
          <w:rtl/>
        </w:rPr>
        <w:t xml:space="preserve">ما عن الذخيرة </w:t>
      </w:r>
      <w:r w:rsidR="00217AB4" w:rsidRPr="003F3B94">
        <w:rPr>
          <w:rFonts w:ascii="Lotus Linotype" w:hAnsi="Lotus Linotype" w:hint="cs"/>
          <w:b/>
          <w:bCs/>
          <w:sz w:val="28"/>
          <w:rtl/>
        </w:rPr>
        <w:t>(</w:t>
      </w:r>
      <w:r w:rsidRPr="003F3B94">
        <w:rPr>
          <w:rFonts w:ascii="Lotus Linotype" w:hAnsi="Lotus Linotype" w:hint="cs"/>
          <w:b/>
          <w:bCs/>
          <w:sz w:val="28"/>
          <w:rtl/>
        </w:rPr>
        <w:t>للمحقق السبزواري</w:t>
      </w:r>
      <w:r w:rsidR="00217AB4" w:rsidRPr="003F3B94">
        <w:rPr>
          <w:rFonts w:ascii="Lotus Linotype" w:hAnsi="Lotus Linotype" w:hint="cs"/>
          <w:b/>
          <w:bCs/>
          <w:sz w:val="28"/>
          <w:rtl/>
        </w:rPr>
        <w:t>)</w:t>
      </w:r>
      <w:r w:rsidRPr="003F3B94">
        <w:rPr>
          <w:rFonts w:ascii="Lotus Linotype" w:hAnsi="Lotus Linotype" w:hint="cs"/>
          <w:b/>
          <w:bCs/>
          <w:sz w:val="28"/>
          <w:rtl/>
        </w:rPr>
        <w:t xml:space="preserve"> من الاستدلال له بالأصل</w:t>
      </w:r>
      <w:r w:rsidR="00217AB4" w:rsidRPr="003F3B94">
        <w:rPr>
          <w:rFonts w:ascii="Lotus Linotype" w:hAnsi="Lotus Linotype" w:hint="cs"/>
          <w:b/>
          <w:bCs/>
          <w:sz w:val="28"/>
          <w:rtl/>
        </w:rPr>
        <w:t>،</w:t>
      </w:r>
      <w:r w:rsidRPr="003F3B94">
        <w:rPr>
          <w:rFonts w:ascii="Lotus Linotype" w:hAnsi="Lotus Linotype" w:hint="cs"/>
          <w:b/>
          <w:bCs/>
          <w:sz w:val="28"/>
          <w:rtl/>
        </w:rPr>
        <w:t xml:space="preserve"> بدعوى أنه لا دليل على ثبوت الخمس في زمن الغيبة لأنه منحصرٌ بالآية والأخبار ولا دلالة لشـيءٍ منهما عليه</w:t>
      </w:r>
      <w:r w:rsidR="00217AB4" w:rsidRPr="003F3B94">
        <w:rPr>
          <w:rFonts w:ascii="Lotus Linotype" w:hAnsi="Lotus Linotype" w:hint="cs"/>
          <w:b/>
          <w:bCs/>
          <w:sz w:val="28"/>
          <w:rtl/>
        </w:rPr>
        <w:t>،</w:t>
      </w:r>
      <w:r w:rsidRPr="003F3B94">
        <w:rPr>
          <w:rFonts w:ascii="Lotus Linotype" w:hAnsi="Lotus Linotype" w:hint="cs"/>
          <w:b/>
          <w:bCs/>
          <w:sz w:val="28"/>
          <w:rtl/>
        </w:rPr>
        <w:t xml:space="preserve"> أما الآية فلاختصاصها بغنائم دار الحرب المختصة بحال الحضور دون الغيبة مع أنها خطاب شفاهي متوجه إلى الحاضرين خاصةً والتع</w:t>
      </w:r>
      <w:r w:rsidR="00021AAB" w:rsidRPr="003F3B94">
        <w:rPr>
          <w:rFonts w:ascii="Lotus Linotype" w:hAnsi="Lotus Linotype" w:hint="cs"/>
          <w:b/>
          <w:bCs/>
          <w:sz w:val="28"/>
          <w:rtl/>
        </w:rPr>
        <w:t>ـ</w:t>
      </w:r>
      <w:r w:rsidRPr="003F3B94">
        <w:rPr>
          <w:rFonts w:ascii="Lotus Linotype" w:hAnsi="Lotus Linotype" w:hint="cs"/>
          <w:b/>
          <w:bCs/>
          <w:sz w:val="28"/>
          <w:rtl/>
        </w:rPr>
        <w:t>دية إلى غيرهم بالإجماع إنما يتم مع التوافق في الشرائط جميعاً وهو ممنوع في محل البحث</w:t>
      </w:r>
      <w:r w:rsidR="00217AB4" w:rsidRPr="003F3B94">
        <w:rPr>
          <w:rFonts w:ascii="Lotus Linotype" w:hAnsi="Lotus Linotype" w:hint="cs"/>
          <w:b/>
          <w:bCs/>
          <w:sz w:val="28"/>
          <w:rtl/>
        </w:rPr>
        <w:t>،</w:t>
      </w:r>
      <w:r w:rsidRPr="003F3B94">
        <w:rPr>
          <w:rFonts w:ascii="Lotus Linotype" w:hAnsi="Lotus Linotype" w:hint="cs"/>
          <w:b/>
          <w:bCs/>
          <w:sz w:val="28"/>
          <w:rtl/>
        </w:rPr>
        <w:t xml:space="preserve"> فلا تنهض حجةٌ في زمان الغيبة</w:t>
      </w:r>
      <w:r w:rsidR="00217AB4" w:rsidRPr="003F3B94">
        <w:rPr>
          <w:rFonts w:ascii="Lotus Linotype" w:hAnsi="Lotus Linotype" w:hint="cs"/>
          <w:sz w:val="28"/>
          <w:rtl/>
        </w:rPr>
        <w:t>...</w:t>
      </w:r>
      <w:r w:rsidR="00EF2588" w:rsidRPr="003F3B94">
        <w:rPr>
          <w:rFonts w:ascii="Lotus Linotype" w:hAnsi="Lotus Linotype" w:hint="cs"/>
          <w:sz w:val="28"/>
          <w:rtl/>
        </w:rPr>
        <w:t>»</w:t>
      </w:r>
      <w:r w:rsidR="00F51ADA" w:rsidRPr="0021507A">
        <w:rPr>
          <w:rFonts w:ascii="Lotus Linotype" w:hAnsi="Lotus Linotype" w:cs="Arabic11 BT"/>
          <w:sz w:val="28"/>
          <w:vertAlign w:val="superscript"/>
          <w:rtl/>
        </w:rPr>
        <w:t>(</w:t>
      </w:r>
      <w:r w:rsidR="00F51ADA" w:rsidRPr="0021507A">
        <w:rPr>
          <w:rStyle w:val="FootnoteReference"/>
          <w:rFonts w:ascii="Lotus Linotype" w:hAnsi="Lotus Linotype" w:cs="Arabic11 BT"/>
          <w:sz w:val="28"/>
          <w:rtl/>
        </w:rPr>
        <w:footnoteReference w:id="405"/>
      </w:r>
      <w:r w:rsidR="00F51ADA" w:rsidRPr="0021507A">
        <w:rPr>
          <w:rFonts w:ascii="Lotus Linotype" w:hAnsi="Lotus Linotype" w:cs="Arabic11 BT"/>
          <w:sz w:val="28"/>
          <w:vertAlign w:val="superscript"/>
          <w:rtl/>
        </w:rPr>
        <w:t>)</w:t>
      </w:r>
      <w:r w:rsidR="00217AB4" w:rsidRPr="003F3B94">
        <w:rPr>
          <w:rFonts w:ascii="Lotus Linotype" w:hAnsi="Lotus Linotype" w:hint="cs"/>
          <w:sz w:val="28"/>
          <w:rtl/>
        </w:rPr>
        <w:t>.</w:t>
      </w:r>
    </w:p>
    <w:p w:rsidR="005C664D" w:rsidRPr="003F3B94" w:rsidRDefault="005C664D" w:rsidP="003F3B94">
      <w:pPr>
        <w:pStyle w:val="a0"/>
        <w:rPr>
          <w:rFonts w:hint="cs"/>
          <w:rtl/>
        </w:rPr>
      </w:pPr>
      <w:r w:rsidRPr="003F3B94">
        <w:rPr>
          <w:rFonts w:ascii="Lotus Linotype" w:hAnsi="Lotus Linotype" w:hint="cs"/>
          <w:sz w:val="28"/>
          <w:rtl/>
        </w:rPr>
        <w:t>وقد نقل المرحوم السبزواري قول الشيخ في النهاية في هذا الباب ثم قال</w:t>
      </w:r>
      <w:r w:rsidR="00217AB4" w:rsidRPr="003F3B94">
        <w:rPr>
          <w:rFonts w:ascii="Lotus Linotype" w:hAnsi="Lotus Linotype" w:hint="cs"/>
          <w:sz w:val="28"/>
          <w:rtl/>
        </w:rPr>
        <w:t>:</w:t>
      </w:r>
    </w:p>
    <w:p w:rsidR="005C664D" w:rsidRPr="003F3B94" w:rsidRDefault="00EF2588" w:rsidP="003F3B94">
      <w:pPr>
        <w:pStyle w:val="a0"/>
        <w:rPr>
          <w:rFonts w:hint="cs"/>
          <w:rtl/>
        </w:rPr>
      </w:pPr>
      <w:r w:rsidRPr="003F3B94">
        <w:rPr>
          <w:rFonts w:ascii="Lotus Linotype" w:hAnsi="Lotus Linotype" w:hint="cs"/>
          <w:sz w:val="28"/>
          <w:rtl/>
        </w:rPr>
        <w:t>«</w:t>
      </w:r>
      <w:r w:rsidR="005C664D" w:rsidRPr="003F3B94">
        <w:rPr>
          <w:rFonts w:ascii="Lotus Linotype" w:hAnsi="Lotus Linotype"/>
          <w:sz w:val="28"/>
          <w:rtl/>
        </w:rPr>
        <w:t>ولو</w:t>
      </w:r>
      <w:r w:rsidR="005C664D" w:rsidRPr="003F3B94">
        <w:rPr>
          <w:rFonts w:ascii="Lotus Linotype" w:hAnsi="Lotus Linotype" w:hint="cs"/>
          <w:sz w:val="28"/>
          <w:rtl/>
        </w:rPr>
        <w:t xml:space="preserve"> أ</w:t>
      </w:r>
      <w:r w:rsidR="005C664D" w:rsidRPr="003F3B94">
        <w:rPr>
          <w:rFonts w:ascii="Lotus Linotype" w:hAnsi="Lotus Linotype"/>
          <w:sz w:val="28"/>
          <w:rtl/>
        </w:rPr>
        <w:t xml:space="preserve">ن </w:t>
      </w:r>
      <w:r w:rsidR="005C664D" w:rsidRPr="003F3B94">
        <w:rPr>
          <w:rFonts w:ascii="Lotus Linotype" w:hAnsi="Lotus Linotype" w:hint="cs"/>
          <w:sz w:val="28"/>
          <w:rtl/>
        </w:rPr>
        <w:t>إ</w:t>
      </w:r>
      <w:r w:rsidR="005C664D" w:rsidRPr="003F3B94">
        <w:rPr>
          <w:rFonts w:ascii="Lotus Linotype" w:hAnsi="Lotus Linotype"/>
          <w:sz w:val="28"/>
          <w:rtl/>
        </w:rPr>
        <w:t>نسانا</w:t>
      </w:r>
      <w:r w:rsidR="005C664D" w:rsidRPr="003F3B94">
        <w:rPr>
          <w:rFonts w:ascii="Lotus Linotype" w:hAnsi="Lotus Linotype" w:hint="cs"/>
          <w:sz w:val="28"/>
          <w:rtl/>
        </w:rPr>
        <w:t>ً</w:t>
      </w:r>
      <w:r w:rsidR="005C664D" w:rsidRPr="003F3B94">
        <w:rPr>
          <w:rFonts w:ascii="Lotus Linotype" w:hAnsi="Lotus Linotype"/>
          <w:sz w:val="28"/>
          <w:rtl/>
        </w:rPr>
        <w:t xml:space="preserve"> استعمل الاحتياط وعمل على </w:t>
      </w:r>
      <w:r w:rsidR="005C664D" w:rsidRPr="003F3B94">
        <w:rPr>
          <w:rFonts w:ascii="Lotus Linotype" w:hAnsi="Lotus Linotype" w:hint="cs"/>
          <w:sz w:val="28"/>
          <w:rtl/>
        </w:rPr>
        <w:t>الأقوال</w:t>
      </w:r>
      <w:r w:rsidR="005C664D" w:rsidRPr="003F3B94">
        <w:rPr>
          <w:rFonts w:ascii="Lotus Linotype" w:hAnsi="Lotus Linotype"/>
          <w:sz w:val="28"/>
          <w:rtl/>
        </w:rPr>
        <w:t xml:space="preserve"> المقدم ذكرها من الدفن أو الوصا</w:t>
      </w:r>
      <w:r w:rsidR="005C664D" w:rsidRPr="003F3B94">
        <w:rPr>
          <w:rFonts w:ascii="Lotus Linotype" w:hAnsi="Lotus Linotype" w:hint="cs"/>
          <w:sz w:val="28"/>
          <w:rtl/>
        </w:rPr>
        <w:t>ي</w:t>
      </w:r>
      <w:r w:rsidR="005C664D" w:rsidRPr="003F3B94">
        <w:rPr>
          <w:rFonts w:ascii="Lotus Linotype" w:hAnsi="Lotus Linotype"/>
          <w:sz w:val="28"/>
          <w:rtl/>
        </w:rPr>
        <w:t>ة لم</w:t>
      </w:r>
      <w:r w:rsidR="005C664D" w:rsidRPr="003F3B94">
        <w:rPr>
          <w:rFonts w:ascii="Lotus Linotype" w:hAnsi="Lotus Linotype" w:hint="cs"/>
          <w:sz w:val="28"/>
          <w:rtl/>
        </w:rPr>
        <w:t xml:space="preserve"> </w:t>
      </w:r>
      <w:r w:rsidR="005C664D" w:rsidRPr="003F3B94">
        <w:rPr>
          <w:rFonts w:ascii="Lotus Linotype" w:hAnsi="Lotus Linotype"/>
          <w:sz w:val="28"/>
          <w:rtl/>
        </w:rPr>
        <w:t>يكن مأثوما</w:t>
      </w:r>
      <w:r w:rsidR="005C664D" w:rsidRPr="003F3B94">
        <w:rPr>
          <w:rFonts w:ascii="Lotus Linotype" w:hAnsi="Lotus Linotype" w:hint="cs"/>
          <w:sz w:val="28"/>
          <w:rtl/>
        </w:rPr>
        <w:t>ً</w:t>
      </w:r>
      <w:r w:rsidR="005C664D" w:rsidRPr="003F3B94">
        <w:rPr>
          <w:rFonts w:ascii="Lotus Linotype" w:hAnsi="Lotus Linotype"/>
          <w:sz w:val="28"/>
          <w:rtl/>
        </w:rPr>
        <w:t xml:space="preserve"> ف</w:t>
      </w:r>
      <w:r w:rsidR="005C664D" w:rsidRPr="003F3B94">
        <w:rPr>
          <w:rFonts w:ascii="Lotus Linotype" w:hAnsi="Lotus Linotype" w:hint="cs"/>
          <w:sz w:val="28"/>
          <w:rtl/>
        </w:rPr>
        <w:t>أ</w:t>
      </w:r>
      <w:r w:rsidR="005C664D" w:rsidRPr="003F3B94">
        <w:rPr>
          <w:rFonts w:ascii="Lotus Linotype" w:hAnsi="Lotus Linotype"/>
          <w:sz w:val="28"/>
          <w:rtl/>
        </w:rPr>
        <w:t>م</w:t>
      </w:r>
      <w:r w:rsidR="005C664D" w:rsidRPr="003F3B94">
        <w:rPr>
          <w:rFonts w:ascii="Lotus Linotype" w:hAnsi="Lotus Linotype" w:hint="cs"/>
          <w:sz w:val="28"/>
          <w:rtl/>
        </w:rPr>
        <w:t>ّ</w:t>
      </w:r>
      <w:r w:rsidR="005C664D" w:rsidRPr="003F3B94">
        <w:rPr>
          <w:rFonts w:ascii="Lotus Linotype" w:hAnsi="Lotus Linotype"/>
          <w:sz w:val="28"/>
          <w:rtl/>
        </w:rPr>
        <w:t>ا التصرف فيه على ما تضمنه القول ال</w:t>
      </w:r>
      <w:r w:rsidR="005C664D" w:rsidRPr="003F3B94">
        <w:rPr>
          <w:rFonts w:ascii="Lotus Linotype" w:hAnsi="Lotus Linotype" w:hint="cs"/>
          <w:sz w:val="28"/>
          <w:rtl/>
        </w:rPr>
        <w:t>أ</w:t>
      </w:r>
      <w:r w:rsidR="005C664D" w:rsidRPr="003F3B94">
        <w:rPr>
          <w:rFonts w:ascii="Lotus Linotype" w:hAnsi="Lotus Linotype"/>
          <w:sz w:val="28"/>
          <w:rtl/>
        </w:rPr>
        <w:t>ول فهو ضد الاحتياط وال</w:t>
      </w:r>
      <w:r w:rsidR="005C664D" w:rsidRPr="003F3B94">
        <w:rPr>
          <w:rFonts w:ascii="Lotus Linotype" w:hAnsi="Lotus Linotype" w:hint="cs"/>
          <w:sz w:val="28"/>
          <w:rtl/>
        </w:rPr>
        <w:t>أ</w:t>
      </w:r>
      <w:r w:rsidR="005C664D" w:rsidRPr="003F3B94">
        <w:rPr>
          <w:rFonts w:ascii="Lotus Linotype" w:hAnsi="Lotus Linotype"/>
          <w:sz w:val="28"/>
          <w:rtl/>
        </w:rPr>
        <w:t>ولى</w:t>
      </w:r>
      <w:r w:rsidR="005C664D" w:rsidRPr="003F3B94">
        <w:rPr>
          <w:rFonts w:ascii="Lotus Linotype" w:hAnsi="Lotus Linotype" w:hint="cs"/>
          <w:sz w:val="28"/>
          <w:rtl/>
        </w:rPr>
        <w:t xml:space="preserve"> </w:t>
      </w:r>
      <w:r w:rsidR="005C664D" w:rsidRPr="003F3B94">
        <w:rPr>
          <w:rFonts w:ascii="Lotus Linotype" w:hAnsi="Lotus Linotype"/>
          <w:sz w:val="28"/>
          <w:rtl/>
        </w:rPr>
        <w:t>اجتنابه حسب ما قدمناه</w:t>
      </w:r>
      <w:r w:rsidR="00217AB4" w:rsidRPr="003F3B94">
        <w:rPr>
          <w:rFonts w:ascii="Lotus Linotype" w:hAnsi="Lotus Linotype" w:hint="cs"/>
          <w:sz w:val="28"/>
          <w:rtl/>
        </w:rPr>
        <w:t>،</w:t>
      </w:r>
      <w:r w:rsidR="005C664D" w:rsidRPr="003F3B94">
        <w:rPr>
          <w:rFonts w:ascii="Lotus Linotype" w:hAnsi="Lotus Linotype"/>
          <w:sz w:val="28"/>
          <w:rtl/>
        </w:rPr>
        <w:t xml:space="preserve"> </w:t>
      </w:r>
      <w:r w:rsidR="005C664D" w:rsidRPr="003F3B94">
        <w:rPr>
          <w:rFonts w:ascii="Lotus Linotype" w:hAnsi="Lotus Linotype"/>
          <w:b/>
          <w:bCs/>
          <w:sz w:val="28"/>
          <w:u w:val="single"/>
          <w:rtl/>
        </w:rPr>
        <w:t>ويظهر من كلامه</w:t>
      </w:r>
      <w:r w:rsidR="005C664D" w:rsidRPr="003F3B94">
        <w:rPr>
          <w:rFonts w:ascii="Lotus Linotype" w:hAnsi="Lotus Linotype"/>
          <w:b/>
          <w:bCs/>
          <w:sz w:val="28"/>
          <w:rtl/>
        </w:rPr>
        <w:t xml:space="preserve"> </w:t>
      </w:r>
      <w:r w:rsidR="00217AB4" w:rsidRPr="003F3B94">
        <w:rPr>
          <w:rFonts w:ascii="Lotus Linotype" w:hAnsi="Lotus Linotype" w:hint="cs"/>
          <w:b/>
          <w:bCs/>
          <w:sz w:val="28"/>
          <w:rtl/>
        </w:rPr>
        <w:t>(</w:t>
      </w:r>
      <w:r w:rsidR="005C664D" w:rsidRPr="003F3B94">
        <w:rPr>
          <w:rFonts w:ascii="Lotus Linotype" w:hAnsi="Lotus Linotype" w:hint="cs"/>
          <w:b/>
          <w:bCs/>
          <w:sz w:val="28"/>
          <w:rtl/>
        </w:rPr>
        <w:t>أي من كلام الشيخ الطوسي</w:t>
      </w:r>
      <w:r w:rsidR="00217AB4" w:rsidRPr="003F3B94">
        <w:rPr>
          <w:rFonts w:ascii="Lotus Linotype" w:hAnsi="Lotus Linotype" w:hint="cs"/>
          <w:b/>
          <w:bCs/>
          <w:sz w:val="28"/>
          <w:rtl/>
        </w:rPr>
        <w:t>)</w:t>
      </w:r>
      <w:r w:rsidR="005C664D" w:rsidRPr="003F3B94">
        <w:rPr>
          <w:rFonts w:ascii="Lotus Linotype" w:hAnsi="Lotus Linotype" w:hint="cs"/>
          <w:b/>
          <w:bCs/>
          <w:sz w:val="28"/>
          <w:rtl/>
        </w:rPr>
        <w:t xml:space="preserve"> </w:t>
      </w:r>
      <w:r w:rsidR="005C664D" w:rsidRPr="003F3B94">
        <w:rPr>
          <w:rFonts w:ascii="Lotus Linotype" w:hAnsi="Lotus Linotype"/>
          <w:b/>
          <w:bCs/>
          <w:sz w:val="28"/>
          <w:u w:val="single"/>
          <w:rtl/>
        </w:rPr>
        <w:t xml:space="preserve">تجويز القول </w:t>
      </w:r>
      <w:r w:rsidR="005C664D" w:rsidRPr="003F3B94">
        <w:rPr>
          <w:rFonts w:ascii="Lotus Linotype" w:hAnsi="Lotus Linotype" w:hint="cs"/>
          <w:b/>
          <w:bCs/>
          <w:sz w:val="28"/>
          <w:u w:val="single"/>
          <w:rtl/>
        </w:rPr>
        <w:t>الأول</w:t>
      </w:r>
      <w:r w:rsidR="005C664D" w:rsidRPr="003F3B94">
        <w:rPr>
          <w:rFonts w:ascii="Lotus Linotype" w:hAnsi="Lotus Linotype"/>
          <w:b/>
          <w:bCs/>
          <w:sz w:val="28"/>
          <w:rtl/>
        </w:rPr>
        <w:t xml:space="preserve"> </w:t>
      </w:r>
      <w:r w:rsidR="00217AB4" w:rsidRPr="003F3B94">
        <w:rPr>
          <w:rFonts w:ascii="Lotus Linotype" w:hAnsi="Lotus Linotype" w:hint="cs"/>
          <w:b/>
          <w:bCs/>
          <w:sz w:val="28"/>
          <w:rtl/>
        </w:rPr>
        <w:t>(</w:t>
      </w:r>
      <w:r w:rsidR="005C664D" w:rsidRPr="003F3B94">
        <w:rPr>
          <w:rFonts w:ascii="Lotus Linotype" w:hAnsi="Lotus Linotype" w:hint="cs"/>
          <w:b/>
          <w:bCs/>
          <w:sz w:val="28"/>
          <w:rtl/>
        </w:rPr>
        <w:t>أي التحليل وجواز التصـرُّف في الخُمُس</w:t>
      </w:r>
      <w:r w:rsidR="00217AB4" w:rsidRPr="003F3B94">
        <w:rPr>
          <w:rFonts w:ascii="Lotus Linotype" w:hAnsi="Lotus Linotype" w:hint="cs"/>
          <w:b/>
          <w:bCs/>
          <w:sz w:val="28"/>
          <w:rtl/>
        </w:rPr>
        <w:t>)</w:t>
      </w:r>
      <w:r w:rsidR="005C664D" w:rsidRPr="003F3B94">
        <w:rPr>
          <w:rFonts w:ascii="Lotus Linotype" w:hAnsi="Lotus Linotype" w:hint="cs"/>
          <w:b/>
          <w:bCs/>
          <w:sz w:val="28"/>
          <w:rtl/>
        </w:rPr>
        <w:t xml:space="preserve"> </w:t>
      </w:r>
      <w:r w:rsidR="005C664D" w:rsidRPr="003F3B94">
        <w:rPr>
          <w:rFonts w:ascii="Lotus Linotype" w:hAnsi="Lotus Linotype"/>
          <w:b/>
          <w:bCs/>
          <w:sz w:val="28"/>
          <w:rtl/>
        </w:rPr>
        <w:t>ونحوه</w:t>
      </w:r>
      <w:r w:rsidR="00F456DF" w:rsidRPr="003F3B94">
        <w:rPr>
          <w:rFonts w:ascii="Lotus Linotype" w:hAnsi="Lotus Linotype" w:hint="cs"/>
          <w:b/>
          <w:bCs/>
          <w:sz w:val="28"/>
          <w:rtl/>
        </w:rPr>
        <w:t>»</w:t>
      </w:r>
      <w:r w:rsidR="00217AB4" w:rsidRPr="003F3B94">
        <w:rPr>
          <w:rFonts w:ascii="Lotus Linotype" w:hAnsi="Lotus Linotype" w:hint="cs"/>
          <w:sz w:val="28"/>
          <w:rtl/>
        </w:rPr>
        <w:t>.</w:t>
      </w:r>
      <w:r w:rsidR="00147857" w:rsidRPr="003F3B94">
        <w:rPr>
          <w:rFonts w:ascii="Lotus Linotype" w:hAnsi="Lotus Linotype" w:hint="cs"/>
          <w:sz w:val="28"/>
          <w:rtl/>
        </w:rPr>
        <w:t xml:space="preserve"> </w:t>
      </w:r>
    </w:p>
    <w:p w:rsidR="005C664D" w:rsidRPr="003F3B94" w:rsidRDefault="005C664D" w:rsidP="003F3B94">
      <w:pPr>
        <w:pStyle w:val="a0"/>
        <w:rPr>
          <w:rFonts w:hint="cs"/>
          <w:rtl/>
        </w:rPr>
      </w:pPr>
      <w:r w:rsidRPr="003F3B94">
        <w:rPr>
          <w:rFonts w:ascii="Lotus Linotype" w:hAnsi="Lotus Linotype" w:hint="cs"/>
          <w:sz w:val="28"/>
          <w:rtl/>
        </w:rPr>
        <w:t xml:space="preserve">ثم عاد وذكر أن الشيخ الطوسي لم يرتضِ هذا القول </w:t>
      </w:r>
      <w:r w:rsidRPr="003F3B94">
        <w:rPr>
          <w:rFonts w:ascii="Lotus Linotype" w:hAnsi="Lotus Linotype"/>
          <w:sz w:val="28"/>
          <w:rtl/>
        </w:rPr>
        <w:t xml:space="preserve">في </w:t>
      </w:r>
      <w:r w:rsidRPr="003F3B94">
        <w:rPr>
          <w:rFonts w:ascii="Lotus Linotype" w:hAnsi="Lotus Linotype" w:hint="cs"/>
          <w:sz w:val="28"/>
          <w:rtl/>
        </w:rPr>
        <w:t xml:space="preserve">كتابه </w:t>
      </w:r>
      <w:r w:rsidRPr="003F3B94">
        <w:rPr>
          <w:rFonts w:ascii="Lotus Linotype" w:hAnsi="Lotus Linotype"/>
          <w:sz w:val="28"/>
          <w:rtl/>
        </w:rPr>
        <w:t xml:space="preserve">«المبسوط» </w:t>
      </w:r>
      <w:r w:rsidRPr="003F3B94">
        <w:rPr>
          <w:rFonts w:ascii="Lotus Linotype" w:hAnsi="Lotus Linotype" w:hint="cs"/>
          <w:sz w:val="28"/>
          <w:rtl/>
        </w:rPr>
        <w:t>ورأى أن العمل با</w:t>
      </w:r>
      <w:r w:rsidRPr="003F3B94">
        <w:rPr>
          <w:rFonts w:ascii="Lotus Linotype" w:hAnsi="Lotus Linotype"/>
          <w:sz w:val="28"/>
          <w:rtl/>
        </w:rPr>
        <w:t>لدفن أو الوصا</w:t>
      </w:r>
      <w:r w:rsidRPr="003F3B94">
        <w:rPr>
          <w:rFonts w:ascii="Lotus Linotype" w:hAnsi="Lotus Linotype" w:hint="cs"/>
          <w:sz w:val="28"/>
          <w:rtl/>
        </w:rPr>
        <w:t>ي</w:t>
      </w:r>
      <w:r w:rsidRPr="003F3B94">
        <w:rPr>
          <w:rFonts w:ascii="Lotus Linotype" w:hAnsi="Lotus Linotype"/>
          <w:sz w:val="28"/>
          <w:rtl/>
        </w:rPr>
        <w:t xml:space="preserve">ة </w:t>
      </w:r>
      <w:r w:rsidRPr="003F3B94">
        <w:rPr>
          <w:rFonts w:ascii="Lotus Linotype" w:hAnsi="Lotus Linotype" w:hint="cs"/>
          <w:sz w:val="28"/>
          <w:rtl/>
        </w:rPr>
        <w:t>ليس به</w:t>
      </w:r>
      <w:r w:rsidRPr="003F3B94">
        <w:rPr>
          <w:rFonts w:ascii="Lotus Linotype" w:hAnsi="Lotus Linotype"/>
          <w:sz w:val="28"/>
          <w:rtl/>
        </w:rPr>
        <w:t xml:space="preserve"> بأس</w:t>
      </w:r>
      <w:r w:rsidR="00217AB4" w:rsidRPr="003F3B94">
        <w:rPr>
          <w:rFonts w:ascii="Lotus Linotype" w:hAnsi="Lotus Linotype" w:hint="cs"/>
          <w:sz w:val="28"/>
          <w:rtl/>
        </w:rPr>
        <w:t>!!</w:t>
      </w:r>
    </w:p>
    <w:p w:rsidR="005C664D" w:rsidRPr="003F3B94" w:rsidRDefault="005C664D" w:rsidP="003F3B94">
      <w:pPr>
        <w:pStyle w:val="a0"/>
        <w:rPr>
          <w:rFonts w:hint="cs"/>
          <w:rtl/>
        </w:rPr>
      </w:pPr>
      <w:r w:rsidRPr="003F3B94">
        <w:rPr>
          <w:rFonts w:ascii="Lotus Linotype" w:hAnsi="Lotus Linotype" w:hint="cs"/>
          <w:sz w:val="28"/>
          <w:rtl/>
        </w:rPr>
        <w:t xml:space="preserve">وفيما يلي نص ما قاله الطوسي في كتابه </w:t>
      </w:r>
      <w:r w:rsidRPr="003F3B94">
        <w:rPr>
          <w:rFonts w:ascii="Lotus Linotype" w:hAnsi="Lotus Linotype"/>
          <w:sz w:val="28"/>
          <w:rtl/>
        </w:rPr>
        <w:t>«</w:t>
      </w:r>
      <w:r w:rsidRPr="003F3B94">
        <w:rPr>
          <w:rFonts w:ascii="Lotus Linotype" w:hAnsi="Lotus Linotype" w:hint="cs"/>
          <w:sz w:val="28"/>
          <w:rtl/>
        </w:rPr>
        <w:t>النهاية</w:t>
      </w:r>
      <w:r w:rsidRPr="003F3B94">
        <w:rPr>
          <w:rFonts w:ascii="Lotus Linotype" w:hAnsi="Lotus Linotype"/>
          <w:sz w:val="28"/>
          <w:rtl/>
        </w:rPr>
        <w:t>»</w:t>
      </w:r>
      <w:r w:rsidR="00217AB4" w:rsidRPr="003F3B94">
        <w:rPr>
          <w:rFonts w:ascii="Lotus Linotype" w:hAnsi="Lotus Linotype" w:hint="cs"/>
          <w:sz w:val="28"/>
          <w:rtl/>
        </w:rPr>
        <w:t>:</w:t>
      </w:r>
    </w:p>
    <w:p w:rsidR="005C664D" w:rsidRPr="003F3B94" w:rsidRDefault="00EF2588" w:rsidP="003F3B94">
      <w:pPr>
        <w:pStyle w:val="a0"/>
        <w:rPr>
          <w:rFonts w:hint="cs"/>
          <w:rtl/>
        </w:rPr>
      </w:pPr>
      <w:r w:rsidRPr="003F3B94">
        <w:rPr>
          <w:rFonts w:ascii="Lotus Linotype" w:hAnsi="Lotus Linotype" w:hint="cs"/>
          <w:sz w:val="28"/>
          <w:rtl/>
        </w:rPr>
        <w:t>«</w:t>
      </w:r>
      <w:r w:rsidR="005C664D" w:rsidRPr="003F3B94">
        <w:rPr>
          <w:rFonts w:ascii="Lotus Linotype" w:hAnsi="Lotus Linotype"/>
          <w:b/>
          <w:bCs/>
          <w:sz w:val="28"/>
          <w:rtl/>
        </w:rPr>
        <w:t>أما في حال الغيبة</w:t>
      </w:r>
      <w:r w:rsidR="00217AB4" w:rsidRPr="003F3B94">
        <w:rPr>
          <w:rFonts w:ascii="Lotus Linotype" w:hAnsi="Lotus Linotype"/>
          <w:b/>
          <w:bCs/>
          <w:sz w:val="28"/>
          <w:rtl/>
        </w:rPr>
        <w:t>،</w:t>
      </w:r>
      <w:r w:rsidR="005C664D" w:rsidRPr="003F3B94">
        <w:rPr>
          <w:rFonts w:ascii="Lotus Linotype" w:hAnsi="Lotus Linotype"/>
          <w:b/>
          <w:bCs/>
          <w:sz w:val="28"/>
          <w:rtl/>
        </w:rPr>
        <w:t xml:space="preserve"> فقد رخ</w:t>
      </w:r>
      <w:r w:rsidR="005C664D" w:rsidRPr="003F3B94">
        <w:rPr>
          <w:rFonts w:ascii="Lotus Linotype" w:hAnsi="Lotus Linotype" w:hint="cs"/>
          <w:b/>
          <w:bCs/>
          <w:sz w:val="28"/>
          <w:rtl/>
        </w:rPr>
        <w:t>َّ</w:t>
      </w:r>
      <w:r w:rsidR="005C664D" w:rsidRPr="003F3B94">
        <w:rPr>
          <w:rFonts w:ascii="Lotus Linotype" w:hAnsi="Lotus Linotype"/>
          <w:b/>
          <w:bCs/>
          <w:sz w:val="28"/>
          <w:rtl/>
        </w:rPr>
        <w:t>صوا لشيعتهم التص</w:t>
      </w:r>
      <w:r w:rsidR="005C664D" w:rsidRPr="003F3B94">
        <w:rPr>
          <w:rFonts w:ascii="Lotus Linotype" w:hAnsi="Lotus Linotype" w:hint="cs"/>
          <w:b/>
          <w:bCs/>
          <w:sz w:val="28"/>
          <w:rtl/>
        </w:rPr>
        <w:t>ـ</w:t>
      </w:r>
      <w:r w:rsidR="005C664D" w:rsidRPr="003F3B94">
        <w:rPr>
          <w:rFonts w:ascii="Lotus Linotype" w:hAnsi="Lotus Linotype"/>
          <w:b/>
          <w:bCs/>
          <w:sz w:val="28"/>
          <w:rtl/>
        </w:rPr>
        <w:t>ر</w:t>
      </w:r>
      <w:r w:rsidR="005C664D" w:rsidRPr="003F3B94">
        <w:rPr>
          <w:rFonts w:ascii="Lotus Linotype" w:hAnsi="Lotus Linotype" w:hint="cs"/>
          <w:b/>
          <w:bCs/>
          <w:sz w:val="28"/>
          <w:rtl/>
        </w:rPr>
        <w:t>ُّ</w:t>
      </w:r>
      <w:r w:rsidR="005C664D" w:rsidRPr="003F3B94">
        <w:rPr>
          <w:rFonts w:ascii="Lotus Linotype" w:hAnsi="Lotus Linotype"/>
          <w:b/>
          <w:bCs/>
          <w:sz w:val="28"/>
          <w:rtl/>
        </w:rPr>
        <w:t>ف في حقوقهم مما يتعل</w:t>
      </w:r>
      <w:r w:rsidR="005C664D" w:rsidRPr="003F3B94">
        <w:rPr>
          <w:rFonts w:ascii="Lotus Linotype" w:hAnsi="Lotus Linotype" w:hint="cs"/>
          <w:b/>
          <w:bCs/>
          <w:sz w:val="28"/>
          <w:rtl/>
        </w:rPr>
        <w:t>ّ</w:t>
      </w:r>
      <w:r w:rsidR="005C664D" w:rsidRPr="003F3B94">
        <w:rPr>
          <w:rFonts w:ascii="Lotus Linotype" w:hAnsi="Lotus Linotype"/>
          <w:b/>
          <w:bCs/>
          <w:sz w:val="28"/>
          <w:rtl/>
        </w:rPr>
        <w:t>ق بال</w:t>
      </w:r>
      <w:r w:rsidR="005C664D" w:rsidRPr="003F3B94">
        <w:rPr>
          <w:rFonts w:ascii="Lotus Linotype" w:hAnsi="Lotus Linotype" w:hint="cs"/>
          <w:b/>
          <w:bCs/>
          <w:sz w:val="28"/>
          <w:rtl/>
        </w:rPr>
        <w:t>أ</w:t>
      </w:r>
      <w:r w:rsidR="005C664D" w:rsidRPr="003F3B94">
        <w:rPr>
          <w:rFonts w:ascii="Lotus Linotype" w:hAnsi="Lotus Linotype"/>
          <w:b/>
          <w:bCs/>
          <w:sz w:val="28"/>
          <w:rtl/>
        </w:rPr>
        <w:t>خماس وغيرها فيما لا بد</w:t>
      </w:r>
      <w:r w:rsidR="005C664D" w:rsidRPr="003F3B94">
        <w:rPr>
          <w:rFonts w:ascii="Lotus Linotype" w:hAnsi="Lotus Linotype" w:hint="cs"/>
          <w:b/>
          <w:bCs/>
          <w:sz w:val="28"/>
          <w:rtl/>
        </w:rPr>
        <w:t>ّ</w:t>
      </w:r>
      <w:r w:rsidR="005C664D" w:rsidRPr="003F3B94">
        <w:rPr>
          <w:rFonts w:ascii="Lotus Linotype" w:hAnsi="Lotus Linotype"/>
          <w:b/>
          <w:bCs/>
          <w:sz w:val="28"/>
          <w:rtl/>
        </w:rPr>
        <w:t xml:space="preserve"> لهم منه من المناكح والمتاجر والمساكن</w:t>
      </w:r>
      <w:r w:rsidR="00217AB4" w:rsidRPr="003F3B94">
        <w:rPr>
          <w:rFonts w:ascii="Lotus Linotype" w:hAnsi="Lotus Linotype"/>
          <w:b/>
          <w:bCs/>
          <w:sz w:val="28"/>
          <w:rtl/>
        </w:rPr>
        <w:t>.</w:t>
      </w:r>
      <w:r w:rsidR="005C664D" w:rsidRPr="003F3B94">
        <w:rPr>
          <w:rFonts w:ascii="Lotus Linotype" w:hAnsi="Lotus Linotype"/>
          <w:b/>
          <w:bCs/>
          <w:sz w:val="28"/>
          <w:rtl/>
        </w:rPr>
        <w:t>فأم</w:t>
      </w:r>
      <w:r w:rsidR="005C664D" w:rsidRPr="003F3B94">
        <w:rPr>
          <w:rFonts w:ascii="Lotus Linotype" w:hAnsi="Lotus Linotype" w:hint="cs"/>
          <w:b/>
          <w:bCs/>
          <w:sz w:val="28"/>
          <w:rtl/>
        </w:rPr>
        <w:t>ّ</w:t>
      </w:r>
      <w:r w:rsidR="005C664D" w:rsidRPr="003F3B94">
        <w:rPr>
          <w:rFonts w:ascii="Lotus Linotype" w:hAnsi="Lotus Linotype"/>
          <w:b/>
          <w:bCs/>
          <w:sz w:val="28"/>
          <w:rtl/>
        </w:rPr>
        <w:t>ا ما عدا ذلك</w:t>
      </w:r>
      <w:r w:rsidR="00217AB4" w:rsidRPr="003F3B94">
        <w:rPr>
          <w:rFonts w:ascii="Lotus Linotype" w:hAnsi="Lotus Linotype"/>
          <w:b/>
          <w:bCs/>
          <w:sz w:val="28"/>
          <w:rtl/>
        </w:rPr>
        <w:t>،</w:t>
      </w:r>
      <w:r w:rsidR="005C664D" w:rsidRPr="003F3B94">
        <w:rPr>
          <w:rFonts w:ascii="Lotus Linotype" w:hAnsi="Lotus Linotype"/>
          <w:b/>
          <w:bCs/>
          <w:sz w:val="28"/>
          <w:rtl/>
        </w:rPr>
        <w:t xml:space="preserve"> فلا يجوز له التصر</w:t>
      </w:r>
      <w:r w:rsidR="005C664D" w:rsidRPr="003F3B94">
        <w:rPr>
          <w:rFonts w:ascii="Lotus Linotype" w:hAnsi="Lotus Linotype" w:hint="cs"/>
          <w:b/>
          <w:bCs/>
          <w:sz w:val="28"/>
          <w:rtl/>
        </w:rPr>
        <w:t>ُّ</w:t>
      </w:r>
      <w:r w:rsidR="005C664D" w:rsidRPr="003F3B94">
        <w:rPr>
          <w:rFonts w:ascii="Lotus Linotype" w:hAnsi="Lotus Linotype"/>
          <w:b/>
          <w:bCs/>
          <w:sz w:val="28"/>
          <w:rtl/>
        </w:rPr>
        <w:t>ف فيه على حال</w:t>
      </w:r>
      <w:r w:rsidR="00217AB4" w:rsidRPr="003F3B94">
        <w:rPr>
          <w:rFonts w:ascii="Lotus Linotype" w:hAnsi="Lotus Linotype"/>
          <w:b/>
          <w:bCs/>
          <w:sz w:val="28"/>
          <w:rtl/>
        </w:rPr>
        <w:t>.</w:t>
      </w:r>
      <w:r w:rsidR="005C664D" w:rsidRPr="003F3B94">
        <w:rPr>
          <w:rFonts w:ascii="Lotus Linotype" w:hAnsi="Lotus Linotype" w:hint="cs"/>
          <w:b/>
          <w:bCs/>
          <w:sz w:val="28"/>
          <w:rtl/>
        </w:rPr>
        <w:t xml:space="preserve"> </w:t>
      </w:r>
      <w:r w:rsidR="005C664D" w:rsidRPr="003F3B94">
        <w:rPr>
          <w:rFonts w:ascii="Lotus Linotype" w:hAnsi="Lotus Linotype"/>
          <w:b/>
          <w:bCs/>
          <w:sz w:val="28"/>
          <w:rtl/>
        </w:rPr>
        <w:t>وما يستحق</w:t>
      </w:r>
      <w:r w:rsidR="005C664D" w:rsidRPr="003F3B94">
        <w:rPr>
          <w:rFonts w:ascii="Lotus Linotype" w:hAnsi="Lotus Linotype" w:hint="cs"/>
          <w:b/>
          <w:bCs/>
          <w:sz w:val="28"/>
          <w:rtl/>
        </w:rPr>
        <w:t>ُّ</w:t>
      </w:r>
      <w:r w:rsidR="005C664D" w:rsidRPr="003F3B94">
        <w:rPr>
          <w:rFonts w:ascii="Lotus Linotype" w:hAnsi="Lotus Linotype"/>
          <w:b/>
          <w:bCs/>
          <w:sz w:val="28"/>
          <w:rtl/>
        </w:rPr>
        <w:t xml:space="preserve">ونه من </w:t>
      </w:r>
      <w:r w:rsidR="005C664D" w:rsidRPr="003F3B94">
        <w:rPr>
          <w:rFonts w:ascii="Lotus Linotype" w:hAnsi="Lotus Linotype" w:hint="cs"/>
          <w:b/>
          <w:bCs/>
          <w:sz w:val="28"/>
          <w:rtl/>
        </w:rPr>
        <w:t>الأخماس</w:t>
      </w:r>
      <w:r w:rsidR="005C664D" w:rsidRPr="003F3B94">
        <w:rPr>
          <w:rFonts w:ascii="Lotus Linotype" w:hAnsi="Lotus Linotype"/>
          <w:b/>
          <w:bCs/>
          <w:sz w:val="28"/>
          <w:rtl/>
        </w:rPr>
        <w:t xml:space="preserve"> في الكنوز وغيرها ف</w:t>
      </w:r>
      <w:r w:rsidR="005C664D" w:rsidRPr="003F3B94">
        <w:rPr>
          <w:rFonts w:ascii="Lotus Linotype" w:hAnsi="Lotus Linotype" w:hint="cs"/>
          <w:b/>
          <w:bCs/>
          <w:sz w:val="28"/>
          <w:rtl/>
        </w:rPr>
        <w:t>ي</w:t>
      </w:r>
      <w:r w:rsidR="005C664D" w:rsidRPr="003F3B94">
        <w:rPr>
          <w:rFonts w:ascii="Lotus Linotype" w:hAnsi="Lotus Linotype"/>
          <w:b/>
          <w:bCs/>
          <w:sz w:val="28"/>
          <w:rtl/>
        </w:rPr>
        <w:t xml:space="preserve"> حال الغيبة</w:t>
      </w:r>
      <w:r w:rsidR="00217AB4" w:rsidRPr="003F3B94">
        <w:rPr>
          <w:rFonts w:ascii="Lotus Linotype" w:hAnsi="Lotus Linotype"/>
          <w:b/>
          <w:bCs/>
          <w:sz w:val="28"/>
          <w:rtl/>
        </w:rPr>
        <w:t>،</w:t>
      </w:r>
      <w:r w:rsidR="005C664D" w:rsidRPr="003F3B94">
        <w:rPr>
          <w:rFonts w:ascii="Lotus Linotype" w:hAnsi="Lotus Linotype"/>
          <w:b/>
          <w:bCs/>
          <w:sz w:val="28"/>
          <w:rtl/>
        </w:rPr>
        <w:t xml:space="preserve"> فقد اختلف قول أصحابنا فيه</w:t>
      </w:r>
      <w:r w:rsidR="00217AB4" w:rsidRPr="003F3B94">
        <w:rPr>
          <w:rFonts w:ascii="Lotus Linotype" w:hAnsi="Lotus Linotype"/>
          <w:b/>
          <w:bCs/>
          <w:sz w:val="28"/>
          <w:rtl/>
        </w:rPr>
        <w:t>،</w:t>
      </w:r>
      <w:r w:rsidR="005C664D" w:rsidRPr="003F3B94">
        <w:rPr>
          <w:rFonts w:ascii="Lotus Linotype" w:hAnsi="Lotus Linotype"/>
          <w:b/>
          <w:bCs/>
          <w:sz w:val="28"/>
          <w:rtl/>
        </w:rPr>
        <w:t xml:space="preserve"> وليس فيه نص</w:t>
      </w:r>
      <w:r w:rsidR="005C664D" w:rsidRPr="003F3B94">
        <w:rPr>
          <w:rFonts w:ascii="Lotus Linotype" w:hAnsi="Lotus Linotype" w:hint="cs"/>
          <w:b/>
          <w:bCs/>
          <w:sz w:val="28"/>
          <w:rtl/>
        </w:rPr>
        <w:t>ٌّ</w:t>
      </w:r>
      <w:r w:rsidR="005C664D" w:rsidRPr="003F3B94">
        <w:rPr>
          <w:rFonts w:ascii="Lotus Linotype" w:hAnsi="Lotus Linotype"/>
          <w:b/>
          <w:bCs/>
          <w:sz w:val="28"/>
          <w:rtl/>
        </w:rPr>
        <w:t xml:space="preserve"> معي</w:t>
      </w:r>
      <w:r w:rsidR="005C664D" w:rsidRPr="003F3B94">
        <w:rPr>
          <w:rFonts w:ascii="Lotus Linotype" w:hAnsi="Lotus Linotype" w:hint="cs"/>
          <w:b/>
          <w:bCs/>
          <w:sz w:val="28"/>
          <w:rtl/>
        </w:rPr>
        <w:t>َّ</w:t>
      </w:r>
      <w:r w:rsidR="005C664D" w:rsidRPr="003F3B94">
        <w:rPr>
          <w:rFonts w:ascii="Lotus Linotype" w:hAnsi="Lotus Linotype"/>
          <w:b/>
          <w:bCs/>
          <w:sz w:val="28"/>
          <w:rtl/>
        </w:rPr>
        <w:t>ن</w:t>
      </w:r>
      <w:r w:rsidR="005C664D" w:rsidRPr="003F3B94">
        <w:rPr>
          <w:rFonts w:ascii="Lotus Linotype" w:hAnsi="Lotus Linotype" w:hint="cs"/>
          <w:b/>
          <w:bCs/>
          <w:sz w:val="28"/>
          <w:rtl/>
        </w:rPr>
        <w:t>ٌ</w:t>
      </w:r>
      <w:r w:rsidR="005C664D" w:rsidRPr="003F3B94">
        <w:rPr>
          <w:rFonts w:ascii="Lotus Linotype" w:hAnsi="Lotus Linotype"/>
          <w:b/>
          <w:bCs/>
          <w:sz w:val="28"/>
          <w:rtl/>
        </w:rPr>
        <w:t xml:space="preserve"> إلا أن كل</w:t>
      </w:r>
      <w:r w:rsidR="005C664D" w:rsidRPr="003F3B94">
        <w:rPr>
          <w:rFonts w:ascii="Lotus Linotype" w:hAnsi="Lotus Linotype" w:hint="cs"/>
          <w:b/>
          <w:bCs/>
          <w:sz w:val="28"/>
          <w:rtl/>
        </w:rPr>
        <w:t>َّ</w:t>
      </w:r>
      <w:r w:rsidR="005C664D" w:rsidRPr="003F3B94">
        <w:rPr>
          <w:rFonts w:ascii="Lotus Linotype" w:hAnsi="Lotus Linotype"/>
          <w:b/>
          <w:bCs/>
          <w:sz w:val="28"/>
          <w:rtl/>
        </w:rPr>
        <w:t xml:space="preserve"> واحد منهم قال قولا</w:t>
      </w:r>
      <w:r w:rsidR="005C664D" w:rsidRPr="003F3B94">
        <w:rPr>
          <w:rFonts w:ascii="Lotus Linotype" w:hAnsi="Lotus Linotype" w:hint="cs"/>
          <w:b/>
          <w:bCs/>
          <w:sz w:val="28"/>
          <w:rtl/>
        </w:rPr>
        <w:t>ً</w:t>
      </w:r>
      <w:r w:rsidR="005C664D" w:rsidRPr="003F3B94">
        <w:rPr>
          <w:rFonts w:ascii="Lotus Linotype" w:hAnsi="Lotus Linotype"/>
          <w:b/>
          <w:bCs/>
          <w:sz w:val="28"/>
          <w:rtl/>
        </w:rPr>
        <w:t xml:space="preserve"> يقتضيه الاحتياط</w:t>
      </w:r>
      <w:r w:rsidR="00F456DF" w:rsidRPr="003F3B94">
        <w:rPr>
          <w:rFonts w:ascii="Lotus Linotype" w:hAnsi="Lotus Linotype"/>
          <w:b/>
          <w:bCs/>
          <w:sz w:val="28"/>
          <w:rtl/>
        </w:rPr>
        <w:t>»</w:t>
      </w:r>
      <w:r w:rsidR="00021AAB" w:rsidRPr="0021507A">
        <w:rPr>
          <w:rFonts w:ascii="Lotus Linotype" w:hAnsi="Lotus Linotype" w:cs="Arabic11 BT"/>
          <w:sz w:val="28"/>
          <w:vertAlign w:val="superscript"/>
          <w:rtl/>
        </w:rPr>
        <w:t>(</w:t>
      </w:r>
      <w:r w:rsidR="00021AAB" w:rsidRPr="0021507A">
        <w:rPr>
          <w:rStyle w:val="FootnoteReference"/>
          <w:rFonts w:ascii="Lotus Linotype" w:hAnsi="Lotus Linotype" w:cs="Arabic11 BT"/>
          <w:sz w:val="28"/>
          <w:rtl/>
        </w:rPr>
        <w:footnoteReference w:id="406"/>
      </w:r>
      <w:r w:rsidR="00021AAB" w:rsidRPr="0021507A">
        <w:rPr>
          <w:rFonts w:ascii="Lotus Linotype" w:hAnsi="Lotus Linotype" w:cs="Arabic11 BT"/>
          <w:sz w:val="28"/>
          <w:vertAlign w:val="superscript"/>
          <w:rtl/>
        </w:rPr>
        <w:t>)</w:t>
      </w:r>
      <w:r w:rsidR="00217AB4" w:rsidRPr="003F3B94">
        <w:rPr>
          <w:rFonts w:ascii="Lotus Linotype" w:hAnsi="Lotus Linotype" w:hint="cs"/>
          <w:sz w:val="28"/>
          <w:rtl/>
        </w:rPr>
        <w:t>.</w:t>
      </w:r>
    </w:p>
    <w:p w:rsidR="005C664D" w:rsidRPr="00A1493A" w:rsidRDefault="005C664D" w:rsidP="003F3B94">
      <w:pPr>
        <w:pStyle w:val="a0"/>
        <w:rPr>
          <w:rFonts w:hint="cs"/>
          <w:spacing w:val="-4"/>
          <w:rtl/>
          <w:lang w:bidi="ar-SY"/>
        </w:rPr>
      </w:pPr>
      <w:r w:rsidRPr="00A1493A">
        <w:rPr>
          <w:rFonts w:ascii="Abo-thar" w:hAnsi="Abo-thar" w:hint="cs"/>
          <w:spacing w:val="-4"/>
          <w:sz w:val="28"/>
          <w:rtl/>
          <w:lang w:bidi="ar-SY"/>
        </w:rPr>
        <w:t xml:space="preserve">ثم ذكر قول من يقول بوجوب </w:t>
      </w:r>
      <w:r w:rsidRPr="00A1493A">
        <w:rPr>
          <w:rFonts w:ascii="Abo-thar" w:hAnsi="Abo-thar"/>
          <w:spacing w:val="-4"/>
          <w:sz w:val="28"/>
          <w:rtl/>
          <w:lang w:bidi="ar-SY"/>
        </w:rPr>
        <w:t>حفظ</w:t>
      </w:r>
      <w:r w:rsidRPr="00A1493A">
        <w:rPr>
          <w:rFonts w:ascii="Abo-thar" w:hAnsi="Abo-thar" w:hint="cs"/>
          <w:spacing w:val="-4"/>
          <w:sz w:val="28"/>
          <w:rtl/>
          <w:lang w:bidi="ar-SY"/>
        </w:rPr>
        <w:t xml:space="preserve"> هذا الخمس جانباً </w:t>
      </w:r>
      <w:r w:rsidRPr="00A1493A">
        <w:rPr>
          <w:rFonts w:ascii="Abo-thar" w:hAnsi="Abo-thar"/>
          <w:spacing w:val="-4"/>
          <w:sz w:val="28"/>
          <w:rtl/>
          <w:lang w:bidi="ar-SY"/>
        </w:rPr>
        <w:t>فإذا حض</w:t>
      </w:r>
      <w:r w:rsidRPr="00A1493A">
        <w:rPr>
          <w:rFonts w:ascii="Abo-thar" w:hAnsi="Abo-thar" w:hint="cs"/>
          <w:spacing w:val="-4"/>
          <w:sz w:val="28"/>
          <w:rtl/>
          <w:lang w:bidi="ar-SY"/>
        </w:rPr>
        <w:t>ـ</w:t>
      </w:r>
      <w:r w:rsidRPr="00A1493A">
        <w:rPr>
          <w:rFonts w:ascii="Abo-thar" w:hAnsi="Abo-thar"/>
          <w:spacing w:val="-4"/>
          <w:sz w:val="28"/>
          <w:rtl/>
          <w:lang w:bidi="ar-SY"/>
        </w:rPr>
        <w:t>رته الوفاة</w:t>
      </w:r>
      <w:r w:rsidR="00217AB4" w:rsidRPr="00A1493A">
        <w:rPr>
          <w:rFonts w:ascii="Abo-thar" w:hAnsi="Abo-thar"/>
          <w:spacing w:val="-4"/>
          <w:sz w:val="28"/>
          <w:rtl/>
          <w:lang w:bidi="ar-SY"/>
        </w:rPr>
        <w:t>،</w:t>
      </w:r>
      <w:r w:rsidRPr="00A1493A">
        <w:rPr>
          <w:rFonts w:ascii="Abo-thar" w:hAnsi="Abo-thar"/>
          <w:spacing w:val="-4"/>
          <w:sz w:val="28"/>
          <w:rtl/>
          <w:lang w:bidi="ar-SY"/>
        </w:rPr>
        <w:t xml:space="preserve"> وص</w:t>
      </w:r>
      <w:r w:rsidRPr="00A1493A">
        <w:rPr>
          <w:rFonts w:ascii="Abo-thar" w:hAnsi="Abo-thar" w:hint="cs"/>
          <w:spacing w:val="-4"/>
          <w:sz w:val="28"/>
          <w:rtl/>
          <w:lang w:bidi="ar-SY"/>
        </w:rPr>
        <w:t>َّ</w:t>
      </w:r>
      <w:r w:rsidRPr="00A1493A">
        <w:rPr>
          <w:rFonts w:ascii="Abo-thar" w:hAnsi="Abo-thar"/>
          <w:spacing w:val="-4"/>
          <w:sz w:val="28"/>
          <w:rtl/>
          <w:lang w:bidi="ar-SY"/>
        </w:rPr>
        <w:t>ى به إلى من يثق به من إخوانه</w:t>
      </w:r>
      <w:r w:rsidR="00217AB4" w:rsidRPr="00A1493A">
        <w:rPr>
          <w:rFonts w:ascii="Abo-thar" w:hAnsi="Abo-thar" w:hint="cs"/>
          <w:spacing w:val="-4"/>
          <w:sz w:val="28"/>
          <w:rtl/>
          <w:lang w:bidi="ar-SY"/>
        </w:rPr>
        <w:t>..،</w:t>
      </w:r>
      <w:r w:rsidRPr="00A1493A">
        <w:rPr>
          <w:rFonts w:ascii="Abo-thar" w:hAnsi="Abo-thar" w:hint="cs"/>
          <w:spacing w:val="-4"/>
          <w:sz w:val="28"/>
          <w:rtl/>
          <w:lang w:bidi="ar-SY"/>
        </w:rPr>
        <w:t xml:space="preserve"> وقول من يقول</w:t>
      </w:r>
      <w:r w:rsidRPr="00A1493A">
        <w:rPr>
          <w:rFonts w:ascii="Abo-thar" w:hAnsi="Abo-thar"/>
          <w:spacing w:val="-4"/>
          <w:sz w:val="28"/>
          <w:rtl/>
          <w:lang w:bidi="ar-SY"/>
        </w:rPr>
        <w:t xml:space="preserve"> يجب دفنه</w:t>
      </w:r>
      <w:r w:rsidR="00217AB4" w:rsidRPr="00A1493A">
        <w:rPr>
          <w:rFonts w:ascii="Abo-thar" w:hAnsi="Abo-thar" w:hint="cs"/>
          <w:spacing w:val="-4"/>
          <w:sz w:val="28"/>
          <w:rtl/>
          <w:lang w:bidi="ar-SY"/>
        </w:rPr>
        <w:t>،</w:t>
      </w:r>
      <w:r w:rsidRPr="00A1493A">
        <w:rPr>
          <w:rFonts w:ascii="Abo-thar" w:hAnsi="Abo-thar" w:hint="cs"/>
          <w:spacing w:val="-4"/>
          <w:sz w:val="28"/>
          <w:rtl/>
          <w:lang w:bidi="ar-SY"/>
        </w:rPr>
        <w:t xml:space="preserve"> وكما هو مُلاحظٌ قول الشيخ مضطرب في هذا الأمر</w:t>
      </w:r>
      <w:r w:rsidR="00217AB4" w:rsidRPr="00A1493A">
        <w:rPr>
          <w:rFonts w:ascii="Abo-thar" w:hAnsi="Abo-thar" w:hint="cs"/>
          <w:spacing w:val="-4"/>
          <w:sz w:val="28"/>
          <w:rtl/>
          <w:lang w:bidi="ar-SY"/>
        </w:rPr>
        <w:t>.</w:t>
      </w:r>
    </w:p>
    <w:p w:rsidR="005C664D" w:rsidRPr="003F3B94" w:rsidRDefault="005C664D" w:rsidP="003F3B94">
      <w:pPr>
        <w:pStyle w:val="a0"/>
        <w:rPr>
          <w:rFonts w:hint="cs"/>
          <w:rtl/>
          <w:lang w:bidi="ar-SY"/>
        </w:rPr>
      </w:pPr>
      <w:r w:rsidRPr="003F3B94">
        <w:rPr>
          <w:rFonts w:ascii="Abo-thar" w:hAnsi="Abo-thar" w:hint="cs"/>
          <w:sz w:val="28"/>
          <w:rtl/>
          <w:lang w:bidi="ar-SY"/>
        </w:rPr>
        <w:t>3</w:t>
      </w:r>
      <w:r w:rsidR="00217AB4" w:rsidRPr="003F3B94">
        <w:rPr>
          <w:rFonts w:ascii="Abo-thar" w:hAnsi="Abo-thar" w:hint="cs"/>
          <w:sz w:val="28"/>
          <w:rtl/>
          <w:lang w:bidi="ar-SY"/>
        </w:rPr>
        <w:t>-</w:t>
      </w:r>
      <w:r w:rsidR="00147857" w:rsidRPr="003F3B94">
        <w:rPr>
          <w:rFonts w:ascii="Abo-thar" w:hAnsi="Abo-thar" w:hint="cs"/>
          <w:sz w:val="28"/>
          <w:rtl/>
          <w:lang w:bidi="ar-SY"/>
        </w:rPr>
        <w:t xml:space="preserve"> </w:t>
      </w:r>
      <w:r w:rsidRPr="003F3B94">
        <w:rPr>
          <w:rFonts w:ascii="Abo-thar" w:hAnsi="Abo-thar" w:hint="cs"/>
          <w:sz w:val="28"/>
          <w:rtl/>
          <w:lang w:bidi="ar-SY"/>
        </w:rPr>
        <w:t xml:space="preserve">قال </w:t>
      </w:r>
      <w:r w:rsidRPr="003F3B94">
        <w:rPr>
          <w:rFonts w:ascii="Lotus Linotype" w:hAnsi="Lotus Linotype" w:hint="cs"/>
          <w:sz w:val="28"/>
          <w:rtl/>
          <w:lang w:bidi="ar-SY"/>
        </w:rPr>
        <w:t xml:space="preserve">المرحوم الشيخ يوسف البحراني </w:t>
      </w:r>
      <w:r w:rsidRPr="003F3B94">
        <w:rPr>
          <w:rFonts w:ascii="Abo-thar" w:hAnsi="Abo-thar" w:hint="cs"/>
          <w:sz w:val="28"/>
          <w:rtl/>
          <w:lang w:bidi="ar-SY"/>
        </w:rPr>
        <w:t xml:space="preserve">في </w:t>
      </w:r>
      <w:r w:rsidRPr="003F3B94">
        <w:rPr>
          <w:rFonts w:ascii="Lotus Linotype" w:hAnsi="Lotus Linotype" w:hint="cs"/>
          <w:sz w:val="28"/>
          <w:rtl/>
          <w:lang w:bidi="ar-SY"/>
        </w:rPr>
        <w:t>المجلد 12</w:t>
      </w:r>
      <w:r w:rsidRPr="003F3B94">
        <w:rPr>
          <w:rFonts w:ascii="Abo-thar" w:hAnsi="Abo-thar" w:hint="cs"/>
          <w:sz w:val="28"/>
          <w:rtl/>
          <w:lang w:bidi="ar-SY"/>
        </w:rPr>
        <w:t xml:space="preserve">من كتابه </w:t>
      </w:r>
      <w:r w:rsidRPr="003F3B94">
        <w:rPr>
          <w:rFonts w:ascii="Lotus Linotype" w:hAnsi="Lotus Linotype"/>
          <w:sz w:val="28"/>
          <w:rtl/>
          <w:lang w:bidi="ar-SY"/>
        </w:rPr>
        <w:t>«</w:t>
      </w:r>
      <w:r w:rsidRPr="003F3B94">
        <w:rPr>
          <w:rFonts w:ascii="Lotus Linotype" w:hAnsi="Lotus Linotype" w:hint="cs"/>
          <w:sz w:val="28"/>
          <w:rtl/>
          <w:lang w:bidi="ar-SY"/>
        </w:rPr>
        <w:t>الحدائق الناضرة</w:t>
      </w:r>
      <w:r w:rsidRPr="003F3B94">
        <w:rPr>
          <w:rFonts w:ascii="Lotus Linotype" w:hAnsi="Lotus Linotype"/>
          <w:sz w:val="28"/>
          <w:rtl/>
          <w:lang w:bidi="ar-SY"/>
        </w:rPr>
        <w:t>»</w:t>
      </w:r>
      <w:r w:rsidRPr="003F3B94">
        <w:rPr>
          <w:rFonts w:ascii="Lotus Linotype" w:hAnsi="Lotus Linotype" w:hint="cs"/>
          <w:sz w:val="28"/>
          <w:rtl/>
          <w:lang w:bidi="ar-SY"/>
        </w:rPr>
        <w:t xml:space="preserve"> تحت فصل بعنوان </w:t>
      </w:r>
      <w:r w:rsidR="00217AB4" w:rsidRPr="003F3B94">
        <w:rPr>
          <w:rFonts w:ascii="Lotus Linotype" w:hAnsi="Lotus Linotype" w:hint="cs"/>
          <w:sz w:val="28"/>
          <w:rtl/>
          <w:lang w:bidi="ar-SY"/>
        </w:rPr>
        <w:t>(</w:t>
      </w:r>
      <w:r w:rsidRPr="003F3B94">
        <w:rPr>
          <w:rFonts w:ascii="Lotus Linotype" w:hAnsi="Lotus Linotype" w:hint="cs"/>
          <w:sz w:val="28"/>
          <w:rtl/>
          <w:lang w:bidi="ar-SY"/>
        </w:rPr>
        <w:t>الأقوال في حكم الخمس في زمن الغيبة</w:t>
      </w:r>
      <w:r w:rsidR="00217AB4" w:rsidRPr="003F3B94">
        <w:rPr>
          <w:rFonts w:ascii="Lotus Linotype" w:hAnsi="Lotus Linotype" w:hint="cs"/>
          <w:sz w:val="28"/>
          <w:rtl/>
          <w:lang w:bidi="ar-SY"/>
        </w:rPr>
        <w:t>)</w:t>
      </w:r>
      <w:r w:rsidRPr="003F3B94">
        <w:rPr>
          <w:rFonts w:ascii="Lotus Linotype" w:hAnsi="Lotus Linotype" w:hint="cs"/>
          <w:sz w:val="28"/>
          <w:rtl/>
          <w:lang w:bidi="ar-SY"/>
        </w:rPr>
        <w:t xml:space="preserve"> ما نصُّه</w:t>
      </w:r>
      <w:r w:rsidR="00217AB4" w:rsidRPr="003F3B94">
        <w:rPr>
          <w:rFonts w:ascii="Lotus Linotype" w:hAnsi="Lotus Linotype" w:hint="cs"/>
          <w:sz w:val="28"/>
          <w:rtl/>
          <w:lang w:bidi="ar-SY"/>
        </w:rPr>
        <w:t>:</w:t>
      </w:r>
    </w:p>
    <w:p w:rsidR="005C664D" w:rsidRPr="00A1493A" w:rsidRDefault="00EF2588" w:rsidP="003F3B94">
      <w:pPr>
        <w:pStyle w:val="a0"/>
        <w:rPr>
          <w:rFonts w:hint="cs"/>
          <w:spacing w:val="-2"/>
          <w:rtl/>
          <w:lang w:bidi="ar-SY"/>
        </w:rPr>
      </w:pPr>
      <w:r w:rsidRPr="00A1493A">
        <w:rPr>
          <w:rFonts w:ascii="Lotus Linotype" w:hAnsi="Lotus Linotype" w:hint="cs"/>
          <w:spacing w:val="-2"/>
          <w:sz w:val="28"/>
          <w:rtl/>
          <w:lang w:bidi="ar-SY"/>
        </w:rPr>
        <w:t>«</w:t>
      </w:r>
      <w:r w:rsidR="005C664D" w:rsidRPr="00A1493A">
        <w:rPr>
          <w:rFonts w:ascii="Lotus Linotype" w:hAnsi="Lotus Linotype"/>
          <w:spacing w:val="-2"/>
          <w:sz w:val="28"/>
          <w:rtl/>
          <w:lang w:bidi="ar-SY"/>
        </w:rPr>
        <w:t xml:space="preserve">الثاني </w:t>
      </w:r>
      <w:r w:rsidR="00217AB4" w:rsidRPr="00A1493A">
        <w:rPr>
          <w:rFonts w:ascii="Lotus Linotype" w:hAnsi="Lotus Linotype"/>
          <w:spacing w:val="-2"/>
          <w:sz w:val="28"/>
          <w:rtl/>
          <w:lang w:bidi="ar-SY"/>
        </w:rPr>
        <w:t>-</w:t>
      </w:r>
      <w:r w:rsidR="005C664D" w:rsidRPr="00A1493A">
        <w:rPr>
          <w:rFonts w:ascii="Lotus Linotype" w:hAnsi="Lotus Linotype"/>
          <w:spacing w:val="-2"/>
          <w:sz w:val="28"/>
          <w:rtl/>
          <w:lang w:bidi="ar-SY"/>
        </w:rPr>
        <w:t xml:space="preserve"> </w:t>
      </w:r>
      <w:r w:rsidR="005C664D" w:rsidRPr="00A1493A">
        <w:rPr>
          <w:rFonts w:ascii="Lotus Linotype" w:hAnsi="Lotus Linotype"/>
          <w:b/>
          <w:bCs/>
          <w:spacing w:val="-2"/>
          <w:sz w:val="28"/>
          <w:u w:val="single"/>
          <w:rtl/>
          <w:lang w:bidi="ar-SY"/>
        </w:rPr>
        <w:t>القول بسقوطه</w:t>
      </w:r>
      <w:r w:rsidR="00217AB4" w:rsidRPr="00A1493A">
        <w:rPr>
          <w:rFonts w:ascii="Lotus Linotype" w:hAnsi="Lotus Linotype" w:hint="cs"/>
          <w:b/>
          <w:bCs/>
          <w:spacing w:val="-2"/>
          <w:sz w:val="28"/>
          <w:rtl/>
          <w:lang w:bidi="ar-SY"/>
        </w:rPr>
        <w:t>!</w:t>
      </w:r>
      <w:r w:rsidR="005C664D" w:rsidRPr="00A1493A">
        <w:rPr>
          <w:rFonts w:ascii="Lotus Linotype" w:hAnsi="Lotus Linotype"/>
          <w:b/>
          <w:bCs/>
          <w:spacing w:val="-2"/>
          <w:sz w:val="28"/>
          <w:rtl/>
          <w:lang w:bidi="ar-SY"/>
        </w:rPr>
        <w:t xml:space="preserve"> كما نقله شيخنا المتقدم </w:t>
      </w:r>
      <w:r w:rsidR="00217AB4" w:rsidRPr="00A1493A">
        <w:rPr>
          <w:rFonts w:ascii="Lotus Linotype" w:hAnsi="Lotus Linotype"/>
          <w:b/>
          <w:bCs/>
          <w:spacing w:val="-2"/>
          <w:sz w:val="28"/>
          <w:rtl/>
          <w:lang w:bidi="ar-SY"/>
        </w:rPr>
        <w:t>(</w:t>
      </w:r>
      <w:r w:rsidR="005C664D" w:rsidRPr="00A1493A">
        <w:rPr>
          <w:rFonts w:ascii="Lotus Linotype" w:hAnsi="Lotus Linotype"/>
          <w:b/>
          <w:bCs/>
          <w:spacing w:val="-2"/>
          <w:sz w:val="28"/>
          <w:rtl/>
          <w:lang w:bidi="ar-SY"/>
        </w:rPr>
        <w:t>أي الشيخ المفيد</w:t>
      </w:r>
      <w:r w:rsidR="00217AB4" w:rsidRPr="00A1493A">
        <w:rPr>
          <w:rFonts w:ascii="Lotus Linotype" w:hAnsi="Lotus Linotype"/>
          <w:b/>
          <w:bCs/>
          <w:spacing w:val="-2"/>
          <w:sz w:val="28"/>
          <w:rtl/>
          <w:lang w:bidi="ar-SY"/>
        </w:rPr>
        <w:t>)</w:t>
      </w:r>
      <w:r w:rsidR="005C664D" w:rsidRPr="00A1493A">
        <w:rPr>
          <w:rFonts w:ascii="Lotus Linotype" w:hAnsi="Lotus Linotype"/>
          <w:b/>
          <w:bCs/>
          <w:spacing w:val="-2"/>
          <w:sz w:val="28"/>
          <w:rtl/>
          <w:lang w:bidi="ar-SY"/>
        </w:rPr>
        <w:t xml:space="preserve"> في صدر عبارته</w:t>
      </w:r>
      <w:r w:rsidR="00217AB4" w:rsidRPr="00A1493A">
        <w:rPr>
          <w:rFonts w:ascii="Lotus Linotype" w:hAnsi="Lotus Linotype"/>
          <w:b/>
          <w:bCs/>
          <w:spacing w:val="-2"/>
          <w:sz w:val="28"/>
          <w:rtl/>
          <w:lang w:bidi="ar-SY"/>
        </w:rPr>
        <w:t>،</w:t>
      </w:r>
      <w:r w:rsidR="005C664D" w:rsidRPr="00A1493A">
        <w:rPr>
          <w:rFonts w:ascii="Lotus Linotype" w:hAnsi="Lotus Linotype"/>
          <w:b/>
          <w:bCs/>
          <w:spacing w:val="-2"/>
          <w:sz w:val="28"/>
          <w:rtl/>
          <w:lang w:bidi="ar-SY"/>
        </w:rPr>
        <w:t xml:space="preserve"> وهو مذهب سلّار على ما نقله عنه في المختلف وغيره</w:t>
      </w:r>
      <w:r w:rsidR="00217AB4" w:rsidRPr="00A1493A">
        <w:rPr>
          <w:rFonts w:ascii="Lotus Linotype" w:hAnsi="Lotus Linotype"/>
          <w:b/>
          <w:bCs/>
          <w:spacing w:val="-2"/>
          <w:sz w:val="28"/>
          <w:rtl/>
          <w:lang w:bidi="ar-SY"/>
        </w:rPr>
        <w:t>،</w:t>
      </w:r>
      <w:r w:rsidR="005C664D" w:rsidRPr="00A1493A">
        <w:rPr>
          <w:rFonts w:ascii="Lotus Linotype" w:hAnsi="Lotus Linotype"/>
          <w:b/>
          <w:bCs/>
          <w:spacing w:val="-2"/>
          <w:sz w:val="28"/>
          <w:rtl/>
          <w:lang w:bidi="ar-SY"/>
        </w:rPr>
        <w:t xml:space="preserve"> قال بعد أن ذكر المنع من التصرف فيه زمن الحضور إلا بإذنه </w:t>
      </w:r>
      <w:r w:rsidR="003C7AEB" w:rsidRPr="00A1493A">
        <w:rPr>
          <w:rFonts w:ascii="Lotus Linotype" w:hAnsi="Lotus Linotype" w:cs="CTraditional Arabic"/>
          <w:b/>
          <w:spacing w:val="-2"/>
          <w:sz w:val="28"/>
          <w:rtl/>
          <w:lang w:bidi="ar-SY"/>
        </w:rPr>
        <w:t>÷</w:t>
      </w:r>
      <w:r w:rsidR="00217AB4" w:rsidRPr="00A1493A">
        <w:rPr>
          <w:rFonts w:ascii="Lotus Linotype" w:hAnsi="Lotus Linotype"/>
          <w:b/>
          <w:bCs/>
          <w:spacing w:val="-2"/>
          <w:sz w:val="28"/>
          <w:rtl/>
          <w:lang w:bidi="ar-SY"/>
        </w:rPr>
        <w:t>:</w:t>
      </w:r>
      <w:r w:rsidR="005C664D" w:rsidRPr="00A1493A">
        <w:rPr>
          <w:rFonts w:ascii="Lotus Linotype" w:hAnsi="Lotus Linotype"/>
          <w:b/>
          <w:bCs/>
          <w:spacing w:val="-2"/>
          <w:sz w:val="28"/>
          <w:rtl/>
          <w:lang w:bidi="ar-SY"/>
        </w:rPr>
        <w:t xml:space="preserve"> وفي هذا الزمان قد حللونا بالتصرُّف فيه كرماً وفضلاً لنا خاصة</w:t>
      </w:r>
      <w:r w:rsidR="00217AB4" w:rsidRPr="00A1493A">
        <w:rPr>
          <w:rFonts w:ascii="Lotus Linotype" w:hAnsi="Lotus Linotype"/>
          <w:b/>
          <w:bCs/>
          <w:spacing w:val="-2"/>
          <w:sz w:val="28"/>
          <w:rtl/>
          <w:lang w:bidi="ar-SY"/>
        </w:rPr>
        <w:t>.</w:t>
      </w:r>
      <w:r w:rsidR="005C664D" w:rsidRPr="00A1493A">
        <w:rPr>
          <w:rFonts w:ascii="Lotus Linotype" w:hAnsi="Lotus Linotype"/>
          <w:b/>
          <w:bCs/>
          <w:spacing w:val="-2"/>
          <w:sz w:val="28"/>
          <w:rtl/>
          <w:lang w:bidi="ar-SY"/>
        </w:rPr>
        <w:t xml:space="preserve"> واختار هذا القول الفاضل المولى محمد باقر الخراساني في الذخيرة</w:t>
      </w:r>
      <w:r w:rsidR="00217AB4" w:rsidRPr="00A1493A">
        <w:rPr>
          <w:rFonts w:cs="Arabic11 BT"/>
          <w:b/>
          <w:spacing w:val="-2"/>
          <w:sz w:val="28"/>
          <w:vertAlign w:val="superscript"/>
          <w:rtl/>
          <w:lang w:bidi="ar-SY"/>
        </w:rPr>
        <w:t>(</w:t>
      </w:r>
      <w:r w:rsidR="005C664D" w:rsidRPr="00A1493A">
        <w:rPr>
          <w:rStyle w:val="FootnoteReference"/>
          <w:rFonts w:cs="Arabic11 BT"/>
          <w:b/>
          <w:spacing w:val="-2"/>
          <w:sz w:val="28"/>
          <w:rtl/>
          <w:lang w:bidi="ar-SY"/>
        </w:rPr>
        <w:footnoteReference w:id="407"/>
      </w:r>
      <w:r w:rsidR="00217AB4" w:rsidRPr="00A1493A">
        <w:rPr>
          <w:rFonts w:cs="Arabic11 BT"/>
          <w:b/>
          <w:spacing w:val="-2"/>
          <w:sz w:val="28"/>
          <w:vertAlign w:val="superscript"/>
          <w:rtl/>
          <w:lang w:bidi="ar-SY"/>
        </w:rPr>
        <w:t>)</w:t>
      </w:r>
      <w:r w:rsidR="005C664D" w:rsidRPr="00A1493A">
        <w:rPr>
          <w:rFonts w:ascii="Lotus Linotype" w:hAnsi="Lotus Linotype"/>
          <w:b/>
          <w:bCs/>
          <w:spacing w:val="-2"/>
          <w:sz w:val="28"/>
          <w:rtl/>
          <w:lang w:bidi="ar-SY"/>
        </w:rPr>
        <w:t xml:space="preserve"> وشيخنا المحدث الصالح الشيخ عبد الله بن صالح البحراني</w:t>
      </w:r>
      <w:r w:rsidR="00217AB4" w:rsidRPr="00A1493A">
        <w:rPr>
          <w:rFonts w:ascii="Lotus Linotype" w:hAnsi="Lotus Linotype"/>
          <w:b/>
          <w:bCs/>
          <w:spacing w:val="-2"/>
          <w:sz w:val="28"/>
          <w:rtl/>
          <w:lang w:bidi="ar-SY"/>
        </w:rPr>
        <w:t>،</w:t>
      </w:r>
      <w:r w:rsidR="005C664D" w:rsidRPr="00A1493A">
        <w:rPr>
          <w:rFonts w:ascii="Lotus Linotype" w:hAnsi="Lotus Linotype"/>
          <w:b/>
          <w:bCs/>
          <w:spacing w:val="-2"/>
          <w:sz w:val="28"/>
          <w:rtl/>
          <w:lang w:bidi="ar-SY"/>
        </w:rPr>
        <w:t xml:space="preserve"> وسيج</w:t>
      </w:r>
      <w:r w:rsidR="005C664D" w:rsidRPr="00A1493A">
        <w:rPr>
          <w:rFonts w:ascii="Lotus Linotype" w:hAnsi="Lotus Linotype" w:hint="cs"/>
          <w:b/>
          <w:bCs/>
          <w:spacing w:val="-2"/>
          <w:sz w:val="28"/>
          <w:rtl/>
          <w:lang w:bidi="ar-SY"/>
        </w:rPr>
        <w:t>يء</w:t>
      </w:r>
      <w:r w:rsidR="005C664D" w:rsidRPr="00A1493A">
        <w:rPr>
          <w:rFonts w:ascii="Lotus Linotype" w:hAnsi="Lotus Linotype"/>
          <w:b/>
          <w:bCs/>
          <w:spacing w:val="-2"/>
          <w:sz w:val="28"/>
          <w:rtl/>
          <w:lang w:bidi="ar-SY"/>
        </w:rPr>
        <w:t xml:space="preserve"> نقل كلاميها ومستندهم فيه أخبار التحليل المتقدمة</w:t>
      </w:r>
      <w:r w:rsidR="00217AB4" w:rsidRPr="00A1493A">
        <w:rPr>
          <w:rFonts w:ascii="Lotus Linotype" w:hAnsi="Lotus Linotype" w:hint="cs"/>
          <w:b/>
          <w:bCs/>
          <w:spacing w:val="-2"/>
          <w:sz w:val="28"/>
          <w:rtl/>
          <w:lang w:bidi="ar-SY"/>
        </w:rPr>
        <w:t>.</w:t>
      </w:r>
      <w:r w:rsidR="005C664D" w:rsidRPr="00A1493A">
        <w:rPr>
          <w:rFonts w:ascii="Lotus Linotype" w:hAnsi="Lotus Linotype"/>
          <w:b/>
          <w:bCs/>
          <w:spacing w:val="-2"/>
          <w:sz w:val="28"/>
          <w:rtl/>
          <w:lang w:bidi="ar-SY"/>
        </w:rPr>
        <w:t xml:space="preserve"> وسيج</w:t>
      </w:r>
      <w:r w:rsidR="005C664D" w:rsidRPr="00A1493A">
        <w:rPr>
          <w:rFonts w:ascii="Lotus Linotype" w:hAnsi="Lotus Linotype" w:hint="cs"/>
          <w:b/>
          <w:bCs/>
          <w:spacing w:val="-2"/>
          <w:sz w:val="28"/>
          <w:rtl/>
          <w:lang w:bidi="ar-SY"/>
        </w:rPr>
        <w:t>يء</w:t>
      </w:r>
      <w:r w:rsidR="005C664D" w:rsidRPr="00A1493A">
        <w:rPr>
          <w:rFonts w:ascii="Lotus Linotype" w:hAnsi="Lotus Linotype"/>
          <w:b/>
          <w:bCs/>
          <w:spacing w:val="-2"/>
          <w:sz w:val="28"/>
          <w:rtl/>
          <w:lang w:bidi="ar-SY"/>
        </w:rPr>
        <w:t xml:space="preserve"> الكلام معهما فيه إن شاء الله تعالى</w:t>
      </w:r>
      <w:r w:rsidR="00217AB4" w:rsidRPr="00A1493A">
        <w:rPr>
          <w:rFonts w:ascii="Lotus Linotype" w:hAnsi="Lotus Linotype"/>
          <w:b/>
          <w:bCs/>
          <w:spacing w:val="-2"/>
          <w:sz w:val="28"/>
          <w:rtl/>
          <w:lang w:bidi="ar-SY"/>
        </w:rPr>
        <w:t>،</w:t>
      </w:r>
      <w:r w:rsidR="005C664D" w:rsidRPr="00A1493A">
        <w:rPr>
          <w:rFonts w:ascii="Lotus Linotype" w:hAnsi="Lotus Linotype"/>
          <w:b/>
          <w:bCs/>
          <w:spacing w:val="-2"/>
          <w:sz w:val="28"/>
          <w:rtl/>
          <w:lang w:bidi="ar-SY"/>
        </w:rPr>
        <w:t xml:space="preserve"> </w:t>
      </w:r>
      <w:r w:rsidR="005C664D" w:rsidRPr="00A1493A">
        <w:rPr>
          <w:rFonts w:ascii="Lotus Linotype" w:hAnsi="Lotus Linotype"/>
          <w:b/>
          <w:bCs/>
          <w:spacing w:val="-2"/>
          <w:sz w:val="28"/>
          <w:u w:val="single"/>
          <w:rtl/>
          <w:lang w:bidi="ar-SY"/>
        </w:rPr>
        <w:t>وهذا القول مشهور الآن بين جملة من المعاصرين</w:t>
      </w:r>
      <w:r w:rsidR="00F456DF" w:rsidRPr="00A1493A">
        <w:rPr>
          <w:rFonts w:ascii="Lotus Linotype" w:hAnsi="Lotus Linotype"/>
          <w:b/>
          <w:bCs/>
          <w:spacing w:val="-2"/>
          <w:sz w:val="28"/>
          <w:rtl/>
          <w:lang w:bidi="ar-SY"/>
        </w:rPr>
        <w:t>»</w:t>
      </w:r>
      <w:r w:rsidR="00217AB4" w:rsidRPr="00A1493A">
        <w:rPr>
          <w:rFonts w:cs="Arabic11 BT"/>
          <w:b/>
          <w:spacing w:val="-2"/>
          <w:sz w:val="28"/>
          <w:vertAlign w:val="superscript"/>
          <w:rtl/>
          <w:lang w:bidi="ar-SY"/>
        </w:rPr>
        <w:t>(</w:t>
      </w:r>
      <w:r w:rsidR="005C664D" w:rsidRPr="00A1493A">
        <w:rPr>
          <w:rStyle w:val="FootnoteReference"/>
          <w:rFonts w:cs="Arabic11 BT"/>
          <w:b/>
          <w:spacing w:val="-2"/>
          <w:sz w:val="28"/>
          <w:rtl/>
          <w:lang w:bidi="ar-SY"/>
        </w:rPr>
        <w:footnoteReference w:id="408"/>
      </w:r>
      <w:r w:rsidR="00217AB4" w:rsidRPr="00A1493A">
        <w:rPr>
          <w:rFonts w:cs="Arabic11 BT"/>
          <w:b/>
          <w:spacing w:val="-2"/>
          <w:sz w:val="28"/>
          <w:vertAlign w:val="superscript"/>
          <w:rtl/>
          <w:lang w:bidi="ar-SY"/>
        </w:rPr>
        <w:t>)</w:t>
      </w:r>
      <w:r w:rsidR="00217AB4" w:rsidRPr="00A1493A">
        <w:rPr>
          <w:rFonts w:hint="cs"/>
          <w:spacing w:val="-2"/>
          <w:sz w:val="28"/>
          <w:rtl/>
          <w:lang w:bidi="ar-SY"/>
        </w:rPr>
        <w:t>.</w:t>
      </w:r>
    </w:p>
    <w:p w:rsidR="005C664D" w:rsidRPr="003F3B94" w:rsidRDefault="005C664D" w:rsidP="003F3B94">
      <w:pPr>
        <w:pStyle w:val="a0"/>
        <w:rPr>
          <w:rFonts w:hint="cs"/>
          <w:rtl/>
          <w:lang w:bidi="fa-IR"/>
        </w:rPr>
      </w:pPr>
      <w:r w:rsidRPr="003F3B94">
        <w:rPr>
          <w:rFonts w:ascii="Abo-thar" w:hAnsi="Abo-thar" w:hint="cs"/>
          <w:sz w:val="28"/>
          <w:rtl/>
          <w:lang w:bidi="ar-SY"/>
        </w:rPr>
        <w:t>4</w:t>
      </w:r>
      <w:r w:rsidR="00217AB4" w:rsidRPr="003F3B94">
        <w:rPr>
          <w:rFonts w:ascii="Abo-thar" w:hAnsi="Abo-thar" w:hint="cs"/>
          <w:sz w:val="28"/>
          <w:rtl/>
          <w:lang w:bidi="ar-SY"/>
        </w:rPr>
        <w:t>-</w:t>
      </w:r>
      <w:r w:rsidRPr="003F3B94">
        <w:rPr>
          <w:rFonts w:ascii="Abo-thar" w:hAnsi="Abo-thar" w:hint="cs"/>
          <w:sz w:val="28"/>
          <w:rtl/>
          <w:lang w:bidi="ar-SY"/>
        </w:rPr>
        <w:t xml:space="preserve"> وقال العلامة الحلي في</w:t>
      </w:r>
      <w:r w:rsidRPr="003F3B94">
        <w:rPr>
          <w:rFonts w:ascii="Abo-thar" w:hAnsi="Abo-thar"/>
          <w:sz w:val="28"/>
          <w:rtl/>
          <w:lang w:bidi="ar-SY"/>
        </w:rPr>
        <w:t xml:space="preserve"> «</w:t>
      </w:r>
      <w:r w:rsidRPr="003F3B94">
        <w:rPr>
          <w:rFonts w:ascii="Abo-thar" w:hAnsi="Abo-thar" w:hint="cs"/>
          <w:sz w:val="28"/>
          <w:rtl/>
          <w:lang w:bidi="ar-SY"/>
        </w:rPr>
        <w:t>مختلف الشيعة</w:t>
      </w:r>
      <w:r w:rsidRPr="003F3B94">
        <w:rPr>
          <w:rFonts w:ascii="Abo-thar" w:hAnsi="Abo-thar"/>
          <w:sz w:val="28"/>
          <w:rtl/>
          <w:lang w:bidi="ar-SY"/>
        </w:rPr>
        <w:t>»</w:t>
      </w:r>
      <w:r w:rsidR="00217AB4" w:rsidRPr="003F3B94">
        <w:rPr>
          <w:rFonts w:ascii="Abo-thar" w:hAnsi="Abo-thar" w:hint="cs"/>
          <w:sz w:val="28"/>
          <w:rtl/>
          <w:lang w:bidi="ar-SY"/>
        </w:rPr>
        <w:t>:</w:t>
      </w:r>
      <w:r w:rsidRPr="003F3B94">
        <w:rPr>
          <w:rFonts w:ascii="Abo-thar" w:hAnsi="Abo-thar" w:hint="cs"/>
          <w:sz w:val="28"/>
          <w:rtl/>
          <w:lang w:bidi="ar-SY"/>
        </w:rPr>
        <w:t xml:space="preserve"> </w:t>
      </w:r>
      <w:r w:rsidR="00EF2588" w:rsidRPr="003F3B94">
        <w:rPr>
          <w:rFonts w:ascii="Abo-thar" w:hAnsi="Abo-thar" w:hint="cs"/>
          <w:sz w:val="28"/>
          <w:rtl/>
          <w:lang w:bidi="ar-SY"/>
        </w:rPr>
        <w:t>«</w:t>
      </w:r>
      <w:r w:rsidRPr="003F3B94">
        <w:rPr>
          <w:rFonts w:ascii="Abo-thar" w:hAnsi="Abo-thar"/>
          <w:b/>
          <w:bCs/>
          <w:sz w:val="28"/>
          <w:rtl/>
          <w:lang w:bidi="ar-SY"/>
        </w:rPr>
        <w:t>احتج ابن الجنيد بأصالة البراءة</w:t>
      </w:r>
      <w:r w:rsidR="00217AB4" w:rsidRPr="003F3B94">
        <w:rPr>
          <w:rFonts w:ascii="Abo-thar" w:hAnsi="Abo-thar"/>
          <w:b/>
          <w:bCs/>
          <w:sz w:val="28"/>
          <w:rtl/>
          <w:lang w:bidi="ar-SY"/>
        </w:rPr>
        <w:t>،</w:t>
      </w:r>
      <w:r w:rsidRPr="003F3B94">
        <w:rPr>
          <w:rFonts w:ascii="Abo-thar" w:hAnsi="Abo-thar"/>
          <w:b/>
          <w:bCs/>
          <w:sz w:val="28"/>
          <w:rtl/>
          <w:lang w:bidi="ar-SY"/>
        </w:rPr>
        <w:t xml:space="preserve"> وبما رواه عبد الله بن سنان قال</w:t>
      </w:r>
      <w:r w:rsidR="00217AB4" w:rsidRPr="003F3B94">
        <w:rPr>
          <w:rFonts w:ascii="Abo-thar" w:hAnsi="Abo-thar"/>
          <w:b/>
          <w:bCs/>
          <w:sz w:val="28"/>
          <w:rtl/>
          <w:lang w:bidi="ar-SY"/>
        </w:rPr>
        <w:t>:</w:t>
      </w:r>
      <w:r w:rsidRPr="003F3B94">
        <w:rPr>
          <w:rFonts w:ascii="Abo-thar" w:hAnsi="Abo-thar"/>
          <w:b/>
          <w:bCs/>
          <w:sz w:val="28"/>
          <w:rtl/>
          <w:lang w:bidi="ar-SY"/>
        </w:rPr>
        <w:t xml:space="preserve"> سمعت أبا عبد الله </w:t>
      </w:r>
      <w:r w:rsidR="003C7AEB" w:rsidRPr="003C7AEB">
        <w:rPr>
          <w:rFonts w:ascii="Abo-thar" w:hAnsi="Abo-thar" w:cs="CTraditional Arabic"/>
          <w:b/>
          <w:sz w:val="28"/>
          <w:rtl/>
          <w:lang w:bidi="ar-SY"/>
        </w:rPr>
        <w:t>÷</w:t>
      </w:r>
      <w:r w:rsidRPr="003F3B94">
        <w:rPr>
          <w:rFonts w:ascii="Abo-thar" w:hAnsi="Abo-thar"/>
          <w:b/>
          <w:bCs/>
          <w:sz w:val="28"/>
          <w:rtl/>
          <w:lang w:bidi="ar-SY"/>
        </w:rPr>
        <w:t xml:space="preserve"> يقول</w:t>
      </w:r>
      <w:r w:rsidR="00217AB4" w:rsidRPr="003F3B94">
        <w:rPr>
          <w:rFonts w:ascii="Abo-thar" w:hAnsi="Abo-thar" w:hint="cs"/>
          <w:b/>
          <w:bCs/>
          <w:sz w:val="28"/>
          <w:rtl/>
          <w:lang w:bidi="ar-SY"/>
        </w:rPr>
        <w:t>:</w:t>
      </w:r>
      <w:r w:rsidRPr="003F3B94">
        <w:rPr>
          <w:rFonts w:ascii="Abo-thar" w:hAnsi="Abo-thar"/>
          <w:b/>
          <w:bCs/>
          <w:sz w:val="28"/>
          <w:rtl/>
          <w:lang w:bidi="ar-SY"/>
        </w:rPr>
        <w:t xml:space="preserve"> ليس الخمس إلا في الغنائم خاصة</w:t>
      </w:r>
      <w:r w:rsidR="00EF2588" w:rsidRPr="003F3B94">
        <w:rPr>
          <w:rFonts w:ascii="Abo-thar" w:hAnsi="Abo-thar" w:hint="cs"/>
          <w:sz w:val="28"/>
          <w:rtl/>
          <w:lang w:bidi="ar-SY"/>
        </w:rPr>
        <w:t>»</w:t>
      </w:r>
      <w:r w:rsidR="00217AB4" w:rsidRPr="0021507A">
        <w:rPr>
          <w:rFonts w:cs="Arabic11 BT"/>
          <w:b/>
          <w:sz w:val="28"/>
          <w:vertAlign w:val="superscript"/>
          <w:rtl/>
          <w:lang w:bidi="ar-SY"/>
        </w:rPr>
        <w:t>(</w:t>
      </w:r>
      <w:r w:rsidRPr="0021507A">
        <w:rPr>
          <w:rStyle w:val="FootnoteReference"/>
          <w:rFonts w:cs="Arabic11 BT"/>
          <w:b/>
          <w:sz w:val="28"/>
          <w:rtl/>
          <w:lang w:bidi="ar-SY"/>
        </w:rPr>
        <w:footnoteReference w:id="409"/>
      </w:r>
      <w:r w:rsidR="00217AB4" w:rsidRPr="0021507A">
        <w:rPr>
          <w:rFonts w:cs="Arabic11 BT"/>
          <w:b/>
          <w:sz w:val="28"/>
          <w:vertAlign w:val="superscript"/>
          <w:rtl/>
          <w:lang w:bidi="ar-SY"/>
        </w:rPr>
        <w:t>)</w:t>
      </w:r>
      <w:r w:rsidR="00217AB4" w:rsidRPr="003F3B94">
        <w:rPr>
          <w:rFonts w:hint="cs"/>
          <w:sz w:val="28"/>
          <w:rtl/>
          <w:lang w:bidi="ar-SY"/>
        </w:rPr>
        <w:t>.</w:t>
      </w:r>
      <w:r w:rsidR="00147857" w:rsidRPr="003F3B94">
        <w:rPr>
          <w:rFonts w:ascii="Abo-thar" w:hAnsi="Abo-thar" w:hint="cs"/>
          <w:sz w:val="28"/>
          <w:rtl/>
          <w:lang w:bidi="ar-SY"/>
        </w:rPr>
        <w:t xml:space="preserve"> </w:t>
      </w:r>
    </w:p>
    <w:p w:rsidR="005C664D" w:rsidRPr="00995B26" w:rsidRDefault="005C664D" w:rsidP="003F3B94">
      <w:pPr>
        <w:pStyle w:val="a0"/>
        <w:rPr>
          <w:rFonts w:hint="cs"/>
          <w:rtl/>
          <w:lang w:bidi="ar-SY"/>
        </w:rPr>
      </w:pPr>
      <w:r w:rsidRPr="003F3B94">
        <w:rPr>
          <w:rFonts w:ascii="Abo-thar" w:hAnsi="Abo-thar" w:hint="cs"/>
          <w:sz w:val="28"/>
          <w:rtl/>
          <w:lang w:bidi="ar-SY"/>
        </w:rPr>
        <w:t xml:space="preserve">ثم قال المرحوم الحلي بعد ذلك بصفحات </w:t>
      </w:r>
      <w:r w:rsidR="00217AB4" w:rsidRPr="003F3B94">
        <w:rPr>
          <w:rFonts w:ascii="Abo-thar" w:hAnsi="Abo-thar" w:hint="cs"/>
          <w:sz w:val="28"/>
          <w:rtl/>
          <w:lang w:bidi="ar-SY"/>
        </w:rPr>
        <w:t>(</w:t>
      </w:r>
      <w:r w:rsidRPr="003F3B94">
        <w:rPr>
          <w:rFonts w:ascii="Abo-thar" w:hAnsi="Abo-thar" w:hint="cs"/>
          <w:sz w:val="28"/>
          <w:rtl/>
          <w:lang w:bidi="ar-SY"/>
        </w:rPr>
        <w:t>ص 39</w:t>
      </w:r>
      <w:r w:rsidR="00217AB4" w:rsidRPr="003F3B94">
        <w:rPr>
          <w:rFonts w:ascii="Abo-thar" w:hAnsi="Abo-thar" w:hint="cs"/>
          <w:sz w:val="28"/>
          <w:rtl/>
          <w:lang w:bidi="ar-SY"/>
        </w:rPr>
        <w:t>):</w:t>
      </w:r>
      <w:r w:rsidRPr="003F3B94">
        <w:rPr>
          <w:rFonts w:ascii="Abo-thar" w:hAnsi="Abo-thar" w:hint="cs"/>
          <w:sz w:val="28"/>
          <w:rtl/>
          <w:lang w:bidi="ar-SY"/>
        </w:rPr>
        <w:t xml:space="preserve"> </w:t>
      </w:r>
      <w:r w:rsidR="00EF2588" w:rsidRPr="003F3B94">
        <w:rPr>
          <w:rFonts w:ascii="Abo-thar" w:hAnsi="Abo-thar" w:hint="cs"/>
          <w:sz w:val="28"/>
          <w:rtl/>
          <w:lang w:bidi="ar-SY"/>
        </w:rPr>
        <w:t>«</w:t>
      </w:r>
      <w:r w:rsidRPr="003F3B94">
        <w:rPr>
          <w:rFonts w:ascii="Abo-thar" w:hAnsi="Abo-thar"/>
          <w:b/>
          <w:bCs/>
          <w:sz w:val="28"/>
          <w:rtl/>
          <w:lang w:bidi="ar-SY"/>
        </w:rPr>
        <w:t>احتج القائلون بالإباحة كسلار وغيره بالأحاديث الدالة على الإباحة</w:t>
      </w:r>
      <w:r w:rsidR="00217AB4" w:rsidRPr="003F3B94">
        <w:rPr>
          <w:rFonts w:ascii="Abo-thar" w:hAnsi="Abo-thar"/>
          <w:b/>
          <w:bCs/>
          <w:sz w:val="28"/>
          <w:rtl/>
          <w:lang w:bidi="ar-SY"/>
        </w:rPr>
        <w:t>،</w:t>
      </w:r>
      <w:r w:rsidRPr="003F3B94">
        <w:rPr>
          <w:rFonts w:ascii="Abo-thar" w:hAnsi="Abo-thar"/>
          <w:b/>
          <w:bCs/>
          <w:sz w:val="28"/>
          <w:rtl/>
          <w:lang w:bidi="ar-SY"/>
        </w:rPr>
        <w:t xml:space="preserve"> وقد سبقت</w:t>
      </w:r>
      <w:r w:rsidR="00217AB4" w:rsidRPr="003F3B94">
        <w:rPr>
          <w:rFonts w:ascii="Abo-thar" w:hAnsi="Abo-thar"/>
          <w:b/>
          <w:bCs/>
          <w:sz w:val="28"/>
          <w:rtl/>
          <w:lang w:bidi="ar-SY"/>
        </w:rPr>
        <w:t>.</w:t>
      </w:r>
      <w:r w:rsidRPr="003F3B94">
        <w:rPr>
          <w:rFonts w:ascii="Abo-thar" w:hAnsi="Abo-thar"/>
          <w:b/>
          <w:bCs/>
          <w:sz w:val="28"/>
          <w:rtl/>
          <w:lang w:bidi="ar-SY"/>
        </w:rPr>
        <w:t xml:space="preserve"> وبما رواه ح</w:t>
      </w:r>
      <w:r w:rsidRPr="003F3B94">
        <w:rPr>
          <w:rFonts w:ascii="Abo-thar" w:hAnsi="Abo-thar" w:hint="cs"/>
          <w:b/>
          <w:bCs/>
          <w:sz w:val="28"/>
          <w:rtl/>
          <w:lang w:bidi="ar-SY"/>
        </w:rPr>
        <w:t>ُ</w:t>
      </w:r>
      <w:r w:rsidRPr="003F3B94">
        <w:rPr>
          <w:rFonts w:ascii="Abo-thar" w:hAnsi="Abo-thar"/>
          <w:b/>
          <w:bCs/>
          <w:sz w:val="28"/>
          <w:rtl/>
          <w:lang w:bidi="ar-SY"/>
        </w:rPr>
        <w:t>كيم مولى بني عبس</w:t>
      </w:r>
      <w:r w:rsidR="00217AB4" w:rsidRPr="003F3B94">
        <w:rPr>
          <w:rFonts w:ascii="Abo-thar" w:hAnsi="Abo-thar"/>
          <w:b/>
          <w:bCs/>
          <w:sz w:val="28"/>
          <w:rtl/>
          <w:lang w:bidi="ar-SY"/>
        </w:rPr>
        <w:t>،</w:t>
      </w:r>
      <w:r w:rsidRPr="003F3B94">
        <w:rPr>
          <w:rFonts w:ascii="Abo-thar" w:hAnsi="Abo-thar"/>
          <w:b/>
          <w:bCs/>
          <w:sz w:val="28"/>
          <w:rtl/>
          <w:lang w:bidi="ar-SY"/>
        </w:rPr>
        <w:t xml:space="preserve"> عن أبي عبد الله </w:t>
      </w:r>
      <w:r w:rsidR="003C7AEB" w:rsidRPr="003C7AEB">
        <w:rPr>
          <w:rFonts w:ascii="Abo-thar" w:hAnsi="Abo-thar" w:cs="CTraditional Arabic"/>
          <w:b/>
          <w:sz w:val="28"/>
          <w:rtl/>
          <w:lang w:bidi="ar-SY"/>
        </w:rPr>
        <w:t>÷</w:t>
      </w:r>
      <w:r w:rsidRPr="003F3B94">
        <w:rPr>
          <w:rFonts w:ascii="Abo-thar" w:hAnsi="Abo-thar"/>
          <w:b/>
          <w:bCs/>
          <w:sz w:val="28"/>
          <w:rtl/>
          <w:lang w:bidi="ar-SY"/>
        </w:rPr>
        <w:t xml:space="preserve"> قال</w:t>
      </w:r>
      <w:r w:rsidR="00217AB4" w:rsidRPr="003F3B94">
        <w:rPr>
          <w:rFonts w:ascii="Abo-thar" w:hAnsi="Abo-thar"/>
          <w:b/>
          <w:bCs/>
          <w:sz w:val="28"/>
          <w:rtl/>
          <w:lang w:bidi="ar-SY"/>
        </w:rPr>
        <w:t>:</w:t>
      </w:r>
      <w:r w:rsidRPr="003F3B94">
        <w:rPr>
          <w:rFonts w:ascii="Abo-thar" w:hAnsi="Abo-thar"/>
          <w:b/>
          <w:bCs/>
          <w:sz w:val="28"/>
          <w:rtl/>
          <w:lang w:bidi="ar-SY"/>
        </w:rPr>
        <w:t xml:space="preserve"> قلت له</w:t>
      </w:r>
      <w:r w:rsidR="00217AB4" w:rsidRPr="003F3B94">
        <w:rPr>
          <w:rFonts w:ascii="Abo-thar" w:hAnsi="Abo-thar"/>
          <w:b/>
          <w:bCs/>
          <w:sz w:val="28"/>
          <w:rtl/>
          <w:lang w:bidi="ar-SY"/>
        </w:rPr>
        <w:t>:</w:t>
      </w:r>
      <w:r w:rsidR="00B06788" w:rsidRPr="003F3B94">
        <w:rPr>
          <w:rFonts w:ascii="Abo-thar" w:hAnsi="Abo-thar" w:hint="cs"/>
          <w:b/>
          <w:bCs/>
          <w:sz w:val="28"/>
          <w:rtl/>
          <w:lang w:bidi="ar-SY"/>
        </w:rPr>
        <w:t xml:space="preserve"> </w:t>
      </w:r>
      <w:r w:rsidR="00B06788" w:rsidRPr="00995B26">
        <w:rPr>
          <w:rFonts w:ascii="Abo-thar" w:hAnsi="Abo-thar" w:cs="Traditional Arabic" w:hint="cs"/>
          <w:sz w:val="28"/>
          <w:rtl/>
        </w:rPr>
        <w:t>﴿</w:t>
      </w:r>
      <w:r w:rsidR="00B06788" w:rsidRPr="0067048A">
        <w:rPr>
          <w:rFonts w:ascii="KFGQPC Uthmanic Script HAFS" w:cs="KFGQPC Uthmanic Script HAFS" w:hint="eastAsia"/>
          <w:sz w:val="28"/>
          <w:szCs w:val="28"/>
          <w:rtl/>
        </w:rPr>
        <w:t>وَ</w:t>
      </w:r>
      <w:r w:rsidR="00B06788" w:rsidRPr="0067048A">
        <w:rPr>
          <w:rFonts w:ascii="KFGQPC Uthmanic Script HAFS" w:cs="KFGQPC Uthmanic Script HAFS" w:hint="cs"/>
          <w:sz w:val="28"/>
          <w:szCs w:val="28"/>
          <w:rtl/>
        </w:rPr>
        <w:t>ٱ</w:t>
      </w:r>
      <w:r w:rsidR="00B06788" w:rsidRPr="0067048A">
        <w:rPr>
          <w:rFonts w:ascii="KFGQPC Uthmanic Script HAFS" w:cs="KFGQPC Uthmanic Script HAFS" w:hint="eastAsia"/>
          <w:sz w:val="28"/>
          <w:szCs w:val="28"/>
          <w:rtl/>
        </w:rPr>
        <w:t>ع</w:t>
      </w:r>
      <w:r w:rsidR="00B06788" w:rsidRPr="0067048A">
        <w:rPr>
          <w:rFonts w:ascii="KFGQPC Uthmanic Script HAFS" w:cs="KFGQPC Uthmanic Script HAFS" w:hint="cs"/>
          <w:sz w:val="28"/>
          <w:szCs w:val="28"/>
          <w:rtl/>
        </w:rPr>
        <w:t>ۡ</w:t>
      </w:r>
      <w:r w:rsidR="00B06788" w:rsidRPr="0067048A">
        <w:rPr>
          <w:rFonts w:ascii="KFGQPC Uthmanic Script HAFS" w:cs="KFGQPC Uthmanic Script HAFS" w:hint="eastAsia"/>
          <w:sz w:val="28"/>
          <w:szCs w:val="28"/>
          <w:rtl/>
        </w:rPr>
        <w:t>لَمُو</w:t>
      </w:r>
      <w:r w:rsidR="00B06788" w:rsidRPr="0067048A">
        <w:rPr>
          <w:rFonts w:ascii="KFGQPC Uthmanic Script HAFS" w:cs="KFGQPC Uthmanic Script HAFS" w:hint="cs"/>
          <w:sz w:val="28"/>
          <w:szCs w:val="28"/>
          <w:rtl/>
        </w:rPr>
        <w:t>ٓ</w:t>
      </w:r>
      <w:r w:rsidR="00B06788" w:rsidRPr="0067048A">
        <w:rPr>
          <w:rFonts w:ascii="KFGQPC Uthmanic Script HAFS" w:cs="KFGQPC Uthmanic Script HAFS" w:hint="eastAsia"/>
          <w:sz w:val="28"/>
          <w:szCs w:val="28"/>
          <w:rtl/>
        </w:rPr>
        <w:t>اْ</w:t>
      </w:r>
      <w:r w:rsidR="00B06788" w:rsidRPr="0067048A">
        <w:rPr>
          <w:rFonts w:ascii="KFGQPC Uthmanic Script HAFS" w:cs="KFGQPC Uthmanic Script HAFS"/>
          <w:sz w:val="28"/>
          <w:szCs w:val="28"/>
          <w:rtl/>
        </w:rPr>
        <w:t xml:space="preserve"> </w:t>
      </w:r>
      <w:r w:rsidR="00B06788" w:rsidRPr="0067048A">
        <w:rPr>
          <w:rFonts w:ascii="KFGQPC Uthmanic Script HAFS" w:cs="KFGQPC Uthmanic Script HAFS" w:hint="eastAsia"/>
          <w:sz w:val="28"/>
          <w:szCs w:val="28"/>
          <w:rtl/>
        </w:rPr>
        <w:t>أَنَّمَا</w:t>
      </w:r>
      <w:r w:rsidR="00B06788" w:rsidRPr="0067048A">
        <w:rPr>
          <w:rFonts w:ascii="KFGQPC Uthmanic Script HAFS" w:cs="KFGQPC Uthmanic Script HAFS"/>
          <w:sz w:val="28"/>
          <w:szCs w:val="28"/>
          <w:rtl/>
        </w:rPr>
        <w:t xml:space="preserve"> </w:t>
      </w:r>
      <w:r w:rsidR="00B06788" w:rsidRPr="0067048A">
        <w:rPr>
          <w:rFonts w:ascii="KFGQPC Uthmanic Script HAFS" w:cs="KFGQPC Uthmanic Script HAFS" w:hint="eastAsia"/>
          <w:sz w:val="28"/>
          <w:szCs w:val="28"/>
          <w:rtl/>
        </w:rPr>
        <w:t>غَنِم</w:t>
      </w:r>
      <w:r w:rsidR="00B06788" w:rsidRPr="0067048A">
        <w:rPr>
          <w:rFonts w:ascii="KFGQPC Uthmanic Script HAFS" w:cs="KFGQPC Uthmanic Script HAFS" w:hint="cs"/>
          <w:sz w:val="28"/>
          <w:szCs w:val="28"/>
          <w:rtl/>
        </w:rPr>
        <w:t>ۡ</w:t>
      </w:r>
      <w:r w:rsidR="00B06788" w:rsidRPr="0067048A">
        <w:rPr>
          <w:rFonts w:ascii="KFGQPC Uthmanic Script HAFS" w:cs="KFGQPC Uthmanic Script HAFS" w:hint="eastAsia"/>
          <w:sz w:val="28"/>
          <w:szCs w:val="28"/>
          <w:rtl/>
        </w:rPr>
        <w:t>تُم</w:t>
      </w:r>
      <w:r w:rsidR="00B06788" w:rsidRPr="0067048A">
        <w:rPr>
          <w:rFonts w:ascii="KFGQPC Uthmanic Script HAFS" w:cs="KFGQPC Uthmanic Script HAFS"/>
          <w:sz w:val="28"/>
          <w:szCs w:val="28"/>
          <w:rtl/>
        </w:rPr>
        <w:t xml:space="preserve"> </w:t>
      </w:r>
      <w:r w:rsidR="00B06788" w:rsidRPr="0067048A">
        <w:rPr>
          <w:rFonts w:ascii="KFGQPC Uthmanic Script HAFS" w:cs="KFGQPC Uthmanic Script HAFS" w:hint="eastAsia"/>
          <w:sz w:val="28"/>
          <w:szCs w:val="28"/>
          <w:rtl/>
        </w:rPr>
        <w:t>مِّن</w:t>
      </w:r>
      <w:r w:rsidR="00B06788" w:rsidRPr="0067048A">
        <w:rPr>
          <w:rFonts w:ascii="KFGQPC Uthmanic Script HAFS" w:cs="KFGQPC Uthmanic Script HAFS"/>
          <w:sz w:val="28"/>
          <w:szCs w:val="28"/>
          <w:rtl/>
        </w:rPr>
        <w:t xml:space="preserve"> </w:t>
      </w:r>
      <w:r w:rsidR="00B06788" w:rsidRPr="0067048A">
        <w:rPr>
          <w:rFonts w:ascii="KFGQPC Uthmanic Script HAFS" w:cs="KFGQPC Uthmanic Script HAFS" w:hint="eastAsia"/>
          <w:sz w:val="28"/>
          <w:szCs w:val="28"/>
          <w:rtl/>
        </w:rPr>
        <w:t>شَي</w:t>
      </w:r>
      <w:r w:rsidR="00B06788" w:rsidRPr="0067048A">
        <w:rPr>
          <w:rFonts w:ascii="KFGQPC Uthmanic Script HAFS" w:cs="KFGQPC Uthmanic Script HAFS" w:hint="cs"/>
          <w:sz w:val="28"/>
          <w:szCs w:val="28"/>
          <w:rtl/>
        </w:rPr>
        <w:t>ۡ</w:t>
      </w:r>
      <w:r w:rsidR="00B06788" w:rsidRPr="0067048A">
        <w:rPr>
          <w:rFonts w:ascii="KFGQPC Uthmanic Script HAFS" w:cs="KFGQPC Uthmanic Script HAFS" w:hint="eastAsia"/>
          <w:sz w:val="28"/>
          <w:szCs w:val="28"/>
          <w:rtl/>
        </w:rPr>
        <w:t>ء</w:t>
      </w:r>
      <w:r w:rsidR="00B06788" w:rsidRPr="0067048A">
        <w:rPr>
          <w:rFonts w:ascii="KFGQPC Uthmanic Script HAFS" w:cs="KFGQPC Uthmanic Script HAFS" w:hint="cs"/>
          <w:sz w:val="28"/>
          <w:szCs w:val="28"/>
          <w:rtl/>
        </w:rPr>
        <w:t>ٖ</w:t>
      </w:r>
      <w:r w:rsidR="00B06788" w:rsidRPr="0067048A">
        <w:rPr>
          <w:rFonts w:ascii="KFGQPC Uthmanic Script HAFS" w:cs="KFGQPC Uthmanic Script HAFS"/>
          <w:sz w:val="28"/>
          <w:szCs w:val="28"/>
          <w:rtl/>
        </w:rPr>
        <w:t xml:space="preserve"> </w:t>
      </w:r>
      <w:r w:rsidR="00B06788" w:rsidRPr="0067048A">
        <w:rPr>
          <w:rFonts w:ascii="KFGQPC Uthmanic Script HAFS" w:cs="KFGQPC Uthmanic Script HAFS" w:hint="eastAsia"/>
          <w:sz w:val="28"/>
          <w:szCs w:val="28"/>
          <w:rtl/>
        </w:rPr>
        <w:t>فَأَنَّ</w:t>
      </w:r>
      <w:r w:rsidR="00B06788" w:rsidRPr="0067048A">
        <w:rPr>
          <w:rFonts w:ascii="KFGQPC Uthmanic Script HAFS" w:cs="KFGQPC Uthmanic Script HAFS"/>
          <w:sz w:val="28"/>
          <w:szCs w:val="28"/>
          <w:rtl/>
        </w:rPr>
        <w:t xml:space="preserve"> </w:t>
      </w:r>
      <w:r w:rsidR="00B06788" w:rsidRPr="0067048A">
        <w:rPr>
          <w:rFonts w:ascii="KFGQPC Uthmanic Script HAFS" w:cs="KFGQPC Uthmanic Script HAFS" w:hint="eastAsia"/>
          <w:sz w:val="28"/>
          <w:szCs w:val="28"/>
          <w:rtl/>
        </w:rPr>
        <w:t>لِلَّهِ</w:t>
      </w:r>
      <w:r w:rsidR="00B06788" w:rsidRPr="0067048A">
        <w:rPr>
          <w:rFonts w:ascii="KFGQPC Uthmanic Script HAFS" w:cs="KFGQPC Uthmanic Script HAFS"/>
          <w:sz w:val="28"/>
          <w:szCs w:val="28"/>
          <w:rtl/>
        </w:rPr>
        <w:t xml:space="preserve"> </w:t>
      </w:r>
      <w:r w:rsidR="00B06788" w:rsidRPr="0067048A">
        <w:rPr>
          <w:rFonts w:ascii="KFGQPC Uthmanic Script HAFS" w:cs="KFGQPC Uthmanic Script HAFS" w:hint="eastAsia"/>
          <w:sz w:val="28"/>
          <w:szCs w:val="28"/>
          <w:rtl/>
        </w:rPr>
        <w:t>خُمُسَهُ</w:t>
      </w:r>
      <w:r w:rsidR="00B06788" w:rsidRPr="0067048A">
        <w:rPr>
          <w:rFonts w:ascii="KFGQPC Uthmanic Script HAFS" w:cs="KFGQPC Uthmanic Script HAFS" w:hint="cs"/>
          <w:sz w:val="28"/>
          <w:szCs w:val="28"/>
          <w:rtl/>
        </w:rPr>
        <w:t>ۥ</w:t>
      </w:r>
      <w:r w:rsidR="00B06788" w:rsidRPr="0067048A">
        <w:rPr>
          <w:rFonts w:ascii="KFGQPC Uthmanic Script HAFS" w:cs="KFGQPC Uthmanic Script HAFS"/>
          <w:sz w:val="28"/>
          <w:szCs w:val="28"/>
          <w:rtl/>
        </w:rPr>
        <w:t xml:space="preserve"> </w:t>
      </w:r>
      <w:r w:rsidR="00B06788" w:rsidRPr="0067048A">
        <w:rPr>
          <w:rFonts w:ascii="KFGQPC Uthmanic Script HAFS" w:cs="KFGQPC Uthmanic Script HAFS" w:hint="eastAsia"/>
          <w:sz w:val="28"/>
          <w:szCs w:val="28"/>
          <w:rtl/>
        </w:rPr>
        <w:t>وَلِلرَّسُولِ</w:t>
      </w:r>
      <w:r w:rsidR="00B06788" w:rsidRPr="00995B26">
        <w:rPr>
          <w:rFonts w:ascii="KFGQPC Uthmanic Script HAFS" w:cs="Times New Roman" w:hint="cs"/>
          <w:sz w:val="28"/>
          <w:rtl/>
        </w:rPr>
        <w:t>...</w:t>
      </w:r>
      <w:r w:rsidR="00B06788" w:rsidRPr="00995B26">
        <w:rPr>
          <w:rFonts w:ascii="Abo-thar" w:hAnsi="Abo-thar" w:cs="Traditional Arabic" w:hint="cs"/>
          <w:sz w:val="28"/>
          <w:rtl/>
        </w:rPr>
        <w:t>﴾</w:t>
      </w:r>
      <w:r w:rsidRPr="00995B26">
        <w:rPr>
          <w:rFonts w:ascii="Abo-thar" w:hAnsi="Abo-thar"/>
          <w:b/>
          <w:bCs/>
          <w:sz w:val="28"/>
          <w:rtl/>
        </w:rPr>
        <w:t xml:space="preserve"> </w:t>
      </w:r>
      <w:r w:rsidRPr="009E1401">
        <w:rPr>
          <w:rStyle w:val="Char2"/>
          <w:rtl/>
        </w:rPr>
        <w:t>[الأنفال</w:t>
      </w:r>
      <w:r w:rsidR="00B06788" w:rsidRPr="009E1401">
        <w:rPr>
          <w:rStyle w:val="Char2"/>
          <w:rFonts w:hint="cs"/>
          <w:rtl/>
        </w:rPr>
        <w:t xml:space="preserve">: </w:t>
      </w:r>
      <w:r w:rsidRPr="009E1401">
        <w:rPr>
          <w:rStyle w:val="Char2"/>
          <w:rtl/>
        </w:rPr>
        <w:t>41]</w:t>
      </w:r>
      <w:r w:rsidRPr="00995B26">
        <w:rPr>
          <w:rFonts w:ascii="Abo-thar" w:hAnsi="Abo-thar" w:hint="cs"/>
          <w:b/>
          <w:bCs/>
          <w:sz w:val="28"/>
          <w:rtl/>
          <w:lang w:bidi="ar-SY"/>
        </w:rPr>
        <w:t xml:space="preserve"> </w:t>
      </w:r>
      <w:r w:rsidRPr="00995B26">
        <w:rPr>
          <w:rFonts w:ascii="Abo-thar" w:hAnsi="Abo-thar"/>
          <w:b/>
          <w:bCs/>
          <w:sz w:val="28"/>
          <w:rtl/>
        </w:rPr>
        <w:t>قال</w:t>
      </w:r>
      <w:r w:rsidR="00217AB4" w:rsidRPr="00995B26">
        <w:rPr>
          <w:rFonts w:ascii="Abo-thar" w:hAnsi="Abo-thar"/>
          <w:b/>
          <w:bCs/>
          <w:sz w:val="28"/>
          <w:rtl/>
        </w:rPr>
        <w:t>:</w:t>
      </w:r>
      <w:r w:rsidRPr="00995B26">
        <w:rPr>
          <w:rFonts w:ascii="Abo-thar" w:hAnsi="Abo-thar"/>
          <w:b/>
          <w:bCs/>
          <w:sz w:val="28"/>
          <w:rtl/>
        </w:rPr>
        <w:t xml:space="preserve"> هي والله الإفادة يوما بيوم</w:t>
      </w:r>
      <w:r w:rsidR="00217AB4" w:rsidRPr="00995B26">
        <w:rPr>
          <w:rFonts w:ascii="Abo-thar" w:hAnsi="Abo-thar"/>
          <w:b/>
          <w:bCs/>
          <w:sz w:val="28"/>
          <w:rtl/>
        </w:rPr>
        <w:t>،</w:t>
      </w:r>
      <w:r w:rsidRPr="00995B26">
        <w:rPr>
          <w:rFonts w:ascii="Abo-thar" w:hAnsi="Abo-thar"/>
          <w:b/>
          <w:bCs/>
          <w:sz w:val="28"/>
          <w:rtl/>
        </w:rPr>
        <w:t xml:space="preserve"> إلا أن أبي جعل شيعتنا من ذلك في حل ليزكوا</w:t>
      </w:r>
      <w:r w:rsidR="00217AB4" w:rsidRPr="00995B26">
        <w:rPr>
          <w:rFonts w:ascii="Abo-thar" w:hAnsi="Abo-thar" w:hint="cs"/>
          <w:b/>
          <w:bCs/>
          <w:sz w:val="28"/>
          <w:rtl/>
        </w:rPr>
        <w:t>.</w:t>
      </w:r>
      <w:r w:rsidRPr="00995B26">
        <w:rPr>
          <w:rFonts w:ascii="Abo-thar" w:hAnsi="Abo-thar" w:hint="cs"/>
          <w:b/>
          <w:bCs/>
          <w:sz w:val="28"/>
          <w:rtl/>
        </w:rPr>
        <w:t xml:space="preserve"> </w:t>
      </w:r>
      <w:r w:rsidRPr="00995B26">
        <w:rPr>
          <w:rFonts w:ascii="Abo-thar" w:hAnsi="Abo-thar"/>
          <w:b/>
          <w:bCs/>
          <w:sz w:val="28"/>
          <w:rtl/>
        </w:rPr>
        <w:t>وإذا أباحوا في حال ظهورهم ففي حال الغيبة أولى</w:t>
      </w:r>
      <w:r w:rsidR="00217AB4" w:rsidRPr="00995B26">
        <w:rPr>
          <w:rFonts w:ascii="Abo-thar" w:hAnsi="Abo-thar" w:hint="cs"/>
          <w:sz w:val="28"/>
          <w:rtl/>
        </w:rPr>
        <w:t>...</w:t>
      </w:r>
      <w:r w:rsidR="00EF2588" w:rsidRPr="00995B26">
        <w:rPr>
          <w:rFonts w:ascii="Abo-thar" w:hAnsi="Abo-thar" w:hint="cs"/>
          <w:sz w:val="28"/>
          <w:rtl/>
          <w:lang w:bidi="ar-SY"/>
        </w:rPr>
        <w:t>»</w:t>
      </w:r>
      <w:r w:rsidR="00217AB4" w:rsidRPr="0021507A">
        <w:rPr>
          <w:rFonts w:cs="Arabic11 BT"/>
          <w:b/>
          <w:sz w:val="28"/>
          <w:vertAlign w:val="superscript"/>
          <w:rtl/>
          <w:lang w:bidi="ar-SY"/>
        </w:rPr>
        <w:t>(</w:t>
      </w:r>
      <w:r w:rsidRPr="0021507A">
        <w:rPr>
          <w:rStyle w:val="FootnoteReference"/>
          <w:rFonts w:cs="Arabic11 BT"/>
          <w:b/>
          <w:sz w:val="28"/>
          <w:rtl/>
          <w:lang w:bidi="ar-SY"/>
        </w:rPr>
        <w:footnoteReference w:id="410"/>
      </w:r>
      <w:r w:rsidR="00217AB4" w:rsidRPr="0021507A">
        <w:rPr>
          <w:rFonts w:cs="Arabic11 BT"/>
          <w:b/>
          <w:sz w:val="28"/>
          <w:vertAlign w:val="superscript"/>
          <w:rtl/>
          <w:lang w:bidi="ar-SY"/>
        </w:rPr>
        <w:t>)</w:t>
      </w:r>
      <w:r w:rsidR="00217AB4" w:rsidRPr="00995B26">
        <w:rPr>
          <w:rFonts w:ascii="Abo-thar" w:hAnsi="Abo-thar" w:hint="cs"/>
          <w:sz w:val="28"/>
          <w:rtl/>
          <w:lang w:bidi="ar-SY"/>
        </w:rPr>
        <w:t>.</w:t>
      </w:r>
    </w:p>
    <w:p w:rsidR="005C664D" w:rsidRPr="003F3B94" w:rsidRDefault="005C664D" w:rsidP="003F3B94">
      <w:pPr>
        <w:pStyle w:val="a0"/>
        <w:rPr>
          <w:rFonts w:hint="cs"/>
          <w:rtl/>
          <w:lang w:bidi="ar-SY"/>
        </w:rPr>
      </w:pPr>
      <w:r w:rsidRPr="003F3B94">
        <w:rPr>
          <w:rFonts w:ascii="Abo-thar" w:hAnsi="Abo-thar" w:hint="cs"/>
          <w:sz w:val="28"/>
          <w:rtl/>
          <w:lang w:bidi="ar-SY"/>
        </w:rPr>
        <w:t>5</w:t>
      </w:r>
      <w:r w:rsidR="00217AB4" w:rsidRPr="003F3B94">
        <w:rPr>
          <w:rFonts w:ascii="Abo-thar" w:hAnsi="Abo-thar" w:hint="cs"/>
          <w:sz w:val="28"/>
          <w:rtl/>
          <w:lang w:bidi="ar-SY"/>
        </w:rPr>
        <w:t>-</w:t>
      </w:r>
      <w:r w:rsidRPr="003F3B94">
        <w:rPr>
          <w:rFonts w:ascii="Abo-thar" w:hAnsi="Abo-thar" w:hint="cs"/>
          <w:sz w:val="28"/>
          <w:rtl/>
          <w:lang w:bidi="ar-SY"/>
        </w:rPr>
        <w:t xml:space="preserve"> وقال المرحوم الشيخ المفيد في </w:t>
      </w:r>
      <w:r w:rsidRPr="003F3B94">
        <w:rPr>
          <w:rFonts w:ascii="Lotus Linotype" w:hAnsi="Lotus Linotype"/>
          <w:sz w:val="28"/>
          <w:rtl/>
          <w:lang w:bidi="ar-SY"/>
        </w:rPr>
        <w:t>«</w:t>
      </w:r>
      <w:r w:rsidRPr="003F3B94">
        <w:rPr>
          <w:rFonts w:ascii="Lotus Linotype" w:hAnsi="Lotus Linotype" w:hint="cs"/>
          <w:sz w:val="28"/>
          <w:rtl/>
          <w:lang w:bidi="ar-SY"/>
        </w:rPr>
        <w:t>المقنعة</w:t>
      </w:r>
      <w:r w:rsidRPr="003F3B94">
        <w:rPr>
          <w:rFonts w:ascii="Lotus Linotype" w:hAnsi="Lotus Linotype"/>
          <w:sz w:val="28"/>
          <w:rtl/>
          <w:lang w:bidi="ar-SY"/>
        </w:rPr>
        <w:t>»</w:t>
      </w:r>
      <w:r w:rsidRPr="003F3B94">
        <w:rPr>
          <w:rFonts w:ascii="Lotus Linotype" w:hAnsi="Lotus Linotype" w:hint="cs"/>
          <w:sz w:val="28"/>
          <w:rtl/>
          <w:lang w:bidi="ar-SY"/>
        </w:rPr>
        <w:t xml:space="preserve"> وهو يحكي اختلاف الشيعة بشأن وجوب دفع الخمس زمن غيبة الإمام</w:t>
      </w:r>
      <w:r w:rsidR="00217AB4" w:rsidRPr="003F3B94">
        <w:rPr>
          <w:rFonts w:ascii="Lotus Linotype" w:hAnsi="Lotus Linotype" w:hint="cs"/>
          <w:sz w:val="28"/>
          <w:rtl/>
          <w:lang w:bidi="ar-SY"/>
        </w:rPr>
        <w:t>:</w:t>
      </w:r>
      <w:r w:rsidRPr="003F3B94">
        <w:rPr>
          <w:rFonts w:ascii="Lotus Linotype" w:hAnsi="Lotus Linotype" w:hint="cs"/>
          <w:sz w:val="28"/>
          <w:rtl/>
          <w:lang w:bidi="ar-SY"/>
        </w:rPr>
        <w:t xml:space="preserve"> </w:t>
      </w:r>
      <w:r w:rsidR="00EF2588" w:rsidRPr="003F3B94">
        <w:rPr>
          <w:rFonts w:ascii="Lotus Linotype" w:hAnsi="Lotus Linotype" w:hint="cs"/>
          <w:sz w:val="28"/>
          <w:rtl/>
          <w:lang w:bidi="ar-SY"/>
        </w:rPr>
        <w:t>«</w:t>
      </w:r>
      <w:r w:rsidRPr="003F3B94">
        <w:rPr>
          <w:rFonts w:ascii="Lotus Linotype" w:hAnsi="Lotus Linotype"/>
          <w:b/>
          <w:bCs/>
          <w:sz w:val="28"/>
          <w:rtl/>
          <w:lang w:bidi="ar-SY"/>
        </w:rPr>
        <w:t xml:space="preserve">قَدِ اخْتَلَفَ أَصْحَابُنَا فِي حَدِيثِ الخُمُسِ عِنْدَ الغَيْبَةِ وذَهَبَ كُلُّ فَرِيقٍ مِنْهُمْ فِيهِ إِلَى مَقَالٍ فَمِنْهُمْ مَنْ يُسْقِطُ فَرْضَ إِخْرَاجِهِ لِغَيْبَةِ الإِمَامِ </w:t>
      </w:r>
      <w:r w:rsidR="00BC4BA9" w:rsidRPr="00BC4BA9">
        <w:rPr>
          <w:rFonts w:ascii="Lotus Linotype" w:hAnsi="Lotus Linotype" w:cs="CTraditional Arabic" w:hint="cs"/>
          <w:b/>
          <w:sz w:val="28"/>
          <w:rtl/>
          <w:lang w:bidi="ar-SY"/>
        </w:rPr>
        <w:t>÷</w:t>
      </w:r>
      <w:r w:rsidRPr="003F3B94">
        <w:rPr>
          <w:rFonts w:ascii="Lotus Linotype" w:hAnsi="Lotus Linotype"/>
          <w:b/>
          <w:bCs/>
          <w:sz w:val="28"/>
          <w:rtl/>
          <w:lang w:bidi="ar-SY"/>
        </w:rPr>
        <w:t xml:space="preserve"> بِمَا تَقَدَّمَ مِنَ الرُّخَصِ فِيهِ مِنَ الأَخْبَارِ</w:t>
      </w:r>
      <w:r w:rsidR="00217AB4" w:rsidRPr="003F3B94">
        <w:rPr>
          <w:rFonts w:ascii="Lotus Linotype" w:hAnsi="Lotus Linotype" w:hint="cs"/>
          <w:sz w:val="28"/>
          <w:rtl/>
          <w:lang w:bidi="ar-SY"/>
        </w:rPr>
        <w:t>..</w:t>
      </w:r>
      <w:r w:rsidR="00EF2588" w:rsidRPr="003F3B94">
        <w:rPr>
          <w:rFonts w:ascii="Lotus Linotype" w:hAnsi="Lotus Linotype" w:hint="cs"/>
          <w:sz w:val="28"/>
          <w:rtl/>
          <w:lang w:bidi="ar-SY"/>
        </w:rPr>
        <w:t>»</w:t>
      </w:r>
      <w:r w:rsidR="001E42EB" w:rsidRPr="0021507A">
        <w:rPr>
          <w:rFonts w:ascii="Lotus Linotype" w:hAnsi="Lotus Linotype" w:cs="Arabic11 BT"/>
          <w:sz w:val="28"/>
          <w:vertAlign w:val="superscript"/>
          <w:rtl/>
          <w:lang w:bidi="ar-SY"/>
        </w:rPr>
        <w:t>(</w:t>
      </w:r>
      <w:r w:rsidR="001E42EB" w:rsidRPr="0021507A">
        <w:rPr>
          <w:rStyle w:val="FootnoteReference"/>
          <w:rFonts w:ascii="Lotus Linotype" w:hAnsi="Lotus Linotype" w:cs="Arabic11 BT"/>
          <w:sz w:val="28"/>
          <w:rtl/>
          <w:lang w:bidi="ar-SY"/>
        </w:rPr>
        <w:footnoteReference w:id="411"/>
      </w:r>
      <w:r w:rsidR="001E42EB" w:rsidRPr="0021507A">
        <w:rPr>
          <w:rFonts w:ascii="Lotus Linotype" w:hAnsi="Lotus Linotype" w:cs="Arabic11 BT"/>
          <w:sz w:val="28"/>
          <w:vertAlign w:val="superscript"/>
          <w:rtl/>
          <w:lang w:bidi="ar-SY"/>
        </w:rPr>
        <w:t>)</w:t>
      </w:r>
      <w:r w:rsidR="00217AB4" w:rsidRPr="003F3B94">
        <w:rPr>
          <w:rFonts w:ascii="Lotus Linotype" w:hAnsi="Lotus Linotype" w:hint="cs"/>
          <w:sz w:val="28"/>
          <w:rtl/>
          <w:lang w:bidi="ar-SY"/>
        </w:rPr>
        <w:t>.</w:t>
      </w:r>
    </w:p>
    <w:p w:rsidR="005C664D" w:rsidRPr="003F3B94" w:rsidRDefault="005C664D" w:rsidP="003F3B94">
      <w:pPr>
        <w:pStyle w:val="a0"/>
        <w:rPr>
          <w:rtl/>
          <w:lang w:bidi="ar-SY"/>
        </w:rPr>
      </w:pPr>
      <w:r w:rsidRPr="003F3B94">
        <w:rPr>
          <w:rFonts w:ascii="Lotus Linotype" w:hAnsi="Lotus Linotype" w:hint="cs"/>
          <w:sz w:val="28"/>
          <w:rtl/>
          <w:lang w:bidi="ar-SY"/>
        </w:rPr>
        <w:t>6</w:t>
      </w:r>
      <w:r w:rsidR="00217AB4" w:rsidRPr="003F3B94">
        <w:rPr>
          <w:rFonts w:ascii="Lotus Linotype" w:hAnsi="Lotus Linotype" w:hint="cs"/>
          <w:sz w:val="28"/>
          <w:rtl/>
          <w:lang w:bidi="ar-SY"/>
        </w:rPr>
        <w:t>-</w:t>
      </w:r>
      <w:r w:rsidRPr="003F3B94">
        <w:rPr>
          <w:rFonts w:ascii="Lotus Linotype" w:hAnsi="Lotus Linotype" w:hint="cs"/>
          <w:sz w:val="28"/>
          <w:rtl/>
          <w:lang w:bidi="ar-SY"/>
        </w:rPr>
        <w:t xml:space="preserve"> وقال المحقق الحلي رحمه الله في كتابه </w:t>
      </w:r>
      <w:r w:rsidRPr="003F3B94">
        <w:rPr>
          <w:rFonts w:ascii="Lotus Linotype" w:hAnsi="Lotus Linotype"/>
          <w:sz w:val="28"/>
          <w:rtl/>
          <w:lang w:bidi="ar-SY"/>
        </w:rPr>
        <w:t>«</w:t>
      </w:r>
      <w:r w:rsidRPr="003F3B94">
        <w:rPr>
          <w:rFonts w:ascii="Lotus Linotype" w:hAnsi="Lotus Linotype" w:hint="cs"/>
          <w:sz w:val="28"/>
          <w:rtl/>
          <w:lang w:bidi="ar-SY"/>
        </w:rPr>
        <w:t>شرائع الإسلام</w:t>
      </w:r>
      <w:r w:rsidRPr="003F3B94">
        <w:rPr>
          <w:rFonts w:ascii="Lotus Linotype" w:hAnsi="Lotus Linotype"/>
          <w:sz w:val="28"/>
          <w:rtl/>
          <w:lang w:bidi="ar-SY"/>
        </w:rPr>
        <w:t>»</w:t>
      </w:r>
      <w:r w:rsidR="00217AB4" w:rsidRPr="003F3B94">
        <w:rPr>
          <w:rFonts w:ascii="Lotus Linotype" w:hAnsi="Lotus Linotype" w:hint="cs"/>
          <w:sz w:val="28"/>
          <w:rtl/>
          <w:lang w:bidi="ar-SY"/>
        </w:rPr>
        <w:t>:</w:t>
      </w:r>
      <w:r w:rsidRPr="003F3B94">
        <w:rPr>
          <w:rFonts w:ascii="Lotus Linotype" w:hAnsi="Lotus Linotype" w:hint="cs"/>
          <w:sz w:val="28"/>
          <w:rtl/>
          <w:lang w:bidi="ar-SY"/>
        </w:rPr>
        <w:t xml:space="preserve"> </w:t>
      </w:r>
      <w:r w:rsidR="00EF2588" w:rsidRPr="003F3B94">
        <w:rPr>
          <w:rFonts w:ascii="Lotus Linotype" w:hAnsi="Lotus Linotype" w:hint="cs"/>
          <w:sz w:val="28"/>
          <w:rtl/>
          <w:lang w:bidi="ar-SY"/>
        </w:rPr>
        <w:t>«</w:t>
      </w:r>
      <w:r w:rsidRPr="003F3B94">
        <w:rPr>
          <w:rFonts w:ascii="Lotus Linotype" w:hAnsi="Lotus Linotype"/>
          <w:sz w:val="28"/>
          <w:rtl/>
          <w:lang w:bidi="ar-SY"/>
        </w:rPr>
        <w:t>الثاني</w:t>
      </w:r>
      <w:r w:rsidR="00217AB4" w:rsidRPr="003F3B94">
        <w:rPr>
          <w:rFonts w:ascii="Lotus Linotype" w:hAnsi="Lotus Linotype"/>
          <w:sz w:val="28"/>
          <w:rtl/>
          <w:lang w:bidi="ar-SY"/>
        </w:rPr>
        <w:t>:</w:t>
      </w:r>
      <w:r w:rsidRPr="003F3B94">
        <w:rPr>
          <w:rFonts w:ascii="Lotus Linotype" w:hAnsi="Lotus Linotype"/>
          <w:sz w:val="28"/>
          <w:rtl/>
          <w:lang w:bidi="ar-SY"/>
        </w:rPr>
        <w:t xml:space="preserve"> في كيفية التصرف في مستحقه </w:t>
      </w:r>
      <w:r w:rsidR="00217AB4" w:rsidRPr="003F3B94">
        <w:rPr>
          <w:rFonts w:ascii="Lotus Linotype" w:hAnsi="Lotus Linotype" w:hint="cs"/>
          <w:sz w:val="28"/>
          <w:rtl/>
          <w:lang w:bidi="ar-SY"/>
        </w:rPr>
        <w:t>(</w:t>
      </w:r>
      <w:r w:rsidRPr="003F3B94">
        <w:rPr>
          <w:rFonts w:ascii="Lotus Linotype" w:hAnsi="Lotus Linotype" w:hint="cs"/>
          <w:sz w:val="28"/>
          <w:rtl/>
          <w:lang w:bidi="ar-SY"/>
        </w:rPr>
        <w:t>أي مستحق الخمس</w:t>
      </w:r>
      <w:r w:rsidR="00217AB4" w:rsidRPr="003F3B94">
        <w:rPr>
          <w:rFonts w:ascii="Lotus Linotype" w:hAnsi="Lotus Linotype" w:hint="cs"/>
          <w:sz w:val="28"/>
          <w:rtl/>
          <w:lang w:bidi="ar-SY"/>
        </w:rPr>
        <w:t>)</w:t>
      </w:r>
      <w:r w:rsidRPr="003F3B94">
        <w:rPr>
          <w:rFonts w:ascii="Lotus Linotype" w:hAnsi="Lotus Linotype" w:hint="cs"/>
          <w:sz w:val="28"/>
          <w:rtl/>
          <w:lang w:bidi="ar-SY"/>
        </w:rPr>
        <w:t xml:space="preserve"> </w:t>
      </w:r>
      <w:r w:rsidRPr="003F3B94">
        <w:rPr>
          <w:rFonts w:ascii="Lotus Linotype" w:hAnsi="Lotus Linotype"/>
          <w:sz w:val="28"/>
          <w:rtl/>
          <w:lang w:bidi="ar-SY"/>
        </w:rPr>
        <w:t>وفيه مسائل</w:t>
      </w:r>
      <w:r w:rsidR="00217AB4" w:rsidRPr="003F3B94">
        <w:rPr>
          <w:rFonts w:ascii="Lotus Linotype" w:hAnsi="Lotus Linotype"/>
          <w:sz w:val="28"/>
          <w:rtl/>
          <w:lang w:bidi="ar-SY"/>
        </w:rPr>
        <w:t>:.</w:t>
      </w:r>
      <w:r w:rsidR="00217AB4" w:rsidRPr="003F3B94">
        <w:rPr>
          <w:rFonts w:ascii="Lotus Linotype" w:hAnsi="Lotus Linotype" w:hint="cs"/>
          <w:sz w:val="28"/>
          <w:rtl/>
          <w:lang w:bidi="ar-SY"/>
        </w:rPr>
        <w:t>......</w:t>
      </w:r>
    </w:p>
    <w:p w:rsidR="005C664D" w:rsidRPr="003F3B94" w:rsidRDefault="005C664D" w:rsidP="003F3B94">
      <w:pPr>
        <w:pStyle w:val="a0"/>
        <w:rPr>
          <w:rFonts w:hint="cs"/>
          <w:rtl/>
          <w:lang w:bidi="ar-SY"/>
        </w:rPr>
      </w:pPr>
      <w:r w:rsidRPr="003F3B94">
        <w:rPr>
          <w:rFonts w:ascii="Lotus Linotype" w:hAnsi="Lotus Linotype"/>
          <w:sz w:val="28"/>
          <w:rtl/>
          <w:lang w:bidi="ar-SY"/>
        </w:rPr>
        <w:t>الثالثة</w:t>
      </w:r>
      <w:r w:rsidR="00217AB4" w:rsidRPr="003F3B94">
        <w:rPr>
          <w:rFonts w:ascii="Lotus Linotype" w:hAnsi="Lotus Linotype"/>
          <w:sz w:val="28"/>
          <w:rtl/>
          <w:lang w:bidi="ar-SY"/>
        </w:rPr>
        <w:t>:</w:t>
      </w:r>
      <w:r w:rsidRPr="003F3B94">
        <w:rPr>
          <w:rFonts w:ascii="Lotus Linotype" w:hAnsi="Lotus Linotype"/>
          <w:sz w:val="28"/>
          <w:rtl/>
          <w:lang w:bidi="ar-SY"/>
        </w:rPr>
        <w:t xml:space="preserve"> </w:t>
      </w:r>
      <w:r w:rsidRPr="003F3B94">
        <w:rPr>
          <w:rFonts w:ascii="Lotus Linotype" w:hAnsi="Lotus Linotype"/>
          <w:b/>
          <w:bCs/>
          <w:sz w:val="28"/>
          <w:rtl/>
          <w:lang w:bidi="ar-SY"/>
        </w:rPr>
        <w:t>ثبت إباحة المناكح والمساكن والمتاجر في حال الغيبة</w:t>
      </w:r>
      <w:r w:rsidR="00217AB4" w:rsidRPr="003F3B94">
        <w:rPr>
          <w:rFonts w:ascii="Lotus Linotype" w:hAnsi="Lotus Linotype"/>
          <w:b/>
          <w:bCs/>
          <w:sz w:val="28"/>
          <w:rtl/>
          <w:lang w:bidi="ar-SY"/>
        </w:rPr>
        <w:t>،</w:t>
      </w:r>
      <w:r w:rsidRPr="003F3B94">
        <w:rPr>
          <w:rFonts w:ascii="Lotus Linotype" w:hAnsi="Lotus Linotype"/>
          <w:b/>
          <w:bCs/>
          <w:sz w:val="28"/>
          <w:rtl/>
          <w:lang w:bidi="ar-SY"/>
        </w:rPr>
        <w:t xml:space="preserve"> وان كان ذلك بأجمعه </w:t>
      </w:r>
      <w:r w:rsidRPr="003F3B94">
        <w:rPr>
          <w:rFonts w:ascii="Lotus Linotype" w:hAnsi="Lotus Linotype" w:hint="cs"/>
          <w:b/>
          <w:bCs/>
          <w:sz w:val="28"/>
          <w:rtl/>
          <w:lang w:bidi="ar-SY"/>
        </w:rPr>
        <w:t>للإمام</w:t>
      </w:r>
      <w:r w:rsidRPr="003F3B94">
        <w:rPr>
          <w:rFonts w:ascii="Lotus Linotype" w:hAnsi="Lotus Linotype"/>
          <w:b/>
          <w:bCs/>
          <w:sz w:val="28"/>
          <w:rtl/>
          <w:lang w:bidi="ar-SY"/>
        </w:rPr>
        <w:t xml:space="preserve"> أو بعضه</w:t>
      </w:r>
      <w:r w:rsidR="00217AB4" w:rsidRPr="003F3B94">
        <w:rPr>
          <w:rFonts w:ascii="Lotus Linotype" w:hAnsi="Lotus Linotype"/>
          <w:b/>
          <w:bCs/>
          <w:sz w:val="28"/>
          <w:rtl/>
          <w:lang w:bidi="ar-SY"/>
        </w:rPr>
        <w:t>،</w:t>
      </w:r>
      <w:r w:rsidRPr="003F3B94">
        <w:rPr>
          <w:rFonts w:ascii="Lotus Linotype" w:hAnsi="Lotus Linotype"/>
          <w:b/>
          <w:bCs/>
          <w:sz w:val="28"/>
          <w:rtl/>
          <w:lang w:bidi="ar-SY"/>
        </w:rPr>
        <w:t xml:space="preserve"> ولا يجب </w:t>
      </w:r>
      <w:r w:rsidRPr="003F3B94">
        <w:rPr>
          <w:rFonts w:ascii="Lotus Linotype" w:hAnsi="Lotus Linotype" w:hint="cs"/>
          <w:b/>
          <w:bCs/>
          <w:sz w:val="28"/>
          <w:rtl/>
          <w:lang w:bidi="ar-SY"/>
        </w:rPr>
        <w:t>إخراج</w:t>
      </w:r>
      <w:r w:rsidRPr="003F3B94">
        <w:rPr>
          <w:rFonts w:ascii="Lotus Linotype" w:hAnsi="Lotus Linotype"/>
          <w:b/>
          <w:bCs/>
          <w:sz w:val="28"/>
          <w:rtl/>
          <w:lang w:bidi="ar-SY"/>
        </w:rPr>
        <w:t xml:space="preserve"> حصة الموجودين من أرباب الخمس</w:t>
      </w:r>
      <w:r w:rsidR="00EF2588" w:rsidRPr="003F3B94">
        <w:rPr>
          <w:rFonts w:ascii="Lotus Linotype" w:hAnsi="Lotus Linotype" w:hint="cs"/>
          <w:sz w:val="28"/>
          <w:rtl/>
          <w:lang w:bidi="ar-SY"/>
        </w:rPr>
        <w:t>»</w:t>
      </w:r>
      <w:r w:rsidR="001E42EB" w:rsidRPr="0021507A">
        <w:rPr>
          <w:rFonts w:ascii="Lotus Linotype" w:hAnsi="Lotus Linotype" w:cs="Arabic11 BT"/>
          <w:sz w:val="28"/>
          <w:vertAlign w:val="superscript"/>
          <w:rtl/>
          <w:lang w:bidi="ar-SY"/>
        </w:rPr>
        <w:t>(</w:t>
      </w:r>
      <w:r w:rsidR="001E42EB" w:rsidRPr="0021507A">
        <w:rPr>
          <w:rStyle w:val="FootnoteReference"/>
          <w:rFonts w:ascii="Lotus Linotype" w:hAnsi="Lotus Linotype" w:cs="Arabic11 BT"/>
          <w:sz w:val="28"/>
          <w:rtl/>
          <w:lang w:bidi="ar-SY"/>
        </w:rPr>
        <w:footnoteReference w:id="412"/>
      </w:r>
      <w:r w:rsidR="001E42EB" w:rsidRPr="0021507A">
        <w:rPr>
          <w:rFonts w:ascii="Lotus Linotype" w:hAnsi="Lotus Linotype" w:cs="Arabic11 BT"/>
          <w:sz w:val="28"/>
          <w:vertAlign w:val="superscript"/>
          <w:rtl/>
          <w:lang w:bidi="ar-SY"/>
        </w:rPr>
        <w:t>)</w:t>
      </w:r>
      <w:r w:rsidR="00217AB4" w:rsidRPr="003F3B94">
        <w:rPr>
          <w:rFonts w:ascii="Lotus Linotype" w:hAnsi="Lotus Linotype" w:hint="cs"/>
          <w:sz w:val="28"/>
          <w:rtl/>
          <w:lang w:bidi="ar-SY"/>
        </w:rPr>
        <w:t>.</w:t>
      </w:r>
    </w:p>
    <w:p w:rsidR="005C664D" w:rsidRPr="003F3B94" w:rsidRDefault="005C664D" w:rsidP="00A1493A">
      <w:pPr>
        <w:pStyle w:val="a0"/>
        <w:rPr>
          <w:rFonts w:hint="cs"/>
          <w:rtl/>
          <w:lang w:bidi="ar-SY"/>
        </w:rPr>
      </w:pPr>
      <w:r w:rsidRPr="003F3B94">
        <w:rPr>
          <w:rFonts w:ascii="Lotus Linotype" w:hAnsi="Lotus Linotype" w:hint="cs"/>
          <w:sz w:val="28"/>
          <w:rtl/>
          <w:lang w:bidi="ar-SY"/>
        </w:rPr>
        <w:t>7</w:t>
      </w:r>
      <w:r w:rsidR="00217AB4" w:rsidRPr="003F3B94">
        <w:rPr>
          <w:rFonts w:ascii="Lotus Linotype" w:hAnsi="Lotus Linotype" w:hint="cs"/>
          <w:sz w:val="28"/>
          <w:rtl/>
          <w:lang w:bidi="ar-SY"/>
        </w:rPr>
        <w:t>-</w:t>
      </w:r>
      <w:r w:rsidRPr="003F3B94">
        <w:rPr>
          <w:rFonts w:ascii="Lotus Linotype" w:hAnsi="Lotus Linotype" w:hint="cs"/>
          <w:sz w:val="28"/>
          <w:rtl/>
          <w:lang w:bidi="ar-SY"/>
        </w:rPr>
        <w:t xml:space="preserve"> ونقل صاحب الحدائق</w:t>
      </w:r>
      <w:r w:rsidR="001E42EB" w:rsidRPr="0021507A">
        <w:rPr>
          <w:rFonts w:ascii="Lotus Linotype" w:hAnsi="Lotus Linotype" w:cs="Arabic11 BT"/>
          <w:sz w:val="28"/>
          <w:vertAlign w:val="superscript"/>
          <w:rtl/>
          <w:lang w:bidi="ar-SY"/>
        </w:rPr>
        <w:t>(</w:t>
      </w:r>
      <w:r w:rsidR="001E42EB" w:rsidRPr="0021507A">
        <w:rPr>
          <w:rStyle w:val="FootnoteReference"/>
          <w:rFonts w:ascii="Lotus Linotype" w:hAnsi="Lotus Linotype" w:cs="Arabic11 BT"/>
          <w:sz w:val="28"/>
          <w:rtl/>
          <w:lang w:bidi="ar-SY"/>
        </w:rPr>
        <w:footnoteReference w:id="413"/>
      </w:r>
      <w:r w:rsidR="001E42EB" w:rsidRPr="0021507A">
        <w:rPr>
          <w:rFonts w:ascii="Lotus Linotype" w:hAnsi="Lotus Linotype" w:cs="Arabic11 BT"/>
          <w:sz w:val="28"/>
          <w:vertAlign w:val="superscript"/>
          <w:rtl/>
          <w:lang w:bidi="ar-SY"/>
        </w:rPr>
        <w:t>)</w:t>
      </w:r>
      <w:r w:rsidR="001E42EB" w:rsidRPr="003F3B94">
        <w:rPr>
          <w:rFonts w:ascii="Lotus Linotype" w:hAnsi="Lotus Linotype" w:hint="cs"/>
          <w:sz w:val="28"/>
          <w:rtl/>
          <w:lang w:bidi="ar-SY"/>
        </w:rPr>
        <w:t xml:space="preserve"> </w:t>
      </w:r>
      <w:r w:rsidRPr="003F3B94">
        <w:rPr>
          <w:rFonts w:ascii="Lotus Linotype" w:hAnsi="Lotus Linotype" w:hint="cs"/>
          <w:sz w:val="28"/>
          <w:rtl/>
          <w:lang w:bidi="ar-SY"/>
        </w:rPr>
        <w:t>عن صاحب المدارك قوله</w:t>
      </w:r>
      <w:r w:rsidR="00217AB4" w:rsidRPr="003F3B94">
        <w:rPr>
          <w:rFonts w:ascii="Lotus Linotype" w:hAnsi="Lotus Linotype" w:hint="cs"/>
          <w:sz w:val="28"/>
          <w:rtl/>
          <w:lang w:bidi="ar-SY"/>
        </w:rPr>
        <w:t>:</w:t>
      </w:r>
      <w:r w:rsidRPr="003F3B94">
        <w:rPr>
          <w:rFonts w:ascii="Lotus Linotype" w:hAnsi="Lotus Linotype" w:hint="cs"/>
          <w:sz w:val="28"/>
          <w:rtl/>
          <w:lang w:bidi="ar-SY"/>
        </w:rPr>
        <w:t xml:space="preserve"> </w:t>
      </w:r>
      <w:r w:rsidR="00EF2588" w:rsidRPr="003F3B94">
        <w:rPr>
          <w:rFonts w:ascii="Lotus Linotype" w:hAnsi="Lotus Linotype" w:hint="cs"/>
          <w:sz w:val="28"/>
          <w:rtl/>
          <w:lang w:bidi="ar-SY"/>
        </w:rPr>
        <w:t>«</w:t>
      </w:r>
      <w:r w:rsidRPr="003F3B94">
        <w:rPr>
          <w:rFonts w:ascii="Lotus Linotype" w:hAnsi="Lotus Linotype"/>
          <w:b/>
          <w:bCs/>
          <w:sz w:val="28"/>
          <w:rtl/>
          <w:lang w:bidi="ar-SY"/>
        </w:rPr>
        <w:t>وال</w:t>
      </w:r>
      <w:r w:rsidRPr="003F3B94">
        <w:rPr>
          <w:rFonts w:ascii="Lotus Linotype" w:hAnsi="Lotus Linotype" w:hint="cs"/>
          <w:b/>
          <w:bCs/>
          <w:sz w:val="28"/>
          <w:rtl/>
          <w:lang w:bidi="ar-SY"/>
        </w:rPr>
        <w:t>أ</w:t>
      </w:r>
      <w:r w:rsidRPr="003F3B94">
        <w:rPr>
          <w:rFonts w:ascii="Lotus Linotype" w:hAnsi="Lotus Linotype"/>
          <w:b/>
          <w:bCs/>
          <w:sz w:val="28"/>
          <w:rtl/>
          <w:lang w:bidi="ar-SY"/>
        </w:rPr>
        <w:t>صح إباحة ما يتعلق بال</w:t>
      </w:r>
      <w:r w:rsidRPr="003F3B94">
        <w:rPr>
          <w:rFonts w:ascii="Lotus Linotype" w:hAnsi="Lotus Linotype" w:hint="cs"/>
          <w:b/>
          <w:bCs/>
          <w:sz w:val="28"/>
          <w:rtl/>
          <w:lang w:bidi="ar-SY"/>
        </w:rPr>
        <w:t>إ</w:t>
      </w:r>
      <w:r w:rsidRPr="003F3B94">
        <w:rPr>
          <w:rFonts w:ascii="Lotus Linotype" w:hAnsi="Lotus Linotype"/>
          <w:b/>
          <w:bCs/>
          <w:sz w:val="28"/>
          <w:rtl/>
          <w:lang w:bidi="ar-SY"/>
        </w:rPr>
        <w:t>مام</w:t>
      </w:r>
      <w:r w:rsidR="003C7AEB" w:rsidRPr="003C7AEB">
        <w:rPr>
          <w:rFonts w:ascii="Lotus Linotype" w:hAnsi="Lotus Linotype" w:cs="CTraditional Arabic"/>
          <w:b/>
          <w:sz w:val="28"/>
          <w:rtl/>
          <w:lang w:bidi="ar-SY"/>
        </w:rPr>
        <w:t>÷</w:t>
      </w:r>
      <w:r w:rsidRPr="003F3B94">
        <w:rPr>
          <w:rFonts w:ascii="Lotus Linotype" w:hAnsi="Lotus Linotype"/>
          <w:b/>
          <w:bCs/>
          <w:sz w:val="28"/>
          <w:rtl/>
          <w:lang w:bidi="ar-SY"/>
        </w:rPr>
        <w:t xml:space="preserve"> من ذلك خاصة</w:t>
      </w:r>
      <w:r w:rsidR="00217AB4" w:rsidRPr="003F3B94">
        <w:rPr>
          <w:rFonts w:ascii="Lotus Linotype" w:hAnsi="Lotus Linotype"/>
          <w:b/>
          <w:bCs/>
          <w:sz w:val="28"/>
          <w:rtl/>
          <w:lang w:bidi="ar-SY"/>
        </w:rPr>
        <w:t>،</w:t>
      </w:r>
      <w:r w:rsidRPr="003F3B94">
        <w:rPr>
          <w:rFonts w:ascii="Lotus Linotype" w:hAnsi="Lotus Linotype"/>
          <w:b/>
          <w:bCs/>
          <w:sz w:val="28"/>
          <w:rtl/>
          <w:lang w:bidi="ar-SY"/>
        </w:rPr>
        <w:t xml:space="preserve"> </w:t>
      </w:r>
      <w:r w:rsidRPr="003F3B94">
        <w:rPr>
          <w:rFonts w:ascii="Lotus Linotype" w:hAnsi="Lotus Linotype" w:hint="cs"/>
          <w:b/>
          <w:bCs/>
          <w:sz w:val="28"/>
          <w:rtl/>
          <w:lang w:bidi="ar-SY"/>
        </w:rPr>
        <w:t>للأخبار</w:t>
      </w:r>
      <w:r w:rsidRPr="003F3B94">
        <w:rPr>
          <w:rFonts w:ascii="Lotus Linotype" w:hAnsi="Lotus Linotype"/>
          <w:b/>
          <w:bCs/>
          <w:sz w:val="28"/>
          <w:rtl/>
          <w:lang w:bidi="ar-SY"/>
        </w:rPr>
        <w:t xml:space="preserve"> الكثيرة الدالة عليه</w:t>
      </w:r>
      <w:r w:rsidR="00217AB4" w:rsidRPr="003F3B94">
        <w:rPr>
          <w:rFonts w:ascii="Lotus Linotype" w:hAnsi="Lotus Linotype" w:hint="cs"/>
          <w:sz w:val="28"/>
          <w:rtl/>
          <w:lang w:bidi="ar-SY"/>
        </w:rPr>
        <w:t>..</w:t>
      </w:r>
      <w:r w:rsidR="00EF2588" w:rsidRPr="003F3B94">
        <w:rPr>
          <w:rFonts w:ascii="Lotus Linotype" w:hAnsi="Lotus Linotype" w:hint="cs"/>
          <w:sz w:val="28"/>
          <w:rtl/>
          <w:lang w:bidi="ar-SY"/>
        </w:rPr>
        <w:t>»</w:t>
      </w:r>
      <w:r w:rsidR="00217AB4" w:rsidRPr="0021507A">
        <w:rPr>
          <w:rFonts w:cs="Arabic11 BT"/>
          <w:b/>
          <w:sz w:val="28"/>
          <w:vertAlign w:val="superscript"/>
          <w:rtl/>
          <w:lang w:bidi="ar-SY"/>
        </w:rPr>
        <w:t>(</w:t>
      </w:r>
      <w:r w:rsidRPr="0021507A">
        <w:rPr>
          <w:rStyle w:val="FootnoteReference"/>
          <w:rFonts w:cs="Arabic11 BT"/>
          <w:b/>
          <w:sz w:val="28"/>
          <w:rtl/>
          <w:lang w:bidi="ar-SY"/>
        </w:rPr>
        <w:footnoteReference w:id="414"/>
      </w:r>
      <w:r w:rsidR="00217AB4" w:rsidRPr="0021507A">
        <w:rPr>
          <w:rFonts w:cs="Arabic11 BT"/>
          <w:b/>
          <w:sz w:val="28"/>
          <w:vertAlign w:val="superscript"/>
          <w:rtl/>
          <w:lang w:bidi="ar-SY"/>
        </w:rPr>
        <w:t>)</w:t>
      </w:r>
      <w:r w:rsidR="00217AB4" w:rsidRPr="003F3B94">
        <w:rPr>
          <w:rFonts w:ascii="Lotus Linotype" w:hAnsi="Lotus Linotype" w:hint="cs"/>
          <w:sz w:val="28"/>
          <w:rtl/>
          <w:lang w:bidi="ar-SY"/>
        </w:rPr>
        <w:t>.</w:t>
      </w:r>
    </w:p>
    <w:p w:rsidR="005C664D" w:rsidRPr="003F3B94" w:rsidRDefault="005C664D" w:rsidP="003F3B94">
      <w:pPr>
        <w:pStyle w:val="a0"/>
        <w:rPr>
          <w:rFonts w:hint="cs"/>
          <w:rtl/>
          <w:lang w:bidi="ar-SY"/>
        </w:rPr>
      </w:pPr>
      <w:r w:rsidRPr="003F3B94">
        <w:rPr>
          <w:rFonts w:ascii="Abo-thar" w:hAnsi="Abo-thar" w:hint="cs"/>
          <w:sz w:val="28"/>
          <w:rtl/>
          <w:lang w:bidi="ar-SY"/>
        </w:rPr>
        <w:t xml:space="preserve">8 </w:t>
      </w:r>
      <w:r w:rsidRPr="003F3B94">
        <w:rPr>
          <w:rFonts w:cs="Times New Roman" w:hint="cs"/>
          <w:sz w:val="28"/>
          <w:rtl/>
          <w:lang w:bidi="ar-SY"/>
        </w:rPr>
        <w:t>–</w:t>
      </w:r>
      <w:r w:rsidRPr="003F3B94">
        <w:rPr>
          <w:rFonts w:ascii="Abo-thar" w:hAnsi="Abo-thar" w:hint="cs"/>
          <w:sz w:val="28"/>
          <w:rtl/>
          <w:lang w:bidi="ar-SY"/>
        </w:rPr>
        <w:t xml:space="preserve"> وقال الشيخ الطوسي في «التهذيب» في الرد على الإشكالات المتعلقة بالخمس ما نصه</w:t>
      </w:r>
      <w:r w:rsidR="00217AB4" w:rsidRPr="003F3B94">
        <w:rPr>
          <w:rFonts w:ascii="Abo-thar" w:hAnsi="Abo-thar" w:hint="cs"/>
          <w:sz w:val="28"/>
          <w:rtl/>
          <w:lang w:bidi="ar-SY"/>
        </w:rPr>
        <w:t>:</w:t>
      </w:r>
      <w:r w:rsidRPr="003F3B94">
        <w:rPr>
          <w:rFonts w:ascii="Abo-thar" w:hAnsi="Abo-thar" w:hint="cs"/>
          <w:sz w:val="28"/>
          <w:rtl/>
          <w:lang w:bidi="ar-SY"/>
        </w:rPr>
        <w:t xml:space="preserve"> </w:t>
      </w:r>
      <w:r w:rsidR="00EF2588" w:rsidRPr="003F3B94">
        <w:rPr>
          <w:rFonts w:ascii="Abo-thar" w:hAnsi="Abo-thar" w:hint="cs"/>
          <w:sz w:val="28"/>
          <w:rtl/>
          <w:lang w:bidi="ar-SY"/>
        </w:rPr>
        <w:t>«</w:t>
      </w:r>
      <w:r w:rsidRPr="003F3B94">
        <w:rPr>
          <w:rFonts w:ascii="Abo-thar" w:hAnsi="Abo-thar"/>
          <w:b/>
          <w:bCs/>
          <w:sz w:val="28"/>
          <w:rtl/>
          <w:lang w:bidi="ar-SY"/>
        </w:rPr>
        <w:t xml:space="preserve">أَمَّا الغَنَائِمُ والمَتَاجِرُ والمَنَاكِحُ ومَا يَجْرِي مَجْرَاهَا مِمَّا يَجِبُ لِلْإِمَامِ فِيهِ الخُمُسُ فَإِنَّهُمْ </w:t>
      </w:r>
      <w:r w:rsidR="00BC4BA9" w:rsidRPr="00BC4BA9">
        <w:rPr>
          <w:rFonts w:ascii="Abo-thar" w:hAnsi="Abo-thar" w:cs="CTraditional Arabic" w:hint="cs"/>
          <w:b/>
          <w:sz w:val="28"/>
          <w:rtl/>
          <w:lang w:bidi="ar-SY"/>
        </w:rPr>
        <w:t>÷</w:t>
      </w:r>
      <w:r w:rsidRPr="003F3B94">
        <w:rPr>
          <w:rFonts w:ascii="Abo-thar" w:hAnsi="Abo-thar"/>
          <w:b/>
          <w:bCs/>
          <w:sz w:val="28"/>
          <w:rtl/>
          <w:lang w:bidi="ar-SY"/>
        </w:rPr>
        <w:t xml:space="preserve"> قَدْ أَبَاحُوا لَنَا ذَلِكَ وسَوَّغُوا لَنَا التَّصَرُّفَ فِيه</w:t>
      </w:r>
      <w:r w:rsidR="00EF2588" w:rsidRPr="003F3B94">
        <w:rPr>
          <w:rFonts w:ascii="Abo-thar" w:hAnsi="Abo-thar" w:hint="cs"/>
          <w:sz w:val="28"/>
          <w:rtl/>
          <w:lang w:bidi="ar-SY"/>
        </w:rPr>
        <w:t>»</w:t>
      </w:r>
      <w:r w:rsidR="001E42EB" w:rsidRPr="0021507A">
        <w:rPr>
          <w:rFonts w:ascii="Abo-thar" w:hAnsi="Abo-thar" w:cs="Arabic11 BT"/>
          <w:sz w:val="28"/>
          <w:vertAlign w:val="superscript"/>
          <w:rtl/>
          <w:lang w:bidi="ar-SY"/>
        </w:rPr>
        <w:t>(</w:t>
      </w:r>
      <w:r w:rsidR="001E42EB" w:rsidRPr="0021507A">
        <w:rPr>
          <w:rStyle w:val="FootnoteReference"/>
          <w:rFonts w:ascii="Abo-thar" w:hAnsi="Abo-thar" w:cs="Arabic11 BT"/>
          <w:sz w:val="28"/>
          <w:rtl/>
          <w:lang w:bidi="ar-SY"/>
        </w:rPr>
        <w:footnoteReference w:id="415"/>
      </w:r>
      <w:r w:rsidR="001E42EB" w:rsidRPr="0021507A">
        <w:rPr>
          <w:rFonts w:ascii="Abo-thar" w:hAnsi="Abo-thar" w:cs="Arabic11 BT"/>
          <w:sz w:val="28"/>
          <w:vertAlign w:val="superscript"/>
          <w:rtl/>
          <w:lang w:bidi="ar-SY"/>
        </w:rPr>
        <w:t>)</w:t>
      </w:r>
      <w:r w:rsidR="001E42EB" w:rsidRPr="003F3B94">
        <w:rPr>
          <w:rFonts w:ascii="Abo-thar" w:hAnsi="Abo-thar" w:hint="cs"/>
          <w:sz w:val="28"/>
          <w:rtl/>
          <w:lang w:bidi="ar-SY"/>
        </w:rPr>
        <w:t>.</w:t>
      </w:r>
      <w:r w:rsidR="00147857" w:rsidRPr="003F3B94">
        <w:rPr>
          <w:rFonts w:ascii="Abo-thar" w:hAnsi="Abo-thar" w:hint="cs"/>
          <w:sz w:val="28"/>
          <w:rtl/>
          <w:lang w:bidi="ar-SY"/>
        </w:rPr>
        <w:t xml:space="preserve"> </w:t>
      </w:r>
      <w:r w:rsidRPr="003F3B94">
        <w:rPr>
          <w:rFonts w:ascii="Abo-thar" w:hAnsi="Abo-thar" w:hint="cs"/>
          <w:sz w:val="28"/>
          <w:rtl/>
          <w:lang w:bidi="ar-SY"/>
        </w:rPr>
        <w:t>ثم أورد بعد ذلك أخبار التحليل</w:t>
      </w:r>
      <w:r w:rsidR="00217AB4" w:rsidRPr="003F3B94">
        <w:rPr>
          <w:rFonts w:ascii="Abo-thar" w:hAnsi="Abo-thar" w:hint="cs"/>
          <w:sz w:val="28"/>
          <w:rtl/>
          <w:lang w:bidi="ar-SY"/>
        </w:rPr>
        <w:t>.</w:t>
      </w:r>
    </w:p>
    <w:p w:rsidR="005C664D" w:rsidRPr="003F3B94" w:rsidRDefault="005C664D" w:rsidP="003F3B94">
      <w:pPr>
        <w:pStyle w:val="a0"/>
        <w:rPr>
          <w:rFonts w:hint="cs"/>
          <w:rtl/>
          <w:lang w:bidi="fa-IR"/>
        </w:rPr>
      </w:pPr>
      <w:r w:rsidRPr="003F3B94">
        <w:rPr>
          <w:rFonts w:ascii="Abo-thar" w:hAnsi="Abo-thar" w:hint="cs"/>
          <w:sz w:val="28"/>
          <w:rtl/>
          <w:lang w:bidi="ar-SY"/>
        </w:rPr>
        <w:t>9</w:t>
      </w:r>
      <w:r w:rsidR="00217AB4" w:rsidRPr="003F3B94">
        <w:rPr>
          <w:rFonts w:ascii="Abo-thar" w:hAnsi="Abo-thar" w:hint="cs"/>
          <w:sz w:val="28"/>
          <w:rtl/>
          <w:lang w:bidi="ar-SY"/>
        </w:rPr>
        <w:t>-</w:t>
      </w:r>
      <w:r w:rsidRPr="003F3B94">
        <w:rPr>
          <w:rFonts w:ascii="Abo-thar" w:hAnsi="Abo-thar" w:hint="cs"/>
          <w:sz w:val="28"/>
          <w:rtl/>
          <w:lang w:bidi="ar-SY"/>
        </w:rPr>
        <w:t xml:space="preserve"> وبحث المرحوم الملا محسن الفيض الكاشاني في كتاب «المفاتيح» موضوع الخمس والاختلاف فيه وتحليله للشيعة من قِبَل الأئمة</w:t>
      </w:r>
      <w:r w:rsidR="00147857" w:rsidRPr="003F3B94">
        <w:rPr>
          <w:rFonts w:ascii="Abo-thar" w:hAnsi="Abo-thar" w:hint="cs"/>
          <w:sz w:val="28"/>
          <w:rtl/>
          <w:lang w:bidi="ar-SY"/>
        </w:rPr>
        <w:t xml:space="preserve"> </w:t>
      </w:r>
      <w:r w:rsidR="00963EFD" w:rsidRPr="00963EFD">
        <w:rPr>
          <w:rFonts w:ascii="Abo-thar" w:hAnsi="Abo-thar" w:cs="CTraditional Arabic"/>
          <w:sz w:val="28"/>
          <w:rtl/>
          <w:lang w:bidi="ar-SY"/>
        </w:rPr>
        <w:t>‡</w:t>
      </w:r>
      <w:r w:rsidR="00217AB4" w:rsidRPr="003F3B94">
        <w:rPr>
          <w:rFonts w:ascii="Abo-thar" w:hAnsi="Abo-thar"/>
          <w:sz w:val="28"/>
          <w:rtl/>
          <w:lang w:bidi="ar-SY"/>
        </w:rPr>
        <w:t>،</w:t>
      </w:r>
      <w:r w:rsidRPr="003F3B94">
        <w:rPr>
          <w:rFonts w:ascii="Abo-thar" w:hAnsi="Abo-thar" w:hint="cs"/>
          <w:sz w:val="28"/>
          <w:rtl/>
          <w:lang w:bidi="ar-SY"/>
        </w:rPr>
        <w:t xml:space="preserve"> وقال في آخر بحثه</w:t>
      </w:r>
      <w:r w:rsidR="00217AB4" w:rsidRPr="003F3B94">
        <w:rPr>
          <w:rFonts w:ascii="Abo-thar" w:hAnsi="Abo-thar" w:hint="cs"/>
          <w:sz w:val="28"/>
          <w:rtl/>
          <w:lang w:bidi="ar-SY"/>
        </w:rPr>
        <w:t>:</w:t>
      </w:r>
      <w:r w:rsidRPr="003F3B94">
        <w:rPr>
          <w:rFonts w:ascii="Abo-thar" w:hAnsi="Abo-thar" w:hint="cs"/>
          <w:sz w:val="28"/>
          <w:rtl/>
          <w:lang w:bidi="ar-SY"/>
        </w:rPr>
        <w:t xml:space="preserve"> </w:t>
      </w:r>
      <w:r w:rsidR="00EF2588" w:rsidRPr="003F3B94">
        <w:rPr>
          <w:rFonts w:ascii="Abo-thar" w:hAnsi="Abo-thar" w:hint="cs"/>
          <w:sz w:val="28"/>
          <w:rtl/>
          <w:lang w:bidi="ar-SY"/>
        </w:rPr>
        <w:t>«</w:t>
      </w:r>
      <w:r w:rsidRPr="003F3B94">
        <w:rPr>
          <w:rFonts w:ascii="Abo-thar" w:hAnsi="Abo-thar" w:hint="cs"/>
          <w:b/>
          <w:bCs/>
          <w:sz w:val="28"/>
          <w:rtl/>
          <w:lang w:bidi="ar-SY"/>
        </w:rPr>
        <w:t>الأصح</w:t>
      </w:r>
      <w:r w:rsidRPr="003F3B94">
        <w:rPr>
          <w:rFonts w:ascii="Abo-thar" w:hAnsi="Abo-thar"/>
          <w:b/>
          <w:bCs/>
          <w:sz w:val="28"/>
          <w:rtl/>
          <w:lang w:bidi="ar-SY"/>
        </w:rPr>
        <w:t xml:space="preserve"> عند</w:t>
      </w:r>
      <w:r w:rsidR="00D326AD" w:rsidRPr="003F3B94">
        <w:rPr>
          <w:rFonts w:ascii="Abo-thar" w:hAnsi="Abo-thar" w:hint="cs"/>
          <w:b/>
          <w:bCs/>
          <w:sz w:val="28"/>
          <w:rtl/>
          <w:lang w:bidi="ar-SY"/>
        </w:rPr>
        <w:t>ي</w:t>
      </w:r>
      <w:r w:rsidRPr="003F3B94">
        <w:rPr>
          <w:rFonts w:ascii="Abo-thar" w:hAnsi="Abo-thar"/>
          <w:b/>
          <w:bCs/>
          <w:sz w:val="28"/>
          <w:rtl/>
          <w:lang w:bidi="ar-SY"/>
        </w:rPr>
        <w:t xml:space="preserve"> سقوط ما </w:t>
      </w:r>
      <w:r w:rsidR="00D326AD" w:rsidRPr="003F3B94">
        <w:rPr>
          <w:rFonts w:ascii="Abo-thar" w:hAnsi="Abo-thar" w:hint="cs"/>
          <w:b/>
          <w:bCs/>
          <w:sz w:val="28"/>
          <w:rtl/>
          <w:lang w:bidi="ar-SY"/>
        </w:rPr>
        <w:t>ي</w:t>
      </w:r>
      <w:r w:rsidRPr="003F3B94">
        <w:rPr>
          <w:rFonts w:ascii="Abo-thar" w:hAnsi="Abo-thar" w:hint="eastAsia"/>
          <w:b/>
          <w:bCs/>
          <w:sz w:val="28"/>
          <w:rtl/>
          <w:lang w:bidi="ar-SY"/>
        </w:rPr>
        <w:t>ختص</w:t>
      </w:r>
      <w:r w:rsidRPr="003F3B94">
        <w:rPr>
          <w:rFonts w:ascii="Abo-thar" w:hAnsi="Abo-thar"/>
          <w:b/>
          <w:bCs/>
          <w:sz w:val="28"/>
          <w:rtl/>
          <w:lang w:bidi="ar-SY"/>
        </w:rPr>
        <w:t xml:space="preserve"> به </w:t>
      </w:r>
      <w:r w:rsidR="003C7AEB" w:rsidRPr="003C7AEB">
        <w:rPr>
          <w:rFonts w:ascii="Abo-thar" w:hAnsi="Abo-thar" w:cs="CTraditional Arabic"/>
          <w:b/>
          <w:sz w:val="28"/>
          <w:rtl/>
          <w:lang w:bidi="ar-SY"/>
        </w:rPr>
        <w:t>÷</w:t>
      </w:r>
      <w:r w:rsidRPr="003F3B94">
        <w:rPr>
          <w:rFonts w:ascii="Lotus Linotype" w:hAnsi="Lotus Linotype" w:hint="cs"/>
          <w:b/>
          <w:bCs/>
          <w:sz w:val="28"/>
          <w:rtl/>
          <w:lang w:bidi="ar-SY"/>
        </w:rPr>
        <w:t xml:space="preserve"> لتحل</w:t>
      </w:r>
      <w:r w:rsidR="00D326AD" w:rsidRPr="003F3B94">
        <w:rPr>
          <w:rFonts w:ascii="Abo-thar" w:hAnsi="Abo-thar" w:hint="cs"/>
          <w:b/>
          <w:bCs/>
          <w:sz w:val="28"/>
          <w:rtl/>
          <w:lang w:bidi="ar-SY"/>
        </w:rPr>
        <w:t>ي</w:t>
      </w:r>
      <w:r w:rsidRPr="003F3B94">
        <w:rPr>
          <w:rFonts w:ascii="Abo-thar" w:hAnsi="Abo-thar" w:hint="eastAsia"/>
          <w:b/>
          <w:bCs/>
          <w:sz w:val="28"/>
          <w:rtl/>
          <w:lang w:bidi="ar-SY"/>
        </w:rPr>
        <w:t>لهم</w:t>
      </w:r>
      <w:r w:rsidRPr="003F3B94">
        <w:rPr>
          <w:rFonts w:ascii="Abo-thar" w:hAnsi="Abo-thar"/>
          <w:b/>
          <w:bCs/>
          <w:sz w:val="28"/>
          <w:rtl/>
          <w:lang w:bidi="ar-SY"/>
        </w:rPr>
        <w:t xml:space="preserve"> </w:t>
      </w:r>
      <w:r w:rsidR="00963EFD" w:rsidRPr="00963EFD">
        <w:rPr>
          <w:rFonts w:ascii="Abo-thar" w:hAnsi="Abo-thar" w:cs="CTraditional Arabic"/>
          <w:b/>
          <w:sz w:val="28"/>
          <w:rtl/>
          <w:lang w:bidi="ar-SY"/>
        </w:rPr>
        <w:t>‡</w:t>
      </w:r>
      <w:r w:rsidRPr="003F3B94">
        <w:rPr>
          <w:rFonts w:ascii="Lotus Linotype" w:hAnsi="Lotus Linotype" w:hint="cs"/>
          <w:b/>
          <w:bCs/>
          <w:sz w:val="28"/>
          <w:rtl/>
          <w:lang w:bidi="ar-SY"/>
        </w:rPr>
        <w:t xml:space="preserve"> ذل</w:t>
      </w:r>
      <w:r w:rsidR="00D326AD" w:rsidRPr="003F3B94">
        <w:rPr>
          <w:rFonts w:ascii="Lotus Linotype" w:hAnsi="Lotus Linotype" w:hint="cs"/>
          <w:b/>
          <w:bCs/>
          <w:sz w:val="28"/>
          <w:rtl/>
          <w:lang w:bidi="ar-SY"/>
        </w:rPr>
        <w:t>ك</w:t>
      </w:r>
      <w:r w:rsidRPr="003F3B94">
        <w:rPr>
          <w:rFonts w:ascii="Lotus Linotype" w:hAnsi="Lotus Linotype" w:hint="cs"/>
          <w:b/>
          <w:bCs/>
          <w:sz w:val="28"/>
          <w:rtl/>
          <w:lang w:bidi="ar-SY"/>
        </w:rPr>
        <w:t xml:space="preserve"> لش</w:t>
      </w:r>
      <w:r w:rsidR="00D326AD" w:rsidRPr="003F3B94">
        <w:rPr>
          <w:rFonts w:ascii="Abo-thar" w:hAnsi="Abo-thar" w:hint="cs"/>
          <w:b/>
          <w:bCs/>
          <w:sz w:val="28"/>
          <w:rtl/>
          <w:lang w:bidi="ar-SY"/>
        </w:rPr>
        <w:t>ي</w:t>
      </w:r>
      <w:r w:rsidRPr="003F3B94">
        <w:rPr>
          <w:rFonts w:ascii="Abo-thar" w:hAnsi="Abo-thar" w:hint="eastAsia"/>
          <w:b/>
          <w:bCs/>
          <w:sz w:val="28"/>
          <w:rtl/>
          <w:lang w:bidi="ar-SY"/>
        </w:rPr>
        <w:t>عتهم</w:t>
      </w:r>
      <w:r w:rsidR="00EF2588" w:rsidRPr="003F3B94">
        <w:rPr>
          <w:rFonts w:ascii="Abo-thar" w:hAnsi="Abo-thar" w:hint="cs"/>
          <w:sz w:val="28"/>
          <w:rtl/>
          <w:lang w:bidi="ar-SY"/>
        </w:rPr>
        <w:t>»</w:t>
      </w:r>
      <w:r w:rsidR="001E42EB" w:rsidRPr="0021507A">
        <w:rPr>
          <w:rFonts w:ascii="Abo-thar" w:hAnsi="Abo-thar" w:cs="Arabic11 BT"/>
          <w:sz w:val="28"/>
          <w:vertAlign w:val="superscript"/>
          <w:rtl/>
          <w:lang w:bidi="ar-SY"/>
        </w:rPr>
        <w:t>(</w:t>
      </w:r>
      <w:r w:rsidR="001E42EB" w:rsidRPr="0021507A">
        <w:rPr>
          <w:rStyle w:val="FootnoteReference"/>
          <w:rFonts w:ascii="Abo-thar" w:hAnsi="Abo-thar" w:cs="Arabic11 BT"/>
          <w:sz w:val="28"/>
          <w:rtl/>
          <w:lang w:bidi="ar-SY"/>
        </w:rPr>
        <w:footnoteReference w:id="416"/>
      </w:r>
      <w:r w:rsidR="001E42EB" w:rsidRPr="0021507A">
        <w:rPr>
          <w:rFonts w:ascii="Abo-thar" w:hAnsi="Abo-thar" w:cs="Arabic11 BT"/>
          <w:sz w:val="28"/>
          <w:vertAlign w:val="superscript"/>
          <w:rtl/>
          <w:lang w:bidi="ar-SY"/>
        </w:rPr>
        <w:t>)</w:t>
      </w:r>
      <w:r w:rsidR="00217AB4" w:rsidRPr="003F3B94">
        <w:rPr>
          <w:rFonts w:ascii="Abo-thar" w:hAnsi="Abo-thar" w:hint="cs"/>
          <w:sz w:val="28"/>
          <w:rtl/>
          <w:lang w:bidi="ar-SY"/>
        </w:rPr>
        <w:t>.</w:t>
      </w:r>
    </w:p>
    <w:p w:rsidR="005C664D" w:rsidRPr="003F3B94" w:rsidRDefault="005C664D" w:rsidP="003F3B94">
      <w:pPr>
        <w:pStyle w:val="a0"/>
        <w:rPr>
          <w:rFonts w:hint="cs"/>
          <w:rtl/>
          <w:lang w:bidi="ar-SY"/>
        </w:rPr>
      </w:pPr>
      <w:r w:rsidRPr="003F3B94">
        <w:rPr>
          <w:rFonts w:ascii="Abo-thar" w:hAnsi="Abo-thar" w:hint="cs"/>
          <w:sz w:val="28"/>
          <w:rtl/>
          <w:lang w:bidi="ar-SY"/>
        </w:rPr>
        <w:t>وقد فصَّل هذا الرأي في كتبه الأخرى</w:t>
      </w:r>
      <w:r w:rsidR="00217AB4" w:rsidRPr="003F3B94">
        <w:rPr>
          <w:rFonts w:ascii="Abo-thar" w:hAnsi="Abo-thar" w:hint="cs"/>
          <w:sz w:val="28"/>
          <w:rtl/>
          <w:lang w:bidi="ar-SY"/>
        </w:rPr>
        <w:t>:</w:t>
      </w:r>
      <w:r w:rsidRPr="003F3B94">
        <w:rPr>
          <w:rFonts w:ascii="Abo-thar" w:hAnsi="Abo-thar" w:hint="cs"/>
          <w:sz w:val="28"/>
          <w:rtl/>
          <w:lang w:bidi="ar-SY"/>
        </w:rPr>
        <w:t xml:space="preserve"> مثل «الوافي» و«المحجَّة البيضاء» و</w:t>
      </w:r>
      <w:r w:rsidRPr="003F3B94">
        <w:rPr>
          <w:rFonts w:ascii="Abo-thar" w:hAnsi="Abo-thar"/>
          <w:sz w:val="28"/>
          <w:rtl/>
          <w:lang w:bidi="ar-SY"/>
        </w:rPr>
        <w:t>«</w:t>
      </w:r>
      <w:r w:rsidRPr="003F3B94">
        <w:rPr>
          <w:rFonts w:ascii="Abo-thar" w:hAnsi="Abo-thar" w:hint="cs"/>
          <w:sz w:val="28"/>
          <w:rtl/>
          <w:lang w:bidi="ar-SY"/>
        </w:rPr>
        <w:t>النخبة الفقهية</w:t>
      </w:r>
      <w:r w:rsidRPr="003F3B94">
        <w:rPr>
          <w:rFonts w:ascii="Abo-thar" w:hAnsi="Abo-thar"/>
          <w:sz w:val="28"/>
          <w:rtl/>
          <w:lang w:bidi="ar-SY"/>
        </w:rPr>
        <w:t>»</w:t>
      </w:r>
      <w:r w:rsidRPr="003F3B94">
        <w:rPr>
          <w:rFonts w:ascii="Abo-thar" w:hAnsi="Abo-thar" w:hint="cs"/>
          <w:sz w:val="28"/>
          <w:rtl/>
          <w:lang w:bidi="ar-SY"/>
        </w:rPr>
        <w:t xml:space="preserve"> بشكل واف</w:t>
      </w:r>
      <w:r w:rsidR="00217AB4" w:rsidRPr="003F3B94">
        <w:rPr>
          <w:rFonts w:ascii="Abo-thar" w:hAnsi="Abo-thar" w:hint="cs"/>
          <w:sz w:val="28"/>
          <w:rtl/>
          <w:lang w:bidi="ar-SY"/>
        </w:rPr>
        <w:t>.</w:t>
      </w:r>
    </w:p>
    <w:p w:rsidR="005C664D" w:rsidRPr="003F3B94" w:rsidRDefault="005C664D" w:rsidP="003F3B94">
      <w:pPr>
        <w:pStyle w:val="a0"/>
        <w:rPr>
          <w:rFonts w:hint="cs"/>
          <w:rtl/>
          <w:lang w:bidi="ar-SY"/>
        </w:rPr>
      </w:pPr>
      <w:r w:rsidRPr="003F3B94">
        <w:rPr>
          <w:rFonts w:ascii="Abo-thar" w:hAnsi="Abo-thar" w:hint="cs"/>
          <w:sz w:val="28"/>
          <w:rtl/>
          <w:lang w:bidi="ar-SY"/>
        </w:rPr>
        <w:t xml:space="preserve">10 </w:t>
      </w:r>
      <w:r w:rsidRPr="003F3B94">
        <w:rPr>
          <w:rFonts w:cs="Times New Roman" w:hint="cs"/>
          <w:sz w:val="28"/>
          <w:rtl/>
          <w:lang w:bidi="ar-SY"/>
        </w:rPr>
        <w:t>–</w:t>
      </w:r>
      <w:r w:rsidRPr="003F3B94">
        <w:rPr>
          <w:rFonts w:ascii="Abo-thar" w:hAnsi="Abo-thar" w:hint="cs"/>
          <w:sz w:val="28"/>
          <w:rtl/>
          <w:lang w:bidi="ar-SY"/>
        </w:rPr>
        <w:t xml:space="preserve"> ونقل صاحب </w:t>
      </w:r>
      <w:r w:rsidRPr="003F3B94">
        <w:rPr>
          <w:rFonts w:ascii="Lotus Linotype" w:hAnsi="Lotus Linotype"/>
          <w:sz w:val="28"/>
          <w:rtl/>
          <w:lang w:bidi="ar-SY"/>
        </w:rPr>
        <w:t>«</w:t>
      </w:r>
      <w:r w:rsidRPr="003F3B94">
        <w:rPr>
          <w:rFonts w:ascii="Lotus Linotype" w:hAnsi="Lotus Linotype" w:hint="cs"/>
          <w:sz w:val="28"/>
          <w:rtl/>
          <w:lang w:bidi="ar-SY"/>
        </w:rPr>
        <w:t>رياض المسائل</w:t>
      </w:r>
      <w:r w:rsidRPr="003F3B94">
        <w:rPr>
          <w:rFonts w:ascii="Lotus Linotype" w:hAnsi="Lotus Linotype"/>
          <w:sz w:val="28"/>
          <w:rtl/>
          <w:lang w:bidi="ar-SY"/>
        </w:rPr>
        <w:t>»</w:t>
      </w:r>
      <w:r w:rsidRPr="003F3B94">
        <w:rPr>
          <w:rFonts w:ascii="Abo-thar" w:hAnsi="Abo-thar" w:hint="cs"/>
          <w:sz w:val="28"/>
          <w:rtl/>
          <w:lang w:bidi="ar-SY"/>
        </w:rPr>
        <w:t xml:space="preserve"> القول بالتحليل عن العماني والإسكافي ثم أيَّد هذا القول وصوَّبه</w:t>
      </w:r>
      <w:r w:rsidR="00217AB4" w:rsidRPr="003F3B94">
        <w:rPr>
          <w:rFonts w:ascii="Abo-thar" w:hAnsi="Abo-thar" w:hint="cs"/>
          <w:sz w:val="28"/>
          <w:rtl/>
          <w:lang w:bidi="ar-SY"/>
        </w:rPr>
        <w:t>.</w:t>
      </w:r>
    </w:p>
    <w:p w:rsidR="005C664D" w:rsidRPr="00995B26" w:rsidRDefault="005C664D" w:rsidP="003F3B94">
      <w:pPr>
        <w:pStyle w:val="a0"/>
        <w:rPr>
          <w:rFonts w:hint="cs"/>
          <w:rtl/>
          <w:lang w:bidi="ar-SY"/>
        </w:rPr>
      </w:pPr>
      <w:r w:rsidRPr="003F3B94">
        <w:rPr>
          <w:rFonts w:ascii="Abo-thar" w:hAnsi="Abo-thar" w:hint="cs"/>
          <w:sz w:val="28"/>
          <w:rtl/>
          <w:lang w:bidi="ar-SY"/>
        </w:rPr>
        <w:t>11</w:t>
      </w:r>
      <w:r w:rsidR="00217AB4" w:rsidRPr="003F3B94">
        <w:rPr>
          <w:rFonts w:ascii="Abo-thar" w:hAnsi="Abo-thar" w:hint="cs"/>
          <w:sz w:val="28"/>
          <w:rtl/>
          <w:lang w:bidi="ar-SY"/>
        </w:rPr>
        <w:t>-</w:t>
      </w:r>
      <w:r w:rsidRPr="003F3B94">
        <w:rPr>
          <w:rFonts w:ascii="Abo-thar" w:hAnsi="Abo-thar" w:hint="cs"/>
          <w:sz w:val="28"/>
          <w:rtl/>
          <w:lang w:bidi="ar-SY"/>
        </w:rPr>
        <w:t xml:space="preserve"> وقال المرحوم المجلسي الأول </w:t>
      </w:r>
      <w:r w:rsidR="00217AB4" w:rsidRPr="003F3B94">
        <w:rPr>
          <w:rFonts w:ascii="Abo-thar" w:hAnsi="Abo-thar" w:hint="cs"/>
          <w:sz w:val="28"/>
          <w:rtl/>
          <w:lang w:bidi="ar-SY"/>
        </w:rPr>
        <w:t>(</w:t>
      </w:r>
      <w:r w:rsidRPr="003F3B94">
        <w:rPr>
          <w:rFonts w:ascii="Abo-thar" w:hAnsi="Abo-thar" w:hint="cs"/>
          <w:sz w:val="28"/>
          <w:rtl/>
          <w:lang w:bidi="ar-SY"/>
        </w:rPr>
        <w:t>محمد تقي</w:t>
      </w:r>
      <w:r w:rsidR="00217AB4" w:rsidRPr="003F3B94">
        <w:rPr>
          <w:rFonts w:ascii="Abo-thar" w:hAnsi="Abo-thar" w:hint="cs"/>
          <w:sz w:val="28"/>
          <w:rtl/>
          <w:lang w:bidi="ar-SY"/>
        </w:rPr>
        <w:t>)</w:t>
      </w:r>
      <w:r w:rsidRPr="003F3B94">
        <w:rPr>
          <w:rFonts w:ascii="Abo-thar" w:hAnsi="Abo-thar" w:hint="cs"/>
          <w:sz w:val="28"/>
          <w:rtl/>
          <w:lang w:bidi="ar-SY"/>
        </w:rPr>
        <w:t xml:space="preserve"> </w:t>
      </w:r>
      <w:r w:rsidR="00217AB4" w:rsidRPr="003F3B94">
        <w:rPr>
          <w:rFonts w:ascii="Abo-thar" w:hAnsi="Abo-thar" w:hint="cs"/>
          <w:sz w:val="28"/>
          <w:rtl/>
          <w:lang w:bidi="ar-SY"/>
        </w:rPr>
        <w:t>(</w:t>
      </w:r>
      <w:r w:rsidRPr="003F3B94">
        <w:rPr>
          <w:rFonts w:ascii="Abo-thar" w:hAnsi="Abo-thar" w:hint="cs"/>
          <w:sz w:val="28"/>
          <w:rtl/>
          <w:lang w:bidi="ar-SY"/>
        </w:rPr>
        <w:t>1070هـ</w:t>
      </w:r>
      <w:r w:rsidR="00217AB4" w:rsidRPr="003F3B94">
        <w:rPr>
          <w:rFonts w:ascii="Abo-thar" w:hAnsi="Abo-thar" w:hint="cs"/>
          <w:sz w:val="28"/>
          <w:rtl/>
          <w:lang w:bidi="ar-SY"/>
        </w:rPr>
        <w:t>)</w:t>
      </w:r>
      <w:r w:rsidRPr="003F3B94">
        <w:rPr>
          <w:rFonts w:ascii="Abo-thar" w:hAnsi="Abo-thar" w:hint="cs"/>
          <w:sz w:val="28"/>
          <w:rtl/>
          <w:lang w:bidi="ar-SY"/>
        </w:rPr>
        <w:t xml:space="preserve"> في شرحه على «من لا يحضره الفقيه» في موضوع تحليل الخمس</w:t>
      </w:r>
      <w:r w:rsidR="00217AB4" w:rsidRPr="003F3B94">
        <w:rPr>
          <w:rFonts w:ascii="Abo-thar" w:hAnsi="Abo-thar" w:hint="cs"/>
          <w:sz w:val="28"/>
          <w:rtl/>
          <w:lang w:bidi="ar-SY"/>
        </w:rPr>
        <w:t>:</w:t>
      </w:r>
      <w:r w:rsidRPr="003F3B94">
        <w:rPr>
          <w:rFonts w:ascii="Abo-thar" w:hAnsi="Abo-thar" w:hint="cs"/>
          <w:sz w:val="28"/>
          <w:rtl/>
          <w:lang w:bidi="ar-SY"/>
        </w:rPr>
        <w:t xml:space="preserve"> </w:t>
      </w:r>
      <w:r w:rsidR="00EF2588" w:rsidRPr="003F3B94">
        <w:rPr>
          <w:rFonts w:ascii="Abo-thar" w:hAnsi="Abo-thar" w:hint="cs"/>
          <w:sz w:val="28"/>
          <w:rtl/>
          <w:lang w:bidi="ar-SY"/>
        </w:rPr>
        <w:t>«</w:t>
      </w:r>
      <w:r w:rsidRPr="003F3B94">
        <w:rPr>
          <w:rFonts w:ascii="Abo-thar" w:hAnsi="Abo-thar" w:hint="cs"/>
          <w:sz w:val="28"/>
          <w:rtl/>
          <w:lang w:bidi="ar-SY"/>
        </w:rPr>
        <w:t xml:space="preserve">ذهب جماعة إلى سقوطها جميعاً بقرينة قول الإمام </w:t>
      </w:r>
      <w:r w:rsidRPr="003F3B94">
        <w:rPr>
          <w:rFonts w:ascii="Abo-thar" w:hAnsi="Abo-thar"/>
          <w:b/>
          <w:bCs/>
          <w:sz w:val="28"/>
          <w:rtl/>
          <w:lang w:bidi="ar-SY"/>
        </w:rPr>
        <w:t>هَلَكَ النَّاسُ‏</w:t>
      </w:r>
      <w:r w:rsidRPr="003F3B94">
        <w:rPr>
          <w:rFonts w:ascii="Abo-thar" w:hAnsi="Abo-thar" w:hint="cs"/>
          <w:b/>
          <w:bCs/>
          <w:sz w:val="28"/>
          <w:rtl/>
          <w:lang w:bidi="ar-SY"/>
        </w:rPr>
        <w:t xml:space="preserve"> </w:t>
      </w:r>
      <w:r w:rsidRPr="003F3B94">
        <w:rPr>
          <w:rFonts w:ascii="Abo-thar" w:hAnsi="Abo-thar"/>
          <w:b/>
          <w:bCs/>
          <w:sz w:val="28"/>
          <w:rtl/>
          <w:lang w:bidi="ar-SY"/>
        </w:rPr>
        <w:t>فِي بُطُونِهِمْ وفُرُوجِهِمْ</w:t>
      </w:r>
      <w:r w:rsidRPr="003F3B94">
        <w:rPr>
          <w:rFonts w:ascii="Abo-thar" w:hAnsi="Abo-thar" w:hint="cs"/>
          <w:sz w:val="28"/>
          <w:rtl/>
          <w:lang w:bidi="ar-SY"/>
        </w:rPr>
        <w:t xml:space="preserve"> إلا الشيعة</w:t>
      </w:r>
      <w:r w:rsidR="00217AB4" w:rsidRPr="003F3B94">
        <w:rPr>
          <w:rFonts w:ascii="Abo-thar" w:hAnsi="Abo-thar" w:hint="cs"/>
          <w:sz w:val="28"/>
          <w:rtl/>
          <w:lang w:bidi="ar-SY"/>
        </w:rPr>
        <w:t>،</w:t>
      </w:r>
      <w:r w:rsidRPr="003F3B94">
        <w:rPr>
          <w:rFonts w:ascii="Abo-thar" w:hAnsi="Abo-thar" w:hint="cs"/>
          <w:sz w:val="28"/>
          <w:rtl/>
          <w:lang w:bidi="ar-SY"/>
        </w:rPr>
        <w:t xml:space="preserve"> وعبارة «بطونهم» تدل على جميع الأشياء</w:t>
      </w:r>
      <w:r w:rsidR="00217AB4" w:rsidRPr="003F3B94">
        <w:rPr>
          <w:rFonts w:ascii="Abo-thar" w:hAnsi="Abo-thar" w:hint="cs"/>
          <w:sz w:val="28"/>
          <w:rtl/>
          <w:lang w:bidi="ar-SY"/>
        </w:rPr>
        <w:t>،</w:t>
      </w:r>
      <w:r w:rsidRPr="003F3B94">
        <w:rPr>
          <w:rFonts w:ascii="Abo-thar" w:hAnsi="Abo-thar" w:hint="cs"/>
          <w:sz w:val="28"/>
          <w:rtl/>
          <w:lang w:bidi="ar-SY"/>
        </w:rPr>
        <w:t xml:space="preserve"> كما قال الحق سبحانه وتعالى</w:t>
      </w:r>
      <w:r w:rsidR="00217AB4" w:rsidRPr="003F3B94">
        <w:rPr>
          <w:rFonts w:ascii="Abo-thar" w:hAnsi="Abo-thar" w:hint="cs"/>
          <w:sz w:val="28"/>
          <w:rtl/>
          <w:lang w:bidi="ar-SY"/>
        </w:rPr>
        <w:t>:</w:t>
      </w:r>
      <w:r w:rsidR="00B06788" w:rsidRPr="003F3B94">
        <w:rPr>
          <w:rFonts w:ascii="Abo-thar" w:hAnsi="Abo-thar" w:hint="cs"/>
          <w:sz w:val="28"/>
          <w:rtl/>
          <w:lang w:bidi="ar-SY"/>
        </w:rPr>
        <w:t xml:space="preserve"> </w:t>
      </w:r>
      <w:r w:rsidR="00B06788" w:rsidRPr="00995B26">
        <w:rPr>
          <w:rFonts w:ascii="Abo-thar" w:hAnsi="Abo-thar" w:cs="Traditional Arabic" w:hint="cs"/>
          <w:sz w:val="28"/>
          <w:rtl/>
          <w:lang w:bidi="ar-SY"/>
        </w:rPr>
        <w:t>﴿</w:t>
      </w:r>
      <w:r w:rsidR="00B06788" w:rsidRPr="0067048A">
        <w:rPr>
          <w:rFonts w:ascii="KFGQPC Uthmanic Script HAFS" w:cs="KFGQPC Uthmanic Script HAFS" w:hint="eastAsia"/>
          <w:sz w:val="28"/>
          <w:szCs w:val="28"/>
          <w:rtl/>
        </w:rPr>
        <w:t>وَلَا</w:t>
      </w:r>
      <w:r w:rsidR="00B06788" w:rsidRPr="0067048A">
        <w:rPr>
          <w:rFonts w:ascii="KFGQPC Uthmanic Script HAFS" w:cs="KFGQPC Uthmanic Script HAFS"/>
          <w:sz w:val="28"/>
          <w:szCs w:val="28"/>
          <w:rtl/>
        </w:rPr>
        <w:t xml:space="preserve"> </w:t>
      </w:r>
      <w:r w:rsidR="00B06788" w:rsidRPr="0067048A">
        <w:rPr>
          <w:rFonts w:ascii="KFGQPC Uthmanic Script HAFS" w:cs="KFGQPC Uthmanic Script HAFS" w:hint="eastAsia"/>
          <w:sz w:val="28"/>
          <w:szCs w:val="28"/>
          <w:rtl/>
        </w:rPr>
        <w:t>تَأ</w:t>
      </w:r>
      <w:r w:rsidR="00B06788" w:rsidRPr="0067048A">
        <w:rPr>
          <w:rFonts w:ascii="KFGQPC Uthmanic Script HAFS" w:cs="KFGQPC Uthmanic Script HAFS" w:hint="cs"/>
          <w:sz w:val="28"/>
          <w:szCs w:val="28"/>
          <w:rtl/>
        </w:rPr>
        <w:t>ۡ</w:t>
      </w:r>
      <w:r w:rsidR="00B06788" w:rsidRPr="0067048A">
        <w:rPr>
          <w:rFonts w:ascii="KFGQPC Uthmanic Script HAFS" w:cs="KFGQPC Uthmanic Script HAFS" w:hint="eastAsia"/>
          <w:sz w:val="28"/>
          <w:szCs w:val="28"/>
          <w:rtl/>
        </w:rPr>
        <w:t>كُلُو</w:t>
      </w:r>
      <w:r w:rsidR="00B06788" w:rsidRPr="0067048A">
        <w:rPr>
          <w:rFonts w:ascii="KFGQPC Uthmanic Script HAFS" w:cs="KFGQPC Uthmanic Script HAFS" w:hint="cs"/>
          <w:sz w:val="28"/>
          <w:szCs w:val="28"/>
          <w:rtl/>
        </w:rPr>
        <w:t>ٓ</w:t>
      </w:r>
      <w:r w:rsidR="00B06788" w:rsidRPr="0067048A">
        <w:rPr>
          <w:rFonts w:ascii="KFGQPC Uthmanic Script HAFS" w:cs="KFGQPC Uthmanic Script HAFS" w:hint="eastAsia"/>
          <w:sz w:val="28"/>
          <w:szCs w:val="28"/>
          <w:rtl/>
        </w:rPr>
        <w:t>اْ</w:t>
      </w:r>
      <w:r w:rsidR="00B06788" w:rsidRPr="0067048A">
        <w:rPr>
          <w:rFonts w:ascii="KFGQPC Uthmanic Script HAFS" w:cs="KFGQPC Uthmanic Script HAFS"/>
          <w:sz w:val="28"/>
          <w:szCs w:val="28"/>
          <w:rtl/>
        </w:rPr>
        <w:t xml:space="preserve"> </w:t>
      </w:r>
      <w:r w:rsidR="00B06788" w:rsidRPr="0067048A">
        <w:rPr>
          <w:rFonts w:ascii="KFGQPC Uthmanic Script HAFS" w:cs="KFGQPC Uthmanic Script HAFS" w:hint="eastAsia"/>
          <w:sz w:val="28"/>
          <w:szCs w:val="28"/>
          <w:rtl/>
        </w:rPr>
        <w:t>أَم</w:t>
      </w:r>
      <w:r w:rsidR="00B06788" w:rsidRPr="0067048A">
        <w:rPr>
          <w:rFonts w:ascii="KFGQPC Uthmanic Script HAFS" w:cs="KFGQPC Uthmanic Script HAFS" w:hint="cs"/>
          <w:sz w:val="28"/>
          <w:szCs w:val="28"/>
          <w:rtl/>
        </w:rPr>
        <w:t>ۡ</w:t>
      </w:r>
      <w:r w:rsidR="00B06788" w:rsidRPr="0067048A">
        <w:rPr>
          <w:rFonts w:ascii="KFGQPC Uthmanic Script HAFS" w:cs="KFGQPC Uthmanic Script HAFS" w:hint="eastAsia"/>
          <w:sz w:val="28"/>
          <w:szCs w:val="28"/>
          <w:rtl/>
        </w:rPr>
        <w:t>وَ</w:t>
      </w:r>
      <w:r w:rsidR="00B06788" w:rsidRPr="0067048A">
        <w:rPr>
          <w:rFonts w:ascii="KFGQPC Uthmanic Script HAFS" w:cs="KFGQPC Uthmanic Script HAFS" w:hint="cs"/>
          <w:sz w:val="28"/>
          <w:szCs w:val="28"/>
          <w:rtl/>
        </w:rPr>
        <w:t>ٰ</w:t>
      </w:r>
      <w:r w:rsidR="00B06788" w:rsidRPr="0067048A">
        <w:rPr>
          <w:rFonts w:ascii="KFGQPC Uthmanic Script HAFS" w:cs="KFGQPC Uthmanic Script HAFS" w:hint="eastAsia"/>
          <w:sz w:val="28"/>
          <w:szCs w:val="28"/>
          <w:rtl/>
        </w:rPr>
        <w:t>لَكُم</w:t>
      </w:r>
      <w:r w:rsidR="00B06788" w:rsidRPr="0067048A">
        <w:rPr>
          <w:rFonts w:ascii="KFGQPC Uthmanic Script HAFS" w:cs="KFGQPC Uthmanic Script HAFS"/>
          <w:sz w:val="28"/>
          <w:szCs w:val="28"/>
          <w:rtl/>
        </w:rPr>
        <w:t xml:space="preserve"> </w:t>
      </w:r>
      <w:r w:rsidR="00B06788" w:rsidRPr="0067048A">
        <w:rPr>
          <w:rFonts w:ascii="KFGQPC Uthmanic Script HAFS" w:cs="KFGQPC Uthmanic Script HAFS" w:hint="eastAsia"/>
          <w:sz w:val="28"/>
          <w:szCs w:val="28"/>
          <w:rtl/>
        </w:rPr>
        <w:t>بَي</w:t>
      </w:r>
      <w:r w:rsidR="00B06788" w:rsidRPr="0067048A">
        <w:rPr>
          <w:rFonts w:ascii="KFGQPC Uthmanic Script HAFS" w:cs="KFGQPC Uthmanic Script HAFS" w:hint="cs"/>
          <w:sz w:val="28"/>
          <w:szCs w:val="28"/>
          <w:rtl/>
        </w:rPr>
        <w:t>ۡ</w:t>
      </w:r>
      <w:r w:rsidR="00B06788" w:rsidRPr="0067048A">
        <w:rPr>
          <w:rFonts w:ascii="KFGQPC Uthmanic Script HAFS" w:cs="KFGQPC Uthmanic Script HAFS" w:hint="eastAsia"/>
          <w:sz w:val="28"/>
          <w:szCs w:val="28"/>
          <w:rtl/>
        </w:rPr>
        <w:t>نَكُم</w:t>
      </w:r>
      <w:r w:rsidR="00B06788" w:rsidRPr="0067048A">
        <w:rPr>
          <w:rFonts w:ascii="KFGQPC Uthmanic Script HAFS" w:cs="KFGQPC Uthmanic Script HAFS"/>
          <w:sz w:val="28"/>
          <w:szCs w:val="28"/>
          <w:rtl/>
        </w:rPr>
        <w:t xml:space="preserve"> </w:t>
      </w:r>
      <w:r w:rsidR="00B06788" w:rsidRPr="0067048A">
        <w:rPr>
          <w:rFonts w:ascii="KFGQPC Uthmanic Script HAFS" w:cs="KFGQPC Uthmanic Script HAFS" w:hint="eastAsia"/>
          <w:sz w:val="28"/>
          <w:szCs w:val="28"/>
          <w:rtl/>
        </w:rPr>
        <w:t>بِ</w:t>
      </w:r>
      <w:r w:rsidR="00B06788" w:rsidRPr="0067048A">
        <w:rPr>
          <w:rFonts w:ascii="KFGQPC Uthmanic Script HAFS" w:cs="KFGQPC Uthmanic Script HAFS" w:hint="cs"/>
          <w:sz w:val="28"/>
          <w:szCs w:val="28"/>
          <w:rtl/>
        </w:rPr>
        <w:t>ٱ</w:t>
      </w:r>
      <w:r w:rsidR="00B06788" w:rsidRPr="0067048A">
        <w:rPr>
          <w:rFonts w:ascii="KFGQPC Uthmanic Script HAFS" w:cs="KFGQPC Uthmanic Script HAFS" w:hint="eastAsia"/>
          <w:sz w:val="28"/>
          <w:szCs w:val="28"/>
          <w:rtl/>
        </w:rPr>
        <w:t>ل</w:t>
      </w:r>
      <w:r w:rsidR="00B06788" w:rsidRPr="0067048A">
        <w:rPr>
          <w:rFonts w:ascii="KFGQPC Uthmanic Script HAFS" w:cs="KFGQPC Uthmanic Script HAFS" w:hint="cs"/>
          <w:sz w:val="28"/>
          <w:szCs w:val="28"/>
          <w:rtl/>
        </w:rPr>
        <w:t>ۡ</w:t>
      </w:r>
      <w:r w:rsidR="00B06788" w:rsidRPr="0067048A">
        <w:rPr>
          <w:rFonts w:ascii="KFGQPC Uthmanic Script HAFS" w:cs="KFGQPC Uthmanic Script HAFS" w:hint="eastAsia"/>
          <w:sz w:val="28"/>
          <w:szCs w:val="28"/>
          <w:rtl/>
        </w:rPr>
        <w:t>بَ</w:t>
      </w:r>
      <w:r w:rsidR="00B06788" w:rsidRPr="0067048A">
        <w:rPr>
          <w:rFonts w:ascii="KFGQPC Uthmanic Script HAFS" w:cs="KFGQPC Uthmanic Script HAFS" w:hint="cs"/>
          <w:sz w:val="28"/>
          <w:szCs w:val="28"/>
          <w:rtl/>
        </w:rPr>
        <w:t>ٰ</w:t>
      </w:r>
      <w:r w:rsidR="00B06788" w:rsidRPr="0067048A">
        <w:rPr>
          <w:rFonts w:ascii="KFGQPC Uthmanic Script HAFS" w:cs="KFGQPC Uthmanic Script HAFS" w:hint="eastAsia"/>
          <w:sz w:val="28"/>
          <w:szCs w:val="28"/>
          <w:rtl/>
        </w:rPr>
        <w:t>طِلِ</w:t>
      </w:r>
      <w:r w:rsidR="00B06788" w:rsidRPr="00995B26">
        <w:rPr>
          <w:rFonts w:ascii="Abo-thar" w:hAnsi="Abo-thar" w:cs="Traditional Arabic" w:hint="cs"/>
          <w:sz w:val="28"/>
          <w:rtl/>
          <w:lang w:bidi="ar-SY"/>
        </w:rPr>
        <w:t>﴾</w:t>
      </w:r>
      <w:r w:rsidRPr="00995B26">
        <w:rPr>
          <w:rFonts w:ascii="Abo-thar" w:hAnsi="Abo-thar" w:hint="cs"/>
          <w:sz w:val="28"/>
          <w:rtl/>
          <w:lang w:bidi="ar-SY"/>
        </w:rPr>
        <w:t xml:space="preserve"> </w:t>
      </w:r>
      <w:r w:rsidRPr="009E1401">
        <w:rPr>
          <w:rStyle w:val="Char2"/>
          <w:rtl/>
        </w:rPr>
        <w:t>[البقرة</w:t>
      </w:r>
      <w:r w:rsidR="00B06788" w:rsidRPr="009E1401">
        <w:rPr>
          <w:rStyle w:val="Char2"/>
          <w:rFonts w:hint="cs"/>
          <w:rtl/>
        </w:rPr>
        <w:t xml:space="preserve">: </w:t>
      </w:r>
      <w:r w:rsidRPr="009E1401">
        <w:rPr>
          <w:rStyle w:val="Char2"/>
          <w:rtl/>
        </w:rPr>
        <w:t>188]</w:t>
      </w:r>
      <w:r w:rsidR="00EF2588" w:rsidRPr="00995B26">
        <w:rPr>
          <w:rFonts w:ascii="Abo-thar" w:hAnsi="Abo-thar" w:hint="cs"/>
          <w:sz w:val="28"/>
          <w:rtl/>
          <w:lang w:bidi="ar-SY"/>
        </w:rPr>
        <w:t>»</w:t>
      </w:r>
      <w:r w:rsidR="001E42EB" w:rsidRPr="0021507A">
        <w:rPr>
          <w:rFonts w:ascii="Abo-thar" w:hAnsi="Abo-thar" w:cs="Arabic11 BT"/>
          <w:sz w:val="28"/>
          <w:vertAlign w:val="superscript"/>
          <w:rtl/>
          <w:lang w:bidi="ar-SY"/>
        </w:rPr>
        <w:t>(</w:t>
      </w:r>
      <w:r w:rsidR="001E42EB" w:rsidRPr="0021507A">
        <w:rPr>
          <w:rStyle w:val="FootnoteReference"/>
          <w:rFonts w:ascii="Abo-thar" w:hAnsi="Abo-thar" w:cs="Arabic11 BT"/>
          <w:sz w:val="28"/>
          <w:rtl/>
          <w:lang w:bidi="ar-SY"/>
        </w:rPr>
        <w:footnoteReference w:id="417"/>
      </w:r>
      <w:r w:rsidR="001E42EB" w:rsidRPr="0021507A">
        <w:rPr>
          <w:rFonts w:ascii="Abo-thar" w:hAnsi="Abo-thar" w:cs="Arabic11 BT"/>
          <w:sz w:val="28"/>
          <w:vertAlign w:val="superscript"/>
          <w:rtl/>
          <w:lang w:bidi="ar-SY"/>
        </w:rPr>
        <w:t>)</w:t>
      </w:r>
      <w:r w:rsidR="00217AB4" w:rsidRPr="00995B26">
        <w:rPr>
          <w:rFonts w:ascii="Abo-thar" w:hAnsi="Abo-thar" w:hint="cs"/>
          <w:sz w:val="28"/>
          <w:rtl/>
          <w:lang w:bidi="ar-SY"/>
        </w:rPr>
        <w:t>.</w:t>
      </w:r>
    </w:p>
    <w:p w:rsidR="005C664D" w:rsidRPr="003F3B94" w:rsidRDefault="005C664D" w:rsidP="003F3B94">
      <w:pPr>
        <w:pStyle w:val="a0"/>
        <w:rPr>
          <w:rFonts w:hint="cs"/>
          <w:rtl/>
        </w:rPr>
      </w:pPr>
      <w:r w:rsidRPr="003F3B94">
        <w:rPr>
          <w:rFonts w:ascii="Abo-thar" w:hAnsi="Abo-thar" w:hint="cs"/>
          <w:sz w:val="28"/>
          <w:rtl/>
          <w:lang w:bidi="ar-SY"/>
        </w:rPr>
        <w:t xml:space="preserve">12 </w:t>
      </w:r>
      <w:r w:rsidRPr="003F3B94">
        <w:rPr>
          <w:rFonts w:cs="Times New Roman" w:hint="cs"/>
          <w:sz w:val="28"/>
          <w:rtl/>
          <w:lang w:bidi="ar-SY"/>
        </w:rPr>
        <w:t>–</w:t>
      </w:r>
      <w:r w:rsidRPr="003F3B94">
        <w:rPr>
          <w:rFonts w:ascii="Abo-thar" w:hAnsi="Abo-thar" w:hint="cs"/>
          <w:sz w:val="28"/>
          <w:rtl/>
          <w:lang w:bidi="ar-SY"/>
        </w:rPr>
        <w:t xml:space="preserve"> قول المرحوم الشيخ حسن [صاحب المعالم] ابن زين الدين الشهيد الثاني في كتابه الشريف </w:t>
      </w:r>
      <w:r w:rsidRPr="003F3B94">
        <w:rPr>
          <w:rFonts w:ascii="Lotus Linotype" w:hAnsi="Lotus Linotype"/>
          <w:sz w:val="28"/>
          <w:rtl/>
          <w:lang w:bidi="ar-SY"/>
        </w:rPr>
        <w:t>«</w:t>
      </w:r>
      <w:r w:rsidRPr="003F3B94">
        <w:rPr>
          <w:rFonts w:ascii="Lotus Linotype" w:hAnsi="Lotus Linotype" w:hint="cs"/>
          <w:sz w:val="28"/>
          <w:rtl/>
          <w:lang w:bidi="ar-SY"/>
        </w:rPr>
        <w:t>منتقى الجمان</w:t>
      </w:r>
      <w:r w:rsidRPr="003F3B94">
        <w:rPr>
          <w:rFonts w:ascii="Lotus Linotype" w:hAnsi="Lotus Linotype"/>
          <w:sz w:val="28"/>
          <w:rtl/>
          <w:lang w:bidi="ar-SY"/>
        </w:rPr>
        <w:t>»</w:t>
      </w:r>
      <w:r w:rsidR="001E42EB" w:rsidRPr="0021507A">
        <w:rPr>
          <w:rFonts w:ascii="Lotus Linotype" w:hAnsi="Lotus Linotype" w:cs="Arabic11 BT"/>
          <w:sz w:val="28"/>
          <w:vertAlign w:val="superscript"/>
          <w:rtl/>
          <w:lang w:bidi="ar-SY"/>
        </w:rPr>
        <w:t>(</w:t>
      </w:r>
      <w:r w:rsidR="001E42EB" w:rsidRPr="0021507A">
        <w:rPr>
          <w:rStyle w:val="FootnoteReference"/>
          <w:rFonts w:ascii="Lotus Linotype" w:hAnsi="Lotus Linotype" w:cs="Arabic11 BT"/>
          <w:sz w:val="28"/>
          <w:rtl/>
          <w:lang w:bidi="ar-SY"/>
        </w:rPr>
        <w:footnoteReference w:id="418"/>
      </w:r>
      <w:r w:rsidR="001E42EB" w:rsidRPr="0021507A">
        <w:rPr>
          <w:rFonts w:ascii="Lotus Linotype" w:hAnsi="Lotus Linotype" w:cs="Arabic11 BT"/>
          <w:sz w:val="28"/>
          <w:vertAlign w:val="superscript"/>
          <w:rtl/>
          <w:lang w:bidi="ar-SY"/>
        </w:rPr>
        <w:t>)</w:t>
      </w:r>
      <w:r w:rsidR="001E42EB" w:rsidRPr="003F3B94">
        <w:rPr>
          <w:rFonts w:ascii="Lotus Linotype" w:hAnsi="Lotus Linotype" w:hint="cs"/>
          <w:sz w:val="28"/>
          <w:rtl/>
          <w:lang w:bidi="ar-SY"/>
        </w:rPr>
        <w:t xml:space="preserve"> </w:t>
      </w:r>
      <w:r w:rsidRPr="003F3B94">
        <w:rPr>
          <w:rFonts w:ascii="Lotus Linotype" w:hAnsi="Lotus Linotype" w:hint="cs"/>
          <w:sz w:val="28"/>
          <w:rtl/>
          <w:lang w:bidi="ar-SY"/>
        </w:rPr>
        <w:t>الذي أوردناه فيما سبق</w:t>
      </w:r>
      <w:r w:rsidRPr="003F3B94">
        <w:rPr>
          <w:rFonts w:ascii="Abo-thar" w:hAnsi="Abo-thar" w:hint="cs"/>
          <w:sz w:val="28"/>
          <w:rtl/>
          <w:lang w:bidi="ar-SY"/>
        </w:rPr>
        <w:t xml:space="preserve"> والذي يبين ذهابه إلى إباحة الخمس وعدم وجوبه [في عهد الغيبة]</w:t>
      </w:r>
      <w:r w:rsidR="00217AB4" w:rsidRPr="0021507A">
        <w:rPr>
          <w:rFonts w:cs="Arabic11 BT"/>
          <w:b/>
          <w:sz w:val="28"/>
          <w:vertAlign w:val="superscript"/>
          <w:rtl/>
          <w:lang w:bidi="ar-SY"/>
        </w:rPr>
        <w:t>(</w:t>
      </w:r>
      <w:r w:rsidRPr="0021507A">
        <w:rPr>
          <w:rStyle w:val="FootnoteReference"/>
          <w:rFonts w:cs="Arabic11 BT"/>
          <w:b/>
          <w:sz w:val="28"/>
          <w:rtl/>
          <w:lang w:bidi="ar-SY"/>
        </w:rPr>
        <w:footnoteReference w:id="419"/>
      </w:r>
      <w:r w:rsidR="00217AB4" w:rsidRPr="0021507A">
        <w:rPr>
          <w:rFonts w:cs="Arabic11 BT"/>
          <w:b/>
          <w:sz w:val="28"/>
          <w:vertAlign w:val="superscript"/>
          <w:rtl/>
          <w:lang w:bidi="ar-SY"/>
        </w:rPr>
        <w:t>)</w:t>
      </w:r>
      <w:r w:rsidR="00217AB4" w:rsidRPr="003F3B94">
        <w:rPr>
          <w:rFonts w:ascii="Abo-thar" w:hAnsi="Abo-thar" w:hint="cs"/>
          <w:sz w:val="28"/>
          <w:rtl/>
          <w:lang w:bidi="ar-SY"/>
        </w:rPr>
        <w:t>.</w:t>
      </w:r>
    </w:p>
    <w:p w:rsidR="005C664D" w:rsidRPr="003F3B94" w:rsidRDefault="005C664D" w:rsidP="003F3B94">
      <w:pPr>
        <w:pStyle w:val="a0"/>
        <w:rPr>
          <w:rFonts w:hint="cs"/>
          <w:rtl/>
        </w:rPr>
      </w:pPr>
      <w:r w:rsidRPr="003F3B94">
        <w:rPr>
          <w:rFonts w:ascii="Abo-thar" w:hAnsi="Abo-thar" w:hint="cs"/>
          <w:sz w:val="28"/>
          <w:rtl/>
        </w:rPr>
        <w:t xml:space="preserve">13 </w:t>
      </w:r>
      <w:r w:rsidRPr="003F3B94">
        <w:rPr>
          <w:rFonts w:cs="Times New Roman" w:hint="cs"/>
          <w:sz w:val="28"/>
          <w:rtl/>
        </w:rPr>
        <w:t>–</w:t>
      </w:r>
      <w:r w:rsidRPr="003F3B94">
        <w:rPr>
          <w:rFonts w:ascii="Abo-thar" w:hAnsi="Abo-thar" w:hint="cs"/>
          <w:sz w:val="28"/>
          <w:rtl/>
        </w:rPr>
        <w:t xml:space="preserve"> قول المحدث الجليل عبد الله بن صالح البحراني الذي نقله صاحب </w:t>
      </w:r>
      <w:r w:rsidRPr="003F3B94">
        <w:rPr>
          <w:rFonts w:ascii="Lotus Linotype" w:hAnsi="Lotus Linotype"/>
          <w:sz w:val="28"/>
          <w:rtl/>
        </w:rPr>
        <w:t>«</w:t>
      </w:r>
      <w:r w:rsidRPr="003F3B94">
        <w:rPr>
          <w:rFonts w:ascii="Lotus Linotype" w:hAnsi="Lotus Linotype" w:hint="cs"/>
          <w:sz w:val="28"/>
          <w:rtl/>
        </w:rPr>
        <w:t>الحدائق الناضرة</w:t>
      </w:r>
      <w:r w:rsidRPr="003F3B94">
        <w:rPr>
          <w:rFonts w:ascii="Lotus Linotype" w:hAnsi="Lotus Linotype"/>
          <w:sz w:val="28"/>
          <w:rtl/>
        </w:rPr>
        <w:t>»</w:t>
      </w:r>
      <w:r w:rsidRPr="003F3B94">
        <w:rPr>
          <w:rFonts w:ascii="Lotus Linotype" w:hAnsi="Lotus Linotype" w:hint="cs"/>
          <w:sz w:val="28"/>
          <w:rtl/>
        </w:rPr>
        <w:t xml:space="preserve"> وقال</w:t>
      </w:r>
      <w:r w:rsidR="00217AB4" w:rsidRPr="003F3B94">
        <w:rPr>
          <w:rFonts w:ascii="Lotus Linotype" w:hAnsi="Lotus Linotype" w:hint="cs"/>
          <w:sz w:val="28"/>
          <w:rtl/>
        </w:rPr>
        <w:t>:</w:t>
      </w:r>
      <w:r w:rsidRPr="003F3B94">
        <w:rPr>
          <w:rFonts w:ascii="Lotus Linotype" w:hAnsi="Lotus Linotype" w:hint="cs"/>
          <w:sz w:val="28"/>
          <w:rtl/>
        </w:rPr>
        <w:t xml:space="preserve"> </w:t>
      </w:r>
      <w:r w:rsidR="00EF2588" w:rsidRPr="003F3B94">
        <w:rPr>
          <w:rFonts w:ascii="Lotus Linotype" w:hAnsi="Lotus Linotype" w:hint="cs"/>
          <w:sz w:val="28"/>
          <w:rtl/>
        </w:rPr>
        <w:t>«</w:t>
      </w:r>
      <w:r w:rsidR="00D326AD" w:rsidRPr="003F3B94">
        <w:rPr>
          <w:rFonts w:ascii="Lotus Linotype" w:hAnsi="Lotus Linotype" w:hint="cs"/>
          <w:b/>
          <w:bCs/>
          <w:sz w:val="28"/>
          <w:rtl/>
        </w:rPr>
        <w:t>ي</w:t>
      </w:r>
      <w:r w:rsidR="00D326AD" w:rsidRPr="003F3B94">
        <w:rPr>
          <w:rFonts w:ascii="Lotus Linotype" w:hAnsi="Lotus Linotype" w:hint="eastAsia"/>
          <w:b/>
          <w:bCs/>
          <w:sz w:val="28"/>
          <w:rtl/>
        </w:rPr>
        <w:t>ك</w:t>
      </w:r>
      <w:r w:rsidRPr="003F3B94">
        <w:rPr>
          <w:rFonts w:ascii="Lotus Linotype" w:hAnsi="Lotus Linotype" w:hint="eastAsia"/>
          <w:b/>
          <w:bCs/>
          <w:sz w:val="28"/>
          <w:rtl/>
        </w:rPr>
        <w:t>ون</w:t>
      </w:r>
      <w:r w:rsidRPr="003F3B94">
        <w:rPr>
          <w:rFonts w:ascii="Lotus Linotype" w:hAnsi="Lotus Linotype"/>
          <w:b/>
          <w:bCs/>
          <w:sz w:val="28"/>
          <w:rtl/>
        </w:rPr>
        <w:t xml:space="preserve"> </w:t>
      </w:r>
      <w:r w:rsidRPr="003F3B94">
        <w:rPr>
          <w:rFonts w:cs="Times New Roman" w:hint="cs"/>
          <w:b/>
          <w:bCs/>
          <w:sz w:val="28"/>
          <w:rtl/>
        </w:rPr>
        <w:t>‌</w:t>
      </w:r>
      <w:r w:rsidRPr="003F3B94">
        <w:rPr>
          <w:rFonts w:ascii="Lotus Linotype" w:hAnsi="Lotus Linotype" w:hint="cs"/>
          <w:b/>
          <w:bCs/>
          <w:sz w:val="28"/>
          <w:rtl/>
        </w:rPr>
        <w:t>الخمس بأجمعه مباحاً للش</w:t>
      </w:r>
      <w:r w:rsidR="00D326AD" w:rsidRPr="003F3B94">
        <w:rPr>
          <w:rFonts w:ascii="Lotus Linotype" w:hAnsi="Lotus Linotype" w:hint="cs"/>
          <w:b/>
          <w:bCs/>
          <w:sz w:val="28"/>
          <w:rtl/>
        </w:rPr>
        <w:t>ي</w:t>
      </w:r>
      <w:r w:rsidRPr="003F3B94">
        <w:rPr>
          <w:rFonts w:ascii="Lotus Linotype" w:hAnsi="Lotus Linotype" w:hint="eastAsia"/>
          <w:b/>
          <w:bCs/>
          <w:sz w:val="28"/>
          <w:rtl/>
        </w:rPr>
        <w:t>ع</w:t>
      </w:r>
      <w:r w:rsidRPr="003F3B94">
        <w:rPr>
          <w:rFonts w:ascii="Lotus Linotype" w:hAnsi="Lotus Linotype" w:hint="cs"/>
          <w:b/>
          <w:bCs/>
          <w:sz w:val="28"/>
          <w:rtl/>
        </w:rPr>
        <w:t>ة</w:t>
      </w:r>
      <w:r w:rsidRPr="003F3B94">
        <w:rPr>
          <w:rFonts w:ascii="Lotus Linotype" w:hAnsi="Lotus Linotype"/>
          <w:b/>
          <w:bCs/>
          <w:sz w:val="28"/>
          <w:rtl/>
        </w:rPr>
        <w:t xml:space="preserve"> وساقطاً عنهم فلا </w:t>
      </w:r>
      <w:r w:rsidR="00D326AD" w:rsidRPr="003F3B94">
        <w:rPr>
          <w:rFonts w:ascii="Lotus Linotype" w:hAnsi="Lotus Linotype" w:hint="cs"/>
          <w:b/>
          <w:bCs/>
          <w:sz w:val="28"/>
          <w:rtl/>
        </w:rPr>
        <w:t>ي</w:t>
      </w:r>
      <w:r w:rsidRPr="003F3B94">
        <w:rPr>
          <w:rFonts w:ascii="Lotus Linotype" w:hAnsi="Lotus Linotype" w:hint="eastAsia"/>
          <w:b/>
          <w:bCs/>
          <w:sz w:val="28"/>
          <w:rtl/>
        </w:rPr>
        <w:t>جب</w:t>
      </w:r>
      <w:r w:rsidRPr="003F3B94">
        <w:rPr>
          <w:rFonts w:ascii="Lotus Linotype" w:hAnsi="Lotus Linotype"/>
          <w:b/>
          <w:bCs/>
          <w:sz w:val="28"/>
          <w:rtl/>
        </w:rPr>
        <w:t xml:space="preserve"> </w:t>
      </w:r>
      <w:r w:rsidRPr="003F3B94">
        <w:rPr>
          <w:rFonts w:ascii="Lotus Linotype" w:hAnsi="Lotus Linotype" w:hint="cs"/>
          <w:b/>
          <w:bCs/>
          <w:sz w:val="28"/>
          <w:rtl/>
        </w:rPr>
        <w:t>إ</w:t>
      </w:r>
      <w:r w:rsidRPr="003F3B94">
        <w:rPr>
          <w:rFonts w:ascii="Lotus Linotype" w:hAnsi="Lotus Linotype"/>
          <w:b/>
          <w:bCs/>
          <w:sz w:val="28"/>
          <w:rtl/>
        </w:rPr>
        <w:t>خراجه عل</w:t>
      </w:r>
      <w:r w:rsidR="00D326AD" w:rsidRPr="003F3B94">
        <w:rPr>
          <w:rFonts w:ascii="Lotus Linotype" w:hAnsi="Lotus Linotype" w:hint="cs"/>
          <w:b/>
          <w:bCs/>
          <w:sz w:val="28"/>
          <w:rtl/>
        </w:rPr>
        <w:t>ي</w:t>
      </w:r>
      <w:r w:rsidRPr="003F3B94">
        <w:rPr>
          <w:rFonts w:ascii="Lotus Linotype" w:hAnsi="Lotus Linotype" w:hint="eastAsia"/>
          <w:b/>
          <w:bCs/>
          <w:sz w:val="28"/>
          <w:rtl/>
        </w:rPr>
        <w:t>هم</w:t>
      </w:r>
      <w:r w:rsidR="00EF2588" w:rsidRPr="003F3B94">
        <w:rPr>
          <w:rFonts w:ascii="Lotus Linotype" w:hAnsi="Lotus Linotype" w:hint="cs"/>
          <w:sz w:val="28"/>
          <w:rtl/>
        </w:rPr>
        <w:t>»</w:t>
      </w:r>
      <w:r w:rsidR="00217AB4" w:rsidRPr="003F3B94">
        <w:rPr>
          <w:rFonts w:ascii="Lotus Linotype" w:hAnsi="Lotus Linotype" w:hint="cs"/>
          <w:sz w:val="28"/>
          <w:rtl/>
        </w:rPr>
        <w:t>.</w:t>
      </w:r>
    </w:p>
    <w:p w:rsidR="005C664D" w:rsidRPr="003F3B94" w:rsidRDefault="005C664D" w:rsidP="003F3B94">
      <w:pPr>
        <w:pStyle w:val="a0"/>
        <w:rPr>
          <w:rFonts w:hint="cs"/>
          <w:rtl/>
        </w:rPr>
      </w:pPr>
      <w:r w:rsidRPr="003F3B94">
        <w:rPr>
          <w:rFonts w:ascii="Abo-thar" w:hAnsi="Abo-thar" w:hint="cs"/>
          <w:sz w:val="28"/>
          <w:rtl/>
        </w:rPr>
        <w:t>نكتفي بما ذكرناه من أقوال من ذهب إلى عدم وجوب الخمس زمن الغيبة</w:t>
      </w:r>
      <w:r w:rsidR="00217AB4" w:rsidRPr="003F3B94">
        <w:rPr>
          <w:rFonts w:ascii="Abo-thar" w:hAnsi="Abo-thar" w:hint="cs"/>
          <w:sz w:val="28"/>
          <w:rtl/>
        </w:rPr>
        <w:t>.</w:t>
      </w:r>
    </w:p>
    <w:p w:rsidR="005C664D" w:rsidRPr="00995B26" w:rsidRDefault="00542D29" w:rsidP="007D2B8A">
      <w:pPr>
        <w:pStyle w:val="a5"/>
        <w:rPr>
          <w:rFonts w:hint="cs"/>
          <w:rtl/>
        </w:rPr>
      </w:pPr>
      <w:bookmarkStart w:id="151" w:name="_Toc215491166"/>
      <w:bookmarkStart w:id="152" w:name="_Toc215498085"/>
      <w:bookmarkStart w:id="153" w:name="_Toc387843100"/>
      <w:r w:rsidRPr="00995B26">
        <w:rPr>
          <w:rFonts w:hint="cs"/>
          <w:rtl/>
        </w:rPr>
        <w:t xml:space="preserve">7- </w:t>
      </w:r>
      <w:r w:rsidR="005C664D" w:rsidRPr="00995B26">
        <w:rPr>
          <w:rFonts w:hint="cs"/>
          <w:rtl/>
        </w:rPr>
        <w:t xml:space="preserve">مصرف سهم الإمام </w:t>
      </w:r>
      <w:r w:rsidR="003C7AEB" w:rsidRPr="003C7AEB">
        <w:rPr>
          <w:rFonts w:cs="CTraditional Arabic" w:hint="cs"/>
          <w:rtl/>
        </w:rPr>
        <w:t>÷</w:t>
      </w:r>
      <w:bookmarkEnd w:id="151"/>
      <w:bookmarkEnd w:id="152"/>
      <w:bookmarkEnd w:id="153"/>
    </w:p>
    <w:p w:rsidR="005C664D" w:rsidRPr="003F3B94" w:rsidRDefault="005C664D" w:rsidP="003F3B94">
      <w:pPr>
        <w:pStyle w:val="a0"/>
        <w:rPr>
          <w:rFonts w:hint="cs"/>
          <w:rtl/>
          <w:lang w:bidi="ar-SY"/>
        </w:rPr>
      </w:pPr>
      <w:r w:rsidRPr="003F3B94">
        <w:rPr>
          <w:rFonts w:ascii="Abo-thar" w:hAnsi="Abo-thar" w:hint="cs"/>
          <w:sz w:val="28"/>
          <w:rtl/>
        </w:rPr>
        <w:t xml:space="preserve">تبيَّن مما مرَّ معنا من مباحث أنه حتى لو فرضنا جدلاً صحة الأخبار الموجبة للخمس في أرباح المكاسب </w:t>
      </w:r>
      <w:r w:rsidR="00217AB4" w:rsidRPr="003F3B94">
        <w:rPr>
          <w:rFonts w:ascii="Abo-thar" w:hAnsi="Abo-thar" w:hint="cs"/>
          <w:sz w:val="28"/>
          <w:rtl/>
        </w:rPr>
        <w:t>(</w:t>
      </w:r>
      <w:r w:rsidRPr="003F3B94">
        <w:rPr>
          <w:rFonts w:ascii="Abo-thar" w:hAnsi="Abo-thar" w:hint="cs"/>
          <w:sz w:val="28"/>
          <w:rtl/>
        </w:rPr>
        <w:t>مع أن الواقع أنها جميعاً ضعيفة</w:t>
      </w:r>
      <w:r w:rsidR="00217AB4" w:rsidRPr="003F3B94">
        <w:rPr>
          <w:rFonts w:ascii="Abo-thar" w:hAnsi="Abo-thar" w:hint="cs"/>
          <w:sz w:val="28"/>
          <w:rtl/>
        </w:rPr>
        <w:t>)</w:t>
      </w:r>
      <w:r w:rsidRPr="003F3B94">
        <w:rPr>
          <w:rFonts w:ascii="Abo-thar" w:hAnsi="Abo-thar" w:hint="cs"/>
          <w:sz w:val="28"/>
          <w:rtl/>
        </w:rPr>
        <w:t xml:space="preserve"> فإن هذا الخمس خاصٌّ بالإمام </w:t>
      </w:r>
      <w:r w:rsidR="003C7AEB" w:rsidRPr="003C7AEB">
        <w:rPr>
          <w:rFonts w:ascii="Abo-thar" w:hAnsi="Abo-thar" w:cs="CTraditional Arabic" w:hint="cs"/>
          <w:sz w:val="28"/>
          <w:rtl/>
        </w:rPr>
        <w:t>÷</w:t>
      </w:r>
      <w:r w:rsidRPr="003F3B94">
        <w:rPr>
          <w:rFonts w:ascii="Abo-thar" w:hAnsi="Abo-thar" w:hint="cs"/>
          <w:sz w:val="28"/>
          <w:rtl/>
        </w:rPr>
        <w:t xml:space="preserve"> فحسب</w:t>
      </w:r>
      <w:r w:rsidR="00217AB4" w:rsidRPr="003F3B94">
        <w:rPr>
          <w:rFonts w:ascii="Abo-thar" w:hAnsi="Abo-thar" w:hint="cs"/>
          <w:sz w:val="28"/>
          <w:rtl/>
        </w:rPr>
        <w:t>،</w:t>
      </w:r>
      <w:r w:rsidRPr="003F3B94">
        <w:rPr>
          <w:rFonts w:ascii="Abo-thar" w:hAnsi="Abo-thar" w:hint="cs"/>
          <w:sz w:val="28"/>
          <w:rtl/>
        </w:rPr>
        <w:t xml:space="preserve"> وفتاوى أقدم فقهاء الشيعة كانت على ذلك</w:t>
      </w:r>
      <w:r w:rsidR="00217AB4" w:rsidRPr="003F3B94">
        <w:rPr>
          <w:rFonts w:ascii="Abo-thar" w:hAnsi="Abo-thar" w:hint="cs"/>
          <w:sz w:val="28"/>
          <w:rtl/>
        </w:rPr>
        <w:t>،</w:t>
      </w:r>
      <w:r w:rsidRPr="003F3B94">
        <w:rPr>
          <w:rFonts w:ascii="Abo-thar" w:hAnsi="Abo-thar" w:hint="cs"/>
          <w:sz w:val="28"/>
          <w:rtl/>
        </w:rPr>
        <w:t xml:space="preserve"> وحتى عديد من المتأخرين أيضاً ذهبوا إلى مثل هذا القول</w:t>
      </w:r>
      <w:r w:rsidR="00217AB4" w:rsidRPr="003F3B94">
        <w:rPr>
          <w:rFonts w:ascii="Abo-thar" w:hAnsi="Abo-thar" w:hint="cs"/>
          <w:sz w:val="28"/>
          <w:rtl/>
        </w:rPr>
        <w:t>،</w:t>
      </w:r>
      <w:r w:rsidRPr="003F3B94">
        <w:rPr>
          <w:rFonts w:ascii="Abo-thar" w:hAnsi="Abo-thar" w:hint="cs"/>
          <w:sz w:val="28"/>
          <w:rtl/>
        </w:rPr>
        <w:t xml:space="preserve"> أي أنه لما حلَّل الأئمة</w:t>
      </w:r>
      <w:r w:rsidR="00147857" w:rsidRPr="003F3B94">
        <w:rPr>
          <w:rFonts w:ascii="Abo-thar" w:hAnsi="Abo-thar" w:hint="cs"/>
          <w:sz w:val="28"/>
          <w:rtl/>
        </w:rPr>
        <w:t xml:space="preserve"> </w:t>
      </w:r>
      <w:r w:rsidR="00963EFD" w:rsidRPr="00963EFD">
        <w:rPr>
          <w:rFonts w:ascii="Abo-thar" w:hAnsi="Abo-thar" w:cs="CTraditional Arabic"/>
          <w:sz w:val="28"/>
          <w:rtl/>
        </w:rPr>
        <w:t>‡</w:t>
      </w:r>
      <w:r w:rsidR="00147857" w:rsidRPr="003F3B94">
        <w:rPr>
          <w:rFonts w:ascii="Abo-thar" w:hAnsi="Abo-thar"/>
          <w:sz w:val="28"/>
          <w:rtl/>
        </w:rPr>
        <w:t xml:space="preserve"> </w:t>
      </w:r>
      <w:r w:rsidRPr="003F3B94">
        <w:rPr>
          <w:rFonts w:ascii="Lotus Linotype" w:hAnsi="Lotus Linotype"/>
          <w:sz w:val="28"/>
          <w:rtl/>
        </w:rPr>
        <w:t>«</w:t>
      </w:r>
      <w:r w:rsidRPr="003F3B94">
        <w:rPr>
          <w:rFonts w:ascii="Lotus Linotype" w:hAnsi="Lotus Linotype" w:hint="cs"/>
          <w:sz w:val="28"/>
          <w:rtl/>
        </w:rPr>
        <w:t>الخُمُس</w:t>
      </w:r>
      <w:r w:rsidRPr="003F3B94">
        <w:rPr>
          <w:rFonts w:ascii="Lotus Linotype" w:hAnsi="Lotus Linotype"/>
          <w:sz w:val="28"/>
          <w:rtl/>
        </w:rPr>
        <w:t>»</w:t>
      </w:r>
      <w:r w:rsidRPr="003F3B94">
        <w:rPr>
          <w:rFonts w:ascii="Lotus Linotype" w:hAnsi="Lotus Linotype" w:hint="cs"/>
          <w:sz w:val="28"/>
          <w:rtl/>
        </w:rPr>
        <w:t xml:space="preserve"> </w:t>
      </w:r>
      <w:r w:rsidRPr="003F3B94">
        <w:rPr>
          <w:rFonts w:ascii="Abo-thar" w:hAnsi="Abo-thar" w:hint="cs"/>
          <w:sz w:val="28"/>
          <w:rtl/>
        </w:rPr>
        <w:t>للشيعة فقد سقط عنهم أداؤه لهذا السبب</w:t>
      </w:r>
      <w:r w:rsidR="00147857" w:rsidRPr="003F3B94">
        <w:rPr>
          <w:rFonts w:ascii="Abo-thar" w:hAnsi="Abo-thar" w:hint="cs"/>
          <w:sz w:val="28"/>
          <w:rtl/>
        </w:rPr>
        <w:t xml:space="preserve"> و</w:t>
      </w:r>
      <w:r w:rsidRPr="003F3B94">
        <w:rPr>
          <w:rFonts w:ascii="Abo-thar" w:hAnsi="Abo-thar" w:hint="cs"/>
          <w:sz w:val="28"/>
          <w:rtl/>
        </w:rPr>
        <w:t>لأسبابٍ أخرى أيضاً</w:t>
      </w:r>
      <w:r w:rsidR="00217AB4" w:rsidRPr="003F3B94">
        <w:rPr>
          <w:rFonts w:ascii="Abo-thar" w:hAnsi="Abo-thar" w:hint="cs"/>
          <w:sz w:val="28"/>
          <w:rtl/>
        </w:rPr>
        <w:t>.</w:t>
      </w:r>
    </w:p>
    <w:p w:rsidR="005C664D" w:rsidRPr="003F3B94" w:rsidRDefault="005C664D" w:rsidP="003F3B94">
      <w:pPr>
        <w:pStyle w:val="a0"/>
        <w:rPr>
          <w:rFonts w:hint="cs"/>
          <w:rtl/>
          <w:lang w:bidi="ar-SY"/>
        </w:rPr>
      </w:pPr>
      <w:r w:rsidRPr="003F3B94">
        <w:rPr>
          <w:rFonts w:ascii="Abo-thar" w:hAnsi="Abo-thar" w:hint="cs"/>
          <w:sz w:val="28"/>
          <w:rtl/>
          <w:lang w:bidi="ar-SY"/>
        </w:rPr>
        <w:t>أما بالنسبة إلى الفقهاء الذين يرون أن أداء هذا الخمس واجبٌ أو أنه أداءه أقرب للاحتياط وأولى</w:t>
      </w:r>
      <w:r w:rsidR="00217AB4" w:rsidRPr="003F3B94">
        <w:rPr>
          <w:rFonts w:ascii="Abo-thar" w:hAnsi="Abo-thar" w:hint="cs"/>
          <w:sz w:val="28"/>
          <w:rtl/>
          <w:lang w:bidi="ar-SY"/>
        </w:rPr>
        <w:t>،</w:t>
      </w:r>
      <w:r w:rsidRPr="003F3B94">
        <w:rPr>
          <w:rFonts w:ascii="Abo-thar" w:hAnsi="Abo-thar" w:hint="cs"/>
          <w:sz w:val="28"/>
          <w:rtl/>
          <w:lang w:bidi="ar-SY"/>
        </w:rPr>
        <w:t xml:space="preserve"> فما هي مصارف هذا الخمس في نظرهم</w:t>
      </w:r>
      <w:r w:rsidR="00217AB4" w:rsidRPr="003F3B94">
        <w:rPr>
          <w:rFonts w:ascii="Abo-thar" w:hAnsi="Abo-thar" w:hint="cs"/>
          <w:sz w:val="28"/>
          <w:rtl/>
          <w:lang w:bidi="ar-SY"/>
        </w:rPr>
        <w:t>؟</w:t>
      </w:r>
    </w:p>
    <w:p w:rsidR="005C664D" w:rsidRPr="003F3B94" w:rsidRDefault="005C664D" w:rsidP="003F3B94">
      <w:pPr>
        <w:pStyle w:val="a0"/>
        <w:rPr>
          <w:rFonts w:hint="cs"/>
          <w:rtl/>
        </w:rPr>
      </w:pPr>
      <w:r w:rsidRPr="003F3B94">
        <w:rPr>
          <w:rFonts w:ascii="Abo-thar" w:hAnsi="Abo-thar" w:hint="cs"/>
          <w:sz w:val="28"/>
          <w:rtl/>
        </w:rPr>
        <w:t>من الذين يرون أن إخراج الخمس واجب أو أقرب للاحتياط ظاهراً الفقهاء بعد الشيخ المفيد</w:t>
      </w:r>
      <w:r w:rsidR="00217AB4" w:rsidRPr="003F3B94">
        <w:rPr>
          <w:rFonts w:ascii="Abo-thar" w:hAnsi="Abo-thar" w:hint="cs"/>
          <w:sz w:val="28"/>
          <w:rtl/>
        </w:rPr>
        <w:t>:</w:t>
      </w:r>
    </w:p>
    <w:p w:rsidR="005C664D" w:rsidRPr="003F3B94" w:rsidRDefault="005C664D" w:rsidP="00873C4C">
      <w:pPr>
        <w:pStyle w:val="a0"/>
        <w:ind w:left="624" w:hanging="340"/>
        <w:rPr>
          <w:rFonts w:hint="cs"/>
          <w:rtl/>
        </w:rPr>
      </w:pPr>
      <w:r w:rsidRPr="003F3B94">
        <w:rPr>
          <w:rFonts w:ascii="Abo-thar" w:hAnsi="Abo-thar" w:hint="cs"/>
          <w:sz w:val="28"/>
          <w:rtl/>
        </w:rPr>
        <w:t>1</w:t>
      </w:r>
      <w:r w:rsidR="00217AB4" w:rsidRPr="003F3B94">
        <w:rPr>
          <w:rFonts w:ascii="Abo-thar" w:hAnsi="Abo-thar" w:hint="cs"/>
          <w:sz w:val="28"/>
          <w:rtl/>
        </w:rPr>
        <w:t>-</w:t>
      </w:r>
      <w:r w:rsidRPr="003F3B94">
        <w:rPr>
          <w:rFonts w:ascii="Abo-thar" w:hAnsi="Abo-thar" w:hint="cs"/>
          <w:sz w:val="28"/>
          <w:rtl/>
        </w:rPr>
        <w:t xml:space="preserve"> يقول الشيخ المفيد في المقنعة</w:t>
      </w:r>
      <w:r w:rsidR="00147857" w:rsidRPr="003F3B94">
        <w:rPr>
          <w:rFonts w:ascii="Abo-thar" w:hAnsi="Abo-thar" w:hint="cs"/>
          <w:sz w:val="28"/>
          <w:rtl/>
        </w:rPr>
        <w:t xml:space="preserve"> </w:t>
      </w:r>
      <w:r w:rsidRPr="003F3B94">
        <w:rPr>
          <w:rFonts w:ascii="Abo-thar" w:hAnsi="Abo-thar" w:hint="cs"/>
          <w:sz w:val="28"/>
          <w:rtl/>
        </w:rPr>
        <w:t>بعد ذكر اختلاف الشيعة في موضوع الخمس ما نصُّه</w:t>
      </w:r>
      <w:r w:rsidR="00217AB4" w:rsidRPr="003F3B94">
        <w:rPr>
          <w:rFonts w:ascii="Abo-thar" w:hAnsi="Abo-thar" w:hint="cs"/>
          <w:sz w:val="28"/>
          <w:rtl/>
        </w:rPr>
        <w:t>:</w:t>
      </w:r>
      <w:r w:rsidRPr="003F3B94">
        <w:rPr>
          <w:rFonts w:ascii="Abo-thar" w:hAnsi="Abo-thar" w:hint="cs"/>
          <w:sz w:val="28"/>
          <w:rtl/>
        </w:rPr>
        <w:t xml:space="preserve"> </w:t>
      </w:r>
      <w:r w:rsidR="00EF2588" w:rsidRPr="003F3B94">
        <w:rPr>
          <w:rFonts w:ascii="Abo-thar" w:hAnsi="Abo-thar" w:hint="cs"/>
          <w:sz w:val="28"/>
          <w:rtl/>
        </w:rPr>
        <w:t>«</w:t>
      </w:r>
      <w:r w:rsidRPr="003F3B94">
        <w:rPr>
          <w:rFonts w:ascii="Abo-thar" w:hAnsi="Abo-thar"/>
          <w:b/>
          <w:bCs/>
          <w:sz w:val="28"/>
          <w:rtl/>
        </w:rPr>
        <w:t>و قد اختلف قوم</w:t>
      </w:r>
      <w:r w:rsidRPr="003F3B94">
        <w:rPr>
          <w:rFonts w:ascii="Abo-thar" w:hAnsi="Abo-thar" w:hint="cs"/>
          <w:b/>
          <w:bCs/>
          <w:sz w:val="28"/>
          <w:rtl/>
        </w:rPr>
        <w:t>ٌ</w:t>
      </w:r>
      <w:r w:rsidRPr="003F3B94">
        <w:rPr>
          <w:rFonts w:ascii="Abo-thar" w:hAnsi="Abo-thar"/>
          <w:b/>
          <w:bCs/>
          <w:sz w:val="28"/>
          <w:rtl/>
        </w:rPr>
        <w:t xml:space="preserve"> من أصحابنا في ذلك عند الغيبة وذهب كل فريق منهم فيه إلى مقال فمنهم من يسقط فرض إخراجه لغيبة الإمام وما تقدم من الرخص فيه من الأخبار</w:t>
      </w:r>
      <w:r w:rsidR="00217AB4" w:rsidRPr="003F3B94">
        <w:rPr>
          <w:rFonts w:ascii="Abo-thar" w:hAnsi="Abo-thar"/>
          <w:b/>
          <w:bCs/>
          <w:sz w:val="28"/>
          <w:rtl/>
        </w:rPr>
        <w:t>.</w:t>
      </w:r>
      <w:r w:rsidR="00147857" w:rsidRPr="003F3B94">
        <w:rPr>
          <w:rFonts w:ascii="Abo-thar" w:hAnsi="Abo-thar"/>
          <w:b/>
          <w:bCs/>
          <w:sz w:val="28"/>
          <w:rtl/>
        </w:rPr>
        <w:t xml:space="preserve"> و</w:t>
      </w:r>
      <w:r w:rsidRPr="003F3B94">
        <w:rPr>
          <w:rFonts w:ascii="Abo-thar" w:hAnsi="Abo-thar"/>
          <w:b/>
          <w:bCs/>
          <w:sz w:val="28"/>
          <w:rtl/>
        </w:rPr>
        <w:t>بعضهم يوجب كنزه</w:t>
      </w:r>
      <w:r w:rsidR="00147857" w:rsidRPr="003F3B94">
        <w:rPr>
          <w:rFonts w:ascii="Abo-thar" w:hAnsi="Abo-thar"/>
          <w:b/>
          <w:bCs/>
          <w:sz w:val="28"/>
          <w:rtl/>
        </w:rPr>
        <w:t xml:space="preserve"> و</w:t>
      </w:r>
      <w:r w:rsidRPr="003F3B94">
        <w:rPr>
          <w:rFonts w:ascii="Abo-thar" w:hAnsi="Abo-thar"/>
          <w:b/>
          <w:bCs/>
          <w:sz w:val="28"/>
          <w:rtl/>
        </w:rPr>
        <w:t>تناو</w:t>
      </w:r>
      <w:r w:rsidRPr="003F3B94">
        <w:rPr>
          <w:rFonts w:ascii="Abo-thar" w:hAnsi="Abo-thar" w:hint="cs"/>
          <w:b/>
          <w:bCs/>
          <w:sz w:val="28"/>
          <w:rtl/>
        </w:rPr>
        <w:t>َ</w:t>
      </w:r>
      <w:r w:rsidRPr="003F3B94">
        <w:rPr>
          <w:rFonts w:ascii="Abo-thar" w:hAnsi="Abo-thar"/>
          <w:b/>
          <w:bCs/>
          <w:sz w:val="28"/>
          <w:rtl/>
        </w:rPr>
        <w:t>ل</w:t>
      </w:r>
      <w:r w:rsidRPr="003F3B94">
        <w:rPr>
          <w:rFonts w:ascii="Abo-thar" w:hAnsi="Abo-thar" w:hint="cs"/>
          <w:b/>
          <w:bCs/>
          <w:sz w:val="28"/>
          <w:rtl/>
        </w:rPr>
        <w:t>َ</w:t>
      </w:r>
      <w:r w:rsidRPr="003F3B94">
        <w:rPr>
          <w:rFonts w:ascii="Abo-thar" w:hAnsi="Abo-thar"/>
          <w:b/>
          <w:bCs/>
          <w:sz w:val="28"/>
          <w:rtl/>
        </w:rPr>
        <w:t xml:space="preserve"> خبرا</w:t>
      </w:r>
      <w:r w:rsidRPr="003F3B94">
        <w:rPr>
          <w:rFonts w:ascii="Abo-thar" w:hAnsi="Abo-thar" w:hint="cs"/>
          <w:b/>
          <w:bCs/>
          <w:sz w:val="28"/>
          <w:rtl/>
        </w:rPr>
        <w:t>ً</w:t>
      </w:r>
      <w:r w:rsidRPr="003F3B94">
        <w:rPr>
          <w:rFonts w:ascii="Abo-thar" w:hAnsi="Abo-thar"/>
          <w:b/>
          <w:bCs/>
          <w:sz w:val="28"/>
          <w:rtl/>
        </w:rPr>
        <w:t xml:space="preserve"> ورد أن الأرض تظهر كنوزها</w:t>
      </w:r>
      <w:r w:rsidRPr="003F3B94">
        <w:rPr>
          <w:rFonts w:ascii="Abo-thar" w:hAnsi="Abo-thar" w:hint="cs"/>
          <w:b/>
          <w:bCs/>
          <w:sz w:val="28"/>
          <w:rtl/>
        </w:rPr>
        <w:t xml:space="preserve"> </w:t>
      </w:r>
      <w:r w:rsidRPr="003F3B94">
        <w:rPr>
          <w:rFonts w:ascii="Abo-thar" w:hAnsi="Abo-thar"/>
          <w:b/>
          <w:bCs/>
          <w:sz w:val="28"/>
          <w:rtl/>
        </w:rPr>
        <w:t xml:space="preserve">عند ظهور القائم مهدي الأنام وأنه </w:t>
      </w:r>
      <w:r w:rsidR="00BC4BA9" w:rsidRPr="00BC4BA9">
        <w:rPr>
          <w:rFonts w:ascii="Abo-thar" w:hAnsi="Abo-thar" w:cs="CTraditional Arabic" w:hint="cs"/>
          <w:b/>
          <w:sz w:val="28"/>
          <w:rtl/>
        </w:rPr>
        <w:t>÷</w:t>
      </w:r>
      <w:r w:rsidRPr="003F3B94">
        <w:rPr>
          <w:rFonts w:ascii="Abo-thar" w:hAnsi="Abo-thar"/>
          <w:b/>
          <w:bCs/>
          <w:sz w:val="28"/>
          <w:rtl/>
        </w:rPr>
        <w:t xml:space="preserve"> إذا قام دله الله سبحانه</w:t>
      </w:r>
      <w:r w:rsidR="00147857" w:rsidRPr="003F3B94">
        <w:rPr>
          <w:rFonts w:ascii="Abo-thar" w:hAnsi="Abo-thar"/>
          <w:b/>
          <w:bCs/>
          <w:sz w:val="28"/>
          <w:rtl/>
        </w:rPr>
        <w:t xml:space="preserve"> و</w:t>
      </w:r>
      <w:r w:rsidRPr="003F3B94">
        <w:rPr>
          <w:rFonts w:ascii="Abo-thar" w:hAnsi="Abo-thar"/>
          <w:b/>
          <w:bCs/>
          <w:sz w:val="28"/>
          <w:rtl/>
        </w:rPr>
        <w:t>تعالى على الكنوز فيأخذها من كل مكان</w:t>
      </w:r>
      <w:r w:rsidR="00217AB4" w:rsidRPr="003F3B94">
        <w:rPr>
          <w:rFonts w:ascii="Abo-thar" w:hAnsi="Abo-thar"/>
          <w:b/>
          <w:bCs/>
          <w:sz w:val="28"/>
          <w:rtl/>
        </w:rPr>
        <w:t>.</w:t>
      </w:r>
      <w:r w:rsidR="00147857" w:rsidRPr="003F3B94">
        <w:rPr>
          <w:rFonts w:ascii="Abo-thar" w:hAnsi="Abo-thar"/>
          <w:b/>
          <w:bCs/>
          <w:sz w:val="28"/>
          <w:rtl/>
        </w:rPr>
        <w:t xml:space="preserve"> و</w:t>
      </w:r>
      <w:r w:rsidRPr="003F3B94">
        <w:rPr>
          <w:rFonts w:ascii="Abo-thar" w:hAnsi="Abo-thar"/>
          <w:b/>
          <w:bCs/>
          <w:sz w:val="28"/>
          <w:rtl/>
        </w:rPr>
        <w:t>بعضهم يرى صلة الذرية وفقراء الشيعة على طريق الاستحباب</w:t>
      </w:r>
      <w:r w:rsidR="00217AB4" w:rsidRPr="003F3B94">
        <w:rPr>
          <w:rFonts w:ascii="Abo-thar" w:hAnsi="Abo-thar" w:hint="cs"/>
          <w:b/>
          <w:bCs/>
          <w:sz w:val="28"/>
          <w:rtl/>
        </w:rPr>
        <w:t>،</w:t>
      </w:r>
      <w:r w:rsidR="00147857" w:rsidRPr="003F3B94">
        <w:rPr>
          <w:rFonts w:ascii="Abo-thar" w:hAnsi="Abo-thar"/>
          <w:b/>
          <w:bCs/>
          <w:sz w:val="28"/>
          <w:rtl/>
        </w:rPr>
        <w:t xml:space="preserve"> و</w:t>
      </w:r>
      <w:r w:rsidRPr="003F3B94">
        <w:rPr>
          <w:rFonts w:ascii="Abo-thar" w:hAnsi="Abo-thar"/>
          <w:b/>
          <w:bCs/>
          <w:sz w:val="28"/>
          <w:rtl/>
        </w:rPr>
        <w:t>لست أدفع قرب هذا القول من الصواب</w:t>
      </w:r>
      <w:r w:rsidR="00217AB4" w:rsidRPr="003F3B94">
        <w:rPr>
          <w:rFonts w:ascii="Abo-thar" w:hAnsi="Abo-thar"/>
          <w:b/>
          <w:bCs/>
          <w:sz w:val="28"/>
          <w:rtl/>
        </w:rPr>
        <w:t>.</w:t>
      </w:r>
      <w:r w:rsidRPr="003F3B94">
        <w:rPr>
          <w:rFonts w:ascii="Abo-thar" w:hAnsi="Abo-thar"/>
          <w:b/>
          <w:bCs/>
          <w:sz w:val="28"/>
          <w:rtl/>
        </w:rPr>
        <w:t xml:space="preserve"> وبعضهم يرى عزله لصاحب الأمر </w:t>
      </w:r>
      <w:r w:rsidR="00BC4BA9" w:rsidRPr="00BC4BA9">
        <w:rPr>
          <w:rFonts w:ascii="Abo-thar" w:hAnsi="Abo-thar" w:cs="CTraditional Arabic" w:hint="cs"/>
          <w:b/>
          <w:sz w:val="28"/>
          <w:rtl/>
        </w:rPr>
        <w:t>÷</w:t>
      </w:r>
      <w:r w:rsidRPr="003F3B94">
        <w:rPr>
          <w:rFonts w:ascii="Abo-thar" w:hAnsi="Abo-thar"/>
          <w:b/>
          <w:bCs/>
          <w:sz w:val="28"/>
          <w:rtl/>
        </w:rPr>
        <w:t xml:space="preserve"> فإن خشي إدراك المنية قبل ظهوره وصى به إلى من يثق به في عقله</w:t>
      </w:r>
      <w:r w:rsidR="00147857" w:rsidRPr="003F3B94">
        <w:rPr>
          <w:rFonts w:ascii="Abo-thar" w:hAnsi="Abo-thar"/>
          <w:b/>
          <w:bCs/>
          <w:sz w:val="28"/>
          <w:rtl/>
        </w:rPr>
        <w:t xml:space="preserve"> و</w:t>
      </w:r>
      <w:r w:rsidRPr="003F3B94">
        <w:rPr>
          <w:rFonts w:ascii="Abo-thar" w:hAnsi="Abo-thar"/>
          <w:b/>
          <w:bCs/>
          <w:sz w:val="28"/>
          <w:rtl/>
        </w:rPr>
        <w:t xml:space="preserve">ديانته ليسلمه إلى الإمام </w:t>
      </w:r>
      <w:r w:rsidR="00BC4BA9" w:rsidRPr="00BC4BA9">
        <w:rPr>
          <w:rFonts w:ascii="Abo-thar" w:hAnsi="Abo-thar" w:cs="CTraditional Arabic" w:hint="cs"/>
          <w:b/>
          <w:sz w:val="28"/>
          <w:rtl/>
        </w:rPr>
        <w:t>÷</w:t>
      </w:r>
      <w:r w:rsidRPr="003F3B94">
        <w:rPr>
          <w:rFonts w:ascii="Abo-thar" w:hAnsi="Abo-thar"/>
          <w:b/>
          <w:bCs/>
          <w:sz w:val="28"/>
          <w:rtl/>
        </w:rPr>
        <w:t xml:space="preserve"> إن أدرك قيامه</w:t>
      </w:r>
      <w:r w:rsidR="00147857" w:rsidRPr="003F3B94">
        <w:rPr>
          <w:rFonts w:ascii="Abo-thar" w:hAnsi="Abo-thar"/>
          <w:b/>
          <w:bCs/>
          <w:sz w:val="28"/>
          <w:rtl/>
        </w:rPr>
        <w:t xml:space="preserve"> و</w:t>
      </w:r>
      <w:r w:rsidRPr="003F3B94">
        <w:rPr>
          <w:rFonts w:ascii="Abo-thar" w:hAnsi="Abo-thar"/>
          <w:b/>
          <w:bCs/>
          <w:sz w:val="28"/>
          <w:rtl/>
        </w:rPr>
        <w:t>إلا وصى به إلى من يقوم مقامه في الثقة</w:t>
      </w:r>
      <w:r w:rsidR="00147857" w:rsidRPr="003F3B94">
        <w:rPr>
          <w:rFonts w:ascii="Abo-thar" w:hAnsi="Abo-thar"/>
          <w:b/>
          <w:bCs/>
          <w:sz w:val="28"/>
          <w:rtl/>
        </w:rPr>
        <w:t xml:space="preserve"> و</w:t>
      </w:r>
      <w:r w:rsidRPr="003F3B94">
        <w:rPr>
          <w:rFonts w:ascii="Abo-thar" w:hAnsi="Abo-thar"/>
          <w:b/>
          <w:bCs/>
          <w:sz w:val="28"/>
          <w:rtl/>
        </w:rPr>
        <w:t xml:space="preserve">الديانة ثم على هذا الشرط إلى أن يظهر إمام الزمان </w:t>
      </w:r>
      <w:r w:rsidR="00217AB4" w:rsidRPr="003F3B94">
        <w:rPr>
          <w:rFonts w:ascii="Abo-thar" w:hAnsi="Abo-thar" w:hint="cs"/>
          <w:b/>
          <w:bCs/>
          <w:sz w:val="28"/>
          <w:rtl/>
        </w:rPr>
        <w:t>(</w:t>
      </w:r>
      <w:r w:rsidRPr="003F3B94">
        <w:rPr>
          <w:rFonts w:ascii="Abo-thar" w:hAnsi="Abo-thar"/>
          <w:b/>
          <w:bCs/>
          <w:sz w:val="28"/>
          <w:rtl/>
        </w:rPr>
        <w:t>ع</w:t>
      </w:r>
      <w:r w:rsidRPr="003F3B94">
        <w:rPr>
          <w:rFonts w:ascii="Abo-thar" w:hAnsi="Abo-thar" w:hint="cs"/>
          <w:b/>
          <w:bCs/>
          <w:sz w:val="28"/>
          <w:rtl/>
        </w:rPr>
        <w:t>ج</w:t>
      </w:r>
      <w:r w:rsidR="00217AB4" w:rsidRPr="003F3B94">
        <w:rPr>
          <w:rFonts w:ascii="Abo-thar" w:hAnsi="Abo-thar" w:hint="cs"/>
          <w:b/>
          <w:bCs/>
          <w:sz w:val="28"/>
          <w:rtl/>
        </w:rPr>
        <w:t>)</w:t>
      </w:r>
      <w:r w:rsidR="00217AB4" w:rsidRPr="003F3B94">
        <w:rPr>
          <w:rFonts w:ascii="Abo-thar" w:hAnsi="Abo-thar"/>
          <w:b/>
          <w:bCs/>
          <w:sz w:val="28"/>
          <w:rtl/>
        </w:rPr>
        <w:t>.</w:t>
      </w:r>
      <w:r w:rsidR="00147857" w:rsidRPr="003F3B94">
        <w:rPr>
          <w:rFonts w:ascii="Abo-thar" w:hAnsi="Abo-thar"/>
          <w:b/>
          <w:bCs/>
          <w:sz w:val="28"/>
          <w:rtl/>
        </w:rPr>
        <w:t xml:space="preserve"> و</w:t>
      </w:r>
      <w:r w:rsidRPr="003F3B94">
        <w:rPr>
          <w:rFonts w:ascii="Abo-thar" w:hAnsi="Abo-thar"/>
          <w:b/>
          <w:bCs/>
          <w:sz w:val="28"/>
          <w:rtl/>
        </w:rPr>
        <w:t>هذا القول عندي أوضح من جميع ما تقدم</w:t>
      </w:r>
      <w:r w:rsidR="00217AB4" w:rsidRPr="003F3B94">
        <w:rPr>
          <w:rFonts w:ascii="Abo-thar" w:hAnsi="Abo-thar" w:hint="cs"/>
          <w:b/>
          <w:bCs/>
          <w:sz w:val="28"/>
          <w:rtl/>
        </w:rPr>
        <w:t>!</w:t>
      </w:r>
      <w:r w:rsidRPr="003F3B94">
        <w:rPr>
          <w:rFonts w:ascii="Abo-thar" w:hAnsi="Abo-thar"/>
          <w:b/>
          <w:bCs/>
          <w:sz w:val="28"/>
          <w:rtl/>
        </w:rPr>
        <w:t xml:space="preserve"> لأن الخمس حق</w:t>
      </w:r>
      <w:r w:rsidRPr="003F3B94">
        <w:rPr>
          <w:rFonts w:ascii="Abo-thar" w:hAnsi="Abo-thar" w:hint="cs"/>
          <w:b/>
          <w:bCs/>
          <w:sz w:val="28"/>
          <w:rtl/>
        </w:rPr>
        <w:t>ٌّ</w:t>
      </w:r>
      <w:r w:rsidRPr="003F3B94">
        <w:rPr>
          <w:rFonts w:ascii="Abo-thar" w:hAnsi="Abo-thar"/>
          <w:b/>
          <w:bCs/>
          <w:sz w:val="28"/>
          <w:rtl/>
        </w:rPr>
        <w:t xml:space="preserve"> وجب لغائب لم يرسم فيه قبل غيبته رسما</w:t>
      </w:r>
      <w:r w:rsidRPr="003F3B94">
        <w:rPr>
          <w:rFonts w:ascii="Abo-thar" w:hAnsi="Abo-thar" w:hint="cs"/>
          <w:b/>
          <w:bCs/>
          <w:sz w:val="28"/>
          <w:rtl/>
        </w:rPr>
        <w:t>ً</w:t>
      </w:r>
      <w:r w:rsidRPr="003F3B94">
        <w:rPr>
          <w:rFonts w:ascii="Abo-thar" w:hAnsi="Abo-thar"/>
          <w:b/>
          <w:bCs/>
          <w:sz w:val="28"/>
          <w:rtl/>
        </w:rPr>
        <w:t xml:space="preserve"> يجب الانتهاء إليه</w:t>
      </w:r>
      <w:r w:rsidR="00217AB4" w:rsidRPr="003F3B94">
        <w:rPr>
          <w:rFonts w:ascii="Abo-thar" w:hAnsi="Abo-thar" w:hint="cs"/>
          <w:b/>
          <w:bCs/>
          <w:sz w:val="28"/>
          <w:rtl/>
        </w:rPr>
        <w:t>،</w:t>
      </w:r>
      <w:r w:rsidRPr="003F3B94">
        <w:rPr>
          <w:rFonts w:ascii="Abo-thar" w:hAnsi="Abo-thar"/>
          <w:b/>
          <w:bCs/>
          <w:sz w:val="28"/>
          <w:rtl/>
        </w:rPr>
        <w:t xml:space="preserve"> فوجب حفظه عليه إلى وقت إيابه أو التمكن من إيصاله إليه أو وجود من انتقل بالحق إليه</w:t>
      </w:r>
      <w:r w:rsidR="00217AB4" w:rsidRPr="003F3B94">
        <w:rPr>
          <w:rFonts w:ascii="Abo-thar" w:hAnsi="Abo-thar"/>
          <w:b/>
          <w:bCs/>
          <w:sz w:val="28"/>
          <w:rtl/>
        </w:rPr>
        <w:t>.</w:t>
      </w:r>
      <w:r w:rsidR="00147857" w:rsidRPr="003F3B94">
        <w:rPr>
          <w:rFonts w:ascii="Abo-thar" w:hAnsi="Abo-thar" w:hint="cs"/>
          <w:b/>
          <w:bCs/>
          <w:sz w:val="28"/>
          <w:rtl/>
        </w:rPr>
        <w:t xml:space="preserve"> و</w:t>
      </w:r>
      <w:r w:rsidRPr="003F3B94">
        <w:rPr>
          <w:rFonts w:ascii="Abo-thar" w:hAnsi="Abo-thar"/>
          <w:b/>
          <w:bCs/>
          <w:sz w:val="28"/>
          <w:rtl/>
        </w:rPr>
        <w:t>جرى أيضا</w:t>
      </w:r>
      <w:r w:rsidRPr="003F3B94">
        <w:rPr>
          <w:rFonts w:ascii="Abo-thar" w:hAnsi="Abo-thar" w:hint="cs"/>
          <w:b/>
          <w:bCs/>
          <w:sz w:val="28"/>
          <w:rtl/>
        </w:rPr>
        <w:t>ً</w:t>
      </w:r>
      <w:r w:rsidRPr="003F3B94">
        <w:rPr>
          <w:rFonts w:ascii="Abo-thar" w:hAnsi="Abo-thar"/>
          <w:b/>
          <w:bCs/>
          <w:sz w:val="28"/>
          <w:rtl/>
        </w:rPr>
        <w:t xml:space="preserve"> مجرى الزكاة التي يعدم عند حلولها مستحقها فلا يجب عند عدمه سقوطها</w:t>
      </w:r>
      <w:r w:rsidR="00147857" w:rsidRPr="003F3B94">
        <w:rPr>
          <w:rFonts w:ascii="Abo-thar" w:hAnsi="Abo-thar"/>
          <w:b/>
          <w:bCs/>
          <w:sz w:val="28"/>
          <w:rtl/>
        </w:rPr>
        <w:t xml:space="preserve"> و</w:t>
      </w:r>
      <w:r w:rsidRPr="003F3B94">
        <w:rPr>
          <w:rFonts w:ascii="Abo-thar" w:hAnsi="Abo-thar"/>
          <w:b/>
          <w:bCs/>
          <w:sz w:val="28"/>
          <w:rtl/>
        </w:rPr>
        <w:t>لا يحل التصرف فيها على حسب التصرف في الأملاك</w:t>
      </w:r>
      <w:r w:rsidR="00147857" w:rsidRPr="003F3B94">
        <w:rPr>
          <w:rFonts w:ascii="Abo-thar" w:hAnsi="Abo-thar"/>
          <w:b/>
          <w:bCs/>
          <w:sz w:val="28"/>
          <w:rtl/>
        </w:rPr>
        <w:t xml:space="preserve"> و</w:t>
      </w:r>
      <w:r w:rsidRPr="003F3B94">
        <w:rPr>
          <w:rFonts w:ascii="Abo-thar" w:hAnsi="Abo-thar"/>
          <w:b/>
          <w:bCs/>
          <w:sz w:val="28"/>
          <w:rtl/>
        </w:rPr>
        <w:t>يجب حفظها بالنفس</w:t>
      </w:r>
      <w:r w:rsidR="00147857" w:rsidRPr="003F3B94">
        <w:rPr>
          <w:rFonts w:ascii="Abo-thar" w:hAnsi="Abo-thar"/>
          <w:b/>
          <w:bCs/>
          <w:sz w:val="28"/>
          <w:rtl/>
        </w:rPr>
        <w:t xml:space="preserve"> و</w:t>
      </w:r>
      <w:r w:rsidRPr="003F3B94">
        <w:rPr>
          <w:rFonts w:ascii="Abo-thar" w:hAnsi="Abo-thar"/>
          <w:b/>
          <w:bCs/>
          <w:sz w:val="28"/>
          <w:rtl/>
        </w:rPr>
        <w:t>الوصية بها إلى من يقوم بإيصالها إلى مستحقها من أهل الزكاة من الأصناف</w:t>
      </w:r>
      <w:r w:rsidR="00217AB4" w:rsidRPr="003F3B94">
        <w:rPr>
          <w:rFonts w:ascii="Abo-thar" w:hAnsi="Abo-thar"/>
          <w:b/>
          <w:bCs/>
          <w:sz w:val="28"/>
          <w:rtl/>
        </w:rPr>
        <w:t>.</w:t>
      </w:r>
      <w:r w:rsidR="00147857" w:rsidRPr="003F3B94">
        <w:rPr>
          <w:rFonts w:ascii="Abo-thar" w:hAnsi="Abo-thar"/>
          <w:b/>
          <w:bCs/>
          <w:sz w:val="28"/>
          <w:rtl/>
        </w:rPr>
        <w:t xml:space="preserve"> و</w:t>
      </w:r>
      <w:r w:rsidRPr="003F3B94">
        <w:rPr>
          <w:rFonts w:ascii="Abo-thar" w:hAnsi="Abo-thar"/>
          <w:b/>
          <w:bCs/>
          <w:sz w:val="28"/>
          <w:rtl/>
        </w:rPr>
        <w:t xml:space="preserve">إن ذهب ذاهب إلى صنع ما وصفناه في شطر الخمس الذي هو حق خالص للإمام </w:t>
      </w:r>
      <w:r w:rsidR="00BC4BA9" w:rsidRPr="00BC4BA9">
        <w:rPr>
          <w:rFonts w:ascii="Abo-thar" w:hAnsi="Abo-thar" w:cs="CTraditional Arabic" w:hint="cs"/>
          <w:b/>
          <w:sz w:val="28"/>
          <w:rtl/>
        </w:rPr>
        <w:t>÷</w:t>
      </w:r>
      <w:r w:rsidR="00147857" w:rsidRPr="003F3B94">
        <w:rPr>
          <w:rFonts w:ascii="Abo-thar" w:hAnsi="Abo-thar"/>
          <w:b/>
          <w:bCs/>
          <w:sz w:val="28"/>
          <w:rtl/>
        </w:rPr>
        <w:t xml:space="preserve"> و</w:t>
      </w:r>
      <w:r w:rsidRPr="003F3B94">
        <w:rPr>
          <w:rFonts w:ascii="Abo-thar" w:hAnsi="Abo-thar"/>
          <w:b/>
          <w:bCs/>
          <w:sz w:val="28"/>
          <w:rtl/>
        </w:rPr>
        <w:t>جعل الشطر الآخر في يتامى آل الرسول</w:t>
      </w:r>
      <w:r w:rsidR="00147857" w:rsidRPr="003F3B94">
        <w:rPr>
          <w:rFonts w:ascii="Abo-thar" w:hAnsi="Abo-thar"/>
          <w:b/>
          <w:bCs/>
          <w:sz w:val="28"/>
          <w:rtl/>
        </w:rPr>
        <w:t xml:space="preserve"> </w:t>
      </w:r>
      <w:r w:rsidR="003C7AEB" w:rsidRPr="003C7AEB">
        <w:rPr>
          <w:rFonts w:ascii="Abo-thar" w:hAnsi="Abo-thar" w:cs="CTraditional Arabic"/>
          <w:sz w:val="28"/>
          <w:rtl/>
        </w:rPr>
        <w:t>ص</w:t>
      </w:r>
      <w:r w:rsidR="00147857" w:rsidRPr="003F3B94">
        <w:rPr>
          <w:rFonts w:ascii="Abo-thar" w:hAnsi="Abo-thar"/>
          <w:sz w:val="28"/>
          <w:rtl/>
        </w:rPr>
        <w:t xml:space="preserve"> </w:t>
      </w:r>
      <w:r w:rsidRPr="003F3B94">
        <w:rPr>
          <w:rFonts w:ascii="Abo-thar" w:hAnsi="Abo-thar"/>
          <w:b/>
          <w:bCs/>
          <w:sz w:val="28"/>
          <w:rtl/>
        </w:rPr>
        <w:t>وأبناء سبيلهم</w:t>
      </w:r>
      <w:r w:rsidR="00147857" w:rsidRPr="003F3B94">
        <w:rPr>
          <w:rFonts w:ascii="Abo-thar" w:hAnsi="Abo-thar"/>
          <w:b/>
          <w:bCs/>
          <w:sz w:val="28"/>
          <w:rtl/>
        </w:rPr>
        <w:t xml:space="preserve"> و</w:t>
      </w:r>
      <w:r w:rsidRPr="003F3B94">
        <w:rPr>
          <w:rFonts w:ascii="Abo-thar" w:hAnsi="Abo-thar"/>
          <w:b/>
          <w:bCs/>
          <w:sz w:val="28"/>
          <w:rtl/>
        </w:rPr>
        <w:t>مساكينهم على ما جاء في القرآن لم تبعد إصابته الحق في ذلك بل كان على صواب</w:t>
      </w:r>
      <w:r w:rsidR="00F456DF" w:rsidRPr="003F3B94">
        <w:rPr>
          <w:rFonts w:ascii="Abo-thar" w:hAnsi="Abo-thar"/>
          <w:b/>
          <w:bCs/>
          <w:sz w:val="28"/>
          <w:rtl/>
        </w:rPr>
        <w:t>»</w:t>
      </w:r>
      <w:r w:rsidR="00217AB4" w:rsidRPr="0021507A">
        <w:rPr>
          <w:rFonts w:cs="Arabic11 BT"/>
          <w:b/>
          <w:sz w:val="28"/>
          <w:vertAlign w:val="superscript"/>
          <w:rtl/>
        </w:rPr>
        <w:t>(</w:t>
      </w:r>
      <w:r w:rsidRPr="0021507A">
        <w:rPr>
          <w:rStyle w:val="FootnoteReference"/>
          <w:rFonts w:cs="Arabic11 BT"/>
          <w:b/>
          <w:sz w:val="28"/>
          <w:rtl/>
        </w:rPr>
        <w:footnoteReference w:id="420"/>
      </w:r>
      <w:r w:rsidR="00217AB4" w:rsidRPr="0021507A">
        <w:rPr>
          <w:rFonts w:cs="Arabic11 BT"/>
          <w:b/>
          <w:sz w:val="28"/>
          <w:vertAlign w:val="superscript"/>
          <w:rtl/>
        </w:rPr>
        <w:t>)</w:t>
      </w:r>
      <w:r w:rsidR="00217AB4" w:rsidRPr="003F3B94">
        <w:rPr>
          <w:sz w:val="28"/>
          <w:rtl/>
        </w:rPr>
        <w:t>.</w:t>
      </w:r>
    </w:p>
    <w:p w:rsidR="005C664D" w:rsidRPr="003F3B94" w:rsidRDefault="005C664D" w:rsidP="00873C4C">
      <w:pPr>
        <w:pStyle w:val="a0"/>
        <w:ind w:left="624" w:hanging="340"/>
        <w:rPr>
          <w:rFonts w:hint="cs"/>
          <w:rtl/>
        </w:rPr>
      </w:pPr>
      <w:r w:rsidRPr="003F3B94">
        <w:rPr>
          <w:rFonts w:ascii="Abo-thar" w:hAnsi="Abo-thar" w:hint="cs"/>
          <w:sz w:val="28"/>
          <w:rtl/>
        </w:rPr>
        <w:t>2</w:t>
      </w:r>
      <w:r w:rsidR="00217AB4" w:rsidRPr="003F3B94">
        <w:rPr>
          <w:rFonts w:ascii="Abo-thar" w:hAnsi="Abo-thar" w:hint="cs"/>
          <w:sz w:val="28"/>
          <w:rtl/>
        </w:rPr>
        <w:t>-</w:t>
      </w:r>
      <w:r w:rsidRPr="003F3B94">
        <w:rPr>
          <w:rFonts w:ascii="Abo-thar" w:hAnsi="Abo-thar" w:hint="cs"/>
          <w:sz w:val="28"/>
          <w:rtl/>
        </w:rPr>
        <w:t xml:space="preserve"> نقل الشيخ الطوسي في «التهذيب» عبارة الشيخ المفيد السابقة عينها مؤيداً لها ومتبعاً لها بحذافيرها وكتب في آخرها يقول أيضاً</w:t>
      </w:r>
      <w:r w:rsidR="00217AB4" w:rsidRPr="003F3B94">
        <w:rPr>
          <w:rFonts w:ascii="Abo-thar" w:hAnsi="Abo-thar" w:hint="cs"/>
          <w:sz w:val="28"/>
          <w:rtl/>
        </w:rPr>
        <w:t>:</w:t>
      </w:r>
      <w:r w:rsidRPr="003F3B94">
        <w:rPr>
          <w:rFonts w:ascii="Abo-thar" w:hAnsi="Abo-thar" w:hint="cs"/>
          <w:sz w:val="28"/>
          <w:rtl/>
        </w:rPr>
        <w:t xml:space="preserve"> </w:t>
      </w:r>
      <w:r w:rsidR="00EF2588" w:rsidRPr="003F3B94">
        <w:rPr>
          <w:rFonts w:ascii="Abo-thar" w:hAnsi="Abo-thar" w:hint="cs"/>
          <w:sz w:val="28"/>
          <w:rtl/>
        </w:rPr>
        <w:t>«</w:t>
      </w:r>
      <w:r w:rsidRPr="003F3B94">
        <w:rPr>
          <w:rFonts w:ascii="Abo-thar" w:hAnsi="Abo-thar"/>
          <w:b/>
          <w:bCs/>
          <w:sz w:val="28"/>
          <w:rtl/>
        </w:rPr>
        <w:t xml:space="preserve">وَإِنْ ذَهَبَ ذَاهِبٌ إِلَى مَا ذَكَرْنَاهُ فِي شَطْرِ الخُمُسِ الَّذِي هُوَ خَالِصٌ لِلْإِمَامِ </w:t>
      </w:r>
      <w:r w:rsidR="00BC4BA9" w:rsidRPr="00BC4BA9">
        <w:rPr>
          <w:rFonts w:ascii="Abo-thar" w:hAnsi="Abo-thar" w:cs="CTraditional Arabic" w:hint="cs"/>
          <w:b/>
          <w:sz w:val="28"/>
          <w:rtl/>
        </w:rPr>
        <w:t>÷</w:t>
      </w:r>
      <w:r w:rsidRPr="003F3B94">
        <w:rPr>
          <w:rFonts w:ascii="Abo-thar" w:hAnsi="Abo-thar"/>
          <w:b/>
          <w:bCs/>
          <w:sz w:val="28"/>
          <w:rtl/>
        </w:rPr>
        <w:t xml:space="preserve"> وَجَعَلَ الشَّطْرَ الْآخَرَ لِأَيْتَامِ آلِ مُحَمَّدٍ</w:t>
      </w:r>
      <w:r w:rsidR="00147857" w:rsidRPr="003F3B94">
        <w:rPr>
          <w:rFonts w:ascii="Abo-thar" w:hAnsi="Abo-thar"/>
          <w:b/>
          <w:bCs/>
          <w:sz w:val="28"/>
          <w:rtl/>
        </w:rPr>
        <w:t xml:space="preserve"> </w:t>
      </w:r>
      <w:r w:rsidR="003C7AEB" w:rsidRPr="003C7AEB">
        <w:rPr>
          <w:rFonts w:ascii="Abo-thar" w:hAnsi="Abo-thar" w:cs="CTraditional Arabic"/>
          <w:sz w:val="28"/>
          <w:rtl/>
        </w:rPr>
        <w:t>ص</w:t>
      </w:r>
      <w:r w:rsidR="00147857" w:rsidRPr="003F3B94">
        <w:rPr>
          <w:rFonts w:ascii="Abo-thar" w:hAnsi="Abo-thar"/>
          <w:sz w:val="28"/>
          <w:rtl/>
        </w:rPr>
        <w:t xml:space="preserve"> </w:t>
      </w:r>
      <w:r w:rsidRPr="003F3B94">
        <w:rPr>
          <w:rFonts w:ascii="Abo-thar" w:hAnsi="Abo-thar"/>
          <w:b/>
          <w:bCs/>
          <w:sz w:val="28"/>
          <w:rtl/>
        </w:rPr>
        <w:t>وَأَبْنَاءِ سَبِيلِهِمْ وَمَسَاكِينِهِمْ عَلَى مَا جَاءَ فِي الْقُرْآنِ لَمْ يَبْعُدْ إِصَابَتُهُ الْحَقَّ فِي ذَلِكَ بَلْ كَانَ عَلَى صَوَابٍ</w:t>
      </w:r>
      <w:r w:rsidR="00EF2588" w:rsidRPr="003F3B94">
        <w:rPr>
          <w:rFonts w:ascii="Abo-thar" w:hAnsi="Abo-thar" w:hint="cs"/>
          <w:sz w:val="28"/>
          <w:rtl/>
        </w:rPr>
        <w:t>»</w:t>
      </w:r>
      <w:r w:rsidR="001E42EB" w:rsidRPr="0021507A">
        <w:rPr>
          <w:rFonts w:ascii="Abo-thar" w:hAnsi="Abo-thar" w:cs="Arabic11 BT"/>
          <w:sz w:val="28"/>
          <w:vertAlign w:val="superscript"/>
          <w:rtl/>
        </w:rPr>
        <w:t>(</w:t>
      </w:r>
      <w:r w:rsidR="001E42EB" w:rsidRPr="0021507A">
        <w:rPr>
          <w:rStyle w:val="FootnoteReference"/>
          <w:rFonts w:ascii="Abo-thar" w:hAnsi="Abo-thar" w:cs="Arabic11 BT"/>
          <w:sz w:val="28"/>
          <w:rtl/>
        </w:rPr>
        <w:footnoteReference w:id="421"/>
      </w:r>
      <w:r w:rsidR="001E42EB" w:rsidRPr="0021507A">
        <w:rPr>
          <w:rFonts w:ascii="Abo-thar" w:hAnsi="Abo-thar" w:cs="Arabic11 BT"/>
          <w:sz w:val="28"/>
          <w:vertAlign w:val="superscript"/>
          <w:rtl/>
        </w:rPr>
        <w:t>)</w:t>
      </w:r>
      <w:r w:rsidR="00217AB4" w:rsidRPr="003F3B94">
        <w:rPr>
          <w:rFonts w:ascii="Abo-thar" w:hAnsi="Abo-thar" w:hint="cs"/>
          <w:sz w:val="28"/>
          <w:rtl/>
        </w:rPr>
        <w:t>.</w:t>
      </w:r>
    </w:p>
    <w:p w:rsidR="005C664D" w:rsidRPr="003F3B94" w:rsidRDefault="005C664D" w:rsidP="00873C4C">
      <w:pPr>
        <w:pStyle w:val="a0"/>
        <w:ind w:left="624" w:firstLine="0"/>
        <w:rPr>
          <w:rFonts w:hint="cs"/>
          <w:rtl/>
        </w:rPr>
      </w:pPr>
      <w:r w:rsidRPr="003F3B94">
        <w:rPr>
          <w:rFonts w:ascii="Abo-thar" w:hAnsi="Abo-thar" w:hint="cs"/>
          <w:sz w:val="28"/>
          <w:rtl/>
        </w:rPr>
        <w:t>ولا يخفى أن قول الشيخ الطوسي هذا إنما يتعلق بخمس غنائم دار الحرب</w:t>
      </w:r>
      <w:r w:rsidR="00217AB4" w:rsidRPr="003F3B94">
        <w:rPr>
          <w:rFonts w:ascii="Abo-thar" w:hAnsi="Abo-thar" w:hint="cs"/>
          <w:sz w:val="28"/>
          <w:rtl/>
        </w:rPr>
        <w:t>،</w:t>
      </w:r>
      <w:r w:rsidRPr="003F3B94">
        <w:rPr>
          <w:rFonts w:ascii="Abo-thar" w:hAnsi="Abo-thar" w:hint="cs"/>
          <w:sz w:val="28"/>
          <w:rtl/>
        </w:rPr>
        <w:t xml:space="preserve"> أما خمس المكاسب والأرباح فهو خاصٌّ بالإمام كما دلَّت عليه الأخبار</w:t>
      </w:r>
      <w:r w:rsidR="00217AB4" w:rsidRPr="003F3B94">
        <w:rPr>
          <w:rFonts w:ascii="Abo-thar" w:hAnsi="Abo-thar" w:hint="cs"/>
          <w:sz w:val="28"/>
          <w:rtl/>
        </w:rPr>
        <w:t>.</w:t>
      </w:r>
    </w:p>
    <w:p w:rsidR="005C664D" w:rsidRPr="003F3B94" w:rsidRDefault="005C664D" w:rsidP="00873C4C">
      <w:pPr>
        <w:pStyle w:val="a0"/>
        <w:ind w:left="624" w:hanging="340"/>
        <w:rPr>
          <w:rFonts w:hint="cs"/>
          <w:rtl/>
        </w:rPr>
      </w:pPr>
      <w:r w:rsidRPr="003F3B94">
        <w:rPr>
          <w:rFonts w:ascii="Abo-thar" w:hAnsi="Abo-thar" w:hint="cs"/>
          <w:sz w:val="28"/>
          <w:rtl/>
        </w:rPr>
        <w:t>3</w:t>
      </w:r>
      <w:r w:rsidR="00217AB4" w:rsidRPr="003F3B94">
        <w:rPr>
          <w:rFonts w:ascii="Abo-thar" w:hAnsi="Abo-thar" w:hint="cs"/>
          <w:sz w:val="28"/>
          <w:rtl/>
        </w:rPr>
        <w:t>-</w:t>
      </w:r>
      <w:r w:rsidRPr="003F3B94">
        <w:rPr>
          <w:rFonts w:ascii="Abo-thar" w:hAnsi="Abo-thar" w:hint="cs"/>
          <w:sz w:val="28"/>
          <w:rtl/>
        </w:rPr>
        <w:t xml:space="preserve"> وقال المحقق الحلي في </w:t>
      </w:r>
      <w:r w:rsidRPr="003F3B94">
        <w:rPr>
          <w:rFonts w:ascii="Lotus Linotype" w:hAnsi="Lotus Linotype"/>
          <w:sz w:val="28"/>
          <w:rtl/>
        </w:rPr>
        <w:t>«</w:t>
      </w:r>
      <w:r w:rsidRPr="003F3B94">
        <w:rPr>
          <w:rFonts w:ascii="Lotus Linotype" w:hAnsi="Lotus Linotype" w:hint="cs"/>
          <w:sz w:val="28"/>
          <w:rtl/>
        </w:rPr>
        <w:t>شرائع الإسلام</w:t>
      </w:r>
      <w:r w:rsidRPr="003F3B94">
        <w:rPr>
          <w:rFonts w:ascii="Lotus Linotype" w:hAnsi="Lotus Linotype"/>
          <w:sz w:val="28"/>
          <w:rtl/>
        </w:rPr>
        <w:t>»</w:t>
      </w:r>
      <w:r w:rsidRPr="003F3B94">
        <w:rPr>
          <w:rFonts w:ascii="Lotus Linotype" w:hAnsi="Lotus Linotype" w:hint="cs"/>
          <w:sz w:val="28"/>
          <w:rtl/>
        </w:rPr>
        <w:t xml:space="preserve"> حول سهم الإمام</w:t>
      </w:r>
      <w:r w:rsidR="00217AB4" w:rsidRPr="003F3B94">
        <w:rPr>
          <w:rFonts w:ascii="Lotus Linotype" w:hAnsi="Lotus Linotype" w:hint="cs"/>
          <w:sz w:val="28"/>
          <w:rtl/>
        </w:rPr>
        <w:t>،</w:t>
      </w:r>
      <w:r w:rsidRPr="003F3B94">
        <w:rPr>
          <w:rFonts w:ascii="Lotus Linotype" w:hAnsi="Lotus Linotype" w:hint="cs"/>
          <w:sz w:val="28"/>
          <w:rtl/>
        </w:rPr>
        <w:t xml:space="preserve"> بعد أن أورد الآراء المختلفة في باب الخمس</w:t>
      </w:r>
      <w:r w:rsidR="00217AB4" w:rsidRPr="003F3B94">
        <w:rPr>
          <w:rFonts w:ascii="Lotus Linotype" w:hAnsi="Lotus Linotype" w:hint="cs"/>
          <w:sz w:val="28"/>
          <w:rtl/>
        </w:rPr>
        <w:t>:</w:t>
      </w:r>
      <w:r w:rsidRPr="003F3B94">
        <w:rPr>
          <w:rFonts w:ascii="Lotus Linotype" w:hAnsi="Lotus Linotype" w:hint="cs"/>
          <w:sz w:val="28"/>
          <w:rtl/>
        </w:rPr>
        <w:t xml:space="preserve"> </w:t>
      </w:r>
      <w:r w:rsidR="00EF2588" w:rsidRPr="003F3B94">
        <w:rPr>
          <w:rFonts w:ascii="Lotus Linotype" w:hAnsi="Lotus Linotype" w:hint="cs"/>
          <w:sz w:val="28"/>
          <w:rtl/>
        </w:rPr>
        <w:t>«</w:t>
      </w:r>
      <w:r w:rsidRPr="003F3B94">
        <w:rPr>
          <w:rFonts w:ascii="Lotus Linotype" w:hAnsi="Lotus Linotype"/>
          <w:b/>
          <w:bCs/>
          <w:sz w:val="28"/>
          <w:rtl/>
        </w:rPr>
        <w:t>الرابعة</w:t>
      </w:r>
      <w:r w:rsidR="00217AB4" w:rsidRPr="003F3B94">
        <w:rPr>
          <w:rFonts w:ascii="Lotus Linotype" w:hAnsi="Lotus Linotype"/>
          <w:b/>
          <w:bCs/>
          <w:sz w:val="28"/>
          <w:rtl/>
        </w:rPr>
        <w:t>:</w:t>
      </w:r>
      <w:r w:rsidRPr="003F3B94">
        <w:rPr>
          <w:rFonts w:ascii="Lotus Linotype" w:hAnsi="Lotus Linotype"/>
          <w:b/>
          <w:bCs/>
          <w:sz w:val="28"/>
          <w:rtl/>
        </w:rPr>
        <w:t xml:space="preserve"> ما يجب من الخمس يجب صرفه </w:t>
      </w:r>
      <w:r w:rsidRPr="003F3B94">
        <w:rPr>
          <w:rFonts w:ascii="Lotus Linotype" w:hAnsi="Lotus Linotype" w:hint="cs"/>
          <w:b/>
          <w:bCs/>
          <w:sz w:val="28"/>
          <w:rtl/>
        </w:rPr>
        <w:t>إليه</w:t>
      </w:r>
      <w:r w:rsidRPr="003F3B94">
        <w:rPr>
          <w:rFonts w:ascii="Lotus Linotype" w:hAnsi="Lotus Linotype"/>
          <w:b/>
          <w:bCs/>
          <w:sz w:val="28"/>
          <w:rtl/>
        </w:rPr>
        <w:t xml:space="preserve"> مع وجود</w:t>
      </w:r>
      <w:r w:rsidRPr="003F3B94">
        <w:rPr>
          <w:rFonts w:ascii="Lotus Linotype" w:hAnsi="Lotus Linotype" w:hint="cs"/>
          <w:b/>
          <w:bCs/>
          <w:sz w:val="28"/>
          <w:rtl/>
        </w:rPr>
        <w:t>ه</w:t>
      </w:r>
      <w:r w:rsidR="00217AB4" w:rsidRPr="003F3B94">
        <w:rPr>
          <w:rFonts w:ascii="Lotus Linotype" w:hAnsi="Lotus Linotype"/>
          <w:b/>
          <w:bCs/>
          <w:sz w:val="28"/>
          <w:rtl/>
        </w:rPr>
        <w:t>.</w:t>
      </w:r>
      <w:r w:rsidRPr="003F3B94">
        <w:rPr>
          <w:rFonts w:ascii="Lotus Linotype" w:hAnsi="Lotus Linotype" w:hint="cs"/>
          <w:b/>
          <w:bCs/>
          <w:sz w:val="28"/>
          <w:rtl/>
        </w:rPr>
        <w:t xml:space="preserve"> </w:t>
      </w:r>
      <w:r w:rsidRPr="003F3B94">
        <w:rPr>
          <w:rFonts w:ascii="Lotus Linotype" w:hAnsi="Lotus Linotype"/>
          <w:b/>
          <w:bCs/>
          <w:sz w:val="28"/>
          <w:rtl/>
        </w:rPr>
        <w:t>ومع عدمه</w:t>
      </w:r>
      <w:r w:rsidR="00217AB4" w:rsidRPr="003F3B94">
        <w:rPr>
          <w:rFonts w:ascii="Lotus Linotype" w:hAnsi="Lotus Linotype"/>
          <w:b/>
          <w:bCs/>
          <w:sz w:val="28"/>
          <w:rtl/>
        </w:rPr>
        <w:t>،</w:t>
      </w:r>
      <w:r w:rsidRPr="003F3B94">
        <w:rPr>
          <w:rFonts w:ascii="Lotus Linotype" w:hAnsi="Lotus Linotype"/>
          <w:b/>
          <w:bCs/>
          <w:sz w:val="28"/>
          <w:rtl/>
        </w:rPr>
        <w:t xml:space="preserve"> قيل</w:t>
      </w:r>
      <w:r w:rsidR="00217AB4" w:rsidRPr="003F3B94">
        <w:rPr>
          <w:rFonts w:ascii="Lotus Linotype" w:hAnsi="Lotus Linotype"/>
          <w:b/>
          <w:bCs/>
          <w:sz w:val="28"/>
          <w:rtl/>
        </w:rPr>
        <w:t>:</w:t>
      </w:r>
      <w:r w:rsidRPr="003F3B94">
        <w:rPr>
          <w:rFonts w:ascii="Lotus Linotype" w:hAnsi="Lotus Linotype"/>
          <w:b/>
          <w:bCs/>
          <w:sz w:val="28"/>
          <w:rtl/>
        </w:rPr>
        <w:t xml:space="preserve"> يكون مباحا</w:t>
      </w:r>
      <w:r w:rsidRPr="003F3B94">
        <w:rPr>
          <w:rFonts w:ascii="Lotus Linotype" w:hAnsi="Lotus Linotype" w:hint="cs"/>
          <w:b/>
          <w:bCs/>
          <w:sz w:val="28"/>
          <w:rtl/>
        </w:rPr>
        <w:t>ً</w:t>
      </w:r>
      <w:r w:rsidR="00217AB4" w:rsidRPr="003F3B94">
        <w:rPr>
          <w:rFonts w:ascii="Lotus Linotype" w:hAnsi="Lotus Linotype"/>
          <w:b/>
          <w:bCs/>
          <w:sz w:val="28"/>
          <w:rtl/>
        </w:rPr>
        <w:t>،</w:t>
      </w:r>
      <w:r w:rsidRPr="003F3B94">
        <w:rPr>
          <w:rFonts w:ascii="Lotus Linotype" w:hAnsi="Lotus Linotype"/>
          <w:b/>
          <w:bCs/>
          <w:sz w:val="28"/>
          <w:rtl/>
        </w:rPr>
        <w:t xml:space="preserve"> وقيل</w:t>
      </w:r>
      <w:r w:rsidR="00217AB4" w:rsidRPr="003F3B94">
        <w:rPr>
          <w:rFonts w:ascii="Lotus Linotype" w:hAnsi="Lotus Linotype"/>
          <w:b/>
          <w:bCs/>
          <w:sz w:val="28"/>
          <w:rtl/>
        </w:rPr>
        <w:t>:</w:t>
      </w:r>
      <w:r w:rsidRPr="003F3B94">
        <w:rPr>
          <w:rFonts w:ascii="Lotus Linotype" w:hAnsi="Lotus Linotype"/>
          <w:b/>
          <w:bCs/>
          <w:sz w:val="28"/>
          <w:rtl/>
        </w:rPr>
        <w:t xml:space="preserve"> يجب حفظه ثم يوص</w:t>
      </w:r>
      <w:r w:rsidRPr="003F3B94">
        <w:rPr>
          <w:rFonts w:ascii="Lotus Linotype" w:hAnsi="Lotus Linotype" w:hint="cs"/>
          <w:b/>
          <w:bCs/>
          <w:sz w:val="28"/>
          <w:rtl/>
        </w:rPr>
        <w:t>ِ</w:t>
      </w:r>
      <w:r w:rsidRPr="003F3B94">
        <w:rPr>
          <w:rFonts w:ascii="Lotus Linotype" w:hAnsi="Lotus Linotype"/>
          <w:b/>
          <w:bCs/>
          <w:sz w:val="28"/>
          <w:rtl/>
        </w:rPr>
        <w:t xml:space="preserve">ي به عند ظهور </w:t>
      </w:r>
      <w:r w:rsidRPr="003F3B94">
        <w:rPr>
          <w:rFonts w:ascii="Lotus Linotype" w:hAnsi="Lotus Linotype" w:hint="cs"/>
          <w:b/>
          <w:bCs/>
          <w:sz w:val="28"/>
          <w:rtl/>
        </w:rPr>
        <w:t>إمارة</w:t>
      </w:r>
      <w:r w:rsidRPr="003F3B94">
        <w:rPr>
          <w:rFonts w:ascii="Lotus Linotype" w:hAnsi="Lotus Linotype"/>
          <w:b/>
          <w:bCs/>
          <w:sz w:val="28"/>
          <w:rtl/>
        </w:rPr>
        <w:t xml:space="preserve"> الموت</w:t>
      </w:r>
      <w:r w:rsidR="00217AB4" w:rsidRPr="003F3B94">
        <w:rPr>
          <w:rFonts w:ascii="Lotus Linotype" w:hAnsi="Lotus Linotype"/>
          <w:b/>
          <w:bCs/>
          <w:sz w:val="28"/>
          <w:rtl/>
        </w:rPr>
        <w:t>،</w:t>
      </w:r>
      <w:r w:rsidRPr="003F3B94">
        <w:rPr>
          <w:rFonts w:ascii="Lotus Linotype" w:hAnsi="Lotus Linotype"/>
          <w:b/>
          <w:bCs/>
          <w:sz w:val="28"/>
          <w:rtl/>
        </w:rPr>
        <w:t xml:space="preserve"> وقيل</w:t>
      </w:r>
      <w:r w:rsidR="00217AB4" w:rsidRPr="003F3B94">
        <w:rPr>
          <w:rFonts w:ascii="Lotus Linotype" w:hAnsi="Lotus Linotype"/>
          <w:b/>
          <w:bCs/>
          <w:sz w:val="28"/>
          <w:rtl/>
        </w:rPr>
        <w:t>:</w:t>
      </w:r>
      <w:r w:rsidRPr="003F3B94">
        <w:rPr>
          <w:rFonts w:ascii="Lotus Linotype" w:hAnsi="Lotus Linotype"/>
          <w:b/>
          <w:bCs/>
          <w:sz w:val="28"/>
          <w:rtl/>
        </w:rPr>
        <w:t xml:space="preserve"> يدفن</w:t>
      </w:r>
      <w:r w:rsidR="00217AB4" w:rsidRPr="003F3B94">
        <w:rPr>
          <w:rFonts w:ascii="Lotus Linotype" w:hAnsi="Lotus Linotype"/>
          <w:b/>
          <w:bCs/>
          <w:sz w:val="28"/>
          <w:rtl/>
        </w:rPr>
        <w:t>،</w:t>
      </w:r>
      <w:r w:rsidRPr="003F3B94">
        <w:rPr>
          <w:rFonts w:ascii="Lotus Linotype" w:hAnsi="Lotus Linotype"/>
          <w:b/>
          <w:bCs/>
          <w:sz w:val="28"/>
          <w:rtl/>
        </w:rPr>
        <w:t xml:space="preserve"> وقيل</w:t>
      </w:r>
      <w:r w:rsidR="00217AB4" w:rsidRPr="003F3B94">
        <w:rPr>
          <w:rFonts w:ascii="Lotus Linotype" w:hAnsi="Lotus Linotype"/>
          <w:b/>
          <w:bCs/>
          <w:sz w:val="28"/>
          <w:rtl/>
        </w:rPr>
        <w:t>:</w:t>
      </w:r>
      <w:r w:rsidRPr="003F3B94">
        <w:rPr>
          <w:rFonts w:ascii="Lotus Linotype" w:hAnsi="Lotus Linotype"/>
          <w:b/>
          <w:bCs/>
          <w:sz w:val="28"/>
          <w:rtl/>
        </w:rPr>
        <w:t xml:space="preserve"> يص</w:t>
      </w:r>
      <w:r w:rsidRPr="003F3B94">
        <w:rPr>
          <w:rFonts w:ascii="Lotus Linotype" w:hAnsi="Lotus Linotype" w:hint="cs"/>
          <w:b/>
          <w:bCs/>
          <w:sz w:val="28"/>
          <w:rtl/>
        </w:rPr>
        <w:t>ـ</w:t>
      </w:r>
      <w:r w:rsidRPr="003F3B94">
        <w:rPr>
          <w:rFonts w:ascii="Lotus Linotype" w:hAnsi="Lotus Linotype"/>
          <w:b/>
          <w:bCs/>
          <w:sz w:val="28"/>
          <w:rtl/>
        </w:rPr>
        <w:t>رف النصف إلى مستحقيه ويحفظ ما يختص به بالوصا</w:t>
      </w:r>
      <w:r w:rsidRPr="003F3B94">
        <w:rPr>
          <w:rFonts w:ascii="Lotus Linotype" w:hAnsi="Lotus Linotype" w:hint="cs"/>
          <w:b/>
          <w:bCs/>
          <w:sz w:val="28"/>
          <w:rtl/>
        </w:rPr>
        <w:t>ي</w:t>
      </w:r>
      <w:r w:rsidRPr="003F3B94">
        <w:rPr>
          <w:rFonts w:ascii="Lotus Linotype" w:hAnsi="Lotus Linotype"/>
          <w:b/>
          <w:bCs/>
          <w:sz w:val="28"/>
          <w:rtl/>
        </w:rPr>
        <w:t>ة أو الدفن</w:t>
      </w:r>
      <w:r w:rsidR="00F456DF" w:rsidRPr="003F3B94">
        <w:rPr>
          <w:rFonts w:ascii="Lotus Linotype" w:hAnsi="Lotus Linotype" w:hint="cs"/>
          <w:b/>
          <w:bCs/>
          <w:sz w:val="28"/>
          <w:rtl/>
        </w:rPr>
        <w:t>»</w:t>
      </w:r>
      <w:r w:rsidR="001E42EB" w:rsidRPr="0021507A">
        <w:rPr>
          <w:rFonts w:ascii="Lotus Linotype" w:hAnsi="Lotus Linotype" w:cs="Arabic11 BT"/>
          <w:sz w:val="28"/>
          <w:vertAlign w:val="superscript"/>
          <w:rtl/>
        </w:rPr>
        <w:t>(</w:t>
      </w:r>
      <w:r w:rsidR="001E42EB" w:rsidRPr="0021507A">
        <w:rPr>
          <w:rStyle w:val="FootnoteReference"/>
          <w:rFonts w:ascii="Lotus Linotype" w:hAnsi="Lotus Linotype" w:cs="Arabic11 BT"/>
          <w:sz w:val="28"/>
          <w:rtl/>
        </w:rPr>
        <w:footnoteReference w:id="422"/>
      </w:r>
      <w:r w:rsidR="001E42EB" w:rsidRPr="0021507A">
        <w:rPr>
          <w:rFonts w:ascii="Lotus Linotype" w:hAnsi="Lotus Linotype" w:cs="Arabic11 BT"/>
          <w:sz w:val="28"/>
          <w:vertAlign w:val="superscript"/>
          <w:rtl/>
        </w:rPr>
        <w:t>)</w:t>
      </w:r>
      <w:r w:rsidR="00217AB4" w:rsidRPr="003F3B94">
        <w:rPr>
          <w:rFonts w:ascii="Lotus Linotype" w:hAnsi="Lotus Linotype" w:hint="cs"/>
          <w:sz w:val="28"/>
          <w:rtl/>
        </w:rPr>
        <w:t>.</w:t>
      </w:r>
      <w:r w:rsidRPr="003F3B94">
        <w:rPr>
          <w:rFonts w:ascii="Lotus Linotype" w:hAnsi="Lotus Linotype" w:hint="cs"/>
          <w:sz w:val="28"/>
          <w:rtl/>
        </w:rPr>
        <w:t xml:space="preserve"> </w:t>
      </w:r>
    </w:p>
    <w:p w:rsidR="005C664D" w:rsidRPr="003F3B94" w:rsidRDefault="005C664D" w:rsidP="00873C4C">
      <w:pPr>
        <w:pStyle w:val="a0"/>
        <w:ind w:left="624" w:hanging="340"/>
        <w:rPr>
          <w:rFonts w:hint="cs"/>
          <w:rtl/>
        </w:rPr>
      </w:pPr>
      <w:r w:rsidRPr="003F3B94">
        <w:rPr>
          <w:rFonts w:ascii="Abo-thar" w:hAnsi="Abo-thar" w:hint="cs"/>
          <w:sz w:val="28"/>
          <w:rtl/>
        </w:rPr>
        <w:t>4</w:t>
      </w:r>
      <w:r w:rsidR="00217AB4" w:rsidRPr="003F3B94">
        <w:rPr>
          <w:rFonts w:ascii="Abo-thar" w:hAnsi="Abo-thar" w:hint="cs"/>
          <w:sz w:val="28"/>
          <w:rtl/>
        </w:rPr>
        <w:t>-</w:t>
      </w:r>
      <w:r w:rsidRPr="003F3B94">
        <w:rPr>
          <w:rFonts w:ascii="Abo-thar" w:hAnsi="Abo-thar" w:hint="cs"/>
          <w:sz w:val="28"/>
          <w:rtl/>
        </w:rPr>
        <w:t xml:space="preserve"> وقال العلامة الحلي في </w:t>
      </w:r>
      <w:r w:rsidRPr="003F3B94">
        <w:rPr>
          <w:rFonts w:ascii="Lotus Linotype" w:hAnsi="Lotus Linotype"/>
          <w:sz w:val="28"/>
          <w:rtl/>
        </w:rPr>
        <w:t>«</w:t>
      </w:r>
      <w:r w:rsidRPr="003F3B94">
        <w:rPr>
          <w:rFonts w:ascii="Lotus Linotype" w:hAnsi="Lotus Linotype" w:hint="cs"/>
          <w:sz w:val="28"/>
          <w:rtl/>
        </w:rPr>
        <w:t>منتهى المطلب</w:t>
      </w:r>
      <w:r w:rsidRPr="003F3B94">
        <w:rPr>
          <w:rFonts w:ascii="Lotus Linotype" w:hAnsi="Lotus Linotype"/>
          <w:sz w:val="28"/>
          <w:rtl/>
        </w:rPr>
        <w:t>»</w:t>
      </w:r>
      <w:r w:rsidR="00217AB4" w:rsidRPr="003F3B94">
        <w:rPr>
          <w:rFonts w:ascii="Lotus Linotype" w:hAnsi="Lotus Linotype" w:hint="cs"/>
          <w:sz w:val="28"/>
          <w:rtl/>
        </w:rPr>
        <w:t>:</w:t>
      </w:r>
      <w:r w:rsidRPr="003F3B94">
        <w:rPr>
          <w:rFonts w:ascii="Lotus Linotype" w:hAnsi="Lotus Linotype" w:hint="cs"/>
          <w:sz w:val="28"/>
          <w:rtl/>
        </w:rPr>
        <w:t xml:space="preserve"> </w:t>
      </w:r>
      <w:r w:rsidR="00EF2588" w:rsidRPr="003F3B94">
        <w:rPr>
          <w:rFonts w:ascii="Lotus Linotype" w:hAnsi="Lotus Linotype" w:hint="cs"/>
          <w:sz w:val="28"/>
          <w:rtl/>
        </w:rPr>
        <w:t>«</w:t>
      </w:r>
      <w:r w:rsidRPr="003F3B94">
        <w:rPr>
          <w:rFonts w:ascii="Lotus Linotype" w:hAnsi="Lotus Linotype"/>
          <w:b/>
          <w:bCs/>
          <w:sz w:val="28"/>
          <w:rtl/>
        </w:rPr>
        <w:t xml:space="preserve">واختلف علماؤنا في الخمس في حال غيبة </w:t>
      </w:r>
      <w:r w:rsidRPr="003F3B94">
        <w:rPr>
          <w:rFonts w:ascii="Lotus Linotype" w:hAnsi="Lotus Linotype" w:hint="cs"/>
          <w:b/>
          <w:bCs/>
          <w:sz w:val="28"/>
          <w:rtl/>
        </w:rPr>
        <w:t>الإمام</w:t>
      </w:r>
      <w:r w:rsidRPr="003F3B94">
        <w:rPr>
          <w:rFonts w:ascii="Lotus Linotype" w:hAnsi="Lotus Linotype"/>
          <w:b/>
          <w:bCs/>
          <w:sz w:val="28"/>
          <w:rtl/>
        </w:rPr>
        <w:t xml:space="preserve"> فأسقط قوم عملا</w:t>
      </w:r>
      <w:r w:rsidRPr="003F3B94">
        <w:rPr>
          <w:rFonts w:ascii="Lotus Linotype" w:hAnsi="Lotus Linotype" w:hint="cs"/>
          <w:b/>
          <w:bCs/>
          <w:sz w:val="28"/>
          <w:rtl/>
        </w:rPr>
        <w:t>ً</w:t>
      </w:r>
      <w:r w:rsidRPr="003F3B94">
        <w:rPr>
          <w:rFonts w:ascii="Lotus Linotype" w:hAnsi="Lotus Linotype"/>
          <w:b/>
          <w:bCs/>
          <w:sz w:val="28"/>
          <w:rtl/>
        </w:rPr>
        <w:t xml:space="preserve"> بالأحاديث الدالة على ترخيصهم </w:t>
      </w:r>
      <w:r w:rsidR="00963EFD" w:rsidRPr="00963EFD">
        <w:rPr>
          <w:rFonts w:ascii="Lotus Linotype" w:hAnsi="Lotus Linotype" w:cs="CTraditional Arabic"/>
          <w:b/>
          <w:sz w:val="28"/>
          <w:rtl/>
        </w:rPr>
        <w:t>‡</w:t>
      </w:r>
      <w:r w:rsidRPr="003F3B94">
        <w:rPr>
          <w:rFonts w:ascii="Lotus Linotype" w:hAnsi="Lotus Linotype"/>
          <w:b/>
          <w:bCs/>
          <w:sz w:val="28"/>
          <w:rtl/>
        </w:rPr>
        <w:t xml:space="preserve"> لشيعتهم فيه ومنهم من أوجب دفنه لما روي أن الأرض يخرج كنوزها عند ظهوره </w:t>
      </w:r>
      <w:r w:rsidR="003C7AEB" w:rsidRPr="003C7AEB">
        <w:rPr>
          <w:rFonts w:ascii="Lotus Linotype" w:hAnsi="Lotus Linotype" w:cs="CTraditional Arabic"/>
          <w:b/>
          <w:sz w:val="28"/>
          <w:rtl/>
        </w:rPr>
        <w:t>÷</w:t>
      </w:r>
      <w:r w:rsidRPr="003F3B94">
        <w:rPr>
          <w:rFonts w:ascii="Lotus Linotype" w:hAnsi="Lotus Linotype"/>
          <w:b/>
          <w:bCs/>
          <w:sz w:val="28"/>
          <w:rtl/>
        </w:rPr>
        <w:t xml:space="preserve"> ومنهم من يرى صلة الذرية وفقراء الشيعة على وجه الاستحباب ومنهم من يرى عزله فإن خش</w:t>
      </w:r>
      <w:r w:rsidRPr="003F3B94">
        <w:rPr>
          <w:rFonts w:ascii="Lotus Linotype" w:hAnsi="Lotus Linotype" w:hint="cs"/>
          <w:b/>
          <w:bCs/>
          <w:sz w:val="28"/>
          <w:rtl/>
        </w:rPr>
        <w:t>ي</w:t>
      </w:r>
      <w:r w:rsidRPr="003F3B94">
        <w:rPr>
          <w:rFonts w:ascii="Lotus Linotype" w:hAnsi="Lotus Linotype"/>
          <w:b/>
          <w:bCs/>
          <w:sz w:val="28"/>
          <w:rtl/>
        </w:rPr>
        <w:t xml:space="preserve"> من الموت وصى به إلى من يثق بدينه وعقله ليسلمه إلى ال</w:t>
      </w:r>
      <w:r w:rsidRPr="003F3B94">
        <w:rPr>
          <w:rFonts w:ascii="Lotus Linotype" w:hAnsi="Lotus Linotype" w:hint="cs"/>
          <w:b/>
          <w:bCs/>
          <w:sz w:val="28"/>
          <w:rtl/>
        </w:rPr>
        <w:t>إ</w:t>
      </w:r>
      <w:r w:rsidRPr="003F3B94">
        <w:rPr>
          <w:rFonts w:ascii="Lotus Linotype" w:hAnsi="Lotus Linotype"/>
          <w:b/>
          <w:bCs/>
          <w:sz w:val="28"/>
          <w:rtl/>
        </w:rPr>
        <w:t>مام إن أدركه وإلا وصى به كذلك إلى أن يظهر واختاره المفيد رحمه الله قال لأنه حق مالك لم يوسم فيه ما يجب الانتهاء إليه فوجب حفظه وجرى مجرى الزكاة عند عدم المستحق فكما لا يحكم بسقوطها ولا التصرف فيها بل وجب حفظها بالنفس والوصية فكذا هنا</w:t>
      </w:r>
      <w:r w:rsidR="00217AB4" w:rsidRPr="003F3B94">
        <w:rPr>
          <w:rFonts w:ascii="Lotus Linotype" w:hAnsi="Lotus Linotype" w:hint="cs"/>
          <w:b/>
          <w:bCs/>
          <w:sz w:val="28"/>
          <w:rtl/>
        </w:rPr>
        <w:t>.</w:t>
      </w:r>
      <w:r w:rsidRPr="003F3B94">
        <w:rPr>
          <w:rFonts w:ascii="Lotus Linotype" w:hAnsi="Lotus Linotype"/>
          <w:b/>
          <w:bCs/>
          <w:sz w:val="28"/>
          <w:rtl/>
        </w:rPr>
        <w:t xml:space="preserve"> قال رحمه الله وإن ذهب ذاهب إلى ما ذكرناه في النصف الخالص في </w:t>
      </w:r>
      <w:r w:rsidRPr="003F3B94">
        <w:rPr>
          <w:rFonts w:ascii="Lotus Linotype" w:hAnsi="Lotus Linotype" w:hint="cs"/>
          <w:b/>
          <w:bCs/>
          <w:sz w:val="28"/>
          <w:rtl/>
        </w:rPr>
        <w:t>الإمام</w:t>
      </w:r>
      <w:r w:rsidRPr="003F3B94">
        <w:rPr>
          <w:rFonts w:ascii="Lotus Linotype" w:hAnsi="Lotus Linotype"/>
          <w:b/>
          <w:bCs/>
          <w:sz w:val="28"/>
          <w:rtl/>
        </w:rPr>
        <w:t xml:space="preserve"> وصرف النصف الآخر في مستحقه من يتامى آل محمد صلى الله عليه وآله ومساكينهم وأبناء سبيلهم على ما جاء في القرآن كان على جواز وهذا الأخير اختيار شيخنا أبي جعفر الطوسي وأبي الصلاح وابن البراج</w:t>
      </w:r>
      <w:r w:rsidR="00EF2588" w:rsidRPr="003F3B94">
        <w:rPr>
          <w:rFonts w:ascii="Lotus Linotype" w:hAnsi="Lotus Linotype" w:hint="cs"/>
          <w:sz w:val="28"/>
          <w:rtl/>
        </w:rPr>
        <w:t>»</w:t>
      </w:r>
      <w:r w:rsidR="001E42EB" w:rsidRPr="0021507A">
        <w:rPr>
          <w:rFonts w:ascii="Lotus Linotype" w:hAnsi="Lotus Linotype" w:cs="Arabic11 BT"/>
          <w:sz w:val="28"/>
          <w:vertAlign w:val="superscript"/>
          <w:rtl/>
        </w:rPr>
        <w:t>(</w:t>
      </w:r>
      <w:r w:rsidR="001E42EB" w:rsidRPr="0021507A">
        <w:rPr>
          <w:rStyle w:val="FootnoteReference"/>
          <w:rFonts w:ascii="Lotus Linotype" w:hAnsi="Lotus Linotype" w:cs="Arabic11 BT"/>
          <w:sz w:val="28"/>
          <w:rtl/>
        </w:rPr>
        <w:footnoteReference w:id="423"/>
      </w:r>
      <w:r w:rsidR="001E42EB" w:rsidRPr="0021507A">
        <w:rPr>
          <w:rFonts w:ascii="Lotus Linotype" w:hAnsi="Lotus Linotype" w:cs="Arabic11 BT"/>
          <w:sz w:val="28"/>
          <w:vertAlign w:val="superscript"/>
          <w:rtl/>
        </w:rPr>
        <w:t>)</w:t>
      </w:r>
      <w:r w:rsidR="00217AB4" w:rsidRPr="003F3B94">
        <w:rPr>
          <w:rFonts w:ascii="Lotus Linotype" w:hAnsi="Lotus Linotype" w:hint="cs"/>
          <w:sz w:val="28"/>
          <w:rtl/>
        </w:rPr>
        <w:t>.</w:t>
      </w:r>
    </w:p>
    <w:p w:rsidR="005C664D" w:rsidRPr="003F3B94" w:rsidRDefault="005C664D" w:rsidP="00873C4C">
      <w:pPr>
        <w:pStyle w:val="a0"/>
        <w:ind w:left="624" w:hanging="340"/>
        <w:rPr>
          <w:rFonts w:hint="cs"/>
          <w:rtl/>
        </w:rPr>
      </w:pPr>
      <w:r w:rsidRPr="003F3B94">
        <w:rPr>
          <w:rFonts w:ascii="Abo-thar" w:hAnsi="Abo-thar" w:hint="cs"/>
          <w:sz w:val="28"/>
          <w:rtl/>
        </w:rPr>
        <w:t>5</w:t>
      </w:r>
      <w:r w:rsidR="00217AB4" w:rsidRPr="003F3B94">
        <w:rPr>
          <w:rFonts w:ascii="Abo-thar" w:hAnsi="Abo-thar" w:hint="cs"/>
          <w:sz w:val="28"/>
          <w:rtl/>
        </w:rPr>
        <w:t>-</w:t>
      </w:r>
      <w:r w:rsidRPr="003F3B94">
        <w:rPr>
          <w:rFonts w:ascii="Abo-thar" w:hAnsi="Abo-thar" w:hint="cs"/>
          <w:sz w:val="28"/>
          <w:rtl/>
        </w:rPr>
        <w:t xml:space="preserve"> وقال المرحوم الملا محمد تقي المجلسـي </w:t>
      </w:r>
      <w:r w:rsidR="00217AB4" w:rsidRPr="003F3B94">
        <w:rPr>
          <w:rFonts w:ascii="Abo-thar" w:hAnsi="Abo-thar" w:hint="cs"/>
          <w:sz w:val="28"/>
          <w:rtl/>
        </w:rPr>
        <w:t>(</w:t>
      </w:r>
      <w:r w:rsidRPr="003F3B94">
        <w:rPr>
          <w:rFonts w:ascii="Abo-thar" w:hAnsi="Abo-thar" w:hint="cs"/>
          <w:sz w:val="28"/>
          <w:rtl/>
        </w:rPr>
        <w:t>الأول</w:t>
      </w:r>
      <w:r w:rsidR="00217AB4" w:rsidRPr="003F3B94">
        <w:rPr>
          <w:rFonts w:ascii="Abo-thar" w:hAnsi="Abo-thar" w:hint="cs"/>
          <w:sz w:val="28"/>
          <w:rtl/>
        </w:rPr>
        <w:t>)</w:t>
      </w:r>
      <w:r w:rsidRPr="003F3B94">
        <w:rPr>
          <w:rFonts w:ascii="Abo-thar" w:hAnsi="Abo-thar" w:hint="cs"/>
          <w:sz w:val="28"/>
          <w:rtl/>
        </w:rPr>
        <w:t xml:space="preserve"> في </w:t>
      </w:r>
      <w:r w:rsidRPr="003F3B94">
        <w:rPr>
          <w:rFonts w:ascii="Lotus Linotype" w:hAnsi="Lotus Linotype" w:hint="cs"/>
          <w:sz w:val="28"/>
          <w:rtl/>
        </w:rPr>
        <w:t xml:space="preserve">شرحه على </w:t>
      </w:r>
      <w:r w:rsidRPr="003F3B94">
        <w:rPr>
          <w:rFonts w:ascii="Abo-thar" w:hAnsi="Abo-thar" w:hint="cs"/>
          <w:sz w:val="28"/>
          <w:rtl/>
        </w:rPr>
        <w:t>«من لا</w:t>
      </w:r>
      <w:r w:rsidRPr="003F3B94">
        <w:rPr>
          <w:rFonts w:cs="Times New Roman" w:hint="cs"/>
          <w:sz w:val="28"/>
          <w:rtl/>
        </w:rPr>
        <w:t> </w:t>
      </w:r>
      <w:r w:rsidRPr="003F3B94">
        <w:rPr>
          <w:rFonts w:ascii="Abo-thar" w:hAnsi="Abo-thar" w:hint="cs"/>
          <w:sz w:val="28"/>
          <w:rtl/>
        </w:rPr>
        <w:t xml:space="preserve">يحضره الفقيه» الموسوم بـ </w:t>
      </w:r>
      <w:r w:rsidRPr="003F3B94">
        <w:rPr>
          <w:rFonts w:ascii="Lotus Linotype" w:hAnsi="Lotus Linotype"/>
          <w:sz w:val="28"/>
          <w:rtl/>
        </w:rPr>
        <w:t>«</w:t>
      </w:r>
      <w:r w:rsidRPr="003F3B94">
        <w:rPr>
          <w:rFonts w:ascii="Lotus Linotype" w:hAnsi="Lotus Linotype" w:hint="cs"/>
          <w:sz w:val="28"/>
          <w:rtl/>
        </w:rPr>
        <w:t>لوامع صاحبقراني</w:t>
      </w:r>
      <w:r w:rsidRPr="003F3B94">
        <w:rPr>
          <w:rFonts w:ascii="Lotus Linotype" w:hAnsi="Lotus Linotype"/>
          <w:sz w:val="28"/>
          <w:rtl/>
        </w:rPr>
        <w:t>»</w:t>
      </w:r>
      <w:r w:rsidRPr="003F3B94">
        <w:rPr>
          <w:rFonts w:ascii="Lotus Linotype" w:hAnsi="Lotus Linotype" w:hint="cs"/>
          <w:sz w:val="28"/>
          <w:rtl/>
        </w:rPr>
        <w:t xml:space="preserve"> ما نصه</w:t>
      </w:r>
      <w:r w:rsidR="00217AB4" w:rsidRPr="003F3B94">
        <w:rPr>
          <w:rFonts w:ascii="Lotus Linotype" w:hAnsi="Lotus Linotype" w:hint="cs"/>
          <w:sz w:val="28"/>
          <w:rtl/>
        </w:rPr>
        <w:t>:</w:t>
      </w:r>
    </w:p>
    <w:p w:rsidR="005C664D" w:rsidRPr="003F3B94" w:rsidRDefault="00EF2588" w:rsidP="00873C4C">
      <w:pPr>
        <w:pStyle w:val="a0"/>
        <w:ind w:left="624" w:firstLine="0"/>
        <w:rPr>
          <w:rFonts w:hint="cs"/>
          <w:rtl/>
        </w:rPr>
      </w:pPr>
      <w:r w:rsidRPr="003F3B94">
        <w:rPr>
          <w:rFonts w:ascii="Lotus Linotype" w:hAnsi="Lotus Linotype" w:hint="cs"/>
          <w:sz w:val="28"/>
          <w:rtl/>
        </w:rPr>
        <w:t>«</w:t>
      </w:r>
      <w:r w:rsidR="005C664D" w:rsidRPr="003F3B94">
        <w:rPr>
          <w:rFonts w:ascii="Lotus Linotype" w:hAnsi="Lotus Linotype" w:hint="cs"/>
          <w:b/>
          <w:bCs/>
          <w:sz w:val="28"/>
          <w:rtl/>
        </w:rPr>
        <w:t>لا بد من حفظ مال الإمام</w:t>
      </w:r>
      <w:r w:rsidR="00147857" w:rsidRPr="003F3B94">
        <w:rPr>
          <w:rFonts w:ascii="Lotus Linotype" w:hAnsi="Lotus Linotype" w:hint="cs"/>
          <w:b/>
          <w:bCs/>
          <w:sz w:val="28"/>
          <w:rtl/>
        </w:rPr>
        <w:t xml:space="preserve"> و</w:t>
      </w:r>
      <w:r w:rsidR="005C664D" w:rsidRPr="003F3B94">
        <w:rPr>
          <w:rFonts w:ascii="Lotus Linotype" w:hAnsi="Lotus Linotype" w:hint="cs"/>
          <w:b/>
          <w:bCs/>
          <w:sz w:val="28"/>
          <w:rtl/>
        </w:rPr>
        <w:t>إيداعه لدى الثقات العدول كي ينتقل من يد إلى يد حتى يصل ليد الإمام صلوات الله عليه عند ظهوره</w:t>
      </w:r>
      <w:r w:rsidR="00217AB4" w:rsidRPr="003F3B94">
        <w:rPr>
          <w:rFonts w:ascii="Lotus Linotype" w:hAnsi="Lotus Linotype" w:hint="cs"/>
          <w:b/>
          <w:bCs/>
          <w:sz w:val="28"/>
          <w:rtl/>
        </w:rPr>
        <w:t>.</w:t>
      </w:r>
      <w:r w:rsidR="005C664D" w:rsidRPr="003F3B94">
        <w:rPr>
          <w:rFonts w:ascii="Lotus Linotype" w:hAnsi="Lotus Linotype" w:hint="cs"/>
          <w:b/>
          <w:bCs/>
          <w:sz w:val="28"/>
          <w:rtl/>
        </w:rPr>
        <w:t xml:space="preserve"> وقال بعضهم يجب دفنه لأن الأحاديث وردت بأن </w:t>
      </w:r>
      <w:r w:rsidR="005C664D" w:rsidRPr="003F3B94">
        <w:rPr>
          <w:rFonts w:ascii="Lotus Linotype" w:hAnsi="Lotus Linotype"/>
          <w:b/>
          <w:bCs/>
          <w:sz w:val="28"/>
          <w:rtl/>
        </w:rPr>
        <w:t xml:space="preserve">الأرض </w:t>
      </w:r>
      <w:r w:rsidR="005C664D" w:rsidRPr="003F3B94">
        <w:rPr>
          <w:rFonts w:ascii="Lotus Linotype" w:hAnsi="Lotus Linotype" w:hint="cs"/>
          <w:b/>
          <w:bCs/>
          <w:sz w:val="28"/>
          <w:rtl/>
        </w:rPr>
        <w:t>ت</w:t>
      </w:r>
      <w:r w:rsidR="005C664D" w:rsidRPr="003F3B94">
        <w:rPr>
          <w:rFonts w:ascii="Lotus Linotype" w:hAnsi="Lotus Linotype"/>
          <w:b/>
          <w:bCs/>
          <w:sz w:val="28"/>
          <w:rtl/>
        </w:rPr>
        <w:t xml:space="preserve">خرج كنوزها عند ظهوره </w:t>
      </w:r>
      <w:r w:rsidR="003C7AEB" w:rsidRPr="003C7AEB">
        <w:rPr>
          <w:rFonts w:ascii="Lotus Linotype" w:hAnsi="Lotus Linotype" w:cs="CTraditional Arabic"/>
          <w:b/>
          <w:sz w:val="28"/>
          <w:rtl/>
        </w:rPr>
        <w:t>÷</w:t>
      </w:r>
      <w:r w:rsidR="00217AB4" w:rsidRPr="003F3B94">
        <w:rPr>
          <w:rFonts w:ascii="Lotus Linotype" w:hAnsi="Lotus Linotype" w:hint="cs"/>
          <w:b/>
          <w:bCs/>
          <w:sz w:val="28"/>
          <w:rtl/>
        </w:rPr>
        <w:t>.</w:t>
      </w:r>
      <w:r w:rsidR="005C664D" w:rsidRPr="003F3B94">
        <w:rPr>
          <w:rFonts w:ascii="Lotus Linotype" w:hAnsi="Lotus Linotype" w:hint="cs"/>
          <w:b/>
          <w:bCs/>
          <w:sz w:val="28"/>
          <w:rtl/>
        </w:rPr>
        <w:t xml:space="preserve"> وقال بعضهم بل يرميه في البحر</w:t>
      </w:r>
      <w:r w:rsidR="00F456DF" w:rsidRPr="003F3B94">
        <w:rPr>
          <w:rFonts w:ascii="Lotus Linotype" w:hAnsi="Lotus Linotype" w:hint="cs"/>
          <w:b/>
          <w:bCs/>
          <w:sz w:val="28"/>
          <w:rtl/>
        </w:rPr>
        <w:t>»</w:t>
      </w:r>
      <w:r w:rsidR="00217AB4" w:rsidRPr="003F3B94">
        <w:rPr>
          <w:rFonts w:ascii="Lotus Linotype" w:hAnsi="Lotus Linotype" w:hint="cs"/>
          <w:sz w:val="28"/>
          <w:rtl/>
        </w:rPr>
        <w:t>.</w:t>
      </w:r>
      <w:r w:rsidR="00147857" w:rsidRPr="003F3B94">
        <w:rPr>
          <w:rFonts w:ascii="Abo-thar" w:hAnsi="Abo-thar" w:hint="cs"/>
          <w:sz w:val="28"/>
          <w:rtl/>
        </w:rPr>
        <w:t xml:space="preserve"> </w:t>
      </w:r>
      <w:r w:rsidR="005C664D" w:rsidRPr="003F3B94">
        <w:rPr>
          <w:rFonts w:ascii="Abo-thar" w:hAnsi="Abo-thar" w:hint="cs"/>
          <w:sz w:val="28"/>
          <w:rtl/>
        </w:rPr>
        <w:t>إلى أن قال</w:t>
      </w:r>
      <w:r w:rsidR="00217AB4" w:rsidRPr="003F3B94">
        <w:rPr>
          <w:rFonts w:ascii="Abo-thar" w:hAnsi="Abo-thar" w:hint="cs"/>
          <w:sz w:val="28"/>
          <w:rtl/>
        </w:rPr>
        <w:t>:</w:t>
      </w:r>
      <w:r w:rsidR="00147857" w:rsidRPr="003F3B94">
        <w:rPr>
          <w:rFonts w:ascii="Abo-thar" w:hAnsi="Abo-thar" w:hint="cs"/>
          <w:sz w:val="28"/>
          <w:rtl/>
        </w:rPr>
        <w:t xml:space="preserve"> </w:t>
      </w:r>
      <w:r w:rsidRPr="003F3B94">
        <w:rPr>
          <w:rFonts w:ascii="Abo-thar" w:hAnsi="Abo-thar" w:hint="cs"/>
          <w:sz w:val="28"/>
          <w:rtl/>
        </w:rPr>
        <w:t>«</w:t>
      </w:r>
      <w:r w:rsidR="005C664D" w:rsidRPr="003F3B94">
        <w:rPr>
          <w:rFonts w:ascii="Abo-thar" w:hAnsi="Abo-thar" w:hint="cs"/>
          <w:b/>
          <w:bCs/>
          <w:sz w:val="28"/>
          <w:rtl/>
        </w:rPr>
        <w:t>أما أخذه من أصحاب الأموال فنقول لهم إن هذا من باب الاحتياط</w:t>
      </w:r>
      <w:r w:rsidR="00217AB4" w:rsidRPr="003F3B94">
        <w:rPr>
          <w:rFonts w:ascii="Abo-thar" w:hAnsi="Abo-thar" w:hint="cs"/>
          <w:b/>
          <w:bCs/>
          <w:sz w:val="28"/>
          <w:rtl/>
        </w:rPr>
        <w:t>،</w:t>
      </w:r>
      <w:r w:rsidR="005C664D" w:rsidRPr="003F3B94">
        <w:rPr>
          <w:rFonts w:ascii="Abo-thar" w:hAnsi="Abo-thar" w:hint="cs"/>
          <w:b/>
          <w:bCs/>
          <w:sz w:val="28"/>
          <w:rtl/>
        </w:rPr>
        <w:t xml:space="preserve"> ويحتمل ألا يكون أداء الخمس أو العشر واجباً عليكم</w:t>
      </w:r>
      <w:r w:rsidR="00217AB4" w:rsidRPr="003F3B94">
        <w:rPr>
          <w:rFonts w:ascii="Abo-thar" w:hAnsi="Abo-thar" w:hint="cs"/>
          <w:b/>
          <w:bCs/>
          <w:sz w:val="28"/>
          <w:rtl/>
        </w:rPr>
        <w:t>،</w:t>
      </w:r>
      <w:r w:rsidR="005C664D" w:rsidRPr="003F3B94">
        <w:rPr>
          <w:rFonts w:ascii="Abo-thar" w:hAnsi="Abo-thar" w:hint="cs"/>
          <w:b/>
          <w:bCs/>
          <w:sz w:val="28"/>
          <w:rtl/>
        </w:rPr>
        <w:t xml:space="preserve"> ولكن عند الأداء تكون براءة الذمة ثابتةٌ يقيناً</w:t>
      </w:r>
      <w:r w:rsidRPr="003F3B94">
        <w:rPr>
          <w:rFonts w:ascii="Abo-thar" w:hAnsi="Abo-thar" w:hint="cs"/>
          <w:sz w:val="28"/>
          <w:rtl/>
        </w:rPr>
        <w:t>»</w:t>
      </w:r>
      <w:r w:rsidR="001E42EB" w:rsidRPr="0021507A">
        <w:rPr>
          <w:rFonts w:ascii="Abo-thar" w:hAnsi="Abo-thar" w:cs="Arabic11 BT"/>
          <w:sz w:val="28"/>
          <w:vertAlign w:val="superscript"/>
          <w:rtl/>
        </w:rPr>
        <w:t>(</w:t>
      </w:r>
      <w:r w:rsidR="001E42EB" w:rsidRPr="0021507A">
        <w:rPr>
          <w:rStyle w:val="FootnoteReference"/>
          <w:rFonts w:ascii="Abo-thar" w:hAnsi="Abo-thar" w:cs="Arabic11 BT"/>
          <w:sz w:val="28"/>
          <w:rtl/>
        </w:rPr>
        <w:footnoteReference w:id="424"/>
      </w:r>
      <w:r w:rsidR="001E42EB" w:rsidRPr="0021507A">
        <w:rPr>
          <w:rFonts w:ascii="Abo-thar" w:hAnsi="Abo-thar" w:cs="Arabic11 BT"/>
          <w:sz w:val="28"/>
          <w:vertAlign w:val="superscript"/>
          <w:rtl/>
        </w:rPr>
        <w:t>)</w:t>
      </w:r>
      <w:r w:rsidR="00217AB4" w:rsidRPr="003F3B94">
        <w:rPr>
          <w:rFonts w:ascii="Abo-thar" w:hAnsi="Abo-thar" w:hint="cs"/>
          <w:sz w:val="28"/>
          <w:rtl/>
        </w:rPr>
        <w:t>.</w:t>
      </w:r>
    </w:p>
    <w:p w:rsidR="005C664D" w:rsidRPr="003F3B94" w:rsidRDefault="005C664D" w:rsidP="00873C4C">
      <w:pPr>
        <w:pStyle w:val="a0"/>
        <w:ind w:left="624" w:firstLine="0"/>
        <w:rPr>
          <w:rFonts w:hint="cs"/>
          <w:rtl/>
        </w:rPr>
      </w:pPr>
      <w:r w:rsidRPr="003F3B94">
        <w:rPr>
          <w:rFonts w:ascii="Abo-thar" w:hAnsi="Abo-thar" w:hint="cs"/>
          <w:sz w:val="28"/>
          <w:rtl/>
        </w:rPr>
        <w:t>أقول</w:t>
      </w:r>
      <w:r w:rsidR="00217AB4" w:rsidRPr="003F3B94">
        <w:rPr>
          <w:rFonts w:ascii="Abo-thar" w:hAnsi="Abo-thar" w:hint="cs"/>
          <w:sz w:val="28"/>
          <w:rtl/>
        </w:rPr>
        <w:t>:</w:t>
      </w:r>
      <w:r w:rsidRPr="003F3B94">
        <w:rPr>
          <w:rFonts w:ascii="Abo-thar" w:hAnsi="Abo-thar" w:hint="cs"/>
          <w:sz w:val="28"/>
          <w:rtl/>
        </w:rPr>
        <w:t xml:space="preserve"> حقاً كم هو حسنٌ هذا القول</w:t>
      </w:r>
      <w:r w:rsidR="00217AB4" w:rsidRPr="003F3B94">
        <w:rPr>
          <w:rFonts w:ascii="Abo-thar" w:hAnsi="Abo-thar" w:hint="cs"/>
          <w:sz w:val="28"/>
          <w:rtl/>
        </w:rPr>
        <w:t>:</w:t>
      </w:r>
      <w:r w:rsidRPr="003F3B94">
        <w:rPr>
          <w:rFonts w:ascii="Abo-thar" w:hAnsi="Abo-thar" w:hint="cs"/>
          <w:sz w:val="28"/>
          <w:rtl/>
        </w:rPr>
        <w:t xml:space="preserve"> إما أن يُعطي الناسُ </w:t>
      </w:r>
      <w:r w:rsidRPr="003F3B94">
        <w:rPr>
          <w:rFonts w:ascii="Lotus Linotype" w:hAnsi="Lotus Linotype"/>
          <w:sz w:val="28"/>
          <w:rtl/>
        </w:rPr>
        <w:t>«</w:t>
      </w:r>
      <w:r w:rsidRPr="003F3B94">
        <w:rPr>
          <w:rFonts w:ascii="Lotus Linotype" w:hAnsi="Lotus Linotype" w:hint="cs"/>
          <w:sz w:val="28"/>
          <w:rtl/>
        </w:rPr>
        <w:t>الخُمُس</w:t>
      </w:r>
      <w:r w:rsidRPr="003F3B94">
        <w:rPr>
          <w:rFonts w:ascii="Lotus Linotype" w:hAnsi="Lotus Linotype"/>
          <w:sz w:val="28"/>
          <w:rtl/>
        </w:rPr>
        <w:t>»</w:t>
      </w:r>
      <w:r w:rsidRPr="003F3B94">
        <w:rPr>
          <w:rFonts w:ascii="Lotus Linotype" w:hAnsi="Lotus Linotype" w:hint="cs"/>
          <w:sz w:val="28"/>
          <w:rtl/>
        </w:rPr>
        <w:t xml:space="preserve"> </w:t>
      </w:r>
      <w:r w:rsidRPr="003F3B94">
        <w:rPr>
          <w:rFonts w:ascii="Abo-thar" w:hAnsi="Abo-thar" w:hint="cs"/>
          <w:sz w:val="28"/>
          <w:rtl/>
        </w:rPr>
        <w:t>على سبيل الاحتياط</w:t>
      </w:r>
      <w:r w:rsidR="00217AB4" w:rsidRPr="003F3B94">
        <w:rPr>
          <w:rFonts w:ascii="Abo-thar" w:hAnsi="Abo-thar" w:hint="cs"/>
          <w:sz w:val="28"/>
          <w:rtl/>
        </w:rPr>
        <w:t>!</w:t>
      </w:r>
      <w:r w:rsidRPr="003F3B94">
        <w:rPr>
          <w:rFonts w:ascii="Abo-thar" w:hAnsi="Abo-thar" w:hint="cs"/>
          <w:sz w:val="28"/>
          <w:rtl/>
        </w:rPr>
        <w:t xml:space="preserve"> أو الأفضل أن يرموه في البحر</w:t>
      </w:r>
      <w:r w:rsidR="00217AB4" w:rsidRPr="003F3B94">
        <w:rPr>
          <w:rFonts w:ascii="Abo-thar" w:hAnsi="Abo-thar" w:hint="cs"/>
          <w:sz w:val="28"/>
          <w:rtl/>
        </w:rPr>
        <w:t>!!</w:t>
      </w:r>
      <w:r w:rsidRPr="003F3B94">
        <w:rPr>
          <w:rFonts w:ascii="Abo-thar" w:hAnsi="Abo-thar" w:hint="cs"/>
          <w:sz w:val="28"/>
          <w:rtl/>
        </w:rPr>
        <w:t xml:space="preserve"> مرحى لهذه الآراء</w:t>
      </w:r>
      <w:r w:rsidR="00217AB4" w:rsidRPr="003F3B94">
        <w:rPr>
          <w:rFonts w:ascii="Abo-thar" w:hAnsi="Abo-thar" w:hint="cs"/>
          <w:sz w:val="28"/>
          <w:rtl/>
        </w:rPr>
        <w:t>!!!</w:t>
      </w:r>
    </w:p>
    <w:p w:rsidR="005C664D" w:rsidRPr="003F3B94" w:rsidRDefault="005C664D" w:rsidP="00873C4C">
      <w:pPr>
        <w:pStyle w:val="a0"/>
        <w:ind w:left="624" w:hanging="340"/>
        <w:rPr>
          <w:rFonts w:hint="cs"/>
          <w:rtl/>
        </w:rPr>
      </w:pPr>
      <w:r w:rsidRPr="003F3B94">
        <w:rPr>
          <w:rFonts w:ascii="Abo-thar" w:hAnsi="Abo-thar" w:hint="cs"/>
          <w:sz w:val="28"/>
          <w:rtl/>
        </w:rPr>
        <w:t>6</w:t>
      </w:r>
      <w:r w:rsidR="00217AB4" w:rsidRPr="003F3B94">
        <w:rPr>
          <w:rFonts w:ascii="Abo-thar" w:hAnsi="Abo-thar" w:hint="cs"/>
          <w:sz w:val="28"/>
          <w:rtl/>
        </w:rPr>
        <w:t>-</w:t>
      </w:r>
      <w:r w:rsidRPr="003F3B94">
        <w:rPr>
          <w:rFonts w:ascii="Abo-thar" w:hAnsi="Abo-thar" w:hint="cs"/>
          <w:sz w:val="28"/>
          <w:rtl/>
        </w:rPr>
        <w:t xml:space="preserve"> وقال المرحوم الميرزا القمي في كتابه </w:t>
      </w:r>
      <w:r w:rsidRPr="003F3B94">
        <w:rPr>
          <w:rFonts w:ascii="Lotus Linotype" w:hAnsi="Lotus Linotype"/>
          <w:sz w:val="28"/>
          <w:rtl/>
        </w:rPr>
        <w:t>«</w:t>
      </w:r>
      <w:r w:rsidRPr="003F3B94">
        <w:rPr>
          <w:rFonts w:ascii="Lotus Linotype" w:hAnsi="Lotus Linotype" w:hint="cs"/>
          <w:sz w:val="28"/>
          <w:rtl/>
        </w:rPr>
        <w:t>غنائم الأيام</w:t>
      </w:r>
      <w:r w:rsidRPr="003F3B94">
        <w:rPr>
          <w:rFonts w:ascii="Lotus Linotype" w:hAnsi="Lotus Linotype"/>
          <w:sz w:val="28"/>
          <w:rtl/>
        </w:rPr>
        <w:t>»</w:t>
      </w:r>
      <w:r w:rsidR="00217AB4" w:rsidRPr="003F3B94">
        <w:rPr>
          <w:rFonts w:ascii="Lotus Linotype" w:hAnsi="Lotus Linotype" w:hint="cs"/>
          <w:sz w:val="28"/>
          <w:rtl/>
        </w:rPr>
        <w:t>:</w:t>
      </w:r>
      <w:r w:rsidRPr="003F3B94">
        <w:rPr>
          <w:rFonts w:ascii="Lotus Linotype" w:hAnsi="Lotus Linotype" w:hint="cs"/>
          <w:sz w:val="28"/>
          <w:rtl/>
        </w:rPr>
        <w:t xml:space="preserve"> </w:t>
      </w:r>
      <w:r w:rsidR="00EF2588" w:rsidRPr="003F3B94">
        <w:rPr>
          <w:rFonts w:ascii="Lotus Linotype" w:hAnsi="Lotus Linotype" w:hint="cs"/>
          <w:sz w:val="28"/>
          <w:rtl/>
        </w:rPr>
        <w:t>«</w:t>
      </w:r>
      <w:r w:rsidRPr="003F3B94">
        <w:rPr>
          <w:rFonts w:ascii="Lotus Linotype" w:hAnsi="Lotus Linotype" w:hint="cs"/>
          <w:b/>
          <w:bCs/>
          <w:sz w:val="28"/>
          <w:rtl/>
        </w:rPr>
        <w:t>هناك اختلافٌ شديدٌ في كلام الأصحاب بشأن الخمس</w:t>
      </w:r>
      <w:r w:rsidR="00EF2588" w:rsidRPr="003F3B94">
        <w:rPr>
          <w:rFonts w:ascii="Lotus Linotype" w:hAnsi="Lotus Linotype" w:hint="cs"/>
          <w:sz w:val="28"/>
          <w:rtl/>
        </w:rPr>
        <w:t>»</w:t>
      </w:r>
      <w:r w:rsidR="001E42EB" w:rsidRPr="0021507A">
        <w:rPr>
          <w:rFonts w:ascii="Lotus Linotype" w:hAnsi="Lotus Linotype" w:cs="Arabic11 BT"/>
          <w:sz w:val="28"/>
          <w:vertAlign w:val="superscript"/>
          <w:rtl/>
        </w:rPr>
        <w:t>(</w:t>
      </w:r>
      <w:r w:rsidR="001E42EB" w:rsidRPr="0021507A">
        <w:rPr>
          <w:rStyle w:val="FootnoteReference"/>
          <w:rFonts w:ascii="Lotus Linotype" w:hAnsi="Lotus Linotype" w:cs="Arabic11 BT"/>
          <w:sz w:val="28"/>
          <w:rtl/>
        </w:rPr>
        <w:footnoteReference w:id="425"/>
      </w:r>
      <w:r w:rsidR="001E42EB" w:rsidRPr="0021507A">
        <w:rPr>
          <w:rFonts w:ascii="Lotus Linotype" w:hAnsi="Lotus Linotype" w:cs="Arabic11 BT"/>
          <w:sz w:val="28"/>
          <w:vertAlign w:val="superscript"/>
          <w:rtl/>
        </w:rPr>
        <w:t>)</w:t>
      </w:r>
      <w:r w:rsidRPr="003F3B94">
        <w:rPr>
          <w:rFonts w:ascii="Lotus Linotype" w:hAnsi="Lotus Linotype" w:hint="cs"/>
          <w:sz w:val="28"/>
          <w:rtl/>
        </w:rPr>
        <w:t xml:space="preserve"> ثم ذكر قول الشيخ المفيد وأقوال الآخرين القائلين بسقوط إخراجه في عهد الغيبة</w:t>
      </w:r>
      <w:r w:rsidR="00217AB4" w:rsidRPr="003F3B94">
        <w:rPr>
          <w:rFonts w:ascii="Lotus Linotype" w:hAnsi="Lotus Linotype" w:hint="cs"/>
          <w:sz w:val="28"/>
          <w:rtl/>
        </w:rPr>
        <w:t>.</w:t>
      </w:r>
    </w:p>
    <w:p w:rsidR="00542D29" w:rsidRPr="003F3B94" w:rsidRDefault="005C664D" w:rsidP="00873C4C">
      <w:pPr>
        <w:pStyle w:val="a0"/>
        <w:ind w:left="624" w:hanging="340"/>
        <w:rPr>
          <w:rFonts w:hint="cs"/>
          <w:rtl/>
        </w:rPr>
      </w:pPr>
      <w:r w:rsidRPr="003F3B94">
        <w:rPr>
          <w:rFonts w:ascii="Lotus Linotype" w:hAnsi="Lotus Linotype" w:hint="cs"/>
          <w:sz w:val="28"/>
          <w:rtl/>
        </w:rPr>
        <w:t>7</w:t>
      </w:r>
      <w:r w:rsidR="00217AB4" w:rsidRPr="003F3B94">
        <w:rPr>
          <w:rFonts w:ascii="Lotus Linotype" w:hAnsi="Lotus Linotype" w:hint="cs"/>
          <w:sz w:val="28"/>
          <w:rtl/>
        </w:rPr>
        <w:t>-</w:t>
      </w:r>
      <w:r w:rsidRPr="003F3B94">
        <w:rPr>
          <w:rFonts w:ascii="Lotus Linotype" w:hAnsi="Lotus Linotype" w:hint="cs"/>
          <w:sz w:val="28"/>
          <w:rtl/>
        </w:rPr>
        <w:t xml:space="preserve"> وقال المرحوم محمد حسين آل كاشف الغطاء </w:t>
      </w:r>
      <w:r w:rsidR="001E42EB" w:rsidRPr="003F3B94">
        <w:rPr>
          <w:rFonts w:ascii="Lotus Linotype" w:hAnsi="Lotus Linotype" w:hint="cs"/>
          <w:sz w:val="28"/>
          <w:rtl/>
        </w:rPr>
        <w:t>في</w:t>
      </w:r>
      <w:r w:rsidRPr="003F3B94">
        <w:rPr>
          <w:rFonts w:ascii="Lotus Linotype" w:hAnsi="Lotus Linotype" w:hint="cs"/>
          <w:sz w:val="28"/>
          <w:rtl/>
        </w:rPr>
        <w:t xml:space="preserve"> إجابته عن سؤال حول إعطاء سهم الإمام للمجتهد</w:t>
      </w:r>
      <w:r w:rsidR="00217AB4" w:rsidRPr="003F3B94">
        <w:rPr>
          <w:rFonts w:ascii="Lotus Linotype" w:hAnsi="Lotus Linotype" w:hint="cs"/>
          <w:sz w:val="28"/>
          <w:rtl/>
        </w:rPr>
        <w:t>:</w:t>
      </w:r>
      <w:r w:rsidRPr="003F3B94">
        <w:rPr>
          <w:rFonts w:ascii="Lotus Linotype" w:hAnsi="Lotus Linotype" w:hint="cs"/>
          <w:sz w:val="28"/>
          <w:rtl/>
        </w:rPr>
        <w:t xml:space="preserve"> </w:t>
      </w:r>
      <w:r w:rsidR="00EF2588" w:rsidRPr="003F3B94">
        <w:rPr>
          <w:rFonts w:ascii="Lotus Linotype" w:hAnsi="Lotus Linotype" w:hint="cs"/>
          <w:sz w:val="28"/>
          <w:rtl/>
        </w:rPr>
        <w:t>«</w:t>
      </w:r>
      <w:r w:rsidRPr="003F3B94">
        <w:rPr>
          <w:rFonts w:ascii="Lotus Linotype" w:hAnsi="Lotus Linotype" w:hint="cs"/>
          <w:b/>
          <w:bCs/>
          <w:sz w:val="28"/>
          <w:rtl/>
        </w:rPr>
        <w:t>أ</w:t>
      </w:r>
      <w:r w:rsidRPr="003F3B94">
        <w:rPr>
          <w:rFonts w:ascii="Lotus Linotype" w:hAnsi="Lotus Linotype"/>
          <w:b/>
          <w:bCs/>
          <w:sz w:val="28"/>
          <w:rtl/>
        </w:rPr>
        <w:t>ما ال</w:t>
      </w:r>
      <w:r w:rsidRPr="003F3B94">
        <w:rPr>
          <w:rFonts w:ascii="Lotus Linotype" w:hAnsi="Lotus Linotype" w:hint="cs"/>
          <w:b/>
          <w:bCs/>
          <w:sz w:val="28"/>
          <w:rtl/>
        </w:rPr>
        <w:t>يوم</w:t>
      </w:r>
      <w:r w:rsidRPr="003F3B94">
        <w:rPr>
          <w:rFonts w:ascii="Lotus Linotype" w:hAnsi="Lotus Linotype"/>
          <w:b/>
          <w:bCs/>
          <w:sz w:val="28"/>
          <w:rtl/>
        </w:rPr>
        <w:t xml:space="preserve"> فقد صار مال</w:t>
      </w:r>
      <w:r w:rsidRPr="003F3B94">
        <w:rPr>
          <w:rFonts w:cs="Times New Roman" w:hint="cs"/>
          <w:b/>
          <w:bCs/>
          <w:sz w:val="28"/>
          <w:rtl/>
        </w:rPr>
        <w:t>‌</w:t>
      </w:r>
      <w:r w:rsidRPr="003F3B94">
        <w:rPr>
          <w:rFonts w:ascii="Lotus Linotype" w:hAnsi="Lotus Linotype" w:hint="cs"/>
          <w:b/>
          <w:bCs/>
          <w:sz w:val="28"/>
          <w:rtl/>
        </w:rPr>
        <w:t xml:space="preserve"> الإمام</w:t>
      </w:r>
      <w:r w:rsidRPr="003F3B94">
        <w:rPr>
          <w:rFonts w:ascii="Lotus Linotype" w:hAnsi="Lotus Linotype"/>
          <w:b/>
          <w:bCs/>
          <w:sz w:val="28"/>
          <w:rtl/>
        </w:rPr>
        <w:t xml:space="preserve"> سلام</w:t>
      </w:r>
      <w:r w:rsidRPr="003F3B94">
        <w:rPr>
          <w:rFonts w:cs="Times New Roman" w:hint="cs"/>
          <w:b/>
          <w:bCs/>
          <w:sz w:val="28"/>
          <w:rtl/>
        </w:rPr>
        <w:t>‌</w:t>
      </w:r>
      <w:r w:rsidRPr="003F3B94">
        <w:rPr>
          <w:rFonts w:ascii="Lotus Linotype" w:hAnsi="Lotus Linotype" w:hint="cs"/>
          <w:b/>
          <w:bCs/>
          <w:sz w:val="28"/>
          <w:rtl/>
        </w:rPr>
        <w:t xml:space="preserve"> الله عليه</w:t>
      </w:r>
      <w:r w:rsidRPr="003F3B94">
        <w:rPr>
          <w:rFonts w:ascii="Lotus Linotype" w:hAnsi="Lotus Linotype"/>
          <w:b/>
          <w:bCs/>
          <w:sz w:val="28"/>
          <w:rtl/>
        </w:rPr>
        <w:t xml:space="preserve"> </w:t>
      </w:r>
      <w:r w:rsidR="00D326AD" w:rsidRPr="003F3B94">
        <w:rPr>
          <w:rFonts w:ascii="Lotus Linotype" w:hAnsi="Lotus Linotype"/>
          <w:b/>
          <w:bCs/>
          <w:sz w:val="28"/>
          <w:rtl/>
        </w:rPr>
        <w:t>ك</w:t>
      </w:r>
      <w:r w:rsidRPr="003F3B94">
        <w:rPr>
          <w:rFonts w:ascii="Lotus Linotype" w:hAnsi="Lotus Linotype"/>
          <w:b/>
          <w:bCs/>
          <w:sz w:val="28"/>
          <w:rtl/>
        </w:rPr>
        <w:t>مال</w:t>
      </w:r>
      <w:r w:rsidRPr="003F3B94">
        <w:rPr>
          <w:rFonts w:cs="Times New Roman" w:hint="cs"/>
          <w:b/>
          <w:bCs/>
          <w:sz w:val="28"/>
          <w:rtl/>
        </w:rPr>
        <w:t>‌</w:t>
      </w:r>
      <w:r w:rsidRPr="003F3B94">
        <w:rPr>
          <w:rFonts w:ascii="Lotus Linotype" w:hAnsi="Lotus Linotype" w:hint="cs"/>
          <w:b/>
          <w:bCs/>
          <w:sz w:val="28"/>
          <w:rtl/>
        </w:rPr>
        <w:t xml:space="preserve"> ال</w:t>
      </w:r>
      <w:r w:rsidR="00D326AD" w:rsidRPr="003F3B94">
        <w:rPr>
          <w:rFonts w:ascii="Lotus Linotype" w:hAnsi="Lotus Linotype" w:hint="cs"/>
          <w:b/>
          <w:bCs/>
          <w:sz w:val="28"/>
          <w:rtl/>
        </w:rPr>
        <w:t>ك</w:t>
      </w:r>
      <w:r w:rsidRPr="003F3B94">
        <w:rPr>
          <w:rFonts w:ascii="Lotus Linotype" w:hAnsi="Lotus Linotype" w:hint="cs"/>
          <w:b/>
          <w:bCs/>
          <w:sz w:val="28"/>
          <w:rtl/>
        </w:rPr>
        <w:t xml:space="preserve">افر </w:t>
      </w:r>
      <w:r w:rsidRPr="003F3B94">
        <w:rPr>
          <w:rFonts w:ascii="Lotus Linotype" w:hAnsi="Lotus Linotype"/>
          <w:b/>
          <w:bCs/>
          <w:sz w:val="28"/>
          <w:rtl/>
        </w:rPr>
        <w:t>الحرب</w:t>
      </w:r>
      <w:r w:rsidRPr="003F3B94">
        <w:rPr>
          <w:rFonts w:ascii="Lotus Linotype" w:hAnsi="Lotus Linotype" w:hint="cs"/>
          <w:b/>
          <w:bCs/>
          <w:sz w:val="28"/>
          <w:rtl/>
        </w:rPr>
        <w:t>ي</w:t>
      </w:r>
      <w:r w:rsidRPr="003F3B94">
        <w:rPr>
          <w:rFonts w:ascii="Lotus Linotype" w:hAnsi="Lotus Linotype"/>
          <w:b/>
          <w:bCs/>
          <w:sz w:val="28"/>
          <w:rtl/>
        </w:rPr>
        <w:t xml:space="preserve"> </w:t>
      </w:r>
      <w:r w:rsidRPr="003F3B94">
        <w:rPr>
          <w:rFonts w:ascii="Lotus Linotype" w:hAnsi="Lotus Linotype" w:hint="cs"/>
          <w:b/>
          <w:bCs/>
          <w:sz w:val="28"/>
          <w:rtl/>
        </w:rPr>
        <w:t>ينهبه</w:t>
      </w:r>
      <w:r w:rsidRPr="003F3B94">
        <w:rPr>
          <w:rFonts w:ascii="Lotus Linotype" w:hAnsi="Lotus Linotype"/>
          <w:b/>
          <w:bCs/>
          <w:sz w:val="28"/>
          <w:rtl/>
        </w:rPr>
        <w:t xml:space="preserve"> </w:t>
      </w:r>
      <w:r w:rsidR="00D326AD" w:rsidRPr="003F3B94">
        <w:rPr>
          <w:rFonts w:ascii="Lotus Linotype" w:hAnsi="Lotus Linotype"/>
          <w:b/>
          <w:bCs/>
          <w:sz w:val="28"/>
          <w:rtl/>
        </w:rPr>
        <w:t>ك</w:t>
      </w:r>
      <w:r w:rsidRPr="003F3B94">
        <w:rPr>
          <w:rFonts w:ascii="Lotus Linotype" w:hAnsi="Lotus Linotype"/>
          <w:b/>
          <w:bCs/>
          <w:sz w:val="28"/>
          <w:rtl/>
        </w:rPr>
        <w:t>ل من استول</w:t>
      </w:r>
      <w:r w:rsidRPr="003F3B94">
        <w:rPr>
          <w:rFonts w:ascii="Lotus Linotype" w:hAnsi="Lotus Linotype" w:hint="cs"/>
          <w:b/>
          <w:bCs/>
          <w:sz w:val="28"/>
          <w:rtl/>
        </w:rPr>
        <w:t>ی</w:t>
      </w:r>
      <w:r w:rsidRPr="003F3B94">
        <w:rPr>
          <w:rFonts w:ascii="Lotus Linotype" w:hAnsi="Lotus Linotype"/>
          <w:b/>
          <w:bCs/>
          <w:sz w:val="28"/>
          <w:rtl/>
        </w:rPr>
        <w:t xml:space="preserve"> عل</w:t>
      </w:r>
      <w:r w:rsidRPr="003F3B94">
        <w:rPr>
          <w:rFonts w:ascii="Lotus Linotype" w:hAnsi="Lotus Linotype" w:hint="cs"/>
          <w:b/>
          <w:bCs/>
          <w:sz w:val="28"/>
          <w:rtl/>
        </w:rPr>
        <w:t>يه</w:t>
      </w:r>
      <w:r w:rsidRPr="003F3B94">
        <w:rPr>
          <w:rFonts w:ascii="Lotus Linotype" w:hAnsi="Lotus Linotype"/>
          <w:b/>
          <w:bCs/>
          <w:sz w:val="28"/>
          <w:rtl/>
        </w:rPr>
        <w:t xml:space="preserve"> فلا</w:t>
      </w:r>
      <w:r w:rsidRPr="003F3B94">
        <w:rPr>
          <w:rFonts w:cs="Times New Roman" w:hint="cs"/>
          <w:b/>
          <w:bCs/>
          <w:sz w:val="28"/>
          <w:rtl/>
        </w:rPr>
        <w:t> </w:t>
      </w:r>
      <w:r w:rsidRPr="003F3B94">
        <w:rPr>
          <w:rFonts w:ascii="Lotus Linotype" w:hAnsi="Lotus Linotype"/>
          <w:b/>
          <w:bCs/>
          <w:sz w:val="28"/>
          <w:rtl/>
        </w:rPr>
        <w:t xml:space="preserve">حول ولا قوة </w:t>
      </w:r>
      <w:r w:rsidRPr="003F3B94">
        <w:rPr>
          <w:rFonts w:ascii="Lotus Linotype" w:hAnsi="Lotus Linotype" w:hint="cs"/>
          <w:b/>
          <w:bCs/>
          <w:sz w:val="28"/>
          <w:rtl/>
        </w:rPr>
        <w:t>إ</w:t>
      </w:r>
      <w:r w:rsidRPr="003F3B94">
        <w:rPr>
          <w:rFonts w:ascii="Lotus Linotype" w:hAnsi="Lotus Linotype"/>
          <w:b/>
          <w:bCs/>
          <w:sz w:val="28"/>
          <w:rtl/>
        </w:rPr>
        <w:t>لا بالله</w:t>
      </w:r>
      <w:r w:rsidR="00EF2588" w:rsidRPr="003F3B94">
        <w:rPr>
          <w:rFonts w:ascii="Lotus Linotype" w:hAnsi="Lotus Linotype" w:hint="cs"/>
          <w:sz w:val="28"/>
          <w:rtl/>
        </w:rPr>
        <w:t>»</w:t>
      </w:r>
      <w:r w:rsidR="001E42EB" w:rsidRPr="0021507A">
        <w:rPr>
          <w:rFonts w:ascii="Lotus Linotype" w:hAnsi="Lotus Linotype" w:cs="Arabic11 BT"/>
          <w:sz w:val="28"/>
          <w:vertAlign w:val="superscript"/>
          <w:rtl/>
        </w:rPr>
        <w:t>(</w:t>
      </w:r>
      <w:r w:rsidR="001E42EB" w:rsidRPr="0021507A">
        <w:rPr>
          <w:rStyle w:val="FootnoteReference"/>
          <w:rFonts w:ascii="Lotus Linotype" w:hAnsi="Lotus Linotype" w:cs="Arabic11 BT"/>
          <w:sz w:val="28"/>
          <w:rtl/>
        </w:rPr>
        <w:footnoteReference w:id="426"/>
      </w:r>
      <w:r w:rsidR="001E42EB" w:rsidRPr="0021507A">
        <w:rPr>
          <w:rFonts w:ascii="Lotus Linotype" w:hAnsi="Lotus Linotype" w:cs="Arabic11 BT"/>
          <w:sz w:val="28"/>
          <w:vertAlign w:val="superscript"/>
          <w:rtl/>
        </w:rPr>
        <w:t>)</w:t>
      </w:r>
      <w:r w:rsidR="00217AB4" w:rsidRPr="003F3B94">
        <w:rPr>
          <w:rFonts w:ascii="Lotus Linotype" w:hAnsi="Lotus Linotype" w:hint="cs"/>
          <w:sz w:val="28"/>
          <w:rtl/>
        </w:rPr>
        <w:t>.</w:t>
      </w:r>
      <w:bookmarkStart w:id="154" w:name="_Toc215491167"/>
      <w:bookmarkStart w:id="155" w:name="_Toc215498086"/>
    </w:p>
    <w:p w:rsidR="001E42EB" w:rsidRPr="003F3B94" w:rsidRDefault="001E42EB" w:rsidP="003F3B94">
      <w:pPr>
        <w:pStyle w:val="a0"/>
        <w:rPr>
          <w:rFonts w:hint="cs"/>
          <w:rtl/>
        </w:rPr>
      </w:pPr>
      <w:r w:rsidRPr="003F3B94">
        <w:rPr>
          <w:rFonts w:ascii="Abo-thar" w:hAnsi="Abo-thar" w:hint="cs"/>
          <w:b/>
          <w:bCs/>
          <w:sz w:val="28"/>
          <w:rtl/>
        </w:rPr>
        <w:t>في ختام موضوع دراسة الأحاديث،</w:t>
      </w:r>
      <w:r w:rsidRPr="003F3B94">
        <w:rPr>
          <w:rFonts w:ascii="Abo-thar" w:hAnsi="Abo-thar" w:hint="cs"/>
          <w:sz w:val="28"/>
          <w:rtl/>
        </w:rPr>
        <w:t xml:space="preserve"> ينبغي التذكير بأنه من بين كل الأحاديث المتعلقة بالموضوع، لا يوجد سوى ثلاثة أحاديث تعارض تحليل الخمس للشيعة</w:t>
      </w:r>
      <w:r w:rsidR="00873C4C">
        <w:rPr>
          <w:rFonts w:ascii="Abo-thar" w:hAnsi="Abo-thar" w:hint="cs"/>
          <w:sz w:val="28"/>
          <w:rtl/>
        </w:rPr>
        <w:t>:</w:t>
      </w:r>
    </w:p>
    <w:p w:rsidR="001E42EB" w:rsidRPr="003F3B94" w:rsidRDefault="001E42EB" w:rsidP="003F3B94">
      <w:pPr>
        <w:pStyle w:val="a0"/>
        <w:rPr>
          <w:rFonts w:hint="cs"/>
          <w:rtl/>
        </w:rPr>
      </w:pPr>
      <w:r w:rsidRPr="003F3B94">
        <w:rPr>
          <w:rFonts w:ascii="Abo-thar" w:hAnsi="Abo-thar" w:hint="cs"/>
          <w:sz w:val="28"/>
          <w:rtl/>
        </w:rPr>
        <w:t xml:space="preserve">نصُّ </w:t>
      </w:r>
      <w:r w:rsidRPr="00873C4C">
        <w:rPr>
          <w:rFonts w:ascii="Abo-thar" w:hAnsi="Abo-thar" w:hint="cs"/>
          <w:b/>
          <w:bCs/>
          <w:sz w:val="28"/>
          <w:rtl/>
        </w:rPr>
        <w:t>الحديث الأول</w:t>
      </w:r>
      <w:r w:rsidRPr="003F3B94">
        <w:rPr>
          <w:rFonts w:ascii="Abo-thar" w:hAnsi="Abo-thar" w:hint="cs"/>
          <w:sz w:val="28"/>
          <w:rtl/>
        </w:rPr>
        <w:t xml:space="preserve">: </w:t>
      </w:r>
    </w:p>
    <w:p w:rsidR="001E42EB" w:rsidRPr="003F3B94" w:rsidRDefault="001E42EB" w:rsidP="003F3B94">
      <w:pPr>
        <w:pStyle w:val="a0"/>
        <w:rPr>
          <w:rFonts w:hint="cs"/>
          <w:rtl/>
        </w:rPr>
      </w:pPr>
      <w:r w:rsidRPr="00394385">
        <w:rPr>
          <w:rFonts w:ascii="Abo-thar" w:hAnsi="Abo-thar" w:cs="KFGQPC Uthman Taha Naskh" w:hint="cs"/>
          <w:sz w:val="28"/>
          <w:rtl/>
        </w:rPr>
        <w:t>«</w:t>
      </w:r>
      <w:r w:rsidRPr="00394385">
        <w:rPr>
          <w:rFonts w:ascii="Abo-thar" w:hAnsi="Abo-thar" w:cs="KFGQPC Uthman Taha Naskh"/>
          <w:sz w:val="28"/>
          <w:rtl/>
        </w:rPr>
        <w:t xml:space="preserve">قُلْتُ لِأَبِي جَعْفَرٍ </w:t>
      </w:r>
      <w:r w:rsidR="003C7AEB" w:rsidRPr="003C7AEB">
        <w:rPr>
          <w:rFonts w:ascii="Abo-thar" w:hAnsi="Abo-thar" w:cs="CTraditional Arabic" w:hint="cs"/>
          <w:sz w:val="28"/>
          <w:rtl/>
        </w:rPr>
        <w:t>÷</w:t>
      </w:r>
      <w:r w:rsidRPr="00394385">
        <w:rPr>
          <w:rFonts w:ascii="Abo-thar" w:hAnsi="Abo-thar" w:cs="KFGQPC Uthman Taha Naskh" w:hint="cs"/>
          <w:sz w:val="28"/>
          <w:rtl/>
        </w:rPr>
        <w:t>:</w:t>
      </w:r>
      <w:r w:rsidRPr="00394385">
        <w:rPr>
          <w:rFonts w:ascii="Abo-thar" w:hAnsi="Abo-thar" w:cs="KFGQPC Uthman Taha Naskh"/>
          <w:sz w:val="28"/>
          <w:rtl/>
        </w:rPr>
        <w:t xml:space="preserve"> أَصْلَحَكَ </w:t>
      </w:r>
      <w:r w:rsidRPr="00394385">
        <w:rPr>
          <w:rFonts w:ascii="Abo-thar" w:hAnsi="Abo-thar" w:cs="KFGQPC Uthman Taha Naskh" w:hint="cs"/>
          <w:sz w:val="28"/>
          <w:rtl/>
        </w:rPr>
        <w:t>اللهُ!</w:t>
      </w:r>
      <w:r w:rsidRPr="00394385">
        <w:rPr>
          <w:rFonts w:ascii="Abo-thar" w:hAnsi="Abo-thar" w:cs="KFGQPC Uthman Taha Naskh"/>
          <w:sz w:val="28"/>
          <w:rtl/>
        </w:rPr>
        <w:t xml:space="preserve"> مَا أَيْسَرُ مَا يَدْخُلُ بِهِ الْعَبْدُ النَّارَ</w:t>
      </w:r>
      <w:r w:rsidRPr="00394385">
        <w:rPr>
          <w:rFonts w:ascii="Abo-thar" w:hAnsi="Abo-thar" w:cs="KFGQPC Uthman Taha Naskh" w:hint="cs"/>
          <w:sz w:val="28"/>
          <w:rtl/>
        </w:rPr>
        <w:t>؟</w:t>
      </w:r>
      <w:r w:rsidRPr="00394385">
        <w:rPr>
          <w:rFonts w:ascii="Abo-thar" w:hAnsi="Abo-thar" w:cs="KFGQPC Uthman Taha Naskh"/>
          <w:sz w:val="28"/>
          <w:rtl/>
        </w:rPr>
        <w:t xml:space="preserve"> قَالَ</w:t>
      </w:r>
      <w:r w:rsidRPr="00394385">
        <w:rPr>
          <w:rFonts w:ascii="Abo-thar" w:hAnsi="Abo-thar" w:cs="KFGQPC Uthman Taha Naskh" w:hint="cs"/>
          <w:sz w:val="28"/>
          <w:rtl/>
        </w:rPr>
        <w:t>:</w:t>
      </w:r>
      <w:r w:rsidRPr="00394385">
        <w:rPr>
          <w:rFonts w:ascii="Abo-thar" w:hAnsi="Abo-thar" w:cs="KFGQPC Uthman Taha Naskh"/>
          <w:sz w:val="28"/>
          <w:rtl/>
        </w:rPr>
        <w:t xml:space="preserve"> مَنْ أَكَلَ مِنْ مَالِ الْيَتِيمِ دِرْهَماً وَنَحْنُ الْيَتِيم‏</w:t>
      </w:r>
      <w:r w:rsidRPr="00394385">
        <w:rPr>
          <w:rFonts w:ascii="Abo-thar" w:hAnsi="Abo-thar" w:cs="KFGQPC Uthman Taha Naskh" w:hint="cs"/>
          <w:sz w:val="28"/>
          <w:rtl/>
        </w:rPr>
        <w:t>»</w:t>
      </w:r>
      <w:r w:rsidRPr="0021507A">
        <w:rPr>
          <w:rFonts w:ascii="Abo-thar" w:hAnsi="Abo-thar" w:cs="Arabic11 BT"/>
          <w:sz w:val="28"/>
          <w:vertAlign w:val="superscript"/>
          <w:rtl/>
        </w:rPr>
        <w:t>(</w:t>
      </w:r>
      <w:r w:rsidRPr="0021507A">
        <w:rPr>
          <w:rStyle w:val="FootnoteReference"/>
          <w:rFonts w:ascii="Abo-thar" w:hAnsi="Abo-thar" w:cs="Arabic11 BT"/>
          <w:sz w:val="28"/>
          <w:rtl/>
        </w:rPr>
        <w:footnoteReference w:id="427"/>
      </w:r>
      <w:r w:rsidRPr="0021507A">
        <w:rPr>
          <w:rFonts w:ascii="Abo-thar" w:hAnsi="Abo-thar" w:cs="Arabic11 BT"/>
          <w:sz w:val="28"/>
          <w:vertAlign w:val="superscript"/>
          <w:rtl/>
        </w:rPr>
        <w:t>)</w:t>
      </w:r>
      <w:r w:rsidRPr="003F3B94">
        <w:rPr>
          <w:rFonts w:ascii="Abo-thar" w:hAnsi="Abo-thar" w:hint="cs"/>
          <w:sz w:val="28"/>
          <w:rtl/>
        </w:rPr>
        <w:t>.</w:t>
      </w:r>
    </w:p>
    <w:p w:rsidR="001E42EB" w:rsidRPr="003F3B94" w:rsidRDefault="001E42EB" w:rsidP="003F3B94">
      <w:pPr>
        <w:pStyle w:val="a0"/>
        <w:rPr>
          <w:rFonts w:hint="cs"/>
          <w:rtl/>
        </w:rPr>
      </w:pPr>
      <w:r w:rsidRPr="003F3B94">
        <w:rPr>
          <w:rFonts w:ascii="Abo-thar" w:hAnsi="Abo-thar" w:hint="cs"/>
          <w:sz w:val="28"/>
          <w:rtl/>
        </w:rPr>
        <w:t xml:space="preserve">هذا الحديث ضعيف سندًا و واهٍ، لأن أحد رجاله علي بن أبي حمزة البطائني، ولا يوجد في كتب الرجال أسوأ منه سمعةً، إلى حد أن علماء الرجال اعتبروه مؤسس مذهب الواقفة، وذكروا أنه لُعِنَ على لسان الإمام الرضا </w:t>
      </w:r>
      <w:r w:rsidR="003C7AEB" w:rsidRPr="003C7AEB">
        <w:rPr>
          <w:rFonts w:ascii="Abo-thar" w:hAnsi="Abo-thar" w:cs="CTraditional Arabic" w:hint="cs"/>
          <w:sz w:val="28"/>
          <w:rtl/>
        </w:rPr>
        <w:t>÷</w:t>
      </w:r>
      <w:r w:rsidRPr="003F3B94">
        <w:rPr>
          <w:rFonts w:ascii="Abo-thar" w:hAnsi="Abo-thar" w:hint="cs"/>
          <w:sz w:val="28"/>
          <w:rtl/>
        </w:rPr>
        <w:t xml:space="preserve">. أضف إلى ذلك أن ما جاء في متنه من قول الإمام: </w:t>
      </w:r>
      <w:r w:rsidRPr="00394385">
        <w:rPr>
          <w:rFonts w:ascii="Abo-thar" w:hAnsi="Abo-thar" w:cs="KFGQPC Uthman Taha Naskh" w:hint="cs"/>
          <w:sz w:val="28"/>
          <w:rtl/>
        </w:rPr>
        <w:t>«</w:t>
      </w:r>
      <w:r w:rsidRPr="00394385">
        <w:rPr>
          <w:rFonts w:ascii="Abo-thar" w:hAnsi="Abo-thar" w:cs="KFGQPC Uthman Taha Naskh"/>
          <w:sz w:val="28"/>
          <w:rtl/>
        </w:rPr>
        <w:t>وَنَحْنُ الْيَتِيم‏</w:t>
      </w:r>
      <w:r w:rsidRPr="00394385">
        <w:rPr>
          <w:rFonts w:ascii="Abo-thar" w:hAnsi="Abo-thar" w:cs="KFGQPC Uthman Taha Naskh" w:hint="cs"/>
          <w:sz w:val="28"/>
          <w:rtl/>
        </w:rPr>
        <w:t>»</w:t>
      </w:r>
      <w:r w:rsidRPr="003F3B94">
        <w:rPr>
          <w:rFonts w:ascii="Abo-thar" w:hAnsi="Abo-thar" w:hint="cs"/>
          <w:sz w:val="28"/>
          <w:rtl/>
        </w:rPr>
        <w:t xml:space="preserve"> لا علاقة له بموضوع الخمس من قريب ولا من بعيد.</w:t>
      </w:r>
    </w:p>
    <w:p w:rsidR="00A0163F" w:rsidRPr="003F3B94" w:rsidRDefault="00582C1C" w:rsidP="003F3B94">
      <w:pPr>
        <w:pStyle w:val="a0"/>
        <w:rPr>
          <w:rFonts w:hint="cs"/>
          <w:rtl/>
        </w:rPr>
      </w:pPr>
      <w:r w:rsidRPr="00873C4C">
        <w:rPr>
          <w:rFonts w:ascii="Abo-thar" w:hAnsi="Abo-thar" w:hint="cs"/>
          <w:b/>
          <w:bCs/>
          <w:sz w:val="28"/>
          <w:rtl/>
        </w:rPr>
        <w:t>والحديثان الآخران</w:t>
      </w:r>
      <w:r w:rsidRPr="003F3B94">
        <w:rPr>
          <w:rFonts w:ascii="Abo-thar" w:hAnsi="Abo-thar" w:hint="cs"/>
          <w:sz w:val="28"/>
          <w:rtl/>
        </w:rPr>
        <w:t xml:space="preserve"> رواهما الشيخ الطوسي في تهذيب الأحكام عن الإمام الرضا </w:t>
      </w:r>
      <w:r w:rsidR="00BC4BA9" w:rsidRPr="00BC4BA9">
        <w:rPr>
          <w:rFonts w:ascii="Abo-thar" w:hAnsi="Abo-thar" w:cs="CTraditional Arabic" w:hint="cs"/>
          <w:sz w:val="28"/>
          <w:rtl/>
        </w:rPr>
        <w:t>÷</w:t>
      </w:r>
      <w:r w:rsidRPr="0021507A">
        <w:rPr>
          <w:rFonts w:ascii="Abo-thar" w:hAnsi="Abo-thar" w:cs="Arabic11 BT"/>
          <w:sz w:val="28"/>
          <w:vertAlign w:val="superscript"/>
          <w:rtl/>
        </w:rPr>
        <w:t>(</w:t>
      </w:r>
      <w:r w:rsidRPr="0021507A">
        <w:rPr>
          <w:rStyle w:val="FootnoteReference"/>
          <w:rFonts w:ascii="Abo-thar" w:hAnsi="Abo-thar" w:cs="Arabic11 BT"/>
          <w:sz w:val="28"/>
          <w:rtl/>
        </w:rPr>
        <w:footnoteReference w:id="428"/>
      </w:r>
      <w:r w:rsidRPr="0021507A">
        <w:rPr>
          <w:rFonts w:ascii="Abo-thar" w:hAnsi="Abo-thar" w:cs="Arabic11 BT"/>
          <w:sz w:val="28"/>
          <w:vertAlign w:val="superscript"/>
          <w:rtl/>
        </w:rPr>
        <w:t>)</w:t>
      </w:r>
      <w:r w:rsidRPr="003F3B94">
        <w:rPr>
          <w:rFonts w:ascii="Abo-thar" w:hAnsi="Abo-thar" w:hint="cs"/>
          <w:sz w:val="28"/>
          <w:rtl/>
        </w:rPr>
        <w:t xml:space="preserve"> ومضمونهما واحد وهو أن حضرة الإمام لم يحل الخمس لأفراد معينين. وإضافةً إلى كون مضمون هذا الحديث لا يعارض كثيرًا مضمون أحاديث التحليل، فإن الحديثين مرويان عن محمد بن يزيد الطبري الذي لا يوجد له ذكر لا في كتب رجال العامة ولا في كتب رجال الخاصَّة، فهو شخص مجهول الهوية. فالحديثان المذكوران مجهولا السند، ومجهولا المضمون أيضًا.</w:t>
      </w:r>
    </w:p>
    <w:p w:rsidR="00071132" w:rsidRPr="003F3B94" w:rsidRDefault="00071132" w:rsidP="003F3B94">
      <w:pPr>
        <w:pStyle w:val="a0"/>
        <w:rPr>
          <w:rtl/>
        </w:rPr>
        <w:sectPr w:rsidR="00071132" w:rsidRPr="003F3B94" w:rsidSect="00010AE3">
          <w:headerReference w:type="default" r:id="rId31"/>
          <w:footnotePr>
            <w:numRestart w:val="eachPage"/>
          </w:footnotePr>
          <w:type w:val="oddPage"/>
          <w:pgSz w:w="9356" w:h="13608" w:code="34"/>
          <w:pgMar w:top="964" w:right="1134" w:bottom="1134" w:left="964" w:header="0" w:footer="851" w:gutter="0"/>
          <w:cols w:space="708"/>
          <w:titlePg/>
          <w:bidi/>
          <w:rtlGutter/>
          <w:docGrid w:linePitch="360"/>
        </w:sectPr>
      </w:pPr>
    </w:p>
    <w:p w:rsidR="00BB0549" w:rsidRPr="00995B26" w:rsidRDefault="00542D29" w:rsidP="00071132">
      <w:pPr>
        <w:pStyle w:val="Heading1"/>
        <w:rPr>
          <w:rFonts w:hint="cs"/>
          <w:rtl/>
        </w:rPr>
      </w:pPr>
      <w:bookmarkStart w:id="156" w:name="_Toc387843101"/>
      <w:r w:rsidRPr="00995B26">
        <w:rPr>
          <w:rFonts w:hint="cs"/>
          <w:rtl/>
        </w:rPr>
        <w:t>الفصل السابع</w:t>
      </w:r>
      <w:r w:rsidR="00071132">
        <w:rPr>
          <w:rtl/>
        </w:rPr>
        <w:br/>
      </w:r>
      <w:r w:rsidR="00BB0549" w:rsidRPr="00995B26">
        <w:rPr>
          <w:rFonts w:hint="cs"/>
          <w:rtl/>
        </w:rPr>
        <w:t>فتاوى سقوط «الخُمْس» وإباحته في زمن الغيبة</w:t>
      </w:r>
      <w:bookmarkEnd w:id="156"/>
    </w:p>
    <w:p w:rsidR="00BB0549" w:rsidRPr="00495BAB" w:rsidRDefault="00BB0549" w:rsidP="00495BAB">
      <w:pPr>
        <w:pStyle w:val="a0"/>
        <w:rPr>
          <w:rFonts w:hint="cs"/>
          <w:rtl/>
          <w:lang w:bidi="ar-SY"/>
        </w:rPr>
      </w:pPr>
      <w:r w:rsidRPr="00495BAB">
        <w:rPr>
          <w:rFonts w:hint="cs"/>
          <w:rtl/>
          <w:lang w:bidi="ar-SY"/>
        </w:rPr>
        <w:t>إذا صرفنا النظر عن الكتاب والسنة وتجاهلنا أخبار التحليل وأغمضنا النظر عنها أيضاً وأردنا أن نكون مُقلِّدين خالصين للفقهاء، ففي هذه الحالة سنذكر آراء علماء الشيعة الكبار الذين كانوا يعتقدون بسقوط «الخُمْس» في زمن الغيبة وأفتوا بإباحته:</w:t>
      </w:r>
    </w:p>
    <w:p w:rsidR="00BB0549" w:rsidRPr="00995B26" w:rsidRDefault="00BB0549" w:rsidP="007D2B8A">
      <w:pPr>
        <w:pStyle w:val="a5"/>
        <w:rPr>
          <w:rFonts w:hint="cs"/>
          <w:rtl/>
        </w:rPr>
      </w:pPr>
      <w:bookmarkStart w:id="157" w:name="_Toc305155983"/>
      <w:bookmarkStart w:id="158" w:name="_Toc387843102"/>
      <w:r w:rsidRPr="00995B26">
        <w:rPr>
          <w:rFonts w:hint="cs"/>
          <w:rtl/>
        </w:rPr>
        <w:t>1- ابن أبي عقيل</w:t>
      </w:r>
      <w:bookmarkEnd w:id="157"/>
      <w:bookmarkEnd w:id="158"/>
    </w:p>
    <w:p w:rsidR="00BB0549" w:rsidRPr="00873C4C" w:rsidRDefault="00BB0549" w:rsidP="00495BAB">
      <w:pPr>
        <w:pStyle w:val="a0"/>
        <w:rPr>
          <w:rFonts w:hint="cs"/>
          <w:spacing w:val="-2"/>
          <w:rtl/>
          <w:lang w:bidi="ar-SY"/>
        </w:rPr>
      </w:pPr>
      <w:r w:rsidRPr="00873C4C">
        <w:rPr>
          <w:rFonts w:hint="cs"/>
          <w:b/>
          <w:bCs/>
          <w:spacing w:val="-2"/>
          <w:rtl/>
          <w:lang w:bidi="ar-SY"/>
        </w:rPr>
        <w:t>الشيخ الفقيه الجليل الحسن بن عليّ بن أبي عقيل أبو محمد العُماني الحذَّاء المُعاصر لجناب الكُلَيْنِيّ صاحب كتاب «الكافي»، وأستاذ جعفر بن محمد بن قولويه القُمّي الذي كان أستاذ الشيخ المفيد</w:t>
      </w:r>
      <w:r w:rsidRPr="00873C4C">
        <w:rPr>
          <w:rFonts w:hint="cs"/>
          <w:spacing w:val="-2"/>
          <w:rtl/>
          <w:lang w:bidi="ar-SY"/>
        </w:rPr>
        <w:t>. وكان جنابه من جملة المُتكلِّمين ومن أعاظم الفقهاء والمُجتهدين ومن المُتقدِّمين الذين كانوا يعيشون في زمن الغيبة الصغرى وأوائل الغيبة الكبرى</w:t>
      </w:r>
      <w:r w:rsidRPr="00873C4C">
        <w:rPr>
          <w:rFonts w:cs="Arabic11 BT"/>
          <w:spacing w:val="-2"/>
          <w:vertAlign w:val="superscript"/>
          <w:rtl/>
          <w:lang w:bidi="ar-SY"/>
        </w:rPr>
        <w:t>(</w:t>
      </w:r>
      <w:r w:rsidRPr="00873C4C">
        <w:rPr>
          <w:rStyle w:val="FootnoteReference"/>
          <w:rFonts w:cs="Arabic11 BT"/>
          <w:spacing w:val="-2"/>
          <w:rtl/>
          <w:lang w:bidi="ar-SY"/>
        </w:rPr>
        <w:footnoteReference w:id="429"/>
      </w:r>
      <w:r w:rsidRPr="00873C4C">
        <w:rPr>
          <w:rFonts w:cs="Arabic11 BT"/>
          <w:spacing w:val="-2"/>
          <w:vertAlign w:val="superscript"/>
          <w:rtl/>
          <w:lang w:bidi="ar-SY"/>
        </w:rPr>
        <w:t>)</w:t>
      </w:r>
      <w:r w:rsidRPr="00873C4C">
        <w:rPr>
          <w:rFonts w:hint="cs"/>
          <w:spacing w:val="-2"/>
          <w:rtl/>
          <w:lang w:bidi="ar-SY"/>
        </w:rPr>
        <w:t>. ومن جملة مؤلفاته كتاب «التمسك بحبل آل الرسول» وكتاب «الكرّ والفر». وقد مدحه عامة علماء الرجال وأثنوا عليه خاصةً الشيخ المُفيد رحمه الله، كما ذكر ذلك صاحب «كشف الرموز»</w:t>
      </w:r>
      <w:r w:rsidRPr="00873C4C">
        <w:rPr>
          <w:rFonts w:cs="Arabic11 BT"/>
          <w:spacing w:val="-2"/>
          <w:vertAlign w:val="superscript"/>
          <w:rtl/>
          <w:lang w:bidi="ar-SY"/>
        </w:rPr>
        <w:t>(</w:t>
      </w:r>
      <w:r w:rsidRPr="00873C4C">
        <w:rPr>
          <w:rStyle w:val="FootnoteReference"/>
          <w:rFonts w:cs="Arabic11 BT"/>
          <w:spacing w:val="-2"/>
          <w:rtl/>
          <w:lang w:bidi="ar-SY"/>
        </w:rPr>
        <w:footnoteReference w:id="430"/>
      </w:r>
      <w:r w:rsidRPr="00873C4C">
        <w:rPr>
          <w:rFonts w:cs="Arabic11 BT"/>
          <w:spacing w:val="-2"/>
          <w:vertAlign w:val="superscript"/>
          <w:rtl/>
          <w:lang w:bidi="ar-SY"/>
        </w:rPr>
        <w:t>)</w:t>
      </w:r>
      <w:r w:rsidRPr="00873C4C">
        <w:rPr>
          <w:rFonts w:hint="cs"/>
          <w:spacing w:val="-2"/>
          <w:rtl/>
          <w:lang w:bidi="ar-SY"/>
        </w:rPr>
        <w:t xml:space="preserve"> الذي قال في حقه: "حال هذا الشيخ الجليل في الثقة والعلم والفضل والكلام والفقه أظهر من أن يحتاج إلى بيان. وقد اهتمَّ عامة الأصحاب بنقل أقواله وضبط فتاويه اهتماماً بالغاً لاسيما المُحقِّق الأول (صاحب الشرائع) والعلامة الحلي ومن جاء بعدهم". ولم يذكر علماء الرجال تاريخ وفاته لكننا بالحدس نستطيع أن نقول: إن تاريخ وفاته مُقارِنٌ لتاريخ وفاة الكُلَيْنِيّ أو قريبٌ منه. ولمعرفة شرح أحواله وترجمته تُراجع كتب الرجال مثل «روضات الجنات» [لمحمد باقر الخوانساري] (169، الطبعة الثانية) و«قاموس الرجال» [للشيخ محمد تقي التُّسْتَرِي]</w:t>
      </w:r>
      <w:r w:rsidR="00C37860" w:rsidRPr="00873C4C">
        <w:rPr>
          <w:rFonts w:cs="Arabic11 BT"/>
          <w:spacing w:val="-2"/>
          <w:vertAlign w:val="superscript"/>
          <w:rtl/>
          <w:lang w:bidi="ar-SY"/>
        </w:rPr>
        <w:t>(</w:t>
      </w:r>
      <w:r w:rsidR="00C37860" w:rsidRPr="00873C4C">
        <w:rPr>
          <w:rStyle w:val="FootnoteReference"/>
          <w:rFonts w:cs="Arabic11 BT"/>
          <w:spacing w:val="-2"/>
          <w:rtl/>
          <w:lang w:bidi="ar-SY"/>
        </w:rPr>
        <w:footnoteReference w:id="431"/>
      </w:r>
      <w:r w:rsidR="00C37860" w:rsidRPr="00873C4C">
        <w:rPr>
          <w:rFonts w:cs="Arabic11 BT"/>
          <w:spacing w:val="-2"/>
          <w:vertAlign w:val="superscript"/>
          <w:rtl/>
          <w:lang w:bidi="ar-SY"/>
        </w:rPr>
        <w:t>)</w:t>
      </w:r>
      <w:r w:rsidRPr="00873C4C">
        <w:rPr>
          <w:rFonts w:hint="cs"/>
          <w:spacing w:val="-2"/>
          <w:rtl/>
          <w:lang w:bidi="ar-SY"/>
        </w:rPr>
        <w:t xml:space="preserve"> و«قصص العلماء» [بالفارسية لمحمد بن سليمان  التنكابني</w:t>
      </w:r>
      <w:r w:rsidRPr="00873C4C">
        <w:rPr>
          <w:spacing w:val="-2"/>
          <w:rtl/>
          <w:lang w:bidi="ar-SY"/>
        </w:rPr>
        <w:t xml:space="preserve"> (كان حيا 1296ه</w:t>
      </w:r>
      <w:r w:rsidRPr="00873C4C">
        <w:rPr>
          <w:rFonts w:hint="cs"/>
          <w:spacing w:val="-2"/>
          <w:rtl/>
          <w:lang w:bidi="ar-SY"/>
        </w:rPr>
        <w:t>ـ</w:t>
      </w:r>
      <w:r w:rsidRPr="00873C4C">
        <w:rPr>
          <w:spacing w:val="-2"/>
          <w:rtl/>
          <w:lang w:bidi="ar-SY"/>
        </w:rPr>
        <w:t>)</w:t>
      </w:r>
      <w:r w:rsidRPr="00873C4C">
        <w:rPr>
          <w:rFonts w:hint="cs"/>
          <w:spacing w:val="-2"/>
          <w:rtl/>
          <w:lang w:bidi="ar-SY"/>
        </w:rPr>
        <w:t xml:space="preserve">] (ص 430، طبع المطبعة العلمية الإسلامية). </w:t>
      </w:r>
    </w:p>
    <w:p w:rsidR="00BB0549" w:rsidRPr="00495BAB" w:rsidRDefault="00BB0549" w:rsidP="00495BAB">
      <w:pPr>
        <w:pStyle w:val="a0"/>
        <w:rPr>
          <w:rFonts w:hint="cs"/>
          <w:rtl/>
          <w:lang w:bidi="fa-IR"/>
        </w:rPr>
      </w:pPr>
      <w:r w:rsidRPr="00495BAB">
        <w:rPr>
          <w:rFonts w:hint="cs"/>
          <w:rtl/>
          <w:lang w:bidi="ar-SY"/>
        </w:rPr>
        <w:t>يقول صاحب «</w:t>
      </w:r>
      <w:r w:rsidRPr="00495BAB">
        <w:rPr>
          <w:rFonts w:hint="cs"/>
          <w:b/>
          <w:bCs/>
          <w:rtl/>
          <w:lang w:bidi="ar-SY"/>
        </w:rPr>
        <w:t>مدارك الأحكام</w:t>
      </w:r>
      <w:r w:rsidRPr="00495BAB">
        <w:rPr>
          <w:rFonts w:hint="cs"/>
          <w:rtl/>
          <w:lang w:bidi="ar-SY"/>
        </w:rPr>
        <w:t>» في موضوع «الخُمْس» في أرباح المكاسب والتجارات عن موضوع إباحة الخمس: "</w:t>
      </w:r>
      <w:r w:rsidRPr="00495BAB">
        <w:rPr>
          <w:b/>
          <w:bCs/>
          <w:rtl/>
          <w:lang w:bidi="ar-SY"/>
        </w:rPr>
        <w:t>حكاه الشهيد في البيان عن ظاهر ابن أب</w:t>
      </w:r>
      <w:r w:rsidRPr="00495BAB">
        <w:rPr>
          <w:rFonts w:hint="cs"/>
          <w:b/>
          <w:bCs/>
          <w:rtl/>
          <w:lang w:bidi="ar-SY"/>
        </w:rPr>
        <w:t>ي</w:t>
      </w:r>
      <w:r w:rsidRPr="00495BAB">
        <w:rPr>
          <w:b/>
          <w:bCs/>
          <w:rtl/>
          <w:lang w:bidi="ar-SY"/>
        </w:rPr>
        <w:t xml:space="preserve"> عقيل</w:t>
      </w:r>
      <w:r w:rsidRPr="00495BAB">
        <w:rPr>
          <w:rFonts w:hint="cs"/>
          <w:b/>
          <w:bCs/>
          <w:rtl/>
          <w:lang w:bidi="ar-SY"/>
        </w:rPr>
        <w:t xml:space="preserve"> </w:t>
      </w:r>
      <w:r w:rsidRPr="00495BAB">
        <w:rPr>
          <w:b/>
          <w:bCs/>
          <w:rtl/>
          <w:lang w:bidi="ar-SY"/>
        </w:rPr>
        <w:t>أيضاً فقال: وظاهر ابن الجنيد وابن أبى عقيل العفو عن هذا النوع وأنه لا خمس فيه</w:t>
      </w:r>
      <w:r w:rsidRPr="00495BAB">
        <w:rPr>
          <w:rFonts w:hint="cs"/>
          <w:rtl/>
          <w:lang w:bidi="ar-SY"/>
        </w:rPr>
        <w:t>".</w:t>
      </w:r>
    </w:p>
    <w:p w:rsidR="00BB0549" w:rsidRPr="00495BAB" w:rsidRDefault="00BB0549" w:rsidP="00495BAB">
      <w:pPr>
        <w:pStyle w:val="a0"/>
        <w:rPr>
          <w:rFonts w:hint="cs"/>
          <w:rtl/>
          <w:lang w:bidi="ar-SY"/>
        </w:rPr>
      </w:pPr>
      <w:r w:rsidRPr="00495BAB">
        <w:rPr>
          <w:rFonts w:hint="cs"/>
          <w:rtl/>
          <w:lang w:bidi="ar-SY"/>
        </w:rPr>
        <w:t>وقال المرحوم الميرزا محمد باقر الخراساني صاحب «</w:t>
      </w:r>
      <w:r w:rsidRPr="00495BAB">
        <w:rPr>
          <w:rFonts w:hint="cs"/>
          <w:b/>
          <w:bCs/>
          <w:rtl/>
          <w:lang w:bidi="ar-SY"/>
        </w:rPr>
        <w:t>ذخيرة المعاد</w:t>
      </w:r>
      <w:r w:rsidRPr="00495BAB">
        <w:rPr>
          <w:rFonts w:hint="cs"/>
          <w:rtl/>
          <w:lang w:bidi="ar-SY"/>
        </w:rPr>
        <w:t>» في باب «الخُمْس» في شرح قول العلامة الحلي في الإرشاد</w:t>
      </w:r>
      <w:r w:rsidRPr="00873C4C">
        <w:rPr>
          <w:rFonts w:cs="Arabic11 BT"/>
          <w:vertAlign w:val="superscript"/>
          <w:rtl/>
          <w:lang w:bidi="ar-SY"/>
        </w:rPr>
        <w:t>(</w:t>
      </w:r>
      <w:r w:rsidRPr="00873C4C">
        <w:rPr>
          <w:rStyle w:val="FootnoteReference"/>
          <w:rFonts w:cs="Arabic11 BT"/>
          <w:rtl/>
          <w:lang w:bidi="ar-SY"/>
        </w:rPr>
        <w:footnoteReference w:id="432"/>
      </w:r>
      <w:r w:rsidRPr="00873C4C">
        <w:rPr>
          <w:rFonts w:cs="Arabic11 BT"/>
          <w:vertAlign w:val="superscript"/>
          <w:rtl/>
          <w:lang w:bidi="ar-SY"/>
        </w:rPr>
        <w:t>)</w:t>
      </w:r>
      <w:r w:rsidRPr="00495BAB">
        <w:rPr>
          <w:rFonts w:hint="cs"/>
          <w:rtl/>
          <w:lang w:bidi="ar-SY"/>
        </w:rPr>
        <w:t>: "</w:t>
      </w:r>
      <w:r w:rsidRPr="00495BAB">
        <w:rPr>
          <w:rFonts w:hint="cs"/>
          <w:b/>
          <w:bCs/>
          <w:rtl/>
          <w:lang w:bidi="ar-SY"/>
        </w:rPr>
        <w:t>فيما يف</w:t>
      </w:r>
      <w:r w:rsidR="00C37860" w:rsidRPr="00495BAB">
        <w:rPr>
          <w:rFonts w:hint="cs"/>
          <w:b/>
          <w:bCs/>
          <w:rtl/>
          <w:lang w:bidi="ar-SY"/>
        </w:rPr>
        <w:t>ض</w:t>
      </w:r>
      <w:r w:rsidRPr="00495BAB">
        <w:rPr>
          <w:rFonts w:hint="cs"/>
          <w:b/>
          <w:bCs/>
          <w:rtl/>
          <w:lang w:bidi="ar-SY"/>
        </w:rPr>
        <w:t>ل عن مؤنة السنة له ولعياله من أرباح التجارات والصناعات والزراعات</w:t>
      </w:r>
      <w:r w:rsidRPr="00495BAB">
        <w:rPr>
          <w:rFonts w:hint="cs"/>
          <w:rtl/>
          <w:lang w:bidi="ar-SY"/>
        </w:rPr>
        <w:t>" فقال: "</w:t>
      </w:r>
      <w:r w:rsidRPr="00495BAB">
        <w:rPr>
          <w:rFonts w:hint="cs"/>
          <w:b/>
          <w:bCs/>
          <w:rtl/>
          <w:lang w:bidi="ar-SY"/>
        </w:rPr>
        <w:t>وظاهر ابن الجُنَيْد وابن أبي عقيل العفو عن هذا النوع وأنه لا خُمْسَ فيه</w:t>
      </w:r>
      <w:r w:rsidRPr="00495BAB">
        <w:rPr>
          <w:rFonts w:hint="cs"/>
          <w:rtl/>
          <w:lang w:bidi="ar-SY"/>
        </w:rPr>
        <w:t>".  وهي عبارة صاحب مدارك الأحكام عينها.</w:t>
      </w:r>
    </w:p>
    <w:p w:rsidR="00BB0549" w:rsidRPr="00995B26" w:rsidRDefault="00BB0549" w:rsidP="007D2B8A">
      <w:pPr>
        <w:pStyle w:val="a5"/>
        <w:rPr>
          <w:rFonts w:hint="cs"/>
          <w:rtl/>
        </w:rPr>
      </w:pPr>
      <w:bookmarkStart w:id="159" w:name="_Toc305155985"/>
      <w:bookmarkStart w:id="160" w:name="_Toc387843103"/>
      <w:r w:rsidRPr="00995B26">
        <w:rPr>
          <w:rFonts w:hint="cs"/>
          <w:rtl/>
        </w:rPr>
        <w:t>2- ابن الجُنَيْد</w:t>
      </w:r>
      <w:bookmarkEnd w:id="159"/>
      <w:bookmarkEnd w:id="160"/>
    </w:p>
    <w:p w:rsidR="00BB0549" w:rsidRPr="00995B26" w:rsidRDefault="00BB0549" w:rsidP="00495BAB">
      <w:pPr>
        <w:pStyle w:val="a0"/>
        <w:rPr>
          <w:rFonts w:hint="cs"/>
          <w:rtl/>
          <w:lang w:bidi="ar-SY"/>
        </w:rPr>
      </w:pPr>
      <w:r w:rsidRPr="00495BAB">
        <w:rPr>
          <w:rtl/>
          <w:lang w:bidi="ar-SY"/>
        </w:rPr>
        <w:t xml:space="preserve">هو </w:t>
      </w:r>
      <w:r w:rsidRPr="00495BAB">
        <w:rPr>
          <w:rFonts w:hint="cs"/>
          <w:rtl/>
          <w:lang w:bidi="ar-SY"/>
        </w:rPr>
        <w:t xml:space="preserve">العالم </w:t>
      </w:r>
      <w:r w:rsidRPr="00495BAB">
        <w:rPr>
          <w:rtl/>
          <w:lang w:bidi="ar-SY"/>
        </w:rPr>
        <w:t xml:space="preserve">الفقيه </w:t>
      </w:r>
      <w:r w:rsidRPr="00495BAB">
        <w:rPr>
          <w:rFonts w:hint="cs"/>
          <w:rtl/>
          <w:lang w:bidi="ar-SY"/>
        </w:rPr>
        <w:t>والمُجتهد النبيه</w:t>
      </w:r>
      <w:r w:rsidRPr="00495BAB">
        <w:rPr>
          <w:rtl/>
          <w:lang w:bidi="ar-SY"/>
        </w:rPr>
        <w:t xml:space="preserve"> «م</w:t>
      </w:r>
      <w:r w:rsidRPr="00495BAB">
        <w:rPr>
          <w:rFonts w:hint="cs"/>
          <w:rtl/>
          <w:lang w:bidi="ar-SY"/>
        </w:rPr>
        <w:t>ُ</w:t>
      </w:r>
      <w:r w:rsidRPr="00495BAB">
        <w:rPr>
          <w:rtl/>
          <w:lang w:bidi="ar-SY"/>
        </w:rPr>
        <w:t>ح</w:t>
      </w:r>
      <w:r w:rsidRPr="00495BAB">
        <w:rPr>
          <w:rFonts w:hint="cs"/>
          <w:rtl/>
          <w:lang w:bidi="ar-SY"/>
        </w:rPr>
        <w:t>َ</w:t>
      </w:r>
      <w:r w:rsidRPr="00495BAB">
        <w:rPr>
          <w:rtl/>
          <w:lang w:bidi="ar-SY"/>
        </w:rPr>
        <w:t>م</w:t>
      </w:r>
      <w:r w:rsidRPr="00495BAB">
        <w:rPr>
          <w:rFonts w:hint="cs"/>
          <w:rtl/>
          <w:lang w:bidi="ar-SY"/>
        </w:rPr>
        <w:t>َّ</w:t>
      </w:r>
      <w:r w:rsidRPr="00495BAB">
        <w:rPr>
          <w:rtl/>
          <w:lang w:bidi="ar-SY"/>
        </w:rPr>
        <w:t>د</w:t>
      </w:r>
      <w:r w:rsidRPr="00495BAB">
        <w:rPr>
          <w:rFonts w:hint="cs"/>
          <w:rtl/>
          <w:lang w:bidi="ar-SY"/>
        </w:rPr>
        <w:t>ُ</w:t>
      </w:r>
      <w:r w:rsidRPr="00495BAB">
        <w:rPr>
          <w:rtl/>
          <w:lang w:bidi="ar-SY"/>
        </w:rPr>
        <w:t xml:space="preserve"> ب</w:t>
      </w:r>
      <w:r w:rsidRPr="00495BAB">
        <w:rPr>
          <w:rFonts w:hint="cs"/>
          <w:rtl/>
          <w:lang w:bidi="ar-SY"/>
        </w:rPr>
        <w:t>ْ</w:t>
      </w:r>
      <w:r w:rsidRPr="00495BAB">
        <w:rPr>
          <w:rtl/>
          <w:lang w:bidi="ar-SY"/>
        </w:rPr>
        <w:t>ن</w:t>
      </w:r>
      <w:r w:rsidRPr="00495BAB">
        <w:rPr>
          <w:rFonts w:hint="cs"/>
          <w:rtl/>
          <w:lang w:bidi="ar-SY"/>
        </w:rPr>
        <w:t>ُ</w:t>
      </w:r>
      <w:r w:rsidRPr="00495BAB">
        <w:rPr>
          <w:rtl/>
          <w:lang w:bidi="ar-SY"/>
        </w:rPr>
        <w:t xml:space="preserve"> أحمد</w:t>
      </w:r>
      <w:r w:rsidRPr="00495BAB">
        <w:rPr>
          <w:rFonts w:hint="cs"/>
          <w:rtl/>
          <w:lang w:bidi="ar-SY"/>
        </w:rPr>
        <w:t>َ</w:t>
      </w:r>
      <w:r w:rsidRPr="00495BAB">
        <w:rPr>
          <w:rtl/>
          <w:lang w:bidi="ar-SY"/>
        </w:rPr>
        <w:t xml:space="preserve"> ب</w:t>
      </w:r>
      <w:r w:rsidRPr="00495BAB">
        <w:rPr>
          <w:rFonts w:hint="cs"/>
          <w:rtl/>
          <w:lang w:bidi="ar-SY"/>
        </w:rPr>
        <w:t>ْ</w:t>
      </w:r>
      <w:r w:rsidRPr="00495BAB">
        <w:rPr>
          <w:rtl/>
          <w:lang w:bidi="ar-SY"/>
        </w:rPr>
        <w:t>ن</w:t>
      </w:r>
      <w:r w:rsidRPr="00495BAB">
        <w:rPr>
          <w:rFonts w:hint="cs"/>
          <w:rtl/>
          <w:lang w:bidi="ar-SY"/>
        </w:rPr>
        <w:t>ِ</w:t>
      </w:r>
      <w:r w:rsidRPr="00495BAB">
        <w:rPr>
          <w:rtl/>
          <w:lang w:bidi="ar-SY"/>
        </w:rPr>
        <w:t xml:space="preserve"> الج</w:t>
      </w:r>
      <w:r w:rsidRPr="00495BAB">
        <w:rPr>
          <w:rFonts w:hint="cs"/>
          <w:rtl/>
          <w:lang w:bidi="ar-SY"/>
        </w:rPr>
        <w:t>ُ</w:t>
      </w:r>
      <w:r w:rsidRPr="00495BAB">
        <w:rPr>
          <w:rtl/>
          <w:lang w:bidi="ar-SY"/>
        </w:rPr>
        <w:t>ن</w:t>
      </w:r>
      <w:r w:rsidRPr="00495BAB">
        <w:rPr>
          <w:rFonts w:hint="cs"/>
          <w:rtl/>
          <w:lang w:bidi="ar-SY"/>
        </w:rPr>
        <w:t>َ</w:t>
      </w:r>
      <w:r w:rsidRPr="00495BAB">
        <w:rPr>
          <w:rtl/>
          <w:lang w:bidi="ar-SY"/>
        </w:rPr>
        <w:t>ي</w:t>
      </w:r>
      <w:r w:rsidRPr="00495BAB">
        <w:rPr>
          <w:rFonts w:hint="cs"/>
          <w:rtl/>
          <w:lang w:bidi="ar-SY"/>
        </w:rPr>
        <w:t>ْ</w:t>
      </w:r>
      <w:r w:rsidRPr="00495BAB">
        <w:rPr>
          <w:rtl/>
          <w:lang w:bidi="ar-SY"/>
        </w:rPr>
        <w:t>د</w:t>
      </w:r>
      <w:r w:rsidRPr="00495BAB">
        <w:rPr>
          <w:rFonts w:hint="cs"/>
          <w:rtl/>
          <w:lang w:bidi="ar-SY"/>
        </w:rPr>
        <w:t>،</w:t>
      </w:r>
      <w:r w:rsidRPr="00495BAB">
        <w:rPr>
          <w:rtl/>
          <w:lang w:bidi="ar-SY"/>
        </w:rPr>
        <w:t xml:space="preserve"> </w:t>
      </w:r>
      <w:r w:rsidRPr="00495BAB">
        <w:rPr>
          <w:rFonts w:hint="cs"/>
          <w:rtl/>
          <w:lang w:bidi="ar-SY"/>
        </w:rPr>
        <w:t>المُلَقَّب بالكاتب، المُشْتَهِر ب</w:t>
      </w:r>
      <w:r w:rsidRPr="00495BAB">
        <w:rPr>
          <w:rtl/>
          <w:lang w:bidi="ar-SY"/>
        </w:rPr>
        <w:t>الإسكافي</w:t>
      </w:r>
      <w:r w:rsidRPr="00495BAB">
        <w:rPr>
          <w:rFonts w:hint="cs"/>
          <w:rtl/>
          <w:lang w:bidi="ar-SY"/>
        </w:rPr>
        <w:t>ّ</w:t>
      </w:r>
      <w:r w:rsidRPr="00495BAB">
        <w:rPr>
          <w:rtl/>
          <w:lang w:bidi="ar-SY"/>
        </w:rPr>
        <w:t>»</w:t>
      </w:r>
      <w:r w:rsidRPr="00873C4C">
        <w:rPr>
          <w:rFonts w:cs="Arabic11 BT"/>
          <w:vertAlign w:val="superscript"/>
          <w:rtl/>
          <w:lang w:bidi="ar-SY"/>
        </w:rPr>
        <w:t>(</w:t>
      </w:r>
      <w:r w:rsidRPr="00873C4C">
        <w:rPr>
          <w:rStyle w:val="FootnoteReference"/>
          <w:rFonts w:cs="Arabic11 BT"/>
          <w:rtl/>
          <w:lang w:bidi="ar-SY"/>
        </w:rPr>
        <w:footnoteReference w:id="433"/>
      </w:r>
      <w:r w:rsidRPr="00873C4C">
        <w:rPr>
          <w:rFonts w:cs="Arabic11 BT"/>
          <w:vertAlign w:val="superscript"/>
          <w:rtl/>
          <w:lang w:bidi="ar-SY"/>
        </w:rPr>
        <w:t>)</w:t>
      </w:r>
      <w:r w:rsidRPr="00495BAB">
        <w:rPr>
          <w:rFonts w:hint="cs"/>
          <w:rtl/>
          <w:lang w:bidi="ar-SY"/>
        </w:rPr>
        <w:t>. كان مُعاصراً أيضاً للشيخ الكُلَيْنِيّ وكان يعيش في فترة الغيبة الصغرى وأوائل الغيبة الكبرى. وكان مُعاصراً للحسن بن علي بن أبي عقيل ونظيراً له ويُشاطره عقيدته، على نحو كان يندر معه أن تختلف فتواه عن فتوى ابن أبي عقيل في أيِّ موضوع ولهذا اشتُهر هذان الفقيهان لدى القدماء بـ«</w:t>
      </w:r>
      <w:r w:rsidRPr="00495BAB">
        <w:rPr>
          <w:rFonts w:hint="cs"/>
          <w:b/>
          <w:bCs/>
          <w:rtl/>
          <w:lang w:bidi="ar-SY"/>
        </w:rPr>
        <w:t>القديمين</w:t>
      </w:r>
      <w:r w:rsidRPr="00495BAB">
        <w:rPr>
          <w:rFonts w:hint="cs"/>
          <w:rtl/>
          <w:lang w:bidi="ar-SY"/>
        </w:rPr>
        <w:t>».</w:t>
      </w:r>
    </w:p>
    <w:p w:rsidR="00BB0549" w:rsidRPr="00995B26" w:rsidRDefault="00BB0549" w:rsidP="00495BAB">
      <w:pPr>
        <w:pStyle w:val="a0"/>
        <w:rPr>
          <w:rFonts w:hint="cs"/>
          <w:rtl/>
          <w:lang w:bidi="ar-SY"/>
        </w:rPr>
      </w:pPr>
      <w:r w:rsidRPr="00495BAB">
        <w:rPr>
          <w:rFonts w:hint="cs"/>
          <w:rtl/>
          <w:lang w:bidi="ar-SY"/>
        </w:rPr>
        <w:t xml:space="preserve">ترك مؤلفات عديدة من جملتها كتاب </w:t>
      </w:r>
      <w:r w:rsidRPr="00495BAB">
        <w:rPr>
          <w:rtl/>
          <w:lang w:bidi="ar-SY"/>
        </w:rPr>
        <w:t>«تهذيب الشيعة لأحكام الشريعة»</w:t>
      </w:r>
      <w:r w:rsidRPr="00495BAB">
        <w:rPr>
          <w:rFonts w:hint="cs"/>
          <w:rtl/>
          <w:lang w:bidi="ar-SY"/>
        </w:rPr>
        <w:t xml:space="preserve"> </w:t>
      </w:r>
      <w:r w:rsidRPr="00495BAB">
        <w:rPr>
          <w:rtl/>
          <w:lang w:bidi="ar-SY"/>
        </w:rPr>
        <w:t>قيل إنه في 20 مجلداً</w:t>
      </w:r>
      <w:r w:rsidRPr="00495BAB">
        <w:rPr>
          <w:rFonts w:hint="cs"/>
          <w:rtl/>
          <w:lang w:bidi="ar-SY"/>
        </w:rPr>
        <w:t>. وصفه</w:t>
      </w:r>
      <w:r w:rsidRPr="00495BAB">
        <w:rPr>
          <w:rtl/>
          <w:lang w:bidi="ar-SY"/>
        </w:rPr>
        <w:t xml:space="preserve"> العلامة الحل</w:t>
      </w:r>
      <w:r w:rsidRPr="00495BAB">
        <w:rPr>
          <w:rFonts w:hint="cs"/>
          <w:rtl/>
          <w:lang w:bidi="ar-SY"/>
        </w:rPr>
        <w:t>ّ</w:t>
      </w:r>
      <w:r w:rsidRPr="00495BAB">
        <w:rPr>
          <w:rtl/>
          <w:lang w:bidi="ar-SY"/>
        </w:rPr>
        <w:t xml:space="preserve">ي في </w:t>
      </w:r>
      <w:r w:rsidRPr="00495BAB">
        <w:rPr>
          <w:rFonts w:hint="cs"/>
          <w:rtl/>
          <w:lang w:bidi="ar-SY"/>
        </w:rPr>
        <w:t>كتابه «</w:t>
      </w:r>
      <w:r w:rsidRPr="00495BAB">
        <w:rPr>
          <w:rFonts w:hint="cs"/>
          <w:b/>
          <w:bCs/>
          <w:rtl/>
          <w:lang w:bidi="ar-SY"/>
        </w:rPr>
        <w:t>الخلاصة</w:t>
      </w:r>
      <w:r w:rsidRPr="00495BAB">
        <w:rPr>
          <w:rFonts w:hint="cs"/>
          <w:rtl/>
          <w:lang w:bidi="ar-SY"/>
        </w:rPr>
        <w:t>» بهذه الأوصاف والمدائح فقال</w:t>
      </w:r>
      <w:r w:rsidRPr="00495BAB">
        <w:rPr>
          <w:rtl/>
          <w:lang w:bidi="ar-SY"/>
        </w:rPr>
        <w:t xml:space="preserve">: </w:t>
      </w:r>
      <w:r w:rsidRPr="00495BAB">
        <w:rPr>
          <w:rFonts w:hint="cs"/>
          <w:rtl/>
          <w:lang w:bidi="ar-SY"/>
        </w:rPr>
        <w:t>"</w:t>
      </w:r>
      <w:r w:rsidRPr="00495BAB">
        <w:rPr>
          <w:b/>
          <w:bCs/>
          <w:rtl/>
          <w:lang w:bidi="ar-SY"/>
        </w:rPr>
        <w:t>كان شيخ الإمامية، جيد التصنيف حسنه، وجهٌ في أصحابنا</w:t>
      </w:r>
      <w:r w:rsidRPr="00495BAB">
        <w:rPr>
          <w:rFonts w:hint="cs"/>
          <w:b/>
          <w:bCs/>
          <w:rtl/>
          <w:lang w:bidi="ar-SY"/>
        </w:rPr>
        <w:t>،</w:t>
      </w:r>
      <w:r w:rsidRPr="00495BAB">
        <w:rPr>
          <w:b/>
          <w:bCs/>
          <w:rtl/>
          <w:lang w:bidi="ar-SY"/>
        </w:rPr>
        <w:t xml:space="preserve"> ثقةٌ جليلُ القدر صنَّف فأكثر</w:t>
      </w:r>
      <w:r w:rsidRPr="00495BAB">
        <w:rPr>
          <w:rFonts w:hint="cs"/>
          <w:rtl/>
          <w:lang w:bidi="ar-SY"/>
        </w:rPr>
        <w:t xml:space="preserve">...".  وقال العلامة </w:t>
      </w:r>
      <w:r w:rsidRPr="00495BAB">
        <w:rPr>
          <w:rtl/>
          <w:lang w:bidi="ar-SY"/>
        </w:rPr>
        <w:t>الطباطبائي بحر العلوم</w:t>
      </w:r>
      <w:r w:rsidRPr="00495BAB">
        <w:rPr>
          <w:rFonts w:hint="cs"/>
          <w:rtl/>
          <w:lang w:bidi="ar-SY"/>
        </w:rPr>
        <w:t xml:space="preserve"> في فوائده الرجالية، كما نقل عنه ذلك المحدِّث</w:t>
      </w:r>
      <w:r w:rsidRPr="00495BAB">
        <w:rPr>
          <w:rtl/>
          <w:lang w:bidi="ar-SY"/>
        </w:rPr>
        <w:t xml:space="preserve"> القم</w:t>
      </w:r>
      <w:r w:rsidRPr="00495BAB">
        <w:rPr>
          <w:rFonts w:hint="cs"/>
          <w:rtl/>
          <w:lang w:bidi="ar-SY"/>
        </w:rPr>
        <w:t>ِّ</w:t>
      </w:r>
      <w:r w:rsidRPr="00495BAB">
        <w:rPr>
          <w:rtl/>
          <w:lang w:bidi="ar-SY"/>
        </w:rPr>
        <w:t>ي</w:t>
      </w:r>
      <w:r w:rsidRPr="00495BAB">
        <w:rPr>
          <w:rFonts w:hint="cs"/>
          <w:rtl/>
          <w:lang w:bidi="ar-SY"/>
        </w:rPr>
        <w:t xml:space="preserve">ّ في كتابه </w:t>
      </w:r>
      <w:r w:rsidRPr="00495BAB">
        <w:rPr>
          <w:rtl/>
          <w:lang w:bidi="ar-SY"/>
        </w:rPr>
        <w:t>الكنى وال</w:t>
      </w:r>
      <w:r w:rsidRPr="00495BAB">
        <w:rPr>
          <w:rFonts w:hint="cs"/>
          <w:rtl/>
          <w:lang w:bidi="ar-SY"/>
        </w:rPr>
        <w:t>أ</w:t>
      </w:r>
      <w:r w:rsidRPr="00495BAB">
        <w:rPr>
          <w:rtl/>
          <w:lang w:bidi="ar-SY"/>
        </w:rPr>
        <w:t>لقاب</w:t>
      </w:r>
      <w:r w:rsidRPr="00495BAB">
        <w:rPr>
          <w:rFonts w:hint="cs"/>
          <w:rtl/>
          <w:lang w:bidi="ar-SY"/>
        </w:rPr>
        <w:t>: "</w:t>
      </w:r>
      <w:r w:rsidRPr="00495BAB">
        <w:rPr>
          <w:b/>
          <w:bCs/>
          <w:rtl/>
          <w:lang w:bidi="ar-SY"/>
        </w:rPr>
        <w:t xml:space="preserve">كان من </w:t>
      </w:r>
      <w:r w:rsidRPr="00495BAB">
        <w:rPr>
          <w:rFonts w:hint="cs"/>
          <w:b/>
          <w:bCs/>
          <w:rtl/>
          <w:lang w:bidi="ar-SY"/>
        </w:rPr>
        <w:t>أ</w:t>
      </w:r>
      <w:r w:rsidRPr="00495BAB">
        <w:rPr>
          <w:b/>
          <w:bCs/>
          <w:rtl/>
          <w:lang w:bidi="ar-SY"/>
        </w:rPr>
        <w:t>عيان الطائفة وأعاظم الفرقة و</w:t>
      </w:r>
      <w:r w:rsidRPr="00495BAB">
        <w:rPr>
          <w:rFonts w:hint="cs"/>
          <w:b/>
          <w:bCs/>
          <w:rtl/>
          <w:lang w:bidi="ar-SY"/>
        </w:rPr>
        <w:t>أ</w:t>
      </w:r>
      <w:r w:rsidRPr="00495BAB">
        <w:rPr>
          <w:b/>
          <w:bCs/>
          <w:rtl/>
          <w:lang w:bidi="ar-SY"/>
        </w:rPr>
        <w:t>فاضل قدماء ا</w:t>
      </w:r>
      <w:r w:rsidRPr="00495BAB">
        <w:rPr>
          <w:rFonts w:hint="cs"/>
          <w:b/>
          <w:bCs/>
          <w:rtl/>
          <w:lang w:bidi="ar-SY"/>
        </w:rPr>
        <w:t>لإ</w:t>
      </w:r>
      <w:r w:rsidRPr="00495BAB">
        <w:rPr>
          <w:b/>
          <w:bCs/>
          <w:rtl/>
          <w:lang w:bidi="ar-SY"/>
        </w:rPr>
        <w:t>مامية</w:t>
      </w:r>
      <w:r w:rsidRPr="00495BAB">
        <w:rPr>
          <w:rFonts w:hint="cs"/>
          <w:b/>
          <w:bCs/>
          <w:rtl/>
          <w:lang w:bidi="ar-SY"/>
        </w:rPr>
        <w:t>،</w:t>
      </w:r>
      <w:r w:rsidRPr="00495BAB">
        <w:rPr>
          <w:b/>
          <w:bCs/>
          <w:rtl/>
          <w:lang w:bidi="ar-SY"/>
        </w:rPr>
        <w:t xml:space="preserve"> وأكثرهم علما</w:t>
      </w:r>
      <w:r w:rsidRPr="00495BAB">
        <w:rPr>
          <w:rFonts w:hint="cs"/>
          <w:b/>
          <w:bCs/>
          <w:rtl/>
          <w:lang w:bidi="ar-SY"/>
        </w:rPr>
        <w:t>ً</w:t>
      </w:r>
      <w:r w:rsidRPr="00495BAB">
        <w:rPr>
          <w:b/>
          <w:bCs/>
          <w:rtl/>
          <w:lang w:bidi="ar-SY"/>
        </w:rPr>
        <w:t xml:space="preserve"> وفقها</w:t>
      </w:r>
      <w:r w:rsidRPr="00495BAB">
        <w:rPr>
          <w:rFonts w:hint="cs"/>
          <w:b/>
          <w:bCs/>
          <w:rtl/>
          <w:lang w:bidi="ar-SY"/>
        </w:rPr>
        <w:t>ً</w:t>
      </w:r>
      <w:r w:rsidRPr="00495BAB">
        <w:rPr>
          <w:b/>
          <w:bCs/>
          <w:rtl/>
          <w:lang w:bidi="ar-SY"/>
        </w:rPr>
        <w:t xml:space="preserve"> وأدبا</w:t>
      </w:r>
      <w:r w:rsidRPr="00495BAB">
        <w:rPr>
          <w:rFonts w:hint="cs"/>
          <w:b/>
          <w:bCs/>
          <w:rtl/>
          <w:lang w:bidi="ar-SY"/>
        </w:rPr>
        <w:t>ً</w:t>
      </w:r>
      <w:r w:rsidRPr="00495BAB">
        <w:rPr>
          <w:b/>
          <w:bCs/>
          <w:rtl/>
          <w:lang w:bidi="ar-SY"/>
        </w:rPr>
        <w:t xml:space="preserve"> وتصنيفا</w:t>
      </w:r>
      <w:r w:rsidRPr="00495BAB">
        <w:rPr>
          <w:rFonts w:hint="cs"/>
          <w:b/>
          <w:bCs/>
          <w:rtl/>
          <w:lang w:bidi="ar-SY"/>
        </w:rPr>
        <w:t>ً</w:t>
      </w:r>
      <w:r w:rsidRPr="00495BAB">
        <w:rPr>
          <w:b/>
          <w:bCs/>
          <w:rtl/>
          <w:lang w:bidi="ar-SY"/>
        </w:rPr>
        <w:t>، وأحسنهم تحريرا</w:t>
      </w:r>
      <w:r w:rsidRPr="00495BAB">
        <w:rPr>
          <w:rFonts w:hint="cs"/>
          <w:b/>
          <w:bCs/>
          <w:rtl/>
          <w:lang w:bidi="ar-SY"/>
        </w:rPr>
        <w:t>ً</w:t>
      </w:r>
      <w:r w:rsidRPr="00495BAB">
        <w:rPr>
          <w:b/>
          <w:bCs/>
          <w:rtl/>
          <w:lang w:bidi="ar-SY"/>
        </w:rPr>
        <w:t xml:space="preserve"> وأدق</w:t>
      </w:r>
      <w:r w:rsidRPr="00495BAB">
        <w:rPr>
          <w:rFonts w:hint="cs"/>
          <w:b/>
          <w:bCs/>
          <w:rtl/>
          <w:lang w:bidi="ar-SY"/>
        </w:rPr>
        <w:t>ِّ</w:t>
      </w:r>
      <w:r w:rsidRPr="00495BAB">
        <w:rPr>
          <w:b/>
          <w:bCs/>
          <w:rtl/>
          <w:lang w:bidi="ar-SY"/>
        </w:rPr>
        <w:t>هم نظرا</w:t>
      </w:r>
      <w:r w:rsidRPr="00495BAB">
        <w:rPr>
          <w:rFonts w:hint="cs"/>
          <w:b/>
          <w:bCs/>
          <w:rtl/>
          <w:lang w:bidi="ar-SY"/>
        </w:rPr>
        <w:t>ً</w:t>
      </w:r>
      <w:r w:rsidRPr="00495BAB">
        <w:rPr>
          <w:b/>
          <w:bCs/>
          <w:rtl/>
          <w:lang w:bidi="ar-SY"/>
        </w:rPr>
        <w:t>، متكل</w:t>
      </w:r>
      <w:r w:rsidRPr="00495BAB">
        <w:rPr>
          <w:rFonts w:hint="cs"/>
          <w:b/>
          <w:bCs/>
          <w:rtl/>
          <w:lang w:bidi="ar-SY"/>
        </w:rPr>
        <w:t>ِّ</w:t>
      </w:r>
      <w:r w:rsidRPr="00495BAB">
        <w:rPr>
          <w:b/>
          <w:bCs/>
          <w:rtl/>
          <w:lang w:bidi="ar-SY"/>
        </w:rPr>
        <w:t>م</w:t>
      </w:r>
      <w:r w:rsidRPr="00495BAB">
        <w:rPr>
          <w:rFonts w:hint="cs"/>
          <w:b/>
          <w:bCs/>
          <w:rtl/>
          <w:lang w:bidi="ar-SY"/>
        </w:rPr>
        <w:t>ٌ</w:t>
      </w:r>
      <w:r w:rsidRPr="00495BAB">
        <w:rPr>
          <w:b/>
          <w:bCs/>
          <w:rtl/>
          <w:lang w:bidi="ar-SY"/>
        </w:rPr>
        <w:t xml:space="preserve"> فقيه</w:t>
      </w:r>
      <w:r w:rsidRPr="00495BAB">
        <w:rPr>
          <w:rFonts w:hint="cs"/>
          <w:b/>
          <w:bCs/>
          <w:rtl/>
          <w:lang w:bidi="ar-SY"/>
        </w:rPr>
        <w:t>ٌ</w:t>
      </w:r>
      <w:r w:rsidRPr="00495BAB">
        <w:rPr>
          <w:b/>
          <w:bCs/>
          <w:rtl/>
          <w:lang w:bidi="ar-SY"/>
        </w:rPr>
        <w:t xml:space="preserve"> محد</w:t>
      </w:r>
      <w:r w:rsidRPr="00495BAB">
        <w:rPr>
          <w:rFonts w:hint="cs"/>
          <w:b/>
          <w:bCs/>
          <w:rtl/>
          <w:lang w:bidi="ar-SY"/>
        </w:rPr>
        <w:t>ِّ</w:t>
      </w:r>
      <w:r w:rsidRPr="00495BAB">
        <w:rPr>
          <w:b/>
          <w:bCs/>
          <w:rtl/>
          <w:lang w:bidi="ar-SY"/>
        </w:rPr>
        <w:t>ث</w:t>
      </w:r>
      <w:r w:rsidRPr="00495BAB">
        <w:rPr>
          <w:rFonts w:hint="cs"/>
          <w:b/>
          <w:bCs/>
          <w:rtl/>
          <w:lang w:bidi="ar-SY"/>
        </w:rPr>
        <w:t>ٌ</w:t>
      </w:r>
      <w:r w:rsidRPr="00495BAB">
        <w:rPr>
          <w:b/>
          <w:bCs/>
          <w:rtl/>
          <w:lang w:bidi="ar-SY"/>
        </w:rPr>
        <w:t xml:space="preserve"> </w:t>
      </w:r>
      <w:r w:rsidRPr="00495BAB">
        <w:rPr>
          <w:rFonts w:hint="cs"/>
          <w:b/>
          <w:bCs/>
          <w:rtl/>
          <w:lang w:bidi="ar-SY"/>
        </w:rPr>
        <w:t>أ</w:t>
      </w:r>
      <w:r w:rsidRPr="00495BAB">
        <w:rPr>
          <w:b/>
          <w:bCs/>
          <w:rtl/>
          <w:lang w:bidi="ar-SY"/>
        </w:rPr>
        <w:t>ديب</w:t>
      </w:r>
      <w:r w:rsidRPr="00495BAB">
        <w:rPr>
          <w:rFonts w:hint="cs"/>
          <w:b/>
          <w:bCs/>
          <w:rtl/>
          <w:lang w:bidi="ar-SY"/>
        </w:rPr>
        <w:t>ٌ</w:t>
      </w:r>
      <w:r w:rsidRPr="00495BAB">
        <w:rPr>
          <w:b/>
          <w:bCs/>
          <w:rtl/>
          <w:lang w:bidi="ar-SY"/>
        </w:rPr>
        <w:t xml:space="preserve"> واسع</w:t>
      </w:r>
      <w:r w:rsidRPr="00495BAB">
        <w:rPr>
          <w:rFonts w:hint="cs"/>
          <w:b/>
          <w:bCs/>
          <w:rtl/>
          <w:lang w:bidi="ar-SY"/>
        </w:rPr>
        <w:t>ُ</w:t>
      </w:r>
      <w:r w:rsidRPr="00495BAB">
        <w:rPr>
          <w:b/>
          <w:bCs/>
          <w:rtl/>
          <w:lang w:bidi="ar-SY"/>
        </w:rPr>
        <w:t xml:space="preserve"> العلم، صن</w:t>
      </w:r>
      <w:r w:rsidRPr="00495BAB">
        <w:rPr>
          <w:rFonts w:hint="cs"/>
          <w:b/>
          <w:bCs/>
          <w:rtl/>
          <w:lang w:bidi="ar-SY"/>
        </w:rPr>
        <w:t>َّ</w:t>
      </w:r>
      <w:r w:rsidRPr="00495BAB">
        <w:rPr>
          <w:b/>
          <w:bCs/>
          <w:rtl/>
          <w:lang w:bidi="ar-SY"/>
        </w:rPr>
        <w:t>ف في الفقه والكلام وال</w:t>
      </w:r>
      <w:r w:rsidRPr="00495BAB">
        <w:rPr>
          <w:rFonts w:hint="cs"/>
          <w:b/>
          <w:bCs/>
          <w:rtl/>
          <w:lang w:bidi="ar-SY"/>
        </w:rPr>
        <w:t>أ</w:t>
      </w:r>
      <w:r w:rsidRPr="00495BAB">
        <w:rPr>
          <w:b/>
          <w:bCs/>
          <w:rtl/>
          <w:lang w:bidi="ar-SY"/>
        </w:rPr>
        <w:t>صول وال</w:t>
      </w:r>
      <w:r w:rsidRPr="00495BAB">
        <w:rPr>
          <w:rFonts w:hint="cs"/>
          <w:b/>
          <w:bCs/>
          <w:rtl/>
          <w:lang w:bidi="ar-SY"/>
        </w:rPr>
        <w:t>أ</w:t>
      </w:r>
      <w:r w:rsidRPr="00495BAB">
        <w:rPr>
          <w:b/>
          <w:bCs/>
          <w:rtl/>
          <w:lang w:bidi="ar-SY"/>
        </w:rPr>
        <w:t>دب</w:t>
      </w:r>
      <w:r w:rsidRPr="00495BAB">
        <w:rPr>
          <w:rFonts w:hint="cs"/>
          <w:rtl/>
          <w:lang w:bidi="ar-SY"/>
        </w:rPr>
        <w:t>..."</w:t>
      </w:r>
      <w:r w:rsidR="00C37860" w:rsidRPr="00873C4C">
        <w:rPr>
          <w:rFonts w:cs="Arabic11 BT"/>
          <w:vertAlign w:val="superscript"/>
          <w:rtl/>
          <w:lang w:bidi="ar-SY"/>
        </w:rPr>
        <w:t>(</w:t>
      </w:r>
      <w:r w:rsidR="00C37860" w:rsidRPr="00873C4C">
        <w:rPr>
          <w:rStyle w:val="FootnoteReference"/>
          <w:rFonts w:cs="Arabic11 BT"/>
          <w:rtl/>
          <w:lang w:bidi="ar-SY"/>
        </w:rPr>
        <w:footnoteReference w:id="434"/>
      </w:r>
      <w:r w:rsidR="00C37860" w:rsidRPr="00873C4C">
        <w:rPr>
          <w:rFonts w:cs="Arabic11 BT"/>
          <w:vertAlign w:val="superscript"/>
          <w:rtl/>
          <w:lang w:bidi="ar-SY"/>
        </w:rPr>
        <w:t>)</w:t>
      </w:r>
      <w:r w:rsidRPr="00495BAB">
        <w:rPr>
          <w:rFonts w:hint="cs"/>
          <w:rtl/>
          <w:lang w:bidi="ar-SY"/>
        </w:rPr>
        <w:t>.</w:t>
      </w:r>
    </w:p>
    <w:p w:rsidR="00BB0549" w:rsidRPr="00495BAB" w:rsidRDefault="00BB0549" w:rsidP="00495BAB">
      <w:pPr>
        <w:pStyle w:val="a0"/>
        <w:rPr>
          <w:rFonts w:hint="cs"/>
          <w:rtl/>
          <w:lang w:bidi="ar-SY"/>
        </w:rPr>
      </w:pPr>
      <w:r w:rsidRPr="00495BAB">
        <w:rPr>
          <w:rFonts w:hint="cs"/>
          <w:rtl/>
          <w:lang w:bidi="ar-SY"/>
        </w:rPr>
        <w:t>وقال الشيخ النجاشي عنه في رجاله: "</w:t>
      </w:r>
      <w:r w:rsidRPr="00495BAB">
        <w:rPr>
          <w:rFonts w:hint="cs"/>
          <w:b/>
          <w:bCs/>
          <w:rtl/>
          <w:lang w:bidi="ar-SY"/>
        </w:rPr>
        <w:t>وَجْهٌ في أصحابنا ثقةٌ جليل القدر</w:t>
      </w:r>
      <w:r w:rsidRPr="00495BAB">
        <w:rPr>
          <w:rFonts w:hint="cs"/>
          <w:rtl/>
          <w:lang w:bidi="ar-SY"/>
        </w:rPr>
        <w:t>".</w:t>
      </w:r>
    </w:p>
    <w:p w:rsidR="00BB0549" w:rsidRPr="00495BAB" w:rsidRDefault="00BB0549" w:rsidP="00495BAB">
      <w:pPr>
        <w:pStyle w:val="a0"/>
        <w:rPr>
          <w:rFonts w:hint="cs"/>
          <w:rtl/>
          <w:lang w:bidi="ar-SY"/>
        </w:rPr>
      </w:pPr>
      <w:r w:rsidRPr="00495BAB">
        <w:rPr>
          <w:rFonts w:hint="cs"/>
          <w:rtl/>
          <w:lang w:bidi="ar-SY"/>
        </w:rPr>
        <w:t>عاش في زمن الغيبة الصغرى وكان لدية أشياء من أموال الإمام حتى أنه كان لديه سيفه إلى درجة أنهم عدُّوه من نُوَّاب الإمام الخاصين! عاش في زمن مُعزّ الدولة الديلمي وزير الطائع لِـلَّهِ العباسي الذي مثَّل فترة ازدهار مذهب الشيعة وعُلوِّ شأنه وحاز اهتمام ذلك الوزير والأمير العالِم واحترامه. تُوفي هذا العالِم الجليل في سنة 381 أو 387 هـ</w:t>
      </w:r>
      <w:r w:rsidR="00AB28A0" w:rsidRPr="00495BAB">
        <w:rPr>
          <w:rFonts w:hint="cs"/>
          <w:rtl/>
          <w:lang w:bidi="ar-SY"/>
        </w:rPr>
        <w:t>.</w:t>
      </w:r>
      <w:r w:rsidRPr="00495BAB">
        <w:rPr>
          <w:rFonts w:hint="cs"/>
          <w:rtl/>
          <w:lang w:bidi="ar-SY"/>
        </w:rPr>
        <w:t xml:space="preserve"> وللتعرّف على أحواله بالتفصيل يُراجع كتاب «روضات الجنات» (ص 534) و«تنقيح المقال» [للممقاني] (ج 2، ص 67)، و«قصص العلماء» (ص 430)، و«قاموس الرجال» (ج 8، ص 15).</w:t>
      </w:r>
    </w:p>
    <w:p w:rsidR="00BB0549" w:rsidRPr="00495BAB" w:rsidRDefault="00BB0549" w:rsidP="00495BAB">
      <w:pPr>
        <w:pStyle w:val="a0"/>
        <w:rPr>
          <w:rFonts w:hint="cs"/>
          <w:rtl/>
          <w:lang w:bidi="ar-SY"/>
        </w:rPr>
      </w:pPr>
      <w:r w:rsidRPr="00495BAB">
        <w:rPr>
          <w:rFonts w:hint="cs"/>
          <w:rtl/>
          <w:lang w:bidi="ar-SY"/>
        </w:rPr>
        <w:t>كان ابنُ الجُنيد من القائلين بعدم وجوب «الخُمْس» في أرباح المكاسب في زمن الغيبة الكبرى، كما ذكر ذلك العلامة الحلي رحمه الله في كتابه «</w:t>
      </w:r>
      <w:r w:rsidRPr="00495BAB">
        <w:rPr>
          <w:rFonts w:hint="cs"/>
          <w:b/>
          <w:bCs/>
          <w:rtl/>
          <w:lang w:bidi="ar-SY"/>
        </w:rPr>
        <w:t>مختلف الشيعة</w:t>
      </w:r>
      <w:r w:rsidRPr="00495BAB">
        <w:rPr>
          <w:rFonts w:hint="cs"/>
          <w:rtl/>
          <w:lang w:bidi="ar-SY"/>
        </w:rPr>
        <w:t>» إذ قال: "</w:t>
      </w:r>
      <w:r w:rsidRPr="00495BAB">
        <w:rPr>
          <w:rFonts w:hint="cs"/>
          <w:b/>
          <w:bCs/>
          <w:rtl/>
          <w:lang w:bidi="ar-SY"/>
        </w:rPr>
        <w:t>احتجَّ ابنُ الجُنيد بأصالة براءة الذمَّة</w:t>
      </w:r>
      <w:r w:rsidRPr="00495BAB">
        <w:rPr>
          <w:rFonts w:hint="cs"/>
          <w:rtl/>
          <w:lang w:bidi="ar-SY"/>
        </w:rPr>
        <w:t>"</w:t>
      </w:r>
      <w:r w:rsidR="00C37860" w:rsidRPr="00873C4C">
        <w:rPr>
          <w:rFonts w:cs="Arabic11 BT"/>
          <w:vertAlign w:val="superscript"/>
          <w:rtl/>
          <w:lang w:bidi="ar-SY"/>
        </w:rPr>
        <w:t>(</w:t>
      </w:r>
      <w:r w:rsidR="00C37860" w:rsidRPr="00873C4C">
        <w:rPr>
          <w:rStyle w:val="FootnoteReference"/>
          <w:rFonts w:cs="Arabic11 BT"/>
          <w:rtl/>
          <w:lang w:bidi="ar-SY"/>
        </w:rPr>
        <w:footnoteReference w:id="435"/>
      </w:r>
      <w:r w:rsidR="00C37860" w:rsidRPr="00873C4C">
        <w:rPr>
          <w:rFonts w:cs="Arabic11 BT"/>
          <w:vertAlign w:val="superscript"/>
          <w:rtl/>
          <w:lang w:bidi="ar-SY"/>
        </w:rPr>
        <w:t>)</w:t>
      </w:r>
      <w:r w:rsidRPr="00495BAB">
        <w:rPr>
          <w:rFonts w:hint="cs"/>
          <w:rtl/>
          <w:lang w:bidi="ar-SY"/>
        </w:rPr>
        <w:t>.</w:t>
      </w:r>
    </w:p>
    <w:p w:rsidR="00BB0549" w:rsidRPr="00495BAB" w:rsidRDefault="00BB0549" w:rsidP="00495BAB">
      <w:pPr>
        <w:pStyle w:val="a0"/>
        <w:rPr>
          <w:rFonts w:hint="cs"/>
          <w:rtl/>
          <w:lang w:bidi="ar-SY"/>
        </w:rPr>
      </w:pPr>
      <w:r w:rsidRPr="00495BAB">
        <w:rPr>
          <w:rFonts w:hint="cs"/>
          <w:rtl/>
          <w:lang w:bidi="ar-SY"/>
        </w:rPr>
        <w:t>وقال المرحوم المُحقِّق السبزواري في كتابه «</w:t>
      </w:r>
      <w:r w:rsidRPr="00495BAB">
        <w:rPr>
          <w:rFonts w:hint="cs"/>
          <w:b/>
          <w:bCs/>
          <w:rtl/>
          <w:lang w:bidi="ar-SY"/>
        </w:rPr>
        <w:t>ذخيرة المعاد</w:t>
      </w:r>
      <w:r w:rsidRPr="00495BAB">
        <w:rPr>
          <w:rFonts w:hint="cs"/>
          <w:rtl/>
          <w:lang w:bidi="ar-SY"/>
        </w:rPr>
        <w:t>» وصاحب «</w:t>
      </w:r>
      <w:r w:rsidRPr="00495BAB">
        <w:rPr>
          <w:rFonts w:hint="cs"/>
          <w:b/>
          <w:bCs/>
          <w:rtl/>
          <w:lang w:bidi="ar-SY"/>
        </w:rPr>
        <w:t>مدارك الأحكام</w:t>
      </w:r>
      <w:r w:rsidRPr="00495BAB">
        <w:rPr>
          <w:rFonts w:hint="cs"/>
          <w:rtl/>
          <w:lang w:bidi="ar-SY"/>
        </w:rPr>
        <w:t>» في كتابه هذا: "</w:t>
      </w:r>
      <w:r w:rsidRPr="00495BAB">
        <w:rPr>
          <w:rFonts w:hint="cs"/>
          <w:b/>
          <w:bCs/>
          <w:rtl/>
          <w:lang w:bidi="ar-SY"/>
        </w:rPr>
        <w:t>ظاهر كلامه العفو عن هذا النوع وأنه لا خُمْس فيه</w:t>
      </w:r>
      <w:r w:rsidRPr="00495BAB">
        <w:rPr>
          <w:rFonts w:hint="cs"/>
          <w:rtl/>
          <w:lang w:bidi="ar-SY"/>
        </w:rPr>
        <w:t>".</w:t>
      </w:r>
    </w:p>
    <w:p w:rsidR="00BB0549" w:rsidRPr="00995B26" w:rsidRDefault="00BB0549" w:rsidP="007D2B8A">
      <w:pPr>
        <w:pStyle w:val="a5"/>
        <w:rPr>
          <w:rFonts w:hint="cs"/>
          <w:rtl/>
        </w:rPr>
      </w:pPr>
      <w:bookmarkStart w:id="161" w:name="_Toc305155987"/>
      <w:bookmarkStart w:id="162" w:name="_Toc387843104"/>
      <w:r w:rsidRPr="00995B26">
        <w:rPr>
          <w:rFonts w:hint="cs"/>
          <w:rtl/>
        </w:rPr>
        <w:t>3- الإسكافي</w:t>
      </w:r>
      <w:bookmarkEnd w:id="161"/>
      <w:bookmarkEnd w:id="162"/>
    </w:p>
    <w:p w:rsidR="00BB0549" w:rsidRPr="00495BAB" w:rsidRDefault="00BB0549" w:rsidP="00495BAB">
      <w:pPr>
        <w:pStyle w:val="a0"/>
        <w:rPr>
          <w:rFonts w:hint="cs"/>
          <w:rtl/>
          <w:lang w:bidi="ar-SY"/>
        </w:rPr>
      </w:pPr>
      <w:r w:rsidRPr="00495BAB">
        <w:rPr>
          <w:rFonts w:hint="cs"/>
          <w:rtl/>
        </w:rPr>
        <w:t>الشيخ الجليل أبو علي محمد بن أبي بكر بن همَّام بن سهيل الكاتب الإسكافي. قال عنه النجاشيُّ في رجاله (ص 294): "</w:t>
      </w:r>
      <w:r w:rsidRPr="00495BAB">
        <w:rPr>
          <w:rFonts w:hint="cs"/>
          <w:b/>
          <w:bCs/>
          <w:rtl/>
        </w:rPr>
        <w:t>محمد بن أبي بكر بن همَّام بن سهيل الكاتب الإسكافي شيخ أصحابنا ومُقدِّمهم له منزلة عظيمة، كثير الحديث</w:t>
      </w:r>
      <w:r w:rsidRPr="00495BAB">
        <w:rPr>
          <w:rFonts w:hint="cs"/>
          <w:rtl/>
        </w:rPr>
        <w:t>".</w:t>
      </w:r>
    </w:p>
    <w:p w:rsidR="00BB0549" w:rsidRPr="00495BAB" w:rsidRDefault="00BB0549" w:rsidP="00495BAB">
      <w:pPr>
        <w:pStyle w:val="a0"/>
        <w:rPr>
          <w:rFonts w:hint="cs"/>
          <w:rtl/>
          <w:lang w:bidi="ar-SY"/>
        </w:rPr>
      </w:pPr>
      <w:r w:rsidRPr="00495BAB">
        <w:rPr>
          <w:rFonts w:hint="cs"/>
          <w:rtl/>
          <w:lang w:bidi="ar-SY"/>
        </w:rPr>
        <w:t>وُلد كالشيخ الصدوق بدعاء الإمام؛ لأن أباه كتب رسالةً إلى حضرة الإمام الحسن العسكري وطلب منه فيها أن يدعو له أن يرزقه ابناً نجيباً فدعا له حضرته بذلك. كتب الإسكافيُّ كتاباً باسم «</w:t>
      </w:r>
      <w:r w:rsidRPr="00495BAB">
        <w:rPr>
          <w:rFonts w:hint="cs"/>
          <w:b/>
          <w:bCs/>
          <w:rtl/>
          <w:lang w:bidi="ar-SY"/>
        </w:rPr>
        <w:t>الأنوار</w:t>
      </w:r>
      <w:r w:rsidRPr="00495BAB">
        <w:rPr>
          <w:rFonts w:hint="cs"/>
          <w:rtl/>
          <w:lang w:bidi="ar-SY"/>
        </w:rPr>
        <w:t>» حول تواريخ الأئمة الأطهار -سلام الله عليهم-. تُوفي هذا العالِم الجليل سنة 336 أو 332 هـ</w:t>
      </w:r>
      <w:r w:rsidR="00AB28A0" w:rsidRPr="00495BAB">
        <w:rPr>
          <w:rFonts w:hint="cs"/>
          <w:rtl/>
          <w:lang w:bidi="ar-SY"/>
        </w:rPr>
        <w:t>.</w:t>
      </w:r>
      <w:r w:rsidRPr="00495BAB">
        <w:rPr>
          <w:rFonts w:hint="cs"/>
          <w:rtl/>
          <w:lang w:bidi="ar-SY"/>
        </w:rPr>
        <w:t xml:space="preserve"> يُعتبر من علماء الشيعة الكبار في زمن الغيبة الصغرى. كانت ولادته سنة 258 هجرية قمرية. وللاطِّلاع على شرح حاله وجلالة قدره يُراجع كتاب «روضات الجنات» (ص 535)، و «تنقيح المقال» (ج 2، ص 58 القسم الثالث من المُجلّد الثاني) و «قاموس الرجال» (ج 8، ص 427).</w:t>
      </w:r>
    </w:p>
    <w:p w:rsidR="00BB0549" w:rsidRPr="00495BAB" w:rsidRDefault="00BB0549" w:rsidP="00495BAB">
      <w:pPr>
        <w:pStyle w:val="a0"/>
        <w:rPr>
          <w:rFonts w:hint="cs"/>
          <w:rtl/>
          <w:lang w:bidi="ar-SY"/>
        </w:rPr>
      </w:pPr>
      <w:r w:rsidRPr="00495BAB">
        <w:rPr>
          <w:rFonts w:hint="cs"/>
          <w:rtl/>
          <w:lang w:bidi="ar-SY"/>
        </w:rPr>
        <w:t>طبقاً لنقل صاحب الرياض</w:t>
      </w:r>
      <w:r w:rsidRPr="00873C4C">
        <w:rPr>
          <w:rFonts w:cs="Arabic11 BT"/>
          <w:vertAlign w:val="superscript"/>
          <w:rtl/>
          <w:lang w:bidi="ar-SY"/>
        </w:rPr>
        <w:t>(</w:t>
      </w:r>
      <w:r w:rsidRPr="00873C4C">
        <w:rPr>
          <w:rStyle w:val="FootnoteReference"/>
          <w:rFonts w:cs="Arabic11 BT"/>
          <w:rtl/>
          <w:lang w:bidi="ar-SY"/>
        </w:rPr>
        <w:footnoteReference w:id="436"/>
      </w:r>
      <w:r w:rsidRPr="00873C4C">
        <w:rPr>
          <w:rFonts w:cs="Arabic11 BT"/>
          <w:vertAlign w:val="superscript"/>
          <w:rtl/>
          <w:lang w:bidi="ar-SY"/>
        </w:rPr>
        <w:t>)</w:t>
      </w:r>
      <w:r w:rsidRPr="00495BAB">
        <w:rPr>
          <w:rFonts w:hint="cs"/>
          <w:rtl/>
          <w:lang w:bidi="ar-SY"/>
        </w:rPr>
        <w:t xml:space="preserve"> كان الإسكافيُّ من القائلين بالعفو عن «الخُمْس» وتحليله للشيعة، مستنداً في ذلك إلى أن خُمْس الأرباح مالٌ شخصيٌّ للإمام لا</w:t>
      </w:r>
      <w:r w:rsidRPr="00495BAB">
        <w:rPr>
          <w:rFonts w:cs="Times New Roman" w:hint="cs"/>
          <w:rtl/>
          <w:lang w:bidi="ar-SY"/>
        </w:rPr>
        <w:t> </w:t>
      </w:r>
      <w:r w:rsidRPr="00495BAB">
        <w:rPr>
          <w:rFonts w:hint="cs"/>
          <w:rtl/>
          <w:lang w:bidi="ar-SY"/>
        </w:rPr>
        <w:t>غيره.</w:t>
      </w:r>
    </w:p>
    <w:p w:rsidR="00BB0549" w:rsidRPr="00495BAB" w:rsidRDefault="00BB0549" w:rsidP="00495BAB">
      <w:pPr>
        <w:pStyle w:val="a0"/>
        <w:rPr>
          <w:rFonts w:hint="cs"/>
          <w:rtl/>
          <w:lang w:bidi="ar-SY"/>
        </w:rPr>
      </w:pPr>
      <w:r w:rsidRPr="00495BAB">
        <w:rPr>
          <w:rFonts w:hint="cs"/>
          <w:rtl/>
          <w:lang w:bidi="ar-SY"/>
        </w:rPr>
        <w:t>ومن الضروري التذكير بأن بعض الفقهاء يذكرون أحياناً «ابن الجُنيد» باسم «الإسكافي»، مع أن العادة هي أن يُذكر «ابن الجُنيد» باسم «ابن الجُنيد» ويُذكر الإسكافي باسم الإسكافي.</w:t>
      </w:r>
    </w:p>
    <w:p w:rsidR="00BB0549" w:rsidRPr="00995B26" w:rsidRDefault="00BB0549" w:rsidP="007D2B8A">
      <w:pPr>
        <w:pStyle w:val="a5"/>
        <w:rPr>
          <w:rFonts w:hint="cs"/>
          <w:rtl/>
        </w:rPr>
      </w:pPr>
      <w:bookmarkStart w:id="163" w:name="_Toc305155989"/>
      <w:bookmarkStart w:id="164" w:name="_Toc387843105"/>
      <w:r w:rsidRPr="00995B26">
        <w:rPr>
          <w:rFonts w:hint="cs"/>
          <w:rtl/>
        </w:rPr>
        <w:t>4- الشيخ الصدوق</w:t>
      </w:r>
      <w:bookmarkEnd w:id="163"/>
      <w:bookmarkEnd w:id="164"/>
    </w:p>
    <w:p w:rsidR="00BB0549" w:rsidRPr="00495BAB" w:rsidRDefault="00BB0549" w:rsidP="00495BAB">
      <w:pPr>
        <w:pStyle w:val="a0"/>
        <w:rPr>
          <w:rFonts w:hint="cs"/>
          <w:rtl/>
          <w:lang w:bidi="ar-SY"/>
        </w:rPr>
      </w:pPr>
      <w:r w:rsidRPr="00495BAB">
        <w:rPr>
          <w:rFonts w:hint="cs"/>
          <w:b/>
          <w:bCs/>
          <w:rtl/>
        </w:rPr>
        <w:t>عماد الملّة والدين رئيس المُحدِّثين أبو جعفر الثاني محمد بن الشيخ المُعتمد الفقيه النبيه أبي الحسن عَلِيّ بن الحسين بن موسى بن بابويه المُشتهر بالشيخ الصدوق</w:t>
      </w:r>
      <w:r w:rsidRPr="00495BAB">
        <w:rPr>
          <w:rFonts w:hint="cs"/>
          <w:rtl/>
        </w:rPr>
        <w:t>: أمر هذا الجناب في العلم والعدالة والفهم والنُّبل والفقه والجلالة والثقة وحُسن الحال وكثرة التصنيف وجودة التأليف أوضح من أن يحتاج إلى بيان أو يُقام عليه دليل وبُرهان. وقد اشتُهر بأنه وُلد بدعاء الإمام وتُوفي سنة 381 هـ.. ألَّف كتابَ «</w:t>
      </w:r>
      <w:r w:rsidRPr="00495BAB">
        <w:rPr>
          <w:rFonts w:hint="cs"/>
          <w:b/>
          <w:bCs/>
          <w:rtl/>
        </w:rPr>
        <w:t>من لا يحضره الفقيه</w:t>
      </w:r>
      <w:r w:rsidRPr="00495BAB">
        <w:rPr>
          <w:rFonts w:hint="cs"/>
          <w:rtl/>
        </w:rPr>
        <w:t>» الذي يُعدُّ ثاني كتب الشيعة الأربعة وقد اعتبر ذلك الكتاب حُجّة بينه وبين الله.</w:t>
      </w:r>
    </w:p>
    <w:p w:rsidR="00BB0549" w:rsidRPr="00495BAB" w:rsidRDefault="00BB0549" w:rsidP="00495BAB">
      <w:pPr>
        <w:pStyle w:val="a0"/>
        <w:rPr>
          <w:rFonts w:hint="cs"/>
          <w:rtl/>
          <w:lang w:bidi="ar-SY"/>
        </w:rPr>
      </w:pPr>
      <w:r w:rsidRPr="00495BAB">
        <w:rPr>
          <w:rFonts w:hint="cs"/>
          <w:rtl/>
          <w:lang w:bidi="ar-SY"/>
        </w:rPr>
        <w:t xml:space="preserve">ولقد ذكر في هذا الكتاب -الذي يُعدُّ كتابه الفقهي وأحد مُستندات ومصادر الشيعة المُهمّة في جميع العصور والأقطار - في موضوع «الخُمْس» عشرين حديثاً فقط ليس في أيٍّ منها أيُّ كلام عن أرباح المكاسب وخُمْس التجارات وما يكسبه الإنسان يومياً، اللهم إلا الحديث 16 الذي هو من أحاديث تحليل «الخُمْس»، وأحاديث التحليل كثيرة بالطبع وقد حلَّل الأئمة </w:t>
      </w:r>
      <w:r w:rsidRPr="00495BAB">
        <w:rPr>
          <w:rFonts w:hint="cs"/>
          <w:sz w:val="30"/>
          <w:rtl/>
          <w:lang w:bidi="ar-SY"/>
        </w:rPr>
        <w:sym w:font="Abo-thar" w:char="F044"/>
      </w:r>
      <w:r w:rsidRPr="00495BAB">
        <w:rPr>
          <w:rFonts w:hint="cs"/>
          <w:rtl/>
          <w:lang w:bidi="ar-SY"/>
        </w:rPr>
        <w:t xml:space="preserve"> فيها «الخُمْس» للشيعة. وأما بقية أحاديث «</w:t>
      </w:r>
      <w:r w:rsidRPr="00495BAB">
        <w:rPr>
          <w:rFonts w:hint="cs"/>
          <w:b/>
          <w:bCs/>
          <w:rtl/>
          <w:lang w:bidi="ar-SY"/>
        </w:rPr>
        <w:t>من لا يحضره الفقيه</w:t>
      </w:r>
      <w:r w:rsidRPr="00495BAB">
        <w:rPr>
          <w:rFonts w:hint="cs"/>
          <w:rtl/>
          <w:lang w:bidi="ar-SY"/>
        </w:rPr>
        <w:t>» فتتعلَّق بخُمْس الغنائم وخُمْس المعادن والكنز وهي في الحقيقة زكاة المعادن والغوص والكنز والتي يجب إعطاء خُمْسها زكاةً. ولا يوجد شيء عن «الخُمْس» في سائر كتب هذا الشيخ الجليل إلا في كتابه «علل الشرائع» الذي أتى فيه بأحاديث تحليل «الخُمْس» أيضاً</w:t>
      </w:r>
      <w:r w:rsidR="00C37860" w:rsidRPr="00873C4C">
        <w:rPr>
          <w:rFonts w:cs="Arabic11 BT"/>
          <w:vertAlign w:val="superscript"/>
          <w:rtl/>
          <w:lang w:bidi="ar-SY"/>
        </w:rPr>
        <w:t>(</w:t>
      </w:r>
      <w:r w:rsidR="00C37860" w:rsidRPr="00873C4C">
        <w:rPr>
          <w:rStyle w:val="FootnoteReference"/>
          <w:rFonts w:cs="Arabic11 BT"/>
          <w:rtl/>
          <w:lang w:bidi="ar-SY"/>
        </w:rPr>
        <w:footnoteReference w:id="437"/>
      </w:r>
      <w:r w:rsidR="00C37860" w:rsidRPr="00873C4C">
        <w:rPr>
          <w:rFonts w:cs="Arabic11 BT"/>
          <w:vertAlign w:val="superscript"/>
          <w:rtl/>
          <w:lang w:bidi="ar-SY"/>
        </w:rPr>
        <w:t>)</w:t>
      </w:r>
      <w:r w:rsidRPr="00495BAB">
        <w:rPr>
          <w:rFonts w:hint="cs"/>
          <w:rtl/>
          <w:lang w:bidi="ar-SY"/>
        </w:rPr>
        <w:t>. ففي رأي جنابه تمَّ تحليل خُمْس أرباح المكاسب في زمن الغيبة.</w:t>
      </w:r>
    </w:p>
    <w:p w:rsidR="00BB0549" w:rsidRPr="00995B26" w:rsidRDefault="00BB0549" w:rsidP="007D2B8A">
      <w:pPr>
        <w:pStyle w:val="a5"/>
        <w:rPr>
          <w:rFonts w:hint="cs"/>
          <w:rtl/>
        </w:rPr>
      </w:pPr>
      <w:bookmarkStart w:id="165" w:name="_Toc305155990"/>
      <w:bookmarkStart w:id="166" w:name="_Toc387843106"/>
      <w:r w:rsidRPr="00995B26">
        <w:rPr>
          <w:rFonts w:hint="cs"/>
          <w:rtl/>
        </w:rPr>
        <w:t>5- الشيخ  الطوسي</w:t>
      </w:r>
      <w:bookmarkEnd w:id="165"/>
      <w:bookmarkEnd w:id="166"/>
    </w:p>
    <w:p w:rsidR="00BB0549" w:rsidRPr="00495BAB" w:rsidRDefault="00BB0549" w:rsidP="00495BAB">
      <w:pPr>
        <w:pStyle w:val="a0"/>
        <w:rPr>
          <w:rFonts w:hint="cs"/>
          <w:rtl/>
          <w:lang w:bidi="ar-SY"/>
        </w:rPr>
      </w:pPr>
      <w:r w:rsidRPr="00495BAB">
        <w:rPr>
          <w:rFonts w:hint="cs"/>
          <w:rtl/>
          <w:lang w:bidi="ar-SY"/>
        </w:rPr>
        <w:t>حضرة محمد بن الحسن الطوسي المُلقَّب بشيخ الطائفة هو بين فقهاء الشيعة أشهر من نار على علم، ولا يحتاج إلى التعريف به.</w:t>
      </w:r>
    </w:p>
    <w:p w:rsidR="00BB0549" w:rsidRPr="00495BAB" w:rsidRDefault="00BB0549" w:rsidP="00495BAB">
      <w:pPr>
        <w:pStyle w:val="a0"/>
        <w:rPr>
          <w:rFonts w:hint="cs"/>
          <w:rtl/>
        </w:rPr>
      </w:pPr>
      <w:r w:rsidRPr="00495BAB">
        <w:rPr>
          <w:rFonts w:hint="cs"/>
          <w:rtl/>
          <w:lang w:bidi="ar-SY"/>
        </w:rPr>
        <w:t>يقول في كتاب «</w:t>
      </w:r>
      <w:r w:rsidRPr="00495BAB">
        <w:rPr>
          <w:rFonts w:hint="cs"/>
          <w:b/>
          <w:bCs/>
          <w:rtl/>
          <w:lang w:bidi="ar-SY"/>
        </w:rPr>
        <w:t>تهذيب الأحكام</w:t>
      </w:r>
      <w:r w:rsidRPr="00495BAB">
        <w:rPr>
          <w:rFonts w:hint="cs"/>
          <w:rtl/>
          <w:lang w:bidi="ar-SY"/>
        </w:rPr>
        <w:t>»: "</w:t>
      </w:r>
      <w:r w:rsidRPr="00495BAB">
        <w:rPr>
          <w:b/>
          <w:bCs/>
          <w:rtl/>
          <w:lang w:bidi="ar-SY"/>
        </w:rPr>
        <w:t>أَمَّا الغَنَائِمُ و</w:t>
      </w:r>
      <w:r w:rsidRPr="00495BAB">
        <w:rPr>
          <w:rFonts w:hint="cs"/>
          <w:b/>
          <w:bCs/>
          <w:rtl/>
          <w:lang w:bidi="ar-SY"/>
        </w:rPr>
        <w:t>َ</w:t>
      </w:r>
      <w:r w:rsidRPr="00495BAB">
        <w:rPr>
          <w:b/>
          <w:bCs/>
          <w:rtl/>
          <w:lang w:bidi="ar-SY"/>
        </w:rPr>
        <w:t>المَتَاجِرُ و</w:t>
      </w:r>
      <w:r w:rsidRPr="00495BAB">
        <w:rPr>
          <w:rFonts w:hint="cs"/>
          <w:b/>
          <w:bCs/>
          <w:rtl/>
          <w:lang w:bidi="ar-SY"/>
        </w:rPr>
        <w:t>َ</w:t>
      </w:r>
      <w:r w:rsidRPr="00495BAB">
        <w:rPr>
          <w:b/>
          <w:bCs/>
          <w:rtl/>
          <w:lang w:bidi="ar-SY"/>
        </w:rPr>
        <w:t>ال</w:t>
      </w:r>
      <w:r w:rsidR="00394385">
        <w:rPr>
          <w:rFonts w:hint="cs"/>
          <w:b/>
          <w:bCs/>
          <w:rtl/>
          <w:lang w:bidi="ar-SY"/>
        </w:rPr>
        <w:t>ـ</w:t>
      </w:r>
      <w:r w:rsidRPr="00495BAB">
        <w:rPr>
          <w:b/>
          <w:bCs/>
          <w:rtl/>
          <w:lang w:bidi="ar-SY"/>
        </w:rPr>
        <w:t>مَنَاكِحُ و</w:t>
      </w:r>
      <w:r w:rsidRPr="00495BAB">
        <w:rPr>
          <w:rFonts w:hint="cs"/>
          <w:b/>
          <w:bCs/>
          <w:rtl/>
          <w:lang w:bidi="ar-SY"/>
        </w:rPr>
        <w:t>َ</w:t>
      </w:r>
      <w:r w:rsidRPr="00495BAB">
        <w:rPr>
          <w:b/>
          <w:bCs/>
          <w:rtl/>
          <w:lang w:bidi="ar-SY"/>
        </w:rPr>
        <w:t xml:space="preserve">مَا يَجْرِي مَجْرَاهَا مِمَّا يَجِبُ لِلْإِمَامِ فِيهِ الخُمُسُ فَإِنَّهُمْ </w:t>
      </w:r>
      <w:r w:rsidRPr="00495BAB">
        <w:rPr>
          <w:rFonts w:hint="cs"/>
          <w:sz w:val="30"/>
          <w:rtl/>
          <w:lang w:bidi="ar-SY"/>
        </w:rPr>
        <w:sym w:font="Abo-thar" w:char="F044"/>
      </w:r>
      <w:r w:rsidRPr="00495BAB">
        <w:rPr>
          <w:rFonts w:hint="cs"/>
          <w:b/>
          <w:bCs/>
          <w:rtl/>
          <w:lang w:bidi="ar-SY"/>
        </w:rPr>
        <w:t xml:space="preserve"> </w:t>
      </w:r>
      <w:r w:rsidRPr="00495BAB">
        <w:rPr>
          <w:b/>
          <w:bCs/>
          <w:rtl/>
          <w:lang w:bidi="ar-SY"/>
        </w:rPr>
        <w:t>قَدْ أَبَاحُوا لَنَا ذَلِكَ و</w:t>
      </w:r>
      <w:r w:rsidRPr="00495BAB">
        <w:rPr>
          <w:rFonts w:hint="cs"/>
          <w:b/>
          <w:bCs/>
          <w:rtl/>
          <w:lang w:bidi="ar-SY"/>
        </w:rPr>
        <w:t>َ</w:t>
      </w:r>
      <w:r w:rsidRPr="00495BAB">
        <w:rPr>
          <w:b/>
          <w:bCs/>
          <w:rtl/>
          <w:lang w:bidi="ar-SY"/>
        </w:rPr>
        <w:t>سَوَّغُوا لَنَا التَّصَرُّفَ فِيه</w:t>
      </w:r>
      <w:r w:rsidRPr="00495BAB">
        <w:rPr>
          <w:rFonts w:hint="cs"/>
          <w:rtl/>
          <w:lang w:bidi="ar-SY"/>
        </w:rPr>
        <w:t>"</w:t>
      </w:r>
      <w:r w:rsidR="00C37860" w:rsidRPr="00873C4C">
        <w:rPr>
          <w:rFonts w:cs="Arabic11 BT"/>
          <w:sz w:val="22"/>
          <w:szCs w:val="28"/>
          <w:vertAlign w:val="superscript"/>
          <w:rtl/>
          <w:lang w:bidi="ar-SY"/>
        </w:rPr>
        <w:t>(</w:t>
      </w:r>
      <w:r w:rsidR="00C37860" w:rsidRPr="00873C4C">
        <w:rPr>
          <w:rStyle w:val="FootnoteReference"/>
          <w:rFonts w:cs="Arabic11 BT"/>
          <w:sz w:val="22"/>
          <w:szCs w:val="28"/>
          <w:rtl/>
          <w:lang w:bidi="ar-SY"/>
        </w:rPr>
        <w:footnoteReference w:id="438"/>
      </w:r>
      <w:r w:rsidR="00C37860" w:rsidRPr="00873C4C">
        <w:rPr>
          <w:rFonts w:cs="Arabic11 BT"/>
          <w:sz w:val="22"/>
          <w:szCs w:val="28"/>
          <w:vertAlign w:val="superscript"/>
          <w:rtl/>
          <w:lang w:bidi="ar-SY"/>
        </w:rPr>
        <w:t>)</w:t>
      </w:r>
      <w:r w:rsidRPr="00495BAB">
        <w:rPr>
          <w:rtl/>
          <w:lang w:bidi="ar-SY"/>
        </w:rPr>
        <w:t>.</w:t>
      </w:r>
      <w:r w:rsidRPr="00495BAB">
        <w:rPr>
          <w:rFonts w:hint="cs"/>
          <w:rtl/>
          <w:lang w:bidi="ar-SY"/>
        </w:rPr>
        <w:t xml:space="preserve"> </w:t>
      </w:r>
    </w:p>
    <w:p w:rsidR="00BB0549" w:rsidRPr="00495BAB" w:rsidRDefault="00BB0549" w:rsidP="00495BAB">
      <w:pPr>
        <w:pStyle w:val="a0"/>
        <w:rPr>
          <w:rtl/>
        </w:rPr>
      </w:pPr>
      <w:r w:rsidRPr="00495BAB">
        <w:rPr>
          <w:rFonts w:hint="cs"/>
          <w:rtl/>
        </w:rPr>
        <w:t>ويقول في كتاب «</w:t>
      </w:r>
      <w:r w:rsidRPr="00495BAB">
        <w:rPr>
          <w:rFonts w:hint="cs"/>
          <w:b/>
          <w:bCs/>
          <w:rtl/>
        </w:rPr>
        <w:t>المبسوط</w:t>
      </w:r>
      <w:r w:rsidR="00C37860" w:rsidRPr="00495BAB">
        <w:rPr>
          <w:rFonts w:hint="cs"/>
          <w:rtl/>
        </w:rPr>
        <w:t>»</w:t>
      </w:r>
      <w:r w:rsidRPr="00495BAB">
        <w:rPr>
          <w:rFonts w:hint="cs"/>
          <w:rtl/>
        </w:rPr>
        <w:t>: "</w:t>
      </w:r>
      <w:r w:rsidRPr="00495BAB">
        <w:rPr>
          <w:rFonts w:hint="cs"/>
          <w:b/>
          <w:bCs/>
          <w:rtl/>
        </w:rPr>
        <w:t>و</w:t>
      </w:r>
      <w:r w:rsidRPr="00495BAB">
        <w:rPr>
          <w:b/>
          <w:bCs/>
          <w:rtl/>
        </w:rPr>
        <w:t xml:space="preserve">أما حال الغيبة فقد رخَّصوا لشيعتهم التصرُّف في حقوقهم </w:t>
      </w:r>
      <w:r w:rsidRPr="00495BAB">
        <w:rPr>
          <w:rFonts w:hint="cs"/>
          <w:b/>
          <w:bCs/>
          <w:rtl/>
        </w:rPr>
        <w:t>في</w:t>
      </w:r>
      <w:r w:rsidRPr="00495BAB">
        <w:rPr>
          <w:b/>
          <w:bCs/>
          <w:rtl/>
        </w:rPr>
        <w:t xml:space="preserve">ما يتعلّق بالأخماس وغيرها </w:t>
      </w:r>
      <w:r w:rsidRPr="00495BAB">
        <w:rPr>
          <w:rFonts w:hint="cs"/>
          <w:b/>
          <w:bCs/>
          <w:rtl/>
        </w:rPr>
        <w:t>مما</w:t>
      </w:r>
      <w:r w:rsidRPr="00495BAB">
        <w:rPr>
          <w:b/>
          <w:bCs/>
          <w:rtl/>
        </w:rPr>
        <w:t xml:space="preserve"> لا ب</w:t>
      </w:r>
      <w:r w:rsidRPr="00495BAB">
        <w:rPr>
          <w:rFonts w:hint="cs"/>
          <w:b/>
          <w:bCs/>
          <w:rtl/>
        </w:rPr>
        <w:t>ُ</w:t>
      </w:r>
      <w:r w:rsidRPr="00495BAB">
        <w:rPr>
          <w:b/>
          <w:bCs/>
          <w:rtl/>
        </w:rPr>
        <w:t>دّ</w:t>
      </w:r>
      <w:r w:rsidRPr="00495BAB">
        <w:rPr>
          <w:rFonts w:hint="cs"/>
          <w:b/>
          <w:bCs/>
          <w:rtl/>
        </w:rPr>
        <w:t>َ</w:t>
      </w:r>
      <w:r w:rsidRPr="00495BAB">
        <w:rPr>
          <w:b/>
          <w:bCs/>
          <w:rtl/>
        </w:rPr>
        <w:t xml:space="preserve"> لهم منه من المناكح والمتاجر والمساكن</w:t>
      </w:r>
      <w:r w:rsidRPr="00495BAB">
        <w:rPr>
          <w:rFonts w:hint="cs"/>
          <w:rtl/>
        </w:rPr>
        <w:t>"</w:t>
      </w:r>
      <w:r w:rsidR="00C37860" w:rsidRPr="00873C4C">
        <w:rPr>
          <w:rFonts w:cs="Arabic11 BT"/>
          <w:sz w:val="22"/>
          <w:szCs w:val="28"/>
          <w:vertAlign w:val="superscript"/>
          <w:rtl/>
          <w:lang w:bidi="ar-SY"/>
        </w:rPr>
        <w:t>(</w:t>
      </w:r>
      <w:r w:rsidR="00C37860" w:rsidRPr="00873C4C">
        <w:rPr>
          <w:rStyle w:val="FootnoteReference"/>
          <w:rFonts w:cs="Arabic11 BT"/>
          <w:sz w:val="22"/>
          <w:szCs w:val="28"/>
          <w:rtl/>
          <w:lang w:bidi="ar-SY"/>
        </w:rPr>
        <w:footnoteReference w:id="439"/>
      </w:r>
      <w:r w:rsidR="00C37860" w:rsidRPr="00873C4C">
        <w:rPr>
          <w:rFonts w:cs="Arabic11 BT"/>
          <w:sz w:val="22"/>
          <w:szCs w:val="28"/>
          <w:vertAlign w:val="superscript"/>
          <w:rtl/>
          <w:lang w:bidi="ar-SY"/>
        </w:rPr>
        <w:t>)</w:t>
      </w:r>
      <w:r w:rsidRPr="00495BAB">
        <w:rPr>
          <w:rtl/>
          <w:lang w:bidi="ar-SY"/>
        </w:rPr>
        <w:t>.</w:t>
      </w:r>
      <w:r w:rsidRPr="00495BAB">
        <w:rPr>
          <w:rFonts w:hint="cs"/>
          <w:rtl/>
          <w:lang w:bidi="ar-SY"/>
        </w:rPr>
        <w:t xml:space="preserve"> </w:t>
      </w:r>
    </w:p>
    <w:p w:rsidR="00BB0549" w:rsidRPr="00495BAB" w:rsidRDefault="00BB0549" w:rsidP="00495BAB">
      <w:pPr>
        <w:pStyle w:val="a0"/>
        <w:rPr>
          <w:rFonts w:hint="cs"/>
          <w:rtl/>
          <w:lang w:bidi="ar-SY"/>
        </w:rPr>
      </w:pPr>
      <w:r w:rsidRPr="00495BAB">
        <w:rPr>
          <w:rFonts w:hint="cs"/>
          <w:rtl/>
        </w:rPr>
        <w:t>وفي كتاب «</w:t>
      </w:r>
      <w:r w:rsidRPr="00495BAB">
        <w:rPr>
          <w:rFonts w:hint="cs"/>
          <w:b/>
          <w:bCs/>
          <w:rtl/>
        </w:rPr>
        <w:t>النهاية</w:t>
      </w:r>
      <w:r w:rsidR="00C37860" w:rsidRPr="00495BAB">
        <w:rPr>
          <w:rFonts w:hint="cs"/>
          <w:rtl/>
        </w:rPr>
        <w:t>»</w:t>
      </w:r>
      <w:r w:rsidRPr="00495BAB">
        <w:rPr>
          <w:rFonts w:hint="cs"/>
          <w:rtl/>
        </w:rPr>
        <w:t>: "</w:t>
      </w:r>
      <w:r w:rsidRPr="00495BAB">
        <w:rPr>
          <w:rFonts w:hint="cs"/>
          <w:b/>
          <w:bCs/>
          <w:rtl/>
        </w:rPr>
        <w:t>و</w:t>
      </w:r>
      <w:r w:rsidRPr="00495BAB">
        <w:rPr>
          <w:b/>
          <w:bCs/>
          <w:rtl/>
        </w:rPr>
        <w:t>أما حال الغيبة فقد رخَّصوا لشيعت</w:t>
      </w:r>
      <w:r w:rsidRPr="00495BAB">
        <w:rPr>
          <w:rFonts w:hint="cs"/>
          <w:b/>
          <w:bCs/>
          <w:rtl/>
        </w:rPr>
        <w:t>ه</w:t>
      </w:r>
      <w:r w:rsidRPr="00495BAB">
        <w:rPr>
          <w:b/>
          <w:bCs/>
          <w:rtl/>
        </w:rPr>
        <w:t xml:space="preserve">م التصرُّف في حقوقهم </w:t>
      </w:r>
      <w:r w:rsidRPr="00495BAB">
        <w:rPr>
          <w:rFonts w:hint="cs"/>
          <w:b/>
          <w:bCs/>
          <w:rtl/>
        </w:rPr>
        <w:t>م</w:t>
      </w:r>
      <w:r w:rsidRPr="00495BAB">
        <w:rPr>
          <w:b/>
          <w:bCs/>
          <w:rtl/>
        </w:rPr>
        <w:t xml:space="preserve">ما يتعلّق بالأخماس وغيرها </w:t>
      </w:r>
      <w:r w:rsidRPr="00495BAB">
        <w:rPr>
          <w:rFonts w:hint="cs"/>
          <w:b/>
          <w:bCs/>
          <w:rtl/>
        </w:rPr>
        <w:t>مما</w:t>
      </w:r>
      <w:r w:rsidRPr="00495BAB">
        <w:rPr>
          <w:b/>
          <w:bCs/>
          <w:rtl/>
        </w:rPr>
        <w:t xml:space="preserve"> لا ب</w:t>
      </w:r>
      <w:r w:rsidRPr="00495BAB">
        <w:rPr>
          <w:rFonts w:hint="cs"/>
          <w:b/>
          <w:bCs/>
          <w:rtl/>
        </w:rPr>
        <w:t>ُ</w:t>
      </w:r>
      <w:r w:rsidRPr="00495BAB">
        <w:rPr>
          <w:b/>
          <w:bCs/>
          <w:rtl/>
        </w:rPr>
        <w:t>دّ</w:t>
      </w:r>
      <w:r w:rsidRPr="00495BAB">
        <w:rPr>
          <w:rFonts w:hint="cs"/>
          <w:b/>
          <w:bCs/>
          <w:rtl/>
        </w:rPr>
        <w:t>َ</w:t>
      </w:r>
      <w:r w:rsidRPr="00495BAB">
        <w:rPr>
          <w:b/>
          <w:bCs/>
          <w:rtl/>
        </w:rPr>
        <w:t xml:space="preserve"> لهم منه من المناكح والمتاجر والمساكن</w:t>
      </w:r>
      <w:r w:rsidRPr="00495BAB">
        <w:rPr>
          <w:rFonts w:hint="cs"/>
          <w:rtl/>
        </w:rPr>
        <w:t>"</w:t>
      </w:r>
      <w:r w:rsidR="00C37860" w:rsidRPr="00873C4C">
        <w:rPr>
          <w:rFonts w:cs="Arabic11 BT"/>
          <w:sz w:val="22"/>
          <w:szCs w:val="28"/>
          <w:vertAlign w:val="superscript"/>
          <w:rtl/>
          <w:lang w:bidi="ar-SY"/>
        </w:rPr>
        <w:t>(</w:t>
      </w:r>
      <w:r w:rsidR="00C37860" w:rsidRPr="00873C4C">
        <w:rPr>
          <w:rStyle w:val="FootnoteReference"/>
          <w:rFonts w:cs="Arabic11 BT"/>
          <w:sz w:val="22"/>
          <w:szCs w:val="28"/>
          <w:rtl/>
          <w:lang w:bidi="ar-SY"/>
        </w:rPr>
        <w:footnoteReference w:id="440"/>
      </w:r>
      <w:r w:rsidR="00C37860" w:rsidRPr="00873C4C">
        <w:rPr>
          <w:rFonts w:cs="Arabic11 BT"/>
          <w:sz w:val="22"/>
          <w:szCs w:val="28"/>
          <w:vertAlign w:val="superscript"/>
          <w:rtl/>
          <w:lang w:bidi="ar-SY"/>
        </w:rPr>
        <w:t>)</w:t>
      </w:r>
      <w:r w:rsidRPr="00495BAB">
        <w:rPr>
          <w:rtl/>
          <w:lang w:bidi="ar-SY"/>
        </w:rPr>
        <w:t>.</w:t>
      </w:r>
      <w:r w:rsidRPr="00495BAB">
        <w:rPr>
          <w:rFonts w:hint="cs"/>
          <w:rtl/>
          <w:lang w:bidi="ar-SY"/>
        </w:rPr>
        <w:t xml:space="preserve"> </w:t>
      </w:r>
    </w:p>
    <w:p w:rsidR="00BB0549" w:rsidRPr="00995B26" w:rsidRDefault="00BB0549" w:rsidP="007D2B8A">
      <w:pPr>
        <w:pStyle w:val="a5"/>
        <w:rPr>
          <w:rFonts w:hint="cs"/>
          <w:rtl/>
        </w:rPr>
      </w:pPr>
      <w:bookmarkStart w:id="167" w:name="_Toc305155991"/>
      <w:bookmarkStart w:id="168" w:name="_Toc387843107"/>
      <w:r w:rsidRPr="00995B26">
        <w:rPr>
          <w:rFonts w:hint="cs"/>
          <w:rtl/>
        </w:rPr>
        <w:t>6- الشيخ سلار الديلمي</w:t>
      </w:r>
      <w:bookmarkEnd w:id="167"/>
      <w:bookmarkEnd w:id="168"/>
    </w:p>
    <w:p w:rsidR="00BB0549" w:rsidRPr="00495BAB" w:rsidRDefault="00BB0549" w:rsidP="00495BAB">
      <w:pPr>
        <w:pStyle w:val="a0"/>
        <w:rPr>
          <w:rFonts w:hint="cs"/>
          <w:rtl/>
          <w:lang w:bidi="ar-SY"/>
        </w:rPr>
      </w:pPr>
      <w:r w:rsidRPr="00495BAB">
        <w:rPr>
          <w:rFonts w:hint="cs"/>
          <w:rtl/>
        </w:rPr>
        <w:t>الشيخ المُتفقّه الإمام أبو يعلى حمزة بن عبد العزيز المُلقّب بسلار الديلمي أحد أعاظم فقهاء طائفة الإمامية المُتقدِّمين ويُشار إليه بالبنان في كتب الاستدلال في جميع المسائل. كان من تلاميذ الشيخ المُفيد أو السيد المُرتضى ومُعاصراً للشيخ الطوسي. وعندما كان الشيخ المُفيد أو السيد المُرتضى يغيبان كان الشيخ سلار يجلس مكانهما للتدريس. من مُؤلَّفاته نقضُ كَتَبَهُ بأمر السيد المُرتضى ردَّاً على «أبي الحسين البصري» الذي ألَّف كتاباً في نقض كتاب «الشافي» للسيد المُرتضى. كان هذا العالِم الجليل من أهالي جيلان و رشت وتُوفي سنة 463 هـ</w:t>
      </w:r>
      <w:r w:rsidR="00AB28A0" w:rsidRPr="00495BAB">
        <w:rPr>
          <w:rFonts w:hint="cs"/>
          <w:rtl/>
        </w:rPr>
        <w:t>.</w:t>
      </w:r>
      <w:r w:rsidRPr="00495BAB">
        <w:rPr>
          <w:rFonts w:hint="cs"/>
          <w:rtl/>
        </w:rPr>
        <w:t xml:space="preserve"> ق. للاطِّلاع على شرح أحواله يُراجَع كتاب «روضات الجنات» (ص 200) و«قصص العلماء» (ص 431).</w:t>
      </w:r>
    </w:p>
    <w:p w:rsidR="00BB0549" w:rsidRPr="00495BAB" w:rsidRDefault="00BB0549" w:rsidP="00495BAB">
      <w:pPr>
        <w:pStyle w:val="a0"/>
        <w:rPr>
          <w:rtl/>
        </w:rPr>
      </w:pPr>
      <w:r w:rsidRPr="00495BAB">
        <w:rPr>
          <w:rFonts w:hint="cs"/>
          <w:rtl/>
          <w:lang w:bidi="ar-SY"/>
        </w:rPr>
        <w:t>ذكر العلامة الحلي في كتابه «</w:t>
      </w:r>
      <w:r w:rsidRPr="00495BAB">
        <w:rPr>
          <w:rFonts w:hint="cs"/>
          <w:b/>
          <w:bCs/>
          <w:rtl/>
          <w:lang w:bidi="ar-SY"/>
        </w:rPr>
        <w:t>مختلف الشيعة</w:t>
      </w:r>
      <w:r w:rsidRPr="00495BAB">
        <w:rPr>
          <w:rFonts w:hint="cs"/>
          <w:rtl/>
          <w:lang w:bidi="ar-SY"/>
        </w:rPr>
        <w:t>» أن «سلار» اعتبر الأنفال أيضاً ملكاً خاصاً للإمام، وفيما يلي نص عبارة العلامة الحلي: "</w:t>
      </w:r>
      <w:r w:rsidRPr="00495BAB">
        <w:rPr>
          <w:b/>
          <w:bCs/>
          <w:rtl/>
          <w:lang w:bidi="ar-SY"/>
        </w:rPr>
        <w:t>و قال سلّار: والأنفال له أيضا</w:t>
      </w:r>
      <w:r w:rsidRPr="00495BAB">
        <w:rPr>
          <w:rFonts w:hint="cs"/>
          <w:b/>
          <w:bCs/>
          <w:rtl/>
          <w:lang w:bidi="ar-SY"/>
        </w:rPr>
        <w:t>ً</w:t>
      </w:r>
      <w:r w:rsidRPr="00495BAB">
        <w:rPr>
          <w:b/>
          <w:bCs/>
          <w:rtl/>
          <w:lang w:bidi="ar-SY"/>
        </w:rPr>
        <w:t>:</w:t>
      </w:r>
      <w:r w:rsidRPr="00495BAB">
        <w:rPr>
          <w:rtl/>
          <w:lang w:bidi="ar-SY"/>
        </w:rPr>
        <w:t xml:space="preserve"> وهي كلّ أرض ف</w:t>
      </w:r>
      <w:r w:rsidRPr="00495BAB">
        <w:rPr>
          <w:rFonts w:hint="cs"/>
          <w:rtl/>
          <w:lang w:bidi="ar-SY"/>
        </w:rPr>
        <w:t>ُ</w:t>
      </w:r>
      <w:r w:rsidRPr="00495BAB">
        <w:rPr>
          <w:rtl/>
          <w:lang w:bidi="ar-SY"/>
        </w:rPr>
        <w:t>ت</w:t>
      </w:r>
      <w:r w:rsidRPr="00495BAB">
        <w:rPr>
          <w:rFonts w:hint="cs"/>
          <w:rtl/>
          <w:lang w:bidi="ar-SY"/>
        </w:rPr>
        <w:t>ِ</w:t>
      </w:r>
      <w:r w:rsidRPr="00495BAB">
        <w:rPr>
          <w:rtl/>
          <w:lang w:bidi="ar-SY"/>
        </w:rPr>
        <w:t>ح</w:t>
      </w:r>
      <w:r w:rsidRPr="00495BAB">
        <w:rPr>
          <w:rFonts w:hint="cs"/>
          <w:rtl/>
          <w:lang w:bidi="ar-SY"/>
        </w:rPr>
        <w:t>َ</w:t>
      </w:r>
      <w:r w:rsidRPr="00495BAB">
        <w:rPr>
          <w:rtl/>
          <w:lang w:bidi="ar-SY"/>
        </w:rPr>
        <w:t>ت من غير أن يوج</w:t>
      </w:r>
      <w:r w:rsidRPr="00495BAB">
        <w:rPr>
          <w:rFonts w:hint="cs"/>
          <w:rtl/>
          <w:lang w:bidi="ar-SY"/>
        </w:rPr>
        <w:t>َ</w:t>
      </w:r>
      <w:r w:rsidRPr="00495BAB">
        <w:rPr>
          <w:rtl/>
          <w:lang w:bidi="ar-SY"/>
        </w:rPr>
        <w:t>ف</w:t>
      </w:r>
      <w:r w:rsidRPr="00495BAB">
        <w:rPr>
          <w:rFonts w:hint="cs"/>
          <w:rtl/>
          <w:lang w:bidi="ar-SY"/>
        </w:rPr>
        <w:t>َ</w:t>
      </w:r>
      <w:r w:rsidRPr="00495BAB">
        <w:rPr>
          <w:rtl/>
          <w:lang w:bidi="ar-SY"/>
        </w:rPr>
        <w:t xml:space="preserve"> عليها بخيل ولا ركاب، والأرض الموات، وميراث الحربي، وال</w:t>
      </w:r>
      <w:r w:rsidRPr="00495BAB">
        <w:rPr>
          <w:rFonts w:hint="cs"/>
          <w:rtl/>
          <w:lang w:bidi="ar-SY"/>
        </w:rPr>
        <w:t>آ</w:t>
      </w:r>
      <w:r w:rsidRPr="00495BAB">
        <w:rPr>
          <w:rtl/>
          <w:lang w:bidi="ar-SY"/>
        </w:rPr>
        <w:t>جام والمفاوز، والمعادن والقطائع، فليس لأحد أن يتصرّف في شي‏ء من ذلك إلا بإذنه،</w:t>
      </w:r>
      <w:r w:rsidR="00AB28A0" w:rsidRPr="00495BAB">
        <w:rPr>
          <w:rtl/>
          <w:lang w:bidi="ar-SY"/>
        </w:rPr>
        <w:t>.</w:t>
      </w:r>
      <w:r w:rsidRPr="00495BAB">
        <w:rPr>
          <w:rFonts w:hint="cs"/>
          <w:rtl/>
          <w:lang w:bidi="ar-SY"/>
        </w:rPr>
        <w:t>..</w:t>
      </w:r>
      <w:r w:rsidRPr="00495BAB">
        <w:rPr>
          <w:b/>
          <w:bCs/>
          <w:rtl/>
          <w:lang w:bidi="ar-SY"/>
        </w:rPr>
        <w:t>و في هذا الزمان قد أحلّونا ما نتصرف من ذلك كرما</w:t>
      </w:r>
      <w:r w:rsidRPr="00495BAB">
        <w:rPr>
          <w:rFonts w:hint="cs"/>
          <w:b/>
          <w:bCs/>
          <w:rtl/>
          <w:lang w:bidi="ar-SY"/>
        </w:rPr>
        <w:t>ً</w:t>
      </w:r>
      <w:r w:rsidRPr="00495BAB">
        <w:rPr>
          <w:b/>
          <w:bCs/>
          <w:rtl/>
          <w:lang w:bidi="ar-SY"/>
        </w:rPr>
        <w:t xml:space="preserve"> وفضلا</w:t>
      </w:r>
      <w:r w:rsidRPr="00495BAB">
        <w:rPr>
          <w:rFonts w:hint="cs"/>
          <w:b/>
          <w:bCs/>
          <w:rtl/>
          <w:lang w:bidi="ar-SY"/>
        </w:rPr>
        <w:t>ً</w:t>
      </w:r>
      <w:r w:rsidRPr="00495BAB">
        <w:rPr>
          <w:b/>
          <w:bCs/>
          <w:rtl/>
          <w:lang w:bidi="ar-SY"/>
        </w:rPr>
        <w:t xml:space="preserve"> لنا خاصة</w:t>
      </w:r>
      <w:r w:rsidRPr="00495BAB">
        <w:rPr>
          <w:rFonts w:hint="cs"/>
          <w:rtl/>
          <w:lang w:bidi="ar-SY"/>
        </w:rPr>
        <w:t>"</w:t>
      </w:r>
      <w:r w:rsidR="00C37860" w:rsidRPr="00873C4C">
        <w:rPr>
          <w:rFonts w:cs="Arabic11 BT"/>
          <w:vertAlign w:val="superscript"/>
          <w:rtl/>
        </w:rPr>
        <w:t>(</w:t>
      </w:r>
      <w:r w:rsidR="00C37860" w:rsidRPr="00873C4C">
        <w:rPr>
          <w:rStyle w:val="FootnoteReference"/>
          <w:rFonts w:cs="Arabic11 BT"/>
          <w:rtl/>
        </w:rPr>
        <w:footnoteReference w:id="441"/>
      </w:r>
      <w:r w:rsidR="00C37860" w:rsidRPr="00873C4C">
        <w:rPr>
          <w:rFonts w:cs="Arabic11 BT"/>
          <w:vertAlign w:val="superscript"/>
          <w:rtl/>
        </w:rPr>
        <w:t>)</w:t>
      </w:r>
      <w:r w:rsidRPr="00495BAB">
        <w:rPr>
          <w:rtl/>
        </w:rPr>
        <w:t>.</w:t>
      </w:r>
    </w:p>
    <w:p w:rsidR="00BB0549" w:rsidRPr="00495BAB" w:rsidRDefault="00BB0549" w:rsidP="00495BAB">
      <w:pPr>
        <w:pStyle w:val="a0"/>
        <w:rPr>
          <w:rFonts w:hint="cs"/>
          <w:rtl/>
          <w:lang w:bidi="ar-SY"/>
        </w:rPr>
      </w:pPr>
      <w:r w:rsidRPr="00495BAB">
        <w:rPr>
          <w:rFonts w:hint="cs"/>
          <w:rtl/>
        </w:rPr>
        <w:t>ثم قال العلامة في الصفحة 37 من الكتاب ذاته: "</w:t>
      </w:r>
      <w:r w:rsidRPr="00495BAB">
        <w:rPr>
          <w:rFonts w:hint="cs"/>
          <w:b/>
          <w:bCs/>
          <w:rtl/>
        </w:rPr>
        <w:t>احتجَّ السلار بما تقدَّم من الأحاديث الدالة على التسويغ مُطلقاً</w:t>
      </w:r>
      <w:r w:rsidRPr="00495BAB">
        <w:rPr>
          <w:rFonts w:hint="cs"/>
          <w:rtl/>
        </w:rPr>
        <w:t>", ويقصد بالتسويغ جواز التصرف فيها</w:t>
      </w:r>
      <w:r w:rsidRPr="00873C4C">
        <w:rPr>
          <w:rFonts w:cs="Arabic11 BT"/>
          <w:vertAlign w:val="superscript"/>
          <w:rtl/>
          <w:lang w:bidi="ar-SY"/>
        </w:rPr>
        <w:t>(</w:t>
      </w:r>
      <w:r w:rsidRPr="00873C4C">
        <w:rPr>
          <w:rStyle w:val="FootnoteReference"/>
          <w:rFonts w:cs="Arabic11 BT"/>
          <w:rtl/>
          <w:lang w:bidi="ar-SY"/>
        </w:rPr>
        <w:footnoteReference w:id="442"/>
      </w:r>
      <w:r w:rsidRPr="00873C4C">
        <w:rPr>
          <w:rFonts w:cs="Arabic11 BT"/>
          <w:vertAlign w:val="superscript"/>
          <w:rtl/>
          <w:lang w:bidi="ar-SY"/>
        </w:rPr>
        <w:t>)</w:t>
      </w:r>
      <w:r w:rsidRPr="00495BAB">
        <w:rPr>
          <w:rFonts w:hint="cs"/>
          <w:rtl/>
          <w:lang w:bidi="ar-SY"/>
        </w:rPr>
        <w:t>.</w:t>
      </w:r>
    </w:p>
    <w:p w:rsidR="00BB0549" w:rsidRPr="00995B26" w:rsidRDefault="00BB0549" w:rsidP="007D2B8A">
      <w:pPr>
        <w:pStyle w:val="a5"/>
        <w:rPr>
          <w:rFonts w:hint="cs"/>
          <w:rtl/>
        </w:rPr>
      </w:pPr>
      <w:bookmarkStart w:id="169" w:name="_Toc305155993"/>
      <w:bookmarkStart w:id="170" w:name="_Toc387843108"/>
      <w:r w:rsidRPr="00995B26">
        <w:rPr>
          <w:rFonts w:hint="cs"/>
          <w:rtl/>
        </w:rPr>
        <w:t>7- المُحَقِّق الثاني</w:t>
      </w:r>
      <w:bookmarkEnd w:id="169"/>
      <w:bookmarkEnd w:id="170"/>
    </w:p>
    <w:p w:rsidR="00BB0549" w:rsidRPr="00495BAB" w:rsidRDefault="00BB0549" w:rsidP="00495BAB">
      <w:pPr>
        <w:pStyle w:val="a0"/>
        <w:rPr>
          <w:rFonts w:hint="cs"/>
          <w:rtl/>
        </w:rPr>
      </w:pPr>
      <w:r w:rsidRPr="00495BAB">
        <w:rPr>
          <w:rFonts w:hint="cs"/>
          <w:b/>
          <w:bCs/>
          <w:rtl/>
        </w:rPr>
        <w:t>الشيخ الإمام ومُؤسّس إعزاز المذهب الحقّ بأكمل نظام: نور الدين أبو الحسن علي بن الحسين بن عبد العالي الكَرَكي العاملي شارح قواعد الأحكام</w:t>
      </w:r>
      <w:r w:rsidRPr="00495BAB">
        <w:rPr>
          <w:rFonts w:hint="cs"/>
          <w:rtl/>
        </w:rPr>
        <w:t>. وشأنه وجلالة قدره أجلُّ من أن تحتاج إلى بيان. نال في زمن طهماسب الصفوي ثاني سلاطين الأسرة الصفوية أعلى مقام، بنحو كان عزل جميع الأمراء وقادة الدولة ونصبهم بيده، وكان كثيرٌ من العلماء والفقهاء يفتخرون بالتتلمذ على يديه. وقالوا: لم يأتِ بعد الخواجه نصير الدين الطوسي مُجدِّدٌ لمذهب الشيعة مثل المُحقِّقِ الكَرَكِيِّ. تُوفي سنة 937 أو 940 هـ</w:t>
      </w:r>
      <w:r w:rsidR="00AB28A0" w:rsidRPr="00495BAB">
        <w:rPr>
          <w:rFonts w:hint="cs"/>
          <w:rtl/>
        </w:rPr>
        <w:t>.</w:t>
      </w:r>
      <w:r w:rsidRPr="00495BAB">
        <w:rPr>
          <w:rFonts w:hint="cs"/>
          <w:rtl/>
        </w:rPr>
        <w:t xml:space="preserve"> ق. كان صاحب مؤلَّفات عديدة مثل «جامع المقاصد» في شرح قواعد العلامة، و «قطع اللجاج في حلِّ الخراج» ورسالة «الجمعة» وحاشية على كتاب «الإرشاد» وغيرها من الآثار. وللاطِّلاع على شرح أحواله يُراجَع كتاب «روضات الجنات» (ص 290) و«قصص العلماء» (ص344) و«الكُنى والألقاب» (ج 3، ص 140).</w:t>
      </w:r>
    </w:p>
    <w:p w:rsidR="00BB0549" w:rsidRPr="00495BAB" w:rsidRDefault="00BB0549" w:rsidP="00495BAB">
      <w:pPr>
        <w:pStyle w:val="a0"/>
        <w:rPr>
          <w:rFonts w:hint="cs"/>
          <w:rtl/>
        </w:rPr>
      </w:pPr>
      <w:r w:rsidRPr="00495BAB">
        <w:rPr>
          <w:rFonts w:hint="cs"/>
          <w:rtl/>
          <w:lang w:bidi="ar-SY"/>
        </w:rPr>
        <w:t>اعتبر هذا العالِم الجليل في كتابه «قطع اللجاج»</w:t>
      </w:r>
      <w:r w:rsidR="00C37860" w:rsidRPr="00873C4C">
        <w:rPr>
          <w:rFonts w:cs="Arabic11 BT"/>
          <w:vertAlign w:val="superscript"/>
          <w:rtl/>
          <w:lang w:bidi="ar-SY"/>
        </w:rPr>
        <w:t>(</w:t>
      </w:r>
      <w:r w:rsidR="00C37860" w:rsidRPr="00873C4C">
        <w:rPr>
          <w:rStyle w:val="FootnoteReference"/>
          <w:rFonts w:cs="Arabic11 BT"/>
          <w:rtl/>
          <w:lang w:bidi="ar-SY"/>
        </w:rPr>
        <w:footnoteReference w:id="443"/>
      </w:r>
      <w:r w:rsidR="00C37860" w:rsidRPr="00873C4C">
        <w:rPr>
          <w:rFonts w:cs="Arabic11 BT"/>
          <w:vertAlign w:val="superscript"/>
          <w:rtl/>
          <w:lang w:bidi="ar-SY"/>
        </w:rPr>
        <w:t>)</w:t>
      </w:r>
      <w:r w:rsidRPr="00495BAB">
        <w:rPr>
          <w:rFonts w:hint="cs"/>
          <w:rtl/>
          <w:lang w:bidi="ar-SY"/>
        </w:rPr>
        <w:t xml:space="preserve"> أن المناكح والمساكن والمتاجر معفيةٌ من دفع «الخُمْس» وفسَّر أحاديث تحليل «الخُمْس» بقوله: "</w:t>
      </w:r>
      <w:r w:rsidRPr="00495BAB">
        <w:rPr>
          <w:rFonts w:hint="cs"/>
          <w:b/>
          <w:bCs/>
          <w:rtl/>
          <w:lang w:bidi="ar-SY"/>
        </w:rPr>
        <w:t>إنما المُراد: إحلال ما لا بُدَّ منه من المناكح والمساكن والمتاجر</w:t>
      </w:r>
      <w:r w:rsidRPr="00495BAB">
        <w:rPr>
          <w:rFonts w:hint="cs"/>
          <w:rtl/>
          <w:lang w:bidi="ar-SY"/>
        </w:rPr>
        <w:t>". (أي أن جميع هذه الأمور حلال للشيعة بنصِّ أحاديث التحليل).</w:t>
      </w:r>
    </w:p>
    <w:p w:rsidR="00BB0549" w:rsidRPr="00995B26" w:rsidRDefault="00BB0549" w:rsidP="007D2B8A">
      <w:pPr>
        <w:pStyle w:val="a5"/>
        <w:rPr>
          <w:rFonts w:hint="cs"/>
          <w:rtl/>
        </w:rPr>
      </w:pPr>
      <w:bookmarkStart w:id="171" w:name="_Toc305155995"/>
      <w:bookmarkStart w:id="172" w:name="_Toc387843109"/>
      <w:r w:rsidRPr="00995B26">
        <w:rPr>
          <w:rFonts w:hint="cs"/>
          <w:rtl/>
        </w:rPr>
        <w:t>8- المُقَدَّس الأردبيلي</w:t>
      </w:r>
      <w:bookmarkEnd w:id="171"/>
      <w:bookmarkEnd w:id="172"/>
    </w:p>
    <w:p w:rsidR="00BB0549" w:rsidRPr="00495BAB" w:rsidRDefault="00BB0549" w:rsidP="00495BAB">
      <w:pPr>
        <w:pStyle w:val="a0"/>
        <w:rPr>
          <w:rFonts w:hint="cs"/>
          <w:rtl/>
        </w:rPr>
      </w:pPr>
      <w:r w:rsidRPr="00495BAB">
        <w:rPr>
          <w:rFonts w:hint="cs"/>
          <w:b/>
          <w:bCs/>
          <w:rtl/>
        </w:rPr>
        <w:t>العالِمُ العَلَمُ الفقيهُ المُتكلِّمُ المُقدَّسُ الصمدانيُّ مولانا أحمد بن محمد الأردبيلي الآذربايجاني</w:t>
      </w:r>
      <w:r w:rsidRPr="00495BAB">
        <w:rPr>
          <w:rFonts w:hint="cs"/>
          <w:rtl/>
        </w:rPr>
        <w:t xml:space="preserve">. عُرف جنابه بين علماء الشيعة بالزهد والتقوى ووُصف بالكرامات والفضائل إلى حد أنه اشتُهر أنه التقى مرَّات عديدة بإمام العصر وسأله عن المسائل المُعضلة!! ولم يحلّ له الإمام الحيّ الغائب المسائل المُعضلة فحسب بل سمع الإجابة عن أسئلته مرَّات عديدة من الضريح المُبارك لأمير المؤمنين </w:t>
      </w:r>
      <w:r w:rsidRPr="00495BAB">
        <w:rPr>
          <w:rFonts w:hint="cs"/>
          <w:sz w:val="30"/>
          <w:rtl/>
        </w:rPr>
        <w:sym w:font="AGA Arabesque" w:char="F075"/>
      </w:r>
      <w:r w:rsidRPr="00495BAB">
        <w:rPr>
          <w:rFonts w:hint="cs"/>
          <w:rtl/>
        </w:rPr>
        <w:t>!!! «</w:t>
      </w:r>
      <w:r w:rsidRPr="00495BAB">
        <w:rPr>
          <w:rFonts w:hint="cs"/>
          <w:b/>
          <w:bCs/>
          <w:rtl/>
        </w:rPr>
        <w:t>والعهدة على الراوي</w:t>
      </w:r>
      <w:r w:rsidRPr="00495BAB">
        <w:rPr>
          <w:rFonts w:hint="cs"/>
          <w:rtl/>
        </w:rPr>
        <w:t>».</w:t>
      </w:r>
    </w:p>
    <w:p w:rsidR="00BB0549" w:rsidRPr="00495BAB" w:rsidRDefault="00BB0549" w:rsidP="00495BAB">
      <w:pPr>
        <w:pStyle w:val="a0"/>
        <w:rPr>
          <w:rFonts w:hint="cs"/>
          <w:rtl/>
        </w:rPr>
      </w:pPr>
      <w:r w:rsidRPr="00495BAB">
        <w:rPr>
          <w:rFonts w:hint="cs"/>
          <w:rtl/>
        </w:rPr>
        <w:t>هو من مشاهير المُحقِّقين وجهابذتهم ومن فُضلاء العصر ومن صناديد المُدقِّقين. ومن أعاظم علماء العصور ومن مُقدَّسي الأحبار والأخيار المعروفين.</w:t>
      </w:r>
    </w:p>
    <w:p w:rsidR="00BB0549" w:rsidRPr="00495BAB" w:rsidRDefault="00BB0549" w:rsidP="00495BAB">
      <w:pPr>
        <w:pStyle w:val="a0"/>
        <w:rPr>
          <w:rFonts w:hint="cs"/>
          <w:rtl/>
          <w:lang w:bidi="ar-SY"/>
        </w:rPr>
      </w:pPr>
      <w:r w:rsidRPr="00495BAB">
        <w:rPr>
          <w:rFonts w:hint="cs"/>
          <w:rtl/>
        </w:rPr>
        <w:t xml:space="preserve">ولمعرفة شرح حاله ومدى ورعه وتقواه تُراجَع كتب الرجال مثل «روضات الجنات» (ص 22) و «تنقيح المقال» (ج 1، ص 85)، و «الأنوار النُّعمانية»، و«قصص العلماء» (ص 343). تُوفي جنابه في شهر صفر  من عام 993 هـ  ودُفن إلى جانب مرقد أمير المؤمنين علي </w:t>
      </w:r>
      <w:r w:rsidRPr="00495BAB">
        <w:rPr>
          <w:sz w:val="30"/>
          <w:rtl/>
        </w:rPr>
        <w:sym w:font="AGA Arabesque" w:char="F075"/>
      </w:r>
      <w:r w:rsidRPr="00495BAB">
        <w:rPr>
          <w:rFonts w:hint="cs"/>
          <w:rtl/>
        </w:rPr>
        <w:t>.</w:t>
      </w:r>
    </w:p>
    <w:p w:rsidR="00BB0549" w:rsidRPr="00495BAB" w:rsidRDefault="00BB0549" w:rsidP="00394385">
      <w:pPr>
        <w:pStyle w:val="a0"/>
        <w:rPr>
          <w:rFonts w:hint="cs"/>
          <w:rtl/>
          <w:lang w:bidi="ar-SY"/>
        </w:rPr>
      </w:pPr>
      <w:r w:rsidRPr="00495BAB">
        <w:rPr>
          <w:rFonts w:hint="cs"/>
          <w:rtl/>
          <w:lang w:bidi="ar-SY"/>
        </w:rPr>
        <w:t xml:space="preserve">إن رأيَ هذا العالِم الجليل بشأن حِلِّيَة «الخُمْس» وعدم وجوب دفعه من أوضح الآراء التي وصلت إلينا حتى الآن بعد رأي الشيخ عبد الله بن صالح البحراني، فقد قال جنابه في </w:t>
      </w:r>
      <w:r w:rsidRPr="00495BAB">
        <w:rPr>
          <w:rtl/>
          <w:lang w:bidi="ar-SY"/>
        </w:rPr>
        <w:t>كتاب</w:t>
      </w:r>
      <w:r w:rsidRPr="00495BAB">
        <w:rPr>
          <w:rFonts w:hint="cs"/>
          <w:rtl/>
          <w:lang w:bidi="ar-SY"/>
        </w:rPr>
        <w:t>ه</w:t>
      </w:r>
      <w:r w:rsidRPr="00495BAB">
        <w:rPr>
          <w:rtl/>
          <w:lang w:bidi="ar-SY"/>
        </w:rPr>
        <w:t xml:space="preserve"> «</w:t>
      </w:r>
      <w:r w:rsidRPr="00495BAB">
        <w:rPr>
          <w:b/>
          <w:bCs/>
          <w:rtl/>
          <w:lang w:bidi="ar-SY"/>
        </w:rPr>
        <w:t>زبدة البيان</w:t>
      </w:r>
      <w:r w:rsidRPr="00495BAB">
        <w:rPr>
          <w:rFonts w:hint="cs"/>
          <w:rtl/>
          <w:lang w:bidi="ar-SY"/>
        </w:rPr>
        <w:t xml:space="preserve"> </w:t>
      </w:r>
      <w:r w:rsidRPr="00495BAB">
        <w:rPr>
          <w:rFonts w:hint="cs"/>
          <w:b/>
          <w:bCs/>
          <w:rtl/>
          <w:lang w:bidi="ar-SY"/>
        </w:rPr>
        <w:t>في أحكام القرآن</w:t>
      </w:r>
      <w:r w:rsidRPr="00495BAB">
        <w:rPr>
          <w:rtl/>
          <w:lang w:bidi="ar-SY"/>
        </w:rPr>
        <w:t>» (</w:t>
      </w:r>
      <w:r w:rsidRPr="00495BAB">
        <w:rPr>
          <w:rFonts w:hint="cs"/>
          <w:rtl/>
          <w:lang w:bidi="ar-SY"/>
        </w:rPr>
        <w:t>ص 210، الطبعة الجديدة</w:t>
      </w:r>
      <w:r w:rsidRPr="00495BAB">
        <w:rPr>
          <w:rtl/>
          <w:lang w:bidi="ar-SY"/>
        </w:rPr>
        <w:t>)</w:t>
      </w:r>
      <w:r w:rsidRPr="00495BAB">
        <w:rPr>
          <w:rFonts w:hint="cs"/>
          <w:rtl/>
          <w:lang w:bidi="ar-SY"/>
        </w:rPr>
        <w:t xml:space="preserve"> ذيل الآية الكريمة: ﴿</w:t>
      </w:r>
      <w:r w:rsidR="00394385" w:rsidRPr="00394385">
        <w:rPr>
          <w:rFonts w:ascii="KFGQPC Uthmanic Script HAFS" w:hAnsi="KFGQPC Uthmanic Script HAFS" w:cs="KFGQPC Uthmanic Script HAFS"/>
          <w:sz w:val="28"/>
          <w:szCs w:val="28"/>
          <w:rtl/>
        </w:rPr>
        <w:t>۞وَ</w:t>
      </w:r>
      <w:r w:rsidR="00394385" w:rsidRPr="00394385">
        <w:rPr>
          <w:rFonts w:ascii="KFGQPC Uthmanic Script HAFS" w:hAnsi="KFGQPC Uthmanic Script HAFS" w:cs="KFGQPC Uthmanic Script HAFS" w:hint="cs"/>
          <w:sz w:val="28"/>
          <w:szCs w:val="28"/>
          <w:rtl/>
        </w:rPr>
        <w:t>ٱعۡلَمُوٓاْ</w:t>
      </w:r>
      <w:r w:rsidR="00394385" w:rsidRPr="00394385">
        <w:rPr>
          <w:rFonts w:ascii="KFGQPC Uthmanic Script HAFS" w:hAnsi="KFGQPC Uthmanic Script HAFS" w:cs="KFGQPC Uthmanic Script HAFS"/>
          <w:sz w:val="28"/>
          <w:szCs w:val="28"/>
          <w:rtl/>
        </w:rPr>
        <w:t xml:space="preserve"> أَنَّمَا غَنِمۡتُم مِّن شَيۡءٖ</w:t>
      </w:r>
      <w:r w:rsidRPr="00495BAB">
        <w:rPr>
          <w:rFonts w:hint="cs"/>
          <w:rtl/>
          <w:lang w:bidi="ar-SY"/>
        </w:rPr>
        <w:t xml:space="preserve">﴾ </w:t>
      </w:r>
      <w:r w:rsidRPr="009E1401">
        <w:rPr>
          <w:rStyle w:val="Char2"/>
          <w:rFonts w:hint="cs"/>
          <w:rtl/>
        </w:rPr>
        <w:t>[الأنفال</w:t>
      </w:r>
      <w:r w:rsidR="00920257" w:rsidRPr="009E1401">
        <w:rPr>
          <w:rStyle w:val="Char2"/>
          <w:rFonts w:hint="cs"/>
          <w:rtl/>
        </w:rPr>
        <w:t xml:space="preserve">، </w:t>
      </w:r>
      <w:r w:rsidRPr="009E1401">
        <w:rPr>
          <w:rStyle w:val="Char2"/>
          <w:rFonts w:hint="cs"/>
          <w:rtl/>
        </w:rPr>
        <w:t>41]</w:t>
      </w:r>
      <w:r w:rsidRPr="00495BAB">
        <w:rPr>
          <w:rFonts w:hint="cs"/>
          <w:rtl/>
          <w:lang w:bidi="ar-SY"/>
        </w:rPr>
        <w:t xml:space="preserve"> بعد أن أورد رواية مؤذن بني عبس (الحديث السابع في هذا الكُتيِّب) عن حضرة الإمام الصادق </w:t>
      </w:r>
      <w:r w:rsidRPr="00495BAB">
        <w:rPr>
          <w:sz w:val="30"/>
          <w:rtl/>
          <w:lang w:bidi="ar-SY"/>
        </w:rPr>
        <w:sym w:font="AGA Arabesque" w:char="F075"/>
      </w:r>
      <w:r w:rsidRPr="00495BAB">
        <w:rPr>
          <w:rFonts w:hint="cs"/>
          <w:rtl/>
          <w:lang w:bidi="ar-SY"/>
        </w:rPr>
        <w:t xml:space="preserve"> التي قال فيها الإمام: "</w:t>
      </w:r>
      <w:r w:rsidRPr="00495BAB">
        <w:rPr>
          <w:rFonts w:hint="cs"/>
          <w:b/>
          <w:bCs/>
          <w:rtl/>
          <w:lang w:bidi="ar-SY"/>
        </w:rPr>
        <w:t>والله هي الفائدة يوماً فيوماً</w:t>
      </w:r>
      <w:r w:rsidR="00AB28A0" w:rsidRPr="00495BAB">
        <w:rPr>
          <w:rFonts w:hint="cs"/>
          <w:rtl/>
          <w:lang w:bidi="ar-SY"/>
        </w:rPr>
        <w:t>.</w:t>
      </w:r>
      <w:r w:rsidRPr="00495BAB">
        <w:rPr>
          <w:rFonts w:hint="cs"/>
          <w:rtl/>
          <w:lang w:bidi="ar-SY"/>
        </w:rPr>
        <w:t>.."، قال في شرحها: "</w:t>
      </w:r>
      <w:r w:rsidRPr="00495BAB">
        <w:rPr>
          <w:rFonts w:hint="cs"/>
          <w:b/>
          <w:bCs/>
          <w:rtl/>
          <w:lang w:bidi="ar-SY"/>
        </w:rPr>
        <w:t xml:space="preserve">إلا أن </w:t>
      </w:r>
      <w:r w:rsidRPr="00495BAB">
        <w:rPr>
          <w:b/>
          <w:bCs/>
          <w:rtl/>
          <w:lang w:bidi="ar-SY"/>
        </w:rPr>
        <w:t>الظاهر أن لا قائل به</w:t>
      </w:r>
      <w:r w:rsidRPr="00495BAB">
        <w:rPr>
          <w:rFonts w:hint="cs"/>
          <w:rtl/>
          <w:lang w:bidi="ar-SY"/>
        </w:rPr>
        <w:t>". وأردف قائلاً: "</w:t>
      </w:r>
      <w:r w:rsidRPr="00495BAB">
        <w:rPr>
          <w:b/>
          <w:bCs/>
          <w:rtl/>
          <w:lang w:bidi="ar-SY"/>
        </w:rPr>
        <w:t>و</w:t>
      </w:r>
      <w:r w:rsidRPr="00495BAB">
        <w:rPr>
          <w:rFonts w:hint="cs"/>
          <w:b/>
          <w:bCs/>
          <w:rtl/>
          <w:lang w:bidi="ar-SY"/>
        </w:rPr>
        <w:t>أ</w:t>
      </w:r>
      <w:r w:rsidRPr="00495BAB">
        <w:rPr>
          <w:b/>
          <w:bCs/>
          <w:rtl/>
          <w:lang w:bidi="ar-SY"/>
        </w:rPr>
        <w:t>ن</w:t>
      </w:r>
      <w:r w:rsidRPr="00495BAB">
        <w:rPr>
          <w:rFonts w:hint="cs"/>
          <w:b/>
          <w:bCs/>
          <w:rtl/>
          <w:lang w:bidi="ar-SY"/>
        </w:rPr>
        <w:t>َّ</w:t>
      </w:r>
      <w:r w:rsidRPr="00495BAB">
        <w:rPr>
          <w:b/>
          <w:bCs/>
          <w:rtl/>
          <w:lang w:bidi="ar-SY"/>
        </w:rPr>
        <w:t>ه تكليف شاق</w:t>
      </w:r>
      <w:r w:rsidRPr="00495BAB">
        <w:rPr>
          <w:rFonts w:hint="cs"/>
          <w:b/>
          <w:bCs/>
          <w:rtl/>
          <w:lang w:bidi="ar-SY"/>
        </w:rPr>
        <w:t>.</w:t>
      </w:r>
      <w:r w:rsidRPr="00495BAB">
        <w:rPr>
          <w:b/>
          <w:bCs/>
          <w:rtl/>
          <w:lang w:bidi="ar-SY"/>
        </w:rPr>
        <w:t xml:space="preserve"> وإلزام شخص</w:t>
      </w:r>
      <w:r w:rsidRPr="00495BAB">
        <w:rPr>
          <w:rFonts w:hint="cs"/>
          <w:b/>
          <w:bCs/>
          <w:rtl/>
          <w:lang w:bidi="ar-SY"/>
        </w:rPr>
        <w:t>ٍ</w:t>
      </w:r>
      <w:r w:rsidRPr="00495BAB">
        <w:rPr>
          <w:b/>
          <w:bCs/>
          <w:rtl/>
          <w:lang w:bidi="ar-SY"/>
        </w:rPr>
        <w:t xml:space="preserve"> بإخراج خ</w:t>
      </w:r>
      <w:r w:rsidRPr="00495BAB">
        <w:rPr>
          <w:rFonts w:hint="cs"/>
          <w:b/>
          <w:bCs/>
          <w:rtl/>
          <w:lang w:bidi="ar-SY"/>
        </w:rPr>
        <w:t>ُ</w:t>
      </w:r>
      <w:r w:rsidRPr="00495BAB">
        <w:rPr>
          <w:b/>
          <w:bCs/>
          <w:rtl/>
          <w:lang w:bidi="ar-SY"/>
        </w:rPr>
        <w:t>م</w:t>
      </w:r>
      <w:r w:rsidRPr="00495BAB">
        <w:rPr>
          <w:rFonts w:hint="cs"/>
          <w:b/>
          <w:bCs/>
          <w:rtl/>
          <w:lang w:bidi="ar-SY"/>
        </w:rPr>
        <w:t>ْ</w:t>
      </w:r>
      <w:r w:rsidRPr="00495BAB">
        <w:rPr>
          <w:b/>
          <w:bCs/>
          <w:rtl/>
          <w:lang w:bidi="ar-SY"/>
        </w:rPr>
        <w:t>س جميع ما يملكه</w:t>
      </w:r>
      <w:r w:rsidRPr="00495BAB">
        <w:rPr>
          <w:rFonts w:hint="cs"/>
          <w:b/>
          <w:bCs/>
          <w:rtl/>
          <w:lang w:bidi="ar-SY"/>
        </w:rPr>
        <w:t>،</w:t>
      </w:r>
      <w:r w:rsidRPr="00495BAB">
        <w:rPr>
          <w:b/>
          <w:bCs/>
          <w:rtl/>
          <w:lang w:bidi="ar-SY"/>
        </w:rPr>
        <w:t xml:space="preserve"> بمثله</w:t>
      </w:r>
      <w:r w:rsidRPr="00495BAB">
        <w:rPr>
          <w:rFonts w:hint="cs"/>
          <w:b/>
          <w:bCs/>
          <w:rtl/>
          <w:lang w:bidi="ar-SY"/>
        </w:rPr>
        <w:t>،</w:t>
      </w:r>
      <w:r w:rsidRPr="00495BAB">
        <w:rPr>
          <w:b/>
          <w:bCs/>
          <w:rtl/>
          <w:lang w:bidi="ar-SY"/>
        </w:rPr>
        <w:t xml:space="preserve"> م</w:t>
      </w:r>
      <w:r w:rsidRPr="00495BAB">
        <w:rPr>
          <w:rFonts w:hint="cs"/>
          <w:b/>
          <w:bCs/>
          <w:rtl/>
          <w:lang w:bidi="ar-SY"/>
        </w:rPr>
        <w:t>ُ</w:t>
      </w:r>
      <w:r w:rsidRPr="00495BAB">
        <w:rPr>
          <w:b/>
          <w:bCs/>
          <w:rtl/>
          <w:lang w:bidi="ar-SY"/>
        </w:rPr>
        <w:t>ش</w:t>
      </w:r>
      <w:r w:rsidRPr="00495BAB">
        <w:rPr>
          <w:rFonts w:hint="cs"/>
          <w:b/>
          <w:bCs/>
          <w:rtl/>
          <w:lang w:bidi="ar-SY"/>
        </w:rPr>
        <w:t>ْ</w:t>
      </w:r>
      <w:r w:rsidRPr="00495BAB">
        <w:rPr>
          <w:b/>
          <w:bCs/>
          <w:rtl/>
          <w:lang w:bidi="ar-SY"/>
        </w:rPr>
        <w:t>ك</w:t>
      </w:r>
      <w:r w:rsidRPr="00495BAB">
        <w:rPr>
          <w:rFonts w:hint="cs"/>
          <w:b/>
          <w:bCs/>
          <w:rtl/>
          <w:lang w:bidi="ar-SY"/>
        </w:rPr>
        <w:t>ِ</w:t>
      </w:r>
      <w:r w:rsidRPr="00495BAB">
        <w:rPr>
          <w:b/>
          <w:bCs/>
          <w:rtl/>
          <w:lang w:bidi="ar-SY"/>
        </w:rPr>
        <w:t>ل</w:t>
      </w:r>
      <w:r w:rsidRPr="00495BAB">
        <w:rPr>
          <w:rFonts w:hint="cs"/>
          <w:b/>
          <w:bCs/>
          <w:rtl/>
          <w:lang w:bidi="ar-SY"/>
        </w:rPr>
        <w:t>ٌ.</w:t>
      </w:r>
      <w:r w:rsidRPr="00495BAB">
        <w:rPr>
          <w:b/>
          <w:bCs/>
          <w:rtl/>
          <w:lang w:bidi="ar-SY"/>
        </w:rPr>
        <w:t xml:space="preserve"> والأصل</w:t>
      </w:r>
      <w:r w:rsidRPr="00495BAB">
        <w:rPr>
          <w:rFonts w:hint="cs"/>
          <w:b/>
          <w:bCs/>
          <w:rtl/>
          <w:lang w:bidi="ar-SY"/>
        </w:rPr>
        <w:t>،</w:t>
      </w:r>
      <w:r w:rsidRPr="00495BAB">
        <w:rPr>
          <w:b/>
          <w:bCs/>
          <w:rtl/>
          <w:lang w:bidi="ar-SY"/>
        </w:rPr>
        <w:t xml:space="preserve"> والشريعة السهلة السمحة ينفيان</w:t>
      </w:r>
      <w:r w:rsidRPr="00495BAB">
        <w:rPr>
          <w:rFonts w:hint="cs"/>
          <w:b/>
          <w:bCs/>
          <w:rtl/>
          <w:lang w:bidi="ar-SY"/>
        </w:rPr>
        <w:t>ه.</w:t>
      </w:r>
      <w:r w:rsidRPr="00495BAB">
        <w:rPr>
          <w:b/>
          <w:bCs/>
          <w:rtl/>
          <w:lang w:bidi="ar-SY"/>
        </w:rPr>
        <w:t xml:space="preserve"> والرواية غير صحيحة وفي صراحتها </w:t>
      </w:r>
      <w:r w:rsidRPr="00495BAB">
        <w:rPr>
          <w:rFonts w:hint="cs"/>
          <w:b/>
          <w:bCs/>
          <w:rtl/>
          <w:lang w:bidi="ar-SY"/>
        </w:rPr>
        <w:t xml:space="preserve">أيضاً </w:t>
      </w:r>
      <w:r w:rsidRPr="00495BAB">
        <w:rPr>
          <w:b/>
          <w:bCs/>
          <w:rtl/>
          <w:lang w:bidi="ar-SY"/>
        </w:rPr>
        <w:t>تأمّل</w:t>
      </w:r>
      <w:r w:rsidRPr="00495BAB">
        <w:rPr>
          <w:rFonts w:hint="cs"/>
          <w:rtl/>
          <w:lang w:bidi="ar-SY"/>
        </w:rPr>
        <w:t>".</w:t>
      </w:r>
    </w:p>
    <w:p w:rsidR="00BB0549" w:rsidRPr="00495BAB" w:rsidRDefault="00BB0549" w:rsidP="00495BAB">
      <w:pPr>
        <w:pStyle w:val="a0"/>
        <w:rPr>
          <w:rFonts w:hint="cs"/>
          <w:rtl/>
        </w:rPr>
      </w:pPr>
      <w:r w:rsidRPr="00495BAB">
        <w:rPr>
          <w:rFonts w:hint="cs"/>
          <w:rtl/>
          <w:lang w:bidi="ar-SY"/>
        </w:rPr>
        <w:t>إلى أن وصل إلى القول: "</w:t>
      </w:r>
      <w:r w:rsidRPr="00495BAB">
        <w:rPr>
          <w:rFonts w:hint="cs"/>
          <w:b/>
          <w:bCs/>
          <w:rtl/>
          <w:lang w:bidi="ar-SY"/>
        </w:rPr>
        <w:t>والأصلُ الدالُّ على العدم، مع ظواهر بعض الآيات والأخبار</w:t>
      </w:r>
      <w:r w:rsidRPr="00495BAB">
        <w:rPr>
          <w:rFonts w:hint="cs"/>
          <w:rtl/>
          <w:lang w:bidi="ar-SY"/>
        </w:rPr>
        <w:t>"</w:t>
      </w:r>
      <w:r w:rsidR="00C37860" w:rsidRPr="00873C4C">
        <w:rPr>
          <w:rFonts w:cs="Arabic11 BT"/>
          <w:vertAlign w:val="superscript"/>
          <w:rtl/>
        </w:rPr>
        <w:t>(</w:t>
      </w:r>
      <w:r w:rsidR="00C37860" w:rsidRPr="00873C4C">
        <w:rPr>
          <w:rStyle w:val="FootnoteReference"/>
          <w:rFonts w:cs="Arabic11 BT"/>
          <w:rtl/>
        </w:rPr>
        <w:footnoteReference w:id="444"/>
      </w:r>
      <w:r w:rsidR="00C37860" w:rsidRPr="00873C4C">
        <w:rPr>
          <w:rFonts w:cs="Arabic11 BT"/>
          <w:vertAlign w:val="superscript"/>
          <w:rtl/>
        </w:rPr>
        <w:t>)</w:t>
      </w:r>
      <w:r w:rsidRPr="00495BAB">
        <w:rPr>
          <w:rFonts w:hint="cs"/>
          <w:rtl/>
        </w:rPr>
        <w:t>.</w:t>
      </w:r>
    </w:p>
    <w:p w:rsidR="00BB0549" w:rsidRPr="00495BAB" w:rsidRDefault="00BB0549" w:rsidP="00495BAB">
      <w:pPr>
        <w:pStyle w:val="a0"/>
        <w:rPr>
          <w:rFonts w:hint="cs"/>
          <w:rtl/>
        </w:rPr>
      </w:pPr>
      <w:r w:rsidRPr="00495BAB">
        <w:rPr>
          <w:rFonts w:hint="cs"/>
          <w:rtl/>
        </w:rPr>
        <w:t>والأوضح من ذلك نظر جنابه في كتابه «</w:t>
      </w:r>
      <w:r w:rsidRPr="00495BAB">
        <w:rPr>
          <w:rFonts w:hint="cs"/>
          <w:b/>
          <w:bCs/>
          <w:rtl/>
        </w:rPr>
        <w:t>شرح الإرشاد</w:t>
      </w:r>
      <w:r w:rsidRPr="00495BAB">
        <w:rPr>
          <w:rFonts w:hint="cs"/>
          <w:rtl/>
        </w:rPr>
        <w:t>» إذ أشكل فيه على جميع الأحاديث التي تدلُّ على وجوب «الخُمْس» في أرباح المكاسب وبيَّن ضعف سندها ومتنها بأوفى بيان. كما أنه جاء إلى بعض الأحاديث التي لفَّق العلماء استدلالاً منها على وجوب «الخُمْس» فأثبت دلالتها على عكس ذلك وقال في نهاية المطاف: "</w:t>
      </w:r>
      <w:r w:rsidRPr="00495BAB">
        <w:rPr>
          <w:rFonts w:hint="cs"/>
          <w:b/>
          <w:bCs/>
          <w:rtl/>
        </w:rPr>
        <w:t>واعلم أن عموم الأخبار</w:t>
      </w:r>
      <w:r w:rsidRPr="00495BAB">
        <w:rPr>
          <w:rFonts w:hint="cs"/>
          <w:rtl/>
        </w:rPr>
        <w:t xml:space="preserve"> (الأول) (أخبار التحليل) </w:t>
      </w:r>
      <w:r w:rsidRPr="00495BAB">
        <w:rPr>
          <w:rFonts w:hint="cs"/>
          <w:b/>
          <w:bCs/>
          <w:rtl/>
        </w:rPr>
        <w:t>يدل على السقوط بالكلية في زمان الغيبة والحضور بمعنى عدم الوجوب الحتمي فكلهم أخبروا بذلك فعلم عدم الوجوب الحتمي، فلا يرد أنه لا يجوز الإباحة لما بعد موتهم فإنه مال الغير مع التصريح في البعض بالسقوط إلى قيام القائم ويوم القيامة بل ظاهرها سقوط «الخُمْس» بالكلية حتى حصة الفقراء وإباحة أكله مُطلقاً سواءً أكل من ماله ذلك أو غيره وهذه الأخبار هي التي دلَّت على السقوط حال الغيبة وكون الإيصال مُستحبَّاً كما هو مذهب البعض مع ما مرَّ من عدم تحقق محلّ الوجوب إلا قليلاً لعدم دليل قوي على الأرباح والمكاسب وعدم الغنيمة</w:t>
      </w:r>
      <w:r w:rsidRPr="00495BAB">
        <w:rPr>
          <w:rFonts w:hint="cs"/>
          <w:rtl/>
        </w:rPr>
        <w:t>"</w:t>
      </w:r>
      <w:r w:rsidR="00C37860" w:rsidRPr="00873C4C">
        <w:rPr>
          <w:rFonts w:cs="Arabic11 BT"/>
          <w:vertAlign w:val="superscript"/>
          <w:rtl/>
        </w:rPr>
        <w:t>(</w:t>
      </w:r>
      <w:r w:rsidR="00C37860" w:rsidRPr="00873C4C">
        <w:rPr>
          <w:rStyle w:val="FootnoteReference"/>
          <w:rFonts w:cs="Arabic11 BT"/>
          <w:rtl/>
        </w:rPr>
        <w:footnoteReference w:id="445"/>
      </w:r>
      <w:r w:rsidR="00C37860" w:rsidRPr="00873C4C">
        <w:rPr>
          <w:rFonts w:cs="Arabic11 BT"/>
          <w:vertAlign w:val="superscript"/>
          <w:rtl/>
        </w:rPr>
        <w:t>)</w:t>
      </w:r>
      <w:r w:rsidRPr="00495BAB">
        <w:rPr>
          <w:rFonts w:hint="cs"/>
          <w:rtl/>
        </w:rPr>
        <w:t>.</w:t>
      </w:r>
    </w:p>
    <w:p w:rsidR="00BB0549" w:rsidRPr="00495BAB" w:rsidRDefault="00BB0549" w:rsidP="00495BAB">
      <w:pPr>
        <w:pStyle w:val="a0"/>
        <w:rPr>
          <w:rFonts w:hint="cs"/>
          <w:rtl/>
        </w:rPr>
      </w:pPr>
      <w:r w:rsidRPr="00495BAB">
        <w:rPr>
          <w:rFonts w:hint="cs"/>
          <w:rtl/>
        </w:rPr>
        <w:t>إن ذهاب المرحوم المُقدَّس الأردبيلي إلى عدم وجوب «الخُمْس» زمن الغيبة اشتُهر إلى درجة أن الشيخ الجليل «ماجد بن فلاح الشيباني» المُعاصر للشيخ الأردبيلي قال في كتاب «الخراج» مُؤيداً لرأي المُقدَّس الأردبيلي (ص 183): "</w:t>
      </w:r>
      <w:r w:rsidRPr="00495BAB">
        <w:rPr>
          <w:rFonts w:hint="cs"/>
          <w:b/>
          <w:bCs/>
          <w:rtl/>
        </w:rPr>
        <w:t>والمُصنّف -دام ظلّه- يرى عدم وجوب «الخُمْس» في زمن الغيبة</w:t>
      </w:r>
      <w:r w:rsidRPr="00495BAB">
        <w:rPr>
          <w:rFonts w:hint="cs"/>
          <w:rtl/>
        </w:rPr>
        <w:t>"</w:t>
      </w:r>
      <w:r w:rsidR="00C37860" w:rsidRPr="00873C4C">
        <w:rPr>
          <w:rFonts w:cs="Arabic11 BT"/>
          <w:vertAlign w:val="superscript"/>
          <w:rtl/>
        </w:rPr>
        <w:t>(</w:t>
      </w:r>
      <w:r w:rsidR="00C37860" w:rsidRPr="00873C4C">
        <w:rPr>
          <w:rStyle w:val="FootnoteReference"/>
          <w:rFonts w:cs="Arabic11 BT"/>
          <w:rtl/>
        </w:rPr>
        <w:footnoteReference w:id="446"/>
      </w:r>
      <w:r w:rsidR="00C37860" w:rsidRPr="00873C4C">
        <w:rPr>
          <w:rFonts w:cs="Arabic11 BT"/>
          <w:vertAlign w:val="superscript"/>
          <w:rtl/>
        </w:rPr>
        <w:t>)</w:t>
      </w:r>
      <w:r w:rsidRPr="00495BAB">
        <w:rPr>
          <w:rFonts w:hint="cs"/>
          <w:rtl/>
        </w:rPr>
        <w:t>.</w:t>
      </w:r>
    </w:p>
    <w:p w:rsidR="00BB0549" w:rsidRPr="00995B26" w:rsidRDefault="00BB0549" w:rsidP="007D2B8A">
      <w:pPr>
        <w:pStyle w:val="a5"/>
        <w:rPr>
          <w:rFonts w:hint="cs"/>
          <w:rtl/>
        </w:rPr>
      </w:pPr>
      <w:bookmarkStart w:id="173" w:name="_Toc305155997"/>
      <w:bookmarkStart w:id="174" w:name="_Toc387843110"/>
      <w:r w:rsidRPr="00995B26">
        <w:rPr>
          <w:rFonts w:hint="cs"/>
          <w:rtl/>
        </w:rPr>
        <w:t>9- القطيفي</w:t>
      </w:r>
      <w:bookmarkEnd w:id="173"/>
      <w:bookmarkEnd w:id="174"/>
    </w:p>
    <w:p w:rsidR="00BB0549" w:rsidRPr="00495BAB" w:rsidRDefault="00BB0549" w:rsidP="00495BAB">
      <w:pPr>
        <w:pStyle w:val="a0"/>
        <w:rPr>
          <w:rFonts w:hint="cs"/>
          <w:rtl/>
        </w:rPr>
      </w:pPr>
      <w:r w:rsidRPr="00495BAB">
        <w:rPr>
          <w:rFonts w:hint="cs"/>
          <w:b/>
          <w:bCs/>
          <w:rtl/>
        </w:rPr>
        <w:t xml:space="preserve">الشيخ الإمام الجليل النبيل أبو إسماعيل إبراهيم بن سليمان القطيفي البحراني </w:t>
      </w:r>
      <w:r w:rsidRPr="00495BAB">
        <w:rPr>
          <w:rFonts w:hint="cs"/>
          <w:rtl/>
        </w:rPr>
        <w:t xml:space="preserve">المُعاصر والمُناصر للشيخ الجليل علي بن عبد العالي المُحقِّق الكركي. </w:t>
      </w:r>
    </w:p>
    <w:p w:rsidR="00BB0549" w:rsidRPr="00495BAB" w:rsidRDefault="00BB0549" w:rsidP="00495BAB">
      <w:pPr>
        <w:pStyle w:val="a0"/>
        <w:rPr>
          <w:rFonts w:hint="cs"/>
          <w:rtl/>
          <w:lang w:bidi="ar-SY"/>
        </w:rPr>
      </w:pPr>
      <w:r w:rsidRPr="00495BAB">
        <w:rPr>
          <w:rFonts w:hint="cs"/>
          <w:rtl/>
        </w:rPr>
        <w:t>جاء في وصفه ما يلي: "</w:t>
      </w:r>
      <w:r w:rsidRPr="00495BAB">
        <w:rPr>
          <w:rFonts w:hint="cs"/>
          <w:b/>
          <w:bCs/>
          <w:rtl/>
        </w:rPr>
        <w:t>كان عالِماً فاضلاً ورعاً صالحاً من كبار المُجتهدين وأعلام الفقهاء المُحدّثين</w:t>
      </w:r>
      <w:r w:rsidRPr="00495BAB">
        <w:rPr>
          <w:rFonts w:hint="cs"/>
          <w:rtl/>
        </w:rPr>
        <w:t>". وكان له مؤلفات وتصنيفات عديدة من جملتها «الهادي إلى سبيل الرشاد في شرح الإرشاد» وكتاب «تعيين الفرقة الناجية» وكتاب «نفحات الفوائد». تُوفي سنة 940 هـ أو بعدها. وللتعرّف على أحواله يُراجَع كتاب «روضات الجنات»، وكتاب «الكُنى والألقاب» (ج 3، ص 66) و«قصص العلماء» (ص 348).</w:t>
      </w:r>
    </w:p>
    <w:p w:rsidR="00BB0549" w:rsidRPr="00495BAB" w:rsidRDefault="00BB0549" w:rsidP="00495BAB">
      <w:pPr>
        <w:pStyle w:val="a0"/>
        <w:rPr>
          <w:rFonts w:hint="cs"/>
          <w:rtl/>
          <w:lang w:bidi="ar-SY"/>
        </w:rPr>
      </w:pPr>
      <w:r w:rsidRPr="00495BAB">
        <w:rPr>
          <w:rFonts w:hint="cs"/>
          <w:rtl/>
        </w:rPr>
        <w:t xml:space="preserve">قال </w:t>
      </w:r>
      <w:r w:rsidR="00C37860" w:rsidRPr="00495BAB">
        <w:rPr>
          <w:rFonts w:hint="cs"/>
          <w:rtl/>
        </w:rPr>
        <w:t>القطيفي في</w:t>
      </w:r>
      <w:r w:rsidRPr="00495BAB">
        <w:rPr>
          <w:rFonts w:hint="cs"/>
          <w:rtl/>
        </w:rPr>
        <w:t xml:space="preserve"> كتابه الموسوم بـ «السراج الوهاج في مسألة الخراج»: "</w:t>
      </w:r>
      <w:r w:rsidRPr="00495BAB">
        <w:rPr>
          <w:rFonts w:hint="cs"/>
          <w:b/>
          <w:bCs/>
          <w:rtl/>
        </w:rPr>
        <w:t xml:space="preserve">أقول: الذي أذن أئمتنا </w:t>
      </w:r>
      <w:r w:rsidR="00963EFD" w:rsidRPr="00963EFD">
        <w:rPr>
          <w:rFonts w:cs="CTraditional Arabic" w:hint="cs"/>
          <w:b/>
          <w:rtl/>
        </w:rPr>
        <w:t>‡</w:t>
      </w:r>
      <w:r w:rsidRPr="00495BAB">
        <w:rPr>
          <w:rFonts w:hint="cs"/>
          <w:b/>
          <w:bCs/>
          <w:rtl/>
        </w:rPr>
        <w:t xml:space="preserve"> لشيعتهم في زمن الغيبة: المناكح، وفي وجه قوي له شاهد من الآثار: المساكن والمتاجر، وهو في الأرضين مختص بما كان حقهم </w:t>
      </w:r>
      <w:r w:rsidRPr="00495BAB">
        <w:rPr>
          <w:rFonts w:hint="cs"/>
          <w:sz w:val="30"/>
          <w:rtl/>
        </w:rPr>
        <w:sym w:font="Abo-thar" w:char="F044"/>
      </w:r>
      <w:r w:rsidRPr="00495BAB">
        <w:rPr>
          <w:rFonts w:hint="cs"/>
          <w:rtl/>
        </w:rPr>
        <w:t>"</w:t>
      </w:r>
      <w:r w:rsidR="00C37860" w:rsidRPr="00873C4C">
        <w:rPr>
          <w:rFonts w:cs="Arabic11 BT"/>
          <w:vertAlign w:val="superscript"/>
          <w:rtl/>
          <w:lang w:bidi="ar-SY"/>
        </w:rPr>
        <w:t>(</w:t>
      </w:r>
      <w:r w:rsidR="00C37860" w:rsidRPr="00873C4C">
        <w:rPr>
          <w:rStyle w:val="FootnoteReference"/>
          <w:rFonts w:cs="Arabic11 BT"/>
          <w:rtl/>
          <w:lang w:bidi="ar-SY"/>
        </w:rPr>
        <w:footnoteReference w:id="447"/>
      </w:r>
      <w:r w:rsidR="00C37860" w:rsidRPr="00873C4C">
        <w:rPr>
          <w:rFonts w:cs="Arabic11 BT"/>
          <w:vertAlign w:val="superscript"/>
          <w:rtl/>
          <w:lang w:bidi="ar-SY"/>
        </w:rPr>
        <w:t>)</w:t>
      </w:r>
      <w:r w:rsidRPr="00495BAB">
        <w:rPr>
          <w:rFonts w:hint="cs"/>
          <w:rtl/>
          <w:lang w:bidi="ar-SY"/>
        </w:rPr>
        <w:t>.</w:t>
      </w:r>
    </w:p>
    <w:p w:rsidR="00BB0549" w:rsidRPr="00495BAB" w:rsidRDefault="00BB0549" w:rsidP="00394385">
      <w:pPr>
        <w:pStyle w:val="a0"/>
        <w:rPr>
          <w:rFonts w:hint="cs"/>
          <w:rtl/>
        </w:rPr>
      </w:pPr>
      <w:r w:rsidRPr="00495BAB">
        <w:rPr>
          <w:rFonts w:hint="cs"/>
          <w:rtl/>
          <w:lang w:bidi="ar-SY"/>
        </w:rPr>
        <w:t>وفي معرض توضيحه لكلام الشيخ الطوسي استنتج في الصفحة 16 من الكتاب ذاته قائلاً: "</w:t>
      </w:r>
      <w:r w:rsidRPr="00495BAB">
        <w:rPr>
          <w:rFonts w:hint="cs"/>
          <w:b/>
          <w:bCs/>
          <w:rtl/>
          <w:lang w:bidi="ar-SY"/>
        </w:rPr>
        <w:t>الأول إباحة التصرف للشيعة في «الخُمْس» والأراضي إلى أن يقوم قائم آل محمد</w:t>
      </w:r>
      <w:r w:rsidRPr="00495BAB">
        <w:rPr>
          <w:rFonts w:hint="cs"/>
          <w:rtl/>
          <w:lang w:bidi="ar-SY"/>
        </w:rPr>
        <w:t xml:space="preserve"> </w:t>
      </w:r>
      <w:r w:rsidRPr="00495BAB">
        <w:rPr>
          <w:rFonts w:hint="cs"/>
          <w:sz w:val="30"/>
          <w:rtl/>
          <w:lang w:bidi="ar-SY"/>
        </w:rPr>
        <w:sym w:font="Abo-thar" w:char="F044"/>
      </w:r>
      <w:r w:rsidRPr="00495BAB">
        <w:rPr>
          <w:rFonts w:hint="cs"/>
          <w:rtl/>
          <w:lang w:bidi="ar-SY"/>
        </w:rPr>
        <w:t xml:space="preserve">". وذكر في الصفحة 130 من كتابه ذاته أيضاً حديث «نجية» الذي قال الإمام فيه: </w:t>
      </w:r>
      <w:r w:rsidR="00394385" w:rsidRPr="00394385">
        <w:rPr>
          <w:rFonts w:cs="KFGQPC Uthman Taha Naskh" w:hint="cs"/>
          <w:rtl/>
          <w:lang w:bidi="fa-IR"/>
        </w:rPr>
        <w:t>«</w:t>
      </w:r>
      <w:r w:rsidRPr="00394385">
        <w:rPr>
          <w:rFonts w:cs="KFGQPC Uthman Taha Naskh"/>
          <w:b/>
          <w:bCs/>
          <w:rtl/>
          <w:lang w:bidi="fa-IR"/>
        </w:rPr>
        <w:t>لَنَا الخُمُس فِي كِتَابِ اللهِ ولَنَا الْأَنْفَال ولَنَا صَفْو الْ</w:t>
      </w:r>
      <w:r w:rsidR="00394385" w:rsidRPr="00394385">
        <w:rPr>
          <w:rFonts w:cs="KFGQPC Uthman Taha Naskh" w:hint="cs"/>
          <w:b/>
          <w:bCs/>
          <w:rtl/>
          <w:lang w:bidi="fa-IR"/>
        </w:rPr>
        <w:t>ـ</w:t>
      </w:r>
      <w:r w:rsidRPr="00394385">
        <w:rPr>
          <w:rFonts w:cs="KFGQPC Uthman Taha Naskh"/>
          <w:b/>
          <w:bCs/>
          <w:rtl/>
          <w:lang w:bidi="fa-IR"/>
        </w:rPr>
        <w:t>م</w:t>
      </w:r>
      <w:r w:rsidRPr="00394385">
        <w:rPr>
          <w:rFonts w:cs="KFGQPC Uthman Taha Naskh" w:hint="cs"/>
          <w:b/>
          <w:bCs/>
          <w:rtl/>
          <w:lang w:bidi="fa-IR"/>
        </w:rPr>
        <w:t>َا</w:t>
      </w:r>
      <w:r w:rsidRPr="00394385">
        <w:rPr>
          <w:rFonts w:cs="KFGQPC Uthman Taha Naskh"/>
          <w:b/>
          <w:bCs/>
          <w:rtl/>
          <w:lang w:bidi="fa-IR"/>
        </w:rPr>
        <w:t>ل</w:t>
      </w:r>
      <w:r w:rsidR="00AB28A0" w:rsidRPr="00394385">
        <w:rPr>
          <w:rFonts w:cs="KFGQPC Uthman Taha Naskh" w:hint="cs"/>
          <w:b/>
          <w:bCs/>
          <w:rtl/>
          <w:lang w:bidi="fa-IR"/>
        </w:rPr>
        <w:t>.</w:t>
      </w:r>
      <w:r w:rsidRPr="00394385">
        <w:rPr>
          <w:rFonts w:cs="KFGQPC Uthman Taha Naskh" w:hint="cs"/>
          <w:rtl/>
          <w:lang w:bidi="fa-IR"/>
        </w:rPr>
        <w:t>..</w:t>
      </w:r>
      <w:r w:rsidRPr="00394385">
        <w:rPr>
          <w:rFonts w:cs="KFGQPC Uthman Taha Naskh" w:hint="cs"/>
          <w:b/>
          <w:bCs/>
          <w:rtl/>
          <w:lang w:bidi="fa-IR"/>
        </w:rPr>
        <w:t xml:space="preserve"> ثُمَّ قَال: </w:t>
      </w:r>
      <w:r w:rsidRPr="00394385">
        <w:rPr>
          <w:rFonts w:cs="KFGQPC Uthman Taha Naskh"/>
          <w:b/>
          <w:bCs/>
          <w:rtl/>
          <w:lang w:bidi="fa-IR"/>
        </w:rPr>
        <w:t>اللَّهُمَّ إِنَّا أَحْلَلْنَا ذَلِكَ لِشِيعَتِنَا</w:t>
      </w:r>
      <w:r w:rsidR="00394385" w:rsidRPr="00394385">
        <w:rPr>
          <w:rFonts w:cs="KFGQPC Uthman Taha Naskh" w:hint="cs"/>
          <w:rtl/>
          <w:lang w:bidi="fa-IR"/>
        </w:rPr>
        <w:t>»</w:t>
      </w:r>
      <w:r w:rsidRPr="00495BAB">
        <w:rPr>
          <w:rFonts w:hint="cs"/>
          <w:rtl/>
          <w:lang w:bidi="ar-SY"/>
        </w:rPr>
        <w:t xml:space="preserve"> كتب أيضاً يقول: "</w:t>
      </w:r>
      <w:r w:rsidRPr="00495BAB">
        <w:rPr>
          <w:rFonts w:hint="cs"/>
          <w:b/>
          <w:bCs/>
          <w:rtl/>
          <w:lang w:bidi="ar-SY"/>
        </w:rPr>
        <w:t>مفهومه إنهم لم يُحِلُّوا ذلك لغير شيعتهم</w:t>
      </w:r>
      <w:r w:rsidRPr="00495BAB">
        <w:rPr>
          <w:rFonts w:hint="cs"/>
          <w:rtl/>
          <w:lang w:bidi="ar-SY"/>
        </w:rPr>
        <w:t xml:space="preserve">". أي أنه استناداً إلى ما تفضَّل به الإمام من أن «الخُمْس» والأنفال وصفو المال خاصٌّ بالأئمة فقط واستناداً إلى أن الإمام تفضَّل قائلاً: </w:t>
      </w:r>
      <w:r w:rsidRPr="00495BAB">
        <w:rPr>
          <w:rtl/>
          <w:lang w:bidi="ar-SY"/>
        </w:rPr>
        <w:t>اللَّهُمَّ إِنَّا أَحْلَلْنَا ذَلِكَ لِشِيعَتِنَا</w:t>
      </w:r>
      <w:r w:rsidRPr="00495BAB">
        <w:rPr>
          <w:rFonts w:hint="cs"/>
          <w:rtl/>
          <w:lang w:bidi="ar-SY"/>
        </w:rPr>
        <w:t>، فإن مفهوم هذا الكلام هو أنه ليس لغير الشيعة مثل هذه المزيَّة وأن فرقة الشيعة وحدها التي تتمتع بتحليل «الخُمْس» والأنفال!!</w:t>
      </w:r>
    </w:p>
    <w:p w:rsidR="00BB0549" w:rsidRPr="00995B26" w:rsidRDefault="003C671C" w:rsidP="007D2B8A">
      <w:pPr>
        <w:pStyle w:val="a5"/>
        <w:rPr>
          <w:rFonts w:hint="cs"/>
          <w:rtl/>
        </w:rPr>
      </w:pPr>
      <w:bookmarkStart w:id="175" w:name="_Toc305155999"/>
      <w:bookmarkStart w:id="176" w:name="_Toc387843111"/>
      <w:r>
        <w:rPr>
          <w:rFonts w:hint="cs"/>
          <w:rtl/>
        </w:rPr>
        <w:t>10</w:t>
      </w:r>
      <w:r w:rsidR="00BB0549" w:rsidRPr="00995B26">
        <w:rPr>
          <w:rFonts w:hint="cs"/>
          <w:rtl/>
        </w:rPr>
        <w:t>- حسن ابن الشهيد الثاني</w:t>
      </w:r>
      <w:bookmarkEnd w:id="175"/>
      <w:bookmarkEnd w:id="176"/>
    </w:p>
    <w:p w:rsidR="00BB0549" w:rsidRPr="00495BAB" w:rsidRDefault="00BB0549" w:rsidP="00495BAB">
      <w:pPr>
        <w:pStyle w:val="a0"/>
        <w:rPr>
          <w:rFonts w:hint="cs"/>
          <w:rtl/>
        </w:rPr>
      </w:pPr>
      <w:r w:rsidRPr="00495BAB">
        <w:rPr>
          <w:rFonts w:hint="cs"/>
          <w:b/>
          <w:bCs/>
          <w:rtl/>
        </w:rPr>
        <w:t>الشيخ المُحقق المُدقق الضابط المُتقن الأمين جمال الملّة والحق والدين أبو منصور حسن بن الشهيد الثاني زين الدين</w:t>
      </w:r>
      <w:r w:rsidRPr="00495BAB">
        <w:rPr>
          <w:rFonts w:hint="cs"/>
          <w:rtl/>
        </w:rPr>
        <w:t>، إن أمر جنابه في العلم والفقه والتبحُّر والتحقيق وحسن السليقة وجودة الفهم وجلالة القدر وكثرة المحاسن والكمالات أشهر من أن يُذكر وأوضح من أن يُبَيَّن. وهو الابن البار للشيخ زين الدين الشهيد الثاني.</w:t>
      </w:r>
    </w:p>
    <w:p w:rsidR="00BB0549" w:rsidRPr="00495BAB" w:rsidRDefault="00BB0549" w:rsidP="00495BAB">
      <w:pPr>
        <w:pStyle w:val="a0"/>
        <w:rPr>
          <w:rtl/>
          <w:lang w:bidi="ar-SY"/>
        </w:rPr>
      </w:pPr>
      <w:r w:rsidRPr="00495BAB">
        <w:rPr>
          <w:rFonts w:hint="cs"/>
          <w:rtl/>
        </w:rPr>
        <w:t>وهو صاحب مؤلفات عديدة من جملتها كتاب «معالم الدين» وكتاب «تحرير الطاووسي» و«شرح ألفية الشهيد» و«مناسك الحج». تُوفي جنابه سنة 1011 هجرية في قرية «جبع» في جبل عامل. من جملة مؤلفاته القيِّمة كتاب «مُنتقى الجُمان في الأحاديث الصحاح والحسان» الذي يُماثل كتاب «اللؤلؤ والمرجان» للعلامة الحلي. وللتعرّف على تفصيل أحواله وسيرته العطرة يُراجع كتاب «روضات الجنات» (ص 179) وكتاب «تنقيح المقال» (ج 1، ص 281).</w:t>
      </w:r>
    </w:p>
    <w:p w:rsidR="00BB0549" w:rsidRPr="00495BAB" w:rsidRDefault="00BB0549" w:rsidP="00394385">
      <w:pPr>
        <w:pStyle w:val="a0"/>
        <w:rPr>
          <w:rFonts w:hint="cs"/>
          <w:rtl/>
          <w:lang w:bidi="ar-SY"/>
        </w:rPr>
      </w:pPr>
      <w:r w:rsidRPr="00495BAB">
        <w:rPr>
          <w:rFonts w:hint="cs"/>
          <w:rtl/>
          <w:lang w:bidi="ar-SY"/>
        </w:rPr>
        <w:t xml:space="preserve">يذكر هذا العالم الجليل في كتابه «مُنتقى الجُمَان» حديث «الحارث بن المُغيرة النصري» عن حضرة الإمام الصادق </w:t>
      </w:r>
      <w:r w:rsidRPr="00495BAB">
        <w:rPr>
          <w:sz w:val="30"/>
          <w:rtl/>
          <w:lang w:bidi="ar-SY"/>
        </w:rPr>
        <w:sym w:font="AGA Arabesque" w:char="F075"/>
      </w:r>
      <w:r w:rsidRPr="00495BAB">
        <w:rPr>
          <w:rFonts w:hint="cs"/>
          <w:rtl/>
          <w:lang w:bidi="ar-SY"/>
        </w:rPr>
        <w:t xml:space="preserve"> على النحو التالي: </w:t>
      </w:r>
      <w:r w:rsidR="00394385" w:rsidRPr="00394385">
        <w:rPr>
          <w:rFonts w:cs="KFGQPC Uthman Taha Naskh" w:hint="cs"/>
          <w:rtl/>
          <w:lang w:bidi="ar-SY"/>
        </w:rPr>
        <w:t>«</w:t>
      </w:r>
      <w:r w:rsidRPr="00394385">
        <w:rPr>
          <w:rFonts w:cs="KFGQPC Uthman Taha Naskh"/>
          <w:b/>
          <w:bCs/>
          <w:rtl/>
          <w:lang w:bidi="ar-SY"/>
        </w:rPr>
        <w:t>عَنْ أَبِي عَبْدِ اللهِ</w:t>
      </w:r>
      <w:r w:rsidRPr="00394385">
        <w:rPr>
          <w:rFonts w:cs="KFGQPC Uthman Taha Naskh"/>
          <w:rtl/>
          <w:lang w:bidi="ar-SY"/>
        </w:rPr>
        <w:t xml:space="preserve"> </w:t>
      </w:r>
      <w:r w:rsidRPr="00394385">
        <w:rPr>
          <w:rFonts w:cs="KFGQPC Uthman Taha Naskh" w:hint="cs"/>
          <w:sz w:val="30"/>
          <w:rtl/>
          <w:lang w:bidi="ar-SY"/>
        </w:rPr>
        <w:sym w:font="AGA Arabesque" w:char="F075"/>
      </w:r>
      <w:r w:rsidRPr="00394385">
        <w:rPr>
          <w:rFonts w:cs="KFGQPC Uthman Taha Naskh" w:hint="cs"/>
          <w:rtl/>
          <w:lang w:bidi="ar-SY"/>
        </w:rPr>
        <w:t xml:space="preserve"> </w:t>
      </w:r>
      <w:r w:rsidRPr="00394385">
        <w:rPr>
          <w:rFonts w:cs="KFGQPC Uthman Taha Naskh"/>
          <w:b/>
          <w:bCs/>
          <w:rtl/>
          <w:lang w:bidi="ar-SY"/>
        </w:rPr>
        <w:t>قَالَ: قُلْتُ لَهُ</w:t>
      </w:r>
      <w:r w:rsidRPr="00394385">
        <w:rPr>
          <w:rFonts w:cs="KFGQPC Uthman Taha Naskh" w:hint="cs"/>
          <w:b/>
          <w:bCs/>
          <w:rtl/>
          <w:lang w:bidi="ar-SY"/>
        </w:rPr>
        <w:t>:</w:t>
      </w:r>
      <w:r w:rsidRPr="00394385">
        <w:rPr>
          <w:rFonts w:cs="KFGQPC Uthman Taha Naskh"/>
          <w:b/>
          <w:bCs/>
          <w:rtl/>
          <w:lang w:bidi="ar-SY"/>
        </w:rPr>
        <w:t xml:space="preserve"> إِنَّ لَنَا أَمْوَالًا مِنْ غَلَّاتٍ وتِجَارَاتٍ ونَحْوِ ذَلِكَ وقَدْ عَلِمْتُ أَنَّ لَكَ فِيهَا حَقّاً قَالَ: فَلِمَ أَحْلَلْنَا إِذاً لِشِيعَتِنَا إِلَّا لِتَطِيبَ وِلَادَتُهُمْ وكُلُّ مَنْ وَالَى آبَائِي فَهُمْ فِي حِلٍّ مِمَّا فِي أَيْدِيهِمْ مِنْ حَقِّنَا فَلْيُبَلِّغِ الشَّاهِدُ الغَائِبَ</w:t>
      </w:r>
      <w:r w:rsidR="00394385" w:rsidRPr="00394385">
        <w:rPr>
          <w:rFonts w:cs="KFGQPC Uthman Taha Naskh" w:hint="cs"/>
          <w:rtl/>
          <w:lang w:bidi="ar-SY"/>
        </w:rPr>
        <w:t>»</w:t>
      </w:r>
      <w:r w:rsidRPr="00495BAB">
        <w:rPr>
          <w:rFonts w:hint="cs"/>
          <w:rtl/>
          <w:lang w:bidi="ar-SY"/>
        </w:rPr>
        <w:t>.</w:t>
      </w:r>
    </w:p>
    <w:p w:rsidR="00BB0549" w:rsidRPr="00495BAB" w:rsidRDefault="00BB0549" w:rsidP="00495BAB">
      <w:pPr>
        <w:pStyle w:val="a0"/>
        <w:rPr>
          <w:rFonts w:hint="cs"/>
          <w:rtl/>
          <w:lang w:bidi="ar-SY"/>
        </w:rPr>
      </w:pPr>
      <w:r w:rsidRPr="00495BAB">
        <w:rPr>
          <w:rFonts w:hint="cs"/>
          <w:rtl/>
          <w:lang w:bidi="ar-SY"/>
        </w:rPr>
        <w:t>ثم يُعلِّق على هذا الحديث قائلاً: "</w:t>
      </w:r>
      <w:r w:rsidRPr="00495BAB">
        <w:rPr>
          <w:rFonts w:hint="cs"/>
          <w:b/>
          <w:bCs/>
          <w:rtl/>
          <w:lang w:bidi="ar-SY"/>
        </w:rPr>
        <w:t>قلت: لا يخفى قوة دلالة هذا الحديث على تحليل حق الإمام في خصوص النوع المعروف في كلام الأصحاب بالأرباح فإذا أضفته إلى الأخبار السابقة الدالة بمعرفة ما حققناه على اختصاصه بخُمْسها عرفتَ وجهَ مصيرِ بعضِ قُدمائنا إلى عدم وجوب إخراجه بخصوصه في حال الغيبة، وتحققتَ أن استضعاف المُتأخِّرين له ناشئ من قلّة الفحص عن الأخبار ومعانيها والقناعة بميسور النظر إليها</w:t>
      </w:r>
      <w:r w:rsidRPr="00495BAB">
        <w:rPr>
          <w:rFonts w:hint="cs"/>
          <w:rtl/>
          <w:lang w:bidi="ar-SY"/>
        </w:rPr>
        <w:t>!"</w:t>
      </w:r>
      <w:r w:rsidR="00C37860" w:rsidRPr="00873C4C">
        <w:rPr>
          <w:rFonts w:cs="Arabic11 BT"/>
          <w:vertAlign w:val="superscript"/>
          <w:rtl/>
          <w:lang w:bidi="ar-SY"/>
        </w:rPr>
        <w:t>(</w:t>
      </w:r>
      <w:r w:rsidR="00C37860" w:rsidRPr="00873C4C">
        <w:rPr>
          <w:rStyle w:val="FootnoteReference"/>
          <w:rFonts w:cs="Arabic11 BT"/>
          <w:rtl/>
          <w:lang w:bidi="ar-SY"/>
        </w:rPr>
        <w:footnoteReference w:id="448"/>
      </w:r>
      <w:r w:rsidR="00C37860" w:rsidRPr="00873C4C">
        <w:rPr>
          <w:rFonts w:cs="Arabic11 BT"/>
          <w:vertAlign w:val="superscript"/>
          <w:rtl/>
          <w:lang w:bidi="ar-SY"/>
        </w:rPr>
        <w:t>)</w:t>
      </w:r>
      <w:r w:rsidRPr="00495BAB">
        <w:rPr>
          <w:rFonts w:hint="cs"/>
          <w:rtl/>
          <w:lang w:bidi="ar-SY"/>
        </w:rPr>
        <w:t>.</w:t>
      </w:r>
    </w:p>
    <w:p w:rsidR="00BB0549" w:rsidRPr="00495BAB" w:rsidRDefault="00BB0549" w:rsidP="00495BAB">
      <w:pPr>
        <w:pStyle w:val="a0"/>
        <w:rPr>
          <w:rFonts w:hint="cs"/>
          <w:rtl/>
          <w:lang w:bidi="ar-SY"/>
        </w:rPr>
      </w:pPr>
      <w:r w:rsidRPr="00495BAB">
        <w:rPr>
          <w:rFonts w:hint="cs"/>
          <w:rtl/>
          <w:lang w:bidi="ar-SY"/>
        </w:rPr>
        <w:t>وقد نقل المرحوم البحراني في كتابه «الحدائق الناضرة»</w:t>
      </w:r>
      <w:r w:rsidR="00C37860" w:rsidRPr="00873C4C">
        <w:rPr>
          <w:rFonts w:cs="Arabic11 BT"/>
          <w:vertAlign w:val="superscript"/>
          <w:rtl/>
          <w:lang w:bidi="ar-SY"/>
        </w:rPr>
        <w:t>(</w:t>
      </w:r>
      <w:r w:rsidR="00C37860" w:rsidRPr="00873C4C">
        <w:rPr>
          <w:rStyle w:val="FootnoteReference"/>
          <w:rFonts w:cs="Arabic11 BT"/>
          <w:rtl/>
          <w:lang w:bidi="ar-SY"/>
        </w:rPr>
        <w:footnoteReference w:id="449"/>
      </w:r>
      <w:r w:rsidR="00C37860" w:rsidRPr="00873C4C">
        <w:rPr>
          <w:rFonts w:cs="Arabic11 BT"/>
          <w:vertAlign w:val="superscript"/>
          <w:rtl/>
          <w:lang w:bidi="ar-SY"/>
        </w:rPr>
        <w:t>)</w:t>
      </w:r>
      <w:r w:rsidRPr="00495BAB">
        <w:rPr>
          <w:rFonts w:hint="cs"/>
          <w:rtl/>
          <w:lang w:bidi="ar-SY"/>
        </w:rPr>
        <w:t xml:space="preserve"> أيضاً رأي الشيخ حسن بن زين الدين هذا الذي ذكرناه.</w:t>
      </w:r>
    </w:p>
    <w:p w:rsidR="00BB0549" w:rsidRPr="00995B26" w:rsidRDefault="00BB0549" w:rsidP="007D2B8A">
      <w:pPr>
        <w:pStyle w:val="a5"/>
        <w:rPr>
          <w:rFonts w:hint="cs"/>
          <w:rtl/>
        </w:rPr>
      </w:pPr>
      <w:bookmarkStart w:id="177" w:name="_Toc305156001"/>
      <w:bookmarkStart w:id="178" w:name="_Toc387843112"/>
      <w:r w:rsidRPr="00995B26">
        <w:rPr>
          <w:rFonts w:hint="cs"/>
          <w:rtl/>
        </w:rPr>
        <w:t>11- صاحب المدارك</w:t>
      </w:r>
      <w:bookmarkEnd w:id="177"/>
      <w:bookmarkEnd w:id="178"/>
    </w:p>
    <w:p w:rsidR="00BB0549" w:rsidRPr="00495BAB" w:rsidRDefault="00BB0549" w:rsidP="00495BAB">
      <w:pPr>
        <w:pStyle w:val="a0"/>
        <w:rPr>
          <w:rFonts w:hint="cs"/>
          <w:rtl/>
        </w:rPr>
      </w:pPr>
      <w:r w:rsidRPr="00495BAB">
        <w:rPr>
          <w:rFonts w:hint="cs"/>
          <w:b/>
          <w:bCs/>
          <w:rtl/>
          <w:lang w:bidi="ar-SY"/>
        </w:rPr>
        <w:t>السيد السند والرُّكن المُعتمد شمس الدين سيد محمد بن عليّ بن الحسين بن أبي الحسن الموسوي العاملي الجُبعي مؤلف كتاب مدارك الأحكام في شرح شرائع الإسلام</w:t>
      </w:r>
      <w:r w:rsidRPr="00495BAB">
        <w:rPr>
          <w:rFonts w:hint="cs"/>
          <w:rtl/>
          <w:lang w:bidi="ar-SY"/>
        </w:rPr>
        <w:t xml:space="preserve">. </w:t>
      </w:r>
    </w:p>
    <w:p w:rsidR="00BB0549" w:rsidRPr="00495BAB" w:rsidRDefault="00BB0549" w:rsidP="00495BAB">
      <w:pPr>
        <w:pStyle w:val="a0"/>
        <w:rPr>
          <w:rFonts w:hint="cs"/>
          <w:rtl/>
          <w:lang w:bidi="ar-SY"/>
        </w:rPr>
      </w:pPr>
      <w:r w:rsidRPr="00495BAB">
        <w:rPr>
          <w:rFonts w:hint="cs"/>
          <w:rtl/>
          <w:lang w:bidi="ar-SY"/>
        </w:rPr>
        <w:t>وصف صاحب كتاب «أمل الآمل»</w:t>
      </w:r>
      <w:r w:rsidRPr="00873C4C">
        <w:rPr>
          <w:rFonts w:cs="Arabic11 BT"/>
          <w:vertAlign w:val="superscript"/>
          <w:rtl/>
          <w:lang w:bidi="ar-SY"/>
        </w:rPr>
        <w:t>(</w:t>
      </w:r>
      <w:r w:rsidRPr="00873C4C">
        <w:rPr>
          <w:rStyle w:val="FootnoteReference"/>
          <w:rFonts w:cs="Arabic11 BT"/>
          <w:rtl/>
          <w:lang w:bidi="ar-SY"/>
        </w:rPr>
        <w:footnoteReference w:id="450"/>
      </w:r>
      <w:r w:rsidRPr="00873C4C">
        <w:rPr>
          <w:rFonts w:cs="Arabic11 BT"/>
          <w:vertAlign w:val="superscript"/>
          <w:rtl/>
          <w:lang w:bidi="ar-SY"/>
        </w:rPr>
        <w:t>)</w:t>
      </w:r>
      <w:r w:rsidRPr="00495BAB">
        <w:rPr>
          <w:rFonts w:hint="cs"/>
          <w:rtl/>
          <w:lang w:bidi="ar-SY"/>
        </w:rPr>
        <w:t xml:space="preserve"> جنابه بالأوصاف التالية: "</w:t>
      </w:r>
      <w:r w:rsidRPr="00495BAB">
        <w:rPr>
          <w:rFonts w:hint="cs"/>
          <w:b/>
          <w:bCs/>
          <w:rtl/>
          <w:lang w:bidi="ar-SY"/>
        </w:rPr>
        <w:t>كان فاضلاً مُتبحِّراً باهراً مُحقِّقاً مُدقِّقاً زاهداً عالِماً عابداً ورعاً فقيهاً مُحدِّثاً كاملاً جامعاً للفنون والعلوم جليل القدر عظيم المنزلة</w:t>
      </w:r>
      <w:r w:rsidR="00AB28A0" w:rsidRPr="00495BAB">
        <w:rPr>
          <w:rFonts w:hint="cs"/>
          <w:rtl/>
          <w:lang w:bidi="ar-SY"/>
        </w:rPr>
        <w:t>.</w:t>
      </w:r>
      <w:r w:rsidRPr="00495BAB">
        <w:rPr>
          <w:rFonts w:hint="cs"/>
          <w:rtl/>
          <w:lang w:bidi="ar-SY"/>
        </w:rPr>
        <w:t>..". وكان حضرته ممدوحاً مِنْ قِبَلِ علماء الإمامية كافَّة. كانت وفاته في الثامن عشر من شهر ربيع الأول سنة 1009هـ.</w:t>
      </w:r>
    </w:p>
    <w:p w:rsidR="00BB0549" w:rsidRPr="00495BAB" w:rsidRDefault="00BB0549" w:rsidP="00495BAB">
      <w:pPr>
        <w:pStyle w:val="a0"/>
        <w:rPr>
          <w:rFonts w:hint="cs"/>
          <w:rtl/>
          <w:lang w:bidi="ar-SY"/>
        </w:rPr>
      </w:pPr>
      <w:r w:rsidRPr="00495BAB">
        <w:rPr>
          <w:rFonts w:hint="cs"/>
          <w:rtl/>
          <w:lang w:bidi="ar-SY"/>
        </w:rPr>
        <w:t>قال في كتابه «مدارك الأحكام» مُعقِّباً على الجملة التالية من كتاب «شرائع الإسلام»: "</w:t>
      </w:r>
      <w:r w:rsidRPr="00495BAB">
        <w:rPr>
          <w:rFonts w:hint="cs"/>
          <w:b/>
          <w:bCs/>
          <w:rtl/>
          <w:lang w:bidi="ar-SY"/>
        </w:rPr>
        <w:t>الخامس ما يفضل من مؤنة السنة له ولعياله</w:t>
      </w:r>
      <w:r w:rsidR="00AB28A0" w:rsidRPr="00495BAB">
        <w:rPr>
          <w:rFonts w:hint="cs"/>
          <w:rtl/>
          <w:lang w:bidi="ar-SY"/>
        </w:rPr>
        <w:t>.</w:t>
      </w:r>
      <w:r w:rsidRPr="00495BAB">
        <w:rPr>
          <w:rFonts w:hint="cs"/>
          <w:rtl/>
          <w:lang w:bidi="ar-SY"/>
        </w:rPr>
        <w:t>.."، بعد ذكره أحاديث التحليل وآراء الفقهاء بشأنها، قال ذيل حديث الحارث بن المُغيرة النصري: "</w:t>
      </w:r>
      <w:r w:rsidRPr="00495BAB">
        <w:rPr>
          <w:b/>
          <w:bCs/>
          <w:rtl/>
          <w:lang w:bidi="ar-SY"/>
        </w:rPr>
        <w:t>مقتضى صحيحة الحارث بن المغيرة الن</w:t>
      </w:r>
      <w:r w:rsidRPr="00495BAB">
        <w:rPr>
          <w:rFonts w:hint="cs"/>
          <w:b/>
          <w:bCs/>
          <w:rtl/>
          <w:lang w:bidi="ar-SY"/>
        </w:rPr>
        <w:t>ص</w:t>
      </w:r>
      <w:r w:rsidRPr="00495BAB">
        <w:rPr>
          <w:b/>
          <w:bCs/>
          <w:rtl/>
          <w:lang w:bidi="ar-SY"/>
        </w:rPr>
        <w:t>ري، وصحيحة الفضلاء وما في معناهما</w:t>
      </w:r>
      <w:r w:rsidRPr="00495BAB">
        <w:rPr>
          <w:rFonts w:hint="cs"/>
          <w:b/>
          <w:bCs/>
          <w:rtl/>
          <w:lang w:bidi="ar-SY"/>
        </w:rPr>
        <w:t xml:space="preserve"> إباحتهم لشيعتهم</w:t>
      </w:r>
      <w:r w:rsidRPr="00495BAB">
        <w:rPr>
          <w:rFonts w:hint="cs"/>
          <w:rtl/>
          <w:lang w:bidi="ar-SY"/>
        </w:rPr>
        <w:t xml:space="preserve"> </w:t>
      </w:r>
      <w:r w:rsidRPr="00495BAB">
        <w:rPr>
          <w:rFonts w:ascii="Abo-thar" w:hAnsi="Abo-thar" w:hint="cs"/>
          <w:sz w:val="30"/>
          <w:rtl/>
          <w:lang w:bidi="ar-SY"/>
        </w:rPr>
        <w:sym w:font="Abo-thar" w:char="F044"/>
      </w:r>
      <w:r w:rsidRPr="00495BAB">
        <w:rPr>
          <w:rFonts w:hint="cs"/>
          <w:rtl/>
          <w:lang w:bidi="ar-SY"/>
        </w:rPr>
        <w:t xml:space="preserve"> </w:t>
      </w:r>
      <w:r w:rsidRPr="00495BAB">
        <w:rPr>
          <w:rFonts w:hint="cs"/>
          <w:b/>
          <w:bCs/>
          <w:rtl/>
          <w:lang w:bidi="ar-SY"/>
        </w:rPr>
        <w:t>حقوقهم من</w:t>
      </w:r>
      <w:r w:rsidRPr="00495BAB">
        <w:rPr>
          <w:b/>
          <w:bCs/>
          <w:rtl/>
          <w:lang w:bidi="ar-SY"/>
        </w:rPr>
        <w:t xml:space="preserve"> هذا النوع فإن ثبت اختصاصهم خ</w:t>
      </w:r>
      <w:r w:rsidRPr="00495BAB">
        <w:rPr>
          <w:rFonts w:hint="cs"/>
          <w:b/>
          <w:bCs/>
          <w:rtl/>
          <w:lang w:bidi="ar-SY"/>
        </w:rPr>
        <w:t>ُ</w:t>
      </w:r>
      <w:r w:rsidRPr="00495BAB">
        <w:rPr>
          <w:b/>
          <w:bCs/>
          <w:rtl/>
          <w:lang w:bidi="ar-SY"/>
        </w:rPr>
        <w:t>م</w:t>
      </w:r>
      <w:r w:rsidRPr="00495BAB">
        <w:rPr>
          <w:rFonts w:hint="cs"/>
          <w:b/>
          <w:bCs/>
          <w:rtl/>
          <w:lang w:bidi="ar-SY"/>
        </w:rPr>
        <w:t>ْ</w:t>
      </w:r>
      <w:r w:rsidRPr="00495BAB">
        <w:rPr>
          <w:b/>
          <w:bCs/>
          <w:rtl/>
          <w:lang w:bidi="ar-SY"/>
        </w:rPr>
        <w:t>س ذلك وجب القول بالعفو عنه كما أطلقه ابن الجنيد</w:t>
      </w:r>
      <w:r w:rsidRPr="00495BAB">
        <w:rPr>
          <w:rFonts w:hint="cs"/>
          <w:rtl/>
          <w:lang w:bidi="ar-SY"/>
        </w:rPr>
        <w:t xml:space="preserve">". </w:t>
      </w:r>
    </w:p>
    <w:p w:rsidR="00BB0549" w:rsidRPr="00495BAB" w:rsidRDefault="00BB0549" w:rsidP="00495BAB">
      <w:pPr>
        <w:pStyle w:val="a0"/>
        <w:rPr>
          <w:rFonts w:hint="cs"/>
          <w:rtl/>
          <w:lang w:bidi="ar-SY"/>
        </w:rPr>
      </w:pPr>
      <w:r w:rsidRPr="00495BAB">
        <w:rPr>
          <w:rFonts w:hint="cs"/>
          <w:rtl/>
          <w:lang w:bidi="ar-SY"/>
        </w:rPr>
        <w:t>وفي ختام بحث «الخُمْس»، وبعد أن بحث قول مُصنِّف «الشرائع» في إباحة المناكح والمساكن والمتاجر وأنه ما المقصود منها؟ خَلُصَ إلى القول: "</w:t>
      </w:r>
      <w:r w:rsidRPr="00495BAB">
        <w:rPr>
          <w:rFonts w:hint="cs"/>
          <w:b/>
          <w:bCs/>
          <w:rtl/>
          <w:lang w:bidi="ar-SY"/>
        </w:rPr>
        <w:t>وكيف كان فالمُستفاد من الأخبار المُتقدِّمة إباحة حقوقهم من جميع ذلك والله العالِم</w:t>
      </w:r>
      <w:r w:rsidRPr="00495BAB">
        <w:rPr>
          <w:rFonts w:hint="cs"/>
          <w:rtl/>
          <w:lang w:bidi="ar-SY"/>
        </w:rPr>
        <w:t>".</w:t>
      </w:r>
    </w:p>
    <w:p w:rsidR="00BB0549" w:rsidRPr="00495BAB" w:rsidRDefault="00BB0549" w:rsidP="00495BAB">
      <w:pPr>
        <w:pStyle w:val="a0"/>
        <w:rPr>
          <w:rFonts w:hint="cs"/>
          <w:rtl/>
          <w:lang w:bidi="ar-SY"/>
        </w:rPr>
      </w:pPr>
      <w:r w:rsidRPr="00495BAB">
        <w:rPr>
          <w:rFonts w:hint="cs"/>
          <w:rtl/>
          <w:lang w:bidi="ar-SY"/>
        </w:rPr>
        <w:t>كما نسب المرحوم صاحب «الحدائق»</w:t>
      </w:r>
      <w:r w:rsidR="00C37860" w:rsidRPr="00873C4C">
        <w:rPr>
          <w:rFonts w:cs="Arabic11 BT"/>
          <w:vertAlign w:val="superscript"/>
          <w:rtl/>
          <w:lang w:bidi="ar-SY"/>
        </w:rPr>
        <w:t>(</w:t>
      </w:r>
      <w:r w:rsidR="00C37860" w:rsidRPr="00873C4C">
        <w:rPr>
          <w:rStyle w:val="FootnoteReference"/>
          <w:rFonts w:cs="Arabic11 BT"/>
          <w:rtl/>
          <w:lang w:bidi="ar-SY"/>
        </w:rPr>
        <w:footnoteReference w:id="451"/>
      </w:r>
      <w:r w:rsidR="00C37860" w:rsidRPr="00873C4C">
        <w:rPr>
          <w:rFonts w:cs="Arabic11 BT"/>
          <w:vertAlign w:val="superscript"/>
          <w:rtl/>
          <w:lang w:bidi="ar-SY"/>
        </w:rPr>
        <w:t>)</w:t>
      </w:r>
      <w:r w:rsidRPr="00495BAB">
        <w:rPr>
          <w:rFonts w:hint="cs"/>
          <w:rtl/>
          <w:lang w:bidi="ar-SY"/>
        </w:rPr>
        <w:t xml:space="preserve"> (ج 12، ص 442) سقوط سهم الإمام بعلّة التحليل إلى صاحب المدارك، لأن صاحب المدارك قال: "</w:t>
      </w:r>
      <w:r w:rsidRPr="00495BAB">
        <w:rPr>
          <w:rFonts w:hint="cs"/>
          <w:b/>
          <w:bCs/>
          <w:rtl/>
          <w:lang w:bidi="ar-SY"/>
        </w:rPr>
        <w:t xml:space="preserve">والأصح إباحة ما يتعلّق بالإمام </w:t>
      </w:r>
      <w:r w:rsidR="003C7AEB" w:rsidRPr="003C7AEB">
        <w:rPr>
          <w:rFonts w:cs="CTraditional Arabic" w:hint="cs"/>
          <w:b/>
          <w:rtl/>
          <w:lang w:bidi="ar-SY"/>
        </w:rPr>
        <w:t>÷</w:t>
      </w:r>
      <w:r w:rsidRPr="00495BAB">
        <w:rPr>
          <w:rFonts w:hint="cs"/>
          <w:b/>
          <w:bCs/>
          <w:rtl/>
          <w:lang w:bidi="ar-SY"/>
        </w:rPr>
        <w:t xml:space="preserve"> من ذلك خاصَّة، للأخبار الكثيرة الدالة عليه</w:t>
      </w:r>
      <w:r w:rsidRPr="00495BAB">
        <w:rPr>
          <w:rFonts w:hint="cs"/>
          <w:rtl/>
          <w:lang w:bidi="ar-SY"/>
        </w:rPr>
        <w:t xml:space="preserve">". إذن فسهم الإمام من جميع الأخماس وجميع خُمْس أرباح المكاسب الخاصُّ بالإمام وحده، مُباح في رأي جنابه للشيعة وأداؤه ساقط عنهم. </w:t>
      </w:r>
    </w:p>
    <w:p w:rsidR="00BB0549" w:rsidRPr="00995B26" w:rsidRDefault="00BB0549" w:rsidP="007D2B8A">
      <w:pPr>
        <w:pStyle w:val="a5"/>
        <w:rPr>
          <w:rFonts w:hint="cs"/>
          <w:rtl/>
        </w:rPr>
      </w:pPr>
      <w:bookmarkStart w:id="179" w:name="_Toc305156003"/>
      <w:bookmarkStart w:id="180" w:name="_Toc387843113"/>
      <w:r w:rsidRPr="00995B26">
        <w:rPr>
          <w:rFonts w:hint="cs"/>
          <w:rtl/>
        </w:rPr>
        <w:t>12- المُحَقِّق السبزواري</w:t>
      </w:r>
      <w:bookmarkEnd w:id="179"/>
      <w:bookmarkEnd w:id="180"/>
    </w:p>
    <w:p w:rsidR="00BB0549" w:rsidRPr="00495BAB" w:rsidRDefault="00BB0549" w:rsidP="00495BAB">
      <w:pPr>
        <w:pStyle w:val="a0"/>
        <w:rPr>
          <w:rFonts w:hint="cs"/>
          <w:rtl/>
          <w:lang w:bidi="ar-SY"/>
        </w:rPr>
      </w:pPr>
      <w:r w:rsidRPr="00495BAB">
        <w:rPr>
          <w:rFonts w:hint="cs"/>
          <w:b/>
          <w:bCs/>
          <w:rtl/>
          <w:lang w:bidi="ar-SY"/>
        </w:rPr>
        <w:t>المولى الفاضل الفقيه الداري محمد باقر بن محمد مؤمن الخُراساني السبزواري. فاضل وعالم وحكيم ومُتكلّم وفقيه أصوليّ ومُحدّث</w:t>
      </w:r>
      <w:r w:rsidRPr="00495BAB">
        <w:rPr>
          <w:rFonts w:hint="cs"/>
          <w:rtl/>
          <w:lang w:bidi="ar-SY"/>
        </w:rPr>
        <w:t>. أصله من سبزوار ثم سكن بعد ذلك أصفهان وعلا شأنه وارتفع أمره إلى حد أن الشاه عباس الثاني (الصفوي) اختاره لإمامة الجمعة والجماعة ومنصب شيخ الإسلام. وكانت بينه وبين المُلَّا مُحسن فيض الكاشاني أُلفةٌ تامّةٌ واتِّفاقٌ كاملٌ وكان يتَّفق معه في كثير من المراسم والأحكام. له شرح كبير على كتاب «الإرشاد» للعلامة الحلي سمَّاه «ذخيرة المعاد» صدر عن قلمه المُبارك حتى آخر أحكام الحج، كما له مؤلفات أخرى مثل كتاب «كفاية الفقه»  ورسالة في الوجوب العيني لصلاة الجمعة وغير ذلك. وكان من تلاميذ الشيخ البهائي. تُوُفِّيَ +سنة 1090 هـ</w:t>
      </w:r>
      <w:r w:rsidR="00AB28A0" w:rsidRPr="00495BAB">
        <w:rPr>
          <w:rFonts w:hint="cs"/>
          <w:rtl/>
          <w:lang w:bidi="ar-SY"/>
        </w:rPr>
        <w:t>.</w:t>
      </w:r>
      <w:r w:rsidRPr="00495BAB">
        <w:rPr>
          <w:rFonts w:hint="cs"/>
          <w:rtl/>
          <w:lang w:bidi="ar-SY"/>
        </w:rPr>
        <w:t xml:space="preserve"> للاطِّلاع على شرح أحواله يُراجَع «روضات الجنات» (ص 117) و«تنقيح المقال» (ج 2، ص 85، قسم 2) و«قصص العلماء» (ص 386).</w:t>
      </w:r>
    </w:p>
    <w:p w:rsidR="00BB0549" w:rsidRPr="00495BAB" w:rsidRDefault="00BB0549" w:rsidP="00495BAB">
      <w:pPr>
        <w:pStyle w:val="a0"/>
        <w:rPr>
          <w:rFonts w:hint="cs"/>
          <w:rtl/>
          <w:lang w:bidi="ar-SY"/>
        </w:rPr>
      </w:pPr>
      <w:r w:rsidRPr="00495BAB">
        <w:rPr>
          <w:rFonts w:hint="cs"/>
          <w:rtl/>
          <w:lang w:bidi="ar-SY"/>
        </w:rPr>
        <w:t xml:space="preserve">قال </w:t>
      </w:r>
      <w:r w:rsidR="00C37860" w:rsidRPr="00495BAB">
        <w:rPr>
          <w:rFonts w:hint="cs"/>
          <w:rtl/>
          <w:lang w:bidi="ar-SY"/>
        </w:rPr>
        <w:t>المحقق السبزواري</w:t>
      </w:r>
      <w:r w:rsidRPr="00495BAB">
        <w:rPr>
          <w:rFonts w:hint="cs"/>
          <w:rtl/>
          <w:lang w:bidi="ar-SY"/>
        </w:rPr>
        <w:t xml:space="preserve"> في كتابه «ذخيرة المعاد» في باب «الخُمْس»: "</w:t>
      </w:r>
      <w:r w:rsidRPr="00495BAB">
        <w:rPr>
          <w:rFonts w:hint="cs"/>
          <w:b/>
          <w:bCs/>
          <w:rtl/>
          <w:lang w:bidi="ar-SY"/>
        </w:rPr>
        <w:t>إن الأخبار الدالة على وجوب «الخُمْس» في الأرباح مُستفيضة، والقول به معروف بين الأصحاب لا</w:t>
      </w:r>
      <w:r w:rsidRPr="00495BAB">
        <w:rPr>
          <w:rFonts w:cs="Times New Roman" w:hint="cs"/>
          <w:b/>
          <w:bCs/>
          <w:rtl/>
          <w:lang w:bidi="ar-SY"/>
        </w:rPr>
        <w:t> </w:t>
      </w:r>
      <w:r w:rsidRPr="00495BAB">
        <w:rPr>
          <w:rFonts w:hint="cs"/>
          <w:b/>
          <w:bCs/>
          <w:rtl/>
          <w:lang w:bidi="ar-SY"/>
        </w:rPr>
        <w:t xml:space="preserve">سبيل إلى ردِّه. ولكن المُستفاد من عدّة من الأخبار أنه مخصوص بالإمام، أو المُستفاد من كثير منها أنهم </w:t>
      </w:r>
      <w:r w:rsidR="00963EFD" w:rsidRPr="00963EFD">
        <w:rPr>
          <w:rFonts w:cs="CTraditional Arabic" w:hint="cs"/>
          <w:b/>
          <w:rtl/>
          <w:lang w:bidi="ar-SY"/>
        </w:rPr>
        <w:t>‡</w:t>
      </w:r>
      <w:r w:rsidRPr="00495BAB">
        <w:rPr>
          <w:rFonts w:hint="cs"/>
          <w:b/>
          <w:bCs/>
          <w:rtl/>
          <w:lang w:bidi="ar-SY"/>
        </w:rPr>
        <w:t xml:space="preserve"> أباحوه لشيعتهم</w:t>
      </w:r>
      <w:r w:rsidR="00AB28A0" w:rsidRPr="00495BAB">
        <w:rPr>
          <w:rFonts w:hint="cs"/>
          <w:b/>
          <w:bCs/>
          <w:rtl/>
          <w:lang w:bidi="ar-SY"/>
        </w:rPr>
        <w:t>.</w:t>
      </w:r>
      <w:r w:rsidRPr="00495BAB">
        <w:rPr>
          <w:rFonts w:hint="cs"/>
          <w:b/>
          <w:bCs/>
          <w:rtl/>
          <w:lang w:bidi="ar-SY"/>
        </w:rPr>
        <w:t xml:space="preserve">.. وأما الأخبار الدالة على أنهم </w:t>
      </w:r>
      <w:r w:rsidR="00963EFD" w:rsidRPr="00963EFD">
        <w:rPr>
          <w:rFonts w:cs="CTraditional Arabic" w:hint="cs"/>
          <w:b/>
          <w:rtl/>
          <w:lang w:bidi="ar-SY"/>
        </w:rPr>
        <w:t>‡</w:t>
      </w:r>
      <w:r w:rsidRPr="00495BAB">
        <w:rPr>
          <w:rFonts w:hint="cs"/>
          <w:b/>
          <w:bCs/>
          <w:rtl/>
          <w:lang w:bidi="ar-SY"/>
        </w:rPr>
        <w:t xml:space="preserve"> أباحوا «الخُمْس» مُطلقاً، أو النوع المذكورة منه، لشيعتهم فكثير</w:t>
      </w:r>
      <w:r w:rsidRPr="00495BAB">
        <w:rPr>
          <w:rFonts w:hint="cs"/>
          <w:rtl/>
          <w:lang w:bidi="ar-SY"/>
        </w:rPr>
        <w:t>"</w:t>
      </w:r>
      <w:r w:rsidR="00C37860" w:rsidRPr="00873C4C">
        <w:rPr>
          <w:rFonts w:cs="Arabic11 BT"/>
          <w:vertAlign w:val="superscript"/>
          <w:rtl/>
          <w:lang w:bidi="ar-SY"/>
        </w:rPr>
        <w:t>(</w:t>
      </w:r>
      <w:r w:rsidR="00C37860" w:rsidRPr="00873C4C">
        <w:rPr>
          <w:rStyle w:val="FootnoteReference"/>
          <w:rFonts w:cs="Arabic11 BT"/>
          <w:rtl/>
          <w:lang w:bidi="ar-SY"/>
        </w:rPr>
        <w:footnoteReference w:id="452"/>
      </w:r>
      <w:r w:rsidR="00C37860" w:rsidRPr="00873C4C">
        <w:rPr>
          <w:rFonts w:cs="Arabic11 BT"/>
          <w:vertAlign w:val="superscript"/>
          <w:rtl/>
          <w:lang w:bidi="ar-SY"/>
        </w:rPr>
        <w:t>)</w:t>
      </w:r>
      <w:r w:rsidRPr="00495BAB">
        <w:rPr>
          <w:rFonts w:hint="cs"/>
          <w:rtl/>
          <w:lang w:bidi="ar-SY"/>
        </w:rPr>
        <w:t>.</w:t>
      </w:r>
    </w:p>
    <w:p w:rsidR="00BB0549" w:rsidRPr="00495BAB" w:rsidRDefault="00BB0549" w:rsidP="00495BAB">
      <w:pPr>
        <w:pStyle w:val="a0"/>
        <w:rPr>
          <w:rFonts w:hint="cs"/>
          <w:rtl/>
          <w:lang w:bidi="ar-SY"/>
        </w:rPr>
      </w:pPr>
      <w:r w:rsidRPr="00495BAB">
        <w:rPr>
          <w:rFonts w:hint="cs"/>
          <w:rtl/>
          <w:lang w:bidi="ar-SY"/>
        </w:rPr>
        <w:t>ثم أورد حديث «الحارث بن المُغيرة النصري» (الحديث 16 في هذا الكُتيِّب) وما ذكره الشيخ حسن بن زين الدين بشأنه مما مرّ معنا آنفاً، ثم ذكر بعد ذلك أحاديث التحليل وخَلُصَ إلى القول: "</w:t>
      </w:r>
      <w:r w:rsidRPr="00495BAB">
        <w:rPr>
          <w:rFonts w:hint="cs"/>
          <w:b/>
          <w:bCs/>
          <w:rtl/>
          <w:lang w:bidi="ar-SY"/>
        </w:rPr>
        <w:t>واعلم أن بعض هذه الروايات يدلُّ على الترخيص في خُمْس الأرباح وبعضها يدلُّ على التحليل والترخيص من مُطلق «الخُمْس»</w:t>
      </w:r>
      <w:r w:rsidRPr="00495BAB">
        <w:rPr>
          <w:rFonts w:hint="cs"/>
          <w:rtl/>
          <w:lang w:bidi="ar-SY"/>
        </w:rPr>
        <w:t xml:space="preserve">". </w:t>
      </w:r>
    </w:p>
    <w:p w:rsidR="00BB0549" w:rsidRPr="00495BAB" w:rsidRDefault="00BB0549" w:rsidP="00495BAB">
      <w:pPr>
        <w:pStyle w:val="a0"/>
        <w:rPr>
          <w:rFonts w:hint="cs"/>
          <w:rtl/>
          <w:lang w:bidi="ar-SY"/>
        </w:rPr>
      </w:pPr>
      <w:r w:rsidRPr="00495BAB">
        <w:rPr>
          <w:rFonts w:hint="cs"/>
          <w:rtl/>
          <w:lang w:bidi="ar-SY"/>
        </w:rPr>
        <w:t>ثم قال في موضوع تقسيم «الخُمْس» -بعد نقله أقوال العلماء في ذلك-: "</w:t>
      </w:r>
      <w:r w:rsidRPr="00495BAB">
        <w:rPr>
          <w:rFonts w:hint="cs"/>
          <w:b/>
          <w:bCs/>
          <w:rtl/>
          <w:lang w:bidi="ar-SY"/>
        </w:rPr>
        <w:t>وقد ذكرنا سابقاً ترجيح سقوط خُمْس الأرباح في زمان الغيبة، والمُستفاد من الأخبار الكثيرة السابقة</w:t>
      </w:r>
      <w:r w:rsidRPr="00495BAB">
        <w:rPr>
          <w:rFonts w:hint="cs"/>
          <w:rtl/>
          <w:lang w:bidi="ar-SY"/>
        </w:rPr>
        <w:t>"</w:t>
      </w:r>
      <w:r w:rsidRPr="00873C4C">
        <w:rPr>
          <w:rFonts w:cs="Arabic11 BT"/>
          <w:vertAlign w:val="superscript"/>
          <w:rtl/>
          <w:lang w:bidi="ar-SY"/>
        </w:rPr>
        <w:t>(</w:t>
      </w:r>
      <w:r w:rsidRPr="00873C4C">
        <w:rPr>
          <w:rStyle w:val="FootnoteReference"/>
          <w:rFonts w:cs="Arabic11 BT"/>
          <w:rtl/>
          <w:lang w:bidi="ar-SY"/>
        </w:rPr>
        <w:footnoteReference w:id="453"/>
      </w:r>
      <w:r w:rsidRPr="00873C4C">
        <w:rPr>
          <w:rFonts w:cs="Arabic11 BT"/>
          <w:vertAlign w:val="superscript"/>
          <w:rtl/>
          <w:lang w:bidi="ar-SY"/>
        </w:rPr>
        <w:t>)</w:t>
      </w:r>
      <w:r w:rsidRPr="00495BAB">
        <w:rPr>
          <w:rFonts w:hint="cs"/>
          <w:rtl/>
          <w:lang w:bidi="ar-SY"/>
        </w:rPr>
        <w:t>. ثم أشار إلى أحاديث التحليل، وأجاب عن الإشكالات الواردة عليها بإجابات كافية وشافية.</w:t>
      </w:r>
    </w:p>
    <w:p w:rsidR="00BB0549" w:rsidRPr="00495BAB" w:rsidRDefault="00BB0549" w:rsidP="00495BAB">
      <w:pPr>
        <w:pStyle w:val="a0"/>
        <w:rPr>
          <w:rFonts w:hint="cs"/>
          <w:rtl/>
          <w:lang w:bidi="ar-SY"/>
        </w:rPr>
      </w:pPr>
      <w:r w:rsidRPr="00495BAB">
        <w:rPr>
          <w:rFonts w:hint="cs"/>
          <w:rtl/>
          <w:lang w:bidi="ar-SY"/>
        </w:rPr>
        <w:t>لقد كان القول بعدم وجوب «الخُمْس» في نظر المُحقِّق السبزواري مشهوراً إلى درجة أن مُعارضيه ومُخالفيه مثل الشيخ عليّ بن محمد بن الحسن بن زين الدين لاموه على هذه الفتوى!! هذا رغم أنه اعتبر إنفاق «الخُمْس» على اليتامى والمساكين وابن السبيل أحوط وأولى. هذا وقد نقل صاحب «الحدائق»</w:t>
      </w:r>
      <w:r w:rsidR="00C37860" w:rsidRPr="00873C4C">
        <w:rPr>
          <w:rFonts w:cs="Arabic11 BT"/>
          <w:vertAlign w:val="superscript"/>
          <w:rtl/>
          <w:lang w:bidi="ar-SY"/>
        </w:rPr>
        <w:t>(</w:t>
      </w:r>
      <w:r w:rsidR="00C37860" w:rsidRPr="00873C4C">
        <w:rPr>
          <w:rStyle w:val="FootnoteReference"/>
          <w:rFonts w:cs="Arabic11 BT"/>
          <w:rtl/>
          <w:lang w:bidi="ar-SY"/>
        </w:rPr>
        <w:footnoteReference w:id="454"/>
      </w:r>
      <w:r w:rsidR="00C37860" w:rsidRPr="00873C4C">
        <w:rPr>
          <w:rFonts w:cs="Arabic11 BT"/>
          <w:vertAlign w:val="superscript"/>
          <w:rtl/>
          <w:lang w:bidi="ar-SY"/>
        </w:rPr>
        <w:t>)</w:t>
      </w:r>
      <w:r w:rsidRPr="00495BAB">
        <w:rPr>
          <w:rFonts w:hint="cs"/>
          <w:rtl/>
          <w:lang w:bidi="ar-SY"/>
        </w:rPr>
        <w:t xml:space="preserve"> القول بسقوط «الخُمْس» عن جناب المُحقِّق السبزواري.</w:t>
      </w:r>
    </w:p>
    <w:p w:rsidR="00BB0549" w:rsidRPr="00995B26" w:rsidRDefault="00BB0549" w:rsidP="007D2B8A">
      <w:pPr>
        <w:pStyle w:val="a5"/>
        <w:rPr>
          <w:rFonts w:hint="cs"/>
          <w:rtl/>
        </w:rPr>
      </w:pPr>
      <w:bookmarkStart w:id="181" w:name="_Toc305156005"/>
      <w:bookmarkStart w:id="182" w:name="_Toc387843114"/>
      <w:r w:rsidRPr="00995B26">
        <w:rPr>
          <w:rFonts w:hint="cs"/>
          <w:rtl/>
        </w:rPr>
        <w:t>13- المُلَّا محسن فيض الكاشاني</w:t>
      </w:r>
      <w:bookmarkEnd w:id="181"/>
      <w:bookmarkEnd w:id="182"/>
    </w:p>
    <w:p w:rsidR="00BB0549" w:rsidRPr="00495BAB" w:rsidRDefault="00BB0549" w:rsidP="00495BAB">
      <w:pPr>
        <w:pStyle w:val="a0"/>
        <w:rPr>
          <w:rFonts w:hint="cs"/>
          <w:rtl/>
          <w:lang w:bidi="ar-SY"/>
        </w:rPr>
      </w:pPr>
      <w:r w:rsidRPr="00495BAB">
        <w:rPr>
          <w:rFonts w:hint="cs"/>
          <w:b/>
          <w:bCs/>
          <w:rtl/>
          <w:lang w:bidi="ar-SY"/>
        </w:rPr>
        <w:t>مولانا الفاضل الكامل المُؤيَّد المُسدَّد مُحسن بن شاه مُرتضى بن شاه محمود المُشتهر بفيض الكاشاني</w:t>
      </w:r>
      <w:r w:rsidRPr="00495BAB">
        <w:rPr>
          <w:rFonts w:hint="cs"/>
          <w:rtl/>
          <w:lang w:bidi="ar-SY"/>
        </w:rPr>
        <w:t>. جنابه أشهر من أن يحتاج إلى تعريف أو وصف. وللتعرف على حاله السعيدة يُمكن الرجوع إلى كتاب «روضات الجنات» (ص 516) و «تنقيح المقال» (ج 2، ص 54، القسم الثاني) و «قصص العلماء» (ص 322) وسائر كتب التراجم وأحوال الرجال. وكان حضرته صاحب مؤلفات عديدة في فنون مختلفة.</w:t>
      </w:r>
    </w:p>
    <w:p w:rsidR="00BB0549" w:rsidRPr="00495BAB" w:rsidRDefault="00BB0549" w:rsidP="00873C4C">
      <w:pPr>
        <w:pStyle w:val="a0"/>
        <w:ind w:left="624" w:hanging="340"/>
        <w:rPr>
          <w:rFonts w:hint="cs"/>
          <w:rtl/>
          <w:lang w:bidi="ar-SY"/>
        </w:rPr>
      </w:pPr>
      <w:r w:rsidRPr="00495BAB">
        <w:rPr>
          <w:rFonts w:hint="cs"/>
          <w:rtl/>
          <w:lang w:bidi="ar-SY"/>
        </w:rPr>
        <w:t xml:space="preserve">1- قال </w:t>
      </w:r>
      <w:r w:rsidR="00C37860" w:rsidRPr="00495BAB">
        <w:rPr>
          <w:rFonts w:hint="cs"/>
          <w:rtl/>
          <w:lang w:bidi="ar-SY"/>
        </w:rPr>
        <w:t xml:space="preserve">الفيض الكاشاني </w:t>
      </w:r>
      <w:r w:rsidRPr="00495BAB">
        <w:rPr>
          <w:rFonts w:hint="cs"/>
          <w:rtl/>
          <w:lang w:bidi="ar-SY"/>
        </w:rPr>
        <w:t>في كتابه «الوافي» -الذي يشتمل على أحاديث الكتب الأربعة</w:t>
      </w:r>
      <w:r w:rsidR="00C37860" w:rsidRPr="00495BAB">
        <w:rPr>
          <w:rFonts w:hint="cs"/>
          <w:rtl/>
          <w:lang w:bidi="ar-SY"/>
        </w:rPr>
        <w:t>-</w:t>
      </w:r>
      <w:r w:rsidRPr="00495BAB">
        <w:rPr>
          <w:rFonts w:hint="cs"/>
          <w:rtl/>
          <w:lang w:bidi="ar-SY"/>
        </w:rPr>
        <w:t>: "</w:t>
      </w:r>
      <w:r w:rsidRPr="00495BAB">
        <w:rPr>
          <w:rFonts w:hint="cs"/>
          <w:b/>
          <w:bCs/>
          <w:rtl/>
          <w:lang w:bidi="ar-SY"/>
        </w:rPr>
        <w:t>وأما في مثل هذا الزمان حيث لا يُمكن الوصول إليهم فيسقط حقهم رأساً دون السهام الباقية لوجود مُستحقِّها، ومن صرف الكل حينئذ إلى الأصناف الثلاثة فقد أحسن واحتاط والعلم عند الله</w:t>
      </w:r>
      <w:r w:rsidRPr="00495BAB">
        <w:rPr>
          <w:rFonts w:hint="cs"/>
          <w:rtl/>
          <w:lang w:bidi="ar-SY"/>
        </w:rPr>
        <w:t>"</w:t>
      </w:r>
      <w:r w:rsidR="00C37860" w:rsidRPr="00873C4C">
        <w:rPr>
          <w:rFonts w:cs="Arabic11 BT"/>
          <w:vertAlign w:val="superscript"/>
          <w:rtl/>
          <w:lang w:bidi="ar-SY"/>
        </w:rPr>
        <w:t>(</w:t>
      </w:r>
      <w:r w:rsidR="00C37860" w:rsidRPr="00873C4C">
        <w:rPr>
          <w:rStyle w:val="FootnoteReference"/>
          <w:rFonts w:cs="Arabic11 BT"/>
          <w:rtl/>
          <w:lang w:bidi="ar-SY"/>
        </w:rPr>
        <w:footnoteReference w:id="455"/>
      </w:r>
      <w:r w:rsidR="00C37860" w:rsidRPr="00873C4C">
        <w:rPr>
          <w:rFonts w:cs="Arabic11 BT"/>
          <w:vertAlign w:val="superscript"/>
          <w:rtl/>
          <w:lang w:bidi="ar-SY"/>
        </w:rPr>
        <w:t>)</w:t>
      </w:r>
      <w:r w:rsidRPr="00495BAB">
        <w:rPr>
          <w:rFonts w:hint="cs"/>
          <w:rtl/>
          <w:lang w:bidi="ar-SY"/>
        </w:rPr>
        <w:t>.</w:t>
      </w:r>
    </w:p>
    <w:p w:rsidR="00BB0549" w:rsidRPr="00495BAB" w:rsidRDefault="00BB0549" w:rsidP="00873C4C">
      <w:pPr>
        <w:pStyle w:val="a0"/>
        <w:ind w:left="624" w:hanging="340"/>
        <w:rPr>
          <w:rFonts w:hint="cs"/>
          <w:rtl/>
          <w:lang w:bidi="ar-SY"/>
        </w:rPr>
      </w:pPr>
      <w:r w:rsidRPr="00495BAB">
        <w:rPr>
          <w:rFonts w:hint="cs"/>
          <w:rtl/>
          <w:lang w:bidi="ar-SY"/>
        </w:rPr>
        <w:t>2- وكتب في كتابه «مفاتيح الشرائع» في بيان كيفية تقسيم «الخُمْس»، بعد أن أشار إلى جملة من الأقوال في هذه المسألة: "</w:t>
      </w:r>
      <w:r w:rsidRPr="00495BAB">
        <w:rPr>
          <w:rFonts w:hint="cs"/>
          <w:b/>
          <w:bCs/>
          <w:rtl/>
          <w:lang w:bidi="ar-SY"/>
        </w:rPr>
        <w:t>أقول: والأصح عندي سقوط ما يختص به لتحليلهم ذلك لشيعتهم ووجوب صرف حصص الباقين إلى أهلها لعدم مانع فيه، ثمَّ قال: ولو صرف الكل إليهم لكان أحوط وأحسن</w:t>
      </w:r>
      <w:r w:rsidRPr="00495BAB">
        <w:rPr>
          <w:rFonts w:hint="cs"/>
          <w:rtl/>
          <w:lang w:bidi="ar-SY"/>
        </w:rPr>
        <w:t>"</w:t>
      </w:r>
      <w:r w:rsidR="00C37860" w:rsidRPr="00873C4C">
        <w:rPr>
          <w:rFonts w:cs="Arabic11 BT"/>
          <w:vertAlign w:val="superscript"/>
          <w:rtl/>
          <w:lang w:bidi="ar-SY"/>
        </w:rPr>
        <w:t>(</w:t>
      </w:r>
      <w:r w:rsidR="00C37860" w:rsidRPr="00873C4C">
        <w:rPr>
          <w:rStyle w:val="FootnoteReference"/>
          <w:rFonts w:cs="Arabic11 BT"/>
          <w:rtl/>
          <w:lang w:bidi="ar-SY"/>
        </w:rPr>
        <w:footnoteReference w:id="456"/>
      </w:r>
      <w:r w:rsidR="00C37860" w:rsidRPr="00873C4C">
        <w:rPr>
          <w:rFonts w:cs="Arabic11 BT"/>
          <w:vertAlign w:val="superscript"/>
          <w:rtl/>
          <w:lang w:bidi="ar-SY"/>
        </w:rPr>
        <w:t>)</w:t>
      </w:r>
      <w:r w:rsidRPr="00495BAB">
        <w:rPr>
          <w:rFonts w:hint="cs"/>
          <w:rtl/>
          <w:lang w:bidi="ar-SY"/>
        </w:rPr>
        <w:t>.</w:t>
      </w:r>
    </w:p>
    <w:p w:rsidR="00BB0549" w:rsidRPr="00495BAB" w:rsidRDefault="00BB0549" w:rsidP="00495BAB">
      <w:pPr>
        <w:pStyle w:val="a0"/>
        <w:rPr>
          <w:rFonts w:hint="cs"/>
          <w:rtl/>
          <w:lang w:bidi="ar-SY"/>
        </w:rPr>
      </w:pPr>
      <w:r w:rsidRPr="00495BAB">
        <w:rPr>
          <w:rFonts w:hint="cs"/>
          <w:rtl/>
          <w:lang w:bidi="ar-SY"/>
        </w:rPr>
        <w:t>ونسب المرحوم الشيخ يوسف البحراني أيضاً في كتابه «الحدائق» سقوط حق الإمام إلى الفيض الكاشاني</w:t>
      </w:r>
      <w:r w:rsidR="00C37860" w:rsidRPr="00873C4C">
        <w:rPr>
          <w:rFonts w:cs="Arabic11 BT"/>
          <w:vertAlign w:val="superscript"/>
          <w:rtl/>
          <w:lang w:bidi="ar-SY"/>
        </w:rPr>
        <w:t>(</w:t>
      </w:r>
      <w:r w:rsidR="00C37860" w:rsidRPr="00873C4C">
        <w:rPr>
          <w:rStyle w:val="FootnoteReference"/>
          <w:rFonts w:cs="Arabic11 BT"/>
          <w:rtl/>
          <w:lang w:bidi="ar-SY"/>
        </w:rPr>
        <w:footnoteReference w:id="457"/>
      </w:r>
      <w:r w:rsidR="00C37860" w:rsidRPr="00873C4C">
        <w:rPr>
          <w:rFonts w:cs="Arabic11 BT"/>
          <w:vertAlign w:val="superscript"/>
          <w:rtl/>
          <w:lang w:bidi="ar-SY"/>
        </w:rPr>
        <w:t>)</w:t>
      </w:r>
      <w:r w:rsidRPr="00495BAB">
        <w:rPr>
          <w:rFonts w:hint="cs"/>
          <w:rtl/>
          <w:lang w:bidi="ar-SY"/>
        </w:rPr>
        <w:t xml:space="preserve">. </w:t>
      </w:r>
    </w:p>
    <w:p w:rsidR="00BB0549" w:rsidRPr="00995B26" w:rsidRDefault="00BB0549" w:rsidP="007D2B8A">
      <w:pPr>
        <w:pStyle w:val="a5"/>
        <w:rPr>
          <w:rFonts w:hint="cs"/>
          <w:rtl/>
        </w:rPr>
      </w:pPr>
      <w:bookmarkStart w:id="183" w:name="_Toc305156006"/>
      <w:bookmarkStart w:id="184" w:name="_Toc387843115"/>
      <w:r w:rsidRPr="00995B26">
        <w:rPr>
          <w:rFonts w:hint="cs"/>
          <w:rtl/>
        </w:rPr>
        <w:t>14- الشيخ الحُر العاملي</w:t>
      </w:r>
      <w:bookmarkEnd w:id="183"/>
      <w:bookmarkEnd w:id="184"/>
    </w:p>
    <w:p w:rsidR="00BB0549" w:rsidRPr="00495BAB" w:rsidRDefault="00BB0549" w:rsidP="00495BAB">
      <w:pPr>
        <w:pStyle w:val="a0"/>
        <w:rPr>
          <w:rFonts w:hint="cs"/>
          <w:rtl/>
          <w:lang w:bidi="ar-SY"/>
        </w:rPr>
      </w:pPr>
      <w:r w:rsidRPr="00495BAB">
        <w:rPr>
          <w:rFonts w:hint="cs"/>
          <w:b/>
          <w:bCs/>
          <w:rtl/>
          <w:lang w:bidi="ar-SY"/>
        </w:rPr>
        <w:t>الشيخ المُحدِّث الفقيه والمدين المُقدّس الوجيه محمد بن الحسن بن عليّ بن محمد المعروف بالشيخ الحُرّ العاملي</w:t>
      </w:r>
      <w:r w:rsidRPr="00495BAB">
        <w:rPr>
          <w:rFonts w:hint="cs"/>
          <w:rtl/>
          <w:lang w:bidi="ar-SY"/>
        </w:rPr>
        <w:t>. هو أيضاً مشهور بين علماء العصور والأقطار كالشمس في رابعة النهار، وكتابه المشهور «وسائل الشيعة» الجامع لأحاديث الكتب الأربعة وسائر كتب الشيعة في الفقه، من الكتب المعروفة والمشهورة. ومن أراد الاطِّلاع على شرح أحواله يُمكنه الرجوع إلى كتاب «روضات الجنات» وسائر كتب الرجال.</w:t>
      </w:r>
    </w:p>
    <w:p w:rsidR="00BB0549" w:rsidRPr="00495BAB" w:rsidRDefault="00BB0549" w:rsidP="00495BAB">
      <w:pPr>
        <w:pStyle w:val="a0"/>
        <w:rPr>
          <w:rtl/>
          <w:lang w:bidi="ar-SY"/>
        </w:rPr>
      </w:pPr>
      <w:r w:rsidRPr="00495BAB">
        <w:rPr>
          <w:rFonts w:hint="cs"/>
          <w:rtl/>
          <w:lang w:bidi="ar-SY"/>
        </w:rPr>
        <w:t xml:space="preserve">قال </w:t>
      </w:r>
      <w:r w:rsidR="007F0D8D" w:rsidRPr="00495BAB">
        <w:rPr>
          <w:rFonts w:hint="cs"/>
          <w:rtl/>
          <w:lang w:bidi="ar-SY"/>
        </w:rPr>
        <w:t>الشيخ الحر العاملي في كتابه «وسائل الشيعة»</w:t>
      </w:r>
      <w:r w:rsidRPr="00495BAB">
        <w:rPr>
          <w:rFonts w:hint="cs"/>
          <w:rtl/>
          <w:lang w:bidi="ar-SY"/>
        </w:rPr>
        <w:t>: "</w:t>
      </w:r>
      <w:r w:rsidRPr="00495BAB">
        <w:rPr>
          <w:b/>
          <w:bCs/>
          <w:rtl/>
          <w:lang w:bidi="ar-SY"/>
        </w:rPr>
        <w:t>بَابُ إِبَاحَةِ حِصَّةِ الْإِمَامِ مِنَ الْ</w:t>
      </w:r>
      <w:r w:rsidR="00394385">
        <w:rPr>
          <w:rFonts w:hint="cs"/>
          <w:b/>
          <w:bCs/>
          <w:rtl/>
          <w:lang w:bidi="ar-SY"/>
        </w:rPr>
        <w:t>ـ</w:t>
      </w:r>
      <w:r w:rsidRPr="00495BAB">
        <w:rPr>
          <w:b/>
          <w:bCs/>
          <w:rtl/>
          <w:lang w:bidi="ar-SY"/>
        </w:rPr>
        <w:t>خ</w:t>
      </w:r>
      <w:r w:rsidR="00394385">
        <w:rPr>
          <w:rFonts w:hint="cs"/>
          <w:b/>
          <w:bCs/>
          <w:rtl/>
          <w:lang w:bidi="ar-SY"/>
        </w:rPr>
        <w:t>ـ</w:t>
      </w:r>
      <w:r w:rsidRPr="00495BAB">
        <w:rPr>
          <w:b/>
          <w:bCs/>
          <w:rtl/>
          <w:lang w:bidi="ar-SY"/>
        </w:rPr>
        <w:t>ُمُسِ لِلشِّيعَةِ مَعَ تَعَذُّرِ إِيصَالِهَا إِلَيْهِ وَعَدَمِ احْتِيَاجِ السَّادَاتِ وَجَوَازِ تَصَرُّفِ الشِّيعَةِ فِي الْأَنْفَالِ وَالْفَيْ‏ءِ وَسَائِرِ حُقُوقِ الْإِمَامِ مَعَ الْ</w:t>
      </w:r>
      <w:r w:rsidR="00394385">
        <w:rPr>
          <w:rFonts w:hint="cs"/>
          <w:b/>
          <w:bCs/>
          <w:rtl/>
          <w:lang w:bidi="ar-SY"/>
        </w:rPr>
        <w:t>ـ</w:t>
      </w:r>
      <w:r w:rsidRPr="00495BAB">
        <w:rPr>
          <w:b/>
          <w:bCs/>
          <w:rtl/>
          <w:lang w:bidi="ar-SY"/>
        </w:rPr>
        <w:t>حَاجَةِ وَتَعَذُّرِ الْإِيصَالِ</w:t>
      </w:r>
      <w:r w:rsidRPr="00495BAB">
        <w:rPr>
          <w:rFonts w:hint="cs"/>
          <w:rtl/>
          <w:lang w:bidi="ar-SY"/>
        </w:rPr>
        <w:t>"</w:t>
      </w:r>
      <w:r w:rsidR="007F0D8D" w:rsidRPr="00873C4C">
        <w:rPr>
          <w:rFonts w:cs="Arabic11 BT"/>
          <w:vertAlign w:val="superscript"/>
          <w:rtl/>
          <w:lang w:bidi="ar-SY"/>
        </w:rPr>
        <w:t>(</w:t>
      </w:r>
      <w:r w:rsidR="007F0D8D" w:rsidRPr="00873C4C">
        <w:rPr>
          <w:rStyle w:val="FootnoteReference"/>
          <w:rFonts w:cs="Arabic11 BT"/>
          <w:rtl/>
          <w:lang w:bidi="ar-SY"/>
        </w:rPr>
        <w:footnoteReference w:id="458"/>
      </w:r>
      <w:r w:rsidR="007F0D8D" w:rsidRPr="00873C4C">
        <w:rPr>
          <w:rFonts w:cs="Arabic11 BT"/>
          <w:vertAlign w:val="superscript"/>
          <w:rtl/>
          <w:lang w:bidi="ar-SY"/>
        </w:rPr>
        <w:t>)</w:t>
      </w:r>
      <w:r w:rsidRPr="00495BAB">
        <w:rPr>
          <w:rFonts w:hint="cs"/>
          <w:rtl/>
          <w:lang w:bidi="ar-SY"/>
        </w:rPr>
        <w:t>.</w:t>
      </w:r>
    </w:p>
    <w:p w:rsidR="00BB0549" w:rsidRPr="00495BAB" w:rsidRDefault="00BB0549" w:rsidP="00495BAB">
      <w:pPr>
        <w:pStyle w:val="a0"/>
        <w:rPr>
          <w:rFonts w:hint="cs"/>
          <w:rtl/>
          <w:lang w:bidi="ar-SY"/>
        </w:rPr>
      </w:pPr>
      <w:r w:rsidRPr="00495BAB">
        <w:rPr>
          <w:rFonts w:hint="cs"/>
          <w:rtl/>
          <w:lang w:bidi="ar-SY"/>
        </w:rPr>
        <w:t>ونسب المرحوم الشيخ يوسف البحراني أيضاً في كتابه «الحدائق الناضرة» هذا المذهب عينه إليه قائلاً بأنه كان من القائلين بسقوط سهم الإمام</w:t>
      </w:r>
      <w:r w:rsidR="007F0D8D" w:rsidRPr="00873C4C">
        <w:rPr>
          <w:rFonts w:cs="Arabic11 BT"/>
          <w:vertAlign w:val="superscript"/>
          <w:rtl/>
          <w:lang w:bidi="ar-SY"/>
        </w:rPr>
        <w:t>(</w:t>
      </w:r>
      <w:r w:rsidR="007F0D8D" w:rsidRPr="00873C4C">
        <w:rPr>
          <w:rStyle w:val="FootnoteReference"/>
          <w:rFonts w:cs="Arabic11 BT"/>
          <w:rtl/>
          <w:lang w:bidi="ar-SY"/>
        </w:rPr>
        <w:footnoteReference w:id="459"/>
      </w:r>
      <w:r w:rsidR="007F0D8D" w:rsidRPr="00873C4C">
        <w:rPr>
          <w:rFonts w:cs="Arabic11 BT"/>
          <w:vertAlign w:val="superscript"/>
          <w:rtl/>
          <w:lang w:bidi="ar-SY"/>
        </w:rPr>
        <w:t>)</w:t>
      </w:r>
      <w:r w:rsidRPr="00495BAB">
        <w:rPr>
          <w:rFonts w:hint="cs"/>
          <w:rtl/>
          <w:lang w:bidi="ar-SY"/>
        </w:rPr>
        <w:t>.</w:t>
      </w:r>
    </w:p>
    <w:p w:rsidR="00BB0549" w:rsidRPr="00995B26" w:rsidRDefault="00BB0549" w:rsidP="007D2B8A">
      <w:pPr>
        <w:pStyle w:val="a5"/>
        <w:rPr>
          <w:rFonts w:hint="cs"/>
          <w:rtl/>
        </w:rPr>
      </w:pPr>
      <w:bookmarkStart w:id="185" w:name="_Toc305156008"/>
      <w:bookmarkStart w:id="186" w:name="_Toc387843116"/>
      <w:r w:rsidRPr="00995B26">
        <w:rPr>
          <w:rFonts w:hint="cs"/>
          <w:rtl/>
        </w:rPr>
        <w:t>15- الشيخ يوسف البحراني</w:t>
      </w:r>
      <w:bookmarkEnd w:id="185"/>
      <w:bookmarkEnd w:id="186"/>
    </w:p>
    <w:p w:rsidR="00BB0549" w:rsidRPr="00495BAB" w:rsidRDefault="00BB0549" w:rsidP="00495BAB">
      <w:pPr>
        <w:pStyle w:val="a0"/>
        <w:rPr>
          <w:rFonts w:hint="cs"/>
          <w:rtl/>
          <w:lang w:bidi="ar-SY"/>
        </w:rPr>
      </w:pPr>
      <w:r w:rsidRPr="00495BAB">
        <w:rPr>
          <w:rFonts w:hint="cs"/>
          <w:b/>
          <w:bCs/>
          <w:rtl/>
          <w:lang w:bidi="ar-SY"/>
        </w:rPr>
        <w:t>العالم الرباني والعالم الإنساني شيخنا الأفقه الأوجه الأحوط الأضبط يوسف بن أحمد بن إبراهيم بن أحمد البحراني صاحب «الحدائق الناضرة» و«الدرر النجفية» وسائر الآثار القيِّمة</w:t>
      </w:r>
      <w:r w:rsidRPr="00495BAB">
        <w:rPr>
          <w:rFonts w:hint="cs"/>
          <w:rtl/>
          <w:lang w:bidi="ar-SY"/>
        </w:rPr>
        <w:t>". تُوفي سنة 1180 هـ</w:t>
      </w:r>
      <w:r w:rsidR="00AB28A0" w:rsidRPr="00495BAB">
        <w:rPr>
          <w:rFonts w:hint="cs"/>
          <w:rtl/>
          <w:lang w:bidi="ar-SY"/>
        </w:rPr>
        <w:t>.</w:t>
      </w:r>
      <w:r w:rsidRPr="00495BAB">
        <w:rPr>
          <w:rFonts w:hint="cs"/>
          <w:rtl/>
          <w:lang w:bidi="ar-SY"/>
        </w:rPr>
        <w:t xml:space="preserve"> ق.</w:t>
      </w:r>
    </w:p>
    <w:p w:rsidR="00BB0549" w:rsidRPr="00495BAB" w:rsidRDefault="00BB0549" w:rsidP="00394385">
      <w:pPr>
        <w:pStyle w:val="a0"/>
        <w:rPr>
          <w:rFonts w:hint="cs"/>
          <w:rtl/>
          <w:lang w:bidi="ar-SY"/>
        </w:rPr>
      </w:pPr>
      <w:r w:rsidRPr="00495BAB">
        <w:rPr>
          <w:rFonts w:hint="cs"/>
          <w:rtl/>
          <w:lang w:bidi="ar-SY"/>
        </w:rPr>
        <w:t>كتب مؤلف «الحدائق الناضرة» يقول: "</w:t>
      </w:r>
      <w:r w:rsidRPr="00495BAB">
        <w:rPr>
          <w:rFonts w:hint="cs"/>
          <w:b/>
          <w:bCs/>
          <w:rtl/>
          <w:lang w:bidi="ar-SY"/>
        </w:rPr>
        <w:t xml:space="preserve">وأما حال الغيبة فالظاهر عندي هو صرف حصة الأصناف </w:t>
      </w:r>
      <w:r w:rsidRPr="00495BAB">
        <w:rPr>
          <w:rFonts w:hint="cs"/>
          <w:rtl/>
          <w:lang w:bidi="ar-SY"/>
        </w:rPr>
        <w:t>(أي الأصناف الثلاثة: اليتامى والمساكين وابن السبيل)</w:t>
      </w:r>
      <w:r w:rsidRPr="00495BAB">
        <w:rPr>
          <w:rFonts w:hint="cs"/>
          <w:b/>
          <w:bCs/>
          <w:rtl/>
          <w:lang w:bidi="ar-SY"/>
        </w:rPr>
        <w:t xml:space="preserve"> عليهم، كما هو عليه جمهور أصحابنا فيما مضى من نقل أقوالهم بما دلَّ على ذلك من الآية والأخبار المُتقدِّمة في القسم الأول المُؤكد بالأخبار المذكورة في القسم الثاني، فيجب إيصالها إليهم لعدم المانع من ذلك. وأما حقه</w:t>
      </w:r>
      <w:r w:rsidRPr="00495BAB">
        <w:rPr>
          <w:rFonts w:hint="cs"/>
          <w:sz w:val="30"/>
          <w:rtl/>
          <w:lang w:bidi="ar-SY"/>
        </w:rPr>
        <w:sym w:font="AGA Arabesque" w:char="F075"/>
      </w:r>
      <w:r w:rsidRPr="00495BAB">
        <w:rPr>
          <w:rFonts w:hint="cs"/>
          <w:b/>
          <w:bCs/>
          <w:rtl/>
          <w:lang w:bidi="ar-SY"/>
        </w:rPr>
        <w:t xml:space="preserve"> فالظاهر تحليله للشيعة للتوقيع من صاحب الزمان المُتقدِّم</w:t>
      </w:r>
      <w:r w:rsidRPr="00495BAB">
        <w:rPr>
          <w:rFonts w:hint="cs"/>
          <w:rtl/>
          <w:lang w:bidi="ar-SY"/>
        </w:rPr>
        <w:t>"</w:t>
      </w:r>
      <w:r w:rsidR="007F0D8D" w:rsidRPr="00873C4C">
        <w:rPr>
          <w:rFonts w:cs="Arabic11 BT"/>
          <w:vertAlign w:val="superscript"/>
          <w:rtl/>
          <w:lang w:bidi="ar-SY"/>
        </w:rPr>
        <w:t>(</w:t>
      </w:r>
      <w:r w:rsidR="007F0D8D" w:rsidRPr="00873C4C">
        <w:rPr>
          <w:rStyle w:val="FootnoteReference"/>
          <w:rFonts w:cs="Arabic11 BT"/>
          <w:rtl/>
          <w:lang w:bidi="ar-SY"/>
        </w:rPr>
        <w:footnoteReference w:id="460"/>
      </w:r>
      <w:r w:rsidR="007F0D8D" w:rsidRPr="00873C4C">
        <w:rPr>
          <w:rFonts w:cs="Arabic11 BT"/>
          <w:vertAlign w:val="superscript"/>
          <w:rtl/>
          <w:lang w:bidi="ar-SY"/>
        </w:rPr>
        <w:t>)</w:t>
      </w:r>
      <w:r w:rsidRPr="00495BAB">
        <w:rPr>
          <w:rFonts w:hint="cs"/>
          <w:rtl/>
          <w:lang w:bidi="ar-SY"/>
        </w:rPr>
        <w:t>. (إشارة إلى الحديث التاسع والعشرين الذي ذكرناه في الكُتيِّب الحالي).</w:t>
      </w:r>
    </w:p>
    <w:p w:rsidR="00BB0549" w:rsidRPr="00495BAB" w:rsidRDefault="00BB0549" w:rsidP="00495BAB">
      <w:pPr>
        <w:pStyle w:val="a0"/>
        <w:rPr>
          <w:rFonts w:hint="cs"/>
          <w:rtl/>
          <w:lang w:bidi="ar-SY"/>
        </w:rPr>
      </w:pPr>
      <w:r w:rsidRPr="00495BAB">
        <w:rPr>
          <w:rFonts w:hint="cs"/>
          <w:rtl/>
          <w:lang w:bidi="ar-SY"/>
        </w:rPr>
        <w:t>وقصده أن دلالة الآية الكريمة على «الخُمْس» قاصرة على موضوع خُمْس غنائم الحرب فقط والخُمْس الذي هو من حق الأصناف الثلاثة لا يكون إلا في غنيمة الحرب فقط.</w:t>
      </w:r>
    </w:p>
    <w:p w:rsidR="00BB0549" w:rsidRPr="00995B26" w:rsidRDefault="00BB0549" w:rsidP="007D2B8A">
      <w:pPr>
        <w:pStyle w:val="a5"/>
        <w:rPr>
          <w:rFonts w:hint="cs"/>
          <w:rtl/>
        </w:rPr>
      </w:pPr>
      <w:bookmarkStart w:id="187" w:name="_Toc305156010"/>
      <w:bookmarkStart w:id="188" w:name="_Toc387843117"/>
      <w:r w:rsidRPr="00995B26">
        <w:rPr>
          <w:rFonts w:hint="cs"/>
          <w:rtl/>
        </w:rPr>
        <w:t>16- صاحب الجواهر</w:t>
      </w:r>
      <w:bookmarkEnd w:id="187"/>
      <w:bookmarkEnd w:id="188"/>
    </w:p>
    <w:p w:rsidR="00BB0549" w:rsidRPr="00995B26" w:rsidRDefault="00BB0549" w:rsidP="00495BAB">
      <w:pPr>
        <w:pStyle w:val="a0"/>
        <w:rPr>
          <w:rFonts w:hint="cs"/>
          <w:rtl/>
          <w:lang w:bidi="ar-SY"/>
        </w:rPr>
      </w:pPr>
      <w:r w:rsidRPr="00495BAB">
        <w:rPr>
          <w:rFonts w:hint="cs"/>
          <w:b/>
          <w:bCs/>
          <w:rtl/>
          <w:lang w:bidi="ar-SY"/>
        </w:rPr>
        <w:t xml:space="preserve">العالِم العلَم والبحر الخِضَمّ المرحوم الشيخ محمد حسن بن الشيخ باقر النجفيّ المولد والمدفن </w:t>
      </w:r>
      <w:r w:rsidRPr="00495BAB">
        <w:rPr>
          <w:rFonts w:hint="cs"/>
          <w:rtl/>
          <w:lang w:bidi="ar-SY"/>
        </w:rPr>
        <w:t>الذي كان في القرن الأخير من أعلم علماء الإمامية «الاثني عشرية» وأعظم فقهائهم. كان تلميذاً للشيخ جعفر كاشف الغطاء ومُؤلفاً لكتاب عظيم القدر هو «</w:t>
      </w:r>
      <w:r w:rsidRPr="00495BAB">
        <w:rPr>
          <w:rtl/>
          <w:lang w:bidi="ar-SY"/>
        </w:rPr>
        <w:t>جواهر الكلام في شرح شرائع الإسلام</w:t>
      </w:r>
      <w:r w:rsidRPr="00495BAB">
        <w:rPr>
          <w:rFonts w:hint="cs"/>
          <w:rtl/>
          <w:lang w:bidi="ar-SY"/>
        </w:rPr>
        <w:t>». تُوفي سنة 1266 هـ</w:t>
      </w:r>
      <w:r w:rsidR="00AB28A0" w:rsidRPr="00495BAB">
        <w:rPr>
          <w:rFonts w:hint="cs"/>
          <w:rtl/>
          <w:lang w:bidi="ar-SY"/>
        </w:rPr>
        <w:t>.</w:t>
      </w:r>
      <w:r w:rsidRPr="00495BAB">
        <w:rPr>
          <w:rFonts w:hint="cs"/>
          <w:rtl/>
          <w:lang w:bidi="ar-SY"/>
        </w:rPr>
        <w:t xml:space="preserve"> ق. هو اليوم أشهر من نار على علَم بين فقهاء الشيعة وقد أبدى عقيدته في كتاب «الزكاة» من كتابه «جواهر الكلام» في موضوع «الخُمْس» قائلاً: "</w:t>
      </w:r>
      <w:r w:rsidRPr="00495BAB">
        <w:rPr>
          <w:rFonts w:hint="cs"/>
          <w:b/>
          <w:bCs/>
          <w:rtl/>
          <w:lang w:bidi="ar-SY"/>
        </w:rPr>
        <w:t>لولا وحشة الإنفراد عن ظاهر اتِّفاق الأصحاب لأمكن دعوى ظهور الأخبار في أن «الخُمْس» جميعه للإمام</w:t>
      </w:r>
      <w:r w:rsidRPr="00495BAB">
        <w:rPr>
          <w:rFonts w:hint="cs"/>
          <w:rtl/>
          <w:lang w:bidi="ar-SY"/>
        </w:rPr>
        <w:t>"</w:t>
      </w:r>
      <w:r w:rsidR="007F0D8D" w:rsidRPr="00873C4C">
        <w:rPr>
          <w:rFonts w:cs="Arabic11 BT"/>
          <w:vertAlign w:val="superscript"/>
          <w:rtl/>
          <w:lang w:bidi="ar-SY"/>
        </w:rPr>
        <w:t>(</w:t>
      </w:r>
      <w:r w:rsidR="007F0D8D" w:rsidRPr="00873C4C">
        <w:rPr>
          <w:rStyle w:val="FootnoteReference"/>
          <w:rFonts w:cs="Arabic11 BT"/>
          <w:rtl/>
          <w:lang w:bidi="ar-SY"/>
        </w:rPr>
        <w:footnoteReference w:id="461"/>
      </w:r>
      <w:r w:rsidR="007F0D8D" w:rsidRPr="00873C4C">
        <w:rPr>
          <w:rFonts w:cs="Arabic11 BT"/>
          <w:vertAlign w:val="superscript"/>
          <w:rtl/>
          <w:lang w:bidi="ar-SY"/>
        </w:rPr>
        <w:t>)</w:t>
      </w:r>
      <w:r w:rsidRPr="00495BAB">
        <w:rPr>
          <w:rFonts w:hint="cs"/>
          <w:rtl/>
          <w:lang w:bidi="ar-SY"/>
        </w:rPr>
        <w:t>.</w:t>
      </w:r>
    </w:p>
    <w:p w:rsidR="00BB0549" w:rsidRPr="00495BAB" w:rsidRDefault="00BB0549" w:rsidP="00495BAB">
      <w:pPr>
        <w:pStyle w:val="a0"/>
        <w:rPr>
          <w:rFonts w:hint="cs"/>
          <w:rtl/>
          <w:lang w:bidi="ar-SY"/>
        </w:rPr>
      </w:pPr>
      <w:r w:rsidRPr="00495BAB">
        <w:rPr>
          <w:rFonts w:hint="cs"/>
          <w:rtl/>
          <w:lang w:bidi="ar-SY"/>
        </w:rPr>
        <w:t xml:space="preserve">فإذا حلَّلنا فتواه التي استنبطها من روح وحقيقة أخبار «الخُمْس» لاسيما خُمْس أرباح المكاسب، كما جاءت في كتاب «الخُمْس» إذ ذكر فيه أنه خاصٌّ بالإمام فقط، وأخذنا بعين الاعتبار أحاديث تحليل «الخُمْس» التي جاءت في هذا الباب عن الأئمَّة </w:t>
      </w:r>
      <w:r w:rsidRPr="00495BAB">
        <w:rPr>
          <w:rFonts w:hint="cs"/>
          <w:sz w:val="30"/>
          <w:rtl/>
          <w:lang w:bidi="ar-SY"/>
        </w:rPr>
        <w:sym w:font="Abo-thar" w:char="F044"/>
      </w:r>
      <w:r w:rsidRPr="00495BAB">
        <w:rPr>
          <w:rFonts w:hint="cs"/>
          <w:rtl/>
          <w:lang w:bidi="ar-SY"/>
        </w:rPr>
        <w:t xml:space="preserve"> والتي يزيد عددها عن ثلاثين حديثاً نصَّت على أن أولئك الكرام حلَّلوا لشيعتهم بشكل خاص ذلك «الخُمْس» فإن النتيجة ستكون ظاهرة لا لبسَ فيها!</w:t>
      </w:r>
    </w:p>
    <w:p w:rsidR="00BB0549" w:rsidRPr="00495BAB" w:rsidRDefault="00BB0549" w:rsidP="00495BAB">
      <w:pPr>
        <w:pStyle w:val="a0"/>
        <w:rPr>
          <w:rFonts w:hint="cs"/>
          <w:rtl/>
          <w:lang w:bidi="ar-SY"/>
        </w:rPr>
      </w:pPr>
      <w:r w:rsidRPr="00495BAB">
        <w:rPr>
          <w:rFonts w:hint="cs"/>
          <w:rtl/>
          <w:lang w:bidi="ar-SY"/>
        </w:rPr>
        <w:t>ورغم أن جنابه امتنع عن إبداء الفتوى في هذا الاتِّجاه، وعلّة امتناعه هذا غير خافية، إلا أنه أعرب إلى حدٍّ ما عن وجهة نظره وكشف ألم قلبه خلال تصريحاته في الكتاب المذكور. فقد اشتكى جنابه من حال زمانه وصرَّح قائلاً: كيف يقوم اليوم أفراد بأخذ مال الإمام والتصرُّف فيه أو إنفاقه بادِّعاء النيابة عنه وتوكيل الفقيه في هذا الأمر؟ ويقول: "</w:t>
      </w:r>
      <w:r w:rsidRPr="00495BAB">
        <w:rPr>
          <w:b/>
          <w:bCs/>
          <w:rtl/>
          <w:lang w:bidi="ar-SY"/>
        </w:rPr>
        <w:t>وأما الاستناد إلى إذن الفحوى بالطريق</w:t>
      </w:r>
      <w:r w:rsidRPr="00495BAB">
        <w:rPr>
          <w:rFonts w:hint="cs"/>
          <w:b/>
          <w:bCs/>
          <w:rtl/>
          <w:lang w:bidi="ar-SY"/>
        </w:rPr>
        <w:t xml:space="preserve"> </w:t>
      </w:r>
      <w:r w:rsidRPr="00495BAB">
        <w:rPr>
          <w:b/>
          <w:bCs/>
          <w:rtl/>
          <w:lang w:bidi="ar-SY"/>
        </w:rPr>
        <w:t>الم</w:t>
      </w:r>
      <w:r w:rsidRPr="00495BAB">
        <w:rPr>
          <w:rFonts w:hint="cs"/>
          <w:b/>
          <w:bCs/>
          <w:rtl/>
          <w:lang w:bidi="ar-SY"/>
        </w:rPr>
        <w:t>ُ</w:t>
      </w:r>
      <w:r w:rsidRPr="00495BAB">
        <w:rPr>
          <w:b/>
          <w:bCs/>
          <w:rtl/>
          <w:lang w:bidi="ar-SY"/>
        </w:rPr>
        <w:t>تقد</w:t>
      </w:r>
      <w:r w:rsidRPr="00495BAB">
        <w:rPr>
          <w:rFonts w:hint="cs"/>
          <w:b/>
          <w:bCs/>
          <w:rtl/>
          <w:lang w:bidi="ar-SY"/>
        </w:rPr>
        <w:t>ِّ</w:t>
      </w:r>
      <w:r w:rsidRPr="00495BAB">
        <w:rPr>
          <w:b/>
          <w:bCs/>
          <w:rtl/>
          <w:lang w:bidi="ar-SY"/>
        </w:rPr>
        <w:t>م ففيه منع حصول العلم بالرضا بذلك</w:t>
      </w:r>
      <w:r w:rsidRPr="00495BAB">
        <w:rPr>
          <w:rFonts w:hint="cs"/>
          <w:b/>
          <w:bCs/>
          <w:rtl/>
          <w:lang w:bidi="ar-SY"/>
        </w:rPr>
        <w:t>؛</w:t>
      </w:r>
      <w:r w:rsidRPr="00495BAB">
        <w:rPr>
          <w:b/>
          <w:bCs/>
          <w:rtl/>
          <w:lang w:bidi="ar-SY"/>
        </w:rPr>
        <w:t xml:space="preserve"> إذ المصالح والمفاسد التي في نظر</w:t>
      </w:r>
      <w:r w:rsidRPr="00495BAB">
        <w:rPr>
          <w:rFonts w:hint="cs"/>
          <w:b/>
          <w:bCs/>
          <w:rtl/>
          <w:lang w:bidi="ar-SY"/>
        </w:rPr>
        <w:t xml:space="preserve"> الإمام</w:t>
      </w:r>
      <w:r w:rsidRPr="00495BAB">
        <w:rPr>
          <w:b/>
          <w:bCs/>
          <w:rtl/>
          <w:lang w:bidi="ar-SY"/>
        </w:rPr>
        <w:t xml:space="preserve"> </w:t>
      </w:r>
      <w:r w:rsidRPr="00495BAB">
        <w:rPr>
          <w:rFonts w:hint="cs"/>
          <w:sz w:val="30"/>
          <w:rtl/>
          <w:lang w:bidi="ar-SY"/>
        </w:rPr>
        <w:sym w:font="AGA Arabesque" w:char="F075"/>
      </w:r>
      <w:r w:rsidRPr="00495BAB">
        <w:rPr>
          <w:b/>
          <w:bCs/>
          <w:rtl/>
          <w:lang w:bidi="ar-SY"/>
        </w:rPr>
        <w:t xml:space="preserve"> مما لا</w:t>
      </w:r>
      <w:r w:rsidRPr="00495BAB">
        <w:rPr>
          <w:rFonts w:hint="cs"/>
          <w:b/>
          <w:bCs/>
          <w:rtl/>
          <w:lang w:bidi="ar-SY"/>
        </w:rPr>
        <w:t xml:space="preserve"> </w:t>
      </w:r>
      <w:r w:rsidRPr="00495BAB">
        <w:rPr>
          <w:b/>
          <w:bCs/>
          <w:rtl/>
          <w:lang w:bidi="ar-SY"/>
        </w:rPr>
        <w:t>ي</w:t>
      </w:r>
      <w:r w:rsidRPr="00495BAB">
        <w:rPr>
          <w:rFonts w:hint="cs"/>
          <w:b/>
          <w:bCs/>
          <w:rtl/>
          <w:lang w:bidi="ar-SY"/>
        </w:rPr>
        <w:t>ُ</w:t>
      </w:r>
      <w:r w:rsidRPr="00495BAB">
        <w:rPr>
          <w:b/>
          <w:bCs/>
          <w:rtl/>
          <w:lang w:bidi="ar-SY"/>
        </w:rPr>
        <w:t>مكن إحاطة مثلنا ب</w:t>
      </w:r>
      <w:r w:rsidRPr="00495BAB">
        <w:rPr>
          <w:rFonts w:hint="cs"/>
          <w:b/>
          <w:bCs/>
          <w:rtl/>
          <w:lang w:bidi="ar-SY"/>
        </w:rPr>
        <w:t>ه</w:t>
      </w:r>
      <w:r w:rsidRPr="00495BAB">
        <w:rPr>
          <w:b/>
          <w:bCs/>
          <w:rtl/>
          <w:lang w:bidi="ar-SY"/>
        </w:rPr>
        <w:t>، خصوصا</w:t>
      </w:r>
      <w:r w:rsidRPr="00495BAB">
        <w:rPr>
          <w:rFonts w:hint="cs"/>
          <w:b/>
          <w:bCs/>
          <w:rtl/>
          <w:lang w:bidi="ar-SY"/>
        </w:rPr>
        <w:t>ً</w:t>
      </w:r>
      <w:r w:rsidRPr="00495BAB">
        <w:rPr>
          <w:b/>
          <w:bCs/>
          <w:rtl/>
          <w:lang w:bidi="ar-SY"/>
        </w:rPr>
        <w:t xml:space="preserve"> من لم تزهد نفسه في</w:t>
      </w:r>
      <w:r w:rsidRPr="00495BAB">
        <w:rPr>
          <w:rFonts w:hint="cs"/>
          <w:b/>
          <w:bCs/>
          <w:rtl/>
          <w:lang w:bidi="ar-SY"/>
        </w:rPr>
        <w:t xml:space="preserve"> </w:t>
      </w:r>
      <w:r w:rsidRPr="00495BAB">
        <w:rPr>
          <w:b/>
          <w:bCs/>
          <w:rtl/>
          <w:lang w:bidi="ar-SY"/>
        </w:rPr>
        <w:t>الدنيا</w:t>
      </w:r>
      <w:r w:rsidRPr="00495BAB">
        <w:rPr>
          <w:rFonts w:hint="cs"/>
          <w:b/>
          <w:bCs/>
          <w:rtl/>
          <w:lang w:bidi="ar-SY"/>
        </w:rPr>
        <w:t xml:space="preserve"> </w:t>
      </w:r>
      <w:r w:rsidRPr="00495BAB">
        <w:rPr>
          <w:b/>
          <w:bCs/>
          <w:rtl/>
          <w:lang w:bidi="ar-SY"/>
        </w:rPr>
        <w:t xml:space="preserve">منا، فقد يكون صلة واحد من شيعته </w:t>
      </w:r>
      <w:r w:rsidRPr="00495BAB">
        <w:rPr>
          <w:rFonts w:hint="cs"/>
          <w:b/>
          <w:bCs/>
          <w:rtl/>
          <w:lang w:bidi="ar-SY"/>
        </w:rPr>
        <w:t>أ</w:t>
      </w:r>
      <w:r w:rsidRPr="00495BAB">
        <w:rPr>
          <w:b/>
          <w:bCs/>
          <w:rtl/>
          <w:lang w:bidi="ar-SY"/>
        </w:rPr>
        <w:t xml:space="preserve">و إطفاء فتنة بينهم </w:t>
      </w:r>
      <w:r w:rsidRPr="00495BAB">
        <w:rPr>
          <w:rFonts w:hint="cs"/>
          <w:b/>
          <w:bCs/>
          <w:rtl/>
          <w:lang w:bidi="ar-SY"/>
        </w:rPr>
        <w:t>أو</w:t>
      </w:r>
      <w:r w:rsidRPr="00495BAB">
        <w:rPr>
          <w:b/>
          <w:bCs/>
          <w:rtl/>
          <w:lang w:bidi="ar-SY"/>
        </w:rPr>
        <w:t xml:space="preserve"> فعل </w:t>
      </w:r>
      <w:r w:rsidRPr="00495BAB">
        <w:rPr>
          <w:rFonts w:hint="cs"/>
          <w:b/>
          <w:bCs/>
          <w:rtl/>
          <w:lang w:bidi="ar-SY"/>
        </w:rPr>
        <w:t>أمور</w:t>
      </w:r>
      <w:r w:rsidRPr="00495BAB">
        <w:rPr>
          <w:b/>
          <w:bCs/>
          <w:rtl/>
          <w:lang w:bidi="ar-SY"/>
        </w:rPr>
        <w:t xml:space="preserve"> لها</w:t>
      </w:r>
      <w:r w:rsidRPr="00495BAB">
        <w:rPr>
          <w:rFonts w:hint="cs"/>
          <w:b/>
          <w:bCs/>
          <w:rtl/>
          <w:lang w:bidi="ar-SY"/>
        </w:rPr>
        <w:t xml:space="preserve"> </w:t>
      </w:r>
      <w:r w:rsidRPr="00495BAB">
        <w:rPr>
          <w:b/>
          <w:bCs/>
          <w:rtl/>
          <w:lang w:bidi="ar-SY"/>
        </w:rPr>
        <w:t>مدخلية في الدين</w:t>
      </w:r>
      <w:r w:rsidRPr="00495BAB">
        <w:rPr>
          <w:rFonts w:hint="cs"/>
          <w:b/>
          <w:bCs/>
          <w:rtl/>
          <w:lang w:bidi="ar-SY"/>
        </w:rPr>
        <w:t>،</w:t>
      </w:r>
      <w:r w:rsidRPr="00495BAB">
        <w:rPr>
          <w:b/>
          <w:bCs/>
          <w:rtl/>
          <w:lang w:bidi="ar-SY"/>
        </w:rPr>
        <w:t xml:space="preserve"> أولى من كل ش</w:t>
      </w:r>
      <w:r w:rsidRPr="00495BAB">
        <w:rPr>
          <w:rFonts w:hint="cs"/>
          <w:b/>
          <w:bCs/>
          <w:rtl/>
          <w:lang w:bidi="ar-SY"/>
        </w:rPr>
        <w:t>يء</w:t>
      </w:r>
      <w:r w:rsidRPr="00495BAB">
        <w:rPr>
          <w:b/>
          <w:bCs/>
          <w:rtl/>
          <w:lang w:bidi="ar-SY"/>
        </w:rPr>
        <w:t xml:space="preserve"> في نظره، كما ي</w:t>
      </w:r>
      <w:r w:rsidRPr="00495BAB">
        <w:rPr>
          <w:rFonts w:hint="cs"/>
          <w:b/>
          <w:bCs/>
          <w:rtl/>
          <w:lang w:bidi="ar-SY"/>
        </w:rPr>
        <w:t>و</w:t>
      </w:r>
      <w:r w:rsidRPr="00495BAB">
        <w:rPr>
          <w:b/>
          <w:bCs/>
          <w:rtl/>
          <w:lang w:bidi="ar-SY"/>
        </w:rPr>
        <w:t>م</w:t>
      </w:r>
      <w:r w:rsidRPr="00495BAB">
        <w:rPr>
          <w:rFonts w:hint="cs"/>
          <w:b/>
          <w:bCs/>
          <w:rtl/>
          <w:lang w:bidi="ar-SY"/>
        </w:rPr>
        <w:t>ئ</w:t>
      </w:r>
      <w:r w:rsidRPr="00495BAB">
        <w:rPr>
          <w:b/>
          <w:bCs/>
          <w:rtl/>
          <w:lang w:bidi="ar-SY"/>
        </w:rPr>
        <w:t xml:space="preserve"> </w:t>
      </w:r>
      <w:r w:rsidRPr="00495BAB">
        <w:rPr>
          <w:rFonts w:hint="cs"/>
          <w:b/>
          <w:bCs/>
          <w:rtl/>
          <w:lang w:bidi="ar-SY"/>
        </w:rPr>
        <w:t>إليه</w:t>
      </w:r>
      <w:r w:rsidRPr="00495BAB">
        <w:rPr>
          <w:b/>
          <w:bCs/>
          <w:rtl/>
          <w:lang w:bidi="ar-SY"/>
        </w:rPr>
        <w:t xml:space="preserve"> تحليلهم بعض </w:t>
      </w:r>
      <w:r w:rsidRPr="00495BAB">
        <w:rPr>
          <w:rFonts w:hint="cs"/>
          <w:b/>
          <w:bCs/>
          <w:rtl/>
          <w:lang w:bidi="ar-SY"/>
        </w:rPr>
        <w:t xml:space="preserve">الأشخاص </w:t>
      </w:r>
      <w:r w:rsidRPr="00495BAB">
        <w:rPr>
          <w:b/>
          <w:bCs/>
          <w:rtl/>
          <w:lang w:bidi="ar-SY"/>
        </w:rPr>
        <w:t>وأقاربهم في شدة الحاجة فكيف ي</w:t>
      </w:r>
      <w:r w:rsidRPr="00495BAB">
        <w:rPr>
          <w:rFonts w:hint="cs"/>
          <w:b/>
          <w:bCs/>
          <w:rtl/>
          <w:lang w:bidi="ar-SY"/>
        </w:rPr>
        <w:t>ُ</w:t>
      </w:r>
      <w:r w:rsidRPr="00495BAB">
        <w:rPr>
          <w:b/>
          <w:bCs/>
          <w:rtl/>
          <w:lang w:bidi="ar-SY"/>
        </w:rPr>
        <w:t>مكن القطع برضاه فيما يفعله غيرهم، خصوصا</w:t>
      </w:r>
      <w:r w:rsidRPr="00495BAB">
        <w:rPr>
          <w:rFonts w:hint="cs"/>
          <w:b/>
          <w:bCs/>
          <w:rtl/>
          <w:lang w:bidi="ar-SY"/>
        </w:rPr>
        <w:t>ً</w:t>
      </w:r>
      <w:r w:rsidRPr="00495BAB">
        <w:rPr>
          <w:b/>
          <w:bCs/>
          <w:rtl/>
          <w:lang w:bidi="ar-SY"/>
        </w:rPr>
        <w:t xml:space="preserve"> مع عدم</w:t>
      </w:r>
      <w:r w:rsidRPr="00495BAB">
        <w:rPr>
          <w:rFonts w:hint="cs"/>
          <w:b/>
          <w:bCs/>
          <w:rtl/>
          <w:lang w:bidi="ar-SY"/>
        </w:rPr>
        <w:t xml:space="preserve"> </w:t>
      </w:r>
      <w:r w:rsidRPr="00495BAB">
        <w:rPr>
          <w:b/>
          <w:bCs/>
          <w:rtl/>
          <w:lang w:bidi="ar-SY"/>
        </w:rPr>
        <w:t>خلوص النفس من الملكات الردية كالصداقة والقرابة ونحوهما من المصالح الدنيوية، فقد ي</w:t>
      </w:r>
      <w:r w:rsidRPr="00495BAB">
        <w:rPr>
          <w:rFonts w:hint="cs"/>
          <w:b/>
          <w:bCs/>
          <w:rtl/>
          <w:lang w:bidi="ar-SY"/>
        </w:rPr>
        <w:t>ُ</w:t>
      </w:r>
      <w:r w:rsidRPr="00495BAB">
        <w:rPr>
          <w:b/>
          <w:bCs/>
          <w:rtl/>
          <w:lang w:bidi="ar-SY"/>
        </w:rPr>
        <w:t>فض</w:t>
      </w:r>
      <w:r w:rsidRPr="00495BAB">
        <w:rPr>
          <w:rFonts w:hint="cs"/>
          <w:b/>
          <w:bCs/>
          <w:rtl/>
          <w:lang w:bidi="ar-SY"/>
        </w:rPr>
        <w:t>ِّ</w:t>
      </w:r>
      <w:r w:rsidRPr="00495BAB">
        <w:rPr>
          <w:b/>
          <w:bCs/>
          <w:rtl/>
          <w:lang w:bidi="ar-SY"/>
        </w:rPr>
        <w:t>ل على البعض لذلك</w:t>
      </w:r>
      <w:r w:rsidRPr="00495BAB">
        <w:rPr>
          <w:rFonts w:hint="cs"/>
          <w:b/>
          <w:bCs/>
          <w:rtl/>
          <w:lang w:bidi="ar-SY"/>
        </w:rPr>
        <w:t>،</w:t>
      </w:r>
      <w:r w:rsidRPr="00495BAB">
        <w:rPr>
          <w:b/>
          <w:bCs/>
          <w:rtl/>
          <w:lang w:bidi="ar-SY"/>
        </w:rPr>
        <w:t xml:space="preserve"> ويترك الباقي في شدة الجوع والحيرة، بل ربما</w:t>
      </w:r>
      <w:r w:rsidRPr="00495BAB">
        <w:rPr>
          <w:rFonts w:hint="cs"/>
          <w:b/>
          <w:bCs/>
          <w:rtl/>
          <w:lang w:bidi="ar-SY"/>
        </w:rPr>
        <w:t xml:space="preserve"> </w:t>
      </w:r>
      <w:r w:rsidRPr="00495BAB">
        <w:rPr>
          <w:b/>
          <w:bCs/>
          <w:rtl/>
          <w:lang w:bidi="ar-SY"/>
        </w:rPr>
        <w:t>يستغني ذلك البعض بقبض ما</w:t>
      </w:r>
      <w:r w:rsidRPr="00495BAB">
        <w:rPr>
          <w:rFonts w:hint="cs"/>
          <w:b/>
          <w:bCs/>
          <w:rtl/>
          <w:lang w:bidi="ar-SY"/>
        </w:rPr>
        <w:t xml:space="preserve"> </w:t>
      </w:r>
      <w:r w:rsidRPr="00495BAB">
        <w:rPr>
          <w:b/>
          <w:bCs/>
          <w:rtl/>
          <w:lang w:bidi="ar-SY"/>
        </w:rPr>
        <w:t>حصل له فيحتال في قبض غيره إلى تمليك زوجته أو</w:t>
      </w:r>
      <w:r w:rsidRPr="00495BAB">
        <w:rPr>
          <w:rFonts w:hint="cs"/>
          <w:b/>
          <w:bCs/>
          <w:rtl/>
          <w:lang w:bidi="ar-SY"/>
        </w:rPr>
        <w:t xml:space="preserve"> </w:t>
      </w:r>
      <w:r w:rsidRPr="00495BAB">
        <w:rPr>
          <w:b/>
          <w:bCs/>
          <w:rtl/>
          <w:lang w:bidi="ar-SY"/>
        </w:rPr>
        <w:t>ولده ما</w:t>
      </w:r>
      <w:r w:rsidRPr="00495BAB">
        <w:rPr>
          <w:rFonts w:hint="cs"/>
          <w:b/>
          <w:bCs/>
          <w:rtl/>
          <w:lang w:bidi="ar-SY"/>
        </w:rPr>
        <w:t xml:space="preserve"> </w:t>
      </w:r>
      <w:r w:rsidRPr="00495BAB">
        <w:rPr>
          <w:b/>
          <w:bCs/>
          <w:rtl/>
          <w:lang w:bidi="ar-SY"/>
        </w:rPr>
        <w:t>عنده</w:t>
      </w:r>
      <w:r w:rsidRPr="00495BAB">
        <w:rPr>
          <w:rFonts w:hint="cs"/>
          <w:b/>
          <w:bCs/>
          <w:rtl/>
          <w:lang w:bidi="ar-SY"/>
        </w:rPr>
        <w:t xml:space="preserve">، </w:t>
      </w:r>
      <w:r w:rsidRPr="00495BAB">
        <w:rPr>
          <w:b/>
          <w:bCs/>
          <w:rtl/>
          <w:lang w:bidi="ar-SY"/>
        </w:rPr>
        <w:t>كي</w:t>
      </w:r>
      <w:r w:rsidRPr="00495BAB">
        <w:rPr>
          <w:rFonts w:hint="cs"/>
          <w:b/>
          <w:bCs/>
          <w:rtl/>
          <w:lang w:bidi="ar-SY"/>
        </w:rPr>
        <w:t xml:space="preserve"> </w:t>
      </w:r>
      <w:r w:rsidRPr="00495BAB">
        <w:rPr>
          <w:b/>
          <w:bCs/>
          <w:rtl/>
          <w:lang w:bidi="ar-SY"/>
        </w:rPr>
        <w:t>يبقى فقيرا</w:t>
      </w:r>
      <w:r w:rsidRPr="00495BAB">
        <w:rPr>
          <w:rFonts w:hint="cs"/>
          <w:b/>
          <w:bCs/>
          <w:rtl/>
          <w:lang w:bidi="ar-SY"/>
        </w:rPr>
        <w:t>ً</w:t>
      </w:r>
      <w:r w:rsidRPr="00495BAB">
        <w:rPr>
          <w:b/>
          <w:bCs/>
          <w:rtl/>
          <w:lang w:bidi="ar-SY"/>
        </w:rPr>
        <w:t xml:space="preserve"> فيقبض ما</w:t>
      </w:r>
      <w:r w:rsidRPr="00495BAB">
        <w:rPr>
          <w:rFonts w:hint="cs"/>
          <w:b/>
          <w:bCs/>
          <w:rtl/>
          <w:lang w:bidi="ar-SY"/>
        </w:rPr>
        <w:t xml:space="preserve"> </w:t>
      </w:r>
      <w:r w:rsidRPr="00495BAB">
        <w:rPr>
          <w:b/>
          <w:bCs/>
          <w:rtl/>
          <w:lang w:bidi="ar-SY"/>
        </w:rPr>
        <w:t>يشاء</w:t>
      </w:r>
      <w:r w:rsidRPr="00495BAB">
        <w:rPr>
          <w:rFonts w:hint="cs"/>
          <w:b/>
          <w:bCs/>
          <w:rtl/>
          <w:lang w:bidi="ar-SY"/>
        </w:rPr>
        <w:t>!!</w:t>
      </w:r>
      <w:r w:rsidRPr="00495BAB">
        <w:rPr>
          <w:b/>
          <w:bCs/>
          <w:rtl/>
          <w:lang w:bidi="ar-SY"/>
        </w:rPr>
        <w:t xml:space="preserve"> وكيف يمكن </w:t>
      </w:r>
      <w:r w:rsidRPr="00495BAB">
        <w:rPr>
          <w:rFonts w:hint="cs"/>
          <w:b/>
          <w:bCs/>
          <w:rtl/>
          <w:lang w:bidi="ar-SY"/>
        </w:rPr>
        <w:t>أن</w:t>
      </w:r>
      <w:r w:rsidRPr="00495BAB">
        <w:rPr>
          <w:b/>
          <w:bCs/>
          <w:rtl/>
          <w:lang w:bidi="ar-SY"/>
        </w:rPr>
        <w:t xml:space="preserve"> ي</w:t>
      </w:r>
      <w:r w:rsidRPr="00495BAB">
        <w:rPr>
          <w:rFonts w:hint="cs"/>
          <w:b/>
          <w:bCs/>
          <w:rtl/>
          <w:lang w:bidi="ar-SY"/>
        </w:rPr>
        <w:t>ُ</w:t>
      </w:r>
      <w:r w:rsidRPr="00495BAB">
        <w:rPr>
          <w:b/>
          <w:bCs/>
          <w:rtl/>
          <w:lang w:bidi="ar-SY"/>
        </w:rPr>
        <w:t xml:space="preserve">قاس هذا بفعل أمير المؤمنين </w:t>
      </w:r>
      <w:r w:rsidRPr="00495BAB">
        <w:rPr>
          <w:rFonts w:hint="cs"/>
          <w:sz w:val="30"/>
          <w:rtl/>
          <w:lang w:bidi="ar-SY"/>
        </w:rPr>
        <w:sym w:font="AGA Arabesque" w:char="F075"/>
      </w:r>
      <w:r w:rsidRPr="00495BAB">
        <w:rPr>
          <w:rFonts w:hint="cs"/>
          <w:b/>
          <w:bCs/>
          <w:rtl/>
          <w:lang w:bidi="ar-SY"/>
        </w:rPr>
        <w:t xml:space="preserve"> </w:t>
      </w:r>
      <w:r w:rsidRPr="00495BAB">
        <w:rPr>
          <w:b/>
          <w:bCs/>
          <w:rtl/>
          <w:lang w:bidi="ar-SY"/>
        </w:rPr>
        <w:t>مع عقيل الذي فر</w:t>
      </w:r>
      <w:r w:rsidRPr="00495BAB">
        <w:rPr>
          <w:rFonts w:hint="cs"/>
          <w:b/>
          <w:bCs/>
          <w:rtl/>
          <w:lang w:bidi="ar-SY"/>
        </w:rPr>
        <w:t>َّ</w:t>
      </w:r>
      <w:r w:rsidRPr="00495BAB">
        <w:rPr>
          <w:b/>
          <w:bCs/>
          <w:rtl/>
          <w:lang w:bidi="ar-SY"/>
        </w:rPr>
        <w:t xml:space="preserve"> منه لعدم صبره على تلك المؤونة</w:t>
      </w:r>
      <w:r w:rsidRPr="00495BAB">
        <w:rPr>
          <w:rFonts w:hint="cs"/>
          <w:rtl/>
          <w:lang w:bidi="ar-SY"/>
        </w:rPr>
        <w:t>!"</w:t>
      </w:r>
      <w:r w:rsidR="007F0D8D" w:rsidRPr="00873C4C">
        <w:rPr>
          <w:rFonts w:cs="Arabic11 BT"/>
          <w:vertAlign w:val="superscript"/>
          <w:rtl/>
          <w:lang w:bidi="ar-SY"/>
        </w:rPr>
        <w:t>(</w:t>
      </w:r>
      <w:r w:rsidR="007F0D8D" w:rsidRPr="00873C4C">
        <w:rPr>
          <w:rStyle w:val="FootnoteReference"/>
          <w:rFonts w:cs="Arabic11 BT"/>
          <w:rtl/>
          <w:lang w:bidi="ar-SY"/>
        </w:rPr>
        <w:footnoteReference w:id="462"/>
      </w:r>
      <w:r w:rsidR="007F0D8D" w:rsidRPr="00873C4C">
        <w:rPr>
          <w:rFonts w:cs="Arabic11 BT"/>
          <w:vertAlign w:val="superscript"/>
          <w:rtl/>
          <w:lang w:bidi="ar-SY"/>
        </w:rPr>
        <w:t>)</w:t>
      </w:r>
      <w:r w:rsidRPr="00495BAB">
        <w:rPr>
          <w:rFonts w:hint="cs"/>
          <w:rtl/>
          <w:lang w:bidi="ar-SY"/>
        </w:rPr>
        <w:t>.</w:t>
      </w:r>
    </w:p>
    <w:p w:rsidR="00BB0549" w:rsidRPr="00495BAB" w:rsidRDefault="00BB0549" w:rsidP="00495BAB">
      <w:pPr>
        <w:pStyle w:val="a0"/>
        <w:rPr>
          <w:rFonts w:hint="cs"/>
          <w:rtl/>
          <w:lang w:bidi="ar-SY"/>
        </w:rPr>
      </w:pPr>
      <w:r w:rsidRPr="00495BAB">
        <w:rPr>
          <w:rFonts w:hint="cs"/>
          <w:rtl/>
          <w:lang w:bidi="ar-SY"/>
        </w:rPr>
        <w:t>ثم أورد إشكالات على نيابة الفقهاء ووكالتهم عن الإمام، وللاطِّلاع المُفصَّل على تلك الإشكالات وبحثه فيها لا بُدَّ من الرجوع إلى الكتاب المذكور.</w:t>
      </w:r>
    </w:p>
    <w:p w:rsidR="00BB0549" w:rsidRPr="00495BAB" w:rsidRDefault="00BB0549" w:rsidP="00495BAB">
      <w:pPr>
        <w:pStyle w:val="a0"/>
        <w:rPr>
          <w:rFonts w:hint="cs"/>
          <w:rtl/>
          <w:lang w:bidi="ar-SY"/>
        </w:rPr>
      </w:pPr>
      <w:r w:rsidRPr="00495BAB">
        <w:rPr>
          <w:rFonts w:hint="cs"/>
          <w:rtl/>
          <w:lang w:bidi="ar-SY"/>
        </w:rPr>
        <w:t xml:space="preserve">وخلاصة الكلام أنه لما كانت وجهة نظر الشيخ الجواهري أيضاً أن الأخماس كلها حقٌّ خاصٌّ للإمام، واستناداً إلى أحاديث تحليل الإمام سَهْمَه لجميع الشيعة، فإن النتيجة هي أن «الخُمْس» عن أيِّ شيء كان ساقط عن الشيعة. </w:t>
      </w:r>
    </w:p>
    <w:p w:rsidR="00BB0549" w:rsidRPr="00995B26" w:rsidRDefault="00BB0549" w:rsidP="007D2B8A">
      <w:pPr>
        <w:pStyle w:val="a5"/>
        <w:rPr>
          <w:rFonts w:hint="cs"/>
          <w:rtl/>
        </w:rPr>
      </w:pPr>
      <w:bookmarkStart w:id="189" w:name="_Toc305156011"/>
      <w:bookmarkStart w:id="190" w:name="_Toc387843118"/>
      <w:r w:rsidRPr="00995B26">
        <w:rPr>
          <w:rFonts w:hint="cs"/>
          <w:rtl/>
        </w:rPr>
        <w:t>17- المُحدِّث البحراني</w:t>
      </w:r>
      <w:bookmarkEnd w:id="189"/>
      <w:bookmarkEnd w:id="190"/>
    </w:p>
    <w:p w:rsidR="00BB0549" w:rsidRPr="00495BAB" w:rsidRDefault="00BB0549" w:rsidP="00495BAB">
      <w:pPr>
        <w:pStyle w:val="a0"/>
        <w:rPr>
          <w:rFonts w:hint="cs"/>
          <w:rtl/>
          <w:lang w:bidi="ar-SY"/>
        </w:rPr>
      </w:pPr>
      <w:r w:rsidRPr="00495BAB">
        <w:rPr>
          <w:rFonts w:hint="cs"/>
          <w:rtl/>
          <w:lang w:bidi="ar-SY"/>
        </w:rPr>
        <w:t xml:space="preserve">آخر فتوى نذكرها لأرباب البصيرة والبصر في هذا الكُتيِّب المُختصر من فتاوى علماء الاثني عشرية فتوى </w:t>
      </w:r>
      <w:r w:rsidRPr="00495BAB">
        <w:rPr>
          <w:rFonts w:hint="cs"/>
          <w:b/>
          <w:bCs/>
          <w:rtl/>
          <w:lang w:bidi="ar-SY"/>
        </w:rPr>
        <w:t>جناب الشيخ المُحدِّث الصالح الشيخ عبد الله بن الحاج صالح بن جمعة بن شعبان البحراني المُتوفى سنة 1135 هـ</w:t>
      </w:r>
      <w:r w:rsidR="00AB28A0" w:rsidRPr="00495BAB">
        <w:rPr>
          <w:rFonts w:hint="cs"/>
          <w:b/>
          <w:bCs/>
          <w:rtl/>
          <w:lang w:bidi="ar-SY"/>
        </w:rPr>
        <w:t>.</w:t>
      </w:r>
      <w:r w:rsidRPr="00495BAB">
        <w:rPr>
          <w:rFonts w:hint="cs"/>
          <w:b/>
          <w:bCs/>
          <w:rtl/>
          <w:lang w:bidi="ar-SY"/>
        </w:rPr>
        <w:t xml:space="preserve"> ق</w:t>
      </w:r>
      <w:r w:rsidRPr="00495BAB">
        <w:rPr>
          <w:rFonts w:hint="cs"/>
          <w:rtl/>
          <w:lang w:bidi="ar-SY"/>
        </w:rPr>
        <w:t xml:space="preserve">. </w:t>
      </w:r>
    </w:p>
    <w:p w:rsidR="00BB0549" w:rsidRPr="00495BAB" w:rsidRDefault="00BB0549" w:rsidP="00495BAB">
      <w:pPr>
        <w:pStyle w:val="a0"/>
        <w:rPr>
          <w:rFonts w:hint="cs"/>
          <w:rtl/>
          <w:lang w:bidi="ar-SY"/>
        </w:rPr>
      </w:pPr>
      <w:r w:rsidRPr="00495BAB">
        <w:rPr>
          <w:rFonts w:hint="cs"/>
          <w:rtl/>
          <w:lang w:bidi="ar-SY"/>
        </w:rPr>
        <w:t xml:space="preserve">كان جنابه صاحب مؤلفات رشيقة مثل كتاب «جواهر البحرين في أحكام الثقلين» وكتاب «الصحيفة العلوية» وكتاب رسالة «التحرير بمسائل الديباج والحرير» وكتاب «مُنية المُمارسين في أجوبة الشيخ ياسين». وللاطِّلاع على شرح الحال السعيدة لهذا العالِم الجليل يُراجع كتاب «روضات الجنات» (ص 363) وسائر كتب التراجم والرجال. </w:t>
      </w:r>
    </w:p>
    <w:p w:rsidR="00BB0549" w:rsidRPr="00495BAB" w:rsidRDefault="00BB0549" w:rsidP="00495BAB">
      <w:pPr>
        <w:pStyle w:val="a0"/>
        <w:rPr>
          <w:rFonts w:hint="cs"/>
          <w:rtl/>
          <w:lang w:bidi="ar-SY"/>
        </w:rPr>
      </w:pPr>
      <w:r w:rsidRPr="00495BAB">
        <w:rPr>
          <w:rFonts w:hint="cs"/>
          <w:rtl/>
          <w:lang w:bidi="ar-SY"/>
        </w:rPr>
        <w:t xml:space="preserve">رغم أن جنابه كان يعيش في القرن الثاني عشر الهجري وإذا أخذنا بعين الاعتبار شُهرته ورأي الفقهاء الكرام بشأنه كان من الواجب أن نُقدِّم اسمه على اسم صاحب «جواهر الكلام» الذي كان من علماء القرن الثالث عشر، ولكن انطلاقاً من أنه كان بين علماء الإمامية ذا لهجة صريحة وشجاعة خاصة يتميِّز بها رجالُ الله وكان يُبدي رأيه الفقهي دون مُجاملة أو مُواربة أو مُداهنة لذلك أوردنا اسمه ووجهة نظره في خاتمة هذا الفصل </w:t>
      </w:r>
      <w:r w:rsidRPr="00495BAB">
        <w:rPr>
          <w:rFonts w:hint="cs"/>
          <w:b/>
          <w:bCs/>
          <w:rtl/>
          <w:lang w:bidi="ar-SY"/>
        </w:rPr>
        <w:t>ليكون ختامه مسكاً</w:t>
      </w:r>
      <w:r w:rsidRPr="00495BAB">
        <w:rPr>
          <w:rFonts w:hint="cs"/>
          <w:rtl/>
          <w:lang w:bidi="ar-SY"/>
        </w:rPr>
        <w:t>.</w:t>
      </w:r>
    </w:p>
    <w:p w:rsidR="00BB0549" w:rsidRPr="00495BAB" w:rsidRDefault="00BB0549" w:rsidP="00495BAB">
      <w:pPr>
        <w:pStyle w:val="a0"/>
        <w:rPr>
          <w:rFonts w:hint="cs"/>
          <w:rtl/>
          <w:lang w:bidi="ar-SY"/>
        </w:rPr>
      </w:pPr>
      <w:r w:rsidRPr="00495BAB">
        <w:rPr>
          <w:rFonts w:hint="cs"/>
          <w:rtl/>
          <w:lang w:bidi="ar-SY"/>
        </w:rPr>
        <w:t>لقد ذكر عدد من علماء الشيعة في كتبهم وجهة نظر ذلك العالِم الجليل كما فعل ذلك صاحب «الحدائق» (في ج 12، ص 438). ولكن عبارة صاحب الجواهر التي أوردها عن ذلك الفقيه الجليل في كتاب «الخُمْس» ضمن المسألة الثانية حول إباحة «الخُمْس» أصرح من جميع العبارات الأخرى، إذ قال مُستنتجاً: "</w:t>
      </w:r>
      <w:r w:rsidRPr="00495BAB">
        <w:rPr>
          <w:rFonts w:hint="cs"/>
          <w:b/>
          <w:bCs/>
          <w:rtl/>
          <w:lang w:bidi="ar-SY"/>
        </w:rPr>
        <w:t>يكون «الخُمْس» بأجمعه مُباحاً للشيعة وساقطاً عنهم فلا يجب إخراجه عليهم</w:t>
      </w:r>
      <w:r w:rsidRPr="00495BAB">
        <w:rPr>
          <w:rFonts w:hint="cs"/>
          <w:rtl/>
          <w:lang w:bidi="ar-SY"/>
        </w:rPr>
        <w:t xml:space="preserve">". وقوله </w:t>
      </w:r>
      <w:r w:rsidRPr="00495BAB">
        <w:rPr>
          <w:rtl/>
          <w:lang w:bidi="ar-SY"/>
        </w:rPr>
        <w:t>بأجمعه</w:t>
      </w:r>
      <w:r w:rsidRPr="00495BAB">
        <w:rPr>
          <w:rFonts w:hint="cs"/>
          <w:rtl/>
          <w:lang w:bidi="ar-SY"/>
        </w:rPr>
        <w:t xml:space="preserve"> يشمل جميع أنواع «الخُمْس» أي خُمْس الغنائم وأرباح المكاسب والكنز والغوص والميراث وأنها مُباحة كلها للشيعة وساقطة عنهم ولا</w:t>
      </w:r>
      <w:r w:rsidRPr="00495BAB">
        <w:rPr>
          <w:rFonts w:cs="Times New Roman" w:hint="cs"/>
          <w:rtl/>
          <w:lang w:bidi="ar-SY"/>
        </w:rPr>
        <w:t> </w:t>
      </w:r>
      <w:r w:rsidRPr="00495BAB">
        <w:rPr>
          <w:rFonts w:hint="cs"/>
          <w:rtl/>
          <w:lang w:bidi="ar-SY"/>
        </w:rPr>
        <w:t>يجب عليهم إخراجها ودفعها.</w:t>
      </w:r>
    </w:p>
    <w:p w:rsidR="000C354E" w:rsidRPr="00995B26" w:rsidRDefault="000C354E" w:rsidP="00A33EB8">
      <w:pPr>
        <w:widowControl w:val="0"/>
        <w:jc w:val="center"/>
        <w:rPr>
          <w:rFonts w:cs="KFGQPC Uthman Taha Naskh" w:hint="cs"/>
          <w:sz w:val="40"/>
          <w:szCs w:val="40"/>
          <w:rtl/>
          <w:lang w:bidi="ar-SY"/>
        </w:rPr>
      </w:pPr>
      <w:r w:rsidRPr="00A33EB8">
        <w:rPr>
          <w:rFonts w:cs="B Lotus" w:hint="cs"/>
          <w:bCs/>
          <w:sz w:val="40"/>
          <w:rtl/>
          <w:lang w:bidi="ar-SY"/>
        </w:rPr>
        <w:t>***</w:t>
      </w:r>
    </w:p>
    <w:p w:rsidR="00BB0549" w:rsidRPr="00495BAB" w:rsidRDefault="00BB0549" w:rsidP="00495BAB">
      <w:pPr>
        <w:pStyle w:val="a0"/>
        <w:rPr>
          <w:rFonts w:hint="cs"/>
          <w:rtl/>
          <w:lang w:bidi="ar-SY"/>
        </w:rPr>
      </w:pPr>
      <w:r w:rsidRPr="00495BAB">
        <w:rPr>
          <w:rFonts w:hint="cs"/>
          <w:rtl/>
          <w:lang w:bidi="ar-SY"/>
        </w:rPr>
        <w:t>لو أردنا أن نذكر في هذا الكُتيِّب المُختصر رأي علماء الشيعة الكبار جميعاً بأسمائهم وأوصافهم وفتاواهم لطال بنا الكلام وخرجنا عن حدِّ الاختصار لذا نكتفي بهذا المقدار الكافي لأهل الإنصاف.</w:t>
      </w:r>
    </w:p>
    <w:p w:rsidR="00BB0549" w:rsidRPr="00495BAB" w:rsidRDefault="00BB0549" w:rsidP="00495BAB">
      <w:pPr>
        <w:pStyle w:val="a0"/>
        <w:rPr>
          <w:rFonts w:hint="cs"/>
          <w:rtl/>
          <w:lang w:bidi="ar-SY"/>
        </w:rPr>
      </w:pPr>
      <w:r w:rsidRPr="00495BAB">
        <w:rPr>
          <w:rFonts w:hint="cs"/>
          <w:rtl/>
          <w:lang w:bidi="ar-SY"/>
        </w:rPr>
        <w:t>في خاتمة هذا البحث المُختصر لا بُدَّ من التذكير بنقطة مُهمَّة وهي أنه قد جاء في ذيل فتاوى بعض هؤلاء الفقهاء الذين ذكرناهم أن إعطاء سهم الأصناف الثلاثة: «اليتامى والمساكين وابن السبيل» من «الخُمْس» أحسن وأحوط. وينبغي أن نعلم أن هذا الرأي يستند إلى أن جميع الأخماس - طبقاً للأحاديث المذكورة- بما في ذلك خُمْس غنائم الحرب خاصة بالإمام فقط، ولكن بنصِّ الآية الكريمة فإن لأولئك الأصناف الثلاثة سهم أيضاً في ذلك «الخُمْس» لذلك احتاط أولئك الفقهاء في دفع سهمهم، وإلا فإن هذه الأصناف المذكورة ليس لديها أبداً أيُّ سهم في خُمْس أرباح المكاسب الذي هو حق الأئمة الخاص الذي وهبوه للشيعة.</w:t>
      </w:r>
    </w:p>
    <w:p w:rsidR="00BB0549" w:rsidRPr="00995B26" w:rsidRDefault="00BB0549" w:rsidP="007D2B8A">
      <w:pPr>
        <w:pStyle w:val="a5"/>
        <w:rPr>
          <w:rFonts w:hint="cs"/>
          <w:rtl/>
        </w:rPr>
      </w:pPr>
      <w:bookmarkStart w:id="191" w:name="_Toc305156012"/>
      <w:bookmarkStart w:id="192" w:name="_Toc387843119"/>
      <w:r w:rsidRPr="00995B26">
        <w:rPr>
          <w:rFonts w:hint="cs"/>
          <w:rtl/>
        </w:rPr>
        <w:t>ختام الكلام في هذا المقام</w:t>
      </w:r>
      <w:bookmarkEnd w:id="191"/>
      <w:bookmarkEnd w:id="192"/>
    </w:p>
    <w:p w:rsidR="00BB0549" w:rsidRPr="00495BAB" w:rsidRDefault="00BB0549" w:rsidP="00495BAB">
      <w:pPr>
        <w:pStyle w:val="a0"/>
        <w:rPr>
          <w:rFonts w:hint="cs"/>
          <w:rtl/>
          <w:lang w:bidi="ar-SY"/>
        </w:rPr>
      </w:pPr>
      <w:r w:rsidRPr="00495BAB">
        <w:rPr>
          <w:rFonts w:hint="cs"/>
          <w:rtl/>
          <w:lang w:bidi="ar-SY"/>
        </w:rPr>
        <w:t xml:space="preserve">كما لاحظنا، فإن مستند الخُمس المعمول به والرائج بيننا اليوم ليس سوى بضعة أحاديث ضعيفة غير صحيحة، معظمها مما نَسَبَه بعضُ الغلاة والكذَّابين إلى الأئِمَّة </w:t>
      </w:r>
      <w:r w:rsidR="00963EFD" w:rsidRPr="00963EFD">
        <w:rPr>
          <w:rFonts w:cs="CTraditional Arabic" w:hint="cs"/>
          <w:rtl/>
          <w:lang w:bidi="ar-SY"/>
        </w:rPr>
        <w:t>‡</w:t>
      </w:r>
      <w:r w:rsidRPr="00495BAB">
        <w:rPr>
          <w:rFonts w:hint="cs"/>
          <w:rtl/>
          <w:lang w:bidi="ar-SY"/>
        </w:rPr>
        <w:t xml:space="preserve">! وقد أثبتنا في كتابنا «الخُمس» استناداً إلى قواعد علم الدراية وعلم الرجال ضعفَ هذه الأحاديث وعدمَ دلالتها على المطلوب. وما عدا ذلك فلا يوجد في كتاب الله ولا في سنَّة رسول الله </w:t>
      </w:r>
      <w:r w:rsidRPr="00495BAB">
        <w:rPr>
          <w:rFonts w:hint="cs"/>
          <w:sz w:val="30"/>
          <w:rtl/>
          <w:lang w:bidi="ar-SY"/>
        </w:rPr>
        <w:sym w:font="Abo-thar" w:char="F04A"/>
      </w:r>
      <w:r w:rsidRPr="00495BAB">
        <w:rPr>
          <w:rFonts w:hint="cs"/>
          <w:rtl/>
          <w:lang w:bidi="ar-SY"/>
        </w:rPr>
        <w:t xml:space="preserve"> وسيرته ولا في أعمال مسلمي صدر الإسلام وصحابة رسول الله </w:t>
      </w:r>
      <w:r w:rsidRPr="00495BAB">
        <w:rPr>
          <w:rFonts w:hint="cs"/>
          <w:rtl/>
          <w:lang w:bidi="ar-SY"/>
        </w:rPr>
        <w:sym w:font="Abo-thar" w:char="F04A"/>
      </w:r>
      <w:r w:rsidRPr="00495BAB">
        <w:rPr>
          <w:rFonts w:hint="cs"/>
          <w:rtl/>
          <w:lang w:bidi="ar-SY"/>
        </w:rPr>
        <w:t xml:space="preserve"> من المهاجرين والأنصار الممدوحين في القرآن، بل حتى في أقوالهم، أي خبر أو أثر عن ذلك الخُمس!</w:t>
      </w:r>
    </w:p>
    <w:p w:rsidR="00BB0549" w:rsidRPr="00495BAB" w:rsidRDefault="00BB0549" w:rsidP="00495BAB">
      <w:pPr>
        <w:pStyle w:val="a0"/>
        <w:rPr>
          <w:rFonts w:hint="cs"/>
          <w:rtl/>
          <w:lang w:bidi="ar-SY"/>
        </w:rPr>
      </w:pPr>
      <w:r w:rsidRPr="00495BAB">
        <w:rPr>
          <w:rFonts w:hint="cs"/>
          <w:rtl/>
          <w:lang w:bidi="ar-SY"/>
        </w:rPr>
        <w:t xml:space="preserve">أما تحجُّجُهم بأنه لما كانت الزكاة محرَّمةَ على بني هاشم لذا عوضهم الله عنها فجعل لهم هذا الخُمس فليس سوى ادعاء واهٍ ليس له أي حقيقة شرعية، لأن الزكاة والصدقات لم  تكن محرَّمة على ذرية وألاد أي نبيٍّ من الأنبياء، فما بالك بأقرباء وأحفاد النبي البعيدين والمهجورين. وإن كان رسول الله </w:t>
      </w:r>
      <w:r w:rsidRPr="00495BAB">
        <w:rPr>
          <w:rFonts w:hint="cs"/>
          <w:sz w:val="30"/>
          <w:rtl/>
          <w:lang w:bidi="ar-SY"/>
        </w:rPr>
        <w:sym w:font="Abo-thar" w:char="F04A"/>
      </w:r>
      <w:r w:rsidRPr="00495BAB">
        <w:rPr>
          <w:rFonts w:hint="cs"/>
          <w:sz w:val="30"/>
          <w:rtl/>
          <w:lang w:bidi="ar-SY"/>
        </w:rPr>
        <w:t xml:space="preserve"> طبقاً لتشخيصه العميق أو استناداً إلى الوحي والإلهام الإلهي، قد حرَّم على نفسه وأسرته وقرابته، أثناء حياته الشريفة، أخذ أي شيءٍ من مال الزكاة والصدقات، فإن ذلك كان إجراءً خاصَّاً به وبفترة رسالته، ولم يكن له أبداً صفة التشريعِ لحكمٍ أبديٍّ، وبعد حياته الشريفة فإنَّ عامَّة أبناء أسرته وآله وأقربائه استفادوا من بيت المال وارتزقوا منه كسائر المسلمين رغم أن المصدر الأساسي لأموال بيت المال كان الزكاة، كما أثبتنا حقيقة هذا الأمر بشكل وافٍ في كتابنا «الخُمس في الكتاب والسنَّة»</w:t>
      </w:r>
      <w:r w:rsidRPr="00495BAB">
        <w:rPr>
          <w:rFonts w:hint="cs"/>
          <w:rtl/>
          <w:lang w:bidi="ar-SY"/>
        </w:rPr>
        <w:t xml:space="preserve"> أو كتابنا «الحقائق المكشوفة في اقتصاد القرآن (بحث الخمس)».</w:t>
      </w:r>
    </w:p>
    <w:p w:rsidR="00BB0549" w:rsidRPr="00495BAB" w:rsidRDefault="00BB0549" w:rsidP="00495BAB">
      <w:pPr>
        <w:pStyle w:val="a0"/>
        <w:rPr>
          <w:rFonts w:hint="cs"/>
          <w:rtl/>
          <w:lang w:bidi="ar-SY"/>
        </w:rPr>
      </w:pPr>
      <w:r w:rsidRPr="00495BAB">
        <w:rPr>
          <w:rFonts w:hint="cs"/>
          <w:rtl/>
          <w:lang w:bidi="ar-SY"/>
        </w:rPr>
        <w:t xml:space="preserve">إن الخُمس الذي يصدِّقه كتاب الله صراحةً و تؤيده سنة النبيّ وسيرته هو خُمس غنائم الحرب فقط لا غير، التي توضع تحت تصرف قائد المسلمين ومالك زمام أمورهم، ليصرفها فيما يراه من مصالح المسلمين. </w:t>
      </w:r>
    </w:p>
    <w:p w:rsidR="00BB0549" w:rsidRPr="00495BAB" w:rsidRDefault="00BB0549" w:rsidP="00495BAB">
      <w:pPr>
        <w:pStyle w:val="a0"/>
        <w:rPr>
          <w:rFonts w:hint="cs"/>
          <w:rtl/>
          <w:lang w:bidi="ar-SY"/>
        </w:rPr>
      </w:pPr>
      <w:r w:rsidRPr="00495BAB">
        <w:rPr>
          <w:rFonts w:hint="cs"/>
          <w:rtl/>
          <w:lang w:bidi="ar-SY"/>
        </w:rPr>
        <w:t>ومع ذلك إذا صرفنا النظر عن أحكام كتاب الله الواضحة الذي وصفه الله بأنه:</w:t>
      </w:r>
      <w:r w:rsidR="00D94B54" w:rsidRPr="00495BAB">
        <w:rPr>
          <w:rFonts w:hint="cs"/>
          <w:rtl/>
          <w:lang w:bidi="ar-SY"/>
        </w:rPr>
        <w:t xml:space="preserve"> </w:t>
      </w:r>
      <w:r w:rsidR="00D94B54" w:rsidRPr="00995B26">
        <w:rPr>
          <w:rFonts w:cs="Traditional Arabic" w:hint="cs"/>
          <w:szCs w:val="30"/>
          <w:rtl/>
          <w:lang w:bidi="ar-SY"/>
        </w:rPr>
        <w:t>﴿</w:t>
      </w:r>
      <w:r w:rsidR="00D94B54" w:rsidRPr="0067048A">
        <w:rPr>
          <w:rFonts w:ascii="KFGQPC Uthmanic Script HAFS" w:cs="KFGQPC Uthmanic Script HAFS" w:hint="eastAsia"/>
          <w:sz w:val="28"/>
          <w:szCs w:val="28"/>
          <w:rtl/>
        </w:rPr>
        <w:t>تِب</w:t>
      </w:r>
      <w:r w:rsidR="00D94B54" w:rsidRPr="0067048A">
        <w:rPr>
          <w:rFonts w:ascii="KFGQPC Uthmanic Script HAFS" w:cs="KFGQPC Uthmanic Script HAFS" w:hint="cs"/>
          <w:sz w:val="28"/>
          <w:szCs w:val="28"/>
          <w:rtl/>
        </w:rPr>
        <w:t>ۡ</w:t>
      </w:r>
      <w:r w:rsidR="00D94B54" w:rsidRPr="0067048A">
        <w:rPr>
          <w:rFonts w:ascii="KFGQPC Uthmanic Script HAFS" w:cs="KFGQPC Uthmanic Script HAFS" w:hint="eastAsia"/>
          <w:sz w:val="28"/>
          <w:szCs w:val="28"/>
          <w:rtl/>
        </w:rPr>
        <w:t>يَ</w:t>
      </w:r>
      <w:r w:rsidR="00D94B54" w:rsidRPr="0067048A">
        <w:rPr>
          <w:rFonts w:ascii="KFGQPC Uthmanic Script HAFS" w:cs="KFGQPC Uthmanic Script HAFS" w:hint="cs"/>
          <w:sz w:val="28"/>
          <w:szCs w:val="28"/>
          <w:rtl/>
        </w:rPr>
        <w:t>ٰ</w:t>
      </w:r>
      <w:r w:rsidR="00D94B54" w:rsidRPr="0067048A">
        <w:rPr>
          <w:rFonts w:ascii="KFGQPC Uthmanic Script HAFS" w:cs="KFGQPC Uthmanic Script HAFS" w:hint="eastAsia"/>
          <w:sz w:val="28"/>
          <w:szCs w:val="28"/>
          <w:rtl/>
        </w:rPr>
        <w:t>ن</w:t>
      </w:r>
      <w:r w:rsidR="00D94B54" w:rsidRPr="0067048A">
        <w:rPr>
          <w:rFonts w:ascii="KFGQPC Uthmanic Script HAFS" w:cs="KFGQPC Uthmanic Script HAFS" w:hint="cs"/>
          <w:sz w:val="28"/>
          <w:szCs w:val="28"/>
          <w:rtl/>
        </w:rPr>
        <w:t>ٗ</w:t>
      </w:r>
      <w:r w:rsidR="00D94B54" w:rsidRPr="0067048A">
        <w:rPr>
          <w:rFonts w:ascii="KFGQPC Uthmanic Script HAFS" w:cs="KFGQPC Uthmanic Script HAFS" w:hint="eastAsia"/>
          <w:sz w:val="28"/>
          <w:szCs w:val="28"/>
          <w:rtl/>
        </w:rPr>
        <w:t>ا</w:t>
      </w:r>
      <w:r w:rsidR="00D94B54" w:rsidRPr="0067048A">
        <w:rPr>
          <w:rFonts w:ascii="KFGQPC Uthmanic Script HAFS" w:cs="KFGQPC Uthmanic Script HAFS"/>
          <w:sz w:val="28"/>
          <w:szCs w:val="28"/>
          <w:rtl/>
        </w:rPr>
        <w:t xml:space="preserve"> </w:t>
      </w:r>
      <w:r w:rsidR="00D94B54" w:rsidRPr="0067048A">
        <w:rPr>
          <w:rFonts w:ascii="KFGQPC Uthmanic Script HAFS" w:cs="KFGQPC Uthmanic Script HAFS" w:hint="eastAsia"/>
          <w:sz w:val="28"/>
          <w:szCs w:val="28"/>
          <w:rtl/>
        </w:rPr>
        <w:t>لِّكُلِّ</w:t>
      </w:r>
      <w:r w:rsidR="00D94B54" w:rsidRPr="0067048A">
        <w:rPr>
          <w:rFonts w:ascii="KFGQPC Uthmanic Script HAFS" w:cs="KFGQPC Uthmanic Script HAFS"/>
          <w:sz w:val="28"/>
          <w:szCs w:val="28"/>
          <w:rtl/>
        </w:rPr>
        <w:t xml:space="preserve"> </w:t>
      </w:r>
      <w:r w:rsidR="00D94B54" w:rsidRPr="0067048A">
        <w:rPr>
          <w:rFonts w:ascii="KFGQPC Uthmanic Script HAFS" w:cs="KFGQPC Uthmanic Script HAFS" w:hint="eastAsia"/>
          <w:sz w:val="28"/>
          <w:szCs w:val="28"/>
          <w:rtl/>
        </w:rPr>
        <w:t>شَي</w:t>
      </w:r>
      <w:r w:rsidR="00D94B54" w:rsidRPr="0067048A">
        <w:rPr>
          <w:rFonts w:ascii="KFGQPC Uthmanic Script HAFS" w:cs="KFGQPC Uthmanic Script HAFS" w:hint="cs"/>
          <w:sz w:val="28"/>
          <w:szCs w:val="28"/>
          <w:rtl/>
        </w:rPr>
        <w:t>ۡ</w:t>
      </w:r>
      <w:r w:rsidR="00D94B54" w:rsidRPr="0067048A">
        <w:rPr>
          <w:rFonts w:ascii="KFGQPC Uthmanic Script HAFS" w:cs="KFGQPC Uthmanic Script HAFS" w:hint="eastAsia"/>
          <w:sz w:val="28"/>
          <w:szCs w:val="28"/>
          <w:rtl/>
        </w:rPr>
        <w:t>ء</w:t>
      </w:r>
      <w:r w:rsidR="00D94B54" w:rsidRPr="0067048A">
        <w:rPr>
          <w:rFonts w:ascii="KFGQPC Uthmanic Script HAFS" w:cs="KFGQPC Uthmanic Script HAFS" w:hint="cs"/>
          <w:sz w:val="28"/>
          <w:szCs w:val="28"/>
          <w:rtl/>
        </w:rPr>
        <w:t>ٖ</w:t>
      </w:r>
      <w:r w:rsidR="00D94B54" w:rsidRPr="00995B26">
        <w:rPr>
          <w:rFonts w:cs="Traditional Arabic" w:hint="cs"/>
          <w:szCs w:val="30"/>
          <w:rtl/>
          <w:lang w:bidi="ar-SY"/>
        </w:rPr>
        <w:t>﴾</w:t>
      </w:r>
      <w:r w:rsidRPr="00495BAB">
        <w:rPr>
          <w:rFonts w:hint="cs"/>
          <w:rtl/>
          <w:lang w:bidi="ar-SY"/>
        </w:rPr>
        <w:t xml:space="preserve"> </w:t>
      </w:r>
      <w:r w:rsidRPr="009E1401">
        <w:rPr>
          <w:rStyle w:val="Char2"/>
          <w:rtl/>
        </w:rPr>
        <w:t>[النحل</w:t>
      </w:r>
      <w:r w:rsidR="00D94B54" w:rsidRPr="009E1401">
        <w:rPr>
          <w:rStyle w:val="Char2"/>
          <w:rFonts w:hint="cs"/>
          <w:rtl/>
        </w:rPr>
        <w:t xml:space="preserve">: </w:t>
      </w:r>
      <w:r w:rsidRPr="009E1401">
        <w:rPr>
          <w:rStyle w:val="Char2"/>
          <w:rtl/>
        </w:rPr>
        <w:t>89]</w:t>
      </w:r>
      <w:r w:rsidRPr="00495BAB">
        <w:rPr>
          <w:rFonts w:hint="cs"/>
          <w:rtl/>
          <w:lang w:bidi="ar-SY"/>
        </w:rPr>
        <w:t xml:space="preserve">، وعن سنة رسول الله </w:t>
      </w:r>
      <w:r w:rsidRPr="00495BAB">
        <w:rPr>
          <w:rFonts w:hint="cs"/>
          <w:rtl/>
          <w:lang w:bidi="ar-SY"/>
        </w:rPr>
        <w:sym w:font="Abo-thar" w:char="F04A"/>
      </w:r>
      <w:r w:rsidRPr="00495BAB">
        <w:rPr>
          <w:rFonts w:hint="cs"/>
          <w:rtl/>
          <w:lang w:bidi="ar-SY"/>
        </w:rPr>
        <w:t xml:space="preserve"> الـمُتْقَنَة الجامعة غير المفرِّقة وجعلنا هذه الأحاديث الضعيفة والأخبار النحيفة ذاتها حجة بيننا وبين الله؛ لرأينا أن هناك أقل من عشرة أحاديث تثبت وجوب الخمس لا سيما خمس أرباح المكاسب الخاص بالإمام في حين أن لدينا أكثر من ثلاثين حديثاً حلَّل فيه الأئِمَّة ذاتهم، الذين أثبتت أحاديث النمط الأول أن الخمس خاص بهم، حلَّلوا ذلك الخمس وأباحوه لشيعتهم! فإذا كان الأمر كذلك فحتى لو فرضنا أن فهم كتاب الله الذي لا أثر فيه لهذا الخمس عسير على أمثالنا باعتبار أننا لسنا من الأئِمَّة!! وفرضنا جدلاً أن فهم القرآن وتفسيره خاص بإمام الزمان - رغم أن هذا الادّعاء مخالف للعقل والوجدان ومناقض لصريح القرآن -، ولو فرضنا جدلاً أنّ التمييز بين صحيح الأحاديث وسقيمها من شأن المجتهدين الذين تتحقق فيهم شروط كذا وكذا!! فعلى أقل تقدير، فهم فتاوى المجتهدين وآراء الفقهاء ميسور لكل مُكَلَّف ومقلِّد!! ونحن تنزَّلْنا إلى هذا الحدّ وعرضنا أمام القرَّاء الكرام الآراء والفتاوى الواضحة لعدد من علماء الشيعة الإمامية الأعلام وفقهائهم المشهورين المُشار إليهم بالبنان كي يقرؤوها فيدركوا الحقيقة ويعلموا أنّ الاعتقاد بوجوب مثل هذا الخمس ينطبق عليه القول: المَلِك عفا عن حقه والشيخ علي خان (أحد الرعية) لم يعف عن حق المَلِك!!</w:t>
      </w:r>
    </w:p>
    <w:p w:rsidR="00BB0549" w:rsidRPr="00495BAB" w:rsidRDefault="00BB0549" w:rsidP="00495BAB">
      <w:pPr>
        <w:pStyle w:val="a0"/>
        <w:rPr>
          <w:rFonts w:hint="cs"/>
          <w:rtl/>
          <w:lang w:bidi="ar-SY"/>
        </w:rPr>
      </w:pPr>
      <w:r w:rsidRPr="00495BAB">
        <w:rPr>
          <w:rFonts w:hint="cs"/>
          <w:rtl/>
          <w:lang w:bidi="ar-SY"/>
        </w:rPr>
        <w:t>أما خمس المعادن والكنوز والغوص والركاز رغم أنّها أمور يندر إنفاقها أكثر من ندرة غنائم الحرب فأياً كان وضعها فهي خمسٌ بدلاً من نسبة العشر، زكاة الغلات، أو نسبة الواحد من ثلاثين، زكاة الأبقار، أو نسبة الواحد من أربعين، زكاة الذهب والفضة والشياه (الخراف)، وكذلك الأمر بالنسبة إلى خمس المال الحلال المخلوط بالحرام، علماً أن مصارف هذه الأمور جميعها هي مصارف الزكاة.</w:t>
      </w:r>
    </w:p>
    <w:p w:rsidR="00BB0549" w:rsidRPr="00495BAB" w:rsidRDefault="00BB0549" w:rsidP="00495BAB">
      <w:pPr>
        <w:pStyle w:val="a0"/>
        <w:rPr>
          <w:rFonts w:hint="cs"/>
          <w:rtl/>
          <w:lang w:bidi="ar-SY"/>
        </w:rPr>
      </w:pPr>
      <w:r w:rsidRPr="00495BAB">
        <w:rPr>
          <w:rFonts w:hint="cs"/>
          <w:rtl/>
          <w:lang w:bidi="ar-SY"/>
        </w:rPr>
        <w:t xml:space="preserve">في الختام نُذكِّر مرَّةً أخرى بهذه الحقيقة وهي أن هدفنا من بيان حقيقة هذه المسألة الذي كلّفنا كل هذا العناء وسبّب الكثير من الاتّهامات والإهانات لنا ليس سوى رفع التهمة عن شريعة الإسلام المقدَّسة وإثبات أنه ليس في دين الإسلام مثل تلك الزكاة التي جعلوها منحصرة بتسعة أشياء نادرة ومعدومة حيث لا يوجد اليوم فوق الأرض أثر لكثير منها مثل الإبل والأبقار والخراف غير المعلوفة، والذهب والفضة المسكوكَين المضروبين، وحتى لو وُجِدَت فإن الزكاة لن تشملها بسبب ما وضعوه لوجوب الزكاة فيها من شروط معقَّدة، ولو شملتها الزكاة فلن تكون كافية. بل الحقيقة أنّ زكاة الإسلام - طبقاً لنص كتاب الله وسيرة رسول الله </w:t>
      </w:r>
      <w:r w:rsidRPr="00495BAB">
        <w:rPr>
          <w:rFonts w:hint="cs"/>
          <w:rtl/>
          <w:lang w:bidi="ar-SY"/>
        </w:rPr>
        <w:sym w:font="Abo-thar" w:char="F04A"/>
      </w:r>
      <w:r w:rsidRPr="00495BAB">
        <w:rPr>
          <w:rFonts w:hint="cs"/>
          <w:rtl/>
          <w:lang w:bidi="ar-SY"/>
        </w:rPr>
        <w:t xml:space="preserve"> وسنّته وشهادة العقل والوجدان وبمقتضى تبدّل الزمان - تشمل جميع الأموال التي تُعْتَبَر اليوم من الأمور المالية في المجتمع مع مراعاة النصاب والأحكام الخاصة بالزكاة.</w:t>
      </w:r>
    </w:p>
    <w:p w:rsidR="00BB0549" w:rsidRPr="00495BAB" w:rsidRDefault="00BB0549" w:rsidP="00495BAB">
      <w:pPr>
        <w:pStyle w:val="a0"/>
        <w:rPr>
          <w:rFonts w:hint="cs"/>
          <w:rtl/>
          <w:lang w:bidi="ar-SY"/>
        </w:rPr>
      </w:pPr>
      <w:r w:rsidRPr="00495BAB">
        <w:rPr>
          <w:rFonts w:hint="cs"/>
          <w:rtl/>
          <w:lang w:bidi="ar-SY"/>
        </w:rPr>
        <w:t>كما أن قصدنا من بيان هذا الموضوع دفع ذلك المطعن عن الشريعة الغرّاء بل عن شخص حضرة خاتم الأنبياء بأن جنابه قرّر لذرّيّته وذوي قرباه خُمْساً لو وزِّع اليوم على المنسوبين والمنتسبين إلى حضرته سواء عن كذب أم  صدق، لنال كل واحد منهم آلاف التومانات في اليوم الواحد؛ لأن خمس ثروات البلدان الإسلامية بل خمس كل العالم سيكون عندئذٍ خاصاً بهم فقط!!</w:t>
      </w:r>
    </w:p>
    <w:p w:rsidR="00BB0549" w:rsidRPr="00495BAB" w:rsidRDefault="00BB0549" w:rsidP="00495BAB">
      <w:pPr>
        <w:pStyle w:val="a0"/>
        <w:rPr>
          <w:rFonts w:hint="cs"/>
          <w:rtl/>
          <w:lang w:bidi="ar-SY"/>
        </w:rPr>
      </w:pPr>
      <w:r w:rsidRPr="00495BAB">
        <w:rPr>
          <w:rFonts w:hint="cs"/>
          <w:rtl/>
          <w:lang w:bidi="ar-SY"/>
        </w:rPr>
        <w:t>ولقد أثبتنا في موضع آخر أنه لو تم تقسيم خمس أرباح المكاسب والمعادن وسائر الأموال التي يشملها الخمس في إيران فقط بين شريحة ما يسمّى بالسادة (ذوي النسب الشريف) لنال كل واحد منهم أيضاً آلاف التومانات في اليوم الواحد فقط من باب سهم السادة! وهذا لا يشكّل إلا نصف خمس الأموال التي يشملها الخمس في إيران، فإذا أضفنا إليها النصف الآخر الذي يشكّل سهم الإمام والذي يجب - طبقاً لفتاوى الفقهاء القدماء - أن يُدفَن في الأرض أو يُرمَى في البحر إلى حين ظهور الإمام القائم الذي سينادي تلك الكنوز ويرشدها للخروج نحوه كي يصرفها في المصارف اللازمة، فإن أهمية القضية ستكون أكثر وضوحاً!!</w:t>
      </w:r>
    </w:p>
    <w:p w:rsidR="00BB0549" w:rsidRPr="00495BAB" w:rsidRDefault="00BB0549" w:rsidP="00495BAB">
      <w:pPr>
        <w:pStyle w:val="a0"/>
        <w:rPr>
          <w:rFonts w:hint="cs"/>
          <w:rtl/>
          <w:lang w:bidi="ar-SY"/>
        </w:rPr>
      </w:pPr>
      <w:r w:rsidRPr="00495BAB">
        <w:rPr>
          <w:rFonts w:hint="cs"/>
          <w:rtl/>
          <w:lang w:bidi="ar-SY"/>
        </w:rPr>
        <w:t>إن هذه التهمة الموجَّهة إلى الشريعة وهذا الطعن في جسد الإسلام مؤثران أكثر عندما نعلم أنّه لم يبدُ في نظر الفقهاء لهذه الثروة التي لا حصر لها من مصرَف آخر سوى إنفاقها على اليتامى والمساكين وأبناء السبيل من السادة (الأشراف)؛ ذلك لأن الشيخ الطوسي الذي يُعَدُّ من أعظم فقهاء الشيعة كتب بصراحة في كتابه «</w:t>
      </w:r>
      <w:r w:rsidRPr="00495BAB">
        <w:rPr>
          <w:rFonts w:hint="cs"/>
          <w:b/>
          <w:bCs/>
          <w:rtl/>
          <w:lang w:bidi="ar-SY"/>
        </w:rPr>
        <w:t>النهاية</w:t>
      </w:r>
      <w:r w:rsidRPr="00495BAB">
        <w:rPr>
          <w:rFonts w:hint="cs"/>
          <w:rtl/>
          <w:lang w:bidi="ar-SY"/>
        </w:rPr>
        <w:t>»</w:t>
      </w:r>
      <w:r w:rsidR="007F0D8D" w:rsidRPr="00873C4C">
        <w:rPr>
          <w:rFonts w:cs="Arabic11 BT"/>
          <w:vertAlign w:val="superscript"/>
          <w:rtl/>
          <w:lang w:bidi="ar-SY"/>
        </w:rPr>
        <w:t>(</w:t>
      </w:r>
      <w:r w:rsidR="007F0D8D" w:rsidRPr="00873C4C">
        <w:rPr>
          <w:rStyle w:val="FootnoteReference"/>
          <w:rFonts w:cs="Arabic11 BT"/>
          <w:rtl/>
          <w:lang w:bidi="ar-SY"/>
        </w:rPr>
        <w:footnoteReference w:id="463"/>
      </w:r>
      <w:r w:rsidR="007F0D8D" w:rsidRPr="00873C4C">
        <w:rPr>
          <w:rFonts w:cs="Arabic11 BT"/>
          <w:vertAlign w:val="superscript"/>
          <w:rtl/>
          <w:lang w:bidi="ar-SY"/>
        </w:rPr>
        <w:t>)</w:t>
      </w:r>
      <w:r w:rsidRPr="00495BAB">
        <w:rPr>
          <w:rFonts w:hint="cs"/>
          <w:rtl/>
          <w:lang w:bidi="ar-SY"/>
        </w:rPr>
        <w:t xml:space="preserve"> "</w:t>
      </w:r>
      <w:r w:rsidRPr="00495BAB">
        <w:rPr>
          <w:rFonts w:hint="cs"/>
          <w:b/>
          <w:bCs/>
          <w:rtl/>
          <w:lang w:bidi="ar-SY"/>
        </w:rPr>
        <w:t>ليس لغيرهم</w:t>
      </w:r>
      <w:r w:rsidRPr="00495BAB">
        <w:rPr>
          <w:rFonts w:hint="cs"/>
          <w:rtl/>
          <w:lang w:bidi="ar-SY"/>
        </w:rPr>
        <w:t xml:space="preserve"> [أي بني هاشم]</w:t>
      </w:r>
      <w:r w:rsidRPr="00495BAB">
        <w:rPr>
          <w:rFonts w:hint="cs"/>
          <w:b/>
          <w:bCs/>
          <w:rtl/>
          <w:lang w:bidi="ar-SY"/>
        </w:rPr>
        <w:t xml:space="preserve"> شيء من الأخماس</w:t>
      </w:r>
      <w:r w:rsidRPr="00495BAB">
        <w:rPr>
          <w:rFonts w:hint="cs"/>
          <w:rtl/>
          <w:lang w:bidi="ar-SY"/>
        </w:rPr>
        <w:t>"!! كما تشبّث بعض الفقهاء في هذا الزمان فراراً من شناعة هذا الوضع بقولهم إن هذا المال يوضَع تحت تصرّف إمام المسلمين أي حاكمهم وزعيمهم ليصرفه في أي مصرَف يراه لازماً، مع أن مثل هذا الادّعاء لا مُسْتَنَد له سوى حديث «حماد بن عيسى» عن حضرة موسى بن جعفر. مع أنه أولاً: هذا الحديث عارٍ عن الصحة، وثانياً: الخمس الذي ذُكِر في الحديث أنه يوكَل إلى إمام الوقت ليتصرّف فيه بما يراه من مصلحة هو خمس غنائم الحرب وجهاد الكفار والمشركين العائدة على المسلمين المجاهدين، لا الخمس الذي يؤخذ من الشيعة!!</w:t>
      </w:r>
    </w:p>
    <w:p w:rsidR="00BB0549" w:rsidRPr="00495BAB" w:rsidRDefault="00BB0549" w:rsidP="00495BAB">
      <w:pPr>
        <w:pStyle w:val="a0"/>
        <w:rPr>
          <w:rFonts w:hint="cs"/>
          <w:rtl/>
          <w:lang w:bidi="ar-SY"/>
        </w:rPr>
      </w:pPr>
      <w:r w:rsidRPr="00495BAB">
        <w:rPr>
          <w:rFonts w:hint="cs"/>
          <w:rtl/>
          <w:lang w:bidi="ar-SY"/>
        </w:rPr>
        <w:t>وعلى كل حال فإن الوضع الحالي في رأينا لا يمكن بأي وجه من الوجوه أن يتّفق مع العقل والشرع لا سيّما أن النتيجة التي أُخِذَت منه حتى الآن ليست نتيجة حسنة لأن ما قيل بشأن سهم الأصناف الثلاثة (اليتامى والمساكين وابن السبيل) نتيجته العملية هي صيرورة هذا المبلغ في الواقع إلى عدد من الأفراد الطفيليين والعاطلين عن العمل وربما يكون كثير منهم مُدَّعياً كذباً للنسب الشريف ويعيش عيشة البطالة وأخذ المال دون أي تعب، والسهم الآخر الذي يُعرَف بسهم الإمام يُستَفاد منه اليوم بنحو يجعلنا نقول إنه من الأفضل أن نعمل به بفتوى الفقهاء القدماء الذين قالوا إنه يجب دفنه في الأرض أو رميه في البحر!! لأن النتيجة التي نراها للاستفادة من هذا السهم هي نشر الخرافات والأوهام التي أصبحت ستاراً من العار يستر حقائق الإسلام الناصعة، وغالباً ما يستفيد منه ويأكله أفراد يبرأ الإسلام من وجودهم بل يتعرّض الإسلام الحقيقي مِنْ قِبَلِهم إلى الأذى والإفساد، ومع ذلك تجدهم يأكلون من هذا المال بلا حساب ولا رقيب إلى درجة تحملنا على تكرار تلك الجملة المعروفة التي قالها المرحوم الشيخ «محمد حسين آل كاشف الغطاء» في كتابه «</w:t>
      </w:r>
      <w:r w:rsidRPr="00495BAB">
        <w:rPr>
          <w:rFonts w:hint="cs"/>
          <w:b/>
          <w:bCs/>
          <w:rtl/>
          <w:lang w:bidi="ar-SY"/>
        </w:rPr>
        <w:t>الفردوس الأعلى</w:t>
      </w:r>
      <w:r w:rsidRPr="00495BAB">
        <w:rPr>
          <w:rFonts w:hint="cs"/>
          <w:rtl/>
          <w:lang w:bidi="ar-SY"/>
        </w:rPr>
        <w:t>»: "</w:t>
      </w:r>
      <w:r w:rsidRPr="00495BAB">
        <w:rPr>
          <w:rFonts w:hint="cs"/>
          <w:b/>
          <w:bCs/>
          <w:rtl/>
          <w:lang w:bidi="ar-SY"/>
        </w:rPr>
        <w:t>أما اليوم فقد صار مال الإمام سلام الله عليه كمال الكافر الحربي ينهبه كل من استولى عليه فلا حول ولا قوة إلا بالله</w:t>
      </w:r>
      <w:r w:rsidRPr="00495BAB">
        <w:rPr>
          <w:rFonts w:hint="cs"/>
          <w:rtl/>
          <w:lang w:bidi="ar-SY"/>
        </w:rPr>
        <w:t>"!!</w:t>
      </w:r>
      <w:r w:rsidR="00776BF9" w:rsidRPr="00873C4C">
        <w:rPr>
          <w:rFonts w:cs="Arabic11 BT"/>
          <w:vertAlign w:val="superscript"/>
          <w:rtl/>
          <w:lang w:bidi="ar-SY"/>
        </w:rPr>
        <w:t>(</w:t>
      </w:r>
      <w:r w:rsidR="00776BF9" w:rsidRPr="00873C4C">
        <w:rPr>
          <w:rStyle w:val="FootnoteReference"/>
          <w:rFonts w:cs="Arabic11 BT"/>
          <w:rtl/>
          <w:lang w:bidi="ar-SY"/>
        </w:rPr>
        <w:footnoteReference w:id="464"/>
      </w:r>
      <w:r w:rsidR="00776BF9" w:rsidRPr="00873C4C">
        <w:rPr>
          <w:rFonts w:cs="Arabic11 BT"/>
          <w:vertAlign w:val="superscript"/>
          <w:rtl/>
          <w:lang w:bidi="ar-SY"/>
        </w:rPr>
        <w:t>)</w:t>
      </w:r>
    </w:p>
    <w:p w:rsidR="00BB0549" w:rsidRDefault="00BB0549" w:rsidP="00495BAB">
      <w:pPr>
        <w:pStyle w:val="a0"/>
        <w:rPr>
          <w:rFonts w:hint="cs"/>
          <w:rtl/>
          <w:lang w:bidi="ar-SY"/>
        </w:rPr>
      </w:pPr>
      <w:r w:rsidRPr="00495BAB">
        <w:rPr>
          <w:rFonts w:hint="cs"/>
          <w:rtl/>
          <w:lang w:bidi="ar-SY"/>
        </w:rPr>
        <w:t>وكما يشهد التاريخ، عندما كان هذا المال لا يصل إلى المصارف التي يُصرَف فيها اليوم كان الشيعة يفخرون من ناحية الدين والعلم بين مسلمي العالَم بامتلاكهم أفراداً متَّقين وشجعان وعلماء من أصحاب القلم والبيان. إن نظرة واحدة تكفي لدى أهل التعمّق والوعي لحكمهم بشأن حلِّيّة أكل هذا المال أو حرمته!  نُشهِد الله - وكفى به شهيداً - أنه لم يكن لدينا غرض ولا هدف من كتابة هذا الكتيب المختصر سوى نصرة الحقيقة والإصلاح.</w:t>
      </w:r>
    </w:p>
    <w:p w:rsidR="00873C4C" w:rsidRPr="00495BAB" w:rsidRDefault="00873C4C" w:rsidP="00495BAB">
      <w:pPr>
        <w:pStyle w:val="a0"/>
        <w:rPr>
          <w:rFonts w:hint="cs"/>
          <w:rtl/>
          <w:lang w:bidi="ar-SY"/>
        </w:rPr>
      </w:pPr>
    </w:p>
    <w:p w:rsidR="00BB0549" w:rsidRPr="00495BAB" w:rsidRDefault="00BB0549" w:rsidP="00873C4C">
      <w:pPr>
        <w:pStyle w:val="a0"/>
        <w:spacing w:after="0"/>
        <w:ind w:firstLine="3997"/>
        <w:jc w:val="center"/>
        <w:rPr>
          <w:rFonts w:hint="cs"/>
          <w:rtl/>
          <w:lang w:bidi="ar-SY"/>
        </w:rPr>
      </w:pPr>
      <w:r w:rsidRPr="00495BAB">
        <w:rPr>
          <w:rFonts w:hint="cs"/>
          <w:rtl/>
          <w:lang w:bidi="ar-SY"/>
        </w:rPr>
        <w:t>قم، 1350 هـ. ش. (الموافق لـ 1971 م.)</w:t>
      </w:r>
    </w:p>
    <w:p w:rsidR="00BB0549" w:rsidRPr="00495BAB" w:rsidRDefault="00BB0549" w:rsidP="00873C4C">
      <w:pPr>
        <w:pStyle w:val="a0"/>
        <w:spacing w:after="0"/>
        <w:ind w:firstLine="3997"/>
        <w:jc w:val="center"/>
        <w:rPr>
          <w:rFonts w:hint="cs"/>
          <w:b/>
          <w:bCs/>
          <w:rtl/>
          <w:lang w:bidi="ar-SY"/>
        </w:rPr>
      </w:pPr>
      <w:r w:rsidRPr="00495BAB">
        <w:rPr>
          <w:rFonts w:hint="cs"/>
          <w:b/>
          <w:bCs/>
          <w:rtl/>
          <w:lang w:bidi="ar-SY"/>
        </w:rPr>
        <w:t>ح</w:t>
      </w:r>
      <w:r w:rsidRPr="00495BAB">
        <w:rPr>
          <w:rFonts w:hint="cs"/>
          <w:rtl/>
          <w:lang w:bidi="ar-SY"/>
        </w:rPr>
        <w:t>.</w:t>
      </w:r>
      <w:r w:rsidRPr="00495BAB">
        <w:rPr>
          <w:rFonts w:hint="cs"/>
          <w:b/>
          <w:bCs/>
          <w:rtl/>
          <w:lang w:bidi="ar-SY"/>
        </w:rPr>
        <w:t xml:space="preserve"> ع</w:t>
      </w:r>
      <w:r w:rsidRPr="00495BAB">
        <w:rPr>
          <w:rFonts w:hint="cs"/>
          <w:rtl/>
          <w:lang w:bidi="ar-SY"/>
        </w:rPr>
        <w:t>.</w:t>
      </w:r>
      <w:r w:rsidRPr="00495BAB">
        <w:rPr>
          <w:rFonts w:hint="cs"/>
          <w:b/>
          <w:bCs/>
          <w:rtl/>
          <w:lang w:bidi="ar-SY"/>
        </w:rPr>
        <w:t xml:space="preserve"> ق</w:t>
      </w:r>
      <w:r w:rsidRPr="00495BAB">
        <w:rPr>
          <w:rFonts w:hint="cs"/>
          <w:rtl/>
          <w:lang w:bidi="ar-SY"/>
        </w:rPr>
        <w:t>.</w:t>
      </w:r>
      <w:r w:rsidRPr="00495BAB">
        <w:rPr>
          <w:rFonts w:hint="cs"/>
          <w:b/>
          <w:bCs/>
          <w:rtl/>
          <w:lang w:bidi="ar-SY"/>
        </w:rPr>
        <w:t xml:space="preserve"> (حيدر علي قلمداران)</w:t>
      </w:r>
    </w:p>
    <w:p w:rsidR="00542D29" w:rsidRPr="00495BAB" w:rsidRDefault="00BB0549" w:rsidP="00873C4C">
      <w:pPr>
        <w:pStyle w:val="a0"/>
        <w:spacing w:after="0"/>
        <w:ind w:firstLine="3997"/>
        <w:jc w:val="center"/>
        <w:rPr>
          <w:rFonts w:hint="cs"/>
          <w:b/>
          <w:bCs/>
          <w:rtl/>
          <w:lang w:bidi="ar-SY"/>
        </w:rPr>
      </w:pPr>
      <w:r w:rsidRPr="00495BAB">
        <w:rPr>
          <w:rFonts w:hint="cs"/>
          <w:b/>
          <w:bCs/>
          <w:rtl/>
          <w:lang w:bidi="ar-SY"/>
        </w:rPr>
        <w:t>مع التماس الدعاء من القراء الكرام</w:t>
      </w:r>
    </w:p>
    <w:p w:rsidR="002F3502" w:rsidRDefault="002F3502" w:rsidP="00C3556F">
      <w:pPr>
        <w:pStyle w:val="a0"/>
        <w:rPr>
          <w:rtl/>
        </w:rPr>
        <w:sectPr w:rsidR="002F3502" w:rsidSect="00010AE3">
          <w:headerReference w:type="default" r:id="rId32"/>
          <w:footnotePr>
            <w:numRestart w:val="eachPage"/>
          </w:footnotePr>
          <w:type w:val="oddPage"/>
          <w:pgSz w:w="9356" w:h="13608" w:code="34"/>
          <w:pgMar w:top="964" w:right="1134" w:bottom="1134" w:left="964" w:header="0" w:footer="851" w:gutter="0"/>
          <w:cols w:space="708"/>
          <w:titlePg/>
          <w:bidi/>
          <w:rtlGutter/>
          <w:docGrid w:linePitch="360"/>
        </w:sectPr>
      </w:pPr>
    </w:p>
    <w:p w:rsidR="00CD31AA" w:rsidRPr="00995B26" w:rsidRDefault="00784268" w:rsidP="002F3502">
      <w:pPr>
        <w:pStyle w:val="Heading1"/>
        <w:rPr>
          <w:rFonts w:hint="cs"/>
          <w:rtl/>
        </w:rPr>
      </w:pPr>
      <w:bookmarkStart w:id="193" w:name="_Toc387843120"/>
      <w:bookmarkEnd w:id="154"/>
      <w:bookmarkEnd w:id="155"/>
      <w:r w:rsidRPr="00995B26">
        <w:rPr>
          <w:rFonts w:hint="cs"/>
          <w:rtl/>
        </w:rPr>
        <w:t>الفصل الثامن</w:t>
      </w:r>
      <w:r w:rsidR="002F3502">
        <w:rPr>
          <w:rtl/>
        </w:rPr>
        <w:br/>
      </w:r>
      <w:r w:rsidR="00CD31AA" w:rsidRPr="00995B26">
        <w:rPr>
          <w:rFonts w:hint="cs"/>
          <w:rtl/>
        </w:rPr>
        <w:t>الجواب عن الردود التي كُتِبت على كتاب الخُمس</w:t>
      </w:r>
      <w:bookmarkEnd w:id="193"/>
    </w:p>
    <w:p w:rsidR="00374CAD" w:rsidRPr="003F3B94" w:rsidRDefault="00374CAD" w:rsidP="003F3B94">
      <w:pPr>
        <w:pStyle w:val="a0"/>
        <w:rPr>
          <w:rFonts w:hint="cs"/>
          <w:rtl/>
        </w:rPr>
      </w:pPr>
      <w:r w:rsidRPr="003F3B94">
        <w:rPr>
          <w:rFonts w:ascii="Abo-thar" w:hAnsi="Abo-thar" w:hint="cs"/>
          <w:sz w:val="28"/>
          <w:rtl/>
        </w:rPr>
        <w:t>يتضمن هذا الفصل الأخير إجابات المؤلف عن الردود التي كتبت على كتابه و وصلت إلى يديه بعد انتشار الكتاب. من مجموع الردود الخمسة التي ألفت ضد كتاب الخمس، لم يصل إلى أيدينا سوى ثلاثة ردود فقط، وهي الردود التي تقرؤونها في هذا الفصل وتقرؤون الإجابة عنها. [المُنَقِّح]</w:t>
      </w:r>
    </w:p>
    <w:p w:rsidR="00CD31AA" w:rsidRPr="00995B26" w:rsidRDefault="00F261D4" w:rsidP="007D2B8A">
      <w:pPr>
        <w:pStyle w:val="a5"/>
        <w:rPr>
          <w:rFonts w:hint="cs"/>
          <w:rtl/>
        </w:rPr>
      </w:pPr>
      <w:bookmarkStart w:id="194" w:name="_Toc387843121"/>
      <w:r w:rsidRPr="00995B26">
        <w:rPr>
          <w:rFonts w:hint="cs"/>
          <w:rtl/>
        </w:rPr>
        <w:t>1- الإجابة</w:t>
      </w:r>
      <w:r w:rsidR="00CD31AA" w:rsidRPr="00995B26">
        <w:rPr>
          <w:rFonts w:hint="cs"/>
          <w:rtl/>
        </w:rPr>
        <w:t xml:space="preserve"> عن ردّ السيد رضا أستادي الأصفهاني</w:t>
      </w:r>
      <w:r w:rsidR="00776BF9" w:rsidRPr="0021507A">
        <w:rPr>
          <w:rFonts w:cs="Arabic11 BT" w:hint="cs"/>
          <w:vertAlign w:val="superscript"/>
          <w:rtl/>
        </w:rPr>
        <w:t>(</w:t>
      </w:r>
      <w:r w:rsidR="00CD31AA" w:rsidRPr="0021507A">
        <w:rPr>
          <w:rStyle w:val="FootnoteReference"/>
          <w:rFonts w:cs="Arabic11 BT"/>
          <w:rtl/>
        </w:rPr>
        <w:footnoteReference w:id="465"/>
      </w:r>
      <w:r w:rsidR="00776BF9" w:rsidRPr="0021507A">
        <w:rPr>
          <w:rFonts w:cs="Arabic11 BT" w:hint="cs"/>
          <w:vertAlign w:val="superscript"/>
          <w:rtl/>
        </w:rPr>
        <w:t>)</w:t>
      </w:r>
      <w:bookmarkEnd w:id="194"/>
    </w:p>
    <w:p w:rsidR="00CD31AA" w:rsidRPr="00495BAB" w:rsidRDefault="00D94B54" w:rsidP="00495BAB">
      <w:pPr>
        <w:pStyle w:val="a0"/>
        <w:rPr>
          <w:rFonts w:hint="cs"/>
          <w:rtl/>
          <w:lang w:bidi="ar-SY"/>
        </w:rPr>
      </w:pPr>
      <w:r w:rsidRPr="00995B26">
        <w:rPr>
          <w:rFonts w:cs="Traditional Arabic" w:hint="cs"/>
          <w:szCs w:val="30"/>
          <w:rtl/>
          <w:lang w:bidi="ar-SY"/>
        </w:rPr>
        <w:t>﴿</w:t>
      </w:r>
      <w:r w:rsidRPr="0067048A">
        <w:rPr>
          <w:rFonts w:ascii="KFGQPC Uthmanic Script HAFS" w:cs="KFGQPC Uthmanic Script HAFS" w:hint="eastAsia"/>
          <w:sz w:val="28"/>
          <w:szCs w:val="28"/>
          <w:rtl/>
        </w:rPr>
        <w:t>قُل</w:t>
      </w:r>
      <w:r w:rsidRPr="0067048A">
        <w:rPr>
          <w:rFonts w:ascii="KFGQPC Uthmanic Script HAFS" w:cs="KFGQPC Uthmanic Script HAFS" w:hint="cs"/>
          <w:sz w:val="28"/>
          <w:szCs w:val="28"/>
          <w:rtl/>
        </w:rPr>
        <w:t>ۡ</w:t>
      </w:r>
      <w:r w:rsidRPr="0067048A">
        <w:rPr>
          <w:rFonts w:ascii="KFGQPC Uthmanic Script HAFS" w:cs="KFGQPC Uthmanic Script HAFS"/>
          <w:sz w:val="28"/>
          <w:szCs w:val="28"/>
          <w:rtl/>
        </w:rPr>
        <w:t xml:space="preserve"> </w:t>
      </w:r>
      <w:r w:rsidRPr="0067048A">
        <w:rPr>
          <w:rFonts w:ascii="KFGQPC Uthmanic Script HAFS" w:cs="KFGQPC Uthmanic Script HAFS" w:hint="eastAsia"/>
          <w:sz w:val="28"/>
          <w:szCs w:val="28"/>
          <w:rtl/>
        </w:rPr>
        <w:t>فَلِلَّهِ</w:t>
      </w:r>
      <w:r w:rsidRPr="0067048A">
        <w:rPr>
          <w:rFonts w:ascii="KFGQPC Uthmanic Script HAFS" w:cs="KFGQPC Uthmanic Script HAFS"/>
          <w:sz w:val="28"/>
          <w:szCs w:val="28"/>
          <w:rtl/>
        </w:rPr>
        <w:t xml:space="preserve"> </w:t>
      </w:r>
      <w:r w:rsidRPr="0067048A">
        <w:rPr>
          <w:rFonts w:ascii="KFGQPC Uthmanic Script HAFS" w:cs="KFGQPC Uthmanic Script HAFS" w:hint="cs"/>
          <w:sz w:val="28"/>
          <w:szCs w:val="28"/>
          <w:rtl/>
        </w:rPr>
        <w:t>ٱ</w:t>
      </w:r>
      <w:r w:rsidRPr="0067048A">
        <w:rPr>
          <w:rFonts w:ascii="KFGQPC Uthmanic Script HAFS" w:cs="KFGQPC Uthmanic Script HAFS" w:hint="eastAsia"/>
          <w:sz w:val="28"/>
          <w:szCs w:val="28"/>
          <w:rtl/>
        </w:rPr>
        <w:t>ل</w:t>
      </w:r>
      <w:r w:rsidRPr="0067048A">
        <w:rPr>
          <w:rFonts w:ascii="KFGQPC Uthmanic Script HAFS" w:cs="KFGQPC Uthmanic Script HAFS" w:hint="cs"/>
          <w:sz w:val="28"/>
          <w:szCs w:val="28"/>
          <w:rtl/>
        </w:rPr>
        <w:t>ۡ</w:t>
      </w:r>
      <w:r w:rsidRPr="0067048A">
        <w:rPr>
          <w:rFonts w:ascii="KFGQPC Uthmanic Script HAFS" w:cs="KFGQPC Uthmanic Script HAFS" w:hint="eastAsia"/>
          <w:sz w:val="28"/>
          <w:szCs w:val="28"/>
          <w:rtl/>
        </w:rPr>
        <w:t>حُجَّةُ</w:t>
      </w:r>
      <w:r w:rsidRPr="0067048A">
        <w:rPr>
          <w:rFonts w:ascii="KFGQPC Uthmanic Script HAFS" w:cs="KFGQPC Uthmanic Script HAFS"/>
          <w:sz w:val="28"/>
          <w:szCs w:val="28"/>
          <w:rtl/>
        </w:rPr>
        <w:t xml:space="preserve"> </w:t>
      </w:r>
      <w:r w:rsidRPr="0067048A">
        <w:rPr>
          <w:rFonts w:ascii="KFGQPC Uthmanic Script HAFS" w:cs="KFGQPC Uthmanic Script HAFS" w:hint="cs"/>
          <w:sz w:val="28"/>
          <w:szCs w:val="28"/>
          <w:rtl/>
        </w:rPr>
        <w:t>ٱ</w:t>
      </w:r>
      <w:r w:rsidRPr="0067048A">
        <w:rPr>
          <w:rFonts w:ascii="KFGQPC Uthmanic Script HAFS" w:cs="KFGQPC Uthmanic Script HAFS" w:hint="eastAsia"/>
          <w:sz w:val="28"/>
          <w:szCs w:val="28"/>
          <w:rtl/>
        </w:rPr>
        <w:t>ل</w:t>
      </w:r>
      <w:r w:rsidRPr="0067048A">
        <w:rPr>
          <w:rFonts w:ascii="KFGQPC Uthmanic Script HAFS" w:cs="KFGQPC Uthmanic Script HAFS" w:hint="cs"/>
          <w:sz w:val="28"/>
          <w:szCs w:val="28"/>
          <w:rtl/>
        </w:rPr>
        <w:t>ۡ</w:t>
      </w:r>
      <w:r w:rsidRPr="0067048A">
        <w:rPr>
          <w:rFonts w:ascii="KFGQPC Uthmanic Script HAFS" w:cs="KFGQPC Uthmanic Script HAFS" w:hint="eastAsia"/>
          <w:sz w:val="28"/>
          <w:szCs w:val="28"/>
          <w:rtl/>
        </w:rPr>
        <w:t>بَ</w:t>
      </w:r>
      <w:r w:rsidRPr="0067048A">
        <w:rPr>
          <w:rFonts w:ascii="KFGQPC Uthmanic Script HAFS" w:cs="KFGQPC Uthmanic Script HAFS" w:hint="cs"/>
          <w:sz w:val="28"/>
          <w:szCs w:val="28"/>
          <w:rtl/>
        </w:rPr>
        <w:t>ٰ</w:t>
      </w:r>
      <w:r w:rsidRPr="0067048A">
        <w:rPr>
          <w:rFonts w:ascii="KFGQPC Uthmanic Script HAFS" w:cs="KFGQPC Uthmanic Script HAFS" w:hint="eastAsia"/>
          <w:sz w:val="28"/>
          <w:szCs w:val="28"/>
          <w:rtl/>
        </w:rPr>
        <w:t>لِغَةُ</w:t>
      </w:r>
      <w:r w:rsidRPr="0067048A">
        <w:rPr>
          <w:rFonts w:ascii="KFGQPC Uthmanic Script HAFS" w:cs="KFGQPC Uthmanic Script HAFS" w:hint="cs"/>
          <w:sz w:val="28"/>
          <w:szCs w:val="28"/>
          <w:rtl/>
        </w:rPr>
        <w:t>ۖ</w:t>
      </w:r>
      <w:r w:rsidRPr="0067048A">
        <w:rPr>
          <w:rFonts w:ascii="KFGQPC Uthmanic Script HAFS" w:cs="KFGQPC Uthmanic Script HAFS"/>
          <w:sz w:val="28"/>
          <w:szCs w:val="28"/>
          <w:rtl/>
        </w:rPr>
        <w:t xml:space="preserve"> </w:t>
      </w:r>
      <w:r w:rsidRPr="0067048A">
        <w:rPr>
          <w:rFonts w:ascii="KFGQPC Uthmanic Script HAFS" w:cs="KFGQPC Uthmanic Script HAFS" w:hint="eastAsia"/>
          <w:sz w:val="28"/>
          <w:szCs w:val="28"/>
          <w:rtl/>
        </w:rPr>
        <w:t>فَلَو</w:t>
      </w:r>
      <w:r w:rsidRPr="0067048A">
        <w:rPr>
          <w:rFonts w:ascii="KFGQPC Uthmanic Script HAFS" w:cs="KFGQPC Uthmanic Script HAFS" w:hint="cs"/>
          <w:sz w:val="28"/>
          <w:szCs w:val="28"/>
          <w:rtl/>
        </w:rPr>
        <w:t>ۡ</w:t>
      </w:r>
      <w:r w:rsidRPr="0067048A">
        <w:rPr>
          <w:rFonts w:ascii="KFGQPC Uthmanic Script HAFS" w:cs="KFGQPC Uthmanic Script HAFS"/>
          <w:sz w:val="28"/>
          <w:szCs w:val="28"/>
          <w:rtl/>
        </w:rPr>
        <w:t xml:space="preserve"> </w:t>
      </w:r>
      <w:r w:rsidRPr="0067048A">
        <w:rPr>
          <w:rFonts w:ascii="KFGQPC Uthmanic Script HAFS" w:cs="KFGQPC Uthmanic Script HAFS" w:hint="eastAsia"/>
          <w:sz w:val="28"/>
          <w:szCs w:val="28"/>
          <w:rtl/>
        </w:rPr>
        <w:t>شَا</w:t>
      </w:r>
      <w:r w:rsidRPr="0067048A">
        <w:rPr>
          <w:rFonts w:ascii="KFGQPC Uthmanic Script HAFS" w:cs="KFGQPC Uthmanic Script HAFS" w:hint="cs"/>
          <w:sz w:val="28"/>
          <w:szCs w:val="28"/>
          <w:rtl/>
        </w:rPr>
        <w:t>ٓ</w:t>
      </w:r>
      <w:r w:rsidRPr="0067048A">
        <w:rPr>
          <w:rFonts w:ascii="KFGQPC Uthmanic Script HAFS" w:cs="KFGQPC Uthmanic Script HAFS" w:hint="eastAsia"/>
          <w:sz w:val="28"/>
          <w:szCs w:val="28"/>
          <w:rtl/>
        </w:rPr>
        <w:t>ءَ</w:t>
      </w:r>
      <w:r w:rsidRPr="0067048A">
        <w:rPr>
          <w:rFonts w:ascii="KFGQPC Uthmanic Script HAFS" w:cs="KFGQPC Uthmanic Script HAFS"/>
          <w:sz w:val="28"/>
          <w:szCs w:val="28"/>
          <w:rtl/>
        </w:rPr>
        <w:t xml:space="preserve"> </w:t>
      </w:r>
      <w:r w:rsidRPr="0067048A">
        <w:rPr>
          <w:rFonts w:ascii="KFGQPC Uthmanic Script HAFS" w:cs="KFGQPC Uthmanic Script HAFS" w:hint="eastAsia"/>
          <w:sz w:val="28"/>
          <w:szCs w:val="28"/>
          <w:rtl/>
        </w:rPr>
        <w:t>لَهَدَى</w:t>
      </w:r>
      <w:r w:rsidRPr="0067048A">
        <w:rPr>
          <w:rFonts w:ascii="KFGQPC Uthmanic Script HAFS" w:cs="KFGQPC Uthmanic Script HAFS" w:hint="cs"/>
          <w:sz w:val="28"/>
          <w:szCs w:val="28"/>
          <w:rtl/>
        </w:rPr>
        <w:t>ٰ</w:t>
      </w:r>
      <w:r w:rsidRPr="0067048A">
        <w:rPr>
          <w:rFonts w:ascii="KFGQPC Uthmanic Script HAFS" w:cs="KFGQPC Uthmanic Script HAFS" w:hint="eastAsia"/>
          <w:sz w:val="28"/>
          <w:szCs w:val="28"/>
          <w:rtl/>
        </w:rPr>
        <w:t>كُم</w:t>
      </w:r>
      <w:r w:rsidRPr="0067048A">
        <w:rPr>
          <w:rFonts w:ascii="KFGQPC Uthmanic Script HAFS" w:cs="KFGQPC Uthmanic Script HAFS" w:hint="cs"/>
          <w:sz w:val="28"/>
          <w:szCs w:val="28"/>
          <w:rtl/>
        </w:rPr>
        <w:t>ۡ</w:t>
      </w:r>
      <w:r w:rsidRPr="0067048A">
        <w:rPr>
          <w:rFonts w:ascii="KFGQPC Uthmanic Script HAFS" w:cs="KFGQPC Uthmanic Script HAFS"/>
          <w:sz w:val="28"/>
          <w:szCs w:val="28"/>
          <w:rtl/>
        </w:rPr>
        <w:t xml:space="preserve"> </w:t>
      </w:r>
      <w:r w:rsidRPr="0067048A">
        <w:rPr>
          <w:rFonts w:ascii="KFGQPC Uthmanic Script HAFS" w:cs="KFGQPC Uthmanic Script HAFS" w:hint="eastAsia"/>
          <w:sz w:val="28"/>
          <w:szCs w:val="28"/>
          <w:rtl/>
        </w:rPr>
        <w:t>أَج</w:t>
      </w:r>
      <w:r w:rsidRPr="0067048A">
        <w:rPr>
          <w:rFonts w:ascii="KFGQPC Uthmanic Script HAFS" w:cs="KFGQPC Uthmanic Script HAFS" w:hint="cs"/>
          <w:sz w:val="28"/>
          <w:szCs w:val="28"/>
          <w:rtl/>
        </w:rPr>
        <w:t>ۡ</w:t>
      </w:r>
      <w:r w:rsidRPr="0067048A">
        <w:rPr>
          <w:rFonts w:ascii="KFGQPC Uthmanic Script HAFS" w:cs="KFGQPC Uthmanic Script HAFS" w:hint="eastAsia"/>
          <w:sz w:val="28"/>
          <w:szCs w:val="28"/>
          <w:rtl/>
        </w:rPr>
        <w:t>مَعِينَ</w:t>
      </w:r>
      <w:r w:rsidRPr="00995B26">
        <w:rPr>
          <w:rFonts w:cs="Traditional Arabic" w:hint="cs"/>
          <w:szCs w:val="30"/>
          <w:rtl/>
          <w:lang w:bidi="ar-SY"/>
        </w:rPr>
        <w:t>﴾</w:t>
      </w:r>
      <w:r w:rsidRPr="00495BAB">
        <w:rPr>
          <w:rFonts w:hint="cs"/>
          <w:rtl/>
          <w:lang w:bidi="ar-SY"/>
        </w:rPr>
        <w:t xml:space="preserve"> </w:t>
      </w:r>
      <w:r w:rsidR="00CD31AA" w:rsidRPr="00495BAB">
        <w:rPr>
          <w:rtl/>
          <w:lang w:bidi="ar-SY"/>
        </w:rPr>
        <w:t xml:space="preserve"> </w:t>
      </w:r>
      <w:r w:rsidR="00CD31AA" w:rsidRPr="009E1401">
        <w:rPr>
          <w:rStyle w:val="Char2"/>
          <w:rtl/>
        </w:rPr>
        <w:t>[الأنعام: 149]</w:t>
      </w:r>
    </w:p>
    <w:p w:rsidR="00CD31AA" w:rsidRPr="00495BAB" w:rsidRDefault="00CD31AA" w:rsidP="00495BAB">
      <w:pPr>
        <w:pStyle w:val="a0"/>
        <w:rPr>
          <w:rFonts w:hint="cs"/>
          <w:rtl/>
          <w:lang w:bidi="ar-SY"/>
        </w:rPr>
      </w:pPr>
      <w:r w:rsidRPr="00495BAB">
        <w:rPr>
          <w:rFonts w:hint="cs"/>
          <w:rtl/>
          <w:lang w:bidi="ar-SY"/>
        </w:rPr>
        <w:t>ليس كاتب هذه السطور - بِمَنِّ اللهِ وَكَرَمِه - سوى ابن قرية صغيرة، أمضى أفضل أوقات عمره في القرية، ولم يكن لديه أيُّ نصيب من متع المُدُن وما فيها من الزينة والرفاهية والتكلُّف، وإنْ كان القضاء والقدر قد أجلسه يوماً أو بضع سنوات وراء منضدة أفضل منصب تعليمي (مدير ثانوية المدينة)، إلا أنه لم</w:t>
      </w:r>
      <w:r w:rsidRPr="00495BAB">
        <w:rPr>
          <w:rFonts w:cs="Times New Roman" w:hint="cs"/>
          <w:rtl/>
          <w:lang w:bidi="ar-SY"/>
        </w:rPr>
        <w:t> </w:t>
      </w:r>
      <w:r w:rsidRPr="00495BAB">
        <w:rPr>
          <w:rFonts w:hint="cs"/>
          <w:rtl/>
          <w:lang w:bidi="ar-SY"/>
        </w:rPr>
        <w:t>يملك أي شهادة علمية، لأنه لم يرَ في طفولته كتّاباً ولا مدرسةً ابتدائيةً، ولا</w:t>
      </w:r>
      <w:r w:rsidRPr="00495BAB">
        <w:rPr>
          <w:rFonts w:cs="Times New Roman" w:hint="cs"/>
          <w:rtl/>
          <w:lang w:bidi="ar-SY"/>
        </w:rPr>
        <w:t> </w:t>
      </w:r>
      <w:r w:rsidRPr="00495BAB">
        <w:rPr>
          <w:rFonts w:hint="cs"/>
          <w:rtl/>
          <w:lang w:bidi="ar-SY"/>
        </w:rPr>
        <w:t>انتقل في شبابه إلى الحوزة العلمية، ولم يأكل في حياته ديناراً من سهم الإمام أو الصدقات ولا لبس العمامة ولا انْتَعَلَ النعلين!!</w:t>
      </w:r>
      <w:r w:rsidR="000C68EA" w:rsidRPr="000C68EA">
        <w:rPr>
          <w:rStyle w:val="FootnoteReference"/>
          <w:rFonts w:cs="Arabic11 BT"/>
          <w:rtl/>
          <w:lang w:bidi="ar-SY"/>
        </w:rPr>
        <w:t>(</w:t>
      </w:r>
      <w:r w:rsidR="000C68EA" w:rsidRPr="000C68EA">
        <w:rPr>
          <w:rStyle w:val="FootnoteReference"/>
          <w:rFonts w:cs="Arabic11 BT"/>
          <w:rtl/>
          <w:lang w:bidi="ar-SY"/>
        </w:rPr>
        <w:footnoteReference w:id="466"/>
      </w:r>
      <w:r w:rsidR="000C68EA" w:rsidRPr="000C68EA">
        <w:rPr>
          <w:rStyle w:val="FootnoteReference"/>
          <w:rFonts w:cs="Arabic11 BT"/>
          <w:rtl/>
          <w:lang w:bidi="ar-SY"/>
        </w:rPr>
        <w:t>)</w:t>
      </w:r>
      <w:r w:rsidRPr="00495BAB">
        <w:rPr>
          <w:rFonts w:hint="cs"/>
          <w:rtl/>
          <w:lang w:bidi="ar-SY"/>
        </w:rPr>
        <w:t xml:space="preserve"> بل تربَّى في أحضان الطبيعة ونبت في حديقة أزهار المشيئة. </w:t>
      </w:r>
    </w:p>
    <w:p w:rsidR="00CD31AA" w:rsidRPr="00495BAB" w:rsidRDefault="00CD31AA" w:rsidP="00495BAB">
      <w:pPr>
        <w:pStyle w:val="a0"/>
        <w:rPr>
          <w:rFonts w:hint="cs"/>
          <w:rtl/>
          <w:lang w:bidi="ar-SY"/>
        </w:rPr>
      </w:pPr>
      <w:r w:rsidRPr="00495BAB">
        <w:rPr>
          <w:rFonts w:hint="cs"/>
          <w:rtl/>
          <w:lang w:bidi="ar-SY"/>
        </w:rPr>
        <w:t xml:space="preserve">رغم ذلك، كنت مُحِبًّا جدًّا للعلم والمعرفة من أعماق قلبي، وشغوفًا بالفكر والبصيرة. منذ اليوم الذي مَنَّ اللهُ فيه عليَّ - بلطفه وكرمه - بنعمة القراءة والكتابة، سعيتُ على الدوام - بمقتضى البحث عن الحقيقة الذي غرسه الله في فطرتي- إلى النظر في ملكوت السموات والأرض والتأمل في عجائب عالم الخليقة وغرائبه، واستنتاج الحقائق منه، وكنت انظر في كل ما هو موجود وظاهر، بعين التحقيق، إلى الحد الذي مكنني اللهُ - واجب الوجود المتعال - منه وأقدرني عليه، ولم اتَّبِعْ أيَّ مُنادٍ اتباعًا أعمى ولم اعتبر أي إنسان - عاجز محتاج إلى الله مثلي - واجب الطاعة ولازم الاتباع، اللهم إلا إذا رأيت فيه فضيلةً وعلمًا تجعلانه أهلاً لقبول قوله واتِّباعه. لهذا السبب لم اتَّبِعْ - في تحقيق الحقائق وتأسيس عقيدتي - كثيرًا مما هو سائد في البيئة المحيطة بي مِمَّا يُخالف في معظمه العقل والوجدان، بل بنيتُ أساس عقائدي على العقل الذي منحني الله إياه. فقد رأيت الناس في مجتمعي مبتلين بالتكلُّف والعصبيات المذهبية والتعصب للأشخاص، مما ينفُر منه الطبع النقيُّ والحُرُّ. ولذلك رجعت في مسائل الدين وأحكام الشريعة إلى الكتاب والسنة مباشرةً، فحصلت على حقائق تخالف ما هو منتشر في مجتمعنا، فدونت ذلك في أوراق دفاتري وأخرجت بعض ذلك أحيانًا بصورة كتاب أو رسالة قمت بطباعتها ونشرها بمشقّة بالغة. ولكن لما كانت البيئة المحيطة بي مخالفة للأفكار التي طرحتها ولم يكن ما طرحته منسجماً مع مصالح ذوي النفوذ ولا موافقًا لمنافعهم الشخصية، قُوبِلَتْ كتبي بالإعراض والإدبار وكساد السوق وبقي كثير مما كتبته وطبعته حبيساً في زوايا المنزل مهجوراً متروكاً يعلوه الغبار! ورغم ذلك لم أتوقف عن البحث والتحقيق لحظةً، بدافع فطرتي المشتاقة إلى الوصول إلى الحقيقة! </w:t>
      </w:r>
    </w:p>
    <w:p w:rsidR="00CD31AA" w:rsidRPr="00495BAB" w:rsidRDefault="00CD31AA" w:rsidP="00495BAB">
      <w:pPr>
        <w:pStyle w:val="a0"/>
        <w:rPr>
          <w:rFonts w:hint="cs"/>
          <w:rtl/>
          <w:lang w:bidi="ar-SY"/>
        </w:rPr>
      </w:pPr>
      <w:r w:rsidRPr="00495BAB">
        <w:rPr>
          <w:rFonts w:hint="cs"/>
          <w:rtl/>
          <w:lang w:bidi="ar-SY"/>
        </w:rPr>
        <w:t xml:space="preserve">من هذا المنطلق كتبتُ حتى الآن عدَّة مجموعات ودفاتر في موضوعات مختلفة، وربما قام بعض الإخوة بطباعتها ونشرها دون رضًى مني ولا استئذان، ورغم كل الاعتراضات على كتبي كان هناك كثيرون يطلبون الحصول عليها، ولكنْ لمَّا لم أكن أملك أي وسيلة من الناحية المادية والمعنوية لنشرها كنت كلما كتبت شيئًا نسختُ عنه بعض النسخ بالتصوير الضوئي وأعطيتها لمن يطلبها ويرغب بقراءتها، وربما انتقلت النسخة من يد إلى يد وقرأها عدد من الأشخاص، حتى لم يَعُدْ يُعْرَف في نهاية المطاف من المعطي ومن الآخذ؟ ولمَّا كانت الأمانة في مجتمعنا ليست على الوجه المطلوب، كان ذلك الكُتَيِّب المُعار يُفْقَدُ بعد مدة من الزمن ولا يُعاد إلى صاحبه، أو يقوم بعضهم بطباعته باسمٍ أو بدون اسم وبنشره على حسابه! </w:t>
      </w:r>
    </w:p>
    <w:p w:rsidR="00CD31AA" w:rsidRPr="00495BAB" w:rsidRDefault="00CD31AA" w:rsidP="00495BAB">
      <w:pPr>
        <w:pStyle w:val="a0"/>
        <w:rPr>
          <w:rFonts w:hint="cs"/>
          <w:rtl/>
          <w:lang w:bidi="ar-SY"/>
        </w:rPr>
      </w:pPr>
      <w:r w:rsidRPr="00495BAB">
        <w:rPr>
          <w:rFonts w:hint="cs"/>
          <w:rtl/>
          <w:lang w:bidi="ar-SY"/>
        </w:rPr>
        <w:t xml:space="preserve">ومن جهة أخرى، لمَّا كانت مثل تلك المكتوبات قد كُتِبَتْ على نحو لم يكن كاتبها يتوقع معه أن تُطْبَعَ وتُنْشَر، كانت - حُكْمَاً - مكتوبات ناقصة وغير مكتملة، لاسيما أن طباعتها قد تمَّت دون إشراف مؤلِّفها - أي راقم هذه السطور - ودون أمر منه، فمن الطبيعي أن يتطرَّق إليها الغلط والنقصان. وقد حلَّ هذا المصير بمجموعة «الخُمس» التي قام عدد من الأفراد المجهولين بأخذ صور عنها وتجليدها ونشرها. وكان السبب في ذلك أيضاً أن الأمر تمَّ بلا رضًى مني ولا استئذان! ويشهد الله -وكفى بالله شهيداً- أنني لم أكن راضيًا عن نشر هذه المجموعة بهذه الصورة ولم أُسَرَّ بذلك، وقد عرفتُ البيئة المحيطة بي إلى حدٍّ ما وأنا واقف على نفسية الأشخاص الذين ستؤثِّر هذه الرسالة في حياتهم وأمور معيشتهم، ولست جاهلاً بما يمتلكونه من سلطة ونفوذ؛ وكنت أنوي أن أكتب قبل ذلك بعض الموضوعات الضرورية وأن أرتقي نحو الموضوع درجةً درجةً، مبتدأً من الدرجة الأولى، وكنت أعلم أن نشر مثل هذه المجموعة قد يؤدي إلى منع تداولها، ولكن حدث ما حدث! </w:t>
      </w:r>
    </w:p>
    <w:p w:rsidR="00CD31AA" w:rsidRPr="00495BAB" w:rsidRDefault="00CD31AA" w:rsidP="00495BAB">
      <w:pPr>
        <w:pStyle w:val="a0"/>
        <w:rPr>
          <w:rFonts w:hint="cs"/>
          <w:rtl/>
          <w:lang w:bidi="ar-SY"/>
        </w:rPr>
      </w:pPr>
      <w:r w:rsidRPr="00495BAB">
        <w:rPr>
          <w:rFonts w:hint="cs"/>
          <w:rtl/>
          <w:lang w:bidi="ar-SY"/>
        </w:rPr>
        <w:t>بعد انتشار هذه المجموعة أعددت نفسي لردود أفعال جديدة وهيأت نفسي للدفاع عما كتبته، وحصل ما توقعته، فبعد مدة من الزمن كتب اثنان من المُعَمَّمِين، أحدهما من طهران والآخر من أصفهان، أوراقًا مضطربةً حسبوها ردًّا على ما كتبتُه، ورغم أنني دوَّنتُ على الفور إجابةً عما كتبوه، لكن لمَّا لم أكن أملك القدرة المالية على نشر إجابتي، احتفظت بِرَدِّي هذا في مكان ما من المنزل إلى أن يحين وقت نشره، إلى أن قام شخص يُدْعى «رضا أستادي الأصفهاني» [الذي أصبح بعد ذلك ذا منصب ونفوذ وسلطة في نظام الجمهورية الإسلامية وفي الحوزة العلمية في قم] بكتابة رسالة بعنوان (</w:t>
      </w:r>
      <w:r w:rsidRPr="00495BAB">
        <w:rPr>
          <w:rFonts w:hint="cs"/>
          <w:b/>
          <w:bCs/>
          <w:rtl/>
          <w:lang w:bidi="ar-SY"/>
        </w:rPr>
        <w:t>توضيحات حول كلمة «الغنيمة» في آية الخُمس</w:t>
      </w:r>
      <w:r w:rsidRPr="00495BAB">
        <w:rPr>
          <w:rFonts w:hint="cs"/>
          <w:rtl/>
          <w:lang w:bidi="ar-SY"/>
        </w:rPr>
        <w:t>) ونَشْرِها. وكان هذا السيد قد أدى حق معلّمه وشيخه [الشيخ صالحي نجف آبادي] بأن كتب ردًّا على كتابه «</w:t>
      </w:r>
      <w:r w:rsidRPr="00495BAB">
        <w:rPr>
          <w:rFonts w:hint="cs"/>
          <w:b/>
          <w:bCs/>
          <w:rtl/>
          <w:lang w:bidi="ar-SY"/>
        </w:rPr>
        <w:t>شهيد جاويد</w:t>
      </w:r>
      <w:r w:rsidRPr="00495BAB">
        <w:rPr>
          <w:rFonts w:hint="cs"/>
          <w:rtl/>
          <w:lang w:bidi="ar-SY"/>
        </w:rPr>
        <w:t>» أي (الشهيد الخالد الحسين بن علي)، وحرَّض عددًا من الأشخاص الآخرين على ملاحقة ذلك الشيخ انطلاقًا من دوافع خاصَّة حتى أجبروا الشيخ صالحي نجف آبادي على ترك موطنه وإغلاق منزله، ولعل هذا الأستاذ أراد برسالته المشار إليها أن يفعل بي الأمر ذاته! ولكنني كنت قد سمعت منذ عدة سنوات أنه يستعد لكتابة ردٍّ على كتابي «</w:t>
      </w:r>
      <w:r w:rsidRPr="00495BAB">
        <w:rPr>
          <w:rFonts w:hint="cs"/>
          <w:b/>
          <w:bCs/>
          <w:rtl/>
          <w:lang w:bidi="ar-SY"/>
        </w:rPr>
        <w:t>الخُمْس والزكاة</w:t>
      </w:r>
      <w:r w:rsidRPr="00495BAB">
        <w:rPr>
          <w:rFonts w:hint="cs"/>
          <w:rtl/>
          <w:lang w:bidi="ar-SY"/>
        </w:rPr>
        <w:t>»، حتى أنه استعان ببعض الأشخاص لهذا الغرض واستفاد من تتبُّعاتهم في هذا الموضوع، ولكنني لم أكن أتوقع أن يُقدِّم لنا -بعد كل تلك المدة الطويلة- مثل تلك الرسالة الضعيفة المليئة بالأمور المتهافتة التي لا أساس لها من الصحة! وانطبق عليه المثل: صَمَتَ دَهْرًا ثُمَّ نَطَقَ كُفْرًا!!</w:t>
      </w:r>
    </w:p>
    <w:p w:rsidR="00CD31AA" w:rsidRPr="00495BAB" w:rsidRDefault="00CD31AA" w:rsidP="00495BAB">
      <w:pPr>
        <w:pStyle w:val="a0"/>
        <w:rPr>
          <w:rFonts w:hint="cs"/>
          <w:rtl/>
          <w:lang w:bidi="ar-SY"/>
        </w:rPr>
      </w:pPr>
      <w:r w:rsidRPr="00495BAB">
        <w:rPr>
          <w:rFonts w:hint="cs"/>
          <w:rtl/>
          <w:lang w:bidi="ar-SY"/>
        </w:rPr>
        <w:t>كتب السيد أصفهاني هذا في رسالته ذات الثلاثين صفحة يقول: «</w:t>
      </w:r>
      <w:r w:rsidRPr="00995B26">
        <w:rPr>
          <w:rFonts w:cs="Akhbar MT" w:hint="cs"/>
          <w:szCs w:val="30"/>
          <w:rtl/>
          <w:lang w:bidi="ar-SY"/>
        </w:rPr>
        <w:t>منذ مدة انتشر كتاب كبير الحجم ولكنه صغير المحتوى سطحيٌّ لا عمق فيه، ملأه مؤلفه - المعروف بأنه سبَّابٌ من أهل الطعن والشتم- بعشرات المطالب الباطلة والمنحرفة حول الخمس والزكاة</w:t>
      </w:r>
      <w:r w:rsidRPr="00495BAB">
        <w:rPr>
          <w:rFonts w:hint="cs"/>
          <w:rtl/>
          <w:lang w:bidi="ar-SY"/>
        </w:rPr>
        <w:t>».</w:t>
      </w:r>
    </w:p>
    <w:p w:rsidR="00CD31AA" w:rsidRPr="00495BAB" w:rsidRDefault="00CD31AA" w:rsidP="00495BAB">
      <w:pPr>
        <w:pStyle w:val="a0"/>
        <w:rPr>
          <w:rFonts w:hint="cs"/>
          <w:rtl/>
          <w:lang w:bidi="ar-SY"/>
        </w:rPr>
      </w:pPr>
      <w:r w:rsidRPr="00495BAB">
        <w:rPr>
          <w:rFonts w:hint="cs"/>
          <w:rtl/>
          <w:lang w:bidi="ar-SY"/>
        </w:rPr>
        <w:t xml:space="preserve"> وأقول: إن الكتاب الذي يشتمل على عشرات المطالب، حتى لو كانت مطالبه (المتعلقة بالخمس والزكاة ونحوهما) ضعيفةً واهيةً في نظر صاحب الردّ، سيكون -حُكْمًا- كبير الحجم، ولو أنصف هذا الكاتب الذي يعتبر نفسه عميق التفكير لرأى أنه إنْ كان قد سود ثلاثين صفحة في بيان المراد من كلمة «الغنيمة» في آية الخُمْس، فقط، ل</w:t>
      </w:r>
      <w:r w:rsidR="00D94B54" w:rsidRPr="00495BAB">
        <w:rPr>
          <w:rFonts w:hint="cs"/>
          <w:rtl/>
          <w:lang w:bidi="ar-SY"/>
        </w:rPr>
        <w:t>ـ</w:t>
      </w:r>
      <w:r w:rsidRPr="00495BAB">
        <w:rPr>
          <w:rFonts w:hint="cs"/>
          <w:rtl/>
          <w:lang w:bidi="ar-SY"/>
        </w:rPr>
        <w:t xml:space="preserve">ما عاب على كتاب الخمس والزكاة كبر حجمه. لأن الذين أنفقوا أعمارهم في بحث الألفاظ والآراء والأمور التي لا طائل تحتها، وبعد ستين سنة من عمرهم أقَرُّوا بأن تلك الأبحاث الطويلة والمفصّلة لم تُفِدْهم شيئًا حتى يومًا واحدًا، لن يعيبوا على كتاب يتحدث عن موضوع «الزكاة» التي ذَكَرَ ربُّ العالمين بشأنها أكثر من </w:t>
      </w:r>
      <w:r w:rsidR="00755AAC">
        <w:rPr>
          <w:rFonts w:hint="cs"/>
          <w:rtl/>
          <w:lang w:bidi="ar-SY"/>
        </w:rPr>
        <w:t>مائة</w:t>
      </w:r>
      <w:r w:rsidRPr="00495BAB">
        <w:rPr>
          <w:rFonts w:hint="cs"/>
          <w:rtl/>
          <w:lang w:bidi="ar-SY"/>
        </w:rPr>
        <w:t xml:space="preserve"> آية في كتابه الكريم واعتبرها صِنْوَ الصلاةِ وقرينًا لها، تلك الصلاةِ التي بيَّن اللهُ أنه ما خلق الجن والإنس إلّا لأجلها فقال:</w:t>
      </w:r>
      <w:r w:rsidR="00D94B54" w:rsidRPr="00495BAB">
        <w:rPr>
          <w:rFonts w:hint="cs"/>
          <w:rtl/>
          <w:lang w:bidi="ar-SY"/>
        </w:rPr>
        <w:t xml:space="preserve"> </w:t>
      </w:r>
      <w:r w:rsidR="00D94B54" w:rsidRPr="00995B26">
        <w:rPr>
          <w:rFonts w:cs="Traditional Arabic" w:hint="cs"/>
          <w:szCs w:val="30"/>
          <w:rtl/>
          <w:lang w:bidi="ar-SY"/>
        </w:rPr>
        <w:t>﴿</w:t>
      </w:r>
      <w:r w:rsidR="00D94B54" w:rsidRPr="0067048A">
        <w:rPr>
          <w:rFonts w:ascii="KFGQPC Uthmanic Script HAFS" w:cs="KFGQPC Uthmanic Script HAFS" w:hint="eastAsia"/>
          <w:sz w:val="28"/>
          <w:szCs w:val="28"/>
          <w:rtl/>
        </w:rPr>
        <w:t>وَمَا</w:t>
      </w:r>
      <w:r w:rsidR="00D94B54" w:rsidRPr="0067048A">
        <w:rPr>
          <w:rFonts w:ascii="KFGQPC Uthmanic Script HAFS" w:cs="KFGQPC Uthmanic Script HAFS"/>
          <w:sz w:val="28"/>
          <w:szCs w:val="28"/>
          <w:rtl/>
        </w:rPr>
        <w:t xml:space="preserve"> </w:t>
      </w:r>
      <w:r w:rsidR="00D94B54" w:rsidRPr="0067048A">
        <w:rPr>
          <w:rFonts w:ascii="KFGQPC Uthmanic Script HAFS" w:cs="KFGQPC Uthmanic Script HAFS" w:hint="eastAsia"/>
          <w:sz w:val="28"/>
          <w:szCs w:val="28"/>
          <w:rtl/>
        </w:rPr>
        <w:t>خَلَق</w:t>
      </w:r>
      <w:r w:rsidR="00D94B54" w:rsidRPr="0067048A">
        <w:rPr>
          <w:rFonts w:ascii="KFGQPC Uthmanic Script HAFS" w:cs="KFGQPC Uthmanic Script HAFS" w:hint="cs"/>
          <w:sz w:val="28"/>
          <w:szCs w:val="28"/>
          <w:rtl/>
        </w:rPr>
        <w:t>ۡ</w:t>
      </w:r>
      <w:r w:rsidR="00D94B54" w:rsidRPr="0067048A">
        <w:rPr>
          <w:rFonts w:ascii="KFGQPC Uthmanic Script HAFS" w:cs="KFGQPC Uthmanic Script HAFS" w:hint="eastAsia"/>
          <w:sz w:val="28"/>
          <w:szCs w:val="28"/>
          <w:rtl/>
        </w:rPr>
        <w:t>تُ</w:t>
      </w:r>
      <w:r w:rsidR="00D94B54" w:rsidRPr="0067048A">
        <w:rPr>
          <w:rFonts w:ascii="KFGQPC Uthmanic Script HAFS" w:cs="KFGQPC Uthmanic Script HAFS"/>
          <w:sz w:val="28"/>
          <w:szCs w:val="28"/>
          <w:rtl/>
        </w:rPr>
        <w:t xml:space="preserve"> </w:t>
      </w:r>
      <w:r w:rsidR="00D94B54" w:rsidRPr="0067048A">
        <w:rPr>
          <w:rFonts w:ascii="KFGQPC Uthmanic Script HAFS" w:cs="KFGQPC Uthmanic Script HAFS" w:hint="cs"/>
          <w:sz w:val="28"/>
          <w:szCs w:val="28"/>
          <w:rtl/>
        </w:rPr>
        <w:t>ٱ</w:t>
      </w:r>
      <w:r w:rsidR="00D94B54" w:rsidRPr="0067048A">
        <w:rPr>
          <w:rFonts w:ascii="KFGQPC Uthmanic Script HAFS" w:cs="KFGQPC Uthmanic Script HAFS" w:hint="eastAsia"/>
          <w:sz w:val="28"/>
          <w:szCs w:val="28"/>
          <w:rtl/>
        </w:rPr>
        <w:t>ل</w:t>
      </w:r>
      <w:r w:rsidR="00D94B54" w:rsidRPr="0067048A">
        <w:rPr>
          <w:rFonts w:ascii="KFGQPC Uthmanic Script HAFS" w:cs="KFGQPC Uthmanic Script HAFS" w:hint="cs"/>
          <w:sz w:val="28"/>
          <w:szCs w:val="28"/>
          <w:rtl/>
        </w:rPr>
        <w:t>ۡ</w:t>
      </w:r>
      <w:r w:rsidR="00D94B54" w:rsidRPr="0067048A">
        <w:rPr>
          <w:rFonts w:ascii="KFGQPC Uthmanic Script HAFS" w:cs="KFGQPC Uthmanic Script HAFS" w:hint="eastAsia"/>
          <w:sz w:val="28"/>
          <w:szCs w:val="28"/>
          <w:rtl/>
        </w:rPr>
        <w:t>جِنَّ</w:t>
      </w:r>
      <w:r w:rsidR="00D94B54" w:rsidRPr="0067048A">
        <w:rPr>
          <w:rFonts w:ascii="KFGQPC Uthmanic Script HAFS" w:cs="KFGQPC Uthmanic Script HAFS"/>
          <w:sz w:val="28"/>
          <w:szCs w:val="28"/>
          <w:rtl/>
        </w:rPr>
        <w:t xml:space="preserve"> </w:t>
      </w:r>
      <w:r w:rsidR="00D94B54" w:rsidRPr="0067048A">
        <w:rPr>
          <w:rFonts w:ascii="KFGQPC Uthmanic Script HAFS" w:cs="KFGQPC Uthmanic Script HAFS" w:hint="eastAsia"/>
          <w:sz w:val="28"/>
          <w:szCs w:val="28"/>
          <w:rtl/>
        </w:rPr>
        <w:t>وَ</w:t>
      </w:r>
      <w:r w:rsidR="00D94B54" w:rsidRPr="0067048A">
        <w:rPr>
          <w:rFonts w:ascii="KFGQPC Uthmanic Script HAFS" w:cs="KFGQPC Uthmanic Script HAFS" w:hint="cs"/>
          <w:sz w:val="28"/>
          <w:szCs w:val="28"/>
          <w:rtl/>
        </w:rPr>
        <w:t>ٱ</w:t>
      </w:r>
      <w:r w:rsidR="00D94B54" w:rsidRPr="0067048A">
        <w:rPr>
          <w:rFonts w:ascii="KFGQPC Uthmanic Script HAFS" w:cs="KFGQPC Uthmanic Script HAFS" w:hint="eastAsia"/>
          <w:sz w:val="28"/>
          <w:szCs w:val="28"/>
          <w:rtl/>
        </w:rPr>
        <w:t>ل</w:t>
      </w:r>
      <w:r w:rsidR="00D94B54" w:rsidRPr="0067048A">
        <w:rPr>
          <w:rFonts w:ascii="KFGQPC Uthmanic Script HAFS" w:cs="KFGQPC Uthmanic Script HAFS" w:hint="cs"/>
          <w:sz w:val="28"/>
          <w:szCs w:val="28"/>
          <w:rtl/>
        </w:rPr>
        <w:t>ۡ</w:t>
      </w:r>
      <w:r w:rsidR="00D94B54" w:rsidRPr="0067048A">
        <w:rPr>
          <w:rFonts w:ascii="KFGQPC Uthmanic Script HAFS" w:cs="KFGQPC Uthmanic Script HAFS" w:hint="eastAsia"/>
          <w:sz w:val="28"/>
          <w:szCs w:val="28"/>
          <w:rtl/>
        </w:rPr>
        <w:t>إِنسَ</w:t>
      </w:r>
      <w:r w:rsidR="00D94B54" w:rsidRPr="0067048A">
        <w:rPr>
          <w:rFonts w:ascii="KFGQPC Uthmanic Script HAFS" w:cs="KFGQPC Uthmanic Script HAFS"/>
          <w:sz w:val="28"/>
          <w:szCs w:val="28"/>
          <w:rtl/>
        </w:rPr>
        <w:t xml:space="preserve"> </w:t>
      </w:r>
      <w:r w:rsidR="00D94B54" w:rsidRPr="0067048A">
        <w:rPr>
          <w:rFonts w:ascii="KFGQPC Uthmanic Script HAFS" w:cs="KFGQPC Uthmanic Script HAFS" w:hint="eastAsia"/>
          <w:sz w:val="28"/>
          <w:szCs w:val="28"/>
          <w:rtl/>
        </w:rPr>
        <w:t>إِلَّا</w:t>
      </w:r>
      <w:r w:rsidR="00D94B54" w:rsidRPr="0067048A">
        <w:rPr>
          <w:rFonts w:ascii="KFGQPC Uthmanic Script HAFS" w:cs="KFGQPC Uthmanic Script HAFS"/>
          <w:sz w:val="28"/>
          <w:szCs w:val="28"/>
          <w:rtl/>
        </w:rPr>
        <w:t xml:space="preserve"> </w:t>
      </w:r>
      <w:r w:rsidR="00D94B54" w:rsidRPr="0067048A">
        <w:rPr>
          <w:rFonts w:ascii="KFGQPC Uthmanic Script HAFS" w:cs="KFGQPC Uthmanic Script HAFS" w:hint="eastAsia"/>
          <w:sz w:val="28"/>
          <w:szCs w:val="28"/>
          <w:rtl/>
        </w:rPr>
        <w:t>لِيَع</w:t>
      </w:r>
      <w:r w:rsidR="00D94B54" w:rsidRPr="0067048A">
        <w:rPr>
          <w:rFonts w:ascii="KFGQPC Uthmanic Script HAFS" w:cs="KFGQPC Uthmanic Script HAFS" w:hint="cs"/>
          <w:sz w:val="28"/>
          <w:szCs w:val="28"/>
          <w:rtl/>
        </w:rPr>
        <w:t>ۡ</w:t>
      </w:r>
      <w:r w:rsidR="00D94B54" w:rsidRPr="0067048A">
        <w:rPr>
          <w:rFonts w:ascii="KFGQPC Uthmanic Script HAFS" w:cs="KFGQPC Uthmanic Script HAFS" w:hint="eastAsia"/>
          <w:sz w:val="28"/>
          <w:szCs w:val="28"/>
          <w:rtl/>
        </w:rPr>
        <w:t>بُدُونِ</w:t>
      </w:r>
      <w:r w:rsidR="00D94B54" w:rsidRPr="00995B26">
        <w:rPr>
          <w:rFonts w:cs="Traditional Arabic" w:hint="cs"/>
          <w:szCs w:val="30"/>
          <w:rtl/>
          <w:lang w:bidi="ar-SY"/>
        </w:rPr>
        <w:t>﴾</w:t>
      </w:r>
      <w:r w:rsidRPr="00495BAB">
        <w:rPr>
          <w:rFonts w:hint="cs"/>
          <w:rtl/>
          <w:lang w:bidi="ar-SY"/>
        </w:rPr>
        <w:t xml:space="preserve"> </w:t>
      </w:r>
      <w:r w:rsidR="00D94B54" w:rsidRPr="009E1401">
        <w:rPr>
          <w:rStyle w:val="Char2"/>
          <w:rFonts w:hint="cs"/>
          <w:rtl/>
        </w:rPr>
        <w:t>[</w:t>
      </w:r>
      <w:r w:rsidRPr="009E1401">
        <w:rPr>
          <w:rStyle w:val="Char2"/>
          <w:rFonts w:hint="cs"/>
          <w:rtl/>
        </w:rPr>
        <w:t>الذاريات</w:t>
      </w:r>
      <w:r w:rsidR="00D94B54" w:rsidRPr="009E1401">
        <w:rPr>
          <w:rStyle w:val="Char2"/>
          <w:rFonts w:hint="cs"/>
          <w:rtl/>
        </w:rPr>
        <w:t xml:space="preserve">: </w:t>
      </w:r>
      <w:r w:rsidRPr="009E1401">
        <w:rPr>
          <w:rStyle w:val="Char2"/>
          <w:rFonts w:hint="cs"/>
          <w:rtl/>
        </w:rPr>
        <w:t>56</w:t>
      </w:r>
      <w:r w:rsidR="00D94B54" w:rsidRPr="009E1401">
        <w:rPr>
          <w:rStyle w:val="Char2"/>
          <w:rFonts w:hint="cs"/>
          <w:rtl/>
        </w:rPr>
        <w:t>]</w:t>
      </w:r>
      <w:r w:rsidRPr="00495BAB">
        <w:rPr>
          <w:rFonts w:hint="cs"/>
          <w:rtl/>
          <w:lang w:bidi="ar-SY"/>
        </w:rPr>
        <w:t xml:space="preserve">، فإذا طال البحث حول موضوع «الزكاة» وكان مفصّلاً، لاسيما إذا أخذنا بعين الاعتبار كل تلك الجرائم التي ارتكبت بحق هذه الفريضة المقدسة، لما لاموا مؤلفه! لكننا لا نتعجب من مثل هذا الكاتب الذي استهل كتابه هذا الاستهلال البارع(!) في السطر الأول منه، وأتى بجمل تدل على أنها تنطلق من قلبٍ متألِّمٍ حزينٍ، وأن </w:t>
      </w:r>
      <w:r w:rsidR="00D94B54" w:rsidRPr="00495BAB">
        <w:rPr>
          <w:rFonts w:hint="cs"/>
          <w:rtl/>
          <w:lang w:bidi="ar-SY"/>
        </w:rPr>
        <w:t>له الحق في أن يفرغ غضبه وحزنه!!.</w:t>
      </w:r>
    </w:p>
    <w:p w:rsidR="00CD31AA" w:rsidRPr="00495BAB" w:rsidRDefault="00CD31AA" w:rsidP="00495BAB">
      <w:pPr>
        <w:pStyle w:val="a0"/>
        <w:rPr>
          <w:rFonts w:hint="cs"/>
          <w:rtl/>
          <w:lang w:bidi="ar-SY"/>
        </w:rPr>
      </w:pPr>
      <w:r w:rsidRPr="00495BAB">
        <w:rPr>
          <w:rFonts w:hint="cs"/>
          <w:rtl/>
          <w:lang w:bidi="ar-SY"/>
        </w:rPr>
        <w:t>أما اتهام ما جاء في كتابي بأنه أمور باطلة ومنحرفة فما زلنا لا نعلم الدليل على ذلك، فلننظر ماذا في جعبة هذا الكاتب.</w:t>
      </w:r>
    </w:p>
    <w:p w:rsidR="00CD31AA" w:rsidRPr="00495BAB" w:rsidRDefault="00CD31AA" w:rsidP="00495BAB">
      <w:pPr>
        <w:pStyle w:val="a0"/>
        <w:rPr>
          <w:rFonts w:hint="cs"/>
          <w:rtl/>
          <w:lang w:bidi="ar-SY"/>
        </w:rPr>
      </w:pPr>
      <w:r w:rsidRPr="00495BAB">
        <w:rPr>
          <w:rFonts w:hint="cs"/>
          <w:rtl/>
          <w:lang w:bidi="ar-SY"/>
        </w:rPr>
        <w:t>لقد اعتبر السيدُ «أستادي أصفهاني» أنَّ مؤلِّفَ كتاب «</w:t>
      </w:r>
      <w:r w:rsidRPr="00495BAB">
        <w:rPr>
          <w:rFonts w:hint="cs"/>
          <w:b/>
          <w:bCs/>
          <w:rtl/>
          <w:lang w:bidi="ar-SY"/>
        </w:rPr>
        <w:t>الخُمْس</w:t>
      </w:r>
      <w:r w:rsidRPr="00495BAB">
        <w:rPr>
          <w:rFonts w:hint="cs"/>
          <w:rtl/>
          <w:lang w:bidi="ar-SY"/>
        </w:rPr>
        <w:t>» رجل سبَّاب شتّام لكنه لم يُرِنا حتى موردًا واحدًا يثبت ذلك، اللهم إلا ما كتبه في الحاشية من قوله: «</w:t>
      </w:r>
      <w:r w:rsidRPr="00995B26">
        <w:rPr>
          <w:rFonts w:cs="Akhbar MT" w:hint="cs"/>
          <w:szCs w:val="30"/>
          <w:rtl/>
          <w:lang w:bidi="ar-SY"/>
        </w:rPr>
        <w:t>الوقاحة والجرأة والشتائم التي وجَّهها هذان الكتابان</w:t>
      </w:r>
      <w:r w:rsidR="00776BF9" w:rsidRPr="00873C4C">
        <w:rPr>
          <w:rFonts w:cs="Arabic11 BT" w:hint="cs"/>
          <w:vertAlign w:val="superscript"/>
          <w:rtl/>
          <w:lang w:bidi="ar-SY"/>
        </w:rPr>
        <w:t>(</w:t>
      </w:r>
      <w:r w:rsidRPr="0021507A">
        <w:rPr>
          <w:rStyle w:val="FootnoteReference"/>
          <w:rFonts w:cs="Arabic11 BT"/>
          <w:rtl/>
          <w:lang w:bidi="ar-SY"/>
        </w:rPr>
        <w:footnoteReference w:id="467"/>
      </w:r>
      <w:r w:rsidR="00776BF9" w:rsidRPr="00873C4C">
        <w:rPr>
          <w:rFonts w:cs="Arabic11 BT" w:hint="cs"/>
          <w:vertAlign w:val="superscript"/>
          <w:rtl/>
          <w:lang w:bidi="ar-SY"/>
        </w:rPr>
        <w:t>)</w:t>
      </w:r>
      <w:r w:rsidRPr="00995B26">
        <w:rPr>
          <w:rFonts w:cs="Akhbar MT" w:hint="cs"/>
          <w:szCs w:val="30"/>
          <w:rtl/>
          <w:lang w:bidi="ar-SY"/>
        </w:rPr>
        <w:t xml:space="preserve"> للساحة المقدسة لفقهاء الشيعة وعلمائهم الكبار...</w:t>
      </w:r>
      <w:r w:rsidR="00F456DF" w:rsidRPr="00995B26">
        <w:rPr>
          <w:rFonts w:cs="Akhbar MT" w:hint="cs"/>
          <w:szCs w:val="30"/>
          <w:rtl/>
          <w:lang w:bidi="ar-SY"/>
        </w:rPr>
        <w:t>»</w:t>
      </w:r>
      <w:r w:rsidRPr="00495BAB">
        <w:rPr>
          <w:rFonts w:hint="cs"/>
          <w:rtl/>
          <w:lang w:bidi="ar-SY"/>
        </w:rPr>
        <w:t>.</w:t>
      </w:r>
    </w:p>
    <w:p w:rsidR="00CD31AA" w:rsidRPr="00495BAB" w:rsidRDefault="00CD31AA" w:rsidP="00495BAB">
      <w:pPr>
        <w:pStyle w:val="a0"/>
        <w:rPr>
          <w:rFonts w:hint="cs"/>
          <w:rtl/>
          <w:lang w:bidi="ar-SY"/>
        </w:rPr>
      </w:pPr>
      <w:r w:rsidRPr="00495BAB">
        <w:rPr>
          <w:rFonts w:hint="cs"/>
          <w:rtl/>
          <w:lang w:bidi="ar-SY"/>
        </w:rPr>
        <w:t>ومن الواضح أن هدف المؤلف من هذه العبارات ليس سوى إثارة العواطف وارتكاب الجرائم، وإلا فكان بإمكانه أن يظهر لنا مثالًا واحدًا حتى نعرف كيف يكون السب والشتم وأين قمتُ به في كتابي «</w:t>
      </w:r>
      <w:r w:rsidRPr="00495BAB">
        <w:rPr>
          <w:rFonts w:hint="cs"/>
          <w:b/>
          <w:bCs/>
          <w:rtl/>
          <w:lang w:bidi="ar-SY"/>
        </w:rPr>
        <w:t>الخُمْس</w:t>
      </w:r>
      <w:r w:rsidRPr="00495BAB">
        <w:rPr>
          <w:rFonts w:hint="cs"/>
          <w:rtl/>
          <w:lang w:bidi="ar-SY"/>
        </w:rPr>
        <w:t>» كي نفهم قصده بشكل صحيح!</w:t>
      </w:r>
    </w:p>
    <w:p w:rsidR="00CD31AA" w:rsidRPr="00995B26" w:rsidRDefault="00CD31AA" w:rsidP="00495BAB">
      <w:pPr>
        <w:pStyle w:val="a0"/>
        <w:rPr>
          <w:rFonts w:hint="cs"/>
          <w:rtl/>
          <w:lang w:bidi="ar-SY"/>
        </w:rPr>
      </w:pPr>
      <w:r w:rsidRPr="00495BAB">
        <w:rPr>
          <w:rFonts w:hint="cs"/>
          <w:rtl/>
          <w:lang w:bidi="ar-SY"/>
        </w:rPr>
        <w:t>إن كاتب هذه السطور نفسُه مِنْ مُحِبِّي العلم وطلابه، ويعتبر في كتاباته العلماءَ الحقيقيين في الدرجة الثالثة بعد واجب الوجود وفي الدرجة الثانية من ممكنات الوجود، مُتَّبِعًا في ذلك قول الله تعالى:</w:t>
      </w:r>
      <w:r w:rsidR="00D94B54" w:rsidRPr="00495BAB">
        <w:rPr>
          <w:rFonts w:hint="cs"/>
          <w:rtl/>
          <w:lang w:bidi="ar-SY"/>
        </w:rPr>
        <w:t xml:space="preserve"> </w:t>
      </w:r>
      <w:r w:rsidR="00D94B54" w:rsidRPr="00995B26">
        <w:rPr>
          <w:rFonts w:cs="Traditional Arabic" w:hint="cs"/>
          <w:szCs w:val="30"/>
          <w:rtl/>
          <w:lang w:bidi="ar-SY"/>
        </w:rPr>
        <w:t>﴿</w:t>
      </w:r>
      <w:r w:rsidR="00D94B54" w:rsidRPr="0067048A">
        <w:rPr>
          <w:rFonts w:ascii="KFGQPC Uthmanic Script HAFS" w:cs="KFGQPC Uthmanic Script HAFS" w:hint="eastAsia"/>
          <w:sz w:val="28"/>
          <w:szCs w:val="28"/>
          <w:rtl/>
        </w:rPr>
        <w:t>شَهِدَ</w:t>
      </w:r>
      <w:r w:rsidR="00D94B54" w:rsidRPr="0067048A">
        <w:rPr>
          <w:rFonts w:ascii="KFGQPC Uthmanic Script HAFS" w:cs="KFGQPC Uthmanic Script HAFS"/>
          <w:sz w:val="28"/>
          <w:szCs w:val="28"/>
          <w:rtl/>
        </w:rPr>
        <w:t xml:space="preserve"> </w:t>
      </w:r>
      <w:r w:rsidR="00D94B54" w:rsidRPr="0067048A">
        <w:rPr>
          <w:rFonts w:ascii="KFGQPC Uthmanic Script HAFS" w:cs="KFGQPC Uthmanic Script HAFS" w:hint="cs"/>
          <w:sz w:val="28"/>
          <w:szCs w:val="28"/>
          <w:rtl/>
        </w:rPr>
        <w:t>ٱ</w:t>
      </w:r>
      <w:r w:rsidR="00D94B54" w:rsidRPr="0067048A">
        <w:rPr>
          <w:rFonts w:ascii="KFGQPC Uthmanic Script HAFS" w:cs="KFGQPC Uthmanic Script HAFS" w:hint="eastAsia"/>
          <w:sz w:val="28"/>
          <w:szCs w:val="28"/>
          <w:rtl/>
        </w:rPr>
        <w:t>للَّهُ</w:t>
      </w:r>
      <w:r w:rsidR="00D94B54" w:rsidRPr="0067048A">
        <w:rPr>
          <w:rFonts w:ascii="KFGQPC Uthmanic Script HAFS" w:cs="KFGQPC Uthmanic Script HAFS"/>
          <w:sz w:val="28"/>
          <w:szCs w:val="28"/>
          <w:rtl/>
        </w:rPr>
        <w:t xml:space="preserve"> </w:t>
      </w:r>
      <w:r w:rsidR="00D94B54" w:rsidRPr="0067048A">
        <w:rPr>
          <w:rFonts w:ascii="KFGQPC Uthmanic Script HAFS" w:cs="KFGQPC Uthmanic Script HAFS" w:hint="eastAsia"/>
          <w:sz w:val="28"/>
          <w:szCs w:val="28"/>
          <w:rtl/>
        </w:rPr>
        <w:t>أَنَّهُ</w:t>
      </w:r>
      <w:r w:rsidR="00D94B54" w:rsidRPr="0067048A">
        <w:rPr>
          <w:rFonts w:ascii="KFGQPC Uthmanic Script HAFS" w:cs="KFGQPC Uthmanic Script HAFS" w:hint="cs"/>
          <w:sz w:val="28"/>
          <w:szCs w:val="28"/>
          <w:rtl/>
        </w:rPr>
        <w:t>ۥ</w:t>
      </w:r>
      <w:r w:rsidR="00D94B54" w:rsidRPr="0067048A">
        <w:rPr>
          <w:rFonts w:ascii="KFGQPC Uthmanic Script HAFS" w:cs="KFGQPC Uthmanic Script HAFS"/>
          <w:sz w:val="28"/>
          <w:szCs w:val="28"/>
          <w:rtl/>
        </w:rPr>
        <w:t xml:space="preserve"> </w:t>
      </w:r>
      <w:r w:rsidR="00D94B54" w:rsidRPr="0067048A">
        <w:rPr>
          <w:rFonts w:ascii="KFGQPC Uthmanic Script HAFS" w:cs="KFGQPC Uthmanic Script HAFS" w:hint="eastAsia"/>
          <w:sz w:val="28"/>
          <w:szCs w:val="28"/>
          <w:rtl/>
        </w:rPr>
        <w:t>لَا</w:t>
      </w:r>
      <w:r w:rsidR="00D94B54" w:rsidRPr="0067048A">
        <w:rPr>
          <w:rFonts w:ascii="KFGQPC Uthmanic Script HAFS" w:cs="KFGQPC Uthmanic Script HAFS" w:hint="cs"/>
          <w:sz w:val="28"/>
          <w:szCs w:val="28"/>
          <w:rtl/>
        </w:rPr>
        <w:t>ٓ</w:t>
      </w:r>
      <w:r w:rsidR="00D94B54" w:rsidRPr="0067048A">
        <w:rPr>
          <w:rFonts w:ascii="KFGQPC Uthmanic Script HAFS" w:cs="KFGQPC Uthmanic Script HAFS"/>
          <w:sz w:val="28"/>
          <w:szCs w:val="28"/>
          <w:rtl/>
        </w:rPr>
        <w:t xml:space="preserve"> </w:t>
      </w:r>
      <w:r w:rsidR="00D94B54" w:rsidRPr="0067048A">
        <w:rPr>
          <w:rFonts w:ascii="KFGQPC Uthmanic Script HAFS" w:cs="KFGQPC Uthmanic Script HAFS" w:hint="eastAsia"/>
          <w:sz w:val="28"/>
          <w:szCs w:val="28"/>
          <w:rtl/>
        </w:rPr>
        <w:t>إِلَ</w:t>
      </w:r>
      <w:r w:rsidR="00D94B54" w:rsidRPr="0067048A">
        <w:rPr>
          <w:rFonts w:ascii="KFGQPC Uthmanic Script HAFS" w:cs="KFGQPC Uthmanic Script HAFS" w:hint="cs"/>
          <w:sz w:val="28"/>
          <w:szCs w:val="28"/>
          <w:rtl/>
        </w:rPr>
        <w:t>ٰ</w:t>
      </w:r>
      <w:r w:rsidR="00D94B54" w:rsidRPr="0067048A">
        <w:rPr>
          <w:rFonts w:ascii="KFGQPC Uthmanic Script HAFS" w:cs="KFGQPC Uthmanic Script HAFS" w:hint="eastAsia"/>
          <w:sz w:val="28"/>
          <w:szCs w:val="28"/>
          <w:rtl/>
        </w:rPr>
        <w:t>هَ</w:t>
      </w:r>
      <w:r w:rsidR="00D94B54" w:rsidRPr="0067048A">
        <w:rPr>
          <w:rFonts w:ascii="KFGQPC Uthmanic Script HAFS" w:cs="KFGQPC Uthmanic Script HAFS"/>
          <w:sz w:val="28"/>
          <w:szCs w:val="28"/>
          <w:rtl/>
        </w:rPr>
        <w:t xml:space="preserve"> </w:t>
      </w:r>
      <w:r w:rsidR="00D94B54" w:rsidRPr="0067048A">
        <w:rPr>
          <w:rFonts w:ascii="KFGQPC Uthmanic Script HAFS" w:cs="KFGQPC Uthmanic Script HAFS" w:hint="eastAsia"/>
          <w:sz w:val="28"/>
          <w:szCs w:val="28"/>
          <w:rtl/>
        </w:rPr>
        <w:t>إِلَّا</w:t>
      </w:r>
      <w:r w:rsidR="00D94B54" w:rsidRPr="0067048A">
        <w:rPr>
          <w:rFonts w:ascii="KFGQPC Uthmanic Script HAFS" w:cs="KFGQPC Uthmanic Script HAFS"/>
          <w:sz w:val="28"/>
          <w:szCs w:val="28"/>
          <w:rtl/>
        </w:rPr>
        <w:t xml:space="preserve"> </w:t>
      </w:r>
      <w:r w:rsidR="00D94B54" w:rsidRPr="0067048A">
        <w:rPr>
          <w:rFonts w:ascii="KFGQPC Uthmanic Script HAFS" w:cs="KFGQPC Uthmanic Script HAFS" w:hint="eastAsia"/>
          <w:sz w:val="28"/>
          <w:szCs w:val="28"/>
          <w:rtl/>
        </w:rPr>
        <w:t>هُوَ</w:t>
      </w:r>
      <w:r w:rsidR="00D94B54" w:rsidRPr="0067048A">
        <w:rPr>
          <w:rFonts w:ascii="KFGQPC Uthmanic Script HAFS" w:cs="KFGQPC Uthmanic Script HAFS"/>
          <w:sz w:val="28"/>
          <w:szCs w:val="28"/>
          <w:rtl/>
        </w:rPr>
        <w:t xml:space="preserve"> </w:t>
      </w:r>
      <w:r w:rsidR="00D94B54" w:rsidRPr="0067048A">
        <w:rPr>
          <w:rFonts w:ascii="KFGQPC Uthmanic Script HAFS" w:cs="KFGQPC Uthmanic Script HAFS" w:hint="eastAsia"/>
          <w:sz w:val="28"/>
          <w:szCs w:val="28"/>
          <w:rtl/>
        </w:rPr>
        <w:t>وَ</w:t>
      </w:r>
      <w:r w:rsidR="00D94B54" w:rsidRPr="0067048A">
        <w:rPr>
          <w:rFonts w:ascii="KFGQPC Uthmanic Script HAFS" w:cs="KFGQPC Uthmanic Script HAFS" w:hint="cs"/>
          <w:sz w:val="28"/>
          <w:szCs w:val="28"/>
          <w:rtl/>
        </w:rPr>
        <w:t>ٱ</w:t>
      </w:r>
      <w:r w:rsidR="00D94B54" w:rsidRPr="0067048A">
        <w:rPr>
          <w:rFonts w:ascii="KFGQPC Uthmanic Script HAFS" w:cs="KFGQPC Uthmanic Script HAFS" w:hint="eastAsia"/>
          <w:sz w:val="28"/>
          <w:szCs w:val="28"/>
          <w:rtl/>
        </w:rPr>
        <w:t>ل</w:t>
      </w:r>
      <w:r w:rsidR="00D94B54" w:rsidRPr="0067048A">
        <w:rPr>
          <w:rFonts w:ascii="KFGQPC Uthmanic Script HAFS" w:cs="KFGQPC Uthmanic Script HAFS" w:hint="cs"/>
          <w:sz w:val="28"/>
          <w:szCs w:val="28"/>
          <w:rtl/>
        </w:rPr>
        <w:t>ۡ</w:t>
      </w:r>
      <w:r w:rsidR="00D94B54" w:rsidRPr="0067048A">
        <w:rPr>
          <w:rFonts w:ascii="KFGQPC Uthmanic Script HAFS" w:cs="KFGQPC Uthmanic Script HAFS" w:hint="eastAsia"/>
          <w:sz w:val="28"/>
          <w:szCs w:val="28"/>
          <w:rtl/>
        </w:rPr>
        <w:t>مَلَ</w:t>
      </w:r>
      <w:r w:rsidR="00D94B54" w:rsidRPr="0067048A">
        <w:rPr>
          <w:rFonts w:ascii="KFGQPC Uthmanic Script HAFS" w:cs="KFGQPC Uthmanic Script HAFS" w:hint="cs"/>
          <w:sz w:val="28"/>
          <w:szCs w:val="28"/>
          <w:rtl/>
        </w:rPr>
        <w:t>ٰٓ</w:t>
      </w:r>
      <w:r w:rsidR="00D94B54" w:rsidRPr="0067048A">
        <w:rPr>
          <w:rFonts w:ascii="KFGQPC Uthmanic Script HAFS" w:cs="KFGQPC Uthmanic Script HAFS" w:hint="eastAsia"/>
          <w:sz w:val="28"/>
          <w:szCs w:val="28"/>
          <w:rtl/>
        </w:rPr>
        <w:t>ئِكَةُ</w:t>
      </w:r>
      <w:r w:rsidR="00D94B54" w:rsidRPr="0067048A">
        <w:rPr>
          <w:rFonts w:ascii="KFGQPC Uthmanic Script HAFS" w:cs="KFGQPC Uthmanic Script HAFS"/>
          <w:sz w:val="28"/>
          <w:szCs w:val="28"/>
          <w:rtl/>
        </w:rPr>
        <w:t xml:space="preserve"> </w:t>
      </w:r>
      <w:r w:rsidR="00D94B54" w:rsidRPr="0067048A">
        <w:rPr>
          <w:rFonts w:ascii="KFGQPC Uthmanic Script HAFS" w:cs="KFGQPC Uthmanic Script HAFS" w:hint="eastAsia"/>
          <w:sz w:val="28"/>
          <w:szCs w:val="28"/>
          <w:rtl/>
        </w:rPr>
        <w:t>وَأُوْلُواْ</w:t>
      </w:r>
      <w:r w:rsidR="00D94B54" w:rsidRPr="0067048A">
        <w:rPr>
          <w:rFonts w:ascii="KFGQPC Uthmanic Script HAFS" w:cs="KFGQPC Uthmanic Script HAFS"/>
          <w:sz w:val="28"/>
          <w:szCs w:val="28"/>
          <w:rtl/>
        </w:rPr>
        <w:t xml:space="preserve"> </w:t>
      </w:r>
      <w:r w:rsidR="00D94B54" w:rsidRPr="0067048A">
        <w:rPr>
          <w:rFonts w:ascii="KFGQPC Uthmanic Script HAFS" w:cs="KFGQPC Uthmanic Script HAFS" w:hint="cs"/>
          <w:sz w:val="28"/>
          <w:szCs w:val="28"/>
          <w:rtl/>
        </w:rPr>
        <w:t>ٱ</w:t>
      </w:r>
      <w:r w:rsidR="00D94B54" w:rsidRPr="0067048A">
        <w:rPr>
          <w:rFonts w:ascii="KFGQPC Uthmanic Script HAFS" w:cs="KFGQPC Uthmanic Script HAFS" w:hint="eastAsia"/>
          <w:sz w:val="28"/>
          <w:szCs w:val="28"/>
          <w:rtl/>
        </w:rPr>
        <w:t>ل</w:t>
      </w:r>
      <w:r w:rsidR="00D94B54" w:rsidRPr="0067048A">
        <w:rPr>
          <w:rFonts w:ascii="KFGQPC Uthmanic Script HAFS" w:cs="KFGQPC Uthmanic Script HAFS" w:hint="cs"/>
          <w:sz w:val="28"/>
          <w:szCs w:val="28"/>
          <w:rtl/>
        </w:rPr>
        <w:t>ۡ</w:t>
      </w:r>
      <w:r w:rsidR="00D94B54" w:rsidRPr="0067048A">
        <w:rPr>
          <w:rFonts w:ascii="KFGQPC Uthmanic Script HAFS" w:cs="KFGQPC Uthmanic Script HAFS" w:hint="eastAsia"/>
          <w:sz w:val="28"/>
          <w:szCs w:val="28"/>
          <w:rtl/>
        </w:rPr>
        <w:t>عِل</w:t>
      </w:r>
      <w:r w:rsidR="00D94B54" w:rsidRPr="0067048A">
        <w:rPr>
          <w:rFonts w:ascii="KFGQPC Uthmanic Script HAFS" w:cs="KFGQPC Uthmanic Script HAFS" w:hint="cs"/>
          <w:sz w:val="28"/>
          <w:szCs w:val="28"/>
          <w:rtl/>
        </w:rPr>
        <w:t>ۡ</w:t>
      </w:r>
      <w:r w:rsidR="00D94B54" w:rsidRPr="0067048A">
        <w:rPr>
          <w:rFonts w:ascii="KFGQPC Uthmanic Script HAFS" w:cs="KFGQPC Uthmanic Script HAFS" w:hint="eastAsia"/>
          <w:sz w:val="28"/>
          <w:szCs w:val="28"/>
          <w:rtl/>
        </w:rPr>
        <w:t>مِ</w:t>
      </w:r>
      <w:r w:rsidR="00D94B54" w:rsidRPr="0067048A">
        <w:rPr>
          <w:rFonts w:ascii="KFGQPC Uthmanic Script HAFS" w:cs="KFGQPC Uthmanic Script HAFS"/>
          <w:sz w:val="28"/>
          <w:szCs w:val="28"/>
          <w:rtl/>
        </w:rPr>
        <w:t xml:space="preserve"> </w:t>
      </w:r>
      <w:r w:rsidR="00D94B54" w:rsidRPr="0067048A">
        <w:rPr>
          <w:rFonts w:ascii="KFGQPC Uthmanic Script HAFS" w:cs="KFGQPC Uthmanic Script HAFS" w:hint="eastAsia"/>
          <w:sz w:val="28"/>
          <w:szCs w:val="28"/>
          <w:rtl/>
        </w:rPr>
        <w:t>قَا</w:t>
      </w:r>
      <w:r w:rsidR="00D94B54" w:rsidRPr="0067048A">
        <w:rPr>
          <w:rFonts w:ascii="KFGQPC Uthmanic Script HAFS" w:cs="KFGQPC Uthmanic Script HAFS" w:hint="cs"/>
          <w:sz w:val="28"/>
          <w:szCs w:val="28"/>
          <w:rtl/>
        </w:rPr>
        <w:t>ٓ</w:t>
      </w:r>
      <w:r w:rsidR="00D94B54" w:rsidRPr="0067048A">
        <w:rPr>
          <w:rFonts w:ascii="KFGQPC Uthmanic Script HAFS" w:cs="KFGQPC Uthmanic Script HAFS" w:hint="eastAsia"/>
          <w:sz w:val="28"/>
          <w:szCs w:val="28"/>
          <w:rtl/>
        </w:rPr>
        <w:t>ئِمَ</w:t>
      </w:r>
      <w:r w:rsidR="00D94B54" w:rsidRPr="0067048A">
        <w:rPr>
          <w:rFonts w:ascii="KFGQPC Uthmanic Script HAFS" w:cs="KFGQPC Uthmanic Script HAFS" w:hint="cs"/>
          <w:sz w:val="28"/>
          <w:szCs w:val="28"/>
          <w:rtl/>
        </w:rPr>
        <w:t>ۢ</w:t>
      </w:r>
      <w:r w:rsidR="00D94B54" w:rsidRPr="0067048A">
        <w:rPr>
          <w:rFonts w:ascii="KFGQPC Uthmanic Script HAFS" w:cs="KFGQPC Uthmanic Script HAFS" w:hint="eastAsia"/>
          <w:sz w:val="28"/>
          <w:szCs w:val="28"/>
          <w:rtl/>
        </w:rPr>
        <w:t>ا</w:t>
      </w:r>
      <w:r w:rsidR="00D94B54" w:rsidRPr="0067048A">
        <w:rPr>
          <w:rFonts w:ascii="KFGQPC Uthmanic Script HAFS" w:cs="KFGQPC Uthmanic Script HAFS"/>
          <w:sz w:val="28"/>
          <w:szCs w:val="28"/>
          <w:rtl/>
        </w:rPr>
        <w:t xml:space="preserve"> </w:t>
      </w:r>
      <w:r w:rsidR="00D94B54" w:rsidRPr="0067048A">
        <w:rPr>
          <w:rFonts w:ascii="KFGQPC Uthmanic Script HAFS" w:cs="KFGQPC Uthmanic Script HAFS" w:hint="eastAsia"/>
          <w:sz w:val="28"/>
          <w:szCs w:val="28"/>
          <w:rtl/>
        </w:rPr>
        <w:t>بِ</w:t>
      </w:r>
      <w:r w:rsidR="00D94B54" w:rsidRPr="0067048A">
        <w:rPr>
          <w:rFonts w:ascii="KFGQPC Uthmanic Script HAFS" w:cs="KFGQPC Uthmanic Script HAFS" w:hint="cs"/>
          <w:sz w:val="28"/>
          <w:szCs w:val="28"/>
          <w:rtl/>
        </w:rPr>
        <w:t>ٱ</w:t>
      </w:r>
      <w:r w:rsidR="00D94B54" w:rsidRPr="0067048A">
        <w:rPr>
          <w:rFonts w:ascii="KFGQPC Uthmanic Script HAFS" w:cs="KFGQPC Uthmanic Script HAFS" w:hint="eastAsia"/>
          <w:sz w:val="28"/>
          <w:szCs w:val="28"/>
          <w:rtl/>
        </w:rPr>
        <w:t>ل</w:t>
      </w:r>
      <w:r w:rsidR="00D94B54" w:rsidRPr="0067048A">
        <w:rPr>
          <w:rFonts w:ascii="KFGQPC Uthmanic Script HAFS" w:cs="KFGQPC Uthmanic Script HAFS" w:hint="cs"/>
          <w:sz w:val="28"/>
          <w:szCs w:val="28"/>
          <w:rtl/>
        </w:rPr>
        <w:t>ۡ</w:t>
      </w:r>
      <w:r w:rsidR="00D94B54" w:rsidRPr="0067048A">
        <w:rPr>
          <w:rFonts w:ascii="KFGQPC Uthmanic Script HAFS" w:cs="KFGQPC Uthmanic Script HAFS" w:hint="eastAsia"/>
          <w:sz w:val="28"/>
          <w:szCs w:val="28"/>
          <w:rtl/>
        </w:rPr>
        <w:t>قِس</w:t>
      </w:r>
      <w:r w:rsidR="00D94B54" w:rsidRPr="0067048A">
        <w:rPr>
          <w:rFonts w:ascii="KFGQPC Uthmanic Script HAFS" w:cs="KFGQPC Uthmanic Script HAFS" w:hint="cs"/>
          <w:sz w:val="28"/>
          <w:szCs w:val="28"/>
          <w:rtl/>
        </w:rPr>
        <w:t>ۡ</w:t>
      </w:r>
      <w:r w:rsidR="00D94B54" w:rsidRPr="0067048A">
        <w:rPr>
          <w:rFonts w:ascii="KFGQPC Uthmanic Script HAFS" w:cs="KFGQPC Uthmanic Script HAFS" w:hint="eastAsia"/>
          <w:sz w:val="28"/>
          <w:szCs w:val="28"/>
          <w:rtl/>
        </w:rPr>
        <w:t>طِ</w:t>
      </w:r>
      <w:r w:rsidR="00D94B54" w:rsidRPr="00995B26">
        <w:rPr>
          <w:rFonts w:ascii="KFGQPC Uthmanic Script HAFS" w:cs="Times New Roman" w:hint="cs"/>
          <w:sz w:val="28"/>
          <w:rtl/>
        </w:rPr>
        <w:t>...</w:t>
      </w:r>
      <w:r w:rsidR="00D94B54" w:rsidRPr="00995B26">
        <w:rPr>
          <w:rFonts w:cs="Traditional Arabic" w:hint="cs"/>
          <w:szCs w:val="30"/>
          <w:rtl/>
          <w:lang w:bidi="ar-SY"/>
        </w:rPr>
        <w:t>﴾</w:t>
      </w:r>
      <w:r w:rsidRPr="00495BAB">
        <w:rPr>
          <w:rFonts w:hint="cs"/>
          <w:rtl/>
          <w:lang w:bidi="ar-SY"/>
        </w:rPr>
        <w:t xml:space="preserve"> </w:t>
      </w:r>
      <w:r w:rsidRPr="009E1401">
        <w:rPr>
          <w:rStyle w:val="Char2"/>
          <w:rFonts w:hint="cs"/>
          <w:rtl/>
        </w:rPr>
        <w:t>[آل عمرن</w:t>
      </w:r>
      <w:r w:rsidR="00D94B54" w:rsidRPr="009E1401">
        <w:rPr>
          <w:rStyle w:val="Char2"/>
          <w:rFonts w:hint="cs"/>
          <w:rtl/>
        </w:rPr>
        <w:t xml:space="preserve">: </w:t>
      </w:r>
      <w:r w:rsidRPr="009E1401">
        <w:rPr>
          <w:rStyle w:val="Char2"/>
          <w:rFonts w:hint="cs"/>
          <w:rtl/>
        </w:rPr>
        <w:t>18]</w:t>
      </w:r>
      <w:r w:rsidRPr="00495BAB">
        <w:rPr>
          <w:rFonts w:hint="cs"/>
          <w:rtl/>
          <w:lang w:bidi="ar-SY"/>
        </w:rPr>
        <w:t xml:space="preserve"> ويصف العلماءَ بالصفة البارزة التي وصفهم الله بها في كتابه حين قال:</w:t>
      </w:r>
      <w:r w:rsidR="00D94B54" w:rsidRPr="00495BAB">
        <w:rPr>
          <w:rFonts w:hint="cs"/>
          <w:rtl/>
          <w:lang w:bidi="ar-SY"/>
        </w:rPr>
        <w:t xml:space="preserve"> </w:t>
      </w:r>
      <w:r w:rsidR="00D94B54" w:rsidRPr="00995B26">
        <w:rPr>
          <w:rFonts w:cs="Traditional Arabic" w:hint="cs"/>
          <w:szCs w:val="30"/>
          <w:rtl/>
          <w:lang w:bidi="ar-SY"/>
        </w:rPr>
        <w:t>﴿</w:t>
      </w:r>
      <w:r w:rsidR="006633B5" w:rsidRPr="0067048A">
        <w:rPr>
          <w:rFonts w:ascii="KFGQPC Uthmanic Script HAFS" w:cs="KFGQPC Uthmanic Script HAFS" w:hint="eastAsia"/>
          <w:sz w:val="28"/>
          <w:szCs w:val="28"/>
          <w:rtl/>
        </w:rPr>
        <w:t>إِنَّمَا</w:t>
      </w:r>
      <w:r w:rsidR="006633B5" w:rsidRPr="0067048A">
        <w:rPr>
          <w:rFonts w:ascii="KFGQPC Uthmanic Script HAFS" w:cs="KFGQPC Uthmanic Script HAFS"/>
          <w:sz w:val="28"/>
          <w:szCs w:val="28"/>
          <w:rtl/>
        </w:rPr>
        <w:t xml:space="preserve"> </w:t>
      </w:r>
      <w:r w:rsidR="006633B5" w:rsidRPr="0067048A">
        <w:rPr>
          <w:rFonts w:ascii="KFGQPC Uthmanic Script HAFS" w:cs="KFGQPC Uthmanic Script HAFS" w:hint="eastAsia"/>
          <w:sz w:val="28"/>
          <w:szCs w:val="28"/>
          <w:rtl/>
        </w:rPr>
        <w:t>يَخ</w:t>
      </w:r>
      <w:r w:rsidR="006633B5" w:rsidRPr="0067048A">
        <w:rPr>
          <w:rFonts w:ascii="KFGQPC Uthmanic Script HAFS" w:cs="KFGQPC Uthmanic Script HAFS" w:hint="cs"/>
          <w:sz w:val="28"/>
          <w:szCs w:val="28"/>
          <w:rtl/>
        </w:rPr>
        <w:t>ۡ</w:t>
      </w:r>
      <w:r w:rsidR="006633B5" w:rsidRPr="0067048A">
        <w:rPr>
          <w:rFonts w:ascii="KFGQPC Uthmanic Script HAFS" w:cs="KFGQPC Uthmanic Script HAFS" w:hint="eastAsia"/>
          <w:sz w:val="28"/>
          <w:szCs w:val="28"/>
          <w:rtl/>
        </w:rPr>
        <w:t>شَى</w:t>
      </w:r>
      <w:r w:rsidR="006633B5" w:rsidRPr="0067048A">
        <w:rPr>
          <w:rFonts w:ascii="KFGQPC Uthmanic Script HAFS" w:cs="KFGQPC Uthmanic Script HAFS"/>
          <w:sz w:val="28"/>
          <w:szCs w:val="28"/>
          <w:rtl/>
        </w:rPr>
        <w:t xml:space="preserve"> </w:t>
      </w:r>
      <w:r w:rsidR="006633B5" w:rsidRPr="0067048A">
        <w:rPr>
          <w:rFonts w:ascii="KFGQPC Uthmanic Script HAFS" w:cs="KFGQPC Uthmanic Script HAFS" w:hint="cs"/>
          <w:sz w:val="28"/>
          <w:szCs w:val="28"/>
          <w:rtl/>
        </w:rPr>
        <w:t>ٱ</w:t>
      </w:r>
      <w:r w:rsidR="006633B5" w:rsidRPr="0067048A">
        <w:rPr>
          <w:rFonts w:ascii="KFGQPC Uthmanic Script HAFS" w:cs="KFGQPC Uthmanic Script HAFS" w:hint="eastAsia"/>
          <w:sz w:val="28"/>
          <w:szCs w:val="28"/>
          <w:rtl/>
        </w:rPr>
        <w:t>للَّهَ</w:t>
      </w:r>
      <w:r w:rsidR="006633B5" w:rsidRPr="0067048A">
        <w:rPr>
          <w:rFonts w:ascii="KFGQPC Uthmanic Script HAFS" w:cs="KFGQPC Uthmanic Script HAFS"/>
          <w:sz w:val="28"/>
          <w:szCs w:val="28"/>
          <w:rtl/>
        </w:rPr>
        <w:t xml:space="preserve"> </w:t>
      </w:r>
      <w:r w:rsidR="006633B5" w:rsidRPr="0067048A">
        <w:rPr>
          <w:rFonts w:ascii="KFGQPC Uthmanic Script HAFS" w:cs="KFGQPC Uthmanic Script HAFS" w:hint="eastAsia"/>
          <w:sz w:val="28"/>
          <w:szCs w:val="28"/>
          <w:rtl/>
        </w:rPr>
        <w:t>مِن</w:t>
      </w:r>
      <w:r w:rsidR="006633B5" w:rsidRPr="0067048A">
        <w:rPr>
          <w:rFonts w:ascii="KFGQPC Uthmanic Script HAFS" w:cs="KFGQPC Uthmanic Script HAFS" w:hint="cs"/>
          <w:sz w:val="28"/>
          <w:szCs w:val="28"/>
          <w:rtl/>
        </w:rPr>
        <w:t>ۡ</w:t>
      </w:r>
      <w:r w:rsidR="006633B5" w:rsidRPr="0067048A">
        <w:rPr>
          <w:rFonts w:ascii="KFGQPC Uthmanic Script HAFS" w:cs="KFGQPC Uthmanic Script HAFS"/>
          <w:sz w:val="28"/>
          <w:szCs w:val="28"/>
          <w:rtl/>
        </w:rPr>
        <w:t xml:space="preserve"> </w:t>
      </w:r>
      <w:r w:rsidR="006633B5" w:rsidRPr="0067048A">
        <w:rPr>
          <w:rFonts w:ascii="KFGQPC Uthmanic Script HAFS" w:cs="KFGQPC Uthmanic Script HAFS" w:hint="eastAsia"/>
          <w:sz w:val="28"/>
          <w:szCs w:val="28"/>
          <w:rtl/>
        </w:rPr>
        <w:t>عِبَادِهِ</w:t>
      </w:r>
      <w:r w:rsidR="006633B5" w:rsidRPr="0067048A">
        <w:rPr>
          <w:rFonts w:ascii="KFGQPC Uthmanic Script HAFS" w:cs="KFGQPC Uthmanic Script HAFS" w:hint="cs"/>
          <w:sz w:val="28"/>
          <w:szCs w:val="28"/>
          <w:rtl/>
        </w:rPr>
        <w:t xml:space="preserve"> ٱ</w:t>
      </w:r>
      <w:r w:rsidR="006633B5" w:rsidRPr="0067048A">
        <w:rPr>
          <w:rFonts w:ascii="KFGQPC Uthmanic Script HAFS" w:cs="KFGQPC Uthmanic Script HAFS" w:hint="eastAsia"/>
          <w:sz w:val="28"/>
          <w:szCs w:val="28"/>
          <w:rtl/>
        </w:rPr>
        <w:t>ل</w:t>
      </w:r>
      <w:r w:rsidR="006633B5" w:rsidRPr="0067048A">
        <w:rPr>
          <w:rFonts w:ascii="KFGQPC Uthmanic Script HAFS" w:cs="KFGQPC Uthmanic Script HAFS" w:hint="cs"/>
          <w:sz w:val="28"/>
          <w:szCs w:val="28"/>
          <w:rtl/>
        </w:rPr>
        <w:t>ۡ</w:t>
      </w:r>
      <w:r w:rsidR="006633B5" w:rsidRPr="0067048A">
        <w:rPr>
          <w:rFonts w:ascii="KFGQPC Uthmanic Script HAFS" w:cs="KFGQPC Uthmanic Script HAFS" w:hint="eastAsia"/>
          <w:sz w:val="28"/>
          <w:szCs w:val="28"/>
          <w:rtl/>
        </w:rPr>
        <w:t>عُلَمَ</w:t>
      </w:r>
      <w:r w:rsidR="006633B5" w:rsidRPr="0067048A">
        <w:rPr>
          <w:rFonts w:ascii="KFGQPC Uthmanic Script HAFS" w:cs="KFGQPC Uthmanic Script HAFS" w:hint="cs"/>
          <w:sz w:val="28"/>
          <w:szCs w:val="28"/>
          <w:rtl/>
        </w:rPr>
        <w:t>ٰٓ</w:t>
      </w:r>
      <w:r w:rsidR="006633B5" w:rsidRPr="0067048A">
        <w:rPr>
          <w:rFonts w:ascii="KFGQPC Uthmanic Script HAFS" w:cs="KFGQPC Uthmanic Script HAFS" w:hint="eastAsia"/>
          <w:sz w:val="28"/>
          <w:szCs w:val="28"/>
          <w:rtl/>
        </w:rPr>
        <w:t>ؤُاْ</w:t>
      </w:r>
      <w:r w:rsidR="00D94B54" w:rsidRPr="00995B26">
        <w:rPr>
          <w:rFonts w:cs="Traditional Arabic" w:hint="cs"/>
          <w:szCs w:val="30"/>
          <w:rtl/>
          <w:lang w:bidi="ar-SY"/>
        </w:rPr>
        <w:t>﴾</w:t>
      </w:r>
      <w:r w:rsidRPr="00495BAB">
        <w:rPr>
          <w:rFonts w:hint="cs"/>
          <w:rtl/>
          <w:lang w:bidi="ar-SY"/>
        </w:rPr>
        <w:t xml:space="preserve"> </w:t>
      </w:r>
      <w:r w:rsidRPr="009E1401">
        <w:rPr>
          <w:rStyle w:val="Char2"/>
          <w:rFonts w:hint="cs"/>
          <w:rtl/>
        </w:rPr>
        <w:t>[فاطر</w:t>
      </w:r>
      <w:r w:rsidR="006633B5" w:rsidRPr="009E1401">
        <w:rPr>
          <w:rStyle w:val="Char2"/>
          <w:rFonts w:hint="cs"/>
          <w:rtl/>
        </w:rPr>
        <w:t xml:space="preserve">: </w:t>
      </w:r>
      <w:r w:rsidRPr="009E1401">
        <w:rPr>
          <w:rStyle w:val="Char2"/>
          <w:rFonts w:hint="cs"/>
          <w:rtl/>
        </w:rPr>
        <w:t>28]</w:t>
      </w:r>
      <w:r w:rsidRPr="00495BAB">
        <w:rPr>
          <w:rFonts w:hint="cs"/>
          <w:rtl/>
          <w:lang w:bidi="ar-SY"/>
        </w:rPr>
        <w:t>. فمثل هؤلاء الأفراد كانوا دائماً موضع احترامي البالِغ، ولو حدث أن تجرأتُ على أحدٍ منهم فإني أستغفر الله تعالى على ذلك. أما لو وُجِد بين هؤلاء الأشخاص مَنْ تنطبق عليهم الآيات الكريمة الآتية:</w:t>
      </w:r>
      <w:r w:rsidR="006633B5" w:rsidRPr="00495BAB">
        <w:rPr>
          <w:rFonts w:hint="cs"/>
          <w:rtl/>
          <w:lang w:bidi="ar-SY"/>
        </w:rPr>
        <w:t xml:space="preserve"> </w:t>
      </w:r>
      <w:r w:rsidR="006633B5" w:rsidRPr="00995B26">
        <w:rPr>
          <w:rFonts w:cs="Traditional Arabic" w:hint="cs"/>
          <w:szCs w:val="30"/>
          <w:rtl/>
          <w:lang w:bidi="ar-SY"/>
        </w:rPr>
        <w:t>﴿</w:t>
      </w:r>
      <w:r w:rsidR="006633B5" w:rsidRPr="0067048A">
        <w:rPr>
          <w:rFonts w:ascii="KFGQPC Uthmanic Script HAFS" w:cs="KFGQPC Uthmanic Script HAFS" w:hint="eastAsia"/>
          <w:sz w:val="28"/>
          <w:szCs w:val="28"/>
          <w:rtl/>
        </w:rPr>
        <w:t>إِنَّ</w:t>
      </w:r>
      <w:r w:rsidR="006633B5" w:rsidRPr="0067048A">
        <w:rPr>
          <w:rFonts w:ascii="KFGQPC Uthmanic Script HAFS" w:cs="KFGQPC Uthmanic Script HAFS"/>
          <w:sz w:val="28"/>
          <w:szCs w:val="28"/>
          <w:rtl/>
        </w:rPr>
        <w:t xml:space="preserve"> </w:t>
      </w:r>
      <w:r w:rsidR="006633B5" w:rsidRPr="0067048A">
        <w:rPr>
          <w:rFonts w:ascii="KFGQPC Uthmanic Script HAFS" w:cs="KFGQPC Uthmanic Script HAFS" w:hint="cs"/>
          <w:sz w:val="28"/>
          <w:szCs w:val="28"/>
          <w:rtl/>
        </w:rPr>
        <w:t>ٱ</w:t>
      </w:r>
      <w:r w:rsidR="006633B5" w:rsidRPr="0067048A">
        <w:rPr>
          <w:rFonts w:ascii="KFGQPC Uthmanic Script HAFS" w:cs="KFGQPC Uthmanic Script HAFS" w:hint="eastAsia"/>
          <w:sz w:val="28"/>
          <w:szCs w:val="28"/>
          <w:rtl/>
        </w:rPr>
        <w:t>لَّذِينَ</w:t>
      </w:r>
      <w:r w:rsidR="006633B5" w:rsidRPr="0067048A">
        <w:rPr>
          <w:rFonts w:ascii="KFGQPC Uthmanic Script HAFS" w:cs="KFGQPC Uthmanic Script HAFS"/>
          <w:sz w:val="28"/>
          <w:szCs w:val="28"/>
          <w:rtl/>
        </w:rPr>
        <w:t xml:space="preserve"> </w:t>
      </w:r>
      <w:r w:rsidR="006633B5" w:rsidRPr="0067048A">
        <w:rPr>
          <w:rFonts w:ascii="KFGQPC Uthmanic Script HAFS" w:cs="KFGQPC Uthmanic Script HAFS" w:hint="eastAsia"/>
          <w:sz w:val="28"/>
          <w:szCs w:val="28"/>
          <w:rtl/>
        </w:rPr>
        <w:t>يَك</w:t>
      </w:r>
      <w:r w:rsidR="006633B5" w:rsidRPr="0067048A">
        <w:rPr>
          <w:rFonts w:ascii="KFGQPC Uthmanic Script HAFS" w:cs="KFGQPC Uthmanic Script HAFS" w:hint="cs"/>
          <w:sz w:val="28"/>
          <w:szCs w:val="28"/>
          <w:rtl/>
        </w:rPr>
        <w:t>ۡ</w:t>
      </w:r>
      <w:r w:rsidR="006633B5" w:rsidRPr="0067048A">
        <w:rPr>
          <w:rFonts w:ascii="KFGQPC Uthmanic Script HAFS" w:cs="KFGQPC Uthmanic Script HAFS" w:hint="eastAsia"/>
          <w:sz w:val="28"/>
          <w:szCs w:val="28"/>
          <w:rtl/>
        </w:rPr>
        <w:t>تُمُونَ</w:t>
      </w:r>
      <w:r w:rsidR="006633B5" w:rsidRPr="0067048A">
        <w:rPr>
          <w:rFonts w:ascii="KFGQPC Uthmanic Script HAFS" w:cs="KFGQPC Uthmanic Script HAFS"/>
          <w:sz w:val="28"/>
          <w:szCs w:val="28"/>
          <w:rtl/>
        </w:rPr>
        <w:t xml:space="preserve"> </w:t>
      </w:r>
      <w:r w:rsidR="006633B5" w:rsidRPr="0067048A">
        <w:rPr>
          <w:rFonts w:ascii="KFGQPC Uthmanic Script HAFS" w:cs="KFGQPC Uthmanic Script HAFS" w:hint="eastAsia"/>
          <w:sz w:val="28"/>
          <w:szCs w:val="28"/>
          <w:rtl/>
        </w:rPr>
        <w:t>مَا</w:t>
      </w:r>
      <w:r w:rsidR="006633B5" w:rsidRPr="0067048A">
        <w:rPr>
          <w:rFonts w:ascii="KFGQPC Uthmanic Script HAFS" w:cs="KFGQPC Uthmanic Script HAFS" w:hint="cs"/>
          <w:sz w:val="28"/>
          <w:szCs w:val="28"/>
          <w:rtl/>
        </w:rPr>
        <w:t>ٓ</w:t>
      </w:r>
      <w:r w:rsidR="006633B5" w:rsidRPr="0067048A">
        <w:rPr>
          <w:rFonts w:ascii="KFGQPC Uthmanic Script HAFS" w:cs="KFGQPC Uthmanic Script HAFS"/>
          <w:sz w:val="28"/>
          <w:szCs w:val="28"/>
          <w:rtl/>
        </w:rPr>
        <w:t xml:space="preserve"> </w:t>
      </w:r>
      <w:r w:rsidR="006633B5" w:rsidRPr="0067048A">
        <w:rPr>
          <w:rFonts w:ascii="KFGQPC Uthmanic Script HAFS" w:cs="KFGQPC Uthmanic Script HAFS" w:hint="eastAsia"/>
          <w:sz w:val="28"/>
          <w:szCs w:val="28"/>
          <w:rtl/>
        </w:rPr>
        <w:t>أَنزَل</w:t>
      </w:r>
      <w:r w:rsidR="006633B5" w:rsidRPr="0067048A">
        <w:rPr>
          <w:rFonts w:ascii="KFGQPC Uthmanic Script HAFS" w:cs="KFGQPC Uthmanic Script HAFS" w:hint="cs"/>
          <w:sz w:val="28"/>
          <w:szCs w:val="28"/>
          <w:rtl/>
        </w:rPr>
        <w:t>ۡ</w:t>
      </w:r>
      <w:r w:rsidR="006633B5" w:rsidRPr="0067048A">
        <w:rPr>
          <w:rFonts w:ascii="KFGQPC Uthmanic Script HAFS" w:cs="KFGQPC Uthmanic Script HAFS" w:hint="eastAsia"/>
          <w:sz w:val="28"/>
          <w:szCs w:val="28"/>
          <w:rtl/>
        </w:rPr>
        <w:t>نَا</w:t>
      </w:r>
      <w:r w:rsidR="006633B5" w:rsidRPr="0067048A">
        <w:rPr>
          <w:rFonts w:ascii="KFGQPC Uthmanic Script HAFS" w:cs="KFGQPC Uthmanic Script HAFS"/>
          <w:sz w:val="28"/>
          <w:szCs w:val="28"/>
          <w:rtl/>
        </w:rPr>
        <w:t xml:space="preserve"> </w:t>
      </w:r>
      <w:r w:rsidR="006633B5" w:rsidRPr="0067048A">
        <w:rPr>
          <w:rFonts w:ascii="KFGQPC Uthmanic Script HAFS" w:cs="KFGQPC Uthmanic Script HAFS" w:hint="eastAsia"/>
          <w:sz w:val="28"/>
          <w:szCs w:val="28"/>
          <w:rtl/>
        </w:rPr>
        <w:t>مِنَ</w:t>
      </w:r>
      <w:r w:rsidR="006633B5" w:rsidRPr="0067048A">
        <w:rPr>
          <w:rFonts w:ascii="KFGQPC Uthmanic Script HAFS" w:cs="KFGQPC Uthmanic Script HAFS"/>
          <w:sz w:val="28"/>
          <w:szCs w:val="28"/>
          <w:rtl/>
        </w:rPr>
        <w:t xml:space="preserve"> </w:t>
      </w:r>
      <w:r w:rsidR="006633B5" w:rsidRPr="0067048A">
        <w:rPr>
          <w:rFonts w:ascii="KFGQPC Uthmanic Script HAFS" w:cs="KFGQPC Uthmanic Script HAFS" w:hint="cs"/>
          <w:sz w:val="28"/>
          <w:szCs w:val="28"/>
          <w:rtl/>
        </w:rPr>
        <w:t>ٱ</w:t>
      </w:r>
      <w:r w:rsidR="006633B5" w:rsidRPr="0067048A">
        <w:rPr>
          <w:rFonts w:ascii="KFGQPC Uthmanic Script HAFS" w:cs="KFGQPC Uthmanic Script HAFS" w:hint="eastAsia"/>
          <w:sz w:val="28"/>
          <w:szCs w:val="28"/>
          <w:rtl/>
        </w:rPr>
        <w:t>ل</w:t>
      </w:r>
      <w:r w:rsidR="006633B5" w:rsidRPr="0067048A">
        <w:rPr>
          <w:rFonts w:ascii="KFGQPC Uthmanic Script HAFS" w:cs="KFGQPC Uthmanic Script HAFS" w:hint="cs"/>
          <w:sz w:val="28"/>
          <w:szCs w:val="28"/>
          <w:rtl/>
        </w:rPr>
        <w:t>ۡ</w:t>
      </w:r>
      <w:r w:rsidR="006633B5" w:rsidRPr="0067048A">
        <w:rPr>
          <w:rFonts w:ascii="KFGQPC Uthmanic Script HAFS" w:cs="KFGQPC Uthmanic Script HAFS" w:hint="eastAsia"/>
          <w:sz w:val="28"/>
          <w:szCs w:val="28"/>
          <w:rtl/>
        </w:rPr>
        <w:t>بَيِّنَ</w:t>
      </w:r>
      <w:r w:rsidR="006633B5" w:rsidRPr="0067048A">
        <w:rPr>
          <w:rFonts w:ascii="KFGQPC Uthmanic Script HAFS" w:cs="KFGQPC Uthmanic Script HAFS" w:hint="cs"/>
          <w:sz w:val="28"/>
          <w:szCs w:val="28"/>
          <w:rtl/>
        </w:rPr>
        <w:t>ٰ</w:t>
      </w:r>
      <w:r w:rsidR="006633B5" w:rsidRPr="0067048A">
        <w:rPr>
          <w:rFonts w:ascii="KFGQPC Uthmanic Script HAFS" w:cs="KFGQPC Uthmanic Script HAFS" w:hint="eastAsia"/>
          <w:sz w:val="28"/>
          <w:szCs w:val="28"/>
          <w:rtl/>
        </w:rPr>
        <w:t>تِ</w:t>
      </w:r>
      <w:r w:rsidR="006633B5" w:rsidRPr="0067048A">
        <w:rPr>
          <w:rFonts w:ascii="KFGQPC Uthmanic Script HAFS" w:cs="KFGQPC Uthmanic Script HAFS"/>
          <w:sz w:val="28"/>
          <w:szCs w:val="28"/>
          <w:rtl/>
        </w:rPr>
        <w:t xml:space="preserve"> </w:t>
      </w:r>
      <w:r w:rsidR="006633B5" w:rsidRPr="0067048A">
        <w:rPr>
          <w:rFonts w:ascii="KFGQPC Uthmanic Script HAFS" w:cs="KFGQPC Uthmanic Script HAFS" w:hint="eastAsia"/>
          <w:sz w:val="28"/>
          <w:szCs w:val="28"/>
          <w:rtl/>
        </w:rPr>
        <w:t>وَ</w:t>
      </w:r>
      <w:r w:rsidR="006633B5" w:rsidRPr="0067048A">
        <w:rPr>
          <w:rFonts w:ascii="KFGQPC Uthmanic Script HAFS" w:cs="KFGQPC Uthmanic Script HAFS" w:hint="cs"/>
          <w:sz w:val="28"/>
          <w:szCs w:val="28"/>
          <w:rtl/>
        </w:rPr>
        <w:t>ٱ</w:t>
      </w:r>
      <w:r w:rsidR="006633B5" w:rsidRPr="0067048A">
        <w:rPr>
          <w:rFonts w:ascii="KFGQPC Uthmanic Script HAFS" w:cs="KFGQPC Uthmanic Script HAFS" w:hint="eastAsia"/>
          <w:sz w:val="28"/>
          <w:szCs w:val="28"/>
          <w:rtl/>
        </w:rPr>
        <w:t>ل</w:t>
      </w:r>
      <w:r w:rsidR="006633B5" w:rsidRPr="0067048A">
        <w:rPr>
          <w:rFonts w:ascii="KFGQPC Uthmanic Script HAFS" w:cs="KFGQPC Uthmanic Script HAFS" w:hint="cs"/>
          <w:sz w:val="28"/>
          <w:szCs w:val="28"/>
          <w:rtl/>
        </w:rPr>
        <w:t>ۡ</w:t>
      </w:r>
      <w:r w:rsidR="006633B5" w:rsidRPr="0067048A">
        <w:rPr>
          <w:rFonts w:ascii="KFGQPC Uthmanic Script HAFS" w:cs="KFGQPC Uthmanic Script HAFS" w:hint="eastAsia"/>
          <w:sz w:val="28"/>
          <w:szCs w:val="28"/>
          <w:rtl/>
        </w:rPr>
        <w:t>هُدَى</w:t>
      </w:r>
      <w:r w:rsidR="006633B5" w:rsidRPr="0067048A">
        <w:rPr>
          <w:rFonts w:ascii="KFGQPC Uthmanic Script HAFS" w:cs="KFGQPC Uthmanic Script HAFS" w:hint="cs"/>
          <w:sz w:val="28"/>
          <w:szCs w:val="28"/>
          <w:rtl/>
        </w:rPr>
        <w:t>ٰ</w:t>
      </w:r>
      <w:r w:rsidR="006633B5" w:rsidRPr="0067048A">
        <w:rPr>
          <w:rFonts w:ascii="KFGQPC Uthmanic Script HAFS" w:cs="KFGQPC Uthmanic Script HAFS"/>
          <w:sz w:val="28"/>
          <w:szCs w:val="28"/>
          <w:rtl/>
        </w:rPr>
        <w:t xml:space="preserve"> </w:t>
      </w:r>
      <w:r w:rsidR="006633B5" w:rsidRPr="0067048A">
        <w:rPr>
          <w:rFonts w:ascii="KFGQPC Uthmanic Script HAFS" w:cs="KFGQPC Uthmanic Script HAFS" w:hint="eastAsia"/>
          <w:sz w:val="28"/>
          <w:szCs w:val="28"/>
          <w:rtl/>
        </w:rPr>
        <w:t>مِن</w:t>
      </w:r>
      <w:r w:rsidR="006633B5" w:rsidRPr="0067048A">
        <w:rPr>
          <w:rFonts w:ascii="KFGQPC Uthmanic Script HAFS" w:cs="KFGQPC Uthmanic Script HAFS" w:hint="cs"/>
          <w:sz w:val="28"/>
          <w:szCs w:val="28"/>
          <w:rtl/>
        </w:rPr>
        <w:t>ۢ</w:t>
      </w:r>
      <w:r w:rsidR="006633B5" w:rsidRPr="0067048A">
        <w:rPr>
          <w:rFonts w:ascii="KFGQPC Uthmanic Script HAFS" w:cs="KFGQPC Uthmanic Script HAFS"/>
          <w:sz w:val="28"/>
          <w:szCs w:val="28"/>
          <w:rtl/>
        </w:rPr>
        <w:t xml:space="preserve"> </w:t>
      </w:r>
      <w:r w:rsidR="006633B5" w:rsidRPr="0067048A">
        <w:rPr>
          <w:rFonts w:ascii="KFGQPC Uthmanic Script HAFS" w:cs="KFGQPC Uthmanic Script HAFS" w:hint="eastAsia"/>
          <w:sz w:val="28"/>
          <w:szCs w:val="28"/>
          <w:rtl/>
        </w:rPr>
        <w:t>بَع</w:t>
      </w:r>
      <w:r w:rsidR="006633B5" w:rsidRPr="0067048A">
        <w:rPr>
          <w:rFonts w:ascii="KFGQPC Uthmanic Script HAFS" w:cs="KFGQPC Uthmanic Script HAFS" w:hint="cs"/>
          <w:sz w:val="28"/>
          <w:szCs w:val="28"/>
          <w:rtl/>
        </w:rPr>
        <w:t>ۡ</w:t>
      </w:r>
      <w:r w:rsidR="006633B5" w:rsidRPr="0067048A">
        <w:rPr>
          <w:rFonts w:ascii="KFGQPC Uthmanic Script HAFS" w:cs="KFGQPC Uthmanic Script HAFS" w:hint="eastAsia"/>
          <w:sz w:val="28"/>
          <w:szCs w:val="28"/>
          <w:rtl/>
        </w:rPr>
        <w:t>دِ</w:t>
      </w:r>
      <w:r w:rsidR="006633B5" w:rsidRPr="0067048A">
        <w:rPr>
          <w:rFonts w:ascii="KFGQPC Uthmanic Script HAFS" w:cs="KFGQPC Uthmanic Script HAFS"/>
          <w:sz w:val="28"/>
          <w:szCs w:val="28"/>
          <w:rtl/>
        </w:rPr>
        <w:t xml:space="preserve"> </w:t>
      </w:r>
      <w:r w:rsidR="006633B5" w:rsidRPr="0067048A">
        <w:rPr>
          <w:rFonts w:ascii="KFGQPC Uthmanic Script HAFS" w:cs="KFGQPC Uthmanic Script HAFS" w:hint="eastAsia"/>
          <w:sz w:val="28"/>
          <w:szCs w:val="28"/>
          <w:rtl/>
        </w:rPr>
        <w:t>مَا</w:t>
      </w:r>
      <w:r w:rsidR="006633B5" w:rsidRPr="0067048A">
        <w:rPr>
          <w:rFonts w:ascii="KFGQPC Uthmanic Script HAFS" w:cs="KFGQPC Uthmanic Script HAFS"/>
          <w:sz w:val="28"/>
          <w:szCs w:val="28"/>
          <w:rtl/>
        </w:rPr>
        <w:t xml:space="preserve"> </w:t>
      </w:r>
      <w:r w:rsidR="006633B5" w:rsidRPr="0067048A">
        <w:rPr>
          <w:rFonts w:ascii="KFGQPC Uthmanic Script HAFS" w:cs="KFGQPC Uthmanic Script HAFS" w:hint="eastAsia"/>
          <w:sz w:val="28"/>
          <w:szCs w:val="28"/>
          <w:rtl/>
        </w:rPr>
        <w:t>بَيَّنَّ</w:t>
      </w:r>
      <w:r w:rsidR="006633B5" w:rsidRPr="0067048A">
        <w:rPr>
          <w:rFonts w:ascii="KFGQPC Uthmanic Script HAFS" w:cs="KFGQPC Uthmanic Script HAFS" w:hint="cs"/>
          <w:sz w:val="28"/>
          <w:szCs w:val="28"/>
          <w:rtl/>
        </w:rPr>
        <w:t>ٰ</w:t>
      </w:r>
      <w:r w:rsidR="006633B5" w:rsidRPr="0067048A">
        <w:rPr>
          <w:rFonts w:ascii="KFGQPC Uthmanic Script HAFS" w:cs="KFGQPC Uthmanic Script HAFS" w:hint="eastAsia"/>
          <w:sz w:val="28"/>
          <w:szCs w:val="28"/>
          <w:rtl/>
        </w:rPr>
        <w:t>هُ</w:t>
      </w:r>
      <w:r w:rsidR="006633B5" w:rsidRPr="0067048A">
        <w:rPr>
          <w:rFonts w:ascii="KFGQPC Uthmanic Script HAFS" w:cs="KFGQPC Uthmanic Script HAFS"/>
          <w:sz w:val="28"/>
          <w:szCs w:val="28"/>
          <w:rtl/>
        </w:rPr>
        <w:t xml:space="preserve"> </w:t>
      </w:r>
      <w:r w:rsidR="006633B5" w:rsidRPr="0067048A">
        <w:rPr>
          <w:rFonts w:ascii="KFGQPC Uthmanic Script HAFS" w:cs="KFGQPC Uthmanic Script HAFS" w:hint="eastAsia"/>
          <w:sz w:val="28"/>
          <w:szCs w:val="28"/>
          <w:rtl/>
        </w:rPr>
        <w:t>لِلنَّاسِ</w:t>
      </w:r>
      <w:r w:rsidR="006633B5" w:rsidRPr="0067048A">
        <w:rPr>
          <w:rFonts w:ascii="KFGQPC Uthmanic Script HAFS" w:cs="KFGQPC Uthmanic Script HAFS"/>
          <w:sz w:val="28"/>
          <w:szCs w:val="28"/>
          <w:rtl/>
        </w:rPr>
        <w:t xml:space="preserve"> </w:t>
      </w:r>
      <w:r w:rsidR="006633B5" w:rsidRPr="0067048A">
        <w:rPr>
          <w:rFonts w:ascii="KFGQPC Uthmanic Script HAFS" w:cs="KFGQPC Uthmanic Script HAFS" w:hint="eastAsia"/>
          <w:sz w:val="28"/>
          <w:szCs w:val="28"/>
          <w:rtl/>
        </w:rPr>
        <w:t>فِي</w:t>
      </w:r>
      <w:r w:rsidR="006633B5" w:rsidRPr="0067048A">
        <w:rPr>
          <w:rFonts w:ascii="KFGQPC Uthmanic Script HAFS" w:cs="KFGQPC Uthmanic Script HAFS"/>
          <w:sz w:val="28"/>
          <w:szCs w:val="28"/>
          <w:rtl/>
        </w:rPr>
        <w:t xml:space="preserve"> </w:t>
      </w:r>
      <w:r w:rsidR="006633B5" w:rsidRPr="0067048A">
        <w:rPr>
          <w:rFonts w:ascii="KFGQPC Uthmanic Script HAFS" w:cs="KFGQPC Uthmanic Script HAFS" w:hint="cs"/>
          <w:sz w:val="28"/>
          <w:szCs w:val="28"/>
          <w:rtl/>
        </w:rPr>
        <w:t>ٱ</w:t>
      </w:r>
      <w:r w:rsidR="006633B5" w:rsidRPr="0067048A">
        <w:rPr>
          <w:rFonts w:ascii="KFGQPC Uthmanic Script HAFS" w:cs="KFGQPC Uthmanic Script HAFS" w:hint="eastAsia"/>
          <w:sz w:val="28"/>
          <w:szCs w:val="28"/>
          <w:rtl/>
        </w:rPr>
        <w:t>ل</w:t>
      </w:r>
      <w:r w:rsidR="006633B5" w:rsidRPr="0067048A">
        <w:rPr>
          <w:rFonts w:ascii="KFGQPC Uthmanic Script HAFS" w:cs="KFGQPC Uthmanic Script HAFS" w:hint="cs"/>
          <w:sz w:val="28"/>
          <w:szCs w:val="28"/>
          <w:rtl/>
        </w:rPr>
        <w:t>ۡ</w:t>
      </w:r>
      <w:r w:rsidR="006633B5" w:rsidRPr="0067048A">
        <w:rPr>
          <w:rFonts w:ascii="KFGQPC Uthmanic Script HAFS" w:cs="KFGQPC Uthmanic Script HAFS" w:hint="eastAsia"/>
          <w:sz w:val="28"/>
          <w:szCs w:val="28"/>
          <w:rtl/>
        </w:rPr>
        <w:t>كِتَ</w:t>
      </w:r>
      <w:r w:rsidR="006633B5" w:rsidRPr="0067048A">
        <w:rPr>
          <w:rFonts w:ascii="KFGQPC Uthmanic Script HAFS" w:cs="KFGQPC Uthmanic Script HAFS" w:hint="cs"/>
          <w:sz w:val="28"/>
          <w:szCs w:val="28"/>
          <w:rtl/>
        </w:rPr>
        <w:t>ٰ</w:t>
      </w:r>
      <w:r w:rsidR="006633B5" w:rsidRPr="0067048A">
        <w:rPr>
          <w:rFonts w:ascii="KFGQPC Uthmanic Script HAFS" w:cs="KFGQPC Uthmanic Script HAFS" w:hint="eastAsia"/>
          <w:sz w:val="28"/>
          <w:szCs w:val="28"/>
          <w:rtl/>
        </w:rPr>
        <w:t>بِ</w:t>
      </w:r>
      <w:r w:rsidR="006633B5" w:rsidRPr="0067048A">
        <w:rPr>
          <w:rFonts w:ascii="KFGQPC Uthmanic Script HAFS" w:cs="KFGQPC Uthmanic Script HAFS"/>
          <w:sz w:val="28"/>
          <w:szCs w:val="28"/>
          <w:rtl/>
        </w:rPr>
        <w:t xml:space="preserve"> </w:t>
      </w:r>
      <w:r w:rsidR="006633B5" w:rsidRPr="0067048A">
        <w:rPr>
          <w:rFonts w:ascii="KFGQPC Uthmanic Script HAFS" w:cs="KFGQPC Uthmanic Script HAFS" w:hint="eastAsia"/>
          <w:sz w:val="28"/>
          <w:szCs w:val="28"/>
          <w:rtl/>
        </w:rPr>
        <w:t>أُوْلَ</w:t>
      </w:r>
      <w:r w:rsidR="006633B5" w:rsidRPr="0067048A">
        <w:rPr>
          <w:rFonts w:ascii="KFGQPC Uthmanic Script HAFS" w:cs="KFGQPC Uthmanic Script HAFS" w:hint="cs"/>
          <w:sz w:val="28"/>
          <w:szCs w:val="28"/>
          <w:rtl/>
        </w:rPr>
        <w:t>ٰٓ</w:t>
      </w:r>
      <w:r w:rsidR="006633B5" w:rsidRPr="0067048A">
        <w:rPr>
          <w:rFonts w:ascii="KFGQPC Uthmanic Script HAFS" w:cs="KFGQPC Uthmanic Script HAFS" w:hint="eastAsia"/>
          <w:sz w:val="28"/>
          <w:szCs w:val="28"/>
          <w:rtl/>
        </w:rPr>
        <w:t>ئِكَ</w:t>
      </w:r>
      <w:r w:rsidR="006633B5" w:rsidRPr="0067048A">
        <w:rPr>
          <w:rFonts w:ascii="KFGQPC Uthmanic Script HAFS" w:cs="KFGQPC Uthmanic Script HAFS"/>
          <w:sz w:val="28"/>
          <w:szCs w:val="28"/>
          <w:rtl/>
        </w:rPr>
        <w:t xml:space="preserve"> </w:t>
      </w:r>
      <w:r w:rsidR="006633B5" w:rsidRPr="0067048A">
        <w:rPr>
          <w:rFonts w:ascii="KFGQPC Uthmanic Script HAFS" w:cs="KFGQPC Uthmanic Script HAFS" w:hint="eastAsia"/>
          <w:sz w:val="28"/>
          <w:szCs w:val="28"/>
          <w:rtl/>
        </w:rPr>
        <w:t>يَل</w:t>
      </w:r>
      <w:r w:rsidR="006633B5" w:rsidRPr="0067048A">
        <w:rPr>
          <w:rFonts w:ascii="KFGQPC Uthmanic Script HAFS" w:cs="KFGQPC Uthmanic Script HAFS" w:hint="cs"/>
          <w:sz w:val="28"/>
          <w:szCs w:val="28"/>
          <w:rtl/>
        </w:rPr>
        <w:t>ۡ</w:t>
      </w:r>
      <w:r w:rsidR="006633B5" w:rsidRPr="0067048A">
        <w:rPr>
          <w:rFonts w:ascii="KFGQPC Uthmanic Script HAFS" w:cs="KFGQPC Uthmanic Script HAFS" w:hint="eastAsia"/>
          <w:sz w:val="28"/>
          <w:szCs w:val="28"/>
          <w:rtl/>
        </w:rPr>
        <w:t>عَنُهُمُ</w:t>
      </w:r>
      <w:r w:rsidR="006633B5" w:rsidRPr="0067048A">
        <w:rPr>
          <w:rFonts w:ascii="KFGQPC Uthmanic Script HAFS" w:cs="KFGQPC Uthmanic Script HAFS"/>
          <w:sz w:val="28"/>
          <w:szCs w:val="28"/>
          <w:rtl/>
        </w:rPr>
        <w:t xml:space="preserve"> </w:t>
      </w:r>
      <w:r w:rsidR="006633B5" w:rsidRPr="0067048A">
        <w:rPr>
          <w:rFonts w:ascii="KFGQPC Uthmanic Script HAFS" w:cs="KFGQPC Uthmanic Script HAFS" w:hint="cs"/>
          <w:sz w:val="28"/>
          <w:szCs w:val="28"/>
          <w:rtl/>
        </w:rPr>
        <w:t>ٱ</w:t>
      </w:r>
      <w:r w:rsidR="006633B5" w:rsidRPr="0067048A">
        <w:rPr>
          <w:rFonts w:ascii="KFGQPC Uthmanic Script HAFS" w:cs="KFGQPC Uthmanic Script HAFS" w:hint="eastAsia"/>
          <w:sz w:val="28"/>
          <w:szCs w:val="28"/>
          <w:rtl/>
        </w:rPr>
        <w:t>للَّهُ</w:t>
      </w:r>
      <w:r w:rsidR="006633B5" w:rsidRPr="0067048A">
        <w:rPr>
          <w:rFonts w:ascii="KFGQPC Uthmanic Script HAFS" w:cs="KFGQPC Uthmanic Script HAFS"/>
          <w:sz w:val="28"/>
          <w:szCs w:val="28"/>
          <w:rtl/>
        </w:rPr>
        <w:t xml:space="preserve"> </w:t>
      </w:r>
      <w:r w:rsidR="006633B5" w:rsidRPr="0067048A">
        <w:rPr>
          <w:rFonts w:ascii="KFGQPC Uthmanic Script HAFS" w:cs="KFGQPC Uthmanic Script HAFS" w:hint="eastAsia"/>
          <w:sz w:val="28"/>
          <w:szCs w:val="28"/>
          <w:rtl/>
        </w:rPr>
        <w:t>وَيَل</w:t>
      </w:r>
      <w:r w:rsidR="006633B5" w:rsidRPr="0067048A">
        <w:rPr>
          <w:rFonts w:ascii="KFGQPC Uthmanic Script HAFS" w:cs="KFGQPC Uthmanic Script HAFS" w:hint="cs"/>
          <w:sz w:val="28"/>
          <w:szCs w:val="28"/>
          <w:rtl/>
        </w:rPr>
        <w:t>ۡ</w:t>
      </w:r>
      <w:r w:rsidR="006633B5" w:rsidRPr="0067048A">
        <w:rPr>
          <w:rFonts w:ascii="KFGQPC Uthmanic Script HAFS" w:cs="KFGQPC Uthmanic Script HAFS" w:hint="eastAsia"/>
          <w:sz w:val="28"/>
          <w:szCs w:val="28"/>
          <w:rtl/>
        </w:rPr>
        <w:t>عَنُهُمُ</w:t>
      </w:r>
      <w:r w:rsidR="006633B5" w:rsidRPr="0067048A">
        <w:rPr>
          <w:rFonts w:ascii="KFGQPC Uthmanic Script HAFS" w:cs="KFGQPC Uthmanic Script HAFS"/>
          <w:sz w:val="28"/>
          <w:szCs w:val="28"/>
          <w:rtl/>
        </w:rPr>
        <w:t xml:space="preserve"> </w:t>
      </w:r>
      <w:r w:rsidR="006633B5" w:rsidRPr="0067048A">
        <w:rPr>
          <w:rFonts w:ascii="KFGQPC Uthmanic Script HAFS" w:cs="KFGQPC Uthmanic Script HAFS" w:hint="cs"/>
          <w:sz w:val="28"/>
          <w:szCs w:val="28"/>
          <w:rtl/>
        </w:rPr>
        <w:t>ٱ</w:t>
      </w:r>
      <w:r w:rsidR="006633B5" w:rsidRPr="0067048A">
        <w:rPr>
          <w:rFonts w:ascii="KFGQPC Uthmanic Script HAFS" w:cs="KFGQPC Uthmanic Script HAFS" w:hint="eastAsia"/>
          <w:sz w:val="28"/>
          <w:szCs w:val="28"/>
          <w:rtl/>
        </w:rPr>
        <w:t>للَّ</w:t>
      </w:r>
      <w:r w:rsidR="006633B5" w:rsidRPr="0067048A">
        <w:rPr>
          <w:rFonts w:ascii="KFGQPC Uthmanic Script HAFS" w:cs="KFGQPC Uthmanic Script HAFS" w:hint="cs"/>
          <w:sz w:val="28"/>
          <w:szCs w:val="28"/>
          <w:rtl/>
        </w:rPr>
        <w:t>ٰ</w:t>
      </w:r>
      <w:r w:rsidR="006633B5" w:rsidRPr="0067048A">
        <w:rPr>
          <w:rFonts w:ascii="KFGQPC Uthmanic Script HAFS" w:cs="KFGQPC Uthmanic Script HAFS" w:hint="eastAsia"/>
          <w:sz w:val="28"/>
          <w:szCs w:val="28"/>
          <w:rtl/>
        </w:rPr>
        <w:t>عِنُونَ</w:t>
      </w:r>
      <w:r w:rsidR="006633B5" w:rsidRPr="0067048A">
        <w:rPr>
          <w:rFonts w:ascii="KFGQPC Uthmanic Script HAFS" w:cs="KFGQPC Uthmanic Script HAFS"/>
          <w:sz w:val="28"/>
          <w:szCs w:val="28"/>
          <w:rtl/>
        </w:rPr>
        <w:t xml:space="preserve"> </w:t>
      </w:r>
      <w:r w:rsidR="006633B5" w:rsidRPr="0067048A">
        <w:rPr>
          <w:rFonts w:ascii="KFGQPC Uthmanic Script HAFS" w:cs="KFGQPC Uthmanic Script HAFS" w:hint="cs"/>
          <w:sz w:val="28"/>
          <w:szCs w:val="28"/>
          <w:rtl/>
        </w:rPr>
        <w:t>١٥٩</w:t>
      </w:r>
      <w:r w:rsidR="006633B5" w:rsidRPr="00995B26">
        <w:rPr>
          <w:rFonts w:cs="Traditional Arabic" w:hint="cs"/>
          <w:szCs w:val="30"/>
          <w:rtl/>
          <w:lang w:bidi="ar-SY"/>
        </w:rPr>
        <w:t>﴾</w:t>
      </w:r>
      <w:r w:rsidRPr="00495BAB">
        <w:rPr>
          <w:rFonts w:hint="cs"/>
          <w:rtl/>
          <w:lang w:bidi="ar-SY"/>
        </w:rPr>
        <w:t xml:space="preserve"> </w:t>
      </w:r>
      <w:r w:rsidRPr="009E1401">
        <w:rPr>
          <w:rStyle w:val="Char2"/>
          <w:rFonts w:hint="cs"/>
          <w:rtl/>
        </w:rPr>
        <w:t>[البقرة</w:t>
      </w:r>
      <w:r w:rsidR="006633B5" w:rsidRPr="009E1401">
        <w:rPr>
          <w:rStyle w:val="Char2"/>
          <w:rFonts w:hint="cs"/>
          <w:rtl/>
        </w:rPr>
        <w:t xml:space="preserve">: </w:t>
      </w:r>
      <w:r w:rsidRPr="009E1401">
        <w:rPr>
          <w:rStyle w:val="Char2"/>
          <w:rFonts w:hint="cs"/>
          <w:rtl/>
        </w:rPr>
        <w:t>159]</w:t>
      </w:r>
      <w:r w:rsidRPr="00495BAB">
        <w:rPr>
          <w:rFonts w:hint="cs"/>
          <w:rtl/>
          <w:lang w:bidi="ar-SY"/>
        </w:rPr>
        <w:t xml:space="preserve"> وقوله تعالى:</w:t>
      </w:r>
      <w:r w:rsidR="006633B5" w:rsidRPr="00495BAB">
        <w:rPr>
          <w:rFonts w:hint="cs"/>
          <w:rtl/>
          <w:lang w:bidi="ar-SY"/>
        </w:rPr>
        <w:t xml:space="preserve"> </w:t>
      </w:r>
      <w:r w:rsidR="006633B5" w:rsidRPr="00995B26">
        <w:rPr>
          <w:rFonts w:cs="Traditional Arabic" w:hint="cs"/>
          <w:szCs w:val="30"/>
          <w:rtl/>
          <w:lang w:bidi="ar-SY"/>
        </w:rPr>
        <w:t>﴿</w:t>
      </w:r>
      <w:r w:rsidR="006633B5" w:rsidRPr="0067048A">
        <w:rPr>
          <w:rFonts w:ascii="KFGQPC Uthmanic Script HAFS" w:cs="KFGQPC Uthmanic Script HAFS" w:hint="eastAsia"/>
          <w:sz w:val="28"/>
          <w:szCs w:val="28"/>
          <w:rtl/>
          <w:lang w:bidi="fa-IR"/>
        </w:rPr>
        <w:t>إِنَّ</w:t>
      </w:r>
      <w:r w:rsidR="006633B5" w:rsidRPr="0067048A">
        <w:rPr>
          <w:rFonts w:ascii="KFGQPC Uthmanic Script HAFS" w:cs="KFGQPC Uthmanic Script HAFS"/>
          <w:sz w:val="28"/>
          <w:szCs w:val="28"/>
          <w:rtl/>
          <w:lang w:bidi="fa-IR"/>
        </w:rPr>
        <w:t xml:space="preserve"> </w:t>
      </w:r>
      <w:r w:rsidR="006633B5" w:rsidRPr="0067048A">
        <w:rPr>
          <w:rFonts w:ascii="KFGQPC Uthmanic Script HAFS" w:cs="KFGQPC Uthmanic Script HAFS" w:hint="cs"/>
          <w:sz w:val="28"/>
          <w:szCs w:val="28"/>
          <w:rtl/>
          <w:lang w:bidi="fa-IR"/>
        </w:rPr>
        <w:t>ٱ</w:t>
      </w:r>
      <w:r w:rsidR="006633B5" w:rsidRPr="0067048A">
        <w:rPr>
          <w:rFonts w:ascii="KFGQPC Uthmanic Script HAFS" w:cs="KFGQPC Uthmanic Script HAFS" w:hint="eastAsia"/>
          <w:sz w:val="28"/>
          <w:szCs w:val="28"/>
          <w:rtl/>
          <w:lang w:bidi="fa-IR"/>
        </w:rPr>
        <w:t>لَّذِينَ</w:t>
      </w:r>
      <w:r w:rsidR="006633B5" w:rsidRPr="0067048A">
        <w:rPr>
          <w:rFonts w:ascii="KFGQPC Uthmanic Script HAFS" w:cs="KFGQPC Uthmanic Script HAFS"/>
          <w:sz w:val="28"/>
          <w:szCs w:val="28"/>
          <w:rtl/>
          <w:lang w:bidi="fa-IR"/>
        </w:rPr>
        <w:t xml:space="preserve"> </w:t>
      </w:r>
      <w:r w:rsidR="006633B5" w:rsidRPr="0067048A">
        <w:rPr>
          <w:rFonts w:ascii="KFGQPC Uthmanic Script HAFS" w:cs="KFGQPC Uthmanic Script HAFS" w:hint="eastAsia"/>
          <w:sz w:val="28"/>
          <w:szCs w:val="28"/>
          <w:rtl/>
          <w:lang w:bidi="fa-IR"/>
        </w:rPr>
        <w:t>يَك</w:t>
      </w:r>
      <w:r w:rsidR="006633B5" w:rsidRPr="0067048A">
        <w:rPr>
          <w:rFonts w:ascii="KFGQPC Uthmanic Script HAFS" w:cs="KFGQPC Uthmanic Script HAFS" w:hint="cs"/>
          <w:sz w:val="28"/>
          <w:szCs w:val="28"/>
          <w:rtl/>
          <w:lang w:bidi="fa-IR"/>
        </w:rPr>
        <w:t>ۡ</w:t>
      </w:r>
      <w:r w:rsidR="006633B5" w:rsidRPr="0067048A">
        <w:rPr>
          <w:rFonts w:ascii="KFGQPC Uthmanic Script HAFS" w:cs="KFGQPC Uthmanic Script HAFS" w:hint="eastAsia"/>
          <w:sz w:val="28"/>
          <w:szCs w:val="28"/>
          <w:rtl/>
          <w:lang w:bidi="fa-IR"/>
        </w:rPr>
        <w:t>تُمُونَ</w:t>
      </w:r>
      <w:r w:rsidR="006633B5" w:rsidRPr="0067048A">
        <w:rPr>
          <w:rFonts w:ascii="KFGQPC Uthmanic Script HAFS" w:cs="KFGQPC Uthmanic Script HAFS"/>
          <w:sz w:val="28"/>
          <w:szCs w:val="28"/>
          <w:rtl/>
          <w:lang w:bidi="fa-IR"/>
        </w:rPr>
        <w:t xml:space="preserve"> </w:t>
      </w:r>
      <w:r w:rsidR="006633B5" w:rsidRPr="0067048A">
        <w:rPr>
          <w:rFonts w:ascii="KFGQPC Uthmanic Script HAFS" w:cs="KFGQPC Uthmanic Script HAFS" w:hint="eastAsia"/>
          <w:sz w:val="28"/>
          <w:szCs w:val="28"/>
          <w:rtl/>
          <w:lang w:bidi="fa-IR"/>
        </w:rPr>
        <w:t>مَا</w:t>
      </w:r>
      <w:r w:rsidR="006633B5" w:rsidRPr="0067048A">
        <w:rPr>
          <w:rFonts w:ascii="KFGQPC Uthmanic Script HAFS" w:cs="KFGQPC Uthmanic Script HAFS" w:hint="cs"/>
          <w:sz w:val="28"/>
          <w:szCs w:val="28"/>
          <w:rtl/>
          <w:lang w:bidi="fa-IR"/>
        </w:rPr>
        <w:t>ٓ</w:t>
      </w:r>
      <w:r w:rsidR="006633B5" w:rsidRPr="0067048A">
        <w:rPr>
          <w:rFonts w:ascii="KFGQPC Uthmanic Script HAFS" w:cs="KFGQPC Uthmanic Script HAFS"/>
          <w:sz w:val="28"/>
          <w:szCs w:val="28"/>
          <w:rtl/>
          <w:lang w:bidi="fa-IR"/>
        </w:rPr>
        <w:t xml:space="preserve"> </w:t>
      </w:r>
      <w:r w:rsidR="006633B5" w:rsidRPr="0067048A">
        <w:rPr>
          <w:rFonts w:ascii="KFGQPC Uthmanic Script HAFS" w:cs="KFGQPC Uthmanic Script HAFS" w:hint="eastAsia"/>
          <w:sz w:val="28"/>
          <w:szCs w:val="28"/>
          <w:rtl/>
          <w:lang w:bidi="fa-IR"/>
        </w:rPr>
        <w:t>أَنزَلَ</w:t>
      </w:r>
      <w:r w:rsidR="006633B5" w:rsidRPr="0067048A">
        <w:rPr>
          <w:rFonts w:ascii="KFGQPC Uthmanic Script HAFS" w:cs="KFGQPC Uthmanic Script HAFS"/>
          <w:sz w:val="28"/>
          <w:szCs w:val="28"/>
          <w:rtl/>
          <w:lang w:bidi="fa-IR"/>
        </w:rPr>
        <w:t xml:space="preserve"> </w:t>
      </w:r>
      <w:r w:rsidR="006633B5" w:rsidRPr="0067048A">
        <w:rPr>
          <w:rFonts w:ascii="KFGQPC Uthmanic Script HAFS" w:cs="KFGQPC Uthmanic Script HAFS" w:hint="cs"/>
          <w:sz w:val="28"/>
          <w:szCs w:val="28"/>
          <w:rtl/>
          <w:lang w:bidi="fa-IR"/>
        </w:rPr>
        <w:t>ٱ</w:t>
      </w:r>
      <w:r w:rsidR="006633B5" w:rsidRPr="0067048A">
        <w:rPr>
          <w:rFonts w:ascii="KFGQPC Uthmanic Script HAFS" w:cs="KFGQPC Uthmanic Script HAFS" w:hint="eastAsia"/>
          <w:sz w:val="28"/>
          <w:szCs w:val="28"/>
          <w:rtl/>
          <w:lang w:bidi="fa-IR"/>
        </w:rPr>
        <w:t>للَّهُ</w:t>
      </w:r>
      <w:r w:rsidR="006633B5" w:rsidRPr="0067048A">
        <w:rPr>
          <w:rFonts w:ascii="KFGQPC Uthmanic Script HAFS" w:cs="KFGQPC Uthmanic Script HAFS"/>
          <w:sz w:val="28"/>
          <w:szCs w:val="28"/>
          <w:rtl/>
          <w:lang w:bidi="fa-IR"/>
        </w:rPr>
        <w:t xml:space="preserve"> </w:t>
      </w:r>
      <w:r w:rsidR="006633B5" w:rsidRPr="0067048A">
        <w:rPr>
          <w:rFonts w:ascii="KFGQPC Uthmanic Script HAFS" w:cs="KFGQPC Uthmanic Script HAFS" w:hint="eastAsia"/>
          <w:sz w:val="28"/>
          <w:szCs w:val="28"/>
          <w:rtl/>
          <w:lang w:bidi="fa-IR"/>
        </w:rPr>
        <w:t>مِنَ</w:t>
      </w:r>
      <w:r w:rsidR="006633B5" w:rsidRPr="0067048A">
        <w:rPr>
          <w:rFonts w:ascii="KFGQPC Uthmanic Script HAFS" w:cs="KFGQPC Uthmanic Script HAFS"/>
          <w:sz w:val="28"/>
          <w:szCs w:val="28"/>
          <w:rtl/>
          <w:lang w:bidi="fa-IR"/>
        </w:rPr>
        <w:t xml:space="preserve"> </w:t>
      </w:r>
      <w:r w:rsidR="006633B5" w:rsidRPr="0067048A">
        <w:rPr>
          <w:rFonts w:ascii="KFGQPC Uthmanic Script HAFS" w:cs="KFGQPC Uthmanic Script HAFS" w:hint="cs"/>
          <w:sz w:val="28"/>
          <w:szCs w:val="28"/>
          <w:rtl/>
          <w:lang w:bidi="fa-IR"/>
        </w:rPr>
        <w:t>ٱ</w:t>
      </w:r>
      <w:r w:rsidR="006633B5" w:rsidRPr="0067048A">
        <w:rPr>
          <w:rFonts w:ascii="KFGQPC Uthmanic Script HAFS" w:cs="KFGQPC Uthmanic Script HAFS" w:hint="eastAsia"/>
          <w:sz w:val="28"/>
          <w:szCs w:val="28"/>
          <w:rtl/>
          <w:lang w:bidi="fa-IR"/>
        </w:rPr>
        <w:t>ل</w:t>
      </w:r>
      <w:r w:rsidR="006633B5" w:rsidRPr="0067048A">
        <w:rPr>
          <w:rFonts w:ascii="KFGQPC Uthmanic Script HAFS" w:cs="KFGQPC Uthmanic Script HAFS" w:hint="cs"/>
          <w:sz w:val="28"/>
          <w:szCs w:val="28"/>
          <w:rtl/>
          <w:lang w:bidi="fa-IR"/>
        </w:rPr>
        <w:t>ۡ</w:t>
      </w:r>
      <w:r w:rsidR="006633B5" w:rsidRPr="0067048A">
        <w:rPr>
          <w:rFonts w:ascii="KFGQPC Uthmanic Script HAFS" w:cs="KFGQPC Uthmanic Script HAFS" w:hint="eastAsia"/>
          <w:sz w:val="28"/>
          <w:szCs w:val="28"/>
          <w:rtl/>
          <w:lang w:bidi="fa-IR"/>
        </w:rPr>
        <w:t>كِتَ</w:t>
      </w:r>
      <w:r w:rsidR="006633B5" w:rsidRPr="0067048A">
        <w:rPr>
          <w:rFonts w:ascii="KFGQPC Uthmanic Script HAFS" w:cs="KFGQPC Uthmanic Script HAFS" w:hint="cs"/>
          <w:sz w:val="28"/>
          <w:szCs w:val="28"/>
          <w:rtl/>
          <w:lang w:bidi="fa-IR"/>
        </w:rPr>
        <w:t>ٰ</w:t>
      </w:r>
      <w:r w:rsidR="006633B5" w:rsidRPr="0067048A">
        <w:rPr>
          <w:rFonts w:ascii="KFGQPC Uthmanic Script HAFS" w:cs="KFGQPC Uthmanic Script HAFS" w:hint="eastAsia"/>
          <w:sz w:val="28"/>
          <w:szCs w:val="28"/>
          <w:rtl/>
          <w:lang w:bidi="fa-IR"/>
        </w:rPr>
        <w:t>بِ</w:t>
      </w:r>
      <w:r w:rsidR="006633B5" w:rsidRPr="0067048A">
        <w:rPr>
          <w:rFonts w:ascii="KFGQPC Uthmanic Script HAFS" w:cs="KFGQPC Uthmanic Script HAFS"/>
          <w:sz w:val="28"/>
          <w:szCs w:val="28"/>
          <w:rtl/>
          <w:lang w:bidi="fa-IR"/>
        </w:rPr>
        <w:t xml:space="preserve"> </w:t>
      </w:r>
      <w:r w:rsidR="006633B5" w:rsidRPr="0067048A">
        <w:rPr>
          <w:rFonts w:ascii="KFGQPC Uthmanic Script HAFS" w:cs="KFGQPC Uthmanic Script HAFS" w:hint="eastAsia"/>
          <w:sz w:val="28"/>
          <w:szCs w:val="28"/>
          <w:rtl/>
          <w:lang w:bidi="fa-IR"/>
        </w:rPr>
        <w:t>وَيَش</w:t>
      </w:r>
      <w:r w:rsidR="006633B5" w:rsidRPr="0067048A">
        <w:rPr>
          <w:rFonts w:ascii="KFGQPC Uthmanic Script HAFS" w:cs="KFGQPC Uthmanic Script HAFS" w:hint="cs"/>
          <w:sz w:val="28"/>
          <w:szCs w:val="28"/>
          <w:rtl/>
          <w:lang w:bidi="fa-IR"/>
        </w:rPr>
        <w:t>ۡ</w:t>
      </w:r>
      <w:r w:rsidR="006633B5" w:rsidRPr="0067048A">
        <w:rPr>
          <w:rFonts w:ascii="KFGQPC Uthmanic Script HAFS" w:cs="KFGQPC Uthmanic Script HAFS" w:hint="eastAsia"/>
          <w:sz w:val="28"/>
          <w:szCs w:val="28"/>
          <w:rtl/>
          <w:lang w:bidi="fa-IR"/>
        </w:rPr>
        <w:t>تَرُونَ</w:t>
      </w:r>
      <w:r w:rsidR="006633B5" w:rsidRPr="0067048A">
        <w:rPr>
          <w:rFonts w:ascii="KFGQPC Uthmanic Script HAFS" w:cs="KFGQPC Uthmanic Script HAFS"/>
          <w:sz w:val="28"/>
          <w:szCs w:val="28"/>
          <w:rtl/>
          <w:lang w:bidi="fa-IR"/>
        </w:rPr>
        <w:t xml:space="preserve"> </w:t>
      </w:r>
      <w:r w:rsidR="006633B5" w:rsidRPr="0067048A">
        <w:rPr>
          <w:rFonts w:ascii="KFGQPC Uthmanic Script HAFS" w:cs="KFGQPC Uthmanic Script HAFS" w:hint="eastAsia"/>
          <w:sz w:val="28"/>
          <w:szCs w:val="28"/>
          <w:rtl/>
          <w:lang w:bidi="fa-IR"/>
        </w:rPr>
        <w:t>بِهِ</w:t>
      </w:r>
      <w:r w:rsidR="006633B5" w:rsidRPr="0067048A">
        <w:rPr>
          <w:rFonts w:ascii="KFGQPC Uthmanic Script HAFS" w:cs="KFGQPC Uthmanic Script HAFS" w:hint="cs"/>
          <w:sz w:val="28"/>
          <w:szCs w:val="28"/>
          <w:rtl/>
          <w:lang w:bidi="fa-IR"/>
        </w:rPr>
        <w:t>ۦ</w:t>
      </w:r>
      <w:r w:rsidR="006633B5" w:rsidRPr="0067048A">
        <w:rPr>
          <w:rFonts w:ascii="KFGQPC Uthmanic Script HAFS" w:cs="KFGQPC Uthmanic Script HAFS"/>
          <w:sz w:val="28"/>
          <w:szCs w:val="28"/>
          <w:rtl/>
          <w:lang w:bidi="fa-IR"/>
        </w:rPr>
        <w:t xml:space="preserve"> </w:t>
      </w:r>
      <w:r w:rsidR="006633B5" w:rsidRPr="0067048A">
        <w:rPr>
          <w:rFonts w:ascii="KFGQPC Uthmanic Script HAFS" w:cs="KFGQPC Uthmanic Script HAFS" w:hint="eastAsia"/>
          <w:sz w:val="28"/>
          <w:szCs w:val="28"/>
          <w:rtl/>
          <w:lang w:bidi="fa-IR"/>
        </w:rPr>
        <w:t>ثَمَن</w:t>
      </w:r>
      <w:r w:rsidR="006633B5" w:rsidRPr="0067048A">
        <w:rPr>
          <w:rFonts w:ascii="KFGQPC Uthmanic Script HAFS" w:cs="KFGQPC Uthmanic Script HAFS" w:hint="cs"/>
          <w:sz w:val="28"/>
          <w:szCs w:val="28"/>
          <w:rtl/>
          <w:lang w:bidi="fa-IR"/>
        </w:rPr>
        <w:t>ٗ</w:t>
      </w:r>
      <w:r w:rsidR="006633B5" w:rsidRPr="0067048A">
        <w:rPr>
          <w:rFonts w:ascii="KFGQPC Uthmanic Script HAFS" w:cs="KFGQPC Uthmanic Script HAFS" w:hint="eastAsia"/>
          <w:sz w:val="28"/>
          <w:szCs w:val="28"/>
          <w:rtl/>
          <w:lang w:bidi="fa-IR"/>
        </w:rPr>
        <w:t>ا</w:t>
      </w:r>
      <w:r w:rsidR="006633B5" w:rsidRPr="0067048A">
        <w:rPr>
          <w:rFonts w:ascii="KFGQPC Uthmanic Script HAFS" w:cs="KFGQPC Uthmanic Script HAFS"/>
          <w:sz w:val="28"/>
          <w:szCs w:val="28"/>
          <w:rtl/>
          <w:lang w:bidi="fa-IR"/>
        </w:rPr>
        <w:t xml:space="preserve"> </w:t>
      </w:r>
      <w:r w:rsidR="006633B5" w:rsidRPr="0067048A">
        <w:rPr>
          <w:rFonts w:ascii="KFGQPC Uthmanic Script HAFS" w:cs="KFGQPC Uthmanic Script HAFS" w:hint="eastAsia"/>
          <w:sz w:val="28"/>
          <w:szCs w:val="28"/>
          <w:rtl/>
          <w:lang w:bidi="fa-IR"/>
        </w:rPr>
        <w:t>قَلِيلًا</w:t>
      </w:r>
      <w:r w:rsidR="006633B5" w:rsidRPr="0067048A">
        <w:rPr>
          <w:rFonts w:ascii="KFGQPC Uthmanic Script HAFS" w:cs="KFGQPC Uthmanic Script HAFS"/>
          <w:sz w:val="28"/>
          <w:szCs w:val="28"/>
          <w:rtl/>
          <w:lang w:bidi="fa-IR"/>
        </w:rPr>
        <w:t xml:space="preserve"> </w:t>
      </w:r>
      <w:r w:rsidR="006633B5" w:rsidRPr="0067048A">
        <w:rPr>
          <w:rFonts w:ascii="KFGQPC Uthmanic Script HAFS" w:cs="KFGQPC Uthmanic Script HAFS" w:hint="eastAsia"/>
          <w:sz w:val="28"/>
          <w:szCs w:val="28"/>
          <w:rtl/>
          <w:lang w:bidi="fa-IR"/>
        </w:rPr>
        <w:t>أُوْلَ</w:t>
      </w:r>
      <w:r w:rsidR="006633B5" w:rsidRPr="0067048A">
        <w:rPr>
          <w:rFonts w:ascii="KFGQPC Uthmanic Script HAFS" w:cs="KFGQPC Uthmanic Script HAFS" w:hint="cs"/>
          <w:sz w:val="28"/>
          <w:szCs w:val="28"/>
          <w:rtl/>
          <w:lang w:bidi="fa-IR"/>
        </w:rPr>
        <w:t>ٰٓ</w:t>
      </w:r>
      <w:r w:rsidR="006633B5" w:rsidRPr="0067048A">
        <w:rPr>
          <w:rFonts w:ascii="KFGQPC Uthmanic Script HAFS" w:cs="KFGQPC Uthmanic Script HAFS" w:hint="eastAsia"/>
          <w:sz w:val="28"/>
          <w:szCs w:val="28"/>
          <w:rtl/>
          <w:lang w:bidi="fa-IR"/>
        </w:rPr>
        <w:t>ئِكَ</w:t>
      </w:r>
      <w:r w:rsidR="006633B5" w:rsidRPr="0067048A">
        <w:rPr>
          <w:rFonts w:ascii="KFGQPC Uthmanic Script HAFS" w:cs="KFGQPC Uthmanic Script HAFS"/>
          <w:sz w:val="28"/>
          <w:szCs w:val="28"/>
          <w:rtl/>
          <w:lang w:bidi="fa-IR"/>
        </w:rPr>
        <w:t xml:space="preserve"> </w:t>
      </w:r>
      <w:r w:rsidR="006633B5" w:rsidRPr="0067048A">
        <w:rPr>
          <w:rFonts w:ascii="KFGQPC Uthmanic Script HAFS" w:cs="KFGQPC Uthmanic Script HAFS" w:hint="eastAsia"/>
          <w:sz w:val="28"/>
          <w:szCs w:val="28"/>
          <w:rtl/>
          <w:lang w:bidi="fa-IR"/>
        </w:rPr>
        <w:t>مَا</w:t>
      </w:r>
      <w:r w:rsidR="006633B5" w:rsidRPr="0067048A">
        <w:rPr>
          <w:rFonts w:ascii="KFGQPC Uthmanic Script HAFS" w:cs="KFGQPC Uthmanic Script HAFS"/>
          <w:sz w:val="28"/>
          <w:szCs w:val="28"/>
          <w:rtl/>
          <w:lang w:bidi="fa-IR"/>
        </w:rPr>
        <w:t xml:space="preserve"> </w:t>
      </w:r>
      <w:r w:rsidR="006633B5" w:rsidRPr="0067048A">
        <w:rPr>
          <w:rFonts w:ascii="KFGQPC Uthmanic Script HAFS" w:cs="KFGQPC Uthmanic Script HAFS" w:hint="eastAsia"/>
          <w:sz w:val="28"/>
          <w:szCs w:val="28"/>
          <w:rtl/>
          <w:lang w:bidi="fa-IR"/>
        </w:rPr>
        <w:t>يَأ</w:t>
      </w:r>
      <w:r w:rsidR="006633B5" w:rsidRPr="0067048A">
        <w:rPr>
          <w:rFonts w:ascii="KFGQPC Uthmanic Script HAFS" w:cs="KFGQPC Uthmanic Script HAFS" w:hint="cs"/>
          <w:sz w:val="28"/>
          <w:szCs w:val="28"/>
          <w:rtl/>
          <w:lang w:bidi="fa-IR"/>
        </w:rPr>
        <w:t>ۡ</w:t>
      </w:r>
      <w:r w:rsidR="006633B5" w:rsidRPr="0067048A">
        <w:rPr>
          <w:rFonts w:ascii="KFGQPC Uthmanic Script HAFS" w:cs="KFGQPC Uthmanic Script HAFS" w:hint="eastAsia"/>
          <w:sz w:val="28"/>
          <w:szCs w:val="28"/>
          <w:rtl/>
          <w:lang w:bidi="fa-IR"/>
        </w:rPr>
        <w:t>كُلُونَ</w:t>
      </w:r>
      <w:r w:rsidR="006633B5" w:rsidRPr="0067048A">
        <w:rPr>
          <w:rFonts w:ascii="KFGQPC Uthmanic Script HAFS" w:cs="KFGQPC Uthmanic Script HAFS"/>
          <w:sz w:val="28"/>
          <w:szCs w:val="28"/>
          <w:rtl/>
          <w:lang w:bidi="fa-IR"/>
        </w:rPr>
        <w:t xml:space="preserve"> </w:t>
      </w:r>
      <w:r w:rsidR="006633B5" w:rsidRPr="0067048A">
        <w:rPr>
          <w:rFonts w:ascii="KFGQPC Uthmanic Script HAFS" w:cs="KFGQPC Uthmanic Script HAFS" w:hint="eastAsia"/>
          <w:sz w:val="28"/>
          <w:szCs w:val="28"/>
          <w:rtl/>
          <w:lang w:bidi="fa-IR"/>
        </w:rPr>
        <w:t>فِي</w:t>
      </w:r>
      <w:r w:rsidR="006633B5" w:rsidRPr="0067048A">
        <w:rPr>
          <w:rFonts w:ascii="KFGQPC Uthmanic Script HAFS" w:cs="KFGQPC Uthmanic Script HAFS"/>
          <w:sz w:val="28"/>
          <w:szCs w:val="28"/>
          <w:rtl/>
          <w:lang w:bidi="fa-IR"/>
        </w:rPr>
        <w:t xml:space="preserve"> </w:t>
      </w:r>
      <w:r w:rsidR="006633B5" w:rsidRPr="0067048A">
        <w:rPr>
          <w:rFonts w:ascii="KFGQPC Uthmanic Script HAFS" w:cs="KFGQPC Uthmanic Script HAFS" w:hint="eastAsia"/>
          <w:sz w:val="28"/>
          <w:szCs w:val="28"/>
          <w:rtl/>
          <w:lang w:bidi="fa-IR"/>
        </w:rPr>
        <w:t>بُطُونِهِم</w:t>
      </w:r>
      <w:r w:rsidR="006633B5" w:rsidRPr="0067048A">
        <w:rPr>
          <w:rFonts w:ascii="KFGQPC Uthmanic Script HAFS" w:cs="KFGQPC Uthmanic Script HAFS" w:hint="cs"/>
          <w:sz w:val="28"/>
          <w:szCs w:val="28"/>
          <w:rtl/>
          <w:lang w:bidi="fa-IR"/>
        </w:rPr>
        <w:t>ۡ</w:t>
      </w:r>
      <w:r w:rsidR="006633B5" w:rsidRPr="0067048A">
        <w:rPr>
          <w:rFonts w:ascii="KFGQPC Uthmanic Script HAFS" w:cs="KFGQPC Uthmanic Script HAFS"/>
          <w:sz w:val="28"/>
          <w:szCs w:val="28"/>
          <w:rtl/>
          <w:lang w:bidi="fa-IR"/>
        </w:rPr>
        <w:t xml:space="preserve"> </w:t>
      </w:r>
      <w:r w:rsidR="006633B5" w:rsidRPr="0067048A">
        <w:rPr>
          <w:rFonts w:ascii="KFGQPC Uthmanic Script HAFS" w:cs="KFGQPC Uthmanic Script HAFS" w:hint="eastAsia"/>
          <w:sz w:val="28"/>
          <w:szCs w:val="28"/>
          <w:rtl/>
          <w:lang w:bidi="fa-IR"/>
        </w:rPr>
        <w:t>إِلَّا</w:t>
      </w:r>
      <w:r w:rsidR="006633B5" w:rsidRPr="0067048A">
        <w:rPr>
          <w:rFonts w:ascii="KFGQPC Uthmanic Script HAFS" w:cs="KFGQPC Uthmanic Script HAFS"/>
          <w:sz w:val="28"/>
          <w:szCs w:val="28"/>
          <w:rtl/>
          <w:lang w:bidi="fa-IR"/>
        </w:rPr>
        <w:t xml:space="preserve"> </w:t>
      </w:r>
      <w:r w:rsidR="006633B5" w:rsidRPr="0067048A">
        <w:rPr>
          <w:rFonts w:ascii="KFGQPC Uthmanic Script HAFS" w:cs="KFGQPC Uthmanic Script HAFS" w:hint="cs"/>
          <w:sz w:val="28"/>
          <w:szCs w:val="28"/>
          <w:rtl/>
          <w:lang w:bidi="fa-IR"/>
        </w:rPr>
        <w:t>ٱ</w:t>
      </w:r>
      <w:r w:rsidR="006633B5" w:rsidRPr="0067048A">
        <w:rPr>
          <w:rFonts w:ascii="KFGQPC Uthmanic Script HAFS" w:cs="KFGQPC Uthmanic Script HAFS" w:hint="eastAsia"/>
          <w:sz w:val="28"/>
          <w:szCs w:val="28"/>
          <w:rtl/>
          <w:lang w:bidi="fa-IR"/>
        </w:rPr>
        <w:t>لنَّارَ</w:t>
      </w:r>
      <w:r w:rsidR="006633B5" w:rsidRPr="0067048A">
        <w:rPr>
          <w:rFonts w:ascii="KFGQPC Uthmanic Script HAFS" w:cs="KFGQPC Uthmanic Script HAFS"/>
          <w:sz w:val="28"/>
          <w:szCs w:val="28"/>
          <w:rtl/>
          <w:lang w:bidi="fa-IR"/>
        </w:rPr>
        <w:t xml:space="preserve"> </w:t>
      </w:r>
      <w:r w:rsidR="006633B5" w:rsidRPr="0067048A">
        <w:rPr>
          <w:rFonts w:ascii="KFGQPC Uthmanic Script HAFS" w:cs="KFGQPC Uthmanic Script HAFS" w:hint="eastAsia"/>
          <w:sz w:val="28"/>
          <w:szCs w:val="28"/>
          <w:rtl/>
          <w:lang w:bidi="fa-IR"/>
        </w:rPr>
        <w:t>وَلَا</w:t>
      </w:r>
      <w:r w:rsidR="006633B5" w:rsidRPr="0067048A">
        <w:rPr>
          <w:rFonts w:ascii="KFGQPC Uthmanic Script HAFS" w:cs="KFGQPC Uthmanic Script HAFS"/>
          <w:sz w:val="28"/>
          <w:szCs w:val="28"/>
          <w:rtl/>
          <w:lang w:bidi="fa-IR"/>
        </w:rPr>
        <w:t xml:space="preserve"> </w:t>
      </w:r>
      <w:r w:rsidR="006633B5" w:rsidRPr="0067048A">
        <w:rPr>
          <w:rFonts w:ascii="KFGQPC Uthmanic Script HAFS" w:cs="KFGQPC Uthmanic Script HAFS" w:hint="eastAsia"/>
          <w:sz w:val="28"/>
          <w:szCs w:val="28"/>
          <w:rtl/>
          <w:lang w:bidi="fa-IR"/>
        </w:rPr>
        <w:t>يُكَلِّمُهُمُ</w:t>
      </w:r>
      <w:r w:rsidR="006633B5" w:rsidRPr="0067048A">
        <w:rPr>
          <w:rFonts w:ascii="KFGQPC Uthmanic Script HAFS" w:cs="KFGQPC Uthmanic Script HAFS"/>
          <w:sz w:val="28"/>
          <w:szCs w:val="28"/>
          <w:rtl/>
          <w:lang w:bidi="fa-IR"/>
        </w:rPr>
        <w:t xml:space="preserve"> </w:t>
      </w:r>
      <w:r w:rsidR="006633B5" w:rsidRPr="0067048A">
        <w:rPr>
          <w:rFonts w:ascii="KFGQPC Uthmanic Script HAFS" w:cs="KFGQPC Uthmanic Script HAFS" w:hint="cs"/>
          <w:sz w:val="28"/>
          <w:szCs w:val="28"/>
          <w:rtl/>
          <w:lang w:bidi="fa-IR"/>
        </w:rPr>
        <w:t>ٱ</w:t>
      </w:r>
      <w:r w:rsidR="006633B5" w:rsidRPr="0067048A">
        <w:rPr>
          <w:rFonts w:ascii="KFGQPC Uthmanic Script HAFS" w:cs="KFGQPC Uthmanic Script HAFS" w:hint="eastAsia"/>
          <w:sz w:val="28"/>
          <w:szCs w:val="28"/>
          <w:rtl/>
          <w:lang w:bidi="fa-IR"/>
        </w:rPr>
        <w:t>للَّهُ</w:t>
      </w:r>
      <w:r w:rsidR="006633B5" w:rsidRPr="0067048A">
        <w:rPr>
          <w:rFonts w:ascii="KFGQPC Uthmanic Script HAFS" w:cs="KFGQPC Uthmanic Script HAFS"/>
          <w:sz w:val="28"/>
          <w:szCs w:val="28"/>
          <w:rtl/>
          <w:lang w:bidi="fa-IR"/>
        </w:rPr>
        <w:t xml:space="preserve"> </w:t>
      </w:r>
      <w:r w:rsidR="006633B5" w:rsidRPr="0067048A">
        <w:rPr>
          <w:rFonts w:ascii="KFGQPC Uthmanic Script HAFS" w:cs="KFGQPC Uthmanic Script HAFS" w:hint="eastAsia"/>
          <w:sz w:val="28"/>
          <w:szCs w:val="28"/>
          <w:rtl/>
          <w:lang w:bidi="fa-IR"/>
        </w:rPr>
        <w:t>يَو</w:t>
      </w:r>
      <w:r w:rsidR="006633B5" w:rsidRPr="0067048A">
        <w:rPr>
          <w:rFonts w:ascii="KFGQPC Uthmanic Script HAFS" w:cs="KFGQPC Uthmanic Script HAFS" w:hint="cs"/>
          <w:sz w:val="28"/>
          <w:szCs w:val="28"/>
          <w:rtl/>
          <w:lang w:bidi="fa-IR"/>
        </w:rPr>
        <w:t>ۡ</w:t>
      </w:r>
      <w:r w:rsidR="006633B5" w:rsidRPr="0067048A">
        <w:rPr>
          <w:rFonts w:ascii="KFGQPC Uthmanic Script HAFS" w:cs="KFGQPC Uthmanic Script HAFS" w:hint="eastAsia"/>
          <w:sz w:val="28"/>
          <w:szCs w:val="28"/>
          <w:rtl/>
          <w:lang w:bidi="fa-IR"/>
        </w:rPr>
        <w:t>مَ</w:t>
      </w:r>
      <w:r w:rsidR="006633B5" w:rsidRPr="0067048A">
        <w:rPr>
          <w:rFonts w:ascii="KFGQPC Uthmanic Script HAFS" w:cs="KFGQPC Uthmanic Script HAFS"/>
          <w:sz w:val="28"/>
          <w:szCs w:val="28"/>
          <w:rtl/>
          <w:lang w:bidi="fa-IR"/>
        </w:rPr>
        <w:t xml:space="preserve"> </w:t>
      </w:r>
      <w:r w:rsidR="006633B5" w:rsidRPr="0067048A">
        <w:rPr>
          <w:rFonts w:ascii="KFGQPC Uthmanic Script HAFS" w:cs="KFGQPC Uthmanic Script HAFS" w:hint="cs"/>
          <w:sz w:val="28"/>
          <w:szCs w:val="28"/>
          <w:rtl/>
          <w:lang w:bidi="fa-IR"/>
        </w:rPr>
        <w:t>ٱ</w:t>
      </w:r>
      <w:r w:rsidR="006633B5" w:rsidRPr="0067048A">
        <w:rPr>
          <w:rFonts w:ascii="KFGQPC Uthmanic Script HAFS" w:cs="KFGQPC Uthmanic Script HAFS" w:hint="eastAsia"/>
          <w:sz w:val="28"/>
          <w:szCs w:val="28"/>
          <w:rtl/>
          <w:lang w:bidi="fa-IR"/>
        </w:rPr>
        <w:t>ل</w:t>
      </w:r>
      <w:r w:rsidR="006633B5" w:rsidRPr="0067048A">
        <w:rPr>
          <w:rFonts w:ascii="KFGQPC Uthmanic Script HAFS" w:cs="KFGQPC Uthmanic Script HAFS" w:hint="cs"/>
          <w:sz w:val="28"/>
          <w:szCs w:val="28"/>
          <w:rtl/>
          <w:lang w:bidi="fa-IR"/>
        </w:rPr>
        <w:t>ۡ</w:t>
      </w:r>
      <w:r w:rsidR="006633B5" w:rsidRPr="0067048A">
        <w:rPr>
          <w:rFonts w:ascii="KFGQPC Uthmanic Script HAFS" w:cs="KFGQPC Uthmanic Script HAFS" w:hint="eastAsia"/>
          <w:sz w:val="28"/>
          <w:szCs w:val="28"/>
          <w:rtl/>
          <w:lang w:bidi="fa-IR"/>
        </w:rPr>
        <w:t>قِيَ</w:t>
      </w:r>
      <w:r w:rsidR="006633B5" w:rsidRPr="0067048A">
        <w:rPr>
          <w:rFonts w:ascii="KFGQPC Uthmanic Script HAFS" w:cs="KFGQPC Uthmanic Script HAFS" w:hint="cs"/>
          <w:sz w:val="28"/>
          <w:szCs w:val="28"/>
          <w:rtl/>
          <w:lang w:bidi="fa-IR"/>
        </w:rPr>
        <w:t>ٰ</w:t>
      </w:r>
      <w:r w:rsidR="006633B5" w:rsidRPr="0067048A">
        <w:rPr>
          <w:rFonts w:ascii="KFGQPC Uthmanic Script HAFS" w:cs="KFGQPC Uthmanic Script HAFS" w:hint="eastAsia"/>
          <w:sz w:val="28"/>
          <w:szCs w:val="28"/>
          <w:rtl/>
          <w:lang w:bidi="fa-IR"/>
        </w:rPr>
        <w:t>مَةِ</w:t>
      </w:r>
      <w:r w:rsidR="006633B5" w:rsidRPr="0067048A">
        <w:rPr>
          <w:rFonts w:ascii="KFGQPC Uthmanic Script HAFS" w:cs="KFGQPC Uthmanic Script HAFS"/>
          <w:sz w:val="28"/>
          <w:szCs w:val="28"/>
          <w:rtl/>
          <w:lang w:bidi="fa-IR"/>
        </w:rPr>
        <w:t xml:space="preserve"> </w:t>
      </w:r>
      <w:r w:rsidR="006633B5" w:rsidRPr="0067048A">
        <w:rPr>
          <w:rFonts w:ascii="KFGQPC Uthmanic Script HAFS" w:cs="KFGQPC Uthmanic Script HAFS" w:hint="eastAsia"/>
          <w:sz w:val="28"/>
          <w:szCs w:val="28"/>
          <w:rtl/>
          <w:lang w:bidi="fa-IR"/>
        </w:rPr>
        <w:t>وَلَا</w:t>
      </w:r>
      <w:r w:rsidR="006633B5" w:rsidRPr="0067048A">
        <w:rPr>
          <w:rFonts w:ascii="KFGQPC Uthmanic Script HAFS" w:cs="KFGQPC Uthmanic Script HAFS"/>
          <w:sz w:val="28"/>
          <w:szCs w:val="28"/>
          <w:rtl/>
          <w:lang w:bidi="fa-IR"/>
        </w:rPr>
        <w:t xml:space="preserve"> </w:t>
      </w:r>
      <w:r w:rsidR="006633B5" w:rsidRPr="0067048A">
        <w:rPr>
          <w:rFonts w:ascii="KFGQPC Uthmanic Script HAFS" w:cs="KFGQPC Uthmanic Script HAFS" w:hint="eastAsia"/>
          <w:sz w:val="28"/>
          <w:szCs w:val="28"/>
          <w:rtl/>
          <w:lang w:bidi="fa-IR"/>
        </w:rPr>
        <w:t>يُزَكِّيهِم</w:t>
      </w:r>
      <w:r w:rsidR="006633B5" w:rsidRPr="0067048A">
        <w:rPr>
          <w:rFonts w:ascii="KFGQPC Uthmanic Script HAFS" w:cs="KFGQPC Uthmanic Script HAFS" w:hint="cs"/>
          <w:sz w:val="28"/>
          <w:szCs w:val="28"/>
          <w:rtl/>
          <w:lang w:bidi="fa-IR"/>
        </w:rPr>
        <w:t>ۡ</w:t>
      </w:r>
      <w:r w:rsidR="006633B5" w:rsidRPr="0067048A">
        <w:rPr>
          <w:rFonts w:ascii="KFGQPC Uthmanic Script HAFS" w:cs="KFGQPC Uthmanic Script HAFS"/>
          <w:sz w:val="28"/>
          <w:szCs w:val="28"/>
          <w:rtl/>
          <w:lang w:bidi="fa-IR"/>
        </w:rPr>
        <w:t xml:space="preserve"> </w:t>
      </w:r>
      <w:r w:rsidR="006633B5" w:rsidRPr="0067048A">
        <w:rPr>
          <w:rFonts w:ascii="KFGQPC Uthmanic Script HAFS" w:cs="KFGQPC Uthmanic Script HAFS" w:hint="eastAsia"/>
          <w:sz w:val="28"/>
          <w:szCs w:val="28"/>
          <w:rtl/>
          <w:lang w:bidi="fa-IR"/>
        </w:rPr>
        <w:t>وَلَهُم</w:t>
      </w:r>
      <w:r w:rsidR="006633B5" w:rsidRPr="0067048A">
        <w:rPr>
          <w:rFonts w:ascii="KFGQPC Uthmanic Script HAFS" w:cs="KFGQPC Uthmanic Script HAFS" w:hint="cs"/>
          <w:sz w:val="28"/>
          <w:szCs w:val="28"/>
          <w:rtl/>
          <w:lang w:bidi="fa-IR"/>
        </w:rPr>
        <w:t>ۡ</w:t>
      </w:r>
      <w:r w:rsidR="006633B5" w:rsidRPr="0067048A">
        <w:rPr>
          <w:rFonts w:ascii="KFGQPC Uthmanic Script HAFS" w:cs="KFGQPC Uthmanic Script HAFS"/>
          <w:sz w:val="28"/>
          <w:szCs w:val="28"/>
          <w:rtl/>
          <w:lang w:bidi="fa-IR"/>
        </w:rPr>
        <w:t xml:space="preserve"> </w:t>
      </w:r>
      <w:r w:rsidR="006633B5" w:rsidRPr="0067048A">
        <w:rPr>
          <w:rFonts w:ascii="KFGQPC Uthmanic Script HAFS" w:cs="KFGQPC Uthmanic Script HAFS" w:hint="eastAsia"/>
          <w:sz w:val="28"/>
          <w:szCs w:val="28"/>
          <w:rtl/>
          <w:lang w:bidi="fa-IR"/>
        </w:rPr>
        <w:t>عَذَابٌ</w:t>
      </w:r>
      <w:r w:rsidR="006633B5" w:rsidRPr="0067048A">
        <w:rPr>
          <w:rFonts w:ascii="KFGQPC Uthmanic Script HAFS" w:cs="KFGQPC Uthmanic Script HAFS"/>
          <w:sz w:val="28"/>
          <w:szCs w:val="28"/>
          <w:rtl/>
          <w:lang w:bidi="fa-IR"/>
        </w:rPr>
        <w:t xml:space="preserve"> </w:t>
      </w:r>
      <w:r w:rsidR="006633B5" w:rsidRPr="0067048A">
        <w:rPr>
          <w:rFonts w:ascii="KFGQPC Uthmanic Script HAFS" w:cs="KFGQPC Uthmanic Script HAFS" w:hint="eastAsia"/>
          <w:sz w:val="28"/>
          <w:szCs w:val="28"/>
          <w:rtl/>
          <w:lang w:bidi="fa-IR"/>
        </w:rPr>
        <w:t>أَلِيمٌ</w:t>
      </w:r>
      <w:r w:rsidR="006633B5" w:rsidRPr="0067048A">
        <w:rPr>
          <w:rFonts w:ascii="KFGQPC Uthmanic Script HAFS" w:cs="KFGQPC Uthmanic Script HAFS"/>
          <w:sz w:val="28"/>
          <w:szCs w:val="28"/>
          <w:rtl/>
          <w:lang w:bidi="fa-IR"/>
        </w:rPr>
        <w:t xml:space="preserve"> </w:t>
      </w:r>
      <w:r w:rsidR="006633B5" w:rsidRPr="0067048A">
        <w:rPr>
          <w:rFonts w:ascii="KFGQPC Uthmanic Script HAFS" w:cs="KFGQPC Uthmanic Script HAFS" w:hint="cs"/>
          <w:sz w:val="28"/>
          <w:szCs w:val="28"/>
          <w:rtl/>
          <w:lang w:bidi="fa-IR"/>
        </w:rPr>
        <w:t>١٧٤</w:t>
      </w:r>
      <w:r w:rsidR="006633B5" w:rsidRPr="0067048A">
        <w:rPr>
          <w:rFonts w:ascii="KFGQPC Uthmanic Script HAFS" w:cs="KFGQPC Uthmanic Script HAFS"/>
          <w:sz w:val="28"/>
          <w:szCs w:val="28"/>
          <w:rtl/>
          <w:lang w:bidi="fa-IR"/>
        </w:rPr>
        <w:t xml:space="preserve"> </w:t>
      </w:r>
      <w:r w:rsidR="006633B5" w:rsidRPr="0067048A">
        <w:rPr>
          <w:rFonts w:ascii="KFGQPC Uthmanic Script HAFS" w:cs="KFGQPC Uthmanic Script HAFS" w:hint="eastAsia"/>
          <w:sz w:val="28"/>
          <w:szCs w:val="28"/>
          <w:rtl/>
          <w:lang w:bidi="fa-IR"/>
        </w:rPr>
        <w:t>أُوْلَ</w:t>
      </w:r>
      <w:r w:rsidR="006633B5" w:rsidRPr="0067048A">
        <w:rPr>
          <w:rFonts w:ascii="KFGQPC Uthmanic Script HAFS" w:cs="KFGQPC Uthmanic Script HAFS" w:hint="cs"/>
          <w:sz w:val="28"/>
          <w:szCs w:val="28"/>
          <w:rtl/>
          <w:lang w:bidi="fa-IR"/>
        </w:rPr>
        <w:t>ٰٓ</w:t>
      </w:r>
      <w:r w:rsidR="006633B5" w:rsidRPr="0067048A">
        <w:rPr>
          <w:rFonts w:ascii="KFGQPC Uthmanic Script HAFS" w:cs="KFGQPC Uthmanic Script HAFS" w:hint="eastAsia"/>
          <w:sz w:val="28"/>
          <w:szCs w:val="28"/>
          <w:rtl/>
          <w:lang w:bidi="fa-IR"/>
        </w:rPr>
        <w:t>ئِكَ</w:t>
      </w:r>
      <w:r w:rsidR="006633B5" w:rsidRPr="0067048A">
        <w:rPr>
          <w:rFonts w:ascii="KFGQPC Uthmanic Script HAFS" w:cs="KFGQPC Uthmanic Script HAFS"/>
          <w:sz w:val="28"/>
          <w:szCs w:val="28"/>
          <w:rtl/>
          <w:lang w:bidi="fa-IR"/>
        </w:rPr>
        <w:t xml:space="preserve"> </w:t>
      </w:r>
      <w:r w:rsidR="006633B5" w:rsidRPr="0067048A">
        <w:rPr>
          <w:rFonts w:ascii="KFGQPC Uthmanic Script HAFS" w:cs="KFGQPC Uthmanic Script HAFS" w:hint="cs"/>
          <w:sz w:val="28"/>
          <w:szCs w:val="28"/>
          <w:rtl/>
          <w:lang w:bidi="fa-IR"/>
        </w:rPr>
        <w:t>ٱ</w:t>
      </w:r>
      <w:r w:rsidR="006633B5" w:rsidRPr="0067048A">
        <w:rPr>
          <w:rFonts w:ascii="KFGQPC Uthmanic Script HAFS" w:cs="KFGQPC Uthmanic Script HAFS" w:hint="eastAsia"/>
          <w:sz w:val="28"/>
          <w:szCs w:val="28"/>
          <w:rtl/>
          <w:lang w:bidi="fa-IR"/>
        </w:rPr>
        <w:t>لَّذِينَ</w:t>
      </w:r>
      <w:r w:rsidR="006633B5" w:rsidRPr="0067048A">
        <w:rPr>
          <w:rFonts w:ascii="KFGQPC Uthmanic Script HAFS" w:cs="KFGQPC Uthmanic Script HAFS"/>
          <w:sz w:val="28"/>
          <w:szCs w:val="28"/>
          <w:rtl/>
          <w:lang w:bidi="fa-IR"/>
        </w:rPr>
        <w:t xml:space="preserve"> </w:t>
      </w:r>
      <w:r w:rsidR="006633B5" w:rsidRPr="0067048A">
        <w:rPr>
          <w:rFonts w:ascii="KFGQPC Uthmanic Script HAFS" w:cs="KFGQPC Uthmanic Script HAFS" w:hint="cs"/>
          <w:sz w:val="28"/>
          <w:szCs w:val="28"/>
          <w:rtl/>
          <w:lang w:bidi="fa-IR"/>
        </w:rPr>
        <w:t>ٱ</w:t>
      </w:r>
      <w:r w:rsidR="006633B5" w:rsidRPr="0067048A">
        <w:rPr>
          <w:rFonts w:ascii="KFGQPC Uthmanic Script HAFS" w:cs="KFGQPC Uthmanic Script HAFS" w:hint="eastAsia"/>
          <w:sz w:val="28"/>
          <w:szCs w:val="28"/>
          <w:rtl/>
          <w:lang w:bidi="fa-IR"/>
        </w:rPr>
        <w:t>ش</w:t>
      </w:r>
      <w:r w:rsidR="006633B5" w:rsidRPr="0067048A">
        <w:rPr>
          <w:rFonts w:ascii="KFGQPC Uthmanic Script HAFS" w:cs="KFGQPC Uthmanic Script HAFS" w:hint="cs"/>
          <w:sz w:val="28"/>
          <w:szCs w:val="28"/>
          <w:rtl/>
          <w:lang w:bidi="fa-IR"/>
        </w:rPr>
        <w:t>ۡ</w:t>
      </w:r>
      <w:r w:rsidR="006633B5" w:rsidRPr="0067048A">
        <w:rPr>
          <w:rFonts w:ascii="KFGQPC Uthmanic Script HAFS" w:cs="KFGQPC Uthmanic Script HAFS" w:hint="eastAsia"/>
          <w:sz w:val="28"/>
          <w:szCs w:val="28"/>
          <w:rtl/>
          <w:lang w:bidi="fa-IR"/>
        </w:rPr>
        <w:t>تَرَوُاْ</w:t>
      </w:r>
      <w:r w:rsidR="006633B5" w:rsidRPr="0067048A">
        <w:rPr>
          <w:rFonts w:ascii="KFGQPC Uthmanic Script HAFS" w:cs="KFGQPC Uthmanic Script HAFS"/>
          <w:sz w:val="28"/>
          <w:szCs w:val="28"/>
          <w:rtl/>
          <w:lang w:bidi="fa-IR"/>
        </w:rPr>
        <w:t xml:space="preserve"> </w:t>
      </w:r>
      <w:r w:rsidR="006633B5" w:rsidRPr="0067048A">
        <w:rPr>
          <w:rFonts w:ascii="KFGQPC Uthmanic Script HAFS" w:cs="KFGQPC Uthmanic Script HAFS" w:hint="cs"/>
          <w:sz w:val="28"/>
          <w:szCs w:val="28"/>
          <w:rtl/>
          <w:lang w:bidi="fa-IR"/>
        </w:rPr>
        <w:t>ٱ</w:t>
      </w:r>
      <w:r w:rsidR="006633B5" w:rsidRPr="0067048A">
        <w:rPr>
          <w:rFonts w:ascii="KFGQPC Uthmanic Script HAFS" w:cs="KFGQPC Uthmanic Script HAFS" w:hint="eastAsia"/>
          <w:sz w:val="28"/>
          <w:szCs w:val="28"/>
          <w:rtl/>
          <w:lang w:bidi="fa-IR"/>
        </w:rPr>
        <w:t>لضَّلَ</w:t>
      </w:r>
      <w:r w:rsidR="006633B5" w:rsidRPr="0067048A">
        <w:rPr>
          <w:rFonts w:ascii="KFGQPC Uthmanic Script HAFS" w:cs="KFGQPC Uthmanic Script HAFS" w:hint="cs"/>
          <w:sz w:val="28"/>
          <w:szCs w:val="28"/>
          <w:rtl/>
          <w:lang w:bidi="fa-IR"/>
        </w:rPr>
        <w:t>ٰ</w:t>
      </w:r>
      <w:r w:rsidR="006633B5" w:rsidRPr="0067048A">
        <w:rPr>
          <w:rFonts w:ascii="KFGQPC Uthmanic Script HAFS" w:cs="KFGQPC Uthmanic Script HAFS" w:hint="eastAsia"/>
          <w:sz w:val="28"/>
          <w:szCs w:val="28"/>
          <w:rtl/>
          <w:lang w:bidi="fa-IR"/>
        </w:rPr>
        <w:t>لَةَ</w:t>
      </w:r>
      <w:r w:rsidR="006633B5" w:rsidRPr="0067048A">
        <w:rPr>
          <w:rFonts w:ascii="KFGQPC Uthmanic Script HAFS" w:cs="KFGQPC Uthmanic Script HAFS"/>
          <w:sz w:val="28"/>
          <w:szCs w:val="28"/>
          <w:rtl/>
          <w:lang w:bidi="fa-IR"/>
        </w:rPr>
        <w:t xml:space="preserve"> </w:t>
      </w:r>
      <w:r w:rsidR="006633B5" w:rsidRPr="0067048A">
        <w:rPr>
          <w:rFonts w:ascii="KFGQPC Uthmanic Script HAFS" w:cs="KFGQPC Uthmanic Script HAFS" w:hint="eastAsia"/>
          <w:sz w:val="28"/>
          <w:szCs w:val="28"/>
          <w:rtl/>
          <w:lang w:bidi="fa-IR"/>
        </w:rPr>
        <w:t>بِ</w:t>
      </w:r>
      <w:r w:rsidR="006633B5" w:rsidRPr="0067048A">
        <w:rPr>
          <w:rFonts w:ascii="KFGQPC Uthmanic Script HAFS" w:cs="KFGQPC Uthmanic Script HAFS" w:hint="cs"/>
          <w:sz w:val="28"/>
          <w:szCs w:val="28"/>
          <w:rtl/>
          <w:lang w:bidi="fa-IR"/>
        </w:rPr>
        <w:t>ٱ</w:t>
      </w:r>
      <w:r w:rsidR="006633B5" w:rsidRPr="0067048A">
        <w:rPr>
          <w:rFonts w:ascii="KFGQPC Uthmanic Script HAFS" w:cs="KFGQPC Uthmanic Script HAFS" w:hint="eastAsia"/>
          <w:sz w:val="28"/>
          <w:szCs w:val="28"/>
          <w:rtl/>
          <w:lang w:bidi="fa-IR"/>
        </w:rPr>
        <w:t>ل</w:t>
      </w:r>
      <w:r w:rsidR="006633B5" w:rsidRPr="0067048A">
        <w:rPr>
          <w:rFonts w:ascii="KFGQPC Uthmanic Script HAFS" w:cs="KFGQPC Uthmanic Script HAFS" w:hint="cs"/>
          <w:sz w:val="28"/>
          <w:szCs w:val="28"/>
          <w:rtl/>
          <w:lang w:bidi="fa-IR"/>
        </w:rPr>
        <w:t>ۡ</w:t>
      </w:r>
      <w:r w:rsidR="006633B5" w:rsidRPr="0067048A">
        <w:rPr>
          <w:rFonts w:ascii="KFGQPC Uthmanic Script HAFS" w:cs="KFGQPC Uthmanic Script HAFS" w:hint="eastAsia"/>
          <w:sz w:val="28"/>
          <w:szCs w:val="28"/>
          <w:rtl/>
          <w:lang w:bidi="fa-IR"/>
        </w:rPr>
        <w:t>هُدَى</w:t>
      </w:r>
      <w:r w:rsidR="006633B5" w:rsidRPr="0067048A">
        <w:rPr>
          <w:rFonts w:ascii="KFGQPC Uthmanic Script HAFS" w:cs="KFGQPC Uthmanic Script HAFS" w:hint="cs"/>
          <w:sz w:val="28"/>
          <w:szCs w:val="28"/>
          <w:rtl/>
          <w:lang w:bidi="fa-IR"/>
        </w:rPr>
        <w:t>ٰ</w:t>
      </w:r>
      <w:r w:rsidR="006633B5" w:rsidRPr="0067048A">
        <w:rPr>
          <w:rFonts w:ascii="KFGQPC Uthmanic Script HAFS" w:cs="KFGQPC Uthmanic Script HAFS"/>
          <w:sz w:val="28"/>
          <w:szCs w:val="28"/>
          <w:rtl/>
          <w:lang w:bidi="fa-IR"/>
        </w:rPr>
        <w:t xml:space="preserve"> </w:t>
      </w:r>
      <w:r w:rsidR="006633B5" w:rsidRPr="0067048A">
        <w:rPr>
          <w:rFonts w:ascii="KFGQPC Uthmanic Script HAFS" w:cs="KFGQPC Uthmanic Script HAFS" w:hint="eastAsia"/>
          <w:sz w:val="28"/>
          <w:szCs w:val="28"/>
          <w:rtl/>
          <w:lang w:bidi="fa-IR"/>
        </w:rPr>
        <w:t>وَ</w:t>
      </w:r>
      <w:r w:rsidR="006633B5" w:rsidRPr="0067048A">
        <w:rPr>
          <w:rFonts w:ascii="KFGQPC Uthmanic Script HAFS" w:cs="KFGQPC Uthmanic Script HAFS" w:hint="cs"/>
          <w:sz w:val="28"/>
          <w:szCs w:val="28"/>
          <w:rtl/>
          <w:lang w:bidi="fa-IR"/>
        </w:rPr>
        <w:t>ٱ</w:t>
      </w:r>
      <w:r w:rsidR="006633B5" w:rsidRPr="0067048A">
        <w:rPr>
          <w:rFonts w:ascii="KFGQPC Uthmanic Script HAFS" w:cs="KFGQPC Uthmanic Script HAFS" w:hint="eastAsia"/>
          <w:sz w:val="28"/>
          <w:szCs w:val="28"/>
          <w:rtl/>
          <w:lang w:bidi="fa-IR"/>
        </w:rPr>
        <w:t>ل</w:t>
      </w:r>
      <w:r w:rsidR="006633B5" w:rsidRPr="0067048A">
        <w:rPr>
          <w:rFonts w:ascii="KFGQPC Uthmanic Script HAFS" w:cs="KFGQPC Uthmanic Script HAFS" w:hint="cs"/>
          <w:sz w:val="28"/>
          <w:szCs w:val="28"/>
          <w:rtl/>
          <w:lang w:bidi="fa-IR"/>
        </w:rPr>
        <w:t>ۡ</w:t>
      </w:r>
      <w:r w:rsidR="006633B5" w:rsidRPr="0067048A">
        <w:rPr>
          <w:rFonts w:ascii="KFGQPC Uthmanic Script HAFS" w:cs="KFGQPC Uthmanic Script HAFS" w:hint="eastAsia"/>
          <w:sz w:val="28"/>
          <w:szCs w:val="28"/>
          <w:rtl/>
          <w:lang w:bidi="fa-IR"/>
        </w:rPr>
        <w:t>عَذَابَ</w:t>
      </w:r>
      <w:r w:rsidR="006633B5" w:rsidRPr="0067048A">
        <w:rPr>
          <w:rFonts w:ascii="KFGQPC Uthmanic Script HAFS" w:cs="KFGQPC Uthmanic Script HAFS"/>
          <w:sz w:val="28"/>
          <w:szCs w:val="28"/>
          <w:rtl/>
          <w:lang w:bidi="fa-IR"/>
        </w:rPr>
        <w:t xml:space="preserve"> </w:t>
      </w:r>
      <w:r w:rsidR="006633B5" w:rsidRPr="0067048A">
        <w:rPr>
          <w:rFonts w:ascii="KFGQPC Uthmanic Script HAFS" w:cs="KFGQPC Uthmanic Script HAFS" w:hint="eastAsia"/>
          <w:sz w:val="28"/>
          <w:szCs w:val="28"/>
          <w:rtl/>
          <w:lang w:bidi="fa-IR"/>
        </w:rPr>
        <w:t>بِ</w:t>
      </w:r>
      <w:r w:rsidR="006633B5" w:rsidRPr="0067048A">
        <w:rPr>
          <w:rFonts w:ascii="KFGQPC Uthmanic Script HAFS" w:cs="KFGQPC Uthmanic Script HAFS" w:hint="cs"/>
          <w:sz w:val="28"/>
          <w:szCs w:val="28"/>
          <w:rtl/>
          <w:lang w:bidi="fa-IR"/>
        </w:rPr>
        <w:t>ٱ</w:t>
      </w:r>
      <w:r w:rsidR="006633B5" w:rsidRPr="0067048A">
        <w:rPr>
          <w:rFonts w:ascii="KFGQPC Uthmanic Script HAFS" w:cs="KFGQPC Uthmanic Script HAFS" w:hint="eastAsia"/>
          <w:sz w:val="28"/>
          <w:szCs w:val="28"/>
          <w:rtl/>
          <w:lang w:bidi="fa-IR"/>
        </w:rPr>
        <w:t>ل</w:t>
      </w:r>
      <w:r w:rsidR="006633B5" w:rsidRPr="0067048A">
        <w:rPr>
          <w:rFonts w:ascii="KFGQPC Uthmanic Script HAFS" w:cs="KFGQPC Uthmanic Script HAFS" w:hint="cs"/>
          <w:sz w:val="28"/>
          <w:szCs w:val="28"/>
          <w:rtl/>
          <w:lang w:bidi="fa-IR"/>
        </w:rPr>
        <w:t>ۡ</w:t>
      </w:r>
      <w:r w:rsidR="006633B5" w:rsidRPr="0067048A">
        <w:rPr>
          <w:rFonts w:ascii="KFGQPC Uthmanic Script HAFS" w:cs="KFGQPC Uthmanic Script HAFS" w:hint="eastAsia"/>
          <w:sz w:val="28"/>
          <w:szCs w:val="28"/>
          <w:rtl/>
          <w:lang w:bidi="fa-IR"/>
        </w:rPr>
        <w:t>مَغ</w:t>
      </w:r>
      <w:r w:rsidR="006633B5" w:rsidRPr="0067048A">
        <w:rPr>
          <w:rFonts w:ascii="KFGQPC Uthmanic Script HAFS" w:cs="KFGQPC Uthmanic Script HAFS" w:hint="cs"/>
          <w:sz w:val="28"/>
          <w:szCs w:val="28"/>
          <w:rtl/>
          <w:lang w:bidi="fa-IR"/>
        </w:rPr>
        <w:t>ۡ</w:t>
      </w:r>
      <w:r w:rsidR="006633B5" w:rsidRPr="0067048A">
        <w:rPr>
          <w:rFonts w:ascii="KFGQPC Uthmanic Script HAFS" w:cs="KFGQPC Uthmanic Script HAFS" w:hint="eastAsia"/>
          <w:sz w:val="28"/>
          <w:szCs w:val="28"/>
          <w:rtl/>
          <w:lang w:bidi="fa-IR"/>
        </w:rPr>
        <w:t>فِرَةِ</w:t>
      </w:r>
      <w:r w:rsidR="006633B5" w:rsidRPr="0067048A">
        <w:rPr>
          <w:rFonts w:ascii="KFGQPC Uthmanic Script HAFS" w:cs="KFGQPC Uthmanic Script HAFS" w:hint="cs"/>
          <w:sz w:val="28"/>
          <w:szCs w:val="28"/>
          <w:rtl/>
          <w:lang w:bidi="fa-IR"/>
        </w:rPr>
        <w:t>ۚ</w:t>
      </w:r>
      <w:r w:rsidR="006633B5" w:rsidRPr="0067048A">
        <w:rPr>
          <w:rFonts w:ascii="KFGQPC Uthmanic Script HAFS" w:cs="KFGQPC Uthmanic Script HAFS"/>
          <w:sz w:val="28"/>
          <w:szCs w:val="28"/>
          <w:rtl/>
          <w:lang w:bidi="fa-IR"/>
        </w:rPr>
        <w:t xml:space="preserve"> </w:t>
      </w:r>
      <w:r w:rsidR="006633B5" w:rsidRPr="0067048A">
        <w:rPr>
          <w:rFonts w:ascii="KFGQPC Uthmanic Script HAFS" w:cs="KFGQPC Uthmanic Script HAFS" w:hint="eastAsia"/>
          <w:sz w:val="28"/>
          <w:szCs w:val="28"/>
          <w:rtl/>
          <w:lang w:bidi="fa-IR"/>
        </w:rPr>
        <w:t>فَمَا</w:t>
      </w:r>
      <w:r w:rsidR="006633B5" w:rsidRPr="0067048A">
        <w:rPr>
          <w:rFonts w:ascii="KFGQPC Uthmanic Script HAFS" w:cs="KFGQPC Uthmanic Script HAFS" w:hint="cs"/>
          <w:sz w:val="28"/>
          <w:szCs w:val="28"/>
          <w:rtl/>
          <w:lang w:bidi="fa-IR"/>
        </w:rPr>
        <w:t>ٓ</w:t>
      </w:r>
      <w:r w:rsidR="006633B5" w:rsidRPr="0067048A">
        <w:rPr>
          <w:rFonts w:ascii="KFGQPC Uthmanic Script HAFS" w:cs="KFGQPC Uthmanic Script HAFS"/>
          <w:sz w:val="28"/>
          <w:szCs w:val="28"/>
          <w:rtl/>
          <w:lang w:bidi="fa-IR"/>
        </w:rPr>
        <w:t xml:space="preserve"> </w:t>
      </w:r>
      <w:r w:rsidR="006633B5" w:rsidRPr="0067048A">
        <w:rPr>
          <w:rFonts w:ascii="KFGQPC Uthmanic Script HAFS" w:cs="KFGQPC Uthmanic Script HAFS" w:hint="eastAsia"/>
          <w:sz w:val="28"/>
          <w:szCs w:val="28"/>
          <w:rtl/>
          <w:lang w:bidi="fa-IR"/>
        </w:rPr>
        <w:t>أَص</w:t>
      </w:r>
      <w:r w:rsidR="006633B5" w:rsidRPr="0067048A">
        <w:rPr>
          <w:rFonts w:ascii="KFGQPC Uthmanic Script HAFS" w:cs="KFGQPC Uthmanic Script HAFS" w:hint="cs"/>
          <w:sz w:val="28"/>
          <w:szCs w:val="28"/>
          <w:rtl/>
          <w:lang w:bidi="fa-IR"/>
        </w:rPr>
        <w:t>ۡ</w:t>
      </w:r>
      <w:r w:rsidR="006633B5" w:rsidRPr="0067048A">
        <w:rPr>
          <w:rFonts w:ascii="KFGQPC Uthmanic Script HAFS" w:cs="KFGQPC Uthmanic Script HAFS" w:hint="eastAsia"/>
          <w:sz w:val="28"/>
          <w:szCs w:val="28"/>
          <w:rtl/>
          <w:lang w:bidi="fa-IR"/>
        </w:rPr>
        <w:t>بَرَهُم</w:t>
      </w:r>
      <w:r w:rsidR="006633B5" w:rsidRPr="0067048A">
        <w:rPr>
          <w:rFonts w:ascii="KFGQPC Uthmanic Script HAFS" w:cs="KFGQPC Uthmanic Script HAFS" w:hint="cs"/>
          <w:sz w:val="28"/>
          <w:szCs w:val="28"/>
          <w:rtl/>
          <w:lang w:bidi="fa-IR"/>
        </w:rPr>
        <w:t>ۡ</w:t>
      </w:r>
      <w:r w:rsidR="006633B5" w:rsidRPr="0067048A">
        <w:rPr>
          <w:rFonts w:ascii="KFGQPC Uthmanic Script HAFS" w:cs="KFGQPC Uthmanic Script HAFS"/>
          <w:sz w:val="28"/>
          <w:szCs w:val="28"/>
          <w:rtl/>
          <w:lang w:bidi="fa-IR"/>
        </w:rPr>
        <w:t xml:space="preserve"> </w:t>
      </w:r>
      <w:r w:rsidR="006633B5" w:rsidRPr="0067048A">
        <w:rPr>
          <w:rFonts w:ascii="KFGQPC Uthmanic Script HAFS" w:cs="KFGQPC Uthmanic Script HAFS" w:hint="eastAsia"/>
          <w:sz w:val="28"/>
          <w:szCs w:val="28"/>
          <w:rtl/>
          <w:lang w:bidi="fa-IR"/>
        </w:rPr>
        <w:t>عَلَى</w:t>
      </w:r>
      <w:r w:rsidR="006633B5" w:rsidRPr="0067048A">
        <w:rPr>
          <w:rFonts w:ascii="KFGQPC Uthmanic Script HAFS" w:cs="KFGQPC Uthmanic Script HAFS"/>
          <w:sz w:val="28"/>
          <w:szCs w:val="28"/>
          <w:rtl/>
          <w:lang w:bidi="fa-IR"/>
        </w:rPr>
        <w:t xml:space="preserve"> </w:t>
      </w:r>
      <w:r w:rsidR="006633B5" w:rsidRPr="0067048A">
        <w:rPr>
          <w:rFonts w:ascii="KFGQPC Uthmanic Script HAFS" w:cs="KFGQPC Uthmanic Script HAFS" w:hint="cs"/>
          <w:sz w:val="28"/>
          <w:szCs w:val="28"/>
          <w:rtl/>
          <w:lang w:bidi="fa-IR"/>
        </w:rPr>
        <w:t>ٱ</w:t>
      </w:r>
      <w:r w:rsidR="006633B5" w:rsidRPr="0067048A">
        <w:rPr>
          <w:rFonts w:ascii="KFGQPC Uthmanic Script HAFS" w:cs="KFGQPC Uthmanic Script HAFS" w:hint="eastAsia"/>
          <w:sz w:val="28"/>
          <w:szCs w:val="28"/>
          <w:rtl/>
          <w:lang w:bidi="fa-IR"/>
        </w:rPr>
        <w:t>لنَّارِ</w:t>
      </w:r>
      <w:r w:rsidR="006633B5" w:rsidRPr="0067048A">
        <w:rPr>
          <w:rFonts w:ascii="KFGQPC Uthmanic Script HAFS" w:cs="KFGQPC Uthmanic Script HAFS"/>
          <w:sz w:val="28"/>
          <w:szCs w:val="28"/>
          <w:rtl/>
          <w:lang w:bidi="fa-IR"/>
        </w:rPr>
        <w:t xml:space="preserve"> </w:t>
      </w:r>
      <w:r w:rsidR="006633B5" w:rsidRPr="0067048A">
        <w:rPr>
          <w:rFonts w:ascii="KFGQPC Uthmanic Script HAFS" w:cs="KFGQPC Uthmanic Script HAFS" w:hint="cs"/>
          <w:sz w:val="28"/>
          <w:szCs w:val="28"/>
          <w:rtl/>
          <w:lang w:bidi="fa-IR"/>
        </w:rPr>
        <w:t>١٧٥</w:t>
      </w:r>
      <w:r w:rsidR="006633B5" w:rsidRPr="0067048A">
        <w:rPr>
          <w:rFonts w:ascii="KFGQPC Uthmanic Script HAFS" w:cs="KFGQPC Uthmanic Script HAFS"/>
          <w:sz w:val="28"/>
          <w:szCs w:val="28"/>
          <w:rtl/>
          <w:lang w:bidi="fa-IR"/>
        </w:rPr>
        <w:t xml:space="preserve"> </w:t>
      </w:r>
      <w:r w:rsidR="006633B5" w:rsidRPr="0067048A">
        <w:rPr>
          <w:rFonts w:ascii="KFGQPC Uthmanic Script HAFS" w:cs="KFGQPC Uthmanic Script HAFS" w:hint="eastAsia"/>
          <w:sz w:val="28"/>
          <w:szCs w:val="28"/>
          <w:rtl/>
          <w:lang w:bidi="fa-IR"/>
        </w:rPr>
        <w:t>ذَ</w:t>
      </w:r>
      <w:r w:rsidR="006633B5" w:rsidRPr="0067048A">
        <w:rPr>
          <w:rFonts w:ascii="KFGQPC Uthmanic Script HAFS" w:cs="KFGQPC Uthmanic Script HAFS" w:hint="cs"/>
          <w:sz w:val="28"/>
          <w:szCs w:val="28"/>
          <w:rtl/>
          <w:lang w:bidi="fa-IR"/>
        </w:rPr>
        <w:t>ٰ</w:t>
      </w:r>
      <w:r w:rsidR="006633B5" w:rsidRPr="0067048A">
        <w:rPr>
          <w:rFonts w:ascii="KFGQPC Uthmanic Script HAFS" w:cs="KFGQPC Uthmanic Script HAFS" w:hint="eastAsia"/>
          <w:sz w:val="28"/>
          <w:szCs w:val="28"/>
          <w:rtl/>
          <w:lang w:bidi="fa-IR"/>
        </w:rPr>
        <w:t>لِكَ</w:t>
      </w:r>
      <w:r w:rsidR="006633B5" w:rsidRPr="0067048A">
        <w:rPr>
          <w:rFonts w:ascii="KFGQPC Uthmanic Script HAFS" w:cs="KFGQPC Uthmanic Script HAFS"/>
          <w:sz w:val="28"/>
          <w:szCs w:val="28"/>
          <w:rtl/>
          <w:lang w:bidi="fa-IR"/>
        </w:rPr>
        <w:t xml:space="preserve"> </w:t>
      </w:r>
      <w:r w:rsidR="006633B5" w:rsidRPr="0067048A">
        <w:rPr>
          <w:rFonts w:ascii="KFGQPC Uthmanic Script HAFS" w:cs="KFGQPC Uthmanic Script HAFS" w:hint="eastAsia"/>
          <w:sz w:val="28"/>
          <w:szCs w:val="28"/>
          <w:rtl/>
          <w:lang w:bidi="fa-IR"/>
        </w:rPr>
        <w:t>بِأَنَّ</w:t>
      </w:r>
      <w:r w:rsidR="006633B5" w:rsidRPr="0067048A">
        <w:rPr>
          <w:rFonts w:ascii="KFGQPC Uthmanic Script HAFS" w:cs="KFGQPC Uthmanic Script HAFS"/>
          <w:sz w:val="28"/>
          <w:szCs w:val="28"/>
          <w:rtl/>
          <w:lang w:bidi="fa-IR"/>
        </w:rPr>
        <w:t xml:space="preserve"> </w:t>
      </w:r>
      <w:r w:rsidR="006633B5" w:rsidRPr="0067048A">
        <w:rPr>
          <w:rFonts w:ascii="KFGQPC Uthmanic Script HAFS" w:cs="KFGQPC Uthmanic Script HAFS" w:hint="cs"/>
          <w:sz w:val="28"/>
          <w:szCs w:val="28"/>
          <w:rtl/>
          <w:lang w:bidi="fa-IR"/>
        </w:rPr>
        <w:t>ٱ</w:t>
      </w:r>
      <w:r w:rsidR="006633B5" w:rsidRPr="0067048A">
        <w:rPr>
          <w:rFonts w:ascii="KFGQPC Uthmanic Script HAFS" w:cs="KFGQPC Uthmanic Script HAFS" w:hint="eastAsia"/>
          <w:sz w:val="28"/>
          <w:szCs w:val="28"/>
          <w:rtl/>
          <w:lang w:bidi="fa-IR"/>
        </w:rPr>
        <w:t>للَّهَ</w:t>
      </w:r>
      <w:r w:rsidR="006633B5" w:rsidRPr="0067048A">
        <w:rPr>
          <w:rFonts w:ascii="KFGQPC Uthmanic Script HAFS" w:cs="KFGQPC Uthmanic Script HAFS"/>
          <w:sz w:val="28"/>
          <w:szCs w:val="28"/>
          <w:rtl/>
          <w:lang w:bidi="fa-IR"/>
        </w:rPr>
        <w:t xml:space="preserve"> </w:t>
      </w:r>
      <w:r w:rsidR="006633B5" w:rsidRPr="0067048A">
        <w:rPr>
          <w:rFonts w:ascii="KFGQPC Uthmanic Script HAFS" w:cs="KFGQPC Uthmanic Script HAFS" w:hint="eastAsia"/>
          <w:sz w:val="28"/>
          <w:szCs w:val="28"/>
          <w:rtl/>
          <w:lang w:bidi="fa-IR"/>
        </w:rPr>
        <w:t>نَزَّلَ</w:t>
      </w:r>
      <w:r w:rsidR="006633B5" w:rsidRPr="0067048A">
        <w:rPr>
          <w:rFonts w:ascii="KFGQPC Uthmanic Script HAFS" w:cs="KFGQPC Uthmanic Script HAFS"/>
          <w:sz w:val="28"/>
          <w:szCs w:val="28"/>
          <w:rtl/>
          <w:lang w:bidi="fa-IR"/>
        </w:rPr>
        <w:t xml:space="preserve"> </w:t>
      </w:r>
      <w:r w:rsidR="006633B5" w:rsidRPr="0067048A">
        <w:rPr>
          <w:rFonts w:ascii="KFGQPC Uthmanic Script HAFS" w:cs="KFGQPC Uthmanic Script HAFS" w:hint="cs"/>
          <w:sz w:val="28"/>
          <w:szCs w:val="28"/>
          <w:rtl/>
          <w:lang w:bidi="fa-IR"/>
        </w:rPr>
        <w:t>ٱ</w:t>
      </w:r>
      <w:r w:rsidR="006633B5" w:rsidRPr="0067048A">
        <w:rPr>
          <w:rFonts w:ascii="KFGQPC Uthmanic Script HAFS" w:cs="KFGQPC Uthmanic Script HAFS" w:hint="eastAsia"/>
          <w:sz w:val="28"/>
          <w:szCs w:val="28"/>
          <w:rtl/>
          <w:lang w:bidi="fa-IR"/>
        </w:rPr>
        <w:t>ل</w:t>
      </w:r>
      <w:r w:rsidR="006633B5" w:rsidRPr="0067048A">
        <w:rPr>
          <w:rFonts w:ascii="KFGQPC Uthmanic Script HAFS" w:cs="KFGQPC Uthmanic Script HAFS" w:hint="cs"/>
          <w:sz w:val="28"/>
          <w:szCs w:val="28"/>
          <w:rtl/>
          <w:lang w:bidi="fa-IR"/>
        </w:rPr>
        <w:t>ۡ</w:t>
      </w:r>
      <w:r w:rsidR="006633B5" w:rsidRPr="0067048A">
        <w:rPr>
          <w:rFonts w:ascii="KFGQPC Uthmanic Script HAFS" w:cs="KFGQPC Uthmanic Script HAFS" w:hint="eastAsia"/>
          <w:sz w:val="28"/>
          <w:szCs w:val="28"/>
          <w:rtl/>
          <w:lang w:bidi="fa-IR"/>
        </w:rPr>
        <w:t>كِتَ</w:t>
      </w:r>
      <w:r w:rsidR="006633B5" w:rsidRPr="0067048A">
        <w:rPr>
          <w:rFonts w:ascii="KFGQPC Uthmanic Script HAFS" w:cs="KFGQPC Uthmanic Script HAFS" w:hint="cs"/>
          <w:sz w:val="28"/>
          <w:szCs w:val="28"/>
          <w:rtl/>
          <w:lang w:bidi="fa-IR"/>
        </w:rPr>
        <w:t>ٰ</w:t>
      </w:r>
      <w:r w:rsidR="006633B5" w:rsidRPr="0067048A">
        <w:rPr>
          <w:rFonts w:ascii="KFGQPC Uthmanic Script HAFS" w:cs="KFGQPC Uthmanic Script HAFS" w:hint="eastAsia"/>
          <w:sz w:val="28"/>
          <w:szCs w:val="28"/>
          <w:rtl/>
          <w:lang w:bidi="fa-IR"/>
        </w:rPr>
        <w:t>بَ</w:t>
      </w:r>
      <w:r w:rsidR="006633B5" w:rsidRPr="0067048A">
        <w:rPr>
          <w:rFonts w:ascii="KFGQPC Uthmanic Script HAFS" w:cs="KFGQPC Uthmanic Script HAFS"/>
          <w:sz w:val="28"/>
          <w:szCs w:val="28"/>
          <w:rtl/>
          <w:lang w:bidi="fa-IR"/>
        </w:rPr>
        <w:t xml:space="preserve"> </w:t>
      </w:r>
      <w:r w:rsidR="006633B5" w:rsidRPr="0067048A">
        <w:rPr>
          <w:rFonts w:ascii="KFGQPC Uthmanic Script HAFS" w:cs="KFGQPC Uthmanic Script HAFS" w:hint="eastAsia"/>
          <w:sz w:val="28"/>
          <w:szCs w:val="28"/>
          <w:rtl/>
          <w:lang w:bidi="fa-IR"/>
        </w:rPr>
        <w:t>بِ</w:t>
      </w:r>
      <w:r w:rsidR="006633B5" w:rsidRPr="0067048A">
        <w:rPr>
          <w:rFonts w:ascii="KFGQPC Uthmanic Script HAFS" w:cs="KFGQPC Uthmanic Script HAFS" w:hint="cs"/>
          <w:sz w:val="28"/>
          <w:szCs w:val="28"/>
          <w:rtl/>
          <w:lang w:bidi="fa-IR"/>
        </w:rPr>
        <w:t>ٱ</w:t>
      </w:r>
      <w:r w:rsidR="006633B5" w:rsidRPr="0067048A">
        <w:rPr>
          <w:rFonts w:ascii="KFGQPC Uthmanic Script HAFS" w:cs="KFGQPC Uthmanic Script HAFS" w:hint="eastAsia"/>
          <w:sz w:val="28"/>
          <w:szCs w:val="28"/>
          <w:rtl/>
          <w:lang w:bidi="fa-IR"/>
        </w:rPr>
        <w:t>ل</w:t>
      </w:r>
      <w:r w:rsidR="006633B5" w:rsidRPr="0067048A">
        <w:rPr>
          <w:rFonts w:ascii="KFGQPC Uthmanic Script HAFS" w:cs="KFGQPC Uthmanic Script HAFS" w:hint="cs"/>
          <w:sz w:val="28"/>
          <w:szCs w:val="28"/>
          <w:rtl/>
          <w:lang w:bidi="fa-IR"/>
        </w:rPr>
        <w:t>ۡ</w:t>
      </w:r>
      <w:r w:rsidR="006633B5" w:rsidRPr="0067048A">
        <w:rPr>
          <w:rFonts w:ascii="KFGQPC Uthmanic Script HAFS" w:cs="KFGQPC Uthmanic Script HAFS" w:hint="eastAsia"/>
          <w:sz w:val="28"/>
          <w:szCs w:val="28"/>
          <w:rtl/>
          <w:lang w:bidi="fa-IR"/>
        </w:rPr>
        <w:t>حَقِّ</w:t>
      </w:r>
      <w:r w:rsidR="006633B5" w:rsidRPr="0067048A">
        <w:rPr>
          <w:rFonts w:ascii="KFGQPC Uthmanic Script HAFS" w:cs="KFGQPC Uthmanic Script HAFS" w:hint="cs"/>
          <w:sz w:val="28"/>
          <w:szCs w:val="28"/>
          <w:rtl/>
          <w:lang w:bidi="fa-IR"/>
        </w:rPr>
        <w:t>ۗ</w:t>
      </w:r>
      <w:r w:rsidR="006633B5" w:rsidRPr="0067048A">
        <w:rPr>
          <w:rFonts w:ascii="KFGQPC Uthmanic Script HAFS" w:cs="KFGQPC Uthmanic Script HAFS"/>
          <w:sz w:val="28"/>
          <w:szCs w:val="28"/>
          <w:rtl/>
          <w:lang w:bidi="fa-IR"/>
        </w:rPr>
        <w:t xml:space="preserve"> </w:t>
      </w:r>
      <w:r w:rsidR="006633B5" w:rsidRPr="0067048A">
        <w:rPr>
          <w:rFonts w:ascii="KFGQPC Uthmanic Script HAFS" w:cs="KFGQPC Uthmanic Script HAFS" w:hint="eastAsia"/>
          <w:sz w:val="28"/>
          <w:szCs w:val="28"/>
          <w:rtl/>
          <w:lang w:bidi="fa-IR"/>
        </w:rPr>
        <w:t>وَإِنَّ</w:t>
      </w:r>
      <w:r w:rsidR="006633B5" w:rsidRPr="0067048A">
        <w:rPr>
          <w:rFonts w:ascii="KFGQPC Uthmanic Script HAFS" w:cs="KFGQPC Uthmanic Script HAFS"/>
          <w:sz w:val="28"/>
          <w:szCs w:val="28"/>
          <w:rtl/>
          <w:lang w:bidi="fa-IR"/>
        </w:rPr>
        <w:t xml:space="preserve"> </w:t>
      </w:r>
      <w:r w:rsidR="006633B5" w:rsidRPr="0067048A">
        <w:rPr>
          <w:rFonts w:ascii="KFGQPC Uthmanic Script HAFS" w:cs="KFGQPC Uthmanic Script HAFS" w:hint="cs"/>
          <w:sz w:val="28"/>
          <w:szCs w:val="28"/>
          <w:rtl/>
          <w:lang w:bidi="fa-IR"/>
        </w:rPr>
        <w:t>ٱ</w:t>
      </w:r>
      <w:r w:rsidR="006633B5" w:rsidRPr="0067048A">
        <w:rPr>
          <w:rFonts w:ascii="KFGQPC Uthmanic Script HAFS" w:cs="KFGQPC Uthmanic Script HAFS" w:hint="eastAsia"/>
          <w:sz w:val="28"/>
          <w:szCs w:val="28"/>
          <w:rtl/>
          <w:lang w:bidi="fa-IR"/>
        </w:rPr>
        <w:t>لَّذِينَ</w:t>
      </w:r>
      <w:r w:rsidR="006633B5" w:rsidRPr="0067048A">
        <w:rPr>
          <w:rFonts w:ascii="KFGQPC Uthmanic Script HAFS" w:cs="KFGQPC Uthmanic Script HAFS"/>
          <w:sz w:val="28"/>
          <w:szCs w:val="28"/>
          <w:rtl/>
          <w:lang w:bidi="fa-IR"/>
        </w:rPr>
        <w:t xml:space="preserve"> </w:t>
      </w:r>
      <w:r w:rsidR="006633B5" w:rsidRPr="0067048A">
        <w:rPr>
          <w:rFonts w:ascii="KFGQPC Uthmanic Script HAFS" w:cs="KFGQPC Uthmanic Script HAFS" w:hint="cs"/>
          <w:sz w:val="28"/>
          <w:szCs w:val="28"/>
          <w:rtl/>
          <w:lang w:bidi="fa-IR"/>
        </w:rPr>
        <w:t>ٱ</w:t>
      </w:r>
      <w:r w:rsidR="006633B5" w:rsidRPr="0067048A">
        <w:rPr>
          <w:rFonts w:ascii="KFGQPC Uthmanic Script HAFS" w:cs="KFGQPC Uthmanic Script HAFS" w:hint="eastAsia"/>
          <w:sz w:val="28"/>
          <w:szCs w:val="28"/>
          <w:rtl/>
          <w:lang w:bidi="fa-IR"/>
        </w:rPr>
        <w:t>خ</w:t>
      </w:r>
      <w:r w:rsidR="006633B5" w:rsidRPr="0067048A">
        <w:rPr>
          <w:rFonts w:ascii="KFGQPC Uthmanic Script HAFS" w:cs="KFGQPC Uthmanic Script HAFS" w:hint="cs"/>
          <w:sz w:val="28"/>
          <w:szCs w:val="28"/>
          <w:rtl/>
          <w:lang w:bidi="fa-IR"/>
        </w:rPr>
        <w:t>ۡ</w:t>
      </w:r>
      <w:r w:rsidR="006633B5" w:rsidRPr="0067048A">
        <w:rPr>
          <w:rFonts w:ascii="KFGQPC Uthmanic Script HAFS" w:cs="KFGQPC Uthmanic Script HAFS" w:hint="eastAsia"/>
          <w:sz w:val="28"/>
          <w:szCs w:val="28"/>
          <w:rtl/>
          <w:lang w:bidi="fa-IR"/>
        </w:rPr>
        <w:t>تَلَفُواْ</w:t>
      </w:r>
      <w:r w:rsidR="006633B5" w:rsidRPr="0067048A">
        <w:rPr>
          <w:rFonts w:ascii="KFGQPC Uthmanic Script HAFS" w:cs="KFGQPC Uthmanic Script HAFS"/>
          <w:sz w:val="28"/>
          <w:szCs w:val="28"/>
          <w:rtl/>
          <w:lang w:bidi="fa-IR"/>
        </w:rPr>
        <w:t xml:space="preserve"> </w:t>
      </w:r>
      <w:r w:rsidR="006633B5" w:rsidRPr="0067048A">
        <w:rPr>
          <w:rFonts w:ascii="KFGQPC Uthmanic Script HAFS" w:cs="KFGQPC Uthmanic Script HAFS" w:hint="eastAsia"/>
          <w:sz w:val="28"/>
          <w:szCs w:val="28"/>
          <w:rtl/>
          <w:lang w:bidi="fa-IR"/>
        </w:rPr>
        <w:t>فِي</w:t>
      </w:r>
      <w:r w:rsidR="006633B5" w:rsidRPr="0067048A">
        <w:rPr>
          <w:rFonts w:ascii="KFGQPC Uthmanic Script HAFS" w:cs="KFGQPC Uthmanic Script HAFS"/>
          <w:sz w:val="28"/>
          <w:szCs w:val="28"/>
          <w:rtl/>
          <w:lang w:bidi="fa-IR"/>
        </w:rPr>
        <w:t xml:space="preserve"> </w:t>
      </w:r>
      <w:r w:rsidR="006633B5" w:rsidRPr="0067048A">
        <w:rPr>
          <w:rFonts w:ascii="KFGQPC Uthmanic Script HAFS" w:cs="KFGQPC Uthmanic Script HAFS" w:hint="cs"/>
          <w:sz w:val="28"/>
          <w:szCs w:val="28"/>
          <w:rtl/>
          <w:lang w:bidi="fa-IR"/>
        </w:rPr>
        <w:t>ٱ</w:t>
      </w:r>
      <w:r w:rsidR="006633B5" w:rsidRPr="0067048A">
        <w:rPr>
          <w:rFonts w:ascii="KFGQPC Uthmanic Script HAFS" w:cs="KFGQPC Uthmanic Script HAFS" w:hint="eastAsia"/>
          <w:sz w:val="28"/>
          <w:szCs w:val="28"/>
          <w:rtl/>
          <w:lang w:bidi="fa-IR"/>
        </w:rPr>
        <w:t>ل</w:t>
      </w:r>
      <w:r w:rsidR="006633B5" w:rsidRPr="0067048A">
        <w:rPr>
          <w:rFonts w:ascii="KFGQPC Uthmanic Script HAFS" w:cs="KFGQPC Uthmanic Script HAFS" w:hint="cs"/>
          <w:sz w:val="28"/>
          <w:szCs w:val="28"/>
          <w:rtl/>
          <w:lang w:bidi="fa-IR"/>
        </w:rPr>
        <w:t>ۡ</w:t>
      </w:r>
      <w:r w:rsidR="006633B5" w:rsidRPr="0067048A">
        <w:rPr>
          <w:rFonts w:ascii="KFGQPC Uthmanic Script HAFS" w:cs="KFGQPC Uthmanic Script HAFS" w:hint="eastAsia"/>
          <w:sz w:val="28"/>
          <w:szCs w:val="28"/>
          <w:rtl/>
          <w:lang w:bidi="fa-IR"/>
        </w:rPr>
        <w:t>كِتَ</w:t>
      </w:r>
      <w:r w:rsidR="006633B5" w:rsidRPr="0067048A">
        <w:rPr>
          <w:rFonts w:ascii="KFGQPC Uthmanic Script HAFS" w:cs="KFGQPC Uthmanic Script HAFS" w:hint="cs"/>
          <w:sz w:val="28"/>
          <w:szCs w:val="28"/>
          <w:rtl/>
          <w:lang w:bidi="fa-IR"/>
        </w:rPr>
        <w:t>ٰ</w:t>
      </w:r>
      <w:r w:rsidR="006633B5" w:rsidRPr="0067048A">
        <w:rPr>
          <w:rFonts w:ascii="KFGQPC Uthmanic Script HAFS" w:cs="KFGQPC Uthmanic Script HAFS" w:hint="eastAsia"/>
          <w:sz w:val="28"/>
          <w:szCs w:val="28"/>
          <w:rtl/>
          <w:lang w:bidi="fa-IR"/>
        </w:rPr>
        <w:t>بِ</w:t>
      </w:r>
      <w:r w:rsidR="006633B5" w:rsidRPr="0067048A">
        <w:rPr>
          <w:rFonts w:ascii="KFGQPC Uthmanic Script HAFS" w:cs="KFGQPC Uthmanic Script HAFS"/>
          <w:sz w:val="28"/>
          <w:szCs w:val="28"/>
          <w:rtl/>
          <w:lang w:bidi="fa-IR"/>
        </w:rPr>
        <w:t xml:space="preserve"> </w:t>
      </w:r>
      <w:r w:rsidR="006633B5" w:rsidRPr="0067048A">
        <w:rPr>
          <w:rFonts w:ascii="KFGQPC Uthmanic Script HAFS" w:cs="KFGQPC Uthmanic Script HAFS" w:hint="eastAsia"/>
          <w:sz w:val="28"/>
          <w:szCs w:val="28"/>
          <w:rtl/>
          <w:lang w:bidi="fa-IR"/>
        </w:rPr>
        <w:t>لَفِي</w:t>
      </w:r>
      <w:r w:rsidR="006633B5" w:rsidRPr="0067048A">
        <w:rPr>
          <w:rFonts w:ascii="KFGQPC Uthmanic Script HAFS" w:cs="KFGQPC Uthmanic Script HAFS"/>
          <w:sz w:val="28"/>
          <w:szCs w:val="28"/>
          <w:rtl/>
          <w:lang w:bidi="fa-IR"/>
        </w:rPr>
        <w:t xml:space="preserve"> </w:t>
      </w:r>
      <w:r w:rsidR="006633B5" w:rsidRPr="0067048A">
        <w:rPr>
          <w:rFonts w:ascii="KFGQPC Uthmanic Script HAFS" w:cs="KFGQPC Uthmanic Script HAFS" w:hint="eastAsia"/>
          <w:sz w:val="28"/>
          <w:szCs w:val="28"/>
          <w:rtl/>
          <w:lang w:bidi="fa-IR"/>
        </w:rPr>
        <w:t>شِقَاقِ</w:t>
      </w:r>
      <w:r w:rsidR="006633B5" w:rsidRPr="0067048A">
        <w:rPr>
          <w:rFonts w:ascii="KFGQPC Uthmanic Script HAFS" w:cs="KFGQPC Uthmanic Script HAFS" w:hint="cs"/>
          <w:sz w:val="28"/>
          <w:szCs w:val="28"/>
          <w:rtl/>
          <w:lang w:bidi="fa-IR"/>
        </w:rPr>
        <w:t>ۢ</w:t>
      </w:r>
      <w:r w:rsidR="006633B5" w:rsidRPr="0067048A">
        <w:rPr>
          <w:rFonts w:ascii="KFGQPC Uthmanic Script HAFS" w:cs="KFGQPC Uthmanic Script HAFS"/>
          <w:sz w:val="28"/>
          <w:szCs w:val="28"/>
          <w:rtl/>
          <w:lang w:bidi="fa-IR"/>
        </w:rPr>
        <w:t xml:space="preserve"> </w:t>
      </w:r>
      <w:r w:rsidR="006633B5" w:rsidRPr="0067048A">
        <w:rPr>
          <w:rFonts w:ascii="KFGQPC Uthmanic Script HAFS" w:cs="KFGQPC Uthmanic Script HAFS" w:hint="eastAsia"/>
          <w:sz w:val="28"/>
          <w:szCs w:val="28"/>
          <w:rtl/>
          <w:lang w:bidi="fa-IR"/>
        </w:rPr>
        <w:t>بَعِيد</w:t>
      </w:r>
      <w:r w:rsidR="006633B5" w:rsidRPr="0067048A">
        <w:rPr>
          <w:rFonts w:ascii="KFGQPC Uthmanic Script HAFS" w:cs="KFGQPC Uthmanic Script HAFS" w:hint="cs"/>
          <w:sz w:val="28"/>
          <w:szCs w:val="28"/>
          <w:rtl/>
          <w:lang w:bidi="fa-IR"/>
        </w:rPr>
        <w:t>ٖ</w:t>
      </w:r>
      <w:r w:rsidR="006633B5" w:rsidRPr="00995B26">
        <w:rPr>
          <w:rFonts w:cs="Traditional Arabic" w:hint="cs"/>
          <w:szCs w:val="30"/>
          <w:rtl/>
          <w:lang w:bidi="ar-SY"/>
        </w:rPr>
        <w:t>﴾</w:t>
      </w:r>
      <w:r w:rsidRPr="00495BAB">
        <w:rPr>
          <w:rFonts w:hint="cs"/>
          <w:rtl/>
          <w:lang w:bidi="ar-SY"/>
        </w:rPr>
        <w:t xml:space="preserve"> </w:t>
      </w:r>
      <w:r w:rsidRPr="009E1401">
        <w:rPr>
          <w:rStyle w:val="Char2"/>
          <w:rFonts w:hint="cs"/>
          <w:rtl/>
        </w:rPr>
        <w:t>[البقرة</w:t>
      </w:r>
      <w:r w:rsidR="006633B5" w:rsidRPr="009E1401">
        <w:rPr>
          <w:rStyle w:val="Char2"/>
          <w:rFonts w:hint="cs"/>
          <w:rtl/>
        </w:rPr>
        <w:t xml:space="preserve">: </w:t>
      </w:r>
      <w:r w:rsidRPr="009E1401">
        <w:rPr>
          <w:rStyle w:val="Char2"/>
          <w:rFonts w:hint="cs"/>
          <w:rtl/>
        </w:rPr>
        <w:t>174- 176]</w:t>
      </w:r>
      <w:r w:rsidRPr="00495BAB">
        <w:rPr>
          <w:rFonts w:hint="cs"/>
          <w:rtl/>
          <w:lang w:bidi="ar-SY"/>
        </w:rPr>
        <w:t xml:space="preserve"> إلى آخر الآية 77؛ وينطبق عليهم أنهم سبَّبُوا باختلافاتهم وقوع الاختلاف والتشتّت في الأمة الإسلامية كما قال تعالى: </w:t>
      </w:r>
      <w:r w:rsidR="006633B5" w:rsidRPr="00995B26">
        <w:rPr>
          <w:rFonts w:cs="Traditional Arabic" w:hint="cs"/>
          <w:szCs w:val="30"/>
          <w:rtl/>
          <w:lang w:bidi="ar-SY"/>
        </w:rPr>
        <w:t>﴿</w:t>
      </w:r>
      <w:r w:rsidR="006633B5" w:rsidRPr="0067048A">
        <w:rPr>
          <w:rFonts w:ascii="KFGQPC Uthmanic Script HAFS" w:cs="KFGQPC Uthmanic Script HAFS" w:hint="eastAsia"/>
          <w:sz w:val="28"/>
          <w:szCs w:val="28"/>
          <w:rtl/>
        </w:rPr>
        <w:t>كَانَ</w:t>
      </w:r>
      <w:r w:rsidR="006633B5" w:rsidRPr="0067048A">
        <w:rPr>
          <w:rFonts w:ascii="KFGQPC Uthmanic Script HAFS" w:cs="KFGQPC Uthmanic Script HAFS"/>
          <w:sz w:val="28"/>
          <w:szCs w:val="28"/>
          <w:rtl/>
        </w:rPr>
        <w:t xml:space="preserve"> </w:t>
      </w:r>
      <w:r w:rsidR="006633B5" w:rsidRPr="0067048A">
        <w:rPr>
          <w:rFonts w:ascii="KFGQPC Uthmanic Script HAFS" w:cs="KFGQPC Uthmanic Script HAFS" w:hint="cs"/>
          <w:sz w:val="28"/>
          <w:szCs w:val="28"/>
          <w:rtl/>
        </w:rPr>
        <w:t>ٱ</w:t>
      </w:r>
      <w:r w:rsidR="006633B5" w:rsidRPr="0067048A">
        <w:rPr>
          <w:rFonts w:ascii="KFGQPC Uthmanic Script HAFS" w:cs="KFGQPC Uthmanic Script HAFS" w:hint="eastAsia"/>
          <w:sz w:val="28"/>
          <w:szCs w:val="28"/>
          <w:rtl/>
        </w:rPr>
        <w:t>لنَّاسُ</w:t>
      </w:r>
      <w:r w:rsidR="006633B5" w:rsidRPr="0067048A">
        <w:rPr>
          <w:rFonts w:ascii="KFGQPC Uthmanic Script HAFS" w:cs="KFGQPC Uthmanic Script HAFS"/>
          <w:sz w:val="28"/>
          <w:szCs w:val="28"/>
          <w:rtl/>
        </w:rPr>
        <w:t xml:space="preserve"> </w:t>
      </w:r>
      <w:r w:rsidR="006633B5" w:rsidRPr="0067048A">
        <w:rPr>
          <w:rFonts w:ascii="KFGQPC Uthmanic Script HAFS" w:cs="KFGQPC Uthmanic Script HAFS" w:hint="eastAsia"/>
          <w:sz w:val="28"/>
          <w:szCs w:val="28"/>
          <w:rtl/>
        </w:rPr>
        <w:t>أُمَّة</w:t>
      </w:r>
      <w:r w:rsidR="006633B5" w:rsidRPr="0067048A">
        <w:rPr>
          <w:rFonts w:ascii="KFGQPC Uthmanic Script HAFS" w:cs="KFGQPC Uthmanic Script HAFS" w:hint="cs"/>
          <w:sz w:val="28"/>
          <w:szCs w:val="28"/>
          <w:rtl/>
        </w:rPr>
        <w:t>ٗ</w:t>
      </w:r>
      <w:r w:rsidR="006633B5" w:rsidRPr="0067048A">
        <w:rPr>
          <w:rFonts w:ascii="KFGQPC Uthmanic Script HAFS" w:cs="KFGQPC Uthmanic Script HAFS"/>
          <w:sz w:val="28"/>
          <w:szCs w:val="28"/>
          <w:rtl/>
        </w:rPr>
        <w:t xml:space="preserve"> </w:t>
      </w:r>
      <w:r w:rsidR="006633B5" w:rsidRPr="0067048A">
        <w:rPr>
          <w:rFonts w:ascii="KFGQPC Uthmanic Script HAFS" w:cs="KFGQPC Uthmanic Script HAFS" w:hint="eastAsia"/>
          <w:sz w:val="28"/>
          <w:szCs w:val="28"/>
          <w:rtl/>
        </w:rPr>
        <w:t>وَ</w:t>
      </w:r>
      <w:r w:rsidR="006633B5" w:rsidRPr="0067048A">
        <w:rPr>
          <w:rFonts w:ascii="KFGQPC Uthmanic Script HAFS" w:cs="KFGQPC Uthmanic Script HAFS" w:hint="cs"/>
          <w:sz w:val="28"/>
          <w:szCs w:val="28"/>
          <w:rtl/>
        </w:rPr>
        <w:t>ٰ</w:t>
      </w:r>
      <w:r w:rsidR="006633B5" w:rsidRPr="0067048A">
        <w:rPr>
          <w:rFonts w:ascii="KFGQPC Uthmanic Script HAFS" w:cs="KFGQPC Uthmanic Script HAFS" w:hint="eastAsia"/>
          <w:sz w:val="28"/>
          <w:szCs w:val="28"/>
          <w:rtl/>
        </w:rPr>
        <w:t>حِدَة</w:t>
      </w:r>
      <w:r w:rsidR="006633B5" w:rsidRPr="0067048A">
        <w:rPr>
          <w:rFonts w:ascii="KFGQPC Uthmanic Script HAFS" w:cs="KFGQPC Uthmanic Script HAFS" w:hint="cs"/>
          <w:sz w:val="28"/>
          <w:szCs w:val="28"/>
          <w:rtl/>
        </w:rPr>
        <w:t>ٗ</w:t>
      </w:r>
      <w:r w:rsidR="006633B5" w:rsidRPr="0067048A">
        <w:rPr>
          <w:rFonts w:ascii="KFGQPC Uthmanic Script HAFS" w:cs="KFGQPC Uthmanic Script HAFS"/>
          <w:sz w:val="28"/>
          <w:szCs w:val="28"/>
          <w:rtl/>
        </w:rPr>
        <w:t xml:space="preserve"> </w:t>
      </w:r>
      <w:r w:rsidR="006633B5" w:rsidRPr="0067048A">
        <w:rPr>
          <w:rFonts w:ascii="KFGQPC Uthmanic Script HAFS" w:cs="KFGQPC Uthmanic Script HAFS" w:hint="eastAsia"/>
          <w:sz w:val="28"/>
          <w:szCs w:val="28"/>
          <w:rtl/>
        </w:rPr>
        <w:t>فَبَعَثَ</w:t>
      </w:r>
      <w:r w:rsidR="006633B5" w:rsidRPr="0067048A">
        <w:rPr>
          <w:rFonts w:ascii="KFGQPC Uthmanic Script HAFS" w:cs="KFGQPC Uthmanic Script HAFS"/>
          <w:sz w:val="28"/>
          <w:szCs w:val="28"/>
          <w:rtl/>
        </w:rPr>
        <w:t xml:space="preserve"> </w:t>
      </w:r>
      <w:r w:rsidR="006633B5" w:rsidRPr="0067048A">
        <w:rPr>
          <w:rFonts w:ascii="KFGQPC Uthmanic Script HAFS" w:cs="KFGQPC Uthmanic Script HAFS" w:hint="cs"/>
          <w:sz w:val="28"/>
          <w:szCs w:val="28"/>
          <w:rtl/>
        </w:rPr>
        <w:t>ٱ</w:t>
      </w:r>
      <w:r w:rsidR="006633B5" w:rsidRPr="0067048A">
        <w:rPr>
          <w:rFonts w:ascii="KFGQPC Uthmanic Script HAFS" w:cs="KFGQPC Uthmanic Script HAFS" w:hint="eastAsia"/>
          <w:sz w:val="28"/>
          <w:szCs w:val="28"/>
          <w:rtl/>
        </w:rPr>
        <w:t>للَّهُ</w:t>
      </w:r>
      <w:r w:rsidR="006633B5" w:rsidRPr="0067048A">
        <w:rPr>
          <w:rFonts w:ascii="KFGQPC Uthmanic Script HAFS" w:cs="KFGQPC Uthmanic Script HAFS"/>
          <w:sz w:val="28"/>
          <w:szCs w:val="28"/>
          <w:rtl/>
        </w:rPr>
        <w:t xml:space="preserve"> </w:t>
      </w:r>
      <w:r w:rsidR="006633B5" w:rsidRPr="0067048A">
        <w:rPr>
          <w:rFonts w:ascii="KFGQPC Uthmanic Script HAFS" w:cs="KFGQPC Uthmanic Script HAFS" w:hint="cs"/>
          <w:sz w:val="28"/>
          <w:szCs w:val="28"/>
          <w:rtl/>
        </w:rPr>
        <w:t>ٱ</w:t>
      </w:r>
      <w:r w:rsidR="006633B5" w:rsidRPr="0067048A">
        <w:rPr>
          <w:rFonts w:ascii="KFGQPC Uthmanic Script HAFS" w:cs="KFGQPC Uthmanic Script HAFS" w:hint="eastAsia"/>
          <w:sz w:val="28"/>
          <w:szCs w:val="28"/>
          <w:rtl/>
        </w:rPr>
        <w:t>لنَّبِيِّ‍</w:t>
      </w:r>
      <w:r w:rsidR="006633B5" w:rsidRPr="0067048A">
        <w:rPr>
          <w:rFonts w:ascii="KFGQPC Uthmanic Script HAFS" w:cs="KFGQPC Uthmanic Script HAFS" w:hint="cs"/>
          <w:sz w:val="28"/>
          <w:szCs w:val="28"/>
          <w:rtl/>
        </w:rPr>
        <w:t>ۧ</w:t>
      </w:r>
      <w:r w:rsidR="006633B5" w:rsidRPr="0067048A">
        <w:rPr>
          <w:rFonts w:ascii="KFGQPC Uthmanic Script HAFS" w:cs="KFGQPC Uthmanic Script HAFS" w:hint="eastAsia"/>
          <w:sz w:val="28"/>
          <w:szCs w:val="28"/>
          <w:rtl/>
        </w:rPr>
        <w:t>نَ</w:t>
      </w:r>
      <w:r w:rsidR="006633B5" w:rsidRPr="0067048A">
        <w:rPr>
          <w:rFonts w:ascii="KFGQPC Uthmanic Script HAFS" w:cs="KFGQPC Uthmanic Script HAFS"/>
          <w:sz w:val="28"/>
          <w:szCs w:val="28"/>
          <w:rtl/>
        </w:rPr>
        <w:t xml:space="preserve"> </w:t>
      </w:r>
      <w:r w:rsidR="006633B5" w:rsidRPr="0067048A">
        <w:rPr>
          <w:rFonts w:ascii="KFGQPC Uthmanic Script HAFS" w:cs="KFGQPC Uthmanic Script HAFS" w:hint="eastAsia"/>
          <w:sz w:val="28"/>
          <w:szCs w:val="28"/>
          <w:rtl/>
        </w:rPr>
        <w:t>مُبَشِّرِينَ</w:t>
      </w:r>
      <w:r w:rsidR="006633B5" w:rsidRPr="0067048A">
        <w:rPr>
          <w:rFonts w:ascii="KFGQPC Uthmanic Script HAFS" w:cs="KFGQPC Uthmanic Script HAFS"/>
          <w:sz w:val="28"/>
          <w:szCs w:val="28"/>
          <w:rtl/>
        </w:rPr>
        <w:t xml:space="preserve"> </w:t>
      </w:r>
      <w:r w:rsidR="006633B5" w:rsidRPr="0067048A">
        <w:rPr>
          <w:rFonts w:ascii="KFGQPC Uthmanic Script HAFS" w:cs="KFGQPC Uthmanic Script HAFS" w:hint="eastAsia"/>
          <w:sz w:val="28"/>
          <w:szCs w:val="28"/>
          <w:rtl/>
        </w:rPr>
        <w:t>وَمُنذِرِينَ</w:t>
      </w:r>
      <w:r w:rsidR="006633B5" w:rsidRPr="0067048A">
        <w:rPr>
          <w:rFonts w:ascii="KFGQPC Uthmanic Script HAFS" w:cs="KFGQPC Uthmanic Script HAFS"/>
          <w:sz w:val="28"/>
          <w:szCs w:val="28"/>
          <w:rtl/>
        </w:rPr>
        <w:t xml:space="preserve"> </w:t>
      </w:r>
      <w:r w:rsidR="006633B5" w:rsidRPr="0067048A">
        <w:rPr>
          <w:rFonts w:ascii="KFGQPC Uthmanic Script HAFS" w:cs="KFGQPC Uthmanic Script HAFS" w:hint="eastAsia"/>
          <w:sz w:val="28"/>
          <w:szCs w:val="28"/>
          <w:rtl/>
        </w:rPr>
        <w:t>وَأَنزَلَ</w:t>
      </w:r>
      <w:r w:rsidR="006633B5" w:rsidRPr="0067048A">
        <w:rPr>
          <w:rFonts w:ascii="KFGQPC Uthmanic Script HAFS" w:cs="KFGQPC Uthmanic Script HAFS"/>
          <w:sz w:val="28"/>
          <w:szCs w:val="28"/>
          <w:rtl/>
        </w:rPr>
        <w:t xml:space="preserve"> </w:t>
      </w:r>
      <w:r w:rsidR="006633B5" w:rsidRPr="0067048A">
        <w:rPr>
          <w:rFonts w:ascii="KFGQPC Uthmanic Script HAFS" w:cs="KFGQPC Uthmanic Script HAFS" w:hint="eastAsia"/>
          <w:sz w:val="28"/>
          <w:szCs w:val="28"/>
          <w:rtl/>
        </w:rPr>
        <w:t>مَعَهُمُ</w:t>
      </w:r>
      <w:r w:rsidR="006633B5" w:rsidRPr="0067048A">
        <w:rPr>
          <w:rFonts w:ascii="KFGQPC Uthmanic Script HAFS" w:cs="KFGQPC Uthmanic Script HAFS"/>
          <w:sz w:val="28"/>
          <w:szCs w:val="28"/>
          <w:rtl/>
        </w:rPr>
        <w:t xml:space="preserve"> </w:t>
      </w:r>
      <w:r w:rsidR="006633B5" w:rsidRPr="0067048A">
        <w:rPr>
          <w:rFonts w:ascii="KFGQPC Uthmanic Script HAFS" w:cs="KFGQPC Uthmanic Script HAFS" w:hint="cs"/>
          <w:sz w:val="28"/>
          <w:szCs w:val="28"/>
          <w:rtl/>
        </w:rPr>
        <w:t>ٱ</w:t>
      </w:r>
      <w:r w:rsidR="006633B5" w:rsidRPr="0067048A">
        <w:rPr>
          <w:rFonts w:ascii="KFGQPC Uthmanic Script HAFS" w:cs="KFGQPC Uthmanic Script HAFS" w:hint="eastAsia"/>
          <w:sz w:val="28"/>
          <w:szCs w:val="28"/>
          <w:rtl/>
        </w:rPr>
        <w:t>ل</w:t>
      </w:r>
      <w:r w:rsidR="006633B5" w:rsidRPr="0067048A">
        <w:rPr>
          <w:rFonts w:ascii="KFGQPC Uthmanic Script HAFS" w:cs="KFGQPC Uthmanic Script HAFS" w:hint="cs"/>
          <w:sz w:val="28"/>
          <w:szCs w:val="28"/>
          <w:rtl/>
        </w:rPr>
        <w:t>ۡ</w:t>
      </w:r>
      <w:r w:rsidR="006633B5" w:rsidRPr="0067048A">
        <w:rPr>
          <w:rFonts w:ascii="KFGQPC Uthmanic Script HAFS" w:cs="KFGQPC Uthmanic Script HAFS" w:hint="eastAsia"/>
          <w:sz w:val="28"/>
          <w:szCs w:val="28"/>
          <w:rtl/>
        </w:rPr>
        <w:t>كِتَ</w:t>
      </w:r>
      <w:r w:rsidR="006633B5" w:rsidRPr="0067048A">
        <w:rPr>
          <w:rFonts w:ascii="KFGQPC Uthmanic Script HAFS" w:cs="KFGQPC Uthmanic Script HAFS" w:hint="cs"/>
          <w:sz w:val="28"/>
          <w:szCs w:val="28"/>
          <w:rtl/>
        </w:rPr>
        <w:t>ٰ</w:t>
      </w:r>
      <w:r w:rsidR="006633B5" w:rsidRPr="0067048A">
        <w:rPr>
          <w:rFonts w:ascii="KFGQPC Uthmanic Script HAFS" w:cs="KFGQPC Uthmanic Script HAFS" w:hint="eastAsia"/>
          <w:sz w:val="28"/>
          <w:szCs w:val="28"/>
          <w:rtl/>
        </w:rPr>
        <w:t>بَ</w:t>
      </w:r>
      <w:r w:rsidR="006633B5" w:rsidRPr="0067048A">
        <w:rPr>
          <w:rFonts w:ascii="KFGQPC Uthmanic Script HAFS" w:cs="KFGQPC Uthmanic Script HAFS"/>
          <w:sz w:val="28"/>
          <w:szCs w:val="28"/>
          <w:rtl/>
        </w:rPr>
        <w:t xml:space="preserve"> </w:t>
      </w:r>
      <w:r w:rsidR="006633B5" w:rsidRPr="0067048A">
        <w:rPr>
          <w:rFonts w:ascii="KFGQPC Uthmanic Script HAFS" w:cs="KFGQPC Uthmanic Script HAFS" w:hint="eastAsia"/>
          <w:sz w:val="28"/>
          <w:szCs w:val="28"/>
          <w:rtl/>
        </w:rPr>
        <w:t>بِ</w:t>
      </w:r>
      <w:r w:rsidR="006633B5" w:rsidRPr="0067048A">
        <w:rPr>
          <w:rFonts w:ascii="KFGQPC Uthmanic Script HAFS" w:cs="KFGQPC Uthmanic Script HAFS" w:hint="cs"/>
          <w:sz w:val="28"/>
          <w:szCs w:val="28"/>
          <w:rtl/>
        </w:rPr>
        <w:t>ٱ</w:t>
      </w:r>
      <w:r w:rsidR="006633B5" w:rsidRPr="0067048A">
        <w:rPr>
          <w:rFonts w:ascii="KFGQPC Uthmanic Script HAFS" w:cs="KFGQPC Uthmanic Script HAFS" w:hint="eastAsia"/>
          <w:sz w:val="28"/>
          <w:szCs w:val="28"/>
          <w:rtl/>
        </w:rPr>
        <w:t>ل</w:t>
      </w:r>
      <w:r w:rsidR="006633B5" w:rsidRPr="0067048A">
        <w:rPr>
          <w:rFonts w:ascii="KFGQPC Uthmanic Script HAFS" w:cs="KFGQPC Uthmanic Script HAFS" w:hint="cs"/>
          <w:sz w:val="28"/>
          <w:szCs w:val="28"/>
          <w:rtl/>
        </w:rPr>
        <w:t>ۡ</w:t>
      </w:r>
      <w:r w:rsidR="006633B5" w:rsidRPr="0067048A">
        <w:rPr>
          <w:rFonts w:ascii="KFGQPC Uthmanic Script HAFS" w:cs="KFGQPC Uthmanic Script HAFS" w:hint="eastAsia"/>
          <w:sz w:val="28"/>
          <w:szCs w:val="28"/>
          <w:rtl/>
        </w:rPr>
        <w:t>حَقِّ</w:t>
      </w:r>
      <w:r w:rsidR="006633B5" w:rsidRPr="0067048A">
        <w:rPr>
          <w:rFonts w:ascii="KFGQPC Uthmanic Script HAFS" w:cs="KFGQPC Uthmanic Script HAFS"/>
          <w:sz w:val="28"/>
          <w:szCs w:val="28"/>
          <w:rtl/>
        </w:rPr>
        <w:t xml:space="preserve"> </w:t>
      </w:r>
      <w:r w:rsidR="006633B5" w:rsidRPr="0067048A">
        <w:rPr>
          <w:rFonts w:ascii="KFGQPC Uthmanic Script HAFS" w:cs="KFGQPC Uthmanic Script HAFS" w:hint="eastAsia"/>
          <w:sz w:val="28"/>
          <w:szCs w:val="28"/>
          <w:rtl/>
        </w:rPr>
        <w:t>لِيَح</w:t>
      </w:r>
      <w:r w:rsidR="006633B5" w:rsidRPr="0067048A">
        <w:rPr>
          <w:rFonts w:ascii="KFGQPC Uthmanic Script HAFS" w:cs="KFGQPC Uthmanic Script HAFS" w:hint="cs"/>
          <w:sz w:val="28"/>
          <w:szCs w:val="28"/>
          <w:rtl/>
        </w:rPr>
        <w:t>ۡ</w:t>
      </w:r>
      <w:r w:rsidR="006633B5" w:rsidRPr="0067048A">
        <w:rPr>
          <w:rFonts w:ascii="KFGQPC Uthmanic Script HAFS" w:cs="KFGQPC Uthmanic Script HAFS" w:hint="eastAsia"/>
          <w:sz w:val="28"/>
          <w:szCs w:val="28"/>
          <w:rtl/>
        </w:rPr>
        <w:t>كُمَ</w:t>
      </w:r>
      <w:r w:rsidR="006633B5" w:rsidRPr="0067048A">
        <w:rPr>
          <w:rFonts w:ascii="KFGQPC Uthmanic Script HAFS" w:cs="KFGQPC Uthmanic Script HAFS"/>
          <w:sz w:val="28"/>
          <w:szCs w:val="28"/>
          <w:rtl/>
        </w:rPr>
        <w:t xml:space="preserve"> </w:t>
      </w:r>
      <w:r w:rsidR="006633B5" w:rsidRPr="0067048A">
        <w:rPr>
          <w:rFonts w:ascii="KFGQPC Uthmanic Script HAFS" w:cs="KFGQPC Uthmanic Script HAFS" w:hint="eastAsia"/>
          <w:sz w:val="28"/>
          <w:szCs w:val="28"/>
          <w:rtl/>
        </w:rPr>
        <w:t>بَي</w:t>
      </w:r>
      <w:r w:rsidR="006633B5" w:rsidRPr="0067048A">
        <w:rPr>
          <w:rFonts w:ascii="KFGQPC Uthmanic Script HAFS" w:cs="KFGQPC Uthmanic Script HAFS" w:hint="cs"/>
          <w:sz w:val="28"/>
          <w:szCs w:val="28"/>
          <w:rtl/>
        </w:rPr>
        <w:t>ۡ</w:t>
      </w:r>
      <w:r w:rsidR="006633B5" w:rsidRPr="0067048A">
        <w:rPr>
          <w:rFonts w:ascii="KFGQPC Uthmanic Script HAFS" w:cs="KFGQPC Uthmanic Script HAFS" w:hint="eastAsia"/>
          <w:sz w:val="28"/>
          <w:szCs w:val="28"/>
          <w:rtl/>
        </w:rPr>
        <w:t>نَ</w:t>
      </w:r>
      <w:r w:rsidR="006633B5" w:rsidRPr="0067048A">
        <w:rPr>
          <w:rFonts w:ascii="KFGQPC Uthmanic Script HAFS" w:cs="KFGQPC Uthmanic Script HAFS"/>
          <w:sz w:val="28"/>
          <w:szCs w:val="28"/>
          <w:rtl/>
        </w:rPr>
        <w:t xml:space="preserve"> </w:t>
      </w:r>
      <w:r w:rsidR="006633B5" w:rsidRPr="0067048A">
        <w:rPr>
          <w:rFonts w:ascii="KFGQPC Uthmanic Script HAFS" w:cs="KFGQPC Uthmanic Script HAFS" w:hint="cs"/>
          <w:sz w:val="28"/>
          <w:szCs w:val="28"/>
          <w:rtl/>
        </w:rPr>
        <w:t>ٱ</w:t>
      </w:r>
      <w:r w:rsidR="006633B5" w:rsidRPr="0067048A">
        <w:rPr>
          <w:rFonts w:ascii="KFGQPC Uthmanic Script HAFS" w:cs="KFGQPC Uthmanic Script HAFS" w:hint="eastAsia"/>
          <w:sz w:val="28"/>
          <w:szCs w:val="28"/>
          <w:rtl/>
        </w:rPr>
        <w:t>لنَّاسِ</w:t>
      </w:r>
      <w:r w:rsidR="006633B5" w:rsidRPr="0067048A">
        <w:rPr>
          <w:rFonts w:ascii="KFGQPC Uthmanic Script HAFS" w:cs="KFGQPC Uthmanic Script HAFS"/>
          <w:sz w:val="28"/>
          <w:szCs w:val="28"/>
          <w:rtl/>
        </w:rPr>
        <w:t xml:space="preserve"> </w:t>
      </w:r>
      <w:r w:rsidR="006633B5" w:rsidRPr="0067048A">
        <w:rPr>
          <w:rFonts w:ascii="KFGQPC Uthmanic Script HAFS" w:cs="KFGQPC Uthmanic Script HAFS" w:hint="eastAsia"/>
          <w:sz w:val="28"/>
          <w:szCs w:val="28"/>
          <w:rtl/>
        </w:rPr>
        <w:t>فِيمَا</w:t>
      </w:r>
      <w:r w:rsidR="006633B5" w:rsidRPr="0067048A">
        <w:rPr>
          <w:rFonts w:ascii="KFGQPC Uthmanic Script HAFS" w:cs="KFGQPC Uthmanic Script HAFS"/>
          <w:sz w:val="28"/>
          <w:szCs w:val="28"/>
          <w:rtl/>
        </w:rPr>
        <w:t xml:space="preserve"> </w:t>
      </w:r>
      <w:r w:rsidR="006633B5" w:rsidRPr="0067048A">
        <w:rPr>
          <w:rFonts w:ascii="KFGQPC Uthmanic Script HAFS" w:cs="KFGQPC Uthmanic Script HAFS" w:hint="cs"/>
          <w:sz w:val="28"/>
          <w:szCs w:val="28"/>
          <w:rtl/>
        </w:rPr>
        <w:t>ٱ</w:t>
      </w:r>
      <w:r w:rsidR="006633B5" w:rsidRPr="0067048A">
        <w:rPr>
          <w:rFonts w:ascii="KFGQPC Uthmanic Script HAFS" w:cs="KFGQPC Uthmanic Script HAFS" w:hint="eastAsia"/>
          <w:sz w:val="28"/>
          <w:szCs w:val="28"/>
          <w:rtl/>
        </w:rPr>
        <w:t>خ</w:t>
      </w:r>
      <w:r w:rsidR="006633B5" w:rsidRPr="0067048A">
        <w:rPr>
          <w:rFonts w:ascii="KFGQPC Uthmanic Script HAFS" w:cs="KFGQPC Uthmanic Script HAFS" w:hint="cs"/>
          <w:sz w:val="28"/>
          <w:szCs w:val="28"/>
          <w:rtl/>
        </w:rPr>
        <w:t>ۡ</w:t>
      </w:r>
      <w:r w:rsidR="006633B5" w:rsidRPr="0067048A">
        <w:rPr>
          <w:rFonts w:ascii="KFGQPC Uthmanic Script HAFS" w:cs="KFGQPC Uthmanic Script HAFS" w:hint="eastAsia"/>
          <w:sz w:val="28"/>
          <w:szCs w:val="28"/>
          <w:rtl/>
        </w:rPr>
        <w:t>تَلَفُواْ</w:t>
      </w:r>
      <w:r w:rsidR="006633B5" w:rsidRPr="0067048A">
        <w:rPr>
          <w:rFonts w:ascii="KFGQPC Uthmanic Script HAFS" w:cs="KFGQPC Uthmanic Script HAFS"/>
          <w:sz w:val="28"/>
          <w:szCs w:val="28"/>
          <w:rtl/>
        </w:rPr>
        <w:t xml:space="preserve"> </w:t>
      </w:r>
      <w:r w:rsidR="006633B5" w:rsidRPr="0067048A">
        <w:rPr>
          <w:rFonts w:ascii="KFGQPC Uthmanic Script HAFS" w:cs="KFGQPC Uthmanic Script HAFS" w:hint="eastAsia"/>
          <w:sz w:val="28"/>
          <w:szCs w:val="28"/>
          <w:rtl/>
        </w:rPr>
        <w:t>فِيهِ</w:t>
      </w:r>
      <w:r w:rsidR="006633B5" w:rsidRPr="0067048A">
        <w:rPr>
          <w:rFonts w:ascii="KFGQPC Uthmanic Script HAFS" w:cs="KFGQPC Uthmanic Script HAFS" w:hint="cs"/>
          <w:sz w:val="28"/>
          <w:szCs w:val="28"/>
          <w:rtl/>
        </w:rPr>
        <w:t>ۚ</w:t>
      </w:r>
      <w:r w:rsidR="006633B5" w:rsidRPr="0067048A">
        <w:rPr>
          <w:rFonts w:ascii="KFGQPC Uthmanic Script HAFS" w:cs="KFGQPC Uthmanic Script HAFS"/>
          <w:sz w:val="28"/>
          <w:szCs w:val="28"/>
          <w:rtl/>
        </w:rPr>
        <w:t xml:space="preserve"> </w:t>
      </w:r>
      <w:r w:rsidR="006633B5" w:rsidRPr="0067048A">
        <w:rPr>
          <w:rFonts w:ascii="KFGQPC Uthmanic Script HAFS" w:cs="KFGQPC Uthmanic Script HAFS" w:hint="eastAsia"/>
          <w:sz w:val="28"/>
          <w:szCs w:val="28"/>
          <w:rtl/>
        </w:rPr>
        <w:t>وَمَا</w:t>
      </w:r>
      <w:r w:rsidR="006633B5" w:rsidRPr="0067048A">
        <w:rPr>
          <w:rFonts w:ascii="KFGQPC Uthmanic Script HAFS" w:cs="KFGQPC Uthmanic Script HAFS"/>
          <w:sz w:val="28"/>
          <w:szCs w:val="28"/>
          <w:rtl/>
        </w:rPr>
        <w:t xml:space="preserve"> </w:t>
      </w:r>
      <w:r w:rsidR="006633B5" w:rsidRPr="0067048A">
        <w:rPr>
          <w:rFonts w:ascii="KFGQPC Uthmanic Script HAFS" w:cs="KFGQPC Uthmanic Script HAFS" w:hint="cs"/>
          <w:sz w:val="28"/>
          <w:szCs w:val="28"/>
          <w:rtl/>
        </w:rPr>
        <w:t>ٱ</w:t>
      </w:r>
      <w:r w:rsidR="006633B5" w:rsidRPr="0067048A">
        <w:rPr>
          <w:rFonts w:ascii="KFGQPC Uthmanic Script HAFS" w:cs="KFGQPC Uthmanic Script HAFS" w:hint="eastAsia"/>
          <w:sz w:val="28"/>
          <w:szCs w:val="28"/>
          <w:rtl/>
        </w:rPr>
        <w:t>خ</w:t>
      </w:r>
      <w:r w:rsidR="006633B5" w:rsidRPr="0067048A">
        <w:rPr>
          <w:rFonts w:ascii="KFGQPC Uthmanic Script HAFS" w:cs="KFGQPC Uthmanic Script HAFS" w:hint="cs"/>
          <w:sz w:val="28"/>
          <w:szCs w:val="28"/>
          <w:rtl/>
        </w:rPr>
        <w:t>ۡ</w:t>
      </w:r>
      <w:r w:rsidR="006633B5" w:rsidRPr="0067048A">
        <w:rPr>
          <w:rFonts w:ascii="KFGQPC Uthmanic Script HAFS" w:cs="KFGQPC Uthmanic Script HAFS" w:hint="eastAsia"/>
          <w:sz w:val="28"/>
          <w:szCs w:val="28"/>
          <w:rtl/>
        </w:rPr>
        <w:t>تَلَفَ</w:t>
      </w:r>
      <w:r w:rsidR="006633B5" w:rsidRPr="0067048A">
        <w:rPr>
          <w:rFonts w:ascii="KFGQPC Uthmanic Script HAFS" w:cs="KFGQPC Uthmanic Script HAFS"/>
          <w:sz w:val="28"/>
          <w:szCs w:val="28"/>
          <w:rtl/>
        </w:rPr>
        <w:t xml:space="preserve"> </w:t>
      </w:r>
      <w:r w:rsidR="006633B5" w:rsidRPr="0067048A">
        <w:rPr>
          <w:rFonts w:ascii="KFGQPC Uthmanic Script HAFS" w:cs="KFGQPC Uthmanic Script HAFS" w:hint="eastAsia"/>
          <w:sz w:val="28"/>
          <w:szCs w:val="28"/>
          <w:rtl/>
        </w:rPr>
        <w:t>فِيهِ</w:t>
      </w:r>
      <w:r w:rsidR="006633B5" w:rsidRPr="0067048A">
        <w:rPr>
          <w:rFonts w:ascii="KFGQPC Uthmanic Script HAFS" w:cs="KFGQPC Uthmanic Script HAFS"/>
          <w:sz w:val="28"/>
          <w:szCs w:val="28"/>
          <w:rtl/>
        </w:rPr>
        <w:t xml:space="preserve"> </w:t>
      </w:r>
      <w:r w:rsidR="006633B5" w:rsidRPr="0067048A">
        <w:rPr>
          <w:rFonts w:ascii="KFGQPC Uthmanic Script HAFS" w:cs="KFGQPC Uthmanic Script HAFS" w:hint="eastAsia"/>
          <w:sz w:val="28"/>
          <w:szCs w:val="28"/>
          <w:rtl/>
        </w:rPr>
        <w:t>إِلَّا</w:t>
      </w:r>
      <w:r w:rsidR="006633B5" w:rsidRPr="0067048A">
        <w:rPr>
          <w:rFonts w:ascii="KFGQPC Uthmanic Script HAFS" w:cs="KFGQPC Uthmanic Script HAFS"/>
          <w:sz w:val="28"/>
          <w:szCs w:val="28"/>
          <w:rtl/>
        </w:rPr>
        <w:t xml:space="preserve"> </w:t>
      </w:r>
      <w:r w:rsidR="006633B5" w:rsidRPr="0067048A">
        <w:rPr>
          <w:rFonts w:ascii="KFGQPC Uthmanic Script HAFS" w:cs="KFGQPC Uthmanic Script HAFS" w:hint="cs"/>
          <w:sz w:val="28"/>
          <w:szCs w:val="28"/>
          <w:rtl/>
        </w:rPr>
        <w:t>ٱ</w:t>
      </w:r>
      <w:r w:rsidR="006633B5" w:rsidRPr="0067048A">
        <w:rPr>
          <w:rFonts w:ascii="KFGQPC Uthmanic Script HAFS" w:cs="KFGQPC Uthmanic Script HAFS" w:hint="eastAsia"/>
          <w:sz w:val="28"/>
          <w:szCs w:val="28"/>
          <w:rtl/>
        </w:rPr>
        <w:t>لَّذِينَ</w:t>
      </w:r>
      <w:r w:rsidR="006633B5" w:rsidRPr="0067048A">
        <w:rPr>
          <w:rFonts w:ascii="KFGQPC Uthmanic Script HAFS" w:cs="KFGQPC Uthmanic Script HAFS"/>
          <w:sz w:val="28"/>
          <w:szCs w:val="28"/>
          <w:rtl/>
        </w:rPr>
        <w:t xml:space="preserve"> </w:t>
      </w:r>
      <w:r w:rsidR="006633B5" w:rsidRPr="0067048A">
        <w:rPr>
          <w:rFonts w:ascii="KFGQPC Uthmanic Script HAFS" w:cs="KFGQPC Uthmanic Script HAFS" w:hint="eastAsia"/>
          <w:sz w:val="28"/>
          <w:szCs w:val="28"/>
          <w:rtl/>
        </w:rPr>
        <w:t>أُوتُوهُ</w:t>
      </w:r>
      <w:r w:rsidR="006633B5" w:rsidRPr="0067048A">
        <w:rPr>
          <w:rFonts w:ascii="KFGQPC Uthmanic Script HAFS" w:cs="KFGQPC Uthmanic Script HAFS"/>
          <w:sz w:val="28"/>
          <w:szCs w:val="28"/>
          <w:rtl/>
        </w:rPr>
        <w:t xml:space="preserve"> </w:t>
      </w:r>
      <w:r w:rsidR="006633B5" w:rsidRPr="0067048A">
        <w:rPr>
          <w:rFonts w:ascii="KFGQPC Uthmanic Script HAFS" w:cs="KFGQPC Uthmanic Script HAFS" w:hint="eastAsia"/>
          <w:sz w:val="28"/>
          <w:szCs w:val="28"/>
          <w:rtl/>
        </w:rPr>
        <w:t>مِن</w:t>
      </w:r>
      <w:r w:rsidR="006633B5" w:rsidRPr="0067048A">
        <w:rPr>
          <w:rFonts w:ascii="KFGQPC Uthmanic Script HAFS" w:cs="KFGQPC Uthmanic Script HAFS" w:hint="cs"/>
          <w:sz w:val="28"/>
          <w:szCs w:val="28"/>
          <w:rtl/>
        </w:rPr>
        <w:t>ۢ</w:t>
      </w:r>
      <w:r w:rsidR="006633B5" w:rsidRPr="0067048A">
        <w:rPr>
          <w:rFonts w:ascii="KFGQPC Uthmanic Script HAFS" w:cs="KFGQPC Uthmanic Script HAFS"/>
          <w:sz w:val="28"/>
          <w:szCs w:val="28"/>
          <w:rtl/>
        </w:rPr>
        <w:t xml:space="preserve"> </w:t>
      </w:r>
      <w:r w:rsidR="006633B5" w:rsidRPr="0067048A">
        <w:rPr>
          <w:rFonts w:ascii="KFGQPC Uthmanic Script HAFS" w:cs="KFGQPC Uthmanic Script HAFS" w:hint="eastAsia"/>
          <w:sz w:val="28"/>
          <w:szCs w:val="28"/>
          <w:rtl/>
        </w:rPr>
        <w:t>بَع</w:t>
      </w:r>
      <w:r w:rsidR="006633B5" w:rsidRPr="0067048A">
        <w:rPr>
          <w:rFonts w:ascii="KFGQPC Uthmanic Script HAFS" w:cs="KFGQPC Uthmanic Script HAFS" w:hint="cs"/>
          <w:sz w:val="28"/>
          <w:szCs w:val="28"/>
          <w:rtl/>
        </w:rPr>
        <w:t>ۡ</w:t>
      </w:r>
      <w:r w:rsidR="006633B5" w:rsidRPr="0067048A">
        <w:rPr>
          <w:rFonts w:ascii="KFGQPC Uthmanic Script HAFS" w:cs="KFGQPC Uthmanic Script HAFS" w:hint="eastAsia"/>
          <w:sz w:val="28"/>
          <w:szCs w:val="28"/>
          <w:rtl/>
        </w:rPr>
        <w:t>دِ</w:t>
      </w:r>
      <w:r w:rsidR="006633B5" w:rsidRPr="0067048A">
        <w:rPr>
          <w:rFonts w:ascii="KFGQPC Uthmanic Script HAFS" w:cs="KFGQPC Uthmanic Script HAFS"/>
          <w:sz w:val="28"/>
          <w:szCs w:val="28"/>
          <w:rtl/>
        </w:rPr>
        <w:t xml:space="preserve"> </w:t>
      </w:r>
      <w:r w:rsidR="006633B5" w:rsidRPr="0067048A">
        <w:rPr>
          <w:rFonts w:ascii="KFGQPC Uthmanic Script HAFS" w:cs="KFGQPC Uthmanic Script HAFS" w:hint="eastAsia"/>
          <w:sz w:val="28"/>
          <w:szCs w:val="28"/>
          <w:rtl/>
        </w:rPr>
        <w:t>مَا</w:t>
      </w:r>
      <w:r w:rsidR="006633B5" w:rsidRPr="0067048A">
        <w:rPr>
          <w:rFonts w:ascii="KFGQPC Uthmanic Script HAFS" w:cs="KFGQPC Uthmanic Script HAFS"/>
          <w:sz w:val="28"/>
          <w:szCs w:val="28"/>
          <w:rtl/>
        </w:rPr>
        <w:t xml:space="preserve"> </w:t>
      </w:r>
      <w:r w:rsidR="006633B5" w:rsidRPr="0067048A">
        <w:rPr>
          <w:rFonts w:ascii="KFGQPC Uthmanic Script HAFS" w:cs="KFGQPC Uthmanic Script HAFS" w:hint="eastAsia"/>
          <w:sz w:val="28"/>
          <w:szCs w:val="28"/>
          <w:rtl/>
        </w:rPr>
        <w:t>جَا</w:t>
      </w:r>
      <w:r w:rsidR="006633B5" w:rsidRPr="0067048A">
        <w:rPr>
          <w:rFonts w:ascii="KFGQPC Uthmanic Script HAFS" w:cs="KFGQPC Uthmanic Script HAFS" w:hint="cs"/>
          <w:sz w:val="28"/>
          <w:szCs w:val="28"/>
          <w:rtl/>
        </w:rPr>
        <w:t>ٓ</w:t>
      </w:r>
      <w:r w:rsidR="006633B5" w:rsidRPr="0067048A">
        <w:rPr>
          <w:rFonts w:ascii="KFGQPC Uthmanic Script HAFS" w:cs="KFGQPC Uthmanic Script HAFS" w:hint="eastAsia"/>
          <w:sz w:val="28"/>
          <w:szCs w:val="28"/>
          <w:rtl/>
        </w:rPr>
        <w:t>ءَت</w:t>
      </w:r>
      <w:r w:rsidR="006633B5" w:rsidRPr="0067048A">
        <w:rPr>
          <w:rFonts w:ascii="KFGQPC Uthmanic Script HAFS" w:cs="KFGQPC Uthmanic Script HAFS" w:hint="cs"/>
          <w:sz w:val="28"/>
          <w:szCs w:val="28"/>
          <w:rtl/>
        </w:rPr>
        <w:t>ۡ</w:t>
      </w:r>
      <w:r w:rsidR="006633B5" w:rsidRPr="0067048A">
        <w:rPr>
          <w:rFonts w:ascii="KFGQPC Uthmanic Script HAFS" w:cs="KFGQPC Uthmanic Script HAFS" w:hint="eastAsia"/>
          <w:sz w:val="28"/>
          <w:szCs w:val="28"/>
          <w:rtl/>
        </w:rPr>
        <w:t>هُمُ</w:t>
      </w:r>
      <w:r w:rsidR="006633B5" w:rsidRPr="0067048A">
        <w:rPr>
          <w:rFonts w:ascii="KFGQPC Uthmanic Script HAFS" w:cs="KFGQPC Uthmanic Script HAFS"/>
          <w:sz w:val="28"/>
          <w:szCs w:val="28"/>
          <w:rtl/>
        </w:rPr>
        <w:t xml:space="preserve"> </w:t>
      </w:r>
      <w:r w:rsidR="006633B5" w:rsidRPr="0067048A">
        <w:rPr>
          <w:rFonts w:ascii="KFGQPC Uthmanic Script HAFS" w:cs="KFGQPC Uthmanic Script HAFS" w:hint="cs"/>
          <w:sz w:val="28"/>
          <w:szCs w:val="28"/>
          <w:rtl/>
        </w:rPr>
        <w:t>ٱ</w:t>
      </w:r>
      <w:r w:rsidR="006633B5" w:rsidRPr="0067048A">
        <w:rPr>
          <w:rFonts w:ascii="KFGQPC Uthmanic Script HAFS" w:cs="KFGQPC Uthmanic Script HAFS" w:hint="eastAsia"/>
          <w:sz w:val="28"/>
          <w:szCs w:val="28"/>
          <w:rtl/>
        </w:rPr>
        <w:t>ل</w:t>
      </w:r>
      <w:r w:rsidR="006633B5" w:rsidRPr="0067048A">
        <w:rPr>
          <w:rFonts w:ascii="KFGQPC Uthmanic Script HAFS" w:cs="KFGQPC Uthmanic Script HAFS" w:hint="cs"/>
          <w:sz w:val="28"/>
          <w:szCs w:val="28"/>
          <w:rtl/>
        </w:rPr>
        <w:t>ۡ</w:t>
      </w:r>
      <w:r w:rsidR="006633B5" w:rsidRPr="0067048A">
        <w:rPr>
          <w:rFonts w:ascii="KFGQPC Uthmanic Script HAFS" w:cs="KFGQPC Uthmanic Script HAFS" w:hint="eastAsia"/>
          <w:sz w:val="28"/>
          <w:szCs w:val="28"/>
          <w:rtl/>
        </w:rPr>
        <w:t>بَيِّنَ</w:t>
      </w:r>
      <w:r w:rsidR="006633B5" w:rsidRPr="0067048A">
        <w:rPr>
          <w:rFonts w:ascii="KFGQPC Uthmanic Script HAFS" w:cs="KFGQPC Uthmanic Script HAFS" w:hint="cs"/>
          <w:sz w:val="28"/>
          <w:szCs w:val="28"/>
          <w:rtl/>
        </w:rPr>
        <w:t>ٰ</w:t>
      </w:r>
      <w:r w:rsidR="006633B5" w:rsidRPr="0067048A">
        <w:rPr>
          <w:rFonts w:ascii="KFGQPC Uthmanic Script HAFS" w:cs="KFGQPC Uthmanic Script HAFS" w:hint="eastAsia"/>
          <w:sz w:val="28"/>
          <w:szCs w:val="28"/>
          <w:rtl/>
        </w:rPr>
        <w:t>تُ</w:t>
      </w:r>
      <w:r w:rsidR="006633B5" w:rsidRPr="0067048A">
        <w:rPr>
          <w:rFonts w:ascii="KFGQPC Uthmanic Script HAFS" w:cs="KFGQPC Uthmanic Script HAFS"/>
          <w:sz w:val="28"/>
          <w:szCs w:val="28"/>
          <w:rtl/>
        </w:rPr>
        <w:t xml:space="preserve"> </w:t>
      </w:r>
      <w:r w:rsidR="006633B5" w:rsidRPr="0067048A">
        <w:rPr>
          <w:rFonts w:ascii="KFGQPC Uthmanic Script HAFS" w:cs="KFGQPC Uthmanic Script HAFS" w:hint="eastAsia"/>
          <w:sz w:val="28"/>
          <w:szCs w:val="28"/>
          <w:rtl/>
        </w:rPr>
        <w:t>بَغ</w:t>
      </w:r>
      <w:r w:rsidR="006633B5" w:rsidRPr="0067048A">
        <w:rPr>
          <w:rFonts w:ascii="KFGQPC Uthmanic Script HAFS" w:cs="KFGQPC Uthmanic Script HAFS" w:hint="cs"/>
          <w:sz w:val="28"/>
          <w:szCs w:val="28"/>
          <w:rtl/>
        </w:rPr>
        <w:t>ۡ</w:t>
      </w:r>
      <w:r w:rsidR="006633B5" w:rsidRPr="0067048A">
        <w:rPr>
          <w:rFonts w:ascii="KFGQPC Uthmanic Script HAFS" w:cs="KFGQPC Uthmanic Script HAFS" w:hint="eastAsia"/>
          <w:sz w:val="28"/>
          <w:szCs w:val="28"/>
          <w:rtl/>
        </w:rPr>
        <w:t>يَ</w:t>
      </w:r>
      <w:r w:rsidR="006633B5" w:rsidRPr="0067048A">
        <w:rPr>
          <w:rFonts w:ascii="KFGQPC Uthmanic Script HAFS" w:cs="KFGQPC Uthmanic Script HAFS" w:hint="cs"/>
          <w:sz w:val="28"/>
          <w:szCs w:val="28"/>
          <w:rtl/>
        </w:rPr>
        <w:t>ۢ</w:t>
      </w:r>
      <w:r w:rsidR="006633B5" w:rsidRPr="0067048A">
        <w:rPr>
          <w:rFonts w:ascii="KFGQPC Uthmanic Script HAFS" w:cs="KFGQPC Uthmanic Script HAFS" w:hint="eastAsia"/>
          <w:sz w:val="28"/>
          <w:szCs w:val="28"/>
          <w:rtl/>
        </w:rPr>
        <w:t>ا</w:t>
      </w:r>
      <w:r w:rsidR="006633B5" w:rsidRPr="0067048A">
        <w:rPr>
          <w:rFonts w:ascii="KFGQPC Uthmanic Script HAFS" w:cs="KFGQPC Uthmanic Script HAFS"/>
          <w:sz w:val="28"/>
          <w:szCs w:val="28"/>
          <w:rtl/>
        </w:rPr>
        <w:t xml:space="preserve"> </w:t>
      </w:r>
      <w:r w:rsidR="006633B5" w:rsidRPr="0067048A">
        <w:rPr>
          <w:rFonts w:ascii="KFGQPC Uthmanic Script HAFS" w:cs="KFGQPC Uthmanic Script HAFS" w:hint="eastAsia"/>
          <w:sz w:val="28"/>
          <w:szCs w:val="28"/>
          <w:rtl/>
        </w:rPr>
        <w:t>بَي</w:t>
      </w:r>
      <w:r w:rsidR="006633B5" w:rsidRPr="0067048A">
        <w:rPr>
          <w:rFonts w:ascii="KFGQPC Uthmanic Script HAFS" w:cs="KFGQPC Uthmanic Script HAFS" w:hint="cs"/>
          <w:sz w:val="28"/>
          <w:szCs w:val="28"/>
          <w:rtl/>
        </w:rPr>
        <w:t>ۡ</w:t>
      </w:r>
      <w:r w:rsidR="006633B5" w:rsidRPr="0067048A">
        <w:rPr>
          <w:rFonts w:ascii="KFGQPC Uthmanic Script HAFS" w:cs="KFGQPC Uthmanic Script HAFS" w:hint="eastAsia"/>
          <w:sz w:val="28"/>
          <w:szCs w:val="28"/>
          <w:rtl/>
        </w:rPr>
        <w:t>نَهُم</w:t>
      </w:r>
      <w:r w:rsidR="006633B5" w:rsidRPr="0067048A">
        <w:rPr>
          <w:rFonts w:ascii="KFGQPC Uthmanic Script HAFS" w:cs="KFGQPC Uthmanic Script HAFS" w:hint="cs"/>
          <w:sz w:val="28"/>
          <w:szCs w:val="28"/>
          <w:rtl/>
        </w:rPr>
        <w:t>ۡ</w:t>
      </w:r>
      <w:r w:rsidR="006633B5" w:rsidRPr="00995B26">
        <w:rPr>
          <w:rFonts w:ascii="KFGQPC Uthmanic Script HAFS" w:cs="Times New Roman" w:hint="cs"/>
          <w:sz w:val="28"/>
          <w:rtl/>
        </w:rPr>
        <w:t>...</w:t>
      </w:r>
      <w:r w:rsidR="006633B5" w:rsidRPr="00995B26">
        <w:rPr>
          <w:rFonts w:cs="Traditional Arabic" w:hint="cs"/>
          <w:szCs w:val="30"/>
          <w:rtl/>
          <w:lang w:bidi="ar-SY"/>
        </w:rPr>
        <w:t>﴾</w:t>
      </w:r>
      <w:r w:rsidR="006633B5" w:rsidRPr="00495BAB">
        <w:rPr>
          <w:rFonts w:hint="cs"/>
          <w:rtl/>
          <w:lang w:bidi="ar-SY"/>
        </w:rPr>
        <w:t xml:space="preserve"> </w:t>
      </w:r>
      <w:r w:rsidRPr="009E1401">
        <w:rPr>
          <w:rStyle w:val="Char2"/>
          <w:rFonts w:hint="cs"/>
          <w:rtl/>
        </w:rPr>
        <w:t>[البقرة</w:t>
      </w:r>
      <w:r w:rsidR="006633B5" w:rsidRPr="009E1401">
        <w:rPr>
          <w:rStyle w:val="Char2"/>
          <w:rFonts w:hint="cs"/>
          <w:rtl/>
        </w:rPr>
        <w:t xml:space="preserve">: </w:t>
      </w:r>
      <w:r w:rsidRPr="009E1401">
        <w:rPr>
          <w:rStyle w:val="Char2"/>
          <w:rFonts w:hint="cs"/>
          <w:rtl/>
        </w:rPr>
        <w:t>213]</w:t>
      </w:r>
      <w:r w:rsidRPr="00495BAB">
        <w:rPr>
          <w:rFonts w:hint="cs"/>
          <w:rtl/>
          <w:lang w:bidi="ar-SY"/>
        </w:rPr>
        <w:t xml:space="preserve"> وعشرات الآيات الأخرى التي نزلت في ذمِّ علماء السوء وبيَّن القرآن لنا بعض النماذج الخارجية عنهم، في آيات يمكننا أن نقول إنها بحدِّ ذاتها من أكبر معجزات مؤسِّس الإسلام، وذلك عندما خاطب المؤمنين فقال: </w:t>
      </w:r>
      <w:r w:rsidR="006633B5" w:rsidRPr="00995B26">
        <w:rPr>
          <w:rFonts w:cs="Traditional Arabic" w:hint="cs"/>
          <w:szCs w:val="30"/>
          <w:rtl/>
          <w:lang w:bidi="ar-SY"/>
        </w:rPr>
        <w:t>﴿</w:t>
      </w:r>
      <w:r w:rsidR="006633B5" w:rsidRPr="0067048A">
        <w:rPr>
          <w:rFonts w:ascii="KFGQPC Uthmanic Script HAFS" w:cs="KFGQPC Uthmanic Script HAFS" w:hint="eastAsia"/>
          <w:sz w:val="28"/>
          <w:szCs w:val="28"/>
          <w:rtl/>
        </w:rPr>
        <w:t>إِنَّ</w:t>
      </w:r>
      <w:r w:rsidR="006633B5" w:rsidRPr="0067048A">
        <w:rPr>
          <w:rFonts w:ascii="KFGQPC Uthmanic Script HAFS" w:cs="KFGQPC Uthmanic Script HAFS"/>
          <w:sz w:val="28"/>
          <w:szCs w:val="28"/>
          <w:rtl/>
        </w:rPr>
        <w:t xml:space="preserve"> </w:t>
      </w:r>
      <w:r w:rsidR="006633B5" w:rsidRPr="0067048A">
        <w:rPr>
          <w:rFonts w:ascii="KFGQPC Uthmanic Script HAFS" w:cs="KFGQPC Uthmanic Script HAFS" w:hint="eastAsia"/>
          <w:sz w:val="28"/>
          <w:szCs w:val="28"/>
          <w:rtl/>
        </w:rPr>
        <w:t>كَثِير</w:t>
      </w:r>
      <w:r w:rsidR="006633B5" w:rsidRPr="0067048A">
        <w:rPr>
          <w:rFonts w:ascii="KFGQPC Uthmanic Script HAFS" w:cs="KFGQPC Uthmanic Script HAFS" w:hint="cs"/>
          <w:sz w:val="28"/>
          <w:szCs w:val="28"/>
          <w:rtl/>
        </w:rPr>
        <w:t>ٗ</w:t>
      </w:r>
      <w:r w:rsidR="006633B5" w:rsidRPr="0067048A">
        <w:rPr>
          <w:rFonts w:ascii="KFGQPC Uthmanic Script HAFS" w:cs="KFGQPC Uthmanic Script HAFS" w:hint="eastAsia"/>
          <w:sz w:val="28"/>
          <w:szCs w:val="28"/>
          <w:rtl/>
        </w:rPr>
        <w:t>ا</w:t>
      </w:r>
      <w:r w:rsidR="006633B5" w:rsidRPr="0067048A">
        <w:rPr>
          <w:rFonts w:ascii="KFGQPC Uthmanic Script HAFS" w:cs="KFGQPC Uthmanic Script HAFS"/>
          <w:sz w:val="28"/>
          <w:szCs w:val="28"/>
          <w:rtl/>
        </w:rPr>
        <w:t xml:space="preserve"> </w:t>
      </w:r>
      <w:r w:rsidR="006633B5" w:rsidRPr="0067048A">
        <w:rPr>
          <w:rFonts w:ascii="KFGQPC Uthmanic Script HAFS" w:cs="KFGQPC Uthmanic Script HAFS" w:hint="eastAsia"/>
          <w:sz w:val="28"/>
          <w:szCs w:val="28"/>
          <w:rtl/>
        </w:rPr>
        <w:t>مِّنَ</w:t>
      </w:r>
      <w:r w:rsidR="006633B5" w:rsidRPr="0067048A">
        <w:rPr>
          <w:rFonts w:ascii="KFGQPC Uthmanic Script HAFS" w:cs="KFGQPC Uthmanic Script HAFS"/>
          <w:sz w:val="28"/>
          <w:szCs w:val="28"/>
          <w:rtl/>
        </w:rPr>
        <w:t xml:space="preserve"> </w:t>
      </w:r>
      <w:r w:rsidR="006633B5" w:rsidRPr="0067048A">
        <w:rPr>
          <w:rFonts w:ascii="KFGQPC Uthmanic Script HAFS" w:cs="KFGQPC Uthmanic Script HAFS" w:hint="cs"/>
          <w:sz w:val="28"/>
          <w:szCs w:val="28"/>
          <w:rtl/>
        </w:rPr>
        <w:t>ٱ</w:t>
      </w:r>
      <w:r w:rsidR="006633B5" w:rsidRPr="0067048A">
        <w:rPr>
          <w:rFonts w:ascii="KFGQPC Uthmanic Script HAFS" w:cs="KFGQPC Uthmanic Script HAFS" w:hint="eastAsia"/>
          <w:sz w:val="28"/>
          <w:szCs w:val="28"/>
          <w:rtl/>
        </w:rPr>
        <w:t>ل</w:t>
      </w:r>
      <w:r w:rsidR="006633B5" w:rsidRPr="0067048A">
        <w:rPr>
          <w:rFonts w:ascii="KFGQPC Uthmanic Script HAFS" w:cs="KFGQPC Uthmanic Script HAFS" w:hint="cs"/>
          <w:sz w:val="28"/>
          <w:szCs w:val="28"/>
          <w:rtl/>
        </w:rPr>
        <w:t>ۡ</w:t>
      </w:r>
      <w:r w:rsidR="006633B5" w:rsidRPr="0067048A">
        <w:rPr>
          <w:rFonts w:ascii="KFGQPC Uthmanic Script HAFS" w:cs="KFGQPC Uthmanic Script HAFS" w:hint="eastAsia"/>
          <w:sz w:val="28"/>
          <w:szCs w:val="28"/>
          <w:rtl/>
        </w:rPr>
        <w:t>أَح</w:t>
      </w:r>
      <w:r w:rsidR="006633B5" w:rsidRPr="0067048A">
        <w:rPr>
          <w:rFonts w:ascii="KFGQPC Uthmanic Script HAFS" w:cs="KFGQPC Uthmanic Script HAFS" w:hint="cs"/>
          <w:sz w:val="28"/>
          <w:szCs w:val="28"/>
          <w:rtl/>
        </w:rPr>
        <w:t>ۡ</w:t>
      </w:r>
      <w:r w:rsidR="006633B5" w:rsidRPr="0067048A">
        <w:rPr>
          <w:rFonts w:ascii="KFGQPC Uthmanic Script HAFS" w:cs="KFGQPC Uthmanic Script HAFS" w:hint="eastAsia"/>
          <w:sz w:val="28"/>
          <w:szCs w:val="28"/>
          <w:rtl/>
        </w:rPr>
        <w:t>بَارِ</w:t>
      </w:r>
      <w:r w:rsidR="006633B5" w:rsidRPr="0067048A">
        <w:rPr>
          <w:rFonts w:ascii="KFGQPC Uthmanic Script HAFS" w:cs="KFGQPC Uthmanic Script HAFS"/>
          <w:sz w:val="28"/>
          <w:szCs w:val="28"/>
          <w:rtl/>
        </w:rPr>
        <w:t xml:space="preserve"> </w:t>
      </w:r>
      <w:r w:rsidR="006633B5" w:rsidRPr="0067048A">
        <w:rPr>
          <w:rFonts w:ascii="KFGQPC Uthmanic Script HAFS" w:cs="KFGQPC Uthmanic Script HAFS" w:hint="eastAsia"/>
          <w:sz w:val="28"/>
          <w:szCs w:val="28"/>
          <w:rtl/>
        </w:rPr>
        <w:t>وَ</w:t>
      </w:r>
      <w:r w:rsidR="006633B5" w:rsidRPr="0067048A">
        <w:rPr>
          <w:rFonts w:ascii="KFGQPC Uthmanic Script HAFS" w:cs="KFGQPC Uthmanic Script HAFS" w:hint="cs"/>
          <w:sz w:val="28"/>
          <w:szCs w:val="28"/>
          <w:rtl/>
        </w:rPr>
        <w:t>ٱ</w:t>
      </w:r>
      <w:r w:rsidR="006633B5" w:rsidRPr="0067048A">
        <w:rPr>
          <w:rFonts w:ascii="KFGQPC Uthmanic Script HAFS" w:cs="KFGQPC Uthmanic Script HAFS" w:hint="eastAsia"/>
          <w:sz w:val="28"/>
          <w:szCs w:val="28"/>
          <w:rtl/>
        </w:rPr>
        <w:t>لرُّه</w:t>
      </w:r>
      <w:r w:rsidR="006633B5" w:rsidRPr="0067048A">
        <w:rPr>
          <w:rFonts w:ascii="KFGQPC Uthmanic Script HAFS" w:cs="KFGQPC Uthmanic Script HAFS" w:hint="cs"/>
          <w:sz w:val="28"/>
          <w:szCs w:val="28"/>
          <w:rtl/>
        </w:rPr>
        <w:t>ۡ</w:t>
      </w:r>
      <w:r w:rsidR="006633B5" w:rsidRPr="0067048A">
        <w:rPr>
          <w:rFonts w:ascii="KFGQPC Uthmanic Script HAFS" w:cs="KFGQPC Uthmanic Script HAFS" w:hint="eastAsia"/>
          <w:sz w:val="28"/>
          <w:szCs w:val="28"/>
          <w:rtl/>
        </w:rPr>
        <w:t>بَانِ</w:t>
      </w:r>
      <w:r w:rsidR="006633B5" w:rsidRPr="0067048A">
        <w:rPr>
          <w:rFonts w:ascii="KFGQPC Uthmanic Script HAFS" w:cs="KFGQPC Uthmanic Script HAFS"/>
          <w:sz w:val="28"/>
          <w:szCs w:val="28"/>
          <w:rtl/>
        </w:rPr>
        <w:t xml:space="preserve"> </w:t>
      </w:r>
      <w:r w:rsidR="006633B5" w:rsidRPr="0067048A">
        <w:rPr>
          <w:rFonts w:ascii="KFGQPC Uthmanic Script HAFS" w:cs="KFGQPC Uthmanic Script HAFS" w:hint="eastAsia"/>
          <w:sz w:val="28"/>
          <w:szCs w:val="28"/>
          <w:rtl/>
        </w:rPr>
        <w:t>لَيَأ</w:t>
      </w:r>
      <w:r w:rsidR="006633B5" w:rsidRPr="0067048A">
        <w:rPr>
          <w:rFonts w:ascii="KFGQPC Uthmanic Script HAFS" w:cs="KFGQPC Uthmanic Script HAFS" w:hint="cs"/>
          <w:sz w:val="28"/>
          <w:szCs w:val="28"/>
          <w:rtl/>
        </w:rPr>
        <w:t>ۡ</w:t>
      </w:r>
      <w:r w:rsidR="006633B5" w:rsidRPr="0067048A">
        <w:rPr>
          <w:rFonts w:ascii="KFGQPC Uthmanic Script HAFS" w:cs="KFGQPC Uthmanic Script HAFS" w:hint="eastAsia"/>
          <w:sz w:val="28"/>
          <w:szCs w:val="28"/>
          <w:rtl/>
        </w:rPr>
        <w:t>كُلُونَ</w:t>
      </w:r>
      <w:r w:rsidR="006633B5" w:rsidRPr="0067048A">
        <w:rPr>
          <w:rFonts w:ascii="KFGQPC Uthmanic Script HAFS" w:cs="KFGQPC Uthmanic Script HAFS"/>
          <w:sz w:val="28"/>
          <w:szCs w:val="28"/>
          <w:rtl/>
        </w:rPr>
        <w:t xml:space="preserve"> </w:t>
      </w:r>
      <w:r w:rsidR="006633B5" w:rsidRPr="0067048A">
        <w:rPr>
          <w:rFonts w:ascii="KFGQPC Uthmanic Script HAFS" w:cs="KFGQPC Uthmanic Script HAFS" w:hint="eastAsia"/>
          <w:sz w:val="28"/>
          <w:szCs w:val="28"/>
          <w:rtl/>
        </w:rPr>
        <w:t>أَم</w:t>
      </w:r>
      <w:r w:rsidR="006633B5" w:rsidRPr="0067048A">
        <w:rPr>
          <w:rFonts w:ascii="KFGQPC Uthmanic Script HAFS" w:cs="KFGQPC Uthmanic Script HAFS" w:hint="cs"/>
          <w:sz w:val="28"/>
          <w:szCs w:val="28"/>
          <w:rtl/>
        </w:rPr>
        <w:t>ۡ</w:t>
      </w:r>
      <w:r w:rsidR="006633B5" w:rsidRPr="0067048A">
        <w:rPr>
          <w:rFonts w:ascii="KFGQPC Uthmanic Script HAFS" w:cs="KFGQPC Uthmanic Script HAFS" w:hint="eastAsia"/>
          <w:sz w:val="28"/>
          <w:szCs w:val="28"/>
          <w:rtl/>
        </w:rPr>
        <w:t>وَ</w:t>
      </w:r>
      <w:r w:rsidR="006633B5" w:rsidRPr="0067048A">
        <w:rPr>
          <w:rFonts w:ascii="KFGQPC Uthmanic Script HAFS" w:cs="KFGQPC Uthmanic Script HAFS" w:hint="cs"/>
          <w:sz w:val="28"/>
          <w:szCs w:val="28"/>
          <w:rtl/>
        </w:rPr>
        <w:t>ٰ</w:t>
      </w:r>
      <w:r w:rsidR="006633B5" w:rsidRPr="0067048A">
        <w:rPr>
          <w:rFonts w:ascii="KFGQPC Uthmanic Script HAFS" w:cs="KFGQPC Uthmanic Script HAFS" w:hint="eastAsia"/>
          <w:sz w:val="28"/>
          <w:szCs w:val="28"/>
          <w:rtl/>
        </w:rPr>
        <w:t>لَ</w:t>
      </w:r>
      <w:r w:rsidR="006633B5" w:rsidRPr="0067048A">
        <w:rPr>
          <w:rFonts w:ascii="KFGQPC Uthmanic Script HAFS" w:cs="KFGQPC Uthmanic Script HAFS"/>
          <w:sz w:val="28"/>
          <w:szCs w:val="28"/>
          <w:rtl/>
        </w:rPr>
        <w:t xml:space="preserve"> </w:t>
      </w:r>
      <w:r w:rsidR="006633B5" w:rsidRPr="0067048A">
        <w:rPr>
          <w:rFonts w:ascii="KFGQPC Uthmanic Script HAFS" w:cs="KFGQPC Uthmanic Script HAFS" w:hint="cs"/>
          <w:sz w:val="28"/>
          <w:szCs w:val="28"/>
          <w:rtl/>
        </w:rPr>
        <w:t>ٱ</w:t>
      </w:r>
      <w:r w:rsidR="006633B5" w:rsidRPr="0067048A">
        <w:rPr>
          <w:rFonts w:ascii="KFGQPC Uthmanic Script HAFS" w:cs="KFGQPC Uthmanic Script HAFS" w:hint="eastAsia"/>
          <w:sz w:val="28"/>
          <w:szCs w:val="28"/>
          <w:rtl/>
        </w:rPr>
        <w:t>لنَّاسِ</w:t>
      </w:r>
      <w:r w:rsidR="006633B5" w:rsidRPr="0067048A">
        <w:rPr>
          <w:rFonts w:ascii="KFGQPC Uthmanic Script HAFS" w:cs="KFGQPC Uthmanic Script HAFS"/>
          <w:sz w:val="28"/>
          <w:szCs w:val="28"/>
          <w:rtl/>
        </w:rPr>
        <w:t xml:space="preserve"> </w:t>
      </w:r>
      <w:r w:rsidR="006633B5" w:rsidRPr="0067048A">
        <w:rPr>
          <w:rFonts w:ascii="KFGQPC Uthmanic Script HAFS" w:cs="KFGQPC Uthmanic Script HAFS" w:hint="eastAsia"/>
          <w:sz w:val="28"/>
          <w:szCs w:val="28"/>
          <w:rtl/>
        </w:rPr>
        <w:t>بِ</w:t>
      </w:r>
      <w:r w:rsidR="006633B5" w:rsidRPr="0067048A">
        <w:rPr>
          <w:rFonts w:ascii="KFGQPC Uthmanic Script HAFS" w:cs="KFGQPC Uthmanic Script HAFS" w:hint="cs"/>
          <w:sz w:val="28"/>
          <w:szCs w:val="28"/>
          <w:rtl/>
        </w:rPr>
        <w:t>ٱ</w:t>
      </w:r>
      <w:r w:rsidR="006633B5" w:rsidRPr="0067048A">
        <w:rPr>
          <w:rFonts w:ascii="KFGQPC Uthmanic Script HAFS" w:cs="KFGQPC Uthmanic Script HAFS" w:hint="eastAsia"/>
          <w:sz w:val="28"/>
          <w:szCs w:val="28"/>
          <w:rtl/>
        </w:rPr>
        <w:t>ل</w:t>
      </w:r>
      <w:r w:rsidR="006633B5" w:rsidRPr="0067048A">
        <w:rPr>
          <w:rFonts w:ascii="KFGQPC Uthmanic Script HAFS" w:cs="KFGQPC Uthmanic Script HAFS" w:hint="cs"/>
          <w:sz w:val="28"/>
          <w:szCs w:val="28"/>
          <w:rtl/>
        </w:rPr>
        <w:t>ۡ</w:t>
      </w:r>
      <w:r w:rsidR="006633B5" w:rsidRPr="0067048A">
        <w:rPr>
          <w:rFonts w:ascii="KFGQPC Uthmanic Script HAFS" w:cs="KFGQPC Uthmanic Script HAFS" w:hint="eastAsia"/>
          <w:sz w:val="28"/>
          <w:szCs w:val="28"/>
          <w:rtl/>
        </w:rPr>
        <w:t>بَ</w:t>
      </w:r>
      <w:r w:rsidR="006633B5" w:rsidRPr="0067048A">
        <w:rPr>
          <w:rFonts w:ascii="KFGQPC Uthmanic Script HAFS" w:cs="KFGQPC Uthmanic Script HAFS" w:hint="cs"/>
          <w:sz w:val="28"/>
          <w:szCs w:val="28"/>
          <w:rtl/>
        </w:rPr>
        <w:t>ٰ</w:t>
      </w:r>
      <w:r w:rsidR="006633B5" w:rsidRPr="0067048A">
        <w:rPr>
          <w:rFonts w:ascii="KFGQPC Uthmanic Script HAFS" w:cs="KFGQPC Uthmanic Script HAFS" w:hint="eastAsia"/>
          <w:sz w:val="28"/>
          <w:szCs w:val="28"/>
          <w:rtl/>
        </w:rPr>
        <w:t>طِلِ</w:t>
      </w:r>
      <w:r w:rsidR="006633B5" w:rsidRPr="0067048A">
        <w:rPr>
          <w:rFonts w:ascii="KFGQPC Uthmanic Script HAFS" w:cs="KFGQPC Uthmanic Script HAFS"/>
          <w:sz w:val="28"/>
          <w:szCs w:val="28"/>
          <w:rtl/>
        </w:rPr>
        <w:t xml:space="preserve"> </w:t>
      </w:r>
      <w:r w:rsidR="006633B5" w:rsidRPr="0067048A">
        <w:rPr>
          <w:rFonts w:ascii="KFGQPC Uthmanic Script HAFS" w:cs="KFGQPC Uthmanic Script HAFS" w:hint="eastAsia"/>
          <w:sz w:val="28"/>
          <w:szCs w:val="28"/>
          <w:rtl/>
        </w:rPr>
        <w:t>وَيَصُدُّونَ</w:t>
      </w:r>
      <w:r w:rsidR="006633B5" w:rsidRPr="0067048A">
        <w:rPr>
          <w:rFonts w:ascii="KFGQPC Uthmanic Script HAFS" w:cs="KFGQPC Uthmanic Script HAFS"/>
          <w:sz w:val="28"/>
          <w:szCs w:val="28"/>
          <w:rtl/>
        </w:rPr>
        <w:t xml:space="preserve"> </w:t>
      </w:r>
      <w:r w:rsidR="006633B5" w:rsidRPr="0067048A">
        <w:rPr>
          <w:rFonts w:ascii="KFGQPC Uthmanic Script HAFS" w:cs="KFGQPC Uthmanic Script HAFS" w:hint="eastAsia"/>
          <w:sz w:val="28"/>
          <w:szCs w:val="28"/>
          <w:rtl/>
        </w:rPr>
        <w:t>عَن</w:t>
      </w:r>
      <w:r w:rsidR="006633B5" w:rsidRPr="0067048A">
        <w:rPr>
          <w:rFonts w:ascii="KFGQPC Uthmanic Script HAFS" w:cs="KFGQPC Uthmanic Script HAFS"/>
          <w:sz w:val="28"/>
          <w:szCs w:val="28"/>
          <w:rtl/>
        </w:rPr>
        <w:t xml:space="preserve"> </w:t>
      </w:r>
      <w:r w:rsidR="006633B5" w:rsidRPr="0067048A">
        <w:rPr>
          <w:rFonts w:ascii="KFGQPC Uthmanic Script HAFS" w:cs="KFGQPC Uthmanic Script HAFS" w:hint="eastAsia"/>
          <w:sz w:val="28"/>
          <w:szCs w:val="28"/>
          <w:rtl/>
        </w:rPr>
        <w:t>سَبِيلِ</w:t>
      </w:r>
      <w:r w:rsidR="006633B5" w:rsidRPr="0067048A">
        <w:rPr>
          <w:rFonts w:ascii="KFGQPC Uthmanic Script HAFS" w:cs="KFGQPC Uthmanic Script HAFS"/>
          <w:sz w:val="28"/>
          <w:szCs w:val="28"/>
          <w:rtl/>
        </w:rPr>
        <w:t xml:space="preserve"> </w:t>
      </w:r>
      <w:r w:rsidR="006633B5" w:rsidRPr="0067048A">
        <w:rPr>
          <w:rFonts w:ascii="KFGQPC Uthmanic Script HAFS" w:cs="KFGQPC Uthmanic Script HAFS" w:hint="cs"/>
          <w:sz w:val="28"/>
          <w:szCs w:val="28"/>
          <w:rtl/>
        </w:rPr>
        <w:t>ٱ</w:t>
      </w:r>
      <w:r w:rsidR="006633B5" w:rsidRPr="0067048A">
        <w:rPr>
          <w:rFonts w:ascii="KFGQPC Uthmanic Script HAFS" w:cs="KFGQPC Uthmanic Script HAFS" w:hint="eastAsia"/>
          <w:sz w:val="28"/>
          <w:szCs w:val="28"/>
          <w:rtl/>
        </w:rPr>
        <w:t>للَّهِ</w:t>
      </w:r>
      <w:r w:rsidR="006633B5" w:rsidRPr="00995B26">
        <w:rPr>
          <w:rFonts w:ascii="KFGQPC Uthmanic Script HAFS" w:cs="Times New Roman" w:hint="cs"/>
          <w:sz w:val="28"/>
          <w:rtl/>
        </w:rPr>
        <w:t>...</w:t>
      </w:r>
      <w:r w:rsidR="006633B5" w:rsidRPr="00995B26">
        <w:rPr>
          <w:rFonts w:cs="Traditional Arabic" w:hint="cs"/>
          <w:szCs w:val="30"/>
          <w:rtl/>
          <w:lang w:bidi="ar-SY"/>
        </w:rPr>
        <w:t>﴾</w:t>
      </w:r>
      <w:r w:rsidR="006633B5" w:rsidRPr="00495BAB">
        <w:rPr>
          <w:rFonts w:hint="cs"/>
          <w:rtl/>
          <w:lang w:bidi="ar-SY"/>
        </w:rPr>
        <w:t xml:space="preserve"> </w:t>
      </w:r>
      <w:r w:rsidRPr="009E1401">
        <w:rPr>
          <w:rStyle w:val="Char2"/>
          <w:rFonts w:hint="cs"/>
          <w:rtl/>
        </w:rPr>
        <w:t>[التوبة</w:t>
      </w:r>
      <w:r w:rsidR="006633B5" w:rsidRPr="009E1401">
        <w:rPr>
          <w:rStyle w:val="Char2"/>
          <w:rFonts w:hint="cs"/>
          <w:rtl/>
        </w:rPr>
        <w:t xml:space="preserve">: </w:t>
      </w:r>
      <w:r w:rsidRPr="009E1401">
        <w:rPr>
          <w:rStyle w:val="Char2"/>
          <w:rFonts w:hint="cs"/>
          <w:rtl/>
        </w:rPr>
        <w:t>34]</w:t>
      </w:r>
      <w:r w:rsidRPr="00495BAB">
        <w:rPr>
          <w:rFonts w:hint="cs"/>
          <w:rtl/>
          <w:lang w:bidi="ar-SY"/>
        </w:rPr>
        <w:t xml:space="preserve">. أقول: فمثل علماء السوء هؤلاء ليسوا موضعاً لاحترامي بل لا يمكن لأيّ مؤمن بالله ورسوله أن يحترمهم، وليس هذا فحسب بل قد ذهب كتابُ الله إلى حدِّ جواز لعنهم، أي جواز الطعن فيهم بأشد العبارات، </w:t>
      </w:r>
      <w:r w:rsidRPr="00495BAB">
        <w:rPr>
          <w:rtl/>
          <w:lang w:bidi="ar-SY"/>
        </w:rPr>
        <w:t>وَمِنْ ثَمَّ</w:t>
      </w:r>
      <w:r w:rsidRPr="00495BAB">
        <w:rPr>
          <w:rFonts w:hint="cs"/>
          <w:rtl/>
          <w:lang w:bidi="ar-SY"/>
        </w:rPr>
        <w:t xml:space="preserve"> فلن أتوانى -أنا عبده العاجز - عن مثل هذا اللعن لهم والطعن فيهم! فقد شبَّهَهم اللهُ في كتابه أحيانًا بالحيوانات، كما قال تعالى عن أحد علماء السوء:</w:t>
      </w:r>
      <w:r w:rsidR="006633B5" w:rsidRPr="00495BAB">
        <w:rPr>
          <w:rFonts w:hint="cs"/>
          <w:rtl/>
          <w:lang w:bidi="ar-SY"/>
        </w:rPr>
        <w:t xml:space="preserve"> </w:t>
      </w:r>
      <w:r w:rsidR="006633B5" w:rsidRPr="00995B26">
        <w:rPr>
          <w:rFonts w:cs="Traditional Arabic" w:hint="cs"/>
          <w:szCs w:val="30"/>
          <w:rtl/>
          <w:lang w:bidi="ar-SY"/>
        </w:rPr>
        <w:t>﴿</w:t>
      </w:r>
      <w:r w:rsidR="006633B5" w:rsidRPr="00995B26">
        <w:rPr>
          <w:rFonts w:ascii="KFGQPC Uthmanic Script HAFS" w:cs="KFGQPC Uthmanic Script HAFS" w:hint="eastAsia"/>
          <w:sz w:val="29"/>
          <w:szCs w:val="29"/>
          <w:rtl/>
          <w:lang w:bidi="fa-IR"/>
        </w:rPr>
        <w:t>وَ</w:t>
      </w:r>
      <w:r w:rsidR="006633B5" w:rsidRPr="00995B26">
        <w:rPr>
          <w:rFonts w:ascii="KFGQPC Uthmanic Script HAFS" w:cs="KFGQPC Uthmanic Script HAFS" w:hint="cs"/>
          <w:sz w:val="29"/>
          <w:szCs w:val="29"/>
          <w:rtl/>
          <w:lang w:bidi="fa-IR"/>
        </w:rPr>
        <w:t>ٱ</w:t>
      </w:r>
      <w:r w:rsidR="006633B5" w:rsidRPr="00995B26">
        <w:rPr>
          <w:rFonts w:ascii="KFGQPC Uthmanic Script HAFS" w:cs="KFGQPC Uthmanic Script HAFS" w:hint="eastAsia"/>
          <w:sz w:val="29"/>
          <w:szCs w:val="29"/>
          <w:rtl/>
          <w:lang w:bidi="fa-IR"/>
        </w:rPr>
        <w:t>ت</w:t>
      </w:r>
      <w:r w:rsidR="006633B5" w:rsidRPr="00995B26">
        <w:rPr>
          <w:rFonts w:ascii="KFGQPC Uthmanic Script HAFS" w:cs="KFGQPC Uthmanic Script HAFS" w:hint="cs"/>
          <w:sz w:val="29"/>
          <w:szCs w:val="29"/>
          <w:rtl/>
          <w:lang w:bidi="fa-IR"/>
        </w:rPr>
        <w:t>ۡ</w:t>
      </w:r>
      <w:r w:rsidR="006633B5" w:rsidRPr="00995B26">
        <w:rPr>
          <w:rFonts w:ascii="KFGQPC Uthmanic Script HAFS" w:cs="KFGQPC Uthmanic Script HAFS" w:hint="eastAsia"/>
          <w:sz w:val="29"/>
          <w:szCs w:val="29"/>
          <w:rtl/>
          <w:lang w:bidi="fa-IR"/>
        </w:rPr>
        <w:t>لُ</w:t>
      </w:r>
      <w:r w:rsidR="006633B5" w:rsidRPr="00995B26">
        <w:rPr>
          <w:rFonts w:ascii="KFGQPC Uthmanic Script HAFS" w:cs="KFGQPC Uthmanic Script HAFS"/>
          <w:sz w:val="29"/>
          <w:szCs w:val="29"/>
          <w:rtl/>
          <w:lang w:bidi="fa-IR"/>
        </w:rPr>
        <w:t xml:space="preserve"> </w:t>
      </w:r>
      <w:r w:rsidR="006633B5" w:rsidRPr="00995B26">
        <w:rPr>
          <w:rFonts w:ascii="KFGQPC Uthmanic Script HAFS" w:cs="KFGQPC Uthmanic Script HAFS" w:hint="eastAsia"/>
          <w:sz w:val="29"/>
          <w:szCs w:val="29"/>
          <w:rtl/>
          <w:lang w:bidi="fa-IR"/>
        </w:rPr>
        <w:t>عَلَي</w:t>
      </w:r>
      <w:r w:rsidR="006633B5" w:rsidRPr="00995B26">
        <w:rPr>
          <w:rFonts w:ascii="KFGQPC Uthmanic Script HAFS" w:cs="KFGQPC Uthmanic Script HAFS" w:hint="cs"/>
          <w:sz w:val="29"/>
          <w:szCs w:val="29"/>
          <w:rtl/>
          <w:lang w:bidi="fa-IR"/>
        </w:rPr>
        <w:t>ۡ</w:t>
      </w:r>
      <w:r w:rsidR="006633B5" w:rsidRPr="00995B26">
        <w:rPr>
          <w:rFonts w:ascii="KFGQPC Uthmanic Script HAFS" w:cs="KFGQPC Uthmanic Script HAFS" w:hint="eastAsia"/>
          <w:sz w:val="29"/>
          <w:szCs w:val="29"/>
          <w:rtl/>
          <w:lang w:bidi="fa-IR"/>
        </w:rPr>
        <w:t>هِم</w:t>
      </w:r>
      <w:r w:rsidR="006633B5" w:rsidRPr="00995B26">
        <w:rPr>
          <w:rFonts w:ascii="KFGQPC Uthmanic Script HAFS" w:cs="KFGQPC Uthmanic Script HAFS" w:hint="cs"/>
          <w:sz w:val="29"/>
          <w:szCs w:val="29"/>
          <w:rtl/>
          <w:lang w:bidi="fa-IR"/>
        </w:rPr>
        <w:t>ۡ</w:t>
      </w:r>
      <w:r w:rsidR="006633B5" w:rsidRPr="00995B26">
        <w:rPr>
          <w:rFonts w:ascii="KFGQPC Uthmanic Script HAFS" w:cs="KFGQPC Uthmanic Script HAFS"/>
          <w:sz w:val="29"/>
          <w:szCs w:val="29"/>
          <w:rtl/>
          <w:lang w:bidi="fa-IR"/>
        </w:rPr>
        <w:t xml:space="preserve"> </w:t>
      </w:r>
      <w:r w:rsidR="006633B5" w:rsidRPr="00995B26">
        <w:rPr>
          <w:rFonts w:ascii="KFGQPC Uthmanic Script HAFS" w:cs="KFGQPC Uthmanic Script HAFS" w:hint="eastAsia"/>
          <w:sz w:val="29"/>
          <w:szCs w:val="29"/>
          <w:rtl/>
          <w:lang w:bidi="fa-IR"/>
        </w:rPr>
        <w:t>نَبَأَ</w:t>
      </w:r>
      <w:r w:rsidR="006633B5" w:rsidRPr="00995B26">
        <w:rPr>
          <w:rFonts w:ascii="KFGQPC Uthmanic Script HAFS" w:cs="KFGQPC Uthmanic Script HAFS"/>
          <w:sz w:val="29"/>
          <w:szCs w:val="29"/>
          <w:rtl/>
          <w:lang w:bidi="fa-IR"/>
        </w:rPr>
        <w:t xml:space="preserve"> </w:t>
      </w:r>
      <w:r w:rsidR="006633B5" w:rsidRPr="00995B26">
        <w:rPr>
          <w:rFonts w:ascii="KFGQPC Uthmanic Script HAFS" w:cs="KFGQPC Uthmanic Script HAFS" w:hint="cs"/>
          <w:sz w:val="29"/>
          <w:szCs w:val="29"/>
          <w:rtl/>
          <w:lang w:bidi="fa-IR"/>
        </w:rPr>
        <w:t>ٱ</w:t>
      </w:r>
      <w:r w:rsidR="006633B5" w:rsidRPr="00995B26">
        <w:rPr>
          <w:rFonts w:ascii="KFGQPC Uthmanic Script HAFS" w:cs="KFGQPC Uthmanic Script HAFS" w:hint="eastAsia"/>
          <w:sz w:val="29"/>
          <w:szCs w:val="29"/>
          <w:rtl/>
          <w:lang w:bidi="fa-IR"/>
        </w:rPr>
        <w:t>لَّذِي</w:t>
      </w:r>
      <w:r w:rsidR="006633B5" w:rsidRPr="00995B26">
        <w:rPr>
          <w:rFonts w:ascii="KFGQPC Uthmanic Script HAFS" w:cs="KFGQPC Uthmanic Script HAFS" w:hint="cs"/>
          <w:sz w:val="29"/>
          <w:szCs w:val="29"/>
          <w:rtl/>
          <w:lang w:bidi="fa-IR"/>
        </w:rPr>
        <w:t>ٓ</w:t>
      </w:r>
      <w:r w:rsidR="006633B5" w:rsidRPr="00995B26">
        <w:rPr>
          <w:rFonts w:ascii="KFGQPC Uthmanic Script HAFS" w:cs="KFGQPC Uthmanic Script HAFS"/>
          <w:sz w:val="29"/>
          <w:szCs w:val="29"/>
          <w:rtl/>
          <w:lang w:bidi="fa-IR"/>
        </w:rPr>
        <w:t xml:space="preserve"> </w:t>
      </w:r>
      <w:r w:rsidR="006633B5" w:rsidRPr="00995B26">
        <w:rPr>
          <w:rFonts w:ascii="KFGQPC Uthmanic Script HAFS" w:cs="KFGQPC Uthmanic Script HAFS" w:hint="eastAsia"/>
          <w:sz w:val="29"/>
          <w:szCs w:val="29"/>
          <w:rtl/>
          <w:lang w:bidi="fa-IR"/>
        </w:rPr>
        <w:t>ءَاتَي</w:t>
      </w:r>
      <w:r w:rsidR="006633B5" w:rsidRPr="00995B26">
        <w:rPr>
          <w:rFonts w:ascii="KFGQPC Uthmanic Script HAFS" w:cs="KFGQPC Uthmanic Script HAFS" w:hint="cs"/>
          <w:sz w:val="29"/>
          <w:szCs w:val="29"/>
          <w:rtl/>
          <w:lang w:bidi="fa-IR"/>
        </w:rPr>
        <w:t>ۡ</w:t>
      </w:r>
      <w:r w:rsidR="006633B5" w:rsidRPr="00995B26">
        <w:rPr>
          <w:rFonts w:ascii="KFGQPC Uthmanic Script HAFS" w:cs="KFGQPC Uthmanic Script HAFS" w:hint="eastAsia"/>
          <w:sz w:val="29"/>
          <w:szCs w:val="29"/>
          <w:rtl/>
          <w:lang w:bidi="fa-IR"/>
        </w:rPr>
        <w:t>نَ</w:t>
      </w:r>
      <w:r w:rsidR="006633B5" w:rsidRPr="00995B26">
        <w:rPr>
          <w:rFonts w:ascii="KFGQPC Uthmanic Script HAFS" w:cs="KFGQPC Uthmanic Script HAFS" w:hint="cs"/>
          <w:sz w:val="29"/>
          <w:szCs w:val="29"/>
          <w:rtl/>
          <w:lang w:bidi="fa-IR"/>
        </w:rPr>
        <w:t>ٰ</w:t>
      </w:r>
      <w:r w:rsidR="006633B5" w:rsidRPr="00995B26">
        <w:rPr>
          <w:rFonts w:ascii="KFGQPC Uthmanic Script HAFS" w:cs="KFGQPC Uthmanic Script HAFS" w:hint="eastAsia"/>
          <w:sz w:val="29"/>
          <w:szCs w:val="29"/>
          <w:rtl/>
          <w:lang w:bidi="fa-IR"/>
        </w:rPr>
        <w:t>هُ</w:t>
      </w:r>
      <w:r w:rsidR="006633B5" w:rsidRPr="00995B26">
        <w:rPr>
          <w:rFonts w:ascii="KFGQPC Uthmanic Script HAFS" w:cs="KFGQPC Uthmanic Script HAFS"/>
          <w:sz w:val="29"/>
          <w:szCs w:val="29"/>
          <w:rtl/>
          <w:lang w:bidi="fa-IR"/>
        </w:rPr>
        <w:t xml:space="preserve"> </w:t>
      </w:r>
      <w:r w:rsidR="006633B5" w:rsidRPr="00995B26">
        <w:rPr>
          <w:rFonts w:ascii="KFGQPC Uthmanic Script HAFS" w:cs="KFGQPC Uthmanic Script HAFS" w:hint="eastAsia"/>
          <w:sz w:val="29"/>
          <w:szCs w:val="29"/>
          <w:rtl/>
          <w:lang w:bidi="fa-IR"/>
        </w:rPr>
        <w:t>ءَايَ</w:t>
      </w:r>
      <w:r w:rsidR="006633B5" w:rsidRPr="00995B26">
        <w:rPr>
          <w:rFonts w:ascii="KFGQPC Uthmanic Script HAFS" w:cs="KFGQPC Uthmanic Script HAFS" w:hint="cs"/>
          <w:sz w:val="29"/>
          <w:szCs w:val="29"/>
          <w:rtl/>
          <w:lang w:bidi="fa-IR"/>
        </w:rPr>
        <w:t>ٰ</w:t>
      </w:r>
      <w:r w:rsidR="006633B5" w:rsidRPr="00995B26">
        <w:rPr>
          <w:rFonts w:ascii="KFGQPC Uthmanic Script HAFS" w:cs="KFGQPC Uthmanic Script HAFS" w:hint="eastAsia"/>
          <w:sz w:val="29"/>
          <w:szCs w:val="29"/>
          <w:rtl/>
          <w:lang w:bidi="fa-IR"/>
        </w:rPr>
        <w:t>تِنَا</w:t>
      </w:r>
      <w:r w:rsidR="006633B5" w:rsidRPr="00995B26">
        <w:rPr>
          <w:rFonts w:ascii="KFGQPC Uthmanic Script HAFS" w:cs="KFGQPC Uthmanic Script HAFS"/>
          <w:sz w:val="29"/>
          <w:szCs w:val="29"/>
          <w:rtl/>
          <w:lang w:bidi="fa-IR"/>
        </w:rPr>
        <w:t xml:space="preserve"> </w:t>
      </w:r>
      <w:r w:rsidR="006633B5" w:rsidRPr="00995B26">
        <w:rPr>
          <w:rFonts w:ascii="KFGQPC Uthmanic Script HAFS" w:cs="KFGQPC Uthmanic Script HAFS" w:hint="eastAsia"/>
          <w:sz w:val="29"/>
          <w:szCs w:val="29"/>
          <w:rtl/>
          <w:lang w:bidi="fa-IR"/>
        </w:rPr>
        <w:t>فَ</w:t>
      </w:r>
      <w:r w:rsidR="006633B5" w:rsidRPr="00995B26">
        <w:rPr>
          <w:rFonts w:ascii="KFGQPC Uthmanic Script HAFS" w:cs="KFGQPC Uthmanic Script HAFS" w:hint="cs"/>
          <w:sz w:val="29"/>
          <w:szCs w:val="29"/>
          <w:rtl/>
          <w:lang w:bidi="fa-IR"/>
        </w:rPr>
        <w:t>ٱ</w:t>
      </w:r>
      <w:r w:rsidR="006633B5" w:rsidRPr="00995B26">
        <w:rPr>
          <w:rFonts w:ascii="KFGQPC Uthmanic Script HAFS" w:cs="KFGQPC Uthmanic Script HAFS" w:hint="eastAsia"/>
          <w:sz w:val="29"/>
          <w:szCs w:val="29"/>
          <w:rtl/>
          <w:lang w:bidi="fa-IR"/>
        </w:rPr>
        <w:t>نسَلَخَ</w:t>
      </w:r>
      <w:r w:rsidR="006633B5" w:rsidRPr="00995B26">
        <w:rPr>
          <w:rFonts w:ascii="KFGQPC Uthmanic Script HAFS" w:cs="KFGQPC Uthmanic Script HAFS"/>
          <w:sz w:val="29"/>
          <w:szCs w:val="29"/>
          <w:rtl/>
          <w:lang w:bidi="fa-IR"/>
        </w:rPr>
        <w:t xml:space="preserve"> </w:t>
      </w:r>
      <w:r w:rsidR="006633B5" w:rsidRPr="00995B26">
        <w:rPr>
          <w:rFonts w:ascii="KFGQPC Uthmanic Script HAFS" w:cs="KFGQPC Uthmanic Script HAFS" w:hint="eastAsia"/>
          <w:sz w:val="29"/>
          <w:szCs w:val="29"/>
          <w:rtl/>
          <w:lang w:bidi="fa-IR"/>
        </w:rPr>
        <w:t>مِن</w:t>
      </w:r>
      <w:r w:rsidR="006633B5" w:rsidRPr="00995B26">
        <w:rPr>
          <w:rFonts w:ascii="KFGQPC Uthmanic Script HAFS" w:cs="KFGQPC Uthmanic Script HAFS" w:hint="cs"/>
          <w:sz w:val="29"/>
          <w:szCs w:val="29"/>
          <w:rtl/>
          <w:lang w:bidi="fa-IR"/>
        </w:rPr>
        <w:t>ۡ</w:t>
      </w:r>
      <w:r w:rsidR="006633B5" w:rsidRPr="00995B26">
        <w:rPr>
          <w:rFonts w:ascii="KFGQPC Uthmanic Script HAFS" w:cs="KFGQPC Uthmanic Script HAFS" w:hint="eastAsia"/>
          <w:sz w:val="29"/>
          <w:szCs w:val="29"/>
          <w:rtl/>
          <w:lang w:bidi="fa-IR"/>
        </w:rPr>
        <w:t>هَا</w:t>
      </w:r>
      <w:r w:rsidR="006633B5" w:rsidRPr="00995B26">
        <w:rPr>
          <w:rFonts w:ascii="KFGQPC Uthmanic Script HAFS" w:cs="KFGQPC Uthmanic Script HAFS"/>
          <w:sz w:val="29"/>
          <w:szCs w:val="29"/>
          <w:rtl/>
          <w:lang w:bidi="fa-IR"/>
        </w:rPr>
        <w:t xml:space="preserve"> </w:t>
      </w:r>
      <w:r w:rsidR="006633B5" w:rsidRPr="00995B26">
        <w:rPr>
          <w:rFonts w:ascii="KFGQPC Uthmanic Script HAFS" w:cs="KFGQPC Uthmanic Script HAFS" w:hint="eastAsia"/>
          <w:sz w:val="29"/>
          <w:szCs w:val="29"/>
          <w:rtl/>
          <w:lang w:bidi="fa-IR"/>
        </w:rPr>
        <w:t>فَأَت</w:t>
      </w:r>
      <w:r w:rsidR="006633B5" w:rsidRPr="00995B26">
        <w:rPr>
          <w:rFonts w:ascii="KFGQPC Uthmanic Script HAFS" w:cs="KFGQPC Uthmanic Script HAFS" w:hint="cs"/>
          <w:sz w:val="29"/>
          <w:szCs w:val="29"/>
          <w:rtl/>
          <w:lang w:bidi="fa-IR"/>
        </w:rPr>
        <w:t>ۡ</w:t>
      </w:r>
      <w:r w:rsidR="006633B5" w:rsidRPr="00995B26">
        <w:rPr>
          <w:rFonts w:ascii="KFGQPC Uthmanic Script HAFS" w:cs="KFGQPC Uthmanic Script HAFS" w:hint="eastAsia"/>
          <w:sz w:val="29"/>
          <w:szCs w:val="29"/>
          <w:rtl/>
          <w:lang w:bidi="fa-IR"/>
        </w:rPr>
        <w:t>بَعَهُ</w:t>
      </w:r>
      <w:r w:rsidR="006633B5" w:rsidRPr="00995B26">
        <w:rPr>
          <w:rFonts w:ascii="KFGQPC Uthmanic Script HAFS" w:cs="KFGQPC Uthmanic Script HAFS"/>
          <w:sz w:val="29"/>
          <w:szCs w:val="29"/>
          <w:rtl/>
          <w:lang w:bidi="fa-IR"/>
        </w:rPr>
        <w:t xml:space="preserve"> </w:t>
      </w:r>
      <w:r w:rsidR="006633B5" w:rsidRPr="00995B26">
        <w:rPr>
          <w:rFonts w:ascii="KFGQPC Uthmanic Script HAFS" w:cs="KFGQPC Uthmanic Script HAFS" w:hint="cs"/>
          <w:sz w:val="29"/>
          <w:szCs w:val="29"/>
          <w:rtl/>
          <w:lang w:bidi="fa-IR"/>
        </w:rPr>
        <w:t>ٱ</w:t>
      </w:r>
      <w:r w:rsidR="006633B5" w:rsidRPr="00995B26">
        <w:rPr>
          <w:rFonts w:ascii="KFGQPC Uthmanic Script HAFS" w:cs="KFGQPC Uthmanic Script HAFS" w:hint="eastAsia"/>
          <w:sz w:val="29"/>
          <w:szCs w:val="29"/>
          <w:rtl/>
          <w:lang w:bidi="fa-IR"/>
        </w:rPr>
        <w:t>لشَّي</w:t>
      </w:r>
      <w:r w:rsidR="006633B5" w:rsidRPr="00995B26">
        <w:rPr>
          <w:rFonts w:ascii="KFGQPC Uthmanic Script HAFS" w:cs="KFGQPC Uthmanic Script HAFS" w:hint="cs"/>
          <w:sz w:val="29"/>
          <w:szCs w:val="29"/>
          <w:rtl/>
          <w:lang w:bidi="fa-IR"/>
        </w:rPr>
        <w:t>ۡ</w:t>
      </w:r>
      <w:r w:rsidR="006633B5" w:rsidRPr="00995B26">
        <w:rPr>
          <w:rFonts w:ascii="KFGQPC Uthmanic Script HAFS" w:cs="KFGQPC Uthmanic Script HAFS" w:hint="eastAsia"/>
          <w:sz w:val="29"/>
          <w:szCs w:val="29"/>
          <w:rtl/>
          <w:lang w:bidi="fa-IR"/>
        </w:rPr>
        <w:t>طَ</w:t>
      </w:r>
      <w:r w:rsidR="006633B5" w:rsidRPr="00995B26">
        <w:rPr>
          <w:rFonts w:ascii="KFGQPC Uthmanic Script HAFS" w:cs="KFGQPC Uthmanic Script HAFS" w:hint="cs"/>
          <w:sz w:val="29"/>
          <w:szCs w:val="29"/>
          <w:rtl/>
          <w:lang w:bidi="fa-IR"/>
        </w:rPr>
        <w:t>ٰ</w:t>
      </w:r>
      <w:r w:rsidR="006633B5" w:rsidRPr="00995B26">
        <w:rPr>
          <w:rFonts w:ascii="KFGQPC Uthmanic Script HAFS" w:cs="KFGQPC Uthmanic Script HAFS" w:hint="eastAsia"/>
          <w:sz w:val="29"/>
          <w:szCs w:val="29"/>
          <w:rtl/>
          <w:lang w:bidi="fa-IR"/>
        </w:rPr>
        <w:t>نُ</w:t>
      </w:r>
      <w:r w:rsidR="006633B5" w:rsidRPr="00995B26">
        <w:rPr>
          <w:rFonts w:ascii="KFGQPC Uthmanic Script HAFS" w:cs="KFGQPC Uthmanic Script HAFS"/>
          <w:sz w:val="29"/>
          <w:szCs w:val="29"/>
          <w:rtl/>
          <w:lang w:bidi="fa-IR"/>
        </w:rPr>
        <w:t xml:space="preserve"> </w:t>
      </w:r>
      <w:r w:rsidR="006633B5" w:rsidRPr="00995B26">
        <w:rPr>
          <w:rFonts w:ascii="KFGQPC Uthmanic Script HAFS" w:cs="KFGQPC Uthmanic Script HAFS" w:hint="eastAsia"/>
          <w:sz w:val="29"/>
          <w:szCs w:val="29"/>
          <w:rtl/>
          <w:lang w:bidi="fa-IR"/>
        </w:rPr>
        <w:t>فَكَانَ</w:t>
      </w:r>
      <w:r w:rsidR="006633B5" w:rsidRPr="00995B26">
        <w:rPr>
          <w:rFonts w:ascii="KFGQPC Uthmanic Script HAFS" w:cs="KFGQPC Uthmanic Script HAFS"/>
          <w:sz w:val="29"/>
          <w:szCs w:val="29"/>
          <w:rtl/>
          <w:lang w:bidi="fa-IR"/>
        </w:rPr>
        <w:t xml:space="preserve"> </w:t>
      </w:r>
      <w:r w:rsidR="006633B5" w:rsidRPr="00995B26">
        <w:rPr>
          <w:rFonts w:ascii="KFGQPC Uthmanic Script HAFS" w:cs="KFGQPC Uthmanic Script HAFS" w:hint="eastAsia"/>
          <w:sz w:val="29"/>
          <w:szCs w:val="29"/>
          <w:rtl/>
          <w:lang w:bidi="fa-IR"/>
        </w:rPr>
        <w:t>مِنَ</w:t>
      </w:r>
      <w:r w:rsidR="006633B5" w:rsidRPr="00995B26">
        <w:rPr>
          <w:rFonts w:ascii="KFGQPC Uthmanic Script HAFS" w:cs="KFGQPC Uthmanic Script HAFS"/>
          <w:sz w:val="29"/>
          <w:szCs w:val="29"/>
          <w:rtl/>
          <w:lang w:bidi="fa-IR"/>
        </w:rPr>
        <w:t xml:space="preserve"> </w:t>
      </w:r>
      <w:r w:rsidR="006633B5" w:rsidRPr="00995B26">
        <w:rPr>
          <w:rFonts w:ascii="KFGQPC Uthmanic Script HAFS" w:cs="KFGQPC Uthmanic Script HAFS" w:hint="cs"/>
          <w:sz w:val="29"/>
          <w:szCs w:val="29"/>
          <w:rtl/>
          <w:lang w:bidi="fa-IR"/>
        </w:rPr>
        <w:t>ٱ</w:t>
      </w:r>
      <w:r w:rsidR="006633B5" w:rsidRPr="00995B26">
        <w:rPr>
          <w:rFonts w:ascii="KFGQPC Uthmanic Script HAFS" w:cs="KFGQPC Uthmanic Script HAFS" w:hint="eastAsia"/>
          <w:sz w:val="29"/>
          <w:szCs w:val="29"/>
          <w:rtl/>
          <w:lang w:bidi="fa-IR"/>
        </w:rPr>
        <w:t>ل</w:t>
      </w:r>
      <w:r w:rsidR="006633B5" w:rsidRPr="00995B26">
        <w:rPr>
          <w:rFonts w:ascii="KFGQPC Uthmanic Script HAFS" w:cs="KFGQPC Uthmanic Script HAFS" w:hint="cs"/>
          <w:sz w:val="29"/>
          <w:szCs w:val="29"/>
          <w:rtl/>
          <w:lang w:bidi="fa-IR"/>
        </w:rPr>
        <w:t>ۡ</w:t>
      </w:r>
      <w:r w:rsidR="006633B5" w:rsidRPr="00995B26">
        <w:rPr>
          <w:rFonts w:ascii="KFGQPC Uthmanic Script HAFS" w:cs="KFGQPC Uthmanic Script HAFS" w:hint="eastAsia"/>
          <w:sz w:val="29"/>
          <w:szCs w:val="29"/>
          <w:rtl/>
          <w:lang w:bidi="fa-IR"/>
        </w:rPr>
        <w:t>غَاوِينَ</w:t>
      </w:r>
      <w:r w:rsidR="006633B5" w:rsidRPr="00995B26">
        <w:rPr>
          <w:rFonts w:ascii="KFGQPC Uthmanic Script HAFS" w:cs="KFGQPC Uthmanic Script HAFS"/>
          <w:sz w:val="29"/>
          <w:szCs w:val="29"/>
          <w:rtl/>
          <w:lang w:bidi="fa-IR"/>
        </w:rPr>
        <w:t xml:space="preserve"> </w:t>
      </w:r>
      <w:r w:rsidR="006633B5" w:rsidRPr="00995B26">
        <w:rPr>
          <w:rFonts w:ascii="KFGQPC Uthmanic Script HAFS" w:cs="KFGQPC Uthmanic Script HAFS" w:hint="cs"/>
          <w:sz w:val="29"/>
          <w:szCs w:val="29"/>
          <w:rtl/>
          <w:lang w:bidi="fa-IR"/>
        </w:rPr>
        <w:t>١٧٥</w:t>
      </w:r>
      <w:r w:rsidR="006633B5" w:rsidRPr="00995B26">
        <w:rPr>
          <w:rFonts w:ascii="KFGQPC Uthmanic Script HAFS" w:cs="KFGQPC Uthmanic Script HAFS"/>
          <w:sz w:val="29"/>
          <w:szCs w:val="29"/>
          <w:rtl/>
          <w:lang w:bidi="fa-IR"/>
        </w:rPr>
        <w:t xml:space="preserve"> </w:t>
      </w:r>
      <w:r w:rsidR="006633B5" w:rsidRPr="00995B26">
        <w:rPr>
          <w:rFonts w:ascii="KFGQPC Uthmanic Script HAFS" w:cs="KFGQPC Uthmanic Script HAFS" w:hint="eastAsia"/>
          <w:sz w:val="29"/>
          <w:szCs w:val="29"/>
          <w:rtl/>
          <w:lang w:bidi="fa-IR"/>
        </w:rPr>
        <w:t>وَلَو</w:t>
      </w:r>
      <w:r w:rsidR="006633B5" w:rsidRPr="00995B26">
        <w:rPr>
          <w:rFonts w:ascii="KFGQPC Uthmanic Script HAFS" w:cs="KFGQPC Uthmanic Script HAFS" w:hint="cs"/>
          <w:sz w:val="29"/>
          <w:szCs w:val="29"/>
          <w:rtl/>
          <w:lang w:bidi="fa-IR"/>
        </w:rPr>
        <w:t>ۡ</w:t>
      </w:r>
      <w:r w:rsidR="006633B5" w:rsidRPr="00995B26">
        <w:rPr>
          <w:rFonts w:ascii="KFGQPC Uthmanic Script HAFS" w:cs="KFGQPC Uthmanic Script HAFS"/>
          <w:sz w:val="29"/>
          <w:szCs w:val="29"/>
          <w:rtl/>
          <w:lang w:bidi="fa-IR"/>
        </w:rPr>
        <w:t xml:space="preserve"> </w:t>
      </w:r>
      <w:r w:rsidR="006633B5" w:rsidRPr="00995B26">
        <w:rPr>
          <w:rFonts w:ascii="KFGQPC Uthmanic Script HAFS" w:cs="KFGQPC Uthmanic Script HAFS" w:hint="eastAsia"/>
          <w:sz w:val="29"/>
          <w:szCs w:val="29"/>
          <w:rtl/>
          <w:lang w:bidi="fa-IR"/>
        </w:rPr>
        <w:t>شِئ</w:t>
      </w:r>
      <w:r w:rsidR="006633B5" w:rsidRPr="00995B26">
        <w:rPr>
          <w:rFonts w:ascii="KFGQPC Uthmanic Script HAFS" w:cs="KFGQPC Uthmanic Script HAFS" w:hint="cs"/>
          <w:sz w:val="29"/>
          <w:szCs w:val="29"/>
          <w:rtl/>
          <w:lang w:bidi="fa-IR"/>
        </w:rPr>
        <w:t>ۡ</w:t>
      </w:r>
      <w:r w:rsidR="006633B5" w:rsidRPr="00995B26">
        <w:rPr>
          <w:rFonts w:ascii="KFGQPC Uthmanic Script HAFS" w:cs="KFGQPC Uthmanic Script HAFS" w:hint="eastAsia"/>
          <w:sz w:val="29"/>
          <w:szCs w:val="29"/>
          <w:rtl/>
          <w:lang w:bidi="fa-IR"/>
        </w:rPr>
        <w:t>نَالَرَفَع</w:t>
      </w:r>
      <w:r w:rsidR="006633B5" w:rsidRPr="00995B26">
        <w:rPr>
          <w:rFonts w:ascii="KFGQPC Uthmanic Script HAFS" w:cs="KFGQPC Uthmanic Script HAFS" w:hint="cs"/>
          <w:sz w:val="29"/>
          <w:szCs w:val="29"/>
          <w:rtl/>
          <w:lang w:bidi="fa-IR"/>
        </w:rPr>
        <w:t>ۡ</w:t>
      </w:r>
      <w:r w:rsidR="006633B5" w:rsidRPr="00995B26">
        <w:rPr>
          <w:rFonts w:ascii="KFGQPC Uthmanic Script HAFS" w:cs="KFGQPC Uthmanic Script HAFS" w:hint="eastAsia"/>
          <w:sz w:val="29"/>
          <w:szCs w:val="29"/>
          <w:rtl/>
          <w:lang w:bidi="fa-IR"/>
        </w:rPr>
        <w:t>نَ</w:t>
      </w:r>
      <w:r w:rsidR="006633B5" w:rsidRPr="00995B26">
        <w:rPr>
          <w:rFonts w:ascii="KFGQPC Uthmanic Script HAFS" w:cs="KFGQPC Uthmanic Script HAFS" w:hint="cs"/>
          <w:sz w:val="29"/>
          <w:szCs w:val="29"/>
          <w:rtl/>
          <w:lang w:bidi="fa-IR"/>
        </w:rPr>
        <w:t>ٰ</w:t>
      </w:r>
      <w:r w:rsidR="006633B5" w:rsidRPr="00995B26">
        <w:rPr>
          <w:rFonts w:ascii="KFGQPC Uthmanic Script HAFS" w:cs="KFGQPC Uthmanic Script HAFS" w:hint="eastAsia"/>
          <w:sz w:val="29"/>
          <w:szCs w:val="29"/>
          <w:rtl/>
          <w:lang w:bidi="fa-IR"/>
        </w:rPr>
        <w:t>هُ</w:t>
      </w:r>
      <w:r w:rsidR="006633B5" w:rsidRPr="00995B26">
        <w:rPr>
          <w:rFonts w:ascii="KFGQPC Uthmanic Script HAFS" w:cs="KFGQPC Uthmanic Script HAFS"/>
          <w:sz w:val="29"/>
          <w:szCs w:val="29"/>
          <w:rtl/>
          <w:lang w:bidi="fa-IR"/>
        </w:rPr>
        <w:t xml:space="preserve"> </w:t>
      </w:r>
      <w:r w:rsidR="006633B5" w:rsidRPr="00995B26">
        <w:rPr>
          <w:rFonts w:ascii="KFGQPC Uthmanic Script HAFS" w:cs="KFGQPC Uthmanic Script HAFS" w:hint="eastAsia"/>
          <w:sz w:val="29"/>
          <w:szCs w:val="29"/>
          <w:rtl/>
          <w:lang w:bidi="fa-IR"/>
        </w:rPr>
        <w:t>بِهَا</w:t>
      </w:r>
      <w:r w:rsidR="006633B5" w:rsidRPr="00995B26">
        <w:rPr>
          <w:rFonts w:ascii="KFGQPC Uthmanic Script HAFS" w:cs="KFGQPC Uthmanic Script HAFS"/>
          <w:sz w:val="29"/>
          <w:szCs w:val="29"/>
          <w:rtl/>
          <w:lang w:bidi="fa-IR"/>
        </w:rPr>
        <w:t xml:space="preserve"> </w:t>
      </w:r>
      <w:r w:rsidR="006633B5" w:rsidRPr="00995B26">
        <w:rPr>
          <w:rFonts w:ascii="KFGQPC Uthmanic Script HAFS" w:cs="KFGQPC Uthmanic Script HAFS" w:hint="eastAsia"/>
          <w:sz w:val="29"/>
          <w:szCs w:val="29"/>
          <w:rtl/>
          <w:lang w:bidi="fa-IR"/>
        </w:rPr>
        <w:t>وَلَ</w:t>
      </w:r>
      <w:r w:rsidR="006633B5" w:rsidRPr="00995B26">
        <w:rPr>
          <w:rFonts w:ascii="KFGQPC Uthmanic Script HAFS" w:cs="KFGQPC Uthmanic Script HAFS" w:hint="cs"/>
          <w:sz w:val="29"/>
          <w:szCs w:val="29"/>
          <w:rtl/>
          <w:lang w:bidi="fa-IR"/>
        </w:rPr>
        <w:t>ٰ</w:t>
      </w:r>
      <w:r w:rsidR="006633B5" w:rsidRPr="00995B26">
        <w:rPr>
          <w:rFonts w:ascii="KFGQPC Uthmanic Script HAFS" w:cs="KFGQPC Uthmanic Script HAFS" w:hint="eastAsia"/>
          <w:sz w:val="29"/>
          <w:szCs w:val="29"/>
          <w:rtl/>
          <w:lang w:bidi="fa-IR"/>
        </w:rPr>
        <w:t>كِنَّهُ</w:t>
      </w:r>
      <w:r w:rsidR="006633B5" w:rsidRPr="00995B26">
        <w:rPr>
          <w:rFonts w:ascii="KFGQPC Uthmanic Script HAFS" w:cs="KFGQPC Uthmanic Script HAFS" w:hint="cs"/>
          <w:sz w:val="29"/>
          <w:szCs w:val="29"/>
          <w:rtl/>
          <w:lang w:bidi="fa-IR"/>
        </w:rPr>
        <w:t>ۥٓ</w:t>
      </w:r>
      <w:r w:rsidR="006633B5" w:rsidRPr="00995B26">
        <w:rPr>
          <w:rFonts w:ascii="KFGQPC Uthmanic Script HAFS" w:cs="KFGQPC Uthmanic Script HAFS"/>
          <w:sz w:val="29"/>
          <w:szCs w:val="29"/>
          <w:rtl/>
          <w:lang w:bidi="fa-IR"/>
        </w:rPr>
        <w:t xml:space="preserve"> </w:t>
      </w:r>
      <w:r w:rsidR="006633B5" w:rsidRPr="00995B26">
        <w:rPr>
          <w:rFonts w:ascii="KFGQPC Uthmanic Script HAFS" w:cs="KFGQPC Uthmanic Script HAFS" w:hint="eastAsia"/>
          <w:sz w:val="29"/>
          <w:szCs w:val="29"/>
          <w:rtl/>
          <w:lang w:bidi="fa-IR"/>
        </w:rPr>
        <w:t>أَخ</w:t>
      </w:r>
      <w:r w:rsidR="006633B5" w:rsidRPr="00995B26">
        <w:rPr>
          <w:rFonts w:ascii="KFGQPC Uthmanic Script HAFS" w:cs="KFGQPC Uthmanic Script HAFS" w:hint="cs"/>
          <w:sz w:val="29"/>
          <w:szCs w:val="29"/>
          <w:rtl/>
          <w:lang w:bidi="fa-IR"/>
        </w:rPr>
        <w:t>ۡ</w:t>
      </w:r>
      <w:r w:rsidR="006633B5" w:rsidRPr="00995B26">
        <w:rPr>
          <w:rFonts w:ascii="KFGQPC Uthmanic Script HAFS" w:cs="KFGQPC Uthmanic Script HAFS" w:hint="eastAsia"/>
          <w:sz w:val="29"/>
          <w:szCs w:val="29"/>
          <w:rtl/>
          <w:lang w:bidi="fa-IR"/>
        </w:rPr>
        <w:t>لَدَ</w:t>
      </w:r>
      <w:r w:rsidR="006633B5" w:rsidRPr="00995B26">
        <w:rPr>
          <w:rFonts w:ascii="KFGQPC Uthmanic Script HAFS" w:cs="KFGQPC Uthmanic Script HAFS"/>
          <w:sz w:val="29"/>
          <w:szCs w:val="29"/>
          <w:rtl/>
          <w:lang w:bidi="fa-IR"/>
        </w:rPr>
        <w:t xml:space="preserve"> </w:t>
      </w:r>
      <w:r w:rsidR="006633B5" w:rsidRPr="00995B26">
        <w:rPr>
          <w:rFonts w:ascii="KFGQPC Uthmanic Script HAFS" w:cs="KFGQPC Uthmanic Script HAFS" w:hint="eastAsia"/>
          <w:sz w:val="29"/>
          <w:szCs w:val="29"/>
          <w:rtl/>
          <w:lang w:bidi="fa-IR"/>
        </w:rPr>
        <w:t>إِلَى</w:t>
      </w:r>
      <w:r w:rsidR="006633B5" w:rsidRPr="00995B26">
        <w:rPr>
          <w:rFonts w:ascii="KFGQPC Uthmanic Script HAFS" w:cs="KFGQPC Uthmanic Script HAFS"/>
          <w:sz w:val="29"/>
          <w:szCs w:val="29"/>
          <w:rtl/>
          <w:lang w:bidi="fa-IR"/>
        </w:rPr>
        <w:t xml:space="preserve"> </w:t>
      </w:r>
      <w:r w:rsidR="006633B5" w:rsidRPr="00995B26">
        <w:rPr>
          <w:rFonts w:ascii="KFGQPC Uthmanic Script HAFS" w:cs="KFGQPC Uthmanic Script HAFS" w:hint="cs"/>
          <w:sz w:val="29"/>
          <w:szCs w:val="29"/>
          <w:rtl/>
          <w:lang w:bidi="fa-IR"/>
        </w:rPr>
        <w:t>ٱ</w:t>
      </w:r>
      <w:r w:rsidR="006633B5" w:rsidRPr="00995B26">
        <w:rPr>
          <w:rFonts w:ascii="KFGQPC Uthmanic Script HAFS" w:cs="KFGQPC Uthmanic Script HAFS" w:hint="eastAsia"/>
          <w:sz w:val="29"/>
          <w:szCs w:val="29"/>
          <w:rtl/>
          <w:lang w:bidi="fa-IR"/>
        </w:rPr>
        <w:t>ل</w:t>
      </w:r>
      <w:r w:rsidR="006633B5" w:rsidRPr="00995B26">
        <w:rPr>
          <w:rFonts w:ascii="KFGQPC Uthmanic Script HAFS" w:cs="KFGQPC Uthmanic Script HAFS" w:hint="cs"/>
          <w:sz w:val="29"/>
          <w:szCs w:val="29"/>
          <w:rtl/>
          <w:lang w:bidi="fa-IR"/>
        </w:rPr>
        <w:t>ۡ</w:t>
      </w:r>
      <w:r w:rsidR="006633B5" w:rsidRPr="00995B26">
        <w:rPr>
          <w:rFonts w:ascii="KFGQPC Uthmanic Script HAFS" w:cs="KFGQPC Uthmanic Script HAFS" w:hint="eastAsia"/>
          <w:sz w:val="29"/>
          <w:szCs w:val="29"/>
          <w:rtl/>
          <w:lang w:bidi="fa-IR"/>
        </w:rPr>
        <w:t>أَر</w:t>
      </w:r>
      <w:r w:rsidR="006633B5" w:rsidRPr="00995B26">
        <w:rPr>
          <w:rFonts w:ascii="KFGQPC Uthmanic Script HAFS" w:cs="KFGQPC Uthmanic Script HAFS" w:hint="cs"/>
          <w:sz w:val="29"/>
          <w:szCs w:val="29"/>
          <w:rtl/>
          <w:lang w:bidi="fa-IR"/>
        </w:rPr>
        <w:t>ۡ</w:t>
      </w:r>
      <w:r w:rsidR="006633B5" w:rsidRPr="00995B26">
        <w:rPr>
          <w:rFonts w:ascii="KFGQPC Uthmanic Script HAFS" w:cs="KFGQPC Uthmanic Script HAFS" w:hint="eastAsia"/>
          <w:sz w:val="29"/>
          <w:szCs w:val="29"/>
          <w:rtl/>
          <w:lang w:bidi="fa-IR"/>
        </w:rPr>
        <w:t>ضِ</w:t>
      </w:r>
      <w:r w:rsidR="006633B5" w:rsidRPr="00995B26">
        <w:rPr>
          <w:rFonts w:ascii="KFGQPC Uthmanic Script HAFS" w:cs="KFGQPC Uthmanic Script HAFS"/>
          <w:sz w:val="29"/>
          <w:szCs w:val="29"/>
          <w:rtl/>
          <w:lang w:bidi="fa-IR"/>
        </w:rPr>
        <w:t xml:space="preserve"> </w:t>
      </w:r>
      <w:r w:rsidR="006633B5" w:rsidRPr="00995B26">
        <w:rPr>
          <w:rFonts w:ascii="KFGQPC Uthmanic Script HAFS" w:cs="KFGQPC Uthmanic Script HAFS" w:hint="eastAsia"/>
          <w:sz w:val="29"/>
          <w:szCs w:val="29"/>
          <w:rtl/>
          <w:lang w:bidi="fa-IR"/>
        </w:rPr>
        <w:t>وَ</w:t>
      </w:r>
      <w:r w:rsidR="006633B5" w:rsidRPr="00995B26">
        <w:rPr>
          <w:rFonts w:ascii="KFGQPC Uthmanic Script HAFS" w:cs="KFGQPC Uthmanic Script HAFS" w:hint="cs"/>
          <w:sz w:val="29"/>
          <w:szCs w:val="29"/>
          <w:rtl/>
          <w:lang w:bidi="fa-IR"/>
        </w:rPr>
        <w:t>ٱ</w:t>
      </w:r>
      <w:r w:rsidR="006633B5" w:rsidRPr="00995B26">
        <w:rPr>
          <w:rFonts w:ascii="KFGQPC Uthmanic Script HAFS" w:cs="KFGQPC Uthmanic Script HAFS" w:hint="eastAsia"/>
          <w:sz w:val="29"/>
          <w:szCs w:val="29"/>
          <w:rtl/>
          <w:lang w:bidi="fa-IR"/>
        </w:rPr>
        <w:t>تَّبَعَ</w:t>
      </w:r>
      <w:r w:rsidR="006633B5" w:rsidRPr="00995B26">
        <w:rPr>
          <w:rFonts w:ascii="KFGQPC Uthmanic Script HAFS" w:cs="KFGQPC Uthmanic Script HAFS"/>
          <w:sz w:val="29"/>
          <w:szCs w:val="29"/>
          <w:rtl/>
          <w:lang w:bidi="fa-IR"/>
        </w:rPr>
        <w:t xml:space="preserve"> </w:t>
      </w:r>
      <w:r w:rsidR="006633B5" w:rsidRPr="00995B26">
        <w:rPr>
          <w:rFonts w:ascii="KFGQPC Uthmanic Script HAFS" w:cs="KFGQPC Uthmanic Script HAFS" w:hint="eastAsia"/>
          <w:sz w:val="29"/>
          <w:szCs w:val="29"/>
          <w:rtl/>
          <w:lang w:bidi="fa-IR"/>
        </w:rPr>
        <w:t>هَوَى</w:t>
      </w:r>
      <w:r w:rsidR="006633B5" w:rsidRPr="00995B26">
        <w:rPr>
          <w:rFonts w:ascii="KFGQPC Uthmanic Script HAFS" w:cs="KFGQPC Uthmanic Script HAFS" w:hint="cs"/>
          <w:sz w:val="29"/>
          <w:szCs w:val="29"/>
          <w:rtl/>
          <w:lang w:bidi="fa-IR"/>
        </w:rPr>
        <w:t>ٰ</w:t>
      </w:r>
      <w:r w:rsidR="006633B5" w:rsidRPr="00995B26">
        <w:rPr>
          <w:rFonts w:ascii="KFGQPC Uthmanic Script HAFS" w:cs="KFGQPC Uthmanic Script HAFS" w:hint="eastAsia"/>
          <w:sz w:val="29"/>
          <w:szCs w:val="29"/>
          <w:rtl/>
          <w:lang w:bidi="fa-IR"/>
        </w:rPr>
        <w:t>هُ</w:t>
      </w:r>
      <w:r w:rsidR="006633B5" w:rsidRPr="00995B26">
        <w:rPr>
          <w:rFonts w:ascii="KFGQPC Uthmanic Script HAFS" w:cs="KFGQPC Uthmanic Script HAFS" w:hint="cs"/>
          <w:sz w:val="29"/>
          <w:szCs w:val="29"/>
          <w:rtl/>
          <w:lang w:bidi="fa-IR"/>
        </w:rPr>
        <w:t>ۚ</w:t>
      </w:r>
      <w:r w:rsidR="006633B5" w:rsidRPr="00995B26">
        <w:rPr>
          <w:rFonts w:ascii="KFGQPC Uthmanic Script HAFS" w:cs="KFGQPC Uthmanic Script HAFS"/>
          <w:sz w:val="29"/>
          <w:szCs w:val="29"/>
          <w:rtl/>
          <w:lang w:bidi="fa-IR"/>
        </w:rPr>
        <w:t xml:space="preserve"> </w:t>
      </w:r>
      <w:r w:rsidR="006633B5" w:rsidRPr="00995B26">
        <w:rPr>
          <w:rFonts w:ascii="KFGQPC Uthmanic Script HAFS" w:cs="KFGQPC Uthmanic Script HAFS" w:hint="eastAsia"/>
          <w:sz w:val="29"/>
          <w:szCs w:val="29"/>
          <w:rtl/>
          <w:lang w:bidi="fa-IR"/>
        </w:rPr>
        <w:t>فَمَثَلُهُ</w:t>
      </w:r>
      <w:r w:rsidR="006633B5" w:rsidRPr="00995B26">
        <w:rPr>
          <w:rFonts w:ascii="KFGQPC Uthmanic Script HAFS" w:cs="KFGQPC Uthmanic Script HAFS" w:hint="cs"/>
          <w:sz w:val="29"/>
          <w:szCs w:val="29"/>
          <w:rtl/>
          <w:lang w:bidi="fa-IR"/>
        </w:rPr>
        <w:t>ۥ</w:t>
      </w:r>
      <w:r w:rsidR="006633B5" w:rsidRPr="00995B26">
        <w:rPr>
          <w:rFonts w:ascii="KFGQPC Uthmanic Script HAFS" w:cs="KFGQPC Uthmanic Script HAFS"/>
          <w:sz w:val="29"/>
          <w:szCs w:val="29"/>
          <w:rtl/>
          <w:lang w:bidi="fa-IR"/>
        </w:rPr>
        <w:t xml:space="preserve"> </w:t>
      </w:r>
      <w:r w:rsidR="006633B5" w:rsidRPr="00995B26">
        <w:rPr>
          <w:rFonts w:ascii="KFGQPC Uthmanic Script HAFS" w:cs="KFGQPC Uthmanic Script HAFS" w:hint="eastAsia"/>
          <w:sz w:val="29"/>
          <w:szCs w:val="29"/>
          <w:rtl/>
          <w:lang w:bidi="fa-IR"/>
        </w:rPr>
        <w:t>كَمَثَلِ</w:t>
      </w:r>
      <w:r w:rsidR="006633B5" w:rsidRPr="00995B26">
        <w:rPr>
          <w:rFonts w:ascii="KFGQPC Uthmanic Script HAFS" w:cs="KFGQPC Uthmanic Script HAFS"/>
          <w:sz w:val="29"/>
          <w:szCs w:val="29"/>
          <w:rtl/>
          <w:lang w:bidi="fa-IR"/>
        </w:rPr>
        <w:t xml:space="preserve"> </w:t>
      </w:r>
      <w:r w:rsidR="006633B5" w:rsidRPr="00995B26">
        <w:rPr>
          <w:rFonts w:ascii="KFGQPC Uthmanic Script HAFS" w:cs="KFGQPC Uthmanic Script HAFS" w:hint="cs"/>
          <w:sz w:val="29"/>
          <w:szCs w:val="29"/>
          <w:rtl/>
          <w:lang w:bidi="fa-IR"/>
        </w:rPr>
        <w:t>ٱ</w:t>
      </w:r>
      <w:r w:rsidR="006633B5" w:rsidRPr="00995B26">
        <w:rPr>
          <w:rFonts w:ascii="KFGQPC Uthmanic Script HAFS" w:cs="KFGQPC Uthmanic Script HAFS" w:hint="eastAsia"/>
          <w:sz w:val="29"/>
          <w:szCs w:val="29"/>
          <w:rtl/>
          <w:lang w:bidi="fa-IR"/>
        </w:rPr>
        <w:t>ل</w:t>
      </w:r>
      <w:r w:rsidR="006633B5" w:rsidRPr="00995B26">
        <w:rPr>
          <w:rFonts w:ascii="KFGQPC Uthmanic Script HAFS" w:cs="KFGQPC Uthmanic Script HAFS" w:hint="cs"/>
          <w:sz w:val="29"/>
          <w:szCs w:val="29"/>
          <w:rtl/>
          <w:lang w:bidi="fa-IR"/>
        </w:rPr>
        <w:t>ۡ</w:t>
      </w:r>
      <w:r w:rsidR="006633B5" w:rsidRPr="00995B26">
        <w:rPr>
          <w:rFonts w:ascii="KFGQPC Uthmanic Script HAFS" w:cs="KFGQPC Uthmanic Script HAFS" w:hint="eastAsia"/>
          <w:sz w:val="29"/>
          <w:szCs w:val="29"/>
          <w:rtl/>
          <w:lang w:bidi="fa-IR"/>
        </w:rPr>
        <w:t>كَل</w:t>
      </w:r>
      <w:r w:rsidR="006633B5" w:rsidRPr="00995B26">
        <w:rPr>
          <w:rFonts w:ascii="KFGQPC Uthmanic Script HAFS" w:cs="KFGQPC Uthmanic Script HAFS" w:hint="cs"/>
          <w:sz w:val="29"/>
          <w:szCs w:val="29"/>
          <w:rtl/>
          <w:lang w:bidi="fa-IR"/>
        </w:rPr>
        <w:t>ۡ</w:t>
      </w:r>
      <w:r w:rsidR="006633B5" w:rsidRPr="00995B26">
        <w:rPr>
          <w:rFonts w:ascii="KFGQPC Uthmanic Script HAFS" w:cs="KFGQPC Uthmanic Script HAFS" w:hint="eastAsia"/>
          <w:sz w:val="29"/>
          <w:szCs w:val="29"/>
          <w:rtl/>
          <w:lang w:bidi="fa-IR"/>
        </w:rPr>
        <w:t>بِ</w:t>
      </w:r>
      <w:r w:rsidR="006633B5" w:rsidRPr="00995B26">
        <w:rPr>
          <w:rFonts w:ascii="KFGQPC Uthmanic Script HAFS" w:cs="KFGQPC Uthmanic Script HAFS"/>
          <w:sz w:val="29"/>
          <w:szCs w:val="29"/>
          <w:rtl/>
          <w:lang w:bidi="fa-IR"/>
        </w:rPr>
        <w:t xml:space="preserve"> </w:t>
      </w:r>
      <w:r w:rsidR="006633B5" w:rsidRPr="00995B26">
        <w:rPr>
          <w:rFonts w:ascii="KFGQPC Uthmanic Script HAFS" w:cs="KFGQPC Uthmanic Script HAFS" w:hint="eastAsia"/>
          <w:sz w:val="29"/>
          <w:szCs w:val="29"/>
          <w:rtl/>
          <w:lang w:bidi="fa-IR"/>
        </w:rPr>
        <w:t>إِن</w:t>
      </w:r>
      <w:r w:rsidR="006633B5" w:rsidRPr="00995B26">
        <w:rPr>
          <w:rFonts w:ascii="KFGQPC Uthmanic Script HAFS" w:cs="KFGQPC Uthmanic Script HAFS"/>
          <w:sz w:val="29"/>
          <w:szCs w:val="29"/>
          <w:rtl/>
          <w:lang w:bidi="fa-IR"/>
        </w:rPr>
        <w:t xml:space="preserve"> </w:t>
      </w:r>
      <w:r w:rsidR="006633B5" w:rsidRPr="00995B26">
        <w:rPr>
          <w:rFonts w:ascii="KFGQPC Uthmanic Script HAFS" w:cs="KFGQPC Uthmanic Script HAFS" w:hint="eastAsia"/>
          <w:sz w:val="29"/>
          <w:szCs w:val="29"/>
          <w:rtl/>
          <w:lang w:bidi="fa-IR"/>
        </w:rPr>
        <w:t>تَح</w:t>
      </w:r>
      <w:r w:rsidR="006633B5" w:rsidRPr="00995B26">
        <w:rPr>
          <w:rFonts w:ascii="KFGQPC Uthmanic Script HAFS" w:cs="KFGQPC Uthmanic Script HAFS" w:hint="cs"/>
          <w:sz w:val="29"/>
          <w:szCs w:val="29"/>
          <w:rtl/>
          <w:lang w:bidi="fa-IR"/>
        </w:rPr>
        <w:t>ۡ</w:t>
      </w:r>
      <w:r w:rsidR="006633B5" w:rsidRPr="00995B26">
        <w:rPr>
          <w:rFonts w:ascii="KFGQPC Uthmanic Script HAFS" w:cs="KFGQPC Uthmanic Script HAFS" w:hint="eastAsia"/>
          <w:sz w:val="29"/>
          <w:szCs w:val="29"/>
          <w:rtl/>
          <w:lang w:bidi="fa-IR"/>
        </w:rPr>
        <w:t>مِل</w:t>
      </w:r>
      <w:r w:rsidR="006633B5" w:rsidRPr="00995B26">
        <w:rPr>
          <w:rFonts w:ascii="KFGQPC Uthmanic Script HAFS" w:cs="KFGQPC Uthmanic Script HAFS" w:hint="cs"/>
          <w:sz w:val="29"/>
          <w:szCs w:val="29"/>
          <w:rtl/>
          <w:lang w:bidi="fa-IR"/>
        </w:rPr>
        <w:t>ۡ</w:t>
      </w:r>
      <w:r w:rsidR="006633B5" w:rsidRPr="00995B26">
        <w:rPr>
          <w:rFonts w:ascii="KFGQPC Uthmanic Script HAFS" w:cs="KFGQPC Uthmanic Script HAFS"/>
          <w:sz w:val="29"/>
          <w:szCs w:val="29"/>
          <w:rtl/>
          <w:lang w:bidi="fa-IR"/>
        </w:rPr>
        <w:t xml:space="preserve"> </w:t>
      </w:r>
      <w:r w:rsidR="006633B5" w:rsidRPr="00995B26">
        <w:rPr>
          <w:rFonts w:ascii="KFGQPC Uthmanic Script HAFS" w:cs="KFGQPC Uthmanic Script HAFS" w:hint="eastAsia"/>
          <w:sz w:val="29"/>
          <w:szCs w:val="29"/>
          <w:rtl/>
          <w:lang w:bidi="fa-IR"/>
        </w:rPr>
        <w:t>عَلَي</w:t>
      </w:r>
      <w:r w:rsidR="006633B5" w:rsidRPr="00995B26">
        <w:rPr>
          <w:rFonts w:ascii="KFGQPC Uthmanic Script HAFS" w:cs="KFGQPC Uthmanic Script HAFS" w:hint="cs"/>
          <w:sz w:val="29"/>
          <w:szCs w:val="29"/>
          <w:rtl/>
          <w:lang w:bidi="fa-IR"/>
        </w:rPr>
        <w:t>ۡ</w:t>
      </w:r>
      <w:r w:rsidR="006633B5" w:rsidRPr="00995B26">
        <w:rPr>
          <w:rFonts w:ascii="KFGQPC Uthmanic Script HAFS" w:cs="KFGQPC Uthmanic Script HAFS" w:hint="eastAsia"/>
          <w:sz w:val="29"/>
          <w:szCs w:val="29"/>
          <w:rtl/>
          <w:lang w:bidi="fa-IR"/>
        </w:rPr>
        <w:t>هِ</w:t>
      </w:r>
      <w:r w:rsidR="006633B5" w:rsidRPr="00995B26">
        <w:rPr>
          <w:rFonts w:ascii="KFGQPC Uthmanic Script HAFS" w:cs="KFGQPC Uthmanic Script HAFS"/>
          <w:sz w:val="29"/>
          <w:szCs w:val="29"/>
          <w:rtl/>
          <w:lang w:bidi="fa-IR"/>
        </w:rPr>
        <w:t xml:space="preserve"> </w:t>
      </w:r>
      <w:r w:rsidR="006633B5" w:rsidRPr="00995B26">
        <w:rPr>
          <w:rFonts w:ascii="KFGQPC Uthmanic Script HAFS" w:cs="KFGQPC Uthmanic Script HAFS" w:hint="eastAsia"/>
          <w:sz w:val="29"/>
          <w:szCs w:val="29"/>
          <w:rtl/>
          <w:lang w:bidi="fa-IR"/>
        </w:rPr>
        <w:t>يَل</w:t>
      </w:r>
      <w:r w:rsidR="006633B5" w:rsidRPr="00995B26">
        <w:rPr>
          <w:rFonts w:ascii="KFGQPC Uthmanic Script HAFS" w:cs="KFGQPC Uthmanic Script HAFS" w:hint="cs"/>
          <w:sz w:val="29"/>
          <w:szCs w:val="29"/>
          <w:rtl/>
          <w:lang w:bidi="fa-IR"/>
        </w:rPr>
        <w:t>ۡ</w:t>
      </w:r>
      <w:r w:rsidR="006633B5" w:rsidRPr="00995B26">
        <w:rPr>
          <w:rFonts w:ascii="KFGQPC Uthmanic Script HAFS" w:cs="KFGQPC Uthmanic Script HAFS" w:hint="eastAsia"/>
          <w:sz w:val="29"/>
          <w:szCs w:val="29"/>
          <w:rtl/>
          <w:lang w:bidi="fa-IR"/>
        </w:rPr>
        <w:t>هَث</w:t>
      </w:r>
      <w:r w:rsidR="006633B5" w:rsidRPr="00995B26">
        <w:rPr>
          <w:rFonts w:ascii="KFGQPC Uthmanic Script HAFS" w:cs="KFGQPC Uthmanic Script HAFS" w:hint="cs"/>
          <w:sz w:val="29"/>
          <w:szCs w:val="29"/>
          <w:rtl/>
          <w:lang w:bidi="fa-IR"/>
        </w:rPr>
        <w:t>ۡ</w:t>
      </w:r>
      <w:r w:rsidR="006633B5" w:rsidRPr="00995B26">
        <w:rPr>
          <w:rFonts w:ascii="KFGQPC Uthmanic Script HAFS" w:cs="KFGQPC Uthmanic Script HAFS"/>
          <w:sz w:val="29"/>
          <w:szCs w:val="29"/>
          <w:rtl/>
          <w:lang w:bidi="fa-IR"/>
        </w:rPr>
        <w:t xml:space="preserve"> </w:t>
      </w:r>
      <w:r w:rsidR="006633B5" w:rsidRPr="00995B26">
        <w:rPr>
          <w:rFonts w:ascii="KFGQPC Uthmanic Script HAFS" w:cs="KFGQPC Uthmanic Script HAFS" w:hint="eastAsia"/>
          <w:sz w:val="29"/>
          <w:szCs w:val="29"/>
          <w:rtl/>
          <w:lang w:bidi="fa-IR"/>
        </w:rPr>
        <w:t>أَو</w:t>
      </w:r>
      <w:r w:rsidR="006633B5" w:rsidRPr="00995B26">
        <w:rPr>
          <w:rFonts w:ascii="KFGQPC Uthmanic Script HAFS" w:cs="KFGQPC Uthmanic Script HAFS" w:hint="cs"/>
          <w:sz w:val="29"/>
          <w:szCs w:val="29"/>
          <w:rtl/>
          <w:lang w:bidi="fa-IR"/>
        </w:rPr>
        <w:t>ۡ</w:t>
      </w:r>
      <w:r w:rsidR="006633B5" w:rsidRPr="00995B26">
        <w:rPr>
          <w:rFonts w:ascii="KFGQPC Uthmanic Script HAFS" w:cs="KFGQPC Uthmanic Script HAFS"/>
          <w:sz w:val="29"/>
          <w:szCs w:val="29"/>
          <w:rtl/>
          <w:lang w:bidi="fa-IR"/>
        </w:rPr>
        <w:t xml:space="preserve"> </w:t>
      </w:r>
      <w:r w:rsidR="006633B5" w:rsidRPr="00995B26">
        <w:rPr>
          <w:rFonts w:ascii="KFGQPC Uthmanic Script HAFS" w:cs="KFGQPC Uthmanic Script HAFS" w:hint="eastAsia"/>
          <w:sz w:val="29"/>
          <w:szCs w:val="29"/>
          <w:rtl/>
          <w:lang w:bidi="fa-IR"/>
        </w:rPr>
        <w:t>تَت</w:t>
      </w:r>
      <w:r w:rsidR="006633B5" w:rsidRPr="00995B26">
        <w:rPr>
          <w:rFonts w:ascii="KFGQPC Uthmanic Script HAFS" w:cs="KFGQPC Uthmanic Script HAFS" w:hint="cs"/>
          <w:sz w:val="29"/>
          <w:szCs w:val="29"/>
          <w:rtl/>
          <w:lang w:bidi="fa-IR"/>
        </w:rPr>
        <w:t>ۡ</w:t>
      </w:r>
      <w:r w:rsidR="006633B5" w:rsidRPr="00995B26">
        <w:rPr>
          <w:rFonts w:ascii="KFGQPC Uthmanic Script HAFS" w:cs="KFGQPC Uthmanic Script HAFS" w:hint="eastAsia"/>
          <w:sz w:val="29"/>
          <w:szCs w:val="29"/>
          <w:rtl/>
          <w:lang w:bidi="fa-IR"/>
        </w:rPr>
        <w:t>رُك</w:t>
      </w:r>
      <w:r w:rsidR="006633B5" w:rsidRPr="00995B26">
        <w:rPr>
          <w:rFonts w:ascii="KFGQPC Uthmanic Script HAFS" w:cs="KFGQPC Uthmanic Script HAFS" w:hint="cs"/>
          <w:sz w:val="29"/>
          <w:szCs w:val="29"/>
          <w:rtl/>
          <w:lang w:bidi="fa-IR"/>
        </w:rPr>
        <w:t>ۡ</w:t>
      </w:r>
      <w:r w:rsidR="006633B5" w:rsidRPr="00995B26">
        <w:rPr>
          <w:rFonts w:ascii="KFGQPC Uthmanic Script HAFS" w:cs="KFGQPC Uthmanic Script HAFS" w:hint="eastAsia"/>
          <w:sz w:val="29"/>
          <w:szCs w:val="29"/>
          <w:rtl/>
          <w:lang w:bidi="fa-IR"/>
        </w:rPr>
        <w:t>هُ</w:t>
      </w:r>
      <w:r w:rsidR="006633B5" w:rsidRPr="00995B26">
        <w:rPr>
          <w:rFonts w:ascii="KFGQPC Uthmanic Script HAFS" w:cs="KFGQPC Uthmanic Script HAFS"/>
          <w:sz w:val="29"/>
          <w:szCs w:val="29"/>
          <w:rtl/>
          <w:lang w:bidi="fa-IR"/>
        </w:rPr>
        <w:t xml:space="preserve"> </w:t>
      </w:r>
      <w:r w:rsidR="006633B5" w:rsidRPr="00995B26">
        <w:rPr>
          <w:rFonts w:ascii="KFGQPC Uthmanic Script HAFS" w:cs="KFGQPC Uthmanic Script HAFS" w:hint="eastAsia"/>
          <w:sz w:val="29"/>
          <w:szCs w:val="29"/>
          <w:rtl/>
          <w:lang w:bidi="fa-IR"/>
        </w:rPr>
        <w:t>يَل</w:t>
      </w:r>
      <w:r w:rsidR="006633B5" w:rsidRPr="00995B26">
        <w:rPr>
          <w:rFonts w:ascii="KFGQPC Uthmanic Script HAFS" w:cs="KFGQPC Uthmanic Script HAFS" w:hint="cs"/>
          <w:sz w:val="29"/>
          <w:szCs w:val="29"/>
          <w:rtl/>
          <w:lang w:bidi="fa-IR"/>
        </w:rPr>
        <w:t>ۡ</w:t>
      </w:r>
      <w:r w:rsidR="006633B5" w:rsidRPr="00995B26">
        <w:rPr>
          <w:rFonts w:ascii="KFGQPC Uthmanic Script HAFS" w:cs="KFGQPC Uthmanic Script HAFS" w:hint="eastAsia"/>
          <w:sz w:val="29"/>
          <w:szCs w:val="29"/>
          <w:rtl/>
          <w:lang w:bidi="fa-IR"/>
        </w:rPr>
        <w:t>هَث</w:t>
      </w:r>
      <w:r w:rsidR="006633B5" w:rsidRPr="00995B26">
        <w:rPr>
          <w:rFonts w:ascii="KFGQPC Uthmanic Script HAFS" w:cs="KFGQPC Uthmanic Script HAFS" w:hint="cs"/>
          <w:sz w:val="29"/>
          <w:szCs w:val="29"/>
          <w:rtl/>
          <w:lang w:bidi="fa-IR"/>
        </w:rPr>
        <w:t>ۚ</w:t>
      </w:r>
      <w:r w:rsidR="006633B5" w:rsidRPr="00995B26">
        <w:rPr>
          <w:rFonts w:ascii="KFGQPC Uthmanic Script HAFS" w:cs="KFGQPC Uthmanic Script HAFS"/>
          <w:sz w:val="29"/>
          <w:szCs w:val="29"/>
          <w:rtl/>
          <w:lang w:bidi="fa-IR"/>
        </w:rPr>
        <w:t xml:space="preserve"> </w:t>
      </w:r>
      <w:r w:rsidR="006633B5" w:rsidRPr="00995B26">
        <w:rPr>
          <w:rFonts w:ascii="KFGQPC Uthmanic Script HAFS" w:cs="KFGQPC Uthmanic Script HAFS" w:hint="eastAsia"/>
          <w:sz w:val="29"/>
          <w:szCs w:val="29"/>
          <w:rtl/>
          <w:lang w:bidi="fa-IR"/>
        </w:rPr>
        <w:t>ذَّ</w:t>
      </w:r>
      <w:r w:rsidR="006633B5" w:rsidRPr="00995B26">
        <w:rPr>
          <w:rFonts w:ascii="KFGQPC Uthmanic Script HAFS" w:cs="KFGQPC Uthmanic Script HAFS" w:hint="cs"/>
          <w:sz w:val="29"/>
          <w:szCs w:val="29"/>
          <w:rtl/>
          <w:lang w:bidi="fa-IR"/>
        </w:rPr>
        <w:t>ٰ</w:t>
      </w:r>
      <w:r w:rsidR="006633B5" w:rsidRPr="00995B26">
        <w:rPr>
          <w:rFonts w:ascii="KFGQPC Uthmanic Script HAFS" w:cs="KFGQPC Uthmanic Script HAFS" w:hint="eastAsia"/>
          <w:sz w:val="29"/>
          <w:szCs w:val="29"/>
          <w:rtl/>
          <w:lang w:bidi="fa-IR"/>
        </w:rPr>
        <w:t>لِكَ</w:t>
      </w:r>
      <w:r w:rsidR="006633B5" w:rsidRPr="00995B26">
        <w:rPr>
          <w:rFonts w:ascii="KFGQPC Uthmanic Script HAFS" w:cs="KFGQPC Uthmanic Script HAFS"/>
          <w:sz w:val="29"/>
          <w:szCs w:val="29"/>
          <w:rtl/>
          <w:lang w:bidi="fa-IR"/>
        </w:rPr>
        <w:t xml:space="preserve"> </w:t>
      </w:r>
      <w:r w:rsidR="006633B5" w:rsidRPr="00995B26">
        <w:rPr>
          <w:rFonts w:ascii="KFGQPC Uthmanic Script HAFS" w:cs="KFGQPC Uthmanic Script HAFS" w:hint="eastAsia"/>
          <w:sz w:val="29"/>
          <w:szCs w:val="29"/>
          <w:rtl/>
          <w:lang w:bidi="fa-IR"/>
        </w:rPr>
        <w:t>مَثَلُ</w:t>
      </w:r>
      <w:r w:rsidR="006633B5" w:rsidRPr="00995B26">
        <w:rPr>
          <w:rFonts w:ascii="KFGQPC Uthmanic Script HAFS" w:cs="KFGQPC Uthmanic Script HAFS"/>
          <w:sz w:val="29"/>
          <w:szCs w:val="29"/>
          <w:rtl/>
          <w:lang w:bidi="fa-IR"/>
        </w:rPr>
        <w:t xml:space="preserve"> </w:t>
      </w:r>
      <w:r w:rsidR="006633B5" w:rsidRPr="00995B26">
        <w:rPr>
          <w:rFonts w:ascii="KFGQPC Uthmanic Script HAFS" w:cs="KFGQPC Uthmanic Script HAFS" w:hint="cs"/>
          <w:sz w:val="29"/>
          <w:szCs w:val="29"/>
          <w:rtl/>
          <w:lang w:bidi="fa-IR"/>
        </w:rPr>
        <w:t>ٱ</w:t>
      </w:r>
      <w:r w:rsidR="006633B5" w:rsidRPr="00995B26">
        <w:rPr>
          <w:rFonts w:ascii="KFGQPC Uthmanic Script HAFS" w:cs="KFGQPC Uthmanic Script HAFS" w:hint="eastAsia"/>
          <w:sz w:val="29"/>
          <w:szCs w:val="29"/>
          <w:rtl/>
          <w:lang w:bidi="fa-IR"/>
        </w:rPr>
        <w:t>ل</w:t>
      </w:r>
      <w:r w:rsidR="006633B5" w:rsidRPr="00995B26">
        <w:rPr>
          <w:rFonts w:ascii="KFGQPC Uthmanic Script HAFS" w:cs="KFGQPC Uthmanic Script HAFS" w:hint="cs"/>
          <w:sz w:val="29"/>
          <w:szCs w:val="29"/>
          <w:rtl/>
          <w:lang w:bidi="fa-IR"/>
        </w:rPr>
        <w:t>ۡ</w:t>
      </w:r>
      <w:r w:rsidR="006633B5" w:rsidRPr="00995B26">
        <w:rPr>
          <w:rFonts w:ascii="KFGQPC Uthmanic Script HAFS" w:cs="KFGQPC Uthmanic Script HAFS" w:hint="eastAsia"/>
          <w:sz w:val="29"/>
          <w:szCs w:val="29"/>
          <w:rtl/>
          <w:lang w:bidi="fa-IR"/>
        </w:rPr>
        <w:t>قَو</w:t>
      </w:r>
      <w:r w:rsidR="006633B5" w:rsidRPr="00995B26">
        <w:rPr>
          <w:rFonts w:ascii="KFGQPC Uthmanic Script HAFS" w:cs="KFGQPC Uthmanic Script HAFS" w:hint="cs"/>
          <w:sz w:val="29"/>
          <w:szCs w:val="29"/>
          <w:rtl/>
          <w:lang w:bidi="fa-IR"/>
        </w:rPr>
        <w:t>ۡ</w:t>
      </w:r>
      <w:r w:rsidR="006633B5" w:rsidRPr="00995B26">
        <w:rPr>
          <w:rFonts w:ascii="KFGQPC Uthmanic Script HAFS" w:cs="KFGQPC Uthmanic Script HAFS" w:hint="eastAsia"/>
          <w:sz w:val="29"/>
          <w:szCs w:val="29"/>
          <w:rtl/>
          <w:lang w:bidi="fa-IR"/>
        </w:rPr>
        <w:t>مِ</w:t>
      </w:r>
      <w:r w:rsidR="006633B5" w:rsidRPr="00995B26">
        <w:rPr>
          <w:rFonts w:ascii="KFGQPC Uthmanic Script HAFS" w:cs="KFGQPC Uthmanic Script HAFS"/>
          <w:sz w:val="29"/>
          <w:szCs w:val="29"/>
          <w:rtl/>
          <w:lang w:bidi="fa-IR"/>
        </w:rPr>
        <w:t xml:space="preserve"> </w:t>
      </w:r>
      <w:r w:rsidR="006633B5" w:rsidRPr="00995B26">
        <w:rPr>
          <w:rFonts w:ascii="KFGQPC Uthmanic Script HAFS" w:cs="KFGQPC Uthmanic Script HAFS" w:hint="cs"/>
          <w:sz w:val="29"/>
          <w:szCs w:val="29"/>
          <w:rtl/>
          <w:lang w:bidi="fa-IR"/>
        </w:rPr>
        <w:t>ٱ</w:t>
      </w:r>
      <w:r w:rsidR="006633B5" w:rsidRPr="00995B26">
        <w:rPr>
          <w:rFonts w:ascii="KFGQPC Uthmanic Script HAFS" w:cs="KFGQPC Uthmanic Script HAFS" w:hint="eastAsia"/>
          <w:sz w:val="29"/>
          <w:szCs w:val="29"/>
          <w:rtl/>
          <w:lang w:bidi="fa-IR"/>
        </w:rPr>
        <w:t>لَّذِينَ</w:t>
      </w:r>
      <w:r w:rsidR="006633B5" w:rsidRPr="00995B26">
        <w:rPr>
          <w:rFonts w:ascii="KFGQPC Uthmanic Script HAFS" w:cs="KFGQPC Uthmanic Script HAFS"/>
          <w:sz w:val="29"/>
          <w:szCs w:val="29"/>
          <w:rtl/>
          <w:lang w:bidi="fa-IR"/>
        </w:rPr>
        <w:t xml:space="preserve"> </w:t>
      </w:r>
      <w:r w:rsidR="006633B5" w:rsidRPr="00995B26">
        <w:rPr>
          <w:rFonts w:ascii="KFGQPC Uthmanic Script HAFS" w:cs="KFGQPC Uthmanic Script HAFS" w:hint="eastAsia"/>
          <w:sz w:val="29"/>
          <w:szCs w:val="29"/>
          <w:rtl/>
          <w:lang w:bidi="fa-IR"/>
        </w:rPr>
        <w:t>كَذَّبُواْ</w:t>
      </w:r>
      <w:r w:rsidR="006633B5" w:rsidRPr="00995B26">
        <w:rPr>
          <w:rFonts w:ascii="KFGQPC Uthmanic Script HAFS" w:cs="KFGQPC Uthmanic Script HAFS"/>
          <w:sz w:val="29"/>
          <w:szCs w:val="29"/>
          <w:rtl/>
          <w:lang w:bidi="fa-IR"/>
        </w:rPr>
        <w:t xml:space="preserve"> </w:t>
      </w:r>
      <w:r w:rsidR="006633B5" w:rsidRPr="00995B26">
        <w:rPr>
          <w:rFonts w:ascii="KFGQPC Uthmanic Script HAFS" w:cs="KFGQPC Uthmanic Script HAFS" w:hint="eastAsia"/>
          <w:sz w:val="29"/>
          <w:szCs w:val="29"/>
          <w:rtl/>
          <w:lang w:bidi="fa-IR"/>
        </w:rPr>
        <w:t>بِ‍</w:t>
      </w:r>
      <w:r w:rsidR="006633B5" w:rsidRPr="00995B26">
        <w:rPr>
          <w:rFonts w:ascii="KFGQPC Uthmanic Script HAFS" w:cs="KFGQPC Uthmanic Script HAFS" w:hint="cs"/>
          <w:sz w:val="29"/>
          <w:szCs w:val="29"/>
          <w:rtl/>
          <w:lang w:bidi="fa-IR"/>
        </w:rPr>
        <w:t>ٔ</w:t>
      </w:r>
      <w:r w:rsidR="006633B5" w:rsidRPr="00995B26">
        <w:rPr>
          <w:rFonts w:ascii="KFGQPC Uthmanic Script HAFS" w:cs="KFGQPC Uthmanic Script HAFS" w:hint="eastAsia"/>
          <w:sz w:val="29"/>
          <w:szCs w:val="29"/>
          <w:rtl/>
          <w:lang w:bidi="fa-IR"/>
        </w:rPr>
        <w:t>َايَ</w:t>
      </w:r>
      <w:r w:rsidR="006633B5" w:rsidRPr="00995B26">
        <w:rPr>
          <w:rFonts w:ascii="KFGQPC Uthmanic Script HAFS" w:cs="KFGQPC Uthmanic Script HAFS" w:hint="cs"/>
          <w:sz w:val="29"/>
          <w:szCs w:val="29"/>
          <w:rtl/>
          <w:lang w:bidi="fa-IR"/>
        </w:rPr>
        <w:t>ٰ</w:t>
      </w:r>
      <w:r w:rsidR="006633B5" w:rsidRPr="00995B26">
        <w:rPr>
          <w:rFonts w:ascii="KFGQPC Uthmanic Script HAFS" w:cs="KFGQPC Uthmanic Script HAFS" w:hint="eastAsia"/>
          <w:sz w:val="29"/>
          <w:szCs w:val="29"/>
          <w:rtl/>
          <w:lang w:bidi="fa-IR"/>
        </w:rPr>
        <w:t>تِنَا</w:t>
      </w:r>
      <w:r w:rsidR="006633B5" w:rsidRPr="00995B26">
        <w:rPr>
          <w:rFonts w:ascii="KFGQPC Uthmanic Script HAFS" w:cs="Times New Roman" w:hint="cs"/>
          <w:sz w:val="29"/>
          <w:szCs w:val="29"/>
          <w:rtl/>
          <w:lang w:bidi="fa-IR"/>
        </w:rPr>
        <w:t>...</w:t>
      </w:r>
      <w:r w:rsidR="006633B5" w:rsidRPr="00995B26">
        <w:rPr>
          <w:rFonts w:cs="Traditional Arabic" w:hint="cs"/>
          <w:szCs w:val="30"/>
          <w:rtl/>
          <w:lang w:bidi="ar-SY"/>
        </w:rPr>
        <w:t>﴾</w:t>
      </w:r>
      <w:r w:rsidRPr="00495BAB">
        <w:rPr>
          <w:rFonts w:hint="cs"/>
          <w:rtl/>
          <w:lang w:bidi="ar-SY"/>
        </w:rPr>
        <w:t xml:space="preserve"> </w:t>
      </w:r>
      <w:r w:rsidRPr="009E1401">
        <w:rPr>
          <w:rStyle w:val="Char2"/>
          <w:rFonts w:hint="cs"/>
          <w:rtl/>
        </w:rPr>
        <w:t>[الأعراف</w:t>
      </w:r>
      <w:r w:rsidR="006633B5" w:rsidRPr="009E1401">
        <w:rPr>
          <w:rStyle w:val="Char2"/>
          <w:rFonts w:hint="cs"/>
          <w:rtl/>
        </w:rPr>
        <w:t xml:space="preserve">: </w:t>
      </w:r>
      <w:r w:rsidRPr="009E1401">
        <w:rPr>
          <w:rStyle w:val="Char2"/>
          <w:rFonts w:hint="cs"/>
          <w:rtl/>
        </w:rPr>
        <w:t>175-176]</w:t>
      </w:r>
      <w:r w:rsidRPr="00495BAB">
        <w:rPr>
          <w:rFonts w:hint="cs"/>
          <w:rtl/>
          <w:lang w:bidi="ar-SY"/>
        </w:rPr>
        <w:t>.</w:t>
      </w:r>
    </w:p>
    <w:p w:rsidR="00CD31AA" w:rsidRPr="00495BAB" w:rsidRDefault="00CD31AA" w:rsidP="00495BAB">
      <w:pPr>
        <w:pStyle w:val="a0"/>
        <w:rPr>
          <w:rFonts w:hint="cs"/>
          <w:rtl/>
          <w:lang w:bidi="ar-SY"/>
        </w:rPr>
      </w:pPr>
      <w:r w:rsidRPr="00495BAB">
        <w:rPr>
          <w:rFonts w:hint="cs"/>
          <w:rtl/>
          <w:lang w:bidi="ar-SY"/>
        </w:rPr>
        <w:t xml:space="preserve">إنني لا أعرف في كتاباتي أشخاصًا من هذا القبيل من العلماء الذين تعرَّضْتُ لهم بالسب والشتم. أما لو وَجَدَ حضرتُهُ بين المَلُومين أشخاصًا تنطبق عليهم هذه العلامات المذكورة فهذا لا ذنب لي فيه بل هو نتيجة لرؤيته وفهمه. </w:t>
      </w:r>
    </w:p>
    <w:p w:rsidR="00CD31AA" w:rsidRPr="00495BAB" w:rsidRDefault="00CD31AA" w:rsidP="00495BAB">
      <w:pPr>
        <w:pStyle w:val="a0"/>
        <w:rPr>
          <w:rFonts w:hint="cs"/>
          <w:rtl/>
          <w:lang w:bidi="ar-SY"/>
        </w:rPr>
      </w:pPr>
      <w:r w:rsidRPr="00495BAB">
        <w:rPr>
          <w:rFonts w:hint="cs"/>
          <w:rtl/>
          <w:lang w:bidi="ar-SY"/>
        </w:rPr>
        <w:t xml:space="preserve">أما قوله: </w:t>
      </w:r>
      <w:r w:rsidRPr="00995B26">
        <w:rPr>
          <w:rFonts w:cs="Akhbar MT" w:hint="cs"/>
          <w:szCs w:val="30"/>
          <w:rtl/>
          <w:lang w:bidi="ar-SY"/>
        </w:rPr>
        <w:t>«مؤلفه المعروف</w:t>
      </w:r>
      <w:r w:rsidRPr="00495BAB">
        <w:rPr>
          <w:rFonts w:hint="cs"/>
          <w:rtl/>
          <w:lang w:bidi="ar-SY"/>
        </w:rPr>
        <w:t>» فلا أدري ما الذي يقصده؟ إنني الشخص الذي عرَّفْتُ نفسي بنفسي. إنني إنسان لا أخشى إلا الله ولا أرجو غيره، إنسانٌ مسلمٌ أؤمن بما جاء في كتاب الله وسنة رسوله المتواترة وبسيرة المسلمين وأصحاب النبي الذين مدحهم القرآن، وأعمل بذلك قدر المستطاع وَلِـلَّهِ الحمد، ولا يهمّني رضا أحد عني أو سخطه عليّ، وكل من ظنَّ بيَ غير ذلك أَكِلُهُ إلى ديَّان يوم الدين وحسابه الدقيق يوم الحساب.</w:t>
      </w:r>
    </w:p>
    <w:p w:rsidR="00CD31AA" w:rsidRPr="00495BAB" w:rsidRDefault="00CD31AA" w:rsidP="00495BAB">
      <w:pPr>
        <w:pStyle w:val="a0"/>
        <w:rPr>
          <w:rFonts w:hint="cs"/>
          <w:rtl/>
          <w:lang w:bidi="ar-SY"/>
        </w:rPr>
      </w:pPr>
      <w:r w:rsidRPr="00495BAB">
        <w:rPr>
          <w:rFonts w:hint="cs"/>
          <w:rtl/>
          <w:lang w:bidi="ar-SY"/>
        </w:rPr>
        <w:t>ثم تابع صاحب الردّ السيد «أستادي أصفهاني» كلامه قائلًا: «</w:t>
      </w:r>
      <w:r w:rsidRPr="00995B26">
        <w:rPr>
          <w:rFonts w:cs="Akhbar MT" w:hint="cs"/>
          <w:szCs w:val="30"/>
          <w:rtl/>
          <w:lang w:bidi="ar-SY"/>
        </w:rPr>
        <w:t>إن كاتب هذه السطور أحد أقلّ طلاب العلوم الدينية شأنًا، قد قمت - تلبيةً لطلب بعض الأصدقاء - بمطالعة كتاب الخمس الذي كتبه ذلك المؤلف، ودونت بعض الملاحظات حوله، وها أنا ذا أقوم بنشر تلك الملاحظات كنموذج لما في ذلك الكتاب</w:t>
      </w:r>
      <w:r w:rsidRPr="00495BAB">
        <w:rPr>
          <w:rFonts w:hint="cs"/>
          <w:rtl/>
          <w:lang w:bidi="ar-SY"/>
        </w:rPr>
        <w:t xml:space="preserve">». </w:t>
      </w:r>
    </w:p>
    <w:p w:rsidR="00CD31AA" w:rsidRPr="00495BAB" w:rsidRDefault="00CD31AA" w:rsidP="00495BAB">
      <w:pPr>
        <w:pStyle w:val="a0"/>
        <w:rPr>
          <w:rFonts w:hint="cs"/>
          <w:rtl/>
          <w:lang w:bidi="ar-SY"/>
        </w:rPr>
      </w:pPr>
      <w:r w:rsidRPr="00495BAB">
        <w:rPr>
          <w:rFonts w:hint="cs"/>
          <w:rtl/>
          <w:lang w:bidi="ar-SY"/>
        </w:rPr>
        <w:t>من هذ الكلام يتبيَّن أنَّ ما كتبه لم يكن تلبيةً لمرضاة الله، بل تلبيةً لطلب أحد أصدقائه، ممن هو في الاحتمال الغالب من أعداء كتاب «الخُمْس»، ولا غرْوَ، فهذا الكتاب سيُغلِق عليه دكّانه أو يصيب حانوته بالكساد، فلا عجب أن يقوم بنشر تلك الملاحظات.</w:t>
      </w:r>
    </w:p>
    <w:p w:rsidR="00CD31AA" w:rsidRPr="00495BAB" w:rsidRDefault="00CD31AA" w:rsidP="00495BAB">
      <w:pPr>
        <w:pStyle w:val="a0"/>
        <w:rPr>
          <w:rFonts w:hint="cs"/>
          <w:rtl/>
          <w:lang w:bidi="ar-SY"/>
        </w:rPr>
      </w:pPr>
      <w:r w:rsidRPr="00495BAB">
        <w:rPr>
          <w:rFonts w:hint="cs"/>
          <w:rtl/>
          <w:lang w:bidi="ar-SY"/>
        </w:rPr>
        <w:t>ثم عكف صاحب الردّ على نقل جُمَلٍ أوردتُها في كتابي «</w:t>
      </w:r>
      <w:r w:rsidRPr="00495BAB">
        <w:rPr>
          <w:rFonts w:hint="cs"/>
          <w:b/>
          <w:bCs/>
          <w:rtl/>
          <w:lang w:bidi="ar-SY"/>
        </w:rPr>
        <w:t>الخُمْس</w:t>
      </w:r>
      <w:r w:rsidRPr="00495BAB">
        <w:rPr>
          <w:rFonts w:hint="cs"/>
          <w:rtl/>
          <w:lang w:bidi="ar-SY"/>
        </w:rPr>
        <w:t>» حول كلمة «غَنِمْتُم»، فنقل جُمَلًا ناقصةً وعباراتٍ مبتورةً، ثم علَّق على ما ذكرتُه حول كلام أهل اللغة وفقهاء الإسلام حول معنى كلمة «الغنيمة» فقال:</w:t>
      </w:r>
    </w:p>
    <w:p w:rsidR="00CD31AA" w:rsidRPr="00495BAB" w:rsidRDefault="00CD31AA" w:rsidP="00495BAB">
      <w:pPr>
        <w:pStyle w:val="a0"/>
        <w:rPr>
          <w:rFonts w:hint="cs"/>
          <w:rtl/>
          <w:lang w:bidi="ar-SY"/>
        </w:rPr>
      </w:pPr>
      <w:r w:rsidRPr="00495BAB">
        <w:rPr>
          <w:rFonts w:hint="cs"/>
          <w:rtl/>
          <w:lang w:bidi="ar-SY"/>
        </w:rPr>
        <w:t>«</w:t>
      </w:r>
      <w:r w:rsidRPr="00995B26">
        <w:rPr>
          <w:rFonts w:cs="Akhbar MT" w:hint="cs"/>
          <w:szCs w:val="30"/>
          <w:rtl/>
          <w:lang w:bidi="ar-SY"/>
        </w:rPr>
        <w:t>أما ما نقله المؤلف من كتب: الأم والخراج والأحكام السلطانية وتفسير التبيان وتفسير مجمع البيان فلا يدل على أن معنى «الغنيمة» لدى مؤلفي تلك الكتب الخمسة هو غنيمة الحرب على سبيل الإطلاق، بل قصدهم من تلك العبارات، كما بيَّن ذلك المرحوم الميرزا القمي في كتاب «الغنائم»</w:t>
      </w:r>
      <w:r w:rsidR="00367019" w:rsidRPr="00367019">
        <w:rPr>
          <w:rFonts w:cs="Arabic11 BT" w:hint="cs"/>
          <w:sz w:val="27"/>
          <w:vertAlign w:val="superscript"/>
          <w:rtl/>
          <w:lang w:bidi="ar-SY"/>
        </w:rPr>
        <w:t>(</w:t>
      </w:r>
      <w:r w:rsidRPr="00367019">
        <w:rPr>
          <w:rStyle w:val="FootnoteReference"/>
          <w:rFonts w:cs="Arabic11 BT"/>
          <w:sz w:val="27"/>
          <w:rtl/>
        </w:rPr>
        <w:footnoteReference w:id="468"/>
      </w:r>
      <w:r w:rsidR="00367019" w:rsidRPr="00367019">
        <w:rPr>
          <w:rFonts w:cs="Arabic11 BT" w:hint="cs"/>
          <w:sz w:val="27"/>
          <w:vertAlign w:val="superscript"/>
          <w:rtl/>
          <w:lang w:bidi="ar-SY"/>
        </w:rPr>
        <w:t>)</w:t>
      </w:r>
      <w:r w:rsidRPr="00995B26">
        <w:rPr>
          <w:rFonts w:cs="Akhbar MT" w:hint="cs"/>
          <w:szCs w:val="30"/>
          <w:rtl/>
          <w:lang w:bidi="ar-SY"/>
        </w:rPr>
        <w:t>، هو بيان الفرق بين الغنيمة بمعناها الأخصّ، والفيء، وليس قصدهم بيان معنى كلمة «الغنيمة» بشكل مطلق</w:t>
      </w:r>
      <w:r w:rsidRPr="00495BAB">
        <w:rPr>
          <w:rFonts w:hint="cs"/>
          <w:rtl/>
          <w:lang w:bidi="ar-SY"/>
        </w:rPr>
        <w:t xml:space="preserve">». </w:t>
      </w:r>
    </w:p>
    <w:p w:rsidR="00CD31AA" w:rsidRPr="00495BAB" w:rsidRDefault="00CD31AA" w:rsidP="00495BAB">
      <w:pPr>
        <w:pStyle w:val="a0"/>
        <w:rPr>
          <w:rFonts w:hint="cs"/>
          <w:rtl/>
          <w:lang w:bidi="ar-SY"/>
        </w:rPr>
      </w:pPr>
      <w:r w:rsidRPr="00495BAB">
        <w:rPr>
          <w:rFonts w:hint="cs"/>
          <w:rtl/>
          <w:lang w:bidi="ar-SY"/>
        </w:rPr>
        <w:t>إن هذا الكاتب وأمثاله من الكت</w:t>
      </w:r>
      <w:r w:rsidR="004A0FFD" w:rsidRPr="00495BAB">
        <w:rPr>
          <w:rFonts w:hint="cs"/>
          <w:rtl/>
          <w:lang w:bidi="ar-SY"/>
        </w:rPr>
        <w:t>ّ</w:t>
      </w:r>
      <w:r w:rsidRPr="00495BAB">
        <w:rPr>
          <w:rFonts w:hint="cs"/>
          <w:rtl/>
          <w:lang w:bidi="ar-SY"/>
        </w:rPr>
        <w:t xml:space="preserve">اب غير المنطقيين لم يستطيعوا أن يفهموا أنهم عندما يكتبون في نقض عقيدة شخص أو معارضتها أو بيان وجه آخر لها، فعليهم -على الأقل- أن يستندوا إلى قول ذلك الشخص نفسه لا أن يحيلوا إلى ما فهمه المرحوم الميرزا القمي من كلام الشافعي ويحيى بن آدم وأبو يوسف والماوردي، مع أنه جاء بعدهم بحوالي ألف عام، وإلى ما قاله عن كلامهم طبقاً لعقيدته! وليت شعري! هل كان على الناس أن ينتظروا كل مدة الألف عام تلك حتى يأتي الميرزا القمي ويفسِّر لنا المراد من كلمات الشافعي ويحيى بن آدم وأبو يوسف وأقوالهم؟! </w:t>
      </w:r>
    </w:p>
    <w:p w:rsidR="00CD31AA" w:rsidRPr="00495BAB" w:rsidRDefault="00CD31AA" w:rsidP="00495BAB">
      <w:pPr>
        <w:pStyle w:val="a0"/>
        <w:rPr>
          <w:rFonts w:hint="cs"/>
          <w:rtl/>
          <w:lang w:bidi="ar-SY"/>
        </w:rPr>
      </w:pPr>
      <w:r w:rsidRPr="00495BAB">
        <w:rPr>
          <w:rFonts w:hint="cs"/>
          <w:rtl/>
          <w:lang w:bidi="ar-SY"/>
        </w:rPr>
        <w:t>دعونا الآن ننظر ماذا قال الميرزا القمي، لقد كتب يقول: «</w:t>
      </w:r>
      <w:r w:rsidRPr="00995B26">
        <w:rPr>
          <w:rFonts w:cs="Akhbar MT"/>
          <w:szCs w:val="30"/>
          <w:rtl/>
          <w:lang w:bidi="ar-SY"/>
        </w:rPr>
        <w:t>قول المحقّق الط</w:t>
      </w:r>
      <w:r w:rsidRPr="00995B26">
        <w:rPr>
          <w:rFonts w:cs="Akhbar MT" w:hint="cs"/>
          <w:szCs w:val="30"/>
          <w:rtl/>
          <w:lang w:bidi="ar-SY"/>
        </w:rPr>
        <w:t>َّ</w:t>
      </w:r>
      <w:r w:rsidRPr="00995B26">
        <w:rPr>
          <w:rFonts w:cs="Akhbar MT"/>
          <w:szCs w:val="30"/>
          <w:rtl/>
          <w:lang w:bidi="ar-SY"/>
        </w:rPr>
        <w:t>ب</w:t>
      </w:r>
      <w:r w:rsidRPr="00995B26">
        <w:rPr>
          <w:rFonts w:cs="Akhbar MT" w:hint="cs"/>
          <w:szCs w:val="30"/>
          <w:rtl/>
          <w:lang w:bidi="ar-SY"/>
        </w:rPr>
        <w:t>ْ</w:t>
      </w:r>
      <w:r w:rsidRPr="00995B26">
        <w:rPr>
          <w:rFonts w:cs="Akhbar MT"/>
          <w:szCs w:val="30"/>
          <w:rtl/>
          <w:lang w:bidi="ar-SY"/>
        </w:rPr>
        <w:t>ر</w:t>
      </w:r>
      <w:r w:rsidRPr="00995B26">
        <w:rPr>
          <w:rFonts w:cs="Akhbar MT" w:hint="cs"/>
          <w:szCs w:val="30"/>
          <w:rtl/>
          <w:lang w:bidi="ar-SY"/>
        </w:rPr>
        <w:t>َ</w:t>
      </w:r>
      <w:r w:rsidRPr="00995B26">
        <w:rPr>
          <w:rFonts w:cs="Akhbar MT"/>
          <w:szCs w:val="30"/>
          <w:rtl/>
          <w:lang w:bidi="ar-SY"/>
        </w:rPr>
        <w:t>س</w:t>
      </w:r>
      <w:r w:rsidRPr="00995B26">
        <w:rPr>
          <w:rFonts w:cs="Akhbar MT" w:hint="cs"/>
          <w:szCs w:val="30"/>
          <w:rtl/>
          <w:lang w:bidi="ar-SY"/>
        </w:rPr>
        <w:t>ِ</w:t>
      </w:r>
      <w:r w:rsidRPr="00995B26">
        <w:rPr>
          <w:rFonts w:cs="Akhbar MT"/>
          <w:szCs w:val="30"/>
          <w:rtl/>
          <w:lang w:bidi="ar-SY"/>
        </w:rPr>
        <w:t>ي</w:t>
      </w:r>
      <w:r w:rsidRPr="00995B26">
        <w:rPr>
          <w:rFonts w:cs="Akhbar MT" w:hint="cs"/>
          <w:szCs w:val="30"/>
          <w:rtl/>
          <w:lang w:bidi="ar-SY"/>
        </w:rPr>
        <w:t>ّ</w:t>
      </w:r>
      <w:r w:rsidRPr="00995B26">
        <w:rPr>
          <w:rFonts w:cs="Akhbar MT"/>
          <w:szCs w:val="30"/>
          <w:rtl/>
          <w:lang w:bidi="ar-SY"/>
        </w:rPr>
        <w:t xml:space="preserve"> في أوّل كلامه أنّ </w:t>
      </w:r>
      <w:r w:rsidRPr="00995B26">
        <w:rPr>
          <w:rFonts w:cs="Akhbar MT" w:hint="cs"/>
          <w:szCs w:val="30"/>
          <w:rtl/>
          <w:lang w:bidi="ar-SY"/>
        </w:rPr>
        <w:t>"</w:t>
      </w:r>
      <w:r w:rsidRPr="00995B26">
        <w:rPr>
          <w:rFonts w:cs="Akhbar MT"/>
          <w:szCs w:val="30"/>
          <w:rtl/>
          <w:lang w:bidi="ar-SY"/>
        </w:rPr>
        <w:t>المراد بالغنيمة</w:t>
      </w:r>
      <w:r w:rsidRPr="00995B26">
        <w:rPr>
          <w:rFonts w:cs="Akhbar MT" w:hint="cs"/>
          <w:szCs w:val="30"/>
          <w:rtl/>
          <w:lang w:bidi="ar-SY"/>
        </w:rPr>
        <w:t>:</w:t>
      </w:r>
      <w:r w:rsidRPr="00995B26">
        <w:rPr>
          <w:rFonts w:cs="Akhbar MT"/>
          <w:szCs w:val="30"/>
          <w:rtl/>
          <w:lang w:bidi="ar-SY"/>
        </w:rPr>
        <w:t xml:space="preserve"> ه</w:t>
      </w:r>
      <w:r w:rsidRPr="00995B26">
        <w:rPr>
          <w:rFonts w:cs="Akhbar MT" w:hint="cs"/>
          <w:szCs w:val="30"/>
          <w:rtl/>
          <w:lang w:bidi="ar-SY"/>
        </w:rPr>
        <w:t>و</w:t>
      </w:r>
      <w:r w:rsidRPr="00995B26">
        <w:rPr>
          <w:rFonts w:cs="Akhbar MT"/>
          <w:szCs w:val="30"/>
          <w:rtl/>
          <w:lang w:bidi="ar-SY"/>
        </w:rPr>
        <w:t xml:space="preserve"> غنيمة دار الحرب و</w:t>
      </w:r>
      <w:r w:rsidRPr="00995B26">
        <w:rPr>
          <w:rFonts w:cs="Akhbar MT" w:hint="cs"/>
          <w:szCs w:val="30"/>
          <w:rtl/>
          <w:lang w:bidi="ar-SY"/>
        </w:rPr>
        <w:t>إ</w:t>
      </w:r>
      <w:r w:rsidRPr="00995B26">
        <w:rPr>
          <w:rFonts w:cs="Akhbar MT"/>
          <w:szCs w:val="30"/>
          <w:rtl/>
          <w:lang w:bidi="ar-SY"/>
        </w:rPr>
        <w:t xml:space="preserve">نّه مروي عن أئمتنا </w:t>
      </w:r>
      <w:r w:rsidRPr="00995B26">
        <w:rPr>
          <w:rFonts w:cs="Akhbar MT" w:hint="cs"/>
          <w:szCs w:val="30"/>
          <w:rtl/>
          <w:lang w:bidi="ar-SY"/>
        </w:rPr>
        <w:t xml:space="preserve">- </w:t>
      </w:r>
      <w:r w:rsidR="00963EFD" w:rsidRPr="00963EFD">
        <w:rPr>
          <w:rFonts w:cs="CTraditional Arabic" w:hint="cs"/>
          <w:szCs w:val="30"/>
          <w:rtl/>
          <w:lang w:bidi="ar-SY"/>
        </w:rPr>
        <w:t>‡</w:t>
      </w:r>
      <w:r w:rsidRPr="00995B26">
        <w:rPr>
          <w:rFonts w:cs="Akhbar MT" w:hint="cs"/>
          <w:szCs w:val="30"/>
          <w:rtl/>
          <w:lang w:bidi="ar-SY"/>
        </w:rPr>
        <w:t xml:space="preserve"> - </w:t>
      </w:r>
      <w:r w:rsidRPr="00995B26">
        <w:rPr>
          <w:rFonts w:cs="Akhbar MT"/>
          <w:szCs w:val="30"/>
          <w:rtl/>
          <w:lang w:bidi="ar-SY"/>
        </w:rPr>
        <w:t>من أنّ الآية مختصة بها</w:t>
      </w:r>
      <w:r w:rsidRPr="00995B26">
        <w:rPr>
          <w:rFonts w:cs="Akhbar MT" w:hint="cs"/>
          <w:szCs w:val="30"/>
          <w:rtl/>
          <w:lang w:bidi="ar-SY"/>
        </w:rPr>
        <w:t>"</w:t>
      </w:r>
      <w:r w:rsidRPr="00995B26">
        <w:rPr>
          <w:rFonts w:cs="Akhbar MT"/>
          <w:szCs w:val="30"/>
          <w:rtl/>
          <w:lang w:bidi="ar-SY"/>
        </w:rPr>
        <w:t>، ليس كذلك؛ لأنّ مراده هنا بيان الفرق بين الغنيمة والفي‌ء، يعني: أنّ الغنيمة وإن كانت من حيث اللغة عامّة، ولكن أُريد من الآية هنا بيان حكم ما أُخذ من أهل الحرب بالقتال، لا بأن يكون اللفظ معناه ذلك فقط</w:t>
      </w:r>
      <w:r w:rsidRPr="00495BAB">
        <w:rPr>
          <w:rFonts w:hint="cs"/>
          <w:rtl/>
          <w:lang w:bidi="ar-SY"/>
        </w:rPr>
        <w:t>».</w:t>
      </w:r>
      <w:r w:rsidR="000C68EA" w:rsidRPr="000C68EA">
        <w:rPr>
          <w:rStyle w:val="FootnoteReference"/>
          <w:rFonts w:cs="Arabic11 BT"/>
          <w:rtl/>
          <w:lang w:bidi="ar-SY"/>
        </w:rPr>
        <w:t>(</w:t>
      </w:r>
      <w:r w:rsidR="000C68EA" w:rsidRPr="000C68EA">
        <w:rPr>
          <w:rStyle w:val="FootnoteReference"/>
          <w:rFonts w:cs="Arabic11 BT"/>
          <w:rtl/>
          <w:lang w:bidi="ar-SY"/>
        </w:rPr>
        <w:footnoteReference w:id="469"/>
      </w:r>
      <w:r w:rsidR="000C68EA" w:rsidRPr="000C68EA">
        <w:rPr>
          <w:rStyle w:val="FootnoteReference"/>
          <w:rFonts w:cs="Arabic11 BT"/>
          <w:rtl/>
          <w:lang w:bidi="ar-SY"/>
        </w:rPr>
        <w:t>)</w:t>
      </w:r>
      <w:r w:rsidRPr="00495BAB">
        <w:rPr>
          <w:rFonts w:hint="cs"/>
          <w:rtl/>
          <w:lang w:bidi="ar-SY"/>
        </w:rPr>
        <w:t xml:space="preserve"> </w:t>
      </w:r>
    </w:p>
    <w:p w:rsidR="00CD31AA" w:rsidRPr="00995B26" w:rsidRDefault="00CD31AA" w:rsidP="00495BAB">
      <w:pPr>
        <w:pStyle w:val="a0"/>
        <w:rPr>
          <w:rFonts w:hint="cs"/>
          <w:rtl/>
          <w:lang w:bidi="ar-SY"/>
        </w:rPr>
      </w:pPr>
      <w:r w:rsidRPr="00495BAB">
        <w:rPr>
          <w:rFonts w:hint="cs"/>
          <w:rtl/>
          <w:lang w:bidi="ar-SY"/>
        </w:rPr>
        <w:t xml:space="preserve">فالاختلاف هنا هو أن كلمة «الغنيمة» لا تشمل «الفيء»، وأن للفيء حكمًا مختلفًا، وهذا المعنى -لسوء الحظ- ليس لصالح صاحب الرد بل ضده! لأنه يريد أن تكون هذه الكلمة عامة، في حين يرى الطبرسي أن معناها خاص؛ ثم ذكر صاحب الردّ - إثباتًا لمُدَّعاه - نظريةَ كلٍّ من الشيخ الطوسي والشيخ الطبرسي، فقال: إن الشيخ الطوسي قال: </w:t>
      </w:r>
      <w:r w:rsidRPr="00495BAB">
        <w:rPr>
          <w:rtl/>
          <w:lang w:bidi="ar-SY"/>
        </w:rPr>
        <w:t>«</w:t>
      </w:r>
      <w:r w:rsidRPr="00995B26">
        <w:rPr>
          <w:rFonts w:cs="Akhbar MT"/>
          <w:szCs w:val="30"/>
          <w:rtl/>
          <w:lang w:bidi="ar-SY"/>
        </w:rPr>
        <w:t>وعند أصحابنا: الخمس يجب في كل فائدة تحصل للإنسان من المكاسب وأرباح التجارات والكنز والمعادن والغوص وغير ذلك مما ذكرناه في كتب الفقه، ويمكن الاستدلال على ذلك بهذه الآية</w:t>
      </w:r>
      <w:r w:rsidRPr="00995B26">
        <w:rPr>
          <w:rFonts w:cs="Akhbar MT" w:hint="cs"/>
          <w:szCs w:val="30"/>
          <w:rtl/>
          <w:lang w:bidi="ar-SY"/>
        </w:rPr>
        <w:t xml:space="preserve">: </w:t>
      </w:r>
      <w:r w:rsidR="006633B5" w:rsidRPr="00995B26">
        <w:rPr>
          <w:rFonts w:cs="Traditional Arabic" w:hint="cs"/>
          <w:szCs w:val="30"/>
          <w:rtl/>
          <w:lang w:bidi="ar-SY"/>
        </w:rPr>
        <w:t>﴿</w:t>
      </w:r>
      <w:r w:rsidR="006633B5" w:rsidRPr="0067048A">
        <w:rPr>
          <w:rFonts w:ascii="KFGQPC Uthmanic Script HAFS" w:cs="KFGQPC Uthmanic Script HAFS" w:hint="eastAsia"/>
          <w:sz w:val="28"/>
          <w:szCs w:val="28"/>
          <w:rtl/>
        </w:rPr>
        <w:t>وَ</w:t>
      </w:r>
      <w:r w:rsidR="006633B5" w:rsidRPr="0067048A">
        <w:rPr>
          <w:rFonts w:ascii="KFGQPC Uthmanic Script HAFS" w:cs="KFGQPC Uthmanic Script HAFS" w:hint="cs"/>
          <w:sz w:val="28"/>
          <w:szCs w:val="28"/>
          <w:rtl/>
        </w:rPr>
        <w:t>ٱ</w:t>
      </w:r>
      <w:r w:rsidR="006633B5" w:rsidRPr="0067048A">
        <w:rPr>
          <w:rFonts w:ascii="KFGQPC Uthmanic Script HAFS" w:cs="KFGQPC Uthmanic Script HAFS" w:hint="eastAsia"/>
          <w:sz w:val="28"/>
          <w:szCs w:val="28"/>
          <w:rtl/>
        </w:rPr>
        <w:t>ع</w:t>
      </w:r>
      <w:r w:rsidR="006633B5" w:rsidRPr="0067048A">
        <w:rPr>
          <w:rFonts w:ascii="KFGQPC Uthmanic Script HAFS" w:cs="KFGQPC Uthmanic Script HAFS" w:hint="cs"/>
          <w:sz w:val="28"/>
          <w:szCs w:val="28"/>
          <w:rtl/>
        </w:rPr>
        <w:t>ۡ</w:t>
      </w:r>
      <w:r w:rsidR="006633B5" w:rsidRPr="0067048A">
        <w:rPr>
          <w:rFonts w:ascii="KFGQPC Uthmanic Script HAFS" w:cs="KFGQPC Uthmanic Script HAFS" w:hint="eastAsia"/>
          <w:sz w:val="28"/>
          <w:szCs w:val="28"/>
          <w:rtl/>
        </w:rPr>
        <w:t>لَمُو</w:t>
      </w:r>
      <w:r w:rsidR="006633B5" w:rsidRPr="0067048A">
        <w:rPr>
          <w:rFonts w:ascii="KFGQPC Uthmanic Script HAFS" w:cs="KFGQPC Uthmanic Script HAFS" w:hint="cs"/>
          <w:sz w:val="28"/>
          <w:szCs w:val="28"/>
          <w:rtl/>
        </w:rPr>
        <w:t>ٓ</w:t>
      </w:r>
      <w:r w:rsidR="006633B5" w:rsidRPr="0067048A">
        <w:rPr>
          <w:rFonts w:ascii="KFGQPC Uthmanic Script HAFS" w:cs="KFGQPC Uthmanic Script HAFS" w:hint="eastAsia"/>
          <w:sz w:val="28"/>
          <w:szCs w:val="28"/>
          <w:rtl/>
        </w:rPr>
        <w:t>اْ</w:t>
      </w:r>
      <w:r w:rsidR="006633B5" w:rsidRPr="0067048A">
        <w:rPr>
          <w:rFonts w:ascii="KFGQPC Uthmanic Script HAFS" w:cs="KFGQPC Uthmanic Script HAFS"/>
          <w:sz w:val="28"/>
          <w:szCs w:val="28"/>
          <w:rtl/>
        </w:rPr>
        <w:t xml:space="preserve"> </w:t>
      </w:r>
      <w:r w:rsidR="006633B5" w:rsidRPr="0067048A">
        <w:rPr>
          <w:rFonts w:ascii="KFGQPC Uthmanic Script HAFS" w:cs="KFGQPC Uthmanic Script HAFS" w:hint="eastAsia"/>
          <w:sz w:val="28"/>
          <w:szCs w:val="28"/>
          <w:rtl/>
        </w:rPr>
        <w:t>أَنَّمَا</w:t>
      </w:r>
      <w:r w:rsidR="006633B5" w:rsidRPr="0067048A">
        <w:rPr>
          <w:rFonts w:ascii="KFGQPC Uthmanic Script HAFS" w:cs="KFGQPC Uthmanic Script HAFS"/>
          <w:sz w:val="28"/>
          <w:szCs w:val="28"/>
          <w:rtl/>
        </w:rPr>
        <w:t xml:space="preserve"> </w:t>
      </w:r>
      <w:r w:rsidR="006633B5" w:rsidRPr="0067048A">
        <w:rPr>
          <w:rFonts w:ascii="KFGQPC Uthmanic Script HAFS" w:cs="KFGQPC Uthmanic Script HAFS" w:hint="eastAsia"/>
          <w:sz w:val="28"/>
          <w:szCs w:val="28"/>
          <w:rtl/>
        </w:rPr>
        <w:t>غَنِم</w:t>
      </w:r>
      <w:r w:rsidR="006633B5" w:rsidRPr="0067048A">
        <w:rPr>
          <w:rFonts w:ascii="KFGQPC Uthmanic Script HAFS" w:cs="KFGQPC Uthmanic Script HAFS" w:hint="cs"/>
          <w:sz w:val="28"/>
          <w:szCs w:val="28"/>
          <w:rtl/>
        </w:rPr>
        <w:t>ۡ</w:t>
      </w:r>
      <w:r w:rsidR="006633B5" w:rsidRPr="0067048A">
        <w:rPr>
          <w:rFonts w:ascii="KFGQPC Uthmanic Script HAFS" w:cs="KFGQPC Uthmanic Script HAFS" w:hint="eastAsia"/>
          <w:sz w:val="28"/>
          <w:szCs w:val="28"/>
          <w:rtl/>
        </w:rPr>
        <w:t>تُم</w:t>
      </w:r>
      <w:r w:rsidR="006633B5" w:rsidRPr="0067048A">
        <w:rPr>
          <w:rFonts w:ascii="KFGQPC Uthmanic Script HAFS" w:cs="KFGQPC Uthmanic Script HAFS"/>
          <w:sz w:val="28"/>
          <w:szCs w:val="28"/>
          <w:rtl/>
        </w:rPr>
        <w:t xml:space="preserve"> </w:t>
      </w:r>
      <w:r w:rsidR="006633B5" w:rsidRPr="0067048A">
        <w:rPr>
          <w:rFonts w:ascii="KFGQPC Uthmanic Script HAFS" w:cs="KFGQPC Uthmanic Script HAFS" w:hint="eastAsia"/>
          <w:sz w:val="28"/>
          <w:szCs w:val="28"/>
          <w:rtl/>
        </w:rPr>
        <w:t>مِّن</w:t>
      </w:r>
      <w:r w:rsidR="006633B5" w:rsidRPr="0067048A">
        <w:rPr>
          <w:rFonts w:ascii="KFGQPC Uthmanic Script HAFS" w:cs="KFGQPC Uthmanic Script HAFS"/>
          <w:sz w:val="28"/>
          <w:szCs w:val="28"/>
          <w:rtl/>
        </w:rPr>
        <w:t xml:space="preserve"> </w:t>
      </w:r>
      <w:r w:rsidR="006633B5" w:rsidRPr="0067048A">
        <w:rPr>
          <w:rFonts w:ascii="KFGQPC Uthmanic Script HAFS" w:cs="KFGQPC Uthmanic Script HAFS" w:hint="eastAsia"/>
          <w:sz w:val="28"/>
          <w:szCs w:val="28"/>
          <w:rtl/>
        </w:rPr>
        <w:t>شَي</w:t>
      </w:r>
      <w:r w:rsidR="006633B5" w:rsidRPr="0067048A">
        <w:rPr>
          <w:rFonts w:ascii="KFGQPC Uthmanic Script HAFS" w:cs="KFGQPC Uthmanic Script HAFS" w:hint="cs"/>
          <w:sz w:val="28"/>
          <w:szCs w:val="28"/>
          <w:rtl/>
        </w:rPr>
        <w:t>ۡ</w:t>
      </w:r>
      <w:r w:rsidR="006633B5" w:rsidRPr="0067048A">
        <w:rPr>
          <w:rFonts w:ascii="KFGQPC Uthmanic Script HAFS" w:cs="KFGQPC Uthmanic Script HAFS" w:hint="eastAsia"/>
          <w:sz w:val="28"/>
          <w:szCs w:val="28"/>
          <w:rtl/>
        </w:rPr>
        <w:t>ء</w:t>
      </w:r>
      <w:r w:rsidR="006633B5" w:rsidRPr="0067048A">
        <w:rPr>
          <w:rFonts w:ascii="KFGQPC Uthmanic Script HAFS" w:cs="KFGQPC Uthmanic Script HAFS" w:hint="cs"/>
          <w:sz w:val="28"/>
          <w:szCs w:val="28"/>
          <w:rtl/>
        </w:rPr>
        <w:t>ٖ</w:t>
      </w:r>
      <w:r w:rsidR="006633B5" w:rsidRPr="0067048A">
        <w:rPr>
          <w:rFonts w:ascii="KFGQPC Uthmanic Script HAFS" w:cs="KFGQPC Uthmanic Script HAFS"/>
          <w:sz w:val="28"/>
          <w:szCs w:val="28"/>
          <w:rtl/>
        </w:rPr>
        <w:t xml:space="preserve"> </w:t>
      </w:r>
      <w:r w:rsidR="006633B5" w:rsidRPr="0067048A">
        <w:rPr>
          <w:rFonts w:ascii="KFGQPC Uthmanic Script HAFS" w:cs="KFGQPC Uthmanic Script HAFS" w:hint="eastAsia"/>
          <w:sz w:val="28"/>
          <w:szCs w:val="28"/>
          <w:rtl/>
        </w:rPr>
        <w:t>فَأَنَّ</w:t>
      </w:r>
      <w:r w:rsidR="006633B5" w:rsidRPr="0067048A">
        <w:rPr>
          <w:rFonts w:ascii="KFGQPC Uthmanic Script HAFS" w:cs="KFGQPC Uthmanic Script HAFS"/>
          <w:sz w:val="28"/>
          <w:szCs w:val="28"/>
          <w:rtl/>
        </w:rPr>
        <w:t xml:space="preserve"> </w:t>
      </w:r>
      <w:r w:rsidR="006633B5" w:rsidRPr="0067048A">
        <w:rPr>
          <w:rFonts w:ascii="KFGQPC Uthmanic Script HAFS" w:cs="KFGQPC Uthmanic Script HAFS" w:hint="eastAsia"/>
          <w:sz w:val="28"/>
          <w:szCs w:val="28"/>
          <w:rtl/>
        </w:rPr>
        <w:t>لِلَّهِ</w:t>
      </w:r>
      <w:r w:rsidR="006633B5" w:rsidRPr="0067048A">
        <w:rPr>
          <w:rFonts w:ascii="KFGQPC Uthmanic Script HAFS" w:cs="KFGQPC Uthmanic Script HAFS"/>
          <w:sz w:val="28"/>
          <w:szCs w:val="28"/>
          <w:rtl/>
        </w:rPr>
        <w:t xml:space="preserve"> </w:t>
      </w:r>
      <w:r w:rsidR="006633B5" w:rsidRPr="0067048A">
        <w:rPr>
          <w:rFonts w:ascii="KFGQPC Uthmanic Script HAFS" w:cs="KFGQPC Uthmanic Script HAFS" w:hint="eastAsia"/>
          <w:sz w:val="28"/>
          <w:szCs w:val="28"/>
          <w:rtl/>
        </w:rPr>
        <w:t>خُمُسَهُ</w:t>
      </w:r>
      <w:r w:rsidR="006633B5" w:rsidRPr="0067048A">
        <w:rPr>
          <w:rFonts w:ascii="KFGQPC Uthmanic Script HAFS" w:cs="KFGQPC Uthmanic Script HAFS" w:hint="cs"/>
          <w:sz w:val="28"/>
          <w:szCs w:val="28"/>
          <w:rtl/>
        </w:rPr>
        <w:t>ۥ</w:t>
      </w:r>
      <w:r w:rsidR="006633B5" w:rsidRPr="0067048A">
        <w:rPr>
          <w:rFonts w:ascii="KFGQPC Uthmanic Script HAFS" w:cs="KFGQPC Uthmanic Script HAFS"/>
          <w:sz w:val="28"/>
          <w:szCs w:val="28"/>
          <w:rtl/>
        </w:rPr>
        <w:t xml:space="preserve"> </w:t>
      </w:r>
      <w:r w:rsidR="006633B5" w:rsidRPr="0067048A">
        <w:rPr>
          <w:rFonts w:ascii="KFGQPC Uthmanic Script HAFS" w:cs="KFGQPC Uthmanic Script HAFS" w:hint="eastAsia"/>
          <w:sz w:val="28"/>
          <w:szCs w:val="28"/>
          <w:rtl/>
        </w:rPr>
        <w:t>وَلِلرَّسُولِ</w:t>
      </w:r>
      <w:r w:rsidR="006633B5" w:rsidRPr="0067048A">
        <w:rPr>
          <w:rFonts w:ascii="KFGQPC Uthmanic Script HAFS" w:cs="KFGQPC Uthmanic Script HAFS"/>
          <w:sz w:val="28"/>
          <w:szCs w:val="28"/>
          <w:rtl/>
        </w:rPr>
        <w:t xml:space="preserve"> </w:t>
      </w:r>
      <w:r w:rsidR="006633B5" w:rsidRPr="0067048A">
        <w:rPr>
          <w:rFonts w:ascii="KFGQPC Uthmanic Script HAFS" w:cs="KFGQPC Uthmanic Script HAFS" w:hint="eastAsia"/>
          <w:sz w:val="28"/>
          <w:szCs w:val="28"/>
          <w:rtl/>
        </w:rPr>
        <w:t>وَلِذِي</w:t>
      </w:r>
      <w:r w:rsidR="006633B5" w:rsidRPr="0067048A">
        <w:rPr>
          <w:rFonts w:ascii="KFGQPC Uthmanic Script HAFS" w:cs="KFGQPC Uthmanic Script HAFS"/>
          <w:sz w:val="28"/>
          <w:szCs w:val="28"/>
          <w:rtl/>
        </w:rPr>
        <w:t xml:space="preserve"> </w:t>
      </w:r>
      <w:r w:rsidR="006633B5" w:rsidRPr="0067048A">
        <w:rPr>
          <w:rFonts w:ascii="KFGQPC Uthmanic Script HAFS" w:cs="KFGQPC Uthmanic Script HAFS" w:hint="cs"/>
          <w:sz w:val="28"/>
          <w:szCs w:val="28"/>
          <w:rtl/>
        </w:rPr>
        <w:t>ٱ</w:t>
      </w:r>
      <w:r w:rsidR="006633B5" w:rsidRPr="0067048A">
        <w:rPr>
          <w:rFonts w:ascii="KFGQPC Uthmanic Script HAFS" w:cs="KFGQPC Uthmanic Script HAFS" w:hint="eastAsia"/>
          <w:sz w:val="28"/>
          <w:szCs w:val="28"/>
          <w:rtl/>
        </w:rPr>
        <w:t>ل</w:t>
      </w:r>
      <w:r w:rsidR="006633B5" w:rsidRPr="0067048A">
        <w:rPr>
          <w:rFonts w:ascii="KFGQPC Uthmanic Script HAFS" w:cs="KFGQPC Uthmanic Script HAFS" w:hint="cs"/>
          <w:sz w:val="28"/>
          <w:szCs w:val="28"/>
          <w:rtl/>
        </w:rPr>
        <w:t>ۡ</w:t>
      </w:r>
      <w:r w:rsidR="006633B5" w:rsidRPr="0067048A">
        <w:rPr>
          <w:rFonts w:ascii="KFGQPC Uthmanic Script HAFS" w:cs="KFGQPC Uthmanic Script HAFS" w:hint="eastAsia"/>
          <w:sz w:val="28"/>
          <w:szCs w:val="28"/>
          <w:rtl/>
        </w:rPr>
        <w:t>قُر</w:t>
      </w:r>
      <w:r w:rsidR="006633B5" w:rsidRPr="0067048A">
        <w:rPr>
          <w:rFonts w:ascii="KFGQPC Uthmanic Script HAFS" w:cs="KFGQPC Uthmanic Script HAFS" w:hint="cs"/>
          <w:sz w:val="28"/>
          <w:szCs w:val="28"/>
          <w:rtl/>
        </w:rPr>
        <w:t>ۡ</w:t>
      </w:r>
      <w:r w:rsidR="006633B5" w:rsidRPr="0067048A">
        <w:rPr>
          <w:rFonts w:ascii="KFGQPC Uthmanic Script HAFS" w:cs="KFGQPC Uthmanic Script HAFS" w:hint="eastAsia"/>
          <w:sz w:val="28"/>
          <w:szCs w:val="28"/>
          <w:rtl/>
        </w:rPr>
        <w:t>بَى</w:t>
      </w:r>
      <w:r w:rsidR="006633B5" w:rsidRPr="0067048A">
        <w:rPr>
          <w:rFonts w:ascii="KFGQPC Uthmanic Script HAFS" w:cs="KFGQPC Uthmanic Script HAFS" w:hint="cs"/>
          <w:sz w:val="28"/>
          <w:szCs w:val="28"/>
          <w:rtl/>
        </w:rPr>
        <w:t>ٰ</w:t>
      </w:r>
      <w:r w:rsidR="006633B5" w:rsidRPr="0067048A">
        <w:rPr>
          <w:rFonts w:ascii="KFGQPC Uthmanic Script HAFS" w:cs="KFGQPC Uthmanic Script HAFS"/>
          <w:sz w:val="28"/>
          <w:szCs w:val="28"/>
          <w:rtl/>
        </w:rPr>
        <w:t xml:space="preserve"> </w:t>
      </w:r>
      <w:r w:rsidR="006633B5" w:rsidRPr="0067048A">
        <w:rPr>
          <w:rFonts w:ascii="KFGQPC Uthmanic Script HAFS" w:cs="KFGQPC Uthmanic Script HAFS" w:hint="eastAsia"/>
          <w:sz w:val="28"/>
          <w:szCs w:val="28"/>
          <w:rtl/>
        </w:rPr>
        <w:t>وَ</w:t>
      </w:r>
      <w:r w:rsidR="006633B5" w:rsidRPr="0067048A">
        <w:rPr>
          <w:rFonts w:ascii="KFGQPC Uthmanic Script HAFS" w:cs="KFGQPC Uthmanic Script HAFS" w:hint="cs"/>
          <w:sz w:val="28"/>
          <w:szCs w:val="28"/>
          <w:rtl/>
        </w:rPr>
        <w:t>ٱ</w:t>
      </w:r>
      <w:r w:rsidR="006633B5" w:rsidRPr="0067048A">
        <w:rPr>
          <w:rFonts w:ascii="KFGQPC Uthmanic Script HAFS" w:cs="KFGQPC Uthmanic Script HAFS" w:hint="eastAsia"/>
          <w:sz w:val="28"/>
          <w:szCs w:val="28"/>
          <w:rtl/>
        </w:rPr>
        <w:t>ل</w:t>
      </w:r>
      <w:r w:rsidR="006633B5" w:rsidRPr="0067048A">
        <w:rPr>
          <w:rFonts w:ascii="KFGQPC Uthmanic Script HAFS" w:cs="KFGQPC Uthmanic Script HAFS" w:hint="cs"/>
          <w:sz w:val="28"/>
          <w:szCs w:val="28"/>
          <w:rtl/>
        </w:rPr>
        <w:t>ۡ</w:t>
      </w:r>
      <w:r w:rsidR="006633B5" w:rsidRPr="0067048A">
        <w:rPr>
          <w:rFonts w:ascii="KFGQPC Uthmanic Script HAFS" w:cs="KFGQPC Uthmanic Script HAFS" w:hint="eastAsia"/>
          <w:sz w:val="28"/>
          <w:szCs w:val="28"/>
          <w:rtl/>
        </w:rPr>
        <w:t>يَتَ</w:t>
      </w:r>
      <w:r w:rsidR="006633B5" w:rsidRPr="0067048A">
        <w:rPr>
          <w:rFonts w:ascii="KFGQPC Uthmanic Script HAFS" w:cs="KFGQPC Uthmanic Script HAFS" w:hint="cs"/>
          <w:sz w:val="28"/>
          <w:szCs w:val="28"/>
          <w:rtl/>
        </w:rPr>
        <w:t>ٰ</w:t>
      </w:r>
      <w:r w:rsidR="006633B5" w:rsidRPr="0067048A">
        <w:rPr>
          <w:rFonts w:ascii="KFGQPC Uthmanic Script HAFS" w:cs="KFGQPC Uthmanic Script HAFS" w:hint="eastAsia"/>
          <w:sz w:val="28"/>
          <w:szCs w:val="28"/>
          <w:rtl/>
        </w:rPr>
        <w:t>مَى</w:t>
      </w:r>
      <w:r w:rsidR="006633B5" w:rsidRPr="0067048A">
        <w:rPr>
          <w:rFonts w:ascii="KFGQPC Uthmanic Script HAFS" w:cs="KFGQPC Uthmanic Script HAFS" w:hint="cs"/>
          <w:sz w:val="28"/>
          <w:szCs w:val="28"/>
          <w:rtl/>
        </w:rPr>
        <w:t>ٰ</w:t>
      </w:r>
      <w:r w:rsidR="006633B5" w:rsidRPr="0067048A">
        <w:rPr>
          <w:rFonts w:ascii="KFGQPC Uthmanic Script HAFS" w:cs="KFGQPC Uthmanic Script HAFS"/>
          <w:sz w:val="28"/>
          <w:szCs w:val="28"/>
          <w:rtl/>
        </w:rPr>
        <w:t xml:space="preserve"> </w:t>
      </w:r>
      <w:r w:rsidR="006633B5" w:rsidRPr="0067048A">
        <w:rPr>
          <w:rFonts w:ascii="KFGQPC Uthmanic Script HAFS" w:cs="KFGQPC Uthmanic Script HAFS" w:hint="eastAsia"/>
          <w:sz w:val="28"/>
          <w:szCs w:val="28"/>
          <w:rtl/>
        </w:rPr>
        <w:t>وَ</w:t>
      </w:r>
      <w:r w:rsidR="006633B5" w:rsidRPr="0067048A">
        <w:rPr>
          <w:rFonts w:ascii="KFGQPC Uthmanic Script HAFS" w:cs="KFGQPC Uthmanic Script HAFS" w:hint="cs"/>
          <w:sz w:val="28"/>
          <w:szCs w:val="28"/>
          <w:rtl/>
        </w:rPr>
        <w:t>ٱ</w:t>
      </w:r>
      <w:r w:rsidR="006633B5" w:rsidRPr="0067048A">
        <w:rPr>
          <w:rFonts w:ascii="KFGQPC Uthmanic Script HAFS" w:cs="KFGQPC Uthmanic Script HAFS" w:hint="eastAsia"/>
          <w:sz w:val="28"/>
          <w:szCs w:val="28"/>
          <w:rtl/>
        </w:rPr>
        <w:t>ل</w:t>
      </w:r>
      <w:r w:rsidR="006633B5" w:rsidRPr="0067048A">
        <w:rPr>
          <w:rFonts w:ascii="KFGQPC Uthmanic Script HAFS" w:cs="KFGQPC Uthmanic Script HAFS" w:hint="cs"/>
          <w:sz w:val="28"/>
          <w:szCs w:val="28"/>
          <w:rtl/>
        </w:rPr>
        <w:t>ۡ</w:t>
      </w:r>
      <w:r w:rsidR="006633B5" w:rsidRPr="0067048A">
        <w:rPr>
          <w:rFonts w:ascii="KFGQPC Uthmanic Script HAFS" w:cs="KFGQPC Uthmanic Script HAFS" w:hint="eastAsia"/>
          <w:sz w:val="28"/>
          <w:szCs w:val="28"/>
          <w:rtl/>
        </w:rPr>
        <w:t>مَسَ</w:t>
      </w:r>
      <w:r w:rsidR="006633B5" w:rsidRPr="0067048A">
        <w:rPr>
          <w:rFonts w:ascii="KFGQPC Uthmanic Script HAFS" w:cs="KFGQPC Uthmanic Script HAFS" w:hint="cs"/>
          <w:sz w:val="28"/>
          <w:szCs w:val="28"/>
          <w:rtl/>
        </w:rPr>
        <w:t>ٰ</w:t>
      </w:r>
      <w:r w:rsidR="006633B5" w:rsidRPr="0067048A">
        <w:rPr>
          <w:rFonts w:ascii="KFGQPC Uthmanic Script HAFS" w:cs="KFGQPC Uthmanic Script HAFS" w:hint="eastAsia"/>
          <w:sz w:val="28"/>
          <w:szCs w:val="28"/>
          <w:rtl/>
        </w:rPr>
        <w:t>كِينِ</w:t>
      </w:r>
      <w:r w:rsidR="006633B5" w:rsidRPr="0067048A">
        <w:rPr>
          <w:rFonts w:ascii="KFGQPC Uthmanic Script HAFS" w:cs="KFGQPC Uthmanic Script HAFS"/>
          <w:sz w:val="28"/>
          <w:szCs w:val="28"/>
          <w:rtl/>
        </w:rPr>
        <w:t xml:space="preserve"> </w:t>
      </w:r>
      <w:r w:rsidR="006633B5" w:rsidRPr="0067048A">
        <w:rPr>
          <w:rFonts w:ascii="KFGQPC Uthmanic Script HAFS" w:cs="KFGQPC Uthmanic Script HAFS" w:hint="eastAsia"/>
          <w:sz w:val="28"/>
          <w:szCs w:val="28"/>
          <w:rtl/>
        </w:rPr>
        <w:t>وَ</w:t>
      </w:r>
      <w:r w:rsidR="006633B5" w:rsidRPr="0067048A">
        <w:rPr>
          <w:rFonts w:ascii="KFGQPC Uthmanic Script HAFS" w:cs="KFGQPC Uthmanic Script HAFS" w:hint="cs"/>
          <w:sz w:val="28"/>
          <w:szCs w:val="28"/>
          <w:rtl/>
        </w:rPr>
        <w:t>ٱ</w:t>
      </w:r>
      <w:r w:rsidR="006633B5" w:rsidRPr="0067048A">
        <w:rPr>
          <w:rFonts w:ascii="KFGQPC Uthmanic Script HAFS" w:cs="KFGQPC Uthmanic Script HAFS" w:hint="eastAsia"/>
          <w:sz w:val="28"/>
          <w:szCs w:val="28"/>
          <w:rtl/>
        </w:rPr>
        <w:t>ب</w:t>
      </w:r>
      <w:r w:rsidR="006633B5" w:rsidRPr="0067048A">
        <w:rPr>
          <w:rFonts w:ascii="KFGQPC Uthmanic Script HAFS" w:cs="KFGQPC Uthmanic Script HAFS" w:hint="cs"/>
          <w:sz w:val="28"/>
          <w:szCs w:val="28"/>
          <w:rtl/>
        </w:rPr>
        <w:t>ۡ</w:t>
      </w:r>
      <w:r w:rsidR="006633B5" w:rsidRPr="0067048A">
        <w:rPr>
          <w:rFonts w:ascii="KFGQPC Uthmanic Script HAFS" w:cs="KFGQPC Uthmanic Script HAFS" w:hint="eastAsia"/>
          <w:sz w:val="28"/>
          <w:szCs w:val="28"/>
          <w:rtl/>
        </w:rPr>
        <w:t>نِ</w:t>
      </w:r>
      <w:r w:rsidR="006633B5" w:rsidRPr="0067048A">
        <w:rPr>
          <w:rFonts w:ascii="KFGQPC Uthmanic Script HAFS" w:cs="KFGQPC Uthmanic Script HAFS"/>
          <w:sz w:val="28"/>
          <w:szCs w:val="28"/>
          <w:rtl/>
        </w:rPr>
        <w:t xml:space="preserve"> </w:t>
      </w:r>
      <w:r w:rsidR="006633B5" w:rsidRPr="0067048A">
        <w:rPr>
          <w:rFonts w:ascii="KFGQPC Uthmanic Script HAFS" w:cs="KFGQPC Uthmanic Script HAFS" w:hint="cs"/>
          <w:sz w:val="28"/>
          <w:szCs w:val="28"/>
          <w:rtl/>
        </w:rPr>
        <w:t>ٱ</w:t>
      </w:r>
      <w:r w:rsidR="006633B5" w:rsidRPr="0067048A">
        <w:rPr>
          <w:rFonts w:ascii="KFGQPC Uthmanic Script HAFS" w:cs="KFGQPC Uthmanic Script HAFS" w:hint="eastAsia"/>
          <w:sz w:val="28"/>
          <w:szCs w:val="28"/>
          <w:rtl/>
        </w:rPr>
        <w:t>لسَّبِيلِ</w:t>
      </w:r>
      <w:r w:rsidR="006633B5" w:rsidRPr="0067048A">
        <w:rPr>
          <w:rFonts w:ascii="KFGQPC Uthmanic Script HAFS" w:cs="KFGQPC Uthmanic Script HAFS"/>
          <w:sz w:val="28"/>
          <w:szCs w:val="28"/>
          <w:rtl/>
        </w:rPr>
        <w:t xml:space="preserve"> </w:t>
      </w:r>
      <w:r w:rsidR="006633B5" w:rsidRPr="0067048A">
        <w:rPr>
          <w:rFonts w:ascii="KFGQPC Uthmanic Script HAFS" w:cs="KFGQPC Uthmanic Script HAFS" w:hint="eastAsia"/>
          <w:sz w:val="28"/>
          <w:szCs w:val="28"/>
          <w:rtl/>
        </w:rPr>
        <w:t>إِن</w:t>
      </w:r>
      <w:r w:rsidR="006633B5" w:rsidRPr="0067048A">
        <w:rPr>
          <w:rFonts w:ascii="KFGQPC Uthmanic Script HAFS" w:cs="KFGQPC Uthmanic Script HAFS"/>
          <w:sz w:val="28"/>
          <w:szCs w:val="28"/>
          <w:rtl/>
        </w:rPr>
        <w:t xml:space="preserve"> </w:t>
      </w:r>
      <w:r w:rsidR="006633B5" w:rsidRPr="0067048A">
        <w:rPr>
          <w:rFonts w:ascii="KFGQPC Uthmanic Script HAFS" w:cs="KFGQPC Uthmanic Script HAFS" w:hint="eastAsia"/>
          <w:sz w:val="28"/>
          <w:szCs w:val="28"/>
          <w:rtl/>
        </w:rPr>
        <w:t>كُنتُم</w:t>
      </w:r>
      <w:r w:rsidR="006633B5" w:rsidRPr="0067048A">
        <w:rPr>
          <w:rFonts w:ascii="KFGQPC Uthmanic Script HAFS" w:cs="KFGQPC Uthmanic Script HAFS" w:hint="cs"/>
          <w:sz w:val="28"/>
          <w:szCs w:val="28"/>
          <w:rtl/>
        </w:rPr>
        <w:t>ۡ</w:t>
      </w:r>
      <w:r w:rsidR="006633B5" w:rsidRPr="0067048A">
        <w:rPr>
          <w:rFonts w:ascii="KFGQPC Uthmanic Script HAFS" w:cs="KFGQPC Uthmanic Script HAFS"/>
          <w:sz w:val="28"/>
          <w:szCs w:val="28"/>
          <w:rtl/>
        </w:rPr>
        <w:t xml:space="preserve"> </w:t>
      </w:r>
      <w:r w:rsidR="006633B5" w:rsidRPr="0067048A">
        <w:rPr>
          <w:rFonts w:ascii="KFGQPC Uthmanic Script HAFS" w:cs="KFGQPC Uthmanic Script HAFS" w:hint="eastAsia"/>
          <w:sz w:val="28"/>
          <w:szCs w:val="28"/>
          <w:rtl/>
        </w:rPr>
        <w:t>ءَامَنتُم</w:t>
      </w:r>
      <w:r w:rsidR="006633B5" w:rsidRPr="0067048A">
        <w:rPr>
          <w:rFonts w:ascii="KFGQPC Uthmanic Script HAFS" w:cs="KFGQPC Uthmanic Script HAFS"/>
          <w:sz w:val="28"/>
          <w:szCs w:val="28"/>
          <w:rtl/>
        </w:rPr>
        <w:t xml:space="preserve"> </w:t>
      </w:r>
      <w:r w:rsidR="006633B5" w:rsidRPr="0067048A">
        <w:rPr>
          <w:rFonts w:ascii="KFGQPC Uthmanic Script HAFS" w:cs="KFGQPC Uthmanic Script HAFS" w:hint="eastAsia"/>
          <w:sz w:val="28"/>
          <w:szCs w:val="28"/>
          <w:rtl/>
        </w:rPr>
        <w:t>بِ</w:t>
      </w:r>
      <w:r w:rsidR="006633B5" w:rsidRPr="0067048A">
        <w:rPr>
          <w:rFonts w:ascii="KFGQPC Uthmanic Script HAFS" w:cs="KFGQPC Uthmanic Script HAFS" w:hint="cs"/>
          <w:sz w:val="28"/>
          <w:szCs w:val="28"/>
          <w:rtl/>
        </w:rPr>
        <w:t>ٱ</w:t>
      </w:r>
      <w:r w:rsidR="006633B5" w:rsidRPr="0067048A">
        <w:rPr>
          <w:rFonts w:ascii="KFGQPC Uthmanic Script HAFS" w:cs="KFGQPC Uthmanic Script HAFS" w:hint="eastAsia"/>
          <w:sz w:val="28"/>
          <w:szCs w:val="28"/>
          <w:rtl/>
        </w:rPr>
        <w:t>للَّهِ</w:t>
      </w:r>
      <w:r w:rsidR="006633B5" w:rsidRPr="0067048A">
        <w:rPr>
          <w:rFonts w:ascii="KFGQPC Uthmanic Script HAFS" w:cs="KFGQPC Uthmanic Script HAFS"/>
          <w:sz w:val="28"/>
          <w:szCs w:val="28"/>
          <w:rtl/>
        </w:rPr>
        <w:t xml:space="preserve"> </w:t>
      </w:r>
      <w:r w:rsidR="006633B5" w:rsidRPr="0067048A">
        <w:rPr>
          <w:rFonts w:ascii="KFGQPC Uthmanic Script HAFS" w:cs="KFGQPC Uthmanic Script HAFS" w:hint="eastAsia"/>
          <w:sz w:val="28"/>
          <w:szCs w:val="28"/>
          <w:rtl/>
        </w:rPr>
        <w:t>وَمَا</w:t>
      </w:r>
      <w:r w:rsidR="006633B5" w:rsidRPr="0067048A">
        <w:rPr>
          <w:rFonts w:ascii="KFGQPC Uthmanic Script HAFS" w:cs="KFGQPC Uthmanic Script HAFS" w:hint="cs"/>
          <w:sz w:val="28"/>
          <w:szCs w:val="28"/>
          <w:rtl/>
        </w:rPr>
        <w:t>ٓ</w:t>
      </w:r>
      <w:r w:rsidR="006633B5" w:rsidRPr="0067048A">
        <w:rPr>
          <w:rFonts w:ascii="KFGQPC Uthmanic Script HAFS" w:cs="KFGQPC Uthmanic Script HAFS"/>
          <w:sz w:val="28"/>
          <w:szCs w:val="28"/>
          <w:rtl/>
        </w:rPr>
        <w:t xml:space="preserve"> </w:t>
      </w:r>
      <w:r w:rsidR="006633B5" w:rsidRPr="0067048A">
        <w:rPr>
          <w:rFonts w:ascii="KFGQPC Uthmanic Script HAFS" w:cs="KFGQPC Uthmanic Script HAFS" w:hint="eastAsia"/>
          <w:sz w:val="28"/>
          <w:szCs w:val="28"/>
          <w:rtl/>
        </w:rPr>
        <w:t>أَنزَل</w:t>
      </w:r>
      <w:r w:rsidR="006633B5" w:rsidRPr="0067048A">
        <w:rPr>
          <w:rFonts w:ascii="KFGQPC Uthmanic Script HAFS" w:cs="KFGQPC Uthmanic Script HAFS" w:hint="cs"/>
          <w:sz w:val="28"/>
          <w:szCs w:val="28"/>
          <w:rtl/>
        </w:rPr>
        <w:t>ۡ</w:t>
      </w:r>
      <w:r w:rsidR="006633B5" w:rsidRPr="0067048A">
        <w:rPr>
          <w:rFonts w:ascii="KFGQPC Uthmanic Script HAFS" w:cs="KFGQPC Uthmanic Script HAFS" w:hint="eastAsia"/>
          <w:sz w:val="28"/>
          <w:szCs w:val="28"/>
          <w:rtl/>
        </w:rPr>
        <w:t>نَا</w:t>
      </w:r>
      <w:r w:rsidR="006633B5" w:rsidRPr="0067048A">
        <w:rPr>
          <w:rFonts w:ascii="KFGQPC Uthmanic Script HAFS" w:cs="KFGQPC Uthmanic Script HAFS"/>
          <w:sz w:val="28"/>
          <w:szCs w:val="28"/>
          <w:rtl/>
        </w:rPr>
        <w:t xml:space="preserve"> </w:t>
      </w:r>
      <w:r w:rsidR="006633B5" w:rsidRPr="0067048A">
        <w:rPr>
          <w:rFonts w:ascii="KFGQPC Uthmanic Script HAFS" w:cs="KFGQPC Uthmanic Script HAFS" w:hint="eastAsia"/>
          <w:sz w:val="28"/>
          <w:szCs w:val="28"/>
          <w:rtl/>
        </w:rPr>
        <w:t>عَلَى</w:t>
      </w:r>
      <w:r w:rsidR="006633B5" w:rsidRPr="0067048A">
        <w:rPr>
          <w:rFonts w:ascii="KFGQPC Uthmanic Script HAFS" w:cs="KFGQPC Uthmanic Script HAFS" w:hint="cs"/>
          <w:sz w:val="28"/>
          <w:szCs w:val="28"/>
          <w:rtl/>
        </w:rPr>
        <w:t>ٰ</w:t>
      </w:r>
      <w:r w:rsidR="006633B5" w:rsidRPr="0067048A">
        <w:rPr>
          <w:rFonts w:ascii="KFGQPC Uthmanic Script HAFS" w:cs="KFGQPC Uthmanic Script HAFS"/>
          <w:sz w:val="28"/>
          <w:szCs w:val="28"/>
          <w:rtl/>
        </w:rPr>
        <w:t xml:space="preserve"> </w:t>
      </w:r>
      <w:r w:rsidR="006633B5" w:rsidRPr="0067048A">
        <w:rPr>
          <w:rFonts w:ascii="KFGQPC Uthmanic Script HAFS" w:cs="KFGQPC Uthmanic Script HAFS" w:hint="eastAsia"/>
          <w:sz w:val="28"/>
          <w:szCs w:val="28"/>
          <w:rtl/>
        </w:rPr>
        <w:t>عَب</w:t>
      </w:r>
      <w:r w:rsidR="006633B5" w:rsidRPr="0067048A">
        <w:rPr>
          <w:rFonts w:ascii="KFGQPC Uthmanic Script HAFS" w:cs="KFGQPC Uthmanic Script HAFS" w:hint="cs"/>
          <w:sz w:val="28"/>
          <w:szCs w:val="28"/>
          <w:rtl/>
        </w:rPr>
        <w:t>ۡ</w:t>
      </w:r>
      <w:r w:rsidR="006633B5" w:rsidRPr="0067048A">
        <w:rPr>
          <w:rFonts w:ascii="KFGQPC Uthmanic Script HAFS" w:cs="KFGQPC Uthmanic Script HAFS" w:hint="eastAsia"/>
          <w:sz w:val="28"/>
          <w:szCs w:val="28"/>
          <w:rtl/>
        </w:rPr>
        <w:t>دِنَا</w:t>
      </w:r>
      <w:r w:rsidR="006633B5" w:rsidRPr="0067048A">
        <w:rPr>
          <w:rFonts w:ascii="KFGQPC Uthmanic Script HAFS" w:cs="KFGQPC Uthmanic Script HAFS"/>
          <w:sz w:val="28"/>
          <w:szCs w:val="28"/>
          <w:rtl/>
        </w:rPr>
        <w:t xml:space="preserve"> </w:t>
      </w:r>
      <w:r w:rsidR="006633B5" w:rsidRPr="0067048A">
        <w:rPr>
          <w:rFonts w:ascii="KFGQPC Uthmanic Script HAFS" w:cs="KFGQPC Uthmanic Script HAFS" w:hint="eastAsia"/>
          <w:sz w:val="28"/>
          <w:szCs w:val="28"/>
          <w:rtl/>
        </w:rPr>
        <w:t>يَو</w:t>
      </w:r>
      <w:r w:rsidR="006633B5" w:rsidRPr="0067048A">
        <w:rPr>
          <w:rFonts w:ascii="KFGQPC Uthmanic Script HAFS" w:cs="KFGQPC Uthmanic Script HAFS" w:hint="cs"/>
          <w:sz w:val="28"/>
          <w:szCs w:val="28"/>
          <w:rtl/>
        </w:rPr>
        <w:t>ۡ</w:t>
      </w:r>
      <w:r w:rsidR="006633B5" w:rsidRPr="0067048A">
        <w:rPr>
          <w:rFonts w:ascii="KFGQPC Uthmanic Script HAFS" w:cs="KFGQPC Uthmanic Script HAFS" w:hint="eastAsia"/>
          <w:sz w:val="28"/>
          <w:szCs w:val="28"/>
          <w:rtl/>
        </w:rPr>
        <w:t>مَ</w:t>
      </w:r>
      <w:r w:rsidR="006633B5" w:rsidRPr="0067048A">
        <w:rPr>
          <w:rFonts w:ascii="KFGQPC Uthmanic Script HAFS" w:cs="KFGQPC Uthmanic Script HAFS"/>
          <w:sz w:val="28"/>
          <w:szCs w:val="28"/>
          <w:rtl/>
        </w:rPr>
        <w:t xml:space="preserve"> </w:t>
      </w:r>
      <w:r w:rsidR="006633B5" w:rsidRPr="0067048A">
        <w:rPr>
          <w:rFonts w:ascii="KFGQPC Uthmanic Script HAFS" w:cs="KFGQPC Uthmanic Script HAFS" w:hint="cs"/>
          <w:sz w:val="28"/>
          <w:szCs w:val="28"/>
          <w:rtl/>
        </w:rPr>
        <w:t>ٱ</w:t>
      </w:r>
      <w:r w:rsidR="006633B5" w:rsidRPr="0067048A">
        <w:rPr>
          <w:rFonts w:ascii="KFGQPC Uthmanic Script HAFS" w:cs="KFGQPC Uthmanic Script HAFS" w:hint="eastAsia"/>
          <w:sz w:val="28"/>
          <w:szCs w:val="28"/>
          <w:rtl/>
        </w:rPr>
        <w:t>ل</w:t>
      </w:r>
      <w:r w:rsidR="006633B5" w:rsidRPr="0067048A">
        <w:rPr>
          <w:rFonts w:ascii="KFGQPC Uthmanic Script HAFS" w:cs="KFGQPC Uthmanic Script HAFS" w:hint="cs"/>
          <w:sz w:val="28"/>
          <w:szCs w:val="28"/>
          <w:rtl/>
        </w:rPr>
        <w:t>ۡ</w:t>
      </w:r>
      <w:r w:rsidR="006633B5" w:rsidRPr="0067048A">
        <w:rPr>
          <w:rFonts w:ascii="KFGQPC Uthmanic Script HAFS" w:cs="KFGQPC Uthmanic Script HAFS" w:hint="eastAsia"/>
          <w:sz w:val="28"/>
          <w:szCs w:val="28"/>
          <w:rtl/>
        </w:rPr>
        <w:t>فُر</w:t>
      </w:r>
      <w:r w:rsidR="006633B5" w:rsidRPr="0067048A">
        <w:rPr>
          <w:rFonts w:ascii="KFGQPC Uthmanic Script HAFS" w:cs="KFGQPC Uthmanic Script HAFS" w:hint="cs"/>
          <w:sz w:val="28"/>
          <w:szCs w:val="28"/>
          <w:rtl/>
        </w:rPr>
        <w:t>ۡ</w:t>
      </w:r>
      <w:r w:rsidR="006633B5" w:rsidRPr="0067048A">
        <w:rPr>
          <w:rFonts w:ascii="KFGQPC Uthmanic Script HAFS" w:cs="KFGQPC Uthmanic Script HAFS" w:hint="eastAsia"/>
          <w:sz w:val="28"/>
          <w:szCs w:val="28"/>
          <w:rtl/>
        </w:rPr>
        <w:t>قَانِ</w:t>
      </w:r>
      <w:r w:rsidR="006633B5" w:rsidRPr="0067048A">
        <w:rPr>
          <w:rFonts w:ascii="KFGQPC Uthmanic Script HAFS" w:cs="KFGQPC Uthmanic Script HAFS"/>
          <w:sz w:val="28"/>
          <w:szCs w:val="28"/>
          <w:rtl/>
        </w:rPr>
        <w:t xml:space="preserve"> </w:t>
      </w:r>
      <w:r w:rsidR="006633B5" w:rsidRPr="0067048A">
        <w:rPr>
          <w:rFonts w:ascii="KFGQPC Uthmanic Script HAFS" w:cs="KFGQPC Uthmanic Script HAFS" w:hint="eastAsia"/>
          <w:sz w:val="28"/>
          <w:szCs w:val="28"/>
          <w:rtl/>
        </w:rPr>
        <w:t>يَو</w:t>
      </w:r>
      <w:r w:rsidR="006633B5" w:rsidRPr="0067048A">
        <w:rPr>
          <w:rFonts w:ascii="KFGQPC Uthmanic Script HAFS" w:cs="KFGQPC Uthmanic Script HAFS" w:hint="cs"/>
          <w:sz w:val="28"/>
          <w:szCs w:val="28"/>
          <w:rtl/>
        </w:rPr>
        <w:t>ۡ</w:t>
      </w:r>
      <w:r w:rsidR="006633B5" w:rsidRPr="0067048A">
        <w:rPr>
          <w:rFonts w:ascii="KFGQPC Uthmanic Script HAFS" w:cs="KFGQPC Uthmanic Script HAFS" w:hint="eastAsia"/>
          <w:sz w:val="28"/>
          <w:szCs w:val="28"/>
          <w:rtl/>
        </w:rPr>
        <w:t>مَ</w:t>
      </w:r>
      <w:r w:rsidR="006633B5" w:rsidRPr="0067048A">
        <w:rPr>
          <w:rFonts w:ascii="KFGQPC Uthmanic Script HAFS" w:cs="KFGQPC Uthmanic Script HAFS"/>
          <w:sz w:val="28"/>
          <w:szCs w:val="28"/>
          <w:rtl/>
        </w:rPr>
        <w:t xml:space="preserve"> </w:t>
      </w:r>
      <w:r w:rsidR="006633B5" w:rsidRPr="0067048A">
        <w:rPr>
          <w:rFonts w:ascii="KFGQPC Uthmanic Script HAFS" w:cs="KFGQPC Uthmanic Script HAFS" w:hint="cs"/>
          <w:sz w:val="28"/>
          <w:szCs w:val="28"/>
          <w:rtl/>
        </w:rPr>
        <w:t>ٱ</w:t>
      </w:r>
      <w:r w:rsidR="006633B5" w:rsidRPr="0067048A">
        <w:rPr>
          <w:rFonts w:ascii="KFGQPC Uthmanic Script HAFS" w:cs="KFGQPC Uthmanic Script HAFS" w:hint="eastAsia"/>
          <w:sz w:val="28"/>
          <w:szCs w:val="28"/>
          <w:rtl/>
        </w:rPr>
        <w:t>ل</w:t>
      </w:r>
      <w:r w:rsidR="006633B5" w:rsidRPr="0067048A">
        <w:rPr>
          <w:rFonts w:ascii="KFGQPC Uthmanic Script HAFS" w:cs="KFGQPC Uthmanic Script HAFS" w:hint="cs"/>
          <w:sz w:val="28"/>
          <w:szCs w:val="28"/>
          <w:rtl/>
        </w:rPr>
        <w:t>ۡ</w:t>
      </w:r>
      <w:r w:rsidR="006633B5" w:rsidRPr="0067048A">
        <w:rPr>
          <w:rFonts w:ascii="KFGQPC Uthmanic Script HAFS" w:cs="KFGQPC Uthmanic Script HAFS" w:hint="eastAsia"/>
          <w:sz w:val="28"/>
          <w:szCs w:val="28"/>
          <w:rtl/>
        </w:rPr>
        <w:t>تَقَى</w:t>
      </w:r>
      <w:r w:rsidR="006633B5" w:rsidRPr="0067048A">
        <w:rPr>
          <w:rFonts w:ascii="KFGQPC Uthmanic Script HAFS" w:cs="KFGQPC Uthmanic Script HAFS"/>
          <w:sz w:val="28"/>
          <w:szCs w:val="28"/>
          <w:rtl/>
        </w:rPr>
        <w:t xml:space="preserve"> </w:t>
      </w:r>
      <w:r w:rsidR="006633B5" w:rsidRPr="0067048A">
        <w:rPr>
          <w:rFonts w:ascii="KFGQPC Uthmanic Script HAFS" w:cs="KFGQPC Uthmanic Script HAFS" w:hint="cs"/>
          <w:sz w:val="28"/>
          <w:szCs w:val="28"/>
          <w:rtl/>
        </w:rPr>
        <w:t>ٱ</w:t>
      </w:r>
      <w:r w:rsidR="006633B5" w:rsidRPr="0067048A">
        <w:rPr>
          <w:rFonts w:ascii="KFGQPC Uthmanic Script HAFS" w:cs="KFGQPC Uthmanic Script HAFS" w:hint="eastAsia"/>
          <w:sz w:val="28"/>
          <w:szCs w:val="28"/>
          <w:rtl/>
        </w:rPr>
        <w:t>ل</w:t>
      </w:r>
      <w:r w:rsidR="006633B5" w:rsidRPr="0067048A">
        <w:rPr>
          <w:rFonts w:ascii="KFGQPC Uthmanic Script HAFS" w:cs="KFGQPC Uthmanic Script HAFS" w:hint="cs"/>
          <w:sz w:val="28"/>
          <w:szCs w:val="28"/>
          <w:rtl/>
        </w:rPr>
        <w:t>ۡ</w:t>
      </w:r>
      <w:r w:rsidR="006633B5" w:rsidRPr="0067048A">
        <w:rPr>
          <w:rFonts w:ascii="KFGQPC Uthmanic Script HAFS" w:cs="KFGQPC Uthmanic Script HAFS" w:hint="eastAsia"/>
          <w:sz w:val="28"/>
          <w:szCs w:val="28"/>
          <w:rtl/>
        </w:rPr>
        <w:t>جَم</w:t>
      </w:r>
      <w:r w:rsidR="006633B5" w:rsidRPr="0067048A">
        <w:rPr>
          <w:rFonts w:ascii="KFGQPC Uthmanic Script HAFS" w:cs="KFGQPC Uthmanic Script HAFS" w:hint="cs"/>
          <w:sz w:val="28"/>
          <w:szCs w:val="28"/>
          <w:rtl/>
        </w:rPr>
        <w:t>ۡ</w:t>
      </w:r>
      <w:r w:rsidR="006633B5" w:rsidRPr="0067048A">
        <w:rPr>
          <w:rFonts w:ascii="KFGQPC Uthmanic Script HAFS" w:cs="KFGQPC Uthmanic Script HAFS" w:hint="eastAsia"/>
          <w:sz w:val="28"/>
          <w:szCs w:val="28"/>
          <w:rtl/>
        </w:rPr>
        <w:t>عَانِ</w:t>
      </w:r>
      <w:r w:rsidR="006633B5" w:rsidRPr="0067048A">
        <w:rPr>
          <w:rFonts w:ascii="KFGQPC Uthmanic Script HAFS" w:cs="KFGQPC Uthmanic Script HAFS" w:hint="cs"/>
          <w:sz w:val="28"/>
          <w:szCs w:val="28"/>
          <w:rtl/>
        </w:rPr>
        <w:t>ۗ</w:t>
      </w:r>
      <w:r w:rsidR="006633B5" w:rsidRPr="0067048A">
        <w:rPr>
          <w:rFonts w:ascii="KFGQPC Uthmanic Script HAFS" w:cs="KFGQPC Uthmanic Script HAFS"/>
          <w:sz w:val="28"/>
          <w:szCs w:val="28"/>
          <w:rtl/>
        </w:rPr>
        <w:t xml:space="preserve"> </w:t>
      </w:r>
      <w:r w:rsidR="006633B5" w:rsidRPr="0067048A">
        <w:rPr>
          <w:rFonts w:ascii="KFGQPC Uthmanic Script HAFS" w:cs="KFGQPC Uthmanic Script HAFS" w:hint="eastAsia"/>
          <w:sz w:val="28"/>
          <w:szCs w:val="28"/>
          <w:rtl/>
        </w:rPr>
        <w:t>وَ</w:t>
      </w:r>
      <w:r w:rsidR="006633B5" w:rsidRPr="0067048A">
        <w:rPr>
          <w:rFonts w:ascii="KFGQPC Uthmanic Script HAFS" w:cs="KFGQPC Uthmanic Script HAFS" w:hint="cs"/>
          <w:sz w:val="28"/>
          <w:szCs w:val="28"/>
          <w:rtl/>
        </w:rPr>
        <w:t>ٱ</w:t>
      </w:r>
      <w:r w:rsidR="006633B5" w:rsidRPr="0067048A">
        <w:rPr>
          <w:rFonts w:ascii="KFGQPC Uthmanic Script HAFS" w:cs="KFGQPC Uthmanic Script HAFS" w:hint="eastAsia"/>
          <w:sz w:val="28"/>
          <w:szCs w:val="28"/>
          <w:rtl/>
        </w:rPr>
        <w:t>للَّهُ</w:t>
      </w:r>
      <w:r w:rsidR="006633B5" w:rsidRPr="0067048A">
        <w:rPr>
          <w:rFonts w:ascii="KFGQPC Uthmanic Script HAFS" w:cs="KFGQPC Uthmanic Script HAFS"/>
          <w:sz w:val="28"/>
          <w:szCs w:val="28"/>
          <w:rtl/>
        </w:rPr>
        <w:t xml:space="preserve"> </w:t>
      </w:r>
      <w:r w:rsidR="006633B5" w:rsidRPr="0067048A">
        <w:rPr>
          <w:rFonts w:ascii="KFGQPC Uthmanic Script HAFS" w:cs="KFGQPC Uthmanic Script HAFS" w:hint="eastAsia"/>
          <w:sz w:val="28"/>
          <w:szCs w:val="28"/>
          <w:rtl/>
        </w:rPr>
        <w:t>عَلَى</w:t>
      </w:r>
      <w:r w:rsidR="006633B5" w:rsidRPr="0067048A">
        <w:rPr>
          <w:rFonts w:ascii="KFGQPC Uthmanic Script HAFS" w:cs="KFGQPC Uthmanic Script HAFS" w:hint="cs"/>
          <w:sz w:val="28"/>
          <w:szCs w:val="28"/>
          <w:rtl/>
        </w:rPr>
        <w:t>ٰ</w:t>
      </w:r>
      <w:r w:rsidR="006633B5" w:rsidRPr="0067048A">
        <w:rPr>
          <w:rFonts w:ascii="KFGQPC Uthmanic Script HAFS" w:cs="KFGQPC Uthmanic Script HAFS"/>
          <w:sz w:val="28"/>
          <w:szCs w:val="28"/>
          <w:rtl/>
        </w:rPr>
        <w:t xml:space="preserve"> </w:t>
      </w:r>
      <w:r w:rsidR="006633B5" w:rsidRPr="0067048A">
        <w:rPr>
          <w:rFonts w:ascii="KFGQPC Uthmanic Script HAFS" w:cs="KFGQPC Uthmanic Script HAFS" w:hint="eastAsia"/>
          <w:sz w:val="28"/>
          <w:szCs w:val="28"/>
          <w:rtl/>
        </w:rPr>
        <w:t>كُلِّ</w:t>
      </w:r>
      <w:r w:rsidR="006633B5" w:rsidRPr="0067048A">
        <w:rPr>
          <w:rFonts w:ascii="KFGQPC Uthmanic Script HAFS" w:cs="KFGQPC Uthmanic Script HAFS"/>
          <w:sz w:val="28"/>
          <w:szCs w:val="28"/>
          <w:rtl/>
        </w:rPr>
        <w:t xml:space="preserve"> </w:t>
      </w:r>
      <w:r w:rsidR="006633B5" w:rsidRPr="0067048A">
        <w:rPr>
          <w:rFonts w:ascii="KFGQPC Uthmanic Script HAFS" w:cs="KFGQPC Uthmanic Script HAFS" w:hint="eastAsia"/>
          <w:sz w:val="28"/>
          <w:szCs w:val="28"/>
          <w:rtl/>
        </w:rPr>
        <w:t>شَي</w:t>
      </w:r>
      <w:r w:rsidR="006633B5" w:rsidRPr="0067048A">
        <w:rPr>
          <w:rFonts w:ascii="KFGQPC Uthmanic Script HAFS" w:cs="KFGQPC Uthmanic Script HAFS" w:hint="cs"/>
          <w:sz w:val="28"/>
          <w:szCs w:val="28"/>
          <w:rtl/>
        </w:rPr>
        <w:t>ۡ</w:t>
      </w:r>
      <w:r w:rsidR="006633B5" w:rsidRPr="0067048A">
        <w:rPr>
          <w:rFonts w:ascii="KFGQPC Uthmanic Script HAFS" w:cs="KFGQPC Uthmanic Script HAFS" w:hint="eastAsia"/>
          <w:sz w:val="28"/>
          <w:szCs w:val="28"/>
          <w:rtl/>
        </w:rPr>
        <w:t>ء</w:t>
      </w:r>
      <w:r w:rsidR="006633B5" w:rsidRPr="0067048A">
        <w:rPr>
          <w:rFonts w:ascii="KFGQPC Uthmanic Script HAFS" w:cs="KFGQPC Uthmanic Script HAFS" w:hint="cs"/>
          <w:sz w:val="28"/>
          <w:szCs w:val="28"/>
          <w:rtl/>
        </w:rPr>
        <w:t>ٖ</w:t>
      </w:r>
      <w:r w:rsidR="006633B5" w:rsidRPr="0067048A">
        <w:rPr>
          <w:rFonts w:ascii="KFGQPC Uthmanic Script HAFS" w:cs="KFGQPC Uthmanic Script HAFS"/>
          <w:sz w:val="28"/>
          <w:szCs w:val="28"/>
          <w:rtl/>
        </w:rPr>
        <w:t xml:space="preserve"> </w:t>
      </w:r>
      <w:r w:rsidR="006633B5" w:rsidRPr="0067048A">
        <w:rPr>
          <w:rFonts w:ascii="KFGQPC Uthmanic Script HAFS" w:cs="KFGQPC Uthmanic Script HAFS" w:hint="eastAsia"/>
          <w:sz w:val="28"/>
          <w:szCs w:val="28"/>
          <w:rtl/>
        </w:rPr>
        <w:t>قَدِيرٌ</w:t>
      </w:r>
      <w:r w:rsidR="006633B5" w:rsidRPr="0067048A">
        <w:rPr>
          <w:rFonts w:ascii="KFGQPC Uthmanic Script HAFS" w:cs="KFGQPC Uthmanic Script HAFS"/>
          <w:sz w:val="28"/>
          <w:szCs w:val="28"/>
          <w:rtl/>
        </w:rPr>
        <w:t xml:space="preserve"> </w:t>
      </w:r>
      <w:r w:rsidR="006633B5" w:rsidRPr="0067048A">
        <w:rPr>
          <w:rFonts w:ascii="KFGQPC Uthmanic Script HAFS" w:cs="KFGQPC Uthmanic Script HAFS" w:hint="cs"/>
          <w:sz w:val="28"/>
          <w:szCs w:val="28"/>
          <w:rtl/>
        </w:rPr>
        <w:t>٤١</w:t>
      </w:r>
      <w:r w:rsidR="006633B5" w:rsidRPr="00995B26">
        <w:rPr>
          <w:rFonts w:cs="Traditional Arabic" w:hint="cs"/>
          <w:szCs w:val="30"/>
          <w:rtl/>
          <w:lang w:bidi="ar-SY"/>
        </w:rPr>
        <w:t>﴾</w:t>
      </w:r>
      <w:r w:rsidR="00367019" w:rsidRPr="00367019">
        <w:rPr>
          <w:rFonts w:cs="Arabic11 BT" w:hint="cs"/>
          <w:sz w:val="27"/>
          <w:vertAlign w:val="superscript"/>
          <w:rtl/>
          <w:lang w:bidi="ar-SY"/>
        </w:rPr>
        <w:t>(</w:t>
      </w:r>
      <w:r w:rsidRPr="00367019">
        <w:rPr>
          <w:rStyle w:val="FootnoteReference"/>
          <w:rFonts w:cs="Arabic11 BT"/>
          <w:sz w:val="27"/>
          <w:rtl/>
        </w:rPr>
        <w:footnoteReference w:id="470"/>
      </w:r>
      <w:r w:rsidR="00367019" w:rsidRPr="00367019">
        <w:rPr>
          <w:rFonts w:cs="Arabic11 BT" w:hint="cs"/>
          <w:sz w:val="27"/>
          <w:vertAlign w:val="superscript"/>
          <w:rtl/>
          <w:lang w:bidi="ar-SY"/>
        </w:rPr>
        <w:t>)</w:t>
      </w:r>
      <w:r w:rsidRPr="00995B26">
        <w:rPr>
          <w:rFonts w:cs="Akhbar MT"/>
          <w:szCs w:val="30"/>
          <w:rtl/>
          <w:lang w:bidi="ar-SY"/>
        </w:rPr>
        <w:t>، لأن جميع ذلك ي</w:t>
      </w:r>
      <w:r w:rsidRPr="00995B26">
        <w:rPr>
          <w:rFonts w:cs="Akhbar MT" w:hint="cs"/>
          <w:szCs w:val="30"/>
          <w:rtl/>
          <w:lang w:bidi="ar-SY"/>
        </w:rPr>
        <w:t>ُ</w:t>
      </w:r>
      <w:r w:rsidRPr="00995B26">
        <w:rPr>
          <w:rFonts w:cs="Akhbar MT"/>
          <w:szCs w:val="30"/>
          <w:rtl/>
          <w:lang w:bidi="ar-SY"/>
        </w:rPr>
        <w:t>س</w:t>
      </w:r>
      <w:r w:rsidRPr="00995B26">
        <w:rPr>
          <w:rFonts w:cs="Akhbar MT" w:hint="cs"/>
          <w:szCs w:val="30"/>
          <w:rtl/>
          <w:lang w:bidi="ar-SY"/>
        </w:rPr>
        <w:t>َ</w:t>
      </w:r>
      <w:r w:rsidRPr="00995B26">
        <w:rPr>
          <w:rFonts w:cs="Akhbar MT"/>
          <w:szCs w:val="30"/>
          <w:rtl/>
          <w:lang w:bidi="ar-SY"/>
        </w:rPr>
        <w:t>م</w:t>
      </w:r>
      <w:r w:rsidRPr="00995B26">
        <w:rPr>
          <w:rFonts w:cs="Akhbar MT" w:hint="cs"/>
          <w:szCs w:val="30"/>
          <w:rtl/>
          <w:lang w:bidi="ar-SY"/>
        </w:rPr>
        <w:t>َّ</w:t>
      </w:r>
      <w:r w:rsidRPr="00995B26">
        <w:rPr>
          <w:rFonts w:cs="Akhbar MT"/>
          <w:szCs w:val="30"/>
          <w:rtl/>
          <w:lang w:bidi="ar-SY"/>
        </w:rPr>
        <w:t>ى غنيمة</w:t>
      </w:r>
      <w:r w:rsidRPr="00995B26">
        <w:rPr>
          <w:rFonts w:cs="Akhbar MT" w:hint="cs"/>
          <w:szCs w:val="30"/>
          <w:rtl/>
          <w:lang w:bidi="ar-SY"/>
        </w:rPr>
        <w:t>ً</w:t>
      </w:r>
      <w:r w:rsidRPr="00495BAB">
        <w:rPr>
          <w:rtl/>
          <w:lang w:bidi="ar-SY"/>
        </w:rPr>
        <w:t>»</w:t>
      </w:r>
      <w:r w:rsidRPr="00495BAB">
        <w:rPr>
          <w:rFonts w:hint="cs"/>
          <w:rtl/>
          <w:lang w:bidi="ar-SY"/>
        </w:rPr>
        <w:t>.</w:t>
      </w:r>
      <w:r w:rsidR="000C68EA" w:rsidRPr="000C68EA">
        <w:rPr>
          <w:rStyle w:val="FootnoteReference"/>
          <w:rFonts w:cs="Arabic11 BT"/>
          <w:rtl/>
          <w:lang w:bidi="ar-SY"/>
        </w:rPr>
        <w:t>(</w:t>
      </w:r>
      <w:r w:rsidR="000C68EA" w:rsidRPr="000C68EA">
        <w:rPr>
          <w:rStyle w:val="FootnoteReference"/>
          <w:rFonts w:cs="Arabic11 BT"/>
          <w:rtl/>
          <w:lang w:bidi="ar-SY"/>
        </w:rPr>
        <w:footnoteReference w:id="471"/>
      </w:r>
      <w:r w:rsidR="000C68EA" w:rsidRPr="000C68EA">
        <w:rPr>
          <w:rStyle w:val="FootnoteReference"/>
          <w:rFonts w:cs="Arabic11 BT"/>
          <w:rtl/>
          <w:lang w:bidi="ar-SY"/>
        </w:rPr>
        <w:t>)</w:t>
      </w:r>
      <w:r w:rsidRPr="00495BAB">
        <w:rPr>
          <w:rFonts w:hint="cs"/>
          <w:rtl/>
          <w:lang w:bidi="ar-SY"/>
        </w:rPr>
        <w:t xml:space="preserve"> وقال الشيخ الطبرسي في «</w:t>
      </w:r>
      <w:r w:rsidRPr="00495BAB">
        <w:rPr>
          <w:rFonts w:hint="cs"/>
          <w:b/>
          <w:bCs/>
          <w:rtl/>
          <w:lang w:bidi="ar-SY"/>
        </w:rPr>
        <w:t>مجمع البيان</w:t>
      </w:r>
      <w:r w:rsidRPr="00495BAB">
        <w:rPr>
          <w:rFonts w:hint="cs"/>
          <w:rtl/>
          <w:lang w:bidi="ar-SY"/>
        </w:rPr>
        <w:t>»: «</w:t>
      </w:r>
      <w:r w:rsidRPr="00995B26">
        <w:rPr>
          <w:rFonts w:cs="Akhbar MT" w:hint="cs"/>
          <w:szCs w:val="30"/>
          <w:rtl/>
          <w:lang w:bidi="ar-SY"/>
        </w:rPr>
        <w:t>وقال أصحابنا: إن الخُمْسَ واجبٌ.....</w:t>
      </w:r>
      <w:r w:rsidR="00F456DF" w:rsidRPr="00995B26">
        <w:rPr>
          <w:rFonts w:cs="Akhbar MT" w:hint="cs"/>
          <w:szCs w:val="30"/>
          <w:rtl/>
          <w:lang w:bidi="ar-SY"/>
        </w:rPr>
        <w:t>»</w:t>
      </w:r>
      <w:r w:rsidRPr="00495BAB">
        <w:rPr>
          <w:rFonts w:hint="cs"/>
          <w:rtl/>
          <w:lang w:bidi="ar-SY"/>
        </w:rPr>
        <w:t xml:space="preserve"> إلى قوله: «</w:t>
      </w:r>
      <w:r w:rsidRPr="00995B26">
        <w:rPr>
          <w:rFonts w:cs="Akhbar MT" w:hint="cs"/>
          <w:szCs w:val="30"/>
          <w:rtl/>
          <w:lang w:bidi="ar-SY"/>
        </w:rPr>
        <w:t>ويُمْكِنُ أن يُسْتَدَل بهذه الآية</w:t>
      </w:r>
      <w:r w:rsidR="00AB28A0" w:rsidRPr="00995B26">
        <w:rPr>
          <w:rFonts w:cs="Akhbar MT" w:hint="cs"/>
          <w:szCs w:val="30"/>
          <w:rtl/>
          <w:lang w:bidi="ar-SY"/>
        </w:rPr>
        <w:t>.</w:t>
      </w:r>
      <w:r w:rsidRPr="00995B26">
        <w:rPr>
          <w:rFonts w:cs="Akhbar MT" w:hint="cs"/>
          <w:szCs w:val="30"/>
          <w:rtl/>
          <w:lang w:bidi="ar-SY"/>
        </w:rPr>
        <w:t>...</w:t>
      </w:r>
      <w:r w:rsidR="00F456DF" w:rsidRPr="00995B26">
        <w:rPr>
          <w:rFonts w:cs="Akhbar MT" w:hint="cs"/>
          <w:szCs w:val="30"/>
          <w:rtl/>
          <w:lang w:bidi="ar-SY"/>
        </w:rPr>
        <w:t>»</w:t>
      </w:r>
      <w:r w:rsidRPr="00495BAB">
        <w:rPr>
          <w:rFonts w:hint="cs"/>
          <w:rtl/>
          <w:lang w:bidi="ar-SY"/>
        </w:rPr>
        <w:t>.</w:t>
      </w:r>
    </w:p>
    <w:p w:rsidR="00CD31AA" w:rsidRPr="00995B26" w:rsidRDefault="00CD31AA" w:rsidP="00495BAB">
      <w:pPr>
        <w:pStyle w:val="a0"/>
        <w:rPr>
          <w:rFonts w:hint="cs"/>
          <w:rtl/>
          <w:lang w:bidi="ar-SY"/>
        </w:rPr>
      </w:pPr>
      <w:r w:rsidRPr="00495BAB">
        <w:rPr>
          <w:rFonts w:hint="cs"/>
          <w:rtl/>
          <w:lang w:bidi="ar-SY"/>
        </w:rPr>
        <w:t>لم يستطع الشيخ الطوسي ولا الشيخ الطبرسي، في هاتين الجملتين، أن يستنبطا من الآية الكريمة - بشكل قاطعٍ وجدِّيٍّ - ما يريدانه من وجوب الخمس في أشياء أخرى غير غنائم الحرب، لأن كلاهما قال: «</w:t>
      </w:r>
      <w:r w:rsidRPr="00995B26">
        <w:rPr>
          <w:rFonts w:cs="Akhbar MT" w:hint="cs"/>
          <w:szCs w:val="30"/>
          <w:rtl/>
          <w:lang w:bidi="ar-SY"/>
        </w:rPr>
        <w:t>ويُمْكِنُ الاستدلال</w:t>
      </w:r>
      <w:r w:rsidRPr="00495BAB">
        <w:rPr>
          <w:rFonts w:hint="cs"/>
          <w:rtl/>
          <w:lang w:bidi="ar-SY"/>
        </w:rPr>
        <w:t>»، أي أن الآية ليست صريحة في هذا المُدَّعى، كل ما في الأمر أنه من الممكن أن يُسْتَدَلّ بها على ذلك، ولكن الله يعلم، كما يعلمون هم أنفسهم أيضًا، أن مثل هذا الاستدلال عسير ولا يخلو من تَـجَوُّز، كما اعتبر أكثرُ محققي الشيعة أن في هذا الاستدلال تجوُّز وتعدٍّ على المعنى الأصلي للآية.</w:t>
      </w:r>
    </w:p>
    <w:p w:rsidR="00CD31AA" w:rsidRPr="00995B26" w:rsidRDefault="00CD31AA" w:rsidP="00495BAB">
      <w:pPr>
        <w:pStyle w:val="a0"/>
        <w:rPr>
          <w:rFonts w:hint="cs"/>
          <w:rtl/>
          <w:lang w:bidi="ar-SY"/>
        </w:rPr>
      </w:pPr>
      <w:r w:rsidRPr="00495BAB">
        <w:rPr>
          <w:rFonts w:hint="cs"/>
          <w:rtl/>
          <w:lang w:bidi="ar-SY"/>
        </w:rPr>
        <w:t>أما قول صاحب الردّ: «</w:t>
      </w:r>
      <w:r w:rsidRPr="00995B26">
        <w:rPr>
          <w:rFonts w:cs="Akhbar MT" w:hint="cs"/>
          <w:szCs w:val="30"/>
          <w:rtl/>
          <w:lang w:bidi="ar-SY"/>
        </w:rPr>
        <w:t xml:space="preserve">وأمّا ما نقله عن المقدس الأردبيلي فيبدو أن المؤلف لم يلاحظ عمدًا عبارةً في هذا الجزء من كلام المقدس الأردبيلي، هي في غير صالحه </w:t>
      </w:r>
      <w:r w:rsidRPr="00495BAB">
        <w:rPr>
          <w:rFonts w:hint="cs"/>
          <w:rtl/>
          <w:lang w:bidi="ar-SY"/>
        </w:rPr>
        <w:t xml:space="preserve">(أي في غير صالح المؤلِّف ومضادّة لكلامه) </w:t>
      </w:r>
      <w:r w:rsidRPr="00995B26">
        <w:rPr>
          <w:rFonts w:cs="Akhbar MT" w:hint="cs"/>
          <w:szCs w:val="30"/>
          <w:rtl/>
          <w:lang w:bidi="ar-SY"/>
        </w:rPr>
        <w:t>مع الأسف، وفيما يلي هذا الجزء من عبارته: "</w:t>
      </w:r>
      <w:r w:rsidRPr="00995B26">
        <w:rPr>
          <w:rFonts w:cs="Akhbar MT"/>
          <w:szCs w:val="30"/>
          <w:rtl/>
          <w:lang w:bidi="ar-SY"/>
        </w:rPr>
        <w:t>ثمّ إنّه يفهم من ظاهر الآية وجوب الخمس في كلّ الغنيمة، وهي في اللّغة بل العرف أيضًا الفائدة، ويشعر به بعض الأخبار</w:t>
      </w:r>
      <w:r w:rsidRPr="00995B26">
        <w:rPr>
          <w:rFonts w:cs="Akhbar MT" w:hint="cs"/>
          <w:szCs w:val="30"/>
          <w:rtl/>
          <w:lang w:bidi="ar-SY"/>
        </w:rPr>
        <w:t>"</w:t>
      </w:r>
      <w:r w:rsidR="00F456DF" w:rsidRPr="00995B26">
        <w:rPr>
          <w:rFonts w:cs="Akhbar MT" w:hint="cs"/>
          <w:szCs w:val="30"/>
          <w:rtl/>
          <w:lang w:bidi="ar-SY"/>
        </w:rPr>
        <w:t>»</w:t>
      </w:r>
      <w:r w:rsidR="000C68EA" w:rsidRPr="000C68EA">
        <w:rPr>
          <w:rStyle w:val="FootnoteReference"/>
          <w:rFonts w:cs="Arabic11 BT"/>
          <w:rtl/>
          <w:lang w:bidi="ar-SY"/>
        </w:rPr>
        <w:t>(</w:t>
      </w:r>
      <w:r w:rsidR="000C68EA" w:rsidRPr="000C68EA">
        <w:rPr>
          <w:rStyle w:val="FootnoteReference"/>
          <w:rFonts w:cs="Arabic11 BT"/>
          <w:rtl/>
          <w:lang w:bidi="ar-SY"/>
        </w:rPr>
        <w:footnoteReference w:id="472"/>
      </w:r>
      <w:r w:rsidR="000C68EA" w:rsidRPr="000C68EA">
        <w:rPr>
          <w:rStyle w:val="FootnoteReference"/>
          <w:rFonts w:cs="Arabic11 BT"/>
          <w:rtl/>
          <w:lang w:bidi="ar-SY"/>
        </w:rPr>
        <w:t>)</w:t>
      </w:r>
      <w:r w:rsidR="00F456DF" w:rsidRPr="00495BAB">
        <w:rPr>
          <w:rFonts w:hint="cs"/>
          <w:rtl/>
          <w:lang w:bidi="ar-SY"/>
        </w:rPr>
        <w:t>.</w:t>
      </w:r>
    </w:p>
    <w:p w:rsidR="00CD31AA" w:rsidRPr="00495BAB" w:rsidRDefault="00CD31AA" w:rsidP="00495BAB">
      <w:pPr>
        <w:pStyle w:val="a0"/>
        <w:rPr>
          <w:rFonts w:hint="cs"/>
          <w:rtl/>
          <w:lang w:bidi="ar-SY"/>
        </w:rPr>
      </w:pPr>
      <w:r w:rsidRPr="00495BAB">
        <w:rPr>
          <w:rFonts w:hint="cs"/>
          <w:rtl/>
          <w:lang w:bidi="ar-SY"/>
        </w:rPr>
        <w:t xml:space="preserve">فينبغي أن نقول لصاحب الردّ: أولاً: نعم، إنني لم أكن قد رأيتُ، في الزمن الذي كتبتم فيه ملاحظاتكم تلك، كثيرًا من كلام المقدس الأردبيلي الذي ليس معاكسًا لما أقوله أبدًا بل موافقًا ومؤيّدًا لِمَا أقوله </w:t>
      </w:r>
      <w:r w:rsidR="00755AAC">
        <w:rPr>
          <w:rFonts w:hint="cs"/>
          <w:rtl/>
          <w:lang w:bidi="ar-SY"/>
        </w:rPr>
        <w:t>مائة</w:t>
      </w:r>
      <w:r w:rsidRPr="00495BAB">
        <w:rPr>
          <w:rFonts w:hint="cs"/>
          <w:rtl/>
          <w:lang w:bidi="ar-SY"/>
        </w:rPr>
        <w:t xml:space="preserve"> في ال</w:t>
      </w:r>
      <w:r w:rsidR="00755AAC">
        <w:rPr>
          <w:rFonts w:hint="cs"/>
          <w:rtl/>
          <w:lang w:bidi="ar-SY"/>
        </w:rPr>
        <w:t>مائة</w:t>
      </w:r>
      <w:r w:rsidRPr="00495BAB">
        <w:rPr>
          <w:rFonts w:hint="cs"/>
          <w:rtl/>
          <w:lang w:bidi="ar-SY"/>
        </w:rPr>
        <w:t>، وفيما يأتي سأذكر لكم جزءًا مما قاله المقدّس الأردبيلي:</w:t>
      </w:r>
    </w:p>
    <w:p w:rsidR="00CD31AA" w:rsidRPr="00995B26" w:rsidRDefault="00CD31AA" w:rsidP="00495BAB">
      <w:pPr>
        <w:pStyle w:val="a0"/>
        <w:rPr>
          <w:rFonts w:hint="cs"/>
          <w:rtl/>
          <w:lang w:bidi="ar-SY"/>
        </w:rPr>
      </w:pPr>
      <w:r w:rsidRPr="00495BAB">
        <w:rPr>
          <w:rFonts w:hint="cs"/>
          <w:rtl/>
          <w:lang w:bidi="ar-SY"/>
        </w:rPr>
        <w:t>أورد المقدّس الأردبيلي في كتابه «</w:t>
      </w:r>
      <w:r w:rsidRPr="00495BAB">
        <w:rPr>
          <w:rFonts w:hint="cs"/>
          <w:b/>
          <w:bCs/>
          <w:rtl/>
          <w:lang w:bidi="ar-SY"/>
        </w:rPr>
        <w:t>زبدة البيان</w:t>
      </w:r>
      <w:r w:rsidRPr="00495BAB">
        <w:rPr>
          <w:rFonts w:hint="cs"/>
          <w:rtl/>
          <w:lang w:bidi="ar-SY"/>
        </w:rPr>
        <w:t>»، بعد الجملة التي نقلها عنه صاحب الردّ السيد استادي أي جملة (</w:t>
      </w:r>
      <w:r w:rsidRPr="00995B26">
        <w:rPr>
          <w:rFonts w:cs="Akhbar MT"/>
          <w:szCs w:val="30"/>
          <w:rtl/>
          <w:lang w:bidi="ar-SY"/>
        </w:rPr>
        <w:t>ويشعر به بعض الأخبار</w:t>
      </w:r>
      <w:r w:rsidRPr="00495BAB">
        <w:rPr>
          <w:rFonts w:hint="cs"/>
          <w:rtl/>
          <w:lang w:bidi="ar-SY"/>
        </w:rPr>
        <w:t xml:space="preserve">) مباشرةً، روايةَ </w:t>
      </w:r>
      <w:r w:rsidRPr="00495BAB">
        <w:rPr>
          <w:rFonts w:hint="cs"/>
          <w:b/>
          <w:bCs/>
          <w:rtl/>
          <w:lang w:bidi="ar-SY"/>
        </w:rPr>
        <w:t>التهذيب</w:t>
      </w:r>
      <w:r w:rsidRPr="00495BAB">
        <w:rPr>
          <w:rFonts w:hint="cs"/>
          <w:rtl/>
          <w:lang w:bidi="ar-SY"/>
        </w:rPr>
        <w:t xml:space="preserve"> التي جاء فيها أن الإمام الصادق </w:t>
      </w:r>
      <w:r w:rsidR="00451CED" w:rsidRPr="00451CED">
        <w:rPr>
          <w:rFonts w:ascii="Abo-thar" w:hAnsi="Abo-thar" w:cs="CTraditional Arabic"/>
          <w:sz w:val="28"/>
          <w:rtl/>
          <w:lang w:bidi="ar-SY"/>
        </w:rPr>
        <w:t>÷</w:t>
      </w:r>
      <w:r w:rsidRPr="00495BAB">
        <w:rPr>
          <w:rFonts w:hint="cs"/>
          <w:rtl/>
          <w:lang w:bidi="ar-SY"/>
        </w:rPr>
        <w:t xml:space="preserve"> سُئِل عن معنى قوله تعالى:</w:t>
      </w:r>
      <w:r w:rsidR="006633B5" w:rsidRPr="00495BAB">
        <w:rPr>
          <w:rFonts w:hint="cs"/>
          <w:rtl/>
          <w:lang w:bidi="ar-SY"/>
        </w:rPr>
        <w:t xml:space="preserve"> </w:t>
      </w:r>
      <w:r w:rsidR="006633B5" w:rsidRPr="00995B26">
        <w:rPr>
          <w:rFonts w:cs="Traditional Arabic" w:hint="cs"/>
          <w:szCs w:val="30"/>
          <w:rtl/>
          <w:lang w:bidi="ar-SY"/>
        </w:rPr>
        <w:t>﴿</w:t>
      </w:r>
      <w:r w:rsidR="006633B5" w:rsidRPr="0067048A">
        <w:rPr>
          <w:rFonts w:ascii="KFGQPC Uthmanic Script HAFS" w:cs="KFGQPC Uthmanic Script HAFS" w:hint="eastAsia"/>
          <w:sz w:val="28"/>
          <w:szCs w:val="28"/>
          <w:rtl/>
        </w:rPr>
        <w:t>وَ</w:t>
      </w:r>
      <w:r w:rsidR="006633B5" w:rsidRPr="0067048A">
        <w:rPr>
          <w:rFonts w:ascii="KFGQPC Uthmanic Script HAFS" w:cs="KFGQPC Uthmanic Script HAFS" w:hint="cs"/>
          <w:sz w:val="28"/>
          <w:szCs w:val="28"/>
          <w:rtl/>
        </w:rPr>
        <w:t>ٱ</w:t>
      </w:r>
      <w:r w:rsidR="006633B5" w:rsidRPr="0067048A">
        <w:rPr>
          <w:rFonts w:ascii="KFGQPC Uthmanic Script HAFS" w:cs="KFGQPC Uthmanic Script HAFS" w:hint="eastAsia"/>
          <w:sz w:val="28"/>
          <w:szCs w:val="28"/>
          <w:rtl/>
        </w:rPr>
        <w:t>ع</w:t>
      </w:r>
      <w:r w:rsidR="006633B5" w:rsidRPr="0067048A">
        <w:rPr>
          <w:rFonts w:ascii="KFGQPC Uthmanic Script HAFS" w:cs="KFGQPC Uthmanic Script HAFS" w:hint="cs"/>
          <w:sz w:val="28"/>
          <w:szCs w:val="28"/>
          <w:rtl/>
        </w:rPr>
        <w:t>ۡ</w:t>
      </w:r>
      <w:r w:rsidR="006633B5" w:rsidRPr="0067048A">
        <w:rPr>
          <w:rFonts w:ascii="KFGQPC Uthmanic Script HAFS" w:cs="KFGQPC Uthmanic Script HAFS" w:hint="eastAsia"/>
          <w:sz w:val="28"/>
          <w:szCs w:val="28"/>
          <w:rtl/>
        </w:rPr>
        <w:t>لَمُو</w:t>
      </w:r>
      <w:r w:rsidR="006633B5" w:rsidRPr="0067048A">
        <w:rPr>
          <w:rFonts w:ascii="KFGQPC Uthmanic Script HAFS" w:cs="KFGQPC Uthmanic Script HAFS" w:hint="cs"/>
          <w:sz w:val="28"/>
          <w:szCs w:val="28"/>
          <w:rtl/>
        </w:rPr>
        <w:t>ٓ</w:t>
      </w:r>
      <w:r w:rsidR="006633B5" w:rsidRPr="0067048A">
        <w:rPr>
          <w:rFonts w:ascii="KFGQPC Uthmanic Script HAFS" w:cs="KFGQPC Uthmanic Script HAFS" w:hint="eastAsia"/>
          <w:sz w:val="28"/>
          <w:szCs w:val="28"/>
          <w:rtl/>
        </w:rPr>
        <w:t>اْ</w:t>
      </w:r>
      <w:r w:rsidR="006633B5" w:rsidRPr="0067048A">
        <w:rPr>
          <w:rFonts w:ascii="KFGQPC Uthmanic Script HAFS" w:cs="KFGQPC Uthmanic Script HAFS"/>
          <w:sz w:val="28"/>
          <w:szCs w:val="28"/>
          <w:rtl/>
        </w:rPr>
        <w:t xml:space="preserve"> </w:t>
      </w:r>
      <w:r w:rsidR="006633B5" w:rsidRPr="0067048A">
        <w:rPr>
          <w:rFonts w:ascii="KFGQPC Uthmanic Script HAFS" w:cs="KFGQPC Uthmanic Script HAFS" w:hint="eastAsia"/>
          <w:sz w:val="28"/>
          <w:szCs w:val="28"/>
          <w:rtl/>
        </w:rPr>
        <w:t>أَنَّمَا</w:t>
      </w:r>
      <w:r w:rsidR="006633B5" w:rsidRPr="0067048A">
        <w:rPr>
          <w:rFonts w:ascii="KFGQPC Uthmanic Script HAFS" w:cs="KFGQPC Uthmanic Script HAFS"/>
          <w:sz w:val="28"/>
          <w:szCs w:val="28"/>
          <w:rtl/>
        </w:rPr>
        <w:t xml:space="preserve"> </w:t>
      </w:r>
      <w:r w:rsidR="006633B5" w:rsidRPr="0067048A">
        <w:rPr>
          <w:rFonts w:ascii="KFGQPC Uthmanic Script HAFS" w:cs="KFGQPC Uthmanic Script HAFS" w:hint="eastAsia"/>
          <w:sz w:val="28"/>
          <w:szCs w:val="28"/>
          <w:rtl/>
        </w:rPr>
        <w:t>غَنِم</w:t>
      </w:r>
      <w:r w:rsidR="006633B5" w:rsidRPr="0067048A">
        <w:rPr>
          <w:rFonts w:ascii="KFGQPC Uthmanic Script HAFS" w:cs="KFGQPC Uthmanic Script HAFS" w:hint="cs"/>
          <w:sz w:val="28"/>
          <w:szCs w:val="28"/>
          <w:rtl/>
        </w:rPr>
        <w:t>ۡ</w:t>
      </w:r>
      <w:r w:rsidR="006633B5" w:rsidRPr="0067048A">
        <w:rPr>
          <w:rFonts w:ascii="KFGQPC Uthmanic Script HAFS" w:cs="KFGQPC Uthmanic Script HAFS" w:hint="eastAsia"/>
          <w:sz w:val="28"/>
          <w:szCs w:val="28"/>
          <w:rtl/>
        </w:rPr>
        <w:t>تُم</w:t>
      </w:r>
      <w:r w:rsidR="006633B5" w:rsidRPr="0067048A">
        <w:rPr>
          <w:rFonts w:ascii="KFGQPC Uthmanic Script HAFS" w:cs="KFGQPC Uthmanic Script HAFS"/>
          <w:sz w:val="28"/>
          <w:szCs w:val="28"/>
          <w:rtl/>
        </w:rPr>
        <w:t xml:space="preserve"> </w:t>
      </w:r>
      <w:r w:rsidR="006633B5" w:rsidRPr="0067048A">
        <w:rPr>
          <w:rFonts w:ascii="KFGQPC Uthmanic Script HAFS" w:cs="KFGQPC Uthmanic Script HAFS" w:hint="eastAsia"/>
          <w:sz w:val="28"/>
          <w:szCs w:val="28"/>
          <w:rtl/>
        </w:rPr>
        <w:t>مِّن</w:t>
      </w:r>
      <w:r w:rsidR="006633B5" w:rsidRPr="0067048A">
        <w:rPr>
          <w:rFonts w:ascii="KFGQPC Uthmanic Script HAFS" w:cs="KFGQPC Uthmanic Script HAFS"/>
          <w:sz w:val="28"/>
          <w:szCs w:val="28"/>
          <w:rtl/>
        </w:rPr>
        <w:t xml:space="preserve"> </w:t>
      </w:r>
      <w:r w:rsidR="006633B5" w:rsidRPr="0067048A">
        <w:rPr>
          <w:rFonts w:ascii="KFGQPC Uthmanic Script HAFS" w:cs="KFGQPC Uthmanic Script HAFS" w:hint="eastAsia"/>
          <w:sz w:val="28"/>
          <w:szCs w:val="28"/>
          <w:rtl/>
        </w:rPr>
        <w:t>شَي</w:t>
      </w:r>
      <w:r w:rsidR="006633B5" w:rsidRPr="0067048A">
        <w:rPr>
          <w:rFonts w:ascii="KFGQPC Uthmanic Script HAFS" w:cs="KFGQPC Uthmanic Script HAFS" w:hint="cs"/>
          <w:sz w:val="28"/>
          <w:szCs w:val="28"/>
          <w:rtl/>
        </w:rPr>
        <w:t>ۡ</w:t>
      </w:r>
      <w:r w:rsidR="006633B5" w:rsidRPr="0067048A">
        <w:rPr>
          <w:rFonts w:ascii="KFGQPC Uthmanic Script HAFS" w:cs="KFGQPC Uthmanic Script HAFS" w:hint="eastAsia"/>
          <w:sz w:val="28"/>
          <w:szCs w:val="28"/>
          <w:rtl/>
        </w:rPr>
        <w:t>ء</w:t>
      </w:r>
      <w:r w:rsidR="006633B5" w:rsidRPr="0067048A">
        <w:rPr>
          <w:rFonts w:ascii="KFGQPC Uthmanic Script HAFS" w:cs="KFGQPC Uthmanic Script HAFS" w:hint="cs"/>
          <w:sz w:val="28"/>
          <w:szCs w:val="28"/>
          <w:rtl/>
        </w:rPr>
        <w:t>ٖ</w:t>
      </w:r>
      <w:r w:rsidR="006633B5" w:rsidRPr="0067048A">
        <w:rPr>
          <w:rFonts w:ascii="KFGQPC Uthmanic Script HAFS" w:cs="KFGQPC Uthmanic Script HAFS"/>
          <w:sz w:val="28"/>
          <w:szCs w:val="28"/>
          <w:rtl/>
        </w:rPr>
        <w:t xml:space="preserve"> </w:t>
      </w:r>
      <w:r w:rsidR="006633B5" w:rsidRPr="0067048A">
        <w:rPr>
          <w:rFonts w:ascii="KFGQPC Uthmanic Script HAFS" w:cs="KFGQPC Uthmanic Script HAFS" w:hint="eastAsia"/>
          <w:sz w:val="28"/>
          <w:szCs w:val="28"/>
          <w:rtl/>
        </w:rPr>
        <w:t>فَأَنَّ</w:t>
      </w:r>
      <w:r w:rsidR="006633B5" w:rsidRPr="0067048A">
        <w:rPr>
          <w:rFonts w:ascii="KFGQPC Uthmanic Script HAFS" w:cs="KFGQPC Uthmanic Script HAFS"/>
          <w:sz w:val="28"/>
          <w:szCs w:val="28"/>
          <w:rtl/>
        </w:rPr>
        <w:t xml:space="preserve"> </w:t>
      </w:r>
      <w:r w:rsidR="006633B5" w:rsidRPr="0067048A">
        <w:rPr>
          <w:rFonts w:ascii="KFGQPC Uthmanic Script HAFS" w:cs="KFGQPC Uthmanic Script HAFS" w:hint="eastAsia"/>
          <w:sz w:val="28"/>
          <w:szCs w:val="28"/>
          <w:rtl/>
        </w:rPr>
        <w:t>لِلَّهِ</w:t>
      </w:r>
      <w:r w:rsidR="006633B5" w:rsidRPr="0067048A">
        <w:rPr>
          <w:rFonts w:ascii="KFGQPC Uthmanic Script HAFS" w:cs="KFGQPC Uthmanic Script HAFS"/>
          <w:sz w:val="28"/>
          <w:szCs w:val="28"/>
          <w:rtl/>
        </w:rPr>
        <w:t xml:space="preserve"> </w:t>
      </w:r>
      <w:r w:rsidR="006633B5" w:rsidRPr="0067048A">
        <w:rPr>
          <w:rFonts w:ascii="KFGQPC Uthmanic Script HAFS" w:cs="KFGQPC Uthmanic Script HAFS" w:hint="eastAsia"/>
          <w:sz w:val="28"/>
          <w:szCs w:val="28"/>
          <w:rtl/>
        </w:rPr>
        <w:t>خُمُسَهُ</w:t>
      </w:r>
      <w:r w:rsidR="006633B5" w:rsidRPr="0067048A">
        <w:rPr>
          <w:rFonts w:ascii="KFGQPC Uthmanic Script HAFS" w:cs="KFGQPC Uthmanic Script HAFS" w:hint="cs"/>
          <w:sz w:val="28"/>
          <w:szCs w:val="28"/>
          <w:rtl/>
        </w:rPr>
        <w:t>ۥ</w:t>
      </w:r>
      <w:r w:rsidR="006633B5" w:rsidRPr="0067048A">
        <w:rPr>
          <w:rFonts w:ascii="KFGQPC Uthmanic Script HAFS" w:cs="KFGQPC Uthmanic Script HAFS"/>
          <w:sz w:val="28"/>
          <w:szCs w:val="28"/>
          <w:rtl/>
        </w:rPr>
        <w:t xml:space="preserve"> </w:t>
      </w:r>
      <w:r w:rsidR="006633B5" w:rsidRPr="0067048A">
        <w:rPr>
          <w:rFonts w:ascii="KFGQPC Uthmanic Script HAFS" w:cs="KFGQPC Uthmanic Script HAFS" w:hint="eastAsia"/>
          <w:sz w:val="28"/>
          <w:szCs w:val="28"/>
          <w:rtl/>
        </w:rPr>
        <w:t>وَلِلرَّسُولِ</w:t>
      </w:r>
      <w:r w:rsidR="006633B5" w:rsidRPr="00995B26">
        <w:rPr>
          <w:rFonts w:cs="Traditional Arabic" w:hint="cs"/>
          <w:szCs w:val="30"/>
          <w:rtl/>
          <w:lang w:bidi="ar-SY"/>
        </w:rPr>
        <w:t>﴾</w:t>
      </w:r>
      <w:r w:rsidRPr="00495BAB">
        <w:rPr>
          <w:rFonts w:hint="cs"/>
          <w:rtl/>
          <w:lang w:bidi="ar-SY"/>
        </w:rPr>
        <w:t>؟</w:t>
      </w:r>
      <w:r w:rsidRPr="00495BAB">
        <w:rPr>
          <w:rtl/>
          <w:lang w:bidi="ar-SY"/>
        </w:rPr>
        <w:t xml:space="preserve"> </w:t>
      </w:r>
      <w:r w:rsidRPr="00495BAB">
        <w:rPr>
          <w:rFonts w:hint="cs"/>
          <w:rtl/>
          <w:lang w:bidi="ar-SY"/>
        </w:rPr>
        <w:t>ف</w:t>
      </w:r>
      <w:r w:rsidRPr="00495BAB">
        <w:rPr>
          <w:rtl/>
          <w:lang w:bidi="ar-SY"/>
        </w:rPr>
        <w:t>قال</w:t>
      </w:r>
      <w:r w:rsidRPr="00495BAB">
        <w:rPr>
          <w:rFonts w:hint="cs"/>
          <w:rtl/>
          <w:lang w:bidi="ar-SY"/>
        </w:rPr>
        <w:t xml:space="preserve"> الإمام:</w:t>
      </w:r>
      <w:r w:rsidRPr="00495BAB">
        <w:rPr>
          <w:rtl/>
          <w:lang w:bidi="ar-SY"/>
        </w:rPr>
        <w:t xml:space="preserve"> </w:t>
      </w:r>
      <w:r w:rsidRPr="00495BAB">
        <w:rPr>
          <w:rFonts w:hint="cs"/>
          <w:rtl/>
          <w:lang w:bidi="ar-SY"/>
        </w:rPr>
        <w:t>"</w:t>
      </w:r>
      <w:r w:rsidRPr="00495BAB">
        <w:rPr>
          <w:rtl/>
          <w:lang w:bidi="ar-SY"/>
        </w:rPr>
        <w:t>هي والل</w:t>
      </w:r>
      <w:r w:rsidRPr="00495BAB">
        <w:rPr>
          <w:rFonts w:hint="cs"/>
          <w:rtl/>
          <w:lang w:bidi="ar-SY"/>
        </w:rPr>
        <w:t>ه</w:t>
      </w:r>
      <w:r w:rsidRPr="00495BAB">
        <w:rPr>
          <w:rtl/>
          <w:lang w:bidi="ar-SY"/>
        </w:rPr>
        <w:t xml:space="preserve"> الفائدة يوم</w:t>
      </w:r>
      <w:r w:rsidRPr="00495BAB">
        <w:rPr>
          <w:rFonts w:hint="cs"/>
          <w:rtl/>
          <w:lang w:bidi="ar-SY"/>
        </w:rPr>
        <w:t>ً</w:t>
      </w:r>
      <w:r w:rsidRPr="00495BAB">
        <w:rPr>
          <w:rtl/>
          <w:lang w:bidi="ar-SY"/>
        </w:rPr>
        <w:t>ا فيوم</w:t>
      </w:r>
      <w:r w:rsidRPr="00495BAB">
        <w:rPr>
          <w:rFonts w:hint="cs"/>
          <w:rtl/>
          <w:lang w:bidi="ar-SY"/>
        </w:rPr>
        <w:t>ً</w:t>
      </w:r>
      <w:r w:rsidRPr="00495BAB">
        <w:rPr>
          <w:rtl/>
          <w:lang w:bidi="ar-SY"/>
        </w:rPr>
        <w:t>ا</w:t>
      </w:r>
      <w:r w:rsidRPr="00495BAB">
        <w:rPr>
          <w:rFonts w:hint="cs"/>
          <w:rtl/>
          <w:lang w:bidi="ar-SY"/>
        </w:rPr>
        <w:t>،</w:t>
      </w:r>
      <w:r w:rsidRPr="00495BAB">
        <w:rPr>
          <w:rtl/>
          <w:lang w:bidi="ar-SY"/>
        </w:rPr>
        <w:t xml:space="preserve"> إلا أنّ أبي جعل شيعتنا من ذلك في حلّ</w:t>
      </w:r>
      <w:r w:rsidRPr="00495BAB">
        <w:rPr>
          <w:rFonts w:hint="cs"/>
          <w:rtl/>
          <w:lang w:bidi="ar-SY"/>
        </w:rPr>
        <w:t>ٍ</w:t>
      </w:r>
      <w:r w:rsidRPr="00495BAB">
        <w:rPr>
          <w:rtl/>
          <w:lang w:bidi="ar-SY"/>
        </w:rPr>
        <w:t xml:space="preserve"> ليزكو.</w:t>
      </w:r>
      <w:r w:rsidRPr="00495BAB">
        <w:rPr>
          <w:rFonts w:hint="cs"/>
          <w:rtl/>
          <w:lang w:bidi="ar-SY"/>
        </w:rPr>
        <w:t>"</w:t>
      </w:r>
      <w:r w:rsidR="000C68EA" w:rsidRPr="000C68EA">
        <w:rPr>
          <w:rStyle w:val="FootnoteReference"/>
          <w:rFonts w:cs="Arabic11 BT"/>
          <w:rtl/>
          <w:lang w:bidi="ar-SY"/>
        </w:rPr>
        <w:t>(</w:t>
      </w:r>
      <w:r w:rsidR="000C68EA" w:rsidRPr="000C68EA">
        <w:rPr>
          <w:rStyle w:val="FootnoteReference"/>
          <w:rFonts w:cs="Arabic11 BT"/>
          <w:rtl/>
          <w:lang w:bidi="ar-SY"/>
        </w:rPr>
        <w:footnoteReference w:id="473"/>
      </w:r>
      <w:r w:rsidR="000C68EA" w:rsidRPr="000C68EA">
        <w:rPr>
          <w:rStyle w:val="FootnoteReference"/>
          <w:rFonts w:cs="Arabic11 BT"/>
          <w:rtl/>
          <w:lang w:bidi="ar-SY"/>
        </w:rPr>
        <w:t>)</w:t>
      </w:r>
    </w:p>
    <w:p w:rsidR="00CD31AA" w:rsidRPr="00495BAB" w:rsidRDefault="00CD31AA" w:rsidP="00495BAB">
      <w:pPr>
        <w:pStyle w:val="a0"/>
        <w:rPr>
          <w:rFonts w:hint="cs"/>
          <w:rtl/>
          <w:lang w:bidi="ar-SY"/>
        </w:rPr>
      </w:pPr>
      <w:r w:rsidRPr="00495BAB">
        <w:rPr>
          <w:rFonts w:hint="cs"/>
          <w:rtl/>
          <w:lang w:bidi="ar-SY"/>
        </w:rPr>
        <w:t>ثم أعقب ذلك على الفور بقوله: «</w:t>
      </w:r>
      <w:r w:rsidRPr="00495BAB">
        <w:rPr>
          <w:b/>
          <w:bCs/>
          <w:rtl/>
          <w:lang w:bidi="ar-SY"/>
        </w:rPr>
        <w:t>إلا أنّ الظاهر أن لا قائل به، ف</w:t>
      </w:r>
      <w:r w:rsidRPr="00495BAB">
        <w:rPr>
          <w:rFonts w:hint="cs"/>
          <w:b/>
          <w:bCs/>
          <w:rtl/>
          <w:lang w:bidi="ar-SY"/>
        </w:rPr>
        <w:t>إ</w:t>
      </w:r>
      <w:r w:rsidRPr="00495BAB">
        <w:rPr>
          <w:b/>
          <w:bCs/>
          <w:rtl/>
          <w:lang w:bidi="ar-SY"/>
        </w:rPr>
        <w:t>نّ بعض العلماء يجعلونه مخصوص</w:t>
      </w:r>
      <w:r w:rsidRPr="00495BAB">
        <w:rPr>
          <w:rFonts w:hint="cs"/>
          <w:b/>
          <w:bCs/>
          <w:rtl/>
          <w:lang w:bidi="ar-SY"/>
        </w:rPr>
        <w:t>ً</w:t>
      </w:r>
      <w:r w:rsidRPr="00495BAB">
        <w:rPr>
          <w:b/>
          <w:bCs/>
          <w:rtl/>
          <w:lang w:bidi="ar-SY"/>
        </w:rPr>
        <w:t>ا بغنائم دار الحرب كما عرف</w:t>
      </w:r>
      <w:r w:rsidRPr="00495BAB">
        <w:rPr>
          <w:rFonts w:hint="cs"/>
          <w:b/>
          <w:bCs/>
          <w:rtl/>
          <w:lang w:bidi="ar-SY"/>
        </w:rPr>
        <w:t>ْ</w:t>
      </w:r>
      <w:r w:rsidRPr="00495BAB">
        <w:rPr>
          <w:b/>
          <w:bCs/>
          <w:rtl/>
          <w:lang w:bidi="ar-SY"/>
        </w:rPr>
        <w:t>ت</w:t>
      </w:r>
      <w:r w:rsidRPr="00495BAB">
        <w:rPr>
          <w:rFonts w:hint="cs"/>
          <w:b/>
          <w:bCs/>
          <w:rtl/>
          <w:lang w:bidi="ar-SY"/>
        </w:rPr>
        <w:t>َ</w:t>
      </w:r>
      <w:r w:rsidRPr="00495BAB">
        <w:rPr>
          <w:rFonts w:hint="cs"/>
          <w:rtl/>
          <w:lang w:bidi="ar-SY"/>
        </w:rPr>
        <w:t>».</w:t>
      </w:r>
      <w:r w:rsidR="000C68EA" w:rsidRPr="000C68EA">
        <w:rPr>
          <w:rStyle w:val="FootnoteReference"/>
          <w:rFonts w:cs="Arabic11 BT"/>
          <w:rtl/>
          <w:lang w:bidi="ar-SY"/>
        </w:rPr>
        <w:t>(</w:t>
      </w:r>
      <w:r w:rsidR="000C68EA" w:rsidRPr="000C68EA">
        <w:rPr>
          <w:rStyle w:val="FootnoteReference"/>
          <w:rFonts w:cs="Arabic11 BT"/>
          <w:rtl/>
          <w:lang w:bidi="ar-SY"/>
        </w:rPr>
        <w:footnoteReference w:id="474"/>
      </w:r>
      <w:r w:rsidR="000C68EA" w:rsidRPr="000C68EA">
        <w:rPr>
          <w:rStyle w:val="FootnoteReference"/>
          <w:rFonts w:cs="Arabic11 BT"/>
          <w:rtl/>
          <w:lang w:bidi="ar-SY"/>
        </w:rPr>
        <w:t>)</w:t>
      </w:r>
    </w:p>
    <w:p w:rsidR="00CD31AA" w:rsidRPr="00495BAB" w:rsidRDefault="00CD31AA" w:rsidP="00495BAB">
      <w:pPr>
        <w:pStyle w:val="a0"/>
        <w:rPr>
          <w:rtl/>
          <w:lang w:bidi="ar-SY"/>
        </w:rPr>
      </w:pPr>
      <w:r w:rsidRPr="00495BAB">
        <w:rPr>
          <w:rFonts w:hint="cs"/>
          <w:rtl/>
          <w:lang w:bidi="ar-SY"/>
        </w:rPr>
        <w:t>وعندئذ أشكل المرحوم المقدس الأردبيلي في الصفحة التالية من كتابه على المرحوم الطبرسي الذي قال: «</w:t>
      </w:r>
      <w:r w:rsidRPr="00495BAB">
        <w:rPr>
          <w:rFonts w:hint="cs"/>
          <w:b/>
          <w:bCs/>
          <w:rtl/>
          <w:lang w:bidi="ar-SY"/>
        </w:rPr>
        <w:t>فيما هو مذكور في الكتب</w:t>
      </w:r>
      <w:r w:rsidRPr="00495BAB">
        <w:rPr>
          <w:rFonts w:hint="cs"/>
          <w:rtl/>
          <w:lang w:bidi="ar-SY"/>
        </w:rPr>
        <w:t>» فقال في الردّ على جملته هذه ما نصُّهُ:</w:t>
      </w:r>
    </w:p>
    <w:p w:rsidR="00CD31AA" w:rsidRPr="00495BAB" w:rsidRDefault="00CD31AA" w:rsidP="00495BAB">
      <w:pPr>
        <w:pStyle w:val="a0"/>
        <w:rPr>
          <w:rFonts w:hint="cs"/>
          <w:rtl/>
          <w:lang w:bidi="ar-SY"/>
        </w:rPr>
      </w:pPr>
      <w:r w:rsidRPr="00495BAB">
        <w:rPr>
          <w:rFonts w:hint="cs"/>
          <w:rtl/>
          <w:lang w:bidi="ar-SY"/>
        </w:rPr>
        <w:t>«</w:t>
      </w:r>
      <w:r w:rsidRPr="00495BAB">
        <w:rPr>
          <w:b/>
          <w:bCs/>
          <w:rtl/>
          <w:lang w:bidi="ar-SY"/>
        </w:rPr>
        <w:t>وأيض</w:t>
      </w:r>
      <w:r w:rsidRPr="00495BAB">
        <w:rPr>
          <w:rFonts w:hint="cs"/>
          <w:b/>
          <w:bCs/>
          <w:rtl/>
          <w:lang w:bidi="ar-SY"/>
        </w:rPr>
        <w:t>ً</w:t>
      </w:r>
      <w:r w:rsidRPr="00495BAB">
        <w:rPr>
          <w:b/>
          <w:bCs/>
          <w:rtl/>
          <w:lang w:bidi="ar-SY"/>
        </w:rPr>
        <w:t>ا قال: مذكور في الكتب، وليس ذلك مذكورًا في الكتب فكأنّه أشار إلى إمكان الاستدلال لمذهب الأصحاب بالآية الشريفة، إلزامًا للعامّة فإنّهم يخصّ</w:t>
      </w:r>
      <w:r w:rsidRPr="00495BAB">
        <w:rPr>
          <w:rFonts w:hint="cs"/>
          <w:b/>
          <w:bCs/>
          <w:rtl/>
          <w:lang w:bidi="ar-SY"/>
        </w:rPr>
        <w:t>ُ</w:t>
      </w:r>
      <w:r w:rsidRPr="00495BAB">
        <w:rPr>
          <w:b/>
          <w:bCs/>
          <w:rtl/>
          <w:lang w:bidi="ar-SY"/>
        </w:rPr>
        <w:t>ونه بغنائم دار الحرب، وذلك غير جيّ</w:t>
      </w:r>
      <w:r w:rsidRPr="00495BAB">
        <w:rPr>
          <w:rFonts w:hint="cs"/>
          <w:b/>
          <w:bCs/>
          <w:rtl/>
          <w:lang w:bidi="ar-SY"/>
        </w:rPr>
        <w:t>د</w:t>
      </w:r>
      <w:r w:rsidRPr="00495BAB">
        <w:rPr>
          <w:rFonts w:hint="cs"/>
          <w:rtl/>
          <w:lang w:bidi="ar-SY"/>
        </w:rPr>
        <w:t>».</w:t>
      </w:r>
      <w:r w:rsidR="00776BF9" w:rsidRPr="00873C4C">
        <w:rPr>
          <w:rFonts w:cs="Arabic11 BT" w:hint="cs"/>
          <w:vertAlign w:val="superscript"/>
          <w:rtl/>
          <w:lang w:bidi="ar-SY"/>
        </w:rPr>
        <w:t>(</w:t>
      </w:r>
      <w:r w:rsidRPr="00873C4C">
        <w:rPr>
          <w:rStyle w:val="FootnoteReference"/>
          <w:rFonts w:cs="Arabic11 BT"/>
          <w:rtl/>
          <w:lang w:bidi="ar-SY"/>
        </w:rPr>
        <w:footnoteReference w:id="475"/>
      </w:r>
      <w:r w:rsidR="00776BF9" w:rsidRPr="00873C4C">
        <w:rPr>
          <w:rFonts w:cs="Arabic11 BT" w:hint="cs"/>
          <w:vertAlign w:val="superscript"/>
          <w:rtl/>
          <w:lang w:bidi="ar-SY"/>
        </w:rPr>
        <w:t>)</w:t>
      </w:r>
    </w:p>
    <w:p w:rsidR="00CD31AA" w:rsidRPr="00495BAB" w:rsidRDefault="00CD31AA" w:rsidP="00495BAB">
      <w:pPr>
        <w:pStyle w:val="a0"/>
        <w:rPr>
          <w:rFonts w:hint="cs"/>
          <w:rtl/>
          <w:lang w:bidi="ar-SY"/>
        </w:rPr>
      </w:pPr>
      <w:r w:rsidRPr="00495BAB">
        <w:rPr>
          <w:rFonts w:hint="cs"/>
          <w:rtl/>
          <w:lang w:bidi="ar-SY"/>
        </w:rPr>
        <w:t>وقال المقدس الأردبيلي أيضاً في كتابه «</w:t>
      </w:r>
      <w:r w:rsidRPr="00495BAB">
        <w:rPr>
          <w:rFonts w:hint="cs"/>
          <w:b/>
          <w:bCs/>
          <w:rtl/>
          <w:lang w:bidi="ar-SY"/>
        </w:rPr>
        <w:t>شرح الإرشاد</w:t>
      </w:r>
      <w:r w:rsidRPr="00495BAB">
        <w:rPr>
          <w:rFonts w:hint="cs"/>
          <w:rtl/>
          <w:lang w:bidi="ar-SY"/>
        </w:rPr>
        <w:t>» (ص 278)، بعد أن أورد أخبار تحليل الخمس، ما نصّه: «</w:t>
      </w:r>
      <w:r w:rsidRPr="00495BAB">
        <w:rPr>
          <w:b/>
          <w:bCs/>
          <w:rtl/>
          <w:lang w:bidi="ar-SY"/>
        </w:rPr>
        <w:t xml:space="preserve">وهذه </w:t>
      </w:r>
      <w:r w:rsidRPr="00495BAB">
        <w:rPr>
          <w:rFonts w:hint="cs"/>
          <w:b/>
          <w:bCs/>
          <w:rtl/>
          <w:lang w:bidi="ar-SY"/>
        </w:rPr>
        <w:t>الأخبار</w:t>
      </w:r>
      <w:r w:rsidRPr="00495BAB">
        <w:rPr>
          <w:b/>
          <w:bCs/>
          <w:rtl/>
          <w:lang w:bidi="ar-SY"/>
        </w:rPr>
        <w:t xml:space="preserve"> هي التي دل</w:t>
      </w:r>
      <w:r w:rsidRPr="00495BAB">
        <w:rPr>
          <w:rFonts w:hint="cs"/>
          <w:b/>
          <w:bCs/>
          <w:rtl/>
          <w:lang w:bidi="ar-SY"/>
        </w:rPr>
        <w:t>َّ</w:t>
      </w:r>
      <w:r w:rsidRPr="00495BAB">
        <w:rPr>
          <w:b/>
          <w:bCs/>
          <w:rtl/>
          <w:lang w:bidi="ar-SY"/>
        </w:rPr>
        <w:t>ت</w:t>
      </w:r>
      <w:r w:rsidRPr="00495BAB">
        <w:rPr>
          <w:rFonts w:hint="cs"/>
          <w:b/>
          <w:bCs/>
          <w:rtl/>
          <w:lang w:bidi="ar-SY"/>
        </w:rPr>
        <w:t>ْ</w:t>
      </w:r>
      <w:r w:rsidRPr="00495BAB">
        <w:rPr>
          <w:b/>
          <w:bCs/>
          <w:rtl/>
          <w:lang w:bidi="ar-SY"/>
        </w:rPr>
        <w:t xml:space="preserve"> على السقوط حال الغيبة، وكون الإيصال مستحباً كما هو مذهب البعض مع ما مر</w:t>
      </w:r>
      <w:r w:rsidRPr="00495BAB">
        <w:rPr>
          <w:rFonts w:hint="cs"/>
          <w:b/>
          <w:bCs/>
          <w:rtl/>
          <w:lang w:bidi="ar-SY"/>
        </w:rPr>
        <w:t>َّ</w:t>
      </w:r>
      <w:r w:rsidRPr="00495BAB">
        <w:rPr>
          <w:b/>
          <w:bCs/>
          <w:rtl/>
          <w:lang w:bidi="ar-SY"/>
        </w:rPr>
        <w:t xml:space="preserve"> م</w:t>
      </w:r>
      <w:r w:rsidRPr="00495BAB">
        <w:rPr>
          <w:rFonts w:hint="cs"/>
          <w:b/>
          <w:bCs/>
          <w:rtl/>
          <w:lang w:bidi="ar-SY"/>
        </w:rPr>
        <w:t>ِ</w:t>
      </w:r>
      <w:r w:rsidRPr="00495BAB">
        <w:rPr>
          <w:b/>
          <w:bCs/>
          <w:rtl/>
          <w:lang w:bidi="ar-SY"/>
        </w:rPr>
        <w:t>ن عدم تحق</w:t>
      </w:r>
      <w:r w:rsidRPr="00495BAB">
        <w:rPr>
          <w:rFonts w:hint="cs"/>
          <w:b/>
          <w:bCs/>
          <w:rtl/>
          <w:lang w:bidi="ar-SY"/>
        </w:rPr>
        <w:t>ُّ</w:t>
      </w:r>
      <w:r w:rsidRPr="00495BAB">
        <w:rPr>
          <w:b/>
          <w:bCs/>
          <w:rtl/>
          <w:lang w:bidi="ar-SY"/>
        </w:rPr>
        <w:t>ق محل</w:t>
      </w:r>
      <w:r w:rsidRPr="00495BAB">
        <w:rPr>
          <w:rFonts w:hint="cs"/>
          <w:b/>
          <w:bCs/>
          <w:rtl/>
          <w:lang w:bidi="ar-SY"/>
        </w:rPr>
        <w:t>ّ</w:t>
      </w:r>
      <w:r w:rsidRPr="00495BAB">
        <w:rPr>
          <w:b/>
          <w:bCs/>
          <w:rtl/>
          <w:lang w:bidi="ar-SY"/>
        </w:rPr>
        <w:t xml:space="preserve"> الوجوب </w:t>
      </w:r>
      <w:r w:rsidRPr="00495BAB">
        <w:rPr>
          <w:rFonts w:hint="cs"/>
          <w:b/>
          <w:bCs/>
          <w:rtl/>
          <w:lang w:bidi="ar-SY"/>
        </w:rPr>
        <w:t>إلا</w:t>
      </w:r>
      <w:r w:rsidRPr="00495BAB">
        <w:rPr>
          <w:b/>
          <w:bCs/>
          <w:rtl/>
          <w:lang w:bidi="ar-SY"/>
        </w:rPr>
        <w:t xml:space="preserve"> قليلا</w:t>
      </w:r>
      <w:r w:rsidRPr="00495BAB">
        <w:rPr>
          <w:rFonts w:hint="cs"/>
          <w:b/>
          <w:bCs/>
          <w:rtl/>
          <w:lang w:bidi="ar-SY"/>
        </w:rPr>
        <w:t>ً</w:t>
      </w:r>
      <w:r w:rsidRPr="00495BAB">
        <w:rPr>
          <w:b/>
          <w:bCs/>
          <w:rtl/>
          <w:lang w:bidi="ar-SY"/>
        </w:rPr>
        <w:t>، لعدم دليل قوي على الأرباح والمكاسب</w:t>
      </w:r>
      <w:r w:rsidRPr="00495BAB">
        <w:rPr>
          <w:rFonts w:hint="cs"/>
          <w:rtl/>
          <w:lang w:bidi="ar-SY"/>
        </w:rPr>
        <w:t>...</w:t>
      </w:r>
      <w:r w:rsidRPr="00495BAB">
        <w:rPr>
          <w:rtl/>
          <w:lang w:bidi="ar-SY"/>
        </w:rPr>
        <w:t xml:space="preserve"> </w:t>
      </w:r>
      <w:r w:rsidRPr="00495BAB">
        <w:rPr>
          <w:rFonts w:hint="cs"/>
          <w:b/>
          <w:bCs/>
          <w:rtl/>
          <w:lang w:bidi="ar-SY"/>
        </w:rPr>
        <w:t>إلى</w:t>
      </w:r>
      <w:r w:rsidRPr="00495BAB">
        <w:rPr>
          <w:b/>
          <w:bCs/>
          <w:rtl/>
          <w:lang w:bidi="ar-SY"/>
        </w:rPr>
        <w:t xml:space="preserve"> آخر ما أفاده</w:t>
      </w:r>
      <w:r w:rsidRPr="00495BAB">
        <w:rPr>
          <w:rFonts w:hint="cs"/>
          <w:rtl/>
          <w:lang w:bidi="ar-SY"/>
        </w:rPr>
        <w:t>»</w:t>
      </w:r>
      <w:r w:rsidR="00776BF9" w:rsidRPr="00873C4C">
        <w:rPr>
          <w:rFonts w:cs="Arabic11 BT"/>
          <w:vertAlign w:val="superscript"/>
          <w:rtl/>
          <w:lang w:bidi="ar-SY"/>
        </w:rPr>
        <w:t>(</w:t>
      </w:r>
      <w:r w:rsidR="00776BF9" w:rsidRPr="00873C4C">
        <w:rPr>
          <w:rStyle w:val="FootnoteReference"/>
          <w:rFonts w:cs="Arabic11 BT"/>
          <w:rtl/>
          <w:lang w:bidi="ar-SY"/>
        </w:rPr>
        <w:footnoteReference w:id="476"/>
      </w:r>
      <w:r w:rsidR="00776BF9" w:rsidRPr="00873C4C">
        <w:rPr>
          <w:rFonts w:cs="Arabic11 BT"/>
          <w:vertAlign w:val="superscript"/>
          <w:rtl/>
          <w:lang w:bidi="ar-SY"/>
        </w:rPr>
        <w:t>)</w:t>
      </w:r>
      <w:r w:rsidRPr="00495BAB">
        <w:rPr>
          <w:rFonts w:hint="cs"/>
          <w:rtl/>
          <w:lang w:bidi="ar-SY"/>
        </w:rPr>
        <w:t>.</w:t>
      </w:r>
    </w:p>
    <w:p w:rsidR="00CD31AA" w:rsidRPr="00495BAB" w:rsidRDefault="00CD31AA" w:rsidP="00495BAB">
      <w:pPr>
        <w:pStyle w:val="a0"/>
        <w:rPr>
          <w:rFonts w:hint="cs"/>
          <w:rtl/>
          <w:lang w:bidi="ar-SY"/>
        </w:rPr>
      </w:pPr>
      <w:r w:rsidRPr="00495BAB">
        <w:rPr>
          <w:rFonts w:hint="cs"/>
          <w:rtl/>
          <w:lang w:bidi="ar-SY"/>
        </w:rPr>
        <w:t>والنتيجة هي أن جناب المقدّس لا يعتبر الغنيمة سوى غنائم دار الحرب، وهذا أمر مقطوع به عنده، هذا رغم أنه لا يعتقد بوجوب ذلك الخمس الذي يراه الإمامية، ويقول في الصفحة 277: «</w:t>
      </w:r>
      <w:r w:rsidRPr="00495BAB">
        <w:rPr>
          <w:rFonts w:hint="cs"/>
          <w:b/>
          <w:bCs/>
          <w:rtl/>
          <w:lang w:bidi="ar-SY"/>
        </w:rPr>
        <w:t>بل الظاهر إباحة مطلق التصرف في أموالهم للشيعة</w:t>
      </w:r>
      <w:r w:rsidRPr="00495BAB">
        <w:rPr>
          <w:rFonts w:hint="cs"/>
          <w:rtl/>
          <w:lang w:bidi="ar-SY"/>
        </w:rPr>
        <w:t>»، ويقول ذيل أخبار تحليل الخمس: «</w:t>
      </w:r>
      <w:r w:rsidRPr="00495BAB">
        <w:rPr>
          <w:b/>
          <w:bCs/>
          <w:rtl/>
          <w:lang w:bidi="ar-SY"/>
        </w:rPr>
        <w:t>واعلم أنّ عموم الأخبار الأول يدل على السقوط بالكلّية زمان الغيبة والحضور</w:t>
      </w:r>
      <w:r w:rsidRPr="00495BAB">
        <w:rPr>
          <w:rFonts w:hint="cs"/>
          <w:b/>
          <w:bCs/>
          <w:rtl/>
          <w:lang w:bidi="ar-SY"/>
        </w:rPr>
        <w:t>،</w:t>
      </w:r>
      <w:r w:rsidRPr="00495BAB">
        <w:rPr>
          <w:b/>
          <w:bCs/>
          <w:rtl/>
          <w:lang w:bidi="ar-SY"/>
        </w:rPr>
        <w:t xml:space="preserve"> بمعنى عدم الوجوب الحتمي، فكأنهم </w:t>
      </w:r>
      <w:r w:rsidR="00963EFD" w:rsidRPr="00963EFD">
        <w:rPr>
          <w:rFonts w:cs="CTraditional Arabic"/>
          <w:b/>
          <w:rtl/>
          <w:lang w:bidi="ar-SY"/>
        </w:rPr>
        <w:t>‡</w:t>
      </w:r>
      <w:r w:rsidRPr="00495BAB">
        <w:rPr>
          <w:b/>
          <w:bCs/>
          <w:rtl/>
          <w:lang w:bidi="ar-SY"/>
        </w:rPr>
        <w:t xml:space="preserve"> أخبروا بذلك</w:t>
      </w:r>
      <w:r w:rsidRPr="00495BAB">
        <w:rPr>
          <w:rFonts w:hint="cs"/>
          <w:b/>
          <w:bCs/>
          <w:rtl/>
          <w:lang w:bidi="ar-SY"/>
        </w:rPr>
        <w:t>،</w:t>
      </w:r>
      <w:r w:rsidRPr="00495BAB">
        <w:rPr>
          <w:b/>
          <w:bCs/>
          <w:rtl/>
          <w:lang w:bidi="ar-SY"/>
        </w:rPr>
        <w:t xml:space="preserve"> ف</w:t>
      </w:r>
      <w:r w:rsidRPr="00495BAB">
        <w:rPr>
          <w:rFonts w:hint="cs"/>
          <w:b/>
          <w:bCs/>
          <w:rtl/>
          <w:lang w:bidi="ar-SY"/>
        </w:rPr>
        <w:t>َ</w:t>
      </w:r>
      <w:r w:rsidRPr="00495BAB">
        <w:rPr>
          <w:b/>
          <w:bCs/>
          <w:rtl/>
          <w:lang w:bidi="ar-SY"/>
        </w:rPr>
        <w:t>ع</w:t>
      </w:r>
      <w:r w:rsidRPr="00495BAB">
        <w:rPr>
          <w:rFonts w:hint="cs"/>
          <w:b/>
          <w:bCs/>
          <w:rtl/>
          <w:lang w:bidi="ar-SY"/>
        </w:rPr>
        <w:t>ُ</w:t>
      </w:r>
      <w:r w:rsidRPr="00495BAB">
        <w:rPr>
          <w:b/>
          <w:bCs/>
          <w:rtl/>
          <w:lang w:bidi="ar-SY"/>
        </w:rPr>
        <w:t>ل</w:t>
      </w:r>
      <w:r w:rsidRPr="00495BAB">
        <w:rPr>
          <w:rFonts w:hint="cs"/>
          <w:b/>
          <w:bCs/>
          <w:rtl/>
          <w:lang w:bidi="ar-SY"/>
        </w:rPr>
        <w:t>ِ</w:t>
      </w:r>
      <w:r w:rsidRPr="00495BAB">
        <w:rPr>
          <w:b/>
          <w:bCs/>
          <w:rtl/>
          <w:lang w:bidi="ar-SY"/>
        </w:rPr>
        <w:t>م</w:t>
      </w:r>
      <w:r w:rsidRPr="00495BAB">
        <w:rPr>
          <w:rFonts w:hint="cs"/>
          <w:b/>
          <w:bCs/>
          <w:rtl/>
          <w:lang w:bidi="ar-SY"/>
        </w:rPr>
        <w:t>َ</w:t>
      </w:r>
      <w:r w:rsidRPr="00495BAB">
        <w:rPr>
          <w:b/>
          <w:bCs/>
          <w:rtl/>
          <w:lang w:bidi="ar-SY"/>
        </w:rPr>
        <w:t xml:space="preserve"> عدم الوجوب</w:t>
      </w:r>
      <w:r w:rsidRPr="00495BAB">
        <w:rPr>
          <w:rFonts w:hint="cs"/>
          <w:b/>
          <w:bCs/>
          <w:rtl/>
          <w:lang w:bidi="ar-SY"/>
        </w:rPr>
        <w:t>ِ</w:t>
      </w:r>
      <w:r w:rsidRPr="00495BAB">
        <w:rPr>
          <w:b/>
          <w:bCs/>
          <w:rtl/>
          <w:lang w:bidi="ar-SY"/>
        </w:rPr>
        <w:t xml:space="preserve"> الحتمي</w:t>
      </w:r>
      <w:r w:rsidRPr="00495BAB">
        <w:rPr>
          <w:rFonts w:hint="cs"/>
          <w:b/>
          <w:bCs/>
          <w:rtl/>
          <w:lang w:bidi="ar-SY"/>
        </w:rPr>
        <w:t>ِّ</w:t>
      </w:r>
      <w:r w:rsidRPr="00495BAB">
        <w:rPr>
          <w:b/>
          <w:bCs/>
          <w:rtl/>
          <w:lang w:bidi="ar-SY"/>
        </w:rPr>
        <w:t xml:space="preserve">، فلا </w:t>
      </w:r>
      <w:r w:rsidRPr="00495BAB">
        <w:rPr>
          <w:rFonts w:hint="cs"/>
          <w:b/>
          <w:bCs/>
          <w:rtl/>
          <w:lang w:bidi="ar-SY"/>
        </w:rPr>
        <w:t>يَرِدُ</w:t>
      </w:r>
      <w:r w:rsidRPr="00495BAB">
        <w:rPr>
          <w:b/>
          <w:bCs/>
          <w:rtl/>
          <w:lang w:bidi="ar-SY"/>
        </w:rPr>
        <w:t xml:space="preserve"> أنّه لا يجوز الإباحة لما بعد موتهم </w:t>
      </w:r>
      <w:r w:rsidR="00963EFD" w:rsidRPr="00963EFD">
        <w:rPr>
          <w:rFonts w:cs="CTraditional Arabic"/>
          <w:b/>
          <w:rtl/>
          <w:lang w:bidi="ar-SY"/>
        </w:rPr>
        <w:t>‡</w:t>
      </w:r>
      <w:r w:rsidRPr="00495BAB">
        <w:rPr>
          <w:b/>
          <w:bCs/>
          <w:rtl/>
          <w:lang w:bidi="ar-SY"/>
        </w:rPr>
        <w:t xml:space="preserve">، فإنه مال الغير مع التصريح في البعض بالسقوط إلى </w:t>
      </w:r>
      <w:r w:rsidRPr="00495BAB">
        <w:rPr>
          <w:rFonts w:hint="cs"/>
          <w:b/>
          <w:bCs/>
          <w:rtl/>
          <w:lang w:bidi="ar-SY"/>
        </w:rPr>
        <w:t xml:space="preserve">قيام </w:t>
      </w:r>
      <w:r w:rsidRPr="00495BAB">
        <w:rPr>
          <w:b/>
          <w:bCs/>
          <w:rtl/>
          <w:lang w:bidi="ar-SY"/>
        </w:rPr>
        <w:t>القائم ويوم القيامة، بل ظاهرها سقوط الخمس بالكلّية حتى حصّة الفقراء أيضًا وإباحة أكله مطلقًا سواء أكل من ماله ذلك أو غيره</w:t>
      </w:r>
      <w:r w:rsidRPr="00495BAB">
        <w:rPr>
          <w:rFonts w:hint="cs"/>
          <w:rtl/>
          <w:lang w:bidi="ar-SY"/>
        </w:rPr>
        <w:t>»</w:t>
      </w:r>
      <w:r w:rsidRPr="00495BAB">
        <w:rPr>
          <w:rtl/>
          <w:lang w:bidi="ar-SY"/>
        </w:rPr>
        <w:t>.</w:t>
      </w:r>
      <w:r w:rsidR="00776BF9" w:rsidRPr="00873C4C">
        <w:rPr>
          <w:rFonts w:cs="Arabic11 BT" w:hint="cs"/>
          <w:vertAlign w:val="superscript"/>
          <w:rtl/>
          <w:lang w:bidi="ar-SY"/>
        </w:rPr>
        <w:t>(</w:t>
      </w:r>
      <w:r w:rsidRPr="00873C4C">
        <w:rPr>
          <w:rStyle w:val="FootnoteReference"/>
          <w:rFonts w:cs="Arabic11 BT"/>
          <w:rtl/>
          <w:lang w:bidi="ar-SY"/>
        </w:rPr>
        <w:footnoteReference w:id="477"/>
      </w:r>
      <w:r w:rsidR="00776BF9" w:rsidRPr="00873C4C">
        <w:rPr>
          <w:rFonts w:cs="Arabic11 BT" w:hint="cs"/>
          <w:vertAlign w:val="superscript"/>
          <w:rtl/>
          <w:lang w:bidi="ar-SY"/>
        </w:rPr>
        <w:t>)</w:t>
      </w:r>
    </w:p>
    <w:p w:rsidR="00CD31AA" w:rsidRPr="00495BAB" w:rsidRDefault="00CD31AA" w:rsidP="00495BAB">
      <w:pPr>
        <w:pStyle w:val="a0"/>
        <w:rPr>
          <w:rFonts w:hint="cs"/>
          <w:rtl/>
          <w:lang w:bidi="ar-SY"/>
        </w:rPr>
      </w:pPr>
      <w:r w:rsidRPr="00495BAB">
        <w:rPr>
          <w:rFonts w:hint="cs"/>
          <w:rtl/>
          <w:lang w:bidi="ar-SY"/>
        </w:rPr>
        <w:t>من الواضح أن المقدس الأردبيلي يعتبر الخمس بشكل عام وبجميع أنواعه ساقطاً عن الشيعة إلى قيام القائم أو إلى قيام الساعة؛ وكل من جاء بعده من العلماء كانوا يعرفون أن هذه هي عقيدة المقدس الأردبيلي بشأن الخمس. ورغم ذلك فإنهم كانوا في بعض كتاباتهم أحيانًا يوافقون بشكل ضمني على بعض أقاويله، ويعتبرونها أحيانًا مستحبة ويرون أحيانًا أخرى أن دفع الخمس لازم من باب الاحتياط. ولما كان المقدس الأردبيلي يعيش في زمن الملوك الصفويين، أي في أوج فترة قوة الشيعة الإمامية ونشرهم لعقائدهم، والفترة التي كانت عقائد الشيعة فيها سوقًا رائجةً جدًّا، إلى درجة أن المجلسي الأول (محمد تقي) اتهم في كتابه «</w:t>
      </w:r>
      <w:r w:rsidRPr="00495BAB">
        <w:rPr>
          <w:rFonts w:hint="cs"/>
          <w:b/>
          <w:bCs/>
          <w:rtl/>
          <w:lang w:bidi="ar-SY"/>
        </w:rPr>
        <w:t>لوامع صاحبقراني</w:t>
      </w:r>
      <w:r w:rsidRPr="00495BAB">
        <w:rPr>
          <w:rFonts w:hint="cs"/>
          <w:rtl/>
          <w:lang w:bidi="ar-SY"/>
        </w:rPr>
        <w:t>»</w:t>
      </w:r>
      <w:r w:rsidR="00776BF9" w:rsidRPr="00873C4C">
        <w:rPr>
          <w:rFonts w:cs="Arabic11 BT"/>
          <w:vertAlign w:val="superscript"/>
          <w:rtl/>
          <w:lang w:bidi="ar-SY"/>
        </w:rPr>
        <w:t>(</w:t>
      </w:r>
      <w:r w:rsidR="00776BF9" w:rsidRPr="00873C4C">
        <w:rPr>
          <w:rStyle w:val="FootnoteReference"/>
          <w:rFonts w:cs="Arabic11 BT"/>
          <w:rtl/>
          <w:lang w:bidi="ar-SY"/>
        </w:rPr>
        <w:footnoteReference w:id="478"/>
      </w:r>
      <w:r w:rsidR="00776BF9" w:rsidRPr="00873C4C">
        <w:rPr>
          <w:rFonts w:cs="Arabic11 BT"/>
          <w:vertAlign w:val="superscript"/>
          <w:rtl/>
          <w:lang w:bidi="ar-SY"/>
        </w:rPr>
        <w:t>)</w:t>
      </w:r>
      <w:r w:rsidRPr="00495BAB">
        <w:rPr>
          <w:rFonts w:hint="cs"/>
          <w:rtl/>
          <w:lang w:bidi="ar-SY"/>
        </w:rPr>
        <w:t xml:space="preserve"> أستاذه: مولانا عبد الله، بأنه سُنِّـيٌّ لمجرد عزمه على ترك عبارة «أشهد أن علياً ولي الله» في الآذان والإقامة، مما أجبر الشيخ عبد الله على التقية خوفًا على نفسه، وارتكب من جديد تلك البدعة في الأذان! وما أكثر الأبرياء الذين قُتلوا أو جُرحوا في ذلك الزمن لا لشيء إلا لتركهم ذكر تلك الشهادة في الأذان! ففي ذلك الزمن كان شيخ الإسلام الشيعي -كما تنقل التواريخ- يركب الخيلَ وينادي شخصان أحدهما عن يمينه والآخر عن شماله بصوت عال: اللعنة على خلفاء الثلاثة الباطلين جميعًا، ثم كانت تُضْرَب عنق كل من يُقَصِّر في النطق بتلك اللعنة! فصدور مثل تلك الفتوى مِنْ قِبَلِ المقدس الأردبيلي في مثل ذلك الزمن دليل على أنه كان من أعظم الناس إيمانًا وأنه كان محقًّا في ممارسة شيء من اللف والدوران والمجاملات في العبارات! لكنه كما رأينا، لم يُقَدِّم أي مستند قوي لمن يبحثون عن شيء يتعلقون به ويستندون إليه، وكان يرفض على الدوام القول بأن آية الغنيمة تدل على أي شيء آخر سوى غنائم دار الحرب.</w:t>
      </w:r>
    </w:p>
    <w:p w:rsidR="00CD31AA" w:rsidRPr="00495BAB" w:rsidRDefault="00CD31AA" w:rsidP="00495BAB">
      <w:pPr>
        <w:pStyle w:val="a0"/>
        <w:rPr>
          <w:rFonts w:hint="cs"/>
          <w:rtl/>
          <w:lang w:bidi="ar-SY"/>
        </w:rPr>
      </w:pPr>
      <w:r w:rsidRPr="00495BAB">
        <w:rPr>
          <w:rFonts w:hint="cs"/>
          <w:rtl/>
          <w:lang w:bidi="ar-SY"/>
        </w:rPr>
        <w:t xml:space="preserve">ثم قال صاحب الردّ الذي يبحث عن ذرائع وحجج لتأييد كلامه: </w:t>
      </w:r>
    </w:p>
    <w:p w:rsidR="00CD31AA" w:rsidRPr="00495BAB" w:rsidRDefault="00CD31AA" w:rsidP="00495BAB">
      <w:pPr>
        <w:pStyle w:val="a0"/>
        <w:rPr>
          <w:rFonts w:hint="cs"/>
          <w:rtl/>
          <w:lang w:bidi="ar-SY"/>
        </w:rPr>
      </w:pPr>
      <w:r w:rsidRPr="00495BAB">
        <w:rPr>
          <w:rFonts w:hint="cs"/>
          <w:rtl/>
          <w:lang w:bidi="ar-SY"/>
        </w:rPr>
        <w:t>«</w:t>
      </w:r>
      <w:r w:rsidRPr="00995B26">
        <w:rPr>
          <w:rFonts w:cs="Akhbar MT" w:hint="cs"/>
          <w:szCs w:val="30"/>
          <w:rtl/>
          <w:lang w:bidi="ar-SY"/>
        </w:rPr>
        <w:t xml:space="preserve">وأما ما نقله المؤلف عن الفاضل الجواد، فهنا أيضًا تجاهل عبارةً تضر برأيه؛ وفيما يلي عبارة </w:t>
      </w:r>
      <w:r w:rsidRPr="00995B26">
        <w:rPr>
          <w:rFonts w:cs="Akhbar MT" w:hint="cs"/>
          <w:b/>
          <w:bCs/>
          <w:szCs w:val="30"/>
          <w:rtl/>
          <w:lang w:bidi="ar-SY"/>
        </w:rPr>
        <w:t>مسالك الأفهام</w:t>
      </w:r>
      <w:r w:rsidRPr="00995B26">
        <w:rPr>
          <w:rFonts w:cs="Akhbar MT" w:hint="cs"/>
          <w:szCs w:val="30"/>
          <w:rtl/>
          <w:lang w:bidi="ar-SY"/>
        </w:rPr>
        <w:t xml:space="preserve"> للفاضل الجواد في ثلاثة من النسخ الأربعة التي كانت أساساً لطباعة كتاب </w:t>
      </w:r>
      <w:r w:rsidRPr="00995B26">
        <w:rPr>
          <w:rFonts w:cs="Akhbar MT" w:hint="cs"/>
          <w:b/>
          <w:bCs/>
          <w:szCs w:val="30"/>
          <w:rtl/>
          <w:lang w:bidi="ar-SY"/>
        </w:rPr>
        <w:t>مسالك الأفهام</w:t>
      </w:r>
      <w:r w:rsidRPr="00995B26">
        <w:rPr>
          <w:rFonts w:cs="Akhbar MT" w:hint="cs"/>
          <w:szCs w:val="30"/>
          <w:rtl/>
          <w:lang w:bidi="ar-SY"/>
        </w:rPr>
        <w:t>: "و بالجملة القول بدلالة الآية على وجوب الخمس من كل فائدة إلا ما أخرجه الدليل غير بعيد خصوصًا بملاحظة أن الغنيمة في اللغة والعرف للفائدة مطلقًا"، ثم قال في الحاشية السفلية أن هذه الجملة ذكرها المحشي في حاشية الصفحة 80</w:t>
      </w:r>
      <w:r w:rsidRPr="00495BAB">
        <w:rPr>
          <w:rFonts w:hint="cs"/>
          <w:rtl/>
          <w:lang w:bidi="ar-SY"/>
        </w:rPr>
        <w:t xml:space="preserve">». </w:t>
      </w:r>
    </w:p>
    <w:p w:rsidR="00CD31AA" w:rsidRPr="00495BAB" w:rsidRDefault="00CD31AA" w:rsidP="00495BAB">
      <w:pPr>
        <w:pStyle w:val="a0"/>
        <w:rPr>
          <w:rFonts w:hint="cs"/>
          <w:rtl/>
          <w:lang w:bidi="ar-SY"/>
        </w:rPr>
      </w:pPr>
      <w:r w:rsidRPr="00495BAB">
        <w:rPr>
          <w:rFonts w:hint="cs"/>
          <w:rtl/>
          <w:lang w:bidi="ar-SY"/>
        </w:rPr>
        <w:t xml:space="preserve">وأقول: رغم أن صاحب الرد أمضى سنوات طالبًا للعلوم الشرعية، إلا أنه يبدو أنه لم يقرأ بعد كتاب </w:t>
      </w:r>
      <w:r w:rsidRPr="00495BAB">
        <w:rPr>
          <w:rFonts w:hint="cs"/>
          <w:b/>
          <w:bCs/>
          <w:rtl/>
          <w:lang w:bidi="ar-SY"/>
        </w:rPr>
        <w:t>آداب المتعلمين</w:t>
      </w:r>
      <w:r w:rsidRPr="00495BAB">
        <w:rPr>
          <w:rFonts w:hint="cs"/>
          <w:rtl/>
          <w:lang w:bidi="ar-SY"/>
        </w:rPr>
        <w:t>! حيث جاء فيه: «عليكم بالمتن لا بالحواشي»، وأنت يا صاحب الردّ تركت المتن وجئتَ إلى الحاشية! وينبغي أن نقول يا لِـلَّهِ ولِكُتَّاب الحواشي هؤلاء!</w:t>
      </w:r>
    </w:p>
    <w:p w:rsidR="00CD31AA" w:rsidRPr="00495BAB" w:rsidRDefault="00CD31AA" w:rsidP="00495BAB">
      <w:pPr>
        <w:pStyle w:val="a0"/>
        <w:rPr>
          <w:rFonts w:hint="cs"/>
          <w:rtl/>
          <w:lang w:bidi="ar-SY"/>
        </w:rPr>
      </w:pPr>
      <w:r w:rsidRPr="00495BAB">
        <w:rPr>
          <w:rFonts w:hint="cs"/>
          <w:rtl/>
          <w:lang w:bidi="ar-SY"/>
        </w:rPr>
        <w:t>إن ما ذكرناه هو نص كتاب «</w:t>
      </w:r>
      <w:r w:rsidRPr="00495BAB">
        <w:rPr>
          <w:rFonts w:hint="cs"/>
          <w:b/>
          <w:bCs/>
          <w:rtl/>
          <w:lang w:bidi="ar-SY"/>
        </w:rPr>
        <w:t>مسالك الأفهام</w:t>
      </w:r>
      <w:r w:rsidRPr="00495BAB">
        <w:rPr>
          <w:rFonts w:hint="cs"/>
          <w:rtl/>
          <w:lang w:bidi="ar-SY"/>
        </w:rPr>
        <w:t>» الذي كتب مؤلفه الفاضل الجواد فيه، بعد ذكر آية (</w:t>
      </w:r>
      <w:r w:rsidRPr="00495BAB">
        <w:rPr>
          <w:rtl/>
          <w:lang w:bidi="ar-SY"/>
        </w:rPr>
        <w:t>وَاعْلَمُوا أَنَّما غَنِمْتُمْ</w:t>
      </w:r>
      <w:r w:rsidR="00776BF9" w:rsidRPr="00495BAB">
        <w:rPr>
          <w:rFonts w:hint="cs"/>
          <w:rtl/>
          <w:lang w:bidi="ar-SY"/>
        </w:rPr>
        <w:t>)</w:t>
      </w:r>
      <w:r w:rsidRPr="00495BAB">
        <w:rPr>
          <w:rFonts w:hint="cs"/>
          <w:rtl/>
          <w:lang w:bidi="ar-SY"/>
        </w:rPr>
        <w:t>، يقول: «</w:t>
      </w:r>
      <w:r w:rsidRPr="00495BAB">
        <w:rPr>
          <w:b/>
          <w:bCs/>
          <w:rtl/>
          <w:lang w:bidi="ar-SY"/>
        </w:rPr>
        <w:t>ظاهر الغنيمة ما أ</w:t>
      </w:r>
      <w:r w:rsidRPr="00495BAB">
        <w:rPr>
          <w:rFonts w:hint="cs"/>
          <w:b/>
          <w:bCs/>
          <w:rtl/>
          <w:lang w:bidi="ar-SY"/>
        </w:rPr>
        <w:t>ُ</w:t>
      </w:r>
      <w:r w:rsidRPr="00495BAB">
        <w:rPr>
          <w:b/>
          <w:bCs/>
          <w:rtl/>
          <w:lang w:bidi="ar-SY"/>
        </w:rPr>
        <w:t>خذت من دار الحرب، ويؤيّده الآيات السابقة واللاحقة، وعلى ذلك حملها أكثر المفسّرين، والظاهر من أصحابنا أنّهم يحملونها على الفائدة مطلق</w:t>
      </w:r>
      <w:r w:rsidRPr="00495BAB">
        <w:rPr>
          <w:rFonts w:hint="cs"/>
          <w:b/>
          <w:bCs/>
          <w:rtl/>
          <w:lang w:bidi="ar-SY"/>
        </w:rPr>
        <w:t>ً</w:t>
      </w:r>
      <w:r w:rsidRPr="00495BAB">
        <w:rPr>
          <w:b/>
          <w:bCs/>
          <w:rtl/>
          <w:lang w:bidi="ar-SY"/>
        </w:rPr>
        <w:t>ا، وإن لم يكن من دار الحرب</w:t>
      </w:r>
      <w:r w:rsidRPr="00495BAB">
        <w:rPr>
          <w:rFonts w:hint="cs"/>
          <w:rtl/>
          <w:lang w:bidi="ar-SY"/>
        </w:rPr>
        <w:t>»</w:t>
      </w:r>
      <w:r w:rsidR="00776BF9" w:rsidRPr="00873C4C">
        <w:rPr>
          <w:rFonts w:cs="Arabic11 BT"/>
          <w:vertAlign w:val="superscript"/>
          <w:rtl/>
          <w:lang w:bidi="ar-SY"/>
        </w:rPr>
        <w:t>(</w:t>
      </w:r>
      <w:r w:rsidR="00776BF9" w:rsidRPr="00873C4C">
        <w:rPr>
          <w:rStyle w:val="FootnoteReference"/>
          <w:rFonts w:cs="Arabic11 BT"/>
          <w:rtl/>
          <w:lang w:bidi="ar-SY"/>
        </w:rPr>
        <w:footnoteReference w:id="479"/>
      </w:r>
      <w:r w:rsidR="00776BF9" w:rsidRPr="00873C4C">
        <w:rPr>
          <w:rFonts w:cs="Arabic11 BT"/>
          <w:vertAlign w:val="superscript"/>
          <w:rtl/>
          <w:lang w:bidi="ar-SY"/>
        </w:rPr>
        <w:t>)</w:t>
      </w:r>
      <w:r w:rsidRPr="00495BAB">
        <w:rPr>
          <w:rFonts w:hint="cs"/>
          <w:rtl/>
          <w:lang w:bidi="ar-SY"/>
        </w:rPr>
        <w:t>.</w:t>
      </w:r>
    </w:p>
    <w:p w:rsidR="00CD31AA" w:rsidRPr="00495BAB" w:rsidRDefault="00CD31AA" w:rsidP="00495BAB">
      <w:pPr>
        <w:pStyle w:val="a0"/>
        <w:rPr>
          <w:rFonts w:hint="cs"/>
          <w:rtl/>
          <w:lang w:bidi="ar-SY"/>
        </w:rPr>
      </w:pPr>
      <w:r w:rsidRPr="00495BAB">
        <w:rPr>
          <w:rFonts w:hint="cs"/>
          <w:rtl/>
          <w:lang w:bidi="ar-SY"/>
        </w:rPr>
        <w:t>ثم أورد حديث مؤذّن بني عبس ثم تابع الموضوع قائلاً: «</w:t>
      </w:r>
      <w:r w:rsidRPr="00495BAB">
        <w:rPr>
          <w:rFonts w:hint="cs"/>
          <w:b/>
          <w:bCs/>
          <w:rtl/>
          <w:lang w:bidi="ar-SY"/>
        </w:rPr>
        <w:t>وقد أدرجوا السبعة الأشياء التي فيها الخمس في ذلك</w:t>
      </w:r>
      <w:r w:rsidRPr="00495BAB">
        <w:rPr>
          <w:rFonts w:hint="cs"/>
          <w:rtl/>
          <w:lang w:bidi="ar-SY"/>
        </w:rPr>
        <w:t xml:space="preserve">». ونسب ذلك إلى قول الأصحاب (أي قول علماء الشيعة) دون أن يتدخل هو نفسه في الأمر. ثم أخذ يعدد الأشياء السبعة حتى وصل إلى قوله: </w:t>
      </w:r>
    </w:p>
    <w:p w:rsidR="00CD31AA" w:rsidRPr="00495BAB" w:rsidRDefault="00CD31AA" w:rsidP="00495BAB">
      <w:pPr>
        <w:pStyle w:val="a0"/>
        <w:rPr>
          <w:rFonts w:hint="cs"/>
          <w:rtl/>
          <w:lang w:bidi="ar-SY"/>
        </w:rPr>
      </w:pPr>
      <w:r w:rsidRPr="00495BAB">
        <w:rPr>
          <w:rFonts w:hint="cs"/>
          <w:rtl/>
          <w:lang w:bidi="ar-SY"/>
        </w:rPr>
        <w:t>«</w:t>
      </w:r>
      <w:r w:rsidRPr="00495BAB">
        <w:rPr>
          <w:b/>
          <w:bCs/>
          <w:rtl/>
          <w:lang w:bidi="ar-SY"/>
        </w:rPr>
        <w:t>وزاد الحلبي</w:t>
      </w:r>
      <w:r w:rsidR="000C68EA" w:rsidRPr="000C68EA">
        <w:rPr>
          <w:rStyle w:val="FootnoteReference"/>
          <w:rFonts w:cs="Arabic11 BT"/>
          <w:rtl/>
          <w:lang w:bidi="ar-SY"/>
        </w:rPr>
        <w:t>(</w:t>
      </w:r>
      <w:r w:rsidR="000C68EA" w:rsidRPr="000C68EA">
        <w:rPr>
          <w:rStyle w:val="FootnoteReference"/>
          <w:rFonts w:cs="Arabic11 BT"/>
          <w:rtl/>
          <w:lang w:bidi="ar-SY"/>
        </w:rPr>
        <w:footnoteReference w:id="480"/>
      </w:r>
      <w:r w:rsidR="000C68EA" w:rsidRPr="000C68EA">
        <w:rPr>
          <w:rStyle w:val="FootnoteReference"/>
          <w:rFonts w:cs="Arabic11 BT"/>
          <w:rtl/>
          <w:lang w:bidi="ar-SY"/>
        </w:rPr>
        <w:t>)</w:t>
      </w:r>
      <w:r w:rsidRPr="00495BAB">
        <w:rPr>
          <w:b/>
          <w:bCs/>
          <w:rtl/>
          <w:lang w:bidi="ar-SY"/>
        </w:rPr>
        <w:t xml:space="preserve"> على ذلك</w:t>
      </w:r>
      <w:r w:rsidRPr="00495BAB">
        <w:rPr>
          <w:rFonts w:hint="cs"/>
          <w:b/>
          <w:bCs/>
          <w:rtl/>
          <w:lang w:bidi="ar-SY"/>
        </w:rPr>
        <w:t>:</w:t>
      </w:r>
      <w:r w:rsidRPr="00495BAB">
        <w:rPr>
          <w:b/>
          <w:bCs/>
          <w:rtl/>
          <w:lang w:bidi="ar-SY"/>
        </w:rPr>
        <w:t xml:space="preserve"> الميراث والهديّة والهبة والصدقة، وأضاف الشيخ</w:t>
      </w:r>
      <w:r w:rsidRPr="00495BAB">
        <w:rPr>
          <w:rFonts w:cs="Times New Roman" w:hint="cs"/>
          <w:b/>
          <w:bCs/>
          <w:rtl/>
          <w:lang w:bidi="ar-SY"/>
        </w:rPr>
        <w:t>‌</w:t>
      </w:r>
      <w:r w:rsidRPr="00495BAB">
        <w:rPr>
          <w:b/>
          <w:bCs/>
          <w:rtl/>
          <w:lang w:bidi="ar-SY"/>
        </w:rPr>
        <w:t xml:space="preserve"> </w:t>
      </w:r>
      <w:r w:rsidRPr="00495BAB">
        <w:rPr>
          <w:rFonts w:ascii="mylotus" w:hAnsi="mylotus" w:hint="cs"/>
          <w:b/>
          <w:bCs/>
          <w:rtl/>
          <w:lang w:bidi="ar-SY"/>
        </w:rPr>
        <w:t>العسل</w:t>
      </w:r>
      <w:r w:rsidRPr="00495BAB">
        <w:rPr>
          <w:b/>
          <w:bCs/>
          <w:rtl/>
          <w:lang w:bidi="ar-SY"/>
        </w:rPr>
        <w:t xml:space="preserve"> </w:t>
      </w:r>
      <w:r w:rsidRPr="00495BAB">
        <w:rPr>
          <w:rFonts w:ascii="mylotus" w:hAnsi="mylotus" w:hint="cs"/>
          <w:b/>
          <w:bCs/>
          <w:rtl/>
          <w:lang w:bidi="ar-SY"/>
        </w:rPr>
        <w:t>الجبليّ</w:t>
      </w:r>
      <w:r w:rsidRPr="00495BAB">
        <w:rPr>
          <w:b/>
          <w:bCs/>
          <w:rtl/>
          <w:lang w:bidi="ar-SY"/>
        </w:rPr>
        <w:t xml:space="preserve"> </w:t>
      </w:r>
      <w:r w:rsidRPr="00495BAB">
        <w:rPr>
          <w:rFonts w:ascii="mylotus" w:hAnsi="mylotus" w:hint="cs"/>
          <w:b/>
          <w:bCs/>
          <w:rtl/>
          <w:lang w:bidi="ar-SY"/>
        </w:rPr>
        <w:t>و</w:t>
      </w:r>
      <w:r w:rsidRPr="00495BAB">
        <w:rPr>
          <w:b/>
          <w:bCs/>
          <w:rtl/>
          <w:lang w:bidi="ar-SY"/>
        </w:rPr>
        <w:t xml:space="preserve"> </w:t>
      </w:r>
      <w:r w:rsidRPr="00495BAB">
        <w:rPr>
          <w:rFonts w:ascii="mylotus" w:hAnsi="mylotus" w:hint="cs"/>
          <w:b/>
          <w:bCs/>
          <w:rtl/>
          <w:lang w:bidi="ar-SY"/>
        </w:rPr>
        <w:t>المنّ،</w:t>
      </w:r>
      <w:r w:rsidRPr="00495BAB">
        <w:rPr>
          <w:b/>
          <w:bCs/>
          <w:rtl/>
          <w:lang w:bidi="ar-SY"/>
        </w:rPr>
        <w:t xml:space="preserve"> </w:t>
      </w:r>
      <w:r w:rsidRPr="00495BAB">
        <w:rPr>
          <w:rFonts w:ascii="mylotus" w:hAnsi="mylotus" w:hint="cs"/>
          <w:b/>
          <w:bCs/>
          <w:rtl/>
          <w:lang w:bidi="ar-SY"/>
        </w:rPr>
        <w:t>وأضاف</w:t>
      </w:r>
      <w:r w:rsidRPr="00495BAB">
        <w:rPr>
          <w:b/>
          <w:bCs/>
          <w:rtl/>
          <w:lang w:bidi="ar-SY"/>
        </w:rPr>
        <w:t xml:space="preserve"> </w:t>
      </w:r>
      <w:r w:rsidRPr="00495BAB">
        <w:rPr>
          <w:rFonts w:ascii="mylotus" w:hAnsi="mylotus" w:hint="cs"/>
          <w:b/>
          <w:bCs/>
          <w:rtl/>
          <w:lang w:bidi="ar-SY"/>
        </w:rPr>
        <w:t>الفاضلان</w:t>
      </w:r>
      <w:r w:rsidRPr="00495BAB">
        <w:rPr>
          <w:b/>
          <w:bCs/>
          <w:rtl/>
          <w:lang w:bidi="ar-SY"/>
        </w:rPr>
        <w:t xml:space="preserve"> </w:t>
      </w:r>
      <w:r w:rsidRPr="00495BAB">
        <w:rPr>
          <w:rFonts w:ascii="mylotus" w:hAnsi="mylotus" w:hint="cs"/>
          <w:b/>
          <w:bCs/>
          <w:rtl/>
          <w:lang w:bidi="ar-SY"/>
        </w:rPr>
        <w:t>الصمغ</w:t>
      </w:r>
      <w:r w:rsidRPr="00495BAB">
        <w:rPr>
          <w:b/>
          <w:bCs/>
          <w:rtl/>
          <w:lang w:bidi="ar-SY"/>
        </w:rPr>
        <w:t xml:space="preserve"> </w:t>
      </w:r>
      <w:r w:rsidRPr="00495BAB">
        <w:rPr>
          <w:rFonts w:ascii="mylotus" w:hAnsi="mylotus" w:hint="cs"/>
          <w:b/>
          <w:bCs/>
          <w:rtl/>
          <w:lang w:bidi="ar-SY"/>
        </w:rPr>
        <w:t>و</w:t>
      </w:r>
      <w:r w:rsidRPr="00495BAB">
        <w:rPr>
          <w:b/>
          <w:bCs/>
          <w:rtl/>
          <w:lang w:bidi="ar-SY"/>
        </w:rPr>
        <w:t xml:space="preserve"> </w:t>
      </w:r>
      <w:r w:rsidRPr="00495BAB">
        <w:rPr>
          <w:rFonts w:ascii="mylotus" w:hAnsi="mylotus" w:hint="cs"/>
          <w:b/>
          <w:bCs/>
          <w:rtl/>
          <w:lang w:bidi="ar-SY"/>
        </w:rPr>
        <w:t>شبه</w:t>
      </w:r>
      <w:r w:rsidRPr="00495BAB">
        <w:rPr>
          <w:rFonts w:hint="cs"/>
          <w:rtl/>
          <w:lang w:bidi="ar-SY"/>
        </w:rPr>
        <w:t>ه»،</w:t>
      </w:r>
      <w:r w:rsidR="000C68EA" w:rsidRPr="000C68EA">
        <w:rPr>
          <w:rStyle w:val="FootnoteReference"/>
          <w:rFonts w:cs="Arabic11 BT"/>
          <w:rtl/>
          <w:lang w:bidi="ar-SY"/>
        </w:rPr>
        <w:t>(</w:t>
      </w:r>
      <w:r w:rsidR="000C68EA" w:rsidRPr="000C68EA">
        <w:rPr>
          <w:rStyle w:val="FootnoteReference"/>
          <w:rFonts w:cs="Arabic11 BT"/>
          <w:rtl/>
          <w:lang w:bidi="ar-SY"/>
        </w:rPr>
        <w:footnoteReference w:id="481"/>
      </w:r>
      <w:r w:rsidR="000C68EA" w:rsidRPr="000C68EA">
        <w:rPr>
          <w:rStyle w:val="FootnoteReference"/>
          <w:rFonts w:cs="Arabic11 BT"/>
          <w:rtl/>
          <w:lang w:bidi="ar-SY"/>
        </w:rPr>
        <w:t>)</w:t>
      </w:r>
      <w:r w:rsidRPr="00495BAB">
        <w:rPr>
          <w:rFonts w:hint="cs"/>
          <w:rtl/>
          <w:lang w:bidi="ar-SY"/>
        </w:rPr>
        <w:t xml:space="preserve"> ثم استبعد ذلك قائلاً: «</w:t>
      </w:r>
      <w:r w:rsidRPr="00495BAB">
        <w:rPr>
          <w:b/>
          <w:bCs/>
          <w:rtl/>
          <w:lang w:bidi="ar-SY"/>
        </w:rPr>
        <w:t>والحقّ أنّ استفادة ذلك من ظاهر الآية بعيدة، بل الظاهر منها كون الغنيمة غنيمة دار الحرب، والخبر غير صحيح</w:t>
      </w:r>
      <w:r w:rsidRPr="00495BAB">
        <w:rPr>
          <w:rFonts w:hint="cs"/>
          <w:b/>
          <w:bCs/>
          <w:rtl/>
          <w:lang w:bidi="ar-SY"/>
        </w:rPr>
        <w:t>،</w:t>
      </w:r>
      <w:r w:rsidRPr="00495BAB">
        <w:rPr>
          <w:b/>
          <w:bCs/>
          <w:rtl/>
          <w:lang w:bidi="ar-SY"/>
        </w:rPr>
        <w:t xml:space="preserve"> والأولى حمل الغنيمة في الآية على ذلك</w:t>
      </w:r>
      <w:r w:rsidRPr="00495BAB">
        <w:rPr>
          <w:rFonts w:hint="cs"/>
          <w:b/>
          <w:bCs/>
          <w:rtl/>
          <w:lang w:bidi="ar-SY"/>
        </w:rPr>
        <w:t>،</w:t>
      </w:r>
      <w:r w:rsidRPr="00495BAB">
        <w:rPr>
          <w:b/>
          <w:bCs/>
          <w:rtl/>
          <w:lang w:bidi="ar-SY"/>
        </w:rPr>
        <w:t xml:space="preserve"> وجعل الوجوب في غير الغنيمة من المواضع السبعة ثابتًا بدليلٍ من خارج كالإجماع -إن كان- أو الأخبار، ويبقى ما عدا ذلك على الأصل الدالّ على العدم</w:t>
      </w:r>
      <w:r w:rsidRPr="00495BAB">
        <w:rPr>
          <w:rFonts w:hint="cs"/>
          <w:rtl/>
          <w:lang w:bidi="ar-SY"/>
        </w:rPr>
        <w:t>».</w:t>
      </w:r>
      <w:r w:rsidR="000C68EA" w:rsidRPr="000C68EA">
        <w:rPr>
          <w:rStyle w:val="FootnoteReference"/>
          <w:rFonts w:cs="Arabic11 BT"/>
          <w:rtl/>
          <w:lang w:bidi="ar-SY"/>
        </w:rPr>
        <w:t>(</w:t>
      </w:r>
      <w:r w:rsidR="000C68EA" w:rsidRPr="000C68EA">
        <w:rPr>
          <w:rStyle w:val="FootnoteReference"/>
          <w:rFonts w:cs="Arabic11 BT"/>
          <w:rtl/>
          <w:lang w:bidi="ar-SY"/>
        </w:rPr>
        <w:footnoteReference w:id="482"/>
      </w:r>
      <w:r w:rsidR="000C68EA" w:rsidRPr="000C68EA">
        <w:rPr>
          <w:rStyle w:val="FootnoteReference"/>
          <w:rFonts w:cs="Arabic11 BT"/>
          <w:rtl/>
          <w:lang w:bidi="ar-SY"/>
        </w:rPr>
        <w:t>)</w:t>
      </w:r>
      <w:r w:rsidRPr="00495BAB">
        <w:rPr>
          <w:rFonts w:hint="cs"/>
          <w:rtl/>
          <w:lang w:bidi="ar-SY"/>
        </w:rPr>
        <w:t xml:space="preserve"> </w:t>
      </w:r>
    </w:p>
    <w:p w:rsidR="00CD31AA" w:rsidRPr="00495BAB" w:rsidRDefault="00CD31AA" w:rsidP="00495BAB">
      <w:pPr>
        <w:pStyle w:val="a0"/>
        <w:rPr>
          <w:rFonts w:hint="cs"/>
          <w:rtl/>
          <w:lang w:bidi="ar-SY"/>
        </w:rPr>
      </w:pPr>
      <w:r w:rsidRPr="00495BAB">
        <w:rPr>
          <w:rFonts w:hint="cs"/>
          <w:rtl/>
          <w:lang w:bidi="ar-SY"/>
        </w:rPr>
        <w:t xml:space="preserve">فخلاصة رأي الفاضل الجواد الكاظمي أن علماء الشيعة الذين أرادوا أن يستفيدوا من الآية ما يحقق قصدهم، ابتعدوا كثيرًا في استفادتهم هذه عن ظاهر الآية، لأنه من المعلوم بِنَحْوٍ واضحٍ جدًّا أن المراد من كلمة «الغنيمة» في الآية الكريمة غنيمة دار الحرب، ولو كان مستندهم فيما يذهبون إليهم خبر مؤذن بني عبس، فإن هذا الخبر غير صحيح ولا يمكن الاستناد إليه، فالأَوْلى حملُ الآية على معناها الأصلي ذاته وهو غنيمة دار الحرب، وهذه الأشياء السبعة التي يعتقد علماء الشيعة بوجوب الخمس فيها والتي هي غير الغنيمة، إنما وجب خمسها بدليل خارج عن الآية كالإجماع - إن كان لهذا الإجماع وجود - وإلا فدليلهم هو الأخبار، وما أضافه الحلبي كخمس الميراث والهدية والهبة أو ما أضافه الشيخُ كالعَسَلِ الجَبَلِيِّ وغيره، وما أضافه المحقِّقُ والعلامةُ الحِلِّيُّ كالصمغ وأمثاله، باق على الأصل في الدلالة على عدم الخمس فيه. </w:t>
      </w:r>
    </w:p>
    <w:p w:rsidR="00CD31AA" w:rsidRPr="00495BAB" w:rsidRDefault="00CD31AA" w:rsidP="00495BAB">
      <w:pPr>
        <w:pStyle w:val="a0"/>
        <w:rPr>
          <w:rFonts w:hint="cs"/>
          <w:rtl/>
          <w:lang w:bidi="ar-SY"/>
        </w:rPr>
      </w:pPr>
      <w:r w:rsidRPr="00495BAB">
        <w:rPr>
          <w:rFonts w:hint="cs"/>
          <w:rtl/>
          <w:lang w:bidi="ar-SY"/>
        </w:rPr>
        <w:t>وبصرف النظر عن الفاضل الجواد الذي كان عالمًا جليلاً، فهل يمكن لأي مجنون أن يُلَوِّث مثل تلك العبارة البليغة بمثل تلك المطالب التي جاءت في الصفحة 80؟! وكيف يمكن لمن قال في بداية الموضوع: «</w:t>
      </w:r>
      <w:r w:rsidRPr="00495BAB">
        <w:rPr>
          <w:rFonts w:hint="cs"/>
          <w:b/>
          <w:bCs/>
          <w:rtl/>
          <w:lang w:bidi="ar-SY"/>
        </w:rPr>
        <w:t>ظاهر الغنيمة ما أخذ من دار الحرب، ويؤيده الآيات السابقة واللاحقة، وعلى ذلك حَمَلَهَا أكثر المفسّرين</w:t>
      </w:r>
      <w:r w:rsidRPr="00495BAB">
        <w:rPr>
          <w:rFonts w:hint="cs"/>
          <w:rtl/>
          <w:lang w:bidi="ar-SY"/>
        </w:rPr>
        <w:t>» أن يقول فيما بعد: «</w:t>
      </w:r>
      <w:r w:rsidRPr="00495BAB">
        <w:rPr>
          <w:rFonts w:hint="cs"/>
          <w:b/>
          <w:bCs/>
          <w:rtl/>
          <w:lang w:bidi="ar-SY"/>
        </w:rPr>
        <w:t>إن الغنيمة في اللغة والعرف للفائدة مطلقًا</w:t>
      </w:r>
      <w:r w:rsidRPr="00495BAB">
        <w:rPr>
          <w:rFonts w:hint="cs"/>
          <w:rtl/>
          <w:lang w:bidi="ar-SY"/>
        </w:rPr>
        <w:t xml:space="preserve">»؟! </w:t>
      </w:r>
    </w:p>
    <w:p w:rsidR="00CD31AA" w:rsidRPr="00495BAB" w:rsidRDefault="00CD31AA" w:rsidP="00495BAB">
      <w:pPr>
        <w:pStyle w:val="a0"/>
        <w:rPr>
          <w:rFonts w:hint="cs"/>
          <w:rtl/>
          <w:lang w:bidi="ar-SY"/>
        </w:rPr>
      </w:pPr>
      <w:r w:rsidRPr="00495BAB">
        <w:rPr>
          <w:rFonts w:hint="cs"/>
          <w:rtl/>
          <w:lang w:bidi="ar-SY"/>
        </w:rPr>
        <w:t xml:space="preserve">وأيًّا كان الأمر، فهذه العبارة موجودة في هذا الكتاب وهي في نظرنا خالية من أي إشكال، وتتناسب تمامًا مع مشرب جناب الفاضل الجواد، ولو كانت تلك النسبة إلى الفاضل الجواد، في رأي صاحب الردّ، غير جائزة، وكانت هذه الحاشية -التي هي ترقيع وتشويه- في نظره من كتابة السيد الفاضل الجواد، في حين أننا نحتمل بل نجزم أن أمثال تلك الحواشي قد كَتَبَها أشخاصٌ فضوليون كانوا يرون أن مثل هذه العقائد لا تنسجم مع آرائهم وأهوائهم؛ لاسيّما أنها تُنْسَب إلى كتب لا نظن خيرًا ببعض أصحابها؛ ورغم ذلك فإننا لأجل خاطر هذا السيد صاحب الرد، سنصرف النظر عن الفاضل الجواد. بيد أننا نقول: إن هذا الكتاب هو من تأليف أحد علماء الشيعة، ولا فرق بأن يكون هو الفاضل الجواد أو شخصًا آخر! وما نقوله هو أنّ بين علماء الشيعة أشخاصًا يمكنهم أن لا يقعوا تحت تأثير التعصُّب بل يقولوا كلمة الحق. وعلى أي حال فليس في هذا النقد أي شيء مهم لصالح صاحب الرد، ولا داعي أن يفضح نفسه به دونما فائدة. </w:t>
      </w:r>
    </w:p>
    <w:p w:rsidR="00CD31AA" w:rsidRPr="00495BAB" w:rsidRDefault="00CD31AA" w:rsidP="00495BAB">
      <w:pPr>
        <w:pStyle w:val="a0"/>
        <w:rPr>
          <w:rFonts w:hint="cs"/>
          <w:rtl/>
          <w:lang w:bidi="ar-SY"/>
        </w:rPr>
      </w:pPr>
      <w:r w:rsidRPr="00495BAB">
        <w:rPr>
          <w:rFonts w:hint="cs"/>
          <w:rtl/>
          <w:lang w:bidi="ar-SY"/>
        </w:rPr>
        <w:t>وأما ما نقله المجلسي في «</w:t>
      </w:r>
      <w:r w:rsidRPr="00495BAB">
        <w:rPr>
          <w:rFonts w:hint="cs"/>
          <w:b/>
          <w:bCs/>
          <w:rtl/>
          <w:lang w:bidi="ar-SY"/>
        </w:rPr>
        <w:t>مرآة العقول</w:t>
      </w:r>
      <w:r w:rsidRPr="00495BAB">
        <w:rPr>
          <w:rFonts w:hint="cs"/>
          <w:rtl/>
          <w:lang w:bidi="ar-SY"/>
        </w:rPr>
        <w:t>» عن المقدس الأردبيلي فهو العبارة ذاتها التي أوردناها عنه آنفًا.</w:t>
      </w:r>
    </w:p>
    <w:p w:rsidR="00CD31AA" w:rsidRPr="00495BAB" w:rsidRDefault="00CD31AA" w:rsidP="00495BAB">
      <w:pPr>
        <w:pStyle w:val="a0"/>
        <w:rPr>
          <w:rFonts w:hint="cs"/>
          <w:rtl/>
          <w:lang w:bidi="ar-SY"/>
        </w:rPr>
      </w:pPr>
      <w:r w:rsidRPr="00495BAB">
        <w:rPr>
          <w:rFonts w:hint="cs"/>
          <w:rtl/>
          <w:lang w:bidi="ar-SY"/>
        </w:rPr>
        <w:t>ثم كتب صاحب الردّ يقول: «</w:t>
      </w:r>
      <w:r w:rsidRPr="00995B26">
        <w:rPr>
          <w:rFonts w:cs="Akhbar MT" w:hint="cs"/>
          <w:szCs w:val="30"/>
          <w:rtl/>
          <w:lang w:bidi="ar-SY"/>
        </w:rPr>
        <w:t xml:space="preserve">أما استناده إلى كلام صاحب </w:t>
      </w:r>
      <w:r w:rsidRPr="00995B26">
        <w:rPr>
          <w:rFonts w:cs="Akhbar MT" w:hint="cs"/>
          <w:b/>
          <w:bCs/>
          <w:szCs w:val="30"/>
          <w:rtl/>
          <w:lang w:bidi="ar-SY"/>
        </w:rPr>
        <w:t>القاموس</w:t>
      </w:r>
      <w:r w:rsidRPr="00995B26">
        <w:rPr>
          <w:rFonts w:cs="Akhbar MT" w:hint="cs"/>
          <w:szCs w:val="30"/>
          <w:rtl/>
          <w:lang w:bidi="ar-SY"/>
        </w:rPr>
        <w:t xml:space="preserve"> فنقول في الرد عليه: أولًا المعنى الذي جاء في </w:t>
      </w:r>
      <w:r w:rsidRPr="00995B26">
        <w:rPr>
          <w:rFonts w:cs="Akhbar MT" w:hint="cs"/>
          <w:b/>
          <w:bCs/>
          <w:szCs w:val="30"/>
          <w:rtl/>
          <w:lang w:bidi="ar-SY"/>
        </w:rPr>
        <w:t>القاموس</w:t>
      </w:r>
      <w:r w:rsidRPr="00995B26">
        <w:rPr>
          <w:rFonts w:cs="Akhbar MT" w:hint="cs"/>
          <w:szCs w:val="30"/>
          <w:rtl/>
          <w:lang w:bidi="ar-SY"/>
        </w:rPr>
        <w:t xml:space="preserve"> لكلمة الغنيمة هو: (الفوز بالشيء بلا مشقة)، فإن لم يصدق ذلك على أرباح المكاسب لن يصدق أيضًا على غنيمة دار الحرب، لأن غنيمة دار الحرب أيضًا لا تُنَال دون مشقة، بل المشقة في الحصول عليها أكثر من المشقة في الحصول على أرباح المكاسب</w:t>
      </w:r>
      <w:r w:rsidRPr="00495BAB">
        <w:rPr>
          <w:rFonts w:hint="cs"/>
          <w:rtl/>
          <w:lang w:bidi="ar-SY"/>
        </w:rPr>
        <w:t>».</w:t>
      </w:r>
    </w:p>
    <w:p w:rsidR="00CD31AA" w:rsidRPr="00495BAB" w:rsidRDefault="00CD31AA" w:rsidP="00495BAB">
      <w:pPr>
        <w:pStyle w:val="a0"/>
        <w:rPr>
          <w:rFonts w:hint="cs"/>
          <w:rtl/>
          <w:lang w:bidi="ar-SY"/>
        </w:rPr>
      </w:pPr>
      <w:r w:rsidRPr="00495BAB">
        <w:rPr>
          <w:rFonts w:hint="cs"/>
          <w:rtl/>
          <w:lang w:bidi="ar-SY"/>
        </w:rPr>
        <w:t>حقًّا إن الإنسان ليعجب أي أشخاص يُقْدِمون على الكتابة وأي عقولٍ وراء هذه الكتابات؟! إن هذا السيد الطالب للعلوم الدينية، رغم أنه قد اعتبر نفسه في هذه الرسالة المختصرة «أقلّ طلاب العلوم الدينية شأنًا»، وأراد بهذه الجملة أن يفهمنا أن هناك علماء كثيرين أكبر منه وأعظم منه شأنًا! ولكنه في الوقت ذاته اعتبر نفسه منافسًا لعالم كبير جليل كالمرحوم صالحي نجف آبادي مؤلف كتاب «الشهيد الخالد»، إذ ألَّف رسالةً في الرد عليه؛ إلا أنه رغم كل هذه الادعاءات لا يعلم أن الغنائم الحربية رغم أنه من الممكن أن ينالها المجاهدون أحياناً بمشقة وصعوبة، لكن هذه المشقة ليست أبدًا لأجل الحصول على الغنيمة، بل الهدف الأصلي والقصد الأساسي من ذلك الجُهْد والجهاد هو إبلاغ رسالة الإسلام ونشر كلمة التوحيد، والمسلمون المجاهدون عندما كانوا ينوون الحرب والجهاد كانوا يريدون أن يتقرّبوا بذلك إلى الله عَزَّ وَجَلَّ. ولو قصد المجاهد من عمله هذا الحصول على الغنيمة فقط فلن يكون له أي فضل على الكافر الذي يحاربه، وليس هذا فحسب بل سيكون وثنيًّا أسوأ منه لأنه انطلق إلى الحرب والقتل والقتال لا لشيء سوى الحصول على المال والمنال! فإنْ نال المجاهد في المعركة الشهادةَ فبها ونعمت، وإنْ حصل أحيانًا على شيء من الغنائم فإنَّ هذا المال قد أتى إليه دون مشقة بل دون قصد للحصول عليه، فتشمله إذًا عبارة (الفوز بالشيء بلا مشقة). ولكن لا عجب من كلام صاحب الرد؛ إذْ كيف يمكن لمن ينظر إلى جميع الأمور نظرةً ماديّةً أن يفهم هذه الحقيقة وهي أنه مهما تَكُنْ مشَقَّةُ الحرب وما يبذل فيها من جهدٍ، كبيرًا أم قليلاً، فإنها هذه المشقة لم تقع لأجل الغنيمة بل طلبًا لرضا الله.</w:t>
      </w:r>
    </w:p>
    <w:p w:rsidR="00CD31AA" w:rsidRPr="00495BAB" w:rsidRDefault="00CD31AA" w:rsidP="00495BAB">
      <w:pPr>
        <w:pStyle w:val="a0"/>
        <w:rPr>
          <w:rFonts w:hint="cs"/>
          <w:rtl/>
          <w:lang w:bidi="ar-SY"/>
        </w:rPr>
      </w:pPr>
      <w:r w:rsidRPr="00495BAB">
        <w:rPr>
          <w:rFonts w:hint="cs"/>
          <w:rtl/>
          <w:lang w:bidi="ar-SY"/>
        </w:rPr>
        <w:t>وتابع صاحب الردّ كلامه قائلاً: «</w:t>
      </w:r>
      <w:r w:rsidRPr="00995B26">
        <w:rPr>
          <w:rFonts w:cs="Akhbar MT" w:hint="cs"/>
          <w:szCs w:val="30"/>
          <w:rtl/>
          <w:lang w:bidi="ar-SY"/>
        </w:rPr>
        <w:t xml:space="preserve">وثانيًا: يكفي لإفهام المؤلف بأن كلام صاحب </w:t>
      </w:r>
      <w:r w:rsidRPr="00995B26">
        <w:rPr>
          <w:rFonts w:cs="Akhbar MT" w:hint="cs"/>
          <w:b/>
          <w:bCs/>
          <w:szCs w:val="30"/>
          <w:rtl/>
          <w:lang w:bidi="ar-SY"/>
        </w:rPr>
        <w:t>القاموس</w:t>
      </w:r>
      <w:r w:rsidRPr="00995B26">
        <w:rPr>
          <w:rFonts w:cs="Akhbar MT" w:hint="cs"/>
          <w:szCs w:val="30"/>
          <w:rtl/>
          <w:lang w:bidi="ar-SY"/>
        </w:rPr>
        <w:t xml:space="preserve"> ليس وحيًا منزلاً ولا كلامًا معصومًا لا يمكن رده، أن نأتي بعبارة </w:t>
      </w:r>
      <w:r w:rsidRPr="00995B26">
        <w:rPr>
          <w:rFonts w:cs="Akhbar MT" w:hint="cs"/>
          <w:b/>
          <w:bCs/>
          <w:szCs w:val="30"/>
          <w:rtl/>
          <w:lang w:bidi="ar-SY"/>
        </w:rPr>
        <w:t>تفسير المنار</w:t>
      </w:r>
      <w:r w:rsidRPr="00495BAB">
        <w:rPr>
          <w:rFonts w:hint="cs"/>
          <w:rtl/>
          <w:lang w:bidi="ar-SY"/>
        </w:rPr>
        <w:t xml:space="preserve">». </w:t>
      </w:r>
    </w:p>
    <w:p w:rsidR="00CD31AA" w:rsidRPr="00495BAB" w:rsidRDefault="00CD31AA" w:rsidP="00495BAB">
      <w:pPr>
        <w:pStyle w:val="a0"/>
        <w:rPr>
          <w:rFonts w:hint="cs"/>
          <w:rtl/>
          <w:lang w:bidi="ar-SY"/>
        </w:rPr>
      </w:pPr>
      <w:r w:rsidRPr="00495BAB">
        <w:rPr>
          <w:rFonts w:hint="cs"/>
          <w:rtl/>
          <w:lang w:bidi="ar-SY"/>
        </w:rPr>
        <w:t xml:space="preserve">وأقول في الجواب عن كلامه: نعم، كلام صاحب </w:t>
      </w:r>
      <w:r w:rsidRPr="00495BAB">
        <w:rPr>
          <w:rFonts w:hint="cs"/>
          <w:b/>
          <w:bCs/>
          <w:rtl/>
          <w:lang w:bidi="ar-SY"/>
        </w:rPr>
        <w:t>القاموس</w:t>
      </w:r>
      <w:r w:rsidRPr="00495BAB">
        <w:rPr>
          <w:rFonts w:hint="cs"/>
          <w:rtl/>
          <w:lang w:bidi="ar-SY"/>
        </w:rPr>
        <w:t xml:space="preserve"> ليس وحياً منزلاً ونحن لا نحتاج لوحي منزل لمعرفة المعنى اللغوي للفظة من الألفاظ، لأن اللغة كانت موجودة قبل نزول الوحيِ، والوحيُ نزل بهذه اللغة الموجودة فعلاً، فإن كان يعتقد أننا يجب أن نرجع في فهم اللغة إلى قاموس منزل من السماء وليس إلى كتاب «</w:t>
      </w:r>
      <w:r w:rsidRPr="00495BAB">
        <w:rPr>
          <w:rFonts w:hint="cs"/>
          <w:b/>
          <w:bCs/>
          <w:rtl/>
          <w:lang w:bidi="ar-SY"/>
        </w:rPr>
        <w:t>القاموس</w:t>
      </w:r>
      <w:r w:rsidRPr="00495BAB">
        <w:rPr>
          <w:rFonts w:hint="cs"/>
          <w:rtl/>
          <w:lang w:bidi="ar-SY"/>
        </w:rPr>
        <w:t>»، فنرجوه أن يرشدنا إلى ذلك القاموس السماوي كي لا نقع مرة أخرى في مثل هذا الخطأ ولا نرجع في فهم المعنى اللغوي لكلمة من الكلمات إلى كتاب «</w:t>
      </w:r>
      <w:r w:rsidRPr="00495BAB">
        <w:rPr>
          <w:rFonts w:hint="cs"/>
          <w:b/>
          <w:bCs/>
          <w:rtl/>
          <w:lang w:bidi="ar-SY"/>
        </w:rPr>
        <w:t>القاموس</w:t>
      </w:r>
      <w:r w:rsidRPr="00495BAB">
        <w:rPr>
          <w:rFonts w:hint="cs"/>
          <w:rtl/>
          <w:lang w:bidi="ar-SY"/>
        </w:rPr>
        <w:t>» وأمثاله!!</w:t>
      </w:r>
    </w:p>
    <w:p w:rsidR="00CD31AA" w:rsidRPr="00495BAB" w:rsidRDefault="00CD31AA" w:rsidP="00495BAB">
      <w:pPr>
        <w:pStyle w:val="a0"/>
        <w:rPr>
          <w:rFonts w:hint="cs"/>
          <w:rtl/>
          <w:lang w:bidi="ar-SY"/>
        </w:rPr>
      </w:pPr>
      <w:r w:rsidRPr="00495BAB">
        <w:rPr>
          <w:rFonts w:hint="cs"/>
          <w:rtl/>
          <w:lang w:bidi="ar-SY"/>
        </w:rPr>
        <w:t xml:space="preserve">أما عن محاولة صاحب الرد أن يصرفنا عن كتاب </w:t>
      </w:r>
      <w:r w:rsidRPr="00495BAB">
        <w:rPr>
          <w:rFonts w:hint="cs"/>
          <w:b/>
          <w:bCs/>
          <w:rtl/>
          <w:lang w:bidi="ar-SY"/>
        </w:rPr>
        <w:t>القاموس</w:t>
      </w:r>
      <w:r w:rsidRPr="00495BAB">
        <w:rPr>
          <w:rFonts w:hint="cs"/>
          <w:rtl/>
          <w:lang w:bidi="ar-SY"/>
        </w:rPr>
        <w:t xml:space="preserve"> وأن يحيلنا - لأجل فهم المعنى الصحيح لكلمة «الغنيمة»- إلى «</w:t>
      </w:r>
      <w:r w:rsidRPr="00495BAB">
        <w:rPr>
          <w:rFonts w:hint="cs"/>
          <w:b/>
          <w:bCs/>
          <w:rtl/>
          <w:lang w:bidi="ar-SY"/>
        </w:rPr>
        <w:t>تفسير المنار</w:t>
      </w:r>
      <w:r w:rsidRPr="00495BAB">
        <w:rPr>
          <w:rFonts w:hint="cs"/>
          <w:rtl/>
          <w:lang w:bidi="ar-SY"/>
        </w:rPr>
        <w:t xml:space="preserve">»، فينبغي أن نقول متأسفين، إن فهم كلمة «الغنيمة» التي جاءت في آيات القرآن الكريم لا يحتاج إلى كل هذا الجهد ولا إلى انتظار ألف وأربعمائة سنة حتى يأتي صاحب </w:t>
      </w:r>
      <w:r w:rsidRPr="00495BAB">
        <w:rPr>
          <w:rFonts w:hint="cs"/>
          <w:b/>
          <w:bCs/>
          <w:rtl/>
          <w:lang w:bidi="ar-SY"/>
        </w:rPr>
        <w:t>تفسير المنار</w:t>
      </w:r>
      <w:r w:rsidRPr="00495BAB">
        <w:rPr>
          <w:rFonts w:hint="cs"/>
          <w:rtl/>
          <w:lang w:bidi="ar-SY"/>
        </w:rPr>
        <w:t xml:space="preserve"> فيفسرها لنا! ثم إن </w:t>
      </w:r>
      <w:r w:rsidRPr="00495BAB">
        <w:rPr>
          <w:rFonts w:hint="cs"/>
          <w:b/>
          <w:bCs/>
          <w:rtl/>
          <w:lang w:bidi="ar-SY"/>
        </w:rPr>
        <w:t>المنار</w:t>
      </w:r>
      <w:r w:rsidRPr="00495BAB">
        <w:rPr>
          <w:rFonts w:hint="cs"/>
          <w:rtl/>
          <w:lang w:bidi="ar-SY"/>
        </w:rPr>
        <w:t xml:space="preserve"> كتاب تفسير وليس قاموس لغة! والآن لننظر أي تفسير ذكره كتاب </w:t>
      </w:r>
      <w:r w:rsidRPr="00495BAB">
        <w:rPr>
          <w:rFonts w:hint="cs"/>
          <w:b/>
          <w:bCs/>
          <w:rtl/>
          <w:lang w:bidi="ar-SY"/>
        </w:rPr>
        <w:t>المنار</w:t>
      </w:r>
      <w:r w:rsidRPr="00495BAB">
        <w:rPr>
          <w:rFonts w:hint="cs"/>
          <w:rtl/>
          <w:lang w:bidi="ar-SY"/>
        </w:rPr>
        <w:t xml:space="preserve"> لكلمة «الغنيمة» مما أعجب كاتب النقد ورأى فيه حربة يمكنه استخدامها ضدنا؟! لقد كتب يقول:</w:t>
      </w:r>
    </w:p>
    <w:p w:rsidR="00CD31AA" w:rsidRPr="00495BAB" w:rsidRDefault="00CD31AA" w:rsidP="00495BAB">
      <w:pPr>
        <w:pStyle w:val="a0"/>
        <w:rPr>
          <w:rFonts w:hint="cs"/>
          <w:rtl/>
          <w:lang w:bidi="ar-SY"/>
        </w:rPr>
      </w:pPr>
      <w:r w:rsidRPr="00495BAB">
        <w:rPr>
          <w:rFonts w:hint="cs"/>
          <w:rtl/>
          <w:lang w:bidi="ar-SY"/>
        </w:rPr>
        <w:t>«</w:t>
      </w:r>
      <w:r w:rsidRPr="00995B26">
        <w:rPr>
          <w:rFonts w:cs="Akhbar MT" w:hint="cs"/>
          <w:szCs w:val="30"/>
          <w:rtl/>
          <w:lang w:bidi="ar-SY"/>
        </w:rPr>
        <w:t xml:space="preserve">في هذا التفسير، بعد أن نقل مؤلفه (رشيد رضا) قول صاحب </w:t>
      </w:r>
      <w:r w:rsidRPr="00995B26">
        <w:rPr>
          <w:rFonts w:cs="Akhbar MT" w:hint="cs"/>
          <w:b/>
          <w:bCs/>
          <w:szCs w:val="30"/>
          <w:rtl/>
          <w:lang w:bidi="ar-SY"/>
        </w:rPr>
        <w:t>القاموس</w:t>
      </w:r>
      <w:r w:rsidRPr="00995B26">
        <w:rPr>
          <w:rFonts w:cs="Akhbar MT" w:hint="cs"/>
          <w:szCs w:val="30"/>
          <w:rtl/>
          <w:lang w:bidi="ar-SY"/>
        </w:rPr>
        <w:t xml:space="preserve"> كتب قائلاً: كذا في </w:t>
      </w:r>
      <w:r w:rsidRPr="00995B26">
        <w:rPr>
          <w:rFonts w:cs="Akhbar MT" w:hint="cs"/>
          <w:b/>
          <w:bCs/>
          <w:szCs w:val="30"/>
          <w:rtl/>
          <w:lang w:bidi="ar-SY"/>
        </w:rPr>
        <w:t>القاموس</w:t>
      </w:r>
      <w:r w:rsidRPr="00995B26">
        <w:rPr>
          <w:rFonts w:cs="Akhbar MT" w:hint="cs"/>
          <w:szCs w:val="30"/>
          <w:rtl/>
          <w:lang w:bidi="ar-SY"/>
        </w:rPr>
        <w:t xml:space="preserve"> لكنه غير دقيق، فالمتبادر من الاستعمال أن الغنيمة والغنمة ما يناله الإنسان ويظفر به من غير مقابل مادي يبذله في سبيله كالمال في التجارة</w:t>
      </w:r>
      <w:r w:rsidRPr="00495BAB">
        <w:rPr>
          <w:rFonts w:hint="cs"/>
          <w:rtl/>
          <w:lang w:bidi="ar-SY"/>
        </w:rPr>
        <w:t xml:space="preserve">». </w:t>
      </w:r>
    </w:p>
    <w:p w:rsidR="00CD31AA" w:rsidRPr="00495BAB" w:rsidRDefault="00CD31AA" w:rsidP="00495BAB">
      <w:pPr>
        <w:pStyle w:val="a0"/>
        <w:rPr>
          <w:rFonts w:hint="cs"/>
          <w:rtl/>
          <w:lang w:bidi="ar-SY"/>
        </w:rPr>
      </w:pPr>
      <w:r w:rsidRPr="00495BAB">
        <w:rPr>
          <w:rFonts w:hint="cs"/>
          <w:rtl/>
          <w:lang w:bidi="ar-SY"/>
        </w:rPr>
        <w:t xml:space="preserve">لحسن الحظ أو لسوئه، فإن المعنى الذي ذكره صاحب </w:t>
      </w:r>
      <w:r w:rsidRPr="00495BAB">
        <w:rPr>
          <w:rFonts w:hint="cs"/>
          <w:b/>
          <w:bCs/>
          <w:rtl/>
          <w:lang w:bidi="ar-SY"/>
        </w:rPr>
        <w:t>المنار</w:t>
      </w:r>
      <w:r w:rsidRPr="00495BAB">
        <w:rPr>
          <w:rFonts w:hint="cs"/>
          <w:rtl/>
          <w:lang w:bidi="ar-SY"/>
        </w:rPr>
        <w:t xml:space="preserve"> ليس سوى (الفوز بالشيء بلا مشقة)، لأنه يقول إن الغنيمة أو الغنم هو ما يحصل عليه الإنسان ويناله دون أن يصرف أي رأس مال مقابل الحصول عليه، على عكس المال الذي يحصل عليه الإنسان بالتجارة ويصرف رأس المال لأجل الحصول عليه! فهذا أيضًا انتقاد في غير محله وغير صحيح.</w:t>
      </w:r>
    </w:p>
    <w:p w:rsidR="00CD31AA" w:rsidRPr="00495BAB" w:rsidRDefault="00CD31AA" w:rsidP="00495BAB">
      <w:pPr>
        <w:pStyle w:val="a0"/>
        <w:rPr>
          <w:rFonts w:hint="cs"/>
          <w:rtl/>
          <w:lang w:bidi="ar-SY"/>
        </w:rPr>
      </w:pPr>
      <w:r w:rsidRPr="00495BAB">
        <w:rPr>
          <w:rFonts w:hint="cs"/>
          <w:rtl/>
          <w:lang w:bidi="ar-SY"/>
        </w:rPr>
        <w:t>ويتابع السيد «استادي» صاحب الرد كلامه قائلاً: «</w:t>
      </w:r>
      <w:r w:rsidRPr="00995B26">
        <w:rPr>
          <w:rFonts w:cs="Akhbar MT" w:hint="cs"/>
          <w:szCs w:val="30"/>
          <w:rtl/>
          <w:lang w:bidi="ar-SY"/>
        </w:rPr>
        <w:t>وأما قوله إن الغنيمة جاءت في آيات القرآن المجيد بمعنى غنيمة دار الحرب فقط، كما جاء ذلك في الآية 69 من سورة الأنفال مثلاً أو الآية 15 من سورة الفتح أو الآية 94 من سورة النساء، فإنه لحسن الحظ أو لسوء الحظ قد أخطأ في هذا الكلام أيضاً لأن الغنيمة في الآية 94 من النساء التي تقول</w:t>
      </w:r>
      <w:r w:rsidR="006633B5" w:rsidRPr="00995B26">
        <w:rPr>
          <w:rFonts w:cs="Akhbar MT" w:hint="cs"/>
          <w:szCs w:val="30"/>
          <w:rtl/>
          <w:lang w:bidi="ar-SY"/>
        </w:rPr>
        <w:t xml:space="preserve"> </w:t>
      </w:r>
      <w:r w:rsidR="006633B5" w:rsidRPr="00995B26">
        <w:rPr>
          <w:rFonts w:cs="Traditional Arabic" w:hint="cs"/>
          <w:szCs w:val="30"/>
          <w:rtl/>
          <w:lang w:bidi="ar-SY"/>
        </w:rPr>
        <w:t>﴿</w:t>
      </w:r>
      <w:r w:rsidR="006633B5" w:rsidRPr="00995B26">
        <w:rPr>
          <w:rFonts w:ascii="KFGQPC Uthmanic Script HAFS" w:cs="KFGQPC Uthmanic Script HAFS" w:hint="eastAsia"/>
          <w:sz w:val="29"/>
          <w:szCs w:val="29"/>
          <w:rtl/>
        </w:rPr>
        <w:t>يَ</w:t>
      </w:r>
      <w:r w:rsidR="006633B5" w:rsidRPr="00995B26">
        <w:rPr>
          <w:rFonts w:ascii="KFGQPC Uthmanic Script HAFS" w:cs="KFGQPC Uthmanic Script HAFS" w:hint="cs"/>
          <w:sz w:val="29"/>
          <w:szCs w:val="29"/>
          <w:rtl/>
        </w:rPr>
        <w:t>ٰٓ</w:t>
      </w:r>
      <w:r w:rsidR="006633B5" w:rsidRPr="00995B26">
        <w:rPr>
          <w:rFonts w:ascii="KFGQPC Uthmanic Script HAFS" w:cs="KFGQPC Uthmanic Script HAFS" w:hint="eastAsia"/>
          <w:sz w:val="29"/>
          <w:szCs w:val="29"/>
          <w:rtl/>
        </w:rPr>
        <w:t>أَيُّهَا</w:t>
      </w:r>
      <w:r w:rsidR="006633B5" w:rsidRPr="00995B26">
        <w:rPr>
          <w:rFonts w:ascii="KFGQPC Uthmanic Script HAFS" w:cs="KFGQPC Uthmanic Script HAFS"/>
          <w:sz w:val="29"/>
          <w:szCs w:val="29"/>
          <w:rtl/>
        </w:rPr>
        <w:t xml:space="preserve"> </w:t>
      </w:r>
      <w:r w:rsidR="006633B5" w:rsidRPr="00995B26">
        <w:rPr>
          <w:rFonts w:ascii="KFGQPC Uthmanic Script HAFS" w:cs="KFGQPC Uthmanic Script HAFS" w:hint="cs"/>
          <w:sz w:val="29"/>
          <w:szCs w:val="29"/>
          <w:rtl/>
        </w:rPr>
        <w:t>ٱ</w:t>
      </w:r>
      <w:r w:rsidR="006633B5" w:rsidRPr="00995B26">
        <w:rPr>
          <w:rFonts w:ascii="KFGQPC Uthmanic Script HAFS" w:cs="KFGQPC Uthmanic Script HAFS" w:hint="eastAsia"/>
          <w:sz w:val="29"/>
          <w:szCs w:val="29"/>
          <w:rtl/>
        </w:rPr>
        <w:t>لَّذِينَ</w:t>
      </w:r>
      <w:r w:rsidR="006633B5" w:rsidRPr="00995B26">
        <w:rPr>
          <w:rFonts w:ascii="KFGQPC Uthmanic Script HAFS" w:cs="KFGQPC Uthmanic Script HAFS"/>
          <w:sz w:val="29"/>
          <w:szCs w:val="29"/>
          <w:rtl/>
        </w:rPr>
        <w:t xml:space="preserve"> </w:t>
      </w:r>
      <w:r w:rsidR="006633B5" w:rsidRPr="00995B26">
        <w:rPr>
          <w:rFonts w:ascii="KFGQPC Uthmanic Script HAFS" w:cs="KFGQPC Uthmanic Script HAFS" w:hint="eastAsia"/>
          <w:sz w:val="29"/>
          <w:szCs w:val="29"/>
          <w:rtl/>
        </w:rPr>
        <w:t>ءَامَنُو</w:t>
      </w:r>
      <w:r w:rsidR="006633B5" w:rsidRPr="00995B26">
        <w:rPr>
          <w:rFonts w:ascii="KFGQPC Uthmanic Script HAFS" w:cs="KFGQPC Uthmanic Script HAFS" w:hint="cs"/>
          <w:sz w:val="29"/>
          <w:szCs w:val="29"/>
          <w:rtl/>
        </w:rPr>
        <w:t>ٓ</w:t>
      </w:r>
      <w:r w:rsidR="006633B5" w:rsidRPr="00995B26">
        <w:rPr>
          <w:rFonts w:ascii="KFGQPC Uthmanic Script HAFS" w:cs="KFGQPC Uthmanic Script HAFS" w:hint="eastAsia"/>
          <w:sz w:val="29"/>
          <w:szCs w:val="29"/>
          <w:rtl/>
        </w:rPr>
        <w:t>اْ</w:t>
      </w:r>
      <w:r w:rsidR="006633B5" w:rsidRPr="00995B26">
        <w:rPr>
          <w:rFonts w:ascii="KFGQPC Uthmanic Script HAFS" w:cs="KFGQPC Uthmanic Script HAFS"/>
          <w:sz w:val="29"/>
          <w:szCs w:val="29"/>
          <w:rtl/>
        </w:rPr>
        <w:t xml:space="preserve"> </w:t>
      </w:r>
      <w:r w:rsidR="006633B5" w:rsidRPr="00995B26">
        <w:rPr>
          <w:rFonts w:ascii="KFGQPC Uthmanic Script HAFS" w:cs="KFGQPC Uthmanic Script HAFS" w:hint="eastAsia"/>
          <w:sz w:val="29"/>
          <w:szCs w:val="29"/>
          <w:rtl/>
        </w:rPr>
        <w:t>إِذَا</w:t>
      </w:r>
      <w:r w:rsidR="006633B5" w:rsidRPr="00995B26">
        <w:rPr>
          <w:rFonts w:ascii="KFGQPC Uthmanic Script HAFS" w:cs="KFGQPC Uthmanic Script HAFS"/>
          <w:sz w:val="29"/>
          <w:szCs w:val="29"/>
          <w:rtl/>
        </w:rPr>
        <w:t xml:space="preserve"> </w:t>
      </w:r>
      <w:r w:rsidR="006633B5" w:rsidRPr="00995B26">
        <w:rPr>
          <w:rFonts w:ascii="KFGQPC Uthmanic Script HAFS" w:cs="KFGQPC Uthmanic Script HAFS" w:hint="eastAsia"/>
          <w:sz w:val="29"/>
          <w:szCs w:val="29"/>
          <w:rtl/>
        </w:rPr>
        <w:t>ضَرَب</w:t>
      </w:r>
      <w:r w:rsidR="006633B5" w:rsidRPr="00995B26">
        <w:rPr>
          <w:rFonts w:ascii="KFGQPC Uthmanic Script HAFS" w:cs="KFGQPC Uthmanic Script HAFS" w:hint="cs"/>
          <w:sz w:val="29"/>
          <w:szCs w:val="29"/>
          <w:rtl/>
        </w:rPr>
        <w:t>ۡ</w:t>
      </w:r>
      <w:r w:rsidR="006633B5" w:rsidRPr="00995B26">
        <w:rPr>
          <w:rFonts w:ascii="KFGQPC Uthmanic Script HAFS" w:cs="KFGQPC Uthmanic Script HAFS" w:hint="eastAsia"/>
          <w:sz w:val="29"/>
          <w:szCs w:val="29"/>
          <w:rtl/>
        </w:rPr>
        <w:t>تُم</w:t>
      </w:r>
      <w:r w:rsidR="006633B5" w:rsidRPr="00995B26">
        <w:rPr>
          <w:rFonts w:ascii="KFGQPC Uthmanic Script HAFS" w:cs="KFGQPC Uthmanic Script HAFS" w:hint="cs"/>
          <w:sz w:val="29"/>
          <w:szCs w:val="29"/>
          <w:rtl/>
        </w:rPr>
        <w:t>ۡ</w:t>
      </w:r>
      <w:r w:rsidR="006633B5" w:rsidRPr="00995B26">
        <w:rPr>
          <w:rFonts w:ascii="KFGQPC Uthmanic Script HAFS" w:cs="KFGQPC Uthmanic Script HAFS"/>
          <w:sz w:val="29"/>
          <w:szCs w:val="29"/>
          <w:rtl/>
        </w:rPr>
        <w:t xml:space="preserve"> </w:t>
      </w:r>
      <w:r w:rsidR="006633B5" w:rsidRPr="00995B26">
        <w:rPr>
          <w:rFonts w:ascii="KFGQPC Uthmanic Script HAFS" w:cs="KFGQPC Uthmanic Script HAFS" w:hint="eastAsia"/>
          <w:sz w:val="29"/>
          <w:szCs w:val="29"/>
          <w:rtl/>
        </w:rPr>
        <w:t>فِي</w:t>
      </w:r>
      <w:r w:rsidR="006633B5" w:rsidRPr="00995B26">
        <w:rPr>
          <w:rFonts w:ascii="KFGQPC Uthmanic Script HAFS" w:cs="KFGQPC Uthmanic Script HAFS"/>
          <w:sz w:val="29"/>
          <w:szCs w:val="29"/>
          <w:rtl/>
        </w:rPr>
        <w:t xml:space="preserve"> </w:t>
      </w:r>
      <w:r w:rsidR="006633B5" w:rsidRPr="00995B26">
        <w:rPr>
          <w:rFonts w:ascii="KFGQPC Uthmanic Script HAFS" w:cs="KFGQPC Uthmanic Script HAFS" w:hint="eastAsia"/>
          <w:sz w:val="29"/>
          <w:szCs w:val="29"/>
          <w:rtl/>
        </w:rPr>
        <w:t>سَبِيلِ</w:t>
      </w:r>
      <w:r w:rsidR="006633B5" w:rsidRPr="00995B26">
        <w:rPr>
          <w:rFonts w:ascii="KFGQPC Uthmanic Script HAFS" w:cs="KFGQPC Uthmanic Script HAFS"/>
          <w:sz w:val="29"/>
          <w:szCs w:val="29"/>
          <w:rtl/>
        </w:rPr>
        <w:t xml:space="preserve"> </w:t>
      </w:r>
      <w:r w:rsidR="006633B5" w:rsidRPr="00995B26">
        <w:rPr>
          <w:rFonts w:ascii="KFGQPC Uthmanic Script HAFS" w:cs="KFGQPC Uthmanic Script HAFS" w:hint="cs"/>
          <w:sz w:val="29"/>
          <w:szCs w:val="29"/>
          <w:rtl/>
        </w:rPr>
        <w:t>ٱ</w:t>
      </w:r>
      <w:r w:rsidR="006633B5" w:rsidRPr="00995B26">
        <w:rPr>
          <w:rFonts w:ascii="KFGQPC Uthmanic Script HAFS" w:cs="KFGQPC Uthmanic Script HAFS" w:hint="eastAsia"/>
          <w:sz w:val="29"/>
          <w:szCs w:val="29"/>
          <w:rtl/>
        </w:rPr>
        <w:t>للَّهِ</w:t>
      </w:r>
      <w:r w:rsidR="006633B5" w:rsidRPr="00995B26">
        <w:rPr>
          <w:rFonts w:ascii="KFGQPC Uthmanic Script HAFS" w:cs="KFGQPC Uthmanic Script HAFS"/>
          <w:sz w:val="29"/>
          <w:szCs w:val="29"/>
          <w:rtl/>
        </w:rPr>
        <w:t xml:space="preserve"> </w:t>
      </w:r>
      <w:r w:rsidR="006633B5" w:rsidRPr="00995B26">
        <w:rPr>
          <w:rFonts w:ascii="KFGQPC Uthmanic Script HAFS" w:cs="KFGQPC Uthmanic Script HAFS" w:hint="eastAsia"/>
          <w:sz w:val="29"/>
          <w:szCs w:val="29"/>
          <w:rtl/>
        </w:rPr>
        <w:t>فَتَبَيَّنُواْ</w:t>
      </w:r>
      <w:r w:rsidR="006633B5" w:rsidRPr="00995B26">
        <w:rPr>
          <w:rFonts w:ascii="KFGQPC Uthmanic Script HAFS" w:cs="KFGQPC Uthmanic Script HAFS"/>
          <w:sz w:val="29"/>
          <w:szCs w:val="29"/>
          <w:rtl/>
        </w:rPr>
        <w:t xml:space="preserve"> </w:t>
      </w:r>
      <w:r w:rsidR="006633B5" w:rsidRPr="00995B26">
        <w:rPr>
          <w:rFonts w:ascii="KFGQPC Uthmanic Script HAFS" w:cs="KFGQPC Uthmanic Script HAFS" w:hint="eastAsia"/>
          <w:sz w:val="29"/>
          <w:szCs w:val="29"/>
          <w:rtl/>
        </w:rPr>
        <w:t>وَلَا</w:t>
      </w:r>
      <w:r w:rsidR="006633B5" w:rsidRPr="00995B26">
        <w:rPr>
          <w:rFonts w:ascii="KFGQPC Uthmanic Script HAFS" w:cs="KFGQPC Uthmanic Script HAFS"/>
          <w:sz w:val="29"/>
          <w:szCs w:val="29"/>
          <w:rtl/>
        </w:rPr>
        <w:t xml:space="preserve"> </w:t>
      </w:r>
      <w:r w:rsidR="006633B5" w:rsidRPr="00995B26">
        <w:rPr>
          <w:rFonts w:ascii="KFGQPC Uthmanic Script HAFS" w:cs="KFGQPC Uthmanic Script HAFS" w:hint="eastAsia"/>
          <w:sz w:val="29"/>
          <w:szCs w:val="29"/>
          <w:rtl/>
        </w:rPr>
        <w:t>تَقُولُواْ</w:t>
      </w:r>
      <w:r w:rsidR="006633B5" w:rsidRPr="00995B26">
        <w:rPr>
          <w:rFonts w:ascii="KFGQPC Uthmanic Script HAFS" w:cs="KFGQPC Uthmanic Script HAFS"/>
          <w:sz w:val="29"/>
          <w:szCs w:val="29"/>
          <w:rtl/>
        </w:rPr>
        <w:t xml:space="preserve"> </w:t>
      </w:r>
      <w:r w:rsidR="006633B5" w:rsidRPr="00995B26">
        <w:rPr>
          <w:rFonts w:ascii="KFGQPC Uthmanic Script HAFS" w:cs="KFGQPC Uthmanic Script HAFS" w:hint="eastAsia"/>
          <w:sz w:val="29"/>
          <w:szCs w:val="29"/>
          <w:rtl/>
        </w:rPr>
        <w:t>لِمَن</w:t>
      </w:r>
      <w:r w:rsidR="006633B5" w:rsidRPr="00995B26">
        <w:rPr>
          <w:rFonts w:ascii="KFGQPC Uthmanic Script HAFS" w:cs="KFGQPC Uthmanic Script HAFS" w:hint="cs"/>
          <w:sz w:val="29"/>
          <w:szCs w:val="29"/>
          <w:rtl/>
        </w:rPr>
        <w:t>ۡ</w:t>
      </w:r>
      <w:r w:rsidR="006633B5" w:rsidRPr="00995B26">
        <w:rPr>
          <w:rFonts w:ascii="KFGQPC Uthmanic Script HAFS" w:cs="KFGQPC Uthmanic Script HAFS"/>
          <w:sz w:val="29"/>
          <w:szCs w:val="29"/>
          <w:rtl/>
        </w:rPr>
        <w:t xml:space="preserve"> </w:t>
      </w:r>
      <w:r w:rsidR="006633B5" w:rsidRPr="00995B26">
        <w:rPr>
          <w:rFonts w:ascii="KFGQPC Uthmanic Script HAFS" w:cs="KFGQPC Uthmanic Script HAFS" w:hint="eastAsia"/>
          <w:sz w:val="29"/>
          <w:szCs w:val="29"/>
          <w:rtl/>
        </w:rPr>
        <w:t>أَل</w:t>
      </w:r>
      <w:r w:rsidR="006633B5" w:rsidRPr="00995B26">
        <w:rPr>
          <w:rFonts w:ascii="KFGQPC Uthmanic Script HAFS" w:cs="KFGQPC Uthmanic Script HAFS" w:hint="cs"/>
          <w:sz w:val="29"/>
          <w:szCs w:val="29"/>
          <w:rtl/>
        </w:rPr>
        <w:t>ۡ</w:t>
      </w:r>
      <w:r w:rsidR="006633B5" w:rsidRPr="00995B26">
        <w:rPr>
          <w:rFonts w:ascii="KFGQPC Uthmanic Script HAFS" w:cs="KFGQPC Uthmanic Script HAFS" w:hint="eastAsia"/>
          <w:sz w:val="29"/>
          <w:szCs w:val="29"/>
          <w:rtl/>
        </w:rPr>
        <w:t>قَى</w:t>
      </w:r>
      <w:r w:rsidR="006633B5" w:rsidRPr="00995B26">
        <w:rPr>
          <w:rFonts w:ascii="KFGQPC Uthmanic Script HAFS" w:cs="KFGQPC Uthmanic Script HAFS" w:hint="cs"/>
          <w:sz w:val="29"/>
          <w:szCs w:val="29"/>
          <w:rtl/>
        </w:rPr>
        <w:t>ٰٓ</w:t>
      </w:r>
      <w:r w:rsidR="006633B5" w:rsidRPr="00995B26">
        <w:rPr>
          <w:rFonts w:ascii="KFGQPC Uthmanic Script HAFS" w:cs="KFGQPC Uthmanic Script HAFS"/>
          <w:sz w:val="29"/>
          <w:szCs w:val="29"/>
          <w:rtl/>
        </w:rPr>
        <w:t xml:space="preserve"> </w:t>
      </w:r>
      <w:r w:rsidR="006633B5" w:rsidRPr="00995B26">
        <w:rPr>
          <w:rFonts w:ascii="KFGQPC Uthmanic Script HAFS" w:cs="KFGQPC Uthmanic Script HAFS" w:hint="eastAsia"/>
          <w:sz w:val="29"/>
          <w:szCs w:val="29"/>
          <w:rtl/>
        </w:rPr>
        <w:t>إِلَي</w:t>
      </w:r>
      <w:r w:rsidR="006633B5" w:rsidRPr="00995B26">
        <w:rPr>
          <w:rFonts w:ascii="KFGQPC Uthmanic Script HAFS" w:cs="KFGQPC Uthmanic Script HAFS" w:hint="cs"/>
          <w:sz w:val="29"/>
          <w:szCs w:val="29"/>
          <w:rtl/>
        </w:rPr>
        <w:t>ۡ</w:t>
      </w:r>
      <w:r w:rsidR="006633B5" w:rsidRPr="00995B26">
        <w:rPr>
          <w:rFonts w:ascii="KFGQPC Uthmanic Script HAFS" w:cs="KFGQPC Uthmanic Script HAFS" w:hint="eastAsia"/>
          <w:sz w:val="29"/>
          <w:szCs w:val="29"/>
          <w:rtl/>
        </w:rPr>
        <w:t>كُمُ</w:t>
      </w:r>
      <w:r w:rsidR="006633B5" w:rsidRPr="00995B26">
        <w:rPr>
          <w:rFonts w:ascii="KFGQPC Uthmanic Script HAFS" w:cs="KFGQPC Uthmanic Script HAFS"/>
          <w:sz w:val="29"/>
          <w:szCs w:val="29"/>
          <w:rtl/>
        </w:rPr>
        <w:t xml:space="preserve"> </w:t>
      </w:r>
      <w:r w:rsidR="006633B5" w:rsidRPr="00995B26">
        <w:rPr>
          <w:rFonts w:ascii="KFGQPC Uthmanic Script HAFS" w:cs="KFGQPC Uthmanic Script HAFS" w:hint="cs"/>
          <w:sz w:val="29"/>
          <w:szCs w:val="29"/>
          <w:rtl/>
        </w:rPr>
        <w:t>ٱ</w:t>
      </w:r>
      <w:r w:rsidR="006633B5" w:rsidRPr="00995B26">
        <w:rPr>
          <w:rFonts w:ascii="KFGQPC Uthmanic Script HAFS" w:cs="KFGQPC Uthmanic Script HAFS" w:hint="eastAsia"/>
          <w:sz w:val="29"/>
          <w:szCs w:val="29"/>
          <w:rtl/>
        </w:rPr>
        <w:t>لسَّلَ</w:t>
      </w:r>
      <w:r w:rsidR="006633B5" w:rsidRPr="00995B26">
        <w:rPr>
          <w:rFonts w:ascii="KFGQPC Uthmanic Script HAFS" w:cs="KFGQPC Uthmanic Script HAFS" w:hint="cs"/>
          <w:sz w:val="29"/>
          <w:szCs w:val="29"/>
          <w:rtl/>
        </w:rPr>
        <w:t>ٰ</w:t>
      </w:r>
      <w:r w:rsidR="006633B5" w:rsidRPr="00995B26">
        <w:rPr>
          <w:rFonts w:ascii="KFGQPC Uthmanic Script HAFS" w:cs="KFGQPC Uthmanic Script HAFS" w:hint="eastAsia"/>
          <w:sz w:val="29"/>
          <w:szCs w:val="29"/>
          <w:rtl/>
        </w:rPr>
        <w:t>مَ</w:t>
      </w:r>
      <w:r w:rsidR="006633B5" w:rsidRPr="00995B26">
        <w:rPr>
          <w:rFonts w:ascii="KFGQPC Uthmanic Script HAFS" w:cs="KFGQPC Uthmanic Script HAFS"/>
          <w:sz w:val="29"/>
          <w:szCs w:val="29"/>
          <w:rtl/>
        </w:rPr>
        <w:t xml:space="preserve"> </w:t>
      </w:r>
      <w:r w:rsidR="006633B5" w:rsidRPr="00995B26">
        <w:rPr>
          <w:rFonts w:ascii="KFGQPC Uthmanic Script HAFS" w:cs="KFGQPC Uthmanic Script HAFS" w:hint="eastAsia"/>
          <w:sz w:val="29"/>
          <w:szCs w:val="29"/>
          <w:rtl/>
        </w:rPr>
        <w:t>لَس</w:t>
      </w:r>
      <w:r w:rsidR="006633B5" w:rsidRPr="00995B26">
        <w:rPr>
          <w:rFonts w:ascii="KFGQPC Uthmanic Script HAFS" w:cs="KFGQPC Uthmanic Script HAFS" w:hint="cs"/>
          <w:sz w:val="29"/>
          <w:szCs w:val="29"/>
          <w:rtl/>
        </w:rPr>
        <w:t>ۡ</w:t>
      </w:r>
      <w:r w:rsidR="006633B5" w:rsidRPr="00995B26">
        <w:rPr>
          <w:rFonts w:ascii="KFGQPC Uthmanic Script HAFS" w:cs="KFGQPC Uthmanic Script HAFS" w:hint="eastAsia"/>
          <w:sz w:val="29"/>
          <w:szCs w:val="29"/>
          <w:rtl/>
        </w:rPr>
        <w:t>تَ</w:t>
      </w:r>
      <w:r w:rsidR="006633B5" w:rsidRPr="00995B26">
        <w:rPr>
          <w:rFonts w:ascii="KFGQPC Uthmanic Script HAFS" w:cs="KFGQPC Uthmanic Script HAFS"/>
          <w:sz w:val="29"/>
          <w:szCs w:val="29"/>
          <w:rtl/>
        </w:rPr>
        <w:t xml:space="preserve"> </w:t>
      </w:r>
      <w:r w:rsidR="006633B5" w:rsidRPr="00995B26">
        <w:rPr>
          <w:rFonts w:ascii="KFGQPC Uthmanic Script HAFS" w:cs="KFGQPC Uthmanic Script HAFS" w:hint="eastAsia"/>
          <w:sz w:val="29"/>
          <w:szCs w:val="29"/>
          <w:rtl/>
        </w:rPr>
        <w:t>مُؤ</w:t>
      </w:r>
      <w:r w:rsidR="006633B5" w:rsidRPr="00995B26">
        <w:rPr>
          <w:rFonts w:ascii="KFGQPC Uthmanic Script HAFS" w:cs="KFGQPC Uthmanic Script HAFS" w:hint="cs"/>
          <w:sz w:val="29"/>
          <w:szCs w:val="29"/>
          <w:rtl/>
        </w:rPr>
        <w:t>ۡ</w:t>
      </w:r>
      <w:r w:rsidR="006633B5" w:rsidRPr="00995B26">
        <w:rPr>
          <w:rFonts w:ascii="KFGQPC Uthmanic Script HAFS" w:cs="KFGQPC Uthmanic Script HAFS" w:hint="eastAsia"/>
          <w:sz w:val="29"/>
          <w:szCs w:val="29"/>
          <w:rtl/>
        </w:rPr>
        <w:t>مِن</w:t>
      </w:r>
      <w:r w:rsidR="006633B5" w:rsidRPr="00995B26">
        <w:rPr>
          <w:rFonts w:ascii="KFGQPC Uthmanic Script HAFS" w:cs="KFGQPC Uthmanic Script HAFS" w:hint="cs"/>
          <w:sz w:val="29"/>
          <w:szCs w:val="29"/>
          <w:rtl/>
        </w:rPr>
        <w:t>ٗ</w:t>
      </w:r>
      <w:r w:rsidR="006633B5" w:rsidRPr="00995B26">
        <w:rPr>
          <w:rFonts w:ascii="KFGQPC Uthmanic Script HAFS" w:cs="KFGQPC Uthmanic Script HAFS" w:hint="eastAsia"/>
          <w:sz w:val="29"/>
          <w:szCs w:val="29"/>
          <w:rtl/>
        </w:rPr>
        <w:t>ا</w:t>
      </w:r>
      <w:r w:rsidR="006633B5" w:rsidRPr="00995B26">
        <w:rPr>
          <w:rFonts w:ascii="KFGQPC Uthmanic Script HAFS" w:cs="KFGQPC Uthmanic Script HAFS"/>
          <w:sz w:val="29"/>
          <w:szCs w:val="29"/>
          <w:rtl/>
        </w:rPr>
        <w:t xml:space="preserve"> </w:t>
      </w:r>
      <w:r w:rsidR="006633B5" w:rsidRPr="00995B26">
        <w:rPr>
          <w:rFonts w:ascii="KFGQPC Uthmanic Script HAFS" w:cs="KFGQPC Uthmanic Script HAFS" w:hint="eastAsia"/>
          <w:sz w:val="29"/>
          <w:szCs w:val="29"/>
          <w:rtl/>
        </w:rPr>
        <w:t>تَب</w:t>
      </w:r>
      <w:r w:rsidR="006633B5" w:rsidRPr="00995B26">
        <w:rPr>
          <w:rFonts w:ascii="KFGQPC Uthmanic Script HAFS" w:cs="KFGQPC Uthmanic Script HAFS" w:hint="cs"/>
          <w:sz w:val="29"/>
          <w:szCs w:val="29"/>
          <w:rtl/>
        </w:rPr>
        <w:t>ۡ</w:t>
      </w:r>
      <w:r w:rsidR="006633B5" w:rsidRPr="00995B26">
        <w:rPr>
          <w:rFonts w:ascii="KFGQPC Uthmanic Script HAFS" w:cs="KFGQPC Uthmanic Script HAFS" w:hint="eastAsia"/>
          <w:sz w:val="29"/>
          <w:szCs w:val="29"/>
          <w:rtl/>
        </w:rPr>
        <w:t>تَغُونَ</w:t>
      </w:r>
      <w:r w:rsidR="006633B5" w:rsidRPr="00995B26">
        <w:rPr>
          <w:rFonts w:ascii="KFGQPC Uthmanic Script HAFS" w:cs="KFGQPC Uthmanic Script HAFS"/>
          <w:sz w:val="29"/>
          <w:szCs w:val="29"/>
          <w:rtl/>
        </w:rPr>
        <w:t xml:space="preserve"> </w:t>
      </w:r>
      <w:r w:rsidR="006633B5" w:rsidRPr="00995B26">
        <w:rPr>
          <w:rFonts w:ascii="KFGQPC Uthmanic Script HAFS" w:cs="KFGQPC Uthmanic Script HAFS" w:hint="eastAsia"/>
          <w:sz w:val="29"/>
          <w:szCs w:val="29"/>
          <w:rtl/>
        </w:rPr>
        <w:t>عَرَضَ</w:t>
      </w:r>
      <w:r w:rsidR="006633B5" w:rsidRPr="00995B26">
        <w:rPr>
          <w:rFonts w:ascii="KFGQPC Uthmanic Script HAFS" w:cs="KFGQPC Uthmanic Script HAFS"/>
          <w:sz w:val="29"/>
          <w:szCs w:val="29"/>
          <w:rtl/>
        </w:rPr>
        <w:t xml:space="preserve"> </w:t>
      </w:r>
      <w:r w:rsidR="006633B5" w:rsidRPr="00995B26">
        <w:rPr>
          <w:rFonts w:ascii="KFGQPC Uthmanic Script HAFS" w:cs="KFGQPC Uthmanic Script HAFS" w:hint="cs"/>
          <w:sz w:val="29"/>
          <w:szCs w:val="29"/>
          <w:rtl/>
        </w:rPr>
        <w:t>ٱ</w:t>
      </w:r>
      <w:r w:rsidR="006633B5" w:rsidRPr="00995B26">
        <w:rPr>
          <w:rFonts w:ascii="KFGQPC Uthmanic Script HAFS" w:cs="KFGQPC Uthmanic Script HAFS" w:hint="eastAsia"/>
          <w:sz w:val="29"/>
          <w:szCs w:val="29"/>
          <w:rtl/>
        </w:rPr>
        <w:t>ل</w:t>
      </w:r>
      <w:r w:rsidR="006633B5" w:rsidRPr="00995B26">
        <w:rPr>
          <w:rFonts w:ascii="KFGQPC Uthmanic Script HAFS" w:cs="KFGQPC Uthmanic Script HAFS" w:hint="cs"/>
          <w:sz w:val="29"/>
          <w:szCs w:val="29"/>
          <w:rtl/>
        </w:rPr>
        <w:t>ۡ</w:t>
      </w:r>
      <w:r w:rsidR="006633B5" w:rsidRPr="00995B26">
        <w:rPr>
          <w:rFonts w:ascii="KFGQPC Uthmanic Script HAFS" w:cs="KFGQPC Uthmanic Script HAFS" w:hint="eastAsia"/>
          <w:sz w:val="29"/>
          <w:szCs w:val="29"/>
          <w:rtl/>
        </w:rPr>
        <w:t>حَيَو</w:t>
      </w:r>
      <w:r w:rsidR="006633B5" w:rsidRPr="00995B26">
        <w:rPr>
          <w:rFonts w:ascii="KFGQPC Uthmanic Script HAFS" w:cs="KFGQPC Uthmanic Script HAFS" w:hint="cs"/>
          <w:sz w:val="29"/>
          <w:szCs w:val="29"/>
          <w:rtl/>
        </w:rPr>
        <w:t>ٰ</w:t>
      </w:r>
      <w:r w:rsidR="006633B5" w:rsidRPr="00995B26">
        <w:rPr>
          <w:rFonts w:ascii="KFGQPC Uthmanic Script HAFS" w:cs="KFGQPC Uthmanic Script HAFS" w:hint="eastAsia"/>
          <w:sz w:val="29"/>
          <w:szCs w:val="29"/>
          <w:rtl/>
        </w:rPr>
        <w:t>ةِ</w:t>
      </w:r>
      <w:r w:rsidR="006633B5" w:rsidRPr="00995B26">
        <w:rPr>
          <w:rFonts w:ascii="KFGQPC Uthmanic Script HAFS" w:cs="KFGQPC Uthmanic Script HAFS"/>
          <w:sz w:val="29"/>
          <w:szCs w:val="29"/>
          <w:rtl/>
        </w:rPr>
        <w:t xml:space="preserve"> </w:t>
      </w:r>
      <w:r w:rsidR="006633B5" w:rsidRPr="00995B26">
        <w:rPr>
          <w:rFonts w:ascii="KFGQPC Uthmanic Script HAFS" w:cs="KFGQPC Uthmanic Script HAFS" w:hint="cs"/>
          <w:sz w:val="29"/>
          <w:szCs w:val="29"/>
          <w:rtl/>
        </w:rPr>
        <w:t>ٱ</w:t>
      </w:r>
      <w:r w:rsidR="006633B5" w:rsidRPr="00995B26">
        <w:rPr>
          <w:rFonts w:ascii="KFGQPC Uthmanic Script HAFS" w:cs="KFGQPC Uthmanic Script HAFS" w:hint="eastAsia"/>
          <w:sz w:val="29"/>
          <w:szCs w:val="29"/>
          <w:rtl/>
        </w:rPr>
        <w:t>لدُّن</w:t>
      </w:r>
      <w:r w:rsidR="006633B5" w:rsidRPr="00995B26">
        <w:rPr>
          <w:rFonts w:ascii="KFGQPC Uthmanic Script HAFS" w:cs="KFGQPC Uthmanic Script HAFS" w:hint="cs"/>
          <w:sz w:val="29"/>
          <w:szCs w:val="29"/>
          <w:rtl/>
        </w:rPr>
        <w:t>ۡ</w:t>
      </w:r>
      <w:r w:rsidR="006633B5" w:rsidRPr="00995B26">
        <w:rPr>
          <w:rFonts w:ascii="KFGQPC Uthmanic Script HAFS" w:cs="KFGQPC Uthmanic Script HAFS" w:hint="eastAsia"/>
          <w:sz w:val="29"/>
          <w:szCs w:val="29"/>
          <w:rtl/>
        </w:rPr>
        <w:t>يَا</w:t>
      </w:r>
      <w:r w:rsidR="006633B5" w:rsidRPr="00995B26">
        <w:rPr>
          <w:rFonts w:ascii="KFGQPC Uthmanic Script HAFS" w:cs="KFGQPC Uthmanic Script HAFS"/>
          <w:sz w:val="29"/>
          <w:szCs w:val="29"/>
          <w:rtl/>
        </w:rPr>
        <w:t xml:space="preserve"> </w:t>
      </w:r>
      <w:r w:rsidR="006633B5" w:rsidRPr="00995B26">
        <w:rPr>
          <w:rFonts w:ascii="KFGQPC Uthmanic Script HAFS" w:cs="KFGQPC Uthmanic Script HAFS" w:hint="eastAsia"/>
          <w:sz w:val="29"/>
          <w:szCs w:val="29"/>
          <w:rtl/>
        </w:rPr>
        <w:t>فَعِندَ</w:t>
      </w:r>
      <w:r w:rsidR="006633B5" w:rsidRPr="00995B26">
        <w:rPr>
          <w:rFonts w:ascii="KFGQPC Uthmanic Script HAFS" w:cs="KFGQPC Uthmanic Script HAFS"/>
          <w:sz w:val="29"/>
          <w:szCs w:val="29"/>
          <w:rtl/>
        </w:rPr>
        <w:t xml:space="preserve"> </w:t>
      </w:r>
      <w:r w:rsidR="006633B5" w:rsidRPr="00995B26">
        <w:rPr>
          <w:rFonts w:ascii="KFGQPC Uthmanic Script HAFS" w:cs="KFGQPC Uthmanic Script HAFS" w:hint="cs"/>
          <w:sz w:val="29"/>
          <w:szCs w:val="29"/>
          <w:rtl/>
        </w:rPr>
        <w:t>ٱ</w:t>
      </w:r>
      <w:r w:rsidR="006633B5" w:rsidRPr="00995B26">
        <w:rPr>
          <w:rFonts w:ascii="KFGQPC Uthmanic Script HAFS" w:cs="KFGQPC Uthmanic Script HAFS" w:hint="eastAsia"/>
          <w:sz w:val="29"/>
          <w:szCs w:val="29"/>
          <w:rtl/>
        </w:rPr>
        <w:t>للَّهِ</w:t>
      </w:r>
      <w:r w:rsidR="006633B5" w:rsidRPr="00995B26">
        <w:rPr>
          <w:rFonts w:ascii="KFGQPC Uthmanic Script HAFS" w:cs="KFGQPC Uthmanic Script HAFS"/>
          <w:sz w:val="29"/>
          <w:szCs w:val="29"/>
          <w:rtl/>
        </w:rPr>
        <w:t xml:space="preserve"> </w:t>
      </w:r>
      <w:r w:rsidR="006633B5" w:rsidRPr="00995B26">
        <w:rPr>
          <w:rFonts w:ascii="KFGQPC Uthmanic Script HAFS" w:cs="KFGQPC Uthmanic Script HAFS" w:hint="eastAsia"/>
          <w:sz w:val="29"/>
          <w:szCs w:val="29"/>
          <w:rtl/>
        </w:rPr>
        <w:t>مَغَانِمُ</w:t>
      </w:r>
      <w:r w:rsidR="006633B5" w:rsidRPr="00995B26">
        <w:rPr>
          <w:rFonts w:ascii="KFGQPC Uthmanic Script HAFS" w:cs="KFGQPC Uthmanic Script HAFS"/>
          <w:sz w:val="29"/>
          <w:szCs w:val="29"/>
          <w:rtl/>
        </w:rPr>
        <w:t xml:space="preserve"> </w:t>
      </w:r>
      <w:r w:rsidR="006633B5" w:rsidRPr="00995B26">
        <w:rPr>
          <w:rFonts w:ascii="KFGQPC Uthmanic Script HAFS" w:cs="KFGQPC Uthmanic Script HAFS" w:hint="eastAsia"/>
          <w:sz w:val="29"/>
          <w:szCs w:val="29"/>
          <w:rtl/>
        </w:rPr>
        <w:t>كَثِيرَة</w:t>
      </w:r>
      <w:r w:rsidR="006633B5" w:rsidRPr="00995B26">
        <w:rPr>
          <w:rFonts w:ascii="KFGQPC Uthmanic Script HAFS" w:cs="KFGQPC Uthmanic Script HAFS" w:hint="cs"/>
          <w:sz w:val="29"/>
          <w:szCs w:val="29"/>
          <w:rtl/>
        </w:rPr>
        <w:t>ٞۚ</w:t>
      </w:r>
      <w:r w:rsidR="006633B5" w:rsidRPr="00995B26">
        <w:rPr>
          <w:rFonts w:ascii="KFGQPC Uthmanic Script HAFS" w:cs="KFGQPC Uthmanic Script HAFS"/>
          <w:sz w:val="29"/>
          <w:szCs w:val="29"/>
          <w:rtl/>
        </w:rPr>
        <w:t xml:space="preserve"> </w:t>
      </w:r>
      <w:r w:rsidR="006633B5" w:rsidRPr="00995B26">
        <w:rPr>
          <w:rFonts w:ascii="KFGQPC Uthmanic Script HAFS" w:cs="KFGQPC Uthmanic Script HAFS" w:hint="eastAsia"/>
          <w:sz w:val="29"/>
          <w:szCs w:val="29"/>
          <w:rtl/>
        </w:rPr>
        <w:t>كَذَ</w:t>
      </w:r>
      <w:r w:rsidR="006633B5" w:rsidRPr="00995B26">
        <w:rPr>
          <w:rFonts w:ascii="KFGQPC Uthmanic Script HAFS" w:cs="KFGQPC Uthmanic Script HAFS" w:hint="cs"/>
          <w:sz w:val="29"/>
          <w:szCs w:val="29"/>
          <w:rtl/>
        </w:rPr>
        <w:t>ٰ</w:t>
      </w:r>
      <w:r w:rsidR="006633B5" w:rsidRPr="00995B26">
        <w:rPr>
          <w:rFonts w:ascii="KFGQPC Uthmanic Script HAFS" w:cs="KFGQPC Uthmanic Script HAFS" w:hint="eastAsia"/>
          <w:sz w:val="29"/>
          <w:szCs w:val="29"/>
          <w:rtl/>
        </w:rPr>
        <w:t>لِكَ</w:t>
      </w:r>
      <w:r w:rsidR="006633B5" w:rsidRPr="00995B26">
        <w:rPr>
          <w:rFonts w:ascii="KFGQPC Uthmanic Script HAFS" w:cs="KFGQPC Uthmanic Script HAFS"/>
          <w:sz w:val="29"/>
          <w:szCs w:val="29"/>
          <w:rtl/>
        </w:rPr>
        <w:t xml:space="preserve"> </w:t>
      </w:r>
      <w:r w:rsidR="006633B5" w:rsidRPr="00995B26">
        <w:rPr>
          <w:rFonts w:ascii="KFGQPC Uthmanic Script HAFS" w:cs="KFGQPC Uthmanic Script HAFS" w:hint="eastAsia"/>
          <w:sz w:val="29"/>
          <w:szCs w:val="29"/>
          <w:rtl/>
        </w:rPr>
        <w:t>كُنتُم</w:t>
      </w:r>
      <w:r w:rsidR="006633B5" w:rsidRPr="00995B26">
        <w:rPr>
          <w:rFonts w:ascii="KFGQPC Uthmanic Script HAFS" w:cs="KFGQPC Uthmanic Script HAFS"/>
          <w:sz w:val="29"/>
          <w:szCs w:val="29"/>
          <w:rtl/>
        </w:rPr>
        <w:t xml:space="preserve"> </w:t>
      </w:r>
      <w:r w:rsidR="006633B5" w:rsidRPr="00995B26">
        <w:rPr>
          <w:rFonts w:ascii="KFGQPC Uthmanic Script HAFS" w:cs="KFGQPC Uthmanic Script HAFS" w:hint="eastAsia"/>
          <w:sz w:val="29"/>
          <w:szCs w:val="29"/>
          <w:rtl/>
        </w:rPr>
        <w:t>مِّن</w:t>
      </w:r>
      <w:r w:rsidR="006633B5" w:rsidRPr="00995B26">
        <w:rPr>
          <w:rFonts w:ascii="KFGQPC Uthmanic Script HAFS" w:cs="KFGQPC Uthmanic Script HAFS"/>
          <w:sz w:val="29"/>
          <w:szCs w:val="29"/>
          <w:rtl/>
        </w:rPr>
        <w:t xml:space="preserve"> </w:t>
      </w:r>
      <w:r w:rsidR="006633B5" w:rsidRPr="00995B26">
        <w:rPr>
          <w:rFonts w:ascii="KFGQPC Uthmanic Script HAFS" w:cs="KFGQPC Uthmanic Script HAFS" w:hint="eastAsia"/>
          <w:sz w:val="29"/>
          <w:szCs w:val="29"/>
          <w:rtl/>
        </w:rPr>
        <w:t>قَب</w:t>
      </w:r>
      <w:r w:rsidR="006633B5" w:rsidRPr="00995B26">
        <w:rPr>
          <w:rFonts w:ascii="KFGQPC Uthmanic Script HAFS" w:cs="KFGQPC Uthmanic Script HAFS" w:hint="cs"/>
          <w:sz w:val="29"/>
          <w:szCs w:val="29"/>
          <w:rtl/>
        </w:rPr>
        <w:t>ۡ</w:t>
      </w:r>
      <w:r w:rsidR="006633B5" w:rsidRPr="00995B26">
        <w:rPr>
          <w:rFonts w:ascii="KFGQPC Uthmanic Script HAFS" w:cs="KFGQPC Uthmanic Script HAFS" w:hint="eastAsia"/>
          <w:sz w:val="29"/>
          <w:szCs w:val="29"/>
          <w:rtl/>
        </w:rPr>
        <w:t>لُ</w:t>
      </w:r>
      <w:r w:rsidR="006633B5" w:rsidRPr="00995B26">
        <w:rPr>
          <w:rFonts w:ascii="KFGQPC Uthmanic Script HAFS" w:cs="KFGQPC Uthmanic Script HAFS"/>
          <w:sz w:val="29"/>
          <w:szCs w:val="29"/>
          <w:rtl/>
        </w:rPr>
        <w:t xml:space="preserve"> </w:t>
      </w:r>
      <w:r w:rsidR="006633B5" w:rsidRPr="00995B26">
        <w:rPr>
          <w:rFonts w:ascii="KFGQPC Uthmanic Script HAFS" w:cs="KFGQPC Uthmanic Script HAFS" w:hint="eastAsia"/>
          <w:sz w:val="29"/>
          <w:szCs w:val="29"/>
          <w:rtl/>
        </w:rPr>
        <w:t>فَمَنَّ</w:t>
      </w:r>
      <w:r w:rsidR="006633B5" w:rsidRPr="00995B26">
        <w:rPr>
          <w:rFonts w:ascii="KFGQPC Uthmanic Script HAFS" w:cs="KFGQPC Uthmanic Script HAFS"/>
          <w:sz w:val="29"/>
          <w:szCs w:val="29"/>
          <w:rtl/>
        </w:rPr>
        <w:t xml:space="preserve"> </w:t>
      </w:r>
      <w:r w:rsidR="006633B5" w:rsidRPr="00995B26">
        <w:rPr>
          <w:rFonts w:ascii="KFGQPC Uthmanic Script HAFS" w:cs="KFGQPC Uthmanic Script HAFS" w:hint="cs"/>
          <w:sz w:val="29"/>
          <w:szCs w:val="29"/>
          <w:rtl/>
        </w:rPr>
        <w:t>ٱ</w:t>
      </w:r>
      <w:r w:rsidR="006633B5" w:rsidRPr="00995B26">
        <w:rPr>
          <w:rFonts w:ascii="KFGQPC Uthmanic Script HAFS" w:cs="KFGQPC Uthmanic Script HAFS" w:hint="eastAsia"/>
          <w:sz w:val="29"/>
          <w:szCs w:val="29"/>
          <w:rtl/>
        </w:rPr>
        <w:t>للَّهُ</w:t>
      </w:r>
      <w:r w:rsidR="006633B5" w:rsidRPr="00995B26">
        <w:rPr>
          <w:rFonts w:ascii="KFGQPC Uthmanic Script HAFS" w:cs="KFGQPC Uthmanic Script HAFS"/>
          <w:sz w:val="29"/>
          <w:szCs w:val="29"/>
          <w:rtl/>
        </w:rPr>
        <w:t xml:space="preserve"> </w:t>
      </w:r>
      <w:r w:rsidR="006633B5" w:rsidRPr="00995B26">
        <w:rPr>
          <w:rFonts w:ascii="KFGQPC Uthmanic Script HAFS" w:cs="KFGQPC Uthmanic Script HAFS" w:hint="eastAsia"/>
          <w:sz w:val="29"/>
          <w:szCs w:val="29"/>
          <w:rtl/>
        </w:rPr>
        <w:t>عَلَي</w:t>
      </w:r>
      <w:r w:rsidR="006633B5" w:rsidRPr="00995B26">
        <w:rPr>
          <w:rFonts w:ascii="KFGQPC Uthmanic Script HAFS" w:cs="KFGQPC Uthmanic Script HAFS" w:hint="cs"/>
          <w:sz w:val="29"/>
          <w:szCs w:val="29"/>
          <w:rtl/>
        </w:rPr>
        <w:t>ۡ</w:t>
      </w:r>
      <w:r w:rsidR="006633B5" w:rsidRPr="00995B26">
        <w:rPr>
          <w:rFonts w:ascii="KFGQPC Uthmanic Script HAFS" w:cs="KFGQPC Uthmanic Script HAFS" w:hint="eastAsia"/>
          <w:sz w:val="29"/>
          <w:szCs w:val="29"/>
          <w:rtl/>
        </w:rPr>
        <w:t>كُم</w:t>
      </w:r>
      <w:r w:rsidR="006633B5" w:rsidRPr="00995B26">
        <w:rPr>
          <w:rFonts w:ascii="KFGQPC Uthmanic Script HAFS" w:cs="KFGQPC Uthmanic Script HAFS" w:hint="cs"/>
          <w:sz w:val="29"/>
          <w:szCs w:val="29"/>
          <w:rtl/>
        </w:rPr>
        <w:t>ۡ</w:t>
      </w:r>
      <w:r w:rsidR="006633B5" w:rsidRPr="00995B26">
        <w:rPr>
          <w:rFonts w:ascii="KFGQPC Uthmanic Script HAFS" w:cs="KFGQPC Uthmanic Script HAFS"/>
          <w:sz w:val="29"/>
          <w:szCs w:val="29"/>
          <w:rtl/>
        </w:rPr>
        <w:t xml:space="preserve"> </w:t>
      </w:r>
      <w:r w:rsidR="006633B5" w:rsidRPr="00995B26">
        <w:rPr>
          <w:rFonts w:ascii="KFGQPC Uthmanic Script HAFS" w:cs="KFGQPC Uthmanic Script HAFS" w:hint="eastAsia"/>
          <w:sz w:val="29"/>
          <w:szCs w:val="29"/>
          <w:rtl/>
        </w:rPr>
        <w:t>فَتَبَيَّنُو</w:t>
      </w:r>
      <w:r w:rsidR="006633B5" w:rsidRPr="00995B26">
        <w:rPr>
          <w:rFonts w:ascii="KFGQPC Uthmanic Script HAFS" w:cs="KFGQPC Uthmanic Script HAFS" w:hint="cs"/>
          <w:sz w:val="29"/>
          <w:szCs w:val="29"/>
          <w:rtl/>
        </w:rPr>
        <w:t>ٓ</w:t>
      </w:r>
      <w:r w:rsidR="006633B5" w:rsidRPr="00995B26">
        <w:rPr>
          <w:rFonts w:ascii="KFGQPC Uthmanic Script HAFS" w:cs="KFGQPC Uthmanic Script HAFS" w:hint="eastAsia"/>
          <w:sz w:val="29"/>
          <w:szCs w:val="29"/>
          <w:rtl/>
        </w:rPr>
        <w:t>اْ</w:t>
      </w:r>
      <w:r w:rsidR="006633B5" w:rsidRPr="00995B26">
        <w:rPr>
          <w:rFonts w:ascii="KFGQPC Uthmanic Script HAFS" w:cs="KFGQPC Uthmanic Script HAFS" w:hint="cs"/>
          <w:sz w:val="29"/>
          <w:szCs w:val="29"/>
          <w:rtl/>
        </w:rPr>
        <w:t>ۚ</w:t>
      </w:r>
      <w:r w:rsidR="006633B5" w:rsidRPr="00995B26">
        <w:rPr>
          <w:rFonts w:ascii="KFGQPC Uthmanic Script HAFS" w:cs="KFGQPC Uthmanic Script HAFS"/>
          <w:sz w:val="29"/>
          <w:szCs w:val="29"/>
          <w:rtl/>
        </w:rPr>
        <w:t xml:space="preserve"> </w:t>
      </w:r>
      <w:r w:rsidR="006633B5" w:rsidRPr="00995B26">
        <w:rPr>
          <w:rFonts w:ascii="KFGQPC Uthmanic Script HAFS" w:cs="KFGQPC Uthmanic Script HAFS" w:hint="eastAsia"/>
          <w:sz w:val="29"/>
          <w:szCs w:val="29"/>
          <w:rtl/>
        </w:rPr>
        <w:t>إِنَّ</w:t>
      </w:r>
      <w:r w:rsidR="006633B5" w:rsidRPr="00995B26">
        <w:rPr>
          <w:rFonts w:ascii="KFGQPC Uthmanic Script HAFS" w:cs="KFGQPC Uthmanic Script HAFS"/>
          <w:sz w:val="29"/>
          <w:szCs w:val="29"/>
          <w:rtl/>
        </w:rPr>
        <w:t xml:space="preserve"> </w:t>
      </w:r>
      <w:r w:rsidR="006633B5" w:rsidRPr="00995B26">
        <w:rPr>
          <w:rFonts w:ascii="KFGQPC Uthmanic Script HAFS" w:cs="KFGQPC Uthmanic Script HAFS" w:hint="cs"/>
          <w:sz w:val="29"/>
          <w:szCs w:val="29"/>
          <w:rtl/>
        </w:rPr>
        <w:t>ٱ</w:t>
      </w:r>
      <w:r w:rsidR="006633B5" w:rsidRPr="00995B26">
        <w:rPr>
          <w:rFonts w:ascii="KFGQPC Uthmanic Script HAFS" w:cs="KFGQPC Uthmanic Script HAFS" w:hint="eastAsia"/>
          <w:sz w:val="29"/>
          <w:szCs w:val="29"/>
          <w:rtl/>
        </w:rPr>
        <w:t>للَّهَ</w:t>
      </w:r>
      <w:r w:rsidR="006633B5" w:rsidRPr="00995B26">
        <w:rPr>
          <w:rFonts w:ascii="KFGQPC Uthmanic Script HAFS" w:cs="KFGQPC Uthmanic Script HAFS"/>
          <w:sz w:val="29"/>
          <w:szCs w:val="29"/>
          <w:rtl/>
        </w:rPr>
        <w:t xml:space="preserve"> </w:t>
      </w:r>
      <w:r w:rsidR="006633B5" w:rsidRPr="00995B26">
        <w:rPr>
          <w:rFonts w:ascii="KFGQPC Uthmanic Script HAFS" w:cs="KFGQPC Uthmanic Script HAFS" w:hint="eastAsia"/>
          <w:sz w:val="29"/>
          <w:szCs w:val="29"/>
          <w:rtl/>
        </w:rPr>
        <w:t>كَانَ</w:t>
      </w:r>
      <w:r w:rsidR="006633B5" w:rsidRPr="00995B26">
        <w:rPr>
          <w:rFonts w:ascii="KFGQPC Uthmanic Script HAFS" w:cs="KFGQPC Uthmanic Script HAFS"/>
          <w:sz w:val="29"/>
          <w:szCs w:val="29"/>
          <w:rtl/>
        </w:rPr>
        <w:t xml:space="preserve"> </w:t>
      </w:r>
      <w:r w:rsidR="006633B5" w:rsidRPr="00995B26">
        <w:rPr>
          <w:rFonts w:ascii="KFGQPC Uthmanic Script HAFS" w:cs="KFGQPC Uthmanic Script HAFS" w:hint="eastAsia"/>
          <w:sz w:val="29"/>
          <w:szCs w:val="29"/>
          <w:rtl/>
        </w:rPr>
        <w:t>بِمَا</w:t>
      </w:r>
      <w:r w:rsidR="006633B5" w:rsidRPr="00995B26">
        <w:rPr>
          <w:rFonts w:ascii="KFGQPC Uthmanic Script HAFS" w:cs="KFGQPC Uthmanic Script HAFS"/>
          <w:sz w:val="29"/>
          <w:szCs w:val="29"/>
          <w:rtl/>
        </w:rPr>
        <w:t xml:space="preserve"> </w:t>
      </w:r>
      <w:r w:rsidR="006633B5" w:rsidRPr="00995B26">
        <w:rPr>
          <w:rFonts w:ascii="KFGQPC Uthmanic Script HAFS" w:cs="KFGQPC Uthmanic Script HAFS" w:hint="eastAsia"/>
          <w:sz w:val="29"/>
          <w:szCs w:val="29"/>
          <w:rtl/>
        </w:rPr>
        <w:t>تَع</w:t>
      </w:r>
      <w:r w:rsidR="006633B5" w:rsidRPr="00995B26">
        <w:rPr>
          <w:rFonts w:ascii="KFGQPC Uthmanic Script HAFS" w:cs="KFGQPC Uthmanic Script HAFS" w:hint="cs"/>
          <w:sz w:val="29"/>
          <w:szCs w:val="29"/>
          <w:rtl/>
        </w:rPr>
        <w:t>ۡ</w:t>
      </w:r>
      <w:r w:rsidR="006633B5" w:rsidRPr="00995B26">
        <w:rPr>
          <w:rFonts w:ascii="KFGQPC Uthmanic Script HAFS" w:cs="KFGQPC Uthmanic Script HAFS" w:hint="eastAsia"/>
          <w:sz w:val="29"/>
          <w:szCs w:val="29"/>
          <w:rtl/>
        </w:rPr>
        <w:t>مَلُونَ</w:t>
      </w:r>
      <w:r w:rsidR="006633B5" w:rsidRPr="00995B26">
        <w:rPr>
          <w:rFonts w:ascii="KFGQPC Uthmanic Script HAFS" w:cs="KFGQPC Uthmanic Script HAFS"/>
          <w:sz w:val="29"/>
          <w:szCs w:val="29"/>
          <w:rtl/>
        </w:rPr>
        <w:t xml:space="preserve"> </w:t>
      </w:r>
      <w:r w:rsidR="006633B5" w:rsidRPr="00995B26">
        <w:rPr>
          <w:rFonts w:ascii="KFGQPC Uthmanic Script HAFS" w:cs="KFGQPC Uthmanic Script HAFS" w:hint="eastAsia"/>
          <w:sz w:val="29"/>
          <w:szCs w:val="29"/>
          <w:rtl/>
        </w:rPr>
        <w:t>خَبِير</w:t>
      </w:r>
      <w:r w:rsidR="006633B5" w:rsidRPr="00995B26">
        <w:rPr>
          <w:rFonts w:ascii="KFGQPC Uthmanic Script HAFS" w:cs="KFGQPC Uthmanic Script HAFS" w:hint="cs"/>
          <w:sz w:val="29"/>
          <w:szCs w:val="29"/>
          <w:rtl/>
        </w:rPr>
        <w:t>ٗ</w:t>
      </w:r>
      <w:r w:rsidR="006633B5" w:rsidRPr="00995B26">
        <w:rPr>
          <w:rFonts w:ascii="KFGQPC Uthmanic Script HAFS" w:cs="KFGQPC Uthmanic Script HAFS" w:hint="eastAsia"/>
          <w:sz w:val="29"/>
          <w:szCs w:val="29"/>
          <w:rtl/>
        </w:rPr>
        <w:t>ا</w:t>
      </w:r>
      <w:r w:rsidR="006633B5" w:rsidRPr="00995B26">
        <w:rPr>
          <w:rFonts w:ascii="KFGQPC Uthmanic Script HAFS" w:cs="KFGQPC Uthmanic Script HAFS"/>
          <w:sz w:val="29"/>
          <w:szCs w:val="29"/>
          <w:rtl/>
        </w:rPr>
        <w:t xml:space="preserve"> </w:t>
      </w:r>
      <w:r w:rsidR="006633B5" w:rsidRPr="00995B26">
        <w:rPr>
          <w:rFonts w:ascii="KFGQPC Uthmanic Script HAFS" w:cs="KFGQPC Uthmanic Script HAFS" w:hint="cs"/>
          <w:sz w:val="29"/>
          <w:szCs w:val="29"/>
          <w:rtl/>
        </w:rPr>
        <w:t>٩٤</w:t>
      </w:r>
      <w:r w:rsidR="006633B5" w:rsidRPr="00995B26">
        <w:rPr>
          <w:rFonts w:cs="Traditional Arabic" w:hint="cs"/>
          <w:szCs w:val="30"/>
          <w:rtl/>
          <w:lang w:bidi="ar-SY"/>
        </w:rPr>
        <w:t>﴾</w:t>
      </w:r>
      <w:r w:rsidRPr="00995B26">
        <w:rPr>
          <w:rFonts w:cs="Akhbar MT" w:hint="cs"/>
          <w:szCs w:val="30"/>
          <w:rtl/>
          <w:lang w:bidi="ar-SY"/>
        </w:rPr>
        <w:t xml:space="preserve"> </w:t>
      </w:r>
      <w:r w:rsidRPr="009E1401">
        <w:rPr>
          <w:rStyle w:val="Char2"/>
          <w:rtl/>
        </w:rPr>
        <w:t>[النساء</w:t>
      </w:r>
      <w:r w:rsidR="006633B5" w:rsidRPr="009E1401">
        <w:rPr>
          <w:rStyle w:val="Char2"/>
          <w:rFonts w:hint="cs"/>
          <w:rtl/>
        </w:rPr>
        <w:t xml:space="preserve">: </w:t>
      </w:r>
      <w:r w:rsidRPr="009E1401">
        <w:rPr>
          <w:rStyle w:val="Char2"/>
          <w:rtl/>
        </w:rPr>
        <w:t>94]</w:t>
      </w:r>
      <w:r w:rsidRPr="00995B26">
        <w:rPr>
          <w:rFonts w:cs="Akhbar MT" w:hint="cs"/>
          <w:szCs w:val="30"/>
          <w:rtl/>
          <w:lang w:bidi="ar-SY"/>
        </w:rPr>
        <w:t xml:space="preserve"> ليست بمعنى الغنيمة الحربية</w:t>
      </w:r>
      <w:r w:rsidRPr="00495BAB">
        <w:rPr>
          <w:rFonts w:hint="cs"/>
          <w:rtl/>
          <w:lang w:bidi="ar-SY"/>
        </w:rPr>
        <w:t>».</w:t>
      </w:r>
    </w:p>
    <w:p w:rsidR="00CD31AA" w:rsidRPr="00995B26" w:rsidRDefault="00CD31AA" w:rsidP="00495BAB">
      <w:pPr>
        <w:pStyle w:val="a0"/>
        <w:rPr>
          <w:rFonts w:hint="cs"/>
          <w:rtl/>
          <w:lang w:bidi="ar-SY"/>
        </w:rPr>
      </w:pPr>
      <w:r w:rsidRPr="00495BAB">
        <w:rPr>
          <w:rFonts w:hint="cs"/>
          <w:rtl/>
          <w:lang w:bidi="ar-SY"/>
        </w:rPr>
        <w:t>نعم، لحسن حظنا ولسوء حظكم فإن عبارة</w:t>
      </w:r>
      <w:r w:rsidR="006633B5" w:rsidRPr="00495BAB">
        <w:rPr>
          <w:rFonts w:hint="cs"/>
          <w:rtl/>
          <w:lang w:bidi="ar-SY"/>
        </w:rPr>
        <w:t xml:space="preserve"> </w:t>
      </w:r>
      <w:r w:rsidR="006633B5" w:rsidRPr="00995B26">
        <w:rPr>
          <w:rFonts w:cs="Traditional Arabic" w:hint="cs"/>
          <w:szCs w:val="30"/>
          <w:rtl/>
          <w:lang w:bidi="ar-SY"/>
        </w:rPr>
        <w:t>﴿</w:t>
      </w:r>
      <w:r w:rsidR="006633B5" w:rsidRPr="00995B26">
        <w:rPr>
          <w:rFonts w:ascii="KFGQPC Uthmanic Script HAFS" w:cs="KFGQPC Uthmanic Script HAFS" w:hint="eastAsia"/>
          <w:sz w:val="29"/>
          <w:szCs w:val="29"/>
          <w:rtl/>
        </w:rPr>
        <w:t>مَغَانِمُ</w:t>
      </w:r>
      <w:r w:rsidR="006633B5" w:rsidRPr="00995B26">
        <w:rPr>
          <w:rFonts w:ascii="KFGQPC Uthmanic Script HAFS" w:cs="KFGQPC Uthmanic Script HAFS"/>
          <w:sz w:val="29"/>
          <w:szCs w:val="29"/>
          <w:rtl/>
        </w:rPr>
        <w:t xml:space="preserve"> </w:t>
      </w:r>
      <w:r w:rsidR="006633B5" w:rsidRPr="00995B26">
        <w:rPr>
          <w:rFonts w:ascii="KFGQPC Uthmanic Script HAFS" w:cs="KFGQPC Uthmanic Script HAFS" w:hint="eastAsia"/>
          <w:sz w:val="29"/>
          <w:szCs w:val="29"/>
          <w:rtl/>
        </w:rPr>
        <w:t>كَثِيرَة</w:t>
      </w:r>
      <w:r w:rsidR="006633B5" w:rsidRPr="00995B26">
        <w:rPr>
          <w:rFonts w:ascii="KFGQPC Uthmanic Script HAFS" w:cs="KFGQPC Uthmanic Script HAFS" w:hint="cs"/>
          <w:sz w:val="29"/>
          <w:szCs w:val="29"/>
          <w:rtl/>
        </w:rPr>
        <w:t>ٞ</w:t>
      </w:r>
      <w:r w:rsidR="006633B5" w:rsidRPr="00995B26">
        <w:rPr>
          <w:rFonts w:cs="Traditional Arabic" w:hint="cs"/>
          <w:szCs w:val="30"/>
          <w:rtl/>
          <w:lang w:bidi="ar-SY"/>
        </w:rPr>
        <w:t>﴾</w:t>
      </w:r>
      <w:r w:rsidR="006633B5" w:rsidRPr="00495BAB">
        <w:rPr>
          <w:rFonts w:hint="cs"/>
          <w:rtl/>
          <w:lang w:bidi="ar-SY"/>
        </w:rPr>
        <w:t xml:space="preserve"> </w:t>
      </w:r>
      <w:r w:rsidRPr="00495BAB">
        <w:rPr>
          <w:rFonts w:hint="cs"/>
          <w:rtl/>
          <w:lang w:bidi="ar-SY"/>
        </w:rPr>
        <w:t>في الآية تعني غنيمة الحرب ذاتها، لأن المفسّرين جميعًا متفقون على أن هذه الآية نزلت بشأن قيام أحد القادة العسكريين من المسلمين - إمّا أسامة بن زيد أو شخص آخر- بقتل رجل أظهر الإسلام في إحدى المعارك أو في إحدى الأسفار، ومع ذلك قتلوه طمعًا بمال الدنيا، والآية أخبرت عن سوء نية الشخص أو الأشخاص الذين أقدموا على قتل من أظهر لهم الإسلام، وأنهم كانوا يبتغون بذلك عرض الحياة الدنيا؛ ولما كان ذلك أول خطأ لهم أنذرتهم الآية أن لا يعودوا لمثله أبدًا، وقالت لهم: إن كنتم تبحثون عن الغنائم فإن الله أعدّ لكم غنائم كثيرة. وقد جاء في كتب التفسير أن ذلك (عِدَةٌ من الله...)، أي أن ذلك وعدٌ من الله، وقد أوفى الله بعهده كما جاء في الآية عشرين من سورة الفتح في قوله</w:t>
      </w:r>
      <w:r w:rsidR="006633B5" w:rsidRPr="00495BAB">
        <w:rPr>
          <w:rFonts w:hint="cs"/>
          <w:rtl/>
          <w:lang w:bidi="ar-SY"/>
        </w:rPr>
        <w:t xml:space="preserve">: </w:t>
      </w:r>
      <w:r w:rsidR="006633B5" w:rsidRPr="00995B26">
        <w:rPr>
          <w:rFonts w:cs="Traditional Arabic" w:hint="cs"/>
          <w:szCs w:val="30"/>
          <w:rtl/>
          <w:lang w:bidi="ar-SY"/>
        </w:rPr>
        <w:t>﴿</w:t>
      </w:r>
      <w:r w:rsidR="006633B5" w:rsidRPr="00995B26">
        <w:rPr>
          <w:rFonts w:ascii="KFGQPC Uthmanic Script HAFS" w:cs="KFGQPC Uthmanic Script HAFS" w:hint="eastAsia"/>
          <w:sz w:val="29"/>
          <w:szCs w:val="29"/>
          <w:rtl/>
        </w:rPr>
        <w:t>وَعَدَكُمُ</w:t>
      </w:r>
      <w:r w:rsidR="006633B5" w:rsidRPr="00995B26">
        <w:rPr>
          <w:rFonts w:ascii="KFGQPC Uthmanic Script HAFS" w:cs="KFGQPC Uthmanic Script HAFS"/>
          <w:sz w:val="29"/>
          <w:szCs w:val="29"/>
          <w:rtl/>
        </w:rPr>
        <w:t xml:space="preserve"> </w:t>
      </w:r>
      <w:r w:rsidR="006633B5" w:rsidRPr="00995B26">
        <w:rPr>
          <w:rFonts w:ascii="KFGQPC Uthmanic Script HAFS" w:cs="KFGQPC Uthmanic Script HAFS" w:hint="cs"/>
          <w:sz w:val="29"/>
          <w:szCs w:val="29"/>
          <w:rtl/>
        </w:rPr>
        <w:t>ٱ</w:t>
      </w:r>
      <w:r w:rsidR="006633B5" w:rsidRPr="00995B26">
        <w:rPr>
          <w:rFonts w:ascii="KFGQPC Uthmanic Script HAFS" w:cs="KFGQPC Uthmanic Script HAFS" w:hint="eastAsia"/>
          <w:sz w:val="29"/>
          <w:szCs w:val="29"/>
          <w:rtl/>
        </w:rPr>
        <w:t>للَّهُ</w:t>
      </w:r>
      <w:r w:rsidR="006633B5" w:rsidRPr="00995B26">
        <w:rPr>
          <w:rFonts w:ascii="KFGQPC Uthmanic Script HAFS" w:cs="KFGQPC Uthmanic Script HAFS"/>
          <w:sz w:val="29"/>
          <w:szCs w:val="29"/>
          <w:rtl/>
        </w:rPr>
        <w:t xml:space="preserve"> </w:t>
      </w:r>
      <w:r w:rsidR="006633B5" w:rsidRPr="00995B26">
        <w:rPr>
          <w:rFonts w:ascii="KFGQPC Uthmanic Script HAFS" w:cs="KFGQPC Uthmanic Script HAFS" w:hint="eastAsia"/>
          <w:sz w:val="29"/>
          <w:szCs w:val="29"/>
          <w:rtl/>
        </w:rPr>
        <w:t>مَغَانِمَ</w:t>
      </w:r>
      <w:r w:rsidR="006633B5" w:rsidRPr="00995B26">
        <w:rPr>
          <w:rFonts w:ascii="KFGQPC Uthmanic Script HAFS" w:cs="KFGQPC Uthmanic Script HAFS"/>
          <w:sz w:val="29"/>
          <w:szCs w:val="29"/>
          <w:rtl/>
        </w:rPr>
        <w:t xml:space="preserve"> </w:t>
      </w:r>
      <w:r w:rsidR="006633B5" w:rsidRPr="00995B26">
        <w:rPr>
          <w:rFonts w:ascii="KFGQPC Uthmanic Script HAFS" w:cs="KFGQPC Uthmanic Script HAFS" w:hint="eastAsia"/>
          <w:sz w:val="29"/>
          <w:szCs w:val="29"/>
          <w:rtl/>
        </w:rPr>
        <w:t>كَثِيرَة</w:t>
      </w:r>
      <w:r w:rsidR="006633B5" w:rsidRPr="00995B26">
        <w:rPr>
          <w:rFonts w:ascii="KFGQPC Uthmanic Script HAFS" w:cs="KFGQPC Uthmanic Script HAFS" w:hint="cs"/>
          <w:sz w:val="29"/>
          <w:szCs w:val="29"/>
          <w:rtl/>
        </w:rPr>
        <w:t>ٗ</w:t>
      </w:r>
      <w:r w:rsidR="006633B5" w:rsidRPr="00995B26">
        <w:rPr>
          <w:rFonts w:ascii="KFGQPC Uthmanic Script HAFS" w:cs="KFGQPC Uthmanic Script HAFS"/>
          <w:sz w:val="29"/>
          <w:szCs w:val="29"/>
          <w:rtl/>
        </w:rPr>
        <w:t xml:space="preserve"> </w:t>
      </w:r>
      <w:r w:rsidR="006633B5" w:rsidRPr="00995B26">
        <w:rPr>
          <w:rFonts w:ascii="KFGQPC Uthmanic Script HAFS" w:cs="KFGQPC Uthmanic Script HAFS" w:hint="eastAsia"/>
          <w:sz w:val="29"/>
          <w:szCs w:val="29"/>
          <w:rtl/>
        </w:rPr>
        <w:t>تَأ</w:t>
      </w:r>
      <w:r w:rsidR="006633B5" w:rsidRPr="00995B26">
        <w:rPr>
          <w:rFonts w:ascii="KFGQPC Uthmanic Script HAFS" w:cs="KFGQPC Uthmanic Script HAFS" w:hint="cs"/>
          <w:sz w:val="29"/>
          <w:szCs w:val="29"/>
          <w:rtl/>
        </w:rPr>
        <w:t>ۡ</w:t>
      </w:r>
      <w:r w:rsidR="006633B5" w:rsidRPr="00995B26">
        <w:rPr>
          <w:rFonts w:ascii="KFGQPC Uthmanic Script HAFS" w:cs="KFGQPC Uthmanic Script HAFS" w:hint="eastAsia"/>
          <w:sz w:val="29"/>
          <w:szCs w:val="29"/>
          <w:rtl/>
        </w:rPr>
        <w:t>خُذُونَهَا</w:t>
      </w:r>
      <w:r w:rsidR="006633B5" w:rsidRPr="00995B26">
        <w:rPr>
          <w:rFonts w:ascii="KFGQPC Uthmanic Script HAFS" w:cs="KFGQPC Uthmanic Script HAFS"/>
          <w:sz w:val="29"/>
          <w:szCs w:val="29"/>
          <w:rtl/>
        </w:rPr>
        <w:t xml:space="preserve"> </w:t>
      </w:r>
      <w:r w:rsidR="006633B5" w:rsidRPr="00995B26">
        <w:rPr>
          <w:rFonts w:ascii="KFGQPC Uthmanic Script HAFS" w:cs="KFGQPC Uthmanic Script HAFS" w:hint="eastAsia"/>
          <w:sz w:val="29"/>
          <w:szCs w:val="29"/>
          <w:rtl/>
        </w:rPr>
        <w:t>فَعَجَّلَ</w:t>
      </w:r>
      <w:r w:rsidR="006633B5" w:rsidRPr="00995B26">
        <w:rPr>
          <w:rFonts w:ascii="KFGQPC Uthmanic Script HAFS" w:cs="KFGQPC Uthmanic Script HAFS"/>
          <w:sz w:val="29"/>
          <w:szCs w:val="29"/>
          <w:rtl/>
        </w:rPr>
        <w:t xml:space="preserve"> </w:t>
      </w:r>
      <w:r w:rsidR="006633B5" w:rsidRPr="00995B26">
        <w:rPr>
          <w:rFonts w:ascii="KFGQPC Uthmanic Script HAFS" w:cs="KFGQPC Uthmanic Script HAFS" w:hint="eastAsia"/>
          <w:sz w:val="29"/>
          <w:szCs w:val="29"/>
          <w:rtl/>
        </w:rPr>
        <w:t>لَكُم</w:t>
      </w:r>
      <w:r w:rsidR="006633B5" w:rsidRPr="00995B26">
        <w:rPr>
          <w:rFonts w:ascii="KFGQPC Uthmanic Script HAFS" w:cs="KFGQPC Uthmanic Script HAFS" w:hint="cs"/>
          <w:sz w:val="29"/>
          <w:szCs w:val="29"/>
          <w:rtl/>
        </w:rPr>
        <w:t>ۡ</w:t>
      </w:r>
      <w:r w:rsidR="006633B5" w:rsidRPr="00995B26">
        <w:rPr>
          <w:rFonts w:ascii="KFGQPC Uthmanic Script HAFS" w:cs="KFGQPC Uthmanic Script HAFS"/>
          <w:sz w:val="29"/>
          <w:szCs w:val="29"/>
          <w:rtl/>
        </w:rPr>
        <w:t xml:space="preserve"> </w:t>
      </w:r>
      <w:r w:rsidR="006633B5" w:rsidRPr="00995B26">
        <w:rPr>
          <w:rFonts w:ascii="KFGQPC Uthmanic Script HAFS" w:cs="KFGQPC Uthmanic Script HAFS" w:hint="eastAsia"/>
          <w:sz w:val="29"/>
          <w:szCs w:val="29"/>
          <w:rtl/>
        </w:rPr>
        <w:t>هَ</w:t>
      </w:r>
      <w:r w:rsidR="006633B5" w:rsidRPr="00995B26">
        <w:rPr>
          <w:rFonts w:ascii="KFGQPC Uthmanic Script HAFS" w:cs="KFGQPC Uthmanic Script HAFS" w:hint="cs"/>
          <w:sz w:val="29"/>
          <w:szCs w:val="29"/>
          <w:rtl/>
        </w:rPr>
        <w:t>ٰ</w:t>
      </w:r>
      <w:r w:rsidR="006633B5" w:rsidRPr="00995B26">
        <w:rPr>
          <w:rFonts w:ascii="KFGQPC Uthmanic Script HAFS" w:cs="KFGQPC Uthmanic Script HAFS" w:hint="eastAsia"/>
          <w:sz w:val="29"/>
          <w:szCs w:val="29"/>
          <w:rtl/>
        </w:rPr>
        <w:t>ذِهِ</w:t>
      </w:r>
      <w:r w:rsidR="006633B5" w:rsidRPr="00995B26">
        <w:rPr>
          <w:rFonts w:ascii="KFGQPC Uthmanic Script HAFS" w:cs="KFGQPC Uthmanic Script HAFS" w:hint="cs"/>
          <w:sz w:val="29"/>
          <w:szCs w:val="29"/>
          <w:rtl/>
        </w:rPr>
        <w:t>ۦ</w:t>
      </w:r>
      <w:r w:rsidR="006633B5" w:rsidRPr="00995B26">
        <w:rPr>
          <w:rFonts w:ascii="KFGQPC Uthmanic Script HAFS" w:cs="KFGQPC Uthmanic Script HAFS"/>
          <w:sz w:val="29"/>
          <w:szCs w:val="29"/>
          <w:rtl/>
        </w:rPr>
        <w:t xml:space="preserve"> </w:t>
      </w:r>
      <w:r w:rsidR="006633B5" w:rsidRPr="00995B26">
        <w:rPr>
          <w:rFonts w:ascii="KFGQPC Uthmanic Script HAFS" w:cs="KFGQPC Uthmanic Script HAFS" w:hint="eastAsia"/>
          <w:sz w:val="29"/>
          <w:szCs w:val="29"/>
          <w:rtl/>
        </w:rPr>
        <w:t>وَكَفَّ</w:t>
      </w:r>
      <w:r w:rsidR="006633B5" w:rsidRPr="00995B26">
        <w:rPr>
          <w:rFonts w:ascii="KFGQPC Uthmanic Script HAFS" w:cs="KFGQPC Uthmanic Script HAFS"/>
          <w:sz w:val="29"/>
          <w:szCs w:val="29"/>
          <w:rtl/>
        </w:rPr>
        <w:t xml:space="preserve"> </w:t>
      </w:r>
      <w:r w:rsidR="006633B5" w:rsidRPr="00995B26">
        <w:rPr>
          <w:rFonts w:ascii="KFGQPC Uthmanic Script HAFS" w:cs="KFGQPC Uthmanic Script HAFS" w:hint="eastAsia"/>
          <w:sz w:val="29"/>
          <w:szCs w:val="29"/>
          <w:rtl/>
        </w:rPr>
        <w:t>أَي</w:t>
      </w:r>
      <w:r w:rsidR="006633B5" w:rsidRPr="00995B26">
        <w:rPr>
          <w:rFonts w:ascii="KFGQPC Uthmanic Script HAFS" w:cs="KFGQPC Uthmanic Script HAFS" w:hint="cs"/>
          <w:sz w:val="29"/>
          <w:szCs w:val="29"/>
          <w:rtl/>
        </w:rPr>
        <w:t>ۡ</w:t>
      </w:r>
      <w:r w:rsidR="006633B5" w:rsidRPr="00995B26">
        <w:rPr>
          <w:rFonts w:ascii="KFGQPC Uthmanic Script HAFS" w:cs="KFGQPC Uthmanic Script HAFS" w:hint="eastAsia"/>
          <w:sz w:val="29"/>
          <w:szCs w:val="29"/>
          <w:rtl/>
        </w:rPr>
        <w:t>دِيَ</w:t>
      </w:r>
      <w:r w:rsidR="006633B5" w:rsidRPr="00995B26">
        <w:rPr>
          <w:rFonts w:ascii="KFGQPC Uthmanic Script HAFS" w:cs="KFGQPC Uthmanic Script HAFS"/>
          <w:sz w:val="29"/>
          <w:szCs w:val="29"/>
          <w:rtl/>
        </w:rPr>
        <w:t xml:space="preserve"> </w:t>
      </w:r>
      <w:r w:rsidR="006633B5" w:rsidRPr="00995B26">
        <w:rPr>
          <w:rFonts w:ascii="KFGQPC Uthmanic Script HAFS" w:cs="KFGQPC Uthmanic Script HAFS" w:hint="cs"/>
          <w:sz w:val="29"/>
          <w:szCs w:val="29"/>
          <w:rtl/>
        </w:rPr>
        <w:t>ٱ</w:t>
      </w:r>
      <w:r w:rsidR="006633B5" w:rsidRPr="00995B26">
        <w:rPr>
          <w:rFonts w:ascii="KFGQPC Uthmanic Script HAFS" w:cs="KFGQPC Uthmanic Script HAFS" w:hint="eastAsia"/>
          <w:sz w:val="29"/>
          <w:szCs w:val="29"/>
          <w:rtl/>
        </w:rPr>
        <w:t>لنَّاسِ</w:t>
      </w:r>
      <w:r w:rsidR="006633B5" w:rsidRPr="00995B26">
        <w:rPr>
          <w:rFonts w:ascii="KFGQPC Uthmanic Script HAFS" w:cs="KFGQPC Uthmanic Script HAFS"/>
          <w:sz w:val="29"/>
          <w:szCs w:val="29"/>
          <w:rtl/>
        </w:rPr>
        <w:t xml:space="preserve"> </w:t>
      </w:r>
      <w:r w:rsidR="006633B5" w:rsidRPr="00995B26">
        <w:rPr>
          <w:rFonts w:ascii="KFGQPC Uthmanic Script HAFS" w:cs="KFGQPC Uthmanic Script HAFS" w:hint="eastAsia"/>
          <w:sz w:val="29"/>
          <w:szCs w:val="29"/>
          <w:rtl/>
        </w:rPr>
        <w:t>عَنكُم</w:t>
      </w:r>
      <w:r w:rsidR="006633B5" w:rsidRPr="00995B26">
        <w:rPr>
          <w:rFonts w:ascii="KFGQPC Uthmanic Script HAFS" w:cs="KFGQPC Uthmanic Script HAFS" w:hint="cs"/>
          <w:sz w:val="29"/>
          <w:szCs w:val="29"/>
          <w:rtl/>
        </w:rPr>
        <w:t>ۡ</w:t>
      </w:r>
      <w:r w:rsidR="006633B5" w:rsidRPr="00995B26">
        <w:rPr>
          <w:rFonts w:cs="Traditional Arabic" w:hint="cs"/>
          <w:szCs w:val="30"/>
          <w:rtl/>
          <w:lang w:bidi="ar-SY"/>
        </w:rPr>
        <w:t>﴾</w:t>
      </w:r>
      <w:r w:rsidRPr="00495BAB">
        <w:rPr>
          <w:rtl/>
          <w:lang w:bidi="ar-SY"/>
        </w:rPr>
        <w:t xml:space="preserve"> </w:t>
      </w:r>
      <w:r w:rsidRPr="009E1401">
        <w:rPr>
          <w:rStyle w:val="Char2"/>
          <w:rtl/>
        </w:rPr>
        <w:t>[الفتح</w:t>
      </w:r>
      <w:r w:rsidR="006633B5" w:rsidRPr="009E1401">
        <w:rPr>
          <w:rStyle w:val="Char2"/>
          <w:rFonts w:hint="cs"/>
          <w:rtl/>
        </w:rPr>
        <w:t xml:space="preserve">: </w:t>
      </w:r>
      <w:r w:rsidRPr="009E1401">
        <w:rPr>
          <w:rStyle w:val="Char2"/>
          <w:rtl/>
        </w:rPr>
        <w:t>20]</w:t>
      </w:r>
      <w:r w:rsidRPr="00495BAB">
        <w:rPr>
          <w:rFonts w:hint="cs"/>
          <w:rtl/>
          <w:lang w:bidi="ar-SY"/>
        </w:rPr>
        <w:t xml:space="preserve"> ولما كانت آية </w:t>
      </w:r>
      <w:r w:rsidR="006633B5" w:rsidRPr="00995B26">
        <w:rPr>
          <w:rFonts w:cs="Traditional Arabic" w:hint="cs"/>
          <w:szCs w:val="30"/>
          <w:rtl/>
          <w:lang w:bidi="ar-SY"/>
        </w:rPr>
        <w:t>﴿</w:t>
      </w:r>
      <w:r w:rsidR="006633B5" w:rsidRPr="00995B26">
        <w:rPr>
          <w:rFonts w:ascii="KFGQPC Uthmanic Script HAFS" w:cs="KFGQPC Uthmanic Script HAFS" w:hint="eastAsia"/>
          <w:sz w:val="29"/>
          <w:szCs w:val="29"/>
          <w:rtl/>
        </w:rPr>
        <w:t>فَعِندَ</w:t>
      </w:r>
      <w:r w:rsidR="006633B5" w:rsidRPr="00995B26">
        <w:rPr>
          <w:rFonts w:ascii="KFGQPC Uthmanic Script HAFS" w:cs="KFGQPC Uthmanic Script HAFS"/>
          <w:sz w:val="29"/>
          <w:szCs w:val="29"/>
          <w:rtl/>
        </w:rPr>
        <w:t xml:space="preserve"> </w:t>
      </w:r>
      <w:r w:rsidR="006633B5" w:rsidRPr="00995B26">
        <w:rPr>
          <w:rFonts w:ascii="KFGQPC Uthmanic Script HAFS" w:cs="KFGQPC Uthmanic Script HAFS" w:hint="cs"/>
          <w:sz w:val="29"/>
          <w:szCs w:val="29"/>
          <w:rtl/>
        </w:rPr>
        <w:t>ٱ</w:t>
      </w:r>
      <w:r w:rsidR="006633B5" w:rsidRPr="00995B26">
        <w:rPr>
          <w:rFonts w:ascii="KFGQPC Uthmanic Script HAFS" w:cs="KFGQPC Uthmanic Script HAFS" w:hint="eastAsia"/>
          <w:sz w:val="29"/>
          <w:szCs w:val="29"/>
          <w:rtl/>
        </w:rPr>
        <w:t>للَّهِ</w:t>
      </w:r>
      <w:r w:rsidR="006633B5" w:rsidRPr="00995B26">
        <w:rPr>
          <w:rFonts w:ascii="KFGQPC Uthmanic Script HAFS" w:cs="KFGQPC Uthmanic Script HAFS"/>
          <w:sz w:val="29"/>
          <w:szCs w:val="29"/>
          <w:rtl/>
        </w:rPr>
        <w:t xml:space="preserve"> </w:t>
      </w:r>
      <w:r w:rsidR="006633B5" w:rsidRPr="00995B26">
        <w:rPr>
          <w:rFonts w:ascii="KFGQPC Uthmanic Script HAFS" w:cs="KFGQPC Uthmanic Script HAFS" w:hint="eastAsia"/>
          <w:sz w:val="29"/>
          <w:szCs w:val="29"/>
          <w:rtl/>
        </w:rPr>
        <w:t>مَغَانِمُ</w:t>
      </w:r>
      <w:r w:rsidR="006633B5" w:rsidRPr="00995B26">
        <w:rPr>
          <w:rFonts w:ascii="KFGQPC Uthmanic Script HAFS" w:cs="KFGQPC Uthmanic Script HAFS"/>
          <w:sz w:val="29"/>
          <w:szCs w:val="29"/>
          <w:rtl/>
        </w:rPr>
        <w:t xml:space="preserve"> </w:t>
      </w:r>
      <w:r w:rsidR="006633B5" w:rsidRPr="00995B26">
        <w:rPr>
          <w:rFonts w:ascii="KFGQPC Uthmanic Script HAFS" w:cs="KFGQPC Uthmanic Script HAFS" w:hint="eastAsia"/>
          <w:sz w:val="29"/>
          <w:szCs w:val="29"/>
          <w:rtl/>
        </w:rPr>
        <w:t>كَثِيرَة</w:t>
      </w:r>
      <w:r w:rsidR="006633B5" w:rsidRPr="00995B26">
        <w:rPr>
          <w:rFonts w:ascii="KFGQPC Uthmanic Script HAFS" w:cs="KFGQPC Uthmanic Script HAFS" w:hint="cs"/>
          <w:sz w:val="29"/>
          <w:szCs w:val="29"/>
          <w:rtl/>
        </w:rPr>
        <w:t>ٞ</w:t>
      </w:r>
      <w:r w:rsidR="006633B5" w:rsidRPr="00995B26">
        <w:rPr>
          <w:rFonts w:cs="Traditional Arabic" w:hint="cs"/>
          <w:szCs w:val="30"/>
          <w:rtl/>
          <w:lang w:bidi="ar-SY"/>
        </w:rPr>
        <w:t>﴾</w:t>
      </w:r>
      <w:r w:rsidRPr="00495BAB">
        <w:rPr>
          <w:rtl/>
          <w:lang w:bidi="ar-SY"/>
        </w:rPr>
        <w:t xml:space="preserve"> </w:t>
      </w:r>
      <w:r w:rsidRPr="009E1401">
        <w:rPr>
          <w:rStyle w:val="Char2"/>
          <w:rtl/>
        </w:rPr>
        <w:t>[النساء</w:t>
      </w:r>
      <w:r w:rsidR="006633B5" w:rsidRPr="009E1401">
        <w:rPr>
          <w:rStyle w:val="Char2"/>
          <w:rFonts w:hint="cs"/>
          <w:rtl/>
        </w:rPr>
        <w:t xml:space="preserve">: </w:t>
      </w:r>
      <w:r w:rsidRPr="009E1401">
        <w:rPr>
          <w:rStyle w:val="Char2"/>
          <w:rtl/>
        </w:rPr>
        <w:t>94]</w:t>
      </w:r>
      <w:r w:rsidRPr="00495BAB">
        <w:rPr>
          <w:rFonts w:hint="cs"/>
          <w:rtl/>
          <w:lang w:bidi="ar-SY"/>
        </w:rPr>
        <w:t xml:space="preserve"> في سورة النساء، وترتيبها في النزول هو السورة الثالثة والتسعون، في حين أن سورة الفتح هي السورة ال</w:t>
      </w:r>
      <w:r w:rsidR="00755AAC">
        <w:rPr>
          <w:rFonts w:hint="cs"/>
          <w:rtl/>
          <w:lang w:bidi="ar-SY"/>
        </w:rPr>
        <w:t>مائة</w:t>
      </w:r>
      <w:r w:rsidRPr="00495BAB">
        <w:rPr>
          <w:rFonts w:hint="cs"/>
          <w:rtl/>
          <w:lang w:bidi="ar-SY"/>
        </w:rPr>
        <w:t xml:space="preserve"> والثانية عشرة في ترتيب النزول، ففي خلال هذه المدة أكرم الله المسلمين بأكثر من أربعة وعشرين ألف جَمَلٍ وأربع</w:t>
      </w:r>
      <w:r w:rsidR="00755AAC">
        <w:rPr>
          <w:rFonts w:hint="cs"/>
          <w:rtl/>
          <w:lang w:bidi="ar-SY"/>
        </w:rPr>
        <w:t>مائة</w:t>
      </w:r>
      <w:r w:rsidRPr="00495BAB">
        <w:rPr>
          <w:rFonts w:hint="cs"/>
          <w:rtl/>
          <w:lang w:bidi="ar-SY"/>
        </w:rPr>
        <w:t xml:space="preserve"> ألف شاةٍ وغير ذلك من الغنائم الكثيرة. وإلا فأي شيء سُرَّ به المسلمون مما أشارت إليه جملة</w:t>
      </w:r>
      <w:r w:rsidR="006633B5" w:rsidRPr="00495BAB">
        <w:rPr>
          <w:rFonts w:hint="cs"/>
          <w:rtl/>
          <w:lang w:bidi="ar-SY"/>
        </w:rPr>
        <w:t xml:space="preserve"> </w:t>
      </w:r>
      <w:r w:rsidR="006633B5" w:rsidRPr="00995B26">
        <w:rPr>
          <w:rFonts w:cs="Traditional Arabic" w:hint="cs"/>
          <w:szCs w:val="30"/>
          <w:rtl/>
          <w:lang w:bidi="ar-SY"/>
        </w:rPr>
        <w:t>﴿</w:t>
      </w:r>
      <w:r w:rsidR="006633B5" w:rsidRPr="00995B26">
        <w:rPr>
          <w:rFonts w:ascii="KFGQPC Uthmanic Script HAFS" w:cs="KFGQPC Uthmanic Script HAFS" w:hint="eastAsia"/>
          <w:sz w:val="29"/>
          <w:szCs w:val="29"/>
          <w:rtl/>
        </w:rPr>
        <w:t>فَعِندَ</w:t>
      </w:r>
      <w:r w:rsidR="006633B5" w:rsidRPr="00995B26">
        <w:rPr>
          <w:rFonts w:ascii="KFGQPC Uthmanic Script HAFS" w:cs="KFGQPC Uthmanic Script HAFS"/>
          <w:sz w:val="29"/>
          <w:szCs w:val="29"/>
          <w:rtl/>
        </w:rPr>
        <w:t xml:space="preserve"> </w:t>
      </w:r>
      <w:r w:rsidR="006633B5" w:rsidRPr="00995B26">
        <w:rPr>
          <w:rFonts w:ascii="KFGQPC Uthmanic Script HAFS" w:cs="KFGQPC Uthmanic Script HAFS" w:hint="cs"/>
          <w:sz w:val="29"/>
          <w:szCs w:val="29"/>
          <w:rtl/>
        </w:rPr>
        <w:t>ٱ</w:t>
      </w:r>
      <w:r w:rsidR="006633B5" w:rsidRPr="00995B26">
        <w:rPr>
          <w:rFonts w:ascii="KFGQPC Uthmanic Script HAFS" w:cs="KFGQPC Uthmanic Script HAFS" w:hint="eastAsia"/>
          <w:sz w:val="29"/>
          <w:szCs w:val="29"/>
          <w:rtl/>
        </w:rPr>
        <w:t>للَّهِ</w:t>
      </w:r>
      <w:r w:rsidR="006633B5" w:rsidRPr="00995B26">
        <w:rPr>
          <w:rFonts w:ascii="KFGQPC Uthmanic Script HAFS" w:cs="KFGQPC Uthmanic Script HAFS"/>
          <w:sz w:val="29"/>
          <w:szCs w:val="29"/>
          <w:rtl/>
        </w:rPr>
        <w:t xml:space="preserve"> </w:t>
      </w:r>
      <w:r w:rsidR="006633B5" w:rsidRPr="00995B26">
        <w:rPr>
          <w:rFonts w:ascii="KFGQPC Uthmanic Script HAFS" w:cs="KFGQPC Uthmanic Script HAFS" w:hint="eastAsia"/>
          <w:sz w:val="29"/>
          <w:szCs w:val="29"/>
          <w:rtl/>
        </w:rPr>
        <w:t>مَغَانِمُ</w:t>
      </w:r>
      <w:r w:rsidR="006633B5" w:rsidRPr="00995B26">
        <w:rPr>
          <w:rFonts w:ascii="KFGQPC Uthmanic Script HAFS" w:cs="KFGQPC Uthmanic Script HAFS"/>
          <w:sz w:val="29"/>
          <w:szCs w:val="29"/>
          <w:rtl/>
        </w:rPr>
        <w:t xml:space="preserve"> </w:t>
      </w:r>
      <w:r w:rsidR="006633B5" w:rsidRPr="00995B26">
        <w:rPr>
          <w:rFonts w:ascii="KFGQPC Uthmanic Script HAFS" w:cs="KFGQPC Uthmanic Script HAFS" w:hint="eastAsia"/>
          <w:sz w:val="29"/>
          <w:szCs w:val="29"/>
          <w:rtl/>
        </w:rPr>
        <w:t>كَثِيرَة</w:t>
      </w:r>
      <w:r w:rsidR="006633B5" w:rsidRPr="00995B26">
        <w:rPr>
          <w:rFonts w:ascii="KFGQPC Uthmanic Script HAFS" w:cs="KFGQPC Uthmanic Script HAFS" w:hint="cs"/>
          <w:sz w:val="29"/>
          <w:szCs w:val="29"/>
          <w:rtl/>
        </w:rPr>
        <w:t>ٞ</w:t>
      </w:r>
      <w:r w:rsidR="006633B5" w:rsidRPr="00995B26">
        <w:rPr>
          <w:rFonts w:cs="Traditional Arabic" w:hint="cs"/>
          <w:szCs w:val="30"/>
          <w:rtl/>
          <w:lang w:bidi="ar-SY"/>
        </w:rPr>
        <w:t>﴾</w:t>
      </w:r>
      <w:r w:rsidR="006633B5" w:rsidRPr="00495BAB">
        <w:rPr>
          <w:rFonts w:hint="cs"/>
          <w:rtl/>
          <w:lang w:bidi="ar-SY"/>
        </w:rPr>
        <w:t xml:space="preserve"> </w:t>
      </w:r>
      <w:r w:rsidRPr="00495BAB">
        <w:rPr>
          <w:rFonts w:hint="cs"/>
          <w:rtl/>
          <w:lang w:bidi="ar-SY"/>
        </w:rPr>
        <w:t>سوى غنائم الحرب؟!</w:t>
      </w:r>
    </w:p>
    <w:p w:rsidR="00CD31AA" w:rsidRPr="00995B26" w:rsidRDefault="00CD31AA" w:rsidP="00495BAB">
      <w:pPr>
        <w:pStyle w:val="a0"/>
        <w:rPr>
          <w:rFonts w:hint="cs"/>
          <w:rtl/>
          <w:lang w:bidi="ar-SY"/>
        </w:rPr>
      </w:pPr>
      <w:r w:rsidRPr="00495BAB">
        <w:rPr>
          <w:rFonts w:hint="cs"/>
          <w:rtl/>
          <w:lang w:bidi="ar-SY"/>
        </w:rPr>
        <w:t>ولعل صاحب الردّ لما رأى في بعض التفاسير جملة: (أي في مقدوره، فواضلُ ونعمٌ ورزقٌ)</w:t>
      </w:r>
      <w:r w:rsidR="000C68EA" w:rsidRPr="000C68EA">
        <w:rPr>
          <w:rStyle w:val="FootnoteReference"/>
          <w:rFonts w:cs="Arabic11 BT"/>
          <w:rtl/>
          <w:lang w:bidi="ar-SY"/>
        </w:rPr>
        <w:t>(</w:t>
      </w:r>
      <w:r w:rsidR="000C68EA" w:rsidRPr="000C68EA">
        <w:rPr>
          <w:rStyle w:val="FootnoteReference"/>
          <w:rFonts w:cs="Arabic11 BT"/>
          <w:rtl/>
          <w:lang w:bidi="ar-SY"/>
        </w:rPr>
        <w:footnoteReference w:id="483"/>
      </w:r>
      <w:r w:rsidR="000C68EA" w:rsidRPr="000C68EA">
        <w:rPr>
          <w:rStyle w:val="FootnoteReference"/>
          <w:rFonts w:cs="Arabic11 BT"/>
          <w:rtl/>
          <w:lang w:bidi="ar-SY"/>
        </w:rPr>
        <w:t>)</w:t>
      </w:r>
      <w:r w:rsidRPr="00495BAB">
        <w:rPr>
          <w:rFonts w:hint="cs"/>
          <w:rtl/>
          <w:lang w:bidi="ar-SY"/>
        </w:rPr>
        <w:t xml:space="preserve"> تصور أن المراد من المغانم هنا هي ما يكون من الفواضل عند الله والنعم والرزق، لكنه غفل عما يلي: أولاً أن الآية نزلت بشأن وضع وحالة قُتِلَ فيها رجلٌ مسلمٌ بهدف نيل الغنيمة ومتاع الدنيا؛ ثانياً الآية في مقام الوعد بشيء هو نعم البدل؛ ثالثاً الآية وردت في وسط آيات متعلقة بالقتال، وقد وقع فيها قتل أيضاً؛ رابعاً أن الفواضل والنعم والرِّزق التي عند الله، إن لم ترجع إلى المقاتلين فما الفائدة منها؟ نعم كل شيء عند الله لكن ما علاقتنا أنا وأنت بذلك؟! خامساً: ما الذي أعطاهم الله إياه سوى المغانم الكثيرة؟ إذاً، أيها السيد العزيز! لا تخدعنَّك الألفاظ كثيرًا واستخدم عقلك جيدًا لفهم الآيات وتدبرها: </w:t>
      </w:r>
      <w:r w:rsidR="006633B5" w:rsidRPr="00995B26">
        <w:rPr>
          <w:rFonts w:cs="Traditional Arabic" w:hint="cs"/>
          <w:szCs w:val="30"/>
          <w:rtl/>
          <w:lang w:bidi="ar-SY"/>
        </w:rPr>
        <w:t>﴿</w:t>
      </w:r>
      <w:r w:rsidR="006633B5" w:rsidRPr="0067048A">
        <w:rPr>
          <w:rFonts w:ascii="KFGQPC Uthmanic Script HAFS" w:cs="KFGQPC Uthmanic Script HAFS" w:hint="eastAsia"/>
          <w:sz w:val="28"/>
          <w:szCs w:val="28"/>
          <w:rtl/>
        </w:rPr>
        <w:t>أَفَلَا</w:t>
      </w:r>
      <w:r w:rsidR="006633B5" w:rsidRPr="0067048A">
        <w:rPr>
          <w:rFonts w:ascii="KFGQPC Uthmanic Script HAFS" w:cs="KFGQPC Uthmanic Script HAFS"/>
          <w:sz w:val="28"/>
          <w:szCs w:val="28"/>
          <w:rtl/>
        </w:rPr>
        <w:t xml:space="preserve"> </w:t>
      </w:r>
      <w:r w:rsidR="006633B5" w:rsidRPr="0067048A">
        <w:rPr>
          <w:rFonts w:ascii="KFGQPC Uthmanic Script HAFS" w:cs="KFGQPC Uthmanic Script HAFS" w:hint="eastAsia"/>
          <w:sz w:val="28"/>
          <w:szCs w:val="28"/>
          <w:rtl/>
        </w:rPr>
        <w:t>يَتَدَبَّرُونَ</w:t>
      </w:r>
      <w:r w:rsidR="006633B5" w:rsidRPr="0067048A">
        <w:rPr>
          <w:rFonts w:ascii="KFGQPC Uthmanic Script HAFS" w:cs="KFGQPC Uthmanic Script HAFS"/>
          <w:sz w:val="28"/>
          <w:szCs w:val="28"/>
          <w:rtl/>
        </w:rPr>
        <w:t xml:space="preserve"> </w:t>
      </w:r>
      <w:r w:rsidR="006633B5" w:rsidRPr="0067048A">
        <w:rPr>
          <w:rFonts w:ascii="KFGQPC Uthmanic Script HAFS" w:cs="KFGQPC Uthmanic Script HAFS" w:hint="cs"/>
          <w:sz w:val="28"/>
          <w:szCs w:val="28"/>
          <w:rtl/>
        </w:rPr>
        <w:t>ٱ</w:t>
      </w:r>
      <w:r w:rsidR="006633B5" w:rsidRPr="0067048A">
        <w:rPr>
          <w:rFonts w:ascii="KFGQPC Uthmanic Script HAFS" w:cs="KFGQPC Uthmanic Script HAFS" w:hint="eastAsia"/>
          <w:sz w:val="28"/>
          <w:szCs w:val="28"/>
          <w:rtl/>
        </w:rPr>
        <w:t>ل</w:t>
      </w:r>
      <w:r w:rsidR="006633B5" w:rsidRPr="0067048A">
        <w:rPr>
          <w:rFonts w:ascii="KFGQPC Uthmanic Script HAFS" w:cs="KFGQPC Uthmanic Script HAFS" w:hint="cs"/>
          <w:sz w:val="28"/>
          <w:szCs w:val="28"/>
          <w:rtl/>
        </w:rPr>
        <w:t>ۡ</w:t>
      </w:r>
      <w:r w:rsidR="006633B5" w:rsidRPr="0067048A">
        <w:rPr>
          <w:rFonts w:ascii="KFGQPC Uthmanic Script HAFS" w:cs="KFGQPC Uthmanic Script HAFS" w:hint="eastAsia"/>
          <w:sz w:val="28"/>
          <w:szCs w:val="28"/>
          <w:rtl/>
        </w:rPr>
        <w:t>قُر</w:t>
      </w:r>
      <w:r w:rsidR="006633B5" w:rsidRPr="0067048A">
        <w:rPr>
          <w:rFonts w:ascii="KFGQPC Uthmanic Script HAFS" w:cs="KFGQPC Uthmanic Script HAFS" w:hint="cs"/>
          <w:sz w:val="28"/>
          <w:szCs w:val="28"/>
          <w:rtl/>
        </w:rPr>
        <w:t>ۡ</w:t>
      </w:r>
      <w:r w:rsidR="006633B5" w:rsidRPr="0067048A">
        <w:rPr>
          <w:rFonts w:ascii="KFGQPC Uthmanic Script HAFS" w:cs="KFGQPC Uthmanic Script HAFS" w:hint="eastAsia"/>
          <w:sz w:val="28"/>
          <w:szCs w:val="28"/>
          <w:rtl/>
        </w:rPr>
        <w:t>ءَانَ</w:t>
      </w:r>
      <w:r w:rsidR="006633B5" w:rsidRPr="0067048A">
        <w:rPr>
          <w:rFonts w:ascii="KFGQPC Uthmanic Script HAFS" w:cs="KFGQPC Uthmanic Script HAFS"/>
          <w:sz w:val="28"/>
          <w:szCs w:val="28"/>
          <w:rtl/>
        </w:rPr>
        <w:t xml:space="preserve"> </w:t>
      </w:r>
      <w:r w:rsidR="006633B5" w:rsidRPr="0067048A">
        <w:rPr>
          <w:rFonts w:ascii="KFGQPC Uthmanic Script HAFS" w:cs="KFGQPC Uthmanic Script HAFS" w:hint="eastAsia"/>
          <w:sz w:val="28"/>
          <w:szCs w:val="28"/>
          <w:rtl/>
        </w:rPr>
        <w:t>أَم</w:t>
      </w:r>
      <w:r w:rsidR="006633B5" w:rsidRPr="0067048A">
        <w:rPr>
          <w:rFonts w:ascii="KFGQPC Uthmanic Script HAFS" w:cs="KFGQPC Uthmanic Script HAFS" w:hint="cs"/>
          <w:sz w:val="28"/>
          <w:szCs w:val="28"/>
          <w:rtl/>
        </w:rPr>
        <w:t>ۡ</w:t>
      </w:r>
      <w:r w:rsidR="006633B5" w:rsidRPr="0067048A">
        <w:rPr>
          <w:rFonts w:ascii="KFGQPC Uthmanic Script HAFS" w:cs="KFGQPC Uthmanic Script HAFS"/>
          <w:sz w:val="28"/>
          <w:szCs w:val="28"/>
          <w:rtl/>
        </w:rPr>
        <w:t xml:space="preserve"> </w:t>
      </w:r>
      <w:r w:rsidR="006633B5" w:rsidRPr="0067048A">
        <w:rPr>
          <w:rFonts w:ascii="KFGQPC Uthmanic Script HAFS" w:cs="KFGQPC Uthmanic Script HAFS" w:hint="eastAsia"/>
          <w:sz w:val="28"/>
          <w:szCs w:val="28"/>
          <w:rtl/>
        </w:rPr>
        <w:t>عَلَى</w:t>
      </w:r>
      <w:r w:rsidR="006633B5" w:rsidRPr="0067048A">
        <w:rPr>
          <w:rFonts w:ascii="KFGQPC Uthmanic Script HAFS" w:cs="KFGQPC Uthmanic Script HAFS" w:hint="cs"/>
          <w:sz w:val="28"/>
          <w:szCs w:val="28"/>
          <w:rtl/>
        </w:rPr>
        <w:t>ٰ</w:t>
      </w:r>
      <w:r w:rsidR="006633B5" w:rsidRPr="0067048A">
        <w:rPr>
          <w:rFonts w:ascii="KFGQPC Uthmanic Script HAFS" w:cs="KFGQPC Uthmanic Script HAFS"/>
          <w:sz w:val="28"/>
          <w:szCs w:val="28"/>
          <w:rtl/>
        </w:rPr>
        <w:t xml:space="preserve"> </w:t>
      </w:r>
      <w:r w:rsidR="006633B5" w:rsidRPr="0067048A">
        <w:rPr>
          <w:rFonts w:ascii="KFGQPC Uthmanic Script HAFS" w:cs="KFGQPC Uthmanic Script HAFS" w:hint="eastAsia"/>
          <w:sz w:val="28"/>
          <w:szCs w:val="28"/>
          <w:rtl/>
        </w:rPr>
        <w:t>قُلُوبٍ</w:t>
      </w:r>
      <w:r w:rsidR="006633B5" w:rsidRPr="0067048A">
        <w:rPr>
          <w:rFonts w:ascii="KFGQPC Uthmanic Script HAFS" w:cs="KFGQPC Uthmanic Script HAFS"/>
          <w:sz w:val="28"/>
          <w:szCs w:val="28"/>
          <w:rtl/>
        </w:rPr>
        <w:t xml:space="preserve"> </w:t>
      </w:r>
      <w:r w:rsidR="006633B5" w:rsidRPr="0067048A">
        <w:rPr>
          <w:rFonts w:ascii="KFGQPC Uthmanic Script HAFS" w:cs="KFGQPC Uthmanic Script HAFS" w:hint="eastAsia"/>
          <w:sz w:val="28"/>
          <w:szCs w:val="28"/>
          <w:rtl/>
        </w:rPr>
        <w:t>أَق</w:t>
      </w:r>
      <w:r w:rsidR="006633B5" w:rsidRPr="0067048A">
        <w:rPr>
          <w:rFonts w:ascii="KFGQPC Uthmanic Script HAFS" w:cs="KFGQPC Uthmanic Script HAFS" w:hint="cs"/>
          <w:sz w:val="28"/>
          <w:szCs w:val="28"/>
          <w:rtl/>
        </w:rPr>
        <w:t>ۡ</w:t>
      </w:r>
      <w:r w:rsidR="006633B5" w:rsidRPr="0067048A">
        <w:rPr>
          <w:rFonts w:ascii="KFGQPC Uthmanic Script HAFS" w:cs="KFGQPC Uthmanic Script HAFS" w:hint="eastAsia"/>
          <w:sz w:val="28"/>
          <w:szCs w:val="28"/>
          <w:rtl/>
        </w:rPr>
        <w:t>فَالُهَا</w:t>
      </w:r>
      <w:r w:rsidR="006633B5" w:rsidRPr="0067048A">
        <w:rPr>
          <w:rFonts w:ascii="KFGQPC Uthmanic Script HAFS" w:cs="KFGQPC Uthmanic Script HAFS" w:hint="cs"/>
          <w:sz w:val="28"/>
          <w:szCs w:val="28"/>
          <w:rtl/>
        </w:rPr>
        <w:t>ٓ</w:t>
      </w:r>
      <w:r w:rsidR="006633B5" w:rsidRPr="0067048A">
        <w:rPr>
          <w:rFonts w:ascii="KFGQPC Uthmanic Script HAFS" w:cs="KFGQPC Uthmanic Script HAFS"/>
          <w:sz w:val="28"/>
          <w:szCs w:val="28"/>
          <w:rtl/>
        </w:rPr>
        <w:t xml:space="preserve"> </w:t>
      </w:r>
      <w:r w:rsidR="006633B5" w:rsidRPr="0067048A">
        <w:rPr>
          <w:rFonts w:ascii="KFGQPC Uthmanic Script HAFS" w:cs="KFGQPC Uthmanic Script HAFS" w:hint="cs"/>
          <w:sz w:val="28"/>
          <w:szCs w:val="28"/>
          <w:rtl/>
        </w:rPr>
        <w:t>٢٤</w:t>
      </w:r>
      <w:r w:rsidR="006633B5" w:rsidRPr="00995B26">
        <w:rPr>
          <w:rFonts w:cs="Traditional Arabic" w:hint="cs"/>
          <w:szCs w:val="30"/>
          <w:rtl/>
          <w:lang w:bidi="ar-SY"/>
        </w:rPr>
        <w:t>﴾</w:t>
      </w:r>
      <w:r w:rsidRPr="00495BAB">
        <w:rPr>
          <w:rtl/>
          <w:lang w:bidi="ar-SY"/>
        </w:rPr>
        <w:t xml:space="preserve"> </w:t>
      </w:r>
      <w:r w:rsidRPr="009E1401">
        <w:rPr>
          <w:rStyle w:val="Char2"/>
          <w:rtl/>
        </w:rPr>
        <w:t>[محمد</w:t>
      </w:r>
      <w:r w:rsidR="006633B5" w:rsidRPr="009E1401">
        <w:rPr>
          <w:rStyle w:val="Char2"/>
          <w:rFonts w:hint="cs"/>
          <w:rtl/>
        </w:rPr>
        <w:t xml:space="preserve">: </w:t>
      </w:r>
      <w:r w:rsidRPr="009E1401">
        <w:rPr>
          <w:rStyle w:val="Char2"/>
          <w:rtl/>
        </w:rPr>
        <w:t>24]</w:t>
      </w:r>
    </w:p>
    <w:p w:rsidR="00CD31AA" w:rsidRPr="00995B26" w:rsidRDefault="00CD31AA" w:rsidP="00495BAB">
      <w:pPr>
        <w:pStyle w:val="a0"/>
        <w:rPr>
          <w:rFonts w:hint="cs"/>
          <w:rtl/>
          <w:lang w:bidi="ar-SY"/>
        </w:rPr>
      </w:pPr>
      <w:r w:rsidRPr="00495BAB">
        <w:rPr>
          <w:rFonts w:hint="cs"/>
          <w:rtl/>
          <w:lang w:bidi="ar-SY"/>
        </w:rPr>
        <w:t>ثم كتب صاحب الردّ يقول: «</w:t>
      </w:r>
      <w:r w:rsidRPr="00995B26">
        <w:rPr>
          <w:rFonts w:cs="Akhbar MT" w:hint="cs"/>
          <w:szCs w:val="30"/>
          <w:rtl/>
          <w:lang w:bidi="ar-SY"/>
        </w:rPr>
        <w:t>وأمّا قول المؤلِّف أن سياق آية الخمس وما جاء قبلها وبعدها يبين أن القصد من الغنيمة في الآية هو غنيمة دار الحرب فقد أجبنا سابقًا عن هذا القول من كلمات علمائنا الكبار، وقلنا إن العبرة بعموم الوارد لا بخصوص المورد</w:t>
      </w:r>
      <w:r w:rsidRPr="00495BAB">
        <w:rPr>
          <w:rFonts w:hint="cs"/>
          <w:rtl/>
          <w:lang w:bidi="ar-SY"/>
        </w:rPr>
        <w:t>».</w:t>
      </w:r>
    </w:p>
    <w:p w:rsidR="00CD31AA" w:rsidRPr="00995B26" w:rsidRDefault="00CD31AA" w:rsidP="00495BAB">
      <w:pPr>
        <w:pStyle w:val="a0"/>
        <w:rPr>
          <w:rFonts w:hint="cs"/>
          <w:rtl/>
          <w:lang w:bidi="ar-SY"/>
        </w:rPr>
      </w:pPr>
      <w:r w:rsidRPr="00495BAB">
        <w:rPr>
          <w:rFonts w:hint="cs"/>
          <w:rtl/>
          <w:lang w:bidi="ar-SY"/>
        </w:rPr>
        <w:t xml:space="preserve">وأقول في الإجابة عن كلامه: إن ما يدل عليه نص القرآن وسياق الآيات هو أن الآية متعلّقة بغنيمة دار الحرب، كما أن سيرة رسول الله وسيرة مسلمي الصدر الأول: </w:t>
      </w:r>
      <w:r w:rsidR="006633B5" w:rsidRPr="00995B26">
        <w:rPr>
          <w:rFonts w:cs="Traditional Arabic" w:hint="cs"/>
          <w:szCs w:val="30"/>
          <w:rtl/>
          <w:lang w:bidi="ar-SY"/>
        </w:rPr>
        <w:t>﴿</w:t>
      </w:r>
      <w:r w:rsidR="006633B5" w:rsidRPr="0067048A">
        <w:rPr>
          <w:rFonts w:ascii="KFGQPC Uthmanic Script HAFS" w:cs="KFGQPC Uthmanic Script HAFS" w:hint="eastAsia"/>
          <w:sz w:val="28"/>
          <w:szCs w:val="28"/>
          <w:rtl/>
        </w:rPr>
        <w:t>وَ</w:t>
      </w:r>
      <w:r w:rsidR="006633B5" w:rsidRPr="0067048A">
        <w:rPr>
          <w:rFonts w:ascii="KFGQPC Uthmanic Script HAFS" w:cs="KFGQPC Uthmanic Script HAFS" w:hint="cs"/>
          <w:sz w:val="28"/>
          <w:szCs w:val="28"/>
          <w:rtl/>
        </w:rPr>
        <w:t>ٱ</w:t>
      </w:r>
      <w:r w:rsidR="006633B5" w:rsidRPr="0067048A">
        <w:rPr>
          <w:rFonts w:ascii="KFGQPC Uthmanic Script HAFS" w:cs="KFGQPC Uthmanic Script HAFS" w:hint="eastAsia"/>
          <w:sz w:val="28"/>
          <w:szCs w:val="28"/>
          <w:rtl/>
        </w:rPr>
        <w:t>لسَّ</w:t>
      </w:r>
      <w:r w:rsidR="006633B5" w:rsidRPr="0067048A">
        <w:rPr>
          <w:rFonts w:ascii="KFGQPC Uthmanic Script HAFS" w:cs="KFGQPC Uthmanic Script HAFS" w:hint="cs"/>
          <w:sz w:val="28"/>
          <w:szCs w:val="28"/>
          <w:rtl/>
        </w:rPr>
        <w:t>ٰ</w:t>
      </w:r>
      <w:r w:rsidR="006633B5" w:rsidRPr="0067048A">
        <w:rPr>
          <w:rFonts w:ascii="KFGQPC Uthmanic Script HAFS" w:cs="KFGQPC Uthmanic Script HAFS" w:hint="eastAsia"/>
          <w:sz w:val="28"/>
          <w:szCs w:val="28"/>
          <w:rtl/>
        </w:rPr>
        <w:t>بِقُونَ</w:t>
      </w:r>
      <w:r w:rsidR="006633B5" w:rsidRPr="0067048A">
        <w:rPr>
          <w:rFonts w:ascii="KFGQPC Uthmanic Script HAFS" w:cs="KFGQPC Uthmanic Script HAFS"/>
          <w:sz w:val="28"/>
          <w:szCs w:val="28"/>
          <w:rtl/>
        </w:rPr>
        <w:t xml:space="preserve"> </w:t>
      </w:r>
      <w:r w:rsidR="006633B5" w:rsidRPr="0067048A">
        <w:rPr>
          <w:rFonts w:ascii="KFGQPC Uthmanic Script HAFS" w:cs="KFGQPC Uthmanic Script HAFS" w:hint="cs"/>
          <w:sz w:val="28"/>
          <w:szCs w:val="28"/>
          <w:rtl/>
        </w:rPr>
        <w:t>ٱ</w:t>
      </w:r>
      <w:r w:rsidR="006633B5" w:rsidRPr="0067048A">
        <w:rPr>
          <w:rFonts w:ascii="KFGQPC Uthmanic Script HAFS" w:cs="KFGQPC Uthmanic Script HAFS" w:hint="eastAsia"/>
          <w:sz w:val="28"/>
          <w:szCs w:val="28"/>
          <w:rtl/>
        </w:rPr>
        <w:t>ل</w:t>
      </w:r>
      <w:r w:rsidR="006633B5" w:rsidRPr="0067048A">
        <w:rPr>
          <w:rFonts w:ascii="KFGQPC Uthmanic Script HAFS" w:cs="KFGQPC Uthmanic Script HAFS" w:hint="cs"/>
          <w:sz w:val="28"/>
          <w:szCs w:val="28"/>
          <w:rtl/>
        </w:rPr>
        <w:t>ۡ</w:t>
      </w:r>
      <w:r w:rsidR="006633B5" w:rsidRPr="0067048A">
        <w:rPr>
          <w:rFonts w:ascii="KFGQPC Uthmanic Script HAFS" w:cs="KFGQPC Uthmanic Script HAFS" w:hint="eastAsia"/>
          <w:sz w:val="28"/>
          <w:szCs w:val="28"/>
          <w:rtl/>
        </w:rPr>
        <w:t>أَوَّلُونَ</w:t>
      </w:r>
      <w:r w:rsidR="006633B5" w:rsidRPr="0067048A">
        <w:rPr>
          <w:rFonts w:ascii="KFGQPC Uthmanic Script HAFS" w:cs="KFGQPC Uthmanic Script HAFS"/>
          <w:sz w:val="28"/>
          <w:szCs w:val="28"/>
          <w:rtl/>
        </w:rPr>
        <w:t xml:space="preserve"> </w:t>
      </w:r>
      <w:r w:rsidR="006633B5" w:rsidRPr="0067048A">
        <w:rPr>
          <w:rFonts w:ascii="KFGQPC Uthmanic Script HAFS" w:cs="KFGQPC Uthmanic Script HAFS" w:hint="eastAsia"/>
          <w:sz w:val="28"/>
          <w:szCs w:val="28"/>
          <w:rtl/>
        </w:rPr>
        <w:t>مِنَ</w:t>
      </w:r>
      <w:r w:rsidR="006633B5" w:rsidRPr="0067048A">
        <w:rPr>
          <w:rFonts w:ascii="KFGQPC Uthmanic Script HAFS" w:cs="KFGQPC Uthmanic Script HAFS"/>
          <w:sz w:val="28"/>
          <w:szCs w:val="28"/>
          <w:rtl/>
        </w:rPr>
        <w:t xml:space="preserve"> </w:t>
      </w:r>
      <w:r w:rsidR="006633B5" w:rsidRPr="0067048A">
        <w:rPr>
          <w:rFonts w:ascii="KFGQPC Uthmanic Script HAFS" w:cs="KFGQPC Uthmanic Script HAFS" w:hint="cs"/>
          <w:sz w:val="28"/>
          <w:szCs w:val="28"/>
          <w:rtl/>
        </w:rPr>
        <w:t>ٱ</w:t>
      </w:r>
      <w:r w:rsidR="006633B5" w:rsidRPr="0067048A">
        <w:rPr>
          <w:rFonts w:ascii="KFGQPC Uthmanic Script HAFS" w:cs="KFGQPC Uthmanic Script HAFS" w:hint="eastAsia"/>
          <w:sz w:val="28"/>
          <w:szCs w:val="28"/>
          <w:rtl/>
        </w:rPr>
        <w:t>ل</w:t>
      </w:r>
      <w:r w:rsidR="006633B5" w:rsidRPr="0067048A">
        <w:rPr>
          <w:rFonts w:ascii="KFGQPC Uthmanic Script HAFS" w:cs="KFGQPC Uthmanic Script HAFS" w:hint="cs"/>
          <w:sz w:val="28"/>
          <w:szCs w:val="28"/>
          <w:rtl/>
        </w:rPr>
        <w:t>ۡ</w:t>
      </w:r>
      <w:r w:rsidR="006633B5" w:rsidRPr="0067048A">
        <w:rPr>
          <w:rFonts w:ascii="KFGQPC Uthmanic Script HAFS" w:cs="KFGQPC Uthmanic Script HAFS" w:hint="eastAsia"/>
          <w:sz w:val="28"/>
          <w:szCs w:val="28"/>
          <w:rtl/>
        </w:rPr>
        <w:t>مُهَ</w:t>
      </w:r>
      <w:r w:rsidR="006633B5" w:rsidRPr="0067048A">
        <w:rPr>
          <w:rFonts w:ascii="KFGQPC Uthmanic Script HAFS" w:cs="KFGQPC Uthmanic Script HAFS" w:hint="cs"/>
          <w:sz w:val="28"/>
          <w:szCs w:val="28"/>
          <w:rtl/>
        </w:rPr>
        <w:t>ٰ</w:t>
      </w:r>
      <w:r w:rsidR="006633B5" w:rsidRPr="0067048A">
        <w:rPr>
          <w:rFonts w:ascii="KFGQPC Uthmanic Script HAFS" w:cs="KFGQPC Uthmanic Script HAFS" w:hint="eastAsia"/>
          <w:sz w:val="28"/>
          <w:szCs w:val="28"/>
          <w:rtl/>
        </w:rPr>
        <w:t>جِرِينَ</w:t>
      </w:r>
      <w:r w:rsidR="006633B5" w:rsidRPr="0067048A">
        <w:rPr>
          <w:rFonts w:ascii="KFGQPC Uthmanic Script HAFS" w:cs="KFGQPC Uthmanic Script HAFS"/>
          <w:sz w:val="28"/>
          <w:szCs w:val="28"/>
          <w:rtl/>
        </w:rPr>
        <w:t xml:space="preserve"> </w:t>
      </w:r>
      <w:r w:rsidR="006633B5" w:rsidRPr="0067048A">
        <w:rPr>
          <w:rFonts w:ascii="KFGQPC Uthmanic Script HAFS" w:cs="KFGQPC Uthmanic Script HAFS" w:hint="eastAsia"/>
          <w:sz w:val="28"/>
          <w:szCs w:val="28"/>
          <w:rtl/>
        </w:rPr>
        <w:t>وَ</w:t>
      </w:r>
      <w:r w:rsidR="006633B5" w:rsidRPr="0067048A">
        <w:rPr>
          <w:rFonts w:ascii="KFGQPC Uthmanic Script HAFS" w:cs="KFGQPC Uthmanic Script HAFS" w:hint="cs"/>
          <w:sz w:val="28"/>
          <w:szCs w:val="28"/>
          <w:rtl/>
        </w:rPr>
        <w:t>ٱ</w:t>
      </w:r>
      <w:r w:rsidR="006633B5" w:rsidRPr="0067048A">
        <w:rPr>
          <w:rFonts w:ascii="KFGQPC Uthmanic Script HAFS" w:cs="KFGQPC Uthmanic Script HAFS" w:hint="eastAsia"/>
          <w:sz w:val="28"/>
          <w:szCs w:val="28"/>
          <w:rtl/>
        </w:rPr>
        <w:t>ل</w:t>
      </w:r>
      <w:r w:rsidR="006633B5" w:rsidRPr="0067048A">
        <w:rPr>
          <w:rFonts w:ascii="KFGQPC Uthmanic Script HAFS" w:cs="KFGQPC Uthmanic Script HAFS" w:hint="cs"/>
          <w:sz w:val="28"/>
          <w:szCs w:val="28"/>
          <w:rtl/>
        </w:rPr>
        <w:t>ۡ</w:t>
      </w:r>
      <w:r w:rsidR="006633B5" w:rsidRPr="0067048A">
        <w:rPr>
          <w:rFonts w:ascii="KFGQPC Uthmanic Script HAFS" w:cs="KFGQPC Uthmanic Script HAFS" w:hint="eastAsia"/>
          <w:sz w:val="28"/>
          <w:szCs w:val="28"/>
          <w:rtl/>
        </w:rPr>
        <w:t>أَنصَارِ</w:t>
      </w:r>
      <w:r w:rsidR="006633B5" w:rsidRPr="00995B26">
        <w:rPr>
          <w:rFonts w:cs="Traditional Arabic" w:hint="cs"/>
          <w:szCs w:val="30"/>
          <w:rtl/>
          <w:lang w:bidi="ar-SY"/>
        </w:rPr>
        <w:t>﴾</w:t>
      </w:r>
      <w:r w:rsidRPr="00495BAB">
        <w:rPr>
          <w:rFonts w:hint="cs"/>
          <w:rtl/>
          <w:lang w:bidi="ar-SY"/>
        </w:rPr>
        <w:t xml:space="preserve"> تشهد بأن الآية متعلقة بغنيمة دار الحرب، كما يشهد تاريخ الإسلام أيضاً أنه لم يُسمَع يومًا بين خلفاء المسلمين - سواء كانوا خلفاء بحق أم بباطل - أيُّ كلام يفيد أن هذه الآية تتحدَّث عن غنيمةٍ سوى غنيمة دار الحرب، إلى أن بدأ يُقال مثل هذا الكلام بعد ثلاث</w:t>
      </w:r>
      <w:r w:rsidR="00755AAC">
        <w:rPr>
          <w:rFonts w:hint="cs"/>
          <w:rtl/>
          <w:lang w:bidi="ar-SY"/>
        </w:rPr>
        <w:t>مائة</w:t>
      </w:r>
      <w:r w:rsidRPr="00495BAB">
        <w:rPr>
          <w:rFonts w:hint="cs"/>
          <w:rtl/>
          <w:lang w:bidi="ar-SY"/>
        </w:rPr>
        <w:t xml:space="preserve"> عام من نزول القرآن، عندما وقع الخلاف والنزاع بين المسلمين بدسائس أعداء الإسلام والفتن التي بثوها بين المسلمين، مما أدى لنشأة الفرق والمذاهب المتعددة وانتشار الأفكار المخالفة لما شرعه شارع الإسلام في هذا الدين المبين. </w:t>
      </w:r>
    </w:p>
    <w:p w:rsidR="00CD31AA" w:rsidRPr="00995B26" w:rsidRDefault="00CD31AA" w:rsidP="00495BAB">
      <w:pPr>
        <w:pStyle w:val="a0"/>
        <w:rPr>
          <w:rtl/>
          <w:lang w:bidi="ar-SY"/>
        </w:rPr>
      </w:pPr>
      <w:r w:rsidRPr="00495BAB">
        <w:rPr>
          <w:rFonts w:hint="cs"/>
          <w:rtl/>
          <w:lang w:bidi="ar-SY"/>
        </w:rPr>
        <w:t xml:space="preserve">فإن قال علماؤك العُظَماء مثل هذا الكلام، ففي الموضع الذي يكون كلامهم مخالفًا للحقيقة وفيه تعَدٍّ عليها، لا شأن لنا به؛ ونحن من حيث المبدأ، ليس عندنا عظماء سوى الله تعالى ورسوله </w:t>
      </w:r>
      <w:r w:rsidRPr="00495BAB">
        <w:rPr>
          <w:rFonts w:ascii="Abo-thar" w:hAnsi="Abo-thar"/>
          <w:sz w:val="28"/>
          <w:lang w:bidi="fa-IR"/>
        </w:rPr>
        <w:t></w:t>
      </w:r>
      <w:r w:rsidRPr="00495BAB">
        <w:rPr>
          <w:rFonts w:hint="cs"/>
          <w:rtl/>
          <w:lang w:bidi="ar-SY"/>
        </w:rPr>
        <w:t>. أما أولئك العظماء الخاصّين بك فهنيئًا لك بهم! لأننا نعوذ بالله أن نكون ممن يجيبون على قول رسول الله الكريم عندما ينادي في أرض المحشر غدًا يوم القيامة قائلًا، كما جاء في نص القرآن:</w:t>
      </w:r>
      <w:r w:rsidR="006633B5" w:rsidRPr="00495BAB">
        <w:rPr>
          <w:rFonts w:hint="cs"/>
          <w:rtl/>
          <w:lang w:bidi="ar-SY"/>
        </w:rPr>
        <w:t xml:space="preserve"> </w:t>
      </w:r>
      <w:r w:rsidR="006633B5" w:rsidRPr="00995B26">
        <w:rPr>
          <w:rFonts w:cs="Traditional Arabic" w:hint="cs"/>
          <w:szCs w:val="30"/>
          <w:rtl/>
          <w:lang w:bidi="ar-SY"/>
        </w:rPr>
        <w:t>﴿</w:t>
      </w:r>
      <w:r w:rsidR="006633B5" w:rsidRPr="0067048A">
        <w:rPr>
          <w:rFonts w:ascii="KFGQPC Uthmanic Script HAFS" w:cs="KFGQPC Uthmanic Script HAFS" w:hint="eastAsia"/>
          <w:sz w:val="28"/>
          <w:szCs w:val="28"/>
          <w:rtl/>
        </w:rPr>
        <w:t>يَ</w:t>
      </w:r>
      <w:r w:rsidR="006633B5" w:rsidRPr="0067048A">
        <w:rPr>
          <w:rFonts w:ascii="KFGQPC Uthmanic Script HAFS" w:cs="KFGQPC Uthmanic Script HAFS" w:hint="cs"/>
          <w:sz w:val="28"/>
          <w:szCs w:val="28"/>
          <w:rtl/>
        </w:rPr>
        <w:t>ٰ</w:t>
      </w:r>
      <w:r w:rsidR="006633B5" w:rsidRPr="0067048A">
        <w:rPr>
          <w:rFonts w:ascii="KFGQPC Uthmanic Script HAFS" w:cs="KFGQPC Uthmanic Script HAFS" w:hint="eastAsia"/>
          <w:sz w:val="28"/>
          <w:szCs w:val="28"/>
          <w:rtl/>
        </w:rPr>
        <w:t>رَبِّ</w:t>
      </w:r>
      <w:r w:rsidR="006633B5" w:rsidRPr="0067048A">
        <w:rPr>
          <w:rFonts w:ascii="KFGQPC Uthmanic Script HAFS" w:cs="KFGQPC Uthmanic Script HAFS" w:hint="cs"/>
          <w:sz w:val="28"/>
          <w:szCs w:val="28"/>
          <w:rtl/>
        </w:rPr>
        <w:t xml:space="preserve"> </w:t>
      </w:r>
      <w:r w:rsidR="006633B5" w:rsidRPr="0067048A">
        <w:rPr>
          <w:rFonts w:ascii="KFGQPC Uthmanic Script HAFS" w:cs="KFGQPC Uthmanic Script HAFS" w:hint="eastAsia"/>
          <w:sz w:val="28"/>
          <w:szCs w:val="28"/>
          <w:rtl/>
        </w:rPr>
        <w:t>إِنَّ</w:t>
      </w:r>
      <w:r w:rsidR="006633B5" w:rsidRPr="0067048A">
        <w:rPr>
          <w:rFonts w:ascii="KFGQPC Uthmanic Script HAFS" w:cs="KFGQPC Uthmanic Script HAFS"/>
          <w:sz w:val="28"/>
          <w:szCs w:val="28"/>
          <w:rtl/>
        </w:rPr>
        <w:t xml:space="preserve"> </w:t>
      </w:r>
      <w:r w:rsidR="006633B5" w:rsidRPr="0067048A">
        <w:rPr>
          <w:rFonts w:ascii="KFGQPC Uthmanic Script HAFS" w:cs="KFGQPC Uthmanic Script HAFS" w:hint="eastAsia"/>
          <w:sz w:val="28"/>
          <w:szCs w:val="28"/>
          <w:rtl/>
        </w:rPr>
        <w:t>قَو</w:t>
      </w:r>
      <w:r w:rsidR="006633B5" w:rsidRPr="0067048A">
        <w:rPr>
          <w:rFonts w:ascii="KFGQPC Uthmanic Script HAFS" w:cs="KFGQPC Uthmanic Script HAFS" w:hint="cs"/>
          <w:sz w:val="28"/>
          <w:szCs w:val="28"/>
          <w:rtl/>
        </w:rPr>
        <w:t>ۡ</w:t>
      </w:r>
      <w:r w:rsidR="006633B5" w:rsidRPr="0067048A">
        <w:rPr>
          <w:rFonts w:ascii="KFGQPC Uthmanic Script HAFS" w:cs="KFGQPC Uthmanic Script HAFS" w:hint="eastAsia"/>
          <w:sz w:val="28"/>
          <w:szCs w:val="28"/>
          <w:rtl/>
        </w:rPr>
        <w:t>مِي</w:t>
      </w:r>
      <w:r w:rsidR="006633B5" w:rsidRPr="0067048A">
        <w:rPr>
          <w:rFonts w:ascii="KFGQPC Uthmanic Script HAFS" w:cs="KFGQPC Uthmanic Script HAFS"/>
          <w:sz w:val="28"/>
          <w:szCs w:val="28"/>
          <w:rtl/>
        </w:rPr>
        <w:t xml:space="preserve"> </w:t>
      </w:r>
      <w:r w:rsidR="006633B5" w:rsidRPr="0067048A">
        <w:rPr>
          <w:rFonts w:ascii="KFGQPC Uthmanic Script HAFS" w:cs="KFGQPC Uthmanic Script HAFS" w:hint="cs"/>
          <w:sz w:val="28"/>
          <w:szCs w:val="28"/>
          <w:rtl/>
        </w:rPr>
        <w:t>ٱ</w:t>
      </w:r>
      <w:r w:rsidR="006633B5" w:rsidRPr="0067048A">
        <w:rPr>
          <w:rFonts w:ascii="KFGQPC Uthmanic Script HAFS" w:cs="KFGQPC Uthmanic Script HAFS" w:hint="eastAsia"/>
          <w:sz w:val="28"/>
          <w:szCs w:val="28"/>
          <w:rtl/>
        </w:rPr>
        <w:t>تَّخَذُواْ</w:t>
      </w:r>
      <w:r w:rsidR="006633B5" w:rsidRPr="0067048A">
        <w:rPr>
          <w:rFonts w:ascii="KFGQPC Uthmanic Script HAFS" w:cs="KFGQPC Uthmanic Script HAFS"/>
          <w:sz w:val="28"/>
          <w:szCs w:val="28"/>
          <w:rtl/>
        </w:rPr>
        <w:t xml:space="preserve"> </w:t>
      </w:r>
      <w:r w:rsidR="006633B5" w:rsidRPr="0067048A">
        <w:rPr>
          <w:rFonts w:ascii="KFGQPC Uthmanic Script HAFS" w:cs="KFGQPC Uthmanic Script HAFS" w:hint="eastAsia"/>
          <w:sz w:val="28"/>
          <w:szCs w:val="28"/>
          <w:rtl/>
        </w:rPr>
        <w:t>هَ</w:t>
      </w:r>
      <w:r w:rsidR="006633B5" w:rsidRPr="0067048A">
        <w:rPr>
          <w:rFonts w:ascii="KFGQPC Uthmanic Script HAFS" w:cs="KFGQPC Uthmanic Script HAFS" w:hint="cs"/>
          <w:sz w:val="28"/>
          <w:szCs w:val="28"/>
          <w:rtl/>
        </w:rPr>
        <w:t>ٰ</w:t>
      </w:r>
      <w:r w:rsidR="006633B5" w:rsidRPr="0067048A">
        <w:rPr>
          <w:rFonts w:ascii="KFGQPC Uthmanic Script HAFS" w:cs="KFGQPC Uthmanic Script HAFS" w:hint="eastAsia"/>
          <w:sz w:val="28"/>
          <w:szCs w:val="28"/>
          <w:rtl/>
        </w:rPr>
        <w:t>ذَا</w:t>
      </w:r>
      <w:r w:rsidR="006633B5" w:rsidRPr="0067048A">
        <w:rPr>
          <w:rFonts w:ascii="KFGQPC Uthmanic Script HAFS" w:cs="KFGQPC Uthmanic Script HAFS"/>
          <w:sz w:val="28"/>
          <w:szCs w:val="28"/>
          <w:rtl/>
        </w:rPr>
        <w:t xml:space="preserve"> </w:t>
      </w:r>
      <w:r w:rsidR="006633B5" w:rsidRPr="0067048A">
        <w:rPr>
          <w:rFonts w:ascii="KFGQPC Uthmanic Script HAFS" w:cs="KFGQPC Uthmanic Script HAFS" w:hint="cs"/>
          <w:sz w:val="28"/>
          <w:szCs w:val="28"/>
          <w:rtl/>
        </w:rPr>
        <w:t>ٱ</w:t>
      </w:r>
      <w:r w:rsidR="006633B5" w:rsidRPr="0067048A">
        <w:rPr>
          <w:rFonts w:ascii="KFGQPC Uthmanic Script HAFS" w:cs="KFGQPC Uthmanic Script HAFS" w:hint="eastAsia"/>
          <w:sz w:val="28"/>
          <w:szCs w:val="28"/>
          <w:rtl/>
        </w:rPr>
        <w:t>ل</w:t>
      </w:r>
      <w:r w:rsidR="006633B5" w:rsidRPr="0067048A">
        <w:rPr>
          <w:rFonts w:ascii="KFGQPC Uthmanic Script HAFS" w:cs="KFGQPC Uthmanic Script HAFS" w:hint="cs"/>
          <w:sz w:val="28"/>
          <w:szCs w:val="28"/>
          <w:rtl/>
        </w:rPr>
        <w:t>ۡ</w:t>
      </w:r>
      <w:r w:rsidR="006633B5" w:rsidRPr="0067048A">
        <w:rPr>
          <w:rFonts w:ascii="KFGQPC Uthmanic Script HAFS" w:cs="KFGQPC Uthmanic Script HAFS" w:hint="eastAsia"/>
          <w:sz w:val="28"/>
          <w:szCs w:val="28"/>
          <w:rtl/>
        </w:rPr>
        <w:t>قُر</w:t>
      </w:r>
      <w:r w:rsidR="006633B5" w:rsidRPr="0067048A">
        <w:rPr>
          <w:rFonts w:ascii="KFGQPC Uthmanic Script HAFS" w:cs="KFGQPC Uthmanic Script HAFS" w:hint="cs"/>
          <w:sz w:val="28"/>
          <w:szCs w:val="28"/>
          <w:rtl/>
        </w:rPr>
        <w:t>ۡ</w:t>
      </w:r>
      <w:r w:rsidR="006633B5" w:rsidRPr="0067048A">
        <w:rPr>
          <w:rFonts w:ascii="KFGQPC Uthmanic Script HAFS" w:cs="KFGQPC Uthmanic Script HAFS" w:hint="eastAsia"/>
          <w:sz w:val="28"/>
          <w:szCs w:val="28"/>
          <w:rtl/>
        </w:rPr>
        <w:t>ءَانَ</w:t>
      </w:r>
      <w:r w:rsidR="006633B5" w:rsidRPr="0067048A">
        <w:rPr>
          <w:rFonts w:ascii="KFGQPC Uthmanic Script HAFS" w:cs="KFGQPC Uthmanic Script HAFS"/>
          <w:sz w:val="28"/>
          <w:szCs w:val="28"/>
          <w:rtl/>
        </w:rPr>
        <w:t xml:space="preserve"> </w:t>
      </w:r>
      <w:r w:rsidR="006633B5" w:rsidRPr="0067048A">
        <w:rPr>
          <w:rFonts w:ascii="KFGQPC Uthmanic Script HAFS" w:cs="KFGQPC Uthmanic Script HAFS" w:hint="eastAsia"/>
          <w:sz w:val="28"/>
          <w:szCs w:val="28"/>
          <w:rtl/>
        </w:rPr>
        <w:t>مَه</w:t>
      </w:r>
      <w:r w:rsidR="006633B5" w:rsidRPr="0067048A">
        <w:rPr>
          <w:rFonts w:ascii="KFGQPC Uthmanic Script HAFS" w:cs="KFGQPC Uthmanic Script HAFS" w:hint="cs"/>
          <w:sz w:val="28"/>
          <w:szCs w:val="28"/>
          <w:rtl/>
        </w:rPr>
        <w:t>ۡ</w:t>
      </w:r>
      <w:r w:rsidR="006633B5" w:rsidRPr="0067048A">
        <w:rPr>
          <w:rFonts w:ascii="KFGQPC Uthmanic Script HAFS" w:cs="KFGQPC Uthmanic Script HAFS" w:hint="eastAsia"/>
          <w:sz w:val="28"/>
          <w:szCs w:val="28"/>
          <w:rtl/>
        </w:rPr>
        <w:t>جُور</w:t>
      </w:r>
      <w:r w:rsidR="006633B5" w:rsidRPr="0067048A">
        <w:rPr>
          <w:rFonts w:ascii="KFGQPC Uthmanic Script HAFS" w:cs="KFGQPC Uthmanic Script HAFS" w:hint="cs"/>
          <w:sz w:val="28"/>
          <w:szCs w:val="28"/>
          <w:rtl/>
        </w:rPr>
        <w:t>ٗ</w:t>
      </w:r>
      <w:r w:rsidR="006633B5" w:rsidRPr="0067048A">
        <w:rPr>
          <w:rFonts w:ascii="KFGQPC Uthmanic Script HAFS" w:cs="KFGQPC Uthmanic Script HAFS" w:hint="eastAsia"/>
          <w:sz w:val="28"/>
          <w:szCs w:val="28"/>
          <w:rtl/>
        </w:rPr>
        <w:t>ا</w:t>
      </w:r>
      <w:r w:rsidR="006633B5" w:rsidRPr="00995B26">
        <w:rPr>
          <w:rFonts w:cs="Traditional Arabic" w:hint="cs"/>
          <w:szCs w:val="30"/>
          <w:rtl/>
          <w:lang w:bidi="ar-SY"/>
        </w:rPr>
        <w:t>﴾</w:t>
      </w:r>
      <w:r w:rsidRPr="00495BAB">
        <w:rPr>
          <w:rtl/>
          <w:lang w:bidi="ar-SY"/>
        </w:rPr>
        <w:t xml:space="preserve"> </w:t>
      </w:r>
      <w:r w:rsidRPr="009E1401">
        <w:rPr>
          <w:rStyle w:val="Char2"/>
          <w:rtl/>
        </w:rPr>
        <w:t>[الفرقان</w:t>
      </w:r>
      <w:r w:rsidR="006633B5" w:rsidRPr="009E1401">
        <w:rPr>
          <w:rStyle w:val="Char2"/>
          <w:rFonts w:hint="cs"/>
          <w:rtl/>
        </w:rPr>
        <w:t xml:space="preserve">: </w:t>
      </w:r>
      <w:r w:rsidRPr="009E1401">
        <w:rPr>
          <w:rStyle w:val="Char2"/>
          <w:rtl/>
        </w:rPr>
        <w:t>30]</w:t>
      </w:r>
      <w:r w:rsidRPr="00495BAB">
        <w:rPr>
          <w:rFonts w:hint="cs"/>
          <w:rtl/>
          <w:lang w:bidi="ar-SY"/>
        </w:rPr>
        <w:t xml:space="preserve"> فنجيب عن تلك التأويلات الباطلة التي في غير محلِّها قائلين:</w:t>
      </w:r>
      <w:r w:rsidR="006633B5" w:rsidRPr="00495BAB">
        <w:rPr>
          <w:rFonts w:hint="cs"/>
          <w:rtl/>
          <w:lang w:bidi="ar-SY"/>
        </w:rPr>
        <w:t xml:space="preserve"> </w:t>
      </w:r>
      <w:r w:rsidR="006633B5" w:rsidRPr="00995B26">
        <w:rPr>
          <w:rFonts w:cs="Traditional Arabic" w:hint="cs"/>
          <w:szCs w:val="30"/>
          <w:rtl/>
          <w:lang w:bidi="ar-SY"/>
        </w:rPr>
        <w:t>﴿</w:t>
      </w:r>
      <w:r w:rsidR="006633B5" w:rsidRPr="0067048A">
        <w:rPr>
          <w:rFonts w:ascii="KFGQPC Uthmanic Script HAFS" w:cs="KFGQPC Uthmanic Script HAFS" w:hint="eastAsia"/>
          <w:sz w:val="28"/>
          <w:szCs w:val="28"/>
          <w:rtl/>
        </w:rPr>
        <w:t>رَبَّنَا</w:t>
      </w:r>
      <w:r w:rsidR="006633B5" w:rsidRPr="0067048A">
        <w:rPr>
          <w:rFonts w:ascii="KFGQPC Uthmanic Script HAFS" w:cs="KFGQPC Uthmanic Script HAFS" w:hint="cs"/>
          <w:sz w:val="28"/>
          <w:szCs w:val="28"/>
          <w:rtl/>
        </w:rPr>
        <w:t>ٓ</w:t>
      </w:r>
      <w:r w:rsidR="006633B5" w:rsidRPr="0067048A">
        <w:rPr>
          <w:rFonts w:ascii="KFGQPC Uthmanic Script HAFS" w:cs="KFGQPC Uthmanic Script HAFS"/>
          <w:sz w:val="28"/>
          <w:szCs w:val="28"/>
          <w:rtl/>
        </w:rPr>
        <w:t xml:space="preserve"> </w:t>
      </w:r>
      <w:r w:rsidR="006633B5" w:rsidRPr="0067048A">
        <w:rPr>
          <w:rFonts w:ascii="KFGQPC Uthmanic Script HAFS" w:cs="KFGQPC Uthmanic Script HAFS" w:hint="eastAsia"/>
          <w:sz w:val="28"/>
          <w:szCs w:val="28"/>
          <w:rtl/>
        </w:rPr>
        <w:t>إِنَّا</w:t>
      </w:r>
      <w:r w:rsidR="006633B5" w:rsidRPr="0067048A">
        <w:rPr>
          <w:rFonts w:ascii="KFGQPC Uthmanic Script HAFS" w:cs="KFGQPC Uthmanic Script HAFS" w:hint="cs"/>
          <w:sz w:val="28"/>
          <w:szCs w:val="28"/>
          <w:rtl/>
        </w:rPr>
        <w:t>ٓ</w:t>
      </w:r>
      <w:r w:rsidR="006633B5" w:rsidRPr="0067048A">
        <w:rPr>
          <w:rFonts w:ascii="KFGQPC Uthmanic Script HAFS" w:cs="KFGQPC Uthmanic Script HAFS"/>
          <w:sz w:val="28"/>
          <w:szCs w:val="28"/>
          <w:rtl/>
        </w:rPr>
        <w:t xml:space="preserve"> </w:t>
      </w:r>
      <w:r w:rsidR="006633B5" w:rsidRPr="0067048A">
        <w:rPr>
          <w:rFonts w:ascii="KFGQPC Uthmanic Script HAFS" w:cs="KFGQPC Uthmanic Script HAFS" w:hint="eastAsia"/>
          <w:sz w:val="28"/>
          <w:szCs w:val="28"/>
          <w:rtl/>
        </w:rPr>
        <w:t>أَطَع</w:t>
      </w:r>
      <w:r w:rsidR="006633B5" w:rsidRPr="0067048A">
        <w:rPr>
          <w:rFonts w:ascii="KFGQPC Uthmanic Script HAFS" w:cs="KFGQPC Uthmanic Script HAFS" w:hint="cs"/>
          <w:sz w:val="28"/>
          <w:szCs w:val="28"/>
          <w:rtl/>
        </w:rPr>
        <w:t>ۡ</w:t>
      </w:r>
      <w:r w:rsidR="006633B5" w:rsidRPr="0067048A">
        <w:rPr>
          <w:rFonts w:ascii="KFGQPC Uthmanic Script HAFS" w:cs="KFGQPC Uthmanic Script HAFS" w:hint="eastAsia"/>
          <w:sz w:val="28"/>
          <w:szCs w:val="28"/>
          <w:rtl/>
        </w:rPr>
        <w:t>نَا</w:t>
      </w:r>
      <w:r w:rsidR="006633B5" w:rsidRPr="0067048A">
        <w:rPr>
          <w:rFonts w:ascii="KFGQPC Uthmanic Script HAFS" w:cs="KFGQPC Uthmanic Script HAFS"/>
          <w:sz w:val="28"/>
          <w:szCs w:val="28"/>
          <w:rtl/>
        </w:rPr>
        <w:t xml:space="preserve"> </w:t>
      </w:r>
      <w:r w:rsidR="006633B5" w:rsidRPr="0067048A">
        <w:rPr>
          <w:rFonts w:ascii="KFGQPC Uthmanic Script HAFS" w:cs="KFGQPC Uthmanic Script HAFS" w:hint="eastAsia"/>
          <w:sz w:val="28"/>
          <w:szCs w:val="28"/>
          <w:rtl/>
        </w:rPr>
        <w:t>سَادَتَنَا</w:t>
      </w:r>
      <w:r w:rsidR="006633B5" w:rsidRPr="0067048A">
        <w:rPr>
          <w:rFonts w:ascii="KFGQPC Uthmanic Script HAFS" w:cs="KFGQPC Uthmanic Script HAFS"/>
          <w:sz w:val="28"/>
          <w:szCs w:val="28"/>
          <w:rtl/>
        </w:rPr>
        <w:t xml:space="preserve"> </w:t>
      </w:r>
      <w:r w:rsidR="006633B5" w:rsidRPr="0067048A">
        <w:rPr>
          <w:rFonts w:ascii="KFGQPC Uthmanic Script HAFS" w:cs="KFGQPC Uthmanic Script HAFS" w:hint="eastAsia"/>
          <w:sz w:val="28"/>
          <w:szCs w:val="28"/>
          <w:rtl/>
        </w:rPr>
        <w:t>وَكُبَرَا</w:t>
      </w:r>
      <w:r w:rsidR="006633B5" w:rsidRPr="0067048A">
        <w:rPr>
          <w:rFonts w:ascii="KFGQPC Uthmanic Script HAFS" w:cs="KFGQPC Uthmanic Script HAFS" w:hint="cs"/>
          <w:sz w:val="28"/>
          <w:szCs w:val="28"/>
          <w:rtl/>
        </w:rPr>
        <w:t>ٓ</w:t>
      </w:r>
      <w:r w:rsidR="006633B5" w:rsidRPr="0067048A">
        <w:rPr>
          <w:rFonts w:ascii="KFGQPC Uthmanic Script HAFS" w:cs="KFGQPC Uthmanic Script HAFS" w:hint="eastAsia"/>
          <w:sz w:val="28"/>
          <w:szCs w:val="28"/>
          <w:rtl/>
        </w:rPr>
        <w:t>ءَنَا</w:t>
      </w:r>
      <w:r w:rsidR="006633B5" w:rsidRPr="0067048A">
        <w:rPr>
          <w:rFonts w:ascii="KFGQPC Uthmanic Script HAFS" w:cs="KFGQPC Uthmanic Script HAFS"/>
          <w:sz w:val="28"/>
          <w:szCs w:val="28"/>
          <w:rtl/>
        </w:rPr>
        <w:t xml:space="preserve"> </w:t>
      </w:r>
      <w:r w:rsidR="006633B5" w:rsidRPr="0067048A">
        <w:rPr>
          <w:rFonts w:ascii="KFGQPC Uthmanic Script HAFS" w:cs="KFGQPC Uthmanic Script HAFS" w:hint="eastAsia"/>
          <w:sz w:val="28"/>
          <w:szCs w:val="28"/>
          <w:rtl/>
        </w:rPr>
        <w:t>فَأَضَلُّونَا</w:t>
      </w:r>
      <w:r w:rsidR="006633B5" w:rsidRPr="0067048A">
        <w:rPr>
          <w:rFonts w:ascii="KFGQPC Uthmanic Script HAFS" w:cs="KFGQPC Uthmanic Script HAFS"/>
          <w:sz w:val="28"/>
          <w:szCs w:val="28"/>
          <w:rtl/>
        </w:rPr>
        <w:t xml:space="preserve"> </w:t>
      </w:r>
      <w:r w:rsidR="006633B5" w:rsidRPr="0067048A">
        <w:rPr>
          <w:rFonts w:ascii="KFGQPC Uthmanic Script HAFS" w:cs="KFGQPC Uthmanic Script HAFS" w:hint="cs"/>
          <w:sz w:val="28"/>
          <w:szCs w:val="28"/>
          <w:rtl/>
        </w:rPr>
        <w:t>ٱ</w:t>
      </w:r>
      <w:r w:rsidR="006633B5" w:rsidRPr="0067048A">
        <w:rPr>
          <w:rFonts w:ascii="KFGQPC Uthmanic Script HAFS" w:cs="KFGQPC Uthmanic Script HAFS" w:hint="eastAsia"/>
          <w:sz w:val="28"/>
          <w:szCs w:val="28"/>
          <w:rtl/>
        </w:rPr>
        <w:t>لسَّبِيلَا</w:t>
      </w:r>
      <w:r w:rsidR="006633B5" w:rsidRPr="0067048A">
        <w:rPr>
          <w:rFonts w:ascii="KFGQPC Uthmanic Script HAFS" w:cs="KFGQPC Uthmanic Script HAFS" w:hint="cs"/>
          <w:sz w:val="28"/>
          <w:szCs w:val="28"/>
          <w:rtl/>
        </w:rPr>
        <w:t>۠</w:t>
      </w:r>
      <w:r w:rsidR="006633B5" w:rsidRPr="00995B26">
        <w:rPr>
          <w:rFonts w:cs="Traditional Arabic" w:hint="cs"/>
          <w:szCs w:val="30"/>
          <w:rtl/>
          <w:lang w:bidi="ar-SY"/>
        </w:rPr>
        <w:t>﴾</w:t>
      </w:r>
      <w:r w:rsidRPr="00495BAB">
        <w:rPr>
          <w:rFonts w:hint="cs"/>
          <w:rtl/>
          <w:lang w:bidi="ar-SY"/>
        </w:rPr>
        <w:t xml:space="preserve"> </w:t>
      </w:r>
      <w:r w:rsidRPr="009E1401">
        <w:rPr>
          <w:rStyle w:val="Char2"/>
          <w:rtl/>
        </w:rPr>
        <w:t>[الأحزاب</w:t>
      </w:r>
      <w:r w:rsidR="006633B5" w:rsidRPr="009E1401">
        <w:rPr>
          <w:rStyle w:val="Char2"/>
          <w:rFonts w:hint="cs"/>
          <w:rtl/>
        </w:rPr>
        <w:t xml:space="preserve">: </w:t>
      </w:r>
      <w:r w:rsidRPr="009E1401">
        <w:rPr>
          <w:rStyle w:val="Char2"/>
          <w:rtl/>
        </w:rPr>
        <w:t>67]</w:t>
      </w:r>
      <w:r w:rsidRPr="00495BAB">
        <w:rPr>
          <w:rFonts w:hint="cs"/>
          <w:rtl/>
          <w:lang w:bidi="ar-SY"/>
        </w:rPr>
        <w:t>.</w:t>
      </w:r>
    </w:p>
    <w:p w:rsidR="00CD31AA" w:rsidRPr="00495BAB" w:rsidRDefault="00CD31AA" w:rsidP="005B1B5C">
      <w:pPr>
        <w:pStyle w:val="a0"/>
        <w:spacing w:line="226" w:lineRule="auto"/>
        <w:rPr>
          <w:rFonts w:hint="cs"/>
          <w:rtl/>
          <w:lang w:bidi="ar-SY"/>
        </w:rPr>
      </w:pPr>
      <w:r w:rsidRPr="00495BAB">
        <w:rPr>
          <w:rFonts w:hint="cs"/>
          <w:rtl/>
          <w:lang w:bidi="ar-SY"/>
        </w:rPr>
        <w:t xml:space="preserve">ثم أورد المؤلف (أي كاتب رسالة الرد) في رسالته الصغيرة اسم </w:t>
      </w:r>
      <w:r w:rsidR="00755AAC">
        <w:rPr>
          <w:rFonts w:hint="cs"/>
          <w:rtl/>
          <w:lang w:bidi="ar-SY"/>
        </w:rPr>
        <w:t>مائة</w:t>
      </w:r>
      <w:r w:rsidRPr="00495BAB">
        <w:rPr>
          <w:rFonts w:hint="cs"/>
          <w:rtl/>
          <w:lang w:bidi="ar-SY"/>
        </w:rPr>
        <w:t xml:space="preserve"> شخص أو </w:t>
      </w:r>
      <w:r w:rsidR="00755AAC">
        <w:rPr>
          <w:rFonts w:hint="cs"/>
          <w:rtl/>
          <w:lang w:bidi="ar-SY"/>
        </w:rPr>
        <w:t>مائة</w:t>
      </w:r>
      <w:r w:rsidRPr="00495BAB">
        <w:rPr>
          <w:rFonts w:hint="cs"/>
          <w:rtl/>
          <w:lang w:bidi="ar-SY"/>
        </w:rPr>
        <w:t xml:space="preserve"> موضع لأشخاص استندوا إلى هذه الآية لإثبات الخُمس، لإثبات ما يدَّعيه من أن آية الغنيمة تشمل بعمومها كل أصناف الأموال التي يأخذون خُمسها اليوم، ولسوء الحظ، فإن بعض أصحاب تلك الأسماء هم من العامَّة (أي أهل السنَّة) الذين لا يؤمنون على الإطلاق بمثل هذا الخمس الذي تؤمن به الشيعة الإمامية، ولا يمكن استنباط ما يؤيد هذا الخُمس من أقوالهم، أما في كلمات كثير من الباقين من أولئك ال</w:t>
      </w:r>
      <w:r w:rsidR="00755AAC">
        <w:rPr>
          <w:rFonts w:hint="cs"/>
          <w:rtl/>
          <w:lang w:bidi="ar-SY"/>
        </w:rPr>
        <w:t>مائة</w:t>
      </w:r>
      <w:r w:rsidRPr="00495BAB">
        <w:rPr>
          <w:rFonts w:hint="cs"/>
          <w:rtl/>
          <w:lang w:bidi="ar-SY"/>
        </w:rPr>
        <w:t xml:space="preserve"> - علمًا أنه كرر اسم بعضهم أكثر من مرة ليصل بالعدد إلى ال</w:t>
      </w:r>
      <w:r w:rsidR="00755AAC">
        <w:rPr>
          <w:rFonts w:hint="cs"/>
          <w:rtl/>
          <w:lang w:bidi="ar-SY"/>
        </w:rPr>
        <w:t>مائة</w:t>
      </w:r>
      <w:r w:rsidRPr="00495BAB">
        <w:rPr>
          <w:rFonts w:hint="cs"/>
          <w:rtl/>
          <w:lang w:bidi="ar-SY"/>
        </w:rPr>
        <w:t>، فكرر مثلاً اسم الشيخ الصدوق أربع مرات، واسم الشيخ المفيد مرتين، واسم الشيخ الطوسي ست مرات، واسم المحقِّق مرتين، واسم العلامة الحلي اثنتي عشرة مرة، واسم الفاضل المقداد مرتين، واسم الشهيد الثاني مرتين، واسم الشيخ يوسف البحراني مرتين، واسم الشيخ عبد الله الممقاني ثلاث مرات، واسم السيد علي الرامهرمزي مرتين - فقد أراد كل واحد منهم أن يستدل بالآية المذكورة على قصده من خلال عبارات مثل: (نحن نعدِّي معنى الكلمة) و(يمكن الاستدلال...) ونحو ذلك</w:t>
      </w:r>
      <w:r w:rsidR="00AB28A0" w:rsidRPr="00495BAB">
        <w:rPr>
          <w:rFonts w:hint="cs"/>
          <w:rtl/>
          <w:lang w:bidi="ar-SY"/>
        </w:rPr>
        <w:t>.</w:t>
      </w:r>
      <w:r w:rsidRPr="00495BAB">
        <w:rPr>
          <w:rFonts w:hint="cs"/>
          <w:rtl/>
          <w:lang w:bidi="ar-SY"/>
        </w:rPr>
        <w:t>..، وكانت بعض عبارات أولئك الأشخاص ال</w:t>
      </w:r>
      <w:r w:rsidR="00755AAC">
        <w:rPr>
          <w:rFonts w:hint="cs"/>
          <w:rtl/>
          <w:lang w:bidi="ar-SY"/>
        </w:rPr>
        <w:t>مائة</w:t>
      </w:r>
      <w:r w:rsidRPr="00495BAB">
        <w:rPr>
          <w:rFonts w:hint="cs"/>
          <w:rtl/>
          <w:lang w:bidi="ar-SY"/>
        </w:rPr>
        <w:t xml:space="preserve"> أو ال</w:t>
      </w:r>
      <w:r w:rsidR="00755AAC">
        <w:rPr>
          <w:rFonts w:hint="cs"/>
          <w:rtl/>
          <w:lang w:bidi="ar-SY"/>
        </w:rPr>
        <w:t>مائة</w:t>
      </w:r>
      <w:r w:rsidRPr="00495BAB">
        <w:rPr>
          <w:rFonts w:hint="cs"/>
          <w:rtl/>
          <w:lang w:bidi="ar-SY"/>
        </w:rPr>
        <w:t xml:space="preserve"> مورد، مخالفة لرأيه، وحسب تعبيره: لا تصبُّ في صالحه، بل هي ضد رأيه وإن لم ينتبه إلى ذلك! فمثلًا: نقل في الصفحتين 8 و27 من رسالته عن الزُّهري وعن كتاب </w:t>
      </w:r>
      <w:r w:rsidRPr="00495BAB">
        <w:rPr>
          <w:rFonts w:hint="cs"/>
          <w:b/>
          <w:bCs/>
          <w:rtl/>
          <w:lang w:bidi="ar-SY"/>
        </w:rPr>
        <w:t>معيار اللغة</w:t>
      </w:r>
      <w:r w:rsidRPr="00495BAB">
        <w:rPr>
          <w:rFonts w:hint="cs"/>
          <w:rtl/>
          <w:lang w:bidi="ar-SY"/>
        </w:rPr>
        <w:t>،</w:t>
      </w:r>
      <w:r w:rsidR="000C68EA" w:rsidRPr="000C68EA">
        <w:rPr>
          <w:rStyle w:val="FootnoteReference"/>
          <w:rFonts w:cs="Arabic11 BT"/>
          <w:rtl/>
          <w:lang w:bidi="ar-SY"/>
        </w:rPr>
        <w:t>(</w:t>
      </w:r>
      <w:r w:rsidR="000C68EA" w:rsidRPr="000C68EA">
        <w:rPr>
          <w:rStyle w:val="FootnoteReference"/>
          <w:rFonts w:cs="Arabic11 BT"/>
          <w:rtl/>
          <w:lang w:bidi="ar-SY"/>
        </w:rPr>
        <w:footnoteReference w:id="484"/>
      </w:r>
      <w:r w:rsidR="000C68EA" w:rsidRPr="000C68EA">
        <w:rPr>
          <w:rStyle w:val="FootnoteReference"/>
          <w:rFonts w:cs="Arabic11 BT"/>
          <w:rtl/>
          <w:lang w:bidi="ar-SY"/>
        </w:rPr>
        <w:t>)</w:t>
      </w:r>
      <w:r w:rsidRPr="00495BAB">
        <w:rPr>
          <w:rFonts w:hint="cs"/>
          <w:rtl/>
          <w:lang w:bidi="ar-SY"/>
        </w:rPr>
        <w:t xml:space="preserve"> أن معنى كلمة «الغنيمة»: (الفوز بالشيء بلا مشقَّة)، وأورد في الصفحة 10 عن ابن فارس أن معنى «الغنيمة»: (إفادةُ شيءٍ لم يُمْلَك)، ونقل في الصفحتين 13 و16 عن الزمخشري وابن منظور عبارة: (</w:t>
      </w:r>
      <w:r w:rsidRPr="00495BAB">
        <w:rPr>
          <w:rtl/>
          <w:lang w:bidi="ar-SY"/>
        </w:rPr>
        <w:t>ل</w:t>
      </w:r>
      <w:r w:rsidRPr="00495BAB">
        <w:rPr>
          <w:rFonts w:hint="cs"/>
          <w:rtl/>
          <w:lang w:bidi="ar-SY"/>
        </w:rPr>
        <w:t>َ</w:t>
      </w:r>
      <w:r w:rsidRPr="00495BAB">
        <w:rPr>
          <w:rtl/>
          <w:lang w:bidi="ar-SY"/>
        </w:rPr>
        <w:t>ك</w:t>
      </w:r>
      <w:r w:rsidRPr="00495BAB">
        <w:rPr>
          <w:rFonts w:hint="cs"/>
          <w:rtl/>
          <w:lang w:bidi="ar-SY"/>
        </w:rPr>
        <w:t>َ</w:t>
      </w:r>
      <w:r w:rsidRPr="00495BAB">
        <w:rPr>
          <w:rtl/>
          <w:lang w:bidi="ar-SY"/>
        </w:rPr>
        <w:t xml:space="preserve"> غُنْمُه</w:t>
      </w:r>
      <w:r w:rsidRPr="00495BAB">
        <w:rPr>
          <w:rFonts w:hint="cs"/>
          <w:rtl/>
          <w:lang w:bidi="ar-SY"/>
        </w:rPr>
        <w:t>ُ</w:t>
      </w:r>
      <w:r w:rsidRPr="00495BAB">
        <w:rPr>
          <w:rtl/>
          <w:lang w:bidi="ar-SY"/>
        </w:rPr>
        <w:t xml:space="preserve"> و</w:t>
      </w:r>
      <w:r w:rsidRPr="00495BAB">
        <w:rPr>
          <w:rFonts w:hint="cs"/>
          <w:rtl/>
          <w:lang w:bidi="ar-SY"/>
        </w:rPr>
        <w:t>َ</w:t>
      </w:r>
      <w:r w:rsidRPr="00495BAB">
        <w:rPr>
          <w:rtl/>
          <w:lang w:bidi="ar-SY"/>
        </w:rPr>
        <w:t>ع</w:t>
      </w:r>
      <w:r w:rsidRPr="00495BAB">
        <w:rPr>
          <w:rFonts w:hint="cs"/>
          <w:rtl/>
          <w:lang w:bidi="ar-SY"/>
        </w:rPr>
        <w:t>َ</w:t>
      </w:r>
      <w:r w:rsidRPr="00495BAB">
        <w:rPr>
          <w:rtl/>
          <w:lang w:bidi="ar-SY"/>
        </w:rPr>
        <w:t>ل</w:t>
      </w:r>
      <w:r w:rsidRPr="00495BAB">
        <w:rPr>
          <w:rFonts w:hint="cs"/>
          <w:rtl/>
          <w:lang w:bidi="ar-SY"/>
        </w:rPr>
        <w:t>َ</w:t>
      </w:r>
      <w:r w:rsidRPr="00495BAB">
        <w:rPr>
          <w:rtl/>
          <w:lang w:bidi="ar-SY"/>
        </w:rPr>
        <w:t>ي</w:t>
      </w:r>
      <w:r w:rsidRPr="00495BAB">
        <w:rPr>
          <w:rFonts w:hint="cs"/>
          <w:rtl/>
          <w:lang w:bidi="ar-SY"/>
        </w:rPr>
        <w:t>ْهِ</w:t>
      </w:r>
      <w:r w:rsidRPr="00495BAB">
        <w:rPr>
          <w:rtl/>
          <w:lang w:bidi="ar-SY"/>
        </w:rPr>
        <w:t xml:space="preserve"> غُرْمُه</w:t>
      </w:r>
      <w:r w:rsidRPr="00495BAB">
        <w:rPr>
          <w:rFonts w:hint="cs"/>
          <w:rtl/>
          <w:lang w:bidi="ar-SY"/>
        </w:rPr>
        <w:t xml:space="preserve">ُ)، و ذكر في الصفحة 21 عن المجلسي الأول قولًا أحد احتمالاته أن تكون «الغنيمة» عامَّة. وأورد في الصفحة 24 عن الشيخ إسماعيل الحقي قوله: (الغُنْم الفوز بالشيء، وأصل الغنيمة إصابة الغَنَم من العدو، ثم اتّسع وأُطلِق على كل ما أُصيب منهم كائنًا ما كان). ونقل في الصفحة 27 عن مؤلف </w:t>
      </w:r>
      <w:r w:rsidRPr="00495BAB">
        <w:rPr>
          <w:rFonts w:hint="cs"/>
          <w:b/>
          <w:bCs/>
          <w:rtl/>
          <w:lang w:bidi="ar-SY"/>
        </w:rPr>
        <w:t>منتهى الأرب</w:t>
      </w:r>
      <w:r w:rsidRPr="00495BAB">
        <w:rPr>
          <w:rFonts w:hint="cs"/>
          <w:rtl/>
          <w:lang w:bidi="ar-SY"/>
        </w:rPr>
        <w:t xml:space="preserve"> قوله: (غَنِمَ الشيءَ: فازَ به)؛ فمن بين أولئك الأشخاص أو الموارد ال</w:t>
      </w:r>
      <w:r w:rsidR="00755AAC">
        <w:rPr>
          <w:rFonts w:hint="cs"/>
          <w:rtl/>
          <w:lang w:bidi="ar-SY"/>
        </w:rPr>
        <w:t>مائة</w:t>
      </w:r>
      <w:r w:rsidRPr="00495BAB">
        <w:rPr>
          <w:rFonts w:hint="cs"/>
          <w:rtl/>
          <w:lang w:bidi="ar-SY"/>
        </w:rPr>
        <w:t xml:space="preserve">، هناك حوالي 40 شخصًا أو موردًا خارجون عن القائمة، وعشرة منهم معارضون لرأيه! أي هناك عشرة ممن ذكرهم، يقولون في الواقع مثل قولنا ويثبتون ما ندعيه، وهو أن «الغنيمة» خاصة بدار الحرب، أو كما قال صاحب القاموس: (الفوز بالشيء بلا مشقَّة). </w:t>
      </w:r>
    </w:p>
    <w:p w:rsidR="00CD31AA" w:rsidRPr="00495BAB" w:rsidRDefault="00CD31AA" w:rsidP="00495BAB">
      <w:pPr>
        <w:pStyle w:val="a0"/>
        <w:rPr>
          <w:rFonts w:hint="cs"/>
          <w:rtl/>
          <w:lang w:bidi="ar-SY"/>
        </w:rPr>
      </w:pPr>
      <w:r w:rsidRPr="00495BAB">
        <w:rPr>
          <w:rFonts w:hint="cs"/>
          <w:rtl/>
          <w:lang w:bidi="ar-SY"/>
        </w:rPr>
        <w:t xml:space="preserve">وأما رَصْفُ أسماء خمسين شخصًا أو خمسين موردًا ممن أرادوا أن يستدلوا بالآية الكريمة على قصدهم من خلال عبارات من مثل: (يمكن الاستدلال.... و نحن نُعَدِّي) فإن هذا يُذَكّرنا بالمثل المعروف القائل: (يمكن إبعاد </w:t>
      </w:r>
      <w:r w:rsidR="00755AAC">
        <w:rPr>
          <w:rFonts w:hint="cs"/>
          <w:rtl/>
          <w:lang w:bidi="ar-SY"/>
        </w:rPr>
        <w:t>مائة</w:t>
      </w:r>
      <w:r w:rsidRPr="00495BAB">
        <w:rPr>
          <w:rFonts w:hint="cs"/>
          <w:rtl/>
          <w:lang w:bidi="ar-SY"/>
        </w:rPr>
        <w:t xml:space="preserve"> غراب بحجرة واحدة)، والذين يستندون إلى آيات القرآن وإلى سنة نبي آخر الزمان، وسيرة جميع مسلمي الصدر الأول، لا يخيفهم رَصْف أسماء مئات آلاف الأشخاص الذين يعرضون آراءهم المعارضة للقرآن، بل لو ذهب جميع أهل الدنيا إلى أمر مخالف للقرآن فإن المؤمنين بالقرآن لا يأبهون بهم، ولا يعيرونهم اهتمامًا.</w:t>
      </w:r>
    </w:p>
    <w:p w:rsidR="00CD31AA" w:rsidRPr="00495BAB" w:rsidRDefault="00CD31AA" w:rsidP="005B1B5C">
      <w:pPr>
        <w:pStyle w:val="a6"/>
        <w:rPr>
          <w:rFonts w:hint="cs"/>
          <w:rtl/>
          <w:lang w:bidi="ar-SY"/>
        </w:rPr>
      </w:pPr>
      <w:bookmarkStart w:id="195" w:name="_Toc387843122"/>
      <w:r w:rsidRPr="00495BAB">
        <w:rPr>
          <w:rFonts w:hint="cs"/>
          <w:rtl/>
          <w:lang w:bidi="ar-SY"/>
        </w:rPr>
        <w:t>النتيجة</w:t>
      </w:r>
      <w:bookmarkEnd w:id="195"/>
    </w:p>
    <w:p w:rsidR="00CD31AA" w:rsidRPr="00495BAB" w:rsidRDefault="00CD31AA" w:rsidP="00495BAB">
      <w:pPr>
        <w:pStyle w:val="a0"/>
        <w:rPr>
          <w:rFonts w:hint="cs"/>
          <w:rtl/>
          <w:lang w:bidi="ar-SY"/>
        </w:rPr>
      </w:pPr>
      <w:r w:rsidRPr="00495BAB">
        <w:rPr>
          <w:rFonts w:hint="cs"/>
          <w:rtl/>
          <w:lang w:bidi="ar-SY"/>
        </w:rPr>
        <w:t>يعترض السيد استادي على قولنا: إن فقهاء الإسلام من العامة والخاصة لا يختلفون في أن كلمة «الغنيمة» التي وردت في الآية الكريمة إنما تتعلق بغنيمة دار الحرب، لكنه لم ينتبه إلى أننا لم نقل إن أيًّا من أولئك العلماء لم يعمِّم معنى «الغنيمة» إلى سائر الأشياء، لذلك تحمَّل كلَّ ذلك العَناء. بناءً على ذلك، فإننا نجيب عن ظنونه وأوهامه في الفقرات الآتية:</w:t>
      </w:r>
    </w:p>
    <w:p w:rsidR="00CD31AA" w:rsidRPr="00495BAB" w:rsidRDefault="00CD31AA" w:rsidP="005B1B5C">
      <w:pPr>
        <w:pStyle w:val="a0"/>
        <w:ind w:left="624" w:hanging="340"/>
        <w:rPr>
          <w:rFonts w:hint="cs"/>
          <w:rtl/>
          <w:lang w:bidi="ar-SY"/>
        </w:rPr>
      </w:pPr>
      <w:r w:rsidRPr="00495BAB">
        <w:rPr>
          <w:rFonts w:hint="cs"/>
          <w:rtl/>
          <w:lang w:bidi="ar-SY"/>
        </w:rPr>
        <w:t>1- نحن لم نقل أبدًا إن فقهاء العامّة والخاصّة جميعًا حصروا معنى كلمة «الغنيمة» في غنائم دار الحرب، ولا ينبغي أن نقول ذلك، لأننا قرأنا معظم كتب الفقه ونعرف أساليبها، لذلك قلنا في بداية كلامنا: لقد تشبث بعض الناس بهذه الكلمة وتمسكوا بها لإثبات مقصدهم، لكننا رغم ذلك نشاهد أن كثيرًا من فقهاء الشيعة لا يجيزون التمسك بهذه الآية لإثبات الخمس في الأشياء السبعة، بل يحيلون الدليل على وجوب الخمس فيها إلى الإجماع أو إلى الأخبار؛ والذين يتمسكون بهذه الآية في هذا الأمر يقولون: (يمكن الاستدلال بها) أو يصرحون قائلين بأننا مضطرون لتعدية معنى الكلمة في الآية (فلا بد من التعدِّي) أي لا يمكننا الاكتفاء بهذا المعنى الذي جاء في الآية، لأننا عندئذٍ لن يكون لدينا أي دليل لأخذ ذلك الخمس، لذا (فنحن نتعدَّى منه).</w:t>
      </w:r>
    </w:p>
    <w:p w:rsidR="00CD31AA" w:rsidRPr="00495BAB" w:rsidRDefault="00CD31AA" w:rsidP="005B1B5C">
      <w:pPr>
        <w:pStyle w:val="a0"/>
        <w:ind w:left="624" w:firstLine="0"/>
        <w:rPr>
          <w:rFonts w:hint="cs"/>
          <w:rtl/>
          <w:lang w:bidi="ar-SY"/>
        </w:rPr>
      </w:pPr>
      <w:r w:rsidRPr="00495BAB">
        <w:rPr>
          <w:rFonts w:hint="cs"/>
          <w:rtl/>
          <w:lang w:bidi="ar-SY"/>
        </w:rPr>
        <w:t>أضِف إلى ذلك أننا لا يمكننا بأي وجهٍ من الوجوه أن نرجِّح الفريق الثاني من العلماء الذين يقولون صراحةً: إننا نتعدَّى المعنى الظاهر للآية، ولا شأن لنا بمعناها الواقعي، على الفريق الأول الذين فهموا من الآية المعنى الذي نفهمه، اللهم إلى أن نقول كما يقول «موريس ميترلينغ»: «إن هناك فريقًا من رجال الدين يقولون كلامهم بجدّيّةٍ بالغةٍ تجعلك تظن وكأنهم تناولوا طعام الغذاء مع الله!!»، لأنه ليس لديهم أي دليل من اللغة والكتاب والسنة، كما أن التاريخ واللغة والكتاب والسنة والسيرة كلها تشهد بخلاف ما يقولون.</w:t>
      </w:r>
    </w:p>
    <w:p w:rsidR="00CD31AA" w:rsidRPr="00495BAB" w:rsidRDefault="00CD31AA" w:rsidP="005B1B5C">
      <w:pPr>
        <w:pStyle w:val="a0"/>
        <w:ind w:left="624" w:hanging="340"/>
        <w:rPr>
          <w:rFonts w:hint="cs"/>
          <w:rtl/>
          <w:lang w:bidi="ar-SY"/>
        </w:rPr>
      </w:pPr>
      <w:r w:rsidRPr="00495BAB">
        <w:rPr>
          <w:rFonts w:hint="cs"/>
          <w:rtl/>
          <w:lang w:bidi="ar-SY"/>
        </w:rPr>
        <w:t>2- نحن نقول لا أثر ولا خبر في كتاب الله ولا في سنة رسول الله لمثل هذا الخمس الذي يدّعونه الآن. إن نبي الإسلام ليس كزردشت أو بوذا اللَّذَيْن ضاعت سيرتهما في ظلمات القرون والعصور. لقد عاش نبي الإسلام أكثر من ثلاثة وعشرين عامًا بين مسلمين ربما بلغ عددهم منذ بداية بعثته إلى زمن رحيله عن الدنيا حوالي مليون نفر، وبلغ من عظمة شأنه وشهرته أن كتب في زمن حياته الشريفة رسائل إلى ستةٍ من عظماء ملوك ورؤساء الدنيا في ذلك الزمن، دعاهم فيها إلى دينه. فلو أخذ مثل هذا النبيّ الخمسَ، بالصورة التي يقولونها اليوم، من أحدٍ من الناس، لما خفي ذلك على الناس أو على أصحابه على أقل تقدير، في حين أننا لا نجد في تاريخ حضرة النبي ولا في تاريخ مسلمي صدر الإسلام ولا في سيرة خلفاء النبي - بالحق أم بالباطل - أي إشارة إلى هذا الخمس، كما لا نجد حتى ثلاث</w:t>
      </w:r>
      <w:r w:rsidR="00755AAC">
        <w:rPr>
          <w:rFonts w:hint="cs"/>
          <w:rtl/>
          <w:lang w:bidi="ar-SY"/>
        </w:rPr>
        <w:t>مائة</w:t>
      </w:r>
      <w:r w:rsidRPr="00495BAB">
        <w:rPr>
          <w:rFonts w:hint="cs"/>
          <w:rtl/>
          <w:lang w:bidi="ar-SY"/>
        </w:rPr>
        <w:t xml:space="preserve"> سنة بعد ظهور الإسلام أي آثار مكتوبة أو تاريخية تفيد أن هناك مسلمًا ادعى مثل هذا الأمر.</w:t>
      </w:r>
    </w:p>
    <w:p w:rsidR="00CD31AA" w:rsidRPr="00495BAB" w:rsidRDefault="00CD31AA" w:rsidP="005B1B5C">
      <w:pPr>
        <w:pStyle w:val="a0"/>
        <w:ind w:left="624" w:hanging="340"/>
        <w:rPr>
          <w:rFonts w:hint="cs"/>
          <w:rtl/>
          <w:lang w:bidi="ar-SY"/>
        </w:rPr>
      </w:pPr>
      <w:r w:rsidRPr="00495BAB">
        <w:rPr>
          <w:rFonts w:hint="cs"/>
          <w:rtl/>
          <w:lang w:bidi="ar-SY"/>
        </w:rPr>
        <w:t>3- بدأ ظهور هذه الادعاءات عندما استطاع المفرِّقون لوحدة المسلمين أن ينشئوا فِرَقًا انفصلت عن المسلمين وأوجدوا مذاهب متعدِّدة، ولا ريب أن روح الإسلام بريئة من هذا التفرُّق والتشتُّت.</w:t>
      </w:r>
    </w:p>
    <w:p w:rsidR="00CD31AA" w:rsidRPr="00495BAB" w:rsidRDefault="00CD31AA" w:rsidP="005B1B5C">
      <w:pPr>
        <w:pStyle w:val="a0"/>
        <w:ind w:left="624" w:hanging="340"/>
        <w:rPr>
          <w:lang w:bidi="ar-SY"/>
        </w:rPr>
      </w:pPr>
      <w:r w:rsidRPr="00495BAB">
        <w:rPr>
          <w:rFonts w:hint="cs"/>
          <w:rtl/>
          <w:lang w:bidi="ar-SY"/>
        </w:rPr>
        <w:t xml:space="preserve">4- لو قبلنا على سبيل الفرض بوجود مثل هذا الأمر في الإسلام لكان ذلك وصمة عار في جبين الشريعة، لأنه لا يمكن لرسول الله </w:t>
      </w:r>
      <w:r w:rsidRPr="00495BAB">
        <w:rPr>
          <w:rFonts w:ascii="Abo-thar" w:hAnsi="Abo-thar"/>
          <w:sz w:val="28"/>
          <w:lang w:bidi="fa-IR"/>
        </w:rPr>
        <w:t></w:t>
      </w:r>
      <w:r w:rsidRPr="00495BAB">
        <w:rPr>
          <w:rFonts w:hint="cs"/>
          <w:rtl/>
          <w:lang w:bidi="ar-SY"/>
        </w:rPr>
        <w:t xml:space="preserve"> الذي لم يسأل أحدًا أجرًا على رسالته - كما هي سنة الأنبياء من قبله - أن يفرض على أتباعه أن يدفعوا خمس أموال الدنيا إلى ذريته وأقربائه؛ وما من عاقل يخفى عليه أن في هذا القول توجيه ضربة شديدة لصورة الإسلام.</w:t>
      </w:r>
    </w:p>
    <w:p w:rsidR="00CD31AA" w:rsidRPr="00495BAB" w:rsidRDefault="00CD31AA" w:rsidP="005B1B5C">
      <w:pPr>
        <w:pStyle w:val="a0"/>
        <w:ind w:left="624" w:hanging="340"/>
        <w:rPr>
          <w:rFonts w:hint="cs"/>
          <w:rtl/>
          <w:lang w:bidi="ar-SY"/>
        </w:rPr>
      </w:pPr>
      <w:r w:rsidRPr="00495BAB">
        <w:rPr>
          <w:rFonts w:hint="cs"/>
          <w:rtl/>
          <w:lang w:bidi="ar-SY"/>
        </w:rPr>
        <w:t>5- لو سلمنا بصحة هذه الأخبار والأحاديث التي جميعها أو معظمها - كما حققنا ذلك في كتابنا الخمس - من رواية أولئك الغلاة والوضاعين الذين استطاعوا في زمن حضور الأئمة أنفسهم أن يضعوا على ألسنتهم ثلاثين ألف وأربعين ألف حديث وينشروها، فما بالك بما وضعوه بعد وفاة الأئمة، فإننا مع ذلك نرى أن في جميع تلك الأحاديث تم تحليل الخمس للشيعة، فلو فرضنا أن الأئمة كانوا زمن حياتهم بحاجة إلى مثل هذا الخمس، فكيف يُؤخَذ هذا الخُمس اليوم باسمهم من شيعتهم رغم أنهم لم يعودوا موجودين في هذه الدنيا؟!</w:t>
      </w:r>
    </w:p>
    <w:p w:rsidR="00CD31AA" w:rsidRPr="00495BAB" w:rsidRDefault="00CD31AA" w:rsidP="005B1B5C">
      <w:pPr>
        <w:pStyle w:val="a0"/>
        <w:ind w:left="624" w:hanging="340"/>
        <w:rPr>
          <w:rFonts w:hint="cs"/>
          <w:rtl/>
          <w:lang w:bidi="ar-SY"/>
        </w:rPr>
      </w:pPr>
      <w:r w:rsidRPr="00495BAB">
        <w:rPr>
          <w:rFonts w:hint="cs"/>
          <w:rtl/>
          <w:lang w:bidi="ar-SY"/>
        </w:rPr>
        <w:t xml:space="preserve">6- لماذا تُؤْخذ الغنيمة - التي تعني لغةً المال الذي يناله الإنسان بلا مشقة، وتعني اصطلاحًا وشرعًا الأموال التي تعود إلى المسلمين من الكفار المحاربين - من كل عجوز تغزل الخيوط، وكل حمَّال يحمل الحطب على ظهره، وكل عامل يعمل بتقطيع الحطب وأمثال هؤلاء الأفراد الكادحين، في حين أن (أوساخ أيدي الناس) محرمة على النبي وأهل بيته، ورغم ذلك يأخذها الشيوخ من كل عامل باسم النبي الأكرم </w:t>
      </w:r>
      <w:r w:rsidRPr="00495BAB">
        <w:rPr>
          <w:rFonts w:ascii="Abo-thar" w:hAnsi="Abo-thar"/>
          <w:sz w:val="28"/>
          <w:lang w:bidi="fa-IR"/>
        </w:rPr>
        <w:t></w:t>
      </w:r>
      <w:r w:rsidRPr="00495BAB">
        <w:rPr>
          <w:rFonts w:hint="cs"/>
          <w:rtl/>
          <w:lang w:bidi="ar-SY"/>
        </w:rPr>
        <w:t xml:space="preserve">؟! </w:t>
      </w:r>
    </w:p>
    <w:p w:rsidR="00CD31AA" w:rsidRPr="00495BAB" w:rsidRDefault="00CD31AA" w:rsidP="005B1B5C">
      <w:pPr>
        <w:pStyle w:val="a0"/>
        <w:ind w:left="624" w:hanging="340"/>
        <w:rPr>
          <w:rFonts w:hint="cs"/>
          <w:rtl/>
          <w:lang w:bidi="ar-SY"/>
        </w:rPr>
      </w:pPr>
      <w:r w:rsidRPr="00495BAB">
        <w:rPr>
          <w:rFonts w:hint="cs"/>
          <w:rtl/>
          <w:lang w:bidi="ar-SY"/>
        </w:rPr>
        <w:t>7 - لا ندري ما السبب الذي يحمل هؤلاء السادة على إخراج الآية الكريمة عن معناها الأصلي، الذي يدل العقل والوجدان والتاريخ والقرآن أنه غنائم دار الحرب، وعلى توسيعهم لمعناها ومطِّهم له بعبارات مثل (يمكن</w:t>
      </w:r>
      <w:r w:rsidR="00AB28A0" w:rsidRPr="00495BAB">
        <w:rPr>
          <w:rFonts w:hint="cs"/>
          <w:rtl/>
          <w:lang w:bidi="ar-SY"/>
        </w:rPr>
        <w:t>.</w:t>
      </w:r>
      <w:r w:rsidRPr="00495BAB">
        <w:rPr>
          <w:rFonts w:hint="cs"/>
          <w:rtl/>
          <w:lang w:bidi="ar-SY"/>
        </w:rPr>
        <w:t>... ونحن نتعدَّى....) وأمثالها، ليجعلوها تتعلق بمقصدهم؟</w:t>
      </w:r>
    </w:p>
    <w:p w:rsidR="00CD31AA" w:rsidRPr="00495BAB" w:rsidRDefault="00CD31AA" w:rsidP="00495BAB">
      <w:pPr>
        <w:pStyle w:val="a0"/>
        <w:rPr>
          <w:rFonts w:hint="cs"/>
          <w:rtl/>
          <w:lang w:bidi="ar-SY"/>
        </w:rPr>
      </w:pPr>
      <w:r w:rsidRPr="00495BAB">
        <w:rPr>
          <w:rFonts w:hint="cs"/>
          <w:rtl/>
          <w:lang w:bidi="ar-SY"/>
        </w:rPr>
        <w:t>لو اتبعنا أمثال هؤلاء الأشخاص لأصابنا هذا الحال والوضع الذي نعيش فيه الآن، إذ تعرَّض القرآن الكريم منذ قديم الزمن إلى مثل هذا التعدِّي وما زلنا نشاهد اليوم مثل هذه التعديات، وكما نرى لم يكن لذلك من نتيجة سوى الذل والمصائب التي تحيق بالمسلمين من كل صوب، هذا فضلًا عما يستتبع ذلك، يقينًا، من خسران الآخرة.</w:t>
      </w:r>
    </w:p>
    <w:p w:rsidR="00CD31AA" w:rsidRPr="00495BAB" w:rsidRDefault="00CD31AA" w:rsidP="00495BAB">
      <w:pPr>
        <w:pStyle w:val="a0"/>
        <w:rPr>
          <w:rFonts w:hint="cs"/>
          <w:rtl/>
          <w:lang w:bidi="ar-SY"/>
        </w:rPr>
      </w:pPr>
      <w:r w:rsidRPr="00495BAB">
        <w:rPr>
          <w:rFonts w:hint="cs"/>
          <w:rtl/>
          <w:lang w:bidi="ar-SY"/>
        </w:rPr>
        <w:t>لقد شاهدنا دائمًا مثل هذه التعديات على التعاليم الدينية وما زلنا نشاهد ذلك، ولا يمكننا للأسف أو لحسن الحظ أن نقبل بها، لأن الله تعالى حذَّرنا من التعدِّي أو القبول به وقال:</w:t>
      </w:r>
    </w:p>
    <w:p w:rsidR="00CD31AA" w:rsidRPr="00495BAB" w:rsidRDefault="00CD31AA" w:rsidP="005B1B5C">
      <w:pPr>
        <w:pStyle w:val="a0"/>
        <w:ind w:left="624" w:hanging="340"/>
        <w:rPr>
          <w:rtl/>
          <w:lang w:bidi="ar-SY"/>
        </w:rPr>
      </w:pPr>
      <w:r w:rsidRPr="00495BAB">
        <w:rPr>
          <w:rFonts w:hint="cs"/>
          <w:rtl/>
          <w:lang w:bidi="ar-SY"/>
        </w:rPr>
        <w:t xml:space="preserve">1- </w:t>
      </w:r>
      <w:r w:rsidR="00252DED" w:rsidRPr="00995B26">
        <w:rPr>
          <w:rFonts w:cs="Traditional Arabic" w:hint="cs"/>
          <w:szCs w:val="30"/>
          <w:rtl/>
          <w:lang w:bidi="ar-SY"/>
        </w:rPr>
        <w:t>﴿</w:t>
      </w:r>
      <w:r w:rsidR="00252DED" w:rsidRPr="00995B26">
        <w:rPr>
          <w:rFonts w:ascii="KFGQPC Uthmanic Script HAFS" w:cs="KFGQPC Uthmanic Script HAFS" w:hint="eastAsia"/>
          <w:sz w:val="29"/>
          <w:szCs w:val="29"/>
          <w:rtl/>
        </w:rPr>
        <w:t>وَمَن</w:t>
      </w:r>
      <w:r w:rsidR="00252DED" w:rsidRPr="00995B26">
        <w:rPr>
          <w:rFonts w:ascii="KFGQPC Uthmanic Script HAFS" w:cs="KFGQPC Uthmanic Script HAFS"/>
          <w:sz w:val="29"/>
          <w:szCs w:val="29"/>
          <w:rtl/>
        </w:rPr>
        <w:t xml:space="preserve"> </w:t>
      </w:r>
      <w:r w:rsidR="00252DED" w:rsidRPr="00995B26">
        <w:rPr>
          <w:rFonts w:ascii="KFGQPC Uthmanic Script HAFS" w:cs="KFGQPC Uthmanic Script HAFS" w:hint="eastAsia"/>
          <w:sz w:val="29"/>
          <w:szCs w:val="29"/>
          <w:rtl/>
        </w:rPr>
        <w:t>يَتَعَدَّ</w:t>
      </w:r>
      <w:r w:rsidR="00252DED" w:rsidRPr="00995B26">
        <w:rPr>
          <w:rFonts w:ascii="KFGQPC Uthmanic Script HAFS" w:cs="KFGQPC Uthmanic Script HAFS"/>
          <w:sz w:val="29"/>
          <w:szCs w:val="29"/>
          <w:rtl/>
        </w:rPr>
        <w:t xml:space="preserve"> </w:t>
      </w:r>
      <w:r w:rsidR="00252DED" w:rsidRPr="00995B26">
        <w:rPr>
          <w:rFonts w:ascii="KFGQPC Uthmanic Script HAFS" w:cs="KFGQPC Uthmanic Script HAFS" w:hint="eastAsia"/>
          <w:sz w:val="29"/>
          <w:szCs w:val="29"/>
          <w:rtl/>
        </w:rPr>
        <w:t>حُدُودَ</w:t>
      </w:r>
      <w:r w:rsidR="00252DED" w:rsidRPr="00995B26">
        <w:rPr>
          <w:rFonts w:ascii="KFGQPC Uthmanic Script HAFS" w:cs="KFGQPC Uthmanic Script HAFS"/>
          <w:sz w:val="29"/>
          <w:szCs w:val="29"/>
          <w:rtl/>
        </w:rPr>
        <w:t xml:space="preserve"> </w:t>
      </w:r>
      <w:r w:rsidR="00252DED" w:rsidRPr="00995B26">
        <w:rPr>
          <w:rFonts w:ascii="KFGQPC Uthmanic Script HAFS" w:cs="KFGQPC Uthmanic Script HAFS" w:hint="cs"/>
          <w:sz w:val="29"/>
          <w:szCs w:val="29"/>
          <w:rtl/>
        </w:rPr>
        <w:t>ٱ</w:t>
      </w:r>
      <w:r w:rsidR="00252DED" w:rsidRPr="00995B26">
        <w:rPr>
          <w:rFonts w:ascii="KFGQPC Uthmanic Script HAFS" w:cs="KFGQPC Uthmanic Script HAFS" w:hint="eastAsia"/>
          <w:sz w:val="29"/>
          <w:szCs w:val="29"/>
          <w:rtl/>
        </w:rPr>
        <w:t>للَّهِ</w:t>
      </w:r>
      <w:r w:rsidR="00252DED" w:rsidRPr="00995B26">
        <w:rPr>
          <w:rFonts w:ascii="KFGQPC Uthmanic Script HAFS" w:cs="KFGQPC Uthmanic Script HAFS"/>
          <w:sz w:val="29"/>
          <w:szCs w:val="29"/>
          <w:rtl/>
        </w:rPr>
        <w:t xml:space="preserve"> </w:t>
      </w:r>
      <w:r w:rsidR="00252DED" w:rsidRPr="00995B26">
        <w:rPr>
          <w:rFonts w:ascii="KFGQPC Uthmanic Script HAFS" w:cs="KFGQPC Uthmanic Script HAFS" w:hint="eastAsia"/>
          <w:sz w:val="29"/>
          <w:szCs w:val="29"/>
          <w:rtl/>
        </w:rPr>
        <w:t>فَأُوْلَ</w:t>
      </w:r>
      <w:r w:rsidR="00252DED" w:rsidRPr="00995B26">
        <w:rPr>
          <w:rFonts w:ascii="KFGQPC Uthmanic Script HAFS" w:cs="KFGQPC Uthmanic Script HAFS" w:hint="cs"/>
          <w:sz w:val="29"/>
          <w:szCs w:val="29"/>
          <w:rtl/>
        </w:rPr>
        <w:t>ٰٓ</w:t>
      </w:r>
      <w:r w:rsidR="00252DED" w:rsidRPr="00995B26">
        <w:rPr>
          <w:rFonts w:ascii="KFGQPC Uthmanic Script HAFS" w:cs="KFGQPC Uthmanic Script HAFS" w:hint="eastAsia"/>
          <w:sz w:val="29"/>
          <w:szCs w:val="29"/>
          <w:rtl/>
        </w:rPr>
        <w:t>ئِكَ</w:t>
      </w:r>
      <w:r w:rsidR="00252DED" w:rsidRPr="00995B26">
        <w:rPr>
          <w:rFonts w:ascii="KFGQPC Uthmanic Script HAFS" w:cs="KFGQPC Uthmanic Script HAFS"/>
          <w:sz w:val="29"/>
          <w:szCs w:val="29"/>
          <w:rtl/>
        </w:rPr>
        <w:t xml:space="preserve"> </w:t>
      </w:r>
      <w:r w:rsidR="00252DED" w:rsidRPr="00995B26">
        <w:rPr>
          <w:rFonts w:ascii="KFGQPC Uthmanic Script HAFS" w:cs="KFGQPC Uthmanic Script HAFS" w:hint="eastAsia"/>
          <w:sz w:val="29"/>
          <w:szCs w:val="29"/>
          <w:rtl/>
        </w:rPr>
        <w:t>هُمُ</w:t>
      </w:r>
      <w:r w:rsidR="00252DED" w:rsidRPr="00995B26">
        <w:rPr>
          <w:rFonts w:ascii="KFGQPC Uthmanic Script HAFS" w:cs="KFGQPC Uthmanic Script HAFS"/>
          <w:sz w:val="29"/>
          <w:szCs w:val="29"/>
          <w:rtl/>
        </w:rPr>
        <w:t xml:space="preserve"> </w:t>
      </w:r>
      <w:r w:rsidR="00252DED" w:rsidRPr="00995B26">
        <w:rPr>
          <w:rFonts w:ascii="KFGQPC Uthmanic Script HAFS" w:cs="KFGQPC Uthmanic Script HAFS" w:hint="cs"/>
          <w:sz w:val="29"/>
          <w:szCs w:val="29"/>
          <w:rtl/>
        </w:rPr>
        <w:t>ٱ</w:t>
      </w:r>
      <w:r w:rsidR="00252DED" w:rsidRPr="00995B26">
        <w:rPr>
          <w:rFonts w:ascii="KFGQPC Uthmanic Script HAFS" w:cs="KFGQPC Uthmanic Script HAFS" w:hint="eastAsia"/>
          <w:sz w:val="29"/>
          <w:szCs w:val="29"/>
          <w:rtl/>
        </w:rPr>
        <w:t>لظَّ</w:t>
      </w:r>
      <w:r w:rsidR="00252DED" w:rsidRPr="00995B26">
        <w:rPr>
          <w:rFonts w:ascii="KFGQPC Uthmanic Script HAFS" w:cs="KFGQPC Uthmanic Script HAFS" w:hint="cs"/>
          <w:sz w:val="29"/>
          <w:szCs w:val="29"/>
          <w:rtl/>
        </w:rPr>
        <w:t>ٰ</w:t>
      </w:r>
      <w:r w:rsidR="00252DED" w:rsidRPr="00995B26">
        <w:rPr>
          <w:rFonts w:ascii="KFGQPC Uthmanic Script HAFS" w:cs="KFGQPC Uthmanic Script HAFS" w:hint="eastAsia"/>
          <w:sz w:val="29"/>
          <w:szCs w:val="29"/>
          <w:rtl/>
        </w:rPr>
        <w:t>لِمُونَ</w:t>
      </w:r>
      <w:r w:rsidR="00252DED" w:rsidRPr="00995B26">
        <w:rPr>
          <w:rFonts w:cs="Traditional Arabic" w:hint="cs"/>
          <w:szCs w:val="30"/>
          <w:rtl/>
          <w:lang w:bidi="ar-SY"/>
        </w:rPr>
        <w:t>﴾</w:t>
      </w:r>
      <w:r w:rsidR="00252DED" w:rsidRPr="00495BAB">
        <w:rPr>
          <w:rFonts w:hint="cs"/>
          <w:rtl/>
          <w:lang w:bidi="ar-SY"/>
        </w:rPr>
        <w:t xml:space="preserve"> </w:t>
      </w:r>
      <w:r w:rsidRPr="009E1401">
        <w:rPr>
          <w:rStyle w:val="Char2"/>
          <w:rtl/>
        </w:rPr>
        <w:t>[البقرة</w:t>
      </w:r>
      <w:r w:rsidR="00252DED" w:rsidRPr="009E1401">
        <w:rPr>
          <w:rStyle w:val="Char2"/>
          <w:rFonts w:hint="cs"/>
          <w:rtl/>
        </w:rPr>
        <w:t xml:space="preserve">: </w:t>
      </w:r>
      <w:r w:rsidRPr="009E1401">
        <w:rPr>
          <w:rStyle w:val="Char2"/>
          <w:rtl/>
        </w:rPr>
        <w:t>229]</w:t>
      </w:r>
    </w:p>
    <w:p w:rsidR="00CD31AA" w:rsidRPr="00495BAB" w:rsidRDefault="00CD31AA" w:rsidP="005B1B5C">
      <w:pPr>
        <w:pStyle w:val="a0"/>
        <w:ind w:left="624" w:hanging="340"/>
        <w:rPr>
          <w:rtl/>
          <w:lang w:bidi="ar-SY"/>
        </w:rPr>
      </w:pPr>
      <w:r w:rsidRPr="00495BAB">
        <w:rPr>
          <w:rFonts w:hint="cs"/>
          <w:rtl/>
          <w:lang w:bidi="ar-SY"/>
        </w:rPr>
        <w:t xml:space="preserve">2- </w:t>
      </w:r>
      <w:r w:rsidR="00252DED" w:rsidRPr="00995B26">
        <w:rPr>
          <w:rFonts w:cs="Traditional Arabic" w:hint="cs"/>
          <w:szCs w:val="30"/>
          <w:rtl/>
          <w:lang w:bidi="ar-SY"/>
        </w:rPr>
        <w:t>﴿</w:t>
      </w:r>
      <w:r w:rsidR="00252DED" w:rsidRPr="00995B26">
        <w:rPr>
          <w:rFonts w:ascii="KFGQPC Uthmanic Script HAFS" w:cs="KFGQPC Uthmanic Script HAFS" w:hint="eastAsia"/>
          <w:sz w:val="29"/>
          <w:szCs w:val="29"/>
          <w:rtl/>
        </w:rPr>
        <w:t>وَمَن</w:t>
      </w:r>
      <w:r w:rsidR="00252DED" w:rsidRPr="00995B26">
        <w:rPr>
          <w:rFonts w:ascii="KFGQPC Uthmanic Script HAFS" w:cs="KFGQPC Uthmanic Script HAFS"/>
          <w:sz w:val="29"/>
          <w:szCs w:val="29"/>
          <w:rtl/>
        </w:rPr>
        <w:t xml:space="preserve"> </w:t>
      </w:r>
      <w:r w:rsidR="00252DED" w:rsidRPr="00995B26">
        <w:rPr>
          <w:rFonts w:ascii="KFGQPC Uthmanic Script HAFS" w:cs="KFGQPC Uthmanic Script HAFS" w:hint="eastAsia"/>
          <w:sz w:val="29"/>
          <w:szCs w:val="29"/>
          <w:rtl/>
        </w:rPr>
        <w:t>يَع</w:t>
      </w:r>
      <w:r w:rsidR="00252DED" w:rsidRPr="00995B26">
        <w:rPr>
          <w:rFonts w:ascii="KFGQPC Uthmanic Script HAFS" w:cs="KFGQPC Uthmanic Script HAFS" w:hint="cs"/>
          <w:sz w:val="29"/>
          <w:szCs w:val="29"/>
          <w:rtl/>
        </w:rPr>
        <w:t>ۡ</w:t>
      </w:r>
      <w:r w:rsidR="00252DED" w:rsidRPr="00995B26">
        <w:rPr>
          <w:rFonts w:ascii="KFGQPC Uthmanic Script HAFS" w:cs="KFGQPC Uthmanic Script HAFS" w:hint="eastAsia"/>
          <w:sz w:val="29"/>
          <w:szCs w:val="29"/>
          <w:rtl/>
        </w:rPr>
        <w:t>صِ</w:t>
      </w:r>
      <w:r w:rsidR="00252DED" w:rsidRPr="00995B26">
        <w:rPr>
          <w:rFonts w:ascii="KFGQPC Uthmanic Script HAFS" w:cs="KFGQPC Uthmanic Script HAFS"/>
          <w:sz w:val="29"/>
          <w:szCs w:val="29"/>
          <w:rtl/>
        </w:rPr>
        <w:t xml:space="preserve"> </w:t>
      </w:r>
      <w:r w:rsidR="00252DED" w:rsidRPr="00995B26">
        <w:rPr>
          <w:rFonts w:ascii="KFGQPC Uthmanic Script HAFS" w:cs="KFGQPC Uthmanic Script HAFS" w:hint="cs"/>
          <w:sz w:val="29"/>
          <w:szCs w:val="29"/>
          <w:rtl/>
        </w:rPr>
        <w:t>ٱ</w:t>
      </w:r>
      <w:r w:rsidR="00252DED" w:rsidRPr="00995B26">
        <w:rPr>
          <w:rFonts w:ascii="KFGQPC Uthmanic Script HAFS" w:cs="KFGQPC Uthmanic Script HAFS" w:hint="eastAsia"/>
          <w:sz w:val="29"/>
          <w:szCs w:val="29"/>
          <w:rtl/>
        </w:rPr>
        <w:t>للَّهَ</w:t>
      </w:r>
      <w:r w:rsidR="00252DED" w:rsidRPr="00995B26">
        <w:rPr>
          <w:rFonts w:ascii="KFGQPC Uthmanic Script HAFS" w:cs="KFGQPC Uthmanic Script HAFS"/>
          <w:sz w:val="29"/>
          <w:szCs w:val="29"/>
          <w:rtl/>
        </w:rPr>
        <w:t xml:space="preserve"> </w:t>
      </w:r>
      <w:r w:rsidR="00252DED" w:rsidRPr="00995B26">
        <w:rPr>
          <w:rFonts w:ascii="KFGQPC Uthmanic Script HAFS" w:cs="KFGQPC Uthmanic Script HAFS" w:hint="eastAsia"/>
          <w:sz w:val="29"/>
          <w:szCs w:val="29"/>
          <w:rtl/>
        </w:rPr>
        <w:t>وَرَسُولَهُ</w:t>
      </w:r>
      <w:r w:rsidR="00252DED" w:rsidRPr="00995B26">
        <w:rPr>
          <w:rFonts w:ascii="KFGQPC Uthmanic Script HAFS" w:cs="KFGQPC Uthmanic Script HAFS" w:hint="cs"/>
          <w:sz w:val="29"/>
          <w:szCs w:val="29"/>
          <w:rtl/>
        </w:rPr>
        <w:t>ۥ</w:t>
      </w:r>
      <w:r w:rsidR="00252DED" w:rsidRPr="00995B26">
        <w:rPr>
          <w:rFonts w:ascii="KFGQPC Uthmanic Script HAFS" w:cs="KFGQPC Uthmanic Script HAFS"/>
          <w:sz w:val="29"/>
          <w:szCs w:val="29"/>
          <w:rtl/>
        </w:rPr>
        <w:t xml:space="preserve"> </w:t>
      </w:r>
      <w:r w:rsidR="00252DED" w:rsidRPr="00995B26">
        <w:rPr>
          <w:rFonts w:ascii="KFGQPC Uthmanic Script HAFS" w:cs="KFGQPC Uthmanic Script HAFS" w:hint="eastAsia"/>
          <w:sz w:val="29"/>
          <w:szCs w:val="29"/>
          <w:rtl/>
        </w:rPr>
        <w:t>وَيَتَعَدَّ</w:t>
      </w:r>
      <w:r w:rsidR="00252DED" w:rsidRPr="00995B26">
        <w:rPr>
          <w:rFonts w:ascii="KFGQPC Uthmanic Script HAFS" w:cs="KFGQPC Uthmanic Script HAFS"/>
          <w:sz w:val="29"/>
          <w:szCs w:val="29"/>
          <w:rtl/>
        </w:rPr>
        <w:t xml:space="preserve"> </w:t>
      </w:r>
      <w:r w:rsidR="00252DED" w:rsidRPr="00995B26">
        <w:rPr>
          <w:rFonts w:ascii="KFGQPC Uthmanic Script HAFS" w:cs="KFGQPC Uthmanic Script HAFS" w:hint="eastAsia"/>
          <w:sz w:val="29"/>
          <w:szCs w:val="29"/>
          <w:rtl/>
        </w:rPr>
        <w:t>حُدُودَهُ</w:t>
      </w:r>
      <w:r w:rsidR="00252DED" w:rsidRPr="00995B26">
        <w:rPr>
          <w:rFonts w:ascii="KFGQPC Uthmanic Script HAFS" w:cs="KFGQPC Uthmanic Script HAFS" w:hint="cs"/>
          <w:sz w:val="29"/>
          <w:szCs w:val="29"/>
          <w:rtl/>
        </w:rPr>
        <w:t>ۥ</w:t>
      </w:r>
      <w:r w:rsidR="00252DED" w:rsidRPr="00995B26">
        <w:rPr>
          <w:rFonts w:ascii="KFGQPC Uthmanic Script HAFS" w:cs="KFGQPC Uthmanic Script HAFS"/>
          <w:sz w:val="29"/>
          <w:szCs w:val="29"/>
          <w:rtl/>
        </w:rPr>
        <w:t xml:space="preserve"> </w:t>
      </w:r>
      <w:r w:rsidR="00252DED" w:rsidRPr="00995B26">
        <w:rPr>
          <w:rFonts w:ascii="KFGQPC Uthmanic Script HAFS" w:cs="KFGQPC Uthmanic Script HAFS" w:hint="eastAsia"/>
          <w:sz w:val="29"/>
          <w:szCs w:val="29"/>
          <w:rtl/>
        </w:rPr>
        <w:t>يُد</w:t>
      </w:r>
      <w:r w:rsidR="00252DED" w:rsidRPr="00995B26">
        <w:rPr>
          <w:rFonts w:ascii="KFGQPC Uthmanic Script HAFS" w:cs="KFGQPC Uthmanic Script HAFS" w:hint="cs"/>
          <w:sz w:val="29"/>
          <w:szCs w:val="29"/>
          <w:rtl/>
        </w:rPr>
        <w:t>ۡ</w:t>
      </w:r>
      <w:r w:rsidR="00252DED" w:rsidRPr="00995B26">
        <w:rPr>
          <w:rFonts w:ascii="KFGQPC Uthmanic Script HAFS" w:cs="KFGQPC Uthmanic Script HAFS" w:hint="eastAsia"/>
          <w:sz w:val="29"/>
          <w:szCs w:val="29"/>
          <w:rtl/>
        </w:rPr>
        <w:t>خِل</w:t>
      </w:r>
      <w:r w:rsidR="00252DED" w:rsidRPr="00995B26">
        <w:rPr>
          <w:rFonts w:ascii="KFGQPC Uthmanic Script HAFS" w:cs="KFGQPC Uthmanic Script HAFS" w:hint="cs"/>
          <w:sz w:val="29"/>
          <w:szCs w:val="29"/>
          <w:rtl/>
        </w:rPr>
        <w:t>ۡ</w:t>
      </w:r>
      <w:r w:rsidR="00252DED" w:rsidRPr="00995B26">
        <w:rPr>
          <w:rFonts w:ascii="KFGQPC Uthmanic Script HAFS" w:cs="KFGQPC Uthmanic Script HAFS" w:hint="eastAsia"/>
          <w:sz w:val="29"/>
          <w:szCs w:val="29"/>
          <w:rtl/>
        </w:rPr>
        <w:t>هُ</w:t>
      </w:r>
      <w:r w:rsidR="00252DED" w:rsidRPr="00995B26">
        <w:rPr>
          <w:rFonts w:ascii="KFGQPC Uthmanic Script HAFS" w:cs="KFGQPC Uthmanic Script HAFS"/>
          <w:sz w:val="29"/>
          <w:szCs w:val="29"/>
          <w:rtl/>
        </w:rPr>
        <w:t xml:space="preserve"> </w:t>
      </w:r>
      <w:r w:rsidR="00252DED" w:rsidRPr="00995B26">
        <w:rPr>
          <w:rFonts w:ascii="KFGQPC Uthmanic Script HAFS" w:cs="KFGQPC Uthmanic Script HAFS" w:hint="eastAsia"/>
          <w:sz w:val="29"/>
          <w:szCs w:val="29"/>
          <w:rtl/>
        </w:rPr>
        <w:t>نَارًا</w:t>
      </w:r>
      <w:r w:rsidR="00252DED" w:rsidRPr="00995B26">
        <w:rPr>
          <w:rFonts w:ascii="KFGQPC Uthmanic Script HAFS" w:cs="KFGQPC Uthmanic Script HAFS"/>
          <w:sz w:val="29"/>
          <w:szCs w:val="29"/>
          <w:rtl/>
        </w:rPr>
        <w:t xml:space="preserve"> </w:t>
      </w:r>
      <w:r w:rsidR="00252DED" w:rsidRPr="00995B26">
        <w:rPr>
          <w:rFonts w:ascii="KFGQPC Uthmanic Script HAFS" w:cs="KFGQPC Uthmanic Script HAFS" w:hint="eastAsia"/>
          <w:sz w:val="29"/>
          <w:szCs w:val="29"/>
          <w:rtl/>
        </w:rPr>
        <w:t>خَ</w:t>
      </w:r>
      <w:r w:rsidR="00252DED" w:rsidRPr="00995B26">
        <w:rPr>
          <w:rFonts w:ascii="KFGQPC Uthmanic Script HAFS" w:cs="KFGQPC Uthmanic Script HAFS" w:hint="cs"/>
          <w:sz w:val="29"/>
          <w:szCs w:val="29"/>
          <w:rtl/>
        </w:rPr>
        <w:t>ٰ</w:t>
      </w:r>
      <w:r w:rsidR="00252DED" w:rsidRPr="00995B26">
        <w:rPr>
          <w:rFonts w:ascii="KFGQPC Uthmanic Script HAFS" w:cs="KFGQPC Uthmanic Script HAFS" w:hint="eastAsia"/>
          <w:sz w:val="29"/>
          <w:szCs w:val="29"/>
          <w:rtl/>
        </w:rPr>
        <w:t>لِد</w:t>
      </w:r>
      <w:r w:rsidR="00252DED" w:rsidRPr="00995B26">
        <w:rPr>
          <w:rFonts w:ascii="KFGQPC Uthmanic Script HAFS" w:cs="KFGQPC Uthmanic Script HAFS" w:hint="cs"/>
          <w:sz w:val="29"/>
          <w:szCs w:val="29"/>
          <w:rtl/>
        </w:rPr>
        <w:t>ٗ</w:t>
      </w:r>
      <w:r w:rsidR="00252DED" w:rsidRPr="00995B26">
        <w:rPr>
          <w:rFonts w:ascii="KFGQPC Uthmanic Script HAFS" w:cs="KFGQPC Uthmanic Script HAFS" w:hint="eastAsia"/>
          <w:sz w:val="29"/>
          <w:szCs w:val="29"/>
          <w:rtl/>
        </w:rPr>
        <w:t>ا</w:t>
      </w:r>
      <w:r w:rsidR="00252DED" w:rsidRPr="00995B26">
        <w:rPr>
          <w:rFonts w:ascii="KFGQPC Uthmanic Script HAFS" w:cs="KFGQPC Uthmanic Script HAFS"/>
          <w:sz w:val="29"/>
          <w:szCs w:val="29"/>
          <w:rtl/>
        </w:rPr>
        <w:t xml:space="preserve"> </w:t>
      </w:r>
      <w:r w:rsidR="00252DED" w:rsidRPr="00995B26">
        <w:rPr>
          <w:rFonts w:ascii="KFGQPC Uthmanic Script HAFS" w:cs="KFGQPC Uthmanic Script HAFS" w:hint="eastAsia"/>
          <w:sz w:val="29"/>
          <w:szCs w:val="29"/>
          <w:rtl/>
        </w:rPr>
        <w:t>فِيهَا</w:t>
      </w:r>
      <w:r w:rsidR="00252DED" w:rsidRPr="00995B26">
        <w:rPr>
          <w:rFonts w:ascii="KFGQPC Uthmanic Script HAFS" w:cs="KFGQPC Uthmanic Script HAFS"/>
          <w:sz w:val="29"/>
          <w:szCs w:val="29"/>
          <w:rtl/>
        </w:rPr>
        <w:t xml:space="preserve"> </w:t>
      </w:r>
      <w:r w:rsidR="00252DED" w:rsidRPr="00995B26">
        <w:rPr>
          <w:rFonts w:ascii="KFGQPC Uthmanic Script HAFS" w:cs="KFGQPC Uthmanic Script HAFS" w:hint="eastAsia"/>
          <w:sz w:val="29"/>
          <w:szCs w:val="29"/>
          <w:rtl/>
        </w:rPr>
        <w:t>وَلَهُ</w:t>
      </w:r>
      <w:r w:rsidR="00252DED" w:rsidRPr="00995B26">
        <w:rPr>
          <w:rFonts w:ascii="KFGQPC Uthmanic Script HAFS" w:cs="KFGQPC Uthmanic Script HAFS" w:hint="cs"/>
          <w:sz w:val="29"/>
          <w:szCs w:val="29"/>
          <w:rtl/>
        </w:rPr>
        <w:t>ۥ</w:t>
      </w:r>
      <w:r w:rsidR="00252DED" w:rsidRPr="00995B26">
        <w:rPr>
          <w:rFonts w:ascii="KFGQPC Uthmanic Script HAFS" w:cs="KFGQPC Uthmanic Script HAFS"/>
          <w:sz w:val="29"/>
          <w:szCs w:val="29"/>
          <w:rtl/>
        </w:rPr>
        <w:t xml:space="preserve"> </w:t>
      </w:r>
      <w:r w:rsidR="00252DED" w:rsidRPr="00995B26">
        <w:rPr>
          <w:rFonts w:ascii="KFGQPC Uthmanic Script HAFS" w:cs="KFGQPC Uthmanic Script HAFS" w:hint="eastAsia"/>
          <w:sz w:val="29"/>
          <w:szCs w:val="29"/>
          <w:rtl/>
        </w:rPr>
        <w:t>عَذَاب</w:t>
      </w:r>
      <w:r w:rsidR="00252DED" w:rsidRPr="00995B26">
        <w:rPr>
          <w:rFonts w:ascii="KFGQPC Uthmanic Script HAFS" w:cs="KFGQPC Uthmanic Script HAFS" w:hint="cs"/>
          <w:sz w:val="29"/>
          <w:szCs w:val="29"/>
          <w:rtl/>
        </w:rPr>
        <w:t>ٞ</w:t>
      </w:r>
      <w:r w:rsidR="00252DED" w:rsidRPr="00995B26">
        <w:rPr>
          <w:rFonts w:ascii="KFGQPC Uthmanic Script HAFS" w:cs="KFGQPC Uthmanic Script HAFS"/>
          <w:sz w:val="29"/>
          <w:szCs w:val="29"/>
          <w:rtl/>
        </w:rPr>
        <w:t xml:space="preserve"> </w:t>
      </w:r>
      <w:r w:rsidR="00252DED" w:rsidRPr="00995B26">
        <w:rPr>
          <w:rFonts w:ascii="KFGQPC Uthmanic Script HAFS" w:cs="KFGQPC Uthmanic Script HAFS" w:hint="eastAsia"/>
          <w:sz w:val="29"/>
          <w:szCs w:val="29"/>
          <w:rtl/>
        </w:rPr>
        <w:t>مُّهِين</w:t>
      </w:r>
      <w:r w:rsidR="00252DED" w:rsidRPr="00995B26">
        <w:rPr>
          <w:rFonts w:ascii="KFGQPC Uthmanic Script HAFS" w:cs="KFGQPC Uthmanic Script HAFS" w:hint="cs"/>
          <w:sz w:val="29"/>
          <w:szCs w:val="29"/>
          <w:rtl/>
        </w:rPr>
        <w:t>ٞ</w:t>
      </w:r>
      <w:r w:rsidR="00252DED" w:rsidRPr="00995B26">
        <w:rPr>
          <w:rFonts w:ascii="KFGQPC Uthmanic Script HAFS" w:cs="KFGQPC Uthmanic Script HAFS"/>
          <w:sz w:val="29"/>
          <w:szCs w:val="29"/>
          <w:rtl/>
        </w:rPr>
        <w:t xml:space="preserve"> </w:t>
      </w:r>
      <w:r w:rsidR="00252DED" w:rsidRPr="00995B26">
        <w:rPr>
          <w:rFonts w:ascii="KFGQPC Uthmanic Script HAFS" w:cs="KFGQPC Uthmanic Script HAFS" w:hint="cs"/>
          <w:sz w:val="29"/>
          <w:szCs w:val="29"/>
          <w:rtl/>
        </w:rPr>
        <w:t>١٤</w:t>
      </w:r>
      <w:r w:rsidR="00252DED" w:rsidRPr="00995B26">
        <w:rPr>
          <w:rFonts w:cs="Traditional Arabic" w:hint="cs"/>
          <w:szCs w:val="30"/>
          <w:rtl/>
          <w:lang w:bidi="ar-SY"/>
        </w:rPr>
        <w:t>﴾</w:t>
      </w:r>
      <w:r w:rsidR="00252DED" w:rsidRPr="00495BAB">
        <w:rPr>
          <w:rFonts w:hint="cs"/>
          <w:rtl/>
          <w:lang w:bidi="ar-SY"/>
        </w:rPr>
        <w:t xml:space="preserve"> </w:t>
      </w:r>
      <w:r w:rsidRPr="00495BAB">
        <w:rPr>
          <w:rtl/>
          <w:lang w:bidi="ar-SY"/>
        </w:rPr>
        <w:t xml:space="preserve"> </w:t>
      </w:r>
      <w:r w:rsidRPr="009E1401">
        <w:rPr>
          <w:rStyle w:val="Char2"/>
          <w:rtl/>
        </w:rPr>
        <w:t>[النساء</w:t>
      </w:r>
      <w:r w:rsidR="00252DED" w:rsidRPr="009E1401">
        <w:rPr>
          <w:rStyle w:val="Char2"/>
          <w:rFonts w:hint="cs"/>
          <w:rtl/>
        </w:rPr>
        <w:t xml:space="preserve">: </w:t>
      </w:r>
      <w:r w:rsidRPr="009E1401">
        <w:rPr>
          <w:rStyle w:val="Char2"/>
          <w:rtl/>
        </w:rPr>
        <w:t>14]</w:t>
      </w:r>
    </w:p>
    <w:p w:rsidR="00CD31AA" w:rsidRPr="00495BAB" w:rsidRDefault="00CD31AA" w:rsidP="005B1B5C">
      <w:pPr>
        <w:pStyle w:val="a0"/>
        <w:ind w:left="624" w:hanging="340"/>
        <w:rPr>
          <w:rtl/>
          <w:lang w:bidi="ar-SY"/>
        </w:rPr>
      </w:pPr>
      <w:r w:rsidRPr="00495BAB">
        <w:rPr>
          <w:rFonts w:hint="cs"/>
          <w:rtl/>
          <w:lang w:bidi="ar-SY"/>
        </w:rPr>
        <w:t xml:space="preserve">3- </w:t>
      </w:r>
      <w:r w:rsidR="00252DED" w:rsidRPr="00995B26">
        <w:rPr>
          <w:rFonts w:cs="Traditional Arabic" w:hint="cs"/>
          <w:szCs w:val="30"/>
          <w:rtl/>
          <w:lang w:bidi="ar-SY"/>
        </w:rPr>
        <w:t>﴿</w:t>
      </w:r>
      <w:r w:rsidR="00252DED" w:rsidRPr="0067048A">
        <w:rPr>
          <w:rFonts w:ascii="KFGQPC Uthmanic Script HAFS" w:cs="KFGQPC Uthmanic Script HAFS" w:hint="eastAsia"/>
          <w:sz w:val="28"/>
          <w:szCs w:val="28"/>
          <w:rtl/>
        </w:rPr>
        <w:t>يَ</w:t>
      </w:r>
      <w:r w:rsidR="00252DED" w:rsidRPr="0067048A">
        <w:rPr>
          <w:rFonts w:ascii="KFGQPC Uthmanic Script HAFS" w:cs="KFGQPC Uthmanic Script HAFS" w:hint="cs"/>
          <w:sz w:val="28"/>
          <w:szCs w:val="28"/>
          <w:rtl/>
        </w:rPr>
        <w:t>ٰٓ</w:t>
      </w:r>
      <w:r w:rsidR="00252DED" w:rsidRPr="0067048A">
        <w:rPr>
          <w:rFonts w:ascii="KFGQPC Uthmanic Script HAFS" w:cs="KFGQPC Uthmanic Script HAFS" w:hint="eastAsia"/>
          <w:sz w:val="28"/>
          <w:szCs w:val="28"/>
          <w:rtl/>
        </w:rPr>
        <w:t>أَيُّهَا</w:t>
      </w:r>
      <w:r w:rsidR="00252DED" w:rsidRPr="0067048A">
        <w:rPr>
          <w:rFonts w:ascii="KFGQPC Uthmanic Script HAFS" w:cs="KFGQPC Uthmanic Script HAFS"/>
          <w:sz w:val="28"/>
          <w:szCs w:val="28"/>
          <w:rtl/>
        </w:rPr>
        <w:t xml:space="preserve"> </w:t>
      </w:r>
      <w:r w:rsidR="00252DED" w:rsidRPr="0067048A">
        <w:rPr>
          <w:rFonts w:ascii="KFGQPC Uthmanic Script HAFS" w:cs="KFGQPC Uthmanic Script HAFS" w:hint="cs"/>
          <w:sz w:val="28"/>
          <w:szCs w:val="28"/>
          <w:rtl/>
        </w:rPr>
        <w:t>ٱ</w:t>
      </w:r>
      <w:r w:rsidR="00252DED" w:rsidRPr="0067048A">
        <w:rPr>
          <w:rFonts w:ascii="KFGQPC Uthmanic Script HAFS" w:cs="KFGQPC Uthmanic Script HAFS" w:hint="eastAsia"/>
          <w:sz w:val="28"/>
          <w:szCs w:val="28"/>
          <w:rtl/>
        </w:rPr>
        <w:t>لَّذِينَ</w:t>
      </w:r>
      <w:r w:rsidR="00252DED" w:rsidRPr="0067048A">
        <w:rPr>
          <w:rFonts w:ascii="KFGQPC Uthmanic Script HAFS" w:cs="KFGQPC Uthmanic Script HAFS"/>
          <w:sz w:val="28"/>
          <w:szCs w:val="28"/>
          <w:rtl/>
        </w:rPr>
        <w:t xml:space="preserve"> </w:t>
      </w:r>
      <w:r w:rsidR="00252DED" w:rsidRPr="0067048A">
        <w:rPr>
          <w:rFonts w:ascii="KFGQPC Uthmanic Script HAFS" w:cs="KFGQPC Uthmanic Script HAFS" w:hint="eastAsia"/>
          <w:sz w:val="28"/>
          <w:szCs w:val="28"/>
          <w:rtl/>
        </w:rPr>
        <w:t>ءَامَنُواْ</w:t>
      </w:r>
      <w:r w:rsidR="00252DED" w:rsidRPr="0067048A">
        <w:rPr>
          <w:rFonts w:ascii="KFGQPC Uthmanic Script HAFS" w:cs="KFGQPC Uthmanic Script HAFS"/>
          <w:sz w:val="28"/>
          <w:szCs w:val="28"/>
          <w:rtl/>
        </w:rPr>
        <w:t xml:space="preserve"> </w:t>
      </w:r>
      <w:r w:rsidR="00252DED" w:rsidRPr="0067048A">
        <w:rPr>
          <w:rFonts w:ascii="KFGQPC Uthmanic Script HAFS" w:cs="KFGQPC Uthmanic Script HAFS" w:hint="eastAsia"/>
          <w:sz w:val="28"/>
          <w:szCs w:val="28"/>
          <w:rtl/>
        </w:rPr>
        <w:t>لَا</w:t>
      </w:r>
      <w:r w:rsidR="00252DED" w:rsidRPr="0067048A">
        <w:rPr>
          <w:rFonts w:ascii="KFGQPC Uthmanic Script HAFS" w:cs="KFGQPC Uthmanic Script HAFS"/>
          <w:sz w:val="28"/>
          <w:szCs w:val="28"/>
          <w:rtl/>
        </w:rPr>
        <w:t xml:space="preserve"> </w:t>
      </w:r>
      <w:r w:rsidR="00252DED" w:rsidRPr="0067048A">
        <w:rPr>
          <w:rFonts w:ascii="KFGQPC Uthmanic Script HAFS" w:cs="KFGQPC Uthmanic Script HAFS" w:hint="eastAsia"/>
          <w:sz w:val="28"/>
          <w:szCs w:val="28"/>
          <w:rtl/>
        </w:rPr>
        <w:t>تُحَرِّمُواْ</w:t>
      </w:r>
      <w:r w:rsidR="00252DED" w:rsidRPr="0067048A">
        <w:rPr>
          <w:rFonts w:ascii="KFGQPC Uthmanic Script HAFS" w:cs="KFGQPC Uthmanic Script HAFS"/>
          <w:sz w:val="28"/>
          <w:szCs w:val="28"/>
          <w:rtl/>
        </w:rPr>
        <w:t xml:space="preserve"> </w:t>
      </w:r>
      <w:r w:rsidR="00252DED" w:rsidRPr="0067048A">
        <w:rPr>
          <w:rFonts w:ascii="KFGQPC Uthmanic Script HAFS" w:cs="KFGQPC Uthmanic Script HAFS" w:hint="eastAsia"/>
          <w:sz w:val="28"/>
          <w:szCs w:val="28"/>
          <w:rtl/>
        </w:rPr>
        <w:t>طَيِّبَ</w:t>
      </w:r>
      <w:r w:rsidR="00252DED" w:rsidRPr="0067048A">
        <w:rPr>
          <w:rFonts w:ascii="KFGQPC Uthmanic Script HAFS" w:cs="KFGQPC Uthmanic Script HAFS" w:hint="cs"/>
          <w:sz w:val="28"/>
          <w:szCs w:val="28"/>
          <w:rtl/>
        </w:rPr>
        <w:t>ٰ</w:t>
      </w:r>
      <w:r w:rsidR="00252DED" w:rsidRPr="0067048A">
        <w:rPr>
          <w:rFonts w:ascii="KFGQPC Uthmanic Script HAFS" w:cs="KFGQPC Uthmanic Script HAFS" w:hint="eastAsia"/>
          <w:sz w:val="28"/>
          <w:szCs w:val="28"/>
          <w:rtl/>
        </w:rPr>
        <w:t>تِ</w:t>
      </w:r>
      <w:r w:rsidR="00252DED" w:rsidRPr="0067048A">
        <w:rPr>
          <w:rFonts w:ascii="KFGQPC Uthmanic Script HAFS" w:cs="KFGQPC Uthmanic Script HAFS"/>
          <w:sz w:val="28"/>
          <w:szCs w:val="28"/>
          <w:rtl/>
        </w:rPr>
        <w:t xml:space="preserve"> </w:t>
      </w:r>
      <w:r w:rsidR="00252DED" w:rsidRPr="0067048A">
        <w:rPr>
          <w:rFonts w:ascii="KFGQPC Uthmanic Script HAFS" w:cs="KFGQPC Uthmanic Script HAFS" w:hint="eastAsia"/>
          <w:sz w:val="28"/>
          <w:szCs w:val="28"/>
          <w:rtl/>
        </w:rPr>
        <w:t>مَا</w:t>
      </w:r>
      <w:r w:rsidR="00252DED" w:rsidRPr="0067048A">
        <w:rPr>
          <w:rFonts w:ascii="KFGQPC Uthmanic Script HAFS" w:cs="KFGQPC Uthmanic Script HAFS" w:hint="cs"/>
          <w:sz w:val="28"/>
          <w:szCs w:val="28"/>
          <w:rtl/>
        </w:rPr>
        <w:t>ٓ</w:t>
      </w:r>
      <w:r w:rsidR="00252DED" w:rsidRPr="0067048A">
        <w:rPr>
          <w:rFonts w:ascii="KFGQPC Uthmanic Script HAFS" w:cs="KFGQPC Uthmanic Script HAFS"/>
          <w:sz w:val="28"/>
          <w:szCs w:val="28"/>
          <w:rtl/>
        </w:rPr>
        <w:t xml:space="preserve"> </w:t>
      </w:r>
      <w:r w:rsidR="00252DED" w:rsidRPr="0067048A">
        <w:rPr>
          <w:rFonts w:ascii="KFGQPC Uthmanic Script HAFS" w:cs="KFGQPC Uthmanic Script HAFS" w:hint="eastAsia"/>
          <w:sz w:val="28"/>
          <w:szCs w:val="28"/>
          <w:rtl/>
        </w:rPr>
        <w:t>أَحَلَّ</w:t>
      </w:r>
      <w:r w:rsidR="00252DED" w:rsidRPr="0067048A">
        <w:rPr>
          <w:rFonts w:ascii="KFGQPC Uthmanic Script HAFS" w:cs="KFGQPC Uthmanic Script HAFS"/>
          <w:sz w:val="28"/>
          <w:szCs w:val="28"/>
          <w:rtl/>
        </w:rPr>
        <w:t xml:space="preserve"> </w:t>
      </w:r>
      <w:r w:rsidR="00252DED" w:rsidRPr="0067048A">
        <w:rPr>
          <w:rFonts w:ascii="KFGQPC Uthmanic Script HAFS" w:cs="KFGQPC Uthmanic Script HAFS" w:hint="cs"/>
          <w:sz w:val="28"/>
          <w:szCs w:val="28"/>
          <w:rtl/>
        </w:rPr>
        <w:t>ٱ</w:t>
      </w:r>
      <w:r w:rsidR="00252DED" w:rsidRPr="0067048A">
        <w:rPr>
          <w:rFonts w:ascii="KFGQPC Uthmanic Script HAFS" w:cs="KFGQPC Uthmanic Script HAFS" w:hint="eastAsia"/>
          <w:sz w:val="28"/>
          <w:szCs w:val="28"/>
          <w:rtl/>
        </w:rPr>
        <w:t>للَّهُ</w:t>
      </w:r>
      <w:r w:rsidR="00252DED" w:rsidRPr="0067048A">
        <w:rPr>
          <w:rFonts w:ascii="KFGQPC Uthmanic Script HAFS" w:cs="KFGQPC Uthmanic Script HAFS"/>
          <w:sz w:val="28"/>
          <w:szCs w:val="28"/>
          <w:rtl/>
        </w:rPr>
        <w:t xml:space="preserve"> </w:t>
      </w:r>
      <w:r w:rsidR="00252DED" w:rsidRPr="0067048A">
        <w:rPr>
          <w:rFonts w:ascii="KFGQPC Uthmanic Script HAFS" w:cs="KFGQPC Uthmanic Script HAFS" w:hint="eastAsia"/>
          <w:sz w:val="28"/>
          <w:szCs w:val="28"/>
          <w:rtl/>
        </w:rPr>
        <w:t>لَكُم</w:t>
      </w:r>
      <w:r w:rsidR="00252DED" w:rsidRPr="0067048A">
        <w:rPr>
          <w:rFonts w:ascii="KFGQPC Uthmanic Script HAFS" w:cs="KFGQPC Uthmanic Script HAFS" w:hint="cs"/>
          <w:sz w:val="28"/>
          <w:szCs w:val="28"/>
          <w:rtl/>
        </w:rPr>
        <w:t>ۡ</w:t>
      </w:r>
      <w:r w:rsidR="00252DED" w:rsidRPr="0067048A">
        <w:rPr>
          <w:rFonts w:ascii="KFGQPC Uthmanic Script HAFS" w:cs="KFGQPC Uthmanic Script HAFS"/>
          <w:sz w:val="28"/>
          <w:szCs w:val="28"/>
          <w:rtl/>
        </w:rPr>
        <w:t xml:space="preserve"> </w:t>
      </w:r>
      <w:r w:rsidR="00252DED" w:rsidRPr="0067048A">
        <w:rPr>
          <w:rFonts w:ascii="KFGQPC Uthmanic Script HAFS" w:cs="KFGQPC Uthmanic Script HAFS" w:hint="eastAsia"/>
          <w:sz w:val="28"/>
          <w:szCs w:val="28"/>
          <w:rtl/>
        </w:rPr>
        <w:t>وَلَا</w:t>
      </w:r>
      <w:r w:rsidR="00252DED" w:rsidRPr="0067048A">
        <w:rPr>
          <w:rFonts w:ascii="KFGQPC Uthmanic Script HAFS" w:cs="KFGQPC Uthmanic Script HAFS"/>
          <w:sz w:val="28"/>
          <w:szCs w:val="28"/>
          <w:rtl/>
        </w:rPr>
        <w:t xml:space="preserve"> </w:t>
      </w:r>
      <w:r w:rsidR="00252DED" w:rsidRPr="0067048A">
        <w:rPr>
          <w:rFonts w:ascii="KFGQPC Uthmanic Script HAFS" w:cs="KFGQPC Uthmanic Script HAFS" w:hint="eastAsia"/>
          <w:sz w:val="28"/>
          <w:szCs w:val="28"/>
          <w:rtl/>
        </w:rPr>
        <w:t>تَع</w:t>
      </w:r>
      <w:r w:rsidR="00252DED" w:rsidRPr="0067048A">
        <w:rPr>
          <w:rFonts w:ascii="KFGQPC Uthmanic Script HAFS" w:cs="KFGQPC Uthmanic Script HAFS" w:hint="cs"/>
          <w:sz w:val="28"/>
          <w:szCs w:val="28"/>
          <w:rtl/>
        </w:rPr>
        <w:t>ۡ</w:t>
      </w:r>
      <w:r w:rsidR="00252DED" w:rsidRPr="0067048A">
        <w:rPr>
          <w:rFonts w:ascii="KFGQPC Uthmanic Script HAFS" w:cs="KFGQPC Uthmanic Script HAFS" w:hint="eastAsia"/>
          <w:sz w:val="28"/>
          <w:szCs w:val="28"/>
          <w:rtl/>
        </w:rPr>
        <w:t>تَدُو</w:t>
      </w:r>
      <w:r w:rsidR="00252DED" w:rsidRPr="0067048A">
        <w:rPr>
          <w:rFonts w:ascii="KFGQPC Uthmanic Script HAFS" w:cs="KFGQPC Uthmanic Script HAFS" w:hint="cs"/>
          <w:sz w:val="28"/>
          <w:szCs w:val="28"/>
          <w:rtl/>
        </w:rPr>
        <w:t>ٓ</w:t>
      </w:r>
      <w:r w:rsidR="00252DED" w:rsidRPr="0067048A">
        <w:rPr>
          <w:rFonts w:ascii="KFGQPC Uthmanic Script HAFS" w:cs="KFGQPC Uthmanic Script HAFS" w:hint="eastAsia"/>
          <w:sz w:val="28"/>
          <w:szCs w:val="28"/>
          <w:rtl/>
        </w:rPr>
        <w:t>اْ</w:t>
      </w:r>
      <w:r w:rsidR="00252DED" w:rsidRPr="0067048A">
        <w:rPr>
          <w:rFonts w:ascii="KFGQPC Uthmanic Script HAFS" w:cs="KFGQPC Uthmanic Script HAFS" w:hint="cs"/>
          <w:sz w:val="28"/>
          <w:szCs w:val="28"/>
          <w:rtl/>
        </w:rPr>
        <w:t>ۚ</w:t>
      </w:r>
      <w:r w:rsidR="00252DED" w:rsidRPr="0067048A">
        <w:rPr>
          <w:rFonts w:ascii="KFGQPC Uthmanic Script HAFS" w:cs="KFGQPC Uthmanic Script HAFS"/>
          <w:sz w:val="28"/>
          <w:szCs w:val="28"/>
          <w:rtl/>
        </w:rPr>
        <w:t xml:space="preserve"> </w:t>
      </w:r>
      <w:r w:rsidR="00252DED" w:rsidRPr="0067048A">
        <w:rPr>
          <w:rFonts w:ascii="KFGQPC Uthmanic Script HAFS" w:cs="KFGQPC Uthmanic Script HAFS" w:hint="eastAsia"/>
          <w:sz w:val="28"/>
          <w:szCs w:val="28"/>
          <w:rtl/>
        </w:rPr>
        <w:t>إِنَّ</w:t>
      </w:r>
      <w:r w:rsidR="00252DED" w:rsidRPr="0067048A">
        <w:rPr>
          <w:rFonts w:ascii="KFGQPC Uthmanic Script HAFS" w:cs="KFGQPC Uthmanic Script HAFS"/>
          <w:sz w:val="28"/>
          <w:szCs w:val="28"/>
          <w:rtl/>
        </w:rPr>
        <w:t xml:space="preserve"> </w:t>
      </w:r>
      <w:r w:rsidR="00252DED" w:rsidRPr="0067048A">
        <w:rPr>
          <w:rFonts w:ascii="KFGQPC Uthmanic Script HAFS" w:cs="KFGQPC Uthmanic Script HAFS" w:hint="cs"/>
          <w:sz w:val="28"/>
          <w:szCs w:val="28"/>
          <w:rtl/>
        </w:rPr>
        <w:t>ٱ</w:t>
      </w:r>
      <w:r w:rsidR="00252DED" w:rsidRPr="0067048A">
        <w:rPr>
          <w:rFonts w:ascii="KFGQPC Uthmanic Script HAFS" w:cs="KFGQPC Uthmanic Script HAFS" w:hint="eastAsia"/>
          <w:sz w:val="28"/>
          <w:szCs w:val="28"/>
          <w:rtl/>
        </w:rPr>
        <w:t>للَّهَ</w:t>
      </w:r>
      <w:r w:rsidR="00252DED" w:rsidRPr="0067048A">
        <w:rPr>
          <w:rFonts w:ascii="KFGQPC Uthmanic Script HAFS" w:cs="KFGQPC Uthmanic Script HAFS"/>
          <w:sz w:val="28"/>
          <w:szCs w:val="28"/>
          <w:rtl/>
        </w:rPr>
        <w:t xml:space="preserve"> </w:t>
      </w:r>
      <w:r w:rsidR="00252DED" w:rsidRPr="0067048A">
        <w:rPr>
          <w:rFonts w:ascii="KFGQPC Uthmanic Script HAFS" w:cs="KFGQPC Uthmanic Script HAFS" w:hint="eastAsia"/>
          <w:sz w:val="28"/>
          <w:szCs w:val="28"/>
          <w:rtl/>
        </w:rPr>
        <w:t>لَا</w:t>
      </w:r>
      <w:r w:rsidR="00252DED" w:rsidRPr="0067048A">
        <w:rPr>
          <w:rFonts w:ascii="KFGQPC Uthmanic Script HAFS" w:cs="KFGQPC Uthmanic Script HAFS"/>
          <w:sz w:val="28"/>
          <w:szCs w:val="28"/>
          <w:rtl/>
        </w:rPr>
        <w:t xml:space="preserve"> </w:t>
      </w:r>
      <w:r w:rsidR="00252DED" w:rsidRPr="0067048A">
        <w:rPr>
          <w:rFonts w:ascii="KFGQPC Uthmanic Script HAFS" w:cs="KFGQPC Uthmanic Script HAFS" w:hint="eastAsia"/>
          <w:sz w:val="28"/>
          <w:szCs w:val="28"/>
          <w:rtl/>
        </w:rPr>
        <w:t>يُحِبُّ</w:t>
      </w:r>
      <w:r w:rsidR="00252DED" w:rsidRPr="0067048A">
        <w:rPr>
          <w:rFonts w:ascii="KFGQPC Uthmanic Script HAFS" w:cs="KFGQPC Uthmanic Script HAFS"/>
          <w:sz w:val="28"/>
          <w:szCs w:val="28"/>
          <w:rtl/>
        </w:rPr>
        <w:t xml:space="preserve"> </w:t>
      </w:r>
      <w:r w:rsidR="00252DED" w:rsidRPr="0067048A">
        <w:rPr>
          <w:rFonts w:ascii="KFGQPC Uthmanic Script HAFS" w:cs="KFGQPC Uthmanic Script HAFS" w:hint="cs"/>
          <w:sz w:val="28"/>
          <w:szCs w:val="28"/>
          <w:rtl/>
        </w:rPr>
        <w:t>ٱ</w:t>
      </w:r>
      <w:r w:rsidR="00252DED" w:rsidRPr="0067048A">
        <w:rPr>
          <w:rFonts w:ascii="KFGQPC Uthmanic Script HAFS" w:cs="KFGQPC Uthmanic Script HAFS" w:hint="eastAsia"/>
          <w:sz w:val="28"/>
          <w:szCs w:val="28"/>
          <w:rtl/>
        </w:rPr>
        <w:t>ل</w:t>
      </w:r>
      <w:r w:rsidR="00252DED" w:rsidRPr="0067048A">
        <w:rPr>
          <w:rFonts w:ascii="KFGQPC Uthmanic Script HAFS" w:cs="KFGQPC Uthmanic Script HAFS" w:hint="cs"/>
          <w:sz w:val="28"/>
          <w:szCs w:val="28"/>
          <w:rtl/>
        </w:rPr>
        <w:t>ۡ</w:t>
      </w:r>
      <w:r w:rsidR="00252DED" w:rsidRPr="0067048A">
        <w:rPr>
          <w:rFonts w:ascii="KFGQPC Uthmanic Script HAFS" w:cs="KFGQPC Uthmanic Script HAFS" w:hint="eastAsia"/>
          <w:sz w:val="28"/>
          <w:szCs w:val="28"/>
          <w:rtl/>
        </w:rPr>
        <w:t>مُع</w:t>
      </w:r>
      <w:r w:rsidR="00252DED" w:rsidRPr="0067048A">
        <w:rPr>
          <w:rFonts w:ascii="KFGQPC Uthmanic Script HAFS" w:cs="KFGQPC Uthmanic Script HAFS" w:hint="cs"/>
          <w:sz w:val="28"/>
          <w:szCs w:val="28"/>
          <w:rtl/>
        </w:rPr>
        <w:t>ۡ</w:t>
      </w:r>
      <w:r w:rsidR="00252DED" w:rsidRPr="0067048A">
        <w:rPr>
          <w:rFonts w:ascii="KFGQPC Uthmanic Script HAFS" w:cs="KFGQPC Uthmanic Script HAFS" w:hint="eastAsia"/>
          <w:sz w:val="28"/>
          <w:szCs w:val="28"/>
          <w:rtl/>
        </w:rPr>
        <w:t>تَدِينَ</w:t>
      </w:r>
      <w:r w:rsidR="00252DED" w:rsidRPr="0067048A">
        <w:rPr>
          <w:rFonts w:ascii="KFGQPC Uthmanic Script HAFS" w:cs="KFGQPC Uthmanic Script HAFS"/>
          <w:sz w:val="28"/>
          <w:szCs w:val="28"/>
          <w:rtl/>
        </w:rPr>
        <w:t xml:space="preserve"> </w:t>
      </w:r>
      <w:r w:rsidR="00252DED" w:rsidRPr="0067048A">
        <w:rPr>
          <w:rFonts w:ascii="KFGQPC Uthmanic Script HAFS" w:cs="KFGQPC Uthmanic Script HAFS" w:hint="cs"/>
          <w:sz w:val="28"/>
          <w:szCs w:val="28"/>
          <w:rtl/>
        </w:rPr>
        <w:t>٨٧</w:t>
      </w:r>
      <w:r w:rsidR="00252DED" w:rsidRPr="00995B26">
        <w:rPr>
          <w:rFonts w:cs="Traditional Arabic" w:hint="cs"/>
          <w:szCs w:val="30"/>
          <w:rtl/>
          <w:lang w:bidi="ar-SY"/>
        </w:rPr>
        <w:t>﴾</w:t>
      </w:r>
      <w:r w:rsidR="00252DED" w:rsidRPr="00495BAB">
        <w:rPr>
          <w:rtl/>
          <w:lang w:bidi="ar-SY"/>
        </w:rPr>
        <w:t xml:space="preserve"> </w:t>
      </w:r>
      <w:r w:rsidR="00252DED" w:rsidRPr="009E1401">
        <w:rPr>
          <w:rStyle w:val="Char2"/>
          <w:rtl/>
        </w:rPr>
        <w:t>[المائدة</w:t>
      </w:r>
      <w:r w:rsidR="00252DED" w:rsidRPr="009E1401">
        <w:rPr>
          <w:rStyle w:val="Char2"/>
          <w:rFonts w:hint="cs"/>
          <w:rtl/>
        </w:rPr>
        <w:t xml:space="preserve">: </w:t>
      </w:r>
      <w:r w:rsidRPr="009E1401">
        <w:rPr>
          <w:rStyle w:val="Char2"/>
          <w:rtl/>
        </w:rPr>
        <w:t>87]</w:t>
      </w:r>
    </w:p>
    <w:p w:rsidR="00CD31AA" w:rsidRPr="00495BAB" w:rsidRDefault="00CD31AA" w:rsidP="005B1B5C">
      <w:pPr>
        <w:pStyle w:val="a0"/>
        <w:ind w:left="624" w:hanging="340"/>
        <w:rPr>
          <w:rtl/>
          <w:lang w:bidi="ar-SY"/>
        </w:rPr>
      </w:pPr>
      <w:r w:rsidRPr="00495BAB">
        <w:rPr>
          <w:rFonts w:hint="cs"/>
          <w:rtl/>
          <w:lang w:bidi="ar-SY"/>
        </w:rPr>
        <w:t xml:space="preserve">4- </w:t>
      </w:r>
      <w:r w:rsidR="00252DED" w:rsidRPr="00995B26">
        <w:rPr>
          <w:rFonts w:cs="Traditional Arabic" w:hint="cs"/>
          <w:szCs w:val="30"/>
          <w:rtl/>
          <w:lang w:bidi="ar-SY"/>
        </w:rPr>
        <w:t>﴿</w:t>
      </w:r>
      <w:r w:rsidR="00252DED" w:rsidRPr="0067048A">
        <w:rPr>
          <w:rFonts w:ascii="KFGQPC Uthmanic Script HAFS" w:cs="KFGQPC Uthmanic Script HAFS" w:hint="eastAsia"/>
          <w:sz w:val="28"/>
          <w:szCs w:val="28"/>
          <w:rtl/>
        </w:rPr>
        <w:t>وَمَن</w:t>
      </w:r>
      <w:r w:rsidR="00252DED" w:rsidRPr="0067048A">
        <w:rPr>
          <w:rFonts w:ascii="KFGQPC Uthmanic Script HAFS" w:cs="KFGQPC Uthmanic Script HAFS"/>
          <w:sz w:val="28"/>
          <w:szCs w:val="28"/>
          <w:rtl/>
        </w:rPr>
        <w:t xml:space="preserve"> </w:t>
      </w:r>
      <w:r w:rsidR="00252DED" w:rsidRPr="0067048A">
        <w:rPr>
          <w:rFonts w:ascii="KFGQPC Uthmanic Script HAFS" w:cs="KFGQPC Uthmanic Script HAFS" w:hint="eastAsia"/>
          <w:sz w:val="28"/>
          <w:szCs w:val="28"/>
          <w:rtl/>
        </w:rPr>
        <w:t>يَتَعَدَّ</w:t>
      </w:r>
      <w:r w:rsidR="00252DED" w:rsidRPr="0067048A">
        <w:rPr>
          <w:rFonts w:ascii="KFGQPC Uthmanic Script HAFS" w:cs="KFGQPC Uthmanic Script HAFS"/>
          <w:sz w:val="28"/>
          <w:szCs w:val="28"/>
          <w:rtl/>
        </w:rPr>
        <w:t xml:space="preserve"> </w:t>
      </w:r>
      <w:r w:rsidR="00252DED" w:rsidRPr="0067048A">
        <w:rPr>
          <w:rFonts w:ascii="KFGQPC Uthmanic Script HAFS" w:cs="KFGQPC Uthmanic Script HAFS" w:hint="eastAsia"/>
          <w:sz w:val="28"/>
          <w:szCs w:val="28"/>
          <w:rtl/>
        </w:rPr>
        <w:t>حُدُودَ</w:t>
      </w:r>
      <w:r w:rsidR="00252DED" w:rsidRPr="0067048A">
        <w:rPr>
          <w:rFonts w:ascii="KFGQPC Uthmanic Script HAFS" w:cs="KFGQPC Uthmanic Script HAFS"/>
          <w:sz w:val="28"/>
          <w:szCs w:val="28"/>
          <w:rtl/>
        </w:rPr>
        <w:t xml:space="preserve"> </w:t>
      </w:r>
      <w:r w:rsidR="00252DED" w:rsidRPr="0067048A">
        <w:rPr>
          <w:rFonts w:ascii="KFGQPC Uthmanic Script HAFS" w:cs="KFGQPC Uthmanic Script HAFS" w:hint="cs"/>
          <w:sz w:val="28"/>
          <w:szCs w:val="28"/>
          <w:rtl/>
        </w:rPr>
        <w:t>ٱ</w:t>
      </w:r>
      <w:r w:rsidR="00252DED" w:rsidRPr="0067048A">
        <w:rPr>
          <w:rFonts w:ascii="KFGQPC Uthmanic Script HAFS" w:cs="KFGQPC Uthmanic Script HAFS" w:hint="eastAsia"/>
          <w:sz w:val="28"/>
          <w:szCs w:val="28"/>
          <w:rtl/>
        </w:rPr>
        <w:t>للَّهِ</w:t>
      </w:r>
      <w:r w:rsidR="00252DED" w:rsidRPr="0067048A">
        <w:rPr>
          <w:rFonts w:ascii="KFGQPC Uthmanic Script HAFS" w:cs="KFGQPC Uthmanic Script HAFS"/>
          <w:sz w:val="28"/>
          <w:szCs w:val="28"/>
          <w:rtl/>
        </w:rPr>
        <w:t xml:space="preserve"> </w:t>
      </w:r>
      <w:r w:rsidR="00252DED" w:rsidRPr="0067048A">
        <w:rPr>
          <w:rFonts w:ascii="KFGQPC Uthmanic Script HAFS" w:cs="KFGQPC Uthmanic Script HAFS" w:hint="eastAsia"/>
          <w:sz w:val="28"/>
          <w:szCs w:val="28"/>
          <w:rtl/>
        </w:rPr>
        <w:t>فَقَد</w:t>
      </w:r>
      <w:r w:rsidR="00252DED" w:rsidRPr="0067048A">
        <w:rPr>
          <w:rFonts w:ascii="KFGQPC Uthmanic Script HAFS" w:cs="KFGQPC Uthmanic Script HAFS" w:hint="cs"/>
          <w:sz w:val="28"/>
          <w:szCs w:val="28"/>
          <w:rtl/>
        </w:rPr>
        <w:t>ۡ</w:t>
      </w:r>
      <w:r w:rsidR="00252DED" w:rsidRPr="0067048A">
        <w:rPr>
          <w:rFonts w:ascii="KFGQPC Uthmanic Script HAFS" w:cs="KFGQPC Uthmanic Script HAFS"/>
          <w:sz w:val="28"/>
          <w:szCs w:val="28"/>
          <w:rtl/>
        </w:rPr>
        <w:t xml:space="preserve"> </w:t>
      </w:r>
      <w:r w:rsidR="00252DED" w:rsidRPr="0067048A">
        <w:rPr>
          <w:rFonts w:ascii="KFGQPC Uthmanic Script HAFS" w:cs="KFGQPC Uthmanic Script HAFS" w:hint="eastAsia"/>
          <w:sz w:val="28"/>
          <w:szCs w:val="28"/>
          <w:rtl/>
        </w:rPr>
        <w:t>ظَلَمَ</w:t>
      </w:r>
      <w:r w:rsidR="00252DED" w:rsidRPr="0067048A">
        <w:rPr>
          <w:rFonts w:ascii="KFGQPC Uthmanic Script HAFS" w:cs="KFGQPC Uthmanic Script HAFS"/>
          <w:sz w:val="28"/>
          <w:szCs w:val="28"/>
          <w:rtl/>
        </w:rPr>
        <w:t xml:space="preserve"> </w:t>
      </w:r>
      <w:r w:rsidR="00252DED" w:rsidRPr="0067048A">
        <w:rPr>
          <w:rFonts w:ascii="KFGQPC Uthmanic Script HAFS" w:cs="KFGQPC Uthmanic Script HAFS" w:hint="eastAsia"/>
          <w:sz w:val="28"/>
          <w:szCs w:val="28"/>
          <w:rtl/>
        </w:rPr>
        <w:t>نَف</w:t>
      </w:r>
      <w:r w:rsidR="00252DED" w:rsidRPr="0067048A">
        <w:rPr>
          <w:rFonts w:ascii="KFGQPC Uthmanic Script HAFS" w:cs="KFGQPC Uthmanic Script HAFS" w:hint="cs"/>
          <w:sz w:val="28"/>
          <w:szCs w:val="28"/>
          <w:rtl/>
        </w:rPr>
        <w:t>ۡ</w:t>
      </w:r>
      <w:r w:rsidR="00252DED" w:rsidRPr="0067048A">
        <w:rPr>
          <w:rFonts w:ascii="KFGQPC Uthmanic Script HAFS" w:cs="KFGQPC Uthmanic Script HAFS" w:hint="eastAsia"/>
          <w:sz w:val="28"/>
          <w:szCs w:val="28"/>
          <w:rtl/>
        </w:rPr>
        <w:t>سَهُ</w:t>
      </w:r>
      <w:r w:rsidR="00252DED" w:rsidRPr="0067048A">
        <w:rPr>
          <w:rFonts w:ascii="KFGQPC Uthmanic Script HAFS" w:cs="KFGQPC Uthmanic Script HAFS" w:hint="cs"/>
          <w:sz w:val="28"/>
          <w:szCs w:val="28"/>
          <w:rtl/>
        </w:rPr>
        <w:t>ۥ</w:t>
      </w:r>
      <w:r w:rsidR="00252DED" w:rsidRPr="00995B26">
        <w:rPr>
          <w:rFonts w:cs="Traditional Arabic" w:hint="cs"/>
          <w:szCs w:val="30"/>
          <w:rtl/>
          <w:lang w:bidi="ar-SY"/>
        </w:rPr>
        <w:t>﴾</w:t>
      </w:r>
      <w:r w:rsidRPr="00495BAB">
        <w:rPr>
          <w:rtl/>
          <w:lang w:bidi="ar-SY"/>
        </w:rPr>
        <w:t xml:space="preserve"> </w:t>
      </w:r>
      <w:r w:rsidRPr="009E1401">
        <w:rPr>
          <w:rStyle w:val="Char2"/>
          <w:rtl/>
        </w:rPr>
        <w:t>[الطلاق</w:t>
      </w:r>
      <w:r w:rsidR="00252DED" w:rsidRPr="009E1401">
        <w:rPr>
          <w:rStyle w:val="Char2"/>
          <w:rFonts w:hint="cs"/>
          <w:rtl/>
        </w:rPr>
        <w:t xml:space="preserve">: </w:t>
      </w:r>
      <w:r w:rsidRPr="009E1401">
        <w:rPr>
          <w:rStyle w:val="Char2"/>
          <w:rtl/>
        </w:rPr>
        <w:t>1]</w:t>
      </w:r>
      <w:r w:rsidR="00252DED" w:rsidRPr="00495BAB">
        <w:rPr>
          <w:rFonts w:hint="cs"/>
          <w:rtl/>
          <w:lang w:bidi="ar-SY"/>
        </w:rPr>
        <w:t>.</w:t>
      </w:r>
    </w:p>
    <w:p w:rsidR="00CD31AA" w:rsidRPr="00495BAB" w:rsidRDefault="00CD31AA" w:rsidP="00495BAB">
      <w:pPr>
        <w:pStyle w:val="a0"/>
        <w:rPr>
          <w:rFonts w:hint="cs"/>
          <w:rtl/>
          <w:lang w:bidi="ar-SY"/>
        </w:rPr>
      </w:pPr>
      <w:r w:rsidRPr="00495BAB">
        <w:rPr>
          <w:rFonts w:hint="cs"/>
          <w:rtl/>
          <w:lang w:bidi="ar-SY"/>
        </w:rPr>
        <w:t>لو قبلنا ذلك الخمس (الذي يقول به جمهور الإمامية) والذي ليس له سند في الواقع سوى الأخبار، وتجاهلنا كل الأخبار التي وردت حول تحليل الخمس للشيعة بعد أن نعتبرها حكم الله لورودها من ناحية الأئمة الذين يُدَّعى أنهم لا يقولون شيئًا أبدًا سوى حكم الله، أفلن نكون ممن حرَّم على نفسه طيبات ما أحل الله له فتشملنا الآية الكريمة التي نهت عن ذلك؟!</w:t>
      </w:r>
    </w:p>
    <w:p w:rsidR="00CD31AA" w:rsidRPr="00495BAB" w:rsidRDefault="00CD31AA" w:rsidP="00495BAB">
      <w:pPr>
        <w:pStyle w:val="a0"/>
        <w:rPr>
          <w:rFonts w:hint="cs"/>
          <w:rtl/>
          <w:lang w:bidi="ar-SY"/>
        </w:rPr>
      </w:pPr>
      <w:r w:rsidRPr="00495BAB">
        <w:rPr>
          <w:rFonts w:hint="cs"/>
          <w:rtl/>
          <w:lang w:bidi="ar-SY"/>
        </w:rPr>
        <w:t xml:space="preserve">مع الأسف لم يحصل التعدي في الفروع والأحكام على القرآن فقط، بل لقد تعدَّوا على الأصول والاعتقادات أيضاً وما يزالون يفعلون!! إن كنتم من أهل القراءة والمطالعة ودققتم النظر في الأخبار والآثار لرأيتم أن هذه الفرق المتعددة والمتنوعة التي نشأت مع مرور الزمن في هذه الأمة الواحدة ومزَّقت روابط الوحدة الإسلامية بين المسلمين، وقرّت بوجودها أعين أعداء الإسلام، قد تعدّى كل واحدة منها بنحو من الأنحاء على القرآن، وَسَعَتْ كلُّ فرقة للتوصل إلى أهدافها ومآربها من خلال مثل هذه الدلائل الواهية والضعيفة، مما لا يمكننا في هذا المختصر أن نشرحه ونفصّل الكلام بشأنه. </w:t>
      </w:r>
    </w:p>
    <w:p w:rsidR="00CD31AA" w:rsidRPr="00495BAB" w:rsidRDefault="00CD31AA" w:rsidP="00495BAB">
      <w:pPr>
        <w:pStyle w:val="a0"/>
        <w:rPr>
          <w:rFonts w:hint="cs"/>
          <w:rtl/>
          <w:lang w:bidi="ar-SY"/>
        </w:rPr>
      </w:pPr>
      <w:r w:rsidRPr="00495BAB">
        <w:rPr>
          <w:rFonts w:hint="cs"/>
          <w:rtl/>
          <w:lang w:bidi="ar-SY"/>
        </w:rPr>
        <w:t xml:space="preserve">وبغض النظر عن أن نشأة هذه الفرق التي انشعبت عن الإسلام إنما تمّ </w:t>
      </w:r>
      <w:r w:rsidR="005D22F6" w:rsidRPr="00495BAB">
        <w:rPr>
          <w:rFonts w:hint="cs"/>
          <w:rtl/>
          <w:lang w:bidi="ar-SY"/>
        </w:rPr>
        <w:t>بسبب</w:t>
      </w:r>
      <w:r w:rsidRPr="00495BAB">
        <w:rPr>
          <w:rFonts w:hint="cs"/>
          <w:rtl/>
          <w:lang w:bidi="ar-SY"/>
        </w:rPr>
        <w:t xml:space="preserve"> دسائس أعداء الإسلام ومكرهم، هذا رغم أنّ عوامل ذلك التفرّق وأدواته كانوا من المسلمين أنفسهم! فقد وُجِدَت أيضاً بعض العقائد القبيحة والمخالفة لأصول الإسلام المسلَّم بها لدى بعض تلك الفرق واستند بعضها إلى آيات من القرآن أو إلى عبارات فيها تجاوز لروح الآيات القرآنية وتعدٍّ عليها، وكل يوم تتخذ هذه العقائد ثوباً جديداً وتنال تأييداً متجدداً. فمثلاً توجد لدى هذه الفرقة عينها التي تُعْرَف اليوم باسم الشيعة الإمامية بعض الآراء التي لا أساس لها ولا علاقة لها بالإسلام من قريب ولا من بعيد، بل من أهداف الإسلام والقرآن الواضحة محاربة مثل هذه الآراء والأهواء.</w:t>
      </w:r>
    </w:p>
    <w:p w:rsidR="00CD31AA" w:rsidRPr="00495BAB" w:rsidRDefault="00CD31AA" w:rsidP="00495BAB">
      <w:pPr>
        <w:pStyle w:val="a0"/>
        <w:rPr>
          <w:rFonts w:hint="cs"/>
          <w:rtl/>
          <w:lang w:bidi="ar-SY"/>
        </w:rPr>
      </w:pPr>
      <w:r w:rsidRPr="00495BAB">
        <w:rPr>
          <w:rFonts w:hint="cs"/>
          <w:rtl/>
          <w:lang w:bidi="ar-SY"/>
        </w:rPr>
        <w:t xml:space="preserve">ومن جملة هذه العقائد الإيمان بالولاية التكوينية للأئمة الاثني عشر </w:t>
      </w:r>
      <w:r w:rsidR="00963EFD" w:rsidRPr="00963EFD">
        <w:rPr>
          <w:rFonts w:cs="CTraditional Arabic" w:hint="cs"/>
          <w:rtl/>
          <w:lang w:bidi="ar-SY"/>
        </w:rPr>
        <w:t>‡</w:t>
      </w:r>
      <w:r w:rsidRPr="00495BAB">
        <w:rPr>
          <w:rFonts w:hint="cs"/>
          <w:rtl/>
          <w:lang w:bidi="ar-SY"/>
        </w:rPr>
        <w:t>. فهذه العقيدة الباطلة نشأت في البداية مِنْ قِبَلِ الغلاة عديمي الدين والإيمان الذين كان أعداء الإسلام يقوّونهم ويشجعونهم على نشر عقائدهم المغالية. لكن الأئمة أنفسهم بذلوا كل جهدهم في محاربة تلك العقائد وواصل هذا الجهد الشيعة ذوو الاعتقاد الصحيح، فكانوا يصمون أصحاب تلك العقائد بالغلو والارتفاع ويطردونهم من بين المسلمين ويخرجونهم من المدن الإسلامية، مما تكفّلت كتب الرجال بشرح حال بعض هؤلاء الغلاة من أمثال «سهل بن زياد» و «محمد بن سنان» و «أحمد بن هلال» و «المعلى بن خُنَيْس» و «القاسم بن عبد الله البطل». إلى حد أن شيعة قم - كما ينقل لنا الشيخ المفيد - كانوا يعتقدون أن الأئمة لا يعلمون كل الأحكام ويلجؤون في بعض الأوقات إلى الرأي والظن؛ وكان الشيعة المعاصرون للأئمة - كما يقول المجلسي - يعتبرون الأئمة علماء أبرار فحسب، وكانوا يعتبرون من ينكر سهو النبي غالياً، والغالي بنص الأحاديث الواردة عن الأئمة أسوأ من اليهود والنصارى والمجوس والمشركين. ولكن بعد ذلك، كلما ازدادت قوة الشيعة وتمكنهم في الأرض واستطاعوا أن يفصلوا أنفسهم عن سائر المسلمين، ازدادت عقائدهم بشأن الأئمة غلوًّا ورفعوا مقام الأئمة حتى أوصلوهم إلى الإلهية، إلى حد أن أحد كُتَّاب كتب الرجال، وهو الشيخ عبد الله المامقاني، دافع في كتابه الرجالي المعروف «</w:t>
      </w:r>
      <w:r w:rsidRPr="00495BAB">
        <w:rPr>
          <w:rFonts w:hint="cs"/>
          <w:b/>
          <w:bCs/>
          <w:rtl/>
          <w:lang w:bidi="ar-SY"/>
        </w:rPr>
        <w:t>تنقيح المقال</w:t>
      </w:r>
      <w:r w:rsidRPr="00495BAB">
        <w:rPr>
          <w:rFonts w:hint="cs"/>
          <w:rtl/>
          <w:lang w:bidi="ar-SY"/>
        </w:rPr>
        <w:t>» عن كل راوٍ وَصَمَهُ علماء الشيعة القدماء بالغلوّ, وقال: لقد اعتبر القدماء صاحب هذه العقيدة من الغلاة، وهذا كان موقف قدماء الشيعة، أما اليوم فما كان القدماء يعتبرونه غلوًّا، نعتبرُهُ اليوم من ضروريات مذهب الشيعة! فمن هذا يتبيَّن أن مذهب الشيعة، خلال تلك الفترة الزمنية، تطور بنفسه من نفسه، دون أن يكون لدى الشيعة نبي أو إمام، ووصل مذهبهم إلى هذا الحد الذي وصل إليه!!</w:t>
      </w:r>
    </w:p>
    <w:p w:rsidR="00CD31AA" w:rsidRPr="00495BAB" w:rsidRDefault="00CD31AA" w:rsidP="00495BAB">
      <w:pPr>
        <w:pStyle w:val="a0"/>
        <w:rPr>
          <w:rFonts w:hint="cs"/>
          <w:rtl/>
          <w:lang w:bidi="ar-SY"/>
        </w:rPr>
      </w:pPr>
      <w:r w:rsidRPr="00495BAB">
        <w:rPr>
          <w:rFonts w:hint="cs"/>
          <w:rtl/>
          <w:lang w:bidi="ar-SY"/>
        </w:rPr>
        <w:t>إنك ترى وكأن هذه الطائفة تعتبر الدين عبارة عن مدح أشخاص معينين والثناء عليهم وأنه يجب على الناس أن يذكروا أولئك الأشخاص دائماً ويشتغلوا بمدحهم وتمجيدهم بألفاظ لفقوها من عند أنفسهم، وأن يلعنوا أعداءهم الوهميين ولا شيء سوى ذلك! وتراهم ينشرون كل يوم كتباً عن الولاية التكوينية للأئمة وعن إساءة الكلام بحق من لا يعتقدون بمثل هذه الأوهام، وذلك مثل كتاب «</w:t>
      </w:r>
      <w:r w:rsidRPr="00495BAB">
        <w:rPr>
          <w:rFonts w:hint="cs"/>
          <w:b/>
          <w:bCs/>
          <w:rtl/>
          <w:lang w:bidi="ar-SY"/>
        </w:rPr>
        <w:t>أمراء هستى</w:t>
      </w:r>
      <w:r w:rsidRPr="00495BAB">
        <w:rPr>
          <w:rFonts w:hint="cs"/>
          <w:rtl/>
          <w:lang w:bidi="ar-SY"/>
        </w:rPr>
        <w:t>» (أي أمراء الكون) و «</w:t>
      </w:r>
      <w:r w:rsidRPr="00495BAB">
        <w:rPr>
          <w:rFonts w:hint="cs"/>
          <w:b/>
          <w:bCs/>
          <w:rtl/>
          <w:lang w:bidi="ar-SY"/>
        </w:rPr>
        <w:t>تجلى ولايت</w:t>
      </w:r>
      <w:r w:rsidRPr="00495BAB">
        <w:rPr>
          <w:rFonts w:hint="cs"/>
          <w:rtl/>
          <w:lang w:bidi="ar-SY"/>
        </w:rPr>
        <w:t>» (أي تجلي الولاية) و «</w:t>
      </w:r>
      <w:r w:rsidRPr="00495BAB">
        <w:rPr>
          <w:rFonts w:hint="cs"/>
          <w:b/>
          <w:bCs/>
          <w:rtl/>
          <w:lang w:bidi="ar-SY"/>
        </w:rPr>
        <w:t>بحثى در باره ولايت</w:t>
      </w:r>
      <w:r w:rsidRPr="00495BAB">
        <w:rPr>
          <w:rFonts w:hint="cs"/>
          <w:rtl/>
          <w:lang w:bidi="ar-SY"/>
        </w:rPr>
        <w:t>» (أي بحث حول الولاية) وأمثالها؛ ويتشبثون لإثبات مثل هذه الموضوعات التي لا فائدة منها بآيات من القرآن الكريم وحسب قولهم يخرجون تلك الآيات عن موارد نزولها ويعدّون معناها إلى أمور أخرى! ورغم أنهم كتبوا الآلاف من هذه الكتب فإنهم لم يحصلوا على أدنى نتيجة من ذلك لأن هذا الموضوع ليس له أي جانب عملي.</w:t>
      </w:r>
    </w:p>
    <w:p w:rsidR="00CD31AA" w:rsidRPr="00495BAB" w:rsidRDefault="00CD31AA" w:rsidP="00495BAB">
      <w:pPr>
        <w:pStyle w:val="a0"/>
        <w:rPr>
          <w:rFonts w:hint="cs"/>
          <w:rtl/>
          <w:lang w:bidi="ar-SY"/>
        </w:rPr>
      </w:pPr>
      <w:r w:rsidRPr="00495BAB">
        <w:rPr>
          <w:rFonts w:hint="cs"/>
          <w:rtl/>
          <w:lang w:bidi="ar-SY"/>
        </w:rPr>
        <w:t xml:space="preserve">لو كانت ولاية علي هي خلافته فلا فائدة له من إثباتها اليوم. وإن كان المراد منها محبة الإمام، فأي مسلم على وجه الأرض بل أي إنسان ذي وجدان لا يحب علياً الذي كان يتمتع بكل الكمالات النفسية تلك، أو يعاديه؟ وبغض النظر عن كون محبة ذلك الإمام الهمام أو عداوته لا تفيد شيئًا ولا تضر، ففي ذلك اليوم الذي أوصى به رسول الله </w:t>
      </w:r>
      <w:r w:rsidRPr="00495BAB">
        <w:rPr>
          <w:rFonts w:ascii="Abo-thar" w:hAnsi="Abo-thar"/>
          <w:sz w:val="28"/>
          <w:lang w:bidi="fa-IR"/>
        </w:rPr>
        <w:t></w:t>
      </w:r>
      <w:r w:rsidRPr="00495BAB">
        <w:rPr>
          <w:rFonts w:hint="cs"/>
          <w:rtl/>
          <w:lang w:bidi="ar-SY"/>
        </w:rPr>
        <w:t xml:space="preserve"> أصحابه وصيةً مؤكدةً بمحبة عليٍّ وحذَّر من معاداته، كان الهدف من كلامه ألا يترك المسلمون المعاصرون لعليٍّ، عليًّا وحده في وسط تلك المصاعب والنزاعات والاختلاف والتشتت الذي وقع بين المسلمين. أما اليوم فمحبة الإمام أو معاداته لا تنفعه ولا تضره، أما لو كان المراد محبة فضائله وأن يتمثل الناس بهذه الفضائل ويرغبون بها فمع الأسف معظم الدعاة والمبلغين الناشرين لتلك الفضائل فاقدون هم أنفسهم لها بل متخَلِّقُون بعكسها. </w:t>
      </w:r>
    </w:p>
    <w:p w:rsidR="00CD31AA" w:rsidRPr="00495BAB" w:rsidRDefault="00CD31AA" w:rsidP="00495BAB">
      <w:pPr>
        <w:pStyle w:val="a0"/>
        <w:rPr>
          <w:rFonts w:hint="cs"/>
          <w:rtl/>
          <w:lang w:bidi="ar-SY"/>
        </w:rPr>
      </w:pPr>
      <w:r w:rsidRPr="00495BAB">
        <w:rPr>
          <w:rFonts w:hint="cs"/>
          <w:rtl/>
          <w:lang w:bidi="ar-SY"/>
        </w:rPr>
        <w:t xml:space="preserve">وعلى أي حال، إن كان معنى الإمامة إرشاد الناس إلى طريق الله فإن مثل هذه الإمامة لا يمكن لأحد أن يغصبها من عليٍّ، وإن كان المقصود من ولاية الإمام تصرفه في الكون والمكان وتدبيره لأمور السماوات والأرض، فهذا بحدِّ ذاته كفر صريح، لأنه لو فرضنا أن ذلك الإمام الهمام كان صاحب مثل تلك الولاية فما هو نفع ذلك لهم؟ إن علياً ليس ابن خالتهم حتى يمنحهم شيئًا من فضائله، هذا رغم أن ذلك الإمام لم يكن ليمنح لا ابن خالته ولا حتى أخاه وأبناءه من تلك الولاية شيئًا، ولم يكن بإمكانه أن يفعل ذلك؛ لأن مثل تلك الولاية ليست قابلة للمنح والإهداء. هذا إضافةً إلى أنه لا فائدة من تلك الولاية لمن يعتقدون بها، بل الاعتقاد بها سبب لخسرانهم الدنيوي والأخروي، لأن هذه العقيدة جعلت سائر المسلمين يعتبرون الشيعة مشركين وأعطت سائر المسلمين ذريعةً لإيذاء الشيعة والإضرار بهم ما استطاعوا إلى ذلك سبيلاً، واستحلُّوا لهذا السبب أرواح الشيعة وأموالهم وأعراضهم. أما الخسران الأخروي فلأن مثل هذه العقيدة إن لم تكن شركًا صريحًا فهي على الأقل شرك خفي، والشرك إثم لا يُغفَر؛ ولو لم يكن عليٌّ متصرفًا في الكون والمكان ومدبرًا للسماوات والأرض فأي ضرر في ذلك له -عقلاً ووجدانًا- وأي عار وذل لشيعته وأي نقص في ذلك لعالم الوجود؟! </w:t>
      </w:r>
    </w:p>
    <w:p w:rsidR="00CD31AA" w:rsidRPr="00495BAB" w:rsidRDefault="00CD31AA" w:rsidP="00495BAB">
      <w:pPr>
        <w:pStyle w:val="a0"/>
        <w:rPr>
          <w:rFonts w:hint="cs"/>
          <w:rtl/>
          <w:lang w:bidi="ar-SY"/>
        </w:rPr>
      </w:pPr>
      <w:r w:rsidRPr="00495BAB">
        <w:rPr>
          <w:rFonts w:hint="cs"/>
          <w:rtl/>
          <w:lang w:bidi="ar-SY"/>
        </w:rPr>
        <w:t>والعجيب أنهم استخرجوا الولاية التكوينية من آية:</w:t>
      </w:r>
      <w:r w:rsidR="00252DED" w:rsidRPr="00495BAB">
        <w:rPr>
          <w:rFonts w:hint="cs"/>
          <w:rtl/>
          <w:lang w:bidi="ar-SY"/>
        </w:rPr>
        <w:t xml:space="preserve"> </w:t>
      </w:r>
      <w:r w:rsidR="00252DED" w:rsidRPr="00995B26">
        <w:rPr>
          <w:rFonts w:cs="Traditional Arabic" w:hint="cs"/>
          <w:szCs w:val="30"/>
          <w:rtl/>
          <w:lang w:bidi="ar-SY"/>
        </w:rPr>
        <w:t>﴿</w:t>
      </w:r>
      <w:r w:rsidR="00252DED" w:rsidRPr="0067048A">
        <w:rPr>
          <w:rFonts w:ascii="KFGQPC Uthmanic Script HAFS" w:cs="KFGQPC Uthmanic Script HAFS" w:hint="eastAsia"/>
          <w:sz w:val="28"/>
          <w:szCs w:val="28"/>
          <w:rtl/>
        </w:rPr>
        <w:t>إِنَّمَا</w:t>
      </w:r>
      <w:r w:rsidR="00252DED" w:rsidRPr="0067048A">
        <w:rPr>
          <w:rFonts w:ascii="KFGQPC Uthmanic Script HAFS" w:cs="KFGQPC Uthmanic Script HAFS"/>
          <w:sz w:val="28"/>
          <w:szCs w:val="28"/>
          <w:rtl/>
        </w:rPr>
        <w:t xml:space="preserve"> </w:t>
      </w:r>
      <w:r w:rsidR="00252DED" w:rsidRPr="0067048A">
        <w:rPr>
          <w:rFonts w:ascii="KFGQPC Uthmanic Script HAFS" w:cs="KFGQPC Uthmanic Script HAFS" w:hint="eastAsia"/>
          <w:sz w:val="28"/>
          <w:szCs w:val="28"/>
          <w:rtl/>
        </w:rPr>
        <w:t>وَلِيُّكُمُ</w:t>
      </w:r>
      <w:r w:rsidR="00252DED" w:rsidRPr="0067048A">
        <w:rPr>
          <w:rFonts w:ascii="KFGQPC Uthmanic Script HAFS" w:cs="KFGQPC Uthmanic Script HAFS"/>
          <w:sz w:val="28"/>
          <w:szCs w:val="28"/>
          <w:rtl/>
        </w:rPr>
        <w:t xml:space="preserve"> </w:t>
      </w:r>
      <w:r w:rsidR="00252DED" w:rsidRPr="0067048A">
        <w:rPr>
          <w:rFonts w:ascii="KFGQPC Uthmanic Script HAFS" w:cs="KFGQPC Uthmanic Script HAFS" w:hint="cs"/>
          <w:sz w:val="28"/>
          <w:szCs w:val="28"/>
          <w:rtl/>
        </w:rPr>
        <w:t>ٱ</w:t>
      </w:r>
      <w:r w:rsidR="00252DED" w:rsidRPr="0067048A">
        <w:rPr>
          <w:rFonts w:ascii="KFGQPC Uthmanic Script HAFS" w:cs="KFGQPC Uthmanic Script HAFS" w:hint="eastAsia"/>
          <w:sz w:val="28"/>
          <w:szCs w:val="28"/>
          <w:rtl/>
        </w:rPr>
        <w:t>للَّهُ</w:t>
      </w:r>
      <w:r w:rsidR="00252DED" w:rsidRPr="0067048A">
        <w:rPr>
          <w:rFonts w:ascii="KFGQPC Uthmanic Script HAFS" w:cs="KFGQPC Uthmanic Script HAFS"/>
          <w:sz w:val="28"/>
          <w:szCs w:val="28"/>
          <w:rtl/>
        </w:rPr>
        <w:t xml:space="preserve"> </w:t>
      </w:r>
      <w:r w:rsidR="00252DED" w:rsidRPr="0067048A">
        <w:rPr>
          <w:rFonts w:ascii="KFGQPC Uthmanic Script HAFS" w:cs="KFGQPC Uthmanic Script HAFS" w:hint="eastAsia"/>
          <w:sz w:val="28"/>
          <w:szCs w:val="28"/>
          <w:rtl/>
        </w:rPr>
        <w:t>وَرَسُولُهُ</w:t>
      </w:r>
      <w:r w:rsidR="00252DED" w:rsidRPr="00995B26">
        <w:rPr>
          <w:rFonts w:ascii="KFGQPC Uthmanic Script HAFS" w:cs="Times New Roman" w:hint="cs"/>
          <w:sz w:val="28"/>
          <w:rtl/>
        </w:rPr>
        <w:t>...</w:t>
      </w:r>
      <w:r w:rsidR="00252DED" w:rsidRPr="00995B26">
        <w:rPr>
          <w:rFonts w:cs="Traditional Arabic" w:hint="cs"/>
          <w:szCs w:val="30"/>
          <w:rtl/>
          <w:lang w:bidi="ar-SY"/>
        </w:rPr>
        <w:t>﴾</w:t>
      </w:r>
      <w:r w:rsidRPr="00495BAB">
        <w:rPr>
          <w:rtl/>
          <w:lang w:bidi="ar-SY"/>
        </w:rPr>
        <w:t xml:space="preserve"> </w:t>
      </w:r>
      <w:r w:rsidRPr="009E1401">
        <w:rPr>
          <w:rStyle w:val="Char2"/>
          <w:rtl/>
        </w:rPr>
        <w:t>[المائدة</w:t>
      </w:r>
      <w:r w:rsidR="00252DED" w:rsidRPr="009E1401">
        <w:rPr>
          <w:rStyle w:val="Char2"/>
          <w:rFonts w:hint="cs"/>
          <w:rtl/>
        </w:rPr>
        <w:t xml:space="preserve">: </w:t>
      </w:r>
      <w:r w:rsidRPr="009E1401">
        <w:rPr>
          <w:rStyle w:val="Char2"/>
          <w:rtl/>
        </w:rPr>
        <w:t>55]</w:t>
      </w:r>
      <w:r w:rsidRPr="00495BAB">
        <w:rPr>
          <w:rFonts w:hint="cs"/>
          <w:rtl/>
          <w:lang w:bidi="ar-SY"/>
        </w:rPr>
        <w:t>، لكن يبدو أنهم انتبهوا بعد ألف عام أنهم لو استندوا إلى هذه الآية فإنها لن تفي بقصدهم، لأن مرجع الضمير (كم) في هذه الآية هم المؤمنون ولو تقرر أن يكون لِـلَّهِ ولرسوله ولعليٍّ ولاية تكوينية على المؤمنين فقط فلن تكون لهم ولاية على سائر الكائنات، لذلك لا يمكن الاستناد إلى هذه الآية لإثبات الولاية التكوينية.</w:t>
      </w:r>
    </w:p>
    <w:p w:rsidR="00CD31AA" w:rsidRPr="00995B26" w:rsidRDefault="00CD31AA" w:rsidP="00495BAB">
      <w:pPr>
        <w:pStyle w:val="a0"/>
        <w:rPr>
          <w:rFonts w:hint="cs"/>
          <w:rtl/>
          <w:lang w:bidi="ar-SY"/>
        </w:rPr>
      </w:pPr>
      <w:r w:rsidRPr="00495BAB">
        <w:rPr>
          <w:rFonts w:hint="cs"/>
          <w:rtl/>
          <w:lang w:bidi="ar-SY"/>
        </w:rPr>
        <w:t xml:space="preserve">وأخيرًا تشبث أحدهم بقوله تعالى: </w:t>
      </w:r>
      <w:r w:rsidR="00252DED" w:rsidRPr="00995B26">
        <w:rPr>
          <w:rFonts w:cs="Traditional Arabic" w:hint="cs"/>
          <w:szCs w:val="30"/>
          <w:rtl/>
          <w:lang w:bidi="ar-SY"/>
        </w:rPr>
        <w:t>﴿</w:t>
      </w:r>
      <w:r w:rsidR="00252DED" w:rsidRPr="0067048A">
        <w:rPr>
          <w:rFonts w:ascii="KFGQPC Uthmanic Script HAFS" w:cs="KFGQPC Uthmanic Script HAFS" w:hint="eastAsia"/>
          <w:sz w:val="28"/>
          <w:szCs w:val="28"/>
          <w:rtl/>
        </w:rPr>
        <w:t>وَيَقُولُ</w:t>
      </w:r>
      <w:r w:rsidR="00252DED" w:rsidRPr="0067048A">
        <w:rPr>
          <w:rFonts w:ascii="KFGQPC Uthmanic Script HAFS" w:cs="KFGQPC Uthmanic Script HAFS"/>
          <w:sz w:val="28"/>
          <w:szCs w:val="28"/>
          <w:rtl/>
        </w:rPr>
        <w:t xml:space="preserve"> </w:t>
      </w:r>
      <w:r w:rsidR="00252DED" w:rsidRPr="0067048A">
        <w:rPr>
          <w:rFonts w:ascii="KFGQPC Uthmanic Script HAFS" w:cs="KFGQPC Uthmanic Script HAFS" w:hint="cs"/>
          <w:sz w:val="28"/>
          <w:szCs w:val="28"/>
          <w:rtl/>
        </w:rPr>
        <w:t>ٱ</w:t>
      </w:r>
      <w:r w:rsidR="00252DED" w:rsidRPr="0067048A">
        <w:rPr>
          <w:rFonts w:ascii="KFGQPC Uthmanic Script HAFS" w:cs="KFGQPC Uthmanic Script HAFS" w:hint="eastAsia"/>
          <w:sz w:val="28"/>
          <w:szCs w:val="28"/>
          <w:rtl/>
        </w:rPr>
        <w:t>لَّذِينَ</w:t>
      </w:r>
      <w:r w:rsidR="00252DED" w:rsidRPr="0067048A">
        <w:rPr>
          <w:rFonts w:ascii="KFGQPC Uthmanic Script HAFS" w:cs="KFGQPC Uthmanic Script HAFS"/>
          <w:sz w:val="28"/>
          <w:szCs w:val="28"/>
          <w:rtl/>
        </w:rPr>
        <w:t xml:space="preserve"> </w:t>
      </w:r>
      <w:r w:rsidR="00252DED" w:rsidRPr="0067048A">
        <w:rPr>
          <w:rFonts w:ascii="KFGQPC Uthmanic Script HAFS" w:cs="KFGQPC Uthmanic Script HAFS" w:hint="eastAsia"/>
          <w:sz w:val="28"/>
          <w:szCs w:val="28"/>
          <w:rtl/>
        </w:rPr>
        <w:t>كَفَرُواْ</w:t>
      </w:r>
      <w:r w:rsidR="00252DED" w:rsidRPr="0067048A">
        <w:rPr>
          <w:rFonts w:ascii="KFGQPC Uthmanic Script HAFS" w:cs="KFGQPC Uthmanic Script HAFS"/>
          <w:sz w:val="28"/>
          <w:szCs w:val="28"/>
          <w:rtl/>
        </w:rPr>
        <w:t xml:space="preserve"> </w:t>
      </w:r>
      <w:r w:rsidR="00252DED" w:rsidRPr="0067048A">
        <w:rPr>
          <w:rFonts w:ascii="KFGQPC Uthmanic Script HAFS" w:cs="KFGQPC Uthmanic Script HAFS" w:hint="eastAsia"/>
          <w:sz w:val="28"/>
          <w:szCs w:val="28"/>
          <w:rtl/>
        </w:rPr>
        <w:t>لَس</w:t>
      </w:r>
      <w:r w:rsidR="00252DED" w:rsidRPr="0067048A">
        <w:rPr>
          <w:rFonts w:ascii="KFGQPC Uthmanic Script HAFS" w:cs="KFGQPC Uthmanic Script HAFS" w:hint="cs"/>
          <w:sz w:val="28"/>
          <w:szCs w:val="28"/>
          <w:rtl/>
        </w:rPr>
        <w:t>ۡ</w:t>
      </w:r>
      <w:r w:rsidR="00252DED" w:rsidRPr="0067048A">
        <w:rPr>
          <w:rFonts w:ascii="KFGQPC Uthmanic Script HAFS" w:cs="KFGQPC Uthmanic Script HAFS" w:hint="eastAsia"/>
          <w:sz w:val="28"/>
          <w:szCs w:val="28"/>
          <w:rtl/>
        </w:rPr>
        <w:t>تَ</w:t>
      </w:r>
      <w:r w:rsidR="00252DED" w:rsidRPr="0067048A">
        <w:rPr>
          <w:rFonts w:ascii="KFGQPC Uthmanic Script HAFS" w:cs="KFGQPC Uthmanic Script HAFS"/>
          <w:sz w:val="28"/>
          <w:szCs w:val="28"/>
          <w:rtl/>
        </w:rPr>
        <w:t xml:space="preserve"> </w:t>
      </w:r>
      <w:r w:rsidR="00252DED" w:rsidRPr="0067048A">
        <w:rPr>
          <w:rFonts w:ascii="KFGQPC Uthmanic Script HAFS" w:cs="KFGQPC Uthmanic Script HAFS" w:hint="eastAsia"/>
          <w:sz w:val="28"/>
          <w:szCs w:val="28"/>
          <w:rtl/>
        </w:rPr>
        <w:t>مُر</w:t>
      </w:r>
      <w:r w:rsidR="00252DED" w:rsidRPr="0067048A">
        <w:rPr>
          <w:rFonts w:ascii="KFGQPC Uthmanic Script HAFS" w:cs="KFGQPC Uthmanic Script HAFS" w:hint="cs"/>
          <w:sz w:val="28"/>
          <w:szCs w:val="28"/>
          <w:rtl/>
        </w:rPr>
        <w:t>ۡ</w:t>
      </w:r>
      <w:r w:rsidR="00252DED" w:rsidRPr="0067048A">
        <w:rPr>
          <w:rFonts w:ascii="KFGQPC Uthmanic Script HAFS" w:cs="KFGQPC Uthmanic Script HAFS" w:hint="eastAsia"/>
          <w:sz w:val="28"/>
          <w:szCs w:val="28"/>
          <w:rtl/>
        </w:rPr>
        <w:t>سَل</w:t>
      </w:r>
      <w:r w:rsidR="00252DED" w:rsidRPr="0067048A">
        <w:rPr>
          <w:rFonts w:ascii="KFGQPC Uthmanic Script HAFS" w:cs="KFGQPC Uthmanic Script HAFS" w:hint="cs"/>
          <w:sz w:val="28"/>
          <w:szCs w:val="28"/>
          <w:rtl/>
        </w:rPr>
        <w:t>ٗ</w:t>
      </w:r>
      <w:r w:rsidR="00252DED" w:rsidRPr="0067048A">
        <w:rPr>
          <w:rFonts w:ascii="KFGQPC Uthmanic Script HAFS" w:cs="KFGQPC Uthmanic Script HAFS" w:hint="eastAsia"/>
          <w:sz w:val="28"/>
          <w:szCs w:val="28"/>
          <w:rtl/>
        </w:rPr>
        <w:t>ا</w:t>
      </w:r>
      <w:r w:rsidR="00252DED" w:rsidRPr="0067048A">
        <w:rPr>
          <w:rFonts w:ascii="KFGQPC Uthmanic Script HAFS" w:cs="KFGQPC Uthmanic Script HAFS" w:hint="cs"/>
          <w:sz w:val="28"/>
          <w:szCs w:val="28"/>
          <w:rtl/>
        </w:rPr>
        <w:t>ۚ</w:t>
      </w:r>
      <w:r w:rsidR="00252DED" w:rsidRPr="0067048A">
        <w:rPr>
          <w:rFonts w:ascii="KFGQPC Uthmanic Script HAFS" w:cs="KFGQPC Uthmanic Script HAFS"/>
          <w:sz w:val="28"/>
          <w:szCs w:val="28"/>
          <w:rtl/>
        </w:rPr>
        <w:t xml:space="preserve"> </w:t>
      </w:r>
      <w:r w:rsidR="00252DED" w:rsidRPr="0067048A">
        <w:rPr>
          <w:rFonts w:ascii="KFGQPC Uthmanic Script HAFS" w:cs="KFGQPC Uthmanic Script HAFS" w:hint="eastAsia"/>
          <w:sz w:val="28"/>
          <w:szCs w:val="28"/>
          <w:rtl/>
        </w:rPr>
        <w:t>قُل</w:t>
      </w:r>
      <w:r w:rsidR="00252DED" w:rsidRPr="0067048A">
        <w:rPr>
          <w:rFonts w:ascii="KFGQPC Uthmanic Script HAFS" w:cs="KFGQPC Uthmanic Script HAFS" w:hint="cs"/>
          <w:sz w:val="28"/>
          <w:szCs w:val="28"/>
          <w:rtl/>
        </w:rPr>
        <w:t>ۡ</w:t>
      </w:r>
      <w:r w:rsidR="00252DED" w:rsidRPr="0067048A">
        <w:rPr>
          <w:rFonts w:ascii="KFGQPC Uthmanic Script HAFS" w:cs="KFGQPC Uthmanic Script HAFS"/>
          <w:sz w:val="28"/>
          <w:szCs w:val="28"/>
          <w:rtl/>
        </w:rPr>
        <w:t xml:space="preserve"> </w:t>
      </w:r>
      <w:r w:rsidR="00252DED" w:rsidRPr="0067048A">
        <w:rPr>
          <w:rFonts w:ascii="KFGQPC Uthmanic Script HAFS" w:cs="KFGQPC Uthmanic Script HAFS" w:hint="eastAsia"/>
          <w:sz w:val="28"/>
          <w:szCs w:val="28"/>
          <w:rtl/>
        </w:rPr>
        <w:t>كَفَى</w:t>
      </w:r>
      <w:r w:rsidR="00252DED" w:rsidRPr="0067048A">
        <w:rPr>
          <w:rFonts w:ascii="KFGQPC Uthmanic Script HAFS" w:cs="KFGQPC Uthmanic Script HAFS" w:hint="cs"/>
          <w:sz w:val="28"/>
          <w:szCs w:val="28"/>
          <w:rtl/>
        </w:rPr>
        <w:t>ٰ</w:t>
      </w:r>
      <w:r w:rsidR="00252DED" w:rsidRPr="0067048A">
        <w:rPr>
          <w:rFonts w:ascii="KFGQPC Uthmanic Script HAFS" w:cs="KFGQPC Uthmanic Script HAFS"/>
          <w:sz w:val="28"/>
          <w:szCs w:val="28"/>
          <w:rtl/>
        </w:rPr>
        <w:t xml:space="preserve"> </w:t>
      </w:r>
      <w:r w:rsidR="00252DED" w:rsidRPr="0067048A">
        <w:rPr>
          <w:rFonts w:ascii="KFGQPC Uthmanic Script HAFS" w:cs="KFGQPC Uthmanic Script HAFS" w:hint="eastAsia"/>
          <w:sz w:val="28"/>
          <w:szCs w:val="28"/>
          <w:rtl/>
        </w:rPr>
        <w:t>بِ</w:t>
      </w:r>
      <w:r w:rsidR="00252DED" w:rsidRPr="0067048A">
        <w:rPr>
          <w:rFonts w:ascii="KFGQPC Uthmanic Script HAFS" w:cs="KFGQPC Uthmanic Script HAFS" w:hint="cs"/>
          <w:sz w:val="28"/>
          <w:szCs w:val="28"/>
          <w:rtl/>
        </w:rPr>
        <w:t>ٱ</w:t>
      </w:r>
      <w:r w:rsidR="00252DED" w:rsidRPr="0067048A">
        <w:rPr>
          <w:rFonts w:ascii="KFGQPC Uthmanic Script HAFS" w:cs="KFGQPC Uthmanic Script HAFS" w:hint="eastAsia"/>
          <w:sz w:val="28"/>
          <w:szCs w:val="28"/>
          <w:rtl/>
        </w:rPr>
        <w:t>للَّهِ</w:t>
      </w:r>
      <w:r w:rsidR="00252DED" w:rsidRPr="0067048A">
        <w:rPr>
          <w:rFonts w:ascii="KFGQPC Uthmanic Script HAFS" w:cs="KFGQPC Uthmanic Script HAFS"/>
          <w:sz w:val="28"/>
          <w:szCs w:val="28"/>
          <w:rtl/>
        </w:rPr>
        <w:t xml:space="preserve"> </w:t>
      </w:r>
      <w:r w:rsidR="00252DED" w:rsidRPr="0067048A">
        <w:rPr>
          <w:rFonts w:ascii="KFGQPC Uthmanic Script HAFS" w:cs="KFGQPC Uthmanic Script HAFS" w:hint="eastAsia"/>
          <w:sz w:val="28"/>
          <w:szCs w:val="28"/>
          <w:rtl/>
        </w:rPr>
        <w:t>شَهِيدَ</w:t>
      </w:r>
      <w:r w:rsidR="00252DED" w:rsidRPr="0067048A">
        <w:rPr>
          <w:rFonts w:ascii="KFGQPC Uthmanic Script HAFS" w:cs="KFGQPC Uthmanic Script HAFS" w:hint="cs"/>
          <w:sz w:val="28"/>
          <w:szCs w:val="28"/>
          <w:rtl/>
        </w:rPr>
        <w:t>ۢ</w:t>
      </w:r>
      <w:r w:rsidR="00252DED" w:rsidRPr="0067048A">
        <w:rPr>
          <w:rFonts w:ascii="KFGQPC Uthmanic Script HAFS" w:cs="KFGQPC Uthmanic Script HAFS" w:hint="eastAsia"/>
          <w:sz w:val="28"/>
          <w:szCs w:val="28"/>
          <w:rtl/>
        </w:rPr>
        <w:t>ا</w:t>
      </w:r>
      <w:r w:rsidR="00252DED" w:rsidRPr="0067048A">
        <w:rPr>
          <w:rFonts w:ascii="KFGQPC Uthmanic Script HAFS" w:cs="KFGQPC Uthmanic Script HAFS"/>
          <w:sz w:val="28"/>
          <w:szCs w:val="28"/>
          <w:rtl/>
        </w:rPr>
        <w:t xml:space="preserve"> </w:t>
      </w:r>
      <w:r w:rsidR="00252DED" w:rsidRPr="0067048A">
        <w:rPr>
          <w:rFonts w:ascii="KFGQPC Uthmanic Script HAFS" w:cs="KFGQPC Uthmanic Script HAFS" w:hint="eastAsia"/>
          <w:sz w:val="28"/>
          <w:szCs w:val="28"/>
          <w:rtl/>
        </w:rPr>
        <w:t>بَي</w:t>
      </w:r>
      <w:r w:rsidR="00252DED" w:rsidRPr="0067048A">
        <w:rPr>
          <w:rFonts w:ascii="KFGQPC Uthmanic Script HAFS" w:cs="KFGQPC Uthmanic Script HAFS" w:hint="cs"/>
          <w:sz w:val="28"/>
          <w:szCs w:val="28"/>
          <w:rtl/>
        </w:rPr>
        <w:t>ۡ</w:t>
      </w:r>
      <w:r w:rsidR="00252DED" w:rsidRPr="0067048A">
        <w:rPr>
          <w:rFonts w:ascii="KFGQPC Uthmanic Script HAFS" w:cs="KFGQPC Uthmanic Script HAFS" w:hint="eastAsia"/>
          <w:sz w:val="28"/>
          <w:szCs w:val="28"/>
          <w:rtl/>
        </w:rPr>
        <w:t>نِي</w:t>
      </w:r>
      <w:r w:rsidR="00252DED" w:rsidRPr="0067048A">
        <w:rPr>
          <w:rFonts w:ascii="KFGQPC Uthmanic Script HAFS" w:cs="KFGQPC Uthmanic Script HAFS"/>
          <w:sz w:val="28"/>
          <w:szCs w:val="28"/>
          <w:rtl/>
        </w:rPr>
        <w:t xml:space="preserve"> </w:t>
      </w:r>
      <w:r w:rsidR="00252DED" w:rsidRPr="0067048A">
        <w:rPr>
          <w:rFonts w:ascii="KFGQPC Uthmanic Script HAFS" w:cs="KFGQPC Uthmanic Script HAFS" w:hint="eastAsia"/>
          <w:sz w:val="28"/>
          <w:szCs w:val="28"/>
          <w:rtl/>
        </w:rPr>
        <w:t>وَبَي</w:t>
      </w:r>
      <w:r w:rsidR="00252DED" w:rsidRPr="0067048A">
        <w:rPr>
          <w:rFonts w:ascii="KFGQPC Uthmanic Script HAFS" w:cs="KFGQPC Uthmanic Script HAFS" w:hint="cs"/>
          <w:sz w:val="28"/>
          <w:szCs w:val="28"/>
          <w:rtl/>
        </w:rPr>
        <w:t>ۡ</w:t>
      </w:r>
      <w:r w:rsidR="00252DED" w:rsidRPr="0067048A">
        <w:rPr>
          <w:rFonts w:ascii="KFGQPC Uthmanic Script HAFS" w:cs="KFGQPC Uthmanic Script HAFS" w:hint="eastAsia"/>
          <w:sz w:val="28"/>
          <w:szCs w:val="28"/>
          <w:rtl/>
        </w:rPr>
        <w:t>نَكُم</w:t>
      </w:r>
      <w:r w:rsidR="00252DED" w:rsidRPr="0067048A">
        <w:rPr>
          <w:rFonts w:ascii="KFGQPC Uthmanic Script HAFS" w:cs="KFGQPC Uthmanic Script HAFS" w:hint="cs"/>
          <w:sz w:val="28"/>
          <w:szCs w:val="28"/>
          <w:rtl/>
        </w:rPr>
        <w:t>ۡ</w:t>
      </w:r>
      <w:r w:rsidR="00252DED" w:rsidRPr="0067048A">
        <w:rPr>
          <w:rFonts w:ascii="KFGQPC Uthmanic Script HAFS" w:cs="KFGQPC Uthmanic Script HAFS"/>
          <w:sz w:val="28"/>
          <w:szCs w:val="28"/>
          <w:rtl/>
        </w:rPr>
        <w:t xml:space="preserve"> </w:t>
      </w:r>
      <w:r w:rsidR="00252DED" w:rsidRPr="0067048A">
        <w:rPr>
          <w:rFonts w:ascii="KFGQPC Uthmanic Script HAFS" w:cs="KFGQPC Uthmanic Script HAFS" w:hint="eastAsia"/>
          <w:sz w:val="28"/>
          <w:szCs w:val="28"/>
          <w:rtl/>
        </w:rPr>
        <w:t>وَمَن</w:t>
      </w:r>
      <w:r w:rsidR="00252DED" w:rsidRPr="0067048A">
        <w:rPr>
          <w:rFonts w:ascii="KFGQPC Uthmanic Script HAFS" w:cs="KFGQPC Uthmanic Script HAFS" w:hint="cs"/>
          <w:sz w:val="28"/>
          <w:szCs w:val="28"/>
          <w:rtl/>
        </w:rPr>
        <w:t>ۡ</w:t>
      </w:r>
      <w:r w:rsidR="00252DED" w:rsidRPr="0067048A">
        <w:rPr>
          <w:rFonts w:ascii="KFGQPC Uthmanic Script HAFS" w:cs="KFGQPC Uthmanic Script HAFS"/>
          <w:sz w:val="28"/>
          <w:szCs w:val="28"/>
          <w:rtl/>
        </w:rPr>
        <w:t xml:space="preserve"> </w:t>
      </w:r>
      <w:r w:rsidR="00252DED" w:rsidRPr="0067048A">
        <w:rPr>
          <w:rFonts w:ascii="KFGQPC Uthmanic Script HAFS" w:cs="KFGQPC Uthmanic Script HAFS" w:hint="eastAsia"/>
          <w:sz w:val="28"/>
          <w:szCs w:val="28"/>
          <w:rtl/>
        </w:rPr>
        <w:t>عِندَهُ</w:t>
      </w:r>
      <w:r w:rsidR="00252DED" w:rsidRPr="0067048A">
        <w:rPr>
          <w:rFonts w:ascii="KFGQPC Uthmanic Script HAFS" w:cs="KFGQPC Uthmanic Script HAFS" w:hint="cs"/>
          <w:sz w:val="28"/>
          <w:szCs w:val="28"/>
          <w:rtl/>
        </w:rPr>
        <w:t>ۥ</w:t>
      </w:r>
      <w:r w:rsidR="00252DED" w:rsidRPr="0067048A">
        <w:rPr>
          <w:rFonts w:ascii="KFGQPC Uthmanic Script HAFS" w:cs="KFGQPC Uthmanic Script HAFS"/>
          <w:sz w:val="28"/>
          <w:szCs w:val="28"/>
          <w:rtl/>
        </w:rPr>
        <w:t xml:space="preserve"> </w:t>
      </w:r>
      <w:r w:rsidR="00252DED" w:rsidRPr="0067048A">
        <w:rPr>
          <w:rFonts w:ascii="KFGQPC Uthmanic Script HAFS" w:cs="KFGQPC Uthmanic Script HAFS" w:hint="eastAsia"/>
          <w:sz w:val="28"/>
          <w:szCs w:val="28"/>
          <w:rtl/>
        </w:rPr>
        <w:t>عِل</w:t>
      </w:r>
      <w:r w:rsidR="00252DED" w:rsidRPr="0067048A">
        <w:rPr>
          <w:rFonts w:ascii="KFGQPC Uthmanic Script HAFS" w:cs="KFGQPC Uthmanic Script HAFS" w:hint="cs"/>
          <w:sz w:val="28"/>
          <w:szCs w:val="28"/>
          <w:rtl/>
        </w:rPr>
        <w:t>ۡ</w:t>
      </w:r>
      <w:r w:rsidR="00252DED" w:rsidRPr="0067048A">
        <w:rPr>
          <w:rFonts w:ascii="KFGQPC Uthmanic Script HAFS" w:cs="KFGQPC Uthmanic Script HAFS" w:hint="eastAsia"/>
          <w:sz w:val="28"/>
          <w:szCs w:val="28"/>
          <w:rtl/>
        </w:rPr>
        <w:t>مُ</w:t>
      </w:r>
      <w:r w:rsidR="00252DED" w:rsidRPr="0067048A">
        <w:rPr>
          <w:rFonts w:ascii="KFGQPC Uthmanic Script HAFS" w:cs="KFGQPC Uthmanic Script HAFS"/>
          <w:sz w:val="28"/>
          <w:szCs w:val="28"/>
          <w:rtl/>
        </w:rPr>
        <w:t xml:space="preserve"> </w:t>
      </w:r>
      <w:r w:rsidR="00252DED" w:rsidRPr="0067048A">
        <w:rPr>
          <w:rFonts w:ascii="KFGQPC Uthmanic Script HAFS" w:cs="KFGQPC Uthmanic Script HAFS" w:hint="cs"/>
          <w:sz w:val="28"/>
          <w:szCs w:val="28"/>
          <w:rtl/>
        </w:rPr>
        <w:t>ٱ</w:t>
      </w:r>
      <w:r w:rsidR="00252DED" w:rsidRPr="0067048A">
        <w:rPr>
          <w:rFonts w:ascii="KFGQPC Uthmanic Script HAFS" w:cs="KFGQPC Uthmanic Script HAFS" w:hint="eastAsia"/>
          <w:sz w:val="28"/>
          <w:szCs w:val="28"/>
          <w:rtl/>
        </w:rPr>
        <w:t>ل</w:t>
      </w:r>
      <w:r w:rsidR="00252DED" w:rsidRPr="0067048A">
        <w:rPr>
          <w:rFonts w:ascii="KFGQPC Uthmanic Script HAFS" w:cs="KFGQPC Uthmanic Script HAFS" w:hint="cs"/>
          <w:sz w:val="28"/>
          <w:szCs w:val="28"/>
          <w:rtl/>
        </w:rPr>
        <w:t>ۡ</w:t>
      </w:r>
      <w:r w:rsidR="00252DED" w:rsidRPr="0067048A">
        <w:rPr>
          <w:rFonts w:ascii="KFGQPC Uthmanic Script HAFS" w:cs="KFGQPC Uthmanic Script HAFS" w:hint="eastAsia"/>
          <w:sz w:val="28"/>
          <w:szCs w:val="28"/>
          <w:rtl/>
        </w:rPr>
        <w:t>كِتَ</w:t>
      </w:r>
      <w:r w:rsidR="00252DED" w:rsidRPr="0067048A">
        <w:rPr>
          <w:rFonts w:ascii="KFGQPC Uthmanic Script HAFS" w:cs="KFGQPC Uthmanic Script HAFS" w:hint="cs"/>
          <w:sz w:val="28"/>
          <w:szCs w:val="28"/>
          <w:rtl/>
        </w:rPr>
        <w:t>ٰ</w:t>
      </w:r>
      <w:r w:rsidR="00252DED" w:rsidRPr="0067048A">
        <w:rPr>
          <w:rFonts w:ascii="KFGQPC Uthmanic Script HAFS" w:cs="KFGQPC Uthmanic Script HAFS" w:hint="eastAsia"/>
          <w:sz w:val="28"/>
          <w:szCs w:val="28"/>
          <w:rtl/>
        </w:rPr>
        <w:t>بِ</w:t>
      </w:r>
      <w:r w:rsidR="00252DED" w:rsidRPr="00995B26">
        <w:rPr>
          <w:rFonts w:cs="Traditional Arabic" w:hint="cs"/>
          <w:szCs w:val="30"/>
          <w:rtl/>
          <w:lang w:bidi="ar-SY"/>
        </w:rPr>
        <w:t>﴾</w:t>
      </w:r>
      <w:r w:rsidR="00252DED" w:rsidRPr="00495BAB">
        <w:rPr>
          <w:rFonts w:hint="cs"/>
          <w:rtl/>
          <w:lang w:bidi="ar-SY"/>
        </w:rPr>
        <w:t xml:space="preserve"> </w:t>
      </w:r>
      <w:r w:rsidRPr="009E1401">
        <w:rPr>
          <w:rStyle w:val="Char2"/>
          <w:rtl/>
        </w:rPr>
        <w:t>[الرعد</w:t>
      </w:r>
      <w:r w:rsidR="00252DED" w:rsidRPr="009E1401">
        <w:rPr>
          <w:rStyle w:val="Char2"/>
          <w:rFonts w:hint="cs"/>
          <w:rtl/>
        </w:rPr>
        <w:t xml:space="preserve">: </w:t>
      </w:r>
      <w:r w:rsidRPr="009E1401">
        <w:rPr>
          <w:rStyle w:val="Char2"/>
          <w:rtl/>
        </w:rPr>
        <w:t>43]</w:t>
      </w:r>
      <w:r w:rsidRPr="00495BAB">
        <w:rPr>
          <w:rFonts w:hint="cs"/>
          <w:rtl/>
          <w:lang w:bidi="ar-SY"/>
        </w:rPr>
        <w:t xml:space="preserve"> واستخرج منها الولاية التكوينية! وخلاصة كلامه أنه لما كان المراد من آية</w:t>
      </w:r>
      <w:r w:rsidR="00252DED" w:rsidRPr="00495BAB">
        <w:rPr>
          <w:rFonts w:hint="cs"/>
          <w:rtl/>
          <w:lang w:bidi="ar-SY"/>
        </w:rPr>
        <w:t xml:space="preserve">: </w:t>
      </w:r>
      <w:r w:rsidR="00252DED" w:rsidRPr="00995B26">
        <w:rPr>
          <w:rFonts w:cs="Traditional Arabic" w:hint="cs"/>
          <w:szCs w:val="30"/>
          <w:rtl/>
          <w:lang w:bidi="ar-SY"/>
        </w:rPr>
        <w:t>﴿</w:t>
      </w:r>
      <w:r w:rsidR="00252DED" w:rsidRPr="0067048A">
        <w:rPr>
          <w:rFonts w:ascii="KFGQPC Uthmanic Script HAFS" w:cs="KFGQPC Uthmanic Script HAFS" w:hint="eastAsia"/>
          <w:sz w:val="28"/>
          <w:szCs w:val="28"/>
          <w:rtl/>
        </w:rPr>
        <w:t>وَمَن</w:t>
      </w:r>
      <w:r w:rsidR="00252DED" w:rsidRPr="0067048A">
        <w:rPr>
          <w:rFonts w:ascii="KFGQPC Uthmanic Script HAFS" w:cs="KFGQPC Uthmanic Script HAFS" w:hint="cs"/>
          <w:sz w:val="28"/>
          <w:szCs w:val="28"/>
          <w:rtl/>
        </w:rPr>
        <w:t>ۡ</w:t>
      </w:r>
      <w:r w:rsidR="00252DED" w:rsidRPr="0067048A">
        <w:rPr>
          <w:rFonts w:ascii="KFGQPC Uthmanic Script HAFS" w:cs="KFGQPC Uthmanic Script HAFS"/>
          <w:sz w:val="28"/>
          <w:szCs w:val="28"/>
          <w:rtl/>
        </w:rPr>
        <w:t xml:space="preserve"> </w:t>
      </w:r>
      <w:r w:rsidR="00252DED" w:rsidRPr="0067048A">
        <w:rPr>
          <w:rFonts w:ascii="KFGQPC Uthmanic Script HAFS" w:cs="KFGQPC Uthmanic Script HAFS" w:hint="eastAsia"/>
          <w:sz w:val="28"/>
          <w:szCs w:val="28"/>
          <w:rtl/>
        </w:rPr>
        <w:t>عِندَهُ</w:t>
      </w:r>
      <w:r w:rsidR="00252DED" w:rsidRPr="0067048A">
        <w:rPr>
          <w:rFonts w:ascii="KFGQPC Uthmanic Script HAFS" w:cs="KFGQPC Uthmanic Script HAFS" w:hint="cs"/>
          <w:sz w:val="28"/>
          <w:szCs w:val="28"/>
          <w:rtl/>
        </w:rPr>
        <w:t>ۥ</w:t>
      </w:r>
      <w:r w:rsidR="00252DED" w:rsidRPr="0067048A">
        <w:rPr>
          <w:rFonts w:ascii="KFGQPC Uthmanic Script HAFS" w:cs="KFGQPC Uthmanic Script HAFS"/>
          <w:sz w:val="28"/>
          <w:szCs w:val="28"/>
          <w:rtl/>
        </w:rPr>
        <w:t xml:space="preserve"> </w:t>
      </w:r>
      <w:r w:rsidR="00252DED" w:rsidRPr="0067048A">
        <w:rPr>
          <w:rFonts w:ascii="KFGQPC Uthmanic Script HAFS" w:cs="KFGQPC Uthmanic Script HAFS" w:hint="eastAsia"/>
          <w:sz w:val="28"/>
          <w:szCs w:val="28"/>
          <w:rtl/>
        </w:rPr>
        <w:t>عِل</w:t>
      </w:r>
      <w:r w:rsidR="00252DED" w:rsidRPr="0067048A">
        <w:rPr>
          <w:rFonts w:ascii="KFGQPC Uthmanic Script HAFS" w:cs="KFGQPC Uthmanic Script HAFS" w:hint="cs"/>
          <w:sz w:val="28"/>
          <w:szCs w:val="28"/>
          <w:rtl/>
        </w:rPr>
        <w:t>ۡ</w:t>
      </w:r>
      <w:r w:rsidR="00252DED" w:rsidRPr="0067048A">
        <w:rPr>
          <w:rFonts w:ascii="KFGQPC Uthmanic Script HAFS" w:cs="KFGQPC Uthmanic Script HAFS" w:hint="eastAsia"/>
          <w:sz w:val="28"/>
          <w:szCs w:val="28"/>
          <w:rtl/>
        </w:rPr>
        <w:t>مُ</w:t>
      </w:r>
      <w:r w:rsidR="00252DED" w:rsidRPr="0067048A">
        <w:rPr>
          <w:rFonts w:ascii="KFGQPC Uthmanic Script HAFS" w:cs="KFGQPC Uthmanic Script HAFS"/>
          <w:sz w:val="28"/>
          <w:szCs w:val="28"/>
          <w:rtl/>
        </w:rPr>
        <w:t xml:space="preserve"> </w:t>
      </w:r>
      <w:r w:rsidR="00252DED" w:rsidRPr="0067048A">
        <w:rPr>
          <w:rFonts w:ascii="KFGQPC Uthmanic Script HAFS" w:cs="KFGQPC Uthmanic Script HAFS" w:hint="cs"/>
          <w:sz w:val="28"/>
          <w:szCs w:val="28"/>
          <w:rtl/>
        </w:rPr>
        <w:t>ٱ</w:t>
      </w:r>
      <w:r w:rsidR="00252DED" w:rsidRPr="0067048A">
        <w:rPr>
          <w:rFonts w:ascii="KFGQPC Uthmanic Script HAFS" w:cs="KFGQPC Uthmanic Script HAFS" w:hint="eastAsia"/>
          <w:sz w:val="28"/>
          <w:szCs w:val="28"/>
          <w:rtl/>
        </w:rPr>
        <w:t>ل</w:t>
      </w:r>
      <w:r w:rsidR="00252DED" w:rsidRPr="0067048A">
        <w:rPr>
          <w:rFonts w:ascii="KFGQPC Uthmanic Script HAFS" w:cs="KFGQPC Uthmanic Script HAFS" w:hint="cs"/>
          <w:sz w:val="28"/>
          <w:szCs w:val="28"/>
          <w:rtl/>
        </w:rPr>
        <w:t>ۡ</w:t>
      </w:r>
      <w:r w:rsidR="00252DED" w:rsidRPr="0067048A">
        <w:rPr>
          <w:rFonts w:ascii="KFGQPC Uthmanic Script HAFS" w:cs="KFGQPC Uthmanic Script HAFS" w:hint="eastAsia"/>
          <w:sz w:val="28"/>
          <w:szCs w:val="28"/>
          <w:rtl/>
        </w:rPr>
        <w:t>كِتَ</w:t>
      </w:r>
      <w:r w:rsidR="00252DED" w:rsidRPr="0067048A">
        <w:rPr>
          <w:rFonts w:ascii="KFGQPC Uthmanic Script HAFS" w:cs="KFGQPC Uthmanic Script HAFS" w:hint="cs"/>
          <w:sz w:val="28"/>
          <w:szCs w:val="28"/>
          <w:rtl/>
        </w:rPr>
        <w:t>ٰ</w:t>
      </w:r>
      <w:r w:rsidR="00252DED" w:rsidRPr="0067048A">
        <w:rPr>
          <w:rFonts w:ascii="KFGQPC Uthmanic Script HAFS" w:cs="KFGQPC Uthmanic Script HAFS" w:hint="eastAsia"/>
          <w:sz w:val="28"/>
          <w:szCs w:val="28"/>
          <w:rtl/>
        </w:rPr>
        <w:t>بِ</w:t>
      </w:r>
      <w:r w:rsidR="00252DED" w:rsidRPr="00995B26">
        <w:rPr>
          <w:rFonts w:cs="Traditional Arabic" w:hint="cs"/>
          <w:szCs w:val="30"/>
          <w:rtl/>
          <w:lang w:bidi="ar-SY"/>
        </w:rPr>
        <w:t>﴾</w:t>
      </w:r>
      <w:r w:rsidRPr="00495BAB">
        <w:rPr>
          <w:rFonts w:hint="cs"/>
          <w:rtl/>
          <w:lang w:bidi="ar-SY"/>
        </w:rPr>
        <w:t xml:space="preserve"> </w:t>
      </w:r>
      <w:r w:rsidRPr="009E1401">
        <w:rPr>
          <w:rStyle w:val="Char2"/>
          <w:rtl/>
        </w:rPr>
        <w:t>[الرعد</w:t>
      </w:r>
      <w:r w:rsidR="00252DED" w:rsidRPr="009E1401">
        <w:rPr>
          <w:rStyle w:val="Char2"/>
          <w:rFonts w:hint="cs"/>
          <w:rtl/>
        </w:rPr>
        <w:t xml:space="preserve">: </w:t>
      </w:r>
      <w:r w:rsidRPr="009E1401">
        <w:rPr>
          <w:rStyle w:val="Char2"/>
          <w:rtl/>
        </w:rPr>
        <w:t>43]</w:t>
      </w:r>
      <w:r w:rsidRPr="00495BAB">
        <w:rPr>
          <w:rFonts w:hint="cs"/>
          <w:rtl/>
          <w:lang w:bidi="ar-SY"/>
        </w:rPr>
        <w:t xml:space="preserve"> -طبقاً للأحاديث الواردة- عليّ بن أبي طالب، والمراد من قوله تعالى:</w:t>
      </w:r>
      <w:r w:rsidR="00252DED" w:rsidRPr="00495BAB">
        <w:rPr>
          <w:rFonts w:hint="cs"/>
          <w:rtl/>
          <w:lang w:bidi="ar-SY"/>
        </w:rPr>
        <w:t xml:space="preserve"> </w:t>
      </w:r>
      <w:r w:rsidR="00252DED" w:rsidRPr="00995B26">
        <w:rPr>
          <w:rFonts w:cs="Traditional Arabic" w:hint="cs"/>
          <w:szCs w:val="30"/>
          <w:rtl/>
          <w:lang w:bidi="ar-SY"/>
        </w:rPr>
        <w:t>﴿</w:t>
      </w:r>
      <w:r w:rsidR="00252DED" w:rsidRPr="0067048A">
        <w:rPr>
          <w:rFonts w:cs="KFGQPC Uthmanic Script HAFS" w:hint="cs"/>
          <w:sz w:val="28"/>
          <w:szCs w:val="28"/>
          <w:rtl/>
        </w:rPr>
        <w:t>قَالَ ٱلَّذِي عِندَهُۥ عِلۡمٞ مِّنَ ٱلۡكِتَٰبِ</w:t>
      </w:r>
      <w:r w:rsidR="00252DED" w:rsidRPr="00995B26">
        <w:rPr>
          <w:rFonts w:cs="Traditional Arabic" w:hint="cs"/>
          <w:szCs w:val="30"/>
          <w:rtl/>
          <w:lang w:bidi="ar-SY"/>
        </w:rPr>
        <w:t>﴾</w:t>
      </w:r>
      <w:r w:rsidRPr="00495BAB">
        <w:rPr>
          <w:rFonts w:hint="cs"/>
          <w:rtl/>
          <w:lang w:bidi="ar-SY"/>
        </w:rPr>
        <w:t xml:space="preserve"> </w:t>
      </w:r>
      <w:r w:rsidRPr="009E1401">
        <w:rPr>
          <w:rStyle w:val="Char2"/>
          <w:rtl/>
        </w:rPr>
        <w:t>[النمل</w:t>
      </w:r>
      <w:r w:rsidR="00252DED" w:rsidRPr="009E1401">
        <w:rPr>
          <w:rStyle w:val="Char2"/>
          <w:rFonts w:hint="cs"/>
          <w:rtl/>
        </w:rPr>
        <w:t xml:space="preserve">: </w:t>
      </w:r>
      <w:r w:rsidRPr="009E1401">
        <w:rPr>
          <w:rStyle w:val="Char2"/>
          <w:rtl/>
        </w:rPr>
        <w:t>40]</w:t>
      </w:r>
      <w:r w:rsidRPr="00495BAB">
        <w:rPr>
          <w:rFonts w:hint="cs"/>
          <w:rtl/>
          <w:lang w:bidi="ar-SY"/>
        </w:rPr>
        <w:t xml:space="preserve"> آصف بن برخيا، وكان آصف قادراً على إحضار عرش بلقيس من أرض سبأ إلى أرض فلسطين بواسطة الـ</w:t>
      </w:r>
      <w:r w:rsidR="00252DED" w:rsidRPr="00495BAB">
        <w:rPr>
          <w:rFonts w:hint="cs"/>
          <w:rtl/>
          <w:lang w:bidi="ar-SY"/>
        </w:rPr>
        <w:t xml:space="preserve"> </w:t>
      </w:r>
      <w:r w:rsidR="00252DED" w:rsidRPr="00995B26">
        <w:rPr>
          <w:rFonts w:cs="Traditional Arabic" w:hint="cs"/>
          <w:szCs w:val="30"/>
          <w:rtl/>
          <w:lang w:bidi="ar-SY"/>
        </w:rPr>
        <w:t>﴿</w:t>
      </w:r>
      <w:r w:rsidR="00252DED" w:rsidRPr="0067048A">
        <w:rPr>
          <w:rFonts w:cs="KFGQPC Uthmanic Script HAFS" w:hint="cs"/>
          <w:sz w:val="28"/>
          <w:szCs w:val="28"/>
          <w:rtl/>
        </w:rPr>
        <w:t>عِلۡمٞ مِّنَ ٱلۡكِتَٰبِ</w:t>
      </w:r>
      <w:r w:rsidR="00252DED" w:rsidRPr="00995B26">
        <w:rPr>
          <w:rFonts w:cs="Traditional Arabic" w:hint="cs"/>
          <w:szCs w:val="30"/>
          <w:rtl/>
          <w:lang w:bidi="ar-SY"/>
        </w:rPr>
        <w:t>﴾</w:t>
      </w:r>
      <w:r w:rsidRPr="00495BAB">
        <w:rPr>
          <w:rFonts w:hint="cs"/>
          <w:rtl/>
          <w:lang w:bidi="ar-SY"/>
        </w:rPr>
        <w:t xml:space="preserve"> الذي كان عنده، والذي يدل على أنه كان يتمتَّع بولاية تكوينية(!)؛ فإن علياً الذي كان </w:t>
      </w:r>
      <w:r w:rsidRPr="00495BAB">
        <w:rPr>
          <w:b/>
          <w:bCs/>
          <w:rtl/>
          <w:lang w:bidi="ar-SY"/>
        </w:rPr>
        <w:t>عِنْدَهُ عِلْمُ الْكِتَابِ</w:t>
      </w:r>
      <w:r w:rsidRPr="00495BAB">
        <w:rPr>
          <w:rFonts w:hint="cs"/>
          <w:rtl/>
          <w:lang w:bidi="ar-SY"/>
        </w:rPr>
        <w:t xml:space="preserve"> كُلِّه، كان ذا ولاية تكوينية تامَّة ومطلقة.</w:t>
      </w:r>
    </w:p>
    <w:p w:rsidR="00CD31AA" w:rsidRPr="00995B26" w:rsidRDefault="00CD31AA" w:rsidP="00612190">
      <w:pPr>
        <w:pStyle w:val="a0"/>
        <w:rPr>
          <w:rFonts w:hint="cs"/>
          <w:rtl/>
          <w:lang w:bidi="ar-SY"/>
        </w:rPr>
      </w:pPr>
      <w:r w:rsidRPr="00495BAB">
        <w:rPr>
          <w:rFonts w:hint="cs"/>
          <w:rtl/>
          <w:lang w:bidi="ar-SY"/>
        </w:rPr>
        <w:t>وينبغي أن نقول لعشاق اختراع الولاية التكوينية: أولاً بأي دليل - سوى بضعة أخبار غير صحيحة وأحاديث موضوعة باقية في الكتب رواها حفنة من الوضَّاعين الغلاة والكذَّابين المفترين- تقولون إن المراد من</w:t>
      </w:r>
      <w:r w:rsidR="00252DED" w:rsidRPr="00495BAB">
        <w:rPr>
          <w:rFonts w:hint="cs"/>
          <w:rtl/>
          <w:lang w:bidi="ar-SY"/>
        </w:rPr>
        <w:t xml:space="preserve"> </w:t>
      </w:r>
      <w:r w:rsidR="00252DED" w:rsidRPr="00995B26">
        <w:rPr>
          <w:rFonts w:cs="Traditional Arabic" w:hint="cs"/>
          <w:szCs w:val="30"/>
          <w:rtl/>
          <w:lang w:bidi="ar-SY"/>
        </w:rPr>
        <w:t>﴿</w:t>
      </w:r>
      <w:r w:rsidR="00252DED" w:rsidRPr="0067048A">
        <w:rPr>
          <w:rFonts w:ascii="KFGQPC Uthmanic Script HAFS" w:cs="KFGQPC Uthmanic Script HAFS" w:hint="eastAsia"/>
          <w:sz w:val="28"/>
          <w:szCs w:val="28"/>
          <w:rtl/>
        </w:rPr>
        <w:t>وَمَن</w:t>
      </w:r>
      <w:r w:rsidR="00252DED" w:rsidRPr="0067048A">
        <w:rPr>
          <w:rFonts w:ascii="KFGQPC Uthmanic Script HAFS" w:cs="KFGQPC Uthmanic Script HAFS" w:hint="cs"/>
          <w:sz w:val="28"/>
          <w:szCs w:val="28"/>
          <w:rtl/>
        </w:rPr>
        <w:t>ۡ</w:t>
      </w:r>
      <w:r w:rsidR="00252DED" w:rsidRPr="0067048A">
        <w:rPr>
          <w:rFonts w:ascii="KFGQPC Uthmanic Script HAFS" w:cs="KFGQPC Uthmanic Script HAFS"/>
          <w:sz w:val="28"/>
          <w:szCs w:val="28"/>
          <w:rtl/>
        </w:rPr>
        <w:t xml:space="preserve"> </w:t>
      </w:r>
      <w:r w:rsidR="00252DED" w:rsidRPr="0067048A">
        <w:rPr>
          <w:rFonts w:ascii="KFGQPC Uthmanic Script HAFS" w:cs="KFGQPC Uthmanic Script HAFS" w:hint="eastAsia"/>
          <w:sz w:val="28"/>
          <w:szCs w:val="28"/>
          <w:rtl/>
        </w:rPr>
        <w:t>عِندَهُ</w:t>
      </w:r>
      <w:r w:rsidR="00252DED" w:rsidRPr="0067048A">
        <w:rPr>
          <w:rFonts w:ascii="KFGQPC Uthmanic Script HAFS" w:cs="KFGQPC Uthmanic Script HAFS" w:hint="cs"/>
          <w:sz w:val="28"/>
          <w:szCs w:val="28"/>
          <w:rtl/>
        </w:rPr>
        <w:t>ۥ</w:t>
      </w:r>
      <w:r w:rsidR="00252DED" w:rsidRPr="0067048A">
        <w:rPr>
          <w:rFonts w:ascii="KFGQPC Uthmanic Script HAFS" w:cs="KFGQPC Uthmanic Script HAFS"/>
          <w:sz w:val="28"/>
          <w:szCs w:val="28"/>
          <w:rtl/>
        </w:rPr>
        <w:t xml:space="preserve"> </w:t>
      </w:r>
      <w:r w:rsidR="00252DED" w:rsidRPr="0067048A">
        <w:rPr>
          <w:rFonts w:ascii="KFGQPC Uthmanic Script HAFS" w:cs="KFGQPC Uthmanic Script HAFS" w:hint="eastAsia"/>
          <w:sz w:val="28"/>
          <w:szCs w:val="28"/>
          <w:rtl/>
        </w:rPr>
        <w:t>عِل</w:t>
      </w:r>
      <w:r w:rsidR="00252DED" w:rsidRPr="0067048A">
        <w:rPr>
          <w:rFonts w:ascii="KFGQPC Uthmanic Script HAFS" w:cs="KFGQPC Uthmanic Script HAFS" w:hint="cs"/>
          <w:sz w:val="28"/>
          <w:szCs w:val="28"/>
          <w:rtl/>
        </w:rPr>
        <w:t>ۡ</w:t>
      </w:r>
      <w:r w:rsidR="00252DED" w:rsidRPr="0067048A">
        <w:rPr>
          <w:rFonts w:ascii="KFGQPC Uthmanic Script HAFS" w:cs="KFGQPC Uthmanic Script HAFS" w:hint="eastAsia"/>
          <w:sz w:val="28"/>
          <w:szCs w:val="28"/>
          <w:rtl/>
        </w:rPr>
        <w:t>مُ</w:t>
      </w:r>
      <w:r w:rsidR="00252DED" w:rsidRPr="0067048A">
        <w:rPr>
          <w:rFonts w:ascii="KFGQPC Uthmanic Script HAFS" w:cs="KFGQPC Uthmanic Script HAFS"/>
          <w:sz w:val="28"/>
          <w:szCs w:val="28"/>
          <w:rtl/>
        </w:rPr>
        <w:t xml:space="preserve"> </w:t>
      </w:r>
      <w:r w:rsidR="00252DED" w:rsidRPr="0067048A">
        <w:rPr>
          <w:rFonts w:ascii="KFGQPC Uthmanic Script HAFS" w:cs="KFGQPC Uthmanic Script HAFS" w:hint="cs"/>
          <w:sz w:val="28"/>
          <w:szCs w:val="28"/>
          <w:rtl/>
        </w:rPr>
        <w:t>ٱ</w:t>
      </w:r>
      <w:r w:rsidR="00252DED" w:rsidRPr="0067048A">
        <w:rPr>
          <w:rFonts w:ascii="KFGQPC Uthmanic Script HAFS" w:cs="KFGQPC Uthmanic Script HAFS" w:hint="eastAsia"/>
          <w:sz w:val="28"/>
          <w:szCs w:val="28"/>
          <w:rtl/>
        </w:rPr>
        <w:t>ل</w:t>
      </w:r>
      <w:r w:rsidR="00252DED" w:rsidRPr="0067048A">
        <w:rPr>
          <w:rFonts w:ascii="KFGQPC Uthmanic Script HAFS" w:cs="KFGQPC Uthmanic Script HAFS" w:hint="cs"/>
          <w:sz w:val="28"/>
          <w:szCs w:val="28"/>
          <w:rtl/>
        </w:rPr>
        <w:t>ۡ</w:t>
      </w:r>
      <w:r w:rsidR="00252DED" w:rsidRPr="0067048A">
        <w:rPr>
          <w:rFonts w:ascii="KFGQPC Uthmanic Script HAFS" w:cs="KFGQPC Uthmanic Script HAFS" w:hint="eastAsia"/>
          <w:sz w:val="28"/>
          <w:szCs w:val="28"/>
          <w:rtl/>
        </w:rPr>
        <w:t>كِتَ</w:t>
      </w:r>
      <w:r w:rsidR="00252DED" w:rsidRPr="0067048A">
        <w:rPr>
          <w:rFonts w:ascii="KFGQPC Uthmanic Script HAFS" w:cs="KFGQPC Uthmanic Script HAFS" w:hint="cs"/>
          <w:sz w:val="28"/>
          <w:szCs w:val="28"/>
          <w:rtl/>
        </w:rPr>
        <w:t>ٰ</w:t>
      </w:r>
      <w:r w:rsidR="00252DED" w:rsidRPr="0067048A">
        <w:rPr>
          <w:rFonts w:ascii="KFGQPC Uthmanic Script HAFS" w:cs="KFGQPC Uthmanic Script HAFS" w:hint="eastAsia"/>
          <w:sz w:val="28"/>
          <w:szCs w:val="28"/>
          <w:rtl/>
        </w:rPr>
        <w:t>بِ</w:t>
      </w:r>
      <w:r w:rsidR="00252DED" w:rsidRPr="00995B26">
        <w:rPr>
          <w:rFonts w:cs="Traditional Arabic" w:hint="cs"/>
          <w:szCs w:val="30"/>
          <w:rtl/>
          <w:lang w:bidi="ar-SY"/>
        </w:rPr>
        <w:t>﴾</w:t>
      </w:r>
      <w:r w:rsidRPr="00495BAB">
        <w:rPr>
          <w:rFonts w:hint="cs"/>
          <w:rtl/>
          <w:lang w:bidi="ar-SY"/>
        </w:rPr>
        <w:t xml:space="preserve"> هو علي بن أبي طالب؟ لقد دققت النظر في تلك الأحاديث ذات السند كلها، ومحصت أسانيدها فلم أجد من بينها حتى حديثًا واحدًا صحيحًا وأغلب رواتها إما ضعفاء أو غلاة أو كذّابون، هذا فضلاً عن أن متونها بحدّ ذاتها شاهدة على كذبها. ثانياً الآية المذكورة إنما تأتي بدليل وشاهد من علماء اليهود والنصارى وكتب الأنبياء السابقين لإثبات نبوة نبي الإسلام، شأنها في ذلك شأن عشرات الآيات المشابهة الأخرى. كما نجد أن أول آية تقول: إن أهل الكتاب كانوا يعرفون نبي الإسلام الأكرم وكان علماء أهل الكتاب الربانيون يشهدون بذلك، كما نجد ذلك في الآيات الكريمة 193 إلى 197 من سورة الشعراء والتي هي - طبقاً لقول علماء علوم القرآن جميعًا - السورة الخامسة والأربعون في ترتيب النزول، وأنها نزلت على النبي في مكة المكرمة وجاء فيها بصراحة ذكر علماء بني إسرائيل وأنهم يشهدون لصدق نبوة النبي </w:t>
      </w:r>
      <w:r w:rsidRPr="00495BAB">
        <w:rPr>
          <w:rFonts w:ascii="Abo-thar" w:hAnsi="Abo-thar"/>
          <w:sz w:val="28"/>
          <w:lang w:bidi="fa-IR"/>
        </w:rPr>
        <w:t></w:t>
      </w:r>
      <w:r w:rsidRPr="00495BAB">
        <w:rPr>
          <w:rFonts w:hint="cs"/>
          <w:rtl/>
          <w:lang w:bidi="ar-SY"/>
        </w:rPr>
        <w:t>؛ وهذه هي الآيات:</w:t>
      </w:r>
      <w:r w:rsidR="00252DED" w:rsidRPr="00495BAB">
        <w:rPr>
          <w:rFonts w:hint="cs"/>
          <w:rtl/>
          <w:lang w:bidi="ar-SY"/>
        </w:rPr>
        <w:t xml:space="preserve"> </w:t>
      </w:r>
      <w:r w:rsidR="00252DED" w:rsidRPr="00995B26">
        <w:rPr>
          <w:rFonts w:cs="Traditional Arabic" w:hint="cs"/>
          <w:szCs w:val="30"/>
          <w:rtl/>
          <w:lang w:bidi="ar-SY"/>
        </w:rPr>
        <w:t>﴿</w:t>
      </w:r>
      <w:r w:rsidR="00252DED" w:rsidRPr="0067048A">
        <w:rPr>
          <w:rFonts w:ascii="KFGQPC Uthmanic Script HAFS" w:cs="KFGQPC Uthmanic Script HAFS" w:hint="eastAsia"/>
          <w:sz w:val="28"/>
          <w:szCs w:val="28"/>
          <w:rtl/>
          <w:lang w:bidi="fa-IR"/>
        </w:rPr>
        <w:t>وَإِنَّهُ</w:t>
      </w:r>
      <w:r w:rsidR="00252DED" w:rsidRPr="0067048A">
        <w:rPr>
          <w:rFonts w:ascii="KFGQPC Uthmanic Script HAFS" w:cs="KFGQPC Uthmanic Script HAFS" w:hint="cs"/>
          <w:sz w:val="28"/>
          <w:szCs w:val="28"/>
          <w:rtl/>
          <w:lang w:bidi="fa-IR"/>
        </w:rPr>
        <w:t>ۥ</w:t>
      </w:r>
      <w:r w:rsidR="00252DED" w:rsidRPr="0067048A">
        <w:rPr>
          <w:rFonts w:ascii="KFGQPC Uthmanic Script HAFS" w:cs="KFGQPC Uthmanic Script HAFS"/>
          <w:sz w:val="28"/>
          <w:szCs w:val="28"/>
          <w:rtl/>
          <w:lang w:bidi="fa-IR"/>
        </w:rPr>
        <w:t xml:space="preserve"> </w:t>
      </w:r>
      <w:r w:rsidR="00252DED" w:rsidRPr="0067048A">
        <w:rPr>
          <w:rFonts w:ascii="KFGQPC Uthmanic Script HAFS" w:cs="KFGQPC Uthmanic Script HAFS" w:hint="eastAsia"/>
          <w:sz w:val="28"/>
          <w:szCs w:val="28"/>
          <w:rtl/>
          <w:lang w:bidi="fa-IR"/>
        </w:rPr>
        <w:t>لَفِي</w:t>
      </w:r>
      <w:r w:rsidR="00252DED" w:rsidRPr="0067048A">
        <w:rPr>
          <w:rFonts w:ascii="KFGQPC Uthmanic Script HAFS" w:cs="KFGQPC Uthmanic Script HAFS"/>
          <w:sz w:val="28"/>
          <w:szCs w:val="28"/>
          <w:rtl/>
          <w:lang w:bidi="fa-IR"/>
        </w:rPr>
        <w:t xml:space="preserve"> </w:t>
      </w:r>
      <w:r w:rsidR="00252DED" w:rsidRPr="0067048A">
        <w:rPr>
          <w:rFonts w:ascii="KFGQPC Uthmanic Script HAFS" w:cs="KFGQPC Uthmanic Script HAFS" w:hint="eastAsia"/>
          <w:sz w:val="28"/>
          <w:szCs w:val="28"/>
          <w:rtl/>
          <w:lang w:bidi="fa-IR"/>
        </w:rPr>
        <w:t>زُبُرِ</w:t>
      </w:r>
      <w:r w:rsidR="00252DED" w:rsidRPr="0067048A">
        <w:rPr>
          <w:rFonts w:ascii="KFGQPC Uthmanic Script HAFS" w:cs="KFGQPC Uthmanic Script HAFS"/>
          <w:sz w:val="28"/>
          <w:szCs w:val="28"/>
          <w:rtl/>
          <w:lang w:bidi="fa-IR"/>
        </w:rPr>
        <w:t xml:space="preserve"> </w:t>
      </w:r>
      <w:r w:rsidR="00252DED" w:rsidRPr="0067048A">
        <w:rPr>
          <w:rFonts w:ascii="KFGQPC Uthmanic Script HAFS" w:cs="KFGQPC Uthmanic Script HAFS" w:hint="cs"/>
          <w:sz w:val="28"/>
          <w:szCs w:val="28"/>
          <w:rtl/>
          <w:lang w:bidi="fa-IR"/>
        </w:rPr>
        <w:t>ٱ</w:t>
      </w:r>
      <w:r w:rsidR="00252DED" w:rsidRPr="0067048A">
        <w:rPr>
          <w:rFonts w:ascii="KFGQPC Uthmanic Script HAFS" w:cs="KFGQPC Uthmanic Script HAFS" w:hint="eastAsia"/>
          <w:sz w:val="28"/>
          <w:szCs w:val="28"/>
          <w:rtl/>
          <w:lang w:bidi="fa-IR"/>
        </w:rPr>
        <w:t>ل</w:t>
      </w:r>
      <w:r w:rsidR="00252DED" w:rsidRPr="0067048A">
        <w:rPr>
          <w:rFonts w:ascii="KFGQPC Uthmanic Script HAFS" w:cs="KFGQPC Uthmanic Script HAFS" w:hint="cs"/>
          <w:sz w:val="28"/>
          <w:szCs w:val="28"/>
          <w:rtl/>
          <w:lang w:bidi="fa-IR"/>
        </w:rPr>
        <w:t>ۡ</w:t>
      </w:r>
      <w:r w:rsidR="00252DED" w:rsidRPr="0067048A">
        <w:rPr>
          <w:rFonts w:ascii="KFGQPC Uthmanic Script HAFS" w:cs="KFGQPC Uthmanic Script HAFS" w:hint="eastAsia"/>
          <w:sz w:val="28"/>
          <w:szCs w:val="28"/>
          <w:rtl/>
          <w:lang w:bidi="fa-IR"/>
        </w:rPr>
        <w:t>أَوَّلِينَ</w:t>
      </w:r>
      <w:r w:rsidR="00252DED" w:rsidRPr="0067048A">
        <w:rPr>
          <w:rFonts w:ascii="KFGQPC Uthmanic Script HAFS" w:cs="KFGQPC Uthmanic Script HAFS"/>
          <w:sz w:val="28"/>
          <w:szCs w:val="28"/>
          <w:rtl/>
          <w:lang w:bidi="fa-IR"/>
        </w:rPr>
        <w:t xml:space="preserve"> </w:t>
      </w:r>
      <w:r w:rsidR="00252DED" w:rsidRPr="0067048A">
        <w:rPr>
          <w:rFonts w:ascii="KFGQPC Uthmanic Script HAFS" w:cs="KFGQPC Uthmanic Script HAFS" w:hint="cs"/>
          <w:sz w:val="28"/>
          <w:szCs w:val="28"/>
          <w:rtl/>
          <w:lang w:bidi="fa-IR"/>
        </w:rPr>
        <w:t>١٩٦</w:t>
      </w:r>
      <w:r w:rsidR="00252DED" w:rsidRPr="0067048A">
        <w:rPr>
          <w:rFonts w:ascii="KFGQPC Uthmanic Script HAFS" w:cs="KFGQPC Uthmanic Script HAFS"/>
          <w:sz w:val="28"/>
          <w:szCs w:val="28"/>
          <w:rtl/>
          <w:lang w:bidi="fa-IR"/>
        </w:rPr>
        <w:t xml:space="preserve"> </w:t>
      </w:r>
      <w:r w:rsidR="00252DED" w:rsidRPr="0067048A">
        <w:rPr>
          <w:rFonts w:ascii="KFGQPC Uthmanic Script HAFS" w:cs="KFGQPC Uthmanic Script HAFS" w:hint="eastAsia"/>
          <w:sz w:val="28"/>
          <w:szCs w:val="28"/>
          <w:rtl/>
          <w:lang w:bidi="fa-IR"/>
        </w:rPr>
        <w:t>أَوَ</w:t>
      </w:r>
      <w:r w:rsidR="00252DED" w:rsidRPr="0067048A">
        <w:rPr>
          <w:rFonts w:ascii="KFGQPC Uthmanic Script HAFS" w:cs="KFGQPC Uthmanic Script HAFS"/>
          <w:sz w:val="28"/>
          <w:szCs w:val="28"/>
          <w:rtl/>
          <w:lang w:bidi="fa-IR"/>
        </w:rPr>
        <w:t xml:space="preserve"> </w:t>
      </w:r>
      <w:r w:rsidR="00252DED" w:rsidRPr="0067048A">
        <w:rPr>
          <w:rFonts w:ascii="KFGQPC Uthmanic Script HAFS" w:cs="KFGQPC Uthmanic Script HAFS" w:hint="eastAsia"/>
          <w:sz w:val="28"/>
          <w:szCs w:val="28"/>
          <w:rtl/>
          <w:lang w:bidi="fa-IR"/>
        </w:rPr>
        <w:t>لَم</w:t>
      </w:r>
      <w:r w:rsidR="00252DED" w:rsidRPr="0067048A">
        <w:rPr>
          <w:rFonts w:ascii="KFGQPC Uthmanic Script HAFS" w:cs="KFGQPC Uthmanic Script HAFS" w:hint="cs"/>
          <w:sz w:val="28"/>
          <w:szCs w:val="28"/>
          <w:rtl/>
          <w:lang w:bidi="fa-IR"/>
        </w:rPr>
        <w:t>ۡ</w:t>
      </w:r>
      <w:r w:rsidR="00252DED" w:rsidRPr="0067048A">
        <w:rPr>
          <w:rFonts w:ascii="KFGQPC Uthmanic Script HAFS" w:cs="KFGQPC Uthmanic Script HAFS"/>
          <w:sz w:val="28"/>
          <w:szCs w:val="28"/>
          <w:rtl/>
          <w:lang w:bidi="fa-IR"/>
        </w:rPr>
        <w:t xml:space="preserve"> </w:t>
      </w:r>
      <w:r w:rsidR="00252DED" w:rsidRPr="0067048A">
        <w:rPr>
          <w:rFonts w:ascii="KFGQPC Uthmanic Script HAFS" w:cs="KFGQPC Uthmanic Script HAFS" w:hint="eastAsia"/>
          <w:sz w:val="28"/>
          <w:szCs w:val="28"/>
          <w:rtl/>
          <w:lang w:bidi="fa-IR"/>
        </w:rPr>
        <w:t>يَكُن</w:t>
      </w:r>
      <w:r w:rsidR="00252DED" w:rsidRPr="0067048A">
        <w:rPr>
          <w:rFonts w:ascii="KFGQPC Uthmanic Script HAFS" w:cs="KFGQPC Uthmanic Script HAFS"/>
          <w:sz w:val="28"/>
          <w:szCs w:val="28"/>
          <w:rtl/>
          <w:lang w:bidi="fa-IR"/>
        </w:rPr>
        <w:t xml:space="preserve"> </w:t>
      </w:r>
      <w:r w:rsidR="00252DED" w:rsidRPr="0067048A">
        <w:rPr>
          <w:rFonts w:ascii="KFGQPC Uthmanic Script HAFS" w:cs="KFGQPC Uthmanic Script HAFS" w:hint="eastAsia"/>
          <w:sz w:val="28"/>
          <w:szCs w:val="28"/>
          <w:rtl/>
          <w:lang w:bidi="fa-IR"/>
        </w:rPr>
        <w:t>لَّهُم</w:t>
      </w:r>
      <w:r w:rsidR="00252DED" w:rsidRPr="0067048A">
        <w:rPr>
          <w:rFonts w:ascii="KFGQPC Uthmanic Script HAFS" w:cs="KFGQPC Uthmanic Script HAFS" w:hint="cs"/>
          <w:sz w:val="28"/>
          <w:szCs w:val="28"/>
          <w:rtl/>
          <w:lang w:bidi="fa-IR"/>
        </w:rPr>
        <w:t>ۡ</w:t>
      </w:r>
      <w:r w:rsidR="00252DED" w:rsidRPr="0067048A">
        <w:rPr>
          <w:rFonts w:ascii="KFGQPC Uthmanic Script HAFS" w:cs="KFGQPC Uthmanic Script HAFS"/>
          <w:sz w:val="28"/>
          <w:szCs w:val="28"/>
          <w:rtl/>
          <w:lang w:bidi="fa-IR"/>
        </w:rPr>
        <w:t xml:space="preserve"> </w:t>
      </w:r>
      <w:r w:rsidR="00252DED" w:rsidRPr="0067048A">
        <w:rPr>
          <w:rFonts w:ascii="KFGQPC Uthmanic Script HAFS" w:cs="KFGQPC Uthmanic Script HAFS" w:hint="eastAsia"/>
          <w:sz w:val="28"/>
          <w:szCs w:val="28"/>
          <w:rtl/>
          <w:lang w:bidi="fa-IR"/>
        </w:rPr>
        <w:t>ءَايَةً</w:t>
      </w:r>
      <w:r w:rsidR="00252DED" w:rsidRPr="0067048A">
        <w:rPr>
          <w:rFonts w:ascii="KFGQPC Uthmanic Script HAFS" w:cs="KFGQPC Uthmanic Script HAFS"/>
          <w:sz w:val="28"/>
          <w:szCs w:val="28"/>
          <w:rtl/>
          <w:lang w:bidi="fa-IR"/>
        </w:rPr>
        <w:t xml:space="preserve"> </w:t>
      </w:r>
      <w:r w:rsidR="00252DED" w:rsidRPr="0067048A">
        <w:rPr>
          <w:rFonts w:ascii="KFGQPC Uthmanic Script HAFS" w:cs="KFGQPC Uthmanic Script HAFS" w:hint="eastAsia"/>
          <w:sz w:val="28"/>
          <w:szCs w:val="28"/>
          <w:rtl/>
          <w:lang w:bidi="fa-IR"/>
        </w:rPr>
        <w:t>أَن</w:t>
      </w:r>
      <w:r w:rsidR="00252DED" w:rsidRPr="0067048A">
        <w:rPr>
          <w:rFonts w:ascii="KFGQPC Uthmanic Script HAFS" w:cs="KFGQPC Uthmanic Script HAFS"/>
          <w:sz w:val="28"/>
          <w:szCs w:val="28"/>
          <w:rtl/>
          <w:lang w:bidi="fa-IR"/>
        </w:rPr>
        <w:t xml:space="preserve"> </w:t>
      </w:r>
      <w:r w:rsidR="00252DED" w:rsidRPr="0067048A">
        <w:rPr>
          <w:rFonts w:ascii="KFGQPC Uthmanic Script HAFS" w:cs="KFGQPC Uthmanic Script HAFS" w:hint="eastAsia"/>
          <w:sz w:val="28"/>
          <w:szCs w:val="28"/>
          <w:rtl/>
          <w:lang w:bidi="fa-IR"/>
        </w:rPr>
        <w:t>يَع</w:t>
      </w:r>
      <w:r w:rsidR="00252DED" w:rsidRPr="0067048A">
        <w:rPr>
          <w:rFonts w:ascii="KFGQPC Uthmanic Script HAFS" w:cs="KFGQPC Uthmanic Script HAFS" w:hint="cs"/>
          <w:sz w:val="28"/>
          <w:szCs w:val="28"/>
          <w:rtl/>
          <w:lang w:bidi="fa-IR"/>
        </w:rPr>
        <w:t>ۡ</w:t>
      </w:r>
      <w:r w:rsidR="00252DED" w:rsidRPr="0067048A">
        <w:rPr>
          <w:rFonts w:ascii="KFGQPC Uthmanic Script HAFS" w:cs="KFGQPC Uthmanic Script HAFS" w:hint="eastAsia"/>
          <w:sz w:val="28"/>
          <w:szCs w:val="28"/>
          <w:rtl/>
          <w:lang w:bidi="fa-IR"/>
        </w:rPr>
        <w:t>لَمَهُ</w:t>
      </w:r>
      <w:r w:rsidR="00252DED" w:rsidRPr="0067048A">
        <w:rPr>
          <w:rFonts w:ascii="KFGQPC Uthmanic Script HAFS" w:cs="KFGQPC Uthmanic Script HAFS" w:hint="cs"/>
          <w:sz w:val="28"/>
          <w:szCs w:val="28"/>
          <w:rtl/>
          <w:lang w:bidi="fa-IR"/>
        </w:rPr>
        <w:t>ۥ</w:t>
      </w:r>
      <w:r w:rsidR="00252DED" w:rsidRPr="0067048A">
        <w:rPr>
          <w:rFonts w:ascii="KFGQPC Uthmanic Script HAFS" w:cs="KFGQPC Uthmanic Script HAFS"/>
          <w:sz w:val="28"/>
          <w:szCs w:val="28"/>
          <w:rtl/>
          <w:lang w:bidi="fa-IR"/>
        </w:rPr>
        <w:t xml:space="preserve"> </w:t>
      </w:r>
      <w:r w:rsidR="00252DED" w:rsidRPr="0067048A">
        <w:rPr>
          <w:rFonts w:ascii="KFGQPC Uthmanic Script HAFS" w:cs="KFGQPC Uthmanic Script HAFS" w:hint="eastAsia"/>
          <w:sz w:val="28"/>
          <w:szCs w:val="28"/>
          <w:rtl/>
          <w:lang w:bidi="fa-IR"/>
        </w:rPr>
        <w:t>عُلَمَ</w:t>
      </w:r>
      <w:r w:rsidR="00252DED" w:rsidRPr="0067048A">
        <w:rPr>
          <w:rFonts w:ascii="KFGQPC Uthmanic Script HAFS" w:cs="KFGQPC Uthmanic Script HAFS" w:hint="cs"/>
          <w:sz w:val="28"/>
          <w:szCs w:val="28"/>
          <w:rtl/>
          <w:lang w:bidi="fa-IR"/>
        </w:rPr>
        <w:t>ٰٓ</w:t>
      </w:r>
      <w:r w:rsidR="00252DED" w:rsidRPr="0067048A">
        <w:rPr>
          <w:rFonts w:ascii="KFGQPC Uthmanic Script HAFS" w:cs="KFGQPC Uthmanic Script HAFS" w:hint="eastAsia"/>
          <w:sz w:val="28"/>
          <w:szCs w:val="28"/>
          <w:rtl/>
          <w:lang w:bidi="fa-IR"/>
        </w:rPr>
        <w:t>ؤُاْ</w:t>
      </w:r>
      <w:r w:rsidR="00252DED" w:rsidRPr="0067048A">
        <w:rPr>
          <w:rFonts w:ascii="KFGQPC Uthmanic Script HAFS" w:cs="KFGQPC Uthmanic Script HAFS"/>
          <w:sz w:val="28"/>
          <w:szCs w:val="28"/>
          <w:rtl/>
          <w:lang w:bidi="fa-IR"/>
        </w:rPr>
        <w:t xml:space="preserve"> </w:t>
      </w:r>
      <w:r w:rsidR="00252DED" w:rsidRPr="0067048A">
        <w:rPr>
          <w:rFonts w:ascii="KFGQPC Uthmanic Script HAFS" w:cs="KFGQPC Uthmanic Script HAFS" w:hint="eastAsia"/>
          <w:sz w:val="28"/>
          <w:szCs w:val="28"/>
          <w:rtl/>
          <w:lang w:bidi="fa-IR"/>
        </w:rPr>
        <w:t>بَنِي</w:t>
      </w:r>
      <w:r w:rsidR="00252DED" w:rsidRPr="0067048A">
        <w:rPr>
          <w:rFonts w:ascii="KFGQPC Uthmanic Script HAFS" w:cs="KFGQPC Uthmanic Script HAFS" w:hint="cs"/>
          <w:sz w:val="28"/>
          <w:szCs w:val="28"/>
          <w:rtl/>
          <w:lang w:bidi="fa-IR"/>
        </w:rPr>
        <w:t>ٓ</w:t>
      </w:r>
      <w:r w:rsidR="00252DED" w:rsidRPr="0067048A">
        <w:rPr>
          <w:rFonts w:ascii="KFGQPC Uthmanic Script HAFS" w:cs="KFGQPC Uthmanic Script HAFS"/>
          <w:sz w:val="28"/>
          <w:szCs w:val="28"/>
          <w:rtl/>
          <w:lang w:bidi="fa-IR"/>
        </w:rPr>
        <w:t xml:space="preserve"> </w:t>
      </w:r>
      <w:r w:rsidR="00252DED" w:rsidRPr="0067048A">
        <w:rPr>
          <w:rFonts w:ascii="KFGQPC Uthmanic Script HAFS" w:cs="KFGQPC Uthmanic Script HAFS" w:hint="eastAsia"/>
          <w:sz w:val="28"/>
          <w:szCs w:val="28"/>
          <w:rtl/>
          <w:lang w:bidi="fa-IR"/>
        </w:rPr>
        <w:t>إِس</w:t>
      </w:r>
      <w:r w:rsidR="00252DED" w:rsidRPr="0067048A">
        <w:rPr>
          <w:rFonts w:ascii="KFGQPC Uthmanic Script HAFS" w:cs="KFGQPC Uthmanic Script HAFS" w:hint="cs"/>
          <w:sz w:val="28"/>
          <w:szCs w:val="28"/>
          <w:rtl/>
          <w:lang w:bidi="fa-IR"/>
        </w:rPr>
        <w:t>ۡ</w:t>
      </w:r>
      <w:r w:rsidR="00252DED" w:rsidRPr="0067048A">
        <w:rPr>
          <w:rFonts w:ascii="KFGQPC Uthmanic Script HAFS" w:cs="KFGQPC Uthmanic Script HAFS" w:hint="eastAsia"/>
          <w:sz w:val="28"/>
          <w:szCs w:val="28"/>
          <w:rtl/>
          <w:lang w:bidi="fa-IR"/>
        </w:rPr>
        <w:t>رَ</w:t>
      </w:r>
      <w:r w:rsidR="00252DED" w:rsidRPr="0067048A">
        <w:rPr>
          <w:rFonts w:ascii="KFGQPC Uthmanic Script HAFS" w:cs="KFGQPC Uthmanic Script HAFS" w:hint="cs"/>
          <w:sz w:val="28"/>
          <w:szCs w:val="28"/>
          <w:rtl/>
          <w:lang w:bidi="fa-IR"/>
        </w:rPr>
        <w:t>ٰٓ</w:t>
      </w:r>
      <w:r w:rsidR="00252DED" w:rsidRPr="0067048A">
        <w:rPr>
          <w:rFonts w:ascii="KFGQPC Uthmanic Script HAFS" w:cs="KFGQPC Uthmanic Script HAFS" w:hint="eastAsia"/>
          <w:sz w:val="28"/>
          <w:szCs w:val="28"/>
          <w:rtl/>
          <w:lang w:bidi="fa-IR"/>
        </w:rPr>
        <w:t>ءِيلَ</w:t>
      </w:r>
      <w:r w:rsidR="00252DED" w:rsidRPr="0067048A">
        <w:rPr>
          <w:rFonts w:ascii="KFGQPC Uthmanic Script HAFS" w:cs="KFGQPC Uthmanic Script HAFS"/>
          <w:sz w:val="28"/>
          <w:szCs w:val="28"/>
          <w:rtl/>
          <w:lang w:bidi="fa-IR"/>
        </w:rPr>
        <w:t xml:space="preserve"> </w:t>
      </w:r>
      <w:r w:rsidR="00252DED" w:rsidRPr="00995B26">
        <w:rPr>
          <w:rFonts w:cs="Traditional Arabic" w:hint="cs"/>
          <w:szCs w:val="30"/>
          <w:rtl/>
          <w:lang w:bidi="ar-SY"/>
        </w:rPr>
        <w:t>﴾</w:t>
      </w:r>
      <w:r w:rsidRPr="00495BAB">
        <w:rPr>
          <w:rtl/>
          <w:lang w:bidi="ar-SY"/>
        </w:rPr>
        <w:t xml:space="preserve"> </w:t>
      </w:r>
      <w:r w:rsidRPr="009E1401">
        <w:rPr>
          <w:rStyle w:val="Char2"/>
          <w:rtl/>
        </w:rPr>
        <w:t>[الشعراء</w:t>
      </w:r>
      <w:r w:rsidR="00252DED" w:rsidRPr="009E1401">
        <w:rPr>
          <w:rStyle w:val="Char2"/>
          <w:rFonts w:hint="cs"/>
          <w:rtl/>
        </w:rPr>
        <w:t>:</w:t>
      </w:r>
      <w:r w:rsidRPr="009E1401">
        <w:rPr>
          <w:rStyle w:val="Char2"/>
          <w:rtl/>
        </w:rPr>
        <w:t xml:space="preserve"> 196</w:t>
      </w:r>
      <w:r w:rsidRPr="009E1401">
        <w:rPr>
          <w:rStyle w:val="Char2"/>
          <w:rFonts w:hint="cs"/>
          <w:rtl/>
        </w:rPr>
        <w:t xml:space="preserve"> -</w:t>
      </w:r>
      <w:r w:rsidRPr="009E1401">
        <w:rPr>
          <w:rStyle w:val="Char2"/>
          <w:rtl/>
        </w:rPr>
        <w:t>197]</w:t>
      </w:r>
      <w:r w:rsidRPr="00495BAB">
        <w:rPr>
          <w:rFonts w:hint="cs"/>
          <w:rtl/>
          <w:lang w:bidi="ar-SY"/>
        </w:rPr>
        <w:t xml:space="preserve">، أي أنه في بداية بعثة رسول الله </w:t>
      </w:r>
      <w:r w:rsidRPr="00495BAB">
        <w:rPr>
          <w:rFonts w:ascii="Abo-thar" w:hAnsi="Abo-thar"/>
          <w:sz w:val="28"/>
          <w:lang w:bidi="fa-IR"/>
        </w:rPr>
        <w:t></w:t>
      </w:r>
      <w:r w:rsidRPr="00495BAB">
        <w:rPr>
          <w:rFonts w:hint="cs"/>
          <w:rtl/>
          <w:lang w:bidi="ar-SY"/>
        </w:rPr>
        <w:t>، (أي خمسة عشرة عامًا قبل نزول سورة الرعد التي نزلت في المدينة وتضمنت آية</w:t>
      </w:r>
      <w:r w:rsidR="00252DED" w:rsidRPr="00495BAB">
        <w:rPr>
          <w:rFonts w:hint="cs"/>
          <w:rtl/>
          <w:lang w:bidi="ar-SY"/>
        </w:rPr>
        <w:t xml:space="preserve">: </w:t>
      </w:r>
      <w:r w:rsidR="00252DED" w:rsidRPr="00995B26">
        <w:rPr>
          <w:rFonts w:cs="Traditional Arabic" w:hint="cs"/>
          <w:szCs w:val="30"/>
          <w:rtl/>
          <w:lang w:bidi="ar-SY"/>
        </w:rPr>
        <w:t>﴿</w:t>
      </w:r>
      <w:r w:rsidR="00252DED" w:rsidRPr="0067048A">
        <w:rPr>
          <w:rFonts w:ascii="KFGQPC Uthmanic Script HAFS" w:cs="KFGQPC Uthmanic Script HAFS" w:hint="eastAsia"/>
          <w:sz w:val="28"/>
          <w:szCs w:val="28"/>
          <w:rtl/>
        </w:rPr>
        <w:t>وَمَن</w:t>
      </w:r>
      <w:r w:rsidR="00252DED" w:rsidRPr="0067048A">
        <w:rPr>
          <w:rFonts w:ascii="KFGQPC Uthmanic Script HAFS" w:cs="KFGQPC Uthmanic Script HAFS" w:hint="cs"/>
          <w:sz w:val="28"/>
          <w:szCs w:val="28"/>
          <w:rtl/>
        </w:rPr>
        <w:t>ۡ</w:t>
      </w:r>
      <w:r w:rsidR="00252DED" w:rsidRPr="0067048A">
        <w:rPr>
          <w:rFonts w:ascii="KFGQPC Uthmanic Script HAFS" w:cs="KFGQPC Uthmanic Script HAFS"/>
          <w:sz w:val="28"/>
          <w:szCs w:val="28"/>
          <w:rtl/>
        </w:rPr>
        <w:t xml:space="preserve"> </w:t>
      </w:r>
      <w:r w:rsidR="00252DED" w:rsidRPr="0067048A">
        <w:rPr>
          <w:rFonts w:ascii="KFGQPC Uthmanic Script HAFS" w:cs="KFGQPC Uthmanic Script HAFS" w:hint="eastAsia"/>
          <w:sz w:val="28"/>
          <w:szCs w:val="28"/>
          <w:rtl/>
        </w:rPr>
        <w:t>عِندَهُ</w:t>
      </w:r>
      <w:r w:rsidR="00252DED" w:rsidRPr="0067048A">
        <w:rPr>
          <w:rFonts w:ascii="KFGQPC Uthmanic Script HAFS" w:cs="KFGQPC Uthmanic Script HAFS" w:hint="cs"/>
          <w:sz w:val="28"/>
          <w:szCs w:val="28"/>
          <w:rtl/>
        </w:rPr>
        <w:t>ۥ</w:t>
      </w:r>
      <w:r w:rsidR="00252DED" w:rsidRPr="0067048A">
        <w:rPr>
          <w:rFonts w:ascii="KFGQPC Uthmanic Script HAFS" w:cs="KFGQPC Uthmanic Script HAFS"/>
          <w:sz w:val="28"/>
          <w:szCs w:val="28"/>
          <w:rtl/>
        </w:rPr>
        <w:t xml:space="preserve"> </w:t>
      </w:r>
      <w:r w:rsidR="00252DED" w:rsidRPr="0067048A">
        <w:rPr>
          <w:rFonts w:ascii="KFGQPC Uthmanic Script HAFS" w:cs="KFGQPC Uthmanic Script HAFS" w:hint="eastAsia"/>
          <w:sz w:val="28"/>
          <w:szCs w:val="28"/>
          <w:rtl/>
        </w:rPr>
        <w:t>عِل</w:t>
      </w:r>
      <w:r w:rsidR="00252DED" w:rsidRPr="0067048A">
        <w:rPr>
          <w:rFonts w:ascii="KFGQPC Uthmanic Script HAFS" w:cs="KFGQPC Uthmanic Script HAFS" w:hint="cs"/>
          <w:sz w:val="28"/>
          <w:szCs w:val="28"/>
          <w:rtl/>
        </w:rPr>
        <w:t>ۡ</w:t>
      </w:r>
      <w:r w:rsidR="00252DED" w:rsidRPr="0067048A">
        <w:rPr>
          <w:rFonts w:ascii="KFGQPC Uthmanic Script HAFS" w:cs="KFGQPC Uthmanic Script HAFS" w:hint="eastAsia"/>
          <w:sz w:val="28"/>
          <w:szCs w:val="28"/>
          <w:rtl/>
        </w:rPr>
        <w:t>مُ</w:t>
      </w:r>
      <w:r w:rsidR="00252DED" w:rsidRPr="0067048A">
        <w:rPr>
          <w:rFonts w:ascii="KFGQPC Uthmanic Script HAFS" w:cs="KFGQPC Uthmanic Script HAFS"/>
          <w:sz w:val="28"/>
          <w:szCs w:val="28"/>
          <w:rtl/>
        </w:rPr>
        <w:t xml:space="preserve"> </w:t>
      </w:r>
      <w:r w:rsidR="00252DED" w:rsidRPr="0067048A">
        <w:rPr>
          <w:rFonts w:ascii="KFGQPC Uthmanic Script HAFS" w:cs="KFGQPC Uthmanic Script HAFS" w:hint="cs"/>
          <w:sz w:val="28"/>
          <w:szCs w:val="28"/>
          <w:rtl/>
        </w:rPr>
        <w:t>ٱ</w:t>
      </w:r>
      <w:r w:rsidR="00252DED" w:rsidRPr="0067048A">
        <w:rPr>
          <w:rFonts w:ascii="KFGQPC Uthmanic Script HAFS" w:cs="KFGQPC Uthmanic Script HAFS" w:hint="eastAsia"/>
          <w:sz w:val="28"/>
          <w:szCs w:val="28"/>
          <w:rtl/>
        </w:rPr>
        <w:t>ل</w:t>
      </w:r>
      <w:r w:rsidR="00252DED" w:rsidRPr="0067048A">
        <w:rPr>
          <w:rFonts w:ascii="KFGQPC Uthmanic Script HAFS" w:cs="KFGQPC Uthmanic Script HAFS" w:hint="cs"/>
          <w:sz w:val="28"/>
          <w:szCs w:val="28"/>
          <w:rtl/>
        </w:rPr>
        <w:t>ۡ</w:t>
      </w:r>
      <w:r w:rsidR="00252DED" w:rsidRPr="0067048A">
        <w:rPr>
          <w:rFonts w:ascii="KFGQPC Uthmanic Script HAFS" w:cs="KFGQPC Uthmanic Script HAFS" w:hint="eastAsia"/>
          <w:sz w:val="28"/>
          <w:szCs w:val="28"/>
          <w:rtl/>
        </w:rPr>
        <w:t>كِتَ</w:t>
      </w:r>
      <w:r w:rsidR="00252DED" w:rsidRPr="0067048A">
        <w:rPr>
          <w:rFonts w:ascii="KFGQPC Uthmanic Script HAFS" w:cs="KFGQPC Uthmanic Script HAFS" w:hint="cs"/>
          <w:sz w:val="28"/>
          <w:szCs w:val="28"/>
          <w:rtl/>
        </w:rPr>
        <w:t>ٰ</w:t>
      </w:r>
      <w:r w:rsidR="00252DED" w:rsidRPr="0067048A">
        <w:rPr>
          <w:rFonts w:ascii="KFGQPC Uthmanic Script HAFS" w:cs="KFGQPC Uthmanic Script HAFS" w:hint="eastAsia"/>
          <w:sz w:val="28"/>
          <w:szCs w:val="28"/>
          <w:rtl/>
        </w:rPr>
        <w:t>بِ</w:t>
      </w:r>
      <w:r w:rsidR="00252DED" w:rsidRPr="00995B26">
        <w:rPr>
          <w:rFonts w:cs="Traditional Arabic" w:hint="cs"/>
          <w:szCs w:val="30"/>
          <w:rtl/>
          <w:lang w:bidi="ar-SY"/>
        </w:rPr>
        <w:t>﴾</w:t>
      </w:r>
      <w:r w:rsidRPr="00495BAB">
        <w:rPr>
          <w:rFonts w:hint="cs"/>
          <w:rtl/>
          <w:lang w:bidi="ar-SY"/>
        </w:rPr>
        <w:t xml:space="preserve">) نزلت سورة الشعراء على رسول الله </w:t>
      </w:r>
      <w:r w:rsidRPr="00495BAB">
        <w:rPr>
          <w:rFonts w:ascii="Abo-thar" w:hAnsi="Abo-thar"/>
          <w:sz w:val="28"/>
          <w:lang w:bidi="fa-IR"/>
        </w:rPr>
        <w:t></w:t>
      </w:r>
      <w:r w:rsidRPr="00495BAB">
        <w:rPr>
          <w:rFonts w:hint="cs"/>
          <w:rtl/>
          <w:lang w:bidi="ar-SY"/>
        </w:rPr>
        <w:t xml:space="preserve"> في مكة المكرَّمة في السنة الرابعة للبعثة. إذًا، هذه الآيات نزلت على رسول</w:t>
      </w:r>
      <w:r w:rsidR="005B1B5C">
        <w:rPr>
          <w:rFonts w:cs="Times New Roman" w:hint="cs"/>
          <w:rtl/>
          <w:lang w:bidi="ar-SY"/>
        </w:rPr>
        <w:t>‌</w:t>
      </w:r>
      <w:r w:rsidRPr="00495BAB">
        <w:rPr>
          <w:rFonts w:hint="cs"/>
          <w:rtl/>
          <w:lang w:bidi="ar-SY"/>
        </w:rPr>
        <w:t>الله</w:t>
      </w:r>
      <w:r w:rsidRPr="00495BAB">
        <w:rPr>
          <w:rFonts w:ascii="Abo-thar" w:hAnsi="Abo-thar"/>
          <w:sz w:val="28"/>
          <w:lang w:bidi="fa-IR"/>
        </w:rPr>
        <w:t></w:t>
      </w:r>
      <w:r w:rsidRPr="00495BAB">
        <w:rPr>
          <w:rFonts w:hint="cs"/>
          <w:rtl/>
          <w:lang w:bidi="ar-SY"/>
        </w:rPr>
        <w:t xml:space="preserve"> عندما كان عليٌّ </w:t>
      </w:r>
      <w:r w:rsidR="00612190" w:rsidRPr="003C7AEB">
        <w:rPr>
          <w:rFonts w:cs="CTraditional Arabic" w:hint="cs"/>
          <w:rtl/>
          <w:lang w:bidi="ar-SY"/>
        </w:rPr>
        <w:t>÷</w:t>
      </w:r>
      <w:r w:rsidRPr="00495BAB">
        <w:rPr>
          <w:rFonts w:ascii="Abo-thar" w:hAnsi="Abo-thar" w:hint="cs"/>
          <w:sz w:val="28"/>
          <w:rtl/>
          <w:lang w:bidi="ar-SY"/>
        </w:rPr>
        <w:t xml:space="preserve"> ابن خمسة عشر عامًا</w:t>
      </w:r>
      <w:r w:rsidRPr="00495BAB">
        <w:rPr>
          <w:rFonts w:hint="cs"/>
          <w:rtl/>
          <w:lang w:bidi="ar-SY"/>
        </w:rPr>
        <w:t xml:space="preserve">، أي أنه لم يكن قد يبلغ سن البلوغ الشرعي بعد، والفقهاء يعتبرون أن مثل هذه السن غير كافية في الفقه الإسلامي للشهادة في أمور ذات أهمية أقل بكثير من أهمية الشهادة بتصديق النبوة. </w:t>
      </w:r>
    </w:p>
    <w:p w:rsidR="00CD31AA" w:rsidRPr="00995B26" w:rsidRDefault="00CD31AA" w:rsidP="00495BAB">
      <w:pPr>
        <w:pStyle w:val="a0"/>
        <w:rPr>
          <w:rFonts w:hint="cs"/>
          <w:rtl/>
          <w:lang w:bidi="ar-SY"/>
        </w:rPr>
      </w:pPr>
      <w:r w:rsidRPr="00495BAB">
        <w:rPr>
          <w:rFonts w:hint="cs"/>
          <w:rtl/>
          <w:lang w:bidi="ar-SY"/>
        </w:rPr>
        <w:t>وهناك آيات كثيرة في القرآن تبين هذه الحقيقة وهي أن علماء اليهود والنصارى كانوا يعرفون نبي الإسلام وقد آمن كثير منهم به. والقرآن يقول بكل صراحة:</w:t>
      </w:r>
      <w:r w:rsidR="00252DED" w:rsidRPr="00495BAB">
        <w:rPr>
          <w:rFonts w:hint="cs"/>
          <w:rtl/>
          <w:lang w:bidi="ar-SY"/>
        </w:rPr>
        <w:t xml:space="preserve"> </w:t>
      </w:r>
      <w:r w:rsidR="00252DED" w:rsidRPr="00995B26">
        <w:rPr>
          <w:rFonts w:cs="Traditional Arabic" w:hint="cs"/>
          <w:szCs w:val="30"/>
          <w:rtl/>
          <w:lang w:bidi="ar-SY"/>
        </w:rPr>
        <w:t>﴿</w:t>
      </w:r>
      <w:r w:rsidR="00252DED" w:rsidRPr="0067048A">
        <w:rPr>
          <w:rFonts w:ascii="KFGQPC Uthmanic Script HAFS" w:cs="KFGQPC Uthmanic Script HAFS" w:hint="eastAsia"/>
          <w:sz w:val="28"/>
          <w:szCs w:val="28"/>
          <w:rtl/>
          <w:lang w:bidi="fa-IR"/>
        </w:rPr>
        <w:t>أَوَ</w:t>
      </w:r>
      <w:r w:rsidR="00252DED" w:rsidRPr="0067048A">
        <w:rPr>
          <w:rFonts w:ascii="KFGQPC Uthmanic Script HAFS" w:cs="KFGQPC Uthmanic Script HAFS"/>
          <w:sz w:val="28"/>
          <w:szCs w:val="28"/>
          <w:rtl/>
          <w:lang w:bidi="fa-IR"/>
        </w:rPr>
        <w:t xml:space="preserve"> </w:t>
      </w:r>
      <w:r w:rsidR="00252DED" w:rsidRPr="0067048A">
        <w:rPr>
          <w:rFonts w:ascii="KFGQPC Uthmanic Script HAFS" w:cs="KFGQPC Uthmanic Script HAFS" w:hint="eastAsia"/>
          <w:sz w:val="28"/>
          <w:szCs w:val="28"/>
          <w:rtl/>
          <w:lang w:bidi="fa-IR"/>
        </w:rPr>
        <w:t>لَم</w:t>
      </w:r>
      <w:r w:rsidR="00252DED" w:rsidRPr="0067048A">
        <w:rPr>
          <w:rFonts w:ascii="KFGQPC Uthmanic Script HAFS" w:cs="KFGQPC Uthmanic Script HAFS" w:hint="cs"/>
          <w:sz w:val="28"/>
          <w:szCs w:val="28"/>
          <w:rtl/>
          <w:lang w:bidi="fa-IR"/>
        </w:rPr>
        <w:t>ۡ</w:t>
      </w:r>
      <w:r w:rsidR="00252DED" w:rsidRPr="0067048A">
        <w:rPr>
          <w:rFonts w:ascii="KFGQPC Uthmanic Script HAFS" w:cs="KFGQPC Uthmanic Script HAFS"/>
          <w:sz w:val="28"/>
          <w:szCs w:val="28"/>
          <w:rtl/>
          <w:lang w:bidi="fa-IR"/>
        </w:rPr>
        <w:t xml:space="preserve"> </w:t>
      </w:r>
      <w:r w:rsidR="00252DED" w:rsidRPr="0067048A">
        <w:rPr>
          <w:rFonts w:ascii="KFGQPC Uthmanic Script HAFS" w:cs="KFGQPC Uthmanic Script HAFS" w:hint="eastAsia"/>
          <w:sz w:val="28"/>
          <w:szCs w:val="28"/>
          <w:rtl/>
          <w:lang w:bidi="fa-IR"/>
        </w:rPr>
        <w:t>يَكُن</w:t>
      </w:r>
      <w:r w:rsidR="00252DED" w:rsidRPr="0067048A">
        <w:rPr>
          <w:rFonts w:ascii="KFGQPC Uthmanic Script HAFS" w:cs="KFGQPC Uthmanic Script HAFS"/>
          <w:sz w:val="28"/>
          <w:szCs w:val="28"/>
          <w:rtl/>
          <w:lang w:bidi="fa-IR"/>
        </w:rPr>
        <w:t xml:space="preserve"> </w:t>
      </w:r>
      <w:r w:rsidR="00252DED" w:rsidRPr="0067048A">
        <w:rPr>
          <w:rFonts w:ascii="KFGQPC Uthmanic Script HAFS" w:cs="KFGQPC Uthmanic Script HAFS" w:hint="eastAsia"/>
          <w:sz w:val="28"/>
          <w:szCs w:val="28"/>
          <w:rtl/>
          <w:lang w:bidi="fa-IR"/>
        </w:rPr>
        <w:t>لَّهُم</w:t>
      </w:r>
      <w:r w:rsidR="00252DED" w:rsidRPr="0067048A">
        <w:rPr>
          <w:rFonts w:ascii="KFGQPC Uthmanic Script HAFS" w:cs="KFGQPC Uthmanic Script HAFS" w:hint="cs"/>
          <w:sz w:val="28"/>
          <w:szCs w:val="28"/>
          <w:rtl/>
          <w:lang w:bidi="fa-IR"/>
        </w:rPr>
        <w:t>ۡ</w:t>
      </w:r>
      <w:r w:rsidR="00252DED" w:rsidRPr="0067048A">
        <w:rPr>
          <w:rFonts w:ascii="KFGQPC Uthmanic Script HAFS" w:cs="KFGQPC Uthmanic Script HAFS"/>
          <w:sz w:val="28"/>
          <w:szCs w:val="28"/>
          <w:rtl/>
          <w:lang w:bidi="fa-IR"/>
        </w:rPr>
        <w:t xml:space="preserve"> </w:t>
      </w:r>
      <w:r w:rsidR="00252DED" w:rsidRPr="0067048A">
        <w:rPr>
          <w:rFonts w:ascii="KFGQPC Uthmanic Script HAFS" w:cs="KFGQPC Uthmanic Script HAFS" w:hint="eastAsia"/>
          <w:sz w:val="28"/>
          <w:szCs w:val="28"/>
          <w:rtl/>
          <w:lang w:bidi="fa-IR"/>
        </w:rPr>
        <w:t>ءَايَةً</w:t>
      </w:r>
      <w:r w:rsidR="00252DED" w:rsidRPr="0067048A">
        <w:rPr>
          <w:rFonts w:ascii="KFGQPC Uthmanic Script HAFS" w:cs="KFGQPC Uthmanic Script HAFS"/>
          <w:sz w:val="28"/>
          <w:szCs w:val="28"/>
          <w:rtl/>
          <w:lang w:bidi="fa-IR"/>
        </w:rPr>
        <w:t xml:space="preserve"> </w:t>
      </w:r>
      <w:r w:rsidR="00252DED" w:rsidRPr="0067048A">
        <w:rPr>
          <w:rFonts w:ascii="KFGQPC Uthmanic Script HAFS" w:cs="KFGQPC Uthmanic Script HAFS" w:hint="eastAsia"/>
          <w:sz w:val="28"/>
          <w:szCs w:val="28"/>
          <w:rtl/>
          <w:lang w:bidi="fa-IR"/>
        </w:rPr>
        <w:t>أَن</w:t>
      </w:r>
      <w:r w:rsidR="00252DED" w:rsidRPr="0067048A">
        <w:rPr>
          <w:rFonts w:ascii="KFGQPC Uthmanic Script HAFS" w:cs="KFGQPC Uthmanic Script HAFS"/>
          <w:sz w:val="28"/>
          <w:szCs w:val="28"/>
          <w:rtl/>
          <w:lang w:bidi="fa-IR"/>
        </w:rPr>
        <w:t xml:space="preserve"> </w:t>
      </w:r>
      <w:r w:rsidR="00252DED" w:rsidRPr="0067048A">
        <w:rPr>
          <w:rFonts w:ascii="KFGQPC Uthmanic Script HAFS" w:cs="KFGQPC Uthmanic Script HAFS" w:hint="eastAsia"/>
          <w:sz w:val="28"/>
          <w:szCs w:val="28"/>
          <w:rtl/>
          <w:lang w:bidi="fa-IR"/>
        </w:rPr>
        <w:t>يَع</w:t>
      </w:r>
      <w:r w:rsidR="00252DED" w:rsidRPr="0067048A">
        <w:rPr>
          <w:rFonts w:ascii="KFGQPC Uthmanic Script HAFS" w:cs="KFGQPC Uthmanic Script HAFS" w:hint="cs"/>
          <w:sz w:val="28"/>
          <w:szCs w:val="28"/>
          <w:rtl/>
          <w:lang w:bidi="fa-IR"/>
        </w:rPr>
        <w:t>ۡ</w:t>
      </w:r>
      <w:r w:rsidR="00252DED" w:rsidRPr="0067048A">
        <w:rPr>
          <w:rFonts w:ascii="KFGQPC Uthmanic Script HAFS" w:cs="KFGQPC Uthmanic Script HAFS" w:hint="eastAsia"/>
          <w:sz w:val="28"/>
          <w:szCs w:val="28"/>
          <w:rtl/>
          <w:lang w:bidi="fa-IR"/>
        </w:rPr>
        <w:t>لَمَهُ</w:t>
      </w:r>
      <w:r w:rsidR="00252DED" w:rsidRPr="0067048A">
        <w:rPr>
          <w:rFonts w:ascii="KFGQPC Uthmanic Script HAFS" w:cs="KFGQPC Uthmanic Script HAFS" w:hint="cs"/>
          <w:sz w:val="28"/>
          <w:szCs w:val="28"/>
          <w:rtl/>
          <w:lang w:bidi="fa-IR"/>
        </w:rPr>
        <w:t>ۥ</w:t>
      </w:r>
      <w:r w:rsidR="00252DED" w:rsidRPr="0067048A">
        <w:rPr>
          <w:rFonts w:ascii="KFGQPC Uthmanic Script HAFS" w:cs="KFGQPC Uthmanic Script HAFS"/>
          <w:sz w:val="28"/>
          <w:szCs w:val="28"/>
          <w:rtl/>
          <w:lang w:bidi="fa-IR"/>
        </w:rPr>
        <w:t xml:space="preserve"> </w:t>
      </w:r>
      <w:r w:rsidR="00252DED" w:rsidRPr="0067048A">
        <w:rPr>
          <w:rFonts w:ascii="KFGQPC Uthmanic Script HAFS" w:cs="KFGQPC Uthmanic Script HAFS" w:hint="eastAsia"/>
          <w:sz w:val="28"/>
          <w:szCs w:val="28"/>
          <w:rtl/>
          <w:lang w:bidi="fa-IR"/>
        </w:rPr>
        <w:t>عُلَمَ</w:t>
      </w:r>
      <w:r w:rsidR="00252DED" w:rsidRPr="0067048A">
        <w:rPr>
          <w:rFonts w:ascii="KFGQPC Uthmanic Script HAFS" w:cs="KFGQPC Uthmanic Script HAFS" w:hint="cs"/>
          <w:sz w:val="28"/>
          <w:szCs w:val="28"/>
          <w:rtl/>
          <w:lang w:bidi="fa-IR"/>
        </w:rPr>
        <w:t>ٰٓ</w:t>
      </w:r>
      <w:r w:rsidR="00252DED" w:rsidRPr="0067048A">
        <w:rPr>
          <w:rFonts w:ascii="KFGQPC Uthmanic Script HAFS" w:cs="KFGQPC Uthmanic Script HAFS" w:hint="eastAsia"/>
          <w:sz w:val="28"/>
          <w:szCs w:val="28"/>
          <w:rtl/>
          <w:lang w:bidi="fa-IR"/>
        </w:rPr>
        <w:t>ؤُاْ</w:t>
      </w:r>
      <w:r w:rsidR="00252DED" w:rsidRPr="0067048A">
        <w:rPr>
          <w:rFonts w:ascii="KFGQPC Uthmanic Script HAFS" w:cs="KFGQPC Uthmanic Script HAFS"/>
          <w:sz w:val="28"/>
          <w:szCs w:val="28"/>
          <w:rtl/>
          <w:lang w:bidi="fa-IR"/>
        </w:rPr>
        <w:t xml:space="preserve"> </w:t>
      </w:r>
      <w:r w:rsidR="00252DED" w:rsidRPr="0067048A">
        <w:rPr>
          <w:rFonts w:ascii="KFGQPC Uthmanic Script HAFS" w:cs="KFGQPC Uthmanic Script HAFS" w:hint="eastAsia"/>
          <w:sz w:val="28"/>
          <w:szCs w:val="28"/>
          <w:rtl/>
          <w:lang w:bidi="fa-IR"/>
        </w:rPr>
        <w:t>بَنِي</w:t>
      </w:r>
      <w:r w:rsidR="00252DED" w:rsidRPr="0067048A">
        <w:rPr>
          <w:rFonts w:ascii="KFGQPC Uthmanic Script HAFS" w:cs="KFGQPC Uthmanic Script HAFS" w:hint="cs"/>
          <w:sz w:val="28"/>
          <w:szCs w:val="28"/>
          <w:rtl/>
          <w:lang w:bidi="fa-IR"/>
        </w:rPr>
        <w:t>ٓ</w:t>
      </w:r>
      <w:r w:rsidR="00252DED" w:rsidRPr="0067048A">
        <w:rPr>
          <w:rFonts w:ascii="KFGQPC Uthmanic Script HAFS" w:cs="KFGQPC Uthmanic Script HAFS"/>
          <w:sz w:val="28"/>
          <w:szCs w:val="28"/>
          <w:rtl/>
          <w:lang w:bidi="fa-IR"/>
        </w:rPr>
        <w:t xml:space="preserve"> </w:t>
      </w:r>
      <w:r w:rsidR="00252DED" w:rsidRPr="0067048A">
        <w:rPr>
          <w:rFonts w:ascii="KFGQPC Uthmanic Script HAFS" w:cs="KFGQPC Uthmanic Script HAFS" w:hint="eastAsia"/>
          <w:sz w:val="28"/>
          <w:szCs w:val="28"/>
          <w:rtl/>
          <w:lang w:bidi="fa-IR"/>
        </w:rPr>
        <w:t>إِس</w:t>
      </w:r>
      <w:r w:rsidR="00252DED" w:rsidRPr="0067048A">
        <w:rPr>
          <w:rFonts w:ascii="KFGQPC Uthmanic Script HAFS" w:cs="KFGQPC Uthmanic Script HAFS" w:hint="cs"/>
          <w:sz w:val="28"/>
          <w:szCs w:val="28"/>
          <w:rtl/>
          <w:lang w:bidi="fa-IR"/>
        </w:rPr>
        <w:t>ۡ</w:t>
      </w:r>
      <w:r w:rsidR="00252DED" w:rsidRPr="0067048A">
        <w:rPr>
          <w:rFonts w:ascii="KFGQPC Uthmanic Script HAFS" w:cs="KFGQPC Uthmanic Script HAFS" w:hint="eastAsia"/>
          <w:sz w:val="28"/>
          <w:szCs w:val="28"/>
          <w:rtl/>
          <w:lang w:bidi="fa-IR"/>
        </w:rPr>
        <w:t>رَ</w:t>
      </w:r>
      <w:r w:rsidR="00252DED" w:rsidRPr="0067048A">
        <w:rPr>
          <w:rFonts w:ascii="KFGQPC Uthmanic Script HAFS" w:cs="KFGQPC Uthmanic Script HAFS" w:hint="cs"/>
          <w:sz w:val="28"/>
          <w:szCs w:val="28"/>
          <w:rtl/>
          <w:lang w:bidi="fa-IR"/>
        </w:rPr>
        <w:t>ٰٓ</w:t>
      </w:r>
      <w:r w:rsidR="00252DED" w:rsidRPr="0067048A">
        <w:rPr>
          <w:rFonts w:ascii="KFGQPC Uthmanic Script HAFS" w:cs="KFGQPC Uthmanic Script HAFS" w:hint="eastAsia"/>
          <w:sz w:val="28"/>
          <w:szCs w:val="28"/>
          <w:rtl/>
          <w:lang w:bidi="fa-IR"/>
        </w:rPr>
        <w:t>ءِيلَ</w:t>
      </w:r>
      <w:r w:rsidR="00252DED" w:rsidRPr="00995B26">
        <w:rPr>
          <w:rFonts w:cs="Traditional Arabic" w:hint="cs"/>
          <w:szCs w:val="30"/>
          <w:rtl/>
          <w:lang w:bidi="ar-SY"/>
        </w:rPr>
        <w:t>﴾</w:t>
      </w:r>
      <w:r w:rsidRPr="00495BAB">
        <w:rPr>
          <w:rtl/>
          <w:lang w:bidi="ar-SY"/>
        </w:rPr>
        <w:t xml:space="preserve"> </w:t>
      </w:r>
      <w:r w:rsidRPr="009E1401">
        <w:rPr>
          <w:rStyle w:val="Char2"/>
          <w:rtl/>
        </w:rPr>
        <w:t>[الشعراء</w:t>
      </w:r>
      <w:r w:rsidR="00252DED" w:rsidRPr="009E1401">
        <w:rPr>
          <w:rStyle w:val="Char2"/>
          <w:rFonts w:hint="cs"/>
          <w:rtl/>
        </w:rPr>
        <w:t xml:space="preserve">: </w:t>
      </w:r>
      <w:r w:rsidRPr="009E1401">
        <w:rPr>
          <w:rStyle w:val="Char2"/>
          <w:rtl/>
        </w:rPr>
        <w:t xml:space="preserve"> 197]</w:t>
      </w:r>
      <w:r w:rsidRPr="00495BAB">
        <w:rPr>
          <w:rFonts w:hint="cs"/>
          <w:rtl/>
          <w:lang w:bidi="ar-SY"/>
        </w:rPr>
        <w:t xml:space="preserve"> وذلك قبل 15 سنة من نزل الآية 41 من سورة الرعد، أفلا يكفي ذلك لنفهم أن المراد من آية:</w:t>
      </w:r>
      <w:r w:rsidR="00252DED" w:rsidRPr="00495BAB">
        <w:rPr>
          <w:rFonts w:hint="cs"/>
          <w:rtl/>
          <w:lang w:bidi="ar-SY"/>
        </w:rPr>
        <w:t xml:space="preserve"> </w:t>
      </w:r>
      <w:r w:rsidR="00252DED" w:rsidRPr="00995B26">
        <w:rPr>
          <w:rFonts w:cs="Traditional Arabic" w:hint="cs"/>
          <w:szCs w:val="30"/>
          <w:rtl/>
          <w:lang w:bidi="ar-SY"/>
        </w:rPr>
        <w:t>﴿</w:t>
      </w:r>
      <w:r w:rsidR="00252DED" w:rsidRPr="0067048A">
        <w:rPr>
          <w:rFonts w:ascii="KFGQPC Uthmanic Script HAFS" w:cs="KFGQPC Uthmanic Script HAFS" w:hint="eastAsia"/>
          <w:sz w:val="28"/>
          <w:szCs w:val="28"/>
          <w:rtl/>
        </w:rPr>
        <w:t>وَمَن</w:t>
      </w:r>
      <w:r w:rsidR="00252DED" w:rsidRPr="0067048A">
        <w:rPr>
          <w:rFonts w:ascii="KFGQPC Uthmanic Script HAFS" w:cs="KFGQPC Uthmanic Script HAFS" w:hint="cs"/>
          <w:sz w:val="28"/>
          <w:szCs w:val="28"/>
          <w:rtl/>
        </w:rPr>
        <w:t>ۡ</w:t>
      </w:r>
      <w:r w:rsidR="00252DED" w:rsidRPr="0067048A">
        <w:rPr>
          <w:rFonts w:ascii="KFGQPC Uthmanic Script HAFS" w:cs="KFGQPC Uthmanic Script HAFS"/>
          <w:sz w:val="28"/>
          <w:szCs w:val="28"/>
          <w:rtl/>
        </w:rPr>
        <w:t xml:space="preserve"> </w:t>
      </w:r>
      <w:r w:rsidR="00252DED" w:rsidRPr="0067048A">
        <w:rPr>
          <w:rFonts w:ascii="KFGQPC Uthmanic Script HAFS" w:cs="KFGQPC Uthmanic Script HAFS" w:hint="eastAsia"/>
          <w:sz w:val="28"/>
          <w:szCs w:val="28"/>
          <w:rtl/>
        </w:rPr>
        <w:t>عِندَهُ</w:t>
      </w:r>
      <w:r w:rsidR="00252DED" w:rsidRPr="0067048A">
        <w:rPr>
          <w:rFonts w:ascii="KFGQPC Uthmanic Script HAFS" w:cs="KFGQPC Uthmanic Script HAFS" w:hint="cs"/>
          <w:sz w:val="28"/>
          <w:szCs w:val="28"/>
          <w:rtl/>
        </w:rPr>
        <w:t>ۥ</w:t>
      </w:r>
      <w:r w:rsidR="00252DED" w:rsidRPr="0067048A">
        <w:rPr>
          <w:rFonts w:ascii="KFGQPC Uthmanic Script HAFS" w:cs="KFGQPC Uthmanic Script HAFS"/>
          <w:sz w:val="28"/>
          <w:szCs w:val="28"/>
          <w:rtl/>
        </w:rPr>
        <w:t xml:space="preserve"> </w:t>
      </w:r>
      <w:r w:rsidR="00252DED" w:rsidRPr="0067048A">
        <w:rPr>
          <w:rFonts w:ascii="KFGQPC Uthmanic Script HAFS" w:cs="KFGQPC Uthmanic Script HAFS" w:hint="eastAsia"/>
          <w:sz w:val="28"/>
          <w:szCs w:val="28"/>
          <w:rtl/>
        </w:rPr>
        <w:t>عِل</w:t>
      </w:r>
      <w:r w:rsidR="00252DED" w:rsidRPr="0067048A">
        <w:rPr>
          <w:rFonts w:ascii="KFGQPC Uthmanic Script HAFS" w:cs="KFGQPC Uthmanic Script HAFS" w:hint="cs"/>
          <w:sz w:val="28"/>
          <w:szCs w:val="28"/>
          <w:rtl/>
        </w:rPr>
        <w:t>ۡ</w:t>
      </w:r>
      <w:r w:rsidR="00252DED" w:rsidRPr="0067048A">
        <w:rPr>
          <w:rFonts w:ascii="KFGQPC Uthmanic Script HAFS" w:cs="KFGQPC Uthmanic Script HAFS" w:hint="eastAsia"/>
          <w:sz w:val="28"/>
          <w:szCs w:val="28"/>
          <w:rtl/>
        </w:rPr>
        <w:t>مُ</w:t>
      </w:r>
      <w:r w:rsidR="00252DED" w:rsidRPr="0067048A">
        <w:rPr>
          <w:rFonts w:ascii="KFGQPC Uthmanic Script HAFS" w:cs="KFGQPC Uthmanic Script HAFS"/>
          <w:sz w:val="28"/>
          <w:szCs w:val="28"/>
          <w:rtl/>
        </w:rPr>
        <w:t xml:space="preserve"> </w:t>
      </w:r>
      <w:r w:rsidR="00252DED" w:rsidRPr="0067048A">
        <w:rPr>
          <w:rFonts w:ascii="KFGQPC Uthmanic Script HAFS" w:cs="KFGQPC Uthmanic Script HAFS" w:hint="cs"/>
          <w:sz w:val="28"/>
          <w:szCs w:val="28"/>
          <w:rtl/>
        </w:rPr>
        <w:t>ٱ</w:t>
      </w:r>
      <w:r w:rsidR="00252DED" w:rsidRPr="0067048A">
        <w:rPr>
          <w:rFonts w:ascii="KFGQPC Uthmanic Script HAFS" w:cs="KFGQPC Uthmanic Script HAFS" w:hint="eastAsia"/>
          <w:sz w:val="28"/>
          <w:szCs w:val="28"/>
          <w:rtl/>
        </w:rPr>
        <w:t>ل</w:t>
      </w:r>
      <w:r w:rsidR="00252DED" w:rsidRPr="0067048A">
        <w:rPr>
          <w:rFonts w:ascii="KFGQPC Uthmanic Script HAFS" w:cs="KFGQPC Uthmanic Script HAFS" w:hint="cs"/>
          <w:sz w:val="28"/>
          <w:szCs w:val="28"/>
          <w:rtl/>
        </w:rPr>
        <w:t>ۡ</w:t>
      </w:r>
      <w:r w:rsidR="00252DED" w:rsidRPr="0067048A">
        <w:rPr>
          <w:rFonts w:ascii="KFGQPC Uthmanic Script HAFS" w:cs="KFGQPC Uthmanic Script HAFS" w:hint="eastAsia"/>
          <w:sz w:val="28"/>
          <w:szCs w:val="28"/>
          <w:rtl/>
        </w:rPr>
        <w:t>كِتَ</w:t>
      </w:r>
      <w:r w:rsidR="00252DED" w:rsidRPr="0067048A">
        <w:rPr>
          <w:rFonts w:ascii="KFGQPC Uthmanic Script HAFS" w:cs="KFGQPC Uthmanic Script HAFS" w:hint="cs"/>
          <w:sz w:val="28"/>
          <w:szCs w:val="28"/>
          <w:rtl/>
        </w:rPr>
        <w:t>ٰ</w:t>
      </w:r>
      <w:r w:rsidR="00252DED" w:rsidRPr="0067048A">
        <w:rPr>
          <w:rFonts w:ascii="KFGQPC Uthmanic Script HAFS" w:cs="KFGQPC Uthmanic Script HAFS" w:hint="eastAsia"/>
          <w:sz w:val="28"/>
          <w:szCs w:val="28"/>
          <w:rtl/>
        </w:rPr>
        <w:t>بِ</w:t>
      </w:r>
      <w:r w:rsidR="00252DED" w:rsidRPr="00995B26">
        <w:rPr>
          <w:rFonts w:cs="Traditional Arabic" w:hint="cs"/>
          <w:szCs w:val="30"/>
          <w:rtl/>
          <w:lang w:bidi="ar-SY"/>
        </w:rPr>
        <w:t>﴾</w:t>
      </w:r>
      <w:r w:rsidRPr="00495BAB">
        <w:rPr>
          <w:rtl/>
          <w:lang w:bidi="ar-SY"/>
        </w:rPr>
        <w:t xml:space="preserve"> </w:t>
      </w:r>
      <w:r w:rsidRPr="009E1401">
        <w:rPr>
          <w:rStyle w:val="Char2"/>
          <w:rtl/>
        </w:rPr>
        <w:t>[الرعد</w:t>
      </w:r>
      <w:r w:rsidR="00252DED" w:rsidRPr="009E1401">
        <w:rPr>
          <w:rStyle w:val="Char2"/>
          <w:rFonts w:hint="cs"/>
          <w:rtl/>
        </w:rPr>
        <w:t xml:space="preserve">: </w:t>
      </w:r>
      <w:r w:rsidRPr="009E1401">
        <w:rPr>
          <w:rStyle w:val="Char2"/>
          <w:rtl/>
        </w:rPr>
        <w:t>43]</w:t>
      </w:r>
      <w:r w:rsidRPr="00495BAB">
        <w:rPr>
          <w:rFonts w:hint="cs"/>
          <w:rtl/>
          <w:lang w:bidi="ar-SY"/>
        </w:rPr>
        <w:t xml:space="preserve"> ليس عليَّ بن أبي طالب بل علماء أهل الكتاب أنفسهم؟! </w:t>
      </w:r>
    </w:p>
    <w:p w:rsidR="00CD31AA" w:rsidRPr="00495BAB" w:rsidRDefault="00CD31AA" w:rsidP="00495BAB">
      <w:pPr>
        <w:pStyle w:val="a0"/>
        <w:rPr>
          <w:rFonts w:hint="cs"/>
          <w:rtl/>
          <w:lang w:bidi="ar-SY"/>
        </w:rPr>
      </w:pPr>
      <w:r w:rsidRPr="00495BAB">
        <w:rPr>
          <w:rFonts w:hint="cs"/>
          <w:rtl/>
          <w:lang w:bidi="ar-SY"/>
        </w:rPr>
        <w:t>وهل يجوز لشخص عاقل وبالغ أن يتلاعب على هذا النحو بمعاني آيات الله ويعطي المجال للعلماء كي يسخروا منه، وأن يستخرج من هذه الآية الولاية التكوينية؟</w:t>
      </w:r>
    </w:p>
    <w:p w:rsidR="00CD31AA" w:rsidRPr="00495BAB" w:rsidRDefault="00CD31AA" w:rsidP="00495BAB">
      <w:pPr>
        <w:pStyle w:val="a0"/>
        <w:rPr>
          <w:rFonts w:hint="cs"/>
          <w:rtl/>
          <w:lang w:bidi="ar-SY"/>
        </w:rPr>
      </w:pPr>
      <w:r w:rsidRPr="00495BAB">
        <w:rPr>
          <w:rFonts w:hint="cs"/>
          <w:rtl/>
          <w:lang w:bidi="ar-SY"/>
        </w:rPr>
        <w:t xml:space="preserve">لدينا في تاريخ الإسلام شواهد عديدة تدل على أن رسول الله </w:t>
      </w:r>
      <w:r w:rsidRPr="00495BAB">
        <w:rPr>
          <w:rFonts w:ascii="Abo-thar" w:hAnsi="Abo-thar"/>
          <w:sz w:val="28"/>
          <w:lang w:bidi="fa-IR"/>
        </w:rPr>
        <w:t></w:t>
      </w:r>
      <w:r w:rsidRPr="00495BAB">
        <w:rPr>
          <w:rFonts w:hint="cs"/>
          <w:rtl/>
          <w:lang w:bidi="ar-SY"/>
        </w:rPr>
        <w:t xml:space="preserve"> كان يحيل المنكرين لنبوته إلى علماء اليهود والنصارى كشاهد على صدق نبوته، ومن أبرز الأمثلة على ذلك قصة إسلام عبد الله بن سلام. وليت شعري! هل هناك أدنى دليل أو حتى حديث موضوع نجد فيه أن رسول الله </w:t>
      </w:r>
      <w:r w:rsidRPr="00495BAB">
        <w:rPr>
          <w:rFonts w:ascii="Abo-thar" w:hAnsi="Abo-thar"/>
          <w:sz w:val="28"/>
          <w:lang w:bidi="fa-IR"/>
        </w:rPr>
        <w:t></w:t>
      </w:r>
      <w:r w:rsidRPr="00495BAB">
        <w:rPr>
          <w:rFonts w:hint="cs"/>
          <w:rtl/>
          <w:lang w:bidi="ar-SY"/>
        </w:rPr>
        <w:t xml:space="preserve"> أحال الناس لأجل إثبات نبوته إلى شهادة علي بذلك؟! وهل يمكن عقلاً للناس الذين لم يكونوا يصدقون بنبوة رسول الله </w:t>
      </w:r>
      <w:r w:rsidRPr="00495BAB">
        <w:rPr>
          <w:rFonts w:ascii="Abo-thar" w:hAnsi="Abo-thar"/>
          <w:sz w:val="28"/>
          <w:lang w:bidi="fa-IR"/>
        </w:rPr>
        <w:t></w:t>
      </w:r>
      <w:r w:rsidRPr="00495BAB">
        <w:rPr>
          <w:rFonts w:hint="cs"/>
          <w:rtl/>
          <w:lang w:bidi="ar-SY"/>
        </w:rPr>
        <w:t xml:space="preserve"> أن يقبلوا بصحة رسالته استناداً إلى شهادة علي الذي كان حين ذلك طفلاً ابن 14 عامًا؟ وهل أحال النبيُّ </w:t>
      </w:r>
      <w:r w:rsidRPr="00495BAB">
        <w:rPr>
          <w:rFonts w:ascii="Abo-thar" w:hAnsi="Abo-thar"/>
          <w:sz w:val="28"/>
          <w:lang w:bidi="fa-IR"/>
        </w:rPr>
        <w:t></w:t>
      </w:r>
      <w:r w:rsidRPr="00495BAB">
        <w:rPr>
          <w:rFonts w:hint="cs"/>
          <w:rtl/>
          <w:lang w:bidi="ar-SY"/>
        </w:rPr>
        <w:t xml:space="preserve"> مثل هذا الأمر إلى عليٍّ فعلاً؟! وليت شعري! كيف يمكن للناس الذين لم يكونوا يصدقون النبي نفسه أن يصدقوا شهادة عليٍّ فيه؟ في نهاية الأمر لا ينبغي للإنسان أن يتجاوز في استدلاله الحقيقة إلى هذا الحدّ، ويتمسك - حسب قولهم - بعبارة «نحن نتعدى منه» فيتجاوز حد الكلام ويسخر من المتكلِّم حتى يَصْدُقَ عليه قول أحمد الكسروي حين قال «لم يكن لمذهب الشيعة منذ يومه الأول أي علاقة بالعقل أو المنطق!!» </w:t>
      </w:r>
    </w:p>
    <w:p w:rsidR="00CD31AA" w:rsidRPr="00995B26" w:rsidRDefault="00CD31AA" w:rsidP="00495BAB">
      <w:pPr>
        <w:pStyle w:val="a0"/>
        <w:rPr>
          <w:rFonts w:hint="cs"/>
          <w:rtl/>
          <w:lang w:bidi="ar-SY"/>
        </w:rPr>
      </w:pPr>
      <w:r w:rsidRPr="00495BAB">
        <w:rPr>
          <w:rFonts w:hint="cs"/>
          <w:rtl/>
          <w:lang w:bidi="ar-SY"/>
        </w:rPr>
        <w:t xml:space="preserve">ثم ما علاقة معجزة الأنبياء بالولاية التكوينية؟ إن أعظم المعجزات التي لا تحتمل أي تأويل هي معجزة حضرة موسى بن عمران </w:t>
      </w:r>
      <w:r w:rsidR="003C7AEB" w:rsidRPr="003C7AEB">
        <w:rPr>
          <w:rFonts w:cs="CTraditional Arabic" w:hint="cs"/>
          <w:rtl/>
          <w:lang w:bidi="ar-SY"/>
        </w:rPr>
        <w:t>÷</w:t>
      </w:r>
      <w:r w:rsidRPr="00495BAB">
        <w:rPr>
          <w:rFonts w:hint="cs"/>
          <w:rtl/>
          <w:lang w:bidi="ar-SY"/>
        </w:rPr>
        <w:t xml:space="preserve"> الذي تحولت العصا بيده إلى ثعبان حي، في حين أن شخص موسى لم يكن له أي تدخل في إنجاز هذا العمل الخارق، وكان موسى - بنص آيات القرآن الكريمة- عديم الاطلاع على هذا الأمر، لذا لمَّا وقع ذلك الحدث أُصيبَ بالرعب والخوف ولم يمكن يدري أي مصير ستؤول إليه تلك العصا، كما نقرأ ذلك في الآيات 19 إلى 20 من سورة طه والآية 10 من سورة النمل، والتي تبين بوضوح أنه لما ألقى موسى عصاه - طاعة لأمر الله- ورأى أنها تحولت إلى ثعبان مبين، لاذ بالفرار خوفاً منه، إذْ لم يكن يعلم أن تلك العصا ستتحول إلى ذلك الثعبان؟ فهل هذه الولاية التكوينية؟! وحتى عندما احتج على سحرة فرعون، أوجس في نفسه خيفةً من أن لا يتمكن من القيام بما أمره به ربه من إظهار المعجزة التي تغلب سحرهم. كما نقرأ ذلك في الآية الكريمة 67 من سورة طه وهي قوله تعالى:</w:t>
      </w:r>
      <w:r w:rsidR="00252DED" w:rsidRPr="00495BAB">
        <w:rPr>
          <w:rFonts w:hint="cs"/>
          <w:rtl/>
          <w:lang w:bidi="ar-SY"/>
        </w:rPr>
        <w:t xml:space="preserve"> </w:t>
      </w:r>
      <w:r w:rsidR="00252DED" w:rsidRPr="00995B26">
        <w:rPr>
          <w:rFonts w:cs="Traditional Arabic" w:hint="cs"/>
          <w:szCs w:val="30"/>
          <w:rtl/>
          <w:lang w:bidi="ar-SY"/>
        </w:rPr>
        <w:t>﴿</w:t>
      </w:r>
      <w:r w:rsidR="00252DED" w:rsidRPr="00995B26">
        <w:rPr>
          <w:rFonts w:ascii="KFGQPC Uthmanic Script HAFS" w:cs="KFGQPC Uthmanic Script HAFS" w:hint="eastAsia"/>
          <w:sz w:val="29"/>
          <w:szCs w:val="29"/>
          <w:rtl/>
        </w:rPr>
        <w:t>فَأَو</w:t>
      </w:r>
      <w:r w:rsidR="00252DED" w:rsidRPr="00995B26">
        <w:rPr>
          <w:rFonts w:ascii="KFGQPC Uthmanic Script HAFS" w:cs="KFGQPC Uthmanic Script HAFS" w:hint="cs"/>
          <w:sz w:val="29"/>
          <w:szCs w:val="29"/>
          <w:rtl/>
        </w:rPr>
        <w:t>ۡ</w:t>
      </w:r>
      <w:r w:rsidR="00252DED" w:rsidRPr="00995B26">
        <w:rPr>
          <w:rFonts w:ascii="KFGQPC Uthmanic Script HAFS" w:cs="KFGQPC Uthmanic Script HAFS" w:hint="eastAsia"/>
          <w:sz w:val="29"/>
          <w:szCs w:val="29"/>
          <w:rtl/>
        </w:rPr>
        <w:t>جَسَ</w:t>
      </w:r>
      <w:r w:rsidR="00252DED" w:rsidRPr="00995B26">
        <w:rPr>
          <w:rFonts w:ascii="KFGQPC Uthmanic Script HAFS" w:cs="KFGQPC Uthmanic Script HAFS"/>
          <w:sz w:val="29"/>
          <w:szCs w:val="29"/>
          <w:rtl/>
        </w:rPr>
        <w:t xml:space="preserve"> </w:t>
      </w:r>
      <w:r w:rsidR="00252DED" w:rsidRPr="00995B26">
        <w:rPr>
          <w:rFonts w:ascii="KFGQPC Uthmanic Script HAFS" w:cs="KFGQPC Uthmanic Script HAFS" w:hint="eastAsia"/>
          <w:sz w:val="29"/>
          <w:szCs w:val="29"/>
          <w:rtl/>
        </w:rPr>
        <w:t>فِي</w:t>
      </w:r>
      <w:r w:rsidR="00252DED" w:rsidRPr="00995B26">
        <w:rPr>
          <w:rFonts w:ascii="KFGQPC Uthmanic Script HAFS" w:cs="KFGQPC Uthmanic Script HAFS"/>
          <w:sz w:val="29"/>
          <w:szCs w:val="29"/>
          <w:rtl/>
        </w:rPr>
        <w:t xml:space="preserve"> </w:t>
      </w:r>
      <w:r w:rsidR="00252DED" w:rsidRPr="00995B26">
        <w:rPr>
          <w:rFonts w:ascii="KFGQPC Uthmanic Script HAFS" w:cs="KFGQPC Uthmanic Script HAFS" w:hint="eastAsia"/>
          <w:sz w:val="29"/>
          <w:szCs w:val="29"/>
          <w:rtl/>
        </w:rPr>
        <w:t>نَف</w:t>
      </w:r>
      <w:r w:rsidR="00252DED" w:rsidRPr="00995B26">
        <w:rPr>
          <w:rFonts w:ascii="KFGQPC Uthmanic Script HAFS" w:cs="KFGQPC Uthmanic Script HAFS" w:hint="cs"/>
          <w:sz w:val="29"/>
          <w:szCs w:val="29"/>
          <w:rtl/>
        </w:rPr>
        <w:t>ۡ</w:t>
      </w:r>
      <w:r w:rsidR="00252DED" w:rsidRPr="00995B26">
        <w:rPr>
          <w:rFonts w:ascii="KFGQPC Uthmanic Script HAFS" w:cs="KFGQPC Uthmanic Script HAFS" w:hint="eastAsia"/>
          <w:sz w:val="29"/>
          <w:szCs w:val="29"/>
          <w:rtl/>
        </w:rPr>
        <w:t>سِهِ</w:t>
      </w:r>
      <w:r w:rsidR="00252DED" w:rsidRPr="00995B26">
        <w:rPr>
          <w:rFonts w:ascii="KFGQPC Uthmanic Script HAFS" w:cs="KFGQPC Uthmanic Script HAFS" w:hint="cs"/>
          <w:sz w:val="29"/>
          <w:szCs w:val="29"/>
          <w:rtl/>
        </w:rPr>
        <w:t>ۦ</w:t>
      </w:r>
      <w:r w:rsidR="00252DED" w:rsidRPr="00995B26">
        <w:rPr>
          <w:rFonts w:ascii="KFGQPC Uthmanic Script HAFS" w:cs="KFGQPC Uthmanic Script HAFS"/>
          <w:sz w:val="29"/>
          <w:szCs w:val="29"/>
          <w:rtl/>
        </w:rPr>
        <w:t xml:space="preserve"> </w:t>
      </w:r>
      <w:r w:rsidR="00252DED" w:rsidRPr="00995B26">
        <w:rPr>
          <w:rFonts w:ascii="KFGQPC Uthmanic Script HAFS" w:cs="KFGQPC Uthmanic Script HAFS" w:hint="eastAsia"/>
          <w:sz w:val="29"/>
          <w:szCs w:val="29"/>
          <w:rtl/>
        </w:rPr>
        <w:t>خِيفَة</w:t>
      </w:r>
      <w:r w:rsidR="00252DED" w:rsidRPr="00995B26">
        <w:rPr>
          <w:rFonts w:ascii="KFGQPC Uthmanic Script HAFS" w:cs="KFGQPC Uthmanic Script HAFS" w:hint="cs"/>
          <w:sz w:val="29"/>
          <w:szCs w:val="29"/>
          <w:rtl/>
        </w:rPr>
        <w:t>ٗ</w:t>
      </w:r>
      <w:r w:rsidR="00252DED" w:rsidRPr="00995B26">
        <w:rPr>
          <w:rFonts w:ascii="KFGQPC Uthmanic Script HAFS" w:cs="KFGQPC Uthmanic Script HAFS"/>
          <w:sz w:val="29"/>
          <w:szCs w:val="29"/>
          <w:rtl/>
        </w:rPr>
        <w:t xml:space="preserve"> </w:t>
      </w:r>
      <w:r w:rsidR="00252DED" w:rsidRPr="00995B26">
        <w:rPr>
          <w:rFonts w:ascii="KFGQPC Uthmanic Script HAFS" w:cs="KFGQPC Uthmanic Script HAFS" w:hint="eastAsia"/>
          <w:sz w:val="29"/>
          <w:szCs w:val="29"/>
          <w:rtl/>
        </w:rPr>
        <w:t>مُّوسَى</w:t>
      </w:r>
      <w:r w:rsidR="00252DED" w:rsidRPr="00995B26">
        <w:rPr>
          <w:rFonts w:ascii="KFGQPC Uthmanic Script HAFS" w:cs="KFGQPC Uthmanic Script HAFS" w:hint="cs"/>
          <w:sz w:val="29"/>
          <w:szCs w:val="29"/>
          <w:rtl/>
        </w:rPr>
        <w:t>ٰ</w:t>
      </w:r>
      <w:r w:rsidR="00252DED" w:rsidRPr="00995B26">
        <w:rPr>
          <w:rFonts w:ascii="KFGQPC Uthmanic Script HAFS" w:cs="KFGQPC Uthmanic Script HAFS"/>
          <w:sz w:val="29"/>
          <w:szCs w:val="29"/>
          <w:rtl/>
        </w:rPr>
        <w:t xml:space="preserve"> </w:t>
      </w:r>
      <w:r w:rsidR="00252DED" w:rsidRPr="00995B26">
        <w:rPr>
          <w:rFonts w:cs="Traditional Arabic" w:hint="cs"/>
          <w:szCs w:val="30"/>
          <w:rtl/>
          <w:lang w:bidi="ar-SY"/>
        </w:rPr>
        <w:t>﴾</w:t>
      </w:r>
      <w:r w:rsidRPr="00495BAB">
        <w:rPr>
          <w:rFonts w:hint="cs"/>
          <w:rtl/>
          <w:lang w:bidi="ar-SY"/>
        </w:rPr>
        <w:t xml:space="preserve"> </w:t>
      </w:r>
      <w:r w:rsidR="00252DED" w:rsidRPr="009E1401">
        <w:rPr>
          <w:rStyle w:val="Char2"/>
          <w:rFonts w:hint="cs"/>
          <w:rtl/>
        </w:rPr>
        <w:t>[طه: 67]</w:t>
      </w:r>
      <w:r w:rsidR="00252DED" w:rsidRPr="00495BAB">
        <w:rPr>
          <w:rFonts w:hint="cs"/>
          <w:rtl/>
          <w:lang w:bidi="fa-IR"/>
        </w:rPr>
        <w:t xml:space="preserve">. </w:t>
      </w:r>
      <w:r w:rsidRPr="00495BAB">
        <w:rPr>
          <w:rFonts w:hint="cs"/>
          <w:rtl/>
          <w:lang w:bidi="fa-IR"/>
        </w:rPr>
        <w:t xml:space="preserve">إلى أن طمأنه الله بواسطة الوحي بأنك منتصر عليهم كما </w:t>
      </w:r>
      <w:r w:rsidRPr="00495BAB">
        <w:rPr>
          <w:rtl/>
        </w:rPr>
        <w:t xml:space="preserve">قال تعالى في الآية 68: </w:t>
      </w:r>
      <w:r w:rsidR="00252DED" w:rsidRPr="00995B26">
        <w:rPr>
          <w:rFonts w:cs="Traditional Arabic"/>
          <w:szCs w:val="30"/>
          <w:rtl/>
        </w:rPr>
        <w:t>﴿</w:t>
      </w:r>
      <w:r w:rsidR="00252DED" w:rsidRPr="0067048A">
        <w:rPr>
          <w:rFonts w:ascii="KFGQPC Uthmanic Script HAFS" w:cs="KFGQPC Uthmanic Script HAFS"/>
          <w:sz w:val="28"/>
          <w:szCs w:val="28"/>
          <w:rtl/>
        </w:rPr>
        <w:t>قُل</w:t>
      </w:r>
      <w:r w:rsidR="00252DED" w:rsidRPr="0067048A">
        <w:rPr>
          <w:rFonts w:ascii="KFGQPC Uthmanic Script HAFS" w:cs="KFGQPC Uthmanic Script HAFS" w:hint="cs"/>
          <w:sz w:val="28"/>
          <w:szCs w:val="28"/>
          <w:rtl/>
        </w:rPr>
        <w:t>ۡ</w:t>
      </w:r>
      <w:r w:rsidR="00252DED" w:rsidRPr="0067048A">
        <w:rPr>
          <w:rFonts w:ascii="KFGQPC Uthmanic Script HAFS" w:cs="KFGQPC Uthmanic Script HAFS" w:hint="eastAsia"/>
          <w:sz w:val="28"/>
          <w:szCs w:val="28"/>
          <w:rtl/>
        </w:rPr>
        <w:t>نَا</w:t>
      </w:r>
      <w:r w:rsidR="00252DED" w:rsidRPr="0067048A">
        <w:rPr>
          <w:rFonts w:ascii="KFGQPC Uthmanic Script HAFS" w:cs="KFGQPC Uthmanic Script HAFS"/>
          <w:sz w:val="28"/>
          <w:szCs w:val="28"/>
          <w:rtl/>
        </w:rPr>
        <w:t xml:space="preserve"> </w:t>
      </w:r>
      <w:r w:rsidR="00252DED" w:rsidRPr="0067048A">
        <w:rPr>
          <w:rFonts w:ascii="KFGQPC Uthmanic Script HAFS" w:cs="KFGQPC Uthmanic Script HAFS" w:hint="eastAsia"/>
          <w:sz w:val="28"/>
          <w:szCs w:val="28"/>
          <w:rtl/>
        </w:rPr>
        <w:t>لَا</w:t>
      </w:r>
      <w:r w:rsidR="00252DED" w:rsidRPr="0067048A">
        <w:rPr>
          <w:rFonts w:ascii="KFGQPC Uthmanic Script HAFS" w:cs="KFGQPC Uthmanic Script HAFS"/>
          <w:sz w:val="28"/>
          <w:szCs w:val="28"/>
          <w:rtl/>
        </w:rPr>
        <w:t xml:space="preserve"> </w:t>
      </w:r>
      <w:r w:rsidR="00252DED" w:rsidRPr="0067048A">
        <w:rPr>
          <w:rFonts w:ascii="KFGQPC Uthmanic Script HAFS" w:cs="KFGQPC Uthmanic Script HAFS" w:hint="eastAsia"/>
          <w:sz w:val="28"/>
          <w:szCs w:val="28"/>
          <w:rtl/>
        </w:rPr>
        <w:t>تَخَف</w:t>
      </w:r>
      <w:r w:rsidR="00252DED" w:rsidRPr="0067048A">
        <w:rPr>
          <w:rFonts w:ascii="KFGQPC Uthmanic Script HAFS" w:cs="KFGQPC Uthmanic Script HAFS" w:hint="cs"/>
          <w:sz w:val="28"/>
          <w:szCs w:val="28"/>
          <w:rtl/>
        </w:rPr>
        <w:t>ۡ</w:t>
      </w:r>
      <w:r w:rsidR="00252DED" w:rsidRPr="0067048A">
        <w:rPr>
          <w:rFonts w:ascii="KFGQPC Uthmanic Script HAFS" w:cs="KFGQPC Uthmanic Script HAFS"/>
          <w:sz w:val="28"/>
          <w:szCs w:val="28"/>
          <w:rtl/>
        </w:rPr>
        <w:t xml:space="preserve"> </w:t>
      </w:r>
      <w:r w:rsidR="00252DED" w:rsidRPr="0067048A">
        <w:rPr>
          <w:rFonts w:ascii="KFGQPC Uthmanic Script HAFS" w:cs="KFGQPC Uthmanic Script HAFS" w:hint="eastAsia"/>
          <w:sz w:val="28"/>
          <w:szCs w:val="28"/>
          <w:rtl/>
        </w:rPr>
        <w:t>إِنَّكَ</w:t>
      </w:r>
      <w:r w:rsidR="00252DED" w:rsidRPr="0067048A">
        <w:rPr>
          <w:rFonts w:ascii="KFGQPC Uthmanic Script HAFS" w:cs="KFGQPC Uthmanic Script HAFS"/>
          <w:sz w:val="28"/>
          <w:szCs w:val="28"/>
          <w:rtl/>
        </w:rPr>
        <w:t xml:space="preserve"> </w:t>
      </w:r>
      <w:r w:rsidR="00252DED" w:rsidRPr="0067048A">
        <w:rPr>
          <w:rFonts w:ascii="KFGQPC Uthmanic Script HAFS" w:cs="KFGQPC Uthmanic Script HAFS" w:hint="eastAsia"/>
          <w:sz w:val="28"/>
          <w:szCs w:val="28"/>
          <w:rtl/>
        </w:rPr>
        <w:t>أَنتَ</w:t>
      </w:r>
      <w:r w:rsidR="00252DED" w:rsidRPr="0067048A">
        <w:rPr>
          <w:rFonts w:ascii="KFGQPC Uthmanic Script HAFS" w:cs="KFGQPC Uthmanic Script HAFS"/>
          <w:sz w:val="28"/>
          <w:szCs w:val="28"/>
          <w:rtl/>
        </w:rPr>
        <w:t xml:space="preserve"> </w:t>
      </w:r>
      <w:r w:rsidR="00252DED" w:rsidRPr="0067048A">
        <w:rPr>
          <w:rFonts w:ascii="KFGQPC Uthmanic Script HAFS" w:cs="KFGQPC Uthmanic Script HAFS" w:hint="cs"/>
          <w:sz w:val="28"/>
          <w:szCs w:val="28"/>
          <w:rtl/>
        </w:rPr>
        <w:t>ٱ</w:t>
      </w:r>
      <w:r w:rsidR="00252DED" w:rsidRPr="0067048A">
        <w:rPr>
          <w:rFonts w:ascii="KFGQPC Uthmanic Script HAFS" w:cs="KFGQPC Uthmanic Script HAFS" w:hint="eastAsia"/>
          <w:sz w:val="28"/>
          <w:szCs w:val="28"/>
          <w:rtl/>
        </w:rPr>
        <w:t>ل</w:t>
      </w:r>
      <w:r w:rsidR="00252DED" w:rsidRPr="0067048A">
        <w:rPr>
          <w:rFonts w:ascii="KFGQPC Uthmanic Script HAFS" w:cs="KFGQPC Uthmanic Script HAFS" w:hint="cs"/>
          <w:sz w:val="28"/>
          <w:szCs w:val="28"/>
          <w:rtl/>
        </w:rPr>
        <w:t>ۡ</w:t>
      </w:r>
      <w:r w:rsidR="00252DED" w:rsidRPr="0067048A">
        <w:rPr>
          <w:rFonts w:ascii="KFGQPC Uthmanic Script HAFS" w:cs="KFGQPC Uthmanic Script HAFS" w:hint="eastAsia"/>
          <w:sz w:val="28"/>
          <w:szCs w:val="28"/>
          <w:rtl/>
        </w:rPr>
        <w:t>أَع</w:t>
      </w:r>
      <w:r w:rsidR="00252DED" w:rsidRPr="0067048A">
        <w:rPr>
          <w:rFonts w:ascii="KFGQPC Uthmanic Script HAFS" w:cs="KFGQPC Uthmanic Script HAFS" w:hint="cs"/>
          <w:sz w:val="28"/>
          <w:szCs w:val="28"/>
          <w:rtl/>
        </w:rPr>
        <w:t>ۡ</w:t>
      </w:r>
      <w:r w:rsidR="00252DED" w:rsidRPr="0067048A">
        <w:rPr>
          <w:rFonts w:ascii="KFGQPC Uthmanic Script HAFS" w:cs="KFGQPC Uthmanic Script HAFS" w:hint="eastAsia"/>
          <w:sz w:val="28"/>
          <w:szCs w:val="28"/>
          <w:rtl/>
        </w:rPr>
        <w:t>لَى</w:t>
      </w:r>
      <w:r w:rsidR="00252DED" w:rsidRPr="0067048A">
        <w:rPr>
          <w:rFonts w:ascii="KFGQPC Uthmanic Script HAFS" w:cs="KFGQPC Uthmanic Script HAFS" w:hint="cs"/>
          <w:sz w:val="28"/>
          <w:szCs w:val="28"/>
          <w:rtl/>
        </w:rPr>
        <w:t>ٰ</w:t>
      </w:r>
      <w:r w:rsidR="00252DED" w:rsidRPr="0067048A">
        <w:rPr>
          <w:rFonts w:ascii="KFGQPC Uthmanic Script HAFS" w:cs="KFGQPC Uthmanic Script HAFS"/>
          <w:sz w:val="28"/>
          <w:szCs w:val="28"/>
          <w:rtl/>
        </w:rPr>
        <w:t xml:space="preserve"> </w:t>
      </w:r>
      <w:r w:rsidR="00252DED" w:rsidRPr="00995B26">
        <w:rPr>
          <w:rFonts w:cs="Traditional Arabic" w:hint="cs"/>
          <w:szCs w:val="30"/>
          <w:rtl/>
          <w:lang w:bidi="ar-SY"/>
        </w:rPr>
        <w:t>﴾</w:t>
      </w:r>
      <w:r w:rsidR="00252DED" w:rsidRPr="00495BAB">
        <w:rPr>
          <w:rFonts w:hint="cs"/>
          <w:rtl/>
          <w:lang w:bidi="ar-SY"/>
        </w:rPr>
        <w:t xml:space="preserve"> </w:t>
      </w:r>
      <w:r w:rsidR="00252DED" w:rsidRPr="009E1401">
        <w:rPr>
          <w:rStyle w:val="Char2"/>
          <w:rFonts w:hint="cs"/>
          <w:rtl/>
        </w:rPr>
        <w:t>[طه: 68]</w:t>
      </w:r>
      <w:r w:rsidR="00252DED" w:rsidRPr="00495BAB">
        <w:rPr>
          <w:rFonts w:hint="cs"/>
          <w:rtl/>
          <w:lang w:bidi="fa-IR"/>
        </w:rPr>
        <w:t xml:space="preserve">. </w:t>
      </w:r>
      <w:r w:rsidRPr="00495BAB">
        <w:rPr>
          <w:rFonts w:hint="cs"/>
          <w:rtl/>
          <w:lang w:bidi="fa-IR"/>
        </w:rPr>
        <w:t>وهكذا كان شأن الأنبياء جميعاً، فكانوا يرفعون أكفهم في جميع الموارد إلى الله داعين إياه بعجز وتضرع وطالبين منه أمراً من الأمور، وعندئذ كان الله تعالى يلبي دعاءهم إن رأى في ذلك خيراً وصلاحاً وإلا فلا!</w:t>
      </w:r>
    </w:p>
    <w:p w:rsidR="00CD31AA" w:rsidRPr="00495BAB" w:rsidRDefault="00CD31AA" w:rsidP="00495BAB">
      <w:pPr>
        <w:pStyle w:val="a0"/>
        <w:rPr>
          <w:rFonts w:hint="cs"/>
          <w:rtl/>
          <w:lang w:bidi="ar-SY"/>
        </w:rPr>
      </w:pPr>
      <w:r w:rsidRPr="00495BAB">
        <w:rPr>
          <w:rFonts w:hint="cs"/>
          <w:rtl/>
          <w:lang w:bidi="ar-SY"/>
        </w:rPr>
        <w:t>أما بشأن الأولياء فليس هناك أي دليل على صدور المعجزات منهم، إذْ لم تكن هناك حاجة لذلك. لم يكن عليٌّ وأولاده الأطهار يدَّعون شيئًا خاصًّا حتى يثبتونه بمعجزة خاصَّة، ولم يسجل التاريخ عنهم أي ادعاء من هذا القبيل، ولم يحصل في أي يوم أنهم وقفوا أمام الملأ العام وادَّعوا لأنفسهم أي واحد من هذه المقامات التي ينسبها إليهم اليوم الشيعة الغلاة! وكل ما جاء في كتب مثل كتاب «</w:t>
      </w:r>
      <w:r w:rsidRPr="00495BAB">
        <w:rPr>
          <w:rFonts w:hint="cs"/>
          <w:b/>
          <w:bCs/>
          <w:rtl/>
          <w:lang w:bidi="ar-SY"/>
        </w:rPr>
        <w:t>عيون المعجزات</w:t>
      </w:r>
      <w:r w:rsidRPr="00495BAB">
        <w:rPr>
          <w:rFonts w:hint="cs"/>
          <w:rtl/>
          <w:lang w:bidi="ar-SY"/>
        </w:rPr>
        <w:t>» وكتاب «</w:t>
      </w:r>
      <w:r w:rsidRPr="00495BAB">
        <w:rPr>
          <w:rFonts w:hint="cs"/>
          <w:b/>
          <w:bCs/>
          <w:rtl/>
          <w:lang w:bidi="ar-SY"/>
        </w:rPr>
        <w:t>مدينة المعاجز</w:t>
      </w:r>
      <w:r w:rsidRPr="00495BAB">
        <w:rPr>
          <w:rFonts w:hint="cs"/>
          <w:rtl/>
          <w:lang w:bidi="ar-SY"/>
        </w:rPr>
        <w:t>» وأمثالهما، لا يعدو مفتريات عارية عن الصدق والصحة! فإن كان لهم كرامات كاستجابة دعائهم أو حلهم لمسألة من مسائل الدين وأمثال ذلك، فهذا لم يكن منحصرًا بهم.</w:t>
      </w:r>
    </w:p>
    <w:p w:rsidR="00CD31AA" w:rsidRPr="00495BAB" w:rsidRDefault="00CD31AA" w:rsidP="00495BAB">
      <w:pPr>
        <w:pStyle w:val="a0"/>
        <w:rPr>
          <w:rFonts w:hint="cs"/>
          <w:rtl/>
          <w:lang w:bidi="ar-SY"/>
        </w:rPr>
      </w:pPr>
      <w:r w:rsidRPr="00495BAB">
        <w:rPr>
          <w:rFonts w:hint="cs"/>
          <w:rtl/>
          <w:lang w:bidi="ar-SY"/>
        </w:rPr>
        <w:t xml:space="preserve">ولا يدري أحد أي نفع وفائدة في جنون اختلاق المعجزات هذا أو اختراع الولاية التكوينية، وأي دافع لفعل ذلك سوى الاستهزاء بحقائق الدين والاستخفاف بها! </w:t>
      </w:r>
    </w:p>
    <w:p w:rsidR="00CD31AA" w:rsidRPr="00495BAB" w:rsidRDefault="00CD31AA" w:rsidP="00495BAB">
      <w:pPr>
        <w:pStyle w:val="a0"/>
        <w:rPr>
          <w:rFonts w:hint="cs"/>
          <w:rtl/>
          <w:lang w:bidi="ar-SY"/>
        </w:rPr>
      </w:pPr>
      <w:r w:rsidRPr="00495BAB">
        <w:rPr>
          <w:rFonts w:hint="cs"/>
          <w:rtl/>
          <w:lang w:bidi="ar-SY"/>
        </w:rPr>
        <w:t xml:space="preserve">وهل كان عليٌّ يعاني من أي نقص من الفضائل الأخلاقية والكمالات الإنسانية حتى نسعى إلى جبران ذلك النقص من خلال اختراع مثل هذه الفضائل الخارقة له؟! إن عليًّا إمامُ المسلمين، أي هو الإمام الذي ينبغي على المؤمنين أن يقتدوا به ويجعلوه أسوتهم في أقوالهم وأفعالهم ويتبعوه، فقد كان نموذجاً للتربية الإسلامية لجميع الناس، والله تعالى يريد من المسلمين أن يتبعوا الإسلام ما استطاعوا، كما اتبعه عليٌّ، أي أن دين الإسلام قادر على تربية أفراد مثل عليٍّ </w:t>
      </w:r>
      <w:r w:rsidR="003C7AEB" w:rsidRPr="003C7AEB">
        <w:rPr>
          <w:rFonts w:cs="CTraditional Arabic" w:hint="cs"/>
          <w:rtl/>
          <w:lang w:bidi="ar-SY"/>
        </w:rPr>
        <w:t>÷</w:t>
      </w:r>
      <w:r w:rsidRPr="00495BAB">
        <w:rPr>
          <w:rFonts w:hint="cs"/>
          <w:rtl/>
          <w:lang w:bidi="ar-SY"/>
        </w:rPr>
        <w:t xml:space="preserve">. فعلى المسلمين أن يكونوا متبعين حقيقيين وصادقين للقرآن كما كان حضرة الإمام كذلك. </w:t>
      </w:r>
    </w:p>
    <w:p w:rsidR="00CD31AA" w:rsidRPr="00495BAB" w:rsidRDefault="00CD31AA" w:rsidP="00495BAB">
      <w:pPr>
        <w:pStyle w:val="a0"/>
        <w:rPr>
          <w:rtl/>
          <w:lang w:bidi="ar-SY"/>
        </w:rPr>
      </w:pPr>
      <w:r w:rsidRPr="00495BAB">
        <w:rPr>
          <w:rFonts w:hint="cs"/>
          <w:rtl/>
          <w:lang w:bidi="ar-SY"/>
        </w:rPr>
        <w:t>هل معنى الإمام غير ذلك؟ هل يمكن لمن هو متصرف في الكون والمكان ومدبر لأمور السماوات والأرض أن يكون إمامًا متَّبعًا للمسلمين؟ وهل يمكن أن يكون الله تعالى ظالماً إلى هذا الحد -والعياذ بالله- بأن يؤاخذ الناس يوم القيامة قائلاً: لماذا لم تسلكوا مثل عليٍّ إمامِكم؟ عليٌّ ذاك الذي كان صاحب ولاية تكوينية ومتصرِّفًا في الكون والمكان؟ يا إلهي! أي حماقة وجنون هذا؟!</w:t>
      </w:r>
    </w:p>
    <w:p w:rsidR="00CD31AA" w:rsidRPr="00495BAB" w:rsidRDefault="00CD31AA" w:rsidP="00495BAB">
      <w:pPr>
        <w:pStyle w:val="a0"/>
        <w:rPr>
          <w:rFonts w:hint="cs"/>
          <w:rtl/>
          <w:lang w:bidi="ar-SY"/>
        </w:rPr>
      </w:pPr>
      <w:r w:rsidRPr="00612190">
        <w:rPr>
          <w:rFonts w:hint="cs"/>
          <w:b/>
          <w:bCs/>
          <w:rtl/>
          <w:lang w:bidi="ar-SY"/>
        </w:rPr>
        <w:t>في الختام نقول</w:t>
      </w:r>
      <w:r w:rsidRPr="00495BAB">
        <w:rPr>
          <w:rFonts w:hint="cs"/>
          <w:rtl/>
          <w:lang w:bidi="ar-SY"/>
        </w:rPr>
        <w:t>: إن الاعتراض والإشكال الذي وجَّهَه السيد رضا استادي إلى كتاب الخمس لا يستحقّ الاعتناء، وقد أتعب نفسه كل ذلك التعب بلا طائل! فقولنا: إن فقهاء العامّة والخاصّة قالوا: إن المراد من كلمة «الغنيمة» في الآية هو غنيمة دار الحرب، لا يستدعي كل ذلك الغضب الشديد منه إلى حدّ اندفاعه إلى تأليف رسالة مفصَّلة للرد على هذا الكلام! وكان من الأفضل له أن يلاحظ أن بعض علماء الشيعة ادعوا الإجماع والاتفاق على بعض المسائل في حين أن مثل ذلك الإجماع غير موجود بتاتًا. مثلًا ألف أحدهم رسالةً في بيان حرمة صلاة الجمعة في عهد الغيبة وذكر في الصفحة 74 من رسالته أن السيد جواد العاملي أورد ثلاثةً وثلاثين إجماعًا على نفي الوجوب العيني لصلاة الجمعة؛ كما ادعى في الصفحة 244 من رسالته وجود 360 إجماعًا، مع أن مثل ذلك غير موجود يقينًا. أما ادعاؤنا بأن فقهاء الإسلام متفقون بأن المراد من كلمة «الغنيمة» في الآية الكريمة، غنيمة دار الحرب، فهو ادعاء صحيح واضح لا مخالف له، وما أراد بعضهم إلصاقه بالآية إنما تم باستخدام عبارات من قبيل (ويمكن الاستدلال.... ونحن نتعدَّى منه....) مما هو باطلٌ وجدانًا وعقلًا وإنصافًا، وهو التعدي ذاته الذي يدَّعيه المُدَّعون.</w:t>
      </w:r>
    </w:p>
    <w:p w:rsidR="00CD31AA" w:rsidRPr="00495BAB" w:rsidRDefault="00CD31AA" w:rsidP="00495BAB">
      <w:pPr>
        <w:pStyle w:val="a0"/>
        <w:rPr>
          <w:rFonts w:hint="cs"/>
          <w:rtl/>
          <w:lang w:bidi="ar-SY"/>
        </w:rPr>
      </w:pPr>
      <w:r w:rsidRPr="00495BAB">
        <w:rPr>
          <w:rFonts w:hint="cs"/>
          <w:rtl/>
          <w:lang w:bidi="ar-SY"/>
        </w:rPr>
        <w:t>أما اتهامه لنا بأننا سبّابون شتَّامون لأننا اعترضنا على كلام بعض الفقهاء، مع أننا لم نخرج عن حدود أدب الحوار والنقد العلمي، فكان الأجدر به أن يرجع إلى كتب فقهاء الشيعة أنفسهم الذي يعتبرون مخالفيهم من علماء الشيعة من أهل العناد بل من الشياطين!! مثل ابن جنيد الإسكافي الذي ألَّفَ كتابًا عنوانه: «</w:t>
      </w:r>
      <w:r w:rsidRPr="00495BAB">
        <w:rPr>
          <w:rFonts w:hint="cs"/>
          <w:b/>
          <w:bCs/>
          <w:rtl/>
          <w:lang w:bidi="ar-SY"/>
        </w:rPr>
        <w:t>إظهار ما ستره أهل العناد من الرواية عن أئمة العترة في أمر الجهاد</w:t>
      </w:r>
      <w:r w:rsidRPr="00495BAB">
        <w:rPr>
          <w:rFonts w:hint="cs"/>
          <w:rtl/>
          <w:lang w:bidi="ar-SY"/>
        </w:rPr>
        <w:t>» اعتبر فيه بعض علماء الشيعة من أهل العناد، واتَّهمهم أنهم كتموا روايات أئمة أهل البيت الدالة على وجوب الجهاد وأخفوها عن الناس! ومثل المرحوم الملا الفيض الكاشاني الذي اعتبر معارضي الوجوب العيني لصلاة الجمعة في زمن الغيبة شياطينَ، وألَّفَ في هذا الباب كتابًا عَنْوَنه بـ «</w:t>
      </w:r>
      <w:r w:rsidRPr="00495BAB">
        <w:rPr>
          <w:rFonts w:hint="cs"/>
          <w:b/>
          <w:bCs/>
          <w:rtl/>
          <w:lang w:bidi="ar-SY"/>
        </w:rPr>
        <w:t>الشهاب الثاقب رجومًا للشياطين</w:t>
      </w:r>
      <w:r w:rsidRPr="00495BAB">
        <w:rPr>
          <w:rFonts w:hint="cs"/>
          <w:rtl/>
          <w:lang w:bidi="ar-SY"/>
        </w:rPr>
        <w:t xml:space="preserve">». ومئات من أمثال ذلك مما نحن في غنى عن تفصيله. </w:t>
      </w:r>
    </w:p>
    <w:p w:rsidR="00CD31AA" w:rsidRPr="00495BAB" w:rsidRDefault="00CD31AA" w:rsidP="00495BAB">
      <w:pPr>
        <w:pStyle w:val="a0"/>
        <w:rPr>
          <w:rFonts w:hint="cs"/>
          <w:rtl/>
          <w:lang w:bidi="ar-SY"/>
        </w:rPr>
      </w:pPr>
      <w:r w:rsidRPr="00495BAB">
        <w:rPr>
          <w:rFonts w:hint="cs"/>
          <w:rtl/>
          <w:lang w:bidi="ar-SY"/>
        </w:rPr>
        <w:t>نعم، قد أكون وقعت في بعض الأخطاء كذكري للمرحوم الشيخ يوسف البحراني في عداد علماء الشيعة القائلين بأن المراد من اليتامى والمساكين وابن السبيل في آية</w:t>
      </w:r>
      <w:r w:rsidR="00252DED" w:rsidRPr="00495BAB">
        <w:rPr>
          <w:rFonts w:hint="cs"/>
          <w:rtl/>
          <w:lang w:bidi="ar-SY"/>
        </w:rPr>
        <w:t xml:space="preserve"> </w:t>
      </w:r>
      <w:r w:rsidR="00252DED" w:rsidRPr="00995B26">
        <w:rPr>
          <w:rFonts w:cs="Traditional Arabic" w:hint="cs"/>
          <w:szCs w:val="30"/>
          <w:rtl/>
          <w:lang w:bidi="ar-SY"/>
        </w:rPr>
        <w:t>﴿</w:t>
      </w:r>
      <w:r w:rsidR="00252DED" w:rsidRPr="0067048A">
        <w:rPr>
          <w:rFonts w:ascii="KFGQPC Uthmanic Script HAFS" w:cs="KFGQPC Uthmanic Script HAFS" w:hint="eastAsia"/>
          <w:sz w:val="28"/>
          <w:szCs w:val="28"/>
          <w:rtl/>
        </w:rPr>
        <w:t>وَ</w:t>
      </w:r>
      <w:r w:rsidR="00252DED" w:rsidRPr="0067048A">
        <w:rPr>
          <w:rFonts w:ascii="KFGQPC Uthmanic Script HAFS" w:cs="KFGQPC Uthmanic Script HAFS" w:hint="cs"/>
          <w:sz w:val="28"/>
          <w:szCs w:val="28"/>
          <w:rtl/>
        </w:rPr>
        <w:t>ٱ</w:t>
      </w:r>
      <w:r w:rsidR="00252DED" w:rsidRPr="0067048A">
        <w:rPr>
          <w:rFonts w:ascii="KFGQPC Uthmanic Script HAFS" w:cs="KFGQPC Uthmanic Script HAFS" w:hint="eastAsia"/>
          <w:sz w:val="28"/>
          <w:szCs w:val="28"/>
          <w:rtl/>
        </w:rPr>
        <w:t>ع</w:t>
      </w:r>
      <w:r w:rsidR="00252DED" w:rsidRPr="0067048A">
        <w:rPr>
          <w:rFonts w:ascii="KFGQPC Uthmanic Script HAFS" w:cs="KFGQPC Uthmanic Script HAFS" w:hint="cs"/>
          <w:sz w:val="28"/>
          <w:szCs w:val="28"/>
          <w:rtl/>
        </w:rPr>
        <w:t>ۡ</w:t>
      </w:r>
      <w:r w:rsidR="00252DED" w:rsidRPr="0067048A">
        <w:rPr>
          <w:rFonts w:ascii="KFGQPC Uthmanic Script HAFS" w:cs="KFGQPC Uthmanic Script HAFS" w:hint="eastAsia"/>
          <w:sz w:val="28"/>
          <w:szCs w:val="28"/>
          <w:rtl/>
        </w:rPr>
        <w:t>لَمُو</w:t>
      </w:r>
      <w:r w:rsidR="00252DED" w:rsidRPr="0067048A">
        <w:rPr>
          <w:rFonts w:ascii="KFGQPC Uthmanic Script HAFS" w:cs="KFGQPC Uthmanic Script HAFS" w:hint="cs"/>
          <w:sz w:val="28"/>
          <w:szCs w:val="28"/>
          <w:rtl/>
        </w:rPr>
        <w:t>ٓ</w:t>
      </w:r>
      <w:r w:rsidR="00252DED" w:rsidRPr="0067048A">
        <w:rPr>
          <w:rFonts w:ascii="KFGQPC Uthmanic Script HAFS" w:cs="KFGQPC Uthmanic Script HAFS" w:hint="eastAsia"/>
          <w:sz w:val="28"/>
          <w:szCs w:val="28"/>
          <w:rtl/>
        </w:rPr>
        <w:t>اْ</w:t>
      </w:r>
      <w:r w:rsidR="00252DED" w:rsidRPr="0067048A">
        <w:rPr>
          <w:rFonts w:ascii="KFGQPC Uthmanic Script HAFS" w:cs="KFGQPC Uthmanic Script HAFS"/>
          <w:sz w:val="28"/>
          <w:szCs w:val="28"/>
          <w:rtl/>
        </w:rPr>
        <w:t xml:space="preserve"> </w:t>
      </w:r>
      <w:r w:rsidR="00252DED" w:rsidRPr="0067048A">
        <w:rPr>
          <w:rFonts w:ascii="KFGQPC Uthmanic Script HAFS" w:cs="KFGQPC Uthmanic Script HAFS" w:hint="eastAsia"/>
          <w:sz w:val="28"/>
          <w:szCs w:val="28"/>
          <w:rtl/>
        </w:rPr>
        <w:t>أَنَّمَا</w:t>
      </w:r>
      <w:r w:rsidR="00252DED" w:rsidRPr="0067048A">
        <w:rPr>
          <w:rFonts w:ascii="KFGQPC Uthmanic Script HAFS" w:cs="KFGQPC Uthmanic Script HAFS"/>
          <w:sz w:val="28"/>
          <w:szCs w:val="28"/>
          <w:rtl/>
        </w:rPr>
        <w:t xml:space="preserve"> </w:t>
      </w:r>
      <w:r w:rsidR="00252DED" w:rsidRPr="0067048A">
        <w:rPr>
          <w:rFonts w:ascii="KFGQPC Uthmanic Script HAFS" w:cs="KFGQPC Uthmanic Script HAFS" w:hint="eastAsia"/>
          <w:sz w:val="28"/>
          <w:szCs w:val="28"/>
          <w:rtl/>
        </w:rPr>
        <w:t>غَنِم</w:t>
      </w:r>
      <w:r w:rsidR="00252DED" w:rsidRPr="0067048A">
        <w:rPr>
          <w:rFonts w:ascii="KFGQPC Uthmanic Script HAFS" w:cs="KFGQPC Uthmanic Script HAFS" w:hint="cs"/>
          <w:sz w:val="28"/>
          <w:szCs w:val="28"/>
          <w:rtl/>
        </w:rPr>
        <w:t>ۡ</w:t>
      </w:r>
      <w:r w:rsidR="00252DED" w:rsidRPr="0067048A">
        <w:rPr>
          <w:rFonts w:ascii="KFGQPC Uthmanic Script HAFS" w:cs="KFGQPC Uthmanic Script HAFS" w:hint="eastAsia"/>
          <w:sz w:val="28"/>
          <w:szCs w:val="28"/>
          <w:rtl/>
        </w:rPr>
        <w:t>تُم</w:t>
      </w:r>
      <w:r w:rsidR="00252DED" w:rsidRPr="00995B26">
        <w:rPr>
          <w:rFonts w:cs="Traditional Arabic" w:hint="cs"/>
          <w:szCs w:val="30"/>
          <w:rtl/>
          <w:lang w:bidi="ar-SY"/>
        </w:rPr>
        <w:t>﴾</w:t>
      </w:r>
      <w:r w:rsidRPr="00495BAB">
        <w:rPr>
          <w:rFonts w:hint="cs"/>
          <w:rtl/>
          <w:lang w:bidi="ar-SY"/>
        </w:rPr>
        <w:t xml:space="preserve"> هم يتامى ومساكين وأبناء السبيل من عامة المسلمين، وهذا خطأ لأن عقيدة المرحوم الشيخ البحراني لم تكن كذلك، ونشكر الشخص المجهول الذي نبهنا إلى هذا الخطأ من خلال مذكرة تحريرية من غير بيان اسم صاحبها. لكننا - كما ذكرنا - لا نأبه بالمعارضين المعاندين الذين يهاجموننا دون دليل ولا منطق بل انطلاقًا من عصبيات جاهلة، ومن تقليد أعمى للأفراد، وكما قلنا في بداية كتابنا نحن صامدون ثابتون حتى آخر رمق من حياتنا، في طريق حفظ حقائق الدين وأحكام القرآن الأبدية والدفاع عنها، مهما تعرضنا في هذا السبيل إلى اللوم والاتهام وتحملنا الخسائر الدنيوية، آملين بمضاعفة أجرنا مئات الأضعاف عند الله سبحانه بمنِّه وكرمه. لأن الدين أعز شيء عند المسلم ويرخص في سبيله بذل كل غالٍ ونفيس، ونحن نعتبر أن ديننا العزيز أصيب بالذل بل قتلته هذه البدع والإضافات الطفولية والجاهلة التي ألصقوها به. </w:t>
      </w:r>
    </w:p>
    <w:p w:rsidR="00CD31AA" w:rsidRDefault="00CD31AA" w:rsidP="00495BAB">
      <w:pPr>
        <w:pStyle w:val="a0"/>
        <w:rPr>
          <w:rFonts w:hint="cs"/>
          <w:rtl/>
          <w:lang w:bidi="ar-SY"/>
        </w:rPr>
      </w:pPr>
      <w:r w:rsidRPr="00495BAB">
        <w:rPr>
          <w:rFonts w:hint="cs"/>
          <w:rtl/>
          <w:lang w:bidi="ar-SY"/>
        </w:rPr>
        <w:t>إننا عندما قررنا تأليف مثل هذه الكتب كنا مطلعين تمامًا على وخامة الأوضاع وأعددنا أنفسنا لتحمل كل أنواع الاعتراضات والهجمات علينا، وبما أننا نعرف جيدًا منطق معارضينا الضعيف والواهي فإننا على يقين تام بأنهم إذا أقدموا على الكتابة فلن يكونوا فرسان هذا الميدان بذلك المنطق الواهي والضعيف، وكل ما يمكنهم فعله هو تحريض عوام الناس في الأزقة والأسواق ضدنا من خلال إثارة غبار المعركة وعمليات الكر والفر، كي يقوم العوام بأعمال قبيحة ضدَّنا! هذا أقصى ما يمكنهم فعله، ونحن لا نخشى وقوع مثل هذه الأمور لأننا متوكلون على الله وننتظر لقاءه يوم الدين.</w:t>
      </w:r>
    </w:p>
    <w:p w:rsidR="00612190" w:rsidRPr="00495BAB" w:rsidRDefault="00612190" w:rsidP="00495BAB">
      <w:pPr>
        <w:pStyle w:val="a0"/>
        <w:rPr>
          <w:rFonts w:hint="cs"/>
          <w:rtl/>
          <w:lang w:bidi="ar-SY"/>
        </w:rPr>
      </w:pPr>
    </w:p>
    <w:p w:rsidR="00CD31AA" w:rsidRPr="00495BAB" w:rsidRDefault="00CD31AA" w:rsidP="00612190">
      <w:pPr>
        <w:pStyle w:val="a0"/>
        <w:ind w:firstLine="0"/>
        <w:jc w:val="center"/>
        <w:rPr>
          <w:rFonts w:hint="cs"/>
          <w:rtl/>
          <w:lang w:bidi="ar-SY"/>
        </w:rPr>
      </w:pPr>
      <w:r w:rsidRPr="00495BAB">
        <w:rPr>
          <w:rFonts w:hint="cs"/>
          <w:rtl/>
          <w:lang w:bidi="ar-SY"/>
        </w:rPr>
        <w:t>وما توفيقي إلا بالله عليه توكلت وإليه أنيب.</w:t>
      </w:r>
    </w:p>
    <w:p w:rsidR="00CD31AA" w:rsidRPr="00495BAB" w:rsidRDefault="00CD31AA" w:rsidP="00612190">
      <w:pPr>
        <w:pStyle w:val="a0"/>
        <w:ind w:firstLine="0"/>
        <w:jc w:val="center"/>
        <w:rPr>
          <w:rFonts w:hint="cs"/>
          <w:rtl/>
          <w:lang w:bidi="ar-SY"/>
        </w:rPr>
      </w:pPr>
      <w:r w:rsidRPr="00495BAB">
        <w:rPr>
          <w:rFonts w:hint="cs"/>
          <w:rtl/>
          <w:lang w:bidi="ar-SY"/>
        </w:rPr>
        <w:t>ذي الحجة الحرام، 1396 هـ.ق.</w:t>
      </w:r>
    </w:p>
    <w:p w:rsidR="00CD31AA" w:rsidRPr="00495BAB" w:rsidRDefault="00CD31AA" w:rsidP="00495BAB">
      <w:pPr>
        <w:pStyle w:val="a0"/>
        <w:rPr>
          <w:rtl/>
          <w:lang w:bidi="ar-SY"/>
        </w:rPr>
        <w:sectPr w:rsidR="00CD31AA" w:rsidRPr="00495BAB" w:rsidSect="00010AE3">
          <w:headerReference w:type="default" r:id="rId33"/>
          <w:footnotePr>
            <w:numRestart w:val="eachPage"/>
          </w:footnotePr>
          <w:type w:val="oddPage"/>
          <w:pgSz w:w="9356" w:h="13608" w:code="34"/>
          <w:pgMar w:top="964" w:right="1134" w:bottom="1134" w:left="964" w:header="0" w:footer="851" w:gutter="0"/>
          <w:cols w:space="708"/>
          <w:titlePg/>
          <w:bidi/>
          <w:rtlGutter/>
          <w:docGrid w:linePitch="360"/>
        </w:sectPr>
      </w:pPr>
    </w:p>
    <w:p w:rsidR="00F261D4" w:rsidRPr="00995B26" w:rsidRDefault="00F261D4" w:rsidP="007D2B8A">
      <w:pPr>
        <w:pStyle w:val="a5"/>
        <w:rPr>
          <w:rFonts w:hint="cs"/>
          <w:rtl/>
        </w:rPr>
      </w:pPr>
      <w:bookmarkStart w:id="196" w:name="_Toc387843123"/>
      <w:r w:rsidRPr="00995B26">
        <w:rPr>
          <w:rFonts w:hint="cs"/>
          <w:rtl/>
        </w:rPr>
        <w:t>2- الإجابة عن الرد الذي كتبه الشيخ ناصر مكارم الشيرازي وأعوانه</w:t>
      </w:r>
      <w:bookmarkEnd w:id="196"/>
      <w:r w:rsidRPr="00995B26">
        <w:rPr>
          <w:rFonts w:hint="cs"/>
          <w:rtl/>
        </w:rPr>
        <w:t xml:space="preserve"> </w:t>
      </w:r>
    </w:p>
    <w:p w:rsidR="00CD31AA" w:rsidRPr="00995B26" w:rsidRDefault="00F261D4" w:rsidP="00F261D4">
      <w:pPr>
        <w:rPr>
          <w:rFonts w:cs="KFGQPC Uthman Taha Naskh" w:hint="cs"/>
          <w:rtl/>
        </w:rPr>
      </w:pPr>
      <w:r w:rsidRPr="00995B26">
        <w:rPr>
          <w:rFonts w:cs="KFGQPC Uthman Taha Naskh" w:hint="cs"/>
          <w:rtl/>
        </w:rPr>
        <w:t xml:space="preserve">[أو </w:t>
      </w:r>
      <w:r w:rsidR="00CD31AA" w:rsidRPr="00995B26">
        <w:rPr>
          <w:rFonts w:cs="KFGQPC Uthman Taha Naskh" w:hint="cs"/>
          <w:rtl/>
        </w:rPr>
        <w:t>ردٌّ مجمل على كتاب «الخمس دعامة لاستقلال بيت المال»</w:t>
      </w:r>
      <w:r w:rsidRPr="00995B26">
        <w:rPr>
          <w:rFonts w:cs="KFGQPC Uthman Taha Naskh" w:hint="cs"/>
          <w:rtl/>
        </w:rPr>
        <w:t>]</w:t>
      </w:r>
      <w:r w:rsidR="00CD31AA" w:rsidRPr="00995B26">
        <w:rPr>
          <w:rFonts w:cs="KFGQPC Uthman Taha Naskh" w:hint="cs"/>
          <w:rtl/>
        </w:rPr>
        <w:t xml:space="preserve"> </w:t>
      </w:r>
    </w:p>
    <w:p w:rsidR="00F261D4" w:rsidRPr="00495BAB" w:rsidRDefault="00F261D4" w:rsidP="00495BAB">
      <w:pPr>
        <w:pStyle w:val="a0"/>
        <w:rPr>
          <w:rFonts w:hint="cs"/>
          <w:rtl/>
          <w:lang w:bidi="fa-IR"/>
        </w:rPr>
      </w:pPr>
    </w:p>
    <w:p w:rsidR="00CD31AA" w:rsidRPr="00495BAB" w:rsidRDefault="00CD31AA" w:rsidP="00612190">
      <w:pPr>
        <w:pStyle w:val="a0"/>
        <w:ind w:firstLine="0"/>
        <w:jc w:val="center"/>
        <w:rPr>
          <w:rFonts w:hint="cs"/>
          <w:rtl/>
          <w:lang w:bidi="ar-SY"/>
        </w:rPr>
      </w:pPr>
      <w:r w:rsidRPr="00495BAB">
        <w:rPr>
          <w:rFonts w:hint="cs"/>
          <w:rtl/>
          <w:lang w:bidi="ar-SY"/>
        </w:rPr>
        <w:t>باسمه العزيز الحكيم</w:t>
      </w:r>
    </w:p>
    <w:p w:rsidR="00CD31AA" w:rsidRPr="00995B26" w:rsidRDefault="00CD31AA" w:rsidP="003C671C">
      <w:pPr>
        <w:pStyle w:val="a6"/>
        <w:rPr>
          <w:rFonts w:hint="cs"/>
          <w:rtl/>
          <w:lang w:bidi="ar-SY"/>
        </w:rPr>
      </w:pPr>
      <w:bookmarkStart w:id="197" w:name="_Toc387843124"/>
      <w:r w:rsidRPr="00995B26">
        <w:rPr>
          <w:rFonts w:hint="cs"/>
          <w:rtl/>
          <w:lang w:bidi="ar-SY"/>
        </w:rPr>
        <w:t>مقدِّمة</w:t>
      </w:r>
      <w:bookmarkEnd w:id="197"/>
    </w:p>
    <w:p w:rsidR="00CD31AA" w:rsidRPr="00495BAB" w:rsidRDefault="00CD31AA" w:rsidP="00495BAB">
      <w:pPr>
        <w:pStyle w:val="a0"/>
        <w:rPr>
          <w:rFonts w:hint="cs"/>
          <w:rtl/>
          <w:lang w:bidi="ar-SY"/>
        </w:rPr>
      </w:pPr>
      <w:r w:rsidRPr="00495BAB">
        <w:rPr>
          <w:rFonts w:hint="cs"/>
          <w:rtl/>
          <w:lang w:bidi="ar-SY"/>
        </w:rPr>
        <w:t>من عادتي أنني عندما أجد موضوعات مهمة ومسائل عجيبة خلال مطالعاتي للكتب والرسائل في أوقات الفراغ، أقوم بتدوين الآيات والأحاديث المتعلقة بها في دفتر صغير خاص بالمذكرات والملاحظات، فإن رجحت كفة عقلي و وجداني بشأن موضوع من الموضوعات المهمَّة وثبتت لي صحته بالدليل القاطع والبرهان الساطع، قمت بتأليف كتاب أو رسالة فيه، ووضعت مؤلَّفي هذا جانبًا بانتظار أن تتوفر لي الإمكانيات المادية لطباعته ونشره، أو قمت باستنساخ عدد من النسخ المصورة لهذا الكتاب أو الرسالة كي أضعها تحت تصرف من يرغب بالاطلاع على الموضوع، ليقرؤوه ويُبدوا رأيهم فيه، فإن وجدوا ما قُلْتُه حقًّا اتَّبعوه وقاموا بطباعته ونشره. ولمَّا كنت يائسًا -نظرًا إلى أوضاعي المادية حينذاك- من توفر الإمكانيات المالية التي تمكنني من طباعة  الكتب بنفسي، كنت أقوم حين كتابتها باستخدام ورق الكربون لإيجاد ثلاث أو أربع نسخ من هذا المخطوط منذ بداية كتابته، كي أقدمه لمن يرغب بمطالعته، وربما تم انتقال نسخة من هذه النسخ من يد إلى يد حتى تضيع ولا يُعلم مصيرها ولا تعود إليَّ بل أفقِدُها تمامًا. وهذا ما حل تحديدًا بنسخ كتابي ذي الجزأين «</w:t>
      </w:r>
      <w:r w:rsidRPr="00495BAB">
        <w:rPr>
          <w:rFonts w:hint="cs"/>
          <w:b/>
          <w:bCs/>
          <w:rtl/>
          <w:lang w:bidi="ar-SY"/>
        </w:rPr>
        <w:t>الزكاة والخمس</w:t>
      </w:r>
      <w:r w:rsidRPr="00495BAB">
        <w:rPr>
          <w:rFonts w:hint="cs"/>
          <w:rtl/>
          <w:lang w:bidi="ar-SY"/>
        </w:rPr>
        <w:t xml:space="preserve">» إذْ فُقِدَت نسخ الكتاب الأصلية التي دونتها بيدي، ولم أعد أدري أين هي؟ وبيد من استقرَّت؟! في حين تم استنساخ عدد من النسخ من كلٍ من الكتابين وطباعته بشكلٍ من الأشكال. </w:t>
      </w:r>
    </w:p>
    <w:p w:rsidR="00CD31AA" w:rsidRPr="00495BAB" w:rsidRDefault="00CD31AA" w:rsidP="00495BAB">
      <w:pPr>
        <w:pStyle w:val="a0"/>
        <w:rPr>
          <w:rFonts w:hint="cs"/>
          <w:rtl/>
          <w:lang w:bidi="ar-SY"/>
        </w:rPr>
      </w:pPr>
      <w:r w:rsidRPr="00495BAB">
        <w:rPr>
          <w:rFonts w:hint="cs"/>
          <w:rtl/>
          <w:lang w:bidi="ar-SY"/>
        </w:rPr>
        <w:t>لم يكن لي أيُّ يَدٍ في طباعة كتابي «</w:t>
      </w:r>
      <w:r w:rsidRPr="00495BAB">
        <w:rPr>
          <w:rFonts w:hint="cs"/>
          <w:b/>
          <w:bCs/>
          <w:rtl/>
          <w:lang w:bidi="ar-SY"/>
        </w:rPr>
        <w:t>الخُمْس</w:t>
      </w:r>
      <w:r w:rsidRPr="00495BAB">
        <w:rPr>
          <w:rFonts w:hint="cs"/>
          <w:rtl/>
          <w:lang w:bidi="ar-SY"/>
        </w:rPr>
        <w:t>» وتكثيره؛ لأنني كنت أعلم جيدًا أن مسألة الخمس مسألة حساسة جدًّا واقتصادية في مجتمعنا المذهبي الشيعي اليوم، وأن البحث والتحقيق حوله سيؤدي إلى هزّ أسس معيشة عدد لا</w:t>
      </w:r>
      <w:r w:rsidRPr="00495BAB">
        <w:rPr>
          <w:rFonts w:cs="Times New Roman" w:hint="cs"/>
          <w:rtl/>
          <w:lang w:bidi="ar-SY"/>
        </w:rPr>
        <w:t> </w:t>
      </w:r>
      <w:r w:rsidRPr="00495BAB">
        <w:rPr>
          <w:rFonts w:hint="cs"/>
          <w:rtl/>
          <w:lang w:bidi="ar-SY"/>
        </w:rPr>
        <w:t>يُحصَى من رجال الدين وآكلي الخمس المعتاشين عليه، وبالطبع لن تكون إثارتهم ضدي والاصطدام بهم أمرًا سهلًا! لكن ماذا نفعل إن كانت المشيئة والقدر الإلـهي قد حكما بوصول كتاب الخمس إلى يد بعض الطلاب الباحثين عن الحقيقة من مريدي أحد المشايخ وعلماء الدين المعروفين من آكلي الخمس، فاستندوا إلى ما في كتابي واستخدموه سلاحًا في مناقشاتهم ومجادلاتهم لشيخهم ومُرادهم حول هذا الموضوع، وكان نتيجة ذلك أن كثرت النسخ المصورة عن هذا الكتاب لتستقر بأيدي معارضي عالم الدين ذاك، وآخرين.</w:t>
      </w:r>
    </w:p>
    <w:p w:rsidR="00CD31AA" w:rsidRPr="00495BAB" w:rsidRDefault="00CD31AA" w:rsidP="00495BAB">
      <w:pPr>
        <w:pStyle w:val="a0"/>
        <w:rPr>
          <w:rFonts w:hint="cs"/>
          <w:rtl/>
          <w:lang w:bidi="ar-SY"/>
        </w:rPr>
      </w:pPr>
      <w:r w:rsidRPr="00495BAB">
        <w:rPr>
          <w:rFonts w:hint="cs"/>
          <w:rtl/>
          <w:lang w:bidi="ar-SY"/>
        </w:rPr>
        <w:t>لقد مضت أكثر من أربع سنوات على فقداني للنسخة الأصلية من هذا الكتاب وربما تم تكثيره من خلال التصوير والاستنساخ أربع مرات أو أقل، وكُتِبَتْ وطُبِعَتْ خلال تلك المدة - إلى الحد الذي اطلعت عليه - أربع رسائل صغيرة في الرد عليه، مما اضطرني مُكْرهًا إلى الإجابة عن الردود الأربعة تلك جميعًا بعون الله وتوفيقه، وتم تكثير بعض تلك الإجابات أيضًا، ولكنْ لم يكن العثور على إجاباتي وردودي سهلًا لطالبيها، لأن قوة المعارضين ونفوذهم المادي والمعنوي كانا يحولان دون ذلك، ويشكلان عائقًا كبيرًا في هذا المجال. لأن أصحاب النفوذ أولئك، إضافة لاستخدامهم سلاحَ الشارع والعوام المتعصبين ضدِّي، كان لهم نفوذ أيضًا لدى بعض رجال الأمن في جهاز السافاك</w:t>
      </w:r>
      <w:r w:rsidR="000C68EA" w:rsidRPr="000C68EA">
        <w:rPr>
          <w:rStyle w:val="FootnoteReference"/>
          <w:rFonts w:cs="Arabic11 BT"/>
          <w:rtl/>
          <w:lang w:bidi="ar-SY"/>
        </w:rPr>
        <w:t>(</w:t>
      </w:r>
      <w:r w:rsidR="000C68EA" w:rsidRPr="000C68EA">
        <w:rPr>
          <w:rStyle w:val="FootnoteReference"/>
          <w:rFonts w:cs="Arabic11 BT"/>
          <w:rtl/>
          <w:lang w:bidi="ar-SY"/>
        </w:rPr>
        <w:footnoteReference w:id="485"/>
      </w:r>
      <w:r w:rsidR="000C68EA" w:rsidRPr="000C68EA">
        <w:rPr>
          <w:rStyle w:val="FootnoteReference"/>
          <w:rFonts w:cs="Arabic11 BT"/>
          <w:rtl/>
          <w:lang w:bidi="ar-SY"/>
        </w:rPr>
        <w:t>)</w:t>
      </w:r>
      <w:r w:rsidRPr="00495BAB">
        <w:rPr>
          <w:rFonts w:hint="cs"/>
          <w:rtl/>
          <w:lang w:bidi="ar-SY"/>
        </w:rPr>
        <w:t xml:space="preserve"> المتسلِّط والقوي، فاستفادوا من نفوذهم هذا واستخدموه ضدِّي! وأرادوا إثبات كلامهم الخاطئ بقوة السلطة لا بقوة البرهان والمنطق الصحيح!</w:t>
      </w:r>
    </w:p>
    <w:p w:rsidR="00CD31AA" w:rsidRPr="00495BAB" w:rsidRDefault="00CD31AA" w:rsidP="00495BAB">
      <w:pPr>
        <w:pStyle w:val="a0"/>
        <w:rPr>
          <w:rFonts w:hint="cs"/>
          <w:rtl/>
          <w:lang w:bidi="ar-SY"/>
        </w:rPr>
      </w:pPr>
      <w:r w:rsidRPr="00495BAB">
        <w:rPr>
          <w:rFonts w:hint="cs"/>
          <w:rtl/>
          <w:lang w:bidi="ar-SY"/>
        </w:rPr>
        <w:t>إن موضوع الخمس ليس من الحقائق الشرعية ولا من رؤوس أحكام الإسلام، بل هو اسم لِـ«</w:t>
      </w:r>
      <w:r w:rsidRPr="00495BAB">
        <w:rPr>
          <w:rFonts w:hint="cs"/>
          <w:b/>
          <w:bCs/>
          <w:rtl/>
          <w:lang w:bidi="ar-SY"/>
        </w:rPr>
        <w:t>خمس الغنائم</w:t>
      </w:r>
      <w:r w:rsidRPr="00495BAB">
        <w:rPr>
          <w:rFonts w:hint="cs"/>
          <w:rtl/>
          <w:lang w:bidi="ar-SY"/>
        </w:rPr>
        <w:t>» التي يغنمها المسلمون من الكفار من خلال الجهاد، ويضعه حاكم المسلمين وزعيمهم جانبًا عند تقسيمه للغنائم ليقوم بعد ذلك بتوزيع هذا الخمس على الأصناف المذكورين في الآية الكريمة 41 من سورة الأنفال، وكل الأحاديث التي وردت من طريق الفرق الإسلامية في هذا الباب إنما تتحدث عن هذا الموضوع فحسب.</w:t>
      </w:r>
    </w:p>
    <w:p w:rsidR="00CD31AA" w:rsidRPr="00495BAB" w:rsidRDefault="00CD31AA" w:rsidP="00495BAB">
      <w:pPr>
        <w:pStyle w:val="a0"/>
        <w:rPr>
          <w:rFonts w:hint="cs"/>
          <w:rtl/>
          <w:lang w:bidi="ar-SY"/>
        </w:rPr>
      </w:pPr>
      <w:r w:rsidRPr="00495BAB">
        <w:rPr>
          <w:rFonts w:hint="cs"/>
          <w:rtl/>
          <w:lang w:bidi="ar-SY"/>
        </w:rPr>
        <w:t>ولكن استناداً إلى بضعة أحاديث ضعيفة منها فإن آكلي الخمس في زماننا يتحدثون عن الخمس ويدافعون عنه على نحو يشعرك وكأن الخمس حقيقة شرعية أقوى من أي حقيقة شرعية أخرى وأكثر تطبيقًا من أي حكم محكم آخر من أحكام الإسلام! وكأن الخمس إرثًا ورثوه عن أبيهم فقسموه بين طائفتين كبيرتين من أبنائه الأقوياء الآكلين للميراث؛ بناءً على ذلك، أصبح إنكار الخمس أسوأ من إنكار أحكام الإسلام المهمة جميعها كالصلاة والصوم والحج والجهاد بل أشد من إنكار التوحيد والنبوة والمعاد وغير قابل للغفران على نحو أشد!!</w:t>
      </w:r>
    </w:p>
    <w:p w:rsidR="00CD31AA" w:rsidRPr="00495BAB" w:rsidRDefault="00CD31AA" w:rsidP="00495BAB">
      <w:pPr>
        <w:pStyle w:val="a0"/>
        <w:rPr>
          <w:rFonts w:hint="cs"/>
          <w:rtl/>
          <w:lang w:bidi="ar-SY"/>
        </w:rPr>
      </w:pPr>
      <w:r w:rsidRPr="00495BAB">
        <w:rPr>
          <w:rFonts w:hint="cs"/>
          <w:rtl/>
          <w:lang w:bidi="ar-SY"/>
        </w:rPr>
        <w:t xml:space="preserve">وكما نعلم وتعلمون، انتشرت في هذه السنوات كتب ومؤلفات للماديين المنكرين لوجود الله، مثل كتاب «أفكار الميرزا فتحعلي آخوند زاده» وكتاب «بيست و سه سال» أي (ثلاثة وعشرون عامًا) الذي ينفي نبوة نبي الإسلام </w:t>
      </w:r>
      <w:r w:rsidRPr="00495BAB">
        <w:rPr>
          <w:rFonts w:ascii="Abo-thar" w:hAnsi="Abo-thar"/>
          <w:sz w:val="28"/>
          <w:lang w:bidi="fa-IR"/>
        </w:rPr>
        <w:t></w:t>
      </w:r>
      <w:r w:rsidRPr="00495BAB">
        <w:rPr>
          <w:rFonts w:hint="cs"/>
          <w:rtl/>
          <w:lang w:bidi="ar-SY"/>
        </w:rPr>
        <w:t xml:space="preserve"> وينكر رسالته، وطُبِع منها عدد كبير من النسخ، ولكن لم يقم متولو الشؤون الدينية وحكام الشرع مع الأسف بأي عمل للرد على هذه الكتب بل جلسوا مكتوفي الأيدي تجاهها! ولكن بمجرد أن انتشرت بعض النسخ المصورة عن كتاب الخمس وما فيه من دلائل واضحة من القرآن والسنة قامت قيامة أرباب العمائم ولم تقعد!؟</w:t>
      </w:r>
    </w:p>
    <w:p w:rsidR="00CD31AA" w:rsidRPr="00495BAB" w:rsidRDefault="00CD31AA" w:rsidP="00495BAB">
      <w:pPr>
        <w:pStyle w:val="a0"/>
        <w:rPr>
          <w:rFonts w:hint="cs"/>
          <w:rtl/>
          <w:lang w:bidi="ar-SY"/>
        </w:rPr>
      </w:pPr>
      <w:r w:rsidRPr="00495BAB">
        <w:rPr>
          <w:rFonts w:hint="cs"/>
          <w:rtl/>
          <w:lang w:bidi="ar-SY"/>
        </w:rPr>
        <w:t>إن لدى وارثي خمس الإمام وسهمه، مُسْتَمْسكَين لتبرير ادعائهم، وهم يستخدمون هذين المستمسكين في إثارتهم لأنصارهم ضد المعارضين لمثل هذا الخمس:</w:t>
      </w:r>
    </w:p>
    <w:p w:rsidR="00CD31AA" w:rsidRPr="00495BAB" w:rsidRDefault="00CD31AA" w:rsidP="00495BAB">
      <w:pPr>
        <w:pStyle w:val="a0"/>
        <w:rPr>
          <w:rFonts w:hint="cs"/>
          <w:rtl/>
          <w:lang w:bidi="ar-SY"/>
        </w:rPr>
      </w:pPr>
      <w:r w:rsidRPr="00495BAB">
        <w:rPr>
          <w:rFonts w:hint="cs"/>
          <w:b/>
          <w:bCs/>
          <w:rtl/>
          <w:lang w:bidi="ar-SY"/>
        </w:rPr>
        <w:t xml:space="preserve">1- وُضِعَ الخُمْسُ لأجل السادة (أي الأشراف من ذرية النبي </w:t>
      </w:r>
      <w:r w:rsidRPr="00495BAB">
        <w:rPr>
          <w:rFonts w:ascii="Abo-thar" w:hAnsi="Abo-thar"/>
          <w:sz w:val="28"/>
          <w:lang w:bidi="fa-IR"/>
        </w:rPr>
        <w:t></w:t>
      </w:r>
      <w:r w:rsidRPr="00495BAB">
        <w:rPr>
          <w:rFonts w:hint="cs"/>
          <w:b/>
          <w:bCs/>
          <w:rtl/>
          <w:lang w:bidi="ar-SY"/>
        </w:rPr>
        <w:t>) المحرومون من أخذ الزكاة، فإن انتفى الخمس فماذا يفعل الفقراء من السادة؟!</w:t>
      </w:r>
    </w:p>
    <w:p w:rsidR="00CD31AA" w:rsidRPr="00495BAB" w:rsidRDefault="00CD31AA" w:rsidP="00495BAB">
      <w:pPr>
        <w:pStyle w:val="a0"/>
        <w:rPr>
          <w:rFonts w:hint="cs"/>
          <w:rtl/>
          <w:lang w:bidi="ar-SY"/>
        </w:rPr>
      </w:pPr>
      <w:r w:rsidRPr="00495BAB">
        <w:rPr>
          <w:rFonts w:hint="cs"/>
          <w:rtl/>
          <w:lang w:bidi="ar-SY"/>
        </w:rPr>
        <w:t xml:space="preserve">ونقول: لقد أبطلنا في كتابينا الزكاة والخمس هذا الادعاء، وقلنا: إنه لا أساس لتحريم مال الزكاة على السادة، وعلى أقل تقدير يمكن للفقراء من السادة أن يأخذوا الزكاة من أغنياء السادة أي ممَّن ينتمون لعرقهم ذاته؛ لاسيما أن أغنياء السادة اليوم ليسوا قليلين وزكاة أموالهم تكفي فقراءهم، لكنْ ليس زكاة الأشياء التسعة فقط بل زكاة جميع الأشياء كما أثبتناه في موضعه. </w:t>
      </w:r>
    </w:p>
    <w:p w:rsidR="00CD31AA" w:rsidRPr="00495BAB" w:rsidRDefault="00CD31AA" w:rsidP="00495BAB">
      <w:pPr>
        <w:pStyle w:val="a0"/>
        <w:rPr>
          <w:rFonts w:hint="cs"/>
          <w:rtl/>
          <w:lang w:bidi="ar-SY"/>
        </w:rPr>
      </w:pPr>
      <w:r w:rsidRPr="00495BAB">
        <w:rPr>
          <w:rFonts w:hint="cs"/>
          <w:b/>
          <w:bCs/>
          <w:rtl/>
          <w:lang w:bidi="ar-SY"/>
        </w:rPr>
        <w:t>2- إن الحوزات العلمية ومؤسسة علماء الدين تستفيد من سهم الإمام وتُنْشِئ بفضل هذا السهم التنظيمات والمؤسسات المختلفة، وهذا من المزايا التي يتمتع بها مذهب الشيعة، في حين أن بقية الفرق الإسلامية محرومون من هذه المزية، ولذلك فإن سائر المذاهب يغبطون الشيعة على هذا الخمس ويتمنون أن يكون لديهم مثله! فلو لم يكن هناك خمس لتلاشت تلك الحوزات والمؤسسات وانهارَت</w:t>
      </w:r>
      <w:r w:rsidRPr="00495BAB">
        <w:rPr>
          <w:rFonts w:hint="cs"/>
          <w:rtl/>
          <w:lang w:bidi="ar-SY"/>
        </w:rPr>
        <w:t>!</w:t>
      </w:r>
      <w:r w:rsidRPr="00495BAB">
        <w:rPr>
          <w:rFonts w:hint="cs"/>
          <w:b/>
          <w:bCs/>
          <w:rtl/>
          <w:lang w:bidi="ar-SY"/>
        </w:rPr>
        <w:t xml:space="preserve"> </w:t>
      </w:r>
    </w:p>
    <w:p w:rsidR="00CD31AA" w:rsidRPr="00495BAB" w:rsidRDefault="00CD31AA" w:rsidP="00495BAB">
      <w:pPr>
        <w:pStyle w:val="a0"/>
        <w:rPr>
          <w:rFonts w:hint="cs"/>
          <w:rtl/>
          <w:lang w:bidi="ar-SY"/>
        </w:rPr>
      </w:pPr>
      <w:r w:rsidRPr="00495BAB">
        <w:rPr>
          <w:rFonts w:hint="cs"/>
          <w:rtl/>
          <w:lang w:bidi="ar-SY"/>
        </w:rPr>
        <w:t>ونقول: إن هذا الادعاء باطل أيضاً لأنه: لو فرضنا أن أحاديث الخمس تتعلق فعلاً بأرباح المكاسب، فإن نصوص تلك الأحاديث ذاتها تبين أن هذا المال حق للإمام المعصوم نفسه، فإذا فُقِد أو غاب فلا مصرف له؛ والحق الذي يريدون إثباته بخمسة أحاديث موضوعة وضعيفة، قد حلَّلَتْه ثلاثون حديثًا نصَّت على أن الأئمة وهبوه لشيعتهم. فأيًّا كان الأمر، فإن أخذ هذا الخمس وأكله ظلمٌ وأكل للمال بالباطل. ورجال الدين الشيعة (إن كان في الإسلام شيء اسمه رجال الدين) لم يكونوا في أي وقت من الأوقات مرتبطين بسهم الإمام ولم يكن وجود وتربية علماء الدين الشيعة متوقفًا أبدًا على التصرف في الخمس. والعلماء المشاهير والكبار الذين ظهروا بين الشيعة قبل البدء بأكل سهم الإمام، كانوا أفضل وأتقى وأزهد وأعلم من العلماء الذين تربَّوا بفضل الارتزاق بالخمس وسهم الإمام!</w:t>
      </w:r>
    </w:p>
    <w:p w:rsidR="00CD31AA" w:rsidRPr="00495BAB" w:rsidRDefault="00CD31AA" w:rsidP="00495BAB">
      <w:pPr>
        <w:pStyle w:val="a0"/>
        <w:rPr>
          <w:rFonts w:hint="cs"/>
          <w:rtl/>
          <w:lang w:bidi="ar-SY"/>
        </w:rPr>
      </w:pPr>
      <w:r w:rsidRPr="00495BAB">
        <w:rPr>
          <w:rFonts w:hint="cs"/>
          <w:rtl/>
          <w:lang w:bidi="ar-SY"/>
        </w:rPr>
        <w:t xml:space="preserve">بعد الأئمة </w:t>
      </w:r>
      <w:r w:rsidR="00963EFD" w:rsidRPr="00963EFD">
        <w:rPr>
          <w:rFonts w:cs="CTraditional Arabic" w:hint="cs"/>
          <w:rtl/>
          <w:lang w:bidi="ar-SY"/>
        </w:rPr>
        <w:t>‡</w:t>
      </w:r>
      <w:r w:rsidRPr="00495BAB">
        <w:rPr>
          <w:rFonts w:hint="cs"/>
          <w:rtl/>
          <w:lang w:bidi="ar-SY"/>
        </w:rPr>
        <w:t xml:space="preserve"> ظهر «ابن الوليد القمي» و«الصدوق الأول» و«الصدوق الثاني» و«ابن عقيل» و«ابن جنيد» و«الشيخ المفيد» و«الشيخ الطوسي» و«سلار» الذين كانوا من متقدمي علماء الشيعة وكانوا جميعاً من القائلين بتحليل أئمة الشيعة للخمس، ولم يستهلكوا من هذا الخمس ديناراً واحداً! وليت شعري في أي مؤسسة ومدرسة معتَمِدة على الخمس تربَّى وتعلَّم المحقق الحلي والخواجة نصير الدين الطوسي والعلامة الحلي والمقدس الأردبيلي والمحقق السبزواري والملا محسن الفيض الكاشاني والشيخ القطيفي والشيخ البحراني -القائلين بشكل عام بسقوط الخمس وسهم الإمام والذين لم يلوثوا أيديهم أبداً بأخذه والأكل منه - ؟! هل نجد بين العلماء الآكلين للخمس اليوم رجلاً واحداً مثل أولئك الإجلاء؟ نعم منذ أن بدأ استهلاك سهم الإمام بغير وجه حق لم يعد بالإمكان العثور حتى على عالم واحد بمستوى زهد وتقوى أولئك الأجلاء، ولا على عالمٍ له مثل مؤلفاتهم ومصنفاتهم الغزيرة والكثيرة، أبدًا أبدًا!</w:t>
      </w:r>
    </w:p>
    <w:p w:rsidR="00CD31AA" w:rsidRPr="00495BAB" w:rsidRDefault="00CD31AA" w:rsidP="00495BAB">
      <w:pPr>
        <w:pStyle w:val="a0"/>
        <w:rPr>
          <w:rFonts w:hint="cs"/>
          <w:rtl/>
          <w:lang w:bidi="ar-SY"/>
        </w:rPr>
      </w:pPr>
      <w:r w:rsidRPr="00495BAB">
        <w:rPr>
          <w:rFonts w:hint="cs"/>
          <w:rtl/>
          <w:lang w:bidi="ar-SY"/>
        </w:rPr>
        <w:t>إن بعض آكلي الخمس هؤلاء محرومون من بركة العمر إلى حد أن أحدهم يعيش ثمانين أو تسعين عامًا ولا يصل إلى درجة المرجعية التامة والمطلقة، ولا يترك ورائه أي تأليف أو أثر! وإن ترك بعضهم أحيانًا رسالةً صغيرةً فنجد أن أعوانهم هم الذين كتبوها لهم وأما دورهم فاقتصر على ختم الرسالة بخاتمهم الحاوي لاسمهم!!</w:t>
      </w:r>
    </w:p>
    <w:p w:rsidR="00CD31AA" w:rsidRPr="00495BAB" w:rsidRDefault="00CD31AA" w:rsidP="00495BAB">
      <w:pPr>
        <w:pStyle w:val="a0"/>
        <w:rPr>
          <w:rFonts w:hint="cs"/>
          <w:rtl/>
          <w:lang w:bidi="ar-SY"/>
        </w:rPr>
      </w:pPr>
      <w:r w:rsidRPr="00495BAB">
        <w:rPr>
          <w:rFonts w:hint="cs"/>
          <w:rtl/>
          <w:lang w:bidi="ar-SY"/>
        </w:rPr>
        <w:t>نعم، الآثار التي يتركونها بعد رحيلهم هي أبنية باسم المسجد أو المدرسة أو المكتبة أو</w:t>
      </w:r>
      <w:r w:rsidR="00AB28A0" w:rsidRPr="00495BAB">
        <w:rPr>
          <w:rFonts w:hint="cs"/>
          <w:rtl/>
          <w:lang w:bidi="ar-SY"/>
        </w:rPr>
        <w:t>.</w:t>
      </w:r>
      <w:r w:rsidRPr="00495BAB">
        <w:rPr>
          <w:rFonts w:hint="cs"/>
          <w:rtl/>
          <w:lang w:bidi="ar-SY"/>
        </w:rPr>
        <w:t xml:space="preserve">.. والتي اشترى مواد بنائها آخرون وبناها أشخاص وأخذوا المال من هذا وأعطوا لذاك دون أن يعلم بذلك سوى السيد وحده (أي المرجع)! ومثل هذا العمل قد قام به كثير من الملوك والمحسنين الخيِّرين الآخرين حتى لو كانوا أميين، وتركوه ذكرى حسنة عنهم بعد وفاتهم! </w:t>
      </w:r>
    </w:p>
    <w:p w:rsidR="00CD31AA" w:rsidRPr="00495BAB" w:rsidRDefault="00CD31AA" w:rsidP="00495BAB">
      <w:pPr>
        <w:pStyle w:val="a0"/>
        <w:rPr>
          <w:rFonts w:hint="cs"/>
          <w:rtl/>
          <w:lang w:bidi="ar-SY"/>
        </w:rPr>
      </w:pPr>
      <w:r w:rsidRPr="00495BAB">
        <w:rPr>
          <w:rFonts w:hint="cs"/>
          <w:rtl/>
          <w:lang w:bidi="ar-SY"/>
        </w:rPr>
        <w:t>ويفتخر هؤلاء المشايخ بامتلاكهم لمثل هذه الميزانية المالية التي تفيدهم في إيجاد المؤسسات! فعلينا أن نرى أي نقص تعاني منه مراكز تدريس العلوم الدينية لدى غير الشيعة المحرومون -على حد قول الشيعة- من هذا الخمس، من ناحية تربية طلاب العلوم الدينية وتنشئتهم؟! مثلاً أيُّ علماءٍ قدمتهم جامعة الأزهر في مصر للمجتمع، رغم أنها لا تملك سهم الإمام والخمس، وأيُّ علماءٍ قدمتهم هذه الحوزات الدينية الشيعية؟! ما هي النشاطات الدعوية في الخارج والداخل التي يقوم بها طلاب تلك الجامعات السُنِّية ودعاتها، وما النشاطات والفعاليات التي يقوم بها خريجو الحوزات العلمية الشيعية؟! هل الآثار العلمية والعملية لطلاب المذاهب الأخرى في التأليف والتصنيف وإدخال الكفار في الإسلام أكثر أم آثار خريجي الحوزات الشيعية التي تتمتع -على حد قولهم- بالاستقلال الاقتصادي؟! إن أفضل طلاب الحوزات الدينية للشيعة اليوم هم الذين يستطيعون قراءة آثار ومؤلفات علماء أهل السنة اليوم ويترجمونها إلى الفارسية! وهم على كل حال قلة من الأشخاص لا أكثر! وإلا فإننا لا نجد مؤلِّفًا فاضلاً وكاتباً جديرًا ككُتَّاب جامعات أهل السنة في جميع حوزات العلوم الدينية لدى الشيعة اليوم. ولعل وجود هذا المصدر المالي الذي لا حصر له ولا حساب بأيدي علماء الدين الشيعة اليوم والذي يجذب إلى الحوزات أفرادًا ممن لا يستطيعون أن يجدوا في مدنهم أو قراهم أي عمل آخر ولا أن يمارسوا أي نشاط آخر؛ ومن الجهة الأخرى لا يملكون العلم اللازم لشغل مناصب ووظائف حكومية أو خاصة، فيأتون إلى مدارس طلاب الشريعة هذه وينفقون فيها عدة سنوات من عمرهم بلا فائدة، ثم يلبسون العباءة والعِمامة، وعندئذٍ يدَّعون مقامَ حجَّة الإسلام ويصعدون في مقاماتهم حتى الوصول إلى مقام حاكم الشرع المطلق، وعندئذٍ يفعلون كل ما يرغبون به!</w:t>
      </w:r>
    </w:p>
    <w:p w:rsidR="00CD31AA" w:rsidRPr="00495BAB" w:rsidRDefault="00CD31AA" w:rsidP="00495BAB">
      <w:pPr>
        <w:pStyle w:val="a0"/>
        <w:rPr>
          <w:rFonts w:hint="cs"/>
          <w:rtl/>
          <w:lang w:bidi="ar-SY"/>
        </w:rPr>
      </w:pPr>
      <w:r w:rsidRPr="00495BAB">
        <w:rPr>
          <w:rFonts w:hint="cs"/>
          <w:rtl/>
          <w:lang w:bidi="ar-SY"/>
        </w:rPr>
        <w:t xml:space="preserve">وعلى كل حال، نحن لسنا بخلاء بمال الناس، فالأمر متروك لكم بينكم وبين الناس، فإن أحب الناس أن يعطوكم من أموالهم فلا اعتراض لنا على ذلك، ولكننا نقول: لا تنسِبوا هذه النسبة الظالمة للإسلام ولنبيه الكريم! ويشهد الله أن دافعنا إلى كتابة هذه المؤلفات ليس سوى الدفاع عن مكانة الإسلام وإزالة هذه التهمة عن نبي الإسلام الكريم </w:t>
      </w:r>
      <w:r w:rsidRPr="00495BAB">
        <w:rPr>
          <w:rFonts w:ascii="Abo-thar" w:hAnsi="Abo-thar"/>
          <w:sz w:val="28"/>
          <w:lang w:bidi="fa-IR"/>
        </w:rPr>
        <w:t></w:t>
      </w:r>
      <w:r w:rsidRPr="00495BAB">
        <w:rPr>
          <w:rFonts w:hint="cs"/>
          <w:rtl/>
          <w:lang w:bidi="ar-SY"/>
        </w:rPr>
        <w:t xml:space="preserve">. أما أنتم فلكم أن تتصوروا وتظنوا بنا ما تشاؤون أو تفعلوا ما بوسعكم ضدّنا من اتهام وشتم وتحريض للعوام علينا، لعلكم تصلون بالنهاية لهدفكم، أما نحن فلا ملجأ لنا سوى الله، عليه توكلنا وإليه نُنِيب. </w:t>
      </w:r>
    </w:p>
    <w:p w:rsidR="00CD31AA" w:rsidRPr="00495BAB" w:rsidRDefault="00CD31AA" w:rsidP="00495BAB">
      <w:pPr>
        <w:pStyle w:val="a0"/>
        <w:rPr>
          <w:rFonts w:hint="cs"/>
          <w:rtl/>
          <w:lang w:bidi="ar-SY"/>
        </w:rPr>
      </w:pPr>
      <w:r w:rsidRPr="00495BAB">
        <w:rPr>
          <w:rFonts w:hint="cs"/>
          <w:rtl/>
          <w:lang w:bidi="ar-SY"/>
        </w:rPr>
        <w:t xml:space="preserve">وفيما يلي ردّنا على كُتَيِّبٍ ألَّفه أحد أفضل فضلاء الحوزة العلمية في قم اليوم في الردّ على كتابنا الخمس وَطَبَعَ منه خمسةَ آلاف نسخة، ونقدمه لقرائنا الكرام فأقرأوه واحكموا بأنفسكم بالوجدان والإنصاف بينكم وبين الله، فيما بيننا وبين صاحب الردّ. </w:t>
      </w:r>
    </w:p>
    <w:p w:rsidR="00CD31AA" w:rsidRPr="00495BAB" w:rsidRDefault="00CD31AA" w:rsidP="00612190">
      <w:pPr>
        <w:pStyle w:val="a0"/>
        <w:ind w:firstLine="4139"/>
        <w:jc w:val="center"/>
        <w:rPr>
          <w:rFonts w:hint="cs"/>
          <w:rtl/>
          <w:lang w:bidi="ar-SY"/>
        </w:rPr>
      </w:pPr>
      <w:r w:rsidRPr="00495BAB">
        <w:rPr>
          <w:rFonts w:hint="cs"/>
          <w:rtl/>
          <w:lang w:bidi="ar-SY"/>
        </w:rPr>
        <w:t>23 رمضان المبارك 1397هـ.ق</w:t>
      </w:r>
    </w:p>
    <w:p w:rsidR="00CD31AA" w:rsidRPr="00495BAB" w:rsidRDefault="00CD31AA" w:rsidP="00612190">
      <w:pPr>
        <w:pStyle w:val="a0"/>
        <w:ind w:firstLine="4139"/>
        <w:jc w:val="center"/>
        <w:rPr>
          <w:rFonts w:hint="cs"/>
          <w:rtl/>
          <w:lang w:bidi="ar-SY"/>
        </w:rPr>
      </w:pPr>
      <w:r w:rsidRPr="00495BAB">
        <w:rPr>
          <w:rFonts w:hint="cs"/>
          <w:rtl/>
          <w:lang w:bidi="ar-SY"/>
        </w:rPr>
        <w:t>قرية ديزيجان/ قم</w:t>
      </w:r>
    </w:p>
    <w:p w:rsidR="00CD31AA" w:rsidRPr="00495BAB" w:rsidRDefault="00CD31AA" w:rsidP="00495BAB">
      <w:pPr>
        <w:pStyle w:val="a0"/>
        <w:rPr>
          <w:rFonts w:hint="cs"/>
          <w:rtl/>
          <w:lang w:bidi="ar-SY"/>
        </w:rPr>
      </w:pPr>
    </w:p>
    <w:p w:rsidR="00CD31AA" w:rsidRPr="00495BAB" w:rsidRDefault="00CD31AA" w:rsidP="00612190">
      <w:pPr>
        <w:pStyle w:val="a0"/>
        <w:spacing w:after="0"/>
        <w:rPr>
          <w:rFonts w:hint="cs"/>
          <w:rtl/>
          <w:lang w:bidi="ar-SY"/>
        </w:rPr>
      </w:pPr>
      <w:r w:rsidRPr="00495BAB">
        <w:rPr>
          <w:rFonts w:hint="cs"/>
          <w:b/>
          <w:bCs/>
          <w:rtl/>
          <w:lang w:bidi="ar-SY"/>
        </w:rPr>
        <w:t>بسم الله الرحمن الرحيم وبه نستعين</w:t>
      </w:r>
    </w:p>
    <w:p w:rsidR="00CD31AA" w:rsidRPr="00495BAB" w:rsidRDefault="00CD31AA" w:rsidP="00495BAB">
      <w:pPr>
        <w:pStyle w:val="a0"/>
        <w:rPr>
          <w:rFonts w:hint="cs"/>
          <w:rtl/>
          <w:lang w:bidi="ar-SY"/>
        </w:rPr>
      </w:pPr>
      <w:r w:rsidRPr="00495BAB">
        <w:rPr>
          <w:rFonts w:hint="cs"/>
          <w:rtl/>
          <w:lang w:bidi="ar-SY"/>
        </w:rPr>
        <w:t>انتشرت في هذه الأيام رابع رسالة كُتِبَتْ في الردّ على كتابنا الخُمس (شهر رمضان عام 1397هـ.ق.) وقامت بنشرها أكبر مؤسسة تبليغية ودَعَوية وأكثر دور النشر الدينية في إيران نشرًا للكتب، وهي رسالة كتبها كاتب أو عدة كُتّاب، والكاتب هو من أغزر الكتاب الدينيين في مدينة قم تأليفاً ونشراً للكتب.</w:t>
      </w:r>
    </w:p>
    <w:p w:rsidR="00CD31AA" w:rsidRPr="00495BAB" w:rsidRDefault="00CD31AA" w:rsidP="00495BAB">
      <w:pPr>
        <w:pStyle w:val="a0"/>
        <w:rPr>
          <w:rFonts w:hint="cs"/>
          <w:rtl/>
          <w:lang w:bidi="ar-SY"/>
        </w:rPr>
      </w:pPr>
      <w:r w:rsidRPr="00495BAB">
        <w:rPr>
          <w:rFonts w:hint="cs"/>
          <w:rtl/>
          <w:lang w:bidi="ar-SY"/>
        </w:rPr>
        <w:t>ابتدأ هذا الكُتَيِّب (أو حسب ادعاء كُتّابه: الكتاب ضمن الكُتَيِّب) الذي حمل عنوان: «</w:t>
      </w:r>
      <w:r w:rsidRPr="00495BAB">
        <w:rPr>
          <w:rFonts w:hint="cs"/>
          <w:b/>
          <w:bCs/>
          <w:rtl/>
          <w:lang w:bidi="ar-SY"/>
        </w:rPr>
        <w:t>الخمس دعامة استقلال بيت المال</w:t>
      </w:r>
      <w:r w:rsidRPr="00495BAB">
        <w:rPr>
          <w:rFonts w:hint="cs"/>
          <w:rtl/>
          <w:lang w:bidi="ar-SY"/>
        </w:rPr>
        <w:t>» (والذي ألّفه الشيخ ناصر مكارم الشيرازي وأعوانه) بعنوانٍ هجومي هو: «</w:t>
      </w:r>
      <w:r w:rsidRPr="00495BAB">
        <w:rPr>
          <w:rFonts w:hint="cs"/>
          <w:b/>
          <w:bCs/>
          <w:rtl/>
          <w:lang w:bidi="ar-SY"/>
        </w:rPr>
        <w:t>لِنُبْطِل مفعول السموم التي يبثها ناشرو النفاق والاختلاف</w:t>
      </w:r>
      <w:r w:rsidRPr="00495BAB">
        <w:rPr>
          <w:rFonts w:hint="cs"/>
          <w:rtl/>
          <w:lang w:bidi="ar-SY"/>
        </w:rPr>
        <w:t xml:space="preserve">»! ومن الواضح من هذا العنوان أي نفسية وأي قصد أقدم بهما كُتَّاب هذا الكُتَيِّب على تأليفه والدخول في حلبة الصراع ولسان حالهم ينادي بأعلى صوت: </w:t>
      </w:r>
      <w:r w:rsidRPr="00495BAB">
        <w:rPr>
          <w:rFonts w:hint="cs"/>
          <w:b/>
          <w:bCs/>
          <w:rtl/>
          <w:lang w:bidi="ar-SY"/>
        </w:rPr>
        <w:t>هل من مبارز</w:t>
      </w:r>
      <w:r w:rsidRPr="00495BAB">
        <w:rPr>
          <w:rFonts w:hint="cs"/>
          <w:rtl/>
          <w:lang w:bidi="ar-SY"/>
        </w:rPr>
        <w:t>؟!</w:t>
      </w:r>
    </w:p>
    <w:p w:rsidR="00CD31AA" w:rsidRPr="00495BAB" w:rsidRDefault="00CD31AA" w:rsidP="00495BAB">
      <w:pPr>
        <w:pStyle w:val="a0"/>
        <w:rPr>
          <w:rFonts w:hint="cs"/>
          <w:rtl/>
          <w:lang w:bidi="ar-SY"/>
        </w:rPr>
      </w:pPr>
      <w:r w:rsidRPr="00495BAB">
        <w:rPr>
          <w:rFonts w:hint="cs"/>
          <w:rtl/>
          <w:lang w:bidi="ar-SY"/>
        </w:rPr>
        <w:t>ينبغي أن نوضِّح أنّ خمسةً من العلماء - على الأقل - تعاونوا على تجميع مضامين هذا الكُتَيِّب، كما اعترف بذلك الأستاذ القدير! ولكننا نقطع بأن عددَ مَنْ شارَكَ في تحرير هذا الكُتَيِّب هم أكثر من خمسة أشخاص ولعل هذا البحث والجدال العظيم ومعجزة التأليف والاستدلال هذه (!) إنما ظهرت في عالم الوجود على مدى عدة سنوات ثم قوي الكُتَيِّب تدريجياً حتى وضع أقدامه في ميدان المواجهة والصراع بهذه القوة والصَّخَب!</w:t>
      </w:r>
    </w:p>
    <w:p w:rsidR="00CD31AA" w:rsidRPr="00495BAB" w:rsidRDefault="00CD31AA" w:rsidP="00495BAB">
      <w:pPr>
        <w:pStyle w:val="a0"/>
        <w:rPr>
          <w:rFonts w:hint="cs"/>
          <w:rtl/>
          <w:lang w:bidi="ar-SY"/>
        </w:rPr>
      </w:pPr>
      <w:r w:rsidRPr="00495BAB">
        <w:rPr>
          <w:rFonts w:hint="cs"/>
          <w:rtl/>
          <w:lang w:bidi="ar-SY"/>
        </w:rPr>
        <w:t xml:space="preserve">بعد ذلك العنوان كتب </w:t>
      </w:r>
      <w:r w:rsidR="003D5973" w:rsidRPr="00495BAB">
        <w:rPr>
          <w:rFonts w:hint="cs"/>
          <w:rtl/>
          <w:lang w:bidi="ar-SY"/>
        </w:rPr>
        <w:t>أصحاب</w:t>
      </w:r>
      <w:r w:rsidRPr="00495BAB">
        <w:rPr>
          <w:rFonts w:hint="cs"/>
          <w:rtl/>
          <w:lang w:bidi="ar-SY"/>
        </w:rPr>
        <w:t xml:space="preserve"> الردّ يقول</w:t>
      </w:r>
      <w:r w:rsidR="003D5973" w:rsidRPr="00495BAB">
        <w:rPr>
          <w:rFonts w:hint="cs"/>
          <w:rtl/>
          <w:lang w:bidi="ar-SY"/>
        </w:rPr>
        <w:t>ون</w:t>
      </w:r>
      <w:r w:rsidRPr="00495BAB">
        <w:rPr>
          <w:rFonts w:hint="cs"/>
          <w:rtl/>
          <w:lang w:bidi="ar-SY"/>
        </w:rPr>
        <w:t>:</w:t>
      </w:r>
    </w:p>
    <w:p w:rsidR="00CD31AA" w:rsidRPr="00995B26" w:rsidRDefault="00CD31AA" w:rsidP="00495BAB">
      <w:pPr>
        <w:pStyle w:val="a0"/>
        <w:rPr>
          <w:rFonts w:hint="cs"/>
          <w:rtl/>
          <w:lang w:bidi="ar-SY"/>
        </w:rPr>
      </w:pPr>
      <w:r w:rsidRPr="00495BAB">
        <w:rPr>
          <w:rFonts w:hint="cs"/>
          <w:rtl/>
          <w:lang w:bidi="ar-SY"/>
        </w:rPr>
        <w:t>«</w:t>
      </w:r>
      <w:r w:rsidRPr="00995B26">
        <w:rPr>
          <w:rFonts w:cs="Akhbar MT" w:hint="cs"/>
          <w:szCs w:val="30"/>
          <w:rtl/>
          <w:lang w:bidi="ar-SY"/>
        </w:rPr>
        <w:t>لا يوجد عمل أسهل وأبسط من بث السموم، لاسيَّما في أذهان من لا يمتلكون اطلاعًا واسعًا، لأن هذا العمل بمثابة هدم بناء؛ ومن المعلوم أن البناء الذي يحتاج بناؤه أحيانًا إلى عدة سنوات، يمكن هدمه وتخريبه في بضعة ثوانٍ</w:t>
      </w:r>
      <w:r w:rsidRPr="00495BAB">
        <w:rPr>
          <w:rFonts w:hint="cs"/>
          <w:rtl/>
          <w:lang w:bidi="ar-SY"/>
        </w:rPr>
        <w:t>».</w:t>
      </w:r>
    </w:p>
    <w:p w:rsidR="00CD31AA" w:rsidRPr="00495BAB" w:rsidRDefault="00CD31AA" w:rsidP="00495BAB">
      <w:pPr>
        <w:pStyle w:val="a0"/>
        <w:rPr>
          <w:rFonts w:hint="cs"/>
          <w:rtl/>
          <w:lang w:bidi="ar-SY"/>
        </w:rPr>
      </w:pPr>
      <w:r w:rsidRPr="00495BAB">
        <w:rPr>
          <w:rFonts w:hint="cs"/>
          <w:rtl/>
          <w:lang w:bidi="ar-SY"/>
        </w:rPr>
        <w:t>لكنْ ينبغي أن يكون هؤلاء السادة قد علموا وفهموا حتى الآن أنه لو كان هدف مؤلف كتاب الخمس هو بث السموم، فلا يمكن القضاء على كائن حي يتمتع بحياة كاملة من خلال بثّ سمّ قليل؛ ولو كان هناك بناء محكم البنيان وذو أساس راسخ وقويّ وكان - حسب ادّعائكم - بناءً إلهيًّا، فلا يمكن لأي إنسان أن يهدمه ولو خلال قرون من الزمن، فما بالك أن يهدمه في بضع ثوانٍ! أما البناء الذي يمكن هدمه بهذه المدة القصيرة (أي بقراءة سريعة لكتاب الخمس) فلا ريب أنّه بناء ضعيف البنيان ومهزوز ويحتاج إلى أن يحافظ حُرَّاسُهُ عليه بشكل مستمر ومتواصل ولا بد من المحافظة عليه بإغماض العين وبأنواع الحيل والشعوذة. نحن نتفق مع السادة في قولهم: إن تأليف كتاب مثل كتاب الخمس يشبه بث السموم، ولكنني لكوني ابن فلاح أعلم أن رش السموم (المبيدات) إنما يهدف عادةً لدفع الآفات والقضاء على الحشرات الضارة التي تؤذي الزرع والنباتات. فلا بد أن يكون لبث السم هذا (حسب قولكم) الفائدة ذاتها لحديقة الإسلام ومزرعته!</w:t>
      </w:r>
    </w:p>
    <w:p w:rsidR="00CD31AA" w:rsidRPr="00495BAB" w:rsidRDefault="00CD31AA" w:rsidP="00495BAB">
      <w:pPr>
        <w:pStyle w:val="a0"/>
        <w:rPr>
          <w:rFonts w:hint="cs"/>
          <w:rtl/>
          <w:lang w:bidi="ar-SY"/>
        </w:rPr>
      </w:pPr>
      <w:r w:rsidRPr="00495BAB">
        <w:rPr>
          <w:rFonts w:hint="cs"/>
          <w:rtl/>
          <w:lang w:bidi="ar-SY"/>
        </w:rPr>
        <w:t>ويواصل كاتب</w:t>
      </w:r>
      <w:r w:rsidR="003D5973" w:rsidRPr="00495BAB">
        <w:rPr>
          <w:rFonts w:hint="cs"/>
          <w:rtl/>
          <w:lang w:bidi="ar-SY"/>
        </w:rPr>
        <w:t>و</w:t>
      </w:r>
      <w:r w:rsidRPr="00495BAB">
        <w:rPr>
          <w:rFonts w:hint="cs"/>
          <w:rtl/>
          <w:lang w:bidi="ar-SY"/>
        </w:rPr>
        <w:t xml:space="preserve"> الرد قوله</w:t>
      </w:r>
      <w:r w:rsidR="003D5973" w:rsidRPr="00495BAB">
        <w:rPr>
          <w:rFonts w:hint="cs"/>
          <w:rtl/>
          <w:lang w:bidi="ar-SY"/>
        </w:rPr>
        <w:t>م</w:t>
      </w:r>
      <w:r w:rsidRPr="00495BAB">
        <w:rPr>
          <w:rFonts w:hint="cs"/>
          <w:rtl/>
          <w:lang w:bidi="ar-SY"/>
        </w:rPr>
        <w:t>:</w:t>
      </w:r>
    </w:p>
    <w:p w:rsidR="00CD31AA" w:rsidRPr="00995B26" w:rsidRDefault="00CD31AA" w:rsidP="00495BAB">
      <w:pPr>
        <w:pStyle w:val="a0"/>
        <w:rPr>
          <w:rFonts w:hint="cs"/>
          <w:rtl/>
          <w:lang w:bidi="ar-SY"/>
        </w:rPr>
      </w:pPr>
      <w:r w:rsidRPr="00495BAB">
        <w:rPr>
          <w:rFonts w:hint="cs"/>
          <w:rtl/>
          <w:lang w:bidi="ar-SY"/>
        </w:rPr>
        <w:t>«</w:t>
      </w:r>
      <w:r w:rsidRPr="00995B26">
        <w:rPr>
          <w:rFonts w:cs="Akhbar MT" w:hint="cs"/>
          <w:szCs w:val="30"/>
          <w:rtl/>
          <w:lang w:bidi="ar-SY"/>
        </w:rPr>
        <w:t>بناء على ذلك لو رأينا أن الوساوس الشيطانية التي يقوم بها أفراد لا قيمة لهم في بيئتنا قد أثّرت في عقول بعض البسطاء، فإن هذا ليس دليلاً على قوة الموسوسين ومنطقهم ولا على ضعف أسس الإسلام ومنطقه</w:t>
      </w:r>
      <w:r w:rsidRPr="00495BAB">
        <w:rPr>
          <w:rFonts w:hint="cs"/>
          <w:rtl/>
          <w:lang w:bidi="ar-SY"/>
        </w:rPr>
        <w:t>».</w:t>
      </w:r>
    </w:p>
    <w:p w:rsidR="00CD31AA" w:rsidRPr="00495BAB" w:rsidRDefault="00CD31AA" w:rsidP="00495BAB">
      <w:pPr>
        <w:pStyle w:val="a0"/>
        <w:rPr>
          <w:rFonts w:hint="cs"/>
          <w:rtl/>
          <w:lang w:bidi="ar-SY"/>
        </w:rPr>
      </w:pPr>
      <w:r w:rsidRPr="00495BAB">
        <w:rPr>
          <w:rFonts w:hint="cs"/>
          <w:rtl/>
          <w:lang w:bidi="ar-SY"/>
        </w:rPr>
        <w:t>لكن الكاتبِين غير المنصفِين ينسِبون وضع قانون الخمس الخاص بالإمامية إلى الإسلام ظلمًا وزورًا، إذْ لا يوجد في الإسلام الصحيح مثل هذا الخمس أبدًا كما تتضح هذه الحقيقة على أفضل وجه بعد قراءة الكتاب الحاضر.</w:t>
      </w:r>
    </w:p>
    <w:p w:rsidR="00CD31AA" w:rsidRPr="00495BAB" w:rsidRDefault="00CD31AA" w:rsidP="00495BAB">
      <w:pPr>
        <w:pStyle w:val="a0"/>
        <w:rPr>
          <w:rFonts w:hint="cs"/>
          <w:rtl/>
          <w:lang w:bidi="ar-SY"/>
        </w:rPr>
      </w:pPr>
      <w:r w:rsidRPr="00495BAB">
        <w:rPr>
          <w:rFonts w:hint="cs"/>
          <w:rtl/>
          <w:lang w:bidi="ar-SY"/>
        </w:rPr>
        <w:t>ثم يقول مؤلف</w:t>
      </w:r>
      <w:r w:rsidR="003D5973" w:rsidRPr="00495BAB">
        <w:rPr>
          <w:rFonts w:hint="cs"/>
          <w:rtl/>
          <w:lang w:bidi="ar-SY"/>
        </w:rPr>
        <w:t>و</w:t>
      </w:r>
      <w:r w:rsidRPr="00495BAB">
        <w:rPr>
          <w:rFonts w:hint="cs"/>
          <w:rtl/>
          <w:lang w:bidi="ar-SY"/>
        </w:rPr>
        <w:t xml:space="preserve"> الردّ:</w:t>
      </w:r>
    </w:p>
    <w:p w:rsidR="00CD31AA" w:rsidRPr="00995B26" w:rsidRDefault="00CD31AA" w:rsidP="00495BAB">
      <w:pPr>
        <w:pStyle w:val="a0"/>
        <w:rPr>
          <w:rFonts w:hint="cs"/>
          <w:rtl/>
          <w:lang w:bidi="ar-SY"/>
        </w:rPr>
      </w:pPr>
      <w:r w:rsidRPr="00495BAB">
        <w:rPr>
          <w:rFonts w:hint="cs"/>
          <w:rtl/>
          <w:lang w:bidi="ar-SY"/>
        </w:rPr>
        <w:t>«</w:t>
      </w:r>
      <w:r w:rsidRPr="00995B26">
        <w:rPr>
          <w:rFonts w:cs="Akhbar MT" w:hint="cs"/>
          <w:szCs w:val="30"/>
          <w:rtl/>
          <w:lang w:bidi="ar-SY"/>
        </w:rPr>
        <w:t>أفضل طريق لمحاربة مثل بث السموم هذا، رفع مستوى وعي الناس ومعرفتهم بأحكام الإسلام، لأنه عندما تشرق شمس العلم والمعرفة على القلوب يتوارى خفافيش الظلام بسرعة</w:t>
      </w:r>
      <w:r w:rsidRPr="00495BAB">
        <w:rPr>
          <w:rFonts w:hint="cs"/>
          <w:rtl/>
          <w:lang w:bidi="ar-SY"/>
        </w:rPr>
        <w:t>».</w:t>
      </w:r>
    </w:p>
    <w:p w:rsidR="00CD31AA" w:rsidRPr="00495BAB" w:rsidRDefault="00CD31AA" w:rsidP="00495BAB">
      <w:pPr>
        <w:pStyle w:val="a0"/>
        <w:rPr>
          <w:rFonts w:hint="cs"/>
          <w:rtl/>
          <w:lang w:bidi="ar-SY"/>
        </w:rPr>
      </w:pPr>
      <w:r w:rsidRPr="00495BAB">
        <w:rPr>
          <w:rFonts w:hint="cs"/>
          <w:rtl/>
          <w:lang w:bidi="ar-SY"/>
        </w:rPr>
        <w:t>لكنني أتصوّر أن كتابة مثل كُتَيِّب الرد هذا الذي هدف صاحبه أو أصحابه إلى رفع مستوى وعي الناس ومعرفتهم بأحكام الإسلام! لربما يؤدي إلى سعي قُرّائه إلى الحصول على كتاب الخمس الذي يصعب الحصول عليه جداً في الظروف الحالية بسبب الموانع والعوائق التي يضعونها في هذا السبيل، وعندئذٍ ستشرق فعلاً شمس العلم والمعرفة الحقيقية على نحو لا يصبُّ في صالحكم وستختفي خفافيش الأوهام والتلفيقات التي تعيش في ظلّكم!</w:t>
      </w:r>
    </w:p>
    <w:p w:rsidR="00CD31AA" w:rsidRPr="00495BAB" w:rsidRDefault="00CD31AA" w:rsidP="00495BAB">
      <w:pPr>
        <w:pStyle w:val="a0"/>
        <w:rPr>
          <w:rFonts w:hint="cs"/>
          <w:rtl/>
          <w:lang w:bidi="ar-SY"/>
        </w:rPr>
      </w:pPr>
      <w:r w:rsidRPr="00495BAB">
        <w:rPr>
          <w:rFonts w:hint="cs"/>
          <w:rtl/>
          <w:lang w:bidi="ar-SY"/>
        </w:rPr>
        <w:t>ثم أخذ كاتب</w:t>
      </w:r>
      <w:r w:rsidR="003D5973" w:rsidRPr="00495BAB">
        <w:rPr>
          <w:rFonts w:hint="cs"/>
          <w:rtl/>
          <w:lang w:bidi="ar-SY"/>
        </w:rPr>
        <w:t>و</w:t>
      </w:r>
      <w:r w:rsidRPr="00495BAB">
        <w:rPr>
          <w:rFonts w:hint="cs"/>
          <w:rtl/>
          <w:lang w:bidi="ar-SY"/>
        </w:rPr>
        <w:t xml:space="preserve"> الرد يُبيّن</w:t>
      </w:r>
      <w:r w:rsidR="003D5973" w:rsidRPr="00495BAB">
        <w:rPr>
          <w:rFonts w:hint="cs"/>
          <w:rtl/>
          <w:lang w:bidi="ar-SY"/>
        </w:rPr>
        <w:t>ون</w:t>
      </w:r>
      <w:r w:rsidRPr="00495BAB">
        <w:rPr>
          <w:rFonts w:hint="cs"/>
          <w:rtl/>
          <w:lang w:bidi="ar-SY"/>
        </w:rPr>
        <w:t xml:space="preserve"> عزمه</w:t>
      </w:r>
      <w:r w:rsidR="003D5973" w:rsidRPr="00495BAB">
        <w:rPr>
          <w:rFonts w:hint="cs"/>
          <w:rtl/>
          <w:lang w:bidi="ar-SY"/>
        </w:rPr>
        <w:t>م</w:t>
      </w:r>
      <w:r w:rsidRPr="00495BAB">
        <w:rPr>
          <w:rFonts w:hint="cs"/>
          <w:rtl/>
          <w:lang w:bidi="ar-SY"/>
        </w:rPr>
        <w:t xml:space="preserve"> وأنه</w:t>
      </w:r>
      <w:r w:rsidR="003D5973" w:rsidRPr="00495BAB">
        <w:rPr>
          <w:rFonts w:hint="cs"/>
          <w:rtl/>
          <w:lang w:bidi="ar-SY"/>
        </w:rPr>
        <w:t>م</w:t>
      </w:r>
      <w:r w:rsidRPr="00495BAB">
        <w:rPr>
          <w:rFonts w:hint="cs"/>
          <w:rtl/>
          <w:lang w:bidi="ar-SY"/>
        </w:rPr>
        <w:t xml:space="preserve"> قرّر</w:t>
      </w:r>
      <w:r w:rsidR="003D5973" w:rsidRPr="00495BAB">
        <w:rPr>
          <w:rFonts w:hint="cs"/>
          <w:rtl/>
          <w:lang w:bidi="ar-SY"/>
        </w:rPr>
        <w:t>وا</w:t>
      </w:r>
      <w:r w:rsidRPr="00495BAB">
        <w:rPr>
          <w:rFonts w:hint="cs"/>
          <w:rtl/>
          <w:lang w:bidi="ar-SY"/>
        </w:rPr>
        <w:t xml:space="preserve"> كتابة كُتَيِّب مختصر ومضغوط ولكنه كتاب محسوب ومنطقي تماماً (وسيظهر مقدار منطقهم من هذا الكُتَيِّب!) وسينشر</w:t>
      </w:r>
      <w:r w:rsidR="003D5973" w:rsidRPr="00495BAB">
        <w:rPr>
          <w:rFonts w:hint="cs"/>
          <w:rtl/>
          <w:lang w:bidi="ar-SY"/>
        </w:rPr>
        <w:t>ون</w:t>
      </w:r>
      <w:r w:rsidRPr="00495BAB">
        <w:rPr>
          <w:rFonts w:hint="cs"/>
          <w:rtl/>
          <w:lang w:bidi="ar-SY"/>
        </w:rPr>
        <w:t>ه بأعداد كبيرة لتوعية عامة الناس، لذا قاموا بطباعة خمسة آلاف نسخة من هذا الكُتَيِّب ونشرها. ونحن على يقين أن لديهم إمكانيات وقدرات أكثر من ذلك بكثير لأنهم يمتلكون كل شيء ويتصرفون في أموال طائلة.</w:t>
      </w:r>
    </w:p>
    <w:p w:rsidR="00CD31AA" w:rsidRPr="00995B26" w:rsidRDefault="00CD31AA" w:rsidP="00495BAB">
      <w:pPr>
        <w:pStyle w:val="a0"/>
        <w:rPr>
          <w:rFonts w:hint="cs"/>
          <w:rtl/>
          <w:lang w:bidi="ar-SY"/>
        </w:rPr>
      </w:pPr>
      <w:r w:rsidRPr="00495BAB">
        <w:rPr>
          <w:rFonts w:hint="cs"/>
          <w:rtl/>
          <w:lang w:bidi="ar-SY"/>
        </w:rPr>
        <w:t xml:space="preserve">وللأسف لا يوجد من بين كل </w:t>
      </w:r>
      <w:r w:rsidR="00755AAC">
        <w:rPr>
          <w:rFonts w:hint="cs"/>
          <w:rtl/>
          <w:lang w:bidi="ar-SY"/>
        </w:rPr>
        <w:t>مائة</w:t>
      </w:r>
      <w:r w:rsidRPr="00495BAB">
        <w:rPr>
          <w:rFonts w:hint="cs"/>
          <w:rtl/>
          <w:lang w:bidi="ar-SY"/>
        </w:rPr>
        <w:t xml:space="preserve"> ألف دافع للخمس سوى عشرة أشخاص يعلمون أن هناك كتاب أُلِّفَ باسم الخمس! وسيبقى أغلب الناس جاهلين بهذا الكتاب طالما بقيت هذه العوائق والموانع التي يضعونها أمام طباعته ونشره. ولما كنا على علم جيد بزماننا وبأهل هذا الزمان، فإننا لا نصدق أبداً - خلافاً لاتّهام كُتّاب هذا الرد وسوء ظنهم - أن يأتي يوم يدرك فيه هذا الشعب المظلوم المصاب بكابوس الغفلة والجهل والذي يعيش في ظلمات الشبهات والخرافات، حقائق الدين. فواصلوا أيها السادة هذا الوضع والكيفية الحالية وأنتم مرتاحو البال، وواصلوا أخذ الخمس من الجاهلين؛ وإن كنتم راغبين ببقاء الحال على ما هو عليه فلا داعي أن تتجشموا عناء كتابة مثل هذه الكُتَيِّبات, لأنه إن كان هناك طريق لتوعية الناس إلى هذه الطلاسم والسحر الذي أبقاهم في الغفلة فإن هذا الطريق ليس سوى هذه الكُتَيِّبات ذاتها التي تنتشر بكل حرية وبلا أية عوائق وبأعداد هائلة، لأنه ممن الممكن لهذا الجدال والضوضاء أن يدفع الناس إلى تقصي الأمر والبحث عن حقيقته ولسان حالهم يقول لعل وراء هذا الأمر خدعة؟! وفي النهاية سيكتشفون من خلال هذه الكُتَيِّبات - دون قصدٍ منكم - نياتكم السيئة وسعيكم وراء مصالحكم، وبها ستخربون بنيانكم المتزلزل بأيديكم:</w:t>
      </w:r>
      <w:r w:rsidR="00252DED" w:rsidRPr="00495BAB">
        <w:rPr>
          <w:rFonts w:hint="cs"/>
          <w:rtl/>
          <w:lang w:bidi="ar-SY"/>
        </w:rPr>
        <w:t xml:space="preserve"> </w:t>
      </w:r>
      <w:r w:rsidR="00252DED" w:rsidRPr="00995B26">
        <w:rPr>
          <w:rFonts w:cs="Traditional Arabic" w:hint="cs"/>
          <w:szCs w:val="30"/>
          <w:rtl/>
          <w:lang w:bidi="ar-SY"/>
        </w:rPr>
        <w:t>﴿</w:t>
      </w:r>
      <w:r w:rsidR="00252DED" w:rsidRPr="0067048A">
        <w:rPr>
          <w:rFonts w:ascii="KFGQPC Uthmanic Script HAFS" w:cs="KFGQPC Uthmanic Script HAFS" w:hint="eastAsia"/>
          <w:sz w:val="28"/>
          <w:szCs w:val="28"/>
          <w:rtl/>
        </w:rPr>
        <w:t>يُخ</w:t>
      </w:r>
      <w:r w:rsidR="00252DED" w:rsidRPr="0067048A">
        <w:rPr>
          <w:rFonts w:ascii="KFGQPC Uthmanic Script HAFS" w:cs="KFGQPC Uthmanic Script HAFS" w:hint="cs"/>
          <w:sz w:val="28"/>
          <w:szCs w:val="28"/>
          <w:rtl/>
        </w:rPr>
        <w:t>ۡ</w:t>
      </w:r>
      <w:r w:rsidR="00252DED" w:rsidRPr="0067048A">
        <w:rPr>
          <w:rFonts w:ascii="KFGQPC Uthmanic Script HAFS" w:cs="KFGQPC Uthmanic Script HAFS" w:hint="eastAsia"/>
          <w:sz w:val="28"/>
          <w:szCs w:val="28"/>
          <w:rtl/>
        </w:rPr>
        <w:t>رِبُونَ</w:t>
      </w:r>
      <w:r w:rsidR="00252DED" w:rsidRPr="0067048A">
        <w:rPr>
          <w:rFonts w:ascii="KFGQPC Uthmanic Script HAFS" w:cs="KFGQPC Uthmanic Script HAFS"/>
          <w:sz w:val="28"/>
          <w:szCs w:val="28"/>
          <w:rtl/>
        </w:rPr>
        <w:t xml:space="preserve"> </w:t>
      </w:r>
      <w:r w:rsidR="00252DED" w:rsidRPr="0067048A">
        <w:rPr>
          <w:rFonts w:ascii="KFGQPC Uthmanic Script HAFS" w:cs="KFGQPC Uthmanic Script HAFS" w:hint="eastAsia"/>
          <w:sz w:val="28"/>
          <w:szCs w:val="28"/>
          <w:rtl/>
        </w:rPr>
        <w:t>بُيُوتَهُم</w:t>
      </w:r>
      <w:r w:rsidR="00252DED" w:rsidRPr="0067048A">
        <w:rPr>
          <w:rFonts w:ascii="KFGQPC Uthmanic Script HAFS" w:cs="KFGQPC Uthmanic Script HAFS" w:hint="cs"/>
          <w:sz w:val="28"/>
          <w:szCs w:val="28"/>
          <w:rtl/>
        </w:rPr>
        <w:t xml:space="preserve"> </w:t>
      </w:r>
      <w:r w:rsidR="00252DED" w:rsidRPr="0067048A">
        <w:rPr>
          <w:rFonts w:ascii="KFGQPC Uthmanic Script HAFS" w:cs="KFGQPC Uthmanic Script HAFS" w:hint="eastAsia"/>
          <w:sz w:val="28"/>
          <w:szCs w:val="28"/>
          <w:rtl/>
        </w:rPr>
        <w:t>بِأَي</w:t>
      </w:r>
      <w:r w:rsidR="00252DED" w:rsidRPr="0067048A">
        <w:rPr>
          <w:rFonts w:ascii="KFGQPC Uthmanic Script HAFS" w:cs="KFGQPC Uthmanic Script HAFS" w:hint="cs"/>
          <w:sz w:val="28"/>
          <w:szCs w:val="28"/>
          <w:rtl/>
        </w:rPr>
        <w:t>ۡ</w:t>
      </w:r>
      <w:r w:rsidR="00252DED" w:rsidRPr="0067048A">
        <w:rPr>
          <w:rFonts w:ascii="KFGQPC Uthmanic Script HAFS" w:cs="KFGQPC Uthmanic Script HAFS" w:hint="eastAsia"/>
          <w:sz w:val="28"/>
          <w:szCs w:val="28"/>
          <w:rtl/>
        </w:rPr>
        <w:t>دِيهِم</w:t>
      </w:r>
      <w:r w:rsidR="00252DED" w:rsidRPr="0067048A">
        <w:rPr>
          <w:rFonts w:ascii="KFGQPC Uthmanic Script HAFS" w:cs="KFGQPC Uthmanic Script HAFS" w:hint="cs"/>
          <w:sz w:val="28"/>
          <w:szCs w:val="28"/>
          <w:rtl/>
        </w:rPr>
        <w:t>ۡ</w:t>
      </w:r>
      <w:r w:rsidR="00252DED" w:rsidRPr="0067048A">
        <w:rPr>
          <w:rFonts w:ascii="KFGQPC Uthmanic Script HAFS" w:cs="KFGQPC Uthmanic Script HAFS"/>
          <w:sz w:val="28"/>
          <w:szCs w:val="28"/>
          <w:rtl/>
        </w:rPr>
        <w:t xml:space="preserve"> </w:t>
      </w:r>
      <w:r w:rsidR="00252DED" w:rsidRPr="0067048A">
        <w:rPr>
          <w:rFonts w:ascii="KFGQPC Uthmanic Script HAFS" w:cs="KFGQPC Uthmanic Script HAFS" w:hint="eastAsia"/>
          <w:sz w:val="28"/>
          <w:szCs w:val="28"/>
          <w:rtl/>
        </w:rPr>
        <w:t>وَأَي</w:t>
      </w:r>
      <w:r w:rsidR="00252DED" w:rsidRPr="0067048A">
        <w:rPr>
          <w:rFonts w:ascii="KFGQPC Uthmanic Script HAFS" w:cs="KFGQPC Uthmanic Script HAFS" w:hint="cs"/>
          <w:sz w:val="28"/>
          <w:szCs w:val="28"/>
          <w:rtl/>
        </w:rPr>
        <w:t>ۡ</w:t>
      </w:r>
      <w:r w:rsidR="00252DED" w:rsidRPr="0067048A">
        <w:rPr>
          <w:rFonts w:ascii="KFGQPC Uthmanic Script HAFS" w:cs="KFGQPC Uthmanic Script HAFS" w:hint="eastAsia"/>
          <w:sz w:val="28"/>
          <w:szCs w:val="28"/>
          <w:rtl/>
        </w:rPr>
        <w:t>دِي</w:t>
      </w:r>
      <w:r w:rsidR="00252DED" w:rsidRPr="0067048A">
        <w:rPr>
          <w:rFonts w:ascii="KFGQPC Uthmanic Script HAFS" w:cs="KFGQPC Uthmanic Script HAFS"/>
          <w:sz w:val="28"/>
          <w:szCs w:val="28"/>
          <w:rtl/>
        </w:rPr>
        <w:t xml:space="preserve"> </w:t>
      </w:r>
      <w:r w:rsidR="00252DED" w:rsidRPr="0067048A">
        <w:rPr>
          <w:rFonts w:ascii="KFGQPC Uthmanic Script HAFS" w:cs="KFGQPC Uthmanic Script HAFS" w:hint="cs"/>
          <w:sz w:val="28"/>
          <w:szCs w:val="28"/>
          <w:rtl/>
        </w:rPr>
        <w:t>ٱ</w:t>
      </w:r>
      <w:r w:rsidR="00252DED" w:rsidRPr="0067048A">
        <w:rPr>
          <w:rFonts w:ascii="KFGQPC Uthmanic Script HAFS" w:cs="KFGQPC Uthmanic Script HAFS" w:hint="eastAsia"/>
          <w:sz w:val="28"/>
          <w:szCs w:val="28"/>
          <w:rtl/>
        </w:rPr>
        <w:t>ل</w:t>
      </w:r>
      <w:r w:rsidR="00252DED" w:rsidRPr="0067048A">
        <w:rPr>
          <w:rFonts w:ascii="KFGQPC Uthmanic Script HAFS" w:cs="KFGQPC Uthmanic Script HAFS" w:hint="cs"/>
          <w:sz w:val="28"/>
          <w:szCs w:val="28"/>
          <w:rtl/>
        </w:rPr>
        <w:t>ۡ</w:t>
      </w:r>
      <w:r w:rsidR="00252DED" w:rsidRPr="0067048A">
        <w:rPr>
          <w:rFonts w:ascii="KFGQPC Uthmanic Script HAFS" w:cs="KFGQPC Uthmanic Script HAFS" w:hint="eastAsia"/>
          <w:sz w:val="28"/>
          <w:szCs w:val="28"/>
          <w:rtl/>
        </w:rPr>
        <w:t>مُؤ</w:t>
      </w:r>
      <w:r w:rsidR="00252DED" w:rsidRPr="0067048A">
        <w:rPr>
          <w:rFonts w:ascii="KFGQPC Uthmanic Script HAFS" w:cs="KFGQPC Uthmanic Script HAFS" w:hint="cs"/>
          <w:sz w:val="28"/>
          <w:szCs w:val="28"/>
          <w:rtl/>
        </w:rPr>
        <w:t>ۡ</w:t>
      </w:r>
      <w:r w:rsidR="00252DED" w:rsidRPr="0067048A">
        <w:rPr>
          <w:rFonts w:ascii="KFGQPC Uthmanic Script HAFS" w:cs="KFGQPC Uthmanic Script HAFS" w:hint="eastAsia"/>
          <w:sz w:val="28"/>
          <w:szCs w:val="28"/>
          <w:rtl/>
        </w:rPr>
        <w:t>مِنِينَ</w:t>
      </w:r>
      <w:r w:rsidR="00252DED" w:rsidRPr="0067048A">
        <w:rPr>
          <w:rFonts w:ascii="KFGQPC Uthmanic Script HAFS" w:cs="KFGQPC Uthmanic Script HAFS"/>
          <w:sz w:val="28"/>
          <w:szCs w:val="28"/>
          <w:rtl/>
        </w:rPr>
        <w:t xml:space="preserve"> </w:t>
      </w:r>
      <w:r w:rsidR="00252DED" w:rsidRPr="0067048A">
        <w:rPr>
          <w:rFonts w:ascii="KFGQPC Uthmanic Script HAFS" w:cs="KFGQPC Uthmanic Script HAFS" w:hint="eastAsia"/>
          <w:sz w:val="28"/>
          <w:szCs w:val="28"/>
          <w:rtl/>
        </w:rPr>
        <w:t>فَ</w:t>
      </w:r>
      <w:r w:rsidR="00252DED" w:rsidRPr="0067048A">
        <w:rPr>
          <w:rFonts w:ascii="KFGQPC Uthmanic Script HAFS" w:cs="KFGQPC Uthmanic Script HAFS" w:hint="cs"/>
          <w:sz w:val="28"/>
          <w:szCs w:val="28"/>
          <w:rtl/>
        </w:rPr>
        <w:t>ٱ</w:t>
      </w:r>
      <w:r w:rsidR="00252DED" w:rsidRPr="0067048A">
        <w:rPr>
          <w:rFonts w:ascii="KFGQPC Uthmanic Script HAFS" w:cs="KFGQPC Uthmanic Script HAFS" w:hint="eastAsia"/>
          <w:sz w:val="28"/>
          <w:szCs w:val="28"/>
          <w:rtl/>
        </w:rPr>
        <w:t>ع</w:t>
      </w:r>
      <w:r w:rsidR="00252DED" w:rsidRPr="0067048A">
        <w:rPr>
          <w:rFonts w:ascii="KFGQPC Uthmanic Script HAFS" w:cs="KFGQPC Uthmanic Script HAFS" w:hint="cs"/>
          <w:sz w:val="28"/>
          <w:szCs w:val="28"/>
          <w:rtl/>
        </w:rPr>
        <w:t>ۡ</w:t>
      </w:r>
      <w:r w:rsidR="00252DED" w:rsidRPr="0067048A">
        <w:rPr>
          <w:rFonts w:ascii="KFGQPC Uthmanic Script HAFS" w:cs="KFGQPC Uthmanic Script HAFS" w:hint="eastAsia"/>
          <w:sz w:val="28"/>
          <w:szCs w:val="28"/>
          <w:rtl/>
        </w:rPr>
        <w:t>تَبِرُواْ</w:t>
      </w:r>
      <w:r w:rsidR="00252DED" w:rsidRPr="0067048A">
        <w:rPr>
          <w:rFonts w:ascii="KFGQPC Uthmanic Script HAFS" w:cs="KFGQPC Uthmanic Script HAFS"/>
          <w:sz w:val="28"/>
          <w:szCs w:val="28"/>
          <w:rtl/>
        </w:rPr>
        <w:t xml:space="preserve"> </w:t>
      </w:r>
      <w:r w:rsidR="00252DED" w:rsidRPr="0067048A">
        <w:rPr>
          <w:rFonts w:ascii="KFGQPC Uthmanic Script HAFS" w:cs="KFGQPC Uthmanic Script HAFS" w:hint="eastAsia"/>
          <w:sz w:val="28"/>
          <w:szCs w:val="28"/>
          <w:rtl/>
        </w:rPr>
        <w:t>يَ</w:t>
      </w:r>
      <w:r w:rsidR="00252DED" w:rsidRPr="0067048A">
        <w:rPr>
          <w:rFonts w:ascii="KFGQPC Uthmanic Script HAFS" w:cs="KFGQPC Uthmanic Script HAFS" w:hint="cs"/>
          <w:sz w:val="28"/>
          <w:szCs w:val="28"/>
          <w:rtl/>
        </w:rPr>
        <w:t>ٰٓ</w:t>
      </w:r>
      <w:r w:rsidR="00252DED" w:rsidRPr="0067048A">
        <w:rPr>
          <w:rFonts w:ascii="KFGQPC Uthmanic Script HAFS" w:cs="KFGQPC Uthmanic Script HAFS" w:hint="eastAsia"/>
          <w:sz w:val="28"/>
          <w:szCs w:val="28"/>
          <w:rtl/>
        </w:rPr>
        <w:t>أُوْلِي</w:t>
      </w:r>
      <w:r w:rsidR="00252DED" w:rsidRPr="0067048A">
        <w:rPr>
          <w:rFonts w:ascii="KFGQPC Uthmanic Script HAFS" w:cs="KFGQPC Uthmanic Script HAFS"/>
          <w:sz w:val="28"/>
          <w:szCs w:val="28"/>
          <w:rtl/>
        </w:rPr>
        <w:t xml:space="preserve"> </w:t>
      </w:r>
      <w:r w:rsidR="00252DED" w:rsidRPr="0067048A">
        <w:rPr>
          <w:rFonts w:ascii="KFGQPC Uthmanic Script HAFS" w:cs="KFGQPC Uthmanic Script HAFS" w:hint="cs"/>
          <w:sz w:val="28"/>
          <w:szCs w:val="28"/>
          <w:rtl/>
        </w:rPr>
        <w:t>ٱ</w:t>
      </w:r>
      <w:r w:rsidR="00252DED" w:rsidRPr="0067048A">
        <w:rPr>
          <w:rFonts w:ascii="KFGQPC Uthmanic Script HAFS" w:cs="KFGQPC Uthmanic Script HAFS" w:hint="eastAsia"/>
          <w:sz w:val="28"/>
          <w:szCs w:val="28"/>
          <w:rtl/>
        </w:rPr>
        <w:t>ل</w:t>
      </w:r>
      <w:r w:rsidR="00252DED" w:rsidRPr="0067048A">
        <w:rPr>
          <w:rFonts w:ascii="KFGQPC Uthmanic Script HAFS" w:cs="KFGQPC Uthmanic Script HAFS" w:hint="cs"/>
          <w:sz w:val="28"/>
          <w:szCs w:val="28"/>
          <w:rtl/>
        </w:rPr>
        <w:t>ۡ</w:t>
      </w:r>
      <w:r w:rsidR="00252DED" w:rsidRPr="0067048A">
        <w:rPr>
          <w:rFonts w:ascii="KFGQPC Uthmanic Script HAFS" w:cs="KFGQPC Uthmanic Script HAFS" w:hint="eastAsia"/>
          <w:sz w:val="28"/>
          <w:szCs w:val="28"/>
          <w:rtl/>
        </w:rPr>
        <w:t>أَب</w:t>
      </w:r>
      <w:r w:rsidR="00252DED" w:rsidRPr="0067048A">
        <w:rPr>
          <w:rFonts w:ascii="KFGQPC Uthmanic Script HAFS" w:cs="KFGQPC Uthmanic Script HAFS" w:hint="cs"/>
          <w:sz w:val="28"/>
          <w:szCs w:val="28"/>
          <w:rtl/>
        </w:rPr>
        <w:t>ۡ</w:t>
      </w:r>
      <w:r w:rsidR="00252DED" w:rsidRPr="0067048A">
        <w:rPr>
          <w:rFonts w:ascii="KFGQPC Uthmanic Script HAFS" w:cs="KFGQPC Uthmanic Script HAFS" w:hint="eastAsia"/>
          <w:sz w:val="28"/>
          <w:szCs w:val="28"/>
          <w:rtl/>
        </w:rPr>
        <w:t>صَ</w:t>
      </w:r>
      <w:r w:rsidR="00252DED" w:rsidRPr="0067048A">
        <w:rPr>
          <w:rFonts w:ascii="KFGQPC Uthmanic Script HAFS" w:cs="KFGQPC Uthmanic Script HAFS" w:hint="cs"/>
          <w:sz w:val="28"/>
          <w:szCs w:val="28"/>
          <w:rtl/>
        </w:rPr>
        <w:t>ٰ</w:t>
      </w:r>
      <w:r w:rsidR="00252DED" w:rsidRPr="0067048A">
        <w:rPr>
          <w:rFonts w:ascii="KFGQPC Uthmanic Script HAFS" w:cs="KFGQPC Uthmanic Script HAFS" w:hint="eastAsia"/>
          <w:sz w:val="28"/>
          <w:szCs w:val="28"/>
          <w:rtl/>
        </w:rPr>
        <w:t>رِ</w:t>
      </w:r>
      <w:r w:rsidR="00252DED" w:rsidRPr="00995B26">
        <w:rPr>
          <w:rFonts w:cs="Traditional Arabic" w:hint="cs"/>
          <w:szCs w:val="30"/>
          <w:rtl/>
          <w:lang w:bidi="ar-SY"/>
        </w:rPr>
        <w:t>﴾</w:t>
      </w:r>
      <w:r w:rsidRPr="00495BAB">
        <w:rPr>
          <w:rFonts w:hint="cs"/>
          <w:rtl/>
          <w:lang w:bidi="ar-SY"/>
        </w:rPr>
        <w:t xml:space="preserve"> </w:t>
      </w:r>
      <w:r w:rsidRPr="009E1401">
        <w:rPr>
          <w:rStyle w:val="Char2"/>
          <w:rtl/>
        </w:rPr>
        <w:t>[الحشر</w:t>
      </w:r>
      <w:r w:rsidR="00252DED" w:rsidRPr="009E1401">
        <w:rPr>
          <w:rStyle w:val="Char2"/>
          <w:rFonts w:hint="cs"/>
          <w:rtl/>
        </w:rPr>
        <w:t xml:space="preserve">: </w:t>
      </w:r>
      <w:r w:rsidRPr="009E1401">
        <w:rPr>
          <w:rStyle w:val="Char2"/>
          <w:rtl/>
        </w:rPr>
        <w:t>2]</w:t>
      </w:r>
      <w:r w:rsidRPr="00495BAB">
        <w:rPr>
          <w:rFonts w:hint="cs"/>
          <w:rtl/>
          <w:lang w:bidi="ar-SY"/>
        </w:rPr>
        <w:t>.</w:t>
      </w:r>
    </w:p>
    <w:p w:rsidR="00CD31AA" w:rsidRPr="00495BAB" w:rsidRDefault="00CD31AA" w:rsidP="00495BAB">
      <w:pPr>
        <w:pStyle w:val="a0"/>
        <w:rPr>
          <w:rFonts w:hint="cs"/>
          <w:rtl/>
          <w:lang w:bidi="ar-SY"/>
        </w:rPr>
      </w:pPr>
      <w:r w:rsidRPr="00495BAB">
        <w:rPr>
          <w:rFonts w:hint="cs"/>
          <w:rtl/>
          <w:lang w:bidi="ar-SY"/>
        </w:rPr>
        <w:t>بعد تلك المقدمات بدأ كاتب</w:t>
      </w:r>
      <w:r w:rsidR="003D5973" w:rsidRPr="00495BAB">
        <w:rPr>
          <w:rFonts w:hint="cs"/>
          <w:rtl/>
          <w:lang w:bidi="ar-SY"/>
        </w:rPr>
        <w:t>وا</w:t>
      </w:r>
      <w:r w:rsidRPr="00495BAB">
        <w:rPr>
          <w:rFonts w:hint="cs"/>
          <w:rtl/>
          <w:lang w:bidi="ar-SY"/>
        </w:rPr>
        <w:t xml:space="preserve"> الرد بالدخول في أصل الموضوع وقال</w:t>
      </w:r>
      <w:r w:rsidR="003D5973" w:rsidRPr="00495BAB">
        <w:rPr>
          <w:rFonts w:hint="cs"/>
          <w:rtl/>
          <w:lang w:bidi="ar-SY"/>
        </w:rPr>
        <w:t>وا</w:t>
      </w:r>
      <w:r w:rsidRPr="00495BAB">
        <w:rPr>
          <w:rFonts w:hint="cs"/>
          <w:rtl/>
          <w:lang w:bidi="ar-SY"/>
        </w:rPr>
        <w:t>:</w:t>
      </w:r>
    </w:p>
    <w:p w:rsidR="00CD31AA" w:rsidRPr="00995B26" w:rsidRDefault="00CD31AA" w:rsidP="00495BAB">
      <w:pPr>
        <w:pStyle w:val="a0"/>
        <w:rPr>
          <w:rFonts w:hint="cs"/>
          <w:rtl/>
          <w:lang w:bidi="ar-SY"/>
        </w:rPr>
      </w:pPr>
      <w:r w:rsidRPr="00495BAB">
        <w:rPr>
          <w:rFonts w:hint="cs"/>
          <w:rtl/>
          <w:lang w:bidi="ar-SY"/>
        </w:rPr>
        <w:t>«</w:t>
      </w:r>
      <w:r w:rsidRPr="00995B26">
        <w:rPr>
          <w:rFonts w:cs="Akhbar MT" w:hint="cs"/>
          <w:szCs w:val="30"/>
          <w:rtl/>
          <w:lang w:bidi="ar-SY"/>
        </w:rPr>
        <w:t>الخمس أحد المصادر المالية للإسلام..... وقراءة سريعة للتاريخ ولتعاليم الإسلام توضِّح أن الإسلام لم يكن مجرد مجموعة من التعاليم والمبادئ الأخلاقية والعقائد المتعلِّقة بالمبدأ والمعاد، بل أتى بحكومة تضمن جميع حاجات المجتمع النقي والراقي، ومن البديهي أن أحد أركان مثل هذه الحكومة تشكيل بيت المال لتلبية الحاجات الاقتصادية</w:t>
      </w:r>
      <w:r w:rsidRPr="00495BAB">
        <w:rPr>
          <w:rFonts w:hint="cs"/>
          <w:rtl/>
          <w:lang w:bidi="ar-SY"/>
        </w:rPr>
        <w:t>».</w:t>
      </w:r>
    </w:p>
    <w:p w:rsidR="00CD31AA" w:rsidRPr="00495BAB" w:rsidRDefault="00CD31AA" w:rsidP="00495BAB">
      <w:pPr>
        <w:pStyle w:val="a0"/>
        <w:rPr>
          <w:rtl/>
          <w:lang w:bidi="ar-SY"/>
        </w:rPr>
      </w:pPr>
      <w:r w:rsidRPr="00495BAB">
        <w:rPr>
          <w:rFonts w:hint="cs"/>
          <w:rtl/>
          <w:lang w:bidi="ar-SY"/>
        </w:rPr>
        <w:t>إن كُتّابَ الردّ ذوي الاطلاع الكبير! كتبوا هذه الفقرة في الرد على شخص قد كتب كتاباً حول «</w:t>
      </w:r>
      <w:r w:rsidRPr="00495BAB">
        <w:rPr>
          <w:rFonts w:hint="cs"/>
          <w:b/>
          <w:bCs/>
          <w:rtl/>
          <w:lang w:bidi="ar-SY"/>
        </w:rPr>
        <w:t>الحكومة في الإسلام</w:t>
      </w:r>
      <w:r w:rsidRPr="00495BAB">
        <w:rPr>
          <w:rFonts w:hint="cs"/>
          <w:rtl/>
          <w:lang w:bidi="ar-SY"/>
        </w:rPr>
        <w:t>» أوضح وأكثر تفصيلاً واستدلالاً من جميع ما كتبه غيره من المؤلفين والكتاب الإسلاميين المعاصرين. وهو كتاب جعله أحد مجتهدي الحوزة العلمية الأجلاء في قم، الذي يعيش حالياً في السجن وراء القضبان بسبب نشاطاته السياسية،</w:t>
      </w:r>
      <w:r w:rsidR="000C68EA" w:rsidRPr="000C68EA">
        <w:rPr>
          <w:rStyle w:val="FootnoteReference"/>
          <w:rFonts w:cs="Arabic11 BT"/>
          <w:rtl/>
          <w:lang w:bidi="ar-SY"/>
        </w:rPr>
        <w:t>(</w:t>
      </w:r>
      <w:r w:rsidR="000C68EA" w:rsidRPr="000C68EA">
        <w:rPr>
          <w:rStyle w:val="FootnoteReference"/>
          <w:rFonts w:cs="Arabic11 BT"/>
          <w:rtl/>
          <w:lang w:bidi="ar-SY"/>
        </w:rPr>
        <w:footnoteReference w:id="486"/>
      </w:r>
      <w:r w:rsidR="000C68EA" w:rsidRPr="000C68EA">
        <w:rPr>
          <w:rStyle w:val="FootnoteReference"/>
          <w:rFonts w:cs="Arabic11 BT"/>
          <w:rtl/>
          <w:lang w:bidi="ar-SY"/>
        </w:rPr>
        <w:t>)</w:t>
      </w:r>
      <w:r w:rsidRPr="00495BAB">
        <w:rPr>
          <w:rFonts w:hint="cs"/>
          <w:rtl/>
          <w:lang w:bidi="ar-SY"/>
        </w:rPr>
        <w:t xml:space="preserve"> من مصادره في التدريس وكان يدرّسه لطلابه الفضلاء بوصفه شرحاً لنظرية الحكم في الإسلام!</w:t>
      </w:r>
    </w:p>
    <w:p w:rsidR="00CD31AA" w:rsidRPr="00495BAB" w:rsidRDefault="00CD31AA" w:rsidP="00451CED">
      <w:pPr>
        <w:pStyle w:val="a0"/>
        <w:rPr>
          <w:rFonts w:hint="cs"/>
          <w:rtl/>
          <w:lang w:bidi="ar-SY"/>
        </w:rPr>
      </w:pPr>
      <w:r w:rsidRPr="00495BAB">
        <w:rPr>
          <w:rFonts w:hint="cs"/>
          <w:rtl/>
          <w:lang w:bidi="ar-SY"/>
        </w:rPr>
        <w:t xml:space="preserve">نعم! للإسلام برامج وتعاليم اقتصادية رفيعة جدًّا، لكن المنتفعين وتجّار الدين في عالم التشيع فسَّروها على نحوٍ يصبُّ في صالحهم، ومن ذلك قولهم بتشريع ذلك الخُمس الناشئ من تفسيرهم بالرأي لآياتٍ من القرآن وبعض الأحاديث الباقية عن أئمة أهل البيت </w:t>
      </w:r>
      <w:r w:rsidR="00963EFD" w:rsidRPr="00963EFD">
        <w:rPr>
          <w:rFonts w:cs="CTraditional Arabic" w:hint="cs"/>
          <w:rtl/>
          <w:lang w:bidi="ar-SY"/>
        </w:rPr>
        <w:t>‡</w:t>
      </w:r>
      <w:r w:rsidRPr="00495BAB">
        <w:rPr>
          <w:rFonts w:hint="cs"/>
          <w:rtl/>
          <w:lang w:bidi="ar-SY"/>
        </w:rPr>
        <w:t>.</w:t>
      </w:r>
    </w:p>
    <w:p w:rsidR="00CD31AA" w:rsidRPr="00995B26" w:rsidRDefault="00CD31AA" w:rsidP="00495BAB">
      <w:pPr>
        <w:pStyle w:val="a0"/>
        <w:rPr>
          <w:rFonts w:hint="cs"/>
          <w:rtl/>
          <w:lang w:bidi="ar-SY"/>
        </w:rPr>
      </w:pPr>
      <w:r w:rsidRPr="00495BAB">
        <w:rPr>
          <w:rFonts w:hint="cs"/>
          <w:rtl/>
          <w:lang w:bidi="ar-SY"/>
        </w:rPr>
        <w:t xml:space="preserve">ثم أخذ </w:t>
      </w:r>
      <w:r w:rsidR="003D5973" w:rsidRPr="00495BAB">
        <w:rPr>
          <w:rFonts w:hint="cs"/>
          <w:rtl/>
          <w:lang w:bidi="ar-SY"/>
        </w:rPr>
        <w:t>أصحاب</w:t>
      </w:r>
      <w:r w:rsidRPr="00495BAB">
        <w:rPr>
          <w:rFonts w:hint="cs"/>
          <w:rtl/>
          <w:lang w:bidi="ar-SY"/>
        </w:rPr>
        <w:t xml:space="preserve"> الردّ يشرح</w:t>
      </w:r>
      <w:r w:rsidR="003D5973" w:rsidRPr="00495BAB">
        <w:rPr>
          <w:rFonts w:hint="cs"/>
          <w:rtl/>
          <w:lang w:bidi="ar-SY"/>
        </w:rPr>
        <w:t>ون</w:t>
      </w:r>
      <w:r w:rsidRPr="00495BAB">
        <w:rPr>
          <w:rFonts w:hint="cs"/>
          <w:rtl/>
          <w:lang w:bidi="ar-SY"/>
        </w:rPr>
        <w:t xml:space="preserve"> مصادر بيت المال في الإسلام فقال</w:t>
      </w:r>
      <w:r w:rsidR="003D5973" w:rsidRPr="00495BAB">
        <w:rPr>
          <w:rFonts w:hint="cs"/>
          <w:rtl/>
          <w:lang w:bidi="ar-SY"/>
        </w:rPr>
        <w:t>وا</w:t>
      </w:r>
      <w:r w:rsidRPr="00495BAB">
        <w:rPr>
          <w:rFonts w:hint="cs"/>
          <w:rtl/>
          <w:lang w:bidi="ar-SY"/>
        </w:rPr>
        <w:t>: «</w:t>
      </w:r>
      <w:r w:rsidRPr="00995B26">
        <w:rPr>
          <w:rFonts w:cs="Akhbar MT" w:hint="cs"/>
          <w:szCs w:val="30"/>
          <w:rtl/>
          <w:lang w:bidi="ar-SY"/>
        </w:rPr>
        <w:t xml:space="preserve">يشتمل بيت المال الإسلامي، الذي نشأ منذ بداية ورود النبي </w:t>
      </w:r>
      <w:r w:rsidRPr="00995B26">
        <w:rPr>
          <w:rFonts w:ascii="Abo-thar" w:hAnsi="Abo-thar" w:cs="Akhbar MT"/>
          <w:sz w:val="28"/>
          <w:szCs w:val="30"/>
          <w:lang w:bidi="fa-IR"/>
        </w:rPr>
        <w:t></w:t>
      </w:r>
      <w:r w:rsidRPr="00995B26">
        <w:rPr>
          <w:rFonts w:cs="Akhbar MT" w:hint="cs"/>
          <w:szCs w:val="30"/>
          <w:rtl/>
          <w:lang w:bidi="ar-SY"/>
        </w:rPr>
        <w:t xml:space="preserve"> إلى المدينة وتشكيله الحكومة الإسلامية، على الأموال التي كانت تُجْمَع من مصادر متعدِّدة:</w:t>
      </w:r>
    </w:p>
    <w:p w:rsidR="00CD31AA" w:rsidRPr="00995B26" w:rsidRDefault="00CD31AA" w:rsidP="00CD31AA">
      <w:pPr>
        <w:widowControl w:val="0"/>
        <w:ind w:firstLine="454"/>
        <w:jc w:val="both"/>
        <w:rPr>
          <w:rFonts w:cs="Akhbar MT" w:hint="cs"/>
          <w:szCs w:val="30"/>
          <w:rtl/>
          <w:lang w:bidi="ar-SY"/>
        </w:rPr>
      </w:pPr>
      <w:r w:rsidRPr="00995B26">
        <w:rPr>
          <w:rFonts w:cs="Akhbar MT" w:hint="cs"/>
          <w:szCs w:val="30"/>
          <w:rtl/>
          <w:lang w:bidi="ar-SY"/>
        </w:rPr>
        <w:t>- من طريق الزكاة</w:t>
      </w:r>
    </w:p>
    <w:p w:rsidR="00CD31AA" w:rsidRPr="00995B26" w:rsidRDefault="00CD31AA" w:rsidP="00CD31AA">
      <w:pPr>
        <w:widowControl w:val="0"/>
        <w:ind w:firstLine="454"/>
        <w:jc w:val="both"/>
        <w:rPr>
          <w:rFonts w:cs="Akhbar MT" w:hint="cs"/>
          <w:szCs w:val="30"/>
          <w:rtl/>
          <w:lang w:bidi="ar-SY"/>
        </w:rPr>
      </w:pPr>
      <w:r w:rsidRPr="00995B26">
        <w:rPr>
          <w:rFonts w:cs="Akhbar MT" w:hint="cs"/>
          <w:szCs w:val="30"/>
          <w:rtl/>
          <w:lang w:bidi="ar-SY"/>
        </w:rPr>
        <w:t>- من طريق الخمس</w:t>
      </w:r>
    </w:p>
    <w:p w:rsidR="00CD31AA" w:rsidRPr="00995B26" w:rsidRDefault="00CD31AA" w:rsidP="00CD31AA">
      <w:pPr>
        <w:widowControl w:val="0"/>
        <w:ind w:firstLine="454"/>
        <w:jc w:val="both"/>
        <w:rPr>
          <w:rFonts w:cs="Akhbar MT" w:hint="cs"/>
          <w:szCs w:val="30"/>
          <w:rtl/>
          <w:lang w:bidi="ar-SY"/>
        </w:rPr>
      </w:pPr>
      <w:r w:rsidRPr="00995B26">
        <w:rPr>
          <w:rFonts w:cs="Akhbar MT" w:hint="cs"/>
          <w:szCs w:val="30"/>
          <w:rtl/>
          <w:lang w:bidi="ar-SY"/>
        </w:rPr>
        <w:t>- من طريق الأنفال</w:t>
      </w:r>
    </w:p>
    <w:p w:rsidR="00CD31AA" w:rsidRPr="00995B26" w:rsidRDefault="00CD31AA" w:rsidP="00CD31AA">
      <w:pPr>
        <w:widowControl w:val="0"/>
        <w:ind w:firstLine="454"/>
        <w:jc w:val="both"/>
        <w:rPr>
          <w:rFonts w:cs="Akhbar MT" w:hint="cs"/>
          <w:szCs w:val="30"/>
          <w:rtl/>
          <w:lang w:bidi="ar-SY"/>
        </w:rPr>
      </w:pPr>
      <w:r w:rsidRPr="00995B26">
        <w:rPr>
          <w:rFonts w:cs="Akhbar MT" w:hint="cs"/>
          <w:szCs w:val="30"/>
          <w:rtl/>
          <w:lang w:bidi="ar-SY"/>
        </w:rPr>
        <w:t>- من طريق الخراج</w:t>
      </w:r>
    </w:p>
    <w:p w:rsidR="00CD31AA" w:rsidRPr="00995B26" w:rsidRDefault="00CD31AA" w:rsidP="00495BAB">
      <w:pPr>
        <w:pStyle w:val="a0"/>
        <w:rPr>
          <w:rtl/>
          <w:lang w:bidi="ar-SY"/>
        </w:rPr>
      </w:pPr>
      <w:r w:rsidRPr="00995B26">
        <w:rPr>
          <w:rFonts w:cs="Akhbar MT" w:hint="cs"/>
          <w:szCs w:val="30"/>
          <w:rtl/>
          <w:lang w:bidi="ar-SY"/>
        </w:rPr>
        <w:t>- من طريق الجزية</w:t>
      </w:r>
      <w:r w:rsidRPr="00495BAB">
        <w:rPr>
          <w:rFonts w:hint="cs"/>
          <w:rtl/>
          <w:lang w:bidi="ar-SY"/>
        </w:rPr>
        <w:t>»</w:t>
      </w:r>
      <w:r w:rsidRPr="00995B26">
        <w:rPr>
          <w:rFonts w:cs="Times New Roman" w:hint="cs"/>
          <w:szCs w:val="30"/>
          <w:rtl/>
          <w:lang w:bidi="ar-SY"/>
        </w:rPr>
        <w:t>.</w:t>
      </w:r>
    </w:p>
    <w:p w:rsidR="00CD31AA" w:rsidRPr="00495BAB" w:rsidRDefault="00CD31AA" w:rsidP="00495BAB">
      <w:pPr>
        <w:pStyle w:val="a0"/>
        <w:rPr>
          <w:rFonts w:hint="cs"/>
          <w:rtl/>
          <w:lang w:bidi="ar-SY"/>
        </w:rPr>
      </w:pPr>
      <w:r w:rsidRPr="00495BAB">
        <w:rPr>
          <w:rFonts w:hint="cs"/>
          <w:rtl/>
          <w:lang w:bidi="ar-SY"/>
        </w:rPr>
        <w:t xml:space="preserve">وأقول: حقًّا إن جهل هؤلاء السادة بتاريخ الإسلام ليدعو إلى غاية العَجَب! لأنه عندما قَدِم نبيُّ الإسلام </w:t>
      </w:r>
      <w:r w:rsidRPr="00495BAB">
        <w:rPr>
          <w:rFonts w:ascii="Abo-thar" w:hAnsi="Abo-thar"/>
          <w:sz w:val="28"/>
          <w:lang w:bidi="fa-IR"/>
        </w:rPr>
        <w:t></w:t>
      </w:r>
      <w:r w:rsidRPr="00495BAB">
        <w:rPr>
          <w:rFonts w:hint="cs"/>
          <w:rtl/>
          <w:lang w:bidi="ar-SY"/>
        </w:rPr>
        <w:t xml:space="preserve"> إلى المدينة لم يكن لأيٍّ من هذه الأموال أيُّ وجود؛ لأن الأمر بأخذ الزكاة إنما نزل في السنة التاسعة للهجرة، كما أن أخذ خمس غنائم الحرب بدأ منذ السنة الثانية للهجرة، والأنفال والخراج والجزية وُجِدَتْ فيما بعد! وإن كان قصد كُتَّاب الردّ بيان جميع مصادر بيت المال الإسلامي، فهي أكثر مما ذكروه بكثير، كما شرحنا ذلك في كتابنا </w:t>
      </w:r>
      <w:r w:rsidRPr="00495BAB">
        <w:rPr>
          <w:rFonts w:hint="cs"/>
          <w:b/>
          <w:bCs/>
          <w:rtl/>
          <w:lang w:bidi="ar-SY"/>
        </w:rPr>
        <w:t>الزكاة</w:t>
      </w:r>
      <w:r w:rsidRPr="00495BAB">
        <w:rPr>
          <w:rFonts w:hint="cs"/>
          <w:rtl/>
          <w:lang w:bidi="ar-SY"/>
        </w:rPr>
        <w:t xml:space="preserve"> (ص 459 فما بعد). لكنْ ليس هذا هو قصد كاتبي الرد بل قصدهم إدراج ذلك الخُمس الشامل -بحيلة وبراعة - ضمن قائمة مصادر بيت المال خطأً وزورًا! في حين أنه لم يكن لمثل ذلك الخُمس أي وجود زمن رسول الله </w:t>
      </w:r>
      <w:r w:rsidRPr="00495BAB">
        <w:rPr>
          <w:rFonts w:ascii="Abo-thar" w:hAnsi="Abo-thar"/>
          <w:sz w:val="28"/>
          <w:lang w:bidi="fa-IR"/>
        </w:rPr>
        <w:t></w:t>
      </w:r>
      <w:r w:rsidRPr="00495BAB">
        <w:rPr>
          <w:rFonts w:hint="cs"/>
          <w:rtl/>
          <w:lang w:bidi="ar-SY"/>
        </w:rPr>
        <w:t xml:space="preserve"> ولا كان له أي أثر بعد النبي، بين مسلمي صدر الإسلام! </w:t>
      </w:r>
    </w:p>
    <w:p w:rsidR="00CD31AA" w:rsidRPr="00995B26" w:rsidRDefault="00CD31AA" w:rsidP="00451CED">
      <w:pPr>
        <w:pStyle w:val="a0"/>
        <w:rPr>
          <w:rFonts w:hint="cs"/>
          <w:rtl/>
          <w:lang w:bidi="ar-SY"/>
        </w:rPr>
      </w:pPr>
      <w:r w:rsidRPr="00495BAB">
        <w:rPr>
          <w:rFonts w:hint="cs"/>
          <w:rtl/>
          <w:lang w:bidi="ar-SY"/>
        </w:rPr>
        <w:t>ثم كتبوا في موضع آخر من ردهم يقولون: «</w:t>
      </w:r>
      <w:r w:rsidRPr="00995B26">
        <w:rPr>
          <w:rFonts w:cs="Akhbar MT" w:hint="cs"/>
          <w:szCs w:val="30"/>
          <w:rtl/>
          <w:lang w:bidi="ar-SY"/>
        </w:rPr>
        <w:t xml:space="preserve">ويشكل بعضهم </w:t>
      </w:r>
      <w:r w:rsidRPr="00495BAB">
        <w:rPr>
          <w:rFonts w:hint="cs"/>
          <w:rtl/>
          <w:lang w:bidi="ar-SY"/>
        </w:rPr>
        <w:t>[في حين أن هذا الإشكال يشكله جميع المسلمين بل كل عقلاء الدنيا]</w:t>
      </w:r>
      <w:r w:rsidRPr="00995B26">
        <w:rPr>
          <w:rFonts w:cs="Akhbar MT" w:hint="cs"/>
          <w:szCs w:val="30"/>
          <w:rtl/>
          <w:lang w:bidi="ar-SY"/>
        </w:rPr>
        <w:t xml:space="preserve"> قائلاً: لماذا عمَّم مذهب الشيعة الخمس وجعله يشمل كل ما يكسبه الإنسان وكل دَخْلٍ يصل إليه، في حين أولاً: ورد الخمس في القرآن المجيد بشأن غنائم الحرب فقط، وثانيًا: لم نرَ في التاريخ أن نبي الإسلام </w:t>
      </w:r>
      <w:r w:rsidRPr="00995B26">
        <w:rPr>
          <w:rFonts w:ascii="Abo-thar" w:hAnsi="Abo-thar" w:cs="Akhbar MT"/>
          <w:sz w:val="28"/>
          <w:szCs w:val="30"/>
          <w:lang w:bidi="fa-IR"/>
        </w:rPr>
        <w:t></w:t>
      </w:r>
      <w:r w:rsidRPr="00995B26">
        <w:rPr>
          <w:rFonts w:cs="Akhbar MT" w:hint="cs"/>
          <w:szCs w:val="30"/>
          <w:rtl/>
          <w:lang w:bidi="ar-SY"/>
        </w:rPr>
        <w:t xml:space="preserve"> أو أمير المؤمنين علي </w:t>
      </w:r>
      <w:r w:rsidR="00451CED" w:rsidRPr="003C7AEB">
        <w:rPr>
          <w:rFonts w:cs="CTraditional Arabic" w:hint="cs"/>
          <w:rtl/>
          <w:lang w:bidi="ar-SY"/>
        </w:rPr>
        <w:t>÷</w:t>
      </w:r>
      <w:r w:rsidRPr="00995B26">
        <w:rPr>
          <w:rFonts w:ascii="Abo-thar" w:hAnsi="Abo-thar" w:cs="Akhbar MT" w:hint="cs"/>
          <w:sz w:val="28"/>
          <w:szCs w:val="30"/>
          <w:rtl/>
          <w:lang w:bidi="ar-SY"/>
        </w:rPr>
        <w:t xml:space="preserve"> أو أي خليفة من الخلفاء </w:t>
      </w:r>
      <w:r w:rsidRPr="00995B26">
        <w:rPr>
          <w:rFonts w:cs="Akhbar MT" w:hint="cs"/>
          <w:szCs w:val="30"/>
          <w:rtl/>
          <w:lang w:bidi="ar-SY"/>
        </w:rPr>
        <w:t>أخذ الخمس من شيء سوى من غنائم الحرب؛ في حين يصر علماء الشيعة وفقهاؤهم على أن الخمس معناه خمس كل دخل مكتسب، ولا ينحصر في غنائم الحرب، بل كل ما يدخل إلى الإنسان من مال مكتسب سواء كان من طريق الزراعة أو تربية المواشي أو الصناعة أو التجارة أو العمل (الذي يمارسه العامل) أو أي نوع من أنواع الدخل الأخرى، يجب عليه أن يدفع خمسه إلى بيت المال ليُنْفَق في المصارف المعيَّنة، مع أنه ليس لدى الشيعة دليل واضح على هذه التوسعة للخمس</w:t>
      </w:r>
      <w:r w:rsidRPr="00495BAB">
        <w:rPr>
          <w:rFonts w:hint="cs"/>
          <w:rtl/>
          <w:lang w:bidi="ar-SY"/>
        </w:rPr>
        <w:t>......»</w:t>
      </w:r>
      <w:r w:rsidR="00F456DF" w:rsidRPr="00495BAB">
        <w:rPr>
          <w:rFonts w:hint="cs"/>
          <w:rtl/>
          <w:lang w:bidi="ar-SY"/>
        </w:rPr>
        <w:t>.</w:t>
      </w:r>
      <w:r w:rsidRPr="00495BAB">
        <w:rPr>
          <w:rFonts w:hint="cs"/>
          <w:rtl/>
          <w:lang w:bidi="ar-SY"/>
        </w:rPr>
        <w:t xml:space="preserve"> </w:t>
      </w:r>
    </w:p>
    <w:p w:rsidR="00CD31AA" w:rsidRPr="00495BAB" w:rsidRDefault="00CD31AA" w:rsidP="00495BAB">
      <w:pPr>
        <w:pStyle w:val="a0"/>
        <w:rPr>
          <w:rFonts w:hint="cs"/>
          <w:rtl/>
          <w:lang w:bidi="ar-SY"/>
        </w:rPr>
      </w:pPr>
      <w:r w:rsidRPr="00495BAB">
        <w:rPr>
          <w:rFonts w:hint="cs"/>
          <w:rtl/>
          <w:lang w:bidi="ar-SY"/>
        </w:rPr>
        <w:t>هذه الجمل كتبها مؤلِّفو كُتَيِّب الردّ أنفسُهُم على سبيل الإشكال على أنفسهم، كي نرى دلائلهم في الردّ على هذا الإشكال، وكيف سيتمكنون من الإجابة عنه؟ وقبل أن يبدأ أصحاب الرد بالإجابة عن هذا الإشكال بدؤوا فقرة عنوانها: «</w:t>
      </w:r>
      <w:r w:rsidRPr="00495BAB">
        <w:rPr>
          <w:rFonts w:hint="cs"/>
          <w:b/>
          <w:bCs/>
          <w:rtl/>
          <w:lang w:bidi="ar-SY"/>
        </w:rPr>
        <w:t>دافع المنتقدين</w:t>
      </w:r>
      <w:r w:rsidRPr="00495BAB">
        <w:rPr>
          <w:rFonts w:hint="cs"/>
          <w:rtl/>
          <w:lang w:bidi="ar-SY"/>
        </w:rPr>
        <w:t>» وجهوا فيها اتهامات لِلَّذين بينوا في كتاباتهم عدم وجوب التقليد وعدم وجوب الخمس، ورأوا - بحسِّهم السياسي - أن دافعهم هو ما يأتي:</w:t>
      </w:r>
    </w:p>
    <w:p w:rsidR="00CD31AA" w:rsidRPr="00995B26" w:rsidRDefault="00CD31AA" w:rsidP="00495BAB">
      <w:pPr>
        <w:pStyle w:val="a0"/>
        <w:rPr>
          <w:rFonts w:hint="cs"/>
          <w:rtl/>
          <w:lang w:bidi="ar-SY"/>
        </w:rPr>
      </w:pPr>
      <w:r w:rsidRPr="00495BAB">
        <w:rPr>
          <w:rFonts w:hint="cs"/>
          <w:rtl/>
          <w:lang w:bidi="ar-SY"/>
        </w:rPr>
        <w:t>«</w:t>
      </w:r>
      <w:r w:rsidRPr="00995B26">
        <w:rPr>
          <w:rFonts w:cs="Akhbar MT" w:hint="cs"/>
          <w:szCs w:val="30"/>
          <w:rtl/>
          <w:lang w:bidi="ar-SY"/>
        </w:rPr>
        <w:t>لا ريب أن هناك مآرب وأهداف في هذا الأمر، ودوافع أخرى غير التي يظهرونها. إن القرائن تبيِّن أن لهذه المجموعة من الناس خطة مدروسة لمحاربة أمرين، فهم يدركون أنه طالما كانت الزعامة الروحية للمجتمع بيد علماء الإسلام الكبار ومراجع الشيعة، وكان لهؤلاء العلماء والمراجع، إضافة إلى نفوذهم العميق بين الناس، استقلال اقتصادي، فلن يتمكنوا من تنفيذ مخططاتهم الخبيثة في مجال هدم العقائد الإسلامية و إفساد جماهير الناس. لذا وضعوا أيديهم على نقطتين حساستين جدًّا، الأولى: مسألة «التقليد» التي توجب على كل مسلم إما أن يكون مجتهدًا في المسائل المتعلقة بأحكام الإسلام، أو أن يرجع إلى المجتهدين ويعمل بما يفتون به</w:t>
      </w:r>
      <w:r w:rsidRPr="00495BAB">
        <w:rPr>
          <w:rFonts w:hint="cs"/>
          <w:rtl/>
          <w:lang w:bidi="ar-SY"/>
        </w:rPr>
        <w:t>».</w:t>
      </w:r>
    </w:p>
    <w:p w:rsidR="00CD31AA" w:rsidRPr="00495BAB" w:rsidRDefault="00CD31AA" w:rsidP="00495BAB">
      <w:pPr>
        <w:pStyle w:val="a0"/>
        <w:rPr>
          <w:rFonts w:hint="cs"/>
          <w:rtl/>
          <w:lang w:bidi="ar-SY"/>
        </w:rPr>
      </w:pPr>
      <w:r w:rsidRPr="00495BAB">
        <w:rPr>
          <w:rFonts w:hint="cs"/>
          <w:rtl/>
          <w:lang w:bidi="ar-SY"/>
        </w:rPr>
        <w:t>كما قلنا، هذه الفكرة ظن سيء و تهمة فاحشة عندما يُصوَّرون أن الدافع لهؤلاء الذين يبثون السموم (على حد قولهم) هو شيء آخر غير الحميَّة الدينية، وكما تعلمون أنفسكم، مسألة التقليد ومسألة الخمس كلاهما من اختراعات المبتدعين والمخترعين لأمور دينية لا علاقة لها بالإسلام الحقيقي بل الإسلام منها براء.</w:t>
      </w:r>
    </w:p>
    <w:p w:rsidR="00CD31AA" w:rsidRPr="00495BAB" w:rsidRDefault="00CD31AA" w:rsidP="00451CED">
      <w:pPr>
        <w:pStyle w:val="a0"/>
        <w:rPr>
          <w:rFonts w:hint="cs"/>
          <w:rtl/>
          <w:lang w:bidi="ar-SY"/>
        </w:rPr>
      </w:pPr>
      <w:r w:rsidRPr="00495BAB">
        <w:rPr>
          <w:rFonts w:hint="cs"/>
          <w:rtl/>
          <w:lang w:bidi="ar-SY"/>
        </w:rPr>
        <w:t xml:space="preserve">ومن الجدير بالذكر أن الاعتراض على موضوع التقليد له سابقة قديمة جدًّا و واضحة في مذهب الشيعة، ولم يظهر التقليد بهذه الصورة المزدهرة والحصرية التي هو عليها اليوم إلا في القرنين الأخيرين فقط، في حين أنه عند بدء نشأة هذا المذهب كان أتباعه في زمن أئمة أهل البيت </w:t>
      </w:r>
      <w:r w:rsidR="00963EFD" w:rsidRPr="00963EFD">
        <w:rPr>
          <w:rFonts w:cs="CTraditional Arabic" w:hint="cs"/>
          <w:rtl/>
          <w:lang w:bidi="ar-SY"/>
        </w:rPr>
        <w:t>‡</w:t>
      </w:r>
      <w:r w:rsidRPr="00495BAB">
        <w:rPr>
          <w:rFonts w:hint="cs"/>
          <w:rtl/>
          <w:lang w:bidi="ar-SY"/>
        </w:rPr>
        <w:t xml:space="preserve"> يرجعون إليهم ويأخذون عنهم مسائل دينهم استنادًا إلى ما يروونه لهم عن رسول الله </w:t>
      </w:r>
      <w:r w:rsidRPr="00495BAB">
        <w:rPr>
          <w:rFonts w:ascii="Abo-thar" w:hAnsi="Abo-thar"/>
          <w:sz w:val="28"/>
          <w:lang w:bidi="fa-IR"/>
        </w:rPr>
        <w:t></w:t>
      </w:r>
      <w:r w:rsidRPr="00495BAB">
        <w:rPr>
          <w:rFonts w:hint="cs"/>
          <w:rtl/>
          <w:lang w:bidi="ar-SY"/>
        </w:rPr>
        <w:t>، وبعد ذلك كان المؤمنون يرجعون إلى أخبار وأحاديث أهل البيت. وكان معظم علماء الإسلام وفقهائه أخباريين، حسب الاصطلاح، وما يزال بعض أصحاب هذا المشرب موجودون حاليًّا - قليلاً أو كثيرًا - وقد ألفوا كتبًا ورسائل عديدة في ذمّ الفقهاء من أهل الرأي والفتوى، أي الفقهاء الأصوليين، حسب الاصطلاح، الذين عددهم أكثر بكثير! وهذه البدعة (إبداء الرأي والفتوى) إنما ظهرت مِنْ قِبَلِ أشخاص من غير أهل البيت، أي هي من مُخترعات مخالفي الشيعة الذين ليس لم تكن لديهم المصادر الغنية لأحاديث وأخبار أهل البيت، فكانوا يفتون الناس ويستنبطون أحكام الشرع بالرأي والظن والقياس والاستحسان، وهذا يعرفه كل من له إلمام بكيفية انتشار أحكام الإسلام ومسيرة الفقه الإسلامي. كما أنه من الواضح تمامًا أنه عندما لا يكون القرآن الكريم كافيًا لبيان أحكام الإسلام جميعها، فوجوب الاحتياط يقضي بلزوم الرجوع إلى أخبار أهل بيت القرآن الصحيحة، لا إلى رأي هذا العالم وذاك، وظنه وقياسه واستحسانه.</w:t>
      </w:r>
    </w:p>
    <w:p w:rsidR="00CD31AA" w:rsidRPr="00995B26" w:rsidRDefault="00CD31AA" w:rsidP="00451CED">
      <w:pPr>
        <w:pStyle w:val="a0"/>
        <w:rPr>
          <w:rFonts w:hint="cs"/>
          <w:rtl/>
          <w:lang w:bidi="ar-SY"/>
        </w:rPr>
      </w:pPr>
      <w:r w:rsidRPr="00495BAB">
        <w:rPr>
          <w:rFonts w:hint="cs"/>
          <w:rtl/>
          <w:lang w:bidi="ar-SY"/>
        </w:rPr>
        <w:t>ولعل الإشكال الآتي يُطرح هنا وهو: «</w:t>
      </w:r>
      <w:r w:rsidRPr="00995B26">
        <w:rPr>
          <w:rFonts w:cs="Akhbar MT" w:hint="cs"/>
          <w:szCs w:val="30"/>
          <w:rtl/>
          <w:lang w:bidi="ar-SY"/>
        </w:rPr>
        <w:t xml:space="preserve">لقد اختلطت الأخبار المسندة إلى أهل البيت </w:t>
      </w:r>
      <w:r w:rsidR="00963EFD" w:rsidRPr="00963EFD">
        <w:rPr>
          <w:rFonts w:cs="CTraditional Arabic" w:hint="cs"/>
          <w:szCs w:val="30"/>
          <w:rtl/>
          <w:lang w:bidi="ar-SY"/>
        </w:rPr>
        <w:t>‡</w:t>
      </w:r>
      <w:r w:rsidRPr="00995B26">
        <w:rPr>
          <w:rFonts w:cs="Akhbar MT" w:hint="cs"/>
          <w:szCs w:val="30"/>
          <w:rtl/>
          <w:lang w:bidi="ar-SY"/>
        </w:rPr>
        <w:t xml:space="preserve"> بدسائس الكذابين والغلاة والوضاعين، فلابدَّ من قيام العلماء، أو حسب الاصطلاح، الفقهاء، بتشخيص صحيح الأخبار وضعيفها، وتمييز الصحيح عن السقيم</w:t>
      </w:r>
      <w:r w:rsidRPr="00495BAB">
        <w:rPr>
          <w:rFonts w:hint="cs"/>
          <w:rtl/>
          <w:lang w:bidi="ar-SY"/>
        </w:rPr>
        <w:t>».</w:t>
      </w:r>
    </w:p>
    <w:p w:rsidR="00CD31AA" w:rsidRPr="00495BAB" w:rsidRDefault="00CD31AA" w:rsidP="00495BAB">
      <w:pPr>
        <w:pStyle w:val="a0"/>
        <w:rPr>
          <w:rFonts w:hint="cs"/>
          <w:rtl/>
          <w:lang w:bidi="ar-SY"/>
        </w:rPr>
      </w:pPr>
      <w:r w:rsidRPr="00495BAB">
        <w:rPr>
          <w:rFonts w:hint="cs"/>
          <w:rtl/>
          <w:lang w:bidi="ar-SY"/>
        </w:rPr>
        <w:t>لكن هذا الادعاء الذي يُساق للهروب من الواقع غير مقبول أبدًا. إن مثل هذا العمل الذي أُشيرَ إليه لم يقُم به علماء الشيعة خلال الأربعة عشر قرنًا الماضية بشكلٍ جماعيٍّ أي من خلال مجلس فقهي، وحتى الأخباريون أنفسهم ذهب كل واحد منهم مذهبًا، وهكذا فعل الأصوليون أيضًا، كما بيَّنا في كتاب «</w:t>
      </w:r>
      <w:r w:rsidRPr="00495BAB">
        <w:rPr>
          <w:rFonts w:hint="cs"/>
          <w:b/>
          <w:bCs/>
          <w:rtl/>
          <w:lang w:bidi="ar-SY"/>
        </w:rPr>
        <w:t>الزكاة</w:t>
      </w:r>
      <w:r w:rsidRPr="00495BAB">
        <w:rPr>
          <w:rFonts w:hint="cs"/>
          <w:rtl/>
          <w:lang w:bidi="ar-SY"/>
        </w:rPr>
        <w:t>»، إذْ لم يكونوا سوى مقلدين للقدماء في هذا المجال! ولا يمكن أبدًا أن نسمي مثل هؤلاء مجتهدين.</w:t>
      </w:r>
    </w:p>
    <w:p w:rsidR="00CD31AA" w:rsidRPr="00995B26" w:rsidRDefault="00CD31AA" w:rsidP="00495BAB">
      <w:pPr>
        <w:pStyle w:val="a0"/>
        <w:rPr>
          <w:rFonts w:hint="cs"/>
          <w:rtl/>
          <w:lang w:bidi="ar-SY"/>
        </w:rPr>
      </w:pPr>
      <w:r w:rsidRPr="00495BAB">
        <w:rPr>
          <w:rFonts w:hint="cs"/>
          <w:rtl/>
          <w:lang w:bidi="ar-SY"/>
        </w:rPr>
        <w:t>أما قوله</w:t>
      </w:r>
      <w:r w:rsidR="003D5973" w:rsidRPr="00495BAB">
        <w:rPr>
          <w:rFonts w:hint="cs"/>
          <w:rtl/>
          <w:lang w:bidi="ar-SY"/>
        </w:rPr>
        <w:t>م</w:t>
      </w:r>
      <w:r w:rsidRPr="00495BAB">
        <w:rPr>
          <w:rFonts w:hint="cs"/>
          <w:rtl/>
          <w:lang w:bidi="ar-SY"/>
        </w:rPr>
        <w:t>: «</w:t>
      </w:r>
      <w:r w:rsidRPr="00995B26">
        <w:rPr>
          <w:rFonts w:cs="Akhbar MT" w:hint="cs"/>
          <w:szCs w:val="30"/>
          <w:rtl/>
          <w:lang w:bidi="ar-SY"/>
        </w:rPr>
        <w:t xml:space="preserve"> الزعامة الروحية للمجتمع بيد علماء الإسلام الكبار ومراجع الشيعة، وأن هؤلاء العلماء والمراجع، إضافة إلى نفوذهم العميق بين الناس، يتمتَّعون باستقلال اقتصادي</w:t>
      </w:r>
      <w:r w:rsidRPr="00495BAB">
        <w:rPr>
          <w:rFonts w:hint="cs"/>
          <w:rtl/>
          <w:lang w:bidi="ar-SY"/>
        </w:rPr>
        <w:t xml:space="preserve">»، فنحن نؤيد صحة هذا الادّعاء تمامًا، لكننا نسأل: هل هؤلاء الكتَّاب البارزون، ونخبة مجتمع علماء الدين اليوم، مستعدون لتصديق مسألة واحدة واضحة ومعلومة يفهمها كل إنسان؟ وهي أنه رغم كل هذه المراتب، فإن مجتمع الشيعة اليوم، من حيث معرفتهم بالأمور الدينية وتعاليم الدين الصحيحة، أكثر تخلّفًا وجهلاً من جميع المجتمعات الإسلامية الأخرى، بل من جميع المجتمعات البشرية! بل ليس لديهم معرفة واطلاع صحيح على أي عقيدة من عقائد الإسلام الأساسية، ويشكلون من حيث الثقافة والأمور المعنوية والعقائد أفقر المجتمعات البشرية. وليس في مذهب الشيعة الحالي ما يمكنه أن ينتشل الشيعة من هذا الانحطاط والتخلف؛ لأن كل ما لديهم هو المدائح وقراءة المراثي وإقامة المآتم ولطم الصدور وضرب الرؤوس بالسيوف وضرب الظهور بالسلاسل، وعقد قطع الأقمشة على الأضرحة كوسيلة للتدخل على أصحابها وطلب قضاء الحاجات منهم، والتردُّد الدائم على المشاهد والقبور، وقراءة أدعية مثل دعاء الندبة والتوسل... الخ، مما لا وجود له في تعاليم الإسلام الصحيحة على الإطلاق. </w:t>
      </w:r>
    </w:p>
    <w:p w:rsidR="00CD31AA" w:rsidRPr="00495BAB" w:rsidRDefault="00CD31AA" w:rsidP="00495BAB">
      <w:pPr>
        <w:pStyle w:val="a0"/>
        <w:rPr>
          <w:rFonts w:hint="cs"/>
          <w:rtl/>
          <w:lang w:bidi="ar-SY"/>
        </w:rPr>
      </w:pPr>
      <w:r w:rsidRPr="00495BAB">
        <w:rPr>
          <w:rFonts w:hint="cs"/>
          <w:rtl/>
          <w:lang w:bidi="ar-SY"/>
        </w:rPr>
        <w:t>إن المسلم الذي ينبغي أن يكون أكثر علمًا وشجاعةً وسخاءً وتمدُّنًا من جميع الشعوب الأخرى وأن يكون اجتماعيًّا أكثر منها، هو الآن مع الأسف في النقطة المقابلة لكل هذه الفضائل والصفات. لأن هذه الصفات إنما توجد في أفراد مجتمع ينتشر فيه العلم والتعليم على نحو الوجوب، ويتربى فيه أفراد المجتمع على أيدي أشخاص علماء وشجعان في مؤسسات علمية منظمة؛ فيصبحون نتيجة ذلك قادرين على العمل والسعي وكسب دخل كاف، ويعيشون في بيئة تُحتَرَم فيها القوانين والأحكام. ولكن لسوء الحظ، لا يوجد مثل هذا الوضع والكيفية لدى أفراد الشيعة ومجتمعهم! لأن امتلاك جميع هذه الصفات، بحاجة إلى حكومة ومؤسسات كي تقوم بتربية مثل هؤلاء الأفراد والمجتمع. ولكن ماذا نعمل إذا كانت الزعامة الروحية للمجتمعات الشيعية يدعيها أفراد ويقوم بها أشخاص، رغم نفوذهم الاجتماعي العميق، لا يرون ضرورةً لتشكيل حكومة قوية قادرة، بل يعتبرون ذلك أمراً محرمًا ويربطون هذا الأمر بظهور الإمام المعصوم المنصوص عليه من السماء فقط! وإن قالوا اليوم على إثر ضغط الرأي العام أنه نعم! لابد من إقامة حكومة إسلامية، فإن كل واحد منهم يعتبر نفسه جديرًا برئاستها رغم عدم أهليته لهذا الأمر على الإطلاق، ولذلك يطلقون على أنفسهم لقب حاكم الشرع! في حين أنهم لا علم لهم بجغرافيا البلد الذي يسكنون فيه ولا بحاجاته، بل هم عاجزون حتى عن إدارة أسرهم، وليس لهم أدنى التفات واهتمام بالأمور الاقتصادية أو الصحية أو الاجتماعية... إلخ.</w:t>
      </w:r>
    </w:p>
    <w:p w:rsidR="00CD31AA" w:rsidRPr="00495BAB" w:rsidRDefault="00CD31AA" w:rsidP="00495BAB">
      <w:pPr>
        <w:pStyle w:val="a0"/>
        <w:rPr>
          <w:rFonts w:hint="cs"/>
          <w:rtl/>
          <w:lang w:bidi="ar-SY"/>
        </w:rPr>
      </w:pPr>
      <w:r w:rsidRPr="00495BAB">
        <w:rPr>
          <w:rFonts w:hint="cs"/>
          <w:rtl/>
          <w:lang w:bidi="ar-SY"/>
        </w:rPr>
        <w:t xml:space="preserve">نحن نرى بالطبع ونصدق أن هذا الشعب المسكين والتائه يرجع في أموره الدينية إلى هؤلاء المجتهدين ويعمل بفتاواهم وأوامرهم. ولكن أي أوامر وفتاوى يعطون لهؤلاء الناس!؟ ما من شيء سوى رسالة عملية كتب نصها الماضون من قبلهم ثم أضافوا هم بعض كلمات </w:t>
      </w:r>
      <w:r w:rsidRPr="00495BAB">
        <w:rPr>
          <w:rFonts w:hint="cs"/>
          <w:b/>
          <w:bCs/>
          <w:rtl/>
          <w:lang w:bidi="ar-SY"/>
        </w:rPr>
        <w:t>الأحوط</w:t>
      </w:r>
      <w:r w:rsidRPr="00495BAB">
        <w:rPr>
          <w:rFonts w:hint="cs"/>
          <w:rtl/>
          <w:lang w:bidi="ar-SY"/>
        </w:rPr>
        <w:t xml:space="preserve"> أو </w:t>
      </w:r>
      <w:r w:rsidRPr="00495BAB">
        <w:rPr>
          <w:rFonts w:hint="cs"/>
          <w:b/>
          <w:bCs/>
          <w:rtl/>
          <w:lang w:bidi="ar-SY"/>
        </w:rPr>
        <w:t>الأقوى</w:t>
      </w:r>
      <w:r w:rsidRPr="00495BAB">
        <w:rPr>
          <w:rFonts w:hint="cs"/>
          <w:rtl/>
          <w:lang w:bidi="ar-SY"/>
        </w:rPr>
        <w:t xml:space="preserve"> إلى بعض محتوياتها، ولا تتضمن تلك الرسائل العملية سوى ذكر قائمة النجاسات والمطهرات وأحكام غسل الجنابة وأحكام الأموات والتيمم والوضوء و</w:t>
      </w:r>
      <w:r w:rsidR="00AB28A0" w:rsidRPr="00495BAB">
        <w:rPr>
          <w:rFonts w:hint="cs"/>
          <w:rtl/>
          <w:lang w:bidi="ar-SY"/>
        </w:rPr>
        <w:t>.</w:t>
      </w:r>
      <w:r w:rsidRPr="00495BAB">
        <w:rPr>
          <w:rFonts w:hint="cs"/>
          <w:rtl/>
          <w:lang w:bidi="ar-SY"/>
        </w:rPr>
        <w:t>..</w:t>
      </w:r>
      <w:r w:rsidR="00AB28A0" w:rsidRPr="00495BAB">
        <w:rPr>
          <w:rFonts w:hint="cs"/>
          <w:rtl/>
          <w:lang w:bidi="ar-SY"/>
        </w:rPr>
        <w:t>.</w:t>
      </w:r>
      <w:r w:rsidRPr="00495BAB">
        <w:rPr>
          <w:rFonts w:hint="cs"/>
          <w:rtl/>
          <w:lang w:bidi="ar-SY"/>
        </w:rPr>
        <w:t xml:space="preserve"> في حين أن حكم هذه المسائل قد تم بيانه وشرحه منذ صدر الإسلام على أفضل نحو، ولا يقوم هؤلاء المراجع إلا ببيانه بصورة منسوخة وناقصة، لذلك فوجود هذه الرسائل وكُتَّابها وعدمه لا يؤثر شيئًا في التقدم العلمي والعملي للناس!</w:t>
      </w:r>
    </w:p>
    <w:p w:rsidR="00CD31AA" w:rsidRPr="00495BAB" w:rsidRDefault="00CD31AA" w:rsidP="00495BAB">
      <w:pPr>
        <w:pStyle w:val="a0"/>
        <w:rPr>
          <w:rFonts w:hint="cs"/>
          <w:rtl/>
          <w:lang w:bidi="ar-SY"/>
        </w:rPr>
      </w:pPr>
      <w:r w:rsidRPr="00495BAB">
        <w:rPr>
          <w:rFonts w:hint="cs"/>
          <w:rtl/>
          <w:lang w:bidi="ar-SY"/>
        </w:rPr>
        <w:t>نعم لو أُخِذَت رسائل التقليد من هذا الشعب فما هو الضرر الذي سيصيب المجتمع عندئذ؟! ولو طبَّق الناس فتاواهم تطبيقًا تامًّا، فما هو الرقي والتقدم الذي سينالونه؟ هل سيتم إحياء عظمة الإسلام وتجديد مجده وشوكته إذا اتّبع الناس محتويات رسائل توضيح المسائل - التي هي حصيلة جهد عدة آلاف من المعممين المدعين للاجتهاد - اتباعًا دقيقًا؟ إن نظرة إلى الوضع الحالي لمجتمع الشيعة وزعمائهم يوضح لنا حقائق كثيرة، لكن الأمر يحتاج إلى عقلٍ يعمل وذهنٍ يفكر! إن مدرسة الشيعة الحالية تفتقد إلى القدرة على خلق حركة وتقدم في المجتمع، لأنها لا تملك أي عامل من العوامل التي تُمكِّنها من مواصلة الحياة السياسية والاقتصادية والاجتماعية! فالزعامة الروحية لمثل هذا المجتمع لا تمنح أحدًا قيمةً ولا افتخارًا. إن مدرسة الشيعة اليوم ليس لها أي نصيب من جميع أوامر الإسلام وأحكامه وقوانينه وفرائضه التي تتضمن حياة الأفراد والجماعات والتي كانت قد أوصلت الجاهلين المتخلفين في عصر الجاهلية إلى أعلى درجات المجد والعظمة، بل لا تملك سوى مجموعة من العقائد والعادات والسنن والبدع التي يمكننا القول إن الإسلام إن لم يكن يحاربها فإنه على أقل تقدير لا يوافق عليها. وذلك مثل التذلل والخضوع المفرط تجاه الأولياء والصالحين، والاهتمام الشديد بتعمير قبورهم وتزيينها، والتوسل والتعبد بأدعية وزيارات موضوعة، وبذل الأموال والأوقاف على قبور الأموات ممن يُعرَف ولا يُعرَف، والاحتفاء، الذي لا طائل تحته، بأيام ولادة ووفاة أولئك الأولياء والصالحين، والاحتفال في تلك الأيام أو إقامة المآتم غير المشروعة فيها؛ وتربية المتسولين والكسالى بأشكال مختلفة و</w:t>
      </w:r>
      <w:r w:rsidR="00AB28A0" w:rsidRPr="00495BAB">
        <w:rPr>
          <w:rFonts w:hint="cs"/>
          <w:rtl/>
          <w:lang w:bidi="ar-SY"/>
        </w:rPr>
        <w:t>.</w:t>
      </w:r>
      <w:r w:rsidRPr="00495BAB">
        <w:rPr>
          <w:rFonts w:hint="cs"/>
          <w:rtl/>
          <w:lang w:bidi="ar-SY"/>
        </w:rPr>
        <w:t>.. وتشريع خمس الإمام وسهمه، وطرق تحليل الحرام وأخذ الربا بما يسمونه اصطلاحًا بالحيل الشرعية وأمثال ذلك.</w:t>
      </w:r>
    </w:p>
    <w:p w:rsidR="00CD31AA" w:rsidRPr="00495BAB" w:rsidRDefault="00CD31AA" w:rsidP="00495BAB">
      <w:pPr>
        <w:pStyle w:val="a0"/>
        <w:rPr>
          <w:rFonts w:hint="cs"/>
          <w:rtl/>
          <w:lang w:bidi="ar-SY"/>
        </w:rPr>
      </w:pPr>
      <w:r w:rsidRPr="00495BAB">
        <w:rPr>
          <w:rFonts w:hint="cs"/>
          <w:rtl/>
          <w:lang w:bidi="ar-SY"/>
        </w:rPr>
        <w:t xml:space="preserve">إن مثل هذه المدرسة، ستستمر طالما بقي الناس يعيشون في ظلال الجهل وظلمات التعصب، ولكن لن تبقى هكذا للأبد! فإن وُجِد مَن يعترض على ادعاءاتكم أو على مراجع التقليد الآخرين، فسبب ذلك هو هذه الأوضاع الظاهرة التي لا يمكن كتمانها، كظهور الشمس في رابعة النهار. </w:t>
      </w:r>
    </w:p>
    <w:p w:rsidR="00CD31AA" w:rsidRPr="00495BAB" w:rsidRDefault="00CD31AA" w:rsidP="00495BAB">
      <w:pPr>
        <w:pStyle w:val="a0"/>
        <w:rPr>
          <w:rFonts w:hint="cs"/>
          <w:rtl/>
          <w:lang w:bidi="ar-SY"/>
        </w:rPr>
      </w:pPr>
      <w:r w:rsidRPr="00495BAB">
        <w:rPr>
          <w:rFonts w:hint="cs"/>
          <w:rtl/>
          <w:lang w:bidi="ar-SY"/>
        </w:rPr>
        <w:t xml:space="preserve">أما موضوع الخمس، فعلاوة على أنه بحد ذاته من أسباب إيجاد هذه المدرسة، هو تُهمة لدين الإسلام المقدس ولمؤسِّسه، لأنه يأمر الناس بوقف ودفع خمس الأموال الموجودة في الأرض والناتجة عن أتعاب وعناء مليارات البشر وخمس كل الثروات الموجودة فوق الأرض وتحتها إلى أقربائه وذريته؟ مع أن طرح مثل هذا الادعاء يُستبعد ليس من النبي فقط، الذي كان يؤكد على أن أجره على الله ولا يسأل أحدًا أجرًا، بل يُستبعد حتى من المجانين. إن النبيّ الأكرم </w:t>
      </w:r>
      <w:r w:rsidRPr="00495BAB">
        <w:rPr>
          <w:rFonts w:ascii="Abo-thar" w:hAnsi="Abo-thar"/>
          <w:sz w:val="28"/>
          <w:lang w:bidi="fa-IR"/>
        </w:rPr>
        <w:t></w:t>
      </w:r>
      <w:r w:rsidRPr="00495BAB">
        <w:rPr>
          <w:rFonts w:hint="cs"/>
          <w:rtl/>
          <w:lang w:bidi="ar-SY"/>
        </w:rPr>
        <w:t xml:space="preserve"> الذي لم يكن مستعداً أن يُعطَى دينارٌ واحدٌ من مال الزكاة -التي كان دافعوها من الأغنياء- لأحد أفراد عائلته وأقربائه، ولم يأكل طول حياته المليئة بالفخار والمثيرة للإعجاب لقمةً من أموال الزكاة، ولم يسمح لأهل بيته وزوجاته الطاهرات بالاستفادة من فلس منها، كيف يمكنه أن يشرع الخمس الذي يُؤخذ من أموال جميع المسلمين ويأمر بإعطائه لأقربائه وذريته؟ وهو ذلك الخمس الذي - طبقاً لفقهاء الشيعة في هذا الزمن- يُؤخَذ من كل حمال وعامل نظافة وحطابٍ وعجوز تغزل الخيوط وتنسجها، فإذا كسب أمثال هؤلاء بعرق جبينهم وكد يمينهم خمسة ريالات فعليهم أن يُعطوا فورًا خمسَها لأبناء بني هاشم الذين كان رسول الله </w:t>
      </w:r>
      <w:r w:rsidRPr="00495BAB">
        <w:rPr>
          <w:rFonts w:ascii="Abo-thar" w:hAnsi="Abo-thar"/>
          <w:sz w:val="28"/>
          <w:lang w:bidi="fa-IR"/>
        </w:rPr>
        <w:t></w:t>
      </w:r>
      <w:r w:rsidRPr="00495BAB">
        <w:rPr>
          <w:rFonts w:hint="cs"/>
          <w:rtl/>
          <w:lang w:bidi="ar-SY"/>
        </w:rPr>
        <w:t xml:space="preserve"> جدهم لأبيهم! كل ما في الأمر أن لهم الحق أن يؤخِّروا دفع هذا الخمس حتى آخر السنة!</w:t>
      </w:r>
    </w:p>
    <w:p w:rsidR="00CD31AA" w:rsidRPr="00995B26" w:rsidRDefault="00CD31AA" w:rsidP="00495BAB">
      <w:pPr>
        <w:pStyle w:val="a0"/>
        <w:rPr>
          <w:rFonts w:hint="cs"/>
          <w:rtl/>
          <w:lang w:bidi="ar-SY"/>
        </w:rPr>
      </w:pPr>
      <w:r w:rsidRPr="00495BAB">
        <w:rPr>
          <w:rFonts w:hint="cs"/>
          <w:rtl/>
          <w:lang w:bidi="ar-SY"/>
        </w:rPr>
        <w:t>يتحدث كُتَّاب هذه الرسالة في الصفحات 15 و16 و17 عن البرامج العلمية والدعوية التبليغية لعالَم التشيُّع التي تُدار بواسطة الخُمس بقدر كبير من الحماس والانفعال يجعلك ترى وكأن شخصًا يدعي الجمال في مدينة العميان! في حين أن وضع مبلغي الشيعة أوضح من أن يحتاج إلى بيان. ويقول كتّاب الرسالة: «</w:t>
      </w:r>
      <w:r w:rsidRPr="00995B26">
        <w:rPr>
          <w:rFonts w:cs="Akhbar MT" w:hint="cs"/>
          <w:szCs w:val="30"/>
          <w:rtl/>
          <w:lang w:bidi="ar-SY"/>
        </w:rPr>
        <w:t>لقد تحقَّق الاستقلال الاقتصادي لمؤسسات الحوزة العلمية بفضل هذا الحكم الإسلامي [أي الخُمس] في عالم التشيع على أفضل نحو، في حين يفتقر مجتمعُ علماء الدين من أهل السنة إلى هذا الاستقلال بسبب تجاهلهم لهذا الحكم</w:t>
      </w:r>
      <w:r w:rsidRPr="00495BAB">
        <w:rPr>
          <w:rFonts w:hint="cs"/>
          <w:rtl/>
          <w:lang w:bidi="ar-SY"/>
        </w:rPr>
        <w:t>».</w:t>
      </w:r>
    </w:p>
    <w:p w:rsidR="00CD31AA" w:rsidRPr="00495BAB" w:rsidRDefault="00CD31AA" w:rsidP="00495BAB">
      <w:pPr>
        <w:pStyle w:val="a0"/>
        <w:rPr>
          <w:rFonts w:hint="cs"/>
          <w:rtl/>
          <w:lang w:bidi="ar-SY"/>
        </w:rPr>
      </w:pPr>
      <w:r w:rsidRPr="00495BAB">
        <w:rPr>
          <w:rFonts w:hint="cs"/>
          <w:rtl/>
          <w:lang w:bidi="ar-SY"/>
        </w:rPr>
        <w:t xml:space="preserve">أجل، نحن </w:t>
      </w:r>
      <w:r w:rsidR="00EC7905" w:rsidRPr="00495BAB">
        <w:rPr>
          <w:rFonts w:hint="cs"/>
          <w:rtl/>
          <w:lang w:bidi="ar-SY"/>
        </w:rPr>
        <w:t>نُقِرُّ</w:t>
      </w:r>
      <w:r w:rsidRPr="00495BAB">
        <w:rPr>
          <w:rFonts w:hint="cs"/>
          <w:rtl/>
          <w:lang w:bidi="ar-SY"/>
        </w:rPr>
        <w:t xml:space="preserve"> تمامًا </w:t>
      </w:r>
      <w:r w:rsidR="00EC7905" w:rsidRPr="00495BAB">
        <w:rPr>
          <w:rFonts w:hint="cs"/>
          <w:rtl/>
          <w:lang w:bidi="ar-SY"/>
        </w:rPr>
        <w:t>بِـحُسنِ</w:t>
      </w:r>
      <w:r w:rsidRPr="00495BAB">
        <w:rPr>
          <w:rFonts w:hint="cs"/>
          <w:rtl/>
          <w:lang w:bidi="ar-SY"/>
        </w:rPr>
        <w:t xml:space="preserve"> تحقق الاستقلال الاقتصادي، كما نقر بأن مؤسسة علماء الدين من أهل السنة لا تملك مثل هذا الدخل، لكننا نقول: أولاً: أي صيغة لرجال الدين في دين الإسلام حتى يحتاجوا إلى مؤسَّسات ومنظَّمات على نحو كذا وكذا؟! إن كان المقصود تحصيل العلم فإن هذا الأمر واجب على كل مسلم بقدر استطاعته، وإن كان هذا الأمر يحتاج إلى مؤسسات ومنظَّمات فإن من واجب الحكومة الإسلامية أن تبادر إلى إنشائها، ولا يجوز لمجموعة أو فرقة أن تقوم بإنشاء مؤسسات، وتنشئ دولة داخل الدولة والحكومة الإسلامية! كما كان الأمر في صدر الإسلام إذ كانت الدولة الإسلامية تبادر إلى تأمين جميع حاجاتها. ثانيًا: اليوم وقد امتلكت مؤسسة رجال الدين الشيعة مثل هذا الاستقلال المالي، وعلى حد قولكم تحقق لها هذا الاستقلال بنحو جيد في حين لم تَمْلِك مؤسسة رجال الدين من أهل السنة مثل هذه المؤسسات وفقدت استقلالها (بل لم يكن لها استقلال حتى تفقده)، فتعالوا -بينكم وبين الله- لنحكم هل حصيلة جهود مؤسسة علماء الدين من أهل السنة أكثر أم حصيلة جهود علماء الدين الشيعة؟ إن كتّاب أهل السنة ودعاتهم أكثر تدريبًا وخبرة وشمولية في التفكير من كتاب علماء الدين الشيعة ودعاتهم الذين تشكلون أنتم (كتاب رسالة الرد هذه) نموذجًا بارزاً لهم. هل هذه الأعداد الكبيرة من الناس التي تعتنق الإسلام في أطراف الدنيا وأكنافها، اعتنقت الإسلام بفضل دعوة أهل السنة وتبليغهم وكتاباتهم أم بفضل دعوتكم وتبليغكم وكتاباتكم؟ هل علماء الدين الشيعة استطاعوا بكل ما يملكونه من هذه المؤسسات والتنظيمات المستقلة والدخل الهائل أن يُعَرِّفُوا أنفسهم للدنيا لا بل لأهل السنة المسلمين؟! بالطبع لا!  قلنا: يجب أن توضع كل هذه الأمور أمام حكم العقل السليم، ذلك العقل الذي من آثاره الحياء والتأثر! نحن نقول: إن أخذ الخمس وسهم الإمام وإنفاقه مِنْ قِبَلِ المتدربين والمتعلمين في الحوزات العلمية، عمره أقل من قرنين. فبالله عليكم، هل كان يظهر بين الشيعة في الحوزات العلمية أشخاص عظماء وعلماء كبار وبارزون في تلك الأيام التي لم تكن تؤخذ فيها تلك الأموال والوجوه الشرعية ولا تُنْفَقُ كما يحصل اليوم، أكثر، أم اليوم الذي أصبح فيه لمؤسسة علماء الشيعة هذا الاستقلال والتنظيمات على حد قولكم؟ إن الإجابة عن هذا السؤال واضحة.</w:t>
      </w:r>
    </w:p>
    <w:p w:rsidR="00CD31AA" w:rsidRPr="00995B26" w:rsidRDefault="00CD31AA" w:rsidP="00495BAB">
      <w:pPr>
        <w:pStyle w:val="a0"/>
        <w:rPr>
          <w:rFonts w:hint="cs"/>
          <w:rtl/>
          <w:lang w:bidi="ar-SY"/>
        </w:rPr>
      </w:pPr>
      <w:r w:rsidRPr="00495BAB">
        <w:rPr>
          <w:rFonts w:hint="cs"/>
          <w:rtl/>
          <w:lang w:bidi="ar-SY"/>
        </w:rPr>
        <w:t>يقول كتّاب الرسالة: «</w:t>
      </w:r>
      <w:r w:rsidRPr="00995B26">
        <w:rPr>
          <w:rFonts w:cs="Akhbar MT" w:hint="cs"/>
          <w:szCs w:val="30"/>
          <w:rtl/>
          <w:lang w:bidi="ar-SY"/>
        </w:rPr>
        <w:t>ولاسيّما أن أحد كبار علماء أهل السنة زار في السنوات الأخيرة الحوزة العلمية في قم وشاهد المؤسسات الدينية المختلفة فيها وفي غيرها من المدن، فأصابه العجب وتساءل: من أين استطاع علماء الدين الشيعة أن يؤَمِّنُوا الميزانية اللازمة لكل هذه البرامج والمؤسسات الواسعة؟! وعندما لفتوا نظره إلى مسألة الخمس وسهم الإمام وأثرهما في برامج مذهب الشيعة تأثر بذلك بشدة وكان أول ما اقترحه على أصحابه وزملائه بعد عودته إلى وطنه مسألة دفع الخمس</w:t>
      </w:r>
      <w:r w:rsidRPr="00495BAB">
        <w:rPr>
          <w:rFonts w:hint="cs"/>
          <w:rtl/>
          <w:lang w:bidi="ar-SY"/>
        </w:rPr>
        <w:t>». [كذبة بهذا الحجم!!]</w:t>
      </w:r>
    </w:p>
    <w:p w:rsidR="00CD31AA" w:rsidRPr="00495BAB" w:rsidRDefault="00CD31AA" w:rsidP="00495BAB">
      <w:pPr>
        <w:pStyle w:val="a0"/>
        <w:rPr>
          <w:rFonts w:hint="cs"/>
          <w:rtl/>
          <w:lang w:bidi="ar-SY"/>
        </w:rPr>
      </w:pPr>
      <w:r w:rsidRPr="00495BAB">
        <w:rPr>
          <w:rFonts w:hint="cs"/>
          <w:rtl/>
          <w:lang w:bidi="ar-SY"/>
        </w:rPr>
        <w:t>إن ما نشاهده من هذه المنشآت الدينية المختلفة في الحوزة العلمية في قم عبارة عن بضعة مساجد ومكتبة أو مكتبتين وبضعة مدارس دينية للطلاب، ولكن ما هي حصيلة هذه المنشآت وثمراتها؟! مسجدٌ لا مصلُّون فيه، ومكتبةٌ لا قُرّاء فيها، ومدرسةٌ إن كان هناك فيها درس فهي دروس لا تفيد زماننا الذي نعيش فيه!! أما ذلك العالم الكبير من أهل السنة الذي أُصيب بالتعجب والدهشة، فله الحق في ذلك لأنه ما من عالم صغير يصدق أنه يوجد في الإسلام مثل هذا الخمس وسهم الإمام فما بالك بعالم كبير! أما قولكم: إنه عندما عاد إلى وطنه أراد أن يؤسّس لموضوع الخمس، فإن كان ذلك حقاً فليذهب برغبته تلك إلى القبر! لأنه من الصعب جداً، بعد مضي أكثر من 1400 سنة من عمر الإسلام، أن يبتدع الإنسان مثل هذه البدعة في الدين لاسيما في مجتمع أهل السنة! ولا يمكن لشيخ سنّي أبداً أن يأخذ سهم إمام الشيعة من أهل السنة! إن هذه الحذاقة خاصة بملالي الشيعة في هذا العصر.</w:t>
      </w:r>
    </w:p>
    <w:p w:rsidR="00CD31AA" w:rsidRPr="00995B26" w:rsidRDefault="00CD31AA" w:rsidP="00495BAB">
      <w:pPr>
        <w:pStyle w:val="a0"/>
        <w:rPr>
          <w:rFonts w:hint="cs"/>
          <w:rtl/>
          <w:lang w:bidi="ar-SY"/>
        </w:rPr>
      </w:pPr>
      <w:r w:rsidRPr="00495BAB">
        <w:rPr>
          <w:rFonts w:hint="cs"/>
          <w:rtl/>
          <w:lang w:bidi="ar-SY"/>
        </w:rPr>
        <w:t>وكتبوا أيضاً: «</w:t>
      </w:r>
      <w:r w:rsidRPr="00995B26">
        <w:rPr>
          <w:rFonts w:cs="Akhbar MT" w:hint="cs"/>
          <w:szCs w:val="30"/>
          <w:rtl/>
          <w:lang w:bidi="ar-SY"/>
        </w:rPr>
        <w:t>من العجيب أن يتمنى الآخرون تطبيق مثل هذا البرنامج... أما المعاندون اللجوجون فيصرون على سلبنا هذا الامتياز</w:t>
      </w:r>
      <w:r w:rsidRPr="00495BAB">
        <w:rPr>
          <w:rFonts w:hint="cs"/>
          <w:rtl/>
          <w:lang w:bidi="ar-SY"/>
        </w:rPr>
        <w:t>».</w:t>
      </w:r>
    </w:p>
    <w:p w:rsidR="00CD31AA" w:rsidRPr="00495BAB" w:rsidRDefault="00CD31AA" w:rsidP="00495BAB">
      <w:pPr>
        <w:pStyle w:val="a0"/>
        <w:rPr>
          <w:rFonts w:hint="cs"/>
          <w:rtl/>
          <w:lang w:bidi="ar-SY"/>
        </w:rPr>
      </w:pPr>
      <w:r w:rsidRPr="00495BAB">
        <w:rPr>
          <w:rFonts w:hint="cs"/>
          <w:rtl/>
          <w:lang w:bidi="ar-SY"/>
        </w:rPr>
        <w:t xml:space="preserve">ونقول: نحن لسنا تابعين لآخرين، ولسنا معاندين لجوجين كما تتهموننا طبقاً لعادتكم وسيرتكم. كل ما نقوله: إنه لم يكن في دين الإسلام مثل هذا الحكم ولا ينبغي أن يكون، لأنه وصمة عار في جبين الشريعة الإلهية الطاهرة ونبيها الكريم </w:t>
      </w:r>
      <w:r w:rsidRPr="00495BAB">
        <w:rPr>
          <w:rFonts w:ascii="Abo-thar" w:hAnsi="Abo-thar"/>
          <w:sz w:val="28"/>
          <w:lang w:bidi="fa-IR"/>
        </w:rPr>
        <w:t></w:t>
      </w:r>
      <w:r w:rsidRPr="00495BAB">
        <w:rPr>
          <w:rFonts w:hint="cs"/>
          <w:rtl/>
          <w:lang w:bidi="ar-SY"/>
        </w:rPr>
        <w:t xml:space="preserve"> أن تُفرَض مثل هذه الضريبة الظالمة لصالح شريحة معينة من الناس. ولم يحصل ذلك أبداً. أما أنتم فلكم أن تفعلوا ما تشاؤون.</w:t>
      </w:r>
    </w:p>
    <w:p w:rsidR="00CD31AA" w:rsidRPr="00995B26" w:rsidRDefault="00CD31AA" w:rsidP="00495BAB">
      <w:pPr>
        <w:pStyle w:val="a0"/>
        <w:rPr>
          <w:rFonts w:hint="cs"/>
          <w:rtl/>
          <w:lang w:bidi="ar-SY"/>
        </w:rPr>
      </w:pPr>
      <w:r w:rsidRPr="00495BAB">
        <w:rPr>
          <w:rFonts w:hint="cs"/>
          <w:rtl/>
          <w:lang w:bidi="ar-SY"/>
        </w:rPr>
        <w:t>ثم كتبوا يقولون: «</w:t>
      </w:r>
      <w:r w:rsidRPr="00995B26">
        <w:rPr>
          <w:rFonts w:cs="Akhbar MT" w:hint="cs"/>
          <w:szCs w:val="30"/>
          <w:rtl/>
          <w:lang w:bidi="ar-SY"/>
        </w:rPr>
        <w:t>لكن عليهم أن يعلموا أن كثيراً من الناس تنبَّهوا إلى هذه المؤامرة وأدركوا الهدف من وراء اعتراضهم على الخمس هذا، ولهذا السبب فيبدو من المُسْتَبْعَد أن يتوصل معارضو الخمس إلى هدفهم، بل على العكس من ذلك نرى أن فشلهم متوَقَّع من الآن ومؤامرتهم ستفشل فشلاً ذريعاً</w:t>
      </w:r>
      <w:r w:rsidRPr="00495BAB">
        <w:rPr>
          <w:rFonts w:hint="cs"/>
          <w:rtl/>
          <w:lang w:bidi="ar-SY"/>
        </w:rPr>
        <w:t>».</w:t>
      </w:r>
    </w:p>
    <w:p w:rsidR="00CD31AA" w:rsidRPr="00495BAB" w:rsidRDefault="00CD31AA" w:rsidP="00495BAB">
      <w:pPr>
        <w:pStyle w:val="a0"/>
        <w:rPr>
          <w:rFonts w:hint="cs"/>
          <w:rtl/>
          <w:lang w:bidi="ar-SY"/>
        </w:rPr>
      </w:pPr>
      <w:r w:rsidRPr="00495BAB">
        <w:rPr>
          <w:rFonts w:hint="cs"/>
          <w:rtl/>
          <w:lang w:bidi="ar-SY"/>
        </w:rPr>
        <w:t>أما قولهم إن كثيراً من الناس تنبهوا إلى هذه المؤامرة، فأظن أن كاتبي الرد مخطئون وأنهم يخشون من تنبه الناس بلا سبب يدعو إلى ذلك! فحتى الآن لم يكتب أحدٌ شيئًا حول الخمس, وأول رسالةٍ كُتِبَت قبل بضع سنوات لم يكن مؤلفها (راقم هذه السطور) يقصد أبداً نشرها بين الناس لأنه كان يعلم الأوضاع السائدة في بيئته. ولكن لما دار نقاشٌ بين بعض تلامذة أحد علماء أصفهان المشهورين والكبار وشيخهم حول موضوع الخمس، طلب بعض أولئك التلاميذ، الذين كانوا قد سمعوا بوجود مثل هذه الرسالة في نقد الخمس، مني نسخةً منها كي يراها شيخهم وقدموها له فعلاً واطّلع عليها. عندئذ بدأ تداول تلك النسخة من يد إلى يد وقُرِئت نسخةٌ أو نسختان منها في مدن أخرى ثم تم استنساخ عدد من النسخ الضوئية منها، ربما لا يزيد مجموعُها عن ال</w:t>
      </w:r>
      <w:r w:rsidR="00755AAC">
        <w:rPr>
          <w:rFonts w:hint="cs"/>
          <w:rtl/>
          <w:lang w:bidi="ar-SY"/>
        </w:rPr>
        <w:t>مائة</w:t>
      </w:r>
      <w:r w:rsidRPr="00495BAB">
        <w:rPr>
          <w:rFonts w:hint="cs"/>
          <w:rtl/>
          <w:lang w:bidi="ar-SY"/>
        </w:rPr>
        <w:t xml:space="preserve"> نسخة، دون معرفة من المؤلف ولا إذن منه، وبهذا ارتعدت قلوب المستفيدين من الخمس وانطلقت ألسنتهم بالصياح والعويل، ولعلهم حرّضوا بعض ضعاف العقول على تهديد مؤلف كتاب الخمس وإخافته!</w:t>
      </w:r>
    </w:p>
    <w:p w:rsidR="00CD31AA" w:rsidRPr="00995B26" w:rsidRDefault="00CD31AA" w:rsidP="00495BAB">
      <w:pPr>
        <w:pStyle w:val="a0"/>
        <w:rPr>
          <w:rFonts w:hint="cs"/>
          <w:rtl/>
          <w:lang w:bidi="ar-SY"/>
        </w:rPr>
      </w:pPr>
      <w:r w:rsidRPr="00495BAB">
        <w:rPr>
          <w:rFonts w:hint="cs"/>
          <w:rtl/>
          <w:lang w:bidi="ar-SY"/>
        </w:rPr>
        <w:t xml:space="preserve">لكننا نُطَمْئِنُ آكلي الخمس هؤلاء ونقول لهم: لا داعي للخوف، فإن هذا الشعب أجهل من أن يدرك حقائق الإسلام أو أن يؤثر فيه كتابٌ أو كتابان من هذا القبيل. أما حديثهم عن الفشل الذريع [لِمُنْكِرِي الخُمس]، فإنهم يخطئون مرَّةً ثانيةً أيضًا، لأن الله الذي أنزل القرآن يعلم أننا لا نبتغي من وراء نشر مثل هذه الأبحاث والمقالات سوى رضا الله وأداء واجبنا كي يرتاح ضميرنا، ونحن مدركون جيدًا للمخاطر التي يستتبعها مثل هذا العمل من جميع النواحي ونوقن تقريبًا أننا، عاجلاً أم آجلاً، لن نتعرّض إلى كل نوع من أنواع الطعن والضرب والاتهام والسباب والشتائم على إثر تحريض هذا النحو من الكُتَّاب وأمثالهم ممن يستفيدون من هذا الكنز الذي يأتيهم دون عناء، فحسب، بل سنتعرض إلى الهجوم [المسلَّح] مِنْ قِبَلِ أفراد يشجعهم حكام الشرع هؤلاء على إيذائنا إيذاءً عظيماً أقلّه القَتْل! ونحن نطلب من الله دائمًا أن يرزقنا سعادة الشهادة في سبيل الدفاع عن هذا الدين المبين، لأننا في الوضع الحالي يستحيل أن ننال الشهادة في ميادين القتال وجهاد الكفار والمشركين. لأن قولَ كلمة الحق عند سلطانٍ جائرٍ - الذي ينبغي أن نبحث عنه في زماننا بين حكام الشرع الذين يعتبرون أنفسهم حكام الإسلام وأئمة المسلمين وهم لا يملكون سوى العباءة والعمامة - أفضلُ الجهاد؛ ومن يُقْتَل في هذا السبيل فهو شهيد في سبيل الله. فنأمل أن ننال هذا الفيض العظيم. لهذا السبب فإننا نجهر بالحق الذي شرح الله صدورنا له، لأنه لا معنى للتقية في مثل هذه الحالة، وكما يقول الشاعر سعدي: «إن من صرف النظر عن روحه** فليقل كل ما في قلبه» </w:t>
      </w:r>
      <w:r w:rsidR="00252DED" w:rsidRPr="00995B26">
        <w:rPr>
          <w:rFonts w:cs="Traditional Arabic" w:hint="cs"/>
          <w:szCs w:val="30"/>
          <w:rtl/>
          <w:lang w:bidi="ar-SY"/>
        </w:rPr>
        <w:t>﴿</w:t>
      </w:r>
      <w:r w:rsidR="00252DED" w:rsidRPr="0067048A">
        <w:rPr>
          <w:rFonts w:ascii="KFGQPC Uthmanic Script HAFS" w:cs="KFGQPC Uthmanic Script HAFS" w:hint="eastAsia"/>
          <w:sz w:val="28"/>
          <w:szCs w:val="28"/>
          <w:rtl/>
        </w:rPr>
        <w:t>وَ</w:t>
      </w:r>
      <w:r w:rsidR="00252DED" w:rsidRPr="0067048A">
        <w:rPr>
          <w:rFonts w:ascii="KFGQPC Uthmanic Script HAFS" w:cs="KFGQPC Uthmanic Script HAFS" w:hint="cs"/>
          <w:sz w:val="28"/>
          <w:szCs w:val="28"/>
          <w:rtl/>
        </w:rPr>
        <w:t>ٱ</w:t>
      </w:r>
      <w:r w:rsidR="00252DED" w:rsidRPr="0067048A">
        <w:rPr>
          <w:rFonts w:ascii="KFGQPC Uthmanic Script HAFS" w:cs="KFGQPC Uthmanic Script HAFS" w:hint="eastAsia"/>
          <w:sz w:val="28"/>
          <w:szCs w:val="28"/>
          <w:rtl/>
        </w:rPr>
        <w:t>للَّهُ</w:t>
      </w:r>
      <w:r w:rsidR="00252DED" w:rsidRPr="0067048A">
        <w:rPr>
          <w:rFonts w:ascii="KFGQPC Uthmanic Script HAFS" w:cs="KFGQPC Uthmanic Script HAFS"/>
          <w:sz w:val="28"/>
          <w:szCs w:val="28"/>
          <w:rtl/>
        </w:rPr>
        <w:t xml:space="preserve"> </w:t>
      </w:r>
      <w:r w:rsidR="00252DED" w:rsidRPr="0067048A">
        <w:rPr>
          <w:rFonts w:ascii="KFGQPC Uthmanic Script HAFS" w:cs="KFGQPC Uthmanic Script HAFS" w:hint="eastAsia"/>
          <w:sz w:val="28"/>
          <w:szCs w:val="28"/>
          <w:rtl/>
        </w:rPr>
        <w:t>يَه</w:t>
      </w:r>
      <w:r w:rsidR="00252DED" w:rsidRPr="0067048A">
        <w:rPr>
          <w:rFonts w:ascii="KFGQPC Uthmanic Script HAFS" w:cs="KFGQPC Uthmanic Script HAFS" w:hint="cs"/>
          <w:sz w:val="28"/>
          <w:szCs w:val="28"/>
          <w:rtl/>
        </w:rPr>
        <w:t>ۡ</w:t>
      </w:r>
      <w:r w:rsidR="00252DED" w:rsidRPr="0067048A">
        <w:rPr>
          <w:rFonts w:ascii="KFGQPC Uthmanic Script HAFS" w:cs="KFGQPC Uthmanic Script HAFS" w:hint="eastAsia"/>
          <w:sz w:val="28"/>
          <w:szCs w:val="28"/>
          <w:rtl/>
        </w:rPr>
        <w:t>دِي</w:t>
      </w:r>
      <w:r w:rsidR="00252DED" w:rsidRPr="0067048A">
        <w:rPr>
          <w:rFonts w:ascii="KFGQPC Uthmanic Script HAFS" w:cs="KFGQPC Uthmanic Script HAFS"/>
          <w:sz w:val="28"/>
          <w:szCs w:val="28"/>
          <w:rtl/>
        </w:rPr>
        <w:t xml:space="preserve"> </w:t>
      </w:r>
      <w:r w:rsidR="00252DED" w:rsidRPr="0067048A">
        <w:rPr>
          <w:rFonts w:ascii="KFGQPC Uthmanic Script HAFS" w:cs="KFGQPC Uthmanic Script HAFS" w:hint="eastAsia"/>
          <w:sz w:val="28"/>
          <w:szCs w:val="28"/>
          <w:rtl/>
        </w:rPr>
        <w:t>مَن</w:t>
      </w:r>
      <w:r w:rsidR="00252DED" w:rsidRPr="0067048A">
        <w:rPr>
          <w:rFonts w:ascii="KFGQPC Uthmanic Script HAFS" w:cs="KFGQPC Uthmanic Script HAFS"/>
          <w:sz w:val="28"/>
          <w:szCs w:val="28"/>
          <w:rtl/>
        </w:rPr>
        <w:t xml:space="preserve"> </w:t>
      </w:r>
      <w:r w:rsidR="00252DED" w:rsidRPr="0067048A">
        <w:rPr>
          <w:rFonts w:ascii="KFGQPC Uthmanic Script HAFS" w:cs="KFGQPC Uthmanic Script HAFS" w:hint="eastAsia"/>
          <w:sz w:val="28"/>
          <w:szCs w:val="28"/>
          <w:rtl/>
        </w:rPr>
        <w:t>يَشَا</w:t>
      </w:r>
      <w:r w:rsidR="00252DED" w:rsidRPr="0067048A">
        <w:rPr>
          <w:rFonts w:ascii="KFGQPC Uthmanic Script HAFS" w:cs="KFGQPC Uthmanic Script HAFS" w:hint="cs"/>
          <w:sz w:val="28"/>
          <w:szCs w:val="28"/>
          <w:rtl/>
        </w:rPr>
        <w:t>ٓ</w:t>
      </w:r>
      <w:r w:rsidR="00252DED" w:rsidRPr="0067048A">
        <w:rPr>
          <w:rFonts w:ascii="KFGQPC Uthmanic Script HAFS" w:cs="KFGQPC Uthmanic Script HAFS" w:hint="eastAsia"/>
          <w:sz w:val="28"/>
          <w:szCs w:val="28"/>
          <w:rtl/>
        </w:rPr>
        <w:t>ءُ</w:t>
      </w:r>
      <w:r w:rsidR="00252DED" w:rsidRPr="0067048A">
        <w:rPr>
          <w:rFonts w:ascii="KFGQPC Uthmanic Script HAFS" w:cs="KFGQPC Uthmanic Script HAFS"/>
          <w:sz w:val="28"/>
          <w:szCs w:val="28"/>
          <w:rtl/>
        </w:rPr>
        <w:t xml:space="preserve"> </w:t>
      </w:r>
      <w:r w:rsidR="00252DED" w:rsidRPr="0067048A">
        <w:rPr>
          <w:rFonts w:ascii="KFGQPC Uthmanic Script HAFS" w:cs="KFGQPC Uthmanic Script HAFS" w:hint="eastAsia"/>
          <w:sz w:val="28"/>
          <w:szCs w:val="28"/>
          <w:rtl/>
        </w:rPr>
        <w:t>إِلَى</w:t>
      </w:r>
      <w:r w:rsidR="00252DED" w:rsidRPr="0067048A">
        <w:rPr>
          <w:rFonts w:ascii="KFGQPC Uthmanic Script HAFS" w:cs="KFGQPC Uthmanic Script HAFS" w:hint="cs"/>
          <w:sz w:val="28"/>
          <w:szCs w:val="28"/>
          <w:rtl/>
        </w:rPr>
        <w:t>ٰ</w:t>
      </w:r>
      <w:r w:rsidR="00252DED" w:rsidRPr="0067048A">
        <w:rPr>
          <w:rFonts w:ascii="KFGQPC Uthmanic Script HAFS" w:cs="KFGQPC Uthmanic Script HAFS"/>
          <w:sz w:val="28"/>
          <w:szCs w:val="28"/>
          <w:rtl/>
        </w:rPr>
        <w:t xml:space="preserve"> </w:t>
      </w:r>
      <w:r w:rsidR="00252DED" w:rsidRPr="0067048A">
        <w:rPr>
          <w:rFonts w:ascii="KFGQPC Uthmanic Script HAFS" w:cs="KFGQPC Uthmanic Script HAFS" w:hint="eastAsia"/>
          <w:sz w:val="28"/>
          <w:szCs w:val="28"/>
          <w:rtl/>
        </w:rPr>
        <w:t>صِرَ</w:t>
      </w:r>
      <w:r w:rsidR="00252DED" w:rsidRPr="0067048A">
        <w:rPr>
          <w:rFonts w:ascii="KFGQPC Uthmanic Script HAFS" w:cs="KFGQPC Uthmanic Script HAFS" w:hint="cs"/>
          <w:sz w:val="28"/>
          <w:szCs w:val="28"/>
          <w:rtl/>
        </w:rPr>
        <w:t>ٰ</w:t>
      </w:r>
      <w:r w:rsidR="00252DED" w:rsidRPr="0067048A">
        <w:rPr>
          <w:rFonts w:ascii="KFGQPC Uthmanic Script HAFS" w:cs="KFGQPC Uthmanic Script HAFS" w:hint="eastAsia"/>
          <w:sz w:val="28"/>
          <w:szCs w:val="28"/>
          <w:rtl/>
        </w:rPr>
        <w:t>ط</w:t>
      </w:r>
      <w:r w:rsidR="00252DED" w:rsidRPr="0067048A">
        <w:rPr>
          <w:rFonts w:ascii="KFGQPC Uthmanic Script HAFS" w:cs="KFGQPC Uthmanic Script HAFS" w:hint="cs"/>
          <w:sz w:val="28"/>
          <w:szCs w:val="28"/>
          <w:rtl/>
        </w:rPr>
        <w:t>ٖ</w:t>
      </w:r>
      <w:r w:rsidR="00252DED" w:rsidRPr="0067048A">
        <w:rPr>
          <w:rFonts w:ascii="KFGQPC Uthmanic Script HAFS" w:cs="KFGQPC Uthmanic Script HAFS"/>
          <w:sz w:val="28"/>
          <w:szCs w:val="28"/>
          <w:rtl/>
        </w:rPr>
        <w:t xml:space="preserve"> </w:t>
      </w:r>
      <w:r w:rsidR="00252DED" w:rsidRPr="0067048A">
        <w:rPr>
          <w:rFonts w:ascii="KFGQPC Uthmanic Script HAFS" w:cs="KFGQPC Uthmanic Script HAFS" w:hint="eastAsia"/>
          <w:sz w:val="28"/>
          <w:szCs w:val="28"/>
          <w:rtl/>
        </w:rPr>
        <w:t>مُّس</w:t>
      </w:r>
      <w:r w:rsidR="00252DED" w:rsidRPr="0067048A">
        <w:rPr>
          <w:rFonts w:ascii="KFGQPC Uthmanic Script HAFS" w:cs="KFGQPC Uthmanic Script HAFS" w:hint="cs"/>
          <w:sz w:val="28"/>
          <w:szCs w:val="28"/>
          <w:rtl/>
        </w:rPr>
        <w:t>ۡ</w:t>
      </w:r>
      <w:r w:rsidR="00252DED" w:rsidRPr="0067048A">
        <w:rPr>
          <w:rFonts w:ascii="KFGQPC Uthmanic Script HAFS" w:cs="KFGQPC Uthmanic Script HAFS" w:hint="eastAsia"/>
          <w:sz w:val="28"/>
          <w:szCs w:val="28"/>
          <w:rtl/>
        </w:rPr>
        <w:t>تَقِيم</w:t>
      </w:r>
      <w:r w:rsidR="00252DED" w:rsidRPr="0067048A">
        <w:rPr>
          <w:rFonts w:ascii="KFGQPC Uthmanic Script HAFS" w:cs="KFGQPC Uthmanic Script HAFS" w:hint="cs"/>
          <w:sz w:val="28"/>
          <w:szCs w:val="28"/>
          <w:rtl/>
        </w:rPr>
        <w:t>ٖ</w:t>
      </w:r>
      <w:r w:rsidR="00252DED" w:rsidRPr="00995B26">
        <w:rPr>
          <w:rFonts w:cs="Traditional Arabic" w:hint="cs"/>
          <w:szCs w:val="30"/>
          <w:rtl/>
          <w:lang w:bidi="ar-SY"/>
        </w:rPr>
        <w:t>﴾</w:t>
      </w:r>
      <w:r w:rsidRPr="00495BAB">
        <w:rPr>
          <w:rFonts w:hint="cs"/>
          <w:rtl/>
          <w:lang w:bidi="ar-SY"/>
        </w:rPr>
        <w:t xml:space="preserve"> وإن لم ننل فيض الشهادة فإننا نكون قد أدينا واجبنا، ونسأل الله تعالى أن يأجرنا على ذلك، وكلما زادت الصدمات والأذى والتهم، كان الأجر أعظم عند الله. إذن فنحن قد وصلنا إلى هدفنا، وأوصلنا كلامنا إلى من نريد إيصال كلامنا إليه، دون أن نمتلك أي وسيلة أو إمكانيات، والدليل على ذلك كتابة رسائل الرد هذه ونشرها؛ [فالقول بفشلنا الذريع لا محل له].</w:t>
      </w:r>
    </w:p>
    <w:p w:rsidR="00CD31AA" w:rsidRPr="00995B26" w:rsidRDefault="00CD31AA" w:rsidP="00495BAB">
      <w:pPr>
        <w:pStyle w:val="a0"/>
        <w:rPr>
          <w:rFonts w:hint="cs"/>
          <w:rtl/>
          <w:lang w:bidi="ar-SY"/>
        </w:rPr>
      </w:pPr>
      <w:r w:rsidRPr="00495BAB">
        <w:rPr>
          <w:rFonts w:hint="cs"/>
          <w:rtl/>
          <w:lang w:bidi="ar-SY"/>
        </w:rPr>
        <w:t>يقول كُتّاب الرسالة: «</w:t>
      </w:r>
      <w:r w:rsidRPr="00995B26">
        <w:rPr>
          <w:rFonts w:cs="Akhbar MT" w:hint="cs"/>
          <w:szCs w:val="30"/>
          <w:rtl/>
          <w:lang w:bidi="ar-SY"/>
        </w:rPr>
        <w:t>ذُكِرَ موضوع الخمس في القرآن المجيد مرّةً واحدةً فقط، ولكنْ، بالطبع، ليست مسألة الخمس وحدها هي التي تم بيانها في آية واحدة من القرآن فقط بل هناك كثير من الأحكام الأخرى تمت الإشارة إليها في القرآن الكريم بآية واحدة فقط. ولا شك أن بيان الأمر مرّةً واحدةً في القرآن يكفي</w:t>
      </w:r>
      <w:r w:rsidRPr="00495BAB">
        <w:rPr>
          <w:rFonts w:hint="cs"/>
          <w:rtl/>
          <w:lang w:bidi="ar-SY"/>
        </w:rPr>
        <w:t>».</w:t>
      </w:r>
    </w:p>
    <w:p w:rsidR="00CD31AA" w:rsidRPr="00995B26" w:rsidRDefault="00CD31AA" w:rsidP="00495BAB">
      <w:pPr>
        <w:pStyle w:val="a0"/>
        <w:rPr>
          <w:rFonts w:hint="cs"/>
          <w:rtl/>
          <w:lang w:bidi="ar-SY"/>
        </w:rPr>
      </w:pPr>
      <w:r w:rsidRPr="00495BAB">
        <w:rPr>
          <w:rFonts w:hint="cs"/>
          <w:rtl/>
          <w:lang w:bidi="ar-SY"/>
        </w:rPr>
        <w:t xml:space="preserve">نعم, بيان الحكم مرَّةً واحدةً في القرآن يكفي لأن القرآن يتعرض لبيان كل حكم بمقدار ابتلاء الناس به وبمقدار ما له من الأهمية. فمثلاً لما كانت الصلاة في الإسلام مهمة نزلت فيها أكثر من </w:t>
      </w:r>
      <w:r w:rsidR="00755AAC">
        <w:rPr>
          <w:rFonts w:hint="cs"/>
          <w:rtl/>
          <w:lang w:bidi="ar-SY"/>
        </w:rPr>
        <w:t>مائة</w:t>
      </w:r>
      <w:r w:rsidRPr="00495BAB">
        <w:rPr>
          <w:rFonts w:hint="cs"/>
          <w:rtl/>
          <w:lang w:bidi="ar-SY"/>
        </w:rPr>
        <w:t xml:space="preserve"> آية في القرآن، كما نزلت بشأن الحج قرابة خمس وعشرين آية وكذلك</w:t>
      </w:r>
      <w:r w:rsidR="00AB28A0" w:rsidRPr="00495BAB">
        <w:rPr>
          <w:rFonts w:hint="cs"/>
          <w:rtl/>
          <w:lang w:bidi="ar-SY"/>
        </w:rPr>
        <w:t>.</w:t>
      </w:r>
      <w:r w:rsidRPr="00495BAB">
        <w:rPr>
          <w:rFonts w:hint="cs"/>
          <w:rtl/>
          <w:lang w:bidi="ar-SY"/>
        </w:rPr>
        <w:t xml:space="preserve">.... ؛ أما الخُمس - الخاص بغنائم الحرب - فلأن الحرب لا تقع في حياة المسلمين إلا قليلاً، لم تكن هناك من حاجة لتكرار بيان حكمه أكثر من مرَّة واحدة. لكن انظروا إلى هذا الخُمس ذاته الذي لم تأت فيه سوى آية واحدة، وهي خاصة بغنائم الحرب، أي ضجة أحدثه لدى الشيعة؟ فزعماء الشيعة الروحيون يمكنهم بأدنى حجة ومُسْتَمْسَك أن يضيفوا إليه ما يشاؤون! وليت شعري! أيُّ آية نزلت حول الولاية التكوينية وولاية الأئمة التي يعطون لها كل هذه الأهمية الكبرى؟! وأي آية جاءت بشأن الشفاعة والزيارة؟! ليس لدينا أي دليل من القرآن ولا من سنة رسول الله </w:t>
      </w:r>
      <w:r w:rsidRPr="00495BAB">
        <w:rPr>
          <w:rFonts w:ascii="Abo-thar" w:hAnsi="Abo-thar"/>
          <w:sz w:val="28"/>
          <w:lang w:bidi="fa-IR"/>
        </w:rPr>
        <w:t></w:t>
      </w:r>
      <w:r w:rsidRPr="00495BAB">
        <w:rPr>
          <w:rFonts w:hint="cs"/>
          <w:rtl/>
          <w:lang w:bidi="ar-SY"/>
        </w:rPr>
        <w:t xml:space="preserve"> حول مشروعية إقامة مراسم العزاء هذه وقراءة المراثي في المآتم! لكن يد المبتدعين والوضاعين مطلقة يفعلون كل ما يرغبون به ويقولون حول هذا الأمر «</w:t>
      </w:r>
      <w:r w:rsidRPr="00995B26">
        <w:rPr>
          <w:rFonts w:cs="Akhbar MT" w:hint="cs"/>
          <w:szCs w:val="30"/>
          <w:rtl/>
          <w:lang w:bidi="ar-SY"/>
        </w:rPr>
        <w:t>لا مانع أن يشير القرآن إلى جزء من حكم ما ويترك بيان سائر أقسام هذا الحكم وأجزائه إلى السنة</w:t>
      </w:r>
      <w:r w:rsidRPr="00495BAB">
        <w:rPr>
          <w:rFonts w:hint="cs"/>
          <w:rtl/>
          <w:lang w:bidi="ar-SY"/>
        </w:rPr>
        <w:t>».</w:t>
      </w:r>
    </w:p>
    <w:p w:rsidR="00CD31AA" w:rsidRPr="00495BAB" w:rsidRDefault="00CD31AA" w:rsidP="00495BAB">
      <w:pPr>
        <w:pStyle w:val="a0"/>
        <w:rPr>
          <w:rFonts w:hint="cs"/>
          <w:rtl/>
          <w:lang w:bidi="ar-SY"/>
        </w:rPr>
      </w:pPr>
      <w:r w:rsidRPr="00495BAB">
        <w:rPr>
          <w:rFonts w:hint="cs"/>
          <w:rtl/>
          <w:lang w:bidi="ar-SY"/>
        </w:rPr>
        <w:t>نعم، نحن نعلم أنه يكفي أن يُذَكِّرنا الله تعالى في آية واحدة بأن الكفار ليسوا أولياء لنا بل أولياؤنا هم الله ورسوله والمؤمنون، لكن بعض كُتَّاب الشيعة استخرجوا ببراعتهم من هذه الآية الولاية التكوينية للأئمة ووصفوهم بأنهم موجدو الأرض والسماء!</w:t>
      </w:r>
    </w:p>
    <w:p w:rsidR="00CD31AA" w:rsidRPr="00995B26" w:rsidRDefault="00CD31AA" w:rsidP="00495BAB">
      <w:pPr>
        <w:pStyle w:val="a0"/>
        <w:rPr>
          <w:rFonts w:hint="cs"/>
          <w:rtl/>
          <w:lang w:bidi="ar-SY"/>
        </w:rPr>
      </w:pPr>
      <w:r w:rsidRPr="00495BAB">
        <w:rPr>
          <w:rFonts w:hint="cs"/>
          <w:rtl/>
          <w:lang w:bidi="ar-SY"/>
        </w:rPr>
        <w:t>وللاستدلال على ما يدعونه، كتب أصحاب الردّ يقولون: «</w:t>
      </w:r>
      <w:r w:rsidRPr="00995B26">
        <w:rPr>
          <w:rFonts w:cs="Akhbar MT" w:hint="cs"/>
          <w:szCs w:val="30"/>
          <w:rtl/>
          <w:lang w:bidi="ar-SY"/>
        </w:rPr>
        <w:t>فمثلاً جاءت الصلوات اليومية الخَمْس في القرآن المجيد بصراحة، وكذلك أشار القرآن إلى صلاة الطواف التي هي من الصلوات الواجبة، ولكن لم يأت في القرآن الكريم ذكرٌ لصلاة الآيات التي يؤمن بها جميع المسلمين سواء كانوا من الشيعة أم من السنة</w:t>
      </w:r>
      <w:r w:rsidRPr="00495BAB">
        <w:rPr>
          <w:rFonts w:hint="cs"/>
          <w:rtl/>
          <w:lang w:bidi="ar-SY"/>
        </w:rPr>
        <w:t>».</w:t>
      </w:r>
    </w:p>
    <w:p w:rsidR="00CD31AA" w:rsidRPr="00995B26" w:rsidRDefault="00CD31AA" w:rsidP="00495BAB">
      <w:pPr>
        <w:pStyle w:val="a0"/>
        <w:rPr>
          <w:rFonts w:hint="cs"/>
          <w:rtl/>
          <w:lang w:bidi="ar-SY"/>
        </w:rPr>
      </w:pPr>
      <w:r w:rsidRPr="00495BAB">
        <w:rPr>
          <w:rFonts w:hint="cs"/>
          <w:rtl/>
          <w:lang w:bidi="ar-SY"/>
        </w:rPr>
        <w:t xml:space="preserve">أتلاحظون أي استدلال قوي ومحكم هذا؟! لمَّا لم يأت في القرآن ذكرٌ صريحٌ لصلاة الآيات وربما لم يحصل للمسلم أن تجب عليه في جميع عمره مثل هذه الصلاة، فلا مانع أن لا يُذْكَر حكمُ الخمس الشامل الذي يحمل كل هذه الأهمية، في القرآن، فمثله في ذلك مثل صلاة الآيات!! في حين أن هذا القياس خطأ، لأن لدينا حول صلاة الآيات عدة أحاديث مروية عن النبي </w:t>
      </w:r>
      <w:r w:rsidRPr="00495BAB">
        <w:rPr>
          <w:rFonts w:ascii="Abo-thar" w:hAnsi="Abo-thar"/>
          <w:sz w:val="28"/>
          <w:lang w:bidi="fa-IR"/>
        </w:rPr>
        <w:t></w:t>
      </w:r>
      <w:r w:rsidRPr="00495BAB">
        <w:rPr>
          <w:rFonts w:hint="cs"/>
          <w:rtl/>
          <w:lang w:bidi="ar-SY"/>
        </w:rPr>
        <w:t xml:space="preserve"> ولدينا عمل النبي نفسه مما يتفق على نقله جميع المسلمين، أما بشأن الخمس الشامل فليس لدينا حتى حديث كاذب واحد عن النبي </w:t>
      </w:r>
      <w:r w:rsidRPr="00495BAB">
        <w:rPr>
          <w:rFonts w:ascii="Abo-thar" w:hAnsi="Abo-thar"/>
          <w:sz w:val="28"/>
          <w:lang w:bidi="fa-IR"/>
        </w:rPr>
        <w:t></w:t>
      </w:r>
      <w:r w:rsidRPr="00495BAB">
        <w:rPr>
          <w:rFonts w:hint="cs"/>
          <w:rtl/>
          <w:lang w:bidi="ar-SY"/>
        </w:rPr>
        <w:t xml:space="preserve"> فيه! ثم أصبح كُتّاب هذا الرد قضاةً وكتبوا يقولون: «</w:t>
      </w:r>
      <w:r w:rsidRPr="00995B26">
        <w:rPr>
          <w:rFonts w:cs="Akhbar MT" w:hint="cs"/>
          <w:szCs w:val="30"/>
          <w:rtl/>
          <w:lang w:bidi="ar-SY"/>
        </w:rPr>
        <w:t>لا يوجد أي إشكال في أن يبيّن القرآن جزءاً فقط من موارد الخمس وَيَكِلُ بيان بقية أحكامه وموارده إلى السنة</w:t>
      </w:r>
      <w:r w:rsidRPr="00495BAB">
        <w:rPr>
          <w:rFonts w:hint="cs"/>
          <w:rtl/>
          <w:lang w:bidi="ar-SY"/>
        </w:rPr>
        <w:t>».</w:t>
      </w:r>
    </w:p>
    <w:p w:rsidR="00CD31AA" w:rsidRPr="00495BAB" w:rsidRDefault="00CD31AA" w:rsidP="00495BAB">
      <w:pPr>
        <w:pStyle w:val="a0"/>
        <w:rPr>
          <w:rFonts w:hint="cs"/>
          <w:rtl/>
          <w:lang w:bidi="ar-SY"/>
        </w:rPr>
      </w:pPr>
      <w:r w:rsidRPr="00495BAB">
        <w:rPr>
          <w:rFonts w:hint="cs"/>
          <w:rtl/>
          <w:lang w:bidi="ar-SY"/>
        </w:rPr>
        <w:t>ولكن أي سُنَّة، أهي السنة التي وُجِدَت بعد ثلاث</w:t>
      </w:r>
      <w:r w:rsidR="00755AAC">
        <w:rPr>
          <w:rFonts w:hint="cs"/>
          <w:rtl/>
          <w:lang w:bidi="ar-SY"/>
        </w:rPr>
        <w:t>مائة</w:t>
      </w:r>
      <w:r w:rsidRPr="00495BAB">
        <w:rPr>
          <w:rFonts w:hint="cs"/>
          <w:rtl/>
          <w:lang w:bidi="ar-SY"/>
        </w:rPr>
        <w:t xml:space="preserve"> عام من ظهور الإسلام وأسَّسَها أشخاصٌ مثل علي بن مهزيار وأمثاله من خلال بضع جُمَلٍ أو نُسِبَ تأسيسُها إليهم؟! </w:t>
      </w:r>
    </w:p>
    <w:p w:rsidR="00CD31AA" w:rsidRPr="00495BAB" w:rsidRDefault="00CD31AA" w:rsidP="00495BAB">
      <w:pPr>
        <w:pStyle w:val="a0"/>
        <w:rPr>
          <w:rFonts w:hint="cs"/>
          <w:rtl/>
          <w:lang w:bidi="ar-SY"/>
        </w:rPr>
      </w:pPr>
      <w:r w:rsidRPr="00495BAB">
        <w:rPr>
          <w:rFonts w:hint="cs"/>
          <w:rtl/>
          <w:lang w:bidi="ar-SY"/>
        </w:rPr>
        <w:t>ثم عكف كُتَّابُ الرسالة على بيان المعنى اللغوي للغنيمة، وبما أن هناك كاتب آخر قبل هؤلاء تحدّث بالتفصيل عن كلمة الغنيمة وعلاقتها بالخمس وأتى بما أوردته كتب اللغة وكتب في ذلك رسالة ونشرها، ورددنا عليه، فلا نعيد بيان فساد هذا القول.</w:t>
      </w:r>
    </w:p>
    <w:p w:rsidR="00CD31AA" w:rsidRPr="00495BAB" w:rsidRDefault="00CD31AA" w:rsidP="00495BAB">
      <w:pPr>
        <w:pStyle w:val="a0"/>
        <w:rPr>
          <w:rFonts w:hint="cs"/>
          <w:rtl/>
          <w:lang w:bidi="ar-SY"/>
        </w:rPr>
      </w:pPr>
      <w:r w:rsidRPr="00495BAB">
        <w:rPr>
          <w:rFonts w:hint="cs"/>
          <w:rtl/>
          <w:lang w:bidi="ar-SY"/>
        </w:rPr>
        <w:t>ثم أوردوا معنى كلمة الغنيمة في رأي مفسري أهل السنة مما يُذَكِّرنا بالمثل المعروف «الغريق يتشبث بكل حشيش». إذ كلما سعوا جاهدين لإثبات مقصدهم ازدادت فضيحتهم، لأن مفسري أهل السنة لا يفهمون من تلك الكلمة لا ذلك الخمس الشامل، ولا يعتقدون به أساساً.</w:t>
      </w:r>
    </w:p>
    <w:p w:rsidR="00CD31AA" w:rsidRPr="00995B26" w:rsidRDefault="00CD31AA" w:rsidP="00495BAB">
      <w:pPr>
        <w:pStyle w:val="a0"/>
        <w:rPr>
          <w:rFonts w:hint="cs"/>
          <w:rtl/>
          <w:lang w:bidi="ar-SY"/>
        </w:rPr>
      </w:pPr>
      <w:r w:rsidRPr="00495BAB">
        <w:rPr>
          <w:rFonts w:hint="cs"/>
          <w:rtl/>
          <w:lang w:bidi="ar-SY"/>
        </w:rPr>
        <w:t xml:space="preserve">ثم بدؤوا يذكرون المعنى الذي ذكره صاحب تفسير </w:t>
      </w:r>
      <w:r w:rsidRPr="00495BAB">
        <w:rPr>
          <w:rFonts w:hint="cs"/>
          <w:b/>
          <w:bCs/>
          <w:rtl/>
          <w:lang w:bidi="ar-SY"/>
        </w:rPr>
        <w:t>مجمع البيان</w:t>
      </w:r>
      <w:r w:rsidRPr="00495BAB">
        <w:rPr>
          <w:rFonts w:hint="cs"/>
          <w:rtl/>
          <w:lang w:bidi="ar-SY"/>
        </w:rPr>
        <w:t xml:space="preserve"> لكلمة الغنيمة حتى وصلوا إلى قولهم: «</w:t>
      </w:r>
      <w:r w:rsidRPr="00995B26">
        <w:rPr>
          <w:rFonts w:cs="Akhbar MT" w:hint="cs"/>
          <w:szCs w:val="30"/>
          <w:rtl/>
          <w:lang w:bidi="ar-SY"/>
        </w:rPr>
        <w:t xml:space="preserve">والعجيب أن بعض المغرضين الذين يبدو أن لديهم مهمة خاصة لبذر السموم في أفكار عامة الناس، أقدموا على تحريفٍ مضحكٍ لعبارة تفسير </w:t>
      </w:r>
      <w:r w:rsidRPr="00995B26">
        <w:rPr>
          <w:rFonts w:cs="Akhbar MT" w:hint="cs"/>
          <w:b/>
          <w:bCs/>
          <w:szCs w:val="30"/>
          <w:rtl/>
          <w:lang w:bidi="ar-SY"/>
        </w:rPr>
        <w:t>مجمع البيان</w:t>
      </w:r>
      <w:r w:rsidRPr="00995B26">
        <w:rPr>
          <w:rFonts w:cs="Akhbar MT" w:hint="cs"/>
          <w:szCs w:val="30"/>
          <w:rtl/>
          <w:lang w:bidi="ar-SY"/>
        </w:rPr>
        <w:t xml:space="preserve"> في مجال الخمس، فذكروا الجزء الأول من كلامه الذي يتضمن تفسير الغنيمة بمعنى غنائم الحرب والذي ذهب إليه جماعة من المفسرين، ولكنهم تجاهلوا تمامًا التوضيح الذي بينه حول شمول المعنى اللغوي لكلمة الغنيمة وبيانه لمعنى الآية ونسبوا أمرًا كاذبًا لذلك المفسِّر الإسلامي الكبير</w:t>
      </w:r>
      <w:r w:rsidRPr="00495BAB">
        <w:rPr>
          <w:rFonts w:hint="cs"/>
          <w:rtl/>
          <w:lang w:bidi="ar-SY"/>
        </w:rPr>
        <w:t>».</w:t>
      </w:r>
    </w:p>
    <w:p w:rsidR="00CD31AA" w:rsidRPr="00495BAB" w:rsidRDefault="00CD31AA" w:rsidP="00495BAB">
      <w:pPr>
        <w:pStyle w:val="a0"/>
        <w:rPr>
          <w:rFonts w:hint="cs"/>
          <w:rtl/>
          <w:lang w:bidi="ar-SY"/>
        </w:rPr>
      </w:pPr>
      <w:r w:rsidRPr="00495BAB">
        <w:rPr>
          <w:rFonts w:hint="cs"/>
          <w:rtl/>
          <w:lang w:bidi="ar-SY"/>
        </w:rPr>
        <w:t xml:space="preserve">لكن هؤلاء السادة لم يُبَيِّنوا لنا أي قول كاذب نسبناه إلى صاحب مجمع البيان. لقد أوردنا ذيل كلمة الغنيمة رأي عشرة أشخاص من علماء الشيعة والسنة الكبار الذين قالوا: إن المراد من كلمة الغنيمة في الآية الكريمة غنائم الحرب، وأوردنا قول صاحب </w:t>
      </w:r>
      <w:r w:rsidRPr="00495BAB">
        <w:rPr>
          <w:rFonts w:hint="cs"/>
          <w:b/>
          <w:bCs/>
          <w:rtl/>
          <w:lang w:bidi="ar-SY"/>
        </w:rPr>
        <w:t>مجمع البيان</w:t>
      </w:r>
      <w:r w:rsidRPr="00495BAB">
        <w:rPr>
          <w:rFonts w:hint="cs"/>
          <w:rtl/>
          <w:lang w:bidi="ar-SY"/>
        </w:rPr>
        <w:t xml:space="preserve"> أيضاً. أما عندما بدأ الأخير قوله (ويقول الشيعة:</w:t>
      </w:r>
      <w:r w:rsidR="00AB28A0" w:rsidRPr="00495BAB">
        <w:rPr>
          <w:rFonts w:hint="cs"/>
          <w:rtl/>
          <w:lang w:bidi="ar-SY"/>
        </w:rPr>
        <w:t>.</w:t>
      </w:r>
      <w:r w:rsidRPr="00495BAB">
        <w:rPr>
          <w:rFonts w:hint="cs"/>
          <w:rtl/>
          <w:lang w:bidi="ar-SY"/>
        </w:rPr>
        <w:t xml:space="preserve">...)، أفلا نعلم نحن أو قراؤنا ما هو قول الشيعة في هذا الباب حتى ننقل قول صاحب </w:t>
      </w:r>
      <w:r w:rsidRPr="00495BAB">
        <w:rPr>
          <w:rFonts w:hint="cs"/>
          <w:b/>
          <w:bCs/>
          <w:rtl/>
          <w:lang w:bidi="ar-SY"/>
        </w:rPr>
        <w:t>مجمع البيان</w:t>
      </w:r>
      <w:r w:rsidRPr="00495BAB">
        <w:rPr>
          <w:rFonts w:hint="cs"/>
          <w:rtl/>
          <w:lang w:bidi="ar-SY"/>
        </w:rPr>
        <w:t xml:space="preserve"> ورأيه الشخصي في هذا الأمر؟ إننا نقبل بكلامه طالما كان يتكلم كلاماً صحيحًا ومنطقيًّا، أما عندما ينحرف فإن كلامه متعلق به ولا يخصنا، ونحن نستفيد من كلامه بما يُثبت ما نقوله.</w:t>
      </w:r>
    </w:p>
    <w:p w:rsidR="00CD31AA" w:rsidRPr="00495BAB" w:rsidRDefault="00CD31AA" w:rsidP="00495BAB">
      <w:pPr>
        <w:pStyle w:val="a0"/>
        <w:rPr>
          <w:rFonts w:hint="cs"/>
          <w:rtl/>
          <w:lang w:bidi="ar-SY"/>
        </w:rPr>
      </w:pPr>
      <w:r w:rsidRPr="00495BAB">
        <w:rPr>
          <w:rFonts w:hint="cs"/>
          <w:rtl/>
          <w:lang w:bidi="ar-SY"/>
        </w:rPr>
        <w:t xml:space="preserve">لو كان لكم نصيب من فن الجدل والاستدلال لعلمتم أن قول الخصم يُعد مستمسكاً إلى الحد الذي يمكن الاستفادة منه، وإلا فإن الخصم يسعى لإثبات مقصده بالطبع. نحن نعتبر صاحب </w:t>
      </w:r>
      <w:r w:rsidRPr="00495BAB">
        <w:rPr>
          <w:rFonts w:hint="cs"/>
          <w:b/>
          <w:bCs/>
          <w:rtl/>
          <w:lang w:bidi="ar-SY"/>
        </w:rPr>
        <w:t>مجمع البيان</w:t>
      </w:r>
      <w:r w:rsidRPr="00495BAB">
        <w:rPr>
          <w:rFonts w:hint="cs"/>
          <w:rtl/>
          <w:lang w:bidi="ar-SY"/>
        </w:rPr>
        <w:t xml:space="preserve"> شيعياً، أي من الشيعة الذين يؤمنون بذلك الخمس الشامل، أما عندما يصرح قائلاً: «</w:t>
      </w:r>
      <w:r w:rsidRPr="00495BAB">
        <w:rPr>
          <w:rFonts w:hint="cs"/>
          <w:b/>
          <w:bCs/>
          <w:rtl/>
          <w:lang w:bidi="ar-SY"/>
        </w:rPr>
        <w:t>الغنيمة ما أُخذ من أموال أهل الحرب من الكفار بقتال</w:t>
      </w:r>
      <w:r w:rsidRPr="00495BAB">
        <w:rPr>
          <w:rFonts w:hint="cs"/>
          <w:rtl/>
          <w:lang w:bidi="ar-SY"/>
        </w:rPr>
        <w:t>» فلماذا لا نستدل بكلامه هذا! وهل تقبلون أنتم بجميع أقوال مخالفيكم؟</w:t>
      </w:r>
    </w:p>
    <w:p w:rsidR="00CD31AA" w:rsidRPr="00495BAB" w:rsidRDefault="00CD31AA" w:rsidP="00495BAB">
      <w:pPr>
        <w:pStyle w:val="a0"/>
        <w:rPr>
          <w:rFonts w:hint="cs"/>
          <w:rtl/>
          <w:lang w:bidi="ar-SY"/>
        </w:rPr>
      </w:pPr>
      <w:r w:rsidRPr="00495BAB">
        <w:rPr>
          <w:rFonts w:hint="cs"/>
          <w:rtl/>
          <w:lang w:bidi="ar-SY"/>
        </w:rPr>
        <w:t>إنكم تصيحون بأعلى صوتكم وتمارسون الهجوم والكر والفر وكأنه قد وقع بأيديكم دليل محكم قاطع يبيح لكم كَيْلَ كلَّ نوع من أنواع التُّهَم والشتائم لمخالفيكم، وتقولون: «</w:t>
      </w:r>
      <w:r w:rsidRPr="00995B26">
        <w:rPr>
          <w:rFonts w:cs="Akhbar MT" w:hint="cs"/>
          <w:szCs w:val="30"/>
          <w:rtl/>
          <w:lang w:bidi="ar-SY"/>
        </w:rPr>
        <w:t>كأن [مؤلف كتاب الخُمس] يتصور أنه وحده فقط يملك تفسير مجمع البيان، وأنه لن يقوم أحد آخر بقراءة هذا التفسير وكشف كذب ذلك المؤلف</w:t>
      </w:r>
      <w:r w:rsidRPr="00495BAB">
        <w:rPr>
          <w:rFonts w:hint="cs"/>
          <w:rtl/>
          <w:lang w:bidi="ar-SY"/>
        </w:rPr>
        <w:t>».</w:t>
      </w:r>
    </w:p>
    <w:p w:rsidR="00CD31AA" w:rsidRPr="00995B26" w:rsidRDefault="00CD31AA" w:rsidP="00495BAB">
      <w:pPr>
        <w:pStyle w:val="a0"/>
        <w:rPr>
          <w:rFonts w:hint="cs"/>
          <w:rtl/>
          <w:lang w:bidi="ar-SY"/>
        </w:rPr>
      </w:pPr>
      <w:r w:rsidRPr="00495BAB">
        <w:rPr>
          <w:rFonts w:hint="cs"/>
          <w:rtl/>
          <w:lang w:bidi="ar-SY"/>
        </w:rPr>
        <w:t xml:space="preserve">وأقول: كلا، نحن نعلم أن تفسير </w:t>
      </w:r>
      <w:r w:rsidRPr="00495BAB">
        <w:rPr>
          <w:rFonts w:hint="cs"/>
          <w:b/>
          <w:bCs/>
          <w:rtl/>
          <w:lang w:bidi="ar-SY"/>
        </w:rPr>
        <w:t>مجمع البيان</w:t>
      </w:r>
      <w:r w:rsidRPr="00495BAB">
        <w:rPr>
          <w:rFonts w:hint="cs"/>
          <w:rtl/>
          <w:lang w:bidi="ar-SY"/>
        </w:rPr>
        <w:t xml:space="preserve"> بأيديكم، وأنكم ربما قرأتموه، مع أنكم لم تفعلوا! لكم </w:t>
      </w:r>
      <w:r w:rsidRPr="00495BAB">
        <w:rPr>
          <w:rFonts w:hint="cs"/>
          <w:b/>
          <w:bCs/>
          <w:rtl/>
          <w:lang w:bidi="ar-SY"/>
        </w:rPr>
        <w:t>مجمع البيان</w:t>
      </w:r>
      <w:r w:rsidRPr="00495BAB">
        <w:rPr>
          <w:rFonts w:hint="cs"/>
          <w:rtl/>
          <w:lang w:bidi="ar-SY"/>
        </w:rPr>
        <w:t xml:space="preserve"> ليس سندًا قويًّا إلى حدّ أنه لو صدَّق كلامنا نكون قد انتصرنا، وإن لم يفعل نكون قد هُزِمنا! إن تفسير </w:t>
      </w:r>
      <w:r w:rsidRPr="00495BAB">
        <w:rPr>
          <w:rFonts w:hint="cs"/>
          <w:b/>
          <w:bCs/>
          <w:rtl/>
          <w:lang w:bidi="ar-SY"/>
        </w:rPr>
        <w:t>مجمع البيان</w:t>
      </w:r>
      <w:r w:rsidRPr="00495BAB">
        <w:rPr>
          <w:rFonts w:hint="cs"/>
          <w:rtl/>
          <w:lang w:bidi="ar-SY"/>
        </w:rPr>
        <w:t xml:space="preserve"> نسخة مصورة عن تفسير </w:t>
      </w:r>
      <w:r w:rsidRPr="00495BAB">
        <w:rPr>
          <w:rFonts w:hint="cs"/>
          <w:b/>
          <w:bCs/>
          <w:rtl/>
          <w:lang w:bidi="ar-SY"/>
        </w:rPr>
        <w:t>التِّبْيان</w:t>
      </w:r>
      <w:r w:rsidRPr="00495BAB">
        <w:rPr>
          <w:rFonts w:hint="cs"/>
          <w:rtl/>
          <w:lang w:bidi="ar-SY"/>
        </w:rPr>
        <w:t xml:space="preserve"> للشيخ الطوسي، لأنه ينقل عين عباراته ومضامينه. لهذا السبب بالذات أوردنا فيما سبق قول الشيخ الطوسي في </w:t>
      </w:r>
      <w:r w:rsidRPr="00495BAB">
        <w:rPr>
          <w:rFonts w:hint="cs"/>
          <w:b/>
          <w:bCs/>
          <w:rtl/>
          <w:lang w:bidi="ar-SY"/>
        </w:rPr>
        <w:t>التِّبْيان</w:t>
      </w:r>
      <w:r w:rsidRPr="00495BAB">
        <w:rPr>
          <w:rFonts w:hint="cs"/>
          <w:rtl/>
          <w:lang w:bidi="ar-SY"/>
        </w:rPr>
        <w:t xml:space="preserve"> بذكر الصفحة والرقم، حين قال: «</w:t>
      </w:r>
      <w:r w:rsidRPr="00995B26">
        <w:rPr>
          <w:rFonts w:cs="Akhbar MT" w:hint="cs"/>
          <w:szCs w:val="30"/>
          <w:rtl/>
          <w:lang w:bidi="ar-SY"/>
        </w:rPr>
        <w:t>أقول: الغنيمة ما أُخِذَ من أموال أهل الحرب من الكفار بقتالٍ، وهي هبة من الله للمسلمين</w:t>
      </w:r>
      <w:r w:rsidRPr="00495BAB">
        <w:rPr>
          <w:rFonts w:hint="cs"/>
          <w:rtl/>
          <w:lang w:bidi="ar-SY"/>
        </w:rPr>
        <w:t>». فإن كانت نيتكم صالحة، فلماذا لم توردوا هذا الإشكال على ما نقلناه من كلام الشيخ الطوسي الذي هو أكبر بكثير من الشيخ الطبرسي ومُقَدَّمٌ عليه؟ لكنكم بمجرد أن وجدتم  أن الشيخ الطبرسي قال: «</w:t>
      </w:r>
      <w:r w:rsidRPr="00995B26">
        <w:rPr>
          <w:rFonts w:cs="Akhbar MT" w:hint="cs"/>
          <w:szCs w:val="30"/>
          <w:rtl/>
          <w:lang w:bidi="ar-SY"/>
        </w:rPr>
        <w:t>وقال أصحابنا: إن الخُمس واجبٌ في كل فائدةٍ</w:t>
      </w:r>
      <w:r w:rsidRPr="00495BAB">
        <w:rPr>
          <w:rFonts w:hint="cs"/>
          <w:rtl/>
          <w:lang w:bidi="ar-SY"/>
        </w:rPr>
        <w:t xml:space="preserve">...» ثارت ثورتكم؟! إن ما يهمنا في هذا النقل هو المعنى اللغوي الذي يؤمن به جميع المفسرين لكلمة «الغنيمة» في الآية، وأنه غنيمة دار الحرب، ولا تهمّنا العقيدة الشخصية لصاحب </w:t>
      </w:r>
      <w:r w:rsidRPr="00495BAB">
        <w:rPr>
          <w:rFonts w:hint="cs"/>
          <w:b/>
          <w:bCs/>
          <w:rtl/>
          <w:lang w:bidi="ar-SY"/>
        </w:rPr>
        <w:t>مجمع البيان</w:t>
      </w:r>
      <w:r w:rsidRPr="00495BAB">
        <w:rPr>
          <w:rFonts w:hint="cs"/>
          <w:rtl/>
          <w:lang w:bidi="ar-SY"/>
        </w:rPr>
        <w:t xml:space="preserve"> ولا ما نقله من قول أصحابه.  </w:t>
      </w:r>
    </w:p>
    <w:p w:rsidR="00CD31AA" w:rsidRPr="00495BAB" w:rsidRDefault="00CD31AA" w:rsidP="00495BAB">
      <w:pPr>
        <w:pStyle w:val="a0"/>
        <w:rPr>
          <w:rFonts w:hint="cs"/>
          <w:rtl/>
          <w:lang w:bidi="ar-SY"/>
        </w:rPr>
      </w:pPr>
      <w:r w:rsidRPr="00495BAB">
        <w:rPr>
          <w:rFonts w:hint="cs"/>
          <w:rtl/>
          <w:lang w:bidi="ar-SY"/>
        </w:rPr>
        <w:t xml:space="preserve">ثم قام كُتَّاب الردّ بذكر ما قاله صاحب  </w:t>
      </w:r>
      <w:r w:rsidRPr="00495BAB">
        <w:rPr>
          <w:rFonts w:hint="cs"/>
          <w:b/>
          <w:bCs/>
          <w:rtl/>
          <w:lang w:bidi="ar-SY"/>
        </w:rPr>
        <w:t>تفسير الميزان</w:t>
      </w:r>
      <w:r w:rsidRPr="00495BAB">
        <w:rPr>
          <w:rFonts w:hint="cs"/>
          <w:rtl/>
          <w:lang w:bidi="ar-SY"/>
        </w:rPr>
        <w:t xml:space="preserve"> والمباهاة به في وجهنا، وهم  يتخيلون أنهم أفحمونا بقوله هذا!! ونقول: لو فرضنا، على سبيل الفرض المُحال، أن علماء الدنيا جميعَهم وافقوكم وقالوا: إن الخُمس الشامل يُستَنْبَط من كلمة «الغنيمة» هذه ومن آية الغنيمة، ولو فرضنا أننا فقدنا عقلنا أيضًا وتأثرنا بصياحكم وصراخكم والضجَّة التي أحدثتموها فأقلعنا عن قولنا، فإن السؤال الآتي يبقى على حاله بكل قوة: إن آية الغنيمة هذه نزلت على رسول الله </w:t>
      </w:r>
      <w:r w:rsidRPr="00495BAB">
        <w:rPr>
          <w:rFonts w:ascii="Abo-thar" w:hAnsi="Abo-thar"/>
          <w:sz w:val="28"/>
          <w:lang w:bidi="fa-IR"/>
        </w:rPr>
        <w:t></w:t>
      </w:r>
      <w:r w:rsidRPr="00495BAB">
        <w:rPr>
          <w:rFonts w:hint="cs"/>
          <w:rtl/>
          <w:lang w:bidi="ar-SY"/>
        </w:rPr>
        <w:t xml:space="preserve"> وخوطب بها جميع المسلمين في عصره، ففي أي تاريخ قرأتم، ومن أي مسلم في ذلك العصر سمعتم أن رسول الله </w:t>
      </w:r>
      <w:r w:rsidRPr="00495BAB">
        <w:rPr>
          <w:rFonts w:ascii="Abo-thar" w:hAnsi="Abo-thar"/>
          <w:sz w:val="28"/>
          <w:lang w:bidi="fa-IR"/>
        </w:rPr>
        <w:t></w:t>
      </w:r>
      <w:r w:rsidRPr="00495BAB">
        <w:rPr>
          <w:rFonts w:hint="cs"/>
          <w:rtl/>
          <w:lang w:bidi="ar-SY"/>
        </w:rPr>
        <w:t xml:space="preserve"> أخذ يومًا دينارًا واحدًا من أحدٍ من الناس من باب خمس أرباحه ومكاسبه؟؟ إن ذلك لم يحصل أبدًا، وكل ما حصل أنه وجدت بعد ثلاث</w:t>
      </w:r>
      <w:r w:rsidR="00755AAC">
        <w:rPr>
          <w:rFonts w:hint="cs"/>
          <w:rtl/>
          <w:lang w:bidi="ar-SY"/>
        </w:rPr>
        <w:t>مائة</w:t>
      </w:r>
      <w:r w:rsidRPr="00495BAB">
        <w:rPr>
          <w:rFonts w:hint="cs"/>
          <w:rtl/>
          <w:lang w:bidi="ar-SY"/>
        </w:rPr>
        <w:t xml:space="preserve"> عام من ظهور الإسلام طائفةٌ ادَّعت أنه يجب إعطاء مثل هذا الخُمْس. أي إنسان منكم -بمعزل عن العقلاء الذين يعرفون الحقيقة-سيقبل بهذا  الأمر سوى الذين يشتغلون بالطلاسم والسحر؟!</w:t>
      </w:r>
    </w:p>
    <w:p w:rsidR="00CD31AA" w:rsidRPr="00995B26" w:rsidRDefault="00CD31AA" w:rsidP="003C671C">
      <w:pPr>
        <w:pStyle w:val="a6"/>
        <w:rPr>
          <w:rFonts w:hint="cs"/>
          <w:rtl/>
          <w:lang w:bidi="ar-SY"/>
        </w:rPr>
      </w:pPr>
      <w:bookmarkStart w:id="198" w:name="_Toc387843125"/>
      <w:r w:rsidRPr="00995B26">
        <w:rPr>
          <w:rFonts w:hint="cs"/>
          <w:rtl/>
          <w:lang w:bidi="ar-SY"/>
        </w:rPr>
        <w:t>مغالطة وسفسطة</w:t>
      </w:r>
      <w:bookmarkEnd w:id="198"/>
    </w:p>
    <w:p w:rsidR="00CD31AA" w:rsidRPr="00495BAB" w:rsidRDefault="00CD31AA" w:rsidP="00495BAB">
      <w:pPr>
        <w:pStyle w:val="a0"/>
        <w:rPr>
          <w:rFonts w:hint="cs"/>
          <w:rtl/>
          <w:lang w:bidi="ar-SY"/>
        </w:rPr>
      </w:pPr>
      <w:r w:rsidRPr="00495BAB">
        <w:rPr>
          <w:rFonts w:hint="cs"/>
          <w:rtl/>
          <w:lang w:bidi="ar-SY"/>
        </w:rPr>
        <w:t>كتب الأستاذ القدير (!) وأعوانه في الصفحة 31 من كُتَيِّبهم يقولون:</w:t>
      </w:r>
    </w:p>
    <w:p w:rsidR="00CD31AA" w:rsidRPr="00495BAB" w:rsidRDefault="00CD31AA" w:rsidP="00495BAB">
      <w:pPr>
        <w:pStyle w:val="a0"/>
        <w:rPr>
          <w:rFonts w:hint="cs"/>
          <w:rtl/>
          <w:lang w:bidi="ar-SY"/>
        </w:rPr>
      </w:pPr>
      <w:r w:rsidRPr="00495BAB">
        <w:rPr>
          <w:rFonts w:hint="cs"/>
          <w:rtl/>
          <w:lang w:bidi="ar-SY"/>
        </w:rPr>
        <w:t>«</w:t>
      </w:r>
      <w:r w:rsidRPr="00995B26">
        <w:rPr>
          <w:rFonts w:cs="Akhbar MT" w:hint="cs"/>
          <w:szCs w:val="30"/>
          <w:rtl/>
          <w:lang w:bidi="ar-SY"/>
        </w:rPr>
        <w:t>إن لآية الغنيمة معنًى واسعًا، وهي تشمل كل نوع من أنواع الدَّخْل والكَسْب والربح والانتفاع، لأن المعنى اللغوي لكلمة «الغنيمة» شامل وعام، وليس لدينا أي دليل على تخصيصه</w:t>
      </w:r>
      <w:r w:rsidRPr="00495BAB">
        <w:rPr>
          <w:rFonts w:hint="cs"/>
          <w:rtl/>
          <w:lang w:bidi="ar-SY"/>
        </w:rPr>
        <w:t>».</w:t>
      </w:r>
    </w:p>
    <w:p w:rsidR="00CD31AA" w:rsidRPr="00495BAB" w:rsidRDefault="00CD31AA" w:rsidP="00495BAB">
      <w:pPr>
        <w:pStyle w:val="a0"/>
        <w:rPr>
          <w:rFonts w:hint="cs"/>
          <w:rtl/>
          <w:lang w:bidi="ar-SY"/>
        </w:rPr>
      </w:pPr>
      <w:r w:rsidRPr="00495BAB">
        <w:rPr>
          <w:rFonts w:hint="cs"/>
          <w:rtl/>
          <w:lang w:bidi="ar-SY"/>
        </w:rPr>
        <w:t>وأقول: إن الادِّعاء بأن لآية الغنيمة معنًى واسعًا، ادِّعاءٌ باطلٌ تكذِّبُهُ لفظة الغنيمة وموضوع «الغنيمة»، ويكذِّبه التاريخ واتفاق جمهور المفسِّرين، إذْ هناك في اللغة العربية فرقٌ شاسعٌ بين معاني السعي والكدّ والعمل والأجر، وبين معنى الغنيمة التي يتَّفق عامَّة أهل اللغة على أنها (الفوز بالشيء بلا مشقَّة).</w:t>
      </w:r>
    </w:p>
    <w:p w:rsidR="00CD31AA" w:rsidRPr="00995B26" w:rsidRDefault="00CD31AA" w:rsidP="00495BAB">
      <w:pPr>
        <w:pStyle w:val="a0"/>
        <w:rPr>
          <w:rFonts w:hint="cs"/>
          <w:rtl/>
          <w:lang w:bidi="ar-SY"/>
        </w:rPr>
      </w:pPr>
      <w:r w:rsidRPr="00495BAB">
        <w:rPr>
          <w:rFonts w:hint="cs"/>
          <w:rtl/>
          <w:lang w:bidi="ar-SY"/>
        </w:rPr>
        <w:t>كل موضع في آيات القرآن الكريم ذُكِرَت فيه كلمة «الغنيمة» وكلمة «المغانم» - المشتقة من مادة الغنيمة ذاتها - أُريد منها الغنائم الحربية ذاتها التي ينالها المسلمون من الكفار، لا شيء آخر، كما جاء ذلك في قوله تعالى في سورة الأنفال:</w:t>
      </w:r>
      <w:r w:rsidR="00252DED" w:rsidRPr="00495BAB">
        <w:rPr>
          <w:rFonts w:hint="cs"/>
          <w:rtl/>
          <w:lang w:bidi="ar-SY"/>
        </w:rPr>
        <w:t xml:space="preserve"> </w:t>
      </w:r>
      <w:r w:rsidR="00252DED" w:rsidRPr="00995B26">
        <w:rPr>
          <w:rFonts w:cs="Traditional Arabic" w:hint="cs"/>
          <w:szCs w:val="30"/>
          <w:rtl/>
          <w:lang w:bidi="ar-SY"/>
        </w:rPr>
        <w:t>﴿</w:t>
      </w:r>
      <w:r w:rsidR="00252DED" w:rsidRPr="0067048A">
        <w:rPr>
          <w:rFonts w:ascii="KFGQPC Uthmanic Script HAFS" w:cs="KFGQPC Uthmanic Script HAFS" w:hint="eastAsia"/>
          <w:sz w:val="28"/>
          <w:szCs w:val="28"/>
          <w:rtl/>
        </w:rPr>
        <w:t>وَ</w:t>
      </w:r>
      <w:r w:rsidR="00252DED" w:rsidRPr="0067048A">
        <w:rPr>
          <w:rFonts w:ascii="KFGQPC Uthmanic Script HAFS" w:cs="KFGQPC Uthmanic Script HAFS" w:hint="cs"/>
          <w:sz w:val="28"/>
          <w:szCs w:val="28"/>
          <w:rtl/>
        </w:rPr>
        <w:t>ٱ</w:t>
      </w:r>
      <w:r w:rsidR="00252DED" w:rsidRPr="0067048A">
        <w:rPr>
          <w:rFonts w:ascii="KFGQPC Uthmanic Script HAFS" w:cs="KFGQPC Uthmanic Script HAFS" w:hint="eastAsia"/>
          <w:sz w:val="28"/>
          <w:szCs w:val="28"/>
          <w:rtl/>
        </w:rPr>
        <w:t>ع</w:t>
      </w:r>
      <w:r w:rsidR="00252DED" w:rsidRPr="0067048A">
        <w:rPr>
          <w:rFonts w:ascii="KFGQPC Uthmanic Script HAFS" w:cs="KFGQPC Uthmanic Script HAFS" w:hint="cs"/>
          <w:sz w:val="28"/>
          <w:szCs w:val="28"/>
          <w:rtl/>
        </w:rPr>
        <w:t>ۡ</w:t>
      </w:r>
      <w:r w:rsidR="00252DED" w:rsidRPr="0067048A">
        <w:rPr>
          <w:rFonts w:ascii="KFGQPC Uthmanic Script HAFS" w:cs="KFGQPC Uthmanic Script HAFS" w:hint="eastAsia"/>
          <w:sz w:val="28"/>
          <w:szCs w:val="28"/>
          <w:rtl/>
        </w:rPr>
        <w:t>لَمُو</w:t>
      </w:r>
      <w:r w:rsidR="00252DED" w:rsidRPr="0067048A">
        <w:rPr>
          <w:rFonts w:ascii="KFGQPC Uthmanic Script HAFS" w:cs="KFGQPC Uthmanic Script HAFS" w:hint="cs"/>
          <w:sz w:val="28"/>
          <w:szCs w:val="28"/>
          <w:rtl/>
        </w:rPr>
        <w:t>ٓ</w:t>
      </w:r>
      <w:r w:rsidR="00252DED" w:rsidRPr="0067048A">
        <w:rPr>
          <w:rFonts w:ascii="KFGQPC Uthmanic Script HAFS" w:cs="KFGQPC Uthmanic Script HAFS" w:hint="eastAsia"/>
          <w:sz w:val="28"/>
          <w:szCs w:val="28"/>
          <w:rtl/>
        </w:rPr>
        <w:t>اْ</w:t>
      </w:r>
      <w:r w:rsidR="00252DED" w:rsidRPr="0067048A">
        <w:rPr>
          <w:rFonts w:ascii="KFGQPC Uthmanic Script HAFS" w:cs="KFGQPC Uthmanic Script HAFS"/>
          <w:sz w:val="28"/>
          <w:szCs w:val="28"/>
          <w:rtl/>
        </w:rPr>
        <w:t xml:space="preserve"> </w:t>
      </w:r>
      <w:r w:rsidR="00252DED" w:rsidRPr="0067048A">
        <w:rPr>
          <w:rFonts w:ascii="KFGQPC Uthmanic Script HAFS" w:cs="KFGQPC Uthmanic Script HAFS" w:hint="eastAsia"/>
          <w:sz w:val="28"/>
          <w:szCs w:val="28"/>
          <w:rtl/>
        </w:rPr>
        <w:t>أَنَّمَا</w:t>
      </w:r>
      <w:r w:rsidR="00252DED" w:rsidRPr="0067048A">
        <w:rPr>
          <w:rFonts w:ascii="KFGQPC Uthmanic Script HAFS" w:cs="KFGQPC Uthmanic Script HAFS"/>
          <w:sz w:val="28"/>
          <w:szCs w:val="28"/>
          <w:rtl/>
        </w:rPr>
        <w:t xml:space="preserve"> </w:t>
      </w:r>
      <w:r w:rsidR="00252DED" w:rsidRPr="0067048A">
        <w:rPr>
          <w:rFonts w:ascii="KFGQPC Uthmanic Script HAFS" w:cs="KFGQPC Uthmanic Script HAFS" w:hint="eastAsia"/>
          <w:sz w:val="28"/>
          <w:szCs w:val="28"/>
          <w:rtl/>
        </w:rPr>
        <w:t>غَنِم</w:t>
      </w:r>
      <w:r w:rsidR="00252DED" w:rsidRPr="0067048A">
        <w:rPr>
          <w:rFonts w:ascii="KFGQPC Uthmanic Script HAFS" w:cs="KFGQPC Uthmanic Script HAFS" w:hint="cs"/>
          <w:sz w:val="28"/>
          <w:szCs w:val="28"/>
          <w:rtl/>
        </w:rPr>
        <w:t>ۡ</w:t>
      </w:r>
      <w:r w:rsidR="00252DED" w:rsidRPr="0067048A">
        <w:rPr>
          <w:rFonts w:ascii="KFGQPC Uthmanic Script HAFS" w:cs="KFGQPC Uthmanic Script HAFS" w:hint="eastAsia"/>
          <w:sz w:val="28"/>
          <w:szCs w:val="28"/>
          <w:rtl/>
        </w:rPr>
        <w:t>تُم</w:t>
      </w:r>
      <w:r w:rsidR="00252DED" w:rsidRPr="0067048A">
        <w:rPr>
          <w:rFonts w:ascii="KFGQPC Uthmanic Script HAFS" w:cs="KFGQPC Uthmanic Script HAFS"/>
          <w:sz w:val="28"/>
          <w:szCs w:val="28"/>
          <w:rtl/>
        </w:rPr>
        <w:t xml:space="preserve"> </w:t>
      </w:r>
      <w:r w:rsidR="00252DED" w:rsidRPr="0067048A">
        <w:rPr>
          <w:rFonts w:ascii="KFGQPC Uthmanic Script HAFS" w:cs="KFGQPC Uthmanic Script HAFS" w:hint="eastAsia"/>
          <w:sz w:val="28"/>
          <w:szCs w:val="28"/>
          <w:rtl/>
        </w:rPr>
        <w:t>مِّن</w:t>
      </w:r>
      <w:r w:rsidR="00252DED" w:rsidRPr="0067048A">
        <w:rPr>
          <w:rFonts w:ascii="KFGQPC Uthmanic Script HAFS" w:cs="KFGQPC Uthmanic Script HAFS"/>
          <w:sz w:val="28"/>
          <w:szCs w:val="28"/>
          <w:rtl/>
        </w:rPr>
        <w:t xml:space="preserve"> </w:t>
      </w:r>
      <w:r w:rsidR="00252DED" w:rsidRPr="0067048A">
        <w:rPr>
          <w:rFonts w:ascii="KFGQPC Uthmanic Script HAFS" w:cs="KFGQPC Uthmanic Script HAFS" w:hint="eastAsia"/>
          <w:sz w:val="28"/>
          <w:szCs w:val="28"/>
          <w:rtl/>
        </w:rPr>
        <w:t>شَي</w:t>
      </w:r>
      <w:r w:rsidR="00252DED" w:rsidRPr="0067048A">
        <w:rPr>
          <w:rFonts w:ascii="KFGQPC Uthmanic Script HAFS" w:cs="KFGQPC Uthmanic Script HAFS" w:hint="cs"/>
          <w:sz w:val="28"/>
          <w:szCs w:val="28"/>
          <w:rtl/>
        </w:rPr>
        <w:t>ۡ</w:t>
      </w:r>
      <w:r w:rsidR="00252DED" w:rsidRPr="0067048A">
        <w:rPr>
          <w:rFonts w:ascii="KFGQPC Uthmanic Script HAFS" w:cs="KFGQPC Uthmanic Script HAFS" w:hint="eastAsia"/>
          <w:sz w:val="28"/>
          <w:szCs w:val="28"/>
          <w:rtl/>
        </w:rPr>
        <w:t>ء</w:t>
      </w:r>
      <w:r w:rsidR="00252DED" w:rsidRPr="0067048A">
        <w:rPr>
          <w:rFonts w:ascii="KFGQPC Uthmanic Script HAFS" w:cs="KFGQPC Uthmanic Script HAFS" w:hint="cs"/>
          <w:sz w:val="28"/>
          <w:szCs w:val="28"/>
          <w:rtl/>
        </w:rPr>
        <w:t>ٖ</w:t>
      </w:r>
      <w:r w:rsidR="00252DED" w:rsidRPr="00995B26">
        <w:rPr>
          <w:rFonts w:cs="Traditional Arabic" w:hint="cs"/>
          <w:szCs w:val="30"/>
          <w:rtl/>
          <w:lang w:bidi="ar-SY"/>
        </w:rPr>
        <w:t>﴾</w:t>
      </w:r>
      <w:r w:rsidRPr="00495BAB">
        <w:rPr>
          <w:rFonts w:hint="cs"/>
          <w:rtl/>
          <w:lang w:bidi="ar-SY"/>
        </w:rPr>
        <w:t xml:space="preserve"> </w:t>
      </w:r>
      <w:r w:rsidRPr="009E1401">
        <w:rPr>
          <w:rStyle w:val="Char2"/>
          <w:rtl/>
        </w:rPr>
        <w:t>[الأنفال</w:t>
      </w:r>
      <w:r w:rsidR="00252DED" w:rsidRPr="009E1401">
        <w:rPr>
          <w:rStyle w:val="Char2"/>
          <w:rFonts w:hint="cs"/>
          <w:rtl/>
        </w:rPr>
        <w:t xml:space="preserve">: </w:t>
      </w:r>
      <w:r w:rsidRPr="009E1401">
        <w:rPr>
          <w:rStyle w:val="Char2"/>
          <w:rtl/>
        </w:rPr>
        <w:t>41]</w:t>
      </w:r>
      <w:r w:rsidRPr="00495BAB">
        <w:rPr>
          <w:rFonts w:hint="cs"/>
          <w:rtl/>
          <w:lang w:bidi="ar-SY"/>
        </w:rPr>
        <w:t xml:space="preserve">، وفي قوله تعالى في السورة ذاتها: </w:t>
      </w:r>
      <w:r w:rsidR="00252DED" w:rsidRPr="00995B26">
        <w:rPr>
          <w:rFonts w:cs="Traditional Arabic" w:hint="cs"/>
          <w:szCs w:val="30"/>
          <w:rtl/>
          <w:lang w:bidi="ar-SY"/>
        </w:rPr>
        <w:t>﴿</w:t>
      </w:r>
      <w:r w:rsidR="00252DED" w:rsidRPr="0067048A">
        <w:rPr>
          <w:rFonts w:ascii="KFGQPC Uthmanic Script HAFS" w:cs="KFGQPC Uthmanic Script HAFS" w:hint="eastAsia"/>
          <w:sz w:val="28"/>
          <w:szCs w:val="28"/>
          <w:rtl/>
        </w:rPr>
        <w:t>فَكُلُواْ</w:t>
      </w:r>
      <w:r w:rsidR="00252DED" w:rsidRPr="0067048A">
        <w:rPr>
          <w:rFonts w:ascii="KFGQPC Uthmanic Script HAFS" w:cs="KFGQPC Uthmanic Script HAFS"/>
          <w:sz w:val="28"/>
          <w:szCs w:val="28"/>
          <w:rtl/>
        </w:rPr>
        <w:t xml:space="preserve"> </w:t>
      </w:r>
      <w:r w:rsidR="00252DED" w:rsidRPr="0067048A">
        <w:rPr>
          <w:rFonts w:ascii="KFGQPC Uthmanic Script HAFS" w:cs="KFGQPC Uthmanic Script HAFS" w:hint="eastAsia"/>
          <w:sz w:val="28"/>
          <w:szCs w:val="28"/>
          <w:rtl/>
        </w:rPr>
        <w:t>مِمَّا</w:t>
      </w:r>
      <w:r w:rsidR="00252DED" w:rsidRPr="0067048A">
        <w:rPr>
          <w:rFonts w:ascii="KFGQPC Uthmanic Script HAFS" w:cs="KFGQPC Uthmanic Script HAFS"/>
          <w:sz w:val="28"/>
          <w:szCs w:val="28"/>
          <w:rtl/>
        </w:rPr>
        <w:t xml:space="preserve"> </w:t>
      </w:r>
      <w:r w:rsidR="00252DED" w:rsidRPr="0067048A">
        <w:rPr>
          <w:rFonts w:ascii="KFGQPC Uthmanic Script HAFS" w:cs="KFGQPC Uthmanic Script HAFS" w:hint="eastAsia"/>
          <w:sz w:val="28"/>
          <w:szCs w:val="28"/>
          <w:rtl/>
        </w:rPr>
        <w:t>غَنِم</w:t>
      </w:r>
      <w:r w:rsidR="00252DED" w:rsidRPr="0067048A">
        <w:rPr>
          <w:rFonts w:ascii="KFGQPC Uthmanic Script HAFS" w:cs="KFGQPC Uthmanic Script HAFS" w:hint="cs"/>
          <w:sz w:val="28"/>
          <w:szCs w:val="28"/>
          <w:rtl/>
        </w:rPr>
        <w:t>ۡ</w:t>
      </w:r>
      <w:r w:rsidR="00252DED" w:rsidRPr="0067048A">
        <w:rPr>
          <w:rFonts w:ascii="KFGQPC Uthmanic Script HAFS" w:cs="KFGQPC Uthmanic Script HAFS" w:hint="eastAsia"/>
          <w:sz w:val="28"/>
          <w:szCs w:val="28"/>
          <w:rtl/>
        </w:rPr>
        <w:t>تُم</w:t>
      </w:r>
      <w:r w:rsidR="00252DED" w:rsidRPr="0067048A">
        <w:rPr>
          <w:rFonts w:ascii="KFGQPC Uthmanic Script HAFS" w:cs="KFGQPC Uthmanic Script HAFS" w:hint="cs"/>
          <w:sz w:val="28"/>
          <w:szCs w:val="28"/>
          <w:rtl/>
        </w:rPr>
        <w:t>ۡ</w:t>
      </w:r>
      <w:r w:rsidR="00252DED" w:rsidRPr="0067048A">
        <w:rPr>
          <w:rFonts w:ascii="KFGQPC Uthmanic Script HAFS" w:cs="KFGQPC Uthmanic Script HAFS"/>
          <w:sz w:val="28"/>
          <w:szCs w:val="28"/>
          <w:rtl/>
        </w:rPr>
        <w:t xml:space="preserve"> </w:t>
      </w:r>
      <w:r w:rsidR="00252DED" w:rsidRPr="0067048A">
        <w:rPr>
          <w:rFonts w:ascii="KFGQPC Uthmanic Script HAFS" w:cs="KFGQPC Uthmanic Script HAFS" w:hint="eastAsia"/>
          <w:sz w:val="28"/>
          <w:szCs w:val="28"/>
          <w:rtl/>
        </w:rPr>
        <w:t>حَلَ</w:t>
      </w:r>
      <w:r w:rsidR="00252DED" w:rsidRPr="0067048A">
        <w:rPr>
          <w:rFonts w:ascii="KFGQPC Uthmanic Script HAFS" w:cs="KFGQPC Uthmanic Script HAFS" w:hint="cs"/>
          <w:sz w:val="28"/>
          <w:szCs w:val="28"/>
          <w:rtl/>
        </w:rPr>
        <w:t>ٰ</w:t>
      </w:r>
      <w:r w:rsidR="00252DED" w:rsidRPr="0067048A">
        <w:rPr>
          <w:rFonts w:ascii="KFGQPC Uthmanic Script HAFS" w:cs="KFGQPC Uthmanic Script HAFS" w:hint="eastAsia"/>
          <w:sz w:val="28"/>
          <w:szCs w:val="28"/>
          <w:rtl/>
        </w:rPr>
        <w:t>ل</w:t>
      </w:r>
      <w:r w:rsidR="00252DED" w:rsidRPr="0067048A">
        <w:rPr>
          <w:rFonts w:ascii="KFGQPC Uthmanic Script HAFS" w:cs="KFGQPC Uthmanic Script HAFS" w:hint="cs"/>
          <w:sz w:val="28"/>
          <w:szCs w:val="28"/>
          <w:rtl/>
        </w:rPr>
        <w:t>ٗ</w:t>
      </w:r>
      <w:r w:rsidR="00252DED" w:rsidRPr="0067048A">
        <w:rPr>
          <w:rFonts w:ascii="KFGQPC Uthmanic Script HAFS" w:cs="KFGQPC Uthmanic Script HAFS" w:hint="eastAsia"/>
          <w:sz w:val="28"/>
          <w:szCs w:val="28"/>
          <w:rtl/>
        </w:rPr>
        <w:t>ا</w:t>
      </w:r>
      <w:r w:rsidR="00252DED" w:rsidRPr="0067048A">
        <w:rPr>
          <w:rFonts w:ascii="KFGQPC Uthmanic Script HAFS" w:cs="KFGQPC Uthmanic Script HAFS"/>
          <w:sz w:val="28"/>
          <w:szCs w:val="28"/>
          <w:rtl/>
        </w:rPr>
        <w:t xml:space="preserve"> </w:t>
      </w:r>
      <w:r w:rsidR="00252DED" w:rsidRPr="0067048A">
        <w:rPr>
          <w:rFonts w:ascii="KFGQPC Uthmanic Script HAFS" w:cs="KFGQPC Uthmanic Script HAFS" w:hint="eastAsia"/>
          <w:sz w:val="28"/>
          <w:szCs w:val="28"/>
          <w:rtl/>
        </w:rPr>
        <w:t>طَيِّب</w:t>
      </w:r>
      <w:r w:rsidR="00252DED" w:rsidRPr="0067048A">
        <w:rPr>
          <w:rFonts w:ascii="KFGQPC Uthmanic Script HAFS" w:cs="KFGQPC Uthmanic Script HAFS" w:hint="cs"/>
          <w:sz w:val="28"/>
          <w:szCs w:val="28"/>
          <w:rtl/>
        </w:rPr>
        <w:t>ٗ</w:t>
      </w:r>
      <w:r w:rsidR="00252DED" w:rsidRPr="0067048A">
        <w:rPr>
          <w:rFonts w:ascii="KFGQPC Uthmanic Script HAFS" w:cs="KFGQPC Uthmanic Script HAFS" w:hint="eastAsia"/>
          <w:sz w:val="28"/>
          <w:szCs w:val="28"/>
          <w:rtl/>
        </w:rPr>
        <w:t>ا</w:t>
      </w:r>
      <w:r w:rsidR="00252DED" w:rsidRPr="00995B26">
        <w:rPr>
          <w:rFonts w:cs="Traditional Arabic" w:hint="cs"/>
          <w:szCs w:val="30"/>
          <w:rtl/>
          <w:lang w:bidi="ar-SY"/>
        </w:rPr>
        <w:t>﴾</w:t>
      </w:r>
      <w:r w:rsidR="00252DED" w:rsidRPr="00495BAB">
        <w:rPr>
          <w:rFonts w:hint="cs"/>
          <w:rtl/>
          <w:lang w:bidi="ar-SY"/>
        </w:rPr>
        <w:t xml:space="preserve"> </w:t>
      </w:r>
      <w:r w:rsidRPr="00495BAB">
        <w:rPr>
          <w:rtl/>
          <w:lang w:bidi="ar-SY"/>
        </w:rPr>
        <w:t xml:space="preserve"> </w:t>
      </w:r>
      <w:r w:rsidRPr="009E1401">
        <w:rPr>
          <w:rStyle w:val="Char2"/>
          <w:rtl/>
        </w:rPr>
        <w:t>[الأنفال</w:t>
      </w:r>
      <w:r w:rsidR="00252DED" w:rsidRPr="009E1401">
        <w:rPr>
          <w:rStyle w:val="Char2"/>
          <w:rFonts w:hint="cs"/>
          <w:rtl/>
        </w:rPr>
        <w:t xml:space="preserve">: </w:t>
      </w:r>
      <w:r w:rsidRPr="009E1401">
        <w:rPr>
          <w:rStyle w:val="Char2"/>
          <w:rtl/>
        </w:rPr>
        <w:t>69]</w:t>
      </w:r>
      <w:r w:rsidRPr="00495BAB">
        <w:rPr>
          <w:rFonts w:hint="cs"/>
          <w:rtl/>
          <w:lang w:bidi="ar-SY"/>
        </w:rPr>
        <w:t>، وكما جاء في سورة النساء:</w:t>
      </w:r>
      <w:r w:rsidR="00252DED" w:rsidRPr="00495BAB">
        <w:rPr>
          <w:rFonts w:hint="cs"/>
          <w:rtl/>
          <w:lang w:bidi="ar-SY"/>
        </w:rPr>
        <w:t xml:space="preserve"> </w:t>
      </w:r>
      <w:r w:rsidR="00252DED" w:rsidRPr="00995B26">
        <w:rPr>
          <w:rFonts w:cs="Traditional Arabic" w:hint="cs"/>
          <w:szCs w:val="30"/>
          <w:rtl/>
          <w:lang w:bidi="ar-SY"/>
        </w:rPr>
        <w:t>﴿</w:t>
      </w:r>
      <w:r w:rsidR="00252DED" w:rsidRPr="0067048A">
        <w:rPr>
          <w:rFonts w:ascii="KFGQPC Uthmanic Script HAFS" w:cs="KFGQPC Uthmanic Script HAFS" w:hint="eastAsia"/>
          <w:sz w:val="28"/>
          <w:szCs w:val="28"/>
          <w:rtl/>
        </w:rPr>
        <w:t>فَعِندَ</w:t>
      </w:r>
      <w:r w:rsidR="00252DED" w:rsidRPr="0067048A">
        <w:rPr>
          <w:rFonts w:ascii="KFGQPC Uthmanic Script HAFS" w:cs="KFGQPC Uthmanic Script HAFS"/>
          <w:sz w:val="28"/>
          <w:szCs w:val="28"/>
          <w:rtl/>
        </w:rPr>
        <w:t xml:space="preserve"> </w:t>
      </w:r>
      <w:r w:rsidR="00252DED" w:rsidRPr="0067048A">
        <w:rPr>
          <w:rFonts w:ascii="KFGQPC Uthmanic Script HAFS" w:cs="KFGQPC Uthmanic Script HAFS" w:hint="cs"/>
          <w:sz w:val="28"/>
          <w:szCs w:val="28"/>
          <w:rtl/>
        </w:rPr>
        <w:t>ٱ</w:t>
      </w:r>
      <w:r w:rsidR="00252DED" w:rsidRPr="0067048A">
        <w:rPr>
          <w:rFonts w:ascii="KFGQPC Uthmanic Script HAFS" w:cs="KFGQPC Uthmanic Script HAFS" w:hint="eastAsia"/>
          <w:sz w:val="28"/>
          <w:szCs w:val="28"/>
          <w:rtl/>
        </w:rPr>
        <w:t>للَّهِ</w:t>
      </w:r>
      <w:r w:rsidR="00252DED" w:rsidRPr="0067048A">
        <w:rPr>
          <w:rFonts w:ascii="KFGQPC Uthmanic Script HAFS" w:cs="KFGQPC Uthmanic Script HAFS"/>
          <w:sz w:val="28"/>
          <w:szCs w:val="28"/>
          <w:rtl/>
        </w:rPr>
        <w:t xml:space="preserve"> </w:t>
      </w:r>
      <w:r w:rsidR="00252DED" w:rsidRPr="0067048A">
        <w:rPr>
          <w:rFonts w:ascii="KFGQPC Uthmanic Script HAFS" w:cs="KFGQPC Uthmanic Script HAFS" w:hint="eastAsia"/>
          <w:sz w:val="28"/>
          <w:szCs w:val="28"/>
          <w:rtl/>
        </w:rPr>
        <w:t>مَغَانِمُ</w:t>
      </w:r>
      <w:r w:rsidR="00252DED" w:rsidRPr="0067048A">
        <w:rPr>
          <w:rFonts w:ascii="KFGQPC Uthmanic Script HAFS" w:cs="KFGQPC Uthmanic Script HAFS"/>
          <w:sz w:val="28"/>
          <w:szCs w:val="28"/>
          <w:rtl/>
        </w:rPr>
        <w:t xml:space="preserve"> </w:t>
      </w:r>
      <w:r w:rsidR="00252DED" w:rsidRPr="0067048A">
        <w:rPr>
          <w:rFonts w:ascii="KFGQPC Uthmanic Script HAFS" w:cs="KFGQPC Uthmanic Script HAFS" w:hint="eastAsia"/>
          <w:sz w:val="28"/>
          <w:szCs w:val="28"/>
          <w:rtl/>
        </w:rPr>
        <w:t>كَثِيرَة</w:t>
      </w:r>
      <w:r w:rsidR="00252DED" w:rsidRPr="0067048A">
        <w:rPr>
          <w:rFonts w:ascii="KFGQPC Uthmanic Script HAFS" w:cs="KFGQPC Uthmanic Script HAFS" w:hint="cs"/>
          <w:sz w:val="28"/>
          <w:szCs w:val="28"/>
          <w:rtl/>
        </w:rPr>
        <w:t>ٞ</w:t>
      </w:r>
      <w:r w:rsidR="00252DED" w:rsidRPr="00995B26">
        <w:rPr>
          <w:rFonts w:ascii="KFGQPC Uthmanic Script HAFS" w:cs="Times New Roman" w:hint="cs"/>
          <w:sz w:val="28"/>
          <w:rtl/>
        </w:rPr>
        <w:t>...</w:t>
      </w:r>
      <w:r w:rsidR="00252DED" w:rsidRPr="00995B26">
        <w:rPr>
          <w:rFonts w:cs="Traditional Arabic" w:hint="cs"/>
          <w:szCs w:val="30"/>
          <w:rtl/>
          <w:lang w:bidi="ar-SY"/>
        </w:rPr>
        <w:t>﴾</w:t>
      </w:r>
      <w:r w:rsidRPr="00495BAB">
        <w:rPr>
          <w:rFonts w:hint="cs"/>
          <w:rtl/>
          <w:lang w:bidi="ar-SY"/>
        </w:rPr>
        <w:t xml:space="preserve"> </w:t>
      </w:r>
      <w:r w:rsidRPr="009E1401">
        <w:rPr>
          <w:rStyle w:val="Char2"/>
          <w:rtl/>
        </w:rPr>
        <w:t>[النساء</w:t>
      </w:r>
      <w:r w:rsidR="00252DED" w:rsidRPr="009E1401">
        <w:rPr>
          <w:rStyle w:val="Char2"/>
          <w:rFonts w:hint="cs"/>
          <w:rtl/>
        </w:rPr>
        <w:t xml:space="preserve">: </w:t>
      </w:r>
      <w:r w:rsidRPr="009E1401">
        <w:rPr>
          <w:rStyle w:val="Char2"/>
          <w:rtl/>
        </w:rPr>
        <w:t>94]</w:t>
      </w:r>
      <w:r w:rsidRPr="00495BAB">
        <w:rPr>
          <w:rFonts w:hint="cs"/>
          <w:rtl/>
          <w:lang w:bidi="ar-SY"/>
        </w:rPr>
        <w:t xml:space="preserve">، وفي سورة الفتح: </w:t>
      </w:r>
      <w:r w:rsidR="00252DED" w:rsidRPr="00995B26">
        <w:rPr>
          <w:rFonts w:cs="Traditional Arabic" w:hint="cs"/>
          <w:szCs w:val="30"/>
          <w:rtl/>
          <w:lang w:bidi="ar-SY"/>
        </w:rPr>
        <w:t>﴿</w:t>
      </w:r>
      <w:r w:rsidR="00252DED" w:rsidRPr="0067048A">
        <w:rPr>
          <w:rFonts w:ascii="KFGQPC Uthmanic Script HAFS" w:cs="KFGQPC Uthmanic Script HAFS" w:hint="eastAsia"/>
          <w:sz w:val="28"/>
          <w:szCs w:val="28"/>
          <w:rtl/>
        </w:rPr>
        <w:t>سَيَقُولُ</w:t>
      </w:r>
      <w:r w:rsidR="00252DED" w:rsidRPr="0067048A">
        <w:rPr>
          <w:rFonts w:ascii="KFGQPC Uthmanic Script HAFS" w:cs="KFGQPC Uthmanic Script HAFS"/>
          <w:sz w:val="28"/>
          <w:szCs w:val="28"/>
          <w:rtl/>
        </w:rPr>
        <w:t xml:space="preserve"> </w:t>
      </w:r>
      <w:r w:rsidR="00252DED" w:rsidRPr="0067048A">
        <w:rPr>
          <w:rFonts w:ascii="KFGQPC Uthmanic Script HAFS" w:cs="KFGQPC Uthmanic Script HAFS" w:hint="cs"/>
          <w:sz w:val="28"/>
          <w:szCs w:val="28"/>
          <w:rtl/>
        </w:rPr>
        <w:t>ٱ</w:t>
      </w:r>
      <w:r w:rsidR="00252DED" w:rsidRPr="0067048A">
        <w:rPr>
          <w:rFonts w:ascii="KFGQPC Uthmanic Script HAFS" w:cs="KFGQPC Uthmanic Script HAFS" w:hint="eastAsia"/>
          <w:sz w:val="28"/>
          <w:szCs w:val="28"/>
          <w:rtl/>
        </w:rPr>
        <w:t>ل</w:t>
      </w:r>
      <w:r w:rsidR="00252DED" w:rsidRPr="0067048A">
        <w:rPr>
          <w:rFonts w:ascii="KFGQPC Uthmanic Script HAFS" w:cs="KFGQPC Uthmanic Script HAFS" w:hint="cs"/>
          <w:sz w:val="28"/>
          <w:szCs w:val="28"/>
          <w:rtl/>
        </w:rPr>
        <w:t>ۡ</w:t>
      </w:r>
      <w:r w:rsidR="00252DED" w:rsidRPr="0067048A">
        <w:rPr>
          <w:rFonts w:ascii="KFGQPC Uthmanic Script HAFS" w:cs="KFGQPC Uthmanic Script HAFS" w:hint="eastAsia"/>
          <w:sz w:val="28"/>
          <w:szCs w:val="28"/>
          <w:rtl/>
        </w:rPr>
        <w:t>مُخَلَّفُونَ</w:t>
      </w:r>
      <w:r w:rsidR="00252DED" w:rsidRPr="0067048A">
        <w:rPr>
          <w:rFonts w:ascii="KFGQPC Uthmanic Script HAFS" w:cs="KFGQPC Uthmanic Script HAFS"/>
          <w:sz w:val="28"/>
          <w:szCs w:val="28"/>
          <w:rtl/>
        </w:rPr>
        <w:t xml:space="preserve"> </w:t>
      </w:r>
      <w:r w:rsidR="00252DED" w:rsidRPr="0067048A">
        <w:rPr>
          <w:rFonts w:ascii="KFGQPC Uthmanic Script HAFS" w:cs="KFGQPC Uthmanic Script HAFS" w:hint="eastAsia"/>
          <w:sz w:val="28"/>
          <w:szCs w:val="28"/>
          <w:rtl/>
        </w:rPr>
        <w:t>إِذَا</w:t>
      </w:r>
      <w:r w:rsidR="00252DED" w:rsidRPr="0067048A">
        <w:rPr>
          <w:rFonts w:ascii="KFGQPC Uthmanic Script HAFS" w:cs="KFGQPC Uthmanic Script HAFS"/>
          <w:sz w:val="28"/>
          <w:szCs w:val="28"/>
          <w:rtl/>
        </w:rPr>
        <w:t xml:space="preserve"> </w:t>
      </w:r>
      <w:r w:rsidR="00252DED" w:rsidRPr="0067048A">
        <w:rPr>
          <w:rFonts w:ascii="KFGQPC Uthmanic Script HAFS" w:cs="KFGQPC Uthmanic Script HAFS" w:hint="cs"/>
          <w:sz w:val="28"/>
          <w:szCs w:val="28"/>
          <w:rtl/>
        </w:rPr>
        <w:t>ٱ</w:t>
      </w:r>
      <w:r w:rsidR="00252DED" w:rsidRPr="0067048A">
        <w:rPr>
          <w:rFonts w:ascii="KFGQPC Uthmanic Script HAFS" w:cs="KFGQPC Uthmanic Script HAFS" w:hint="eastAsia"/>
          <w:sz w:val="28"/>
          <w:szCs w:val="28"/>
          <w:rtl/>
        </w:rPr>
        <w:t>نطَلَق</w:t>
      </w:r>
      <w:r w:rsidR="00252DED" w:rsidRPr="0067048A">
        <w:rPr>
          <w:rFonts w:ascii="KFGQPC Uthmanic Script HAFS" w:cs="KFGQPC Uthmanic Script HAFS" w:hint="cs"/>
          <w:sz w:val="28"/>
          <w:szCs w:val="28"/>
          <w:rtl/>
        </w:rPr>
        <w:t>ۡ</w:t>
      </w:r>
      <w:r w:rsidR="00252DED" w:rsidRPr="0067048A">
        <w:rPr>
          <w:rFonts w:ascii="KFGQPC Uthmanic Script HAFS" w:cs="KFGQPC Uthmanic Script HAFS" w:hint="eastAsia"/>
          <w:sz w:val="28"/>
          <w:szCs w:val="28"/>
          <w:rtl/>
        </w:rPr>
        <w:t>تُم</w:t>
      </w:r>
      <w:r w:rsidR="00252DED" w:rsidRPr="0067048A">
        <w:rPr>
          <w:rFonts w:ascii="KFGQPC Uthmanic Script HAFS" w:cs="KFGQPC Uthmanic Script HAFS" w:hint="cs"/>
          <w:sz w:val="28"/>
          <w:szCs w:val="28"/>
          <w:rtl/>
        </w:rPr>
        <w:t>ۡ</w:t>
      </w:r>
      <w:r w:rsidR="00252DED" w:rsidRPr="0067048A">
        <w:rPr>
          <w:rFonts w:ascii="KFGQPC Uthmanic Script HAFS" w:cs="KFGQPC Uthmanic Script HAFS"/>
          <w:sz w:val="28"/>
          <w:szCs w:val="28"/>
          <w:rtl/>
        </w:rPr>
        <w:t xml:space="preserve"> </w:t>
      </w:r>
      <w:r w:rsidR="00252DED" w:rsidRPr="0067048A">
        <w:rPr>
          <w:rFonts w:ascii="KFGQPC Uthmanic Script HAFS" w:cs="KFGQPC Uthmanic Script HAFS" w:hint="eastAsia"/>
          <w:sz w:val="28"/>
          <w:szCs w:val="28"/>
          <w:rtl/>
        </w:rPr>
        <w:t>إِلَى</w:t>
      </w:r>
      <w:r w:rsidR="00252DED" w:rsidRPr="0067048A">
        <w:rPr>
          <w:rFonts w:ascii="KFGQPC Uthmanic Script HAFS" w:cs="KFGQPC Uthmanic Script HAFS" w:hint="cs"/>
          <w:sz w:val="28"/>
          <w:szCs w:val="28"/>
          <w:rtl/>
        </w:rPr>
        <w:t>ٰ</w:t>
      </w:r>
      <w:r w:rsidR="00252DED" w:rsidRPr="0067048A">
        <w:rPr>
          <w:rFonts w:ascii="KFGQPC Uthmanic Script HAFS" w:cs="KFGQPC Uthmanic Script HAFS"/>
          <w:sz w:val="28"/>
          <w:szCs w:val="28"/>
          <w:rtl/>
        </w:rPr>
        <w:t xml:space="preserve"> </w:t>
      </w:r>
      <w:r w:rsidR="00252DED" w:rsidRPr="0067048A">
        <w:rPr>
          <w:rFonts w:ascii="KFGQPC Uthmanic Script HAFS" w:cs="KFGQPC Uthmanic Script HAFS" w:hint="eastAsia"/>
          <w:sz w:val="28"/>
          <w:szCs w:val="28"/>
          <w:rtl/>
        </w:rPr>
        <w:t>مَغَانِمَ</w:t>
      </w:r>
      <w:r w:rsidR="00252DED" w:rsidRPr="00995B26">
        <w:rPr>
          <w:rFonts w:ascii="KFGQPC Uthmanic Script HAFS" w:cs="Times New Roman" w:hint="cs"/>
          <w:sz w:val="28"/>
          <w:rtl/>
        </w:rPr>
        <w:t>...</w:t>
      </w:r>
      <w:r w:rsidR="00252DED" w:rsidRPr="00995B26">
        <w:rPr>
          <w:rFonts w:cs="Traditional Arabic" w:hint="cs"/>
          <w:szCs w:val="30"/>
          <w:rtl/>
          <w:lang w:bidi="ar-SY"/>
        </w:rPr>
        <w:t>﴾</w:t>
      </w:r>
      <w:r w:rsidRPr="00495BAB">
        <w:rPr>
          <w:rtl/>
          <w:lang w:bidi="ar-SY"/>
        </w:rPr>
        <w:t xml:space="preserve"> </w:t>
      </w:r>
      <w:r w:rsidRPr="009E1401">
        <w:rPr>
          <w:rStyle w:val="Char2"/>
          <w:rtl/>
        </w:rPr>
        <w:t>[الفتح</w:t>
      </w:r>
      <w:r w:rsidR="00252DED" w:rsidRPr="009E1401">
        <w:rPr>
          <w:rStyle w:val="Char2"/>
          <w:rFonts w:hint="cs"/>
          <w:rtl/>
        </w:rPr>
        <w:t xml:space="preserve">: </w:t>
      </w:r>
      <w:r w:rsidRPr="009E1401">
        <w:rPr>
          <w:rStyle w:val="Char2"/>
          <w:rtl/>
        </w:rPr>
        <w:t>15]</w:t>
      </w:r>
      <w:r w:rsidRPr="00495BAB">
        <w:rPr>
          <w:rFonts w:hint="cs"/>
          <w:rtl/>
          <w:lang w:bidi="ar-SY"/>
        </w:rPr>
        <w:t>، وفيها أيضًا:</w:t>
      </w:r>
      <w:r w:rsidR="00252DED" w:rsidRPr="00495BAB">
        <w:rPr>
          <w:rFonts w:hint="cs"/>
          <w:rtl/>
          <w:lang w:bidi="ar-SY"/>
        </w:rPr>
        <w:t xml:space="preserve"> </w:t>
      </w:r>
      <w:r w:rsidR="00252DED" w:rsidRPr="00995B26">
        <w:rPr>
          <w:rFonts w:cs="Traditional Arabic" w:hint="cs"/>
          <w:szCs w:val="30"/>
          <w:rtl/>
          <w:lang w:bidi="ar-SY"/>
        </w:rPr>
        <w:t>﴿</w:t>
      </w:r>
      <w:r w:rsidR="00252DED" w:rsidRPr="00995B26">
        <w:rPr>
          <w:rFonts w:ascii="KFGQPC Uthmanic Script HAFS" w:cs="KFGQPC Uthmanic Script HAFS" w:hint="eastAsia"/>
          <w:sz w:val="29"/>
          <w:szCs w:val="29"/>
          <w:rtl/>
          <w:lang w:bidi="fa-IR"/>
        </w:rPr>
        <w:t>وَمَغَانِمَ</w:t>
      </w:r>
      <w:r w:rsidR="00252DED" w:rsidRPr="00995B26">
        <w:rPr>
          <w:rFonts w:ascii="KFGQPC Uthmanic Script HAFS" w:cs="KFGQPC Uthmanic Script HAFS"/>
          <w:sz w:val="29"/>
          <w:szCs w:val="29"/>
          <w:rtl/>
          <w:lang w:bidi="fa-IR"/>
        </w:rPr>
        <w:t xml:space="preserve"> </w:t>
      </w:r>
      <w:r w:rsidR="00252DED" w:rsidRPr="00995B26">
        <w:rPr>
          <w:rFonts w:ascii="KFGQPC Uthmanic Script HAFS" w:cs="KFGQPC Uthmanic Script HAFS" w:hint="eastAsia"/>
          <w:sz w:val="29"/>
          <w:szCs w:val="29"/>
          <w:rtl/>
          <w:lang w:bidi="fa-IR"/>
        </w:rPr>
        <w:t>كَثِيرَة</w:t>
      </w:r>
      <w:r w:rsidR="00252DED" w:rsidRPr="00995B26">
        <w:rPr>
          <w:rFonts w:ascii="KFGQPC Uthmanic Script HAFS" w:cs="KFGQPC Uthmanic Script HAFS" w:hint="cs"/>
          <w:sz w:val="29"/>
          <w:szCs w:val="29"/>
          <w:rtl/>
          <w:lang w:bidi="fa-IR"/>
        </w:rPr>
        <w:t>ٗ</w:t>
      </w:r>
      <w:r w:rsidR="00252DED" w:rsidRPr="00995B26">
        <w:rPr>
          <w:rFonts w:ascii="KFGQPC Uthmanic Script HAFS" w:cs="KFGQPC Uthmanic Script HAFS"/>
          <w:sz w:val="29"/>
          <w:szCs w:val="29"/>
          <w:rtl/>
          <w:lang w:bidi="fa-IR"/>
        </w:rPr>
        <w:t xml:space="preserve"> </w:t>
      </w:r>
      <w:r w:rsidR="00252DED" w:rsidRPr="00995B26">
        <w:rPr>
          <w:rFonts w:ascii="KFGQPC Uthmanic Script HAFS" w:cs="KFGQPC Uthmanic Script HAFS" w:hint="eastAsia"/>
          <w:sz w:val="29"/>
          <w:szCs w:val="29"/>
          <w:rtl/>
          <w:lang w:bidi="fa-IR"/>
        </w:rPr>
        <w:t>يَأ</w:t>
      </w:r>
      <w:r w:rsidR="00252DED" w:rsidRPr="00995B26">
        <w:rPr>
          <w:rFonts w:ascii="KFGQPC Uthmanic Script HAFS" w:cs="KFGQPC Uthmanic Script HAFS" w:hint="cs"/>
          <w:sz w:val="29"/>
          <w:szCs w:val="29"/>
          <w:rtl/>
          <w:lang w:bidi="fa-IR"/>
        </w:rPr>
        <w:t>ۡ</w:t>
      </w:r>
      <w:r w:rsidR="00252DED" w:rsidRPr="00995B26">
        <w:rPr>
          <w:rFonts w:ascii="KFGQPC Uthmanic Script HAFS" w:cs="KFGQPC Uthmanic Script HAFS" w:hint="eastAsia"/>
          <w:sz w:val="29"/>
          <w:szCs w:val="29"/>
          <w:rtl/>
          <w:lang w:bidi="fa-IR"/>
        </w:rPr>
        <w:t>خُذُونَهَا</w:t>
      </w:r>
      <w:r w:rsidR="00252DED" w:rsidRPr="00995B26">
        <w:rPr>
          <w:rFonts w:ascii="KFGQPC Uthmanic Script HAFS" w:cs="KFGQPC Uthmanic Script HAFS" w:hint="cs"/>
          <w:sz w:val="29"/>
          <w:szCs w:val="29"/>
          <w:rtl/>
          <w:lang w:bidi="fa-IR"/>
        </w:rPr>
        <w:t>ۗ</w:t>
      </w:r>
      <w:r w:rsidR="00252DED" w:rsidRPr="00995B26">
        <w:rPr>
          <w:rFonts w:ascii="KFGQPC Uthmanic Script HAFS" w:cs="KFGQPC Uthmanic Script HAFS"/>
          <w:sz w:val="29"/>
          <w:szCs w:val="29"/>
          <w:rtl/>
          <w:lang w:bidi="fa-IR"/>
        </w:rPr>
        <w:t xml:space="preserve"> </w:t>
      </w:r>
      <w:r w:rsidR="00252DED" w:rsidRPr="00995B26">
        <w:rPr>
          <w:rFonts w:ascii="KFGQPC Uthmanic Script HAFS" w:cs="KFGQPC Uthmanic Script HAFS" w:hint="eastAsia"/>
          <w:sz w:val="29"/>
          <w:szCs w:val="29"/>
          <w:rtl/>
          <w:lang w:bidi="fa-IR"/>
        </w:rPr>
        <w:t>وَكَانَ</w:t>
      </w:r>
      <w:r w:rsidR="00252DED" w:rsidRPr="00995B26">
        <w:rPr>
          <w:rFonts w:ascii="KFGQPC Uthmanic Script HAFS" w:cs="KFGQPC Uthmanic Script HAFS"/>
          <w:sz w:val="29"/>
          <w:szCs w:val="29"/>
          <w:rtl/>
          <w:lang w:bidi="fa-IR"/>
        </w:rPr>
        <w:t xml:space="preserve"> </w:t>
      </w:r>
      <w:r w:rsidR="00252DED" w:rsidRPr="00995B26">
        <w:rPr>
          <w:rFonts w:ascii="KFGQPC Uthmanic Script HAFS" w:cs="KFGQPC Uthmanic Script HAFS" w:hint="cs"/>
          <w:sz w:val="29"/>
          <w:szCs w:val="29"/>
          <w:rtl/>
          <w:lang w:bidi="fa-IR"/>
        </w:rPr>
        <w:t>ٱ</w:t>
      </w:r>
      <w:r w:rsidR="00252DED" w:rsidRPr="00995B26">
        <w:rPr>
          <w:rFonts w:ascii="KFGQPC Uthmanic Script HAFS" w:cs="KFGQPC Uthmanic Script HAFS" w:hint="eastAsia"/>
          <w:sz w:val="29"/>
          <w:szCs w:val="29"/>
          <w:rtl/>
          <w:lang w:bidi="fa-IR"/>
        </w:rPr>
        <w:t>للَّهُ</w:t>
      </w:r>
      <w:r w:rsidR="00252DED" w:rsidRPr="00995B26">
        <w:rPr>
          <w:rFonts w:ascii="KFGQPC Uthmanic Script HAFS" w:cs="KFGQPC Uthmanic Script HAFS"/>
          <w:sz w:val="29"/>
          <w:szCs w:val="29"/>
          <w:rtl/>
          <w:lang w:bidi="fa-IR"/>
        </w:rPr>
        <w:t xml:space="preserve"> </w:t>
      </w:r>
      <w:r w:rsidR="00252DED" w:rsidRPr="00995B26">
        <w:rPr>
          <w:rFonts w:ascii="KFGQPC Uthmanic Script HAFS" w:cs="KFGQPC Uthmanic Script HAFS" w:hint="eastAsia"/>
          <w:sz w:val="29"/>
          <w:szCs w:val="29"/>
          <w:rtl/>
          <w:lang w:bidi="fa-IR"/>
        </w:rPr>
        <w:t>عَزِيزًا</w:t>
      </w:r>
      <w:r w:rsidR="00252DED" w:rsidRPr="00995B26">
        <w:rPr>
          <w:rFonts w:ascii="KFGQPC Uthmanic Script HAFS" w:cs="KFGQPC Uthmanic Script HAFS"/>
          <w:sz w:val="29"/>
          <w:szCs w:val="29"/>
          <w:rtl/>
          <w:lang w:bidi="fa-IR"/>
        </w:rPr>
        <w:t xml:space="preserve"> </w:t>
      </w:r>
      <w:r w:rsidR="00252DED" w:rsidRPr="00995B26">
        <w:rPr>
          <w:rFonts w:ascii="KFGQPC Uthmanic Script HAFS" w:cs="KFGQPC Uthmanic Script HAFS" w:hint="eastAsia"/>
          <w:sz w:val="29"/>
          <w:szCs w:val="29"/>
          <w:rtl/>
          <w:lang w:bidi="fa-IR"/>
        </w:rPr>
        <w:t>حَكِيم</w:t>
      </w:r>
      <w:r w:rsidR="00252DED" w:rsidRPr="00995B26">
        <w:rPr>
          <w:rFonts w:ascii="KFGQPC Uthmanic Script HAFS" w:cs="KFGQPC Uthmanic Script HAFS" w:hint="cs"/>
          <w:sz w:val="29"/>
          <w:szCs w:val="29"/>
          <w:rtl/>
          <w:lang w:bidi="fa-IR"/>
        </w:rPr>
        <w:t>ٗ</w:t>
      </w:r>
      <w:r w:rsidR="00252DED" w:rsidRPr="00995B26">
        <w:rPr>
          <w:rFonts w:ascii="KFGQPC Uthmanic Script HAFS" w:cs="KFGQPC Uthmanic Script HAFS" w:hint="eastAsia"/>
          <w:sz w:val="29"/>
          <w:szCs w:val="29"/>
          <w:rtl/>
          <w:lang w:bidi="fa-IR"/>
        </w:rPr>
        <w:t>ا</w:t>
      </w:r>
      <w:r w:rsidR="00252DED" w:rsidRPr="00995B26">
        <w:rPr>
          <w:rFonts w:ascii="KFGQPC Uthmanic Script HAFS" w:cs="KFGQPC Uthmanic Script HAFS"/>
          <w:sz w:val="29"/>
          <w:szCs w:val="29"/>
          <w:rtl/>
          <w:lang w:bidi="fa-IR"/>
        </w:rPr>
        <w:t xml:space="preserve"> </w:t>
      </w:r>
      <w:r w:rsidR="00252DED" w:rsidRPr="00995B26">
        <w:rPr>
          <w:rFonts w:ascii="KFGQPC Uthmanic Script HAFS" w:cs="KFGQPC Uthmanic Script HAFS" w:hint="cs"/>
          <w:sz w:val="29"/>
          <w:szCs w:val="29"/>
          <w:rtl/>
          <w:lang w:bidi="fa-IR"/>
        </w:rPr>
        <w:t>١٩</w:t>
      </w:r>
      <w:r w:rsidR="00252DED" w:rsidRPr="00995B26">
        <w:rPr>
          <w:rFonts w:ascii="KFGQPC Uthmanic Script HAFS" w:cs="KFGQPC Uthmanic Script HAFS"/>
          <w:sz w:val="29"/>
          <w:szCs w:val="29"/>
          <w:rtl/>
          <w:lang w:bidi="fa-IR"/>
        </w:rPr>
        <w:t xml:space="preserve"> </w:t>
      </w:r>
      <w:r w:rsidR="00252DED" w:rsidRPr="00995B26">
        <w:rPr>
          <w:rFonts w:ascii="KFGQPC Uthmanic Script HAFS" w:cs="KFGQPC Uthmanic Script HAFS" w:hint="eastAsia"/>
          <w:sz w:val="29"/>
          <w:szCs w:val="29"/>
          <w:rtl/>
          <w:lang w:bidi="fa-IR"/>
        </w:rPr>
        <w:t>وَعَدَكُمُ</w:t>
      </w:r>
      <w:r w:rsidR="00252DED" w:rsidRPr="00995B26">
        <w:rPr>
          <w:rFonts w:ascii="KFGQPC Uthmanic Script HAFS" w:cs="KFGQPC Uthmanic Script HAFS"/>
          <w:sz w:val="29"/>
          <w:szCs w:val="29"/>
          <w:rtl/>
          <w:lang w:bidi="fa-IR"/>
        </w:rPr>
        <w:t xml:space="preserve"> </w:t>
      </w:r>
      <w:r w:rsidR="00252DED" w:rsidRPr="00995B26">
        <w:rPr>
          <w:rFonts w:ascii="KFGQPC Uthmanic Script HAFS" w:cs="KFGQPC Uthmanic Script HAFS" w:hint="cs"/>
          <w:sz w:val="29"/>
          <w:szCs w:val="29"/>
          <w:rtl/>
          <w:lang w:bidi="fa-IR"/>
        </w:rPr>
        <w:t>ٱ</w:t>
      </w:r>
      <w:r w:rsidR="00252DED" w:rsidRPr="00995B26">
        <w:rPr>
          <w:rFonts w:ascii="KFGQPC Uthmanic Script HAFS" w:cs="KFGQPC Uthmanic Script HAFS" w:hint="eastAsia"/>
          <w:sz w:val="29"/>
          <w:szCs w:val="29"/>
          <w:rtl/>
          <w:lang w:bidi="fa-IR"/>
        </w:rPr>
        <w:t>للَّهُ</w:t>
      </w:r>
      <w:r w:rsidR="00252DED" w:rsidRPr="00995B26">
        <w:rPr>
          <w:rFonts w:ascii="KFGQPC Uthmanic Script HAFS" w:cs="KFGQPC Uthmanic Script HAFS"/>
          <w:sz w:val="29"/>
          <w:szCs w:val="29"/>
          <w:rtl/>
          <w:lang w:bidi="fa-IR"/>
        </w:rPr>
        <w:t xml:space="preserve"> </w:t>
      </w:r>
      <w:r w:rsidR="00252DED" w:rsidRPr="00995B26">
        <w:rPr>
          <w:rFonts w:ascii="KFGQPC Uthmanic Script HAFS" w:cs="KFGQPC Uthmanic Script HAFS" w:hint="eastAsia"/>
          <w:sz w:val="29"/>
          <w:szCs w:val="29"/>
          <w:rtl/>
          <w:lang w:bidi="fa-IR"/>
        </w:rPr>
        <w:t>مَغَانِمَ</w:t>
      </w:r>
      <w:r w:rsidR="00252DED" w:rsidRPr="00995B26">
        <w:rPr>
          <w:rFonts w:ascii="KFGQPC Uthmanic Script HAFS" w:cs="KFGQPC Uthmanic Script HAFS"/>
          <w:sz w:val="29"/>
          <w:szCs w:val="29"/>
          <w:rtl/>
          <w:lang w:bidi="fa-IR"/>
        </w:rPr>
        <w:t xml:space="preserve"> </w:t>
      </w:r>
      <w:r w:rsidR="00252DED" w:rsidRPr="00995B26">
        <w:rPr>
          <w:rFonts w:ascii="KFGQPC Uthmanic Script HAFS" w:cs="KFGQPC Uthmanic Script HAFS" w:hint="eastAsia"/>
          <w:sz w:val="29"/>
          <w:szCs w:val="29"/>
          <w:rtl/>
          <w:lang w:bidi="fa-IR"/>
        </w:rPr>
        <w:t>كَثِيرَة</w:t>
      </w:r>
      <w:r w:rsidR="00252DED" w:rsidRPr="00995B26">
        <w:rPr>
          <w:rFonts w:ascii="KFGQPC Uthmanic Script HAFS" w:cs="KFGQPC Uthmanic Script HAFS" w:hint="cs"/>
          <w:sz w:val="29"/>
          <w:szCs w:val="29"/>
          <w:rtl/>
          <w:lang w:bidi="fa-IR"/>
        </w:rPr>
        <w:t>ٗ</w:t>
      </w:r>
      <w:r w:rsidR="00252DED" w:rsidRPr="00995B26">
        <w:rPr>
          <w:rFonts w:ascii="KFGQPC Uthmanic Script HAFS" w:cs="KFGQPC Uthmanic Script HAFS"/>
          <w:sz w:val="29"/>
          <w:szCs w:val="29"/>
          <w:rtl/>
          <w:lang w:bidi="fa-IR"/>
        </w:rPr>
        <w:t xml:space="preserve"> </w:t>
      </w:r>
      <w:r w:rsidR="00252DED" w:rsidRPr="00995B26">
        <w:rPr>
          <w:rFonts w:ascii="KFGQPC Uthmanic Script HAFS" w:cs="KFGQPC Uthmanic Script HAFS" w:hint="eastAsia"/>
          <w:sz w:val="29"/>
          <w:szCs w:val="29"/>
          <w:rtl/>
          <w:lang w:bidi="fa-IR"/>
        </w:rPr>
        <w:t>تَأ</w:t>
      </w:r>
      <w:r w:rsidR="00252DED" w:rsidRPr="00995B26">
        <w:rPr>
          <w:rFonts w:ascii="KFGQPC Uthmanic Script HAFS" w:cs="KFGQPC Uthmanic Script HAFS" w:hint="cs"/>
          <w:sz w:val="29"/>
          <w:szCs w:val="29"/>
          <w:rtl/>
          <w:lang w:bidi="fa-IR"/>
        </w:rPr>
        <w:t>ۡ</w:t>
      </w:r>
      <w:r w:rsidR="00252DED" w:rsidRPr="00995B26">
        <w:rPr>
          <w:rFonts w:ascii="KFGQPC Uthmanic Script HAFS" w:cs="KFGQPC Uthmanic Script HAFS" w:hint="eastAsia"/>
          <w:sz w:val="29"/>
          <w:szCs w:val="29"/>
          <w:rtl/>
          <w:lang w:bidi="fa-IR"/>
        </w:rPr>
        <w:t>خُذُونَهَا</w:t>
      </w:r>
      <w:r w:rsidR="00252DED" w:rsidRPr="00995B26">
        <w:rPr>
          <w:rFonts w:ascii="KFGQPC Uthmanic Script HAFS" w:cs="Times New Roman" w:hint="cs"/>
          <w:sz w:val="29"/>
          <w:szCs w:val="29"/>
          <w:rtl/>
          <w:lang w:bidi="fa-IR"/>
        </w:rPr>
        <w:t>...</w:t>
      </w:r>
      <w:r w:rsidR="00252DED" w:rsidRPr="00995B26">
        <w:rPr>
          <w:rFonts w:cs="Traditional Arabic" w:hint="cs"/>
          <w:szCs w:val="30"/>
          <w:rtl/>
          <w:lang w:bidi="ar-SY"/>
        </w:rPr>
        <w:t>﴾</w:t>
      </w:r>
      <w:r w:rsidRPr="00495BAB">
        <w:rPr>
          <w:rtl/>
          <w:lang w:bidi="ar-SY"/>
        </w:rPr>
        <w:t xml:space="preserve"> </w:t>
      </w:r>
      <w:r w:rsidRPr="009E1401">
        <w:rPr>
          <w:rStyle w:val="Char2"/>
          <w:rtl/>
        </w:rPr>
        <w:t>[الفتح</w:t>
      </w:r>
      <w:r w:rsidR="00252DED" w:rsidRPr="009E1401">
        <w:rPr>
          <w:rStyle w:val="Char2"/>
          <w:rFonts w:hint="cs"/>
          <w:rtl/>
        </w:rPr>
        <w:t xml:space="preserve">: </w:t>
      </w:r>
      <w:r w:rsidRPr="009E1401">
        <w:rPr>
          <w:rStyle w:val="Char2"/>
          <w:rtl/>
        </w:rPr>
        <w:t>19</w:t>
      </w:r>
      <w:r w:rsidR="00252DED" w:rsidRPr="009E1401">
        <w:rPr>
          <w:rStyle w:val="Char2"/>
          <w:rFonts w:hint="cs"/>
          <w:rtl/>
        </w:rPr>
        <w:t>-</w:t>
      </w:r>
      <w:r w:rsidRPr="009E1401">
        <w:rPr>
          <w:rStyle w:val="Char2"/>
          <w:rtl/>
        </w:rPr>
        <w:t>20]</w:t>
      </w:r>
      <w:r w:rsidRPr="00495BAB">
        <w:rPr>
          <w:rFonts w:hint="cs"/>
          <w:rtl/>
          <w:lang w:bidi="ar-SY"/>
        </w:rPr>
        <w:t xml:space="preserve">، فسياق هذه الآيات، و سيرة رسول الله </w:t>
      </w:r>
      <w:r w:rsidRPr="00495BAB">
        <w:rPr>
          <w:rFonts w:ascii="Abo-thar" w:hAnsi="Abo-thar"/>
          <w:sz w:val="28"/>
          <w:lang w:bidi="fa-IR"/>
        </w:rPr>
        <w:t></w:t>
      </w:r>
      <w:r w:rsidRPr="00495BAB">
        <w:rPr>
          <w:rFonts w:hint="cs"/>
          <w:rtl/>
          <w:lang w:bidi="ar-SY"/>
        </w:rPr>
        <w:t xml:space="preserve"> و تاريخ الإسلام وتفسير جمهور المفسرين، كلها تشهد بوضوح أن المراد من هذه الآيات غنائم الحرب. فحتى لو كان لكملة «الغنيمة» في اللغة العربية معنى آخر، فإن القرآن الكريم استخدم تلك الكلمة في معنى غنائم  الحرب، وقد فَهِمَ رسولُ الله </w:t>
      </w:r>
      <w:r w:rsidRPr="00495BAB">
        <w:rPr>
          <w:rFonts w:ascii="Abo-thar" w:hAnsi="Abo-thar"/>
          <w:sz w:val="28"/>
          <w:lang w:bidi="fa-IR"/>
        </w:rPr>
        <w:t></w:t>
      </w:r>
      <w:r w:rsidRPr="00495BAB">
        <w:rPr>
          <w:rFonts w:hint="cs"/>
          <w:rtl/>
          <w:lang w:bidi="ar-SY"/>
        </w:rPr>
        <w:t xml:space="preserve"> وأصحابُهُ الأجلاء، وجميعُ المسلمين في ذلك العصر -المُخاطبون مباشرةً بتلك الآيات- هذا المعنى من الآية وعملوا به، ولم يخطر في بال أحدٍ منهم تلك المعاني التي اخترعها فقهاء آخر الزمان!</w:t>
      </w:r>
    </w:p>
    <w:p w:rsidR="00CD31AA" w:rsidRPr="00495BAB" w:rsidRDefault="00CD31AA" w:rsidP="00495BAB">
      <w:pPr>
        <w:pStyle w:val="a0"/>
        <w:rPr>
          <w:rtl/>
          <w:lang w:bidi="ar-SY"/>
        </w:rPr>
      </w:pPr>
      <w:r w:rsidRPr="00495BAB">
        <w:rPr>
          <w:rFonts w:hint="cs"/>
          <w:rtl/>
          <w:lang w:bidi="ar-SY"/>
        </w:rPr>
        <w:t>إن السيرة والسنة النبوية والتاريخ أفضل شاهد على أن المراد من تلك الكلمة والآيات هو الغنائم الحربية، وهذا ما يتفق عليه جميع المفسرين بما في ذلك مفسرو الشيعة، كل ما في الأمر أن بعض المفسرين من المعتقدين بالخمس أو الآكلين له، وسَّعُوا معنى الآية بقولهم (نحن نتعدَّى.......) لتشمل ذلك الخمس الشامل، وقد رددنا على هذه التوسعة والتعدية في ردِّنا على ما كتبه السيد رضا استادي فليراجَعْ ثمَّة.</w:t>
      </w:r>
    </w:p>
    <w:p w:rsidR="00CD31AA" w:rsidRPr="00495BAB" w:rsidRDefault="00CD31AA" w:rsidP="00495BAB">
      <w:pPr>
        <w:pStyle w:val="a0"/>
        <w:rPr>
          <w:rFonts w:hint="cs"/>
          <w:rtl/>
          <w:lang w:bidi="ar-SY"/>
        </w:rPr>
      </w:pPr>
      <w:r w:rsidRPr="00495BAB">
        <w:rPr>
          <w:rFonts w:hint="cs"/>
          <w:rtl/>
          <w:lang w:bidi="ar-SY"/>
        </w:rPr>
        <w:t>ثم كتب المدافعون عن الخُمْس يقولون: «</w:t>
      </w:r>
      <w:r w:rsidRPr="00995B26">
        <w:rPr>
          <w:rFonts w:cs="Akhbar MT" w:hint="cs"/>
          <w:szCs w:val="30"/>
          <w:rtl/>
          <w:lang w:bidi="ar-SY"/>
        </w:rPr>
        <w:t>لا يمكن لسبب نزول الآية ولا لسياقها أن يخصِّصا عموم معناها</w:t>
      </w:r>
      <w:r w:rsidRPr="00495BAB">
        <w:rPr>
          <w:rFonts w:hint="cs"/>
          <w:rtl/>
          <w:lang w:bidi="ar-SY"/>
        </w:rPr>
        <w:t>».</w:t>
      </w:r>
    </w:p>
    <w:p w:rsidR="00CD31AA" w:rsidRPr="00495BAB" w:rsidRDefault="00CD31AA" w:rsidP="00495BAB">
      <w:pPr>
        <w:pStyle w:val="a0"/>
        <w:rPr>
          <w:rFonts w:hint="cs"/>
          <w:rtl/>
          <w:lang w:bidi="ar-SY"/>
        </w:rPr>
      </w:pPr>
      <w:r w:rsidRPr="00495BAB">
        <w:rPr>
          <w:rFonts w:hint="cs"/>
          <w:rtl/>
          <w:lang w:bidi="ar-SY"/>
        </w:rPr>
        <w:t>ونقول: هذا الادِّعاء بحد ذاته صحيح، ولكن ليس بالصورة والكيفية التي يريدونها! نعم! العبرة بعموم اللفظ لا بخصوص السبب، والمورد لا يُخَصِّص الواردَ، وعليه فنزول آية</w:t>
      </w:r>
      <w:r w:rsidR="00252DED" w:rsidRPr="00495BAB">
        <w:rPr>
          <w:rFonts w:hint="cs"/>
          <w:rtl/>
          <w:lang w:bidi="ar-SY"/>
        </w:rPr>
        <w:t xml:space="preserve"> </w:t>
      </w:r>
      <w:r w:rsidR="00252DED" w:rsidRPr="00995B26">
        <w:rPr>
          <w:rFonts w:cs="Traditional Arabic" w:hint="cs"/>
          <w:szCs w:val="30"/>
          <w:rtl/>
          <w:lang w:bidi="ar-SY"/>
        </w:rPr>
        <w:t>﴿</w:t>
      </w:r>
      <w:r w:rsidR="00252DED" w:rsidRPr="0067048A">
        <w:rPr>
          <w:rFonts w:ascii="KFGQPC Uthmanic Script HAFS" w:cs="KFGQPC Uthmanic Script HAFS" w:hint="eastAsia"/>
          <w:sz w:val="28"/>
          <w:szCs w:val="28"/>
          <w:rtl/>
        </w:rPr>
        <w:t>وَ</w:t>
      </w:r>
      <w:r w:rsidR="00252DED" w:rsidRPr="0067048A">
        <w:rPr>
          <w:rFonts w:ascii="KFGQPC Uthmanic Script HAFS" w:cs="KFGQPC Uthmanic Script HAFS" w:hint="cs"/>
          <w:sz w:val="28"/>
          <w:szCs w:val="28"/>
          <w:rtl/>
        </w:rPr>
        <w:t>ٱ</w:t>
      </w:r>
      <w:r w:rsidR="00252DED" w:rsidRPr="0067048A">
        <w:rPr>
          <w:rFonts w:ascii="KFGQPC Uthmanic Script HAFS" w:cs="KFGQPC Uthmanic Script HAFS" w:hint="eastAsia"/>
          <w:sz w:val="28"/>
          <w:szCs w:val="28"/>
          <w:rtl/>
        </w:rPr>
        <w:t>ع</w:t>
      </w:r>
      <w:r w:rsidR="00252DED" w:rsidRPr="0067048A">
        <w:rPr>
          <w:rFonts w:ascii="KFGQPC Uthmanic Script HAFS" w:cs="KFGQPC Uthmanic Script HAFS" w:hint="cs"/>
          <w:sz w:val="28"/>
          <w:szCs w:val="28"/>
          <w:rtl/>
        </w:rPr>
        <w:t>ۡ</w:t>
      </w:r>
      <w:r w:rsidR="00252DED" w:rsidRPr="0067048A">
        <w:rPr>
          <w:rFonts w:ascii="KFGQPC Uthmanic Script HAFS" w:cs="KFGQPC Uthmanic Script HAFS" w:hint="eastAsia"/>
          <w:sz w:val="28"/>
          <w:szCs w:val="28"/>
          <w:rtl/>
        </w:rPr>
        <w:t>لَمُو</w:t>
      </w:r>
      <w:r w:rsidR="00252DED" w:rsidRPr="0067048A">
        <w:rPr>
          <w:rFonts w:ascii="KFGQPC Uthmanic Script HAFS" w:cs="KFGQPC Uthmanic Script HAFS" w:hint="cs"/>
          <w:sz w:val="28"/>
          <w:szCs w:val="28"/>
          <w:rtl/>
        </w:rPr>
        <w:t>ٓ</w:t>
      </w:r>
      <w:r w:rsidR="00252DED" w:rsidRPr="0067048A">
        <w:rPr>
          <w:rFonts w:ascii="KFGQPC Uthmanic Script HAFS" w:cs="KFGQPC Uthmanic Script HAFS" w:hint="eastAsia"/>
          <w:sz w:val="28"/>
          <w:szCs w:val="28"/>
          <w:rtl/>
        </w:rPr>
        <w:t>اْ</w:t>
      </w:r>
      <w:r w:rsidR="00252DED" w:rsidRPr="0067048A">
        <w:rPr>
          <w:rFonts w:ascii="KFGQPC Uthmanic Script HAFS" w:cs="KFGQPC Uthmanic Script HAFS"/>
          <w:sz w:val="28"/>
          <w:szCs w:val="28"/>
          <w:rtl/>
        </w:rPr>
        <w:t xml:space="preserve"> </w:t>
      </w:r>
      <w:r w:rsidR="00252DED" w:rsidRPr="0067048A">
        <w:rPr>
          <w:rFonts w:ascii="KFGQPC Uthmanic Script HAFS" w:cs="KFGQPC Uthmanic Script HAFS" w:hint="eastAsia"/>
          <w:sz w:val="28"/>
          <w:szCs w:val="28"/>
          <w:rtl/>
        </w:rPr>
        <w:t>أَنَّمَا</w:t>
      </w:r>
      <w:r w:rsidR="00252DED" w:rsidRPr="0067048A">
        <w:rPr>
          <w:rFonts w:ascii="KFGQPC Uthmanic Script HAFS" w:cs="KFGQPC Uthmanic Script HAFS"/>
          <w:sz w:val="28"/>
          <w:szCs w:val="28"/>
          <w:rtl/>
        </w:rPr>
        <w:t xml:space="preserve"> </w:t>
      </w:r>
      <w:r w:rsidR="00252DED" w:rsidRPr="0067048A">
        <w:rPr>
          <w:rFonts w:ascii="KFGQPC Uthmanic Script HAFS" w:cs="KFGQPC Uthmanic Script HAFS" w:hint="eastAsia"/>
          <w:sz w:val="28"/>
          <w:szCs w:val="28"/>
          <w:rtl/>
        </w:rPr>
        <w:t>غَنِم</w:t>
      </w:r>
      <w:r w:rsidR="00252DED" w:rsidRPr="0067048A">
        <w:rPr>
          <w:rFonts w:ascii="KFGQPC Uthmanic Script HAFS" w:cs="KFGQPC Uthmanic Script HAFS" w:hint="cs"/>
          <w:sz w:val="28"/>
          <w:szCs w:val="28"/>
          <w:rtl/>
        </w:rPr>
        <w:t>ۡ</w:t>
      </w:r>
      <w:r w:rsidR="00252DED" w:rsidRPr="0067048A">
        <w:rPr>
          <w:rFonts w:ascii="KFGQPC Uthmanic Script HAFS" w:cs="KFGQPC Uthmanic Script HAFS" w:hint="eastAsia"/>
          <w:sz w:val="28"/>
          <w:szCs w:val="28"/>
          <w:rtl/>
        </w:rPr>
        <w:t>تُم</w:t>
      </w:r>
      <w:r w:rsidR="00252DED" w:rsidRPr="00995B26">
        <w:rPr>
          <w:rFonts w:cs="Traditional Arabic" w:hint="cs"/>
          <w:szCs w:val="30"/>
          <w:rtl/>
          <w:lang w:bidi="ar-SY"/>
        </w:rPr>
        <w:t>﴾</w:t>
      </w:r>
      <w:r w:rsidRPr="00495BAB">
        <w:rPr>
          <w:rFonts w:hint="cs"/>
          <w:rtl/>
          <w:lang w:bidi="ar-SY"/>
        </w:rPr>
        <w:t xml:space="preserve"> بشأن غنائم معركة بدر، لا يخصص حكمها بغنائم تلك المعركة فقط، بل تشمل بعمومها غنائم جميع المعارك الإسلامية التي تقع بين الكفار والمسلمين، منذ نزول تلك الآية وإلى يوم القيامة. ولكن هذا الحكم يختص فقط بغنائم الحرب المأخوذة من الكفار، بشرطها وشروطها، ولا يشمل ما يكسبه كل مسلم بعرق جبينه وكدِّ يمينه بما في ذلك ما يكسبه الحمَّال وعامل النظافة وغسَّالة الملابس غزَّالة الخيوط! مثل هذا الحكم  لا يمكن لأحد أن يفتي به سوى الذين يتوسلون بذلك التعدي والتجاوز (نحن نتعدَّى....)، وهو حكم مخالف لما أنزله الله، ولا يمكن لأي مسلم مؤمن بالقرآن والمعاد أن  يستخرج من الآية مثل هذا الحكم!؟  ومن الجيِّد أن نضرب على ما نقوله مثلاً عاميًّا بسيطًا لعل علماء الأصول والمنطق هؤلاء يفهمون!</w:t>
      </w:r>
    </w:p>
    <w:p w:rsidR="00CD31AA" w:rsidRPr="00495BAB" w:rsidRDefault="00CD31AA" w:rsidP="00495BAB">
      <w:pPr>
        <w:pStyle w:val="a0"/>
        <w:rPr>
          <w:rFonts w:hint="cs"/>
          <w:rtl/>
          <w:lang w:bidi="ar-SY"/>
        </w:rPr>
      </w:pPr>
      <w:r w:rsidRPr="00495BAB">
        <w:rPr>
          <w:rFonts w:hint="cs"/>
          <w:rtl/>
          <w:lang w:bidi="ar-SY"/>
        </w:rPr>
        <w:t>لو وصف طبيب لمريضٍ مُصابٍ بالإسهال أكلَ فاكهة الرُّمَّان، فإن هذا المورد لا يُخَصِّص الوصية بهذا المريض وحده بل تشمل وصيته كل مريض آخر مصاب بالمرض عينه، فلحكم الطبيب عموم وشمول في هذا الشأن. لكن هذا الحكم لا يشمل تناول المشمش أو البطيخ الأحمر، رغم أنها من الفاكهة أيضًا! فالمورد لا يُخَصِّص الوارد أي لا يخصِّص الحكم، بل الحكم يبقى على عمومه في موضوعه، ولكن عمومه هذا لا يعني شموله لأمور أخرى ولكل شيء! نعم! إن آية</w:t>
      </w:r>
      <w:r w:rsidR="00252DED" w:rsidRPr="00495BAB">
        <w:rPr>
          <w:rFonts w:hint="cs"/>
          <w:rtl/>
          <w:lang w:bidi="ar-SY"/>
        </w:rPr>
        <w:t xml:space="preserve"> </w:t>
      </w:r>
      <w:r w:rsidR="00252DED" w:rsidRPr="00995B26">
        <w:rPr>
          <w:rFonts w:cs="Traditional Arabic" w:hint="cs"/>
          <w:szCs w:val="30"/>
          <w:rtl/>
          <w:lang w:bidi="ar-SY"/>
        </w:rPr>
        <w:t>﴿</w:t>
      </w:r>
      <w:r w:rsidR="00252DED" w:rsidRPr="0067048A">
        <w:rPr>
          <w:rFonts w:ascii="KFGQPC Uthmanic Script HAFS" w:cs="KFGQPC Uthmanic Script HAFS" w:hint="eastAsia"/>
          <w:sz w:val="28"/>
          <w:szCs w:val="28"/>
          <w:rtl/>
        </w:rPr>
        <w:t>وَ</w:t>
      </w:r>
      <w:r w:rsidR="00252DED" w:rsidRPr="0067048A">
        <w:rPr>
          <w:rFonts w:ascii="KFGQPC Uthmanic Script HAFS" w:cs="KFGQPC Uthmanic Script HAFS" w:hint="cs"/>
          <w:sz w:val="28"/>
          <w:szCs w:val="28"/>
          <w:rtl/>
        </w:rPr>
        <w:t>ٱ</w:t>
      </w:r>
      <w:r w:rsidR="00252DED" w:rsidRPr="0067048A">
        <w:rPr>
          <w:rFonts w:ascii="KFGQPC Uthmanic Script HAFS" w:cs="KFGQPC Uthmanic Script HAFS" w:hint="eastAsia"/>
          <w:sz w:val="28"/>
          <w:szCs w:val="28"/>
          <w:rtl/>
        </w:rPr>
        <w:t>ع</w:t>
      </w:r>
      <w:r w:rsidR="00252DED" w:rsidRPr="0067048A">
        <w:rPr>
          <w:rFonts w:ascii="KFGQPC Uthmanic Script HAFS" w:cs="KFGQPC Uthmanic Script HAFS" w:hint="cs"/>
          <w:sz w:val="28"/>
          <w:szCs w:val="28"/>
          <w:rtl/>
        </w:rPr>
        <w:t>ۡ</w:t>
      </w:r>
      <w:r w:rsidR="00252DED" w:rsidRPr="0067048A">
        <w:rPr>
          <w:rFonts w:ascii="KFGQPC Uthmanic Script HAFS" w:cs="KFGQPC Uthmanic Script HAFS" w:hint="eastAsia"/>
          <w:sz w:val="28"/>
          <w:szCs w:val="28"/>
          <w:rtl/>
        </w:rPr>
        <w:t>لَمُو</w:t>
      </w:r>
      <w:r w:rsidR="00252DED" w:rsidRPr="0067048A">
        <w:rPr>
          <w:rFonts w:ascii="KFGQPC Uthmanic Script HAFS" w:cs="KFGQPC Uthmanic Script HAFS" w:hint="cs"/>
          <w:sz w:val="28"/>
          <w:szCs w:val="28"/>
          <w:rtl/>
        </w:rPr>
        <w:t>ٓ</w:t>
      </w:r>
      <w:r w:rsidR="00252DED" w:rsidRPr="0067048A">
        <w:rPr>
          <w:rFonts w:ascii="KFGQPC Uthmanic Script HAFS" w:cs="KFGQPC Uthmanic Script HAFS" w:hint="eastAsia"/>
          <w:sz w:val="28"/>
          <w:szCs w:val="28"/>
          <w:rtl/>
        </w:rPr>
        <w:t>اْ</w:t>
      </w:r>
      <w:r w:rsidR="00252DED" w:rsidRPr="0067048A">
        <w:rPr>
          <w:rFonts w:ascii="KFGQPC Uthmanic Script HAFS" w:cs="KFGQPC Uthmanic Script HAFS"/>
          <w:sz w:val="28"/>
          <w:szCs w:val="28"/>
          <w:rtl/>
        </w:rPr>
        <w:t xml:space="preserve"> </w:t>
      </w:r>
      <w:r w:rsidR="00252DED" w:rsidRPr="0067048A">
        <w:rPr>
          <w:rFonts w:ascii="KFGQPC Uthmanic Script HAFS" w:cs="KFGQPC Uthmanic Script HAFS" w:hint="eastAsia"/>
          <w:sz w:val="28"/>
          <w:szCs w:val="28"/>
          <w:rtl/>
        </w:rPr>
        <w:t>أَنَّمَا</w:t>
      </w:r>
      <w:r w:rsidR="00252DED" w:rsidRPr="0067048A">
        <w:rPr>
          <w:rFonts w:ascii="KFGQPC Uthmanic Script HAFS" w:cs="KFGQPC Uthmanic Script HAFS"/>
          <w:sz w:val="28"/>
          <w:szCs w:val="28"/>
          <w:rtl/>
        </w:rPr>
        <w:t xml:space="preserve"> </w:t>
      </w:r>
      <w:r w:rsidR="00252DED" w:rsidRPr="0067048A">
        <w:rPr>
          <w:rFonts w:ascii="KFGQPC Uthmanic Script HAFS" w:cs="KFGQPC Uthmanic Script HAFS" w:hint="eastAsia"/>
          <w:sz w:val="28"/>
          <w:szCs w:val="28"/>
          <w:rtl/>
        </w:rPr>
        <w:t>غَنِم</w:t>
      </w:r>
      <w:r w:rsidR="00252DED" w:rsidRPr="0067048A">
        <w:rPr>
          <w:rFonts w:ascii="KFGQPC Uthmanic Script HAFS" w:cs="KFGQPC Uthmanic Script HAFS" w:hint="cs"/>
          <w:sz w:val="28"/>
          <w:szCs w:val="28"/>
          <w:rtl/>
        </w:rPr>
        <w:t>ۡ</w:t>
      </w:r>
      <w:r w:rsidR="00252DED" w:rsidRPr="0067048A">
        <w:rPr>
          <w:rFonts w:ascii="KFGQPC Uthmanic Script HAFS" w:cs="KFGQPC Uthmanic Script HAFS" w:hint="eastAsia"/>
          <w:sz w:val="28"/>
          <w:szCs w:val="28"/>
          <w:rtl/>
        </w:rPr>
        <w:t>تُم</w:t>
      </w:r>
      <w:r w:rsidR="00252DED" w:rsidRPr="00995B26">
        <w:rPr>
          <w:rFonts w:cs="Traditional Arabic" w:hint="cs"/>
          <w:szCs w:val="30"/>
          <w:rtl/>
          <w:lang w:bidi="ar-SY"/>
        </w:rPr>
        <w:t>﴾</w:t>
      </w:r>
      <w:r w:rsidRPr="00495BAB">
        <w:rPr>
          <w:rFonts w:hint="cs"/>
          <w:rtl/>
          <w:lang w:bidi="ar-SY"/>
        </w:rPr>
        <w:t xml:space="preserve"> حكم خاصٌّ يشمل عامَّة الموارد والحالات التي يقاتل المسلمون فيها الكفار،</w:t>
      </w:r>
      <w:r w:rsidRPr="00495BAB">
        <w:rPr>
          <w:rtl/>
          <w:lang w:bidi="ar-SY"/>
        </w:rPr>
        <w:t xml:space="preserve"> </w:t>
      </w:r>
      <w:r w:rsidRPr="00495BAB">
        <w:rPr>
          <w:rFonts w:hint="cs"/>
          <w:rtl/>
          <w:lang w:bidi="ar-SY"/>
        </w:rPr>
        <w:t xml:space="preserve">ويحصلون على الغنائم منهم. ولكن ليس إلى ذلك الحد الذي يجيز لآكلي الخمس في آخر الزمن أن يلاحقوا كل مسكين كَسَب خمس ريالاتٍ من عمله بكنس الشوارع أو عتَّالٍ كسب مقداراً من المال من حمل الأمتعة أو حطَّابٍ ارتزق من تقطيع الحطب، ويقولوا له: ما كسبته يدخل تحت مُسَمَّى «الغنيمة» وعليك أن تؤدي لنا خمس ما نلته بكد يمينك وعرق جبينك! وبعد ذلك لا يجد آكلو الخُمس هؤلاء سبيلاً لإنفاق ما أخذوه من أموال الناس سوى الإسراف والتبذير والإنفاق على المؤسسات والمنشآت الواسعة والمتنوعة الخاصَّة بهم، ليفتخروا بها على الناس ويتباهوا بإنشائها! </w:t>
      </w:r>
    </w:p>
    <w:p w:rsidR="00CD31AA" w:rsidRPr="00995B26" w:rsidRDefault="00CD31AA" w:rsidP="00495BAB">
      <w:pPr>
        <w:pStyle w:val="a0"/>
        <w:rPr>
          <w:rtl/>
          <w:lang w:bidi="ar-SY"/>
        </w:rPr>
      </w:pPr>
      <w:r w:rsidRPr="00495BAB">
        <w:rPr>
          <w:rFonts w:hint="cs"/>
          <w:rtl/>
          <w:lang w:bidi="ar-SY"/>
        </w:rPr>
        <w:t>لقد ضاقت السبل على هؤلاء السادة المدافعين عن الخمس الشامل فأصيبوا بالهذيان، فلكي يأتوا من القرآن الكريم بدليل على عموم  آية الغنيمة، تمسَّكوا بالآية 7 من سورة الحشر، التي نزلت لتسلية أصحاب رسول الله وتحدثت عن الفيء، وجاء فيها قانون كليٌّ عامٌّ وحكمٌ بديهيٌّ وأبديٌّ وعقليٌّ وضروريٌّ يقول:</w:t>
      </w:r>
      <w:r w:rsidR="00252DED" w:rsidRPr="00495BAB">
        <w:rPr>
          <w:rFonts w:hint="cs"/>
          <w:rtl/>
          <w:lang w:bidi="ar-SY"/>
        </w:rPr>
        <w:t xml:space="preserve"> </w:t>
      </w:r>
      <w:r w:rsidR="00252DED" w:rsidRPr="00995B26">
        <w:rPr>
          <w:rFonts w:cs="Traditional Arabic" w:hint="cs"/>
          <w:szCs w:val="30"/>
          <w:rtl/>
          <w:lang w:bidi="ar-SY"/>
        </w:rPr>
        <w:t>﴿</w:t>
      </w:r>
      <w:r w:rsidR="00252DED" w:rsidRPr="0067048A">
        <w:rPr>
          <w:rFonts w:ascii="KFGQPC Uthmanic Script HAFS" w:cs="KFGQPC Uthmanic Script HAFS" w:hint="eastAsia"/>
          <w:sz w:val="28"/>
          <w:szCs w:val="28"/>
          <w:rtl/>
        </w:rPr>
        <w:t>وَمَا</w:t>
      </w:r>
      <w:r w:rsidR="00252DED" w:rsidRPr="0067048A">
        <w:rPr>
          <w:rFonts w:ascii="KFGQPC Uthmanic Script HAFS" w:cs="KFGQPC Uthmanic Script HAFS" w:hint="cs"/>
          <w:sz w:val="28"/>
          <w:szCs w:val="28"/>
          <w:rtl/>
        </w:rPr>
        <w:t>ٓ</w:t>
      </w:r>
      <w:r w:rsidR="00252DED" w:rsidRPr="0067048A">
        <w:rPr>
          <w:rFonts w:ascii="KFGQPC Uthmanic Script HAFS" w:cs="KFGQPC Uthmanic Script HAFS"/>
          <w:sz w:val="28"/>
          <w:szCs w:val="28"/>
          <w:rtl/>
        </w:rPr>
        <w:t xml:space="preserve"> </w:t>
      </w:r>
      <w:r w:rsidR="00252DED" w:rsidRPr="0067048A">
        <w:rPr>
          <w:rFonts w:ascii="KFGQPC Uthmanic Script HAFS" w:cs="KFGQPC Uthmanic Script HAFS" w:hint="eastAsia"/>
          <w:sz w:val="28"/>
          <w:szCs w:val="28"/>
          <w:rtl/>
        </w:rPr>
        <w:t>ءَاتَى</w:t>
      </w:r>
      <w:r w:rsidR="00252DED" w:rsidRPr="0067048A">
        <w:rPr>
          <w:rFonts w:ascii="KFGQPC Uthmanic Script HAFS" w:cs="KFGQPC Uthmanic Script HAFS" w:hint="cs"/>
          <w:sz w:val="28"/>
          <w:szCs w:val="28"/>
          <w:rtl/>
        </w:rPr>
        <w:t>ٰ</w:t>
      </w:r>
      <w:r w:rsidR="00252DED" w:rsidRPr="0067048A">
        <w:rPr>
          <w:rFonts w:ascii="KFGQPC Uthmanic Script HAFS" w:cs="KFGQPC Uthmanic Script HAFS" w:hint="eastAsia"/>
          <w:sz w:val="28"/>
          <w:szCs w:val="28"/>
          <w:rtl/>
        </w:rPr>
        <w:t>كُمُ</w:t>
      </w:r>
      <w:r w:rsidR="00252DED" w:rsidRPr="0067048A">
        <w:rPr>
          <w:rFonts w:ascii="KFGQPC Uthmanic Script HAFS" w:cs="KFGQPC Uthmanic Script HAFS"/>
          <w:sz w:val="28"/>
          <w:szCs w:val="28"/>
          <w:rtl/>
        </w:rPr>
        <w:t xml:space="preserve"> </w:t>
      </w:r>
      <w:r w:rsidR="00252DED" w:rsidRPr="0067048A">
        <w:rPr>
          <w:rFonts w:ascii="KFGQPC Uthmanic Script HAFS" w:cs="KFGQPC Uthmanic Script HAFS" w:hint="cs"/>
          <w:sz w:val="28"/>
          <w:szCs w:val="28"/>
          <w:rtl/>
        </w:rPr>
        <w:t>ٱ</w:t>
      </w:r>
      <w:r w:rsidR="00252DED" w:rsidRPr="0067048A">
        <w:rPr>
          <w:rFonts w:ascii="KFGQPC Uthmanic Script HAFS" w:cs="KFGQPC Uthmanic Script HAFS" w:hint="eastAsia"/>
          <w:sz w:val="28"/>
          <w:szCs w:val="28"/>
          <w:rtl/>
        </w:rPr>
        <w:t>لرَّسُولُ</w:t>
      </w:r>
      <w:r w:rsidR="00252DED" w:rsidRPr="0067048A">
        <w:rPr>
          <w:rFonts w:ascii="KFGQPC Uthmanic Script HAFS" w:cs="KFGQPC Uthmanic Script HAFS"/>
          <w:sz w:val="28"/>
          <w:szCs w:val="28"/>
          <w:rtl/>
        </w:rPr>
        <w:t xml:space="preserve"> </w:t>
      </w:r>
      <w:r w:rsidR="00252DED" w:rsidRPr="0067048A">
        <w:rPr>
          <w:rFonts w:ascii="KFGQPC Uthmanic Script HAFS" w:cs="KFGQPC Uthmanic Script HAFS" w:hint="eastAsia"/>
          <w:sz w:val="28"/>
          <w:szCs w:val="28"/>
          <w:rtl/>
        </w:rPr>
        <w:t>فَخُذُوهُ</w:t>
      </w:r>
      <w:r w:rsidR="00252DED" w:rsidRPr="00995B26">
        <w:rPr>
          <w:rFonts w:cs="Traditional Arabic" w:hint="cs"/>
          <w:szCs w:val="30"/>
          <w:rtl/>
          <w:lang w:bidi="ar-SY"/>
        </w:rPr>
        <w:t>﴾</w:t>
      </w:r>
      <w:r w:rsidRPr="00495BAB">
        <w:rPr>
          <w:rFonts w:hint="cs"/>
          <w:rtl/>
          <w:lang w:bidi="ar-SY"/>
        </w:rPr>
        <w:t xml:space="preserve"> </w:t>
      </w:r>
      <w:r w:rsidRPr="009E1401">
        <w:rPr>
          <w:rStyle w:val="Char2"/>
          <w:rtl/>
        </w:rPr>
        <w:t>[الحشر</w:t>
      </w:r>
      <w:r w:rsidR="00252DED" w:rsidRPr="009E1401">
        <w:rPr>
          <w:rStyle w:val="Char2"/>
          <w:rFonts w:hint="cs"/>
          <w:rtl/>
        </w:rPr>
        <w:t xml:space="preserve">: </w:t>
      </w:r>
      <w:r w:rsidRPr="009E1401">
        <w:rPr>
          <w:rStyle w:val="Char2"/>
          <w:rtl/>
        </w:rPr>
        <w:t>7]</w:t>
      </w:r>
      <w:r w:rsidRPr="00495BAB">
        <w:rPr>
          <w:rFonts w:hint="cs"/>
          <w:rtl/>
          <w:lang w:bidi="ar-SY"/>
        </w:rPr>
        <w:t>؛ أو تمسَّكوا بالآية 233 من سورة البقرة التي تتكلَّم عن حكم المرأة المُرضِعة وجاء فيها قوله تعالى في دعوة الوالدين إلى التسليم والتمكين:</w:t>
      </w:r>
      <w:r w:rsidR="00252DED" w:rsidRPr="00495BAB">
        <w:rPr>
          <w:rFonts w:hint="cs"/>
          <w:rtl/>
          <w:lang w:bidi="ar-SY"/>
        </w:rPr>
        <w:t xml:space="preserve"> </w:t>
      </w:r>
      <w:r w:rsidR="00252DED" w:rsidRPr="00995B26">
        <w:rPr>
          <w:rFonts w:cs="Traditional Arabic" w:hint="cs"/>
          <w:szCs w:val="30"/>
          <w:rtl/>
          <w:lang w:bidi="ar-SY"/>
        </w:rPr>
        <w:t>﴿</w:t>
      </w:r>
      <w:r w:rsidR="00252DED" w:rsidRPr="0067048A">
        <w:rPr>
          <w:rFonts w:ascii="KFGQPC Uthmanic Script HAFS" w:cs="KFGQPC Uthmanic Script HAFS" w:hint="eastAsia"/>
          <w:sz w:val="28"/>
          <w:szCs w:val="28"/>
          <w:rtl/>
        </w:rPr>
        <w:t>لَا</w:t>
      </w:r>
      <w:r w:rsidR="00252DED" w:rsidRPr="0067048A">
        <w:rPr>
          <w:rFonts w:ascii="KFGQPC Uthmanic Script HAFS" w:cs="KFGQPC Uthmanic Script HAFS"/>
          <w:sz w:val="28"/>
          <w:szCs w:val="28"/>
          <w:rtl/>
        </w:rPr>
        <w:t xml:space="preserve"> </w:t>
      </w:r>
      <w:r w:rsidR="00252DED" w:rsidRPr="0067048A">
        <w:rPr>
          <w:rFonts w:ascii="KFGQPC Uthmanic Script HAFS" w:cs="KFGQPC Uthmanic Script HAFS" w:hint="eastAsia"/>
          <w:sz w:val="28"/>
          <w:szCs w:val="28"/>
          <w:rtl/>
        </w:rPr>
        <w:t>تُكَلَّفُ</w:t>
      </w:r>
      <w:r w:rsidR="00252DED" w:rsidRPr="0067048A">
        <w:rPr>
          <w:rFonts w:ascii="KFGQPC Uthmanic Script HAFS" w:cs="KFGQPC Uthmanic Script HAFS"/>
          <w:sz w:val="28"/>
          <w:szCs w:val="28"/>
          <w:rtl/>
        </w:rPr>
        <w:t xml:space="preserve"> </w:t>
      </w:r>
      <w:r w:rsidR="00252DED" w:rsidRPr="0067048A">
        <w:rPr>
          <w:rFonts w:ascii="KFGQPC Uthmanic Script HAFS" w:cs="KFGQPC Uthmanic Script HAFS" w:hint="eastAsia"/>
          <w:sz w:val="28"/>
          <w:szCs w:val="28"/>
          <w:rtl/>
        </w:rPr>
        <w:t>نَف</w:t>
      </w:r>
      <w:r w:rsidR="00252DED" w:rsidRPr="0067048A">
        <w:rPr>
          <w:rFonts w:ascii="KFGQPC Uthmanic Script HAFS" w:cs="KFGQPC Uthmanic Script HAFS" w:hint="cs"/>
          <w:sz w:val="28"/>
          <w:szCs w:val="28"/>
          <w:rtl/>
        </w:rPr>
        <w:t>ۡ</w:t>
      </w:r>
      <w:r w:rsidR="00252DED" w:rsidRPr="0067048A">
        <w:rPr>
          <w:rFonts w:ascii="KFGQPC Uthmanic Script HAFS" w:cs="KFGQPC Uthmanic Script HAFS" w:hint="eastAsia"/>
          <w:sz w:val="28"/>
          <w:szCs w:val="28"/>
          <w:rtl/>
        </w:rPr>
        <w:t>سٌ</w:t>
      </w:r>
      <w:r w:rsidR="00252DED" w:rsidRPr="0067048A">
        <w:rPr>
          <w:rFonts w:ascii="KFGQPC Uthmanic Script HAFS" w:cs="KFGQPC Uthmanic Script HAFS"/>
          <w:sz w:val="28"/>
          <w:szCs w:val="28"/>
          <w:rtl/>
        </w:rPr>
        <w:t xml:space="preserve"> </w:t>
      </w:r>
      <w:r w:rsidR="00252DED" w:rsidRPr="0067048A">
        <w:rPr>
          <w:rFonts w:ascii="KFGQPC Uthmanic Script HAFS" w:cs="KFGQPC Uthmanic Script HAFS" w:hint="eastAsia"/>
          <w:sz w:val="28"/>
          <w:szCs w:val="28"/>
          <w:rtl/>
        </w:rPr>
        <w:t>إِلَّا</w:t>
      </w:r>
      <w:r w:rsidR="00252DED" w:rsidRPr="0067048A">
        <w:rPr>
          <w:rFonts w:ascii="KFGQPC Uthmanic Script HAFS" w:cs="KFGQPC Uthmanic Script HAFS"/>
          <w:sz w:val="28"/>
          <w:szCs w:val="28"/>
          <w:rtl/>
        </w:rPr>
        <w:t xml:space="preserve"> </w:t>
      </w:r>
      <w:r w:rsidR="00252DED" w:rsidRPr="0067048A">
        <w:rPr>
          <w:rFonts w:ascii="KFGQPC Uthmanic Script HAFS" w:cs="KFGQPC Uthmanic Script HAFS" w:hint="eastAsia"/>
          <w:sz w:val="28"/>
          <w:szCs w:val="28"/>
          <w:rtl/>
        </w:rPr>
        <w:t>وُس</w:t>
      </w:r>
      <w:r w:rsidR="00252DED" w:rsidRPr="0067048A">
        <w:rPr>
          <w:rFonts w:ascii="KFGQPC Uthmanic Script HAFS" w:cs="KFGQPC Uthmanic Script HAFS" w:hint="cs"/>
          <w:sz w:val="28"/>
          <w:szCs w:val="28"/>
          <w:rtl/>
        </w:rPr>
        <w:t>ۡ</w:t>
      </w:r>
      <w:r w:rsidR="00252DED" w:rsidRPr="0067048A">
        <w:rPr>
          <w:rFonts w:ascii="KFGQPC Uthmanic Script HAFS" w:cs="KFGQPC Uthmanic Script HAFS" w:hint="eastAsia"/>
          <w:sz w:val="28"/>
          <w:szCs w:val="28"/>
          <w:rtl/>
        </w:rPr>
        <w:t>عَهَا</w:t>
      </w:r>
      <w:r w:rsidR="00252DED" w:rsidRPr="00995B26">
        <w:rPr>
          <w:rFonts w:cs="Traditional Arabic" w:hint="cs"/>
          <w:szCs w:val="30"/>
          <w:rtl/>
          <w:lang w:bidi="ar-SY"/>
        </w:rPr>
        <w:t>﴾</w:t>
      </w:r>
      <w:r w:rsidRPr="00495BAB">
        <w:rPr>
          <w:rFonts w:hint="cs"/>
          <w:rtl/>
          <w:lang w:bidi="ar-SY"/>
        </w:rPr>
        <w:t xml:space="preserve"> </w:t>
      </w:r>
      <w:r w:rsidRPr="009E1401">
        <w:rPr>
          <w:rStyle w:val="Char2"/>
          <w:rtl/>
        </w:rPr>
        <w:t>[البقرة</w:t>
      </w:r>
      <w:r w:rsidR="00252DED" w:rsidRPr="009E1401">
        <w:rPr>
          <w:rStyle w:val="Char2"/>
          <w:rFonts w:hint="cs"/>
          <w:rtl/>
        </w:rPr>
        <w:t xml:space="preserve">: </w:t>
      </w:r>
      <w:r w:rsidRPr="009E1401">
        <w:rPr>
          <w:rStyle w:val="Char2"/>
          <w:rtl/>
        </w:rPr>
        <w:t>233]</w:t>
      </w:r>
      <w:r w:rsidRPr="00495BAB">
        <w:rPr>
          <w:rFonts w:hint="cs"/>
          <w:rtl/>
          <w:lang w:bidi="ar-SY"/>
        </w:rPr>
        <w:t xml:space="preserve">. فاعتبروا أن حكم هاتين الجملتين -اللتين ذكرتا هنا في تلك الآيات على سبيل المثال-، حكمٌ ورد بشأن خاصٍّ ولكنه شامل بعمومه؟!  مع أن نزول تلك الجمل لم يكن خاصًّا أبدًا بتلك الموارد، بل ليس لآية </w:t>
      </w:r>
      <w:r w:rsidR="00252DED" w:rsidRPr="00995B26">
        <w:rPr>
          <w:rFonts w:cs="Traditional Arabic" w:hint="cs"/>
          <w:szCs w:val="30"/>
          <w:rtl/>
          <w:lang w:bidi="ar-SY"/>
        </w:rPr>
        <w:t>﴿</w:t>
      </w:r>
      <w:r w:rsidR="00252DED" w:rsidRPr="0067048A">
        <w:rPr>
          <w:rFonts w:ascii="KFGQPC Uthmanic Script HAFS" w:cs="KFGQPC Uthmanic Script HAFS" w:hint="eastAsia"/>
          <w:sz w:val="28"/>
          <w:szCs w:val="28"/>
          <w:rtl/>
        </w:rPr>
        <w:t>وَمَا</w:t>
      </w:r>
      <w:r w:rsidR="00252DED" w:rsidRPr="0067048A">
        <w:rPr>
          <w:rFonts w:ascii="KFGQPC Uthmanic Script HAFS" w:cs="KFGQPC Uthmanic Script HAFS" w:hint="cs"/>
          <w:sz w:val="28"/>
          <w:szCs w:val="28"/>
          <w:rtl/>
        </w:rPr>
        <w:t>ٓ</w:t>
      </w:r>
      <w:r w:rsidR="00252DED" w:rsidRPr="0067048A">
        <w:rPr>
          <w:rFonts w:ascii="KFGQPC Uthmanic Script HAFS" w:cs="KFGQPC Uthmanic Script HAFS"/>
          <w:sz w:val="28"/>
          <w:szCs w:val="28"/>
          <w:rtl/>
        </w:rPr>
        <w:t xml:space="preserve"> </w:t>
      </w:r>
      <w:r w:rsidR="00252DED" w:rsidRPr="0067048A">
        <w:rPr>
          <w:rFonts w:ascii="KFGQPC Uthmanic Script HAFS" w:cs="KFGQPC Uthmanic Script HAFS" w:hint="eastAsia"/>
          <w:sz w:val="28"/>
          <w:szCs w:val="28"/>
          <w:rtl/>
        </w:rPr>
        <w:t>ءَاتَى</w:t>
      </w:r>
      <w:r w:rsidR="00252DED" w:rsidRPr="0067048A">
        <w:rPr>
          <w:rFonts w:ascii="KFGQPC Uthmanic Script HAFS" w:cs="KFGQPC Uthmanic Script HAFS" w:hint="cs"/>
          <w:sz w:val="28"/>
          <w:szCs w:val="28"/>
          <w:rtl/>
        </w:rPr>
        <w:t>ٰ</w:t>
      </w:r>
      <w:r w:rsidR="00252DED" w:rsidRPr="0067048A">
        <w:rPr>
          <w:rFonts w:ascii="KFGQPC Uthmanic Script HAFS" w:cs="KFGQPC Uthmanic Script HAFS" w:hint="eastAsia"/>
          <w:sz w:val="28"/>
          <w:szCs w:val="28"/>
          <w:rtl/>
        </w:rPr>
        <w:t>كُمُ</w:t>
      </w:r>
      <w:r w:rsidR="00252DED" w:rsidRPr="0067048A">
        <w:rPr>
          <w:rFonts w:ascii="KFGQPC Uthmanic Script HAFS" w:cs="KFGQPC Uthmanic Script HAFS"/>
          <w:sz w:val="28"/>
          <w:szCs w:val="28"/>
          <w:rtl/>
        </w:rPr>
        <w:t xml:space="preserve"> </w:t>
      </w:r>
      <w:r w:rsidR="00252DED" w:rsidRPr="0067048A">
        <w:rPr>
          <w:rFonts w:ascii="KFGQPC Uthmanic Script HAFS" w:cs="KFGQPC Uthmanic Script HAFS" w:hint="cs"/>
          <w:sz w:val="28"/>
          <w:szCs w:val="28"/>
          <w:rtl/>
        </w:rPr>
        <w:t>ٱ</w:t>
      </w:r>
      <w:r w:rsidR="00252DED" w:rsidRPr="0067048A">
        <w:rPr>
          <w:rFonts w:ascii="KFGQPC Uthmanic Script HAFS" w:cs="KFGQPC Uthmanic Script HAFS" w:hint="eastAsia"/>
          <w:sz w:val="28"/>
          <w:szCs w:val="28"/>
          <w:rtl/>
        </w:rPr>
        <w:t>لرَّسُولُ</w:t>
      </w:r>
      <w:r w:rsidR="00252DED" w:rsidRPr="0067048A">
        <w:rPr>
          <w:rFonts w:ascii="KFGQPC Uthmanic Script HAFS" w:cs="KFGQPC Uthmanic Script HAFS"/>
          <w:sz w:val="28"/>
          <w:szCs w:val="28"/>
          <w:rtl/>
        </w:rPr>
        <w:t xml:space="preserve"> </w:t>
      </w:r>
      <w:r w:rsidR="00252DED" w:rsidRPr="0067048A">
        <w:rPr>
          <w:rFonts w:ascii="KFGQPC Uthmanic Script HAFS" w:cs="KFGQPC Uthmanic Script HAFS" w:hint="eastAsia"/>
          <w:sz w:val="28"/>
          <w:szCs w:val="28"/>
          <w:rtl/>
        </w:rPr>
        <w:t>فَخُذُوهُ</w:t>
      </w:r>
      <w:r w:rsidR="00252DED" w:rsidRPr="00995B26">
        <w:rPr>
          <w:rFonts w:cs="Traditional Arabic" w:hint="cs"/>
          <w:szCs w:val="30"/>
          <w:rtl/>
          <w:lang w:bidi="ar-SY"/>
        </w:rPr>
        <w:t>﴾</w:t>
      </w:r>
      <w:r w:rsidRPr="00495BAB">
        <w:rPr>
          <w:rFonts w:hint="cs"/>
          <w:rtl/>
          <w:lang w:bidi="ar-SY"/>
        </w:rPr>
        <w:t xml:space="preserve"> علاقة أساسًا بموضوع الفيء ومردوده سوى علاقة الإشارة والإرشاد، إذ هناك عشرات الآيات قبل تلك الآيات وبعدها، تم التذكير فيها بهاذين القانونين والقاعدتين العامتين الأبديتين. فبالنسبة إلى وجوب طاعة رسول الله </w:t>
      </w:r>
      <w:r w:rsidRPr="00495BAB">
        <w:rPr>
          <w:rFonts w:ascii="Abo-thar" w:hAnsi="Abo-thar"/>
          <w:sz w:val="28"/>
          <w:lang w:bidi="fa-IR"/>
        </w:rPr>
        <w:t></w:t>
      </w:r>
      <w:r w:rsidRPr="00495BAB">
        <w:rPr>
          <w:rFonts w:hint="cs"/>
          <w:rtl/>
          <w:lang w:bidi="ar-SY"/>
        </w:rPr>
        <w:t>، إضافةً إلى حكم العقل بأنه بعد التسليم بنبوة نبيٍّ تصبح طاعته واتباعه واجبان عقلاً وبالضرورة، هناك آيات عديدة تدل على ذلك كقوله تعالى:</w:t>
      </w:r>
      <w:r w:rsidR="00252DED" w:rsidRPr="00495BAB">
        <w:rPr>
          <w:rFonts w:hint="cs"/>
          <w:rtl/>
          <w:lang w:bidi="ar-SY"/>
        </w:rPr>
        <w:t xml:space="preserve"> </w:t>
      </w:r>
      <w:r w:rsidR="00252DED" w:rsidRPr="00995B26">
        <w:rPr>
          <w:rFonts w:cs="Traditional Arabic" w:hint="cs"/>
          <w:szCs w:val="30"/>
          <w:rtl/>
          <w:lang w:bidi="ar-SY"/>
        </w:rPr>
        <w:t>﴿</w:t>
      </w:r>
      <w:r w:rsidR="00C169EF" w:rsidRPr="00995B26">
        <w:rPr>
          <w:rFonts w:ascii="KFGQPC Uthmanic Script HAFS" w:cs="KFGQPC Uthmanic Script HAFS" w:hint="eastAsia"/>
          <w:sz w:val="29"/>
          <w:szCs w:val="29"/>
          <w:rtl/>
        </w:rPr>
        <w:t>وَمَا</w:t>
      </w:r>
      <w:r w:rsidR="00C169EF" w:rsidRPr="00995B26">
        <w:rPr>
          <w:rFonts w:ascii="KFGQPC Uthmanic Script HAFS" w:cs="KFGQPC Uthmanic Script HAFS" w:hint="cs"/>
          <w:sz w:val="29"/>
          <w:szCs w:val="29"/>
          <w:rtl/>
        </w:rPr>
        <w:t>ٓ</w:t>
      </w:r>
      <w:r w:rsidR="00C169EF" w:rsidRPr="00995B26">
        <w:rPr>
          <w:rFonts w:ascii="KFGQPC Uthmanic Script HAFS" w:cs="KFGQPC Uthmanic Script HAFS"/>
          <w:sz w:val="29"/>
          <w:szCs w:val="29"/>
          <w:rtl/>
        </w:rPr>
        <w:t xml:space="preserve"> </w:t>
      </w:r>
      <w:r w:rsidR="00C169EF" w:rsidRPr="00995B26">
        <w:rPr>
          <w:rFonts w:ascii="KFGQPC Uthmanic Script HAFS" w:cs="KFGQPC Uthmanic Script HAFS" w:hint="eastAsia"/>
          <w:sz w:val="29"/>
          <w:szCs w:val="29"/>
          <w:rtl/>
        </w:rPr>
        <w:t>أَر</w:t>
      </w:r>
      <w:r w:rsidR="00C169EF" w:rsidRPr="00995B26">
        <w:rPr>
          <w:rFonts w:ascii="KFGQPC Uthmanic Script HAFS" w:cs="KFGQPC Uthmanic Script HAFS" w:hint="cs"/>
          <w:sz w:val="29"/>
          <w:szCs w:val="29"/>
          <w:rtl/>
        </w:rPr>
        <w:t>ۡ</w:t>
      </w:r>
      <w:r w:rsidR="00C169EF" w:rsidRPr="00995B26">
        <w:rPr>
          <w:rFonts w:ascii="KFGQPC Uthmanic Script HAFS" w:cs="KFGQPC Uthmanic Script HAFS" w:hint="eastAsia"/>
          <w:sz w:val="29"/>
          <w:szCs w:val="29"/>
          <w:rtl/>
        </w:rPr>
        <w:t>سَل</w:t>
      </w:r>
      <w:r w:rsidR="00C169EF" w:rsidRPr="00995B26">
        <w:rPr>
          <w:rFonts w:ascii="KFGQPC Uthmanic Script HAFS" w:cs="KFGQPC Uthmanic Script HAFS" w:hint="cs"/>
          <w:sz w:val="29"/>
          <w:szCs w:val="29"/>
          <w:rtl/>
        </w:rPr>
        <w:t>ۡ</w:t>
      </w:r>
      <w:r w:rsidR="00C169EF" w:rsidRPr="00995B26">
        <w:rPr>
          <w:rFonts w:ascii="KFGQPC Uthmanic Script HAFS" w:cs="KFGQPC Uthmanic Script HAFS" w:hint="eastAsia"/>
          <w:sz w:val="29"/>
          <w:szCs w:val="29"/>
          <w:rtl/>
        </w:rPr>
        <w:t>نَا</w:t>
      </w:r>
      <w:r w:rsidR="00C169EF" w:rsidRPr="00995B26">
        <w:rPr>
          <w:rFonts w:ascii="KFGQPC Uthmanic Script HAFS" w:cs="KFGQPC Uthmanic Script HAFS"/>
          <w:sz w:val="29"/>
          <w:szCs w:val="29"/>
          <w:rtl/>
        </w:rPr>
        <w:t xml:space="preserve"> </w:t>
      </w:r>
      <w:r w:rsidR="00C169EF" w:rsidRPr="00995B26">
        <w:rPr>
          <w:rFonts w:ascii="KFGQPC Uthmanic Script HAFS" w:cs="KFGQPC Uthmanic Script HAFS" w:hint="eastAsia"/>
          <w:sz w:val="29"/>
          <w:szCs w:val="29"/>
          <w:rtl/>
        </w:rPr>
        <w:t>مِن</w:t>
      </w:r>
      <w:r w:rsidR="00C169EF" w:rsidRPr="00995B26">
        <w:rPr>
          <w:rFonts w:ascii="KFGQPC Uthmanic Script HAFS" w:cs="KFGQPC Uthmanic Script HAFS"/>
          <w:sz w:val="29"/>
          <w:szCs w:val="29"/>
          <w:rtl/>
        </w:rPr>
        <w:t xml:space="preserve"> </w:t>
      </w:r>
      <w:r w:rsidR="00C169EF" w:rsidRPr="00995B26">
        <w:rPr>
          <w:rFonts w:ascii="KFGQPC Uthmanic Script HAFS" w:cs="KFGQPC Uthmanic Script HAFS" w:hint="eastAsia"/>
          <w:sz w:val="29"/>
          <w:szCs w:val="29"/>
          <w:rtl/>
        </w:rPr>
        <w:t>رَّسُولٍ</w:t>
      </w:r>
      <w:r w:rsidR="00C169EF" w:rsidRPr="00995B26">
        <w:rPr>
          <w:rFonts w:ascii="KFGQPC Uthmanic Script HAFS" w:cs="KFGQPC Uthmanic Script HAFS"/>
          <w:sz w:val="29"/>
          <w:szCs w:val="29"/>
          <w:rtl/>
        </w:rPr>
        <w:t xml:space="preserve"> </w:t>
      </w:r>
      <w:r w:rsidR="00C169EF" w:rsidRPr="00995B26">
        <w:rPr>
          <w:rFonts w:ascii="KFGQPC Uthmanic Script HAFS" w:cs="KFGQPC Uthmanic Script HAFS" w:hint="eastAsia"/>
          <w:sz w:val="29"/>
          <w:szCs w:val="29"/>
          <w:rtl/>
        </w:rPr>
        <w:t>إِلَّا</w:t>
      </w:r>
      <w:r w:rsidR="00C169EF" w:rsidRPr="00995B26">
        <w:rPr>
          <w:rFonts w:ascii="KFGQPC Uthmanic Script HAFS" w:cs="KFGQPC Uthmanic Script HAFS"/>
          <w:sz w:val="29"/>
          <w:szCs w:val="29"/>
          <w:rtl/>
        </w:rPr>
        <w:t xml:space="preserve"> </w:t>
      </w:r>
      <w:r w:rsidR="00C169EF" w:rsidRPr="00995B26">
        <w:rPr>
          <w:rFonts w:ascii="KFGQPC Uthmanic Script HAFS" w:cs="KFGQPC Uthmanic Script HAFS" w:hint="eastAsia"/>
          <w:sz w:val="29"/>
          <w:szCs w:val="29"/>
          <w:rtl/>
        </w:rPr>
        <w:t>لِيُطَاعَ</w:t>
      </w:r>
      <w:r w:rsidR="00C169EF" w:rsidRPr="00995B26">
        <w:rPr>
          <w:rFonts w:ascii="KFGQPC Uthmanic Script HAFS" w:cs="KFGQPC Uthmanic Script HAFS"/>
          <w:sz w:val="29"/>
          <w:szCs w:val="29"/>
          <w:rtl/>
        </w:rPr>
        <w:t xml:space="preserve"> </w:t>
      </w:r>
      <w:r w:rsidR="00C169EF" w:rsidRPr="00995B26">
        <w:rPr>
          <w:rFonts w:ascii="KFGQPC Uthmanic Script HAFS" w:cs="KFGQPC Uthmanic Script HAFS" w:hint="eastAsia"/>
          <w:sz w:val="29"/>
          <w:szCs w:val="29"/>
          <w:rtl/>
        </w:rPr>
        <w:t>بِإِذ</w:t>
      </w:r>
      <w:r w:rsidR="00C169EF" w:rsidRPr="00995B26">
        <w:rPr>
          <w:rFonts w:ascii="KFGQPC Uthmanic Script HAFS" w:cs="KFGQPC Uthmanic Script HAFS" w:hint="cs"/>
          <w:sz w:val="29"/>
          <w:szCs w:val="29"/>
          <w:rtl/>
        </w:rPr>
        <w:t>ۡ</w:t>
      </w:r>
      <w:r w:rsidR="00C169EF" w:rsidRPr="00995B26">
        <w:rPr>
          <w:rFonts w:ascii="KFGQPC Uthmanic Script HAFS" w:cs="KFGQPC Uthmanic Script HAFS" w:hint="eastAsia"/>
          <w:sz w:val="29"/>
          <w:szCs w:val="29"/>
          <w:rtl/>
        </w:rPr>
        <w:t>نِ</w:t>
      </w:r>
      <w:r w:rsidR="00C169EF" w:rsidRPr="00995B26">
        <w:rPr>
          <w:rFonts w:ascii="KFGQPC Uthmanic Script HAFS" w:cs="KFGQPC Uthmanic Script HAFS"/>
          <w:sz w:val="29"/>
          <w:szCs w:val="29"/>
          <w:rtl/>
        </w:rPr>
        <w:t xml:space="preserve"> </w:t>
      </w:r>
      <w:r w:rsidR="00C169EF" w:rsidRPr="00995B26">
        <w:rPr>
          <w:rFonts w:ascii="KFGQPC Uthmanic Script HAFS" w:cs="KFGQPC Uthmanic Script HAFS" w:hint="cs"/>
          <w:sz w:val="29"/>
          <w:szCs w:val="29"/>
          <w:rtl/>
        </w:rPr>
        <w:t>ٱ</w:t>
      </w:r>
      <w:r w:rsidR="00C169EF" w:rsidRPr="00995B26">
        <w:rPr>
          <w:rFonts w:ascii="KFGQPC Uthmanic Script HAFS" w:cs="KFGQPC Uthmanic Script HAFS" w:hint="eastAsia"/>
          <w:sz w:val="29"/>
          <w:szCs w:val="29"/>
          <w:rtl/>
        </w:rPr>
        <w:t>للَّهِ</w:t>
      </w:r>
      <w:r w:rsidR="00252DED" w:rsidRPr="00995B26">
        <w:rPr>
          <w:rFonts w:cs="Traditional Arabic" w:hint="cs"/>
          <w:szCs w:val="30"/>
          <w:rtl/>
          <w:lang w:bidi="ar-SY"/>
        </w:rPr>
        <w:t>﴾</w:t>
      </w:r>
      <w:r w:rsidRPr="00495BAB">
        <w:rPr>
          <w:rFonts w:hint="cs"/>
          <w:rtl/>
          <w:lang w:bidi="ar-SY"/>
        </w:rPr>
        <w:t xml:space="preserve"> </w:t>
      </w:r>
      <w:r w:rsidRPr="009E1401">
        <w:rPr>
          <w:rStyle w:val="Char2"/>
          <w:rtl/>
        </w:rPr>
        <w:t>[النساء</w:t>
      </w:r>
      <w:r w:rsidR="00C169EF" w:rsidRPr="009E1401">
        <w:rPr>
          <w:rStyle w:val="Char2"/>
          <w:rFonts w:hint="cs"/>
          <w:rtl/>
        </w:rPr>
        <w:t xml:space="preserve">: </w:t>
      </w:r>
      <w:r w:rsidRPr="009E1401">
        <w:rPr>
          <w:rStyle w:val="Char2"/>
          <w:rtl/>
        </w:rPr>
        <w:t>64]</w:t>
      </w:r>
      <w:r w:rsidRPr="00495BAB">
        <w:rPr>
          <w:rFonts w:hint="cs"/>
          <w:rtl/>
          <w:lang w:bidi="ar-SY"/>
        </w:rPr>
        <w:t xml:space="preserve"> وقوله سبحانه:</w:t>
      </w:r>
      <w:r w:rsidR="00C169EF" w:rsidRPr="00495BAB">
        <w:rPr>
          <w:rFonts w:hint="cs"/>
          <w:rtl/>
          <w:lang w:bidi="ar-SY"/>
        </w:rPr>
        <w:t xml:space="preserve"> </w:t>
      </w:r>
      <w:r w:rsidR="00C169EF" w:rsidRPr="00995B26">
        <w:rPr>
          <w:rFonts w:cs="Traditional Arabic" w:hint="cs"/>
          <w:szCs w:val="30"/>
          <w:rtl/>
          <w:lang w:bidi="ar-SY"/>
        </w:rPr>
        <w:t>﴿</w:t>
      </w:r>
      <w:r w:rsidR="00C169EF" w:rsidRPr="0067048A">
        <w:rPr>
          <w:rFonts w:ascii="KFGQPC Uthmanic Script HAFS" w:cs="KFGQPC Uthmanic Script HAFS" w:hint="eastAsia"/>
          <w:sz w:val="28"/>
          <w:szCs w:val="28"/>
          <w:rtl/>
        </w:rPr>
        <w:t>مَّن</w:t>
      </w:r>
      <w:r w:rsidR="00C169EF" w:rsidRPr="0067048A">
        <w:rPr>
          <w:rFonts w:ascii="KFGQPC Uthmanic Script HAFS" w:cs="KFGQPC Uthmanic Script HAFS"/>
          <w:sz w:val="28"/>
          <w:szCs w:val="28"/>
          <w:rtl/>
        </w:rPr>
        <w:t xml:space="preserve"> </w:t>
      </w:r>
      <w:r w:rsidR="00C169EF" w:rsidRPr="0067048A">
        <w:rPr>
          <w:rFonts w:ascii="KFGQPC Uthmanic Script HAFS" w:cs="KFGQPC Uthmanic Script HAFS" w:hint="eastAsia"/>
          <w:sz w:val="28"/>
          <w:szCs w:val="28"/>
          <w:rtl/>
        </w:rPr>
        <w:t>يُطِعِ</w:t>
      </w:r>
      <w:r w:rsidR="00C169EF" w:rsidRPr="0067048A">
        <w:rPr>
          <w:rFonts w:ascii="KFGQPC Uthmanic Script HAFS" w:cs="KFGQPC Uthmanic Script HAFS"/>
          <w:sz w:val="28"/>
          <w:szCs w:val="28"/>
          <w:rtl/>
        </w:rPr>
        <w:t xml:space="preserve"> </w:t>
      </w:r>
      <w:r w:rsidR="00C169EF" w:rsidRPr="0067048A">
        <w:rPr>
          <w:rFonts w:ascii="KFGQPC Uthmanic Script HAFS" w:cs="KFGQPC Uthmanic Script HAFS" w:hint="cs"/>
          <w:sz w:val="28"/>
          <w:szCs w:val="28"/>
          <w:rtl/>
        </w:rPr>
        <w:t>ٱ</w:t>
      </w:r>
      <w:r w:rsidR="00C169EF" w:rsidRPr="0067048A">
        <w:rPr>
          <w:rFonts w:ascii="KFGQPC Uthmanic Script HAFS" w:cs="KFGQPC Uthmanic Script HAFS" w:hint="eastAsia"/>
          <w:sz w:val="28"/>
          <w:szCs w:val="28"/>
          <w:rtl/>
        </w:rPr>
        <w:t>لرَّسُولَ</w:t>
      </w:r>
      <w:r w:rsidR="00C169EF" w:rsidRPr="0067048A">
        <w:rPr>
          <w:rFonts w:ascii="KFGQPC Uthmanic Script HAFS" w:cs="KFGQPC Uthmanic Script HAFS"/>
          <w:sz w:val="28"/>
          <w:szCs w:val="28"/>
          <w:rtl/>
        </w:rPr>
        <w:t xml:space="preserve"> </w:t>
      </w:r>
      <w:r w:rsidR="00C169EF" w:rsidRPr="0067048A">
        <w:rPr>
          <w:rFonts w:ascii="KFGQPC Uthmanic Script HAFS" w:cs="KFGQPC Uthmanic Script HAFS" w:hint="eastAsia"/>
          <w:sz w:val="28"/>
          <w:szCs w:val="28"/>
          <w:rtl/>
        </w:rPr>
        <w:t>فَقَد</w:t>
      </w:r>
      <w:r w:rsidR="00C169EF" w:rsidRPr="0067048A">
        <w:rPr>
          <w:rFonts w:ascii="KFGQPC Uthmanic Script HAFS" w:cs="KFGQPC Uthmanic Script HAFS" w:hint="cs"/>
          <w:sz w:val="28"/>
          <w:szCs w:val="28"/>
          <w:rtl/>
        </w:rPr>
        <w:t>ۡ</w:t>
      </w:r>
      <w:r w:rsidR="00C169EF" w:rsidRPr="0067048A">
        <w:rPr>
          <w:rFonts w:ascii="KFGQPC Uthmanic Script HAFS" w:cs="KFGQPC Uthmanic Script HAFS"/>
          <w:sz w:val="28"/>
          <w:szCs w:val="28"/>
          <w:rtl/>
        </w:rPr>
        <w:t xml:space="preserve"> </w:t>
      </w:r>
      <w:r w:rsidR="00C169EF" w:rsidRPr="0067048A">
        <w:rPr>
          <w:rFonts w:ascii="KFGQPC Uthmanic Script HAFS" w:cs="KFGQPC Uthmanic Script HAFS" w:hint="eastAsia"/>
          <w:sz w:val="28"/>
          <w:szCs w:val="28"/>
          <w:rtl/>
        </w:rPr>
        <w:t>أَطَاعَ</w:t>
      </w:r>
      <w:r w:rsidR="00C169EF" w:rsidRPr="0067048A">
        <w:rPr>
          <w:rFonts w:ascii="KFGQPC Uthmanic Script HAFS" w:cs="KFGQPC Uthmanic Script HAFS"/>
          <w:sz w:val="28"/>
          <w:szCs w:val="28"/>
          <w:rtl/>
        </w:rPr>
        <w:t xml:space="preserve"> </w:t>
      </w:r>
      <w:r w:rsidR="00C169EF" w:rsidRPr="0067048A">
        <w:rPr>
          <w:rFonts w:ascii="KFGQPC Uthmanic Script HAFS" w:cs="KFGQPC Uthmanic Script HAFS" w:hint="cs"/>
          <w:sz w:val="28"/>
          <w:szCs w:val="28"/>
          <w:rtl/>
        </w:rPr>
        <w:t>ٱ</w:t>
      </w:r>
      <w:r w:rsidR="00C169EF" w:rsidRPr="0067048A">
        <w:rPr>
          <w:rFonts w:ascii="KFGQPC Uthmanic Script HAFS" w:cs="KFGQPC Uthmanic Script HAFS" w:hint="eastAsia"/>
          <w:sz w:val="28"/>
          <w:szCs w:val="28"/>
          <w:rtl/>
        </w:rPr>
        <w:t>للَّهَ</w:t>
      </w:r>
      <w:r w:rsidR="00C169EF" w:rsidRPr="00995B26">
        <w:rPr>
          <w:rFonts w:cs="Traditional Arabic" w:hint="cs"/>
          <w:szCs w:val="30"/>
          <w:rtl/>
          <w:lang w:bidi="ar-SY"/>
        </w:rPr>
        <w:t>﴾</w:t>
      </w:r>
      <w:r w:rsidRPr="00495BAB">
        <w:rPr>
          <w:rFonts w:hint="cs"/>
          <w:rtl/>
          <w:lang w:bidi="ar-SY"/>
        </w:rPr>
        <w:t xml:space="preserve"> </w:t>
      </w:r>
      <w:r w:rsidRPr="009E1401">
        <w:rPr>
          <w:rStyle w:val="Char2"/>
          <w:rtl/>
        </w:rPr>
        <w:t>[النساء</w:t>
      </w:r>
      <w:r w:rsidR="00C169EF" w:rsidRPr="009E1401">
        <w:rPr>
          <w:rStyle w:val="Char2"/>
          <w:rFonts w:hint="cs"/>
          <w:rtl/>
        </w:rPr>
        <w:t xml:space="preserve">: </w:t>
      </w:r>
      <w:r w:rsidRPr="009E1401">
        <w:rPr>
          <w:rStyle w:val="Char2"/>
          <w:rtl/>
        </w:rPr>
        <w:t>80]</w:t>
      </w:r>
      <w:r w:rsidRPr="00495BAB">
        <w:rPr>
          <w:rFonts w:hint="cs"/>
          <w:rtl/>
          <w:lang w:bidi="ar-SY"/>
        </w:rPr>
        <w:t>، وقوله عز من قائل:</w:t>
      </w:r>
      <w:r w:rsidR="00C169EF" w:rsidRPr="00495BAB">
        <w:rPr>
          <w:rFonts w:hint="cs"/>
          <w:rtl/>
          <w:lang w:bidi="ar-SY"/>
        </w:rPr>
        <w:t xml:space="preserve"> </w:t>
      </w:r>
      <w:r w:rsidR="00C169EF" w:rsidRPr="00995B26">
        <w:rPr>
          <w:rFonts w:cs="Traditional Arabic" w:hint="cs"/>
          <w:szCs w:val="30"/>
          <w:rtl/>
          <w:lang w:bidi="ar-SY"/>
        </w:rPr>
        <w:t>﴿</w:t>
      </w:r>
      <w:r w:rsidR="00C169EF" w:rsidRPr="0067048A">
        <w:rPr>
          <w:rFonts w:ascii="KFGQPC Uthmanic Script HAFS" w:cs="KFGQPC Uthmanic Script HAFS" w:hint="eastAsia"/>
          <w:sz w:val="28"/>
          <w:szCs w:val="28"/>
          <w:rtl/>
        </w:rPr>
        <w:t>قُل</w:t>
      </w:r>
      <w:r w:rsidR="00C169EF" w:rsidRPr="0067048A">
        <w:rPr>
          <w:rFonts w:ascii="KFGQPC Uthmanic Script HAFS" w:cs="KFGQPC Uthmanic Script HAFS" w:hint="cs"/>
          <w:sz w:val="28"/>
          <w:szCs w:val="28"/>
          <w:rtl/>
        </w:rPr>
        <w:t>ۡ</w:t>
      </w:r>
      <w:r w:rsidR="00C169EF" w:rsidRPr="0067048A">
        <w:rPr>
          <w:rFonts w:ascii="KFGQPC Uthmanic Script HAFS" w:cs="KFGQPC Uthmanic Script HAFS"/>
          <w:sz w:val="28"/>
          <w:szCs w:val="28"/>
          <w:rtl/>
        </w:rPr>
        <w:t xml:space="preserve"> </w:t>
      </w:r>
      <w:r w:rsidR="00C169EF" w:rsidRPr="0067048A">
        <w:rPr>
          <w:rFonts w:ascii="KFGQPC Uthmanic Script HAFS" w:cs="KFGQPC Uthmanic Script HAFS" w:hint="eastAsia"/>
          <w:sz w:val="28"/>
          <w:szCs w:val="28"/>
          <w:rtl/>
        </w:rPr>
        <w:t>إِن</w:t>
      </w:r>
      <w:r w:rsidR="00C169EF" w:rsidRPr="0067048A">
        <w:rPr>
          <w:rFonts w:ascii="KFGQPC Uthmanic Script HAFS" w:cs="KFGQPC Uthmanic Script HAFS"/>
          <w:sz w:val="28"/>
          <w:szCs w:val="28"/>
          <w:rtl/>
        </w:rPr>
        <w:t xml:space="preserve"> </w:t>
      </w:r>
      <w:r w:rsidR="00C169EF" w:rsidRPr="0067048A">
        <w:rPr>
          <w:rFonts w:ascii="KFGQPC Uthmanic Script HAFS" w:cs="KFGQPC Uthmanic Script HAFS" w:hint="eastAsia"/>
          <w:sz w:val="28"/>
          <w:szCs w:val="28"/>
          <w:rtl/>
        </w:rPr>
        <w:t>كُنتُم</w:t>
      </w:r>
      <w:r w:rsidR="00C169EF" w:rsidRPr="0067048A">
        <w:rPr>
          <w:rFonts w:ascii="KFGQPC Uthmanic Script HAFS" w:cs="KFGQPC Uthmanic Script HAFS" w:hint="cs"/>
          <w:sz w:val="28"/>
          <w:szCs w:val="28"/>
          <w:rtl/>
        </w:rPr>
        <w:t>ۡ</w:t>
      </w:r>
      <w:r w:rsidR="00C169EF" w:rsidRPr="0067048A">
        <w:rPr>
          <w:rFonts w:ascii="KFGQPC Uthmanic Script HAFS" w:cs="KFGQPC Uthmanic Script HAFS"/>
          <w:sz w:val="28"/>
          <w:szCs w:val="28"/>
          <w:rtl/>
        </w:rPr>
        <w:t xml:space="preserve"> </w:t>
      </w:r>
      <w:r w:rsidR="00C169EF" w:rsidRPr="0067048A">
        <w:rPr>
          <w:rFonts w:ascii="KFGQPC Uthmanic Script HAFS" w:cs="KFGQPC Uthmanic Script HAFS" w:hint="eastAsia"/>
          <w:sz w:val="28"/>
          <w:szCs w:val="28"/>
          <w:rtl/>
        </w:rPr>
        <w:t>تُحِبُّونَ</w:t>
      </w:r>
      <w:r w:rsidR="00C169EF" w:rsidRPr="0067048A">
        <w:rPr>
          <w:rFonts w:ascii="KFGQPC Uthmanic Script HAFS" w:cs="KFGQPC Uthmanic Script HAFS"/>
          <w:sz w:val="28"/>
          <w:szCs w:val="28"/>
          <w:rtl/>
        </w:rPr>
        <w:t xml:space="preserve"> </w:t>
      </w:r>
      <w:r w:rsidR="00C169EF" w:rsidRPr="0067048A">
        <w:rPr>
          <w:rFonts w:ascii="KFGQPC Uthmanic Script HAFS" w:cs="KFGQPC Uthmanic Script HAFS" w:hint="cs"/>
          <w:sz w:val="28"/>
          <w:szCs w:val="28"/>
          <w:rtl/>
        </w:rPr>
        <w:t>ٱ</w:t>
      </w:r>
      <w:r w:rsidR="00C169EF" w:rsidRPr="0067048A">
        <w:rPr>
          <w:rFonts w:ascii="KFGQPC Uthmanic Script HAFS" w:cs="KFGQPC Uthmanic Script HAFS" w:hint="eastAsia"/>
          <w:sz w:val="28"/>
          <w:szCs w:val="28"/>
          <w:rtl/>
        </w:rPr>
        <w:t>للَّهَ</w:t>
      </w:r>
      <w:r w:rsidR="00C169EF" w:rsidRPr="0067048A">
        <w:rPr>
          <w:rFonts w:ascii="KFGQPC Uthmanic Script HAFS" w:cs="KFGQPC Uthmanic Script HAFS"/>
          <w:sz w:val="28"/>
          <w:szCs w:val="28"/>
          <w:rtl/>
        </w:rPr>
        <w:t xml:space="preserve"> </w:t>
      </w:r>
      <w:r w:rsidR="00C169EF" w:rsidRPr="0067048A">
        <w:rPr>
          <w:rFonts w:ascii="KFGQPC Uthmanic Script HAFS" w:cs="KFGQPC Uthmanic Script HAFS" w:hint="eastAsia"/>
          <w:sz w:val="28"/>
          <w:szCs w:val="28"/>
          <w:rtl/>
        </w:rPr>
        <w:t>فَ</w:t>
      </w:r>
      <w:r w:rsidR="00C169EF" w:rsidRPr="0067048A">
        <w:rPr>
          <w:rFonts w:ascii="KFGQPC Uthmanic Script HAFS" w:cs="KFGQPC Uthmanic Script HAFS" w:hint="cs"/>
          <w:sz w:val="28"/>
          <w:szCs w:val="28"/>
          <w:rtl/>
        </w:rPr>
        <w:t>ٱ</w:t>
      </w:r>
      <w:r w:rsidR="00C169EF" w:rsidRPr="0067048A">
        <w:rPr>
          <w:rFonts w:ascii="KFGQPC Uthmanic Script HAFS" w:cs="KFGQPC Uthmanic Script HAFS" w:hint="eastAsia"/>
          <w:sz w:val="28"/>
          <w:szCs w:val="28"/>
          <w:rtl/>
        </w:rPr>
        <w:t>تَّبِعُونِي</w:t>
      </w:r>
      <w:r w:rsidR="00C169EF" w:rsidRPr="00995B26">
        <w:rPr>
          <w:rFonts w:cs="Traditional Arabic" w:hint="cs"/>
          <w:szCs w:val="30"/>
          <w:rtl/>
          <w:lang w:bidi="ar-SY"/>
        </w:rPr>
        <w:t>﴾</w:t>
      </w:r>
      <w:r w:rsidRPr="00495BAB">
        <w:rPr>
          <w:rFonts w:hint="cs"/>
          <w:rtl/>
          <w:lang w:bidi="ar-SY"/>
        </w:rPr>
        <w:t xml:space="preserve"> </w:t>
      </w:r>
      <w:r w:rsidRPr="009E1401">
        <w:rPr>
          <w:rStyle w:val="Char2"/>
          <w:rtl/>
        </w:rPr>
        <w:t>[آل عمران</w:t>
      </w:r>
      <w:r w:rsidR="00C169EF" w:rsidRPr="009E1401">
        <w:rPr>
          <w:rStyle w:val="Char2"/>
          <w:rFonts w:hint="cs"/>
          <w:rtl/>
        </w:rPr>
        <w:t xml:space="preserve">: </w:t>
      </w:r>
      <w:r w:rsidRPr="009E1401">
        <w:rPr>
          <w:rStyle w:val="Char2"/>
          <w:rtl/>
        </w:rPr>
        <w:t xml:space="preserve"> 31]</w:t>
      </w:r>
      <w:r w:rsidRPr="00495BAB">
        <w:rPr>
          <w:rFonts w:hint="cs"/>
          <w:rtl/>
          <w:lang w:bidi="ar-SY"/>
        </w:rPr>
        <w:t>، وقوله:</w:t>
      </w:r>
      <w:r w:rsidR="00C169EF" w:rsidRPr="00495BAB">
        <w:rPr>
          <w:rFonts w:hint="cs"/>
          <w:rtl/>
          <w:lang w:bidi="ar-SY"/>
        </w:rPr>
        <w:t xml:space="preserve"> </w:t>
      </w:r>
      <w:r w:rsidR="00C169EF" w:rsidRPr="00995B26">
        <w:rPr>
          <w:rFonts w:cs="Traditional Arabic" w:hint="cs"/>
          <w:szCs w:val="30"/>
          <w:rtl/>
          <w:lang w:bidi="ar-SY"/>
        </w:rPr>
        <w:t>﴿</w:t>
      </w:r>
      <w:r w:rsidR="00C169EF" w:rsidRPr="0067048A">
        <w:rPr>
          <w:rFonts w:ascii="KFGQPC Uthmanic Script HAFS" w:cs="KFGQPC Uthmanic Script HAFS" w:hint="cs"/>
          <w:sz w:val="28"/>
          <w:szCs w:val="28"/>
          <w:rtl/>
        </w:rPr>
        <w:t>ٱ</w:t>
      </w:r>
      <w:r w:rsidR="00C169EF" w:rsidRPr="0067048A">
        <w:rPr>
          <w:rFonts w:ascii="KFGQPC Uthmanic Script HAFS" w:cs="KFGQPC Uthmanic Script HAFS" w:hint="eastAsia"/>
          <w:sz w:val="28"/>
          <w:szCs w:val="28"/>
          <w:rtl/>
        </w:rPr>
        <w:t>لَّذِينَ</w:t>
      </w:r>
      <w:r w:rsidR="00C169EF" w:rsidRPr="0067048A">
        <w:rPr>
          <w:rFonts w:ascii="KFGQPC Uthmanic Script HAFS" w:cs="KFGQPC Uthmanic Script HAFS"/>
          <w:sz w:val="28"/>
          <w:szCs w:val="28"/>
          <w:rtl/>
        </w:rPr>
        <w:t xml:space="preserve"> </w:t>
      </w:r>
      <w:r w:rsidR="00C169EF" w:rsidRPr="0067048A">
        <w:rPr>
          <w:rFonts w:ascii="KFGQPC Uthmanic Script HAFS" w:cs="KFGQPC Uthmanic Script HAFS" w:hint="eastAsia"/>
          <w:sz w:val="28"/>
          <w:szCs w:val="28"/>
          <w:rtl/>
        </w:rPr>
        <w:t>يَتَّبِعُونَ</w:t>
      </w:r>
      <w:r w:rsidR="00C169EF" w:rsidRPr="0067048A">
        <w:rPr>
          <w:rFonts w:ascii="KFGQPC Uthmanic Script HAFS" w:cs="KFGQPC Uthmanic Script HAFS"/>
          <w:sz w:val="28"/>
          <w:szCs w:val="28"/>
          <w:rtl/>
        </w:rPr>
        <w:t xml:space="preserve"> </w:t>
      </w:r>
      <w:r w:rsidR="00C169EF" w:rsidRPr="0067048A">
        <w:rPr>
          <w:rFonts w:ascii="KFGQPC Uthmanic Script HAFS" w:cs="KFGQPC Uthmanic Script HAFS" w:hint="cs"/>
          <w:sz w:val="28"/>
          <w:szCs w:val="28"/>
          <w:rtl/>
        </w:rPr>
        <w:t>ٱ</w:t>
      </w:r>
      <w:r w:rsidR="00C169EF" w:rsidRPr="0067048A">
        <w:rPr>
          <w:rFonts w:ascii="KFGQPC Uthmanic Script HAFS" w:cs="KFGQPC Uthmanic Script HAFS" w:hint="eastAsia"/>
          <w:sz w:val="28"/>
          <w:szCs w:val="28"/>
          <w:rtl/>
        </w:rPr>
        <w:t>لرَّسُولَ</w:t>
      </w:r>
      <w:r w:rsidR="00C169EF" w:rsidRPr="0067048A">
        <w:rPr>
          <w:rFonts w:ascii="KFGQPC Uthmanic Script HAFS" w:cs="KFGQPC Uthmanic Script HAFS"/>
          <w:sz w:val="28"/>
          <w:szCs w:val="28"/>
          <w:rtl/>
        </w:rPr>
        <w:t xml:space="preserve"> </w:t>
      </w:r>
      <w:r w:rsidR="00C169EF" w:rsidRPr="0067048A">
        <w:rPr>
          <w:rFonts w:ascii="KFGQPC Uthmanic Script HAFS" w:cs="KFGQPC Uthmanic Script HAFS" w:hint="cs"/>
          <w:sz w:val="28"/>
          <w:szCs w:val="28"/>
          <w:rtl/>
        </w:rPr>
        <w:t>ٱ</w:t>
      </w:r>
      <w:r w:rsidR="00C169EF" w:rsidRPr="0067048A">
        <w:rPr>
          <w:rFonts w:ascii="KFGQPC Uthmanic Script HAFS" w:cs="KFGQPC Uthmanic Script HAFS" w:hint="eastAsia"/>
          <w:sz w:val="28"/>
          <w:szCs w:val="28"/>
          <w:rtl/>
        </w:rPr>
        <w:t>لنَّبِيَّ</w:t>
      </w:r>
      <w:r w:rsidR="00C169EF" w:rsidRPr="0067048A">
        <w:rPr>
          <w:rFonts w:ascii="KFGQPC Uthmanic Script HAFS" w:cs="KFGQPC Uthmanic Script HAFS"/>
          <w:sz w:val="28"/>
          <w:szCs w:val="28"/>
          <w:rtl/>
        </w:rPr>
        <w:t xml:space="preserve"> </w:t>
      </w:r>
      <w:r w:rsidR="00C169EF" w:rsidRPr="0067048A">
        <w:rPr>
          <w:rFonts w:ascii="KFGQPC Uthmanic Script HAFS" w:cs="KFGQPC Uthmanic Script HAFS" w:hint="cs"/>
          <w:sz w:val="28"/>
          <w:szCs w:val="28"/>
          <w:rtl/>
        </w:rPr>
        <w:t>ٱ</w:t>
      </w:r>
      <w:r w:rsidR="00C169EF" w:rsidRPr="0067048A">
        <w:rPr>
          <w:rFonts w:ascii="KFGQPC Uthmanic Script HAFS" w:cs="KFGQPC Uthmanic Script HAFS" w:hint="eastAsia"/>
          <w:sz w:val="28"/>
          <w:szCs w:val="28"/>
          <w:rtl/>
        </w:rPr>
        <w:t>ل</w:t>
      </w:r>
      <w:r w:rsidR="00C169EF" w:rsidRPr="0067048A">
        <w:rPr>
          <w:rFonts w:ascii="KFGQPC Uthmanic Script HAFS" w:cs="KFGQPC Uthmanic Script HAFS" w:hint="cs"/>
          <w:sz w:val="28"/>
          <w:szCs w:val="28"/>
          <w:rtl/>
        </w:rPr>
        <w:t>ۡ</w:t>
      </w:r>
      <w:r w:rsidR="00C169EF" w:rsidRPr="0067048A">
        <w:rPr>
          <w:rFonts w:ascii="KFGQPC Uthmanic Script HAFS" w:cs="KFGQPC Uthmanic Script HAFS" w:hint="eastAsia"/>
          <w:sz w:val="28"/>
          <w:szCs w:val="28"/>
          <w:rtl/>
        </w:rPr>
        <w:t>أُمِّيَّ</w:t>
      </w:r>
      <w:r w:rsidR="00C169EF" w:rsidRPr="00995B26">
        <w:rPr>
          <w:rFonts w:cs="Traditional Arabic" w:hint="cs"/>
          <w:szCs w:val="30"/>
          <w:rtl/>
          <w:lang w:bidi="ar-SY"/>
        </w:rPr>
        <w:t>﴾</w:t>
      </w:r>
      <w:r w:rsidRPr="00495BAB">
        <w:rPr>
          <w:rFonts w:hint="cs"/>
          <w:rtl/>
          <w:lang w:bidi="ar-SY"/>
        </w:rPr>
        <w:t xml:space="preserve"> </w:t>
      </w:r>
      <w:r w:rsidRPr="009E1401">
        <w:rPr>
          <w:rStyle w:val="Char2"/>
          <w:rtl/>
        </w:rPr>
        <w:t>[الأعراف</w:t>
      </w:r>
      <w:r w:rsidR="00C169EF" w:rsidRPr="009E1401">
        <w:rPr>
          <w:rStyle w:val="Char2"/>
          <w:rFonts w:hint="cs"/>
          <w:rtl/>
        </w:rPr>
        <w:t xml:space="preserve">: </w:t>
      </w:r>
      <w:r w:rsidRPr="009E1401">
        <w:rPr>
          <w:rStyle w:val="Char2"/>
          <w:rtl/>
        </w:rPr>
        <w:t>157]</w:t>
      </w:r>
      <w:r w:rsidRPr="00495BAB">
        <w:rPr>
          <w:rFonts w:hint="cs"/>
          <w:rtl/>
          <w:lang w:bidi="ar-SY"/>
        </w:rPr>
        <w:t xml:space="preserve">، و قوله: </w:t>
      </w:r>
      <w:r w:rsidR="00C169EF" w:rsidRPr="00995B26">
        <w:rPr>
          <w:rFonts w:cs="Traditional Arabic" w:hint="cs"/>
          <w:szCs w:val="30"/>
          <w:rtl/>
          <w:lang w:bidi="ar-SY"/>
        </w:rPr>
        <w:t>﴿</w:t>
      </w:r>
      <w:r w:rsidR="00C169EF" w:rsidRPr="0067048A">
        <w:rPr>
          <w:rFonts w:ascii="KFGQPC Uthmanic Script HAFS" w:cs="KFGQPC Uthmanic Script HAFS" w:hint="eastAsia"/>
          <w:sz w:val="28"/>
          <w:szCs w:val="28"/>
          <w:rtl/>
        </w:rPr>
        <w:t>فَ‍</w:t>
      </w:r>
      <w:r w:rsidR="00C169EF" w:rsidRPr="0067048A">
        <w:rPr>
          <w:rFonts w:ascii="KFGQPC Uthmanic Script HAFS" w:cs="KFGQPC Uthmanic Script HAFS" w:hint="cs"/>
          <w:sz w:val="28"/>
          <w:szCs w:val="28"/>
          <w:rtl/>
        </w:rPr>
        <w:t>ٔ</w:t>
      </w:r>
      <w:r w:rsidR="00C169EF" w:rsidRPr="0067048A">
        <w:rPr>
          <w:rFonts w:ascii="KFGQPC Uthmanic Script HAFS" w:cs="KFGQPC Uthmanic Script HAFS" w:hint="eastAsia"/>
          <w:sz w:val="28"/>
          <w:szCs w:val="28"/>
          <w:rtl/>
        </w:rPr>
        <w:t>َامِنُواْ</w:t>
      </w:r>
      <w:r w:rsidR="00C169EF" w:rsidRPr="0067048A">
        <w:rPr>
          <w:rFonts w:ascii="KFGQPC Uthmanic Script HAFS" w:cs="KFGQPC Uthmanic Script HAFS"/>
          <w:sz w:val="28"/>
          <w:szCs w:val="28"/>
          <w:rtl/>
        </w:rPr>
        <w:t xml:space="preserve"> </w:t>
      </w:r>
      <w:r w:rsidR="00C169EF" w:rsidRPr="0067048A">
        <w:rPr>
          <w:rFonts w:ascii="KFGQPC Uthmanic Script HAFS" w:cs="KFGQPC Uthmanic Script HAFS" w:hint="eastAsia"/>
          <w:sz w:val="28"/>
          <w:szCs w:val="28"/>
          <w:rtl/>
        </w:rPr>
        <w:t>بِ</w:t>
      </w:r>
      <w:r w:rsidR="00C169EF" w:rsidRPr="0067048A">
        <w:rPr>
          <w:rFonts w:ascii="KFGQPC Uthmanic Script HAFS" w:cs="KFGQPC Uthmanic Script HAFS" w:hint="cs"/>
          <w:sz w:val="28"/>
          <w:szCs w:val="28"/>
          <w:rtl/>
        </w:rPr>
        <w:t>ٱ</w:t>
      </w:r>
      <w:r w:rsidR="00C169EF" w:rsidRPr="0067048A">
        <w:rPr>
          <w:rFonts w:ascii="KFGQPC Uthmanic Script HAFS" w:cs="KFGQPC Uthmanic Script HAFS" w:hint="eastAsia"/>
          <w:sz w:val="28"/>
          <w:szCs w:val="28"/>
          <w:rtl/>
        </w:rPr>
        <w:t>للَّهِ</w:t>
      </w:r>
      <w:r w:rsidR="00C169EF" w:rsidRPr="0067048A">
        <w:rPr>
          <w:rFonts w:ascii="KFGQPC Uthmanic Script HAFS" w:cs="KFGQPC Uthmanic Script HAFS"/>
          <w:sz w:val="28"/>
          <w:szCs w:val="28"/>
          <w:rtl/>
        </w:rPr>
        <w:t xml:space="preserve"> </w:t>
      </w:r>
      <w:r w:rsidR="00C169EF" w:rsidRPr="0067048A">
        <w:rPr>
          <w:rFonts w:ascii="KFGQPC Uthmanic Script HAFS" w:cs="KFGQPC Uthmanic Script HAFS" w:hint="eastAsia"/>
          <w:sz w:val="28"/>
          <w:szCs w:val="28"/>
          <w:rtl/>
        </w:rPr>
        <w:t>وَرَسُولِهِ</w:t>
      </w:r>
      <w:r w:rsidR="00C169EF" w:rsidRPr="0067048A">
        <w:rPr>
          <w:rFonts w:ascii="KFGQPC Uthmanic Script HAFS" w:cs="KFGQPC Uthmanic Script HAFS"/>
          <w:sz w:val="28"/>
          <w:szCs w:val="28"/>
          <w:rtl/>
        </w:rPr>
        <w:t xml:space="preserve"> </w:t>
      </w:r>
      <w:r w:rsidR="00C169EF" w:rsidRPr="0067048A">
        <w:rPr>
          <w:rFonts w:ascii="KFGQPC Uthmanic Script HAFS" w:cs="KFGQPC Uthmanic Script HAFS" w:hint="cs"/>
          <w:sz w:val="28"/>
          <w:szCs w:val="28"/>
          <w:rtl/>
        </w:rPr>
        <w:t>ٱ</w:t>
      </w:r>
      <w:r w:rsidR="00C169EF" w:rsidRPr="0067048A">
        <w:rPr>
          <w:rFonts w:ascii="KFGQPC Uthmanic Script HAFS" w:cs="KFGQPC Uthmanic Script HAFS" w:hint="eastAsia"/>
          <w:sz w:val="28"/>
          <w:szCs w:val="28"/>
          <w:rtl/>
        </w:rPr>
        <w:t>لنَّبِيِّ</w:t>
      </w:r>
      <w:r w:rsidR="00C169EF" w:rsidRPr="0067048A">
        <w:rPr>
          <w:rFonts w:ascii="KFGQPC Uthmanic Script HAFS" w:cs="KFGQPC Uthmanic Script HAFS"/>
          <w:sz w:val="28"/>
          <w:szCs w:val="28"/>
          <w:rtl/>
        </w:rPr>
        <w:t xml:space="preserve"> </w:t>
      </w:r>
      <w:r w:rsidR="00C169EF" w:rsidRPr="0067048A">
        <w:rPr>
          <w:rFonts w:ascii="KFGQPC Uthmanic Script HAFS" w:cs="KFGQPC Uthmanic Script HAFS" w:hint="cs"/>
          <w:sz w:val="28"/>
          <w:szCs w:val="28"/>
          <w:rtl/>
        </w:rPr>
        <w:t>ٱ</w:t>
      </w:r>
      <w:r w:rsidR="00C169EF" w:rsidRPr="0067048A">
        <w:rPr>
          <w:rFonts w:ascii="KFGQPC Uthmanic Script HAFS" w:cs="KFGQPC Uthmanic Script HAFS" w:hint="eastAsia"/>
          <w:sz w:val="28"/>
          <w:szCs w:val="28"/>
          <w:rtl/>
        </w:rPr>
        <w:t>ل</w:t>
      </w:r>
      <w:r w:rsidR="00C169EF" w:rsidRPr="0067048A">
        <w:rPr>
          <w:rFonts w:ascii="KFGQPC Uthmanic Script HAFS" w:cs="KFGQPC Uthmanic Script HAFS" w:hint="cs"/>
          <w:sz w:val="28"/>
          <w:szCs w:val="28"/>
          <w:rtl/>
        </w:rPr>
        <w:t>ۡ</w:t>
      </w:r>
      <w:r w:rsidR="00C169EF" w:rsidRPr="0067048A">
        <w:rPr>
          <w:rFonts w:ascii="KFGQPC Uthmanic Script HAFS" w:cs="KFGQPC Uthmanic Script HAFS" w:hint="eastAsia"/>
          <w:sz w:val="28"/>
          <w:szCs w:val="28"/>
          <w:rtl/>
        </w:rPr>
        <w:t>أُمِّيِّ</w:t>
      </w:r>
      <w:r w:rsidR="00C169EF" w:rsidRPr="0067048A">
        <w:rPr>
          <w:rFonts w:ascii="KFGQPC Uthmanic Script HAFS" w:cs="KFGQPC Uthmanic Script HAFS"/>
          <w:sz w:val="28"/>
          <w:szCs w:val="28"/>
          <w:rtl/>
        </w:rPr>
        <w:t xml:space="preserve"> </w:t>
      </w:r>
      <w:r w:rsidR="00C169EF" w:rsidRPr="0067048A">
        <w:rPr>
          <w:rFonts w:ascii="KFGQPC Uthmanic Script HAFS" w:cs="KFGQPC Uthmanic Script HAFS" w:hint="cs"/>
          <w:sz w:val="28"/>
          <w:szCs w:val="28"/>
          <w:rtl/>
        </w:rPr>
        <w:t>ٱ</w:t>
      </w:r>
      <w:r w:rsidR="00C169EF" w:rsidRPr="0067048A">
        <w:rPr>
          <w:rFonts w:ascii="KFGQPC Uthmanic Script HAFS" w:cs="KFGQPC Uthmanic Script HAFS" w:hint="eastAsia"/>
          <w:sz w:val="28"/>
          <w:szCs w:val="28"/>
          <w:rtl/>
        </w:rPr>
        <w:t>لَّذِي</w:t>
      </w:r>
      <w:r w:rsidR="00C169EF" w:rsidRPr="0067048A">
        <w:rPr>
          <w:rFonts w:ascii="KFGQPC Uthmanic Script HAFS" w:cs="KFGQPC Uthmanic Script HAFS"/>
          <w:sz w:val="28"/>
          <w:szCs w:val="28"/>
          <w:rtl/>
        </w:rPr>
        <w:t xml:space="preserve"> </w:t>
      </w:r>
      <w:r w:rsidR="00C169EF" w:rsidRPr="0067048A">
        <w:rPr>
          <w:rFonts w:ascii="KFGQPC Uthmanic Script HAFS" w:cs="KFGQPC Uthmanic Script HAFS" w:hint="eastAsia"/>
          <w:sz w:val="28"/>
          <w:szCs w:val="28"/>
          <w:rtl/>
        </w:rPr>
        <w:t>يُؤ</w:t>
      </w:r>
      <w:r w:rsidR="00C169EF" w:rsidRPr="0067048A">
        <w:rPr>
          <w:rFonts w:ascii="KFGQPC Uthmanic Script HAFS" w:cs="KFGQPC Uthmanic Script HAFS" w:hint="cs"/>
          <w:sz w:val="28"/>
          <w:szCs w:val="28"/>
          <w:rtl/>
        </w:rPr>
        <w:t>ۡ</w:t>
      </w:r>
      <w:r w:rsidR="00C169EF" w:rsidRPr="0067048A">
        <w:rPr>
          <w:rFonts w:ascii="KFGQPC Uthmanic Script HAFS" w:cs="KFGQPC Uthmanic Script HAFS" w:hint="eastAsia"/>
          <w:sz w:val="28"/>
          <w:szCs w:val="28"/>
          <w:rtl/>
        </w:rPr>
        <w:t>مِنُ</w:t>
      </w:r>
      <w:r w:rsidR="00C169EF" w:rsidRPr="0067048A">
        <w:rPr>
          <w:rFonts w:ascii="KFGQPC Uthmanic Script HAFS" w:cs="KFGQPC Uthmanic Script HAFS"/>
          <w:sz w:val="28"/>
          <w:szCs w:val="28"/>
          <w:rtl/>
        </w:rPr>
        <w:t xml:space="preserve"> </w:t>
      </w:r>
      <w:r w:rsidR="00C169EF" w:rsidRPr="0067048A">
        <w:rPr>
          <w:rFonts w:ascii="KFGQPC Uthmanic Script HAFS" w:cs="KFGQPC Uthmanic Script HAFS" w:hint="eastAsia"/>
          <w:sz w:val="28"/>
          <w:szCs w:val="28"/>
          <w:rtl/>
        </w:rPr>
        <w:t>بِ</w:t>
      </w:r>
      <w:r w:rsidR="00C169EF" w:rsidRPr="0067048A">
        <w:rPr>
          <w:rFonts w:ascii="KFGQPC Uthmanic Script HAFS" w:cs="KFGQPC Uthmanic Script HAFS" w:hint="cs"/>
          <w:sz w:val="28"/>
          <w:szCs w:val="28"/>
          <w:rtl/>
        </w:rPr>
        <w:t>ٱ</w:t>
      </w:r>
      <w:r w:rsidR="00C169EF" w:rsidRPr="0067048A">
        <w:rPr>
          <w:rFonts w:ascii="KFGQPC Uthmanic Script HAFS" w:cs="KFGQPC Uthmanic Script HAFS" w:hint="eastAsia"/>
          <w:sz w:val="28"/>
          <w:szCs w:val="28"/>
          <w:rtl/>
        </w:rPr>
        <w:t>للَّهِ</w:t>
      </w:r>
      <w:r w:rsidR="00C169EF" w:rsidRPr="0067048A">
        <w:rPr>
          <w:rFonts w:ascii="KFGQPC Uthmanic Script HAFS" w:cs="KFGQPC Uthmanic Script HAFS"/>
          <w:sz w:val="28"/>
          <w:szCs w:val="28"/>
          <w:rtl/>
        </w:rPr>
        <w:t xml:space="preserve"> </w:t>
      </w:r>
      <w:r w:rsidR="00C169EF" w:rsidRPr="0067048A">
        <w:rPr>
          <w:rFonts w:ascii="KFGQPC Uthmanic Script HAFS" w:cs="KFGQPC Uthmanic Script HAFS" w:hint="eastAsia"/>
          <w:sz w:val="28"/>
          <w:szCs w:val="28"/>
          <w:rtl/>
        </w:rPr>
        <w:t>وَكَلِمَ</w:t>
      </w:r>
      <w:r w:rsidR="00C169EF" w:rsidRPr="0067048A">
        <w:rPr>
          <w:rFonts w:ascii="KFGQPC Uthmanic Script HAFS" w:cs="KFGQPC Uthmanic Script HAFS" w:hint="cs"/>
          <w:sz w:val="28"/>
          <w:szCs w:val="28"/>
          <w:rtl/>
        </w:rPr>
        <w:t>ٰ</w:t>
      </w:r>
      <w:r w:rsidR="00C169EF" w:rsidRPr="0067048A">
        <w:rPr>
          <w:rFonts w:ascii="KFGQPC Uthmanic Script HAFS" w:cs="KFGQPC Uthmanic Script HAFS" w:hint="eastAsia"/>
          <w:sz w:val="28"/>
          <w:szCs w:val="28"/>
          <w:rtl/>
        </w:rPr>
        <w:t>تِهِ</w:t>
      </w:r>
      <w:r w:rsidR="00C169EF" w:rsidRPr="0067048A">
        <w:rPr>
          <w:rFonts w:ascii="KFGQPC Uthmanic Script HAFS" w:cs="KFGQPC Uthmanic Script HAFS" w:hint="cs"/>
          <w:sz w:val="28"/>
          <w:szCs w:val="28"/>
          <w:rtl/>
        </w:rPr>
        <w:t>ۦ</w:t>
      </w:r>
      <w:r w:rsidR="00C169EF" w:rsidRPr="0067048A">
        <w:rPr>
          <w:rFonts w:ascii="KFGQPC Uthmanic Script HAFS" w:cs="KFGQPC Uthmanic Script HAFS"/>
          <w:sz w:val="28"/>
          <w:szCs w:val="28"/>
          <w:rtl/>
        </w:rPr>
        <w:t xml:space="preserve"> </w:t>
      </w:r>
      <w:r w:rsidR="00C169EF" w:rsidRPr="0067048A">
        <w:rPr>
          <w:rFonts w:ascii="KFGQPC Uthmanic Script HAFS" w:cs="KFGQPC Uthmanic Script HAFS" w:hint="eastAsia"/>
          <w:sz w:val="28"/>
          <w:szCs w:val="28"/>
          <w:rtl/>
        </w:rPr>
        <w:t>وَ</w:t>
      </w:r>
      <w:r w:rsidR="00C169EF" w:rsidRPr="0067048A">
        <w:rPr>
          <w:rFonts w:ascii="KFGQPC Uthmanic Script HAFS" w:cs="KFGQPC Uthmanic Script HAFS" w:hint="cs"/>
          <w:sz w:val="28"/>
          <w:szCs w:val="28"/>
          <w:rtl/>
        </w:rPr>
        <w:t>ٱ</w:t>
      </w:r>
      <w:r w:rsidR="00C169EF" w:rsidRPr="0067048A">
        <w:rPr>
          <w:rFonts w:ascii="KFGQPC Uthmanic Script HAFS" w:cs="KFGQPC Uthmanic Script HAFS" w:hint="eastAsia"/>
          <w:sz w:val="28"/>
          <w:szCs w:val="28"/>
          <w:rtl/>
        </w:rPr>
        <w:t>تَّبِعُوهُ</w:t>
      </w:r>
      <w:r w:rsidR="00C169EF" w:rsidRPr="0067048A">
        <w:rPr>
          <w:rFonts w:ascii="KFGQPC Uthmanic Script HAFS" w:cs="KFGQPC Uthmanic Script HAFS"/>
          <w:sz w:val="28"/>
          <w:szCs w:val="28"/>
          <w:rtl/>
        </w:rPr>
        <w:t xml:space="preserve"> </w:t>
      </w:r>
      <w:r w:rsidR="00C169EF" w:rsidRPr="0067048A">
        <w:rPr>
          <w:rFonts w:ascii="KFGQPC Uthmanic Script HAFS" w:cs="KFGQPC Uthmanic Script HAFS" w:hint="eastAsia"/>
          <w:sz w:val="28"/>
          <w:szCs w:val="28"/>
          <w:rtl/>
        </w:rPr>
        <w:t>لَعَلَّكُم</w:t>
      </w:r>
      <w:r w:rsidR="00C169EF" w:rsidRPr="0067048A">
        <w:rPr>
          <w:rFonts w:ascii="KFGQPC Uthmanic Script HAFS" w:cs="KFGQPC Uthmanic Script HAFS" w:hint="cs"/>
          <w:sz w:val="28"/>
          <w:szCs w:val="28"/>
          <w:rtl/>
        </w:rPr>
        <w:t>ۡ</w:t>
      </w:r>
      <w:r w:rsidR="00C169EF" w:rsidRPr="0067048A">
        <w:rPr>
          <w:rFonts w:ascii="KFGQPC Uthmanic Script HAFS" w:cs="KFGQPC Uthmanic Script HAFS"/>
          <w:sz w:val="28"/>
          <w:szCs w:val="28"/>
          <w:rtl/>
        </w:rPr>
        <w:t xml:space="preserve"> </w:t>
      </w:r>
      <w:r w:rsidR="00C169EF" w:rsidRPr="0067048A">
        <w:rPr>
          <w:rFonts w:ascii="KFGQPC Uthmanic Script HAFS" w:cs="KFGQPC Uthmanic Script HAFS" w:hint="eastAsia"/>
          <w:sz w:val="28"/>
          <w:szCs w:val="28"/>
          <w:rtl/>
        </w:rPr>
        <w:t>تَه</w:t>
      </w:r>
      <w:r w:rsidR="00C169EF" w:rsidRPr="0067048A">
        <w:rPr>
          <w:rFonts w:ascii="KFGQPC Uthmanic Script HAFS" w:cs="KFGQPC Uthmanic Script HAFS" w:hint="cs"/>
          <w:sz w:val="28"/>
          <w:szCs w:val="28"/>
          <w:rtl/>
        </w:rPr>
        <w:t>ۡ</w:t>
      </w:r>
      <w:r w:rsidR="00C169EF" w:rsidRPr="0067048A">
        <w:rPr>
          <w:rFonts w:ascii="KFGQPC Uthmanic Script HAFS" w:cs="KFGQPC Uthmanic Script HAFS" w:hint="eastAsia"/>
          <w:sz w:val="28"/>
          <w:szCs w:val="28"/>
          <w:rtl/>
        </w:rPr>
        <w:t>تَدُونَ</w:t>
      </w:r>
      <w:r w:rsidR="00C169EF" w:rsidRPr="00995B26">
        <w:rPr>
          <w:rFonts w:cs="Traditional Arabic" w:hint="cs"/>
          <w:szCs w:val="30"/>
          <w:rtl/>
          <w:lang w:bidi="ar-SY"/>
        </w:rPr>
        <w:t>﴾</w:t>
      </w:r>
      <w:r w:rsidRPr="00495BAB">
        <w:rPr>
          <w:rtl/>
          <w:lang w:bidi="ar-SY"/>
        </w:rPr>
        <w:t xml:space="preserve"> </w:t>
      </w:r>
      <w:r w:rsidRPr="009E1401">
        <w:rPr>
          <w:rStyle w:val="Char2"/>
          <w:rtl/>
        </w:rPr>
        <w:t>[الأعراف</w:t>
      </w:r>
      <w:r w:rsidR="00C169EF" w:rsidRPr="009E1401">
        <w:rPr>
          <w:rStyle w:val="Char2"/>
          <w:rFonts w:hint="cs"/>
          <w:rtl/>
        </w:rPr>
        <w:t xml:space="preserve">: </w:t>
      </w:r>
      <w:r w:rsidRPr="009E1401">
        <w:rPr>
          <w:rStyle w:val="Char2"/>
          <w:rtl/>
        </w:rPr>
        <w:t>158]</w:t>
      </w:r>
      <w:r w:rsidRPr="00495BAB">
        <w:rPr>
          <w:rFonts w:hint="cs"/>
          <w:rtl/>
          <w:lang w:bidi="ar-SY"/>
        </w:rPr>
        <w:t>، فهذه الآيات نزلت على نحو الإطلاق في هذا ال</w:t>
      </w:r>
      <w:r w:rsidR="00C169EF" w:rsidRPr="00495BAB">
        <w:rPr>
          <w:rFonts w:hint="cs"/>
          <w:rtl/>
          <w:lang w:bidi="ar-SY"/>
        </w:rPr>
        <w:t>ـ</w:t>
      </w:r>
      <w:r w:rsidRPr="00495BAB">
        <w:rPr>
          <w:rFonts w:hint="cs"/>
          <w:rtl/>
          <w:lang w:bidi="ar-SY"/>
        </w:rPr>
        <w:t>موضوع، ولا تختص بأي مورد خاصٍّ. وكذلك فيما يتعلّق بتكليف كل نفس حسب وسعها، فهو أمر يحكم به عقلُ كل إنسان بالضرورة، إضافةً إلى آيات عديدة نصَّت على ذلك مثل: الأنعام/152، والأعراف/42، والمؤمنون/62، والطلاق/7، ومثل آيات العسر والحرج، وعشرات الآيات السابقة واللاحقة لتلك الآيات، وكلها نزلت على نحو الإطلاق والعموم.</w:t>
      </w:r>
    </w:p>
    <w:p w:rsidR="00CD31AA" w:rsidRPr="00995B26" w:rsidRDefault="00CD31AA" w:rsidP="00495BAB">
      <w:pPr>
        <w:pStyle w:val="a0"/>
        <w:rPr>
          <w:rFonts w:hint="cs"/>
          <w:rtl/>
          <w:lang w:bidi="ar-SY"/>
        </w:rPr>
      </w:pPr>
      <w:r w:rsidRPr="00495BAB">
        <w:rPr>
          <w:rFonts w:hint="cs"/>
          <w:rtl/>
          <w:lang w:bidi="ar-SY"/>
        </w:rPr>
        <w:t xml:space="preserve">إنها هؤلاء السادة اعتبروا أن الجملتين المذكورتين </w:t>
      </w:r>
      <w:r w:rsidR="00C169EF" w:rsidRPr="00995B26">
        <w:rPr>
          <w:rFonts w:cs="Times New Roman" w:hint="cs"/>
          <w:szCs w:val="30"/>
          <w:rtl/>
          <w:lang w:bidi="ar-SY"/>
        </w:rPr>
        <w:t>–</w:t>
      </w:r>
      <w:r w:rsidRPr="00495BAB">
        <w:rPr>
          <w:rFonts w:hint="cs"/>
          <w:rtl/>
          <w:lang w:bidi="ar-SY"/>
        </w:rPr>
        <w:t xml:space="preserve"> أي</w:t>
      </w:r>
      <w:r w:rsidR="00C169EF" w:rsidRPr="00495BAB">
        <w:rPr>
          <w:rFonts w:hint="cs"/>
          <w:rtl/>
          <w:lang w:bidi="ar-SY"/>
        </w:rPr>
        <w:t xml:space="preserve"> </w:t>
      </w:r>
      <w:r w:rsidR="00C169EF" w:rsidRPr="00995B26">
        <w:rPr>
          <w:rFonts w:cs="Traditional Arabic" w:hint="cs"/>
          <w:szCs w:val="30"/>
          <w:rtl/>
          <w:lang w:bidi="ar-SY"/>
        </w:rPr>
        <w:t>﴿</w:t>
      </w:r>
      <w:r w:rsidR="00C169EF" w:rsidRPr="0067048A">
        <w:rPr>
          <w:rFonts w:ascii="KFGQPC Uthmanic Script HAFS" w:cs="KFGQPC Uthmanic Script HAFS" w:hint="eastAsia"/>
          <w:sz w:val="28"/>
          <w:szCs w:val="28"/>
          <w:rtl/>
        </w:rPr>
        <w:t>وَمَا</w:t>
      </w:r>
      <w:r w:rsidR="00C169EF" w:rsidRPr="0067048A">
        <w:rPr>
          <w:rFonts w:ascii="KFGQPC Uthmanic Script HAFS" w:cs="KFGQPC Uthmanic Script HAFS" w:hint="cs"/>
          <w:sz w:val="28"/>
          <w:szCs w:val="28"/>
          <w:rtl/>
        </w:rPr>
        <w:t>ٓ</w:t>
      </w:r>
      <w:r w:rsidR="00C169EF" w:rsidRPr="0067048A">
        <w:rPr>
          <w:rFonts w:ascii="KFGQPC Uthmanic Script HAFS" w:cs="KFGQPC Uthmanic Script HAFS"/>
          <w:sz w:val="28"/>
          <w:szCs w:val="28"/>
          <w:rtl/>
        </w:rPr>
        <w:t xml:space="preserve"> </w:t>
      </w:r>
      <w:r w:rsidR="00C169EF" w:rsidRPr="0067048A">
        <w:rPr>
          <w:rFonts w:ascii="KFGQPC Uthmanic Script HAFS" w:cs="KFGQPC Uthmanic Script HAFS" w:hint="eastAsia"/>
          <w:sz w:val="28"/>
          <w:szCs w:val="28"/>
          <w:rtl/>
        </w:rPr>
        <w:t>ءَاتَى</w:t>
      </w:r>
      <w:r w:rsidR="00C169EF" w:rsidRPr="0067048A">
        <w:rPr>
          <w:rFonts w:ascii="KFGQPC Uthmanic Script HAFS" w:cs="KFGQPC Uthmanic Script HAFS" w:hint="cs"/>
          <w:sz w:val="28"/>
          <w:szCs w:val="28"/>
          <w:rtl/>
        </w:rPr>
        <w:t>ٰ</w:t>
      </w:r>
      <w:r w:rsidR="00C169EF" w:rsidRPr="0067048A">
        <w:rPr>
          <w:rFonts w:ascii="KFGQPC Uthmanic Script HAFS" w:cs="KFGQPC Uthmanic Script HAFS" w:hint="eastAsia"/>
          <w:sz w:val="28"/>
          <w:szCs w:val="28"/>
          <w:rtl/>
        </w:rPr>
        <w:t>كُمُ</w:t>
      </w:r>
      <w:r w:rsidR="00C169EF" w:rsidRPr="0067048A">
        <w:rPr>
          <w:rFonts w:ascii="KFGQPC Uthmanic Script HAFS" w:cs="KFGQPC Uthmanic Script HAFS"/>
          <w:sz w:val="28"/>
          <w:szCs w:val="28"/>
          <w:rtl/>
        </w:rPr>
        <w:t xml:space="preserve"> </w:t>
      </w:r>
      <w:r w:rsidR="00C169EF" w:rsidRPr="0067048A">
        <w:rPr>
          <w:rFonts w:ascii="KFGQPC Uthmanic Script HAFS" w:cs="KFGQPC Uthmanic Script HAFS" w:hint="cs"/>
          <w:sz w:val="28"/>
          <w:szCs w:val="28"/>
          <w:rtl/>
        </w:rPr>
        <w:t>ٱ</w:t>
      </w:r>
      <w:r w:rsidR="00C169EF" w:rsidRPr="0067048A">
        <w:rPr>
          <w:rFonts w:ascii="KFGQPC Uthmanic Script HAFS" w:cs="KFGQPC Uthmanic Script HAFS" w:hint="eastAsia"/>
          <w:sz w:val="28"/>
          <w:szCs w:val="28"/>
          <w:rtl/>
        </w:rPr>
        <w:t>لرَّسُولُ</w:t>
      </w:r>
      <w:r w:rsidR="00C169EF" w:rsidRPr="0067048A">
        <w:rPr>
          <w:rFonts w:ascii="KFGQPC Uthmanic Script HAFS" w:cs="KFGQPC Uthmanic Script HAFS"/>
          <w:sz w:val="28"/>
          <w:szCs w:val="28"/>
          <w:rtl/>
        </w:rPr>
        <w:t xml:space="preserve"> </w:t>
      </w:r>
      <w:r w:rsidR="00C169EF" w:rsidRPr="0067048A">
        <w:rPr>
          <w:rFonts w:ascii="KFGQPC Uthmanic Script HAFS" w:cs="KFGQPC Uthmanic Script HAFS" w:hint="eastAsia"/>
          <w:sz w:val="28"/>
          <w:szCs w:val="28"/>
          <w:rtl/>
        </w:rPr>
        <w:t>فَخُذُوهُ</w:t>
      </w:r>
      <w:r w:rsidR="00C169EF" w:rsidRPr="00995B26">
        <w:rPr>
          <w:rFonts w:cs="Traditional Arabic" w:hint="cs"/>
          <w:szCs w:val="30"/>
          <w:rtl/>
          <w:lang w:bidi="ar-SY"/>
        </w:rPr>
        <w:t>﴾</w:t>
      </w:r>
      <w:r w:rsidRPr="00495BAB">
        <w:rPr>
          <w:rFonts w:hint="cs"/>
          <w:rtl/>
          <w:lang w:bidi="ar-SY"/>
        </w:rPr>
        <w:t xml:space="preserve"> و</w:t>
      </w:r>
      <w:r w:rsidR="00C169EF" w:rsidRPr="00495BAB">
        <w:rPr>
          <w:rFonts w:hint="cs"/>
          <w:rtl/>
          <w:lang w:bidi="ar-SY"/>
        </w:rPr>
        <w:t xml:space="preserve"> </w:t>
      </w:r>
      <w:r w:rsidR="00C169EF" w:rsidRPr="00995B26">
        <w:rPr>
          <w:rFonts w:cs="Traditional Arabic" w:hint="cs"/>
          <w:szCs w:val="30"/>
          <w:rtl/>
          <w:lang w:bidi="ar-SY"/>
        </w:rPr>
        <w:t>﴿</w:t>
      </w:r>
      <w:r w:rsidR="00C169EF" w:rsidRPr="0067048A">
        <w:rPr>
          <w:rFonts w:ascii="KFGQPC Uthmanic Script HAFS" w:cs="KFGQPC Uthmanic Script HAFS" w:hint="eastAsia"/>
          <w:sz w:val="28"/>
          <w:szCs w:val="28"/>
          <w:rtl/>
        </w:rPr>
        <w:t>لَا</w:t>
      </w:r>
      <w:r w:rsidR="00C169EF" w:rsidRPr="0067048A">
        <w:rPr>
          <w:rFonts w:ascii="KFGQPC Uthmanic Script HAFS" w:cs="KFGQPC Uthmanic Script HAFS"/>
          <w:sz w:val="28"/>
          <w:szCs w:val="28"/>
          <w:rtl/>
        </w:rPr>
        <w:t xml:space="preserve"> </w:t>
      </w:r>
      <w:r w:rsidR="00C169EF" w:rsidRPr="0067048A">
        <w:rPr>
          <w:rFonts w:ascii="KFGQPC Uthmanic Script HAFS" w:cs="KFGQPC Uthmanic Script HAFS" w:hint="eastAsia"/>
          <w:sz w:val="28"/>
          <w:szCs w:val="28"/>
          <w:rtl/>
        </w:rPr>
        <w:t>تُكَلَّفُ</w:t>
      </w:r>
      <w:r w:rsidR="00C169EF" w:rsidRPr="0067048A">
        <w:rPr>
          <w:rFonts w:ascii="KFGQPC Uthmanic Script HAFS" w:cs="KFGQPC Uthmanic Script HAFS"/>
          <w:sz w:val="28"/>
          <w:szCs w:val="28"/>
          <w:rtl/>
        </w:rPr>
        <w:t xml:space="preserve"> </w:t>
      </w:r>
      <w:r w:rsidR="00C169EF" w:rsidRPr="0067048A">
        <w:rPr>
          <w:rFonts w:ascii="KFGQPC Uthmanic Script HAFS" w:cs="KFGQPC Uthmanic Script HAFS" w:hint="eastAsia"/>
          <w:sz w:val="28"/>
          <w:szCs w:val="28"/>
          <w:rtl/>
        </w:rPr>
        <w:t>نَف</w:t>
      </w:r>
      <w:r w:rsidR="00C169EF" w:rsidRPr="0067048A">
        <w:rPr>
          <w:rFonts w:ascii="KFGQPC Uthmanic Script HAFS" w:cs="KFGQPC Uthmanic Script HAFS" w:hint="cs"/>
          <w:sz w:val="28"/>
          <w:szCs w:val="28"/>
          <w:rtl/>
        </w:rPr>
        <w:t>ۡ</w:t>
      </w:r>
      <w:r w:rsidR="00C169EF" w:rsidRPr="0067048A">
        <w:rPr>
          <w:rFonts w:ascii="KFGQPC Uthmanic Script HAFS" w:cs="KFGQPC Uthmanic Script HAFS" w:hint="eastAsia"/>
          <w:sz w:val="28"/>
          <w:szCs w:val="28"/>
          <w:rtl/>
        </w:rPr>
        <w:t>سٌ</w:t>
      </w:r>
      <w:r w:rsidR="00C169EF" w:rsidRPr="0067048A">
        <w:rPr>
          <w:rFonts w:ascii="KFGQPC Uthmanic Script HAFS" w:cs="KFGQPC Uthmanic Script HAFS"/>
          <w:sz w:val="28"/>
          <w:szCs w:val="28"/>
          <w:rtl/>
        </w:rPr>
        <w:t xml:space="preserve"> </w:t>
      </w:r>
      <w:r w:rsidR="00C169EF" w:rsidRPr="0067048A">
        <w:rPr>
          <w:rFonts w:ascii="KFGQPC Uthmanic Script HAFS" w:cs="KFGQPC Uthmanic Script HAFS" w:hint="eastAsia"/>
          <w:sz w:val="28"/>
          <w:szCs w:val="28"/>
          <w:rtl/>
        </w:rPr>
        <w:t>إِلَّا</w:t>
      </w:r>
      <w:r w:rsidR="00C169EF" w:rsidRPr="0067048A">
        <w:rPr>
          <w:rFonts w:ascii="KFGQPC Uthmanic Script HAFS" w:cs="KFGQPC Uthmanic Script HAFS"/>
          <w:sz w:val="28"/>
          <w:szCs w:val="28"/>
          <w:rtl/>
        </w:rPr>
        <w:t xml:space="preserve"> </w:t>
      </w:r>
      <w:r w:rsidR="00C169EF" w:rsidRPr="0067048A">
        <w:rPr>
          <w:rFonts w:ascii="KFGQPC Uthmanic Script HAFS" w:cs="KFGQPC Uthmanic Script HAFS" w:hint="eastAsia"/>
          <w:sz w:val="28"/>
          <w:szCs w:val="28"/>
          <w:rtl/>
        </w:rPr>
        <w:t>وُس</w:t>
      </w:r>
      <w:r w:rsidR="00C169EF" w:rsidRPr="0067048A">
        <w:rPr>
          <w:rFonts w:ascii="KFGQPC Uthmanic Script HAFS" w:cs="KFGQPC Uthmanic Script HAFS" w:hint="cs"/>
          <w:sz w:val="28"/>
          <w:szCs w:val="28"/>
          <w:rtl/>
        </w:rPr>
        <w:t>ۡ</w:t>
      </w:r>
      <w:r w:rsidR="00C169EF" w:rsidRPr="0067048A">
        <w:rPr>
          <w:rFonts w:ascii="KFGQPC Uthmanic Script HAFS" w:cs="KFGQPC Uthmanic Script HAFS" w:hint="eastAsia"/>
          <w:sz w:val="28"/>
          <w:szCs w:val="28"/>
          <w:rtl/>
        </w:rPr>
        <w:t>عَهَا</w:t>
      </w:r>
      <w:r w:rsidR="00C169EF" w:rsidRPr="00995B26">
        <w:rPr>
          <w:rFonts w:cs="Traditional Arabic" w:hint="cs"/>
          <w:szCs w:val="30"/>
          <w:rtl/>
          <w:lang w:bidi="ar-SY"/>
        </w:rPr>
        <w:t>﴾</w:t>
      </w:r>
      <w:r w:rsidRPr="00495BAB">
        <w:rPr>
          <w:rFonts w:hint="cs"/>
          <w:rtl/>
          <w:lang w:bidi="ar-SY"/>
        </w:rPr>
        <w:t>- جاءتا في مورد خاصٍّ، ولمَّا كان المسلمون متَّفقون على أن حكمها عامّ، فآية الغنيمة أيضًا وإن وردت في معنى خاص إلا أنها عامَّة تشمل كل شيء!! إن هذا التشبيه يماثل قولهم إن شرب هذا الدواء السائل لا إشكال فيه، والدليل على ذلك أن شرب الماء - السائل - لا إشكال فيه!! فكما أنه ليس لجواز شرب الماء أي مورد خاصٍّ، فكذلك شرب ذلك الدواء عامٌّ غير مقيد، بل يشمل أيضًا شرب السم كذلك!! كلنا يعلم أن في قاعدة التشبيه لا بد أن يكون المُشَبَّه به أقوى في صفة التشابه من المُشَبَّه، فكلما أرادوا أن يثبتوا لنا أمرا عسيرًا إلى حدِّ ما، شبهوه بأمر أكثر عسرًا يقبله عامة الناس، لكن هؤلاء السادة الفضلاء وأهل المنطق، لأجل أن يبرروا أخذهم الخمس من جميع أموال الشيعة المساكين الجاهلين بحقيقة الأمر، شبهوا موضوع الغنيمة الحربية بموضوع عدم تكليف الإنسان بما يخرج عن وُسعه ويفوق طاقته، مما هو أمر بديهي يدركه عقل كل إنسان، أو شبهوه بطاعة الرسول مما يؤمن به بالبداهة كل عاقل متديِّن. نعم! هذا هو منطق فضلاء هذا العصر!!</w:t>
      </w:r>
    </w:p>
    <w:p w:rsidR="00CD31AA" w:rsidRPr="00995B26" w:rsidRDefault="00CD31AA" w:rsidP="00495BAB">
      <w:pPr>
        <w:pStyle w:val="a0"/>
        <w:rPr>
          <w:rFonts w:hint="cs"/>
          <w:rtl/>
          <w:lang w:bidi="ar-SY"/>
        </w:rPr>
      </w:pPr>
      <w:r w:rsidRPr="00495BAB">
        <w:rPr>
          <w:rFonts w:hint="cs"/>
          <w:rtl/>
          <w:lang w:bidi="ar-SY"/>
        </w:rPr>
        <w:t>إذن، يمكن تلخيص منطق هؤلاء السادة على النحو الآتي: آية الغنيمة تتعلق بالغنيمة التي ينالها المسلمون جراء حربهم للكفار، وهذه الآية وإن كان موردها معركة بدر، لكن هذا المورد لا يخصص معنى الآية، ولا يحصر حكمها بغنائم معركة بدر، بل يشمل حكمُها غنائم كل معركة تقع بين المسلمين والكفار، كما أن آية</w:t>
      </w:r>
      <w:r w:rsidR="00C169EF" w:rsidRPr="00495BAB">
        <w:rPr>
          <w:rFonts w:hint="cs"/>
          <w:rtl/>
          <w:lang w:bidi="ar-SY"/>
        </w:rPr>
        <w:t xml:space="preserve">: </w:t>
      </w:r>
      <w:r w:rsidR="00C169EF" w:rsidRPr="00995B26">
        <w:rPr>
          <w:rFonts w:cs="Traditional Arabic" w:hint="cs"/>
          <w:szCs w:val="30"/>
          <w:rtl/>
          <w:lang w:bidi="ar-SY"/>
        </w:rPr>
        <w:t>﴿</w:t>
      </w:r>
      <w:r w:rsidR="00C169EF" w:rsidRPr="0067048A">
        <w:rPr>
          <w:rFonts w:ascii="KFGQPC Uthmanic Script HAFS" w:cs="KFGQPC Uthmanic Script HAFS" w:hint="eastAsia"/>
          <w:sz w:val="28"/>
          <w:szCs w:val="28"/>
          <w:rtl/>
        </w:rPr>
        <w:t>وَمَا</w:t>
      </w:r>
      <w:r w:rsidR="00C169EF" w:rsidRPr="0067048A">
        <w:rPr>
          <w:rFonts w:ascii="KFGQPC Uthmanic Script HAFS" w:cs="KFGQPC Uthmanic Script HAFS" w:hint="cs"/>
          <w:sz w:val="28"/>
          <w:szCs w:val="28"/>
          <w:rtl/>
        </w:rPr>
        <w:t>ٓ</w:t>
      </w:r>
      <w:r w:rsidR="00C169EF" w:rsidRPr="0067048A">
        <w:rPr>
          <w:rFonts w:ascii="KFGQPC Uthmanic Script HAFS" w:cs="KFGQPC Uthmanic Script HAFS"/>
          <w:sz w:val="28"/>
          <w:szCs w:val="28"/>
          <w:rtl/>
        </w:rPr>
        <w:t xml:space="preserve"> </w:t>
      </w:r>
      <w:r w:rsidR="00C169EF" w:rsidRPr="0067048A">
        <w:rPr>
          <w:rFonts w:ascii="KFGQPC Uthmanic Script HAFS" w:cs="KFGQPC Uthmanic Script HAFS" w:hint="eastAsia"/>
          <w:sz w:val="28"/>
          <w:szCs w:val="28"/>
          <w:rtl/>
        </w:rPr>
        <w:t>ءَاتَى</w:t>
      </w:r>
      <w:r w:rsidR="00C169EF" w:rsidRPr="0067048A">
        <w:rPr>
          <w:rFonts w:ascii="KFGQPC Uthmanic Script HAFS" w:cs="KFGQPC Uthmanic Script HAFS" w:hint="cs"/>
          <w:sz w:val="28"/>
          <w:szCs w:val="28"/>
          <w:rtl/>
        </w:rPr>
        <w:t>ٰ</w:t>
      </w:r>
      <w:r w:rsidR="00C169EF" w:rsidRPr="0067048A">
        <w:rPr>
          <w:rFonts w:ascii="KFGQPC Uthmanic Script HAFS" w:cs="KFGQPC Uthmanic Script HAFS" w:hint="eastAsia"/>
          <w:sz w:val="28"/>
          <w:szCs w:val="28"/>
          <w:rtl/>
        </w:rPr>
        <w:t>كُمُ</w:t>
      </w:r>
      <w:r w:rsidR="00C169EF" w:rsidRPr="0067048A">
        <w:rPr>
          <w:rFonts w:ascii="KFGQPC Uthmanic Script HAFS" w:cs="KFGQPC Uthmanic Script HAFS"/>
          <w:sz w:val="28"/>
          <w:szCs w:val="28"/>
          <w:rtl/>
        </w:rPr>
        <w:t xml:space="preserve"> </w:t>
      </w:r>
      <w:r w:rsidR="00C169EF" w:rsidRPr="0067048A">
        <w:rPr>
          <w:rFonts w:ascii="KFGQPC Uthmanic Script HAFS" w:cs="KFGQPC Uthmanic Script HAFS" w:hint="cs"/>
          <w:sz w:val="28"/>
          <w:szCs w:val="28"/>
          <w:rtl/>
        </w:rPr>
        <w:t>ٱ</w:t>
      </w:r>
      <w:r w:rsidR="00C169EF" w:rsidRPr="0067048A">
        <w:rPr>
          <w:rFonts w:ascii="KFGQPC Uthmanic Script HAFS" w:cs="KFGQPC Uthmanic Script HAFS" w:hint="eastAsia"/>
          <w:sz w:val="28"/>
          <w:szCs w:val="28"/>
          <w:rtl/>
        </w:rPr>
        <w:t>لرَّسُولُ</w:t>
      </w:r>
      <w:r w:rsidR="00C169EF" w:rsidRPr="0067048A">
        <w:rPr>
          <w:rFonts w:ascii="KFGQPC Uthmanic Script HAFS" w:cs="KFGQPC Uthmanic Script HAFS"/>
          <w:sz w:val="28"/>
          <w:szCs w:val="28"/>
          <w:rtl/>
        </w:rPr>
        <w:t xml:space="preserve"> </w:t>
      </w:r>
      <w:r w:rsidR="00C169EF" w:rsidRPr="0067048A">
        <w:rPr>
          <w:rFonts w:ascii="KFGQPC Uthmanic Script HAFS" w:cs="KFGQPC Uthmanic Script HAFS" w:hint="eastAsia"/>
          <w:sz w:val="28"/>
          <w:szCs w:val="28"/>
          <w:rtl/>
        </w:rPr>
        <w:t>فَخُذُوهُ</w:t>
      </w:r>
      <w:r w:rsidR="00C169EF" w:rsidRPr="00995B26">
        <w:rPr>
          <w:rFonts w:cs="Traditional Arabic" w:hint="cs"/>
          <w:szCs w:val="30"/>
          <w:rtl/>
          <w:lang w:bidi="ar-SY"/>
        </w:rPr>
        <w:t>﴾</w:t>
      </w:r>
      <w:r w:rsidRPr="00495BAB">
        <w:rPr>
          <w:rFonts w:hint="cs"/>
          <w:rtl/>
          <w:lang w:bidi="ar-SY"/>
        </w:rPr>
        <w:t xml:space="preserve"> </w:t>
      </w:r>
      <w:r w:rsidRPr="009E1401">
        <w:rPr>
          <w:rStyle w:val="Char2"/>
          <w:rtl/>
        </w:rPr>
        <w:t>[الحشر</w:t>
      </w:r>
      <w:r w:rsidR="00C169EF" w:rsidRPr="009E1401">
        <w:rPr>
          <w:rStyle w:val="Char2"/>
          <w:rFonts w:hint="cs"/>
          <w:rtl/>
        </w:rPr>
        <w:t xml:space="preserve">: </w:t>
      </w:r>
      <w:r w:rsidRPr="009E1401">
        <w:rPr>
          <w:rStyle w:val="Char2"/>
          <w:rtl/>
        </w:rPr>
        <w:t>7]</w:t>
      </w:r>
      <w:r w:rsidRPr="00495BAB">
        <w:rPr>
          <w:rFonts w:hint="cs"/>
          <w:rtl/>
          <w:lang w:bidi="ar-SY"/>
        </w:rPr>
        <w:t xml:space="preserve"> قانون كلي عام، لكنه جاء بشأن حكم الفيء لمجرد التفهيم والتسهيل فحسب، وهو حكمٌ عامٌّ يأمر جميع مسلمي العالم بطاعة النبي الأكرم </w:t>
      </w:r>
      <w:r w:rsidRPr="00495BAB">
        <w:rPr>
          <w:rFonts w:ascii="Abo-thar" w:hAnsi="Abo-thar"/>
          <w:sz w:val="28"/>
          <w:lang w:bidi="fa-IR"/>
        </w:rPr>
        <w:t></w:t>
      </w:r>
      <w:r w:rsidRPr="00495BAB">
        <w:rPr>
          <w:rFonts w:hint="cs"/>
          <w:rtl/>
          <w:lang w:bidi="ar-SY"/>
        </w:rPr>
        <w:t xml:space="preserve"> وسبب مجيئه إلى جانب أمر فرعي هو تسهيل قبول المسلمين لذلك الأمر الفرعي، فلا يُستخدم في مورد خاصٍّ، بل هو حكم شامل عام.</w:t>
      </w:r>
    </w:p>
    <w:p w:rsidR="00CD31AA" w:rsidRPr="00495BAB" w:rsidRDefault="00CD31AA" w:rsidP="00495BAB">
      <w:pPr>
        <w:pStyle w:val="a0"/>
        <w:rPr>
          <w:rFonts w:hint="cs"/>
          <w:rtl/>
          <w:lang w:bidi="ar-SY"/>
        </w:rPr>
      </w:pPr>
      <w:r w:rsidRPr="00495BAB">
        <w:rPr>
          <w:rFonts w:hint="cs"/>
          <w:rtl/>
          <w:lang w:bidi="ar-SY"/>
        </w:rPr>
        <w:t xml:space="preserve">وهذا أيضاً مثل آية التكليف بقدر الوسع، الذي هو أيضاً حكم عقلي وبديهي وطبيعي، وقد جاء إلى جانب حكم المرأة المرضعة كي يكون وسيلة لإفهام ذلك الحكم وتسهيل قبوله، بيد أنّ ذلك الحُكْم [عدم التكليف إلا بمقدار الوسع] لا يُسْتَخْدَم في ذلك المورد الخاص وحده بل حكمه عام في جميع الموارد. </w:t>
      </w:r>
    </w:p>
    <w:p w:rsidR="00CD31AA" w:rsidRPr="00495BAB" w:rsidRDefault="00CD31AA" w:rsidP="00495BAB">
      <w:pPr>
        <w:pStyle w:val="a0"/>
        <w:rPr>
          <w:rFonts w:hint="cs"/>
          <w:rtl/>
          <w:lang w:bidi="ar-SY"/>
        </w:rPr>
      </w:pPr>
      <w:r w:rsidRPr="00495BAB">
        <w:rPr>
          <w:rFonts w:hint="cs"/>
          <w:rtl/>
          <w:lang w:bidi="ar-SY"/>
        </w:rPr>
        <w:t>ولما كان الأمر كذلك، فاستنادًا إلى القاعدة ذاتها يُقال: كما أن حكم غنيمة الحرب، - أي الغنيمة التي ينالها المسلم المجاهد والمقاتل في سبيل الله من مال الكافر الحربي الذي يُقتَل أو يفر أو يؤسر- أن لإمام المسلمين أخذ خمسها، وبعد أخذه لهذا الخمس يصبح مال ذلك الكافر الحربي حلالاً للمسلم المجاهد في حين يوزِّع الإمام الخمسَ على مستحقيه، كذلك فإن خمس حاصل سعي كل حمّالٍ أو عامل نظافة وكل غسَّالةٍ للملابس أو غزَّالة للخيوط وحاصل كدُّ يمينهم وعرق جبينهم من المسلمين والمؤمنين والشيعة الاثني عشرية - حتى ولو كان ذلك خمس ريالات فقط - حلال للسادة آكلي الخمس! أي كما أنّ وجوب طاعة الرسول وكيفية التكليف عامَّان بكل وضوح في جميع الموارد كذلك هذا العمل، أي أخذ الخمس، ينبغي أن يكون عامًّا يشمل جميع الأموال؛ فأي فرق بين الاثنين؟</w:t>
      </w:r>
    </w:p>
    <w:p w:rsidR="00CD31AA" w:rsidRPr="00495BAB" w:rsidRDefault="00CD31AA" w:rsidP="00495BAB">
      <w:pPr>
        <w:pStyle w:val="a0"/>
        <w:rPr>
          <w:rFonts w:hint="cs"/>
          <w:rtl/>
          <w:lang w:bidi="ar-SY"/>
        </w:rPr>
      </w:pPr>
      <w:r w:rsidRPr="00495BAB">
        <w:rPr>
          <w:rFonts w:hint="cs"/>
          <w:rtl/>
          <w:lang w:bidi="ar-SY"/>
        </w:rPr>
        <w:t>ونقول في الإجابة عن كلام هؤلاء السادة: إن الفرق بين الاثنين هو:</w:t>
      </w:r>
    </w:p>
    <w:p w:rsidR="00CD31AA" w:rsidRPr="00495BAB" w:rsidRDefault="00451CED" w:rsidP="00451CED">
      <w:pPr>
        <w:pStyle w:val="a0"/>
        <w:ind w:left="624" w:hanging="340"/>
        <w:rPr>
          <w:rFonts w:hint="cs"/>
          <w:rtl/>
          <w:lang w:bidi="ar-SY"/>
        </w:rPr>
      </w:pPr>
      <w:r>
        <w:rPr>
          <w:rFonts w:hint="cs"/>
          <w:rtl/>
          <w:lang w:bidi="ar-SY"/>
        </w:rPr>
        <w:t>1</w:t>
      </w:r>
      <w:r w:rsidR="00CD31AA" w:rsidRPr="00495BAB">
        <w:rPr>
          <w:rFonts w:hint="cs"/>
          <w:rtl/>
          <w:lang w:bidi="ar-SY"/>
        </w:rPr>
        <w:t>- طاعة الرسول وقاعدة التكليف التي وردت في تلك الآيات واضحة وضوح الشمس في رابعة النهار، أما هنا فحكم آية الغنيمة يجب أن يكون بالوضوح مثله، في حين أنه ليس كذلك بل فيه تفصيل وتعقيد كثير.</w:t>
      </w:r>
    </w:p>
    <w:p w:rsidR="00CD31AA" w:rsidRPr="00495BAB" w:rsidRDefault="00451CED" w:rsidP="00451CED">
      <w:pPr>
        <w:pStyle w:val="a0"/>
        <w:ind w:left="624" w:hanging="340"/>
        <w:rPr>
          <w:rFonts w:hint="cs"/>
          <w:rtl/>
          <w:lang w:bidi="ar-SY"/>
        </w:rPr>
      </w:pPr>
      <w:r>
        <w:rPr>
          <w:rFonts w:hint="cs"/>
          <w:rtl/>
          <w:lang w:bidi="ar-SY"/>
        </w:rPr>
        <w:t>2</w:t>
      </w:r>
      <w:r w:rsidR="00CD31AA" w:rsidRPr="00495BAB">
        <w:rPr>
          <w:rFonts w:hint="cs"/>
          <w:rtl/>
          <w:lang w:bidi="ar-SY"/>
        </w:rPr>
        <w:t>- الغنيمة هناك يتم الحصول عليها في ميدان الحرب، بينما الغنيمة فيما تقولونه يتم الحصول عليها في مالٍ مختلف تمامًا وهو ما يكتسبه الناس في حال السلم.</w:t>
      </w:r>
    </w:p>
    <w:p w:rsidR="00CD31AA" w:rsidRPr="00495BAB" w:rsidRDefault="00451CED" w:rsidP="00451CED">
      <w:pPr>
        <w:pStyle w:val="a0"/>
        <w:ind w:left="624" w:hanging="340"/>
        <w:rPr>
          <w:rFonts w:hint="cs"/>
          <w:rtl/>
          <w:lang w:bidi="ar-SY"/>
        </w:rPr>
      </w:pPr>
      <w:r>
        <w:rPr>
          <w:rFonts w:hint="cs"/>
          <w:rtl/>
          <w:lang w:bidi="ar-SY"/>
        </w:rPr>
        <w:t>3</w:t>
      </w:r>
      <w:r w:rsidR="00CD31AA" w:rsidRPr="00495BAB">
        <w:rPr>
          <w:rFonts w:hint="cs"/>
          <w:rtl/>
          <w:lang w:bidi="ar-SY"/>
        </w:rPr>
        <w:t>- الغنيمة هناك مال الكفار الحربيين،</w:t>
      </w:r>
      <w:r>
        <w:rPr>
          <w:rFonts w:hint="cs"/>
          <w:rtl/>
          <w:lang w:bidi="ar-SY"/>
        </w:rPr>
        <w:t xml:space="preserve"> </w:t>
      </w:r>
      <w:r w:rsidR="00CD31AA" w:rsidRPr="00495BAB">
        <w:rPr>
          <w:rFonts w:hint="cs"/>
          <w:rtl/>
          <w:lang w:bidi="ar-SY"/>
        </w:rPr>
        <w:t>أما الغنيمة هنا فهي مال المؤمنين الشيعة الاثني عشرية.</w:t>
      </w:r>
    </w:p>
    <w:p w:rsidR="00CD31AA" w:rsidRPr="00495BAB" w:rsidRDefault="00451CED" w:rsidP="00451CED">
      <w:pPr>
        <w:pStyle w:val="a0"/>
        <w:ind w:left="624" w:hanging="340"/>
        <w:rPr>
          <w:rFonts w:hint="cs"/>
          <w:rtl/>
          <w:lang w:bidi="ar-SY"/>
        </w:rPr>
      </w:pPr>
      <w:r>
        <w:rPr>
          <w:rFonts w:hint="cs"/>
          <w:rtl/>
          <w:lang w:bidi="ar-SY"/>
        </w:rPr>
        <w:t>4</w:t>
      </w:r>
      <w:r w:rsidR="00CD31AA" w:rsidRPr="00495BAB">
        <w:rPr>
          <w:rFonts w:hint="cs"/>
          <w:rtl/>
          <w:lang w:bidi="ar-SY"/>
        </w:rPr>
        <w:t>- هناك أقدم الكافر الحربي على محاربة المسلمين كي يقضي على الإسلام. وهنا يعيش المسلم الشيعي في ظل المسلمين ويعمل بمعاونتهم.</w:t>
      </w:r>
    </w:p>
    <w:p w:rsidR="00CD31AA" w:rsidRPr="00495BAB" w:rsidRDefault="00451CED" w:rsidP="00451CED">
      <w:pPr>
        <w:pStyle w:val="a0"/>
        <w:ind w:left="624" w:hanging="340"/>
        <w:rPr>
          <w:rFonts w:hint="cs"/>
          <w:rtl/>
          <w:lang w:bidi="ar-SY"/>
        </w:rPr>
      </w:pPr>
      <w:r>
        <w:rPr>
          <w:rFonts w:hint="cs"/>
          <w:rtl/>
          <w:lang w:bidi="ar-SY"/>
        </w:rPr>
        <w:t>5</w:t>
      </w:r>
      <w:r w:rsidR="00CD31AA" w:rsidRPr="00495BAB">
        <w:rPr>
          <w:rFonts w:hint="cs"/>
          <w:rtl/>
          <w:lang w:bidi="ar-SY"/>
        </w:rPr>
        <w:t xml:space="preserve">- هناك الكافر الحربي قُتِل أو فرَّ أو أُسِر ولا حاجة له إلى هذا المال. </w:t>
      </w:r>
      <w:r>
        <w:rPr>
          <w:rFonts w:hint="cs"/>
          <w:rtl/>
          <w:lang w:bidi="ar-SY"/>
        </w:rPr>
        <w:t xml:space="preserve"> </w:t>
      </w:r>
      <w:r w:rsidR="00CD31AA" w:rsidRPr="00495BAB">
        <w:rPr>
          <w:rFonts w:hint="cs"/>
          <w:rtl/>
          <w:lang w:bidi="ar-SY"/>
        </w:rPr>
        <w:t>أما هنا فكل من وضع على رأسه عمامة وتسمى باسم حاكم الشرع كان له أن يفعل ما يريد.</w:t>
      </w:r>
    </w:p>
    <w:p w:rsidR="00CD31AA" w:rsidRPr="00495BAB" w:rsidRDefault="00451CED" w:rsidP="00451CED">
      <w:pPr>
        <w:pStyle w:val="a0"/>
        <w:ind w:left="624" w:hanging="340"/>
        <w:rPr>
          <w:rFonts w:hint="cs"/>
          <w:rtl/>
          <w:lang w:bidi="ar-SY"/>
        </w:rPr>
      </w:pPr>
      <w:r>
        <w:rPr>
          <w:rFonts w:hint="cs"/>
          <w:rtl/>
          <w:lang w:bidi="ar-SY"/>
        </w:rPr>
        <w:t>7</w:t>
      </w:r>
      <w:r w:rsidR="00CD31AA" w:rsidRPr="00495BAB">
        <w:rPr>
          <w:rFonts w:hint="cs"/>
          <w:rtl/>
          <w:lang w:bidi="ar-SY"/>
        </w:rPr>
        <w:t xml:space="preserve">- الدليل على خمس الغنائم هناك هو آيات الغنائم وسيرة رسول الله </w:t>
      </w:r>
      <w:r w:rsidR="00CD31AA" w:rsidRPr="00495BAB">
        <w:rPr>
          <w:rFonts w:ascii="Abo-thar" w:hAnsi="Abo-thar"/>
          <w:sz w:val="28"/>
          <w:lang w:bidi="fa-IR"/>
        </w:rPr>
        <w:t></w:t>
      </w:r>
      <w:r w:rsidR="00CD31AA" w:rsidRPr="00495BAB">
        <w:rPr>
          <w:rFonts w:hint="cs"/>
          <w:rtl/>
          <w:lang w:bidi="ar-SY"/>
        </w:rPr>
        <w:t xml:space="preserve"> وعمل عامَّة المسلمين. ودليل السادة هنا هو قاعدة (نحن نتعدى...).</w:t>
      </w:r>
    </w:p>
    <w:p w:rsidR="00CD31AA" w:rsidRPr="00367019" w:rsidRDefault="00CD31AA" w:rsidP="00367019">
      <w:pPr>
        <w:pStyle w:val="a0"/>
        <w:rPr>
          <w:rtl/>
          <w:lang w:bidi="ar-SY"/>
        </w:rPr>
      </w:pPr>
      <w:r w:rsidRPr="00367019">
        <w:rPr>
          <w:rFonts w:hint="cs"/>
          <w:b/>
          <w:bCs/>
          <w:rtl/>
          <w:lang w:bidi="ar-SY"/>
        </w:rPr>
        <w:t>هذه الفروق يجب ألا تخرج القضية من عمومها!!</w:t>
      </w:r>
    </w:p>
    <w:p w:rsidR="00CD31AA" w:rsidRPr="00995B26" w:rsidRDefault="00CD31AA" w:rsidP="00495BAB">
      <w:pPr>
        <w:pStyle w:val="a0"/>
        <w:rPr>
          <w:rFonts w:hint="cs"/>
          <w:rtl/>
          <w:lang w:bidi="ar-SY"/>
        </w:rPr>
      </w:pPr>
      <w:r w:rsidRPr="00495BAB">
        <w:rPr>
          <w:rFonts w:hint="cs"/>
          <w:rtl/>
          <w:lang w:bidi="ar-SY"/>
        </w:rPr>
        <w:t>إن براعة هؤلاء السادة وسفسطتهم الأخرى هي قولهم: «</w:t>
      </w:r>
      <w:r w:rsidRPr="00995B26">
        <w:rPr>
          <w:rFonts w:cs="Akhbar MT" w:hint="cs"/>
          <w:szCs w:val="30"/>
          <w:rtl/>
          <w:lang w:bidi="ar-SY"/>
        </w:rPr>
        <w:t>خاصة أن وجود أداة الوصل (ما) في جملة (إنما) و(شيء) وهما كلمتان عامّتان ذُكِرَتا دون قيد أو شرط، يُقَوِّي هذا الموضوع</w:t>
      </w:r>
      <w:r w:rsidRPr="00495BAB">
        <w:rPr>
          <w:rFonts w:hint="cs"/>
          <w:rtl/>
          <w:lang w:bidi="ar-SY"/>
        </w:rPr>
        <w:t>».</w:t>
      </w:r>
    </w:p>
    <w:p w:rsidR="00CD31AA" w:rsidRPr="00495BAB" w:rsidRDefault="00CD31AA" w:rsidP="00495BAB">
      <w:pPr>
        <w:pStyle w:val="a0"/>
        <w:rPr>
          <w:rFonts w:hint="cs"/>
          <w:rtl/>
          <w:lang w:bidi="ar-SY"/>
        </w:rPr>
      </w:pPr>
      <w:r w:rsidRPr="00495BAB">
        <w:rPr>
          <w:rFonts w:hint="cs"/>
          <w:rtl/>
          <w:lang w:bidi="ar-SY"/>
        </w:rPr>
        <w:t>لاحظوا ما يقوله هؤلاء المدقِّقون في اللطائف اللغوية الأدبية للقرآن! إنهم يقولون لما جاءت أداة (ما) الموصولة وجاءت كلمة (شيء) التي تعني كل شيء، في الآية الكريمة، فإن الآية تشمل كل شيء يُغْنَم، فيجب أن يؤخذ من الناس خمس كل شيء. وهذا يشبه أن يكون لك بستان فتبيعه لشخص أو تعطيه إياه وتشترط عليه أن يكون لك خمس كل ما يخرج من ثماره. ثم تأتي وتتمسك بهذا القيد فتطالبه بخمس كل ما يملكه من أوانٍ وسجادٍ وفرش وأثاث المنزل ومواشٍ وأطعمة وكل ما يصدق عليه كلمة (شيء)! فهل يصح هذا؟</w:t>
      </w:r>
    </w:p>
    <w:p w:rsidR="00CD31AA" w:rsidRPr="00495BAB" w:rsidRDefault="00CD31AA" w:rsidP="00495BAB">
      <w:pPr>
        <w:pStyle w:val="a0"/>
        <w:rPr>
          <w:rFonts w:hint="cs"/>
          <w:rtl/>
          <w:lang w:bidi="fa-IR"/>
        </w:rPr>
      </w:pPr>
      <w:r w:rsidRPr="00495BAB">
        <w:rPr>
          <w:rFonts w:hint="cs"/>
          <w:rtl/>
          <w:lang w:bidi="ar-SY"/>
        </w:rPr>
        <w:t>الله تعالى يقول في آية الغنيمة: كل ما وقع بأيديكم في ميدان المعركة من الغنائم من السيوف والخناجر والمدافع والدبابات وسائر أموال الكفار فإن خمسه من حق أرباب الخمس؛ أما هؤلاء فيقولون كل من يملك أي شيء من الأموال في الدنيا عليه أن يدفع خمسه.</w:t>
      </w:r>
    </w:p>
    <w:p w:rsidR="00CD31AA" w:rsidRPr="00495BAB" w:rsidRDefault="00CD31AA" w:rsidP="00495BAB">
      <w:pPr>
        <w:pStyle w:val="a0"/>
        <w:rPr>
          <w:rFonts w:hint="cs"/>
          <w:rtl/>
          <w:lang w:bidi="ar-SY"/>
        </w:rPr>
      </w:pPr>
      <w:r w:rsidRPr="00495BAB">
        <w:rPr>
          <w:rFonts w:hint="cs"/>
          <w:rtl/>
          <w:lang w:bidi="ar-SY"/>
        </w:rPr>
        <w:t>في تلك الآية يقول الله:</w:t>
      </w:r>
      <w:r w:rsidR="00C169EF" w:rsidRPr="00495BAB">
        <w:rPr>
          <w:rFonts w:hint="cs"/>
          <w:rtl/>
          <w:lang w:bidi="ar-SY"/>
        </w:rPr>
        <w:t xml:space="preserve"> </w:t>
      </w:r>
      <w:r w:rsidR="00C169EF" w:rsidRPr="00995B26">
        <w:rPr>
          <w:rFonts w:cs="Traditional Arabic" w:hint="cs"/>
          <w:szCs w:val="30"/>
          <w:rtl/>
          <w:lang w:bidi="ar-SY"/>
        </w:rPr>
        <w:t>﴿</w:t>
      </w:r>
      <w:r w:rsidR="00C169EF" w:rsidRPr="0067048A">
        <w:rPr>
          <w:rFonts w:ascii="KFGQPC Uthmanic Script HAFS" w:cs="KFGQPC Uthmanic Script HAFS" w:hint="eastAsia"/>
          <w:sz w:val="28"/>
          <w:szCs w:val="28"/>
          <w:rtl/>
        </w:rPr>
        <w:t>أَنَّمَا</w:t>
      </w:r>
      <w:r w:rsidR="00C169EF" w:rsidRPr="0067048A">
        <w:rPr>
          <w:rFonts w:ascii="KFGQPC Uthmanic Script HAFS" w:cs="KFGQPC Uthmanic Script HAFS"/>
          <w:sz w:val="28"/>
          <w:szCs w:val="28"/>
          <w:rtl/>
        </w:rPr>
        <w:t xml:space="preserve"> </w:t>
      </w:r>
      <w:r w:rsidR="00C169EF" w:rsidRPr="0067048A">
        <w:rPr>
          <w:rFonts w:ascii="KFGQPC Uthmanic Script HAFS" w:cs="KFGQPC Uthmanic Script HAFS" w:hint="eastAsia"/>
          <w:sz w:val="28"/>
          <w:szCs w:val="28"/>
          <w:rtl/>
        </w:rPr>
        <w:t>غَنِم</w:t>
      </w:r>
      <w:r w:rsidR="00C169EF" w:rsidRPr="0067048A">
        <w:rPr>
          <w:rFonts w:ascii="KFGQPC Uthmanic Script HAFS" w:cs="KFGQPC Uthmanic Script HAFS" w:hint="cs"/>
          <w:sz w:val="28"/>
          <w:szCs w:val="28"/>
          <w:rtl/>
        </w:rPr>
        <w:t>ۡ</w:t>
      </w:r>
      <w:r w:rsidR="00C169EF" w:rsidRPr="0067048A">
        <w:rPr>
          <w:rFonts w:ascii="KFGQPC Uthmanic Script HAFS" w:cs="KFGQPC Uthmanic Script HAFS" w:hint="eastAsia"/>
          <w:sz w:val="28"/>
          <w:szCs w:val="28"/>
          <w:rtl/>
        </w:rPr>
        <w:t>تُم</w:t>
      </w:r>
      <w:r w:rsidR="00C169EF" w:rsidRPr="0067048A">
        <w:rPr>
          <w:rFonts w:ascii="KFGQPC Uthmanic Script HAFS" w:cs="KFGQPC Uthmanic Script HAFS"/>
          <w:sz w:val="28"/>
          <w:szCs w:val="28"/>
          <w:rtl/>
        </w:rPr>
        <w:t xml:space="preserve"> </w:t>
      </w:r>
      <w:r w:rsidR="00C169EF" w:rsidRPr="0067048A">
        <w:rPr>
          <w:rFonts w:ascii="KFGQPC Uthmanic Script HAFS" w:cs="KFGQPC Uthmanic Script HAFS" w:hint="eastAsia"/>
          <w:sz w:val="28"/>
          <w:szCs w:val="28"/>
          <w:rtl/>
        </w:rPr>
        <w:t>مِّن</w:t>
      </w:r>
      <w:r w:rsidR="00C169EF" w:rsidRPr="0067048A">
        <w:rPr>
          <w:rFonts w:ascii="KFGQPC Uthmanic Script HAFS" w:cs="KFGQPC Uthmanic Script HAFS"/>
          <w:sz w:val="28"/>
          <w:szCs w:val="28"/>
          <w:rtl/>
        </w:rPr>
        <w:t xml:space="preserve"> </w:t>
      </w:r>
      <w:r w:rsidR="00C169EF" w:rsidRPr="0067048A">
        <w:rPr>
          <w:rFonts w:ascii="KFGQPC Uthmanic Script HAFS" w:cs="KFGQPC Uthmanic Script HAFS" w:hint="eastAsia"/>
          <w:sz w:val="28"/>
          <w:szCs w:val="28"/>
          <w:rtl/>
        </w:rPr>
        <w:t>شَي</w:t>
      </w:r>
      <w:r w:rsidR="00C169EF" w:rsidRPr="0067048A">
        <w:rPr>
          <w:rFonts w:ascii="KFGQPC Uthmanic Script HAFS" w:cs="KFGQPC Uthmanic Script HAFS" w:hint="cs"/>
          <w:sz w:val="28"/>
          <w:szCs w:val="28"/>
          <w:rtl/>
        </w:rPr>
        <w:t>ۡ</w:t>
      </w:r>
      <w:r w:rsidR="00C169EF" w:rsidRPr="0067048A">
        <w:rPr>
          <w:rFonts w:ascii="KFGQPC Uthmanic Script HAFS" w:cs="KFGQPC Uthmanic Script HAFS" w:hint="eastAsia"/>
          <w:sz w:val="28"/>
          <w:szCs w:val="28"/>
          <w:rtl/>
        </w:rPr>
        <w:t>ء</w:t>
      </w:r>
      <w:r w:rsidR="00C169EF" w:rsidRPr="0067048A">
        <w:rPr>
          <w:rFonts w:ascii="KFGQPC Uthmanic Script HAFS" w:cs="KFGQPC Uthmanic Script HAFS" w:hint="cs"/>
          <w:sz w:val="28"/>
          <w:szCs w:val="28"/>
          <w:rtl/>
        </w:rPr>
        <w:t>ٖ</w:t>
      </w:r>
      <w:r w:rsidR="00C169EF" w:rsidRPr="00995B26">
        <w:rPr>
          <w:rFonts w:cs="Traditional Arabic" w:hint="cs"/>
          <w:szCs w:val="30"/>
          <w:rtl/>
          <w:lang w:bidi="ar-SY"/>
        </w:rPr>
        <w:t>﴾</w:t>
      </w:r>
      <w:r w:rsidRPr="00495BAB">
        <w:rPr>
          <w:rFonts w:hint="cs"/>
          <w:rtl/>
          <w:lang w:bidi="ar-SY"/>
        </w:rPr>
        <w:t xml:space="preserve"> وهم يقولون كل إنسان مؤمناً كان أم كافراً فإن كل ما اكتسبه وحصل عليه من عمله وسعيه أو من الزراعة أو الصناعة أو غير ذلك، فإن خمسه مالنا وحقنا.</w:t>
      </w:r>
    </w:p>
    <w:p w:rsidR="00CD31AA" w:rsidRPr="00495BAB" w:rsidRDefault="00CD31AA" w:rsidP="00495BAB">
      <w:pPr>
        <w:pStyle w:val="a0"/>
        <w:rPr>
          <w:rFonts w:hint="cs"/>
          <w:rtl/>
          <w:lang w:bidi="ar-SY"/>
        </w:rPr>
      </w:pPr>
      <w:r w:rsidRPr="00495BAB">
        <w:rPr>
          <w:rFonts w:hint="cs"/>
          <w:rtl/>
          <w:lang w:bidi="ar-SY"/>
        </w:rPr>
        <w:t>لا تتعجبوا من مثل هذا المنطق لأنه كان وما يزال هناك بين علماء الشيعة الكثير من أمثال هؤلاء النوابغ!! ألم يكن الحسن الصباح أحد كبار الشيعة الإسماعيلية قد اشترى أرضاً بمساحة جلد بقرة من والي الحي، ثم قطع جلد البقرة ذاك وجعله كخيوط الحرير ونال أرضاً مثل قلعة ألموت؟! ألم يخترع هؤلاء من آية:</w:t>
      </w:r>
      <w:r w:rsidR="00C169EF" w:rsidRPr="00495BAB">
        <w:rPr>
          <w:rFonts w:hint="cs"/>
          <w:rtl/>
          <w:lang w:bidi="ar-SY"/>
        </w:rPr>
        <w:t xml:space="preserve"> </w:t>
      </w:r>
      <w:r w:rsidR="00C169EF" w:rsidRPr="00995B26">
        <w:rPr>
          <w:rFonts w:cs="Traditional Arabic" w:hint="cs"/>
          <w:szCs w:val="30"/>
          <w:rtl/>
          <w:lang w:bidi="ar-SY"/>
        </w:rPr>
        <w:t>﴿</w:t>
      </w:r>
      <w:r w:rsidR="00C169EF" w:rsidRPr="0067048A">
        <w:rPr>
          <w:rFonts w:ascii="KFGQPC Uthmanic Script HAFS" w:cs="KFGQPC Uthmanic Script HAFS" w:hint="eastAsia"/>
          <w:sz w:val="28"/>
          <w:szCs w:val="28"/>
          <w:rtl/>
        </w:rPr>
        <w:t>إِنَّمَا</w:t>
      </w:r>
      <w:r w:rsidR="00C169EF" w:rsidRPr="0067048A">
        <w:rPr>
          <w:rFonts w:ascii="KFGQPC Uthmanic Script HAFS" w:cs="KFGQPC Uthmanic Script HAFS"/>
          <w:sz w:val="28"/>
          <w:szCs w:val="28"/>
          <w:rtl/>
        </w:rPr>
        <w:t xml:space="preserve"> </w:t>
      </w:r>
      <w:r w:rsidR="00C169EF" w:rsidRPr="0067048A">
        <w:rPr>
          <w:rFonts w:ascii="KFGQPC Uthmanic Script HAFS" w:cs="KFGQPC Uthmanic Script HAFS" w:hint="eastAsia"/>
          <w:sz w:val="28"/>
          <w:szCs w:val="28"/>
          <w:rtl/>
        </w:rPr>
        <w:t>وَلِيُّكُمُ</w:t>
      </w:r>
      <w:r w:rsidR="00C169EF" w:rsidRPr="0067048A">
        <w:rPr>
          <w:rFonts w:ascii="KFGQPC Uthmanic Script HAFS" w:cs="KFGQPC Uthmanic Script HAFS"/>
          <w:sz w:val="28"/>
          <w:szCs w:val="28"/>
          <w:rtl/>
        </w:rPr>
        <w:t xml:space="preserve"> </w:t>
      </w:r>
      <w:r w:rsidR="00C169EF" w:rsidRPr="0067048A">
        <w:rPr>
          <w:rFonts w:ascii="KFGQPC Uthmanic Script HAFS" w:cs="KFGQPC Uthmanic Script HAFS" w:hint="cs"/>
          <w:sz w:val="28"/>
          <w:szCs w:val="28"/>
          <w:rtl/>
        </w:rPr>
        <w:t>ٱ</w:t>
      </w:r>
      <w:r w:rsidR="00C169EF" w:rsidRPr="0067048A">
        <w:rPr>
          <w:rFonts w:ascii="KFGQPC Uthmanic Script HAFS" w:cs="KFGQPC Uthmanic Script HAFS" w:hint="eastAsia"/>
          <w:sz w:val="28"/>
          <w:szCs w:val="28"/>
          <w:rtl/>
        </w:rPr>
        <w:t>للَّهُ</w:t>
      </w:r>
      <w:r w:rsidR="00C169EF" w:rsidRPr="00995B26">
        <w:rPr>
          <w:rFonts w:ascii="KFGQPC Uthmanic Script HAFS" w:cs="Times New Roman" w:hint="cs"/>
          <w:sz w:val="28"/>
          <w:rtl/>
        </w:rPr>
        <w:t>...</w:t>
      </w:r>
      <w:r w:rsidR="00C169EF" w:rsidRPr="00995B26">
        <w:rPr>
          <w:rFonts w:cs="Traditional Arabic" w:hint="cs"/>
          <w:szCs w:val="30"/>
          <w:rtl/>
          <w:lang w:bidi="ar-SY"/>
        </w:rPr>
        <w:t>﴾</w:t>
      </w:r>
      <w:r w:rsidRPr="00495BAB">
        <w:rPr>
          <w:rFonts w:hint="cs"/>
          <w:rtl/>
          <w:lang w:bidi="ar-SY"/>
        </w:rPr>
        <w:t xml:space="preserve"> </w:t>
      </w:r>
      <w:r w:rsidRPr="009E1401">
        <w:rPr>
          <w:rStyle w:val="Char2"/>
          <w:rtl/>
        </w:rPr>
        <w:t>[المائدة</w:t>
      </w:r>
      <w:r w:rsidR="00C169EF" w:rsidRPr="009E1401">
        <w:rPr>
          <w:rStyle w:val="Char2"/>
          <w:rFonts w:hint="cs"/>
          <w:rtl/>
        </w:rPr>
        <w:t xml:space="preserve">: </w:t>
      </w:r>
      <w:r w:rsidRPr="009E1401">
        <w:rPr>
          <w:rStyle w:val="Char2"/>
          <w:rtl/>
        </w:rPr>
        <w:t>55]</w:t>
      </w:r>
      <w:r w:rsidRPr="00495BAB">
        <w:rPr>
          <w:rFonts w:hint="cs"/>
          <w:rtl/>
          <w:lang w:bidi="ar-SY"/>
        </w:rPr>
        <w:t xml:space="preserve"> ولاية تكوينية مثل ولاية الله عز وجل لعباد محتاجين إلى الله وفقراء إليه؟ عندما أرى بعض البسطاء يذمّون علماء الدين ويلومونهم قائلين: لماذا استطاع ذلك العالم المسيحي أن يحطِّم الذرّة وأن يغزو الفضاء في حين بقي عالم ديننا حبيس هذه الكتب القديمة التي يعلوها الغبار ولا يزال يحدثنا بنغمة (يجوز ولا يجوز) بشأن أمور لا تعني أحدًا ولا وجود لها، فإنني أضحك من بساطته وجهله! إنه لا يدري أولاً أن عالِم ديننا يختلف عن عالِم الاختراعات والصناعات وأن لكل منهم عمل مختلف. وثانياً: وهل اختراعات ذلك العالم المسيحي أقل شأناً من اختراعات عالِمِنا؟ إذا حطم عالم الصناعة ذاك الذرة واستخرج منها طاقة هائلة تستطيع أن تخرب العالم بثانية واحدة ولكنه لم يفعل ذلك؛ فإن عالِمَ ديننا استخرج من آية الغنيمة خُمْسًا يمكن للدخل الهائل الحاصل منه أن يُنشئ مؤسسات ومنشآت واسعةً ويمكنه إن أراد أن ينشئ قصر شدّاد، وإلا فبإمكانه أن يملأ الصحاري والبحار أموالاً، وإن لم يفعل ذلك فالسبب تقصير المكلَّفين أما هو فقد قام بواجبه.</w:t>
      </w:r>
    </w:p>
    <w:p w:rsidR="00CD31AA" w:rsidRPr="00495BAB" w:rsidRDefault="00CD31AA" w:rsidP="00495BAB">
      <w:pPr>
        <w:pStyle w:val="a0"/>
        <w:rPr>
          <w:rFonts w:hint="cs"/>
          <w:rtl/>
          <w:lang w:bidi="ar-SY"/>
        </w:rPr>
      </w:pPr>
      <w:r w:rsidRPr="00495BAB">
        <w:rPr>
          <w:rFonts w:hint="cs"/>
          <w:rtl/>
          <w:lang w:bidi="ar-SY"/>
        </w:rPr>
        <w:t>وإن استطاع عالِم الصناعة ذاك أن يقضي على عدوه في ميدان القتال بفضل ما لديه من أسلحة متنوعة فتاكة اخترعها، فإن عالِمَ ديننا يمكنه من خلال تحليل الربا بواسطة الحيل الشرعية لاسيما مبادلة أوراق البنكنوت من فئة ال</w:t>
      </w:r>
      <w:r w:rsidR="00755AAC">
        <w:rPr>
          <w:rFonts w:hint="cs"/>
          <w:rtl/>
          <w:lang w:bidi="ar-SY"/>
        </w:rPr>
        <w:t>مائة</w:t>
      </w:r>
      <w:r w:rsidRPr="00495BAB">
        <w:rPr>
          <w:rFonts w:hint="cs"/>
          <w:rtl/>
          <w:lang w:bidi="ar-SY"/>
        </w:rPr>
        <w:t xml:space="preserve"> تومان بأوراق من فئة الألف تومان وغيرها، أن يؤمِّن لآكلي الربا ثروات هائلة وأن يصيب مئات آلاف الفقراء المدينين والمقترضين بالتعاسة والشقاء بل بالموت والهلاك.</w:t>
      </w:r>
    </w:p>
    <w:p w:rsidR="00CD31AA" w:rsidRPr="00495BAB" w:rsidRDefault="00CD31AA" w:rsidP="00495BAB">
      <w:pPr>
        <w:pStyle w:val="a0"/>
        <w:rPr>
          <w:rFonts w:hint="cs"/>
          <w:rtl/>
          <w:lang w:bidi="ar-SY"/>
        </w:rPr>
      </w:pPr>
      <w:r w:rsidRPr="00495BAB">
        <w:rPr>
          <w:rFonts w:hint="cs"/>
          <w:rtl/>
          <w:lang w:bidi="ar-SY"/>
        </w:rPr>
        <w:t>وإن لم يتمكن عالِم الطب ذاك رغم كل ما بذله من بحث وتحقيق أن يجد علاجًا لبعض الأمراض المستعصية كالسرطان، فإن عالم ديننا وجد طريقةً لمعالجة تلك الأمراض وهي إرجاع الشيعة إلى التوسل بباب الحوائج، واختراع أدعية كالطلسمات فإن لم تنجح هذه العلاجات في شفاء تلك الأمراض فعلة ذلك ضعف إيمان المتوسِّلين!</w:t>
      </w:r>
    </w:p>
    <w:p w:rsidR="00CD31AA" w:rsidRPr="00495BAB" w:rsidRDefault="00CD31AA" w:rsidP="00495BAB">
      <w:pPr>
        <w:pStyle w:val="a0"/>
        <w:rPr>
          <w:rFonts w:hint="cs"/>
          <w:rtl/>
          <w:lang w:bidi="ar-SY"/>
        </w:rPr>
      </w:pPr>
      <w:r w:rsidRPr="00495BAB">
        <w:rPr>
          <w:rFonts w:hint="cs"/>
          <w:rtl/>
          <w:lang w:bidi="ar-SY"/>
        </w:rPr>
        <w:t>وإن لم يستطِع جميع علماء الحقوق بعد، رغم استعانتهم بشرائع الأنبياء، أن يجدوا طريقًا صحيحًا لإنقاذ البشرية من الظلم والإثم والعدوان، فإن عالِمَ ديننا فتح للشيعة باباً سعته السماوات والأرض من خلال فتح باب الشفاعة استناداً إلى آية:</w:t>
      </w:r>
      <w:r w:rsidR="00C169EF" w:rsidRPr="00495BAB">
        <w:rPr>
          <w:rFonts w:hint="cs"/>
          <w:rtl/>
          <w:lang w:bidi="ar-SY"/>
        </w:rPr>
        <w:t xml:space="preserve"> </w:t>
      </w:r>
      <w:r w:rsidR="00C169EF" w:rsidRPr="00995B26">
        <w:rPr>
          <w:rFonts w:cs="Traditional Arabic" w:hint="cs"/>
          <w:szCs w:val="30"/>
          <w:rtl/>
          <w:lang w:bidi="ar-SY"/>
        </w:rPr>
        <w:t>﴿</w:t>
      </w:r>
      <w:r w:rsidR="00C169EF" w:rsidRPr="0067048A">
        <w:rPr>
          <w:rFonts w:ascii="KFGQPC Uthmanic Script HAFS" w:cs="KFGQPC Uthmanic Script HAFS" w:hint="eastAsia"/>
          <w:sz w:val="28"/>
          <w:szCs w:val="28"/>
          <w:rtl/>
          <w:lang w:bidi="fa-IR"/>
        </w:rPr>
        <w:t>إِنَّ</w:t>
      </w:r>
      <w:r w:rsidR="00C169EF" w:rsidRPr="0067048A">
        <w:rPr>
          <w:rFonts w:ascii="KFGQPC Uthmanic Script HAFS" w:cs="KFGQPC Uthmanic Script HAFS"/>
          <w:sz w:val="28"/>
          <w:szCs w:val="28"/>
          <w:rtl/>
          <w:lang w:bidi="fa-IR"/>
        </w:rPr>
        <w:t xml:space="preserve"> </w:t>
      </w:r>
      <w:r w:rsidR="00C169EF" w:rsidRPr="0067048A">
        <w:rPr>
          <w:rFonts w:ascii="KFGQPC Uthmanic Script HAFS" w:cs="KFGQPC Uthmanic Script HAFS" w:hint="eastAsia"/>
          <w:sz w:val="28"/>
          <w:szCs w:val="28"/>
          <w:rtl/>
          <w:lang w:bidi="fa-IR"/>
        </w:rPr>
        <w:t>إِلَي</w:t>
      </w:r>
      <w:r w:rsidR="00C169EF" w:rsidRPr="0067048A">
        <w:rPr>
          <w:rFonts w:ascii="KFGQPC Uthmanic Script HAFS" w:cs="KFGQPC Uthmanic Script HAFS" w:hint="cs"/>
          <w:sz w:val="28"/>
          <w:szCs w:val="28"/>
          <w:rtl/>
          <w:lang w:bidi="fa-IR"/>
        </w:rPr>
        <w:t>ۡ</w:t>
      </w:r>
      <w:r w:rsidR="00C169EF" w:rsidRPr="0067048A">
        <w:rPr>
          <w:rFonts w:ascii="KFGQPC Uthmanic Script HAFS" w:cs="KFGQPC Uthmanic Script HAFS" w:hint="eastAsia"/>
          <w:sz w:val="28"/>
          <w:szCs w:val="28"/>
          <w:rtl/>
          <w:lang w:bidi="fa-IR"/>
        </w:rPr>
        <w:t>نَا</w:t>
      </w:r>
      <w:r w:rsidR="00C169EF" w:rsidRPr="0067048A">
        <w:rPr>
          <w:rFonts w:ascii="KFGQPC Uthmanic Script HAFS" w:cs="KFGQPC Uthmanic Script HAFS" w:hint="cs"/>
          <w:sz w:val="28"/>
          <w:szCs w:val="28"/>
          <w:rtl/>
          <w:lang w:bidi="fa-IR"/>
        </w:rPr>
        <w:t>ٓ</w:t>
      </w:r>
      <w:r w:rsidR="00C169EF" w:rsidRPr="0067048A">
        <w:rPr>
          <w:rFonts w:ascii="KFGQPC Uthmanic Script HAFS" w:cs="KFGQPC Uthmanic Script HAFS"/>
          <w:sz w:val="28"/>
          <w:szCs w:val="28"/>
          <w:rtl/>
          <w:lang w:bidi="fa-IR"/>
        </w:rPr>
        <w:t xml:space="preserve"> </w:t>
      </w:r>
      <w:r w:rsidR="00C169EF" w:rsidRPr="0067048A">
        <w:rPr>
          <w:rFonts w:ascii="KFGQPC Uthmanic Script HAFS" w:cs="KFGQPC Uthmanic Script HAFS" w:hint="eastAsia"/>
          <w:sz w:val="28"/>
          <w:szCs w:val="28"/>
          <w:rtl/>
          <w:lang w:bidi="fa-IR"/>
        </w:rPr>
        <w:t>إِيَابَهُم</w:t>
      </w:r>
      <w:r w:rsidR="00C169EF" w:rsidRPr="0067048A">
        <w:rPr>
          <w:rFonts w:ascii="KFGQPC Uthmanic Script HAFS" w:cs="KFGQPC Uthmanic Script HAFS" w:hint="cs"/>
          <w:sz w:val="28"/>
          <w:szCs w:val="28"/>
          <w:rtl/>
          <w:lang w:bidi="fa-IR"/>
        </w:rPr>
        <w:t>ۡ</w:t>
      </w:r>
      <w:r w:rsidR="00C169EF" w:rsidRPr="0067048A">
        <w:rPr>
          <w:rFonts w:ascii="KFGQPC Uthmanic Script HAFS" w:cs="KFGQPC Uthmanic Script HAFS"/>
          <w:sz w:val="28"/>
          <w:szCs w:val="28"/>
          <w:rtl/>
          <w:lang w:bidi="fa-IR"/>
        </w:rPr>
        <w:t xml:space="preserve"> </w:t>
      </w:r>
      <w:r w:rsidR="00C169EF" w:rsidRPr="0067048A">
        <w:rPr>
          <w:rFonts w:ascii="KFGQPC Uthmanic Script HAFS" w:cs="KFGQPC Uthmanic Script HAFS" w:hint="cs"/>
          <w:sz w:val="28"/>
          <w:szCs w:val="28"/>
          <w:rtl/>
          <w:lang w:bidi="fa-IR"/>
        </w:rPr>
        <w:t>٢٥</w:t>
      </w:r>
      <w:r w:rsidR="00C169EF" w:rsidRPr="0067048A">
        <w:rPr>
          <w:rFonts w:ascii="KFGQPC Uthmanic Script HAFS" w:cs="KFGQPC Uthmanic Script HAFS"/>
          <w:sz w:val="28"/>
          <w:szCs w:val="28"/>
          <w:rtl/>
          <w:lang w:bidi="fa-IR"/>
        </w:rPr>
        <w:t xml:space="preserve"> </w:t>
      </w:r>
      <w:r w:rsidR="00C169EF" w:rsidRPr="0067048A">
        <w:rPr>
          <w:rFonts w:ascii="KFGQPC Uthmanic Script HAFS" w:cs="KFGQPC Uthmanic Script HAFS" w:hint="eastAsia"/>
          <w:sz w:val="28"/>
          <w:szCs w:val="28"/>
          <w:rtl/>
          <w:lang w:bidi="fa-IR"/>
        </w:rPr>
        <w:t>ثُمَّ</w:t>
      </w:r>
      <w:r w:rsidR="00C169EF" w:rsidRPr="0067048A">
        <w:rPr>
          <w:rFonts w:ascii="KFGQPC Uthmanic Script HAFS" w:cs="KFGQPC Uthmanic Script HAFS"/>
          <w:sz w:val="28"/>
          <w:szCs w:val="28"/>
          <w:rtl/>
          <w:lang w:bidi="fa-IR"/>
        </w:rPr>
        <w:t xml:space="preserve"> </w:t>
      </w:r>
      <w:r w:rsidR="00C169EF" w:rsidRPr="0067048A">
        <w:rPr>
          <w:rFonts w:ascii="KFGQPC Uthmanic Script HAFS" w:cs="KFGQPC Uthmanic Script HAFS" w:hint="eastAsia"/>
          <w:sz w:val="28"/>
          <w:szCs w:val="28"/>
          <w:rtl/>
          <w:lang w:bidi="fa-IR"/>
        </w:rPr>
        <w:t>إِنَّ</w:t>
      </w:r>
      <w:r w:rsidR="00C169EF" w:rsidRPr="0067048A">
        <w:rPr>
          <w:rFonts w:ascii="KFGQPC Uthmanic Script HAFS" w:cs="KFGQPC Uthmanic Script HAFS"/>
          <w:sz w:val="28"/>
          <w:szCs w:val="28"/>
          <w:rtl/>
          <w:lang w:bidi="fa-IR"/>
        </w:rPr>
        <w:t xml:space="preserve"> </w:t>
      </w:r>
      <w:r w:rsidR="00C169EF" w:rsidRPr="0067048A">
        <w:rPr>
          <w:rFonts w:ascii="KFGQPC Uthmanic Script HAFS" w:cs="KFGQPC Uthmanic Script HAFS" w:hint="eastAsia"/>
          <w:sz w:val="28"/>
          <w:szCs w:val="28"/>
          <w:rtl/>
          <w:lang w:bidi="fa-IR"/>
        </w:rPr>
        <w:t>عَلَي</w:t>
      </w:r>
      <w:r w:rsidR="00C169EF" w:rsidRPr="0067048A">
        <w:rPr>
          <w:rFonts w:ascii="KFGQPC Uthmanic Script HAFS" w:cs="KFGQPC Uthmanic Script HAFS" w:hint="cs"/>
          <w:sz w:val="28"/>
          <w:szCs w:val="28"/>
          <w:rtl/>
          <w:lang w:bidi="fa-IR"/>
        </w:rPr>
        <w:t>ۡ</w:t>
      </w:r>
      <w:r w:rsidR="00C169EF" w:rsidRPr="0067048A">
        <w:rPr>
          <w:rFonts w:ascii="KFGQPC Uthmanic Script HAFS" w:cs="KFGQPC Uthmanic Script HAFS" w:hint="eastAsia"/>
          <w:sz w:val="28"/>
          <w:szCs w:val="28"/>
          <w:rtl/>
          <w:lang w:bidi="fa-IR"/>
        </w:rPr>
        <w:t>نَا</w:t>
      </w:r>
      <w:r w:rsidR="00C169EF" w:rsidRPr="0067048A">
        <w:rPr>
          <w:rFonts w:ascii="KFGQPC Uthmanic Script HAFS" w:cs="KFGQPC Uthmanic Script HAFS"/>
          <w:sz w:val="28"/>
          <w:szCs w:val="28"/>
          <w:rtl/>
          <w:lang w:bidi="fa-IR"/>
        </w:rPr>
        <w:t xml:space="preserve"> </w:t>
      </w:r>
      <w:r w:rsidR="00C169EF" w:rsidRPr="0067048A">
        <w:rPr>
          <w:rFonts w:ascii="KFGQPC Uthmanic Script HAFS" w:cs="KFGQPC Uthmanic Script HAFS" w:hint="eastAsia"/>
          <w:sz w:val="28"/>
          <w:szCs w:val="28"/>
          <w:rtl/>
          <w:lang w:bidi="fa-IR"/>
        </w:rPr>
        <w:t>حِسَابَهُم</w:t>
      </w:r>
      <w:r w:rsidR="00C169EF" w:rsidRPr="0067048A">
        <w:rPr>
          <w:rFonts w:ascii="KFGQPC Uthmanic Script HAFS" w:cs="KFGQPC Uthmanic Script HAFS"/>
          <w:sz w:val="28"/>
          <w:szCs w:val="28"/>
          <w:rtl/>
          <w:lang w:bidi="fa-IR"/>
        </w:rPr>
        <w:t xml:space="preserve"> </w:t>
      </w:r>
      <w:r w:rsidR="00C169EF" w:rsidRPr="0067048A">
        <w:rPr>
          <w:rFonts w:ascii="KFGQPC Uthmanic Script HAFS" w:cs="KFGQPC Uthmanic Script HAFS" w:hint="cs"/>
          <w:sz w:val="28"/>
          <w:szCs w:val="28"/>
          <w:rtl/>
          <w:lang w:bidi="fa-IR"/>
        </w:rPr>
        <w:t>٢٦</w:t>
      </w:r>
      <w:r w:rsidR="00C169EF" w:rsidRPr="00995B26">
        <w:rPr>
          <w:rFonts w:cs="Traditional Arabic" w:hint="cs"/>
          <w:szCs w:val="30"/>
          <w:rtl/>
          <w:lang w:bidi="ar-SY"/>
        </w:rPr>
        <w:t>﴾</w:t>
      </w:r>
      <w:r w:rsidRPr="00495BAB">
        <w:rPr>
          <w:rFonts w:hint="cs"/>
          <w:rtl/>
          <w:lang w:bidi="ar-SY"/>
        </w:rPr>
        <w:t xml:space="preserve"> </w:t>
      </w:r>
      <w:r w:rsidRPr="009E1401">
        <w:rPr>
          <w:rStyle w:val="Char2"/>
          <w:rtl/>
        </w:rPr>
        <w:t>[الغاشية</w:t>
      </w:r>
      <w:r w:rsidR="00C169EF" w:rsidRPr="009E1401">
        <w:rPr>
          <w:rStyle w:val="Char2"/>
          <w:rFonts w:hint="cs"/>
          <w:rtl/>
        </w:rPr>
        <w:t xml:space="preserve">: </w:t>
      </w:r>
      <w:r w:rsidRPr="009E1401">
        <w:rPr>
          <w:rStyle w:val="Char2"/>
          <w:rtl/>
        </w:rPr>
        <w:t>25</w:t>
      </w:r>
      <w:r w:rsidRPr="009E1401">
        <w:rPr>
          <w:rStyle w:val="Char2"/>
          <w:rFonts w:hint="cs"/>
          <w:rtl/>
        </w:rPr>
        <w:t xml:space="preserve"> - 26</w:t>
      </w:r>
      <w:r w:rsidRPr="009E1401">
        <w:rPr>
          <w:rStyle w:val="Char2"/>
          <w:rtl/>
        </w:rPr>
        <w:t>]</w:t>
      </w:r>
      <w:r w:rsidRPr="00495BAB">
        <w:rPr>
          <w:rFonts w:hint="cs"/>
          <w:rtl/>
          <w:lang w:bidi="ar-SY"/>
        </w:rPr>
        <w:t xml:space="preserve"> تُؤدَّى فيه جميع حقوق الله وحقوق العباد ويمكن لكل فرد شيعي أن ينال مكانًا في أعلى جنان الفردوس حتى ولو كان قد ارتكب أنواع الفسق والفجور وأضاع حقوق الله وحقوق العباد! ولدينا الآلاف من أمثال هذه الاختراعات والاكتشافات التي يحتاج شرحها إلى كتب عديدة، ويحتاج إلى مؤسسات ومنشآت تُمَكِّن صاحب كل كُتَيِّب مليء بالترهات أن يطبع منه خمسة آلاف نسخة وأكثر وينشرها وكل ذلك ببركة ذلك الخمس الشامل! فإن كنا نحن نفتقد ذلك الخمس فلنذهب إلى الجحيم! فالذنب ذنبنا لأننا سرنا بطريق مخالف لطريقهم وكفرنا بالنعمة فعلينا أن نتحمل الذل لهذا السبب!؟</w:t>
      </w:r>
    </w:p>
    <w:p w:rsidR="00CD31AA" w:rsidRPr="00495BAB" w:rsidRDefault="00CD31AA" w:rsidP="00495BAB">
      <w:pPr>
        <w:pStyle w:val="a0"/>
        <w:rPr>
          <w:rFonts w:hint="cs"/>
          <w:rtl/>
          <w:lang w:bidi="ar-SY"/>
        </w:rPr>
      </w:pPr>
      <w:r w:rsidRPr="00495BAB">
        <w:rPr>
          <w:rFonts w:hint="cs"/>
          <w:rtl/>
          <w:lang w:bidi="ar-SY"/>
        </w:rPr>
        <w:t xml:space="preserve">ثم بدأ كُتّاب رسالة الردّ غير المغرضين (!) بذكر الروايات التي أوردها أهل السنة في كتبهم في موضوع خمس غير الغنائم الحربية، فملؤوا عدَّة صفحات من رسالتهم من هذا الأمر. مثلاً روى البيهقي عن رسول الله </w:t>
      </w:r>
      <w:r w:rsidRPr="00495BAB">
        <w:rPr>
          <w:rFonts w:ascii="Abo-thar" w:hAnsi="Abo-thar"/>
          <w:sz w:val="28"/>
          <w:lang w:bidi="fa-IR"/>
        </w:rPr>
        <w:t></w:t>
      </w:r>
      <w:r w:rsidRPr="00495BAB">
        <w:rPr>
          <w:rFonts w:hint="cs"/>
          <w:rtl/>
          <w:lang w:bidi="ar-SY"/>
        </w:rPr>
        <w:t xml:space="preserve"> قوله: «وَ</w:t>
      </w:r>
      <w:r w:rsidRPr="00495BAB">
        <w:rPr>
          <w:rtl/>
          <w:lang w:bidi="ar-SY"/>
        </w:rPr>
        <w:t>فِي الرِّكَازِ الْخُمُسُ</w:t>
      </w:r>
      <w:r w:rsidRPr="00495BAB">
        <w:rPr>
          <w:rFonts w:hint="cs"/>
          <w:rtl/>
          <w:lang w:bidi="ar-SY"/>
        </w:rPr>
        <w:t>». وروى أنس من مالك روايةً حول خمس الكنز. ثم كرروا ذكر رواية البيهقي التي رواها مسلم في صحيحه وذكروا كذلك رواية كتاب كنز العمال حول المراتع وقالوا: إن الحديث الفلاني جاء في كتاب أُسْد الغابة، و.... الخ.</w:t>
      </w:r>
    </w:p>
    <w:p w:rsidR="00CD31AA" w:rsidRPr="00495BAB" w:rsidRDefault="00CD31AA" w:rsidP="00495BAB">
      <w:pPr>
        <w:pStyle w:val="a0"/>
        <w:rPr>
          <w:rFonts w:hint="cs"/>
          <w:rtl/>
          <w:lang w:bidi="ar-SY"/>
        </w:rPr>
      </w:pPr>
      <w:r w:rsidRPr="00495BAB">
        <w:rPr>
          <w:rFonts w:hint="cs"/>
          <w:rtl/>
          <w:lang w:bidi="ar-SY"/>
        </w:rPr>
        <w:t>إن هؤلاء الكتاب الفضلاء جدًّا (!) اللذين يكتبون تحت إشراف أستاذهم ذي القدر الرفيع، هم  فرسان الكتابة بين الشيعة في عصر الذرة، لكنْ يبدو أنهم يجهلون أدنى الأمور المتعلقة بفن الجدل والرد، أو يتخيلون أنهم يحاربون شخصاً ميتاً! أي لا ينظرون أبداً إلى الكتاب الذي يردون عليه، بل يبحثون هنا وهناك عن كلمة تمكِّنهم من إفحام الخصم. ثم يغلقون بعد ذلك أعينهم ويكيلون ما أمكنهم من السباب والشتائم لمن يخالفونهم مما تعلموه من شيخهم وأستاذهم.</w:t>
      </w:r>
    </w:p>
    <w:p w:rsidR="00CD31AA" w:rsidRPr="00495BAB" w:rsidRDefault="00CD31AA" w:rsidP="00495BAB">
      <w:pPr>
        <w:pStyle w:val="a0"/>
        <w:rPr>
          <w:rFonts w:hint="cs"/>
          <w:rtl/>
          <w:lang w:bidi="ar-SY"/>
        </w:rPr>
      </w:pPr>
      <w:r w:rsidRPr="00495BAB">
        <w:rPr>
          <w:rFonts w:hint="cs"/>
          <w:rtl/>
          <w:lang w:bidi="ar-SY"/>
        </w:rPr>
        <w:t>إنك تشعر وكأن عين القراءة والمطالعة لديهم قد عميت وكأنّ رؤوسهم قد خلت من الفهم والعقل والإدراك، ففي كتابنا الخمس هذا ذكرنا شرح الأموال والأشياء التي تجب فيها الزكاة كالكنز والمعادن والأموال التي اختلطت بالحرام وقلنا: إن مقدار زكاة هذه الأموال هو الخمس. كما أن مقدار الزكاة في الزروع والثمار هو العشر وأحياناً نصف العشر، ومقدار زكاة الأنعام هو 1 من 25 إلى 1 من 40، ومقدار الزكاة من النقد السائل هو 1 من 40 (أي 2.5 %). وهذا مذكور في فتاوى فقهاء أهل السنة، ومستندهم في ذلك هذه الأحاديث ذاتها التي تشبث بها هؤلاء الكتاب الفضلاء جدًّا ليستدلوا بها على ذلك الخمس الشامل العام! إن كنتم من أهل البحث والمجادلة فلماذا لا تذكرون ألفاظ وعبارات كتابي الخمس عينها، كما أقوم بذكر عين عباراتكم خلال ردِّي عليها؟ بهذا يمكن أن يتبين للناس من هو الغشَّاش الحقيقي فيسودّ وجهه.</w:t>
      </w:r>
    </w:p>
    <w:p w:rsidR="00CD31AA" w:rsidRPr="00495BAB" w:rsidRDefault="00CD31AA" w:rsidP="00451CED">
      <w:pPr>
        <w:pStyle w:val="a0"/>
        <w:rPr>
          <w:rFonts w:hint="cs"/>
          <w:rtl/>
          <w:lang w:bidi="ar-SY"/>
        </w:rPr>
      </w:pPr>
      <w:r w:rsidRPr="00495BAB">
        <w:rPr>
          <w:rFonts w:hint="cs"/>
          <w:rtl/>
          <w:lang w:bidi="ar-SY"/>
        </w:rPr>
        <w:t>نعم، يقول علماء أهل السنة بوجوب الخمس في المعادن والركاز أي الكنوز والدفائن وفي المراتع، على معنى أنّ مقدار الزكاة في تلك الأمور هو 20 % أي الخمس؛ وقد أخذ رسول</w:t>
      </w:r>
      <w:r w:rsidR="00451CED">
        <w:rPr>
          <w:rFonts w:cs="Times New Roman" w:hint="cs"/>
          <w:rtl/>
          <w:lang w:bidi="ar-SY"/>
        </w:rPr>
        <w:t>‌</w:t>
      </w:r>
      <w:r w:rsidRPr="00495BAB">
        <w:rPr>
          <w:rFonts w:hint="cs"/>
          <w:rtl/>
          <w:lang w:bidi="ar-SY"/>
        </w:rPr>
        <w:t>الله</w:t>
      </w:r>
      <w:r w:rsidRPr="00495BAB">
        <w:rPr>
          <w:rFonts w:ascii="Abo-thar" w:hAnsi="Abo-thar"/>
          <w:sz w:val="28"/>
          <w:lang w:bidi="fa-IR"/>
        </w:rPr>
        <w:t></w:t>
      </w:r>
      <w:r w:rsidRPr="00495BAB">
        <w:rPr>
          <w:rFonts w:hint="cs"/>
          <w:rtl/>
          <w:lang w:bidi="ar-SY"/>
        </w:rPr>
        <w:t xml:space="preserve"> هذه الزكاة من الناس وكذلك فعل الخلفاء من بعده، كما اعتبر أئمة أهل البيت أيضاً أن مقدار زكاة هذه الأشياء هو الخمس، كما شرحنا ذلك في كتابنا هذا وفي كتابنا </w:t>
      </w:r>
      <w:r w:rsidRPr="00495BAB">
        <w:rPr>
          <w:rFonts w:hint="cs"/>
          <w:b/>
          <w:bCs/>
          <w:rtl/>
          <w:lang w:bidi="ar-SY"/>
        </w:rPr>
        <w:t>الزكاة</w:t>
      </w:r>
      <w:r w:rsidRPr="00495BAB">
        <w:rPr>
          <w:rFonts w:hint="cs"/>
          <w:rtl/>
          <w:lang w:bidi="ar-SY"/>
        </w:rPr>
        <w:t xml:space="preserve">. إن كان لكم عين تبصر ولم تكونوا قد طلقتم عقولكم فستدركون هذه الحقيقة المخالفة لرغبتكم وعقيدتكم فراجعوا الصفحات التي ذكرنا فيها هذا الموضوع كي تطَّلعوا على كثير من الحقائق إن كان لا يزال لديكم فهم وإنصاف، وكي تعلموا أنكم تجهلون كثيراً من الأمور، وأنّه ينبغي ألا تغترُّوا بالعبارات التي توضع إلى جانب اسمكم مثل الأستاذ القدير، التي تكتبونها بأنفسكم، وأنكم لا تزالون بحاجة إلى القراءة والمطالعة والفهم! كان من الجيد حتى تصدقوا بحقيقة أن خمس المعادن ليس سوى زكاتها، أن ترجعوا إلى كتاب الكافي وتقرؤوا الحديث الذي يقول: </w:t>
      </w:r>
      <w:r w:rsidRPr="00394385">
        <w:rPr>
          <w:rFonts w:cs="KFGQPC Uthman Taha Naskh" w:hint="cs"/>
          <w:rtl/>
          <w:lang w:bidi="ar-SY"/>
        </w:rPr>
        <w:t>«</w:t>
      </w:r>
      <w:r w:rsidRPr="00394385">
        <w:rPr>
          <w:rFonts w:cs="KFGQPC Uthman Taha Naskh"/>
          <w:rtl/>
          <w:lang w:bidi="ar-SY"/>
        </w:rPr>
        <w:t xml:space="preserve">وَسُئِلَ </w:t>
      </w:r>
      <w:r w:rsidR="003C7AEB" w:rsidRPr="003C7AEB">
        <w:rPr>
          <w:rFonts w:cs="CTraditional Arabic"/>
          <w:rtl/>
          <w:lang w:bidi="ar-SY"/>
        </w:rPr>
        <w:t>÷</w:t>
      </w:r>
      <w:r w:rsidRPr="00394385">
        <w:rPr>
          <w:rFonts w:cs="KFGQPC Uthman Taha Naskh"/>
          <w:rtl/>
          <w:lang w:bidi="ar-SY"/>
        </w:rPr>
        <w:t xml:space="preserve"> </w:t>
      </w:r>
      <w:r w:rsidRPr="00394385">
        <w:rPr>
          <w:rFonts w:cs="KFGQPC Uthman Taha Naskh" w:hint="cs"/>
          <w:rtl/>
          <w:lang w:bidi="ar-SY"/>
        </w:rPr>
        <w:t xml:space="preserve">(أي أبو جعفر التقي) </w:t>
      </w:r>
      <w:r w:rsidRPr="00394385">
        <w:rPr>
          <w:rFonts w:cs="KFGQPC Uthman Taha Naskh"/>
          <w:rtl/>
          <w:lang w:bidi="ar-SY"/>
        </w:rPr>
        <w:t>عَنِ الرَّجُلِ يَأْخُذُ مِنْهُ هَؤُلَاءِ زَكَاةَ مَالِهِ، أَوْ خُمُسَ غَنِيمَتِهِ، أَوْ خُمُسَ مَا يَخْرُجُ لَهُ مِنَ الْمَعَادِنِ، أَيُحْسَبُ ذَلِكَ لَهُ فِي زَكَاتِهِ وَخُمُسِهِ؟ قَالَ: نَعَمْ</w:t>
      </w:r>
      <w:r w:rsidRPr="00394385">
        <w:rPr>
          <w:rFonts w:cs="KFGQPC Uthman Taha Naskh" w:hint="cs"/>
          <w:rtl/>
          <w:lang w:bidi="ar-SY"/>
        </w:rPr>
        <w:t>»</w:t>
      </w:r>
      <w:r w:rsidRPr="00495BAB">
        <w:rPr>
          <w:rFonts w:hint="cs"/>
          <w:rtl/>
          <w:lang w:bidi="ar-SY"/>
        </w:rPr>
        <w:t>. ومن الواضح تمامًا أن الخمس الذي كان يأخذه خلفاء بني العباس من الناس هو زكاة المعادن هذه ذاتها وقد أوضحنا هذا الموضوع بشكل جيد في كتابنا الزكاة.</w:t>
      </w:r>
    </w:p>
    <w:p w:rsidR="00CD31AA" w:rsidRPr="00995B26" w:rsidRDefault="00CD31AA" w:rsidP="00495BAB">
      <w:pPr>
        <w:pStyle w:val="a0"/>
        <w:rPr>
          <w:rFonts w:hint="cs"/>
          <w:rtl/>
          <w:lang w:bidi="ar-SY"/>
        </w:rPr>
      </w:pPr>
      <w:r w:rsidRPr="00495BAB">
        <w:rPr>
          <w:rFonts w:hint="cs"/>
          <w:rtl/>
          <w:lang w:bidi="ar-SY"/>
        </w:rPr>
        <w:t xml:space="preserve">والأعجب من كل ذلك أنهم نقلوا حديثًا من كتاب </w:t>
      </w:r>
      <w:r w:rsidRPr="00495BAB">
        <w:rPr>
          <w:rFonts w:hint="cs"/>
          <w:b/>
          <w:bCs/>
          <w:rtl/>
          <w:lang w:bidi="ar-SY"/>
        </w:rPr>
        <w:t>العِقد الفريد</w:t>
      </w:r>
      <w:r w:rsidRPr="00495BAB">
        <w:rPr>
          <w:rFonts w:hint="cs"/>
          <w:rtl/>
          <w:lang w:bidi="ar-SY"/>
        </w:rPr>
        <w:t xml:space="preserve"> يقول: إن رسول الله </w:t>
      </w:r>
      <w:r w:rsidRPr="00495BAB">
        <w:rPr>
          <w:rFonts w:ascii="Abo-thar" w:hAnsi="Abo-thar"/>
          <w:sz w:val="28"/>
          <w:lang w:bidi="fa-IR"/>
        </w:rPr>
        <w:t></w:t>
      </w:r>
      <w:r w:rsidRPr="00495BAB">
        <w:rPr>
          <w:rFonts w:hint="cs"/>
          <w:rtl/>
          <w:lang w:bidi="ar-SY"/>
        </w:rPr>
        <w:t xml:space="preserve"> قال: «في السيوب الخُمس»، ولما كانت كلمة سيوب تعني في اللغة المال المخبأ في الأرض وكان المراد من ذلك الدفائن والكنز التي زكاتها هي خمسها؛ وكان هناك من معاني كلمة (سيب) المتعددة، كالمطر الجاري وشعر ذنب الفرس ومجداف السفينة وشعر رقبة الحصان وغيرها، معنى هو: العطاء والهبة، كتب الكُتّاب الأفاضل يقولون: «لو </w:t>
      </w:r>
      <w:r w:rsidRPr="00995B26">
        <w:rPr>
          <w:rFonts w:cs="Akhbar MT" w:hint="cs"/>
          <w:szCs w:val="30"/>
          <w:rtl/>
          <w:lang w:bidi="ar-SY"/>
        </w:rPr>
        <w:t>اعتبرنا أن السيب يعني كل نوع من أنواع العطاء والهبة وقلنا إن المقصود منه عطاء الله ومواهبة للإنسان، فإن تلك الكلمة ستشمل جميع ما يدخل للإنسان من كسب وربح وطبقًا لها سيجب الخمس في كل شيء</w:t>
      </w:r>
      <w:r w:rsidRPr="00495BAB">
        <w:rPr>
          <w:rFonts w:hint="cs"/>
          <w:rtl/>
          <w:lang w:bidi="ar-SY"/>
        </w:rPr>
        <w:t>». هذا في حين أن كلمة سَيْب وردت في كتاب «</w:t>
      </w:r>
      <w:r w:rsidRPr="00495BAB">
        <w:rPr>
          <w:rFonts w:hint="cs"/>
          <w:b/>
          <w:bCs/>
          <w:rtl/>
          <w:lang w:bidi="ar-SY"/>
        </w:rPr>
        <w:t>القاموس</w:t>
      </w:r>
      <w:r w:rsidRPr="00495BAB">
        <w:rPr>
          <w:rFonts w:hint="cs"/>
          <w:rtl/>
          <w:lang w:bidi="ar-SY"/>
        </w:rPr>
        <w:t>» وفي كتاب «</w:t>
      </w:r>
      <w:r w:rsidRPr="00495BAB">
        <w:rPr>
          <w:rFonts w:hint="cs"/>
          <w:b/>
          <w:bCs/>
          <w:rtl/>
          <w:lang w:bidi="ar-SY"/>
        </w:rPr>
        <w:t>النهاية</w:t>
      </w:r>
      <w:r w:rsidRPr="00495BAB">
        <w:rPr>
          <w:rFonts w:hint="cs"/>
          <w:rtl/>
          <w:lang w:bidi="ar-SY"/>
        </w:rPr>
        <w:t>» وفي جميع كتب اللغة بمعنى الدفينة. والأفضل من كل ذلك أنه جاء في كتب الشيعة الفقهية كالمعتبر قول المحقق: «</w:t>
      </w:r>
      <w:r w:rsidRPr="00995B26">
        <w:rPr>
          <w:rFonts w:cs="Akhbar MT" w:hint="cs"/>
          <w:szCs w:val="30"/>
          <w:rtl/>
          <w:lang w:bidi="ar-SY"/>
        </w:rPr>
        <w:t xml:space="preserve">قال </w:t>
      </w:r>
      <w:r w:rsidRPr="00995B26">
        <w:rPr>
          <w:rFonts w:ascii="Abo-thar" w:hAnsi="Abo-thar" w:cs="Akhbar MT"/>
          <w:sz w:val="28"/>
          <w:szCs w:val="30"/>
          <w:lang w:bidi="fa-IR"/>
        </w:rPr>
        <w:t></w:t>
      </w:r>
      <w:r w:rsidRPr="00995B26">
        <w:rPr>
          <w:rFonts w:cs="Akhbar MT" w:hint="cs"/>
          <w:szCs w:val="30"/>
          <w:rtl/>
          <w:lang w:bidi="ar-SY"/>
        </w:rPr>
        <w:t xml:space="preserve"> في السيوب الخُمس، أي ما في عروق الأرض من الذهب والفضة</w:t>
      </w:r>
      <w:r w:rsidRPr="00495BAB">
        <w:rPr>
          <w:rFonts w:hint="cs"/>
          <w:rtl/>
          <w:lang w:bidi="ar-SY"/>
        </w:rPr>
        <w:t>». لكن السادة استخرجوا من السيوب معنى العطاء والهبة وبالصورة التي لاحظتموها. إذًا هل فهمتهم الآن ماذا كان دليل السادة الواضح وردهم المفحم في إثبات مطلبهم!!</w:t>
      </w:r>
    </w:p>
    <w:p w:rsidR="00CD31AA" w:rsidRPr="00495BAB" w:rsidRDefault="00CD31AA" w:rsidP="00495BAB">
      <w:pPr>
        <w:pStyle w:val="a0"/>
        <w:rPr>
          <w:rFonts w:hint="cs"/>
          <w:rtl/>
          <w:lang w:bidi="ar-SY"/>
        </w:rPr>
      </w:pPr>
      <w:r w:rsidRPr="00495BAB">
        <w:rPr>
          <w:rFonts w:hint="cs"/>
          <w:rtl/>
          <w:lang w:bidi="ar-SY"/>
        </w:rPr>
        <w:t xml:space="preserve">إن قَبِلْنا حديثَ كتاب </w:t>
      </w:r>
      <w:r w:rsidRPr="00495BAB">
        <w:rPr>
          <w:rFonts w:hint="cs"/>
          <w:b/>
          <w:bCs/>
          <w:rtl/>
          <w:lang w:bidi="ar-SY"/>
        </w:rPr>
        <w:t>العِقد الفريد</w:t>
      </w:r>
      <w:r w:rsidRPr="00495BAB">
        <w:rPr>
          <w:rFonts w:hint="cs"/>
          <w:rtl/>
          <w:lang w:bidi="ar-SY"/>
        </w:rPr>
        <w:t xml:space="preserve"> - وكاتبه سني متعصب وقد أورد هذا الحديث بهدف إثبات وجوب الخمس في زكاة الكنوز والدفائن- وحَرَّفْنا كلمة السيوب عن معناها الخاص وفسرناها بمعنى العطاء والهبة، وهي أحد المعاني العشرة لكلمة «سَيْب»، وإذا اعتبرنا أن المقصود من العطاء والهبة عطاء الله وهبته للإنسان، وإذا اعتبرنا أن أجرة الحمال والعامل وأجرة النساء العاملات في غسل الملابس وغزل الخيوط من عطاء الله وهبته، عندئذ وبعد كل حروف (إذا) تلك تكون كلمة السيوب شاملة لجميع ما يدخل إلى الإنسان وما يكسبه من مال، وبالتالي لابد من إعطاء خمسه! هل هناك دليل أمتن ومستند أقوى من هذا؟! هل لأحد بعد ذلك أن يجترئ على القول: إن خمس أرباح المكاسب لا سند له ولا علاقة له بدين الإسلام الصحيح؟!</w:t>
      </w:r>
    </w:p>
    <w:p w:rsidR="00CD31AA" w:rsidRPr="00495BAB" w:rsidRDefault="00CD31AA" w:rsidP="00495BAB">
      <w:pPr>
        <w:pStyle w:val="a0"/>
        <w:rPr>
          <w:rFonts w:hint="cs"/>
          <w:rtl/>
          <w:lang w:bidi="ar-SY"/>
        </w:rPr>
      </w:pPr>
      <w:r w:rsidRPr="00495BAB">
        <w:rPr>
          <w:rFonts w:hint="cs"/>
          <w:rtl/>
          <w:lang w:bidi="ar-SY"/>
        </w:rPr>
        <w:t>وتحت عنوان الروايات التي وصلتنا من مصادر حديث أهل البيت كتب مؤلفو رسالة الرد يقولون: «</w:t>
      </w:r>
      <w:r w:rsidRPr="00995B26">
        <w:rPr>
          <w:rFonts w:cs="Akhbar MT" w:hint="cs"/>
          <w:szCs w:val="30"/>
          <w:rtl/>
          <w:lang w:bidi="ar-SY"/>
        </w:rPr>
        <w:t>لقد جُمِعَت في كتاب وسائل الشيعة المعروف أكثر من 80 حديثاً في 15 باب مختلف حول أحكام الخمس من كتب الشيعة المعروفة</w:t>
      </w:r>
      <w:r w:rsidRPr="00495BAB">
        <w:rPr>
          <w:rFonts w:hint="cs"/>
          <w:rtl/>
          <w:lang w:bidi="ar-SY"/>
        </w:rPr>
        <w:t>». ثم أخذوا يعددون عددًا من هذه الأبواب.</w:t>
      </w:r>
    </w:p>
    <w:p w:rsidR="00CD31AA" w:rsidRPr="00495BAB" w:rsidRDefault="00CD31AA" w:rsidP="00495BAB">
      <w:pPr>
        <w:pStyle w:val="a0"/>
        <w:rPr>
          <w:rFonts w:hint="cs"/>
          <w:rtl/>
          <w:lang w:bidi="ar-SY"/>
        </w:rPr>
      </w:pPr>
      <w:r w:rsidRPr="00495BAB">
        <w:rPr>
          <w:rFonts w:hint="cs"/>
          <w:rtl/>
          <w:lang w:bidi="ar-SY"/>
        </w:rPr>
        <w:t xml:space="preserve">وأقول: نعم، يمكن أن نجد أكثر من 80 حديثًا في موضوع الخمس في كتب الشيعة المعروفة، مما مكَّن صاحب وسائل الشيعة من جمعها في كتابه. ولكن </w:t>
      </w:r>
      <w:r w:rsidRPr="00495BAB">
        <w:rPr>
          <w:rFonts w:hint="cs"/>
          <w:b/>
          <w:bCs/>
          <w:rtl/>
          <w:lang w:bidi="ar-SY"/>
        </w:rPr>
        <w:t>أولاً</w:t>
      </w:r>
      <w:r w:rsidRPr="00495BAB">
        <w:rPr>
          <w:rFonts w:hint="cs"/>
          <w:rtl/>
          <w:lang w:bidi="ar-SY"/>
        </w:rPr>
        <w:t xml:space="preserve">: رصف الأحاديث بعضها إلى جانب بعض لا يدل على كثرتها لأن عادة صاحب الوسائل هي كذلك. مثلاً جاء في كتاب </w:t>
      </w:r>
      <w:r w:rsidRPr="00495BAB">
        <w:rPr>
          <w:rFonts w:hint="cs"/>
          <w:b/>
          <w:bCs/>
          <w:rtl/>
          <w:lang w:bidi="ar-SY"/>
        </w:rPr>
        <w:t>الكافي</w:t>
      </w:r>
      <w:r w:rsidRPr="00495BAB">
        <w:rPr>
          <w:rFonts w:hint="cs"/>
          <w:rtl/>
          <w:lang w:bidi="ar-SY"/>
        </w:rPr>
        <w:t xml:space="preserve"> حوالي 28 حديثًا في باب الخمس، وكرَّر الشيخ الصدوق في كتابه </w:t>
      </w:r>
      <w:r w:rsidRPr="00495BAB">
        <w:rPr>
          <w:rFonts w:hint="cs"/>
          <w:b/>
          <w:bCs/>
          <w:rtl/>
          <w:lang w:bidi="ar-SY"/>
        </w:rPr>
        <w:t>من لا يحضره الفقيه</w:t>
      </w:r>
      <w:r w:rsidRPr="00495BAB">
        <w:rPr>
          <w:rFonts w:hint="cs"/>
          <w:rtl/>
          <w:lang w:bidi="ar-SY"/>
        </w:rPr>
        <w:t xml:space="preserve"> بعض أو كل تلك الأحاديث ذاتها، ثم أورد المرحوم الشيخ الطوسي أحاديث </w:t>
      </w:r>
      <w:r w:rsidRPr="00495BAB">
        <w:rPr>
          <w:rFonts w:hint="cs"/>
          <w:b/>
          <w:bCs/>
          <w:rtl/>
          <w:lang w:bidi="ar-SY"/>
        </w:rPr>
        <w:t>الكافي</w:t>
      </w:r>
      <w:r w:rsidRPr="00495BAB">
        <w:rPr>
          <w:rFonts w:hint="cs"/>
          <w:rtl/>
          <w:lang w:bidi="ar-SY"/>
        </w:rPr>
        <w:t xml:space="preserve"> و</w:t>
      </w:r>
      <w:r w:rsidRPr="00495BAB">
        <w:rPr>
          <w:rFonts w:hint="cs"/>
          <w:b/>
          <w:bCs/>
          <w:rtl/>
          <w:lang w:bidi="ar-SY"/>
        </w:rPr>
        <w:t>من لا يحضره الفقيه</w:t>
      </w:r>
      <w:r w:rsidRPr="00495BAB">
        <w:rPr>
          <w:rFonts w:hint="cs"/>
          <w:rtl/>
          <w:lang w:bidi="ar-SY"/>
        </w:rPr>
        <w:t xml:space="preserve"> كلها في كتابيه </w:t>
      </w:r>
      <w:r w:rsidRPr="00495BAB">
        <w:rPr>
          <w:rFonts w:hint="cs"/>
          <w:b/>
          <w:bCs/>
          <w:rtl/>
          <w:lang w:bidi="ar-SY"/>
        </w:rPr>
        <w:t>تهذيب الأحكام</w:t>
      </w:r>
      <w:r w:rsidRPr="00495BAB">
        <w:rPr>
          <w:rFonts w:hint="cs"/>
          <w:rtl/>
          <w:lang w:bidi="ar-SY"/>
        </w:rPr>
        <w:t xml:space="preserve"> و</w:t>
      </w:r>
      <w:r w:rsidRPr="00495BAB">
        <w:rPr>
          <w:rFonts w:hint="cs"/>
          <w:b/>
          <w:bCs/>
          <w:rtl/>
          <w:lang w:bidi="ar-SY"/>
        </w:rPr>
        <w:t>الاستبصار</w:t>
      </w:r>
      <w:r w:rsidRPr="00495BAB">
        <w:rPr>
          <w:rFonts w:hint="cs"/>
          <w:rtl/>
          <w:lang w:bidi="ar-SY"/>
        </w:rPr>
        <w:t xml:space="preserve"> وأضاف إليها بضعة أحاديث أخرى في هذا الموضوع، وكرَّر صاحب </w:t>
      </w:r>
      <w:r w:rsidRPr="00495BAB">
        <w:rPr>
          <w:rFonts w:hint="cs"/>
          <w:b/>
          <w:bCs/>
          <w:rtl/>
          <w:lang w:bidi="ar-SY"/>
        </w:rPr>
        <w:t>وسائل الشيعة</w:t>
      </w:r>
      <w:r w:rsidRPr="00495BAB">
        <w:rPr>
          <w:rFonts w:hint="cs"/>
          <w:rtl/>
          <w:lang w:bidi="ar-SY"/>
        </w:rPr>
        <w:t xml:space="preserve"> ذكر هذه الأحاديث التي وردت بشكل متكرّر في تلك الكتب الأربعة وغيرها من الكتب، وجَمَعَها إلى بعضها حتى وصل عددها إلى ثمانين حديثًا؛ أما لو دقَّقْنا النظر في جميع هذه الأحاديث لما وصل عددها الحقيقي وغير المتكرر إلى ثلث هذا العدد. أضف إلى ذلك أن بعض الأحاديث التي تم جمعها في تلك الأبواب الخمسة عشر في </w:t>
      </w:r>
      <w:r w:rsidRPr="00495BAB">
        <w:rPr>
          <w:rFonts w:hint="cs"/>
          <w:b/>
          <w:bCs/>
          <w:rtl/>
          <w:lang w:bidi="ar-SY"/>
        </w:rPr>
        <w:t>الوسائل</w:t>
      </w:r>
      <w:r w:rsidRPr="00495BAB">
        <w:rPr>
          <w:rFonts w:hint="cs"/>
          <w:rtl/>
          <w:lang w:bidi="ar-SY"/>
        </w:rPr>
        <w:t xml:space="preserve"> يتعلق بخمس المعادن والكنوز والغوص والأموال التي اختلطت بالحرام وهي أحاديث تتعلق بموضوع الزكاة وينبغي أن تذكر في باب الزكاة ولا علاقة لها بذلك الخمس الشامل، كما أن لدينا حوالي 20 وبضعة أحاديث في تحليل الخُمس، وبعض هذه الأحاديث الثمانين أيضًا يتعلق بتقسيم خُمس الغنائم الحربية، فجَمْع ثمانين حديثًا لا يدل على أهمية ذلك الخمس الشامل! </w:t>
      </w:r>
      <w:r w:rsidRPr="00495BAB">
        <w:rPr>
          <w:rFonts w:hint="cs"/>
          <w:b/>
          <w:bCs/>
          <w:rtl/>
          <w:lang w:bidi="ar-SY"/>
        </w:rPr>
        <w:t>ثانيًا</w:t>
      </w:r>
      <w:r w:rsidRPr="00495BAB">
        <w:rPr>
          <w:rFonts w:hint="cs"/>
          <w:rtl/>
          <w:lang w:bidi="ar-SY"/>
        </w:rPr>
        <w:t xml:space="preserve">: إن كثرة الحديث في كتب الشيعة لا تدل بالضرورة على أهميتها في نظر الشرع. هناك في كتب الشيعة كثير من الأحاديث ليس لها أدنى قيمة في نظر الإسلام. فمثلاً جمع صاحب </w:t>
      </w:r>
      <w:r w:rsidRPr="00495BAB">
        <w:rPr>
          <w:rFonts w:hint="cs"/>
          <w:b/>
          <w:bCs/>
          <w:rtl/>
          <w:lang w:bidi="ar-SY"/>
        </w:rPr>
        <w:t>وسائل الشيعة</w:t>
      </w:r>
      <w:r w:rsidRPr="00495BAB">
        <w:rPr>
          <w:rFonts w:hint="cs"/>
          <w:rtl/>
          <w:lang w:bidi="ar-SY"/>
        </w:rPr>
        <w:t xml:space="preserve"> في كتابه أكثر من ثلاث</w:t>
      </w:r>
      <w:r w:rsidR="00755AAC">
        <w:rPr>
          <w:rFonts w:hint="cs"/>
          <w:rtl/>
          <w:lang w:bidi="ar-SY"/>
        </w:rPr>
        <w:t>مائة</w:t>
      </w:r>
      <w:r w:rsidRPr="00495BAB">
        <w:rPr>
          <w:rFonts w:hint="cs"/>
          <w:rtl/>
          <w:lang w:bidi="ar-SY"/>
        </w:rPr>
        <w:t xml:space="preserve"> حديث في موضوع </w:t>
      </w:r>
      <w:r w:rsidRPr="00495BAB">
        <w:rPr>
          <w:rFonts w:hint="cs"/>
          <w:b/>
          <w:bCs/>
          <w:rtl/>
          <w:lang w:bidi="ar-SY"/>
        </w:rPr>
        <w:t>الرجعة</w:t>
      </w:r>
      <w:r w:rsidRPr="00495BAB">
        <w:rPr>
          <w:rFonts w:hint="cs"/>
          <w:rtl/>
          <w:lang w:bidi="ar-SY"/>
        </w:rPr>
        <w:t xml:space="preserve"> مما ذُكِر في المجلد 13 من </w:t>
      </w:r>
      <w:r w:rsidRPr="00495BAB">
        <w:rPr>
          <w:rFonts w:hint="cs"/>
          <w:b/>
          <w:bCs/>
          <w:rtl/>
          <w:lang w:bidi="ar-SY"/>
        </w:rPr>
        <w:t xml:space="preserve">بحار الأنوار </w:t>
      </w:r>
      <w:r w:rsidRPr="00495BAB">
        <w:rPr>
          <w:rFonts w:hint="cs"/>
          <w:rtl/>
          <w:lang w:bidi="ar-SY"/>
        </w:rPr>
        <w:t>وفي كتاب «</w:t>
      </w:r>
      <w:r w:rsidRPr="00495BAB">
        <w:rPr>
          <w:rFonts w:hint="cs"/>
          <w:b/>
          <w:bCs/>
          <w:rtl/>
          <w:lang w:bidi="ar-SY"/>
        </w:rPr>
        <w:t>إيقاظ الهجعة في إثبات الرجعة</w:t>
      </w:r>
      <w:r w:rsidRPr="00495BAB">
        <w:rPr>
          <w:rFonts w:hint="cs"/>
          <w:rtl/>
          <w:lang w:bidi="ar-SY"/>
        </w:rPr>
        <w:t>»، في حين أن الرجعة في نظر العقل والشرع ليست سوى خرافة. وكذلك وردت أحاديث في فضل زيارة قبور الأموات وفي ثواب قراءة الأدعية و</w:t>
      </w:r>
      <w:r w:rsidR="00AB28A0" w:rsidRPr="00495BAB">
        <w:rPr>
          <w:rFonts w:hint="cs"/>
          <w:rtl/>
          <w:lang w:bidi="ar-SY"/>
        </w:rPr>
        <w:t>.</w:t>
      </w:r>
      <w:r w:rsidRPr="00495BAB">
        <w:rPr>
          <w:rFonts w:hint="cs"/>
          <w:rtl/>
          <w:lang w:bidi="ar-SY"/>
        </w:rPr>
        <w:t>.. إلخ؛ وكما ذكرنا في كتابنا الحالي، ليس هناك في وجوب الخمس الشامل أكثر من عشرة أحاديث وقد أقر كُتّاب هذا الكُتِّيب بأنه وردت في وجوب الخمس عشرة أحاديث؛ والواقع أن هذه الأحاديث العشرة كلها ضعيفة من حيث السند كما أثبتنا ذلك في هذا الكتاب. لكنهم كتبوا يقولون: «</w:t>
      </w:r>
      <w:r w:rsidRPr="00995B26">
        <w:rPr>
          <w:rFonts w:cs="Akhbar MT" w:hint="cs"/>
          <w:szCs w:val="30"/>
          <w:rtl/>
          <w:lang w:bidi="ar-SY"/>
        </w:rPr>
        <w:t>إن أسانيد هذه الأحاديث، بالنظر إلى كثرتها، لا تحتاج إلى النقد، لأننا نعلم أنه عندما تُروى في مسألة من المسائل أحاديث عديدة، لاسيما في الكتب المعتبرة، يمكننا أن نطمئن من مجموعها إلى صدور الحكم عن الإمام ولا يبقى مجال للإشكال في أسانيدها</w:t>
      </w:r>
      <w:r w:rsidRPr="00495BAB">
        <w:rPr>
          <w:rFonts w:hint="cs"/>
          <w:rtl/>
          <w:lang w:bidi="ar-SY"/>
        </w:rPr>
        <w:t>».</w:t>
      </w:r>
    </w:p>
    <w:p w:rsidR="00CD31AA" w:rsidRPr="00495BAB" w:rsidRDefault="00CD31AA" w:rsidP="00495BAB">
      <w:pPr>
        <w:pStyle w:val="a0"/>
        <w:rPr>
          <w:rFonts w:hint="cs"/>
          <w:rtl/>
          <w:lang w:bidi="ar-SY"/>
        </w:rPr>
      </w:pPr>
      <w:r w:rsidRPr="00495BAB">
        <w:rPr>
          <w:rFonts w:hint="cs"/>
          <w:rtl/>
          <w:lang w:bidi="ar-SY"/>
        </w:rPr>
        <w:t>قلنا: لو كانت كثرة الأحاديث في موضوعٍ من الموضوعات تعطينا العلم بصحة صدورها عن الإمام، لوجب أن نعتبر أحاديث الرجعة والزيارة والشفاعة وأمثالها صحيحة، في حين أن هؤلاء الكُتَّاب أنفسهم لا يستطيعون الاطمئنان إلى صحتها؛ وقد ألَّف أحدهم مُؤَخَّرًا كتابًا في إثبات بطلان هذه العقائد وسمَّاه «</w:t>
      </w:r>
      <w:r w:rsidRPr="00495BAB">
        <w:rPr>
          <w:rFonts w:hint="cs"/>
          <w:b/>
          <w:bCs/>
          <w:rtl/>
          <w:lang w:bidi="ar-SY"/>
        </w:rPr>
        <w:t>الإسلام والرجعة</w:t>
      </w:r>
      <w:r w:rsidRPr="00495BAB">
        <w:rPr>
          <w:rFonts w:hint="cs"/>
          <w:rtl/>
          <w:lang w:bidi="ar-SY"/>
        </w:rPr>
        <w:t>» وهو ينوي إعادة طباعته ثانيةً، أما هذه الضجة والصخب الذي أثاروه ضد كتاب «</w:t>
      </w:r>
      <w:r w:rsidRPr="00495BAB">
        <w:rPr>
          <w:rFonts w:hint="cs"/>
          <w:b/>
          <w:bCs/>
          <w:rtl/>
          <w:lang w:bidi="ar-SY"/>
        </w:rPr>
        <w:t>الخُمْس</w:t>
      </w:r>
      <w:r w:rsidRPr="00495BAB">
        <w:rPr>
          <w:rFonts w:hint="cs"/>
          <w:rtl/>
          <w:lang w:bidi="ar-SY"/>
        </w:rPr>
        <w:t>»، حتى رأينا في هذه المدة القصيرة أربع رسائل أو كُتِّيبات أُلِّفت ونُشِرَت في الردِّ عليه، فإن ما قام به صاحب الرد على الرجعة - مقارنةً بذلك - لا يُعَدُّ عملاً مهمًّا بالنسبة لموضوع الرجعة التي رووا فيها أكثر من ثلاث</w:t>
      </w:r>
      <w:r w:rsidR="00755AAC">
        <w:rPr>
          <w:rFonts w:hint="cs"/>
          <w:rtl/>
          <w:lang w:bidi="ar-SY"/>
        </w:rPr>
        <w:t>مائة</w:t>
      </w:r>
      <w:r w:rsidRPr="00495BAB">
        <w:rPr>
          <w:rFonts w:hint="cs"/>
          <w:rtl/>
          <w:lang w:bidi="ar-SY"/>
        </w:rPr>
        <w:t xml:space="preserve"> حديث عن الأئمة، لأن رد الرجعة أو إثباتها لا يُنقِص أحدًا شيئًا. ولكن ماذا بشأن الخمس؟ لذلك يهدِّدنا اليوم أشخاص -في السرّ والعَلَن- بالموت!</w:t>
      </w:r>
    </w:p>
    <w:p w:rsidR="00CD31AA" w:rsidRPr="00495BAB" w:rsidRDefault="00CD31AA" w:rsidP="00495BAB">
      <w:pPr>
        <w:pStyle w:val="a0"/>
        <w:rPr>
          <w:rFonts w:hint="cs"/>
          <w:rtl/>
          <w:lang w:bidi="ar-SY"/>
        </w:rPr>
      </w:pPr>
      <w:r w:rsidRPr="00495BAB">
        <w:rPr>
          <w:rFonts w:hint="cs"/>
          <w:rtl/>
          <w:lang w:bidi="ar-SY"/>
        </w:rPr>
        <w:t>يعتقد كُتَّاب رسالة الرد على الخمس أن بعض هذ الأحاديث العشرة الموجبة للخمس في رأيهم، صحيح السند، كحديث محمد بن الحسن الأشعري.</w:t>
      </w:r>
    </w:p>
    <w:p w:rsidR="00CD31AA" w:rsidRPr="00495BAB" w:rsidRDefault="00CD31AA" w:rsidP="00495BAB">
      <w:pPr>
        <w:pStyle w:val="a0"/>
        <w:rPr>
          <w:rFonts w:hint="cs"/>
          <w:rtl/>
          <w:lang w:bidi="ar-SY"/>
        </w:rPr>
      </w:pPr>
      <w:r w:rsidRPr="00495BAB">
        <w:rPr>
          <w:rFonts w:hint="cs"/>
          <w:rtl/>
          <w:lang w:bidi="ar-SY"/>
        </w:rPr>
        <w:t>وهذا الحديث الذي أورده هؤلاء السادة على رأس قائمة الأحاديث الصحيحة - في رأيهم - في موضوع الخمس، قد قمنا في كتابنا الحاضر بتمحيص سنده، فراويه الأول هو «سعد بن عبد الله الأشعري»، قد أورده ابن داود - الذي هو من أئمة علماء الرجال - في القسم الخاص بالضعفاء والمجهولين والمجروحين من كتابه «</w:t>
      </w:r>
      <w:r w:rsidRPr="00495BAB">
        <w:rPr>
          <w:rFonts w:hint="cs"/>
          <w:b/>
          <w:bCs/>
          <w:rtl/>
          <w:lang w:bidi="ar-SY"/>
        </w:rPr>
        <w:t>الرجال</w:t>
      </w:r>
      <w:r w:rsidRPr="00495BAB">
        <w:rPr>
          <w:rFonts w:hint="cs"/>
          <w:rtl/>
          <w:lang w:bidi="ar-SY"/>
        </w:rPr>
        <w:t>» (في الصفحة 457 من الطبعة الجديدة). والعجيب أن كُتَّاب رسالة الرد هذه، كتبوا في الدفاع عن «سعد بن عبد الله» قائلين بغضب: «</w:t>
      </w:r>
      <w:r w:rsidRPr="00995B26">
        <w:rPr>
          <w:rFonts w:cs="Akhbar MT" w:hint="cs"/>
          <w:szCs w:val="30"/>
          <w:rtl/>
          <w:lang w:bidi="ar-SY"/>
        </w:rPr>
        <w:t>إن مؤلف كتاب الخمس اعتبر سعد بن عبد الله الأشعري القمِّي..... الذي كان رجلاً جليل القدر وثقةً وصاحب تصانيف عديدة، فردًا غير موثوق، لم يُوَثِّقْه أي عالم كبير من علماء الرجال! ولا ندري من أين أتى هذا المؤلف بهذا الكذب الصريح والفاضح؟!</w:t>
      </w:r>
      <w:r w:rsidRPr="00495BAB">
        <w:rPr>
          <w:rFonts w:hint="cs"/>
          <w:rtl/>
          <w:lang w:bidi="ar-SY"/>
        </w:rPr>
        <w:t>».</w:t>
      </w:r>
    </w:p>
    <w:p w:rsidR="00CD31AA" w:rsidRPr="00495BAB" w:rsidRDefault="00CD31AA" w:rsidP="00495BAB">
      <w:pPr>
        <w:pStyle w:val="a0"/>
        <w:rPr>
          <w:rFonts w:hint="cs"/>
          <w:rtl/>
          <w:lang w:bidi="ar-SY"/>
        </w:rPr>
      </w:pPr>
      <w:r w:rsidRPr="00495BAB">
        <w:rPr>
          <w:rFonts w:hint="cs"/>
          <w:rtl/>
          <w:lang w:bidi="ar-SY"/>
        </w:rPr>
        <w:t xml:space="preserve">فأقول: أولاً: عندما ذكرنا اسم </w:t>
      </w:r>
      <w:r w:rsidRPr="00495BAB">
        <w:rPr>
          <w:rtl/>
          <w:lang w:bidi="ar-SY"/>
        </w:rPr>
        <w:t xml:space="preserve">سعد بن عبد الله الأشعري </w:t>
      </w:r>
      <w:r w:rsidRPr="00495BAB">
        <w:rPr>
          <w:rFonts w:hint="cs"/>
          <w:rtl/>
          <w:lang w:bidi="ar-SY"/>
        </w:rPr>
        <w:t>في هذا الكتاب لم نقل أبدًا: إنه شخص غير موثوق، كما لم نقل أبدًا إنه لم يوثِّقه أي عالم كبير من علماء الرجال، فهذا الذي نسبوه لنا كذب صُراحٌ ناجم عن بعدهم التام عن الإنصاف! وهذا الكذب فضيحةٌ لصاحبه وهم الذين ارتكبوه وهم الذين يستحقون هذه الفضيحة! أما نحن فقد كتبنا أن الراوي الأول لهذا الحديث هو «سعد بن عبد الله الأشعري»، الذي أورده «ابن داود» في القسم الخاص بالضعفاء والمجهولين والمجروحين من كتابه «</w:t>
      </w:r>
      <w:r w:rsidRPr="00495BAB">
        <w:rPr>
          <w:rFonts w:hint="cs"/>
          <w:b/>
          <w:bCs/>
          <w:rtl/>
          <w:lang w:bidi="ar-SY"/>
        </w:rPr>
        <w:t>الرجال</w:t>
      </w:r>
      <w:r w:rsidRPr="00495BAB">
        <w:rPr>
          <w:rFonts w:hint="cs"/>
          <w:rtl/>
          <w:lang w:bidi="ar-SY"/>
        </w:rPr>
        <w:t xml:space="preserve">» (في الصفحة 457 من الطبعة الجديدة). كما كتبنا في موضع آخر: إن الراوي الأول لهذا الحديث هو «سعد بن عبد الله الأشعري» الذي ورد اسمه في تمحيص رواة الأحاديث السابقة، ولم يتفق جميع أئمة الرجال على توثيقه. ونسألكم أن تتفضلوا وتخبروننا: هل «ابن داود الحلي» من أئمة علماء الرجال الشيعة أم لا؟! فإن أقررتم بأنه من أئمة الرجاليين  الشيعة، فهل يحق له إذن أن يُعَدِّل راوٍ ويُوَّثِّقه، أو يجرحه ويضعِّفه أم لا يحق له ذلك؟ وما دام «ابن دواد» قد ذكر </w:t>
      </w:r>
      <w:r w:rsidRPr="00495BAB">
        <w:rPr>
          <w:rtl/>
          <w:lang w:bidi="ar-SY"/>
        </w:rPr>
        <w:t>سعد بن عبد الله الأشعري</w:t>
      </w:r>
      <w:r w:rsidRPr="00495BAB">
        <w:rPr>
          <w:rFonts w:hint="cs"/>
          <w:rtl/>
          <w:lang w:bidi="ar-SY"/>
        </w:rPr>
        <w:t xml:space="preserve"> في عداد الضعفاء والمجهولين والمجروحين، أفليس لدينا الحق في القول بأن أئمة الرجال لم يتِّفقوا جميعًا على توثيقه؟ فإن كان لنا الحق في ذلك - كما هو واضح - إذن من الذي كذب كَذِبًا صريحًا مُسَبِّبًا لفضيحة صاحبه سوى كُتَّاب رسالة الرد هذه؟ فهم أولاً: اتهمونًا ظلمًا وزورًا بالكذب، وثانيًا: اخترعوا من عند أنفسهم عبارة: «</w:t>
      </w:r>
      <w:r w:rsidRPr="00995B26">
        <w:rPr>
          <w:rFonts w:cs="Akhbar MT" w:hint="cs"/>
          <w:szCs w:val="30"/>
          <w:rtl/>
          <w:lang w:bidi="ar-SY"/>
        </w:rPr>
        <w:t>فردًا غير موثوق، لم يُوَثِّقْه أي عالم كبير من علماء الرجال</w:t>
      </w:r>
      <w:r w:rsidRPr="00495BAB">
        <w:rPr>
          <w:rFonts w:hint="cs"/>
          <w:rtl/>
          <w:lang w:bidi="ar-SY"/>
        </w:rPr>
        <w:t xml:space="preserve">» ونسبوها إلينا. نعم هذا هو الكذب الفاضح بعينه!! كلا يا كُتَّاب الشيعة البارزون في عصر الذرَّة! لو بحثتم في كتبي ومؤلفاتي كلِّها، بكل تدقيق وعناية، والتي طُبِع ونُشِر منها حتى الآن أكثر من 30 مجلدًا، فلن تجدوا فيها جملةً واحدةً مخالفةً للواقع. لأننا نعلم جيدًا البيئة التي نعيش فيها، وأن هناك عيونًا متربصةً بنا لا شغل لها سوى ملاحقتنا على الصغيرة والكبيرة. وعلى الرغم أنني لم أقل في أي مكان: إن </w:t>
      </w:r>
      <w:r w:rsidRPr="00495BAB">
        <w:rPr>
          <w:rtl/>
          <w:lang w:bidi="ar-SY"/>
        </w:rPr>
        <w:t>سعد بن عبد الله الأشعري</w:t>
      </w:r>
      <w:r w:rsidRPr="00495BAB">
        <w:rPr>
          <w:rFonts w:hint="cs"/>
          <w:rtl/>
          <w:lang w:bidi="ar-SY"/>
        </w:rPr>
        <w:t xml:space="preserve"> شخص غير ثِقَةٍ، إلا أنكم أنتم يا من تدافعون بشدة عن وثاقته وتعتبرونه صاحب تصانيف عديدة، إن كان لكم فهم وإنصاف فعليكم - حسب زعمكم - أن تعتبروه شخصًا غير موثوق، لأن أحد مؤلفاته المشهورة هو كتاب «</w:t>
      </w:r>
      <w:r w:rsidRPr="00495BAB">
        <w:rPr>
          <w:rFonts w:hint="cs"/>
          <w:b/>
          <w:bCs/>
          <w:rtl/>
          <w:lang w:bidi="ar-SY"/>
        </w:rPr>
        <w:t>المقالات والفرق</w:t>
      </w:r>
      <w:r w:rsidRPr="00495BAB">
        <w:rPr>
          <w:rFonts w:hint="cs"/>
          <w:rtl/>
          <w:lang w:bidi="ar-SY"/>
        </w:rPr>
        <w:t xml:space="preserve">» الذي يُدرك كل من قرأه أن مؤلفه ليس بذاك الشيعي الذي تتصورونه. لقد عاش هو نفسه في زمن الأئمة مثل الإمام الجواد وحتى آخر الأئمة، والْتَقَى شخصيًّا- حسب ادِّعاء مصنفي الشيعة - بالأئمة، لكنه رغم كل ذلك، ذكر في كتابه أنه بعد وفاة الإمام الحسن العسكري </w:t>
      </w:r>
      <w:r w:rsidR="00451CED" w:rsidRPr="00451CED">
        <w:rPr>
          <w:rFonts w:ascii="Abo-thar" w:hAnsi="Abo-thar" w:cs="CTraditional Arabic"/>
          <w:sz w:val="28"/>
          <w:rtl/>
          <w:lang w:bidi="ar-SY"/>
        </w:rPr>
        <w:t>÷</w:t>
      </w:r>
      <w:r w:rsidRPr="00495BAB">
        <w:rPr>
          <w:rFonts w:hint="cs"/>
          <w:rtl/>
          <w:lang w:bidi="ar-SY"/>
        </w:rPr>
        <w:t xml:space="preserve"> انقسم الشيعة إلى خمس عشرة فرقة، ولم يختر هو أي فرقة منها بوصفها الفرقة المحقَّة! فهل يمكن الوثوق بمثل هذا والاعتماد على كلامه بعد كل ما  ذكره من معايب كل فرقة من فرق الشيعة؟! نعم هو موثوق ومعتمد ولكن لا مِنْ قِبَلِ شيعة من  أمثالكم! لقد سجلوا له أكثر من عشرين كتابًا في موضوعات فقهية وغيرها، وحسب قول علماء  الرجال، وافق في خمسة كتب فقط من كتبه تلك قول الشيعة (الإمامية)، وخالف أقوالهم في سائر كتبه! فهل لا تزالون تعتبرون أقواله صحيحة وموثوق بها في نظر علماء الشيعة؟!</w:t>
      </w:r>
    </w:p>
    <w:p w:rsidR="00CD31AA" w:rsidRPr="00495BAB" w:rsidRDefault="00CD31AA" w:rsidP="00495BAB">
      <w:pPr>
        <w:pStyle w:val="a0"/>
        <w:rPr>
          <w:rFonts w:hint="cs"/>
          <w:rtl/>
          <w:lang w:bidi="ar-SY"/>
        </w:rPr>
      </w:pPr>
      <w:r w:rsidRPr="00495BAB">
        <w:rPr>
          <w:rFonts w:hint="cs"/>
          <w:rtl/>
          <w:lang w:bidi="ar-SY"/>
        </w:rPr>
        <w:t>كان كلامنا حول صحة حديث محمد بن الحسن</w:t>
      </w:r>
      <w:r w:rsidRPr="00495BAB">
        <w:rPr>
          <w:rtl/>
          <w:lang w:bidi="ar-SY"/>
        </w:rPr>
        <w:t xml:space="preserve"> الأشعري</w:t>
      </w:r>
      <w:r w:rsidRPr="00495BAB">
        <w:rPr>
          <w:rFonts w:hint="cs"/>
          <w:rtl/>
          <w:lang w:bidi="ar-SY"/>
        </w:rPr>
        <w:t>، الذي راويه الأول هو «</w:t>
      </w:r>
      <w:r w:rsidRPr="00495BAB">
        <w:rPr>
          <w:rtl/>
          <w:lang w:bidi="ar-SY"/>
        </w:rPr>
        <w:t>سعد بن عبد الله الأشعري</w:t>
      </w:r>
      <w:r w:rsidRPr="00495BAB">
        <w:rPr>
          <w:rFonts w:hint="cs"/>
          <w:rtl/>
          <w:lang w:bidi="ar-SY"/>
        </w:rPr>
        <w:t xml:space="preserve">» الذي لم يتفق جميع علماء الرجال الشيعة على توثيقه (بل منهم من وثَّقَه، ومنهم من ضَعَّفَه وجَرَحَه). </w:t>
      </w:r>
    </w:p>
    <w:p w:rsidR="00CD31AA" w:rsidRPr="00495BAB" w:rsidRDefault="00CD31AA" w:rsidP="00495BAB">
      <w:pPr>
        <w:pStyle w:val="a0"/>
        <w:rPr>
          <w:rFonts w:hint="cs"/>
          <w:rtl/>
          <w:lang w:bidi="ar-SY"/>
        </w:rPr>
      </w:pPr>
      <w:r w:rsidRPr="00495BAB">
        <w:rPr>
          <w:rFonts w:hint="cs"/>
          <w:rtl/>
          <w:lang w:bidi="ar-SY"/>
        </w:rPr>
        <w:t>وقد كتبنا في كتابنا الحاضر أن علي بن مهزيار روى هذا الحديث عن محمد بن الحسن</w:t>
      </w:r>
      <w:r w:rsidRPr="00495BAB">
        <w:rPr>
          <w:rtl/>
          <w:lang w:bidi="ar-SY"/>
        </w:rPr>
        <w:t xml:space="preserve"> الأشعري</w:t>
      </w:r>
      <w:r w:rsidRPr="00495BAB">
        <w:rPr>
          <w:rFonts w:hint="cs"/>
          <w:rtl/>
          <w:lang w:bidi="ar-SY"/>
        </w:rPr>
        <w:t>، وهو شخص مجهول الحال، لما يأتي:</w:t>
      </w:r>
    </w:p>
    <w:p w:rsidR="00CD31AA" w:rsidRPr="00495BAB" w:rsidRDefault="00CD31AA" w:rsidP="00451CED">
      <w:pPr>
        <w:pStyle w:val="a0"/>
        <w:ind w:left="624" w:hanging="340"/>
        <w:rPr>
          <w:rFonts w:hint="cs"/>
          <w:rtl/>
        </w:rPr>
      </w:pPr>
      <w:r w:rsidRPr="00495BAB">
        <w:rPr>
          <w:rFonts w:hint="cs"/>
          <w:rtl/>
          <w:lang w:bidi="ar-SY"/>
        </w:rPr>
        <w:t xml:space="preserve">1- أشكل المرحوم المقدس الأردبيلي - الذي لا ريب أن كُتَّاب هذه الرسالة يفتخرون بحمل حذائه - على هذا الحديث في كتابه </w:t>
      </w:r>
      <w:r w:rsidRPr="00495BAB">
        <w:rPr>
          <w:rFonts w:hint="cs"/>
          <w:b/>
          <w:bCs/>
          <w:rtl/>
          <w:lang w:bidi="ar-SY"/>
        </w:rPr>
        <w:t>شرح الإرشاد</w:t>
      </w:r>
      <w:r w:rsidRPr="00495BAB">
        <w:rPr>
          <w:rFonts w:hint="cs"/>
          <w:rtl/>
          <w:lang w:bidi="ar-SY"/>
        </w:rPr>
        <w:t xml:space="preserve"> وقال: «</w:t>
      </w:r>
      <w:r w:rsidRPr="00995B26">
        <w:rPr>
          <w:rFonts w:cs="Akhbar MT"/>
          <w:szCs w:val="30"/>
          <w:rtl/>
        </w:rPr>
        <w:t>وفي الصحّة تأم</w:t>
      </w:r>
      <w:r w:rsidRPr="00995B26">
        <w:rPr>
          <w:rFonts w:cs="Akhbar MT" w:hint="cs"/>
          <w:szCs w:val="30"/>
          <w:rtl/>
        </w:rPr>
        <w:t>ُّ</w:t>
      </w:r>
      <w:r w:rsidRPr="00995B26">
        <w:rPr>
          <w:rFonts w:cs="Akhbar MT"/>
          <w:szCs w:val="30"/>
          <w:rtl/>
        </w:rPr>
        <w:t>ل، لعدم ظهور محمد بن الحسن الأشعري‏</w:t>
      </w:r>
      <w:r w:rsidRPr="00995B26">
        <w:rPr>
          <w:rFonts w:cs="Akhbar MT" w:hint="cs"/>
          <w:szCs w:val="30"/>
          <w:rtl/>
        </w:rPr>
        <w:t xml:space="preserve"> </w:t>
      </w:r>
      <w:r w:rsidRPr="00495BAB">
        <w:rPr>
          <w:rFonts w:hint="cs"/>
          <w:rtl/>
        </w:rPr>
        <w:t>[أي أن</w:t>
      </w:r>
      <w:r w:rsidRPr="00495BAB">
        <w:rPr>
          <w:rtl/>
        </w:rPr>
        <w:t xml:space="preserve"> وثاقة محمد بن الحسن الأشعري غير ظاهر</w:t>
      </w:r>
      <w:r w:rsidRPr="00495BAB">
        <w:rPr>
          <w:rFonts w:hint="cs"/>
          <w:rtl/>
        </w:rPr>
        <w:t>ة]»</w:t>
      </w:r>
      <w:r w:rsidRPr="00495BAB">
        <w:rPr>
          <w:rtl/>
        </w:rPr>
        <w:t>.</w:t>
      </w:r>
      <w:r w:rsidR="000C68EA" w:rsidRPr="000C68EA">
        <w:rPr>
          <w:rStyle w:val="FootnoteReference"/>
          <w:rFonts w:cs="Arabic11 BT"/>
          <w:rtl/>
        </w:rPr>
        <w:t>(</w:t>
      </w:r>
      <w:r w:rsidR="000C68EA" w:rsidRPr="000C68EA">
        <w:rPr>
          <w:rStyle w:val="FootnoteReference"/>
          <w:rFonts w:cs="Arabic11 BT"/>
          <w:rtl/>
        </w:rPr>
        <w:footnoteReference w:id="487"/>
      </w:r>
      <w:r w:rsidR="000C68EA" w:rsidRPr="000C68EA">
        <w:rPr>
          <w:rStyle w:val="FootnoteReference"/>
          <w:rFonts w:cs="Arabic11 BT"/>
          <w:rtl/>
        </w:rPr>
        <w:t>)</w:t>
      </w:r>
      <w:r w:rsidRPr="00495BAB">
        <w:rPr>
          <w:rFonts w:hint="cs"/>
          <w:rtl/>
        </w:rPr>
        <w:t xml:space="preserve"> ثم ذكر عدة أمور لإثبات وجهة نظره هذه، ويجب الرجوع إلى كتابه للاطلاع عليها. فكيف يجترئ هؤلاء الكُتَّاب على تصحيح الحديث بعد أن تأمَّل في صحّته المقدس الأردبيلي، مع كل ما لديه من إحاطة ومقام  علمي؟!</w:t>
      </w:r>
    </w:p>
    <w:p w:rsidR="00CD31AA" w:rsidRPr="00495BAB" w:rsidRDefault="00CD31AA" w:rsidP="00451CED">
      <w:pPr>
        <w:pStyle w:val="a0"/>
        <w:ind w:left="624" w:hanging="340"/>
        <w:rPr>
          <w:rFonts w:hint="cs"/>
          <w:rtl/>
        </w:rPr>
      </w:pPr>
      <w:r w:rsidRPr="00495BAB">
        <w:rPr>
          <w:rFonts w:hint="cs"/>
          <w:rtl/>
        </w:rPr>
        <w:t>2- كتب صاحب المدارك،</w:t>
      </w:r>
      <w:r w:rsidR="000C68EA" w:rsidRPr="000C68EA">
        <w:rPr>
          <w:rStyle w:val="FootnoteReference"/>
          <w:rFonts w:cs="Arabic11 BT"/>
          <w:rtl/>
        </w:rPr>
        <w:t>(</w:t>
      </w:r>
      <w:r w:rsidR="000C68EA" w:rsidRPr="000C68EA">
        <w:rPr>
          <w:rStyle w:val="FootnoteReference"/>
          <w:rFonts w:cs="Arabic11 BT"/>
          <w:rtl/>
        </w:rPr>
        <w:footnoteReference w:id="488"/>
      </w:r>
      <w:r w:rsidR="000C68EA" w:rsidRPr="000C68EA">
        <w:rPr>
          <w:rStyle w:val="FootnoteReference"/>
          <w:rFonts w:cs="Arabic11 BT"/>
          <w:rtl/>
        </w:rPr>
        <w:t>)</w:t>
      </w:r>
      <w:r w:rsidRPr="00495BAB">
        <w:rPr>
          <w:rFonts w:hint="cs"/>
          <w:rtl/>
        </w:rPr>
        <w:t xml:space="preserve"> الذي فضله غنيٌّ عن الوصف أيضًا، في كتابه </w:t>
      </w:r>
      <w:r w:rsidRPr="00495BAB">
        <w:rPr>
          <w:rFonts w:hint="cs"/>
          <w:b/>
          <w:bCs/>
          <w:rtl/>
        </w:rPr>
        <w:t>مدارك الأحكام</w:t>
      </w:r>
      <w:r w:rsidRPr="00495BAB">
        <w:rPr>
          <w:rFonts w:hint="cs"/>
          <w:rtl/>
        </w:rPr>
        <w:t>، ذيل هذه الرواية، يقول: «</w:t>
      </w:r>
      <w:r w:rsidRPr="00995B26">
        <w:rPr>
          <w:rFonts w:cs="Akhbar MT" w:hint="cs"/>
          <w:szCs w:val="30"/>
          <w:rtl/>
        </w:rPr>
        <w:t>راويها محمد بن الحسن الأشعري، مجهول، فلا يمكن التعويل على روايته</w:t>
      </w:r>
      <w:r w:rsidRPr="00495BAB">
        <w:rPr>
          <w:rFonts w:hint="cs"/>
          <w:rtl/>
        </w:rPr>
        <w:t xml:space="preserve">». إذن فهذا العالم الجليل أيضًا بيَّن أن </w:t>
      </w:r>
      <w:r w:rsidRPr="00495BAB">
        <w:rPr>
          <w:rtl/>
        </w:rPr>
        <w:t>محمد بن الحسن الأشعري‏</w:t>
      </w:r>
      <w:r w:rsidRPr="00495BAB">
        <w:rPr>
          <w:rFonts w:hint="cs"/>
          <w:rtl/>
        </w:rPr>
        <w:t xml:space="preserve"> وروايته كلاهما لا يمكن الوثوق به والاعتماد عليه. فهل هو الذي فهم حقيقة الأمر جيدًا أم أنتم؟!</w:t>
      </w:r>
    </w:p>
    <w:p w:rsidR="00CD31AA" w:rsidRPr="00495BAB" w:rsidRDefault="00CD31AA" w:rsidP="00451CED">
      <w:pPr>
        <w:pStyle w:val="a0"/>
        <w:ind w:left="624" w:hanging="340"/>
        <w:rPr>
          <w:rFonts w:hint="cs"/>
          <w:rtl/>
        </w:rPr>
      </w:pPr>
      <w:r w:rsidRPr="00495BAB">
        <w:rPr>
          <w:rFonts w:hint="cs"/>
          <w:rtl/>
        </w:rPr>
        <w:t xml:space="preserve">3- واعتبر المرحوم المحقِّق السبزواري في كتابه </w:t>
      </w:r>
      <w:r w:rsidRPr="00495BAB">
        <w:rPr>
          <w:rFonts w:hint="cs"/>
          <w:b/>
          <w:bCs/>
          <w:rtl/>
        </w:rPr>
        <w:t>ذخيرة المعاد</w:t>
      </w:r>
      <w:r w:rsidRPr="00495BAB">
        <w:rPr>
          <w:rFonts w:hint="cs"/>
          <w:rtl/>
        </w:rPr>
        <w:t xml:space="preserve"> أن محمد بن الحسن مجهولٌ ورد روايته لجهالة راويها.</w:t>
      </w:r>
    </w:p>
    <w:p w:rsidR="00CD31AA" w:rsidRPr="00495BAB" w:rsidRDefault="00CD31AA" w:rsidP="00495BAB">
      <w:pPr>
        <w:pStyle w:val="a0"/>
        <w:rPr>
          <w:rFonts w:hint="cs"/>
          <w:rtl/>
        </w:rPr>
      </w:pPr>
      <w:r w:rsidRPr="00495BAB">
        <w:rPr>
          <w:rFonts w:hint="cs"/>
          <w:rtl/>
        </w:rPr>
        <w:t>فإذا ردَّ هؤلاء العلماء الأجلاء الثلاثة، الذي كانوا من فقهاء الشيعة الكبار، هذه الرواية ولم يثقوا بها، واعتبرتموها أنتم صحيحةً، أي القولين نختار؟! وأي كلام لديكم تقولونه بعد ذلك؟!</w:t>
      </w:r>
    </w:p>
    <w:p w:rsidR="00CD31AA" w:rsidRPr="00495BAB" w:rsidRDefault="00CD31AA" w:rsidP="00495BAB">
      <w:pPr>
        <w:pStyle w:val="a0"/>
        <w:rPr>
          <w:rFonts w:hint="cs"/>
          <w:rtl/>
        </w:rPr>
      </w:pPr>
      <w:r w:rsidRPr="00495BAB">
        <w:rPr>
          <w:rFonts w:hint="cs"/>
          <w:rtl/>
        </w:rPr>
        <w:t>الحديث الثاني الذي اعتبره أصحاب رسالة الرد هذه صحيحًا أيضًا حديث أبو علي بن راشد؛ فإليكم شخصية أبو علي الحسن بن راشد:</w:t>
      </w:r>
    </w:p>
    <w:p w:rsidR="00CD31AA" w:rsidRPr="00495BAB" w:rsidRDefault="00451CED" w:rsidP="00451CED">
      <w:pPr>
        <w:pStyle w:val="a0"/>
        <w:ind w:left="624" w:hanging="340"/>
        <w:rPr>
          <w:rFonts w:hint="cs"/>
          <w:rtl/>
          <w:lang w:bidi="ar-SY"/>
        </w:rPr>
      </w:pPr>
      <w:r>
        <w:rPr>
          <w:rFonts w:hint="cs"/>
          <w:rtl/>
        </w:rPr>
        <w:t>ألف</w:t>
      </w:r>
      <w:r w:rsidR="00CD31AA" w:rsidRPr="00495BAB">
        <w:rPr>
          <w:rFonts w:hint="cs"/>
          <w:rtl/>
        </w:rPr>
        <w:t xml:space="preserve">- كتب المرحوم المقدس الأردبيلي في كتابه </w:t>
      </w:r>
      <w:r w:rsidR="00CD31AA" w:rsidRPr="00495BAB">
        <w:rPr>
          <w:rFonts w:hint="cs"/>
          <w:b/>
          <w:bCs/>
          <w:rtl/>
        </w:rPr>
        <w:t>شرح الإرشاد</w:t>
      </w:r>
      <w:r w:rsidR="00CD31AA" w:rsidRPr="00495BAB">
        <w:rPr>
          <w:rFonts w:hint="cs"/>
          <w:rtl/>
        </w:rPr>
        <w:t xml:space="preserve"> (ص 271) يقول: «أبو علي بن راشد غير مُصَرَّح بتوثيقه». فماذا نعمل إن كان أصحاب رسالة الردّ هذه يعتبرون رأيهم أرجح من رأي المقدس الأردبيلي!</w:t>
      </w:r>
    </w:p>
    <w:p w:rsidR="00CD31AA" w:rsidRPr="00495BAB" w:rsidRDefault="00451CED" w:rsidP="00451CED">
      <w:pPr>
        <w:pStyle w:val="a0"/>
        <w:ind w:left="624" w:hanging="340"/>
        <w:rPr>
          <w:rFonts w:hint="cs"/>
          <w:rtl/>
        </w:rPr>
      </w:pPr>
      <w:r>
        <w:rPr>
          <w:rFonts w:hint="cs"/>
          <w:rtl/>
          <w:lang w:bidi="ar-SY"/>
        </w:rPr>
        <w:t>ب</w:t>
      </w:r>
      <w:r w:rsidR="00CD31AA" w:rsidRPr="00495BAB">
        <w:rPr>
          <w:rFonts w:hint="cs"/>
          <w:rtl/>
          <w:lang w:bidi="ar-SY"/>
        </w:rPr>
        <w:t xml:space="preserve">- كما أورد المرحوم المحقِّق السبزواري في كتابه </w:t>
      </w:r>
      <w:r w:rsidR="00CD31AA" w:rsidRPr="00495BAB">
        <w:rPr>
          <w:rFonts w:hint="cs"/>
          <w:b/>
          <w:bCs/>
          <w:rtl/>
          <w:lang w:bidi="ar-SY"/>
        </w:rPr>
        <w:t>ذخيرة المعاد</w:t>
      </w:r>
      <w:r w:rsidR="00CD31AA" w:rsidRPr="00495BAB">
        <w:rPr>
          <w:rFonts w:hint="cs"/>
          <w:rtl/>
          <w:lang w:bidi="ar-SY"/>
        </w:rPr>
        <w:t xml:space="preserve"> عدة إشكالات على هذا الحديث وقال بعد ذلك: «راويه لم يُوَثَّق في كتب الرجال صريحًا».</w:t>
      </w:r>
    </w:p>
    <w:p w:rsidR="00CD31AA" w:rsidRPr="00495BAB" w:rsidRDefault="00451CED" w:rsidP="00451CED">
      <w:pPr>
        <w:pStyle w:val="a0"/>
        <w:ind w:left="624" w:hanging="340"/>
        <w:rPr>
          <w:rFonts w:hint="cs"/>
          <w:rtl/>
          <w:lang w:bidi="ar-SY"/>
        </w:rPr>
      </w:pPr>
      <w:r>
        <w:rPr>
          <w:rFonts w:hint="cs"/>
          <w:rtl/>
        </w:rPr>
        <w:t>ج</w:t>
      </w:r>
      <w:r w:rsidR="00CD31AA" w:rsidRPr="00495BAB">
        <w:rPr>
          <w:rFonts w:hint="cs"/>
          <w:rtl/>
        </w:rPr>
        <w:t>- أورد ابن داود في كتابه «</w:t>
      </w:r>
      <w:r w:rsidR="00CD31AA" w:rsidRPr="00495BAB">
        <w:rPr>
          <w:rFonts w:hint="cs"/>
          <w:b/>
          <w:bCs/>
          <w:rtl/>
        </w:rPr>
        <w:t>الرجال</w:t>
      </w:r>
      <w:r w:rsidR="00CD31AA" w:rsidRPr="00495BAB">
        <w:rPr>
          <w:rFonts w:hint="cs"/>
          <w:rtl/>
        </w:rPr>
        <w:t>» (في الصفحة 439)اسم أبي علي الحسن بن راشد في القسم الثاني من كتابه الخاص بالضعفاء والمجهولين والمجروحين.</w:t>
      </w:r>
    </w:p>
    <w:p w:rsidR="00CD31AA" w:rsidRPr="00495BAB" w:rsidRDefault="00451CED" w:rsidP="00451CED">
      <w:pPr>
        <w:pStyle w:val="a0"/>
        <w:ind w:left="624" w:hanging="340"/>
        <w:rPr>
          <w:rFonts w:hint="cs"/>
          <w:rtl/>
          <w:lang w:bidi="ar-SY"/>
        </w:rPr>
      </w:pPr>
      <w:r>
        <w:rPr>
          <w:rFonts w:hint="cs"/>
          <w:rtl/>
          <w:lang w:bidi="ar-SY"/>
        </w:rPr>
        <w:t>د</w:t>
      </w:r>
      <w:r w:rsidR="00CD31AA" w:rsidRPr="00495BAB">
        <w:rPr>
          <w:rFonts w:hint="cs"/>
          <w:rtl/>
          <w:lang w:bidi="ar-SY"/>
        </w:rPr>
        <w:t xml:space="preserve">- قال المرحوم  الغضائري عنه: «الحسن بن راشد ضعيفٌ جدًّا»؟ </w:t>
      </w:r>
    </w:p>
    <w:p w:rsidR="00CD31AA" w:rsidRPr="00495BAB" w:rsidRDefault="00CD31AA" w:rsidP="00495BAB">
      <w:pPr>
        <w:pStyle w:val="a0"/>
        <w:rPr>
          <w:rFonts w:hint="cs"/>
          <w:rtl/>
          <w:lang w:bidi="ar-SY"/>
        </w:rPr>
      </w:pPr>
      <w:r w:rsidRPr="00495BAB">
        <w:rPr>
          <w:rFonts w:hint="cs"/>
          <w:rtl/>
          <w:lang w:bidi="ar-SY"/>
        </w:rPr>
        <w:t>هل ما زلتم تعتبرون هذا الحديث صحيحًا؟!</w:t>
      </w:r>
    </w:p>
    <w:p w:rsidR="00CD31AA" w:rsidRPr="00451CED" w:rsidRDefault="00CD31AA" w:rsidP="00495BAB">
      <w:pPr>
        <w:pStyle w:val="a0"/>
        <w:rPr>
          <w:spacing w:val="-2"/>
          <w:lang w:bidi="ar-SY"/>
        </w:rPr>
      </w:pPr>
      <w:r w:rsidRPr="00451CED">
        <w:rPr>
          <w:rFonts w:hint="cs"/>
          <w:spacing w:val="-2"/>
          <w:rtl/>
        </w:rPr>
        <w:t xml:space="preserve">الحديث الثالث الذي اعتبروه صحيحًا أيضًا هو حديث إبراهيم بن محمد الهمداني، ولما كان الكليني قد روى هذا الحديث في كتابه </w:t>
      </w:r>
      <w:r w:rsidRPr="00451CED">
        <w:rPr>
          <w:rFonts w:hint="cs"/>
          <w:b/>
          <w:bCs/>
          <w:spacing w:val="-2"/>
          <w:rtl/>
        </w:rPr>
        <w:t>الكافي</w:t>
      </w:r>
      <w:r w:rsidRPr="00451CED">
        <w:rPr>
          <w:rFonts w:hint="cs"/>
          <w:spacing w:val="-2"/>
          <w:rtl/>
        </w:rPr>
        <w:t xml:space="preserve"> عن علي بن محمد عن سهل بن زياد عن إبراهيم بن محمد، فقد بيَّنا في كتابنا الحاضر هوية «سهل بن زياد» كما جاءت في كتب الرجال الشيعية التي ذكرت أنه كان غاليًا وكذّابًا وفاسد الرواية والدِّين، وأن أحمد من محمد بن عيسى الأشعري أخرجه من قم وأظهر البراءة منه ومنع الناس من سماع الحديث منه والأخذ عنه، كما أن إبراهيم بن محمد ذاته أيضًا مجهول الحال في كتب الرجال. فهذا الحديث إذًا، رواهُ حفنة من الغلاة الكذّابين فاسدي الرواية والدِّين والمجهولين، ورغم ذلك يعتبره كُتَّاب رسالة الرد هذه حديثًا صحيحًا!  ماذا  ينبغي عليهم فعله غير ذلك؟ فالأمر جِدُّ خطير، و«الغريق يتشبّث بكل حشيش»!</w:t>
      </w:r>
    </w:p>
    <w:p w:rsidR="00CD31AA" w:rsidRPr="00495BAB" w:rsidRDefault="00CD31AA" w:rsidP="00495BAB">
      <w:pPr>
        <w:pStyle w:val="a0"/>
        <w:rPr>
          <w:rFonts w:hint="cs"/>
          <w:rtl/>
        </w:rPr>
      </w:pPr>
      <w:r w:rsidRPr="00495BAB">
        <w:rPr>
          <w:rFonts w:hint="cs"/>
          <w:rtl/>
          <w:lang w:bidi="ar-SY"/>
        </w:rPr>
        <w:t>الحديث الرابع من الأحاديث العشرة التي اعتبرها أصحاب كُتَيِّب الردّ صحيحةً هو حديث علي بن مهزيار. ولم يروِ علي بن مهزيار هذا الحديث فقط، بل روى خَمْسَةَ أحاديث أخرى أيضًا من هذه الأحاديث العشرة! فحديث محمد بن علي بن شجاع رواه علي بن مهزيار، وحديث أبي علي بن راشد رواه علي بن مهزيار أيضًا! وحديث إبراهيم بن محمد الهمداني وحديث أحمد بن محمد بن عيسى أيضًا رواهما علي بن مهزيار؛ فلم نبتعد عن الحقيقة عندما قلنا إن علي بن مهزيار بطل أحاديث خمس الأرباح والمكاسب، لأنه هو الذي روى هذه الأحاديث الخمسة التي تعتبر أربعةٌ منها أن الخمس خاصٌّ بالإمام؛ ولما كان هذا الرجل وأبوه في بداية أمرهما من النصارى، رغم كل شهرته ووثاقته، وكان يعتبر نفسه وكيلاً للأئمة، أو للإمام الجواد، وقال هو نفسه:</w:t>
      </w:r>
      <w:r w:rsidRPr="00495BAB">
        <w:rPr>
          <w:rtl/>
          <w:lang w:bidi="ar-SY"/>
        </w:rPr>
        <w:t xml:space="preserve"> </w:t>
      </w:r>
      <w:r w:rsidRPr="00394385">
        <w:rPr>
          <w:rFonts w:cs="KFGQPC Uthman Taha Naskh" w:hint="cs"/>
          <w:rtl/>
          <w:lang w:bidi="ar-SY"/>
        </w:rPr>
        <w:t>«</w:t>
      </w:r>
      <w:r w:rsidRPr="00394385">
        <w:rPr>
          <w:rFonts w:cs="KFGQPC Uthman Taha Naskh"/>
          <w:rtl/>
          <w:lang w:bidi="ar-SY"/>
        </w:rPr>
        <w:t>كَتَبْتُ إِل</w:t>
      </w:r>
      <w:r w:rsidRPr="00394385">
        <w:rPr>
          <w:rFonts w:cs="KFGQPC Uthman Taha Naskh" w:hint="cs"/>
          <w:rtl/>
          <w:lang w:bidi="ar-SY"/>
        </w:rPr>
        <w:t xml:space="preserve">ى الإمام محمد التقي </w:t>
      </w:r>
      <w:r w:rsidRPr="00394385">
        <w:rPr>
          <w:rFonts w:cs="KFGQPC Uthman Taha Naskh"/>
          <w:rtl/>
          <w:lang w:bidi="ar-SY"/>
        </w:rPr>
        <w:t>أَسْأَلُهُ التَّوَسُّعَ عَلَيَّ وَالتَّحْلِيلَ لِمَا فِي يَدَيَّ فَكَتَبَ:</w:t>
      </w:r>
      <w:r w:rsidRPr="00394385">
        <w:rPr>
          <w:rFonts w:cs="KFGQPC Uthman Taha Naskh" w:hint="cs"/>
          <w:rtl/>
          <w:lang w:bidi="ar-SY"/>
        </w:rPr>
        <w:t xml:space="preserve"> </w:t>
      </w:r>
      <w:r w:rsidRPr="00394385">
        <w:rPr>
          <w:rFonts w:cs="KFGQPC Uthman Taha Naskh"/>
          <w:rtl/>
          <w:lang w:bidi="ar-SY"/>
        </w:rPr>
        <w:t>وَسَّعَ اللهُ عَلَيْكَ وَلِمَنْ سَأَلْتَ بِهِ التَّوْسِعَةَ مِنْ أَهْلِكَ وَلِأَهْلِ بَيْتِكَ وَلَكَ يَا عَلِيُّ عِنْدِي مِنْ أَكْثَرِ التَّوْسِعَةِ</w:t>
      </w:r>
      <w:r w:rsidRPr="00394385">
        <w:rPr>
          <w:rFonts w:cs="KFGQPC Uthman Taha Naskh" w:hint="cs"/>
          <w:rtl/>
          <w:lang w:bidi="ar-SY"/>
        </w:rPr>
        <w:t>»</w:t>
      </w:r>
      <w:r w:rsidR="000C68EA" w:rsidRPr="000C68EA">
        <w:rPr>
          <w:rStyle w:val="FootnoteReference"/>
          <w:rFonts w:cs="Arabic11 BT"/>
          <w:rtl/>
          <w:lang w:bidi="ar-SY"/>
        </w:rPr>
        <w:t>(</w:t>
      </w:r>
      <w:r w:rsidR="000C68EA" w:rsidRPr="000C68EA">
        <w:rPr>
          <w:rStyle w:val="FootnoteReference"/>
          <w:rFonts w:cs="Arabic11 BT"/>
          <w:rtl/>
          <w:lang w:bidi="ar-SY"/>
        </w:rPr>
        <w:footnoteReference w:id="489"/>
      </w:r>
      <w:r w:rsidR="000C68EA" w:rsidRPr="000C68EA">
        <w:rPr>
          <w:rStyle w:val="FootnoteReference"/>
          <w:rFonts w:cs="Arabic11 BT"/>
          <w:rtl/>
          <w:lang w:bidi="ar-SY"/>
        </w:rPr>
        <w:t>)</w:t>
      </w:r>
      <w:r w:rsidR="00E1500C" w:rsidRPr="00495BAB">
        <w:rPr>
          <w:rFonts w:hint="cs"/>
          <w:rtl/>
          <w:lang w:bidi="ar-SY"/>
        </w:rPr>
        <w:t>.</w:t>
      </w:r>
      <w:r w:rsidRPr="00495BAB">
        <w:rPr>
          <w:rtl/>
          <w:lang w:bidi="ar-SY"/>
        </w:rPr>
        <w:t xml:space="preserve"> </w:t>
      </w:r>
      <w:r w:rsidRPr="00495BAB">
        <w:rPr>
          <w:rFonts w:hint="cs"/>
          <w:rtl/>
          <w:lang w:bidi="ar-SY"/>
        </w:rPr>
        <w:t xml:space="preserve">أي يقول إن الإمام وهبه كل ما كان بيديه إليه!! ونحن مهما أردنا أن نحسن الظن، ومهما قام علماء رجالنا بالثناء على هذا الرجل ومدحه، لا يمكننا أن نصدق أنه كان شخصًا نزيهاً، وأنه دوَّن هذه الأحاديث لوجه الله، في حين أننا نرى كبار علماء الشيعة قد ردُّوا أحاديثه كلها. كما لا يمكننا القول: إنه كان يجمع تلك الأموال طلبًا لرضا الله! ولكي يوصلها إلى إمام زمانه! في حين أننا نراه هو نفسه يقول: </w:t>
      </w:r>
      <w:r w:rsidRPr="00394385">
        <w:rPr>
          <w:rFonts w:cs="KFGQPC Uthman Taha Naskh" w:hint="cs"/>
          <w:rtl/>
          <w:lang w:bidi="ar-SY"/>
        </w:rPr>
        <w:t>«</w:t>
      </w:r>
      <w:r w:rsidRPr="00394385">
        <w:rPr>
          <w:rFonts w:cs="KFGQPC Uthman Taha Naskh"/>
          <w:rtl/>
          <w:lang w:bidi="ar-SY"/>
        </w:rPr>
        <w:t>كَتَبْتُ إِل</w:t>
      </w:r>
      <w:r w:rsidRPr="00394385">
        <w:rPr>
          <w:rFonts w:cs="KFGQPC Uthman Taha Naskh" w:hint="cs"/>
          <w:rtl/>
          <w:lang w:bidi="ar-SY"/>
        </w:rPr>
        <w:t xml:space="preserve">ى الإمام </w:t>
      </w:r>
      <w:r w:rsidRPr="00394385">
        <w:rPr>
          <w:rFonts w:cs="KFGQPC Uthman Taha Naskh"/>
          <w:rtl/>
          <w:lang w:bidi="ar-SY"/>
        </w:rPr>
        <w:t>أَسْأَلُهُ التَّوَسُّعَ عَلَيَّ وَالتَّحْلِيلَ لِمَا فِي يَدَيَّ فَكَتَبَ:</w:t>
      </w:r>
      <w:r w:rsidRPr="00394385">
        <w:rPr>
          <w:rFonts w:cs="KFGQPC Uthman Taha Naskh" w:hint="cs"/>
          <w:rtl/>
          <w:lang w:bidi="ar-SY"/>
        </w:rPr>
        <w:t xml:space="preserve"> </w:t>
      </w:r>
      <w:r w:rsidRPr="00394385">
        <w:rPr>
          <w:rFonts w:cs="KFGQPC Uthman Taha Naskh"/>
          <w:rtl/>
          <w:lang w:bidi="ar-SY"/>
        </w:rPr>
        <w:t>وَسَّعَ اللهُ عَلَيْكَ</w:t>
      </w:r>
      <w:r w:rsidR="00AB28A0" w:rsidRPr="00394385">
        <w:rPr>
          <w:rFonts w:cs="KFGQPC Uthman Taha Naskh"/>
          <w:rtl/>
          <w:lang w:bidi="ar-SY"/>
        </w:rPr>
        <w:t>.</w:t>
      </w:r>
      <w:r w:rsidRPr="00394385">
        <w:rPr>
          <w:rFonts w:cs="KFGQPC Uthman Taha Naskh" w:hint="cs"/>
          <w:rtl/>
          <w:lang w:bidi="ar-SY"/>
        </w:rPr>
        <w:t>..»</w:t>
      </w:r>
      <w:r w:rsidRPr="00495BAB">
        <w:rPr>
          <w:rFonts w:hint="cs"/>
          <w:rtl/>
          <w:lang w:bidi="ar-SY"/>
        </w:rPr>
        <w:t xml:space="preserve"> وأحل له كل ما في يديه!!</w:t>
      </w:r>
    </w:p>
    <w:p w:rsidR="00CD31AA" w:rsidRPr="00495BAB" w:rsidRDefault="00CD31AA" w:rsidP="003F611B">
      <w:pPr>
        <w:pStyle w:val="a0"/>
        <w:rPr>
          <w:rFonts w:hint="cs"/>
          <w:rtl/>
        </w:rPr>
      </w:pPr>
      <w:r w:rsidRPr="00495BAB">
        <w:rPr>
          <w:rFonts w:hint="cs"/>
          <w:rtl/>
        </w:rPr>
        <w:t xml:space="preserve">أما بالنسبة إلى الحديث الذي أطلق عليه كُتَّاب الكُتَيِّب اسم حديث علي بن مهزيار واعتبروه صحيحًا، ودافعوا عن صحته سندًا ومتنًا في الصفحات 61 حتى 76 من كُتَيِّبهم، فنقول: أولاً: ندعو </w:t>
      </w:r>
      <w:r w:rsidRPr="003F611B">
        <w:rPr>
          <w:rFonts w:hint="cs"/>
          <w:highlight w:val="red"/>
          <w:rtl/>
        </w:rPr>
        <w:t>قرَّاءنا الكرام إلى مطالعة الصفحة 191 فما</w:t>
      </w:r>
      <w:r w:rsidRPr="00495BAB">
        <w:rPr>
          <w:rFonts w:hint="cs"/>
          <w:rtl/>
        </w:rPr>
        <w:t xml:space="preserve"> بعد من الكتاب الحاضر، إذْ لا داعي أن نكرِّر هنا ما ذكرناه هناك، تجنُّبًا للإطالة. ثانيًا: لما كان كُتَّاب الردّ قد أغمضوا أعينهم عن كل إنصاف وكالوا ما شاءوا من الشتائم والتُهم لمؤلف كتاب الخُمس، بسبب الإشكال الذي طرحه حول سند هذا الحديث ومتنه! لأن أحمد بن محمد الذي هو أحد رجال سند هذا الحديث هو أحمد بن محمد بن عيسى، فإننا نقول في الإجابة عن كلامهم ودون أي سب أو شتم: إن أحمد بن محمد بن عيسى أيضًا اعتبره المرحوم المحقق السبزواري مجهولاً. نعم، إنه أحمد بن محمد بن عيسى ذاته الذي لم يكن مستعدًا أن يشهد بإمامة حضرة الهادي بعد الإمام الجواد، وكان يرغب أن تكون هذه الفضيلة نصيب شخص عجمي إيراني! كما اعتبره العلامة المجلس في </w:t>
      </w:r>
      <w:r w:rsidRPr="00495BAB">
        <w:rPr>
          <w:rFonts w:hint="cs"/>
          <w:b/>
          <w:bCs/>
          <w:rtl/>
        </w:rPr>
        <w:t>مرآة العقول</w:t>
      </w:r>
      <w:r w:rsidRPr="00495BAB">
        <w:rPr>
          <w:rFonts w:hint="cs"/>
          <w:rtl/>
        </w:rPr>
        <w:t xml:space="preserve"> (ج 1، ص 446) مجهولاً. ونحن لا نستطيع أن نرمي جانبًا قول هذين العالمين الكبيرين ونقبل قول هؤلاء الكتّاب المطلعين والعلماء جدًّا!! فليقل عديمو الإنصاف هؤلاء ما يشاؤون وليفرغوا ما في قلبهم من غيظ لأننا نعلم جيدًا ما يعتمل في صدورهم تجاهنا! أما بالنسبة إلى متن هذا الحديث، والإشكالات التي أوردناها عليه، فلما لم يكن كلامنا مقبولاً لدى هؤلاء الكُتَّاب، فإننا نحيلهم إلى دراسة مؤلفات علماء كبار كالمقدس الأردبيلي والمحقق السبزواري والشيخ حسن صاحب المعالم.</w:t>
      </w:r>
    </w:p>
    <w:p w:rsidR="00CD31AA" w:rsidRPr="00495BAB" w:rsidRDefault="00CD31AA" w:rsidP="00495BAB">
      <w:pPr>
        <w:pStyle w:val="a0"/>
        <w:rPr>
          <w:rFonts w:hint="cs"/>
          <w:rtl/>
          <w:lang w:bidi="ar-SY"/>
        </w:rPr>
      </w:pPr>
      <w:r w:rsidRPr="00495BAB">
        <w:rPr>
          <w:rFonts w:hint="cs"/>
          <w:rtl/>
          <w:lang w:bidi="ar-SY"/>
        </w:rPr>
        <w:t>أورد المرحوم المقدس الأردبيلي في كتابه «</w:t>
      </w:r>
      <w:r w:rsidRPr="00495BAB">
        <w:rPr>
          <w:rFonts w:hint="cs"/>
          <w:b/>
          <w:bCs/>
          <w:rtl/>
          <w:lang w:bidi="ar-SY"/>
        </w:rPr>
        <w:t>شرح الإرشاد</w:t>
      </w:r>
      <w:r w:rsidRPr="00495BAB">
        <w:rPr>
          <w:rFonts w:hint="cs"/>
          <w:rtl/>
          <w:lang w:bidi="ar-SY"/>
        </w:rPr>
        <w:t>» (ص 273) عدة إشكالات على هذا الحديث وقال: «</w:t>
      </w:r>
      <w:r w:rsidRPr="00495BAB">
        <w:rPr>
          <w:rtl/>
          <w:lang w:bidi="ar-SY"/>
        </w:rPr>
        <w:t>وفيها أحكام كثيرة مخالفة للمذهب مع اضطراب وقصور عن دلالتها على مذهبه، لعدم ذكر الخمس صريح</w:t>
      </w:r>
      <w:r w:rsidRPr="00495BAB">
        <w:rPr>
          <w:rFonts w:hint="cs"/>
          <w:rtl/>
          <w:lang w:bidi="ar-SY"/>
        </w:rPr>
        <w:t>ً</w:t>
      </w:r>
      <w:r w:rsidRPr="00495BAB">
        <w:rPr>
          <w:rtl/>
          <w:lang w:bidi="ar-SY"/>
        </w:rPr>
        <w:t>ا ورجوع ضمير (هي) إلى الزكاة على الظاهر</w:t>
      </w:r>
      <w:r w:rsidRPr="00495BAB">
        <w:rPr>
          <w:rFonts w:hint="cs"/>
          <w:rtl/>
          <w:lang w:bidi="ar-SY"/>
        </w:rPr>
        <w:t>،</w:t>
      </w:r>
      <w:r w:rsidRPr="00495BAB">
        <w:rPr>
          <w:rtl/>
          <w:lang w:bidi="ar-SY"/>
        </w:rPr>
        <w:t xml:space="preserve"> ودلالة صدر الخبر على سقوط الخمس عن الشيعة، وقصرها في الذهب والفضّة مع حول الحول، والسقوط عن الربح</w:t>
      </w:r>
      <w:r w:rsidRPr="00495BAB">
        <w:rPr>
          <w:rFonts w:hint="cs"/>
          <w:rtl/>
          <w:lang w:bidi="ar-SY"/>
        </w:rPr>
        <w:t>.....»</w:t>
      </w:r>
      <w:r w:rsidR="000C68EA" w:rsidRPr="000C68EA">
        <w:rPr>
          <w:rStyle w:val="FootnoteReference"/>
          <w:rFonts w:cs="Arabic11 BT"/>
          <w:rtl/>
          <w:lang w:bidi="ar-SY"/>
        </w:rPr>
        <w:t>(</w:t>
      </w:r>
      <w:r w:rsidR="000C68EA" w:rsidRPr="000C68EA">
        <w:rPr>
          <w:rStyle w:val="FootnoteReference"/>
          <w:rFonts w:cs="Arabic11 BT"/>
          <w:rtl/>
          <w:lang w:bidi="ar-SY"/>
        </w:rPr>
        <w:footnoteReference w:id="490"/>
      </w:r>
      <w:r w:rsidR="000C68EA" w:rsidRPr="000C68EA">
        <w:rPr>
          <w:rStyle w:val="FootnoteReference"/>
          <w:rFonts w:cs="Arabic11 BT"/>
          <w:rtl/>
          <w:lang w:bidi="ar-SY"/>
        </w:rPr>
        <w:t>)</w:t>
      </w:r>
      <w:r w:rsidR="00F456DF" w:rsidRPr="00495BAB">
        <w:rPr>
          <w:rFonts w:hint="cs"/>
          <w:rtl/>
          <w:lang w:bidi="ar-SY"/>
        </w:rPr>
        <w:t>.</w:t>
      </w:r>
    </w:p>
    <w:p w:rsidR="00CD31AA" w:rsidRPr="00495BAB" w:rsidRDefault="00CD31AA" w:rsidP="00495BAB">
      <w:pPr>
        <w:pStyle w:val="a0"/>
        <w:rPr>
          <w:rFonts w:hint="cs"/>
          <w:rtl/>
          <w:lang w:bidi="ar-SY"/>
        </w:rPr>
      </w:pPr>
      <w:r w:rsidRPr="00495BAB">
        <w:rPr>
          <w:rFonts w:hint="cs"/>
          <w:rtl/>
          <w:lang w:bidi="ar-SY"/>
        </w:rPr>
        <w:t xml:space="preserve">فكما استنتجنا، نسبة مثل هذه الأقوال إلى الإمام، أمرٌ مخالفٌ للمذهب والدين، ولا يمكن أن يحكم الإمام بمثل هذا الحكم. وفي الأساس، ليس لهذا الحديث هذا المعنى الذي يريدونه. </w:t>
      </w:r>
    </w:p>
    <w:p w:rsidR="00CD31AA" w:rsidRPr="00495BAB" w:rsidRDefault="00CD31AA" w:rsidP="00495BAB">
      <w:pPr>
        <w:pStyle w:val="a0"/>
        <w:rPr>
          <w:rFonts w:hint="cs"/>
          <w:rtl/>
          <w:lang w:bidi="ar-SY"/>
        </w:rPr>
      </w:pPr>
      <w:r w:rsidRPr="00495BAB">
        <w:rPr>
          <w:rFonts w:hint="cs"/>
          <w:rtl/>
          <w:lang w:bidi="ar-SY"/>
        </w:rPr>
        <w:t>وختم المقدس الأردبيلي كلامه في نقد متن هذا الحديث بقوله:</w:t>
      </w:r>
    </w:p>
    <w:p w:rsidR="00CD31AA" w:rsidRPr="00495BAB" w:rsidRDefault="00CD31AA" w:rsidP="00495BAB">
      <w:pPr>
        <w:pStyle w:val="a0"/>
        <w:rPr>
          <w:rFonts w:hint="cs"/>
          <w:rtl/>
          <w:lang w:bidi="ar-SY"/>
        </w:rPr>
      </w:pPr>
      <w:r w:rsidRPr="00495BAB">
        <w:rPr>
          <w:rFonts w:hint="cs"/>
          <w:rtl/>
          <w:lang w:bidi="ar-SY"/>
        </w:rPr>
        <w:t>«</w:t>
      </w:r>
      <w:r w:rsidRPr="00495BAB">
        <w:rPr>
          <w:rtl/>
          <w:lang w:bidi="ar-SY"/>
        </w:rPr>
        <w:t>وبالجملة هذا الخبر مضطرب بحيث لا يمكن الاستدلال به على شي</w:t>
      </w:r>
      <w:r w:rsidRPr="00495BAB">
        <w:rPr>
          <w:rFonts w:cs="Times New Roman" w:hint="cs"/>
          <w:rtl/>
          <w:lang w:bidi="ar-SY"/>
        </w:rPr>
        <w:t>‌</w:t>
      </w:r>
      <w:r w:rsidRPr="00495BAB">
        <w:rPr>
          <w:rFonts w:ascii="mylotus" w:hAnsi="mylotus" w:hint="cs"/>
          <w:rtl/>
          <w:lang w:bidi="ar-SY"/>
        </w:rPr>
        <w:t>ء</w:t>
      </w:r>
      <w:r w:rsidR="00F456DF" w:rsidRPr="00495BAB">
        <w:rPr>
          <w:rFonts w:hint="cs"/>
          <w:rtl/>
          <w:lang w:bidi="ar-SY"/>
        </w:rPr>
        <w:t>»</w:t>
      </w:r>
      <w:r w:rsidRPr="00495BAB">
        <w:rPr>
          <w:rFonts w:hint="cs"/>
          <w:rtl/>
          <w:lang w:bidi="ar-SY"/>
        </w:rPr>
        <w:t>.</w:t>
      </w:r>
      <w:r w:rsidR="000C68EA" w:rsidRPr="000C68EA">
        <w:rPr>
          <w:rStyle w:val="FootnoteReference"/>
          <w:rFonts w:cs="Arabic11 BT"/>
          <w:rtl/>
          <w:lang w:bidi="ar-SY"/>
        </w:rPr>
        <w:t>(</w:t>
      </w:r>
      <w:r w:rsidR="000C68EA" w:rsidRPr="000C68EA">
        <w:rPr>
          <w:rStyle w:val="FootnoteReference"/>
          <w:rFonts w:cs="Arabic11 BT"/>
          <w:rtl/>
          <w:lang w:bidi="ar-SY"/>
        </w:rPr>
        <w:footnoteReference w:id="491"/>
      </w:r>
      <w:r w:rsidR="000C68EA" w:rsidRPr="000C68EA">
        <w:rPr>
          <w:rStyle w:val="FootnoteReference"/>
          <w:rFonts w:cs="Arabic11 BT"/>
          <w:rtl/>
          <w:lang w:bidi="ar-SY"/>
        </w:rPr>
        <w:t>)</w:t>
      </w:r>
    </w:p>
    <w:p w:rsidR="00CD31AA" w:rsidRPr="00495BAB" w:rsidRDefault="00CD31AA" w:rsidP="00495BAB">
      <w:pPr>
        <w:pStyle w:val="a0"/>
        <w:rPr>
          <w:rFonts w:hint="cs"/>
          <w:rtl/>
          <w:lang w:bidi="ar-SY"/>
        </w:rPr>
      </w:pPr>
      <w:r w:rsidRPr="00495BAB">
        <w:rPr>
          <w:rFonts w:hint="cs"/>
          <w:rtl/>
          <w:lang w:bidi="ar-SY"/>
        </w:rPr>
        <w:t>نعم، هذا هو رأي المقدس الأدربيلي! وهناك إشكالات أخرى لابد من تجشم عناء مطالعتها بروح الإنصاف أما إغلاق العينين والسب والشتم فأمر سهل! إنني لا أدري لعلهم قرؤوا ما قاله المقدس الأردبيلي وغاظهم رؤية مثل هذه المطالب في كتابه ولكنهم لما لم يكونوا قادرين على سب المقدس الأردبيلي وشتمه صبوا جام غضبهم علينا وأوسعونا سبًّا وشتمًا. وحقًّا إنه لمن دواعي العجب أن يستنبط المقدس الأردبيلي والمحقق السبزواري وفقهاء آخرون من هذا الحديث سقوط الخمس، إضافة إلى الإشكالات الأخرى العديدة في هذا الحديث، ومع ذلك يأتي فقهاء آخر الزمان فيستدلون به على وجوب الخمس!!</w:t>
      </w:r>
    </w:p>
    <w:p w:rsidR="00CD31AA" w:rsidRPr="00495BAB" w:rsidRDefault="00CD31AA" w:rsidP="00495BAB">
      <w:pPr>
        <w:pStyle w:val="a0"/>
        <w:rPr>
          <w:rFonts w:hint="cs"/>
          <w:rtl/>
          <w:lang w:bidi="ar-SY"/>
        </w:rPr>
      </w:pPr>
      <w:r w:rsidRPr="00495BAB">
        <w:rPr>
          <w:rFonts w:hint="cs"/>
          <w:rtl/>
          <w:lang w:bidi="ar-SY"/>
        </w:rPr>
        <w:t>ثم كتب أصحاب الردّ حول حديث ريان بن الصلت يقولون: «</w:t>
      </w:r>
      <w:r w:rsidRPr="00995B26">
        <w:rPr>
          <w:rFonts w:cs="Akhbar MT" w:hint="cs"/>
          <w:szCs w:val="30"/>
          <w:rtl/>
          <w:lang w:bidi="ar-SY"/>
        </w:rPr>
        <w:t>والمضحك أكثر من كل ما سبق أنّ المؤلف [أي مؤلف كتاب الخمس] اعتبر رواية ريان بن الصلت مرسلة في حين أنه لا يوجد أدنى إرسال في سندها ولا ندري ما الذي دفعه إلى افتراء كذب صُراح مثل هذا</w:t>
      </w:r>
      <w:r w:rsidRPr="00495BAB">
        <w:rPr>
          <w:rFonts w:hint="cs"/>
          <w:rtl/>
          <w:lang w:bidi="ar-SY"/>
        </w:rPr>
        <w:t>».</w:t>
      </w:r>
    </w:p>
    <w:p w:rsidR="00CD31AA" w:rsidRPr="00495BAB" w:rsidRDefault="00CD31AA" w:rsidP="00495BAB">
      <w:pPr>
        <w:pStyle w:val="a0"/>
        <w:rPr>
          <w:rFonts w:hint="cs"/>
          <w:rtl/>
          <w:lang w:bidi="ar-SY"/>
        </w:rPr>
      </w:pPr>
      <w:r w:rsidRPr="00495BAB">
        <w:rPr>
          <w:rFonts w:hint="cs"/>
          <w:rtl/>
          <w:lang w:bidi="ar-SY"/>
        </w:rPr>
        <w:t>ليت كان لهؤلاء السادة من فقهاء آخر الزمن والمحدّثين المطلعين والمتبحرين جدًّا، علمٌ كافٍ بعلم الحديث ومصطلحاته، لأنهم عندئذ ما كانوا أقدموا على كل هذا الضجيج والهجوم على هذا وذاك ونسبة  الكذب الذي هو من أكبر المعاصي في دين الإسلام، للناس، لاسيما الكذب بشأن الموضوعات الدينية.</w:t>
      </w:r>
    </w:p>
    <w:p w:rsidR="00CD31AA" w:rsidRPr="00495BAB" w:rsidRDefault="00CD31AA" w:rsidP="003F611B">
      <w:pPr>
        <w:pStyle w:val="a0"/>
        <w:rPr>
          <w:rFonts w:hint="cs"/>
          <w:rtl/>
        </w:rPr>
      </w:pPr>
      <w:r w:rsidRPr="00495BAB">
        <w:rPr>
          <w:rFonts w:hint="cs"/>
          <w:rtl/>
          <w:lang w:bidi="ar-SY"/>
        </w:rPr>
        <w:t xml:space="preserve">الحديث المرسَل هو الذي سقط من سلسلة سنده راوٍ أو أكثر أو كان أحد رواة سلسلة سنده شخصًا مجهولاً تمامًا لا يُعرَف اسمه ولا صفته، وهذا الحديث - </w:t>
      </w:r>
      <w:r w:rsidRPr="003F611B">
        <w:rPr>
          <w:rFonts w:hint="cs"/>
          <w:highlight w:val="red"/>
          <w:rtl/>
          <w:lang w:bidi="ar-SY"/>
        </w:rPr>
        <w:t>كما ذكرنا في الصفحة 217 من كتابنا الحاضر</w:t>
      </w:r>
      <w:r w:rsidRPr="00495BAB">
        <w:rPr>
          <w:rFonts w:hint="cs"/>
          <w:rtl/>
          <w:lang w:bidi="ar-SY"/>
        </w:rPr>
        <w:t xml:space="preserve">- أورده الشيخ الطوسي وحده في الجزء الثالث من كتابه </w:t>
      </w:r>
      <w:r w:rsidRPr="00495BAB">
        <w:rPr>
          <w:rFonts w:hint="cs"/>
          <w:b/>
          <w:bCs/>
          <w:rtl/>
          <w:lang w:bidi="ar-SY"/>
        </w:rPr>
        <w:t>التهذيب</w:t>
      </w:r>
      <w:r w:rsidRPr="00495BAB">
        <w:rPr>
          <w:rFonts w:hint="cs"/>
          <w:rtl/>
          <w:lang w:bidi="ar-SY"/>
        </w:rPr>
        <w:t xml:space="preserve"> (طبع النجف، ص 139) على النحو التالي: «</w:t>
      </w:r>
      <w:r w:rsidRPr="00495BAB">
        <w:rPr>
          <w:rtl/>
          <w:lang w:bidi="ar-SY"/>
        </w:rPr>
        <w:t xml:space="preserve">رَوَى الرَّيَّانُ بْنُ الصَّلْتِ قَالَ: كَتَبْتُ إِلَى أَبِي مُحَمَّدٍ </w:t>
      </w:r>
      <w:r w:rsidR="00451CED" w:rsidRPr="00451CED">
        <w:rPr>
          <w:rFonts w:ascii="Abo-thar" w:hAnsi="Abo-thar" w:cs="CTraditional Arabic"/>
          <w:sz w:val="28"/>
          <w:rtl/>
          <w:lang w:bidi="ar-SY"/>
        </w:rPr>
        <w:t>÷</w:t>
      </w:r>
      <w:r w:rsidRPr="00495BAB">
        <w:rPr>
          <w:rFonts w:ascii="Abo-thar" w:hAnsi="Abo-thar" w:hint="cs"/>
          <w:sz w:val="28"/>
          <w:rtl/>
          <w:lang w:bidi="ar-SY"/>
        </w:rPr>
        <w:t>»</w:t>
      </w:r>
      <w:r w:rsidRPr="00495BAB">
        <w:rPr>
          <w:rFonts w:hint="cs"/>
          <w:rtl/>
          <w:lang w:bidi="ar-SY"/>
        </w:rPr>
        <w:t xml:space="preserve">.  هذا في حين أنّ هناك بين زمن الشيخ الطوسي إلى زمن </w:t>
      </w:r>
      <w:r w:rsidRPr="00495BAB">
        <w:rPr>
          <w:rtl/>
          <w:lang w:bidi="ar-SY"/>
        </w:rPr>
        <w:t>ر</w:t>
      </w:r>
      <w:r w:rsidRPr="00495BAB">
        <w:rPr>
          <w:rFonts w:hint="cs"/>
          <w:rtl/>
          <w:lang w:bidi="ar-SY"/>
        </w:rPr>
        <w:t>َ</w:t>
      </w:r>
      <w:r w:rsidRPr="00495BAB">
        <w:rPr>
          <w:rtl/>
          <w:lang w:bidi="ar-SY"/>
        </w:rPr>
        <w:t>يَّانُ بْن</w:t>
      </w:r>
      <w:r w:rsidRPr="00495BAB">
        <w:rPr>
          <w:rFonts w:hint="cs"/>
          <w:rtl/>
          <w:lang w:bidi="ar-SY"/>
        </w:rPr>
        <w:t>ِ</w:t>
      </w:r>
      <w:r w:rsidRPr="00495BAB">
        <w:rPr>
          <w:rtl/>
          <w:lang w:bidi="ar-SY"/>
        </w:rPr>
        <w:t xml:space="preserve"> الصَّلْتِ</w:t>
      </w:r>
      <w:r w:rsidRPr="00495BAB">
        <w:rPr>
          <w:rFonts w:hint="cs"/>
          <w:rtl/>
          <w:lang w:bidi="ar-SY"/>
        </w:rPr>
        <w:t xml:space="preserve">، لو كان هذا الأخير قد أدرك فعلاً حضرة الإمام حسن العسكري، مئتي سنة على أقل تقدير، فمن المسلَّم به أن الشيخ الطوسي لم يسمع هذا الحديث مباشرةً من </w:t>
      </w:r>
      <w:r w:rsidRPr="00495BAB">
        <w:rPr>
          <w:rtl/>
          <w:lang w:bidi="ar-SY"/>
        </w:rPr>
        <w:t>ر</w:t>
      </w:r>
      <w:r w:rsidRPr="00495BAB">
        <w:rPr>
          <w:rFonts w:hint="cs"/>
          <w:rtl/>
          <w:lang w:bidi="ar-SY"/>
        </w:rPr>
        <w:t>َ</w:t>
      </w:r>
      <w:r w:rsidRPr="00495BAB">
        <w:rPr>
          <w:rtl/>
          <w:lang w:bidi="ar-SY"/>
        </w:rPr>
        <w:t>يَّان</w:t>
      </w:r>
      <w:r w:rsidRPr="00495BAB">
        <w:rPr>
          <w:rFonts w:hint="cs"/>
          <w:rtl/>
          <w:lang w:bidi="ar-SY"/>
        </w:rPr>
        <w:t>ِ</w:t>
      </w:r>
      <w:r w:rsidRPr="00495BAB">
        <w:rPr>
          <w:rtl/>
          <w:lang w:bidi="ar-SY"/>
        </w:rPr>
        <w:t xml:space="preserve"> بْن</w:t>
      </w:r>
      <w:r w:rsidRPr="00495BAB">
        <w:rPr>
          <w:rFonts w:hint="cs"/>
          <w:rtl/>
          <w:lang w:bidi="ar-SY"/>
        </w:rPr>
        <w:t>ِ</w:t>
      </w:r>
      <w:r w:rsidRPr="00495BAB">
        <w:rPr>
          <w:rtl/>
          <w:lang w:bidi="ar-SY"/>
        </w:rPr>
        <w:t xml:space="preserve"> الصَّلْتِ</w:t>
      </w:r>
      <w:r w:rsidRPr="00495BAB">
        <w:rPr>
          <w:rFonts w:hint="cs"/>
          <w:rtl/>
          <w:lang w:bidi="ar-SY"/>
        </w:rPr>
        <w:t xml:space="preserve"> ولابد أنه كان بينه وبين الشيخ الطوسي أشخاص آخرون لا ندري عن اسمهم أو صفتهم شيئًا. أليس مثل هذا الحديث مُرْسَلاً أم لا؟ فمن الذي يكذب كذبًا صُراحًا نحن أم أنتم؟ في النهاية من الجيد أن يكون عند الإنسان شيء من الحياء!</w:t>
      </w:r>
    </w:p>
    <w:p w:rsidR="00CD31AA" w:rsidRPr="00495BAB" w:rsidRDefault="00CD31AA" w:rsidP="00495BAB">
      <w:pPr>
        <w:pStyle w:val="a0"/>
        <w:rPr>
          <w:rFonts w:hint="cs"/>
          <w:rtl/>
        </w:rPr>
      </w:pPr>
      <w:r w:rsidRPr="00495BAB">
        <w:rPr>
          <w:rFonts w:hint="cs"/>
          <w:rtl/>
        </w:rPr>
        <w:t>إن كنتم صادقين في قولكم فأتوا بالحديث عينه مع سنده ثم هاجموا خصمكم، لا أن تغلقوا أعينكم ثم تفتحوا فمكم بما تشاؤون من اتهام وشتم لمن يخالفكم. أنتم يا كُتّاب كتاب «</w:t>
      </w:r>
      <w:r w:rsidRPr="00495BAB">
        <w:rPr>
          <w:rFonts w:hint="cs"/>
          <w:b/>
          <w:bCs/>
          <w:rtl/>
        </w:rPr>
        <w:t>المعاد</w:t>
      </w:r>
      <w:r w:rsidRPr="00495BAB">
        <w:rPr>
          <w:rFonts w:hint="cs"/>
          <w:rtl/>
        </w:rPr>
        <w:t>» والمؤمنون بعقاب الله لأهل الكذب والفساد! هل هذا هو نموذج الإيمان بالمعاد؟!</w:t>
      </w:r>
    </w:p>
    <w:p w:rsidR="00CD31AA" w:rsidRPr="00495BAB" w:rsidRDefault="00CD31AA" w:rsidP="00495BAB">
      <w:pPr>
        <w:pStyle w:val="a0"/>
        <w:rPr>
          <w:rFonts w:ascii="Abo-thar" w:hAnsi="Abo-thar" w:hint="cs"/>
          <w:sz w:val="28"/>
          <w:rtl/>
          <w:lang w:bidi="ar-SY"/>
        </w:rPr>
      </w:pPr>
      <w:r w:rsidRPr="00495BAB">
        <w:rPr>
          <w:rFonts w:hint="cs"/>
          <w:rtl/>
        </w:rPr>
        <w:t xml:space="preserve">والإشكال الأكثر أهمية على حديث رَيَّانِ بْنِ الصَّلْتِ هو أنه لا يمكن لريّان بْنِ الصَّلْتِ أن يكون قد التقى بالإمام الحسن العسكري، لأن ريّان كان من الخطباء المشهورين زمن المأمون العباسي، أي حوالي سنة 196 هـجرية في حين أن إمامة حضرة الحسن العسكري ابتدأت سنة 254 هـ. فإذا اعتبرنا أن سن ريان، الخطيب البارع، حين أمره المأمون ببيان فضائل أمير المؤمنين علي </w:t>
      </w:r>
      <w:r w:rsidR="006D3FB8" w:rsidRPr="00495BAB">
        <w:rPr>
          <w:rFonts w:ascii="Abo-thar" w:hAnsi="Abo-thar"/>
          <w:sz w:val="28"/>
          <w:rtl/>
        </w:rPr>
        <w:sym w:font="AGA Arabesque" w:char="F075"/>
      </w:r>
      <w:r w:rsidRPr="00495BAB">
        <w:rPr>
          <w:rFonts w:ascii="Abo-thar" w:hAnsi="Abo-thar" w:hint="cs"/>
          <w:sz w:val="28"/>
          <w:rtl/>
        </w:rPr>
        <w:t xml:space="preserve">، كان أربعين عاماً، فإن عمره سيكون في زمن حضرة العسكري قريباً من </w:t>
      </w:r>
      <w:r w:rsidR="00755AAC">
        <w:rPr>
          <w:rFonts w:ascii="Abo-thar" w:hAnsi="Abo-thar" w:hint="cs"/>
          <w:sz w:val="28"/>
          <w:rtl/>
        </w:rPr>
        <w:t>مائة</w:t>
      </w:r>
      <w:r w:rsidRPr="00495BAB">
        <w:rPr>
          <w:rFonts w:ascii="Abo-thar" w:hAnsi="Abo-thar" w:hint="cs"/>
          <w:sz w:val="28"/>
          <w:rtl/>
        </w:rPr>
        <w:t xml:space="preserve"> عام، مع أنّه لم يدّعِ أحد أن ريّان بلغ هذا السن من العمر! والشيخ الطوسي ذاته الذي روى وحده هذه الرواية المرسَلَة عنه، قد اعتبره من أصحاب حضرة الرضا حتى حضرة الهادي. بل ذكر أنه من الناس الذين لم يرووا حتى حديثًا واحدًا عن الأئمة. فكيف يمكن أن يُروى مثل هذا الحديث عنه؟ بناءً على ذلك، لو دقّقنا في الأمر لأدركنا أن الحديث ذاته كذب سواء كان مرسَلاً - كما هو الواقع - أم مُسْنَدًا. أضف إلى ذلك أن متن الحديث لا يفيدنا بأي شيء لأنه يتضمن سؤالاً عن الأراضي الإقطاعية التي كان المنصور العباسي يمنحها لعماله. من هنا يتبيّن بأي أدلة واهية يتشبث آكلو الخمس!!</w:t>
      </w:r>
    </w:p>
    <w:p w:rsidR="00CD31AA" w:rsidRPr="00495BAB" w:rsidRDefault="00CD31AA" w:rsidP="00495BAB">
      <w:pPr>
        <w:pStyle w:val="a0"/>
        <w:rPr>
          <w:rFonts w:hint="cs"/>
          <w:rtl/>
        </w:rPr>
      </w:pPr>
      <w:r w:rsidRPr="00495BAB">
        <w:rPr>
          <w:rFonts w:ascii="Abo-thar" w:hAnsi="Abo-thar" w:hint="cs"/>
          <w:sz w:val="28"/>
          <w:rtl/>
          <w:lang w:bidi="ar-SY"/>
        </w:rPr>
        <w:t xml:space="preserve">إضافةً إلى ما سبق، فإن المحقق السبزواري قال في كتابه </w:t>
      </w:r>
      <w:r w:rsidRPr="00495BAB">
        <w:rPr>
          <w:rFonts w:ascii="Abo-thar" w:hAnsi="Abo-thar" w:hint="cs"/>
          <w:b/>
          <w:bCs/>
          <w:sz w:val="28"/>
          <w:rtl/>
          <w:lang w:bidi="ar-SY"/>
        </w:rPr>
        <w:t>ذخيرة المعاد</w:t>
      </w:r>
      <w:r w:rsidRPr="00495BAB">
        <w:rPr>
          <w:rFonts w:ascii="Abo-thar" w:hAnsi="Abo-thar" w:hint="cs"/>
          <w:sz w:val="28"/>
          <w:rtl/>
          <w:lang w:bidi="ar-SY"/>
        </w:rPr>
        <w:t xml:space="preserve"> عن حديث </w:t>
      </w:r>
      <w:r w:rsidRPr="00495BAB">
        <w:rPr>
          <w:rFonts w:hint="cs"/>
          <w:rtl/>
          <w:lang w:bidi="ar-SY"/>
        </w:rPr>
        <w:t>رَيَّانِ بْنِ الصَّلْتِ</w:t>
      </w:r>
      <w:r w:rsidRPr="00495BAB">
        <w:rPr>
          <w:rFonts w:ascii="Abo-thar" w:hAnsi="Abo-thar" w:hint="cs"/>
          <w:sz w:val="28"/>
          <w:rtl/>
          <w:lang w:bidi="ar-SY"/>
        </w:rPr>
        <w:t xml:space="preserve">: </w:t>
      </w:r>
      <w:r w:rsidRPr="00394385">
        <w:rPr>
          <w:rFonts w:cs="KFGQPC Uthman Taha Naskh" w:hint="cs"/>
          <w:rtl/>
          <w:lang w:bidi="ar-SY"/>
        </w:rPr>
        <w:t>«رَيَّ</w:t>
      </w:r>
      <w:r w:rsidRPr="00394385">
        <w:rPr>
          <w:rFonts w:cs="KFGQPC Uthman Taha Naskh"/>
          <w:rtl/>
          <w:lang w:bidi="ar-SY"/>
        </w:rPr>
        <w:t>انُ بْنُ الصَّلْتِ</w:t>
      </w:r>
      <w:r w:rsidRPr="00394385">
        <w:rPr>
          <w:rFonts w:cs="KFGQPC Uthman Taha Naskh" w:hint="cs"/>
          <w:rtl/>
          <w:lang w:bidi="ar-SY"/>
        </w:rPr>
        <w:t xml:space="preserve"> </w:t>
      </w:r>
      <w:r w:rsidRPr="00394385">
        <w:rPr>
          <w:rFonts w:cs="KFGQPC Uthman Taha Naskh"/>
          <w:rtl/>
          <w:lang w:bidi="ar-SY"/>
        </w:rPr>
        <w:t>في الحسن بإبراهيم بن هاشم قال</w:t>
      </w:r>
      <w:r w:rsidRPr="00394385">
        <w:rPr>
          <w:rFonts w:cs="KFGQPC Uthman Taha Naskh" w:hint="cs"/>
          <w:rtl/>
          <w:lang w:bidi="ar-SY"/>
        </w:rPr>
        <w:t>:</w:t>
      </w:r>
      <w:r w:rsidRPr="00394385">
        <w:rPr>
          <w:rFonts w:cs="KFGQPC Uthman Taha Naskh"/>
          <w:rtl/>
          <w:lang w:bidi="ar-SY"/>
        </w:rPr>
        <w:t xml:space="preserve"> كتبت إلى أبي عبد </w:t>
      </w:r>
      <w:r w:rsidRPr="00394385">
        <w:rPr>
          <w:rFonts w:cs="KFGQPC Uthman Taha Naskh" w:hint="cs"/>
          <w:rtl/>
          <w:lang w:bidi="ar-SY"/>
        </w:rPr>
        <w:t xml:space="preserve">اللهِ </w:t>
      </w:r>
      <w:r w:rsidR="00451CED" w:rsidRPr="00451CED">
        <w:rPr>
          <w:rFonts w:ascii="Abo-thar" w:hAnsi="Abo-thar" w:cs="CTraditional Arabic"/>
          <w:sz w:val="28"/>
          <w:rtl/>
          <w:lang w:bidi="ar-SY"/>
        </w:rPr>
        <w:t>÷</w:t>
      </w:r>
      <w:r w:rsidRPr="00394385">
        <w:rPr>
          <w:rFonts w:cs="KFGQPC Uthman Taha Naskh" w:hint="cs"/>
          <w:rtl/>
          <w:lang w:bidi="ar-SY"/>
        </w:rPr>
        <w:t>:</w:t>
      </w:r>
      <w:r w:rsidRPr="00394385">
        <w:rPr>
          <w:rFonts w:cs="KFGQPC Uthman Taha Naskh"/>
          <w:rtl/>
          <w:lang w:bidi="ar-SY"/>
        </w:rPr>
        <w:t xml:space="preserve"> مَا الَّذِي يَجِبُ عَلَيَّ يَا مَوْلَايَ فِي غَلَّةِ رَحًى فِي أَرْضِ قَطِيعَةٍ لِي</w:t>
      </w:r>
      <w:r w:rsidRPr="00394385">
        <w:rPr>
          <w:rFonts w:cs="KFGQPC Uthman Taha Naskh" w:hint="cs"/>
          <w:rtl/>
          <w:lang w:bidi="ar-SY"/>
        </w:rPr>
        <w:t>»</w:t>
      </w:r>
      <w:r w:rsidR="00394385" w:rsidRPr="00394385">
        <w:rPr>
          <w:rFonts w:cs="Arabic11 BT" w:hint="cs"/>
          <w:vertAlign w:val="superscript"/>
          <w:rtl/>
          <w:lang w:bidi="ar-SY"/>
        </w:rPr>
        <w:t>(</w:t>
      </w:r>
      <w:r w:rsidRPr="00394385">
        <w:rPr>
          <w:rStyle w:val="FootnoteReference"/>
          <w:rFonts w:cs="Arabic11 BT"/>
          <w:rtl/>
          <w:lang w:bidi="ar-SY"/>
        </w:rPr>
        <w:footnoteReference w:id="492"/>
      </w:r>
      <w:r w:rsidR="00394385" w:rsidRPr="00394385">
        <w:rPr>
          <w:rFonts w:cs="Arabic11 BT" w:hint="cs"/>
          <w:vertAlign w:val="superscript"/>
          <w:rtl/>
          <w:lang w:bidi="ar-SY"/>
        </w:rPr>
        <w:t>)</w:t>
      </w:r>
      <w:r w:rsidR="006D3FB8" w:rsidRPr="00495BAB">
        <w:rPr>
          <w:rFonts w:hint="cs"/>
          <w:rtl/>
          <w:lang w:bidi="ar-SY"/>
        </w:rPr>
        <w:t>.</w:t>
      </w:r>
      <w:r w:rsidRPr="00495BAB">
        <w:rPr>
          <w:rFonts w:hint="cs"/>
          <w:rtl/>
          <w:lang w:bidi="ar-SY"/>
        </w:rPr>
        <w:t xml:space="preserve"> إن كان الأمر كذلك فإنّ سقوط هذا الحديث من الاعتبار ينبغي أن يكون أمراً مُسَلَّماً به، لأن رَيَّانَ بْنَ الصَّلْتِ لم يلقَ حضرة الصادق مطلقاً! ومن أين لنا أن نعلم بأن أصل الحديث لم يكن كذلك وأنّ نسخة </w:t>
      </w:r>
      <w:r w:rsidRPr="00495BAB">
        <w:rPr>
          <w:rFonts w:hint="cs"/>
          <w:b/>
          <w:bCs/>
          <w:rtl/>
          <w:lang w:bidi="ar-SY"/>
        </w:rPr>
        <w:t>التهذيب</w:t>
      </w:r>
      <w:r w:rsidRPr="00495BAB">
        <w:rPr>
          <w:rFonts w:hint="cs"/>
          <w:rtl/>
          <w:lang w:bidi="ar-SY"/>
        </w:rPr>
        <w:t xml:space="preserve"> التي كانت لدى المحقق السبزواري لم تكن تتضمن هذا السند لهذا الحديث؟ وعلى أي حال سواءً نُسِب هذا الحديث لحضرة الإمام حسن العسكري أم نُسِب إلى حضرة الإمام الصادق فإنه حديث غير صحيح لأنه من المحال أن يكون رَيَّانُ بْنِ الصَّلْتِ قد أدرك أيًّا من الإمامين أو التقى بهما، ولا تُسْتَبْعَد مثل هذه الأخطاء من الشيخ الطوسي، كما أوردنا في كتابنا </w:t>
      </w:r>
      <w:r w:rsidRPr="00495BAB">
        <w:rPr>
          <w:rFonts w:hint="cs"/>
          <w:b/>
          <w:bCs/>
          <w:rtl/>
          <w:lang w:bidi="ar-SY"/>
        </w:rPr>
        <w:t>الزكاة</w:t>
      </w:r>
      <w:r w:rsidRPr="00495BAB">
        <w:rPr>
          <w:rFonts w:hint="cs"/>
          <w:rtl/>
          <w:lang w:bidi="ar-SY"/>
        </w:rPr>
        <w:t xml:space="preserve"> بعض أخطاء الشيخ الطوسي بالدلائل الواضحة.</w:t>
      </w:r>
    </w:p>
    <w:p w:rsidR="00CD31AA" w:rsidRPr="00495BAB" w:rsidRDefault="00CD31AA" w:rsidP="00495BAB">
      <w:pPr>
        <w:pStyle w:val="a0"/>
        <w:rPr>
          <w:rFonts w:hint="cs"/>
          <w:rtl/>
        </w:rPr>
      </w:pPr>
      <w:r w:rsidRPr="00495BAB">
        <w:rPr>
          <w:rFonts w:hint="cs"/>
          <w:rtl/>
        </w:rPr>
        <w:t>والحديث الآخر الذي ادّعى أصحاب الرد صحته حديث سماعة، وقد دافعوا في الصفحة 77 من كُتَيِّبِهم عن صحة حديث سماعة وأرادوا بهذا المنطق (إثارة الضجة وكيل الشتائم) أن يثبتوا صحة هذا الحديث الذي تمسّكوا به.</w:t>
      </w:r>
    </w:p>
    <w:p w:rsidR="00CD31AA" w:rsidRPr="00451CED" w:rsidRDefault="00CD31AA" w:rsidP="003F611B">
      <w:pPr>
        <w:pStyle w:val="a0"/>
        <w:rPr>
          <w:rFonts w:hint="cs"/>
          <w:spacing w:val="-3"/>
          <w:rtl/>
        </w:rPr>
      </w:pPr>
      <w:r w:rsidRPr="00451CED">
        <w:rPr>
          <w:rFonts w:hint="cs"/>
          <w:spacing w:val="-3"/>
          <w:rtl/>
        </w:rPr>
        <w:t xml:space="preserve">ولكننا </w:t>
      </w:r>
      <w:r w:rsidRPr="00451CED">
        <w:rPr>
          <w:rFonts w:hint="cs"/>
          <w:spacing w:val="-3"/>
          <w:highlight w:val="red"/>
          <w:rtl/>
        </w:rPr>
        <w:t>كتبنا في الصفحة 213 من الكتاب الحاضر أن</w:t>
      </w:r>
      <w:r w:rsidRPr="00451CED">
        <w:rPr>
          <w:rFonts w:hint="cs"/>
          <w:spacing w:val="-3"/>
          <w:rtl/>
        </w:rPr>
        <w:t xml:space="preserve"> الشيخ الطوسي والشيخ الصدوق كلاهما يعتبران سماعة واقفياً، كما أنّ ابن الغضائري - الذي هو من المقدَّمين من علماء الرجال - وكذلك أحمد بن الحسين، ذكرا أن وفاة سماعة كان سنة 145 هـ، فإذا كان هناك اختلاف أو تناقض بين الشيخ الصدوق والشيخ الطوسي وابن الغضائري، فلماذا تكيلون الشتائم لنا وتقولون: «</w:t>
      </w:r>
      <w:r w:rsidRPr="00451CED">
        <w:rPr>
          <w:rFonts w:cs="Akhbar MT" w:hint="cs"/>
          <w:spacing w:val="-3"/>
          <w:szCs w:val="30"/>
          <w:rtl/>
        </w:rPr>
        <w:t>المضحك أنّ مؤلف كتاب الخمس نفسه اعترف بأن سماعة واقفي وفي الوقت ذاته ذكر أن وفاته وقعت زمن الإمام الصادق!</w:t>
      </w:r>
      <w:r w:rsidRPr="00451CED">
        <w:rPr>
          <w:rFonts w:hint="cs"/>
          <w:spacing w:val="-3"/>
          <w:rtl/>
        </w:rPr>
        <w:t>». كلا، ليس الأمر مضحكاً، بل المضحك هو أنّ الذين يكتبون كتاب «</w:t>
      </w:r>
      <w:r w:rsidRPr="00451CED">
        <w:rPr>
          <w:rFonts w:hint="cs"/>
          <w:b/>
          <w:bCs/>
          <w:spacing w:val="-3"/>
          <w:rtl/>
        </w:rPr>
        <w:t>المعاد</w:t>
      </w:r>
      <w:r w:rsidRPr="00451CED">
        <w:rPr>
          <w:rFonts w:hint="cs"/>
          <w:spacing w:val="-3"/>
          <w:rtl/>
        </w:rPr>
        <w:t>» ويؤمنون بالوجدان والحساب والقيامة، يختلقون مِنْ كلامٍ بهذا الوضوح إثماً لكاتبه ويضربون يمنةً ويسرةً ويُغالِطون لِيُضِلُّوا العوام، فمرحى لهذا الفهم والفراسة والوجدان!!</w:t>
      </w:r>
    </w:p>
    <w:p w:rsidR="00CD31AA" w:rsidRPr="00495BAB" w:rsidRDefault="00CD31AA" w:rsidP="00495BAB">
      <w:pPr>
        <w:pStyle w:val="a0"/>
        <w:rPr>
          <w:rFonts w:hint="cs"/>
          <w:rtl/>
        </w:rPr>
      </w:pPr>
      <w:r w:rsidRPr="00495BAB">
        <w:rPr>
          <w:rFonts w:hint="cs"/>
          <w:rtl/>
        </w:rPr>
        <w:t>ثم كتبوا يقولون: «</w:t>
      </w:r>
      <w:r w:rsidRPr="00995B26">
        <w:rPr>
          <w:rFonts w:cs="Akhbar MT" w:hint="cs"/>
          <w:szCs w:val="30"/>
          <w:rtl/>
        </w:rPr>
        <w:t>ألم يفكّر بأن ما كتبه سيقع بأيدي أي إنسان، وأنه سيتعجّب من هذا الكلام ويلوم قائله على عناده ولجاجه؟!</w:t>
      </w:r>
      <w:r w:rsidRPr="00495BAB">
        <w:rPr>
          <w:rFonts w:hint="cs"/>
          <w:rtl/>
        </w:rPr>
        <w:t>».</w:t>
      </w:r>
    </w:p>
    <w:p w:rsidR="00CD31AA" w:rsidRPr="00451CED" w:rsidRDefault="00CD31AA" w:rsidP="00495BAB">
      <w:pPr>
        <w:pStyle w:val="a0"/>
        <w:rPr>
          <w:rFonts w:hint="cs"/>
          <w:spacing w:val="-2"/>
          <w:rtl/>
        </w:rPr>
      </w:pPr>
      <w:r w:rsidRPr="00451CED">
        <w:rPr>
          <w:rFonts w:hint="cs"/>
          <w:spacing w:val="-2"/>
          <w:rtl/>
        </w:rPr>
        <w:t>وأقول: كلا ليس الأمر كذلك، نحن نعتقد بل نوقن أن كل ذي شعور وإدراك ووجدان خالٍ من الغرض والمرض، لن يلومنا أبدًا إذا قرأ كلامنا، ونأمل أن يكون كُتَيِّبُكم سببًا لتشجيع القراء ودفعهم لقراءة كتابنا ومقارنته مع ما كتبتموه، كي يسوَدَّ وجهُ كلُّ من مارس الغش في هذا الأمر. وعندئذ سيُعلَم من هو الكذَّاب الأشر ومن هو الخائن والمعاند والمغرض نحن أم أنتم؟!</w:t>
      </w:r>
    </w:p>
    <w:p w:rsidR="00CD31AA" w:rsidRPr="00495BAB" w:rsidRDefault="00CD31AA" w:rsidP="00451CED">
      <w:pPr>
        <w:pStyle w:val="a0"/>
        <w:rPr>
          <w:rFonts w:hint="cs"/>
          <w:rtl/>
        </w:rPr>
      </w:pPr>
      <w:r w:rsidRPr="00495BAB">
        <w:rPr>
          <w:rFonts w:hint="cs"/>
          <w:rtl/>
        </w:rPr>
        <w:t>أما الحديثان اللذان أوردهما أصحاب الكُتَيِّب في الصفحتين 87 و 88 عن حضرة الرضا</w:t>
      </w:r>
      <w:r w:rsidR="00451CED" w:rsidRPr="00451CED">
        <w:rPr>
          <w:rFonts w:ascii="Abo-thar" w:hAnsi="Abo-thar" w:cs="CTraditional Arabic"/>
          <w:sz w:val="28"/>
          <w:rtl/>
          <w:lang w:bidi="ar-SY"/>
        </w:rPr>
        <w:t>÷</w:t>
      </w:r>
      <w:r w:rsidRPr="00495BAB">
        <w:rPr>
          <w:rFonts w:hint="cs"/>
          <w:rtl/>
        </w:rPr>
        <w:t xml:space="preserve"> وجاء فيهما أن الإمام طلب الخمس من </w:t>
      </w:r>
      <w:r w:rsidRPr="00495BAB">
        <w:rPr>
          <w:rtl/>
        </w:rPr>
        <w:t>رَجُل</w:t>
      </w:r>
      <w:r w:rsidRPr="00495BAB">
        <w:rPr>
          <w:rFonts w:hint="cs"/>
          <w:rtl/>
        </w:rPr>
        <w:t xml:space="preserve">ٍ </w:t>
      </w:r>
      <w:r w:rsidRPr="00495BAB">
        <w:rPr>
          <w:rtl/>
        </w:rPr>
        <w:t>مِنْ تُجَّارِ فَارِسَ</w:t>
      </w:r>
      <w:r w:rsidRPr="00495BAB">
        <w:rPr>
          <w:rFonts w:hint="cs"/>
          <w:rtl/>
        </w:rPr>
        <w:t xml:space="preserve"> ومن جماعة من أهالي خراسان؛ فإضافةً إلى أنّ تاريخ حياة حضرة الرضا لا يؤيد مثل هذا الادعاء، فإن سند الحديثين هو التالي: </w:t>
      </w:r>
      <w:r w:rsidRPr="00394385">
        <w:rPr>
          <w:rFonts w:cs="KFGQPC Uthman Taha Naskh" w:hint="cs"/>
          <w:rtl/>
        </w:rPr>
        <w:t>«</w:t>
      </w:r>
      <w:r w:rsidRPr="00394385">
        <w:rPr>
          <w:rFonts w:cs="KFGQPC Uthman Taha Naskh"/>
          <w:rtl/>
        </w:rPr>
        <w:t>وَعَنْ مُحَمَّدِ بْنِ الْحَسَنِ وَعَلِيِّ بْنِ مُحَمَّدٍ جَمِيعاً عَنْ سَهْلٍ عَنْ أَحْمَدَ بْنِ الْمُثَنَّى عَنْ مُحَمَّدِ بْنِ زَيْدٍ الطَّبَرِيِّ</w:t>
      </w:r>
      <w:r w:rsidRPr="00394385">
        <w:rPr>
          <w:rFonts w:cs="KFGQPC Uthman Taha Naskh" w:hint="cs"/>
          <w:rtl/>
        </w:rPr>
        <w:t xml:space="preserve"> </w:t>
      </w:r>
      <w:r w:rsidRPr="00394385">
        <w:rPr>
          <w:rFonts w:cs="KFGQPC Uthman Taha Naskh"/>
          <w:rtl/>
        </w:rPr>
        <w:t>قَالَ</w:t>
      </w:r>
      <w:r w:rsidRPr="00394385">
        <w:rPr>
          <w:rFonts w:cs="KFGQPC Uthman Taha Naskh" w:hint="cs"/>
          <w:rtl/>
        </w:rPr>
        <w:t>:.....»</w:t>
      </w:r>
      <w:r w:rsidRPr="00495BAB">
        <w:rPr>
          <w:rFonts w:hint="cs"/>
          <w:rtl/>
        </w:rPr>
        <w:t>.</w:t>
      </w:r>
    </w:p>
    <w:p w:rsidR="00CD31AA" w:rsidRPr="00495BAB" w:rsidRDefault="00CD31AA" w:rsidP="00495BAB">
      <w:pPr>
        <w:pStyle w:val="a0"/>
        <w:rPr>
          <w:rFonts w:hint="cs"/>
          <w:rtl/>
        </w:rPr>
      </w:pPr>
      <w:r w:rsidRPr="00495BAB">
        <w:rPr>
          <w:rFonts w:hint="cs"/>
          <w:rtl/>
        </w:rPr>
        <w:t>أمّا «سهل بن زياد» فقد بيّنا هويته فيما سبق وأنّه رجل غالٍ وكذّاب وفاسد الرواية والدين، وأن أحمد بن محمد بن عيسى أخرجه من قم، ولا يمكن لأي إنسان شريف أن يقبل رواية مثل هذا الشخص.</w:t>
      </w:r>
    </w:p>
    <w:p w:rsidR="00CD31AA" w:rsidRPr="00495BAB" w:rsidRDefault="00CD31AA" w:rsidP="00495BAB">
      <w:pPr>
        <w:pStyle w:val="a0"/>
        <w:rPr>
          <w:rFonts w:hint="cs"/>
          <w:rtl/>
          <w:lang w:bidi="ar-SY"/>
        </w:rPr>
      </w:pPr>
      <w:r w:rsidRPr="00495BAB">
        <w:rPr>
          <w:rFonts w:hint="cs"/>
          <w:rtl/>
        </w:rPr>
        <w:t>وأما «أحمد بن المثنى» و «محمد بن يزيد الطبري» فلا ذكر لأي منهما في أي كتب من كتب رجال الشيعة. لذا نرجو هؤلاء الكتاب الذي يدَّعون أنهم قرؤوا كتب الرجال أن يعرّفوا لنا هوية هذين الراويين المجهولين كي تكون حجتهم مقبولة ودليلهم قويًّا، ونحن جاهزون لدفع أتعابهم في هذا المجال كي لا يكونوا قد بذلوا جهداً دون أجْر! فإن لم يجدوا لهم أي ترجمةٍ فليتَّقوا لله ولا يتَّهموا دينه بمثل هذه التهمة استنادًا إلى مثل هذه الأخبار الموضوعة والمردودة، ولا يشوهوا صورة الأئمة المظلومين في أعين  الناس، وبعد ذلك فليفعلوا ما بدا لهم. فالناس الذين يدفعون لهم الخمس لا يطلبون منهم حجَّةً ولا دليلاً على ذلك، بل قول «</w:t>
      </w:r>
      <w:r w:rsidRPr="00495BAB">
        <w:rPr>
          <w:rFonts w:hint="cs"/>
          <w:b/>
          <w:bCs/>
          <w:rtl/>
        </w:rPr>
        <w:t>السيِّد»</w:t>
      </w:r>
      <w:r w:rsidRPr="00495BAB">
        <w:rPr>
          <w:rFonts w:hint="cs"/>
          <w:rtl/>
        </w:rPr>
        <w:t xml:space="preserve"> [أي المرجِع] كافٍ لهم، فلماذا إذًا تُعَرِّفُون الناسَ على اللهِ ورسولِهِ على هذا النحو؟</w:t>
      </w:r>
    </w:p>
    <w:p w:rsidR="00CD31AA" w:rsidRPr="00495BAB" w:rsidRDefault="00CD31AA" w:rsidP="00495BAB">
      <w:pPr>
        <w:pStyle w:val="a0"/>
        <w:rPr>
          <w:rFonts w:hint="cs"/>
          <w:rtl/>
          <w:lang w:bidi="ar-SY"/>
        </w:rPr>
      </w:pPr>
      <w:r w:rsidRPr="00495BAB">
        <w:rPr>
          <w:rFonts w:hint="cs"/>
          <w:rtl/>
          <w:lang w:bidi="ar-SY"/>
        </w:rPr>
        <w:t>ثم عقد أصحاب الكُتَيِّب فصلًا بعنوان: «</w:t>
      </w:r>
      <w:r w:rsidRPr="00995B26">
        <w:rPr>
          <w:rFonts w:cs="Akhbar MT" w:hint="cs"/>
          <w:szCs w:val="30"/>
          <w:rtl/>
          <w:lang w:bidi="ar-SY"/>
        </w:rPr>
        <w:t>هل عُفِيَ عن الخُمس في عهد غيبة إمام الزمان؟</w:t>
      </w:r>
      <w:r w:rsidRPr="00495BAB">
        <w:rPr>
          <w:rFonts w:hint="cs"/>
          <w:rtl/>
          <w:lang w:bidi="ar-SY"/>
        </w:rPr>
        <w:t>» ولفَّقوا تحته بعض التلفيقات أرادوا من خلالها أن يثبتوا أن هبة الأئمّةِ الخمسَ لشيعتهم إنما يتعلّق بالأسرى الذين كانوا يؤخذون كغنائم حرب، أو أن تحليل الخمس يتعلق بزمن معين خاص وهو الزمن الذي لا يستطيع الشيعة أن يصلوا فيه إلى الأئمة، وأنه يتعلَّق بشخص محدَّد بعينه. أو أن المقصود منه الأنفال. وأن الأحاديث التي لا تختص بزمن معيَّن أو بشخص محدَّد بعينه،  ليست سوى ثلاث روايات أحدها حديث سالم بن مكرم (أبو خديجة) وسنده ضعيف، والثاني حديث معاذ بن كثير ولا علاقة له بالخمس أصلًا. والحديث الثالث مرسل جاء في تفسير العياشي و رواه شخص مجهول. هذا كل ما في الأمر وبكل بساطة! إذًا، لابد من دفع ذلك الخُمْس الشامل!</w:t>
      </w:r>
    </w:p>
    <w:p w:rsidR="00CD31AA" w:rsidRPr="00451CED" w:rsidRDefault="00CD31AA" w:rsidP="00495BAB">
      <w:pPr>
        <w:pStyle w:val="a0"/>
        <w:rPr>
          <w:rFonts w:hint="cs"/>
          <w:spacing w:val="-2"/>
          <w:rtl/>
          <w:lang w:bidi="ar-SY"/>
        </w:rPr>
      </w:pPr>
      <w:r w:rsidRPr="00451CED">
        <w:rPr>
          <w:rFonts w:hint="cs"/>
          <w:spacing w:val="-2"/>
          <w:rtl/>
          <w:lang w:bidi="ar-SY"/>
        </w:rPr>
        <w:t xml:space="preserve">ونحن هنا ندعو القرَّاء الكرام إلى قراءة مجدَّدة للثلاثين حديثًا التي أوردناها في كتابنا الحاضر، نقلًا عن كتب الشيعة المعتمدة، في تحليل الخُمس، كي تعلموا ماذا يقول آكلو الخُمس هؤلاء؟! </w:t>
      </w:r>
    </w:p>
    <w:p w:rsidR="00CD31AA" w:rsidRPr="00495BAB" w:rsidRDefault="00CD31AA" w:rsidP="00495BAB">
      <w:pPr>
        <w:pStyle w:val="a0"/>
        <w:rPr>
          <w:rFonts w:hint="cs"/>
          <w:rtl/>
          <w:lang w:bidi="ar-SY"/>
        </w:rPr>
      </w:pPr>
      <w:r w:rsidRPr="00495BAB">
        <w:rPr>
          <w:rFonts w:hint="cs"/>
          <w:rtl/>
          <w:lang w:bidi="ar-SY"/>
        </w:rPr>
        <w:t xml:space="preserve">لو فرضنا الآن أنكم أوجبتم مثل هذا الخُمس في أرباح المكاسب استنادًا إلى تلك الأحاديث غير الصريحة بشكل كافٍ في هذا الموضوع، فهل تتجاهلون تلك الأحاديث الثلاثين الواضحة التي لا إشكال في دلالتها على تحليل الخُمس وتقدِّمون لنا عنها عذرًا أقبح من ذنب؟  </w:t>
      </w:r>
    </w:p>
    <w:p w:rsidR="00CD31AA" w:rsidRPr="00495BAB" w:rsidRDefault="00CD31AA" w:rsidP="00495BAB">
      <w:pPr>
        <w:pStyle w:val="a0"/>
        <w:rPr>
          <w:rFonts w:hint="cs"/>
          <w:rtl/>
          <w:lang w:bidi="ar-SY"/>
        </w:rPr>
      </w:pPr>
      <w:r w:rsidRPr="00495BAB">
        <w:rPr>
          <w:rFonts w:hint="cs"/>
          <w:rtl/>
          <w:lang w:bidi="ar-SY"/>
        </w:rPr>
        <w:t xml:space="preserve">أضِف إلى ذلك، لقد استنبط علماء كبار </w:t>
      </w:r>
      <w:r w:rsidRPr="00495BAB">
        <w:rPr>
          <w:rtl/>
          <w:lang w:bidi="ar-SY"/>
        </w:rPr>
        <w:t>مثل الشيخ ابن جن</w:t>
      </w:r>
      <w:r w:rsidRPr="00495BAB">
        <w:rPr>
          <w:rFonts w:hint="cs"/>
          <w:rtl/>
          <w:lang w:bidi="ar-SY"/>
        </w:rPr>
        <w:t>يد</w:t>
      </w:r>
      <w:r w:rsidRPr="00495BAB">
        <w:rPr>
          <w:rtl/>
          <w:lang w:bidi="ar-SY"/>
        </w:rPr>
        <w:t xml:space="preserve"> والشيخ ابن عقيل والشيخ</w:t>
      </w:r>
      <w:r w:rsidRPr="00495BAB">
        <w:rPr>
          <w:rFonts w:hint="cs"/>
          <w:rtl/>
          <w:lang w:bidi="ar-SY"/>
        </w:rPr>
        <w:t xml:space="preserve"> المفيد</w:t>
      </w:r>
      <w:r w:rsidRPr="00495BAB">
        <w:rPr>
          <w:rtl/>
          <w:lang w:bidi="ar-SY"/>
        </w:rPr>
        <w:t xml:space="preserve"> والشيخ سلار الديلمي</w:t>
      </w:r>
      <w:r w:rsidRPr="00495BAB">
        <w:rPr>
          <w:rFonts w:hint="cs"/>
          <w:rtl/>
          <w:lang w:bidi="ar-SY"/>
        </w:rPr>
        <w:t xml:space="preserve"> - من قدماء علماء الإمامية- </w:t>
      </w:r>
      <w:r w:rsidRPr="00495BAB">
        <w:rPr>
          <w:rtl/>
          <w:lang w:bidi="ar-SY"/>
        </w:rPr>
        <w:t xml:space="preserve">وبعض المتأخرين مثل </w:t>
      </w:r>
      <w:r w:rsidRPr="00495BAB">
        <w:rPr>
          <w:rFonts w:hint="cs"/>
          <w:rtl/>
          <w:lang w:bidi="ar-SY"/>
        </w:rPr>
        <w:t xml:space="preserve">المحقق الحِلِّي والمحقق السبزواري والقطيفي والمقدَّس الأردبيلي وصاحب المدارك والمحقِّق الخراساني والملا محسن الفيض الكاشاني والشيخ </w:t>
      </w:r>
      <w:r w:rsidRPr="00495BAB">
        <w:rPr>
          <w:rtl/>
          <w:lang w:bidi="ar-SY"/>
        </w:rPr>
        <w:t>عبد الله بن صالح البحراني</w:t>
      </w:r>
      <w:r w:rsidRPr="00495BAB">
        <w:rPr>
          <w:rFonts w:hint="cs"/>
          <w:rtl/>
          <w:lang w:bidi="ar-SY"/>
        </w:rPr>
        <w:t>، ممن ذكرنا أسماء 17 نفرًا من أولئك العلماء الكبار مع نقل فتاويهم من مؤلفاتهم الفقهية، استنبطوا من تلك الأحاديث حلية الخمس وسقوطه عن الشيعة، إلى حد قول بعضهم بصراحة: «</w:t>
      </w:r>
      <w:r w:rsidRPr="00495BAB">
        <w:rPr>
          <w:rFonts w:hint="cs"/>
          <w:b/>
          <w:bCs/>
          <w:rtl/>
          <w:lang w:bidi="ar-SY"/>
        </w:rPr>
        <w:t>يكون الخُمس بأجمعه مباحًا للشيعة وساقطًا عنهم فلا يجب عليهم إخراجه</w:t>
      </w:r>
      <w:r w:rsidRPr="00495BAB">
        <w:rPr>
          <w:rFonts w:hint="cs"/>
          <w:rtl/>
          <w:lang w:bidi="ar-SY"/>
        </w:rPr>
        <w:t>»! فهل نقبل قول هؤلاء العلماء الأجلاء أم قول آكلي الخُمس في آخر الزمان؟</w:t>
      </w:r>
    </w:p>
    <w:p w:rsidR="00CD31AA" w:rsidRPr="00995B26" w:rsidRDefault="00CD31AA" w:rsidP="00495BAB">
      <w:pPr>
        <w:pStyle w:val="a0"/>
        <w:rPr>
          <w:rFonts w:hint="cs"/>
          <w:rtl/>
          <w:lang w:bidi="ar-SY"/>
        </w:rPr>
      </w:pPr>
      <w:r w:rsidRPr="00495BAB">
        <w:rPr>
          <w:rFonts w:hint="cs"/>
          <w:rtl/>
          <w:lang w:bidi="ar-SY"/>
        </w:rPr>
        <w:t>ثم أورد كُتَّاب الكُتَيِّب آخر فصول ردِّهم بعنوان: «</w:t>
      </w:r>
      <w:r w:rsidRPr="00995B26">
        <w:rPr>
          <w:rFonts w:cs="Akhbar MT" w:hint="cs"/>
          <w:szCs w:val="30"/>
          <w:rtl/>
          <w:lang w:bidi="ar-SY"/>
        </w:rPr>
        <w:t>من الناحية التاريخية: هل أُخِذ الخُمس في صدر الإسلام؟</w:t>
      </w:r>
      <w:r w:rsidRPr="00495BAB">
        <w:rPr>
          <w:rFonts w:hint="cs"/>
          <w:rtl/>
          <w:lang w:bidi="ar-SY"/>
        </w:rPr>
        <w:t>» وكتبوا تحته يقولون: «</w:t>
      </w:r>
      <w:r w:rsidRPr="00995B26">
        <w:rPr>
          <w:rFonts w:cs="Akhbar MT" w:hint="cs"/>
          <w:szCs w:val="30"/>
          <w:rtl/>
          <w:lang w:bidi="ar-SY"/>
        </w:rPr>
        <w:t xml:space="preserve">إن كان المقصود من صدر الإسلام زمن الأئمة فالإجابة: نعم، كثير من أئمة الهدى </w:t>
      </w:r>
      <w:r w:rsidR="00963EFD" w:rsidRPr="00963EFD">
        <w:rPr>
          <w:rFonts w:cs="CTraditional Arabic" w:hint="cs"/>
          <w:szCs w:val="30"/>
          <w:rtl/>
          <w:lang w:bidi="ar-SY"/>
        </w:rPr>
        <w:t>‡</w:t>
      </w:r>
      <w:r w:rsidRPr="00995B26">
        <w:rPr>
          <w:rFonts w:cs="Akhbar MT" w:hint="cs"/>
          <w:szCs w:val="30"/>
          <w:rtl/>
          <w:lang w:bidi="ar-SY"/>
        </w:rPr>
        <w:t xml:space="preserve"> لم يأخذوا في عصرهم أرباح المكاسب فَحَسْب، بل كانوا يأمرون الناس أمرًا مُؤكّدًا أن لا يتوانوا عن دفع هذا الخُمس ولا يقصِّروا في أدائه</w:t>
      </w:r>
      <w:r w:rsidRPr="00495BAB">
        <w:rPr>
          <w:rFonts w:hint="cs"/>
          <w:rtl/>
          <w:lang w:bidi="ar-SY"/>
        </w:rPr>
        <w:t>».</w:t>
      </w:r>
    </w:p>
    <w:p w:rsidR="00CD31AA" w:rsidRPr="00451CED" w:rsidRDefault="00CD31AA" w:rsidP="00451CED">
      <w:pPr>
        <w:pStyle w:val="a0"/>
        <w:rPr>
          <w:spacing w:val="-2"/>
          <w:lang w:bidi="ar-SY"/>
        </w:rPr>
      </w:pPr>
      <w:r w:rsidRPr="00451CED">
        <w:rPr>
          <w:rFonts w:hint="cs"/>
          <w:spacing w:val="-2"/>
          <w:rtl/>
          <w:lang w:bidi="ar-SY"/>
        </w:rPr>
        <w:t>وأقول: إنه لا يوجد في تاريخ أئمة الهدى على الإطلاق شاهدٌ واضحٌ يفيد أنهم أخذوا فعلاً من الناس شيئًا باسم الخُمس- فضلاً عن خمس أرباح المكاسب الذي ليس له أي سند في كتاب الله ولا في سنة رسوله -؛ ومُسْتند هؤلاء السادة ليس سوى هذه الأحاديث الضعيفة التي يستدلون بها في كُتَيِّبهم هذا. لأننا كما قلنا، لا يمكن للإمام أن يأتي بشريعة موازية لشريعة النبي</w:t>
      </w:r>
      <w:r w:rsidRPr="00451CED">
        <w:rPr>
          <w:rFonts w:ascii="Abo-thar" w:hAnsi="Abo-thar"/>
          <w:spacing w:val="-2"/>
          <w:sz w:val="28"/>
          <w:lang w:bidi="fa-IR"/>
        </w:rPr>
        <w:t></w:t>
      </w:r>
      <w:r w:rsidRPr="00451CED">
        <w:rPr>
          <w:rFonts w:hint="cs"/>
          <w:spacing w:val="-2"/>
          <w:rtl/>
          <w:lang w:bidi="ar-SY"/>
        </w:rPr>
        <w:t>، ولمَّا لم يكن هناك وجودٌ أبدًا لمثل هذا الموضوع في كتاب الله ولا في سنة رسوله، فلا يمكن لأي إمام أن يدعيه، ولم يحصل أن ادّعاه أحد منهم أبدًا. ثانياً: لو أخذ شخصٌ من آل النبي، إماماً كان أم غير إمام، مثل هذا الخمس، لسجّل التاريخ ذلك بوضوح، لأن أئمة أهل البيت كان لهم أعداء كُثُر في السر والعلن، وكانوا يراقبون تصرفات الأئمة وأعمالَهُم، فإن وجدوهم قد عملوا عملاً مخالفاً للمشهور والمعروف بين المسلمين، لشهّرُوا بذلك بوصفه بدعةً في الدين، واتخذوا ذلك وسيلةً وحجَّةً لإيذاء أولئك الأئمة الأجلاء والطعن فيهم! ولكن مثل ذلك لم يحصل.</w:t>
      </w:r>
    </w:p>
    <w:p w:rsidR="00CD31AA" w:rsidRPr="00495BAB" w:rsidRDefault="00CD31AA" w:rsidP="00495BAB">
      <w:pPr>
        <w:pStyle w:val="a0"/>
        <w:rPr>
          <w:rFonts w:hint="cs"/>
          <w:rtl/>
          <w:lang w:bidi="ar-SY"/>
        </w:rPr>
      </w:pPr>
      <w:r w:rsidRPr="00495BAB">
        <w:rPr>
          <w:rFonts w:hint="cs"/>
          <w:rtl/>
          <w:lang w:bidi="ar-SY"/>
        </w:rPr>
        <w:t xml:space="preserve">نعم، كان بعض الشيعة - كما أوردنا في كتابنا الحاضر - يدفعون زكاة أموالهم للأئمة، كما أنهم كانوا إذا نالوا شيئًا من غنائم الحرب التي شاركوا فيها، وقام قائد جيش الإسلام بأخذ خمسها، كانوا يفصلون مما نالوه من الغنائم مقدار الخمس مرة ثانية ويدفعوه للإمام الذي يؤمنون بإمامته. والأحاديث التي تتعلق بالخمس وتحليله إنما تشير لهذه القضية بالذات؛ والأمر ذاته ينطبق على الأموال الأخرى مثل موقوفات آل محمد والنذورات التي كانت تُعطى لهم. نعم كان هناك محتالون سُرّاق مثل أبي حمزة البطائني وزياد القندي والواقفة وأشخاص آخرون يدّعون أنهم وكلاء للأئمة كانوا ينهبون أموال الناس بكل شكل أو طريق من الطرق، وقد أوضحنا هذا في كتابنا الحاضر، فكل هذه الادعاءات [بأن الأئمة كانوا يطالبون بخمس الأرباح] كذب محض وتهمة لأولئك الأئمة الأطهار </w:t>
      </w:r>
      <w:r w:rsidR="00963EFD" w:rsidRPr="00963EFD">
        <w:rPr>
          <w:rFonts w:cs="CTraditional Arabic" w:hint="cs"/>
          <w:rtl/>
          <w:lang w:bidi="ar-SY"/>
        </w:rPr>
        <w:t>‡</w:t>
      </w:r>
      <w:r w:rsidRPr="00495BAB">
        <w:rPr>
          <w:rFonts w:hint="cs"/>
          <w:rtl/>
          <w:lang w:bidi="ar-SY"/>
        </w:rPr>
        <w:t>.</w:t>
      </w:r>
    </w:p>
    <w:p w:rsidR="00CD31AA" w:rsidRPr="00495BAB" w:rsidRDefault="00CD31AA" w:rsidP="00495BAB">
      <w:pPr>
        <w:pStyle w:val="a0"/>
        <w:rPr>
          <w:rFonts w:hint="cs"/>
          <w:rtl/>
          <w:lang w:bidi="ar-SY"/>
        </w:rPr>
      </w:pPr>
      <w:r w:rsidRPr="00495BAB">
        <w:rPr>
          <w:rFonts w:hint="cs"/>
          <w:rtl/>
          <w:lang w:bidi="ar-SY"/>
        </w:rPr>
        <w:t xml:space="preserve">أما خُمْس المعادن والكنوز والغوص والمال المخلوط بالحرام الذي جاء ذكره في هذا البحث والذي اضطرّ كُتّاب الرد إلى اللجوء إلى سنن البيهقي وروايات أهل السنة لإثباته عندما ضاقت عليهم الأدلة، فحقيقته ما بيّنّاه سابقًا من أنّ رسول الله </w:t>
      </w:r>
      <w:r w:rsidRPr="00495BAB">
        <w:rPr>
          <w:rFonts w:ascii="Abo-thar" w:hAnsi="Abo-thar"/>
          <w:sz w:val="28"/>
          <w:lang w:bidi="fa-IR"/>
        </w:rPr>
        <w:t></w:t>
      </w:r>
      <w:r w:rsidRPr="00495BAB">
        <w:rPr>
          <w:rFonts w:hint="cs"/>
          <w:rtl/>
          <w:lang w:bidi="ar-SY"/>
        </w:rPr>
        <w:t xml:space="preserve"> والخلفاء كانوا يأخذون خمس تلك الأشياء بوصفه مقدار زكاتها؛ وبيّنّا أنه عندما كان الأئمة يُسْألون عن مقدار الزكاة الواجب أداؤها من الكبريت والنفط والغوص والكنز والركاز؟ كانوا يجيبون: الخمس! وعِلَّةُ ذلك أن بعض فقهاء ذلك الزمن كانوا يُفْتُون بوجوب دفع العُشْر أو أقل من العُشْر أو أكثر منه، زكاةً لتلك الأموال، فكان السائلون يرجعون إلى أئمة أهل البيت لمعرفة وجه الحق في هذا الأمر المُخْتَلَف فيه، فكانوا يجيبونهم أن مقدار الزكاة الواجبة فيها هو: الخمس! إذن، فالموضوع يتعلَّق بالزكاة، وقد أوضحنا هذا المطلب بشكل كافٍ في الكتاب الحاضر وفي كتاب </w:t>
      </w:r>
      <w:r w:rsidRPr="00495BAB">
        <w:rPr>
          <w:rFonts w:hint="cs"/>
          <w:b/>
          <w:bCs/>
          <w:rtl/>
          <w:lang w:bidi="ar-SY"/>
        </w:rPr>
        <w:t>الزكاة</w:t>
      </w:r>
      <w:r w:rsidRPr="00495BAB">
        <w:rPr>
          <w:rFonts w:hint="cs"/>
          <w:rtl/>
          <w:lang w:bidi="ar-SY"/>
        </w:rPr>
        <w:t>، والموضوع أوضح من الشمس في رابعة النهار، لمن طلب الحق.</w:t>
      </w:r>
    </w:p>
    <w:p w:rsidR="00CD31AA" w:rsidRPr="00495BAB" w:rsidRDefault="00CD31AA" w:rsidP="00495BAB">
      <w:pPr>
        <w:pStyle w:val="a0"/>
        <w:rPr>
          <w:rFonts w:hint="cs"/>
          <w:rtl/>
        </w:rPr>
      </w:pPr>
      <w:r w:rsidRPr="00495BAB">
        <w:rPr>
          <w:rFonts w:hint="cs"/>
          <w:rtl/>
        </w:rPr>
        <w:t xml:space="preserve">كما أن مسألة حرمان بني هاشم من الزكاة التي هي من أهم دلائل آكلي الخمس محتجِّين بأن الخمس شُرِعَ لتعويض بني هاشم عن الزكاة التي مُنِعوا من أخذها، مسألةٌ لا أساس لها في الشرع، بل هي موضوع سياسي تشبث به بعض الناس!  نعم! إن لم يكن النبي </w:t>
      </w:r>
      <w:r w:rsidRPr="00495BAB">
        <w:rPr>
          <w:rFonts w:ascii="Abo-thar" w:hAnsi="Abo-thar"/>
          <w:sz w:val="28"/>
          <w:lang w:bidi="fa-IR"/>
        </w:rPr>
        <w:t></w:t>
      </w:r>
      <w:r w:rsidRPr="00495BAB">
        <w:rPr>
          <w:rFonts w:hint="cs"/>
          <w:rtl/>
        </w:rPr>
        <w:t xml:space="preserve">، بعد جبايته للصدقات وأموال الزكاة، يعطي أهل بيته شيئًا منها، فإن ذلك كان بناءً على مصلحة خاصَّة وهي إبعاد أي شبهة أو تهمة عن  نفسه بأنه يأخذ أموال الناس باسم الزكاة كي يستفيد منها في إعاشة نفسه وأهل بيته. أمَّا بعد عصر النبي </w:t>
      </w:r>
      <w:r w:rsidRPr="00495BAB">
        <w:rPr>
          <w:rFonts w:ascii="Abo-thar" w:hAnsi="Abo-thar"/>
          <w:sz w:val="28"/>
          <w:lang w:bidi="fa-IR"/>
        </w:rPr>
        <w:t></w:t>
      </w:r>
      <w:r w:rsidRPr="00495BAB">
        <w:rPr>
          <w:rFonts w:hint="cs"/>
          <w:rtl/>
        </w:rPr>
        <w:t xml:space="preserve"> فإن عامة آل بيت النبي وذريته استفادوا - عند اللزوم - من أموال الزكاة هذه. هذا رغم أن خلفاء بني أمية وبني العباس كانوا يَضُنُّون على بني هاشم بها ويبخلون بإعطائهم منها، إلا أن الأئمة جميعهم، استفادوا - كما بينا في كتابنا الحاضر- من عطايا الخلفاء وجوائزهم التي كانت الزكاة أحد أهم مصادرها.</w:t>
      </w:r>
    </w:p>
    <w:p w:rsidR="00CD31AA" w:rsidRPr="00495BAB" w:rsidRDefault="00CD31AA" w:rsidP="00451CED">
      <w:pPr>
        <w:pStyle w:val="a0"/>
        <w:rPr>
          <w:rFonts w:hint="cs"/>
          <w:rtl/>
          <w:lang w:bidi="ar-SY"/>
        </w:rPr>
      </w:pPr>
      <w:r w:rsidRPr="00495BAB">
        <w:rPr>
          <w:rFonts w:hint="cs"/>
          <w:rtl/>
        </w:rPr>
        <w:t xml:space="preserve">في ختام الكلام نقول: نحن لا يُزعِجنا أبدًا نشر وتوزيع هذه الكُتَيِّبات، أو الكتب - على حد قول مؤلفيها - التي انتشر منها حتى الآن أربعة كتب ألَّفها أبرز الكُتَّاب المعاصرين من أكلة الخُمس، وليس هذا فحسب بل نُسَرُّ جدًّا من نشرها، لأنها تثبت لنا وللآخرين، بكل وضوح، أنه ليس لدى هؤلاء المُفْلِسين أي مستند أو حق يبرِّر لهم أخذ هذا المال من الناس وأكْلِه، بل هم يأكلون هذا الخُمس وسهم الإمام اعتمادًا على الظنون والأوهام! والعجيب أنهم يُسَمُّون ذلك بيت المال!! وليت شعري! لو كان هذا بيت المال حقًّا، فهل كان الأئمة أنفسهم ينفقونه على هذا النحو ويبنون به أبنيةً شامخةً، وعلى حد قولهم، يبنون به مؤسسات واسعة ومنشآت متنوعة، ويعطون منه من يشاؤون دون حساب أو يمنعونه عمن يشاؤون كما يرغبون؟ إن كانت سيرة بقية الأئمة غير واضحة تمامًا فإن سيرة أمير المؤمنين علي </w:t>
      </w:r>
      <w:r w:rsidR="00451CED" w:rsidRPr="00451CED">
        <w:rPr>
          <w:rFonts w:ascii="Abo-thar" w:hAnsi="Abo-thar" w:cs="CTraditional Arabic"/>
          <w:sz w:val="28"/>
          <w:rtl/>
          <w:lang w:bidi="ar-SY"/>
        </w:rPr>
        <w:t>÷</w:t>
      </w:r>
      <w:r w:rsidRPr="00495BAB">
        <w:rPr>
          <w:rFonts w:ascii="Abo-thar" w:hAnsi="Abo-thar" w:hint="cs"/>
          <w:sz w:val="28"/>
          <w:rtl/>
        </w:rPr>
        <w:t xml:space="preserve"> المليئة بالفخر والاعتزاز معروفة ومنشورة أمام أنظار أهل الدنيا جميعهم، يقرؤون فيها ما كان يفعله ذلك الإمام الجليل مع أخيه وابنته وأبنائه ونسائه في موضوع الإنفاق من  بيت المال؟! </w:t>
      </w:r>
      <w:r w:rsidRPr="00495BAB">
        <w:rPr>
          <w:rFonts w:hint="cs"/>
          <w:rtl/>
        </w:rPr>
        <w:t>ويمكن لكل من له اطلاع على كيفية إنفاق الخُمس مِنْ قِبَلِ آخذيه اليوم، أن يلاحظ مدى التفاوت بين الإسلام الذي كان يتِّبعه عليٌّ</w:t>
      </w:r>
      <w:r w:rsidR="00451CED" w:rsidRPr="00451CED">
        <w:rPr>
          <w:rFonts w:ascii="Abo-thar" w:hAnsi="Abo-thar" w:cs="CTraditional Arabic"/>
          <w:sz w:val="28"/>
          <w:rtl/>
          <w:lang w:bidi="ar-SY"/>
        </w:rPr>
        <w:t>÷</w:t>
      </w:r>
      <w:r w:rsidRPr="00495BAB">
        <w:rPr>
          <w:rFonts w:hint="cs"/>
          <w:rtl/>
        </w:rPr>
        <w:t xml:space="preserve"> والإسلام الذي يدَّعيه هؤلاء، ويفهم الفرق الكبير بينهما! </w:t>
      </w:r>
    </w:p>
    <w:p w:rsidR="00CD31AA" w:rsidRPr="00495BAB" w:rsidRDefault="00CD31AA" w:rsidP="00495BAB">
      <w:pPr>
        <w:pStyle w:val="a0"/>
        <w:rPr>
          <w:rFonts w:hint="cs"/>
          <w:rtl/>
          <w:lang w:bidi="ar-SY"/>
        </w:rPr>
      </w:pPr>
      <w:r w:rsidRPr="00495BAB">
        <w:rPr>
          <w:rFonts w:hint="cs"/>
          <w:rtl/>
          <w:lang w:bidi="ar-SY"/>
        </w:rPr>
        <w:t>أذْكُرُ أن أحد المتشبِّهين بأهل العلم، زمن أحد المراجع المعروفين، مدح في إحدى المجالس بشدة جُودَ ذلك المرجِع وسخائه قائلًا: بعد المعصومين لا أعتبر أحدًا من الناس أسخى من هذا «</w:t>
      </w:r>
      <w:r w:rsidRPr="00495BAB">
        <w:rPr>
          <w:rFonts w:hint="cs"/>
          <w:b/>
          <w:bCs/>
          <w:rtl/>
          <w:lang w:bidi="ar-SY"/>
        </w:rPr>
        <w:t>السيِّد</w:t>
      </w:r>
      <w:r w:rsidRPr="00495BAB">
        <w:rPr>
          <w:rFonts w:hint="cs"/>
          <w:rtl/>
          <w:lang w:bidi="ar-SY"/>
        </w:rPr>
        <w:t>»! فقال أحد طلاب الشريعة الظرفاء الذي كان حاضرًا في ذلك المجلس - وهو الآن من حاشية أحد المراجع -: «لستُ أدري! ولكن ما أعرفه عن المعصوم أنه أحمى حديدةً وقرّبها من يد أخيه!»، فضحك كل من كان في المجلس من كلامه هذا، وخجل المتشبِّه بأهل العلم ذاك!</w:t>
      </w:r>
    </w:p>
    <w:p w:rsidR="00CD31AA" w:rsidRPr="00495BAB" w:rsidRDefault="00CD31AA" w:rsidP="00495BAB">
      <w:pPr>
        <w:pStyle w:val="a0"/>
        <w:rPr>
          <w:rFonts w:hint="cs"/>
          <w:rtl/>
          <w:lang w:bidi="ar-SY"/>
        </w:rPr>
      </w:pPr>
      <w:r w:rsidRPr="00495BAB">
        <w:rPr>
          <w:rFonts w:hint="cs"/>
          <w:rtl/>
          <w:lang w:bidi="ar-SY"/>
        </w:rPr>
        <w:t>نعم! هؤلاء العاجزون عن إدارة أُسَرهم، يعتبرون أنفسهم حُكَّامًا شرعيين، ومن هذا المنطلق يجيزون لأنفسهم التصرُّف في كل شيء. ولست أدري أي شرع هذا الذي له أكثرُ من حاكِمٍ في كل شارع و زقاق! في حين أنه في قانون الإسلام إذا بويع لإمامين في زمن واحد وجب قتل الثاني. نعم! لا شك أن مثل حاكم الشرع هذا الذي ليس لديه مسؤولية سوى أخذ الخُمس وأكله وتحليل الحرام، والذي يلبس العمامة والعباءة بعد دراسة بضع سنوات في مدرسة دينية، ويصبح حاكمًا للشرع مطلق العنان، من السهل جدًّا لكل طالب شريعة أن يصبح مثله!</w:t>
      </w:r>
    </w:p>
    <w:p w:rsidR="00CD31AA" w:rsidRPr="00495BAB" w:rsidRDefault="00CD31AA" w:rsidP="00495BAB">
      <w:pPr>
        <w:pStyle w:val="a0"/>
        <w:rPr>
          <w:rFonts w:hint="cs"/>
          <w:rtl/>
          <w:lang w:bidi="ar-SY"/>
        </w:rPr>
      </w:pPr>
      <w:r w:rsidRPr="00495BAB">
        <w:rPr>
          <w:rFonts w:hint="cs"/>
          <w:rtl/>
          <w:lang w:bidi="ar-SY"/>
        </w:rPr>
        <w:t>لقد أجبنا بعون الله سبحانه إجابةً مفحمةً عمَّا ذكره مُؤلِّفو هذه الكتب التي كتبوها في الردّ على كتابنا الخُمس، بيد أن الفرق بيننا وبينهم أنهم لما كانوا  يملكون دَخْلًا عظيمًا وكان لديهم مريدون ودعاةٌ لا حصر لهم، إضافةً إلى امتلاكهم لمشترين كُثُر من تُجَّار البازار (السوق الكبير) ممن ينتفع هؤلاء السادة منهم، كانت كتبهم تطبع وتنشر على نطاقٍ واسع، خلافًا لمؤلفاتنا وكتبنا التي تبقى حبيسة الإهمال وأسيرة النسيان، نظرًا لِعَدم توفر الإمكانيات المادية لطباعتها ونشرها، بالإضافة إلى مئات الموانع والعوائق التي توضع في طريق نشرها، علاوة على خوف من يريد نشرها مما قد يقع عليه من حوادث ومخاطر، فليس أمامنا إلا التوكل على الله الكبير المتعال.</w:t>
      </w:r>
    </w:p>
    <w:p w:rsidR="00CD31AA" w:rsidRPr="00495BAB" w:rsidRDefault="00CD31AA" w:rsidP="00451CED">
      <w:pPr>
        <w:pStyle w:val="a0"/>
        <w:spacing w:after="0"/>
        <w:ind w:firstLine="3714"/>
        <w:jc w:val="center"/>
        <w:rPr>
          <w:rFonts w:hint="cs"/>
          <w:b/>
          <w:bCs/>
          <w:rtl/>
        </w:rPr>
      </w:pPr>
      <w:r w:rsidRPr="00495BAB">
        <w:rPr>
          <w:b/>
          <w:bCs/>
          <w:rtl/>
        </w:rPr>
        <w:t>وَمَا تَوْفِيقِي إِلَّا بِالل</w:t>
      </w:r>
      <w:r w:rsidRPr="00495BAB">
        <w:rPr>
          <w:rFonts w:hint="cs"/>
          <w:b/>
          <w:bCs/>
          <w:rtl/>
        </w:rPr>
        <w:t>هِ</w:t>
      </w:r>
      <w:r w:rsidRPr="00495BAB">
        <w:rPr>
          <w:b/>
          <w:bCs/>
          <w:rtl/>
        </w:rPr>
        <w:t xml:space="preserve"> عَلَيْهِ تَوَكَّلْتُ وَإِلَيْهِ أُنِيبُ</w:t>
      </w:r>
    </w:p>
    <w:p w:rsidR="00CD31AA" w:rsidRPr="00495BAB" w:rsidRDefault="00CD31AA" w:rsidP="00451CED">
      <w:pPr>
        <w:pStyle w:val="a0"/>
        <w:spacing w:after="0"/>
        <w:ind w:firstLine="3714"/>
        <w:jc w:val="center"/>
        <w:rPr>
          <w:rFonts w:hint="cs"/>
          <w:b/>
          <w:bCs/>
          <w:rtl/>
        </w:rPr>
      </w:pPr>
      <w:bookmarkStart w:id="199" w:name="_Toc362692913"/>
      <w:r w:rsidRPr="00495BAB">
        <w:rPr>
          <w:rFonts w:hint="cs"/>
          <w:b/>
          <w:bCs/>
          <w:rtl/>
        </w:rPr>
        <w:t>1354 هجرية شمسية</w:t>
      </w:r>
      <w:bookmarkEnd w:id="199"/>
    </w:p>
    <w:p w:rsidR="00CD31AA" w:rsidRPr="00495BAB" w:rsidRDefault="00CD31AA" w:rsidP="00495BAB">
      <w:pPr>
        <w:pStyle w:val="a0"/>
        <w:rPr>
          <w:rFonts w:hint="cs"/>
          <w:b/>
          <w:bCs/>
          <w:rtl/>
        </w:rPr>
      </w:pPr>
    </w:p>
    <w:p w:rsidR="00CD31AA" w:rsidRPr="00995B26" w:rsidRDefault="00CD31AA" w:rsidP="007D2B8A">
      <w:pPr>
        <w:pStyle w:val="a5"/>
        <w:rPr>
          <w:rFonts w:hint="cs"/>
          <w:rtl/>
        </w:rPr>
      </w:pPr>
      <w:r w:rsidRPr="00995B26">
        <w:rPr>
          <w:rFonts w:ascii="Abo-thar" w:hAnsi="Abo-thar"/>
          <w:rtl/>
        </w:rPr>
        <w:br w:type="page"/>
      </w:r>
      <w:bookmarkStart w:id="200" w:name="_Toc387843126"/>
      <w:r w:rsidR="0053369D" w:rsidRPr="00995B26">
        <w:rPr>
          <w:rFonts w:hint="cs"/>
          <w:rtl/>
        </w:rPr>
        <w:t xml:space="preserve">3- </w:t>
      </w:r>
      <w:r w:rsidRPr="00995B26">
        <w:rPr>
          <w:rFonts w:hint="cs"/>
          <w:rtl/>
        </w:rPr>
        <w:t>الجواب عن الردّ الذي كتبه السيد حسن إمامي الأصفهاني</w:t>
      </w:r>
      <w:bookmarkEnd w:id="200"/>
    </w:p>
    <w:p w:rsidR="00CD31AA" w:rsidRPr="00495BAB" w:rsidRDefault="00CD31AA" w:rsidP="00495BAB">
      <w:pPr>
        <w:pStyle w:val="a0"/>
        <w:rPr>
          <w:rFonts w:hint="cs"/>
          <w:rtl/>
          <w:lang w:bidi="ar-SY"/>
        </w:rPr>
      </w:pPr>
    </w:p>
    <w:p w:rsidR="00CD31AA" w:rsidRPr="00495BAB" w:rsidRDefault="00CD31AA" w:rsidP="00495BAB">
      <w:pPr>
        <w:pStyle w:val="a0"/>
        <w:rPr>
          <w:rFonts w:hint="cs"/>
          <w:rtl/>
          <w:lang w:bidi="ar-SY"/>
        </w:rPr>
      </w:pPr>
      <w:r w:rsidRPr="00495BAB">
        <w:rPr>
          <w:rtl/>
          <w:lang w:bidi="ar-SY"/>
        </w:rPr>
        <w:t>بِسْمِ الل</w:t>
      </w:r>
      <w:r w:rsidRPr="00495BAB">
        <w:rPr>
          <w:rFonts w:hint="cs"/>
          <w:rtl/>
          <w:lang w:bidi="ar-SY"/>
        </w:rPr>
        <w:t>هِ</w:t>
      </w:r>
      <w:r w:rsidRPr="00495BAB">
        <w:rPr>
          <w:rtl/>
          <w:lang w:bidi="ar-SY"/>
        </w:rPr>
        <w:t xml:space="preserve"> الرَّحْمَنِ الرَّحِيمِ</w:t>
      </w:r>
      <w:r w:rsidRPr="00495BAB">
        <w:rPr>
          <w:rFonts w:hint="cs"/>
          <w:rtl/>
          <w:lang w:bidi="ar-SY"/>
        </w:rPr>
        <w:t>.</w:t>
      </w:r>
      <w:r w:rsidRPr="00495BAB">
        <w:rPr>
          <w:rtl/>
          <w:lang w:bidi="ar-SY"/>
        </w:rPr>
        <w:t xml:space="preserve"> الحَمْدُ </w:t>
      </w:r>
      <w:r w:rsidRPr="00495BAB">
        <w:rPr>
          <w:rFonts w:hint="cs"/>
          <w:rtl/>
          <w:lang w:bidi="ar-SY"/>
        </w:rPr>
        <w:t>لِـلَّهِ</w:t>
      </w:r>
      <w:r w:rsidRPr="00495BAB">
        <w:rPr>
          <w:rtl/>
          <w:lang w:bidi="ar-SY"/>
        </w:rPr>
        <w:t xml:space="preserve"> رَبِّ العَالَمِينَ</w:t>
      </w:r>
      <w:r w:rsidRPr="00495BAB">
        <w:rPr>
          <w:rFonts w:hint="cs"/>
          <w:rtl/>
          <w:lang w:bidi="ar-SY"/>
        </w:rPr>
        <w:t xml:space="preserve">، والصلاة والسلام على محمد وآله الطاهرين، والسلام علينا وعلى </w:t>
      </w:r>
      <w:r w:rsidRPr="00495BAB">
        <w:rPr>
          <w:rtl/>
          <w:lang w:bidi="ar-SY"/>
        </w:rPr>
        <w:t>عِبَاد</w:t>
      </w:r>
      <w:r w:rsidRPr="00495BAB">
        <w:rPr>
          <w:rFonts w:hint="cs"/>
          <w:rtl/>
          <w:lang w:bidi="ar-SY"/>
        </w:rPr>
        <w:t>ِ</w:t>
      </w:r>
      <w:r w:rsidRPr="00495BAB">
        <w:rPr>
          <w:rtl/>
          <w:lang w:bidi="ar-SY"/>
        </w:rPr>
        <w:t xml:space="preserve"> الل</w:t>
      </w:r>
      <w:r w:rsidRPr="00495BAB">
        <w:rPr>
          <w:rFonts w:hint="cs"/>
          <w:rtl/>
          <w:lang w:bidi="ar-SY"/>
        </w:rPr>
        <w:t>هِ الصالحين، وبعد</w:t>
      </w:r>
    </w:p>
    <w:p w:rsidR="00CD31AA" w:rsidRPr="00495BAB" w:rsidRDefault="00CD31AA" w:rsidP="00495BAB">
      <w:pPr>
        <w:pStyle w:val="a0"/>
        <w:rPr>
          <w:rFonts w:hint="cs"/>
          <w:rtl/>
          <w:lang w:bidi="ar-SY"/>
        </w:rPr>
      </w:pPr>
      <w:r w:rsidRPr="00495BAB">
        <w:rPr>
          <w:rFonts w:hint="cs"/>
          <w:rtl/>
          <w:lang w:bidi="ar-SY"/>
        </w:rPr>
        <w:t>في منتصف شهر فروردين عام 1357 هجرية شمسية</w:t>
      </w:r>
      <w:r w:rsidR="000C68EA" w:rsidRPr="000C68EA">
        <w:rPr>
          <w:rStyle w:val="FootnoteReference"/>
          <w:rFonts w:cs="Arabic11 BT"/>
          <w:rtl/>
          <w:lang w:bidi="ar-SY"/>
        </w:rPr>
        <w:t>(</w:t>
      </w:r>
      <w:r w:rsidR="000C68EA" w:rsidRPr="000C68EA">
        <w:rPr>
          <w:rStyle w:val="FootnoteReference"/>
          <w:rFonts w:cs="Arabic11 BT"/>
          <w:rtl/>
          <w:lang w:bidi="ar-SY"/>
        </w:rPr>
        <w:footnoteReference w:id="493"/>
      </w:r>
      <w:r w:rsidR="000C68EA" w:rsidRPr="000C68EA">
        <w:rPr>
          <w:rStyle w:val="FootnoteReference"/>
          <w:rFonts w:cs="Arabic11 BT"/>
          <w:rtl/>
          <w:lang w:bidi="ar-SY"/>
        </w:rPr>
        <w:t>)</w:t>
      </w:r>
      <w:r w:rsidRPr="00495BAB">
        <w:rPr>
          <w:rFonts w:hint="cs"/>
          <w:rtl/>
          <w:lang w:bidi="ar-SY"/>
        </w:rPr>
        <w:t xml:space="preserve"> وصل إلى يدي، عن طريق أحد الأصدقاء، كُتَيِّبٌ آخر بعنوان «الخُمْس» أُلِّفَ ونُشِر للردِّ على كتابي «الخُمْس».</w:t>
      </w:r>
    </w:p>
    <w:p w:rsidR="00CD31AA" w:rsidRPr="00495BAB" w:rsidRDefault="00CD31AA" w:rsidP="00495BAB">
      <w:pPr>
        <w:pStyle w:val="a0"/>
        <w:rPr>
          <w:rFonts w:hint="cs"/>
          <w:rtl/>
          <w:lang w:bidi="ar-SY"/>
        </w:rPr>
      </w:pPr>
      <w:r w:rsidRPr="00495BAB">
        <w:rPr>
          <w:rFonts w:hint="cs"/>
          <w:rtl/>
          <w:lang w:bidi="ar-SY"/>
        </w:rPr>
        <w:t>إن كتابة وتأليف مثل هذه الردود على كتابي «الخُمْس» ليس بالأمر المستغرب بل كُنتُ قد تَوَقَّعْتُ حصولَه منذ أن تم تكثير كتابي «الخُمْس» وانتشار عدة نسخ ضوئية منه مِنْ قِبَلِ عدد من الأشخاص، دون إذن منِّي.</w:t>
      </w:r>
    </w:p>
    <w:p w:rsidR="00CD31AA" w:rsidRPr="00495BAB" w:rsidRDefault="00CD31AA" w:rsidP="00495BAB">
      <w:pPr>
        <w:pStyle w:val="a0"/>
        <w:rPr>
          <w:rFonts w:hint="cs"/>
          <w:rtl/>
          <w:lang w:bidi="ar-SY"/>
        </w:rPr>
      </w:pPr>
      <w:r w:rsidRPr="00495BAB">
        <w:rPr>
          <w:rFonts w:hint="cs"/>
          <w:rtl/>
          <w:lang w:bidi="ar-SY"/>
        </w:rPr>
        <w:t>حتى الآن هذا الردّ هو الكُتَيِّب أو الكتاب الخامس الذي أُلِّفَ ونُشِرَ للردّ على كتابي «الخُمْس»، وربما يتم تأليف كُتَيِّبات أو كتب أخرى في هذا الأمر أيضًا فيما بعد. ولا غرو، فالموضوع مهم لأنه موضوع اقتصادي، ولأن المسألة مسألة خبز ومعاش!</w:t>
      </w:r>
    </w:p>
    <w:p w:rsidR="00CD31AA" w:rsidRPr="00495BAB" w:rsidRDefault="00CD31AA" w:rsidP="00495BAB">
      <w:pPr>
        <w:pStyle w:val="a0"/>
        <w:rPr>
          <w:rFonts w:hint="cs"/>
          <w:rtl/>
        </w:rPr>
      </w:pPr>
      <w:r w:rsidRPr="00495BAB">
        <w:rPr>
          <w:rFonts w:hint="cs"/>
          <w:rtl/>
          <w:lang w:bidi="ar-SY"/>
        </w:rPr>
        <w:t>الكُتَيِّب الذي نرد عليه الآن أَلَّفه شخصٌ يُدعى السيد حسن إمامي الذي يبدو أنه من أهالي أصفهان. وقد ذكر على غلاف كتابه أن الكتاب هو الجزء الأول، مما يفيد بأن أجزاءً أخرى ستتبعه. لذلك ربما كان الأولى أن ننتظر صدور أجزائه الأخرى كي نعلم ما يريد قوله ثم نجيب عنها كلها مرّةً واحدةً، لكننا بادرنا إلى الإجابة الآن لسببين: الأول أنه مضت حوالي ثلاث سنوات أو أكثر ونحن نسمع أن هذا المؤلف مشغول بكتابة مثل هذا الكتاب! وبعد انتظارنا كل هذه المدة طلع المؤلف علينا بكُتَيِّب تضمَّن كثيرًا من الحشو والأمور الزائدة التي لا علاقة لها بالموضوع في حوالي 130 صفحة، بحيث أننا لو أردنا تلخيص مطالب الكتاب لما زادت خلاصته عن صفحة واحدة! ولكنه لما أراد أن يرد على كتابنا مِن ألِفِه إلى يائه فقرةً فقرةً، ربما احتاج إلى عدة سنوات كي ينجز تأليفه هذا، وربما أمضينا آخر سنوات عمرنا دون أن نَـحْظى برؤية مثل هذا الكتاب. والسبب الثاني: أننا فكَّرنا بأن إجابتنا عن الجزء الأول من كتابه قد تجعل مؤلفه يصحو على نفسه ويُقْلع عن تجشُّم عِناء مواصلة كتابة نقده دونما فائدة، لأن معظم ما أتعب نفسه في جمعه وكتابته خلال عدة سنوات لا علاقة له بأصل الموضوع ولا يؤثر فيما ندعيه. بل ينطبق على بعض ما كتبه قولُه تعالى:</w:t>
      </w:r>
      <w:r w:rsidR="000775C2" w:rsidRPr="00495BAB">
        <w:rPr>
          <w:rFonts w:hint="cs"/>
          <w:rtl/>
          <w:lang w:bidi="ar-SY"/>
        </w:rPr>
        <w:t xml:space="preserve"> </w:t>
      </w:r>
      <w:r w:rsidR="000775C2" w:rsidRPr="00995B26">
        <w:rPr>
          <w:rFonts w:cs="Traditional Arabic" w:hint="cs"/>
          <w:szCs w:val="30"/>
          <w:rtl/>
          <w:lang w:bidi="ar-SY"/>
        </w:rPr>
        <w:t>﴿</w:t>
      </w:r>
      <w:r w:rsidR="000775C2" w:rsidRPr="0067048A">
        <w:rPr>
          <w:rFonts w:ascii="KFGQPC Uthmanic Script HAFS" w:cs="KFGQPC Uthmanic Script HAFS" w:hint="eastAsia"/>
          <w:sz w:val="28"/>
          <w:szCs w:val="28"/>
          <w:rtl/>
        </w:rPr>
        <w:t>كَرَمَادٍ</w:t>
      </w:r>
      <w:r w:rsidR="000775C2" w:rsidRPr="0067048A">
        <w:rPr>
          <w:rFonts w:ascii="KFGQPC Uthmanic Script HAFS" w:cs="KFGQPC Uthmanic Script HAFS"/>
          <w:sz w:val="28"/>
          <w:szCs w:val="28"/>
          <w:rtl/>
        </w:rPr>
        <w:t xml:space="preserve"> </w:t>
      </w:r>
      <w:r w:rsidR="000775C2" w:rsidRPr="0067048A">
        <w:rPr>
          <w:rFonts w:ascii="KFGQPC Uthmanic Script HAFS" w:cs="KFGQPC Uthmanic Script HAFS" w:hint="cs"/>
          <w:sz w:val="28"/>
          <w:szCs w:val="28"/>
          <w:rtl/>
        </w:rPr>
        <w:t>ٱ</w:t>
      </w:r>
      <w:r w:rsidR="000775C2" w:rsidRPr="0067048A">
        <w:rPr>
          <w:rFonts w:ascii="KFGQPC Uthmanic Script HAFS" w:cs="KFGQPC Uthmanic Script HAFS" w:hint="eastAsia"/>
          <w:sz w:val="28"/>
          <w:szCs w:val="28"/>
          <w:rtl/>
        </w:rPr>
        <w:t>ش</w:t>
      </w:r>
      <w:r w:rsidR="000775C2" w:rsidRPr="0067048A">
        <w:rPr>
          <w:rFonts w:ascii="KFGQPC Uthmanic Script HAFS" w:cs="KFGQPC Uthmanic Script HAFS" w:hint="cs"/>
          <w:sz w:val="28"/>
          <w:szCs w:val="28"/>
          <w:rtl/>
        </w:rPr>
        <w:t>ۡ</w:t>
      </w:r>
      <w:r w:rsidR="000775C2" w:rsidRPr="0067048A">
        <w:rPr>
          <w:rFonts w:ascii="KFGQPC Uthmanic Script HAFS" w:cs="KFGQPC Uthmanic Script HAFS" w:hint="eastAsia"/>
          <w:sz w:val="28"/>
          <w:szCs w:val="28"/>
          <w:rtl/>
        </w:rPr>
        <w:t>تَدَّت</w:t>
      </w:r>
      <w:r w:rsidR="000775C2" w:rsidRPr="0067048A">
        <w:rPr>
          <w:rFonts w:ascii="KFGQPC Uthmanic Script HAFS" w:cs="KFGQPC Uthmanic Script HAFS" w:hint="cs"/>
          <w:sz w:val="28"/>
          <w:szCs w:val="28"/>
          <w:rtl/>
        </w:rPr>
        <w:t>ۡ</w:t>
      </w:r>
      <w:r w:rsidR="000775C2" w:rsidRPr="0067048A">
        <w:rPr>
          <w:rFonts w:ascii="KFGQPC Uthmanic Script HAFS" w:cs="KFGQPC Uthmanic Script HAFS"/>
          <w:sz w:val="28"/>
          <w:szCs w:val="28"/>
          <w:rtl/>
        </w:rPr>
        <w:t xml:space="preserve"> </w:t>
      </w:r>
      <w:r w:rsidR="000775C2" w:rsidRPr="0067048A">
        <w:rPr>
          <w:rFonts w:ascii="KFGQPC Uthmanic Script HAFS" w:cs="KFGQPC Uthmanic Script HAFS" w:hint="eastAsia"/>
          <w:sz w:val="28"/>
          <w:szCs w:val="28"/>
          <w:rtl/>
        </w:rPr>
        <w:t>بِهِ</w:t>
      </w:r>
      <w:r w:rsidR="000775C2" w:rsidRPr="0067048A">
        <w:rPr>
          <w:rFonts w:ascii="KFGQPC Uthmanic Script HAFS" w:cs="KFGQPC Uthmanic Script HAFS"/>
          <w:sz w:val="28"/>
          <w:szCs w:val="28"/>
          <w:rtl/>
        </w:rPr>
        <w:t xml:space="preserve"> </w:t>
      </w:r>
      <w:r w:rsidR="000775C2" w:rsidRPr="0067048A">
        <w:rPr>
          <w:rFonts w:ascii="KFGQPC Uthmanic Script HAFS" w:cs="KFGQPC Uthmanic Script HAFS" w:hint="cs"/>
          <w:sz w:val="28"/>
          <w:szCs w:val="28"/>
          <w:rtl/>
        </w:rPr>
        <w:t>ٱ</w:t>
      </w:r>
      <w:r w:rsidR="000775C2" w:rsidRPr="0067048A">
        <w:rPr>
          <w:rFonts w:ascii="KFGQPC Uthmanic Script HAFS" w:cs="KFGQPC Uthmanic Script HAFS" w:hint="eastAsia"/>
          <w:sz w:val="28"/>
          <w:szCs w:val="28"/>
          <w:rtl/>
        </w:rPr>
        <w:t>لرِّيحُ</w:t>
      </w:r>
      <w:r w:rsidR="000775C2" w:rsidRPr="0067048A">
        <w:rPr>
          <w:rFonts w:ascii="KFGQPC Uthmanic Script HAFS" w:cs="KFGQPC Uthmanic Script HAFS"/>
          <w:sz w:val="28"/>
          <w:szCs w:val="28"/>
          <w:rtl/>
        </w:rPr>
        <w:t xml:space="preserve"> </w:t>
      </w:r>
      <w:r w:rsidR="000775C2" w:rsidRPr="0067048A">
        <w:rPr>
          <w:rFonts w:ascii="KFGQPC Uthmanic Script HAFS" w:cs="KFGQPC Uthmanic Script HAFS" w:hint="eastAsia"/>
          <w:sz w:val="28"/>
          <w:szCs w:val="28"/>
          <w:rtl/>
        </w:rPr>
        <w:t>فِي</w:t>
      </w:r>
      <w:r w:rsidR="000775C2" w:rsidRPr="0067048A">
        <w:rPr>
          <w:rFonts w:ascii="KFGQPC Uthmanic Script HAFS" w:cs="KFGQPC Uthmanic Script HAFS"/>
          <w:sz w:val="28"/>
          <w:szCs w:val="28"/>
          <w:rtl/>
        </w:rPr>
        <w:t xml:space="preserve"> </w:t>
      </w:r>
      <w:r w:rsidR="000775C2" w:rsidRPr="0067048A">
        <w:rPr>
          <w:rFonts w:ascii="KFGQPC Uthmanic Script HAFS" w:cs="KFGQPC Uthmanic Script HAFS" w:hint="eastAsia"/>
          <w:sz w:val="28"/>
          <w:szCs w:val="28"/>
          <w:rtl/>
        </w:rPr>
        <w:t>يَو</w:t>
      </w:r>
      <w:r w:rsidR="000775C2" w:rsidRPr="0067048A">
        <w:rPr>
          <w:rFonts w:ascii="KFGQPC Uthmanic Script HAFS" w:cs="KFGQPC Uthmanic Script HAFS" w:hint="cs"/>
          <w:sz w:val="28"/>
          <w:szCs w:val="28"/>
          <w:rtl/>
        </w:rPr>
        <w:t>ۡ</w:t>
      </w:r>
      <w:r w:rsidR="000775C2" w:rsidRPr="0067048A">
        <w:rPr>
          <w:rFonts w:ascii="KFGQPC Uthmanic Script HAFS" w:cs="KFGQPC Uthmanic Script HAFS" w:hint="eastAsia"/>
          <w:sz w:val="28"/>
          <w:szCs w:val="28"/>
          <w:rtl/>
        </w:rPr>
        <w:t>مٍ</w:t>
      </w:r>
      <w:r w:rsidR="000775C2" w:rsidRPr="0067048A">
        <w:rPr>
          <w:rFonts w:ascii="KFGQPC Uthmanic Script HAFS" w:cs="KFGQPC Uthmanic Script HAFS"/>
          <w:sz w:val="28"/>
          <w:szCs w:val="28"/>
          <w:rtl/>
        </w:rPr>
        <w:t xml:space="preserve"> </w:t>
      </w:r>
      <w:r w:rsidR="000775C2" w:rsidRPr="0067048A">
        <w:rPr>
          <w:rFonts w:ascii="KFGQPC Uthmanic Script HAFS" w:cs="KFGQPC Uthmanic Script HAFS" w:hint="eastAsia"/>
          <w:sz w:val="28"/>
          <w:szCs w:val="28"/>
          <w:rtl/>
        </w:rPr>
        <w:t>عَاصِف</w:t>
      </w:r>
      <w:r w:rsidR="000775C2" w:rsidRPr="0067048A">
        <w:rPr>
          <w:rFonts w:ascii="KFGQPC Uthmanic Script HAFS" w:cs="KFGQPC Uthmanic Script HAFS" w:hint="cs"/>
          <w:sz w:val="28"/>
          <w:szCs w:val="28"/>
          <w:rtl/>
        </w:rPr>
        <w:t>ٖۖ</w:t>
      </w:r>
      <w:r w:rsidR="000775C2" w:rsidRPr="00995B26">
        <w:rPr>
          <w:rFonts w:cs="Traditional Arabic" w:hint="cs"/>
          <w:szCs w:val="30"/>
          <w:rtl/>
          <w:lang w:bidi="ar-SY"/>
        </w:rPr>
        <w:t>﴾</w:t>
      </w:r>
      <w:r w:rsidRPr="00495BAB">
        <w:rPr>
          <w:rFonts w:hint="cs"/>
          <w:rtl/>
          <w:lang w:bidi="ar-SY"/>
        </w:rPr>
        <w:t xml:space="preserve"> </w:t>
      </w:r>
      <w:r w:rsidRPr="009E1401">
        <w:rPr>
          <w:rStyle w:val="Char2"/>
          <w:rtl/>
        </w:rPr>
        <w:t>[إبراهيم</w:t>
      </w:r>
      <w:r w:rsidR="000775C2" w:rsidRPr="009E1401">
        <w:rPr>
          <w:rStyle w:val="Char2"/>
          <w:rFonts w:hint="cs"/>
          <w:rtl/>
        </w:rPr>
        <w:t xml:space="preserve">: </w:t>
      </w:r>
      <w:r w:rsidRPr="009E1401">
        <w:rPr>
          <w:rStyle w:val="Char2"/>
          <w:rtl/>
        </w:rPr>
        <w:t>18]</w:t>
      </w:r>
      <w:r w:rsidRPr="00495BAB">
        <w:rPr>
          <w:rFonts w:hint="cs"/>
          <w:rtl/>
          <w:lang w:bidi="ar-SY"/>
        </w:rPr>
        <w:t>.</w:t>
      </w:r>
    </w:p>
    <w:p w:rsidR="00CD31AA" w:rsidRPr="00495BAB" w:rsidRDefault="00CD31AA" w:rsidP="00495BAB">
      <w:pPr>
        <w:pStyle w:val="a0"/>
        <w:rPr>
          <w:rFonts w:hint="cs"/>
          <w:rtl/>
        </w:rPr>
      </w:pPr>
      <w:r w:rsidRPr="00495BAB">
        <w:rPr>
          <w:rFonts w:hint="cs"/>
          <w:rtl/>
        </w:rPr>
        <w:t>بدأ السيد حسن إمامي في مقدمته بجملة أرادها أن تكون من براعة الاستهلال قال فيها (باسم العزيز الجبار)، كأنه يخبرنا فيها عن قهره وغضبه! ثم ابتدأ بعنوان عدائي مستخدمًا الآية الكريمة: (</w:t>
      </w:r>
      <w:r w:rsidRPr="00495BAB">
        <w:rPr>
          <w:rtl/>
        </w:rPr>
        <w:t>وَلَا يَجْرِمَنَّكُمْ شَنَآنُ قَوْمٍ</w:t>
      </w:r>
      <w:r w:rsidRPr="00495BAB">
        <w:rPr>
          <w:rFonts w:hint="cs"/>
          <w:rtl/>
        </w:rPr>
        <w:t>...). ثم قسَّم مراحل الفقه الشيعي إلى سبع مراحل وهذا التقسيم في حدِّ ذاته يفيد أن دين الإسلام كان ناقصًا في بداية نشأته واكتمل في زمن الشيخ الأنصاري!!</w:t>
      </w:r>
    </w:p>
    <w:p w:rsidR="00CD31AA" w:rsidRPr="00495BAB" w:rsidRDefault="00CD31AA" w:rsidP="00495BAB">
      <w:pPr>
        <w:pStyle w:val="a0"/>
        <w:rPr>
          <w:rFonts w:hint="cs"/>
          <w:rtl/>
        </w:rPr>
      </w:pPr>
      <w:r w:rsidRPr="00495BAB">
        <w:rPr>
          <w:rFonts w:hint="cs"/>
          <w:rtl/>
        </w:rPr>
        <w:t xml:space="preserve">على كل حال، لن نضيِّع وقتنا في الإجابة عن الموضوعات السخيفة، ونعتقد أن الذين يتفوهون بهذه التُرَّهات لا يستحقون الاعتناء بكلامهم ولا الإجابة عنه! لأنه لو كان مؤلِّف الردّ من أهل المنطق وتشخيص الحقيقة لمَا سمح لعقله أن يتصور أن دين الله كان ناقصًا وبقي ينتظر على هذا النحو حتى أتى الشيخ الأنصاري فكمَّله في القرن الخامس عشر!! </w:t>
      </w:r>
    </w:p>
    <w:p w:rsidR="00CD31AA" w:rsidRPr="00495BAB" w:rsidRDefault="00CD31AA" w:rsidP="00495BAB">
      <w:pPr>
        <w:pStyle w:val="a0"/>
        <w:rPr>
          <w:rFonts w:hint="cs"/>
          <w:rtl/>
        </w:rPr>
      </w:pPr>
      <w:r w:rsidRPr="00495BAB">
        <w:rPr>
          <w:rFonts w:hint="cs"/>
          <w:rtl/>
        </w:rPr>
        <w:t>يقول كاتب الردّ حول هذا الادعاء: «</w:t>
      </w:r>
      <w:r w:rsidRPr="00995B26">
        <w:rPr>
          <w:rFonts w:cs="Akhbar MT" w:hint="cs"/>
          <w:szCs w:val="30"/>
          <w:rtl/>
        </w:rPr>
        <w:t>في المرحلة الخامسة [لفقه الشيعة الإمامية]، التي ابتدأت حسب تقسيمه عام 680 هـ.، احتاج فقه الشيعة إلى علوم مختلفة هي: علم الكلام وأصول الفقه والنحو والصرف والمعاني والبيان والبديع والمنطق واللغة والدراية والإعراب؛ ولما كان المتخصصون في هذه العلوم يختلفون في آرائهم، وقع اختلاف الرأي بين الفقهاء</w:t>
      </w:r>
      <w:r w:rsidRPr="00495BAB">
        <w:rPr>
          <w:rFonts w:hint="cs"/>
          <w:rtl/>
        </w:rPr>
        <w:t>».</w:t>
      </w:r>
    </w:p>
    <w:p w:rsidR="00CD31AA" w:rsidRPr="00495BAB" w:rsidRDefault="00CD31AA" w:rsidP="00495BAB">
      <w:pPr>
        <w:pStyle w:val="a0"/>
        <w:rPr>
          <w:rFonts w:hint="cs"/>
          <w:rtl/>
        </w:rPr>
      </w:pPr>
      <w:r w:rsidRPr="00495BAB">
        <w:rPr>
          <w:rFonts w:hint="cs"/>
          <w:rtl/>
        </w:rPr>
        <w:t xml:space="preserve">وأقول: إننا لا نقبل بأي واحد من ادعاءاته هذه، ونعتقد أن مسؤولية هذه الاختلافات تقع على عاتق أصحاب الاختلاف، ونؤمن أنه خلال القرون السبعة الأولى تلك كان المسلمون مسلمين وكان دين الله كاملاً، ولم يكن هناك أي حاجة لوجود مثل هؤلاء الفقهاء ومثل هذه الاختلافات. وعلى كل حال فنحن متبعون لِعِلْمِ مسلمي القرون السبعة الأولى أولئك. </w:t>
      </w:r>
    </w:p>
    <w:p w:rsidR="00CD31AA" w:rsidRPr="00495BAB" w:rsidRDefault="00CD31AA" w:rsidP="00495BAB">
      <w:pPr>
        <w:pStyle w:val="a0"/>
        <w:rPr>
          <w:rFonts w:hint="cs"/>
          <w:rtl/>
        </w:rPr>
      </w:pPr>
      <w:r w:rsidRPr="00495BAB">
        <w:rPr>
          <w:rFonts w:hint="cs"/>
          <w:rtl/>
        </w:rPr>
        <w:t>كتب مؤلف الردّ كل تلك المقدمات ليثبت أنه إذا اختلف الفقهاء فيما بينهم فلم يُشَاهَد من أحدهم أي إهانة لساحة بعضهم الآخر المقدسة. ثم أضاف قائلاً: «</w:t>
      </w:r>
      <w:r w:rsidRPr="00995B26">
        <w:rPr>
          <w:rFonts w:cs="Akhbar MT" w:hint="cs"/>
          <w:szCs w:val="30"/>
          <w:rtl/>
        </w:rPr>
        <w:t>ولكن يا للأسف، وألف أسف، قام أشخاص غير مؤهلين ولا نصيب لهم من العلم، أشخاص هويتهم معروفة، أعداء محترفون، ومتآمرون عملاء، بالاستهزاء بعقائد الشيعة وأفكارهم ومسائلهم وأحكامهم وأصولهم وفروعهم والتلاعب بها</w:t>
      </w:r>
      <w:r w:rsidRPr="00495BAB">
        <w:rPr>
          <w:rFonts w:hint="cs"/>
          <w:rtl/>
        </w:rPr>
        <w:t>...».</w:t>
      </w:r>
    </w:p>
    <w:p w:rsidR="00CD31AA" w:rsidRPr="00495BAB" w:rsidRDefault="00CD31AA" w:rsidP="00495BAB">
      <w:pPr>
        <w:pStyle w:val="a0"/>
        <w:rPr>
          <w:rFonts w:hint="cs"/>
          <w:rtl/>
        </w:rPr>
      </w:pPr>
      <w:r w:rsidRPr="00495BAB">
        <w:rPr>
          <w:rFonts w:hint="cs"/>
          <w:rtl/>
        </w:rPr>
        <w:t>في الإجابة عن قوله إن فقهاء الشيعة عندما اختلفوا في آرائهم لم يوجِّه أحدٌ منهم أدنى إهانة للآخر، نحيل قُرَّاءَنَا الكرام إلى العناوين التي كان فقهاء الشيعة يَصِمُون بها مخالفيهم من فقهاء الشيعة أيضًا. فمثلاً اعتبر ابن الجنيد الإسكافي في كتبه مخالفيه من أهل العناد، وأطلق المرحوم الفيض الكاشاني في رسالته (</w:t>
      </w:r>
      <w:r w:rsidRPr="00495BAB">
        <w:rPr>
          <w:rFonts w:hint="cs"/>
          <w:b/>
          <w:bCs/>
          <w:rtl/>
        </w:rPr>
        <w:t>الشهاب الثاقب</w:t>
      </w:r>
      <w:r w:rsidRPr="00495BAB">
        <w:rPr>
          <w:rFonts w:hint="cs"/>
          <w:rtl/>
        </w:rPr>
        <w:t xml:space="preserve">) على مخالفي الوجوب العيني لصلاة الجمعة في عهد الغيبة لقب الشياطين؛ </w:t>
      </w:r>
      <w:r w:rsidR="00C75600" w:rsidRPr="00495BAB">
        <w:rPr>
          <w:rFonts w:hint="cs"/>
          <w:rtl/>
        </w:rPr>
        <w:t>وا</w:t>
      </w:r>
      <w:r w:rsidRPr="00495BAB">
        <w:rPr>
          <w:rFonts w:hint="cs"/>
          <w:rtl/>
        </w:rPr>
        <w:t xml:space="preserve">ستهزأ الشيخ إبراهيم القطيفي في كتابه </w:t>
      </w:r>
      <w:r w:rsidRPr="00495BAB">
        <w:rPr>
          <w:rFonts w:hint="cs"/>
          <w:b/>
          <w:bCs/>
          <w:rtl/>
        </w:rPr>
        <w:t>الخراج</w:t>
      </w:r>
      <w:r w:rsidRPr="00495BAB">
        <w:rPr>
          <w:rFonts w:hint="cs"/>
          <w:rtl/>
        </w:rPr>
        <w:t xml:space="preserve"> بالمرحوم المحقق الثاني وانتقده نقدًا لاذعًا واعتبر رسالته (واهية المباني وركيكة المعاني). كما نسب الخوانساري في كتابه </w:t>
      </w:r>
      <w:r w:rsidRPr="00495BAB">
        <w:rPr>
          <w:rFonts w:hint="cs"/>
          <w:b/>
          <w:bCs/>
          <w:rtl/>
        </w:rPr>
        <w:t>روضات الجنات</w:t>
      </w:r>
      <w:r w:rsidRPr="00495BAB">
        <w:rPr>
          <w:rFonts w:hint="cs"/>
          <w:rtl/>
        </w:rPr>
        <w:t xml:space="preserve"> (ص8</w:t>
      </w:r>
      <w:r w:rsidR="001D7DEC" w:rsidRPr="00495BAB">
        <w:rPr>
          <w:rFonts w:hint="cs"/>
          <w:rtl/>
        </w:rPr>
        <w:t>،</w:t>
      </w:r>
      <w:r w:rsidRPr="00495BAB">
        <w:rPr>
          <w:rFonts w:hint="cs"/>
          <w:rtl/>
        </w:rPr>
        <w:t xml:space="preserve"> طبع 1367 هـ.) المُحققَ إلى الجهل ووصمه بـ (عدم الفضيلة بل [عدم] التدين والعدالة). كما قال الشيخ علي بن الشيخ محمد بن الشيخ حسن في رسالته التي رد فيها على المرحوم المحقق الخراساني الميرزا محمد باقر صاحب </w:t>
      </w:r>
      <w:r w:rsidRPr="00495BAB">
        <w:rPr>
          <w:rFonts w:hint="cs"/>
          <w:b/>
          <w:bCs/>
          <w:rtl/>
        </w:rPr>
        <w:t>ذخيرة المعاد</w:t>
      </w:r>
      <w:r w:rsidRPr="00495BAB">
        <w:rPr>
          <w:rFonts w:hint="cs"/>
          <w:rtl/>
        </w:rPr>
        <w:t xml:space="preserve">: «لقد تجرأ الخوانساري تجرؤاً قبيحًا أورده في روضات الجنات ص117»، وإن الإنسان ليخجل من قراءة تلك العبارات والنِّسب التي كان بعضهم ينسبها للآخر! وهناك عشرات الفقهاء والفضلاء ممن كتبوا في رد بعضهم الآخر. فادعاء أنه لم يشاهَد أبدًا أن وجَّه عالمٌ من علماء الشيعة أدنى إهانة لمخالفيه في الرأي لا يعدو ادعاءَ من لا اطلاع له على حقائق الأمور! </w:t>
      </w:r>
    </w:p>
    <w:p w:rsidR="00CD31AA" w:rsidRPr="00495BAB" w:rsidRDefault="00CD31AA" w:rsidP="00495BAB">
      <w:pPr>
        <w:pStyle w:val="a0"/>
        <w:rPr>
          <w:rFonts w:hint="cs"/>
          <w:rtl/>
        </w:rPr>
      </w:pPr>
      <w:r w:rsidRPr="00495BAB">
        <w:rPr>
          <w:rFonts w:hint="cs"/>
          <w:rtl/>
        </w:rPr>
        <w:t>أما إظهاره التأسُّف الشديد واتهامه لنا بأننا غير مؤهلين ولا نصيب لنا من العلم، وأننا أشخاص معروفو الهوية وأعداء محترفون ومتآمرون عملاء...، فلن أقول هنا شيئًا في الدفاع عن نفسي لأن حياتي وتاريخي غير خافيين على أحد، ويمكن لكل إنسان أن يعرفها ويدرك أن ما يتّهمني به صحيح أم لا؟ وأَكِلُ مجازاة أمثال هؤلاء المتَّهِمِين إلى أحكم الحاكمين العالم بالسر والخفايا.</w:t>
      </w:r>
    </w:p>
    <w:p w:rsidR="00CD31AA" w:rsidRPr="00495BAB" w:rsidRDefault="00CD31AA" w:rsidP="00495BAB">
      <w:pPr>
        <w:pStyle w:val="a0"/>
        <w:rPr>
          <w:rFonts w:hint="cs"/>
          <w:rtl/>
        </w:rPr>
      </w:pPr>
      <w:r w:rsidRPr="00495BAB">
        <w:rPr>
          <w:rFonts w:hint="cs"/>
          <w:rtl/>
        </w:rPr>
        <w:t xml:space="preserve">أما ما أنسبه إلى أمثال هؤلاء الأشخاص فهو من العيان الغنيّ عن البيان، وكل من كان على صلة بهؤلاء الأشخاص قال فيهم </w:t>
      </w:r>
      <w:r w:rsidR="00755AAC">
        <w:rPr>
          <w:rFonts w:hint="cs"/>
          <w:rtl/>
        </w:rPr>
        <w:t>مائة</w:t>
      </w:r>
      <w:r w:rsidRPr="00495BAB">
        <w:rPr>
          <w:rFonts w:hint="cs"/>
          <w:rtl/>
        </w:rPr>
        <w:t xml:space="preserve"> ضعف ما قلتُه عنهم! </w:t>
      </w:r>
    </w:p>
    <w:p w:rsidR="00CD31AA" w:rsidRPr="00495BAB" w:rsidRDefault="00CD31AA" w:rsidP="00495BAB">
      <w:pPr>
        <w:pStyle w:val="a0"/>
        <w:rPr>
          <w:rFonts w:hint="cs"/>
          <w:rtl/>
        </w:rPr>
      </w:pPr>
      <w:r w:rsidRPr="00495BAB">
        <w:rPr>
          <w:rFonts w:hint="cs"/>
          <w:rtl/>
        </w:rPr>
        <w:t>ثم أورد صاحب الرد الآيةَ الكريمةَ رقم 7 من سورة المنافقين - متصوِّرًا أنني أسعى إلى قطع رزقه حسدًا أو بخلًا أو ضيق عين، أو أنني أنطلق من عداوة خاصة ضده- فقال عنِّي:</w:t>
      </w:r>
      <w:r w:rsidR="000775C2" w:rsidRPr="00495BAB">
        <w:rPr>
          <w:rFonts w:hint="cs"/>
          <w:rtl/>
        </w:rPr>
        <w:t xml:space="preserve"> </w:t>
      </w:r>
      <w:r w:rsidR="000775C2" w:rsidRPr="00995B26">
        <w:rPr>
          <w:rFonts w:cs="Traditional Arabic" w:hint="cs"/>
          <w:szCs w:val="30"/>
          <w:rtl/>
        </w:rPr>
        <w:t>﴿</w:t>
      </w:r>
      <w:r w:rsidR="000775C2" w:rsidRPr="0067048A">
        <w:rPr>
          <w:rFonts w:ascii="KFGQPC Uthmanic Script HAFS" w:cs="KFGQPC Uthmanic Script HAFS" w:hint="eastAsia"/>
          <w:sz w:val="28"/>
          <w:szCs w:val="28"/>
          <w:rtl/>
        </w:rPr>
        <w:t>هُمُ</w:t>
      </w:r>
      <w:r w:rsidR="000775C2" w:rsidRPr="0067048A">
        <w:rPr>
          <w:rFonts w:ascii="KFGQPC Uthmanic Script HAFS" w:cs="KFGQPC Uthmanic Script HAFS"/>
          <w:sz w:val="28"/>
          <w:szCs w:val="28"/>
          <w:rtl/>
        </w:rPr>
        <w:t xml:space="preserve"> </w:t>
      </w:r>
      <w:r w:rsidR="000775C2" w:rsidRPr="0067048A">
        <w:rPr>
          <w:rFonts w:ascii="KFGQPC Uthmanic Script HAFS" w:cs="KFGQPC Uthmanic Script HAFS" w:hint="cs"/>
          <w:sz w:val="28"/>
          <w:szCs w:val="28"/>
          <w:rtl/>
        </w:rPr>
        <w:t>ٱ</w:t>
      </w:r>
      <w:r w:rsidR="000775C2" w:rsidRPr="0067048A">
        <w:rPr>
          <w:rFonts w:ascii="KFGQPC Uthmanic Script HAFS" w:cs="KFGQPC Uthmanic Script HAFS" w:hint="eastAsia"/>
          <w:sz w:val="28"/>
          <w:szCs w:val="28"/>
          <w:rtl/>
        </w:rPr>
        <w:t>لَّذِينَ</w:t>
      </w:r>
      <w:r w:rsidR="000775C2" w:rsidRPr="0067048A">
        <w:rPr>
          <w:rFonts w:ascii="KFGQPC Uthmanic Script HAFS" w:cs="KFGQPC Uthmanic Script HAFS"/>
          <w:sz w:val="28"/>
          <w:szCs w:val="28"/>
          <w:rtl/>
        </w:rPr>
        <w:t xml:space="preserve"> </w:t>
      </w:r>
      <w:r w:rsidR="000775C2" w:rsidRPr="0067048A">
        <w:rPr>
          <w:rFonts w:ascii="KFGQPC Uthmanic Script HAFS" w:cs="KFGQPC Uthmanic Script HAFS" w:hint="eastAsia"/>
          <w:sz w:val="28"/>
          <w:szCs w:val="28"/>
          <w:rtl/>
        </w:rPr>
        <w:t>يَقُولُونَ</w:t>
      </w:r>
      <w:r w:rsidR="000775C2" w:rsidRPr="0067048A">
        <w:rPr>
          <w:rFonts w:ascii="KFGQPC Uthmanic Script HAFS" w:cs="KFGQPC Uthmanic Script HAFS"/>
          <w:sz w:val="28"/>
          <w:szCs w:val="28"/>
          <w:rtl/>
        </w:rPr>
        <w:t xml:space="preserve"> </w:t>
      </w:r>
      <w:r w:rsidR="000775C2" w:rsidRPr="0067048A">
        <w:rPr>
          <w:rFonts w:ascii="KFGQPC Uthmanic Script HAFS" w:cs="KFGQPC Uthmanic Script HAFS" w:hint="eastAsia"/>
          <w:sz w:val="28"/>
          <w:szCs w:val="28"/>
          <w:rtl/>
        </w:rPr>
        <w:t>لَا</w:t>
      </w:r>
      <w:r w:rsidR="000775C2" w:rsidRPr="0067048A">
        <w:rPr>
          <w:rFonts w:ascii="KFGQPC Uthmanic Script HAFS" w:cs="KFGQPC Uthmanic Script HAFS"/>
          <w:sz w:val="28"/>
          <w:szCs w:val="28"/>
          <w:rtl/>
        </w:rPr>
        <w:t xml:space="preserve"> </w:t>
      </w:r>
      <w:r w:rsidR="000775C2" w:rsidRPr="0067048A">
        <w:rPr>
          <w:rFonts w:ascii="KFGQPC Uthmanic Script HAFS" w:cs="KFGQPC Uthmanic Script HAFS" w:hint="eastAsia"/>
          <w:sz w:val="28"/>
          <w:szCs w:val="28"/>
          <w:rtl/>
        </w:rPr>
        <w:t>تُنفِقُواْ</w:t>
      </w:r>
      <w:r w:rsidR="000775C2" w:rsidRPr="0067048A">
        <w:rPr>
          <w:rFonts w:ascii="KFGQPC Uthmanic Script HAFS" w:cs="KFGQPC Uthmanic Script HAFS"/>
          <w:sz w:val="28"/>
          <w:szCs w:val="28"/>
          <w:rtl/>
        </w:rPr>
        <w:t xml:space="preserve"> </w:t>
      </w:r>
      <w:r w:rsidR="000775C2" w:rsidRPr="0067048A">
        <w:rPr>
          <w:rFonts w:ascii="KFGQPC Uthmanic Script HAFS" w:cs="KFGQPC Uthmanic Script HAFS" w:hint="eastAsia"/>
          <w:sz w:val="28"/>
          <w:szCs w:val="28"/>
          <w:rtl/>
        </w:rPr>
        <w:t>عَلَى</w:t>
      </w:r>
      <w:r w:rsidR="000775C2" w:rsidRPr="0067048A">
        <w:rPr>
          <w:rFonts w:ascii="KFGQPC Uthmanic Script HAFS" w:cs="KFGQPC Uthmanic Script HAFS" w:hint="cs"/>
          <w:sz w:val="28"/>
          <w:szCs w:val="28"/>
          <w:rtl/>
        </w:rPr>
        <w:t>ٰ</w:t>
      </w:r>
      <w:r w:rsidR="000775C2" w:rsidRPr="0067048A">
        <w:rPr>
          <w:rFonts w:ascii="KFGQPC Uthmanic Script HAFS" w:cs="KFGQPC Uthmanic Script HAFS"/>
          <w:sz w:val="28"/>
          <w:szCs w:val="28"/>
          <w:rtl/>
        </w:rPr>
        <w:t xml:space="preserve"> </w:t>
      </w:r>
      <w:r w:rsidR="000775C2" w:rsidRPr="0067048A">
        <w:rPr>
          <w:rFonts w:ascii="KFGQPC Uthmanic Script HAFS" w:cs="KFGQPC Uthmanic Script HAFS" w:hint="eastAsia"/>
          <w:sz w:val="28"/>
          <w:szCs w:val="28"/>
          <w:rtl/>
        </w:rPr>
        <w:t>مَن</w:t>
      </w:r>
      <w:r w:rsidR="000775C2" w:rsidRPr="0067048A">
        <w:rPr>
          <w:rFonts w:ascii="KFGQPC Uthmanic Script HAFS" w:cs="KFGQPC Uthmanic Script HAFS" w:hint="cs"/>
          <w:sz w:val="28"/>
          <w:szCs w:val="28"/>
          <w:rtl/>
        </w:rPr>
        <w:t>ۡ</w:t>
      </w:r>
      <w:r w:rsidR="000775C2" w:rsidRPr="0067048A">
        <w:rPr>
          <w:rFonts w:ascii="KFGQPC Uthmanic Script HAFS" w:cs="KFGQPC Uthmanic Script HAFS"/>
          <w:sz w:val="28"/>
          <w:szCs w:val="28"/>
          <w:rtl/>
        </w:rPr>
        <w:t xml:space="preserve"> </w:t>
      </w:r>
      <w:r w:rsidR="000775C2" w:rsidRPr="0067048A">
        <w:rPr>
          <w:rFonts w:ascii="KFGQPC Uthmanic Script HAFS" w:cs="KFGQPC Uthmanic Script HAFS" w:hint="eastAsia"/>
          <w:sz w:val="28"/>
          <w:szCs w:val="28"/>
          <w:rtl/>
        </w:rPr>
        <w:t>عِندَ</w:t>
      </w:r>
      <w:r w:rsidR="000775C2" w:rsidRPr="0067048A">
        <w:rPr>
          <w:rFonts w:ascii="KFGQPC Uthmanic Script HAFS" w:cs="KFGQPC Uthmanic Script HAFS"/>
          <w:sz w:val="28"/>
          <w:szCs w:val="28"/>
          <w:rtl/>
        </w:rPr>
        <w:t xml:space="preserve"> </w:t>
      </w:r>
      <w:r w:rsidR="000775C2" w:rsidRPr="0067048A">
        <w:rPr>
          <w:rFonts w:ascii="KFGQPC Uthmanic Script HAFS" w:cs="KFGQPC Uthmanic Script HAFS" w:hint="eastAsia"/>
          <w:sz w:val="28"/>
          <w:szCs w:val="28"/>
          <w:rtl/>
        </w:rPr>
        <w:t>رَسُولِ</w:t>
      </w:r>
      <w:r w:rsidR="000775C2" w:rsidRPr="0067048A">
        <w:rPr>
          <w:rFonts w:ascii="KFGQPC Uthmanic Script HAFS" w:cs="KFGQPC Uthmanic Script HAFS"/>
          <w:sz w:val="28"/>
          <w:szCs w:val="28"/>
          <w:rtl/>
        </w:rPr>
        <w:t xml:space="preserve"> </w:t>
      </w:r>
      <w:r w:rsidR="000775C2" w:rsidRPr="0067048A">
        <w:rPr>
          <w:rFonts w:ascii="KFGQPC Uthmanic Script HAFS" w:cs="KFGQPC Uthmanic Script HAFS" w:hint="cs"/>
          <w:sz w:val="28"/>
          <w:szCs w:val="28"/>
          <w:rtl/>
        </w:rPr>
        <w:t>ٱ</w:t>
      </w:r>
      <w:r w:rsidR="000775C2" w:rsidRPr="0067048A">
        <w:rPr>
          <w:rFonts w:ascii="KFGQPC Uthmanic Script HAFS" w:cs="KFGQPC Uthmanic Script HAFS" w:hint="eastAsia"/>
          <w:sz w:val="28"/>
          <w:szCs w:val="28"/>
          <w:rtl/>
        </w:rPr>
        <w:t>للَّهِ</w:t>
      </w:r>
      <w:r w:rsidR="000775C2" w:rsidRPr="0067048A">
        <w:rPr>
          <w:rFonts w:ascii="KFGQPC Uthmanic Script HAFS" w:cs="KFGQPC Uthmanic Script HAFS"/>
          <w:sz w:val="28"/>
          <w:szCs w:val="28"/>
          <w:rtl/>
        </w:rPr>
        <w:t xml:space="preserve"> </w:t>
      </w:r>
      <w:r w:rsidR="000775C2" w:rsidRPr="0067048A">
        <w:rPr>
          <w:rFonts w:ascii="KFGQPC Uthmanic Script HAFS" w:cs="KFGQPC Uthmanic Script HAFS" w:hint="eastAsia"/>
          <w:sz w:val="28"/>
          <w:szCs w:val="28"/>
          <w:rtl/>
        </w:rPr>
        <w:t>حَتَّى</w:t>
      </w:r>
      <w:r w:rsidR="000775C2" w:rsidRPr="0067048A">
        <w:rPr>
          <w:rFonts w:ascii="KFGQPC Uthmanic Script HAFS" w:cs="KFGQPC Uthmanic Script HAFS" w:hint="cs"/>
          <w:sz w:val="28"/>
          <w:szCs w:val="28"/>
          <w:rtl/>
        </w:rPr>
        <w:t>ٰ</w:t>
      </w:r>
      <w:r w:rsidR="000775C2" w:rsidRPr="0067048A">
        <w:rPr>
          <w:rFonts w:ascii="KFGQPC Uthmanic Script HAFS" w:cs="KFGQPC Uthmanic Script HAFS"/>
          <w:sz w:val="28"/>
          <w:szCs w:val="28"/>
          <w:rtl/>
        </w:rPr>
        <w:t xml:space="preserve"> </w:t>
      </w:r>
      <w:r w:rsidR="000775C2" w:rsidRPr="0067048A">
        <w:rPr>
          <w:rFonts w:ascii="KFGQPC Uthmanic Script HAFS" w:cs="KFGQPC Uthmanic Script HAFS" w:hint="eastAsia"/>
          <w:sz w:val="28"/>
          <w:szCs w:val="28"/>
          <w:rtl/>
        </w:rPr>
        <w:t>يَنفَضُّواْ</w:t>
      </w:r>
      <w:r w:rsidR="000775C2" w:rsidRPr="00995B26">
        <w:rPr>
          <w:rFonts w:cs="Traditional Arabic" w:hint="cs"/>
          <w:szCs w:val="30"/>
          <w:rtl/>
        </w:rPr>
        <w:t>﴾</w:t>
      </w:r>
      <w:r w:rsidRPr="00495BAB">
        <w:rPr>
          <w:rFonts w:hint="cs"/>
          <w:rtl/>
        </w:rPr>
        <w:t xml:space="preserve"> </w:t>
      </w:r>
      <w:r w:rsidRPr="009E1401">
        <w:rPr>
          <w:rStyle w:val="Char2"/>
          <w:rtl/>
        </w:rPr>
        <w:t>[المنافقون</w:t>
      </w:r>
      <w:r w:rsidR="000775C2" w:rsidRPr="009E1401">
        <w:rPr>
          <w:rStyle w:val="Char2"/>
          <w:rFonts w:hint="cs"/>
          <w:rtl/>
        </w:rPr>
        <w:t xml:space="preserve">: </w:t>
      </w:r>
      <w:r w:rsidRPr="009E1401">
        <w:rPr>
          <w:rStyle w:val="Char2"/>
          <w:rtl/>
        </w:rPr>
        <w:t>7]</w:t>
      </w:r>
      <w:r w:rsidRPr="00495BAB">
        <w:rPr>
          <w:rFonts w:hint="cs"/>
          <w:rtl/>
        </w:rPr>
        <w:t>.</w:t>
      </w:r>
    </w:p>
    <w:p w:rsidR="00CD31AA" w:rsidRPr="00495BAB" w:rsidRDefault="00CD31AA" w:rsidP="00495BAB">
      <w:pPr>
        <w:pStyle w:val="a0"/>
        <w:rPr>
          <w:rFonts w:hint="cs"/>
          <w:rtl/>
        </w:rPr>
      </w:pPr>
      <w:r w:rsidRPr="00495BAB">
        <w:rPr>
          <w:rFonts w:hint="cs"/>
          <w:rtl/>
        </w:rPr>
        <w:t xml:space="preserve"> في حين أنه لو استخدم أقل ما يمكن من عقله وفكره وإنصافه لفهم أن قياسه الذي استخدمه في هذه الآية وما اعتبره مصداقًا لها قياسٌ مع الفارق. إذا كان المنافقون قد منعوا الناس من الإنفاق على أصحاب رسول الله </w:t>
      </w:r>
      <w:r w:rsidRPr="00495BAB">
        <w:rPr>
          <w:rFonts w:ascii="Abo-thar" w:hAnsi="Abo-thar"/>
          <w:sz w:val="28"/>
          <w:lang w:bidi="fa-IR"/>
        </w:rPr>
        <w:t></w:t>
      </w:r>
      <w:r w:rsidRPr="00495BAB">
        <w:rPr>
          <w:rFonts w:hint="cs"/>
          <w:rtl/>
        </w:rPr>
        <w:t xml:space="preserve"> فلأنهم كانوا يرون أن رسول </w:t>
      </w:r>
      <w:r w:rsidRPr="00495BAB">
        <w:rPr>
          <w:rFonts w:ascii="Abo-thar" w:hAnsi="Abo-thar"/>
          <w:sz w:val="28"/>
          <w:lang w:bidi="fa-IR"/>
        </w:rPr>
        <w:t></w:t>
      </w:r>
      <w:r w:rsidRPr="00495BAB">
        <w:rPr>
          <w:rFonts w:hint="cs"/>
          <w:rtl/>
        </w:rPr>
        <w:t xml:space="preserve"> استطاع بواسطة 313 نفرًا من المسلمين المؤمنين أن يلقي الرعب في قلوب ملوك ذلك الزمن مثل كسرى برويز ملك إيران وهرقل إمبراطور الروم. في حين أن إنفاق مسلمي ذلك العصر على رسول الله وأصحابه لا</w:t>
      </w:r>
      <w:r w:rsidRPr="00495BAB">
        <w:rPr>
          <w:rFonts w:cs="Times New Roman" w:hint="cs"/>
          <w:rtl/>
        </w:rPr>
        <w:t> </w:t>
      </w:r>
      <w:r w:rsidRPr="00495BAB">
        <w:rPr>
          <w:rFonts w:hint="cs"/>
          <w:rtl/>
        </w:rPr>
        <w:t>يعادل واحدًا من مليون ما ينفقه المسلمون اليومَ عليكم؛ وهذا العدد الذي لا</w:t>
      </w:r>
      <w:r w:rsidRPr="00495BAB">
        <w:rPr>
          <w:rFonts w:cs="Times New Roman" w:hint="cs"/>
          <w:rtl/>
        </w:rPr>
        <w:t> </w:t>
      </w:r>
      <w:r w:rsidRPr="00495BAB">
        <w:rPr>
          <w:rFonts w:hint="cs"/>
          <w:rtl/>
        </w:rPr>
        <w:t xml:space="preserve">يُحصى اليوم في مدن الشيعة وديارهم والذي يصل إلى مئات آلاف المعممين الذي يرتزقون من كدّ يمين المسلمين وعرق جبينهم ليس في واحد منهم تلك الصفات والشمائل التي كانت في صحابة رسول الله، ولو استخدمنا في حق هؤلاء المعممين كلمة (العاطلين الباطلين) لما كان في ذلك إهانة كبير لهم. </w:t>
      </w:r>
    </w:p>
    <w:p w:rsidR="00CD31AA" w:rsidRPr="00495BAB" w:rsidRDefault="00CD31AA" w:rsidP="00495BAB">
      <w:pPr>
        <w:pStyle w:val="a0"/>
        <w:rPr>
          <w:rFonts w:hint="cs"/>
          <w:rtl/>
        </w:rPr>
      </w:pPr>
      <w:r w:rsidRPr="00495BAB">
        <w:rPr>
          <w:rFonts w:hint="cs"/>
          <w:rtl/>
        </w:rPr>
        <w:t>ثم بدأ كاتب الردِّ يوجه أسئلة من باب الاستفسار الإنكاري سائلاً: لماذا تفعلون كذا وكذا؟ ولماذا تقولون كيت وكيت، وسنجيب عن أسئلتهم هذه جميعًا إن</w:t>
      </w:r>
      <w:r w:rsidR="00C75600" w:rsidRPr="00495BAB">
        <w:rPr>
          <w:rFonts w:hint="cs"/>
          <w:rtl/>
        </w:rPr>
        <w:t xml:space="preserve"> </w:t>
      </w:r>
      <w:r w:rsidRPr="00495BAB">
        <w:rPr>
          <w:rFonts w:hint="cs"/>
          <w:rtl/>
        </w:rPr>
        <w:t>شاء الله خلال بحثنا.</w:t>
      </w:r>
    </w:p>
    <w:p w:rsidR="00CD31AA" w:rsidRPr="00495BAB" w:rsidRDefault="00CD31AA" w:rsidP="00495BAB">
      <w:pPr>
        <w:pStyle w:val="a0"/>
        <w:rPr>
          <w:rFonts w:hint="cs"/>
          <w:rtl/>
        </w:rPr>
      </w:pPr>
      <w:r w:rsidRPr="00495BAB">
        <w:rPr>
          <w:rFonts w:hint="cs"/>
          <w:rtl/>
        </w:rPr>
        <w:t xml:space="preserve"> وبعد خطبة مقدمة الكتاب بدأ المؤلف في شرح وتفسير الآية الكريمة فقال: </w:t>
      </w:r>
    </w:p>
    <w:p w:rsidR="00CD31AA" w:rsidRPr="00995B26" w:rsidRDefault="00CD31AA" w:rsidP="00495BAB">
      <w:pPr>
        <w:pStyle w:val="a0"/>
        <w:rPr>
          <w:rFonts w:hint="cs"/>
          <w:rtl/>
        </w:rPr>
      </w:pPr>
      <w:r w:rsidRPr="00495BAB">
        <w:rPr>
          <w:rFonts w:hint="cs"/>
          <w:rtl/>
        </w:rPr>
        <w:t xml:space="preserve">«..... </w:t>
      </w:r>
      <w:r w:rsidRPr="00995B26">
        <w:rPr>
          <w:rFonts w:cs="Akhbar MT" w:hint="cs"/>
          <w:szCs w:val="30"/>
          <w:rtl/>
        </w:rPr>
        <w:t>سنثبت بعون الله في أبحاثنا الآتية بالدلائل القاطعة الواضحة أن الغنيمة من ناحية الأصل اللغوي واستخدام العرب لها لا تنحصر بالغنائم الحربية بل تطلق على جميع أنواع الدخل والكسب</w:t>
      </w:r>
      <w:r w:rsidRPr="00495BAB">
        <w:rPr>
          <w:rFonts w:hint="cs"/>
          <w:rtl/>
        </w:rPr>
        <w:t>»؛ ثم أخذ يذكر ادعاءات لا دليل عليها كقوله: «</w:t>
      </w:r>
      <w:r w:rsidRPr="00995B26">
        <w:rPr>
          <w:rFonts w:cs="Akhbar MT" w:hint="cs"/>
          <w:szCs w:val="30"/>
          <w:rtl/>
        </w:rPr>
        <w:t>إن مجرد الحصول على الغنيمة سببٌ لوجود الخمس</w:t>
      </w:r>
      <w:r w:rsidRPr="00495BAB">
        <w:rPr>
          <w:rFonts w:hint="cs"/>
          <w:rtl/>
        </w:rPr>
        <w:t>»، أو قال: «</w:t>
      </w:r>
      <w:r w:rsidRPr="00995B26">
        <w:rPr>
          <w:rFonts w:cs="Akhbar MT" w:hint="cs"/>
          <w:szCs w:val="30"/>
          <w:rtl/>
        </w:rPr>
        <w:t>إن لم يكن للشخص أي تدخل في الحصول على الغنيمة فإن هذه الغنيمة لا يشملها الخمس</w:t>
      </w:r>
      <w:r w:rsidRPr="00495BAB">
        <w:rPr>
          <w:rFonts w:hint="cs"/>
          <w:rtl/>
        </w:rPr>
        <w:t>»، أو قال: «</w:t>
      </w:r>
      <w:r w:rsidRPr="00995B26">
        <w:rPr>
          <w:rFonts w:cs="Akhbar MT" w:hint="cs"/>
          <w:szCs w:val="30"/>
          <w:rtl/>
        </w:rPr>
        <w:t>كلما يصدق عليه كلمة الغنيمة يتعلق به الخمس</w:t>
      </w:r>
      <w:r w:rsidRPr="00495BAB">
        <w:rPr>
          <w:rFonts w:hint="cs"/>
          <w:rtl/>
        </w:rPr>
        <w:t>»، وأمثال هذه الجمل والتصورات التي أورد كثيرًا منها في كتابه مما أجبنا عنه سابقًا؛ إلى آخر هذا الموضوع الذي لا يعدو بحثًا لا طائل تحته ومجرد ادعاءات لم يذكر دليلاً واحدًا على ثبوتها وصحتها، كل ما في الأمر أنه يصدر الحكم من عند نفسه مثل السلاطين الجبابرة، والعجيب أنه يعتبر ذلك حكمَ الله!!</w:t>
      </w:r>
    </w:p>
    <w:p w:rsidR="00CD31AA" w:rsidRPr="00995B26" w:rsidRDefault="00CD31AA" w:rsidP="00495BAB">
      <w:pPr>
        <w:pStyle w:val="a0"/>
        <w:rPr>
          <w:rtl/>
        </w:rPr>
      </w:pPr>
      <w:r w:rsidRPr="00495BAB">
        <w:rPr>
          <w:rFonts w:hint="cs"/>
          <w:rtl/>
        </w:rPr>
        <w:t>ثم طرح في الفصل الأول من كتابه السؤال الآتي: «</w:t>
      </w:r>
      <w:r w:rsidRPr="00995B26">
        <w:rPr>
          <w:rFonts w:cs="Akhbar MT" w:hint="cs"/>
          <w:szCs w:val="30"/>
          <w:rtl/>
        </w:rPr>
        <w:t>ما هو أول حكم نزل في موضوع أموال الله ورسوله مقيدًا بلزوم قسمتها وتوزيعها، وتم تنفيذ ذلك عمليًّا؟</w:t>
      </w:r>
      <w:r w:rsidRPr="00495BAB">
        <w:rPr>
          <w:rFonts w:hint="cs"/>
          <w:rtl/>
        </w:rPr>
        <w:t>» وأجاب عن سؤاله قائلًا: «</w:t>
      </w:r>
      <w:r w:rsidRPr="00995B26">
        <w:rPr>
          <w:rFonts w:cs="Akhbar MT" w:hint="cs"/>
          <w:szCs w:val="30"/>
          <w:rtl/>
        </w:rPr>
        <w:t>لم تكن الزكاة، لأن وجوب الزكاة نزل في السنة التاسعة للهجرة، ولم يكن قد نزل سوى الأمر بزكاة الفطرة في شهر رمضان من السنة الثانية للهجرة</w:t>
      </w:r>
      <w:r w:rsidRPr="00495BAB">
        <w:rPr>
          <w:rFonts w:hint="cs"/>
          <w:rtl/>
        </w:rPr>
        <w:t>» (أي تلك السنة ذاتها التي وقعت فيها معركة بدر، والتي فرض النبيُّ فيها خُمس الثروات التي فوق سطح الأرض لتُدفع إلى ذوي قرباه استنادًا إلى آية الخمس، كان النبيُّ أيضًا قد أوجب على كل فردٍ غنيٍّ أو أسرةٍ غنيَّةٍ أن يتصدق بصاع من البر أو الشعير أو الملح أو الزبيب، مرَّةً في السنة، ليُعْطَى ذلك لجميع فقراء المسلمين!! ثم حرَّم على الهاشمي زكاةَ فطرة غير الهاشمي وفي مقابل ذلك خصَّص لهذا الهاشمي من قرابته خُمس عائدات جميع من يعيش فوق سطح الأرض من أهل الدنيا!! أي لم يعطه واحدًا وأخذ منه ألفًا)!!</w:t>
      </w:r>
    </w:p>
    <w:p w:rsidR="00CD31AA" w:rsidRPr="00495BAB" w:rsidRDefault="00CD31AA" w:rsidP="00495BAB">
      <w:pPr>
        <w:pStyle w:val="a0"/>
        <w:rPr>
          <w:rFonts w:hint="cs"/>
          <w:rtl/>
        </w:rPr>
      </w:pPr>
      <w:r w:rsidRPr="00495BAB">
        <w:rPr>
          <w:rFonts w:hint="cs"/>
          <w:rtl/>
        </w:rPr>
        <w:t xml:space="preserve">هنا يتحير الإنسان ذو الوجدان ويتعجَّب ويأسَف للتحجّر الفكري لمثل هؤلاء الأفراد ولتعصُّبِهم والصداقة الحمقاء لهؤلاء الذين يخترعون للنبي والإمام فضائل من عند أنفسهم! ولست أدري لماذا لا يفكِّر هؤلاء بنتيجة أقوالهم ولا يسألون أنفسهم: هل سيقبل عقلاء العالم هذا التعريف والتصوير الذي يقدِّمونه لنبي الإسلام </w:t>
      </w:r>
      <w:r w:rsidRPr="00495BAB">
        <w:rPr>
          <w:rFonts w:ascii="Abo-thar" w:hAnsi="Abo-thar"/>
          <w:sz w:val="28"/>
          <w:lang w:bidi="fa-IR"/>
        </w:rPr>
        <w:t></w:t>
      </w:r>
      <w:r w:rsidRPr="00495BAB">
        <w:rPr>
          <w:rFonts w:hint="cs"/>
          <w:rtl/>
        </w:rPr>
        <w:t>؟!</w:t>
      </w:r>
    </w:p>
    <w:p w:rsidR="00CD31AA" w:rsidRPr="00495BAB" w:rsidRDefault="00CD31AA" w:rsidP="00495BAB">
      <w:pPr>
        <w:pStyle w:val="a0"/>
        <w:rPr>
          <w:rFonts w:hint="cs"/>
          <w:rtl/>
        </w:rPr>
      </w:pPr>
      <w:r w:rsidRPr="00495BAB">
        <w:rPr>
          <w:rFonts w:hint="cs"/>
          <w:rtl/>
        </w:rPr>
        <w:t>شخصٌ يدّعي النبوَّة وينادي بأعلى صوته في أكثر من ثمانية موارد من كتابه السماوي بأن الله أمره أن يقول: لا أسألكم على دعوتي هذه أي أجر، ولكنه في الوقت ذاته يفرض من خلال آية واحدة في القرآن - لا تدلّ بأي حال من الأحوال على ذلك المعنى الذي يدّعونه - على جميع أهل الدنيا دفع خمس كل ما على سطح الأرض من ثروات إليه وإلى أقربائه ويقول: (وإخراج الخمس من كل ما يملكه أحد من الناس).</w:t>
      </w:r>
    </w:p>
    <w:p w:rsidR="00CD31AA" w:rsidRPr="00495BAB" w:rsidRDefault="00CD31AA" w:rsidP="00495BAB">
      <w:pPr>
        <w:pStyle w:val="a0"/>
        <w:rPr>
          <w:rFonts w:hint="cs"/>
          <w:rtl/>
        </w:rPr>
      </w:pPr>
      <w:r w:rsidRPr="00495BAB">
        <w:rPr>
          <w:rFonts w:hint="cs"/>
          <w:rtl/>
        </w:rPr>
        <w:t>أي أنه في السابع عشر من شهر رمضان في اليوم الذي وقعت فيه معركة بدر أنزل الله آية الخمس التي تأمر باستحصال خمس الثروات فوق سطح الأرض من جميع الناس. وفي آخر ذلك الشهر ذاته فرض النبيُّ في ليلة عيد الفطر على كلّ مسلم قادر بنحو من الأنحاء على تأمين معاشه، أداء صاعٍ من بُرٍّ أو شعير أو تمر أو ملح لتدفع للفقراء من غير بني هاشم أو يدفعها الأغنياء الهاشميون للفقراء من قبيلتهم أي من بني هاشم!!</w:t>
      </w:r>
    </w:p>
    <w:p w:rsidR="00CD31AA" w:rsidRPr="00495BAB" w:rsidRDefault="00CD31AA" w:rsidP="00495BAB">
      <w:pPr>
        <w:pStyle w:val="a0"/>
        <w:rPr>
          <w:rFonts w:hint="cs"/>
          <w:rtl/>
        </w:rPr>
      </w:pPr>
      <w:r w:rsidRPr="00495BAB">
        <w:rPr>
          <w:rFonts w:hint="cs"/>
          <w:rtl/>
        </w:rPr>
        <w:t>هذا هو النبيُّ الذي يعرّفونه للعالم باسم نبيِّ الرحمة! ثم يتوقعون أن يؤمن أهل الدنيا جميعاً بنبوته ويؤمنوا بدين الإسلام ويذعنوا لأحكامه!!</w:t>
      </w:r>
    </w:p>
    <w:p w:rsidR="00CD31AA" w:rsidRPr="00495BAB" w:rsidRDefault="00CD31AA" w:rsidP="00495BAB">
      <w:pPr>
        <w:pStyle w:val="a0"/>
        <w:rPr>
          <w:rFonts w:hint="cs"/>
          <w:rtl/>
        </w:rPr>
      </w:pPr>
      <w:r w:rsidRPr="00495BAB">
        <w:rPr>
          <w:rFonts w:hint="cs"/>
          <w:rtl/>
        </w:rPr>
        <w:t>دققوا النظر مرةً ثانيةً في هذا الحكم والبيان: في شهر رمضان من السنة الثانية للهجرة وجب دفع خمس ما يملكه كل فرد بآية:</w:t>
      </w:r>
      <w:r w:rsidR="000775C2" w:rsidRPr="00495BAB">
        <w:rPr>
          <w:rFonts w:hint="cs"/>
          <w:rtl/>
        </w:rPr>
        <w:t xml:space="preserve"> </w:t>
      </w:r>
      <w:r w:rsidR="000775C2" w:rsidRPr="00995B26">
        <w:rPr>
          <w:rFonts w:cs="Traditional Arabic" w:hint="cs"/>
          <w:szCs w:val="30"/>
          <w:rtl/>
        </w:rPr>
        <w:t>﴿</w:t>
      </w:r>
      <w:r w:rsidR="000775C2" w:rsidRPr="0067048A">
        <w:rPr>
          <w:rFonts w:ascii="KFGQPC Uthmanic Script HAFS" w:cs="KFGQPC Uthmanic Script HAFS" w:hint="cs"/>
          <w:sz w:val="28"/>
          <w:szCs w:val="28"/>
          <w:rtl/>
        </w:rPr>
        <w:t>۞</w:t>
      </w:r>
      <w:r w:rsidR="000775C2" w:rsidRPr="0067048A">
        <w:rPr>
          <w:rFonts w:ascii="KFGQPC Uthmanic Script HAFS" w:cs="KFGQPC Uthmanic Script HAFS" w:hint="eastAsia"/>
          <w:sz w:val="28"/>
          <w:szCs w:val="28"/>
          <w:rtl/>
        </w:rPr>
        <w:t>وَ</w:t>
      </w:r>
      <w:r w:rsidR="000775C2" w:rsidRPr="0067048A">
        <w:rPr>
          <w:rFonts w:ascii="KFGQPC Uthmanic Script HAFS" w:cs="KFGQPC Uthmanic Script HAFS" w:hint="cs"/>
          <w:sz w:val="28"/>
          <w:szCs w:val="28"/>
          <w:rtl/>
        </w:rPr>
        <w:t>ٱ</w:t>
      </w:r>
      <w:r w:rsidR="000775C2" w:rsidRPr="0067048A">
        <w:rPr>
          <w:rFonts w:ascii="KFGQPC Uthmanic Script HAFS" w:cs="KFGQPC Uthmanic Script HAFS" w:hint="eastAsia"/>
          <w:sz w:val="28"/>
          <w:szCs w:val="28"/>
          <w:rtl/>
        </w:rPr>
        <w:t>ع</w:t>
      </w:r>
      <w:r w:rsidR="000775C2" w:rsidRPr="0067048A">
        <w:rPr>
          <w:rFonts w:ascii="KFGQPC Uthmanic Script HAFS" w:cs="KFGQPC Uthmanic Script HAFS" w:hint="cs"/>
          <w:sz w:val="28"/>
          <w:szCs w:val="28"/>
          <w:rtl/>
        </w:rPr>
        <w:t>ۡ</w:t>
      </w:r>
      <w:r w:rsidR="000775C2" w:rsidRPr="0067048A">
        <w:rPr>
          <w:rFonts w:ascii="KFGQPC Uthmanic Script HAFS" w:cs="KFGQPC Uthmanic Script HAFS" w:hint="eastAsia"/>
          <w:sz w:val="28"/>
          <w:szCs w:val="28"/>
          <w:rtl/>
        </w:rPr>
        <w:t>لَمُو</w:t>
      </w:r>
      <w:r w:rsidR="000775C2" w:rsidRPr="0067048A">
        <w:rPr>
          <w:rFonts w:ascii="KFGQPC Uthmanic Script HAFS" w:cs="KFGQPC Uthmanic Script HAFS" w:hint="cs"/>
          <w:sz w:val="28"/>
          <w:szCs w:val="28"/>
          <w:rtl/>
        </w:rPr>
        <w:t>ٓ</w:t>
      </w:r>
      <w:r w:rsidR="000775C2" w:rsidRPr="0067048A">
        <w:rPr>
          <w:rFonts w:ascii="KFGQPC Uthmanic Script HAFS" w:cs="KFGQPC Uthmanic Script HAFS" w:hint="eastAsia"/>
          <w:sz w:val="28"/>
          <w:szCs w:val="28"/>
          <w:rtl/>
        </w:rPr>
        <w:t>اْ</w:t>
      </w:r>
      <w:r w:rsidR="000775C2" w:rsidRPr="0067048A">
        <w:rPr>
          <w:rFonts w:ascii="KFGQPC Uthmanic Script HAFS" w:cs="KFGQPC Uthmanic Script HAFS"/>
          <w:sz w:val="28"/>
          <w:szCs w:val="28"/>
          <w:rtl/>
        </w:rPr>
        <w:t xml:space="preserve"> </w:t>
      </w:r>
      <w:r w:rsidR="000775C2" w:rsidRPr="0067048A">
        <w:rPr>
          <w:rFonts w:ascii="KFGQPC Uthmanic Script HAFS" w:cs="KFGQPC Uthmanic Script HAFS" w:hint="eastAsia"/>
          <w:sz w:val="28"/>
          <w:szCs w:val="28"/>
          <w:rtl/>
        </w:rPr>
        <w:t>أَنَّمَا</w:t>
      </w:r>
      <w:r w:rsidR="000775C2" w:rsidRPr="0067048A">
        <w:rPr>
          <w:rFonts w:ascii="KFGQPC Uthmanic Script HAFS" w:cs="KFGQPC Uthmanic Script HAFS"/>
          <w:sz w:val="28"/>
          <w:szCs w:val="28"/>
          <w:rtl/>
        </w:rPr>
        <w:t xml:space="preserve"> </w:t>
      </w:r>
      <w:r w:rsidR="000775C2" w:rsidRPr="0067048A">
        <w:rPr>
          <w:rFonts w:ascii="KFGQPC Uthmanic Script HAFS" w:cs="KFGQPC Uthmanic Script HAFS" w:hint="eastAsia"/>
          <w:sz w:val="28"/>
          <w:szCs w:val="28"/>
          <w:rtl/>
        </w:rPr>
        <w:t>غَنِم</w:t>
      </w:r>
      <w:r w:rsidR="000775C2" w:rsidRPr="0067048A">
        <w:rPr>
          <w:rFonts w:ascii="KFGQPC Uthmanic Script HAFS" w:cs="KFGQPC Uthmanic Script HAFS" w:hint="cs"/>
          <w:sz w:val="28"/>
          <w:szCs w:val="28"/>
          <w:rtl/>
        </w:rPr>
        <w:t>ۡ</w:t>
      </w:r>
      <w:r w:rsidR="000775C2" w:rsidRPr="0067048A">
        <w:rPr>
          <w:rFonts w:ascii="KFGQPC Uthmanic Script HAFS" w:cs="KFGQPC Uthmanic Script HAFS" w:hint="eastAsia"/>
          <w:sz w:val="28"/>
          <w:szCs w:val="28"/>
          <w:rtl/>
        </w:rPr>
        <w:t>تُم</w:t>
      </w:r>
      <w:r w:rsidR="000775C2" w:rsidRPr="0067048A">
        <w:rPr>
          <w:rFonts w:ascii="KFGQPC Uthmanic Script HAFS" w:cs="KFGQPC Uthmanic Script HAFS"/>
          <w:sz w:val="28"/>
          <w:szCs w:val="28"/>
          <w:rtl/>
        </w:rPr>
        <w:t xml:space="preserve"> </w:t>
      </w:r>
      <w:r w:rsidR="000775C2" w:rsidRPr="0067048A">
        <w:rPr>
          <w:rFonts w:ascii="KFGQPC Uthmanic Script HAFS" w:cs="KFGQPC Uthmanic Script HAFS" w:hint="eastAsia"/>
          <w:sz w:val="28"/>
          <w:szCs w:val="28"/>
          <w:rtl/>
        </w:rPr>
        <w:t>مِّن</w:t>
      </w:r>
      <w:r w:rsidR="000775C2" w:rsidRPr="0067048A">
        <w:rPr>
          <w:rFonts w:ascii="KFGQPC Uthmanic Script HAFS" w:cs="KFGQPC Uthmanic Script HAFS"/>
          <w:sz w:val="28"/>
          <w:szCs w:val="28"/>
          <w:rtl/>
        </w:rPr>
        <w:t xml:space="preserve"> </w:t>
      </w:r>
      <w:r w:rsidR="000775C2" w:rsidRPr="0067048A">
        <w:rPr>
          <w:rFonts w:ascii="KFGQPC Uthmanic Script HAFS" w:cs="KFGQPC Uthmanic Script HAFS" w:hint="eastAsia"/>
          <w:sz w:val="28"/>
          <w:szCs w:val="28"/>
          <w:rtl/>
        </w:rPr>
        <w:t>شَي</w:t>
      </w:r>
      <w:r w:rsidR="000775C2" w:rsidRPr="0067048A">
        <w:rPr>
          <w:rFonts w:ascii="KFGQPC Uthmanic Script HAFS" w:cs="KFGQPC Uthmanic Script HAFS" w:hint="cs"/>
          <w:sz w:val="28"/>
          <w:szCs w:val="28"/>
          <w:rtl/>
        </w:rPr>
        <w:t>ۡ</w:t>
      </w:r>
      <w:r w:rsidR="000775C2" w:rsidRPr="0067048A">
        <w:rPr>
          <w:rFonts w:ascii="KFGQPC Uthmanic Script HAFS" w:cs="KFGQPC Uthmanic Script HAFS" w:hint="eastAsia"/>
          <w:sz w:val="28"/>
          <w:szCs w:val="28"/>
          <w:rtl/>
        </w:rPr>
        <w:t>ء</w:t>
      </w:r>
      <w:r w:rsidR="000775C2" w:rsidRPr="0067048A">
        <w:rPr>
          <w:rFonts w:ascii="KFGQPC Uthmanic Script HAFS" w:cs="KFGQPC Uthmanic Script HAFS" w:hint="cs"/>
          <w:sz w:val="28"/>
          <w:szCs w:val="28"/>
          <w:rtl/>
        </w:rPr>
        <w:t>ٖ</w:t>
      </w:r>
      <w:r w:rsidR="000775C2" w:rsidRPr="0067048A">
        <w:rPr>
          <w:rFonts w:ascii="KFGQPC Uthmanic Script HAFS" w:cs="KFGQPC Uthmanic Script HAFS"/>
          <w:sz w:val="28"/>
          <w:szCs w:val="28"/>
          <w:rtl/>
        </w:rPr>
        <w:t xml:space="preserve"> </w:t>
      </w:r>
      <w:r w:rsidR="000775C2" w:rsidRPr="0067048A">
        <w:rPr>
          <w:rFonts w:ascii="KFGQPC Uthmanic Script HAFS" w:cs="KFGQPC Uthmanic Script HAFS" w:hint="eastAsia"/>
          <w:sz w:val="28"/>
          <w:szCs w:val="28"/>
          <w:rtl/>
        </w:rPr>
        <w:t>فَأَنَّ</w:t>
      </w:r>
      <w:r w:rsidR="000775C2" w:rsidRPr="0067048A">
        <w:rPr>
          <w:rFonts w:ascii="KFGQPC Uthmanic Script HAFS" w:cs="KFGQPC Uthmanic Script HAFS"/>
          <w:sz w:val="28"/>
          <w:szCs w:val="28"/>
          <w:rtl/>
        </w:rPr>
        <w:t xml:space="preserve"> </w:t>
      </w:r>
      <w:r w:rsidR="000775C2" w:rsidRPr="0067048A">
        <w:rPr>
          <w:rFonts w:ascii="KFGQPC Uthmanic Script HAFS" w:cs="KFGQPC Uthmanic Script HAFS" w:hint="eastAsia"/>
          <w:sz w:val="28"/>
          <w:szCs w:val="28"/>
          <w:rtl/>
        </w:rPr>
        <w:t>لِلَّهِ</w:t>
      </w:r>
      <w:r w:rsidR="000775C2" w:rsidRPr="0067048A">
        <w:rPr>
          <w:rFonts w:ascii="KFGQPC Uthmanic Script HAFS" w:cs="KFGQPC Uthmanic Script HAFS"/>
          <w:sz w:val="28"/>
          <w:szCs w:val="28"/>
          <w:rtl/>
        </w:rPr>
        <w:t xml:space="preserve"> </w:t>
      </w:r>
      <w:r w:rsidR="000775C2" w:rsidRPr="0067048A">
        <w:rPr>
          <w:rFonts w:ascii="KFGQPC Uthmanic Script HAFS" w:cs="KFGQPC Uthmanic Script HAFS" w:hint="eastAsia"/>
          <w:sz w:val="28"/>
          <w:szCs w:val="28"/>
          <w:rtl/>
        </w:rPr>
        <w:t>خُمُسَهُ</w:t>
      </w:r>
      <w:r w:rsidR="000775C2" w:rsidRPr="0067048A">
        <w:rPr>
          <w:rFonts w:ascii="KFGQPC Uthmanic Script HAFS" w:cs="KFGQPC Uthmanic Script HAFS" w:hint="cs"/>
          <w:sz w:val="28"/>
          <w:szCs w:val="28"/>
          <w:rtl/>
        </w:rPr>
        <w:t>ۥ</w:t>
      </w:r>
      <w:r w:rsidR="000775C2" w:rsidRPr="00995B26">
        <w:rPr>
          <w:rFonts w:ascii="KFGQPC Uthmanic Script HAFS" w:cs="Times New Roman" w:hint="cs"/>
          <w:sz w:val="28"/>
          <w:rtl/>
        </w:rPr>
        <w:t>...</w:t>
      </w:r>
      <w:r w:rsidR="000775C2" w:rsidRPr="00995B26">
        <w:rPr>
          <w:rFonts w:cs="Traditional Arabic" w:hint="cs"/>
          <w:szCs w:val="30"/>
          <w:rtl/>
        </w:rPr>
        <w:t>﴾</w:t>
      </w:r>
      <w:r w:rsidRPr="00495BAB">
        <w:rPr>
          <w:rFonts w:hint="cs"/>
          <w:rtl/>
        </w:rPr>
        <w:t xml:space="preserve"> </w:t>
      </w:r>
      <w:r w:rsidRPr="009E1401">
        <w:rPr>
          <w:rStyle w:val="Char2"/>
          <w:rtl/>
        </w:rPr>
        <w:t>[الأنفال</w:t>
      </w:r>
      <w:r w:rsidR="000775C2" w:rsidRPr="009E1401">
        <w:rPr>
          <w:rStyle w:val="Char2"/>
          <w:rFonts w:hint="cs"/>
          <w:rtl/>
        </w:rPr>
        <w:t xml:space="preserve">: </w:t>
      </w:r>
      <w:r w:rsidRPr="009E1401">
        <w:rPr>
          <w:rStyle w:val="Char2"/>
          <w:rtl/>
        </w:rPr>
        <w:t>41]</w:t>
      </w:r>
      <w:r w:rsidRPr="00495BAB">
        <w:rPr>
          <w:rFonts w:hint="cs"/>
          <w:rtl/>
        </w:rPr>
        <w:t xml:space="preserve"> لأقرباء رسول الله، وفي آخر الشهر ذاته وجب على كل فرد غني وقادر أن يدفع صاعاً من الطعام لفقراء سائر المسلمين!! ومن لم يعجبه ذلك فليبلط البحر أو ينطح رأسه بالحائط!! هذا هو الحكم أعجبك أم لم يعجبك!</w:t>
      </w:r>
      <w:r w:rsidR="000775C2" w:rsidRPr="00495BAB">
        <w:rPr>
          <w:rFonts w:hint="cs"/>
          <w:rtl/>
        </w:rPr>
        <w:t>.</w:t>
      </w:r>
    </w:p>
    <w:p w:rsidR="00CD31AA" w:rsidRPr="00495BAB" w:rsidRDefault="00CD31AA" w:rsidP="00495BAB">
      <w:pPr>
        <w:pStyle w:val="a0"/>
        <w:rPr>
          <w:rFonts w:hint="cs"/>
          <w:rtl/>
        </w:rPr>
      </w:pPr>
      <w:r w:rsidRPr="00495BAB">
        <w:rPr>
          <w:rFonts w:hint="cs"/>
          <w:rtl/>
        </w:rPr>
        <w:t xml:space="preserve">إنهم يزعمون أن دين الإسلام دينٌ يرى أن العالم كلَّه وآدمَ وذريتَه خُلِقوا لأجل النبي </w:t>
      </w:r>
      <w:r w:rsidRPr="00495BAB">
        <w:rPr>
          <w:rFonts w:ascii="Abo-thar" w:hAnsi="Abo-thar"/>
          <w:sz w:val="28"/>
          <w:lang w:bidi="fa-IR"/>
        </w:rPr>
        <w:t></w:t>
      </w:r>
      <w:r w:rsidRPr="00495BAB">
        <w:rPr>
          <w:rFonts w:hint="cs"/>
          <w:rtl/>
        </w:rPr>
        <w:t xml:space="preserve"> وأحفاده وذريته، فيحق لهم [أي النبي وأحفاده] أن يأخذوا من الناس ما يشاؤون من الأموال ويأكلوها ولا يحق لأحد الاعتراض على ذلك، لأن آية الخمس تقول:</w:t>
      </w:r>
      <w:r w:rsidR="000775C2" w:rsidRPr="00495BAB">
        <w:rPr>
          <w:rFonts w:hint="cs"/>
          <w:rtl/>
        </w:rPr>
        <w:t xml:space="preserve"> </w:t>
      </w:r>
      <w:r w:rsidR="000775C2" w:rsidRPr="00995B26">
        <w:rPr>
          <w:rFonts w:cs="Traditional Arabic" w:hint="cs"/>
          <w:szCs w:val="30"/>
          <w:rtl/>
        </w:rPr>
        <w:t>﴿</w:t>
      </w:r>
      <w:r w:rsidR="000775C2" w:rsidRPr="0067048A">
        <w:rPr>
          <w:rFonts w:ascii="KFGQPC Uthmanic Script HAFS" w:cs="KFGQPC Uthmanic Script HAFS" w:hint="eastAsia"/>
          <w:sz w:val="28"/>
          <w:szCs w:val="28"/>
          <w:rtl/>
        </w:rPr>
        <w:t>وَ</w:t>
      </w:r>
      <w:r w:rsidR="000775C2" w:rsidRPr="0067048A">
        <w:rPr>
          <w:rFonts w:ascii="KFGQPC Uthmanic Script HAFS" w:cs="KFGQPC Uthmanic Script HAFS" w:hint="cs"/>
          <w:sz w:val="28"/>
          <w:szCs w:val="28"/>
          <w:rtl/>
        </w:rPr>
        <w:t>ٱ</w:t>
      </w:r>
      <w:r w:rsidR="000775C2" w:rsidRPr="0067048A">
        <w:rPr>
          <w:rFonts w:ascii="KFGQPC Uthmanic Script HAFS" w:cs="KFGQPC Uthmanic Script HAFS" w:hint="eastAsia"/>
          <w:sz w:val="28"/>
          <w:szCs w:val="28"/>
          <w:rtl/>
        </w:rPr>
        <w:t>ع</w:t>
      </w:r>
      <w:r w:rsidR="000775C2" w:rsidRPr="0067048A">
        <w:rPr>
          <w:rFonts w:ascii="KFGQPC Uthmanic Script HAFS" w:cs="KFGQPC Uthmanic Script HAFS" w:hint="cs"/>
          <w:sz w:val="28"/>
          <w:szCs w:val="28"/>
          <w:rtl/>
        </w:rPr>
        <w:t>ۡ</w:t>
      </w:r>
      <w:r w:rsidR="000775C2" w:rsidRPr="0067048A">
        <w:rPr>
          <w:rFonts w:ascii="KFGQPC Uthmanic Script HAFS" w:cs="KFGQPC Uthmanic Script HAFS" w:hint="eastAsia"/>
          <w:sz w:val="28"/>
          <w:szCs w:val="28"/>
          <w:rtl/>
        </w:rPr>
        <w:t>لَمُو</w:t>
      </w:r>
      <w:r w:rsidR="000775C2" w:rsidRPr="0067048A">
        <w:rPr>
          <w:rFonts w:ascii="KFGQPC Uthmanic Script HAFS" w:cs="KFGQPC Uthmanic Script HAFS" w:hint="cs"/>
          <w:sz w:val="28"/>
          <w:szCs w:val="28"/>
          <w:rtl/>
        </w:rPr>
        <w:t>ٓ</w:t>
      </w:r>
      <w:r w:rsidR="000775C2" w:rsidRPr="0067048A">
        <w:rPr>
          <w:rFonts w:ascii="KFGQPC Uthmanic Script HAFS" w:cs="KFGQPC Uthmanic Script HAFS" w:hint="eastAsia"/>
          <w:sz w:val="28"/>
          <w:szCs w:val="28"/>
          <w:rtl/>
        </w:rPr>
        <w:t>اْ</w:t>
      </w:r>
      <w:r w:rsidR="000775C2" w:rsidRPr="0067048A">
        <w:rPr>
          <w:rFonts w:ascii="KFGQPC Uthmanic Script HAFS" w:cs="KFGQPC Uthmanic Script HAFS"/>
          <w:sz w:val="28"/>
          <w:szCs w:val="28"/>
          <w:rtl/>
        </w:rPr>
        <w:t xml:space="preserve"> </w:t>
      </w:r>
      <w:r w:rsidR="000775C2" w:rsidRPr="0067048A">
        <w:rPr>
          <w:rFonts w:ascii="KFGQPC Uthmanic Script HAFS" w:cs="KFGQPC Uthmanic Script HAFS" w:hint="eastAsia"/>
          <w:sz w:val="28"/>
          <w:szCs w:val="28"/>
          <w:rtl/>
        </w:rPr>
        <w:t>أَنَّمَا</w:t>
      </w:r>
      <w:r w:rsidR="000775C2" w:rsidRPr="0067048A">
        <w:rPr>
          <w:rFonts w:ascii="KFGQPC Uthmanic Script HAFS" w:cs="KFGQPC Uthmanic Script HAFS"/>
          <w:sz w:val="28"/>
          <w:szCs w:val="28"/>
          <w:rtl/>
        </w:rPr>
        <w:t xml:space="preserve"> </w:t>
      </w:r>
      <w:r w:rsidR="000775C2" w:rsidRPr="0067048A">
        <w:rPr>
          <w:rFonts w:ascii="KFGQPC Uthmanic Script HAFS" w:cs="KFGQPC Uthmanic Script HAFS" w:hint="eastAsia"/>
          <w:sz w:val="28"/>
          <w:szCs w:val="28"/>
          <w:rtl/>
        </w:rPr>
        <w:t>غَنِم</w:t>
      </w:r>
      <w:r w:rsidR="000775C2" w:rsidRPr="0067048A">
        <w:rPr>
          <w:rFonts w:ascii="KFGQPC Uthmanic Script HAFS" w:cs="KFGQPC Uthmanic Script HAFS" w:hint="cs"/>
          <w:sz w:val="28"/>
          <w:szCs w:val="28"/>
          <w:rtl/>
        </w:rPr>
        <w:t>ۡ</w:t>
      </w:r>
      <w:r w:rsidR="000775C2" w:rsidRPr="0067048A">
        <w:rPr>
          <w:rFonts w:ascii="KFGQPC Uthmanic Script HAFS" w:cs="KFGQPC Uthmanic Script HAFS" w:hint="eastAsia"/>
          <w:sz w:val="28"/>
          <w:szCs w:val="28"/>
          <w:rtl/>
        </w:rPr>
        <w:t>تُم</w:t>
      </w:r>
      <w:r w:rsidR="000775C2" w:rsidRPr="0067048A">
        <w:rPr>
          <w:rFonts w:ascii="KFGQPC Uthmanic Script HAFS" w:cs="KFGQPC Uthmanic Script HAFS"/>
          <w:sz w:val="28"/>
          <w:szCs w:val="28"/>
          <w:rtl/>
        </w:rPr>
        <w:t xml:space="preserve"> </w:t>
      </w:r>
      <w:r w:rsidR="000775C2" w:rsidRPr="0067048A">
        <w:rPr>
          <w:rFonts w:ascii="KFGQPC Uthmanic Script HAFS" w:cs="KFGQPC Uthmanic Script HAFS" w:hint="eastAsia"/>
          <w:sz w:val="28"/>
          <w:szCs w:val="28"/>
          <w:rtl/>
        </w:rPr>
        <w:t>مِّن</w:t>
      </w:r>
      <w:r w:rsidR="000775C2" w:rsidRPr="0067048A">
        <w:rPr>
          <w:rFonts w:ascii="KFGQPC Uthmanic Script HAFS" w:cs="KFGQPC Uthmanic Script HAFS"/>
          <w:sz w:val="28"/>
          <w:szCs w:val="28"/>
          <w:rtl/>
        </w:rPr>
        <w:t xml:space="preserve"> </w:t>
      </w:r>
      <w:r w:rsidR="000775C2" w:rsidRPr="0067048A">
        <w:rPr>
          <w:rFonts w:ascii="KFGQPC Uthmanic Script HAFS" w:cs="KFGQPC Uthmanic Script HAFS" w:hint="eastAsia"/>
          <w:sz w:val="28"/>
          <w:szCs w:val="28"/>
          <w:rtl/>
        </w:rPr>
        <w:t>شَي</w:t>
      </w:r>
      <w:r w:rsidR="000775C2" w:rsidRPr="0067048A">
        <w:rPr>
          <w:rFonts w:ascii="KFGQPC Uthmanic Script HAFS" w:cs="KFGQPC Uthmanic Script HAFS" w:hint="cs"/>
          <w:sz w:val="28"/>
          <w:szCs w:val="28"/>
          <w:rtl/>
        </w:rPr>
        <w:t>ۡ</w:t>
      </w:r>
      <w:r w:rsidR="000775C2" w:rsidRPr="0067048A">
        <w:rPr>
          <w:rFonts w:ascii="KFGQPC Uthmanic Script HAFS" w:cs="KFGQPC Uthmanic Script HAFS" w:hint="eastAsia"/>
          <w:sz w:val="28"/>
          <w:szCs w:val="28"/>
          <w:rtl/>
        </w:rPr>
        <w:t>ء</w:t>
      </w:r>
      <w:r w:rsidR="000775C2" w:rsidRPr="0067048A">
        <w:rPr>
          <w:rFonts w:ascii="KFGQPC Uthmanic Script HAFS" w:cs="KFGQPC Uthmanic Script HAFS" w:hint="cs"/>
          <w:sz w:val="28"/>
          <w:szCs w:val="28"/>
          <w:rtl/>
        </w:rPr>
        <w:t>ٖ</w:t>
      </w:r>
      <w:r w:rsidR="000775C2" w:rsidRPr="0067048A">
        <w:rPr>
          <w:rFonts w:ascii="KFGQPC Uthmanic Script HAFS" w:cs="KFGQPC Uthmanic Script HAFS"/>
          <w:sz w:val="28"/>
          <w:szCs w:val="28"/>
          <w:rtl/>
        </w:rPr>
        <w:t xml:space="preserve"> </w:t>
      </w:r>
      <w:r w:rsidR="000775C2" w:rsidRPr="0067048A">
        <w:rPr>
          <w:rFonts w:ascii="KFGQPC Uthmanic Script HAFS" w:cs="KFGQPC Uthmanic Script HAFS" w:hint="eastAsia"/>
          <w:sz w:val="28"/>
          <w:szCs w:val="28"/>
          <w:rtl/>
        </w:rPr>
        <w:t>فَأَنَّ</w:t>
      </w:r>
      <w:r w:rsidR="000775C2" w:rsidRPr="0067048A">
        <w:rPr>
          <w:rFonts w:ascii="KFGQPC Uthmanic Script HAFS" w:cs="KFGQPC Uthmanic Script HAFS"/>
          <w:sz w:val="28"/>
          <w:szCs w:val="28"/>
          <w:rtl/>
        </w:rPr>
        <w:t xml:space="preserve"> </w:t>
      </w:r>
      <w:r w:rsidR="000775C2" w:rsidRPr="0067048A">
        <w:rPr>
          <w:rFonts w:ascii="KFGQPC Uthmanic Script HAFS" w:cs="KFGQPC Uthmanic Script HAFS" w:hint="eastAsia"/>
          <w:sz w:val="28"/>
          <w:szCs w:val="28"/>
          <w:rtl/>
        </w:rPr>
        <w:t>لِلَّهِ</w:t>
      </w:r>
      <w:r w:rsidR="000775C2" w:rsidRPr="0067048A">
        <w:rPr>
          <w:rFonts w:ascii="KFGQPC Uthmanic Script HAFS" w:cs="KFGQPC Uthmanic Script HAFS"/>
          <w:sz w:val="28"/>
          <w:szCs w:val="28"/>
          <w:rtl/>
        </w:rPr>
        <w:t xml:space="preserve"> </w:t>
      </w:r>
      <w:r w:rsidR="000775C2" w:rsidRPr="0067048A">
        <w:rPr>
          <w:rFonts w:ascii="KFGQPC Uthmanic Script HAFS" w:cs="KFGQPC Uthmanic Script HAFS" w:hint="eastAsia"/>
          <w:sz w:val="28"/>
          <w:szCs w:val="28"/>
          <w:rtl/>
        </w:rPr>
        <w:t>خُمُسَهُ</w:t>
      </w:r>
      <w:r w:rsidR="000775C2" w:rsidRPr="0067048A">
        <w:rPr>
          <w:rFonts w:ascii="KFGQPC Uthmanic Script HAFS" w:cs="KFGQPC Uthmanic Script HAFS" w:hint="cs"/>
          <w:sz w:val="28"/>
          <w:szCs w:val="28"/>
          <w:rtl/>
        </w:rPr>
        <w:t>ۥ</w:t>
      </w:r>
      <w:r w:rsidR="000775C2" w:rsidRPr="0067048A">
        <w:rPr>
          <w:rFonts w:ascii="KFGQPC Uthmanic Script HAFS" w:cs="KFGQPC Uthmanic Script HAFS"/>
          <w:sz w:val="28"/>
          <w:szCs w:val="28"/>
          <w:rtl/>
        </w:rPr>
        <w:t xml:space="preserve"> </w:t>
      </w:r>
      <w:r w:rsidR="000775C2" w:rsidRPr="0067048A">
        <w:rPr>
          <w:rFonts w:ascii="KFGQPC Uthmanic Script HAFS" w:cs="KFGQPC Uthmanic Script HAFS" w:hint="eastAsia"/>
          <w:sz w:val="28"/>
          <w:szCs w:val="28"/>
          <w:rtl/>
        </w:rPr>
        <w:t>وَلِلرَّسُولِ</w:t>
      </w:r>
      <w:r w:rsidR="000775C2" w:rsidRPr="0067048A">
        <w:rPr>
          <w:rFonts w:ascii="KFGQPC Uthmanic Script HAFS" w:cs="KFGQPC Uthmanic Script HAFS"/>
          <w:sz w:val="28"/>
          <w:szCs w:val="28"/>
          <w:rtl/>
        </w:rPr>
        <w:t xml:space="preserve"> </w:t>
      </w:r>
      <w:r w:rsidR="000775C2" w:rsidRPr="0067048A">
        <w:rPr>
          <w:rFonts w:ascii="KFGQPC Uthmanic Script HAFS" w:cs="KFGQPC Uthmanic Script HAFS" w:hint="eastAsia"/>
          <w:sz w:val="28"/>
          <w:szCs w:val="28"/>
          <w:rtl/>
        </w:rPr>
        <w:t>وَلِذِي</w:t>
      </w:r>
      <w:r w:rsidR="000775C2" w:rsidRPr="0067048A">
        <w:rPr>
          <w:rFonts w:ascii="KFGQPC Uthmanic Script HAFS" w:cs="KFGQPC Uthmanic Script HAFS"/>
          <w:sz w:val="28"/>
          <w:szCs w:val="28"/>
          <w:rtl/>
        </w:rPr>
        <w:t xml:space="preserve"> </w:t>
      </w:r>
      <w:r w:rsidR="000775C2" w:rsidRPr="0067048A">
        <w:rPr>
          <w:rFonts w:ascii="KFGQPC Uthmanic Script HAFS" w:cs="KFGQPC Uthmanic Script HAFS" w:hint="cs"/>
          <w:sz w:val="28"/>
          <w:szCs w:val="28"/>
          <w:rtl/>
        </w:rPr>
        <w:t>ٱ</w:t>
      </w:r>
      <w:r w:rsidR="000775C2" w:rsidRPr="0067048A">
        <w:rPr>
          <w:rFonts w:ascii="KFGQPC Uthmanic Script HAFS" w:cs="KFGQPC Uthmanic Script HAFS" w:hint="eastAsia"/>
          <w:sz w:val="28"/>
          <w:szCs w:val="28"/>
          <w:rtl/>
        </w:rPr>
        <w:t>ل</w:t>
      </w:r>
      <w:r w:rsidR="000775C2" w:rsidRPr="0067048A">
        <w:rPr>
          <w:rFonts w:ascii="KFGQPC Uthmanic Script HAFS" w:cs="KFGQPC Uthmanic Script HAFS" w:hint="cs"/>
          <w:sz w:val="28"/>
          <w:szCs w:val="28"/>
          <w:rtl/>
        </w:rPr>
        <w:t>ۡ</w:t>
      </w:r>
      <w:r w:rsidR="000775C2" w:rsidRPr="0067048A">
        <w:rPr>
          <w:rFonts w:ascii="KFGQPC Uthmanic Script HAFS" w:cs="KFGQPC Uthmanic Script HAFS" w:hint="eastAsia"/>
          <w:sz w:val="28"/>
          <w:szCs w:val="28"/>
          <w:rtl/>
        </w:rPr>
        <w:t>قُر</w:t>
      </w:r>
      <w:r w:rsidR="000775C2" w:rsidRPr="0067048A">
        <w:rPr>
          <w:rFonts w:ascii="KFGQPC Uthmanic Script HAFS" w:cs="KFGQPC Uthmanic Script HAFS" w:hint="cs"/>
          <w:sz w:val="28"/>
          <w:szCs w:val="28"/>
          <w:rtl/>
        </w:rPr>
        <w:t>ۡ</w:t>
      </w:r>
      <w:r w:rsidR="000775C2" w:rsidRPr="0067048A">
        <w:rPr>
          <w:rFonts w:ascii="KFGQPC Uthmanic Script HAFS" w:cs="KFGQPC Uthmanic Script HAFS" w:hint="eastAsia"/>
          <w:sz w:val="28"/>
          <w:szCs w:val="28"/>
          <w:rtl/>
        </w:rPr>
        <w:t>بَى</w:t>
      </w:r>
      <w:r w:rsidR="000775C2" w:rsidRPr="0067048A">
        <w:rPr>
          <w:rFonts w:ascii="KFGQPC Uthmanic Script HAFS" w:cs="KFGQPC Uthmanic Script HAFS" w:hint="cs"/>
          <w:sz w:val="28"/>
          <w:szCs w:val="28"/>
          <w:rtl/>
        </w:rPr>
        <w:t>ٰ</w:t>
      </w:r>
      <w:r w:rsidR="000775C2" w:rsidRPr="0067048A">
        <w:rPr>
          <w:rFonts w:ascii="KFGQPC Uthmanic Script HAFS" w:cs="KFGQPC Uthmanic Script HAFS"/>
          <w:sz w:val="28"/>
          <w:szCs w:val="28"/>
          <w:rtl/>
        </w:rPr>
        <w:t xml:space="preserve"> </w:t>
      </w:r>
      <w:r w:rsidR="000775C2" w:rsidRPr="0067048A">
        <w:rPr>
          <w:rFonts w:ascii="KFGQPC Uthmanic Script HAFS" w:cs="KFGQPC Uthmanic Script HAFS" w:hint="eastAsia"/>
          <w:sz w:val="28"/>
          <w:szCs w:val="28"/>
          <w:rtl/>
        </w:rPr>
        <w:t>وَ</w:t>
      </w:r>
      <w:r w:rsidR="000775C2" w:rsidRPr="0067048A">
        <w:rPr>
          <w:rFonts w:ascii="KFGQPC Uthmanic Script HAFS" w:cs="KFGQPC Uthmanic Script HAFS" w:hint="cs"/>
          <w:sz w:val="28"/>
          <w:szCs w:val="28"/>
          <w:rtl/>
        </w:rPr>
        <w:t>ٱ</w:t>
      </w:r>
      <w:r w:rsidR="000775C2" w:rsidRPr="0067048A">
        <w:rPr>
          <w:rFonts w:ascii="KFGQPC Uthmanic Script HAFS" w:cs="KFGQPC Uthmanic Script HAFS" w:hint="eastAsia"/>
          <w:sz w:val="28"/>
          <w:szCs w:val="28"/>
          <w:rtl/>
        </w:rPr>
        <w:t>ل</w:t>
      </w:r>
      <w:r w:rsidR="000775C2" w:rsidRPr="0067048A">
        <w:rPr>
          <w:rFonts w:ascii="KFGQPC Uthmanic Script HAFS" w:cs="KFGQPC Uthmanic Script HAFS" w:hint="cs"/>
          <w:sz w:val="28"/>
          <w:szCs w:val="28"/>
          <w:rtl/>
        </w:rPr>
        <w:t>ۡ</w:t>
      </w:r>
      <w:r w:rsidR="000775C2" w:rsidRPr="0067048A">
        <w:rPr>
          <w:rFonts w:ascii="KFGQPC Uthmanic Script HAFS" w:cs="KFGQPC Uthmanic Script HAFS" w:hint="eastAsia"/>
          <w:sz w:val="28"/>
          <w:szCs w:val="28"/>
          <w:rtl/>
        </w:rPr>
        <w:t>يَتَ</w:t>
      </w:r>
      <w:r w:rsidR="000775C2" w:rsidRPr="0067048A">
        <w:rPr>
          <w:rFonts w:ascii="KFGQPC Uthmanic Script HAFS" w:cs="KFGQPC Uthmanic Script HAFS" w:hint="cs"/>
          <w:sz w:val="28"/>
          <w:szCs w:val="28"/>
          <w:rtl/>
        </w:rPr>
        <w:t>ٰ</w:t>
      </w:r>
      <w:r w:rsidR="000775C2" w:rsidRPr="0067048A">
        <w:rPr>
          <w:rFonts w:ascii="KFGQPC Uthmanic Script HAFS" w:cs="KFGQPC Uthmanic Script HAFS" w:hint="eastAsia"/>
          <w:sz w:val="28"/>
          <w:szCs w:val="28"/>
          <w:rtl/>
        </w:rPr>
        <w:t>مَى</w:t>
      </w:r>
      <w:r w:rsidR="000775C2" w:rsidRPr="0067048A">
        <w:rPr>
          <w:rFonts w:ascii="KFGQPC Uthmanic Script HAFS" w:cs="KFGQPC Uthmanic Script HAFS" w:hint="cs"/>
          <w:sz w:val="28"/>
          <w:szCs w:val="28"/>
          <w:rtl/>
        </w:rPr>
        <w:t>ٰ</w:t>
      </w:r>
      <w:r w:rsidR="000775C2" w:rsidRPr="0067048A">
        <w:rPr>
          <w:rFonts w:ascii="KFGQPC Uthmanic Script HAFS" w:cs="KFGQPC Uthmanic Script HAFS"/>
          <w:sz w:val="28"/>
          <w:szCs w:val="28"/>
          <w:rtl/>
        </w:rPr>
        <w:t xml:space="preserve"> </w:t>
      </w:r>
      <w:r w:rsidR="000775C2" w:rsidRPr="0067048A">
        <w:rPr>
          <w:rFonts w:ascii="KFGQPC Uthmanic Script HAFS" w:cs="KFGQPC Uthmanic Script HAFS" w:hint="eastAsia"/>
          <w:sz w:val="28"/>
          <w:szCs w:val="28"/>
          <w:rtl/>
        </w:rPr>
        <w:t>وَ</w:t>
      </w:r>
      <w:r w:rsidR="000775C2" w:rsidRPr="0067048A">
        <w:rPr>
          <w:rFonts w:ascii="KFGQPC Uthmanic Script HAFS" w:cs="KFGQPC Uthmanic Script HAFS" w:hint="cs"/>
          <w:sz w:val="28"/>
          <w:szCs w:val="28"/>
          <w:rtl/>
        </w:rPr>
        <w:t>ٱ</w:t>
      </w:r>
      <w:r w:rsidR="000775C2" w:rsidRPr="0067048A">
        <w:rPr>
          <w:rFonts w:ascii="KFGQPC Uthmanic Script HAFS" w:cs="KFGQPC Uthmanic Script HAFS" w:hint="eastAsia"/>
          <w:sz w:val="28"/>
          <w:szCs w:val="28"/>
          <w:rtl/>
        </w:rPr>
        <w:t>ل</w:t>
      </w:r>
      <w:r w:rsidR="000775C2" w:rsidRPr="0067048A">
        <w:rPr>
          <w:rFonts w:ascii="KFGQPC Uthmanic Script HAFS" w:cs="KFGQPC Uthmanic Script HAFS" w:hint="cs"/>
          <w:sz w:val="28"/>
          <w:szCs w:val="28"/>
          <w:rtl/>
        </w:rPr>
        <w:t>ۡ</w:t>
      </w:r>
      <w:r w:rsidR="000775C2" w:rsidRPr="0067048A">
        <w:rPr>
          <w:rFonts w:ascii="KFGQPC Uthmanic Script HAFS" w:cs="KFGQPC Uthmanic Script HAFS" w:hint="eastAsia"/>
          <w:sz w:val="28"/>
          <w:szCs w:val="28"/>
          <w:rtl/>
        </w:rPr>
        <w:t>مَسَ</w:t>
      </w:r>
      <w:r w:rsidR="000775C2" w:rsidRPr="0067048A">
        <w:rPr>
          <w:rFonts w:ascii="KFGQPC Uthmanic Script HAFS" w:cs="KFGQPC Uthmanic Script HAFS" w:hint="cs"/>
          <w:sz w:val="28"/>
          <w:szCs w:val="28"/>
          <w:rtl/>
        </w:rPr>
        <w:t>ٰ</w:t>
      </w:r>
      <w:r w:rsidR="000775C2" w:rsidRPr="0067048A">
        <w:rPr>
          <w:rFonts w:ascii="KFGQPC Uthmanic Script HAFS" w:cs="KFGQPC Uthmanic Script HAFS" w:hint="eastAsia"/>
          <w:sz w:val="28"/>
          <w:szCs w:val="28"/>
          <w:rtl/>
        </w:rPr>
        <w:t>كِينِ</w:t>
      </w:r>
      <w:r w:rsidR="000775C2" w:rsidRPr="0067048A">
        <w:rPr>
          <w:rFonts w:ascii="KFGQPC Uthmanic Script HAFS" w:cs="KFGQPC Uthmanic Script HAFS"/>
          <w:sz w:val="28"/>
          <w:szCs w:val="28"/>
          <w:rtl/>
        </w:rPr>
        <w:t xml:space="preserve"> </w:t>
      </w:r>
      <w:r w:rsidR="000775C2" w:rsidRPr="0067048A">
        <w:rPr>
          <w:rFonts w:ascii="KFGQPC Uthmanic Script HAFS" w:cs="KFGQPC Uthmanic Script HAFS" w:hint="eastAsia"/>
          <w:sz w:val="28"/>
          <w:szCs w:val="28"/>
          <w:rtl/>
        </w:rPr>
        <w:t>وَ</w:t>
      </w:r>
      <w:r w:rsidR="000775C2" w:rsidRPr="0067048A">
        <w:rPr>
          <w:rFonts w:ascii="KFGQPC Uthmanic Script HAFS" w:cs="KFGQPC Uthmanic Script HAFS" w:hint="cs"/>
          <w:sz w:val="28"/>
          <w:szCs w:val="28"/>
          <w:rtl/>
        </w:rPr>
        <w:t>ٱ</w:t>
      </w:r>
      <w:r w:rsidR="000775C2" w:rsidRPr="0067048A">
        <w:rPr>
          <w:rFonts w:ascii="KFGQPC Uthmanic Script HAFS" w:cs="KFGQPC Uthmanic Script HAFS" w:hint="eastAsia"/>
          <w:sz w:val="28"/>
          <w:szCs w:val="28"/>
          <w:rtl/>
        </w:rPr>
        <w:t>ب</w:t>
      </w:r>
      <w:r w:rsidR="000775C2" w:rsidRPr="0067048A">
        <w:rPr>
          <w:rFonts w:ascii="KFGQPC Uthmanic Script HAFS" w:cs="KFGQPC Uthmanic Script HAFS" w:hint="cs"/>
          <w:sz w:val="28"/>
          <w:szCs w:val="28"/>
          <w:rtl/>
        </w:rPr>
        <w:t>ۡ</w:t>
      </w:r>
      <w:r w:rsidR="000775C2" w:rsidRPr="0067048A">
        <w:rPr>
          <w:rFonts w:ascii="KFGQPC Uthmanic Script HAFS" w:cs="KFGQPC Uthmanic Script HAFS" w:hint="eastAsia"/>
          <w:sz w:val="28"/>
          <w:szCs w:val="28"/>
          <w:rtl/>
        </w:rPr>
        <w:t>نِ</w:t>
      </w:r>
      <w:r w:rsidR="000775C2" w:rsidRPr="0067048A">
        <w:rPr>
          <w:rFonts w:ascii="KFGQPC Uthmanic Script HAFS" w:cs="KFGQPC Uthmanic Script HAFS"/>
          <w:sz w:val="28"/>
          <w:szCs w:val="28"/>
          <w:rtl/>
        </w:rPr>
        <w:t xml:space="preserve"> </w:t>
      </w:r>
      <w:r w:rsidR="000775C2" w:rsidRPr="0067048A">
        <w:rPr>
          <w:rFonts w:ascii="KFGQPC Uthmanic Script HAFS" w:cs="KFGQPC Uthmanic Script HAFS" w:hint="cs"/>
          <w:sz w:val="28"/>
          <w:szCs w:val="28"/>
          <w:rtl/>
        </w:rPr>
        <w:t>ٱ</w:t>
      </w:r>
      <w:r w:rsidR="000775C2" w:rsidRPr="0067048A">
        <w:rPr>
          <w:rFonts w:ascii="KFGQPC Uthmanic Script HAFS" w:cs="KFGQPC Uthmanic Script HAFS" w:hint="eastAsia"/>
          <w:sz w:val="28"/>
          <w:szCs w:val="28"/>
          <w:rtl/>
        </w:rPr>
        <w:t>لسَّبِيلِ</w:t>
      </w:r>
      <w:r w:rsidR="000775C2" w:rsidRPr="00995B26">
        <w:rPr>
          <w:rFonts w:cs="Traditional Arabic" w:hint="cs"/>
          <w:szCs w:val="30"/>
          <w:rtl/>
        </w:rPr>
        <w:t>﴾</w:t>
      </w:r>
      <w:r w:rsidRPr="00495BAB">
        <w:rPr>
          <w:rFonts w:hint="cs"/>
          <w:rtl/>
        </w:rPr>
        <w:t>.</w:t>
      </w:r>
    </w:p>
    <w:p w:rsidR="00CD31AA" w:rsidRPr="00495BAB" w:rsidRDefault="00CD31AA" w:rsidP="00495BAB">
      <w:pPr>
        <w:pStyle w:val="a0"/>
        <w:rPr>
          <w:rFonts w:hint="cs"/>
          <w:rtl/>
        </w:rPr>
      </w:pPr>
      <w:r w:rsidRPr="00495BAB">
        <w:rPr>
          <w:rFonts w:hint="cs"/>
          <w:rtl/>
        </w:rPr>
        <w:t xml:space="preserve">هذا هو حكم الله فمن شاء فليؤمن ومن شاء فليكفر، والدليل والبرهان والعقل والوجدان كلام لغو ولا محل له!! </w:t>
      </w:r>
    </w:p>
    <w:p w:rsidR="00CD31AA" w:rsidRPr="00495BAB" w:rsidRDefault="00CD31AA" w:rsidP="00495BAB">
      <w:pPr>
        <w:pStyle w:val="a0"/>
        <w:rPr>
          <w:rFonts w:hint="cs"/>
          <w:rtl/>
        </w:rPr>
      </w:pPr>
      <w:r w:rsidRPr="00495BAB">
        <w:rPr>
          <w:rFonts w:hint="cs"/>
          <w:rtl/>
        </w:rPr>
        <w:t>هذا هو منطق هؤلاء السادة! لكننا أثبتنا أنه لا يمكن أبدًا لرب العالمين ونبي آخر الزمان أن يقولا مثل هذا الشيء أو يفرضانه على الناس.</w:t>
      </w:r>
    </w:p>
    <w:p w:rsidR="00CD31AA" w:rsidRPr="00995B26" w:rsidRDefault="00CD31AA" w:rsidP="00495BAB">
      <w:pPr>
        <w:pStyle w:val="a0"/>
        <w:rPr>
          <w:rFonts w:hint="cs"/>
          <w:rtl/>
        </w:rPr>
      </w:pPr>
      <w:r w:rsidRPr="00495BAB">
        <w:rPr>
          <w:rFonts w:hint="cs"/>
          <w:rtl/>
        </w:rPr>
        <w:t>في الفصل الثاني من كتيّبه تفلسف المؤلف في بيان علة تطبيق حكم الخمس على الفور، فقال: «</w:t>
      </w:r>
      <w:r w:rsidRPr="00995B26">
        <w:rPr>
          <w:rFonts w:cs="Akhbar MT" w:hint="cs"/>
          <w:szCs w:val="30"/>
          <w:rtl/>
        </w:rPr>
        <w:t>لما كان النبي يريد تشكيل حكومة عادلة وأن يفعل كيت وكيت، ولما كانت الحكومة تحتاج إلى نفقات وميزانية ضخمة، أوجب الله الخمس لتأمين النفقات المتعلقة بشؤون الحكومة</w:t>
      </w:r>
      <w:r w:rsidRPr="00495BAB">
        <w:rPr>
          <w:rFonts w:hint="cs"/>
          <w:rtl/>
        </w:rPr>
        <w:t>» ثم قال بسفسطة: «</w:t>
      </w:r>
      <w:r w:rsidRPr="00995B26">
        <w:rPr>
          <w:rFonts w:cs="Akhbar MT" w:hint="cs"/>
          <w:szCs w:val="30"/>
          <w:rtl/>
        </w:rPr>
        <w:t>لا بد أن يتأمّن هذا الدخل من أي طريق كان، ومن الجهة الأخرى فالحكومة أمر ضروري للناس</w:t>
      </w:r>
      <w:r w:rsidRPr="00495BAB">
        <w:rPr>
          <w:rFonts w:hint="cs"/>
          <w:rtl/>
        </w:rPr>
        <w:t>». وهكذا لفّق أمورًا غير مترابطة، ولم يأتِ بأي دليل على أقواله، لا من كتاب الله ولا من حديث رسول الله ولا من التاريخ ولا من العقل ولا من الأمر الواقع، كل ما فعله أنه نسج أفكارًا من خياله وتصوّر في عالم الخيال حكومةً لا تُدار إلا من طريق الخمس!!</w:t>
      </w:r>
    </w:p>
    <w:p w:rsidR="00CD31AA" w:rsidRPr="00995B26" w:rsidRDefault="00CD31AA" w:rsidP="00495BAB">
      <w:pPr>
        <w:pStyle w:val="a0"/>
        <w:rPr>
          <w:rFonts w:hint="cs"/>
          <w:rtl/>
        </w:rPr>
      </w:pPr>
      <w:r w:rsidRPr="00495BAB">
        <w:rPr>
          <w:rFonts w:hint="cs"/>
          <w:rtl/>
        </w:rPr>
        <w:t>ثم طرح في الفصل الثالث هذا السؤال فقال: «</w:t>
      </w:r>
      <w:r w:rsidRPr="00995B26">
        <w:rPr>
          <w:rFonts w:cs="Akhbar MT" w:hint="cs"/>
          <w:szCs w:val="30"/>
          <w:rtl/>
        </w:rPr>
        <w:t>في أي زمن تم تطبيق أخذ خمس الغنائم</w:t>
      </w:r>
      <w:r w:rsidRPr="00495BAB">
        <w:rPr>
          <w:rFonts w:hint="cs"/>
          <w:rtl/>
        </w:rPr>
        <w:t>؟». وهذا أمر لا علاقة له بموضوعنا، ولا شأن لنا بما ذكره صواباً كان أم خطأً لأنه لا يتعلق بذلك الخمس الشامل الذي يدّعونه.</w:t>
      </w:r>
    </w:p>
    <w:p w:rsidR="00CD31AA" w:rsidRPr="00995B26" w:rsidRDefault="00CD31AA" w:rsidP="00495BAB">
      <w:pPr>
        <w:pStyle w:val="a0"/>
        <w:rPr>
          <w:rFonts w:hint="cs"/>
          <w:rtl/>
        </w:rPr>
      </w:pPr>
      <w:r w:rsidRPr="00495BAB">
        <w:rPr>
          <w:rFonts w:hint="cs"/>
          <w:rtl/>
        </w:rPr>
        <w:t>هذا ولما كُنَّا قد شكّكنا في كتابنا بصحة بعض أخبار العامة والخاصة التي تذكر أن أخذ غنائم الحرب كان مُحَرَّمًا على الأنبياء السابقين وأنهم كانوا يحرقونها، وقلنا: إن أخذ خمس غنائم الحرب كان أمراً معمولاً به قبل الإسلام، خلافًا لما جاء في بعض تلك الأخبار، (واستدلينا على عدم صحة تلك الأخبار بعدة أدلة أولها أن القرآن الكريم لا يُصَدِّقها، وثانياً أن العقل يأبى قبولها، وثالثاً أن هناك نصوصًا عديدةً في كِتَابَي العهد القديم والعهد الجديد تثبت حلية غنائم الحرب لدى الأنبياء السابقين وأقوامهم وأنهم كانوا يأخذونها فعلًا، وذكرنا عددًا من هذه النصوص)؛ طرح كاتب الرد، الذي لا يتورّع عن الإتيان بأي فكرة مخالفة لكتاب الله أو مخالفة للعقل، بل يسعى لإثبات كل ما أورده الصديق والعدو في حديث موضوع، أو ذَكَره الشيخ الفلاني في كتابه، دون التفات إلى اللوازم الفاسدة لما يريد إثباته، طرح سؤالاً مضمونه: «</w:t>
      </w:r>
      <w:r w:rsidRPr="00995B26">
        <w:rPr>
          <w:rFonts w:cs="Akhbar MT" w:hint="cs"/>
          <w:szCs w:val="30"/>
          <w:rtl/>
        </w:rPr>
        <w:t>هل أحلّ الله غنائم الحرب لنبي الإسلام وأمته أم أن تلك الغنائم كانت حلالاً أيضاً للأنبياء السابقين وأممهم؟</w:t>
      </w:r>
      <w:r w:rsidRPr="00495BAB">
        <w:rPr>
          <w:rFonts w:hint="cs"/>
          <w:rtl/>
        </w:rPr>
        <w:t>».</w:t>
      </w:r>
    </w:p>
    <w:p w:rsidR="00CD31AA" w:rsidRPr="00495BAB" w:rsidRDefault="00CD31AA" w:rsidP="00495BAB">
      <w:pPr>
        <w:pStyle w:val="a0"/>
        <w:rPr>
          <w:rFonts w:hint="cs"/>
          <w:rtl/>
        </w:rPr>
      </w:pPr>
      <w:r w:rsidRPr="00495BAB">
        <w:rPr>
          <w:rFonts w:hint="cs"/>
          <w:rtl/>
        </w:rPr>
        <w:t xml:space="preserve"> ولما كنا قد أوردنا عشرة شواهد من كتاب </w:t>
      </w:r>
      <w:r w:rsidRPr="00495BAB">
        <w:rPr>
          <w:rFonts w:hint="cs"/>
          <w:b/>
          <w:bCs/>
          <w:rtl/>
        </w:rPr>
        <w:t>التوراة</w:t>
      </w:r>
      <w:r w:rsidRPr="00495BAB">
        <w:rPr>
          <w:rFonts w:hint="cs"/>
          <w:rtl/>
        </w:rPr>
        <w:t xml:space="preserve"> تدل على أنّ غنائم الحرب - خلافاً لما تدّعيه تلك الأخبار - كانت حلالاً أيضاً للأنبياء السابقين وأممهم، سعى هذا الشخص معوجّ الفكر الذي يريد مُنَاكَفَتَنَا بأي طريقة ممكنة مهما كانت قبيحة، إلى الإتيان بنصوص من العهد القديم تعارض ما ذكرناه. لهذا السبب ذَكَرَ آياتٍ ناقصةً هما الآيتان 16 و17 من الإصحاح 13 من سفر التثنية في التوراة اللتين تقولان: </w:t>
      </w:r>
      <w:r w:rsidRPr="00394385">
        <w:rPr>
          <w:rFonts w:cs="KFGQPC Uthman Taha Naskh" w:hint="cs"/>
          <w:rtl/>
        </w:rPr>
        <w:t>«ت</w:t>
      </w:r>
      <w:r w:rsidRPr="00394385">
        <w:rPr>
          <w:rFonts w:cs="KFGQPC Uthman Taha Naskh"/>
          <w:rtl/>
        </w:rPr>
        <w:t>جْمَعُ كُل أَمْتِعَتِهَا إِلى وَسَطِ سَاحَتِهَا وَتُحْرِقُ بِالنَّارِ المَدِينَةَ وَكُل</w:t>
      </w:r>
      <w:r w:rsidRPr="00394385">
        <w:rPr>
          <w:rFonts w:cs="KFGQPC Uthman Taha Naskh" w:hint="cs"/>
          <w:rtl/>
        </w:rPr>
        <w:t>َّ</w:t>
      </w:r>
      <w:r w:rsidRPr="00394385">
        <w:rPr>
          <w:rFonts w:cs="KFGQPC Uthman Taha Naskh"/>
          <w:rtl/>
        </w:rPr>
        <w:t xml:space="preserve"> أَمْتِعَتِهَا كَامِلةً لِلرَّبِّ إِلهِكَ فَتَكُونُ </w:t>
      </w:r>
      <w:r w:rsidRPr="00394385">
        <w:rPr>
          <w:rFonts w:cs="KFGQPC Uthman Taha Naskh" w:hint="cs"/>
          <w:rtl/>
        </w:rPr>
        <w:t>خَرَابًا</w:t>
      </w:r>
      <w:r w:rsidRPr="00394385">
        <w:rPr>
          <w:rFonts w:cs="KFGQPC Uthman Taha Naskh"/>
          <w:rtl/>
        </w:rPr>
        <w:t xml:space="preserve"> إِلى الأَبَدِ لا تُبْنَى بَعْدُ. وَلا يَلتَصِقْ بِيَدِكَ شَيْءٌ مِنَ المُحَرَّمِ</w:t>
      </w:r>
      <w:r w:rsidRPr="00394385">
        <w:rPr>
          <w:rFonts w:cs="KFGQPC Uthman Taha Naskh" w:hint="cs"/>
          <w:rtl/>
        </w:rPr>
        <w:t>»</w:t>
      </w:r>
      <w:r w:rsidRPr="00495BAB">
        <w:rPr>
          <w:rFonts w:hint="cs"/>
          <w:rtl/>
        </w:rPr>
        <w:t>. وهكذا أورد هذا النص من الكتاب المقدَّس منقوصاً ومبتوراً عما جاء قبله، وأصرّ بكل لجاج - خلافاً لجميع مفسري الكتاب المقدس وخلافاً لعشرات الآيات المتعلقة بتحليل غنائم الحرب فيه - على إثبات حرمة تلك الغنائم على الأنبياء السابقين.</w:t>
      </w:r>
    </w:p>
    <w:p w:rsidR="00CD31AA" w:rsidRPr="00495BAB" w:rsidRDefault="00CD31AA" w:rsidP="00495BAB">
      <w:pPr>
        <w:pStyle w:val="a0"/>
        <w:rPr>
          <w:rFonts w:hint="cs"/>
          <w:rtl/>
        </w:rPr>
      </w:pPr>
      <w:r w:rsidRPr="00495BAB">
        <w:rPr>
          <w:rFonts w:hint="cs"/>
          <w:rtl/>
        </w:rPr>
        <w:t xml:space="preserve">ولكي يعلم القراء أن هذا الشخص اللجوج وقع في الفخ عندما اقترب منه، ينبغي أن نذكّر بأن سِفْرَ التثنية عبارة عن مواعظ كان يلقيها حضرة موسى </w:t>
      </w:r>
      <w:r w:rsidR="00451CED" w:rsidRPr="00451CED">
        <w:rPr>
          <w:rFonts w:ascii="Abo-thar" w:hAnsi="Abo-thar" w:cs="CTraditional Arabic"/>
          <w:sz w:val="28"/>
          <w:rtl/>
          <w:lang w:bidi="ar-SY"/>
        </w:rPr>
        <w:t>÷</w:t>
      </w:r>
      <w:r w:rsidRPr="00495BAB">
        <w:rPr>
          <w:rFonts w:hint="cs"/>
          <w:rtl/>
        </w:rPr>
        <w:t xml:space="preserve"> على بني إسرائيل، وكان يبين لهم كيف يجب أن يكون سلوكهم عندما سيدخلون أرض الميعاد. ومن جملة مواعظ حضرة موسى </w:t>
      </w:r>
      <w:r w:rsidR="00451CED" w:rsidRPr="00451CED">
        <w:rPr>
          <w:rFonts w:ascii="Abo-thar" w:hAnsi="Abo-thar" w:cs="CTraditional Arabic"/>
          <w:sz w:val="28"/>
          <w:rtl/>
          <w:lang w:bidi="ar-SY"/>
        </w:rPr>
        <w:t>÷</w:t>
      </w:r>
      <w:r w:rsidRPr="00495BAB">
        <w:rPr>
          <w:rFonts w:ascii="Abo-thar" w:hAnsi="Abo-thar" w:hint="cs"/>
          <w:sz w:val="28"/>
          <w:rtl/>
        </w:rPr>
        <w:t xml:space="preserve"> </w:t>
      </w:r>
      <w:r w:rsidRPr="00495BAB">
        <w:rPr>
          <w:rFonts w:hint="cs"/>
          <w:rtl/>
        </w:rPr>
        <w:t xml:space="preserve">تحذيره بني إسرائيل بعد عبادتهم العجل من الوقوع مرَّةً ثانيةً في هذه الخطيئة. كما جاء في الآية 14 من الإصحاح السادس لهذا السِّفْر: </w:t>
      </w:r>
      <w:r w:rsidRPr="00394385">
        <w:rPr>
          <w:rFonts w:cs="KFGQPC Uthman Taha Naskh" w:hint="cs"/>
          <w:rtl/>
        </w:rPr>
        <w:t>«</w:t>
      </w:r>
      <w:r w:rsidRPr="00394385">
        <w:rPr>
          <w:rFonts w:cs="KFGQPC Uthman Taha Naskh"/>
          <w:rtl/>
        </w:rPr>
        <w:t>لا تَسِيرُوا وَرَاءَ آلِهَةٍ أُخْرَى مِنْ آلِهَةِ الأُمَمِ التِي حَوْل</w:t>
      </w:r>
      <w:r w:rsidRPr="00394385">
        <w:rPr>
          <w:rFonts w:cs="KFGQPC Uthman Taha Naskh" w:hint="cs"/>
          <w:rtl/>
        </w:rPr>
        <w:t>َ</w:t>
      </w:r>
      <w:r w:rsidRPr="00394385">
        <w:rPr>
          <w:rFonts w:cs="KFGQPC Uthman Taha Naskh"/>
          <w:rtl/>
        </w:rPr>
        <w:t>كُمْ</w:t>
      </w:r>
      <w:r w:rsidRPr="00394385">
        <w:rPr>
          <w:rFonts w:cs="KFGQPC Uthman Taha Naskh" w:hint="cs"/>
          <w:rtl/>
        </w:rPr>
        <w:t>.</w:t>
      </w:r>
      <w:r w:rsidRPr="00394385">
        <w:rPr>
          <w:rFonts w:cs="KFGQPC Uthman Taha Naskh"/>
          <w:rtl/>
        </w:rPr>
        <w:t xml:space="preserve"> لأَنَّ الرَّبَّ إِلهَكُمْ إِلهٌ غَيُورٌ فِي وَسَطِكُمْ لِئَلا يَحْمَى غَضَبُ </w:t>
      </w:r>
      <w:r w:rsidRPr="00394385">
        <w:rPr>
          <w:rFonts w:cs="KFGQPC Uthman Taha Naskh" w:hint="cs"/>
          <w:rtl/>
        </w:rPr>
        <w:t>يَهْوَه</w:t>
      </w:r>
      <w:r w:rsidRPr="00394385">
        <w:rPr>
          <w:rFonts w:cs="KFGQPC Uthman Taha Naskh"/>
          <w:rtl/>
        </w:rPr>
        <w:t xml:space="preserve"> إِلهِكُمْ عَليْكُمْ فَيُبِيدَكُمْ عَنْ وَجْهِ الأَرْضِ</w:t>
      </w:r>
      <w:r w:rsidRPr="00394385">
        <w:rPr>
          <w:rFonts w:cs="KFGQPC Uthman Taha Naskh" w:hint="cs"/>
          <w:rtl/>
        </w:rPr>
        <w:t>»</w:t>
      </w:r>
      <w:r w:rsidRPr="00495BAB">
        <w:rPr>
          <w:rFonts w:hint="cs"/>
          <w:rtl/>
        </w:rPr>
        <w:t xml:space="preserve">. وتستمر هذه المواعظ والنصائح حتى الإصحاح 13 من هذا السِّفْر الذي يحذِّر موسى </w:t>
      </w:r>
      <w:r w:rsidR="00451CED" w:rsidRPr="00451CED">
        <w:rPr>
          <w:rFonts w:ascii="Abo-thar" w:hAnsi="Abo-thar" w:cs="CTraditional Arabic"/>
          <w:sz w:val="28"/>
          <w:rtl/>
          <w:lang w:bidi="ar-SY"/>
        </w:rPr>
        <w:t>÷</w:t>
      </w:r>
      <w:r w:rsidRPr="00495BAB">
        <w:rPr>
          <w:rFonts w:hint="cs"/>
          <w:rtl/>
        </w:rPr>
        <w:t xml:space="preserve"> فيه بني إسرائيل قائلاً: </w:t>
      </w:r>
      <w:r w:rsidRPr="00394385">
        <w:rPr>
          <w:rFonts w:cs="KFGQPC Uthman Taha Naskh" w:hint="cs"/>
          <w:rtl/>
        </w:rPr>
        <w:t>«</w:t>
      </w:r>
      <w:r w:rsidRPr="00394385">
        <w:rPr>
          <w:rFonts w:cs="KFGQPC Uthman Taha Naskh"/>
          <w:rtl/>
        </w:rPr>
        <w:t>إِذَا قَامَ فِي وَسَطِكَ نَبِيٌّ أَوْ حَالِمٌ حُل</w:t>
      </w:r>
      <w:r w:rsidRPr="00394385">
        <w:rPr>
          <w:rFonts w:cs="KFGQPC Uthman Taha Naskh" w:hint="cs"/>
          <w:rtl/>
        </w:rPr>
        <w:t>ُ</w:t>
      </w:r>
      <w:r w:rsidRPr="00394385">
        <w:rPr>
          <w:rFonts w:cs="KFGQPC Uthman Taha Naskh"/>
          <w:rtl/>
        </w:rPr>
        <w:t>م</w:t>
      </w:r>
      <w:r w:rsidRPr="00394385">
        <w:rPr>
          <w:rFonts w:cs="KFGQPC Uthman Taha Naskh" w:hint="cs"/>
          <w:rtl/>
        </w:rPr>
        <w:t>ً</w:t>
      </w:r>
      <w:r w:rsidRPr="00394385">
        <w:rPr>
          <w:rFonts w:cs="KFGQPC Uthman Taha Naskh"/>
          <w:rtl/>
        </w:rPr>
        <w:t>ا وَأَعْطَاكَ آيَةً أَوْ أُعْجُوبَةً</w:t>
      </w:r>
      <w:r w:rsidRPr="00394385">
        <w:rPr>
          <w:rFonts w:cs="KFGQPC Uthman Taha Naskh" w:hint="cs"/>
          <w:rtl/>
        </w:rPr>
        <w:t>،</w:t>
      </w:r>
      <w:r w:rsidRPr="00394385">
        <w:rPr>
          <w:rFonts w:cs="KFGQPC Uthman Taha Naskh"/>
          <w:rtl/>
        </w:rPr>
        <w:t xml:space="preserve"> وَلوْ حَدَثَتِ الآيَةُ أَوِ الأُعْجُوبَةُ التِي كَل</w:t>
      </w:r>
      <w:r w:rsidRPr="00394385">
        <w:rPr>
          <w:rFonts w:cs="KFGQPC Uthman Taha Naskh" w:hint="cs"/>
          <w:rtl/>
        </w:rPr>
        <w:t>َّ</w:t>
      </w:r>
      <w:r w:rsidRPr="00394385">
        <w:rPr>
          <w:rFonts w:cs="KFGQPC Uthman Taha Naskh"/>
          <w:rtl/>
        </w:rPr>
        <w:t>مَكَ عَنْهَا قَائِلاً: لِنَذْهَبْ وَرَاءَ آلِهَةٍ أُخْرَى لمْ تَعْرِفْهَا وَنَعْبُدْهَا</w:t>
      </w:r>
      <w:r w:rsidRPr="00394385">
        <w:rPr>
          <w:rFonts w:cs="KFGQPC Uthman Taha Naskh" w:hint="cs"/>
          <w:rtl/>
        </w:rPr>
        <w:t>.......</w:t>
      </w:r>
      <w:r w:rsidRPr="00394385">
        <w:rPr>
          <w:rFonts w:cs="KFGQPC Uthman Taha Naskh"/>
          <w:rtl/>
        </w:rPr>
        <w:t xml:space="preserve"> </w:t>
      </w:r>
      <w:r w:rsidRPr="00394385">
        <w:rPr>
          <w:rFonts w:cs="KFGQPC Uthman Taha Naskh" w:hint="cs"/>
          <w:rtl/>
        </w:rPr>
        <w:t>فذ</w:t>
      </w:r>
      <w:r w:rsidRPr="00394385">
        <w:rPr>
          <w:rFonts w:cs="KFGQPC Uthman Taha Naskh"/>
          <w:rtl/>
        </w:rPr>
        <w:t>َلِكَ النَّبِيُّ أَوِ الحَالِمُ ذَلِكَ الحُل</w:t>
      </w:r>
      <w:r w:rsidRPr="00394385">
        <w:rPr>
          <w:rFonts w:cs="KFGQPC Uthman Taha Naskh" w:hint="cs"/>
          <w:rtl/>
        </w:rPr>
        <w:t>ُ</w:t>
      </w:r>
      <w:r w:rsidRPr="00394385">
        <w:rPr>
          <w:rFonts w:cs="KFGQPC Uthman Taha Naskh"/>
          <w:rtl/>
        </w:rPr>
        <w:t>مَ يُقْتَلُ</w:t>
      </w:r>
      <w:r w:rsidRPr="00394385">
        <w:rPr>
          <w:rFonts w:cs="KFGQPC Uthman Taha Naskh" w:hint="cs"/>
          <w:rtl/>
        </w:rPr>
        <w:t>،</w:t>
      </w:r>
      <w:r w:rsidRPr="00394385">
        <w:rPr>
          <w:rFonts w:cs="KFGQPC Uthman Taha Naskh"/>
          <w:rtl/>
        </w:rPr>
        <w:t xml:space="preserve"> لأَنَّهُ تَكَلمَ بِالزَّيْغِ مِنْ وَرَاءِ الرَّبِّ إِلهِكُمُ</w:t>
      </w:r>
      <w:r w:rsidRPr="00394385">
        <w:rPr>
          <w:rFonts w:cs="KFGQPC Uthman Taha Naskh" w:hint="cs"/>
          <w:rtl/>
        </w:rPr>
        <w:t>.....»</w:t>
      </w:r>
      <w:r w:rsidRPr="00495BAB">
        <w:rPr>
          <w:rFonts w:hint="cs"/>
          <w:rtl/>
        </w:rPr>
        <w:t xml:space="preserve">. حتى يصل إلى قوله لبني إسرائيل في الآية 12 من الإصحاح الثالث عشر نفسه: </w:t>
      </w:r>
      <w:r w:rsidRPr="00394385">
        <w:rPr>
          <w:rFonts w:cs="KFGQPC Uthman Taha Naskh" w:hint="cs"/>
          <w:rtl/>
        </w:rPr>
        <w:t>«</w:t>
      </w:r>
      <w:r w:rsidRPr="00394385">
        <w:rPr>
          <w:rFonts w:cs="KFGQPC Uthman Taha Naskh"/>
          <w:rtl/>
        </w:rPr>
        <w:t>12</w:t>
      </w:r>
      <w:r w:rsidR="00C75600" w:rsidRPr="00394385">
        <w:rPr>
          <w:rFonts w:cs="KFGQPC Uthman Taha Naskh" w:hint="cs"/>
          <w:rtl/>
        </w:rPr>
        <w:t xml:space="preserve"> </w:t>
      </w:r>
      <w:r w:rsidRPr="00394385">
        <w:rPr>
          <w:rFonts w:cs="KFGQPC Uthman Taha Naskh"/>
          <w:rtl/>
        </w:rPr>
        <w:t>إِنْ سَمِعْتُمْ عَنْ إِحْدَى مُدُنِكُمُ الَّتِي يَهَبُهَا الرَّبُّ إِلَهُكُمْ لِتَسْكُنُوا فِيهَا، 13</w:t>
      </w:r>
      <w:r w:rsidRPr="00394385">
        <w:rPr>
          <w:rFonts w:cs="KFGQPC Uthman Taha Naskh" w:hint="cs"/>
          <w:rtl/>
        </w:rPr>
        <w:t xml:space="preserve"> </w:t>
      </w:r>
      <w:r w:rsidRPr="00394385">
        <w:rPr>
          <w:rFonts w:cs="KFGQPC Uthman Taha Naskh"/>
          <w:rtl/>
        </w:rPr>
        <w:t xml:space="preserve">أَنَّ بَعْضَ </w:t>
      </w:r>
      <w:r w:rsidRPr="00394385">
        <w:rPr>
          <w:rFonts w:cs="KFGQPC Uthman Taha Naskh" w:hint="cs"/>
          <w:rtl/>
        </w:rPr>
        <w:t>«</w:t>
      </w:r>
      <w:r w:rsidRPr="00394385">
        <w:rPr>
          <w:rFonts w:cs="KFGQPC Uthman Taha Naskh"/>
          <w:rtl/>
        </w:rPr>
        <w:t>بَن</w:t>
      </w:r>
      <w:r w:rsidRPr="00394385">
        <w:rPr>
          <w:rFonts w:cs="KFGQPC Uthman Taha Naskh" w:hint="cs"/>
          <w:rtl/>
        </w:rPr>
        <w:t>ِي</w:t>
      </w:r>
      <w:r w:rsidRPr="00394385">
        <w:rPr>
          <w:rFonts w:cs="KFGQPC Uthman Taha Naskh"/>
          <w:rtl/>
        </w:rPr>
        <w:t xml:space="preserve"> لئِيمٍ</w:t>
      </w:r>
      <w:r w:rsidRPr="00394385">
        <w:rPr>
          <w:rFonts w:cs="KFGQPC Uthman Taha Naskh" w:hint="cs"/>
          <w:rtl/>
        </w:rPr>
        <w:t xml:space="preserve">» </w:t>
      </w:r>
      <w:r w:rsidRPr="00394385">
        <w:rPr>
          <w:rFonts w:cs="KFGQPC Uthman Taha Naskh"/>
          <w:rtl/>
        </w:rPr>
        <w:t>قَدْ خَرَجُوا مِنْ بَيْنِكُمْ وَضَلَّلُوا سُكَّانَ مَدِينَتِهِمْ قَائِلِينَ: لِنَذْهَبْ وَنَعْبُدْ آلِهَةً أُخْرَى غَرِيبَةً عَنْكُمْ 14</w:t>
      </w:r>
      <w:r w:rsidRPr="00394385">
        <w:rPr>
          <w:rFonts w:cs="KFGQPC Uthman Taha Naskh" w:hint="cs"/>
          <w:rtl/>
        </w:rPr>
        <w:t xml:space="preserve"> </w:t>
      </w:r>
      <w:r w:rsidRPr="00394385">
        <w:rPr>
          <w:rFonts w:cs="KFGQPC Uthman Taha Naskh"/>
          <w:rtl/>
        </w:rPr>
        <w:t>فَافْحَصُوا الأَمْرَ أَوَّلاً وَتَحَقَّقُوا مِنْهُ بِدِقَّةٍ. فَإِنْ تَبَيَّنَ لَكُمْ صِدْقُهُ، وَثَبَتَ أَنَّ هَذَا الأَمْرَ الشَّنِيعَ قَدْ جَرَى فِعْلاً، 15</w:t>
      </w:r>
      <w:r w:rsidRPr="00394385">
        <w:rPr>
          <w:rFonts w:cs="KFGQPC Uthman Taha Naskh" w:hint="cs"/>
          <w:rtl/>
        </w:rPr>
        <w:t xml:space="preserve"> </w:t>
      </w:r>
      <w:r w:rsidRPr="00394385">
        <w:rPr>
          <w:rFonts w:cs="KFGQPC Uthman Taha Naskh"/>
          <w:rtl/>
        </w:rPr>
        <w:t>فَاقْضُوا قَضَاءً عَلَى سُكَّانِ تِلْكَ الْمَدِينَةِ وَعَلَى بَهَائِمِهِمْ وَاقْتُلُوهُمْ بِحَدِّ السَّيْفِ. 16</w:t>
      </w:r>
      <w:r w:rsidRPr="00394385">
        <w:rPr>
          <w:rFonts w:cs="KFGQPC Uthman Taha Naskh" w:hint="cs"/>
          <w:rtl/>
        </w:rPr>
        <w:t xml:space="preserve"> </w:t>
      </w:r>
      <w:r w:rsidRPr="00394385">
        <w:rPr>
          <w:rFonts w:cs="KFGQPC Uthman Taha Naskh"/>
          <w:rtl/>
        </w:rPr>
        <w:t>وَاجْمَعُوا كُلَّ أَمْتِعَتِهَا وَكَوِّمُوهَا فِي وَسَطِ سَاحَتِهَا وَأَحْرِقُوا الْمَدِينَةَ مَعَ كُلِّ أَمْتِعَتِهَا كَامِلَةً، انْتِقَاماً لِلرَّبِّ، فَتُصْبِحَ تَلاً خَرَاباً إِلَى الأَبَدِ لاَ تُبْنَى بَعْدُ. 17</w:t>
      </w:r>
      <w:r w:rsidRPr="00394385">
        <w:rPr>
          <w:rFonts w:cs="KFGQPC Uthman Taha Naskh" w:hint="cs"/>
          <w:rtl/>
        </w:rPr>
        <w:t xml:space="preserve"> </w:t>
      </w:r>
      <w:r w:rsidRPr="00394385">
        <w:rPr>
          <w:rFonts w:cs="KFGQPC Uthman Taha Naskh"/>
          <w:rtl/>
        </w:rPr>
        <w:t>وَلاَ يَعْلَقُ شَيْءٌ بِأَيْدِيكُمْ مِمَّا هُوَ مُحَرَّمٌ مِنْهَا، لِيُخْمِدَ الرَّبُّ مِنِ احْتِدَامِ غَضَبِهِ وَيَمْنَحَكُمْ رَحْمَةً</w:t>
      </w:r>
      <w:r w:rsidRPr="00394385">
        <w:rPr>
          <w:rFonts w:cs="KFGQPC Uthman Taha Naskh" w:hint="cs"/>
          <w:rtl/>
        </w:rPr>
        <w:t>»</w:t>
      </w:r>
      <w:r w:rsidRPr="00495BAB">
        <w:rPr>
          <w:rFonts w:hint="cs"/>
          <w:rtl/>
        </w:rPr>
        <w:t>.</w:t>
      </w:r>
    </w:p>
    <w:p w:rsidR="00CD31AA" w:rsidRPr="00495BAB" w:rsidRDefault="00CD31AA" w:rsidP="00495BAB">
      <w:pPr>
        <w:pStyle w:val="a0"/>
        <w:rPr>
          <w:rFonts w:hint="cs"/>
          <w:rtl/>
        </w:rPr>
      </w:pPr>
      <w:r w:rsidRPr="00495BAB">
        <w:rPr>
          <w:rFonts w:hint="cs"/>
          <w:rtl/>
        </w:rPr>
        <w:t>هنا لا بد من التذكير بأن «</w:t>
      </w:r>
      <w:r w:rsidRPr="00495BAB">
        <w:rPr>
          <w:rtl/>
        </w:rPr>
        <w:t>بَن</w:t>
      </w:r>
      <w:r w:rsidRPr="00495BAB">
        <w:rPr>
          <w:rFonts w:hint="cs"/>
          <w:rtl/>
        </w:rPr>
        <w:t>ِي</w:t>
      </w:r>
      <w:r w:rsidRPr="00495BAB">
        <w:rPr>
          <w:rtl/>
        </w:rPr>
        <w:t xml:space="preserve"> لئِيمٍ</w:t>
      </w:r>
      <w:r w:rsidRPr="00495BAB">
        <w:rPr>
          <w:rFonts w:hint="cs"/>
          <w:rtl/>
        </w:rPr>
        <w:t>» الذين جاء ذكرهم في هذه الآيات هم طبقاً لما جاء في الصفحة 188 من تفسير الكتاب المقدس: «</w:t>
      </w:r>
      <w:r w:rsidRPr="00495BAB">
        <w:rPr>
          <w:rtl/>
        </w:rPr>
        <w:t>بَنُو لئِيمٍ</w:t>
      </w:r>
      <w:r w:rsidRPr="00495BAB">
        <w:rPr>
          <w:rFonts w:hint="cs"/>
          <w:rtl/>
        </w:rPr>
        <w:t xml:space="preserve"> أو (ما لا فائدة فيهم) اسم أعطاه الكتاب المقدس للآثمين والفاسقين الذين لا يخافون الله ولا يستحيون من الإنسان».</w:t>
      </w:r>
    </w:p>
    <w:p w:rsidR="00CD31AA" w:rsidRPr="00495BAB" w:rsidRDefault="00CD31AA" w:rsidP="00495BAB">
      <w:pPr>
        <w:pStyle w:val="a0"/>
        <w:rPr>
          <w:rFonts w:hint="cs"/>
          <w:rtl/>
        </w:rPr>
      </w:pPr>
      <w:r w:rsidRPr="00495BAB">
        <w:rPr>
          <w:rFonts w:hint="cs"/>
          <w:rtl/>
        </w:rPr>
        <w:t xml:space="preserve">فتفسير هذه الآيات هو التالي: إذا وُجِد في المدينة التي يسيطر عليها بنو إسرائيل ويقطنونها أفراد شريرون أرادوا أن يحرفوا دين التوحيد وينشروا الوثنية بدلاً منه، فتفحّصوا أمرهم وتحققوا بشأنهم واستفسروا، فإن أيقنتم بصحة ما وردكم من خبرهم وأنهم يعملون على نشر عبادة الأصنام بينكم فعلاً؛ فاقتلوا عندئذٍ سكّان تلك المدينة بالسيف. </w:t>
      </w:r>
    </w:p>
    <w:p w:rsidR="00CD31AA" w:rsidRPr="00495BAB" w:rsidRDefault="00CD31AA" w:rsidP="00495BAB">
      <w:pPr>
        <w:pStyle w:val="a0"/>
        <w:rPr>
          <w:rFonts w:hint="cs"/>
          <w:rtl/>
        </w:rPr>
      </w:pPr>
      <w:r w:rsidRPr="00495BAB">
        <w:rPr>
          <w:rFonts w:hint="cs"/>
          <w:rtl/>
        </w:rPr>
        <w:t>فكما تُلاحِظون، ليس لهذا الأمر علاقة بالحرب وغنائمها. لأن الحرب والغنائم هي ذلك القتال الذي يقع بين المؤمنين والكفار فينال المؤمنون في ميدان المعركة غنائم من الكفار، أما المدينة أو القرية التي تقع تحت تصرّف حاكم الإسلام، فلو انتشر فيها الفساد وعبادة الأصنام فإن تطبيق الحد الإلهي يقتضي أن يقوم الذين لم يعارضوا حكومة التوراة أبداً بتجريد السيف على سكان مثل هذه المدينة، كما حصل في قضية عبادة العجل، فيقتلونهم جميعاً ويحرقون الغنائم من أمتعتهم ولا يعيدوا بناء المدينة أبداً!! فما علاقة ذلك بالحرب التي تقع بين المسلمين والكفار الذين كانوا يقاومون المسلمين ويحاربونهم، وينال المسلمون منهم الغنائم في ساحة المعركة؟</w:t>
      </w:r>
    </w:p>
    <w:p w:rsidR="00CD31AA" w:rsidRPr="00495BAB" w:rsidRDefault="00CD31AA" w:rsidP="00495BAB">
      <w:pPr>
        <w:pStyle w:val="a0"/>
        <w:rPr>
          <w:rFonts w:hint="cs"/>
          <w:rtl/>
          <w:lang w:bidi="ar-SY"/>
        </w:rPr>
      </w:pPr>
      <w:r w:rsidRPr="00495BAB">
        <w:rPr>
          <w:rFonts w:hint="cs"/>
          <w:rtl/>
        </w:rPr>
        <w:t xml:space="preserve">والعجيب أن مؤلف قاموس الكتاب المقدس نفسه (جيمز هاكس) الذي يؤمن بالتوراة والإنجيل وقام بتفسيرهما، كتب في الصفحة 639 من قاموسه، تحت كلمة «الغنيمة» يقول: «اعلم أن الشريعة الموسوية أمرت بواسطة شارعها موسى </w:t>
      </w:r>
      <w:r w:rsidR="00451CED" w:rsidRPr="00451CED">
        <w:rPr>
          <w:rFonts w:ascii="Abo-thar" w:hAnsi="Abo-thar" w:cs="CTraditional Arabic"/>
          <w:sz w:val="28"/>
          <w:rtl/>
          <w:lang w:bidi="ar-SY"/>
        </w:rPr>
        <w:t>÷</w:t>
      </w:r>
      <w:r w:rsidRPr="00495BAB">
        <w:rPr>
          <w:rFonts w:ascii="Abo-thar" w:hAnsi="Abo-thar" w:hint="cs"/>
          <w:sz w:val="28"/>
          <w:rtl/>
        </w:rPr>
        <w:t xml:space="preserve"> </w:t>
      </w:r>
      <w:r w:rsidRPr="00495BAB">
        <w:rPr>
          <w:rFonts w:hint="cs"/>
          <w:rtl/>
        </w:rPr>
        <w:t xml:space="preserve">بقسمة الغنائم إلى نصفين: نصفٌ يُعطى للرجال المقاتلين الذي شاركوا في الحرب، والنصف الآخر يُقْسَم بين سائر أفراد القوم، لكن لا بد أن تُؤخَذ الزكاة من سائر القوم غير المقاتلين والذين لم يحضروا ساحة القتال رغم دفاعهم عن أمتعة القوم، عشرة أضعاف ما يؤخذ من الآخرين. لما فتح شعب بني إسرائيل بعون الله «أريحا» لم يأذَن اللهُ لهم في التصرف في غنيمة أهالي أريحا بل أمرهم (أن يعتبروا كل شيء هناك محرَّمًا عليهم ما عدا </w:t>
      </w:r>
      <w:r w:rsidRPr="00495BAB">
        <w:rPr>
          <w:rtl/>
        </w:rPr>
        <w:t>غَنَائِمِ الْفِضَّةِ وَالذَّهَبِ وَآنِيَةِ النُّحَاسِ وَالْحَدِيدِ، فَتُخَصَّصُ لِلرَّبِّ وَتُحْفَظُ فِ</w:t>
      </w:r>
      <w:r w:rsidRPr="00495BAB">
        <w:rPr>
          <w:rFonts w:hint="cs"/>
          <w:rtl/>
        </w:rPr>
        <w:t>ي</w:t>
      </w:r>
      <w:r w:rsidRPr="00495BAB">
        <w:rPr>
          <w:rtl/>
        </w:rPr>
        <w:t xml:space="preserve"> خِزَانَتِهِ</w:t>
      </w:r>
      <w:r w:rsidRPr="00495BAB">
        <w:rPr>
          <w:rFonts w:hint="cs"/>
          <w:rtl/>
        </w:rPr>
        <w:t>)، أما سائر الغنائم التي كان يتم الحصول عليها في أماكن أخرى - غير أريحا - فقد أحلَّها الله لهم وجعلها مباحةً».</w:t>
      </w:r>
    </w:p>
    <w:p w:rsidR="00CD31AA" w:rsidRPr="00495BAB" w:rsidRDefault="00CD31AA" w:rsidP="00495BAB">
      <w:pPr>
        <w:pStyle w:val="a0"/>
        <w:rPr>
          <w:rFonts w:hint="cs"/>
          <w:rtl/>
          <w:lang w:bidi="ar-SY"/>
        </w:rPr>
      </w:pPr>
      <w:r w:rsidRPr="00495BAB">
        <w:rPr>
          <w:rFonts w:hint="cs"/>
          <w:rtl/>
          <w:lang w:bidi="ar-SY"/>
        </w:rPr>
        <w:t>لاحظوا أن هذا هو رأي عالم كبير ومفسِّر شهير للكتاب المقدَّس وأنه يقول: إن الغنيمة حلال! ولكن شيخًا من أنصاف المتعلمين يضرب يمنةً ويسرةً ويبذل كل جهده ليستنبط حُرْمَة غنيمة الحرب من تلك الآيات التوراتية!</w:t>
      </w:r>
    </w:p>
    <w:p w:rsidR="00CD31AA" w:rsidRPr="00495BAB" w:rsidRDefault="00CD31AA" w:rsidP="00495BAB">
      <w:pPr>
        <w:pStyle w:val="a0"/>
        <w:rPr>
          <w:rFonts w:hint="cs"/>
          <w:rtl/>
          <w:lang w:bidi="ar-SY"/>
        </w:rPr>
      </w:pPr>
      <w:r w:rsidRPr="00495BAB">
        <w:rPr>
          <w:rFonts w:hint="cs"/>
          <w:rtl/>
          <w:lang w:bidi="ar-SY"/>
        </w:rPr>
        <w:t>لاحظتم أننا في الإجابة عن سؤال: «</w:t>
      </w:r>
      <w:r w:rsidRPr="00995B26">
        <w:rPr>
          <w:rFonts w:cs="Akhbar MT" w:hint="cs"/>
          <w:szCs w:val="30"/>
          <w:rtl/>
          <w:lang w:bidi="ar-SY"/>
        </w:rPr>
        <w:t>هل كانت غنائم الحرب محرمةً على الأنبياء السابقين، أم حلالاً لهم؟</w:t>
      </w:r>
      <w:r w:rsidRPr="00495BAB">
        <w:rPr>
          <w:rFonts w:hint="cs"/>
          <w:rtl/>
          <w:lang w:bidi="ar-SY"/>
        </w:rPr>
        <w:t xml:space="preserve">» اخترنا طريقًا وبيَّنَّا أن الأخبار التي تقول إن الغنائم كانت محرمة على الأنبياء السابقين مشكوك بصحتها، إذْ لا يقبلها العقل، ولا يُصدِّقها القرآن ولا غيره من الكتب السماوية الأخرى. أما قولنا بأن العقل لا يقبلها فلأنه ما من عاقل يقوم بحرق الأمتعة والأشياء المفيدة التي يعتمد عليها البشر في معيشتهم وحياتهم، بل يحكم كل عقل بوجوب بذل الجهد في المحافظة عليها. أما من ناحية كتاب الله، فليس في القرآن المجيد خبر عن هذه المسائل ولا أي ذكر لتحريم الغنائم، وليس هذا فحسب، بل يُستَفاد من مفهوم عدد من الآيات الكريمة في القرآن أن غنائم الحرب لم تُحلَّل للمسلمين فقط، بل منَّ الله بها أيضًا على الأمم السابقة (وحلَّلها لهم)، ومنها الآيات الكريمة التالية: </w:t>
      </w:r>
    </w:p>
    <w:p w:rsidR="00CD31AA" w:rsidRPr="00495BAB" w:rsidRDefault="000775C2" w:rsidP="009E1401">
      <w:pPr>
        <w:pStyle w:val="a0"/>
        <w:ind w:left="284" w:firstLine="0"/>
        <w:rPr>
          <w:rtl/>
        </w:rPr>
      </w:pPr>
      <w:r w:rsidRPr="00995B26">
        <w:rPr>
          <w:rFonts w:cs="Traditional Arabic" w:hint="cs"/>
          <w:szCs w:val="30"/>
          <w:rtl/>
          <w:lang w:bidi="ar-SY"/>
        </w:rPr>
        <w:t>﴿</w:t>
      </w:r>
      <w:r w:rsidRPr="0067048A">
        <w:rPr>
          <w:rFonts w:ascii="KFGQPC Uthmanic Script HAFS" w:cs="KFGQPC Uthmanic Script HAFS" w:hint="eastAsia"/>
          <w:sz w:val="28"/>
          <w:szCs w:val="28"/>
          <w:rtl/>
        </w:rPr>
        <w:t>فَهَزَمُوهُم</w:t>
      </w:r>
      <w:r w:rsidRPr="0067048A">
        <w:rPr>
          <w:rFonts w:ascii="KFGQPC Uthmanic Script HAFS" w:cs="KFGQPC Uthmanic Script HAFS"/>
          <w:sz w:val="28"/>
          <w:szCs w:val="28"/>
          <w:rtl/>
        </w:rPr>
        <w:t xml:space="preserve"> </w:t>
      </w:r>
      <w:r w:rsidRPr="0067048A">
        <w:rPr>
          <w:rFonts w:ascii="KFGQPC Uthmanic Script HAFS" w:cs="KFGQPC Uthmanic Script HAFS" w:hint="eastAsia"/>
          <w:sz w:val="28"/>
          <w:szCs w:val="28"/>
          <w:rtl/>
        </w:rPr>
        <w:t>بِإِذ</w:t>
      </w:r>
      <w:r w:rsidRPr="0067048A">
        <w:rPr>
          <w:rFonts w:ascii="KFGQPC Uthmanic Script HAFS" w:cs="KFGQPC Uthmanic Script HAFS" w:hint="cs"/>
          <w:sz w:val="28"/>
          <w:szCs w:val="28"/>
          <w:rtl/>
        </w:rPr>
        <w:t>ۡ</w:t>
      </w:r>
      <w:r w:rsidRPr="0067048A">
        <w:rPr>
          <w:rFonts w:ascii="KFGQPC Uthmanic Script HAFS" w:cs="KFGQPC Uthmanic Script HAFS" w:hint="eastAsia"/>
          <w:sz w:val="28"/>
          <w:szCs w:val="28"/>
          <w:rtl/>
        </w:rPr>
        <w:t>نِ</w:t>
      </w:r>
      <w:r w:rsidRPr="0067048A">
        <w:rPr>
          <w:rFonts w:ascii="KFGQPC Uthmanic Script HAFS" w:cs="KFGQPC Uthmanic Script HAFS"/>
          <w:sz w:val="28"/>
          <w:szCs w:val="28"/>
          <w:rtl/>
        </w:rPr>
        <w:t xml:space="preserve"> </w:t>
      </w:r>
      <w:r w:rsidRPr="0067048A">
        <w:rPr>
          <w:rFonts w:ascii="KFGQPC Uthmanic Script HAFS" w:cs="KFGQPC Uthmanic Script HAFS" w:hint="cs"/>
          <w:sz w:val="28"/>
          <w:szCs w:val="28"/>
          <w:rtl/>
        </w:rPr>
        <w:t>ٱ</w:t>
      </w:r>
      <w:r w:rsidRPr="0067048A">
        <w:rPr>
          <w:rFonts w:ascii="KFGQPC Uthmanic Script HAFS" w:cs="KFGQPC Uthmanic Script HAFS" w:hint="eastAsia"/>
          <w:sz w:val="28"/>
          <w:szCs w:val="28"/>
          <w:rtl/>
        </w:rPr>
        <w:t>للَّهِ</w:t>
      </w:r>
      <w:r w:rsidRPr="0067048A">
        <w:rPr>
          <w:rFonts w:ascii="KFGQPC Uthmanic Script HAFS" w:cs="KFGQPC Uthmanic Script HAFS"/>
          <w:sz w:val="28"/>
          <w:szCs w:val="28"/>
          <w:rtl/>
        </w:rPr>
        <w:t xml:space="preserve"> </w:t>
      </w:r>
      <w:r w:rsidRPr="0067048A">
        <w:rPr>
          <w:rFonts w:ascii="KFGQPC Uthmanic Script HAFS" w:cs="KFGQPC Uthmanic Script HAFS" w:hint="eastAsia"/>
          <w:sz w:val="28"/>
          <w:szCs w:val="28"/>
          <w:rtl/>
        </w:rPr>
        <w:t>وَقَتَلَ</w:t>
      </w:r>
      <w:r w:rsidRPr="0067048A">
        <w:rPr>
          <w:rFonts w:ascii="KFGQPC Uthmanic Script HAFS" w:cs="KFGQPC Uthmanic Script HAFS"/>
          <w:sz w:val="28"/>
          <w:szCs w:val="28"/>
          <w:rtl/>
        </w:rPr>
        <w:t xml:space="preserve"> </w:t>
      </w:r>
      <w:r w:rsidRPr="0067048A">
        <w:rPr>
          <w:rFonts w:ascii="KFGQPC Uthmanic Script HAFS" w:cs="KFGQPC Uthmanic Script HAFS" w:hint="eastAsia"/>
          <w:sz w:val="28"/>
          <w:szCs w:val="28"/>
          <w:rtl/>
        </w:rPr>
        <w:t>دَاوُ</w:t>
      </w:r>
      <w:r w:rsidRPr="0067048A">
        <w:rPr>
          <w:rFonts w:ascii="KFGQPC Uthmanic Script HAFS" w:cs="KFGQPC Uthmanic Script HAFS" w:hint="cs"/>
          <w:sz w:val="28"/>
          <w:szCs w:val="28"/>
          <w:rtl/>
        </w:rPr>
        <w:t>ۥ</w:t>
      </w:r>
      <w:r w:rsidRPr="0067048A">
        <w:rPr>
          <w:rFonts w:ascii="KFGQPC Uthmanic Script HAFS" w:cs="KFGQPC Uthmanic Script HAFS" w:hint="eastAsia"/>
          <w:sz w:val="28"/>
          <w:szCs w:val="28"/>
          <w:rtl/>
        </w:rPr>
        <w:t>دُ</w:t>
      </w:r>
      <w:r w:rsidRPr="0067048A">
        <w:rPr>
          <w:rFonts w:ascii="KFGQPC Uthmanic Script HAFS" w:cs="KFGQPC Uthmanic Script HAFS"/>
          <w:sz w:val="28"/>
          <w:szCs w:val="28"/>
          <w:rtl/>
        </w:rPr>
        <w:t xml:space="preserve"> </w:t>
      </w:r>
      <w:r w:rsidRPr="0067048A">
        <w:rPr>
          <w:rFonts w:ascii="KFGQPC Uthmanic Script HAFS" w:cs="KFGQPC Uthmanic Script HAFS" w:hint="eastAsia"/>
          <w:sz w:val="28"/>
          <w:szCs w:val="28"/>
          <w:rtl/>
        </w:rPr>
        <w:t>جَالُوتَ</w:t>
      </w:r>
      <w:r w:rsidRPr="0067048A">
        <w:rPr>
          <w:rFonts w:ascii="KFGQPC Uthmanic Script HAFS" w:cs="KFGQPC Uthmanic Script HAFS"/>
          <w:sz w:val="28"/>
          <w:szCs w:val="28"/>
          <w:rtl/>
        </w:rPr>
        <w:t xml:space="preserve"> </w:t>
      </w:r>
      <w:r w:rsidRPr="0067048A">
        <w:rPr>
          <w:rFonts w:ascii="KFGQPC Uthmanic Script HAFS" w:cs="KFGQPC Uthmanic Script HAFS" w:hint="eastAsia"/>
          <w:sz w:val="28"/>
          <w:szCs w:val="28"/>
          <w:rtl/>
        </w:rPr>
        <w:t>وَءَاتَى</w:t>
      </w:r>
      <w:r w:rsidRPr="0067048A">
        <w:rPr>
          <w:rFonts w:ascii="KFGQPC Uthmanic Script HAFS" w:cs="KFGQPC Uthmanic Script HAFS" w:hint="cs"/>
          <w:sz w:val="28"/>
          <w:szCs w:val="28"/>
          <w:rtl/>
        </w:rPr>
        <w:t>ٰ</w:t>
      </w:r>
      <w:r w:rsidRPr="0067048A">
        <w:rPr>
          <w:rFonts w:ascii="KFGQPC Uthmanic Script HAFS" w:cs="KFGQPC Uthmanic Script HAFS" w:hint="eastAsia"/>
          <w:sz w:val="28"/>
          <w:szCs w:val="28"/>
          <w:rtl/>
        </w:rPr>
        <w:t>هُ</w:t>
      </w:r>
      <w:r w:rsidRPr="0067048A">
        <w:rPr>
          <w:rFonts w:ascii="KFGQPC Uthmanic Script HAFS" w:cs="KFGQPC Uthmanic Script HAFS"/>
          <w:sz w:val="28"/>
          <w:szCs w:val="28"/>
          <w:rtl/>
        </w:rPr>
        <w:t xml:space="preserve"> </w:t>
      </w:r>
      <w:r w:rsidRPr="0067048A">
        <w:rPr>
          <w:rFonts w:ascii="KFGQPC Uthmanic Script HAFS" w:cs="KFGQPC Uthmanic Script HAFS" w:hint="cs"/>
          <w:sz w:val="28"/>
          <w:szCs w:val="28"/>
          <w:rtl/>
        </w:rPr>
        <w:t>ٱ</w:t>
      </w:r>
      <w:r w:rsidRPr="0067048A">
        <w:rPr>
          <w:rFonts w:ascii="KFGQPC Uthmanic Script HAFS" w:cs="KFGQPC Uthmanic Script HAFS" w:hint="eastAsia"/>
          <w:sz w:val="28"/>
          <w:szCs w:val="28"/>
          <w:rtl/>
        </w:rPr>
        <w:t>للَّهُ</w:t>
      </w:r>
      <w:r w:rsidRPr="0067048A">
        <w:rPr>
          <w:rFonts w:ascii="KFGQPC Uthmanic Script HAFS" w:cs="KFGQPC Uthmanic Script HAFS"/>
          <w:sz w:val="28"/>
          <w:szCs w:val="28"/>
          <w:rtl/>
        </w:rPr>
        <w:t xml:space="preserve"> </w:t>
      </w:r>
      <w:r w:rsidRPr="0067048A">
        <w:rPr>
          <w:rFonts w:ascii="KFGQPC Uthmanic Script HAFS" w:cs="KFGQPC Uthmanic Script HAFS" w:hint="cs"/>
          <w:sz w:val="28"/>
          <w:szCs w:val="28"/>
          <w:rtl/>
        </w:rPr>
        <w:t>ٱ</w:t>
      </w:r>
      <w:r w:rsidRPr="0067048A">
        <w:rPr>
          <w:rFonts w:ascii="KFGQPC Uthmanic Script HAFS" w:cs="KFGQPC Uthmanic Script HAFS" w:hint="eastAsia"/>
          <w:sz w:val="28"/>
          <w:szCs w:val="28"/>
          <w:rtl/>
        </w:rPr>
        <w:t>ل</w:t>
      </w:r>
      <w:r w:rsidRPr="0067048A">
        <w:rPr>
          <w:rFonts w:ascii="KFGQPC Uthmanic Script HAFS" w:cs="KFGQPC Uthmanic Script HAFS" w:hint="cs"/>
          <w:sz w:val="28"/>
          <w:szCs w:val="28"/>
          <w:rtl/>
        </w:rPr>
        <w:t>ۡ</w:t>
      </w:r>
      <w:r w:rsidRPr="0067048A">
        <w:rPr>
          <w:rFonts w:ascii="KFGQPC Uthmanic Script HAFS" w:cs="KFGQPC Uthmanic Script HAFS" w:hint="eastAsia"/>
          <w:sz w:val="28"/>
          <w:szCs w:val="28"/>
          <w:rtl/>
        </w:rPr>
        <w:t>مُل</w:t>
      </w:r>
      <w:r w:rsidRPr="0067048A">
        <w:rPr>
          <w:rFonts w:ascii="KFGQPC Uthmanic Script HAFS" w:cs="KFGQPC Uthmanic Script HAFS" w:hint="cs"/>
          <w:sz w:val="28"/>
          <w:szCs w:val="28"/>
          <w:rtl/>
        </w:rPr>
        <w:t>ۡ</w:t>
      </w:r>
      <w:r w:rsidRPr="0067048A">
        <w:rPr>
          <w:rFonts w:ascii="KFGQPC Uthmanic Script HAFS" w:cs="KFGQPC Uthmanic Script HAFS" w:hint="eastAsia"/>
          <w:sz w:val="28"/>
          <w:szCs w:val="28"/>
          <w:rtl/>
        </w:rPr>
        <w:t>كَ</w:t>
      </w:r>
      <w:r w:rsidRPr="0067048A">
        <w:rPr>
          <w:rFonts w:ascii="KFGQPC Uthmanic Script HAFS" w:cs="KFGQPC Uthmanic Script HAFS"/>
          <w:sz w:val="28"/>
          <w:szCs w:val="28"/>
          <w:rtl/>
        </w:rPr>
        <w:t xml:space="preserve"> </w:t>
      </w:r>
      <w:r w:rsidRPr="0067048A">
        <w:rPr>
          <w:rFonts w:ascii="KFGQPC Uthmanic Script HAFS" w:cs="KFGQPC Uthmanic Script HAFS" w:hint="eastAsia"/>
          <w:sz w:val="28"/>
          <w:szCs w:val="28"/>
          <w:rtl/>
        </w:rPr>
        <w:t>وَ</w:t>
      </w:r>
      <w:r w:rsidRPr="0067048A">
        <w:rPr>
          <w:rFonts w:ascii="KFGQPC Uthmanic Script HAFS" w:cs="KFGQPC Uthmanic Script HAFS" w:hint="cs"/>
          <w:sz w:val="28"/>
          <w:szCs w:val="28"/>
          <w:rtl/>
        </w:rPr>
        <w:t>ٱ</w:t>
      </w:r>
      <w:r w:rsidRPr="0067048A">
        <w:rPr>
          <w:rFonts w:ascii="KFGQPC Uthmanic Script HAFS" w:cs="KFGQPC Uthmanic Script HAFS" w:hint="eastAsia"/>
          <w:sz w:val="28"/>
          <w:szCs w:val="28"/>
          <w:rtl/>
        </w:rPr>
        <w:t>ل</w:t>
      </w:r>
      <w:r w:rsidRPr="0067048A">
        <w:rPr>
          <w:rFonts w:ascii="KFGQPC Uthmanic Script HAFS" w:cs="KFGQPC Uthmanic Script HAFS" w:hint="cs"/>
          <w:sz w:val="28"/>
          <w:szCs w:val="28"/>
          <w:rtl/>
        </w:rPr>
        <w:t>ۡ</w:t>
      </w:r>
      <w:r w:rsidRPr="0067048A">
        <w:rPr>
          <w:rFonts w:ascii="KFGQPC Uthmanic Script HAFS" w:cs="KFGQPC Uthmanic Script HAFS" w:hint="eastAsia"/>
          <w:sz w:val="28"/>
          <w:szCs w:val="28"/>
          <w:rtl/>
        </w:rPr>
        <w:t>حِك</w:t>
      </w:r>
      <w:r w:rsidRPr="0067048A">
        <w:rPr>
          <w:rFonts w:ascii="KFGQPC Uthmanic Script HAFS" w:cs="KFGQPC Uthmanic Script HAFS" w:hint="cs"/>
          <w:sz w:val="28"/>
          <w:szCs w:val="28"/>
          <w:rtl/>
        </w:rPr>
        <w:t>ۡ</w:t>
      </w:r>
      <w:r w:rsidRPr="0067048A">
        <w:rPr>
          <w:rFonts w:ascii="KFGQPC Uthmanic Script HAFS" w:cs="KFGQPC Uthmanic Script HAFS" w:hint="eastAsia"/>
          <w:sz w:val="28"/>
          <w:szCs w:val="28"/>
          <w:rtl/>
        </w:rPr>
        <w:t>مَةَ</w:t>
      </w:r>
      <w:r w:rsidRPr="00995B26">
        <w:rPr>
          <w:rFonts w:cs="Traditional Arabic" w:hint="cs"/>
          <w:szCs w:val="30"/>
          <w:rtl/>
          <w:lang w:bidi="ar-SY"/>
        </w:rPr>
        <w:t>﴾</w:t>
      </w:r>
      <w:r w:rsidR="00CD31AA" w:rsidRPr="00495BAB">
        <w:rPr>
          <w:rFonts w:hint="cs"/>
          <w:rtl/>
          <w:lang w:bidi="ar-SY"/>
        </w:rPr>
        <w:t xml:space="preserve"> </w:t>
      </w:r>
      <w:r w:rsidR="00CD31AA" w:rsidRPr="009E1401">
        <w:rPr>
          <w:rStyle w:val="Char2"/>
          <w:rtl/>
        </w:rPr>
        <w:t>[البقرة</w:t>
      </w:r>
      <w:r w:rsidRPr="009E1401">
        <w:rPr>
          <w:rStyle w:val="Char2"/>
          <w:rFonts w:hint="cs"/>
          <w:rtl/>
        </w:rPr>
        <w:t xml:space="preserve">: </w:t>
      </w:r>
      <w:r w:rsidR="00CD31AA" w:rsidRPr="009E1401">
        <w:rPr>
          <w:rStyle w:val="Char2"/>
          <w:rtl/>
        </w:rPr>
        <w:t>251]</w:t>
      </w:r>
      <w:r w:rsidR="00CD31AA" w:rsidRPr="00495BAB">
        <w:rPr>
          <w:rFonts w:hint="cs"/>
          <w:rtl/>
          <w:lang w:bidi="ar-SY"/>
        </w:rPr>
        <w:t>.</w:t>
      </w:r>
    </w:p>
    <w:p w:rsidR="00CD31AA" w:rsidRPr="00495BAB" w:rsidRDefault="000775C2" w:rsidP="009E1401">
      <w:pPr>
        <w:pStyle w:val="a0"/>
        <w:ind w:left="284" w:firstLine="0"/>
        <w:rPr>
          <w:rFonts w:hint="cs"/>
          <w:rtl/>
        </w:rPr>
      </w:pPr>
      <w:r w:rsidRPr="00995B26">
        <w:rPr>
          <w:rFonts w:cs="Traditional Arabic" w:hint="cs"/>
          <w:szCs w:val="30"/>
          <w:rtl/>
        </w:rPr>
        <w:t>﴿</w:t>
      </w:r>
      <w:r w:rsidRPr="0067048A">
        <w:rPr>
          <w:rFonts w:ascii="KFGQPC Uthmanic Script HAFS" w:cs="KFGQPC Uthmanic Script HAFS" w:hint="eastAsia"/>
          <w:sz w:val="28"/>
          <w:szCs w:val="28"/>
          <w:rtl/>
        </w:rPr>
        <w:t>فَأَخ</w:t>
      </w:r>
      <w:r w:rsidRPr="0067048A">
        <w:rPr>
          <w:rFonts w:ascii="KFGQPC Uthmanic Script HAFS" w:cs="KFGQPC Uthmanic Script HAFS" w:hint="cs"/>
          <w:sz w:val="28"/>
          <w:szCs w:val="28"/>
          <w:rtl/>
        </w:rPr>
        <w:t>ۡ</w:t>
      </w:r>
      <w:r w:rsidRPr="0067048A">
        <w:rPr>
          <w:rFonts w:ascii="KFGQPC Uthmanic Script HAFS" w:cs="KFGQPC Uthmanic Script HAFS" w:hint="eastAsia"/>
          <w:sz w:val="28"/>
          <w:szCs w:val="28"/>
          <w:rtl/>
        </w:rPr>
        <w:t>رَج</w:t>
      </w:r>
      <w:r w:rsidRPr="0067048A">
        <w:rPr>
          <w:rFonts w:ascii="KFGQPC Uthmanic Script HAFS" w:cs="KFGQPC Uthmanic Script HAFS" w:hint="cs"/>
          <w:sz w:val="28"/>
          <w:szCs w:val="28"/>
          <w:rtl/>
        </w:rPr>
        <w:t>ۡ</w:t>
      </w:r>
      <w:r w:rsidRPr="0067048A">
        <w:rPr>
          <w:rFonts w:ascii="KFGQPC Uthmanic Script HAFS" w:cs="KFGQPC Uthmanic Script HAFS" w:hint="eastAsia"/>
          <w:sz w:val="28"/>
          <w:szCs w:val="28"/>
          <w:rtl/>
        </w:rPr>
        <w:t>نَ</w:t>
      </w:r>
      <w:r w:rsidRPr="0067048A">
        <w:rPr>
          <w:rFonts w:ascii="KFGQPC Uthmanic Script HAFS" w:cs="KFGQPC Uthmanic Script HAFS" w:hint="cs"/>
          <w:sz w:val="28"/>
          <w:szCs w:val="28"/>
          <w:rtl/>
        </w:rPr>
        <w:t>ٰ</w:t>
      </w:r>
      <w:r w:rsidRPr="0067048A">
        <w:rPr>
          <w:rFonts w:ascii="KFGQPC Uthmanic Script HAFS" w:cs="KFGQPC Uthmanic Script HAFS" w:hint="eastAsia"/>
          <w:sz w:val="28"/>
          <w:szCs w:val="28"/>
          <w:rtl/>
        </w:rPr>
        <w:t>هُم</w:t>
      </w:r>
      <w:r w:rsidRPr="0067048A">
        <w:rPr>
          <w:rFonts w:ascii="KFGQPC Uthmanic Script HAFS" w:cs="KFGQPC Uthmanic Script HAFS"/>
          <w:sz w:val="28"/>
          <w:szCs w:val="28"/>
          <w:rtl/>
        </w:rPr>
        <w:t xml:space="preserve"> </w:t>
      </w:r>
      <w:r w:rsidRPr="0067048A">
        <w:rPr>
          <w:rFonts w:ascii="KFGQPC Uthmanic Script HAFS" w:cs="KFGQPC Uthmanic Script HAFS" w:hint="eastAsia"/>
          <w:sz w:val="28"/>
          <w:szCs w:val="28"/>
          <w:rtl/>
        </w:rPr>
        <w:t>مِّن</w:t>
      </w:r>
      <w:r w:rsidRPr="0067048A">
        <w:rPr>
          <w:rFonts w:ascii="KFGQPC Uthmanic Script HAFS" w:cs="KFGQPC Uthmanic Script HAFS"/>
          <w:sz w:val="28"/>
          <w:szCs w:val="28"/>
          <w:rtl/>
        </w:rPr>
        <w:t xml:space="preserve"> </w:t>
      </w:r>
      <w:r w:rsidRPr="0067048A">
        <w:rPr>
          <w:rFonts w:ascii="KFGQPC Uthmanic Script HAFS" w:cs="KFGQPC Uthmanic Script HAFS" w:hint="eastAsia"/>
          <w:sz w:val="28"/>
          <w:szCs w:val="28"/>
          <w:rtl/>
        </w:rPr>
        <w:t>جَنَّ</w:t>
      </w:r>
      <w:r w:rsidRPr="0067048A">
        <w:rPr>
          <w:rFonts w:ascii="KFGQPC Uthmanic Script HAFS" w:cs="KFGQPC Uthmanic Script HAFS" w:hint="cs"/>
          <w:sz w:val="28"/>
          <w:szCs w:val="28"/>
          <w:rtl/>
        </w:rPr>
        <w:t>ٰ</w:t>
      </w:r>
      <w:r w:rsidRPr="0067048A">
        <w:rPr>
          <w:rFonts w:ascii="KFGQPC Uthmanic Script HAFS" w:cs="KFGQPC Uthmanic Script HAFS" w:hint="eastAsia"/>
          <w:sz w:val="28"/>
          <w:szCs w:val="28"/>
          <w:rtl/>
        </w:rPr>
        <w:t>ت</w:t>
      </w:r>
      <w:r w:rsidRPr="0067048A">
        <w:rPr>
          <w:rFonts w:ascii="KFGQPC Uthmanic Script HAFS" w:cs="KFGQPC Uthmanic Script HAFS" w:hint="cs"/>
          <w:sz w:val="28"/>
          <w:szCs w:val="28"/>
          <w:rtl/>
        </w:rPr>
        <w:t>ٖ</w:t>
      </w:r>
      <w:r w:rsidRPr="0067048A">
        <w:rPr>
          <w:rFonts w:ascii="KFGQPC Uthmanic Script HAFS" w:cs="KFGQPC Uthmanic Script HAFS"/>
          <w:sz w:val="28"/>
          <w:szCs w:val="28"/>
          <w:rtl/>
        </w:rPr>
        <w:t xml:space="preserve"> </w:t>
      </w:r>
      <w:r w:rsidRPr="0067048A">
        <w:rPr>
          <w:rFonts w:ascii="KFGQPC Uthmanic Script HAFS" w:cs="KFGQPC Uthmanic Script HAFS" w:hint="eastAsia"/>
          <w:sz w:val="28"/>
          <w:szCs w:val="28"/>
          <w:rtl/>
        </w:rPr>
        <w:t>وَعُيُون</w:t>
      </w:r>
      <w:r w:rsidRPr="0067048A">
        <w:rPr>
          <w:rFonts w:ascii="KFGQPC Uthmanic Script HAFS" w:cs="KFGQPC Uthmanic Script HAFS" w:hint="cs"/>
          <w:sz w:val="28"/>
          <w:szCs w:val="28"/>
          <w:rtl/>
        </w:rPr>
        <w:t>ٖ</w:t>
      </w:r>
      <w:r w:rsidRPr="0067048A">
        <w:rPr>
          <w:rFonts w:ascii="KFGQPC Uthmanic Script HAFS" w:cs="KFGQPC Uthmanic Script HAFS"/>
          <w:sz w:val="28"/>
          <w:szCs w:val="28"/>
          <w:rtl/>
        </w:rPr>
        <w:t xml:space="preserve"> </w:t>
      </w:r>
      <w:r w:rsidRPr="0067048A">
        <w:rPr>
          <w:rFonts w:ascii="KFGQPC Uthmanic Script HAFS" w:cs="KFGQPC Uthmanic Script HAFS" w:hint="cs"/>
          <w:sz w:val="28"/>
          <w:szCs w:val="28"/>
          <w:rtl/>
        </w:rPr>
        <w:t>٥٧</w:t>
      </w:r>
      <w:r w:rsidRPr="0067048A">
        <w:rPr>
          <w:rFonts w:ascii="KFGQPC Uthmanic Script HAFS" w:cs="KFGQPC Uthmanic Script HAFS"/>
          <w:sz w:val="28"/>
          <w:szCs w:val="28"/>
          <w:rtl/>
        </w:rPr>
        <w:t xml:space="preserve"> </w:t>
      </w:r>
      <w:r w:rsidRPr="0067048A">
        <w:rPr>
          <w:rFonts w:ascii="KFGQPC Uthmanic Script HAFS" w:cs="KFGQPC Uthmanic Script HAFS" w:hint="eastAsia"/>
          <w:sz w:val="28"/>
          <w:szCs w:val="28"/>
          <w:rtl/>
        </w:rPr>
        <w:t>وَكُنُوز</w:t>
      </w:r>
      <w:r w:rsidRPr="0067048A">
        <w:rPr>
          <w:rFonts w:ascii="KFGQPC Uthmanic Script HAFS" w:cs="KFGQPC Uthmanic Script HAFS" w:hint="cs"/>
          <w:sz w:val="28"/>
          <w:szCs w:val="28"/>
          <w:rtl/>
        </w:rPr>
        <w:t>ٖ</w:t>
      </w:r>
      <w:r w:rsidRPr="0067048A">
        <w:rPr>
          <w:rFonts w:ascii="KFGQPC Uthmanic Script HAFS" w:cs="KFGQPC Uthmanic Script HAFS"/>
          <w:sz w:val="28"/>
          <w:szCs w:val="28"/>
          <w:rtl/>
        </w:rPr>
        <w:t xml:space="preserve"> </w:t>
      </w:r>
      <w:r w:rsidRPr="0067048A">
        <w:rPr>
          <w:rFonts w:ascii="KFGQPC Uthmanic Script HAFS" w:cs="KFGQPC Uthmanic Script HAFS" w:hint="eastAsia"/>
          <w:sz w:val="28"/>
          <w:szCs w:val="28"/>
          <w:rtl/>
        </w:rPr>
        <w:t>وَمَقَام</w:t>
      </w:r>
      <w:r w:rsidRPr="0067048A">
        <w:rPr>
          <w:rFonts w:ascii="KFGQPC Uthmanic Script HAFS" w:cs="KFGQPC Uthmanic Script HAFS" w:hint="cs"/>
          <w:sz w:val="28"/>
          <w:szCs w:val="28"/>
          <w:rtl/>
        </w:rPr>
        <w:t>ٖ</w:t>
      </w:r>
      <w:r w:rsidRPr="0067048A">
        <w:rPr>
          <w:rFonts w:ascii="KFGQPC Uthmanic Script HAFS" w:cs="KFGQPC Uthmanic Script HAFS"/>
          <w:sz w:val="28"/>
          <w:szCs w:val="28"/>
          <w:rtl/>
        </w:rPr>
        <w:t xml:space="preserve"> </w:t>
      </w:r>
      <w:r w:rsidRPr="0067048A">
        <w:rPr>
          <w:rFonts w:ascii="KFGQPC Uthmanic Script HAFS" w:cs="KFGQPC Uthmanic Script HAFS" w:hint="eastAsia"/>
          <w:sz w:val="28"/>
          <w:szCs w:val="28"/>
          <w:rtl/>
        </w:rPr>
        <w:t>كَرِيم</w:t>
      </w:r>
      <w:r w:rsidRPr="0067048A">
        <w:rPr>
          <w:rFonts w:ascii="KFGQPC Uthmanic Script HAFS" w:cs="KFGQPC Uthmanic Script HAFS" w:hint="cs"/>
          <w:sz w:val="28"/>
          <w:szCs w:val="28"/>
          <w:rtl/>
        </w:rPr>
        <w:t>ٖ</w:t>
      </w:r>
      <w:r w:rsidRPr="0067048A">
        <w:rPr>
          <w:rFonts w:ascii="KFGQPC Uthmanic Script HAFS" w:cs="KFGQPC Uthmanic Script HAFS"/>
          <w:sz w:val="28"/>
          <w:szCs w:val="28"/>
          <w:rtl/>
        </w:rPr>
        <w:t xml:space="preserve"> </w:t>
      </w:r>
      <w:r w:rsidRPr="0067048A">
        <w:rPr>
          <w:rFonts w:ascii="KFGQPC Uthmanic Script HAFS" w:cs="KFGQPC Uthmanic Script HAFS" w:hint="cs"/>
          <w:sz w:val="28"/>
          <w:szCs w:val="28"/>
          <w:rtl/>
        </w:rPr>
        <w:t>٥٨</w:t>
      </w:r>
      <w:r w:rsidRPr="0067048A">
        <w:rPr>
          <w:rFonts w:ascii="KFGQPC Uthmanic Script HAFS" w:cs="KFGQPC Uthmanic Script HAFS"/>
          <w:sz w:val="28"/>
          <w:szCs w:val="28"/>
          <w:rtl/>
        </w:rPr>
        <w:t xml:space="preserve"> </w:t>
      </w:r>
      <w:r w:rsidRPr="0067048A">
        <w:rPr>
          <w:rFonts w:ascii="KFGQPC Uthmanic Script HAFS" w:cs="KFGQPC Uthmanic Script HAFS" w:hint="eastAsia"/>
          <w:sz w:val="28"/>
          <w:szCs w:val="28"/>
          <w:rtl/>
        </w:rPr>
        <w:t>كَذَ</w:t>
      </w:r>
      <w:r w:rsidRPr="0067048A">
        <w:rPr>
          <w:rFonts w:ascii="KFGQPC Uthmanic Script HAFS" w:cs="KFGQPC Uthmanic Script HAFS" w:hint="cs"/>
          <w:sz w:val="28"/>
          <w:szCs w:val="28"/>
          <w:rtl/>
        </w:rPr>
        <w:t>ٰ</w:t>
      </w:r>
      <w:r w:rsidRPr="0067048A">
        <w:rPr>
          <w:rFonts w:ascii="KFGQPC Uthmanic Script HAFS" w:cs="KFGQPC Uthmanic Script HAFS" w:hint="eastAsia"/>
          <w:sz w:val="28"/>
          <w:szCs w:val="28"/>
          <w:rtl/>
        </w:rPr>
        <w:t>لِكَ</w:t>
      </w:r>
      <w:r w:rsidRPr="0067048A">
        <w:rPr>
          <w:rFonts w:ascii="KFGQPC Uthmanic Script HAFS" w:cs="KFGQPC Uthmanic Script HAFS" w:hint="cs"/>
          <w:sz w:val="28"/>
          <w:szCs w:val="28"/>
          <w:rtl/>
        </w:rPr>
        <w:t>ۖ</w:t>
      </w:r>
      <w:r w:rsidRPr="0067048A">
        <w:rPr>
          <w:rFonts w:ascii="KFGQPC Uthmanic Script HAFS" w:cs="KFGQPC Uthmanic Script HAFS"/>
          <w:sz w:val="28"/>
          <w:szCs w:val="28"/>
          <w:rtl/>
        </w:rPr>
        <w:t xml:space="preserve"> </w:t>
      </w:r>
      <w:r w:rsidRPr="0067048A">
        <w:rPr>
          <w:rFonts w:ascii="KFGQPC Uthmanic Script HAFS" w:cs="KFGQPC Uthmanic Script HAFS" w:hint="eastAsia"/>
          <w:sz w:val="28"/>
          <w:szCs w:val="28"/>
          <w:rtl/>
        </w:rPr>
        <w:t>وَأَو</w:t>
      </w:r>
      <w:r w:rsidRPr="0067048A">
        <w:rPr>
          <w:rFonts w:ascii="KFGQPC Uthmanic Script HAFS" w:cs="KFGQPC Uthmanic Script HAFS" w:hint="cs"/>
          <w:sz w:val="28"/>
          <w:szCs w:val="28"/>
          <w:rtl/>
        </w:rPr>
        <w:t>ۡ</w:t>
      </w:r>
      <w:r w:rsidRPr="0067048A">
        <w:rPr>
          <w:rFonts w:ascii="KFGQPC Uthmanic Script HAFS" w:cs="KFGQPC Uthmanic Script HAFS" w:hint="eastAsia"/>
          <w:sz w:val="28"/>
          <w:szCs w:val="28"/>
          <w:rtl/>
        </w:rPr>
        <w:t>رَث</w:t>
      </w:r>
      <w:r w:rsidRPr="0067048A">
        <w:rPr>
          <w:rFonts w:ascii="KFGQPC Uthmanic Script HAFS" w:cs="KFGQPC Uthmanic Script HAFS" w:hint="cs"/>
          <w:sz w:val="28"/>
          <w:szCs w:val="28"/>
          <w:rtl/>
        </w:rPr>
        <w:t>ۡ</w:t>
      </w:r>
      <w:r w:rsidRPr="0067048A">
        <w:rPr>
          <w:rFonts w:ascii="KFGQPC Uthmanic Script HAFS" w:cs="KFGQPC Uthmanic Script HAFS" w:hint="eastAsia"/>
          <w:sz w:val="28"/>
          <w:szCs w:val="28"/>
          <w:rtl/>
        </w:rPr>
        <w:t>نَ</w:t>
      </w:r>
      <w:r w:rsidRPr="0067048A">
        <w:rPr>
          <w:rFonts w:ascii="KFGQPC Uthmanic Script HAFS" w:cs="KFGQPC Uthmanic Script HAFS" w:hint="cs"/>
          <w:sz w:val="28"/>
          <w:szCs w:val="28"/>
          <w:rtl/>
        </w:rPr>
        <w:t>ٰ</w:t>
      </w:r>
      <w:r w:rsidRPr="0067048A">
        <w:rPr>
          <w:rFonts w:ascii="KFGQPC Uthmanic Script HAFS" w:cs="KFGQPC Uthmanic Script HAFS" w:hint="eastAsia"/>
          <w:sz w:val="28"/>
          <w:szCs w:val="28"/>
          <w:rtl/>
        </w:rPr>
        <w:t>هَا</w:t>
      </w:r>
      <w:r w:rsidRPr="0067048A">
        <w:rPr>
          <w:rFonts w:ascii="KFGQPC Uthmanic Script HAFS" w:cs="KFGQPC Uthmanic Script HAFS"/>
          <w:sz w:val="28"/>
          <w:szCs w:val="28"/>
          <w:rtl/>
        </w:rPr>
        <w:t xml:space="preserve"> </w:t>
      </w:r>
      <w:r w:rsidRPr="0067048A">
        <w:rPr>
          <w:rFonts w:ascii="KFGQPC Uthmanic Script HAFS" w:cs="KFGQPC Uthmanic Script HAFS" w:hint="eastAsia"/>
          <w:sz w:val="28"/>
          <w:szCs w:val="28"/>
          <w:rtl/>
        </w:rPr>
        <w:t>بَنِي</w:t>
      </w:r>
      <w:r w:rsidRPr="0067048A">
        <w:rPr>
          <w:rFonts w:ascii="KFGQPC Uthmanic Script HAFS" w:cs="KFGQPC Uthmanic Script HAFS" w:hint="cs"/>
          <w:sz w:val="28"/>
          <w:szCs w:val="28"/>
          <w:rtl/>
        </w:rPr>
        <w:t>ٓ</w:t>
      </w:r>
      <w:r w:rsidRPr="0067048A">
        <w:rPr>
          <w:rFonts w:ascii="KFGQPC Uthmanic Script HAFS" w:cs="KFGQPC Uthmanic Script HAFS"/>
          <w:sz w:val="28"/>
          <w:szCs w:val="28"/>
          <w:rtl/>
        </w:rPr>
        <w:t xml:space="preserve"> </w:t>
      </w:r>
      <w:r w:rsidRPr="0067048A">
        <w:rPr>
          <w:rFonts w:ascii="KFGQPC Uthmanic Script HAFS" w:cs="KFGQPC Uthmanic Script HAFS" w:hint="eastAsia"/>
          <w:sz w:val="28"/>
          <w:szCs w:val="28"/>
          <w:rtl/>
        </w:rPr>
        <w:t>إِس</w:t>
      </w:r>
      <w:r w:rsidRPr="0067048A">
        <w:rPr>
          <w:rFonts w:ascii="KFGQPC Uthmanic Script HAFS" w:cs="KFGQPC Uthmanic Script HAFS" w:hint="cs"/>
          <w:sz w:val="28"/>
          <w:szCs w:val="28"/>
          <w:rtl/>
        </w:rPr>
        <w:t>ۡ</w:t>
      </w:r>
      <w:r w:rsidRPr="0067048A">
        <w:rPr>
          <w:rFonts w:ascii="KFGQPC Uthmanic Script HAFS" w:cs="KFGQPC Uthmanic Script HAFS" w:hint="eastAsia"/>
          <w:sz w:val="28"/>
          <w:szCs w:val="28"/>
          <w:rtl/>
        </w:rPr>
        <w:t>رَ</w:t>
      </w:r>
      <w:r w:rsidRPr="0067048A">
        <w:rPr>
          <w:rFonts w:ascii="KFGQPC Uthmanic Script HAFS" w:cs="KFGQPC Uthmanic Script HAFS" w:hint="cs"/>
          <w:sz w:val="28"/>
          <w:szCs w:val="28"/>
          <w:rtl/>
        </w:rPr>
        <w:t>ٰٓ</w:t>
      </w:r>
      <w:r w:rsidRPr="0067048A">
        <w:rPr>
          <w:rFonts w:ascii="KFGQPC Uthmanic Script HAFS" w:cs="KFGQPC Uthmanic Script HAFS" w:hint="eastAsia"/>
          <w:sz w:val="28"/>
          <w:szCs w:val="28"/>
          <w:rtl/>
        </w:rPr>
        <w:t>ءِيلَ</w:t>
      </w:r>
      <w:r w:rsidRPr="0067048A">
        <w:rPr>
          <w:rFonts w:ascii="KFGQPC Uthmanic Script HAFS" w:cs="KFGQPC Uthmanic Script HAFS"/>
          <w:sz w:val="28"/>
          <w:szCs w:val="28"/>
          <w:rtl/>
        </w:rPr>
        <w:t xml:space="preserve"> </w:t>
      </w:r>
      <w:r w:rsidRPr="0067048A">
        <w:rPr>
          <w:rFonts w:ascii="KFGQPC Uthmanic Script HAFS" w:cs="KFGQPC Uthmanic Script HAFS" w:hint="cs"/>
          <w:sz w:val="28"/>
          <w:szCs w:val="28"/>
          <w:rtl/>
        </w:rPr>
        <w:t>٥٩</w:t>
      </w:r>
      <w:r w:rsidRPr="00995B26">
        <w:rPr>
          <w:rFonts w:cs="Traditional Arabic" w:hint="cs"/>
          <w:szCs w:val="30"/>
          <w:rtl/>
        </w:rPr>
        <w:t>﴾</w:t>
      </w:r>
      <w:r w:rsidRPr="00495BAB">
        <w:rPr>
          <w:rFonts w:hint="cs"/>
          <w:rtl/>
        </w:rPr>
        <w:t xml:space="preserve"> </w:t>
      </w:r>
      <w:r w:rsidR="00CD31AA" w:rsidRPr="009E1401">
        <w:rPr>
          <w:rStyle w:val="Char2"/>
          <w:rtl/>
        </w:rPr>
        <w:t>[الشعراء</w:t>
      </w:r>
      <w:r w:rsidRPr="009E1401">
        <w:rPr>
          <w:rStyle w:val="Char2"/>
          <w:rFonts w:hint="cs"/>
          <w:rtl/>
        </w:rPr>
        <w:t xml:space="preserve">: </w:t>
      </w:r>
      <w:r w:rsidRPr="009E1401">
        <w:rPr>
          <w:rStyle w:val="Char2"/>
          <w:rtl/>
        </w:rPr>
        <w:t>57-</w:t>
      </w:r>
      <w:r w:rsidR="00CD31AA" w:rsidRPr="009E1401">
        <w:rPr>
          <w:rStyle w:val="Char2"/>
          <w:rtl/>
        </w:rPr>
        <w:t>59]</w:t>
      </w:r>
      <w:r w:rsidR="00CD31AA" w:rsidRPr="00495BAB">
        <w:rPr>
          <w:rFonts w:hint="cs"/>
          <w:rtl/>
        </w:rPr>
        <w:t>.</w:t>
      </w:r>
    </w:p>
    <w:p w:rsidR="00CD31AA" w:rsidRPr="00495BAB" w:rsidRDefault="000775C2" w:rsidP="009E1401">
      <w:pPr>
        <w:pStyle w:val="a0"/>
        <w:ind w:left="284" w:firstLine="0"/>
        <w:rPr>
          <w:rFonts w:hint="cs"/>
          <w:rtl/>
        </w:rPr>
      </w:pPr>
      <w:r w:rsidRPr="00995B26">
        <w:rPr>
          <w:rFonts w:cs="Traditional Arabic" w:hint="cs"/>
          <w:szCs w:val="30"/>
          <w:rtl/>
        </w:rPr>
        <w:t>﴿</w:t>
      </w:r>
      <w:r w:rsidRPr="0067048A">
        <w:rPr>
          <w:rFonts w:ascii="KFGQPC Uthmanic Script HAFS" w:cs="KFGQPC Uthmanic Script HAFS" w:hint="eastAsia"/>
          <w:szCs w:val="28"/>
          <w:rtl/>
          <w:lang w:bidi="fa-IR"/>
        </w:rPr>
        <w:t>كَم</w:t>
      </w:r>
      <w:r w:rsidRPr="0067048A">
        <w:rPr>
          <w:rFonts w:ascii="KFGQPC Uthmanic Script HAFS" w:cs="KFGQPC Uthmanic Script HAFS" w:hint="cs"/>
          <w:szCs w:val="28"/>
          <w:rtl/>
          <w:lang w:bidi="fa-IR"/>
        </w:rPr>
        <w:t>ۡ</w:t>
      </w:r>
      <w:r w:rsidRPr="0067048A">
        <w:rPr>
          <w:rFonts w:ascii="KFGQPC Uthmanic Script HAFS" w:cs="KFGQPC Uthmanic Script HAFS"/>
          <w:szCs w:val="28"/>
          <w:rtl/>
          <w:lang w:bidi="fa-IR"/>
        </w:rPr>
        <w:t xml:space="preserve"> </w:t>
      </w:r>
      <w:r w:rsidRPr="0067048A">
        <w:rPr>
          <w:rFonts w:ascii="KFGQPC Uthmanic Script HAFS" w:cs="KFGQPC Uthmanic Script HAFS" w:hint="eastAsia"/>
          <w:szCs w:val="28"/>
          <w:rtl/>
          <w:lang w:bidi="fa-IR"/>
        </w:rPr>
        <w:t>تَرَكُواْ</w:t>
      </w:r>
      <w:r w:rsidRPr="0067048A">
        <w:rPr>
          <w:rFonts w:ascii="KFGQPC Uthmanic Script HAFS" w:cs="KFGQPC Uthmanic Script HAFS"/>
          <w:szCs w:val="28"/>
          <w:rtl/>
          <w:lang w:bidi="fa-IR"/>
        </w:rPr>
        <w:t xml:space="preserve"> </w:t>
      </w:r>
      <w:r w:rsidRPr="0067048A">
        <w:rPr>
          <w:rFonts w:ascii="KFGQPC Uthmanic Script HAFS" w:cs="KFGQPC Uthmanic Script HAFS" w:hint="eastAsia"/>
          <w:szCs w:val="28"/>
          <w:rtl/>
          <w:lang w:bidi="fa-IR"/>
        </w:rPr>
        <w:t>مِن</w:t>
      </w:r>
      <w:r w:rsidRPr="0067048A">
        <w:rPr>
          <w:rFonts w:ascii="KFGQPC Uthmanic Script HAFS" w:cs="KFGQPC Uthmanic Script HAFS"/>
          <w:szCs w:val="28"/>
          <w:rtl/>
          <w:lang w:bidi="fa-IR"/>
        </w:rPr>
        <w:t xml:space="preserve"> </w:t>
      </w:r>
      <w:r w:rsidRPr="0067048A">
        <w:rPr>
          <w:rFonts w:ascii="KFGQPC Uthmanic Script HAFS" w:cs="KFGQPC Uthmanic Script HAFS" w:hint="eastAsia"/>
          <w:szCs w:val="28"/>
          <w:rtl/>
          <w:lang w:bidi="fa-IR"/>
        </w:rPr>
        <w:t>جَنَّ</w:t>
      </w:r>
      <w:r w:rsidRPr="0067048A">
        <w:rPr>
          <w:rFonts w:ascii="KFGQPC Uthmanic Script HAFS" w:cs="KFGQPC Uthmanic Script HAFS" w:hint="cs"/>
          <w:szCs w:val="28"/>
          <w:rtl/>
          <w:lang w:bidi="fa-IR"/>
        </w:rPr>
        <w:t>ٰ</w:t>
      </w:r>
      <w:r w:rsidRPr="0067048A">
        <w:rPr>
          <w:rFonts w:ascii="KFGQPC Uthmanic Script HAFS" w:cs="KFGQPC Uthmanic Script HAFS" w:hint="eastAsia"/>
          <w:szCs w:val="28"/>
          <w:rtl/>
          <w:lang w:bidi="fa-IR"/>
        </w:rPr>
        <w:t>ت</w:t>
      </w:r>
      <w:r w:rsidRPr="0067048A">
        <w:rPr>
          <w:rFonts w:ascii="KFGQPC Uthmanic Script HAFS" w:cs="KFGQPC Uthmanic Script HAFS" w:hint="cs"/>
          <w:szCs w:val="28"/>
          <w:rtl/>
          <w:lang w:bidi="fa-IR"/>
        </w:rPr>
        <w:t>ٖ</w:t>
      </w:r>
      <w:r w:rsidRPr="0067048A">
        <w:rPr>
          <w:rFonts w:ascii="KFGQPC Uthmanic Script HAFS" w:cs="KFGQPC Uthmanic Script HAFS"/>
          <w:szCs w:val="28"/>
          <w:rtl/>
          <w:lang w:bidi="fa-IR"/>
        </w:rPr>
        <w:t xml:space="preserve"> </w:t>
      </w:r>
      <w:r w:rsidRPr="0067048A">
        <w:rPr>
          <w:rFonts w:ascii="KFGQPC Uthmanic Script HAFS" w:cs="KFGQPC Uthmanic Script HAFS" w:hint="eastAsia"/>
          <w:szCs w:val="28"/>
          <w:rtl/>
          <w:lang w:bidi="fa-IR"/>
        </w:rPr>
        <w:t>وَعُيُون</w:t>
      </w:r>
      <w:r w:rsidRPr="0067048A">
        <w:rPr>
          <w:rFonts w:ascii="KFGQPC Uthmanic Script HAFS" w:cs="KFGQPC Uthmanic Script HAFS" w:hint="cs"/>
          <w:szCs w:val="28"/>
          <w:rtl/>
          <w:lang w:bidi="fa-IR"/>
        </w:rPr>
        <w:t>ٖ</w:t>
      </w:r>
      <w:r w:rsidRPr="0067048A">
        <w:rPr>
          <w:rFonts w:ascii="KFGQPC Uthmanic Script HAFS" w:cs="KFGQPC Uthmanic Script HAFS"/>
          <w:szCs w:val="28"/>
          <w:rtl/>
          <w:lang w:bidi="fa-IR"/>
        </w:rPr>
        <w:t xml:space="preserve"> </w:t>
      </w:r>
      <w:r w:rsidRPr="0067048A">
        <w:rPr>
          <w:rFonts w:ascii="KFGQPC Uthmanic Script HAFS" w:cs="KFGQPC Uthmanic Script HAFS" w:hint="cs"/>
          <w:szCs w:val="28"/>
          <w:rtl/>
          <w:lang w:bidi="fa-IR"/>
        </w:rPr>
        <w:t>٢٥</w:t>
      </w:r>
      <w:r w:rsidRPr="0067048A">
        <w:rPr>
          <w:rFonts w:ascii="KFGQPC Uthmanic Script HAFS" w:cs="KFGQPC Uthmanic Script HAFS"/>
          <w:szCs w:val="28"/>
          <w:rtl/>
          <w:lang w:bidi="fa-IR"/>
        </w:rPr>
        <w:t xml:space="preserve"> </w:t>
      </w:r>
      <w:r w:rsidRPr="0067048A">
        <w:rPr>
          <w:rFonts w:ascii="KFGQPC Uthmanic Script HAFS" w:cs="KFGQPC Uthmanic Script HAFS" w:hint="eastAsia"/>
          <w:szCs w:val="28"/>
          <w:rtl/>
          <w:lang w:bidi="fa-IR"/>
        </w:rPr>
        <w:t>وَزُرُوع</w:t>
      </w:r>
      <w:r w:rsidRPr="0067048A">
        <w:rPr>
          <w:rFonts w:ascii="KFGQPC Uthmanic Script HAFS" w:cs="KFGQPC Uthmanic Script HAFS" w:hint="cs"/>
          <w:szCs w:val="28"/>
          <w:rtl/>
          <w:lang w:bidi="fa-IR"/>
        </w:rPr>
        <w:t>ٖ</w:t>
      </w:r>
      <w:r w:rsidRPr="0067048A">
        <w:rPr>
          <w:rFonts w:ascii="KFGQPC Uthmanic Script HAFS" w:cs="KFGQPC Uthmanic Script HAFS"/>
          <w:szCs w:val="28"/>
          <w:rtl/>
          <w:lang w:bidi="fa-IR"/>
        </w:rPr>
        <w:t xml:space="preserve"> </w:t>
      </w:r>
      <w:r w:rsidRPr="0067048A">
        <w:rPr>
          <w:rFonts w:ascii="KFGQPC Uthmanic Script HAFS" w:cs="KFGQPC Uthmanic Script HAFS" w:hint="eastAsia"/>
          <w:szCs w:val="28"/>
          <w:rtl/>
          <w:lang w:bidi="fa-IR"/>
        </w:rPr>
        <w:t>وَمَقَام</w:t>
      </w:r>
      <w:r w:rsidRPr="0067048A">
        <w:rPr>
          <w:rFonts w:ascii="KFGQPC Uthmanic Script HAFS" w:cs="KFGQPC Uthmanic Script HAFS" w:hint="cs"/>
          <w:szCs w:val="28"/>
          <w:rtl/>
          <w:lang w:bidi="fa-IR"/>
        </w:rPr>
        <w:t>ٖ</w:t>
      </w:r>
      <w:r w:rsidRPr="0067048A">
        <w:rPr>
          <w:rFonts w:ascii="KFGQPC Uthmanic Script HAFS" w:cs="KFGQPC Uthmanic Script HAFS"/>
          <w:szCs w:val="28"/>
          <w:rtl/>
          <w:lang w:bidi="fa-IR"/>
        </w:rPr>
        <w:t xml:space="preserve"> </w:t>
      </w:r>
      <w:r w:rsidRPr="0067048A">
        <w:rPr>
          <w:rFonts w:ascii="KFGQPC Uthmanic Script HAFS" w:cs="KFGQPC Uthmanic Script HAFS" w:hint="eastAsia"/>
          <w:szCs w:val="28"/>
          <w:rtl/>
          <w:lang w:bidi="fa-IR"/>
        </w:rPr>
        <w:t>كَرِيم</w:t>
      </w:r>
      <w:r w:rsidRPr="0067048A">
        <w:rPr>
          <w:rFonts w:ascii="KFGQPC Uthmanic Script HAFS" w:cs="KFGQPC Uthmanic Script HAFS" w:hint="cs"/>
          <w:szCs w:val="28"/>
          <w:rtl/>
          <w:lang w:bidi="fa-IR"/>
        </w:rPr>
        <w:t>ٖ</w:t>
      </w:r>
      <w:r w:rsidRPr="0067048A">
        <w:rPr>
          <w:rFonts w:ascii="KFGQPC Uthmanic Script HAFS" w:cs="KFGQPC Uthmanic Script HAFS"/>
          <w:szCs w:val="28"/>
          <w:rtl/>
          <w:lang w:bidi="fa-IR"/>
        </w:rPr>
        <w:t xml:space="preserve"> </w:t>
      </w:r>
      <w:r w:rsidRPr="0067048A">
        <w:rPr>
          <w:rFonts w:ascii="KFGQPC Uthmanic Script HAFS" w:cs="KFGQPC Uthmanic Script HAFS" w:hint="cs"/>
          <w:szCs w:val="28"/>
          <w:rtl/>
          <w:lang w:bidi="fa-IR"/>
        </w:rPr>
        <w:t>٢٦</w:t>
      </w:r>
      <w:r w:rsidRPr="00995B26">
        <w:rPr>
          <w:rFonts w:cs="Traditional Arabic" w:hint="cs"/>
          <w:rtl/>
          <w:lang w:bidi="fa-IR"/>
        </w:rPr>
        <w:t xml:space="preserve"> </w:t>
      </w:r>
      <w:r w:rsidRPr="0067048A">
        <w:rPr>
          <w:rFonts w:ascii="KFGQPC Uthmanic Script HAFS" w:cs="KFGQPC Uthmanic Script HAFS" w:hint="eastAsia"/>
          <w:szCs w:val="28"/>
          <w:rtl/>
          <w:lang w:bidi="fa-IR"/>
        </w:rPr>
        <w:t>وَنَع</w:t>
      </w:r>
      <w:r w:rsidRPr="0067048A">
        <w:rPr>
          <w:rFonts w:ascii="KFGQPC Uthmanic Script HAFS" w:cs="KFGQPC Uthmanic Script HAFS" w:hint="cs"/>
          <w:szCs w:val="28"/>
          <w:rtl/>
          <w:lang w:bidi="fa-IR"/>
        </w:rPr>
        <w:t>ۡ</w:t>
      </w:r>
      <w:r w:rsidRPr="0067048A">
        <w:rPr>
          <w:rFonts w:ascii="KFGQPC Uthmanic Script HAFS" w:cs="KFGQPC Uthmanic Script HAFS" w:hint="eastAsia"/>
          <w:szCs w:val="28"/>
          <w:rtl/>
          <w:lang w:bidi="fa-IR"/>
        </w:rPr>
        <w:t>مَة</w:t>
      </w:r>
      <w:r w:rsidRPr="0067048A">
        <w:rPr>
          <w:rFonts w:ascii="KFGQPC Uthmanic Script HAFS" w:cs="KFGQPC Uthmanic Script HAFS" w:hint="cs"/>
          <w:szCs w:val="28"/>
          <w:rtl/>
          <w:lang w:bidi="fa-IR"/>
        </w:rPr>
        <w:t>ٖ</w:t>
      </w:r>
      <w:r w:rsidRPr="0067048A">
        <w:rPr>
          <w:rFonts w:ascii="KFGQPC Uthmanic Script HAFS" w:cs="KFGQPC Uthmanic Script HAFS"/>
          <w:szCs w:val="28"/>
          <w:rtl/>
          <w:lang w:bidi="fa-IR"/>
        </w:rPr>
        <w:t xml:space="preserve"> </w:t>
      </w:r>
      <w:r w:rsidRPr="0067048A">
        <w:rPr>
          <w:rFonts w:ascii="KFGQPC Uthmanic Script HAFS" w:cs="KFGQPC Uthmanic Script HAFS" w:hint="eastAsia"/>
          <w:szCs w:val="28"/>
          <w:rtl/>
          <w:lang w:bidi="fa-IR"/>
        </w:rPr>
        <w:t>كَانُواْ</w:t>
      </w:r>
      <w:r w:rsidRPr="0067048A">
        <w:rPr>
          <w:rFonts w:ascii="KFGQPC Uthmanic Script HAFS" w:cs="KFGQPC Uthmanic Script HAFS"/>
          <w:szCs w:val="28"/>
          <w:rtl/>
          <w:lang w:bidi="fa-IR"/>
        </w:rPr>
        <w:t xml:space="preserve"> </w:t>
      </w:r>
      <w:r w:rsidRPr="0067048A">
        <w:rPr>
          <w:rFonts w:ascii="KFGQPC Uthmanic Script HAFS" w:cs="KFGQPC Uthmanic Script HAFS" w:hint="eastAsia"/>
          <w:szCs w:val="28"/>
          <w:rtl/>
          <w:lang w:bidi="fa-IR"/>
        </w:rPr>
        <w:t>فِيهَا</w:t>
      </w:r>
      <w:r w:rsidRPr="0067048A">
        <w:rPr>
          <w:rFonts w:ascii="KFGQPC Uthmanic Script HAFS" w:cs="KFGQPC Uthmanic Script HAFS"/>
          <w:szCs w:val="28"/>
          <w:rtl/>
          <w:lang w:bidi="fa-IR"/>
        </w:rPr>
        <w:t xml:space="preserve"> </w:t>
      </w:r>
      <w:r w:rsidRPr="0067048A">
        <w:rPr>
          <w:rFonts w:ascii="KFGQPC Uthmanic Script HAFS" w:cs="KFGQPC Uthmanic Script HAFS" w:hint="eastAsia"/>
          <w:szCs w:val="28"/>
          <w:rtl/>
          <w:lang w:bidi="fa-IR"/>
        </w:rPr>
        <w:t>فَ</w:t>
      </w:r>
      <w:r w:rsidRPr="0067048A">
        <w:rPr>
          <w:rFonts w:ascii="KFGQPC Uthmanic Script HAFS" w:cs="KFGQPC Uthmanic Script HAFS" w:hint="cs"/>
          <w:szCs w:val="28"/>
          <w:rtl/>
          <w:lang w:bidi="fa-IR"/>
        </w:rPr>
        <w:t>ٰ</w:t>
      </w:r>
      <w:r w:rsidRPr="0067048A">
        <w:rPr>
          <w:rFonts w:ascii="KFGQPC Uthmanic Script HAFS" w:cs="KFGQPC Uthmanic Script HAFS" w:hint="eastAsia"/>
          <w:szCs w:val="28"/>
          <w:rtl/>
          <w:lang w:bidi="fa-IR"/>
        </w:rPr>
        <w:t>كِهِينَ</w:t>
      </w:r>
      <w:r w:rsidRPr="0067048A">
        <w:rPr>
          <w:rFonts w:ascii="KFGQPC Uthmanic Script HAFS" w:cs="KFGQPC Uthmanic Script HAFS"/>
          <w:szCs w:val="28"/>
          <w:rtl/>
          <w:lang w:bidi="fa-IR"/>
        </w:rPr>
        <w:t xml:space="preserve"> </w:t>
      </w:r>
      <w:r w:rsidRPr="0067048A">
        <w:rPr>
          <w:rFonts w:ascii="KFGQPC Uthmanic Script HAFS" w:cs="KFGQPC Uthmanic Script HAFS" w:hint="cs"/>
          <w:szCs w:val="28"/>
          <w:rtl/>
          <w:lang w:bidi="fa-IR"/>
        </w:rPr>
        <w:t>٢٧</w:t>
      </w:r>
      <w:r w:rsidRPr="0067048A">
        <w:rPr>
          <w:rFonts w:ascii="KFGQPC Uthmanic Script HAFS" w:cs="KFGQPC Uthmanic Script HAFS"/>
          <w:szCs w:val="28"/>
          <w:rtl/>
          <w:lang w:bidi="fa-IR"/>
        </w:rPr>
        <w:t xml:space="preserve"> </w:t>
      </w:r>
      <w:r w:rsidRPr="0067048A">
        <w:rPr>
          <w:rFonts w:ascii="KFGQPC Uthmanic Script HAFS" w:cs="KFGQPC Uthmanic Script HAFS" w:hint="eastAsia"/>
          <w:szCs w:val="28"/>
          <w:rtl/>
          <w:lang w:bidi="fa-IR"/>
        </w:rPr>
        <w:t>كَذَ</w:t>
      </w:r>
      <w:r w:rsidRPr="0067048A">
        <w:rPr>
          <w:rFonts w:ascii="KFGQPC Uthmanic Script HAFS" w:cs="KFGQPC Uthmanic Script HAFS" w:hint="cs"/>
          <w:szCs w:val="28"/>
          <w:rtl/>
          <w:lang w:bidi="fa-IR"/>
        </w:rPr>
        <w:t>ٰ</w:t>
      </w:r>
      <w:r w:rsidRPr="0067048A">
        <w:rPr>
          <w:rFonts w:ascii="KFGQPC Uthmanic Script HAFS" w:cs="KFGQPC Uthmanic Script HAFS" w:hint="eastAsia"/>
          <w:szCs w:val="28"/>
          <w:rtl/>
          <w:lang w:bidi="fa-IR"/>
        </w:rPr>
        <w:t>لِكَ</w:t>
      </w:r>
      <w:r w:rsidRPr="0067048A">
        <w:rPr>
          <w:rFonts w:ascii="KFGQPC Uthmanic Script HAFS" w:cs="KFGQPC Uthmanic Script HAFS" w:hint="cs"/>
          <w:szCs w:val="28"/>
          <w:rtl/>
          <w:lang w:bidi="fa-IR"/>
        </w:rPr>
        <w:t>ۖ</w:t>
      </w:r>
      <w:r w:rsidRPr="0067048A">
        <w:rPr>
          <w:rFonts w:ascii="KFGQPC Uthmanic Script HAFS" w:cs="KFGQPC Uthmanic Script HAFS"/>
          <w:szCs w:val="28"/>
          <w:rtl/>
          <w:lang w:bidi="fa-IR"/>
        </w:rPr>
        <w:t xml:space="preserve"> </w:t>
      </w:r>
      <w:r w:rsidRPr="0067048A">
        <w:rPr>
          <w:rFonts w:ascii="KFGQPC Uthmanic Script HAFS" w:cs="KFGQPC Uthmanic Script HAFS" w:hint="eastAsia"/>
          <w:szCs w:val="28"/>
          <w:rtl/>
          <w:lang w:bidi="fa-IR"/>
        </w:rPr>
        <w:t>وَأَو</w:t>
      </w:r>
      <w:r w:rsidRPr="0067048A">
        <w:rPr>
          <w:rFonts w:ascii="KFGQPC Uthmanic Script HAFS" w:cs="KFGQPC Uthmanic Script HAFS" w:hint="cs"/>
          <w:szCs w:val="28"/>
          <w:rtl/>
          <w:lang w:bidi="fa-IR"/>
        </w:rPr>
        <w:t>ۡ</w:t>
      </w:r>
      <w:r w:rsidRPr="0067048A">
        <w:rPr>
          <w:rFonts w:ascii="KFGQPC Uthmanic Script HAFS" w:cs="KFGQPC Uthmanic Script HAFS" w:hint="eastAsia"/>
          <w:szCs w:val="28"/>
          <w:rtl/>
          <w:lang w:bidi="fa-IR"/>
        </w:rPr>
        <w:t>رَث</w:t>
      </w:r>
      <w:r w:rsidRPr="0067048A">
        <w:rPr>
          <w:rFonts w:ascii="KFGQPC Uthmanic Script HAFS" w:cs="KFGQPC Uthmanic Script HAFS" w:hint="cs"/>
          <w:szCs w:val="28"/>
          <w:rtl/>
          <w:lang w:bidi="fa-IR"/>
        </w:rPr>
        <w:t>ۡ</w:t>
      </w:r>
      <w:r w:rsidRPr="0067048A">
        <w:rPr>
          <w:rFonts w:ascii="KFGQPC Uthmanic Script HAFS" w:cs="KFGQPC Uthmanic Script HAFS" w:hint="eastAsia"/>
          <w:szCs w:val="28"/>
          <w:rtl/>
          <w:lang w:bidi="fa-IR"/>
        </w:rPr>
        <w:t>نَ</w:t>
      </w:r>
      <w:r w:rsidRPr="0067048A">
        <w:rPr>
          <w:rFonts w:ascii="KFGQPC Uthmanic Script HAFS" w:cs="KFGQPC Uthmanic Script HAFS" w:hint="cs"/>
          <w:szCs w:val="28"/>
          <w:rtl/>
          <w:lang w:bidi="fa-IR"/>
        </w:rPr>
        <w:t>ٰ</w:t>
      </w:r>
      <w:r w:rsidRPr="0067048A">
        <w:rPr>
          <w:rFonts w:ascii="KFGQPC Uthmanic Script HAFS" w:cs="KFGQPC Uthmanic Script HAFS" w:hint="eastAsia"/>
          <w:szCs w:val="28"/>
          <w:rtl/>
          <w:lang w:bidi="fa-IR"/>
        </w:rPr>
        <w:t>هَا</w:t>
      </w:r>
      <w:r w:rsidRPr="0067048A">
        <w:rPr>
          <w:rFonts w:ascii="KFGQPC Uthmanic Script HAFS" w:cs="KFGQPC Uthmanic Script HAFS"/>
          <w:szCs w:val="28"/>
          <w:rtl/>
          <w:lang w:bidi="fa-IR"/>
        </w:rPr>
        <w:t xml:space="preserve"> </w:t>
      </w:r>
      <w:r w:rsidRPr="0067048A">
        <w:rPr>
          <w:rFonts w:ascii="KFGQPC Uthmanic Script HAFS" w:cs="KFGQPC Uthmanic Script HAFS" w:hint="eastAsia"/>
          <w:szCs w:val="28"/>
          <w:rtl/>
          <w:lang w:bidi="fa-IR"/>
        </w:rPr>
        <w:t>قَو</w:t>
      </w:r>
      <w:r w:rsidRPr="0067048A">
        <w:rPr>
          <w:rFonts w:ascii="KFGQPC Uthmanic Script HAFS" w:cs="KFGQPC Uthmanic Script HAFS" w:hint="cs"/>
          <w:szCs w:val="28"/>
          <w:rtl/>
          <w:lang w:bidi="fa-IR"/>
        </w:rPr>
        <w:t>ۡ</w:t>
      </w:r>
      <w:r w:rsidRPr="0067048A">
        <w:rPr>
          <w:rFonts w:ascii="KFGQPC Uthmanic Script HAFS" w:cs="KFGQPC Uthmanic Script HAFS" w:hint="eastAsia"/>
          <w:szCs w:val="28"/>
          <w:rtl/>
          <w:lang w:bidi="fa-IR"/>
        </w:rPr>
        <w:t>مًا</w:t>
      </w:r>
      <w:r w:rsidRPr="0067048A">
        <w:rPr>
          <w:rFonts w:ascii="KFGQPC Uthmanic Script HAFS" w:cs="KFGQPC Uthmanic Script HAFS"/>
          <w:szCs w:val="28"/>
          <w:rtl/>
          <w:lang w:bidi="fa-IR"/>
        </w:rPr>
        <w:t xml:space="preserve"> </w:t>
      </w:r>
      <w:r w:rsidRPr="0067048A">
        <w:rPr>
          <w:rFonts w:ascii="KFGQPC Uthmanic Script HAFS" w:cs="KFGQPC Uthmanic Script HAFS" w:hint="eastAsia"/>
          <w:szCs w:val="28"/>
          <w:rtl/>
          <w:lang w:bidi="fa-IR"/>
        </w:rPr>
        <w:t>ءَاخَرِينَ</w:t>
      </w:r>
      <w:r w:rsidRPr="0067048A">
        <w:rPr>
          <w:rFonts w:ascii="KFGQPC Uthmanic Script HAFS" w:cs="KFGQPC Uthmanic Script HAFS"/>
          <w:szCs w:val="28"/>
          <w:rtl/>
          <w:lang w:bidi="fa-IR"/>
        </w:rPr>
        <w:t xml:space="preserve"> </w:t>
      </w:r>
      <w:r w:rsidRPr="0067048A">
        <w:rPr>
          <w:rFonts w:ascii="KFGQPC Uthmanic Script HAFS" w:cs="KFGQPC Uthmanic Script HAFS" w:hint="cs"/>
          <w:szCs w:val="28"/>
          <w:rtl/>
          <w:lang w:bidi="fa-IR"/>
        </w:rPr>
        <w:t>٢٨</w:t>
      </w:r>
      <w:r w:rsidRPr="00995B26">
        <w:rPr>
          <w:rFonts w:cs="Traditional Arabic" w:hint="cs"/>
          <w:szCs w:val="30"/>
          <w:rtl/>
        </w:rPr>
        <w:t>﴾</w:t>
      </w:r>
      <w:r w:rsidR="00CD31AA" w:rsidRPr="00495BAB">
        <w:rPr>
          <w:rtl/>
        </w:rPr>
        <w:t xml:space="preserve"> </w:t>
      </w:r>
      <w:r w:rsidR="00CD31AA" w:rsidRPr="009E1401">
        <w:rPr>
          <w:rStyle w:val="Char2"/>
          <w:rtl/>
        </w:rPr>
        <w:t>[الدخان</w:t>
      </w:r>
      <w:r w:rsidRPr="009E1401">
        <w:rPr>
          <w:rStyle w:val="Char2"/>
          <w:rFonts w:hint="cs"/>
          <w:rtl/>
        </w:rPr>
        <w:t xml:space="preserve">: </w:t>
      </w:r>
      <w:r w:rsidRPr="009E1401">
        <w:rPr>
          <w:rStyle w:val="Char2"/>
          <w:rtl/>
        </w:rPr>
        <w:t>25-</w:t>
      </w:r>
      <w:r w:rsidR="00CD31AA" w:rsidRPr="009E1401">
        <w:rPr>
          <w:rStyle w:val="Char2"/>
          <w:rtl/>
        </w:rPr>
        <w:t>28]</w:t>
      </w:r>
      <w:r w:rsidR="00CD31AA" w:rsidRPr="00495BAB">
        <w:rPr>
          <w:rFonts w:hint="cs"/>
          <w:rtl/>
        </w:rPr>
        <w:t>.</w:t>
      </w:r>
    </w:p>
    <w:p w:rsidR="00CD31AA" w:rsidRPr="00495BAB" w:rsidRDefault="00CD31AA" w:rsidP="00495BAB">
      <w:pPr>
        <w:pStyle w:val="a0"/>
        <w:rPr>
          <w:rFonts w:hint="cs"/>
          <w:rtl/>
        </w:rPr>
      </w:pPr>
      <w:r w:rsidRPr="00495BAB">
        <w:rPr>
          <w:rFonts w:hint="cs"/>
          <w:rtl/>
        </w:rPr>
        <w:t xml:space="preserve">فهذه الآيات الكريمة تدل على هذا المعنى. كما أن الله منَّ على هذه الأمَّة مثل تلك المنَّة أيضًا وقال في سورة الأحزاب: </w:t>
      </w:r>
    </w:p>
    <w:p w:rsidR="00CD31AA" w:rsidRPr="00495BAB" w:rsidRDefault="000775C2" w:rsidP="009E1401">
      <w:pPr>
        <w:pStyle w:val="a0"/>
        <w:ind w:left="284" w:firstLine="0"/>
        <w:rPr>
          <w:rFonts w:hint="cs"/>
          <w:rtl/>
        </w:rPr>
      </w:pPr>
      <w:r w:rsidRPr="00995B26">
        <w:rPr>
          <w:rFonts w:cs="Traditional Arabic" w:hint="cs"/>
          <w:szCs w:val="30"/>
          <w:rtl/>
        </w:rPr>
        <w:t>﴿</w:t>
      </w:r>
      <w:r w:rsidRPr="0067048A">
        <w:rPr>
          <w:rFonts w:ascii="KFGQPC Uthmanic Script HAFS" w:cs="KFGQPC Uthmanic Script HAFS" w:hint="eastAsia"/>
          <w:sz w:val="28"/>
          <w:szCs w:val="28"/>
          <w:rtl/>
        </w:rPr>
        <w:t>فَرِيق</w:t>
      </w:r>
      <w:r w:rsidRPr="0067048A">
        <w:rPr>
          <w:rFonts w:ascii="KFGQPC Uthmanic Script HAFS" w:cs="KFGQPC Uthmanic Script HAFS" w:hint="cs"/>
          <w:sz w:val="28"/>
          <w:szCs w:val="28"/>
          <w:rtl/>
        </w:rPr>
        <w:t>ٗ</w:t>
      </w:r>
      <w:r w:rsidRPr="0067048A">
        <w:rPr>
          <w:rFonts w:ascii="KFGQPC Uthmanic Script HAFS" w:cs="KFGQPC Uthmanic Script HAFS" w:hint="eastAsia"/>
          <w:sz w:val="28"/>
          <w:szCs w:val="28"/>
          <w:rtl/>
        </w:rPr>
        <w:t>ا</w:t>
      </w:r>
      <w:r w:rsidRPr="0067048A">
        <w:rPr>
          <w:rFonts w:ascii="KFGQPC Uthmanic Script HAFS" w:cs="KFGQPC Uthmanic Script HAFS"/>
          <w:sz w:val="28"/>
          <w:szCs w:val="28"/>
          <w:rtl/>
        </w:rPr>
        <w:t xml:space="preserve"> </w:t>
      </w:r>
      <w:r w:rsidRPr="0067048A">
        <w:rPr>
          <w:rFonts w:ascii="KFGQPC Uthmanic Script HAFS" w:cs="KFGQPC Uthmanic Script HAFS" w:hint="eastAsia"/>
          <w:sz w:val="28"/>
          <w:szCs w:val="28"/>
          <w:rtl/>
        </w:rPr>
        <w:t>تَق</w:t>
      </w:r>
      <w:r w:rsidRPr="0067048A">
        <w:rPr>
          <w:rFonts w:ascii="KFGQPC Uthmanic Script HAFS" w:cs="KFGQPC Uthmanic Script HAFS" w:hint="cs"/>
          <w:sz w:val="28"/>
          <w:szCs w:val="28"/>
          <w:rtl/>
        </w:rPr>
        <w:t>ۡ</w:t>
      </w:r>
      <w:r w:rsidRPr="0067048A">
        <w:rPr>
          <w:rFonts w:ascii="KFGQPC Uthmanic Script HAFS" w:cs="KFGQPC Uthmanic Script HAFS" w:hint="eastAsia"/>
          <w:sz w:val="28"/>
          <w:szCs w:val="28"/>
          <w:rtl/>
        </w:rPr>
        <w:t>تُلُونَ</w:t>
      </w:r>
      <w:r w:rsidRPr="0067048A">
        <w:rPr>
          <w:rFonts w:ascii="KFGQPC Uthmanic Script HAFS" w:cs="KFGQPC Uthmanic Script HAFS"/>
          <w:sz w:val="28"/>
          <w:szCs w:val="28"/>
          <w:rtl/>
        </w:rPr>
        <w:t xml:space="preserve"> </w:t>
      </w:r>
      <w:r w:rsidRPr="0067048A">
        <w:rPr>
          <w:rFonts w:ascii="KFGQPC Uthmanic Script HAFS" w:cs="KFGQPC Uthmanic Script HAFS" w:hint="eastAsia"/>
          <w:sz w:val="28"/>
          <w:szCs w:val="28"/>
          <w:rtl/>
        </w:rPr>
        <w:t>وَتَأ</w:t>
      </w:r>
      <w:r w:rsidRPr="0067048A">
        <w:rPr>
          <w:rFonts w:ascii="KFGQPC Uthmanic Script HAFS" w:cs="KFGQPC Uthmanic Script HAFS" w:hint="cs"/>
          <w:sz w:val="28"/>
          <w:szCs w:val="28"/>
          <w:rtl/>
        </w:rPr>
        <w:t>ۡ</w:t>
      </w:r>
      <w:r w:rsidRPr="0067048A">
        <w:rPr>
          <w:rFonts w:ascii="KFGQPC Uthmanic Script HAFS" w:cs="KFGQPC Uthmanic Script HAFS" w:hint="eastAsia"/>
          <w:sz w:val="28"/>
          <w:szCs w:val="28"/>
          <w:rtl/>
        </w:rPr>
        <w:t>سِرُونَ</w:t>
      </w:r>
      <w:r w:rsidRPr="0067048A">
        <w:rPr>
          <w:rFonts w:ascii="KFGQPC Uthmanic Script HAFS" w:cs="KFGQPC Uthmanic Script HAFS"/>
          <w:sz w:val="28"/>
          <w:szCs w:val="28"/>
          <w:rtl/>
        </w:rPr>
        <w:t xml:space="preserve"> </w:t>
      </w:r>
      <w:r w:rsidRPr="0067048A">
        <w:rPr>
          <w:rFonts w:ascii="KFGQPC Uthmanic Script HAFS" w:cs="KFGQPC Uthmanic Script HAFS" w:hint="eastAsia"/>
          <w:sz w:val="28"/>
          <w:szCs w:val="28"/>
          <w:rtl/>
        </w:rPr>
        <w:t>فَرِيق</w:t>
      </w:r>
      <w:r w:rsidRPr="0067048A">
        <w:rPr>
          <w:rFonts w:ascii="KFGQPC Uthmanic Script HAFS" w:cs="KFGQPC Uthmanic Script HAFS" w:hint="cs"/>
          <w:sz w:val="28"/>
          <w:szCs w:val="28"/>
          <w:rtl/>
        </w:rPr>
        <w:t>ٗ</w:t>
      </w:r>
      <w:r w:rsidRPr="0067048A">
        <w:rPr>
          <w:rFonts w:ascii="KFGQPC Uthmanic Script HAFS" w:cs="KFGQPC Uthmanic Script HAFS" w:hint="eastAsia"/>
          <w:sz w:val="28"/>
          <w:szCs w:val="28"/>
          <w:rtl/>
        </w:rPr>
        <w:t>ا</w:t>
      </w:r>
      <w:r w:rsidRPr="0067048A">
        <w:rPr>
          <w:rFonts w:ascii="KFGQPC Uthmanic Script HAFS" w:cs="KFGQPC Uthmanic Script HAFS"/>
          <w:sz w:val="28"/>
          <w:szCs w:val="28"/>
          <w:rtl/>
        </w:rPr>
        <w:t xml:space="preserve"> </w:t>
      </w:r>
      <w:r w:rsidRPr="0067048A">
        <w:rPr>
          <w:rFonts w:ascii="KFGQPC Uthmanic Script HAFS" w:cs="KFGQPC Uthmanic Script HAFS" w:hint="cs"/>
          <w:sz w:val="28"/>
          <w:szCs w:val="28"/>
          <w:rtl/>
        </w:rPr>
        <w:t>٢٦</w:t>
      </w:r>
      <w:r w:rsidRPr="0067048A">
        <w:rPr>
          <w:rFonts w:ascii="KFGQPC Uthmanic Script HAFS" w:cs="KFGQPC Uthmanic Script HAFS"/>
          <w:sz w:val="28"/>
          <w:szCs w:val="28"/>
          <w:rtl/>
        </w:rPr>
        <w:t xml:space="preserve"> </w:t>
      </w:r>
      <w:r w:rsidRPr="0067048A">
        <w:rPr>
          <w:rFonts w:ascii="KFGQPC Uthmanic Script HAFS" w:cs="KFGQPC Uthmanic Script HAFS" w:hint="eastAsia"/>
          <w:sz w:val="28"/>
          <w:szCs w:val="28"/>
          <w:rtl/>
        </w:rPr>
        <w:t>وَأَو</w:t>
      </w:r>
      <w:r w:rsidRPr="0067048A">
        <w:rPr>
          <w:rFonts w:ascii="KFGQPC Uthmanic Script HAFS" w:cs="KFGQPC Uthmanic Script HAFS" w:hint="cs"/>
          <w:sz w:val="28"/>
          <w:szCs w:val="28"/>
          <w:rtl/>
        </w:rPr>
        <w:t>ۡ</w:t>
      </w:r>
      <w:r w:rsidRPr="0067048A">
        <w:rPr>
          <w:rFonts w:ascii="KFGQPC Uthmanic Script HAFS" w:cs="KFGQPC Uthmanic Script HAFS" w:hint="eastAsia"/>
          <w:sz w:val="28"/>
          <w:szCs w:val="28"/>
          <w:rtl/>
        </w:rPr>
        <w:t>رَثَكُم</w:t>
      </w:r>
      <w:r w:rsidRPr="0067048A">
        <w:rPr>
          <w:rFonts w:ascii="KFGQPC Uthmanic Script HAFS" w:cs="KFGQPC Uthmanic Script HAFS" w:hint="cs"/>
          <w:sz w:val="28"/>
          <w:szCs w:val="28"/>
          <w:rtl/>
        </w:rPr>
        <w:t>ۡ</w:t>
      </w:r>
      <w:r w:rsidRPr="0067048A">
        <w:rPr>
          <w:rFonts w:ascii="KFGQPC Uthmanic Script HAFS" w:cs="KFGQPC Uthmanic Script HAFS"/>
          <w:sz w:val="28"/>
          <w:szCs w:val="28"/>
          <w:rtl/>
        </w:rPr>
        <w:t xml:space="preserve"> </w:t>
      </w:r>
      <w:r w:rsidRPr="0067048A">
        <w:rPr>
          <w:rFonts w:ascii="KFGQPC Uthmanic Script HAFS" w:cs="KFGQPC Uthmanic Script HAFS" w:hint="eastAsia"/>
          <w:sz w:val="28"/>
          <w:szCs w:val="28"/>
          <w:rtl/>
        </w:rPr>
        <w:t>أَر</w:t>
      </w:r>
      <w:r w:rsidRPr="0067048A">
        <w:rPr>
          <w:rFonts w:ascii="KFGQPC Uthmanic Script HAFS" w:cs="KFGQPC Uthmanic Script HAFS" w:hint="cs"/>
          <w:sz w:val="28"/>
          <w:szCs w:val="28"/>
          <w:rtl/>
        </w:rPr>
        <w:t>ۡ</w:t>
      </w:r>
      <w:r w:rsidRPr="0067048A">
        <w:rPr>
          <w:rFonts w:ascii="KFGQPC Uthmanic Script HAFS" w:cs="KFGQPC Uthmanic Script HAFS" w:hint="eastAsia"/>
          <w:sz w:val="28"/>
          <w:szCs w:val="28"/>
          <w:rtl/>
        </w:rPr>
        <w:t>ضَهُم</w:t>
      </w:r>
      <w:r w:rsidRPr="0067048A">
        <w:rPr>
          <w:rFonts w:ascii="KFGQPC Uthmanic Script HAFS" w:cs="KFGQPC Uthmanic Script HAFS" w:hint="cs"/>
          <w:sz w:val="28"/>
          <w:szCs w:val="28"/>
          <w:rtl/>
        </w:rPr>
        <w:t>ۡ</w:t>
      </w:r>
      <w:r w:rsidRPr="0067048A">
        <w:rPr>
          <w:rFonts w:ascii="KFGQPC Uthmanic Script HAFS" w:cs="KFGQPC Uthmanic Script HAFS"/>
          <w:sz w:val="28"/>
          <w:szCs w:val="28"/>
          <w:rtl/>
        </w:rPr>
        <w:t xml:space="preserve"> </w:t>
      </w:r>
      <w:r w:rsidRPr="0067048A">
        <w:rPr>
          <w:rFonts w:ascii="KFGQPC Uthmanic Script HAFS" w:cs="KFGQPC Uthmanic Script HAFS" w:hint="eastAsia"/>
          <w:sz w:val="28"/>
          <w:szCs w:val="28"/>
          <w:rtl/>
        </w:rPr>
        <w:t>وَدِيَ</w:t>
      </w:r>
      <w:r w:rsidRPr="0067048A">
        <w:rPr>
          <w:rFonts w:ascii="KFGQPC Uthmanic Script HAFS" w:cs="KFGQPC Uthmanic Script HAFS" w:hint="cs"/>
          <w:sz w:val="28"/>
          <w:szCs w:val="28"/>
          <w:rtl/>
        </w:rPr>
        <w:t>ٰ</w:t>
      </w:r>
      <w:r w:rsidRPr="0067048A">
        <w:rPr>
          <w:rFonts w:ascii="KFGQPC Uthmanic Script HAFS" w:cs="KFGQPC Uthmanic Script HAFS" w:hint="eastAsia"/>
          <w:sz w:val="28"/>
          <w:szCs w:val="28"/>
          <w:rtl/>
        </w:rPr>
        <w:t>رَهُم</w:t>
      </w:r>
      <w:r w:rsidRPr="0067048A">
        <w:rPr>
          <w:rFonts w:ascii="KFGQPC Uthmanic Script HAFS" w:cs="KFGQPC Uthmanic Script HAFS" w:hint="cs"/>
          <w:sz w:val="28"/>
          <w:szCs w:val="28"/>
          <w:rtl/>
        </w:rPr>
        <w:t>ۡ</w:t>
      </w:r>
      <w:r w:rsidRPr="0067048A">
        <w:rPr>
          <w:rFonts w:ascii="KFGQPC Uthmanic Script HAFS" w:cs="KFGQPC Uthmanic Script HAFS"/>
          <w:sz w:val="28"/>
          <w:szCs w:val="28"/>
          <w:rtl/>
        </w:rPr>
        <w:t xml:space="preserve"> </w:t>
      </w:r>
      <w:r w:rsidRPr="0067048A">
        <w:rPr>
          <w:rFonts w:ascii="KFGQPC Uthmanic Script HAFS" w:cs="KFGQPC Uthmanic Script HAFS" w:hint="eastAsia"/>
          <w:sz w:val="28"/>
          <w:szCs w:val="28"/>
          <w:rtl/>
        </w:rPr>
        <w:t>وَأَم</w:t>
      </w:r>
      <w:r w:rsidRPr="0067048A">
        <w:rPr>
          <w:rFonts w:ascii="KFGQPC Uthmanic Script HAFS" w:cs="KFGQPC Uthmanic Script HAFS" w:hint="cs"/>
          <w:sz w:val="28"/>
          <w:szCs w:val="28"/>
          <w:rtl/>
        </w:rPr>
        <w:t>ۡ</w:t>
      </w:r>
      <w:r w:rsidRPr="0067048A">
        <w:rPr>
          <w:rFonts w:ascii="KFGQPC Uthmanic Script HAFS" w:cs="KFGQPC Uthmanic Script HAFS" w:hint="eastAsia"/>
          <w:sz w:val="28"/>
          <w:szCs w:val="28"/>
          <w:rtl/>
        </w:rPr>
        <w:t>وَ</w:t>
      </w:r>
      <w:r w:rsidRPr="0067048A">
        <w:rPr>
          <w:rFonts w:ascii="KFGQPC Uthmanic Script HAFS" w:cs="KFGQPC Uthmanic Script HAFS" w:hint="cs"/>
          <w:sz w:val="28"/>
          <w:szCs w:val="28"/>
          <w:rtl/>
        </w:rPr>
        <w:t>ٰ</w:t>
      </w:r>
      <w:r w:rsidRPr="0067048A">
        <w:rPr>
          <w:rFonts w:ascii="KFGQPC Uthmanic Script HAFS" w:cs="KFGQPC Uthmanic Script HAFS" w:hint="eastAsia"/>
          <w:sz w:val="28"/>
          <w:szCs w:val="28"/>
          <w:rtl/>
        </w:rPr>
        <w:t>لَهُم</w:t>
      </w:r>
      <w:r w:rsidRPr="0067048A">
        <w:rPr>
          <w:rFonts w:ascii="KFGQPC Uthmanic Script HAFS" w:cs="KFGQPC Uthmanic Script HAFS" w:hint="cs"/>
          <w:sz w:val="28"/>
          <w:szCs w:val="28"/>
          <w:rtl/>
        </w:rPr>
        <w:t>ۡ</w:t>
      </w:r>
      <w:r w:rsidRPr="0067048A">
        <w:rPr>
          <w:rFonts w:ascii="KFGQPC Uthmanic Script HAFS" w:cs="KFGQPC Uthmanic Script HAFS"/>
          <w:sz w:val="28"/>
          <w:szCs w:val="28"/>
          <w:rtl/>
        </w:rPr>
        <w:t xml:space="preserve"> </w:t>
      </w:r>
      <w:r w:rsidRPr="0067048A">
        <w:rPr>
          <w:rFonts w:ascii="KFGQPC Uthmanic Script HAFS" w:cs="KFGQPC Uthmanic Script HAFS" w:hint="eastAsia"/>
          <w:sz w:val="28"/>
          <w:szCs w:val="28"/>
          <w:rtl/>
        </w:rPr>
        <w:t>وَأَر</w:t>
      </w:r>
      <w:r w:rsidRPr="0067048A">
        <w:rPr>
          <w:rFonts w:ascii="KFGQPC Uthmanic Script HAFS" w:cs="KFGQPC Uthmanic Script HAFS" w:hint="cs"/>
          <w:sz w:val="28"/>
          <w:szCs w:val="28"/>
          <w:rtl/>
        </w:rPr>
        <w:t>ۡ</w:t>
      </w:r>
      <w:r w:rsidRPr="0067048A">
        <w:rPr>
          <w:rFonts w:ascii="KFGQPC Uthmanic Script HAFS" w:cs="KFGQPC Uthmanic Script HAFS" w:hint="eastAsia"/>
          <w:sz w:val="28"/>
          <w:szCs w:val="28"/>
          <w:rtl/>
        </w:rPr>
        <w:t>ض</w:t>
      </w:r>
      <w:r w:rsidRPr="0067048A">
        <w:rPr>
          <w:rFonts w:ascii="KFGQPC Uthmanic Script HAFS" w:cs="KFGQPC Uthmanic Script HAFS" w:hint="cs"/>
          <w:sz w:val="28"/>
          <w:szCs w:val="28"/>
          <w:rtl/>
        </w:rPr>
        <w:t>ٗ</w:t>
      </w:r>
      <w:r w:rsidRPr="0067048A">
        <w:rPr>
          <w:rFonts w:ascii="KFGQPC Uthmanic Script HAFS" w:cs="KFGQPC Uthmanic Script HAFS" w:hint="eastAsia"/>
          <w:sz w:val="28"/>
          <w:szCs w:val="28"/>
          <w:rtl/>
        </w:rPr>
        <w:t>ا</w:t>
      </w:r>
      <w:r w:rsidRPr="0067048A">
        <w:rPr>
          <w:rFonts w:ascii="KFGQPC Uthmanic Script HAFS" w:cs="KFGQPC Uthmanic Script HAFS"/>
          <w:sz w:val="28"/>
          <w:szCs w:val="28"/>
          <w:rtl/>
        </w:rPr>
        <w:t xml:space="preserve"> </w:t>
      </w:r>
      <w:r w:rsidRPr="0067048A">
        <w:rPr>
          <w:rFonts w:ascii="KFGQPC Uthmanic Script HAFS" w:cs="KFGQPC Uthmanic Script HAFS" w:hint="eastAsia"/>
          <w:sz w:val="28"/>
          <w:szCs w:val="28"/>
          <w:rtl/>
        </w:rPr>
        <w:t>لَّم</w:t>
      </w:r>
      <w:r w:rsidRPr="0067048A">
        <w:rPr>
          <w:rFonts w:ascii="KFGQPC Uthmanic Script HAFS" w:cs="KFGQPC Uthmanic Script HAFS" w:hint="cs"/>
          <w:sz w:val="28"/>
          <w:szCs w:val="28"/>
          <w:rtl/>
        </w:rPr>
        <w:t>ۡ</w:t>
      </w:r>
      <w:r w:rsidRPr="0067048A">
        <w:rPr>
          <w:rFonts w:ascii="KFGQPC Uthmanic Script HAFS" w:cs="KFGQPC Uthmanic Script HAFS"/>
          <w:sz w:val="28"/>
          <w:szCs w:val="28"/>
          <w:rtl/>
        </w:rPr>
        <w:t xml:space="preserve"> </w:t>
      </w:r>
      <w:r w:rsidRPr="0067048A">
        <w:rPr>
          <w:rFonts w:ascii="KFGQPC Uthmanic Script HAFS" w:cs="KFGQPC Uthmanic Script HAFS" w:hint="eastAsia"/>
          <w:sz w:val="28"/>
          <w:szCs w:val="28"/>
          <w:rtl/>
        </w:rPr>
        <w:t>تَطَ‍</w:t>
      </w:r>
      <w:r w:rsidRPr="0067048A">
        <w:rPr>
          <w:rFonts w:ascii="KFGQPC Uthmanic Script HAFS" w:cs="KFGQPC Uthmanic Script HAFS" w:hint="cs"/>
          <w:sz w:val="28"/>
          <w:szCs w:val="28"/>
          <w:rtl/>
        </w:rPr>
        <w:t>ٔ</w:t>
      </w:r>
      <w:r w:rsidRPr="0067048A">
        <w:rPr>
          <w:rFonts w:ascii="KFGQPC Uthmanic Script HAFS" w:cs="KFGQPC Uthmanic Script HAFS" w:hint="eastAsia"/>
          <w:sz w:val="28"/>
          <w:szCs w:val="28"/>
          <w:rtl/>
        </w:rPr>
        <w:t>ُوهَا</w:t>
      </w:r>
      <w:r w:rsidRPr="00995B26">
        <w:rPr>
          <w:rFonts w:ascii="KFGQPC Uthmanic Script HAFS" w:cs="Times New Roman" w:hint="cs"/>
          <w:sz w:val="28"/>
          <w:rtl/>
        </w:rPr>
        <w:t>...</w:t>
      </w:r>
      <w:r w:rsidRPr="00995B26">
        <w:rPr>
          <w:rFonts w:cs="Traditional Arabic" w:hint="cs"/>
          <w:szCs w:val="30"/>
          <w:rtl/>
        </w:rPr>
        <w:t>﴾</w:t>
      </w:r>
      <w:r w:rsidRPr="00495BAB">
        <w:rPr>
          <w:rFonts w:hint="cs"/>
          <w:rtl/>
        </w:rPr>
        <w:t xml:space="preserve"> </w:t>
      </w:r>
      <w:r w:rsidR="00CD31AA" w:rsidRPr="009E1401">
        <w:rPr>
          <w:rStyle w:val="Char2"/>
          <w:rtl/>
        </w:rPr>
        <w:t>[الأحزاب</w:t>
      </w:r>
      <w:r w:rsidRPr="009E1401">
        <w:rPr>
          <w:rStyle w:val="Char2"/>
          <w:rFonts w:hint="cs"/>
          <w:rtl/>
        </w:rPr>
        <w:t xml:space="preserve">: </w:t>
      </w:r>
      <w:r w:rsidR="00CD31AA" w:rsidRPr="009E1401">
        <w:rPr>
          <w:rStyle w:val="Char2"/>
          <w:rtl/>
        </w:rPr>
        <w:t xml:space="preserve"> 26</w:t>
      </w:r>
      <w:r w:rsidRPr="009E1401">
        <w:rPr>
          <w:rStyle w:val="Char2"/>
          <w:rFonts w:hint="cs"/>
          <w:rtl/>
        </w:rPr>
        <w:t>-</w:t>
      </w:r>
      <w:r w:rsidR="00CD31AA" w:rsidRPr="009E1401">
        <w:rPr>
          <w:rStyle w:val="Char2"/>
          <w:rtl/>
        </w:rPr>
        <w:t>27]</w:t>
      </w:r>
      <w:r w:rsidR="00CD31AA" w:rsidRPr="00495BAB">
        <w:rPr>
          <w:rFonts w:hint="cs"/>
          <w:rtl/>
        </w:rPr>
        <w:t>.</w:t>
      </w:r>
    </w:p>
    <w:p w:rsidR="00CD31AA" w:rsidRPr="00495BAB" w:rsidRDefault="00CD31AA" w:rsidP="00495BAB">
      <w:pPr>
        <w:pStyle w:val="a0"/>
        <w:rPr>
          <w:rFonts w:hint="cs"/>
          <w:rtl/>
        </w:rPr>
      </w:pPr>
      <w:r w:rsidRPr="00495BAB">
        <w:rPr>
          <w:rFonts w:hint="cs"/>
          <w:rtl/>
        </w:rPr>
        <w:t xml:space="preserve">كما أن دين الإسلام الذي نبيه محمد بن عبد الله </w:t>
      </w:r>
      <w:r w:rsidRPr="00495BAB">
        <w:rPr>
          <w:rFonts w:ascii="Abo-thar" w:hAnsi="Abo-thar"/>
          <w:sz w:val="28"/>
          <w:lang w:bidi="fa-IR"/>
        </w:rPr>
        <w:t></w:t>
      </w:r>
      <w:r w:rsidRPr="00495BAB">
        <w:rPr>
          <w:rFonts w:hint="cs"/>
          <w:rtl/>
        </w:rPr>
        <w:t xml:space="preserve"> هو دين إبراهيم وموسى وعيسى وجميع أنبياء الله ورُسُله </w:t>
      </w:r>
      <w:r w:rsidR="00963EFD" w:rsidRPr="00963EFD">
        <w:rPr>
          <w:rFonts w:cs="CTraditional Arabic" w:hint="cs"/>
          <w:rtl/>
        </w:rPr>
        <w:t>‡</w:t>
      </w:r>
      <w:r w:rsidRPr="00495BAB">
        <w:rPr>
          <w:rFonts w:hint="cs"/>
          <w:rtl/>
        </w:rPr>
        <w:t xml:space="preserve">. وليس هناك شيء كان حرامًا في أديان الأنبياء السابقين، ثم أصبح حلالاً في هذا الدين، أو كان حلالاً في أديان الأنبياء السابقين، ثم أصبح حرامًا في هذا الدين. وإن كانت بعض الطيبات قد حُرِّمَت على اليهود، كتحريم كل ذي ظفر وشحوم البقر والغنم.....، فأولاً: هذا التحريم على اليهود قام به في البداية المبتدعون ولم يحصل بوحي الأنبياء. ثانيًا: تلك التحريمات كان سببها ظلم اليهود وكانت عقابًا لهم، كما قال تعالى: </w:t>
      </w:r>
    </w:p>
    <w:p w:rsidR="00CD31AA" w:rsidRPr="00495BAB" w:rsidRDefault="000775C2" w:rsidP="009E1401">
      <w:pPr>
        <w:pStyle w:val="a0"/>
        <w:ind w:left="284" w:firstLine="0"/>
        <w:rPr>
          <w:rtl/>
        </w:rPr>
      </w:pPr>
      <w:r w:rsidRPr="00995B26">
        <w:rPr>
          <w:rFonts w:cs="Traditional Arabic" w:hint="cs"/>
          <w:szCs w:val="30"/>
          <w:rtl/>
        </w:rPr>
        <w:t>﴿</w:t>
      </w:r>
      <w:r w:rsidRPr="0067048A">
        <w:rPr>
          <w:rFonts w:ascii="KFGQPC Uthmanic Script HAFS" w:cs="KFGQPC Uthmanic Script HAFS" w:hint="eastAsia"/>
          <w:sz w:val="28"/>
          <w:szCs w:val="28"/>
          <w:rtl/>
        </w:rPr>
        <w:t>فَبِظُل</w:t>
      </w:r>
      <w:r w:rsidRPr="0067048A">
        <w:rPr>
          <w:rFonts w:ascii="KFGQPC Uthmanic Script HAFS" w:cs="KFGQPC Uthmanic Script HAFS" w:hint="cs"/>
          <w:sz w:val="28"/>
          <w:szCs w:val="28"/>
          <w:rtl/>
        </w:rPr>
        <w:t>ۡ</w:t>
      </w:r>
      <w:r w:rsidRPr="0067048A">
        <w:rPr>
          <w:rFonts w:ascii="KFGQPC Uthmanic Script HAFS" w:cs="KFGQPC Uthmanic Script HAFS" w:hint="eastAsia"/>
          <w:sz w:val="28"/>
          <w:szCs w:val="28"/>
          <w:rtl/>
        </w:rPr>
        <w:t>م</w:t>
      </w:r>
      <w:r w:rsidRPr="0067048A">
        <w:rPr>
          <w:rFonts w:ascii="KFGQPC Uthmanic Script HAFS" w:cs="KFGQPC Uthmanic Script HAFS" w:hint="cs"/>
          <w:sz w:val="28"/>
          <w:szCs w:val="28"/>
          <w:rtl/>
        </w:rPr>
        <w:t>ٖ</w:t>
      </w:r>
      <w:r w:rsidRPr="0067048A">
        <w:rPr>
          <w:rFonts w:ascii="KFGQPC Uthmanic Script HAFS" w:cs="KFGQPC Uthmanic Script HAFS"/>
          <w:sz w:val="28"/>
          <w:szCs w:val="28"/>
          <w:rtl/>
        </w:rPr>
        <w:t xml:space="preserve"> </w:t>
      </w:r>
      <w:r w:rsidRPr="0067048A">
        <w:rPr>
          <w:rFonts w:ascii="KFGQPC Uthmanic Script HAFS" w:cs="KFGQPC Uthmanic Script HAFS" w:hint="eastAsia"/>
          <w:sz w:val="28"/>
          <w:szCs w:val="28"/>
          <w:rtl/>
        </w:rPr>
        <w:t>مِّنَ</w:t>
      </w:r>
      <w:r w:rsidRPr="0067048A">
        <w:rPr>
          <w:rFonts w:ascii="KFGQPC Uthmanic Script HAFS" w:cs="KFGQPC Uthmanic Script HAFS"/>
          <w:sz w:val="28"/>
          <w:szCs w:val="28"/>
          <w:rtl/>
        </w:rPr>
        <w:t xml:space="preserve"> </w:t>
      </w:r>
      <w:r w:rsidRPr="0067048A">
        <w:rPr>
          <w:rFonts w:ascii="KFGQPC Uthmanic Script HAFS" w:cs="KFGQPC Uthmanic Script HAFS" w:hint="cs"/>
          <w:sz w:val="28"/>
          <w:szCs w:val="28"/>
          <w:rtl/>
        </w:rPr>
        <w:t>ٱ</w:t>
      </w:r>
      <w:r w:rsidRPr="0067048A">
        <w:rPr>
          <w:rFonts w:ascii="KFGQPC Uthmanic Script HAFS" w:cs="KFGQPC Uthmanic Script HAFS" w:hint="eastAsia"/>
          <w:sz w:val="28"/>
          <w:szCs w:val="28"/>
          <w:rtl/>
        </w:rPr>
        <w:t>لَّذِينَ</w:t>
      </w:r>
      <w:r w:rsidRPr="0067048A">
        <w:rPr>
          <w:rFonts w:ascii="KFGQPC Uthmanic Script HAFS" w:cs="KFGQPC Uthmanic Script HAFS"/>
          <w:sz w:val="28"/>
          <w:szCs w:val="28"/>
          <w:rtl/>
        </w:rPr>
        <w:t xml:space="preserve"> </w:t>
      </w:r>
      <w:r w:rsidRPr="0067048A">
        <w:rPr>
          <w:rFonts w:ascii="KFGQPC Uthmanic Script HAFS" w:cs="KFGQPC Uthmanic Script HAFS" w:hint="eastAsia"/>
          <w:sz w:val="28"/>
          <w:szCs w:val="28"/>
          <w:rtl/>
        </w:rPr>
        <w:t>هَادُواْ</w:t>
      </w:r>
      <w:r w:rsidRPr="0067048A">
        <w:rPr>
          <w:rFonts w:ascii="KFGQPC Uthmanic Script HAFS" w:cs="KFGQPC Uthmanic Script HAFS"/>
          <w:sz w:val="28"/>
          <w:szCs w:val="28"/>
          <w:rtl/>
        </w:rPr>
        <w:t xml:space="preserve"> </w:t>
      </w:r>
      <w:r w:rsidRPr="0067048A">
        <w:rPr>
          <w:rFonts w:ascii="KFGQPC Uthmanic Script HAFS" w:cs="KFGQPC Uthmanic Script HAFS" w:hint="eastAsia"/>
          <w:sz w:val="28"/>
          <w:szCs w:val="28"/>
          <w:rtl/>
        </w:rPr>
        <w:t>حَرَّم</w:t>
      </w:r>
      <w:r w:rsidRPr="0067048A">
        <w:rPr>
          <w:rFonts w:ascii="KFGQPC Uthmanic Script HAFS" w:cs="KFGQPC Uthmanic Script HAFS" w:hint="cs"/>
          <w:sz w:val="28"/>
          <w:szCs w:val="28"/>
          <w:rtl/>
        </w:rPr>
        <w:t>ۡ</w:t>
      </w:r>
      <w:r w:rsidRPr="0067048A">
        <w:rPr>
          <w:rFonts w:ascii="KFGQPC Uthmanic Script HAFS" w:cs="KFGQPC Uthmanic Script HAFS" w:hint="eastAsia"/>
          <w:sz w:val="28"/>
          <w:szCs w:val="28"/>
          <w:rtl/>
        </w:rPr>
        <w:t>نَا</w:t>
      </w:r>
      <w:r w:rsidRPr="0067048A">
        <w:rPr>
          <w:rFonts w:ascii="KFGQPC Uthmanic Script HAFS" w:cs="KFGQPC Uthmanic Script HAFS"/>
          <w:sz w:val="28"/>
          <w:szCs w:val="28"/>
          <w:rtl/>
        </w:rPr>
        <w:t xml:space="preserve"> </w:t>
      </w:r>
      <w:r w:rsidRPr="0067048A">
        <w:rPr>
          <w:rFonts w:ascii="KFGQPC Uthmanic Script HAFS" w:cs="KFGQPC Uthmanic Script HAFS" w:hint="eastAsia"/>
          <w:sz w:val="28"/>
          <w:szCs w:val="28"/>
          <w:rtl/>
        </w:rPr>
        <w:t>عَلَي</w:t>
      </w:r>
      <w:r w:rsidRPr="0067048A">
        <w:rPr>
          <w:rFonts w:ascii="KFGQPC Uthmanic Script HAFS" w:cs="KFGQPC Uthmanic Script HAFS" w:hint="cs"/>
          <w:sz w:val="28"/>
          <w:szCs w:val="28"/>
          <w:rtl/>
        </w:rPr>
        <w:t>ۡ</w:t>
      </w:r>
      <w:r w:rsidRPr="0067048A">
        <w:rPr>
          <w:rFonts w:ascii="KFGQPC Uthmanic Script HAFS" w:cs="KFGQPC Uthmanic Script HAFS" w:hint="eastAsia"/>
          <w:sz w:val="28"/>
          <w:szCs w:val="28"/>
          <w:rtl/>
        </w:rPr>
        <w:t>هِم</w:t>
      </w:r>
      <w:r w:rsidRPr="0067048A">
        <w:rPr>
          <w:rFonts w:ascii="KFGQPC Uthmanic Script HAFS" w:cs="KFGQPC Uthmanic Script HAFS" w:hint="cs"/>
          <w:sz w:val="28"/>
          <w:szCs w:val="28"/>
          <w:rtl/>
        </w:rPr>
        <w:t>ۡ</w:t>
      </w:r>
      <w:r w:rsidRPr="0067048A">
        <w:rPr>
          <w:rFonts w:ascii="KFGQPC Uthmanic Script HAFS" w:cs="KFGQPC Uthmanic Script HAFS"/>
          <w:sz w:val="28"/>
          <w:szCs w:val="28"/>
          <w:rtl/>
        </w:rPr>
        <w:t xml:space="preserve"> </w:t>
      </w:r>
      <w:r w:rsidRPr="0067048A">
        <w:rPr>
          <w:rFonts w:ascii="KFGQPC Uthmanic Script HAFS" w:cs="KFGQPC Uthmanic Script HAFS" w:hint="eastAsia"/>
          <w:sz w:val="28"/>
          <w:szCs w:val="28"/>
          <w:rtl/>
        </w:rPr>
        <w:t>طَيِّبَ</w:t>
      </w:r>
      <w:r w:rsidRPr="0067048A">
        <w:rPr>
          <w:rFonts w:ascii="KFGQPC Uthmanic Script HAFS" w:cs="KFGQPC Uthmanic Script HAFS" w:hint="cs"/>
          <w:sz w:val="28"/>
          <w:szCs w:val="28"/>
          <w:rtl/>
        </w:rPr>
        <w:t>ٰ</w:t>
      </w:r>
      <w:r w:rsidRPr="0067048A">
        <w:rPr>
          <w:rFonts w:ascii="KFGQPC Uthmanic Script HAFS" w:cs="KFGQPC Uthmanic Script HAFS" w:hint="eastAsia"/>
          <w:sz w:val="28"/>
          <w:szCs w:val="28"/>
          <w:rtl/>
        </w:rPr>
        <w:t>تٍ</w:t>
      </w:r>
      <w:r w:rsidRPr="0067048A">
        <w:rPr>
          <w:rFonts w:ascii="KFGQPC Uthmanic Script HAFS" w:cs="KFGQPC Uthmanic Script HAFS"/>
          <w:sz w:val="28"/>
          <w:szCs w:val="28"/>
          <w:rtl/>
        </w:rPr>
        <w:t xml:space="preserve"> </w:t>
      </w:r>
      <w:r w:rsidRPr="0067048A">
        <w:rPr>
          <w:rFonts w:ascii="KFGQPC Uthmanic Script HAFS" w:cs="KFGQPC Uthmanic Script HAFS" w:hint="eastAsia"/>
          <w:sz w:val="28"/>
          <w:szCs w:val="28"/>
          <w:rtl/>
        </w:rPr>
        <w:t>أُحِلَّت</w:t>
      </w:r>
      <w:r w:rsidRPr="0067048A">
        <w:rPr>
          <w:rFonts w:ascii="KFGQPC Uthmanic Script HAFS" w:cs="KFGQPC Uthmanic Script HAFS" w:hint="cs"/>
          <w:sz w:val="28"/>
          <w:szCs w:val="28"/>
          <w:rtl/>
        </w:rPr>
        <w:t>ۡ</w:t>
      </w:r>
      <w:r w:rsidRPr="0067048A">
        <w:rPr>
          <w:rFonts w:ascii="KFGQPC Uthmanic Script HAFS" w:cs="KFGQPC Uthmanic Script HAFS"/>
          <w:sz w:val="28"/>
          <w:szCs w:val="28"/>
          <w:rtl/>
        </w:rPr>
        <w:t xml:space="preserve"> </w:t>
      </w:r>
      <w:r w:rsidRPr="0067048A">
        <w:rPr>
          <w:rFonts w:ascii="KFGQPC Uthmanic Script HAFS" w:cs="KFGQPC Uthmanic Script HAFS" w:hint="eastAsia"/>
          <w:sz w:val="28"/>
          <w:szCs w:val="28"/>
          <w:rtl/>
        </w:rPr>
        <w:t>لَهُم</w:t>
      </w:r>
      <w:r w:rsidRPr="0067048A">
        <w:rPr>
          <w:rFonts w:ascii="KFGQPC Uthmanic Script HAFS" w:cs="KFGQPC Uthmanic Script HAFS" w:hint="cs"/>
          <w:sz w:val="28"/>
          <w:szCs w:val="28"/>
          <w:rtl/>
        </w:rPr>
        <w:t>ۡ</w:t>
      </w:r>
      <w:r w:rsidRPr="0067048A">
        <w:rPr>
          <w:rFonts w:ascii="KFGQPC Uthmanic Script HAFS" w:cs="KFGQPC Uthmanic Script HAFS"/>
          <w:sz w:val="28"/>
          <w:szCs w:val="28"/>
          <w:rtl/>
        </w:rPr>
        <w:t xml:space="preserve"> </w:t>
      </w:r>
      <w:r w:rsidRPr="0067048A">
        <w:rPr>
          <w:rFonts w:ascii="KFGQPC Uthmanic Script HAFS" w:cs="KFGQPC Uthmanic Script HAFS" w:hint="eastAsia"/>
          <w:sz w:val="28"/>
          <w:szCs w:val="28"/>
          <w:rtl/>
        </w:rPr>
        <w:t>وَبِصَدِّهِم</w:t>
      </w:r>
      <w:r w:rsidRPr="0067048A">
        <w:rPr>
          <w:rFonts w:ascii="KFGQPC Uthmanic Script HAFS" w:cs="KFGQPC Uthmanic Script HAFS" w:hint="cs"/>
          <w:sz w:val="28"/>
          <w:szCs w:val="28"/>
          <w:rtl/>
        </w:rPr>
        <w:t>ۡ</w:t>
      </w:r>
      <w:r w:rsidRPr="0067048A">
        <w:rPr>
          <w:rFonts w:ascii="KFGQPC Uthmanic Script HAFS" w:cs="KFGQPC Uthmanic Script HAFS"/>
          <w:sz w:val="28"/>
          <w:szCs w:val="28"/>
          <w:rtl/>
        </w:rPr>
        <w:t xml:space="preserve"> </w:t>
      </w:r>
      <w:r w:rsidRPr="0067048A">
        <w:rPr>
          <w:rFonts w:ascii="KFGQPC Uthmanic Script HAFS" w:cs="KFGQPC Uthmanic Script HAFS" w:hint="eastAsia"/>
          <w:sz w:val="28"/>
          <w:szCs w:val="28"/>
          <w:rtl/>
        </w:rPr>
        <w:t>عَن</w:t>
      </w:r>
      <w:r w:rsidRPr="0067048A">
        <w:rPr>
          <w:rFonts w:ascii="KFGQPC Uthmanic Script HAFS" w:cs="KFGQPC Uthmanic Script HAFS"/>
          <w:sz w:val="28"/>
          <w:szCs w:val="28"/>
          <w:rtl/>
        </w:rPr>
        <w:t xml:space="preserve"> </w:t>
      </w:r>
      <w:r w:rsidRPr="0067048A">
        <w:rPr>
          <w:rFonts w:ascii="KFGQPC Uthmanic Script HAFS" w:cs="KFGQPC Uthmanic Script HAFS" w:hint="eastAsia"/>
          <w:sz w:val="28"/>
          <w:szCs w:val="28"/>
          <w:rtl/>
        </w:rPr>
        <w:t>سَبِيلِ</w:t>
      </w:r>
      <w:r w:rsidRPr="0067048A">
        <w:rPr>
          <w:rFonts w:ascii="KFGQPC Uthmanic Script HAFS" w:cs="KFGQPC Uthmanic Script HAFS"/>
          <w:sz w:val="28"/>
          <w:szCs w:val="28"/>
          <w:rtl/>
        </w:rPr>
        <w:t xml:space="preserve"> </w:t>
      </w:r>
      <w:r w:rsidRPr="0067048A">
        <w:rPr>
          <w:rFonts w:ascii="KFGQPC Uthmanic Script HAFS" w:cs="KFGQPC Uthmanic Script HAFS" w:hint="cs"/>
          <w:sz w:val="28"/>
          <w:szCs w:val="28"/>
          <w:rtl/>
        </w:rPr>
        <w:t>ٱ</w:t>
      </w:r>
      <w:r w:rsidRPr="0067048A">
        <w:rPr>
          <w:rFonts w:ascii="KFGQPC Uthmanic Script HAFS" w:cs="KFGQPC Uthmanic Script HAFS" w:hint="eastAsia"/>
          <w:sz w:val="28"/>
          <w:szCs w:val="28"/>
          <w:rtl/>
        </w:rPr>
        <w:t>للَّهِ</w:t>
      </w:r>
      <w:r w:rsidRPr="0067048A">
        <w:rPr>
          <w:rFonts w:ascii="KFGQPC Uthmanic Script HAFS" w:cs="KFGQPC Uthmanic Script HAFS"/>
          <w:sz w:val="28"/>
          <w:szCs w:val="28"/>
          <w:rtl/>
        </w:rPr>
        <w:t xml:space="preserve"> </w:t>
      </w:r>
      <w:r w:rsidRPr="0067048A">
        <w:rPr>
          <w:rFonts w:ascii="KFGQPC Uthmanic Script HAFS" w:cs="KFGQPC Uthmanic Script HAFS" w:hint="eastAsia"/>
          <w:sz w:val="28"/>
          <w:szCs w:val="28"/>
          <w:rtl/>
        </w:rPr>
        <w:t>كَثِير</w:t>
      </w:r>
      <w:r w:rsidRPr="0067048A">
        <w:rPr>
          <w:rFonts w:ascii="KFGQPC Uthmanic Script HAFS" w:cs="KFGQPC Uthmanic Script HAFS" w:hint="cs"/>
          <w:sz w:val="28"/>
          <w:szCs w:val="28"/>
          <w:rtl/>
        </w:rPr>
        <w:t>ٗ</w:t>
      </w:r>
      <w:r w:rsidRPr="0067048A">
        <w:rPr>
          <w:rFonts w:ascii="KFGQPC Uthmanic Script HAFS" w:cs="KFGQPC Uthmanic Script HAFS" w:hint="eastAsia"/>
          <w:sz w:val="28"/>
          <w:szCs w:val="28"/>
          <w:rtl/>
        </w:rPr>
        <w:t>ا</w:t>
      </w:r>
      <w:r w:rsidRPr="0067048A">
        <w:rPr>
          <w:rFonts w:ascii="KFGQPC Uthmanic Script HAFS" w:cs="KFGQPC Uthmanic Script HAFS"/>
          <w:sz w:val="28"/>
          <w:szCs w:val="28"/>
          <w:rtl/>
        </w:rPr>
        <w:t xml:space="preserve"> </w:t>
      </w:r>
      <w:r w:rsidRPr="0067048A">
        <w:rPr>
          <w:rFonts w:ascii="KFGQPC Uthmanic Script HAFS" w:cs="KFGQPC Uthmanic Script HAFS" w:hint="cs"/>
          <w:sz w:val="28"/>
          <w:szCs w:val="28"/>
          <w:rtl/>
        </w:rPr>
        <w:t>١٦٠</w:t>
      </w:r>
      <w:r w:rsidRPr="00995B26">
        <w:rPr>
          <w:rFonts w:cs="Traditional Arabic" w:hint="cs"/>
          <w:szCs w:val="30"/>
          <w:rtl/>
        </w:rPr>
        <w:t>﴾</w:t>
      </w:r>
      <w:r w:rsidR="00CD31AA" w:rsidRPr="00495BAB">
        <w:rPr>
          <w:rtl/>
        </w:rPr>
        <w:t xml:space="preserve"> </w:t>
      </w:r>
      <w:r w:rsidR="00CD31AA" w:rsidRPr="009E1401">
        <w:rPr>
          <w:rStyle w:val="Char2"/>
          <w:rtl/>
        </w:rPr>
        <w:t>[النساء</w:t>
      </w:r>
      <w:r w:rsidRPr="009E1401">
        <w:rPr>
          <w:rStyle w:val="Char2"/>
          <w:rFonts w:hint="cs"/>
          <w:rtl/>
        </w:rPr>
        <w:t xml:space="preserve">: </w:t>
      </w:r>
      <w:r w:rsidR="00CD31AA" w:rsidRPr="009E1401">
        <w:rPr>
          <w:rStyle w:val="Char2"/>
          <w:rtl/>
        </w:rPr>
        <w:t>160]</w:t>
      </w:r>
    </w:p>
    <w:p w:rsidR="00CD31AA" w:rsidRPr="00495BAB" w:rsidRDefault="00CD31AA" w:rsidP="00495BAB">
      <w:pPr>
        <w:pStyle w:val="a0"/>
        <w:rPr>
          <w:rFonts w:hint="cs"/>
          <w:rtl/>
        </w:rPr>
      </w:pPr>
      <w:r w:rsidRPr="00495BAB">
        <w:rPr>
          <w:rFonts w:hint="cs"/>
          <w:rtl/>
        </w:rPr>
        <w:t xml:space="preserve">فما علاقة هذا بأنبياء الله الذين كانوا دائمًا موضعًا لرحمة الله وعنايته؟! </w:t>
      </w:r>
    </w:p>
    <w:p w:rsidR="00CD31AA" w:rsidRPr="00995B26" w:rsidRDefault="00CD31AA" w:rsidP="00495BAB">
      <w:pPr>
        <w:pStyle w:val="a0"/>
        <w:rPr>
          <w:rtl/>
        </w:rPr>
      </w:pPr>
      <w:r w:rsidRPr="00495BAB">
        <w:rPr>
          <w:rFonts w:hint="cs"/>
          <w:rtl/>
        </w:rPr>
        <w:t xml:space="preserve">لقد أُمِر نبيُّ الإسلام باتِّباع الأحكام التي أُنزلت على الأنبياء الماضين، كما جاء في سورة النحل بعد قوله تعالى في الآية 112 منها عن إبراهيم </w:t>
      </w:r>
      <w:r w:rsidR="00451CED" w:rsidRPr="00451CED">
        <w:rPr>
          <w:rFonts w:ascii="Abo-thar" w:hAnsi="Abo-thar" w:cs="CTraditional Arabic"/>
          <w:sz w:val="28"/>
          <w:rtl/>
          <w:lang w:bidi="ar-SY"/>
        </w:rPr>
        <w:t>÷</w:t>
      </w:r>
      <w:r w:rsidRPr="00495BAB">
        <w:rPr>
          <w:rFonts w:hint="cs"/>
          <w:rtl/>
        </w:rPr>
        <w:t>:</w:t>
      </w:r>
      <w:r w:rsidR="000775C2" w:rsidRPr="00495BAB">
        <w:rPr>
          <w:rFonts w:hint="cs"/>
          <w:rtl/>
        </w:rPr>
        <w:t xml:space="preserve"> </w:t>
      </w:r>
      <w:r w:rsidR="000775C2" w:rsidRPr="00995B26">
        <w:rPr>
          <w:rFonts w:cs="Traditional Arabic" w:hint="cs"/>
          <w:szCs w:val="30"/>
          <w:rtl/>
          <w:lang w:bidi="ar-SY"/>
        </w:rPr>
        <w:t>﴿</w:t>
      </w:r>
      <w:r w:rsidR="000775C2" w:rsidRPr="0067048A">
        <w:rPr>
          <w:rFonts w:ascii="KFGQPC Uthmanic Script HAFS" w:cs="KFGQPC Uthmanic Script HAFS" w:hint="eastAsia"/>
          <w:sz w:val="28"/>
          <w:szCs w:val="28"/>
          <w:rtl/>
        </w:rPr>
        <w:t>شَاكِر</w:t>
      </w:r>
      <w:r w:rsidR="000775C2" w:rsidRPr="0067048A">
        <w:rPr>
          <w:rFonts w:ascii="KFGQPC Uthmanic Script HAFS" w:cs="KFGQPC Uthmanic Script HAFS" w:hint="cs"/>
          <w:sz w:val="28"/>
          <w:szCs w:val="28"/>
          <w:rtl/>
        </w:rPr>
        <w:t>ٗ</w:t>
      </w:r>
      <w:r w:rsidR="000775C2" w:rsidRPr="0067048A">
        <w:rPr>
          <w:rFonts w:ascii="KFGQPC Uthmanic Script HAFS" w:cs="KFGQPC Uthmanic Script HAFS" w:hint="eastAsia"/>
          <w:sz w:val="28"/>
          <w:szCs w:val="28"/>
          <w:rtl/>
        </w:rPr>
        <w:t>ا</w:t>
      </w:r>
      <w:r w:rsidR="000775C2" w:rsidRPr="0067048A">
        <w:rPr>
          <w:rFonts w:ascii="KFGQPC Uthmanic Script HAFS" w:cs="KFGQPC Uthmanic Script HAFS"/>
          <w:sz w:val="28"/>
          <w:szCs w:val="28"/>
          <w:rtl/>
        </w:rPr>
        <w:t xml:space="preserve"> </w:t>
      </w:r>
      <w:r w:rsidR="000775C2" w:rsidRPr="0067048A">
        <w:rPr>
          <w:rFonts w:ascii="KFGQPC Uthmanic Script HAFS" w:cs="KFGQPC Uthmanic Script HAFS" w:hint="eastAsia"/>
          <w:sz w:val="28"/>
          <w:szCs w:val="28"/>
          <w:rtl/>
        </w:rPr>
        <w:t>لِّأَن</w:t>
      </w:r>
      <w:r w:rsidR="000775C2" w:rsidRPr="0067048A">
        <w:rPr>
          <w:rFonts w:ascii="KFGQPC Uthmanic Script HAFS" w:cs="KFGQPC Uthmanic Script HAFS" w:hint="cs"/>
          <w:sz w:val="28"/>
          <w:szCs w:val="28"/>
          <w:rtl/>
        </w:rPr>
        <w:t>ۡ</w:t>
      </w:r>
      <w:r w:rsidR="000775C2" w:rsidRPr="0067048A">
        <w:rPr>
          <w:rFonts w:ascii="KFGQPC Uthmanic Script HAFS" w:cs="KFGQPC Uthmanic Script HAFS" w:hint="eastAsia"/>
          <w:sz w:val="28"/>
          <w:szCs w:val="28"/>
          <w:rtl/>
        </w:rPr>
        <w:t>عُمِهِ</w:t>
      </w:r>
      <w:r w:rsidR="000775C2" w:rsidRPr="0067048A">
        <w:rPr>
          <w:rFonts w:ascii="KFGQPC Uthmanic Script HAFS" w:cs="KFGQPC Uthmanic Script HAFS" w:hint="cs"/>
          <w:sz w:val="28"/>
          <w:szCs w:val="28"/>
          <w:rtl/>
        </w:rPr>
        <w:t>ۚ</w:t>
      </w:r>
      <w:r w:rsidR="000775C2" w:rsidRPr="0067048A">
        <w:rPr>
          <w:rFonts w:ascii="KFGQPC Uthmanic Script HAFS" w:cs="KFGQPC Uthmanic Script HAFS"/>
          <w:sz w:val="28"/>
          <w:szCs w:val="28"/>
          <w:rtl/>
        </w:rPr>
        <w:t xml:space="preserve"> </w:t>
      </w:r>
      <w:r w:rsidR="000775C2" w:rsidRPr="0067048A">
        <w:rPr>
          <w:rFonts w:ascii="KFGQPC Uthmanic Script HAFS" w:cs="KFGQPC Uthmanic Script HAFS" w:hint="cs"/>
          <w:sz w:val="28"/>
          <w:szCs w:val="28"/>
          <w:rtl/>
        </w:rPr>
        <w:t>ٱ</w:t>
      </w:r>
      <w:r w:rsidR="000775C2" w:rsidRPr="0067048A">
        <w:rPr>
          <w:rFonts w:ascii="KFGQPC Uthmanic Script HAFS" w:cs="KFGQPC Uthmanic Script HAFS" w:hint="eastAsia"/>
          <w:sz w:val="28"/>
          <w:szCs w:val="28"/>
          <w:rtl/>
        </w:rPr>
        <w:t>ج</w:t>
      </w:r>
      <w:r w:rsidR="000775C2" w:rsidRPr="0067048A">
        <w:rPr>
          <w:rFonts w:ascii="KFGQPC Uthmanic Script HAFS" w:cs="KFGQPC Uthmanic Script HAFS" w:hint="cs"/>
          <w:sz w:val="28"/>
          <w:szCs w:val="28"/>
          <w:rtl/>
        </w:rPr>
        <w:t>ۡ</w:t>
      </w:r>
      <w:r w:rsidR="000775C2" w:rsidRPr="0067048A">
        <w:rPr>
          <w:rFonts w:ascii="KFGQPC Uthmanic Script HAFS" w:cs="KFGQPC Uthmanic Script HAFS" w:hint="eastAsia"/>
          <w:sz w:val="28"/>
          <w:szCs w:val="28"/>
          <w:rtl/>
        </w:rPr>
        <w:t>تَبَى</w:t>
      </w:r>
      <w:r w:rsidR="000775C2" w:rsidRPr="0067048A">
        <w:rPr>
          <w:rFonts w:ascii="KFGQPC Uthmanic Script HAFS" w:cs="KFGQPC Uthmanic Script HAFS" w:hint="cs"/>
          <w:sz w:val="28"/>
          <w:szCs w:val="28"/>
          <w:rtl/>
        </w:rPr>
        <w:t>ٰ</w:t>
      </w:r>
      <w:r w:rsidR="000775C2" w:rsidRPr="0067048A">
        <w:rPr>
          <w:rFonts w:ascii="KFGQPC Uthmanic Script HAFS" w:cs="KFGQPC Uthmanic Script HAFS" w:hint="eastAsia"/>
          <w:sz w:val="28"/>
          <w:szCs w:val="28"/>
          <w:rtl/>
        </w:rPr>
        <w:t>هُ</w:t>
      </w:r>
      <w:r w:rsidR="000775C2" w:rsidRPr="0067048A">
        <w:rPr>
          <w:rFonts w:ascii="KFGQPC Uthmanic Script HAFS" w:cs="KFGQPC Uthmanic Script HAFS"/>
          <w:sz w:val="28"/>
          <w:szCs w:val="28"/>
          <w:rtl/>
        </w:rPr>
        <w:t xml:space="preserve"> </w:t>
      </w:r>
      <w:r w:rsidR="000775C2" w:rsidRPr="0067048A">
        <w:rPr>
          <w:rFonts w:ascii="KFGQPC Uthmanic Script HAFS" w:cs="KFGQPC Uthmanic Script HAFS" w:hint="eastAsia"/>
          <w:sz w:val="28"/>
          <w:szCs w:val="28"/>
          <w:rtl/>
        </w:rPr>
        <w:t>وَهَدَى</w:t>
      </w:r>
      <w:r w:rsidR="000775C2" w:rsidRPr="0067048A">
        <w:rPr>
          <w:rFonts w:ascii="KFGQPC Uthmanic Script HAFS" w:cs="KFGQPC Uthmanic Script HAFS" w:hint="cs"/>
          <w:sz w:val="28"/>
          <w:szCs w:val="28"/>
          <w:rtl/>
        </w:rPr>
        <w:t>ٰ</w:t>
      </w:r>
      <w:r w:rsidR="000775C2" w:rsidRPr="0067048A">
        <w:rPr>
          <w:rFonts w:ascii="KFGQPC Uthmanic Script HAFS" w:cs="KFGQPC Uthmanic Script HAFS" w:hint="eastAsia"/>
          <w:sz w:val="28"/>
          <w:szCs w:val="28"/>
          <w:rtl/>
        </w:rPr>
        <w:t>هُ</w:t>
      </w:r>
      <w:r w:rsidR="000775C2" w:rsidRPr="0067048A">
        <w:rPr>
          <w:rFonts w:ascii="KFGQPC Uthmanic Script HAFS" w:cs="KFGQPC Uthmanic Script HAFS"/>
          <w:sz w:val="28"/>
          <w:szCs w:val="28"/>
          <w:rtl/>
        </w:rPr>
        <w:t xml:space="preserve"> </w:t>
      </w:r>
      <w:r w:rsidR="000775C2" w:rsidRPr="0067048A">
        <w:rPr>
          <w:rFonts w:ascii="KFGQPC Uthmanic Script HAFS" w:cs="KFGQPC Uthmanic Script HAFS" w:hint="eastAsia"/>
          <w:sz w:val="28"/>
          <w:szCs w:val="28"/>
          <w:rtl/>
        </w:rPr>
        <w:t>إِلَى</w:t>
      </w:r>
      <w:r w:rsidR="000775C2" w:rsidRPr="0067048A">
        <w:rPr>
          <w:rFonts w:ascii="KFGQPC Uthmanic Script HAFS" w:cs="KFGQPC Uthmanic Script HAFS" w:hint="cs"/>
          <w:sz w:val="28"/>
          <w:szCs w:val="28"/>
          <w:rtl/>
        </w:rPr>
        <w:t>ٰ</w:t>
      </w:r>
      <w:r w:rsidR="000775C2" w:rsidRPr="0067048A">
        <w:rPr>
          <w:rFonts w:ascii="KFGQPC Uthmanic Script HAFS" w:cs="KFGQPC Uthmanic Script HAFS"/>
          <w:sz w:val="28"/>
          <w:szCs w:val="28"/>
          <w:rtl/>
        </w:rPr>
        <w:t xml:space="preserve"> </w:t>
      </w:r>
      <w:r w:rsidR="000775C2" w:rsidRPr="0067048A">
        <w:rPr>
          <w:rFonts w:ascii="KFGQPC Uthmanic Script HAFS" w:cs="KFGQPC Uthmanic Script HAFS" w:hint="eastAsia"/>
          <w:sz w:val="28"/>
          <w:szCs w:val="28"/>
          <w:rtl/>
        </w:rPr>
        <w:t>صِرَ</w:t>
      </w:r>
      <w:r w:rsidR="000775C2" w:rsidRPr="0067048A">
        <w:rPr>
          <w:rFonts w:ascii="KFGQPC Uthmanic Script HAFS" w:cs="KFGQPC Uthmanic Script HAFS" w:hint="cs"/>
          <w:sz w:val="28"/>
          <w:szCs w:val="28"/>
          <w:rtl/>
        </w:rPr>
        <w:t>ٰ</w:t>
      </w:r>
      <w:r w:rsidR="000775C2" w:rsidRPr="0067048A">
        <w:rPr>
          <w:rFonts w:ascii="KFGQPC Uthmanic Script HAFS" w:cs="KFGQPC Uthmanic Script HAFS" w:hint="eastAsia"/>
          <w:sz w:val="28"/>
          <w:szCs w:val="28"/>
          <w:rtl/>
        </w:rPr>
        <w:t>ط</w:t>
      </w:r>
      <w:r w:rsidR="000775C2" w:rsidRPr="0067048A">
        <w:rPr>
          <w:rFonts w:ascii="KFGQPC Uthmanic Script HAFS" w:cs="KFGQPC Uthmanic Script HAFS" w:hint="cs"/>
          <w:sz w:val="28"/>
          <w:szCs w:val="28"/>
          <w:rtl/>
        </w:rPr>
        <w:t>ٖ</w:t>
      </w:r>
      <w:r w:rsidR="000775C2" w:rsidRPr="0067048A">
        <w:rPr>
          <w:rFonts w:ascii="KFGQPC Uthmanic Script HAFS" w:cs="KFGQPC Uthmanic Script HAFS"/>
          <w:sz w:val="28"/>
          <w:szCs w:val="28"/>
          <w:rtl/>
        </w:rPr>
        <w:t xml:space="preserve"> </w:t>
      </w:r>
      <w:r w:rsidR="000775C2" w:rsidRPr="0067048A">
        <w:rPr>
          <w:rFonts w:ascii="KFGQPC Uthmanic Script HAFS" w:cs="KFGQPC Uthmanic Script HAFS" w:hint="eastAsia"/>
          <w:sz w:val="28"/>
          <w:szCs w:val="28"/>
          <w:rtl/>
        </w:rPr>
        <w:t>مُّس</w:t>
      </w:r>
      <w:r w:rsidR="000775C2" w:rsidRPr="0067048A">
        <w:rPr>
          <w:rFonts w:ascii="KFGQPC Uthmanic Script HAFS" w:cs="KFGQPC Uthmanic Script HAFS" w:hint="cs"/>
          <w:sz w:val="28"/>
          <w:szCs w:val="28"/>
          <w:rtl/>
        </w:rPr>
        <w:t>ۡ</w:t>
      </w:r>
      <w:r w:rsidR="000775C2" w:rsidRPr="0067048A">
        <w:rPr>
          <w:rFonts w:ascii="KFGQPC Uthmanic Script HAFS" w:cs="KFGQPC Uthmanic Script HAFS" w:hint="eastAsia"/>
          <w:sz w:val="28"/>
          <w:szCs w:val="28"/>
          <w:rtl/>
        </w:rPr>
        <w:t>تَقِيم</w:t>
      </w:r>
      <w:r w:rsidR="000775C2" w:rsidRPr="0067048A">
        <w:rPr>
          <w:rFonts w:ascii="KFGQPC Uthmanic Script HAFS" w:cs="KFGQPC Uthmanic Script HAFS" w:hint="cs"/>
          <w:sz w:val="28"/>
          <w:szCs w:val="28"/>
          <w:rtl/>
        </w:rPr>
        <w:t>ٖ</w:t>
      </w:r>
      <w:r w:rsidR="000775C2" w:rsidRPr="0067048A">
        <w:rPr>
          <w:rFonts w:ascii="KFGQPC Uthmanic Script HAFS" w:cs="KFGQPC Uthmanic Script HAFS"/>
          <w:sz w:val="28"/>
          <w:szCs w:val="28"/>
          <w:rtl/>
        </w:rPr>
        <w:t xml:space="preserve"> </w:t>
      </w:r>
      <w:r w:rsidR="000775C2" w:rsidRPr="0067048A">
        <w:rPr>
          <w:rFonts w:ascii="KFGQPC Uthmanic Script HAFS" w:cs="KFGQPC Uthmanic Script HAFS" w:hint="cs"/>
          <w:sz w:val="28"/>
          <w:szCs w:val="28"/>
          <w:rtl/>
        </w:rPr>
        <w:t>١٢١</w:t>
      </w:r>
      <w:r w:rsidR="000775C2" w:rsidRPr="00995B26">
        <w:rPr>
          <w:rFonts w:cs="Traditional Arabic" w:hint="cs"/>
          <w:szCs w:val="30"/>
          <w:rtl/>
          <w:lang w:bidi="ar-SY"/>
        </w:rPr>
        <w:t>﴾</w:t>
      </w:r>
      <w:r w:rsidRPr="00495BAB">
        <w:rPr>
          <w:rFonts w:hint="cs"/>
          <w:rtl/>
          <w:lang w:bidi="ar-SY"/>
        </w:rPr>
        <w:t xml:space="preserve"> إذْ قال تعالى في الآية التي تَلَتْها مخاطبًا نبيه الكريم محمدًا </w:t>
      </w:r>
      <w:r w:rsidRPr="00495BAB">
        <w:rPr>
          <w:rFonts w:ascii="Abo-thar" w:hAnsi="Abo-thar"/>
          <w:sz w:val="28"/>
          <w:lang w:bidi="fa-IR"/>
        </w:rPr>
        <w:t></w:t>
      </w:r>
      <w:r w:rsidRPr="00495BAB">
        <w:rPr>
          <w:rFonts w:hint="cs"/>
          <w:rtl/>
          <w:lang w:bidi="ar-SY"/>
        </w:rPr>
        <w:t>:</w:t>
      </w:r>
      <w:r w:rsidR="000775C2" w:rsidRPr="00495BAB">
        <w:rPr>
          <w:rFonts w:hint="cs"/>
          <w:rtl/>
          <w:lang w:bidi="ar-SY"/>
        </w:rPr>
        <w:t xml:space="preserve"> </w:t>
      </w:r>
      <w:r w:rsidR="000775C2" w:rsidRPr="00995B26">
        <w:rPr>
          <w:rFonts w:cs="Traditional Arabic" w:hint="cs"/>
          <w:szCs w:val="30"/>
          <w:rtl/>
        </w:rPr>
        <w:t>﴿</w:t>
      </w:r>
      <w:r w:rsidR="000775C2" w:rsidRPr="0067048A">
        <w:rPr>
          <w:rFonts w:ascii="KFGQPC Uthmanic Script HAFS" w:cs="KFGQPC Uthmanic Script HAFS" w:hint="eastAsia"/>
          <w:sz w:val="28"/>
          <w:szCs w:val="28"/>
          <w:rtl/>
        </w:rPr>
        <w:t>ثُمَّ</w:t>
      </w:r>
      <w:r w:rsidR="000775C2" w:rsidRPr="0067048A">
        <w:rPr>
          <w:rFonts w:ascii="KFGQPC Uthmanic Script HAFS" w:cs="KFGQPC Uthmanic Script HAFS"/>
          <w:sz w:val="28"/>
          <w:szCs w:val="28"/>
          <w:rtl/>
        </w:rPr>
        <w:t xml:space="preserve"> </w:t>
      </w:r>
      <w:r w:rsidR="000775C2" w:rsidRPr="0067048A">
        <w:rPr>
          <w:rFonts w:ascii="KFGQPC Uthmanic Script HAFS" w:cs="KFGQPC Uthmanic Script HAFS" w:hint="eastAsia"/>
          <w:sz w:val="28"/>
          <w:szCs w:val="28"/>
          <w:rtl/>
        </w:rPr>
        <w:t>أَو</w:t>
      </w:r>
      <w:r w:rsidR="000775C2" w:rsidRPr="0067048A">
        <w:rPr>
          <w:rFonts w:ascii="KFGQPC Uthmanic Script HAFS" w:cs="KFGQPC Uthmanic Script HAFS" w:hint="cs"/>
          <w:sz w:val="28"/>
          <w:szCs w:val="28"/>
          <w:rtl/>
        </w:rPr>
        <w:t>ۡ</w:t>
      </w:r>
      <w:r w:rsidR="000775C2" w:rsidRPr="0067048A">
        <w:rPr>
          <w:rFonts w:ascii="KFGQPC Uthmanic Script HAFS" w:cs="KFGQPC Uthmanic Script HAFS" w:hint="eastAsia"/>
          <w:sz w:val="28"/>
          <w:szCs w:val="28"/>
          <w:rtl/>
        </w:rPr>
        <w:t>حَي</w:t>
      </w:r>
      <w:r w:rsidR="000775C2" w:rsidRPr="0067048A">
        <w:rPr>
          <w:rFonts w:ascii="KFGQPC Uthmanic Script HAFS" w:cs="KFGQPC Uthmanic Script HAFS" w:hint="cs"/>
          <w:sz w:val="28"/>
          <w:szCs w:val="28"/>
          <w:rtl/>
        </w:rPr>
        <w:t>ۡ</w:t>
      </w:r>
      <w:r w:rsidR="000775C2" w:rsidRPr="0067048A">
        <w:rPr>
          <w:rFonts w:ascii="KFGQPC Uthmanic Script HAFS" w:cs="KFGQPC Uthmanic Script HAFS" w:hint="eastAsia"/>
          <w:sz w:val="28"/>
          <w:szCs w:val="28"/>
          <w:rtl/>
        </w:rPr>
        <w:t>نَا</w:t>
      </w:r>
      <w:r w:rsidR="000775C2" w:rsidRPr="0067048A">
        <w:rPr>
          <w:rFonts w:ascii="KFGQPC Uthmanic Script HAFS" w:cs="KFGQPC Uthmanic Script HAFS" w:hint="cs"/>
          <w:sz w:val="28"/>
          <w:szCs w:val="28"/>
          <w:rtl/>
        </w:rPr>
        <w:t>ٓ</w:t>
      </w:r>
      <w:r w:rsidR="000775C2" w:rsidRPr="0067048A">
        <w:rPr>
          <w:rFonts w:ascii="KFGQPC Uthmanic Script HAFS" w:cs="KFGQPC Uthmanic Script HAFS"/>
          <w:sz w:val="28"/>
          <w:szCs w:val="28"/>
          <w:rtl/>
        </w:rPr>
        <w:t xml:space="preserve"> </w:t>
      </w:r>
      <w:r w:rsidR="000775C2" w:rsidRPr="0067048A">
        <w:rPr>
          <w:rFonts w:ascii="KFGQPC Uthmanic Script HAFS" w:cs="KFGQPC Uthmanic Script HAFS" w:hint="eastAsia"/>
          <w:sz w:val="28"/>
          <w:szCs w:val="28"/>
          <w:rtl/>
        </w:rPr>
        <w:t>إِلَي</w:t>
      </w:r>
      <w:r w:rsidR="000775C2" w:rsidRPr="0067048A">
        <w:rPr>
          <w:rFonts w:ascii="KFGQPC Uthmanic Script HAFS" w:cs="KFGQPC Uthmanic Script HAFS" w:hint="cs"/>
          <w:sz w:val="28"/>
          <w:szCs w:val="28"/>
          <w:rtl/>
        </w:rPr>
        <w:t>ۡ</w:t>
      </w:r>
      <w:r w:rsidR="000775C2" w:rsidRPr="0067048A">
        <w:rPr>
          <w:rFonts w:ascii="KFGQPC Uthmanic Script HAFS" w:cs="KFGQPC Uthmanic Script HAFS" w:hint="eastAsia"/>
          <w:sz w:val="28"/>
          <w:szCs w:val="28"/>
          <w:rtl/>
        </w:rPr>
        <w:t>كَ</w:t>
      </w:r>
      <w:r w:rsidR="000775C2" w:rsidRPr="0067048A">
        <w:rPr>
          <w:rFonts w:ascii="KFGQPC Uthmanic Script HAFS" w:cs="KFGQPC Uthmanic Script HAFS"/>
          <w:sz w:val="28"/>
          <w:szCs w:val="28"/>
          <w:rtl/>
        </w:rPr>
        <w:t xml:space="preserve"> </w:t>
      </w:r>
      <w:r w:rsidR="000775C2" w:rsidRPr="0067048A">
        <w:rPr>
          <w:rFonts w:ascii="KFGQPC Uthmanic Script HAFS" w:cs="KFGQPC Uthmanic Script HAFS" w:hint="eastAsia"/>
          <w:sz w:val="28"/>
          <w:szCs w:val="28"/>
          <w:rtl/>
        </w:rPr>
        <w:t>أَنِ</w:t>
      </w:r>
      <w:r w:rsidR="000775C2" w:rsidRPr="0067048A">
        <w:rPr>
          <w:rFonts w:ascii="KFGQPC Uthmanic Script HAFS" w:cs="KFGQPC Uthmanic Script HAFS"/>
          <w:sz w:val="28"/>
          <w:szCs w:val="28"/>
          <w:rtl/>
        </w:rPr>
        <w:t xml:space="preserve"> </w:t>
      </w:r>
      <w:r w:rsidR="000775C2" w:rsidRPr="0067048A">
        <w:rPr>
          <w:rFonts w:ascii="KFGQPC Uthmanic Script HAFS" w:cs="KFGQPC Uthmanic Script HAFS" w:hint="cs"/>
          <w:sz w:val="28"/>
          <w:szCs w:val="28"/>
          <w:rtl/>
        </w:rPr>
        <w:t>ٱ</w:t>
      </w:r>
      <w:r w:rsidR="000775C2" w:rsidRPr="0067048A">
        <w:rPr>
          <w:rFonts w:ascii="KFGQPC Uthmanic Script HAFS" w:cs="KFGQPC Uthmanic Script HAFS" w:hint="eastAsia"/>
          <w:sz w:val="28"/>
          <w:szCs w:val="28"/>
          <w:rtl/>
        </w:rPr>
        <w:t>تَّبِع</w:t>
      </w:r>
      <w:r w:rsidR="000775C2" w:rsidRPr="0067048A">
        <w:rPr>
          <w:rFonts w:ascii="KFGQPC Uthmanic Script HAFS" w:cs="KFGQPC Uthmanic Script HAFS" w:hint="cs"/>
          <w:sz w:val="28"/>
          <w:szCs w:val="28"/>
          <w:rtl/>
        </w:rPr>
        <w:t>ۡ</w:t>
      </w:r>
      <w:r w:rsidR="000775C2" w:rsidRPr="0067048A">
        <w:rPr>
          <w:rFonts w:ascii="KFGQPC Uthmanic Script HAFS" w:cs="KFGQPC Uthmanic Script HAFS"/>
          <w:sz w:val="28"/>
          <w:szCs w:val="28"/>
          <w:rtl/>
        </w:rPr>
        <w:t xml:space="preserve"> </w:t>
      </w:r>
      <w:r w:rsidR="000775C2" w:rsidRPr="0067048A">
        <w:rPr>
          <w:rFonts w:ascii="KFGQPC Uthmanic Script HAFS" w:cs="KFGQPC Uthmanic Script HAFS" w:hint="eastAsia"/>
          <w:sz w:val="28"/>
          <w:szCs w:val="28"/>
          <w:rtl/>
        </w:rPr>
        <w:t>مِلَّةَ</w:t>
      </w:r>
      <w:r w:rsidR="000775C2" w:rsidRPr="0067048A">
        <w:rPr>
          <w:rFonts w:ascii="KFGQPC Uthmanic Script HAFS" w:cs="KFGQPC Uthmanic Script HAFS"/>
          <w:sz w:val="28"/>
          <w:szCs w:val="28"/>
          <w:rtl/>
        </w:rPr>
        <w:t xml:space="preserve"> </w:t>
      </w:r>
      <w:r w:rsidR="000775C2" w:rsidRPr="0067048A">
        <w:rPr>
          <w:rFonts w:ascii="KFGQPC Uthmanic Script HAFS" w:cs="KFGQPC Uthmanic Script HAFS" w:hint="eastAsia"/>
          <w:sz w:val="28"/>
          <w:szCs w:val="28"/>
          <w:rtl/>
        </w:rPr>
        <w:t>إِب</w:t>
      </w:r>
      <w:r w:rsidR="000775C2" w:rsidRPr="0067048A">
        <w:rPr>
          <w:rFonts w:ascii="KFGQPC Uthmanic Script HAFS" w:cs="KFGQPC Uthmanic Script HAFS" w:hint="cs"/>
          <w:sz w:val="28"/>
          <w:szCs w:val="28"/>
          <w:rtl/>
        </w:rPr>
        <w:t>ۡ</w:t>
      </w:r>
      <w:r w:rsidR="000775C2" w:rsidRPr="0067048A">
        <w:rPr>
          <w:rFonts w:ascii="KFGQPC Uthmanic Script HAFS" w:cs="KFGQPC Uthmanic Script HAFS" w:hint="eastAsia"/>
          <w:sz w:val="28"/>
          <w:szCs w:val="28"/>
          <w:rtl/>
        </w:rPr>
        <w:t>رَ</w:t>
      </w:r>
      <w:r w:rsidR="000775C2" w:rsidRPr="0067048A">
        <w:rPr>
          <w:rFonts w:ascii="KFGQPC Uthmanic Script HAFS" w:cs="KFGQPC Uthmanic Script HAFS" w:hint="cs"/>
          <w:sz w:val="28"/>
          <w:szCs w:val="28"/>
          <w:rtl/>
        </w:rPr>
        <w:t>ٰ</w:t>
      </w:r>
      <w:r w:rsidR="000775C2" w:rsidRPr="0067048A">
        <w:rPr>
          <w:rFonts w:ascii="KFGQPC Uthmanic Script HAFS" w:cs="KFGQPC Uthmanic Script HAFS" w:hint="eastAsia"/>
          <w:sz w:val="28"/>
          <w:szCs w:val="28"/>
          <w:rtl/>
        </w:rPr>
        <w:t>هِيمَ</w:t>
      </w:r>
      <w:r w:rsidR="000775C2" w:rsidRPr="0067048A">
        <w:rPr>
          <w:rFonts w:ascii="KFGQPC Uthmanic Script HAFS" w:cs="KFGQPC Uthmanic Script HAFS"/>
          <w:sz w:val="28"/>
          <w:szCs w:val="28"/>
          <w:rtl/>
        </w:rPr>
        <w:t xml:space="preserve"> </w:t>
      </w:r>
      <w:r w:rsidR="000775C2" w:rsidRPr="0067048A">
        <w:rPr>
          <w:rFonts w:ascii="KFGQPC Uthmanic Script HAFS" w:cs="KFGQPC Uthmanic Script HAFS" w:hint="eastAsia"/>
          <w:sz w:val="28"/>
          <w:szCs w:val="28"/>
          <w:rtl/>
        </w:rPr>
        <w:t>حَنِيف</w:t>
      </w:r>
      <w:r w:rsidR="000775C2" w:rsidRPr="0067048A">
        <w:rPr>
          <w:rFonts w:ascii="KFGQPC Uthmanic Script HAFS" w:cs="KFGQPC Uthmanic Script HAFS" w:hint="cs"/>
          <w:sz w:val="28"/>
          <w:szCs w:val="28"/>
          <w:rtl/>
        </w:rPr>
        <w:t>ٗ</w:t>
      </w:r>
      <w:r w:rsidR="000775C2" w:rsidRPr="0067048A">
        <w:rPr>
          <w:rFonts w:ascii="KFGQPC Uthmanic Script HAFS" w:cs="KFGQPC Uthmanic Script HAFS" w:hint="eastAsia"/>
          <w:sz w:val="28"/>
          <w:szCs w:val="28"/>
          <w:rtl/>
        </w:rPr>
        <w:t>ا</w:t>
      </w:r>
      <w:r w:rsidR="000775C2" w:rsidRPr="00995B26">
        <w:rPr>
          <w:rFonts w:cs="Traditional Arabic" w:hint="cs"/>
          <w:szCs w:val="30"/>
          <w:rtl/>
        </w:rPr>
        <w:t>﴾</w:t>
      </w:r>
      <w:r w:rsidRPr="00495BAB">
        <w:rPr>
          <w:rFonts w:hint="cs"/>
          <w:rtl/>
        </w:rPr>
        <w:t xml:space="preserve"> </w:t>
      </w:r>
      <w:r w:rsidRPr="009E1401">
        <w:rPr>
          <w:rStyle w:val="Char2"/>
          <w:rtl/>
        </w:rPr>
        <w:t>[النحل</w:t>
      </w:r>
      <w:r w:rsidR="000775C2" w:rsidRPr="009E1401">
        <w:rPr>
          <w:rStyle w:val="Char2"/>
          <w:rFonts w:hint="cs"/>
          <w:rtl/>
        </w:rPr>
        <w:t xml:space="preserve">: </w:t>
      </w:r>
      <w:r w:rsidRPr="009E1401">
        <w:rPr>
          <w:rStyle w:val="Char2"/>
          <w:rtl/>
        </w:rPr>
        <w:t>123]</w:t>
      </w:r>
    </w:p>
    <w:p w:rsidR="00CD31AA" w:rsidRPr="00495BAB" w:rsidRDefault="00CD31AA" w:rsidP="00495BAB">
      <w:pPr>
        <w:pStyle w:val="a0"/>
        <w:rPr>
          <w:rFonts w:hint="cs"/>
          <w:rtl/>
        </w:rPr>
      </w:pPr>
      <w:r w:rsidRPr="00495BAB">
        <w:rPr>
          <w:rFonts w:hint="cs"/>
          <w:rtl/>
        </w:rPr>
        <w:t xml:space="preserve">وقال تعالى أيضًا في سورة الجاثية: </w:t>
      </w:r>
    </w:p>
    <w:p w:rsidR="00CD31AA" w:rsidRPr="00495BAB" w:rsidRDefault="000775C2" w:rsidP="009E1401">
      <w:pPr>
        <w:pStyle w:val="a0"/>
        <w:ind w:left="284" w:firstLine="0"/>
        <w:rPr>
          <w:rtl/>
        </w:rPr>
      </w:pPr>
      <w:r w:rsidRPr="00995B26">
        <w:rPr>
          <w:rFonts w:cs="Traditional Arabic" w:hint="cs"/>
          <w:rtl/>
          <w:lang w:bidi="fa-IR"/>
        </w:rPr>
        <w:t>﴿</w:t>
      </w:r>
      <w:r w:rsidRPr="0067048A">
        <w:rPr>
          <w:rFonts w:ascii="KFGQPC Uthmanic Script HAFS" w:cs="KFGQPC Uthmanic Script HAFS" w:hint="eastAsia"/>
          <w:szCs w:val="28"/>
          <w:rtl/>
          <w:lang w:bidi="fa-IR"/>
        </w:rPr>
        <w:t>وَلَقَد</w:t>
      </w:r>
      <w:r w:rsidRPr="0067048A">
        <w:rPr>
          <w:rFonts w:ascii="KFGQPC Uthmanic Script HAFS" w:cs="KFGQPC Uthmanic Script HAFS" w:hint="cs"/>
          <w:szCs w:val="28"/>
          <w:rtl/>
          <w:lang w:bidi="fa-IR"/>
        </w:rPr>
        <w:t>ۡ</w:t>
      </w:r>
      <w:r w:rsidRPr="0067048A">
        <w:rPr>
          <w:rFonts w:ascii="KFGQPC Uthmanic Script HAFS" w:cs="KFGQPC Uthmanic Script HAFS"/>
          <w:szCs w:val="28"/>
          <w:rtl/>
          <w:lang w:bidi="fa-IR"/>
        </w:rPr>
        <w:t xml:space="preserve"> </w:t>
      </w:r>
      <w:r w:rsidRPr="0067048A">
        <w:rPr>
          <w:rFonts w:ascii="KFGQPC Uthmanic Script HAFS" w:cs="KFGQPC Uthmanic Script HAFS" w:hint="eastAsia"/>
          <w:szCs w:val="28"/>
          <w:rtl/>
          <w:lang w:bidi="fa-IR"/>
        </w:rPr>
        <w:t>ءَاتَي</w:t>
      </w:r>
      <w:r w:rsidRPr="0067048A">
        <w:rPr>
          <w:rFonts w:ascii="KFGQPC Uthmanic Script HAFS" w:cs="KFGQPC Uthmanic Script HAFS" w:hint="cs"/>
          <w:szCs w:val="28"/>
          <w:rtl/>
          <w:lang w:bidi="fa-IR"/>
        </w:rPr>
        <w:t>ۡ</w:t>
      </w:r>
      <w:r w:rsidRPr="0067048A">
        <w:rPr>
          <w:rFonts w:ascii="KFGQPC Uthmanic Script HAFS" w:cs="KFGQPC Uthmanic Script HAFS" w:hint="eastAsia"/>
          <w:szCs w:val="28"/>
          <w:rtl/>
          <w:lang w:bidi="fa-IR"/>
        </w:rPr>
        <w:t>نَا</w:t>
      </w:r>
      <w:r w:rsidRPr="0067048A">
        <w:rPr>
          <w:rFonts w:ascii="KFGQPC Uthmanic Script HAFS" w:cs="KFGQPC Uthmanic Script HAFS"/>
          <w:szCs w:val="28"/>
          <w:rtl/>
          <w:lang w:bidi="fa-IR"/>
        </w:rPr>
        <w:t xml:space="preserve"> </w:t>
      </w:r>
      <w:r w:rsidRPr="0067048A">
        <w:rPr>
          <w:rFonts w:ascii="KFGQPC Uthmanic Script HAFS" w:cs="KFGQPC Uthmanic Script HAFS" w:hint="eastAsia"/>
          <w:szCs w:val="28"/>
          <w:rtl/>
          <w:lang w:bidi="fa-IR"/>
        </w:rPr>
        <w:t>بَنِي</w:t>
      </w:r>
      <w:r w:rsidRPr="0067048A">
        <w:rPr>
          <w:rFonts w:ascii="KFGQPC Uthmanic Script HAFS" w:cs="KFGQPC Uthmanic Script HAFS" w:hint="cs"/>
          <w:szCs w:val="28"/>
          <w:rtl/>
          <w:lang w:bidi="fa-IR"/>
        </w:rPr>
        <w:t>ٓ</w:t>
      </w:r>
      <w:r w:rsidRPr="0067048A">
        <w:rPr>
          <w:rFonts w:ascii="KFGQPC Uthmanic Script HAFS" w:cs="KFGQPC Uthmanic Script HAFS"/>
          <w:szCs w:val="28"/>
          <w:rtl/>
          <w:lang w:bidi="fa-IR"/>
        </w:rPr>
        <w:t xml:space="preserve"> </w:t>
      </w:r>
      <w:r w:rsidRPr="0067048A">
        <w:rPr>
          <w:rFonts w:ascii="KFGQPC Uthmanic Script HAFS" w:cs="KFGQPC Uthmanic Script HAFS" w:hint="eastAsia"/>
          <w:szCs w:val="28"/>
          <w:rtl/>
          <w:lang w:bidi="fa-IR"/>
        </w:rPr>
        <w:t>إِس</w:t>
      </w:r>
      <w:r w:rsidRPr="0067048A">
        <w:rPr>
          <w:rFonts w:ascii="KFGQPC Uthmanic Script HAFS" w:cs="KFGQPC Uthmanic Script HAFS" w:hint="cs"/>
          <w:szCs w:val="28"/>
          <w:rtl/>
          <w:lang w:bidi="fa-IR"/>
        </w:rPr>
        <w:t>ۡ</w:t>
      </w:r>
      <w:r w:rsidRPr="0067048A">
        <w:rPr>
          <w:rFonts w:ascii="KFGQPC Uthmanic Script HAFS" w:cs="KFGQPC Uthmanic Script HAFS" w:hint="eastAsia"/>
          <w:szCs w:val="28"/>
          <w:rtl/>
          <w:lang w:bidi="fa-IR"/>
        </w:rPr>
        <w:t>رَ</w:t>
      </w:r>
      <w:r w:rsidRPr="0067048A">
        <w:rPr>
          <w:rFonts w:ascii="KFGQPC Uthmanic Script HAFS" w:cs="KFGQPC Uthmanic Script HAFS" w:hint="cs"/>
          <w:szCs w:val="28"/>
          <w:rtl/>
          <w:lang w:bidi="fa-IR"/>
        </w:rPr>
        <w:t>ٰٓ</w:t>
      </w:r>
      <w:r w:rsidRPr="0067048A">
        <w:rPr>
          <w:rFonts w:ascii="KFGQPC Uthmanic Script HAFS" w:cs="KFGQPC Uthmanic Script HAFS" w:hint="eastAsia"/>
          <w:szCs w:val="28"/>
          <w:rtl/>
          <w:lang w:bidi="fa-IR"/>
        </w:rPr>
        <w:t>ءِيلَ</w:t>
      </w:r>
      <w:r w:rsidRPr="0067048A">
        <w:rPr>
          <w:rFonts w:ascii="KFGQPC Uthmanic Script HAFS" w:cs="KFGQPC Uthmanic Script HAFS"/>
          <w:szCs w:val="28"/>
          <w:rtl/>
          <w:lang w:bidi="fa-IR"/>
        </w:rPr>
        <w:t xml:space="preserve"> </w:t>
      </w:r>
      <w:r w:rsidRPr="0067048A">
        <w:rPr>
          <w:rFonts w:ascii="KFGQPC Uthmanic Script HAFS" w:cs="KFGQPC Uthmanic Script HAFS" w:hint="cs"/>
          <w:szCs w:val="28"/>
          <w:rtl/>
          <w:lang w:bidi="fa-IR"/>
        </w:rPr>
        <w:t>ٱ</w:t>
      </w:r>
      <w:r w:rsidRPr="0067048A">
        <w:rPr>
          <w:rFonts w:ascii="KFGQPC Uthmanic Script HAFS" w:cs="KFGQPC Uthmanic Script HAFS" w:hint="eastAsia"/>
          <w:szCs w:val="28"/>
          <w:rtl/>
          <w:lang w:bidi="fa-IR"/>
        </w:rPr>
        <w:t>ل</w:t>
      </w:r>
      <w:r w:rsidRPr="0067048A">
        <w:rPr>
          <w:rFonts w:ascii="KFGQPC Uthmanic Script HAFS" w:cs="KFGQPC Uthmanic Script HAFS" w:hint="cs"/>
          <w:szCs w:val="28"/>
          <w:rtl/>
          <w:lang w:bidi="fa-IR"/>
        </w:rPr>
        <w:t>ۡ</w:t>
      </w:r>
      <w:r w:rsidRPr="0067048A">
        <w:rPr>
          <w:rFonts w:ascii="KFGQPC Uthmanic Script HAFS" w:cs="KFGQPC Uthmanic Script HAFS" w:hint="eastAsia"/>
          <w:szCs w:val="28"/>
          <w:rtl/>
          <w:lang w:bidi="fa-IR"/>
        </w:rPr>
        <w:t>كِتَ</w:t>
      </w:r>
      <w:r w:rsidRPr="0067048A">
        <w:rPr>
          <w:rFonts w:ascii="KFGQPC Uthmanic Script HAFS" w:cs="KFGQPC Uthmanic Script HAFS" w:hint="cs"/>
          <w:szCs w:val="28"/>
          <w:rtl/>
          <w:lang w:bidi="fa-IR"/>
        </w:rPr>
        <w:t>ٰ</w:t>
      </w:r>
      <w:r w:rsidRPr="0067048A">
        <w:rPr>
          <w:rFonts w:ascii="KFGQPC Uthmanic Script HAFS" w:cs="KFGQPC Uthmanic Script HAFS" w:hint="eastAsia"/>
          <w:szCs w:val="28"/>
          <w:rtl/>
          <w:lang w:bidi="fa-IR"/>
        </w:rPr>
        <w:t>بَ</w:t>
      </w:r>
      <w:r w:rsidRPr="0067048A">
        <w:rPr>
          <w:rFonts w:ascii="KFGQPC Uthmanic Script HAFS" w:cs="KFGQPC Uthmanic Script HAFS"/>
          <w:szCs w:val="28"/>
          <w:rtl/>
          <w:lang w:bidi="fa-IR"/>
        </w:rPr>
        <w:t xml:space="preserve"> </w:t>
      </w:r>
      <w:r w:rsidRPr="0067048A">
        <w:rPr>
          <w:rFonts w:ascii="KFGQPC Uthmanic Script HAFS" w:cs="KFGQPC Uthmanic Script HAFS" w:hint="eastAsia"/>
          <w:szCs w:val="28"/>
          <w:rtl/>
          <w:lang w:bidi="fa-IR"/>
        </w:rPr>
        <w:t>وَ</w:t>
      </w:r>
      <w:r w:rsidRPr="0067048A">
        <w:rPr>
          <w:rFonts w:ascii="KFGQPC Uthmanic Script HAFS" w:cs="KFGQPC Uthmanic Script HAFS" w:hint="cs"/>
          <w:szCs w:val="28"/>
          <w:rtl/>
          <w:lang w:bidi="fa-IR"/>
        </w:rPr>
        <w:t>ٱ</w:t>
      </w:r>
      <w:r w:rsidRPr="0067048A">
        <w:rPr>
          <w:rFonts w:ascii="KFGQPC Uthmanic Script HAFS" w:cs="KFGQPC Uthmanic Script HAFS" w:hint="eastAsia"/>
          <w:szCs w:val="28"/>
          <w:rtl/>
          <w:lang w:bidi="fa-IR"/>
        </w:rPr>
        <w:t>ل</w:t>
      </w:r>
      <w:r w:rsidRPr="0067048A">
        <w:rPr>
          <w:rFonts w:ascii="KFGQPC Uthmanic Script HAFS" w:cs="KFGQPC Uthmanic Script HAFS" w:hint="cs"/>
          <w:szCs w:val="28"/>
          <w:rtl/>
          <w:lang w:bidi="fa-IR"/>
        </w:rPr>
        <w:t>ۡ</w:t>
      </w:r>
      <w:r w:rsidRPr="0067048A">
        <w:rPr>
          <w:rFonts w:ascii="KFGQPC Uthmanic Script HAFS" w:cs="KFGQPC Uthmanic Script HAFS" w:hint="eastAsia"/>
          <w:szCs w:val="28"/>
          <w:rtl/>
          <w:lang w:bidi="fa-IR"/>
        </w:rPr>
        <w:t>حُك</w:t>
      </w:r>
      <w:r w:rsidRPr="0067048A">
        <w:rPr>
          <w:rFonts w:ascii="KFGQPC Uthmanic Script HAFS" w:cs="KFGQPC Uthmanic Script HAFS" w:hint="cs"/>
          <w:szCs w:val="28"/>
          <w:rtl/>
          <w:lang w:bidi="fa-IR"/>
        </w:rPr>
        <w:t>ۡ</w:t>
      </w:r>
      <w:r w:rsidRPr="0067048A">
        <w:rPr>
          <w:rFonts w:ascii="KFGQPC Uthmanic Script HAFS" w:cs="KFGQPC Uthmanic Script HAFS" w:hint="eastAsia"/>
          <w:szCs w:val="28"/>
          <w:rtl/>
          <w:lang w:bidi="fa-IR"/>
        </w:rPr>
        <w:t>مَ</w:t>
      </w:r>
      <w:r w:rsidRPr="0067048A">
        <w:rPr>
          <w:rFonts w:ascii="KFGQPC Uthmanic Script HAFS" w:cs="KFGQPC Uthmanic Script HAFS"/>
          <w:szCs w:val="28"/>
          <w:rtl/>
          <w:lang w:bidi="fa-IR"/>
        </w:rPr>
        <w:t xml:space="preserve"> </w:t>
      </w:r>
      <w:r w:rsidRPr="0067048A">
        <w:rPr>
          <w:rFonts w:ascii="KFGQPC Uthmanic Script HAFS" w:cs="KFGQPC Uthmanic Script HAFS" w:hint="eastAsia"/>
          <w:szCs w:val="28"/>
          <w:rtl/>
          <w:lang w:bidi="fa-IR"/>
        </w:rPr>
        <w:t>وَ</w:t>
      </w:r>
      <w:r w:rsidRPr="0067048A">
        <w:rPr>
          <w:rFonts w:ascii="KFGQPC Uthmanic Script HAFS" w:cs="KFGQPC Uthmanic Script HAFS" w:hint="cs"/>
          <w:szCs w:val="28"/>
          <w:rtl/>
          <w:lang w:bidi="fa-IR"/>
        </w:rPr>
        <w:t>ٱ</w:t>
      </w:r>
      <w:r w:rsidRPr="0067048A">
        <w:rPr>
          <w:rFonts w:ascii="KFGQPC Uthmanic Script HAFS" w:cs="KFGQPC Uthmanic Script HAFS" w:hint="eastAsia"/>
          <w:szCs w:val="28"/>
          <w:rtl/>
          <w:lang w:bidi="fa-IR"/>
        </w:rPr>
        <w:t>لنُّبُوَّةَ</w:t>
      </w:r>
      <w:r w:rsidRPr="0067048A">
        <w:rPr>
          <w:rFonts w:ascii="KFGQPC Uthmanic Script HAFS" w:cs="KFGQPC Uthmanic Script HAFS"/>
          <w:szCs w:val="28"/>
          <w:rtl/>
          <w:lang w:bidi="fa-IR"/>
        </w:rPr>
        <w:t xml:space="preserve"> </w:t>
      </w:r>
      <w:r w:rsidRPr="0067048A">
        <w:rPr>
          <w:rFonts w:ascii="KFGQPC Uthmanic Script HAFS" w:cs="KFGQPC Uthmanic Script HAFS" w:hint="eastAsia"/>
          <w:szCs w:val="28"/>
          <w:rtl/>
          <w:lang w:bidi="fa-IR"/>
        </w:rPr>
        <w:t>وَرَزَق</w:t>
      </w:r>
      <w:r w:rsidRPr="0067048A">
        <w:rPr>
          <w:rFonts w:ascii="KFGQPC Uthmanic Script HAFS" w:cs="KFGQPC Uthmanic Script HAFS" w:hint="cs"/>
          <w:szCs w:val="28"/>
          <w:rtl/>
          <w:lang w:bidi="fa-IR"/>
        </w:rPr>
        <w:t>ۡ</w:t>
      </w:r>
      <w:r w:rsidRPr="0067048A">
        <w:rPr>
          <w:rFonts w:ascii="KFGQPC Uthmanic Script HAFS" w:cs="KFGQPC Uthmanic Script HAFS" w:hint="eastAsia"/>
          <w:szCs w:val="28"/>
          <w:rtl/>
          <w:lang w:bidi="fa-IR"/>
        </w:rPr>
        <w:t>نَ</w:t>
      </w:r>
      <w:r w:rsidRPr="0067048A">
        <w:rPr>
          <w:rFonts w:ascii="KFGQPC Uthmanic Script HAFS" w:cs="KFGQPC Uthmanic Script HAFS" w:hint="cs"/>
          <w:szCs w:val="28"/>
          <w:rtl/>
          <w:lang w:bidi="fa-IR"/>
        </w:rPr>
        <w:t>ٰ</w:t>
      </w:r>
      <w:r w:rsidRPr="0067048A">
        <w:rPr>
          <w:rFonts w:ascii="KFGQPC Uthmanic Script HAFS" w:cs="KFGQPC Uthmanic Script HAFS" w:hint="eastAsia"/>
          <w:szCs w:val="28"/>
          <w:rtl/>
          <w:lang w:bidi="fa-IR"/>
        </w:rPr>
        <w:t>هُم</w:t>
      </w:r>
      <w:r w:rsidRPr="0067048A">
        <w:rPr>
          <w:rFonts w:ascii="KFGQPC Uthmanic Script HAFS" w:cs="KFGQPC Uthmanic Script HAFS"/>
          <w:szCs w:val="28"/>
          <w:rtl/>
          <w:lang w:bidi="fa-IR"/>
        </w:rPr>
        <w:t xml:space="preserve"> </w:t>
      </w:r>
      <w:r w:rsidRPr="0067048A">
        <w:rPr>
          <w:rFonts w:ascii="KFGQPC Uthmanic Script HAFS" w:cs="KFGQPC Uthmanic Script HAFS" w:hint="eastAsia"/>
          <w:szCs w:val="28"/>
          <w:rtl/>
          <w:lang w:bidi="fa-IR"/>
        </w:rPr>
        <w:t>مِّنَ</w:t>
      </w:r>
      <w:r w:rsidRPr="0067048A">
        <w:rPr>
          <w:rFonts w:ascii="KFGQPC Uthmanic Script HAFS" w:cs="KFGQPC Uthmanic Script HAFS"/>
          <w:szCs w:val="28"/>
          <w:rtl/>
          <w:lang w:bidi="fa-IR"/>
        </w:rPr>
        <w:t xml:space="preserve"> </w:t>
      </w:r>
      <w:r w:rsidRPr="0067048A">
        <w:rPr>
          <w:rFonts w:ascii="KFGQPC Uthmanic Script HAFS" w:cs="KFGQPC Uthmanic Script HAFS" w:hint="cs"/>
          <w:szCs w:val="28"/>
          <w:rtl/>
          <w:lang w:bidi="fa-IR"/>
        </w:rPr>
        <w:t>ٱ</w:t>
      </w:r>
      <w:r w:rsidRPr="0067048A">
        <w:rPr>
          <w:rFonts w:ascii="KFGQPC Uthmanic Script HAFS" w:cs="KFGQPC Uthmanic Script HAFS" w:hint="eastAsia"/>
          <w:szCs w:val="28"/>
          <w:rtl/>
          <w:lang w:bidi="fa-IR"/>
        </w:rPr>
        <w:t>لطَّيِّبَ</w:t>
      </w:r>
      <w:r w:rsidRPr="0067048A">
        <w:rPr>
          <w:rFonts w:ascii="KFGQPC Uthmanic Script HAFS" w:cs="KFGQPC Uthmanic Script HAFS" w:hint="cs"/>
          <w:szCs w:val="28"/>
          <w:rtl/>
          <w:lang w:bidi="fa-IR"/>
        </w:rPr>
        <w:t>ٰ</w:t>
      </w:r>
      <w:r w:rsidRPr="0067048A">
        <w:rPr>
          <w:rFonts w:ascii="KFGQPC Uthmanic Script HAFS" w:cs="KFGQPC Uthmanic Script HAFS" w:hint="eastAsia"/>
          <w:szCs w:val="28"/>
          <w:rtl/>
          <w:lang w:bidi="fa-IR"/>
        </w:rPr>
        <w:t>تِ</w:t>
      </w:r>
      <w:r w:rsidRPr="0067048A">
        <w:rPr>
          <w:rFonts w:ascii="KFGQPC Uthmanic Script HAFS" w:cs="KFGQPC Uthmanic Script HAFS"/>
          <w:szCs w:val="28"/>
          <w:rtl/>
          <w:lang w:bidi="fa-IR"/>
        </w:rPr>
        <w:t xml:space="preserve"> </w:t>
      </w:r>
      <w:r w:rsidRPr="0067048A">
        <w:rPr>
          <w:rFonts w:ascii="KFGQPC Uthmanic Script HAFS" w:cs="KFGQPC Uthmanic Script HAFS" w:hint="eastAsia"/>
          <w:szCs w:val="28"/>
          <w:rtl/>
          <w:lang w:bidi="fa-IR"/>
        </w:rPr>
        <w:t>وَفَضَّل</w:t>
      </w:r>
      <w:r w:rsidRPr="0067048A">
        <w:rPr>
          <w:rFonts w:ascii="KFGQPC Uthmanic Script HAFS" w:cs="KFGQPC Uthmanic Script HAFS" w:hint="cs"/>
          <w:szCs w:val="28"/>
          <w:rtl/>
          <w:lang w:bidi="fa-IR"/>
        </w:rPr>
        <w:t>ۡ</w:t>
      </w:r>
      <w:r w:rsidRPr="0067048A">
        <w:rPr>
          <w:rFonts w:ascii="KFGQPC Uthmanic Script HAFS" w:cs="KFGQPC Uthmanic Script HAFS" w:hint="eastAsia"/>
          <w:szCs w:val="28"/>
          <w:rtl/>
          <w:lang w:bidi="fa-IR"/>
        </w:rPr>
        <w:t>نَ</w:t>
      </w:r>
      <w:r w:rsidRPr="0067048A">
        <w:rPr>
          <w:rFonts w:ascii="KFGQPC Uthmanic Script HAFS" w:cs="KFGQPC Uthmanic Script HAFS" w:hint="cs"/>
          <w:szCs w:val="28"/>
          <w:rtl/>
          <w:lang w:bidi="fa-IR"/>
        </w:rPr>
        <w:t>ٰ</w:t>
      </w:r>
      <w:r w:rsidRPr="0067048A">
        <w:rPr>
          <w:rFonts w:ascii="KFGQPC Uthmanic Script HAFS" w:cs="KFGQPC Uthmanic Script HAFS" w:hint="eastAsia"/>
          <w:szCs w:val="28"/>
          <w:rtl/>
          <w:lang w:bidi="fa-IR"/>
        </w:rPr>
        <w:t>هُم</w:t>
      </w:r>
      <w:r w:rsidRPr="0067048A">
        <w:rPr>
          <w:rFonts w:ascii="KFGQPC Uthmanic Script HAFS" w:cs="KFGQPC Uthmanic Script HAFS" w:hint="cs"/>
          <w:szCs w:val="28"/>
          <w:rtl/>
          <w:lang w:bidi="fa-IR"/>
        </w:rPr>
        <w:t>ۡ</w:t>
      </w:r>
      <w:r w:rsidRPr="0067048A">
        <w:rPr>
          <w:rFonts w:ascii="KFGQPC Uthmanic Script HAFS" w:cs="KFGQPC Uthmanic Script HAFS"/>
          <w:szCs w:val="28"/>
          <w:rtl/>
          <w:lang w:bidi="fa-IR"/>
        </w:rPr>
        <w:t xml:space="preserve"> </w:t>
      </w:r>
      <w:r w:rsidRPr="0067048A">
        <w:rPr>
          <w:rFonts w:ascii="KFGQPC Uthmanic Script HAFS" w:cs="KFGQPC Uthmanic Script HAFS" w:hint="eastAsia"/>
          <w:szCs w:val="28"/>
          <w:rtl/>
          <w:lang w:bidi="fa-IR"/>
        </w:rPr>
        <w:t>عَلَى</w:t>
      </w:r>
      <w:r w:rsidRPr="0067048A">
        <w:rPr>
          <w:rFonts w:ascii="KFGQPC Uthmanic Script HAFS" w:cs="KFGQPC Uthmanic Script HAFS"/>
          <w:szCs w:val="28"/>
          <w:rtl/>
          <w:lang w:bidi="fa-IR"/>
        </w:rPr>
        <w:t xml:space="preserve"> </w:t>
      </w:r>
      <w:r w:rsidRPr="0067048A">
        <w:rPr>
          <w:rFonts w:ascii="KFGQPC Uthmanic Script HAFS" w:cs="KFGQPC Uthmanic Script HAFS" w:hint="cs"/>
          <w:szCs w:val="28"/>
          <w:rtl/>
          <w:lang w:bidi="fa-IR"/>
        </w:rPr>
        <w:t>ٱ</w:t>
      </w:r>
      <w:r w:rsidRPr="0067048A">
        <w:rPr>
          <w:rFonts w:ascii="KFGQPC Uthmanic Script HAFS" w:cs="KFGQPC Uthmanic Script HAFS" w:hint="eastAsia"/>
          <w:szCs w:val="28"/>
          <w:rtl/>
          <w:lang w:bidi="fa-IR"/>
        </w:rPr>
        <w:t>ل</w:t>
      </w:r>
      <w:r w:rsidRPr="0067048A">
        <w:rPr>
          <w:rFonts w:ascii="KFGQPC Uthmanic Script HAFS" w:cs="KFGQPC Uthmanic Script HAFS" w:hint="cs"/>
          <w:szCs w:val="28"/>
          <w:rtl/>
          <w:lang w:bidi="fa-IR"/>
        </w:rPr>
        <w:t>ۡ</w:t>
      </w:r>
      <w:r w:rsidRPr="0067048A">
        <w:rPr>
          <w:rFonts w:ascii="KFGQPC Uthmanic Script HAFS" w:cs="KFGQPC Uthmanic Script HAFS" w:hint="eastAsia"/>
          <w:szCs w:val="28"/>
          <w:rtl/>
          <w:lang w:bidi="fa-IR"/>
        </w:rPr>
        <w:t>عَ</w:t>
      </w:r>
      <w:r w:rsidRPr="0067048A">
        <w:rPr>
          <w:rFonts w:ascii="KFGQPC Uthmanic Script HAFS" w:cs="KFGQPC Uthmanic Script HAFS" w:hint="cs"/>
          <w:szCs w:val="28"/>
          <w:rtl/>
          <w:lang w:bidi="fa-IR"/>
        </w:rPr>
        <w:t>ٰ</w:t>
      </w:r>
      <w:r w:rsidRPr="0067048A">
        <w:rPr>
          <w:rFonts w:ascii="KFGQPC Uthmanic Script HAFS" w:cs="KFGQPC Uthmanic Script HAFS" w:hint="eastAsia"/>
          <w:szCs w:val="28"/>
          <w:rtl/>
          <w:lang w:bidi="fa-IR"/>
        </w:rPr>
        <w:t>لَمِينَ</w:t>
      </w:r>
      <w:r w:rsidRPr="0067048A">
        <w:rPr>
          <w:rFonts w:ascii="KFGQPC Uthmanic Script HAFS" w:cs="KFGQPC Uthmanic Script HAFS"/>
          <w:szCs w:val="28"/>
          <w:rtl/>
          <w:lang w:bidi="fa-IR"/>
        </w:rPr>
        <w:t xml:space="preserve"> </w:t>
      </w:r>
      <w:r w:rsidRPr="0067048A">
        <w:rPr>
          <w:rFonts w:ascii="KFGQPC Uthmanic Script HAFS" w:cs="KFGQPC Uthmanic Script HAFS" w:hint="cs"/>
          <w:szCs w:val="28"/>
          <w:rtl/>
          <w:lang w:bidi="fa-IR"/>
        </w:rPr>
        <w:t>١٦</w:t>
      </w:r>
      <w:r w:rsidRPr="0067048A">
        <w:rPr>
          <w:rFonts w:ascii="KFGQPC Uthmanic Script HAFS" w:cs="KFGQPC Uthmanic Script HAFS"/>
          <w:szCs w:val="28"/>
          <w:rtl/>
          <w:lang w:bidi="fa-IR"/>
        </w:rPr>
        <w:t xml:space="preserve"> </w:t>
      </w:r>
      <w:r w:rsidRPr="0067048A">
        <w:rPr>
          <w:rFonts w:ascii="KFGQPC Uthmanic Script HAFS" w:cs="KFGQPC Uthmanic Script HAFS" w:hint="eastAsia"/>
          <w:szCs w:val="28"/>
          <w:rtl/>
          <w:lang w:bidi="fa-IR"/>
        </w:rPr>
        <w:t>وَءَاتَي</w:t>
      </w:r>
      <w:r w:rsidRPr="0067048A">
        <w:rPr>
          <w:rFonts w:ascii="KFGQPC Uthmanic Script HAFS" w:cs="KFGQPC Uthmanic Script HAFS" w:hint="cs"/>
          <w:szCs w:val="28"/>
          <w:rtl/>
          <w:lang w:bidi="fa-IR"/>
        </w:rPr>
        <w:t>ۡ</w:t>
      </w:r>
      <w:r w:rsidRPr="0067048A">
        <w:rPr>
          <w:rFonts w:ascii="KFGQPC Uthmanic Script HAFS" w:cs="KFGQPC Uthmanic Script HAFS" w:hint="eastAsia"/>
          <w:szCs w:val="28"/>
          <w:rtl/>
          <w:lang w:bidi="fa-IR"/>
        </w:rPr>
        <w:t>نَ</w:t>
      </w:r>
      <w:r w:rsidRPr="0067048A">
        <w:rPr>
          <w:rFonts w:ascii="KFGQPC Uthmanic Script HAFS" w:cs="KFGQPC Uthmanic Script HAFS" w:hint="cs"/>
          <w:szCs w:val="28"/>
          <w:rtl/>
          <w:lang w:bidi="fa-IR"/>
        </w:rPr>
        <w:t>ٰ</w:t>
      </w:r>
      <w:r w:rsidRPr="0067048A">
        <w:rPr>
          <w:rFonts w:ascii="KFGQPC Uthmanic Script HAFS" w:cs="KFGQPC Uthmanic Script HAFS" w:hint="eastAsia"/>
          <w:szCs w:val="28"/>
          <w:rtl/>
          <w:lang w:bidi="fa-IR"/>
        </w:rPr>
        <w:t>هُم</w:t>
      </w:r>
      <w:r w:rsidRPr="0067048A">
        <w:rPr>
          <w:rFonts w:ascii="KFGQPC Uthmanic Script HAFS" w:cs="KFGQPC Uthmanic Script HAFS"/>
          <w:szCs w:val="28"/>
          <w:rtl/>
          <w:lang w:bidi="fa-IR"/>
        </w:rPr>
        <w:t xml:space="preserve"> </w:t>
      </w:r>
      <w:r w:rsidRPr="0067048A">
        <w:rPr>
          <w:rFonts w:ascii="KFGQPC Uthmanic Script HAFS" w:cs="KFGQPC Uthmanic Script HAFS" w:hint="eastAsia"/>
          <w:szCs w:val="28"/>
          <w:rtl/>
          <w:lang w:bidi="fa-IR"/>
        </w:rPr>
        <w:t>بَيِّنَ</w:t>
      </w:r>
      <w:r w:rsidRPr="0067048A">
        <w:rPr>
          <w:rFonts w:ascii="KFGQPC Uthmanic Script HAFS" w:cs="KFGQPC Uthmanic Script HAFS" w:hint="cs"/>
          <w:szCs w:val="28"/>
          <w:rtl/>
          <w:lang w:bidi="fa-IR"/>
        </w:rPr>
        <w:t>ٰ</w:t>
      </w:r>
      <w:r w:rsidRPr="0067048A">
        <w:rPr>
          <w:rFonts w:ascii="KFGQPC Uthmanic Script HAFS" w:cs="KFGQPC Uthmanic Script HAFS" w:hint="eastAsia"/>
          <w:szCs w:val="28"/>
          <w:rtl/>
          <w:lang w:bidi="fa-IR"/>
        </w:rPr>
        <w:t>ت</w:t>
      </w:r>
      <w:r w:rsidRPr="0067048A">
        <w:rPr>
          <w:rFonts w:ascii="KFGQPC Uthmanic Script HAFS" w:cs="KFGQPC Uthmanic Script HAFS" w:hint="cs"/>
          <w:szCs w:val="28"/>
          <w:rtl/>
          <w:lang w:bidi="fa-IR"/>
        </w:rPr>
        <w:t>ٖ</w:t>
      </w:r>
      <w:r w:rsidRPr="0067048A">
        <w:rPr>
          <w:rFonts w:ascii="KFGQPC Uthmanic Script HAFS" w:cs="KFGQPC Uthmanic Script HAFS"/>
          <w:szCs w:val="28"/>
          <w:rtl/>
          <w:lang w:bidi="fa-IR"/>
        </w:rPr>
        <w:t xml:space="preserve"> </w:t>
      </w:r>
      <w:r w:rsidRPr="0067048A">
        <w:rPr>
          <w:rFonts w:ascii="KFGQPC Uthmanic Script HAFS" w:cs="KFGQPC Uthmanic Script HAFS" w:hint="eastAsia"/>
          <w:szCs w:val="28"/>
          <w:rtl/>
          <w:lang w:bidi="fa-IR"/>
        </w:rPr>
        <w:t>مِّنَ</w:t>
      </w:r>
      <w:r w:rsidRPr="0067048A">
        <w:rPr>
          <w:rFonts w:ascii="KFGQPC Uthmanic Script HAFS" w:cs="KFGQPC Uthmanic Script HAFS"/>
          <w:szCs w:val="28"/>
          <w:rtl/>
          <w:lang w:bidi="fa-IR"/>
        </w:rPr>
        <w:t xml:space="preserve"> </w:t>
      </w:r>
      <w:r w:rsidRPr="0067048A">
        <w:rPr>
          <w:rFonts w:ascii="KFGQPC Uthmanic Script HAFS" w:cs="KFGQPC Uthmanic Script HAFS" w:hint="cs"/>
          <w:szCs w:val="28"/>
          <w:rtl/>
          <w:lang w:bidi="fa-IR"/>
        </w:rPr>
        <w:t>ٱ</w:t>
      </w:r>
      <w:r w:rsidRPr="0067048A">
        <w:rPr>
          <w:rFonts w:ascii="KFGQPC Uthmanic Script HAFS" w:cs="KFGQPC Uthmanic Script HAFS" w:hint="eastAsia"/>
          <w:szCs w:val="28"/>
          <w:rtl/>
          <w:lang w:bidi="fa-IR"/>
        </w:rPr>
        <w:t>ل</w:t>
      </w:r>
      <w:r w:rsidRPr="0067048A">
        <w:rPr>
          <w:rFonts w:ascii="KFGQPC Uthmanic Script HAFS" w:cs="KFGQPC Uthmanic Script HAFS" w:hint="cs"/>
          <w:szCs w:val="28"/>
          <w:rtl/>
          <w:lang w:bidi="fa-IR"/>
        </w:rPr>
        <w:t>ۡ</w:t>
      </w:r>
      <w:r w:rsidRPr="0067048A">
        <w:rPr>
          <w:rFonts w:ascii="KFGQPC Uthmanic Script HAFS" w:cs="KFGQPC Uthmanic Script HAFS" w:hint="eastAsia"/>
          <w:szCs w:val="28"/>
          <w:rtl/>
          <w:lang w:bidi="fa-IR"/>
        </w:rPr>
        <w:t>أَم</w:t>
      </w:r>
      <w:r w:rsidRPr="0067048A">
        <w:rPr>
          <w:rFonts w:ascii="KFGQPC Uthmanic Script HAFS" w:cs="KFGQPC Uthmanic Script HAFS" w:hint="cs"/>
          <w:szCs w:val="28"/>
          <w:rtl/>
          <w:lang w:bidi="fa-IR"/>
        </w:rPr>
        <w:t>ۡ</w:t>
      </w:r>
      <w:r w:rsidRPr="0067048A">
        <w:rPr>
          <w:rFonts w:ascii="KFGQPC Uthmanic Script HAFS" w:cs="KFGQPC Uthmanic Script HAFS" w:hint="eastAsia"/>
          <w:szCs w:val="28"/>
          <w:rtl/>
          <w:lang w:bidi="fa-IR"/>
        </w:rPr>
        <w:t>رِ</w:t>
      </w:r>
      <w:r w:rsidRPr="0067048A">
        <w:rPr>
          <w:rFonts w:ascii="KFGQPC Uthmanic Script HAFS" w:cs="KFGQPC Uthmanic Script HAFS" w:hint="cs"/>
          <w:szCs w:val="28"/>
          <w:rtl/>
          <w:lang w:bidi="fa-IR"/>
        </w:rPr>
        <w:t>ۖ</w:t>
      </w:r>
      <w:r w:rsidRPr="0067048A">
        <w:rPr>
          <w:rFonts w:ascii="KFGQPC Uthmanic Script HAFS" w:cs="KFGQPC Uthmanic Script HAFS"/>
          <w:szCs w:val="28"/>
          <w:rtl/>
          <w:lang w:bidi="fa-IR"/>
        </w:rPr>
        <w:t xml:space="preserve"> </w:t>
      </w:r>
      <w:r w:rsidRPr="0067048A">
        <w:rPr>
          <w:rFonts w:ascii="KFGQPC Uthmanic Script HAFS" w:cs="KFGQPC Uthmanic Script HAFS" w:hint="eastAsia"/>
          <w:szCs w:val="28"/>
          <w:rtl/>
          <w:lang w:bidi="fa-IR"/>
        </w:rPr>
        <w:t>فَمَا</w:t>
      </w:r>
      <w:r w:rsidRPr="0067048A">
        <w:rPr>
          <w:rFonts w:ascii="KFGQPC Uthmanic Script HAFS" w:cs="KFGQPC Uthmanic Script HAFS"/>
          <w:szCs w:val="28"/>
          <w:rtl/>
          <w:lang w:bidi="fa-IR"/>
        </w:rPr>
        <w:t xml:space="preserve"> </w:t>
      </w:r>
      <w:r w:rsidRPr="0067048A">
        <w:rPr>
          <w:rFonts w:ascii="KFGQPC Uthmanic Script HAFS" w:cs="KFGQPC Uthmanic Script HAFS" w:hint="cs"/>
          <w:szCs w:val="28"/>
          <w:rtl/>
          <w:lang w:bidi="fa-IR"/>
        </w:rPr>
        <w:t>ٱ</w:t>
      </w:r>
      <w:r w:rsidRPr="0067048A">
        <w:rPr>
          <w:rFonts w:ascii="KFGQPC Uthmanic Script HAFS" w:cs="KFGQPC Uthmanic Script HAFS" w:hint="eastAsia"/>
          <w:szCs w:val="28"/>
          <w:rtl/>
          <w:lang w:bidi="fa-IR"/>
        </w:rPr>
        <w:t>خ</w:t>
      </w:r>
      <w:r w:rsidRPr="0067048A">
        <w:rPr>
          <w:rFonts w:ascii="KFGQPC Uthmanic Script HAFS" w:cs="KFGQPC Uthmanic Script HAFS" w:hint="cs"/>
          <w:szCs w:val="28"/>
          <w:rtl/>
          <w:lang w:bidi="fa-IR"/>
        </w:rPr>
        <w:t>ۡ</w:t>
      </w:r>
      <w:r w:rsidRPr="0067048A">
        <w:rPr>
          <w:rFonts w:ascii="KFGQPC Uthmanic Script HAFS" w:cs="KFGQPC Uthmanic Script HAFS" w:hint="eastAsia"/>
          <w:szCs w:val="28"/>
          <w:rtl/>
          <w:lang w:bidi="fa-IR"/>
        </w:rPr>
        <w:t>تَلَفُو</w:t>
      </w:r>
      <w:r w:rsidRPr="0067048A">
        <w:rPr>
          <w:rFonts w:ascii="KFGQPC Uthmanic Script HAFS" w:cs="KFGQPC Uthmanic Script HAFS" w:hint="cs"/>
          <w:szCs w:val="28"/>
          <w:rtl/>
          <w:lang w:bidi="fa-IR"/>
        </w:rPr>
        <w:t>ٓ</w:t>
      </w:r>
      <w:r w:rsidRPr="0067048A">
        <w:rPr>
          <w:rFonts w:ascii="KFGQPC Uthmanic Script HAFS" w:cs="KFGQPC Uthmanic Script HAFS" w:hint="eastAsia"/>
          <w:szCs w:val="28"/>
          <w:rtl/>
          <w:lang w:bidi="fa-IR"/>
        </w:rPr>
        <w:t>اْ</w:t>
      </w:r>
      <w:r w:rsidRPr="0067048A">
        <w:rPr>
          <w:rFonts w:ascii="KFGQPC Uthmanic Script HAFS" w:cs="KFGQPC Uthmanic Script HAFS"/>
          <w:szCs w:val="28"/>
          <w:rtl/>
          <w:lang w:bidi="fa-IR"/>
        </w:rPr>
        <w:t xml:space="preserve"> </w:t>
      </w:r>
      <w:r w:rsidRPr="0067048A">
        <w:rPr>
          <w:rFonts w:ascii="KFGQPC Uthmanic Script HAFS" w:cs="KFGQPC Uthmanic Script HAFS" w:hint="eastAsia"/>
          <w:szCs w:val="28"/>
          <w:rtl/>
          <w:lang w:bidi="fa-IR"/>
        </w:rPr>
        <w:t>إِلَّا</w:t>
      </w:r>
      <w:r w:rsidRPr="0067048A">
        <w:rPr>
          <w:rFonts w:ascii="KFGQPC Uthmanic Script HAFS" w:cs="KFGQPC Uthmanic Script HAFS"/>
          <w:szCs w:val="28"/>
          <w:rtl/>
          <w:lang w:bidi="fa-IR"/>
        </w:rPr>
        <w:t xml:space="preserve"> </w:t>
      </w:r>
      <w:r w:rsidRPr="0067048A">
        <w:rPr>
          <w:rFonts w:ascii="KFGQPC Uthmanic Script HAFS" w:cs="KFGQPC Uthmanic Script HAFS" w:hint="eastAsia"/>
          <w:szCs w:val="28"/>
          <w:rtl/>
          <w:lang w:bidi="fa-IR"/>
        </w:rPr>
        <w:t>مِن</w:t>
      </w:r>
      <w:r w:rsidRPr="0067048A">
        <w:rPr>
          <w:rFonts w:ascii="KFGQPC Uthmanic Script HAFS" w:cs="KFGQPC Uthmanic Script HAFS" w:hint="cs"/>
          <w:szCs w:val="28"/>
          <w:rtl/>
          <w:lang w:bidi="fa-IR"/>
        </w:rPr>
        <w:t>ۢ</w:t>
      </w:r>
      <w:r w:rsidRPr="0067048A">
        <w:rPr>
          <w:rFonts w:ascii="KFGQPC Uthmanic Script HAFS" w:cs="KFGQPC Uthmanic Script HAFS"/>
          <w:szCs w:val="28"/>
          <w:rtl/>
          <w:lang w:bidi="fa-IR"/>
        </w:rPr>
        <w:t xml:space="preserve"> </w:t>
      </w:r>
      <w:r w:rsidRPr="0067048A">
        <w:rPr>
          <w:rFonts w:ascii="KFGQPC Uthmanic Script HAFS" w:cs="KFGQPC Uthmanic Script HAFS" w:hint="eastAsia"/>
          <w:szCs w:val="28"/>
          <w:rtl/>
          <w:lang w:bidi="fa-IR"/>
        </w:rPr>
        <w:t>بَع</w:t>
      </w:r>
      <w:r w:rsidRPr="0067048A">
        <w:rPr>
          <w:rFonts w:ascii="KFGQPC Uthmanic Script HAFS" w:cs="KFGQPC Uthmanic Script HAFS" w:hint="cs"/>
          <w:szCs w:val="28"/>
          <w:rtl/>
          <w:lang w:bidi="fa-IR"/>
        </w:rPr>
        <w:t>ۡ</w:t>
      </w:r>
      <w:r w:rsidRPr="0067048A">
        <w:rPr>
          <w:rFonts w:ascii="KFGQPC Uthmanic Script HAFS" w:cs="KFGQPC Uthmanic Script HAFS" w:hint="eastAsia"/>
          <w:szCs w:val="28"/>
          <w:rtl/>
          <w:lang w:bidi="fa-IR"/>
        </w:rPr>
        <w:t>دِ</w:t>
      </w:r>
      <w:r w:rsidRPr="0067048A">
        <w:rPr>
          <w:rFonts w:ascii="KFGQPC Uthmanic Script HAFS" w:cs="KFGQPC Uthmanic Script HAFS"/>
          <w:szCs w:val="28"/>
          <w:rtl/>
          <w:lang w:bidi="fa-IR"/>
        </w:rPr>
        <w:t xml:space="preserve"> </w:t>
      </w:r>
      <w:r w:rsidRPr="0067048A">
        <w:rPr>
          <w:rFonts w:ascii="KFGQPC Uthmanic Script HAFS" w:cs="KFGQPC Uthmanic Script HAFS" w:hint="eastAsia"/>
          <w:szCs w:val="28"/>
          <w:rtl/>
          <w:lang w:bidi="fa-IR"/>
        </w:rPr>
        <w:t>مَا</w:t>
      </w:r>
      <w:r w:rsidRPr="0067048A">
        <w:rPr>
          <w:rFonts w:ascii="KFGQPC Uthmanic Script HAFS" w:cs="KFGQPC Uthmanic Script HAFS"/>
          <w:szCs w:val="28"/>
          <w:rtl/>
          <w:lang w:bidi="fa-IR"/>
        </w:rPr>
        <w:t xml:space="preserve"> </w:t>
      </w:r>
      <w:r w:rsidRPr="0067048A">
        <w:rPr>
          <w:rFonts w:ascii="KFGQPC Uthmanic Script HAFS" w:cs="KFGQPC Uthmanic Script HAFS" w:hint="eastAsia"/>
          <w:szCs w:val="28"/>
          <w:rtl/>
          <w:lang w:bidi="fa-IR"/>
        </w:rPr>
        <w:t>جَا</w:t>
      </w:r>
      <w:r w:rsidRPr="0067048A">
        <w:rPr>
          <w:rFonts w:ascii="KFGQPC Uthmanic Script HAFS" w:cs="KFGQPC Uthmanic Script HAFS" w:hint="cs"/>
          <w:szCs w:val="28"/>
          <w:rtl/>
          <w:lang w:bidi="fa-IR"/>
        </w:rPr>
        <w:t>ٓ</w:t>
      </w:r>
      <w:r w:rsidRPr="0067048A">
        <w:rPr>
          <w:rFonts w:ascii="KFGQPC Uthmanic Script HAFS" w:cs="KFGQPC Uthmanic Script HAFS" w:hint="eastAsia"/>
          <w:szCs w:val="28"/>
          <w:rtl/>
          <w:lang w:bidi="fa-IR"/>
        </w:rPr>
        <w:t>ءَهُمُ</w:t>
      </w:r>
      <w:r w:rsidRPr="0067048A">
        <w:rPr>
          <w:rFonts w:ascii="KFGQPC Uthmanic Script HAFS" w:cs="KFGQPC Uthmanic Script HAFS"/>
          <w:szCs w:val="28"/>
          <w:rtl/>
          <w:lang w:bidi="fa-IR"/>
        </w:rPr>
        <w:t xml:space="preserve"> </w:t>
      </w:r>
      <w:r w:rsidRPr="0067048A">
        <w:rPr>
          <w:rFonts w:ascii="KFGQPC Uthmanic Script HAFS" w:cs="KFGQPC Uthmanic Script HAFS" w:hint="cs"/>
          <w:szCs w:val="28"/>
          <w:rtl/>
          <w:lang w:bidi="fa-IR"/>
        </w:rPr>
        <w:t>ٱ</w:t>
      </w:r>
      <w:r w:rsidRPr="0067048A">
        <w:rPr>
          <w:rFonts w:ascii="KFGQPC Uthmanic Script HAFS" w:cs="KFGQPC Uthmanic Script HAFS" w:hint="eastAsia"/>
          <w:szCs w:val="28"/>
          <w:rtl/>
          <w:lang w:bidi="fa-IR"/>
        </w:rPr>
        <w:t>ل</w:t>
      </w:r>
      <w:r w:rsidRPr="0067048A">
        <w:rPr>
          <w:rFonts w:ascii="KFGQPC Uthmanic Script HAFS" w:cs="KFGQPC Uthmanic Script HAFS" w:hint="cs"/>
          <w:szCs w:val="28"/>
          <w:rtl/>
          <w:lang w:bidi="fa-IR"/>
        </w:rPr>
        <w:t>ۡ</w:t>
      </w:r>
      <w:r w:rsidRPr="0067048A">
        <w:rPr>
          <w:rFonts w:ascii="KFGQPC Uthmanic Script HAFS" w:cs="KFGQPC Uthmanic Script HAFS" w:hint="eastAsia"/>
          <w:szCs w:val="28"/>
          <w:rtl/>
          <w:lang w:bidi="fa-IR"/>
        </w:rPr>
        <w:t>عِل</w:t>
      </w:r>
      <w:r w:rsidRPr="0067048A">
        <w:rPr>
          <w:rFonts w:ascii="KFGQPC Uthmanic Script HAFS" w:cs="KFGQPC Uthmanic Script HAFS" w:hint="cs"/>
          <w:szCs w:val="28"/>
          <w:rtl/>
          <w:lang w:bidi="fa-IR"/>
        </w:rPr>
        <w:t>ۡ</w:t>
      </w:r>
      <w:r w:rsidRPr="0067048A">
        <w:rPr>
          <w:rFonts w:ascii="KFGQPC Uthmanic Script HAFS" w:cs="KFGQPC Uthmanic Script HAFS" w:hint="eastAsia"/>
          <w:szCs w:val="28"/>
          <w:rtl/>
          <w:lang w:bidi="fa-IR"/>
        </w:rPr>
        <w:t>مُ</w:t>
      </w:r>
      <w:r w:rsidRPr="0067048A">
        <w:rPr>
          <w:rFonts w:ascii="KFGQPC Uthmanic Script HAFS" w:cs="KFGQPC Uthmanic Script HAFS"/>
          <w:szCs w:val="28"/>
          <w:rtl/>
          <w:lang w:bidi="fa-IR"/>
        </w:rPr>
        <w:t xml:space="preserve"> </w:t>
      </w:r>
      <w:r w:rsidRPr="0067048A">
        <w:rPr>
          <w:rFonts w:ascii="KFGQPC Uthmanic Script HAFS" w:cs="KFGQPC Uthmanic Script HAFS" w:hint="eastAsia"/>
          <w:szCs w:val="28"/>
          <w:rtl/>
          <w:lang w:bidi="fa-IR"/>
        </w:rPr>
        <w:t>بَغ</w:t>
      </w:r>
      <w:r w:rsidRPr="0067048A">
        <w:rPr>
          <w:rFonts w:ascii="KFGQPC Uthmanic Script HAFS" w:cs="KFGQPC Uthmanic Script HAFS" w:hint="cs"/>
          <w:szCs w:val="28"/>
          <w:rtl/>
          <w:lang w:bidi="fa-IR"/>
        </w:rPr>
        <w:t>ۡ</w:t>
      </w:r>
      <w:r w:rsidRPr="0067048A">
        <w:rPr>
          <w:rFonts w:ascii="KFGQPC Uthmanic Script HAFS" w:cs="KFGQPC Uthmanic Script HAFS" w:hint="eastAsia"/>
          <w:szCs w:val="28"/>
          <w:rtl/>
          <w:lang w:bidi="fa-IR"/>
        </w:rPr>
        <w:t>يَ</w:t>
      </w:r>
      <w:r w:rsidRPr="0067048A">
        <w:rPr>
          <w:rFonts w:ascii="KFGQPC Uthmanic Script HAFS" w:cs="KFGQPC Uthmanic Script HAFS" w:hint="cs"/>
          <w:szCs w:val="28"/>
          <w:rtl/>
          <w:lang w:bidi="fa-IR"/>
        </w:rPr>
        <w:t>ۢ</w:t>
      </w:r>
      <w:r w:rsidRPr="0067048A">
        <w:rPr>
          <w:rFonts w:ascii="KFGQPC Uthmanic Script HAFS" w:cs="KFGQPC Uthmanic Script HAFS" w:hint="eastAsia"/>
          <w:szCs w:val="28"/>
          <w:rtl/>
          <w:lang w:bidi="fa-IR"/>
        </w:rPr>
        <w:t>ا</w:t>
      </w:r>
      <w:r w:rsidRPr="0067048A">
        <w:rPr>
          <w:rFonts w:ascii="KFGQPC Uthmanic Script HAFS" w:cs="KFGQPC Uthmanic Script HAFS"/>
          <w:szCs w:val="28"/>
          <w:rtl/>
          <w:lang w:bidi="fa-IR"/>
        </w:rPr>
        <w:t xml:space="preserve"> </w:t>
      </w:r>
      <w:r w:rsidRPr="0067048A">
        <w:rPr>
          <w:rFonts w:ascii="KFGQPC Uthmanic Script HAFS" w:cs="KFGQPC Uthmanic Script HAFS" w:hint="eastAsia"/>
          <w:szCs w:val="28"/>
          <w:rtl/>
          <w:lang w:bidi="fa-IR"/>
        </w:rPr>
        <w:t>بَي</w:t>
      </w:r>
      <w:r w:rsidRPr="0067048A">
        <w:rPr>
          <w:rFonts w:ascii="KFGQPC Uthmanic Script HAFS" w:cs="KFGQPC Uthmanic Script HAFS" w:hint="cs"/>
          <w:szCs w:val="28"/>
          <w:rtl/>
          <w:lang w:bidi="fa-IR"/>
        </w:rPr>
        <w:t>ۡ</w:t>
      </w:r>
      <w:r w:rsidRPr="0067048A">
        <w:rPr>
          <w:rFonts w:ascii="KFGQPC Uthmanic Script HAFS" w:cs="KFGQPC Uthmanic Script HAFS" w:hint="eastAsia"/>
          <w:szCs w:val="28"/>
          <w:rtl/>
          <w:lang w:bidi="fa-IR"/>
        </w:rPr>
        <w:t>نَهُم</w:t>
      </w:r>
      <w:r w:rsidRPr="0067048A">
        <w:rPr>
          <w:rFonts w:ascii="KFGQPC Uthmanic Script HAFS" w:cs="KFGQPC Uthmanic Script HAFS" w:hint="cs"/>
          <w:szCs w:val="28"/>
          <w:rtl/>
          <w:lang w:bidi="fa-IR"/>
        </w:rPr>
        <w:t>ۡۚ</w:t>
      </w:r>
      <w:r w:rsidRPr="0067048A">
        <w:rPr>
          <w:rFonts w:ascii="KFGQPC Uthmanic Script HAFS" w:cs="KFGQPC Uthmanic Script HAFS"/>
          <w:szCs w:val="28"/>
          <w:rtl/>
          <w:lang w:bidi="fa-IR"/>
        </w:rPr>
        <w:t xml:space="preserve"> </w:t>
      </w:r>
      <w:r w:rsidRPr="0067048A">
        <w:rPr>
          <w:rFonts w:ascii="KFGQPC Uthmanic Script HAFS" w:cs="KFGQPC Uthmanic Script HAFS" w:hint="eastAsia"/>
          <w:szCs w:val="28"/>
          <w:rtl/>
          <w:lang w:bidi="fa-IR"/>
        </w:rPr>
        <w:t>إِنَّ</w:t>
      </w:r>
      <w:r w:rsidRPr="0067048A">
        <w:rPr>
          <w:rFonts w:ascii="KFGQPC Uthmanic Script HAFS" w:cs="KFGQPC Uthmanic Script HAFS"/>
          <w:szCs w:val="28"/>
          <w:rtl/>
          <w:lang w:bidi="fa-IR"/>
        </w:rPr>
        <w:t xml:space="preserve"> </w:t>
      </w:r>
      <w:r w:rsidRPr="0067048A">
        <w:rPr>
          <w:rFonts w:ascii="KFGQPC Uthmanic Script HAFS" w:cs="KFGQPC Uthmanic Script HAFS" w:hint="eastAsia"/>
          <w:szCs w:val="28"/>
          <w:rtl/>
          <w:lang w:bidi="fa-IR"/>
        </w:rPr>
        <w:t>رَبَّكَ</w:t>
      </w:r>
      <w:r w:rsidRPr="0067048A">
        <w:rPr>
          <w:rFonts w:ascii="KFGQPC Uthmanic Script HAFS" w:cs="KFGQPC Uthmanic Script HAFS"/>
          <w:szCs w:val="28"/>
          <w:rtl/>
          <w:lang w:bidi="fa-IR"/>
        </w:rPr>
        <w:t xml:space="preserve"> </w:t>
      </w:r>
      <w:r w:rsidRPr="0067048A">
        <w:rPr>
          <w:rFonts w:ascii="KFGQPC Uthmanic Script HAFS" w:cs="KFGQPC Uthmanic Script HAFS" w:hint="eastAsia"/>
          <w:szCs w:val="28"/>
          <w:rtl/>
          <w:lang w:bidi="fa-IR"/>
        </w:rPr>
        <w:t>يَق</w:t>
      </w:r>
      <w:r w:rsidRPr="0067048A">
        <w:rPr>
          <w:rFonts w:ascii="KFGQPC Uthmanic Script HAFS" w:cs="KFGQPC Uthmanic Script HAFS" w:hint="cs"/>
          <w:szCs w:val="28"/>
          <w:rtl/>
          <w:lang w:bidi="fa-IR"/>
        </w:rPr>
        <w:t>ۡ</w:t>
      </w:r>
      <w:r w:rsidRPr="0067048A">
        <w:rPr>
          <w:rFonts w:ascii="KFGQPC Uthmanic Script HAFS" w:cs="KFGQPC Uthmanic Script HAFS" w:hint="eastAsia"/>
          <w:szCs w:val="28"/>
          <w:rtl/>
          <w:lang w:bidi="fa-IR"/>
        </w:rPr>
        <w:t>ضِي</w:t>
      </w:r>
      <w:r w:rsidRPr="0067048A">
        <w:rPr>
          <w:rFonts w:ascii="KFGQPC Uthmanic Script HAFS" w:cs="KFGQPC Uthmanic Script HAFS"/>
          <w:szCs w:val="28"/>
          <w:rtl/>
          <w:lang w:bidi="fa-IR"/>
        </w:rPr>
        <w:t xml:space="preserve"> </w:t>
      </w:r>
      <w:r w:rsidRPr="0067048A">
        <w:rPr>
          <w:rFonts w:ascii="KFGQPC Uthmanic Script HAFS" w:cs="KFGQPC Uthmanic Script HAFS" w:hint="eastAsia"/>
          <w:szCs w:val="28"/>
          <w:rtl/>
          <w:lang w:bidi="fa-IR"/>
        </w:rPr>
        <w:t>بَي</w:t>
      </w:r>
      <w:r w:rsidRPr="0067048A">
        <w:rPr>
          <w:rFonts w:ascii="KFGQPC Uthmanic Script HAFS" w:cs="KFGQPC Uthmanic Script HAFS" w:hint="cs"/>
          <w:szCs w:val="28"/>
          <w:rtl/>
          <w:lang w:bidi="fa-IR"/>
        </w:rPr>
        <w:t>ۡ</w:t>
      </w:r>
      <w:r w:rsidRPr="0067048A">
        <w:rPr>
          <w:rFonts w:ascii="KFGQPC Uthmanic Script HAFS" w:cs="KFGQPC Uthmanic Script HAFS" w:hint="eastAsia"/>
          <w:szCs w:val="28"/>
          <w:rtl/>
          <w:lang w:bidi="fa-IR"/>
        </w:rPr>
        <w:t>نَهُم</w:t>
      </w:r>
      <w:r w:rsidRPr="0067048A">
        <w:rPr>
          <w:rFonts w:ascii="KFGQPC Uthmanic Script HAFS" w:cs="KFGQPC Uthmanic Script HAFS" w:hint="cs"/>
          <w:szCs w:val="28"/>
          <w:rtl/>
          <w:lang w:bidi="fa-IR"/>
        </w:rPr>
        <w:t>ۡ</w:t>
      </w:r>
      <w:r w:rsidRPr="0067048A">
        <w:rPr>
          <w:rFonts w:ascii="KFGQPC Uthmanic Script HAFS" w:cs="KFGQPC Uthmanic Script HAFS"/>
          <w:szCs w:val="28"/>
          <w:rtl/>
          <w:lang w:bidi="fa-IR"/>
        </w:rPr>
        <w:t xml:space="preserve"> </w:t>
      </w:r>
      <w:r w:rsidRPr="0067048A">
        <w:rPr>
          <w:rFonts w:ascii="KFGQPC Uthmanic Script HAFS" w:cs="KFGQPC Uthmanic Script HAFS" w:hint="eastAsia"/>
          <w:szCs w:val="28"/>
          <w:rtl/>
          <w:lang w:bidi="fa-IR"/>
        </w:rPr>
        <w:t>يَو</w:t>
      </w:r>
      <w:r w:rsidRPr="0067048A">
        <w:rPr>
          <w:rFonts w:ascii="KFGQPC Uthmanic Script HAFS" w:cs="KFGQPC Uthmanic Script HAFS" w:hint="cs"/>
          <w:szCs w:val="28"/>
          <w:rtl/>
          <w:lang w:bidi="fa-IR"/>
        </w:rPr>
        <w:t>ۡ</w:t>
      </w:r>
      <w:r w:rsidRPr="0067048A">
        <w:rPr>
          <w:rFonts w:ascii="KFGQPC Uthmanic Script HAFS" w:cs="KFGQPC Uthmanic Script HAFS" w:hint="eastAsia"/>
          <w:szCs w:val="28"/>
          <w:rtl/>
          <w:lang w:bidi="fa-IR"/>
        </w:rPr>
        <w:t>مَ</w:t>
      </w:r>
      <w:r w:rsidRPr="0067048A">
        <w:rPr>
          <w:rFonts w:ascii="KFGQPC Uthmanic Script HAFS" w:cs="KFGQPC Uthmanic Script HAFS"/>
          <w:szCs w:val="28"/>
          <w:rtl/>
          <w:lang w:bidi="fa-IR"/>
        </w:rPr>
        <w:t xml:space="preserve"> </w:t>
      </w:r>
      <w:r w:rsidRPr="0067048A">
        <w:rPr>
          <w:rFonts w:ascii="KFGQPC Uthmanic Script HAFS" w:cs="KFGQPC Uthmanic Script HAFS" w:hint="cs"/>
          <w:szCs w:val="28"/>
          <w:rtl/>
          <w:lang w:bidi="fa-IR"/>
        </w:rPr>
        <w:t>ٱ</w:t>
      </w:r>
      <w:r w:rsidRPr="0067048A">
        <w:rPr>
          <w:rFonts w:ascii="KFGQPC Uthmanic Script HAFS" w:cs="KFGQPC Uthmanic Script HAFS" w:hint="eastAsia"/>
          <w:szCs w:val="28"/>
          <w:rtl/>
          <w:lang w:bidi="fa-IR"/>
        </w:rPr>
        <w:t>ل</w:t>
      </w:r>
      <w:r w:rsidRPr="0067048A">
        <w:rPr>
          <w:rFonts w:ascii="KFGQPC Uthmanic Script HAFS" w:cs="KFGQPC Uthmanic Script HAFS" w:hint="cs"/>
          <w:szCs w:val="28"/>
          <w:rtl/>
          <w:lang w:bidi="fa-IR"/>
        </w:rPr>
        <w:t>ۡ</w:t>
      </w:r>
      <w:r w:rsidRPr="0067048A">
        <w:rPr>
          <w:rFonts w:ascii="KFGQPC Uthmanic Script HAFS" w:cs="KFGQPC Uthmanic Script HAFS" w:hint="eastAsia"/>
          <w:szCs w:val="28"/>
          <w:rtl/>
          <w:lang w:bidi="fa-IR"/>
        </w:rPr>
        <w:t>قِيَ</w:t>
      </w:r>
      <w:r w:rsidRPr="0067048A">
        <w:rPr>
          <w:rFonts w:ascii="KFGQPC Uthmanic Script HAFS" w:cs="KFGQPC Uthmanic Script HAFS" w:hint="cs"/>
          <w:szCs w:val="28"/>
          <w:rtl/>
          <w:lang w:bidi="fa-IR"/>
        </w:rPr>
        <w:t>ٰ</w:t>
      </w:r>
      <w:r w:rsidRPr="0067048A">
        <w:rPr>
          <w:rFonts w:ascii="KFGQPC Uthmanic Script HAFS" w:cs="KFGQPC Uthmanic Script HAFS" w:hint="eastAsia"/>
          <w:szCs w:val="28"/>
          <w:rtl/>
          <w:lang w:bidi="fa-IR"/>
        </w:rPr>
        <w:t>مَةِ</w:t>
      </w:r>
      <w:r w:rsidRPr="0067048A">
        <w:rPr>
          <w:rFonts w:ascii="KFGQPC Uthmanic Script HAFS" w:cs="KFGQPC Uthmanic Script HAFS"/>
          <w:szCs w:val="28"/>
          <w:rtl/>
          <w:lang w:bidi="fa-IR"/>
        </w:rPr>
        <w:t xml:space="preserve"> </w:t>
      </w:r>
      <w:r w:rsidRPr="0067048A">
        <w:rPr>
          <w:rFonts w:ascii="KFGQPC Uthmanic Script HAFS" w:cs="KFGQPC Uthmanic Script HAFS" w:hint="eastAsia"/>
          <w:szCs w:val="28"/>
          <w:rtl/>
          <w:lang w:bidi="fa-IR"/>
        </w:rPr>
        <w:t>فِيمَا</w:t>
      </w:r>
      <w:r w:rsidRPr="0067048A">
        <w:rPr>
          <w:rFonts w:ascii="KFGQPC Uthmanic Script HAFS" w:cs="KFGQPC Uthmanic Script HAFS"/>
          <w:szCs w:val="28"/>
          <w:rtl/>
          <w:lang w:bidi="fa-IR"/>
        </w:rPr>
        <w:t xml:space="preserve"> </w:t>
      </w:r>
      <w:r w:rsidRPr="0067048A">
        <w:rPr>
          <w:rFonts w:ascii="KFGQPC Uthmanic Script HAFS" w:cs="KFGQPC Uthmanic Script HAFS" w:hint="eastAsia"/>
          <w:szCs w:val="28"/>
          <w:rtl/>
          <w:lang w:bidi="fa-IR"/>
        </w:rPr>
        <w:t>كَانُواْ</w:t>
      </w:r>
      <w:r w:rsidRPr="0067048A">
        <w:rPr>
          <w:rFonts w:ascii="KFGQPC Uthmanic Script HAFS" w:cs="KFGQPC Uthmanic Script HAFS"/>
          <w:szCs w:val="28"/>
          <w:rtl/>
          <w:lang w:bidi="fa-IR"/>
        </w:rPr>
        <w:t xml:space="preserve"> </w:t>
      </w:r>
      <w:r w:rsidRPr="0067048A">
        <w:rPr>
          <w:rFonts w:ascii="KFGQPC Uthmanic Script HAFS" w:cs="KFGQPC Uthmanic Script HAFS" w:hint="eastAsia"/>
          <w:szCs w:val="28"/>
          <w:rtl/>
          <w:lang w:bidi="fa-IR"/>
        </w:rPr>
        <w:t>فِيهِ</w:t>
      </w:r>
      <w:r w:rsidRPr="0067048A">
        <w:rPr>
          <w:rFonts w:ascii="KFGQPC Uthmanic Script HAFS" w:cs="KFGQPC Uthmanic Script HAFS"/>
          <w:szCs w:val="28"/>
          <w:rtl/>
          <w:lang w:bidi="fa-IR"/>
        </w:rPr>
        <w:t xml:space="preserve"> </w:t>
      </w:r>
      <w:r w:rsidRPr="0067048A">
        <w:rPr>
          <w:rFonts w:ascii="KFGQPC Uthmanic Script HAFS" w:cs="KFGQPC Uthmanic Script HAFS" w:hint="eastAsia"/>
          <w:szCs w:val="28"/>
          <w:rtl/>
          <w:lang w:bidi="fa-IR"/>
        </w:rPr>
        <w:t>يَخ</w:t>
      </w:r>
      <w:r w:rsidRPr="0067048A">
        <w:rPr>
          <w:rFonts w:ascii="KFGQPC Uthmanic Script HAFS" w:cs="KFGQPC Uthmanic Script HAFS" w:hint="cs"/>
          <w:szCs w:val="28"/>
          <w:rtl/>
          <w:lang w:bidi="fa-IR"/>
        </w:rPr>
        <w:t>ۡ</w:t>
      </w:r>
      <w:r w:rsidRPr="0067048A">
        <w:rPr>
          <w:rFonts w:ascii="KFGQPC Uthmanic Script HAFS" w:cs="KFGQPC Uthmanic Script HAFS" w:hint="eastAsia"/>
          <w:szCs w:val="28"/>
          <w:rtl/>
          <w:lang w:bidi="fa-IR"/>
        </w:rPr>
        <w:t>تَلِفُونَ</w:t>
      </w:r>
      <w:r w:rsidRPr="0067048A">
        <w:rPr>
          <w:rFonts w:ascii="KFGQPC Uthmanic Script HAFS" w:cs="KFGQPC Uthmanic Script HAFS"/>
          <w:szCs w:val="28"/>
          <w:rtl/>
          <w:lang w:bidi="fa-IR"/>
        </w:rPr>
        <w:t xml:space="preserve"> </w:t>
      </w:r>
      <w:r w:rsidRPr="0067048A">
        <w:rPr>
          <w:rFonts w:ascii="KFGQPC Uthmanic Script HAFS" w:cs="KFGQPC Uthmanic Script HAFS" w:hint="cs"/>
          <w:szCs w:val="28"/>
          <w:rtl/>
          <w:lang w:bidi="fa-IR"/>
        </w:rPr>
        <w:t>١٧</w:t>
      </w:r>
      <w:r w:rsidRPr="0067048A">
        <w:rPr>
          <w:rFonts w:ascii="KFGQPC Uthmanic Script HAFS" w:cs="KFGQPC Uthmanic Script HAFS"/>
          <w:szCs w:val="28"/>
          <w:rtl/>
          <w:lang w:bidi="fa-IR"/>
        </w:rPr>
        <w:t xml:space="preserve"> </w:t>
      </w:r>
      <w:r w:rsidRPr="0067048A">
        <w:rPr>
          <w:rFonts w:ascii="KFGQPC Uthmanic Script HAFS" w:cs="KFGQPC Uthmanic Script HAFS" w:hint="eastAsia"/>
          <w:szCs w:val="28"/>
          <w:rtl/>
          <w:lang w:bidi="fa-IR"/>
        </w:rPr>
        <w:t>ثُمَّ</w:t>
      </w:r>
      <w:r w:rsidRPr="0067048A">
        <w:rPr>
          <w:rFonts w:ascii="KFGQPC Uthmanic Script HAFS" w:cs="KFGQPC Uthmanic Script HAFS"/>
          <w:szCs w:val="28"/>
          <w:rtl/>
          <w:lang w:bidi="fa-IR"/>
        </w:rPr>
        <w:t xml:space="preserve"> </w:t>
      </w:r>
      <w:r w:rsidRPr="0067048A">
        <w:rPr>
          <w:rFonts w:ascii="KFGQPC Uthmanic Script HAFS" w:cs="KFGQPC Uthmanic Script HAFS" w:hint="eastAsia"/>
          <w:szCs w:val="28"/>
          <w:rtl/>
          <w:lang w:bidi="fa-IR"/>
        </w:rPr>
        <w:t>جَعَل</w:t>
      </w:r>
      <w:r w:rsidRPr="0067048A">
        <w:rPr>
          <w:rFonts w:ascii="KFGQPC Uthmanic Script HAFS" w:cs="KFGQPC Uthmanic Script HAFS" w:hint="cs"/>
          <w:szCs w:val="28"/>
          <w:rtl/>
          <w:lang w:bidi="fa-IR"/>
        </w:rPr>
        <w:t>ۡ</w:t>
      </w:r>
      <w:r w:rsidRPr="0067048A">
        <w:rPr>
          <w:rFonts w:ascii="KFGQPC Uthmanic Script HAFS" w:cs="KFGQPC Uthmanic Script HAFS" w:hint="eastAsia"/>
          <w:szCs w:val="28"/>
          <w:rtl/>
          <w:lang w:bidi="fa-IR"/>
        </w:rPr>
        <w:t>نَ</w:t>
      </w:r>
      <w:r w:rsidRPr="0067048A">
        <w:rPr>
          <w:rFonts w:ascii="KFGQPC Uthmanic Script HAFS" w:cs="KFGQPC Uthmanic Script HAFS" w:hint="cs"/>
          <w:szCs w:val="28"/>
          <w:rtl/>
          <w:lang w:bidi="fa-IR"/>
        </w:rPr>
        <w:t>ٰ</w:t>
      </w:r>
      <w:r w:rsidRPr="0067048A">
        <w:rPr>
          <w:rFonts w:ascii="KFGQPC Uthmanic Script HAFS" w:cs="KFGQPC Uthmanic Script HAFS" w:hint="eastAsia"/>
          <w:szCs w:val="28"/>
          <w:rtl/>
          <w:lang w:bidi="fa-IR"/>
        </w:rPr>
        <w:t>كَ</w:t>
      </w:r>
      <w:r w:rsidRPr="0067048A">
        <w:rPr>
          <w:rFonts w:ascii="KFGQPC Uthmanic Script HAFS" w:cs="KFGQPC Uthmanic Script HAFS"/>
          <w:szCs w:val="28"/>
          <w:rtl/>
          <w:lang w:bidi="fa-IR"/>
        </w:rPr>
        <w:t xml:space="preserve"> </w:t>
      </w:r>
      <w:r w:rsidRPr="0067048A">
        <w:rPr>
          <w:rFonts w:ascii="KFGQPC Uthmanic Script HAFS" w:cs="KFGQPC Uthmanic Script HAFS" w:hint="eastAsia"/>
          <w:szCs w:val="28"/>
          <w:rtl/>
          <w:lang w:bidi="fa-IR"/>
        </w:rPr>
        <w:t>عَلَى</w:t>
      </w:r>
      <w:r w:rsidRPr="0067048A">
        <w:rPr>
          <w:rFonts w:ascii="KFGQPC Uthmanic Script HAFS" w:cs="KFGQPC Uthmanic Script HAFS" w:hint="cs"/>
          <w:szCs w:val="28"/>
          <w:rtl/>
          <w:lang w:bidi="fa-IR"/>
        </w:rPr>
        <w:t>ٰ</w:t>
      </w:r>
      <w:r w:rsidRPr="0067048A">
        <w:rPr>
          <w:rFonts w:ascii="KFGQPC Uthmanic Script HAFS" w:cs="KFGQPC Uthmanic Script HAFS"/>
          <w:szCs w:val="28"/>
          <w:rtl/>
          <w:lang w:bidi="fa-IR"/>
        </w:rPr>
        <w:t xml:space="preserve"> </w:t>
      </w:r>
      <w:r w:rsidRPr="0067048A">
        <w:rPr>
          <w:rFonts w:ascii="KFGQPC Uthmanic Script HAFS" w:cs="KFGQPC Uthmanic Script HAFS" w:hint="eastAsia"/>
          <w:szCs w:val="28"/>
          <w:rtl/>
          <w:lang w:bidi="fa-IR"/>
        </w:rPr>
        <w:t>شَرِيعَة</w:t>
      </w:r>
      <w:r w:rsidRPr="0067048A">
        <w:rPr>
          <w:rFonts w:ascii="KFGQPC Uthmanic Script HAFS" w:cs="KFGQPC Uthmanic Script HAFS" w:hint="cs"/>
          <w:szCs w:val="28"/>
          <w:rtl/>
          <w:lang w:bidi="fa-IR"/>
        </w:rPr>
        <w:t>ٖ</w:t>
      </w:r>
      <w:r w:rsidRPr="0067048A">
        <w:rPr>
          <w:rFonts w:ascii="KFGQPC Uthmanic Script HAFS" w:cs="KFGQPC Uthmanic Script HAFS"/>
          <w:szCs w:val="28"/>
          <w:rtl/>
          <w:lang w:bidi="fa-IR"/>
        </w:rPr>
        <w:t xml:space="preserve"> </w:t>
      </w:r>
      <w:r w:rsidRPr="0067048A">
        <w:rPr>
          <w:rFonts w:ascii="KFGQPC Uthmanic Script HAFS" w:cs="KFGQPC Uthmanic Script HAFS" w:hint="eastAsia"/>
          <w:szCs w:val="28"/>
          <w:rtl/>
          <w:lang w:bidi="fa-IR"/>
        </w:rPr>
        <w:t>مِّنَ</w:t>
      </w:r>
      <w:r w:rsidRPr="0067048A">
        <w:rPr>
          <w:rFonts w:ascii="KFGQPC Uthmanic Script HAFS" w:cs="KFGQPC Uthmanic Script HAFS"/>
          <w:szCs w:val="28"/>
          <w:rtl/>
          <w:lang w:bidi="fa-IR"/>
        </w:rPr>
        <w:t xml:space="preserve"> </w:t>
      </w:r>
      <w:r w:rsidRPr="0067048A">
        <w:rPr>
          <w:rFonts w:ascii="KFGQPC Uthmanic Script HAFS" w:cs="KFGQPC Uthmanic Script HAFS" w:hint="cs"/>
          <w:szCs w:val="28"/>
          <w:rtl/>
          <w:lang w:bidi="fa-IR"/>
        </w:rPr>
        <w:t>ٱ</w:t>
      </w:r>
      <w:r w:rsidRPr="0067048A">
        <w:rPr>
          <w:rFonts w:ascii="KFGQPC Uthmanic Script HAFS" w:cs="KFGQPC Uthmanic Script HAFS" w:hint="eastAsia"/>
          <w:szCs w:val="28"/>
          <w:rtl/>
          <w:lang w:bidi="fa-IR"/>
        </w:rPr>
        <w:t>ل</w:t>
      </w:r>
      <w:r w:rsidRPr="0067048A">
        <w:rPr>
          <w:rFonts w:ascii="KFGQPC Uthmanic Script HAFS" w:cs="KFGQPC Uthmanic Script HAFS" w:hint="cs"/>
          <w:szCs w:val="28"/>
          <w:rtl/>
          <w:lang w:bidi="fa-IR"/>
        </w:rPr>
        <w:t>ۡ</w:t>
      </w:r>
      <w:r w:rsidRPr="0067048A">
        <w:rPr>
          <w:rFonts w:ascii="KFGQPC Uthmanic Script HAFS" w:cs="KFGQPC Uthmanic Script HAFS" w:hint="eastAsia"/>
          <w:szCs w:val="28"/>
          <w:rtl/>
          <w:lang w:bidi="fa-IR"/>
        </w:rPr>
        <w:t>أَم</w:t>
      </w:r>
      <w:r w:rsidRPr="0067048A">
        <w:rPr>
          <w:rFonts w:ascii="KFGQPC Uthmanic Script HAFS" w:cs="KFGQPC Uthmanic Script HAFS" w:hint="cs"/>
          <w:szCs w:val="28"/>
          <w:rtl/>
          <w:lang w:bidi="fa-IR"/>
        </w:rPr>
        <w:t>ۡ</w:t>
      </w:r>
      <w:r w:rsidRPr="0067048A">
        <w:rPr>
          <w:rFonts w:ascii="KFGQPC Uthmanic Script HAFS" w:cs="KFGQPC Uthmanic Script HAFS" w:hint="eastAsia"/>
          <w:szCs w:val="28"/>
          <w:rtl/>
          <w:lang w:bidi="fa-IR"/>
        </w:rPr>
        <w:t>رِ</w:t>
      </w:r>
      <w:r w:rsidRPr="0067048A">
        <w:rPr>
          <w:rFonts w:ascii="KFGQPC Uthmanic Script HAFS" w:cs="KFGQPC Uthmanic Script HAFS"/>
          <w:szCs w:val="28"/>
          <w:rtl/>
          <w:lang w:bidi="fa-IR"/>
        </w:rPr>
        <w:t xml:space="preserve"> </w:t>
      </w:r>
      <w:r w:rsidRPr="0067048A">
        <w:rPr>
          <w:rFonts w:ascii="KFGQPC Uthmanic Script HAFS" w:cs="KFGQPC Uthmanic Script HAFS" w:hint="eastAsia"/>
          <w:szCs w:val="28"/>
          <w:rtl/>
          <w:lang w:bidi="fa-IR"/>
        </w:rPr>
        <w:t>فَ</w:t>
      </w:r>
      <w:r w:rsidRPr="0067048A">
        <w:rPr>
          <w:rFonts w:ascii="KFGQPC Uthmanic Script HAFS" w:cs="KFGQPC Uthmanic Script HAFS" w:hint="cs"/>
          <w:szCs w:val="28"/>
          <w:rtl/>
          <w:lang w:bidi="fa-IR"/>
        </w:rPr>
        <w:t>ٱ</w:t>
      </w:r>
      <w:r w:rsidRPr="0067048A">
        <w:rPr>
          <w:rFonts w:ascii="KFGQPC Uthmanic Script HAFS" w:cs="KFGQPC Uthmanic Script HAFS" w:hint="eastAsia"/>
          <w:szCs w:val="28"/>
          <w:rtl/>
          <w:lang w:bidi="fa-IR"/>
        </w:rPr>
        <w:t>تَّبِع</w:t>
      </w:r>
      <w:r w:rsidRPr="0067048A">
        <w:rPr>
          <w:rFonts w:ascii="KFGQPC Uthmanic Script HAFS" w:cs="KFGQPC Uthmanic Script HAFS" w:hint="cs"/>
          <w:szCs w:val="28"/>
          <w:rtl/>
          <w:lang w:bidi="fa-IR"/>
        </w:rPr>
        <w:t>ۡ</w:t>
      </w:r>
      <w:r w:rsidRPr="0067048A">
        <w:rPr>
          <w:rFonts w:ascii="KFGQPC Uthmanic Script HAFS" w:cs="KFGQPC Uthmanic Script HAFS" w:hint="eastAsia"/>
          <w:szCs w:val="28"/>
          <w:rtl/>
          <w:lang w:bidi="fa-IR"/>
        </w:rPr>
        <w:t>هَا</w:t>
      </w:r>
      <w:r w:rsidRPr="0067048A">
        <w:rPr>
          <w:rFonts w:ascii="KFGQPC Uthmanic Script HAFS" w:cs="KFGQPC Uthmanic Script HAFS"/>
          <w:szCs w:val="28"/>
          <w:rtl/>
          <w:lang w:bidi="fa-IR"/>
        </w:rPr>
        <w:t xml:space="preserve"> </w:t>
      </w:r>
      <w:r w:rsidRPr="0067048A">
        <w:rPr>
          <w:rFonts w:ascii="KFGQPC Uthmanic Script HAFS" w:cs="KFGQPC Uthmanic Script HAFS" w:hint="eastAsia"/>
          <w:szCs w:val="28"/>
          <w:rtl/>
          <w:lang w:bidi="fa-IR"/>
        </w:rPr>
        <w:t>وَلَا</w:t>
      </w:r>
      <w:r w:rsidRPr="0067048A">
        <w:rPr>
          <w:rFonts w:ascii="KFGQPC Uthmanic Script HAFS" w:cs="KFGQPC Uthmanic Script HAFS"/>
          <w:szCs w:val="28"/>
          <w:rtl/>
          <w:lang w:bidi="fa-IR"/>
        </w:rPr>
        <w:t xml:space="preserve"> </w:t>
      </w:r>
      <w:r w:rsidRPr="0067048A">
        <w:rPr>
          <w:rFonts w:ascii="KFGQPC Uthmanic Script HAFS" w:cs="KFGQPC Uthmanic Script HAFS" w:hint="eastAsia"/>
          <w:szCs w:val="28"/>
          <w:rtl/>
          <w:lang w:bidi="fa-IR"/>
        </w:rPr>
        <w:t>تَتَّبِع</w:t>
      </w:r>
      <w:r w:rsidRPr="0067048A">
        <w:rPr>
          <w:rFonts w:ascii="KFGQPC Uthmanic Script HAFS" w:cs="KFGQPC Uthmanic Script HAFS" w:hint="cs"/>
          <w:szCs w:val="28"/>
          <w:rtl/>
          <w:lang w:bidi="fa-IR"/>
        </w:rPr>
        <w:t>ۡ</w:t>
      </w:r>
      <w:r w:rsidRPr="0067048A">
        <w:rPr>
          <w:rFonts w:ascii="KFGQPC Uthmanic Script HAFS" w:cs="KFGQPC Uthmanic Script HAFS"/>
          <w:szCs w:val="28"/>
          <w:rtl/>
          <w:lang w:bidi="fa-IR"/>
        </w:rPr>
        <w:t xml:space="preserve"> </w:t>
      </w:r>
      <w:r w:rsidRPr="0067048A">
        <w:rPr>
          <w:rFonts w:ascii="KFGQPC Uthmanic Script HAFS" w:cs="KFGQPC Uthmanic Script HAFS" w:hint="eastAsia"/>
          <w:szCs w:val="28"/>
          <w:rtl/>
          <w:lang w:bidi="fa-IR"/>
        </w:rPr>
        <w:t>أَه</w:t>
      </w:r>
      <w:r w:rsidRPr="0067048A">
        <w:rPr>
          <w:rFonts w:ascii="KFGQPC Uthmanic Script HAFS" w:cs="KFGQPC Uthmanic Script HAFS" w:hint="cs"/>
          <w:szCs w:val="28"/>
          <w:rtl/>
          <w:lang w:bidi="fa-IR"/>
        </w:rPr>
        <w:t>ۡ</w:t>
      </w:r>
      <w:r w:rsidRPr="0067048A">
        <w:rPr>
          <w:rFonts w:ascii="KFGQPC Uthmanic Script HAFS" w:cs="KFGQPC Uthmanic Script HAFS" w:hint="eastAsia"/>
          <w:szCs w:val="28"/>
          <w:rtl/>
          <w:lang w:bidi="fa-IR"/>
        </w:rPr>
        <w:t>وَا</w:t>
      </w:r>
      <w:r w:rsidRPr="0067048A">
        <w:rPr>
          <w:rFonts w:ascii="KFGQPC Uthmanic Script HAFS" w:cs="KFGQPC Uthmanic Script HAFS" w:hint="cs"/>
          <w:szCs w:val="28"/>
          <w:rtl/>
          <w:lang w:bidi="fa-IR"/>
        </w:rPr>
        <w:t>ٓ</w:t>
      </w:r>
      <w:r w:rsidRPr="0067048A">
        <w:rPr>
          <w:rFonts w:ascii="KFGQPC Uthmanic Script HAFS" w:cs="KFGQPC Uthmanic Script HAFS" w:hint="eastAsia"/>
          <w:szCs w:val="28"/>
          <w:rtl/>
          <w:lang w:bidi="fa-IR"/>
        </w:rPr>
        <w:t>ءَ</w:t>
      </w:r>
      <w:r w:rsidRPr="0067048A">
        <w:rPr>
          <w:rFonts w:ascii="KFGQPC Uthmanic Script HAFS" w:cs="KFGQPC Uthmanic Script HAFS"/>
          <w:szCs w:val="28"/>
          <w:rtl/>
          <w:lang w:bidi="fa-IR"/>
        </w:rPr>
        <w:t xml:space="preserve"> </w:t>
      </w:r>
      <w:r w:rsidRPr="0067048A">
        <w:rPr>
          <w:rFonts w:ascii="KFGQPC Uthmanic Script HAFS" w:cs="KFGQPC Uthmanic Script HAFS" w:hint="cs"/>
          <w:szCs w:val="28"/>
          <w:rtl/>
          <w:lang w:bidi="fa-IR"/>
        </w:rPr>
        <w:t>ٱ</w:t>
      </w:r>
      <w:r w:rsidRPr="0067048A">
        <w:rPr>
          <w:rFonts w:ascii="KFGQPC Uthmanic Script HAFS" w:cs="KFGQPC Uthmanic Script HAFS" w:hint="eastAsia"/>
          <w:szCs w:val="28"/>
          <w:rtl/>
          <w:lang w:bidi="fa-IR"/>
        </w:rPr>
        <w:t>لَّذِينَ</w:t>
      </w:r>
      <w:r w:rsidRPr="0067048A">
        <w:rPr>
          <w:rFonts w:ascii="KFGQPC Uthmanic Script HAFS" w:cs="KFGQPC Uthmanic Script HAFS"/>
          <w:szCs w:val="28"/>
          <w:rtl/>
          <w:lang w:bidi="fa-IR"/>
        </w:rPr>
        <w:t xml:space="preserve"> </w:t>
      </w:r>
      <w:r w:rsidRPr="0067048A">
        <w:rPr>
          <w:rFonts w:ascii="KFGQPC Uthmanic Script HAFS" w:cs="KFGQPC Uthmanic Script HAFS" w:hint="eastAsia"/>
          <w:szCs w:val="28"/>
          <w:rtl/>
          <w:lang w:bidi="fa-IR"/>
        </w:rPr>
        <w:t>لَا</w:t>
      </w:r>
      <w:r w:rsidRPr="0067048A">
        <w:rPr>
          <w:rFonts w:ascii="KFGQPC Uthmanic Script HAFS" w:cs="KFGQPC Uthmanic Script HAFS"/>
          <w:szCs w:val="28"/>
          <w:rtl/>
          <w:lang w:bidi="fa-IR"/>
        </w:rPr>
        <w:t xml:space="preserve"> </w:t>
      </w:r>
      <w:r w:rsidRPr="0067048A">
        <w:rPr>
          <w:rFonts w:ascii="KFGQPC Uthmanic Script HAFS" w:cs="KFGQPC Uthmanic Script HAFS" w:hint="eastAsia"/>
          <w:szCs w:val="28"/>
          <w:rtl/>
          <w:lang w:bidi="fa-IR"/>
        </w:rPr>
        <w:t>يَع</w:t>
      </w:r>
      <w:r w:rsidRPr="0067048A">
        <w:rPr>
          <w:rFonts w:ascii="KFGQPC Uthmanic Script HAFS" w:cs="KFGQPC Uthmanic Script HAFS" w:hint="cs"/>
          <w:szCs w:val="28"/>
          <w:rtl/>
          <w:lang w:bidi="fa-IR"/>
        </w:rPr>
        <w:t>ۡ</w:t>
      </w:r>
      <w:r w:rsidRPr="0067048A">
        <w:rPr>
          <w:rFonts w:ascii="KFGQPC Uthmanic Script HAFS" w:cs="KFGQPC Uthmanic Script HAFS" w:hint="eastAsia"/>
          <w:szCs w:val="28"/>
          <w:rtl/>
          <w:lang w:bidi="fa-IR"/>
        </w:rPr>
        <w:t>لَمُونَ</w:t>
      </w:r>
      <w:r w:rsidRPr="0067048A">
        <w:rPr>
          <w:rFonts w:ascii="KFGQPC Uthmanic Script HAFS" w:cs="KFGQPC Uthmanic Script HAFS" w:hint="cs"/>
          <w:szCs w:val="28"/>
          <w:rtl/>
          <w:lang w:bidi="fa-IR"/>
        </w:rPr>
        <w:t>١٨</w:t>
      </w:r>
      <w:r w:rsidRPr="00995B26">
        <w:rPr>
          <w:rFonts w:cs="Traditional Arabic" w:hint="cs"/>
          <w:rtl/>
          <w:lang w:bidi="fa-IR"/>
        </w:rPr>
        <w:t>﴾</w:t>
      </w:r>
      <w:r w:rsidR="00CD31AA" w:rsidRPr="00495BAB">
        <w:rPr>
          <w:rtl/>
        </w:rPr>
        <w:t xml:space="preserve"> </w:t>
      </w:r>
      <w:r w:rsidR="00CD31AA" w:rsidRPr="009E1401">
        <w:rPr>
          <w:rStyle w:val="Char2"/>
          <w:rtl/>
        </w:rPr>
        <w:t>[الجاثية</w:t>
      </w:r>
      <w:r w:rsidRPr="009E1401">
        <w:rPr>
          <w:rStyle w:val="Char2"/>
          <w:rFonts w:hint="cs"/>
          <w:rtl/>
        </w:rPr>
        <w:t xml:space="preserve">: </w:t>
      </w:r>
      <w:r w:rsidR="00CD31AA" w:rsidRPr="009E1401">
        <w:rPr>
          <w:rStyle w:val="Char2"/>
          <w:rtl/>
        </w:rPr>
        <w:t xml:space="preserve"> 16-18]</w:t>
      </w:r>
      <w:r w:rsidR="00CD31AA" w:rsidRPr="00495BAB">
        <w:rPr>
          <w:rFonts w:hint="cs"/>
          <w:rtl/>
        </w:rPr>
        <w:t>.</w:t>
      </w:r>
    </w:p>
    <w:p w:rsidR="00CD31AA" w:rsidRPr="00495BAB" w:rsidRDefault="00CD31AA" w:rsidP="00495BAB">
      <w:pPr>
        <w:pStyle w:val="a0"/>
        <w:rPr>
          <w:rFonts w:hint="cs"/>
          <w:rtl/>
        </w:rPr>
      </w:pPr>
      <w:r w:rsidRPr="00495BAB">
        <w:rPr>
          <w:rFonts w:hint="cs"/>
          <w:rtl/>
        </w:rPr>
        <w:t>وقال تعالى في سورة آل عمران:</w:t>
      </w:r>
    </w:p>
    <w:p w:rsidR="00CD31AA" w:rsidRPr="00495BAB" w:rsidRDefault="000775C2" w:rsidP="009E1401">
      <w:pPr>
        <w:pStyle w:val="a0"/>
        <w:ind w:left="284" w:firstLine="0"/>
        <w:rPr>
          <w:rFonts w:hint="cs"/>
          <w:rtl/>
        </w:rPr>
      </w:pPr>
      <w:r w:rsidRPr="00995B26">
        <w:rPr>
          <w:rFonts w:cs="Traditional Arabic" w:hint="cs"/>
          <w:sz w:val="28"/>
          <w:rtl/>
        </w:rPr>
        <w:t>﴿</w:t>
      </w:r>
      <w:r w:rsidRPr="0067048A">
        <w:rPr>
          <w:rFonts w:ascii="KFGQPC Uthmanic Script HAFS" w:cs="KFGQPC Uthmanic Script HAFS" w:hint="eastAsia"/>
          <w:sz w:val="28"/>
          <w:szCs w:val="28"/>
          <w:rtl/>
        </w:rPr>
        <w:t>كُلُّ</w:t>
      </w:r>
      <w:r w:rsidRPr="0067048A">
        <w:rPr>
          <w:rFonts w:ascii="KFGQPC Uthmanic Script HAFS" w:cs="KFGQPC Uthmanic Script HAFS"/>
          <w:sz w:val="28"/>
          <w:szCs w:val="28"/>
          <w:rtl/>
        </w:rPr>
        <w:t xml:space="preserve"> </w:t>
      </w:r>
      <w:r w:rsidRPr="0067048A">
        <w:rPr>
          <w:rFonts w:ascii="KFGQPC Uthmanic Script HAFS" w:cs="KFGQPC Uthmanic Script HAFS" w:hint="cs"/>
          <w:sz w:val="28"/>
          <w:szCs w:val="28"/>
          <w:rtl/>
        </w:rPr>
        <w:t>ٱ</w:t>
      </w:r>
      <w:r w:rsidRPr="0067048A">
        <w:rPr>
          <w:rFonts w:ascii="KFGQPC Uthmanic Script HAFS" w:cs="KFGQPC Uthmanic Script HAFS" w:hint="eastAsia"/>
          <w:sz w:val="28"/>
          <w:szCs w:val="28"/>
          <w:rtl/>
        </w:rPr>
        <w:t>لطَّعَامِ</w:t>
      </w:r>
      <w:r w:rsidRPr="0067048A">
        <w:rPr>
          <w:rFonts w:ascii="KFGQPC Uthmanic Script HAFS" w:cs="KFGQPC Uthmanic Script HAFS"/>
          <w:sz w:val="28"/>
          <w:szCs w:val="28"/>
          <w:rtl/>
        </w:rPr>
        <w:t xml:space="preserve"> </w:t>
      </w:r>
      <w:r w:rsidRPr="0067048A">
        <w:rPr>
          <w:rFonts w:ascii="KFGQPC Uthmanic Script HAFS" w:cs="KFGQPC Uthmanic Script HAFS" w:hint="eastAsia"/>
          <w:sz w:val="28"/>
          <w:szCs w:val="28"/>
          <w:rtl/>
        </w:rPr>
        <w:t>كَانَ</w:t>
      </w:r>
      <w:r w:rsidRPr="0067048A">
        <w:rPr>
          <w:rFonts w:ascii="KFGQPC Uthmanic Script HAFS" w:cs="KFGQPC Uthmanic Script HAFS"/>
          <w:sz w:val="28"/>
          <w:szCs w:val="28"/>
          <w:rtl/>
        </w:rPr>
        <w:t xml:space="preserve"> </w:t>
      </w:r>
      <w:r w:rsidRPr="0067048A">
        <w:rPr>
          <w:rFonts w:ascii="KFGQPC Uthmanic Script HAFS" w:cs="KFGQPC Uthmanic Script HAFS" w:hint="eastAsia"/>
          <w:sz w:val="28"/>
          <w:szCs w:val="28"/>
          <w:rtl/>
        </w:rPr>
        <w:t>حِلّ</w:t>
      </w:r>
      <w:r w:rsidRPr="0067048A">
        <w:rPr>
          <w:rFonts w:ascii="KFGQPC Uthmanic Script HAFS" w:cs="KFGQPC Uthmanic Script HAFS" w:hint="cs"/>
          <w:sz w:val="28"/>
          <w:szCs w:val="28"/>
          <w:rtl/>
        </w:rPr>
        <w:t>ٗ</w:t>
      </w:r>
      <w:r w:rsidRPr="0067048A">
        <w:rPr>
          <w:rFonts w:ascii="KFGQPC Uthmanic Script HAFS" w:cs="KFGQPC Uthmanic Script HAFS" w:hint="eastAsia"/>
          <w:sz w:val="28"/>
          <w:szCs w:val="28"/>
          <w:rtl/>
        </w:rPr>
        <w:t>ا</w:t>
      </w:r>
      <w:r w:rsidRPr="0067048A">
        <w:rPr>
          <w:rFonts w:ascii="KFGQPC Uthmanic Script HAFS" w:cs="KFGQPC Uthmanic Script HAFS"/>
          <w:sz w:val="28"/>
          <w:szCs w:val="28"/>
          <w:rtl/>
        </w:rPr>
        <w:t xml:space="preserve"> </w:t>
      </w:r>
      <w:r w:rsidRPr="0067048A">
        <w:rPr>
          <w:rFonts w:ascii="KFGQPC Uthmanic Script HAFS" w:cs="KFGQPC Uthmanic Script HAFS" w:hint="eastAsia"/>
          <w:sz w:val="28"/>
          <w:szCs w:val="28"/>
          <w:rtl/>
        </w:rPr>
        <w:t>لِّبَنِي</w:t>
      </w:r>
      <w:r w:rsidRPr="0067048A">
        <w:rPr>
          <w:rFonts w:ascii="KFGQPC Uthmanic Script HAFS" w:cs="KFGQPC Uthmanic Script HAFS" w:hint="cs"/>
          <w:sz w:val="28"/>
          <w:szCs w:val="28"/>
          <w:rtl/>
        </w:rPr>
        <w:t>ٓ</w:t>
      </w:r>
      <w:r w:rsidRPr="0067048A">
        <w:rPr>
          <w:rFonts w:ascii="KFGQPC Uthmanic Script HAFS" w:cs="KFGQPC Uthmanic Script HAFS"/>
          <w:sz w:val="28"/>
          <w:szCs w:val="28"/>
          <w:rtl/>
        </w:rPr>
        <w:t xml:space="preserve"> </w:t>
      </w:r>
      <w:r w:rsidRPr="0067048A">
        <w:rPr>
          <w:rFonts w:ascii="KFGQPC Uthmanic Script HAFS" w:cs="KFGQPC Uthmanic Script HAFS" w:hint="eastAsia"/>
          <w:sz w:val="28"/>
          <w:szCs w:val="28"/>
          <w:rtl/>
        </w:rPr>
        <w:t>إِس</w:t>
      </w:r>
      <w:r w:rsidRPr="0067048A">
        <w:rPr>
          <w:rFonts w:ascii="KFGQPC Uthmanic Script HAFS" w:cs="KFGQPC Uthmanic Script HAFS" w:hint="cs"/>
          <w:sz w:val="28"/>
          <w:szCs w:val="28"/>
          <w:rtl/>
        </w:rPr>
        <w:t>ۡ</w:t>
      </w:r>
      <w:r w:rsidRPr="0067048A">
        <w:rPr>
          <w:rFonts w:ascii="KFGQPC Uthmanic Script HAFS" w:cs="KFGQPC Uthmanic Script HAFS" w:hint="eastAsia"/>
          <w:sz w:val="28"/>
          <w:szCs w:val="28"/>
          <w:rtl/>
        </w:rPr>
        <w:t>رَ</w:t>
      </w:r>
      <w:r w:rsidRPr="0067048A">
        <w:rPr>
          <w:rFonts w:ascii="KFGQPC Uthmanic Script HAFS" w:cs="KFGQPC Uthmanic Script HAFS" w:hint="cs"/>
          <w:sz w:val="28"/>
          <w:szCs w:val="28"/>
          <w:rtl/>
        </w:rPr>
        <w:t>ٰٓ</w:t>
      </w:r>
      <w:r w:rsidRPr="0067048A">
        <w:rPr>
          <w:rFonts w:ascii="KFGQPC Uthmanic Script HAFS" w:cs="KFGQPC Uthmanic Script HAFS" w:hint="eastAsia"/>
          <w:sz w:val="28"/>
          <w:szCs w:val="28"/>
          <w:rtl/>
        </w:rPr>
        <w:t>ءِيلَ</w:t>
      </w:r>
      <w:r w:rsidRPr="0067048A">
        <w:rPr>
          <w:rFonts w:ascii="KFGQPC Uthmanic Script HAFS" w:cs="KFGQPC Uthmanic Script HAFS"/>
          <w:sz w:val="28"/>
          <w:szCs w:val="28"/>
          <w:rtl/>
        </w:rPr>
        <w:t xml:space="preserve"> </w:t>
      </w:r>
      <w:r w:rsidRPr="0067048A">
        <w:rPr>
          <w:rFonts w:ascii="KFGQPC Uthmanic Script HAFS" w:cs="KFGQPC Uthmanic Script HAFS" w:hint="eastAsia"/>
          <w:sz w:val="28"/>
          <w:szCs w:val="28"/>
          <w:rtl/>
        </w:rPr>
        <w:t>إِلَّا</w:t>
      </w:r>
      <w:r w:rsidRPr="0067048A">
        <w:rPr>
          <w:rFonts w:ascii="KFGQPC Uthmanic Script HAFS" w:cs="KFGQPC Uthmanic Script HAFS"/>
          <w:sz w:val="28"/>
          <w:szCs w:val="28"/>
          <w:rtl/>
        </w:rPr>
        <w:t xml:space="preserve"> </w:t>
      </w:r>
      <w:r w:rsidRPr="0067048A">
        <w:rPr>
          <w:rFonts w:ascii="KFGQPC Uthmanic Script HAFS" w:cs="KFGQPC Uthmanic Script HAFS" w:hint="eastAsia"/>
          <w:sz w:val="28"/>
          <w:szCs w:val="28"/>
          <w:rtl/>
        </w:rPr>
        <w:t>مَا</w:t>
      </w:r>
      <w:r w:rsidRPr="0067048A">
        <w:rPr>
          <w:rFonts w:ascii="KFGQPC Uthmanic Script HAFS" w:cs="KFGQPC Uthmanic Script HAFS"/>
          <w:sz w:val="28"/>
          <w:szCs w:val="28"/>
          <w:rtl/>
        </w:rPr>
        <w:t xml:space="preserve"> </w:t>
      </w:r>
      <w:r w:rsidRPr="0067048A">
        <w:rPr>
          <w:rFonts w:ascii="KFGQPC Uthmanic Script HAFS" w:cs="KFGQPC Uthmanic Script HAFS" w:hint="eastAsia"/>
          <w:sz w:val="28"/>
          <w:szCs w:val="28"/>
          <w:rtl/>
        </w:rPr>
        <w:t>حَرَّمَ</w:t>
      </w:r>
      <w:r w:rsidRPr="0067048A">
        <w:rPr>
          <w:rFonts w:ascii="KFGQPC Uthmanic Script HAFS" w:cs="KFGQPC Uthmanic Script HAFS"/>
          <w:sz w:val="28"/>
          <w:szCs w:val="28"/>
          <w:rtl/>
        </w:rPr>
        <w:t xml:space="preserve"> </w:t>
      </w:r>
      <w:r w:rsidRPr="0067048A">
        <w:rPr>
          <w:rFonts w:ascii="KFGQPC Uthmanic Script HAFS" w:cs="KFGQPC Uthmanic Script HAFS" w:hint="eastAsia"/>
          <w:sz w:val="28"/>
          <w:szCs w:val="28"/>
          <w:rtl/>
        </w:rPr>
        <w:t>إِس</w:t>
      </w:r>
      <w:r w:rsidRPr="0067048A">
        <w:rPr>
          <w:rFonts w:ascii="KFGQPC Uthmanic Script HAFS" w:cs="KFGQPC Uthmanic Script HAFS" w:hint="cs"/>
          <w:sz w:val="28"/>
          <w:szCs w:val="28"/>
          <w:rtl/>
        </w:rPr>
        <w:t>ۡ</w:t>
      </w:r>
      <w:r w:rsidRPr="0067048A">
        <w:rPr>
          <w:rFonts w:ascii="KFGQPC Uthmanic Script HAFS" w:cs="KFGQPC Uthmanic Script HAFS" w:hint="eastAsia"/>
          <w:sz w:val="28"/>
          <w:szCs w:val="28"/>
          <w:rtl/>
        </w:rPr>
        <w:t>رَ</w:t>
      </w:r>
      <w:r w:rsidRPr="0067048A">
        <w:rPr>
          <w:rFonts w:ascii="KFGQPC Uthmanic Script HAFS" w:cs="KFGQPC Uthmanic Script HAFS" w:hint="cs"/>
          <w:sz w:val="28"/>
          <w:szCs w:val="28"/>
          <w:rtl/>
        </w:rPr>
        <w:t>ٰٓ</w:t>
      </w:r>
      <w:r w:rsidRPr="0067048A">
        <w:rPr>
          <w:rFonts w:ascii="KFGQPC Uthmanic Script HAFS" w:cs="KFGQPC Uthmanic Script HAFS" w:hint="eastAsia"/>
          <w:sz w:val="28"/>
          <w:szCs w:val="28"/>
          <w:rtl/>
        </w:rPr>
        <w:t>ءِيلُ</w:t>
      </w:r>
      <w:r w:rsidRPr="0067048A">
        <w:rPr>
          <w:rFonts w:ascii="KFGQPC Uthmanic Script HAFS" w:cs="KFGQPC Uthmanic Script HAFS"/>
          <w:sz w:val="28"/>
          <w:szCs w:val="28"/>
          <w:rtl/>
        </w:rPr>
        <w:t xml:space="preserve"> </w:t>
      </w:r>
      <w:r w:rsidRPr="0067048A">
        <w:rPr>
          <w:rFonts w:ascii="KFGQPC Uthmanic Script HAFS" w:cs="KFGQPC Uthmanic Script HAFS" w:hint="eastAsia"/>
          <w:sz w:val="28"/>
          <w:szCs w:val="28"/>
          <w:rtl/>
        </w:rPr>
        <w:t>عَلَى</w:t>
      </w:r>
      <w:r w:rsidRPr="0067048A">
        <w:rPr>
          <w:rFonts w:ascii="KFGQPC Uthmanic Script HAFS" w:cs="KFGQPC Uthmanic Script HAFS" w:hint="cs"/>
          <w:sz w:val="28"/>
          <w:szCs w:val="28"/>
          <w:rtl/>
        </w:rPr>
        <w:t>ٰ</w:t>
      </w:r>
      <w:r w:rsidRPr="0067048A">
        <w:rPr>
          <w:rFonts w:ascii="KFGQPC Uthmanic Script HAFS" w:cs="KFGQPC Uthmanic Script HAFS"/>
          <w:sz w:val="28"/>
          <w:szCs w:val="28"/>
          <w:rtl/>
        </w:rPr>
        <w:t xml:space="preserve"> </w:t>
      </w:r>
      <w:r w:rsidRPr="0067048A">
        <w:rPr>
          <w:rFonts w:ascii="KFGQPC Uthmanic Script HAFS" w:cs="KFGQPC Uthmanic Script HAFS" w:hint="eastAsia"/>
          <w:sz w:val="28"/>
          <w:szCs w:val="28"/>
          <w:rtl/>
        </w:rPr>
        <w:t>نَف</w:t>
      </w:r>
      <w:r w:rsidRPr="0067048A">
        <w:rPr>
          <w:rFonts w:ascii="KFGQPC Uthmanic Script HAFS" w:cs="KFGQPC Uthmanic Script HAFS" w:hint="cs"/>
          <w:sz w:val="28"/>
          <w:szCs w:val="28"/>
          <w:rtl/>
        </w:rPr>
        <w:t>ۡ</w:t>
      </w:r>
      <w:r w:rsidRPr="0067048A">
        <w:rPr>
          <w:rFonts w:ascii="KFGQPC Uthmanic Script HAFS" w:cs="KFGQPC Uthmanic Script HAFS" w:hint="eastAsia"/>
          <w:sz w:val="28"/>
          <w:szCs w:val="28"/>
          <w:rtl/>
        </w:rPr>
        <w:t>سِهِ</w:t>
      </w:r>
      <w:r w:rsidRPr="0067048A">
        <w:rPr>
          <w:rFonts w:ascii="KFGQPC Uthmanic Script HAFS" w:cs="KFGQPC Uthmanic Script HAFS" w:hint="cs"/>
          <w:sz w:val="28"/>
          <w:szCs w:val="28"/>
          <w:rtl/>
        </w:rPr>
        <w:t>ۦ</w:t>
      </w:r>
      <w:r w:rsidRPr="0067048A">
        <w:rPr>
          <w:rFonts w:ascii="KFGQPC Uthmanic Script HAFS" w:cs="KFGQPC Uthmanic Script HAFS"/>
          <w:sz w:val="28"/>
          <w:szCs w:val="28"/>
          <w:rtl/>
        </w:rPr>
        <w:t xml:space="preserve"> </w:t>
      </w:r>
      <w:r w:rsidRPr="0067048A">
        <w:rPr>
          <w:rFonts w:ascii="KFGQPC Uthmanic Script HAFS" w:cs="KFGQPC Uthmanic Script HAFS" w:hint="eastAsia"/>
          <w:sz w:val="28"/>
          <w:szCs w:val="28"/>
          <w:rtl/>
        </w:rPr>
        <w:t>مِن</w:t>
      </w:r>
      <w:r w:rsidRPr="0067048A">
        <w:rPr>
          <w:rFonts w:ascii="KFGQPC Uthmanic Script HAFS" w:cs="KFGQPC Uthmanic Script HAFS"/>
          <w:sz w:val="28"/>
          <w:szCs w:val="28"/>
          <w:rtl/>
        </w:rPr>
        <w:t xml:space="preserve"> </w:t>
      </w:r>
      <w:r w:rsidRPr="0067048A">
        <w:rPr>
          <w:rFonts w:ascii="KFGQPC Uthmanic Script HAFS" w:cs="KFGQPC Uthmanic Script HAFS" w:hint="eastAsia"/>
          <w:sz w:val="28"/>
          <w:szCs w:val="28"/>
          <w:rtl/>
        </w:rPr>
        <w:t>قَب</w:t>
      </w:r>
      <w:r w:rsidRPr="0067048A">
        <w:rPr>
          <w:rFonts w:ascii="KFGQPC Uthmanic Script HAFS" w:cs="KFGQPC Uthmanic Script HAFS" w:hint="cs"/>
          <w:sz w:val="28"/>
          <w:szCs w:val="28"/>
          <w:rtl/>
        </w:rPr>
        <w:t>ۡ</w:t>
      </w:r>
      <w:r w:rsidRPr="0067048A">
        <w:rPr>
          <w:rFonts w:ascii="KFGQPC Uthmanic Script HAFS" w:cs="KFGQPC Uthmanic Script HAFS" w:hint="eastAsia"/>
          <w:sz w:val="28"/>
          <w:szCs w:val="28"/>
          <w:rtl/>
        </w:rPr>
        <w:t>لِ</w:t>
      </w:r>
      <w:r w:rsidRPr="0067048A">
        <w:rPr>
          <w:rFonts w:ascii="KFGQPC Uthmanic Script HAFS" w:cs="KFGQPC Uthmanic Script HAFS"/>
          <w:sz w:val="28"/>
          <w:szCs w:val="28"/>
          <w:rtl/>
        </w:rPr>
        <w:t xml:space="preserve"> </w:t>
      </w:r>
      <w:r w:rsidRPr="0067048A">
        <w:rPr>
          <w:rFonts w:ascii="KFGQPC Uthmanic Script HAFS" w:cs="KFGQPC Uthmanic Script HAFS" w:hint="eastAsia"/>
          <w:sz w:val="28"/>
          <w:szCs w:val="28"/>
          <w:rtl/>
        </w:rPr>
        <w:t>أَن</w:t>
      </w:r>
      <w:r w:rsidRPr="0067048A">
        <w:rPr>
          <w:rFonts w:ascii="KFGQPC Uthmanic Script HAFS" w:cs="KFGQPC Uthmanic Script HAFS"/>
          <w:sz w:val="28"/>
          <w:szCs w:val="28"/>
          <w:rtl/>
        </w:rPr>
        <w:t xml:space="preserve"> </w:t>
      </w:r>
      <w:r w:rsidRPr="0067048A">
        <w:rPr>
          <w:rFonts w:ascii="KFGQPC Uthmanic Script HAFS" w:cs="KFGQPC Uthmanic Script HAFS" w:hint="eastAsia"/>
          <w:sz w:val="28"/>
          <w:szCs w:val="28"/>
          <w:rtl/>
        </w:rPr>
        <w:t>تُنَزَّلَ</w:t>
      </w:r>
      <w:r w:rsidRPr="0067048A">
        <w:rPr>
          <w:rFonts w:ascii="KFGQPC Uthmanic Script HAFS" w:cs="KFGQPC Uthmanic Script HAFS"/>
          <w:sz w:val="28"/>
          <w:szCs w:val="28"/>
          <w:rtl/>
        </w:rPr>
        <w:t xml:space="preserve"> </w:t>
      </w:r>
      <w:r w:rsidRPr="0067048A">
        <w:rPr>
          <w:rFonts w:ascii="KFGQPC Uthmanic Script HAFS" w:cs="KFGQPC Uthmanic Script HAFS" w:hint="cs"/>
          <w:sz w:val="28"/>
          <w:szCs w:val="28"/>
          <w:rtl/>
        </w:rPr>
        <w:t>ٱ</w:t>
      </w:r>
      <w:r w:rsidRPr="0067048A">
        <w:rPr>
          <w:rFonts w:ascii="KFGQPC Uthmanic Script HAFS" w:cs="KFGQPC Uthmanic Script HAFS" w:hint="eastAsia"/>
          <w:sz w:val="28"/>
          <w:szCs w:val="28"/>
          <w:rtl/>
        </w:rPr>
        <w:t>لتَّو</w:t>
      </w:r>
      <w:r w:rsidRPr="0067048A">
        <w:rPr>
          <w:rFonts w:ascii="KFGQPC Uthmanic Script HAFS" w:cs="KFGQPC Uthmanic Script HAFS" w:hint="cs"/>
          <w:sz w:val="28"/>
          <w:szCs w:val="28"/>
          <w:rtl/>
        </w:rPr>
        <w:t>ۡ</w:t>
      </w:r>
      <w:r w:rsidRPr="0067048A">
        <w:rPr>
          <w:rFonts w:ascii="KFGQPC Uthmanic Script HAFS" w:cs="KFGQPC Uthmanic Script HAFS" w:hint="eastAsia"/>
          <w:sz w:val="28"/>
          <w:szCs w:val="28"/>
          <w:rtl/>
        </w:rPr>
        <w:t>رَى</w:t>
      </w:r>
      <w:r w:rsidRPr="0067048A">
        <w:rPr>
          <w:rFonts w:ascii="KFGQPC Uthmanic Script HAFS" w:cs="KFGQPC Uthmanic Script HAFS" w:hint="cs"/>
          <w:sz w:val="28"/>
          <w:szCs w:val="28"/>
          <w:rtl/>
        </w:rPr>
        <w:t>ٰ</w:t>
      </w:r>
      <w:r w:rsidRPr="0067048A">
        <w:rPr>
          <w:rFonts w:ascii="KFGQPC Uthmanic Script HAFS" w:cs="KFGQPC Uthmanic Script HAFS" w:hint="eastAsia"/>
          <w:sz w:val="28"/>
          <w:szCs w:val="28"/>
          <w:rtl/>
        </w:rPr>
        <w:t>ةُ</w:t>
      </w:r>
      <w:r w:rsidRPr="0067048A">
        <w:rPr>
          <w:rFonts w:ascii="KFGQPC Uthmanic Script HAFS" w:cs="KFGQPC Uthmanic Script HAFS" w:hint="cs"/>
          <w:sz w:val="28"/>
          <w:szCs w:val="28"/>
          <w:rtl/>
        </w:rPr>
        <w:t>ۚ</w:t>
      </w:r>
      <w:r w:rsidRPr="0067048A">
        <w:rPr>
          <w:rFonts w:ascii="KFGQPC Uthmanic Script HAFS" w:cs="KFGQPC Uthmanic Script HAFS"/>
          <w:sz w:val="28"/>
          <w:szCs w:val="28"/>
          <w:rtl/>
        </w:rPr>
        <w:t xml:space="preserve"> </w:t>
      </w:r>
      <w:r w:rsidRPr="0067048A">
        <w:rPr>
          <w:rFonts w:ascii="KFGQPC Uthmanic Script HAFS" w:cs="KFGQPC Uthmanic Script HAFS" w:hint="eastAsia"/>
          <w:sz w:val="28"/>
          <w:szCs w:val="28"/>
          <w:rtl/>
        </w:rPr>
        <w:t>قُل</w:t>
      </w:r>
      <w:r w:rsidRPr="0067048A">
        <w:rPr>
          <w:rFonts w:ascii="KFGQPC Uthmanic Script HAFS" w:cs="KFGQPC Uthmanic Script HAFS" w:hint="cs"/>
          <w:sz w:val="28"/>
          <w:szCs w:val="28"/>
          <w:rtl/>
        </w:rPr>
        <w:t>ۡ</w:t>
      </w:r>
      <w:r w:rsidRPr="0067048A">
        <w:rPr>
          <w:rFonts w:ascii="KFGQPC Uthmanic Script HAFS" w:cs="KFGQPC Uthmanic Script HAFS"/>
          <w:sz w:val="28"/>
          <w:szCs w:val="28"/>
          <w:rtl/>
        </w:rPr>
        <w:t xml:space="preserve"> </w:t>
      </w:r>
      <w:r w:rsidRPr="0067048A">
        <w:rPr>
          <w:rFonts w:ascii="KFGQPC Uthmanic Script HAFS" w:cs="KFGQPC Uthmanic Script HAFS" w:hint="eastAsia"/>
          <w:sz w:val="28"/>
          <w:szCs w:val="28"/>
          <w:rtl/>
        </w:rPr>
        <w:t>فَأ</w:t>
      </w:r>
      <w:r w:rsidRPr="0067048A">
        <w:rPr>
          <w:rFonts w:ascii="KFGQPC Uthmanic Script HAFS" w:cs="KFGQPC Uthmanic Script HAFS" w:hint="cs"/>
          <w:sz w:val="28"/>
          <w:szCs w:val="28"/>
          <w:rtl/>
        </w:rPr>
        <w:t>ۡ</w:t>
      </w:r>
      <w:r w:rsidRPr="0067048A">
        <w:rPr>
          <w:rFonts w:ascii="KFGQPC Uthmanic Script HAFS" w:cs="KFGQPC Uthmanic Script HAFS" w:hint="eastAsia"/>
          <w:sz w:val="28"/>
          <w:szCs w:val="28"/>
          <w:rtl/>
        </w:rPr>
        <w:t>تُواْ</w:t>
      </w:r>
      <w:r w:rsidRPr="0067048A">
        <w:rPr>
          <w:rFonts w:ascii="KFGQPC Uthmanic Script HAFS" w:cs="KFGQPC Uthmanic Script HAFS"/>
          <w:sz w:val="28"/>
          <w:szCs w:val="28"/>
          <w:rtl/>
        </w:rPr>
        <w:t xml:space="preserve"> </w:t>
      </w:r>
      <w:r w:rsidRPr="0067048A">
        <w:rPr>
          <w:rFonts w:ascii="KFGQPC Uthmanic Script HAFS" w:cs="KFGQPC Uthmanic Script HAFS" w:hint="eastAsia"/>
          <w:sz w:val="28"/>
          <w:szCs w:val="28"/>
          <w:rtl/>
        </w:rPr>
        <w:t>بِ</w:t>
      </w:r>
      <w:r w:rsidRPr="0067048A">
        <w:rPr>
          <w:rFonts w:ascii="KFGQPC Uthmanic Script HAFS" w:cs="KFGQPC Uthmanic Script HAFS" w:hint="cs"/>
          <w:sz w:val="28"/>
          <w:szCs w:val="28"/>
          <w:rtl/>
        </w:rPr>
        <w:t>ٱ</w:t>
      </w:r>
      <w:r w:rsidRPr="0067048A">
        <w:rPr>
          <w:rFonts w:ascii="KFGQPC Uthmanic Script HAFS" w:cs="KFGQPC Uthmanic Script HAFS" w:hint="eastAsia"/>
          <w:sz w:val="28"/>
          <w:szCs w:val="28"/>
          <w:rtl/>
        </w:rPr>
        <w:t>لتَّو</w:t>
      </w:r>
      <w:r w:rsidRPr="0067048A">
        <w:rPr>
          <w:rFonts w:ascii="KFGQPC Uthmanic Script HAFS" w:cs="KFGQPC Uthmanic Script HAFS" w:hint="cs"/>
          <w:sz w:val="28"/>
          <w:szCs w:val="28"/>
          <w:rtl/>
        </w:rPr>
        <w:t>ۡ</w:t>
      </w:r>
      <w:r w:rsidRPr="0067048A">
        <w:rPr>
          <w:rFonts w:ascii="KFGQPC Uthmanic Script HAFS" w:cs="KFGQPC Uthmanic Script HAFS" w:hint="eastAsia"/>
          <w:sz w:val="28"/>
          <w:szCs w:val="28"/>
          <w:rtl/>
        </w:rPr>
        <w:t>رَى</w:t>
      </w:r>
      <w:r w:rsidRPr="0067048A">
        <w:rPr>
          <w:rFonts w:ascii="KFGQPC Uthmanic Script HAFS" w:cs="KFGQPC Uthmanic Script HAFS" w:hint="cs"/>
          <w:sz w:val="28"/>
          <w:szCs w:val="28"/>
          <w:rtl/>
        </w:rPr>
        <w:t>ٰ</w:t>
      </w:r>
      <w:r w:rsidRPr="0067048A">
        <w:rPr>
          <w:rFonts w:ascii="KFGQPC Uthmanic Script HAFS" w:cs="KFGQPC Uthmanic Script HAFS" w:hint="eastAsia"/>
          <w:sz w:val="28"/>
          <w:szCs w:val="28"/>
          <w:rtl/>
        </w:rPr>
        <w:t>ةِ</w:t>
      </w:r>
      <w:r w:rsidRPr="0067048A">
        <w:rPr>
          <w:rFonts w:ascii="KFGQPC Uthmanic Script HAFS" w:cs="KFGQPC Uthmanic Script HAFS"/>
          <w:sz w:val="28"/>
          <w:szCs w:val="28"/>
          <w:rtl/>
        </w:rPr>
        <w:t xml:space="preserve"> </w:t>
      </w:r>
      <w:r w:rsidRPr="0067048A">
        <w:rPr>
          <w:rFonts w:ascii="KFGQPC Uthmanic Script HAFS" w:cs="KFGQPC Uthmanic Script HAFS" w:hint="eastAsia"/>
          <w:sz w:val="28"/>
          <w:szCs w:val="28"/>
          <w:rtl/>
        </w:rPr>
        <w:t>فَ</w:t>
      </w:r>
      <w:r w:rsidRPr="0067048A">
        <w:rPr>
          <w:rFonts w:ascii="KFGQPC Uthmanic Script HAFS" w:cs="KFGQPC Uthmanic Script HAFS" w:hint="cs"/>
          <w:sz w:val="28"/>
          <w:szCs w:val="28"/>
          <w:rtl/>
        </w:rPr>
        <w:t>ٱ</w:t>
      </w:r>
      <w:r w:rsidRPr="0067048A">
        <w:rPr>
          <w:rFonts w:ascii="KFGQPC Uthmanic Script HAFS" w:cs="KFGQPC Uthmanic Script HAFS" w:hint="eastAsia"/>
          <w:sz w:val="28"/>
          <w:szCs w:val="28"/>
          <w:rtl/>
        </w:rPr>
        <w:t>ت</w:t>
      </w:r>
      <w:r w:rsidRPr="0067048A">
        <w:rPr>
          <w:rFonts w:ascii="KFGQPC Uthmanic Script HAFS" w:cs="KFGQPC Uthmanic Script HAFS" w:hint="cs"/>
          <w:sz w:val="28"/>
          <w:szCs w:val="28"/>
          <w:rtl/>
        </w:rPr>
        <w:t>ۡ</w:t>
      </w:r>
      <w:r w:rsidRPr="0067048A">
        <w:rPr>
          <w:rFonts w:ascii="KFGQPC Uthmanic Script HAFS" w:cs="KFGQPC Uthmanic Script HAFS" w:hint="eastAsia"/>
          <w:sz w:val="28"/>
          <w:szCs w:val="28"/>
          <w:rtl/>
        </w:rPr>
        <w:t>لُوهَا</w:t>
      </w:r>
      <w:r w:rsidRPr="0067048A">
        <w:rPr>
          <w:rFonts w:ascii="KFGQPC Uthmanic Script HAFS" w:cs="KFGQPC Uthmanic Script HAFS" w:hint="cs"/>
          <w:sz w:val="28"/>
          <w:szCs w:val="28"/>
          <w:rtl/>
        </w:rPr>
        <w:t>ٓ</w:t>
      </w:r>
      <w:r w:rsidRPr="0067048A">
        <w:rPr>
          <w:rFonts w:ascii="KFGQPC Uthmanic Script HAFS" w:cs="KFGQPC Uthmanic Script HAFS"/>
          <w:sz w:val="28"/>
          <w:szCs w:val="28"/>
          <w:rtl/>
        </w:rPr>
        <w:t xml:space="preserve"> </w:t>
      </w:r>
      <w:r w:rsidRPr="0067048A">
        <w:rPr>
          <w:rFonts w:ascii="KFGQPC Uthmanic Script HAFS" w:cs="KFGQPC Uthmanic Script HAFS" w:hint="eastAsia"/>
          <w:sz w:val="28"/>
          <w:szCs w:val="28"/>
          <w:rtl/>
        </w:rPr>
        <w:t>إِن</w:t>
      </w:r>
      <w:r w:rsidRPr="0067048A">
        <w:rPr>
          <w:rFonts w:ascii="KFGQPC Uthmanic Script HAFS" w:cs="KFGQPC Uthmanic Script HAFS"/>
          <w:sz w:val="28"/>
          <w:szCs w:val="28"/>
          <w:rtl/>
        </w:rPr>
        <w:t xml:space="preserve"> </w:t>
      </w:r>
      <w:r w:rsidRPr="0067048A">
        <w:rPr>
          <w:rFonts w:ascii="KFGQPC Uthmanic Script HAFS" w:cs="KFGQPC Uthmanic Script HAFS" w:hint="eastAsia"/>
          <w:sz w:val="28"/>
          <w:szCs w:val="28"/>
          <w:rtl/>
        </w:rPr>
        <w:t>كُنتُم</w:t>
      </w:r>
      <w:r w:rsidRPr="0067048A">
        <w:rPr>
          <w:rFonts w:ascii="KFGQPC Uthmanic Script HAFS" w:cs="KFGQPC Uthmanic Script HAFS" w:hint="cs"/>
          <w:sz w:val="28"/>
          <w:szCs w:val="28"/>
          <w:rtl/>
        </w:rPr>
        <w:t>ۡ</w:t>
      </w:r>
      <w:r w:rsidRPr="0067048A">
        <w:rPr>
          <w:rFonts w:ascii="KFGQPC Uthmanic Script HAFS" w:cs="KFGQPC Uthmanic Script HAFS"/>
          <w:sz w:val="28"/>
          <w:szCs w:val="28"/>
          <w:rtl/>
        </w:rPr>
        <w:t xml:space="preserve"> </w:t>
      </w:r>
      <w:r w:rsidRPr="0067048A">
        <w:rPr>
          <w:rFonts w:ascii="KFGQPC Uthmanic Script HAFS" w:cs="KFGQPC Uthmanic Script HAFS" w:hint="eastAsia"/>
          <w:sz w:val="28"/>
          <w:szCs w:val="28"/>
          <w:rtl/>
        </w:rPr>
        <w:t>صَ</w:t>
      </w:r>
      <w:r w:rsidRPr="0067048A">
        <w:rPr>
          <w:rFonts w:ascii="KFGQPC Uthmanic Script HAFS" w:cs="KFGQPC Uthmanic Script HAFS" w:hint="cs"/>
          <w:sz w:val="28"/>
          <w:szCs w:val="28"/>
          <w:rtl/>
        </w:rPr>
        <w:t>ٰ</w:t>
      </w:r>
      <w:r w:rsidRPr="0067048A">
        <w:rPr>
          <w:rFonts w:ascii="KFGQPC Uthmanic Script HAFS" w:cs="KFGQPC Uthmanic Script HAFS" w:hint="eastAsia"/>
          <w:sz w:val="28"/>
          <w:szCs w:val="28"/>
          <w:rtl/>
        </w:rPr>
        <w:t>دِقِينَ</w:t>
      </w:r>
      <w:r w:rsidRPr="0067048A">
        <w:rPr>
          <w:rFonts w:ascii="KFGQPC Uthmanic Script HAFS" w:cs="KFGQPC Uthmanic Script HAFS"/>
          <w:sz w:val="28"/>
          <w:szCs w:val="28"/>
          <w:rtl/>
        </w:rPr>
        <w:t xml:space="preserve"> </w:t>
      </w:r>
      <w:r w:rsidRPr="0067048A">
        <w:rPr>
          <w:rFonts w:ascii="KFGQPC Uthmanic Script HAFS" w:cs="KFGQPC Uthmanic Script HAFS" w:hint="cs"/>
          <w:sz w:val="28"/>
          <w:szCs w:val="28"/>
          <w:rtl/>
        </w:rPr>
        <w:t>٩٣</w:t>
      </w:r>
      <w:r w:rsidRPr="0067048A">
        <w:rPr>
          <w:rFonts w:ascii="KFGQPC Uthmanic Script HAFS" w:cs="KFGQPC Uthmanic Script HAFS"/>
          <w:sz w:val="28"/>
          <w:szCs w:val="28"/>
          <w:rtl/>
        </w:rPr>
        <w:t xml:space="preserve"> </w:t>
      </w:r>
      <w:r w:rsidRPr="0067048A">
        <w:rPr>
          <w:rFonts w:ascii="KFGQPC Uthmanic Script HAFS" w:cs="KFGQPC Uthmanic Script HAFS" w:hint="eastAsia"/>
          <w:sz w:val="28"/>
          <w:szCs w:val="28"/>
          <w:rtl/>
        </w:rPr>
        <w:t>فَمَنِ</w:t>
      </w:r>
      <w:r w:rsidRPr="0067048A">
        <w:rPr>
          <w:rFonts w:ascii="KFGQPC Uthmanic Script HAFS" w:cs="KFGQPC Uthmanic Script HAFS"/>
          <w:sz w:val="28"/>
          <w:szCs w:val="28"/>
          <w:rtl/>
        </w:rPr>
        <w:t xml:space="preserve"> </w:t>
      </w:r>
      <w:r w:rsidRPr="0067048A">
        <w:rPr>
          <w:rFonts w:ascii="KFGQPC Uthmanic Script HAFS" w:cs="KFGQPC Uthmanic Script HAFS" w:hint="cs"/>
          <w:sz w:val="28"/>
          <w:szCs w:val="28"/>
          <w:rtl/>
        </w:rPr>
        <w:t>ٱ</w:t>
      </w:r>
      <w:r w:rsidRPr="0067048A">
        <w:rPr>
          <w:rFonts w:ascii="KFGQPC Uthmanic Script HAFS" w:cs="KFGQPC Uthmanic Script HAFS" w:hint="eastAsia"/>
          <w:sz w:val="28"/>
          <w:szCs w:val="28"/>
          <w:rtl/>
        </w:rPr>
        <w:t>ف</w:t>
      </w:r>
      <w:r w:rsidRPr="0067048A">
        <w:rPr>
          <w:rFonts w:ascii="KFGQPC Uthmanic Script HAFS" w:cs="KFGQPC Uthmanic Script HAFS" w:hint="cs"/>
          <w:sz w:val="28"/>
          <w:szCs w:val="28"/>
          <w:rtl/>
        </w:rPr>
        <w:t>ۡ</w:t>
      </w:r>
      <w:r w:rsidRPr="0067048A">
        <w:rPr>
          <w:rFonts w:ascii="KFGQPC Uthmanic Script HAFS" w:cs="KFGQPC Uthmanic Script HAFS" w:hint="eastAsia"/>
          <w:sz w:val="28"/>
          <w:szCs w:val="28"/>
          <w:rtl/>
        </w:rPr>
        <w:t>تَرَى</w:t>
      </w:r>
      <w:r w:rsidRPr="0067048A">
        <w:rPr>
          <w:rFonts w:ascii="KFGQPC Uthmanic Script HAFS" w:cs="KFGQPC Uthmanic Script HAFS" w:hint="cs"/>
          <w:sz w:val="28"/>
          <w:szCs w:val="28"/>
          <w:rtl/>
        </w:rPr>
        <w:t>ٰ</w:t>
      </w:r>
      <w:r w:rsidRPr="0067048A">
        <w:rPr>
          <w:rFonts w:ascii="KFGQPC Uthmanic Script HAFS" w:cs="KFGQPC Uthmanic Script HAFS"/>
          <w:sz w:val="28"/>
          <w:szCs w:val="28"/>
          <w:rtl/>
        </w:rPr>
        <w:t xml:space="preserve"> </w:t>
      </w:r>
      <w:r w:rsidRPr="0067048A">
        <w:rPr>
          <w:rFonts w:ascii="KFGQPC Uthmanic Script HAFS" w:cs="KFGQPC Uthmanic Script HAFS" w:hint="eastAsia"/>
          <w:sz w:val="28"/>
          <w:szCs w:val="28"/>
          <w:rtl/>
        </w:rPr>
        <w:t>عَلَى</w:t>
      </w:r>
      <w:r w:rsidRPr="0067048A">
        <w:rPr>
          <w:rFonts w:ascii="KFGQPC Uthmanic Script HAFS" w:cs="KFGQPC Uthmanic Script HAFS"/>
          <w:sz w:val="28"/>
          <w:szCs w:val="28"/>
          <w:rtl/>
        </w:rPr>
        <w:t xml:space="preserve"> </w:t>
      </w:r>
      <w:r w:rsidRPr="0067048A">
        <w:rPr>
          <w:rFonts w:ascii="KFGQPC Uthmanic Script HAFS" w:cs="KFGQPC Uthmanic Script HAFS" w:hint="cs"/>
          <w:sz w:val="28"/>
          <w:szCs w:val="28"/>
          <w:rtl/>
        </w:rPr>
        <w:t>ٱ</w:t>
      </w:r>
      <w:r w:rsidRPr="0067048A">
        <w:rPr>
          <w:rFonts w:ascii="KFGQPC Uthmanic Script HAFS" w:cs="KFGQPC Uthmanic Script HAFS" w:hint="eastAsia"/>
          <w:sz w:val="28"/>
          <w:szCs w:val="28"/>
          <w:rtl/>
        </w:rPr>
        <w:t>للَّهِ</w:t>
      </w:r>
      <w:r w:rsidRPr="0067048A">
        <w:rPr>
          <w:rFonts w:ascii="KFGQPC Uthmanic Script HAFS" w:cs="KFGQPC Uthmanic Script HAFS"/>
          <w:sz w:val="28"/>
          <w:szCs w:val="28"/>
          <w:rtl/>
        </w:rPr>
        <w:t xml:space="preserve"> </w:t>
      </w:r>
      <w:r w:rsidRPr="0067048A">
        <w:rPr>
          <w:rFonts w:ascii="KFGQPC Uthmanic Script HAFS" w:cs="KFGQPC Uthmanic Script HAFS" w:hint="cs"/>
          <w:sz w:val="28"/>
          <w:szCs w:val="28"/>
          <w:rtl/>
        </w:rPr>
        <w:t>ٱ</w:t>
      </w:r>
      <w:r w:rsidRPr="0067048A">
        <w:rPr>
          <w:rFonts w:ascii="KFGQPC Uthmanic Script HAFS" w:cs="KFGQPC Uthmanic Script HAFS" w:hint="eastAsia"/>
          <w:sz w:val="28"/>
          <w:szCs w:val="28"/>
          <w:rtl/>
        </w:rPr>
        <w:t>ل</w:t>
      </w:r>
      <w:r w:rsidRPr="0067048A">
        <w:rPr>
          <w:rFonts w:ascii="KFGQPC Uthmanic Script HAFS" w:cs="KFGQPC Uthmanic Script HAFS" w:hint="cs"/>
          <w:sz w:val="28"/>
          <w:szCs w:val="28"/>
          <w:rtl/>
        </w:rPr>
        <w:t>ۡ</w:t>
      </w:r>
      <w:r w:rsidRPr="0067048A">
        <w:rPr>
          <w:rFonts w:ascii="KFGQPC Uthmanic Script HAFS" w:cs="KFGQPC Uthmanic Script HAFS" w:hint="eastAsia"/>
          <w:sz w:val="28"/>
          <w:szCs w:val="28"/>
          <w:rtl/>
        </w:rPr>
        <w:t>كَذِبَ</w:t>
      </w:r>
      <w:r w:rsidRPr="0067048A">
        <w:rPr>
          <w:rFonts w:ascii="KFGQPC Uthmanic Script HAFS" w:cs="KFGQPC Uthmanic Script HAFS"/>
          <w:sz w:val="28"/>
          <w:szCs w:val="28"/>
          <w:rtl/>
        </w:rPr>
        <w:t xml:space="preserve"> </w:t>
      </w:r>
      <w:r w:rsidRPr="0067048A">
        <w:rPr>
          <w:rFonts w:ascii="KFGQPC Uthmanic Script HAFS" w:cs="KFGQPC Uthmanic Script HAFS" w:hint="eastAsia"/>
          <w:sz w:val="28"/>
          <w:szCs w:val="28"/>
          <w:rtl/>
        </w:rPr>
        <w:t>مِن</w:t>
      </w:r>
      <w:r w:rsidRPr="0067048A">
        <w:rPr>
          <w:rFonts w:ascii="KFGQPC Uthmanic Script HAFS" w:cs="KFGQPC Uthmanic Script HAFS" w:hint="cs"/>
          <w:sz w:val="28"/>
          <w:szCs w:val="28"/>
          <w:rtl/>
        </w:rPr>
        <w:t>ۢ</w:t>
      </w:r>
      <w:r w:rsidRPr="0067048A">
        <w:rPr>
          <w:rFonts w:ascii="KFGQPC Uthmanic Script HAFS" w:cs="KFGQPC Uthmanic Script HAFS"/>
          <w:sz w:val="28"/>
          <w:szCs w:val="28"/>
          <w:rtl/>
        </w:rPr>
        <w:t xml:space="preserve"> </w:t>
      </w:r>
      <w:r w:rsidRPr="0067048A">
        <w:rPr>
          <w:rFonts w:ascii="KFGQPC Uthmanic Script HAFS" w:cs="KFGQPC Uthmanic Script HAFS" w:hint="eastAsia"/>
          <w:sz w:val="28"/>
          <w:szCs w:val="28"/>
          <w:rtl/>
        </w:rPr>
        <w:t>بَع</w:t>
      </w:r>
      <w:r w:rsidRPr="0067048A">
        <w:rPr>
          <w:rFonts w:ascii="KFGQPC Uthmanic Script HAFS" w:cs="KFGQPC Uthmanic Script HAFS" w:hint="cs"/>
          <w:sz w:val="28"/>
          <w:szCs w:val="28"/>
          <w:rtl/>
        </w:rPr>
        <w:t>ۡ</w:t>
      </w:r>
      <w:r w:rsidRPr="0067048A">
        <w:rPr>
          <w:rFonts w:ascii="KFGQPC Uthmanic Script HAFS" w:cs="KFGQPC Uthmanic Script HAFS" w:hint="eastAsia"/>
          <w:sz w:val="28"/>
          <w:szCs w:val="28"/>
          <w:rtl/>
        </w:rPr>
        <w:t>دِ</w:t>
      </w:r>
      <w:r w:rsidRPr="0067048A">
        <w:rPr>
          <w:rFonts w:ascii="KFGQPC Uthmanic Script HAFS" w:cs="KFGQPC Uthmanic Script HAFS"/>
          <w:sz w:val="28"/>
          <w:szCs w:val="28"/>
          <w:rtl/>
        </w:rPr>
        <w:t xml:space="preserve"> </w:t>
      </w:r>
      <w:r w:rsidRPr="0067048A">
        <w:rPr>
          <w:rFonts w:ascii="KFGQPC Uthmanic Script HAFS" w:cs="KFGQPC Uthmanic Script HAFS" w:hint="eastAsia"/>
          <w:sz w:val="28"/>
          <w:szCs w:val="28"/>
          <w:rtl/>
        </w:rPr>
        <w:t>ذَ</w:t>
      </w:r>
      <w:r w:rsidRPr="0067048A">
        <w:rPr>
          <w:rFonts w:ascii="KFGQPC Uthmanic Script HAFS" w:cs="KFGQPC Uthmanic Script HAFS" w:hint="cs"/>
          <w:sz w:val="28"/>
          <w:szCs w:val="28"/>
          <w:rtl/>
        </w:rPr>
        <w:t>ٰ</w:t>
      </w:r>
      <w:r w:rsidRPr="0067048A">
        <w:rPr>
          <w:rFonts w:ascii="KFGQPC Uthmanic Script HAFS" w:cs="KFGQPC Uthmanic Script HAFS" w:hint="eastAsia"/>
          <w:sz w:val="28"/>
          <w:szCs w:val="28"/>
          <w:rtl/>
        </w:rPr>
        <w:t>لِكَ</w:t>
      </w:r>
      <w:r w:rsidRPr="0067048A">
        <w:rPr>
          <w:rFonts w:ascii="KFGQPC Uthmanic Script HAFS" w:cs="KFGQPC Uthmanic Script HAFS"/>
          <w:sz w:val="28"/>
          <w:szCs w:val="28"/>
          <w:rtl/>
        </w:rPr>
        <w:t xml:space="preserve"> </w:t>
      </w:r>
      <w:r w:rsidRPr="0067048A">
        <w:rPr>
          <w:rFonts w:ascii="KFGQPC Uthmanic Script HAFS" w:cs="KFGQPC Uthmanic Script HAFS" w:hint="eastAsia"/>
          <w:sz w:val="28"/>
          <w:szCs w:val="28"/>
          <w:rtl/>
        </w:rPr>
        <w:t>فَأُوْلَ</w:t>
      </w:r>
      <w:r w:rsidRPr="0067048A">
        <w:rPr>
          <w:rFonts w:ascii="KFGQPC Uthmanic Script HAFS" w:cs="KFGQPC Uthmanic Script HAFS" w:hint="cs"/>
          <w:sz w:val="28"/>
          <w:szCs w:val="28"/>
          <w:rtl/>
        </w:rPr>
        <w:t>ٰٓ</w:t>
      </w:r>
      <w:r w:rsidRPr="0067048A">
        <w:rPr>
          <w:rFonts w:ascii="KFGQPC Uthmanic Script HAFS" w:cs="KFGQPC Uthmanic Script HAFS" w:hint="eastAsia"/>
          <w:sz w:val="28"/>
          <w:szCs w:val="28"/>
          <w:rtl/>
        </w:rPr>
        <w:t>ئِكَ</w:t>
      </w:r>
      <w:r w:rsidRPr="0067048A">
        <w:rPr>
          <w:rFonts w:ascii="KFGQPC Uthmanic Script HAFS" w:cs="KFGQPC Uthmanic Script HAFS"/>
          <w:sz w:val="28"/>
          <w:szCs w:val="28"/>
          <w:rtl/>
        </w:rPr>
        <w:t xml:space="preserve"> </w:t>
      </w:r>
      <w:r w:rsidRPr="0067048A">
        <w:rPr>
          <w:rFonts w:ascii="KFGQPC Uthmanic Script HAFS" w:cs="KFGQPC Uthmanic Script HAFS" w:hint="eastAsia"/>
          <w:sz w:val="28"/>
          <w:szCs w:val="28"/>
          <w:rtl/>
        </w:rPr>
        <w:t>هُمُ</w:t>
      </w:r>
      <w:r w:rsidRPr="0067048A">
        <w:rPr>
          <w:rFonts w:ascii="KFGQPC Uthmanic Script HAFS" w:cs="KFGQPC Uthmanic Script HAFS"/>
          <w:sz w:val="28"/>
          <w:szCs w:val="28"/>
          <w:rtl/>
        </w:rPr>
        <w:t xml:space="preserve"> </w:t>
      </w:r>
      <w:r w:rsidRPr="0067048A">
        <w:rPr>
          <w:rFonts w:ascii="KFGQPC Uthmanic Script HAFS" w:cs="KFGQPC Uthmanic Script HAFS" w:hint="cs"/>
          <w:sz w:val="28"/>
          <w:szCs w:val="28"/>
          <w:rtl/>
        </w:rPr>
        <w:t>ٱ</w:t>
      </w:r>
      <w:r w:rsidRPr="0067048A">
        <w:rPr>
          <w:rFonts w:ascii="KFGQPC Uthmanic Script HAFS" w:cs="KFGQPC Uthmanic Script HAFS" w:hint="eastAsia"/>
          <w:sz w:val="28"/>
          <w:szCs w:val="28"/>
          <w:rtl/>
        </w:rPr>
        <w:t>لظَّ</w:t>
      </w:r>
      <w:r w:rsidRPr="0067048A">
        <w:rPr>
          <w:rFonts w:ascii="KFGQPC Uthmanic Script HAFS" w:cs="KFGQPC Uthmanic Script HAFS" w:hint="cs"/>
          <w:sz w:val="28"/>
          <w:szCs w:val="28"/>
          <w:rtl/>
        </w:rPr>
        <w:t>ٰ</w:t>
      </w:r>
      <w:r w:rsidRPr="0067048A">
        <w:rPr>
          <w:rFonts w:ascii="KFGQPC Uthmanic Script HAFS" w:cs="KFGQPC Uthmanic Script HAFS" w:hint="eastAsia"/>
          <w:sz w:val="28"/>
          <w:szCs w:val="28"/>
          <w:rtl/>
        </w:rPr>
        <w:t>لِمُونَ</w:t>
      </w:r>
      <w:r w:rsidRPr="0067048A">
        <w:rPr>
          <w:rFonts w:ascii="KFGQPC Uthmanic Script HAFS" w:cs="KFGQPC Uthmanic Script HAFS"/>
          <w:sz w:val="28"/>
          <w:szCs w:val="28"/>
          <w:rtl/>
        </w:rPr>
        <w:t xml:space="preserve"> </w:t>
      </w:r>
      <w:r w:rsidRPr="0067048A">
        <w:rPr>
          <w:rFonts w:ascii="KFGQPC Uthmanic Script HAFS" w:cs="KFGQPC Uthmanic Script HAFS" w:hint="cs"/>
          <w:sz w:val="28"/>
          <w:szCs w:val="28"/>
          <w:rtl/>
        </w:rPr>
        <w:t>٩٤</w:t>
      </w:r>
      <w:r w:rsidRPr="0067048A">
        <w:rPr>
          <w:rFonts w:ascii="KFGQPC Uthmanic Script HAFS" w:cs="KFGQPC Uthmanic Script HAFS"/>
          <w:sz w:val="28"/>
          <w:szCs w:val="28"/>
          <w:rtl/>
        </w:rPr>
        <w:t xml:space="preserve"> </w:t>
      </w:r>
      <w:r w:rsidRPr="0067048A">
        <w:rPr>
          <w:rFonts w:ascii="KFGQPC Uthmanic Script HAFS" w:cs="KFGQPC Uthmanic Script HAFS" w:hint="eastAsia"/>
          <w:sz w:val="28"/>
          <w:szCs w:val="28"/>
          <w:rtl/>
        </w:rPr>
        <w:t>قُل</w:t>
      </w:r>
      <w:r w:rsidRPr="0067048A">
        <w:rPr>
          <w:rFonts w:ascii="KFGQPC Uthmanic Script HAFS" w:cs="KFGQPC Uthmanic Script HAFS" w:hint="cs"/>
          <w:sz w:val="28"/>
          <w:szCs w:val="28"/>
          <w:rtl/>
        </w:rPr>
        <w:t>ۡ</w:t>
      </w:r>
      <w:r w:rsidRPr="0067048A">
        <w:rPr>
          <w:rFonts w:ascii="KFGQPC Uthmanic Script HAFS" w:cs="KFGQPC Uthmanic Script HAFS"/>
          <w:sz w:val="28"/>
          <w:szCs w:val="28"/>
          <w:rtl/>
        </w:rPr>
        <w:t xml:space="preserve"> </w:t>
      </w:r>
      <w:r w:rsidRPr="0067048A">
        <w:rPr>
          <w:rFonts w:ascii="KFGQPC Uthmanic Script HAFS" w:cs="KFGQPC Uthmanic Script HAFS" w:hint="eastAsia"/>
          <w:sz w:val="28"/>
          <w:szCs w:val="28"/>
          <w:rtl/>
        </w:rPr>
        <w:t>صَدَقَ</w:t>
      </w:r>
      <w:r w:rsidRPr="0067048A">
        <w:rPr>
          <w:rFonts w:ascii="KFGQPC Uthmanic Script HAFS" w:cs="KFGQPC Uthmanic Script HAFS"/>
          <w:sz w:val="28"/>
          <w:szCs w:val="28"/>
          <w:rtl/>
        </w:rPr>
        <w:t xml:space="preserve"> </w:t>
      </w:r>
      <w:r w:rsidRPr="0067048A">
        <w:rPr>
          <w:rFonts w:ascii="KFGQPC Uthmanic Script HAFS" w:cs="KFGQPC Uthmanic Script HAFS" w:hint="cs"/>
          <w:sz w:val="28"/>
          <w:szCs w:val="28"/>
          <w:rtl/>
        </w:rPr>
        <w:t>ٱ</w:t>
      </w:r>
      <w:r w:rsidRPr="0067048A">
        <w:rPr>
          <w:rFonts w:ascii="KFGQPC Uthmanic Script HAFS" w:cs="KFGQPC Uthmanic Script HAFS" w:hint="eastAsia"/>
          <w:sz w:val="28"/>
          <w:szCs w:val="28"/>
          <w:rtl/>
        </w:rPr>
        <w:t>للَّهُ</w:t>
      </w:r>
      <w:r w:rsidRPr="0067048A">
        <w:rPr>
          <w:rFonts w:ascii="KFGQPC Uthmanic Script HAFS" w:cs="KFGQPC Uthmanic Script HAFS" w:hint="cs"/>
          <w:sz w:val="28"/>
          <w:szCs w:val="28"/>
          <w:rtl/>
        </w:rPr>
        <w:t>ۗ</w:t>
      </w:r>
      <w:r w:rsidRPr="0067048A">
        <w:rPr>
          <w:rFonts w:ascii="KFGQPC Uthmanic Script HAFS" w:cs="KFGQPC Uthmanic Script HAFS"/>
          <w:sz w:val="28"/>
          <w:szCs w:val="28"/>
          <w:rtl/>
        </w:rPr>
        <w:t xml:space="preserve"> </w:t>
      </w:r>
      <w:r w:rsidRPr="0067048A">
        <w:rPr>
          <w:rFonts w:ascii="KFGQPC Uthmanic Script HAFS" w:cs="KFGQPC Uthmanic Script HAFS" w:hint="eastAsia"/>
          <w:sz w:val="28"/>
          <w:szCs w:val="28"/>
          <w:u w:val="single"/>
          <w:rtl/>
        </w:rPr>
        <w:t>فَ</w:t>
      </w:r>
      <w:r w:rsidRPr="0067048A">
        <w:rPr>
          <w:rFonts w:ascii="KFGQPC Uthmanic Script HAFS" w:cs="KFGQPC Uthmanic Script HAFS" w:hint="cs"/>
          <w:sz w:val="28"/>
          <w:szCs w:val="28"/>
          <w:u w:val="single"/>
          <w:rtl/>
        </w:rPr>
        <w:t>ٱ</w:t>
      </w:r>
      <w:r w:rsidRPr="0067048A">
        <w:rPr>
          <w:rFonts w:ascii="KFGQPC Uthmanic Script HAFS" w:cs="KFGQPC Uthmanic Script HAFS" w:hint="eastAsia"/>
          <w:sz w:val="28"/>
          <w:szCs w:val="28"/>
          <w:u w:val="single"/>
          <w:rtl/>
        </w:rPr>
        <w:t>تَّبِعُواْ</w:t>
      </w:r>
      <w:r w:rsidRPr="0067048A">
        <w:rPr>
          <w:rFonts w:ascii="KFGQPC Uthmanic Script HAFS" w:cs="KFGQPC Uthmanic Script HAFS"/>
          <w:sz w:val="28"/>
          <w:szCs w:val="28"/>
          <w:u w:val="single"/>
          <w:rtl/>
        </w:rPr>
        <w:t xml:space="preserve"> </w:t>
      </w:r>
      <w:r w:rsidRPr="0067048A">
        <w:rPr>
          <w:rFonts w:ascii="KFGQPC Uthmanic Script HAFS" w:cs="KFGQPC Uthmanic Script HAFS" w:hint="eastAsia"/>
          <w:sz w:val="28"/>
          <w:szCs w:val="28"/>
          <w:u w:val="single"/>
          <w:rtl/>
        </w:rPr>
        <w:t>مِلَّةَ</w:t>
      </w:r>
      <w:r w:rsidRPr="0067048A">
        <w:rPr>
          <w:rFonts w:ascii="KFGQPC Uthmanic Script HAFS" w:cs="KFGQPC Uthmanic Script HAFS"/>
          <w:sz w:val="28"/>
          <w:szCs w:val="28"/>
          <w:u w:val="single"/>
          <w:rtl/>
        </w:rPr>
        <w:t xml:space="preserve"> </w:t>
      </w:r>
      <w:r w:rsidRPr="0067048A">
        <w:rPr>
          <w:rFonts w:ascii="KFGQPC Uthmanic Script HAFS" w:cs="KFGQPC Uthmanic Script HAFS" w:hint="eastAsia"/>
          <w:sz w:val="28"/>
          <w:szCs w:val="28"/>
          <w:u w:val="single"/>
          <w:rtl/>
        </w:rPr>
        <w:t>إِب</w:t>
      </w:r>
      <w:r w:rsidRPr="0067048A">
        <w:rPr>
          <w:rFonts w:ascii="KFGQPC Uthmanic Script HAFS" w:cs="KFGQPC Uthmanic Script HAFS" w:hint="cs"/>
          <w:sz w:val="28"/>
          <w:szCs w:val="28"/>
          <w:u w:val="single"/>
          <w:rtl/>
        </w:rPr>
        <w:t>ۡ</w:t>
      </w:r>
      <w:r w:rsidRPr="0067048A">
        <w:rPr>
          <w:rFonts w:ascii="KFGQPC Uthmanic Script HAFS" w:cs="KFGQPC Uthmanic Script HAFS" w:hint="eastAsia"/>
          <w:sz w:val="28"/>
          <w:szCs w:val="28"/>
          <w:u w:val="single"/>
          <w:rtl/>
        </w:rPr>
        <w:t>رَ</w:t>
      </w:r>
      <w:r w:rsidRPr="0067048A">
        <w:rPr>
          <w:rFonts w:ascii="KFGQPC Uthmanic Script HAFS" w:cs="KFGQPC Uthmanic Script HAFS" w:hint="cs"/>
          <w:sz w:val="28"/>
          <w:szCs w:val="28"/>
          <w:u w:val="single"/>
          <w:rtl/>
        </w:rPr>
        <w:t>ٰ</w:t>
      </w:r>
      <w:r w:rsidRPr="0067048A">
        <w:rPr>
          <w:rFonts w:ascii="KFGQPC Uthmanic Script HAFS" w:cs="KFGQPC Uthmanic Script HAFS" w:hint="eastAsia"/>
          <w:sz w:val="28"/>
          <w:szCs w:val="28"/>
          <w:u w:val="single"/>
          <w:rtl/>
        </w:rPr>
        <w:t>هِيمَ</w:t>
      </w:r>
      <w:r w:rsidRPr="0067048A">
        <w:rPr>
          <w:rFonts w:ascii="KFGQPC Uthmanic Script HAFS" w:cs="KFGQPC Uthmanic Script HAFS"/>
          <w:sz w:val="28"/>
          <w:szCs w:val="28"/>
          <w:u w:val="single"/>
          <w:rtl/>
        </w:rPr>
        <w:t xml:space="preserve"> </w:t>
      </w:r>
      <w:r w:rsidRPr="0067048A">
        <w:rPr>
          <w:rFonts w:ascii="KFGQPC Uthmanic Script HAFS" w:cs="KFGQPC Uthmanic Script HAFS" w:hint="eastAsia"/>
          <w:sz w:val="28"/>
          <w:szCs w:val="28"/>
          <w:u w:val="single"/>
          <w:rtl/>
        </w:rPr>
        <w:t>حَنِيف</w:t>
      </w:r>
      <w:r w:rsidRPr="0067048A">
        <w:rPr>
          <w:rFonts w:ascii="KFGQPC Uthmanic Script HAFS" w:cs="KFGQPC Uthmanic Script HAFS" w:hint="cs"/>
          <w:sz w:val="28"/>
          <w:szCs w:val="28"/>
          <w:u w:val="single"/>
          <w:rtl/>
        </w:rPr>
        <w:t>ٗ</w:t>
      </w:r>
      <w:r w:rsidRPr="0067048A">
        <w:rPr>
          <w:rFonts w:ascii="KFGQPC Uthmanic Script HAFS" w:cs="KFGQPC Uthmanic Script HAFS" w:hint="eastAsia"/>
          <w:sz w:val="28"/>
          <w:szCs w:val="28"/>
          <w:u w:val="single"/>
          <w:rtl/>
        </w:rPr>
        <w:t>ا</w:t>
      </w:r>
      <w:r w:rsidRPr="0067048A">
        <w:rPr>
          <w:rFonts w:ascii="KFGQPC Uthmanic Script HAFS" w:cs="KFGQPC Uthmanic Script HAFS" w:hint="cs"/>
          <w:sz w:val="28"/>
          <w:szCs w:val="28"/>
          <w:u w:val="single"/>
          <w:rtl/>
        </w:rPr>
        <w:t>ۖ</w:t>
      </w:r>
      <w:r w:rsidRPr="0067048A">
        <w:rPr>
          <w:rFonts w:ascii="KFGQPC Uthmanic Script HAFS" w:cs="KFGQPC Uthmanic Script HAFS"/>
          <w:sz w:val="28"/>
          <w:szCs w:val="28"/>
          <w:rtl/>
        </w:rPr>
        <w:t xml:space="preserve"> </w:t>
      </w:r>
      <w:r w:rsidRPr="0067048A">
        <w:rPr>
          <w:rFonts w:ascii="KFGQPC Uthmanic Script HAFS" w:cs="KFGQPC Uthmanic Script HAFS" w:hint="eastAsia"/>
          <w:sz w:val="28"/>
          <w:szCs w:val="28"/>
          <w:rtl/>
        </w:rPr>
        <w:t>وَمَا</w:t>
      </w:r>
      <w:r w:rsidRPr="0067048A">
        <w:rPr>
          <w:rFonts w:ascii="KFGQPC Uthmanic Script HAFS" w:cs="KFGQPC Uthmanic Script HAFS"/>
          <w:sz w:val="28"/>
          <w:szCs w:val="28"/>
          <w:rtl/>
        </w:rPr>
        <w:t xml:space="preserve"> </w:t>
      </w:r>
      <w:r w:rsidRPr="0067048A">
        <w:rPr>
          <w:rFonts w:ascii="KFGQPC Uthmanic Script HAFS" w:cs="KFGQPC Uthmanic Script HAFS" w:hint="eastAsia"/>
          <w:sz w:val="28"/>
          <w:szCs w:val="28"/>
          <w:rtl/>
        </w:rPr>
        <w:t>كَانَ</w:t>
      </w:r>
      <w:r w:rsidRPr="0067048A">
        <w:rPr>
          <w:rFonts w:ascii="KFGQPC Uthmanic Script HAFS" w:cs="KFGQPC Uthmanic Script HAFS"/>
          <w:sz w:val="28"/>
          <w:szCs w:val="28"/>
          <w:rtl/>
        </w:rPr>
        <w:t xml:space="preserve"> </w:t>
      </w:r>
      <w:r w:rsidRPr="0067048A">
        <w:rPr>
          <w:rFonts w:ascii="KFGQPC Uthmanic Script HAFS" w:cs="KFGQPC Uthmanic Script HAFS" w:hint="eastAsia"/>
          <w:sz w:val="28"/>
          <w:szCs w:val="28"/>
          <w:rtl/>
        </w:rPr>
        <w:t>مِنَ</w:t>
      </w:r>
      <w:r w:rsidRPr="0067048A">
        <w:rPr>
          <w:rFonts w:ascii="KFGQPC Uthmanic Script HAFS" w:cs="KFGQPC Uthmanic Script HAFS"/>
          <w:sz w:val="28"/>
          <w:szCs w:val="28"/>
          <w:rtl/>
        </w:rPr>
        <w:t xml:space="preserve"> </w:t>
      </w:r>
      <w:r w:rsidRPr="0067048A">
        <w:rPr>
          <w:rFonts w:ascii="KFGQPC Uthmanic Script HAFS" w:cs="KFGQPC Uthmanic Script HAFS" w:hint="cs"/>
          <w:sz w:val="28"/>
          <w:szCs w:val="28"/>
          <w:rtl/>
        </w:rPr>
        <w:t>ٱ</w:t>
      </w:r>
      <w:r w:rsidRPr="0067048A">
        <w:rPr>
          <w:rFonts w:ascii="KFGQPC Uthmanic Script HAFS" w:cs="KFGQPC Uthmanic Script HAFS" w:hint="eastAsia"/>
          <w:sz w:val="28"/>
          <w:szCs w:val="28"/>
          <w:rtl/>
        </w:rPr>
        <w:t>ل</w:t>
      </w:r>
      <w:r w:rsidRPr="0067048A">
        <w:rPr>
          <w:rFonts w:ascii="KFGQPC Uthmanic Script HAFS" w:cs="KFGQPC Uthmanic Script HAFS" w:hint="cs"/>
          <w:sz w:val="28"/>
          <w:szCs w:val="28"/>
          <w:rtl/>
        </w:rPr>
        <w:t>ۡ</w:t>
      </w:r>
      <w:r w:rsidRPr="0067048A">
        <w:rPr>
          <w:rFonts w:ascii="KFGQPC Uthmanic Script HAFS" w:cs="KFGQPC Uthmanic Script HAFS" w:hint="eastAsia"/>
          <w:sz w:val="28"/>
          <w:szCs w:val="28"/>
          <w:rtl/>
        </w:rPr>
        <w:t>مُش</w:t>
      </w:r>
      <w:r w:rsidRPr="0067048A">
        <w:rPr>
          <w:rFonts w:ascii="KFGQPC Uthmanic Script HAFS" w:cs="KFGQPC Uthmanic Script HAFS" w:hint="cs"/>
          <w:sz w:val="28"/>
          <w:szCs w:val="28"/>
          <w:rtl/>
        </w:rPr>
        <w:t>ۡ</w:t>
      </w:r>
      <w:r w:rsidRPr="0067048A">
        <w:rPr>
          <w:rFonts w:ascii="KFGQPC Uthmanic Script HAFS" w:cs="KFGQPC Uthmanic Script HAFS" w:hint="eastAsia"/>
          <w:sz w:val="28"/>
          <w:szCs w:val="28"/>
          <w:rtl/>
        </w:rPr>
        <w:t>رِكِينَ</w:t>
      </w:r>
      <w:r w:rsidRPr="0067048A">
        <w:rPr>
          <w:rFonts w:ascii="KFGQPC Uthmanic Script HAFS" w:cs="KFGQPC Uthmanic Script HAFS"/>
          <w:sz w:val="28"/>
          <w:szCs w:val="28"/>
          <w:rtl/>
        </w:rPr>
        <w:t xml:space="preserve"> </w:t>
      </w:r>
      <w:r w:rsidRPr="0067048A">
        <w:rPr>
          <w:rFonts w:ascii="KFGQPC Uthmanic Script HAFS" w:cs="KFGQPC Uthmanic Script HAFS" w:hint="cs"/>
          <w:sz w:val="28"/>
          <w:szCs w:val="28"/>
          <w:rtl/>
        </w:rPr>
        <w:t>٩٥</w:t>
      </w:r>
      <w:r w:rsidRPr="00995B26">
        <w:rPr>
          <w:rFonts w:cs="Traditional Arabic" w:hint="cs"/>
          <w:sz w:val="28"/>
          <w:rtl/>
        </w:rPr>
        <w:t>﴾</w:t>
      </w:r>
      <w:r w:rsidR="00CD31AA" w:rsidRPr="00495BAB">
        <w:rPr>
          <w:rtl/>
        </w:rPr>
        <w:t xml:space="preserve"> </w:t>
      </w:r>
      <w:r w:rsidR="00CD31AA" w:rsidRPr="009E1401">
        <w:rPr>
          <w:rStyle w:val="Char2"/>
          <w:rtl/>
        </w:rPr>
        <w:t>[آل عمران</w:t>
      </w:r>
      <w:r w:rsidRPr="009E1401">
        <w:rPr>
          <w:rStyle w:val="Char2"/>
          <w:rFonts w:hint="cs"/>
          <w:rtl/>
        </w:rPr>
        <w:t xml:space="preserve">: </w:t>
      </w:r>
      <w:r w:rsidRPr="009E1401">
        <w:rPr>
          <w:rStyle w:val="Char2"/>
          <w:rtl/>
        </w:rPr>
        <w:t>93-</w:t>
      </w:r>
      <w:r w:rsidR="00CD31AA" w:rsidRPr="009E1401">
        <w:rPr>
          <w:rStyle w:val="Char2"/>
          <w:rtl/>
        </w:rPr>
        <w:t>95]</w:t>
      </w:r>
    </w:p>
    <w:p w:rsidR="00CD31AA" w:rsidRPr="00495BAB" w:rsidRDefault="00CD31AA" w:rsidP="00495BAB">
      <w:pPr>
        <w:pStyle w:val="a0"/>
        <w:rPr>
          <w:rFonts w:hint="cs"/>
          <w:rtl/>
        </w:rPr>
      </w:pPr>
      <w:r w:rsidRPr="00495BAB">
        <w:rPr>
          <w:rFonts w:hint="cs"/>
          <w:rtl/>
        </w:rPr>
        <w:t xml:space="preserve">فهذه الآيات تدل بوضوح على أن نبيَّ الإسلام كان على شريعة إبراهيم وموسى وعيسى ذاتها، وأنه كان يدعو أهل الدنيا جميعًا، لاسيّما اليهود والنصارى، إلى هذه الشريعة عينها، تلك الشريعة التي لم تُحرَّف وبقيت على بساطتها ونقائها الأوَّلي، وأُمِر محمدٌ </w:t>
      </w:r>
      <w:r w:rsidRPr="00495BAB">
        <w:rPr>
          <w:rFonts w:ascii="Abo-thar" w:hAnsi="Abo-thar"/>
          <w:sz w:val="28"/>
          <w:lang w:bidi="fa-IR"/>
        </w:rPr>
        <w:t></w:t>
      </w:r>
      <w:r w:rsidRPr="00495BAB">
        <w:rPr>
          <w:rFonts w:hint="cs"/>
          <w:rtl/>
        </w:rPr>
        <w:t xml:space="preserve"> باتِّباعِها.</w:t>
      </w:r>
    </w:p>
    <w:p w:rsidR="00CD31AA" w:rsidRPr="00495BAB" w:rsidRDefault="00CD31AA" w:rsidP="00495BAB">
      <w:pPr>
        <w:pStyle w:val="a0"/>
        <w:rPr>
          <w:rFonts w:hint="cs"/>
          <w:rtl/>
        </w:rPr>
      </w:pPr>
      <w:r w:rsidRPr="00495BAB">
        <w:rPr>
          <w:rFonts w:hint="cs"/>
          <w:rtl/>
        </w:rPr>
        <w:t xml:space="preserve">كما أن هذه الآيات تدل بوضوح أنه ما مِن حُكْم نزل على رسول الله </w:t>
      </w:r>
      <w:r w:rsidRPr="00495BAB">
        <w:rPr>
          <w:rFonts w:ascii="Abo-thar" w:hAnsi="Abo-thar"/>
          <w:sz w:val="28"/>
          <w:lang w:bidi="fa-IR"/>
        </w:rPr>
        <w:t></w:t>
      </w:r>
      <w:r w:rsidRPr="00495BAB">
        <w:rPr>
          <w:rFonts w:hint="cs"/>
          <w:rtl/>
        </w:rPr>
        <w:t xml:space="preserve"> إلا ونزل مِن قَبل على الأنبياء السابقين. فكيف يمكن أن تكون الغنائم الحربية محرمةً على الأنبياء السابقين، ومحللةً لهذا النبي </w:t>
      </w:r>
      <w:r w:rsidRPr="00495BAB">
        <w:rPr>
          <w:rFonts w:ascii="Abo-thar" w:hAnsi="Abo-thar"/>
          <w:sz w:val="28"/>
          <w:lang w:bidi="fa-IR"/>
        </w:rPr>
        <w:t></w:t>
      </w:r>
      <w:r w:rsidRPr="00495BAB">
        <w:rPr>
          <w:rFonts w:hint="cs"/>
          <w:rtl/>
        </w:rPr>
        <w:t>؟! من الذي يمكنه أن يدَّعي ذلك سوى من لا يهتم بما ذكره القرآن؟!</w:t>
      </w:r>
    </w:p>
    <w:p w:rsidR="00CD31AA" w:rsidRPr="00495BAB" w:rsidRDefault="00CD31AA" w:rsidP="00495BAB">
      <w:pPr>
        <w:pStyle w:val="a0"/>
        <w:rPr>
          <w:rFonts w:hint="cs"/>
          <w:rtl/>
          <w:lang w:bidi="ar-SY"/>
        </w:rPr>
      </w:pPr>
      <w:r w:rsidRPr="00495BAB">
        <w:rPr>
          <w:rFonts w:hint="cs"/>
          <w:rtl/>
        </w:rPr>
        <w:t xml:space="preserve">إن الآيات الكريمة التي مرَّت معنا تشهد بوضوح بأن الله تعالى أوحى للنبي ما أوحاه لنوح وسائر الأنبياء من بعده، وأن دين الله هو الإسلام منذ آدم وحتى النبي الخاتم. فإن كانت بعض العبادات مثل الصلاة وغيرها تؤدَّى بصور مختلفة ولغات متنوِّعة في كل شريعة فإن أساسها وأصلها واحد. فالحلال حلال والحرام حرام في أي دين كان، إلا ما ندر من الأمور. فكما هو معلوم، لا يوجد أيُّ حرامٍ في دين الأنبياء الماضين لم يُحرَّم أيضًا في هذا الدين، كما لم يكن هناك أي حلالٍ في دين الأنبياء الماضين لم يُحلَّل في هذا الدين. أمَّا إن وُجِدَتْ أخبارٌ واهيةٌ متهافتةٌ تقول إن الماء لم يكن مُطهِّرًا للنجاسة في شريعة اليهود وأنه لو وقع البول على موضع من جسمهم كان عليهم أن يقطعوه ويقصوه بالمقراض!، فهو ثرثرة وكلام باطل لا معنى له، ولا يمكن لأي عاقل بل لأي عديم للدين أن يُصدِّقه. وقد بيَّنَّا تهافت هذا القول وبطلانه في كتابنا </w:t>
      </w:r>
      <w:r w:rsidRPr="00495BAB">
        <w:rPr>
          <w:rFonts w:hint="cs"/>
          <w:b/>
          <w:bCs/>
          <w:rtl/>
        </w:rPr>
        <w:t>الزكاة</w:t>
      </w:r>
      <w:r w:rsidRPr="00495BAB">
        <w:rPr>
          <w:rFonts w:hint="cs"/>
          <w:rtl/>
        </w:rPr>
        <w:t xml:space="preserve"> (ص 327). ولم نكن راغبين في الإطالة بالرد على هذه النقطة، لكن لما كان كاتب الردّ (السيد حسن الإمامي) مصرًّا على الردّ على كلامنا منذ البداية في كل جزئيةٍ منه، اضطّررنا لتحمل هذا العناء وكتابة عدّة صفحات في هذا الأمر الذي ليس له علاقة كبيرة بأصل الموضوع الذي نحن في صدده (الخُمس)، واضطّررنا إلى ذكر عدد من آيات القرآن الكريم للردّ على بعض الأخبار الكاذبة التي لا طائل تحتها والتي أوردها في كتابه، وإلا فإنَّ لدينا أحاديث شريفة كثيرة في هذا الموضوع أعني في إثبات أن نبي الإسلام نفسه كان مُتَّبِعًا للأوامر الإلـهية في الأديان السابقة ومُتمِّمًا لها، وعدد هذه الأحاديث أضعاف عدد الأحاديث التي أوردها في كتابه. ولعل الله ييسر لنا يومًا شرح هذا الموضوع بالتفصيل.</w:t>
      </w:r>
    </w:p>
    <w:p w:rsidR="00CD31AA" w:rsidRPr="00995B26" w:rsidRDefault="00CD31AA" w:rsidP="00495BAB">
      <w:pPr>
        <w:pStyle w:val="a0"/>
        <w:rPr>
          <w:rFonts w:hint="cs"/>
          <w:rtl/>
          <w:lang w:bidi="ar-SY"/>
        </w:rPr>
      </w:pPr>
      <w:r w:rsidRPr="00495BAB">
        <w:rPr>
          <w:rFonts w:hint="cs"/>
          <w:rtl/>
          <w:lang w:bidi="ar-SY"/>
        </w:rPr>
        <w:t xml:space="preserve">في القسم الثاني من كُتَيِّبه، وحول موضوع حِلِّيَّة الغنائم وحرمتها هذا ذاته، استعرض مؤلف الردّ الآيات الكريمة من 69 إلى 71 من سورة الأنفال، وأورد ما ذكره مفسرو الشيعة والسنة في كتبهم حولها، ومنها حديث ابن عباس وكلام الفاضل المقداد وما جاء في تفسير في </w:t>
      </w:r>
      <w:r w:rsidRPr="00495BAB">
        <w:rPr>
          <w:rFonts w:hint="cs"/>
          <w:b/>
          <w:bCs/>
          <w:rtl/>
          <w:lang w:bidi="ar-SY"/>
        </w:rPr>
        <w:t>ظلال القرآن</w:t>
      </w:r>
      <w:r w:rsidRPr="00495BAB">
        <w:rPr>
          <w:rFonts w:hint="cs"/>
          <w:rtl/>
          <w:lang w:bidi="ar-SY"/>
        </w:rPr>
        <w:t xml:space="preserve"> مما يؤيد عقيدته (حرمة الغنائم على الأنبياء السابقين) حتى وصل إلى قوله في ص 21: «</w:t>
      </w:r>
      <w:r w:rsidRPr="00995B26">
        <w:rPr>
          <w:rFonts w:cs="Akhbar MT" w:hint="cs"/>
          <w:szCs w:val="30"/>
          <w:rtl/>
          <w:lang w:bidi="ar-SY"/>
        </w:rPr>
        <w:t xml:space="preserve">وقال الجصّاص في كتابه </w:t>
      </w:r>
      <w:r w:rsidRPr="00995B26">
        <w:rPr>
          <w:rFonts w:cs="Akhbar MT" w:hint="cs"/>
          <w:b/>
          <w:bCs/>
          <w:szCs w:val="30"/>
          <w:rtl/>
          <w:lang w:bidi="ar-SY"/>
        </w:rPr>
        <w:t>أحكام القرآن</w:t>
      </w:r>
      <w:r w:rsidRPr="00995B26">
        <w:rPr>
          <w:rFonts w:cs="Akhbar MT" w:hint="cs"/>
          <w:szCs w:val="30"/>
          <w:rtl/>
          <w:lang w:bidi="ar-SY"/>
        </w:rPr>
        <w:t xml:space="preserve"> (ج 3، ص 870) حول هذه الآية موضع البحث </w:t>
      </w:r>
      <w:r w:rsidR="00C75600" w:rsidRPr="00995B26">
        <w:rPr>
          <w:rFonts w:ascii="Traditional Arabic" w:hAnsi="Traditional Arabic" w:cs="Traditional Arabic"/>
          <w:szCs w:val="30"/>
          <w:rtl/>
          <w:lang w:bidi="ar-SY"/>
        </w:rPr>
        <w:t>﴿</w:t>
      </w:r>
      <w:r w:rsidR="00C75600" w:rsidRPr="0067048A">
        <w:rPr>
          <w:rFonts w:ascii="KFGQPC Uthmanic Script HAFS" w:cs="KFGQPC Uthmanic Script HAFS" w:hint="eastAsia"/>
          <w:sz w:val="28"/>
          <w:szCs w:val="28"/>
          <w:rtl/>
        </w:rPr>
        <w:t>مَا</w:t>
      </w:r>
      <w:r w:rsidR="00C75600" w:rsidRPr="0067048A">
        <w:rPr>
          <w:rFonts w:ascii="KFGQPC Uthmanic Script HAFS" w:cs="KFGQPC Uthmanic Script HAFS"/>
          <w:sz w:val="28"/>
          <w:szCs w:val="28"/>
          <w:rtl/>
        </w:rPr>
        <w:t xml:space="preserve"> </w:t>
      </w:r>
      <w:r w:rsidR="00C75600" w:rsidRPr="0067048A">
        <w:rPr>
          <w:rFonts w:ascii="KFGQPC Uthmanic Script HAFS" w:cs="KFGQPC Uthmanic Script HAFS" w:hint="eastAsia"/>
          <w:sz w:val="28"/>
          <w:szCs w:val="28"/>
          <w:rtl/>
        </w:rPr>
        <w:t>كَانَ</w:t>
      </w:r>
      <w:r w:rsidR="00C75600" w:rsidRPr="0067048A">
        <w:rPr>
          <w:rFonts w:ascii="KFGQPC Uthmanic Script HAFS" w:cs="KFGQPC Uthmanic Script HAFS"/>
          <w:sz w:val="28"/>
          <w:szCs w:val="28"/>
          <w:rtl/>
        </w:rPr>
        <w:t xml:space="preserve"> </w:t>
      </w:r>
      <w:r w:rsidR="00C75600" w:rsidRPr="0067048A">
        <w:rPr>
          <w:rFonts w:ascii="KFGQPC Uthmanic Script HAFS" w:cs="KFGQPC Uthmanic Script HAFS" w:hint="eastAsia"/>
          <w:sz w:val="28"/>
          <w:szCs w:val="28"/>
          <w:rtl/>
        </w:rPr>
        <w:t>لِنَبِيٍّ</w:t>
      </w:r>
      <w:r w:rsidR="00C75600" w:rsidRPr="0067048A">
        <w:rPr>
          <w:rFonts w:ascii="KFGQPC Uthmanic Script HAFS" w:cs="KFGQPC Uthmanic Script HAFS"/>
          <w:sz w:val="28"/>
          <w:szCs w:val="28"/>
          <w:rtl/>
        </w:rPr>
        <w:t xml:space="preserve"> </w:t>
      </w:r>
      <w:r w:rsidR="00C75600" w:rsidRPr="0067048A">
        <w:rPr>
          <w:rFonts w:ascii="KFGQPC Uthmanic Script HAFS" w:cs="KFGQPC Uthmanic Script HAFS" w:hint="eastAsia"/>
          <w:sz w:val="28"/>
          <w:szCs w:val="28"/>
          <w:rtl/>
        </w:rPr>
        <w:t>أَن</w:t>
      </w:r>
      <w:r w:rsidR="00C75600" w:rsidRPr="0067048A">
        <w:rPr>
          <w:rFonts w:ascii="KFGQPC Uthmanic Script HAFS" w:cs="KFGQPC Uthmanic Script HAFS"/>
          <w:sz w:val="28"/>
          <w:szCs w:val="28"/>
          <w:rtl/>
        </w:rPr>
        <w:t xml:space="preserve"> </w:t>
      </w:r>
      <w:r w:rsidR="00C75600" w:rsidRPr="0067048A">
        <w:rPr>
          <w:rFonts w:ascii="KFGQPC Uthmanic Script HAFS" w:cs="KFGQPC Uthmanic Script HAFS" w:hint="eastAsia"/>
          <w:sz w:val="28"/>
          <w:szCs w:val="28"/>
          <w:rtl/>
        </w:rPr>
        <w:t>يَكُونَ</w:t>
      </w:r>
      <w:r w:rsidR="00C75600" w:rsidRPr="0067048A">
        <w:rPr>
          <w:rFonts w:ascii="KFGQPC Uthmanic Script HAFS" w:cs="KFGQPC Uthmanic Script HAFS"/>
          <w:sz w:val="28"/>
          <w:szCs w:val="28"/>
          <w:rtl/>
        </w:rPr>
        <w:t xml:space="preserve"> </w:t>
      </w:r>
      <w:r w:rsidR="00C75600" w:rsidRPr="0067048A">
        <w:rPr>
          <w:rFonts w:ascii="KFGQPC Uthmanic Script HAFS" w:cs="KFGQPC Uthmanic Script HAFS" w:hint="eastAsia"/>
          <w:sz w:val="28"/>
          <w:szCs w:val="28"/>
          <w:rtl/>
        </w:rPr>
        <w:t>لَهُ</w:t>
      </w:r>
      <w:r w:rsidR="00C75600" w:rsidRPr="0067048A">
        <w:rPr>
          <w:rFonts w:ascii="KFGQPC Uthmanic Script HAFS" w:cs="KFGQPC Uthmanic Script HAFS" w:hint="cs"/>
          <w:sz w:val="28"/>
          <w:szCs w:val="28"/>
          <w:rtl/>
        </w:rPr>
        <w:t>ۥٓ</w:t>
      </w:r>
      <w:r w:rsidR="00C75600" w:rsidRPr="0067048A">
        <w:rPr>
          <w:rFonts w:ascii="KFGQPC Uthmanic Script HAFS" w:cs="KFGQPC Uthmanic Script HAFS"/>
          <w:sz w:val="28"/>
          <w:szCs w:val="28"/>
          <w:rtl/>
        </w:rPr>
        <w:t xml:space="preserve"> </w:t>
      </w:r>
      <w:r w:rsidR="00C75600" w:rsidRPr="0067048A">
        <w:rPr>
          <w:rFonts w:ascii="KFGQPC Uthmanic Script HAFS" w:cs="KFGQPC Uthmanic Script HAFS" w:hint="eastAsia"/>
          <w:sz w:val="28"/>
          <w:szCs w:val="28"/>
          <w:rtl/>
        </w:rPr>
        <w:t>أَس</w:t>
      </w:r>
      <w:r w:rsidR="00C75600" w:rsidRPr="0067048A">
        <w:rPr>
          <w:rFonts w:ascii="KFGQPC Uthmanic Script HAFS" w:cs="KFGQPC Uthmanic Script HAFS" w:hint="cs"/>
          <w:sz w:val="28"/>
          <w:szCs w:val="28"/>
          <w:rtl/>
        </w:rPr>
        <w:t>ۡ</w:t>
      </w:r>
      <w:r w:rsidR="00C75600" w:rsidRPr="0067048A">
        <w:rPr>
          <w:rFonts w:ascii="KFGQPC Uthmanic Script HAFS" w:cs="KFGQPC Uthmanic Script HAFS" w:hint="eastAsia"/>
          <w:sz w:val="28"/>
          <w:szCs w:val="28"/>
          <w:rtl/>
        </w:rPr>
        <w:t>رَى</w:t>
      </w:r>
      <w:r w:rsidR="00C75600" w:rsidRPr="0067048A">
        <w:rPr>
          <w:rFonts w:ascii="KFGQPC Uthmanic Script HAFS" w:cs="KFGQPC Uthmanic Script HAFS" w:hint="cs"/>
          <w:sz w:val="28"/>
          <w:szCs w:val="28"/>
          <w:rtl/>
        </w:rPr>
        <w:t>ٰ</w:t>
      </w:r>
      <w:r w:rsidRPr="00995B26">
        <w:rPr>
          <w:rFonts w:cs="Akhbar MT" w:hint="cs"/>
          <w:szCs w:val="30"/>
          <w:rtl/>
          <w:lang w:bidi="ar-SY"/>
        </w:rPr>
        <w:t>...</w:t>
      </w:r>
      <w:r w:rsidR="00C75600" w:rsidRPr="00995B26">
        <w:rPr>
          <w:rFonts w:ascii="Traditional Arabic" w:hAnsi="Traditional Arabic" w:cs="Traditional Arabic"/>
          <w:szCs w:val="30"/>
          <w:rtl/>
          <w:lang w:bidi="ar-SY"/>
        </w:rPr>
        <w:t>﴾</w:t>
      </w:r>
      <w:r w:rsidRPr="00995B26">
        <w:rPr>
          <w:rFonts w:cs="Akhbar MT" w:hint="cs"/>
          <w:szCs w:val="30"/>
          <w:rtl/>
          <w:lang w:bidi="ar-SY"/>
        </w:rPr>
        <w:t>: المسألة الرابعة</w:t>
      </w:r>
      <w:r w:rsidRPr="00495BAB">
        <w:rPr>
          <w:rFonts w:hint="cs"/>
          <w:rtl/>
          <w:lang w:bidi="ar-SY"/>
        </w:rPr>
        <w:t>:</w:t>
      </w:r>
      <w:r w:rsidR="00AB28A0" w:rsidRPr="00495BAB">
        <w:rPr>
          <w:rFonts w:hint="cs"/>
          <w:rtl/>
          <w:lang w:bidi="ar-SY"/>
        </w:rPr>
        <w:t>.</w:t>
      </w:r>
      <w:r w:rsidRPr="00495BAB">
        <w:rPr>
          <w:rFonts w:hint="cs"/>
          <w:rtl/>
          <w:lang w:bidi="ar-SY"/>
        </w:rPr>
        <w:t>.................. [حتى يصل إلى قوله]</w:t>
      </w:r>
      <w:r w:rsidR="00AB28A0" w:rsidRPr="00495BAB">
        <w:rPr>
          <w:rFonts w:hint="cs"/>
          <w:rtl/>
          <w:lang w:bidi="ar-SY"/>
        </w:rPr>
        <w:t>.</w:t>
      </w:r>
      <w:r w:rsidRPr="00495BAB">
        <w:rPr>
          <w:rFonts w:hint="cs"/>
          <w:rtl/>
          <w:lang w:bidi="ar-SY"/>
        </w:rPr>
        <w:t xml:space="preserve">.. </w:t>
      </w:r>
      <w:r w:rsidRPr="00995B26">
        <w:rPr>
          <w:rFonts w:cs="Akhbar MT" w:hint="cs"/>
          <w:szCs w:val="30"/>
          <w:rtl/>
          <w:lang w:bidi="ar-SY"/>
        </w:rPr>
        <w:t xml:space="preserve">ثم قال في الصفحة ذاتها: </w:t>
      </w:r>
      <w:r w:rsidR="00C75600" w:rsidRPr="00995B26">
        <w:rPr>
          <w:rFonts w:ascii="Traditional Arabic" w:hAnsi="Traditional Arabic" w:cs="Traditional Arabic"/>
          <w:szCs w:val="30"/>
          <w:rtl/>
          <w:lang w:bidi="ar-SY"/>
        </w:rPr>
        <w:t>﴿</w:t>
      </w:r>
      <w:r w:rsidR="00C75600" w:rsidRPr="00995B26">
        <w:rPr>
          <w:rFonts w:ascii="KFGQPC Uthmanic Script HAFS" w:cs="KFGQPC Uthmanic Script HAFS" w:hint="eastAsia"/>
          <w:sz w:val="29"/>
          <w:szCs w:val="29"/>
          <w:rtl/>
        </w:rPr>
        <w:t>لَّو</w:t>
      </w:r>
      <w:r w:rsidR="00C75600" w:rsidRPr="00995B26">
        <w:rPr>
          <w:rFonts w:ascii="KFGQPC Uthmanic Script HAFS" w:cs="KFGQPC Uthmanic Script HAFS" w:hint="cs"/>
          <w:sz w:val="29"/>
          <w:szCs w:val="29"/>
          <w:rtl/>
        </w:rPr>
        <w:t>ۡ</w:t>
      </w:r>
      <w:r w:rsidR="00C75600" w:rsidRPr="00995B26">
        <w:rPr>
          <w:rFonts w:ascii="KFGQPC Uthmanic Script HAFS" w:cs="KFGQPC Uthmanic Script HAFS" w:hint="eastAsia"/>
          <w:sz w:val="29"/>
          <w:szCs w:val="29"/>
          <w:rtl/>
        </w:rPr>
        <w:t>لَا</w:t>
      </w:r>
      <w:r w:rsidR="00C75600" w:rsidRPr="00995B26">
        <w:rPr>
          <w:rFonts w:ascii="KFGQPC Uthmanic Script HAFS" w:cs="KFGQPC Uthmanic Script HAFS"/>
          <w:sz w:val="29"/>
          <w:szCs w:val="29"/>
          <w:rtl/>
        </w:rPr>
        <w:t xml:space="preserve"> </w:t>
      </w:r>
      <w:r w:rsidR="00C75600" w:rsidRPr="00995B26">
        <w:rPr>
          <w:rFonts w:ascii="KFGQPC Uthmanic Script HAFS" w:cs="KFGQPC Uthmanic Script HAFS" w:hint="eastAsia"/>
          <w:sz w:val="29"/>
          <w:szCs w:val="29"/>
          <w:rtl/>
        </w:rPr>
        <w:t>كِتَ</w:t>
      </w:r>
      <w:r w:rsidR="00C75600" w:rsidRPr="00995B26">
        <w:rPr>
          <w:rFonts w:ascii="KFGQPC Uthmanic Script HAFS" w:cs="KFGQPC Uthmanic Script HAFS" w:hint="cs"/>
          <w:sz w:val="29"/>
          <w:szCs w:val="29"/>
          <w:rtl/>
        </w:rPr>
        <w:t>ٰ</w:t>
      </w:r>
      <w:r w:rsidR="00C75600" w:rsidRPr="00995B26">
        <w:rPr>
          <w:rFonts w:ascii="KFGQPC Uthmanic Script HAFS" w:cs="KFGQPC Uthmanic Script HAFS" w:hint="eastAsia"/>
          <w:sz w:val="29"/>
          <w:szCs w:val="29"/>
          <w:rtl/>
        </w:rPr>
        <w:t>ب</w:t>
      </w:r>
      <w:r w:rsidR="00C75600" w:rsidRPr="00995B26">
        <w:rPr>
          <w:rFonts w:ascii="KFGQPC Uthmanic Script HAFS" w:cs="KFGQPC Uthmanic Script HAFS" w:hint="cs"/>
          <w:sz w:val="29"/>
          <w:szCs w:val="29"/>
          <w:rtl/>
        </w:rPr>
        <w:t>ٞ</w:t>
      </w:r>
      <w:r w:rsidR="00C75600" w:rsidRPr="00995B26">
        <w:rPr>
          <w:rFonts w:ascii="KFGQPC Uthmanic Script HAFS" w:cs="KFGQPC Uthmanic Script HAFS"/>
          <w:sz w:val="29"/>
          <w:szCs w:val="29"/>
          <w:rtl/>
        </w:rPr>
        <w:t xml:space="preserve"> </w:t>
      </w:r>
      <w:r w:rsidR="00C75600" w:rsidRPr="00995B26">
        <w:rPr>
          <w:rFonts w:ascii="KFGQPC Uthmanic Script HAFS" w:cs="KFGQPC Uthmanic Script HAFS" w:hint="eastAsia"/>
          <w:sz w:val="29"/>
          <w:szCs w:val="29"/>
          <w:rtl/>
        </w:rPr>
        <w:t>مِّنَ</w:t>
      </w:r>
      <w:r w:rsidR="00C75600" w:rsidRPr="00995B26">
        <w:rPr>
          <w:rFonts w:ascii="KFGQPC Uthmanic Script HAFS" w:cs="KFGQPC Uthmanic Script HAFS"/>
          <w:sz w:val="29"/>
          <w:szCs w:val="29"/>
          <w:rtl/>
        </w:rPr>
        <w:t xml:space="preserve"> </w:t>
      </w:r>
      <w:r w:rsidR="00C75600" w:rsidRPr="00995B26">
        <w:rPr>
          <w:rFonts w:ascii="KFGQPC Uthmanic Script HAFS" w:cs="KFGQPC Uthmanic Script HAFS" w:hint="cs"/>
          <w:sz w:val="29"/>
          <w:szCs w:val="29"/>
          <w:rtl/>
        </w:rPr>
        <w:t>ٱ</w:t>
      </w:r>
      <w:r w:rsidR="00C75600" w:rsidRPr="00995B26">
        <w:rPr>
          <w:rFonts w:ascii="KFGQPC Uthmanic Script HAFS" w:cs="KFGQPC Uthmanic Script HAFS" w:hint="eastAsia"/>
          <w:sz w:val="29"/>
          <w:szCs w:val="29"/>
          <w:rtl/>
        </w:rPr>
        <w:t>للَّهِ</w:t>
      </w:r>
      <w:r w:rsidR="00C75600" w:rsidRPr="00995B26">
        <w:rPr>
          <w:rFonts w:ascii="KFGQPC Uthmanic Script HAFS" w:cs="KFGQPC Uthmanic Script HAFS"/>
          <w:sz w:val="29"/>
          <w:szCs w:val="29"/>
          <w:rtl/>
        </w:rPr>
        <w:t xml:space="preserve"> </w:t>
      </w:r>
      <w:r w:rsidR="00C75600" w:rsidRPr="00995B26">
        <w:rPr>
          <w:rFonts w:ascii="KFGQPC Uthmanic Script HAFS" w:cs="KFGQPC Uthmanic Script HAFS" w:hint="eastAsia"/>
          <w:sz w:val="29"/>
          <w:szCs w:val="29"/>
          <w:rtl/>
        </w:rPr>
        <w:t>سَبَقَ</w:t>
      </w:r>
      <w:r w:rsidR="00C75600" w:rsidRPr="00995B26">
        <w:rPr>
          <w:rFonts w:ascii="Traditional Arabic" w:hAnsi="Traditional Arabic" w:cs="Traditional Arabic"/>
          <w:sz w:val="29"/>
          <w:szCs w:val="29"/>
          <w:rtl/>
        </w:rPr>
        <w:t>﴾</w:t>
      </w:r>
      <w:r w:rsidR="00AB28A0" w:rsidRPr="00995B26">
        <w:rPr>
          <w:rFonts w:ascii="KFGQPC Uthmanic Script HAFS" w:cs="KFGQPC Uthmanic Script HAFS" w:hint="cs"/>
          <w:sz w:val="29"/>
          <w:szCs w:val="29"/>
          <w:rtl/>
        </w:rPr>
        <w:t>.</w:t>
      </w:r>
      <w:r w:rsidRPr="00995B26">
        <w:rPr>
          <w:rFonts w:cs="Akhbar MT" w:hint="cs"/>
          <w:szCs w:val="30"/>
          <w:rtl/>
          <w:lang w:bidi="ar-SY"/>
        </w:rPr>
        <w:t>... فيها سبع مسائل....</w:t>
      </w:r>
      <w:r w:rsidRPr="00495BAB">
        <w:rPr>
          <w:rFonts w:hint="cs"/>
          <w:rtl/>
          <w:lang w:bidi="ar-SY"/>
        </w:rPr>
        <w:t>».</w:t>
      </w:r>
    </w:p>
    <w:p w:rsidR="00CD31AA" w:rsidRPr="00995B26" w:rsidRDefault="00CD31AA" w:rsidP="00495BAB">
      <w:pPr>
        <w:pStyle w:val="a0"/>
        <w:rPr>
          <w:rFonts w:hint="cs"/>
          <w:rtl/>
          <w:lang w:bidi="ar-SY"/>
        </w:rPr>
      </w:pPr>
      <w:r w:rsidRPr="00495BAB">
        <w:rPr>
          <w:rFonts w:hint="cs"/>
          <w:rtl/>
          <w:lang w:bidi="ar-SY"/>
        </w:rPr>
        <w:t xml:space="preserve">في نسخة كتاب </w:t>
      </w:r>
      <w:r w:rsidRPr="00495BAB">
        <w:rPr>
          <w:rFonts w:hint="cs"/>
          <w:b/>
          <w:bCs/>
          <w:rtl/>
          <w:lang w:bidi="ar-SY"/>
        </w:rPr>
        <w:t>أحكام القرآن</w:t>
      </w:r>
      <w:r w:rsidRPr="00495BAB">
        <w:rPr>
          <w:rFonts w:hint="cs"/>
          <w:rtl/>
          <w:lang w:bidi="ar-SY"/>
        </w:rPr>
        <w:t xml:space="preserve"> التي لديَّ، والمطبوعة سنة 1325 هـ.ق، لا</w:t>
      </w:r>
      <w:r w:rsidRPr="00495BAB">
        <w:rPr>
          <w:rFonts w:cs="Times New Roman" w:hint="cs"/>
          <w:rtl/>
          <w:lang w:bidi="ar-SY"/>
        </w:rPr>
        <w:t> </w:t>
      </w:r>
      <w:r w:rsidRPr="00495BAB">
        <w:rPr>
          <w:rFonts w:hint="cs"/>
          <w:rtl/>
          <w:lang w:bidi="ar-SY"/>
        </w:rPr>
        <w:t>يحتوي الجزء الثالث على 870 صفحة أصلاً، ولا جاء فيه في تفسير آية:</w:t>
      </w:r>
      <w:r w:rsidRPr="00495BAB">
        <w:rPr>
          <w:rtl/>
          <w:lang w:bidi="ar-SY"/>
        </w:rPr>
        <w:t xml:space="preserve"> </w:t>
      </w:r>
      <w:r w:rsidR="00C75600" w:rsidRPr="00995B26">
        <w:rPr>
          <w:rFonts w:ascii="Traditional Arabic" w:hAnsi="Traditional Arabic" w:cs="Traditional Arabic"/>
          <w:szCs w:val="30"/>
          <w:rtl/>
          <w:lang w:bidi="ar-SY"/>
        </w:rPr>
        <w:t>﴿</w:t>
      </w:r>
      <w:r w:rsidR="00C75600" w:rsidRPr="0067048A">
        <w:rPr>
          <w:rFonts w:ascii="KFGQPC Uthmanic Script HAFS" w:cs="KFGQPC Uthmanic Script HAFS" w:hint="eastAsia"/>
          <w:sz w:val="28"/>
          <w:szCs w:val="28"/>
          <w:rtl/>
        </w:rPr>
        <w:t>مَا</w:t>
      </w:r>
      <w:r w:rsidR="00C75600" w:rsidRPr="0067048A">
        <w:rPr>
          <w:rFonts w:ascii="KFGQPC Uthmanic Script HAFS" w:cs="KFGQPC Uthmanic Script HAFS"/>
          <w:sz w:val="28"/>
          <w:szCs w:val="28"/>
          <w:rtl/>
        </w:rPr>
        <w:t xml:space="preserve"> </w:t>
      </w:r>
      <w:r w:rsidR="00C75600" w:rsidRPr="0067048A">
        <w:rPr>
          <w:rFonts w:ascii="KFGQPC Uthmanic Script HAFS" w:cs="KFGQPC Uthmanic Script HAFS" w:hint="eastAsia"/>
          <w:sz w:val="28"/>
          <w:szCs w:val="28"/>
          <w:rtl/>
        </w:rPr>
        <w:t>كَانَ</w:t>
      </w:r>
      <w:r w:rsidR="00C75600" w:rsidRPr="0067048A">
        <w:rPr>
          <w:rFonts w:ascii="KFGQPC Uthmanic Script HAFS" w:cs="KFGQPC Uthmanic Script HAFS"/>
          <w:sz w:val="28"/>
          <w:szCs w:val="28"/>
          <w:rtl/>
        </w:rPr>
        <w:t xml:space="preserve"> </w:t>
      </w:r>
      <w:r w:rsidR="00C75600" w:rsidRPr="0067048A">
        <w:rPr>
          <w:rFonts w:ascii="KFGQPC Uthmanic Script HAFS" w:cs="KFGQPC Uthmanic Script HAFS" w:hint="eastAsia"/>
          <w:sz w:val="28"/>
          <w:szCs w:val="28"/>
          <w:rtl/>
        </w:rPr>
        <w:t>لِنَبِيٍّ</w:t>
      </w:r>
      <w:r w:rsidR="00C75600" w:rsidRPr="0067048A">
        <w:rPr>
          <w:rFonts w:ascii="KFGQPC Uthmanic Script HAFS" w:cs="KFGQPC Uthmanic Script HAFS"/>
          <w:sz w:val="28"/>
          <w:szCs w:val="28"/>
          <w:rtl/>
        </w:rPr>
        <w:t xml:space="preserve"> </w:t>
      </w:r>
      <w:r w:rsidR="00C75600" w:rsidRPr="0067048A">
        <w:rPr>
          <w:rFonts w:ascii="KFGQPC Uthmanic Script HAFS" w:cs="KFGQPC Uthmanic Script HAFS" w:hint="eastAsia"/>
          <w:sz w:val="28"/>
          <w:szCs w:val="28"/>
          <w:rtl/>
        </w:rPr>
        <w:t>أَن</w:t>
      </w:r>
      <w:r w:rsidR="00C75600" w:rsidRPr="0067048A">
        <w:rPr>
          <w:rFonts w:ascii="KFGQPC Uthmanic Script HAFS" w:cs="KFGQPC Uthmanic Script HAFS"/>
          <w:sz w:val="28"/>
          <w:szCs w:val="28"/>
          <w:rtl/>
        </w:rPr>
        <w:t xml:space="preserve"> </w:t>
      </w:r>
      <w:r w:rsidR="00C75600" w:rsidRPr="0067048A">
        <w:rPr>
          <w:rFonts w:ascii="KFGQPC Uthmanic Script HAFS" w:cs="KFGQPC Uthmanic Script HAFS" w:hint="eastAsia"/>
          <w:sz w:val="28"/>
          <w:szCs w:val="28"/>
          <w:rtl/>
        </w:rPr>
        <w:t>يَكُونَ</w:t>
      </w:r>
      <w:r w:rsidR="00C75600" w:rsidRPr="0067048A">
        <w:rPr>
          <w:rFonts w:ascii="KFGQPC Uthmanic Script HAFS" w:cs="KFGQPC Uthmanic Script HAFS"/>
          <w:sz w:val="28"/>
          <w:szCs w:val="28"/>
          <w:rtl/>
        </w:rPr>
        <w:t xml:space="preserve"> </w:t>
      </w:r>
      <w:r w:rsidR="00C75600" w:rsidRPr="0067048A">
        <w:rPr>
          <w:rFonts w:ascii="KFGQPC Uthmanic Script HAFS" w:cs="KFGQPC Uthmanic Script HAFS" w:hint="eastAsia"/>
          <w:sz w:val="28"/>
          <w:szCs w:val="28"/>
          <w:rtl/>
        </w:rPr>
        <w:t>لَهُ</w:t>
      </w:r>
      <w:r w:rsidR="00C75600" w:rsidRPr="0067048A">
        <w:rPr>
          <w:rFonts w:ascii="KFGQPC Uthmanic Script HAFS" w:cs="KFGQPC Uthmanic Script HAFS" w:hint="cs"/>
          <w:sz w:val="28"/>
          <w:szCs w:val="28"/>
          <w:rtl/>
        </w:rPr>
        <w:t>ۥٓ</w:t>
      </w:r>
      <w:r w:rsidR="00C75600" w:rsidRPr="0067048A">
        <w:rPr>
          <w:rFonts w:ascii="KFGQPC Uthmanic Script HAFS" w:cs="KFGQPC Uthmanic Script HAFS"/>
          <w:sz w:val="28"/>
          <w:szCs w:val="28"/>
          <w:rtl/>
        </w:rPr>
        <w:t xml:space="preserve"> </w:t>
      </w:r>
      <w:r w:rsidR="00C75600" w:rsidRPr="0067048A">
        <w:rPr>
          <w:rFonts w:ascii="KFGQPC Uthmanic Script HAFS" w:cs="KFGQPC Uthmanic Script HAFS" w:hint="eastAsia"/>
          <w:sz w:val="28"/>
          <w:szCs w:val="28"/>
          <w:rtl/>
        </w:rPr>
        <w:t>أَس</w:t>
      </w:r>
      <w:r w:rsidR="00C75600" w:rsidRPr="0067048A">
        <w:rPr>
          <w:rFonts w:ascii="KFGQPC Uthmanic Script HAFS" w:cs="KFGQPC Uthmanic Script HAFS" w:hint="cs"/>
          <w:sz w:val="28"/>
          <w:szCs w:val="28"/>
          <w:rtl/>
        </w:rPr>
        <w:t>ۡ</w:t>
      </w:r>
      <w:r w:rsidR="00C75600" w:rsidRPr="0067048A">
        <w:rPr>
          <w:rFonts w:ascii="KFGQPC Uthmanic Script HAFS" w:cs="KFGQPC Uthmanic Script HAFS" w:hint="eastAsia"/>
          <w:sz w:val="28"/>
          <w:szCs w:val="28"/>
          <w:rtl/>
        </w:rPr>
        <w:t>رَى</w:t>
      </w:r>
      <w:r w:rsidR="00C75600" w:rsidRPr="0067048A">
        <w:rPr>
          <w:rFonts w:ascii="KFGQPC Uthmanic Script HAFS" w:cs="KFGQPC Uthmanic Script HAFS" w:hint="cs"/>
          <w:sz w:val="28"/>
          <w:szCs w:val="28"/>
          <w:rtl/>
        </w:rPr>
        <w:t>ٰ</w:t>
      </w:r>
      <w:r w:rsidR="00C75600" w:rsidRPr="00995B26">
        <w:rPr>
          <w:rFonts w:cs="Akhbar MT" w:hint="cs"/>
          <w:szCs w:val="30"/>
          <w:rtl/>
          <w:lang w:bidi="ar-SY"/>
        </w:rPr>
        <w:t>...</w:t>
      </w:r>
      <w:r w:rsidR="00C75600" w:rsidRPr="00995B26">
        <w:rPr>
          <w:rFonts w:ascii="Traditional Arabic" w:hAnsi="Traditional Arabic" w:cs="Traditional Arabic"/>
          <w:szCs w:val="30"/>
          <w:rtl/>
          <w:lang w:bidi="ar-SY"/>
        </w:rPr>
        <w:t>﴾</w:t>
      </w:r>
      <w:r w:rsidRPr="00495BAB">
        <w:rPr>
          <w:rFonts w:hint="cs"/>
          <w:rtl/>
          <w:lang w:bidi="ar-SY"/>
        </w:rPr>
        <w:t xml:space="preserve"> مثل ذلك الكلام الذي أشار صاحب الرد إليه، فأولاً: عدد صفحات الجزء الثالث هو 479 صفحة فقط، وثانيًا: بحث الجصّاص فيه موضوع تلك الآية في الصفحة 71، و</w:t>
      </w:r>
      <w:r w:rsidR="00C75600" w:rsidRPr="00495BAB">
        <w:rPr>
          <w:rFonts w:hint="cs"/>
          <w:rtl/>
          <w:lang w:bidi="ar-SY"/>
        </w:rPr>
        <w:t>لكن ليس فيما ذكره الجصَّاص جملة واحدة</w:t>
      </w:r>
      <w:r w:rsidRPr="00495BAB">
        <w:rPr>
          <w:rFonts w:hint="cs"/>
          <w:rtl/>
          <w:lang w:bidi="ar-SY"/>
        </w:rPr>
        <w:t xml:space="preserve"> مما نسبه إليه كاتب الردّ! رغم أنه مدقِّقٌ وعيَّابٌ ومتتبِّعٌ لكل شاردةٍ و واردةٍ مما كتبته في كتابي «الخُمْس»! ولا أدري من أين أتى بهذا الكذب الواضح ونسبه للجصَّاص؟!</w:t>
      </w:r>
      <w:r w:rsidR="000C68EA" w:rsidRPr="000C68EA">
        <w:rPr>
          <w:rStyle w:val="FootnoteReference"/>
          <w:rFonts w:cs="Arabic11 BT"/>
          <w:rtl/>
          <w:lang w:bidi="ar-SY"/>
        </w:rPr>
        <w:t>(</w:t>
      </w:r>
      <w:r w:rsidR="000C68EA" w:rsidRPr="000C68EA">
        <w:rPr>
          <w:rStyle w:val="FootnoteReference"/>
          <w:rFonts w:cs="Arabic11 BT"/>
          <w:rtl/>
          <w:lang w:bidi="ar-SY"/>
        </w:rPr>
        <w:footnoteReference w:id="494"/>
      </w:r>
      <w:r w:rsidR="000C68EA" w:rsidRPr="000C68EA">
        <w:rPr>
          <w:rStyle w:val="FootnoteReference"/>
          <w:rFonts w:cs="Arabic11 BT"/>
          <w:rtl/>
          <w:lang w:bidi="ar-SY"/>
        </w:rPr>
        <w:t>)</w:t>
      </w:r>
    </w:p>
    <w:p w:rsidR="00CD31AA" w:rsidRPr="00995B26" w:rsidRDefault="00CD31AA" w:rsidP="00495BAB">
      <w:pPr>
        <w:pStyle w:val="a0"/>
        <w:rPr>
          <w:rFonts w:hint="cs"/>
          <w:rtl/>
          <w:lang w:bidi="ar-SY"/>
        </w:rPr>
      </w:pPr>
      <w:r w:rsidRPr="00495BAB">
        <w:rPr>
          <w:rFonts w:hint="cs"/>
          <w:rtl/>
          <w:lang w:bidi="ar-SY"/>
        </w:rPr>
        <w:t>لم نكن ولسنا في صدد انتقاد مثل هذه الأمور الجزئية، فكل مؤلف يمكن أن يقع في بعض الأخطاء سهوًا، فيشير أحيانًا إلى مصدرٍ أو رقم صفحةٍ خطأً، أو ينقل كلمةً أو جملةً بشكل خاطئ أو يقع خطأٌ مطبعيٌّ في كتابه، ولكن الذي ينسب بكل قسوة -أو لنقل بكل بُعدٍ مُجانبةٍ للإنصاف- صفاتِ انعدام الدين والعمالة والهوية المعروفة إلى كاتب لم يدفعه إلى كتابة ما كتبه سوى حرصه على الدين، وبسبب عدم استطاعته العثور على موضع الحديث الذي استشهد به الكاتب، يهاجم هذا الكاتب ويتّهمه باختراع الحديث و وضعه، ويقول معربدًا في الصفحة 120 من كُتَيِّبِه: «</w:t>
      </w:r>
      <w:r w:rsidRPr="00995B26">
        <w:rPr>
          <w:rFonts w:cs="Akhbar MT" w:hint="cs"/>
          <w:szCs w:val="30"/>
          <w:rtl/>
          <w:lang w:bidi="ar-SY"/>
        </w:rPr>
        <w:t>لا وجود لمثل هذا الحديث في كتاب روضة الكافي، وهؤلاء الوضاعون يظنون أن كتب الشيعة قد احترقت وأن رمادها نثرته الرياح، ويظنون أن القارئين لا يمتلكون الصبر المطلوب للرجوع إلى أصل الكتاب، وأنهم سيقبلون كل ما يخترعونه لهم من أحاديث قبولاً أعمى دون فحص أو تأكُّد، وإنه لمن المحير حقًّا كيف لا يراعي عديمو الدين هؤلاء الحفاظ على ماء وجههم وسمعتهم</w:t>
      </w:r>
      <w:r w:rsidRPr="00495BAB">
        <w:rPr>
          <w:rFonts w:hint="cs"/>
          <w:rtl/>
          <w:lang w:bidi="ar-SY"/>
        </w:rPr>
        <w:t>...».</w:t>
      </w:r>
    </w:p>
    <w:p w:rsidR="00CD31AA" w:rsidRPr="00495BAB" w:rsidRDefault="00CD31AA" w:rsidP="00495BAB">
      <w:pPr>
        <w:pStyle w:val="a0"/>
        <w:rPr>
          <w:rFonts w:hint="cs"/>
          <w:rtl/>
          <w:lang w:bidi="ar-SY"/>
        </w:rPr>
      </w:pPr>
      <w:r w:rsidRPr="00495BAB">
        <w:rPr>
          <w:rFonts w:hint="cs"/>
          <w:rtl/>
          <w:lang w:bidi="ar-SY"/>
        </w:rPr>
        <w:t xml:space="preserve">ونقول لهذا الكاتب: نحن لم نخترع أي حديث من عند أنفسنا وليس لدينا مثل هذه الجرأة مطلقًا، ومثل هذا العمل إنما يصدر من أولئك الذين يستبيحون وضع الأحاديث لنشر فضائل أهل البيت </w:t>
      </w:r>
      <w:r w:rsidR="00963EFD" w:rsidRPr="00963EFD">
        <w:rPr>
          <w:rFonts w:cs="CTraditional Arabic" w:hint="cs"/>
          <w:rtl/>
          <w:lang w:bidi="ar-SY"/>
        </w:rPr>
        <w:t>‡</w:t>
      </w:r>
      <w:r w:rsidRPr="00495BAB">
        <w:rPr>
          <w:rFonts w:hint="cs"/>
          <w:rtl/>
          <w:lang w:bidi="ar-SY"/>
        </w:rPr>
        <w:t xml:space="preserve"> بل يرون أن واضع الحديث في هذا الأمر مثاب على عمله</w:t>
      </w:r>
      <w:r w:rsidR="0038630B" w:rsidRPr="00495BAB">
        <w:rPr>
          <w:rFonts w:hint="cs"/>
          <w:rtl/>
          <w:lang w:bidi="ar-SY"/>
        </w:rPr>
        <w:t>،</w:t>
      </w:r>
      <w:r w:rsidRPr="00495BAB">
        <w:rPr>
          <w:rFonts w:hint="cs"/>
          <w:rtl/>
          <w:lang w:bidi="ar-SY"/>
        </w:rPr>
        <w:t xml:space="preserve"> كما نعرف شخصًا يتصف بهذا الأمر ويضع الأحاديث قربةً إلى الله!! ونحمد الله تعالى أن مستند حديث </w:t>
      </w:r>
      <w:r w:rsidRPr="00495BAB">
        <w:rPr>
          <w:rFonts w:hint="cs"/>
          <w:b/>
          <w:bCs/>
          <w:rtl/>
          <w:lang w:bidi="ar-SY"/>
        </w:rPr>
        <w:t>روضة الكافي</w:t>
      </w:r>
      <w:r w:rsidRPr="00495BAB">
        <w:rPr>
          <w:rFonts w:hint="cs"/>
          <w:rtl/>
          <w:lang w:bidi="ar-SY"/>
        </w:rPr>
        <w:t xml:space="preserve"> موجود لدينا بحروفه وعباراته الكاملة وسنذكره في محلّه. ثانيًا: نحن نعلم أن كثيرًا من كتب الشيعة احترق وأصبح رمادًا ذرَّته الرياح، لأننا مطلعون على التاريخ أكثر منكم، لكننا نسأل الله تعالى أن لا يحترق هذا الحديث الذي أوردناه من كتب الشيعة لأننا نعلم ماذا ستفعلون بنا عندئذ! فإن كنتم الآن تثيرون كل هذا الصخب والضجة ضدنا رغم أن مستند </w:t>
      </w:r>
      <w:r w:rsidRPr="00495BAB">
        <w:rPr>
          <w:rFonts w:hint="cs"/>
          <w:b/>
          <w:bCs/>
          <w:rtl/>
          <w:lang w:bidi="ar-SY"/>
        </w:rPr>
        <w:t>روضة الكافي</w:t>
      </w:r>
      <w:r w:rsidRPr="00495BAB">
        <w:rPr>
          <w:rFonts w:hint="cs"/>
          <w:rtl/>
          <w:lang w:bidi="ar-SY"/>
        </w:rPr>
        <w:t xml:space="preserve"> لدينا، وتصموننا بانعدام الدين، فكيف ستفعلون بنا لو لم يكن هذا المصدر لدينا؟! ثالثًا: نحن نسعى بقدر ما نستطيع في حفظ ماء وجهنا وسمعتنا كما أننا لا نسعى أبدًا إلى هتك أعراض الآخرين وتجريح سمعتهم. ولكنكم جئتم إلى ميدان الجدال كالغزاة المهاجمين ممارسين للكر والفر فلماذا لا تراعون حفظ ماء وجهكم وسمعتكم؟ تفضلوا أرونا أين توجد هذه الجمل والعبارات التي تدَّعون كذبًا أنكم أوردتموها من كتاب </w:t>
      </w:r>
      <w:r w:rsidRPr="00495BAB">
        <w:rPr>
          <w:rFonts w:hint="cs"/>
          <w:b/>
          <w:bCs/>
          <w:rtl/>
          <w:lang w:bidi="ar-SY"/>
        </w:rPr>
        <w:t>أحكام القرآن</w:t>
      </w:r>
      <w:r w:rsidRPr="00495BAB">
        <w:rPr>
          <w:rFonts w:hint="cs"/>
          <w:rtl/>
          <w:lang w:bidi="ar-SY"/>
        </w:rPr>
        <w:t xml:space="preserve"> للجصاص؟! إنه الادعاء الكاذب عينه الذي قلتموه في ترجمة العبارات العربية لذلك الكتاب حيث قلتم: </w:t>
      </w:r>
    </w:p>
    <w:p w:rsidR="00CD31AA" w:rsidRPr="00995B26" w:rsidRDefault="00CD31AA" w:rsidP="00495BAB">
      <w:pPr>
        <w:pStyle w:val="a0"/>
        <w:rPr>
          <w:rFonts w:hint="cs"/>
          <w:rtl/>
        </w:rPr>
      </w:pPr>
      <w:r w:rsidRPr="00495BAB">
        <w:rPr>
          <w:rFonts w:hint="cs"/>
          <w:rtl/>
          <w:lang w:bidi="ar-SY"/>
        </w:rPr>
        <w:t>«</w:t>
      </w:r>
      <w:r w:rsidRPr="00495BAB">
        <w:rPr>
          <w:rtl/>
          <w:lang w:bidi="ar-SY"/>
        </w:rPr>
        <w:t>الْمَسْأَلَةُ الرَّابِعَةُ: قَالَ بَعْضُهُمْ</w:t>
      </w:r>
      <w:r w:rsidR="00AB28A0" w:rsidRPr="00495BAB">
        <w:rPr>
          <w:rtl/>
          <w:lang w:bidi="ar-SY"/>
        </w:rPr>
        <w:t>:</w:t>
      </w:r>
      <w:r w:rsidRPr="00495BAB">
        <w:rPr>
          <w:rtl/>
          <w:lang w:bidi="ar-SY"/>
        </w:rPr>
        <w:t xml:space="preserve"> يَدُلُّ قَوْلُهُ:</w:t>
      </w:r>
      <w:r w:rsidR="000775C2" w:rsidRPr="00495BAB">
        <w:rPr>
          <w:rFonts w:hint="cs"/>
          <w:rtl/>
          <w:lang w:bidi="ar-SY"/>
        </w:rPr>
        <w:t xml:space="preserve"> </w:t>
      </w:r>
      <w:r w:rsidR="000775C2" w:rsidRPr="00995B26">
        <w:rPr>
          <w:rFonts w:cs="Traditional Arabic" w:hint="cs"/>
          <w:szCs w:val="30"/>
          <w:rtl/>
          <w:lang w:bidi="ar-SY"/>
        </w:rPr>
        <w:t>﴿</w:t>
      </w:r>
      <w:r w:rsidR="000775C2" w:rsidRPr="0067048A">
        <w:rPr>
          <w:rFonts w:ascii="KFGQPC Uthmanic Script HAFS" w:cs="KFGQPC Uthmanic Script HAFS" w:hint="eastAsia"/>
          <w:sz w:val="28"/>
          <w:szCs w:val="28"/>
          <w:rtl/>
        </w:rPr>
        <w:t>مَا</w:t>
      </w:r>
      <w:r w:rsidR="000775C2" w:rsidRPr="0067048A">
        <w:rPr>
          <w:rFonts w:ascii="KFGQPC Uthmanic Script HAFS" w:cs="KFGQPC Uthmanic Script HAFS"/>
          <w:sz w:val="28"/>
          <w:szCs w:val="28"/>
          <w:rtl/>
        </w:rPr>
        <w:t xml:space="preserve"> </w:t>
      </w:r>
      <w:r w:rsidR="000775C2" w:rsidRPr="0067048A">
        <w:rPr>
          <w:rFonts w:ascii="KFGQPC Uthmanic Script HAFS" w:cs="KFGQPC Uthmanic Script HAFS" w:hint="eastAsia"/>
          <w:sz w:val="28"/>
          <w:szCs w:val="28"/>
          <w:rtl/>
        </w:rPr>
        <w:t>كَانَ</w:t>
      </w:r>
      <w:r w:rsidR="000775C2" w:rsidRPr="0067048A">
        <w:rPr>
          <w:rFonts w:ascii="KFGQPC Uthmanic Script HAFS" w:cs="KFGQPC Uthmanic Script HAFS"/>
          <w:sz w:val="28"/>
          <w:szCs w:val="28"/>
          <w:rtl/>
        </w:rPr>
        <w:t xml:space="preserve"> </w:t>
      </w:r>
      <w:r w:rsidR="000775C2" w:rsidRPr="0067048A">
        <w:rPr>
          <w:rFonts w:ascii="KFGQPC Uthmanic Script HAFS" w:cs="KFGQPC Uthmanic Script HAFS" w:hint="eastAsia"/>
          <w:sz w:val="28"/>
          <w:szCs w:val="28"/>
          <w:rtl/>
        </w:rPr>
        <w:t>لِنَبِيٍّ</w:t>
      </w:r>
      <w:r w:rsidR="000775C2" w:rsidRPr="0067048A">
        <w:rPr>
          <w:rFonts w:ascii="KFGQPC Uthmanic Script HAFS" w:cs="KFGQPC Uthmanic Script HAFS"/>
          <w:sz w:val="28"/>
          <w:szCs w:val="28"/>
          <w:rtl/>
        </w:rPr>
        <w:t xml:space="preserve"> </w:t>
      </w:r>
      <w:r w:rsidR="000775C2" w:rsidRPr="0067048A">
        <w:rPr>
          <w:rFonts w:ascii="KFGQPC Uthmanic Script HAFS" w:cs="KFGQPC Uthmanic Script HAFS" w:hint="eastAsia"/>
          <w:sz w:val="28"/>
          <w:szCs w:val="28"/>
          <w:rtl/>
        </w:rPr>
        <w:t>أَن</w:t>
      </w:r>
      <w:r w:rsidR="000775C2" w:rsidRPr="0067048A">
        <w:rPr>
          <w:rFonts w:ascii="KFGQPC Uthmanic Script HAFS" w:cs="KFGQPC Uthmanic Script HAFS"/>
          <w:sz w:val="28"/>
          <w:szCs w:val="28"/>
          <w:rtl/>
        </w:rPr>
        <w:t xml:space="preserve"> </w:t>
      </w:r>
      <w:r w:rsidR="000775C2" w:rsidRPr="0067048A">
        <w:rPr>
          <w:rFonts w:ascii="KFGQPC Uthmanic Script HAFS" w:cs="KFGQPC Uthmanic Script HAFS" w:hint="eastAsia"/>
          <w:sz w:val="28"/>
          <w:szCs w:val="28"/>
          <w:rtl/>
        </w:rPr>
        <w:t>يَكُونَ</w:t>
      </w:r>
      <w:r w:rsidR="000775C2" w:rsidRPr="0067048A">
        <w:rPr>
          <w:rFonts w:ascii="KFGQPC Uthmanic Script HAFS" w:cs="KFGQPC Uthmanic Script HAFS"/>
          <w:sz w:val="28"/>
          <w:szCs w:val="28"/>
          <w:rtl/>
        </w:rPr>
        <w:t xml:space="preserve"> </w:t>
      </w:r>
      <w:r w:rsidR="000775C2" w:rsidRPr="0067048A">
        <w:rPr>
          <w:rFonts w:ascii="KFGQPC Uthmanic Script HAFS" w:cs="KFGQPC Uthmanic Script HAFS" w:hint="eastAsia"/>
          <w:sz w:val="28"/>
          <w:szCs w:val="28"/>
          <w:rtl/>
        </w:rPr>
        <w:t>لَهُ</w:t>
      </w:r>
      <w:r w:rsidR="000775C2" w:rsidRPr="0067048A">
        <w:rPr>
          <w:rFonts w:ascii="KFGQPC Uthmanic Script HAFS" w:cs="KFGQPC Uthmanic Script HAFS" w:hint="cs"/>
          <w:sz w:val="28"/>
          <w:szCs w:val="28"/>
          <w:rtl/>
        </w:rPr>
        <w:t>ۥٓ</w:t>
      </w:r>
      <w:r w:rsidR="000775C2" w:rsidRPr="0067048A">
        <w:rPr>
          <w:rFonts w:ascii="KFGQPC Uthmanic Script HAFS" w:cs="KFGQPC Uthmanic Script HAFS"/>
          <w:sz w:val="28"/>
          <w:szCs w:val="28"/>
          <w:rtl/>
        </w:rPr>
        <w:t xml:space="preserve"> </w:t>
      </w:r>
      <w:r w:rsidR="000775C2" w:rsidRPr="0067048A">
        <w:rPr>
          <w:rFonts w:ascii="KFGQPC Uthmanic Script HAFS" w:cs="KFGQPC Uthmanic Script HAFS" w:hint="eastAsia"/>
          <w:sz w:val="28"/>
          <w:szCs w:val="28"/>
          <w:rtl/>
        </w:rPr>
        <w:t>أَس</w:t>
      </w:r>
      <w:r w:rsidR="000775C2" w:rsidRPr="0067048A">
        <w:rPr>
          <w:rFonts w:ascii="KFGQPC Uthmanic Script HAFS" w:cs="KFGQPC Uthmanic Script HAFS" w:hint="cs"/>
          <w:sz w:val="28"/>
          <w:szCs w:val="28"/>
          <w:rtl/>
        </w:rPr>
        <w:t>ۡ</w:t>
      </w:r>
      <w:r w:rsidR="000775C2" w:rsidRPr="0067048A">
        <w:rPr>
          <w:rFonts w:ascii="KFGQPC Uthmanic Script HAFS" w:cs="KFGQPC Uthmanic Script HAFS" w:hint="eastAsia"/>
          <w:sz w:val="28"/>
          <w:szCs w:val="28"/>
          <w:rtl/>
        </w:rPr>
        <w:t>رَى</w:t>
      </w:r>
      <w:r w:rsidR="000775C2" w:rsidRPr="0067048A">
        <w:rPr>
          <w:rFonts w:ascii="KFGQPC Uthmanic Script HAFS" w:cs="KFGQPC Uthmanic Script HAFS" w:hint="cs"/>
          <w:sz w:val="28"/>
          <w:szCs w:val="28"/>
          <w:rtl/>
        </w:rPr>
        <w:t>ٰ</w:t>
      </w:r>
      <w:r w:rsidR="000775C2" w:rsidRPr="0067048A">
        <w:rPr>
          <w:rFonts w:ascii="KFGQPC Uthmanic Script HAFS" w:cs="KFGQPC Uthmanic Script HAFS"/>
          <w:sz w:val="28"/>
          <w:szCs w:val="28"/>
          <w:rtl/>
        </w:rPr>
        <w:t xml:space="preserve"> </w:t>
      </w:r>
      <w:r w:rsidR="000775C2" w:rsidRPr="0067048A">
        <w:rPr>
          <w:rFonts w:ascii="KFGQPC Uthmanic Script HAFS" w:cs="KFGQPC Uthmanic Script HAFS" w:hint="eastAsia"/>
          <w:sz w:val="28"/>
          <w:szCs w:val="28"/>
          <w:rtl/>
        </w:rPr>
        <w:t>حَتَّى</w:t>
      </w:r>
      <w:r w:rsidR="000775C2" w:rsidRPr="0067048A">
        <w:rPr>
          <w:rFonts w:ascii="KFGQPC Uthmanic Script HAFS" w:cs="KFGQPC Uthmanic Script HAFS" w:hint="cs"/>
          <w:sz w:val="28"/>
          <w:szCs w:val="28"/>
          <w:rtl/>
        </w:rPr>
        <w:t>ٰ</w:t>
      </w:r>
      <w:r w:rsidR="000775C2" w:rsidRPr="0067048A">
        <w:rPr>
          <w:rFonts w:ascii="KFGQPC Uthmanic Script HAFS" w:cs="KFGQPC Uthmanic Script HAFS"/>
          <w:sz w:val="28"/>
          <w:szCs w:val="28"/>
          <w:rtl/>
        </w:rPr>
        <w:t xml:space="preserve"> </w:t>
      </w:r>
      <w:r w:rsidR="000775C2" w:rsidRPr="0067048A">
        <w:rPr>
          <w:rFonts w:ascii="KFGQPC Uthmanic Script HAFS" w:cs="KFGQPC Uthmanic Script HAFS" w:hint="eastAsia"/>
          <w:sz w:val="28"/>
          <w:szCs w:val="28"/>
          <w:rtl/>
        </w:rPr>
        <w:t>يُث</w:t>
      </w:r>
      <w:r w:rsidR="000775C2" w:rsidRPr="0067048A">
        <w:rPr>
          <w:rFonts w:ascii="KFGQPC Uthmanic Script HAFS" w:cs="KFGQPC Uthmanic Script HAFS" w:hint="cs"/>
          <w:sz w:val="28"/>
          <w:szCs w:val="28"/>
          <w:rtl/>
        </w:rPr>
        <w:t>ۡ</w:t>
      </w:r>
      <w:r w:rsidR="000775C2" w:rsidRPr="0067048A">
        <w:rPr>
          <w:rFonts w:ascii="KFGQPC Uthmanic Script HAFS" w:cs="KFGQPC Uthmanic Script HAFS" w:hint="eastAsia"/>
          <w:sz w:val="28"/>
          <w:szCs w:val="28"/>
          <w:rtl/>
        </w:rPr>
        <w:t>خِنَ</w:t>
      </w:r>
      <w:r w:rsidR="000775C2" w:rsidRPr="0067048A">
        <w:rPr>
          <w:rFonts w:ascii="KFGQPC Uthmanic Script HAFS" w:cs="KFGQPC Uthmanic Script HAFS"/>
          <w:sz w:val="28"/>
          <w:szCs w:val="28"/>
          <w:rtl/>
        </w:rPr>
        <w:t xml:space="preserve"> </w:t>
      </w:r>
      <w:r w:rsidR="000775C2" w:rsidRPr="0067048A">
        <w:rPr>
          <w:rFonts w:ascii="KFGQPC Uthmanic Script HAFS" w:cs="KFGQPC Uthmanic Script HAFS" w:hint="eastAsia"/>
          <w:sz w:val="28"/>
          <w:szCs w:val="28"/>
          <w:rtl/>
        </w:rPr>
        <w:t>فِي</w:t>
      </w:r>
      <w:r w:rsidR="000775C2" w:rsidRPr="0067048A">
        <w:rPr>
          <w:rFonts w:ascii="KFGQPC Uthmanic Script HAFS" w:cs="KFGQPC Uthmanic Script HAFS"/>
          <w:sz w:val="28"/>
          <w:szCs w:val="28"/>
          <w:rtl/>
        </w:rPr>
        <w:t xml:space="preserve"> </w:t>
      </w:r>
      <w:r w:rsidR="000775C2" w:rsidRPr="0067048A">
        <w:rPr>
          <w:rFonts w:ascii="KFGQPC Uthmanic Script HAFS" w:cs="KFGQPC Uthmanic Script HAFS" w:hint="cs"/>
          <w:sz w:val="28"/>
          <w:szCs w:val="28"/>
          <w:rtl/>
        </w:rPr>
        <w:t>ٱ</w:t>
      </w:r>
      <w:r w:rsidR="000775C2" w:rsidRPr="0067048A">
        <w:rPr>
          <w:rFonts w:ascii="KFGQPC Uthmanic Script HAFS" w:cs="KFGQPC Uthmanic Script HAFS" w:hint="eastAsia"/>
          <w:sz w:val="28"/>
          <w:szCs w:val="28"/>
          <w:rtl/>
        </w:rPr>
        <w:t>ل</w:t>
      </w:r>
      <w:r w:rsidR="000775C2" w:rsidRPr="0067048A">
        <w:rPr>
          <w:rFonts w:ascii="KFGQPC Uthmanic Script HAFS" w:cs="KFGQPC Uthmanic Script HAFS" w:hint="cs"/>
          <w:sz w:val="28"/>
          <w:szCs w:val="28"/>
          <w:rtl/>
        </w:rPr>
        <w:t>ۡ</w:t>
      </w:r>
      <w:r w:rsidR="000775C2" w:rsidRPr="0067048A">
        <w:rPr>
          <w:rFonts w:ascii="KFGQPC Uthmanic Script HAFS" w:cs="KFGQPC Uthmanic Script HAFS" w:hint="eastAsia"/>
          <w:sz w:val="28"/>
          <w:szCs w:val="28"/>
          <w:rtl/>
        </w:rPr>
        <w:t>أَر</w:t>
      </w:r>
      <w:r w:rsidR="000775C2" w:rsidRPr="0067048A">
        <w:rPr>
          <w:rFonts w:ascii="KFGQPC Uthmanic Script HAFS" w:cs="KFGQPC Uthmanic Script HAFS" w:hint="cs"/>
          <w:sz w:val="28"/>
          <w:szCs w:val="28"/>
          <w:rtl/>
        </w:rPr>
        <w:t>ۡ</w:t>
      </w:r>
      <w:r w:rsidR="000775C2" w:rsidRPr="0067048A">
        <w:rPr>
          <w:rFonts w:ascii="KFGQPC Uthmanic Script HAFS" w:cs="KFGQPC Uthmanic Script HAFS" w:hint="eastAsia"/>
          <w:sz w:val="28"/>
          <w:szCs w:val="28"/>
          <w:rtl/>
        </w:rPr>
        <w:t>ضِ</w:t>
      </w:r>
      <w:r w:rsidR="000775C2" w:rsidRPr="00995B26">
        <w:rPr>
          <w:rFonts w:cs="Traditional Arabic" w:hint="cs"/>
          <w:szCs w:val="30"/>
          <w:rtl/>
          <w:lang w:bidi="ar-SY"/>
        </w:rPr>
        <w:t>﴾</w:t>
      </w:r>
      <w:r w:rsidRPr="00495BAB">
        <w:rPr>
          <w:rtl/>
          <w:lang w:bidi="ar-SY"/>
        </w:rPr>
        <w:t xml:space="preserve"> عَلَى تَكْلِيفِ الْجِهَادِ لِسَائِرِ الْأَنْبِيَاءِ.</w:t>
      </w:r>
      <w:r w:rsidRPr="00495BAB">
        <w:rPr>
          <w:rFonts w:hint="cs"/>
          <w:rtl/>
          <w:lang w:bidi="ar-SY"/>
        </w:rPr>
        <w:t xml:space="preserve"> </w:t>
      </w:r>
      <w:r w:rsidRPr="00495BAB">
        <w:rPr>
          <w:rtl/>
          <w:lang w:bidi="ar-SY"/>
        </w:rPr>
        <w:t xml:space="preserve">قُلْنَا: كَانَ الْجِهَادُ وَاجِبًا عَلَى أَنْبِيَاءٍ قَبْلَ مُحَمَّدٍ، </w:t>
      </w:r>
      <w:r w:rsidRPr="00495BAB">
        <w:rPr>
          <w:rFonts w:hint="cs"/>
          <w:rtl/>
          <w:lang w:bidi="ar-SY"/>
        </w:rPr>
        <w:t>وَ</w:t>
      </w:r>
      <w:r w:rsidRPr="00495BAB">
        <w:rPr>
          <w:rtl/>
          <w:lang w:bidi="ar-SY"/>
        </w:rPr>
        <w:t>لَمْ يَكُنْ لَهُمْ أَسْرَى وَلَا غَنِيمَةٌ</w:t>
      </w:r>
      <w:r w:rsidR="005027FA" w:rsidRPr="005027FA">
        <w:rPr>
          <w:rFonts w:cs="Arabic11 BT" w:hint="cs"/>
          <w:vertAlign w:val="superscript"/>
          <w:rtl/>
          <w:lang w:bidi="ar-SY"/>
        </w:rPr>
        <w:t>(</w:t>
      </w:r>
      <w:r w:rsidRPr="005027FA">
        <w:rPr>
          <w:rStyle w:val="FootnoteReference"/>
          <w:rFonts w:cs="Arabic11 BT"/>
          <w:rtl/>
          <w:lang w:bidi="ar-SY"/>
        </w:rPr>
        <w:footnoteReference w:id="495"/>
      </w:r>
      <w:r w:rsidR="005027FA" w:rsidRPr="005027FA">
        <w:rPr>
          <w:rFonts w:cs="Arabic11 BT" w:hint="cs"/>
          <w:vertAlign w:val="superscript"/>
          <w:rtl/>
          <w:lang w:bidi="ar-SY"/>
        </w:rPr>
        <w:t>)</w:t>
      </w:r>
      <w:r w:rsidR="0038630B" w:rsidRPr="00495BAB">
        <w:rPr>
          <w:rFonts w:hint="cs"/>
          <w:rtl/>
          <w:lang w:bidi="ar-SY"/>
        </w:rPr>
        <w:t>.</w:t>
      </w:r>
      <w:r w:rsidR="00AB28A0" w:rsidRPr="00495BAB">
        <w:rPr>
          <w:rFonts w:hint="cs"/>
          <w:rtl/>
          <w:lang w:bidi="ar-SY"/>
        </w:rPr>
        <w:t>.</w:t>
      </w:r>
      <w:r w:rsidRPr="00495BAB">
        <w:rPr>
          <w:rFonts w:hint="cs"/>
          <w:rtl/>
          <w:lang w:bidi="ar-SY"/>
        </w:rPr>
        <w:t>........ ثم قال بعد آية</w:t>
      </w:r>
      <w:r w:rsidR="000775C2" w:rsidRPr="00495BAB">
        <w:rPr>
          <w:rFonts w:hint="cs"/>
          <w:rtl/>
          <w:lang w:bidi="ar-SY"/>
        </w:rPr>
        <w:t xml:space="preserve">: </w:t>
      </w:r>
      <w:r w:rsidR="000775C2" w:rsidRPr="00995B26">
        <w:rPr>
          <w:rFonts w:cs="Traditional Arabic" w:hint="cs"/>
          <w:szCs w:val="30"/>
          <w:rtl/>
          <w:lang w:bidi="ar-SY"/>
        </w:rPr>
        <w:t>﴿</w:t>
      </w:r>
      <w:r w:rsidR="000775C2" w:rsidRPr="0067048A">
        <w:rPr>
          <w:rFonts w:ascii="KFGQPC Uthmanic Script HAFS" w:cs="KFGQPC Uthmanic Script HAFS" w:hint="eastAsia"/>
          <w:sz w:val="28"/>
          <w:szCs w:val="28"/>
          <w:rtl/>
        </w:rPr>
        <w:t>لَّو</w:t>
      </w:r>
      <w:r w:rsidR="000775C2" w:rsidRPr="0067048A">
        <w:rPr>
          <w:rFonts w:ascii="KFGQPC Uthmanic Script HAFS" w:cs="KFGQPC Uthmanic Script HAFS" w:hint="cs"/>
          <w:sz w:val="28"/>
          <w:szCs w:val="28"/>
          <w:rtl/>
        </w:rPr>
        <w:t>ۡ</w:t>
      </w:r>
      <w:r w:rsidR="000775C2" w:rsidRPr="0067048A">
        <w:rPr>
          <w:rFonts w:ascii="KFGQPC Uthmanic Script HAFS" w:cs="KFGQPC Uthmanic Script HAFS" w:hint="eastAsia"/>
          <w:sz w:val="28"/>
          <w:szCs w:val="28"/>
          <w:rtl/>
        </w:rPr>
        <w:t>لَا</w:t>
      </w:r>
      <w:r w:rsidR="000775C2" w:rsidRPr="0067048A">
        <w:rPr>
          <w:rFonts w:ascii="KFGQPC Uthmanic Script HAFS" w:cs="KFGQPC Uthmanic Script HAFS"/>
          <w:sz w:val="28"/>
          <w:szCs w:val="28"/>
          <w:rtl/>
        </w:rPr>
        <w:t xml:space="preserve"> </w:t>
      </w:r>
      <w:r w:rsidR="000775C2" w:rsidRPr="0067048A">
        <w:rPr>
          <w:rFonts w:ascii="KFGQPC Uthmanic Script HAFS" w:cs="KFGQPC Uthmanic Script HAFS" w:hint="eastAsia"/>
          <w:sz w:val="28"/>
          <w:szCs w:val="28"/>
          <w:rtl/>
        </w:rPr>
        <w:t>كِتَ</w:t>
      </w:r>
      <w:r w:rsidR="000775C2" w:rsidRPr="0067048A">
        <w:rPr>
          <w:rFonts w:ascii="KFGQPC Uthmanic Script HAFS" w:cs="KFGQPC Uthmanic Script HAFS" w:hint="cs"/>
          <w:sz w:val="28"/>
          <w:szCs w:val="28"/>
          <w:rtl/>
        </w:rPr>
        <w:t>ٰ</w:t>
      </w:r>
      <w:r w:rsidR="000775C2" w:rsidRPr="0067048A">
        <w:rPr>
          <w:rFonts w:ascii="KFGQPC Uthmanic Script HAFS" w:cs="KFGQPC Uthmanic Script HAFS" w:hint="eastAsia"/>
          <w:sz w:val="28"/>
          <w:szCs w:val="28"/>
          <w:rtl/>
        </w:rPr>
        <w:t>ب</w:t>
      </w:r>
      <w:r w:rsidR="000775C2" w:rsidRPr="0067048A">
        <w:rPr>
          <w:rFonts w:ascii="KFGQPC Uthmanic Script HAFS" w:cs="KFGQPC Uthmanic Script HAFS" w:hint="cs"/>
          <w:sz w:val="28"/>
          <w:szCs w:val="28"/>
          <w:rtl/>
        </w:rPr>
        <w:t>ٞ</w:t>
      </w:r>
      <w:r w:rsidR="000775C2" w:rsidRPr="0067048A">
        <w:rPr>
          <w:rFonts w:ascii="KFGQPC Uthmanic Script HAFS" w:cs="KFGQPC Uthmanic Script HAFS"/>
          <w:sz w:val="28"/>
          <w:szCs w:val="28"/>
          <w:rtl/>
        </w:rPr>
        <w:t xml:space="preserve"> </w:t>
      </w:r>
      <w:r w:rsidR="000775C2" w:rsidRPr="0067048A">
        <w:rPr>
          <w:rFonts w:ascii="KFGQPC Uthmanic Script HAFS" w:cs="KFGQPC Uthmanic Script HAFS" w:hint="eastAsia"/>
          <w:sz w:val="28"/>
          <w:szCs w:val="28"/>
          <w:rtl/>
        </w:rPr>
        <w:t>مِّنَ</w:t>
      </w:r>
      <w:r w:rsidR="000775C2" w:rsidRPr="0067048A">
        <w:rPr>
          <w:rFonts w:ascii="KFGQPC Uthmanic Script HAFS" w:cs="KFGQPC Uthmanic Script HAFS"/>
          <w:sz w:val="28"/>
          <w:szCs w:val="28"/>
          <w:rtl/>
        </w:rPr>
        <w:t xml:space="preserve"> </w:t>
      </w:r>
      <w:r w:rsidR="000775C2" w:rsidRPr="0067048A">
        <w:rPr>
          <w:rFonts w:ascii="KFGQPC Uthmanic Script HAFS" w:cs="KFGQPC Uthmanic Script HAFS" w:hint="cs"/>
          <w:sz w:val="28"/>
          <w:szCs w:val="28"/>
          <w:rtl/>
        </w:rPr>
        <w:t>ٱ</w:t>
      </w:r>
      <w:r w:rsidR="000775C2" w:rsidRPr="0067048A">
        <w:rPr>
          <w:rFonts w:ascii="KFGQPC Uthmanic Script HAFS" w:cs="KFGQPC Uthmanic Script HAFS" w:hint="eastAsia"/>
          <w:sz w:val="28"/>
          <w:szCs w:val="28"/>
          <w:rtl/>
        </w:rPr>
        <w:t>للَّهِ</w:t>
      </w:r>
      <w:r w:rsidR="000775C2" w:rsidRPr="0067048A">
        <w:rPr>
          <w:rFonts w:ascii="KFGQPC Uthmanic Script HAFS" w:cs="KFGQPC Uthmanic Script HAFS"/>
          <w:sz w:val="28"/>
          <w:szCs w:val="28"/>
          <w:rtl/>
        </w:rPr>
        <w:t xml:space="preserve"> </w:t>
      </w:r>
      <w:r w:rsidR="000775C2" w:rsidRPr="0067048A">
        <w:rPr>
          <w:rFonts w:ascii="KFGQPC Uthmanic Script HAFS" w:cs="KFGQPC Uthmanic Script HAFS" w:hint="eastAsia"/>
          <w:sz w:val="28"/>
          <w:szCs w:val="28"/>
          <w:rtl/>
        </w:rPr>
        <w:t>سَبَقَ</w:t>
      </w:r>
      <w:r w:rsidR="000775C2" w:rsidRPr="0067048A">
        <w:rPr>
          <w:rFonts w:ascii="KFGQPC Uthmanic Script HAFS" w:cs="KFGQPC Uthmanic Script HAFS"/>
          <w:sz w:val="28"/>
          <w:szCs w:val="28"/>
          <w:rtl/>
        </w:rPr>
        <w:t xml:space="preserve"> </w:t>
      </w:r>
      <w:r w:rsidR="000775C2" w:rsidRPr="0067048A">
        <w:rPr>
          <w:rFonts w:ascii="KFGQPC Uthmanic Script HAFS" w:cs="KFGQPC Uthmanic Script HAFS" w:hint="eastAsia"/>
          <w:sz w:val="28"/>
          <w:szCs w:val="28"/>
          <w:rtl/>
        </w:rPr>
        <w:t>لَمَسَّكُم</w:t>
      </w:r>
      <w:r w:rsidR="000775C2" w:rsidRPr="0067048A">
        <w:rPr>
          <w:rFonts w:ascii="KFGQPC Uthmanic Script HAFS" w:cs="KFGQPC Uthmanic Script HAFS" w:hint="cs"/>
          <w:sz w:val="28"/>
          <w:szCs w:val="28"/>
          <w:rtl/>
        </w:rPr>
        <w:t>ۡ</w:t>
      </w:r>
      <w:r w:rsidR="000775C2" w:rsidRPr="0067048A">
        <w:rPr>
          <w:rFonts w:ascii="KFGQPC Uthmanic Script HAFS" w:cs="KFGQPC Uthmanic Script HAFS"/>
          <w:sz w:val="28"/>
          <w:szCs w:val="28"/>
          <w:rtl/>
        </w:rPr>
        <w:t xml:space="preserve"> </w:t>
      </w:r>
      <w:r w:rsidR="000775C2" w:rsidRPr="0067048A">
        <w:rPr>
          <w:rFonts w:ascii="KFGQPC Uthmanic Script HAFS" w:cs="KFGQPC Uthmanic Script HAFS" w:hint="eastAsia"/>
          <w:sz w:val="28"/>
          <w:szCs w:val="28"/>
          <w:rtl/>
        </w:rPr>
        <w:t>فِيمَا</w:t>
      </w:r>
      <w:r w:rsidR="000775C2" w:rsidRPr="0067048A">
        <w:rPr>
          <w:rFonts w:ascii="KFGQPC Uthmanic Script HAFS" w:cs="KFGQPC Uthmanic Script HAFS" w:hint="cs"/>
          <w:sz w:val="28"/>
          <w:szCs w:val="28"/>
          <w:rtl/>
        </w:rPr>
        <w:t>ٓ</w:t>
      </w:r>
      <w:r w:rsidR="000775C2" w:rsidRPr="0067048A">
        <w:rPr>
          <w:rFonts w:ascii="KFGQPC Uthmanic Script HAFS" w:cs="KFGQPC Uthmanic Script HAFS"/>
          <w:sz w:val="28"/>
          <w:szCs w:val="28"/>
          <w:rtl/>
        </w:rPr>
        <w:t xml:space="preserve"> </w:t>
      </w:r>
      <w:r w:rsidR="000775C2" w:rsidRPr="0067048A">
        <w:rPr>
          <w:rFonts w:ascii="KFGQPC Uthmanic Script HAFS" w:cs="KFGQPC Uthmanic Script HAFS" w:hint="eastAsia"/>
          <w:sz w:val="28"/>
          <w:szCs w:val="28"/>
          <w:rtl/>
        </w:rPr>
        <w:t>أَخَذ</w:t>
      </w:r>
      <w:r w:rsidR="000775C2" w:rsidRPr="0067048A">
        <w:rPr>
          <w:rFonts w:ascii="KFGQPC Uthmanic Script HAFS" w:cs="KFGQPC Uthmanic Script HAFS" w:hint="cs"/>
          <w:sz w:val="28"/>
          <w:szCs w:val="28"/>
          <w:rtl/>
        </w:rPr>
        <w:t>ۡ</w:t>
      </w:r>
      <w:r w:rsidR="000775C2" w:rsidRPr="0067048A">
        <w:rPr>
          <w:rFonts w:ascii="KFGQPC Uthmanic Script HAFS" w:cs="KFGQPC Uthmanic Script HAFS" w:hint="eastAsia"/>
          <w:sz w:val="28"/>
          <w:szCs w:val="28"/>
          <w:rtl/>
        </w:rPr>
        <w:t>تُم</w:t>
      </w:r>
      <w:r w:rsidR="000775C2" w:rsidRPr="0067048A">
        <w:rPr>
          <w:rFonts w:ascii="KFGQPC Uthmanic Script HAFS" w:cs="KFGQPC Uthmanic Script HAFS" w:hint="cs"/>
          <w:sz w:val="28"/>
          <w:szCs w:val="28"/>
          <w:rtl/>
        </w:rPr>
        <w:t>ۡ</w:t>
      </w:r>
      <w:r w:rsidR="000775C2" w:rsidRPr="0067048A">
        <w:rPr>
          <w:rFonts w:ascii="KFGQPC Uthmanic Script HAFS" w:cs="KFGQPC Uthmanic Script HAFS"/>
          <w:sz w:val="28"/>
          <w:szCs w:val="28"/>
          <w:rtl/>
        </w:rPr>
        <w:t xml:space="preserve"> </w:t>
      </w:r>
      <w:r w:rsidR="000775C2" w:rsidRPr="0067048A">
        <w:rPr>
          <w:rFonts w:ascii="KFGQPC Uthmanic Script HAFS" w:cs="KFGQPC Uthmanic Script HAFS" w:hint="eastAsia"/>
          <w:sz w:val="28"/>
          <w:szCs w:val="28"/>
          <w:rtl/>
        </w:rPr>
        <w:t>عَذَابٌ</w:t>
      </w:r>
      <w:r w:rsidR="000775C2" w:rsidRPr="0067048A">
        <w:rPr>
          <w:rFonts w:ascii="KFGQPC Uthmanic Script HAFS" w:cs="KFGQPC Uthmanic Script HAFS"/>
          <w:sz w:val="28"/>
          <w:szCs w:val="28"/>
          <w:rtl/>
        </w:rPr>
        <w:t xml:space="preserve"> </w:t>
      </w:r>
      <w:r w:rsidR="000775C2" w:rsidRPr="0067048A">
        <w:rPr>
          <w:rFonts w:ascii="KFGQPC Uthmanic Script HAFS" w:cs="KFGQPC Uthmanic Script HAFS" w:hint="eastAsia"/>
          <w:sz w:val="28"/>
          <w:szCs w:val="28"/>
          <w:rtl/>
        </w:rPr>
        <w:t>عَظِيم</w:t>
      </w:r>
      <w:r w:rsidR="000775C2" w:rsidRPr="0067048A">
        <w:rPr>
          <w:rFonts w:ascii="KFGQPC Uthmanic Script HAFS" w:cs="KFGQPC Uthmanic Script HAFS" w:hint="cs"/>
          <w:sz w:val="28"/>
          <w:szCs w:val="28"/>
          <w:rtl/>
        </w:rPr>
        <w:t>ٞ</w:t>
      </w:r>
      <w:r w:rsidR="000775C2" w:rsidRPr="0067048A">
        <w:rPr>
          <w:rFonts w:ascii="KFGQPC Uthmanic Script HAFS" w:cs="KFGQPC Uthmanic Script HAFS"/>
          <w:sz w:val="28"/>
          <w:szCs w:val="28"/>
          <w:rtl/>
        </w:rPr>
        <w:t xml:space="preserve"> </w:t>
      </w:r>
      <w:r w:rsidR="000775C2" w:rsidRPr="0067048A">
        <w:rPr>
          <w:rFonts w:ascii="KFGQPC Uthmanic Script HAFS" w:cs="KFGQPC Uthmanic Script HAFS" w:hint="cs"/>
          <w:sz w:val="28"/>
          <w:szCs w:val="28"/>
          <w:rtl/>
        </w:rPr>
        <w:t>٦٨</w:t>
      </w:r>
      <w:r w:rsidR="000775C2" w:rsidRPr="00995B26">
        <w:rPr>
          <w:rFonts w:cs="Traditional Arabic" w:hint="cs"/>
          <w:szCs w:val="30"/>
          <w:rtl/>
          <w:lang w:bidi="ar-SY"/>
        </w:rPr>
        <w:t>﴾</w:t>
      </w:r>
      <w:r w:rsidRPr="00495BAB">
        <w:rPr>
          <w:rFonts w:hint="cs"/>
          <w:rtl/>
          <w:lang w:bidi="ar-SY"/>
        </w:rPr>
        <w:t xml:space="preserve"> </w:t>
      </w:r>
      <w:r w:rsidR="000775C2" w:rsidRPr="009E1401">
        <w:rPr>
          <w:rStyle w:val="Char2"/>
          <w:rFonts w:hint="cs"/>
          <w:rtl/>
        </w:rPr>
        <w:t>[الأنفال: 68]</w:t>
      </w:r>
      <w:r w:rsidR="000775C2" w:rsidRPr="00495BAB">
        <w:rPr>
          <w:rFonts w:hint="cs"/>
          <w:rtl/>
          <w:lang w:bidi="ar-SY"/>
        </w:rPr>
        <w:t xml:space="preserve">. </w:t>
      </w:r>
      <w:r w:rsidRPr="00495BAB">
        <w:rPr>
          <w:rtl/>
          <w:lang w:bidi="ar-SY"/>
        </w:rPr>
        <w:t>فِيهَا سَبْعُ مَسَائِلَ</w:t>
      </w:r>
      <w:r w:rsidR="00AB28A0" w:rsidRPr="00495BAB">
        <w:rPr>
          <w:rtl/>
          <w:lang w:bidi="ar-SY"/>
        </w:rPr>
        <w:t>:</w:t>
      </w:r>
      <w:r w:rsidRPr="00495BAB">
        <w:rPr>
          <w:rtl/>
          <w:lang w:bidi="ar-SY"/>
        </w:rPr>
        <w:t xml:space="preserve"> الْمَسْأَلَةُ الْأُولَى: فِي سَبَبِ نُزُولِهَا: قَالَ رَسُولُ </w:t>
      </w:r>
      <w:r w:rsidRPr="00495BAB">
        <w:rPr>
          <w:rFonts w:hint="cs"/>
          <w:rtl/>
          <w:lang w:bidi="ar-SY"/>
        </w:rPr>
        <w:t>اللهِ</w:t>
      </w:r>
      <w:r w:rsidRPr="00495BAB">
        <w:rPr>
          <w:rtl/>
          <w:lang w:bidi="ar-SY"/>
        </w:rPr>
        <w:t xml:space="preserve"> </w:t>
      </w:r>
      <w:r w:rsidRPr="00495BAB">
        <w:rPr>
          <w:rFonts w:ascii="Abo-thar" w:hAnsi="Abo-thar"/>
          <w:sz w:val="28"/>
          <w:lang w:bidi="fa-IR"/>
        </w:rPr>
        <w:t></w:t>
      </w:r>
      <w:r w:rsidRPr="00495BAB">
        <w:rPr>
          <w:rFonts w:hint="cs"/>
          <w:rtl/>
          <w:lang w:bidi="ar-SY"/>
        </w:rPr>
        <w:t xml:space="preserve"> - في سبب نزولها - </w:t>
      </w:r>
      <w:r w:rsidRPr="005027FA">
        <w:rPr>
          <w:rFonts w:cs="KFGQPC Uthman Taha Naskh" w:hint="cs"/>
          <w:rtl/>
          <w:lang w:bidi="ar-SY"/>
        </w:rPr>
        <w:t>(</w:t>
      </w:r>
      <w:r w:rsidRPr="005027FA">
        <w:rPr>
          <w:rFonts w:cs="KFGQPC Uthman Taha Naskh"/>
          <w:rtl/>
          <w:lang w:bidi="ar-SY"/>
        </w:rPr>
        <w:t xml:space="preserve">غَزَا نَبِيٌّ مِنْ الْأَنْبِيَاءِ، فَقَالَ لِأَصْحَابِهِ: </w:t>
      </w:r>
      <w:r w:rsidRPr="005027FA">
        <w:rPr>
          <w:rFonts w:cs="KFGQPC Uthman Taha Naskh" w:hint="cs"/>
          <w:rtl/>
          <w:lang w:bidi="ar-SY"/>
        </w:rPr>
        <w:t>«</w:t>
      </w:r>
      <w:r w:rsidRPr="005027FA">
        <w:rPr>
          <w:rFonts w:cs="KFGQPC Uthman Taha Naskh"/>
          <w:rtl/>
          <w:lang w:bidi="ar-SY"/>
        </w:rPr>
        <w:t>لَا يَتْبَعْنِي رَجُلٌ بَنَى دَارًا وَلَمْ يَسْكُنْهَا، أَوْ تَزَوَّجَ امْرَأَةً وَلَمْ يَبْنِ بِهَا، أَوْ لَهُ حَاجَةٌ فِي الرُّجُوعِ</w:t>
      </w:r>
      <w:r w:rsidRPr="005027FA">
        <w:rPr>
          <w:rFonts w:cs="KFGQPC Uthman Taha Naskh" w:hint="cs"/>
          <w:rtl/>
          <w:lang w:bidi="ar-SY"/>
        </w:rPr>
        <w:t>»</w:t>
      </w:r>
      <w:r w:rsidRPr="005027FA">
        <w:rPr>
          <w:rFonts w:cs="KFGQPC Uthman Taha Naskh"/>
          <w:rtl/>
          <w:lang w:bidi="ar-SY"/>
        </w:rPr>
        <w:t>.</w:t>
      </w:r>
      <w:r w:rsidRPr="005027FA">
        <w:rPr>
          <w:rFonts w:cs="KFGQPC Uthman Taha Naskh" w:hint="cs"/>
          <w:rtl/>
          <w:lang w:bidi="ar-SY"/>
        </w:rPr>
        <w:t xml:space="preserve"> </w:t>
      </w:r>
      <w:r w:rsidRPr="005027FA">
        <w:rPr>
          <w:rFonts w:cs="KFGQPC Uthman Taha Naskh"/>
          <w:rtl/>
          <w:lang w:bidi="ar-SY"/>
        </w:rPr>
        <w:t>قَالَ: فَلَقِيَ الْعَدُوَّ عِنْدَ غَيْبُوبَةِ الشَّمْسِ؛ فَقَالَ: اللَّهُمَّ إنَّهَا مَأْمُورَةٌ، وَإِنِّي مَأْمُورٌ</w:t>
      </w:r>
      <w:r w:rsidRPr="005027FA">
        <w:rPr>
          <w:rFonts w:cs="KFGQPC Uthman Taha Naskh" w:hint="cs"/>
          <w:rtl/>
          <w:lang w:bidi="ar-SY"/>
        </w:rPr>
        <w:t>،</w:t>
      </w:r>
      <w:r w:rsidRPr="005027FA">
        <w:rPr>
          <w:rFonts w:cs="KFGQPC Uthman Taha Naskh"/>
          <w:rtl/>
          <w:lang w:bidi="ar-SY"/>
        </w:rPr>
        <w:t xml:space="preserve"> فَاحْبِسْهَا حَتَّى تَقْضِيَ بَيْنِي وَبَيْنَهُمْ، فَحَبَسَهَا </w:t>
      </w:r>
      <w:r w:rsidRPr="005027FA">
        <w:rPr>
          <w:rFonts w:cs="KFGQPC Uthman Taha Naskh" w:hint="cs"/>
          <w:rtl/>
          <w:lang w:bidi="ar-SY"/>
        </w:rPr>
        <w:t>اللهُ</w:t>
      </w:r>
      <w:r w:rsidRPr="005027FA">
        <w:rPr>
          <w:rFonts w:cs="KFGQPC Uthman Taha Naskh"/>
          <w:rtl/>
          <w:lang w:bidi="ar-SY"/>
        </w:rPr>
        <w:t xml:space="preserve"> عَلَيْهِ، فَجَمَعُوا الْغَنَائِمَ فَلَمْ تَأْكُلْهَا النَّارُ</w:t>
      </w:r>
      <w:r w:rsidRPr="005027FA">
        <w:rPr>
          <w:rFonts w:cs="KFGQPC Uthman Taha Naskh" w:hint="cs"/>
          <w:rtl/>
          <w:lang w:bidi="ar-SY"/>
        </w:rPr>
        <w:t>»</w:t>
      </w:r>
      <w:r w:rsidR="005027FA" w:rsidRPr="005027FA">
        <w:rPr>
          <w:rFonts w:cs="Arabic11 BT" w:hint="cs"/>
          <w:vertAlign w:val="superscript"/>
          <w:rtl/>
          <w:lang w:bidi="ar-SY"/>
        </w:rPr>
        <w:t>(</w:t>
      </w:r>
      <w:r w:rsidRPr="005027FA">
        <w:rPr>
          <w:rStyle w:val="FootnoteReference"/>
          <w:rFonts w:cs="Arabic11 BT"/>
          <w:rtl/>
          <w:lang w:bidi="ar-SY"/>
        </w:rPr>
        <w:footnoteReference w:id="496"/>
      </w:r>
      <w:r w:rsidR="005027FA" w:rsidRPr="005027FA">
        <w:rPr>
          <w:rFonts w:cs="Arabic11 BT" w:hint="cs"/>
          <w:vertAlign w:val="superscript"/>
          <w:rtl/>
          <w:lang w:bidi="ar-SY"/>
        </w:rPr>
        <w:t>)</w:t>
      </w:r>
      <w:r w:rsidR="0038630B" w:rsidRPr="00495BAB">
        <w:rPr>
          <w:rFonts w:hint="cs"/>
          <w:rtl/>
          <w:lang w:bidi="ar-SY"/>
        </w:rPr>
        <w:t>.</w:t>
      </w:r>
    </w:p>
    <w:p w:rsidR="00CD31AA" w:rsidRPr="00495BAB" w:rsidRDefault="00CD31AA" w:rsidP="00495BAB">
      <w:pPr>
        <w:pStyle w:val="a0"/>
        <w:rPr>
          <w:rFonts w:hint="cs"/>
          <w:rtl/>
          <w:lang w:bidi="ar-SY"/>
        </w:rPr>
      </w:pPr>
      <w:r w:rsidRPr="00495BAB">
        <w:rPr>
          <w:rFonts w:hint="cs"/>
          <w:rtl/>
          <w:lang w:bidi="ar-SY"/>
        </w:rPr>
        <w:t xml:space="preserve"> وأقول: هذه الرواية الأخيرة التي أوردها في هذا الحديث، هي بحد ذاتها أكبر دليل على كذبه أيًّا كان الكتاب الذي ورد فيه هذا الحديث، سواءً كان أحكام القرآن الجصَّاص -الذي لم يرو مثل هذا الحديث أبدًا لحسن الحظ- أم غيره. لأن الله تعالى لا يهدم نظام العالم لأجل سفك الدماء، فمثل هذا الكلام لا تقوم به حجة إذْ لا يعدو ثرثرةً ولغوًا لمناقضته لحكم العقل ومخالفته لحكم كتاب الله. ومن الجهة الأخرى، ليس في إبراز مثل هذه الأحاديث المخالفة للعقل والشرع والطبيعة أي أثر أو فائدة سوى دفع ذوي الألباب والعقلاء من أهل الفهم والعلم إلى الهروب من الدين!</w:t>
      </w:r>
    </w:p>
    <w:p w:rsidR="00CD31AA" w:rsidRPr="00495BAB" w:rsidRDefault="00CD31AA" w:rsidP="00495BAB">
      <w:pPr>
        <w:pStyle w:val="a0"/>
        <w:rPr>
          <w:rFonts w:hint="cs"/>
          <w:rtl/>
          <w:lang w:bidi="ar-SY"/>
        </w:rPr>
      </w:pPr>
      <w:r w:rsidRPr="00495BAB">
        <w:rPr>
          <w:rFonts w:hint="cs"/>
          <w:rtl/>
          <w:lang w:bidi="ar-SY"/>
        </w:rPr>
        <w:t>ثم قام كتب الردّ في الفصل الثالث من كتابه ببحث موضوع غنائم الحرب قبل الإسلام طبقًا لما جاء في أحاديث الخاصَّة والعامَّة وأتى في هذا الصدد بأحاديث من كتب الشيعة، ولما كانت جميعها مخالفة للعقل ولا تتَّفق مع كتاب الله، وينكرها التاريخ وتكذِّبها الكتب السماوية، فيجب أن نضرب بها كلها عرض الحائط، لكن هذا العمل يتطلَّب عقلاً وإيمانًا وإنصافًا ووجدانًا كي يستطيع الإنسان أن يميز بين الخطأ والصواب بعقله، وأن يثق بالكتب السماوية بإيمانه، وأن يقضي بالحق بإنصافه، وأن لا يتبع أهواء نفسه بفضل وجدانه وضميره.</w:t>
      </w:r>
    </w:p>
    <w:p w:rsidR="00CD31AA" w:rsidRPr="00495BAB" w:rsidRDefault="00CD31AA" w:rsidP="00495BAB">
      <w:pPr>
        <w:pStyle w:val="a0"/>
        <w:rPr>
          <w:rFonts w:hint="cs"/>
          <w:rtl/>
          <w:lang w:bidi="ar-SY"/>
        </w:rPr>
      </w:pPr>
      <w:r w:rsidRPr="00495BAB">
        <w:rPr>
          <w:rFonts w:hint="cs"/>
          <w:rtl/>
          <w:lang w:bidi="ar-SY"/>
        </w:rPr>
        <w:t>ثم ابتدأ صاحب الرد يتفلسف متسائلاً: هل كان حرق الغنائم قبل الإسلام مخالفًا للعقل ولشرائع الله أم لا؟ ولفَّق بعض الجُمَل. ولمَّا كنا قد أثبتنا بالدلائل القوية المُتقنة أن مثل هذا العمل لا أساس له من الحقيقة، فلن نعتني بما لفَّقه من فلسفة، ونعتبر ما ذكره من قياسٍ قياسًا مع الفارق، وليس لدينا رغبة بتضييع الوقت في تفكيك هذا القياس وبيان بطلانه، إذْ لا علاقة لما يقوله بموضوع بحثنا ولا داعي لهدر الوقت في هذه الموضوعات التي لا فائدة منها. ولو فرضنا ثبوت حرمة غنائم الحرب على الأنبياء السابقين ثم تحليلها لنبينا، فما الفائدة من هذا الأمر وكيف يُثبت هذا تشريع ذلك الخمس الشامل؟!</w:t>
      </w:r>
    </w:p>
    <w:p w:rsidR="00CD31AA" w:rsidRPr="00495BAB" w:rsidRDefault="00CD31AA" w:rsidP="00495BAB">
      <w:pPr>
        <w:pStyle w:val="a0"/>
        <w:rPr>
          <w:rFonts w:hint="cs"/>
          <w:rtl/>
          <w:lang w:bidi="ar-SY"/>
        </w:rPr>
      </w:pPr>
      <w:r w:rsidRPr="00495BAB">
        <w:rPr>
          <w:rFonts w:hint="cs"/>
          <w:rtl/>
          <w:lang w:bidi="ar-SY"/>
        </w:rPr>
        <w:t>لكن السيد كاتب الردّ يريد أن يفهمنا أننا لم نكتب في كتابنا الخمس كلمةً واحدةً صحيحةً؛ لذا شرع منذ بداية كتابه بإبطال كل ما قلناه، وقد لاحظتم معشر القُرَّاء الكرام إلى أيِّ حدٍّ كان كلامه منطقيًّا ومقبولاً؟!</w:t>
      </w:r>
    </w:p>
    <w:p w:rsidR="00CD31AA" w:rsidRPr="00495BAB" w:rsidRDefault="00CD31AA" w:rsidP="00495BAB">
      <w:pPr>
        <w:pStyle w:val="a0"/>
        <w:rPr>
          <w:rFonts w:hint="cs"/>
          <w:rtl/>
          <w:lang w:bidi="ar-SY"/>
        </w:rPr>
      </w:pPr>
      <w:r w:rsidRPr="00495BAB">
        <w:rPr>
          <w:rFonts w:hint="cs"/>
          <w:rtl/>
          <w:lang w:bidi="ar-SY"/>
        </w:rPr>
        <w:t xml:space="preserve">فلندعه يتعِب نفسه بقدر ما يشاء لأن الحق أوضح من أن تخفيه مثل هذه الأباطيل. إننا لم نهتم حتى بنقد أو تصديق أو تكذيب ما أورده من أحاديث، لأن ما يدعيه هو تحريم غنائم الحرب على الأنبياء السابقين، وهو أمر إما يكذبه العقل والكتاب والتاريخ وكتاب العهدين وإما هو كذب من أساسه. كما لاحظنا أنه كَذَبَ في نسبة تلك العبارات لكتاب أحكام القرآن للجصاص، وحتى لو كان صادقًا فيما نقله لما كان في ذلك أي فائدة له! لأننا نقول إن هذا الخمس الشامل الذي يُؤْخَذ اليوم من شيعة علي المرتضى </w:t>
      </w:r>
      <w:r w:rsidR="00451CED" w:rsidRPr="00451CED">
        <w:rPr>
          <w:rFonts w:ascii="Abo-thar" w:hAnsi="Abo-thar" w:cs="CTraditional Arabic"/>
          <w:sz w:val="28"/>
          <w:rtl/>
          <w:lang w:bidi="ar-SY"/>
        </w:rPr>
        <w:t>÷</w:t>
      </w:r>
      <w:r w:rsidRPr="00495BAB">
        <w:rPr>
          <w:rFonts w:ascii="Abo-thar" w:hAnsi="Abo-thar" w:hint="cs"/>
          <w:sz w:val="28"/>
          <w:rtl/>
          <w:lang w:bidi="ar-SY"/>
        </w:rPr>
        <w:t xml:space="preserve"> لم يُشرع لا في شرائع الأنبياء السابقين ولا في الإسلام ولا وجود له في كتاب الله ولا في سيرة رسول الله ولا في عمل مسلمي صدر الإسلام، حتى ثلاث</w:t>
      </w:r>
      <w:r w:rsidR="00755AAC">
        <w:rPr>
          <w:rFonts w:ascii="Abo-thar" w:hAnsi="Abo-thar" w:hint="cs"/>
          <w:sz w:val="28"/>
          <w:rtl/>
          <w:lang w:bidi="ar-SY"/>
        </w:rPr>
        <w:t>مائة</w:t>
      </w:r>
      <w:r w:rsidRPr="00495BAB">
        <w:rPr>
          <w:rFonts w:ascii="Abo-thar" w:hAnsi="Abo-thar" w:hint="cs"/>
          <w:sz w:val="28"/>
          <w:rtl/>
          <w:lang w:bidi="ar-SY"/>
        </w:rPr>
        <w:t xml:space="preserve"> عام بعد البعثة، ثم بدأ يروج </w:t>
      </w:r>
      <w:r w:rsidRPr="00495BAB">
        <w:rPr>
          <w:rFonts w:hint="cs"/>
          <w:rtl/>
          <w:lang w:bidi="ar-SY"/>
        </w:rPr>
        <w:t xml:space="preserve">سوقه منذ القرن الرابع فما بعد ولا علاقة لذلك بما يقوله كاتب الردّ. ولقد رأينا ما ذكره من كلام لردّ ادعائنا هذا وما يقوله هنا؟ </w:t>
      </w:r>
    </w:p>
    <w:p w:rsidR="00CD31AA" w:rsidRPr="00495BAB" w:rsidRDefault="00CD31AA" w:rsidP="00495BAB">
      <w:pPr>
        <w:pStyle w:val="a0"/>
        <w:rPr>
          <w:rFonts w:hint="cs"/>
          <w:rtl/>
          <w:lang w:bidi="ar-SY"/>
        </w:rPr>
      </w:pPr>
      <w:r w:rsidRPr="00495BAB">
        <w:rPr>
          <w:rFonts w:hint="cs"/>
          <w:rtl/>
          <w:lang w:bidi="ar-SY"/>
        </w:rPr>
        <w:t>وفي الفصل الرابع من كتابه أطال الكلامَ حول الأسلوب الذي يعتمده الفقهاء لإعلان حكم من الأحكام، واستخدمَ الطرق والمصطلحات التي اخترعها هذا وذاك وبيَّنَ بالتطويل والتفصيل الممل كيفية استنباط الأحكام طبقًا للقواعد المعمول بها بين الفقهاء حسب ذوقه، وهذا أيضًا لن نتعرض له لأنه ليس له تلك العلاقة المباشرة بموضوعنا. لأن دين الإسلام منذ ألف وأربع</w:t>
      </w:r>
      <w:r w:rsidR="00755AAC">
        <w:rPr>
          <w:rFonts w:hint="cs"/>
          <w:rtl/>
          <w:lang w:bidi="ar-SY"/>
        </w:rPr>
        <w:t>مائة</w:t>
      </w:r>
      <w:r w:rsidRPr="00495BAB">
        <w:rPr>
          <w:rFonts w:hint="cs"/>
          <w:rtl/>
          <w:lang w:bidi="ar-SY"/>
        </w:rPr>
        <w:t xml:space="preserve"> عام استقر في الأرض وعمل به ربع سكان المعمورة ولا يحتاج إلى أن نقوم بحفر بئر بواسطة إبرة لأجل فهمه، ولا أن نتشبَّث لأجل فهمه بهذه الخيوط المهترئة.</w:t>
      </w:r>
    </w:p>
    <w:p w:rsidR="00CD31AA" w:rsidRPr="00495BAB" w:rsidRDefault="00CD31AA" w:rsidP="00495BAB">
      <w:pPr>
        <w:pStyle w:val="a0"/>
        <w:rPr>
          <w:rFonts w:hint="cs"/>
          <w:rtl/>
          <w:lang w:bidi="ar-SY"/>
        </w:rPr>
      </w:pPr>
      <w:r w:rsidRPr="00495BAB">
        <w:rPr>
          <w:rFonts w:hint="cs"/>
          <w:rtl/>
          <w:lang w:bidi="ar-SY"/>
        </w:rPr>
        <w:t xml:space="preserve">ثم تعرض حسب خياله لبعض النقاط واللطائف الأدبية الدقيقة في آية الغنيمة لعله يصل إلى مقصده من خلال التلاعب بالألفاظ والعبارات، وجوابنا عن كلامه هو ما قلناه. إن دين الله أوضح من أن نسعى لرؤية شمسه بواسطة هذه المصابيح الصغيرة، ولنعم ما قال الشاعر «شبستري»: </w:t>
      </w:r>
    </w:p>
    <w:p w:rsidR="00CD31AA" w:rsidRPr="00495BAB" w:rsidRDefault="00CD31AA" w:rsidP="00495BAB">
      <w:pPr>
        <w:pStyle w:val="a0"/>
        <w:rPr>
          <w:rFonts w:hint="cs"/>
          <w:rtl/>
          <w:lang w:bidi="ar-SY"/>
        </w:rPr>
      </w:pPr>
      <w:r w:rsidRPr="00495BAB">
        <w:rPr>
          <w:rFonts w:hint="cs"/>
          <w:rtl/>
          <w:lang w:bidi="ar-SY"/>
        </w:rPr>
        <w:t>زهي نادان كه او خورشيد تابان</w:t>
      </w:r>
      <w:r w:rsidRPr="00495BAB">
        <w:rPr>
          <w:rFonts w:hint="cs"/>
          <w:rtl/>
          <w:lang w:bidi="ar-SY"/>
        </w:rPr>
        <w:tab/>
      </w:r>
      <w:r w:rsidRPr="00495BAB">
        <w:rPr>
          <w:rFonts w:hint="cs"/>
          <w:rtl/>
          <w:lang w:bidi="ar-SY"/>
        </w:rPr>
        <w:tab/>
        <w:t>بنور شمع جويد در بيابان</w:t>
      </w:r>
    </w:p>
    <w:p w:rsidR="00CD31AA" w:rsidRPr="00495BAB" w:rsidRDefault="00CD31AA" w:rsidP="00495BAB">
      <w:pPr>
        <w:pStyle w:val="a0"/>
        <w:rPr>
          <w:rFonts w:hint="cs"/>
          <w:rtl/>
          <w:lang w:bidi="ar-SY"/>
        </w:rPr>
      </w:pPr>
      <w:r w:rsidRPr="00495BAB">
        <w:rPr>
          <w:rFonts w:hint="cs"/>
          <w:rtl/>
          <w:lang w:bidi="ar-SY"/>
        </w:rPr>
        <w:t>أي:</w:t>
      </w:r>
    </w:p>
    <w:p w:rsidR="00CD31AA" w:rsidRPr="00495BAB" w:rsidRDefault="00CD31AA" w:rsidP="00495BAB">
      <w:pPr>
        <w:pStyle w:val="a0"/>
        <w:rPr>
          <w:rFonts w:hint="cs"/>
          <w:rtl/>
          <w:lang w:bidi="ar-SY"/>
        </w:rPr>
      </w:pPr>
      <w:r w:rsidRPr="00495BAB">
        <w:rPr>
          <w:rFonts w:hint="cs"/>
          <w:rtl/>
          <w:lang w:bidi="ar-SY"/>
        </w:rPr>
        <w:t xml:space="preserve"> ما أجهل الذي يبحث بنور الشمعة عن الشمس المُشِعَّة في وسط الصحراء!</w:t>
      </w:r>
    </w:p>
    <w:p w:rsidR="00CD31AA" w:rsidRPr="00995B26" w:rsidRDefault="00CD31AA" w:rsidP="00495BAB">
      <w:pPr>
        <w:pStyle w:val="a0"/>
        <w:rPr>
          <w:rFonts w:hint="cs"/>
          <w:rtl/>
          <w:lang w:bidi="ar-SY"/>
        </w:rPr>
      </w:pPr>
      <w:r w:rsidRPr="00495BAB">
        <w:rPr>
          <w:rFonts w:hint="cs"/>
          <w:rtl/>
          <w:lang w:bidi="ar-SY"/>
        </w:rPr>
        <w:t>في الفصل الخامس طرح كاتب الردّ السؤال التالي: «</w:t>
      </w:r>
      <w:r w:rsidRPr="00995B26">
        <w:rPr>
          <w:rFonts w:cs="Akhbar MT" w:hint="cs"/>
          <w:szCs w:val="30"/>
          <w:rtl/>
          <w:lang w:bidi="ar-SY"/>
        </w:rPr>
        <w:t>ما معنى كلمة «الغنيمة» في لغة العرب ومصطلحاتهم؟</w:t>
      </w:r>
      <w:r w:rsidRPr="00495BAB">
        <w:rPr>
          <w:rFonts w:hint="cs"/>
          <w:rtl/>
          <w:lang w:bidi="ar-SY"/>
        </w:rPr>
        <w:t xml:space="preserve">» ثم شرع في الإجابة عن هذا السؤال مستخرجًا معنى كلمة «الغنيمة» من المعاجم والقواميس العربية، فقال: إن الأزهري قال: كذا وكذا في </w:t>
      </w:r>
      <w:r w:rsidRPr="00495BAB">
        <w:rPr>
          <w:rFonts w:hint="cs"/>
          <w:b/>
          <w:bCs/>
          <w:rtl/>
          <w:lang w:bidi="ar-SY"/>
        </w:rPr>
        <w:t>تهذيب اللغة،</w:t>
      </w:r>
      <w:r w:rsidRPr="00495BAB">
        <w:rPr>
          <w:rFonts w:hint="cs"/>
          <w:rtl/>
          <w:lang w:bidi="ar-SY"/>
        </w:rPr>
        <w:t xml:space="preserve"> وابن منظور ذكر كيت وكيت في </w:t>
      </w:r>
      <w:r w:rsidRPr="00495BAB">
        <w:rPr>
          <w:rFonts w:hint="cs"/>
          <w:b/>
          <w:bCs/>
          <w:rtl/>
          <w:lang w:bidi="ar-SY"/>
        </w:rPr>
        <w:t>لسان العرب،</w:t>
      </w:r>
      <w:r w:rsidRPr="00495BAB">
        <w:rPr>
          <w:rFonts w:hint="cs"/>
          <w:rtl/>
          <w:lang w:bidi="ar-SY"/>
        </w:rPr>
        <w:t xml:space="preserve"> وعلى هذا النحو نقل ما أورده الفيومي في </w:t>
      </w:r>
      <w:r w:rsidRPr="00495BAB">
        <w:rPr>
          <w:rFonts w:hint="cs"/>
          <w:b/>
          <w:bCs/>
          <w:rtl/>
          <w:lang w:bidi="ar-SY"/>
        </w:rPr>
        <w:t>المصباح المنير</w:t>
      </w:r>
      <w:r w:rsidRPr="00495BAB">
        <w:rPr>
          <w:rFonts w:hint="cs"/>
          <w:rtl/>
          <w:lang w:bidi="ar-SY"/>
        </w:rPr>
        <w:t xml:space="preserve"> والفيروز آبادي في </w:t>
      </w:r>
      <w:r w:rsidRPr="00495BAB">
        <w:rPr>
          <w:rFonts w:hint="cs"/>
          <w:b/>
          <w:bCs/>
          <w:rtl/>
          <w:lang w:bidi="ar-SY"/>
        </w:rPr>
        <w:t>القاموس المحيط</w:t>
      </w:r>
      <w:r w:rsidRPr="00495BAB">
        <w:rPr>
          <w:rFonts w:hint="cs"/>
          <w:rtl/>
          <w:lang w:bidi="ar-SY"/>
        </w:rPr>
        <w:t>!! ثم أورد معنى «الغنيمة» في اصطلاح المفسرين والفقهاء قائلاً إنه استفاد في هذا من رسالة السيد أستادي (صاحب أول رد على كتابنا الحاضر: الخُمس) واعتمد على ما نقله فيها (أي في كُتيِّبه الإيضاحي حول حقيقة الغنيمة)، ثم ابتدأ بعد ذلك بشرح أسامي فقهاء الشيعة ورصف لنا أسماء 362 نفرًا منهم، ونقل آراء بعضهم، وقام بضرب مثال بشأن الآية الكريمة:</w:t>
      </w:r>
      <w:r w:rsidR="000775C2" w:rsidRPr="00495BAB">
        <w:rPr>
          <w:rFonts w:hint="cs"/>
          <w:rtl/>
          <w:lang w:bidi="ar-SY"/>
        </w:rPr>
        <w:t xml:space="preserve"> </w:t>
      </w:r>
      <w:r w:rsidR="000775C2" w:rsidRPr="00995B26">
        <w:rPr>
          <w:rFonts w:cs="Traditional Arabic" w:hint="cs"/>
          <w:szCs w:val="30"/>
          <w:rtl/>
          <w:lang w:bidi="ar-SY"/>
        </w:rPr>
        <w:t>﴿</w:t>
      </w:r>
      <w:r w:rsidR="000775C2" w:rsidRPr="0067048A">
        <w:rPr>
          <w:rFonts w:ascii="KFGQPC Uthmanic Script HAFS" w:cs="KFGQPC Uthmanic Script HAFS" w:hint="eastAsia"/>
          <w:sz w:val="28"/>
          <w:szCs w:val="28"/>
          <w:rtl/>
        </w:rPr>
        <w:t>وَ</w:t>
      </w:r>
      <w:r w:rsidR="000775C2" w:rsidRPr="0067048A">
        <w:rPr>
          <w:rFonts w:ascii="KFGQPC Uthmanic Script HAFS" w:cs="KFGQPC Uthmanic Script HAFS" w:hint="cs"/>
          <w:sz w:val="28"/>
          <w:szCs w:val="28"/>
          <w:rtl/>
        </w:rPr>
        <w:t>ٱ</w:t>
      </w:r>
      <w:r w:rsidR="000775C2" w:rsidRPr="0067048A">
        <w:rPr>
          <w:rFonts w:ascii="KFGQPC Uthmanic Script HAFS" w:cs="KFGQPC Uthmanic Script HAFS" w:hint="eastAsia"/>
          <w:sz w:val="28"/>
          <w:szCs w:val="28"/>
          <w:rtl/>
        </w:rPr>
        <w:t>ع</w:t>
      </w:r>
      <w:r w:rsidR="000775C2" w:rsidRPr="0067048A">
        <w:rPr>
          <w:rFonts w:ascii="KFGQPC Uthmanic Script HAFS" w:cs="KFGQPC Uthmanic Script HAFS" w:hint="cs"/>
          <w:sz w:val="28"/>
          <w:szCs w:val="28"/>
          <w:rtl/>
        </w:rPr>
        <w:t>ۡ</w:t>
      </w:r>
      <w:r w:rsidR="000775C2" w:rsidRPr="0067048A">
        <w:rPr>
          <w:rFonts w:ascii="KFGQPC Uthmanic Script HAFS" w:cs="KFGQPC Uthmanic Script HAFS" w:hint="eastAsia"/>
          <w:sz w:val="28"/>
          <w:szCs w:val="28"/>
          <w:rtl/>
        </w:rPr>
        <w:t>لَمُو</w:t>
      </w:r>
      <w:r w:rsidR="000775C2" w:rsidRPr="0067048A">
        <w:rPr>
          <w:rFonts w:ascii="KFGQPC Uthmanic Script HAFS" w:cs="KFGQPC Uthmanic Script HAFS" w:hint="cs"/>
          <w:sz w:val="28"/>
          <w:szCs w:val="28"/>
          <w:rtl/>
        </w:rPr>
        <w:t>ٓ</w:t>
      </w:r>
      <w:r w:rsidR="000775C2" w:rsidRPr="0067048A">
        <w:rPr>
          <w:rFonts w:ascii="KFGQPC Uthmanic Script HAFS" w:cs="KFGQPC Uthmanic Script HAFS" w:hint="eastAsia"/>
          <w:sz w:val="28"/>
          <w:szCs w:val="28"/>
          <w:rtl/>
        </w:rPr>
        <w:t>اْ</w:t>
      </w:r>
      <w:r w:rsidR="000775C2" w:rsidRPr="0067048A">
        <w:rPr>
          <w:rFonts w:ascii="KFGQPC Uthmanic Script HAFS" w:cs="KFGQPC Uthmanic Script HAFS"/>
          <w:sz w:val="28"/>
          <w:szCs w:val="28"/>
          <w:rtl/>
        </w:rPr>
        <w:t xml:space="preserve"> </w:t>
      </w:r>
      <w:r w:rsidR="000775C2" w:rsidRPr="0067048A">
        <w:rPr>
          <w:rFonts w:ascii="KFGQPC Uthmanic Script HAFS" w:cs="KFGQPC Uthmanic Script HAFS" w:hint="eastAsia"/>
          <w:sz w:val="28"/>
          <w:szCs w:val="28"/>
          <w:rtl/>
        </w:rPr>
        <w:t>أَنَّمَا</w:t>
      </w:r>
      <w:r w:rsidR="000775C2" w:rsidRPr="0067048A">
        <w:rPr>
          <w:rFonts w:ascii="KFGQPC Uthmanic Script HAFS" w:cs="KFGQPC Uthmanic Script HAFS"/>
          <w:sz w:val="28"/>
          <w:szCs w:val="28"/>
          <w:rtl/>
        </w:rPr>
        <w:t xml:space="preserve"> </w:t>
      </w:r>
      <w:r w:rsidR="000775C2" w:rsidRPr="0067048A">
        <w:rPr>
          <w:rFonts w:ascii="KFGQPC Uthmanic Script HAFS" w:cs="KFGQPC Uthmanic Script HAFS" w:hint="eastAsia"/>
          <w:sz w:val="28"/>
          <w:szCs w:val="28"/>
          <w:rtl/>
        </w:rPr>
        <w:t>غَنِم</w:t>
      </w:r>
      <w:r w:rsidR="000775C2" w:rsidRPr="0067048A">
        <w:rPr>
          <w:rFonts w:ascii="KFGQPC Uthmanic Script HAFS" w:cs="KFGQPC Uthmanic Script HAFS" w:hint="cs"/>
          <w:sz w:val="28"/>
          <w:szCs w:val="28"/>
          <w:rtl/>
        </w:rPr>
        <w:t>ۡ</w:t>
      </w:r>
      <w:r w:rsidR="000775C2" w:rsidRPr="0067048A">
        <w:rPr>
          <w:rFonts w:ascii="KFGQPC Uthmanic Script HAFS" w:cs="KFGQPC Uthmanic Script HAFS" w:hint="eastAsia"/>
          <w:sz w:val="28"/>
          <w:szCs w:val="28"/>
          <w:rtl/>
        </w:rPr>
        <w:t>تُم</w:t>
      </w:r>
      <w:r w:rsidR="000775C2" w:rsidRPr="00995B26">
        <w:rPr>
          <w:rFonts w:ascii="KFGQPC Uthmanic Script HAFS" w:cs="Times New Roman" w:hint="cs"/>
          <w:sz w:val="28"/>
          <w:rtl/>
        </w:rPr>
        <w:t>...</w:t>
      </w:r>
      <w:r w:rsidR="000775C2" w:rsidRPr="00995B26">
        <w:rPr>
          <w:rFonts w:cs="Traditional Arabic" w:hint="cs"/>
          <w:szCs w:val="30"/>
          <w:rtl/>
          <w:lang w:bidi="ar-SY"/>
        </w:rPr>
        <w:t>﴾</w:t>
      </w:r>
      <w:r w:rsidRPr="00495BAB">
        <w:rPr>
          <w:rFonts w:hint="cs"/>
          <w:rtl/>
          <w:lang w:bidi="ar-SY"/>
        </w:rPr>
        <w:t xml:space="preserve"> </w:t>
      </w:r>
      <w:r w:rsidRPr="009E1401">
        <w:rPr>
          <w:rStyle w:val="Char2"/>
          <w:rtl/>
        </w:rPr>
        <w:t>[الأنفال</w:t>
      </w:r>
      <w:r w:rsidR="000775C2" w:rsidRPr="009E1401">
        <w:rPr>
          <w:rStyle w:val="Char2"/>
          <w:rFonts w:hint="cs"/>
          <w:rtl/>
        </w:rPr>
        <w:t xml:space="preserve">: </w:t>
      </w:r>
      <w:r w:rsidRPr="009E1401">
        <w:rPr>
          <w:rStyle w:val="Char2"/>
          <w:rtl/>
        </w:rPr>
        <w:t>41]</w:t>
      </w:r>
      <w:r w:rsidRPr="00495BAB">
        <w:rPr>
          <w:rFonts w:hint="cs"/>
          <w:rtl/>
          <w:lang w:bidi="ar-SY"/>
        </w:rPr>
        <w:t xml:space="preserve"> التي نزلت في وسط آيات الجهاد، فشبهها بآية:</w:t>
      </w:r>
      <w:r w:rsidR="000775C2" w:rsidRPr="00495BAB">
        <w:rPr>
          <w:rFonts w:hint="cs"/>
          <w:rtl/>
          <w:lang w:bidi="ar-SY"/>
        </w:rPr>
        <w:t xml:space="preserve"> </w:t>
      </w:r>
      <w:r w:rsidR="000775C2" w:rsidRPr="00995B26">
        <w:rPr>
          <w:rFonts w:cs="Traditional Arabic" w:hint="cs"/>
          <w:szCs w:val="30"/>
          <w:rtl/>
        </w:rPr>
        <w:t>﴿</w:t>
      </w:r>
      <w:r w:rsidR="000775C2" w:rsidRPr="0067048A">
        <w:rPr>
          <w:rFonts w:ascii="KFGQPC Uthmanic Script HAFS" w:cs="KFGQPC Uthmanic Script HAFS" w:hint="eastAsia"/>
          <w:sz w:val="28"/>
          <w:szCs w:val="28"/>
          <w:rtl/>
        </w:rPr>
        <w:t>وَيُنَزِّلُ</w:t>
      </w:r>
      <w:r w:rsidR="000775C2" w:rsidRPr="0067048A">
        <w:rPr>
          <w:rFonts w:ascii="KFGQPC Uthmanic Script HAFS" w:cs="KFGQPC Uthmanic Script HAFS"/>
          <w:sz w:val="28"/>
          <w:szCs w:val="28"/>
          <w:rtl/>
        </w:rPr>
        <w:t xml:space="preserve"> </w:t>
      </w:r>
      <w:r w:rsidR="000775C2" w:rsidRPr="0067048A">
        <w:rPr>
          <w:rFonts w:ascii="KFGQPC Uthmanic Script HAFS" w:cs="KFGQPC Uthmanic Script HAFS" w:hint="eastAsia"/>
          <w:sz w:val="28"/>
          <w:szCs w:val="28"/>
          <w:rtl/>
        </w:rPr>
        <w:t>عَلَي</w:t>
      </w:r>
      <w:r w:rsidR="000775C2" w:rsidRPr="0067048A">
        <w:rPr>
          <w:rFonts w:ascii="KFGQPC Uthmanic Script HAFS" w:cs="KFGQPC Uthmanic Script HAFS" w:hint="cs"/>
          <w:sz w:val="28"/>
          <w:szCs w:val="28"/>
          <w:rtl/>
        </w:rPr>
        <w:t>ۡ</w:t>
      </w:r>
      <w:r w:rsidR="000775C2" w:rsidRPr="0067048A">
        <w:rPr>
          <w:rFonts w:ascii="KFGQPC Uthmanic Script HAFS" w:cs="KFGQPC Uthmanic Script HAFS" w:hint="eastAsia"/>
          <w:sz w:val="28"/>
          <w:szCs w:val="28"/>
          <w:rtl/>
        </w:rPr>
        <w:t>كُم</w:t>
      </w:r>
      <w:r w:rsidR="000775C2" w:rsidRPr="0067048A">
        <w:rPr>
          <w:rFonts w:ascii="KFGQPC Uthmanic Script HAFS" w:cs="KFGQPC Uthmanic Script HAFS"/>
          <w:sz w:val="28"/>
          <w:szCs w:val="28"/>
          <w:rtl/>
        </w:rPr>
        <w:t xml:space="preserve"> </w:t>
      </w:r>
      <w:r w:rsidR="000775C2" w:rsidRPr="0067048A">
        <w:rPr>
          <w:rFonts w:ascii="KFGQPC Uthmanic Script HAFS" w:cs="KFGQPC Uthmanic Script HAFS" w:hint="eastAsia"/>
          <w:sz w:val="28"/>
          <w:szCs w:val="28"/>
          <w:rtl/>
        </w:rPr>
        <w:t>مِّنَ</w:t>
      </w:r>
      <w:r w:rsidR="000775C2" w:rsidRPr="0067048A">
        <w:rPr>
          <w:rFonts w:ascii="KFGQPC Uthmanic Script HAFS" w:cs="KFGQPC Uthmanic Script HAFS"/>
          <w:sz w:val="28"/>
          <w:szCs w:val="28"/>
          <w:rtl/>
        </w:rPr>
        <w:t xml:space="preserve"> </w:t>
      </w:r>
      <w:r w:rsidR="000775C2" w:rsidRPr="0067048A">
        <w:rPr>
          <w:rFonts w:ascii="KFGQPC Uthmanic Script HAFS" w:cs="KFGQPC Uthmanic Script HAFS" w:hint="cs"/>
          <w:sz w:val="28"/>
          <w:szCs w:val="28"/>
          <w:rtl/>
        </w:rPr>
        <w:t>ٱ</w:t>
      </w:r>
      <w:r w:rsidR="000775C2" w:rsidRPr="0067048A">
        <w:rPr>
          <w:rFonts w:ascii="KFGQPC Uthmanic Script HAFS" w:cs="KFGQPC Uthmanic Script HAFS" w:hint="eastAsia"/>
          <w:sz w:val="28"/>
          <w:szCs w:val="28"/>
          <w:rtl/>
        </w:rPr>
        <w:t>لسَّمَا</w:t>
      </w:r>
      <w:r w:rsidR="000775C2" w:rsidRPr="0067048A">
        <w:rPr>
          <w:rFonts w:ascii="KFGQPC Uthmanic Script HAFS" w:cs="KFGQPC Uthmanic Script HAFS" w:hint="cs"/>
          <w:sz w:val="28"/>
          <w:szCs w:val="28"/>
          <w:rtl/>
        </w:rPr>
        <w:t>ٓ</w:t>
      </w:r>
      <w:r w:rsidR="000775C2" w:rsidRPr="0067048A">
        <w:rPr>
          <w:rFonts w:ascii="KFGQPC Uthmanic Script HAFS" w:cs="KFGQPC Uthmanic Script HAFS" w:hint="eastAsia"/>
          <w:sz w:val="28"/>
          <w:szCs w:val="28"/>
          <w:rtl/>
        </w:rPr>
        <w:t>ءِ</w:t>
      </w:r>
      <w:r w:rsidR="000775C2" w:rsidRPr="0067048A">
        <w:rPr>
          <w:rFonts w:ascii="KFGQPC Uthmanic Script HAFS" w:cs="KFGQPC Uthmanic Script HAFS"/>
          <w:sz w:val="28"/>
          <w:szCs w:val="28"/>
          <w:rtl/>
        </w:rPr>
        <w:t xml:space="preserve"> </w:t>
      </w:r>
      <w:r w:rsidR="000775C2" w:rsidRPr="0067048A">
        <w:rPr>
          <w:rFonts w:ascii="KFGQPC Uthmanic Script HAFS" w:cs="KFGQPC Uthmanic Script HAFS" w:hint="eastAsia"/>
          <w:sz w:val="28"/>
          <w:szCs w:val="28"/>
          <w:rtl/>
        </w:rPr>
        <w:t>مَا</w:t>
      </w:r>
      <w:r w:rsidR="000775C2" w:rsidRPr="0067048A">
        <w:rPr>
          <w:rFonts w:ascii="KFGQPC Uthmanic Script HAFS" w:cs="KFGQPC Uthmanic Script HAFS" w:hint="cs"/>
          <w:sz w:val="28"/>
          <w:szCs w:val="28"/>
          <w:rtl/>
        </w:rPr>
        <w:t>ٓ</w:t>
      </w:r>
      <w:r w:rsidR="000775C2" w:rsidRPr="0067048A">
        <w:rPr>
          <w:rFonts w:ascii="KFGQPC Uthmanic Script HAFS" w:cs="KFGQPC Uthmanic Script HAFS" w:hint="eastAsia"/>
          <w:sz w:val="28"/>
          <w:szCs w:val="28"/>
          <w:rtl/>
        </w:rPr>
        <w:t>ء</w:t>
      </w:r>
      <w:r w:rsidR="000775C2" w:rsidRPr="0067048A">
        <w:rPr>
          <w:rFonts w:ascii="KFGQPC Uthmanic Script HAFS" w:cs="KFGQPC Uthmanic Script HAFS" w:hint="cs"/>
          <w:sz w:val="28"/>
          <w:szCs w:val="28"/>
          <w:rtl/>
        </w:rPr>
        <w:t>ٗ</w:t>
      </w:r>
      <w:r w:rsidR="000775C2" w:rsidRPr="0067048A">
        <w:rPr>
          <w:rFonts w:ascii="KFGQPC Uthmanic Script HAFS" w:cs="KFGQPC Uthmanic Script HAFS"/>
          <w:sz w:val="28"/>
          <w:szCs w:val="28"/>
          <w:rtl/>
        </w:rPr>
        <w:t xml:space="preserve"> </w:t>
      </w:r>
      <w:r w:rsidR="000775C2" w:rsidRPr="0067048A">
        <w:rPr>
          <w:rFonts w:ascii="KFGQPC Uthmanic Script HAFS" w:cs="KFGQPC Uthmanic Script HAFS" w:hint="eastAsia"/>
          <w:sz w:val="28"/>
          <w:szCs w:val="28"/>
          <w:rtl/>
        </w:rPr>
        <w:t>لِّيُطَهِّرَكُم</w:t>
      </w:r>
      <w:r w:rsidR="000775C2" w:rsidRPr="00995B26">
        <w:rPr>
          <w:rFonts w:cs="Traditional Arabic" w:hint="cs"/>
          <w:szCs w:val="30"/>
          <w:rtl/>
        </w:rPr>
        <w:t>﴾</w:t>
      </w:r>
      <w:r w:rsidRPr="00495BAB">
        <w:rPr>
          <w:rFonts w:hint="cs"/>
          <w:rtl/>
        </w:rPr>
        <w:t xml:space="preserve"> </w:t>
      </w:r>
      <w:r w:rsidRPr="009E1401">
        <w:rPr>
          <w:rStyle w:val="Char2"/>
          <w:rtl/>
        </w:rPr>
        <w:t>[الأنفال</w:t>
      </w:r>
      <w:r w:rsidR="000775C2" w:rsidRPr="009E1401">
        <w:rPr>
          <w:rStyle w:val="Char2"/>
          <w:rFonts w:hint="cs"/>
          <w:rtl/>
        </w:rPr>
        <w:t xml:space="preserve">: </w:t>
      </w:r>
      <w:r w:rsidRPr="009E1401">
        <w:rPr>
          <w:rStyle w:val="Char2"/>
          <w:rtl/>
        </w:rPr>
        <w:t>11]</w:t>
      </w:r>
      <w:r w:rsidRPr="00495BAB">
        <w:rPr>
          <w:rFonts w:hint="cs"/>
          <w:rtl/>
        </w:rPr>
        <w:t xml:space="preserve"> هروبًا من الحقيقة، وكذلك موضوع صلاة السفر، قائلاً: لما جاءت هذه الآيات (أي آيتا الطهارة وصلاة السفر) ضمن آيات الجهاد، فمن الممكن أن ينزل حكم الخُمس أيضًا ضمن آيات الجهاد! وأراد بمثل هذه الحيل والخِدَع الكلامية، التي يبرع فيها أمثال هؤلاء الأشخاص، أن يصل إلى مقصده. ولكننا أجبنا عن جميع هذه الحيل والخِدَع الكلامية والتصورات والأوهام في الكتاب الحاضر وفي رسائلنا الأربعة الأخرى (التي كتبناها في الدفاع عن كتابنا الحالي والإجابة عمَّن ردُّوا عليه) فلا داعي للإطالة في تكرار ما ذكرناه، ومع ذلك لعلنا نشير إلى هذا الموضوع في آخر هذا الردّ. هنا نُذَكِّر فقط بأنه مهما كان المعنى الذي ذكره اللغويون لكلمة «الغنيمة» أو سيذكرونه لاحقًا، فإننا في الردّ على هذا التلاعب والخِداع نسأل سؤالًا واحدًا: هل مجرّد ذكر علماء اللغة - الذين وُجِدوا جميعًا بعد ثلاث</w:t>
      </w:r>
      <w:r w:rsidR="00755AAC">
        <w:rPr>
          <w:rFonts w:hint="cs"/>
          <w:rtl/>
        </w:rPr>
        <w:t>مائة</w:t>
      </w:r>
      <w:r w:rsidRPr="00495BAB">
        <w:rPr>
          <w:rFonts w:hint="cs"/>
          <w:rtl/>
        </w:rPr>
        <w:t xml:space="preserve"> أو أربع</w:t>
      </w:r>
      <w:r w:rsidR="00755AAC">
        <w:rPr>
          <w:rFonts w:hint="cs"/>
          <w:rtl/>
        </w:rPr>
        <w:t>مائة</w:t>
      </w:r>
      <w:r w:rsidRPr="00495BAB">
        <w:rPr>
          <w:rFonts w:hint="cs"/>
          <w:rtl/>
        </w:rPr>
        <w:t xml:space="preserve"> سنة من نزول القرآن - لعدد من المعاني لكلمة الغنيمة يوجب علينا أن نغض النظر عن آيات أحكام القرآن التي نزلت في زمن رسول الله </w:t>
      </w:r>
      <w:r w:rsidRPr="00495BAB">
        <w:rPr>
          <w:rFonts w:ascii="Abo-thar" w:hAnsi="Abo-thar"/>
          <w:sz w:val="28"/>
          <w:lang w:bidi="fa-IR"/>
        </w:rPr>
        <w:t></w:t>
      </w:r>
      <w:r w:rsidRPr="00495BAB">
        <w:rPr>
          <w:rFonts w:hint="cs"/>
          <w:rtl/>
        </w:rPr>
        <w:t xml:space="preserve"> وفي وسط أكثر من مليون مسلم وعملوا بها ومن جملتها حكم الغنيمة، ونضرب صفحًا عن كل ذلك المعنى الذي فهمه رسول الله </w:t>
      </w:r>
      <w:r w:rsidRPr="00495BAB">
        <w:rPr>
          <w:rFonts w:ascii="Abo-thar" w:hAnsi="Abo-thar"/>
          <w:sz w:val="28"/>
          <w:lang w:bidi="fa-IR"/>
        </w:rPr>
        <w:t></w:t>
      </w:r>
      <w:r w:rsidRPr="00495BAB">
        <w:rPr>
          <w:rFonts w:hint="cs"/>
          <w:rtl/>
        </w:rPr>
        <w:t xml:space="preserve"> وعامَّة المسلمين وعملوا به بشأن هذا الحُكْم، ونرى فقط ما قاله كتاب </w:t>
      </w:r>
      <w:r w:rsidRPr="00495BAB">
        <w:rPr>
          <w:rFonts w:hint="cs"/>
          <w:b/>
          <w:bCs/>
          <w:rtl/>
        </w:rPr>
        <w:t>منتهى الأرب</w:t>
      </w:r>
      <w:r w:rsidRPr="00495BAB">
        <w:rPr>
          <w:rFonts w:hint="cs"/>
          <w:rtl/>
        </w:rPr>
        <w:t xml:space="preserve">، وما جاء في كتاب </w:t>
      </w:r>
      <w:r w:rsidRPr="00495BAB">
        <w:rPr>
          <w:rFonts w:hint="cs"/>
          <w:b/>
          <w:bCs/>
          <w:rtl/>
        </w:rPr>
        <w:t>أقرب الموارد</w:t>
      </w:r>
      <w:r w:rsidRPr="00495BAB">
        <w:rPr>
          <w:rFonts w:hint="cs"/>
          <w:rtl/>
        </w:rPr>
        <w:t xml:space="preserve"> والمعنى الذي ذكره </w:t>
      </w:r>
      <w:r w:rsidRPr="00495BAB">
        <w:rPr>
          <w:rFonts w:hint="cs"/>
          <w:b/>
          <w:bCs/>
          <w:rtl/>
        </w:rPr>
        <w:t>المنجد</w:t>
      </w:r>
      <w:r w:rsidRPr="00495BAB">
        <w:rPr>
          <w:rFonts w:hint="cs"/>
          <w:rtl/>
        </w:rPr>
        <w:t xml:space="preserve">؟! أو نرى كيف فسر الشيخ الحر العاملي أو الشيخ يوسف البحراني أو السيد البروجردي أو السيد الشيخ محمد الديزفولي كلمة «الغنيمة»؟! هل كان فَهْم القرآن موقوفًا على مجيء هؤلاء المشايخ ورأيهم؟! ألا يحق لكل مسلم أن يرجع في فهم هذه الآية ومعنى هذه الكلمة إلى قول رسول الله </w:t>
      </w:r>
      <w:r w:rsidRPr="00495BAB">
        <w:rPr>
          <w:rFonts w:ascii="Abo-thar" w:hAnsi="Abo-thar"/>
          <w:sz w:val="28"/>
          <w:lang w:bidi="fa-IR"/>
        </w:rPr>
        <w:t></w:t>
      </w:r>
      <w:r w:rsidRPr="00495BAB">
        <w:rPr>
          <w:rFonts w:hint="cs"/>
          <w:rtl/>
        </w:rPr>
        <w:t xml:space="preserve"> وعمله، وعمل صحابته الكرام وعامة مسلمي الصدر الأول، إلا من خلال نافذة آية الله الفلاني المتوفى سنة 1380هـ أو سنة 1396هـ وأمثالهما؟ لعل هذا الأمر في دنيا صاحب الردّ يبدو له منطقيًّا، ولكن في رأينا وفهمنا، مثل هذا التعطيل والتوقف والتقليد يُعتبر عملًا أحمقًا ونحن مسؤولون عن عقلنا و فهمنا ومؤاخذون به يوم القيامة، وأنتم أدرى بكلامكم وتتحملون مسؤوليته.</w:t>
      </w:r>
    </w:p>
    <w:p w:rsidR="00CD31AA" w:rsidRPr="00495BAB" w:rsidRDefault="00CD31AA" w:rsidP="00495BAB">
      <w:pPr>
        <w:pStyle w:val="a0"/>
        <w:rPr>
          <w:rFonts w:hint="cs"/>
          <w:rtl/>
          <w:lang w:bidi="ar-SY"/>
        </w:rPr>
      </w:pPr>
      <w:r w:rsidRPr="00495BAB">
        <w:rPr>
          <w:rFonts w:hint="cs"/>
          <w:rtl/>
          <w:lang w:bidi="ar-SY"/>
        </w:rPr>
        <w:t xml:space="preserve">لقد تشبثتم - يا كاتب الرد - كما تشبث كاتب ردٍّ آخر بأن وضع الضرائب وأخذها والذي كان يشمل أخذ خمس كل ما على الأرض من ثروات وأموال، أمرٌ ضروريٌ لإيجاد الحكومة الإسلامية وتقويتها. هذا في حين أن أحدًا من القائلين بوجوب هذا الخمس في السابق لم يتشبَّث بمثل هذه الحجة ولم يقل مثل هذا الكلام أبدًا، وهذا من إنجازات هذا العصر والزمان الذي أصبح الناس فيه يخترعون فلسفةً وحكمةً لتبرير كل عمل بدعي. وحتى لو تمَّ التمسُّك بمثل هذا التبرير فإننا نقول: أولاً: إن وضع الخمس الحالي وعمل العاملين به لا يشهد بوجود مثل هذا الهدف والمقصد من أخذه. وثانيًا: لو احتاجت الحكومة الإسلامية العادلة إلى مالٍ، فبالإضافة إلى ما تحت تصرفها من أموال عامة في البلدان الإسلامية (أموال الأنفال والخراج والزكاة والصدقات)، يمكنها - إن لم تكفها تلك الأموال - أن تأخذ أموال المسلمين جميعًا، سوى ما يستر عوراتهم، بشرط مراعاة العدل التام في الأخذ في البدءِ من أموال الأغنياء إلى الحد الذي يصبح فيه المسلمون جميعهم في مستوى واحد من القدرة والثروة، وقد شرحنا هذا الموضوع في كتابنا </w:t>
      </w:r>
      <w:r w:rsidRPr="00495BAB">
        <w:rPr>
          <w:rFonts w:hint="cs"/>
          <w:b/>
          <w:bCs/>
          <w:rtl/>
          <w:lang w:bidi="ar-SY"/>
        </w:rPr>
        <w:t>الزكاة</w:t>
      </w:r>
      <w:r w:rsidRPr="00495BAB">
        <w:rPr>
          <w:rFonts w:hint="cs"/>
          <w:rtl/>
          <w:lang w:bidi="ar-SY"/>
        </w:rPr>
        <w:t xml:space="preserve">، ص 460 فما بعد، فلا حاجة إذًا إلى هذه الاختراعات التي تبتدعونها والتفلسف الذي لا دليل عليه. </w:t>
      </w:r>
    </w:p>
    <w:p w:rsidR="00CD31AA" w:rsidRPr="00995B26" w:rsidRDefault="00CD31AA" w:rsidP="00C3556F">
      <w:pPr>
        <w:pStyle w:val="a6"/>
        <w:rPr>
          <w:rFonts w:hint="cs"/>
          <w:rtl/>
        </w:rPr>
      </w:pPr>
      <w:bookmarkStart w:id="201" w:name="_Toc387843127"/>
      <w:r w:rsidRPr="00995B26">
        <w:rPr>
          <w:rFonts w:hint="cs"/>
          <w:rtl/>
        </w:rPr>
        <w:t>حول كلمة «الغنيمة»</w:t>
      </w:r>
      <w:bookmarkEnd w:id="201"/>
      <w:r w:rsidRPr="00995B26">
        <w:rPr>
          <w:rFonts w:hint="cs"/>
          <w:rtl/>
        </w:rPr>
        <w:t xml:space="preserve"> </w:t>
      </w:r>
    </w:p>
    <w:p w:rsidR="00CD31AA" w:rsidRPr="00495BAB" w:rsidRDefault="00CD31AA" w:rsidP="00495BAB">
      <w:pPr>
        <w:pStyle w:val="a0"/>
        <w:rPr>
          <w:rFonts w:hint="cs"/>
          <w:rtl/>
          <w:lang w:bidi="ar-SY"/>
        </w:rPr>
      </w:pPr>
      <w:r w:rsidRPr="00495BAB">
        <w:rPr>
          <w:rFonts w:hint="cs"/>
          <w:rtl/>
          <w:lang w:bidi="ar-SY"/>
        </w:rPr>
        <w:t xml:space="preserve">أما ما ذكره كاتب الردّ حول معنى كلمة «الغنيمة» فهو - لسوء الحظ أو لحسن الحظ! - في غير صالحه تمامًا. لأن ما نقله عن كتاب </w:t>
      </w:r>
      <w:r w:rsidRPr="00495BAB">
        <w:rPr>
          <w:rFonts w:hint="cs"/>
          <w:b/>
          <w:bCs/>
          <w:rtl/>
          <w:lang w:bidi="ar-SY"/>
        </w:rPr>
        <w:t>منتهى الأرب</w:t>
      </w:r>
      <w:r w:rsidRPr="00495BAB">
        <w:rPr>
          <w:rFonts w:hint="cs"/>
          <w:rtl/>
          <w:lang w:bidi="ar-SY"/>
        </w:rPr>
        <w:t xml:space="preserve"> هو أن</w:t>
      </w:r>
      <w:r w:rsidR="00AB28A0" w:rsidRPr="00495BAB">
        <w:rPr>
          <w:rFonts w:hint="cs"/>
          <w:rtl/>
          <w:lang w:bidi="ar-SY"/>
        </w:rPr>
        <w:t>:</w:t>
      </w:r>
      <w:r w:rsidRPr="00495BAB">
        <w:rPr>
          <w:rFonts w:hint="cs"/>
          <w:rtl/>
          <w:lang w:bidi="ar-SY"/>
        </w:rPr>
        <w:t xml:space="preserve"> الغنم بالضم الغنيمة، والفوز بالشيء بلا مشقة، أو الغُنم هو الحصول على الشيء دون جهد ومشقة، وقِيل في الغنيمة وغيرها. والغنيمة: المال الذي يحصل عليه المسلمون من حربهم للكفار، والفوز بمال دون جهد ومشقة، أو مال الكفار الحربي.</w:t>
      </w:r>
    </w:p>
    <w:p w:rsidR="00CD31AA" w:rsidRPr="00495BAB" w:rsidRDefault="00CD31AA" w:rsidP="00495BAB">
      <w:pPr>
        <w:pStyle w:val="a0"/>
        <w:rPr>
          <w:rFonts w:hint="cs"/>
          <w:rtl/>
          <w:lang w:bidi="ar-SY"/>
        </w:rPr>
      </w:pPr>
      <w:r w:rsidRPr="00495BAB">
        <w:rPr>
          <w:rFonts w:hint="cs"/>
          <w:rtl/>
          <w:lang w:bidi="ar-SY"/>
        </w:rPr>
        <w:t xml:space="preserve">أما </w:t>
      </w:r>
      <w:r w:rsidRPr="00495BAB">
        <w:rPr>
          <w:rFonts w:hint="cs"/>
          <w:b/>
          <w:bCs/>
          <w:rtl/>
          <w:lang w:bidi="ar-SY"/>
        </w:rPr>
        <w:t>أقرب الموارد</w:t>
      </w:r>
      <w:r w:rsidRPr="00495BAB">
        <w:rPr>
          <w:rFonts w:hint="cs"/>
          <w:rtl/>
          <w:lang w:bidi="ar-SY"/>
        </w:rPr>
        <w:t xml:space="preserve"> فقال: الغنيمة ما يُؤخَذ من المحاربين عنوةً والحرب قائمةٌ.</w:t>
      </w:r>
    </w:p>
    <w:p w:rsidR="00CD31AA" w:rsidRPr="00495BAB" w:rsidRDefault="00CD31AA" w:rsidP="00495BAB">
      <w:pPr>
        <w:pStyle w:val="a0"/>
        <w:rPr>
          <w:rtl/>
          <w:lang w:bidi="ar-SY"/>
        </w:rPr>
      </w:pPr>
      <w:r w:rsidRPr="00495BAB">
        <w:rPr>
          <w:rFonts w:hint="cs"/>
          <w:rtl/>
          <w:lang w:bidi="ar-SY"/>
        </w:rPr>
        <w:t xml:space="preserve">وفي </w:t>
      </w:r>
      <w:r w:rsidRPr="00495BAB">
        <w:rPr>
          <w:rFonts w:hint="cs"/>
          <w:b/>
          <w:bCs/>
          <w:rtl/>
          <w:lang w:bidi="ar-SY"/>
        </w:rPr>
        <w:t>المنجد</w:t>
      </w:r>
      <w:r w:rsidRPr="00495BAB">
        <w:rPr>
          <w:rFonts w:hint="cs"/>
          <w:rtl/>
          <w:lang w:bidi="ar-SY"/>
        </w:rPr>
        <w:t xml:space="preserve">: غَنِمَ الشيءَ فازَ به، ناله بلا بدل. وفي </w:t>
      </w:r>
      <w:r w:rsidRPr="00495BAB">
        <w:rPr>
          <w:rFonts w:hint="cs"/>
          <w:b/>
          <w:bCs/>
          <w:rtl/>
          <w:lang w:bidi="ar-SY"/>
        </w:rPr>
        <w:t>القاموس</w:t>
      </w:r>
      <w:r w:rsidRPr="00495BAB">
        <w:rPr>
          <w:rFonts w:hint="cs"/>
          <w:rtl/>
          <w:lang w:bidi="ar-SY"/>
        </w:rPr>
        <w:t xml:space="preserve">: الفوز بالشيء بلا مشقَّة؛ وهكذا في سائر كتب اللغة. </w:t>
      </w:r>
    </w:p>
    <w:p w:rsidR="00CD31AA" w:rsidRPr="00495BAB" w:rsidRDefault="00CD31AA" w:rsidP="00495BAB">
      <w:pPr>
        <w:pStyle w:val="a0"/>
        <w:rPr>
          <w:rFonts w:hint="cs"/>
          <w:rtl/>
          <w:lang w:bidi="ar-SY"/>
        </w:rPr>
      </w:pPr>
      <w:r w:rsidRPr="00495BAB">
        <w:rPr>
          <w:rFonts w:hint="cs"/>
          <w:rtl/>
        </w:rPr>
        <w:t xml:space="preserve">نعم، ربما كان كاتب الردّ يبحث عن شيء يفيد بأن كلمة «الغنيمة» في اللغة لم تُستَخدم فقط في معنى غنائم الحرب بل لها معان أخرى منها: (الفوز بالشيء بلا بدل، أو الفوز بالشيء بلا مشقَّة) وأمثال هذه المعاني، لعله يستطيع من هذه المعاني المختلفة أن يجد مجالًا لتوسيع معنى الغنيمة وجعله يشمل أمورًا غير الغنائم الحربية ليستخرج منه وجوب دفع ذلك الخمس الشامل منها؟! لكن على كل حال لن يكون هذا الأمر وافيًا بمطلوبه، لأنه أيًّا كان معنى كلمة الغنيمة، فلن يكون موافقًا لخُمس أجرة الحمَّال والعامل والعاملة بغسل الملابس والحطّاب الذي يجمع الحطب ويقطعه، أي الخُمس الذي يؤخذ اليوم من عامَّة الشيعة!! هذا في حين أن فهم معاني أحكام الله التي ضمن القرآنُ الكريمُ بيانَهَا، والتي بينتها سيرةُ النبيِّ الأكرم </w:t>
      </w:r>
      <w:r w:rsidRPr="00495BAB">
        <w:rPr>
          <w:rFonts w:ascii="Abo-thar" w:hAnsi="Abo-thar"/>
          <w:sz w:val="28"/>
          <w:lang w:bidi="fa-IR"/>
        </w:rPr>
        <w:t></w:t>
      </w:r>
      <w:r w:rsidRPr="00495BAB">
        <w:rPr>
          <w:rFonts w:hint="cs"/>
          <w:rtl/>
        </w:rPr>
        <w:t xml:space="preserve"> العَمَلية، وحفظها لنا عامَّةُ المسلمين منذ اليوم الأول لنزول هذه الآيات، لا يُبْقِي مجالًا لهذه الصولات والجولات.</w:t>
      </w:r>
    </w:p>
    <w:p w:rsidR="00CD31AA" w:rsidRPr="00495BAB" w:rsidRDefault="00CD31AA" w:rsidP="00495BAB">
      <w:pPr>
        <w:pStyle w:val="a0"/>
        <w:rPr>
          <w:rFonts w:hint="cs"/>
          <w:rtl/>
          <w:lang w:bidi="ar-SY"/>
        </w:rPr>
      </w:pPr>
      <w:r w:rsidRPr="00495BAB">
        <w:rPr>
          <w:rFonts w:hint="cs"/>
          <w:rtl/>
          <w:lang w:bidi="ar-SY"/>
        </w:rPr>
        <w:t>لو أردنا أن نستنبط الأحكام من آيات القرآن بالاعتماد - فقط - على كتب اللغة والمعاجم التي ألفها العرب وغير العرب والمسلمون وغير المسلمين بعد مئات السنين من ظهور الإسلام، فلن نصل إلى مقصدنا على الإطلاق. مثلًا كلمة «</w:t>
      </w:r>
      <w:r w:rsidRPr="00495BAB">
        <w:rPr>
          <w:rFonts w:hint="cs"/>
          <w:b/>
          <w:bCs/>
          <w:rtl/>
          <w:lang w:bidi="ar-SY"/>
        </w:rPr>
        <w:t>الصلاة</w:t>
      </w:r>
      <w:r w:rsidRPr="00495BAB">
        <w:rPr>
          <w:rFonts w:hint="cs"/>
          <w:rtl/>
          <w:lang w:bidi="ar-SY"/>
        </w:rPr>
        <w:t xml:space="preserve">» فُسِّر معناها في كتب اللغة مثل </w:t>
      </w:r>
      <w:r w:rsidRPr="00495BAB">
        <w:rPr>
          <w:rFonts w:hint="cs"/>
          <w:b/>
          <w:bCs/>
          <w:rtl/>
          <w:lang w:bidi="ar-SY"/>
        </w:rPr>
        <w:t>تاج العروس</w:t>
      </w:r>
      <w:r w:rsidRPr="00495BAB">
        <w:rPr>
          <w:rFonts w:hint="cs"/>
          <w:rtl/>
          <w:lang w:bidi="ar-SY"/>
        </w:rPr>
        <w:t xml:space="preserve"> و </w:t>
      </w:r>
      <w:r w:rsidRPr="00495BAB">
        <w:rPr>
          <w:rFonts w:hint="cs"/>
          <w:b/>
          <w:bCs/>
          <w:rtl/>
          <w:lang w:bidi="ar-SY"/>
        </w:rPr>
        <w:t>منتهى الأرب</w:t>
      </w:r>
      <w:r w:rsidRPr="00495BAB">
        <w:rPr>
          <w:rFonts w:hint="cs"/>
          <w:rtl/>
          <w:lang w:bidi="ar-SY"/>
        </w:rPr>
        <w:t xml:space="preserve"> بأنها: «</w:t>
      </w:r>
      <w:r w:rsidRPr="00995B26">
        <w:rPr>
          <w:rFonts w:cs="Akhbar MT"/>
          <w:szCs w:val="30"/>
          <w:rtl/>
          <w:lang w:bidi="ar-SY"/>
        </w:rPr>
        <w:t>وسط الظهر من</w:t>
      </w:r>
      <w:r w:rsidRPr="00995B26">
        <w:rPr>
          <w:rFonts w:cs="Akhbar MT" w:hint="cs"/>
          <w:szCs w:val="30"/>
          <w:rtl/>
          <w:lang w:bidi="ar-SY"/>
        </w:rPr>
        <w:t>َّ</w:t>
      </w:r>
      <w:r w:rsidRPr="00995B26">
        <w:rPr>
          <w:rFonts w:cs="Akhbar MT"/>
          <w:szCs w:val="30"/>
          <w:rtl/>
          <w:lang w:bidi="ar-SY"/>
        </w:rPr>
        <w:t>ا ومن كل ذ</w:t>
      </w:r>
      <w:r w:rsidRPr="00995B26">
        <w:rPr>
          <w:rFonts w:cs="Akhbar MT" w:hint="cs"/>
          <w:szCs w:val="30"/>
          <w:rtl/>
          <w:lang w:bidi="ar-SY"/>
        </w:rPr>
        <w:t>ي</w:t>
      </w:r>
      <w:r w:rsidRPr="00995B26">
        <w:rPr>
          <w:rFonts w:cs="Akhbar MT"/>
          <w:szCs w:val="30"/>
          <w:rtl/>
          <w:lang w:bidi="ar-SY"/>
        </w:rPr>
        <w:t xml:space="preserve"> أربع</w:t>
      </w:r>
      <w:r w:rsidRPr="00995B26">
        <w:rPr>
          <w:rFonts w:cs="Akhbar MT" w:hint="cs"/>
          <w:szCs w:val="30"/>
          <w:rtl/>
          <w:lang w:bidi="ar-SY"/>
        </w:rPr>
        <w:t>،</w:t>
      </w:r>
      <w:r w:rsidRPr="00995B26">
        <w:rPr>
          <w:rFonts w:cs="Akhbar MT"/>
          <w:szCs w:val="30"/>
          <w:rtl/>
          <w:lang w:bidi="ar-SY"/>
        </w:rPr>
        <w:t xml:space="preserve"> وما انحدر من الوركين أو الفرجة بين الجاعرة والذنب</w:t>
      </w:r>
      <w:r w:rsidRPr="00995B26">
        <w:rPr>
          <w:rFonts w:cs="Akhbar MT" w:hint="cs"/>
          <w:szCs w:val="30"/>
          <w:rtl/>
          <w:lang w:bidi="ar-SY"/>
        </w:rPr>
        <w:t>، وجمعها صلوات، أو هي دعاء العبد، أو اسم لكنائس اليهود</w:t>
      </w:r>
      <w:r w:rsidRPr="00495BAB">
        <w:rPr>
          <w:rFonts w:hint="cs"/>
          <w:rtl/>
          <w:lang w:bidi="ar-SY"/>
        </w:rPr>
        <w:t>». لكننا نرى أن القرآن الكريم وشرع الإسلام وعمل المسلمين، استخدموا هذه الكلمة في معنى خاص يتضمن سلسلة من الحركات والآداب المعينة، وقصدوا بها الصلاة المعروفة بين المسلمين. وكذلك كلمة «</w:t>
      </w:r>
      <w:r w:rsidRPr="00495BAB">
        <w:rPr>
          <w:rFonts w:hint="cs"/>
          <w:b/>
          <w:bCs/>
          <w:rtl/>
          <w:lang w:bidi="ar-SY"/>
        </w:rPr>
        <w:t>الزكاة</w:t>
      </w:r>
      <w:r w:rsidRPr="00495BAB">
        <w:rPr>
          <w:rFonts w:hint="cs"/>
          <w:rtl/>
          <w:lang w:bidi="ar-SY"/>
        </w:rPr>
        <w:t xml:space="preserve">» جاءت في اللغة وقواميسها على عدة معان منها: الشفع من العدد، والنماء والزيادة، وخلاصة الشيء، والمال والزرع..... ومعانٍ أخرى. أما شريعةُ الإسلام والنبيُّ </w:t>
      </w:r>
      <w:r w:rsidRPr="00495BAB">
        <w:rPr>
          <w:rFonts w:ascii="Abo-thar" w:hAnsi="Abo-thar"/>
          <w:sz w:val="28"/>
          <w:lang w:bidi="fa-IR"/>
        </w:rPr>
        <w:t></w:t>
      </w:r>
      <w:r w:rsidRPr="00495BAB">
        <w:rPr>
          <w:rFonts w:hint="cs"/>
          <w:rtl/>
          <w:lang w:bidi="ar-SY"/>
        </w:rPr>
        <w:t xml:space="preserve"> والمسلمون فقد استخدموا هذه الكلمة بمعنى خاص هو دفع مقدار معين من المال لمصارف معينة. ولم يلتفتوا أبدًا إلى تلك المعاني اللغوية الأخرى لكلمة الزكاة. </w:t>
      </w:r>
    </w:p>
    <w:p w:rsidR="00CD31AA" w:rsidRPr="00495BAB" w:rsidRDefault="00CD31AA" w:rsidP="00495BAB">
      <w:pPr>
        <w:pStyle w:val="a0"/>
        <w:rPr>
          <w:rFonts w:hint="cs"/>
          <w:rtl/>
          <w:lang w:bidi="ar-SY"/>
        </w:rPr>
      </w:pPr>
      <w:r w:rsidRPr="00495BAB">
        <w:rPr>
          <w:rFonts w:hint="cs"/>
          <w:rtl/>
          <w:lang w:bidi="ar-SY"/>
        </w:rPr>
        <w:t xml:space="preserve">فالاعتماد في فهم الأحكام الإلـهية على اللغة فقط لن يوصلنا إلى شيء، وعلينا أن ننظر ماذا أراد شارع الإسلام المقدَّس ومسلمو صدر الإسلام من هذه الكلمات وبأي معنى استخدموها؟ لأن الحجة هي عمل رسول الله </w:t>
      </w:r>
      <w:r w:rsidRPr="00495BAB">
        <w:rPr>
          <w:rFonts w:ascii="Abo-thar" w:hAnsi="Abo-thar"/>
          <w:sz w:val="28"/>
          <w:lang w:bidi="fa-IR"/>
        </w:rPr>
        <w:t></w:t>
      </w:r>
      <w:r w:rsidRPr="00495BAB">
        <w:rPr>
          <w:rFonts w:hint="cs"/>
          <w:rtl/>
          <w:lang w:bidi="ar-SY"/>
        </w:rPr>
        <w:t xml:space="preserve"> واتباع مسلمي الصدر الأول الذين عاصروا زمن نزول القرآن [وطُبِّقَت أحكامه بينهم]، لا المعنى اللغوي الذي ورد في القاموس أو المعجم الفلاني الذي أُلِّف بعد مئات السنين!!</w:t>
      </w:r>
    </w:p>
    <w:p w:rsidR="00CD31AA" w:rsidRPr="00495BAB" w:rsidRDefault="00CD31AA" w:rsidP="00495BAB">
      <w:pPr>
        <w:pStyle w:val="a0"/>
        <w:rPr>
          <w:rFonts w:hint="cs"/>
          <w:rtl/>
          <w:lang w:bidi="ar-SY"/>
        </w:rPr>
      </w:pPr>
      <w:r w:rsidRPr="00495BAB">
        <w:rPr>
          <w:rFonts w:hint="cs"/>
          <w:rtl/>
          <w:lang w:bidi="ar-SY"/>
        </w:rPr>
        <w:t>وهذه الحجج التي تأتون بها أنتم والسيد «رضا أستادي» وآلاف غيركما لا تساوي في نظر كل إنسان عاقل قيمة قشَّةٍ في مقابل العقل والشرع.</w:t>
      </w:r>
    </w:p>
    <w:p w:rsidR="00CD31AA" w:rsidRPr="00495BAB" w:rsidRDefault="00CD31AA" w:rsidP="00495BAB">
      <w:pPr>
        <w:pStyle w:val="a0"/>
        <w:rPr>
          <w:rFonts w:hint="cs"/>
          <w:rtl/>
          <w:lang w:bidi="ar-SY"/>
        </w:rPr>
      </w:pPr>
      <w:r w:rsidRPr="00495BAB">
        <w:rPr>
          <w:rFonts w:hint="cs"/>
          <w:rtl/>
          <w:lang w:bidi="ar-SY"/>
        </w:rPr>
        <w:t xml:space="preserve">إننا ندعوكم، ونقسم بالله عليكم، أن تَدَعوا اللجاج والعناد جانبًا، وتقرؤوا - بينكم وبين الله - سيرة رسول الله </w:t>
      </w:r>
      <w:r w:rsidRPr="00495BAB">
        <w:rPr>
          <w:rFonts w:ascii="Abo-thar" w:hAnsi="Abo-thar"/>
          <w:sz w:val="28"/>
          <w:lang w:bidi="fa-IR"/>
        </w:rPr>
        <w:t></w:t>
      </w:r>
      <w:r w:rsidRPr="00495BAB">
        <w:rPr>
          <w:rFonts w:hint="cs"/>
          <w:rtl/>
          <w:lang w:bidi="ar-SY"/>
        </w:rPr>
        <w:t xml:space="preserve"> ومسلمي صدر الإسلام، لتروا هل استُخْدِمَت كلمة «الغنيمة» في شيء أو هل فَهِمَ منها أحدٌ شيئًا سوى غنائم الحرب والقتال؟؟ ولم يتصور أي مسلم حين نزول آية الغنيمة وحتى مئات السنوات بعدها أنه سيأتي يومٌ يؤخذ فيه بتلابيب كل حمَّال وعامل ويُقال لهما: تعال وأعطِ خمس ما كسبته من كدِّ يمينك بحمل الأثقال أو عملك بجمع الحطب وتقطيعه أو ما كسبتيه أيتها الغزَّالة من أجرة غزلك للخيوط أو أجرة غسلك الملابس، فأعطيه لذرية رسول الله </w:t>
      </w:r>
      <w:r w:rsidRPr="00495BAB">
        <w:rPr>
          <w:rFonts w:ascii="Abo-thar" w:hAnsi="Abo-thar"/>
          <w:sz w:val="28"/>
          <w:lang w:bidi="fa-IR"/>
        </w:rPr>
        <w:t></w:t>
      </w:r>
      <w:r w:rsidRPr="00495BAB">
        <w:rPr>
          <w:rFonts w:hint="cs"/>
          <w:rtl/>
          <w:lang w:bidi="ar-SY"/>
        </w:rPr>
        <w:t xml:space="preserve"> وهي نحن، لأنه جاء في كتاب «</w:t>
      </w:r>
      <w:r w:rsidRPr="00495BAB">
        <w:rPr>
          <w:rFonts w:hint="cs"/>
          <w:b/>
          <w:bCs/>
          <w:rtl/>
          <w:lang w:bidi="ar-SY"/>
        </w:rPr>
        <w:t>أقرب الموارد</w:t>
      </w:r>
      <w:r w:rsidRPr="00495BAB">
        <w:rPr>
          <w:rFonts w:hint="cs"/>
          <w:rtl/>
          <w:lang w:bidi="ar-SY"/>
        </w:rPr>
        <w:t xml:space="preserve">» أن «الغنيمة» معناها ما يؤخذ من المحاربين عنوةً ومعانٍ أخرى. وأن آية الله البروجردي أو غيره من المراجع فهم الكلمة على هذا النحو، وأن «الغنيمة» تشمل بمعناها الواسع أجرة عملك أيضًا فعليك أداء خمسها للسادة الأشراف من ذرية النبي </w:t>
      </w:r>
      <w:r w:rsidRPr="00495BAB">
        <w:rPr>
          <w:rFonts w:ascii="Abo-thar" w:hAnsi="Abo-thar"/>
          <w:sz w:val="28"/>
          <w:lang w:bidi="fa-IR"/>
        </w:rPr>
        <w:t></w:t>
      </w:r>
      <w:r w:rsidRPr="00495BAB">
        <w:rPr>
          <w:rFonts w:hint="cs"/>
          <w:rtl/>
          <w:lang w:bidi="ar-SY"/>
        </w:rPr>
        <w:t>؟!</w:t>
      </w:r>
    </w:p>
    <w:p w:rsidR="00CD31AA" w:rsidRPr="00495BAB" w:rsidRDefault="00CD31AA" w:rsidP="00495BAB">
      <w:pPr>
        <w:pStyle w:val="a0"/>
        <w:rPr>
          <w:rFonts w:hint="cs"/>
          <w:rtl/>
          <w:lang w:bidi="ar-SY"/>
        </w:rPr>
      </w:pPr>
      <w:r w:rsidRPr="00495BAB">
        <w:rPr>
          <w:rFonts w:hint="cs"/>
          <w:rtl/>
          <w:lang w:bidi="ar-SY"/>
        </w:rPr>
        <w:t>لا أتصور أنه يمكن ادّعاء مثل هذا الأمر في أي محضر أو جلسة يعقدها عقلاء متدينون! فإن كانت الدنيا غابة تحكمها شريعة الغاب فهي دنياكم!!</w:t>
      </w:r>
    </w:p>
    <w:p w:rsidR="00CD31AA" w:rsidRPr="00495BAB" w:rsidRDefault="00CD31AA" w:rsidP="00495BAB">
      <w:pPr>
        <w:pStyle w:val="a0"/>
        <w:rPr>
          <w:rFonts w:hint="cs"/>
          <w:rtl/>
          <w:lang w:bidi="ar-SY"/>
        </w:rPr>
      </w:pPr>
      <w:r w:rsidRPr="00495BAB">
        <w:rPr>
          <w:rFonts w:hint="cs"/>
          <w:rtl/>
          <w:lang w:bidi="ar-SY"/>
        </w:rPr>
        <w:t xml:space="preserve">ثم بدأ كاتب الردّ يبين لنا أن عددًا من علماء الشيعة لا يعتبرون الخمس منحصرًا بغنائم الحرب. وشرع بشرح نظريتهم هذه والردّ على ادعائنا الذي أردنا من خلاله تنزيه أولئك العلماء من هذه النسبة أي أن يُنْسَب لهم أنهم يقولون إن خُمس الغنائم معناه خُمس كل ما على الأرض من ثروات وأموال. </w:t>
      </w:r>
    </w:p>
    <w:p w:rsidR="00CD31AA" w:rsidRPr="00495BAB" w:rsidRDefault="00CD31AA" w:rsidP="00495BAB">
      <w:pPr>
        <w:pStyle w:val="a0"/>
        <w:rPr>
          <w:rFonts w:hint="cs"/>
          <w:rtl/>
          <w:lang w:bidi="ar-SY"/>
        </w:rPr>
      </w:pPr>
      <w:r w:rsidRPr="00495BAB">
        <w:rPr>
          <w:rFonts w:hint="cs"/>
          <w:rtl/>
          <w:lang w:bidi="ar-SY"/>
        </w:rPr>
        <w:t>وفي هذا القسم أيضًا رغم أننا أثبتنا بالدلائل أن علماء الشيعة الكبار أقروا إما تلويحًا أو تصريحًا بأن المقصود من الآية ليس هو ذلك الخُمس الشامل أبدًا، إلا أننا سنتنازل له هنا عن هؤلاء العدة من الفقهاء الأجلاء كي نوفر على كاتب الرد عناء إعداد المستندات لتكذيب مدعانا. لأننا إذا فقدنا عدة فقهاء أجلاء فلدينا آخرين غيرهم ولسنا في ضيق في هذا المجال، كما أن مخالفينا كثيرون جدًّا فوجود هؤلاء الفقهاء معنا أو عدم وجوده لا أثر مهم له فيما نقوله.</w:t>
      </w:r>
    </w:p>
    <w:p w:rsidR="00CD31AA" w:rsidRPr="00495BAB" w:rsidRDefault="00CD31AA" w:rsidP="00495BAB">
      <w:pPr>
        <w:pStyle w:val="a0"/>
        <w:rPr>
          <w:rFonts w:hint="cs"/>
          <w:rtl/>
          <w:lang w:bidi="ar-SY"/>
        </w:rPr>
      </w:pPr>
      <w:r w:rsidRPr="00495BAB">
        <w:rPr>
          <w:rFonts w:hint="cs"/>
          <w:rtl/>
          <w:lang w:bidi="ar-SY"/>
        </w:rPr>
        <w:t xml:space="preserve">ثم أراد كاتب الردّ أن يثبت عدم انحصار الخُمس بغنائم الحرب وأن المعادن والركاز يجب فيها الخمس أيضًا، واستدل على ذلك بأدلة أوردها من كتب العامة. وليست مثل هذه التشبُّثات سوى وسيلة للهروب من الحقيقة، وإلا فإننا ذكرنا في كتابنا الحاضر هذا الموضوع بشكل وافٍ وهو أن الخمس اسمٌ لمقدار الزكاة الواجبة في المعادن والكنوز والغوص والمال المخلوط بالحرام وأن مصرف هذا الخمس هو مصرف الزكاة، رغم أن بين الفقهاء اختلافًا في مصرفه. ولما كانت الزكاة رائجةً ومنتشرةً زمن الأئمة </w:t>
      </w:r>
      <w:r w:rsidR="00963EFD" w:rsidRPr="00963EFD">
        <w:rPr>
          <w:rFonts w:cs="CTraditional Arabic" w:hint="cs"/>
          <w:rtl/>
          <w:lang w:bidi="ar-SY"/>
        </w:rPr>
        <w:t>‡</w:t>
      </w:r>
      <w:r w:rsidRPr="00495BAB">
        <w:rPr>
          <w:rFonts w:hint="cs"/>
          <w:rtl/>
          <w:lang w:bidi="ar-SY"/>
        </w:rPr>
        <w:t xml:space="preserve">، وكان الخلفاء يأخذون الزكاة من أصحاب المعادن والكنوز، فإن بعض فقهاء ذلك الزمن كانوا يقولون: إن الواجب في زكاة المعادن والكنوز هو العشر أو أقل من العشر أو أكثر، فكان الناس يسألون أئمة الشيعة عن الحكم الصحيح في هذا الشأن فيجيبونهم بأن </w:t>
      </w:r>
      <w:r w:rsidRPr="00495BAB">
        <w:rPr>
          <w:rFonts w:hint="cs"/>
          <w:b/>
          <w:bCs/>
          <w:rtl/>
          <w:lang w:bidi="ar-SY"/>
        </w:rPr>
        <w:t>زكاة</w:t>
      </w:r>
      <w:r w:rsidRPr="00495BAB">
        <w:rPr>
          <w:rFonts w:hint="cs"/>
          <w:rtl/>
          <w:lang w:bidi="ar-SY"/>
        </w:rPr>
        <w:t xml:space="preserve"> المعادن والكنوز والركاز والغوص وأمثالها هو نسبة الخُمس من قيمتها، ولا علاقة لهذا الأمر بالخُمس الشامل من قريب ولا من بعيد. فإذًا، إطنابُ صاحب الرد في بيانه هو كلامٌ بلا جدوى وعَنَاءٌ بلا فائدة إذْ لا يتضمن أي ردٍّ على ما ندعيه بل على العكس يثبت دعوانا.</w:t>
      </w:r>
    </w:p>
    <w:p w:rsidR="00CD31AA" w:rsidRPr="00495BAB" w:rsidRDefault="00CD31AA" w:rsidP="00495BAB">
      <w:pPr>
        <w:pStyle w:val="a0"/>
        <w:rPr>
          <w:rFonts w:hint="cs"/>
          <w:rtl/>
          <w:lang w:bidi="ar-SY"/>
        </w:rPr>
      </w:pPr>
      <w:r w:rsidRPr="00495BAB">
        <w:rPr>
          <w:rFonts w:hint="cs"/>
          <w:rtl/>
          <w:lang w:bidi="ar-SY"/>
        </w:rPr>
        <w:t>وفي نهاية الفصل الخامس من كتابه طرح كاتب الردّ هذا سؤالاً حسب ذوقه وأجاب عنه بنفسه كما يأتي: «</w:t>
      </w:r>
      <w:r w:rsidRPr="00995B26">
        <w:rPr>
          <w:rFonts w:cs="Akhbar MT" w:hint="cs"/>
          <w:szCs w:val="30"/>
          <w:rtl/>
          <w:lang w:bidi="ar-SY"/>
        </w:rPr>
        <w:t xml:space="preserve">هل كان خمس غير غنائم الحرب يُؤخَذ من الناس زمن الرسول الأكرم </w:t>
      </w:r>
      <w:r w:rsidRPr="00995B26">
        <w:rPr>
          <w:rFonts w:ascii="Abo-thar" w:hAnsi="Abo-thar" w:cs="Akhbar MT"/>
          <w:sz w:val="28"/>
          <w:szCs w:val="30"/>
          <w:lang w:bidi="fa-IR"/>
        </w:rPr>
        <w:t></w:t>
      </w:r>
      <w:r w:rsidRPr="00995B26">
        <w:rPr>
          <w:rFonts w:cs="Akhbar MT" w:hint="cs"/>
          <w:szCs w:val="30"/>
          <w:rtl/>
          <w:lang w:bidi="ar-SY"/>
        </w:rPr>
        <w:t xml:space="preserve"> والخلفاء الراشدين؟ وهل وصلت إلينا روايات في هذا الباب؟ الجواب: أننا نُذَكِّر بأن الشيعة لما كانوا لا يفصلون بين سيرة أئمة الهدى </w:t>
      </w:r>
      <w:r w:rsidR="00BC4BA9" w:rsidRPr="00BC4BA9">
        <w:rPr>
          <w:rFonts w:cs="CTraditional Arabic" w:hint="cs"/>
          <w:szCs w:val="30"/>
          <w:rtl/>
          <w:lang w:bidi="ar-SY"/>
        </w:rPr>
        <w:t>÷</w:t>
      </w:r>
      <w:r w:rsidRPr="00995B26">
        <w:rPr>
          <w:rFonts w:cs="Akhbar MT" w:hint="cs"/>
          <w:szCs w:val="30"/>
          <w:rtl/>
          <w:lang w:bidi="ar-SY"/>
        </w:rPr>
        <w:t xml:space="preserve"> وسيرة النبي </w:t>
      </w:r>
      <w:r w:rsidRPr="00995B26">
        <w:rPr>
          <w:rFonts w:ascii="Abo-thar" w:hAnsi="Abo-thar" w:cs="Akhbar MT"/>
          <w:sz w:val="28"/>
          <w:szCs w:val="30"/>
          <w:lang w:bidi="fa-IR"/>
        </w:rPr>
        <w:t></w:t>
      </w:r>
      <w:r w:rsidRPr="00995B26">
        <w:rPr>
          <w:rFonts w:cs="Akhbar MT" w:hint="cs"/>
          <w:szCs w:val="30"/>
          <w:rtl/>
          <w:lang w:bidi="ar-SY"/>
        </w:rPr>
        <w:t xml:space="preserve">، ويعتبرون أقوالَ الأئمة مبيِّنةً لسنة النبي، ولا يفرقون بين قال الصادق وقال الباقر وبين قال رسول الله </w:t>
      </w:r>
      <w:r w:rsidRPr="00995B26">
        <w:rPr>
          <w:rFonts w:ascii="Abo-thar" w:hAnsi="Abo-thar" w:cs="Akhbar MT"/>
          <w:sz w:val="28"/>
          <w:szCs w:val="30"/>
          <w:lang w:bidi="fa-IR"/>
        </w:rPr>
        <w:t></w:t>
      </w:r>
      <w:r w:rsidRPr="00995B26">
        <w:rPr>
          <w:rFonts w:ascii="Abo-thar" w:hAnsi="Abo-thar" w:cs="Akhbar MT" w:hint="cs"/>
          <w:sz w:val="28"/>
          <w:szCs w:val="30"/>
          <w:rtl/>
          <w:lang w:bidi="fa-IR"/>
        </w:rPr>
        <w:t xml:space="preserve">، ولدى الشيعة أخبارٌ أيضًا عن الأئمة حول خمس غير الغنائم، لم يكونوا بحاجة ولم يكن لديهم داع لجمع أحاديث في هذا الشأن عن النبي </w:t>
      </w:r>
      <w:r w:rsidRPr="00995B26">
        <w:rPr>
          <w:rFonts w:ascii="Abo-thar" w:hAnsi="Abo-thar" w:cs="Akhbar MT"/>
          <w:sz w:val="28"/>
          <w:szCs w:val="30"/>
          <w:lang w:bidi="fa-IR"/>
        </w:rPr>
        <w:t></w:t>
      </w:r>
      <w:r w:rsidRPr="00995B26">
        <w:rPr>
          <w:rFonts w:ascii="Abo-thar" w:hAnsi="Abo-thar" w:cs="Akhbar MT" w:hint="cs"/>
          <w:sz w:val="28"/>
          <w:szCs w:val="30"/>
          <w:rtl/>
          <w:lang w:bidi="fa-IR"/>
        </w:rPr>
        <w:t xml:space="preserve"> بشكل خاص، فوصولُهُم إلى الإمام الصادق </w:t>
      </w:r>
      <w:r w:rsidRPr="00995B26">
        <w:rPr>
          <w:rFonts w:cs="Akhbar MT" w:hint="cs"/>
          <w:szCs w:val="30"/>
          <w:rtl/>
          <w:lang w:bidi="ar-SY"/>
        </w:rPr>
        <w:t xml:space="preserve">كان بالنسبة إليهم كافيًا ولم يكن من الضروري أن يتصل السند بالنبي. لكن توقُّع أن يروي العامَّةُ أحاديثَ حول الخُمس عن النبي </w:t>
      </w:r>
      <w:r w:rsidRPr="00995B26">
        <w:rPr>
          <w:rFonts w:ascii="Abo-thar" w:hAnsi="Abo-thar" w:cs="Akhbar MT"/>
          <w:sz w:val="28"/>
          <w:szCs w:val="30"/>
          <w:lang w:bidi="fa-IR"/>
        </w:rPr>
        <w:t></w:t>
      </w:r>
      <w:r w:rsidRPr="00995B26">
        <w:rPr>
          <w:rFonts w:cs="Akhbar MT" w:hint="cs"/>
          <w:szCs w:val="30"/>
          <w:rtl/>
          <w:lang w:bidi="ar-SY"/>
        </w:rPr>
        <w:t xml:space="preserve"> توقُّعٌ في غير محله أبدًا. لأن الخلفاء كانوا يسعون ألا يعطى الخُمس إلى ذوي القربى، وكان أداء الخُمس لذوي القربى في حقيقة الأمر تثبيتًا لحكومتهم. لذا كانوا يحاولون سلب الأئمة هذا الحق بأي شكل من الأشكال (يراجع في هذا كتاب </w:t>
      </w:r>
      <w:r w:rsidRPr="00995B26">
        <w:rPr>
          <w:rFonts w:cs="Akhbar MT" w:hint="cs"/>
          <w:b/>
          <w:bCs/>
          <w:szCs w:val="30"/>
          <w:rtl/>
          <w:lang w:bidi="ar-SY"/>
        </w:rPr>
        <w:t xml:space="preserve">النص والاجتهاد </w:t>
      </w:r>
      <w:r w:rsidRPr="00995B26">
        <w:rPr>
          <w:rFonts w:cs="Akhbar MT" w:hint="cs"/>
          <w:szCs w:val="30"/>
          <w:rtl/>
          <w:lang w:bidi="ar-SY"/>
        </w:rPr>
        <w:t xml:space="preserve">ص 110)، بناءً على ذلك، كيف كان يمكن لمحدثي العامة أن يتجرَّؤوا على نقل أحاديثِ النبيِّ بشأن الخُمْس في كتبهم بشكل مفصَّل؟ والنتيجة أنه لم يكن متوقعًا لا من الشيعة ولا من أهل السنة أن يرووا لنا أحاديث النبي </w:t>
      </w:r>
      <w:r w:rsidRPr="00995B26">
        <w:rPr>
          <w:rFonts w:ascii="Abo-thar" w:hAnsi="Abo-thar" w:cs="Akhbar MT"/>
          <w:sz w:val="28"/>
          <w:szCs w:val="30"/>
          <w:lang w:bidi="fa-IR"/>
        </w:rPr>
        <w:t></w:t>
      </w:r>
      <w:r w:rsidRPr="00995B26">
        <w:rPr>
          <w:rFonts w:cs="Akhbar MT" w:hint="cs"/>
          <w:szCs w:val="30"/>
          <w:rtl/>
          <w:lang w:bidi="ar-SY"/>
        </w:rPr>
        <w:t xml:space="preserve"> في هذا الأمر</w:t>
      </w:r>
      <w:r w:rsidRPr="00495BAB">
        <w:rPr>
          <w:rFonts w:hint="cs"/>
          <w:rtl/>
          <w:lang w:bidi="ar-SY"/>
        </w:rPr>
        <w:t>».</w:t>
      </w:r>
    </w:p>
    <w:p w:rsidR="00CD31AA" w:rsidRPr="00495BAB" w:rsidRDefault="00CD31AA" w:rsidP="00495BAB">
      <w:pPr>
        <w:pStyle w:val="a0"/>
        <w:rPr>
          <w:rFonts w:hint="cs"/>
          <w:rtl/>
          <w:lang w:bidi="ar-SY"/>
        </w:rPr>
      </w:pPr>
      <w:r w:rsidRPr="00495BAB">
        <w:rPr>
          <w:rFonts w:hint="cs"/>
          <w:rtl/>
          <w:lang w:bidi="ar-SY"/>
        </w:rPr>
        <w:t>وأقول: إن وجود مثل هؤلاء الكُتَّاب من عجائب هذا الزمن، والإنسان يتحيَّر كيف يُظهِرون هؤلاء أنفسَهم، بعد أن لبسوا سنوات طويلة العمامة والعباءة والنعلين، على نحوٍ يجعلك حين تراهم تتصور كأنَّ مفتاح أسرار الوجود بأيديهم، وأنهم بعد هذا الفخر والأبهة التي يبيعونها للناس لابد أن يكون في جعبتهم شيء وأن لا يكونوا قد أمضوا 60 - 70 سنةً من عمرهم بلا جدوى! لكنهم بمجرد أن يبدؤوا بالكلام أو الكتابة تظهر صورتهم الحقيقة للناس ويتبيَّن لجميع المحققين ضآلة علمهم وبضاعتهم المزجاة من الفقه فتزداد فضيحتهم!!</w:t>
      </w:r>
    </w:p>
    <w:p w:rsidR="00CD31AA" w:rsidRPr="00495BAB" w:rsidRDefault="00CD31AA" w:rsidP="00495BAB">
      <w:pPr>
        <w:pStyle w:val="a0"/>
        <w:rPr>
          <w:rFonts w:hint="cs"/>
          <w:rtl/>
          <w:lang w:bidi="ar-SY"/>
        </w:rPr>
      </w:pPr>
      <w:r w:rsidRPr="00495BAB">
        <w:rPr>
          <w:rFonts w:hint="cs"/>
          <w:rtl/>
          <w:lang w:bidi="ar-SY"/>
        </w:rPr>
        <w:t>لقد طرح السيد كاتب الردّ سؤالاً من عند نفسه ويبدو أنه يطرح السؤال على نحو يُمَكِّنُهُ من الإجابة عنه على أحسن وجه، ولكنه ينسى مباشرةً ما طرحه ويشتغل بمطلب خارج عن الموضوع! في حين أن لُبَّ المطلب كان في الإجابة عن ذلك السؤال بالذات، ولكنه لما تهرَّب من الإجابة عنه، أَقَرَّ عمليًّا بصراحة أن سؤاله لا إجابة عنه، وسعى عندئذٍ إلى إغفال محاوره من خلال إيراد القصص والحكايات!! إنه في الإجابة عن سؤاله: «</w:t>
      </w:r>
      <w:r w:rsidRPr="00995B26">
        <w:rPr>
          <w:rFonts w:cs="Akhbar MT" w:hint="cs"/>
          <w:szCs w:val="30"/>
          <w:rtl/>
          <w:lang w:bidi="ar-SY"/>
        </w:rPr>
        <w:t xml:space="preserve">هل كان خمس غير غنائم الحرب يؤخذ من الناس زمن الرسول الأكرم </w:t>
      </w:r>
      <w:r w:rsidRPr="00995B26">
        <w:rPr>
          <w:rFonts w:ascii="Abo-thar" w:hAnsi="Abo-thar" w:cs="Akhbar MT"/>
          <w:sz w:val="28"/>
          <w:szCs w:val="30"/>
          <w:lang w:bidi="fa-IR"/>
        </w:rPr>
        <w:t></w:t>
      </w:r>
      <w:r w:rsidRPr="00995B26">
        <w:rPr>
          <w:rFonts w:cs="Akhbar MT" w:hint="cs"/>
          <w:szCs w:val="30"/>
          <w:rtl/>
          <w:lang w:bidi="ar-SY"/>
        </w:rPr>
        <w:t xml:space="preserve"> والخلفاء الراشدين</w:t>
      </w:r>
      <w:r w:rsidRPr="00495BAB">
        <w:rPr>
          <w:rFonts w:hint="cs"/>
          <w:rtl/>
          <w:lang w:bidi="ar-SY"/>
        </w:rPr>
        <w:t>؟» ترك الإجابة وقفز إلى موضوع الأخبار والروايات، تلك الروايات التي تسعة أعشارها على أقل تقدير -كما يقول أحد علماء الإسلام الكبار- كذبٌ! رواياتٌ يمكن للمغيرة بن سعيد أن يضع ثلاثين ألفًا منها ويدسها في كتب أصحاب الباقر والصادق!! رواياتٌ أستطيع أنا -حسب قول كاتب الرد هذا، وإن كان كاذبًا في هذا القول- أن أضع منها رغم مضي 14 قرنًا على ظهور الإسلام.</w:t>
      </w:r>
    </w:p>
    <w:p w:rsidR="00CD31AA" w:rsidRPr="00495BAB" w:rsidRDefault="00CD31AA" w:rsidP="00495BAB">
      <w:pPr>
        <w:pStyle w:val="a0"/>
        <w:rPr>
          <w:rFonts w:hint="cs"/>
          <w:rtl/>
          <w:lang w:bidi="ar-SY"/>
        </w:rPr>
      </w:pPr>
      <w:r w:rsidRPr="00495BAB">
        <w:rPr>
          <w:rFonts w:hint="cs"/>
          <w:rtl/>
          <w:lang w:bidi="ar-SY"/>
        </w:rPr>
        <w:t>نعم مثل هذه الروايات تمنح هؤلاء الكُتَّاب ميدانًا واسعًا كي يمارسوا فيه صولاتهم وجولاتهم وينسبوا إلى اللهِ ورسوله وأئمة الإسلام أمورًا هم بريئون منها براءة الذئب من دم ابن يعقوب!</w:t>
      </w:r>
    </w:p>
    <w:p w:rsidR="00CD31AA" w:rsidRPr="00495BAB" w:rsidRDefault="00CD31AA" w:rsidP="00495BAB">
      <w:pPr>
        <w:pStyle w:val="a0"/>
        <w:rPr>
          <w:rFonts w:hint="cs"/>
          <w:rtl/>
          <w:lang w:bidi="ar-SY"/>
        </w:rPr>
      </w:pPr>
      <w:r w:rsidRPr="00495BAB">
        <w:rPr>
          <w:rFonts w:hint="cs"/>
          <w:rtl/>
          <w:lang w:bidi="ar-SY"/>
        </w:rPr>
        <w:t xml:space="preserve">ولكن رغم كل ذلك، ليس لدى كاتب الرد -لسوء الحظ- عن الإمام الصادق الذي يتصور أنه يصل إليه وأن وصوله إلى الصادق يغنيه عن النبي </w:t>
      </w:r>
      <w:r w:rsidRPr="00495BAB">
        <w:rPr>
          <w:rFonts w:ascii="Abo-thar" w:hAnsi="Abo-thar"/>
          <w:sz w:val="28"/>
          <w:lang w:bidi="fa-IR"/>
        </w:rPr>
        <w:t></w:t>
      </w:r>
      <w:r w:rsidRPr="00495BAB">
        <w:rPr>
          <w:rFonts w:hint="cs"/>
          <w:rtl/>
          <w:lang w:bidi="ar-SY"/>
        </w:rPr>
        <w:t>، ويرى أن حديث الإمام الصادق كاف له، ليس لديه شيء مهم يستحق الاعتناء به في موضوع ذلك الخمس الشامل؛ إذ كل ما لديه في هذا الموضوع هو حديث كاذب موضوع يرويه أسوأ الرواة ورجال الحديث من الغلاة والملعونين! كما سنرى في الصفحات الآتية.</w:t>
      </w:r>
    </w:p>
    <w:p w:rsidR="00CD31AA" w:rsidRPr="00495BAB" w:rsidRDefault="00CD31AA" w:rsidP="00495BAB">
      <w:pPr>
        <w:pStyle w:val="a0"/>
        <w:rPr>
          <w:rFonts w:hint="cs"/>
          <w:rtl/>
          <w:lang w:bidi="ar-SY"/>
        </w:rPr>
      </w:pPr>
      <w:r w:rsidRPr="00495BAB">
        <w:rPr>
          <w:rFonts w:hint="cs"/>
          <w:rtl/>
          <w:lang w:bidi="ar-SY"/>
        </w:rPr>
        <w:t>إنهم جاهلون جدًّا بتاريخ الإسلام وكيفية تشريع الأحكام إلى درجة أنهم يتصورون أن دين الإسلام يشبه النظام السري الذي يعيش تحت الأرض خارجًا عن القانون وأن المسلمين كانوا حزبًا سريًّا مخيفًا خارجًا عن القانون مثل حزب الثعابين السوداء الذي لا يَعرِفُ أحدٌ عن أتباعه شيئًا، والذين لم يبقَ منهم سوى بعض الرموز والكنايات! وإذا كان الأمر كذلك، فعلينا الآن أن نسعى بالرمل والإسطرلاب الخاصين بهذا الكتاب إلى الحصول على مفاتيحه التي تمكننا من فك الرموز الخاصة بهذه الطبقة الخاصَّة المُتَمَيِّزة من الناس وأن نصل إلى حقائقه من خلال كتب اللغة والمعاجم والرموز لنحل مشكلاته العويصة ونستخرج حقائقه الخفية!!</w:t>
      </w:r>
    </w:p>
    <w:p w:rsidR="00CD31AA" w:rsidRPr="00495BAB" w:rsidRDefault="00CD31AA" w:rsidP="00495BAB">
      <w:pPr>
        <w:pStyle w:val="a0"/>
        <w:rPr>
          <w:rFonts w:hint="cs"/>
          <w:rtl/>
          <w:lang w:bidi="ar-SY"/>
        </w:rPr>
      </w:pPr>
      <w:r w:rsidRPr="00495BAB">
        <w:rPr>
          <w:rFonts w:hint="cs"/>
          <w:rtl/>
          <w:lang w:bidi="ar-SY"/>
        </w:rPr>
        <w:t xml:space="preserve">أولاً: على سبيل المثال، بالنسبة إلى الآية الكريمة التي وردت فيها كلمة الغنيمة، علينا أن ننتظر حتى يأتي مؤلف معجم </w:t>
      </w:r>
      <w:r w:rsidRPr="00495BAB">
        <w:rPr>
          <w:rFonts w:hint="cs"/>
          <w:b/>
          <w:bCs/>
          <w:rtl/>
          <w:lang w:bidi="ar-SY"/>
        </w:rPr>
        <w:t>أقرب الموارد</w:t>
      </w:r>
      <w:r w:rsidRPr="00495BAB">
        <w:rPr>
          <w:rFonts w:hint="cs"/>
          <w:rtl/>
          <w:lang w:bidi="ar-SY"/>
        </w:rPr>
        <w:t xml:space="preserve"> أو معجم </w:t>
      </w:r>
      <w:r w:rsidRPr="00495BAB">
        <w:rPr>
          <w:rFonts w:hint="cs"/>
          <w:b/>
          <w:bCs/>
          <w:rtl/>
          <w:lang w:bidi="ar-SY"/>
        </w:rPr>
        <w:t>المنجد</w:t>
      </w:r>
      <w:r w:rsidRPr="00495BAB">
        <w:rPr>
          <w:rFonts w:hint="cs"/>
          <w:rtl/>
          <w:lang w:bidi="ar-SY"/>
        </w:rPr>
        <w:t xml:space="preserve"> -وكلاهما من النصارى- ليفسِّرا لنا معنى تلك الكلمة، وعلينا، لأجل فَهْم معنى كلمة الصلاة ذات المعاني المختلفة والعديدة أن ننتظر حتى يأتي صاحب معجم </w:t>
      </w:r>
      <w:r w:rsidRPr="00495BAB">
        <w:rPr>
          <w:rFonts w:hint="cs"/>
          <w:b/>
          <w:bCs/>
          <w:rtl/>
          <w:lang w:bidi="ar-SY"/>
        </w:rPr>
        <w:t>منتهى الأرب</w:t>
      </w:r>
      <w:r w:rsidRPr="00495BAB">
        <w:rPr>
          <w:rFonts w:hint="cs"/>
          <w:rtl/>
          <w:lang w:bidi="ar-SY"/>
        </w:rPr>
        <w:t xml:space="preserve"> ليفسِّر لنا بأنها تعني أحيانًا الدعاء وأحيانًا </w:t>
      </w:r>
      <w:r w:rsidRPr="00495BAB">
        <w:rPr>
          <w:rtl/>
          <w:lang w:bidi="ar-SY"/>
        </w:rPr>
        <w:t>وسط الظهر من</w:t>
      </w:r>
      <w:r w:rsidRPr="00495BAB">
        <w:rPr>
          <w:rFonts w:hint="cs"/>
          <w:rtl/>
          <w:lang w:bidi="ar-SY"/>
        </w:rPr>
        <w:t>َّ</w:t>
      </w:r>
      <w:r w:rsidRPr="00495BAB">
        <w:rPr>
          <w:rtl/>
          <w:lang w:bidi="ar-SY"/>
        </w:rPr>
        <w:t>ا ومن كل ذ</w:t>
      </w:r>
      <w:r w:rsidRPr="00495BAB">
        <w:rPr>
          <w:rFonts w:hint="cs"/>
          <w:rtl/>
          <w:lang w:bidi="ar-SY"/>
        </w:rPr>
        <w:t>ي</w:t>
      </w:r>
      <w:r w:rsidRPr="00495BAB">
        <w:rPr>
          <w:rtl/>
          <w:lang w:bidi="ar-SY"/>
        </w:rPr>
        <w:t xml:space="preserve"> أربع</w:t>
      </w:r>
      <w:r w:rsidRPr="00495BAB">
        <w:rPr>
          <w:rFonts w:hint="cs"/>
          <w:rtl/>
          <w:lang w:bidi="ar-SY"/>
        </w:rPr>
        <w:t>،</w:t>
      </w:r>
      <w:r w:rsidRPr="00495BAB">
        <w:rPr>
          <w:rtl/>
          <w:lang w:bidi="ar-SY"/>
        </w:rPr>
        <w:t xml:space="preserve"> وما انحدر من الوركين أو الفرجة بين الجاعرة والذنب</w:t>
      </w:r>
      <w:r w:rsidRPr="00495BAB">
        <w:rPr>
          <w:rFonts w:hint="cs"/>
          <w:rtl/>
          <w:lang w:bidi="ar-SY"/>
        </w:rPr>
        <w:t xml:space="preserve">!! كي نقوم عندئذ باختيار أحد المعاني حسب هوانا، والأمر ذاته ينطبق على الزكاة والحج وغيرهما. غافلاً عن أن شارع الإسلام المقدَّس استخدم تلك الكلمات جميعها في معان خاصَّة طبقًا لما علَّمَه اللهُ، وعَمِل </w:t>
      </w:r>
      <w:r w:rsidRPr="00495BAB">
        <w:rPr>
          <w:rFonts w:ascii="Abo-thar" w:hAnsi="Abo-thar"/>
          <w:sz w:val="28"/>
          <w:lang w:bidi="fa-IR"/>
        </w:rPr>
        <w:t></w:t>
      </w:r>
      <w:r w:rsidRPr="00495BAB">
        <w:rPr>
          <w:rFonts w:hint="cs"/>
          <w:rtl/>
          <w:lang w:bidi="ar-SY"/>
        </w:rPr>
        <w:t xml:space="preserve"> ذاتُهُ، وملايينُ المسلمين في أطراف الدنيا وأكنافها، بتلك المعاني على مدى سنوات مديدة، كما شاهد أكثر من </w:t>
      </w:r>
      <w:r w:rsidR="00755AAC">
        <w:rPr>
          <w:rFonts w:hint="cs"/>
          <w:rtl/>
          <w:lang w:bidi="ar-SY"/>
        </w:rPr>
        <w:t>مائة</w:t>
      </w:r>
      <w:r w:rsidRPr="00495BAB">
        <w:rPr>
          <w:rFonts w:hint="cs"/>
          <w:rtl/>
          <w:lang w:bidi="ar-SY"/>
        </w:rPr>
        <w:t xml:space="preserve"> ألف إنسان النبيَّ الكريمَ وهو يؤدي الفرائض والأعمال وصاحبوه وجالسوه ورووا عنه كيفية أدائه لها.</w:t>
      </w:r>
    </w:p>
    <w:p w:rsidR="00CD31AA" w:rsidRPr="00495BAB" w:rsidRDefault="00CD31AA" w:rsidP="00495BAB">
      <w:pPr>
        <w:pStyle w:val="a0"/>
        <w:rPr>
          <w:rFonts w:hint="cs"/>
          <w:rtl/>
          <w:lang w:bidi="ar-SY"/>
        </w:rPr>
      </w:pPr>
      <w:r w:rsidRPr="00495BAB">
        <w:rPr>
          <w:rFonts w:hint="cs"/>
          <w:rtl/>
          <w:lang w:bidi="ar-SY"/>
        </w:rPr>
        <w:t xml:space="preserve">نعم لقد طبَّق رسولُ الله </w:t>
      </w:r>
      <w:r w:rsidRPr="00495BAB">
        <w:rPr>
          <w:rFonts w:ascii="Abo-thar" w:hAnsi="Abo-thar"/>
          <w:sz w:val="28"/>
          <w:lang w:bidi="fa-IR"/>
        </w:rPr>
        <w:t></w:t>
      </w:r>
      <w:r w:rsidRPr="00495BAB">
        <w:rPr>
          <w:rFonts w:hint="cs"/>
          <w:rtl/>
          <w:lang w:bidi="ar-SY"/>
        </w:rPr>
        <w:t xml:space="preserve"> بنفسه خلال مدة 23 سنة من فترة نبوته جميع الأحكام التي تضمنها القرآن الكريم وحفظها لنا، لاسيّما حكم الخُمس الذي كان أول حكم مالي أنزله رب العالمين في بداية عهد تشكيل الحكومة الإسلامية أي في السنة الثانية للهجرة وطبَّقه النبيُّ </w:t>
      </w:r>
      <w:r w:rsidRPr="00495BAB">
        <w:rPr>
          <w:rFonts w:ascii="Abo-thar" w:hAnsi="Abo-thar"/>
          <w:sz w:val="28"/>
          <w:lang w:bidi="fa-IR"/>
        </w:rPr>
        <w:t></w:t>
      </w:r>
      <w:r w:rsidRPr="00495BAB">
        <w:rPr>
          <w:rFonts w:hint="cs"/>
          <w:rtl/>
          <w:lang w:bidi="ar-SY"/>
        </w:rPr>
        <w:t xml:space="preserve"> بأدق صورة وأحسن وجه، وكان مسألةً تعرضت منذ ذلك الزمن للبحث والتحقيق والتدقيق بل إلى المشاجرة والنزاع بشأنها أيضًا، ولما كان النبي الأكرم </w:t>
      </w:r>
      <w:r w:rsidRPr="00495BAB">
        <w:rPr>
          <w:rFonts w:ascii="Abo-thar" w:hAnsi="Abo-thar"/>
          <w:sz w:val="28"/>
          <w:lang w:bidi="fa-IR"/>
        </w:rPr>
        <w:t></w:t>
      </w:r>
      <w:r w:rsidRPr="00495BAB">
        <w:rPr>
          <w:rFonts w:hint="cs"/>
          <w:rtl/>
          <w:lang w:bidi="ar-SY"/>
        </w:rPr>
        <w:t xml:space="preserve"> قد شارك خلال حياته المباركة في أكثر من 16 غزوة كبيرة وجهز بنفسه 94 سرية، وكان يستلم غنائم تلك المعارك ويقسّمها، وكان يأخذ الزكاة من أموال الأغنياء - سواء رغبوا في ذلك أم كرهوا - وَأَخَذَ من أشخاص مثل البلال بن الحارث الذي كان لديه في الأرض الإقطاعية معدنٌ من المعادن، خُمس الدخل الذي كان يحصل عليه من هذا المعدن، زكاةً له، لذلك لم يبقَ أي مجال للقيل والقال، وبعبارة أخرى لم يبق هناك مجال لتطفل الآخرين وفضولهم. </w:t>
      </w:r>
    </w:p>
    <w:p w:rsidR="00CD31AA" w:rsidRPr="00495BAB" w:rsidRDefault="00CD31AA" w:rsidP="00495BAB">
      <w:pPr>
        <w:pStyle w:val="a0"/>
        <w:rPr>
          <w:rFonts w:hint="cs"/>
          <w:rtl/>
          <w:lang w:bidi="ar-SY"/>
        </w:rPr>
      </w:pPr>
      <w:r w:rsidRPr="00495BAB">
        <w:rPr>
          <w:rFonts w:hint="cs"/>
          <w:rtl/>
          <w:lang w:bidi="ar-SY"/>
        </w:rPr>
        <w:t xml:space="preserve">وأيضاً بعد رحيل حضرة النبي </w:t>
      </w:r>
      <w:r w:rsidRPr="00495BAB">
        <w:rPr>
          <w:rFonts w:ascii="Abo-thar" w:hAnsi="Abo-thar"/>
          <w:sz w:val="28"/>
          <w:lang w:bidi="fa-IR"/>
        </w:rPr>
        <w:t></w:t>
      </w:r>
      <w:r w:rsidRPr="00495BAB">
        <w:rPr>
          <w:rFonts w:hint="cs"/>
          <w:rtl/>
          <w:lang w:bidi="ar-SY"/>
        </w:rPr>
        <w:t xml:space="preserve"> كان الخلفاء الراشدون منفذين لهذه الأحكام على مدى ثلاثين سنة كاملة أمام جميع الصحابة الكرام، وكانوا يأخذون من الناس كل ما كان واجباً عليهم بكل جدية وحزم، وكان الخلفاء العادلون والظالمون، بعد عهد الخلفاء الراشدين وفي جميع العصور الإسلامية، يأخذون الضرائب الواجبة بصور مختلفة من الناس. ولكن لم يُسمَع هناك أي كلام ولا أي خبر في أي واحد من الأزمنة والعصور الماضية تلك عن أخذ خمس أرباح المكاسب الذي أصبح رائجاً اليوم بين الشيعة.</w:t>
      </w:r>
    </w:p>
    <w:p w:rsidR="00CD31AA" w:rsidRPr="00495BAB" w:rsidRDefault="00CD31AA" w:rsidP="00495BAB">
      <w:pPr>
        <w:pStyle w:val="a0"/>
        <w:rPr>
          <w:rFonts w:hint="cs"/>
          <w:rtl/>
        </w:rPr>
      </w:pPr>
      <w:r w:rsidRPr="00495BAB">
        <w:rPr>
          <w:rFonts w:hint="cs"/>
          <w:rtl/>
          <w:lang w:bidi="ar-SY"/>
        </w:rPr>
        <w:t>أيها السيد كاتب الردّ! لا شك أن الذين كانوا يأخذون خمس غنائم الحرب استناداً إلى آية صريحة من القرآن ولم يكونوا يعطون ذي القربى منها، كان بإمكانهم أن يأخذوا خمس أرباح المكاسب الذي كان أسهل عليهم وأكثر مالاً، ولا يعطوا منه ذوي القربى، لأنكم تعتبرون حسب عقيدتكم أن دليل الخُمْسَيْن (خمس غنيمة الحرب وخمس أرباح المكاسب) هو آية:</w:t>
      </w:r>
      <w:r w:rsidR="000775C2" w:rsidRPr="00495BAB">
        <w:rPr>
          <w:rFonts w:hint="cs"/>
          <w:rtl/>
          <w:lang w:bidi="ar-SY"/>
        </w:rPr>
        <w:t xml:space="preserve"> </w:t>
      </w:r>
      <w:r w:rsidR="000775C2" w:rsidRPr="00995B26">
        <w:rPr>
          <w:rFonts w:cs="Traditional Arabic" w:hint="cs"/>
          <w:szCs w:val="30"/>
          <w:rtl/>
          <w:lang w:bidi="ar-SY"/>
        </w:rPr>
        <w:t>﴿</w:t>
      </w:r>
      <w:r w:rsidR="000775C2" w:rsidRPr="0067048A">
        <w:rPr>
          <w:rFonts w:ascii="KFGQPC Uthmanic Script HAFS" w:cs="KFGQPC Uthmanic Script HAFS" w:hint="eastAsia"/>
          <w:sz w:val="28"/>
          <w:szCs w:val="28"/>
          <w:rtl/>
        </w:rPr>
        <w:t>وَ</w:t>
      </w:r>
      <w:r w:rsidR="000775C2" w:rsidRPr="0067048A">
        <w:rPr>
          <w:rFonts w:ascii="KFGQPC Uthmanic Script HAFS" w:cs="KFGQPC Uthmanic Script HAFS" w:hint="cs"/>
          <w:sz w:val="28"/>
          <w:szCs w:val="28"/>
          <w:rtl/>
        </w:rPr>
        <w:t>ٱ</w:t>
      </w:r>
      <w:r w:rsidR="000775C2" w:rsidRPr="0067048A">
        <w:rPr>
          <w:rFonts w:ascii="KFGQPC Uthmanic Script HAFS" w:cs="KFGQPC Uthmanic Script HAFS" w:hint="eastAsia"/>
          <w:sz w:val="28"/>
          <w:szCs w:val="28"/>
          <w:rtl/>
        </w:rPr>
        <w:t>ع</w:t>
      </w:r>
      <w:r w:rsidR="000775C2" w:rsidRPr="0067048A">
        <w:rPr>
          <w:rFonts w:ascii="KFGQPC Uthmanic Script HAFS" w:cs="KFGQPC Uthmanic Script HAFS" w:hint="cs"/>
          <w:sz w:val="28"/>
          <w:szCs w:val="28"/>
          <w:rtl/>
        </w:rPr>
        <w:t>ۡ</w:t>
      </w:r>
      <w:r w:rsidR="000775C2" w:rsidRPr="0067048A">
        <w:rPr>
          <w:rFonts w:ascii="KFGQPC Uthmanic Script HAFS" w:cs="KFGQPC Uthmanic Script HAFS" w:hint="eastAsia"/>
          <w:sz w:val="28"/>
          <w:szCs w:val="28"/>
          <w:rtl/>
        </w:rPr>
        <w:t>لَمُو</w:t>
      </w:r>
      <w:r w:rsidR="000775C2" w:rsidRPr="0067048A">
        <w:rPr>
          <w:rFonts w:ascii="KFGQPC Uthmanic Script HAFS" w:cs="KFGQPC Uthmanic Script HAFS" w:hint="cs"/>
          <w:sz w:val="28"/>
          <w:szCs w:val="28"/>
          <w:rtl/>
        </w:rPr>
        <w:t>ٓ</w:t>
      </w:r>
      <w:r w:rsidR="000775C2" w:rsidRPr="0067048A">
        <w:rPr>
          <w:rFonts w:ascii="KFGQPC Uthmanic Script HAFS" w:cs="KFGQPC Uthmanic Script HAFS" w:hint="eastAsia"/>
          <w:sz w:val="28"/>
          <w:szCs w:val="28"/>
          <w:rtl/>
        </w:rPr>
        <w:t>اْ</w:t>
      </w:r>
      <w:r w:rsidR="000775C2" w:rsidRPr="0067048A">
        <w:rPr>
          <w:rFonts w:ascii="KFGQPC Uthmanic Script HAFS" w:cs="KFGQPC Uthmanic Script HAFS"/>
          <w:sz w:val="28"/>
          <w:szCs w:val="28"/>
          <w:rtl/>
        </w:rPr>
        <w:t xml:space="preserve"> </w:t>
      </w:r>
      <w:r w:rsidR="000775C2" w:rsidRPr="0067048A">
        <w:rPr>
          <w:rFonts w:ascii="KFGQPC Uthmanic Script HAFS" w:cs="KFGQPC Uthmanic Script HAFS" w:hint="eastAsia"/>
          <w:sz w:val="28"/>
          <w:szCs w:val="28"/>
          <w:rtl/>
        </w:rPr>
        <w:t>أَنَّمَا</w:t>
      </w:r>
      <w:r w:rsidR="000775C2" w:rsidRPr="0067048A">
        <w:rPr>
          <w:rFonts w:ascii="KFGQPC Uthmanic Script HAFS" w:cs="KFGQPC Uthmanic Script HAFS"/>
          <w:sz w:val="28"/>
          <w:szCs w:val="28"/>
          <w:rtl/>
        </w:rPr>
        <w:t xml:space="preserve"> </w:t>
      </w:r>
      <w:r w:rsidR="000775C2" w:rsidRPr="0067048A">
        <w:rPr>
          <w:rFonts w:ascii="KFGQPC Uthmanic Script HAFS" w:cs="KFGQPC Uthmanic Script HAFS" w:hint="eastAsia"/>
          <w:sz w:val="28"/>
          <w:szCs w:val="28"/>
          <w:rtl/>
        </w:rPr>
        <w:t>غَنِم</w:t>
      </w:r>
      <w:r w:rsidR="000775C2" w:rsidRPr="0067048A">
        <w:rPr>
          <w:rFonts w:ascii="KFGQPC Uthmanic Script HAFS" w:cs="KFGQPC Uthmanic Script HAFS" w:hint="cs"/>
          <w:sz w:val="28"/>
          <w:szCs w:val="28"/>
          <w:rtl/>
        </w:rPr>
        <w:t>ۡ</w:t>
      </w:r>
      <w:r w:rsidR="000775C2" w:rsidRPr="0067048A">
        <w:rPr>
          <w:rFonts w:ascii="KFGQPC Uthmanic Script HAFS" w:cs="KFGQPC Uthmanic Script HAFS" w:hint="eastAsia"/>
          <w:sz w:val="28"/>
          <w:szCs w:val="28"/>
          <w:rtl/>
        </w:rPr>
        <w:t>تُم</w:t>
      </w:r>
      <w:r w:rsidR="000775C2" w:rsidRPr="00995B26">
        <w:rPr>
          <w:rFonts w:ascii="KFGQPC Uthmanic Script HAFS" w:cs="Times New Roman" w:hint="cs"/>
          <w:sz w:val="28"/>
          <w:rtl/>
        </w:rPr>
        <w:t>...</w:t>
      </w:r>
      <w:r w:rsidR="000775C2" w:rsidRPr="00995B26">
        <w:rPr>
          <w:rFonts w:cs="Traditional Arabic" w:hint="cs"/>
          <w:szCs w:val="30"/>
          <w:rtl/>
          <w:lang w:bidi="ar-SY"/>
        </w:rPr>
        <w:t>﴾</w:t>
      </w:r>
      <w:r w:rsidRPr="00495BAB">
        <w:rPr>
          <w:rFonts w:hint="cs"/>
          <w:rtl/>
        </w:rPr>
        <w:t>.</w:t>
      </w:r>
    </w:p>
    <w:p w:rsidR="00CD31AA" w:rsidRPr="00495BAB" w:rsidRDefault="00CD31AA" w:rsidP="00495BAB">
      <w:pPr>
        <w:pStyle w:val="a0"/>
        <w:rPr>
          <w:rFonts w:hint="cs"/>
          <w:rtl/>
        </w:rPr>
      </w:pPr>
      <w:r w:rsidRPr="00495BAB">
        <w:rPr>
          <w:rFonts w:hint="cs"/>
          <w:rtl/>
        </w:rPr>
        <w:t xml:space="preserve">لو أخذ رسول الله </w:t>
      </w:r>
      <w:r w:rsidRPr="00495BAB">
        <w:rPr>
          <w:rFonts w:ascii="Abo-thar" w:hAnsi="Abo-thar"/>
          <w:sz w:val="28"/>
          <w:lang w:bidi="fa-IR"/>
        </w:rPr>
        <w:t></w:t>
      </w:r>
      <w:r w:rsidRPr="00495BAB">
        <w:rPr>
          <w:rFonts w:hint="cs"/>
          <w:rtl/>
        </w:rPr>
        <w:t xml:space="preserve"> مرَّةً واحدةً في حياته كلها فلسًا واحدًا من مسلم تحت عنوان خمس أرباح المكاسب لكان بإمكان أبي بكر وعمر وكان بإمكان هارون والمأمون اللذَين يعتبران نفسيهما من ذوي القربى، أن يأخذا، بصورة آكد، ملايين الملايين من أموال المسلمين تحت هذا العنوان! لأن جميع الناس في ذلك الزمن كانوا يعتبرون بني العباس أقرب إلى رسول الله </w:t>
      </w:r>
      <w:r w:rsidRPr="00495BAB">
        <w:rPr>
          <w:rFonts w:ascii="Abo-thar" w:hAnsi="Abo-thar"/>
          <w:sz w:val="28"/>
          <w:lang w:bidi="fa-IR"/>
        </w:rPr>
        <w:t></w:t>
      </w:r>
      <w:r w:rsidRPr="00495BAB">
        <w:rPr>
          <w:rFonts w:hint="cs"/>
          <w:rtl/>
        </w:rPr>
        <w:t xml:space="preserve"> من ناحية النسب، وكان شعراء ذلك العصر وخطباؤه وبلغاؤه يعتبرون بني العباس آلَ رسول الله </w:t>
      </w:r>
      <w:r w:rsidRPr="00495BAB">
        <w:rPr>
          <w:rFonts w:ascii="Abo-thar" w:hAnsi="Abo-thar"/>
          <w:sz w:val="28"/>
          <w:lang w:bidi="fa-IR"/>
        </w:rPr>
        <w:t></w:t>
      </w:r>
      <w:r w:rsidRPr="00495BAB">
        <w:rPr>
          <w:rFonts w:hint="cs"/>
          <w:rtl/>
        </w:rPr>
        <w:t xml:space="preserve"> في أشعارهم وخطبهم، ويقول قائلهم:</w:t>
      </w:r>
    </w:p>
    <w:p w:rsidR="00CD31AA" w:rsidRPr="00495BAB" w:rsidRDefault="00CD31AA" w:rsidP="00495BAB">
      <w:pPr>
        <w:pStyle w:val="a0"/>
        <w:rPr>
          <w:rFonts w:hint="cs"/>
          <w:rtl/>
        </w:rPr>
      </w:pPr>
      <w:r w:rsidRPr="00495BAB">
        <w:rPr>
          <w:rFonts w:hint="cs"/>
          <w:rtl/>
        </w:rPr>
        <w:t>شهدت من الأنفال آخر آية</w:t>
      </w:r>
      <w:r w:rsidRPr="00495BAB">
        <w:rPr>
          <w:rFonts w:hint="cs"/>
          <w:rtl/>
        </w:rPr>
        <w:tab/>
      </w:r>
      <w:r w:rsidRPr="00495BAB">
        <w:rPr>
          <w:rFonts w:hint="cs"/>
          <w:rtl/>
        </w:rPr>
        <w:tab/>
        <w:t xml:space="preserve">بتراثهم فأردتم إبطالها </w:t>
      </w:r>
    </w:p>
    <w:p w:rsidR="00CD31AA" w:rsidRPr="00495BAB" w:rsidRDefault="00CD31AA" w:rsidP="00495BAB">
      <w:pPr>
        <w:pStyle w:val="a0"/>
        <w:rPr>
          <w:rFonts w:hint="cs"/>
          <w:rtl/>
          <w:lang w:bidi="ar-SY"/>
        </w:rPr>
      </w:pPr>
      <w:r w:rsidRPr="00495BAB">
        <w:rPr>
          <w:rFonts w:hint="cs"/>
          <w:rtl/>
          <w:lang w:bidi="ar-SY"/>
        </w:rPr>
        <w:t xml:space="preserve">أيها السيد كاتب الردّ! لا يمكنك أن تجد أي جواب عن السؤال الذي وجّهتَه بنفسك لنفسك حين قلت: هل كان يؤخذ الخمس من شيء سوى غنائم الحرب زمن رسول الله </w:t>
      </w:r>
      <w:r w:rsidRPr="00495BAB">
        <w:rPr>
          <w:rFonts w:ascii="Abo-thar" w:hAnsi="Abo-thar"/>
          <w:sz w:val="28"/>
          <w:lang w:bidi="fa-IR"/>
        </w:rPr>
        <w:t></w:t>
      </w:r>
      <w:r w:rsidRPr="00495BAB">
        <w:rPr>
          <w:rFonts w:hint="cs"/>
          <w:rtl/>
          <w:lang w:bidi="ar-SY"/>
        </w:rPr>
        <w:t xml:space="preserve"> والخلفاء الراشدين؟ ولكنك لست معذوراً من التهرّب من الإجابة عن هذا السؤال لأنه بابٌ لعينٌ فتحتَه بنفسك على نفسك!! لم يكن هناك مثل هذا الحكم في أدق الحوادث التاريخية وأعمق المباحث الحقوقية، وكل من ادعى غير ذلك فإن دعواه تلك ليست سوى نتيجة لتعصّبه وتقليده أو خوفه من أنصار الخمس. هذه هي الحقيقة فاذهب حيثما تشاء وقل ما تشاء. ولكننا نقول لك من باب النصيحة وإرادة الخير: لا تتابع هذه القضية بهذه الصورة، لأنها ستكون في غير صالحك على كل حال من الأحوال. مهما كتبت وكتب المئات من أمثالك مثل هذه الردود فإنني بحمد الله في مكان مرتفع لأنني من أنصار الحق ولأن الكتاب والسنة والسيرة والتاريخ والعقل والوجدان كلها أنصار لي وتشهد لما أقول، ولن أتوانى عن الإجابة على ردودكم ما دمت حيًّا، لأنني أعتبر السكوت عن الردّ عليكم أمرًا مخالفًا لديني ووجداني، وأوقن بهزيمتكم في نهاية المطاف.</w:t>
      </w:r>
    </w:p>
    <w:p w:rsidR="00CD31AA" w:rsidRPr="00495BAB" w:rsidRDefault="00CD31AA" w:rsidP="00495BAB">
      <w:pPr>
        <w:pStyle w:val="a0"/>
        <w:rPr>
          <w:rFonts w:hint="cs"/>
          <w:rtl/>
          <w:lang w:bidi="ar-SY"/>
        </w:rPr>
      </w:pPr>
      <w:r w:rsidRPr="00495BAB">
        <w:rPr>
          <w:rFonts w:hint="cs"/>
          <w:rtl/>
          <w:lang w:bidi="ar-SY"/>
        </w:rPr>
        <w:t>أما السؤال الثاني لكاتب الردّ فكان: ألم تصلنا أي رواية في هذا الصدد؟ وفي الإجابة عن هذا القسم انطلق لسان صاحب الردّ يصدح كالبلبل وأخذ يشتغل بترديد النغمات وأتى بكلام جديد وفكر جديد، كما يقول هو نفسه: «</w:t>
      </w:r>
      <w:r w:rsidRPr="00995B26">
        <w:rPr>
          <w:rFonts w:cs="Akhbar MT" w:hint="cs"/>
          <w:szCs w:val="30"/>
          <w:rtl/>
          <w:lang w:bidi="ar-SY"/>
        </w:rPr>
        <w:t>لمَّا كان الشيعة لا يفصلون بين سيرة أئمة الهدى وسيرة النبي ويعتبرون كلام الأئمة مبيِّنًا لسيرة النبي</w:t>
      </w:r>
      <w:r w:rsidRPr="00495BAB">
        <w:rPr>
          <w:rFonts w:hint="cs"/>
          <w:rtl/>
          <w:lang w:bidi="ar-SY"/>
        </w:rPr>
        <w:t xml:space="preserve"> </w:t>
      </w:r>
      <w:r w:rsidRPr="00495BAB">
        <w:rPr>
          <w:rFonts w:ascii="Abo-thar" w:hAnsi="Abo-thar"/>
          <w:sz w:val="28"/>
          <w:lang w:bidi="fa-IR"/>
        </w:rPr>
        <w:t></w:t>
      </w:r>
      <w:r w:rsidRPr="00495BAB">
        <w:rPr>
          <w:rFonts w:hint="cs"/>
          <w:rtl/>
          <w:lang w:bidi="ar-SY"/>
        </w:rPr>
        <w:t>....»، أي أنه يريد القول إن لم يأخذ النبيُّ خمسَ أرباح المكاسب من الناس فإن أئمة الهدى قد أخذوه، وهذا في الواقع ادعاء كاذب آخر لا يستند إلى أي دليل. إنك لن تجد في التاريخ الواضح لكل واحد من أئمة الهدى أنه أخذ دينارًا واحدًا من باب خمس أرباح المكاسب من شخص!</w:t>
      </w:r>
    </w:p>
    <w:p w:rsidR="00CD31AA" w:rsidRPr="00495BAB" w:rsidRDefault="00CD31AA" w:rsidP="00495BAB">
      <w:pPr>
        <w:pStyle w:val="a0"/>
        <w:rPr>
          <w:rFonts w:hint="cs"/>
          <w:rtl/>
          <w:lang w:bidi="ar-SY"/>
        </w:rPr>
      </w:pPr>
      <w:r w:rsidRPr="00495BAB">
        <w:rPr>
          <w:rFonts w:hint="cs"/>
          <w:rtl/>
          <w:lang w:bidi="ar-SY"/>
        </w:rPr>
        <w:t>نعم، وُجِدَ بين أصحاب الأئمة أشخاصٌ كانوا يأخذون من الناس أشياء تحت دعوى أنهم وكلاء للأئمة. وقد أوردنا هذا المطلب في كتابنا الحالي تحت عنوان (الأموال التي كان يدفعها الناس للأئمة) وكانت تلك الأموال في أغلبها تؤخذ باسم الزكاة والأوقاف والنذورات، وكان أغلب الذين كانوا يأخذونها مخادعين ماكرين وذلك كأسرة البطائنة والأشاعثة وأسرة المهزيار والشلمغاني الذين كانوا يأخذون الخمس ويأكلونه ويصرفونه على أنفسهم.</w:t>
      </w:r>
    </w:p>
    <w:p w:rsidR="00CD31AA" w:rsidRPr="00495BAB" w:rsidRDefault="00CD31AA" w:rsidP="00495BAB">
      <w:pPr>
        <w:pStyle w:val="a0"/>
        <w:rPr>
          <w:rFonts w:hint="cs"/>
          <w:rtl/>
          <w:lang w:bidi="ar-SY"/>
        </w:rPr>
      </w:pPr>
      <w:r w:rsidRPr="00495BAB">
        <w:rPr>
          <w:rFonts w:hint="cs"/>
          <w:rtl/>
          <w:lang w:bidi="ar-SY"/>
        </w:rPr>
        <w:t xml:space="preserve">أفضل دليل على أن الأئمة </w:t>
      </w:r>
      <w:r w:rsidR="00BC4BA9" w:rsidRPr="00BC4BA9">
        <w:rPr>
          <w:rFonts w:cs="CTraditional Arabic" w:hint="cs"/>
          <w:rtl/>
          <w:lang w:bidi="ar-SY"/>
        </w:rPr>
        <w:t>÷</w:t>
      </w:r>
      <w:r w:rsidRPr="00495BAB">
        <w:rPr>
          <w:rFonts w:hint="cs"/>
          <w:rtl/>
          <w:lang w:bidi="ar-SY"/>
        </w:rPr>
        <w:t xml:space="preserve"> لم يأخذوا من أحدٍ شيئًا أبدًا بهذا العنوان (أي عنوان الخمس)، وهو دليل لا يمكن أن يتطرق الشك إليه، هو الآتي: كان كل واحد من الأئمة يعيش دائماً تحت مراقبة الأعداء وسعاية المخالفين، ولما كان خلفاء ذلك الزمن يعتبرون وجود الأئمة مخلاً بحكومتهم ومضرًّا بها، كانوا يسعون إلى الطعن فيهم والحط من شأنهم في أنظار الناس بأي وسيلة ممكنة، حتى لو استطاعوا أن يصوّروهم أشخاصًا مهدوري الدم لفعلوا ذلك. ولمَّا لم يكن هناك في دين الإسلام أي حديث أبدًا عن خمس أرباح المكاسب، كان من الكافي أن ينسبوا أحد هذه الأحاديث والأخبار التي يمكن العثور عليها في كتب الشيعة إلى أولئك الأئمة الأجلاء، وعندئذ كانوا سيستهزئون بهم بوصفهم من المبتدعين في دين الله في أنظار الناس ويشمتون بهم، ويسعون بكل يُسْرٍ في إيذائهم بل قتلهم. لكنْ بحمد الله تعالى لا نجد في سيرة أي واحد من هؤلاء الأجلاء أدنى إشارة لهذا الأمر.</w:t>
      </w:r>
    </w:p>
    <w:p w:rsidR="00CD31AA" w:rsidRPr="00495BAB" w:rsidRDefault="00CD31AA" w:rsidP="00495BAB">
      <w:pPr>
        <w:pStyle w:val="a0"/>
        <w:rPr>
          <w:rFonts w:hint="cs"/>
          <w:rtl/>
          <w:lang w:bidi="ar-SY"/>
        </w:rPr>
      </w:pPr>
      <w:r w:rsidRPr="00495BAB">
        <w:rPr>
          <w:rFonts w:hint="cs"/>
          <w:rtl/>
          <w:lang w:bidi="ar-SY"/>
        </w:rPr>
        <w:t>وأما ما قاله من أن «</w:t>
      </w:r>
      <w:r w:rsidRPr="00995B26">
        <w:rPr>
          <w:rFonts w:cs="Akhbar MT" w:hint="cs"/>
          <w:szCs w:val="30"/>
          <w:rtl/>
          <w:lang w:bidi="ar-SY"/>
        </w:rPr>
        <w:t>الشيعة لا تفرّق بين قال الصادق وقال الباقر وبين قال رسول الله</w:t>
      </w:r>
      <w:r w:rsidRPr="00495BAB">
        <w:rPr>
          <w:rFonts w:hint="cs"/>
          <w:rtl/>
          <w:lang w:bidi="ar-SY"/>
        </w:rPr>
        <w:t xml:space="preserve">»، فنقول له: إن الشيعة أو كل مسلم يعلم أن ما قاله الإمام الصادق والإمام الباقر في الموضوعات الدينية، كانوا فيه رواةً صادقين عن الرسول المختار، ولم يعتبر أيُّ مسلم أبدًا أن الصادق والباقر نبِـيَّيْن ومُشَرِّعَين، ومثل هذا الادعاء مرفوض من أي شخص كان بل يستحق صاحبه القتل لأجله. كما أنّ الباقر والصادق لم يقولا ولا يمكن أن يقولا أيَّ حديث أو كلام لم يقله النبيُّ </w:t>
      </w:r>
      <w:r w:rsidRPr="00495BAB">
        <w:rPr>
          <w:rFonts w:ascii="Abo-thar" w:hAnsi="Abo-thar"/>
          <w:sz w:val="28"/>
          <w:lang w:bidi="fa-IR"/>
        </w:rPr>
        <w:t></w:t>
      </w:r>
      <w:r w:rsidRPr="00495BAB">
        <w:rPr>
          <w:rFonts w:hint="cs"/>
          <w:rtl/>
          <w:lang w:bidi="ar-SY"/>
        </w:rPr>
        <w:t xml:space="preserve"> ولا أن يقوما بأي عمل لم يعمَلْهُ النبي </w:t>
      </w:r>
      <w:r w:rsidRPr="00495BAB">
        <w:rPr>
          <w:rFonts w:ascii="Abo-thar" w:hAnsi="Abo-thar"/>
          <w:sz w:val="28"/>
          <w:lang w:bidi="fa-IR"/>
        </w:rPr>
        <w:t></w:t>
      </w:r>
      <w:r w:rsidRPr="00495BAB">
        <w:rPr>
          <w:rFonts w:hint="cs"/>
          <w:rtl/>
          <w:lang w:bidi="ar-SY"/>
        </w:rPr>
        <w:t>.</w:t>
      </w:r>
    </w:p>
    <w:p w:rsidR="00CD31AA" w:rsidRPr="00495BAB" w:rsidRDefault="00CD31AA" w:rsidP="00495BAB">
      <w:pPr>
        <w:pStyle w:val="a0"/>
        <w:rPr>
          <w:rFonts w:hint="cs"/>
          <w:rtl/>
          <w:lang w:bidi="ar-SY"/>
        </w:rPr>
      </w:pPr>
      <w:r w:rsidRPr="00495BAB">
        <w:rPr>
          <w:rFonts w:hint="cs"/>
          <w:rtl/>
          <w:lang w:bidi="ar-SY"/>
        </w:rPr>
        <w:t>ليس لدينا أي شيء أو خبر مهما كان صغيرًا يثبت أن رسول الله أخذ خمس أرباح المكاسب من أحد، وما نسبوه لأئمة الهدى في هذا الخصوص كاذب وعارٍ عن الصحة تمامًا. وقد محَّصْنا في كتابنا الحالي هذه الأحاديث وفحصناها بشكل دقيق وكافٍ وميّزنا الصحيح فيها من السقيم.</w:t>
      </w:r>
    </w:p>
    <w:p w:rsidR="00CD31AA" w:rsidRPr="00495BAB" w:rsidRDefault="00CD31AA" w:rsidP="00495BAB">
      <w:pPr>
        <w:pStyle w:val="a0"/>
        <w:rPr>
          <w:rFonts w:hint="cs"/>
          <w:rtl/>
          <w:lang w:bidi="ar-SY"/>
        </w:rPr>
      </w:pPr>
      <w:r w:rsidRPr="00495BAB">
        <w:rPr>
          <w:rFonts w:hint="cs"/>
          <w:rtl/>
          <w:lang w:bidi="ar-SY"/>
        </w:rPr>
        <w:t xml:space="preserve">إنَّ الخُمْسَ الاصطلاحيَّ أمرٌ ماليٌّ، وكلُّ مسلم شيعي في كل يوم وساعة يواجه هذه القضية، </w:t>
      </w:r>
      <w:r w:rsidRPr="00495BAB">
        <w:rPr>
          <w:rtl/>
          <w:lang w:bidi="ar-SY"/>
        </w:rPr>
        <w:t>وَمِنْ ثَمَّ</w:t>
      </w:r>
      <w:r w:rsidRPr="00495BAB">
        <w:rPr>
          <w:rFonts w:hint="cs"/>
          <w:rtl/>
          <w:lang w:bidi="ar-SY"/>
        </w:rPr>
        <w:t xml:space="preserve"> لا يمكن أبدًا لمثل هذا الحكم أن يكون حكمًا إلهيًّا إذْ لا يمكن أبدًا أن يبقى مثل هذا الحُكْم مُعَطَّلاً وموقوفًا بل مسكوتًا عنه لا يبلِّغه أحدٌ طول </w:t>
      </w:r>
      <w:r w:rsidR="00755AAC">
        <w:rPr>
          <w:rFonts w:hint="cs"/>
          <w:rtl/>
          <w:lang w:bidi="ar-SY"/>
        </w:rPr>
        <w:t>مائة</w:t>
      </w:r>
      <w:r w:rsidRPr="00495BAB">
        <w:rPr>
          <w:rFonts w:hint="cs"/>
          <w:rtl/>
          <w:lang w:bidi="ar-SY"/>
        </w:rPr>
        <w:t xml:space="preserve"> وخمسين عامًا تقريبًا بعد نزول القرآن، حتى يأتي زمن الصادق والباقر فيبينونه للناس!؟ بيانًا بالطريقة التي نعرفها، إذْ لم يدَّعوا أبدًا مثل هذا الادِّعاء بين عشرة أفراد بل بين فردين من المسلمين.</w:t>
      </w:r>
    </w:p>
    <w:p w:rsidR="00CD31AA" w:rsidRPr="00495BAB" w:rsidRDefault="00CD31AA" w:rsidP="00495BAB">
      <w:pPr>
        <w:pStyle w:val="a0"/>
        <w:rPr>
          <w:rFonts w:hint="cs"/>
          <w:rtl/>
          <w:lang w:bidi="ar-SY"/>
        </w:rPr>
      </w:pPr>
      <w:r w:rsidRPr="00495BAB">
        <w:rPr>
          <w:rFonts w:hint="cs"/>
          <w:rtl/>
          <w:lang w:bidi="ar-SY"/>
        </w:rPr>
        <w:t xml:space="preserve">في الواقع إنه لَمِن دواعي العَجَب أن ينزل حكمٌ للخُمس بهذه الأهمية على رسول الله </w:t>
      </w:r>
      <w:r w:rsidRPr="00495BAB">
        <w:rPr>
          <w:rFonts w:ascii="Abo-thar" w:hAnsi="Abo-thar"/>
          <w:sz w:val="28"/>
          <w:lang w:bidi="fa-IR"/>
        </w:rPr>
        <w:t></w:t>
      </w:r>
      <w:r w:rsidRPr="00495BAB">
        <w:rPr>
          <w:rFonts w:hint="cs"/>
          <w:rtl/>
          <w:lang w:bidi="ar-SY"/>
        </w:rPr>
        <w:t xml:space="preserve"> فلا يجد رسول الله مجالًا للقيام بأدنى خطوة لتطبيقه وأخذه من الناس، ولا يتكلم حوله بأدنى كلمة! وبعد </w:t>
      </w:r>
      <w:r w:rsidR="00755AAC">
        <w:rPr>
          <w:rFonts w:hint="cs"/>
          <w:rtl/>
          <w:lang w:bidi="ar-SY"/>
        </w:rPr>
        <w:t>مائة</w:t>
      </w:r>
      <w:r w:rsidRPr="00495BAB">
        <w:rPr>
          <w:rFonts w:hint="cs"/>
          <w:rtl/>
          <w:lang w:bidi="ar-SY"/>
        </w:rPr>
        <w:t xml:space="preserve"> وخمسين عامًا يأتي الإمام الصادق </w:t>
      </w:r>
      <w:r w:rsidR="00451CED" w:rsidRPr="00451CED">
        <w:rPr>
          <w:rFonts w:ascii="Abo-thar" w:hAnsi="Abo-thar" w:cs="CTraditional Arabic"/>
          <w:sz w:val="28"/>
          <w:rtl/>
          <w:lang w:bidi="ar-SY"/>
        </w:rPr>
        <w:t>÷</w:t>
      </w:r>
      <w:r w:rsidRPr="00495BAB">
        <w:rPr>
          <w:rFonts w:hint="cs"/>
          <w:rtl/>
          <w:lang w:bidi="ar-SY"/>
        </w:rPr>
        <w:t xml:space="preserve"> فيُبَيِّنُ هذا الحكمَ لراوٍ كذّابٍ سيِّء السمعة، ثم يأتي محدِّث الشيعة بعد أربع</w:t>
      </w:r>
      <w:r w:rsidR="00755AAC">
        <w:rPr>
          <w:rFonts w:hint="cs"/>
          <w:rtl/>
          <w:lang w:bidi="ar-SY"/>
        </w:rPr>
        <w:t>مائة</w:t>
      </w:r>
      <w:r w:rsidRPr="00495BAB">
        <w:rPr>
          <w:rFonts w:hint="cs"/>
          <w:rtl/>
          <w:lang w:bidi="ar-SY"/>
        </w:rPr>
        <w:t xml:space="preserve"> عامٍ فيُدَوِّنُ هذا الحديثَ في كتاب، ثم بعد ألف سنة يصبح هذا الحديث مستَنَدًا لأخذ خمس إيرادات الناس اليومية، حتى ما يكسبه البقَّال والحمَّال!! </w:t>
      </w:r>
    </w:p>
    <w:p w:rsidR="00CD31AA" w:rsidRPr="00495BAB" w:rsidRDefault="00CD31AA" w:rsidP="00495BAB">
      <w:pPr>
        <w:pStyle w:val="a0"/>
        <w:rPr>
          <w:rFonts w:hint="cs"/>
          <w:rtl/>
          <w:lang w:bidi="ar-SY"/>
        </w:rPr>
      </w:pPr>
      <w:r w:rsidRPr="00495BAB">
        <w:rPr>
          <w:rFonts w:hint="cs"/>
          <w:rtl/>
          <w:lang w:bidi="ar-SY"/>
        </w:rPr>
        <w:t>والغريب الملفت للنظر أن الأخبار التي نسبوها للإمام الصادق، نسبوها إليه عن طريق رواية أشخاصٍ هم من أسوأ رواة الحديث في كتب الرجال، بل نحن نشك حتى في النقل عن هؤلاء الرواة، لأن رواية ذلك الحديث لم تتجاوز أبدًا رواية شخصٍ واحدٍ مباشرٍ!</w:t>
      </w:r>
    </w:p>
    <w:p w:rsidR="00CD31AA" w:rsidRPr="00995B26" w:rsidRDefault="00CD31AA" w:rsidP="00495BAB">
      <w:pPr>
        <w:pStyle w:val="a0"/>
        <w:rPr>
          <w:rFonts w:hint="cs"/>
          <w:rtl/>
          <w:lang w:bidi="ar-SY"/>
        </w:rPr>
      </w:pPr>
      <w:r w:rsidRPr="00495BAB">
        <w:rPr>
          <w:rFonts w:hint="cs"/>
          <w:rtl/>
          <w:lang w:bidi="ar-SY"/>
        </w:rPr>
        <w:t>ثم قال صاحب الرد في موضع آخر من تلك الفقرة: «</w:t>
      </w:r>
      <w:r w:rsidRPr="00995B26">
        <w:rPr>
          <w:rFonts w:cs="Akhbar MT" w:hint="cs"/>
          <w:szCs w:val="30"/>
          <w:rtl/>
          <w:lang w:bidi="ar-SY"/>
        </w:rPr>
        <w:t xml:space="preserve">لكن توقُّع أن يروي العامَّةُ أحاديثَ حول الخُمس عن النبي </w:t>
      </w:r>
      <w:r w:rsidRPr="00995B26">
        <w:rPr>
          <w:rFonts w:ascii="Abo-thar" w:hAnsi="Abo-thar" w:cs="Akhbar MT"/>
          <w:sz w:val="28"/>
          <w:szCs w:val="30"/>
          <w:lang w:bidi="fa-IR"/>
        </w:rPr>
        <w:t></w:t>
      </w:r>
      <w:r w:rsidRPr="00995B26">
        <w:rPr>
          <w:rFonts w:cs="Akhbar MT" w:hint="cs"/>
          <w:szCs w:val="30"/>
          <w:rtl/>
          <w:lang w:bidi="ar-SY"/>
        </w:rPr>
        <w:t xml:space="preserve"> توقُّعٌ في غير محله أبدًا</w:t>
      </w:r>
      <w:r w:rsidRPr="00495BAB">
        <w:rPr>
          <w:rFonts w:hint="cs"/>
          <w:rtl/>
          <w:lang w:bidi="ar-SY"/>
        </w:rPr>
        <w:t xml:space="preserve"> </w:t>
      </w:r>
      <w:r w:rsidRPr="00995B26">
        <w:rPr>
          <w:rFonts w:cs="Akhbar MT" w:hint="cs"/>
          <w:szCs w:val="30"/>
          <w:rtl/>
          <w:lang w:bidi="ar-SY"/>
        </w:rPr>
        <w:t>لأن الخلفاء كانوا يسعون ألا يعطى الخُمس إلى ذوي القربى</w:t>
      </w:r>
      <w:r w:rsidRPr="00495BAB">
        <w:rPr>
          <w:rFonts w:hint="cs"/>
          <w:rtl/>
          <w:lang w:bidi="ar-SY"/>
        </w:rPr>
        <w:t xml:space="preserve">». </w:t>
      </w:r>
    </w:p>
    <w:p w:rsidR="00CD31AA" w:rsidRPr="00495BAB" w:rsidRDefault="00CD31AA" w:rsidP="00495BAB">
      <w:pPr>
        <w:pStyle w:val="a0"/>
        <w:rPr>
          <w:rFonts w:hint="cs"/>
          <w:rtl/>
          <w:lang w:bidi="ar-SY"/>
        </w:rPr>
      </w:pPr>
      <w:r w:rsidRPr="00495BAB">
        <w:rPr>
          <w:rFonts w:hint="cs"/>
          <w:rtl/>
          <w:lang w:bidi="ar-SY"/>
        </w:rPr>
        <w:t xml:space="preserve">هنا مارس كاتب الردّ الاحتيال والخِداع أكثر من مرَّة، إذْ أراد أن يثبت أمرًا بواسطة تخيلاته! إنه يقول: إن العامَّة لا يمكن أن تروي الأحاديث المتعلِّقة بالخُمس، وتوقُّع هذا منهم تَوَقُّعٌ في غير محلِّه أبدًا! هذا في حين أن العامَّة [أي أهل السنة] رووا في كل موردٍ أحاديث عديدة في فضل أهل البيت وحقّانيّتهم، يزيد عددها بكثير على ما رواه الخاصَّة [أي الشيعة الإماميّة] في هذا الموضوع. كما نشاهد هذا الأمر في كتاب </w:t>
      </w:r>
      <w:r w:rsidRPr="00495BAB">
        <w:rPr>
          <w:rFonts w:hint="cs"/>
          <w:b/>
          <w:bCs/>
          <w:rtl/>
          <w:lang w:bidi="ar-SY"/>
        </w:rPr>
        <w:t>غاية المرام</w:t>
      </w:r>
      <w:r w:rsidRPr="00495BAB">
        <w:rPr>
          <w:rFonts w:hint="cs"/>
          <w:rtl/>
          <w:lang w:bidi="ar-SY"/>
        </w:rPr>
        <w:t xml:space="preserve"> للسيد هاشم البحراني إذْ نجد أن أحاديث العامَّة في كل باب من أبواب الكتاب تبلغ عدَّة أضعاف أحاديث الخاصَّة. لذلك فحديث الخُمس لا يضرُّ بالعامَّة أبدًا أكثر من ضرر حديث الثقلين والسفينة والمنزلة والطير المشوي ومئات الأحاديث المشابهة، ورغم ذلك رواها العامة أكثر من رواية الخاصة لها بكثير، وأوردوها في كتبهم. فهذا العذر عذرٌ أقبح من ذنب، وقد خطر لذهن هؤلاء السادة حديثًا، لكن بلا فائدة!</w:t>
      </w:r>
    </w:p>
    <w:p w:rsidR="00CD31AA" w:rsidRPr="00495BAB" w:rsidRDefault="00CD31AA" w:rsidP="00495BAB">
      <w:pPr>
        <w:pStyle w:val="a0"/>
        <w:rPr>
          <w:rFonts w:hint="cs"/>
          <w:rtl/>
          <w:lang w:bidi="ar-SY"/>
        </w:rPr>
      </w:pPr>
      <w:r w:rsidRPr="00495BAB">
        <w:rPr>
          <w:rFonts w:hint="cs"/>
          <w:rtl/>
          <w:lang w:bidi="ar-SY"/>
        </w:rPr>
        <w:t>ومن الجهة الأخرى فإن أكثر الخلفاء الإسلاميين كانوا يعتبرون أنفسهم من ذوي القربى لاسيما الخلفاء العباسيون والخلفاء الفاطميون والأدارسة و....</w:t>
      </w:r>
      <w:r w:rsidR="001D7DEC" w:rsidRPr="00495BAB">
        <w:rPr>
          <w:rFonts w:hint="cs"/>
          <w:rtl/>
          <w:lang w:bidi="ar-SY"/>
        </w:rPr>
        <w:t>،</w:t>
      </w:r>
      <w:r w:rsidRPr="00495BAB">
        <w:rPr>
          <w:rFonts w:hint="cs"/>
          <w:rtl/>
          <w:lang w:bidi="ar-SY"/>
        </w:rPr>
        <w:t xml:space="preserve"> ولم يكن في ذلك الزمن لدى أي شخص هوية خاصة باسم ذي القربى حتى يمنعوه حقَّه. لكن اشتهر في هذه الأيام (في عصرنا) أن عبارة «ذي القربى» تشير إلى الأئمة المعصومين، في حين لم يكن لذي القربى هذا المعنى أبدًا في ذلك الزمن، وربما اعتبر الخلفاء الفاطميون أنفسهم أئمةً معصومين بل منصوصًا عليهم، ورغم ذلك لم يعتبروا أن لهم مثل هذا الحق (الخُمس)، ولم يأخذوا من أحدٍ مالًا تحت هذا العنوان!</w:t>
      </w:r>
    </w:p>
    <w:p w:rsidR="00CD31AA" w:rsidRPr="00495BAB" w:rsidRDefault="00CD31AA" w:rsidP="00495BAB">
      <w:pPr>
        <w:pStyle w:val="a0"/>
        <w:rPr>
          <w:rFonts w:hint="cs"/>
          <w:rtl/>
          <w:lang w:bidi="ar-SY"/>
        </w:rPr>
      </w:pPr>
      <w:r w:rsidRPr="00495BAB">
        <w:rPr>
          <w:rFonts w:hint="cs"/>
          <w:rtl/>
          <w:lang w:bidi="ar-SY"/>
        </w:rPr>
        <w:t>والمضحك أكثر من كل ما سبق قول هذا السيد الأصفهاني: «</w:t>
      </w:r>
      <w:r w:rsidRPr="00995B26">
        <w:rPr>
          <w:rFonts w:cs="Akhbar MT" w:hint="cs"/>
          <w:szCs w:val="30"/>
          <w:rtl/>
          <w:lang w:bidi="ar-SY"/>
        </w:rPr>
        <w:t>لأن الخُمس -كما قلنا- من الأموال المتعلقة بشؤون الولاية والحكومة الإسلامية، وكان أداء الخُمس لذوي القربى في حقيقة الأمر تثبيتًا لحكومتهم. لذا كانوا يحاولون سلب الأئمة هذا الحق بأي شكل من الأشكال</w:t>
      </w:r>
      <w:r w:rsidRPr="00495BAB">
        <w:rPr>
          <w:rFonts w:hint="cs"/>
          <w:rtl/>
          <w:lang w:bidi="ar-SY"/>
        </w:rPr>
        <w:t>».</w:t>
      </w:r>
    </w:p>
    <w:p w:rsidR="00CD31AA" w:rsidRPr="00495BAB" w:rsidRDefault="00CD31AA" w:rsidP="00495BAB">
      <w:pPr>
        <w:pStyle w:val="a0"/>
        <w:rPr>
          <w:rFonts w:hint="cs"/>
          <w:rtl/>
          <w:lang w:bidi="ar-SY"/>
        </w:rPr>
      </w:pPr>
      <w:r w:rsidRPr="00495BAB">
        <w:rPr>
          <w:rFonts w:hint="cs"/>
          <w:rtl/>
          <w:lang w:bidi="ar-SY"/>
        </w:rPr>
        <w:t xml:space="preserve">وأقول: وكأن الخمس، لاسيّما خمس الأرباح والمكاسب، كان حقًّا مُسلَّمًا به تأخذه الحكومة الإسلامية، ولمَّا وصل الدور الآن إلى ذي القربى، - والذين لا ندري من هم في مذهب آكلي الخُمس هؤلاء، هل هم: فاطمة؟ أم العباس؟ أم علي؟ أم جميع أقرباء رسول الله </w:t>
      </w:r>
      <w:r w:rsidRPr="00495BAB">
        <w:rPr>
          <w:rFonts w:ascii="Abo-thar" w:hAnsi="Abo-thar"/>
          <w:sz w:val="28"/>
          <w:lang w:bidi="fa-IR"/>
        </w:rPr>
        <w:t></w:t>
      </w:r>
      <w:r w:rsidRPr="00495BAB">
        <w:rPr>
          <w:rFonts w:hint="cs"/>
          <w:rtl/>
          <w:lang w:bidi="ar-SY"/>
        </w:rPr>
        <w:t xml:space="preserve"> من بني هاشم وبني المطّلب؟ - فإنك تزعم إن العامة، أي أهل السنَّة، جاؤوا وخنقوا جميع المحدِّثين، وأحرقوا كتب الحديث جميعها، كي لا يصل هذا الحق المُسلَّم به إلى ذي القربى هؤلاء، الذين كانوا أصحاب حكومة إسلامية، وكي لا يقوى أمر حكومتهم الإسلامية هذه ولا تقوى شوكتها؛ إذْ رُبَّما قامت عندئذٍ بالقضاء على أهل السنَّة وإهلاكهم!؟</w:t>
      </w:r>
    </w:p>
    <w:p w:rsidR="00CD31AA" w:rsidRPr="00495BAB" w:rsidRDefault="00CD31AA" w:rsidP="00495BAB">
      <w:pPr>
        <w:pStyle w:val="a0"/>
        <w:rPr>
          <w:rFonts w:hint="cs"/>
          <w:rtl/>
          <w:lang w:bidi="ar-SY"/>
        </w:rPr>
      </w:pPr>
      <w:r w:rsidRPr="00495BAB">
        <w:rPr>
          <w:rFonts w:hint="cs"/>
          <w:rtl/>
          <w:lang w:bidi="ar-SY"/>
        </w:rPr>
        <w:t>حقًّا إن المرءَ ليقف مبهوتًا محتارًا أمام هذه الأمور التي يفكِّر بها هؤلاء في عالَم الحُلُم والخَيَال: فأيُّ حكومة إسلامية؟ وأيُّ ذي القربى؟ وأيُّ خُمس؟!</w:t>
      </w:r>
    </w:p>
    <w:p w:rsidR="00CD31AA" w:rsidRPr="00495BAB" w:rsidRDefault="00CD31AA" w:rsidP="00495BAB">
      <w:pPr>
        <w:pStyle w:val="a0"/>
        <w:rPr>
          <w:rFonts w:hint="cs"/>
          <w:rtl/>
          <w:lang w:bidi="ar-SY"/>
        </w:rPr>
      </w:pPr>
      <w:r w:rsidRPr="00495BAB">
        <w:rPr>
          <w:rFonts w:hint="cs"/>
          <w:rtl/>
          <w:lang w:bidi="ar-SY"/>
        </w:rPr>
        <w:t>لو كان لدى الإنسان شيء من العقل الذي هو من لوازم الحياء، هل كان بإمكانه أن يلفِّق مثل هذه التُرَّهات؟! متى كانت الحكومة الإسلامية معطّلةً وموقوفةً على توفر هذا الخُمس أو عدم توفره؟ ومتى كان من لوازم الحكومة وجود مثل هذا الخُمس؟ اليوم وأنتم تأخذون هذا الخُمس من الناس المساكين، أي حكومة شكَّلتُم، وأي مسؤولية في المجتمع الإسلامي تحمَّلتُم؟ أيٌّ منكم - أعم من الآيات العظام وحجج الإسلام!! - له أدنى أثر في الوضع الاقتصادي أو الصحي أو الأخلاقي أو السياسي</w:t>
      </w:r>
      <w:r w:rsidR="00AB28A0" w:rsidRPr="00495BAB">
        <w:rPr>
          <w:rFonts w:hint="cs"/>
          <w:rtl/>
          <w:lang w:bidi="ar-SY"/>
        </w:rPr>
        <w:t>.</w:t>
      </w:r>
      <w:r w:rsidRPr="00495BAB">
        <w:rPr>
          <w:rFonts w:hint="cs"/>
          <w:rtl/>
          <w:lang w:bidi="ar-SY"/>
        </w:rPr>
        <w:t>.. الخ للمجتمع الإيراني، أو يفهم شيئًا من هذه الأمور أساسًا؟! هل تقومون في حوزاتكم "العلمية" - اصطلاحًا - بشيء سوى انشغالكم بعبارات: «ضرب زيدٌ عَمْرًا أو البحث والنقاش حول أنوع الغسل الواجب والمستحب، أو في المستويات الأرفع: عبارات الأحوط والأقوى في الفروع؟!</w:t>
      </w:r>
    </w:p>
    <w:p w:rsidR="00CD31AA" w:rsidRPr="00495BAB" w:rsidRDefault="00CD31AA" w:rsidP="00495BAB">
      <w:pPr>
        <w:pStyle w:val="a0"/>
        <w:rPr>
          <w:rFonts w:hint="cs"/>
          <w:rtl/>
          <w:lang w:bidi="ar-SY"/>
        </w:rPr>
      </w:pPr>
      <w:r w:rsidRPr="00495BAB">
        <w:rPr>
          <w:rFonts w:hint="cs"/>
          <w:rtl/>
          <w:lang w:bidi="ar-SY"/>
        </w:rPr>
        <w:t xml:space="preserve">والعجيب أنه أحالنا للاطلاع على هذا الموضوع وشرحه إلى الصفحة 110 من كتاب </w:t>
      </w:r>
      <w:r w:rsidRPr="00495BAB">
        <w:rPr>
          <w:rFonts w:hint="cs"/>
          <w:b/>
          <w:bCs/>
          <w:rtl/>
          <w:lang w:bidi="ar-SY"/>
        </w:rPr>
        <w:t>النص والاجتهاد</w:t>
      </w:r>
      <w:r w:rsidRPr="00495BAB">
        <w:rPr>
          <w:rFonts w:hint="cs"/>
          <w:rtl/>
          <w:lang w:bidi="ar-SY"/>
        </w:rPr>
        <w:t>، مع أنه لا يوجد كلام حول هذا الموضوع في المرجع الذي أحال إليه! ولعل الأمر الوحيد الموجود في ذلك الكتاب، الذي استند إليه كاتب الردّ، هو أن الخلفاء ما كانوا يعطون ذي القربى من سهم غنائم الحرب. فأي علاقة لهذا بخمس أرباح المكاسب؟ إن ذلك الخمس كان خمس أموال الكفار والمشركين مما يغنمه المسلمون منهم خلال المعارك التي كانت تقع لأجل نشر حقائق الإسلام، فكان رئيس المسلمين يأخذ خمس أموال الكفار، لا خمس تعب وعناء وكد يمين كل عجوز وحمَّال وعامل من شيعة عليٍّ!؟ فأين هذا من ذاك؟</w:t>
      </w:r>
    </w:p>
    <w:p w:rsidR="00CD31AA" w:rsidRPr="00495BAB" w:rsidRDefault="00CD31AA" w:rsidP="00495BAB">
      <w:pPr>
        <w:pStyle w:val="a0"/>
        <w:rPr>
          <w:rFonts w:hint="cs"/>
          <w:rtl/>
          <w:lang w:bidi="ar-SY"/>
        </w:rPr>
      </w:pPr>
      <w:r w:rsidRPr="00495BAB">
        <w:rPr>
          <w:rFonts w:hint="cs"/>
          <w:rtl/>
          <w:lang w:bidi="ar-SY"/>
        </w:rPr>
        <w:t>وأجاب كاتب الردّ عن السؤال الذي طرحه بنفسه، قائلًا: «</w:t>
      </w:r>
      <w:r w:rsidRPr="00995B26">
        <w:rPr>
          <w:rFonts w:ascii="Abo-thar" w:hAnsi="Abo-thar" w:cs="Akhbar MT" w:hint="cs"/>
          <w:sz w:val="28"/>
          <w:szCs w:val="30"/>
          <w:rtl/>
          <w:lang w:bidi="fa-IR"/>
        </w:rPr>
        <w:t xml:space="preserve">لم يكن لديهم [أي لدى الشيعة] داعٍ لجمع أحاديث في هذا الشأن عن النبي </w:t>
      </w:r>
      <w:r w:rsidRPr="00995B26">
        <w:rPr>
          <w:rFonts w:ascii="Abo-thar" w:hAnsi="Abo-thar" w:cs="Akhbar MT"/>
          <w:sz w:val="28"/>
          <w:szCs w:val="30"/>
          <w:lang w:bidi="fa-IR"/>
        </w:rPr>
        <w:t></w:t>
      </w:r>
      <w:r w:rsidRPr="00995B26">
        <w:rPr>
          <w:rFonts w:ascii="Abo-thar" w:hAnsi="Abo-thar" w:cs="Akhbar MT" w:hint="cs"/>
          <w:sz w:val="28"/>
          <w:szCs w:val="30"/>
          <w:rtl/>
          <w:lang w:bidi="fa-IR"/>
        </w:rPr>
        <w:t xml:space="preserve"> بشكل خاص، لأن وصولَهُم إلى الإمام الصادق </w:t>
      </w:r>
      <w:r w:rsidRPr="00995B26">
        <w:rPr>
          <w:rFonts w:cs="Akhbar MT" w:hint="cs"/>
          <w:szCs w:val="30"/>
          <w:rtl/>
          <w:lang w:bidi="ar-SY"/>
        </w:rPr>
        <w:t>كان بالنسبة إليهم كافيًا</w:t>
      </w:r>
      <w:r w:rsidRPr="00495BAB">
        <w:rPr>
          <w:rFonts w:hint="cs"/>
          <w:rtl/>
          <w:lang w:bidi="ar-SY"/>
        </w:rPr>
        <w:t>».</w:t>
      </w:r>
    </w:p>
    <w:p w:rsidR="00CD31AA" w:rsidRPr="00495BAB" w:rsidRDefault="00CD31AA" w:rsidP="00495BAB">
      <w:pPr>
        <w:pStyle w:val="a0"/>
        <w:rPr>
          <w:rFonts w:hint="cs"/>
          <w:rtl/>
          <w:lang w:bidi="ar-SY"/>
        </w:rPr>
      </w:pPr>
      <w:r w:rsidRPr="00495BAB">
        <w:rPr>
          <w:rFonts w:hint="cs"/>
          <w:rtl/>
          <w:lang w:bidi="ar-SY"/>
        </w:rPr>
        <w:t xml:space="preserve">سبق أن قلنا: إنه لا يمكن لأيِّ مسلم يؤمن بالله وباليوم الآخر وبحقانية الإسلام أن يقول مثل هذا الكلام. لأن الإمام الصادق </w:t>
      </w:r>
      <w:r w:rsidR="00451CED" w:rsidRPr="00451CED">
        <w:rPr>
          <w:rFonts w:ascii="Abo-thar" w:hAnsi="Abo-thar" w:cs="CTraditional Arabic"/>
          <w:sz w:val="28"/>
          <w:rtl/>
          <w:lang w:bidi="ar-SY"/>
        </w:rPr>
        <w:t>÷</w:t>
      </w:r>
      <w:r w:rsidRPr="00495BAB">
        <w:rPr>
          <w:rFonts w:hint="cs"/>
          <w:rtl/>
          <w:lang w:bidi="ar-SY"/>
        </w:rPr>
        <w:t xml:space="preserve"> ليس نبيًّا، كما لا يمكن لحكمٍ من أحكام الله تعالى أن يبقى موقوفًا مسكوتًا عنه حتى تمضي 150 سنة على صدوره، ليأتي الإمام الصادق ويبينه للناس، ثم يُكتَب هذا الحديث في كتب الشيعة في القرن الرابع، ثم يستند إليه آكلو الخمس بعد ألف عام!</w:t>
      </w:r>
    </w:p>
    <w:p w:rsidR="00CD31AA" w:rsidRPr="00495BAB" w:rsidRDefault="00CD31AA" w:rsidP="00495BAB">
      <w:pPr>
        <w:pStyle w:val="a0"/>
        <w:rPr>
          <w:rFonts w:hint="cs"/>
          <w:rtl/>
          <w:lang w:bidi="ar-SY"/>
        </w:rPr>
      </w:pPr>
      <w:r w:rsidRPr="00495BAB">
        <w:rPr>
          <w:rFonts w:hint="cs"/>
          <w:rtl/>
          <w:lang w:bidi="ar-SY"/>
        </w:rPr>
        <w:t xml:space="preserve">ومع ذلك تعالوا لِنَرى ما قاله الإمام الصادق، المظلوم الذي تعرض إلى أذى الكذابين والغلاة في حياته وبعد مماته، في هذا الموضوع، مما جعل الشيعة - حسب قول كاتب الردّ - يستغنون بكلامه حتى عن كلام النبي </w:t>
      </w:r>
      <w:r w:rsidRPr="00495BAB">
        <w:rPr>
          <w:rFonts w:ascii="Abo-thar" w:hAnsi="Abo-thar"/>
          <w:sz w:val="28"/>
          <w:lang w:bidi="fa-IR"/>
        </w:rPr>
        <w:t></w:t>
      </w:r>
      <w:r w:rsidRPr="00495BAB">
        <w:rPr>
          <w:rFonts w:hint="cs"/>
          <w:rtl/>
          <w:lang w:bidi="ar-SY"/>
        </w:rPr>
        <w:t xml:space="preserve">؟! </w:t>
      </w:r>
    </w:p>
    <w:p w:rsidR="00CD31AA" w:rsidRPr="00495BAB" w:rsidRDefault="00CD31AA" w:rsidP="003F611B">
      <w:pPr>
        <w:pStyle w:val="a0"/>
        <w:rPr>
          <w:rFonts w:hint="cs"/>
          <w:rtl/>
          <w:lang w:bidi="ar-SY"/>
        </w:rPr>
      </w:pPr>
      <w:r w:rsidRPr="00495BAB">
        <w:rPr>
          <w:rFonts w:hint="cs"/>
          <w:rtl/>
          <w:lang w:bidi="ar-SY"/>
        </w:rPr>
        <w:t xml:space="preserve">لا يملك هؤلاء السادة عن الإمام الصادق سوى حديث واحد فقط أورده الشيخ الطوسي في </w:t>
      </w:r>
      <w:r w:rsidRPr="00495BAB">
        <w:rPr>
          <w:rFonts w:hint="cs"/>
          <w:b/>
          <w:bCs/>
          <w:rtl/>
          <w:lang w:bidi="ar-SY"/>
        </w:rPr>
        <w:t>التهذيب</w:t>
      </w:r>
      <w:r w:rsidRPr="00495BAB">
        <w:rPr>
          <w:rFonts w:hint="cs"/>
          <w:rtl/>
          <w:lang w:bidi="ar-SY"/>
        </w:rPr>
        <w:t xml:space="preserve">، ولا يوجد لهذا الحديث أثر في كتب القدماء قبل كتاب </w:t>
      </w:r>
      <w:r w:rsidRPr="00495BAB">
        <w:rPr>
          <w:rFonts w:hint="cs"/>
          <w:b/>
          <w:bCs/>
          <w:rtl/>
          <w:lang w:bidi="ar-SY"/>
        </w:rPr>
        <w:t>التهذيب</w:t>
      </w:r>
      <w:r w:rsidRPr="00495BAB">
        <w:rPr>
          <w:rFonts w:hint="cs"/>
          <w:rtl/>
          <w:lang w:bidi="ar-SY"/>
        </w:rPr>
        <w:t xml:space="preserve"> الذي أُلِّف في القرن الهجري الخامس! وراوي هذا الحديث من أسوأ الرواة ونقلة الأحاديث إذ هو «عبد الله بن القاسم الحضرمي» الذي كان من أسوأ الغلاة والكذّابين </w:t>
      </w:r>
      <w:r w:rsidRPr="003F611B">
        <w:rPr>
          <w:rFonts w:hint="cs"/>
          <w:highlight w:val="red"/>
          <w:rtl/>
          <w:lang w:bidi="ar-SY"/>
        </w:rPr>
        <w:t>سمعةً، وقد بينا حاله في الصفحة 250 من الكتاب الح</w:t>
      </w:r>
      <w:r w:rsidR="00ED072E" w:rsidRPr="003F611B">
        <w:rPr>
          <w:rFonts w:hint="cs"/>
          <w:highlight w:val="red"/>
          <w:rtl/>
          <w:lang w:bidi="ar-SY"/>
        </w:rPr>
        <w:t>اضر</w:t>
      </w:r>
      <w:r w:rsidR="003F611B">
        <w:rPr>
          <w:rFonts w:hint="cs"/>
          <w:rtl/>
          <w:lang w:bidi="ar-SY"/>
        </w:rPr>
        <w:t xml:space="preserve"> </w:t>
      </w:r>
      <w:r w:rsidRPr="00495BAB">
        <w:rPr>
          <w:rFonts w:hint="cs"/>
          <w:rtl/>
          <w:lang w:bidi="ar-SY"/>
        </w:rPr>
        <w:t xml:space="preserve">وذكرنا أن أئمة الرجال اعتبروه كذّابًا وغاليًا ومتروك الحديث، بالإضافة إلى أن هذا الحديث لا يفيد آكلي الخمس بشيء، لأن الإمام - حسب ما نُسِب إليه - يقول فيه: </w:t>
      </w:r>
      <w:r w:rsidRPr="005027FA">
        <w:rPr>
          <w:rFonts w:cs="KFGQPC Uthman Taha Naskh" w:hint="cs"/>
          <w:rtl/>
          <w:lang w:bidi="ar-SY"/>
        </w:rPr>
        <w:t>«</w:t>
      </w:r>
      <w:r w:rsidRPr="005027FA">
        <w:rPr>
          <w:rFonts w:cs="KFGQPC Uthman Taha Naskh"/>
          <w:rtl/>
          <w:lang w:bidi="ar-SY"/>
        </w:rPr>
        <w:t>عَلَى كُلِّ امْرِئٍ غَنِمَ أَوِ اكْتَسَبَ</w:t>
      </w:r>
      <w:r w:rsidRPr="005027FA">
        <w:rPr>
          <w:rFonts w:cs="KFGQPC Uthman Taha Naskh" w:hint="cs"/>
          <w:rtl/>
          <w:lang w:bidi="ar-SY"/>
        </w:rPr>
        <w:t>،</w:t>
      </w:r>
      <w:r w:rsidRPr="005027FA">
        <w:rPr>
          <w:rFonts w:cs="KFGQPC Uthman Taha Naskh"/>
          <w:rtl/>
          <w:lang w:bidi="ar-SY"/>
        </w:rPr>
        <w:t xml:space="preserve"> الْخُمُسُ مِمَّا أَصَابَ</w:t>
      </w:r>
      <w:r w:rsidRPr="005027FA">
        <w:rPr>
          <w:rFonts w:cs="KFGQPC Uthman Taha Naskh" w:hint="cs"/>
          <w:rtl/>
          <w:lang w:bidi="ar-SY"/>
        </w:rPr>
        <w:t>،</w:t>
      </w:r>
      <w:r w:rsidRPr="005027FA">
        <w:rPr>
          <w:rFonts w:cs="KFGQPC Uthman Taha Naskh"/>
          <w:rtl/>
          <w:lang w:bidi="ar-SY"/>
        </w:rPr>
        <w:t xml:space="preserve"> لِفَاطِمَةَ وَلِمَنْ يَلِي أَمْرَهَا مِنْ بَعْدِهَا مِنْ ذُرِّيَّتِهَا الْحُجَجِ عَلَى النَّاسِ</w:t>
      </w:r>
      <w:r w:rsidRPr="005027FA">
        <w:rPr>
          <w:rFonts w:cs="KFGQPC Uthman Taha Naskh" w:hint="cs"/>
          <w:rtl/>
          <w:lang w:bidi="ar-SY"/>
        </w:rPr>
        <w:t>،</w:t>
      </w:r>
      <w:r w:rsidRPr="005027FA">
        <w:rPr>
          <w:rFonts w:cs="KFGQPC Uthman Taha Naskh"/>
          <w:rtl/>
          <w:lang w:bidi="ar-SY"/>
        </w:rPr>
        <w:t xml:space="preserve"> فَذَاكَ </w:t>
      </w:r>
      <w:r w:rsidRPr="005027FA">
        <w:rPr>
          <w:rFonts w:cs="KFGQPC Uthman Taha Naskh"/>
          <w:b/>
          <w:bCs/>
          <w:u w:val="single"/>
          <w:rtl/>
          <w:lang w:bidi="ar-SY"/>
        </w:rPr>
        <w:t>لَهُمْ خَاصَّةً</w:t>
      </w:r>
      <w:r w:rsidRPr="005027FA">
        <w:rPr>
          <w:rFonts w:cs="KFGQPC Uthman Taha Naskh" w:hint="cs"/>
          <w:rtl/>
          <w:lang w:bidi="ar-SY"/>
        </w:rPr>
        <w:t>...»</w:t>
      </w:r>
      <w:r w:rsidRPr="00495BAB">
        <w:rPr>
          <w:rFonts w:hint="cs"/>
          <w:rtl/>
          <w:lang w:bidi="ar-SY"/>
        </w:rPr>
        <w:t xml:space="preserve"> </w:t>
      </w:r>
    </w:p>
    <w:p w:rsidR="00CD31AA" w:rsidRPr="00495BAB" w:rsidRDefault="00CD31AA" w:rsidP="00495BAB">
      <w:pPr>
        <w:pStyle w:val="a0"/>
        <w:rPr>
          <w:rFonts w:hint="cs"/>
          <w:rtl/>
          <w:lang w:bidi="ar-SY"/>
        </w:rPr>
      </w:pPr>
      <w:r w:rsidRPr="00495BAB">
        <w:rPr>
          <w:rFonts w:hint="cs"/>
          <w:rtl/>
          <w:lang w:bidi="ar-SY"/>
        </w:rPr>
        <w:t>وليس لآكلي الخُمس أن يستفيدوا من هذا الحديث بأي شيء لصالحهم ولو أعملوا آلاف الحيل.</w:t>
      </w:r>
    </w:p>
    <w:p w:rsidR="00CD31AA" w:rsidRPr="00495BAB" w:rsidRDefault="00CD31AA" w:rsidP="00495BAB">
      <w:pPr>
        <w:pStyle w:val="a0"/>
        <w:rPr>
          <w:rFonts w:hint="cs"/>
          <w:rtl/>
          <w:lang w:bidi="ar-SY"/>
        </w:rPr>
      </w:pPr>
      <w:r w:rsidRPr="00495BAB">
        <w:rPr>
          <w:rFonts w:hint="cs"/>
          <w:rtl/>
          <w:lang w:bidi="ar-SY"/>
        </w:rPr>
        <w:t xml:space="preserve">نعم! هذا الحديث المنسوب للإمام الصادق الذي يرويه شخصٌ كذَّاب غال مثل عبد الله بن القاسم الحضرمي، هو حجّة آكلي الخمس هؤلاء التي أغنَتْهُم عن حديث نبي الإسلام </w:t>
      </w:r>
      <w:r w:rsidRPr="00495BAB">
        <w:rPr>
          <w:rFonts w:ascii="Abo-thar" w:hAnsi="Abo-thar"/>
          <w:sz w:val="28"/>
          <w:lang w:bidi="fa-IR"/>
        </w:rPr>
        <w:t></w:t>
      </w:r>
      <w:r w:rsidRPr="00495BAB">
        <w:rPr>
          <w:rFonts w:hint="cs"/>
          <w:rtl/>
          <w:lang w:bidi="ar-SY"/>
        </w:rPr>
        <w:t>!!</w:t>
      </w:r>
    </w:p>
    <w:p w:rsidR="00CD31AA" w:rsidRPr="00495BAB" w:rsidRDefault="00CD31AA" w:rsidP="00495BAB">
      <w:pPr>
        <w:pStyle w:val="a0"/>
        <w:rPr>
          <w:rFonts w:hint="cs"/>
          <w:rtl/>
          <w:lang w:bidi="ar-SY"/>
        </w:rPr>
      </w:pPr>
      <w:r w:rsidRPr="00495BAB">
        <w:rPr>
          <w:rFonts w:hint="cs"/>
          <w:rtl/>
          <w:lang w:bidi="ar-SY"/>
        </w:rPr>
        <w:t>وهناك حديث آخر أيضاً عن شخص سيئ السمعة باسم أحمد بن هلال، لا يُدرى من هو، ومضمون الحديث أيضاً لا يعطي آكلي الخمس دليلاً صحيحاً على عملهم. فهذا هو حديث الإمام الصادق الذي يغني حديثه حول الخمس عن كتاب الله وسنة رسوله!!</w:t>
      </w:r>
    </w:p>
    <w:p w:rsidR="00CD31AA" w:rsidRPr="00495BAB" w:rsidRDefault="00CD31AA" w:rsidP="00495BAB">
      <w:pPr>
        <w:pStyle w:val="a0"/>
        <w:rPr>
          <w:rFonts w:hint="cs"/>
          <w:rtl/>
          <w:lang w:bidi="ar-SY"/>
        </w:rPr>
      </w:pPr>
      <w:r w:rsidRPr="00495BAB">
        <w:rPr>
          <w:rFonts w:hint="cs"/>
          <w:rtl/>
          <w:lang w:bidi="ar-SY"/>
        </w:rPr>
        <w:t>من هذا يتبين لنا مقدار وقاحة وثرثرة آكلي الخمس الذين يعتبرون أنفسهم في غنى عن الله ورسوله بما لديهم من أحاديث!! ونحن أيضاً نحيل الحكم بيننا وبينهم في هذا الأمر إلى أرباب الإيمان من أهل العقل والوجدان وإلى حساب الله للعباد يوم المعاد. على الله توكّلنا، هو مولانا، وعليه فليتوكل المتوكلون.</w:t>
      </w:r>
    </w:p>
    <w:p w:rsidR="00CD31AA" w:rsidRPr="00495BAB" w:rsidRDefault="00CD31AA" w:rsidP="00495BAB">
      <w:pPr>
        <w:pStyle w:val="a0"/>
        <w:rPr>
          <w:rFonts w:hint="cs"/>
          <w:rtl/>
          <w:lang w:bidi="ar-SY"/>
        </w:rPr>
      </w:pPr>
      <w:r w:rsidRPr="00495BAB">
        <w:rPr>
          <w:rFonts w:hint="cs"/>
          <w:rtl/>
          <w:lang w:bidi="ar-SY"/>
        </w:rPr>
        <w:t>في الفصل السادس، لا يستحق ما كتبه الردَّ عليه، لأن ما كتبه في فصله السادس أمورٌ لا علاقة لها بموضوعنا، فسواءً ثبتت أم لم تثبت لا يؤثر ذلك في ردنا.</w:t>
      </w:r>
    </w:p>
    <w:p w:rsidR="00CD31AA" w:rsidRPr="00495BAB" w:rsidRDefault="00CD31AA" w:rsidP="00495BAB">
      <w:pPr>
        <w:pStyle w:val="a0"/>
        <w:rPr>
          <w:rFonts w:hint="cs"/>
          <w:rtl/>
          <w:lang w:bidi="ar-SY"/>
        </w:rPr>
      </w:pPr>
      <w:r w:rsidRPr="00495BAB">
        <w:rPr>
          <w:rFonts w:hint="cs"/>
          <w:rtl/>
          <w:lang w:bidi="ar-SY"/>
        </w:rPr>
        <w:t>في الفصل السابع طرح صاحب الرد سؤالاً هو: «</w:t>
      </w:r>
      <w:r w:rsidRPr="00995B26">
        <w:rPr>
          <w:rFonts w:cs="Akhbar MT" w:hint="cs"/>
          <w:szCs w:val="30"/>
          <w:rtl/>
          <w:lang w:bidi="ar-SY"/>
        </w:rPr>
        <w:t xml:space="preserve">من هم ذي القربى في آية الخمس، هل هم أقرباء المخاطَبين أم أقرباء رسول الله </w:t>
      </w:r>
      <w:r w:rsidRPr="00995B26">
        <w:rPr>
          <w:rFonts w:ascii="Abo-thar" w:hAnsi="Abo-thar" w:cs="Akhbar MT"/>
          <w:sz w:val="28"/>
          <w:szCs w:val="30"/>
          <w:lang w:bidi="fa-IR"/>
        </w:rPr>
        <w:t></w:t>
      </w:r>
      <w:r w:rsidRPr="00495BAB">
        <w:rPr>
          <w:rFonts w:ascii="Abo-thar" w:hAnsi="Abo-thar" w:hint="cs"/>
          <w:sz w:val="28"/>
          <w:rtl/>
          <w:lang w:bidi="ar-SY"/>
        </w:rPr>
        <w:t>؟</w:t>
      </w:r>
      <w:r w:rsidRPr="00495BAB">
        <w:rPr>
          <w:rFonts w:hint="cs"/>
          <w:rtl/>
          <w:lang w:bidi="ar-SY"/>
        </w:rPr>
        <w:t>».</w:t>
      </w:r>
    </w:p>
    <w:p w:rsidR="00CD31AA" w:rsidRPr="00495BAB" w:rsidRDefault="00CD31AA" w:rsidP="00495BAB">
      <w:pPr>
        <w:pStyle w:val="a0"/>
        <w:rPr>
          <w:rFonts w:hint="cs"/>
          <w:rtl/>
          <w:lang w:bidi="ar-SY"/>
        </w:rPr>
      </w:pPr>
      <w:r w:rsidRPr="00495BAB">
        <w:rPr>
          <w:rFonts w:hint="cs"/>
          <w:rtl/>
          <w:lang w:bidi="ar-SY"/>
        </w:rPr>
        <w:t xml:space="preserve">وعندئذٍ أخذ يشرح بعض النقاط الأدبية كبيان وظيفة (الألف واللام) في هذا الحكم؟ وقد تكلمنا بما يكفي حول هذا الموضوع، ومن المسلَّم به أنه لم يكن هناك بين أقرباء رسول الله </w:t>
      </w:r>
      <w:r w:rsidRPr="00495BAB">
        <w:rPr>
          <w:rFonts w:ascii="Abo-thar" w:hAnsi="Abo-thar"/>
          <w:sz w:val="28"/>
          <w:lang w:bidi="fa-IR"/>
        </w:rPr>
        <w:t></w:t>
      </w:r>
      <w:r w:rsidRPr="00495BAB">
        <w:rPr>
          <w:rFonts w:hint="cs"/>
          <w:rtl/>
          <w:lang w:bidi="ar-SY"/>
        </w:rPr>
        <w:t xml:space="preserve">، حين نزول هذه الآية، أشخاص يمكن أن يأخذوا الخمس، فما بالك بأيتامهم ومساكينهم وأبناء السبيل منهم، ومن المؤكد قطعاً أن المؤمنين الذين سمعوا هذه الآية وأُمِروا باتباعها، فهموا من هم المُرادون منها ولم يكن هناك أبدًا أفراد باسم اليتامى والمساكين وابن السبيل من آل رسول الله </w:t>
      </w:r>
      <w:r w:rsidRPr="00495BAB">
        <w:rPr>
          <w:rFonts w:ascii="Abo-thar" w:hAnsi="Abo-thar"/>
          <w:sz w:val="28"/>
          <w:lang w:bidi="fa-IR"/>
        </w:rPr>
        <w:t></w:t>
      </w:r>
      <w:r w:rsidRPr="00495BAB">
        <w:rPr>
          <w:rFonts w:hint="cs"/>
          <w:rtl/>
          <w:lang w:bidi="ar-SY"/>
        </w:rPr>
        <w:t>. إذن، إثبات ذلك لهم لا يفيد شيئاً، لأنهم أيًّا كانوا وأيًّا كانت هويتهم، وسواء كانوا أقرباء رسول الله أم أقرباء أشخاص آخرين، فسيشملهم أخذ جزء من غنائم الحرب التي ليس لها وجود اليوم. أضف إلى ذلك أننا لا ندري من الأشخاص الذين كانوا في ذلك الزمن من آل الرسول حتى نعرف هل كان لهم يتامى أو مساكين أم لا؟</w:t>
      </w:r>
    </w:p>
    <w:p w:rsidR="00CD31AA" w:rsidRPr="00495BAB" w:rsidRDefault="00CD31AA" w:rsidP="00495BAB">
      <w:pPr>
        <w:pStyle w:val="a0"/>
        <w:rPr>
          <w:rFonts w:hint="cs"/>
          <w:rtl/>
          <w:lang w:bidi="ar-SY"/>
        </w:rPr>
      </w:pPr>
      <w:r w:rsidRPr="00495BAB">
        <w:rPr>
          <w:rFonts w:hint="cs"/>
          <w:rtl/>
          <w:lang w:bidi="ar-SY"/>
        </w:rPr>
        <w:t>الفصل الثامن في هذا الكُتَيِّب يتعلَّق بحكم عبارة</w:t>
      </w:r>
      <w:r w:rsidR="000775C2" w:rsidRPr="00495BAB">
        <w:rPr>
          <w:rFonts w:hint="cs"/>
          <w:rtl/>
          <w:lang w:bidi="ar-SY"/>
        </w:rPr>
        <w:t xml:space="preserve"> </w:t>
      </w:r>
      <w:r w:rsidR="000775C2" w:rsidRPr="00995B26">
        <w:rPr>
          <w:rFonts w:cs="Traditional Arabic" w:hint="cs"/>
          <w:szCs w:val="30"/>
          <w:rtl/>
          <w:lang w:bidi="ar-SY"/>
        </w:rPr>
        <w:t>﴿</w:t>
      </w:r>
      <w:r w:rsidR="000775C2" w:rsidRPr="0067048A">
        <w:rPr>
          <w:rFonts w:ascii="KFGQPC Uthmanic Script HAFS" w:cs="KFGQPC Uthmanic Script HAFS" w:hint="eastAsia"/>
          <w:sz w:val="28"/>
          <w:szCs w:val="28"/>
          <w:rtl/>
        </w:rPr>
        <w:t>مِّن</w:t>
      </w:r>
      <w:r w:rsidR="000775C2" w:rsidRPr="0067048A">
        <w:rPr>
          <w:rFonts w:ascii="KFGQPC Uthmanic Script HAFS" w:cs="KFGQPC Uthmanic Script HAFS"/>
          <w:sz w:val="28"/>
          <w:szCs w:val="28"/>
          <w:rtl/>
        </w:rPr>
        <w:t xml:space="preserve"> </w:t>
      </w:r>
      <w:r w:rsidR="000775C2" w:rsidRPr="0067048A">
        <w:rPr>
          <w:rFonts w:ascii="KFGQPC Uthmanic Script HAFS" w:cs="KFGQPC Uthmanic Script HAFS" w:hint="eastAsia"/>
          <w:sz w:val="28"/>
          <w:szCs w:val="28"/>
          <w:rtl/>
        </w:rPr>
        <w:t>شَي</w:t>
      </w:r>
      <w:r w:rsidR="000775C2" w:rsidRPr="0067048A">
        <w:rPr>
          <w:rFonts w:ascii="KFGQPC Uthmanic Script HAFS" w:cs="KFGQPC Uthmanic Script HAFS" w:hint="cs"/>
          <w:sz w:val="28"/>
          <w:szCs w:val="28"/>
          <w:rtl/>
        </w:rPr>
        <w:t>ۡ</w:t>
      </w:r>
      <w:r w:rsidR="000775C2" w:rsidRPr="0067048A">
        <w:rPr>
          <w:rFonts w:ascii="KFGQPC Uthmanic Script HAFS" w:cs="KFGQPC Uthmanic Script HAFS" w:hint="eastAsia"/>
          <w:sz w:val="28"/>
          <w:szCs w:val="28"/>
          <w:rtl/>
        </w:rPr>
        <w:t>ء</w:t>
      </w:r>
      <w:r w:rsidR="000775C2" w:rsidRPr="0067048A">
        <w:rPr>
          <w:rFonts w:ascii="KFGQPC Uthmanic Script HAFS" w:cs="KFGQPC Uthmanic Script HAFS" w:hint="cs"/>
          <w:sz w:val="28"/>
          <w:szCs w:val="28"/>
          <w:rtl/>
        </w:rPr>
        <w:t>ٖ</w:t>
      </w:r>
      <w:r w:rsidR="000775C2" w:rsidRPr="00995B26">
        <w:rPr>
          <w:rFonts w:cs="Traditional Arabic" w:hint="cs"/>
          <w:szCs w:val="30"/>
          <w:rtl/>
          <w:lang w:bidi="ar-SY"/>
        </w:rPr>
        <w:t>﴾</w:t>
      </w:r>
      <w:r w:rsidR="000775C2" w:rsidRPr="00495BAB">
        <w:rPr>
          <w:rFonts w:hint="cs"/>
          <w:rtl/>
          <w:lang w:bidi="ar-SY"/>
        </w:rPr>
        <w:t xml:space="preserve"> </w:t>
      </w:r>
      <w:r w:rsidRPr="00495BAB">
        <w:rPr>
          <w:rFonts w:hint="cs"/>
          <w:rtl/>
          <w:lang w:bidi="ar-SY"/>
        </w:rPr>
        <w:t>التي يُقصَد منها كل شيء من غنائم الحرب حتى الخيط والمخيط، وقد بحثنا هذا الأمر بما فيه الكفاية أيضاً، وما ذكرناه كافٍ لكل عاقل منصف أما المتعصب اللجوج فما من شيء يمكن أن يقنعه ويكفيه.</w:t>
      </w:r>
    </w:p>
    <w:p w:rsidR="00CD31AA" w:rsidRPr="00495BAB" w:rsidRDefault="00CD31AA" w:rsidP="00495BAB">
      <w:pPr>
        <w:pStyle w:val="a0"/>
        <w:rPr>
          <w:rFonts w:hint="cs"/>
          <w:rtl/>
          <w:lang w:bidi="ar-SY"/>
        </w:rPr>
      </w:pPr>
      <w:r w:rsidRPr="00495BAB">
        <w:rPr>
          <w:rFonts w:hint="cs"/>
          <w:rtl/>
          <w:lang w:bidi="ar-SY"/>
        </w:rPr>
        <w:t>والفصل التاسع أيضًا يتعلق بتقسيم الخمس إلى ستة أقسام حيث سعى المؤلف من خلال رصف عبارات هذا العالِم وذاك العالِم إلى جانب بعضها أن يجعل الله عز وجل أحد آكلي الخمس! وهو أمر يغنينا العقلُ والوجدانُ وسيرةُ النبيِّ وعملُ المسلمين عن الردِّ عليه، ولا نرغب في تضييع الوقت بقراءة هذه التُّرَّهات وسماعها، لاسيّما أنها لا ترتبط ارتباطًا كبيرًا في موضوع بحثنا.</w:t>
      </w:r>
    </w:p>
    <w:p w:rsidR="00CD31AA" w:rsidRPr="00995B26" w:rsidRDefault="00CD31AA" w:rsidP="00495BAB">
      <w:pPr>
        <w:pStyle w:val="a0"/>
        <w:rPr>
          <w:rFonts w:hint="cs"/>
          <w:rtl/>
          <w:lang w:bidi="ar-SY"/>
        </w:rPr>
      </w:pPr>
      <w:r w:rsidRPr="00495BAB">
        <w:rPr>
          <w:rFonts w:hint="cs"/>
          <w:rtl/>
          <w:lang w:bidi="ar-SY"/>
        </w:rPr>
        <w:t>في الفصل العاشر، أجاب صاحب الرد عن سؤال يقول</w:t>
      </w:r>
      <w:r w:rsidRPr="00995B26">
        <w:rPr>
          <w:rFonts w:cs="Akhbar MT" w:hint="cs"/>
          <w:szCs w:val="30"/>
          <w:rtl/>
          <w:lang w:bidi="ar-SY"/>
        </w:rPr>
        <w:t>:</w:t>
      </w:r>
      <w:r w:rsidRPr="00495BAB">
        <w:rPr>
          <w:rFonts w:hint="cs"/>
          <w:rtl/>
          <w:lang w:bidi="ar-SY"/>
        </w:rPr>
        <w:t>«</w:t>
      </w:r>
      <w:r w:rsidRPr="00995B26">
        <w:rPr>
          <w:rFonts w:cs="Akhbar MT" w:hint="cs"/>
          <w:szCs w:val="30"/>
          <w:rtl/>
          <w:lang w:bidi="ar-SY"/>
        </w:rPr>
        <w:t xml:space="preserve">هل كلمات (اليتامى والمساكين وابن السبيل) تختص بالمنتسبين إلى رسول الله </w:t>
      </w:r>
      <w:r w:rsidRPr="00995B26">
        <w:rPr>
          <w:rFonts w:ascii="Abo-thar" w:hAnsi="Abo-thar" w:cs="Akhbar MT"/>
          <w:sz w:val="28"/>
          <w:szCs w:val="30"/>
          <w:lang w:bidi="fa-IR"/>
        </w:rPr>
        <w:t></w:t>
      </w:r>
      <w:r w:rsidRPr="00995B26">
        <w:rPr>
          <w:rFonts w:cs="Akhbar MT" w:hint="cs"/>
          <w:szCs w:val="30"/>
          <w:rtl/>
          <w:lang w:bidi="ar-SY"/>
        </w:rPr>
        <w:t xml:space="preserve"> أم المقصود منها يتامى عامة المسلمين ومساكينهم وأبناء السبيل منهم؟</w:t>
      </w:r>
      <w:r w:rsidRPr="00495BAB">
        <w:rPr>
          <w:rFonts w:hint="cs"/>
          <w:rtl/>
          <w:lang w:bidi="ar-SY"/>
        </w:rPr>
        <w:t>»</w:t>
      </w:r>
    </w:p>
    <w:p w:rsidR="00CD31AA" w:rsidRPr="00995B26" w:rsidRDefault="00CD31AA" w:rsidP="00495BAB">
      <w:pPr>
        <w:pStyle w:val="a0"/>
        <w:rPr>
          <w:rFonts w:hint="cs"/>
          <w:rtl/>
          <w:lang w:bidi="ar-SY"/>
        </w:rPr>
      </w:pPr>
      <w:r w:rsidRPr="00495BAB">
        <w:rPr>
          <w:rFonts w:hint="cs"/>
          <w:rtl/>
          <w:lang w:bidi="ar-SY"/>
        </w:rPr>
        <w:t>ثم أجاب هو نفسه عن هذا السؤال قائلاً: «</w:t>
      </w:r>
      <w:r w:rsidRPr="00995B26">
        <w:rPr>
          <w:rFonts w:cs="Akhbar MT" w:hint="cs"/>
          <w:szCs w:val="30"/>
          <w:rtl/>
          <w:lang w:bidi="ar-SY"/>
        </w:rPr>
        <w:t xml:space="preserve">لقد ذكرنا فيما سبق طريقة استنباط هذا الحكم من كتاب الله نقلاً عن كتاب </w:t>
      </w:r>
      <w:r w:rsidRPr="00995B26">
        <w:rPr>
          <w:rFonts w:cs="Akhbar MT" w:hint="cs"/>
          <w:b/>
          <w:bCs/>
          <w:szCs w:val="30"/>
          <w:rtl/>
          <w:lang w:bidi="ar-SY"/>
        </w:rPr>
        <w:t>زبدة المقال</w:t>
      </w:r>
      <w:r w:rsidRPr="00495BAB">
        <w:rPr>
          <w:rFonts w:hint="cs"/>
          <w:rtl/>
          <w:lang w:bidi="ar-SY"/>
        </w:rPr>
        <w:t>». وأقول: لقد رأينا إجابته ولاحظتم أنها لم تكن شيئاً.</w:t>
      </w:r>
    </w:p>
    <w:p w:rsidR="00CD31AA" w:rsidRPr="00495BAB" w:rsidRDefault="00CD31AA" w:rsidP="00495BAB">
      <w:pPr>
        <w:pStyle w:val="a0"/>
        <w:rPr>
          <w:rFonts w:hint="cs"/>
          <w:rtl/>
          <w:lang w:bidi="ar-SY"/>
        </w:rPr>
      </w:pPr>
      <w:r w:rsidRPr="00495BAB">
        <w:rPr>
          <w:rFonts w:hint="cs"/>
          <w:rtl/>
          <w:lang w:bidi="ar-SY"/>
        </w:rPr>
        <w:t xml:space="preserve">ثم بدأ صاحب الردّ بذكر أحاديث من كتاب من لا </w:t>
      </w:r>
      <w:r w:rsidRPr="00495BAB">
        <w:rPr>
          <w:rFonts w:hint="cs"/>
          <w:b/>
          <w:bCs/>
          <w:rtl/>
          <w:lang w:bidi="ar-SY"/>
        </w:rPr>
        <w:t>يحضره الفقيه</w:t>
      </w:r>
      <w:r w:rsidRPr="00495BAB">
        <w:rPr>
          <w:rFonts w:hint="cs"/>
          <w:rtl/>
          <w:lang w:bidi="ar-SY"/>
        </w:rPr>
        <w:t xml:space="preserve"> وكتاب </w:t>
      </w:r>
      <w:r w:rsidRPr="00495BAB">
        <w:rPr>
          <w:rFonts w:hint="cs"/>
          <w:b/>
          <w:bCs/>
          <w:rtl/>
          <w:lang w:bidi="ar-SY"/>
        </w:rPr>
        <w:t xml:space="preserve">الخصال </w:t>
      </w:r>
      <w:r w:rsidRPr="00495BAB">
        <w:rPr>
          <w:rFonts w:hint="cs"/>
          <w:rtl/>
          <w:lang w:bidi="ar-SY"/>
        </w:rPr>
        <w:t xml:space="preserve">وكتاب </w:t>
      </w:r>
      <w:r w:rsidRPr="00495BAB">
        <w:rPr>
          <w:rFonts w:hint="cs"/>
          <w:b/>
          <w:bCs/>
          <w:rtl/>
          <w:lang w:bidi="ar-SY"/>
        </w:rPr>
        <w:t>التهذيب</w:t>
      </w:r>
      <w:r w:rsidRPr="00495BAB">
        <w:rPr>
          <w:rFonts w:hint="cs"/>
          <w:rtl/>
          <w:lang w:bidi="ar-SY"/>
        </w:rPr>
        <w:t xml:space="preserve"> في أن المراد من اليتامى والمساكين وابن السبيل في الآية الكريمة يتامى آل الرسول والمساكين وأبناء السبيل منهم، لا من عامة المسلمين.</w:t>
      </w:r>
    </w:p>
    <w:p w:rsidR="00CD31AA" w:rsidRPr="00495BAB" w:rsidRDefault="00CD31AA" w:rsidP="00495BAB">
      <w:pPr>
        <w:pStyle w:val="a0"/>
        <w:rPr>
          <w:rFonts w:hint="cs"/>
          <w:rtl/>
          <w:lang w:bidi="ar-SY"/>
        </w:rPr>
      </w:pPr>
      <w:r w:rsidRPr="00495BAB">
        <w:rPr>
          <w:rFonts w:hint="cs"/>
          <w:rtl/>
          <w:lang w:bidi="ar-SY"/>
        </w:rPr>
        <w:t>وقد بحثنا هذا الأمر بما فيه الكفاية في كتابنا الحالي وتكرار هذا البحث هنا لا داعي له منعًا لإطالة الكتاب.</w:t>
      </w:r>
    </w:p>
    <w:p w:rsidR="00CD31AA" w:rsidRPr="00495BAB" w:rsidRDefault="00CD31AA" w:rsidP="00495BAB">
      <w:pPr>
        <w:pStyle w:val="a0"/>
        <w:rPr>
          <w:rFonts w:hint="cs"/>
          <w:rtl/>
          <w:lang w:bidi="ar-SY"/>
        </w:rPr>
      </w:pPr>
      <w:r w:rsidRPr="00495BAB">
        <w:rPr>
          <w:rFonts w:hint="cs"/>
          <w:rtl/>
          <w:lang w:bidi="ar-SY"/>
        </w:rPr>
        <w:t xml:space="preserve">لقد رصف صاحب الرد في هذا الموضوع - حسب ادّعائه - 12 حديثاً، اثنين منها نقلهما من كتاب </w:t>
      </w:r>
      <w:r w:rsidRPr="00495BAB">
        <w:rPr>
          <w:rFonts w:hint="cs"/>
          <w:b/>
          <w:bCs/>
          <w:rtl/>
          <w:lang w:bidi="ar-SY"/>
        </w:rPr>
        <w:t>تفسير العياشي</w:t>
      </w:r>
      <w:r w:rsidRPr="00495BAB">
        <w:rPr>
          <w:rFonts w:hint="cs"/>
          <w:rtl/>
          <w:lang w:bidi="ar-SY"/>
        </w:rPr>
        <w:t xml:space="preserve"> وهما الحديثان 8 و 9، مع أنه ليس لهما أي سند، كما أن العياشي - وهو محمد بن مسعود - كان، طبقاً لتصديق علماء الرجال، من المكثرين من الرواية عن الضعفاء، ومنهم: النصر بن الصبّاح أبو القاسم البلخي. يقول النجاشي في </w:t>
      </w:r>
      <w:r w:rsidRPr="00495BAB">
        <w:rPr>
          <w:rFonts w:hint="cs"/>
          <w:b/>
          <w:bCs/>
          <w:rtl/>
          <w:lang w:bidi="ar-SY"/>
        </w:rPr>
        <w:t>رجاله</w:t>
      </w:r>
      <w:r w:rsidRPr="00495BAB">
        <w:rPr>
          <w:rFonts w:hint="cs"/>
          <w:rtl/>
          <w:lang w:bidi="ar-SY"/>
        </w:rPr>
        <w:t xml:space="preserve"> (ص336): «النصر بن الصبّاح أبو القاسم البلخي غالي المذهب روى عنه العيّاشي». وعامّة علماء الرجال يعتبرون النصر من الصبّاح غاليًا. هذا بالإضافة إلى أنّ الحديث مرسَل. ولو فرضنا أننا غضضنا النظر عن ضعفه، فلا يُقْصَد من هذه الأحاديث سوى خمس غنائم الحرب، ولا علاقة لها بذلك الخمس الشامل. </w:t>
      </w:r>
    </w:p>
    <w:p w:rsidR="00CD31AA" w:rsidRPr="00495BAB" w:rsidRDefault="00CD31AA" w:rsidP="00495BAB">
      <w:pPr>
        <w:pStyle w:val="a0"/>
        <w:rPr>
          <w:rFonts w:hint="cs"/>
          <w:rtl/>
          <w:lang w:bidi="ar-SY"/>
        </w:rPr>
      </w:pPr>
      <w:r w:rsidRPr="00495BAB">
        <w:rPr>
          <w:rFonts w:hint="cs"/>
          <w:rtl/>
          <w:lang w:bidi="ar-SY"/>
        </w:rPr>
        <w:t xml:space="preserve">وثلاثة أحاديث أخرى أي الأحاديث 3 و4 و 12 مروية عن سليم بن قيس الهلالي، وراويه هو أبان بن أبي عياش. يرى علماء الرجال أن سليم بن قيس لم يكن شخصاً صالحًا ولا معروفًا، كما جاء في كتاب </w:t>
      </w:r>
      <w:r w:rsidRPr="00495BAB">
        <w:rPr>
          <w:rFonts w:hint="cs"/>
          <w:b/>
          <w:bCs/>
          <w:rtl/>
          <w:lang w:bidi="ar-SY"/>
        </w:rPr>
        <w:t>قاموس الرجال</w:t>
      </w:r>
      <w:r w:rsidRPr="00495BAB">
        <w:rPr>
          <w:rFonts w:hint="cs"/>
          <w:rtl/>
          <w:lang w:bidi="ar-SY"/>
        </w:rPr>
        <w:t xml:space="preserve"> مثلاً (ج 4، ص 449) أن الغضائري قال عنه: «سليم بن قيس الهلالي... ويُنْسَب إليه هذا الكتاب المشهور، فكان أصحابنا يقولون: إن سليمًا لا يُعرَف ولا يذكر بخير والكتاب موضوع لا مِرْيَة فيه، وعلى ذلك علامات شافية تدل على ما ذكرناه». وقال الشيخ المفيد في </w:t>
      </w:r>
      <w:r w:rsidRPr="00495BAB">
        <w:rPr>
          <w:rFonts w:hint="cs"/>
          <w:b/>
          <w:bCs/>
          <w:rtl/>
          <w:lang w:bidi="ar-SY"/>
        </w:rPr>
        <w:t>شرحه لعقائد الصدوق</w:t>
      </w:r>
      <w:r w:rsidRPr="00495BAB">
        <w:rPr>
          <w:rFonts w:hint="cs"/>
          <w:rtl/>
          <w:lang w:bidi="ar-SY"/>
        </w:rPr>
        <w:t xml:space="preserve"> (ص 72) في ذم كتاب سليم بن قيس: «سليم الذي رجع فيه إلى الكتاب المضاف إليه برواية أبان بن عياش، فالمعنى غير صحيح لأن هذا الكتاب غير موثوق به، وقد حصل فيه تخليط وتدليس، ولا يجوز العمل على أكثره، فينبغي للمتدين أن يتجنب العمل بكل ما فيه ولا يعوِّل على جملته والتقليد لروايته».</w:t>
      </w:r>
    </w:p>
    <w:p w:rsidR="00CD31AA" w:rsidRPr="00495BAB" w:rsidRDefault="00CD31AA" w:rsidP="00495BAB">
      <w:pPr>
        <w:pStyle w:val="a0"/>
        <w:rPr>
          <w:rFonts w:hint="cs"/>
          <w:rtl/>
          <w:lang w:bidi="ar-SY"/>
        </w:rPr>
      </w:pPr>
      <w:r w:rsidRPr="00495BAB">
        <w:rPr>
          <w:rFonts w:hint="cs"/>
          <w:rtl/>
          <w:lang w:bidi="ar-SY"/>
        </w:rPr>
        <w:t xml:space="preserve">وقال ابن داوود في كتابه </w:t>
      </w:r>
      <w:r w:rsidRPr="00495BAB">
        <w:rPr>
          <w:rFonts w:hint="cs"/>
          <w:b/>
          <w:bCs/>
          <w:rtl/>
          <w:lang w:bidi="ar-SY"/>
        </w:rPr>
        <w:t>الرجال</w:t>
      </w:r>
      <w:r w:rsidRPr="00495BAB">
        <w:rPr>
          <w:rFonts w:hint="cs"/>
          <w:rtl/>
          <w:lang w:bidi="ar-SY"/>
        </w:rPr>
        <w:t xml:space="preserve"> (ص 460) حول سليم وكتابه: «وفي الكتاب مناكير مشتهرة وما أظنه إلا موضوعاً!».</w:t>
      </w:r>
    </w:p>
    <w:p w:rsidR="00CD31AA" w:rsidRPr="00495BAB" w:rsidRDefault="00CD31AA" w:rsidP="00495BAB">
      <w:pPr>
        <w:pStyle w:val="a0"/>
        <w:rPr>
          <w:rFonts w:hint="cs"/>
          <w:rtl/>
          <w:lang w:bidi="ar-SY"/>
        </w:rPr>
      </w:pPr>
      <w:r w:rsidRPr="00495BAB">
        <w:rPr>
          <w:rFonts w:hint="cs"/>
          <w:rtl/>
          <w:lang w:bidi="ar-SY"/>
        </w:rPr>
        <w:t xml:space="preserve">وأبان بن أبي عياش رجل ضعيف وفاسد المذهب كما نصت عليه كتب الرجال جميعاً. فهل من مسلم عاقل يسلِّم قياده لأيدي مثل هذا الراوي الذي تبيّن لنا حاله؟ أضف إلى ذلك أن الخمس الذي يقدِّمه لليتامى والمساكين وأبناء السبيل من آل محمد هو خمس الغنائم الحربية لا خمس أرباح المكاسب وغيرها. </w:t>
      </w:r>
    </w:p>
    <w:p w:rsidR="00CD31AA" w:rsidRPr="00495BAB" w:rsidRDefault="00CD31AA" w:rsidP="00495BAB">
      <w:pPr>
        <w:pStyle w:val="a0"/>
        <w:rPr>
          <w:rFonts w:hint="cs"/>
          <w:rtl/>
          <w:lang w:bidi="ar-SY"/>
        </w:rPr>
      </w:pPr>
      <w:r w:rsidRPr="00495BAB">
        <w:rPr>
          <w:rFonts w:hint="cs"/>
          <w:rtl/>
          <w:lang w:bidi="ar-SY"/>
        </w:rPr>
        <w:t xml:space="preserve">أحد الأحاديث التي أوردها كاتب الردّ هو الحديث الذي رواه القاضي أبي حنيفة النعمان بن محمد المغربي الإسماعيلي في كتابه </w:t>
      </w:r>
      <w:r w:rsidRPr="00495BAB">
        <w:rPr>
          <w:rFonts w:hint="cs"/>
          <w:b/>
          <w:bCs/>
          <w:rtl/>
          <w:lang w:bidi="ar-SY"/>
        </w:rPr>
        <w:t>دعائم الإسلام</w:t>
      </w:r>
      <w:r w:rsidRPr="00495BAB">
        <w:rPr>
          <w:rFonts w:hint="cs"/>
          <w:rtl/>
          <w:lang w:bidi="ar-SY"/>
        </w:rPr>
        <w:t xml:space="preserve">، وهو حديث لا سند له بالإضافة إلى أن راويه إسماعيلي المذهب، كما أنه يريد من الخمس خمس غنائم الحرب لأنه قال: </w:t>
      </w:r>
      <w:r w:rsidRPr="005027FA">
        <w:rPr>
          <w:rFonts w:cs="KFGQPC Uthman Taha Naskh" w:hint="cs"/>
          <w:rtl/>
          <w:lang w:bidi="ar-SY"/>
        </w:rPr>
        <w:t>«</w:t>
      </w:r>
      <w:r w:rsidRPr="005027FA">
        <w:rPr>
          <w:rFonts w:cs="KFGQPC Uthman Taha Naskh"/>
          <w:rtl/>
          <w:lang w:bidi="ar-SY"/>
        </w:rPr>
        <w:t>الغَنِيمَةُ تُقْسَمُ عَلَى خَمْسَةِ أَخْمَاسٍ فَيُقْسَمُ أَرْبَعَةُ أَخْمَاسِهَا عَلَى مَنْ قَاتَلَ عَلَيْهَا</w:t>
      </w:r>
      <w:r w:rsidRPr="005027FA">
        <w:rPr>
          <w:rFonts w:cs="KFGQPC Uthman Taha Naskh" w:hint="cs"/>
          <w:rtl/>
          <w:lang w:bidi="ar-SY"/>
        </w:rPr>
        <w:t>.....»</w:t>
      </w:r>
      <w:r w:rsidRPr="00495BAB">
        <w:rPr>
          <w:rFonts w:hint="cs"/>
          <w:rtl/>
          <w:lang w:bidi="ar-SY"/>
        </w:rPr>
        <w:t>.</w:t>
      </w:r>
    </w:p>
    <w:p w:rsidR="00CD31AA" w:rsidRPr="00495BAB" w:rsidRDefault="00CD31AA" w:rsidP="00451CED">
      <w:pPr>
        <w:pStyle w:val="a0"/>
        <w:rPr>
          <w:rFonts w:hint="cs"/>
          <w:rtl/>
          <w:lang w:bidi="ar-SY"/>
        </w:rPr>
      </w:pPr>
      <w:r w:rsidRPr="00495BAB">
        <w:rPr>
          <w:rFonts w:hint="cs"/>
          <w:rtl/>
          <w:lang w:bidi="ar-SY"/>
        </w:rPr>
        <w:t xml:space="preserve">وحديث آخر من الأحاديث التي أوردها كاتب الردّ مأخوذ من رسالة </w:t>
      </w:r>
      <w:r w:rsidRPr="00495BAB">
        <w:rPr>
          <w:rFonts w:hint="cs"/>
          <w:b/>
          <w:bCs/>
          <w:rtl/>
          <w:lang w:bidi="ar-SY"/>
        </w:rPr>
        <w:t>المحكم والمتشابه</w:t>
      </w:r>
      <w:r w:rsidRPr="00495BAB">
        <w:rPr>
          <w:rFonts w:hint="cs"/>
          <w:rtl/>
          <w:lang w:bidi="ar-SY"/>
        </w:rPr>
        <w:t xml:space="preserve"> للسيد المرتضى نقلاً عن </w:t>
      </w:r>
      <w:r w:rsidRPr="00495BAB">
        <w:rPr>
          <w:rFonts w:hint="cs"/>
          <w:b/>
          <w:bCs/>
          <w:rtl/>
          <w:lang w:bidi="ar-SY"/>
        </w:rPr>
        <w:t>تفسير النعماني</w:t>
      </w:r>
      <w:r w:rsidRPr="00495BAB">
        <w:rPr>
          <w:rFonts w:hint="cs"/>
          <w:rtl/>
          <w:lang w:bidi="ar-SY"/>
        </w:rPr>
        <w:t xml:space="preserve">، وهو تفسير ينسب إلى حضرة الصادق أمورًا بشكل مضطرب ومشوَّشٍ، كما أن أحد رواته علي بن أبي حمزة وهو في الاحتمال الغالب علي بن أبي حمزة البطائني الذي صرَّحت كتب الرجال بأنه كان واقفياً لُعِنَ على لسان الأئمة </w:t>
      </w:r>
      <w:r w:rsidR="00963EFD" w:rsidRPr="00963EFD">
        <w:rPr>
          <w:rFonts w:cs="CTraditional Arabic" w:hint="cs"/>
          <w:rtl/>
          <w:lang w:bidi="ar-SY"/>
        </w:rPr>
        <w:t>‡</w:t>
      </w:r>
      <w:r w:rsidRPr="00495BAB">
        <w:rPr>
          <w:rFonts w:hint="cs"/>
          <w:rtl/>
          <w:lang w:bidi="ar-SY"/>
        </w:rPr>
        <w:t>؛ ولو تأمّلنا في متن هذا الحديث ومضمونه لتأكدنا أنه ليس من كلام أمير المؤمنين علي بن أبي طالب</w:t>
      </w:r>
      <w:r w:rsidR="00451CED" w:rsidRPr="00451CED">
        <w:rPr>
          <w:rFonts w:ascii="Abo-thar" w:hAnsi="Abo-thar" w:cs="CTraditional Arabic"/>
          <w:sz w:val="28"/>
          <w:rtl/>
          <w:lang w:bidi="ar-SY"/>
        </w:rPr>
        <w:t>÷</w:t>
      </w:r>
      <w:r w:rsidRPr="00495BAB">
        <w:rPr>
          <w:rFonts w:ascii="Abo-thar" w:hAnsi="Abo-thar" w:hint="cs"/>
          <w:sz w:val="28"/>
          <w:rtl/>
          <w:lang w:bidi="ar-SY"/>
        </w:rPr>
        <w:t xml:space="preserve"> لأنه في الصفحة ذاتها التي جاء فيها حديث اليتامى والمساكين (ص 56) كتب قبل ذلك يقول: «رُوِيَ عن عمر بن الخطاب»، ولا يمكن لأمير المؤمنين الذي كان معاصراً لعمر أن يقول: «رُوِيَ عن عُمَر»!</w:t>
      </w:r>
    </w:p>
    <w:p w:rsidR="00CD31AA" w:rsidRPr="00495BAB" w:rsidRDefault="00CD31AA" w:rsidP="00495BAB">
      <w:pPr>
        <w:pStyle w:val="a0"/>
        <w:rPr>
          <w:rFonts w:hint="cs"/>
          <w:rtl/>
          <w:lang w:bidi="ar-SY"/>
        </w:rPr>
      </w:pPr>
      <w:r w:rsidRPr="00495BAB">
        <w:rPr>
          <w:rFonts w:hint="cs"/>
          <w:rtl/>
          <w:lang w:bidi="ar-SY"/>
        </w:rPr>
        <w:t xml:space="preserve">أضف إلى ذلك أن قصده من الخمس هو خمس الغنائم، لأنه كتب يقول: </w:t>
      </w:r>
      <w:r w:rsidRPr="005027FA">
        <w:rPr>
          <w:rFonts w:cs="KFGQPC Uthman Taha Naskh" w:hint="cs"/>
          <w:rtl/>
          <w:lang w:bidi="ar-SY"/>
        </w:rPr>
        <w:t>«</w:t>
      </w:r>
      <w:r w:rsidRPr="005027FA">
        <w:rPr>
          <w:rFonts w:cs="KFGQPC Uthman Taha Naskh"/>
          <w:rtl/>
          <w:lang w:bidi="ar-SY"/>
        </w:rPr>
        <w:t>وَالْخُمُسُ يُخْرَجُ مِنْ أَرْبَعَةِ وُجُوهٍ</w:t>
      </w:r>
      <w:r w:rsidRPr="005027FA">
        <w:rPr>
          <w:rFonts w:cs="KFGQPC Uthman Taha Naskh" w:hint="cs"/>
          <w:rtl/>
          <w:lang w:bidi="ar-SY"/>
        </w:rPr>
        <w:t>:</w:t>
      </w:r>
      <w:r w:rsidRPr="005027FA">
        <w:rPr>
          <w:rFonts w:cs="KFGQPC Uthman Taha Naskh"/>
          <w:rtl/>
          <w:lang w:bidi="ar-SY"/>
        </w:rPr>
        <w:t xml:space="preserve"> مِنَ الْغَنَائِمِ الَّتِي يُصِيبُهَا الْمُسْلِمُونَ مِنَ الْمُشْرِكِينَ وَمِنَ الْمَعَادِنِ وَمِنَ الْكُنُوزِ وَمِنَ الْغَوْصِ</w:t>
      </w:r>
      <w:r w:rsidRPr="005027FA">
        <w:rPr>
          <w:rFonts w:cs="KFGQPC Uthman Taha Naskh" w:hint="cs"/>
          <w:rtl/>
          <w:lang w:bidi="ar-SY"/>
        </w:rPr>
        <w:t>»</w:t>
      </w:r>
    </w:p>
    <w:p w:rsidR="00CD31AA" w:rsidRPr="00495BAB" w:rsidRDefault="00CD31AA" w:rsidP="00495BAB">
      <w:pPr>
        <w:pStyle w:val="a0"/>
        <w:rPr>
          <w:rFonts w:hint="cs"/>
          <w:rtl/>
          <w:lang w:bidi="ar-SY"/>
        </w:rPr>
      </w:pPr>
      <w:r w:rsidRPr="00495BAB">
        <w:rPr>
          <w:rFonts w:hint="cs"/>
          <w:rtl/>
          <w:lang w:bidi="ar-SY"/>
        </w:rPr>
        <w:t>وأحد الأحاديث التي أوردها كاتب الردّ أيضًا، وهو الحديث 6 في كُتَيِّبه، حديث مرفوع</w:t>
      </w:r>
      <w:r w:rsidR="000C68EA" w:rsidRPr="000C68EA">
        <w:rPr>
          <w:rStyle w:val="FootnoteReference"/>
          <w:rFonts w:cs="Arabic11 BT"/>
          <w:rtl/>
          <w:lang w:bidi="ar-SY"/>
        </w:rPr>
        <w:t>(</w:t>
      </w:r>
      <w:r w:rsidR="000C68EA" w:rsidRPr="000C68EA">
        <w:rPr>
          <w:rStyle w:val="FootnoteReference"/>
          <w:rFonts w:cs="Arabic11 BT"/>
          <w:rtl/>
          <w:lang w:bidi="ar-SY"/>
        </w:rPr>
        <w:footnoteReference w:id="497"/>
      </w:r>
      <w:r w:rsidR="000C68EA" w:rsidRPr="000C68EA">
        <w:rPr>
          <w:rStyle w:val="FootnoteReference"/>
          <w:rFonts w:cs="Arabic11 BT"/>
          <w:rtl/>
          <w:lang w:bidi="ar-SY"/>
        </w:rPr>
        <w:t>)</w:t>
      </w:r>
      <w:r w:rsidRPr="00495BAB">
        <w:rPr>
          <w:rFonts w:hint="cs"/>
          <w:rtl/>
          <w:lang w:bidi="ar-SY"/>
        </w:rPr>
        <w:t xml:space="preserve">. وهذه النسبة أعطاها الشيخ الطوسي نفسه للحديث، وإلا فإن المرفوع ليس معناه أن نسبته إلى الإمام قد تكون صحيحة، بل مثل هذا الحديث لا ينتسب إلى أي إمام من أئمة آل البيت، بل هو كلام قاله بعض الناس أو سمعه بعضهم. ومتن هذا الحديث يقول: </w:t>
      </w:r>
      <w:r w:rsidRPr="005027FA">
        <w:rPr>
          <w:rFonts w:cs="KFGQPC Uthman Taha Naskh" w:hint="cs"/>
          <w:rtl/>
          <w:lang w:bidi="ar-SY"/>
        </w:rPr>
        <w:t>«</w:t>
      </w:r>
      <w:r w:rsidRPr="005027FA">
        <w:rPr>
          <w:rFonts w:cs="KFGQPC Uthman Taha Naskh"/>
          <w:rtl/>
          <w:lang w:bidi="ar-SY"/>
        </w:rPr>
        <w:t>الْخُمُسُ مِنْ خَمْسَةِ أَشْيَاءَ مِنَ الْكُنُوزِ وَالْمَعَادِنِ وَالْغَوْصِ وَالْمَغْنَمِ الَّذِي يُقَاتَلُ عَلَيْه</w:t>
      </w:r>
      <w:r w:rsidRPr="005027FA">
        <w:rPr>
          <w:rFonts w:cs="KFGQPC Uthman Taha Naskh" w:hint="cs"/>
          <w:rtl/>
          <w:lang w:bidi="ar-SY"/>
        </w:rPr>
        <w:t>»</w:t>
      </w:r>
      <w:r w:rsidRPr="00495BAB">
        <w:rPr>
          <w:rFonts w:hint="cs"/>
          <w:rtl/>
          <w:lang w:bidi="ar-SY"/>
        </w:rPr>
        <w:t>. ونسي الراوي ابن عمير الشيء الخامس. إذًا، لو فرضنا أننا اعتبرنا هذا الكلام حديثًا فعلاً، فهو يتحدث أيضًا عن خُمْس الكنز والمعادن والغوص وغنائم الحرب ولا علاقة له بذلك الخُمس الشامل.</w:t>
      </w:r>
    </w:p>
    <w:p w:rsidR="00CD31AA" w:rsidRPr="00495BAB" w:rsidRDefault="00CD31AA" w:rsidP="00495BAB">
      <w:pPr>
        <w:pStyle w:val="a0"/>
        <w:rPr>
          <w:rFonts w:hint="cs"/>
          <w:rtl/>
          <w:lang w:bidi="ar-SY"/>
        </w:rPr>
      </w:pPr>
      <w:r w:rsidRPr="00495BAB">
        <w:rPr>
          <w:rFonts w:hint="cs"/>
          <w:rtl/>
          <w:lang w:bidi="ar-SY"/>
        </w:rPr>
        <w:t xml:space="preserve">والحديث الآخر من الأحاديث التي أوردها حديثٌ مرسلٌ أيضًا أرسله حماد بن عيسى وهو الحديث الخامس، وهو حديث راويه علي بن فضال. وقد لَعَنَ المرحومُ صاحبُ السرائر عليَّ بن فضال هذا وأباه في الصفحة 115 من كتابه، وانتقد جده (الشيخ الطوسي) وذمَّ كتابه </w:t>
      </w:r>
      <w:r w:rsidRPr="00495BAB">
        <w:rPr>
          <w:rFonts w:hint="cs"/>
          <w:b/>
          <w:bCs/>
          <w:rtl/>
          <w:lang w:bidi="ar-SY"/>
        </w:rPr>
        <w:t>التهذيب</w:t>
      </w:r>
      <w:r w:rsidRPr="00495BAB">
        <w:rPr>
          <w:rFonts w:hint="cs"/>
          <w:rtl/>
          <w:lang w:bidi="ar-SY"/>
        </w:rPr>
        <w:t>. وعلى كل حال، فأيًّا كان هذا الحديث فإنه نصَّ على أن الغنيمة التي ينال آل الرسول ومساكينهم وأبناء سبيلهم سهمًا منها، تؤخذ من خمسة أشياء: الغنيمة الحربية والغوص والكنوز والمعادن والملاحة.</w:t>
      </w:r>
    </w:p>
    <w:p w:rsidR="00CD31AA" w:rsidRPr="00495BAB" w:rsidRDefault="00CD31AA" w:rsidP="00495BAB">
      <w:pPr>
        <w:pStyle w:val="a0"/>
        <w:rPr>
          <w:rFonts w:hint="cs"/>
          <w:rtl/>
          <w:lang w:bidi="ar-SY"/>
        </w:rPr>
      </w:pPr>
      <w:r w:rsidRPr="00495BAB">
        <w:rPr>
          <w:rFonts w:hint="cs"/>
          <w:rtl/>
          <w:lang w:bidi="ar-SY"/>
        </w:rPr>
        <w:t>الحديث الثاني في هذا الكُتَيِّب حديثٌ رواه الشيخ الطوسي عن أحمد بن فضَّال عن أبيه عن عبد الله بن بكير، وهؤلاء الثلاثة كانوا جميعًا من الفطحية، بالإضافة إلى أن الحديث رُوِي مرسلاً، فلا ندري عن أي إمام رُوِي، ومن الذي اعتبر أن اليتامى والمساكين وأبناء السبيل الذين ذكروا في الآية الكريمة</w:t>
      </w:r>
      <w:r w:rsidR="000775C2" w:rsidRPr="00495BAB">
        <w:rPr>
          <w:rFonts w:hint="cs"/>
          <w:rtl/>
          <w:lang w:bidi="ar-SY"/>
        </w:rPr>
        <w:t xml:space="preserve">: </w:t>
      </w:r>
      <w:r w:rsidR="000775C2" w:rsidRPr="00995B26">
        <w:rPr>
          <w:rFonts w:cs="Traditional Arabic" w:hint="cs"/>
          <w:szCs w:val="30"/>
          <w:rtl/>
          <w:lang w:bidi="ar-SY"/>
        </w:rPr>
        <w:t>﴿</w:t>
      </w:r>
      <w:r w:rsidR="000775C2" w:rsidRPr="0067048A">
        <w:rPr>
          <w:rFonts w:ascii="KFGQPC Uthmanic Script HAFS" w:cs="KFGQPC Uthmanic Script HAFS" w:hint="eastAsia"/>
          <w:sz w:val="28"/>
          <w:szCs w:val="28"/>
          <w:rtl/>
        </w:rPr>
        <w:t>وَ</w:t>
      </w:r>
      <w:r w:rsidR="000775C2" w:rsidRPr="0067048A">
        <w:rPr>
          <w:rFonts w:ascii="KFGQPC Uthmanic Script HAFS" w:cs="KFGQPC Uthmanic Script HAFS" w:hint="cs"/>
          <w:sz w:val="28"/>
          <w:szCs w:val="28"/>
          <w:rtl/>
        </w:rPr>
        <w:t>ٱ</w:t>
      </w:r>
      <w:r w:rsidR="000775C2" w:rsidRPr="0067048A">
        <w:rPr>
          <w:rFonts w:ascii="KFGQPC Uthmanic Script HAFS" w:cs="KFGQPC Uthmanic Script HAFS" w:hint="eastAsia"/>
          <w:sz w:val="28"/>
          <w:szCs w:val="28"/>
          <w:rtl/>
        </w:rPr>
        <w:t>ع</w:t>
      </w:r>
      <w:r w:rsidR="000775C2" w:rsidRPr="0067048A">
        <w:rPr>
          <w:rFonts w:ascii="KFGQPC Uthmanic Script HAFS" w:cs="KFGQPC Uthmanic Script HAFS" w:hint="cs"/>
          <w:sz w:val="28"/>
          <w:szCs w:val="28"/>
          <w:rtl/>
        </w:rPr>
        <w:t>ۡ</w:t>
      </w:r>
      <w:r w:rsidR="000775C2" w:rsidRPr="0067048A">
        <w:rPr>
          <w:rFonts w:ascii="KFGQPC Uthmanic Script HAFS" w:cs="KFGQPC Uthmanic Script HAFS" w:hint="eastAsia"/>
          <w:sz w:val="28"/>
          <w:szCs w:val="28"/>
          <w:rtl/>
        </w:rPr>
        <w:t>لَمُو</w:t>
      </w:r>
      <w:r w:rsidR="000775C2" w:rsidRPr="0067048A">
        <w:rPr>
          <w:rFonts w:ascii="KFGQPC Uthmanic Script HAFS" w:cs="KFGQPC Uthmanic Script HAFS" w:hint="cs"/>
          <w:sz w:val="28"/>
          <w:szCs w:val="28"/>
          <w:rtl/>
        </w:rPr>
        <w:t>ٓ</w:t>
      </w:r>
      <w:r w:rsidR="000775C2" w:rsidRPr="0067048A">
        <w:rPr>
          <w:rFonts w:ascii="KFGQPC Uthmanic Script HAFS" w:cs="KFGQPC Uthmanic Script HAFS" w:hint="eastAsia"/>
          <w:sz w:val="28"/>
          <w:szCs w:val="28"/>
          <w:rtl/>
        </w:rPr>
        <w:t>اْ</w:t>
      </w:r>
      <w:r w:rsidR="000775C2" w:rsidRPr="0067048A">
        <w:rPr>
          <w:rFonts w:ascii="KFGQPC Uthmanic Script HAFS" w:cs="KFGQPC Uthmanic Script HAFS"/>
          <w:sz w:val="28"/>
          <w:szCs w:val="28"/>
          <w:rtl/>
        </w:rPr>
        <w:t xml:space="preserve"> </w:t>
      </w:r>
      <w:r w:rsidR="000775C2" w:rsidRPr="0067048A">
        <w:rPr>
          <w:rFonts w:ascii="KFGQPC Uthmanic Script HAFS" w:cs="KFGQPC Uthmanic Script HAFS" w:hint="eastAsia"/>
          <w:sz w:val="28"/>
          <w:szCs w:val="28"/>
          <w:rtl/>
        </w:rPr>
        <w:t>أَنَّمَا</w:t>
      </w:r>
      <w:r w:rsidR="000775C2" w:rsidRPr="0067048A">
        <w:rPr>
          <w:rFonts w:ascii="KFGQPC Uthmanic Script HAFS" w:cs="KFGQPC Uthmanic Script HAFS"/>
          <w:sz w:val="28"/>
          <w:szCs w:val="28"/>
          <w:rtl/>
        </w:rPr>
        <w:t xml:space="preserve"> </w:t>
      </w:r>
      <w:r w:rsidR="000775C2" w:rsidRPr="0067048A">
        <w:rPr>
          <w:rFonts w:ascii="KFGQPC Uthmanic Script HAFS" w:cs="KFGQPC Uthmanic Script HAFS" w:hint="eastAsia"/>
          <w:sz w:val="28"/>
          <w:szCs w:val="28"/>
          <w:rtl/>
        </w:rPr>
        <w:t>غَنِم</w:t>
      </w:r>
      <w:r w:rsidR="000775C2" w:rsidRPr="0067048A">
        <w:rPr>
          <w:rFonts w:ascii="KFGQPC Uthmanic Script HAFS" w:cs="KFGQPC Uthmanic Script HAFS" w:hint="cs"/>
          <w:sz w:val="28"/>
          <w:szCs w:val="28"/>
          <w:rtl/>
        </w:rPr>
        <w:t>ۡ</w:t>
      </w:r>
      <w:r w:rsidR="000775C2" w:rsidRPr="0067048A">
        <w:rPr>
          <w:rFonts w:ascii="KFGQPC Uthmanic Script HAFS" w:cs="KFGQPC Uthmanic Script HAFS" w:hint="eastAsia"/>
          <w:sz w:val="28"/>
          <w:szCs w:val="28"/>
          <w:rtl/>
        </w:rPr>
        <w:t>تُم</w:t>
      </w:r>
      <w:r w:rsidR="000775C2" w:rsidRPr="00995B26">
        <w:rPr>
          <w:rFonts w:cs="Traditional Arabic" w:hint="cs"/>
          <w:szCs w:val="30"/>
          <w:rtl/>
          <w:lang w:bidi="ar-SY"/>
        </w:rPr>
        <w:t>﴾</w:t>
      </w:r>
      <w:r w:rsidRPr="00495BAB">
        <w:rPr>
          <w:rFonts w:hint="cs"/>
          <w:rtl/>
          <w:lang w:bidi="ar-SY"/>
        </w:rPr>
        <w:t xml:space="preserve"> التي جاءت بصراحة في خُمس غنائم الحرب، هم يتامى آل الرسول ومساكينهم وأبناء السبيل منهم.</w:t>
      </w:r>
    </w:p>
    <w:p w:rsidR="00CD31AA" w:rsidRPr="00495BAB" w:rsidRDefault="00CD31AA" w:rsidP="00495BAB">
      <w:pPr>
        <w:pStyle w:val="a0"/>
        <w:rPr>
          <w:rFonts w:hint="cs"/>
          <w:rtl/>
          <w:lang w:bidi="ar-SY"/>
        </w:rPr>
      </w:pPr>
      <w:r w:rsidRPr="00495BAB">
        <w:rPr>
          <w:rFonts w:hint="cs"/>
          <w:rtl/>
          <w:lang w:bidi="ar-SY"/>
        </w:rPr>
        <w:t>والحديث الأول من بين هذه الأحاديث الاثني عشر هو ذلك الحديث ذاته الذي نعتبر أن المساكين وأبناء السبيل المقصودين فيه هم من عامة المسلمين، ويوافقنا على هذا القول كثير من علماء الشيعة أيضًا، في حين اعتبر كاتب الرد أنهم من آل الرسول فقط. وعلى كل حال، حتى لو كانوا من آل الرسول فقط فسيشملهم أخذ خمس غنائم الحرب كما يشهد لذلك الحديث كله من أوله إلى آخره. وأعتقد أن النظر القصير للسيد كاتب الردّ هو الذي دفعه إلى رصف تلك الأحاديث إلى جانب بعضها بعضًا، دون أن ينوبه شيء منها سوى الريح! إن التأمّل في متن الرواية مع كل ضعفها يوضِّح هذه الحقيقة لقارئها المنصف البعيد عن الغرض وضوحًا تامًا.</w:t>
      </w:r>
    </w:p>
    <w:p w:rsidR="00CD31AA" w:rsidRPr="00495BAB" w:rsidRDefault="00CD31AA" w:rsidP="00495BAB">
      <w:pPr>
        <w:pStyle w:val="a0"/>
        <w:rPr>
          <w:rFonts w:hint="cs"/>
          <w:rtl/>
          <w:lang w:bidi="ar-SY"/>
        </w:rPr>
      </w:pPr>
      <w:r w:rsidRPr="00495BAB">
        <w:rPr>
          <w:rFonts w:hint="cs"/>
          <w:rtl/>
          <w:lang w:bidi="ar-SY"/>
        </w:rPr>
        <w:t xml:space="preserve">ونكتفي هنا بالقول بأنه في زمن نزول هذه الآية وحتى سنوات لاحقة لم يكن هناك في أسرة رسول الله </w:t>
      </w:r>
      <w:r w:rsidRPr="00495BAB">
        <w:rPr>
          <w:rFonts w:ascii="Abo-thar" w:hAnsi="Abo-thar"/>
          <w:sz w:val="28"/>
          <w:lang w:bidi="fa-IR"/>
        </w:rPr>
        <w:t></w:t>
      </w:r>
      <w:r w:rsidRPr="00495BAB">
        <w:rPr>
          <w:rFonts w:hint="cs"/>
          <w:rtl/>
          <w:lang w:bidi="ar-SY"/>
        </w:rPr>
        <w:t xml:space="preserve"> وآله أيُّ يتامى ولا مساكين ولا أبناء سبيل، وليس لدينا في التاريخ والأحاديث شاهدًا واحدًا يدل على أن رسول الله </w:t>
      </w:r>
      <w:r w:rsidRPr="00495BAB">
        <w:rPr>
          <w:rFonts w:ascii="Abo-thar" w:hAnsi="Abo-thar"/>
          <w:sz w:val="28"/>
          <w:lang w:bidi="fa-IR"/>
        </w:rPr>
        <w:t></w:t>
      </w:r>
      <w:r w:rsidRPr="00495BAB">
        <w:rPr>
          <w:rFonts w:hint="cs"/>
          <w:rtl/>
          <w:lang w:bidi="ar-SY"/>
        </w:rPr>
        <w:t xml:space="preserve"> أعطى أحدًا من أقربائه شيئًا تحت هذا العنوان، وكل هذه الأحاديث التي يتمسك بها القوم اليوم وُجِدَت بعد مُضِيِّ أربعة قرون على ظهور الإسلام؛ أي في الزمن الذي لم يكن هناك أحدٌ من الأئمة </w:t>
      </w:r>
      <w:r w:rsidR="00963EFD" w:rsidRPr="00963EFD">
        <w:rPr>
          <w:rFonts w:cs="CTraditional Arabic" w:hint="cs"/>
          <w:rtl/>
          <w:lang w:bidi="ar-SY"/>
        </w:rPr>
        <w:t>‡</w:t>
      </w:r>
      <w:r w:rsidRPr="00495BAB">
        <w:rPr>
          <w:rFonts w:hint="cs"/>
          <w:rtl/>
          <w:lang w:bidi="ar-SY"/>
        </w:rPr>
        <w:t xml:space="preserve"> ظاهراً فيه، بل كانوا قد رحلوا عن الدنيا جميعًا، ورغم ذلك كله حتى لو سلَّمنا بصحة تلك الأحاديث، فإنها تتعلق بغنائم الحرب. ومنذ خلافة أمير المؤمنين عليّ </w:t>
      </w:r>
      <w:r w:rsidR="00451CED" w:rsidRPr="00451CED">
        <w:rPr>
          <w:rFonts w:ascii="Abo-thar" w:hAnsi="Abo-thar" w:cs="CTraditional Arabic"/>
          <w:sz w:val="28"/>
          <w:rtl/>
          <w:lang w:bidi="ar-SY"/>
        </w:rPr>
        <w:t>÷</w:t>
      </w:r>
      <w:r w:rsidRPr="00495BAB">
        <w:rPr>
          <w:rFonts w:ascii="Abo-thar" w:hAnsi="Abo-thar" w:hint="cs"/>
          <w:sz w:val="28"/>
          <w:rtl/>
          <w:lang w:bidi="ar-SY"/>
        </w:rPr>
        <w:t xml:space="preserve"> </w:t>
      </w:r>
      <w:r w:rsidRPr="00495BAB">
        <w:rPr>
          <w:rFonts w:hint="cs"/>
          <w:rtl/>
          <w:lang w:bidi="ar-SY"/>
        </w:rPr>
        <w:t>وحتى اليوم لم تقع مثل هذه الحرب التي يمكننا أن نقسم غنائمها بين أرباب الخُمس. لأنه إذا كان من شروط الجهاد ضد الكفار وجود الإمام وإذنه، فإن مثل هذا الأمر لم يكن له وجود. ولو فرضنا أيضًا أن كل جهاد ولو وقع دون وجود الإمام وإذنه تصير غنائمه لليتامى والمساكين وأبناء السبيل من آل الرسول، فقد مضت سنوات مديدة دون حصول مثل هذه الحرب، فالقضية سالبة بانتفاء موضوعها! أما خمس أرباح المكاسب الذي وُجِدَ فيما بعد، فعلى فرض صحته، هو خاص بالإمام ولا يصل لليتامى والمساكين وأبناء السبيل، وقد وهبه الإمام في أكثر من ثلاثين حديثًا للشيعة وحلّله لهم، وهذه الأحاديث الثلاثين رغم كل ضعفها إلا أنها تبقى من حيث السند أصح من أصل أحاديث وجوب الخُمس! وإن أخذتُم هذا الخُمس من غير الشيعة فعليكم - طبقًا لأمر الفقهاء ذوي القدر العالي(!) - أن توصوا به لشخص ما عند وفاتكم أو تدفنوه في الأرض أو ترموه في البحر كي يصل إلى الإمام! فلماذا كل هذا الصياح والصراخ؟ هل سبب ذلك شيء سوى صيرورة هذا الخُمس حانوتًا لكم ترتزقون منه وتأكلون منه خبز يومكم، فهذا هو السبب لدفاعكم المستميت عنه. ولا شك أن الذي لا يفهم هذا الأمر هو في غاية الحماقة؟!</w:t>
      </w:r>
    </w:p>
    <w:p w:rsidR="00CD31AA" w:rsidRPr="00495BAB" w:rsidRDefault="00CD31AA" w:rsidP="00495BAB">
      <w:pPr>
        <w:pStyle w:val="a0"/>
        <w:rPr>
          <w:rFonts w:hint="cs"/>
          <w:rtl/>
          <w:lang w:bidi="ar-SY"/>
        </w:rPr>
      </w:pPr>
      <w:r w:rsidRPr="00495BAB">
        <w:rPr>
          <w:rFonts w:hint="cs"/>
          <w:rtl/>
          <w:lang w:bidi="ar-SY"/>
        </w:rPr>
        <w:t xml:space="preserve">ولكي يثبت السيد كاتب الردّ أنه منتبه إلى أطراف القضية وجميع جوانبها، بحث في حاشية الصفحة 107 من كُتَيِّبه هذا في سند بعض هذه الأحاديث التي يرويها الحسن بن فَضَّال أو ابنه علي بن فَضَّال. ولكن لما وجدنا أن هذين الشخصين - طبقًا لكتب الرجال- هما من الفطحية وذكَّرنا بالعبارات التي أوردها بعض الفقهاء في ذمّهم، لجأ كاتب الرد، ليس للردّ على رأينا فقط بل للردّ على رأي فقهاء كبار مثل صاحب السرائر والعلامة الحلي، فلجأ إلى كتاب </w:t>
      </w:r>
      <w:r w:rsidRPr="00495BAB">
        <w:rPr>
          <w:rFonts w:hint="cs"/>
          <w:b/>
          <w:bCs/>
          <w:rtl/>
          <w:lang w:bidi="ar-SY"/>
        </w:rPr>
        <w:t>تنقيح المقال</w:t>
      </w:r>
      <w:r w:rsidRPr="00495BAB">
        <w:rPr>
          <w:rFonts w:hint="cs"/>
          <w:rtl/>
          <w:lang w:bidi="ar-SY"/>
        </w:rPr>
        <w:t xml:space="preserve"> للمامقاني لكي يطهِّر هذا الراوي ويعمِّده! في حين أن السيد المامقاني ذاته يحتاج إلى التطهير، لأنه سعى في كتابه إلى تطهير الرجال سيئي السمعة والوضّاعين والكذّابين والغلاة، وعندما رأى أن علماء الرجال الكبار كالنجاشي والغضائري والعلامة الحلي اعتبروا رواة من أمثال المعلى بن خنيس ومحمد بن سنان ومحمد بن أرومة وأمثالهم غلاةً وردُّوا أخبارهم، قال المامقاني بكل صراحة: «إن العقيدة التي كان علماء الشيعة القدماء يعتبرونها غُلُوًّا ويعتقدون أن من يقول بها هو من الغلاة، هي اليوم من ضروريات مذهب الشيعة»! مما يبين أن مذهب الشيعة اليوم هو في كثير من جوانبه صورة مُحَرَّفة عن دين الإسلام، وحصيلة لتلاعب الوضاعين والغلاة وصناعتهم وإكمالهم الدين من عند أنفسهم حتى صار بالصورة الحالية! وعلينا أن نقبله كما هو بهذه الصورة! ولقد ذكَّرنا بالطبع بهذه القضية في كتبنا حيثما لزم الأمر واعتبرنا ذلك الأمر سندًا ودليلاً على عدم وثاقة كتاب </w:t>
      </w:r>
      <w:r w:rsidRPr="00495BAB">
        <w:rPr>
          <w:rFonts w:hint="cs"/>
          <w:b/>
          <w:bCs/>
          <w:rtl/>
          <w:lang w:bidi="ar-SY"/>
        </w:rPr>
        <w:t>تنقيح المقال</w:t>
      </w:r>
      <w:r w:rsidRPr="00495BAB">
        <w:rPr>
          <w:rFonts w:hint="cs"/>
          <w:rtl/>
          <w:lang w:bidi="ar-SY"/>
        </w:rPr>
        <w:t xml:space="preserve"> وضعفه و وهن كثير مما جاء فيه، وهو ما أفصح عنه العالم الجليل والمحقّق القدير السيد الحاج الشيخ محمد تقي الشوشتري «رحمه الله» في كتابه (</w:t>
      </w:r>
      <w:r w:rsidRPr="00495BAB">
        <w:rPr>
          <w:rFonts w:hint="cs"/>
          <w:b/>
          <w:bCs/>
          <w:rtl/>
          <w:lang w:bidi="ar-SY"/>
        </w:rPr>
        <w:t>قاموس الرجال</w:t>
      </w:r>
      <w:r w:rsidRPr="00495BAB">
        <w:rPr>
          <w:rFonts w:hint="cs"/>
          <w:rtl/>
          <w:lang w:bidi="ar-SY"/>
        </w:rPr>
        <w:t>) حيث بيَّن أخطاء السيد المامقاني في هذا المجال.</w:t>
      </w:r>
    </w:p>
    <w:p w:rsidR="00CD31AA" w:rsidRPr="00995B26" w:rsidRDefault="00CD31AA" w:rsidP="00495BAB">
      <w:pPr>
        <w:pStyle w:val="a0"/>
        <w:rPr>
          <w:rFonts w:hint="cs"/>
          <w:rtl/>
          <w:lang w:bidi="ar-SY"/>
        </w:rPr>
      </w:pPr>
      <w:r w:rsidRPr="00495BAB">
        <w:rPr>
          <w:rFonts w:hint="cs"/>
          <w:rtl/>
          <w:lang w:bidi="ar-SY"/>
        </w:rPr>
        <w:t>وعلى كل حال، لا نستطيع أن نترك عقلنا ووجداننا ونتَّبع رأي المامقاني ونترك رأي علماء أجلاء مثل النجاشي والغضائري والعلامة الحلي ومحمد بن إدريس (صاحب السرائر) مع أن كلّاً منهم -قطعًا ويقينًا- أبصر بأحوال الرجال من السيد المامقاني! لاسيّما أن المامقاني كان من أنصار الغلاة الذين نسبوا كل هذه الأكاذيب إلى الأئمة وافتروها عليهم، مع أن الله تعالى يقول:</w:t>
      </w:r>
      <w:r w:rsidR="000775C2" w:rsidRPr="00495BAB">
        <w:rPr>
          <w:rFonts w:hint="cs"/>
          <w:rtl/>
          <w:lang w:bidi="ar-SY"/>
        </w:rPr>
        <w:t xml:space="preserve"> </w:t>
      </w:r>
      <w:r w:rsidR="000775C2" w:rsidRPr="00995B26">
        <w:rPr>
          <w:rFonts w:cs="Traditional Arabic" w:hint="cs"/>
          <w:szCs w:val="30"/>
          <w:rtl/>
          <w:lang w:bidi="ar-SY"/>
        </w:rPr>
        <w:t>﴿</w:t>
      </w:r>
      <w:r w:rsidR="000775C2" w:rsidRPr="0067048A">
        <w:rPr>
          <w:rFonts w:ascii="KFGQPC Uthmanic Script HAFS" w:cs="KFGQPC Uthmanic Script HAFS" w:hint="eastAsia"/>
          <w:sz w:val="28"/>
          <w:szCs w:val="28"/>
          <w:rtl/>
        </w:rPr>
        <w:t>فَمَن</w:t>
      </w:r>
      <w:r w:rsidR="000775C2" w:rsidRPr="0067048A">
        <w:rPr>
          <w:rFonts w:ascii="KFGQPC Uthmanic Script HAFS" w:cs="KFGQPC Uthmanic Script HAFS" w:hint="cs"/>
          <w:sz w:val="28"/>
          <w:szCs w:val="28"/>
          <w:rtl/>
        </w:rPr>
        <w:t>ۡ</w:t>
      </w:r>
      <w:r w:rsidR="000775C2" w:rsidRPr="0067048A">
        <w:rPr>
          <w:rFonts w:ascii="KFGQPC Uthmanic Script HAFS" w:cs="KFGQPC Uthmanic Script HAFS"/>
          <w:sz w:val="28"/>
          <w:szCs w:val="28"/>
          <w:rtl/>
        </w:rPr>
        <w:t xml:space="preserve"> </w:t>
      </w:r>
      <w:r w:rsidR="000775C2" w:rsidRPr="0067048A">
        <w:rPr>
          <w:rFonts w:ascii="KFGQPC Uthmanic Script HAFS" w:cs="KFGQPC Uthmanic Script HAFS" w:hint="eastAsia"/>
          <w:sz w:val="28"/>
          <w:szCs w:val="28"/>
          <w:rtl/>
        </w:rPr>
        <w:t>أَظ</w:t>
      </w:r>
      <w:r w:rsidR="000775C2" w:rsidRPr="0067048A">
        <w:rPr>
          <w:rFonts w:ascii="KFGQPC Uthmanic Script HAFS" w:cs="KFGQPC Uthmanic Script HAFS" w:hint="cs"/>
          <w:sz w:val="28"/>
          <w:szCs w:val="28"/>
          <w:rtl/>
        </w:rPr>
        <w:t>ۡ</w:t>
      </w:r>
      <w:r w:rsidR="000775C2" w:rsidRPr="0067048A">
        <w:rPr>
          <w:rFonts w:ascii="KFGQPC Uthmanic Script HAFS" w:cs="KFGQPC Uthmanic Script HAFS" w:hint="eastAsia"/>
          <w:sz w:val="28"/>
          <w:szCs w:val="28"/>
          <w:rtl/>
        </w:rPr>
        <w:t>لَمُ</w:t>
      </w:r>
      <w:r w:rsidR="000775C2" w:rsidRPr="0067048A">
        <w:rPr>
          <w:rFonts w:ascii="KFGQPC Uthmanic Script HAFS" w:cs="KFGQPC Uthmanic Script HAFS"/>
          <w:sz w:val="28"/>
          <w:szCs w:val="28"/>
          <w:rtl/>
        </w:rPr>
        <w:t xml:space="preserve"> </w:t>
      </w:r>
      <w:r w:rsidR="000775C2" w:rsidRPr="0067048A">
        <w:rPr>
          <w:rFonts w:ascii="KFGQPC Uthmanic Script HAFS" w:cs="KFGQPC Uthmanic Script HAFS" w:hint="eastAsia"/>
          <w:sz w:val="28"/>
          <w:szCs w:val="28"/>
          <w:rtl/>
        </w:rPr>
        <w:t>مِمَّنِ</w:t>
      </w:r>
      <w:r w:rsidR="000775C2" w:rsidRPr="0067048A">
        <w:rPr>
          <w:rFonts w:ascii="KFGQPC Uthmanic Script HAFS" w:cs="KFGQPC Uthmanic Script HAFS"/>
          <w:sz w:val="28"/>
          <w:szCs w:val="28"/>
          <w:rtl/>
        </w:rPr>
        <w:t xml:space="preserve"> </w:t>
      </w:r>
      <w:r w:rsidR="000775C2" w:rsidRPr="0067048A">
        <w:rPr>
          <w:rFonts w:ascii="KFGQPC Uthmanic Script HAFS" w:cs="KFGQPC Uthmanic Script HAFS" w:hint="cs"/>
          <w:sz w:val="28"/>
          <w:szCs w:val="28"/>
          <w:rtl/>
        </w:rPr>
        <w:t>ٱ</w:t>
      </w:r>
      <w:r w:rsidR="000775C2" w:rsidRPr="0067048A">
        <w:rPr>
          <w:rFonts w:ascii="KFGQPC Uthmanic Script HAFS" w:cs="KFGQPC Uthmanic Script HAFS" w:hint="eastAsia"/>
          <w:sz w:val="28"/>
          <w:szCs w:val="28"/>
          <w:rtl/>
        </w:rPr>
        <w:t>ف</w:t>
      </w:r>
      <w:r w:rsidR="000775C2" w:rsidRPr="0067048A">
        <w:rPr>
          <w:rFonts w:ascii="KFGQPC Uthmanic Script HAFS" w:cs="KFGQPC Uthmanic Script HAFS" w:hint="cs"/>
          <w:sz w:val="28"/>
          <w:szCs w:val="28"/>
          <w:rtl/>
        </w:rPr>
        <w:t>ۡ</w:t>
      </w:r>
      <w:r w:rsidR="000775C2" w:rsidRPr="0067048A">
        <w:rPr>
          <w:rFonts w:ascii="KFGQPC Uthmanic Script HAFS" w:cs="KFGQPC Uthmanic Script HAFS" w:hint="eastAsia"/>
          <w:sz w:val="28"/>
          <w:szCs w:val="28"/>
          <w:rtl/>
        </w:rPr>
        <w:t>تَرَى</w:t>
      </w:r>
      <w:r w:rsidR="000775C2" w:rsidRPr="0067048A">
        <w:rPr>
          <w:rFonts w:ascii="KFGQPC Uthmanic Script HAFS" w:cs="KFGQPC Uthmanic Script HAFS" w:hint="cs"/>
          <w:sz w:val="28"/>
          <w:szCs w:val="28"/>
          <w:rtl/>
        </w:rPr>
        <w:t>ٰ</w:t>
      </w:r>
      <w:r w:rsidR="000775C2" w:rsidRPr="0067048A">
        <w:rPr>
          <w:rFonts w:ascii="KFGQPC Uthmanic Script HAFS" w:cs="KFGQPC Uthmanic Script HAFS"/>
          <w:sz w:val="28"/>
          <w:szCs w:val="28"/>
          <w:rtl/>
        </w:rPr>
        <w:t xml:space="preserve"> </w:t>
      </w:r>
      <w:r w:rsidR="000775C2" w:rsidRPr="0067048A">
        <w:rPr>
          <w:rFonts w:ascii="KFGQPC Uthmanic Script HAFS" w:cs="KFGQPC Uthmanic Script HAFS" w:hint="eastAsia"/>
          <w:sz w:val="28"/>
          <w:szCs w:val="28"/>
          <w:rtl/>
        </w:rPr>
        <w:t>عَلَى</w:t>
      </w:r>
      <w:r w:rsidR="000775C2" w:rsidRPr="0067048A">
        <w:rPr>
          <w:rFonts w:ascii="KFGQPC Uthmanic Script HAFS" w:cs="KFGQPC Uthmanic Script HAFS"/>
          <w:sz w:val="28"/>
          <w:szCs w:val="28"/>
          <w:rtl/>
        </w:rPr>
        <w:t xml:space="preserve"> </w:t>
      </w:r>
      <w:r w:rsidR="000775C2" w:rsidRPr="0067048A">
        <w:rPr>
          <w:rFonts w:ascii="KFGQPC Uthmanic Script HAFS" w:cs="KFGQPC Uthmanic Script HAFS" w:hint="cs"/>
          <w:sz w:val="28"/>
          <w:szCs w:val="28"/>
          <w:rtl/>
        </w:rPr>
        <w:t>ٱ</w:t>
      </w:r>
      <w:r w:rsidR="000775C2" w:rsidRPr="0067048A">
        <w:rPr>
          <w:rFonts w:ascii="KFGQPC Uthmanic Script HAFS" w:cs="KFGQPC Uthmanic Script HAFS" w:hint="eastAsia"/>
          <w:sz w:val="28"/>
          <w:szCs w:val="28"/>
          <w:rtl/>
        </w:rPr>
        <w:t>للَّهِ</w:t>
      </w:r>
      <w:r w:rsidR="000775C2" w:rsidRPr="0067048A">
        <w:rPr>
          <w:rFonts w:ascii="KFGQPC Uthmanic Script HAFS" w:cs="KFGQPC Uthmanic Script HAFS"/>
          <w:sz w:val="28"/>
          <w:szCs w:val="28"/>
          <w:rtl/>
        </w:rPr>
        <w:t xml:space="preserve"> </w:t>
      </w:r>
      <w:r w:rsidR="000775C2" w:rsidRPr="0067048A">
        <w:rPr>
          <w:rFonts w:ascii="KFGQPC Uthmanic Script HAFS" w:cs="KFGQPC Uthmanic Script HAFS" w:hint="eastAsia"/>
          <w:sz w:val="28"/>
          <w:szCs w:val="28"/>
          <w:rtl/>
        </w:rPr>
        <w:t>كَذِب</w:t>
      </w:r>
      <w:r w:rsidR="000775C2" w:rsidRPr="0067048A">
        <w:rPr>
          <w:rFonts w:ascii="KFGQPC Uthmanic Script HAFS" w:cs="KFGQPC Uthmanic Script HAFS" w:hint="cs"/>
          <w:sz w:val="28"/>
          <w:szCs w:val="28"/>
          <w:rtl/>
        </w:rPr>
        <w:t>ٗ</w:t>
      </w:r>
      <w:r w:rsidR="000775C2" w:rsidRPr="0067048A">
        <w:rPr>
          <w:rFonts w:ascii="KFGQPC Uthmanic Script HAFS" w:cs="KFGQPC Uthmanic Script HAFS" w:hint="eastAsia"/>
          <w:sz w:val="28"/>
          <w:szCs w:val="28"/>
          <w:rtl/>
        </w:rPr>
        <w:t>ا</w:t>
      </w:r>
      <w:r w:rsidR="000775C2" w:rsidRPr="00995B26">
        <w:rPr>
          <w:rFonts w:cs="Traditional Arabic" w:hint="cs"/>
          <w:szCs w:val="30"/>
          <w:rtl/>
          <w:lang w:bidi="ar-SY"/>
        </w:rPr>
        <w:t>﴾</w:t>
      </w:r>
      <w:r w:rsidR="000775C2" w:rsidRPr="00495BAB">
        <w:rPr>
          <w:rFonts w:hint="cs"/>
          <w:rtl/>
          <w:lang w:bidi="ar-SY"/>
        </w:rPr>
        <w:t xml:space="preserve"> </w:t>
      </w:r>
      <w:r w:rsidR="000775C2" w:rsidRPr="009E1401">
        <w:rPr>
          <w:rStyle w:val="Char2"/>
          <w:rFonts w:hint="cs"/>
          <w:rtl/>
        </w:rPr>
        <w:t>[الأعراف: 37]</w:t>
      </w:r>
      <w:r w:rsidR="000775C2" w:rsidRPr="00495BAB">
        <w:rPr>
          <w:rFonts w:hint="cs"/>
          <w:rtl/>
          <w:lang w:bidi="fa-IR"/>
        </w:rPr>
        <w:t>.</w:t>
      </w:r>
      <w:r w:rsidRPr="00495BAB">
        <w:rPr>
          <w:rtl/>
          <w:lang w:bidi="fa-IR"/>
        </w:rPr>
        <w:t xml:space="preserve"> </w:t>
      </w:r>
      <w:r w:rsidRPr="00495BAB">
        <w:rPr>
          <w:rFonts w:hint="cs"/>
          <w:rtl/>
          <w:lang w:bidi="fa-IR"/>
        </w:rPr>
        <w:t xml:space="preserve">ويقول: </w:t>
      </w:r>
      <w:r w:rsidR="000775C2" w:rsidRPr="00995B26">
        <w:rPr>
          <w:rFonts w:cs="Traditional Arabic" w:hint="cs"/>
          <w:szCs w:val="30"/>
          <w:rtl/>
          <w:lang w:bidi="ar-SY"/>
        </w:rPr>
        <w:t>﴿</w:t>
      </w:r>
      <w:r w:rsidR="000775C2" w:rsidRPr="0067048A">
        <w:rPr>
          <w:rFonts w:ascii="KFGQPC Uthmanic Script HAFS" w:cs="KFGQPC Uthmanic Script HAFS" w:hint="eastAsia"/>
          <w:sz w:val="28"/>
          <w:szCs w:val="28"/>
          <w:rtl/>
        </w:rPr>
        <w:t>وَلَا</w:t>
      </w:r>
      <w:r w:rsidR="000775C2" w:rsidRPr="0067048A">
        <w:rPr>
          <w:rFonts w:ascii="KFGQPC Uthmanic Script HAFS" w:cs="KFGQPC Uthmanic Script HAFS"/>
          <w:sz w:val="28"/>
          <w:szCs w:val="28"/>
          <w:rtl/>
        </w:rPr>
        <w:t xml:space="preserve"> </w:t>
      </w:r>
      <w:r w:rsidR="000775C2" w:rsidRPr="0067048A">
        <w:rPr>
          <w:rFonts w:ascii="KFGQPC Uthmanic Script HAFS" w:cs="KFGQPC Uthmanic Script HAFS" w:hint="eastAsia"/>
          <w:sz w:val="28"/>
          <w:szCs w:val="28"/>
          <w:rtl/>
        </w:rPr>
        <w:t>تَر</w:t>
      </w:r>
      <w:r w:rsidR="000775C2" w:rsidRPr="0067048A">
        <w:rPr>
          <w:rFonts w:ascii="KFGQPC Uthmanic Script HAFS" w:cs="KFGQPC Uthmanic Script HAFS" w:hint="cs"/>
          <w:sz w:val="28"/>
          <w:szCs w:val="28"/>
          <w:rtl/>
        </w:rPr>
        <w:t>ۡ</w:t>
      </w:r>
      <w:r w:rsidR="000775C2" w:rsidRPr="0067048A">
        <w:rPr>
          <w:rFonts w:ascii="KFGQPC Uthmanic Script HAFS" w:cs="KFGQPC Uthmanic Script HAFS" w:hint="eastAsia"/>
          <w:sz w:val="28"/>
          <w:szCs w:val="28"/>
          <w:rtl/>
        </w:rPr>
        <w:t>كَنُو</w:t>
      </w:r>
      <w:r w:rsidR="000775C2" w:rsidRPr="0067048A">
        <w:rPr>
          <w:rFonts w:ascii="KFGQPC Uthmanic Script HAFS" w:cs="KFGQPC Uthmanic Script HAFS" w:hint="cs"/>
          <w:sz w:val="28"/>
          <w:szCs w:val="28"/>
          <w:rtl/>
        </w:rPr>
        <w:t>ٓ</w:t>
      </w:r>
      <w:r w:rsidR="000775C2" w:rsidRPr="0067048A">
        <w:rPr>
          <w:rFonts w:ascii="KFGQPC Uthmanic Script HAFS" w:cs="KFGQPC Uthmanic Script HAFS" w:hint="eastAsia"/>
          <w:sz w:val="28"/>
          <w:szCs w:val="28"/>
          <w:rtl/>
        </w:rPr>
        <w:t>اْ</w:t>
      </w:r>
      <w:r w:rsidR="000775C2" w:rsidRPr="0067048A">
        <w:rPr>
          <w:rFonts w:ascii="KFGQPC Uthmanic Script HAFS" w:cs="KFGQPC Uthmanic Script HAFS"/>
          <w:sz w:val="28"/>
          <w:szCs w:val="28"/>
          <w:rtl/>
        </w:rPr>
        <w:t xml:space="preserve"> </w:t>
      </w:r>
      <w:r w:rsidR="000775C2" w:rsidRPr="0067048A">
        <w:rPr>
          <w:rFonts w:ascii="KFGQPC Uthmanic Script HAFS" w:cs="KFGQPC Uthmanic Script HAFS" w:hint="eastAsia"/>
          <w:sz w:val="28"/>
          <w:szCs w:val="28"/>
          <w:rtl/>
        </w:rPr>
        <w:t>إِلَى</w:t>
      </w:r>
      <w:r w:rsidR="000775C2" w:rsidRPr="0067048A">
        <w:rPr>
          <w:rFonts w:ascii="KFGQPC Uthmanic Script HAFS" w:cs="KFGQPC Uthmanic Script HAFS"/>
          <w:sz w:val="28"/>
          <w:szCs w:val="28"/>
          <w:rtl/>
        </w:rPr>
        <w:t xml:space="preserve"> </w:t>
      </w:r>
      <w:r w:rsidR="000775C2" w:rsidRPr="0067048A">
        <w:rPr>
          <w:rFonts w:ascii="KFGQPC Uthmanic Script HAFS" w:cs="KFGQPC Uthmanic Script HAFS" w:hint="cs"/>
          <w:sz w:val="28"/>
          <w:szCs w:val="28"/>
          <w:rtl/>
        </w:rPr>
        <w:t>ٱ</w:t>
      </w:r>
      <w:r w:rsidR="000775C2" w:rsidRPr="0067048A">
        <w:rPr>
          <w:rFonts w:ascii="KFGQPC Uthmanic Script HAFS" w:cs="KFGQPC Uthmanic Script HAFS" w:hint="eastAsia"/>
          <w:sz w:val="28"/>
          <w:szCs w:val="28"/>
          <w:rtl/>
        </w:rPr>
        <w:t>لَّذِينَ</w:t>
      </w:r>
      <w:r w:rsidR="000775C2" w:rsidRPr="0067048A">
        <w:rPr>
          <w:rFonts w:ascii="KFGQPC Uthmanic Script HAFS" w:cs="KFGQPC Uthmanic Script HAFS"/>
          <w:sz w:val="28"/>
          <w:szCs w:val="28"/>
          <w:rtl/>
        </w:rPr>
        <w:t xml:space="preserve"> </w:t>
      </w:r>
      <w:r w:rsidR="000775C2" w:rsidRPr="0067048A">
        <w:rPr>
          <w:rFonts w:ascii="KFGQPC Uthmanic Script HAFS" w:cs="KFGQPC Uthmanic Script HAFS" w:hint="eastAsia"/>
          <w:sz w:val="28"/>
          <w:szCs w:val="28"/>
          <w:rtl/>
        </w:rPr>
        <w:t>ظَلَمُواْ</w:t>
      </w:r>
      <w:r w:rsidR="000775C2" w:rsidRPr="00995B26">
        <w:rPr>
          <w:rFonts w:cs="Traditional Arabic" w:hint="cs"/>
          <w:szCs w:val="30"/>
          <w:rtl/>
          <w:lang w:bidi="ar-SY"/>
        </w:rPr>
        <w:t>﴾</w:t>
      </w:r>
      <w:r w:rsidR="000775C2" w:rsidRPr="00495BAB">
        <w:rPr>
          <w:rFonts w:hint="cs"/>
          <w:rtl/>
          <w:lang w:bidi="ar-SY"/>
        </w:rPr>
        <w:t xml:space="preserve"> </w:t>
      </w:r>
      <w:r w:rsidR="000775C2" w:rsidRPr="009E1401">
        <w:rPr>
          <w:rStyle w:val="Char2"/>
          <w:rFonts w:hint="cs"/>
          <w:rtl/>
        </w:rPr>
        <w:t>[هود: 113]</w:t>
      </w:r>
      <w:r w:rsidR="000775C2" w:rsidRPr="00495BAB">
        <w:rPr>
          <w:rFonts w:hint="cs"/>
          <w:rtl/>
          <w:lang w:bidi="ar-SY"/>
        </w:rPr>
        <w:t xml:space="preserve">. </w:t>
      </w:r>
      <w:r w:rsidRPr="00495BAB">
        <w:rPr>
          <w:rFonts w:hint="cs"/>
          <w:rtl/>
          <w:lang w:bidi="ar-SY"/>
        </w:rPr>
        <w:t xml:space="preserve">وأما دفاعه عن عَلِيِّ بْنِ فَضَّالٍ، فقد عرَّفنا بهذا الشخص في كتابنا </w:t>
      </w:r>
      <w:r w:rsidRPr="00495BAB">
        <w:rPr>
          <w:rFonts w:hint="cs"/>
          <w:b/>
          <w:bCs/>
          <w:rtl/>
          <w:lang w:bidi="ar-SY"/>
        </w:rPr>
        <w:t>الزكاة</w:t>
      </w:r>
      <w:r w:rsidRPr="00495BAB">
        <w:rPr>
          <w:rFonts w:hint="cs"/>
          <w:rtl/>
          <w:lang w:bidi="ar-SY"/>
        </w:rPr>
        <w:t xml:space="preserve"> (الصفحات 189 حتى 203) كما عرَّفنا به بشكل مختصر في الكتاب الحالي، مبينين أنه في رأي فقهاء الشيعة: ضعيفٌ ومطرودٌ. وهنا سنردُّ فقط على دفاع كاتب الردّ - بلا وجه حقٍّ - عن عَلِيِّ بْنِ فَضَّال، إذْ حاول أن يبرِّئَهُ من الاعتقاد بإمامة جعفر الكذَّاب:</w:t>
      </w:r>
    </w:p>
    <w:p w:rsidR="00CD31AA" w:rsidRPr="00495BAB" w:rsidRDefault="00CD31AA" w:rsidP="00495BAB">
      <w:pPr>
        <w:pStyle w:val="a0"/>
        <w:rPr>
          <w:rFonts w:hint="cs"/>
          <w:rtl/>
          <w:lang w:bidi="ar-SY"/>
        </w:rPr>
      </w:pPr>
      <w:r w:rsidRPr="00495BAB">
        <w:rPr>
          <w:rFonts w:hint="cs"/>
          <w:rtl/>
          <w:lang w:bidi="ar-SY"/>
        </w:rPr>
        <w:t xml:space="preserve">إن كاتب الردّ هذا، ذي الادعاءات العريضة مع أن بضاعته من العلم مزجاة، يتمسك بكتاب </w:t>
      </w:r>
      <w:r w:rsidRPr="00495BAB">
        <w:rPr>
          <w:rFonts w:hint="cs"/>
          <w:b/>
          <w:bCs/>
          <w:rtl/>
          <w:lang w:bidi="ar-SY"/>
        </w:rPr>
        <w:t>تنقيح المقال</w:t>
      </w:r>
      <w:r w:rsidRPr="00495BAB">
        <w:rPr>
          <w:rFonts w:hint="cs"/>
          <w:rtl/>
          <w:lang w:bidi="ar-SY"/>
        </w:rPr>
        <w:t xml:space="preserve"> للمامقاني تمسُّكًا شديدًا وكأن ما فيه وحيٌ منزل، فقد قال المامقاني في </w:t>
      </w:r>
      <w:r w:rsidRPr="00495BAB">
        <w:rPr>
          <w:rFonts w:hint="cs"/>
          <w:b/>
          <w:bCs/>
          <w:rtl/>
          <w:lang w:bidi="ar-SY"/>
        </w:rPr>
        <w:t>تنقيح المقال</w:t>
      </w:r>
      <w:r w:rsidRPr="00495BAB">
        <w:rPr>
          <w:rFonts w:hint="cs"/>
          <w:rtl/>
          <w:lang w:bidi="ar-SY"/>
        </w:rPr>
        <w:t xml:space="preserve"> (ج 1، ص 279): «إن عَلِيَّ بْنَ فَضَّالٍ لم يُدرك زمن جعفر، لأن عَلِيَّ بن فَضَّال توفي سنة 224هـ ولم يكن جعفر الكذاب قد ولد بعد، لأن والد جعفر - أي حضرة الإمام الهادي </w:t>
      </w:r>
      <w:r w:rsidR="00451CED" w:rsidRPr="00451CED">
        <w:rPr>
          <w:rFonts w:ascii="Abo-thar" w:hAnsi="Abo-thar" w:cs="CTraditional Arabic"/>
          <w:sz w:val="28"/>
          <w:rtl/>
          <w:lang w:bidi="ar-SY"/>
        </w:rPr>
        <w:t>÷</w:t>
      </w:r>
      <w:r w:rsidRPr="00495BAB">
        <w:rPr>
          <w:rFonts w:hint="cs"/>
          <w:rtl/>
          <w:lang w:bidi="ar-SY"/>
        </w:rPr>
        <w:t xml:space="preserve"> - كان عمره حينذاك 12 عامًا، لأن ولادة الإمام الهادي وقعت سنة 212هـ</w:t>
      </w:r>
      <w:r w:rsidR="001D7DEC" w:rsidRPr="00495BAB">
        <w:rPr>
          <w:rFonts w:hint="cs"/>
          <w:rtl/>
          <w:lang w:bidi="ar-SY"/>
        </w:rPr>
        <w:t>،</w:t>
      </w:r>
      <w:r w:rsidRPr="00495BAB">
        <w:rPr>
          <w:rFonts w:hint="cs"/>
          <w:rtl/>
          <w:lang w:bidi="ar-SY"/>
        </w:rPr>
        <w:t xml:space="preserve"> وادَّعى جعفر الإمامة سنة 260هـ أي بعد 36 سنة من وفاة عَلِيِّ بْنِ فَضَّالٍ، فكيف كان عَلِيُّ بْنُ فَضَّالٍ يؤمن بإمامة جعفر؟!»</w:t>
      </w:r>
    </w:p>
    <w:p w:rsidR="00CD31AA" w:rsidRPr="00495BAB" w:rsidRDefault="00CD31AA" w:rsidP="00495BAB">
      <w:pPr>
        <w:pStyle w:val="a0"/>
        <w:rPr>
          <w:rFonts w:hint="cs"/>
          <w:rtl/>
          <w:lang w:bidi="ar-SY"/>
        </w:rPr>
      </w:pPr>
      <w:r w:rsidRPr="00495BAB">
        <w:rPr>
          <w:rFonts w:hint="cs"/>
          <w:rtl/>
          <w:lang w:bidi="ar-SY"/>
        </w:rPr>
        <w:t>لكن لمَّا كان هذا السيد ذي الاطلاع الواسع (!) الذي يعتبر جميع من حوله جاهلين، يعتمد على منجزات الآخرين فقط مثل المامقاني وأمثاله، ولا</w:t>
      </w:r>
      <w:r w:rsidRPr="00495BAB">
        <w:rPr>
          <w:rFonts w:cs="Times New Roman" w:hint="cs"/>
          <w:rtl/>
          <w:lang w:bidi="ar-SY"/>
        </w:rPr>
        <w:t> </w:t>
      </w:r>
      <w:r w:rsidRPr="00495BAB">
        <w:rPr>
          <w:rFonts w:hint="cs"/>
          <w:rtl/>
          <w:lang w:bidi="ar-SY"/>
        </w:rPr>
        <w:t xml:space="preserve">يملك همَّةَ التحقيق بنفسه، لذا نجده يستخدم أسلحة الآخرين المُثَلَّمة مثل المامقاني والسيد أميني لمحاربة الشهرستاني وآخرين بها. ولكن حقيقة الأمر التي لا تُسِرّ المدافعين عن </w:t>
      </w:r>
      <w:r w:rsidRPr="00495BAB">
        <w:rPr>
          <w:rtl/>
          <w:lang w:bidi="ar-SY"/>
        </w:rPr>
        <w:t>عَلِيِّ بْنِ فَضَّال</w:t>
      </w:r>
      <w:r w:rsidRPr="00495BAB">
        <w:rPr>
          <w:rFonts w:hint="cs"/>
          <w:rtl/>
          <w:lang w:bidi="ar-SY"/>
        </w:rPr>
        <w:t xml:space="preserve">ٍ هي أنه لم يُتَوَفَّ سنة 224هـ بل أدرك زمن جعفر الكذَّاب، </w:t>
      </w:r>
      <w:r w:rsidRPr="00495BAB">
        <w:rPr>
          <w:rtl/>
          <w:lang w:bidi="ar-SY"/>
        </w:rPr>
        <w:t>وَمِنْ ثَمَّ</w:t>
      </w:r>
      <w:r w:rsidRPr="00495BAB">
        <w:rPr>
          <w:rFonts w:hint="cs"/>
          <w:rtl/>
          <w:lang w:bidi="ar-SY"/>
        </w:rPr>
        <w:t xml:space="preserve"> كان يقول بإمامته فعلًا.</w:t>
      </w:r>
    </w:p>
    <w:p w:rsidR="00CD31AA" w:rsidRPr="00495BAB" w:rsidRDefault="00CD31AA" w:rsidP="00495BAB">
      <w:pPr>
        <w:pStyle w:val="a0"/>
        <w:rPr>
          <w:rFonts w:hint="cs"/>
          <w:rtl/>
          <w:lang w:bidi="ar-SY"/>
        </w:rPr>
      </w:pPr>
      <w:r w:rsidRPr="00495BAB">
        <w:rPr>
          <w:rFonts w:hint="cs"/>
          <w:rtl/>
          <w:lang w:bidi="ar-SY"/>
        </w:rPr>
        <w:t xml:space="preserve">لقد بينا في كتابنا </w:t>
      </w:r>
      <w:r w:rsidRPr="00495BAB">
        <w:rPr>
          <w:rFonts w:hint="cs"/>
          <w:b/>
          <w:bCs/>
          <w:rtl/>
          <w:lang w:bidi="ar-SY"/>
        </w:rPr>
        <w:t>الزكاة</w:t>
      </w:r>
      <w:r w:rsidRPr="00495BAB">
        <w:rPr>
          <w:rFonts w:hint="cs"/>
          <w:rtl/>
          <w:lang w:bidi="ar-SY"/>
        </w:rPr>
        <w:t xml:space="preserve"> (من ص 189 إلى 203) بالتفصيل أحوالَ </w:t>
      </w:r>
      <w:r w:rsidRPr="00495BAB">
        <w:rPr>
          <w:rtl/>
          <w:lang w:bidi="ar-SY"/>
        </w:rPr>
        <w:t>عَلِيِّ بْنِ فَضَّال</w:t>
      </w:r>
      <w:r w:rsidRPr="00495BAB">
        <w:rPr>
          <w:rFonts w:hint="cs"/>
          <w:rtl/>
          <w:lang w:bidi="ar-SY"/>
        </w:rPr>
        <w:t>ٍ الوخيمة، فعلى من أراد الوقوف على حقيقة أمره الرجوع إلى ذلك الكتاب. وسنكتفي هنا بردّ رأي المامقاني ومقلديه في قولهم إن عَلِيَّ بْنَ فَضَّالٍ تُوُفّي سنة 224هـ.</w:t>
      </w:r>
    </w:p>
    <w:p w:rsidR="00CD31AA" w:rsidRPr="00495BAB" w:rsidRDefault="00CD31AA" w:rsidP="005027FA">
      <w:pPr>
        <w:pStyle w:val="a0"/>
        <w:rPr>
          <w:rFonts w:hint="cs"/>
          <w:rtl/>
          <w:lang w:bidi="ar-SY"/>
        </w:rPr>
      </w:pPr>
      <w:r w:rsidRPr="00495BAB">
        <w:rPr>
          <w:rFonts w:hint="cs"/>
          <w:rtl/>
          <w:lang w:bidi="ar-SY"/>
        </w:rPr>
        <w:t xml:space="preserve">أفضل دليل على بطلان ما يدعيه المامقاني ومقلدوه، هو قول الشيخ الطوسي في كتابه </w:t>
      </w:r>
      <w:r w:rsidRPr="00495BAB">
        <w:rPr>
          <w:rFonts w:hint="cs"/>
          <w:b/>
          <w:bCs/>
          <w:rtl/>
          <w:lang w:bidi="ar-SY"/>
        </w:rPr>
        <w:t>تهذيب الأحكام</w:t>
      </w:r>
      <w:r w:rsidRPr="00495BAB">
        <w:rPr>
          <w:rFonts w:hint="cs"/>
          <w:rtl/>
          <w:lang w:bidi="ar-SY"/>
        </w:rPr>
        <w:t xml:space="preserve"> (ج 9، ص 195، طبع النجف): «</w:t>
      </w:r>
      <w:r w:rsidRPr="00495BAB">
        <w:rPr>
          <w:rtl/>
          <w:lang w:bidi="ar-SY"/>
        </w:rPr>
        <w:t>فَأَمَّا مَا رَوَاهُ عَلِيُّ بْنُ الْحَسَنِ بْنِ فَضَّالٍ عَنْ مُحَمَّدِ بْنِ عُبْدُوسٍ قَالَ: أَوْصَى رَجُلٌ بِتَرِكَتِهِ</w:t>
      </w:r>
      <w:r w:rsidRPr="00495BAB">
        <w:rPr>
          <w:rFonts w:hint="cs"/>
          <w:rtl/>
          <w:lang w:bidi="ar-SY"/>
        </w:rPr>
        <w:t>:</w:t>
      </w:r>
      <w:r w:rsidRPr="00495BAB">
        <w:rPr>
          <w:rtl/>
          <w:lang w:bidi="ar-SY"/>
        </w:rPr>
        <w:t xml:space="preserve"> مَتَاعٍ وَغَيْرِ ذَلِكَ</w:t>
      </w:r>
      <w:r w:rsidRPr="00495BAB">
        <w:rPr>
          <w:rFonts w:hint="cs"/>
          <w:rtl/>
          <w:lang w:bidi="ar-SY"/>
        </w:rPr>
        <w:t>،</w:t>
      </w:r>
      <w:r w:rsidRPr="00495BAB">
        <w:rPr>
          <w:rtl/>
          <w:lang w:bidi="ar-SY"/>
        </w:rPr>
        <w:t xml:space="preserve"> لِأَبِي مُحَمَّدٍ</w:t>
      </w:r>
      <w:r w:rsidRPr="00495BAB">
        <w:rPr>
          <w:rFonts w:hint="cs"/>
          <w:rtl/>
          <w:lang w:bidi="ar-SY"/>
        </w:rPr>
        <w:t xml:space="preserve"> [أي الإمام الحسن العسكري</w:t>
      </w:r>
      <w:r w:rsidR="00451CED" w:rsidRPr="00451CED">
        <w:rPr>
          <w:rFonts w:ascii="Abo-thar" w:hAnsi="Abo-thar" w:cs="CTraditional Arabic"/>
          <w:sz w:val="28"/>
          <w:rtl/>
          <w:lang w:bidi="ar-SY"/>
        </w:rPr>
        <w:t>÷</w:t>
      </w:r>
      <w:r w:rsidRPr="00495BAB">
        <w:rPr>
          <w:rFonts w:hint="cs"/>
          <w:rtl/>
          <w:lang w:bidi="ar-SY"/>
        </w:rPr>
        <w:t>]</w:t>
      </w:r>
      <w:r w:rsidRPr="00495BAB">
        <w:rPr>
          <w:rtl/>
          <w:lang w:bidi="ar-SY"/>
        </w:rPr>
        <w:t xml:space="preserve"> فَكَتَبْتُ إِلَيْهِ</w:t>
      </w:r>
      <w:r w:rsidRPr="00495BAB">
        <w:rPr>
          <w:rFonts w:hint="cs"/>
          <w:rtl/>
          <w:lang w:bidi="ar-SY"/>
        </w:rPr>
        <w:t>:</w:t>
      </w:r>
      <w:r w:rsidR="00AB28A0" w:rsidRPr="00495BAB">
        <w:rPr>
          <w:rFonts w:hint="cs"/>
          <w:rtl/>
          <w:lang w:bidi="ar-SY"/>
        </w:rPr>
        <w:t>.</w:t>
      </w:r>
      <w:r w:rsidRPr="00495BAB">
        <w:rPr>
          <w:rFonts w:hint="cs"/>
          <w:rtl/>
          <w:lang w:bidi="ar-SY"/>
        </w:rPr>
        <w:t>...</w:t>
      </w:r>
      <w:r w:rsidR="00F456DF" w:rsidRPr="00495BAB">
        <w:rPr>
          <w:rFonts w:hint="cs"/>
          <w:rtl/>
          <w:lang w:bidi="ar-SY"/>
        </w:rPr>
        <w:t>»</w:t>
      </w:r>
      <w:r w:rsidRPr="00495BAB">
        <w:rPr>
          <w:rFonts w:hint="cs"/>
          <w:rtl/>
          <w:lang w:bidi="ar-SY"/>
        </w:rPr>
        <w:t>.</w:t>
      </w:r>
    </w:p>
    <w:p w:rsidR="00CD31AA" w:rsidRPr="00495BAB" w:rsidRDefault="00CD31AA" w:rsidP="00495BAB">
      <w:pPr>
        <w:pStyle w:val="a0"/>
        <w:rPr>
          <w:rFonts w:ascii="Abo-thar" w:hAnsi="Abo-thar" w:hint="cs"/>
          <w:sz w:val="28"/>
          <w:rtl/>
          <w:lang w:bidi="ar-SY"/>
        </w:rPr>
      </w:pPr>
      <w:r w:rsidRPr="00495BAB">
        <w:rPr>
          <w:rFonts w:hint="cs"/>
          <w:rtl/>
          <w:lang w:bidi="ar-SY"/>
        </w:rPr>
        <w:t xml:space="preserve">وهو حديث طويل ومفصل ولا نحتاج إلى نقله بأكمله بل ما يهمنا منه هو هذه الجملة التي أوردناها والتي تبين أن عَلِيَّ بْنَ فَضَّالٍ يروي عَنْ </w:t>
      </w:r>
      <w:r w:rsidRPr="00495BAB">
        <w:rPr>
          <w:rtl/>
          <w:lang w:bidi="ar-SY"/>
        </w:rPr>
        <w:t>مُحَمَّدِ بْنِ عُبْدُوسٍ</w:t>
      </w:r>
      <w:r w:rsidRPr="00495BAB">
        <w:rPr>
          <w:rFonts w:hint="cs"/>
          <w:rtl/>
          <w:lang w:bidi="ar-SY"/>
        </w:rPr>
        <w:t xml:space="preserve"> أنه كتب رسالة إلى الإمام الحسن العسكري. وقال الشيخ الطوسي في ذيل هذا الحديث ذاته: «</w:t>
      </w:r>
      <w:r w:rsidRPr="00495BAB">
        <w:rPr>
          <w:rtl/>
          <w:lang w:bidi="ar-SY"/>
        </w:rPr>
        <w:t>قَالَ عَلِيُّ بْنُ الْحَسَنِ</w:t>
      </w:r>
      <w:r w:rsidRPr="00495BAB">
        <w:rPr>
          <w:rFonts w:hint="cs"/>
          <w:rtl/>
          <w:lang w:bidi="ar-SY"/>
        </w:rPr>
        <w:t>:</w:t>
      </w:r>
      <w:r w:rsidRPr="00495BAB">
        <w:rPr>
          <w:rtl/>
          <w:lang w:bidi="ar-SY"/>
        </w:rPr>
        <w:t xml:space="preserve"> وَمَاتَ مُحَمَّدُ بْنُ عَبْدِ </w:t>
      </w:r>
      <w:r w:rsidRPr="00495BAB">
        <w:rPr>
          <w:rFonts w:hint="cs"/>
          <w:rtl/>
          <w:lang w:bidi="ar-SY"/>
        </w:rPr>
        <w:t>اللهِ</w:t>
      </w:r>
      <w:r w:rsidRPr="00495BAB">
        <w:rPr>
          <w:rtl/>
          <w:lang w:bidi="ar-SY"/>
        </w:rPr>
        <w:t xml:space="preserve"> بْنِ زُرَارَةَ فَأَوْصَى إِلَى أَخِي أَحْمَدَ وَخَلَّفَ دَاراً وَكَانَ أَوْصَى فِي جَمِيعِ تَرِكَتِهِ أَنْ تُبَاعَ وَيُحْمَلَ ثَمَنُهَا إِلَى أَبِي الْحَسَنِ </w:t>
      </w:r>
      <w:r w:rsidR="00451CED" w:rsidRPr="00451CED">
        <w:rPr>
          <w:rFonts w:ascii="Abo-thar" w:hAnsi="Abo-thar" w:cs="CTraditional Arabic"/>
          <w:sz w:val="28"/>
          <w:rtl/>
          <w:lang w:bidi="ar-SY"/>
        </w:rPr>
        <w:t>÷</w:t>
      </w:r>
      <w:r w:rsidRPr="00495BAB">
        <w:rPr>
          <w:rFonts w:hint="cs"/>
          <w:rtl/>
          <w:lang w:bidi="ar-SY"/>
        </w:rPr>
        <w:t>.....</w:t>
      </w:r>
      <w:r w:rsidR="00FB6445" w:rsidRPr="00495BAB">
        <w:rPr>
          <w:rFonts w:hint="cs"/>
          <w:rtl/>
          <w:lang w:bidi="ar-SY"/>
        </w:rPr>
        <w:t>»</w:t>
      </w:r>
      <w:r w:rsidRPr="00495BAB">
        <w:rPr>
          <w:rFonts w:hint="cs"/>
          <w:rtl/>
          <w:lang w:bidi="ar-SY"/>
        </w:rPr>
        <w:t xml:space="preserve"> والشاهد في الحديث قوله: «</w:t>
      </w:r>
      <w:r w:rsidRPr="00495BAB">
        <w:rPr>
          <w:rtl/>
          <w:lang w:bidi="ar-SY"/>
        </w:rPr>
        <w:t>وَيُحْمَلَ ثَمَنُهَا إِلَى أَبِي الْحَسَنِ</w:t>
      </w:r>
      <w:r w:rsidRPr="00495BAB">
        <w:rPr>
          <w:rFonts w:hint="cs"/>
          <w:rtl/>
          <w:lang w:bidi="ar-SY"/>
        </w:rPr>
        <w:t xml:space="preserve">»، أي إلى الإمام علي النقي (الهادي) </w:t>
      </w:r>
      <w:r w:rsidR="00451CED" w:rsidRPr="00451CED">
        <w:rPr>
          <w:rFonts w:ascii="Abo-thar" w:hAnsi="Abo-thar" w:cs="CTraditional Arabic"/>
          <w:sz w:val="28"/>
          <w:rtl/>
          <w:lang w:bidi="ar-SY"/>
        </w:rPr>
        <w:t>÷</w:t>
      </w:r>
      <w:r w:rsidRPr="00495BAB">
        <w:rPr>
          <w:rFonts w:ascii="Abo-thar" w:hAnsi="Abo-thar" w:hint="cs"/>
          <w:sz w:val="28"/>
          <w:rtl/>
          <w:lang w:bidi="ar-SY"/>
        </w:rPr>
        <w:t>.</w:t>
      </w:r>
    </w:p>
    <w:p w:rsidR="00CD31AA" w:rsidRPr="00495BAB" w:rsidRDefault="00CD31AA" w:rsidP="00495BAB">
      <w:pPr>
        <w:pStyle w:val="a0"/>
        <w:rPr>
          <w:rFonts w:hint="cs"/>
          <w:rtl/>
          <w:lang w:bidi="ar-SY"/>
        </w:rPr>
      </w:pPr>
      <w:r w:rsidRPr="00495BAB">
        <w:rPr>
          <w:rFonts w:ascii="Abo-thar" w:hAnsi="Abo-thar" w:hint="cs"/>
          <w:sz w:val="28"/>
          <w:rtl/>
          <w:lang w:bidi="ar-SY"/>
        </w:rPr>
        <w:t xml:space="preserve">وأيضًا يروي </w:t>
      </w:r>
      <w:r w:rsidRPr="00495BAB">
        <w:rPr>
          <w:rFonts w:hint="cs"/>
          <w:rtl/>
          <w:lang w:bidi="ar-SY"/>
        </w:rPr>
        <w:t>عَلِيُّ بْنُ فَضَّالٍ حديثًا في الصفحة 196، وهناك أيضًا يذكر أنَّ</w:t>
      </w:r>
      <w:r w:rsidRPr="00495BAB">
        <w:rPr>
          <w:rtl/>
          <w:lang w:bidi="ar-SY"/>
        </w:rPr>
        <w:t xml:space="preserve"> الْحُسَيْن</w:t>
      </w:r>
      <w:r w:rsidRPr="00495BAB">
        <w:rPr>
          <w:rFonts w:hint="cs"/>
          <w:rtl/>
          <w:lang w:bidi="ar-SY"/>
        </w:rPr>
        <w:t>َ</w:t>
      </w:r>
      <w:r w:rsidRPr="00495BAB">
        <w:rPr>
          <w:rtl/>
          <w:lang w:bidi="ar-SY"/>
        </w:rPr>
        <w:t xml:space="preserve"> بْن</w:t>
      </w:r>
      <w:r w:rsidRPr="00495BAB">
        <w:rPr>
          <w:rFonts w:hint="cs"/>
          <w:rtl/>
          <w:lang w:bidi="ar-SY"/>
        </w:rPr>
        <w:t>َ</w:t>
      </w:r>
      <w:r w:rsidRPr="00495BAB">
        <w:rPr>
          <w:rtl/>
          <w:lang w:bidi="ar-SY"/>
        </w:rPr>
        <w:t xml:space="preserve"> أَحْمَدَ الْحَلَبِي</w:t>
      </w:r>
      <w:r w:rsidRPr="00495BAB">
        <w:rPr>
          <w:rFonts w:hint="cs"/>
          <w:rtl/>
          <w:lang w:bidi="ar-SY"/>
        </w:rPr>
        <w:t xml:space="preserve">َّ أوصى بجزء من أمواله إلى الإمام أبي الحسن علي النقي (الهادي) </w:t>
      </w:r>
      <w:r w:rsidR="00451CED" w:rsidRPr="00451CED">
        <w:rPr>
          <w:rFonts w:ascii="Abo-thar" w:hAnsi="Abo-thar" w:cs="CTraditional Arabic"/>
          <w:sz w:val="28"/>
          <w:rtl/>
          <w:lang w:bidi="ar-SY"/>
        </w:rPr>
        <w:t>÷</w:t>
      </w:r>
      <w:r w:rsidRPr="00495BAB">
        <w:rPr>
          <w:rFonts w:ascii="Abo-thar" w:hAnsi="Abo-thar" w:hint="cs"/>
          <w:sz w:val="28"/>
          <w:rtl/>
          <w:lang w:bidi="ar-SY"/>
        </w:rPr>
        <w:t>.</w:t>
      </w:r>
      <w:r w:rsidRPr="00495BAB">
        <w:rPr>
          <w:rFonts w:hint="cs"/>
          <w:rtl/>
          <w:lang w:bidi="ar-SY"/>
        </w:rPr>
        <w:t xml:space="preserve"> هذا رغم أن عَلِيَّ بْنَ فَضَّالٍ مفتضح السيرة إلى درجة أن المرحوم الشيخ الطوسي يضطر إلى القول: «</w:t>
      </w:r>
      <w:r w:rsidRPr="00495BAB">
        <w:rPr>
          <w:rtl/>
          <w:lang w:bidi="ar-SY"/>
        </w:rPr>
        <w:t xml:space="preserve">إِنَّ الْأَخْبَارَ إِذَا وَرَدَتْ عَنْهُمْ </w:t>
      </w:r>
      <w:r w:rsidRPr="00495BAB">
        <w:rPr>
          <w:rFonts w:hint="cs"/>
          <w:rtl/>
          <w:lang w:bidi="ar-SY"/>
        </w:rPr>
        <w:t>-</w:t>
      </w:r>
      <w:r w:rsidR="00963EFD" w:rsidRPr="00963EFD">
        <w:rPr>
          <w:rFonts w:cs="CTraditional Arabic"/>
          <w:rtl/>
          <w:lang w:bidi="ar-SY"/>
        </w:rPr>
        <w:t>‡</w:t>
      </w:r>
      <w:r w:rsidRPr="00495BAB">
        <w:rPr>
          <w:rFonts w:hint="cs"/>
          <w:rtl/>
          <w:lang w:bidi="ar-SY"/>
        </w:rPr>
        <w:t>-</w:t>
      </w:r>
      <w:r w:rsidRPr="00495BAB">
        <w:rPr>
          <w:rtl/>
          <w:lang w:bidi="ar-SY"/>
        </w:rPr>
        <w:t xml:space="preserve"> بِأَنَّهُمْ فَعَلُوا فِعْلًا يُخَالِفُ مَا قَدْ اسْتَقَرَّ فِي شَرِيعَةِ الْإِسْلَامِ فَيَنْبَغِي أَنْ يُحْكَمَ بِبُطْلَانِهَا</w:t>
      </w:r>
      <w:r w:rsidRPr="00495BAB">
        <w:rPr>
          <w:rFonts w:hint="cs"/>
          <w:rtl/>
          <w:lang w:bidi="ar-SY"/>
        </w:rPr>
        <w:t>»</w:t>
      </w:r>
      <w:r w:rsidR="000C68EA" w:rsidRPr="000C68EA">
        <w:rPr>
          <w:rStyle w:val="FootnoteReference"/>
          <w:rFonts w:cs="Arabic11 BT"/>
          <w:rtl/>
          <w:lang w:bidi="ar-SY"/>
        </w:rPr>
        <w:t>(</w:t>
      </w:r>
      <w:r w:rsidR="000C68EA" w:rsidRPr="000C68EA">
        <w:rPr>
          <w:rStyle w:val="FootnoteReference"/>
          <w:rFonts w:cs="Arabic11 BT"/>
          <w:rtl/>
          <w:lang w:bidi="ar-SY"/>
        </w:rPr>
        <w:footnoteReference w:id="498"/>
      </w:r>
      <w:r w:rsidR="000C68EA" w:rsidRPr="000C68EA">
        <w:rPr>
          <w:rStyle w:val="FootnoteReference"/>
          <w:rFonts w:cs="Arabic11 BT"/>
          <w:rtl/>
          <w:lang w:bidi="ar-SY"/>
        </w:rPr>
        <w:t>)</w:t>
      </w:r>
      <w:r w:rsidR="00AF7BC3" w:rsidRPr="00495BAB">
        <w:rPr>
          <w:rFonts w:hint="cs"/>
          <w:rtl/>
          <w:lang w:bidi="ar-SY"/>
        </w:rPr>
        <w:t>.</w:t>
      </w:r>
    </w:p>
    <w:p w:rsidR="00CD31AA" w:rsidRPr="00495BAB" w:rsidRDefault="00CD31AA" w:rsidP="00495BAB">
      <w:pPr>
        <w:pStyle w:val="a0"/>
        <w:rPr>
          <w:rFonts w:hint="cs"/>
          <w:rtl/>
          <w:lang w:bidi="ar-SY"/>
        </w:rPr>
      </w:pPr>
      <w:r w:rsidRPr="00495BAB">
        <w:rPr>
          <w:rFonts w:hint="cs"/>
          <w:rtl/>
          <w:lang w:bidi="ar-SY"/>
        </w:rPr>
        <w:t xml:space="preserve">ولكن ماذا نفعل إن كان عُشَّاق الكفر والضلالة والمبتدعين والذين ينسبون الأكاذيب إلى محمد وآل محمد </w:t>
      </w:r>
      <w:r w:rsidRPr="00495BAB">
        <w:rPr>
          <w:rFonts w:ascii="Abo-thar" w:hAnsi="Abo-thar"/>
          <w:sz w:val="28"/>
          <w:lang w:bidi="fa-IR"/>
        </w:rPr>
        <w:t></w:t>
      </w:r>
      <w:r w:rsidRPr="00495BAB">
        <w:rPr>
          <w:rFonts w:hint="cs"/>
          <w:rtl/>
          <w:lang w:bidi="ar-SY"/>
        </w:rPr>
        <w:t xml:space="preserve"> لا يستطيعون أن يتخلَّوا عن أعداء الله هؤلاء!! فأحيانًا ينكرون مذهب عَلِيِّ بْنِ فَضَّالٍ الفاسد، وطورًا ينكرون حياته و وفاته كي يتمكنوا من المحافظة على أقواله الضالَّة وكلمات الكفر التي قالها، في قالب عقائد الشيعة! لأنهم لو تخلَّوا عن مثل هذا الراوي فلن تنحصر الزكاة حينئذٍ في الأجناس التسعة، ولن يخرج حكم الخمس بهذه الصورة الفاضحة.</w:t>
      </w:r>
    </w:p>
    <w:p w:rsidR="00CD31AA" w:rsidRPr="00995B26" w:rsidRDefault="00CD31AA" w:rsidP="00495BAB">
      <w:pPr>
        <w:pStyle w:val="a0"/>
        <w:rPr>
          <w:rFonts w:hint="cs"/>
          <w:rtl/>
          <w:lang w:bidi="ar-SY"/>
        </w:rPr>
      </w:pPr>
      <w:r w:rsidRPr="00495BAB">
        <w:rPr>
          <w:rFonts w:hint="cs"/>
          <w:rtl/>
          <w:lang w:bidi="ar-SY"/>
        </w:rPr>
        <w:t>وفي الصفحة 113 من كُتَيِّبه وجَّه كاتب الردّ السؤال التالي: «</w:t>
      </w:r>
      <w:r w:rsidRPr="00995B26">
        <w:rPr>
          <w:rFonts w:cs="Akhbar MT" w:hint="cs"/>
          <w:szCs w:val="30"/>
          <w:rtl/>
          <w:lang w:bidi="ar-SY"/>
        </w:rPr>
        <w:t xml:space="preserve">هل هناك رواية في كتب الحديث أيضًا تدل على التعميم، ويُستفاد منها أن اليتامى والمساكين وأبناء السبيل لا يختصّون بأقرباء رسول الله </w:t>
      </w:r>
      <w:r w:rsidRPr="00995B26">
        <w:rPr>
          <w:rFonts w:ascii="Abo-thar" w:hAnsi="Abo-thar" w:cs="Akhbar MT"/>
          <w:sz w:val="28"/>
          <w:szCs w:val="30"/>
          <w:lang w:bidi="fa-IR"/>
        </w:rPr>
        <w:t></w:t>
      </w:r>
      <w:r w:rsidRPr="00995B26">
        <w:rPr>
          <w:rFonts w:cs="Akhbar MT" w:hint="cs"/>
          <w:szCs w:val="30"/>
          <w:rtl/>
          <w:lang w:bidi="ar-SY"/>
        </w:rPr>
        <w:t>؟</w:t>
      </w:r>
      <w:r w:rsidRPr="00495BAB">
        <w:rPr>
          <w:rFonts w:hint="cs"/>
          <w:rtl/>
          <w:lang w:bidi="ar-SY"/>
        </w:rPr>
        <w:t>». ثم أجاب نفسه عن سؤاله هذا فقال: «</w:t>
      </w:r>
      <w:r w:rsidRPr="00995B26">
        <w:rPr>
          <w:rFonts w:cs="Akhbar MT" w:hint="cs"/>
          <w:szCs w:val="30"/>
          <w:rtl/>
          <w:lang w:bidi="ar-SY"/>
        </w:rPr>
        <w:t>لقد حاول المغرضون بذلك كل ما لديهم من قوة وجهد ليعثروا على مستند ولو ضعيف لإثبات التعميم، ووجدوا في النهاية بعد رحلة البحث المضنية أكثر من عشرة أحاديث واستندوا إليها....</w:t>
      </w:r>
      <w:r w:rsidR="00FB6445" w:rsidRPr="00995B26">
        <w:rPr>
          <w:rFonts w:cs="Akhbar MT" w:hint="cs"/>
          <w:szCs w:val="30"/>
          <w:rtl/>
          <w:lang w:bidi="ar-SY"/>
        </w:rPr>
        <w:t>»</w:t>
      </w:r>
      <w:r w:rsidRPr="00495BAB">
        <w:rPr>
          <w:rFonts w:hint="cs"/>
          <w:rtl/>
          <w:lang w:bidi="ar-SY"/>
        </w:rPr>
        <w:t xml:space="preserve">. </w:t>
      </w:r>
    </w:p>
    <w:p w:rsidR="00CD31AA" w:rsidRPr="00995B26" w:rsidRDefault="00CD31AA" w:rsidP="00495BAB">
      <w:pPr>
        <w:pStyle w:val="a0"/>
        <w:rPr>
          <w:rFonts w:hint="cs"/>
          <w:rtl/>
          <w:lang w:bidi="ar-SY"/>
        </w:rPr>
      </w:pPr>
      <w:r w:rsidRPr="00495BAB">
        <w:rPr>
          <w:rFonts w:hint="cs"/>
          <w:rtl/>
          <w:lang w:bidi="ar-SY"/>
        </w:rPr>
        <w:t xml:space="preserve">أولاً: ينبغي أن نسأل كاتب الردّ هذا - الذي أتعب نفسه، حسبما علمنا، حوالي ثلاث سنوات أو أكثر في إعداد رده هذا، حتى خرج علينا بهذا الكُتَيِّب الذي تبين لنا أن جميع ما ذكره فيه: </w:t>
      </w:r>
      <w:r w:rsidR="00860926" w:rsidRPr="00995B26">
        <w:rPr>
          <w:rFonts w:ascii="Traditional Arabic" w:hAnsi="Traditional Arabic" w:cs="Traditional Arabic"/>
          <w:szCs w:val="30"/>
          <w:rtl/>
          <w:lang w:bidi="ar-SY"/>
        </w:rPr>
        <w:t>﴿</w:t>
      </w:r>
      <w:r w:rsidR="00860926" w:rsidRPr="00995B26">
        <w:rPr>
          <w:rFonts w:ascii="KFGQPC Uthmanic Script HAFS" w:cs="KFGQPC Uthmanic Script HAFS" w:hint="eastAsia"/>
          <w:sz w:val="29"/>
          <w:szCs w:val="29"/>
          <w:rtl/>
        </w:rPr>
        <w:t>كَرَمَادٍ</w:t>
      </w:r>
      <w:r w:rsidR="00860926" w:rsidRPr="00995B26">
        <w:rPr>
          <w:rFonts w:ascii="KFGQPC Uthmanic Script HAFS" w:cs="KFGQPC Uthmanic Script HAFS"/>
          <w:sz w:val="29"/>
          <w:szCs w:val="29"/>
          <w:rtl/>
        </w:rPr>
        <w:t xml:space="preserve"> </w:t>
      </w:r>
      <w:r w:rsidR="00860926" w:rsidRPr="00995B26">
        <w:rPr>
          <w:rFonts w:ascii="KFGQPC Uthmanic Script HAFS" w:cs="KFGQPC Uthmanic Script HAFS" w:hint="cs"/>
          <w:sz w:val="29"/>
          <w:szCs w:val="29"/>
          <w:rtl/>
        </w:rPr>
        <w:t>ٱ</w:t>
      </w:r>
      <w:r w:rsidR="00860926" w:rsidRPr="00995B26">
        <w:rPr>
          <w:rFonts w:ascii="KFGQPC Uthmanic Script HAFS" w:cs="KFGQPC Uthmanic Script HAFS" w:hint="eastAsia"/>
          <w:sz w:val="29"/>
          <w:szCs w:val="29"/>
          <w:rtl/>
        </w:rPr>
        <w:t>ش</w:t>
      </w:r>
      <w:r w:rsidR="00860926" w:rsidRPr="00995B26">
        <w:rPr>
          <w:rFonts w:ascii="KFGQPC Uthmanic Script HAFS" w:cs="KFGQPC Uthmanic Script HAFS" w:hint="cs"/>
          <w:sz w:val="29"/>
          <w:szCs w:val="29"/>
          <w:rtl/>
        </w:rPr>
        <w:t>ۡ</w:t>
      </w:r>
      <w:r w:rsidR="00860926" w:rsidRPr="00995B26">
        <w:rPr>
          <w:rFonts w:ascii="KFGQPC Uthmanic Script HAFS" w:cs="KFGQPC Uthmanic Script HAFS" w:hint="eastAsia"/>
          <w:sz w:val="29"/>
          <w:szCs w:val="29"/>
          <w:rtl/>
        </w:rPr>
        <w:t>تَدَّت</w:t>
      </w:r>
      <w:r w:rsidR="00860926" w:rsidRPr="00995B26">
        <w:rPr>
          <w:rFonts w:ascii="KFGQPC Uthmanic Script HAFS" w:cs="KFGQPC Uthmanic Script HAFS" w:hint="cs"/>
          <w:sz w:val="29"/>
          <w:szCs w:val="29"/>
          <w:rtl/>
        </w:rPr>
        <w:t>ۡ</w:t>
      </w:r>
      <w:r w:rsidR="00860926" w:rsidRPr="00995B26">
        <w:rPr>
          <w:rFonts w:ascii="KFGQPC Uthmanic Script HAFS" w:cs="KFGQPC Uthmanic Script HAFS"/>
          <w:sz w:val="29"/>
          <w:szCs w:val="29"/>
          <w:rtl/>
        </w:rPr>
        <w:t xml:space="preserve"> </w:t>
      </w:r>
      <w:r w:rsidR="00860926" w:rsidRPr="00995B26">
        <w:rPr>
          <w:rFonts w:ascii="KFGQPC Uthmanic Script HAFS" w:cs="KFGQPC Uthmanic Script HAFS" w:hint="eastAsia"/>
          <w:sz w:val="29"/>
          <w:szCs w:val="29"/>
          <w:rtl/>
        </w:rPr>
        <w:t>بِهِ</w:t>
      </w:r>
      <w:r w:rsidR="00860926" w:rsidRPr="00995B26">
        <w:rPr>
          <w:rFonts w:ascii="KFGQPC Uthmanic Script HAFS" w:cs="KFGQPC Uthmanic Script HAFS"/>
          <w:sz w:val="29"/>
          <w:szCs w:val="29"/>
          <w:rtl/>
        </w:rPr>
        <w:t xml:space="preserve"> </w:t>
      </w:r>
      <w:r w:rsidR="00860926" w:rsidRPr="00995B26">
        <w:rPr>
          <w:rFonts w:ascii="KFGQPC Uthmanic Script HAFS" w:cs="KFGQPC Uthmanic Script HAFS" w:hint="cs"/>
          <w:sz w:val="29"/>
          <w:szCs w:val="29"/>
          <w:rtl/>
        </w:rPr>
        <w:t>ٱ</w:t>
      </w:r>
      <w:r w:rsidR="00860926" w:rsidRPr="00995B26">
        <w:rPr>
          <w:rFonts w:ascii="KFGQPC Uthmanic Script HAFS" w:cs="KFGQPC Uthmanic Script HAFS" w:hint="eastAsia"/>
          <w:sz w:val="29"/>
          <w:szCs w:val="29"/>
          <w:rtl/>
        </w:rPr>
        <w:t>لرِّيحُ</w:t>
      </w:r>
      <w:r w:rsidR="00860926" w:rsidRPr="00995B26">
        <w:rPr>
          <w:rFonts w:ascii="KFGQPC Uthmanic Script HAFS" w:cs="KFGQPC Uthmanic Script HAFS"/>
          <w:sz w:val="29"/>
          <w:szCs w:val="29"/>
          <w:rtl/>
        </w:rPr>
        <w:t xml:space="preserve"> </w:t>
      </w:r>
      <w:r w:rsidR="00860926" w:rsidRPr="00995B26">
        <w:rPr>
          <w:rFonts w:ascii="KFGQPC Uthmanic Script HAFS" w:cs="KFGQPC Uthmanic Script HAFS" w:hint="eastAsia"/>
          <w:sz w:val="29"/>
          <w:szCs w:val="29"/>
          <w:rtl/>
        </w:rPr>
        <w:t>فِي</w:t>
      </w:r>
      <w:r w:rsidR="00860926" w:rsidRPr="00995B26">
        <w:rPr>
          <w:rFonts w:ascii="KFGQPC Uthmanic Script HAFS" w:cs="KFGQPC Uthmanic Script HAFS"/>
          <w:sz w:val="29"/>
          <w:szCs w:val="29"/>
          <w:rtl/>
        </w:rPr>
        <w:t xml:space="preserve"> </w:t>
      </w:r>
      <w:r w:rsidR="00860926" w:rsidRPr="00995B26">
        <w:rPr>
          <w:rFonts w:ascii="KFGQPC Uthmanic Script HAFS" w:cs="KFGQPC Uthmanic Script HAFS" w:hint="eastAsia"/>
          <w:sz w:val="29"/>
          <w:szCs w:val="29"/>
          <w:rtl/>
        </w:rPr>
        <w:t>يَو</w:t>
      </w:r>
      <w:r w:rsidR="00860926" w:rsidRPr="00995B26">
        <w:rPr>
          <w:rFonts w:ascii="KFGQPC Uthmanic Script HAFS" w:cs="KFGQPC Uthmanic Script HAFS" w:hint="cs"/>
          <w:sz w:val="29"/>
          <w:szCs w:val="29"/>
          <w:rtl/>
        </w:rPr>
        <w:t>ۡ</w:t>
      </w:r>
      <w:r w:rsidR="00860926" w:rsidRPr="00995B26">
        <w:rPr>
          <w:rFonts w:ascii="KFGQPC Uthmanic Script HAFS" w:cs="KFGQPC Uthmanic Script HAFS" w:hint="eastAsia"/>
          <w:sz w:val="29"/>
          <w:szCs w:val="29"/>
          <w:rtl/>
        </w:rPr>
        <w:t>مٍ</w:t>
      </w:r>
      <w:r w:rsidR="00860926" w:rsidRPr="00995B26">
        <w:rPr>
          <w:rFonts w:ascii="KFGQPC Uthmanic Script HAFS" w:cs="KFGQPC Uthmanic Script HAFS"/>
          <w:sz w:val="29"/>
          <w:szCs w:val="29"/>
          <w:rtl/>
        </w:rPr>
        <w:t xml:space="preserve"> </w:t>
      </w:r>
      <w:r w:rsidR="00860926" w:rsidRPr="00995B26">
        <w:rPr>
          <w:rFonts w:ascii="KFGQPC Uthmanic Script HAFS" w:cs="KFGQPC Uthmanic Script HAFS" w:hint="eastAsia"/>
          <w:sz w:val="29"/>
          <w:szCs w:val="29"/>
          <w:rtl/>
        </w:rPr>
        <w:t>عَاصِف</w:t>
      </w:r>
      <w:r w:rsidR="00860926" w:rsidRPr="00995B26">
        <w:rPr>
          <w:rFonts w:ascii="KFGQPC Uthmanic Script HAFS" w:cs="KFGQPC Uthmanic Script HAFS" w:hint="cs"/>
          <w:sz w:val="29"/>
          <w:szCs w:val="29"/>
          <w:rtl/>
        </w:rPr>
        <w:t>ٖ</w:t>
      </w:r>
      <w:r w:rsidR="00860926" w:rsidRPr="00995B26">
        <w:rPr>
          <w:rFonts w:ascii="Traditional Arabic" w:hAnsi="Traditional Arabic" w:cs="Traditional Arabic"/>
          <w:szCs w:val="30"/>
          <w:rtl/>
          <w:lang w:bidi="ar-SY"/>
        </w:rPr>
        <w:t>﴾</w:t>
      </w:r>
      <w:r w:rsidRPr="00495BAB">
        <w:rPr>
          <w:rFonts w:hint="cs"/>
          <w:rtl/>
          <w:lang w:bidi="ar-SY"/>
        </w:rPr>
        <w:t>-: من أين فهمتَ مقدار الجهد الذي بذله هؤلاء "المغرضون"؟! وأيقنت أنهم لا بد أن يكونوا قد فقدوا كل قواهم في البحث عن تلك الأحاديث العشرة حتى ماتوا من التعب أو لم يعودوا قادرين على الحِراك؟!</w:t>
      </w:r>
    </w:p>
    <w:p w:rsidR="00CD31AA" w:rsidRPr="00495BAB" w:rsidRDefault="00CD31AA" w:rsidP="00495BAB">
      <w:pPr>
        <w:pStyle w:val="a0"/>
        <w:rPr>
          <w:rFonts w:hint="cs"/>
          <w:rtl/>
          <w:lang w:bidi="ar-SY"/>
        </w:rPr>
      </w:pPr>
      <w:r w:rsidRPr="00495BAB">
        <w:rPr>
          <w:rFonts w:hint="cs"/>
          <w:rtl/>
          <w:lang w:bidi="ar-SY"/>
        </w:rPr>
        <w:t>أقسم بالحقيقة بكل نقائها أنِّي لا أحتاج للرد على عقائدك - لو أنصفتَ - إلى أكثر من ساعتين من الزمن، يمكنني خلالهما أن أبطل عقائدك كُلَّها وأفنِّد مستنداتك وأدلتك جميعَها، ولا يستلزم هذا بذل أيّ قوَّة كبيرة بل كل ما أحتاجه هو شيء من الإنصاف والوجدان؟ فإن وُجِدا، فبسم الله، هذا الكُتَيِّب ذاته الذي أنفقت في تأليفه - حسبما علمتُ - عدة سنوات، لم أنفق في الرد عليه سوى يومين فقط، مع أنني صاحب أسرة كبيرة ويجب علي أن أؤمن لها الخبز والماء والطعام ولوازم المنزل في هذين اليومين أيضًا، وإثبات هذا المُدَّعى سهلٌ جدًّا، واختباره، كما يُقال، مجَّانيٌّ.</w:t>
      </w:r>
    </w:p>
    <w:p w:rsidR="00CD31AA" w:rsidRPr="00495BAB" w:rsidRDefault="00CD31AA" w:rsidP="00495BAB">
      <w:pPr>
        <w:pStyle w:val="a0"/>
        <w:rPr>
          <w:rFonts w:hint="cs"/>
          <w:rtl/>
          <w:lang w:bidi="ar-SY"/>
        </w:rPr>
      </w:pPr>
      <w:r w:rsidRPr="00495BAB">
        <w:rPr>
          <w:rFonts w:hint="cs"/>
          <w:rtl/>
          <w:lang w:bidi="ar-SY"/>
        </w:rPr>
        <w:t xml:space="preserve">ثانيًا: إن تفنيد رأيك والرد عليه لا يحتاج - لو أنصفتَ- إلى بذل قوة وجهد مضنٍ، فآيات كتاب الله وسيرة نبي الإسلام الكريم واضحةٌ وضوحَ الشمس في رابعة النهار في أن النبي وجميع المسلمين المُخاطَبين بالآية في عصره لم يعطوا دينارًا واحدًا لليتامى والمساكين وأبناء السبيل من آل محمد، إذْ لم يكن لمثل هؤلاء وجود أصلًا، فالقضية سالبة بانتفاء الموضوع. </w:t>
      </w:r>
    </w:p>
    <w:p w:rsidR="00CD31AA" w:rsidRPr="00995B26" w:rsidRDefault="00CD31AA" w:rsidP="00495BAB">
      <w:pPr>
        <w:pStyle w:val="a0"/>
        <w:rPr>
          <w:rtl/>
          <w:lang w:bidi="ar-SY"/>
        </w:rPr>
      </w:pPr>
      <w:r w:rsidRPr="00495BAB">
        <w:rPr>
          <w:rFonts w:hint="cs"/>
          <w:rtl/>
          <w:lang w:bidi="ar-SY"/>
        </w:rPr>
        <w:t xml:space="preserve">ثالثًا: عادتي هي الاكتفاء في كل موضوع بعشرة أدلة وحجج استئناسًا بآية </w:t>
      </w:r>
      <w:r w:rsidR="00860926" w:rsidRPr="00995B26">
        <w:rPr>
          <w:rFonts w:ascii="Traditional Arabic" w:hAnsi="Traditional Arabic" w:cs="Traditional Arabic"/>
          <w:szCs w:val="30"/>
          <w:rtl/>
          <w:lang w:bidi="ar-SY"/>
        </w:rPr>
        <w:t>﴿</w:t>
      </w:r>
      <w:r w:rsidR="00860926" w:rsidRPr="00995B26">
        <w:rPr>
          <w:rFonts w:ascii="KFGQPC Uthmanic Script HAFS" w:cs="KFGQPC Uthmanic Script HAFS" w:hint="eastAsia"/>
          <w:sz w:val="29"/>
          <w:szCs w:val="29"/>
          <w:rtl/>
        </w:rPr>
        <w:t>تِل</w:t>
      </w:r>
      <w:r w:rsidR="00860926" w:rsidRPr="00995B26">
        <w:rPr>
          <w:rFonts w:ascii="KFGQPC Uthmanic Script HAFS" w:cs="KFGQPC Uthmanic Script HAFS" w:hint="cs"/>
          <w:sz w:val="29"/>
          <w:szCs w:val="29"/>
          <w:rtl/>
        </w:rPr>
        <w:t>ۡ</w:t>
      </w:r>
      <w:r w:rsidR="00860926" w:rsidRPr="00995B26">
        <w:rPr>
          <w:rFonts w:ascii="KFGQPC Uthmanic Script HAFS" w:cs="KFGQPC Uthmanic Script HAFS" w:hint="eastAsia"/>
          <w:sz w:val="29"/>
          <w:szCs w:val="29"/>
          <w:rtl/>
        </w:rPr>
        <w:t>كَ</w:t>
      </w:r>
      <w:r w:rsidR="00860926" w:rsidRPr="00995B26">
        <w:rPr>
          <w:rFonts w:ascii="KFGQPC Uthmanic Script HAFS" w:cs="KFGQPC Uthmanic Script HAFS"/>
          <w:sz w:val="29"/>
          <w:szCs w:val="29"/>
          <w:rtl/>
        </w:rPr>
        <w:t xml:space="preserve"> </w:t>
      </w:r>
      <w:r w:rsidR="00860926" w:rsidRPr="00995B26">
        <w:rPr>
          <w:rFonts w:ascii="KFGQPC Uthmanic Script HAFS" w:cs="KFGQPC Uthmanic Script HAFS" w:hint="eastAsia"/>
          <w:sz w:val="29"/>
          <w:szCs w:val="29"/>
          <w:rtl/>
        </w:rPr>
        <w:t>عَشَرَة</w:t>
      </w:r>
      <w:r w:rsidR="00860926" w:rsidRPr="00995B26">
        <w:rPr>
          <w:rFonts w:ascii="KFGQPC Uthmanic Script HAFS" w:cs="KFGQPC Uthmanic Script HAFS" w:hint="cs"/>
          <w:sz w:val="29"/>
          <w:szCs w:val="29"/>
          <w:rtl/>
        </w:rPr>
        <w:t>ٞ</w:t>
      </w:r>
      <w:r w:rsidR="00860926" w:rsidRPr="00995B26">
        <w:rPr>
          <w:rFonts w:ascii="KFGQPC Uthmanic Script HAFS" w:cs="KFGQPC Uthmanic Script HAFS"/>
          <w:sz w:val="29"/>
          <w:szCs w:val="29"/>
          <w:rtl/>
        </w:rPr>
        <w:t xml:space="preserve"> </w:t>
      </w:r>
      <w:r w:rsidR="00860926" w:rsidRPr="00995B26">
        <w:rPr>
          <w:rFonts w:ascii="KFGQPC Uthmanic Script HAFS" w:cs="KFGQPC Uthmanic Script HAFS" w:hint="eastAsia"/>
          <w:sz w:val="29"/>
          <w:szCs w:val="29"/>
          <w:rtl/>
        </w:rPr>
        <w:t>كَامِلَة</w:t>
      </w:r>
      <w:r w:rsidR="00860926" w:rsidRPr="00995B26">
        <w:rPr>
          <w:rFonts w:ascii="KFGQPC Uthmanic Script HAFS" w:cs="KFGQPC Uthmanic Script HAFS" w:hint="cs"/>
          <w:sz w:val="29"/>
          <w:szCs w:val="29"/>
          <w:rtl/>
        </w:rPr>
        <w:t>ٞ</w:t>
      </w:r>
      <w:r w:rsidR="00860926" w:rsidRPr="00995B26">
        <w:rPr>
          <w:rFonts w:ascii="Traditional Arabic" w:hAnsi="Traditional Arabic" w:cs="Traditional Arabic"/>
          <w:szCs w:val="30"/>
          <w:rtl/>
          <w:lang w:bidi="ar-SY"/>
        </w:rPr>
        <w:t>﴾</w:t>
      </w:r>
      <w:r w:rsidRPr="00495BAB">
        <w:rPr>
          <w:rFonts w:hint="cs"/>
          <w:rtl/>
          <w:lang w:bidi="ar-SY"/>
        </w:rPr>
        <w:t xml:space="preserve"> وإلا فلا ينبغي حمل ثقل أحاديث أكثر من هذا العدد. ولدي من كتب الحديث عددٌ كبير لا أحتاج معه إلى إنفاق قِوَاي أو بذل جهد مضن لاستخراج الحديث منها، ولست بمبتدئ في هذا المجال، بل قد مضى علي أكثر من أربعين سنة وأنا أكتب في الموضوعات الدينية. لكن الأظرف من كل ذلك هو سعيه للرد - حسب تخيله - على هذه الأحاديث العشرة، فضعَّف كلَّ واحدٍ منها حسب هواه </w:t>
      </w:r>
      <w:r w:rsidRPr="00495BAB">
        <w:rPr>
          <w:rtl/>
          <w:lang w:bidi="ar-SY"/>
        </w:rPr>
        <w:t>واعتبره مردودًا، وقال: «</w:t>
      </w:r>
      <w:r w:rsidRPr="00995B26">
        <w:rPr>
          <w:rFonts w:cs="Akhbar MT"/>
          <w:szCs w:val="30"/>
          <w:rtl/>
          <w:lang w:bidi="ar-SY"/>
        </w:rPr>
        <w:t xml:space="preserve">الحديث الأول منقول عن </w:t>
      </w:r>
      <w:r w:rsidRPr="00995B26">
        <w:rPr>
          <w:rFonts w:cs="Akhbar MT"/>
          <w:b/>
          <w:bCs/>
          <w:szCs w:val="30"/>
          <w:rtl/>
          <w:lang w:bidi="ar-SY"/>
        </w:rPr>
        <w:t>تحف العقول</w:t>
      </w:r>
      <w:r w:rsidRPr="00995B26">
        <w:rPr>
          <w:rFonts w:cs="Akhbar MT"/>
          <w:szCs w:val="30"/>
          <w:rtl/>
          <w:lang w:bidi="ar-SY"/>
        </w:rPr>
        <w:t xml:space="preserve"> المنسوب إلى الحسن بن علي بن الحسين بن شعبة الحراني.... ولو فرضنا أن علي بن شعبة شخص معروف وجليل القدر ولو فرضنا أن عبارات الحديث في كتابه هذا ليست منقولة بالمعنى، فإن أحاديث هذا الكتاب كلها مرسلة وفاقدة للسند، ولذلك فلا اعتبار </w:t>
      </w:r>
      <w:r w:rsidRPr="00995B26">
        <w:rPr>
          <w:rFonts w:cs="Akhbar MT" w:hint="cs"/>
          <w:szCs w:val="30"/>
          <w:rtl/>
          <w:lang w:bidi="ar-SY"/>
        </w:rPr>
        <w:t>ل</w:t>
      </w:r>
      <w:r w:rsidRPr="00995B26">
        <w:rPr>
          <w:rFonts w:cs="Akhbar MT"/>
          <w:szCs w:val="30"/>
          <w:rtl/>
          <w:lang w:bidi="ar-SY"/>
        </w:rPr>
        <w:t>ها</w:t>
      </w:r>
      <w:r w:rsidRPr="00495BAB">
        <w:rPr>
          <w:rtl/>
          <w:lang w:bidi="ar-SY"/>
        </w:rPr>
        <w:t>».</w:t>
      </w:r>
    </w:p>
    <w:p w:rsidR="00CD31AA" w:rsidRPr="00495BAB" w:rsidRDefault="00CD31AA" w:rsidP="00495BAB">
      <w:pPr>
        <w:pStyle w:val="a0"/>
        <w:rPr>
          <w:rtl/>
          <w:lang w:bidi="ar-SY"/>
        </w:rPr>
      </w:pPr>
      <w:r w:rsidRPr="00495BAB">
        <w:rPr>
          <w:rtl/>
          <w:lang w:bidi="ar-SY"/>
        </w:rPr>
        <w:t xml:space="preserve">وأقول في الردِّ عليه: طالما أن عُلَمَاءَ أجلاء، مثل الشيخ إبراهيم بن سليمان القطيفي، والشيخ الحر العاملي، والعلامة المجلسي و المولى عبد الله الأفندي وصاحب روضات الجنَّات والشيخ الحسين بن علي الحراني، عدُّوا كتاب </w:t>
      </w:r>
      <w:r w:rsidRPr="00495BAB">
        <w:rPr>
          <w:b/>
          <w:bCs/>
          <w:rtl/>
          <w:lang w:bidi="ar-SY"/>
        </w:rPr>
        <w:t>تحف العقول</w:t>
      </w:r>
      <w:r w:rsidRPr="00495BAB">
        <w:rPr>
          <w:rtl/>
          <w:lang w:bidi="ar-SY"/>
        </w:rPr>
        <w:t xml:space="preserve"> معتبرًا واعتمدوا على رواياته وقالوا عنه: «وهو كتاب لم يسمع الدهر بمثله»، فعلى أشخاص مثل كاتب الرد</w:t>
      </w:r>
      <w:r w:rsidRPr="00495BAB">
        <w:rPr>
          <w:rFonts w:hint="cs"/>
          <w:rtl/>
          <w:lang w:bidi="ar-SY"/>
        </w:rPr>
        <w:t>ّ</w:t>
      </w:r>
      <w:r w:rsidRPr="00495BAB">
        <w:rPr>
          <w:rtl/>
          <w:lang w:bidi="ar-SY"/>
        </w:rPr>
        <w:t xml:space="preserve"> أن يراعي جانب الأدب ويلزم الصمت!</w:t>
      </w:r>
      <w:r w:rsidR="000C68EA" w:rsidRPr="000C68EA">
        <w:rPr>
          <w:rStyle w:val="FootnoteReference"/>
          <w:rFonts w:cs="Arabic11 BT"/>
          <w:rtl/>
          <w:lang w:bidi="ar-SY"/>
        </w:rPr>
        <w:t>(</w:t>
      </w:r>
      <w:r w:rsidR="000C68EA" w:rsidRPr="000C68EA">
        <w:rPr>
          <w:rStyle w:val="FootnoteReference"/>
          <w:rFonts w:cs="Arabic11 BT"/>
          <w:rtl/>
          <w:lang w:bidi="ar-SY"/>
        </w:rPr>
        <w:footnoteReference w:id="499"/>
      </w:r>
      <w:r w:rsidR="000C68EA" w:rsidRPr="000C68EA">
        <w:rPr>
          <w:rStyle w:val="FootnoteReference"/>
          <w:rFonts w:cs="Arabic11 BT"/>
          <w:rtl/>
          <w:lang w:bidi="ar-SY"/>
        </w:rPr>
        <w:t>)</w:t>
      </w:r>
      <w:r w:rsidRPr="00495BAB">
        <w:rPr>
          <w:rtl/>
          <w:lang w:bidi="ar-SY"/>
        </w:rPr>
        <w:t xml:space="preserve"> </w:t>
      </w:r>
    </w:p>
    <w:p w:rsidR="00CD31AA" w:rsidRPr="00495BAB" w:rsidRDefault="00CD31AA" w:rsidP="00495BAB">
      <w:pPr>
        <w:pStyle w:val="a0"/>
        <w:rPr>
          <w:rtl/>
          <w:lang w:bidi="ar-SY"/>
        </w:rPr>
      </w:pPr>
      <w:r w:rsidRPr="00495BAB">
        <w:rPr>
          <w:rtl/>
          <w:lang w:bidi="ar-SY"/>
        </w:rPr>
        <w:t>أضِف إلى ذلك أنه لو تقر</w:t>
      </w:r>
      <w:r w:rsidRPr="00495BAB">
        <w:rPr>
          <w:rFonts w:hint="cs"/>
          <w:rtl/>
          <w:lang w:bidi="ar-SY"/>
        </w:rPr>
        <w:t>َّ</w:t>
      </w:r>
      <w:r w:rsidRPr="00495BAB">
        <w:rPr>
          <w:rtl/>
          <w:lang w:bidi="ar-SY"/>
        </w:rPr>
        <w:t>ر أن نرد</w:t>
      </w:r>
      <w:r w:rsidRPr="00495BAB">
        <w:rPr>
          <w:rFonts w:hint="cs"/>
          <w:rtl/>
          <w:lang w:bidi="ar-SY"/>
        </w:rPr>
        <w:t>َّ</w:t>
      </w:r>
      <w:r w:rsidRPr="00495BAB">
        <w:rPr>
          <w:rtl/>
          <w:lang w:bidi="ar-SY"/>
        </w:rPr>
        <w:t xml:space="preserve"> كل كتاب فاقد للأسانيد ونعتبره فاقدًا للاعتبار، فلدينا كتب كثيرة تُعَدُّ من مفاخر الشيعة بل مفاخر الإسلام، وهي إما بلا أسانيد أو مرسلة، وأهمها وأشهرها كتاب </w:t>
      </w:r>
      <w:r w:rsidRPr="00495BAB">
        <w:rPr>
          <w:b/>
          <w:bCs/>
          <w:rtl/>
          <w:lang w:bidi="ar-SY"/>
        </w:rPr>
        <w:t>نهج البلاغة</w:t>
      </w:r>
      <w:r w:rsidRPr="00495BAB">
        <w:rPr>
          <w:rtl/>
          <w:lang w:bidi="ar-SY"/>
        </w:rPr>
        <w:t>، الذي جميع خطبه وحكمه البليغة لا سند لها ومرسلة، فعلينا أن نعتبره فاقدًا للاعتبار أيضًا، فهل هذا هو ما تريد الوصول إليه؟!</w:t>
      </w:r>
    </w:p>
    <w:p w:rsidR="00CD31AA" w:rsidRPr="00495BAB" w:rsidRDefault="00CD31AA" w:rsidP="00495BAB">
      <w:pPr>
        <w:pStyle w:val="a0"/>
        <w:rPr>
          <w:rFonts w:hint="cs"/>
          <w:rtl/>
          <w:lang w:bidi="ar-SY"/>
        </w:rPr>
      </w:pPr>
      <w:r w:rsidRPr="00495BAB">
        <w:rPr>
          <w:rtl/>
          <w:lang w:bidi="ar-SY"/>
        </w:rPr>
        <w:t>كان من الجيد أن يلتزم كاتب الرد بهذا المبدأ والعقيدة (بشأن الكتب ذات الأحاديث الفاقدة للسند) ويواصل العمل بها، لأنه حينئذٍ سيرى أن القرآن الذي بين أيدي المسلمين اليوم لا سند له، لأنهم لم يلحقوا به أسانيده!!</w:t>
      </w:r>
      <w:r w:rsidR="000C68EA" w:rsidRPr="000C68EA">
        <w:rPr>
          <w:rStyle w:val="FootnoteReference"/>
          <w:rFonts w:cs="Arabic11 BT"/>
          <w:rtl/>
          <w:lang w:bidi="ar-SY"/>
        </w:rPr>
        <w:t>(</w:t>
      </w:r>
      <w:r w:rsidR="000C68EA" w:rsidRPr="000C68EA">
        <w:rPr>
          <w:rStyle w:val="FootnoteReference"/>
          <w:rFonts w:cs="Arabic11 BT"/>
          <w:rtl/>
          <w:lang w:bidi="ar-SY"/>
        </w:rPr>
        <w:footnoteReference w:id="500"/>
      </w:r>
      <w:r w:rsidR="000C68EA" w:rsidRPr="000C68EA">
        <w:rPr>
          <w:rStyle w:val="FootnoteReference"/>
          <w:rFonts w:cs="Arabic11 BT"/>
          <w:rtl/>
          <w:lang w:bidi="ar-SY"/>
        </w:rPr>
        <w:t>)</w:t>
      </w:r>
      <w:r w:rsidRPr="00495BAB">
        <w:rPr>
          <w:rFonts w:hint="cs"/>
          <w:rtl/>
          <w:lang w:bidi="ar-SY"/>
        </w:rPr>
        <w:t xml:space="preserve"> </w:t>
      </w:r>
    </w:p>
    <w:p w:rsidR="00CD31AA" w:rsidRPr="00495BAB" w:rsidRDefault="00CD31AA" w:rsidP="00495BAB">
      <w:pPr>
        <w:pStyle w:val="a0"/>
        <w:rPr>
          <w:rFonts w:hint="cs"/>
          <w:rtl/>
          <w:lang w:bidi="ar-SY"/>
        </w:rPr>
      </w:pPr>
      <w:r w:rsidRPr="00495BAB">
        <w:rPr>
          <w:rFonts w:hint="cs"/>
          <w:rtl/>
          <w:lang w:bidi="ar-SY"/>
        </w:rPr>
        <w:t>إن أهم مستمسك ضدنا عثر عليه كاتب الردّ هذا في كتابنا وشنَّ علينا بسببه هجومًا كاسحًا هو ما أشار إليه في الصفحة 120 من كُتَيِّبه قائلاً:</w:t>
      </w:r>
    </w:p>
    <w:p w:rsidR="00CD31AA" w:rsidRPr="00495BAB" w:rsidRDefault="00CD31AA" w:rsidP="00495BAB">
      <w:pPr>
        <w:pStyle w:val="a0"/>
        <w:rPr>
          <w:rFonts w:hint="cs"/>
          <w:rtl/>
          <w:lang w:bidi="ar-SY"/>
        </w:rPr>
      </w:pPr>
      <w:r w:rsidRPr="00495BAB">
        <w:rPr>
          <w:rFonts w:hint="cs"/>
          <w:rtl/>
          <w:lang w:bidi="ar-SY"/>
        </w:rPr>
        <w:t>«</w:t>
      </w:r>
      <w:r w:rsidRPr="00995B26">
        <w:rPr>
          <w:rFonts w:cs="Akhbar MT" w:hint="cs"/>
          <w:szCs w:val="30"/>
          <w:rtl/>
          <w:lang w:bidi="ar-SY"/>
        </w:rPr>
        <w:t xml:space="preserve">وأما الحديث الذي وضعه [مؤلف كتاب الخُمس] من عند نفسه، وادَّعى أنه موجود في </w:t>
      </w:r>
      <w:r w:rsidRPr="00995B26">
        <w:rPr>
          <w:rFonts w:cs="Akhbar MT" w:hint="cs"/>
          <w:b/>
          <w:bCs/>
          <w:szCs w:val="30"/>
          <w:rtl/>
          <w:lang w:bidi="ar-SY"/>
        </w:rPr>
        <w:t>روضة الكافي</w:t>
      </w:r>
      <w:r w:rsidRPr="00995B26">
        <w:rPr>
          <w:rFonts w:cs="Akhbar MT" w:hint="cs"/>
          <w:szCs w:val="30"/>
          <w:rtl/>
          <w:lang w:bidi="ar-SY"/>
        </w:rPr>
        <w:t xml:space="preserve"> وأنه مَروِيٌّ عن أبي حمزة عن حضرة الباقر </w:t>
      </w:r>
      <w:r w:rsidR="00451CED" w:rsidRPr="00451CED">
        <w:rPr>
          <w:rFonts w:ascii="Abo-thar" w:hAnsi="Abo-thar" w:cs="CTraditional Arabic"/>
          <w:sz w:val="28"/>
          <w:szCs w:val="30"/>
          <w:rtl/>
          <w:lang w:bidi="ar-SY"/>
        </w:rPr>
        <w:t>÷</w:t>
      </w:r>
      <w:r w:rsidRPr="00995B26">
        <w:rPr>
          <w:rFonts w:cs="Akhbar MT" w:hint="cs"/>
          <w:szCs w:val="30"/>
          <w:rtl/>
          <w:lang w:bidi="ar-SY"/>
        </w:rPr>
        <w:t xml:space="preserve"> أنه قال: (</w:t>
      </w:r>
      <w:r w:rsidRPr="00995B26">
        <w:rPr>
          <w:rFonts w:cs="Akhbar MT"/>
          <w:szCs w:val="30"/>
          <w:rtl/>
          <w:lang w:bidi="ar-SY"/>
        </w:rPr>
        <w:t>إِنَّ الل</w:t>
      </w:r>
      <w:r w:rsidRPr="00995B26">
        <w:rPr>
          <w:rFonts w:cs="Akhbar MT" w:hint="cs"/>
          <w:szCs w:val="30"/>
          <w:rtl/>
          <w:lang w:bidi="ar-SY"/>
        </w:rPr>
        <w:t>هَ</w:t>
      </w:r>
      <w:r w:rsidRPr="00995B26">
        <w:rPr>
          <w:rFonts w:cs="Akhbar MT"/>
          <w:szCs w:val="30"/>
          <w:rtl/>
          <w:lang w:bidi="ar-SY"/>
        </w:rPr>
        <w:t xml:space="preserve"> تَبَارَكَ وَتَعَالَى جَعَلَ لَنَا أَهْلَ الْبَيْتِ سِهَاماً ثَلَاثَة</w:t>
      </w:r>
      <w:r w:rsidRPr="00995B26">
        <w:rPr>
          <w:rFonts w:cs="Akhbar MT" w:hint="cs"/>
          <w:szCs w:val="30"/>
          <w:rtl/>
          <w:lang w:bidi="ar-SY"/>
        </w:rPr>
        <w:t>ً......)</w:t>
      </w:r>
      <w:r w:rsidR="000C68EA" w:rsidRPr="00873C4C">
        <w:rPr>
          <w:rStyle w:val="FootnoteReference"/>
          <w:rFonts w:cs="Arabic11 BT"/>
          <w:rtl/>
          <w:lang w:bidi="ar-SY"/>
        </w:rPr>
        <w:t>(</w:t>
      </w:r>
      <w:r w:rsidR="000C68EA" w:rsidRPr="00873C4C">
        <w:rPr>
          <w:rStyle w:val="FootnoteReference"/>
          <w:rFonts w:cs="Arabic11 BT"/>
          <w:rtl/>
          <w:lang w:bidi="ar-SY"/>
        </w:rPr>
        <w:footnoteReference w:id="501"/>
      </w:r>
      <w:r w:rsidR="000C68EA" w:rsidRPr="00873C4C">
        <w:rPr>
          <w:rStyle w:val="FootnoteReference"/>
          <w:rFonts w:cs="Arabic11 BT"/>
          <w:rtl/>
          <w:lang w:bidi="ar-SY"/>
        </w:rPr>
        <w:t>)</w:t>
      </w:r>
      <w:r w:rsidRPr="00995B26">
        <w:rPr>
          <w:rFonts w:cs="Akhbar MT" w:hint="cs"/>
          <w:szCs w:val="30"/>
          <w:rtl/>
          <w:lang w:bidi="ar-SY"/>
        </w:rPr>
        <w:t xml:space="preserve"> إلى قوله: (دُونَ سِهَامِ </w:t>
      </w:r>
      <w:r w:rsidRPr="00995B26">
        <w:rPr>
          <w:rFonts w:cs="Akhbar MT"/>
          <w:szCs w:val="30"/>
          <w:rtl/>
          <w:lang w:bidi="ar-SY"/>
        </w:rPr>
        <w:t>الْيَتامى‏ وَالْمَساكِينِ وَابْن‏</w:t>
      </w:r>
      <w:r w:rsidRPr="00995B26">
        <w:rPr>
          <w:rFonts w:cs="Akhbar MT"/>
          <w:rtl/>
        </w:rPr>
        <w:t xml:space="preserve"> </w:t>
      </w:r>
      <w:r w:rsidRPr="00995B26">
        <w:rPr>
          <w:rFonts w:cs="Akhbar MT"/>
          <w:szCs w:val="30"/>
          <w:rtl/>
          <w:lang w:bidi="ar-SY"/>
        </w:rPr>
        <w:t>السَّبِيل</w:t>
      </w:r>
      <w:r w:rsidRPr="00995B26">
        <w:rPr>
          <w:rFonts w:cs="Akhbar MT" w:hint="cs"/>
          <w:szCs w:val="30"/>
          <w:rtl/>
          <w:lang w:bidi="ar-SY"/>
        </w:rPr>
        <w:t xml:space="preserve"> فإنها لغيرهم). فليس هناك مثل هذا الحديث في كتاب </w:t>
      </w:r>
      <w:r w:rsidRPr="00995B26">
        <w:rPr>
          <w:rFonts w:cs="Akhbar MT" w:hint="cs"/>
          <w:b/>
          <w:bCs/>
          <w:szCs w:val="30"/>
          <w:rtl/>
          <w:lang w:bidi="ar-SY"/>
        </w:rPr>
        <w:t>روضة الكافي</w:t>
      </w:r>
      <w:r w:rsidRPr="00995B26">
        <w:rPr>
          <w:rFonts w:cs="Akhbar MT" w:hint="cs"/>
          <w:szCs w:val="30"/>
          <w:rtl/>
          <w:lang w:bidi="ar-SY"/>
        </w:rPr>
        <w:t>، وهؤلاء الوضاعون يظنون أن كتب الشيعة قد احترقت، وأن رمادَها قد ذرَّتْهُ الرياح! أو يظنون أنه ليس لدى القراء الصبر للرجوع إلى أصل الكتاب، وأنهم سيقبلون موضوعاتهم وأعينهم مغلقة. حقًّا إنه لأمر محيِّر أن لا يراعي عديمو الدين هؤلاء سمعتهم وماء وجههم، ولا يتورّعوا عن القيام بأي عمل قبيح لأجل أن يُوَسْوِسُوا في أذهان المسلمين</w:t>
      </w:r>
      <w:r w:rsidRPr="00495BAB">
        <w:rPr>
          <w:rFonts w:hint="cs"/>
          <w:rtl/>
          <w:lang w:bidi="ar-SY"/>
        </w:rPr>
        <w:t>».</w:t>
      </w:r>
    </w:p>
    <w:p w:rsidR="00CD31AA" w:rsidRPr="00495BAB" w:rsidRDefault="00CD31AA" w:rsidP="00495BAB">
      <w:pPr>
        <w:pStyle w:val="a0"/>
        <w:rPr>
          <w:rFonts w:hint="cs"/>
          <w:rtl/>
          <w:lang w:bidi="ar-SY"/>
        </w:rPr>
      </w:pPr>
      <w:r w:rsidRPr="00495BAB">
        <w:rPr>
          <w:rFonts w:hint="cs"/>
          <w:rtl/>
          <w:lang w:bidi="ar-SY"/>
        </w:rPr>
        <w:t>وأقول: هذه العبارات تدلُّ بأفضل وَجْهٍ على مقدار معلومات هذا الكاتب وأدبه ولطفه ودينه وإنصافه! إنه يصول ويجول ويمارس الكرّ والفرّ وكأنه يستند إلى نقطة ارتكاز رفيعة في قمة جبال هيمالايا، وكأنه قد رأى جميع الكتب والمكتبات، وكأنه على صلة بمؤلف كتاب الخُمس منذ سنوات وشاهد كرّات ومرّات انعدام دينه و وضعه للأحاديث وكذبه، وهو - أي كاتب الردّ - الآن جالس مطمئنًّا خلف هضبة إطلاق النار، ليطلق منها ما استطاع من التهم والشتائم التي تعلَّمها من أستاذه وشيخه على خصمه الملحد الوضَّاع والكذَّاب!! ولعلَّ الذي جرَّأه على كل هذا الهجوم والطعن والوقاحة في حقِّي أنني خلافًا لعادتي في نقل الأحاديث حيث أذكر دائمًا رقم الجزء ورقم الصفحة التي ورد فيها كل حديث، لم أفعل ذلك هنا، فربما كان هذا النقص هو السبب في إثارة كاتب الرد وهياجه، حتى كلَّف نفسه عناء تلفيق كل تلك الترهات التي لا طائل تحتها في حقي!!</w:t>
      </w:r>
    </w:p>
    <w:p w:rsidR="00CD31AA" w:rsidRPr="00495BAB" w:rsidRDefault="00CD31AA" w:rsidP="00495BAB">
      <w:pPr>
        <w:pStyle w:val="a0"/>
        <w:rPr>
          <w:rFonts w:hint="cs"/>
          <w:rtl/>
          <w:lang w:bidi="ar-SY"/>
        </w:rPr>
      </w:pPr>
      <w:r w:rsidRPr="00495BAB">
        <w:rPr>
          <w:rFonts w:hint="cs"/>
          <w:rtl/>
          <w:lang w:bidi="ar-SY"/>
        </w:rPr>
        <w:t xml:space="preserve">نعم، من الممكن أن أكون قد نقلت هذا الحديث من كتاب غير مرقم الصفحات، كما هو حال أغلب الكتب المطبوعة قديمًا، أو نقلته من مخطوطة من المخطوطات التي لا تُرَقَّم صفحاتُها عادةً. ومن الجهة الأخرى أُقِرُّ أن بعض نسخ </w:t>
      </w:r>
      <w:r w:rsidRPr="00495BAB">
        <w:rPr>
          <w:rFonts w:hint="cs"/>
          <w:b/>
          <w:bCs/>
          <w:rtl/>
          <w:lang w:bidi="ar-SY"/>
        </w:rPr>
        <w:t>روضة الكافي</w:t>
      </w:r>
      <w:r w:rsidRPr="00495BAB">
        <w:rPr>
          <w:rFonts w:hint="cs"/>
          <w:rtl/>
          <w:lang w:bidi="ar-SY"/>
        </w:rPr>
        <w:t xml:space="preserve"> أورَدَتْ هذا الحديث وأسقَطَتْ منه الجملة الأخيرة! [أي جملة: «</w:t>
      </w:r>
      <w:r w:rsidRPr="00995B26">
        <w:rPr>
          <w:rFonts w:cs="Akhbar MT"/>
          <w:szCs w:val="30"/>
          <w:rtl/>
          <w:lang w:bidi="ar-SY"/>
        </w:rPr>
        <w:t>دُونَ سِهَامِ اليَت</w:t>
      </w:r>
      <w:r w:rsidRPr="00995B26">
        <w:rPr>
          <w:rFonts w:cs="Akhbar MT" w:hint="cs"/>
          <w:szCs w:val="30"/>
          <w:rtl/>
          <w:lang w:bidi="ar-SY"/>
        </w:rPr>
        <w:t>َ</w:t>
      </w:r>
      <w:r w:rsidRPr="00995B26">
        <w:rPr>
          <w:rFonts w:cs="Akhbar MT"/>
          <w:szCs w:val="30"/>
          <w:rtl/>
          <w:lang w:bidi="ar-SY"/>
        </w:rPr>
        <w:t>ام</w:t>
      </w:r>
      <w:r w:rsidRPr="00995B26">
        <w:rPr>
          <w:rFonts w:cs="Akhbar MT" w:hint="cs"/>
          <w:szCs w:val="30"/>
          <w:rtl/>
          <w:lang w:bidi="ar-SY"/>
        </w:rPr>
        <w:t>َ</w:t>
      </w:r>
      <w:r w:rsidRPr="00995B26">
        <w:rPr>
          <w:rFonts w:cs="Akhbar MT"/>
          <w:szCs w:val="30"/>
          <w:rtl/>
          <w:lang w:bidi="ar-SY"/>
        </w:rPr>
        <w:t>ى‏ وَالمَس</w:t>
      </w:r>
      <w:r w:rsidRPr="00995B26">
        <w:rPr>
          <w:rFonts w:cs="Akhbar MT" w:hint="cs"/>
          <w:szCs w:val="30"/>
          <w:rtl/>
          <w:lang w:bidi="ar-SY"/>
        </w:rPr>
        <w:t>َ</w:t>
      </w:r>
      <w:r w:rsidRPr="00995B26">
        <w:rPr>
          <w:rFonts w:cs="Akhbar MT"/>
          <w:szCs w:val="30"/>
          <w:rtl/>
          <w:lang w:bidi="ar-SY"/>
        </w:rPr>
        <w:t>اكِينِ وَابْ</w:t>
      </w:r>
      <w:r w:rsidRPr="00995B26">
        <w:rPr>
          <w:rFonts w:cs="Akhbar MT" w:hint="cs"/>
          <w:szCs w:val="30"/>
          <w:rtl/>
          <w:lang w:bidi="ar-SY"/>
        </w:rPr>
        <w:t>نِ</w:t>
      </w:r>
      <w:r w:rsidRPr="00995B26">
        <w:rPr>
          <w:rFonts w:cs="Akhbar MT"/>
          <w:szCs w:val="30"/>
          <w:rtl/>
          <w:lang w:bidi="ar-SY"/>
        </w:rPr>
        <w:t xml:space="preserve"> السَّبِيل فإنها لغيرهم</w:t>
      </w:r>
      <w:r w:rsidRPr="00495BAB">
        <w:rPr>
          <w:rFonts w:hint="cs"/>
          <w:rtl/>
          <w:lang w:bidi="ar-SY"/>
        </w:rPr>
        <w:t xml:space="preserve">»]. وهذا الحذف إما سببه أن هذه الجملة لا تتماشى مع مشرب الذين قاموا بحذفها وذوقهم - إذْ من المؤكَّد أنهم لو كانوا من أنصار الخمس الشامل فلن يرضوا بذكر هذه الجملة - أو أنها سقطت سهوًا وخطأً. وكل من يتعامل مع الكتب لاسيّما كتب الحديث يعلم أن كثيرًا ما تقع زيادة أو نقص لبعض العبارات في بعض النسخ، أو أن تذكر نسخة جملة في حديث ما، ولا تذكر نسخ أخرى تلك الجملة في الحديث ذاته، أو أن يُرْوَى الحديث في نسخة بصورة ويُرْوَى بصورة فيها اختلاف يسير في النسخ الأخرى، دون أن يدفع ذلك أحدًا - مهما كان بعيدًا عن الإنصاف - إلى اتهام آخر، بهذه الجرأة والجسارة، بانعدام الدين، لأنه من الممكن أن يكون الحديث [أو الجملة الناقصة فيه] موجودٌ فعلاً ولكنه لم يعثر عليه، كما هو الواقع بشأن هذا الحديث الذي رويته. ثانياً: حتى لو وقع مؤلف كتابٍ في خطأ فلا أحد يتهمه لهذا السبب بانعدام الدين! ثالثاً: إن الذي يضع حديثًا توجد مثله عشرات الأحاديث الأخرى، التي تنقل الأمر ذاته الذي ورد في الحديث الذي وضعه لا يمكن أن يُطلَق عليه لقب الملحد وعديم الدين! وبالمناسبة لست وحدي الذي وضع - حسب قولك - الحديث الذي يقول إن اليتامى والمساكين وابن السبيل هم من عامة المسلمين بل هناك عشرات الأحاديث المروية من طرق الشيعة والسنة في هذا الأمر. أضف إلى ذلك أن جميع المسلمين فوق سطح الأرض (ما عدا الشيعة) يعتقدون أن اليتامى والمساكين وابن السبيل في الآية هم من عامة المسلمين. وحتى الطبرسي صاحب تفسير </w:t>
      </w:r>
      <w:r w:rsidRPr="00495BAB">
        <w:rPr>
          <w:rFonts w:hint="cs"/>
          <w:b/>
          <w:bCs/>
          <w:rtl/>
          <w:lang w:bidi="ar-SY"/>
        </w:rPr>
        <w:t>مجمع البيان</w:t>
      </w:r>
      <w:r w:rsidRPr="00495BAB">
        <w:rPr>
          <w:rFonts w:hint="cs"/>
          <w:rtl/>
          <w:lang w:bidi="ar-SY"/>
        </w:rPr>
        <w:t xml:space="preserve">, ذاته, يقول إنّ القول بأن اليتامى والمساكين وابن السبيل في الآية هم من عامة المسلمين مَرْوِيٌّ عن أهل البيت </w:t>
      </w:r>
      <w:r w:rsidR="00963EFD" w:rsidRPr="00963EFD">
        <w:rPr>
          <w:rFonts w:cs="CTraditional Arabic" w:hint="cs"/>
          <w:rtl/>
          <w:lang w:bidi="ar-SY"/>
        </w:rPr>
        <w:t>‡</w:t>
      </w:r>
      <w:r w:rsidRPr="00495BAB">
        <w:rPr>
          <w:rFonts w:hint="cs"/>
          <w:rtl/>
          <w:lang w:bidi="ar-SY"/>
        </w:rPr>
        <w:t xml:space="preserve">. إذا عرفنا ذلك فهل يجوز اتهام إنسان مسلم معتَقِد بالقرآن لم يرتكب أدنى عمل من المحرَّمات وأدّى أوامر الله جميعها، بقدر وسعه واستطاعته، بأنه رجل عديم الدين؟ ولعله بهذا الاتهام يحرِّض عددًا ممن هم أكثر منه جهلاً على معاداة هذا الإنسان وإيذائه والإضرار به، وربما قتله! فهل هذا هو الدين؟! إن كان هذا هو الدين فإنني الآن أُشْهِدُكُم وأُشْهِد كل من يقرأ كُتَيِّبكم أنني بريء من هذا الدين، ولو أُعطِيَت لكم مفاتيح الجنة أيها المتدينون بهذا الدين فإنني بريء من تلك الجنة، لأن مجالسة أمثالكم هي بحد ذاتها جهنم وبئس المصير، كما هو شأن مجالسة الإنسان لمن ليس على شاكلته أو مجالسة الحمقى! </w:t>
      </w:r>
    </w:p>
    <w:p w:rsidR="00CD31AA" w:rsidRPr="00495BAB" w:rsidRDefault="00CD31AA" w:rsidP="00495BAB">
      <w:pPr>
        <w:pStyle w:val="a0"/>
        <w:rPr>
          <w:rFonts w:hint="cs"/>
          <w:rtl/>
          <w:lang w:bidi="ar-SY"/>
        </w:rPr>
      </w:pPr>
      <w:r w:rsidRPr="00495BAB">
        <w:rPr>
          <w:rFonts w:hint="cs"/>
          <w:rtl/>
          <w:lang w:bidi="ar-SY"/>
        </w:rPr>
        <w:t xml:space="preserve">إن على كاتب الردّ هذا هو وقُرَّاؤه أن يعلموا أنني لم أضع هذا الحديث - لا سمح الله - وأنّ هذا الحديث موجود في </w:t>
      </w:r>
      <w:r w:rsidRPr="00495BAB">
        <w:rPr>
          <w:rFonts w:hint="cs"/>
          <w:b/>
          <w:bCs/>
          <w:rtl/>
          <w:lang w:bidi="ar-SY"/>
        </w:rPr>
        <w:t xml:space="preserve">روضة الكافي </w:t>
      </w:r>
      <w:r w:rsidRPr="00495BAB">
        <w:rPr>
          <w:rFonts w:hint="cs"/>
          <w:rtl/>
          <w:lang w:bidi="ar-SY"/>
        </w:rPr>
        <w:t xml:space="preserve">فعلاً. فإن كان في نسخة من نسخ </w:t>
      </w:r>
      <w:r w:rsidRPr="00495BAB">
        <w:rPr>
          <w:rFonts w:hint="cs"/>
          <w:b/>
          <w:bCs/>
          <w:rtl/>
          <w:lang w:bidi="ar-SY"/>
        </w:rPr>
        <w:t>روضة الكافي</w:t>
      </w:r>
      <w:r w:rsidRPr="00495BAB">
        <w:rPr>
          <w:rFonts w:hint="cs"/>
          <w:rtl/>
          <w:lang w:bidi="ar-SY"/>
        </w:rPr>
        <w:t xml:space="preserve"> نقص ولم نكن قادرين على أن نضع تحت تصرُّف جميع القراء تلك النسخة التي نقلنا منها هذا الحديث بصورته الكاملة فإننا نحيل القراء إلى كتابَين معتَبَرَين يعرفهما علماء الشيعة ويعتبرون كاتبيهما في أعلى درجات الأهمية والاعتبار وقد رووا هذا الحديث بصورته الكاملة في كُتُبِهم المعروفة والمعتَبَرة.</w:t>
      </w:r>
    </w:p>
    <w:p w:rsidR="00CD31AA" w:rsidRPr="00495BAB" w:rsidRDefault="00CD31AA" w:rsidP="00495BAB">
      <w:pPr>
        <w:pStyle w:val="a0"/>
        <w:rPr>
          <w:rFonts w:hint="cs"/>
          <w:rtl/>
          <w:lang w:bidi="ar-SY"/>
        </w:rPr>
      </w:pPr>
      <w:r w:rsidRPr="00495BAB">
        <w:rPr>
          <w:rFonts w:hint="cs"/>
          <w:rtl/>
          <w:lang w:bidi="ar-SY"/>
        </w:rPr>
        <w:t>هذان الكاتبان هما العلامة الشهير والفقيه والفيلسوف الكبير والعارف الجليل محمد بن المرتضى المعروف بالـمُلا محسن الفيض الكاشاني أعلى الله مقامه الشريف الذي أورد في كتابه القيِّم «</w:t>
      </w:r>
      <w:r w:rsidRPr="00495BAB">
        <w:rPr>
          <w:rFonts w:hint="cs"/>
          <w:b/>
          <w:bCs/>
          <w:rtl/>
          <w:lang w:bidi="ar-SY"/>
        </w:rPr>
        <w:t>الوافي</w:t>
      </w:r>
      <w:r w:rsidRPr="00495BAB">
        <w:rPr>
          <w:rFonts w:hint="cs"/>
          <w:rtl/>
          <w:lang w:bidi="ar-SY"/>
        </w:rPr>
        <w:t>» (المجلد 2، ص 48، السطر 17) العبارة عينها التي أوردتُها أي</w:t>
      </w:r>
      <w:r w:rsidRPr="00995B26">
        <w:rPr>
          <w:rFonts w:cs="Akhbar MT" w:hint="cs"/>
          <w:szCs w:val="30"/>
          <w:rtl/>
          <w:lang w:bidi="ar-SY"/>
        </w:rPr>
        <w:t>: (</w:t>
      </w:r>
      <w:r w:rsidRPr="00995B26">
        <w:rPr>
          <w:rFonts w:cs="Akhbar MT"/>
          <w:szCs w:val="30"/>
          <w:rtl/>
          <w:lang w:bidi="ar-SY"/>
        </w:rPr>
        <w:t>إِنَّ الل</w:t>
      </w:r>
      <w:r w:rsidRPr="00995B26">
        <w:rPr>
          <w:rFonts w:cs="Akhbar MT" w:hint="cs"/>
          <w:szCs w:val="30"/>
          <w:rtl/>
          <w:lang w:bidi="ar-SY"/>
        </w:rPr>
        <w:t>هَ</w:t>
      </w:r>
      <w:r w:rsidRPr="00995B26">
        <w:rPr>
          <w:rFonts w:cs="Akhbar MT"/>
          <w:szCs w:val="30"/>
          <w:rtl/>
          <w:lang w:bidi="ar-SY"/>
        </w:rPr>
        <w:t xml:space="preserve"> تَبَارَكَ وَتَعَالَى جَعَلَ لَنَا أَهْلَ الْبَيْتِ سِهَاماً ثَلَاثَة</w:t>
      </w:r>
      <w:r w:rsidRPr="00995B26">
        <w:rPr>
          <w:rFonts w:cs="Akhbar MT" w:hint="cs"/>
          <w:szCs w:val="30"/>
          <w:rtl/>
          <w:lang w:bidi="ar-SY"/>
        </w:rPr>
        <w:t xml:space="preserve">ً..... إلى قوله: دُونَ سِهَامِ </w:t>
      </w:r>
      <w:r w:rsidRPr="00995B26">
        <w:rPr>
          <w:rFonts w:cs="Akhbar MT"/>
          <w:szCs w:val="30"/>
          <w:rtl/>
          <w:lang w:bidi="ar-SY"/>
        </w:rPr>
        <w:t>الْيَتامى‏ وَالْمَساكِينِ وَابْن‏</w:t>
      </w:r>
      <w:r w:rsidRPr="00995B26">
        <w:rPr>
          <w:rFonts w:cs="Akhbar MT"/>
          <w:rtl/>
        </w:rPr>
        <w:t xml:space="preserve"> </w:t>
      </w:r>
      <w:r w:rsidRPr="00995B26">
        <w:rPr>
          <w:rFonts w:cs="Akhbar MT"/>
          <w:szCs w:val="30"/>
          <w:rtl/>
          <w:lang w:bidi="ar-SY"/>
        </w:rPr>
        <w:t>السَّبِيل</w:t>
      </w:r>
      <w:r w:rsidRPr="00995B26">
        <w:rPr>
          <w:rFonts w:cs="Akhbar MT" w:hint="cs"/>
          <w:szCs w:val="30"/>
          <w:rtl/>
          <w:lang w:bidi="ar-SY"/>
        </w:rPr>
        <w:t xml:space="preserve"> فإنها لغيرهم)</w:t>
      </w:r>
      <w:r w:rsidR="000C68EA" w:rsidRPr="00873C4C">
        <w:rPr>
          <w:rStyle w:val="FootnoteReference"/>
          <w:rFonts w:cs="Arabic11 BT"/>
          <w:rtl/>
          <w:lang w:bidi="ar-SY"/>
        </w:rPr>
        <w:t>(</w:t>
      </w:r>
      <w:r w:rsidR="000C68EA" w:rsidRPr="00873C4C">
        <w:rPr>
          <w:rStyle w:val="FootnoteReference"/>
          <w:rFonts w:cs="Arabic11 BT"/>
          <w:rtl/>
          <w:lang w:bidi="ar-SY"/>
        </w:rPr>
        <w:footnoteReference w:id="502"/>
      </w:r>
      <w:r w:rsidR="000C68EA" w:rsidRPr="00873C4C">
        <w:rPr>
          <w:rStyle w:val="FootnoteReference"/>
          <w:rFonts w:cs="Arabic11 BT"/>
          <w:rtl/>
          <w:lang w:bidi="ar-SY"/>
        </w:rPr>
        <w:t>)</w:t>
      </w:r>
      <w:r w:rsidRPr="00995B26">
        <w:rPr>
          <w:rFonts w:cs="Akhbar MT" w:hint="cs"/>
          <w:szCs w:val="30"/>
          <w:rtl/>
          <w:lang w:bidi="ar-SY"/>
        </w:rPr>
        <w:t>.</w:t>
      </w:r>
      <w:r w:rsidRPr="00495BAB">
        <w:rPr>
          <w:rFonts w:hint="cs"/>
          <w:rtl/>
          <w:lang w:bidi="ar-SY"/>
        </w:rPr>
        <w:t xml:space="preserve"> والكاتب الآخر هو الفقيه والمحدِّث الجليل الشيخ يوسف البحراني رحمه الله الذي أورد هذا الحديث في كتابه </w:t>
      </w:r>
      <w:r w:rsidRPr="00495BAB">
        <w:rPr>
          <w:rFonts w:hint="cs"/>
          <w:b/>
          <w:bCs/>
          <w:rtl/>
          <w:lang w:bidi="ar-SY"/>
        </w:rPr>
        <w:t>الحدائق الناضرة</w:t>
      </w:r>
      <w:r w:rsidRPr="00495BAB">
        <w:rPr>
          <w:rFonts w:hint="cs"/>
          <w:rtl/>
          <w:lang w:bidi="ar-SY"/>
        </w:rPr>
        <w:t xml:space="preserve"> في معرض شرحه لعقيدة الفيض الكاشاني في سهم الإمام</w:t>
      </w:r>
      <w:r w:rsidR="000C68EA" w:rsidRPr="000C68EA">
        <w:rPr>
          <w:rStyle w:val="FootnoteReference"/>
          <w:rFonts w:cs="Arabic11 BT"/>
          <w:rtl/>
          <w:lang w:bidi="ar-SY"/>
        </w:rPr>
        <w:t>(</w:t>
      </w:r>
      <w:r w:rsidR="000C68EA" w:rsidRPr="000C68EA">
        <w:rPr>
          <w:rStyle w:val="FootnoteReference"/>
          <w:rFonts w:cs="Arabic11 BT"/>
          <w:rtl/>
          <w:lang w:bidi="ar-SY"/>
        </w:rPr>
        <w:footnoteReference w:id="503"/>
      </w:r>
      <w:r w:rsidR="000C68EA" w:rsidRPr="000C68EA">
        <w:rPr>
          <w:rStyle w:val="FootnoteReference"/>
          <w:rFonts w:cs="Arabic11 BT"/>
          <w:rtl/>
          <w:lang w:bidi="ar-SY"/>
        </w:rPr>
        <w:t>)</w:t>
      </w:r>
      <w:r w:rsidRPr="00495BAB">
        <w:rPr>
          <w:rFonts w:hint="cs"/>
          <w:rtl/>
          <w:lang w:bidi="ar-SY"/>
        </w:rPr>
        <w:t>. وأعتقد أن تصديق هاتين الشخصيتين الكبيرتين لنص الحديث الذي رويتُهُ كافٍ لردّ كلام كاتب الردّ المسكين عديم الاطلاع، في نحره، ولعله يخجل مما قاله.</w:t>
      </w:r>
    </w:p>
    <w:p w:rsidR="00CD31AA" w:rsidRPr="00495BAB" w:rsidRDefault="00CD31AA" w:rsidP="00495BAB">
      <w:pPr>
        <w:pStyle w:val="a0"/>
        <w:rPr>
          <w:rFonts w:hint="cs"/>
          <w:rtl/>
          <w:lang w:bidi="ar-SY"/>
        </w:rPr>
      </w:pPr>
      <w:r w:rsidRPr="00495BAB">
        <w:rPr>
          <w:rFonts w:hint="cs"/>
          <w:rtl/>
          <w:lang w:bidi="ar-SY"/>
        </w:rPr>
        <w:t xml:space="preserve">في الختام لما ردَّ كاتب الردِّ الأحاديثَ العشرةَ التي أوردناها حول أن اليتامى والمساكين وابن السبيل في آية الغنيمة هم من عامة المسلمين، حسب ذوقه وهواه كردِّه لـ (حديث </w:t>
      </w:r>
      <w:r w:rsidRPr="00495BAB">
        <w:rPr>
          <w:rFonts w:hint="cs"/>
          <w:b/>
          <w:bCs/>
          <w:rtl/>
          <w:lang w:bidi="ar-SY"/>
        </w:rPr>
        <w:t>تحف العقول</w:t>
      </w:r>
      <w:r w:rsidRPr="00495BAB">
        <w:rPr>
          <w:rFonts w:hint="cs"/>
          <w:rtl/>
          <w:lang w:bidi="ar-SY"/>
        </w:rPr>
        <w:t xml:space="preserve"> وحديث </w:t>
      </w:r>
      <w:r w:rsidRPr="00495BAB">
        <w:rPr>
          <w:rFonts w:hint="cs"/>
          <w:b/>
          <w:bCs/>
          <w:rtl/>
          <w:lang w:bidi="ar-SY"/>
        </w:rPr>
        <w:t>روضة الكافي</w:t>
      </w:r>
      <w:r w:rsidRPr="00495BAB">
        <w:rPr>
          <w:rFonts w:hint="cs"/>
          <w:rtl/>
          <w:lang w:bidi="ar-SY"/>
        </w:rPr>
        <w:t xml:space="preserve"> وحديث </w:t>
      </w:r>
      <w:r w:rsidRPr="00495BAB">
        <w:rPr>
          <w:rFonts w:hint="cs"/>
          <w:b/>
          <w:bCs/>
          <w:rtl/>
          <w:lang w:bidi="ar-SY"/>
        </w:rPr>
        <w:t>من لا يحضره الفقيه</w:t>
      </w:r>
      <w:r w:rsidRPr="00495BAB">
        <w:rPr>
          <w:rFonts w:hint="cs"/>
          <w:rtl/>
          <w:lang w:bidi="ar-SY"/>
        </w:rPr>
        <w:t xml:space="preserve"> وحديث </w:t>
      </w:r>
      <w:r w:rsidRPr="00495BAB">
        <w:rPr>
          <w:rFonts w:hint="cs"/>
          <w:b/>
          <w:bCs/>
          <w:rtl/>
          <w:lang w:bidi="ar-SY"/>
        </w:rPr>
        <w:t>تفسير العياشي</w:t>
      </w:r>
      <w:r w:rsidRPr="00495BAB">
        <w:rPr>
          <w:rFonts w:hint="cs"/>
          <w:rtl/>
          <w:lang w:bidi="ar-SY"/>
        </w:rPr>
        <w:t xml:space="preserve"> وحديث </w:t>
      </w:r>
      <w:r w:rsidRPr="00495BAB">
        <w:rPr>
          <w:rFonts w:hint="cs"/>
          <w:b/>
          <w:bCs/>
          <w:rtl/>
          <w:lang w:bidi="ar-SY"/>
        </w:rPr>
        <w:t>تهذيب الأحكام</w:t>
      </w:r>
      <w:r w:rsidRPr="00495BAB">
        <w:rPr>
          <w:rFonts w:hint="cs"/>
          <w:rtl/>
          <w:lang w:bidi="ar-SY"/>
        </w:rPr>
        <w:t xml:space="preserve"> للشيخ الطوسي وحديث </w:t>
      </w:r>
      <w:r w:rsidRPr="00495BAB">
        <w:rPr>
          <w:rFonts w:hint="cs"/>
          <w:b/>
          <w:bCs/>
          <w:rtl/>
          <w:lang w:bidi="ar-SY"/>
        </w:rPr>
        <w:t>عيون أخبار الرضا</w:t>
      </w:r>
      <w:r w:rsidRPr="00495BAB">
        <w:rPr>
          <w:rFonts w:hint="cs"/>
          <w:rtl/>
          <w:lang w:bidi="ar-SY"/>
        </w:rPr>
        <w:t xml:space="preserve">) فإننا نحيله إلى فقهاء الشيعة الكبار وإلى متن تلك الأحاديث لأنَّ كلَّ مَنْ له أدنى اطلاع على أحكام الإسلام وأحاديث أهل البيت يعلم أن المراد من تلك الأحاديث هو أن اليتامى والمساكين وابن السبيل في الآية هم من عامة المسلمين. إضافة إلى أن الآية القرآنية الكريمة وسيرة النبي </w:t>
      </w:r>
      <w:r w:rsidRPr="00495BAB">
        <w:rPr>
          <w:rFonts w:ascii="Abo-thar" w:hAnsi="Abo-thar"/>
          <w:sz w:val="28"/>
          <w:lang w:bidi="fa-IR"/>
        </w:rPr>
        <w:t></w:t>
      </w:r>
      <w:r w:rsidRPr="00495BAB">
        <w:rPr>
          <w:rFonts w:hint="cs"/>
          <w:rtl/>
          <w:lang w:bidi="ar-SY"/>
        </w:rPr>
        <w:t xml:space="preserve"> أفضل بيان لذلك.</w:t>
      </w:r>
    </w:p>
    <w:p w:rsidR="00CD31AA" w:rsidRPr="00495BAB" w:rsidRDefault="00CD31AA" w:rsidP="00495BAB">
      <w:pPr>
        <w:pStyle w:val="a0"/>
        <w:rPr>
          <w:rFonts w:hint="cs"/>
          <w:rtl/>
          <w:lang w:bidi="ar-SY"/>
        </w:rPr>
      </w:pPr>
      <w:r w:rsidRPr="00495BAB">
        <w:rPr>
          <w:rFonts w:hint="cs"/>
          <w:rtl/>
          <w:lang w:bidi="ar-SY"/>
        </w:rPr>
        <w:t xml:space="preserve">هناك حديثان فقط من الممكن أن يُبْقِيَا شبهةً لدى القراء، أحدهما الحديث الذي نقلناه عن كتاب </w:t>
      </w:r>
      <w:r w:rsidRPr="00495BAB">
        <w:rPr>
          <w:rFonts w:hint="cs"/>
          <w:b/>
          <w:bCs/>
          <w:rtl/>
          <w:lang w:bidi="ar-SY"/>
        </w:rPr>
        <w:t>مُسْنَد زيد بن علي بن حسين</w:t>
      </w:r>
      <w:r w:rsidRPr="00495BAB">
        <w:rPr>
          <w:rFonts w:hint="cs"/>
          <w:rtl/>
          <w:lang w:bidi="ar-SY"/>
        </w:rPr>
        <w:t xml:space="preserve"> إذ قال مؤلف الردّ أن هذا الكتاب لم يكن في أي وقتٍ مُعْتَمَدًا لدى أيِّ فقيه من فقهاء الشيعة، كما ليس مُعْتَمَداً لديهم الآن، لأن هذا الكتاب مَبْنيٌّ على نظرية الزيدية. والحديث الآخر هو الذي نقلناه من كتاب </w:t>
      </w:r>
      <w:r w:rsidRPr="00495BAB">
        <w:rPr>
          <w:rFonts w:hint="cs"/>
          <w:b/>
          <w:bCs/>
          <w:rtl/>
          <w:lang w:bidi="ar-SY"/>
        </w:rPr>
        <w:t>تفسير ابن عباس</w:t>
      </w:r>
      <w:r w:rsidRPr="00495BAB">
        <w:rPr>
          <w:rFonts w:hint="cs"/>
          <w:rtl/>
          <w:lang w:bidi="ar-SY"/>
        </w:rPr>
        <w:t>، وكان تصوُّرُنا أنه لما كان الخصم يعتبر حديث ابن عباس في كثير من الأمور ميزاناً وملاكاً للحق والباطل فإن ذكر هذا الحديث سيكون كافيًا لإسكاته.</w:t>
      </w:r>
    </w:p>
    <w:p w:rsidR="00CD31AA" w:rsidRPr="00495BAB" w:rsidRDefault="00CD31AA" w:rsidP="00495BAB">
      <w:pPr>
        <w:pStyle w:val="a0"/>
        <w:rPr>
          <w:rFonts w:hint="cs"/>
          <w:rtl/>
          <w:lang w:bidi="ar-SY"/>
        </w:rPr>
      </w:pPr>
      <w:r w:rsidRPr="00495BAB">
        <w:rPr>
          <w:rFonts w:hint="cs"/>
          <w:rtl/>
          <w:lang w:bidi="ar-SY"/>
        </w:rPr>
        <w:t xml:space="preserve">وإذا كان الأمر كذلك، فانتقاد هذين الحديثين من الأحاديث العشرة التي أوردناها هو في نظر هذا السيد تقليل لحديقة أحاديثنا. ولهذا ولكي نعوِّض هذا النقص نأتي هنا بحديثين آخرين من كتب الشيعة، لتبقى أحاديثنا العشرة على قوتها التي كانت عليها. فإن استطاع الطعن في هذين الحدثين وإيجاد شبهة فيهما فلدينا أحاديث أخرى أيضاً نستطيع الإتيان بها، ونقول قبل هذا كله: لو كان لدينا </w:t>
      </w:r>
      <w:r w:rsidR="00755AAC">
        <w:rPr>
          <w:rFonts w:hint="cs"/>
          <w:rtl/>
          <w:lang w:bidi="ar-SY"/>
        </w:rPr>
        <w:t>مائة</w:t>
      </w:r>
      <w:r w:rsidRPr="00495BAB">
        <w:rPr>
          <w:rFonts w:hint="cs"/>
          <w:rtl/>
          <w:lang w:bidi="ar-SY"/>
        </w:rPr>
        <w:t xml:space="preserve"> ألف حديث أيضاً في موضوعٍ ما، ولم نجد ما يؤيِّدها من كلام الله في القرآن الكريم، ولم نجد تطبيقًا لها مِنْ قِبَلِ النبيِّ </w:t>
      </w:r>
      <w:r w:rsidRPr="00495BAB">
        <w:rPr>
          <w:rFonts w:ascii="Abo-thar" w:hAnsi="Abo-thar"/>
          <w:sz w:val="28"/>
          <w:lang w:bidi="fa-IR"/>
        </w:rPr>
        <w:t></w:t>
      </w:r>
      <w:r w:rsidRPr="00495BAB">
        <w:rPr>
          <w:rFonts w:hint="cs"/>
          <w:rtl/>
          <w:lang w:bidi="ar-SY"/>
        </w:rPr>
        <w:t xml:space="preserve"> في سيرته وسنته، فلا تسوى هذه الأحاديث في نظرنا قيمة قشة! وإليكم هذين الحديثين اللذين يتفقان مع القرآن: الحديث الأول الذي نأتي به بدلاً من حديث زيد بن علي بن الحسين هو حديث زيد بن علي بن أبي طالب الذي جاء في </w:t>
      </w:r>
      <w:r w:rsidRPr="00495BAB">
        <w:rPr>
          <w:rFonts w:hint="cs"/>
          <w:b/>
          <w:bCs/>
          <w:rtl/>
          <w:lang w:bidi="ar-SY"/>
        </w:rPr>
        <w:t>تفسير فرات بن إبراهيم الكوفي</w:t>
      </w:r>
      <w:r w:rsidRPr="00495BAB">
        <w:rPr>
          <w:rFonts w:hint="cs"/>
          <w:rtl/>
          <w:lang w:bidi="ar-SY"/>
        </w:rPr>
        <w:t xml:space="preserve">، طبقاً لما نقله العلامة المجلسي في </w:t>
      </w:r>
      <w:r w:rsidRPr="00495BAB">
        <w:rPr>
          <w:rFonts w:hint="cs"/>
          <w:b/>
          <w:bCs/>
          <w:rtl/>
          <w:lang w:bidi="ar-SY"/>
        </w:rPr>
        <w:t>بحار الأنوار</w:t>
      </w:r>
      <w:r w:rsidRPr="00495BAB">
        <w:rPr>
          <w:rFonts w:hint="cs"/>
          <w:rtl/>
          <w:lang w:bidi="ar-SY"/>
        </w:rPr>
        <w:t xml:space="preserve"> (ج 20، ص 52) </w:t>
      </w:r>
      <w:r w:rsidRPr="005027FA">
        <w:rPr>
          <w:rFonts w:cs="KFGQPC Uthman Taha Naskh" w:hint="cs"/>
          <w:rtl/>
          <w:lang w:bidi="ar-SY"/>
        </w:rPr>
        <w:t>«</w:t>
      </w:r>
      <w:r w:rsidRPr="005027FA">
        <w:rPr>
          <w:rFonts w:cs="KFGQPC Uthman Taha Naskh"/>
          <w:rtl/>
          <w:lang w:bidi="ar-SY"/>
        </w:rPr>
        <w:t xml:space="preserve">عَنْ أَبَانِ بْنِ تَغْلِبَ قَالَ: سَأَلْتُ عَنْ جَعْفَرِ بْنِ مُحَمَّدٍ عَنْ قَوْلِ </w:t>
      </w:r>
      <w:r w:rsidRPr="005027FA">
        <w:rPr>
          <w:rFonts w:cs="KFGQPC Uthman Taha Naskh" w:hint="cs"/>
          <w:rtl/>
          <w:lang w:bidi="ar-SY"/>
        </w:rPr>
        <w:t>اللهِ</w:t>
      </w:r>
      <w:r w:rsidRPr="005027FA">
        <w:rPr>
          <w:rFonts w:cs="KFGQPC Uthman Taha Naskh"/>
          <w:rtl/>
          <w:lang w:bidi="ar-SY"/>
        </w:rPr>
        <w:t xml:space="preserve"> تَعَالَى</w:t>
      </w:r>
      <w:r w:rsidRPr="005027FA">
        <w:rPr>
          <w:rFonts w:cs="KFGQPC Uthman Taha Naskh" w:hint="cs"/>
          <w:rtl/>
          <w:lang w:bidi="ar-SY"/>
        </w:rPr>
        <w:t>:</w:t>
      </w:r>
      <w:r w:rsidR="000775C2" w:rsidRPr="00495BAB">
        <w:rPr>
          <w:rFonts w:hint="cs"/>
          <w:rtl/>
          <w:lang w:bidi="ar-SY"/>
        </w:rPr>
        <w:t xml:space="preserve"> </w:t>
      </w:r>
      <w:r w:rsidR="000775C2" w:rsidRPr="00995B26">
        <w:rPr>
          <w:rFonts w:cs="Traditional Arabic" w:hint="cs"/>
          <w:szCs w:val="30"/>
          <w:rtl/>
          <w:lang w:bidi="ar-SY"/>
        </w:rPr>
        <w:t>﴿</w:t>
      </w:r>
      <w:r w:rsidR="000775C2" w:rsidRPr="0067048A">
        <w:rPr>
          <w:rFonts w:ascii="KFGQPC Uthmanic Script HAFS" w:cs="KFGQPC Uthmanic Script HAFS" w:hint="eastAsia"/>
          <w:sz w:val="28"/>
          <w:szCs w:val="28"/>
          <w:rtl/>
        </w:rPr>
        <w:t>يَس</w:t>
      </w:r>
      <w:r w:rsidR="000775C2" w:rsidRPr="0067048A">
        <w:rPr>
          <w:rFonts w:ascii="KFGQPC Uthmanic Script HAFS" w:cs="KFGQPC Uthmanic Script HAFS" w:hint="cs"/>
          <w:sz w:val="28"/>
          <w:szCs w:val="28"/>
          <w:rtl/>
        </w:rPr>
        <w:t>ۡ</w:t>
      </w:r>
      <w:r w:rsidR="000775C2" w:rsidRPr="0067048A">
        <w:rPr>
          <w:rFonts w:ascii="KFGQPC Uthmanic Script HAFS" w:cs="KFGQPC Uthmanic Script HAFS" w:hint="eastAsia"/>
          <w:sz w:val="28"/>
          <w:szCs w:val="28"/>
          <w:rtl/>
        </w:rPr>
        <w:t>‍</w:t>
      </w:r>
      <w:r w:rsidR="000775C2" w:rsidRPr="0067048A">
        <w:rPr>
          <w:rFonts w:ascii="KFGQPC Uthmanic Script HAFS" w:cs="KFGQPC Uthmanic Script HAFS" w:hint="cs"/>
          <w:sz w:val="28"/>
          <w:szCs w:val="28"/>
          <w:rtl/>
        </w:rPr>
        <w:t>ٔ</w:t>
      </w:r>
      <w:r w:rsidR="000775C2" w:rsidRPr="0067048A">
        <w:rPr>
          <w:rFonts w:ascii="KFGQPC Uthmanic Script HAFS" w:cs="KFGQPC Uthmanic Script HAFS" w:hint="eastAsia"/>
          <w:sz w:val="28"/>
          <w:szCs w:val="28"/>
          <w:rtl/>
        </w:rPr>
        <w:t>َلُونَكَ</w:t>
      </w:r>
      <w:r w:rsidR="000775C2" w:rsidRPr="0067048A">
        <w:rPr>
          <w:rFonts w:ascii="KFGQPC Uthmanic Script HAFS" w:cs="KFGQPC Uthmanic Script HAFS"/>
          <w:sz w:val="28"/>
          <w:szCs w:val="28"/>
          <w:rtl/>
        </w:rPr>
        <w:t xml:space="preserve"> </w:t>
      </w:r>
      <w:r w:rsidR="000775C2" w:rsidRPr="0067048A">
        <w:rPr>
          <w:rFonts w:ascii="KFGQPC Uthmanic Script HAFS" w:cs="KFGQPC Uthmanic Script HAFS" w:hint="eastAsia"/>
          <w:sz w:val="28"/>
          <w:szCs w:val="28"/>
          <w:rtl/>
        </w:rPr>
        <w:t>عَنِ</w:t>
      </w:r>
      <w:r w:rsidR="000775C2" w:rsidRPr="0067048A">
        <w:rPr>
          <w:rFonts w:ascii="KFGQPC Uthmanic Script HAFS" w:cs="KFGQPC Uthmanic Script HAFS"/>
          <w:sz w:val="28"/>
          <w:szCs w:val="28"/>
          <w:rtl/>
        </w:rPr>
        <w:t xml:space="preserve"> </w:t>
      </w:r>
      <w:r w:rsidR="000775C2" w:rsidRPr="0067048A">
        <w:rPr>
          <w:rFonts w:ascii="KFGQPC Uthmanic Script HAFS" w:cs="KFGQPC Uthmanic Script HAFS" w:hint="cs"/>
          <w:sz w:val="28"/>
          <w:szCs w:val="28"/>
          <w:rtl/>
        </w:rPr>
        <w:t>ٱ</w:t>
      </w:r>
      <w:r w:rsidR="000775C2" w:rsidRPr="0067048A">
        <w:rPr>
          <w:rFonts w:ascii="KFGQPC Uthmanic Script HAFS" w:cs="KFGQPC Uthmanic Script HAFS" w:hint="eastAsia"/>
          <w:sz w:val="28"/>
          <w:szCs w:val="28"/>
          <w:rtl/>
        </w:rPr>
        <w:t>ل</w:t>
      </w:r>
      <w:r w:rsidR="000775C2" w:rsidRPr="0067048A">
        <w:rPr>
          <w:rFonts w:ascii="KFGQPC Uthmanic Script HAFS" w:cs="KFGQPC Uthmanic Script HAFS" w:hint="cs"/>
          <w:sz w:val="28"/>
          <w:szCs w:val="28"/>
          <w:rtl/>
        </w:rPr>
        <w:t>ۡ</w:t>
      </w:r>
      <w:r w:rsidR="000775C2" w:rsidRPr="0067048A">
        <w:rPr>
          <w:rFonts w:ascii="KFGQPC Uthmanic Script HAFS" w:cs="KFGQPC Uthmanic Script HAFS" w:hint="eastAsia"/>
          <w:sz w:val="28"/>
          <w:szCs w:val="28"/>
          <w:rtl/>
        </w:rPr>
        <w:t>أَنفَالِ</w:t>
      </w:r>
      <w:r w:rsidR="000775C2" w:rsidRPr="00995B26">
        <w:rPr>
          <w:rFonts w:ascii="KFGQPC Uthmanic Script HAFS" w:cs="Times New Roman" w:hint="cs"/>
          <w:sz w:val="28"/>
          <w:rtl/>
        </w:rPr>
        <w:t>...</w:t>
      </w:r>
      <w:r w:rsidR="000775C2" w:rsidRPr="00995B26">
        <w:rPr>
          <w:rFonts w:cs="Traditional Arabic" w:hint="cs"/>
          <w:szCs w:val="30"/>
          <w:rtl/>
          <w:lang w:bidi="ar-SY"/>
        </w:rPr>
        <w:t>﴾</w:t>
      </w:r>
      <w:r w:rsidRPr="005027FA">
        <w:rPr>
          <w:rFonts w:cs="KFGQPC Uthman Taha Naskh" w:hint="cs"/>
          <w:rtl/>
          <w:lang w:bidi="ar-SY"/>
        </w:rPr>
        <w:t>؟</w:t>
      </w:r>
      <w:r w:rsidRPr="005027FA">
        <w:rPr>
          <w:rFonts w:cs="KFGQPC Uthman Taha Naskh"/>
          <w:rtl/>
          <w:lang w:bidi="ar-SY"/>
        </w:rPr>
        <w:t xml:space="preserve"> قُلْتُ</w:t>
      </w:r>
      <w:r w:rsidRPr="005027FA">
        <w:rPr>
          <w:rFonts w:cs="KFGQPC Uthman Taha Naskh" w:hint="cs"/>
          <w:rtl/>
          <w:lang w:bidi="ar-SY"/>
        </w:rPr>
        <w:t>:</w:t>
      </w:r>
      <w:r w:rsidRPr="005027FA">
        <w:rPr>
          <w:rFonts w:cs="KFGQPC Uthman Taha Naskh"/>
          <w:rtl/>
          <w:lang w:bidi="ar-SY"/>
        </w:rPr>
        <w:t xml:space="preserve"> فَإِنَّ أَبَا الْجَارُودِ رَوَى عَنْ زَيْدِ بْنِ عَلِيِّ بْنِ أَبِي طَالِبٍ </w:t>
      </w:r>
      <w:r w:rsidRPr="005027FA">
        <w:rPr>
          <w:rFonts w:cs="KFGQPC Uthman Taha Naskh" w:hint="cs"/>
          <w:rtl/>
          <w:lang w:bidi="ar-SY"/>
        </w:rPr>
        <w:t>-</w:t>
      </w:r>
      <w:r w:rsidR="00963EFD" w:rsidRPr="00963EFD">
        <w:rPr>
          <w:rFonts w:cs="CTraditional Arabic"/>
          <w:rtl/>
          <w:lang w:bidi="ar-SY"/>
        </w:rPr>
        <w:t>‡</w:t>
      </w:r>
      <w:r w:rsidRPr="005027FA">
        <w:rPr>
          <w:rFonts w:cs="KFGQPC Uthman Taha Naskh" w:hint="cs"/>
          <w:rtl/>
          <w:lang w:bidi="ar-SY"/>
        </w:rPr>
        <w:t>-</w:t>
      </w:r>
      <w:r w:rsidRPr="005027FA">
        <w:rPr>
          <w:rFonts w:cs="KFGQPC Uthman Taha Naskh"/>
          <w:rtl/>
          <w:lang w:bidi="ar-SY"/>
        </w:rPr>
        <w:t xml:space="preserve"> أَنَّهُ قَالَ</w:t>
      </w:r>
      <w:r w:rsidRPr="005027FA">
        <w:rPr>
          <w:rFonts w:cs="KFGQPC Uthman Taha Naskh" w:hint="cs"/>
          <w:rtl/>
          <w:lang w:bidi="ar-SY"/>
        </w:rPr>
        <w:t>:</w:t>
      </w:r>
      <w:r w:rsidRPr="005027FA">
        <w:rPr>
          <w:rFonts w:cs="KFGQPC Uthman Taha Naskh"/>
          <w:rtl/>
          <w:lang w:bidi="ar-SY"/>
        </w:rPr>
        <w:t xml:space="preserve"> الْخُمُسُ لَنَا مَا احْتَجْنَا إِلَيْهِ</w:t>
      </w:r>
      <w:r w:rsidRPr="005027FA">
        <w:rPr>
          <w:rFonts w:cs="KFGQPC Uthman Taha Naskh" w:hint="cs"/>
          <w:rtl/>
          <w:lang w:bidi="ar-SY"/>
        </w:rPr>
        <w:t>،</w:t>
      </w:r>
      <w:r w:rsidRPr="005027FA">
        <w:rPr>
          <w:rFonts w:cs="KFGQPC Uthman Taha Naskh"/>
          <w:rtl/>
          <w:lang w:bidi="ar-SY"/>
        </w:rPr>
        <w:t xml:space="preserve"> فَإِذَا اسْتَغْنَيْنَا عَنْهُ فَلَيْسَ لَنَا أَنْ نَبْنِيَ الدُّورَ وَالْقُصُورَ</w:t>
      </w:r>
      <w:r w:rsidRPr="005027FA">
        <w:rPr>
          <w:rFonts w:cs="KFGQPC Uthman Taha Naskh" w:hint="cs"/>
          <w:rtl/>
          <w:lang w:bidi="ar-SY"/>
        </w:rPr>
        <w:t>؟!</w:t>
      </w:r>
      <w:r w:rsidRPr="005027FA">
        <w:rPr>
          <w:rFonts w:cs="KFGQPC Uthman Taha Naskh"/>
          <w:rtl/>
          <w:lang w:bidi="ar-SY"/>
        </w:rPr>
        <w:t xml:space="preserve"> قَالَ</w:t>
      </w:r>
      <w:r w:rsidRPr="005027FA">
        <w:rPr>
          <w:rFonts w:cs="KFGQPC Uthman Taha Naskh" w:hint="cs"/>
          <w:rtl/>
          <w:lang w:bidi="ar-SY"/>
        </w:rPr>
        <w:t>:</w:t>
      </w:r>
      <w:r w:rsidRPr="005027FA">
        <w:rPr>
          <w:rFonts w:cs="KFGQPC Uthman Taha Naskh"/>
          <w:rtl/>
          <w:lang w:bidi="ar-SY"/>
        </w:rPr>
        <w:t xml:space="preserve"> فَهُوَ كَمَا قَالَ زَيْد</w:t>
      </w:r>
      <w:r w:rsidRPr="005027FA">
        <w:rPr>
          <w:rFonts w:cs="KFGQPC Uthman Taha Naskh" w:hint="cs"/>
          <w:rtl/>
          <w:lang w:bidi="ar-SY"/>
        </w:rPr>
        <w:t>»</w:t>
      </w:r>
      <w:r w:rsidR="005027FA" w:rsidRPr="005027FA">
        <w:rPr>
          <w:rFonts w:cs="Arabic11 BT" w:hint="cs"/>
          <w:vertAlign w:val="superscript"/>
          <w:rtl/>
          <w:lang w:bidi="ar-SY"/>
        </w:rPr>
        <w:t>(</w:t>
      </w:r>
      <w:r w:rsidRPr="005027FA">
        <w:rPr>
          <w:rStyle w:val="FootnoteReference"/>
          <w:rFonts w:cs="Arabic11 BT"/>
          <w:rtl/>
          <w:lang w:bidi="ar-SY"/>
        </w:rPr>
        <w:footnoteReference w:id="504"/>
      </w:r>
      <w:r w:rsidR="005027FA" w:rsidRPr="005027FA">
        <w:rPr>
          <w:rFonts w:cs="Arabic11 BT" w:hint="cs"/>
          <w:vertAlign w:val="superscript"/>
          <w:rtl/>
          <w:lang w:bidi="ar-SY"/>
        </w:rPr>
        <w:t>)</w:t>
      </w:r>
      <w:r w:rsidR="00860926" w:rsidRPr="00495BAB">
        <w:rPr>
          <w:rFonts w:hint="cs"/>
          <w:rtl/>
          <w:lang w:bidi="ar-SY"/>
        </w:rPr>
        <w:t>.</w:t>
      </w:r>
    </w:p>
    <w:p w:rsidR="00CD31AA" w:rsidRPr="00495BAB" w:rsidRDefault="00CD31AA" w:rsidP="00495BAB">
      <w:pPr>
        <w:pStyle w:val="a0"/>
        <w:rPr>
          <w:rFonts w:hint="cs"/>
          <w:rtl/>
          <w:lang w:bidi="ar-SY"/>
        </w:rPr>
      </w:pPr>
      <w:r w:rsidRPr="00495BAB">
        <w:rPr>
          <w:rFonts w:hint="cs"/>
          <w:rtl/>
          <w:lang w:bidi="ar-SY"/>
        </w:rPr>
        <w:t xml:space="preserve">والحديث الثاني هو الذي أورده الميرزا حسين النوري في كتابه </w:t>
      </w:r>
      <w:r w:rsidRPr="00495BAB">
        <w:rPr>
          <w:rFonts w:hint="cs"/>
          <w:b/>
          <w:bCs/>
          <w:rtl/>
          <w:lang w:bidi="ar-SY"/>
        </w:rPr>
        <w:t>مُسْتَدْرَك الوسائل</w:t>
      </w:r>
      <w:r w:rsidRPr="00495BAB">
        <w:rPr>
          <w:rFonts w:hint="cs"/>
          <w:rtl/>
          <w:lang w:bidi="ar-SY"/>
        </w:rPr>
        <w:t xml:space="preserve"> (ج 1، ص 533) ويذكر أن </w:t>
      </w:r>
      <w:r w:rsidRPr="00495BAB">
        <w:rPr>
          <w:rtl/>
          <w:lang w:bidi="ar-SY"/>
        </w:rPr>
        <w:t>الْمُفَضَّل</w:t>
      </w:r>
      <w:r w:rsidRPr="00495BAB">
        <w:rPr>
          <w:rFonts w:hint="cs"/>
          <w:rtl/>
          <w:lang w:bidi="ar-SY"/>
        </w:rPr>
        <w:t>َ</w:t>
      </w:r>
      <w:r w:rsidRPr="00495BAB">
        <w:rPr>
          <w:rtl/>
          <w:lang w:bidi="ar-SY"/>
        </w:rPr>
        <w:t xml:space="preserve"> بْن</w:t>
      </w:r>
      <w:r w:rsidRPr="00495BAB">
        <w:rPr>
          <w:rFonts w:hint="cs"/>
          <w:rtl/>
          <w:lang w:bidi="ar-SY"/>
        </w:rPr>
        <w:t>َ</w:t>
      </w:r>
      <w:r w:rsidRPr="00495BAB">
        <w:rPr>
          <w:rtl/>
          <w:lang w:bidi="ar-SY"/>
        </w:rPr>
        <w:t xml:space="preserve"> عُمَرَ </w:t>
      </w:r>
      <w:r w:rsidRPr="00495BAB">
        <w:rPr>
          <w:rFonts w:hint="cs"/>
          <w:rtl/>
          <w:lang w:bidi="ar-SY"/>
        </w:rPr>
        <w:t xml:space="preserve">قال إن الإمام الصادق </w:t>
      </w:r>
      <w:r w:rsidR="00451CED" w:rsidRPr="00451CED">
        <w:rPr>
          <w:rFonts w:ascii="Abo-thar" w:hAnsi="Abo-thar" w:cs="CTraditional Arabic"/>
          <w:sz w:val="28"/>
          <w:rtl/>
          <w:lang w:bidi="ar-SY"/>
        </w:rPr>
        <w:t>÷</w:t>
      </w:r>
      <w:r w:rsidRPr="00495BAB">
        <w:rPr>
          <w:rFonts w:hint="cs"/>
          <w:rtl/>
          <w:lang w:bidi="ar-SY"/>
        </w:rPr>
        <w:t xml:space="preserve"> حكى له قصَّة فدك، إلى أن وصل [أي الإمام الصادق] إلى قوله: </w:t>
      </w:r>
      <w:r w:rsidRPr="005027FA">
        <w:rPr>
          <w:rFonts w:cs="KFGQPC Uthman Taha Naskh" w:hint="cs"/>
          <w:rtl/>
          <w:lang w:bidi="ar-SY"/>
        </w:rPr>
        <w:t xml:space="preserve">«..... </w:t>
      </w:r>
      <w:r w:rsidRPr="005027FA">
        <w:rPr>
          <w:rFonts w:cs="KFGQPC Uthman Taha Naskh"/>
          <w:rtl/>
          <w:lang w:bidi="ar-SY"/>
        </w:rPr>
        <w:t>فَمَا كَانَ‏ لِـلَّهِ‏ فَهُوَ لِرَسُولِهِ‏ وَمَا كَانَ لِرَسُولِهِ فَهُوَ لِذِي الْقُرْبَى وَنَحْنُ ذُو الْقُرْبَى</w:t>
      </w:r>
      <w:r w:rsidRPr="005027FA">
        <w:rPr>
          <w:rFonts w:cs="KFGQPC Uthman Taha Naskh" w:hint="cs"/>
          <w:rtl/>
          <w:lang w:bidi="ar-SY"/>
        </w:rPr>
        <w:t>.</w:t>
      </w:r>
      <w:r w:rsidRPr="005027FA">
        <w:rPr>
          <w:rFonts w:cs="KFGQPC Uthman Taha Naskh"/>
          <w:rtl/>
          <w:lang w:bidi="ar-SY"/>
        </w:rPr>
        <w:t xml:space="preserve"> قَالَ اللهُ تَعَالَى‏</w:t>
      </w:r>
      <w:r w:rsidRPr="005027FA">
        <w:rPr>
          <w:rFonts w:cs="KFGQPC Uthman Taha Naskh" w:hint="cs"/>
          <w:rtl/>
          <w:lang w:bidi="ar-SY"/>
        </w:rPr>
        <w:t>:</w:t>
      </w:r>
      <w:r w:rsidR="000775C2" w:rsidRPr="00495BAB">
        <w:rPr>
          <w:rFonts w:hint="cs"/>
          <w:rtl/>
          <w:lang w:bidi="ar-SY"/>
        </w:rPr>
        <w:t xml:space="preserve"> </w:t>
      </w:r>
      <w:r w:rsidR="000775C2" w:rsidRPr="00995B26">
        <w:rPr>
          <w:rFonts w:cs="Traditional Arabic" w:hint="cs"/>
          <w:szCs w:val="30"/>
          <w:rtl/>
          <w:lang w:bidi="ar-SY"/>
        </w:rPr>
        <w:t>﴿</w:t>
      </w:r>
      <w:r w:rsidR="000775C2" w:rsidRPr="0067048A">
        <w:rPr>
          <w:rFonts w:ascii="KFGQPC Uthmanic Script HAFS" w:cs="KFGQPC Uthmanic Script HAFS" w:hint="eastAsia"/>
          <w:sz w:val="28"/>
          <w:szCs w:val="28"/>
          <w:rtl/>
        </w:rPr>
        <w:t>قُل</w:t>
      </w:r>
      <w:r w:rsidR="000775C2" w:rsidRPr="0067048A">
        <w:rPr>
          <w:rFonts w:ascii="KFGQPC Uthmanic Script HAFS" w:cs="KFGQPC Uthmanic Script HAFS"/>
          <w:sz w:val="28"/>
          <w:szCs w:val="28"/>
          <w:rtl/>
        </w:rPr>
        <w:t xml:space="preserve"> </w:t>
      </w:r>
      <w:r w:rsidR="000775C2" w:rsidRPr="0067048A">
        <w:rPr>
          <w:rFonts w:ascii="KFGQPC Uthmanic Script HAFS" w:cs="KFGQPC Uthmanic Script HAFS" w:hint="eastAsia"/>
          <w:sz w:val="28"/>
          <w:szCs w:val="28"/>
          <w:rtl/>
        </w:rPr>
        <w:t>لَّا</w:t>
      </w:r>
      <w:r w:rsidR="000775C2" w:rsidRPr="0067048A">
        <w:rPr>
          <w:rFonts w:ascii="KFGQPC Uthmanic Script HAFS" w:cs="KFGQPC Uthmanic Script HAFS" w:hint="cs"/>
          <w:sz w:val="28"/>
          <w:szCs w:val="28"/>
          <w:rtl/>
        </w:rPr>
        <w:t>ٓ</w:t>
      </w:r>
      <w:r w:rsidR="000775C2" w:rsidRPr="0067048A">
        <w:rPr>
          <w:rFonts w:ascii="KFGQPC Uthmanic Script HAFS" w:cs="KFGQPC Uthmanic Script HAFS"/>
          <w:sz w:val="28"/>
          <w:szCs w:val="28"/>
          <w:rtl/>
        </w:rPr>
        <w:t xml:space="preserve"> </w:t>
      </w:r>
      <w:r w:rsidR="000775C2" w:rsidRPr="0067048A">
        <w:rPr>
          <w:rFonts w:ascii="KFGQPC Uthmanic Script HAFS" w:cs="KFGQPC Uthmanic Script HAFS" w:hint="eastAsia"/>
          <w:sz w:val="28"/>
          <w:szCs w:val="28"/>
          <w:rtl/>
        </w:rPr>
        <w:t>أَس</w:t>
      </w:r>
      <w:r w:rsidR="000775C2" w:rsidRPr="0067048A">
        <w:rPr>
          <w:rFonts w:ascii="KFGQPC Uthmanic Script HAFS" w:cs="KFGQPC Uthmanic Script HAFS" w:hint="cs"/>
          <w:sz w:val="28"/>
          <w:szCs w:val="28"/>
          <w:rtl/>
        </w:rPr>
        <w:t>ۡ</w:t>
      </w:r>
      <w:r w:rsidR="000775C2" w:rsidRPr="0067048A">
        <w:rPr>
          <w:rFonts w:ascii="KFGQPC Uthmanic Script HAFS" w:cs="KFGQPC Uthmanic Script HAFS" w:hint="eastAsia"/>
          <w:sz w:val="28"/>
          <w:szCs w:val="28"/>
          <w:rtl/>
        </w:rPr>
        <w:t>‍</w:t>
      </w:r>
      <w:r w:rsidR="000775C2" w:rsidRPr="0067048A">
        <w:rPr>
          <w:rFonts w:ascii="KFGQPC Uthmanic Script HAFS" w:cs="KFGQPC Uthmanic Script HAFS" w:hint="cs"/>
          <w:sz w:val="28"/>
          <w:szCs w:val="28"/>
          <w:rtl/>
        </w:rPr>
        <w:t>ٔ</w:t>
      </w:r>
      <w:r w:rsidR="000775C2" w:rsidRPr="0067048A">
        <w:rPr>
          <w:rFonts w:ascii="KFGQPC Uthmanic Script HAFS" w:cs="KFGQPC Uthmanic Script HAFS" w:hint="eastAsia"/>
          <w:sz w:val="28"/>
          <w:szCs w:val="28"/>
          <w:rtl/>
        </w:rPr>
        <w:t>َلُكُم</w:t>
      </w:r>
      <w:r w:rsidR="000775C2" w:rsidRPr="0067048A">
        <w:rPr>
          <w:rFonts w:ascii="KFGQPC Uthmanic Script HAFS" w:cs="KFGQPC Uthmanic Script HAFS" w:hint="cs"/>
          <w:sz w:val="28"/>
          <w:szCs w:val="28"/>
          <w:rtl/>
        </w:rPr>
        <w:t>ۡ</w:t>
      </w:r>
      <w:r w:rsidR="000775C2" w:rsidRPr="0067048A">
        <w:rPr>
          <w:rFonts w:ascii="KFGQPC Uthmanic Script HAFS" w:cs="KFGQPC Uthmanic Script HAFS"/>
          <w:sz w:val="28"/>
          <w:szCs w:val="28"/>
          <w:rtl/>
        </w:rPr>
        <w:t xml:space="preserve"> </w:t>
      </w:r>
      <w:r w:rsidR="000775C2" w:rsidRPr="0067048A">
        <w:rPr>
          <w:rFonts w:ascii="KFGQPC Uthmanic Script HAFS" w:cs="KFGQPC Uthmanic Script HAFS" w:hint="eastAsia"/>
          <w:sz w:val="28"/>
          <w:szCs w:val="28"/>
          <w:rtl/>
        </w:rPr>
        <w:t>عَلَي</w:t>
      </w:r>
      <w:r w:rsidR="000775C2" w:rsidRPr="0067048A">
        <w:rPr>
          <w:rFonts w:ascii="KFGQPC Uthmanic Script HAFS" w:cs="KFGQPC Uthmanic Script HAFS" w:hint="cs"/>
          <w:sz w:val="28"/>
          <w:szCs w:val="28"/>
          <w:rtl/>
        </w:rPr>
        <w:t>ۡ</w:t>
      </w:r>
      <w:r w:rsidR="000775C2" w:rsidRPr="0067048A">
        <w:rPr>
          <w:rFonts w:ascii="KFGQPC Uthmanic Script HAFS" w:cs="KFGQPC Uthmanic Script HAFS" w:hint="eastAsia"/>
          <w:sz w:val="28"/>
          <w:szCs w:val="28"/>
          <w:rtl/>
        </w:rPr>
        <w:t>هِ</w:t>
      </w:r>
      <w:r w:rsidR="000775C2" w:rsidRPr="0067048A">
        <w:rPr>
          <w:rFonts w:ascii="KFGQPC Uthmanic Script HAFS" w:cs="KFGQPC Uthmanic Script HAFS"/>
          <w:sz w:val="28"/>
          <w:szCs w:val="28"/>
          <w:rtl/>
        </w:rPr>
        <w:t xml:space="preserve"> </w:t>
      </w:r>
      <w:r w:rsidR="000775C2" w:rsidRPr="0067048A">
        <w:rPr>
          <w:rFonts w:ascii="KFGQPC Uthmanic Script HAFS" w:cs="KFGQPC Uthmanic Script HAFS" w:hint="eastAsia"/>
          <w:sz w:val="28"/>
          <w:szCs w:val="28"/>
          <w:rtl/>
        </w:rPr>
        <w:t>أَج</w:t>
      </w:r>
      <w:r w:rsidR="000775C2" w:rsidRPr="0067048A">
        <w:rPr>
          <w:rFonts w:ascii="KFGQPC Uthmanic Script HAFS" w:cs="KFGQPC Uthmanic Script HAFS" w:hint="cs"/>
          <w:sz w:val="28"/>
          <w:szCs w:val="28"/>
          <w:rtl/>
        </w:rPr>
        <w:t>ۡ</w:t>
      </w:r>
      <w:r w:rsidR="000775C2" w:rsidRPr="0067048A">
        <w:rPr>
          <w:rFonts w:ascii="KFGQPC Uthmanic Script HAFS" w:cs="KFGQPC Uthmanic Script HAFS" w:hint="eastAsia"/>
          <w:sz w:val="28"/>
          <w:szCs w:val="28"/>
          <w:rtl/>
        </w:rPr>
        <w:t>رًا</w:t>
      </w:r>
      <w:r w:rsidR="000775C2" w:rsidRPr="0067048A">
        <w:rPr>
          <w:rFonts w:ascii="KFGQPC Uthmanic Script HAFS" w:cs="KFGQPC Uthmanic Script HAFS"/>
          <w:sz w:val="28"/>
          <w:szCs w:val="28"/>
          <w:rtl/>
        </w:rPr>
        <w:t xml:space="preserve"> </w:t>
      </w:r>
      <w:r w:rsidR="000775C2" w:rsidRPr="0067048A">
        <w:rPr>
          <w:rFonts w:ascii="KFGQPC Uthmanic Script HAFS" w:cs="KFGQPC Uthmanic Script HAFS" w:hint="eastAsia"/>
          <w:sz w:val="28"/>
          <w:szCs w:val="28"/>
          <w:rtl/>
        </w:rPr>
        <w:t>إِلَّا</w:t>
      </w:r>
      <w:r w:rsidR="000775C2" w:rsidRPr="0067048A">
        <w:rPr>
          <w:rFonts w:ascii="KFGQPC Uthmanic Script HAFS" w:cs="KFGQPC Uthmanic Script HAFS"/>
          <w:sz w:val="28"/>
          <w:szCs w:val="28"/>
          <w:rtl/>
        </w:rPr>
        <w:t xml:space="preserve"> </w:t>
      </w:r>
      <w:r w:rsidR="000775C2" w:rsidRPr="0067048A">
        <w:rPr>
          <w:rFonts w:ascii="KFGQPC Uthmanic Script HAFS" w:cs="KFGQPC Uthmanic Script HAFS" w:hint="cs"/>
          <w:sz w:val="28"/>
          <w:szCs w:val="28"/>
          <w:rtl/>
        </w:rPr>
        <w:t>ٱ</w:t>
      </w:r>
      <w:r w:rsidR="000775C2" w:rsidRPr="0067048A">
        <w:rPr>
          <w:rFonts w:ascii="KFGQPC Uthmanic Script HAFS" w:cs="KFGQPC Uthmanic Script HAFS" w:hint="eastAsia"/>
          <w:sz w:val="28"/>
          <w:szCs w:val="28"/>
          <w:rtl/>
        </w:rPr>
        <w:t>ل</w:t>
      </w:r>
      <w:r w:rsidR="000775C2" w:rsidRPr="0067048A">
        <w:rPr>
          <w:rFonts w:ascii="KFGQPC Uthmanic Script HAFS" w:cs="KFGQPC Uthmanic Script HAFS" w:hint="cs"/>
          <w:sz w:val="28"/>
          <w:szCs w:val="28"/>
          <w:rtl/>
        </w:rPr>
        <w:t>ۡ</w:t>
      </w:r>
      <w:r w:rsidR="000775C2" w:rsidRPr="0067048A">
        <w:rPr>
          <w:rFonts w:ascii="KFGQPC Uthmanic Script HAFS" w:cs="KFGQPC Uthmanic Script HAFS" w:hint="eastAsia"/>
          <w:sz w:val="28"/>
          <w:szCs w:val="28"/>
          <w:rtl/>
        </w:rPr>
        <w:t>مَوَدَّةَ</w:t>
      </w:r>
      <w:r w:rsidR="000775C2" w:rsidRPr="0067048A">
        <w:rPr>
          <w:rFonts w:ascii="KFGQPC Uthmanic Script HAFS" w:cs="KFGQPC Uthmanic Script HAFS"/>
          <w:sz w:val="28"/>
          <w:szCs w:val="28"/>
          <w:rtl/>
        </w:rPr>
        <w:t xml:space="preserve"> </w:t>
      </w:r>
      <w:r w:rsidR="000775C2" w:rsidRPr="0067048A">
        <w:rPr>
          <w:rFonts w:ascii="KFGQPC Uthmanic Script HAFS" w:cs="KFGQPC Uthmanic Script HAFS" w:hint="eastAsia"/>
          <w:sz w:val="28"/>
          <w:szCs w:val="28"/>
          <w:rtl/>
        </w:rPr>
        <w:t>فِي</w:t>
      </w:r>
      <w:r w:rsidR="000775C2" w:rsidRPr="0067048A">
        <w:rPr>
          <w:rFonts w:ascii="KFGQPC Uthmanic Script HAFS" w:cs="KFGQPC Uthmanic Script HAFS"/>
          <w:sz w:val="28"/>
          <w:szCs w:val="28"/>
          <w:rtl/>
        </w:rPr>
        <w:t xml:space="preserve"> </w:t>
      </w:r>
      <w:r w:rsidR="000775C2" w:rsidRPr="0067048A">
        <w:rPr>
          <w:rFonts w:ascii="KFGQPC Uthmanic Script HAFS" w:cs="KFGQPC Uthmanic Script HAFS" w:hint="cs"/>
          <w:sz w:val="28"/>
          <w:szCs w:val="28"/>
          <w:rtl/>
        </w:rPr>
        <w:t>ٱ</w:t>
      </w:r>
      <w:r w:rsidR="000775C2" w:rsidRPr="0067048A">
        <w:rPr>
          <w:rFonts w:ascii="KFGQPC Uthmanic Script HAFS" w:cs="KFGQPC Uthmanic Script HAFS" w:hint="eastAsia"/>
          <w:sz w:val="28"/>
          <w:szCs w:val="28"/>
          <w:rtl/>
        </w:rPr>
        <w:t>ل</w:t>
      </w:r>
      <w:r w:rsidR="000775C2" w:rsidRPr="0067048A">
        <w:rPr>
          <w:rFonts w:ascii="KFGQPC Uthmanic Script HAFS" w:cs="KFGQPC Uthmanic Script HAFS" w:hint="cs"/>
          <w:sz w:val="28"/>
          <w:szCs w:val="28"/>
          <w:rtl/>
        </w:rPr>
        <w:t>ۡ</w:t>
      </w:r>
      <w:r w:rsidR="000775C2" w:rsidRPr="0067048A">
        <w:rPr>
          <w:rFonts w:ascii="KFGQPC Uthmanic Script HAFS" w:cs="KFGQPC Uthmanic Script HAFS" w:hint="eastAsia"/>
          <w:sz w:val="28"/>
          <w:szCs w:val="28"/>
          <w:rtl/>
        </w:rPr>
        <w:t>قُر</w:t>
      </w:r>
      <w:r w:rsidR="000775C2" w:rsidRPr="0067048A">
        <w:rPr>
          <w:rFonts w:ascii="KFGQPC Uthmanic Script HAFS" w:cs="KFGQPC Uthmanic Script HAFS" w:hint="cs"/>
          <w:sz w:val="28"/>
          <w:szCs w:val="28"/>
          <w:rtl/>
        </w:rPr>
        <w:t>ۡ</w:t>
      </w:r>
      <w:r w:rsidR="000775C2" w:rsidRPr="0067048A">
        <w:rPr>
          <w:rFonts w:ascii="KFGQPC Uthmanic Script HAFS" w:cs="KFGQPC Uthmanic Script HAFS" w:hint="eastAsia"/>
          <w:sz w:val="28"/>
          <w:szCs w:val="28"/>
          <w:rtl/>
        </w:rPr>
        <w:t>بَى</w:t>
      </w:r>
      <w:r w:rsidR="000775C2" w:rsidRPr="0067048A">
        <w:rPr>
          <w:rFonts w:ascii="KFGQPC Uthmanic Script HAFS" w:cs="KFGQPC Uthmanic Script HAFS" w:hint="cs"/>
          <w:sz w:val="28"/>
          <w:szCs w:val="28"/>
          <w:rtl/>
        </w:rPr>
        <w:t>ٰ</w:t>
      </w:r>
      <w:r w:rsidR="000775C2" w:rsidRPr="00995B26">
        <w:rPr>
          <w:rFonts w:cs="Traditional Arabic" w:hint="cs"/>
          <w:szCs w:val="30"/>
          <w:rtl/>
          <w:lang w:bidi="ar-SY"/>
        </w:rPr>
        <w:t>﴾</w:t>
      </w:r>
      <w:r w:rsidRPr="00495BAB">
        <w:rPr>
          <w:rtl/>
          <w:lang w:bidi="ar-SY"/>
        </w:rPr>
        <w:t xml:space="preserve"> ف</w:t>
      </w:r>
      <w:r w:rsidRPr="005027FA">
        <w:rPr>
          <w:rFonts w:cs="KFGQPC Uthman Taha Naskh"/>
          <w:rtl/>
          <w:lang w:bidi="ar-SY"/>
        </w:rPr>
        <w:t>َنَظَرَ أَبُو بَكْرٍ إِلَى عُمَرَ فَقَالَ</w:t>
      </w:r>
      <w:r w:rsidRPr="005027FA">
        <w:rPr>
          <w:rFonts w:cs="KFGQPC Uthman Taha Naskh" w:hint="cs"/>
          <w:rtl/>
          <w:lang w:bidi="ar-SY"/>
        </w:rPr>
        <w:t>:</w:t>
      </w:r>
      <w:r w:rsidRPr="005027FA">
        <w:rPr>
          <w:rFonts w:cs="KFGQPC Uthman Taha Naskh"/>
          <w:rtl/>
          <w:lang w:bidi="ar-SY"/>
        </w:rPr>
        <w:t xml:space="preserve"> مَا تَقُولُ</w:t>
      </w:r>
      <w:r w:rsidRPr="005027FA">
        <w:rPr>
          <w:rFonts w:cs="KFGQPC Uthman Taha Naskh" w:hint="cs"/>
          <w:rtl/>
          <w:lang w:bidi="ar-SY"/>
        </w:rPr>
        <w:t>؟</w:t>
      </w:r>
      <w:r w:rsidRPr="005027FA">
        <w:rPr>
          <w:rFonts w:cs="KFGQPC Uthman Taha Naskh"/>
          <w:rtl/>
          <w:lang w:bidi="ar-SY"/>
        </w:rPr>
        <w:t xml:space="preserve"> فَقَالَ عُمَرُ</w:t>
      </w:r>
      <w:r w:rsidRPr="005027FA">
        <w:rPr>
          <w:rFonts w:cs="KFGQPC Uthman Taha Naskh" w:hint="cs"/>
          <w:rtl/>
          <w:lang w:bidi="ar-SY"/>
        </w:rPr>
        <w:t>:</w:t>
      </w:r>
      <w:r w:rsidRPr="005027FA">
        <w:rPr>
          <w:rFonts w:cs="KFGQPC Uthman Taha Naskh"/>
          <w:rtl/>
          <w:lang w:bidi="ar-SY"/>
        </w:rPr>
        <w:t xml:space="preserve"> مَنْ ذِي الْقُرْبَى‏ وَمَنِ الْيَتَامَى وَالْمَسَاكِينُ وَابْنُ السَّبِيلِ</w:t>
      </w:r>
      <w:r w:rsidRPr="005027FA">
        <w:rPr>
          <w:rFonts w:cs="KFGQPC Uthman Taha Naskh" w:hint="cs"/>
          <w:rtl/>
          <w:lang w:bidi="ar-SY"/>
        </w:rPr>
        <w:t>؟</w:t>
      </w:r>
      <w:r w:rsidRPr="005027FA">
        <w:rPr>
          <w:rFonts w:cs="KFGQPC Uthman Taha Naskh"/>
          <w:rtl/>
          <w:lang w:bidi="ar-SY"/>
        </w:rPr>
        <w:t xml:space="preserve"> فَقَالَتْ فَاطِمَةُ </w:t>
      </w:r>
      <w:r w:rsidRPr="005027FA">
        <w:rPr>
          <w:rFonts w:cs="KFGQPC Uthman Taha Naskh" w:hint="cs"/>
          <w:rtl/>
          <w:lang w:bidi="ar-SY"/>
        </w:rPr>
        <w:t>-</w:t>
      </w:r>
      <w:r w:rsidR="008B3243" w:rsidRPr="008B3243">
        <w:rPr>
          <w:rFonts w:cs="CTraditional Arabic"/>
          <w:rtl/>
          <w:lang w:bidi="ar-SY"/>
        </w:rPr>
        <w:t>‘</w:t>
      </w:r>
      <w:r w:rsidRPr="005027FA">
        <w:rPr>
          <w:rFonts w:cs="KFGQPC Uthman Taha Naskh" w:hint="cs"/>
          <w:rtl/>
          <w:lang w:bidi="ar-SY"/>
        </w:rPr>
        <w:t>-:</w:t>
      </w:r>
      <w:r w:rsidRPr="005027FA">
        <w:rPr>
          <w:rFonts w:cs="KFGQPC Uthman Taha Naskh"/>
          <w:rtl/>
          <w:lang w:bidi="ar-SY"/>
        </w:rPr>
        <w:t xml:space="preserve"> الْيَتَامَى الَّذِينَ يَأْتَمُّونَ بِاللهِ وَبِرَسُولِهِ وَبِذِي الْقُرْبَى</w:t>
      </w:r>
      <w:r w:rsidRPr="005027FA">
        <w:rPr>
          <w:rFonts w:cs="KFGQPC Uthman Taha Naskh" w:hint="cs"/>
          <w:rtl/>
          <w:lang w:bidi="ar-SY"/>
        </w:rPr>
        <w:t>،</w:t>
      </w:r>
      <w:r w:rsidRPr="005027FA">
        <w:rPr>
          <w:rFonts w:cs="KFGQPC Uthman Taha Naskh"/>
          <w:rtl/>
          <w:lang w:bidi="ar-SY"/>
        </w:rPr>
        <w:t xml:space="preserve"> وَالْمَسَاكِينُ الَّذِينَ أُسْكِنُوا مَعَهُمْ فِي الدُّنْيَا وَالْآخِرَةِ</w:t>
      </w:r>
      <w:r w:rsidRPr="005027FA">
        <w:rPr>
          <w:rFonts w:cs="KFGQPC Uthman Taha Naskh" w:hint="cs"/>
          <w:rtl/>
          <w:lang w:bidi="ar-SY"/>
        </w:rPr>
        <w:t>،</w:t>
      </w:r>
      <w:r w:rsidRPr="005027FA">
        <w:rPr>
          <w:rFonts w:cs="KFGQPC Uthman Taha Naskh"/>
          <w:rtl/>
          <w:lang w:bidi="ar-SY"/>
        </w:rPr>
        <w:t xml:space="preserve"> وَابْنُ السَّبِيلِ الَّذِي‏ يَسْلُكُ مَسْلَكَهُمْ</w:t>
      </w:r>
      <w:r w:rsidRPr="005027FA">
        <w:rPr>
          <w:rFonts w:cs="KFGQPC Uthman Taha Naskh" w:hint="cs"/>
          <w:rtl/>
          <w:lang w:bidi="ar-SY"/>
        </w:rPr>
        <w:t>.</w:t>
      </w:r>
      <w:r w:rsidRPr="005027FA">
        <w:rPr>
          <w:rFonts w:cs="KFGQPC Uthman Taha Naskh"/>
          <w:rtl/>
          <w:lang w:bidi="ar-SY"/>
        </w:rPr>
        <w:t xml:space="preserve"> قَالَ عُمَرُ</w:t>
      </w:r>
      <w:r w:rsidRPr="005027FA">
        <w:rPr>
          <w:rFonts w:cs="KFGQPC Uthman Taha Naskh" w:hint="cs"/>
          <w:rtl/>
          <w:lang w:bidi="ar-SY"/>
        </w:rPr>
        <w:t>:</w:t>
      </w:r>
      <w:r w:rsidRPr="005027FA">
        <w:rPr>
          <w:rFonts w:cs="KFGQPC Uthman Taha Naskh"/>
          <w:rtl/>
          <w:lang w:bidi="ar-SY"/>
        </w:rPr>
        <w:t xml:space="preserve"> فَإِذ</w:t>
      </w:r>
      <w:r w:rsidRPr="005027FA">
        <w:rPr>
          <w:rFonts w:cs="KFGQPC Uthman Taha Naskh" w:hint="cs"/>
          <w:rtl/>
          <w:lang w:bidi="ar-SY"/>
        </w:rPr>
        <w:t>ً</w:t>
      </w:r>
      <w:r w:rsidRPr="005027FA">
        <w:rPr>
          <w:rFonts w:cs="KFGQPC Uthman Taha Naskh"/>
          <w:rtl/>
          <w:lang w:bidi="ar-SY"/>
        </w:rPr>
        <w:t>ا الْفَيْ‏ءُ وَالْخُمْسُ كُلُّهُ لَكُمْ وَلِمَوَالِيكُمْ وَلِأَشْيَاعِكُمْ</w:t>
      </w:r>
      <w:r w:rsidRPr="005027FA">
        <w:rPr>
          <w:rFonts w:cs="KFGQPC Uthman Taha Naskh" w:hint="cs"/>
          <w:rtl/>
          <w:lang w:bidi="ar-SY"/>
        </w:rPr>
        <w:t>؟!</w:t>
      </w:r>
      <w:r w:rsidRPr="005027FA">
        <w:rPr>
          <w:rFonts w:cs="KFGQPC Uthman Taha Naskh"/>
          <w:rtl/>
          <w:lang w:bidi="ar-SY"/>
        </w:rPr>
        <w:t xml:space="preserve"> فَقَالَتْ فَاطِمَةُ </w:t>
      </w:r>
      <w:r w:rsidRPr="005027FA">
        <w:rPr>
          <w:rFonts w:cs="KFGQPC Uthman Taha Naskh" w:hint="cs"/>
          <w:rtl/>
          <w:lang w:bidi="ar-SY"/>
        </w:rPr>
        <w:t>-</w:t>
      </w:r>
      <w:r w:rsidR="008B3243" w:rsidRPr="008B3243">
        <w:rPr>
          <w:rFonts w:cs="CTraditional Arabic"/>
          <w:rtl/>
          <w:lang w:bidi="ar-SY"/>
        </w:rPr>
        <w:t>‘</w:t>
      </w:r>
      <w:r w:rsidRPr="005027FA">
        <w:rPr>
          <w:rFonts w:cs="KFGQPC Uthman Taha Naskh" w:hint="cs"/>
          <w:rtl/>
          <w:lang w:bidi="ar-SY"/>
        </w:rPr>
        <w:t>-:</w:t>
      </w:r>
      <w:r w:rsidR="00AB28A0" w:rsidRPr="005027FA">
        <w:rPr>
          <w:rFonts w:cs="KFGQPC Uthman Taha Naskh"/>
          <w:rtl/>
          <w:lang w:bidi="ar-SY"/>
        </w:rPr>
        <w:t>.</w:t>
      </w:r>
      <w:r w:rsidRPr="005027FA">
        <w:rPr>
          <w:rFonts w:cs="KFGQPC Uthman Taha Naskh" w:hint="cs"/>
          <w:rtl/>
          <w:lang w:bidi="ar-SY"/>
        </w:rPr>
        <w:t>..</w:t>
      </w:r>
      <w:r w:rsidRPr="005027FA">
        <w:rPr>
          <w:rFonts w:cs="KFGQPC Uthman Taha Naskh"/>
          <w:rtl/>
          <w:lang w:bidi="ar-SY"/>
        </w:rPr>
        <w:t xml:space="preserve"> وَأَمَّا الْخُمُسُ فَقَسَمَهُ اللهُ لَنَا وَلِمَوَالِينَا وَأَشْيَاعِنَا كَمَا تَرَى فِي كِتَابِ اللهِ</w:t>
      </w:r>
      <w:r w:rsidR="00AB28A0" w:rsidRPr="005027FA">
        <w:rPr>
          <w:rFonts w:cs="KFGQPC Uthman Taha Naskh"/>
          <w:rtl/>
          <w:lang w:bidi="ar-SY"/>
        </w:rPr>
        <w:t>.</w:t>
      </w:r>
      <w:r w:rsidRPr="005027FA">
        <w:rPr>
          <w:rFonts w:cs="KFGQPC Uthman Taha Naskh" w:hint="cs"/>
          <w:rtl/>
          <w:lang w:bidi="ar-SY"/>
        </w:rPr>
        <w:t>...</w:t>
      </w:r>
      <w:r w:rsidRPr="005027FA">
        <w:rPr>
          <w:rFonts w:cs="KFGQPC Uthman Taha Naskh"/>
          <w:rtl/>
          <w:lang w:bidi="ar-SY"/>
        </w:rPr>
        <w:t>الْخَبَر</w:t>
      </w:r>
      <w:r w:rsidRPr="005027FA">
        <w:rPr>
          <w:rFonts w:cs="KFGQPC Uthman Taha Naskh" w:hint="cs"/>
          <w:rtl/>
          <w:lang w:bidi="ar-SY"/>
        </w:rPr>
        <w:t>»</w:t>
      </w:r>
      <w:r w:rsidR="005027FA" w:rsidRPr="005027FA">
        <w:rPr>
          <w:rFonts w:cs="Arabic11 BT" w:hint="cs"/>
          <w:vertAlign w:val="superscript"/>
          <w:rtl/>
          <w:lang w:bidi="ar-SY"/>
        </w:rPr>
        <w:t>(</w:t>
      </w:r>
      <w:r w:rsidRPr="005027FA">
        <w:rPr>
          <w:rStyle w:val="FootnoteReference"/>
          <w:rFonts w:cs="Arabic11 BT"/>
          <w:rtl/>
          <w:lang w:bidi="ar-SY"/>
        </w:rPr>
        <w:footnoteReference w:id="505"/>
      </w:r>
      <w:r w:rsidR="005027FA" w:rsidRPr="005027FA">
        <w:rPr>
          <w:rFonts w:cs="Arabic11 BT" w:hint="cs"/>
          <w:vertAlign w:val="superscript"/>
          <w:rtl/>
          <w:lang w:bidi="ar-SY"/>
        </w:rPr>
        <w:t>)</w:t>
      </w:r>
      <w:r w:rsidR="00860926" w:rsidRPr="00495BAB">
        <w:rPr>
          <w:rFonts w:hint="cs"/>
          <w:rtl/>
          <w:lang w:bidi="ar-SY"/>
        </w:rPr>
        <w:t>.</w:t>
      </w:r>
    </w:p>
    <w:p w:rsidR="00CD31AA" w:rsidRPr="00495BAB" w:rsidRDefault="00CD31AA" w:rsidP="00495BAB">
      <w:pPr>
        <w:pStyle w:val="a0"/>
        <w:rPr>
          <w:rFonts w:hint="cs"/>
          <w:rtl/>
          <w:lang w:bidi="ar-SY"/>
        </w:rPr>
      </w:pPr>
      <w:r w:rsidRPr="00495BAB">
        <w:rPr>
          <w:rFonts w:hint="cs"/>
          <w:rtl/>
          <w:lang w:bidi="ar-SY"/>
        </w:rPr>
        <w:t xml:space="preserve">وقد أوردنا هذا الحديث من باب إسكات الخصم فقط، وإلا فإننا لا نحتاج إلى مثل هذه الأحاديث بعد كتاب الله وسنة رسوله </w:t>
      </w:r>
      <w:r w:rsidRPr="00495BAB">
        <w:rPr>
          <w:rFonts w:ascii="Abo-thar" w:hAnsi="Abo-thar"/>
          <w:sz w:val="28"/>
          <w:lang w:bidi="fa-IR"/>
        </w:rPr>
        <w:t></w:t>
      </w:r>
      <w:r w:rsidRPr="00495BAB">
        <w:rPr>
          <w:rFonts w:hint="cs"/>
          <w:rtl/>
          <w:lang w:bidi="ar-SY"/>
        </w:rPr>
        <w:t xml:space="preserve"> الواضحة. فإذا كان الأمر كذلك فلو كان لهذا الحديث سند أو لم يكن له سند، ولو كان الذي رواه مؤمناً عادلاً أو فاسقاً فاجراً، فإن موافقة كتاب الله لنص هذا الحديث تكفي لقبولنا له، وعلى العكس من ذلك لو كان نص الحديث مخالفاً لكتاب الله، فعلينا - طبقاً لأمر رسول الله وأوامر أئمة الهدى المؤكَّدة والمكرَّرة - أن نطرحه جانباً ونضرب به عرض الحائط. ونكرِّر للمرَّة العاشرة أن جميع الأحاديث الواردة في أبواب الخُمس تتعلق بخمس غنائم الحرب، والتأمّل فيها دون غرض أو مرض يوضِّح لنا هذه الحقيقة تماماً.</w:t>
      </w:r>
    </w:p>
    <w:p w:rsidR="00CD31AA" w:rsidRPr="00495BAB" w:rsidRDefault="00CD31AA" w:rsidP="00495BAB">
      <w:pPr>
        <w:pStyle w:val="a0"/>
        <w:rPr>
          <w:rFonts w:hint="cs"/>
          <w:rtl/>
          <w:lang w:bidi="ar-SY"/>
        </w:rPr>
      </w:pPr>
      <w:r w:rsidRPr="00495BAB">
        <w:rPr>
          <w:rFonts w:hint="cs"/>
          <w:rtl/>
          <w:lang w:bidi="ar-SY"/>
        </w:rPr>
        <w:t xml:space="preserve">أيها السيد إمامي! لقد تشبثتَ أنتَ وكاتب ردٍّ آخر قبلَكَ في أقوالكما بأنّ أخذ هذه الضرائب بهذه الكيفية، أي خمس الثروات والأموال الموجودة فوق سطح الأرض، أمر ضروري لإيجاد الحكومة الإسلامية وتحكيم أسسها، في حين أنه لم يوجد في دلائل القائلين بهذا الخُمس الشامل من قبلكم مثل هذا القول أبدًا، ولم يقل أحد بمثل هذا الكلام ولم يستدل به، بل هو من منجزات عصرنا الذي أصبح كل كاتب فيه يخترع فلسفةً وحِكْمَةً لتبرير كل عمل بدعي. ولو أردنا التسمك بمثل هذا الدليل فأولاً: وضع الشيعة الحالي وعمل العاملين به يشهد بأن مثل هذا الهدف لم يكن مقصوداً ولا مُراداً. ثانياً: لو احتاجت الحكومة الإسلامية العادلة إلى مالٍ، فبالإضافة إلى ما تحت تصرفها من أموال عامة في البلدان الإسلامية (أموال الأنفال والخراج والزكاة والصدقات)، يمكنها - إن لم تكفها تلك الأموال - أن تأخذ أموال المسلمين جميعًا، سوى ما يستر عوراتهم، بشرط مراعاة العدل التام في الأخذ في البدءِ من أموال الأغنياء إلى الحد الذي يصبح فيه المسلمون جميعهم في مستوى واحد من القدرة والثروة، وقد شرحنا هذا الموضوع في كتابنا </w:t>
      </w:r>
      <w:r w:rsidRPr="00495BAB">
        <w:rPr>
          <w:rFonts w:hint="cs"/>
          <w:b/>
          <w:bCs/>
          <w:rtl/>
          <w:lang w:bidi="ar-SY"/>
        </w:rPr>
        <w:t>الزكاة</w:t>
      </w:r>
      <w:r w:rsidRPr="00495BAB">
        <w:rPr>
          <w:rFonts w:hint="cs"/>
          <w:rtl/>
          <w:lang w:bidi="ar-SY"/>
        </w:rPr>
        <w:t xml:space="preserve">، ص 460 فما بعد، فلا حاجة إذًا إلى هذه الاختراعات التي تبتدعونها والتفلسف الذي لا دليل عليه. </w:t>
      </w:r>
    </w:p>
    <w:p w:rsidR="00CD31AA" w:rsidRPr="00495BAB" w:rsidRDefault="00CD31AA" w:rsidP="00495BAB">
      <w:pPr>
        <w:pStyle w:val="a0"/>
        <w:rPr>
          <w:rFonts w:hint="cs"/>
          <w:rtl/>
          <w:lang w:bidi="ar-SY"/>
        </w:rPr>
      </w:pPr>
      <w:r w:rsidRPr="00451CED">
        <w:rPr>
          <w:rFonts w:hint="cs"/>
          <w:b/>
          <w:bCs/>
          <w:rtl/>
          <w:lang w:bidi="ar-SY"/>
        </w:rPr>
        <w:t>وفي الختام</w:t>
      </w:r>
      <w:r w:rsidRPr="00495BAB">
        <w:rPr>
          <w:rFonts w:hint="cs"/>
          <w:rtl/>
          <w:lang w:bidi="ar-SY"/>
        </w:rPr>
        <w:t xml:space="preserve"> أقول لك ولهؤلاء السادة من باب إرادة الخير والنصيحة الخالصة: لو لزمتم السكوت في هذا الباب لربما كان أفضل لنا ولكم، وإلا فنحن بحمد الله تعالى جاهزون لرد ما قالوه حتى الآن وما سيقولونه في المستقبل بالبراهين الواضحة والدلائل المتقنة. وَ</w:t>
      </w:r>
      <w:r w:rsidRPr="00495BAB">
        <w:rPr>
          <w:rtl/>
          <w:lang w:bidi="ar-SY"/>
        </w:rPr>
        <w:t>الْحَمْدُ لِـلَّهِ الَّذِي هَدَانَا لِهَذَا وَمَا كُنَّا لِنَهْتَدِيَ لَوْلَا أَنْ هَدَانَا اللهُ</w:t>
      </w:r>
      <w:r w:rsidRPr="00495BAB">
        <w:rPr>
          <w:rFonts w:hint="cs"/>
          <w:rtl/>
          <w:lang w:bidi="ar-SY"/>
        </w:rPr>
        <w:t>.</w:t>
      </w:r>
    </w:p>
    <w:p w:rsidR="00CD31AA" w:rsidRDefault="00CD31AA" w:rsidP="00495BAB">
      <w:pPr>
        <w:pStyle w:val="a0"/>
        <w:rPr>
          <w:rFonts w:hint="cs"/>
          <w:rtl/>
          <w:lang w:bidi="ar-SY"/>
        </w:rPr>
      </w:pPr>
      <w:r w:rsidRPr="00495BAB">
        <w:rPr>
          <w:rFonts w:hint="cs"/>
          <w:rtl/>
          <w:lang w:bidi="ar-SY"/>
        </w:rPr>
        <w:t xml:space="preserve">يشهد رب الإسلام إنه ليس لدينا أي عداوة أو أي غرض من وراء هذه الكتابات والأقوال التي نقولها، وليس لدينا من هدف سوى دفع الأوهام والخرافات والبدع والضلالات التي عرضت لديننا المقدَّس، ونعتبر أن وجود مثل هذه </w:t>
      </w:r>
      <w:r w:rsidRPr="00495BAB">
        <w:rPr>
          <w:rFonts w:hint="cs"/>
          <w:b/>
          <w:bCs/>
          <w:rtl/>
          <w:lang w:bidi="ar-SY"/>
        </w:rPr>
        <w:t>الزكاة</w:t>
      </w:r>
      <w:r w:rsidRPr="00495BAB">
        <w:rPr>
          <w:rFonts w:hint="cs"/>
          <w:rtl/>
          <w:lang w:bidi="ar-SY"/>
        </w:rPr>
        <w:t xml:space="preserve"> (المنحصرة في 9 أجناس فقط) والخُمس الذي يقولون به، يجعل دين الإسلام الذي هو دين أبدي وبه حياة البشرية، دينًا ناقصًا ومَعِيبًا ويُلصق به تهمةً باطلة، كما تشهد لذلك آيات القرآن الكريم والسيرة المقدسة لنبي آخر الزمان </w:t>
      </w:r>
      <w:r w:rsidRPr="00495BAB">
        <w:rPr>
          <w:rFonts w:ascii="Abo-thar" w:hAnsi="Abo-thar"/>
          <w:sz w:val="28"/>
          <w:lang w:bidi="fa-IR"/>
        </w:rPr>
        <w:t></w:t>
      </w:r>
      <w:r w:rsidRPr="00495BAB">
        <w:rPr>
          <w:rFonts w:hint="cs"/>
          <w:rtl/>
          <w:lang w:bidi="ar-SY"/>
        </w:rPr>
        <w:t xml:space="preserve"> واتفاق كافة مسلمي قرون الإسلام الأولى. والسلام.</w:t>
      </w:r>
    </w:p>
    <w:p w:rsidR="00451CED" w:rsidRPr="00495BAB" w:rsidRDefault="00451CED" w:rsidP="00495BAB">
      <w:pPr>
        <w:pStyle w:val="a0"/>
        <w:rPr>
          <w:rFonts w:hint="cs"/>
          <w:rtl/>
          <w:lang w:bidi="ar-SY"/>
        </w:rPr>
      </w:pPr>
    </w:p>
    <w:p w:rsidR="00CD31AA" w:rsidRPr="00495BAB" w:rsidRDefault="00CD31AA" w:rsidP="00451CED">
      <w:pPr>
        <w:pStyle w:val="a0"/>
        <w:spacing w:after="0"/>
        <w:ind w:firstLine="0"/>
        <w:jc w:val="center"/>
        <w:rPr>
          <w:rFonts w:hint="cs"/>
          <w:rtl/>
          <w:lang w:bidi="ar-SY"/>
        </w:rPr>
      </w:pPr>
      <w:r w:rsidRPr="00495BAB">
        <w:rPr>
          <w:rFonts w:hint="cs"/>
          <w:rtl/>
          <w:lang w:bidi="ar-SY"/>
        </w:rPr>
        <w:t>وما توفيقي إلا بالله.</w:t>
      </w:r>
    </w:p>
    <w:p w:rsidR="00CD31AA" w:rsidRPr="00495BAB" w:rsidRDefault="00CD31AA" w:rsidP="00451CED">
      <w:pPr>
        <w:pStyle w:val="a0"/>
        <w:spacing w:after="0"/>
        <w:ind w:firstLine="0"/>
        <w:jc w:val="center"/>
        <w:rPr>
          <w:rFonts w:hint="cs"/>
          <w:rtl/>
          <w:lang w:bidi="ar-SY"/>
        </w:rPr>
      </w:pPr>
      <w:r w:rsidRPr="00495BAB">
        <w:rPr>
          <w:rFonts w:hint="cs"/>
          <w:rtl/>
          <w:lang w:bidi="ar-SY"/>
        </w:rPr>
        <w:t>الثلاثاء: 22، فروردين ماه، 1357 هـ.ش</w:t>
      </w:r>
    </w:p>
    <w:p w:rsidR="00C3556F" w:rsidRDefault="00CD31AA" w:rsidP="00451CED">
      <w:pPr>
        <w:pStyle w:val="a0"/>
        <w:spacing w:after="0"/>
        <w:ind w:firstLine="0"/>
        <w:jc w:val="center"/>
        <w:rPr>
          <w:rFonts w:hint="cs"/>
          <w:rtl/>
          <w:lang w:bidi="ar-SY"/>
        </w:rPr>
      </w:pPr>
      <w:bookmarkStart w:id="202" w:name="_Toc362692914"/>
      <w:r w:rsidRPr="00995B26">
        <w:rPr>
          <w:rFonts w:hint="cs"/>
          <w:rtl/>
          <w:lang w:bidi="ar-SY"/>
        </w:rPr>
        <w:t>(الموافق لـ 3 / جمادى الأول/ 1398 هـ. ق. و 11/4/1978م).</w:t>
      </w:r>
    </w:p>
    <w:p w:rsidR="00C3556F" w:rsidRDefault="00C3556F" w:rsidP="00C3556F">
      <w:pPr>
        <w:pStyle w:val="a0"/>
        <w:rPr>
          <w:rFonts w:ascii="Abo-thar" w:hAnsi="Abo-thar"/>
          <w:rtl/>
        </w:rPr>
        <w:sectPr w:rsidR="00C3556F" w:rsidSect="00010AE3">
          <w:footnotePr>
            <w:numRestart w:val="eachPage"/>
          </w:footnotePr>
          <w:type w:val="oddPage"/>
          <w:pgSz w:w="9356" w:h="13608" w:code="34"/>
          <w:pgMar w:top="964" w:right="1134" w:bottom="1134" w:left="964" w:header="0" w:footer="851" w:gutter="0"/>
          <w:cols w:space="708"/>
          <w:titlePg/>
          <w:bidi/>
          <w:rtlGutter/>
          <w:docGrid w:linePitch="360"/>
        </w:sectPr>
      </w:pPr>
    </w:p>
    <w:p w:rsidR="005C664D" w:rsidRPr="00995B26" w:rsidRDefault="005C664D" w:rsidP="00C3556F">
      <w:pPr>
        <w:pStyle w:val="Heading1"/>
      </w:pPr>
      <w:bookmarkStart w:id="203" w:name="_Toc188486865"/>
      <w:bookmarkStart w:id="204" w:name="_Toc187626658"/>
      <w:bookmarkStart w:id="205" w:name="_Toc215491168"/>
      <w:bookmarkStart w:id="206" w:name="_Toc215498087"/>
      <w:bookmarkStart w:id="207" w:name="_Toc387843128"/>
      <w:r w:rsidRPr="00995B26">
        <w:rPr>
          <w:rFonts w:hint="cs"/>
          <w:rtl/>
        </w:rPr>
        <w:t>قائمة المصادر والمراجع</w:t>
      </w:r>
      <w:bookmarkEnd w:id="202"/>
      <w:bookmarkEnd w:id="203"/>
      <w:bookmarkEnd w:id="204"/>
      <w:bookmarkEnd w:id="205"/>
      <w:bookmarkEnd w:id="206"/>
      <w:bookmarkEnd w:id="207"/>
    </w:p>
    <w:p w:rsidR="005C664D" w:rsidRPr="00C3556F" w:rsidRDefault="00217AB4" w:rsidP="00C3556F">
      <w:pPr>
        <w:pStyle w:val="a0"/>
        <w:spacing w:after="0"/>
        <w:ind w:firstLine="0"/>
        <w:rPr>
          <w:rFonts w:hint="cs"/>
          <w:rtl/>
        </w:rPr>
      </w:pPr>
      <w:r w:rsidRPr="00C3556F">
        <w:rPr>
          <w:rtl/>
        </w:rPr>
        <w:t>(</w:t>
      </w:r>
      <w:r w:rsidR="005C664D" w:rsidRPr="00C3556F">
        <w:rPr>
          <w:rtl/>
        </w:rPr>
        <w:t>ملاحظة</w:t>
      </w:r>
      <w:r w:rsidRPr="00C3556F">
        <w:rPr>
          <w:rtl/>
        </w:rPr>
        <w:t>:</w:t>
      </w:r>
      <w:r w:rsidR="005C664D" w:rsidRPr="00C3556F">
        <w:rPr>
          <w:rtl/>
        </w:rPr>
        <w:t xml:space="preserve"> لم يذكر المؤلف قائمة </w:t>
      </w:r>
      <w:r w:rsidR="005C664D" w:rsidRPr="00C3556F">
        <w:rPr>
          <w:rFonts w:hint="cs"/>
          <w:rtl/>
        </w:rPr>
        <w:t>خاصة ب</w:t>
      </w:r>
      <w:r w:rsidR="005C664D" w:rsidRPr="00C3556F">
        <w:rPr>
          <w:rtl/>
        </w:rPr>
        <w:t>مصادره</w:t>
      </w:r>
      <w:r w:rsidR="005C664D" w:rsidRPr="00C3556F">
        <w:rPr>
          <w:rFonts w:hint="cs"/>
          <w:rtl/>
        </w:rPr>
        <w:t xml:space="preserve"> في آخر كتابه</w:t>
      </w:r>
      <w:r w:rsidRPr="00C3556F">
        <w:rPr>
          <w:rtl/>
        </w:rPr>
        <w:t>،</w:t>
      </w:r>
      <w:r w:rsidR="005C664D" w:rsidRPr="00C3556F">
        <w:rPr>
          <w:rtl/>
        </w:rPr>
        <w:t xml:space="preserve"> ولكني استقرأتُ مصادره ومراجعه هذه من </w:t>
      </w:r>
      <w:r w:rsidR="005C664D" w:rsidRPr="00C3556F">
        <w:rPr>
          <w:rFonts w:hint="cs"/>
          <w:rtl/>
        </w:rPr>
        <w:t xml:space="preserve">متن كتابه ومن </w:t>
      </w:r>
      <w:r w:rsidR="005C664D" w:rsidRPr="00C3556F">
        <w:rPr>
          <w:rtl/>
        </w:rPr>
        <w:t>حواشي</w:t>
      </w:r>
      <w:r w:rsidR="005C664D" w:rsidRPr="00C3556F">
        <w:rPr>
          <w:rFonts w:hint="cs"/>
          <w:rtl/>
        </w:rPr>
        <w:t>ه</w:t>
      </w:r>
      <w:r w:rsidRPr="00C3556F">
        <w:rPr>
          <w:rtl/>
        </w:rPr>
        <w:t>،</w:t>
      </w:r>
      <w:r w:rsidR="005C664D" w:rsidRPr="00C3556F">
        <w:rPr>
          <w:rtl/>
        </w:rPr>
        <w:t xml:space="preserve"> </w:t>
      </w:r>
      <w:r w:rsidR="005C664D" w:rsidRPr="00C3556F">
        <w:rPr>
          <w:rFonts w:hint="cs"/>
          <w:rtl/>
        </w:rPr>
        <w:t>حيث يشير في المتن لمصدر اقتباسه وللطبعة غالباً</w:t>
      </w:r>
      <w:r w:rsidRPr="00C3556F">
        <w:rPr>
          <w:rFonts w:hint="cs"/>
          <w:rtl/>
        </w:rPr>
        <w:t>،</w:t>
      </w:r>
      <w:r w:rsidR="005C664D" w:rsidRPr="00C3556F">
        <w:rPr>
          <w:rFonts w:hint="cs"/>
          <w:rtl/>
        </w:rPr>
        <w:t xml:space="preserve"> وقد اجتهدت قدر الإمكان في ذكر تواريخ المصادر وتواريخ وفيات مؤلفيها تتميماً للفائدة وإعانةً لمن أراد التحقُّق من مصادره والرجوع إليها والاطلاع على أحوال مؤلفيها</w:t>
      </w:r>
      <w:r w:rsidRPr="00C3556F">
        <w:rPr>
          <w:rtl/>
        </w:rPr>
        <w:t>)</w:t>
      </w:r>
      <w:r w:rsidR="00147857" w:rsidRPr="00C3556F">
        <w:rPr>
          <w:rtl/>
        </w:rPr>
        <w:t xml:space="preserve"> </w:t>
      </w:r>
      <w:r w:rsidRPr="00C3556F">
        <w:rPr>
          <w:rtl/>
        </w:rPr>
        <w:t>(</w:t>
      </w:r>
      <w:r w:rsidR="005C664D" w:rsidRPr="00C3556F">
        <w:rPr>
          <w:rtl/>
        </w:rPr>
        <w:t>المترجم</w:t>
      </w:r>
      <w:r w:rsidRPr="00C3556F">
        <w:rPr>
          <w:rtl/>
        </w:rPr>
        <w:t>)</w:t>
      </w:r>
    </w:p>
    <w:p w:rsidR="005C664D" w:rsidRPr="00C3556F" w:rsidRDefault="005C664D" w:rsidP="00C3556F">
      <w:pPr>
        <w:numPr>
          <w:ilvl w:val="0"/>
          <w:numId w:val="31"/>
        </w:numPr>
        <w:spacing w:line="228" w:lineRule="auto"/>
        <w:ind w:left="397" w:hanging="397"/>
        <w:jc w:val="both"/>
        <w:rPr>
          <w:rFonts w:ascii="mylotus" w:hAnsi="mylotus" w:cs="mylotus"/>
          <w:sz w:val="26"/>
          <w:szCs w:val="26"/>
          <w:rtl/>
        </w:rPr>
      </w:pPr>
      <w:r w:rsidRPr="00C3556F">
        <w:rPr>
          <w:rFonts w:ascii="mylotus" w:hAnsi="mylotus" w:cs="mylotus"/>
          <w:sz w:val="26"/>
          <w:szCs w:val="26"/>
          <w:rtl/>
        </w:rPr>
        <w:t>القرآن الكريم</w:t>
      </w:r>
      <w:r w:rsidR="00217AB4" w:rsidRPr="00C3556F">
        <w:rPr>
          <w:rFonts w:ascii="mylotus" w:hAnsi="mylotus" w:cs="mylotus"/>
          <w:sz w:val="26"/>
          <w:szCs w:val="26"/>
          <w:rtl/>
        </w:rPr>
        <w:t>.</w:t>
      </w:r>
    </w:p>
    <w:p w:rsidR="005C664D" w:rsidRPr="00C3556F" w:rsidRDefault="005C664D" w:rsidP="00C3556F">
      <w:pPr>
        <w:numPr>
          <w:ilvl w:val="0"/>
          <w:numId w:val="31"/>
        </w:numPr>
        <w:spacing w:line="228" w:lineRule="auto"/>
        <w:ind w:left="397" w:hanging="397"/>
        <w:jc w:val="both"/>
        <w:rPr>
          <w:rFonts w:ascii="mylotus" w:hAnsi="mylotus" w:cs="mylotus"/>
          <w:sz w:val="26"/>
          <w:szCs w:val="26"/>
        </w:rPr>
      </w:pPr>
      <w:r w:rsidRPr="00C3556F">
        <w:rPr>
          <w:rFonts w:ascii="mylotus" w:hAnsi="mylotus" w:cs="mylotus"/>
          <w:sz w:val="26"/>
          <w:szCs w:val="26"/>
          <w:rtl/>
        </w:rPr>
        <w:t xml:space="preserve">الكتاب المقدس </w:t>
      </w:r>
      <w:r w:rsidR="00217AB4" w:rsidRPr="00C3556F">
        <w:rPr>
          <w:rFonts w:ascii="mylotus" w:hAnsi="mylotus" w:cs="mylotus"/>
          <w:sz w:val="26"/>
          <w:szCs w:val="26"/>
          <w:rtl/>
        </w:rPr>
        <w:t>(</w:t>
      </w:r>
      <w:r w:rsidRPr="00C3556F">
        <w:rPr>
          <w:rFonts w:ascii="mylotus" w:hAnsi="mylotus" w:cs="mylotus"/>
          <w:sz w:val="26"/>
          <w:szCs w:val="26"/>
          <w:rtl/>
        </w:rPr>
        <w:t>العهد القديم والعهد الجديد</w:t>
      </w:r>
      <w:r w:rsidR="00217AB4" w:rsidRPr="00C3556F">
        <w:rPr>
          <w:rFonts w:ascii="mylotus" w:hAnsi="mylotus" w:cs="mylotus"/>
          <w:sz w:val="26"/>
          <w:szCs w:val="26"/>
          <w:rtl/>
        </w:rPr>
        <w:t>).</w:t>
      </w:r>
    </w:p>
    <w:p w:rsidR="005C664D" w:rsidRPr="00C3556F" w:rsidRDefault="005C664D" w:rsidP="00C3556F">
      <w:pPr>
        <w:spacing w:line="228" w:lineRule="auto"/>
        <w:ind w:left="397" w:hanging="397"/>
        <w:jc w:val="both"/>
        <w:rPr>
          <w:rFonts w:ascii="mylotus" w:hAnsi="mylotus" w:cs="mylotus"/>
          <w:b/>
          <w:bCs/>
          <w:sz w:val="26"/>
          <w:szCs w:val="26"/>
          <w:rtl/>
        </w:rPr>
      </w:pPr>
      <w:bookmarkStart w:id="208" w:name="_Toc215491169"/>
      <w:bookmarkStart w:id="209" w:name="_Toc215498088"/>
      <w:r w:rsidRPr="00C3556F">
        <w:rPr>
          <w:rFonts w:ascii="mylotus" w:hAnsi="mylotus" w:cs="mylotus"/>
          <w:b/>
          <w:bCs/>
          <w:sz w:val="26"/>
          <w:szCs w:val="26"/>
          <w:rtl/>
        </w:rPr>
        <w:t>كتب التفسير وأحكام القرآن</w:t>
      </w:r>
      <w:bookmarkEnd w:id="208"/>
      <w:bookmarkEnd w:id="209"/>
    </w:p>
    <w:p w:rsidR="005C664D" w:rsidRPr="00C3556F" w:rsidRDefault="005C664D" w:rsidP="00C3556F">
      <w:pPr>
        <w:numPr>
          <w:ilvl w:val="0"/>
          <w:numId w:val="30"/>
        </w:numPr>
        <w:spacing w:line="228" w:lineRule="auto"/>
        <w:ind w:left="397" w:hanging="397"/>
        <w:jc w:val="both"/>
        <w:rPr>
          <w:rFonts w:ascii="mylotus" w:hAnsi="mylotus" w:cs="mylotus"/>
          <w:sz w:val="26"/>
          <w:szCs w:val="26"/>
        </w:rPr>
      </w:pPr>
      <w:r w:rsidRPr="00C3556F">
        <w:rPr>
          <w:rFonts w:ascii="mylotus" w:hAnsi="mylotus" w:cs="mylotus"/>
          <w:sz w:val="26"/>
          <w:szCs w:val="26"/>
          <w:rtl/>
        </w:rPr>
        <w:t>أبو الفتوح الرازي</w:t>
      </w:r>
      <w:r w:rsidR="00217AB4" w:rsidRPr="00C3556F">
        <w:rPr>
          <w:rFonts w:ascii="mylotus" w:hAnsi="mylotus" w:cs="mylotus"/>
          <w:sz w:val="26"/>
          <w:szCs w:val="26"/>
          <w:rtl/>
        </w:rPr>
        <w:t>،</w:t>
      </w:r>
      <w:r w:rsidRPr="00C3556F">
        <w:rPr>
          <w:rFonts w:ascii="mylotus" w:hAnsi="mylotus" w:cs="mylotus"/>
          <w:sz w:val="26"/>
          <w:szCs w:val="26"/>
          <w:rtl/>
        </w:rPr>
        <w:t xml:space="preserve"> الحسين بن علي بن محمد بن أحمد الخزاعي الرازي</w:t>
      </w:r>
      <w:r w:rsidR="00217AB4" w:rsidRPr="00C3556F">
        <w:rPr>
          <w:rFonts w:ascii="mylotus" w:hAnsi="mylotus" w:cs="mylotus"/>
          <w:sz w:val="26"/>
          <w:szCs w:val="26"/>
          <w:rtl/>
        </w:rPr>
        <w:t>،</w:t>
      </w:r>
      <w:r w:rsidRPr="00C3556F">
        <w:rPr>
          <w:rFonts w:ascii="mylotus" w:hAnsi="mylotus" w:cs="mylotus"/>
          <w:sz w:val="26"/>
          <w:szCs w:val="26"/>
          <w:rtl/>
        </w:rPr>
        <w:t xml:space="preserve"> النيسابوري </w:t>
      </w:r>
      <w:r w:rsidR="00217AB4" w:rsidRPr="00C3556F">
        <w:rPr>
          <w:rFonts w:ascii="mylotus" w:hAnsi="mylotus" w:cs="mylotus"/>
          <w:sz w:val="26"/>
          <w:szCs w:val="26"/>
          <w:rtl/>
        </w:rPr>
        <w:t>(</w:t>
      </w:r>
      <w:r w:rsidRPr="00C3556F">
        <w:rPr>
          <w:rFonts w:ascii="mylotus" w:hAnsi="mylotus" w:cs="mylotus"/>
          <w:sz w:val="26"/>
          <w:szCs w:val="26"/>
          <w:rtl/>
        </w:rPr>
        <w:t>535 وقيل 560هـ</w:t>
      </w:r>
      <w:r w:rsidR="00217AB4" w:rsidRPr="00C3556F">
        <w:rPr>
          <w:rFonts w:ascii="mylotus" w:hAnsi="mylotus" w:cs="mylotus"/>
          <w:sz w:val="26"/>
          <w:szCs w:val="26"/>
          <w:rtl/>
        </w:rPr>
        <w:t>؟)،</w:t>
      </w:r>
      <w:r w:rsidRPr="00C3556F">
        <w:rPr>
          <w:rFonts w:ascii="mylotus" w:hAnsi="mylotus" w:cs="mylotus"/>
          <w:sz w:val="26"/>
          <w:szCs w:val="26"/>
          <w:rtl/>
        </w:rPr>
        <w:t xml:space="preserve"> «روض الجنان وروح الجنان في تفسير القرآن» </w:t>
      </w:r>
      <w:r w:rsidR="00217AB4" w:rsidRPr="00C3556F">
        <w:rPr>
          <w:rFonts w:ascii="mylotus" w:hAnsi="mylotus" w:cs="mylotus"/>
          <w:sz w:val="26"/>
          <w:szCs w:val="26"/>
          <w:rtl/>
        </w:rPr>
        <w:t>(</w:t>
      </w:r>
      <w:r w:rsidRPr="00C3556F">
        <w:rPr>
          <w:rFonts w:ascii="mylotus" w:hAnsi="mylotus" w:cs="mylotus"/>
          <w:sz w:val="26"/>
          <w:szCs w:val="26"/>
          <w:rtl/>
        </w:rPr>
        <w:t>بالفارسية</w:t>
      </w:r>
      <w:r w:rsidR="00217AB4" w:rsidRPr="00C3556F">
        <w:rPr>
          <w:rFonts w:ascii="mylotus" w:hAnsi="mylotus" w:cs="mylotus"/>
          <w:sz w:val="26"/>
          <w:szCs w:val="26"/>
          <w:rtl/>
        </w:rPr>
        <w:t>)،</w:t>
      </w:r>
      <w:r w:rsidRPr="00C3556F">
        <w:rPr>
          <w:rFonts w:ascii="mylotus" w:hAnsi="mylotus" w:cs="mylotus"/>
          <w:sz w:val="26"/>
          <w:szCs w:val="26"/>
          <w:rtl/>
        </w:rPr>
        <w:t xml:space="preserve"> تحقيق</w:t>
      </w:r>
      <w:r w:rsidR="00217AB4" w:rsidRPr="00C3556F">
        <w:rPr>
          <w:rFonts w:ascii="mylotus" w:hAnsi="mylotus" w:cs="mylotus"/>
          <w:sz w:val="26"/>
          <w:szCs w:val="26"/>
          <w:rtl/>
        </w:rPr>
        <w:t>:</w:t>
      </w:r>
      <w:r w:rsidRPr="00C3556F">
        <w:rPr>
          <w:rFonts w:ascii="mylotus" w:hAnsi="mylotus" w:cs="mylotus"/>
          <w:sz w:val="26"/>
          <w:szCs w:val="26"/>
          <w:rtl/>
        </w:rPr>
        <w:t xml:space="preserve"> د</w:t>
      </w:r>
      <w:r w:rsidR="00217AB4" w:rsidRPr="00C3556F">
        <w:rPr>
          <w:rFonts w:ascii="mylotus" w:hAnsi="mylotus" w:cs="mylotus"/>
          <w:sz w:val="26"/>
          <w:szCs w:val="26"/>
          <w:rtl/>
        </w:rPr>
        <w:t>.</w:t>
      </w:r>
      <w:r w:rsidRPr="00C3556F">
        <w:rPr>
          <w:rFonts w:ascii="mylotus" w:hAnsi="mylotus" w:cs="mylotus"/>
          <w:sz w:val="26"/>
          <w:szCs w:val="26"/>
          <w:rtl/>
        </w:rPr>
        <w:t xml:space="preserve"> محمد جعفر ياحقي</w:t>
      </w:r>
      <w:r w:rsidR="00217AB4" w:rsidRPr="00C3556F">
        <w:rPr>
          <w:rFonts w:ascii="mylotus" w:hAnsi="mylotus" w:cs="mylotus"/>
          <w:sz w:val="26"/>
          <w:szCs w:val="26"/>
          <w:rtl/>
        </w:rPr>
        <w:t>،</w:t>
      </w:r>
      <w:r w:rsidRPr="00C3556F">
        <w:rPr>
          <w:rFonts w:ascii="mylotus" w:hAnsi="mylotus" w:cs="mylotus"/>
          <w:sz w:val="26"/>
          <w:szCs w:val="26"/>
          <w:rtl/>
        </w:rPr>
        <w:t xml:space="preserve"> مشهد</w:t>
      </w:r>
      <w:r w:rsidR="00217AB4" w:rsidRPr="00C3556F">
        <w:rPr>
          <w:rFonts w:ascii="mylotus" w:hAnsi="mylotus" w:cs="mylotus"/>
          <w:sz w:val="26"/>
          <w:szCs w:val="26"/>
          <w:rtl/>
        </w:rPr>
        <w:t>،</w:t>
      </w:r>
      <w:r w:rsidRPr="00C3556F">
        <w:rPr>
          <w:rFonts w:ascii="mylotus" w:hAnsi="mylotus" w:cs="mylotus"/>
          <w:sz w:val="26"/>
          <w:szCs w:val="26"/>
          <w:rtl/>
        </w:rPr>
        <w:t xml:space="preserve"> 1408هـ</w:t>
      </w:r>
      <w:r w:rsidR="00217AB4" w:rsidRPr="00C3556F">
        <w:rPr>
          <w:rFonts w:ascii="mylotus" w:hAnsi="mylotus" w:cs="mylotus"/>
          <w:sz w:val="26"/>
          <w:szCs w:val="26"/>
          <w:rtl/>
        </w:rPr>
        <w:t>.</w:t>
      </w:r>
    </w:p>
    <w:p w:rsidR="005C664D" w:rsidRPr="00C3556F" w:rsidRDefault="005C664D" w:rsidP="00C3556F">
      <w:pPr>
        <w:numPr>
          <w:ilvl w:val="0"/>
          <w:numId w:val="30"/>
        </w:numPr>
        <w:spacing w:line="228" w:lineRule="auto"/>
        <w:ind w:left="397" w:hanging="397"/>
        <w:jc w:val="both"/>
        <w:rPr>
          <w:rFonts w:ascii="mylotus" w:hAnsi="mylotus" w:cs="mylotus"/>
          <w:sz w:val="26"/>
          <w:szCs w:val="26"/>
          <w:rtl/>
        </w:rPr>
      </w:pPr>
      <w:r w:rsidRPr="00C3556F">
        <w:rPr>
          <w:rFonts w:ascii="mylotus" w:hAnsi="mylotus" w:cs="mylotus"/>
          <w:sz w:val="26"/>
          <w:szCs w:val="26"/>
          <w:rtl/>
        </w:rPr>
        <w:t>الأردبيلي</w:t>
      </w:r>
      <w:r w:rsidR="00217AB4" w:rsidRPr="00C3556F">
        <w:rPr>
          <w:rFonts w:ascii="mylotus" w:hAnsi="mylotus" w:cs="mylotus"/>
          <w:sz w:val="26"/>
          <w:szCs w:val="26"/>
          <w:rtl/>
        </w:rPr>
        <w:t>،</w:t>
      </w:r>
      <w:r w:rsidRPr="00C3556F">
        <w:rPr>
          <w:rFonts w:ascii="mylotus" w:hAnsi="mylotus" w:cs="mylotus"/>
          <w:sz w:val="26"/>
          <w:szCs w:val="26"/>
          <w:rtl/>
        </w:rPr>
        <w:t xml:space="preserve"> أحمد بن محمد</w:t>
      </w:r>
      <w:r w:rsidR="00217AB4" w:rsidRPr="00C3556F">
        <w:rPr>
          <w:rFonts w:ascii="mylotus" w:hAnsi="mylotus" w:cs="mylotus"/>
          <w:sz w:val="26"/>
          <w:szCs w:val="26"/>
          <w:rtl/>
        </w:rPr>
        <w:t>،</w:t>
      </w:r>
      <w:r w:rsidRPr="00C3556F">
        <w:rPr>
          <w:rFonts w:ascii="mylotus" w:hAnsi="mylotus" w:cs="mylotus"/>
          <w:sz w:val="26"/>
          <w:szCs w:val="26"/>
          <w:rtl/>
        </w:rPr>
        <w:t xml:space="preserve"> الشهير بالمُقَدَّس الأردبيلي </w:t>
      </w:r>
      <w:r w:rsidR="00217AB4" w:rsidRPr="00C3556F">
        <w:rPr>
          <w:rFonts w:ascii="mylotus" w:hAnsi="mylotus" w:cs="mylotus"/>
          <w:sz w:val="26"/>
          <w:szCs w:val="26"/>
          <w:rtl/>
        </w:rPr>
        <w:t>(</w:t>
      </w:r>
      <w:r w:rsidRPr="00C3556F">
        <w:rPr>
          <w:rFonts w:ascii="mylotus" w:hAnsi="mylotus" w:cs="mylotus"/>
          <w:sz w:val="26"/>
          <w:szCs w:val="26"/>
          <w:rtl/>
        </w:rPr>
        <w:t>993هـ</w:t>
      </w:r>
      <w:r w:rsidR="00217AB4" w:rsidRPr="00C3556F">
        <w:rPr>
          <w:rFonts w:ascii="mylotus" w:hAnsi="mylotus" w:cs="mylotus"/>
          <w:sz w:val="26"/>
          <w:szCs w:val="26"/>
          <w:rtl/>
        </w:rPr>
        <w:t>)،</w:t>
      </w:r>
      <w:r w:rsidRPr="00C3556F">
        <w:rPr>
          <w:rFonts w:ascii="mylotus" w:hAnsi="mylotus" w:cs="mylotus"/>
          <w:sz w:val="26"/>
          <w:szCs w:val="26"/>
          <w:rtl/>
        </w:rPr>
        <w:t xml:space="preserve"> «زبدة البيان في شرح آيات أحكام القرآن»</w:t>
      </w:r>
      <w:r w:rsidR="00217AB4" w:rsidRPr="00C3556F">
        <w:rPr>
          <w:rFonts w:ascii="mylotus" w:hAnsi="mylotus" w:cs="mylotus"/>
          <w:sz w:val="26"/>
          <w:szCs w:val="26"/>
          <w:rtl/>
        </w:rPr>
        <w:t>،</w:t>
      </w:r>
      <w:r w:rsidRPr="00C3556F">
        <w:rPr>
          <w:rFonts w:ascii="mylotus" w:hAnsi="mylotus" w:cs="mylotus"/>
          <w:sz w:val="26"/>
          <w:szCs w:val="26"/>
          <w:rtl/>
        </w:rPr>
        <w:t xml:space="preserve"> طهران</w:t>
      </w:r>
      <w:r w:rsidR="00217AB4" w:rsidRPr="00C3556F">
        <w:rPr>
          <w:rFonts w:ascii="mylotus" w:hAnsi="mylotus" w:cs="mylotus"/>
          <w:sz w:val="26"/>
          <w:szCs w:val="26"/>
          <w:rtl/>
        </w:rPr>
        <w:t>،</w:t>
      </w:r>
      <w:r w:rsidRPr="00C3556F">
        <w:rPr>
          <w:rFonts w:ascii="mylotus" w:hAnsi="mylotus" w:cs="mylotus"/>
          <w:sz w:val="26"/>
          <w:szCs w:val="26"/>
          <w:rtl/>
        </w:rPr>
        <w:t xml:space="preserve"> كتابفروشي مرتضوي</w:t>
      </w:r>
      <w:r w:rsidR="00217AB4" w:rsidRPr="00C3556F">
        <w:rPr>
          <w:rFonts w:ascii="mylotus" w:hAnsi="mylotus" w:cs="mylotus"/>
          <w:sz w:val="26"/>
          <w:szCs w:val="26"/>
          <w:rtl/>
        </w:rPr>
        <w:t>،</w:t>
      </w:r>
      <w:r w:rsidRPr="00C3556F">
        <w:rPr>
          <w:rFonts w:ascii="mylotus" w:hAnsi="mylotus" w:cs="mylotus"/>
          <w:sz w:val="26"/>
          <w:szCs w:val="26"/>
          <w:rtl/>
        </w:rPr>
        <w:t xml:space="preserve"> د</w:t>
      </w:r>
      <w:r w:rsidR="00217AB4" w:rsidRPr="00C3556F">
        <w:rPr>
          <w:rFonts w:ascii="mylotus" w:hAnsi="mylotus" w:cs="mylotus"/>
          <w:sz w:val="26"/>
          <w:szCs w:val="26"/>
          <w:rtl/>
        </w:rPr>
        <w:t>.</w:t>
      </w:r>
      <w:r w:rsidRPr="00C3556F">
        <w:rPr>
          <w:rFonts w:ascii="mylotus" w:hAnsi="mylotus" w:cs="mylotus"/>
          <w:sz w:val="26"/>
          <w:szCs w:val="26"/>
          <w:rtl/>
        </w:rPr>
        <w:t>ت</w:t>
      </w:r>
      <w:r w:rsidR="00217AB4" w:rsidRPr="00C3556F">
        <w:rPr>
          <w:rFonts w:ascii="mylotus" w:hAnsi="mylotus" w:cs="mylotus"/>
          <w:sz w:val="26"/>
          <w:szCs w:val="26"/>
          <w:rtl/>
        </w:rPr>
        <w:t>.</w:t>
      </w:r>
    </w:p>
    <w:p w:rsidR="005C664D" w:rsidRPr="00C3556F" w:rsidRDefault="005C664D" w:rsidP="00C3556F">
      <w:pPr>
        <w:numPr>
          <w:ilvl w:val="0"/>
          <w:numId w:val="30"/>
        </w:numPr>
        <w:spacing w:line="228" w:lineRule="auto"/>
        <w:ind w:left="397" w:hanging="397"/>
        <w:jc w:val="both"/>
        <w:rPr>
          <w:rFonts w:ascii="mylotus" w:hAnsi="mylotus" w:cs="mylotus"/>
          <w:sz w:val="26"/>
          <w:szCs w:val="26"/>
          <w:rtl/>
        </w:rPr>
      </w:pPr>
      <w:r w:rsidRPr="00C3556F">
        <w:rPr>
          <w:rFonts w:ascii="mylotus" w:hAnsi="mylotus" w:cs="mylotus"/>
          <w:sz w:val="26"/>
          <w:szCs w:val="26"/>
          <w:rtl/>
        </w:rPr>
        <w:t>الجواد الكاظمي</w:t>
      </w:r>
      <w:r w:rsidR="00217AB4" w:rsidRPr="00C3556F">
        <w:rPr>
          <w:rFonts w:ascii="mylotus" w:hAnsi="mylotus" w:cs="mylotus"/>
          <w:sz w:val="26"/>
          <w:szCs w:val="26"/>
          <w:rtl/>
        </w:rPr>
        <w:t>،</w:t>
      </w:r>
      <w:r w:rsidRPr="00C3556F">
        <w:rPr>
          <w:rFonts w:ascii="mylotus" w:hAnsi="mylotus" w:cs="mylotus"/>
          <w:sz w:val="26"/>
          <w:szCs w:val="26"/>
          <w:rtl/>
        </w:rPr>
        <w:t xml:space="preserve"> الفاضل جواد بن سعد </w:t>
      </w:r>
      <w:r w:rsidR="00217AB4" w:rsidRPr="00C3556F">
        <w:rPr>
          <w:rFonts w:ascii="mylotus" w:hAnsi="mylotus" w:cs="mylotus"/>
          <w:sz w:val="26"/>
          <w:szCs w:val="26"/>
          <w:rtl/>
        </w:rPr>
        <w:t>(</w:t>
      </w:r>
      <w:r w:rsidRPr="00C3556F">
        <w:rPr>
          <w:rFonts w:ascii="mylotus" w:hAnsi="mylotus" w:cs="mylotus"/>
          <w:sz w:val="26"/>
          <w:szCs w:val="26"/>
          <w:rtl/>
        </w:rPr>
        <w:t>أو سعيد</w:t>
      </w:r>
      <w:r w:rsidR="00217AB4" w:rsidRPr="00C3556F">
        <w:rPr>
          <w:rFonts w:ascii="mylotus" w:hAnsi="mylotus" w:cs="mylotus"/>
          <w:sz w:val="26"/>
          <w:szCs w:val="26"/>
          <w:rtl/>
        </w:rPr>
        <w:t>)</w:t>
      </w:r>
      <w:r w:rsidRPr="00C3556F">
        <w:rPr>
          <w:rFonts w:ascii="mylotus" w:hAnsi="mylotus" w:cs="mylotus"/>
          <w:sz w:val="26"/>
          <w:szCs w:val="26"/>
          <w:rtl/>
        </w:rPr>
        <w:t xml:space="preserve"> بن جواد البغدادي الكاظمي </w:t>
      </w:r>
      <w:r w:rsidR="00217AB4" w:rsidRPr="00C3556F">
        <w:rPr>
          <w:rFonts w:ascii="mylotus" w:hAnsi="mylotus" w:cs="mylotus"/>
          <w:sz w:val="26"/>
          <w:szCs w:val="26"/>
          <w:rtl/>
        </w:rPr>
        <w:t>(</w:t>
      </w:r>
      <w:r w:rsidRPr="00C3556F">
        <w:rPr>
          <w:rFonts w:ascii="mylotus" w:hAnsi="mylotus" w:cs="mylotus"/>
          <w:sz w:val="26"/>
          <w:szCs w:val="26"/>
          <w:rtl/>
        </w:rPr>
        <w:t>1065هـ</w:t>
      </w:r>
      <w:r w:rsidR="00217AB4" w:rsidRPr="00C3556F">
        <w:rPr>
          <w:rFonts w:ascii="mylotus" w:hAnsi="mylotus" w:cs="mylotus"/>
          <w:sz w:val="26"/>
          <w:szCs w:val="26"/>
          <w:rtl/>
        </w:rPr>
        <w:t>)،</w:t>
      </w:r>
      <w:r w:rsidRPr="00C3556F">
        <w:rPr>
          <w:rFonts w:ascii="mylotus" w:hAnsi="mylotus" w:cs="mylotus"/>
          <w:sz w:val="26"/>
          <w:szCs w:val="26"/>
          <w:rtl/>
        </w:rPr>
        <w:t xml:space="preserve"> «مسالك الأفهام إلى آيات الأحكام»</w:t>
      </w:r>
      <w:r w:rsidR="00217AB4" w:rsidRPr="00C3556F">
        <w:rPr>
          <w:rFonts w:ascii="mylotus" w:hAnsi="mylotus" w:cs="mylotus"/>
          <w:sz w:val="26"/>
          <w:szCs w:val="26"/>
          <w:rtl/>
        </w:rPr>
        <w:t>،</w:t>
      </w:r>
      <w:r w:rsidRPr="00C3556F">
        <w:rPr>
          <w:rFonts w:ascii="mylotus" w:hAnsi="mylotus" w:cs="mylotus"/>
          <w:sz w:val="26"/>
          <w:szCs w:val="26"/>
          <w:rtl/>
        </w:rPr>
        <w:t xml:space="preserve"> ط2</w:t>
      </w:r>
      <w:r w:rsidR="00217AB4" w:rsidRPr="00C3556F">
        <w:rPr>
          <w:rFonts w:ascii="mylotus" w:hAnsi="mylotus" w:cs="mylotus"/>
          <w:sz w:val="26"/>
          <w:szCs w:val="26"/>
          <w:rtl/>
        </w:rPr>
        <w:t>،</w:t>
      </w:r>
      <w:r w:rsidRPr="00C3556F">
        <w:rPr>
          <w:rFonts w:ascii="mylotus" w:hAnsi="mylotus" w:cs="mylotus"/>
          <w:sz w:val="26"/>
          <w:szCs w:val="26"/>
          <w:rtl/>
        </w:rPr>
        <w:t xml:space="preserve"> طهران</w:t>
      </w:r>
      <w:r w:rsidR="00217AB4" w:rsidRPr="00C3556F">
        <w:rPr>
          <w:rFonts w:ascii="mylotus" w:hAnsi="mylotus" w:cs="mylotus"/>
          <w:sz w:val="26"/>
          <w:szCs w:val="26"/>
          <w:rtl/>
        </w:rPr>
        <w:t>،</w:t>
      </w:r>
      <w:r w:rsidRPr="00C3556F">
        <w:rPr>
          <w:rFonts w:ascii="mylotus" w:hAnsi="mylotus" w:cs="mylotus"/>
          <w:sz w:val="26"/>
          <w:szCs w:val="26"/>
          <w:rtl/>
        </w:rPr>
        <w:t xml:space="preserve"> كتابفروشي مرتضوي</w:t>
      </w:r>
      <w:r w:rsidR="00217AB4" w:rsidRPr="00C3556F">
        <w:rPr>
          <w:rFonts w:ascii="mylotus" w:hAnsi="mylotus" w:cs="mylotus"/>
          <w:sz w:val="26"/>
          <w:szCs w:val="26"/>
          <w:rtl/>
        </w:rPr>
        <w:t>،</w:t>
      </w:r>
      <w:r w:rsidRPr="00C3556F">
        <w:rPr>
          <w:rFonts w:ascii="mylotus" w:hAnsi="mylotus" w:cs="mylotus"/>
          <w:sz w:val="26"/>
          <w:szCs w:val="26"/>
          <w:rtl/>
        </w:rPr>
        <w:t xml:space="preserve"> 1365هـ شمسي </w:t>
      </w:r>
      <w:r w:rsidR="00217AB4" w:rsidRPr="00C3556F">
        <w:rPr>
          <w:rFonts w:ascii="mylotus" w:hAnsi="mylotus" w:cs="mylotus"/>
          <w:sz w:val="26"/>
          <w:szCs w:val="26"/>
          <w:rtl/>
        </w:rPr>
        <w:t>(</w:t>
      </w:r>
      <w:r w:rsidRPr="00C3556F">
        <w:rPr>
          <w:rFonts w:ascii="mylotus" w:hAnsi="mylotus" w:cs="mylotus"/>
          <w:sz w:val="26"/>
          <w:szCs w:val="26"/>
          <w:rtl/>
        </w:rPr>
        <w:t>الموافق لـ 1986م</w:t>
      </w:r>
      <w:r w:rsidR="00217AB4" w:rsidRPr="00C3556F">
        <w:rPr>
          <w:rFonts w:ascii="mylotus" w:hAnsi="mylotus" w:cs="mylotus"/>
          <w:sz w:val="26"/>
          <w:szCs w:val="26"/>
          <w:rtl/>
        </w:rPr>
        <w:t>).</w:t>
      </w:r>
    </w:p>
    <w:p w:rsidR="005C664D" w:rsidRPr="00C3556F" w:rsidRDefault="005C664D" w:rsidP="00C3556F">
      <w:pPr>
        <w:numPr>
          <w:ilvl w:val="0"/>
          <w:numId w:val="30"/>
        </w:numPr>
        <w:spacing w:line="228" w:lineRule="auto"/>
        <w:ind w:left="397" w:hanging="397"/>
        <w:jc w:val="both"/>
        <w:rPr>
          <w:rFonts w:ascii="mylotus" w:hAnsi="mylotus" w:cs="mylotus"/>
          <w:sz w:val="26"/>
          <w:szCs w:val="26"/>
        </w:rPr>
      </w:pPr>
      <w:r w:rsidRPr="00C3556F">
        <w:rPr>
          <w:rFonts w:ascii="mylotus" w:hAnsi="mylotus" w:cs="mylotus"/>
          <w:sz w:val="26"/>
          <w:szCs w:val="26"/>
          <w:rtl/>
        </w:rPr>
        <w:t>الطَّبْرِسِي</w:t>
      </w:r>
      <w:r w:rsidR="00217AB4" w:rsidRPr="00C3556F">
        <w:rPr>
          <w:rFonts w:ascii="mylotus" w:hAnsi="mylotus" w:cs="mylotus"/>
          <w:sz w:val="26"/>
          <w:szCs w:val="26"/>
          <w:rtl/>
        </w:rPr>
        <w:t>،</w:t>
      </w:r>
      <w:r w:rsidRPr="00C3556F">
        <w:rPr>
          <w:rFonts w:ascii="mylotus" w:hAnsi="mylotus" w:cs="mylotus"/>
          <w:sz w:val="26"/>
          <w:szCs w:val="26"/>
          <w:rtl/>
        </w:rPr>
        <w:t xml:space="preserve"> الشيخ أمين الإسلام أبو على الفضل بن الحسن </w:t>
      </w:r>
      <w:r w:rsidR="00217AB4" w:rsidRPr="00C3556F">
        <w:rPr>
          <w:rFonts w:ascii="mylotus" w:hAnsi="mylotus" w:cs="mylotus"/>
          <w:sz w:val="26"/>
          <w:szCs w:val="26"/>
          <w:rtl/>
        </w:rPr>
        <w:t>(</w:t>
      </w:r>
      <w:r w:rsidRPr="00C3556F">
        <w:rPr>
          <w:rFonts w:ascii="mylotus" w:hAnsi="mylotus" w:cs="mylotus"/>
          <w:sz w:val="26"/>
          <w:szCs w:val="26"/>
          <w:rtl/>
        </w:rPr>
        <w:t>560هـ</w:t>
      </w:r>
      <w:r w:rsidR="00217AB4" w:rsidRPr="00C3556F">
        <w:rPr>
          <w:rFonts w:ascii="mylotus" w:hAnsi="mylotus" w:cs="mylotus"/>
          <w:sz w:val="26"/>
          <w:szCs w:val="26"/>
          <w:rtl/>
        </w:rPr>
        <w:t>)،</w:t>
      </w:r>
      <w:r w:rsidRPr="00C3556F">
        <w:rPr>
          <w:rFonts w:ascii="mylotus" w:hAnsi="mylotus" w:cs="mylotus"/>
          <w:sz w:val="26"/>
          <w:szCs w:val="26"/>
          <w:rtl/>
        </w:rPr>
        <w:t xml:space="preserve"> «مجمع البيان في تفسير القرآن»</w:t>
      </w:r>
      <w:r w:rsidR="00217AB4" w:rsidRPr="00C3556F">
        <w:rPr>
          <w:rFonts w:ascii="mylotus" w:hAnsi="mylotus" w:cs="mylotus"/>
          <w:sz w:val="26"/>
          <w:szCs w:val="26"/>
          <w:rtl/>
        </w:rPr>
        <w:t>،</w:t>
      </w:r>
      <w:r w:rsidRPr="00C3556F">
        <w:rPr>
          <w:rFonts w:ascii="mylotus" w:hAnsi="mylotus" w:cs="mylotus"/>
          <w:sz w:val="26"/>
          <w:szCs w:val="26"/>
          <w:rtl/>
        </w:rPr>
        <w:t xml:space="preserve"> طبع مطبعة إسلامية</w:t>
      </w:r>
      <w:r w:rsidR="00217AB4" w:rsidRPr="00C3556F">
        <w:rPr>
          <w:rFonts w:ascii="mylotus" w:hAnsi="mylotus" w:cs="mylotus"/>
          <w:sz w:val="26"/>
          <w:szCs w:val="26"/>
          <w:rtl/>
        </w:rPr>
        <w:t>،</w:t>
      </w:r>
      <w:r w:rsidRPr="00C3556F">
        <w:rPr>
          <w:rFonts w:ascii="mylotus" w:hAnsi="mylotus" w:cs="mylotus"/>
          <w:sz w:val="26"/>
          <w:szCs w:val="26"/>
          <w:rtl/>
        </w:rPr>
        <w:t xml:space="preserve"> طهران</w:t>
      </w:r>
      <w:r w:rsidR="00217AB4" w:rsidRPr="00C3556F">
        <w:rPr>
          <w:rFonts w:ascii="mylotus" w:hAnsi="mylotus" w:cs="mylotus"/>
          <w:sz w:val="26"/>
          <w:szCs w:val="26"/>
          <w:rtl/>
        </w:rPr>
        <w:t>.</w:t>
      </w:r>
    </w:p>
    <w:p w:rsidR="005C664D" w:rsidRPr="00C3556F" w:rsidRDefault="005C664D" w:rsidP="00C3556F">
      <w:pPr>
        <w:numPr>
          <w:ilvl w:val="0"/>
          <w:numId w:val="30"/>
        </w:numPr>
        <w:spacing w:line="228" w:lineRule="auto"/>
        <w:ind w:left="397" w:hanging="397"/>
        <w:jc w:val="both"/>
        <w:rPr>
          <w:rFonts w:ascii="mylotus" w:hAnsi="mylotus" w:cs="mylotus"/>
          <w:sz w:val="26"/>
          <w:szCs w:val="26"/>
          <w:rtl/>
        </w:rPr>
      </w:pPr>
      <w:r w:rsidRPr="00C3556F">
        <w:rPr>
          <w:rFonts w:ascii="mylotus" w:hAnsi="mylotus" w:cs="mylotus"/>
          <w:sz w:val="26"/>
          <w:szCs w:val="26"/>
          <w:rtl/>
        </w:rPr>
        <w:t>الطوسي</w:t>
      </w:r>
      <w:r w:rsidR="00217AB4" w:rsidRPr="00C3556F">
        <w:rPr>
          <w:rFonts w:ascii="mylotus" w:hAnsi="mylotus" w:cs="mylotus"/>
          <w:sz w:val="26"/>
          <w:szCs w:val="26"/>
          <w:rtl/>
        </w:rPr>
        <w:t>،</w:t>
      </w:r>
      <w:r w:rsidRPr="00C3556F">
        <w:rPr>
          <w:rFonts w:ascii="mylotus" w:hAnsi="mylotus" w:cs="mylotus"/>
          <w:sz w:val="26"/>
          <w:szCs w:val="26"/>
          <w:rtl/>
        </w:rPr>
        <w:t xml:space="preserve"> شيخ الطائفة أبو جعفر محمد بن الحسن </w:t>
      </w:r>
      <w:r w:rsidR="00217AB4" w:rsidRPr="00C3556F">
        <w:rPr>
          <w:rFonts w:ascii="mylotus" w:hAnsi="mylotus" w:cs="mylotus"/>
          <w:sz w:val="26"/>
          <w:szCs w:val="26"/>
          <w:rtl/>
        </w:rPr>
        <w:t>(</w:t>
      </w:r>
      <w:r w:rsidRPr="00C3556F">
        <w:rPr>
          <w:rFonts w:ascii="mylotus" w:hAnsi="mylotus" w:cs="mylotus"/>
          <w:sz w:val="26"/>
          <w:szCs w:val="26"/>
          <w:rtl/>
        </w:rPr>
        <w:t>460هـ</w:t>
      </w:r>
      <w:r w:rsidR="00217AB4" w:rsidRPr="00C3556F">
        <w:rPr>
          <w:rFonts w:ascii="mylotus" w:hAnsi="mylotus" w:cs="mylotus"/>
          <w:sz w:val="26"/>
          <w:szCs w:val="26"/>
          <w:rtl/>
        </w:rPr>
        <w:t>)،</w:t>
      </w:r>
      <w:r w:rsidRPr="00C3556F">
        <w:rPr>
          <w:rFonts w:ascii="mylotus" w:hAnsi="mylotus" w:cs="mylotus"/>
          <w:sz w:val="26"/>
          <w:szCs w:val="26"/>
          <w:rtl/>
        </w:rPr>
        <w:t xml:space="preserve"> «التبيان في تفسير القرآن»</w:t>
      </w:r>
      <w:r w:rsidR="00217AB4" w:rsidRPr="00C3556F">
        <w:rPr>
          <w:rFonts w:ascii="mylotus" w:hAnsi="mylotus" w:cs="mylotus"/>
          <w:sz w:val="26"/>
          <w:szCs w:val="26"/>
          <w:rtl/>
        </w:rPr>
        <w:t>،</w:t>
      </w:r>
      <w:r w:rsidRPr="00C3556F">
        <w:rPr>
          <w:rFonts w:ascii="mylotus" w:hAnsi="mylotus" w:cs="mylotus"/>
          <w:sz w:val="26"/>
          <w:szCs w:val="26"/>
          <w:rtl/>
        </w:rPr>
        <w:t xml:space="preserve"> طهران </w:t>
      </w:r>
      <w:r w:rsidR="00217AB4" w:rsidRPr="00C3556F">
        <w:rPr>
          <w:rFonts w:ascii="mylotus" w:hAnsi="mylotus" w:cs="mylotus"/>
          <w:sz w:val="26"/>
          <w:szCs w:val="26"/>
          <w:rtl/>
        </w:rPr>
        <w:t>(</w:t>
      </w:r>
      <w:r w:rsidRPr="00C3556F">
        <w:rPr>
          <w:rFonts w:ascii="mylotus" w:hAnsi="mylotus" w:cs="mylotus"/>
          <w:sz w:val="26"/>
          <w:szCs w:val="26"/>
          <w:rtl/>
        </w:rPr>
        <w:t>طبعة حجرية</w:t>
      </w:r>
      <w:r w:rsidR="00217AB4" w:rsidRPr="00C3556F">
        <w:rPr>
          <w:rFonts w:ascii="mylotus" w:hAnsi="mylotus" w:cs="mylotus"/>
          <w:sz w:val="26"/>
          <w:szCs w:val="26"/>
          <w:rtl/>
        </w:rPr>
        <w:t>)،</w:t>
      </w:r>
      <w:r w:rsidRPr="00C3556F">
        <w:rPr>
          <w:rFonts w:ascii="mylotus" w:hAnsi="mylotus" w:cs="mylotus"/>
          <w:sz w:val="26"/>
          <w:szCs w:val="26"/>
          <w:rtl/>
        </w:rPr>
        <w:t xml:space="preserve"> 1365هـ</w:t>
      </w:r>
      <w:r w:rsidR="00217AB4" w:rsidRPr="00C3556F">
        <w:rPr>
          <w:rFonts w:ascii="mylotus" w:hAnsi="mylotus" w:cs="mylotus"/>
          <w:sz w:val="26"/>
          <w:szCs w:val="26"/>
          <w:rtl/>
        </w:rPr>
        <w:t>.</w:t>
      </w:r>
    </w:p>
    <w:p w:rsidR="005C664D" w:rsidRPr="00C3556F" w:rsidRDefault="005C664D" w:rsidP="00C3556F">
      <w:pPr>
        <w:numPr>
          <w:ilvl w:val="0"/>
          <w:numId w:val="30"/>
        </w:numPr>
        <w:spacing w:line="228" w:lineRule="auto"/>
        <w:ind w:left="397" w:hanging="397"/>
        <w:jc w:val="both"/>
        <w:rPr>
          <w:rFonts w:ascii="mylotus" w:hAnsi="mylotus" w:cs="mylotus"/>
          <w:sz w:val="26"/>
          <w:szCs w:val="26"/>
        </w:rPr>
      </w:pPr>
      <w:r w:rsidRPr="00C3556F">
        <w:rPr>
          <w:rFonts w:ascii="mylotus" w:hAnsi="mylotus" w:cs="mylotus"/>
          <w:sz w:val="26"/>
          <w:szCs w:val="26"/>
          <w:rtl/>
        </w:rPr>
        <w:t xml:space="preserve">فرات بن إبراهيم الكوفي </w:t>
      </w:r>
      <w:r w:rsidR="00217AB4" w:rsidRPr="00C3556F">
        <w:rPr>
          <w:rFonts w:ascii="mylotus" w:hAnsi="mylotus" w:cs="mylotus"/>
          <w:sz w:val="26"/>
          <w:szCs w:val="26"/>
          <w:rtl/>
        </w:rPr>
        <w:t>(</w:t>
      </w:r>
      <w:r w:rsidRPr="00C3556F">
        <w:rPr>
          <w:rFonts w:ascii="mylotus" w:hAnsi="mylotus" w:cs="mylotus"/>
          <w:sz w:val="26"/>
          <w:szCs w:val="26"/>
          <w:rtl/>
        </w:rPr>
        <w:t>القرن 3هـ</w:t>
      </w:r>
      <w:r w:rsidR="00217AB4" w:rsidRPr="00C3556F">
        <w:rPr>
          <w:rFonts w:ascii="mylotus" w:hAnsi="mylotus" w:cs="mylotus"/>
          <w:sz w:val="26"/>
          <w:szCs w:val="26"/>
          <w:rtl/>
        </w:rPr>
        <w:t>)،</w:t>
      </w:r>
      <w:r w:rsidRPr="00C3556F">
        <w:rPr>
          <w:rFonts w:ascii="mylotus" w:hAnsi="mylotus" w:cs="mylotus"/>
          <w:sz w:val="26"/>
          <w:szCs w:val="26"/>
          <w:rtl/>
        </w:rPr>
        <w:t xml:space="preserve"> «تفسير فرات بن إبراهيم»</w:t>
      </w:r>
      <w:r w:rsidR="00217AB4" w:rsidRPr="00C3556F">
        <w:rPr>
          <w:rFonts w:ascii="mylotus" w:hAnsi="mylotus" w:cs="mylotus"/>
          <w:sz w:val="26"/>
          <w:szCs w:val="26"/>
          <w:rtl/>
        </w:rPr>
        <w:t>،</w:t>
      </w:r>
      <w:r w:rsidRPr="00C3556F">
        <w:rPr>
          <w:rFonts w:ascii="mylotus" w:hAnsi="mylotus" w:cs="mylotus"/>
          <w:sz w:val="26"/>
          <w:szCs w:val="26"/>
          <w:rtl/>
        </w:rPr>
        <w:t xml:space="preserve"> طبعة النجف</w:t>
      </w:r>
      <w:r w:rsidR="00217AB4" w:rsidRPr="00C3556F">
        <w:rPr>
          <w:rFonts w:ascii="mylotus" w:hAnsi="mylotus" w:cs="mylotus"/>
          <w:sz w:val="26"/>
          <w:szCs w:val="26"/>
          <w:rtl/>
        </w:rPr>
        <w:t>،</w:t>
      </w:r>
      <w:r w:rsidRPr="00C3556F">
        <w:rPr>
          <w:rFonts w:ascii="mylotus" w:hAnsi="mylotus" w:cs="mylotus"/>
          <w:sz w:val="26"/>
          <w:szCs w:val="26"/>
          <w:rtl/>
        </w:rPr>
        <w:t xml:space="preserve"> أو طبعة طهران </w:t>
      </w:r>
      <w:r w:rsidR="00217AB4" w:rsidRPr="00C3556F">
        <w:rPr>
          <w:rFonts w:ascii="mylotus" w:hAnsi="mylotus" w:cs="mylotus"/>
          <w:sz w:val="26"/>
          <w:szCs w:val="26"/>
          <w:rtl/>
        </w:rPr>
        <w:t>(</w:t>
      </w:r>
      <w:r w:rsidRPr="00C3556F">
        <w:rPr>
          <w:rFonts w:ascii="mylotus" w:hAnsi="mylotus" w:cs="mylotus"/>
          <w:sz w:val="26"/>
          <w:szCs w:val="26"/>
          <w:rtl/>
        </w:rPr>
        <w:t>بتحقيق محمد الكاظم</w:t>
      </w:r>
      <w:r w:rsidR="00217AB4" w:rsidRPr="00C3556F">
        <w:rPr>
          <w:rFonts w:ascii="mylotus" w:hAnsi="mylotus" w:cs="mylotus"/>
          <w:sz w:val="26"/>
          <w:szCs w:val="26"/>
          <w:rtl/>
        </w:rPr>
        <w:t>)،</w:t>
      </w:r>
      <w:r w:rsidRPr="00C3556F">
        <w:rPr>
          <w:rFonts w:ascii="mylotus" w:hAnsi="mylotus" w:cs="mylotus"/>
          <w:sz w:val="26"/>
          <w:szCs w:val="26"/>
          <w:rtl/>
        </w:rPr>
        <w:t xml:space="preserve"> 1410هـ</w:t>
      </w:r>
      <w:r w:rsidR="00217AB4" w:rsidRPr="00C3556F">
        <w:rPr>
          <w:rFonts w:ascii="mylotus" w:hAnsi="mylotus" w:cs="mylotus"/>
          <w:sz w:val="26"/>
          <w:szCs w:val="26"/>
          <w:rtl/>
        </w:rPr>
        <w:t>.</w:t>
      </w:r>
    </w:p>
    <w:p w:rsidR="005C664D" w:rsidRPr="00C3556F" w:rsidRDefault="005C664D" w:rsidP="00C3556F">
      <w:pPr>
        <w:numPr>
          <w:ilvl w:val="0"/>
          <w:numId w:val="30"/>
        </w:numPr>
        <w:spacing w:line="228" w:lineRule="auto"/>
        <w:ind w:left="397" w:hanging="397"/>
        <w:jc w:val="both"/>
        <w:rPr>
          <w:rFonts w:ascii="mylotus" w:hAnsi="mylotus" w:cs="mylotus"/>
          <w:sz w:val="26"/>
          <w:szCs w:val="26"/>
          <w:rtl/>
        </w:rPr>
      </w:pPr>
      <w:r w:rsidRPr="00C3556F">
        <w:rPr>
          <w:rFonts w:ascii="mylotus" w:hAnsi="mylotus" w:cs="mylotus"/>
          <w:sz w:val="26"/>
          <w:szCs w:val="26"/>
          <w:rtl/>
          <w:lang w:bidi="ar-SY"/>
        </w:rPr>
        <w:t>القرطبي</w:t>
      </w:r>
      <w:r w:rsidR="00217AB4" w:rsidRPr="00C3556F">
        <w:rPr>
          <w:rFonts w:ascii="mylotus" w:hAnsi="mylotus" w:cs="mylotus"/>
          <w:sz w:val="26"/>
          <w:szCs w:val="26"/>
          <w:rtl/>
          <w:lang w:bidi="ar-SY"/>
        </w:rPr>
        <w:t>،</w:t>
      </w:r>
      <w:r w:rsidRPr="00C3556F">
        <w:rPr>
          <w:rFonts w:ascii="mylotus" w:hAnsi="mylotus" w:cs="mylotus"/>
          <w:sz w:val="26"/>
          <w:szCs w:val="26"/>
          <w:rtl/>
          <w:lang w:bidi="ar-SY"/>
        </w:rPr>
        <w:t xml:space="preserve"> شمس الدين أبو عبد الله محمد بن أحمد بن أبي بكر الأنصاري الخزرجي </w:t>
      </w:r>
      <w:r w:rsidR="00217AB4" w:rsidRPr="00C3556F">
        <w:rPr>
          <w:rFonts w:ascii="mylotus" w:hAnsi="mylotus" w:cs="mylotus"/>
          <w:sz w:val="26"/>
          <w:szCs w:val="26"/>
          <w:rtl/>
          <w:lang w:bidi="ar-SY"/>
        </w:rPr>
        <w:t>(</w:t>
      </w:r>
      <w:r w:rsidRPr="00C3556F">
        <w:rPr>
          <w:rFonts w:ascii="mylotus" w:hAnsi="mylotus" w:cs="mylotus"/>
          <w:sz w:val="26"/>
          <w:szCs w:val="26"/>
          <w:rtl/>
          <w:lang w:bidi="ar-SY"/>
        </w:rPr>
        <w:t xml:space="preserve">600 </w:t>
      </w:r>
      <w:r w:rsidR="00217AB4" w:rsidRPr="00C3556F">
        <w:rPr>
          <w:rFonts w:ascii="mylotus" w:hAnsi="mylotus" w:cs="mylotus"/>
          <w:sz w:val="26"/>
          <w:szCs w:val="26"/>
          <w:rtl/>
          <w:lang w:bidi="ar-SY"/>
        </w:rPr>
        <w:t>-</w:t>
      </w:r>
      <w:r w:rsidRPr="00C3556F">
        <w:rPr>
          <w:rFonts w:ascii="mylotus" w:hAnsi="mylotus" w:cs="mylotus"/>
          <w:sz w:val="26"/>
          <w:szCs w:val="26"/>
          <w:rtl/>
          <w:lang w:bidi="ar-SY"/>
        </w:rPr>
        <w:t xml:space="preserve"> 671هـ</w:t>
      </w:r>
      <w:r w:rsidR="00217AB4" w:rsidRPr="00C3556F">
        <w:rPr>
          <w:rFonts w:ascii="mylotus" w:hAnsi="mylotus" w:cs="mylotus"/>
          <w:sz w:val="26"/>
          <w:szCs w:val="26"/>
          <w:rtl/>
          <w:lang w:bidi="ar-SY"/>
        </w:rPr>
        <w:t>)،</w:t>
      </w:r>
      <w:r w:rsidRPr="00C3556F">
        <w:rPr>
          <w:rFonts w:ascii="mylotus" w:hAnsi="mylotus" w:cs="mylotus"/>
          <w:sz w:val="26"/>
          <w:szCs w:val="26"/>
          <w:rtl/>
          <w:lang w:bidi="ar-SY"/>
        </w:rPr>
        <w:t xml:space="preserve"> </w:t>
      </w:r>
      <w:r w:rsidRPr="00C3556F">
        <w:rPr>
          <w:rFonts w:ascii="mylotus" w:hAnsi="mylotus" w:cs="mylotus"/>
          <w:sz w:val="26"/>
          <w:szCs w:val="26"/>
          <w:rtl/>
        </w:rPr>
        <w:t>«تفسير الجامع لأحكام القرآن» المعروف ب</w:t>
      </w:r>
      <w:r w:rsidRPr="00C3556F">
        <w:rPr>
          <w:rFonts w:ascii="mylotus" w:hAnsi="mylotus" w:cs="mylotus"/>
          <w:sz w:val="26"/>
          <w:szCs w:val="26"/>
          <w:rtl/>
          <w:lang w:bidi="ar-SY"/>
        </w:rPr>
        <w:t>تفسير القرطبي</w:t>
      </w:r>
      <w:r w:rsidR="00217AB4" w:rsidRPr="00C3556F">
        <w:rPr>
          <w:rFonts w:ascii="mylotus" w:hAnsi="mylotus" w:cs="mylotus"/>
          <w:sz w:val="26"/>
          <w:szCs w:val="26"/>
          <w:rtl/>
          <w:lang w:bidi="ar-SY"/>
        </w:rPr>
        <w:t>،</w:t>
      </w:r>
      <w:r w:rsidRPr="00C3556F">
        <w:rPr>
          <w:rFonts w:ascii="mylotus" w:hAnsi="mylotus" w:cs="mylotus"/>
          <w:sz w:val="26"/>
          <w:szCs w:val="26"/>
          <w:rtl/>
          <w:lang w:bidi="ar-SY"/>
        </w:rPr>
        <w:t xml:space="preserve"> تحقيق أ</w:t>
      </w:r>
      <w:r w:rsidR="00217AB4" w:rsidRPr="00C3556F">
        <w:rPr>
          <w:rFonts w:ascii="mylotus" w:hAnsi="mylotus" w:cs="mylotus"/>
          <w:sz w:val="26"/>
          <w:szCs w:val="26"/>
          <w:rtl/>
          <w:lang w:bidi="ar-SY"/>
        </w:rPr>
        <w:t>.</w:t>
      </w:r>
      <w:r w:rsidRPr="00C3556F">
        <w:rPr>
          <w:rFonts w:ascii="mylotus" w:hAnsi="mylotus" w:cs="mylotus"/>
          <w:sz w:val="26"/>
          <w:szCs w:val="26"/>
          <w:rtl/>
          <w:lang w:bidi="ar-SY"/>
        </w:rPr>
        <w:t xml:space="preserve"> أحمد عبد العليم البردوني وآخرين</w:t>
      </w:r>
      <w:r w:rsidR="00217AB4" w:rsidRPr="00C3556F">
        <w:rPr>
          <w:rFonts w:ascii="mylotus" w:hAnsi="mylotus" w:cs="mylotus"/>
          <w:sz w:val="26"/>
          <w:szCs w:val="26"/>
          <w:rtl/>
          <w:lang w:bidi="ar-SY"/>
        </w:rPr>
        <w:t>.</w:t>
      </w:r>
      <w:r w:rsidRPr="00C3556F">
        <w:rPr>
          <w:rFonts w:ascii="mylotus" w:hAnsi="mylotus" w:cs="mylotus"/>
          <w:sz w:val="26"/>
          <w:szCs w:val="26"/>
          <w:rtl/>
          <w:lang w:bidi="ar-SY"/>
        </w:rPr>
        <w:t xml:space="preserve"> القاهرة</w:t>
      </w:r>
      <w:r w:rsidR="00217AB4" w:rsidRPr="00C3556F">
        <w:rPr>
          <w:rFonts w:ascii="mylotus" w:hAnsi="mylotus" w:cs="mylotus"/>
          <w:sz w:val="26"/>
          <w:szCs w:val="26"/>
          <w:rtl/>
          <w:lang w:bidi="ar-SY"/>
        </w:rPr>
        <w:t>،</w:t>
      </w:r>
      <w:r w:rsidRPr="00C3556F">
        <w:rPr>
          <w:rFonts w:ascii="mylotus" w:hAnsi="mylotus" w:cs="mylotus"/>
          <w:sz w:val="26"/>
          <w:szCs w:val="26"/>
          <w:rtl/>
          <w:lang w:bidi="ar-SY"/>
        </w:rPr>
        <w:t xml:space="preserve"> دار الشعب</w:t>
      </w:r>
      <w:r w:rsidR="00217AB4" w:rsidRPr="00C3556F">
        <w:rPr>
          <w:rFonts w:ascii="mylotus" w:hAnsi="mylotus" w:cs="mylotus"/>
          <w:sz w:val="26"/>
          <w:szCs w:val="26"/>
          <w:rtl/>
          <w:lang w:bidi="ar-SY"/>
        </w:rPr>
        <w:t>،</w:t>
      </w:r>
      <w:r w:rsidRPr="00C3556F">
        <w:rPr>
          <w:rFonts w:ascii="mylotus" w:hAnsi="mylotus" w:cs="mylotus"/>
          <w:sz w:val="26"/>
          <w:szCs w:val="26"/>
          <w:rtl/>
          <w:lang w:bidi="ar-SY"/>
        </w:rPr>
        <w:t xml:space="preserve"> ط2</w:t>
      </w:r>
      <w:r w:rsidR="00217AB4" w:rsidRPr="00C3556F">
        <w:rPr>
          <w:rFonts w:ascii="mylotus" w:hAnsi="mylotus" w:cs="mylotus"/>
          <w:sz w:val="26"/>
          <w:szCs w:val="26"/>
          <w:rtl/>
          <w:lang w:bidi="ar-SY"/>
        </w:rPr>
        <w:t>،</w:t>
      </w:r>
      <w:r w:rsidRPr="00C3556F">
        <w:rPr>
          <w:rFonts w:ascii="mylotus" w:hAnsi="mylotus" w:cs="mylotus"/>
          <w:sz w:val="26"/>
          <w:szCs w:val="26"/>
          <w:rtl/>
          <w:lang w:bidi="ar-SY"/>
        </w:rPr>
        <w:t xml:space="preserve"> 1372هـ [20 جزءاً]</w:t>
      </w:r>
      <w:r w:rsidR="00217AB4" w:rsidRPr="00C3556F">
        <w:rPr>
          <w:rFonts w:ascii="mylotus" w:hAnsi="mylotus" w:cs="mylotus"/>
          <w:sz w:val="26"/>
          <w:szCs w:val="26"/>
          <w:rtl/>
          <w:lang w:bidi="ar-SY"/>
        </w:rPr>
        <w:t>.</w:t>
      </w:r>
      <w:r w:rsidRPr="00C3556F">
        <w:rPr>
          <w:rFonts w:ascii="mylotus" w:hAnsi="mylotus" w:cs="mylotus"/>
          <w:sz w:val="26"/>
          <w:szCs w:val="26"/>
          <w:rtl/>
        </w:rPr>
        <w:t xml:space="preserve"> </w:t>
      </w:r>
    </w:p>
    <w:p w:rsidR="005C664D" w:rsidRPr="00C3556F" w:rsidRDefault="005C664D" w:rsidP="00C3556F">
      <w:pPr>
        <w:numPr>
          <w:ilvl w:val="0"/>
          <w:numId w:val="30"/>
        </w:numPr>
        <w:spacing w:line="228" w:lineRule="auto"/>
        <w:ind w:left="397" w:hanging="397"/>
        <w:jc w:val="both"/>
        <w:rPr>
          <w:rFonts w:ascii="mylotus" w:hAnsi="mylotus" w:cs="mylotus"/>
          <w:sz w:val="26"/>
          <w:szCs w:val="26"/>
        </w:rPr>
      </w:pPr>
      <w:r w:rsidRPr="00C3556F">
        <w:rPr>
          <w:rFonts w:ascii="mylotus" w:hAnsi="mylotus" w:cs="mylotus"/>
          <w:sz w:val="26"/>
          <w:szCs w:val="26"/>
          <w:rtl/>
        </w:rPr>
        <w:t>محمد رشيد رضا</w:t>
      </w:r>
      <w:r w:rsidR="00217AB4" w:rsidRPr="00C3556F">
        <w:rPr>
          <w:rFonts w:ascii="mylotus" w:hAnsi="mylotus" w:cs="mylotus"/>
          <w:sz w:val="26"/>
          <w:szCs w:val="26"/>
          <w:rtl/>
        </w:rPr>
        <w:t>،</w:t>
      </w:r>
      <w:r w:rsidRPr="00C3556F">
        <w:rPr>
          <w:rFonts w:ascii="mylotus" w:hAnsi="mylotus" w:cs="mylotus"/>
          <w:sz w:val="26"/>
          <w:szCs w:val="26"/>
          <w:rtl/>
        </w:rPr>
        <w:t xml:space="preserve"> السيد محمد رشيد بن علي رضا بن محمد شمس الدين القلموني </w:t>
      </w:r>
      <w:r w:rsidR="00217AB4" w:rsidRPr="00C3556F">
        <w:rPr>
          <w:rFonts w:ascii="mylotus" w:hAnsi="mylotus" w:cs="mylotus"/>
          <w:sz w:val="26"/>
          <w:szCs w:val="26"/>
          <w:rtl/>
        </w:rPr>
        <w:t>(</w:t>
      </w:r>
      <w:r w:rsidRPr="00C3556F">
        <w:rPr>
          <w:rFonts w:ascii="mylotus" w:hAnsi="mylotus" w:cs="mylotus"/>
          <w:sz w:val="26"/>
          <w:szCs w:val="26"/>
          <w:rtl/>
        </w:rPr>
        <w:t xml:space="preserve">1282 </w:t>
      </w:r>
      <w:r w:rsidR="00217AB4" w:rsidRPr="00C3556F">
        <w:rPr>
          <w:rFonts w:ascii="mylotus" w:hAnsi="mylotus" w:cs="mylotus"/>
          <w:sz w:val="26"/>
          <w:szCs w:val="26"/>
          <w:rtl/>
        </w:rPr>
        <w:t>-</w:t>
      </w:r>
      <w:r w:rsidRPr="00C3556F">
        <w:rPr>
          <w:rFonts w:ascii="mylotus" w:hAnsi="mylotus" w:cs="mylotus"/>
          <w:sz w:val="26"/>
          <w:szCs w:val="26"/>
          <w:rtl/>
        </w:rPr>
        <w:t xml:space="preserve"> 1354هـ</w:t>
      </w:r>
      <w:r w:rsidR="00217AB4" w:rsidRPr="00C3556F">
        <w:rPr>
          <w:rFonts w:ascii="mylotus" w:hAnsi="mylotus" w:cs="mylotus"/>
          <w:sz w:val="26"/>
          <w:szCs w:val="26"/>
          <w:rtl/>
        </w:rPr>
        <w:t>)،</w:t>
      </w:r>
      <w:r w:rsidRPr="00C3556F">
        <w:rPr>
          <w:rFonts w:ascii="mylotus" w:hAnsi="mylotus" w:cs="mylotus"/>
          <w:sz w:val="26"/>
          <w:szCs w:val="26"/>
          <w:rtl/>
        </w:rPr>
        <w:t xml:space="preserve"> «تفسير المنار»</w:t>
      </w:r>
      <w:r w:rsidR="00217AB4" w:rsidRPr="00C3556F">
        <w:rPr>
          <w:rFonts w:ascii="mylotus" w:hAnsi="mylotus" w:cs="mylotus"/>
          <w:sz w:val="26"/>
          <w:szCs w:val="26"/>
          <w:rtl/>
        </w:rPr>
        <w:t>،</w:t>
      </w:r>
      <w:r w:rsidRPr="00C3556F">
        <w:rPr>
          <w:rFonts w:ascii="mylotus" w:hAnsi="mylotus" w:cs="mylotus"/>
          <w:sz w:val="26"/>
          <w:szCs w:val="26"/>
          <w:rtl/>
        </w:rPr>
        <w:t xml:space="preserve"> بيروت</w:t>
      </w:r>
      <w:r w:rsidR="00217AB4" w:rsidRPr="00C3556F">
        <w:rPr>
          <w:rFonts w:ascii="mylotus" w:hAnsi="mylotus" w:cs="mylotus"/>
          <w:sz w:val="26"/>
          <w:szCs w:val="26"/>
          <w:rtl/>
        </w:rPr>
        <w:t>.</w:t>
      </w:r>
    </w:p>
    <w:p w:rsidR="005C664D" w:rsidRPr="00C3556F" w:rsidRDefault="005C664D" w:rsidP="00C3556F">
      <w:pPr>
        <w:spacing w:line="228" w:lineRule="auto"/>
        <w:ind w:left="397" w:hanging="397"/>
        <w:jc w:val="both"/>
        <w:rPr>
          <w:rFonts w:ascii="mylotus" w:hAnsi="mylotus" w:cs="mylotus"/>
          <w:b/>
          <w:bCs/>
          <w:sz w:val="26"/>
          <w:szCs w:val="26"/>
          <w:rtl/>
        </w:rPr>
      </w:pPr>
      <w:bookmarkStart w:id="210" w:name="_Toc215491170"/>
      <w:bookmarkStart w:id="211" w:name="_Toc215498089"/>
      <w:r w:rsidRPr="00C3556F">
        <w:rPr>
          <w:rFonts w:ascii="mylotus" w:hAnsi="mylotus" w:cs="mylotus"/>
          <w:b/>
          <w:bCs/>
          <w:sz w:val="26"/>
          <w:szCs w:val="26"/>
          <w:rtl/>
        </w:rPr>
        <w:t>كتب الحديث والأخبار وأصول الحديث</w:t>
      </w:r>
      <w:bookmarkEnd w:id="210"/>
      <w:bookmarkEnd w:id="211"/>
      <w:r w:rsidRPr="00C3556F">
        <w:rPr>
          <w:rFonts w:ascii="mylotus" w:hAnsi="mylotus" w:cs="mylotus"/>
          <w:b/>
          <w:bCs/>
          <w:sz w:val="26"/>
          <w:szCs w:val="26"/>
          <w:rtl/>
        </w:rPr>
        <w:t xml:space="preserve"> </w:t>
      </w:r>
    </w:p>
    <w:p w:rsidR="005C664D" w:rsidRPr="00C3556F" w:rsidRDefault="005C664D" w:rsidP="00C3556F">
      <w:pPr>
        <w:numPr>
          <w:ilvl w:val="0"/>
          <w:numId w:val="30"/>
        </w:numPr>
        <w:spacing w:line="228" w:lineRule="auto"/>
        <w:ind w:left="397" w:hanging="397"/>
        <w:jc w:val="both"/>
        <w:rPr>
          <w:rFonts w:ascii="mylotus" w:hAnsi="mylotus" w:cs="mylotus"/>
          <w:sz w:val="26"/>
          <w:szCs w:val="26"/>
          <w:rtl/>
        </w:rPr>
      </w:pPr>
      <w:r w:rsidRPr="00C3556F">
        <w:rPr>
          <w:rFonts w:ascii="mylotus" w:hAnsi="mylotus" w:cs="mylotus"/>
          <w:sz w:val="26"/>
          <w:szCs w:val="26"/>
          <w:rtl/>
        </w:rPr>
        <w:t>ابن أبي الحديد</w:t>
      </w:r>
      <w:r w:rsidR="00217AB4" w:rsidRPr="00C3556F">
        <w:rPr>
          <w:rFonts w:ascii="mylotus" w:hAnsi="mylotus" w:cs="mylotus"/>
          <w:sz w:val="26"/>
          <w:szCs w:val="26"/>
          <w:rtl/>
        </w:rPr>
        <w:t>،</w:t>
      </w:r>
      <w:r w:rsidRPr="00C3556F">
        <w:rPr>
          <w:rFonts w:ascii="mylotus" w:hAnsi="mylotus" w:cs="mylotus"/>
          <w:sz w:val="26"/>
          <w:szCs w:val="26"/>
          <w:rtl/>
        </w:rPr>
        <w:t xml:space="preserve"> عز الدين عبد الحميد بن أبي الحسن المدائني </w:t>
      </w:r>
      <w:r w:rsidR="00217AB4" w:rsidRPr="00C3556F">
        <w:rPr>
          <w:rFonts w:ascii="mylotus" w:hAnsi="mylotus" w:cs="mylotus"/>
          <w:sz w:val="26"/>
          <w:szCs w:val="26"/>
          <w:rtl/>
        </w:rPr>
        <w:t>(</w:t>
      </w:r>
      <w:r w:rsidRPr="00C3556F">
        <w:rPr>
          <w:rFonts w:ascii="mylotus" w:hAnsi="mylotus" w:cs="mylotus"/>
          <w:sz w:val="26"/>
          <w:szCs w:val="26"/>
          <w:rtl/>
        </w:rPr>
        <w:t>586</w:t>
      </w:r>
      <w:r w:rsidR="00217AB4" w:rsidRPr="00C3556F">
        <w:rPr>
          <w:rFonts w:ascii="mylotus" w:hAnsi="mylotus" w:cs="mylotus"/>
          <w:sz w:val="26"/>
          <w:szCs w:val="26"/>
          <w:rtl/>
        </w:rPr>
        <w:t>-</w:t>
      </w:r>
      <w:r w:rsidRPr="00C3556F">
        <w:rPr>
          <w:rFonts w:ascii="mylotus" w:hAnsi="mylotus" w:cs="mylotus"/>
          <w:sz w:val="26"/>
          <w:szCs w:val="26"/>
          <w:rtl/>
        </w:rPr>
        <w:t xml:space="preserve"> 655هـ</w:t>
      </w:r>
      <w:r w:rsidR="00217AB4" w:rsidRPr="00C3556F">
        <w:rPr>
          <w:rFonts w:ascii="mylotus" w:hAnsi="mylotus" w:cs="mylotus"/>
          <w:sz w:val="26"/>
          <w:szCs w:val="26"/>
          <w:rtl/>
        </w:rPr>
        <w:t>)،</w:t>
      </w:r>
      <w:r w:rsidRPr="00C3556F">
        <w:rPr>
          <w:rFonts w:ascii="mylotus" w:hAnsi="mylotus" w:cs="mylotus"/>
          <w:sz w:val="26"/>
          <w:szCs w:val="26"/>
          <w:rtl/>
        </w:rPr>
        <w:t xml:space="preserve"> «شرح نهج البلاغة»</w:t>
      </w:r>
      <w:r w:rsidR="00217AB4" w:rsidRPr="00C3556F">
        <w:rPr>
          <w:rFonts w:ascii="mylotus" w:hAnsi="mylotus" w:cs="mylotus"/>
          <w:sz w:val="26"/>
          <w:szCs w:val="26"/>
          <w:rtl/>
        </w:rPr>
        <w:t>،</w:t>
      </w:r>
      <w:r w:rsidRPr="00C3556F">
        <w:rPr>
          <w:rFonts w:ascii="mylotus" w:hAnsi="mylotus" w:cs="mylotus"/>
          <w:sz w:val="26"/>
          <w:szCs w:val="26"/>
          <w:rtl/>
        </w:rPr>
        <w:t xml:space="preserve"> مصر</w:t>
      </w:r>
      <w:r w:rsidR="00217AB4" w:rsidRPr="00C3556F">
        <w:rPr>
          <w:rFonts w:ascii="mylotus" w:hAnsi="mylotus" w:cs="mylotus"/>
          <w:sz w:val="26"/>
          <w:szCs w:val="26"/>
          <w:rtl/>
        </w:rPr>
        <w:t>،</w:t>
      </w:r>
      <w:r w:rsidRPr="00C3556F">
        <w:rPr>
          <w:rFonts w:ascii="mylotus" w:hAnsi="mylotus" w:cs="mylotus"/>
          <w:sz w:val="26"/>
          <w:szCs w:val="26"/>
          <w:rtl/>
        </w:rPr>
        <w:t xml:space="preserve"> 1378هـ</w:t>
      </w:r>
      <w:r w:rsidR="00217AB4" w:rsidRPr="00C3556F">
        <w:rPr>
          <w:rFonts w:ascii="mylotus" w:hAnsi="mylotus" w:cs="mylotus"/>
          <w:sz w:val="26"/>
          <w:szCs w:val="26"/>
          <w:rtl/>
        </w:rPr>
        <w:t>.</w:t>
      </w:r>
      <w:r w:rsidRPr="00C3556F">
        <w:rPr>
          <w:rFonts w:ascii="mylotus" w:hAnsi="mylotus" w:cs="mylotus"/>
          <w:sz w:val="26"/>
          <w:szCs w:val="26"/>
          <w:rtl/>
        </w:rPr>
        <w:t>[20 جزءاً]</w:t>
      </w:r>
      <w:r w:rsidR="00217AB4" w:rsidRPr="00C3556F">
        <w:rPr>
          <w:rFonts w:ascii="mylotus" w:hAnsi="mylotus" w:cs="mylotus"/>
          <w:sz w:val="26"/>
          <w:szCs w:val="26"/>
          <w:rtl/>
        </w:rPr>
        <w:t>.</w:t>
      </w:r>
    </w:p>
    <w:p w:rsidR="005C664D" w:rsidRPr="00C3556F" w:rsidRDefault="005C664D" w:rsidP="00C3556F">
      <w:pPr>
        <w:numPr>
          <w:ilvl w:val="0"/>
          <w:numId w:val="30"/>
        </w:numPr>
        <w:spacing w:line="228" w:lineRule="auto"/>
        <w:ind w:left="397" w:hanging="397"/>
        <w:jc w:val="both"/>
        <w:rPr>
          <w:rFonts w:ascii="mylotus" w:hAnsi="mylotus" w:cs="mylotus"/>
          <w:sz w:val="26"/>
          <w:szCs w:val="26"/>
          <w:rtl/>
        </w:rPr>
      </w:pPr>
      <w:r w:rsidRPr="00C3556F">
        <w:rPr>
          <w:rFonts w:ascii="mylotus" w:hAnsi="mylotus" w:cs="mylotus"/>
          <w:sz w:val="26"/>
          <w:szCs w:val="26"/>
          <w:rtl/>
        </w:rPr>
        <w:t>ابن أبي شيبة</w:t>
      </w:r>
      <w:r w:rsidR="00217AB4" w:rsidRPr="00C3556F">
        <w:rPr>
          <w:rFonts w:ascii="mylotus" w:hAnsi="mylotus" w:cs="mylotus"/>
          <w:sz w:val="26"/>
          <w:szCs w:val="26"/>
          <w:rtl/>
        </w:rPr>
        <w:t>،</w:t>
      </w:r>
      <w:r w:rsidRPr="00C3556F">
        <w:rPr>
          <w:rFonts w:ascii="mylotus" w:hAnsi="mylotus" w:cs="mylotus"/>
          <w:sz w:val="26"/>
          <w:szCs w:val="26"/>
          <w:rtl/>
        </w:rPr>
        <w:t xml:space="preserve"> الإمام الحافظ أبو بكر عبد الله بن محمد بن أبي شيبة العبسي الكوفي </w:t>
      </w:r>
      <w:r w:rsidR="00217AB4" w:rsidRPr="00C3556F">
        <w:rPr>
          <w:rFonts w:ascii="mylotus" w:hAnsi="mylotus" w:cs="mylotus"/>
          <w:sz w:val="26"/>
          <w:szCs w:val="26"/>
          <w:rtl/>
        </w:rPr>
        <w:t>(</w:t>
      </w:r>
      <w:r w:rsidRPr="00C3556F">
        <w:rPr>
          <w:rFonts w:ascii="mylotus" w:hAnsi="mylotus" w:cs="mylotus"/>
          <w:sz w:val="26"/>
          <w:szCs w:val="26"/>
          <w:rtl/>
          <w:lang w:bidi="ar-SY"/>
        </w:rPr>
        <w:t>235هـ</w:t>
      </w:r>
      <w:r w:rsidR="00217AB4" w:rsidRPr="00C3556F">
        <w:rPr>
          <w:rFonts w:ascii="mylotus" w:hAnsi="mylotus" w:cs="mylotus"/>
          <w:sz w:val="26"/>
          <w:szCs w:val="26"/>
          <w:rtl/>
          <w:lang w:bidi="ar-SY"/>
        </w:rPr>
        <w:t>)</w:t>
      </w:r>
      <w:r w:rsidR="00217AB4" w:rsidRPr="00C3556F">
        <w:rPr>
          <w:rFonts w:ascii="mylotus" w:hAnsi="mylotus" w:cs="mylotus"/>
          <w:sz w:val="26"/>
          <w:szCs w:val="26"/>
          <w:rtl/>
        </w:rPr>
        <w:t>،</w:t>
      </w:r>
      <w:r w:rsidRPr="00C3556F">
        <w:rPr>
          <w:rFonts w:ascii="mylotus" w:hAnsi="mylotus" w:cs="mylotus"/>
          <w:sz w:val="26"/>
          <w:szCs w:val="26"/>
          <w:rtl/>
        </w:rPr>
        <w:t xml:space="preserve"> «المصنَّف في الأحاديث والآثار»</w:t>
      </w:r>
      <w:r w:rsidR="00217AB4" w:rsidRPr="00C3556F">
        <w:rPr>
          <w:rFonts w:ascii="mylotus" w:hAnsi="mylotus" w:cs="mylotus"/>
          <w:sz w:val="26"/>
          <w:szCs w:val="26"/>
          <w:rtl/>
        </w:rPr>
        <w:t>.</w:t>
      </w:r>
      <w:r w:rsidRPr="00C3556F">
        <w:rPr>
          <w:rFonts w:ascii="mylotus" w:hAnsi="mylotus" w:cs="mylotus"/>
          <w:sz w:val="26"/>
          <w:szCs w:val="26"/>
          <w:rtl/>
        </w:rPr>
        <w:t xml:space="preserve"> </w:t>
      </w:r>
    </w:p>
    <w:p w:rsidR="005C664D" w:rsidRPr="00C3556F" w:rsidRDefault="005C664D" w:rsidP="00C3556F">
      <w:pPr>
        <w:numPr>
          <w:ilvl w:val="0"/>
          <w:numId w:val="30"/>
        </w:numPr>
        <w:spacing w:line="228" w:lineRule="auto"/>
        <w:ind w:left="397" w:hanging="397"/>
        <w:jc w:val="both"/>
        <w:rPr>
          <w:rFonts w:ascii="mylotus" w:hAnsi="mylotus" w:cs="mylotus"/>
          <w:sz w:val="26"/>
          <w:szCs w:val="26"/>
          <w:rtl/>
        </w:rPr>
      </w:pPr>
      <w:r w:rsidRPr="00C3556F">
        <w:rPr>
          <w:rFonts w:ascii="mylotus" w:hAnsi="mylotus" w:cs="mylotus"/>
          <w:sz w:val="26"/>
          <w:szCs w:val="26"/>
          <w:rtl/>
        </w:rPr>
        <w:t>ابن الشهيد الثاني</w:t>
      </w:r>
      <w:r w:rsidR="00217AB4" w:rsidRPr="00C3556F">
        <w:rPr>
          <w:rFonts w:ascii="mylotus" w:hAnsi="mylotus" w:cs="mylotus"/>
          <w:sz w:val="26"/>
          <w:szCs w:val="26"/>
          <w:rtl/>
        </w:rPr>
        <w:t>،</w:t>
      </w:r>
      <w:r w:rsidRPr="00C3556F">
        <w:rPr>
          <w:rFonts w:ascii="mylotus" w:hAnsi="mylotus" w:cs="mylotus"/>
          <w:sz w:val="26"/>
          <w:szCs w:val="26"/>
          <w:rtl/>
        </w:rPr>
        <w:t xml:space="preserve"> الشيخ حسن بن زين الدين صاحب المعالم </w:t>
      </w:r>
      <w:r w:rsidR="00217AB4" w:rsidRPr="00C3556F">
        <w:rPr>
          <w:rFonts w:ascii="mylotus" w:hAnsi="mylotus" w:cs="mylotus"/>
          <w:sz w:val="26"/>
          <w:szCs w:val="26"/>
          <w:rtl/>
        </w:rPr>
        <w:t>(</w:t>
      </w:r>
      <w:r w:rsidRPr="00C3556F">
        <w:rPr>
          <w:rFonts w:ascii="mylotus" w:hAnsi="mylotus" w:cs="mylotus"/>
          <w:sz w:val="26"/>
          <w:szCs w:val="26"/>
          <w:rtl/>
        </w:rPr>
        <w:t>ابن الشهيد الثاني</w:t>
      </w:r>
      <w:r w:rsidR="00217AB4" w:rsidRPr="00C3556F">
        <w:rPr>
          <w:rFonts w:ascii="mylotus" w:hAnsi="mylotus" w:cs="mylotus"/>
          <w:sz w:val="26"/>
          <w:szCs w:val="26"/>
          <w:rtl/>
        </w:rPr>
        <w:t>)</w:t>
      </w:r>
      <w:r w:rsidRPr="00C3556F">
        <w:rPr>
          <w:rFonts w:ascii="mylotus" w:hAnsi="mylotus" w:cs="mylotus"/>
          <w:sz w:val="26"/>
          <w:szCs w:val="26"/>
          <w:rtl/>
        </w:rPr>
        <w:t xml:space="preserve"> </w:t>
      </w:r>
      <w:r w:rsidR="00217AB4" w:rsidRPr="00C3556F">
        <w:rPr>
          <w:rFonts w:ascii="mylotus" w:hAnsi="mylotus" w:cs="mylotus"/>
          <w:sz w:val="26"/>
          <w:szCs w:val="26"/>
          <w:rtl/>
        </w:rPr>
        <w:t>(</w:t>
      </w:r>
      <w:r w:rsidRPr="00C3556F">
        <w:rPr>
          <w:rFonts w:ascii="mylotus" w:hAnsi="mylotus" w:cs="mylotus"/>
          <w:sz w:val="26"/>
          <w:szCs w:val="26"/>
          <w:rtl/>
        </w:rPr>
        <w:t>1011هـ</w:t>
      </w:r>
      <w:r w:rsidR="00217AB4" w:rsidRPr="00C3556F">
        <w:rPr>
          <w:rFonts w:ascii="mylotus" w:hAnsi="mylotus" w:cs="mylotus"/>
          <w:sz w:val="26"/>
          <w:szCs w:val="26"/>
          <w:rtl/>
        </w:rPr>
        <w:t>)،</w:t>
      </w:r>
      <w:r w:rsidRPr="00C3556F">
        <w:rPr>
          <w:rFonts w:ascii="mylotus" w:hAnsi="mylotus" w:cs="mylotus"/>
          <w:sz w:val="26"/>
          <w:szCs w:val="26"/>
          <w:rtl/>
        </w:rPr>
        <w:t xml:space="preserve"> «منتقى الجمان في الأحاديث الصحاح والحسان»</w:t>
      </w:r>
      <w:r w:rsidR="00217AB4" w:rsidRPr="00C3556F">
        <w:rPr>
          <w:rFonts w:ascii="mylotus" w:hAnsi="mylotus" w:cs="mylotus"/>
          <w:sz w:val="26"/>
          <w:szCs w:val="26"/>
          <w:rtl/>
        </w:rPr>
        <w:t>،</w:t>
      </w:r>
      <w:r w:rsidRPr="00C3556F">
        <w:rPr>
          <w:rFonts w:ascii="mylotus" w:hAnsi="mylotus" w:cs="mylotus"/>
          <w:sz w:val="26"/>
          <w:szCs w:val="26"/>
          <w:rtl/>
        </w:rPr>
        <w:t xml:space="preserve"> تصحيح وتعليق</w:t>
      </w:r>
      <w:r w:rsidR="00217AB4" w:rsidRPr="00C3556F">
        <w:rPr>
          <w:rFonts w:ascii="mylotus" w:hAnsi="mylotus" w:cs="mylotus"/>
          <w:sz w:val="26"/>
          <w:szCs w:val="26"/>
          <w:rtl/>
        </w:rPr>
        <w:t>:</w:t>
      </w:r>
      <w:r w:rsidRPr="00C3556F">
        <w:rPr>
          <w:rFonts w:ascii="mylotus" w:hAnsi="mylotus" w:cs="mylotus"/>
          <w:sz w:val="26"/>
          <w:szCs w:val="26"/>
          <w:rtl/>
        </w:rPr>
        <w:t xml:space="preserve"> علي أكبر الغفاري</w:t>
      </w:r>
      <w:r w:rsidR="00217AB4" w:rsidRPr="00C3556F">
        <w:rPr>
          <w:rFonts w:ascii="mylotus" w:hAnsi="mylotus" w:cs="mylotus"/>
          <w:sz w:val="26"/>
          <w:szCs w:val="26"/>
          <w:rtl/>
        </w:rPr>
        <w:t>،</w:t>
      </w:r>
      <w:r w:rsidRPr="00C3556F">
        <w:rPr>
          <w:rFonts w:ascii="mylotus" w:hAnsi="mylotus" w:cs="mylotus"/>
          <w:sz w:val="26"/>
          <w:szCs w:val="26"/>
          <w:rtl/>
        </w:rPr>
        <w:t xml:space="preserve"> قم</w:t>
      </w:r>
      <w:r w:rsidR="00217AB4" w:rsidRPr="00C3556F">
        <w:rPr>
          <w:rFonts w:ascii="mylotus" w:hAnsi="mylotus" w:cs="mylotus"/>
          <w:sz w:val="26"/>
          <w:szCs w:val="26"/>
          <w:rtl/>
        </w:rPr>
        <w:t>،</w:t>
      </w:r>
      <w:r w:rsidRPr="00C3556F">
        <w:rPr>
          <w:rFonts w:ascii="mylotus" w:hAnsi="mylotus" w:cs="mylotus"/>
          <w:sz w:val="26"/>
          <w:szCs w:val="26"/>
          <w:rtl/>
        </w:rPr>
        <w:t xml:space="preserve"> نشر جامعة المدرسين في الحوزة العلمية</w:t>
      </w:r>
      <w:r w:rsidR="00217AB4" w:rsidRPr="00C3556F">
        <w:rPr>
          <w:rFonts w:ascii="mylotus" w:hAnsi="mylotus" w:cs="mylotus"/>
          <w:sz w:val="26"/>
          <w:szCs w:val="26"/>
          <w:rtl/>
        </w:rPr>
        <w:t>،</w:t>
      </w:r>
      <w:r w:rsidRPr="00C3556F">
        <w:rPr>
          <w:rFonts w:ascii="mylotus" w:hAnsi="mylotus" w:cs="mylotus"/>
          <w:sz w:val="26"/>
          <w:szCs w:val="26"/>
          <w:rtl/>
        </w:rPr>
        <w:t xml:space="preserve"> 1406هـ</w:t>
      </w:r>
      <w:r w:rsidR="00217AB4" w:rsidRPr="00C3556F">
        <w:rPr>
          <w:rFonts w:ascii="mylotus" w:hAnsi="mylotus" w:cs="mylotus"/>
          <w:sz w:val="26"/>
          <w:szCs w:val="26"/>
          <w:rtl/>
        </w:rPr>
        <w:t>.</w:t>
      </w:r>
      <w:r w:rsidR="00147857" w:rsidRPr="00C3556F">
        <w:rPr>
          <w:rFonts w:ascii="mylotus" w:hAnsi="mylotus" w:cs="mylotus"/>
          <w:sz w:val="26"/>
          <w:szCs w:val="26"/>
          <w:rtl/>
        </w:rPr>
        <w:t xml:space="preserve"> </w:t>
      </w:r>
    </w:p>
    <w:p w:rsidR="005C664D" w:rsidRPr="00C3556F" w:rsidRDefault="005C664D" w:rsidP="00C3556F">
      <w:pPr>
        <w:numPr>
          <w:ilvl w:val="0"/>
          <w:numId w:val="30"/>
        </w:numPr>
        <w:spacing w:line="228" w:lineRule="auto"/>
        <w:ind w:left="397" w:hanging="397"/>
        <w:jc w:val="both"/>
        <w:rPr>
          <w:rFonts w:ascii="mylotus" w:hAnsi="mylotus" w:cs="mylotus"/>
          <w:sz w:val="26"/>
          <w:szCs w:val="26"/>
          <w:rtl/>
        </w:rPr>
      </w:pPr>
      <w:r w:rsidRPr="00C3556F">
        <w:rPr>
          <w:rFonts w:ascii="mylotus" w:hAnsi="mylotus" w:cs="mylotus"/>
          <w:sz w:val="26"/>
          <w:szCs w:val="26"/>
          <w:rtl/>
        </w:rPr>
        <w:t>ابن شعبة الحراني</w:t>
      </w:r>
      <w:r w:rsidR="00217AB4" w:rsidRPr="00C3556F">
        <w:rPr>
          <w:rFonts w:ascii="mylotus" w:hAnsi="mylotus" w:cs="mylotus"/>
          <w:sz w:val="26"/>
          <w:szCs w:val="26"/>
          <w:rtl/>
        </w:rPr>
        <w:t>،</w:t>
      </w:r>
      <w:r w:rsidRPr="00C3556F">
        <w:rPr>
          <w:rFonts w:ascii="mylotus" w:hAnsi="mylotus" w:cs="mylotus"/>
          <w:sz w:val="26"/>
          <w:szCs w:val="26"/>
          <w:rtl/>
        </w:rPr>
        <w:t xml:space="preserve"> الحسن بن على بن الحسين بن شعبة الحرانى الحلبي الشيعي </w:t>
      </w:r>
      <w:r w:rsidR="00217AB4" w:rsidRPr="00C3556F">
        <w:rPr>
          <w:rFonts w:ascii="mylotus" w:hAnsi="mylotus" w:cs="mylotus"/>
          <w:sz w:val="26"/>
          <w:szCs w:val="26"/>
          <w:rtl/>
        </w:rPr>
        <w:t>(</w:t>
      </w:r>
      <w:r w:rsidRPr="00C3556F">
        <w:rPr>
          <w:rFonts w:ascii="mylotus" w:hAnsi="mylotus" w:cs="mylotus"/>
          <w:sz w:val="26"/>
          <w:szCs w:val="26"/>
          <w:rtl/>
        </w:rPr>
        <w:t>كان حياً قبل 381هـ</w:t>
      </w:r>
      <w:r w:rsidR="00217AB4" w:rsidRPr="00C3556F">
        <w:rPr>
          <w:rFonts w:ascii="mylotus" w:hAnsi="mylotus" w:cs="mylotus"/>
          <w:sz w:val="26"/>
          <w:szCs w:val="26"/>
          <w:rtl/>
        </w:rPr>
        <w:t>؟)،</w:t>
      </w:r>
      <w:r w:rsidRPr="00C3556F">
        <w:rPr>
          <w:rFonts w:ascii="mylotus" w:hAnsi="mylotus" w:cs="mylotus"/>
          <w:sz w:val="26"/>
          <w:szCs w:val="26"/>
          <w:rtl/>
        </w:rPr>
        <w:t xml:space="preserve"> «تحف العقول عن آل الرسول»</w:t>
      </w:r>
      <w:r w:rsidR="00217AB4" w:rsidRPr="00C3556F">
        <w:rPr>
          <w:rFonts w:ascii="mylotus" w:hAnsi="mylotus" w:cs="mylotus"/>
          <w:sz w:val="26"/>
          <w:szCs w:val="26"/>
          <w:rtl/>
        </w:rPr>
        <w:t>.</w:t>
      </w:r>
      <w:r w:rsidRPr="00C3556F">
        <w:rPr>
          <w:rFonts w:ascii="mylotus" w:hAnsi="mylotus" w:cs="mylotus"/>
          <w:sz w:val="26"/>
          <w:szCs w:val="26"/>
          <w:rtl/>
        </w:rPr>
        <w:t xml:space="preserve"> </w:t>
      </w:r>
    </w:p>
    <w:p w:rsidR="005C664D" w:rsidRPr="00C3556F" w:rsidRDefault="005C664D" w:rsidP="00C3556F">
      <w:pPr>
        <w:numPr>
          <w:ilvl w:val="0"/>
          <w:numId w:val="30"/>
        </w:numPr>
        <w:spacing w:line="228" w:lineRule="auto"/>
        <w:ind w:left="397" w:hanging="397"/>
        <w:jc w:val="both"/>
        <w:rPr>
          <w:rFonts w:ascii="mylotus" w:hAnsi="mylotus" w:cs="mylotus"/>
          <w:sz w:val="26"/>
          <w:szCs w:val="26"/>
          <w:rtl/>
        </w:rPr>
      </w:pPr>
      <w:r w:rsidRPr="00C3556F">
        <w:rPr>
          <w:rFonts w:ascii="mylotus" w:hAnsi="mylotus" w:cs="mylotus"/>
          <w:sz w:val="26"/>
          <w:szCs w:val="26"/>
          <w:rtl/>
        </w:rPr>
        <w:t>أحمد بن حنبل</w:t>
      </w:r>
      <w:r w:rsidR="00217AB4" w:rsidRPr="00C3556F">
        <w:rPr>
          <w:rFonts w:ascii="mylotus" w:hAnsi="mylotus" w:cs="mylotus"/>
          <w:sz w:val="26"/>
          <w:szCs w:val="26"/>
          <w:rtl/>
        </w:rPr>
        <w:t>،</w:t>
      </w:r>
      <w:r w:rsidRPr="00C3556F">
        <w:rPr>
          <w:rFonts w:ascii="mylotus" w:hAnsi="mylotus" w:cs="mylotus"/>
          <w:sz w:val="26"/>
          <w:szCs w:val="26"/>
          <w:rtl/>
        </w:rPr>
        <w:t xml:space="preserve"> الإمام أبو عبد الله أحمد بن محمد بن حنبل الشيباني </w:t>
      </w:r>
      <w:r w:rsidR="00217AB4" w:rsidRPr="00C3556F">
        <w:rPr>
          <w:rFonts w:ascii="mylotus" w:hAnsi="mylotus" w:cs="mylotus"/>
          <w:sz w:val="26"/>
          <w:szCs w:val="26"/>
          <w:rtl/>
        </w:rPr>
        <w:t>(</w:t>
      </w:r>
      <w:r w:rsidRPr="00C3556F">
        <w:rPr>
          <w:rFonts w:ascii="mylotus" w:hAnsi="mylotus" w:cs="mylotus"/>
          <w:sz w:val="26"/>
          <w:szCs w:val="26"/>
          <w:rtl/>
        </w:rPr>
        <w:t>241هـ</w:t>
      </w:r>
      <w:r w:rsidR="00217AB4" w:rsidRPr="00C3556F">
        <w:rPr>
          <w:rFonts w:ascii="mylotus" w:hAnsi="mylotus" w:cs="mylotus"/>
          <w:sz w:val="26"/>
          <w:szCs w:val="26"/>
          <w:rtl/>
        </w:rPr>
        <w:t>)،</w:t>
      </w:r>
      <w:r w:rsidRPr="00C3556F">
        <w:rPr>
          <w:rFonts w:ascii="mylotus" w:hAnsi="mylotus" w:cs="mylotus"/>
          <w:sz w:val="26"/>
          <w:szCs w:val="26"/>
          <w:rtl/>
        </w:rPr>
        <w:t xml:space="preserve"> «المسند»</w:t>
      </w:r>
      <w:r w:rsidR="00217AB4" w:rsidRPr="00C3556F">
        <w:rPr>
          <w:rFonts w:ascii="mylotus" w:hAnsi="mylotus" w:cs="mylotus"/>
          <w:sz w:val="26"/>
          <w:szCs w:val="26"/>
          <w:rtl/>
        </w:rPr>
        <w:t>.</w:t>
      </w:r>
      <w:r w:rsidRPr="00C3556F">
        <w:rPr>
          <w:rFonts w:ascii="mylotus" w:hAnsi="mylotus" w:cs="mylotus"/>
          <w:sz w:val="26"/>
          <w:szCs w:val="26"/>
          <w:rtl/>
        </w:rPr>
        <w:t xml:space="preserve"> </w:t>
      </w:r>
    </w:p>
    <w:p w:rsidR="005C664D" w:rsidRPr="00C3556F" w:rsidRDefault="005C664D" w:rsidP="00C3556F">
      <w:pPr>
        <w:numPr>
          <w:ilvl w:val="0"/>
          <w:numId w:val="30"/>
        </w:numPr>
        <w:spacing w:line="228" w:lineRule="auto"/>
        <w:ind w:left="397" w:hanging="397"/>
        <w:jc w:val="both"/>
        <w:rPr>
          <w:rFonts w:ascii="mylotus" w:hAnsi="mylotus" w:cs="mylotus"/>
          <w:sz w:val="26"/>
          <w:szCs w:val="26"/>
          <w:rtl/>
        </w:rPr>
      </w:pPr>
      <w:r w:rsidRPr="00C3556F">
        <w:rPr>
          <w:rFonts w:ascii="mylotus" w:hAnsi="mylotus" w:cs="mylotus"/>
          <w:sz w:val="26"/>
          <w:szCs w:val="26"/>
          <w:rtl/>
        </w:rPr>
        <w:t>البخاري</w:t>
      </w:r>
      <w:r w:rsidR="00217AB4" w:rsidRPr="00C3556F">
        <w:rPr>
          <w:rFonts w:ascii="mylotus" w:hAnsi="mylotus" w:cs="mylotus"/>
          <w:sz w:val="26"/>
          <w:szCs w:val="26"/>
          <w:rtl/>
        </w:rPr>
        <w:t>،</w:t>
      </w:r>
      <w:r w:rsidRPr="00C3556F">
        <w:rPr>
          <w:rFonts w:ascii="mylotus" w:hAnsi="mylotus" w:cs="mylotus"/>
          <w:sz w:val="26"/>
          <w:szCs w:val="26"/>
          <w:rtl/>
        </w:rPr>
        <w:t xml:space="preserve"> الإمام محمد بن إسماعيل البخاري الجعفي </w:t>
      </w:r>
      <w:r w:rsidR="00217AB4" w:rsidRPr="00C3556F">
        <w:rPr>
          <w:rFonts w:ascii="mylotus" w:hAnsi="mylotus" w:cs="mylotus"/>
          <w:sz w:val="26"/>
          <w:szCs w:val="26"/>
          <w:rtl/>
        </w:rPr>
        <w:t>(</w:t>
      </w:r>
      <w:r w:rsidRPr="00C3556F">
        <w:rPr>
          <w:rFonts w:ascii="mylotus" w:hAnsi="mylotus" w:cs="mylotus"/>
          <w:sz w:val="26"/>
          <w:szCs w:val="26"/>
          <w:rtl/>
        </w:rPr>
        <w:t>256 هـ</w:t>
      </w:r>
      <w:r w:rsidR="00217AB4" w:rsidRPr="00C3556F">
        <w:rPr>
          <w:rFonts w:ascii="mylotus" w:hAnsi="mylotus" w:cs="mylotus"/>
          <w:sz w:val="26"/>
          <w:szCs w:val="26"/>
          <w:rtl/>
        </w:rPr>
        <w:t>)،</w:t>
      </w:r>
      <w:r w:rsidRPr="00C3556F">
        <w:rPr>
          <w:rFonts w:ascii="mylotus" w:hAnsi="mylotus" w:cs="mylotus"/>
          <w:sz w:val="26"/>
          <w:szCs w:val="26"/>
          <w:rtl/>
        </w:rPr>
        <w:t xml:space="preserve"> «صحيح البخاري»</w:t>
      </w:r>
      <w:r w:rsidR="00217AB4" w:rsidRPr="00C3556F">
        <w:rPr>
          <w:rFonts w:ascii="mylotus" w:hAnsi="mylotus" w:cs="mylotus"/>
          <w:sz w:val="26"/>
          <w:szCs w:val="26"/>
          <w:rtl/>
        </w:rPr>
        <w:t>.</w:t>
      </w:r>
      <w:r w:rsidRPr="00C3556F">
        <w:rPr>
          <w:rFonts w:ascii="mylotus" w:hAnsi="mylotus" w:cs="mylotus"/>
          <w:sz w:val="26"/>
          <w:szCs w:val="26"/>
          <w:rtl/>
        </w:rPr>
        <w:t xml:space="preserve"> </w:t>
      </w:r>
    </w:p>
    <w:p w:rsidR="005C664D" w:rsidRPr="00C3556F" w:rsidRDefault="005C664D" w:rsidP="00C3556F">
      <w:pPr>
        <w:numPr>
          <w:ilvl w:val="0"/>
          <w:numId w:val="30"/>
        </w:numPr>
        <w:spacing w:line="228" w:lineRule="auto"/>
        <w:ind w:left="397" w:hanging="397"/>
        <w:jc w:val="both"/>
        <w:rPr>
          <w:rFonts w:ascii="mylotus" w:hAnsi="mylotus" w:cs="mylotus"/>
          <w:sz w:val="26"/>
          <w:szCs w:val="26"/>
          <w:rtl/>
        </w:rPr>
      </w:pPr>
      <w:r w:rsidRPr="00C3556F">
        <w:rPr>
          <w:rFonts w:ascii="mylotus" w:hAnsi="mylotus" w:cs="mylotus"/>
          <w:sz w:val="26"/>
          <w:szCs w:val="26"/>
          <w:rtl/>
        </w:rPr>
        <w:t>البرقي</w:t>
      </w:r>
      <w:r w:rsidR="00217AB4" w:rsidRPr="00C3556F">
        <w:rPr>
          <w:rFonts w:ascii="mylotus" w:hAnsi="mylotus" w:cs="mylotus"/>
          <w:sz w:val="26"/>
          <w:szCs w:val="26"/>
          <w:rtl/>
        </w:rPr>
        <w:t>،</w:t>
      </w:r>
      <w:r w:rsidRPr="00C3556F">
        <w:rPr>
          <w:rFonts w:ascii="mylotus" w:hAnsi="mylotus" w:cs="mylotus"/>
          <w:sz w:val="26"/>
          <w:szCs w:val="26"/>
          <w:rtl/>
        </w:rPr>
        <w:t xml:space="preserve"> أحمد بن محمد بن خالد </w:t>
      </w:r>
      <w:r w:rsidR="00217AB4" w:rsidRPr="00C3556F">
        <w:rPr>
          <w:rFonts w:ascii="mylotus" w:hAnsi="mylotus" w:cs="mylotus"/>
          <w:sz w:val="26"/>
          <w:szCs w:val="26"/>
          <w:rtl/>
        </w:rPr>
        <w:t>(</w:t>
      </w:r>
      <w:r w:rsidRPr="00C3556F">
        <w:rPr>
          <w:rFonts w:ascii="mylotus" w:hAnsi="mylotus" w:cs="mylotus"/>
          <w:sz w:val="26"/>
          <w:szCs w:val="26"/>
          <w:rtl/>
        </w:rPr>
        <w:t>274هـ</w:t>
      </w:r>
      <w:r w:rsidR="00217AB4" w:rsidRPr="00C3556F">
        <w:rPr>
          <w:rFonts w:ascii="mylotus" w:hAnsi="mylotus" w:cs="mylotus"/>
          <w:sz w:val="26"/>
          <w:szCs w:val="26"/>
          <w:rtl/>
        </w:rPr>
        <w:t>)،</w:t>
      </w:r>
      <w:r w:rsidRPr="00C3556F">
        <w:rPr>
          <w:rFonts w:ascii="mylotus" w:hAnsi="mylotus" w:cs="mylotus"/>
          <w:sz w:val="26"/>
          <w:szCs w:val="26"/>
          <w:rtl/>
        </w:rPr>
        <w:t xml:space="preserve"> «المحاسن»</w:t>
      </w:r>
      <w:r w:rsidR="00217AB4" w:rsidRPr="00C3556F">
        <w:rPr>
          <w:rFonts w:ascii="mylotus" w:hAnsi="mylotus" w:cs="mylotus"/>
          <w:sz w:val="26"/>
          <w:szCs w:val="26"/>
          <w:rtl/>
        </w:rPr>
        <w:t>.</w:t>
      </w:r>
    </w:p>
    <w:p w:rsidR="005C664D" w:rsidRPr="00C3556F" w:rsidRDefault="005C664D" w:rsidP="00C3556F">
      <w:pPr>
        <w:numPr>
          <w:ilvl w:val="0"/>
          <w:numId w:val="30"/>
        </w:numPr>
        <w:spacing w:line="228" w:lineRule="auto"/>
        <w:ind w:left="397" w:hanging="397"/>
        <w:jc w:val="both"/>
        <w:rPr>
          <w:rFonts w:ascii="mylotus" w:hAnsi="mylotus" w:cs="mylotus"/>
          <w:sz w:val="26"/>
          <w:szCs w:val="26"/>
          <w:rtl/>
        </w:rPr>
      </w:pPr>
      <w:r w:rsidRPr="00C3556F">
        <w:rPr>
          <w:rFonts w:ascii="mylotus" w:hAnsi="mylotus" w:cs="mylotus"/>
          <w:sz w:val="26"/>
          <w:szCs w:val="26"/>
          <w:rtl/>
        </w:rPr>
        <w:t>البيهقيُّ</w:t>
      </w:r>
      <w:r w:rsidR="00217AB4" w:rsidRPr="00C3556F">
        <w:rPr>
          <w:rFonts w:ascii="mylotus" w:hAnsi="mylotus" w:cs="mylotus"/>
          <w:sz w:val="26"/>
          <w:szCs w:val="26"/>
          <w:rtl/>
        </w:rPr>
        <w:t>،</w:t>
      </w:r>
      <w:r w:rsidRPr="00C3556F">
        <w:rPr>
          <w:rFonts w:ascii="mylotus" w:hAnsi="mylotus" w:cs="mylotus"/>
          <w:sz w:val="26"/>
          <w:szCs w:val="26"/>
          <w:rtl/>
        </w:rPr>
        <w:t xml:space="preserve"> الإمام أبو بكر أحمد بن الحسين </w:t>
      </w:r>
      <w:r w:rsidR="00217AB4" w:rsidRPr="00C3556F">
        <w:rPr>
          <w:rFonts w:ascii="mylotus" w:hAnsi="mylotus" w:cs="mylotus"/>
          <w:sz w:val="26"/>
          <w:szCs w:val="26"/>
          <w:rtl/>
        </w:rPr>
        <w:t>(</w:t>
      </w:r>
      <w:r w:rsidRPr="00C3556F">
        <w:rPr>
          <w:rFonts w:ascii="mylotus" w:hAnsi="mylotus" w:cs="mylotus"/>
          <w:sz w:val="26"/>
          <w:szCs w:val="26"/>
          <w:rtl/>
        </w:rPr>
        <w:t xml:space="preserve">384 </w:t>
      </w:r>
      <w:r w:rsidR="00217AB4" w:rsidRPr="00C3556F">
        <w:rPr>
          <w:rFonts w:ascii="mylotus" w:hAnsi="mylotus" w:cs="mylotus"/>
          <w:sz w:val="26"/>
          <w:szCs w:val="26"/>
          <w:rtl/>
        </w:rPr>
        <w:t>-</w:t>
      </w:r>
      <w:r w:rsidRPr="00C3556F">
        <w:rPr>
          <w:rFonts w:ascii="mylotus" w:hAnsi="mylotus" w:cs="mylotus"/>
          <w:sz w:val="26"/>
          <w:szCs w:val="26"/>
          <w:rtl/>
        </w:rPr>
        <w:t>458هـ</w:t>
      </w:r>
      <w:r w:rsidR="00217AB4" w:rsidRPr="00C3556F">
        <w:rPr>
          <w:rFonts w:ascii="mylotus" w:hAnsi="mylotus" w:cs="mylotus"/>
          <w:sz w:val="26"/>
          <w:szCs w:val="26"/>
          <w:rtl/>
        </w:rPr>
        <w:t>)،</w:t>
      </w:r>
      <w:r w:rsidRPr="00C3556F">
        <w:rPr>
          <w:rFonts w:ascii="mylotus" w:hAnsi="mylotus" w:cs="mylotus"/>
          <w:sz w:val="26"/>
          <w:szCs w:val="26"/>
          <w:rtl/>
        </w:rPr>
        <w:t xml:space="preserve"> «السنن الكبرى»</w:t>
      </w:r>
      <w:r w:rsidR="00217AB4" w:rsidRPr="00C3556F">
        <w:rPr>
          <w:rFonts w:ascii="mylotus" w:hAnsi="mylotus" w:cs="mylotus"/>
          <w:sz w:val="26"/>
          <w:szCs w:val="26"/>
          <w:rtl/>
        </w:rPr>
        <w:t>.</w:t>
      </w:r>
    </w:p>
    <w:p w:rsidR="005C664D" w:rsidRPr="00C3556F" w:rsidRDefault="005C664D" w:rsidP="00C3556F">
      <w:pPr>
        <w:numPr>
          <w:ilvl w:val="0"/>
          <w:numId w:val="30"/>
        </w:numPr>
        <w:spacing w:line="228" w:lineRule="auto"/>
        <w:ind w:left="397" w:hanging="397"/>
        <w:jc w:val="both"/>
        <w:rPr>
          <w:rFonts w:ascii="mylotus" w:hAnsi="mylotus" w:cs="mylotus"/>
          <w:sz w:val="26"/>
          <w:szCs w:val="26"/>
          <w:rtl/>
        </w:rPr>
      </w:pPr>
      <w:r w:rsidRPr="00C3556F">
        <w:rPr>
          <w:rFonts w:ascii="mylotus" w:hAnsi="mylotus" w:cs="mylotus"/>
          <w:sz w:val="26"/>
          <w:szCs w:val="26"/>
          <w:rtl/>
        </w:rPr>
        <w:t>الترمذي</w:t>
      </w:r>
      <w:r w:rsidR="00217AB4" w:rsidRPr="00C3556F">
        <w:rPr>
          <w:rFonts w:ascii="mylotus" w:hAnsi="mylotus" w:cs="mylotus"/>
          <w:sz w:val="26"/>
          <w:szCs w:val="26"/>
          <w:rtl/>
        </w:rPr>
        <w:t>،</w:t>
      </w:r>
      <w:r w:rsidRPr="00C3556F">
        <w:rPr>
          <w:rFonts w:ascii="mylotus" w:hAnsi="mylotus" w:cs="mylotus"/>
          <w:sz w:val="26"/>
          <w:szCs w:val="26"/>
          <w:rtl/>
        </w:rPr>
        <w:t xml:space="preserve"> محمد بن عيسى بن سورة أبو عيسى الترمذي السلمي </w:t>
      </w:r>
      <w:r w:rsidR="00217AB4" w:rsidRPr="00C3556F">
        <w:rPr>
          <w:rFonts w:ascii="mylotus" w:hAnsi="mylotus" w:cs="mylotus"/>
          <w:sz w:val="26"/>
          <w:szCs w:val="26"/>
          <w:rtl/>
        </w:rPr>
        <w:t>(</w:t>
      </w:r>
      <w:r w:rsidRPr="00C3556F">
        <w:rPr>
          <w:rFonts w:ascii="mylotus" w:hAnsi="mylotus" w:cs="mylotus"/>
          <w:sz w:val="26"/>
          <w:szCs w:val="26"/>
          <w:rtl/>
        </w:rPr>
        <w:t>278هـ</w:t>
      </w:r>
      <w:r w:rsidR="00217AB4" w:rsidRPr="00C3556F">
        <w:rPr>
          <w:rFonts w:ascii="mylotus" w:hAnsi="mylotus" w:cs="mylotus"/>
          <w:sz w:val="26"/>
          <w:szCs w:val="26"/>
          <w:rtl/>
        </w:rPr>
        <w:t>)،</w:t>
      </w:r>
      <w:r w:rsidRPr="00C3556F">
        <w:rPr>
          <w:rFonts w:ascii="mylotus" w:hAnsi="mylotus" w:cs="mylotus"/>
          <w:sz w:val="26"/>
          <w:szCs w:val="26"/>
          <w:rtl/>
        </w:rPr>
        <w:t xml:space="preserve"> «سنن الترمذي»</w:t>
      </w:r>
      <w:r w:rsidR="00217AB4" w:rsidRPr="00C3556F">
        <w:rPr>
          <w:rFonts w:ascii="mylotus" w:hAnsi="mylotus" w:cs="mylotus"/>
          <w:sz w:val="26"/>
          <w:szCs w:val="26"/>
          <w:rtl/>
        </w:rPr>
        <w:t>،</w:t>
      </w:r>
      <w:r w:rsidRPr="00C3556F">
        <w:rPr>
          <w:rFonts w:ascii="mylotus" w:hAnsi="mylotus" w:cs="mylotus"/>
          <w:sz w:val="26"/>
          <w:szCs w:val="26"/>
          <w:rtl/>
        </w:rPr>
        <w:t xml:space="preserve"> تحقيق أحمد محمد شاكر وآخرون</w:t>
      </w:r>
      <w:r w:rsidR="00217AB4" w:rsidRPr="00C3556F">
        <w:rPr>
          <w:rFonts w:ascii="mylotus" w:hAnsi="mylotus" w:cs="mylotus"/>
          <w:sz w:val="26"/>
          <w:szCs w:val="26"/>
          <w:rtl/>
        </w:rPr>
        <w:t>،</w:t>
      </w:r>
      <w:r w:rsidRPr="00C3556F">
        <w:rPr>
          <w:rFonts w:ascii="mylotus" w:hAnsi="mylotus" w:cs="mylotus"/>
          <w:sz w:val="26"/>
          <w:szCs w:val="26"/>
          <w:rtl/>
        </w:rPr>
        <w:t xml:space="preserve"> دار إحياء التراث العربي</w:t>
      </w:r>
      <w:r w:rsidR="00217AB4" w:rsidRPr="00C3556F">
        <w:rPr>
          <w:rFonts w:ascii="mylotus" w:hAnsi="mylotus" w:cs="mylotus"/>
          <w:sz w:val="26"/>
          <w:szCs w:val="26"/>
          <w:rtl/>
        </w:rPr>
        <w:t>،</w:t>
      </w:r>
      <w:r w:rsidRPr="00C3556F">
        <w:rPr>
          <w:rFonts w:ascii="mylotus" w:hAnsi="mylotus" w:cs="mylotus"/>
          <w:sz w:val="26"/>
          <w:szCs w:val="26"/>
          <w:rtl/>
        </w:rPr>
        <w:t xml:space="preserve"> بيروت</w:t>
      </w:r>
      <w:r w:rsidR="00217AB4" w:rsidRPr="00C3556F">
        <w:rPr>
          <w:rFonts w:ascii="mylotus" w:hAnsi="mylotus" w:cs="mylotus"/>
          <w:sz w:val="26"/>
          <w:szCs w:val="26"/>
          <w:rtl/>
        </w:rPr>
        <w:t>.</w:t>
      </w:r>
    </w:p>
    <w:p w:rsidR="005C664D" w:rsidRPr="00C3556F" w:rsidRDefault="005C664D" w:rsidP="00C3556F">
      <w:pPr>
        <w:numPr>
          <w:ilvl w:val="0"/>
          <w:numId w:val="30"/>
        </w:numPr>
        <w:spacing w:line="228" w:lineRule="auto"/>
        <w:ind w:left="397" w:hanging="397"/>
        <w:jc w:val="both"/>
        <w:rPr>
          <w:rFonts w:ascii="mylotus" w:hAnsi="mylotus" w:cs="mylotus"/>
          <w:sz w:val="26"/>
          <w:szCs w:val="26"/>
          <w:rtl/>
          <w:lang w:bidi="ar-SY"/>
        </w:rPr>
      </w:pPr>
      <w:r w:rsidRPr="00C3556F">
        <w:rPr>
          <w:rFonts w:ascii="mylotus" w:hAnsi="mylotus" w:cs="mylotus"/>
          <w:sz w:val="26"/>
          <w:szCs w:val="26"/>
          <w:rtl/>
        </w:rPr>
        <w:t>الحُرّ العاملي</w:t>
      </w:r>
      <w:r w:rsidR="00217AB4" w:rsidRPr="00C3556F">
        <w:rPr>
          <w:rFonts w:ascii="mylotus" w:hAnsi="mylotus" w:cs="mylotus"/>
          <w:sz w:val="26"/>
          <w:szCs w:val="26"/>
          <w:rtl/>
        </w:rPr>
        <w:t>،</w:t>
      </w:r>
      <w:r w:rsidRPr="00C3556F">
        <w:rPr>
          <w:rFonts w:ascii="mylotus" w:hAnsi="mylotus" w:cs="mylotus"/>
          <w:sz w:val="26"/>
          <w:szCs w:val="26"/>
          <w:rtl/>
          <w:lang w:bidi="ar-SY"/>
        </w:rPr>
        <w:t xml:space="preserve"> الشيخ أبو جعفر محمد بن الحسن </w:t>
      </w:r>
      <w:r w:rsidR="00217AB4" w:rsidRPr="00C3556F">
        <w:rPr>
          <w:rFonts w:ascii="mylotus" w:hAnsi="mylotus" w:cs="mylotus"/>
          <w:sz w:val="26"/>
          <w:szCs w:val="26"/>
          <w:rtl/>
          <w:lang w:bidi="ar-SY"/>
        </w:rPr>
        <w:t>(</w:t>
      </w:r>
      <w:r w:rsidRPr="00C3556F">
        <w:rPr>
          <w:rFonts w:ascii="mylotus" w:hAnsi="mylotus" w:cs="mylotus"/>
          <w:sz w:val="26"/>
          <w:szCs w:val="26"/>
          <w:rtl/>
          <w:lang w:bidi="ar-SY"/>
        </w:rPr>
        <w:t>1033</w:t>
      </w:r>
      <w:r w:rsidR="00217AB4" w:rsidRPr="00C3556F">
        <w:rPr>
          <w:rFonts w:ascii="mylotus" w:hAnsi="mylotus" w:cs="mylotus"/>
          <w:sz w:val="26"/>
          <w:szCs w:val="26"/>
          <w:rtl/>
          <w:lang w:bidi="ar-SY"/>
        </w:rPr>
        <w:t>-</w:t>
      </w:r>
      <w:r w:rsidRPr="00C3556F">
        <w:rPr>
          <w:rFonts w:ascii="mylotus" w:hAnsi="mylotus" w:cs="mylotus"/>
          <w:sz w:val="26"/>
          <w:szCs w:val="26"/>
          <w:rtl/>
          <w:lang w:bidi="ar-SY"/>
        </w:rPr>
        <w:t xml:space="preserve"> 1104هـ</w:t>
      </w:r>
      <w:r w:rsidR="00217AB4" w:rsidRPr="00C3556F">
        <w:rPr>
          <w:rFonts w:ascii="mylotus" w:hAnsi="mylotus" w:cs="mylotus"/>
          <w:sz w:val="26"/>
          <w:szCs w:val="26"/>
          <w:rtl/>
          <w:lang w:bidi="ar-SY"/>
        </w:rPr>
        <w:t>)،</w:t>
      </w:r>
      <w:r w:rsidRPr="00C3556F">
        <w:rPr>
          <w:rFonts w:ascii="mylotus" w:hAnsi="mylotus" w:cs="mylotus"/>
          <w:sz w:val="26"/>
          <w:szCs w:val="26"/>
          <w:rtl/>
          <w:lang w:bidi="ar-SY"/>
        </w:rPr>
        <w:t xml:space="preserve"> </w:t>
      </w:r>
      <w:r w:rsidRPr="00C3556F">
        <w:rPr>
          <w:rFonts w:ascii="mylotus" w:hAnsi="mylotus" w:cs="mylotus"/>
          <w:sz w:val="26"/>
          <w:szCs w:val="26"/>
          <w:rtl/>
        </w:rPr>
        <w:t>«وسائل الشيعة</w:t>
      </w:r>
      <w:r w:rsidRPr="00C3556F">
        <w:rPr>
          <w:rFonts w:ascii="mylotus" w:hAnsi="mylotus" w:cs="mylotus"/>
          <w:sz w:val="26"/>
          <w:szCs w:val="26"/>
          <w:rtl/>
          <w:lang w:bidi="ar-SY"/>
        </w:rPr>
        <w:t xml:space="preserve"> إلى تحصيل مسائل الشريعة</w:t>
      </w:r>
      <w:r w:rsidRPr="00C3556F">
        <w:rPr>
          <w:rFonts w:ascii="mylotus" w:hAnsi="mylotus" w:cs="mylotus"/>
          <w:sz w:val="26"/>
          <w:szCs w:val="26"/>
          <w:rtl/>
        </w:rPr>
        <w:t>»</w:t>
      </w:r>
      <w:r w:rsidR="00217AB4" w:rsidRPr="00C3556F">
        <w:rPr>
          <w:rFonts w:ascii="mylotus" w:hAnsi="mylotus" w:cs="mylotus"/>
          <w:sz w:val="26"/>
          <w:szCs w:val="26"/>
          <w:rtl/>
        </w:rPr>
        <w:t>،</w:t>
      </w:r>
      <w:r w:rsidRPr="00C3556F">
        <w:rPr>
          <w:rFonts w:ascii="mylotus" w:hAnsi="mylotus" w:cs="mylotus"/>
          <w:sz w:val="26"/>
          <w:szCs w:val="26"/>
          <w:rtl/>
        </w:rPr>
        <w:t xml:space="preserve"> طبع أمير بهادر</w:t>
      </w:r>
      <w:r w:rsidRPr="00C3556F">
        <w:rPr>
          <w:rFonts w:ascii="mylotus" w:hAnsi="mylotus" w:cs="mylotus"/>
          <w:sz w:val="26"/>
          <w:szCs w:val="26"/>
          <w:rtl/>
          <w:lang w:bidi="ar-SY"/>
        </w:rPr>
        <w:t xml:space="preserve"> الحجرية</w:t>
      </w:r>
      <w:r w:rsidR="00217AB4" w:rsidRPr="00C3556F">
        <w:rPr>
          <w:rFonts w:ascii="mylotus" w:hAnsi="mylotus" w:cs="mylotus"/>
          <w:sz w:val="26"/>
          <w:szCs w:val="26"/>
          <w:rtl/>
        </w:rPr>
        <w:t>.</w:t>
      </w:r>
      <w:r w:rsidRPr="00C3556F">
        <w:rPr>
          <w:rFonts w:ascii="mylotus" w:hAnsi="mylotus" w:cs="mylotus"/>
          <w:sz w:val="26"/>
          <w:szCs w:val="26"/>
          <w:rtl/>
        </w:rPr>
        <w:t xml:space="preserve"> </w:t>
      </w:r>
      <w:r w:rsidRPr="00C3556F">
        <w:rPr>
          <w:rFonts w:ascii="mylotus" w:hAnsi="mylotus" w:cs="mylotus"/>
          <w:sz w:val="26"/>
          <w:szCs w:val="26"/>
          <w:rtl/>
          <w:lang w:bidi="ar-SY"/>
        </w:rPr>
        <w:t>أو ط</w:t>
      </w:r>
      <w:r w:rsidR="00217AB4" w:rsidRPr="00C3556F">
        <w:rPr>
          <w:rFonts w:ascii="mylotus" w:hAnsi="mylotus" w:cs="mylotus"/>
          <w:sz w:val="26"/>
          <w:szCs w:val="26"/>
          <w:rtl/>
          <w:lang w:bidi="ar-SY"/>
        </w:rPr>
        <w:t>.</w:t>
      </w:r>
      <w:r w:rsidRPr="00C3556F">
        <w:rPr>
          <w:rFonts w:ascii="mylotus" w:hAnsi="mylotus" w:cs="mylotus"/>
          <w:sz w:val="26"/>
          <w:szCs w:val="26"/>
          <w:rtl/>
          <w:lang w:bidi="ar-SY"/>
        </w:rPr>
        <w:t>مؤسسة آل البيت</w:t>
      </w:r>
      <w:r w:rsidR="00217AB4" w:rsidRPr="00C3556F">
        <w:rPr>
          <w:rFonts w:ascii="mylotus" w:hAnsi="mylotus" w:cs="mylotus"/>
          <w:sz w:val="26"/>
          <w:szCs w:val="26"/>
          <w:rtl/>
          <w:lang w:bidi="ar-SY"/>
        </w:rPr>
        <w:t>،</w:t>
      </w:r>
      <w:r w:rsidRPr="00C3556F">
        <w:rPr>
          <w:rFonts w:ascii="mylotus" w:hAnsi="mylotus" w:cs="mylotus"/>
          <w:sz w:val="26"/>
          <w:szCs w:val="26"/>
          <w:rtl/>
          <w:lang w:bidi="ar-SY"/>
        </w:rPr>
        <w:t xml:space="preserve"> قم</w:t>
      </w:r>
      <w:r w:rsidR="00217AB4" w:rsidRPr="00C3556F">
        <w:rPr>
          <w:rFonts w:ascii="mylotus" w:hAnsi="mylotus" w:cs="mylotus"/>
          <w:sz w:val="26"/>
          <w:szCs w:val="26"/>
          <w:rtl/>
          <w:lang w:bidi="ar-SY"/>
        </w:rPr>
        <w:t>،</w:t>
      </w:r>
      <w:r w:rsidRPr="00C3556F">
        <w:rPr>
          <w:rFonts w:ascii="mylotus" w:hAnsi="mylotus" w:cs="mylotus"/>
          <w:sz w:val="26"/>
          <w:szCs w:val="26"/>
          <w:rtl/>
          <w:lang w:bidi="ar-SY"/>
        </w:rPr>
        <w:t xml:space="preserve"> إيران 1409هـ</w:t>
      </w:r>
      <w:r w:rsidR="00217AB4" w:rsidRPr="00C3556F">
        <w:rPr>
          <w:rFonts w:ascii="mylotus" w:hAnsi="mylotus" w:cs="mylotus"/>
          <w:sz w:val="26"/>
          <w:szCs w:val="26"/>
          <w:rtl/>
          <w:lang w:bidi="ar-SY"/>
        </w:rPr>
        <w:t>.</w:t>
      </w:r>
    </w:p>
    <w:p w:rsidR="005C664D" w:rsidRPr="00C3556F" w:rsidRDefault="005C664D" w:rsidP="00C3556F">
      <w:pPr>
        <w:numPr>
          <w:ilvl w:val="0"/>
          <w:numId w:val="30"/>
        </w:numPr>
        <w:spacing w:line="228" w:lineRule="auto"/>
        <w:ind w:left="397" w:hanging="397"/>
        <w:jc w:val="both"/>
        <w:rPr>
          <w:rFonts w:ascii="mylotus" w:hAnsi="mylotus" w:cs="mylotus"/>
          <w:sz w:val="26"/>
          <w:szCs w:val="26"/>
          <w:rtl/>
        </w:rPr>
      </w:pPr>
      <w:r w:rsidRPr="00C3556F">
        <w:rPr>
          <w:rFonts w:ascii="mylotus" w:hAnsi="mylotus" w:cs="mylotus"/>
          <w:sz w:val="26"/>
          <w:szCs w:val="26"/>
          <w:rtl/>
        </w:rPr>
        <w:t>الحسن العسكري</w:t>
      </w:r>
      <w:r w:rsidR="00217AB4" w:rsidRPr="00C3556F">
        <w:rPr>
          <w:rFonts w:ascii="mylotus" w:hAnsi="mylotus" w:cs="mylotus"/>
          <w:sz w:val="26"/>
          <w:szCs w:val="26"/>
          <w:rtl/>
        </w:rPr>
        <w:t>،</w:t>
      </w:r>
      <w:r w:rsidRPr="00C3556F">
        <w:rPr>
          <w:rFonts w:ascii="mylotus" w:hAnsi="mylotus" w:cs="mylotus"/>
          <w:sz w:val="26"/>
          <w:szCs w:val="26"/>
          <w:rtl/>
        </w:rPr>
        <w:t xml:space="preserve"> التفسير المنسوب للإمام الحسن العسكري</w:t>
      </w:r>
      <w:r w:rsidR="00217AB4" w:rsidRPr="00C3556F">
        <w:rPr>
          <w:rFonts w:ascii="mylotus" w:hAnsi="mylotus" w:cs="mylotus"/>
          <w:sz w:val="26"/>
          <w:szCs w:val="26"/>
          <w:rtl/>
        </w:rPr>
        <w:t>.</w:t>
      </w:r>
    </w:p>
    <w:p w:rsidR="005C664D" w:rsidRPr="00C3556F" w:rsidRDefault="005C664D" w:rsidP="00C3556F">
      <w:pPr>
        <w:numPr>
          <w:ilvl w:val="0"/>
          <w:numId w:val="30"/>
        </w:numPr>
        <w:spacing w:line="228" w:lineRule="auto"/>
        <w:ind w:left="397" w:hanging="397"/>
        <w:jc w:val="both"/>
        <w:rPr>
          <w:rFonts w:ascii="mylotus" w:hAnsi="mylotus" w:cs="mylotus"/>
          <w:sz w:val="26"/>
          <w:szCs w:val="26"/>
          <w:rtl/>
        </w:rPr>
      </w:pPr>
      <w:r w:rsidRPr="00C3556F">
        <w:rPr>
          <w:rFonts w:ascii="mylotus" w:hAnsi="mylotus" w:cs="mylotus"/>
          <w:sz w:val="26"/>
          <w:szCs w:val="26"/>
          <w:rtl/>
        </w:rPr>
        <w:t>الشريف الرضي</w:t>
      </w:r>
      <w:r w:rsidR="00217AB4" w:rsidRPr="00C3556F">
        <w:rPr>
          <w:rFonts w:ascii="mylotus" w:hAnsi="mylotus" w:cs="mylotus"/>
          <w:sz w:val="26"/>
          <w:szCs w:val="26"/>
          <w:rtl/>
        </w:rPr>
        <w:t>،</w:t>
      </w:r>
      <w:r w:rsidRPr="00C3556F">
        <w:rPr>
          <w:rFonts w:ascii="mylotus" w:hAnsi="mylotus" w:cs="mylotus"/>
          <w:sz w:val="26"/>
          <w:szCs w:val="26"/>
          <w:rtl/>
        </w:rPr>
        <w:t xml:space="preserve"> </w:t>
      </w:r>
      <w:r w:rsidRPr="00C3556F">
        <w:rPr>
          <w:rFonts w:ascii="mylotus" w:hAnsi="mylotus" w:cs="mylotus"/>
          <w:sz w:val="26"/>
          <w:szCs w:val="26"/>
          <w:rtl/>
          <w:lang w:bidi="ar-SY"/>
        </w:rPr>
        <w:t xml:space="preserve">محمد بن أبي أحمد الحسين بن موسى </w:t>
      </w:r>
      <w:r w:rsidR="00217AB4" w:rsidRPr="00C3556F">
        <w:rPr>
          <w:rFonts w:ascii="mylotus" w:hAnsi="mylotus" w:cs="mylotus"/>
          <w:sz w:val="26"/>
          <w:szCs w:val="26"/>
          <w:rtl/>
          <w:lang w:bidi="ar-SY"/>
        </w:rPr>
        <w:t>(</w:t>
      </w:r>
      <w:r w:rsidRPr="00C3556F">
        <w:rPr>
          <w:rFonts w:ascii="mylotus" w:hAnsi="mylotus" w:cs="mylotus"/>
          <w:sz w:val="26"/>
          <w:szCs w:val="26"/>
          <w:rtl/>
          <w:lang w:bidi="ar-SY"/>
        </w:rPr>
        <w:t>359</w:t>
      </w:r>
      <w:r w:rsidR="00217AB4" w:rsidRPr="00C3556F">
        <w:rPr>
          <w:rFonts w:ascii="mylotus" w:hAnsi="mylotus" w:cs="mylotus"/>
          <w:sz w:val="26"/>
          <w:szCs w:val="26"/>
          <w:rtl/>
          <w:lang w:bidi="ar-SY"/>
        </w:rPr>
        <w:t>-</w:t>
      </w:r>
      <w:r w:rsidRPr="00C3556F">
        <w:rPr>
          <w:rFonts w:ascii="mylotus" w:hAnsi="mylotus" w:cs="mylotus"/>
          <w:sz w:val="26"/>
          <w:szCs w:val="26"/>
          <w:rtl/>
          <w:lang w:bidi="ar-SY"/>
        </w:rPr>
        <w:t>406هـ</w:t>
      </w:r>
      <w:r w:rsidR="00217AB4" w:rsidRPr="00C3556F">
        <w:rPr>
          <w:rFonts w:ascii="mylotus" w:hAnsi="mylotus" w:cs="mylotus"/>
          <w:sz w:val="26"/>
          <w:szCs w:val="26"/>
          <w:rtl/>
          <w:lang w:bidi="ar-SY"/>
        </w:rPr>
        <w:t>)</w:t>
      </w:r>
      <w:r w:rsidRPr="00C3556F">
        <w:rPr>
          <w:rFonts w:ascii="mylotus" w:hAnsi="mylotus" w:cs="mylotus"/>
          <w:sz w:val="26"/>
          <w:szCs w:val="26"/>
          <w:rtl/>
        </w:rPr>
        <w:t xml:space="preserve"> «نهج البلاغة» جمع الشريف الرضي من كلام أمير المؤمنين علي بن أبي طالب </w:t>
      </w:r>
      <w:r w:rsidR="003C7AEB" w:rsidRPr="003C7AEB">
        <w:rPr>
          <w:rFonts w:ascii="mylotus" w:hAnsi="mylotus" w:cs="CTraditional Arabic"/>
          <w:sz w:val="26"/>
          <w:szCs w:val="26"/>
          <w:rtl/>
        </w:rPr>
        <w:t>÷</w:t>
      </w:r>
      <w:r w:rsidR="00217AB4" w:rsidRPr="00C3556F">
        <w:rPr>
          <w:rFonts w:ascii="mylotus" w:hAnsi="mylotus" w:cs="mylotus"/>
          <w:sz w:val="26"/>
          <w:szCs w:val="26"/>
          <w:rtl/>
        </w:rPr>
        <w:t>.</w:t>
      </w:r>
    </w:p>
    <w:p w:rsidR="005C664D" w:rsidRPr="00C3556F" w:rsidRDefault="005C664D" w:rsidP="00C3556F">
      <w:pPr>
        <w:numPr>
          <w:ilvl w:val="0"/>
          <w:numId w:val="30"/>
        </w:numPr>
        <w:spacing w:line="228" w:lineRule="auto"/>
        <w:ind w:left="397" w:hanging="397"/>
        <w:jc w:val="both"/>
        <w:rPr>
          <w:rFonts w:ascii="mylotus" w:hAnsi="mylotus" w:cs="mylotus"/>
          <w:sz w:val="26"/>
          <w:szCs w:val="26"/>
          <w:rtl/>
        </w:rPr>
      </w:pPr>
      <w:r w:rsidRPr="00C3556F">
        <w:rPr>
          <w:rFonts w:ascii="mylotus" w:hAnsi="mylotus" w:cs="mylotus"/>
          <w:sz w:val="26"/>
          <w:szCs w:val="26"/>
          <w:rtl/>
        </w:rPr>
        <w:t>الشهيد الثاني</w:t>
      </w:r>
      <w:r w:rsidR="00217AB4" w:rsidRPr="00C3556F">
        <w:rPr>
          <w:rFonts w:ascii="mylotus" w:hAnsi="mylotus" w:cs="mylotus"/>
          <w:sz w:val="26"/>
          <w:szCs w:val="26"/>
          <w:rtl/>
        </w:rPr>
        <w:t>،</w:t>
      </w:r>
      <w:r w:rsidRPr="00C3556F">
        <w:rPr>
          <w:rFonts w:ascii="mylotus" w:hAnsi="mylotus" w:cs="mylotus"/>
          <w:sz w:val="26"/>
          <w:szCs w:val="26"/>
          <w:rtl/>
        </w:rPr>
        <w:t xml:space="preserve"> الشيخ زين الدين العاملي </w:t>
      </w:r>
      <w:r w:rsidR="00217AB4" w:rsidRPr="00C3556F">
        <w:rPr>
          <w:rFonts w:ascii="mylotus" w:hAnsi="mylotus" w:cs="mylotus"/>
          <w:sz w:val="26"/>
          <w:szCs w:val="26"/>
          <w:rtl/>
        </w:rPr>
        <w:t>(</w:t>
      </w:r>
      <w:r w:rsidRPr="00C3556F">
        <w:rPr>
          <w:rFonts w:ascii="mylotus" w:hAnsi="mylotus" w:cs="mylotus"/>
          <w:sz w:val="26"/>
          <w:szCs w:val="26"/>
          <w:rtl/>
        </w:rPr>
        <w:t>966 هـ</w:t>
      </w:r>
      <w:r w:rsidR="00217AB4" w:rsidRPr="00C3556F">
        <w:rPr>
          <w:rFonts w:ascii="mylotus" w:hAnsi="mylotus" w:cs="mylotus"/>
          <w:sz w:val="26"/>
          <w:szCs w:val="26"/>
          <w:rtl/>
        </w:rPr>
        <w:t>)،</w:t>
      </w:r>
      <w:r w:rsidRPr="00C3556F">
        <w:rPr>
          <w:rFonts w:ascii="mylotus" w:hAnsi="mylotus" w:cs="mylotus"/>
          <w:sz w:val="26"/>
          <w:szCs w:val="26"/>
          <w:rtl/>
        </w:rPr>
        <w:t xml:space="preserve"> «الدراية»</w:t>
      </w:r>
      <w:r w:rsidR="00217AB4" w:rsidRPr="00C3556F">
        <w:rPr>
          <w:rFonts w:ascii="mylotus" w:hAnsi="mylotus" w:cs="mylotus"/>
          <w:sz w:val="26"/>
          <w:szCs w:val="26"/>
          <w:rtl/>
        </w:rPr>
        <w:t>،</w:t>
      </w:r>
      <w:r w:rsidRPr="00C3556F">
        <w:rPr>
          <w:rFonts w:ascii="mylotus" w:hAnsi="mylotus" w:cs="mylotus"/>
          <w:sz w:val="26"/>
          <w:szCs w:val="26"/>
          <w:rtl/>
        </w:rPr>
        <w:t xml:space="preserve"> ط3</w:t>
      </w:r>
      <w:r w:rsidR="00217AB4" w:rsidRPr="00C3556F">
        <w:rPr>
          <w:rFonts w:ascii="mylotus" w:hAnsi="mylotus" w:cs="mylotus"/>
          <w:sz w:val="26"/>
          <w:szCs w:val="26"/>
          <w:rtl/>
        </w:rPr>
        <w:t>،</w:t>
      </w:r>
      <w:r w:rsidRPr="00C3556F">
        <w:rPr>
          <w:rFonts w:ascii="mylotus" w:hAnsi="mylotus" w:cs="mylotus"/>
          <w:sz w:val="26"/>
          <w:szCs w:val="26"/>
          <w:rtl/>
        </w:rPr>
        <w:t xml:space="preserve"> قم</w:t>
      </w:r>
      <w:r w:rsidR="00217AB4" w:rsidRPr="00C3556F">
        <w:rPr>
          <w:rFonts w:ascii="mylotus" w:hAnsi="mylotus" w:cs="mylotus"/>
          <w:sz w:val="26"/>
          <w:szCs w:val="26"/>
          <w:rtl/>
        </w:rPr>
        <w:t>:</w:t>
      </w:r>
      <w:r w:rsidRPr="00C3556F">
        <w:rPr>
          <w:rFonts w:ascii="mylotus" w:hAnsi="mylotus" w:cs="mylotus"/>
          <w:sz w:val="26"/>
          <w:szCs w:val="26"/>
          <w:rtl/>
        </w:rPr>
        <w:t xml:space="preserve"> منشورات مكتبة المفيد</w:t>
      </w:r>
      <w:r w:rsidR="00217AB4" w:rsidRPr="00C3556F">
        <w:rPr>
          <w:rFonts w:ascii="mylotus" w:hAnsi="mylotus" w:cs="mylotus"/>
          <w:sz w:val="26"/>
          <w:szCs w:val="26"/>
          <w:rtl/>
        </w:rPr>
        <w:t>،</w:t>
      </w:r>
      <w:r w:rsidRPr="00C3556F">
        <w:rPr>
          <w:rFonts w:ascii="mylotus" w:hAnsi="mylotus" w:cs="mylotus"/>
          <w:sz w:val="26"/>
          <w:szCs w:val="26"/>
          <w:rtl/>
        </w:rPr>
        <w:t xml:space="preserve"> 1409هـ</w:t>
      </w:r>
      <w:r w:rsidR="00217AB4" w:rsidRPr="00C3556F">
        <w:rPr>
          <w:rFonts w:ascii="mylotus" w:hAnsi="mylotus" w:cs="mylotus"/>
          <w:sz w:val="26"/>
          <w:szCs w:val="26"/>
          <w:rtl/>
        </w:rPr>
        <w:t>.</w:t>
      </w:r>
    </w:p>
    <w:p w:rsidR="005C664D" w:rsidRPr="00C3556F" w:rsidRDefault="005C664D" w:rsidP="00C3556F">
      <w:pPr>
        <w:numPr>
          <w:ilvl w:val="0"/>
          <w:numId w:val="30"/>
        </w:numPr>
        <w:spacing w:line="228" w:lineRule="auto"/>
        <w:ind w:left="397" w:hanging="397"/>
        <w:jc w:val="both"/>
        <w:rPr>
          <w:rFonts w:ascii="mylotus" w:hAnsi="mylotus" w:cs="mylotus"/>
          <w:sz w:val="26"/>
          <w:szCs w:val="26"/>
          <w:rtl/>
        </w:rPr>
      </w:pPr>
      <w:r w:rsidRPr="00C3556F">
        <w:rPr>
          <w:rFonts w:ascii="mylotus" w:hAnsi="mylotus" w:cs="mylotus"/>
          <w:sz w:val="26"/>
          <w:szCs w:val="26"/>
          <w:rtl/>
        </w:rPr>
        <w:t>الصدوق</w:t>
      </w:r>
      <w:r w:rsidR="00217AB4" w:rsidRPr="00C3556F">
        <w:rPr>
          <w:rFonts w:ascii="mylotus" w:hAnsi="mylotus" w:cs="mylotus"/>
          <w:sz w:val="26"/>
          <w:szCs w:val="26"/>
          <w:rtl/>
        </w:rPr>
        <w:t>،</w:t>
      </w:r>
      <w:r w:rsidRPr="00C3556F">
        <w:rPr>
          <w:rFonts w:ascii="mylotus" w:hAnsi="mylotus" w:cs="mylotus"/>
          <w:sz w:val="26"/>
          <w:szCs w:val="26"/>
          <w:rtl/>
        </w:rPr>
        <w:t xml:space="preserve"> الشيخ محمد بن علي بن بابويه القمي </w:t>
      </w:r>
      <w:r w:rsidR="00217AB4" w:rsidRPr="00C3556F">
        <w:rPr>
          <w:rFonts w:ascii="mylotus" w:hAnsi="mylotus" w:cs="mylotus"/>
          <w:sz w:val="26"/>
          <w:szCs w:val="26"/>
          <w:rtl/>
        </w:rPr>
        <w:t>(</w:t>
      </w:r>
      <w:r w:rsidRPr="00C3556F">
        <w:rPr>
          <w:rFonts w:ascii="mylotus" w:hAnsi="mylotus" w:cs="mylotus"/>
          <w:sz w:val="26"/>
          <w:szCs w:val="26"/>
          <w:rtl/>
        </w:rPr>
        <w:t xml:space="preserve">305 </w:t>
      </w:r>
      <w:r w:rsidR="00217AB4" w:rsidRPr="00C3556F">
        <w:rPr>
          <w:rFonts w:ascii="mylotus" w:hAnsi="mylotus" w:cs="mylotus"/>
          <w:sz w:val="26"/>
          <w:szCs w:val="26"/>
          <w:rtl/>
        </w:rPr>
        <w:t>-</w:t>
      </w:r>
      <w:r w:rsidRPr="00C3556F">
        <w:rPr>
          <w:rFonts w:ascii="mylotus" w:hAnsi="mylotus" w:cs="mylotus"/>
          <w:sz w:val="26"/>
          <w:szCs w:val="26"/>
          <w:rtl/>
        </w:rPr>
        <w:t xml:space="preserve"> 381هـ</w:t>
      </w:r>
      <w:r w:rsidR="00217AB4" w:rsidRPr="00C3556F">
        <w:rPr>
          <w:rFonts w:ascii="mylotus" w:hAnsi="mylotus" w:cs="mylotus"/>
          <w:sz w:val="26"/>
          <w:szCs w:val="26"/>
          <w:rtl/>
        </w:rPr>
        <w:t>)،</w:t>
      </w:r>
      <w:r w:rsidRPr="00C3556F">
        <w:rPr>
          <w:rFonts w:ascii="mylotus" w:hAnsi="mylotus" w:cs="mylotus"/>
          <w:sz w:val="26"/>
          <w:szCs w:val="26"/>
          <w:rtl/>
        </w:rPr>
        <w:t xml:space="preserve"> «إكمال الدين»</w:t>
      </w:r>
      <w:r w:rsidR="00217AB4" w:rsidRPr="00C3556F">
        <w:rPr>
          <w:rFonts w:ascii="mylotus" w:hAnsi="mylotus" w:cs="mylotus"/>
          <w:sz w:val="26"/>
          <w:szCs w:val="26"/>
          <w:rtl/>
        </w:rPr>
        <w:t>.</w:t>
      </w:r>
    </w:p>
    <w:p w:rsidR="005C664D" w:rsidRPr="00C3556F" w:rsidRDefault="005C664D" w:rsidP="00C3556F">
      <w:pPr>
        <w:numPr>
          <w:ilvl w:val="0"/>
          <w:numId w:val="30"/>
        </w:numPr>
        <w:spacing w:line="228" w:lineRule="auto"/>
        <w:ind w:left="397" w:hanging="397"/>
        <w:jc w:val="both"/>
        <w:rPr>
          <w:rFonts w:ascii="mylotus" w:hAnsi="mylotus" w:cs="mylotus"/>
          <w:sz w:val="26"/>
          <w:szCs w:val="26"/>
          <w:rtl/>
        </w:rPr>
      </w:pPr>
      <w:r w:rsidRPr="00C3556F">
        <w:rPr>
          <w:rFonts w:ascii="mylotus" w:hAnsi="mylotus" w:cs="mylotus"/>
          <w:sz w:val="26"/>
          <w:szCs w:val="26"/>
          <w:rtl/>
        </w:rPr>
        <w:t>الصدوق</w:t>
      </w:r>
      <w:r w:rsidR="00217AB4" w:rsidRPr="00C3556F">
        <w:rPr>
          <w:rFonts w:ascii="mylotus" w:hAnsi="mylotus" w:cs="mylotus"/>
          <w:sz w:val="26"/>
          <w:szCs w:val="26"/>
          <w:rtl/>
        </w:rPr>
        <w:t>،</w:t>
      </w:r>
      <w:r w:rsidRPr="00C3556F">
        <w:rPr>
          <w:rFonts w:ascii="mylotus" w:hAnsi="mylotus" w:cs="mylotus"/>
          <w:sz w:val="26"/>
          <w:szCs w:val="26"/>
          <w:rtl/>
        </w:rPr>
        <w:t xml:space="preserve"> «الأمالي»</w:t>
      </w:r>
      <w:r w:rsidR="00217AB4" w:rsidRPr="00C3556F">
        <w:rPr>
          <w:rFonts w:ascii="mylotus" w:hAnsi="mylotus" w:cs="mylotus"/>
          <w:sz w:val="26"/>
          <w:szCs w:val="26"/>
          <w:rtl/>
        </w:rPr>
        <w:t>.</w:t>
      </w:r>
    </w:p>
    <w:p w:rsidR="005C664D" w:rsidRPr="00C3556F" w:rsidRDefault="005C664D" w:rsidP="00C3556F">
      <w:pPr>
        <w:numPr>
          <w:ilvl w:val="0"/>
          <w:numId w:val="30"/>
        </w:numPr>
        <w:spacing w:line="228" w:lineRule="auto"/>
        <w:ind w:left="397" w:hanging="397"/>
        <w:jc w:val="both"/>
        <w:rPr>
          <w:rFonts w:ascii="mylotus" w:hAnsi="mylotus" w:cs="mylotus"/>
          <w:sz w:val="26"/>
          <w:szCs w:val="26"/>
          <w:rtl/>
        </w:rPr>
      </w:pPr>
      <w:r w:rsidRPr="00C3556F">
        <w:rPr>
          <w:rFonts w:ascii="mylotus" w:hAnsi="mylotus" w:cs="mylotus"/>
          <w:sz w:val="26"/>
          <w:szCs w:val="26"/>
          <w:rtl/>
        </w:rPr>
        <w:t>الصدوق</w:t>
      </w:r>
      <w:r w:rsidR="00217AB4" w:rsidRPr="00C3556F">
        <w:rPr>
          <w:rFonts w:ascii="mylotus" w:hAnsi="mylotus" w:cs="mylotus"/>
          <w:sz w:val="26"/>
          <w:szCs w:val="26"/>
          <w:rtl/>
        </w:rPr>
        <w:t>،</w:t>
      </w:r>
      <w:r w:rsidRPr="00C3556F">
        <w:rPr>
          <w:rFonts w:ascii="mylotus" w:hAnsi="mylotus" w:cs="mylotus"/>
          <w:sz w:val="26"/>
          <w:szCs w:val="26"/>
          <w:rtl/>
        </w:rPr>
        <w:t xml:space="preserve"> «الخصال»</w:t>
      </w:r>
      <w:r w:rsidR="00217AB4" w:rsidRPr="00C3556F">
        <w:rPr>
          <w:rFonts w:ascii="mylotus" w:hAnsi="mylotus" w:cs="mylotus"/>
          <w:sz w:val="26"/>
          <w:szCs w:val="26"/>
          <w:rtl/>
        </w:rPr>
        <w:t>.</w:t>
      </w:r>
    </w:p>
    <w:p w:rsidR="005C664D" w:rsidRPr="00C3556F" w:rsidRDefault="005C664D" w:rsidP="00C3556F">
      <w:pPr>
        <w:numPr>
          <w:ilvl w:val="0"/>
          <w:numId w:val="30"/>
        </w:numPr>
        <w:spacing w:line="228" w:lineRule="auto"/>
        <w:ind w:left="397" w:hanging="397"/>
        <w:jc w:val="both"/>
        <w:rPr>
          <w:rFonts w:ascii="mylotus" w:hAnsi="mylotus" w:cs="mylotus"/>
          <w:sz w:val="26"/>
          <w:szCs w:val="26"/>
          <w:rtl/>
        </w:rPr>
      </w:pPr>
      <w:r w:rsidRPr="00C3556F">
        <w:rPr>
          <w:rFonts w:ascii="mylotus" w:hAnsi="mylotus" w:cs="mylotus"/>
          <w:sz w:val="26"/>
          <w:szCs w:val="26"/>
          <w:rtl/>
        </w:rPr>
        <w:t>الصدوق</w:t>
      </w:r>
      <w:r w:rsidR="00217AB4" w:rsidRPr="00C3556F">
        <w:rPr>
          <w:rFonts w:ascii="mylotus" w:hAnsi="mylotus" w:cs="mylotus"/>
          <w:sz w:val="26"/>
          <w:szCs w:val="26"/>
          <w:rtl/>
        </w:rPr>
        <w:t>،</w:t>
      </w:r>
      <w:r w:rsidRPr="00C3556F">
        <w:rPr>
          <w:rFonts w:ascii="mylotus" w:hAnsi="mylotus" w:cs="mylotus"/>
          <w:sz w:val="26"/>
          <w:szCs w:val="26"/>
          <w:rtl/>
        </w:rPr>
        <w:t xml:space="preserve"> «عيون أخبار الرضا </w:t>
      </w:r>
      <w:r w:rsidR="00BC4BA9" w:rsidRPr="00BC4BA9">
        <w:rPr>
          <w:rFonts w:ascii="mylotus" w:hAnsi="mylotus" w:cs="CTraditional Arabic"/>
          <w:sz w:val="26"/>
          <w:szCs w:val="26"/>
          <w:rtl/>
        </w:rPr>
        <w:t>÷</w:t>
      </w:r>
      <w:r w:rsidRPr="00C3556F">
        <w:rPr>
          <w:rFonts w:ascii="mylotus" w:hAnsi="mylotus" w:cs="mylotus"/>
          <w:sz w:val="26"/>
          <w:szCs w:val="26"/>
          <w:rtl/>
        </w:rPr>
        <w:t>»</w:t>
      </w:r>
      <w:r w:rsidR="00217AB4" w:rsidRPr="00C3556F">
        <w:rPr>
          <w:rFonts w:ascii="mylotus" w:hAnsi="mylotus" w:cs="mylotus"/>
          <w:sz w:val="26"/>
          <w:szCs w:val="26"/>
          <w:rtl/>
        </w:rPr>
        <w:t>.</w:t>
      </w:r>
    </w:p>
    <w:p w:rsidR="005C664D" w:rsidRPr="00C3556F" w:rsidRDefault="005C664D" w:rsidP="00C3556F">
      <w:pPr>
        <w:numPr>
          <w:ilvl w:val="0"/>
          <w:numId w:val="30"/>
        </w:numPr>
        <w:spacing w:line="228" w:lineRule="auto"/>
        <w:ind w:left="397" w:hanging="397"/>
        <w:jc w:val="both"/>
        <w:rPr>
          <w:rFonts w:ascii="mylotus" w:hAnsi="mylotus" w:cs="mylotus"/>
          <w:sz w:val="26"/>
          <w:szCs w:val="26"/>
          <w:rtl/>
        </w:rPr>
      </w:pPr>
      <w:r w:rsidRPr="00C3556F">
        <w:rPr>
          <w:rFonts w:ascii="mylotus" w:hAnsi="mylotus" w:cs="mylotus"/>
          <w:sz w:val="26"/>
          <w:szCs w:val="26"/>
          <w:rtl/>
        </w:rPr>
        <w:t>الصدوق</w:t>
      </w:r>
      <w:r w:rsidR="00217AB4" w:rsidRPr="00C3556F">
        <w:rPr>
          <w:rFonts w:ascii="mylotus" w:hAnsi="mylotus" w:cs="mylotus"/>
          <w:sz w:val="26"/>
          <w:szCs w:val="26"/>
          <w:rtl/>
        </w:rPr>
        <w:t>،</w:t>
      </w:r>
      <w:r w:rsidRPr="00C3556F">
        <w:rPr>
          <w:rFonts w:ascii="mylotus" w:hAnsi="mylotus" w:cs="mylotus"/>
          <w:sz w:val="26"/>
          <w:szCs w:val="26"/>
          <w:rtl/>
        </w:rPr>
        <w:t xml:space="preserve"> «من ‏لا يحضره‏ الفقيه»</w:t>
      </w:r>
      <w:r w:rsidR="00217AB4" w:rsidRPr="00C3556F">
        <w:rPr>
          <w:rFonts w:ascii="mylotus" w:hAnsi="mylotus" w:cs="mylotus"/>
          <w:sz w:val="26"/>
          <w:szCs w:val="26"/>
          <w:rtl/>
        </w:rPr>
        <w:t>.</w:t>
      </w:r>
    </w:p>
    <w:p w:rsidR="005C664D" w:rsidRPr="00C3556F" w:rsidRDefault="005C664D" w:rsidP="00C3556F">
      <w:pPr>
        <w:widowControl w:val="0"/>
        <w:numPr>
          <w:ilvl w:val="0"/>
          <w:numId w:val="30"/>
        </w:numPr>
        <w:spacing w:line="228" w:lineRule="auto"/>
        <w:ind w:left="397" w:hanging="397"/>
        <w:jc w:val="both"/>
        <w:rPr>
          <w:rFonts w:ascii="mylotus" w:hAnsi="mylotus" w:cs="mylotus"/>
          <w:sz w:val="26"/>
          <w:szCs w:val="26"/>
          <w:rtl/>
        </w:rPr>
      </w:pPr>
      <w:r w:rsidRPr="00C3556F">
        <w:rPr>
          <w:rFonts w:ascii="mylotus" w:hAnsi="mylotus" w:cs="mylotus"/>
          <w:sz w:val="26"/>
          <w:szCs w:val="26"/>
          <w:rtl/>
        </w:rPr>
        <w:t>الصنعاني</w:t>
      </w:r>
      <w:r w:rsidR="00217AB4" w:rsidRPr="00C3556F">
        <w:rPr>
          <w:rFonts w:ascii="mylotus" w:hAnsi="mylotus" w:cs="mylotus"/>
          <w:sz w:val="26"/>
          <w:szCs w:val="26"/>
          <w:rtl/>
        </w:rPr>
        <w:t>،</w:t>
      </w:r>
      <w:r w:rsidRPr="00C3556F">
        <w:rPr>
          <w:rFonts w:ascii="mylotus" w:hAnsi="mylotus" w:cs="mylotus"/>
          <w:sz w:val="26"/>
          <w:szCs w:val="26"/>
          <w:rtl/>
        </w:rPr>
        <w:t xml:space="preserve"> الحافظ عبد الرزاق بن همّام الصنعاني </w:t>
      </w:r>
      <w:r w:rsidR="00217AB4" w:rsidRPr="00C3556F">
        <w:rPr>
          <w:rFonts w:ascii="mylotus" w:hAnsi="mylotus" w:cs="mylotus"/>
          <w:sz w:val="26"/>
          <w:szCs w:val="26"/>
          <w:rtl/>
        </w:rPr>
        <w:t>(</w:t>
      </w:r>
      <w:r w:rsidRPr="00C3556F">
        <w:rPr>
          <w:rFonts w:ascii="mylotus" w:hAnsi="mylotus" w:cs="mylotus"/>
          <w:sz w:val="26"/>
          <w:szCs w:val="26"/>
          <w:rtl/>
        </w:rPr>
        <w:t>126</w:t>
      </w:r>
      <w:r w:rsidR="00217AB4" w:rsidRPr="00C3556F">
        <w:rPr>
          <w:rFonts w:ascii="mylotus" w:hAnsi="mylotus" w:cs="mylotus"/>
          <w:sz w:val="26"/>
          <w:szCs w:val="26"/>
          <w:rtl/>
        </w:rPr>
        <w:t>-</w:t>
      </w:r>
      <w:r w:rsidRPr="00C3556F">
        <w:rPr>
          <w:rFonts w:ascii="mylotus" w:hAnsi="mylotus" w:cs="mylotus"/>
          <w:sz w:val="26"/>
          <w:szCs w:val="26"/>
          <w:rtl/>
        </w:rPr>
        <w:t>211هـ</w:t>
      </w:r>
      <w:r w:rsidR="00217AB4" w:rsidRPr="00C3556F">
        <w:rPr>
          <w:rFonts w:ascii="mylotus" w:hAnsi="mylotus" w:cs="mylotus"/>
          <w:sz w:val="26"/>
          <w:szCs w:val="26"/>
          <w:rtl/>
        </w:rPr>
        <w:t>)،</w:t>
      </w:r>
      <w:r w:rsidRPr="00C3556F">
        <w:rPr>
          <w:rFonts w:ascii="mylotus" w:hAnsi="mylotus" w:cs="mylotus"/>
          <w:sz w:val="26"/>
          <w:szCs w:val="26"/>
          <w:rtl/>
        </w:rPr>
        <w:t xml:space="preserve"> «المصنَّف»</w:t>
      </w:r>
      <w:r w:rsidR="00217AB4" w:rsidRPr="00C3556F">
        <w:rPr>
          <w:rFonts w:ascii="mylotus" w:hAnsi="mylotus" w:cs="mylotus"/>
          <w:sz w:val="26"/>
          <w:szCs w:val="26"/>
          <w:rtl/>
        </w:rPr>
        <w:t>،</w:t>
      </w:r>
      <w:r w:rsidRPr="00C3556F">
        <w:rPr>
          <w:rFonts w:ascii="mylotus" w:hAnsi="mylotus" w:cs="mylotus"/>
          <w:sz w:val="26"/>
          <w:szCs w:val="26"/>
          <w:rtl/>
        </w:rPr>
        <w:t xml:space="preserve"> ط2</w:t>
      </w:r>
      <w:r w:rsidR="00217AB4" w:rsidRPr="00C3556F">
        <w:rPr>
          <w:rFonts w:ascii="mylotus" w:hAnsi="mylotus" w:cs="mylotus"/>
          <w:sz w:val="26"/>
          <w:szCs w:val="26"/>
          <w:rtl/>
        </w:rPr>
        <w:t>،</w:t>
      </w:r>
      <w:r w:rsidRPr="00C3556F">
        <w:rPr>
          <w:rFonts w:ascii="mylotus" w:hAnsi="mylotus" w:cs="mylotus"/>
          <w:sz w:val="26"/>
          <w:szCs w:val="26"/>
          <w:rtl/>
        </w:rPr>
        <w:t xml:space="preserve"> بيروت</w:t>
      </w:r>
      <w:r w:rsidR="00217AB4" w:rsidRPr="00C3556F">
        <w:rPr>
          <w:rFonts w:ascii="mylotus" w:hAnsi="mylotus" w:cs="mylotus"/>
          <w:sz w:val="26"/>
          <w:szCs w:val="26"/>
          <w:rtl/>
        </w:rPr>
        <w:t>:</w:t>
      </w:r>
      <w:r w:rsidRPr="00C3556F">
        <w:rPr>
          <w:rFonts w:ascii="mylotus" w:hAnsi="mylotus" w:cs="mylotus"/>
          <w:sz w:val="26"/>
          <w:szCs w:val="26"/>
          <w:rtl/>
        </w:rPr>
        <w:t xml:space="preserve"> المكتب الإسلامي</w:t>
      </w:r>
      <w:r w:rsidR="00217AB4" w:rsidRPr="00C3556F">
        <w:rPr>
          <w:rFonts w:ascii="mylotus" w:hAnsi="mylotus" w:cs="mylotus"/>
          <w:sz w:val="26"/>
          <w:szCs w:val="26"/>
          <w:rtl/>
        </w:rPr>
        <w:t>،</w:t>
      </w:r>
      <w:r w:rsidRPr="00C3556F">
        <w:rPr>
          <w:rFonts w:ascii="mylotus" w:hAnsi="mylotus" w:cs="mylotus"/>
          <w:sz w:val="26"/>
          <w:szCs w:val="26"/>
          <w:rtl/>
        </w:rPr>
        <w:t xml:space="preserve"> تحقيق وتعليق حبيب الرحمن الأعظمي</w:t>
      </w:r>
      <w:r w:rsidR="00217AB4" w:rsidRPr="00C3556F">
        <w:rPr>
          <w:rFonts w:ascii="mylotus" w:hAnsi="mylotus" w:cs="mylotus"/>
          <w:sz w:val="26"/>
          <w:szCs w:val="26"/>
          <w:rtl/>
        </w:rPr>
        <w:t>،</w:t>
      </w:r>
      <w:r w:rsidRPr="00C3556F">
        <w:rPr>
          <w:rFonts w:ascii="mylotus" w:hAnsi="mylotus" w:cs="mylotus"/>
          <w:sz w:val="26"/>
          <w:szCs w:val="26"/>
          <w:rtl/>
        </w:rPr>
        <w:t xml:space="preserve"> 1403هـ</w:t>
      </w:r>
      <w:r w:rsidR="00217AB4" w:rsidRPr="00C3556F">
        <w:rPr>
          <w:rFonts w:ascii="mylotus" w:hAnsi="mylotus" w:cs="mylotus"/>
          <w:sz w:val="26"/>
          <w:szCs w:val="26"/>
          <w:rtl/>
        </w:rPr>
        <w:t>.</w:t>
      </w:r>
      <w:r w:rsidRPr="00C3556F">
        <w:rPr>
          <w:rFonts w:ascii="mylotus" w:hAnsi="mylotus" w:cs="mylotus"/>
          <w:sz w:val="26"/>
          <w:szCs w:val="26"/>
          <w:rtl/>
        </w:rPr>
        <w:t xml:space="preserve"> </w:t>
      </w:r>
    </w:p>
    <w:p w:rsidR="005C664D" w:rsidRPr="00C3556F" w:rsidRDefault="005C664D" w:rsidP="00C3556F">
      <w:pPr>
        <w:widowControl w:val="0"/>
        <w:numPr>
          <w:ilvl w:val="0"/>
          <w:numId w:val="30"/>
        </w:numPr>
        <w:spacing w:line="228" w:lineRule="auto"/>
        <w:ind w:left="397" w:hanging="397"/>
        <w:jc w:val="both"/>
        <w:rPr>
          <w:rFonts w:ascii="mylotus" w:hAnsi="mylotus" w:cs="mylotus"/>
          <w:sz w:val="26"/>
          <w:szCs w:val="26"/>
          <w:rtl/>
        </w:rPr>
      </w:pPr>
      <w:r w:rsidRPr="00C3556F">
        <w:rPr>
          <w:rFonts w:ascii="mylotus" w:hAnsi="mylotus" w:cs="mylotus"/>
          <w:sz w:val="26"/>
          <w:szCs w:val="26"/>
          <w:rtl/>
        </w:rPr>
        <w:t>الطَّبْرِسِي</w:t>
      </w:r>
      <w:r w:rsidR="00217AB4" w:rsidRPr="00C3556F">
        <w:rPr>
          <w:rFonts w:ascii="mylotus" w:hAnsi="mylotus" w:cs="mylotus"/>
          <w:sz w:val="26"/>
          <w:szCs w:val="26"/>
          <w:rtl/>
        </w:rPr>
        <w:t>،</w:t>
      </w:r>
      <w:r w:rsidRPr="00C3556F">
        <w:rPr>
          <w:rFonts w:ascii="mylotus" w:hAnsi="mylotus" w:cs="mylotus"/>
          <w:sz w:val="26"/>
          <w:szCs w:val="26"/>
          <w:rtl/>
        </w:rPr>
        <w:t xml:space="preserve"> رضي الدين أبو نصر الحسن بن أمين الدين أبي علي الفضل بن الحسن الطبرسي </w:t>
      </w:r>
      <w:r w:rsidR="00217AB4" w:rsidRPr="00C3556F">
        <w:rPr>
          <w:rFonts w:ascii="mylotus" w:hAnsi="mylotus" w:cs="mylotus"/>
          <w:sz w:val="26"/>
          <w:szCs w:val="26"/>
          <w:rtl/>
        </w:rPr>
        <w:t>(</w:t>
      </w:r>
      <w:r w:rsidRPr="00C3556F">
        <w:rPr>
          <w:rFonts w:ascii="mylotus" w:hAnsi="mylotus" w:cs="mylotus"/>
          <w:sz w:val="26"/>
          <w:szCs w:val="26"/>
          <w:rtl/>
        </w:rPr>
        <w:t>ابن صاحب تفسير مجمع البيان</w:t>
      </w:r>
      <w:r w:rsidR="00217AB4" w:rsidRPr="00C3556F">
        <w:rPr>
          <w:rFonts w:ascii="mylotus" w:hAnsi="mylotus" w:cs="mylotus"/>
          <w:sz w:val="26"/>
          <w:szCs w:val="26"/>
          <w:rtl/>
        </w:rPr>
        <w:t>)</w:t>
      </w:r>
      <w:r w:rsidRPr="00C3556F">
        <w:rPr>
          <w:rFonts w:ascii="mylotus" w:hAnsi="mylotus" w:cs="mylotus"/>
          <w:sz w:val="26"/>
          <w:szCs w:val="26"/>
          <w:rtl/>
        </w:rPr>
        <w:t xml:space="preserve"> </w:t>
      </w:r>
      <w:r w:rsidR="00217AB4" w:rsidRPr="00C3556F">
        <w:rPr>
          <w:rFonts w:ascii="mylotus" w:hAnsi="mylotus" w:cs="mylotus"/>
          <w:sz w:val="26"/>
          <w:szCs w:val="26"/>
          <w:rtl/>
        </w:rPr>
        <w:t>(</w:t>
      </w:r>
      <w:r w:rsidRPr="00C3556F">
        <w:rPr>
          <w:rFonts w:ascii="mylotus" w:hAnsi="mylotus" w:cs="mylotus"/>
          <w:sz w:val="26"/>
          <w:szCs w:val="26"/>
          <w:rtl/>
        </w:rPr>
        <w:t>القرن 6هـ</w:t>
      </w:r>
      <w:r w:rsidR="00217AB4" w:rsidRPr="00C3556F">
        <w:rPr>
          <w:rFonts w:ascii="mylotus" w:hAnsi="mylotus" w:cs="mylotus"/>
          <w:sz w:val="26"/>
          <w:szCs w:val="26"/>
          <w:rtl/>
        </w:rPr>
        <w:t>؟)،</w:t>
      </w:r>
      <w:r w:rsidRPr="00C3556F">
        <w:rPr>
          <w:rFonts w:ascii="mylotus" w:hAnsi="mylotus" w:cs="mylotus"/>
          <w:sz w:val="26"/>
          <w:szCs w:val="26"/>
          <w:rtl/>
        </w:rPr>
        <w:t xml:space="preserve"> «مكارم الأخلاق»</w:t>
      </w:r>
      <w:r w:rsidR="00217AB4" w:rsidRPr="00C3556F">
        <w:rPr>
          <w:rFonts w:ascii="mylotus" w:hAnsi="mylotus" w:cs="mylotus"/>
          <w:sz w:val="26"/>
          <w:szCs w:val="26"/>
          <w:rtl/>
        </w:rPr>
        <w:t>.</w:t>
      </w:r>
      <w:r w:rsidRPr="00C3556F">
        <w:rPr>
          <w:rFonts w:ascii="mylotus" w:hAnsi="mylotus" w:cs="mylotus"/>
          <w:sz w:val="26"/>
          <w:szCs w:val="26"/>
          <w:rtl/>
        </w:rPr>
        <w:t xml:space="preserve"> </w:t>
      </w:r>
    </w:p>
    <w:p w:rsidR="005C664D" w:rsidRPr="00C3556F" w:rsidRDefault="005C664D" w:rsidP="00C3556F">
      <w:pPr>
        <w:widowControl w:val="0"/>
        <w:numPr>
          <w:ilvl w:val="0"/>
          <w:numId w:val="30"/>
        </w:numPr>
        <w:spacing w:line="228" w:lineRule="auto"/>
        <w:ind w:left="397" w:hanging="397"/>
        <w:jc w:val="both"/>
        <w:rPr>
          <w:rFonts w:ascii="mylotus" w:hAnsi="mylotus" w:cs="mylotus"/>
          <w:sz w:val="26"/>
          <w:szCs w:val="26"/>
          <w:rtl/>
        </w:rPr>
      </w:pPr>
      <w:r w:rsidRPr="00C3556F">
        <w:rPr>
          <w:rFonts w:ascii="mylotus" w:hAnsi="mylotus" w:cs="mylotus"/>
          <w:sz w:val="26"/>
          <w:szCs w:val="26"/>
          <w:rtl/>
        </w:rPr>
        <w:t>الطحاوي</w:t>
      </w:r>
      <w:r w:rsidR="00217AB4" w:rsidRPr="00C3556F">
        <w:rPr>
          <w:rFonts w:ascii="mylotus" w:hAnsi="mylotus" w:cs="mylotus"/>
          <w:sz w:val="26"/>
          <w:szCs w:val="26"/>
          <w:rtl/>
        </w:rPr>
        <w:t>،</w:t>
      </w:r>
      <w:r w:rsidRPr="00C3556F">
        <w:rPr>
          <w:rFonts w:ascii="mylotus" w:hAnsi="mylotus" w:cs="mylotus"/>
          <w:sz w:val="26"/>
          <w:szCs w:val="26"/>
          <w:rtl/>
        </w:rPr>
        <w:t xml:space="preserve"> أبو جعفر أحمد بن محمد بن سلامة الأزدي المصري المعروف بالطحاوي </w:t>
      </w:r>
      <w:r w:rsidR="00217AB4" w:rsidRPr="00C3556F">
        <w:rPr>
          <w:rFonts w:ascii="mylotus" w:hAnsi="mylotus" w:cs="mylotus"/>
          <w:sz w:val="26"/>
          <w:szCs w:val="26"/>
          <w:rtl/>
        </w:rPr>
        <w:t>(</w:t>
      </w:r>
      <w:r w:rsidRPr="00C3556F">
        <w:rPr>
          <w:rFonts w:ascii="mylotus" w:hAnsi="mylotus" w:cs="mylotus"/>
          <w:sz w:val="26"/>
          <w:szCs w:val="26"/>
          <w:rtl/>
        </w:rPr>
        <w:t>321هـ</w:t>
      </w:r>
      <w:r w:rsidR="00217AB4" w:rsidRPr="00C3556F">
        <w:rPr>
          <w:rFonts w:ascii="mylotus" w:hAnsi="mylotus" w:cs="mylotus"/>
          <w:sz w:val="26"/>
          <w:szCs w:val="26"/>
          <w:rtl/>
        </w:rPr>
        <w:t>)،</w:t>
      </w:r>
      <w:r w:rsidRPr="00C3556F">
        <w:rPr>
          <w:rFonts w:ascii="mylotus" w:hAnsi="mylotus" w:cs="mylotus"/>
          <w:sz w:val="26"/>
          <w:szCs w:val="26"/>
          <w:rtl/>
        </w:rPr>
        <w:t xml:space="preserve"> «شرح معاني الآثار»</w:t>
      </w:r>
      <w:r w:rsidR="00217AB4" w:rsidRPr="00C3556F">
        <w:rPr>
          <w:rFonts w:ascii="mylotus" w:hAnsi="mylotus" w:cs="mylotus"/>
          <w:sz w:val="26"/>
          <w:szCs w:val="26"/>
          <w:rtl/>
        </w:rPr>
        <w:t>،</w:t>
      </w:r>
      <w:r w:rsidRPr="00C3556F">
        <w:rPr>
          <w:rFonts w:ascii="mylotus" w:hAnsi="mylotus" w:cs="mylotus"/>
          <w:sz w:val="26"/>
          <w:szCs w:val="26"/>
          <w:rtl/>
        </w:rPr>
        <w:t xml:space="preserve"> بيروت</w:t>
      </w:r>
      <w:r w:rsidR="00217AB4" w:rsidRPr="00C3556F">
        <w:rPr>
          <w:rFonts w:ascii="mylotus" w:hAnsi="mylotus" w:cs="mylotus"/>
          <w:sz w:val="26"/>
          <w:szCs w:val="26"/>
          <w:rtl/>
        </w:rPr>
        <w:t>،</w:t>
      </w:r>
      <w:r w:rsidRPr="00C3556F">
        <w:rPr>
          <w:rFonts w:ascii="mylotus" w:hAnsi="mylotus" w:cs="mylotus"/>
          <w:sz w:val="26"/>
          <w:szCs w:val="26"/>
          <w:rtl/>
        </w:rPr>
        <w:t xml:space="preserve"> دار الكتب العلمية</w:t>
      </w:r>
      <w:r w:rsidR="00217AB4" w:rsidRPr="00C3556F">
        <w:rPr>
          <w:rFonts w:ascii="mylotus" w:hAnsi="mylotus" w:cs="mylotus"/>
          <w:sz w:val="26"/>
          <w:szCs w:val="26"/>
          <w:rtl/>
        </w:rPr>
        <w:t>.</w:t>
      </w:r>
    </w:p>
    <w:p w:rsidR="005C664D" w:rsidRPr="00F90700" w:rsidRDefault="005C664D" w:rsidP="00C3556F">
      <w:pPr>
        <w:widowControl w:val="0"/>
        <w:numPr>
          <w:ilvl w:val="0"/>
          <w:numId w:val="30"/>
        </w:numPr>
        <w:spacing w:line="228" w:lineRule="auto"/>
        <w:ind w:left="397" w:hanging="397"/>
        <w:jc w:val="both"/>
        <w:rPr>
          <w:rFonts w:ascii="mylotus" w:hAnsi="mylotus" w:cs="mylotus"/>
          <w:spacing w:val="-2"/>
          <w:sz w:val="26"/>
          <w:szCs w:val="26"/>
          <w:rtl/>
        </w:rPr>
      </w:pPr>
      <w:r w:rsidRPr="00F90700">
        <w:rPr>
          <w:rFonts w:ascii="mylotus" w:hAnsi="mylotus" w:cs="mylotus"/>
          <w:spacing w:val="-2"/>
          <w:sz w:val="26"/>
          <w:szCs w:val="26"/>
          <w:rtl/>
        </w:rPr>
        <w:t>الطوسي</w:t>
      </w:r>
      <w:r w:rsidR="00217AB4" w:rsidRPr="00F90700">
        <w:rPr>
          <w:rFonts w:ascii="mylotus" w:hAnsi="mylotus" w:cs="mylotus"/>
          <w:spacing w:val="-2"/>
          <w:sz w:val="26"/>
          <w:szCs w:val="26"/>
          <w:rtl/>
        </w:rPr>
        <w:t>،</w:t>
      </w:r>
      <w:r w:rsidRPr="00F90700">
        <w:rPr>
          <w:rFonts w:ascii="mylotus" w:hAnsi="mylotus" w:cs="mylotus"/>
          <w:spacing w:val="-2"/>
          <w:sz w:val="26"/>
          <w:szCs w:val="26"/>
          <w:rtl/>
        </w:rPr>
        <w:t xml:space="preserve"> شيخ الطائفة أبو جعفر محمد بن الحسن الطوسي </w:t>
      </w:r>
      <w:r w:rsidR="00217AB4" w:rsidRPr="00F90700">
        <w:rPr>
          <w:rFonts w:ascii="mylotus" w:hAnsi="mylotus" w:cs="mylotus"/>
          <w:spacing w:val="-2"/>
          <w:sz w:val="26"/>
          <w:szCs w:val="26"/>
          <w:rtl/>
        </w:rPr>
        <w:t>(</w:t>
      </w:r>
      <w:r w:rsidRPr="00F90700">
        <w:rPr>
          <w:rFonts w:ascii="mylotus" w:hAnsi="mylotus" w:cs="mylotus"/>
          <w:spacing w:val="-2"/>
          <w:sz w:val="26"/>
          <w:szCs w:val="26"/>
          <w:rtl/>
        </w:rPr>
        <w:t>460هـ</w:t>
      </w:r>
      <w:r w:rsidR="00217AB4" w:rsidRPr="00F90700">
        <w:rPr>
          <w:rFonts w:ascii="mylotus" w:hAnsi="mylotus" w:cs="mylotus"/>
          <w:spacing w:val="-2"/>
          <w:sz w:val="26"/>
          <w:szCs w:val="26"/>
          <w:rtl/>
        </w:rPr>
        <w:t>)،</w:t>
      </w:r>
      <w:r w:rsidRPr="00F90700">
        <w:rPr>
          <w:rFonts w:ascii="mylotus" w:hAnsi="mylotus" w:cs="mylotus"/>
          <w:spacing w:val="-2"/>
          <w:sz w:val="26"/>
          <w:szCs w:val="26"/>
          <w:rtl/>
        </w:rPr>
        <w:t xml:space="preserve"> «الأمالي» أو «المجالس»</w:t>
      </w:r>
      <w:r w:rsidR="00217AB4" w:rsidRPr="00F90700">
        <w:rPr>
          <w:rFonts w:ascii="mylotus" w:hAnsi="mylotus" w:cs="mylotus"/>
          <w:spacing w:val="-2"/>
          <w:sz w:val="26"/>
          <w:szCs w:val="26"/>
          <w:rtl/>
        </w:rPr>
        <w:t>.</w:t>
      </w:r>
    </w:p>
    <w:p w:rsidR="005C664D" w:rsidRPr="00C3556F" w:rsidRDefault="005C664D" w:rsidP="00C3556F">
      <w:pPr>
        <w:widowControl w:val="0"/>
        <w:numPr>
          <w:ilvl w:val="0"/>
          <w:numId w:val="30"/>
        </w:numPr>
        <w:spacing w:line="228" w:lineRule="auto"/>
        <w:ind w:left="397" w:hanging="397"/>
        <w:jc w:val="both"/>
        <w:rPr>
          <w:rFonts w:ascii="mylotus" w:hAnsi="mylotus" w:cs="mylotus"/>
          <w:sz w:val="26"/>
          <w:szCs w:val="26"/>
          <w:rtl/>
        </w:rPr>
      </w:pPr>
      <w:r w:rsidRPr="00C3556F">
        <w:rPr>
          <w:rFonts w:ascii="mylotus" w:hAnsi="mylotus" w:cs="mylotus"/>
          <w:sz w:val="26"/>
          <w:szCs w:val="26"/>
          <w:rtl/>
        </w:rPr>
        <w:t>الطوسي</w:t>
      </w:r>
      <w:r w:rsidR="00217AB4" w:rsidRPr="00C3556F">
        <w:rPr>
          <w:rFonts w:ascii="mylotus" w:hAnsi="mylotus" w:cs="mylotus"/>
          <w:sz w:val="26"/>
          <w:szCs w:val="26"/>
          <w:rtl/>
        </w:rPr>
        <w:t>،</w:t>
      </w:r>
      <w:r w:rsidRPr="00C3556F">
        <w:rPr>
          <w:rFonts w:ascii="mylotus" w:hAnsi="mylotus" w:cs="mylotus"/>
          <w:sz w:val="26"/>
          <w:szCs w:val="26"/>
          <w:rtl/>
        </w:rPr>
        <w:t xml:space="preserve"> شيخ الطائفة</w:t>
      </w:r>
      <w:r w:rsidR="00217AB4" w:rsidRPr="00C3556F">
        <w:rPr>
          <w:rFonts w:ascii="mylotus" w:hAnsi="mylotus" w:cs="mylotus"/>
          <w:sz w:val="26"/>
          <w:szCs w:val="26"/>
          <w:rtl/>
        </w:rPr>
        <w:t>،</w:t>
      </w:r>
      <w:r w:rsidRPr="00C3556F">
        <w:rPr>
          <w:rFonts w:ascii="mylotus" w:hAnsi="mylotus" w:cs="mylotus"/>
          <w:sz w:val="26"/>
          <w:szCs w:val="26"/>
          <w:rtl/>
        </w:rPr>
        <w:t xml:space="preserve"> «الاستبصار»</w:t>
      </w:r>
      <w:r w:rsidR="00217AB4" w:rsidRPr="00C3556F">
        <w:rPr>
          <w:rFonts w:ascii="mylotus" w:hAnsi="mylotus" w:cs="mylotus"/>
          <w:sz w:val="26"/>
          <w:szCs w:val="26"/>
          <w:rtl/>
        </w:rPr>
        <w:t>.</w:t>
      </w:r>
    </w:p>
    <w:p w:rsidR="005C664D" w:rsidRPr="00C3556F" w:rsidRDefault="005C664D" w:rsidP="00C3556F">
      <w:pPr>
        <w:widowControl w:val="0"/>
        <w:numPr>
          <w:ilvl w:val="0"/>
          <w:numId w:val="30"/>
        </w:numPr>
        <w:spacing w:line="228" w:lineRule="auto"/>
        <w:ind w:left="397" w:hanging="397"/>
        <w:jc w:val="both"/>
        <w:rPr>
          <w:rFonts w:ascii="mylotus" w:hAnsi="mylotus" w:cs="mylotus"/>
          <w:sz w:val="26"/>
          <w:szCs w:val="26"/>
          <w:rtl/>
        </w:rPr>
      </w:pPr>
      <w:r w:rsidRPr="00C3556F">
        <w:rPr>
          <w:rFonts w:ascii="mylotus" w:hAnsi="mylotus" w:cs="mylotus"/>
          <w:sz w:val="26"/>
          <w:szCs w:val="26"/>
          <w:rtl/>
        </w:rPr>
        <w:t>الطوسي</w:t>
      </w:r>
      <w:r w:rsidR="00217AB4" w:rsidRPr="00C3556F">
        <w:rPr>
          <w:rFonts w:ascii="mylotus" w:hAnsi="mylotus" w:cs="mylotus"/>
          <w:sz w:val="26"/>
          <w:szCs w:val="26"/>
          <w:rtl/>
        </w:rPr>
        <w:t>،</w:t>
      </w:r>
      <w:r w:rsidRPr="00C3556F">
        <w:rPr>
          <w:rFonts w:ascii="mylotus" w:hAnsi="mylotus" w:cs="mylotus"/>
          <w:sz w:val="26"/>
          <w:szCs w:val="26"/>
          <w:rtl/>
        </w:rPr>
        <w:t xml:space="preserve"> شيخ الطائفة</w:t>
      </w:r>
      <w:r w:rsidR="00217AB4" w:rsidRPr="00C3556F">
        <w:rPr>
          <w:rFonts w:ascii="mylotus" w:hAnsi="mylotus" w:cs="mylotus"/>
          <w:sz w:val="26"/>
          <w:szCs w:val="26"/>
          <w:rtl/>
        </w:rPr>
        <w:t>،</w:t>
      </w:r>
      <w:r w:rsidRPr="00C3556F">
        <w:rPr>
          <w:rFonts w:ascii="mylotus" w:hAnsi="mylotus" w:cs="mylotus"/>
          <w:sz w:val="26"/>
          <w:szCs w:val="26"/>
          <w:rtl/>
        </w:rPr>
        <w:t xml:space="preserve"> «الغيبة»</w:t>
      </w:r>
      <w:r w:rsidR="00217AB4" w:rsidRPr="00C3556F">
        <w:rPr>
          <w:rFonts w:ascii="mylotus" w:hAnsi="mylotus" w:cs="mylotus"/>
          <w:sz w:val="26"/>
          <w:szCs w:val="26"/>
          <w:rtl/>
        </w:rPr>
        <w:t>،</w:t>
      </w:r>
      <w:r w:rsidRPr="00C3556F">
        <w:rPr>
          <w:rFonts w:ascii="mylotus" w:hAnsi="mylotus" w:cs="mylotus"/>
          <w:sz w:val="26"/>
          <w:szCs w:val="26"/>
          <w:rtl/>
        </w:rPr>
        <w:t xml:space="preserve"> قم</w:t>
      </w:r>
      <w:r w:rsidR="00217AB4" w:rsidRPr="00C3556F">
        <w:rPr>
          <w:rFonts w:ascii="mylotus" w:hAnsi="mylotus" w:cs="mylotus"/>
          <w:sz w:val="26"/>
          <w:szCs w:val="26"/>
          <w:rtl/>
        </w:rPr>
        <w:t>،</w:t>
      </w:r>
      <w:r w:rsidRPr="00C3556F">
        <w:rPr>
          <w:rFonts w:ascii="mylotus" w:hAnsi="mylotus" w:cs="mylotus"/>
          <w:sz w:val="26"/>
          <w:szCs w:val="26"/>
          <w:rtl/>
        </w:rPr>
        <w:t xml:space="preserve"> مؤسسه معارف اسلامي</w:t>
      </w:r>
      <w:r w:rsidR="00217AB4" w:rsidRPr="00C3556F">
        <w:rPr>
          <w:rFonts w:ascii="mylotus" w:hAnsi="mylotus" w:cs="mylotus"/>
          <w:sz w:val="26"/>
          <w:szCs w:val="26"/>
          <w:rtl/>
        </w:rPr>
        <w:t>،</w:t>
      </w:r>
      <w:r w:rsidRPr="00C3556F">
        <w:rPr>
          <w:rFonts w:ascii="mylotus" w:hAnsi="mylotus" w:cs="mylotus"/>
          <w:sz w:val="26"/>
          <w:szCs w:val="26"/>
          <w:rtl/>
        </w:rPr>
        <w:t xml:space="preserve"> 1411هـ</w:t>
      </w:r>
    </w:p>
    <w:p w:rsidR="005C664D" w:rsidRPr="00C3556F" w:rsidRDefault="005C664D" w:rsidP="00C3556F">
      <w:pPr>
        <w:widowControl w:val="0"/>
        <w:numPr>
          <w:ilvl w:val="0"/>
          <w:numId w:val="30"/>
        </w:numPr>
        <w:spacing w:line="228" w:lineRule="auto"/>
        <w:ind w:left="397" w:hanging="397"/>
        <w:jc w:val="both"/>
        <w:rPr>
          <w:rFonts w:ascii="mylotus" w:hAnsi="mylotus" w:cs="mylotus"/>
          <w:sz w:val="26"/>
          <w:szCs w:val="26"/>
          <w:rtl/>
        </w:rPr>
      </w:pPr>
      <w:r w:rsidRPr="00C3556F">
        <w:rPr>
          <w:rFonts w:ascii="mylotus" w:hAnsi="mylotus" w:cs="mylotus"/>
          <w:sz w:val="26"/>
          <w:szCs w:val="26"/>
          <w:rtl/>
        </w:rPr>
        <w:t>الطوسي</w:t>
      </w:r>
      <w:r w:rsidR="00217AB4" w:rsidRPr="00C3556F">
        <w:rPr>
          <w:rFonts w:ascii="mylotus" w:hAnsi="mylotus" w:cs="mylotus"/>
          <w:sz w:val="26"/>
          <w:szCs w:val="26"/>
          <w:rtl/>
        </w:rPr>
        <w:t>،</w:t>
      </w:r>
      <w:r w:rsidRPr="00C3556F">
        <w:rPr>
          <w:rFonts w:ascii="mylotus" w:hAnsi="mylotus" w:cs="mylotus"/>
          <w:sz w:val="26"/>
          <w:szCs w:val="26"/>
          <w:rtl/>
        </w:rPr>
        <w:t xml:space="preserve"> شيخ الطائفة</w:t>
      </w:r>
      <w:r w:rsidR="00217AB4" w:rsidRPr="00C3556F">
        <w:rPr>
          <w:rFonts w:ascii="mylotus" w:hAnsi="mylotus" w:cs="mylotus"/>
          <w:sz w:val="26"/>
          <w:szCs w:val="26"/>
          <w:rtl/>
        </w:rPr>
        <w:t>،</w:t>
      </w:r>
      <w:r w:rsidRPr="00C3556F">
        <w:rPr>
          <w:rFonts w:ascii="mylotus" w:hAnsi="mylotus" w:cs="mylotus"/>
          <w:sz w:val="26"/>
          <w:szCs w:val="26"/>
          <w:rtl/>
        </w:rPr>
        <w:t xml:space="preserve"> «تهذيب الأحكام»</w:t>
      </w:r>
      <w:r w:rsidR="00217AB4" w:rsidRPr="00C3556F">
        <w:rPr>
          <w:rFonts w:ascii="mylotus" w:hAnsi="mylotus" w:cs="mylotus"/>
          <w:sz w:val="26"/>
          <w:szCs w:val="26"/>
          <w:rtl/>
        </w:rPr>
        <w:t>،</w:t>
      </w:r>
      <w:r w:rsidRPr="00C3556F">
        <w:rPr>
          <w:rFonts w:ascii="mylotus" w:hAnsi="mylotus" w:cs="mylotus"/>
          <w:sz w:val="26"/>
          <w:szCs w:val="26"/>
          <w:rtl/>
        </w:rPr>
        <w:t xml:space="preserve"> طبع النجف</w:t>
      </w:r>
      <w:r w:rsidR="00217AB4" w:rsidRPr="00C3556F">
        <w:rPr>
          <w:rFonts w:ascii="mylotus" w:hAnsi="mylotus" w:cs="mylotus"/>
          <w:sz w:val="26"/>
          <w:szCs w:val="26"/>
          <w:rtl/>
        </w:rPr>
        <w:t>.</w:t>
      </w:r>
      <w:r w:rsidRPr="00C3556F">
        <w:rPr>
          <w:rFonts w:ascii="mylotus" w:hAnsi="mylotus" w:cs="mylotus"/>
          <w:sz w:val="26"/>
          <w:szCs w:val="26"/>
          <w:rtl/>
        </w:rPr>
        <w:t xml:space="preserve"> </w:t>
      </w:r>
    </w:p>
    <w:p w:rsidR="005C664D" w:rsidRPr="00C3556F" w:rsidRDefault="005C664D" w:rsidP="00C3556F">
      <w:pPr>
        <w:widowControl w:val="0"/>
        <w:numPr>
          <w:ilvl w:val="0"/>
          <w:numId w:val="30"/>
        </w:numPr>
        <w:spacing w:line="228" w:lineRule="auto"/>
        <w:ind w:left="397" w:hanging="397"/>
        <w:jc w:val="both"/>
        <w:rPr>
          <w:rFonts w:ascii="mylotus" w:hAnsi="mylotus" w:cs="mylotus"/>
          <w:sz w:val="26"/>
          <w:szCs w:val="26"/>
          <w:rtl/>
        </w:rPr>
      </w:pPr>
      <w:r w:rsidRPr="00C3556F">
        <w:rPr>
          <w:rFonts w:ascii="mylotus" w:hAnsi="mylotus" w:cs="mylotus"/>
          <w:sz w:val="26"/>
          <w:szCs w:val="26"/>
          <w:rtl/>
        </w:rPr>
        <w:t xml:space="preserve">قطب الدين الراوندي </w:t>
      </w:r>
      <w:r w:rsidR="00217AB4" w:rsidRPr="00C3556F">
        <w:rPr>
          <w:rFonts w:ascii="mylotus" w:hAnsi="mylotus" w:cs="mylotus"/>
          <w:sz w:val="26"/>
          <w:szCs w:val="26"/>
          <w:rtl/>
        </w:rPr>
        <w:t>(</w:t>
      </w:r>
      <w:r w:rsidRPr="00C3556F">
        <w:rPr>
          <w:rFonts w:ascii="mylotus" w:hAnsi="mylotus" w:cs="mylotus"/>
          <w:sz w:val="26"/>
          <w:szCs w:val="26"/>
          <w:rtl/>
        </w:rPr>
        <w:t>573 هـ</w:t>
      </w:r>
      <w:r w:rsidR="00217AB4" w:rsidRPr="00C3556F">
        <w:rPr>
          <w:rFonts w:ascii="mylotus" w:hAnsi="mylotus" w:cs="mylotus"/>
          <w:sz w:val="26"/>
          <w:szCs w:val="26"/>
          <w:rtl/>
        </w:rPr>
        <w:t>)،</w:t>
      </w:r>
      <w:r w:rsidRPr="00C3556F">
        <w:rPr>
          <w:rFonts w:ascii="mylotus" w:hAnsi="mylotus" w:cs="mylotus"/>
          <w:sz w:val="26"/>
          <w:szCs w:val="26"/>
          <w:rtl/>
        </w:rPr>
        <w:t xml:space="preserve"> «الخرائج والجرائح»</w:t>
      </w:r>
      <w:r w:rsidR="00217AB4" w:rsidRPr="00C3556F">
        <w:rPr>
          <w:rFonts w:ascii="mylotus" w:hAnsi="mylotus" w:cs="mylotus"/>
          <w:sz w:val="26"/>
          <w:szCs w:val="26"/>
          <w:rtl/>
        </w:rPr>
        <w:t>،</w:t>
      </w:r>
      <w:r w:rsidRPr="00C3556F">
        <w:rPr>
          <w:rFonts w:ascii="mylotus" w:hAnsi="mylotus" w:cs="mylotus"/>
          <w:sz w:val="26"/>
          <w:szCs w:val="26"/>
          <w:rtl/>
        </w:rPr>
        <w:t xml:space="preserve"> قم</w:t>
      </w:r>
      <w:r w:rsidR="00217AB4" w:rsidRPr="00C3556F">
        <w:rPr>
          <w:rFonts w:ascii="mylotus" w:hAnsi="mylotus" w:cs="mylotus"/>
          <w:sz w:val="26"/>
          <w:szCs w:val="26"/>
          <w:rtl/>
        </w:rPr>
        <w:t>،</w:t>
      </w:r>
      <w:r w:rsidRPr="00C3556F">
        <w:rPr>
          <w:rFonts w:ascii="mylotus" w:hAnsi="mylotus" w:cs="mylotus"/>
          <w:sz w:val="26"/>
          <w:szCs w:val="26"/>
          <w:rtl/>
        </w:rPr>
        <w:t xml:space="preserve"> 1409هـ</w:t>
      </w:r>
      <w:r w:rsidR="00217AB4" w:rsidRPr="00C3556F">
        <w:rPr>
          <w:rFonts w:ascii="mylotus" w:hAnsi="mylotus" w:cs="mylotus"/>
          <w:sz w:val="26"/>
          <w:szCs w:val="26"/>
          <w:rtl/>
        </w:rPr>
        <w:t>.</w:t>
      </w:r>
      <w:r w:rsidRPr="00C3556F">
        <w:rPr>
          <w:rFonts w:ascii="mylotus" w:hAnsi="mylotus" w:cs="mylotus"/>
          <w:sz w:val="26"/>
          <w:szCs w:val="26"/>
          <w:rtl/>
        </w:rPr>
        <w:t xml:space="preserve"> ق</w:t>
      </w:r>
      <w:r w:rsidR="00217AB4" w:rsidRPr="00C3556F">
        <w:rPr>
          <w:rFonts w:ascii="mylotus" w:hAnsi="mylotus" w:cs="mylotus"/>
          <w:sz w:val="26"/>
          <w:szCs w:val="26"/>
          <w:rtl/>
        </w:rPr>
        <w:t>.</w:t>
      </w:r>
    </w:p>
    <w:p w:rsidR="005C664D" w:rsidRPr="00C3556F" w:rsidRDefault="005C664D" w:rsidP="00C3556F">
      <w:pPr>
        <w:widowControl w:val="0"/>
        <w:numPr>
          <w:ilvl w:val="0"/>
          <w:numId w:val="30"/>
        </w:numPr>
        <w:spacing w:line="228" w:lineRule="auto"/>
        <w:ind w:left="397" w:hanging="397"/>
        <w:jc w:val="both"/>
        <w:rPr>
          <w:rFonts w:ascii="mylotus" w:hAnsi="mylotus" w:cs="mylotus"/>
          <w:sz w:val="26"/>
          <w:szCs w:val="26"/>
        </w:rPr>
      </w:pPr>
      <w:r w:rsidRPr="00C3556F">
        <w:rPr>
          <w:rFonts w:ascii="mylotus" w:hAnsi="mylotus" w:cs="mylotus"/>
          <w:sz w:val="26"/>
          <w:szCs w:val="26"/>
          <w:rtl/>
        </w:rPr>
        <w:t>الكُلَيْنِيّ</w:t>
      </w:r>
      <w:r w:rsidR="00217AB4" w:rsidRPr="00C3556F">
        <w:rPr>
          <w:rFonts w:ascii="mylotus" w:hAnsi="mylotus" w:cs="mylotus"/>
          <w:sz w:val="26"/>
          <w:szCs w:val="26"/>
          <w:rtl/>
        </w:rPr>
        <w:t>،</w:t>
      </w:r>
      <w:r w:rsidRPr="00C3556F">
        <w:rPr>
          <w:rFonts w:ascii="mylotus" w:hAnsi="mylotus" w:cs="mylotus"/>
          <w:sz w:val="26"/>
          <w:szCs w:val="26"/>
          <w:rtl/>
        </w:rPr>
        <w:t xml:space="preserve"> ثقة الإسلام الشيخ محمد بن يعقوب بن إسحاق الكُلَيْنِيّ الرازي </w:t>
      </w:r>
      <w:r w:rsidR="00217AB4" w:rsidRPr="00C3556F">
        <w:rPr>
          <w:rFonts w:ascii="mylotus" w:hAnsi="mylotus" w:cs="mylotus"/>
          <w:sz w:val="26"/>
          <w:szCs w:val="26"/>
          <w:rtl/>
        </w:rPr>
        <w:t>(</w:t>
      </w:r>
      <w:r w:rsidRPr="00C3556F">
        <w:rPr>
          <w:rFonts w:ascii="mylotus" w:hAnsi="mylotus" w:cs="mylotus"/>
          <w:sz w:val="26"/>
          <w:szCs w:val="26"/>
          <w:rtl/>
        </w:rPr>
        <w:t>329هـ</w:t>
      </w:r>
      <w:r w:rsidR="00217AB4" w:rsidRPr="00C3556F">
        <w:rPr>
          <w:rFonts w:ascii="mylotus" w:hAnsi="mylotus" w:cs="mylotus"/>
          <w:sz w:val="26"/>
          <w:szCs w:val="26"/>
          <w:rtl/>
        </w:rPr>
        <w:t>)،</w:t>
      </w:r>
      <w:r w:rsidRPr="00C3556F">
        <w:rPr>
          <w:rFonts w:ascii="mylotus" w:hAnsi="mylotus" w:cs="mylotus"/>
          <w:sz w:val="26"/>
          <w:szCs w:val="26"/>
          <w:rtl/>
        </w:rPr>
        <w:t xml:space="preserve"> «الكافي» </w:t>
      </w:r>
      <w:r w:rsidR="00217AB4" w:rsidRPr="00C3556F">
        <w:rPr>
          <w:rFonts w:ascii="mylotus" w:hAnsi="mylotus" w:cs="mylotus"/>
          <w:sz w:val="26"/>
          <w:szCs w:val="26"/>
          <w:rtl/>
        </w:rPr>
        <w:t>(</w:t>
      </w:r>
      <w:r w:rsidRPr="00C3556F">
        <w:rPr>
          <w:rFonts w:ascii="mylotus" w:hAnsi="mylotus" w:cs="mylotus"/>
          <w:sz w:val="26"/>
          <w:szCs w:val="26"/>
          <w:rtl/>
        </w:rPr>
        <w:t>الأصول والفروع والروضة</w:t>
      </w:r>
      <w:r w:rsidR="00217AB4" w:rsidRPr="00C3556F">
        <w:rPr>
          <w:rFonts w:ascii="mylotus" w:hAnsi="mylotus" w:cs="mylotus"/>
          <w:sz w:val="26"/>
          <w:szCs w:val="26"/>
          <w:rtl/>
        </w:rPr>
        <w:t>)،</w:t>
      </w:r>
      <w:r w:rsidRPr="00C3556F">
        <w:rPr>
          <w:rFonts w:ascii="mylotus" w:hAnsi="mylotus" w:cs="mylotus"/>
          <w:sz w:val="26"/>
          <w:szCs w:val="26"/>
          <w:rtl/>
        </w:rPr>
        <w:t xml:space="preserve"> ط4</w:t>
      </w:r>
      <w:r w:rsidR="00217AB4" w:rsidRPr="00C3556F">
        <w:rPr>
          <w:rFonts w:ascii="mylotus" w:hAnsi="mylotus" w:cs="mylotus"/>
          <w:sz w:val="26"/>
          <w:szCs w:val="26"/>
          <w:rtl/>
        </w:rPr>
        <w:t>،</w:t>
      </w:r>
      <w:r w:rsidRPr="00C3556F">
        <w:rPr>
          <w:rFonts w:ascii="mylotus" w:hAnsi="mylotus" w:cs="mylotus"/>
          <w:sz w:val="26"/>
          <w:szCs w:val="26"/>
          <w:rtl/>
        </w:rPr>
        <w:t xml:space="preserve"> طهران</w:t>
      </w:r>
      <w:r w:rsidR="00217AB4" w:rsidRPr="00C3556F">
        <w:rPr>
          <w:rFonts w:ascii="mylotus" w:hAnsi="mylotus" w:cs="mylotus"/>
          <w:sz w:val="26"/>
          <w:szCs w:val="26"/>
          <w:rtl/>
        </w:rPr>
        <w:t>،</w:t>
      </w:r>
      <w:r w:rsidRPr="00C3556F">
        <w:rPr>
          <w:rFonts w:ascii="mylotus" w:hAnsi="mylotus" w:cs="mylotus"/>
          <w:sz w:val="26"/>
          <w:szCs w:val="26"/>
          <w:rtl/>
        </w:rPr>
        <w:t xml:space="preserve"> دار الكتب الإسلامية</w:t>
      </w:r>
      <w:r w:rsidR="00217AB4" w:rsidRPr="00C3556F">
        <w:rPr>
          <w:rFonts w:ascii="mylotus" w:hAnsi="mylotus" w:cs="mylotus"/>
          <w:sz w:val="26"/>
          <w:szCs w:val="26"/>
          <w:rtl/>
        </w:rPr>
        <w:t>،</w:t>
      </w:r>
      <w:r w:rsidRPr="00C3556F">
        <w:rPr>
          <w:rFonts w:ascii="mylotus" w:hAnsi="mylotus" w:cs="mylotus"/>
          <w:sz w:val="26"/>
          <w:szCs w:val="26"/>
          <w:rtl/>
        </w:rPr>
        <w:t xml:space="preserve"> 1365هـ</w:t>
      </w:r>
      <w:r w:rsidR="00217AB4" w:rsidRPr="00C3556F">
        <w:rPr>
          <w:rFonts w:ascii="mylotus" w:hAnsi="mylotus" w:cs="mylotus"/>
          <w:sz w:val="26"/>
          <w:szCs w:val="26"/>
          <w:rtl/>
        </w:rPr>
        <w:t>.</w:t>
      </w:r>
      <w:r w:rsidRPr="00C3556F">
        <w:rPr>
          <w:rFonts w:ascii="mylotus" w:hAnsi="mylotus" w:cs="mylotus"/>
          <w:sz w:val="26"/>
          <w:szCs w:val="26"/>
          <w:rtl/>
        </w:rPr>
        <w:t>ش</w:t>
      </w:r>
      <w:r w:rsidR="00217AB4" w:rsidRPr="00C3556F">
        <w:rPr>
          <w:rFonts w:ascii="mylotus" w:hAnsi="mylotus" w:cs="mylotus"/>
          <w:sz w:val="26"/>
          <w:szCs w:val="26"/>
          <w:rtl/>
        </w:rPr>
        <w:t>.</w:t>
      </w:r>
      <w:r w:rsidRPr="00C3556F">
        <w:rPr>
          <w:rFonts w:ascii="mylotus" w:hAnsi="mylotus" w:cs="mylotus"/>
          <w:sz w:val="26"/>
          <w:szCs w:val="26"/>
          <w:rtl/>
        </w:rPr>
        <w:t xml:space="preserve"> </w:t>
      </w:r>
    </w:p>
    <w:p w:rsidR="005C664D" w:rsidRPr="00C3556F" w:rsidRDefault="005C664D" w:rsidP="00C3556F">
      <w:pPr>
        <w:widowControl w:val="0"/>
        <w:numPr>
          <w:ilvl w:val="0"/>
          <w:numId w:val="30"/>
        </w:numPr>
        <w:spacing w:line="228" w:lineRule="auto"/>
        <w:ind w:left="397" w:hanging="397"/>
        <w:jc w:val="both"/>
        <w:rPr>
          <w:rFonts w:ascii="mylotus" w:hAnsi="mylotus" w:cs="mylotus"/>
          <w:sz w:val="26"/>
          <w:szCs w:val="26"/>
        </w:rPr>
      </w:pPr>
      <w:r w:rsidRPr="00C3556F">
        <w:rPr>
          <w:rFonts w:ascii="mylotus" w:hAnsi="mylotus" w:cs="mylotus"/>
          <w:sz w:val="26"/>
          <w:szCs w:val="26"/>
          <w:rtl/>
        </w:rPr>
        <w:t>مالك بن أنس</w:t>
      </w:r>
      <w:r w:rsidR="00217AB4" w:rsidRPr="00C3556F">
        <w:rPr>
          <w:rFonts w:ascii="mylotus" w:hAnsi="mylotus" w:cs="mylotus"/>
          <w:sz w:val="26"/>
          <w:szCs w:val="26"/>
          <w:rtl/>
        </w:rPr>
        <w:t>،</w:t>
      </w:r>
      <w:r w:rsidRPr="00C3556F">
        <w:rPr>
          <w:rFonts w:ascii="mylotus" w:hAnsi="mylotus" w:cs="mylotus"/>
          <w:sz w:val="26"/>
          <w:szCs w:val="26"/>
          <w:rtl/>
        </w:rPr>
        <w:t xml:space="preserve"> الإمام الفقيه </w:t>
      </w:r>
      <w:r w:rsidR="00217AB4" w:rsidRPr="00C3556F">
        <w:rPr>
          <w:rFonts w:ascii="mylotus" w:hAnsi="mylotus" w:cs="mylotus"/>
          <w:sz w:val="26"/>
          <w:szCs w:val="26"/>
          <w:rtl/>
        </w:rPr>
        <w:t>(</w:t>
      </w:r>
      <w:r w:rsidRPr="00C3556F">
        <w:rPr>
          <w:rFonts w:ascii="mylotus" w:hAnsi="mylotus" w:cs="mylotus"/>
          <w:sz w:val="26"/>
          <w:szCs w:val="26"/>
          <w:rtl/>
        </w:rPr>
        <w:t>179هـ</w:t>
      </w:r>
      <w:r w:rsidR="00217AB4" w:rsidRPr="00C3556F">
        <w:rPr>
          <w:rFonts w:ascii="mylotus" w:hAnsi="mylotus" w:cs="mylotus"/>
          <w:sz w:val="26"/>
          <w:szCs w:val="26"/>
          <w:rtl/>
        </w:rPr>
        <w:t>)،</w:t>
      </w:r>
      <w:r w:rsidRPr="00C3556F">
        <w:rPr>
          <w:rFonts w:ascii="mylotus" w:hAnsi="mylotus" w:cs="mylotus"/>
          <w:sz w:val="26"/>
          <w:szCs w:val="26"/>
          <w:rtl/>
        </w:rPr>
        <w:t xml:space="preserve"> «الموطأ»</w:t>
      </w:r>
      <w:r w:rsidR="00217AB4" w:rsidRPr="00C3556F">
        <w:rPr>
          <w:rFonts w:ascii="mylotus" w:hAnsi="mylotus" w:cs="mylotus"/>
          <w:sz w:val="26"/>
          <w:szCs w:val="26"/>
          <w:rtl/>
        </w:rPr>
        <w:t>.</w:t>
      </w:r>
    </w:p>
    <w:p w:rsidR="005C664D" w:rsidRPr="00C3556F" w:rsidRDefault="005C664D" w:rsidP="00C3556F">
      <w:pPr>
        <w:widowControl w:val="0"/>
        <w:numPr>
          <w:ilvl w:val="0"/>
          <w:numId w:val="30"/>
        </w:numPr>
        <w:spacing w:line="228" w:lineRule="auto"/>
        <w:ind w:left="397" w:hanging="397"/>
        <w:jc w:val="both"/>
        <w:rPr>
          <w:rFonts w:ascii="mylotus" w:hAnsi="mylotus" w:cs="mylotus"/>
          <w:sz w:val="26"/>
          <w:szCs w:val="26"/>
          <w:rtl/>
        </w:rPr>
      </w:pPr>
      <w:r w:rsidRPr="00C3556F">
        <w:rPr>
          <w:rFonts w:ascii="mylotus" w:hAnsi="mylotus" w:cs="mylotus"/>
          <w:sz w:val="26"/>
          <w:szCs w:val="26"/>
          <w:rtl/>
        </w:rPr>
        <w:t>المامقاني</w:t>
      </w:r>
      <w:r w:rsidR="00217AB4" w:rsidRPr="00C3556F">
        <w:rPr>
          <w:rFonts w:ascii="mylotus" w:hAnsi="mylotus" w:cs="mylotus"/>
          <w:sz w:val="26"/>
          <w:szCs w:val="26"/>
          <w:rtl/>
        </w:rPr>
        <w:t>،</w:t>
      </w:r>
      <w:r w:rsidRPr="00C3556F">
        <w:rPr>
          <w:rFonts w:ascii="mylotus" w:hAnsi="mylotus" w:cs="mylotus"/>
          <w:sz w:val="26"/>
          <w:szCs w:val="26"/>
          <w:rtl/>
        </w:rPr>
        <w:t xml:space="preserve"> الشيخ عبد الله </w:t>
      </w:r>
      <w:r w:rsidR="00217AB4" w:rsidRPr="00C3556F">
        <w:rPr>
          <w:rFonts w:ascii="mylotus" w:hAnsi="mylotus" w:cs="mylotus"/>
          <w:sz w:val="26"/>
          <w:szCs w:val="26"/>
          <w:rtl/>
        </w:rPr>
        <w:t>(</w:t>
      </w:r>
      <w:r w:rsidRPr="00C3556F">
        <w:rPr>
          <w:rFonts w:ascii="mylotus" w:hAnsi="mylotus" w:cs="mylotus"/>
          <w:sz w:val="26"/>
          <w:szCs w:val="26"/>
          <w:rtl/>
        </w:rPr>
        <w:t>1350 أو 1351 هـ</w:t>
      </w:r>
      <w:r w:rsidR="00217AB4" w:rsidRPr="00C3556F">
        <w:rPr>
          <w:rFonts w:ascii="mylotus" w:hAnsi="mylotus" w:cs="mylotus"/>
          <w:sz w:val="26"/>
          <w:szCs w:val="26"/>
          <w:rtl/>
        </w:rPr>
        <w:t>)،</w:t>
      </w:r>
      <w:r w:rsidRPr="00C3556F">
        <w:rPr>
          <w:rFonts w:ascii="mylotus" w:hAnsi="mylotus" w:cs="mylotus"/>
          <w:sz w:val="26"/>
          <w:szCs w:val="26"/>
          <w:rtl/>
        </w:rPr>
        <w:t xml:space="preserve"> «مقباس الهداية في علم الدراية»</w:t>
      </w:r>
      <w:r w:rsidR="00217AB4" w:rsidRPr="00C3556F">
        <w:rPr>
          <w:rFonts w:ascii="mylotus" w:hAnsi="mylotus" w:cs="mylotus"/>
          <w:sz w:val="26"/>
          <w:szCs w:val="26"/>
          <w:rtl/>
        </w:rPr>
        <w:t>.</w:t>
      </w:r>
      <w:r w:rsidRPr="00C3556F">
        <w:rPr>
          <w:rFonts w:ascii="mylotus" w:hAnsi="mylotus" w:cs="mylotus"/>
          <w:sz w:val="26"/>
          <w:szCs w:val="26"/>
          <w:rtl/>
        </w:rPr>
        <w:t xml:space="preserve"> </w:t>
      </w:r>
      <w:r w:rsidR="00217AB4" w:rsidRPr="00C3556F">
        <w:rPr>
          <w:rFonts w:ascii="mylotus" w:hAnsi="mylotus" w:cs="mylotus"/>
          <w:sz w:val="26"/>
          <w:szCs w:val="26"/>
          <w:rtl/>
        </w:rPr>
        <w:t>(</w:t>
      </w:r>
      <w:r w:rsidRPr="00C3556F">
        <w:rPr>
          <w:rFonts w:ascii="mylotus" w:hAnsi="mylotus" w:cs="mylotus"/>
          <w:sz w:val="26"/>
          <w:szCs w:val="26"/>
          <w:rtl/>
        </w:rPr>
        <w:t>المطبوع مع كتابه الرجالي الكبير</w:t>
      </w:r>
      <w:r w:rsidR="00217AB4" w:rsidRPr="00C3556F">
        <w:rPr>
          <w:rFonts w:ascii="mylotus" w:hAnsi="mylotus" w:cs="mylotus"/>
          <w:sz w:val="26"/>
          <w:szCs w:val="26"/>
          <w:rtl/>
        </w:rPr>
        <w:t>:</w:t>
      </w:r>
      <w:r w:rsidRPr="00C3556F">
        <w:rPr>
          <w:rFonts w:ascii="mylotus" w:hAnsi="mylotus" w:cs="mylotus"/>
          <w:sz w:val="26"/>
          <w:szCs w:val="26"/>
          <w:rtl/>
        </w:rPr>
        <w:t xml:space="preserve"> تنقيح المقال</w:t>
      </w:r>
      <w:r w:rsidR="00217AB4" w:rsidRPr="00C3556F">
        <w:rPr>
          <w:rFonts w:ascii="mylotus" w:hAnsi="mylotus" w:cs="mylotus"/>
          <w:sz w:val="26"/>
          <w:szCs w:val="26"/>
          <w:rtl/>
        </w:rPr>
        <w:t>).</w:t>
      </w:r>
    </w:p>
    <w:p w:rsidR="005C664D" w:rsidRPr="00C3556F" w:rsidRDefault="005C664D" w:rsidP="00C3556F">
      <w:pPr>
        <w:widowControl w:val="0"/>
        <w:numPr>
          <w:ilvl w:val="0"/>
          <w:numId w:val="30"/>
        </w:numPr>
        <w:spacing w:line="228" w:lineRule="auto"/>
        <w:ind w:left="397" w:hanging="397"/>
        <w:jc w:val="both"/>
        <w:rPr>
          <w:rFonts w:ascii="mylotus" w:hAnsi="mylotus" w:cs="mylotus"/>
          <w:sz w:val="26"/>
          <w:szCs w:val="26"/>
          <w:rtl/>
        </w:rPr>
      </w:pPr>
      <w:r w:rsidRPr="00C3556F">
        <w:rPr>
          <w:rFonts w:ascii="mylotus" w:hAnsi="mylotus" w:cs="mylotus"/>
          <w:sz w:val="26"/>
          <w:szCs w:val="26"/>
          <w:rtl/>
        </w:rPr>
        <w:t>المجلسي الأول</w:t>
      </w:r>
      <w:r w:rsidR="00217AB4" w:rsidRPr="00C3556F">
        <w:rPr>
          <w:rFonts w:ascii="mylotus" w:hAnsi="mylotus" w:cs="mylotus"/>
          <w:sz w:val="26"/>
          <w:szCs w:val="26"/>
          <w:rtl/>
        </w:rPr>
        <w:t>،</w:t>
      </w:r>
      <w:r w:rsidRPr="00C3556F">
        <w:rPr>
          <w:rFonts w:ascii="mylotus" w:hAnsi="mylotus" w:cs="mylotus"/>
          <w:sz w:val="26"/>
          <w:szCs w:val="26"/>
          <w:rtl/>
        </w:rPr>
        <w:t xml:space="preserve"> العلامة محمد تقي بن مقصود علي الأصفهاني </w:t>
      </w:r>
      <w:r w:rsidR="00217AB4" w:rsidRPr="00C3556F">
        <w:rPr>
          <w:rFonts w:ascii="mylotus" w:hAnsi="mylotus" w:cs="mylotus"/>
          <w:sz w:val="26"/>
          <w:szCs w:val="26"/>
          <w:rtl/>
        </w:rPr>
        <w:t>(</w:t>
      </w:r>
      <w:r w:rsidRPr="00C3556F">
        <w:rPr>
          <w:rFonts w:ascii="mylotus" w:hAnsi="mylotus" w:cs="mylotus"/>
          <w:sz w:val="26"/>
          <w:szCs w:val="26"/>
          <w:rtl/>
        </w:rPr>
        <w:t>1070هـ</w:t>
      </w:r>
      <w:r w:rsidR="00217AB4" w:rsidRPr="00C3556F">
        <w:rPr>
          <w:rFonts w:ascii="mylotus" w:hAnsi="mylotus" w:cs="mylotus"/>
          <w:sz w:val="26"/>
          <w:szCs w:val="26"/>
          <w:rtl/>
        </w:rPr>
        <w:t>)،</w:t>
      </w:r>
      <w:r w:rsidRPr="00C3556F">
        <w:rPr>
          <w:rFonts w:ascii="mylotus" w:hAnsi="mylotus" w:cs="mylotus"/>
          <w:sz w:val="26"/>
          <w:szCs w:val="26"/>
          <w:rtl/>
        </w:rPr>
        <w:t xml:space="preserve"> «اللوامع القدسية شرح كتاب من لا يحضره الفقيه» </w:t>
      </w:r>
      <w:r w:rsidR="00217AB4" w:rsidRPr="00C3556F">
        <w:rPr>
          <w:rFonts w:ascii="mylotus" w:hAnsi="mylotus" w:cs="mylotus"/>
          <w:sz w:val="26"/>
          <w:szCs w:val="26"/>
          <w:rtl/>
        </w:rPr>
        <w:t>(</w:t>
      </w:r>
      <w:r w:rsidRPr="00C3556F">
        <w:rPr>
          <w:rFonts w:ascii="mylotus" w:hAnsi="mylotus" w:cs="mylotus"/>
          <w:sz w:val="26"/>
          <w:szCs w:val="26"/>
          <w:rtl/>
        </w:rPr>
        <w:t>بالفارسية</w:t>
      </w:r>
      <w:r w:rsidR="00217AB4" w:rsidRPr="00C3556F">
        <w:rPr>
          <w:rFonts w:ascii="mylotus" w:hAnsi="mylotus" w:cs="mylotus"/>
          <w:sz w:val="26"/>
          <w:szCs w:val="26"/>
          <w:rtl/>
        </w:rPr>
        <w:t>)،</w:t>
      </w:r>
      <w:r w:rsidRPr="00C3556F">
        <w:rPr>
          <w:rFonts w:ascii="mylotus" w:hAnsi="mylotus" w:cs="mylotus"/>
          <w:sz w:val="26"/>
          <w:szCs w:val="26"/>
          <w:rtl/>
        </w:rPr>
        <w:t xml:space="preserve"> طبعة حجرية في مجلدين كبيرين</w:t>
      </w:r>
      <w:r w:rsidR="00217AB4" w:rsidRPr="00C3556F">
        <w:rPr>
          <w:rFonts w:ascii="mylotus" w:hAnsi="mylotus" w:cs="mylotus"/>
          <w:sz w:val="26"/>
          <w:szCs w:val="26"/>
          <w:rtl/>
        </w:rPr>
        <w:t>.</w:t>
      </w:r>
      <w:r w:rsidRPr="00C3556F">
        <w:rPr>
          <w:rFonts w:ascii="mylotus" w:hAnsi="mylotus" w:cs="mylotus"/>
          <w:sz w:val="26"/>
          <w:szCs w:val="26"/>
          <w:rtl/>
        </w:rPr>
        <w:t xml:space="preserve"> </w:t>
      </w:r>
    </w:p>
    <w:p w:rsidR="005C664D" w:rsidRPr="00C3556F" w:rsidRDefault="005C664D" w:rsidP="00C3556F">
      <w:pPr>
        <w:widowControl w:val="0"/>
        <w:numPr>
          <w:ilvl w:val="0"/>
          <w:numId w:val="30"/>
        </w:numPr>
        <w:spacing w:line="228" w:lineRule="auto"/>
        <w:ind w:left="397" w:hanging="397"/>
        <w:jc w:val="both"/>
        <w:rPr>
          <w:rFonts w:ascii="mylotus" w:hAnsi="mylotus" w:cs="mylotus"/>
          <w:sz w:val="26"/>
          <w:szCs w:val="26"/>
          <w:rtl/>
        </w:rPr>
      </w:pPr>
      <w:r w:rsidRPr="00C3556F">
        <w:rPr>
          <w:rFonts w:ascii="mylotus" w:hAnsi="mylotus" w:cs="mylotus"/>
          <w:sz w:val="26"/>
          <w:szCs w:val="26"/>
          <w:rtl/>
        </w:rPr>
        <w:t>المجلسي</w:t>
      </w:r>
      <w:r w:rsidR="00217AB4" w:rsidRPr="00C3556F">
        <w:rPr>
          <w:rFonts w:ascii="mylotus" w:hAnsi="mylotus" w:cs="mylotus"/>
          <w:sz w:val="26"/>
          <w:szCs w:val="26"/>
          <w:rtl/>
        </w:rPr>
        <w:t>،</w:t>
      </w:r>
      <w:r w:rsidRPr="00C3556F">
        <w:rPr>
          <w:rFonts w:ascii="mylotus" w:hAnsi="mylotus" w:cs="mylotus"/>
          <w:sz w:val="26"/>
          <w:szCs w:val="26"/>
          <w:rtl/>
        </w:rPr>
        <w:t xml:space="preserve"> العلامة الملا محمد باقر بن محمد تقي </w:t>
      </w:r>
      <w:r w:rsidR="00217AB4" w:rsidRPr="00C3556F">
        <w:rPr>
          <w:rFonts w:ascii="mylotus" w:hAnsi="mylotus" w:cs="mylotus"/>
          <w:sz w:val="26"/>
          <w:szCs w:val="26"/>
          <w:rtl/>
        </w:rPr>
        <w:t>(</w:t>
      </w:r>
      <w:r w:rsidRPr="00C3556F">
        <w:rPr>
          <w:rFonts w:ascii="mylotus" w:hAnsi="mylotus" w:cs="mylotus"/>
          <w:sz w:val="26"/>
          <w:szCs w:val="26"/>
          <w:rtl/>
        </w:rPr>
        <w:t>1111 هـ</w:t>
      </w:r>
      <w:r w:rsidR="00217AB4" w:rsidRPr="00C3556F">
        <w:rPr>
          <w:rFonts w:ascii="mylotus" w:hAnsi="mylotus" w:cs="mylotus"/>
          <w:sz w:val="26"/>
          <w:szCs w:val="26"/>
          <w:rtl/>
        </w:rPr>
        <w:t>)،</w:t>
      </w:r>
      <w:r w:rsidRPr="00C3556F">
        <w:rPr>
          <w:rFonts w:ascii="mylotus" w:hAnsi="mylotus" w:cs="mylotus"/>
          <w:sz w:val="26"/>
          <w:szCs w:val="26"/>
          <w:rtl/>
        </w:rPr>
        <w:t xml:space="preserve"> «بحار الأنوار» طبعة كمباني </w:t>
      </w:r>
      <w:r w:rsidR="00217AB4" w:rsidRPr="00C3556F">
        <w:rPr>
          <w:rFonts w:ascii="mylotus" w:hAnsi="mylotus" w:cs="mylotus"/>
          <w:sz w:val="26"/>
          <w:szCs w:val="26"/>
          <w:rtl/>
        </w:rPr>
        <w:t>(</w:t>
      </w:r>
      <w:r w:rsidRPr="00C3556F">
        <w:rPr>
          <w:rFonts w:ascii="mylotus" w:hAnsi="mylotus" w:cs="mylotus"/>
          <w:sz w:val="26"/>
          <w:szCs w:val="26"/>
          <w:rtl/>
        </w:rPr>
        <w:t>تبريز</w:t>
      </w:r>
      <w:r w:rsidR="00217AB4" w:rsidRPr="00C3556F">
        <w:rPr>
          <w:rFonts w:ascii="mylotus" w:hAnsi="mylotus" w:cs="mylotus"/>
          <w:sz w:val="26"/>
          <w:szCs w:val="26"/>
          <w:rtl/>
        </w:rPr>
        <w:t>)</w:t>
      </w:r>
      <w:r w:rsidRPr="00C3556F">
        <w:rPr>
          <w:rFonts w:ascii="mylotus" w:hAnsi="mylotus" w:cs="mylotus"/>
          <w:sz w:val="26"/>
          <w:szCs w:val="26"/>
          <w:rtl/>
        </w:rPr>
        <w:t xml:space="preserve"> الحجرية</w:t>
      </w:r>
      <w:r w:rsidR="00217AB4" w:rsidRPr="00C3556F">
        <w:rPr>
          <w:rFonts w:ascii="mylotus" w:hAnsi="mylotus" w:cs="mylotus"/>
          <w:sz w:val="26"/>
          <w:szCs w:val="26"/>
          <w:rtl/>
        </w:rPr>
        <w:t>،</w:t>
      </w:r>
      <w:r w:rsidRPr="00C3556F">
        <w:rPr>
          <w:rFonts w:ascii="mylotus" w:hAnsi="mylotus" w:cs="mylotus"/>
          <w:sz w:val="26"/>
          <w:szCs w:val="26"/>
          <w:rtl/>
        </w:rPr>
        <w:t xml:space="preserve"> أو طبعة بيروت</w:t>
      </w:r>
      <w:r w:rsidR="00217AB4" w:rsidRPr="00C3556F">
        <w:rPr>
          <w:rFonts w:ascii="mylotus" w:hAnsi="mylotus" w:cs="mylotus"/>
          <w:sz w:val="26"/>
          <w:szCs w:val="26"/>
          <w:rtl/>
        </w:rPr>
        <w:t>،</w:t>
      </w:r>
      <w:r w:rsidRPr="00C3556F">
        <w:rPr>
          <w:rFonts w:ascii="mylotus" w:hAnsi="mylotus" w:cs="mylotus"/>
          <w:sz w:val="26"/>
          <w:szCs w:val="26"/>
          <w:rtl/>
        </w:rPr>
        <w:t xml:space="preserve"> مؤسسة الوفاء</w:t>
      </w:r>
      <w:r w:rsidR="00217AB4" w:rsidRPr="00C3556F">
        <w:rPr>
          <w:rFonts w:ascii="mylotus" w:hAnsi="mylotus" w:cs="mylotus"/>
          <w:sz w:val="26"/>
          <w:szCs w:val="26"/>
          <w:rtl/>
        </w:rPr>
        <w:t>،</w:t>
      </w:r>
      <w:r w:rsidRPr="00C3556F">
        <w:rPr>
          <w:rFonts w:ascii="mylotus" w:hAnsi="mylotus" w:cs="mylotus"/>
          <w:sz w:val="26"/>
          <w:szCs w:val="26"/>
          <w:rtl/>
        </w:rPr>
        <w:t xml:space="preserve"> 1404هـ في 110 مجلدات</w:t>
      </w:r>
      <w:r w:rsidR="00217AB4" w:rsidRPr="00C3556F">
        <w:rPr>
          <w:rFonts w:ascii="mylotus" w:hAnsi="mylotus" w:cs="mylotus"/>
          <w:sz w:val="26"/>
          <w:szCs w:val="26"/>
          <w:rtl/>
        </w:rPr>
        <w:t>.</w:t>
      </w:r>
      <w:r w:rsidRPr="00C3556F">
        <w:rPr>
          <w:rFonts w:ascii="mylotus" w:hAnsi="mylotus" w:cs="mylotus"/>
          <w:sz w:val="26"/>
          <w:szCs w:val="26"/>
          <w:rtl/>
        </w:rPr>
        <w:t xml:space="preserve"> </w:t>
      </w:r>
    </w:p>
    <w:p w:rsidR="005C664D" w:rsidRPr="00C3556F" w:rsidRDefault="005C664D" w:rsidP="00C3556F">
      <w:pPr>
        <w:widowControl w:val="0"/>
        <w:numPr>
          <w:ilvl w:val="0"/>
          <w:numId w:val="30"/>
        </w:numPr>
        <w:spacing w:line="228" w:lineRule="auto"/>
        <w:ind w:left="397" w:hanging="397"/>
        <w:jc w:val="both"/>
        <w:rPr>
          <w:rFonts w:ascii="mylotus" w:hAnsi="mylotus" w:cs="mylotus"/>
          <w:sz w:val="26"/>
          <w:szCs w:val="26"/>
          <w:rtl/>
        </w:rPr>
      </w:pPr>
      <w:r w:rsidRPr="00C3556F">
        <w:rPr>
          <w:rFonts w:ascii="mylotus" w:hAnsi="mylotus" w:cs="mylotus"/>
          <w:sz w:val="26"/>
          <w:szCs w:val="26"/>
          <w:rtl/>
        </w:rPr>
        <w:t>المجلسي</w:t>
      </w:r>
      <w:r w:rsidR="00217AB4" w:rsidRPr="00C3556F">
        <w:rPr>
          <w:rFonts w:ascii="mylotus" w:hAnsi="mylotus" w:cs="mylotus"/>
          <w:sz w:val="26"/>
          <w:szCs w:val="26"/>
          <w:rtl/>
        </w:rPr>
        <w:t>،</w:t>
      </w:r>
      <w:r w:rsidRPr="00C3556F">
        <w:rPr>
          <w:rFonts w:ascii="mylotus" w:hAnsi="mylotus" w:cs="mylotus"/>
          <w:sz w:val="26"/>
          <w:szCs w:val="26"/>
          <w:rtl/>
        </w:rPr>
        <w:t xml:space="preserve"> العلامة الملا محمد باقر بن محمد تقي </w:t>
      </w:r>
      <w:r w:rsidR="00217AB4" w:rsidRPr="00C3556F">
        <w:rPr>
          <w:rFonts w:ascii="mylotus" w:hAnsi="mylotus" w:cs="mylotus"/>
          <w:sz w:val="26"/>
          <w:szCs w:val="26"/>
          <w:rtl/>
        </w:rPr>
        <w:t>(</w:t>
      </w:r>
      <w:r w:rsidRPr="00C3556F">
        <w:rPr>
          <w:rFonts w:ascii="mylotus" w:hAnsi="mylotus" w:cs="mylotus"/>
          <w:sz w:val="26"/>
          <w:szCs w:val="26"/>
          <w:rtl/>
        </w:rPr>
        <w:t>1111 هـ</w:t>
      </w:r>
      <w:r w:rsidR="00217AB4" w:rsidRPr="00C3556F">
        <w:rPr>
          <w:rFonts w:ascii="mylotus" w:hAnsi="mylotus" w:cs="mylotus"/>
          <w:sz w:val="26"/>
          <w:szCs w:val="26"/>
          <w:rtl/>
        </w:rPr>
        <w:t>)،</w:t>
      </w:r>
      <w:r w:rsidRPr="00C3556F">
        <w:rPr>
          <w:rFonts w:ascii="mylotus" w:hAnsi="mylotus" w:cs="mylotus"/>
          <w:sz w:val="26"/>
          <w:szCs w:val="26"/>
          <w:rtl/>
        </w:rPr>
        <w:t xml:space="preserve"> «مرآة العقول في شرح أخبار آل الرسول»</w:t>
      </w:r>
      <w:r w:rsidR="00217AB4" w:rsidRPr="00C3556F">
        <w:rPr>
          <w:rFonts w:ascii="mylotus" w:hAnsi="mylotus" w:cs="mylotus"/>
          <w:sz w:val="26"/>
          <w:szCs w:val="26"/>
          <w:rtl/>
        </w:rPr>
        <w:t>.</w:t>
      </w:r>
      <w:r w:rsidRPr="00C3556F">
        <w:rPr>
          <w:rFonts w:ascii="mylotus" w:hAnsi="mylotus" w:cs="mylotus"/>
          <w:sz w:val="26"/>
          <w:szCs w:val="26"/>
          <w:rtl/>
        </w:rPr>
        <w:t xml:space="preserve"> </w:t>
      </w:r>
      <w:r w:rsidR="00217AB4" w:rsidRPr="00C3556F">
        <w:rPr>
          <w:rFonts w:ascii="mylotus" w:hAnsi="mylotus" w:cs="mylotus"/>
          <w:sz w:val="26"/>
          <w:szCs w:val="26"/>
          <w:rtl/>
        </w:rPr>
        <w:t>(</w:t>
      </w:r>
      <w:r w:rsidRPr="00C3556F">
        <w:rPr>
          <w:rFonts w:ascii="mylotus" w:hAnsi="mylotus" w:cs="mylotus"/>
          <w:sz w:val="26"/>
          <w:szCs w:val="26"/>
          <w:rtl/>
        </w:rPr>
        <w:t>شرح وتحقيق لكتاب «الكافي» للكُلَيْنِيّ</w:t>
      </w:r>
      <w:r w:rsidR="00217AB4" w:rsidRPr="00C3556F">
        <w:rPr>
          <w:rFonts w:ascii="mylotus" w:hAnsi="mylotus" w:cs="mylotus"/>
          <w:sz w:val="26"/>
          <w:szCs w:val="26"/>
          <w:rtl/>
        </w:rPr>
        <w:t>).</w:t>
      </w:r>
    </w:p>
    <w:p w:rsidR="005C664D" w:rsidRPr="00C3556F" w:rsidRDefault="005C664D" w:rsidP="00C3556F">
      <w:pPr>
        <w:widowControl w:val="0"/>
        <w:numPr>
          <w:ilvl w:val="0"/>
          <w:numId w:val="30"/>
        </w:numPr>
        <w:spacing w:line="228" w:lineRule="auto"/>
        <w:ind w:left="397" w:hanging="397"/>
        <w:jc w:val="both"/>
        <w:rPr>
          <w:rFonts w:ascii="mylotus" w:hAnsi="mylotus" w:cs="mylotus"/>
          <w:sz w:val="26"/>
          <w:szCs w:val="26"/>
          <w:rtl/>
        </w:rPr>
      </w:pPr>
      <w:r w:rsidRPr="00C3556F">
        <w:rPr>
          <w:rFonts w:ascii="mylotus" w:hAnsi="mylotus" w:cs="mylotus"/>
          <w:sz w:val="26"/>
          <w:szCs w:val="26"/>
          <w:rtl/>
        </w:rPr>
        <w:t>مسلم</w:t>
      </w:r>
      <w:r w:rsidR="00217AB4" w:rsidRPr="00C3556F">
        <w:rPr>
          <w:rFonts w:ascii="mylotus" w:hAnsi="mylotus" w:cs="mylotus"/>
          <w:sz w:val="26"/>
          <w:szCs w:val="26"/>
          <w:rtl/>
        </w:rPr>
        <w:t>،</w:t>
      </w:r>
      <w:r w:rsidRPr="00C3556F">
        <w:rPr>
          <w:rFonts w:ascii="mylotus" w:hAnsi="mylotus" w:cs="mylotus"/>
          <w:sz w:val="26"/>
          <w:szCs w:val="26"/>
          <w:rtl/>
        </w:rPr>
        <w:t xml:space="preserve"> الإمام مسلم بن الحجاج القشيري النيسابوري </w:t>
      </w:r>
      <w:r w:rsidR="00217AB4" w:rsidRPr="00C3556F">
        <w:rPr>
          <w:rFonts w:ascii="mylotus" w:hAnsi="mylotus" w:cs="mylotus"/>
          <w:sz w:val="26"/>
          <w:szCs w:val="26"/>
          <w:rtl/>
        </w:rPr>
        <w:t>(</w:t>
      </w:r>
      <w:r w:rsidRPr="00C3556F">
        <w:rPr>
          <w:rFonts w:ascii="mylotus" w:hAnsi="mylotus" w:cs="mylotus"/>
          <w:sz w:val="26"/>
          <w:szCs w:val="26"/>
          <w:rtl/>
        </w:rPr>
        <w:t>261هـ</w:t>
      </w:r>
      <w:r w:rsidR="00217AB4" w:rsidRPr="00C3556F">
        <w:rPr>
          <w:rFonts w:ascii="mylotus" w:hAnsi="mylotus" w:cs="mylotus"/>
          <w:sz w:val="26"/>
          <w:szCs w:val="26"/>
          <w:rtl/>
        </w:rPr>
        <w:t>)،</w:t>
      </w:r>
      <w:r w:rsidRPr="00C3556F">
        <w:rPr>
          <w:rFonts w:ascii="mylotus" w:hAnsi="mylotus" w:cs="mylotus"/>
          <w:sz w:val="26"/>
          <w:szCs w:val="26"/>
          <w:rtl/>
        </w:rPr>
        <w:t xml:space="preserve"> «صحيح مسلم»</w:t>
      </w:r>
      <w:r w:rsidR="00217AB4" w:rsidRPr="00C3556F">
        <w:rPr>
          <w:rFonts w:ascii="mylotus" w:hAnsi="mylotus" w:cs="mylotus"/>
          <w:sz w:val="26"/>
          <w:szCs w:val="26"/>
          <w:rtl/>
        </w:rPr>
        <w:t>.</w:t>
      </w:r>
      <w:r w:rsidRPr="00C3556F">
        <w:rPr>
          <w:rFonts w:ascii="mylotus" w:hAnsi="mylotus" w:cs="mylotus"/>
          <w:sz w:val="26"/>
          <w:szCs w:val="26"/>
          <w:rtl/>
        </w:rPr>
        <w:t xml:space="preserve"> </w:t>
      </w:r>
    </w:p>
    <w:p w:rsidR="005C664D" w:rsidRPr="00C3556F" w:rsidRDefault="005C664D" w:rsidP="00C3556F">
      <w:pPr>
        <w:widowControl w:val="0"/>
        <w:numPr>
          <w:ilvl w:val="0"/>
          <w:numId w:val="30"/>
        </w:numPr>
        <w:spacing w:line="228" w:lineRule="auto"/>
        <w:ind w:left="397" w:hanging="397"/>
        <w:jc w:val="both"/>
        <w:rPr>
          <w:rFonts w:ascii="mylotus" w:hAnsi="mylotus" w:cs="mylotus"/>
          <w:sz w:val="26"/>
          <w:szCs w:val="26"/>
        </w:rPr>
      </w:pPr>
      <w:r w:rsidRPr="00C3556F">
        <w:rPr>
          <w:rFonts w:ascii="mylotus" w:hAnsi="mylotus" w:cs="mylotus"/>
          <w:sz w:val="26"/>
          <w:szCs w:val="26"/>
          <w:rtl/>
        </w:rPr>
        <w:t>المفيد</w:t>
      </w:r>
      <w:r w:rsidR="00217AB4" w:rsidRPr="00C3556F">
        <w:rPr>
          <w:rFonts w:ascii="mylotus" w:hAnsi="mylotus" w:cs="mylotus"/>
          <w:sz w:val="26"/>
          <w:szCs w:val="26"/>
          <w:rtl/>
        </w:rPr>
        <w:t>،</w:t>
      </w:r>
      <w:r w:rsidRPr="00C3556F">
        <w:rPr>
          <w:rFonts w:ascii="mylotus" w:hAnsi="mylotus" w:cs="mylotus"/>
          <w:sz w:val="26"/>
          <w:szCs w:val="26"/>
          <w:rtl/>
        </w:rPr>
        <w:t xml:space="preserve"> الشيخ المعلم مُحَمَّدُ بْنُ مُحَمَّدِ بْنِ النُّعْمَان العكبري البغدادي </w:t>
      </w:r>
      <w:r w:rsidR="00217AB4" w:rsidRPr="00C3556F">
        <w:rPr>
          <w:rFonts w:ascii="mylotus" w:hAnsi="mylotus" w:cs="mylotus"/>
          <w:sz w:val="26"/>
          <w:szCs w:val="26"/>
          <w:rtl/>
        </w:rPr>
        <w:t>(</w:t>
      </w:r>
      <w:r w:rsidRPr="00C3556F">
        <w:rPr>
          <w:rFonts w:ascii="mylotus" w:hAnsi="mylotus" w:cs="mylotus"/>
          <w:sz w:val="26"/>
          <w:szCs w:val="26"/>
          <w:rtl/>
        </w:rPr>
        <w:t>336</w:t>
      </w:r>
      <w:r w:rsidR="00217AB4" w:rsidRPr="00C3556F">
        <w:rPr>
          <w:rFonts w:ascii="mylotus" w:hAnsi="mylotus" w:cs="mylotus"/>
          <w:sz w:val="26"/>
          <w:szCs w:val="26"/>
          <w:rtl/>
        </w:rPr>
        <w:t>-</w:t>
      </w:r>
      <w:r w:rsidRPr="00C3556F">
        <w:rPr>
          <w:rFonts w:ascii="mylotus" w:hAnsi="mylotus" w:cs="mylotus"/>
          <w:sz w:val="26"/>
          <w:szCs w:val="26"/>
          <w:rtl/>
        </w:rPr>
        <w:t>413 هـ</w:t>
      </w:r>
      <w:r w:rsidR="00217AB4" w:rsidRPr="00C3556F">
        <w:rPr>
          <w:rFonts w:ascii="mylotus" w:hAnsi="mylotus" w:cs="mylotus"/>
          <w:sz w:val="26"/>
          <w:szCs w:val="26"/>
          <w:rtl/>
        </w:rPr>
        <w:t>)،</w:t>
      </w:r>
      <w:r w:rsidRPr="00C3556F">
        <w:rPr>
          <w:rFonts w:ascii="mylotus" w:hAnsi="mylotus" w:cs="mylotus"/>
          <w:sz w:val="26"/>
          <w:szCs w:val="26"/>
          <w:rtl/>
        </w:rPr>
        <w:t xml:space="preserve"> «الأمالي»</w:t>
      </w:r>
      <w:r w:rsidR="00217AB4" w:rsidRPr="00C3556F">
        <w:rPr>
          <w:rFonts w:ascii="mylotus" w:hAnsi="mylotus" w:cs="mylotus"/>
          <w:sz w:val="26"/>
          <w:szCs w:val="26"/>
          <w:rtl/>
        </w:rPr>
        <w:t>.</w:t>
      </w:r>
    </w:p>
    <w:p w:rsidR="005C664D" w:rsidRPr="00C3556F" w:rsidRDefault="005C664D" w:rsidP="00C3556F">
      <w:pPr>
        <w:widowControl w:val="0"/>
        <w:numPr>
          <w:ilvl w:val="0"/>
          <w:numId w:val="30"/>
        </w:numPr>
        <w:spacing w:line="228" w:lineRule="auto"/>
        <w:ind w:left="397" w:hanging="397"/>
        <w:jc w:val="both"/>
        <w:rPr>
          <w:rFonts w:ascii="mylotus" w:hAnsi="mylotus" w:cs="mylotus"/>
          <w:sz w:val="26"/>
          <w:szCs w:val="26"/>
          <w:rtl/>
        </w:rPr>
      </w:pPr>
      <w:r w:rsidRPr="00C3556F">
        <w:rPr>
          <w:rFonts w:ascii="mylotus" w:hAnsi="mylotus" w:cs="mylotus"/>
          <w:sz w:val="26"/>
          <w:szCs w:val="26"/>
          <w:rtl/>
        </w:rPr>
        <w:t>النسائي</w:t>
      </w:r>
      <w:r w:rsidR="00217AB4" w:rsidRPr="00C3556F">
        <w:rPr>
          <w:rFonts w:ascii="mylotus" w:hAnsi="mylotus" w:cs="mylotus"/>
          <w:sz w:val="26"/>
          <w:szCs w:val="26"/>
          <w:rtl/>
        </w:rPr>
        <w:t>،</w:t>
      </w:r>
      <w:r w:rsidRPr="00C3556F">
        <w:rPr>
          <w:rFonts w:ascii="mylotus" w:hAnsi="mylotus" w:cs="mylotus"/>
          <w:sz w:val="26"/>
          <w:szCs w:val="26"/>
          <w:rtl/>
        </w:rPr>
        <w:t xml:space="preserve"> الحافظ أبو عبد الرحمن أحمد بن شعيب </w:t>
      </w:r>
      <w:r w:rsidR="00217AB4" w:rsidRPr="00C3556F">
        <w:rPr>
          <w:rFonts w:ascii="mylotus" w:hAnsi="mylotus" w:cs="mylotus"/>
          <w:sz w:val="26"/>
          <w:szCs w:val="26"/>
          <w:rtl/>
        </w:rPr>
        <w:t>(</w:t>
      </w:r>
      <w:r w:rsidRPr="00C3556F">
        <w:rPr>
          <w:rFonts w:ascii="mylotus" w:hAnsi="mylotus" w:cs="mylotus"/>
          <w:sz w:val="26"/>
          <w:szCs w:val="26"/>
          <w:rtl/>
        </w:rPr>
        <w:t>303هـ</w:t>
      </w:r>
      <w:r w:rsidR="00217AB4" w:rsidRPr="00C3556F">
        <w:rPr>
          <w:rFonts w:ascii="mylotus" w:hAnsi="mylotus" w:cs="mylotus"/>
          <w:sz w:val="26"/>
          <w:szCs w:val="26"/>
          <w:rtl/>
        </w:rPr>
        <w:t>)،</w:t>
      </w:r>
      <w:r w:rsidRPr="00C3556F">
        <w:rPr>
          <w:rFonts w:ascii="mylotus" w:hAnsi="mylotus" w:cs="mylotus"/>
          <w:sz w:val="26"/>
          <w:szCs w:val="26"/>
          <w:rtl/>
        </w:rPr>
        <w:t xml:space="preserve"> «سنن النسائي الكبرى»</w:t>
      </w:r>
      <w:r w:rsidR="00217AB4" w:rsidRPr="00C3556F">
        <w:rPr>
          <w:rFonts w:ascii="mylotus" w:hAnsi="mylotus" w:cs="mylotus"/>
          <w:sz w:val="26"/>
          <w:szCs w:val="26"/>
          <w:rtl/>
        </w:rPr>
        <w:t>.</w:t>
      </w:r>
    </w:p>
    <w:p w:rsidR="005C664D" w:rsidRPr="00C3556F" w:rsidRDefault="005C664D" w:rsidP="00C3556F">
      <w:pPr>
        <w:widowControl w:val="0"/>
        <w:numPr>
          <w:ilvl w:val="0"/>
          <w:numId w:val="30"/>
        </w:numPr>
        <w:spacing w:line="228" w:lineRule="auto"/>
        <w:ind w:left="397" w:hanging="397"/>
        <w:jc w:val="both"/>
        <w:rPr>
          <w:rFonts w:ascii="mylotus" w:hAnsi="mylotus" w:cs="mylotus"/>
          <w:sz w:val="26"/>
          <w:szCs w:val="26"/>
        </w:rPr>
      </w:pPr>
      <w:r w:rsidRPr="00C3556F">
        <w:rPr>
          <w:rFonts w:ascii="mylotus" w:hAnsi="mylotus" w:cs="mylotus"/>
          <w:sz w:val="26"/>
          <w:szCs w:val="26"/>
          <w:rtl/>
        </w:rPr>
        <w:t>النوري الطبرسي</w:t>
      </w:r>
      <w:r w:rsidR="00217AB4" w:rsidRPr="00C3556F">
        <w:rPr>
          <w:rFonts w:ascii="mylotus" w:hAnsi="mylotus" w:cs="mylotus"/>
          <w:sz w:val="26"/>
          <w:szCs w:val="26"/>
          <w:rtl/>
        </w:rPr>
        <w:t>،</w:t>
      </w:r>
      <w:r w:rsidRPr="00C3556F">
        <w:rPr>
          <w:rFonts w:ascii="mylotus" w:hAnsi="mylotus" w:cs="mylotus"/>
          <w:sz w:val="26"/>
          <w:szCs w:val="26"/>
          <w:rtl/>
        </w:rPr>
        <w:t xml:space="preserve"> الميرزا حسين بن محمد تقي المازندراني </w:t>
      </w:r>
      <w:r w:rsidR="00217AB4" w:rsidRPr="00C3556F">
        <w:rPr>
          <w:rFonts w:ascii="mylotus" w:hAnsi="mylotus" w:cs="mylotus"/>
          <w:sz w:val="26"/>
          <w:szCs w:val="26"/>
          <w:rtl/>
        </w:rPr>
        <w:t>(</w:t>
      </w:r>
      <w:r w:rsidRPr="00C3556F">
        <w:rPr>
          <w:rFonts w:ascii="mylotus" w:hAnsi="mylotus" w:cs="mylotus"/>
          <w:sz w:val="26"/>
          <w:szCs w:val="26"/>
          <w:rtl/>
          <w:lang w:bidi="ar-SY"/>
        </w:rPr>
        <w:t xml:space="preserve">1254 </w:t>
      </w:r>
      <w:r w:rsidR="00217AB4" w:rsidRPr="00C3556F">
        <w:rPr>
          <w:rFonts w:ascii="mylotus" w:hAnsi="mylotus" w:cs="mylotus"/>
          <w:sz w:val="26"/>
          <w:szCs w:val="26"/>
          <w:rtl/>
          <w:lang w:bidi="ar-SY"/>
        </w:rPr>
        <w:t>-</w:t>
      </w:r>
      <w:r w:rsidRPr="00C3556F">
        <w:rPr>
          <w:rFonts w:ascii="mylotus" w:hAnsi="mylotus" w:cs="mylotus"/>
          <w:sz w:val="26"/>
          <w:szCs w:val="26"/>
          <w:rtl/>
        </w:rPr>
        <w:t xml:space="preserve"> 1320هـ</w:t>
      </w:r>
      <w:r w:rsidR="00217AB4" w:rsidRPr="00C3556F">
        <w:rPr>
          <w:rFonts w:ascii="mylotus" w:hAnsi="mylotus" w:cs="mylotus"/>
          <w:sz w:val="26"/>
          <w:szCs w:val="26"/>
          <w:rtl/>
        </w:rPr>
        <w:t>)،</w:t>
      </w:r>
      <w:r w:rsidRPr="00C3556F">
        <w:rPr>
          <w:rFonts w:ascii="mylotus" w:hAnsi="mylotus" w:cs="mylotus"/>
          <w:sz w:val="26"/>
          <w:szCs w:val="26"/>
          <w:rtl/>
        </w:rPr>
        <w:t xml:space="preserve"> «مستدرك الوسائل»</w:t>
      </w:r>
      <w:r w:rsidR="00217AB4" w:rsidRPr="00C3556F">
        <w:rPr>
          <w:rFonts w:ascii="mylotus" w:hAnsi="mylotus" w:cs="mylotus"/>
          <w:sz w:val="26"/>
          <w:szCs w:val="26"/>
          <w:rtl/>
        </w:rPr>
        <w:t>،</w:t>
      </w:r>
      <w:r w:rsidRPr="00C3556F">
        <w:rPr>
          <w:rFonts w:ascii="mylotus" w:hAnsi="mylotus" w:cs="mylotus"/>
          <w:sz w:val="26"/>
          <w:szCs w:val="26"/>
          <w:rtl/>
        </w:rPr>
        <w:t xml:space="preserve"> ط</w:t>
      </w:r>
      <w:r w:rsidR="00217AB4" w:rsidRPr="00C3556F">
        <w:rPr>
          <w:rFonts w:ascii="mylotus" w:hAnsi="mylotus" w:cs="mylotus"/>
          <w:sz w:val="26"/>
          <w:szCs w:val="26"/>
          <w:rtl/>
        </w:rPr>
        <w:t>.</w:t>
      </w:r>
      <w:r w:rsidRPr="00C3556F">
        <w:rPr>
          <w:rFonts w:ascii="mylotus" w:hAnsi="mylotus" w:cs="mylotus"/>
          <w:sz w:val="26"/>
          <w:szCs w:val="26"/>
          <w:rtl/>
        </w:rPr>
        <w:t>حجرية</w:t>
      </w:r>
      <w:r w:rsidR="00217AB4" w:rsidRPr="00C3556F">
        <w:rPr>
          <w:rFonts w:ascii="mylotus" w:hAnsi="mylotus" w:cs="mylotus"/>
          <w:sz w:val="26"/>
          <w:szCs w:val="26"/>
          <w:rtl/>
        </w:rPr>
        <w:t>.</w:t>
      </w:r>
    </w:p>
    <w:p w:rsidR="005C664D" w:rsidRPr="00C3556F" w:rsidRDefault="005C664D" w:rsidP="00C3556F">
      <w:pPr>
        <w:widowControl w:val="0"/>
        <w:numPr>
          <w:ilvl w:val="0"/>
          <w:numId w:val="30"/>
        </w:numPr>
        <w:spacing w:line="228" w:lineRule="auto"/>
        <w:ind w:left="397" w:hanging="397"/>
        <w:jc w:val="both"/>
        <w:rPr>
          <w:rFonts w:ascii="mylotus" w:hAnsi="mylotus" w:cs="mylotus"/>
          <w:sz w:val="26"/>
          <w:szCs w:val="26"/>
          <w:rtl/>
        </w:rPr>
      </w:pPr>
      <w:r w:rsidRPr="00C3556F">
        <w:rPr>
          <w:rFonts w:ascii="mylotus" w:hAnsi="mylotus" w:cs="mylotus"/>
          <w:sz w:val="26"/>
          <w:szCs w:val="26"/>
          <w:rtl/>
        </w:rPr>
        <w:t>الواسطي</w:t>
      </w:r>
      <w:r w:rsidR="00217AB4" w:rsidRPr="00C3556F">
        <w:rPr>
          <w:rFonts w:ascii="mylotus" w:hAnsi="mylotus" w:cs="mylotus"/>
          <w:sz w:val="26"/>
          <w:szCs w:val="26"/>
          <w:rtl/>
        </w:rPr>
        <w:t>،</w:t>
      </w:r>
      <w:r w:rsidRPr="00C3556F">
        <w:rPr>
          <w:rFonts w:ascii="mylotus" w:hAnsi="mylotus" w:cs="mylotus"/>
          <w:sz w:val="26"/>
          <w:szCs w:val="26"/>
          <w:rtl/>
        </w:rPr>
        <w:t xml:space="preserve"> عمرو بن خالد القرشي الهاشمي مولاهم</w:t>
      </w:r>
      <w:r w:rsidR="00217AB4" w:rsidRPr="00C3556F">
        <w:rPr>
          <w:rFonts w:ascii="mylotus" w:hAnsi="mylotus" w:cs="mylotus"/>
          <w:sz w:val="26"/>
          <w:szCs w:val="26"/>
          <w:rtl/>
        </w:rPr>
        <w:t>،</w:t>
      </w:r>
      <w:r w:rsidRPr="00C3556F">
        <w:rPr>
          <w:rFonts w:ascii="mylotus" w:hAnsi="mylotus" w:cs="mylotus"/>
          <w:sz w:val="26"/>
          <w:szCs w:val="26"/>
          <w:rtl/>
        </w:rPr>
        <w:t xml:space="preserve"> أبو خالد الكوفي ثم الواسطي</w:t>
      </w:r>
      <w:r w:rsidR="00217AB4" w:rsidRPr="00C3556F">
        <w:rPr>
          <w:rFonts w:ascii="mylotus" w:hAnsi="mylotus" w:cs="mylotus"/>
          <w:sz w:val="26"/>
          <w:szCs w:val="26"/>
          <w:rtl/>
        </w:rPr>
        <w:t>،</w:t>
      </w:r>
      <w:r w:rsidRPr="00C3556F">
        <w:rPr>
          <w:rFonts w:ascii="mylotus" w:hAnsi="mylotus" w:cs="mylotus"/>
          <w:sz w:val="26"/>
          <w:szCs w:val="26"/>
          <w:rtl/>
        </w:rPr>
        <w:t xml:space="preserve"> </w:t>
      </w:r>
      <w:r w:rsidR="00217AB4" w:rsidRPr="00C3556F">
        <w:rPr>
          <w:rFonts w:ascii="mylotus" w:hAnsi="mylotus" w:cs="mylotus"/>
          <w:sz w:val="26"/>
          <w:szCs w:val="26"/>
          <w:rtl/>
        </w:rPr>
        <w:t>(</w:t>
      </w:r>
      <w:r w:rsidRPr="00C3556F">
        <w:rPr>
          <w:rFonts w:ascii="mylotus" w:hAnsi="mylotus" w:cs="mylotus"/>
          <w:sz w:val="26"/>
          <w:szCs w:val="26"/>
          <w:rtl/>
        </w:rPr>
        <w:t>توفي بين 150</w:t>
      </w:r>
      <w:r w:rsidR="00147857" w:rsidRPr="00C3556F">
        <w:rPr>
          <w:rFonts w:ascii="mylotus" w:hAnsi="mylotus" w:cs="mylotus"/>
          <w:sz w:val="26"/>
          <w:szCs w:val="26"/>
          <w:rtl/>
        </w:rPr>
        <w:t xml:space="preserve"> و</w:t>
      </w:r>
      <w:r w:rsidRPr="00C3556F">
        <w:rPr>
          <w:rFonts w:ascii="mylotus" w:hAnsi="mylotus" w:cs="mylotus"/>
          <w:sz w:val="26"/>
          <w:szCs w:val="26"/>
          <w:rtl/>
        </w:rPr>
        <w:t>160هـ</w:t>
      </w:r>
      <w:r w:rsidR="00217AB4" w:rsidRPr="00C3556F">
        <w:rPr>
          <w:rFonts w:ascii="mylotus" w:hAnsi="mylotus" w:cs="mylotus"/>
          <w:sz w:val="26"/>
          <w:szCs w:val="26"/>
          <w:rtl/>
        </w:rPr>
        <w:t>؟)،</w:t>
      </w:r>
      <w:r w:rsidRPr="00C3556F">
        <w:rPr>
          <w:rFonts w:ascii="mylotus" w:hAnsi="mylotus" w:cs="mylotus"/>
          <w:sz w:val="26"/>
          <w:szCs w:val="26"/>
          <w:rtl/>
        </w:rPr>
        <w:t xml:space="preserve"> «مسند الإمام زيد»</w:t>
      </w:r>
      <w:r w:rsidR="00217AB4" w:rsidRPr="00C3556F">
        <w:rPr>
          <w:rFonts w:ascii="mylotus" w:hAnsi="mylotus" w:cs="mylotus"/>
          <w:sz w:val="26"/>
          <w:szCs w:val="26"/>
          <w:rtl/>
        </w:rPr>
        <w:t>،</w:t>
      </w:r>
      <w:r w:rsidRPr="00C3556F">
        <w:rPr>
          <w:rFonts w:ascii="mylotus" w:hAnsi="mylotus" w:cs="mylotus"/>
          <w:sz w:val="26"/>
          <w:szCs w:val="26"/>
          <w:rtl/>
        </w:rPr>
        <w:t xml:space="preserve"> بيروت</w:t>
      </w:r>
      <w:r w:rsidR="00217AB4" w:rsidRPr="00C3556F">
        <w:rPr>
          <w:rFonts w:ascii="mylotus" w:hAnsi="mylotus" w:cs="mylotus"/>
          <w:sz w:val="26"/>
          <w:szCs w:val="26"/>
          <w:rtl/>
        </w:rPr>
        <w:t>،</w:t>
      </w:r>
      <w:r w:rsidRPr="00C3556F">
        <w:rPr>
          <w:rFonts w:ascii="mylotus" w:hAnsi="mylotus" w:cs="mylotus"/>
          <w:sz w:val="26"/>
          <w:szCs w:val="26"/>
          <w:rtl/>
        </w:rPr>
        <w:t xml:space="preserve"> دار مكتبة الحياة</w:t>
      </w:r>
      <w:r w:rsidR="00217AB4" w:rsidRPr="00C3556F">
        <w:rPr>
          <w:rFonts w:ascii="mylotus" w:hAnsi="mylotus" w:cs="mylotus"/>
          <w:sz w:val="26"/>
          <w:szCs w:val="26"/>
          <w:rtl/>
        </w:rPr>
        <w:t>.</w:t>
      </w:r>
    </w:p>
    <w:p w:rsidR="005C664D" w:rsidRPr="00C3556F" w:rsidRDefault="005C664D" w:rsidP="00C3556F">
      <w:pPr>
        <w:widowControl w:val="0"/>
        <w:numPr>
          <w:ilvl w:val="0"/>
          <w:numId w:val="30"/>
        </w:numPr>
        <w:spacing w:line="228" w:lineRule="auto"/>
        <w:ind w:left="397" w:hanging="397"/>
        <w:jc w:val="both"/>
        <w:rPr>
          <w:rFonts w:ascii="mylotus" w:hAnsi="mylotus" w:cs="mylotus"/>
          <w:sz w:val="26"/>
          <w:szCs w:val="26"/>
        </w:rPr>
      </w:pPr>
      <w:r w:rsidRPr="00C3556F">
        <w:rPr>
          <w:rFonts w:ascii="mylotus" w:hAnsi="mylotus" w:cs="mylotus"/>
          <w:sz w:val="26"/>
          <w:szCs w:val="26"/>
          <w:rtl/>
        </w:rPr>
        <w:t xml:space="preserve">ورام بن أبي فراس </w:t>
      </w:r>
      <w:r w:rsidRPr="00C3556F">
        <w:rPr>
          <w:rFonts w:ascii="mylotus" w:hAnsi="mylotus" w:cs="mylotus"/>
          <w:sz w:val="26"/>
          <w:szCs w:val="26"/>
          <w:rtl/>
        </w:rPr>
        <w:softHyphen/>
      </w:r>
      <w:r w:rsidR="00217AB4" w:rsidRPr="00C3556F">
        <w:rPr>
          <w:rFonts w:ascii="mylotus" w:hAnsi="mylotus" w:cs="mylotus"/>
          <w:sz w:val="26"/>
          <w:szCs w:val="26"/>
          <w:rtl/>
        </w:rPr>
        <w:t>(</w:t>
      </w:r>
      <w:r w:rsidRPr="00C3556F">
        <w:rPr>
          <w:rFonts w:ascii="mylotus" w:hAnsi="mylotus" w:cs="mylotus"/>
          <w:sz w:val="26"/>
          <w:szCs w:val="26"/>
          <w:rtl/>
        </w:rPr>
        <w:t>605هـ</w:t>
      </w:r>
      <w:r w:rsidR="00217AB4" w:rsidRPr="00C3556F">
        <w:rPr>
          <w:rFonts w:ascii="mylotus" w:hAnsi="mylotus" w:cs="mylotus"/>
          <w:sz w:val="26"/>
          <w:szCs w:val="26"/>
          <w:rtl/>
        </w:rPr>
        <w:t>)،</w:t>
      </w:r>
      <w:r w:rsidRPr="00C3556F">
        <w:rPr>
          <w:rFonts w:ascii="mylotus" w:hAnsi="mylotus" w:cs="mylotus"/>
          <w:sz w:val="26"/>
          <w:szCs w:val="26"/>
          <w:rtl/>
        </w:rPr>
        <w:t xml:space="preserve"> «تنبيه الخواطر ونزهة النواظر» المعروف بـ«مجموعه ورام»</w:t>
      </w:r>
      <w:r w:rsidR="00217AB4" w:rsidRPr="00C3556F">
        <w:rPr>
          <w:rFonts w:ascii="mylotus" w:hAnsi="mylotus" w:cs="mylotus"/>
          <w:sz w:val="26"/>
          <w:szCs w:val="26"/>
          <w:rtl/>
        </w:rPr>
        <w:t>.</w:t>
      </w:r>
    </w:p>
    <w:p w:rsidR="005C664D" w:rsidRPr="00C3556F" w:rsidRDefault="005C664D" w:rsidP="00C3556F">
      <w:pPr>
        <w:spacing w:line="228" w:lineRule="auto"/>
        <w:ind w:left="397" w:hanging="397"/>
        <w:jc w:val="both"/>
        <w:rPr>
          <w:rFonts w:ascii="mylotus" w:hAnsi="mylotus" w:cs="mylotus"/>
          <w:b/>
          <w:bCs/>
          <w:sz w:val="26"/>
          <w:szCs w:val="26"/>
          <w:rtl/>
        </w:rPr>
      </w:pPr>
      <w:bookmarkStart w:id="212" w:name="_Toc215491171"/>
      <w:bookmarkStart w:id="213" w:name="_Toc215498090"/>
      <w:r w:rsidRPr="00C3556F">
        <w:rPr>
          <w:rFonts w:ascii="mylotus" w:hAnsi="mylotus" w:cs="mylotus"/>
          <w:b/>
          <w:bCs/>
          <w:sz w:val="26"/>
          <w:szCs w:val="26"/>
          <w:rtl/>
        </w:rPr>
        <w:t>الكتب الفقهية والكلامية</w:t>
      </w:r>
      <w:bookmarkEnd w:id="212"/>
      <w:bookmarkEnd w:id="213"/>
    </w:p>
    <w:p w:rsidR="005C664D" w:rsidRPr="00C3556F" w:rsidRDefault="005C664D" w:rsidP="00C3556F">
      <w:pPr>
        <w:widowControl w:val="0"/>
        <w:numPr>
          <w:ilvl w:val="0"/>
          <w:numId w:val="30"/>
        </w:numPr>
        <w:spacing w:line="228" w:lineRule="auto"/>
        <w:ind w:left="397" w:hanging="397"/>
        <w:jc w:val="both"/>
        <w:rPr>
          <w:rFonts w:ascii="mylotus" w:hAnsi="mylotus" w:cs="mylotus"/>
          <w:sz w:val="26"/>
          <w:szCs w:val="26"/>
          <w:rtl/>
        </w:rPr>
      </w:pPr>
      <w:r w:rsidRPr="00C3556F">
        <w:rPr>
          <w:rFonts w:ascii="mylotus" w:hAnsi="mylotus" w:cs="mylotus"/>
          <w:sz w:val="26"/>
          <w:szCs w:val="26"/>
          <w:rtl/>
        </w:rPr>
        <w:t>ابن إدريس</w:t>
      </w:r>
      <w:r w:rsidR="00217AB4" w:rsidRPr="00C3556F">
        <w:rPr>
          <w:rFonts w:ascii="mylotus" w:hAnsi="mylotus" w:cs="mylotus"/>
          <w:sz w:val="26"/>
          <w:szCs w:val="26"/>
          <w:rtl/>
        </w:rPr>
        <w:t>،</w:t>
      </w:r>
      <w:r w:rsidRPr="00C3556F">
        <w:rPr>
          <w:rFonts w:ascii="mylotus" w:hAnsi="mylotus" w:cs="mylotus"/>
          <w:sz w:val="26"/>
          <w:szCs w:val="26"/>
          <w:rtl/>
        </w:rPr>
        <w:t xml:space="preserve"> الفقيه محمد بن منصور بن أحمد بن إدريس العجلي الحلي </w:t>
      </w:r>
      <w:r w:rsidR="00217AB4" w:rsidRPr="00C3556F">
        <w:rPr>
          <w:rFonts w:ascii="mylotus" w:hAnsi="mylotus" w:cs="mylotus"/>
          <w:sz w:val="26"/>
          <w:szCs w:val="26"/>
          <w:rtl/>
        </w:rPr>
        <w:t>(</w:t>
      </w:r>
      <w:r w:rsidRPr="00C3556F">
        <w:rPr>
          <w:rFonts w:ascii="mylotus" w:hAnsi="mylotus" w:cs="mylotus"/>
          <w:sz w:val="26"/>
          <w:szCs w:val="26"/>
          <w:rtl/>
        </w:rPr>
        <w:t>598هـ</w:t>
      </w:r>
      <w:r w:rsidR="00217AB4" w:rsidRPr="00C3556F">
        <w:rPr>
          <w:rFonts w:ascii="mylotus" w:hAnsi="mylotus" w:cs="mylotus"/>
          <w:sz w:val="26"/>
          <w:szCs w:val="26"/>
          <w:rtl/>
        </w:rPr>
        <w:t>)،</w:t>
      </w:r>
      <w:r w:rsidRPr="00C3556F">
        <w:rPr>
          <w:rFonts w:ascii="mylotus" w:hAnsi="mylotus" w:cs="mylotus"/>
          <w:sz w:val="26"/>
          <w:szCs w:val="26"/>
          <w:rtl/>
        </w:rPr>
        <w:t xml:space="preserve"> «السرائر»</w:t>
      </w:r>
      <w:r w:rsidR="00217AB4" w:rsidRPr="00C3556F">
        <w:rPr>
          <w:rFonts w:ascii="mylotus" w:hAnsi="mylotus" w:cs="mylotus"/>
          <w:sz w:val="26"/>
          <w:szCs w:val="26"/>
          <w:rtl/>
        </w:rPr>
        <w:t>.</w:t>
      </w:r>
    </w:p>
    <w:p w:rsidR="005C664D" w:rsidRPr="00C3556F" w:rsidRDefault="005C664D" w:rsidP="00C3556F">
      <w:pPr>
        <w:widowControl w:val="0"/>
        <w:numPr>
          <w:ilvl w:val="0"/>
          <w:numId w:val="30"/>
        </w:numPr>
        <w:spacing w:line="228" w:lineRule="auto"/>
        <w:ind w:left="397" w:hanging="397"/>
        <w:jc w:val="both"/>
        <w:rPr>
          <w:rFonts w:ascii="mylotus" w:hAnsi="mylotus" w:cs="mylotus"/>
          <w:sz w:val="26"/>
          <w:szCs w:val="26"/>
          <w:rtl/>
        </w:rPr>
      </w:pPr>
      <w:r w:rsidRPr="00C3556F">
        <w:rPr>
          <w:rFonts w:ascii="mylotus" w:hAnsi="mylotus" w:cs="mylotus"/>
          <w:sz w:val="26"/>
          <w:szCs w:val="26"/>
          <w:rtl/>
        </w:rPr>
        <w:t>ابن الشهيد الثاني</w:t>
      </w:r>
      <w:r w:rsidR="00217AB4" w:rsidRPr="00C3556F">
        <w:rPr>
          <w:rFonts w:ascii="mylotus" w:hAnsi="mylotus" w:cs="mylotus"/>
          <w:sz w:val="26"/>
          <w:szCs w:val="26"/>
          <w:rtl/>
        </w:rPr>
        <w:t>،</w:t>
      </w:r>
      <w:r w:rsidRPr="00C3556F">
        <w:rPr>
          <w:rFonts w:ascii="mylotus" w:hAnsi="mylotus" w:cs="mylotus"/>
          <w:sz w:val="26"/>
          <w:szCs w:val="26"/>
          <w:rtl/>
        </w:rPr>
        <w:t xml:space="preserve"> الشيخ حسن بن زين الدين صاحب المعالم </w:t>
      </w:r>
      <w:r w:rsidR="00217AB4" w:rsidRPr="00C3556F">
        <w:rPr>
          <w:rFonts w:ascii="mylotus" w:hAnsi="mylotus" w:cs="mylotus"/>
          <w:sz w:val="26"/>
          <w:szCs w:val="26"/>
          <w:rtl/>
        </w:rPr>
        <w:t>(</w:t>
      </w:r>
      <w:r w:rsidRPr="00C3556F">
        <w:rPr>
          <w:rFonts w:ascii="mylotus" w:hAnsi="mylotus" w:cs="mylotus"/>
          <w:sz w:val="26"/>
          <w:szCs w:val="26"/>
          <w:rtl/>
        </w:rPr>
        <w:t>1011هـ</w:t>
      </w:r>
      <w:r w:rsidR="00217AB4" w:rsidRPr="00C3556F">
        <w:rPr>
          <w:rFonts w:ascii="mylotus" w:hAnsi="mylotus" w:cs="mylotus"/>
          <w:sz w:val="26"/>
          <w:szCs w:val="26"/>
          <w:rtl/>
        </w:rPr>
        <w:t>)،</w:t>
      </w:r>
      <w:r w:rsidRPr="00C3556F">
        <w:rPr>
          <w:rFonts w:ascii="mylotus" w:hAnsi="mylotus" w:cs="mylotus"/>
          <w:sz w:val="26"/>
          <w:szCs w:val="26"/>
          <w:rtl/>
        </w:rPr>
        <w:t xml:space="preserve"> «تحرير الطاووسي» </w:t>
      </w:r>
      <w:r w:rsidR="00217AB4" w:rsidRPr="00C3556F">
        <w:rPr>
          <w:rFonts w:ascii="mylotus" w:hAnsi="mylotus" w:cs="mylotus"/>
          <w:sz w:val="26"/>
          <w:szCs w:val="26"/>
          <w:rtl/>
        </w:rPr>
        <w:t>(</w:t>
      </w:r>
      <w:r w:rsidRPr="00C3556F">
        <w:rPr>
          <w:rFonts w:ascii="mylotus" w:hAnsi="mylotus" w:cs="mylotus"/>
          <w:sz w:val="26"/>
          <w:szCs w:val="26"/>
          <w:rtl/>
        </w:rPr>
        <w:t xml:space="preserve">مستخرج من كتاب حل الإشكال للسيد أحمد بن موسى الطاووس </w:t>
      </w:r>
      <w:r w:rsidR="00217AB4" w:rsidRPr="00C3556F">
        <w:rPr>
          <w:rFonts w:ascii="mylotus" w:hAnsi="mylotus" w:cs="mylotus"/>
          <w:sz w:val="26"/>
          <w:szCs w:val="26"/>
          <w:rtl/>
        </w:rPr>
        <w:t>(</w:t>
      </w:r>
      <w:r w:rsidRPr="00C3556F">
        <w:rPr>
          <w:rFonts w:ascii="mylotus" w:hAnsi="mylotus" w:cs="mylotus"/>
          <w:sz w:val="26"/>
          <w:szCs w:val="26"/>
          <w:rtl/>
        </w:rPr>
        <w:t>673هـ</w:t>
      </w:r>
      <w:r w:rsidR="00EF2588" w:rsidRPr="00C3556F">
        <w:rPr>
          <w:rFonts w:ascii="mylotus" w:hAnsi="mylotus" w:cs="mylotus"/>
          <w:sz w:val="26"/>
          <w:szCs w:val="26"/>
          <w:rtl/>
        </w:rPr>
        <w:t>»</w:t>
      </w:r>
      <w:r w:rsidR="00F90700">
        <w:rPr>
          <w:rFonts w:ascii="mylotus" w:hAnsi="mylotus" w:cs="mylotus" w:hint="cs"/>
          <w:sz w:val="26"/>
          <w:szCs w:val="26"/>
          <w:rtl/>
        </w:rPr>
        <w:t>.</w:t>
      </w:r>
    </w:p>
    <w:p w:rsidR="005C664D" w:rsidRPr="00C3556F" w:rsidRDefault="005C664D" w:rsidP="00C3556F">
      <w:pPr>
        <w:widowControl w:val="0"/>
        <w:numPr>
          <w:ilvl w:val="0"/>
          <w:numId w:val="30"/>
        </w:numPr>
        <w:spacing w:line="228" w:lineRule="auto"/>
        <w:ind w:left="397" w:hanging="397"/>
        <w:jc w:val="both"/>
        <w:rPr>
          <w:rFonts w:ascii="mylotus" w:hAnsi="mylotus" w:cs="mylotus"/>
          <w:sz w:val="26"/>
          <w:szCs w:val="26"/>
          <w:rtl/>
        </w:rPr>
      </w:pPr>
      <w:r w:rsidRPr="00C3556F">
        <w:rPr>
          <w:rFonts w:ascii="mylotus" w:hAnsi="mylotus" w:cs="mylotus"/>
          <w:sz w:val="26"/>
          <w:szCs w:val="26"/>
          <w:rtl/>
        </w:rPr>
        <w:t>ابن رشد</w:t>
      </w:r>
      <w:r w:rsidR="00217AB4" w:rsidRPr="00C3556F">
        <w:rPr>
          <w:rFonts w:ascii="mylotus" w:hAnsi="mylotus" w:cs="mylotus"/>
          <w:sz w:val="26"/>
          <w:szCs w:val="26"/>
          <w:rtl/>
        </w:rPr>
        <w:t>،</w:t>
      </w:r>
      <w:r w:rsidRPr="00C3556F">
        <w:rPr>
          <w:rFonts w:ascii="mylotus" w:hAnsi="mylotus" w:cs="mylotus"/>
          <w:sz w:val="26"/>
          <w:szCs w:val="26"/>
          <w:rtl/>
        </w:rPr>
        <w:t xml:space="preserve"> محمد بن أحمد بن محمد بن رشد القرطبي أبو الوليد </w:t>
      </w:r>
      <w:r w:rsidR="00217AB4" w:rsidRPr="00C3556F">
        <w:rPr>
          <w:rFonts w:ascii="mylotus" w:hAnsi="mylotus" w:cs="mylotus"/>
          <w:sz w:val="26"/>
          <w:szCs w:val="26"/>
          <w:rtl/>
        </w:rPr>
        <w:t>(</w:t>
      </w:r>
      <w:r w:rsidRPr="00C3556F">
        <w:rPr>
          <w:rFonts w:ascii="mylotus" w:hAnsi="mylotus" w:cs="mylotus"/>
          <w:sz w:val="26"/>
          <w:szCs w:val="26"/>
          <w:rtl/>
        </w:rPr>
        <w:t>595هـ</w:t>
      </w:r>
      <w:r w:rsidR="00217AB4" w:rsidRPr="00C3556F">
        <w:rPr>
          <w:rFonts w:ascii="mylotus" w:hAnsi="mylotus" w:cs="mylotus"/>
          <w:sz w:val="26"/>
          <w:szCs w:val="26"/>
          <w:rtl/>
        </w:rPr>
        <w:t>)،</w:t>
      </w:r>
      <w:r w:rsidRPr="00C3556F">
        <w:rPr>
          <w:rFonts w:ascii="mylotus" w:hAnsi="mylotus" w:cs="mylotus"/>
          <w:sz w:val="26"/>
          <w:szCs w:val="26"/>
          <w:rtl/>
        </w:rPr>
        <w:t xml:space="preserve"> «بداية المجتهد ونهاية المقتصد»</w:t>
      </w:r>
      <w:r w:rsidR="00217AB4" w:rsidRPr="00C3556F">
        <w:rPr>
          <w:rFonts w:ascii="mylotus" w:hAnsi="mylotus" w:cs="mylotus"/>
          <w:sz w:val="26"/>
          <w:szCs w:val="26"/>
          <w:rtl/>
        </w:rPr>
        <w:t>،</w:t>
      </w:r>
      <w:r w:rsidRPr="00C3556F">
        <w:rPr>
          <w:rFonts w:ascii="mylotus" w:hAnsi="mylotus" w:cs="mylotus"/>
          <w:sz w:val="26"/>
          <w:szCs w:val="26"/>
          <w:rtl/>
        </w:rPr>
        <w:t xml:space="preserve"> بيروت</w:t>
      </w:r>
      <w:r w:rsidR="00217AB4" w:rsidRPr="00C3556F">
        <w:rPr>
          <w:rFonts w:ascii="mylotus" w:hAnsi="mylotus" w:cs="mylotus"/>
          <w:sz w:val="26"/>
          <w:szCs w:val="26"/>
          <w:rtl/>
        </w:rPr>
        <w:t>،</w:t>
      </w:r>
      <w:r w:rsidRPr="00C3556F">
        <w:rPr>
          <w:rFonts w:ascii="mylotus" w:hAnsi="mylotus" w:cs="mylotus"/>
          <w:sz w:val="26"/>
          <w:szCs w:val="26"/>
          <w:rtl/>
        </w:rPr>
        <w:t xml:space="preserve"> دار الكتب العلمية</w:t>
      </w:r>
      <w:r w:rsidR="00217AB4" w:rsidRPr="00C3556F">
        <w:rPr>
          <w:rFonts w:ascii="mylotus" w:hAnsi="mylotus" w:cs="mylotus"/>
          <w:sz w:val="26"/>
          <w:szCs w:val="26"/>
          <w:rtl/>
        </w:rPr>
        <w:t>.</w:t>
      </w:r>
    </w:p>
    <w:p w:rsidR="005C664D" w:rsidRPr="00C3556F" w:rsidRDefault="005C664D" w:rsidP="00C3556F">
      <w:pPr>
        <w:widowControl w:val="0"/>
        <w:numPr>
          <w:ilvl w:val="0"/>
          <w:numId w:val="30"/>
        </w:numPr>
        <w:spacing w:line="228" w:lineRule="auto"/>
        <w:ind w:left="397" w:hanging="397"/>
        <w:jc w:val="both"/>
        <w:rPr>
          <w:rFonts w:ascii="mylotus" w:hAnsi="mylotus" w:cs="mylotus"/>
          <w:sz w:val="26"/>
          <w:szCs w:val="26"/>
          <w:rtl/>
        </w:rPr>
      </w:pPr>
      <w:r w:rsidRPr="00C3556F">
        <w:rPr>
          <w:rFonts w:ascii="mylotus" w:hAnsi="mylotus" w:cs="mylotus"/>
          <w:sz w:val="26"/>
          <w:szCs w:val="26"/>
          <w:rtl/>
        </w:rPr>
        <w:t xml:space="preserve">أبو عبيد القاسم بن سلام البغدادي </w:t>
      </w:r>
      <w:r w:rsidR="00217AB4" w:rsidRPr="00C3556F">
        <w:rPr>
          <w:rFonts w:ascii="mylotus" w:hAnsi="mylotus" w:cs="mylotus"/>
          <w:sz w:val="26"/>
          <w:szCs w:val="26"/>
          <w:rtl/>
        </w:rPr>
        <w:t>(</w:t>
      </w:r>
      <w:r w:rsidRPr="00C3556F">
        <w:rPr>
          <w:rFonts w:ascii="mylotus" w:hAnsi="mylotus" w:cs="mylotus"/>
          <w:sz w:val="26"/>
          <w:szCs w:val="26"/>
          <w:rtl/>
        </w:rPr>
        <w:t>224هـ</w:t>
      </w:r>
      <w:r w:rsidR="00217AB4" w:rsidRPr="00C3556F">
        <w:rPr>
          <w:rFonts w:ascii="mylotus" w:hAnsi="mylotus" w:cs="mylotus"/>
          <w:sz w:val="26"/>
          <w:szCs w:val="26"/>
          <w:rtl/>
        </w:rPr>
        <w:t>)،</w:t>
      </w:r>
      <w:r w:rsidRPr="00C3556F">
        <w:rPr>
          <w:rFonts w:ascii="mylotus" w:hAnsi="mylotus" w:cs="mylotus"/>
          <w:sz w:val="26"/>
          <w:szCs w:val="26"/>
          <w:rtl/>
        </w:rPr>
        <w:t xml:space="preserve"> «الأموال»</w:t>
      </w:r>
      <w:r w:rsidR="00217AB4" w:rsidRPr="00C3556F">
        <w:rPr>
          <w:rFonts w:ascii="mylotus" w:hAnsi="mylotus" w:cs="mylotus"/>
          <w:sz w:val="26"/>
          <w:szCs w:val="26"/>
          <w:rtl/>
        </w:rPr>
        <w:t>.</w:t>
      </w:r>
      <w:r w:rsidRPr="00C3556F">
        <w:rPr>
          <w:rFonts w:ascii="mylotus" w:hAnsi="mylotus" w:cs="mylotus"/>
          <w:sz w:val="26"/>
          <w:szCs w:val="26"/>
          <w:rtl/>
        </w:rPr>
        <w:t xml:space="preserve"> </w:t>
      </w:r>
    </w:p>
    <w:p w:rsidR="005C664D" w:rsidRPr="00C3556F" w:rsidRDefault="005C664D" w:rsidP="00C3556F">
      <w:pPr>
        <w:widowControl w:val="0"/>
        <w:numPr>
          <w:ilvl w:val="0"/>
          <w:numId w:val="30"/>
        </w:numPr>
        <w:spacing w:line="228" w:lineRule="auto"/>
        <w:ind w:left="397" w:hanging="397"/>
        <w:jc w:val="both"/>
        <w:rPr>
          <w:rFonts w:ascii="mylotus" w:hAnsi="mylotus" w:cs="mylotus"/>
          <w:sz w:val="26"/>
          <w:szCs w:val="26"/>
          <w:rtl/>
        </w:rPr>
      </w:pPr>
      <w:r w:rsidRPr="00C3556F">
        <w:rPr>
          <w:rFonts w:ascii="mylotus" w:hAnsi="mylotus" w:cs="mylotus"/>
          <w:sz w:val="26"/>
          <w:szCs w:val="26"/>
          <w:rtl/>
        </w:rPr>
        <w:t>أبو يوسف</w:t>
      </w:r>
      <w:r w:rsidR="00217AB4" w:rsidRPr="00C3556F">
        <w:rPr>
          <w:rFonts w:ascii="mylotus" w:hAnsi="mylotus" w:cs="mylotus"/>
          <w:sz w:val="26"/>
          <w:szCs w:val="26"/>
          <w:rtl/>
        </w:rPr>
        <w:t>،</w:t>
      </w:r>
      <w:r w:rsidRPr="00C3556F">
        <w:rPr>
          <w:rFonts w:ascii="mylotus" w:hAnsi="mylotus" w:cs="mylotus"/>
          <w:sz w:val="26"/>
          <w:szCs w:val="26"/>
          <w:rtl/>
        </w:rPr>
        <w:t xml:space="preserve"> قاضي القضاة يعقوب بن إبراهيم الأنصاري </w:t>
      </w:r>
      <w:r w:rsidR="00217AB4" w:rsidRPr="00C3556F">
        <w:rPr>
          <w:rFonts w:ascii="mylotus" w:hAnsi="mylotus" w:cs="mylotus"/>
          <w:sz w:val="26"/>
          <w:szCs w:val="26"/>
          <w:rtl/>
        </w:rPr>
        <w:t>(</w:t>
      </w:r>
      <w:r w:rsidRPr="00C3556F">
        <w:rPr>
          <w:rFonts w:ascii="mylotus" w:hAnsi="mylotus" w:cs="mylotus"/>
          <w:sz w:val="26"/>
          <w:szCs w:val="26"/>
          <w:rtl/>
        </w:rPr>
        <w:t>182هـ</w:t>
      </w:r>
      <w:r w:rsidR="00217AB4" w:rsidRPr="00C3556F">
        <w:rPr>
          <w:rFonts w:ascii="mylotus" w:hAnsi="mylotus" w:cs="mylotus"/>
          <w:sz w:val="26"/>
          <w:szCs w:val="26"/>
          <w:rtl/>
        </w:rPr>
        <w:t>)،</w:t>
      </w:r>
      <w:r w:rsidRPr="00C3556F">
        <w:rPr>
          <w:rFonts w:ascii="mylotus" w:hAnsi="mylotus" w:cs="mylotus"/>
          <w:sz w:val="26"/>
          <w:szCs w:val="26"/>
          <w:rtl/>
        </w:rPr>
        <w:t xml:space="preserve"> «الخراج»</w:t>
      </w:r>
      <w:r w:rsidR="00217AB4" w:rsidRPr="00C3556F">
        <w:rPr>
          <w:rFonts w:ascii="mylotus" w:hAnsi="mylotus" w:cs="mylotus"/>
          <w:sz w:val="26"/>
          <w:szCs w:val="26"/>
          <w:rtl/>
        </w:rPr>
        <w:t>.</w:t>
      </w:r>
      <w:r w:rsidRPr="00C3556F">
        <w:rPr>
          <w:rFonts w:ascii="mylotus" w:hAnsi="mylotus" w:cs="mylotus"/>
          <w:sz w:val="26"/>
          <w:szCs w:val="26"/>
          <w:rtl/>
        </w:rPr>
        <w:t xml:space="preserve"> </w:t>
      </w:r>
    </w:p>
    <w:p w:rsidR="005C664D" w:rsidRPr="00C3556F" w:rsidRDefault="005C664D" w:rsidP="00C3556F">
      <w:pPr>
        <w:widowControl w:val="0"/>
        <w:numPr>
          <w:ilvl w:val="0"/>
          <w:numId w:val="30"/>
        </w:numPr>
        <w:spacing w:line="228" w:lineRule="auto"/>
        <w:ind w:left="397" w:hanging="397"/>
        <w:jc w:val="both"/>
        <w:rPr>
          <w:rFonts w:ascii="mylotus" w:hAnsi="mylotus" w:cs="mylotus"/>
          <w:sz w:val="26"/>
          <w:szCs w:val="26"/>
          <w:rtl/>
        </w:rPr>
      </w:pPr>
      <w:r w:rsidRPr="00C3556F">
        <w:rPr>
          <w:rFonts w:ascii="mylotus" w:hAnsi="mylotus" w:cs="mylotus"/>
          <w:sz w:val="26"/>
          <w:szCs w:val="26"/>
          <w:rtl/>
        </w:rPr>
        <w:t>الأردبيلي</w:t>
      </w:r>
      <w:r w:rsidR="00217AB4" w:rsidRPr="00C3556F">
        <w:rPr>
          <w:rFonts w:ascii="mylotus" w:hAnsi="mylotus" w:cs="mylotus"/>
          <w:sz w:val="26"/>
          <w:szCs w:val="26"/>
          <w:rtl/>
        </w:rPr>
        <w:t>،</w:t>
      </w:r>
      <w:r w:rsidRPr="00C3556F">
        <w:rPr>
          <w:rFonts w:ascii="mylotus" w:hAnsi="mylotus" w:cs="mylotus"/>
          <w:sz w:val="26"/>
          <w:szCs w:val="26"/>
          <w:rtl/>
        </w:rPr>
        <w:t xml:space="preserve"> الفقيه المحقق أحمد بن محمد</w:t>
      </w:r>
      <w:r w:rsidR="00217AB4" w:rsidRPr="00C3556F">
        <w:rPr>
          <w:rFonts w:ascii="mylotus" w:hAnsi="mylotus" w:cs="mylotus"/>
          <w:sz w:val="26"/>
          <w:szCs w:val="26"/>
          <w:rtl/>
        </w:rPr>
        <w:t>،</w:t>
      </w:r>
      <w:r w:rsidRPr="00C3556F">
        <w:rPr>
          <w:rFonts w:ascii="mylotus" w:hAnsi="mylotus" w:cs="mylotus"/>
          <w:sz w:val="26"/>
          <w:szCs w:val="26"/>
          <w:rtl/>
        </w:rPr>
        <w:t xml:space="preserve"> الشهير بالمُقَدَّس الأردبيلي </w:t>
      </w:r>
      <w:r w:rsidR="00217AB4" w:rsidRPr="00C3556F">
        <w:rPr>
          <w:rFonts w:ascii="mylotus" w:hAnsi="mylotus" w:cs="mylotus"/>
          <w:sz w:val="26"/>
          <w:szCs w:val="26"/>
          <w:rtl/>
        </w:rPr>
        <w:t>(</w:t>
      </w:r>
      <w:r w:rsidRPr="00C3556F">
        <w:rPr>
          <w:rFonts w:ascii="mylotus" w:hAnsi="mylotus" w:cs="mylotus"/>
          <w:sz w:val="26"/>
          <w:szCs w:val="26"/>
          <w:rtl/>
        </w:rPr>
        <w:t>993هـ</w:t>
      </w:r>
      <w:r w:rsidR="00217AB4" w:rsidRPr="00C3556F">
        <w:rPr>
          <w:rFonts w:ascii="mylotus" w:hAnsi="mylotus" w:cs="mylotus"/>
          <w:sz w:val="26"/>
          <w:szCs w:val="26"/>
          <w:rtl/>
        </w:rPr>
        <w:t>)،</w:t>
      </w:r>
      <w:r w:rsidRPr="00C3556F">
        <w:rPr>
          <w:rFonts w:ascii="mylotus" w:hAnsi="mylotus" w:cs="mylotus"/>
          <w:sz w:val="26"/>
          <w:szCs w:val="26"/>
          <w:rtl/>
        </w:rPr>
        <w:t xml:space="preserve"> «مجمع الفائدة والبرهان في شرح إرشاد الأذهان» </w:t>
      </w:r>
      <w:r w:rsidR="00217AB4" w:rsidRPr="00C3556F">
        <w:rPr>
          <w:rFonts w:ascii="mylotus" w:hAnsi="mylotus" w:cs="mylotus"/>
          <w:sz w:val="26"/>
          <w:szCs w:val="26"/>
          <w:rtl/>
        </w:rPr>
        <w:t>(</w:t>
      </w:r>
      <w:r w:rsidRPr="00C3556F">
        <w:rPr>
          <w:rFonts w:ascii="mylotus" w:hAnsi="mylotus" w:cs="mylotus"/>
          <w:sz w:val="26"/>
          <w:szCs w:val="26"/>
          <w:rtl/>
        </w:rPr>
        <w:t>شرح كتاب العلامة الحلي «إرشاد الأذهان إلى أحكام الإيمان» في الفقه</w:t>
      </w:r>
      <w:r w:rsidR="00217AB4" w:rsidRPr="00C3556F">
        <w:rPr>
          <w:rFonts w:ascii="mylotus" w:hAnsi="mylotus" w:cs="mylotus"/>
          <w:sz w:val="26"/>
          <w:szCs w:val="26"/>
          <w:rtl/>
        </w:rPr>
        <w:t>)،</w:t>
      </w:r>
      <w:r w:rsidRPr="00C3556F">
        <w:rPr>
          <w:rFonts w:ascii="mylotus" w:hAnsi="mylotus" w:cs="mylotus"/>
          <w:sz w:val="26"/>
          <w:szCs w:val="26"/>
          <w:rtl/>
        </w:rPr>
        <w:t xml:space="preserve"> قم</w:t>
      </w:r>
      <w:r w:rsidR="00217AB4" w:rsidRPr="00C3556F">
        <w:rPr>
          <w:rFonts w:ascii="mylotus" w:hAnsi="mylotus" w:cs="mylotus"/>
          <w:sz w:val="26"/>
          <w:szCs w:val="26"/>
          <w:rtl/>
        </w:rPr>
        <w:t>:</w:t>
      </w:r>
      <w:r w:rsidRPr="00C3556F">
        <w:rPr>
          <w:rFonts w:ascii="mylotus" w:hAnsi="mylotus" w:cs="mylotus"/>
          <w:sz w:val="26"/>
          <w:szCs w:val="26"/>
          <w:rtl/>
        </w:rPr>
        <w:t xml:space="preserve"> مؤسسة النشر الإسلامي التابعة لجماعة المدرسين بقم</w:t>
      </w:r>
      <w:r w:rsidR="00217AB4" w:rsidRPr="00C3556F">
        <w:rPr>
          <w:rFonts w:ascii="mylotus" w:hAnsi="mylotus" w:cs="mylotus"/>
          <w:sz w:val="26"/>
          <w:szCs w:val="26"/>
          <w:rtl/>
        </w:rPr>
        <w:t>،</w:t>
      </w:r>
      <w:r w:rsidRPr="00C3556F">
        <w:rPr>
          <w:rFonts w:ascii="mylotus" w:hAnsi="mylotus" w:cs="mylotus"/>
          <w:sz w:val="26"/>
          <w:szCs w:val="26"/>
          <w:rtl/>
        </w:rPr>
        <w:t xml:space="preserve"> 1405هـ</w:t>
      </w:r>
      <w:r w:rsidR="00217AB4" w:rsidRPr="00C3556F">
        <w:rPr>
          <w:rFonts w:ascii="mylotus" w:hAnsi="mylotus" w:cs="mylotus"/>
          <w:sz w:val="26"/>
          <w:szCs w:val="26"/>
          <w:rtl/>
        </w:rPr>
        <w:t>.</w:t>
      </w:r>
    </w:p>
    <w:p w:rsidR="005C664D" w:rsidRPr="00C3556F" w:rsidRDefault="005C664D" w:rsidP="00C3556F">
      <w:pPr>
        <w:widowControl w:val="0"/>
        <w:numPr>
          <w:ilvl w:val="0"/>
          <w:numId w:val="30"/>
        </w:numPr>
        <w:spacing w:line="228" w:lineRule="auto"/>
        <w:ind w:left="397" w:hanging="397"/>
        <w:jc w:val="both"/>
        <w:rPr>
          <w:rFonts w:ascii="mylotus" w:hAnsi="mylotus" w:cs="mylotus"/>
          <w:sz w:val="26"/>
          <w:szCs w:val="26"/>
        </w:rPr>
      </w:pPr>
      <w:r w:rsidRPr="00C3556F">
        <w:rPr>
          <w:rFonts w:ascii="mylotus" w:hAnsi="mylotus" w:cs="mylotus"/>
          <w:sz w:val="26"/>
          <w:szCs w:val="26"/>
          <w:rtl/>
        </w:rPr>
        <w:t>آقا رضا الهمداني</w:t>
      </w:r>
      <w:r w:rsidR="00217AB4" w:rsidRPr="00C3556F">
        <w:rPr>
          <w:rFonts w:ascii="mylotus" w:hAnsi="mylotus" w:cs="mylotus"/>
          <w:sz w:val="26"/>
          <w:szCs w:val="26"/>
          <w:rtl/>
        </w:rPr>
        <w:t>،</w:t>
      </w:r>
      <w:r w:rsidRPr="00C3556F">
        <w:rPr>
          <w:rFonts w:ascii="mylotus" w:hAnsi="mylotus" w:cs="mylotus"/>
          <w:sz w:val="26"/>
          <w:szCs w:val="26"/>
          <w:rtl/>
        </w:rPr>
        <w:t xml:space="preserve"> العلامة الفقيه رضا بن محمد هادي الهمذاني </w:t>
      </w:r>
      <w:r w:rsidR="00217AB4" w:rsidRPr="00C3556F">
        <w:rPr>
          <w:rFonts w:ascii="mylotus" w:hAnsi="mylotus" w:cs="mylotus"/>
          <w:sz w:val="26"/>
          <w:szCs w:val="26"/>
          <w:rtl/>
        </w:rPr>
        <w:t>(</w:t>
      </w:r>
      <w:r w:rsidRPr="00C3556F">
        <w:rPr>
          <w:rFonts w:ascii="mylotus" w:hAnsi="mylotus" w:cs="mylotus"/>
          <w:sz w:val="26"/>
          <w:szCs w:val="26"/>
          <w:rtl/>
        </w:rPr>
        <w:t>1240</w:t>
      </w:r>
      <w:r w:rsidRPr="00C3556F">
        <w:rPr>
          <w:rFonts w:cs="Times New Roman" w:hint="cs"/>
          <w:sz w:val="26"/>
          <w:szCs w:val="26"/>
          <w:rtl/>
        </w:rPr>
        <w:t>–</w:t>
      </w:r>
      <w:r w:rsidRPr="00C3556F">
        <w:rPr>
          <w:rFonts w:ascii="mylotus" w:hAnsi="mylotus" w:cs="mylotus"/>
          <w:sz w:val="26"/>
          <w:szCs w:val="26"/>
          <w:rtl/>
        </w:rPr>
        <w:t xml:space="preserve"> 1322</w:t>
      </w:r>
      <w:r w:rsidRPr="00C3556F">
        <w:rPr>
          <w:rFonts w:ascii="mylotus" w:hAnsi="mylotus" w:cs="mylotus" w:hint="cs"/>
          <w:sz w:val="26"/>
          <w:szCs w:val="26"/>
          <w:rtl/>
        </w:rPr>
        <w:t>هـ</w:t>
      </w:r>
      <w:r w:rsidR="00217AB4" w:rsidRPr="00C3556F">
        <w:rPr>
          <w:rFonts w:ascii="mylotus" w:hAnsi="mylotus" w:cs="mylotus"/>
          <w:sz w:val="26"/>
          <w:szCs w:val="26"/>
          <w:rtl/>
        </w:rPr>
        <w:t>)</w:t>
      </w:r>
      <w:r w:rsidRPr="00C3556F">
        <w:rPr>
          <w:rFonts w:ascii="mylotus" w:hAnsi="mylotus" w:cs="mylotus"/>
          <w:sz w:val="26"/>
          <w:szCs w:val="26"/>
          <w:rtl/>
        </w:rPr>
        <w:t xml:space="preserve"> «مصباح الفقيه»</w:t>
      </w:r>
      <w:r w:rsidR="00217AB4" w:rsidRPr="00C3556F">
        <w:rPr>
          <w:rFonts w:ascii="mylotus" w:hAnsi="mylotus" w:cs="mylotus"/>
          <w:sz w:val="26"/>
          <w:szCs w:val="26"/>
          <w:rtl/>
        </w:rPr>
        <w:t>،</w:t>
      </w:r>
      <w:r w:rsidRPr="00C3556F">
        <w:rPr>
          <w:rFonts w:ascii="mylotus" w:hAnsi="mylotus" w:cs="mylotus"/>
          <w:sz w:val="26"/>
          <w:szCs w:val="26"/>
          <w:rtl/>
        </w:rPr>
        <w:t xml:space="preserve"> طبعة حجرية في 3 مجلدات من القطع الكبير</w:t>
      </w:r>
      <w:r w:rsidR="00217AB4" w:rsidRPr="00C3556F">
        <w:rPr>
          <w:rFonts w:ascii="mylotus" w:hAnsi="mylotus" w:cs="mylotus"/>
          <w:sz w:val="26"/>
          <w:szCs w:val="26"/>
          <w:rtl/>
        </w:rPr>
        <w:t>.</w:t>
      </w:r>
    </w:p>
    <w:p w:rsidR="005C664D" w:rsidRPr="00C3556F" w:rsidRDefault="005C664D" w:rsidP="00C3556F">
      <w:pPr>
        <w:widowControl w:val="0"/>
        <w:numPr>
          <w:ilvl w:val="0"/>
          <w:numId w:val="30"/>
        </w:numPr>
        <w:spacing w:line="228" w:lineRule="auto"/>
        <w:ind w:left="397" w:hanging="397"/>
        <w:jc w:val="both"/>
        <w:rPr>
          <w:rFonts w:ascii="mylotus" w:hAnsi="mylotus" w:cs="mylotus"/>
          <w:sz w:val="26"/>
          <w:szCs w:val="26"/>
          <w:rtl/>
        </w:rPr>
      </w:pPr>
      <w:r w:rsidRPr="00C3556F">
        <w:rPr>
          <w:rFonts w:ascii="mylotus" w:hAnsi="mylotus" w:cs="mylotus"/>
          <w:sz w:val="26"/>
          <w:szCs w:val="26"/>
          <w:rtl/>
        </w:rPr>
        <w:t>الجواهري</w:t>
      </w:r>
      <w:r w:rsidR="00217AB4" w:rsidRPr="00C3556F">
        <w:rPr>
          <w:rFonts w:ascii="mylotus" w:hAnsi="mylotus" w:cs="mylotus"/>
          <w:sz w:val="26"/>
          <w:szCs w:val="26"/>
          <w:rtl/>
        </w:rPr>
        <w:t>،</w:t>
      </w:r>
      <w:r w:rsidRPr="00C3556F">
        <w:rPr>
          <w:rFonts w:ascii="mylotus" w:hAnsi="mylotus" w:cs="mylotus"/>
          <w:sz w:val="26"/>
          <w:szCs w:val="26"/>
          <w:rtl/>
        </w:rPr>
        <w:t xml:space="preserve"> شيخ الفقهاء وإمام المحققين آية الله الشيخ محمد حسن النجفي الشهير بالشيخ الجواهري </w:t>
      </w:r>
      <w:r w:rsidR="00217AB4" w:rsidRPr="00C3556F">
        <w:rPr>
          <w:rFonts w:ascii="mylotus" w:hAnsi="mylotus" w:cs="mylotus"/>
          <w:sz w:val="26"/>
          <w:szCs w:val="26"/>
          <w:rtl/>
        </w:rPr>
        <w:t>(</w:t>
      </w:r>
      <w:r w:rsidRPr="00C3556F">
        <w:rPr>
          <w:rFonts w:ascii="mylotus" w:hAnsi="mylotus" w:cs="mylotus"/>
          <w:sz w:val="26"/>
          <w:szCs w:val="26"/>
          <w:rtl/>
        </w:rPr>
        <w:t>1266هـ</w:t>
      </w:r>
      <w:r w:rsidR="00217AB4" w:rsidRPr="00C3556F">
        <w:rPr>
          <w:rFonts w:ascii="mylotus" w:hAnsi="mylotus" w:cs="mylotus"/>
          <w:sz w:val="26"/>
          <w:szCs w:val="26"/>
          <w:rtl/>
        </w:rPr>
        <w:t>)،</w:t>
      </w:r>
      <w:r w:rsidRPr="00C3556F">
        <w:rPr>
          <w:rFonts w:ascii="mylotus" w:hAnsi="mylotus" w:cs="mylotus"/>
          <w:sz w:val="26"/>
          <w:szCs w:val="26"/>
          <w:rtl/>
        </w:rPr>
        <w:t xml:space="preserve"> «جواهر الكلام في شرح شرائع الإسلام»</w:t>
      </w:r>
      <w:r w:rsidR="00217AB4" w:rsidRPr="00C3556F">
        <w:rPr>
          <w:rFonts w:ascii="mylotus" w:hAnsi="mylotus" w:cs="mylotus"/>
          <w:sz w:val="26"/>
          <w:szCs w:val="26"/>
          <w:rtl/>
        </w:rPr>
        <w:t>،</w:t>
      </w:r>
      <w:r w:rsidRPr="00C3556F">
        <w:rPr>
          <w:rFonts w:ascii="mylotus" w:hAnsi="mylotus" w:cs="mylotus"/>
          <w:sz w:val="26"/>
          <w:szCs w:val="26"/>
          <w:rtl/>
        </w:rPr>
        <w:t xml:space="preserve"> تحقيق وتعليق الشيخ عباس القوچاني</w:t>
      </w:r>
      <w:r w:rsidR="00217AB4" w:rsidRPr="00C3556F">
        <w:rPr>
          <w:rFonts w:ascii="mylotus" w:hAnsi="mylotus" w:cs="mylotus"/>
          <w:sz w:val="26"/>
          <w:szCs w:val="26"/>
          <w:rtl/>
        </w:rPr>
        <w:t>،</w:t>
      </w:r>
      <w:r w:rsidRPr="00C3556F">
        <w:rPr>
          <w:rFonts w:ascii="mylotus" w:hAnsi="mylotus" w:cs="mylotus"/>
          <w:sz w:val="26"/>
          <w:szCs w:val="26"/>
          <w:rtl/>
        </w:rPr>
        <w:t xml:space="preserve"> ط2</w:t>
      </w:r>
      <w:r w:rsidR="00217AB4" w:rsidRPr="00C3556F">
        <w:rPr>
          <w:rFonts w:ascii="mylotus" w:hAnsi="mylotus" w:cs="mylotus"/>
          <w:sz w:val="26"/>
          <w:szCs w:val="26"/>
          <w:rtl/>
        </w:rPr>
        <w:t>،</w:t>
      </w:r>
      <w:r w:rsidRPr="00C3556F">
        <w:rPr>
          <w:rFonts w:ascii="mylotus" w:hAnsi="mylotus" w:cs="mylotus"/>
          <w:sz w:val="26"/>
          <w:szCs w:val="26"/>
          <w:rtl/>
        </w:rPr>
        <w:t xml:space="preserve"> طهران</w:t>
      </w:r>
      <w:r w:rsidR="00217AB4" w:rsidRPr="00C3556F">
        <w:rPr>
          <w:rFonts w:ascii="mylotus" w:hAnsi="mylotus" w:cs="mylotus"/>
          <w:sz w:val="26"/>
          <w:szCs w:val="26"/>
          <w:rtl/>
        </w:rPr>
        <w:t>،</w:t>
      </w:r>
      <w:r w:rsidRPr="00C3556F">
        <w:rPr>
          <w:rFonts w:ascii="mylotus" w:hAnsi="mylotus" w:cs="mylotus"/>
          <w:sz w:val="26"/>
          <w:szCs w:val="26"/>
          <w:rtl/>
        </w:rPr>
        <w:t xml:space="preserve"> دار الكتب الإسلامية</w:t>
      </w:r>
      <w:r w:rsidR="00217AB4" w:rsidRPr="00C3556F">
        <w:rPr>
          <w:rFonts w:ascii="mylotus" w:hAnsi="mylotus" w:cs="mylotus"/>
          <w:sz w:val="26"/>
          <w:szCs w:val="26"/>
          <w:rtl/>
        </w:rPr>
        <w:t>،</w:t>
      </w:r>
      <w:r w:rsidRPr="00C3556F">
        <w:rPr>
          <w:rFonts w:ascii="mylotus" w:hAnsi="mylotus" w:cs="mylotus"/>
          <w:sz w:val="26"/>
          <w:szCs w:val="26"/>
          <w:rtl/>
        </w:rPr>
        <w:t xml:space="preserve"> 1365 هجرية شمسية </w:t>
      </w:r>
      <w:r w:rsidR="00217AB4" w:rsidRPr="00C3556F">
        <w:rPr>
          <w:rFonts w:ascii="mylotus" w:hAnsi="mylotus" w:cs="mylotus"/>
          <w:sz w:val="26"/>
          <w:szCs w:val="26"/>
          <w:rtl/>
        </w:rPr>
        <w:t>(</w:t>
      </w:r>
      <w:r w:rsidRPr="00C3556F">
        <w:rPr>
          <w:rFonts w:ascii="mylotus" w:hAnsi="mylotus" w:cs="mylotus"/>
          <w:sz w:val="26"/>
          <w:szCs w:val="26"/>
          <w:rtl/>
        </w:rPr>
        <w:t>الموافق لـ 1986م</w:t>
      </w:r>
      <w:r w:rsidR="00217AB4" w:rsidRPr="00C3556F">
        <w:rPr>
          <w:rFonts w:ascii="mylotus" w:hAnsi="mylotus" w:cs="mylotus"/>
          <w:sz w:val="26"/>
          <w:szCs w:val="26"/>
          <w:rtl/>
        </w:rPr>
        <w:t>.)</w:t>
      </w:r>
      <w:r w:rsidRPr="00C3556F">
        <w:rPr>
          <w:rFonts w:ascii="mylotus" w:hAnsi="mylotus" w:cs="mylotus"/>
          <w:sz w:val="26"/>
          <w:szCs w:val="26"/>
          <w:rtl/>
        </w:rPr>
        <w:t xml:space="preserve"> [43 مجلداً]</w:t>
      </w:r>
      <w:r w:rsidR="00217AB4" w:rsidRPr="00C3556F">
        <w:rPr>
          <w:rFonts w:ascii="mylotus" w:hAnsi="mylotus" w:cs="mylotus"/>
          <w:sz w:val="26"/>
          <w:szCs w:val="26"/>
          <w:rtl/>
        </w:rPr>
        <w:t>.</w:t>
      </w:r>
      <w:r w:rsidR="00147857" w:rsidRPr="00C3556F">
        <w:rPr>
          <w:rFonts w:ascii="mylotus" w:hAnsi="mylotus" w:cs="mylotus"/>
          <w:sz w:val="26"/>
          <w:szCs w:val="26"/>
          <w:rtl/>
        </w:rPr>
        <w:t xml:space="preserve"> </w:t>
      </w:r>
    </w:p>
    <w:p w:rsidR="005C664D" w:rsidRPr="00C3556F" w:rsidRDefault="005C664D" w:rsidP="00C3556F">
      <w:pPr>
        <w:widowControl w:val="0"/>
        <w:numPr>
          <w:ilvl w:val="0"/>
          <w:numId w:val="30"/>
        </w:numPr>
        <w:spacing w:line="228" w:lineRule="auto"/>
        <w:ind w:left="397" w:hanging="397"/>
        <w:jc w:val="both"/>
        <w:rPr>
          <w:rFonts w:ascii="mylotus" w:hAnsi="mylotus" w:cs="mylotus"/>
          <w:sz w:val="26"/>
          <w:szCs w:val="26"/>
          <w:rtl/>
        </w:rPr>
      </w:pPr>
      <w:r w:rsidRPr="00C3556F">
        <w:rPr>
          <w:rFonts w:ascii="mylotus" w:hAnsi="mylotus" w:cs="mylotus"/>
          <w:sz w:val="26"/>
          <w:szCs w:val="26"/>
          <w:rtl/>
        </w:rPr>
        <w:t>الحلي</w:t>
      </w:r>
      <w:r w:rsidR="00217AB4" w:rsidRPr="00C3556F">
        <w:rPr>
          <w:rFonts w:ascii="mylotus" w:hAnsi="mylotus" w:cs="mylotus"/>
          <w:sz w:val="26"/>
          <w:szCs w:val="26"/>
          <w:rtl/>
        </w:rPr>
        <w:t>،</w:t>
      </w:r>
      <w:r w:rsidRPr="00C3556F">
        <w:rPr>
          <w:rFonts w:ascii="mylotus" w:hAnsi="mylotus" w:cs="mylotus"/>
          <w:sz w:val="26"/>
          <w:szCs w:val="26"/>
          <w:rtl/>
        </w:rPr>
        <w:t xml:space="preserve"> العلامة الحسن بن يوسف بن المطهّر الأسدي </w:t>
      </w:r>
      <w:r w:rsidR="00217AB4" w:rsidRPr="00C3556F">
        <w:rPr>
          <w:rFonts w:ascii="mylotus" w:hAnsi="mylotus" w:cs="mylotus"/>
          <w:sz w:val="26"/>
          <w:szCs w:val="26"/>
          <w:rtl/>
        </w:rPr>
        <w:t>(</w:t>
      </w:r>
      <w:r w:rsidRPr="00C3556F">
        <w:rPr>
          <w:rFonts w:ascii="mylotus" w:hAnsi="mylotus" w:cs="mylotus"/>
          <w:sz w:val="26"/>
          <w:szCs w:val="26"/>
          <w:rtl/>
        </w:rPr>
        <w:t>726هـ</w:t>
      </w:r>
      <w:r w:rsidR="00217AB4" w:rsidRPr="00C3556F">
        <w:rPr>
          <w:rFonts w:ascii="mylotus" w:hAnsi="mylotus" w:cs="mylotus"/>
          <w:sz w:val="26"/>
          <w:szCs w:val="26"/>
          <w:rtl/>
        </w:rPr>
        <w:t>)،</w:t>
      </w:r>
      <w:r w:rsidRPr="00C3556F">
        <w:rPr>
          <w:rFonts w:ascii="mylotus" w:hAnsi="mylotus" w:cs="mylotus"/>
          <w:sz w:val="26"/>
          <w:szCs w:val="26"/>
          <w:rtl/>
        </w:rPr>
        <w:t xml:space="preserve"> «تذكرة الفقهاء» </w:t>
      </w:r>
      <w:r w:rsidR="00217AB4" w:rsidRPr="00C3556F">
        <w:rPr>
          <w:rFonts w:ascii="mylotus" w:hAnsi="mylotus" w:cs="mylotus"/>
          <w:sz w:val="26"/>
          <w:szCs w:val="26"/>
          <w:rtl/>
        </w:rPr>
        <w:t>(</w:t>
      </w:r>
      <w:r w:rsidRPr="00C3556F">
        <w:rPr>
          <w:rFonts w:ascii="mylotus" w:hAnsi="mylotus" w:cs="mylotus"/>
          <w:sz w:val="26"/>
          <w:szCs w:val="26"/>
          <w:rtl/>
        </w:rPr>
        <w:t>ط جديدة</w:t>
      </w:r>
      <w:r w:rsidR="00217AB4" w:rsidRPr="00C3556F">
        <w:rPr>
          <w:rFonts w:ascii="mylotus" w:hAnsi="mylotus" w:cs="mylotus"/>
          <w:sz w:val="26"/>
          <w:szCs w:val="26"/>
          <w:rtl/>
        </w:rPr>
        <w:t>).</w:t>
      </w:r>
      <w:r w:rsidRPr="00C3556F">
        <w:rPr>
          <w:rFonts w:ascii="mylotus" w:hAnsi="mylotus" w:cs="mylotus"/>
          <w:sz w:val="26"/>
          <w:szCs w:val="26"/>
          <w:rtl/>
        </w:rPr>
        <w:t xml:space="preserve"> </w:t>
      </w:r>
    </w:p>
    <w:p w:rsidR="005C664D" w:rsidRPr="00C3556F" w:rsidRDefault="005C664D" w:rsidP="00C3556F">
      <w:pPr>
        <w:widowControl w:val="0"/>
        <w:numPr>
          <w:ilvl w:val="0"/>
          <w:numId w:val="30"/>
        </w:numPr>
        <w:spacing w:line="228" w:lineRule="auto"/>
        <w:ind w:left="397" w:hanging="397"/>
        <w:jc w:val="both"/>
        <w:rPr>
          <w:rFonts w:ascii="mylotus" w:hAnsi="mylotus" w:cs="mylotus"/>
          <w:sz w:val="26"/>
          <w:szCs w:val="26"/>
          <w:rtl/>
        </w:rPr>
      </w:pPr>
      <w:r w:rsidRPr="00C3556F">
        <w:rPr>
          <w:rFonts w:ascii="mylotus" w:hAnsi="mylotus" w:cs="mylotus"/>
          <w:sz w:val="26"/>
          <w:szCs w:val="26"/>
          <w:rtl/>
        </w:rPr>
        <w:t>الحلي</w:t>
      </w:r>
      <w:r w:rsidR="00217AB4" w:rsidRPr="00C3556F">
        <w:rPr>
          <w:rFonts w:ascii="mylotus" w:hAnsi="mylotus" w:cs="mylotus"/>
          <w:sz w:val="26"/>
          <w:szCs w:val="26"/>
          <w:rtl/>
        </w:rPr>
        <w:t>،</w:t>
      </w:r>
      <w:r w:rsidRPr="00C3556F">
        <w:rPr>
          <w:rFonts w:ascii="mylotus" w:hAnsi="mylotus" w:cs="mylotus"/>
          <w:sz w:val="26"/>
          <w:szCs w:val="26"/>
          <w:rtl/>
        </w:rPr>
        <w:t xml:space="preserve"> العلامة الحسن بن يوسف بن المطهَّر</w:t>
      </w:r>
      <w:r w:rsidR="00217AB4" w:rsidRPr="00C3556F">
        <w:rPr>
          <w:rFonts w:ascii="mylotus" w:hAnsi="mylotus" w:cs="mylotus"/>
          <w:sz w:val="26"/>
          <w:szCs w:val="26"/>
          <w:rtl/>
        </w:rPr>
        <w:t>،</w:t>
      </w:r>
      <w:r w:rsidRPr="00C3556F">
        <w:rPr>
          <w:rFonts w:ascii="mylotus" w:hAnsi="mylotus" w:cs="mylotus"/>
          <w:sz w:val="26"/>
          <w:szCs w:val="26"/>
          <w:rtl/>
        </w:rPr>
        <w:t xml:space="preserve"> «مختلف الشيعة» </w:t>
      </w:r>
      <w:r w:rsidR="00217AB4" w:rsidRPr="00C3556F">
        <w:rPr>
          <w:rFonts w:ascii="mylotus" w:hAnsi="mylotus" w:cs="mylotus"/>
          <w:sz w:val="26"/>
          <w:szCs w:val="26"/>
          <w:rtl/>
        </w:rPr>
        <w:t>(</w:t>
      </w:r>
      <w:r w:rsidRPr="00C3556F">
        <w:rPr>
          <w:rFonts w:ascii="mylotus" w:hAnsi="mylotus" w:cs="mylotus"/>
          <w:sz w:val="26"/>
          <w:szCs w:val="26"/>
          <w:rtl/>
        </w:rPr>
        <w:t>الطبعة القديمة</w:t>
      </w:r>
      <w:r w:rsidR="00217AB4" w:rsidRPr="00C3556F">
        <w:rPr>
          <w:rFonts w:ascii="mylotus" w:hAnsi="mylotus" w:cs="mylotus"/>
          <w:sz w:val="26"/>
          <w:szCs w:val="26"/>
          <w:rtl/>
        </w:rPr>
        <w:t>)</w:t>
      </w:r>
      <w:r w:rsidRPr="00C3556F">
        <w:rPr>
          <w:rFonts w:ascii="mylotus" w:hAnsi="mylotus" w:cs="mylotus"/>
          <w:sz w:val="26"/>
          <w:szCs w:val="26"/>
          <w:rtl/>
        </w:rPr>
        <w:t xml:space="preserve"> [أو ط</w:t>
      </w:r>
      <w:r w:rsidR="00217AB4" w:rsidRPr="00C3556F">
        <w:rPr>
          <w:rFonts w:ascii="mylotus" w:hAnsi="mylotus" w:cs="mylotus"/>
          <w:sz w:val="26"/>
          <w:szCs w:val="26"/>
          <w:rtl/>
        </w:rPr>
        <w:t>.</w:t>
      </w:r>
      <w:r w:rsidRPr="00C3556F">
        <w:rPr>
          <w:rFonts w:ascii="mylotus" w:hAnsi="mylotus" w:cs="mylotus"/>
          <w:sz w:val="26"/>
          <w:szCs w:val="26"/>
          <w:rtl/>
        </w:rPr>
        <w:t>جديدة</w:t>
      </w:r>
      <w:r w:rsidR="00217AB4" w:rsidRPr="00C3556F">
        <w:rPr>
          <w:rFonts w:ascii="mylotus" w:hAnsi="mylotus" w:cs="mylotus"/>
          <w:sz w:val="26"/>
          <w:szCs w:val="26"/>
          <w:rtl/>
        </w:rPr>
        <w:t>،</w:t>
      </w:r>
      <w:r w:rsidRPr="00C3556F">
        <w:rPr>
          <w:rFonts w:ascii="mylotus" w:hAnsi="mylotus" w:cs="mylotus"/>
          <w:sz w:val="26"/>
          <w:szCs w:val="26"/>
          <w:rtl/>
        </w:rPr>
        <w:t xml:space="preserve"> قم</w:t>
      </w:r>
      <w:r w:rsidR="00217AB4" w:rsidRPr="00C3556F">
        <w:rPr>
          <w:rFonts w:ascii="mylotus" w:hAnsi="mylotus" w:cs="mylotus"/>
          <w:sz w:val="26"/>
          <w:szCs w:val="26"/>
          <w:rtl/>
        </w:rPr>
        <w:t>،</w:t>
      </w:r>
      <w:r w:rsidRPr="00C3556F">
        <w:rPr>
          <w:rFonts w:ascii="mylotus" w:hAnsi="mylotus" w:cs="mylotus"/>
          <w:sz w:val="26"/>
          <w:szCs w:val="26"/>
          <w:rtl/>
        </w:rPr>
        <w:t xml:space="preserve"> مؤسسة النشر الإسلامي التابعة لجماعة المدرسين</w:t>
      </w:r>
      <w:r w:rsidR="00217AB4" w:rsidRPr="00C3556F">
        <w:rPr>
          <w:rFonts w:ascii="mylotus" w:hAnsi="mylotus" w:cs="mylotus"/>
          <w:sz w:val="26"/>
          <w:szCs w:val="26"/>
          <w:rtl/>
        </w:rPr>
        <w:t>،</w:t>
      </w:r>
      <w:r w:rsidRPr="00C3556F">
        <w:rPr>
          <w:rFonts w:ascii="mylotus" w:hAnsi="mylotus" w:cs="mylotus"/>
          <w:sz w:val="26"/>
          <w:szCs w:val="26"/>
          <w:rtl/>
        </w:rPr>
        <w:t xml:space="preserve"> 1413هـ</w:t>
      </w:r>
      <w:r w:rsidR="00217AB4" w:rsidRPr="00C3556F">
        <w:rPr>
          <w:rFonts w:ascii="mylotus" w:hAnsi="mylotus" w:cs="mylotus"/>
          <w:sz w:val="26"/>
          <w:szCs w:val="26"/>
          <w:rtl/>
        </w:rPr>
        <w:t>.</w:t>
      </w:r>
      <w:r w:rsidRPr="00C3556F">
        <w:rPr>
          <w:rFonts w:ascii="mylotus" w:hAnsi="mylotus" w:cs="mylotus"/>
          <w:sz w:val="26"/>
          <w:szCs w:val="26"/>
          <w:rtl/>
        </w:rPr>
        <w:t xml:space="preserve"> في 9 أجزاء]</w:t>
      </w:r>
      <w:r w:rsidR="00217AB4" w:rsidRPr="00C3556F">
        <w:rPr>
          <w:rFonts w:ascii="mylotus" w:hAnsi="mylotus" w:cs="mylotus"/>
          <w:sz w:val="26"/>
          <w:szCs w:val="26"/>
          <w:rtl/>
        </w:rPr>
        <w:t>.</w:t>
      </w:r>
    </w:p>
    <w:p w:rsidR="005C664D" w:rsidRPr="00C3556F" w:rsidRDefault="005C664D" w:rsidP="00C3556F">
      <w:pPr>
        <w:widowControl w:val="0"/>
        <w:numPr>
          <w:ilvl w:val="0"/>
          <w:numId w:val="30"/>
        </w:numPr>
        <w:spacing w:line="228" w:lineRule="auto"/>
        <w:ind w:left="397" w:hanging="397"/>
        <w:jc w:val="both"/>
        <w:rPr>
          <w:rFonts w:ascii="mylotus" w:hAnsi="mylotus" w:cs="mylotus"/>
          <w:sz w:val="26"/>
          <w:szCs w:val="26"/>
          <w:rtl/>
        </w:rPr>
      </w:pPr>
      <w:r w:rsidRPr="00C3556F">
        <w:rPr>
          <w:rFonts w:ascii="mylotus" w:hAnsi="mylotus" w:cs="mylotus"/>
          <w:sz w:val="26"/>
          <w:szCs w:val="26"/>
          <w:rtl/>
        </w:rPr>
        <w:t>الحلي</w:t>
      </w:r>
      <w:r w:rsidR="00217AB4" w:rsidRPr="00C3556F">
        <w:rPr>
          <w:rFonts w:ascii="mylotus" w:hAnsi="mylotus" w:cs="mylotus"/>
          <w:sz w:val="26"/>
          <w:szCs w:val="26"/>
          <w:rtl/>
        </w:rPr>
        <w:t>،</w:t>
      </w:r>
      <w:r w:rsidRPr="00C3556F">
        <w:rPr>
          <w:rFonts w:ascii="mylotus" w:hAnsi="mylotus" w:cs="mylotus"/>
          <w:sz w:val="26"/>
          <w:szCs w:val="26"/>
          <w:rtl/>
        </w:rPr>
        <w:t xml:space="preserve"> العلامة الحسن بن يوسف بن المطهَّر</w:t>
      </w:r>
      <w:r w:rsidR="00217AB4" w:rsidRPr="00C3556F">
        <w:rPr>
          <w:rFonts w:ascii="mylotus" w:hAnsi="mylotus" w:cs="mylotus"/>
          <w:sz w:val="26"/>
          <w:szCs w:val="26"/>
          <w:rtl/>
        </w:rPr>
        <w:t>،</w:t>
      </w:r>
      <w:r w:rsidRPr="00C3556F">
        <w:rPr>
          <w:rFonts w:ascii="mylotus" w:hAnsi="mylotus" w:cs="mylotus"/>
          <w:sz w:val="26"/>
          <w:szCs w:val="26"/>
          <w:rtl/>
        </w:rPr>
        <w:t xml:space="preserve"> «منتهى المطلب»</w:t>
      </w:r>
      <w:r w:rsidR="00217AB4" w:rsidRPr="00C3556F">
        <w:rPr>
          <w:rFonts w:ascii="mylotus" w:hAnsi="mylotus" w:cs="mylotus"/>
          <w:sz w:val="26"/>
          <w:szCs w:val="26"/>
          <w:rtl/>
        </w:rPr>
        <w:t>،</w:t>
      </w:r>
      <w:r w:rsidRPr="00C3556F">
        <w:rPr>
          <w:rFonts w:ascii="mylotus" w:hAnsi="mylotus" w:cs="mylotus"/>
          <w:sz w:val="26"/>
          <w:szCs w:val="26"/>
          <w:rtl/>
        </w:rPr>
        <w:t xml:space="preserve"> الطبعة الحجرية القديمة</w:t>
      </w:r>
      <w:r w:rsidR="00217AB4" w:rsidRPr="00C3556F">
        <w:rPr>
          <w:rFonts w:ascii="mylotus" w:hAnsi="mylotus" w:cs="mylotus"/>
          <w:sz w:val="26"/>
          <w:szCs w:val="26"/>
          <w:rtl/>
        </w:rPr>
        <w:t>.</w:t>
      </w:r>
    </w:p>
    <w:p w:rsidR="005C664D" w:rsidRPr="00C3556F" w:rsidRDefault="005C664D" w:rsidP="00C3556F">
      <w:pPr>
        <w:widowControl w:val="0"/>
        <w:numPr>
          <w:ilvl w:val="0"/>
          <w:numId w:val="30"/>
        </w:numPr>
        <w:spacing w:line="228" w:lineRule="auto"/>
        <w:ind w:left="397" w:hanging="397"/>
        <w:jc w:val="both"/>
        <w:rPr>
          <w:rFonts w:ascii="mylotus" w:hAnsi="mylotus" w:cs="mylotus"/>
          <w:sz w:val="26"/>
          <w:szCs w:val="26"/>
        </w:rPr>
      </w:pPr>
      <w:r w:rsidRPr="00C3556F">
        <w:rPr>
          <w:rFonts w:ascii="mylotus" w:hAnsi="mylotus" w:cs="mylotus"/>
          <w:sz w:val="26"/>
          <w:szCs w:val="26"/>
          <w:rtl/>
        </w:rPr>
        <w:t>الحلّي</w:t>
      </w:r>
      <w:r w:rsidR="00217AB4" w:rsidRPr="00C3556F">
        <w:rPr>
          <w:rFonts w:ascii="mylotus" w:hAnsi="mylotus" w:cs="mylotus"/>
          <w:sz w:val="26"/>
          <w:szCs w:val="26"/>
          <w:rtl/>
        </w:rPr>
        <w:t>،</w:t>
      </w:r>
      <w:r w:rsidRPr="00C3556F">
        <w:rPr>
          <w:rFonts w:ascii="mylotus" w:hAnsi="mylotus" w:cs="mylotus"/>
          <w:sz w:val="26"/>
          <w:szCs w:val="26"/>
          <w:rtl/>
        </w:rPr>
        <w:t xml:space="preserve"> المحقق جعفر بن الحسن </w:t>
      </w:r>
      <w:r w:rsidR="00217AB4" w:rsidRPr="00C3556F">
        <w:rPr>
          <w:rFonts w:ascii="mylotus" w:hAnsi="mylotus" w:cs="mylotus"/>
          <w:sz w:val="26"/>
          <w:szCs w:val="26"/>
          <w:rtl/>
        </w:rPr>
        <w:t>(</w:t>
      </w:r>
      <w:r w:rsidRPr="00C3556F">
        <w:rPr>
          <w:rFonts w:ascii="mylotus" w:hAnsi="mylotus" w:cs="mylotus"/>
          <w:sz w:val="26"/>
          <w:szCs w:val="26"/>
          <w:rtl/>
        </w:rPr>
        <w:t>676هـ</w:t>
      </w:r>
      <w:r w:rsidR="00217AB4" w:rsidRPr="00C3556F">
        <w:rPr>
          <w:rFonts w:ascii="mylotus" w:hAnsi="mylotus" w:cs="mylotus"/>
          <w:sz w:val="26"/>
          <w:szCs w:val="26"/>
          <w:rtl/>
        </w:rPr>
        <w:t>)،</w:t>
      </w:r>
      <w:r w:rsidRPr="00C3556F">
        <w:rPr>
          <w:rFonts w:ascii="mylotus" w:hAnsi="mylotus" w:cs="mylotus"/>
          <w:sz w:val="26"/>
          <w:szCs w:val="26"/>
          <w:rtl/>
        </w:rPr>
        <w:t xml:space="preserve"> «شرائع الإسلام في مسائل الحلال والحرام»</w:t>
      </w:r>
      <w:r w:rsidR="00217AB4" w:rsidRPr="00C3556F">
        <w:rPr>
          <w:rFonts w:ascii="mylotus" w:hAnsi="mylotus" w:cs="mylotus"/>
          <w:sz w:val="26"/>
          <w:szCs w:val="26"/>
          <w:rtl/>
        </w:rPr>
        <w:t>،</w:t>
      </w:r>
      <w:r w:rsidRPr="00C3556F">
        <w:rPr>
          <w:rFonts w:ascii="mylotus" w:hAnsi="mylotus" w:cs="mylotus"/>
          <w:sz w:val="26"/>
          <w:szCs w:val="26"/>
          <w:rtl/>
        </w:rPr>
        <w:t xml:space="preserve"> مطبعة الآداب</w:t>
      </w:r>
      <w:r w:rsidR="00217AB4" w:rsidRPr="00C3556F">
        <w:rPr>
          <w:rFonts w:ascii="mylotus" w:hAnsi="mylotus" w:cs="mylotus"/>
          <w:sz w:val="26"/>
          <w:szCs w:val="26"/>
          <w:rtl/>
        </w:rPr>
        <w:t>،</w:t>
      </w:r>
      <w:r w:rsidRPr="00C3556F">
        <w:rPr>
          <w:rFonts w:ascii="mylotus" w:hAnsi="mylotus" w:cs="mylotus"/>
          <w:sz w:val="26"/>
          <w:szCs w:val="26"/>
          <w:rtl/>
        </w:rPr>
        <w:t xml:space="preserve"> النجف 1389هـ</w:t>
      </w:r>
      <w:r w:rsidR="00217AB4" w:rsidRPr="00C3556F">
        <w:rPr>
          <w:rFonts w:ascii="mylotus" w:hAnsi="mylotus" w:cs="mylotus"/>
          <w:sz w:val="26"/>
          <w:szCs w:val="26"/>
          <w:rtl/>
        </w:rPr>
        <w:t>.</w:t>
      </w:r>
    </w:p>
    <w:p w:rsidR="005C664D" w:rsidRPr="00C3556F" w:rsidRDefault="005C664D" w:rsidP="00C3556F">
      <w:pPr>
        <w:widowControl w:val="0"/>
        <w:numPr>
          <w:ilvl w:val="0"/>
          <w:numId w:val="30"/>
        </w:numPr>
        <w:spacing w:line="228" w:lineRule="auto"/>
        <w:ind w:left="397" w:hanging="397"/>
        <w:jc w:val="both"/>
        <w:rPr>
          <w:rFonts w:ascii="mylotus" w:hAnsi="mylotus" w:cs="mylotus"/>
          <w:sz w:val="26"/>
          <w:szCs w:val="26"/>
          <w:rtl/>
        </w:rPr>
      </w:pPr>
      <w:r w:rsidRPr="00C3556F">
        <w:rPr>
          <w:rFonts w:ascii="mylotus" w:hAnsi="mylotus" w:cs="mylotus"/>
          <w:sz w:val="26"/>
          <w:szCs w:val="26"/>
          <w:rtl/>
        </w:rPr>
        <w:t>حيدر علي قلمداران</w:t>
      </w:r>
      <w:r w:rsidR="00217AB4" w:rsidRPr="00C3556F">
        <w:rPr>
          <w:rFonts w:ascii="mylotus" w:hAnsi="mylotus" w:cs="mylotus"/>
          <w:sz w:val="26"/>
          <w:szCs w:val="26"/>
          <w:rtl/>
        </w:rPr>
        <w:t>،</w:t>
      </w:r>
      <w:r w:rsidRPr="00C3556F">
        <w:rPr>
          <w:rFonts w:ascii="mylotus" w:hAnsi="mylotus" w:cs="mylotus"/>
          <w:sz w:val="26"/>
          <w:szCs w:val="26"/>
          <w:rtl/>
        </w:rPr>
        <w:t xml:space="preserve"> «الزكاة» </w:t>
      </w:r>
      <w:r w:rsidR="00217AB4" w:rsidRPr="00C3556F">
        <w:rPr>
          <w:rFonts w:ascii="mylotus" w:hAnsi="mylotus" w:cs="mylotus"/>
          <w:sz w:val="26"/>
          <w:szCs w:val="26"/>
          <w:rtl/>
        </w:rPr>
        <w:t>(</w:t>
      </w:r>
      <w:r w:rsidRPr="00C3556F">
        <w:rPr>
          <w:rFonts w:ascii="mylotus" w:hAnsi="mylotus" w:cs="mylotus"/>
          <w:sz w:val="26"/>
          <w:szCs w:val="26"/>
          <w:rtl/>
        </w:rPr>
        <w:t>بالفارسية</w:t>
      </w:r>
      <w:r w:rsidR="00217AB4" w:rsidRPr="00C3556F">
        <w:rPr>
          <w:rFonts w:ascii="mylotus" w:hAnsi="mylotus" w:cs="mylotus"/>
          <w:sz w:val="26"/>
          <w:szCs w:val="26"/>
          <w:rtl/>
        </w:rPr>
        <w:t>)،</w:t>
      </w:r>
      <w:r w:rsidRPr="00C3556F">
        <w:rPr>
          <w:rFonts w:ascii="mylotus" w:hAnsi="mylotus" w:cs="mylotus"/>
          <w:sz w:val="26"/>
          <w:szCs w:val="26"/>
          <w:rtl/>
        </w:rPr>
        <w:t xml:space="preserve"> قم</w:t>
      </w:r>
      <w:r w:rsidR="00217AB4" w:rsidRPr="00C3556F">
        <w:rPr>
          <w:rFonts w:ascii="mylotus" w:hAnsi="mylotus" w:cs="mylotus"/>
          <w:sz w:val="26"/>
          <w:szCs w:val="26"/>
          <w:rtl/>
        </w:rPr>
        <w:t>.</w:t>
      </w:r>
      <w:r w:rsidRPr="00C3556F">
        <w:rPr>
          <w:rFonts w:ascii="mylotus" w:hAnsi="mylotus" w:cs="mylotus"/>
          <w:sz w:val="26"/>
          <w:szCs w:val="26"/>
          <w:rtl/>
        </w:rPr>
        <w:t xml:space="preserve"> </w:t>
      </w:r>
    </w:p>
    <w:p w:rsidR="005C664D" w:rsidRPr="00C3556F" w:rsidRDefault="005C664D" w:rsidP="00C3556F">
      <w:pPr>
        <w:widowControl w:val="0"/>
        <w:numPr>
          <w:ilvl w:val="0"/>
          <w:numId w:val="30"/>
        </w:numPr>
        <w:spacing w:line="228" w:lineRule="auto"/>
        <w:ind w:left="397" w:hanging="397"/>
        <w:jc w:val="both"/>
        <w:rPr>
          <w:rFonts w:ascii="mylotus" w:hAnsi="mylotus" w:cs="mylotus"/>
          <w:sz w:val="26"/>
          <w:szCs w:val="26"/>
          <w:rtl/>
        </w:rPr>
      </w:pPr>
      <w:r w:rsidRPr="00C3556F">
        <w:rPr>
          <w:rFonts w:ascii="mylotus" w:hAnsi="mylotus" w:cs="mylotus"/>
          <w:sz w:val="26"/>
          <w:szCs w:val="26"/>
          <w:rtl/>
        </w:rPr>
        <w:t>السبزواري</w:t>
      </w:r>
      <w:r w:rsidR="00217AB4" w:rsidRPr="00C3556F">
        <w:rPr>
          <w:rFonts w:ascii="mylotus" w:hAnsi="mylotus" w:cs="mylotus"/>
          <w:sz w:val="26"/>
          <w:szCs w:val="26"/>
          <w:rtl/>
        </w:rPr>
        <w:t>،</w:t>
      </w:r>
      <w:r w:rsidRPr="00C3556F">
        <w:rPr>
          <w:rFonts w:ascii="mylotus" w:hAnsi="mylotus" w:cs="mylotus"/>
          <w:sz w:val="26"/>
          <w:szCs w:val="26"/>
          <w:rtl/>
        </w:rPr>
        <w:t xml:space="preserve"> المحقق الملا محمد باقر </w:t>
      </w:r>
      <w:r w:rsidR="00217AB4" w:rsidRPr="00C3556F">
        <w:rPr>
          <w:rFonts w:ascii="mylotus" w:hAnsi="mylotus" w:cs="mylotus"/>
          <w:sz w:val="26"/>
          <w:szCs w:val="26"/>
          <w:rtl/>
        </w:rPr>
        <w:t>(</w:t>
      </w:r>
      <w:r w:rsidRPr="00C3556F">
        <w:rPr>
          <w:rFonts w:ascii="mylotus" w:hAnsi="mylotus" w:cs="mylotus"/>
          <w:sz w:val="26"/>
          <w:szCs w:val="26"/>
          <w:rtl/>
        </w:rPr>
        <w:t>1090هـ</w:t>
      </w:r>
      <w:r w:rsidR="00217AB4" w:rsidRPr="00C3556F">
        <w:rPr>
          <w:rFonts w:ascii="mylotus" w:hAnsi="mylotus" w:cs="mylotus"/>
          <w:sz w:val="26"/>
          <w:szCs w:val="26"/>
          <w:rtl/>
        </w:rPr>
        <w:t>)،</w:t>
      </w:r>
      <w:r w:rsidRPr="00C3556F">
        <w:rPr>
          <w:rFonts w:ascii="mylotus" w:hAnsi="mylotus" w:cs="mylotus"/>
          <w:sz w:val="26"/>
          <w:szCs w:val="26"/>
          <w:rtl/>
        </w:rPr>
        <w:t xml:space="preserve"> «ذخيرة المعاد»</w:t>
      </w:r>
      <w:r w:rsidR="00217AB4" w:rsidRPr="00C3556F">
        <w:rPr>
          <w:rFonts w:ascii="mylotus" w:hAnsi="mylotus" w:cs="mylotus"/>
          <w:sz w:val="26"/>
          <w:szCs w:val="26"/>
          <w:rtl/>
        </w:rPr>
        <w:t>،</w:t>
      </w:r>
      <w:r w:rsidRPr="00C3556F">
        <w:rPr>
          <w:rFonts w:ascii="mylotus" w:hAnsi="mylotus" w:cs="mylotus"/>
          <w:sz w:val="26"/>
          <w:szCs w:val="26"/>
          <w:rtl/>
        </w:rPr>
        <w:t xml:space="preserve"> طبعة حجرية</w:t>
      </w:r>
      <w:r w:rsidR="00217AB4" w:rsidRPr="00C3556F">
        <w:rPr>
          <w:rFonts w:ascii="mylotus" w:hAnsi="mylotus" w:cs="mylotus"/>
          <w:sz w:val="26"/>
          <w:szCs w:val="26"/>
          <w:rtl/>
        </w:rPr>
        <w:t>،</w:t>
      </w:r>
      <w:r w:rsidRPr="00C3556F">
        <w:rPr>
          <w:rFonts w:ascii="mylotus" w:hAnsi="mylotus" w:cs="mylotus"/>
          <w:sz w:val="26"/>
          <w:szCs w:val="26"/>
          <w:rtl/>
        </w:rPr>
        <w:t xml:space="preserve"> قم</w:t>
      </w:r>
      <w:r w:rsidR="00217AB4" w:rsidRPr="00C3556F">
        <w:rPr>
          <w:rFonts w:ascii="mylotus" w:hAnsi="mylotus" w:cs="mylotus"/>
          <w:sz w:val="26"/>
          <w:szCs w:val="26"/>
          <w:rtl/>
        </w:rPr>
        <w:t>،</w:t>
      </w:r>
      <w:r w:rsidRPr="00C3556F">
        <w:rPr>
          <w:rFonts w:ascii="mylotus" w:hAnsi="mylotus" w:cs="mylotus"/>
          <w:sz w:val="26"/>
          <w:szCs w:val="26"/>
          <w:rtl/>
        </w:rPr>
        <w:t xml:space="preserve"> مؤسسة آل البيت </w:t>
      </w:r>
      <w:r w:rsidR="00963EFD" w:rsidRPr="00963EFD">
        <w:rPr>
          <w:rFonts w:ascii="mylotus" w:hAnsi="mylotus" w:cs="CTraditional Arabic"/>
          <w:sz w:val="26"/>
          <w:szCs w:val="26"/>
          <w:rtl/>
        </w:rPr>
        <w:t>‡</w:t>
      </w:r>
      <w:r w:rsidRPr="00C3556F">
        <w:rPr>
          <w:rFonts w:ascii="mylotus" w:hAnsi="mylotus" w:cs="mylotus"/>
          <w:sz w:val="26"/>
          <w:szCs w:val="26"/>
          <w:rtl/>
        </w:rPr>
        <w:t xml:space="preserve"> لإحياء التراث</w:t>
      </w:r>
      <w:r w:rsidR="00217AB4" w:rsidRPr="00C3556F">
        <w:rPr>
          <w:rFonts w:ascii="mylotus" w:hAnsi="mylotus" w:cs="mylotus"/>
          <w:sz w:val="26"/>
          <w:szCs w:val="26"/>
          <w:rtl/>
        </w:rPr>
        <w:t>.</w:t>
      </w:r>
      <w:r w:rsidRPr="00C3556F">
        <w:rPr>
          <w:rFonts w:ascii="mylotus" w:hAnsi="mylotus" w:cs="mylotus"/>
          <w:sz w:val="26"/>
          <w:szCs w:val="26"/>
          <w:rtl/>
        </w:rPr>
        <w:t xml:space="preserve"> </w:t>
      </w:r>
    </w:p>
    <w:p w:rsidR="005C664D" w:rsidRPr="00C3556F" w:rsidRDefault="005C664D" w:rsidP="00F90700">
      <w:pPr>
        <w:widowControl w:val="0"/>
        <w:numPr>
          <w:ilvl w:val="0"/>
          <w:numId w:val="30"/>
        </w:numPr>
        <w:spacing w:line="228" w:lineRule="auto"/>
        <w:ind w:left="397" w:hanging="397"/>
        <w:jc w:val="both"/>
        <w:rPr>
          <w:rFonts w:ascii="mylotus" w:hAnsi="mylotus" w:cs="mylotus"/>
          <w:sz w:val="26"/>
          <w:szCs w:val="26"/>
          <w:rtl/>
        </w:rPr>
      </w:pPr>
      <w:r w:rsidRPr="00C3556F">
        <w:rPr>
          <w:rFonts w:ascii="mylotus" w:hAnsi="mylotus" w:cs="mylotus"/>
          <w:sz w:val="26"/>
          <w:szCs w:val="26"/>
          <w:rtl/>
        </w:rPr>
        <w:t>الشافعي</w:t>
      </w:r>
      <w:r w:rsidR="00217AB4" w:rsidRPr="00C3556F">
        <w:rPr>
          <w:rFonts w:ascii="mylotus" w:hAnsi="mylotus" w:cs="mylotus"/>
          <w:sz w:val="26"/>
          <w:szCs w:val="26"/>
          <w:rtl/>
        </w:rPr>
        <w:t>،</w:t>
      </w:r>
      <w:r w:rsidRPr="00C3556F">
        <w:rPr>
          <w:rFonts w:ascii="mylotus" w:hAnsi="mylotus" w:cs="mylotus"/>
          <w:sz w:val="26"/>
          <w:szCs w:val="26"/>
          <w:rtl/>
        </w:rPr>
        <w:t xml:space="preserve"> الإمام محمد بن إدريس </w:t>
      </w:r>
      <w:r w:rsidR="00217AB4" w:rsidRPr="00C3556F">
        <w:rPr>
          <w:rFonts w:ascii="mylotus" w:hAnsi="mylotus" w:cs="mylotus"/>
          <w:sz w:val="26"/>
          <w:szCs w:val="26"/>
          <w:rtl/>
        </w:rPr>
        <w:t>(</w:t>
      </w:r>
      <w:r w:rsidRPr="00C3556F">
        <w:rPr>
          <w:rFonts w:ascii="mylotus" w:hAnsi="mylotus" w:cs="mylotus"/>
          <w:sz w:val="26"/>
          <w:szCs w:val="26"/>
          <w:rtl/>
        </w:rPr>
        <w:t>204هـ</w:t>
      </w:r>
      <w:r w:rsidR="00217AB4" w:rsidRPr="00C3556F">
        <w:rPr>
          <w:rFonts w:ascii="mylotus" w:hAnsi="mylotus" w:cs="mylotus"/>
          <w:sz w:val="26"/>
          <w:szCs w:val="26"/>
          <w:rtl/>
        </w:rPr>
        <w:t>)،</w:t>
      </w:r>
      <w:r w:rsidRPr="00C3556F">
        <w:rPr>
          <w:rFonts w:ascii="mylotus" w:hAnsi="mylotus" w:cs="mylotus"/>
          <w:sz w:val="26"/>
          <w:szCs w:val="26"/>
          <w:rtl/>
        </w:rPr>
        <w:t xml:space="preserve"> </w:t>
      </w:r>
      <w:r w:rsidR="00F90700">
        <w:rPr>
          <w:rFonts w:ascii="mylotus" w:hAnsi="mylotus" w:cs="mylotus" w:hint="cs"/>
          <w:sz w:val="26"/>
          <w:szCs w:val="26"/>
          <w:rtl/>
          <w:lang w:bidi="fa-IR"/>
        </w:rPr>
        <w:t>«</w:t>
      </w:r>
      <w:r w:rsidR="00F90700">
        <w:rPr>
          <w:rFonts w:ascii="mylotus" w:hAnsi="mylotus" w:cs="mylotus"/>
          <w:sz w:val="26"/>
          <w:szCs w:val="26"/>
          <w:rtl/>
        </w:rPr>
        <w:t xml:space="preserve">الأم» </w:t>
      </w:r>
      <w:r w:rsidR="00F90700">
        <w:rPr>
          <w:rFonts w:ascii="mylotus" w:hAnsi="mylotus" w:cs="mylotus" w:hint="cs"/>
          <w:sz w:val="26"/>
          <w:szCs w:val="26"/>
          <w:rtl/>
          <w:lang w:bidi="fa-IR"/>
        </w:rPr>
        <w:t>«</w:t>
      </w:r>
      <w:r w:rsidRPr="00C3556F">
        <w:rPr>
          <w:rFonts w:ascii="mylotus" w:hAnsi="mylotus" w:cs="mylotus"/>
          <w:sz w:val="26"/>
          <w:szCs w:val="26"/>
          <w:rtl/>
        </w:rPr>
        <w:t>برواية الربيع بن سليمان المراد</w:t>
      </w:r>
      <w:r w:rsidRPr="00F90700">
        <w:rPr>
          <w:rFonts w:ascii="mylotus" w:hAnsi="mylotus" w:cs="mylotus"/>
          <w:sz w:val="26"/>
          <w:szCs w:val="26"/>
          <w:rtl/>
        </w:rPr>
        <w:t>ي</w:t>
      </w:r>
      <w:r w:rsidR="00F90700" w:rsidRPr="00F90700">
        <w:rPr>
          <w:rFonts w:ascii="mylotus" w:hAnsi="mylotus" w:cs="mylotus"/>
          <w:sz w:val="26"/>
          <w:szCs w:val="26"/>
          <w:rtl/>
          <w:lang w:bidi="fa-IR"/>
        </w:rPr>
        <w:t>»</w:t>
      </w:r>
      <w:r w:rsidRPr="00C3556F">
        <w:rPr>
          <w:rFonts w:ascii="mylotus" w:hAnsi="mylotus" w:cs="mylotus"/>
          <w:sz w:val="26"/>
          <w:szCs w:val="26"/>
          <w:rtl/>
        </w:rPr>
        <w:t xml:space="preserve"> القاهرة</w:t>
      </w:r>
      <w:r w:rsidR="00217AB4" w:rsidRPr="00C3556F">
        <w:rPr>
          <w:rFonts w:ascii="mylotus" w:hAnsi="mylotus" w:cs="mylotus"/>
          <w:sz w:val="26"/>
          <w:szCs w:val="26"/>
          <w:rtl/>
        </w:rPr>
        <w:t>،</w:t>
      </w:r>
      <w:r w:rsidRPr="00C3556F">
        <w:rPr>
          <w:rFonts w:ascii="mylotus" w:hAnsi="mylotus" w:cs="mylotus"/>
          <w:sz w:val="26"/>
          <w:szCs w:val="26"/>
          <w:rtl/>
        </w:rPr>
        <w:t xml:space="preserve"> مطبعة بولاق</w:t>
      </w:r>
      <w:r w:rsidR="00217AB4" w:rsidRPr="00C3556F">
        <w:rPr>
          <w:rFonts w:ascii="mylotus" w:hAnsi="mylotus" w:cs="mylotus"/>
          <w:sz w:val="26"/>
          <w:szCs w:val="26"/>
          <w:rtl/>
        </w:rPr>
        <w:t>،</w:t>
      </w:r>
      <w:r w:rsidRPr="00C3556F">
        <w:rPr>
          <w:rFonts w:ascii="mylotus" w:hAnsi="mylotus" w:cs="mylotus"/>
          <w:sz w:val="26"/>
          <w:szCs w:val="26"/>
          <w:rtl/>
        </w:rPr>
        <w:t xml:space="preserve"> 1325 هـ</w:t>
      </w:r>
      <w:r w:rsidR="00217AB4" w:rsidRPr="00C3556F">
        <w:rPr>
          <w:rFonts w:ascii="mylotus" w:hAnsi="mylotus" w:cs="mylotus"/>
          <w:sz w:val="26"/>
          <w:szCs w:val="26"/>
          <w:rtl/>
        </w:rPr>
        <w:t>.</w:t>
      </w:r>
      <w:r w:rsidRPr="00C3556F">
        <w:rPr>
          <w:rFonts w:ascii="mylotus" w:hAnsi="mylotus" w:cs="mylotus"/>
          <w:sz w:val="26"/>
          <w:szCs w:val="26"/>
          <w:rtl/>
        </w:rPr>
        <w:t xml:space="preserve"> </w:t>
      </w:r>
    </w:p>
    <w:p w:rsidR="005C664D" w:rsidRPr="00C3556F" w:rsidRDefault="005C664D" w:rsidP="00C3556F">
      <w:pPr>
        <w:widowControl w:val="0"/>
        <w:numPr>
          <w:ilvl w:val="0"/>
          <w:numId w:val="30"/>
        </w:numPr>
        <w:spacing w:line="228" w:lineRule="auto"/>
        <w:ind w:left="397" w:hanging="397"/>
        <w:jc w:val="both"/>
        <w:rPr>
          <w:rFonts w:ascii="mylotus" w:hAnsi="mylotus" w:cs="mylotus"/>
          <w:sz w:val="26"/>
          <w:szCs w:val="26"/>
          <w:rtl/>
        </w:rPr>
      </w:pPr>
      <w:r w:rsidRPr="00C3556F">
        <w:rPr>
          <w:rFonts w:ascii="mylotus" w:hAnsi="mylotus" w:cs="mylotus"/>
          <w:sz w:val="26"/>
          <w:szCs w:val="26"/>
          <w:rtl/>
        </w:rPr>
        <w:t>الشهيد الأول</w:t>
      </w:r>
      <w:r w:rsidR="00217AB4" w:rsidRPr="00C3556F">
        <w:rPr>
          <w:rFonts w:ascii="mylotus" w:hAnsi="mylotus" w:cs="mylotus"/>
          <w:sz w:val="26"/>
          <w:szCs w:val="26"/>
          <w:rtl/>
        </w:rPr>
        <w:t>،</w:t>
      </w:r>
      <w:r w:rsidRPr="00C3556F">
        <w:rPr>
          <w:rFonts w:ascii="mylotus" w:hAnsi="mylotus" w:cs="mylotus"/>
          <w:sz w:val="26"/>
          <w:szCs w:val="26"/>
          <w:rtl/>
        </w:rPr>
        <w:t xml:space="preserve"> محمد بن مكى العاملي النبطي الجزينى</w:t>
      </w:r>
      <w:r w:rsidR="00217AB4" w:rsidRPr="00C3556F">
        <w:rPr>
          <w:rFonts w:ascii="mylotus" w:hAnsi="mylotus" w:cs="mylotus"/>
          <w:sz w:val="26"/>
          <w:szCs w:val="26"/>
          <w:rtl/>
        </w:rPr>
        <w:t>،</w:t>
      </w:r>
      <w:r w:rsidRPr="00C3556F">
        <w:rPr>
          <w:rFonts w:ascii="mylotus" w:hAnsi="mylotus" w:cs="mylotus"/>
          <w:sz w:val="26"/>
          <w:szCs w:val="26"/>
          <w:rtl/>
        </w:rPr>
        <w:t xml:space="preserve"> شمس الدين </w:t>
      </w:r>
      <w:r w:rsidR="00217AB4" w:rsidRPr="00C3556F">
        <w:rPr>
          <w:rFonts w:ascii="mylotus" w:hAnsi="mylotus" w:cs="mylotus"/>
          <w:sz w:val="26"/>
          <w:szCs w:val="26"/>
          <w:rtl/>
        </w:rPr>
        <w:t>(</w:t>
      </w:r>
      <w:r w:rsidRPr="00C3556F">
        <w:rPr>
          <w:rFonts w:ascii="mylotus" w:hAnsi="mylotus" w:cs="mylotus"/>
          <w:sz w:val="26"/>
          <w:szCs w:val="26"/>
          <w:rtl/>
        </w:rPr>
        <w:t>786هـ</w:t>
      </w:r>
      <w:r w:rsidR="00217AB4" w:rsidRPr="00C3556F">
        <w:rPr>
          <w:rFonts w:ascii="mylotus" w:hAnsi="mylotus" w:cs="mylotus"/>
          <w:sz w:val="26"/>
          <w:szCs w:val="26"/>
          <w:rtl/>
        </w:rPr>
        <w:t>)،</w:t>
      </w:r>
      <w:r w:rsidRPr="00C3556F">
        <w:rPr>
          <w:rFonts w:ascii="mylotus" w:hAnsi="mylotus" w:cs="mylotus"/>
          <w:sz w:val="26"/>
          <w:szCs w:val="26"/>
          <w:rtl/>
        </w:rPr>
        <w:t xml:space="preserve"> «الذكرى»</w:t>
      </w:r>
      <w:r w:rsidR="00217AB4" w:rsidRPr="00C3556F">
        <w:rPr>
          <w:rFonts w:ascii="mylotus" w:hAnsi="mylotus" w:cs="mylotus"/>
          <w:sz w:val="26"/>
          <w:szCs w:val="26"/>
          <w:rtl/>
        </w:rPr>
        <w:t>.</w:t>
      </w:r>
      <w:r w:rsidRPr="00C3556F">
        <w:rPr>
          <w:rFonts w:ascii="mylotus" w:hAnsi="mylotus" w:cs="mylotus"/>
          <w:sz w:val="26"/>
          <w:szCs w:val="26"/>
          <w:rtl/>
        </w:rPr>
        <w:t xml:space="preserve"> </w:t>
      </w:r>
    </w:p>
    <w:p w:rsidR="005C664D" w:rsidRPr="00C3556F" w:rsidRDefault="005C664D" w:rsidP="00C3556F">
      <w:pPr>
        <w:widowControl w:val="0"/>
        <w:numPr>
          <w:ilvl w:val="0"/>
          <w:numId w:val="30"/>
        </w:numPr>
        <w:spacing w:line="228" w:lineRule="auto"/>
        <w:ind w:left="397" w:hanging="397"/>
        <w:jc w:val="both"/>
        <w:rPr>
          <w:rFonts w:ascii="mylotus" w:hAnsi="mylotus" w:cs="mylotus"/>
          <w:sz w:val="26"/>
          <w:szCs w:val="26"/>
          <w:rtl/>
        </w:rPr>
      </w:pPr>
      <w:r w:rsidRPr="00C3556F">
        <w:rPr>
          <w:rFonts w:ascii="mylotus" w:hAnsi="mylotus" w:cs="mylotus"/>
          <w:sz w:val="26"/>
          <w:szCs w:val="26"/>
          <w:rtl/>
        </w:rPr>
        <w:t>الشهيد الثاني</w:t>
      </w:r>
      <w:r w:rsidR="00217AB4" w:rsidRPr="00C3556F">
        <w:rPr>
          <w:rFonts w:ascii="mylotus" w:hAnsi="mylotus" w:cs="mylotus"/>
          <w:sz w:val="26"/>
          <w:szCs w:val="26"/>
          <w:rtl/>
        </w:rPr>
        <w:t>،</w:t>
      </w:r>
      <w:r w:rsidRPr="00C3556F">
        <w:rPr>
          <w:rFonts w:ascii="mylotus" w:hAnsi="mylotus" w:cs="mylotus"/>
          <w:sz w:val="26"/>
          <w:szCs w:val="26"/>
          <w:rtl/>
        </w:rPr>
        <w:t xml:space="preserve"> زين الدين بن علي بن أحمد العاملي الجبعي </w:t>
      </w:r>
      <w:r w:rsidR="00217AB4" w:rsidRPr="00C3556F">
        <w:rPr>
          <w:rFonts w:ascii="mylotus" w:hAnsi="mylotus" w:cs="mylotus"/>
          <w:sz w:val="26"/>
          <w:szCs w:val="26"/>
          <w:rtl/>
        </w:rPr>
        <w:t>(</w:t>
      </w:r>
      <w:r w:rsidRPr="00C3556F">
        <w:rPr>
          <w:rFonts w:ascii="mylotus" w:hAnsi="mylotus" w:cs="mylotus"/>
          <w:sz w:val="26"/>
          <w:szCs w:val="26"/>
          <w:rtl/>
        </w:rPr>
        <w:t xml:space="preserve">911 </w:t>
      </w:r>
      <w:r w:rsidRPr="00C3556F">
        <w:rPr>
          <w:rFonts w:cs="Times New Roman" w:hint="cs"/>
          <w:sz w:val="26"/>
          <w:szCs w:val="26"/>
          <w:rtl/>
        </w:rPr>
        <w:t>–</w:t>
      </w:r>
      <w:r w:rsidRPr="00C3556F">
        <w:rPr>
          <w:rFonts w:ascii="mylotus" w:hAnsi="mylotus" w:cs="mylotus"/>
          <w:sz w:val="26"/>
          <w:szCs w:val="26"/>
          <w:rtl/>
        </w:rPr>
        <w:t xml:space="preserve"> 966هـ</w:t>
      </w:r>
      <w:r w:rsidR="00217AB4" w:rsidRPr="00C3556F">
        <w:rPr>
          <w:rFonts w:ascii="mylotus" w:hAnsi="mylotus" w:cs="mylotus"/>
          <w:sz w:val="26"/>
          <w:szCs w:val="26"/>
          <w:rtl/>
        </w:rPr>
        <w:t>)</w:t>
      </w:r>
      <w:r w:rsidRPr="00C3556F">
        <w:rPr>
          <w:rFonts w:ascii="mylotus" w:hAnsi="mylotus" w:cs="mylotus"/>
          <w:sz w:val="26"/>
          <w:szCs w:val="26"/>
          <w:rtl/>
        </w:rPr>
        <w:t xml:space="preserve"> «مسالك الأفهام إلى شرائع الإسلام»</w:t>
      </w:r>
      <w:r w:rsidR="00217AB4" w:rsidRPr="00C3556F">
        <w:rPr>
          <w:rFonts w:ascii="mylotus" w:hAnsi="mylotus" w:cs="mylotus"/>
          <w:sz w:val="26"/>
          <w:szCs w:val="26"/>
          <w:rtl/>
        </w:rPr>
        <w:t>.</w:t>
      </w:r>
      <w:r w:rsidRPr="00C3556F">
        <w:rPr>
          <w:rFonts w:ascii="mylotus" w:hAnsi="mylotus" w:cs="mylotus"/>
          <w:sz w:val="26"/>
          <w:szCs w:val="26"/>
          <w:rtl/>
        </w:rPr>
        <w:t xml:space="preserve"> </w:t>
      </w:r>
    </w:p>
    <w:p w:rsidR="005C664D" w:rsidRPr="00C3556F" w:rsidRDefault="005C664D" w:rsidP="00C3556F">
      <w:pPr>
        <w:widowControl w:val="0"/>
        <w:numPr>
          <w:ilvl w:val="0"/>
          <w:numId w:val="30"/>
        </w:numPr>
        <w:spacing w:line="228" w:lineRule="auto"/>
        <w:ind w:left="397" w:hanging="397"/>
        <w:jc w:val="both"/>
        <w:rPr>
          <w:rFonts w:ascii="mylotus" w:hAnsi="mylotus" w:cs="mylotus"/>
          <w:sz w:val="26"/>
          <w:szCs w:val="26"/>
          <w:rtl/>
        </w:rPr>
      </w:pPr>
      <w:r w:rsidRPr="00C3556F">
        <w:rPr>
          <w:rFonts w:ascii="mylotus" w:hAnsi="mylotus" w:cs="mylotus"/>
          <w:sz w:val="26"/>
          <w:szCs w:val="26"/>
          <w:rtl/>
        </w:rPr>
        <w:t>صاحب المدارك</w:t>
      </w:r>
      <w:r w:rsidR="00217AB4" w:rsidRPr="00C3556F">
        <w:rPr>
          <w:rFonts w:ascii="mylotus" w:hAnsi="mylotus" w:cs="mylotus"/>
          <w:sz w:val="26"/>
          <w:szCs w:val="26"/>
          <w:rtl/>
        </w:rPr>
        <w:t>،</w:t>
      </w:r>
      <w:r w:rsidRPr="00C3556F">
        <w:rPr>
          <w:rFonts w:ascii="mylotus" w:hAnsi="mylotus" w:cs="mylotus"/>
          <w:sz w:val="26"/>
          <w:szCs w:val="26"/>
          <w:rtl/>
        </w:rPr>
        <w:t xml:space="preserve"> الفقيه المحقِّق السيد محمد بن علي الموسوي العاملي </w:t>
      </w:r>
      <w:r w:rsidR="00217AB4" w:rsidRPr="00C3556F">
        <w:rPr>
          <w:rFonts w:ascii="mylotus" w:hAnsi="mylotus" w:cs="mylotus"/>
          <w:sz w:val="26"/>
          <w:szCs w:val="26"/>
          <w:rtl/>
        </w:rPr>
        <w:t>(</w:t>
      </w:r>
      <w:r w:rsidRPr="00C3556F">
        <w:rPr>
          <w:rFonts w:ascii="mylotus" w:hAnsi="mylotus" w:cs="mylotus"/>
          <w:sz w:val="26"/>
          <w:szCs w:val="26"/>
          <w:rtl/>
        </w:rPr>
        <w:t>1009هـ</w:t>
      </w:r>
      <w:r w:rsidR="00217AB4" w:rsidRPr="00C3556F">
        <w:rPr>
          <w:rFonts w:ascii="mylotus" w:hAnsi="mylotus" w:cs="mylotus"/>
          <w:sz w:val="26"/>
          <w:szCs w:val="26"/>
          <w:rtl/>
        </w:rPr>
        <w:t>)،</w:t>
      </w:r>
      <w:r w:rsidRPr="00C3556F">
        <w:rPr>
          <w:rFonts w:ascii="mylotus" w:hAnsi="mylotus" w:cs="mylotus"/>
          <w:sz w:val="26"/>
          <w:szCs w:val="26"/>
          <w:rtl/>
        </w:rPr>
        <w:t xml:space="preserve"> «مدارك الأحكام في شرح شرائع الإسلام» </w:t>
      </w:r>
      <w:r w:rsidR="00217AB4" w:rsidRPr="00C3556F">
        <w:rPr>
          <w:rFonts w:ascii="mylotus" w:hAnsi="mylotus" w:cs="mylotus"/>
          <w:sz w:val="26"/>
          <w:szCs w:val="26"/>
          <w:rtl/>
        </w:rPr>
        <w:t>(</w:t>
      </w:r>
      <w:r w:rsidRPr="00C3556F">
        <w:rPr>
          <w:rFonts w:ascii="mylotus" w:hAnsi="mylotus" w:cs="mylotus"/>
          <w:sz w:val="26"/>
          <w:szCs w:val="26"/>
          <w:rtl/>
        </w:rPr>
        <w:t>شرح كتاب شرائع الإسلام للمحقق الحليّ</w:t>
      </w:r>
      <w:r w:rsidR="00217AB4" w:rsidRPr="00C3556F">
        <w:rPr>
          <w:rFonts w:ascii="mylotus" w:hAnsi="mylotus" w:cs="mylotus"/>
          <w:sz w:val="26"/>
          <w:szCs w:val="26"/>
          <w:rtl/>
        </w:rPr>
        <w:t>)،</w:t>
      </w:r>
      <w:r w:rsidRPr="00C3556F">
        <w:rPr>
          <w:rFonts w:ascii="mylotus" w:hAnsi="mylotus" w:cs="mylotus"/>
          <w:sz w:val="26"/>
          <w:szCs w:val="26"/>
          <w:rtl/>
        </w:rPr>
        <w:t xml:space="preserve"> قم</w:t>
      </w:r>
      <w:r w:rsidR="00217AB4" w:rsidRPr="00C3556F">
        <w:rPr>
          <w:rFonts w:ascii="mylotus" w:hAnsi="mylotus" w:cs="mylotus"/>
          <w:sz w:val="26"/>
          <w:szCs w:val="26"/>
          <w:rtl/>
        </w:rPr>
        <w:t>:</w:t>
      </w:r>
      <w:r w:rsidRPr="00C3556F">
        <w:rPr>
          <w:rFonts w:ascii="mylotus" w:hAnsi="mylotus" w:cs="mylotus"/>
          <w:sz w:val="26"/>
          <w:szCs w:val="26"/>
          <w:rtl/>
        </w:rPr>
        <w:t xml:space="preserve"> مؤسسة آل البيت لإحياء التراث</w:t>
      </w:r>
      <w:r w:rsidR="00217AB4" w:rsidRPr="00C3556F">
        <w:rPr>
          <w:rFonts w:ascii="mylotus" w:hAnsi="mylotus" w:cs="mylotus"/>
          <w:sz w:val="26"/>
          <w:szCs w:val="26"/>
          <w:rtl/>
        </w:rPr>
        <w:t>،</w:t>
      </w:r>
      <w:r w:rsidRPr="00C3556F">
        <w:rPr>
          <w:rFonts w:ascii="mylotus" w:hAnsi="mylotus" w:cs="mylotus"/>
          <w:sz w:val="26"/>
          <w:szCs w:val="26"/>
          <w:rtl/>
        </w:rPr>
        <w:t xml:space="preserve"> 1410هـ</w:t>
      </w:r>
      <w:r w:rsidR="00217AB4" w:rsidRPr="00C3556F">
        <w:rPr>
          <w:rFonts w:ascii="mylotus" w:hAnsi="mylotus" w:cs="mylotus"/>
          <w:sz w:val="26"/>
          <w:szCs w:val="26"/>
          <w:rtl/>
        </w:rPr>
        <w:t>.</w:t>
      </w:r>
      <w:r w:rsidRPr="00C3556F">
        <w:rPr>
          <w:rFonts w:ascii="mylotus" w:hAnsi="mylotus" w:cs="mylotus"/>
          <w:sz w:val="26"/>
          <w:szCs w:val="26"/>
          <w:rtl/>
        </w:rPr>
        <w:t xml:space="preserve"> </w:t>
      </w:r>
    </w:p>
    <w:p w:rsidR="005C664D" w:rsidRPr="00C3556F" w:rsidRDefault="005C664D" w:rsidP="00C3556F">
      <w:pPr>
        <w:widowControl w:val="0"/>
        <w:numPr>
          <w:ilvl w:val="0"/>
          <w:numId w:val="30"/>
        </w:numPr>
        <w:spacing w:line="228" w:lineRule="auto"/>
        <w:ind w:left="397" w:hanging="397"/>
        <w:jc w:val="both"/>
        <w:rPr>
          <w:rFonts w:ascii="mylotus" w:hAnsi="mylotus" w:cs="mylotus"/>
          <w:sz w:val="26"/>
          <w:szCs w:val="26"/>
          <w:rtl/>
        </w:rPr>
      </w:pPr>
      <w:r w:rsidRPr="00C3556F">
        <w:rPr>
          <w:rFonts w:ascii="mylotus" w:hAnsi="mylotus" w:cs="mylotus"/>
          <w:sz w:val="26"/>
          <w:szCs w:val="26"/>
          <w:rtl/>
        </w:rPr>
        <w:t>الطوسي</w:t>
      </w:r>
      <w:r w:rsidR="00217AB4" w:rsidRPr="00C3556F">
        <w:rPr>
          <w:rFonts w:ascii="mylotus" w:hAnsi="mylotus" w:cs="mylotus"/>
          <w:sz w:val="26"/>
          <w:szCs w:val="26"/>
          <w:rtl/>
        </w:rPr>
        <w:t>،</w:t>
      </w:r>
      <w:r w:rsidRPr="00C3556F">
        <w:rPr>
          <w:rFonts w:ascii="mylotus" w:hAnsi="mylotus" w:cs="mylotus"/>
          <w:sz w:val="26"/>
          <w:szCs w:val="26"/>
          <w:rtl/>
        </w:rPr>
        <w:t xml:space="preserve"> شيخ الطائفة أبو جعفر محمد بن الحسن الطوسي </w:t>
      </w:r>
      <w:r w:rsidR="00217AB4" w:rsidRPr="00C3556F">
        <w:rPr>
          <w:rFonts w:ascii="mylotus" w:hAnsi="mylotus" w:cs="mylotus"/>
          <w:sz w:val="26"/>
          <w:szCs w:val="26"/>
          <w:rtl/>
        </w:rPr>
        <w:t>(</w:t>
      </w:r>
      <w:r w:rsidRPr="00C3556F">
        <w:rPr>
          <w:rFonts w:ascii="mylotus" w:hAnsi="mylotus" w:cs="mylotus"/>
          <w:sz w:val="26"/>
          <w:szCs w:val="26"/>
          <w:rtl/>
        </w:rPr>
        <w:t>460 هـ</w:t>
      </w:r>
      <w:r w:rsidR="00217AB4" w:rsidRPr="00C3556F">
        <w:rPr>
          <w:rFonts w:ascii="mylotus" w:hAnsi="mylotus" w:cs="mylotus"/>
          <w:sz w:val="26"/>
          <w:szCs w:val="26"/>
          <w:rtl/>
        </w:rPr>
        <w:t>)،</w:t>
      </w:r>
      <w:r w:rsidRPr="00C3556F">
        <w:rPr>
          <w:rFonts w:ascii="mylotus" w:hAnsi="mylotus" w:cs="mylotus"/>
          <w:sz w:val="26"/>
          <w:szCs w:val="26"/>
          <w:rtl/>
        </w:rPr>
        <w:t xml:space="preserve"> «الخلاف»</w:t>
      </w:r>
      <w:r w:rsidR="00217AB4" w:rsidRPr="00C3556F">
        <w:rPr>
          <w:rFonts w:ascii="mylotus" w:hAnsi="mylotus" w:cs="mylotus"/>
          <w:sz w:val="26"/>
          <w:szCs w:val="26"/>
          <w:rtl/>
        </w:rPr>
        <w:t>.</w:t>
      </w:r>
    </w:p>
    <w:p w:rsidR="005C664D" w:rsidRPr="00C3556F" w:rsidRDefault="005C664D" w:rsidP="00C3556F">
      <w:pPr>
        <w:widowControl w:val="0"/>
        <w:numPr>
          <w:ilvl w:val="0"/>
          <w:numId w:val="30"/>
        </w:numPr>
        <w:spacing w:line="228" w:lineRule="auto"/>
        <w:ind w:left="397" w:hanging="397"/>
        <w:jc w:val="both"/>
        <w:rPr>
          <w:rFonts w:ascii="mylotus" w:hAnsi="mylotus" w:cs="mylotus"/>
          <w:sz w:val="26"/>
          <w:szCs w:val="26"/>
          <w:rtl/>
        </w:rPr>
      </w:pPr>
      <w:r w:rsidRPr="00C3556F">
        <w:rPr>
          <w:rFonts w:ascii="mylotus" w:hAnsi="mylotus" w:cs="mylotus"/>
          <w:sz w:val="26"/>
          <w:szCs w:val="26"/>
          <w:rtl/>
        </w:rPr>
        <w:t>الطوسي</w:t>
      </w:r>
      <w:r w:rsidR="00217AB4" w:rsidRPr="00C3556F">
        <w:rPr>
          <w:rFonts w:ascii="mylotus" w:hAnsi="mylotus" w:cs="mylotus"/>
          <w:sz w:val="26"/>
          <w:szCs w:val="26"/>
          <w:rtl/>
        </w:rPr>
        <w:t>،</w:t>
      </w:r>
      <w:r w:rsidRPr="00C3556F">
        <w:rPr>
          <w:rFonts w:ascii="mylotus" w:hAnsi="mylotus" w:cs="mylotus"/>
          <w:sz w:val="26"/>
          <w:szCs w:val="26"/>
          <w:rtl/>
        </w:rPr>
        <w:t xml:space="preserve"> شيخ الطائفة</w:t>
      </w:r>
      <w:r w:rsidR="00217AB4" w:rsidRPr="00C3556F">
        <w:rPr>
          <w:rFonts w:ascii="mylotus" w:hAnsi="mylotus" w:cs="mylotus"/>
          <w:sz w:val="26"/>
          <w:szCs w:val="26"/>
          <w:rtl/>
        </w:rPr>
        <w:t>،</w:t>
      </w:r>
      <w:r w:rsidRPr="00C3556F">
        <w:rPr>
          <w:rFonts w:ascii="mylotus" w:hAnsi="mylotus" w:cs="mylotus"/>
          <w:sz w:val="26"/>
          <w:szCs w:val="26"/>
          <w:rtl/>
        </w:rPr>
        <w:t xml:space="preserve"> «المبسوط»</w:t>
      </w:r>
      <w:r w:rsidR="00217AB4" w:rsidRPr="00C3556F">
        <w:rPr>
          <w:rFonts w:ascii="mylotus" w:hAnsi="mylotus" w:cs="mylotus"/>
          <w:sz w:val="26"/>
          <w:szCs w:val="26"/>
          <w:rtl/>
        </w:rPr>
        <w:t>.</w:t>
      </w:r>
      <w:r w:rsidRPr="00C3556F">
        <w:rPr>
          <w:rFonts w:ascii="mylotus" w:hAnsi="mylotus" w:cs="mylotus"/>
          <w:sz w:val="26"/>
          <w:szCs w:val="26"/>
          <w:rtl/>
        </w:rPr>
        <w:t xml:space="preserve"> </w:t>
      </w:r>
    </w:p>
    <w:p w:rsidR="005C664D" w:rsidRPr="00C3556F" w:rsidRDefault="005C664D" w:rsidP="00C3556F">
      <w:pPr>
        <w:widowControl w:val="0"/>
        <w:numPr>
          <w:ilvl w:val="0"/>
          <w:numId w:val="30"/>
        </w:numPr>
        <w:spacing w:line="228" w:lineRule="auto"/>
        <w:ind w:left="397" w:hanging="397"/>
        <w:jc w:val="both"/>
        <w:rPr>
          <w:rFonts w:ascii="mylotus" w:hAnsi="mylotus" w:cs="mylotus"/>
          <w:sz w:val="26"/>
          <w:szCs w:val="26"/>
          <w:rtl/>
        </w:rPr>
      </w:pPr>
      <w:r w:rsidRPr="00C3556F">
        <w:rPr>
          <w:rFonts w:ascii="mylotus" w:hAnsi="mylotus" w:cs="mylotus"/>
          <w:sz w:val="26"/>
          <w:szCs w:val="26"/>
          <w:rtl/>
        </w:rPr>
        <w:t>الطوسي</w:t>
      </w:r>
      <w:r w:rsidR="00217AB4" w:rsidRPr="00C3556F">
        <w:rPr>
          <w:rFonts w:ascii="mylotus" w:hAnsi="mylotus" w:cs="mylotus"/>
          <w:sz w:val="26"/>
          <w:szCs w:val="26"/>
          <w:rtl/>
        </w:rPr>
        <w:t>،</w:t>
      </w:r>
      <w:r w:rsidRPr="00C3556F">
        <w:rPr>
          <w:rFonts w:ascii="mylotus" w:hAnsi="mylotus" w:cs="mylotus"/>
          <w:sz w:val="26"/>
          <w:szCs w:val="26"/>
          <w:rtl/>
        </w:rPr>
        <w:t xml:space="preserve"> شيخ الطائفة</w:t>
      </w:r>
      <w:r w:rsidR="00217AB4" w:rsidRPr="00C3556F">
        <w:rPr>
          <w:rFonts w:ascii="mylotus" w:hAnsi="mylotus" w:cs="mylotus"/>
          <w:sz w:val="26"/>
          <w:szCs w:val="26"/>
          <w:rtl/>
        </w:rPr>
        <w:t>،</w:t>
      </w:r>
      <w:r w:rsidRPr="00C3556F">
        <w:rPr>
          <w:rFonts w:ascii="mylotus" w:hAnsi="mylotus" w:cs="mylotus"/>
          <w:sz w:val="26"/>
          <w:szCs w:val="26"/>
          <w:rtl/>
        </w:rPr>
        <w:t xml:space="preserve"> «النهاية»</w:t>
      </w:r>
      <w:r w:rsidR="00217AB4" w:rsidRPr="00C3556F">
        <w:rPr>
          <w:rFonts w:ascii="mylotus" w:hAnsi="mylotus" w:cs="mylotus"/>
          <w:sz w:val="26"/>
          <w:szCs w:val="26"/>
          <w:rtl/>
        </w:rPr>
        <w:t>.</w:t>
      </w:r>
    </w:p>
    <w:p w:rsidR="005C664D" w:rsidRPr="00C3556F" w:rsidRDefault="005C664D" w:rsidP="00C3556F">
      <w:pPr>
        <w:widowControl w:val="0"/>
        <w:numPr>
          <w:ilvl w:val="0"/>
          <w:numId w:val="30"/>
        </w:numPr>
        <w:spacing w:line="228" w:lineRule="auto"/>
        <w:ind w:left="397" w:hanging="397"/>
        <w:jc w:val="both"/>
        <w:rPr>
          <w:rFonts w:ascii="mylotus" w:hAnsi="mylotus" w:cs="mylotus"/>
          <w:sz w:val="26"/>
          <w:szCs w:val="26"/>
          <w:rtl/>
        </w:rPr>
      </w:pPr>
      <w:r w:rsidRPr="00C3556F">
        <w:rPr>
          <w:rFonts w:ascii="mylotus" w:hAnsi="mylotus" w:cs="mylotus"/>
          <w:sz w:val="26"/>
          <w:szCs w:val="26"/>
          <w:rtl/>
        </w:rPr>
        <w:t>علي الطباطبائي</w:t>
      </w:r>
      <w:r w:rsidR="00217AB4" w:rsidRPr="00C3556F">
        <w:rPr>
          <w:rFonts w:ascii="mylotus" w:hAnsi="mylotus" w:cs="mylotus"/>
          <w:sz w:val="26"/>
          <w:szCs w:val="26"/>
          <w:rtl/>
        </w:rPr>
        <w:t>،</w:t>
      </w:r>
      <w:r w:rsidRPr="00C3556F">
        <w:rPr>
          <w:rFonts w:ascii="mylotus" w:hAnsi="mylotus" w:cs="mylotus"/>
          <w:sz w:val="26"/>
          <w:szCs w:val="26"/>
          <w:rtl/>
        </w:rPr>
        <w:t xml:space="preserve"> الفقيه الأصولي السيد علي بن محمد بن علي الطباطبائي الأصبهاني الكاظمي الحائري </w:t>
      </w:r>
      <w:r w:rsidR="00217AB4" w:rsidRPr="00C3556F">
        <w:rPr>
          <w:rFonts w:ascii="mylotus" w:hAnsi="mylotus" w:cs="mylotus"/>
          <w:sz w:val="26"/>
          <w:szCs w:val="26"/>
          <w:rtl/>
        </w:rPr>
        <w:t>(</w:t>
      </w:r>
      <w:r w:rsidRPr="00C3556F">
        <w:rPr>
          <w:rFonts w:ascii="mylotus" w:hAnsi="mylotus" w:cs="mylotus"/>
          <w:sz w:val="26"/>
          <w:szCs w:val="26"/>
          <w:rtl/>
        </w:rPr>
        <w:t>1231هـ</w:t>
      </w:r>
      <w:r w:rsidR="00217AB4" w:rsidRPr="00C3556F">
        <w:rPr>
          <w:rFonts w:ascii="mylotus" w:hAnsi="mylotus" w:cs="mylotus"/>
          <w:sz w:val="26"/>
          <w:szCs w:val="26"/>
          <w:rtl/>
        </w:rPr>
        <w:t>)،</w:t>
      </w:r>
      <w:r w:rsidRPr="00C3556F">
        <w:rPr>
          <w:rFonts w:ascii="mylotus" w:hAnsi="mylotus" w:cs="mylotus"/>
          <w:sz w:val="26"/>
          <w:szCs w:val="26"/>
          <w:rtl/>
        </w:rPr>
        <w:t xml:space="preserve"> «رياض المسائل في بيان أحكام الشـرع بالدلائل»</w:t>
      </w:r>
      <w:r w:rsidR="00217AB4" w:rsidRPr="00C3556F">
        <w:rPr>
          <w:rFonts w:ascii="mylotus" w:hAnsi="mylotus" w:cs="mylotus"/>
          <w:sz w:val="26"/>
          <w:szCs w:val="26"/>
          <w:rtl/>
        </w:rPr>
        <w:t>،</w:t>
      </w:r>
      <w:r w:rsidRPr="00C3556F">
        <w:rPr>
          <w:rFonts w:ascii="mylotus" w:hAnsi="mylotus" w:cs="mylotus"/>
          <w:sz w:val="26"/>
          <w:szCs w:val="26"/>
          <w:rtl/>
        </w:rPr>
        <w:t xml:space="preserve"> قم</w:t>
      </w:r>
      <w:r w:rsidR="00217AB4" w:rsidRPr="00C3556F">
        <w:rPr>
          <w:rFonts w:ascii="mylotus" w:hAnsi="mylotus" w:cs="mylotus"/>
          <w:sz w:val="26"/>
          <w:szCs w:val="26"/>
          <w:rtl/>
        </w:rPr>
        <w:t>،</w:t>
      </w:r>
      <w:r w:rsidRPr="00C3556F">
        <w:rPr>
          <w:rFonts w:ascii="mylotus" w:hAnsi="mylotus" w:cs="mylotus"/>
          <w:sz w:val="26"/>
          <w:szCs w:val="26"/>
          <w:rtl/>
        </w:rPr>
        <w:t xml:space="preserve"> مؤسسة النشر الإسلامي التابعة لجماعة المدرسين بقم المشرفة</w:t>
      </w:r>
      <w:r w:rsidR="00217AB4" w:rsidRPr="00C3556F">
        <w:rPr>
          <w:rFonts w:ascii="mylotus" w:hAnsi="mylotus" w:cs="mylotus"/>
          <w:sz w:val="26"/>
          <w:szCs w:val="26"/>
          <w:rtl/>
        </w:rPr>
        <w:t>،</w:t>
      </w:r>
      <w:r w:rsidRPr="00C3556F">
        <w:rPr>
          <w:rFonts w:ascii="mylotus" w:hAnsi="mylotus" w:cs="mylotus"/>
          <w:sz w:val="26"/>
          <w:szCs w:val="26"/>
          <w:rtl/>
        </w:rPr>
        <w:t xml:space="preserve"> 1412هـ</w:t>
      </w:r>
      <w:r w:rsidR="00217AB4" w:rsidRPr="00C3556F">
        <w:rPr>
          <w:rFonts w:ascii="mylotus" w:hAnsi="mylotus" w:cs="mylotus"/>
          <w:sz w:val="26"/>
          <w:szCs w:val="26"/>
          <w:rtl/>
        </w:rPr>
        <w:t>.</w:t>
      </w:r>
    </w:p>
    <w:p w:rsidR="005C664D" w:rsidRPr="00C3556F" w:rsidRDefault="005C664D" w:rsidP="00C3556F">
      <w:pPr>
        <w:widowControl w:val="0"/>
        <w:numPr>
          <w:ilvl w:val="0"/>
          <w:numId w:val="30"/>
        </w:numPr>
        <w:spacing w:line="228" w:lineRule="auto"/>
        <w:ind w:left="397" w:hanging="397"/>
        <w:jc w:val="both"/>
        <w:rPr>
          <w:rFonts w:ascii="mylotus" w:hAnsi="mylotus" w:cs="mylotus"/>
          <w:sz w:val="26"/>
          <w:szCs w:val="26"/>
        </w:rPr>
      </w:pPr>
      <w:r w:rsidRPr="00C3556F">
        <w:rPr>
          <w:rFonts w:ascii="mylotus" w:hAnsi="mylotus" w:cs="mylotus"/>
          <w:sz w:val="26"/>
          <w:szCs w:val="26"/>
          <w:rtl/>
        </w:rPr>
        <w:t>الماوردي</w:t>
      </w:r>
      <w:r w:rsidR="00217AB4" w:rsidRPr="00C3556F">
        <w:rPr>
          <w:rFonts w:ascii="mylotus" w:hAnsi="mylotus" w:cs="mylotus"/>
          <w:sz w:val="26"/>
          <w:szCs w:val="26"/>
          <w:rtl/>
        </w:rPr>
        <w:t>،</w:t>
      </w:r>
      <w:r w:rsidRPr="00C3556F">
        <w:rPr>
          <w:rFonts w:ascii="mylotus" w:hAnsi="mylotus" w:cs="mylotus"/>
          <w:sz w:val="26"/>
          <w:szCs w:val="26"/>
          <w:rtl/>
        </w:rPr>
        <w:t xml:space="preserve"> علي بن محمد حبيب أبو الحسن الماوردي </w:t>
      </w:r>
      <w:r w:rsidR="00217AB4" w:rsidRPr="00C3556F">
        <w:rPr>
          <w:rFonts w:ascii="mylotus" w:hAnsi="mylotus" w:cs="mylotus"/>
          <w:sz w:val="26"/>
          <w:szCs w:val="26"/>
          <w:rtl/>
        </w:rPr>
        <w:t>(</w:t>
      </w:r>
      <w:r w:rsidRPr="00C3556F">
        <w:rPr>
          <w:rFonts w:ascii="mylotus" w:hAnsi="mylotus" w:cs="mylotus"/>
          <w:sz w:val="26"/>
          <w:szCs w:val="26"/>
          <w:rtl/>
        </w:rPr>
        <w:t xml:space="preserve">364 </w:t>
      </w:r>
      <w:r w:rsidRPr="00C3556F">
        <w:rPr>
          <w:rFonts w:cs="Times New Roman" w:hint="cs"/>
          <w:sz w:val="26"/>
          <w:szCs w:val="26"/>
          <w:rtl/>
        </w:rPr>
        <w:t>–</w:t>
      </w:r>
      <w:r w:rsidRPr="00C3556F">
        <w:rPr>
          <w:rFonts w:ascii="mylotus" w:hAnsi="mylotus" w:cs="mylotus"/>
          <w:sz w:val="26"/>
          <w:szCs w:val="26"/>
          <w:rtl/>
        </w:rPr>
        <w:t xml:space="preserve"> 450هـ</w:t>
      </w:r>
      <w:r w:rsidR="00217AB4" w:rsidRPr="00C3556F">
        <w:rPr>
          <w:rFonts w:ascii="mylotus" w:hAnsi="mylotus" w:cs="mylotus"/>
          <w:sz w:val="26"/>
          <w:szCs w:val="26"/>
          <w:rtl/>
        </w:rPr>
        <w:t>)،</w:t>
      </w:r>
      <w:r w:rsidRPr="00C3556F">
        <w:rPr>
          <w:rFonts w:ascii="mylotus" w:hAnsi="mylotus" w:cs="mylotus"/>
          <w:sz w:val="26"/>
          <w:szCs w:val="26"/>
          <w:rtl/>
        </w:rPr>
        <w:t xml:space="preserve"> «الأحكام السلطانية»</w:t>
      </w:r>
      <w:r w:rsidR="00217AB4" w:rsidRPr="00C3556F">
        <w:rPr>
          <w:rFonts w:ascii="mylotus" w:hAnsi="mylotus" w:cs="mylotus"/>
          <w:sz w:val="26"/>
          <w:szCs w:val="26"/>
          <w:rtl/>
        </w:rPr>
        <w:t>.</w:t>
      </w:r>
    </w:p>
    <w:p w:rsidR="005C664D" w:rsidRPr="00C3556F" w:rsidRDefault="005C664D" w:rsidP="00C3556F">
      <w:pPr>
        <w:widowControl w:val="0"/>
        <w:numPr>
          <w:ilvl w:val="0"/>
          <w:numId w:val="30"/>
        </w:numPr>
        <w:spacing w:line="228" w:lineRule="auto"/>
        <w:ind w:left="397" w:hanging="397"/>
        <w:jc w:val="both"/>
        <w:rPr>
          <w:rFonts w:ascii="mylotus" w:hAnsi="mylotus" w:cs="mylotus"/>
          <w:sz w:val="26"/>
          <w:szCs w:val="26"/>
          <w:rtl/>
        </w:rPr>
      </w:pPr>
      <w:r w:rsidRPr="00C3556F">
        <w:rPr>
          <w:rFonts w:ascii="mylotus" w:hAnsi="mylotus" w:cs="mylotus"/>
          <w:sz w:val="26"/>
          <w:szCs w:val="26"/>
          <w:rtl/>
        </w:rPr>
        <w:t>المسعودي</w:t>
      </w:r>
      <w:r w:rsidR="00217AB4" w:rsidRPr="00C3556F">
        <w:rPr>
          <w:rFonts w:ascii="mylotus" w:hAnsi="mylotus" w:cs="mylotus"/>
          <w:sz w:val="26"/>
          <w:szCs w:val="26"/>
          <w:rtl/>
        </w:rPr>
        <w:t>،</w:t>
      </w:r>
      <w:r w:rsidRPr="00C3556F">
        <w:rPr>
          <w:rFonts w:ascii="mylotus" w:hAnsi="mylotus" w:cs="mylotus"/>
          <w:sz w:val="26"/>
          <w:szCs w:val="26"/>
          <w:rtl/>
        </w:rPr>
        <w:t xml:space="preserve"> علي بن الحسين بن علي المسعودي الهذلي </w:t>
      </w:r>
      <w:r w:rsidR="00217AB4" w:rsidRPr="00C3556F">
        <w:rPr>
          <w:rFonts w:ascii="mylotus" w:hAnsi="mylotus" w:cs="mylotus"/>
          <w:sz w:val="26"/>
          <w:szCs w:val="26"/>
          <w:rtl/>
        </w:rPr>
        <w:t>(</w:t>
      </w:r>
      <w:r w:rsidRPr="00C3556F">
        <w:rPr>
          <w:rFonts w:ascii="mylotus" w:hAnsi="mylotus" w:cs="mylotus"/>
          <w:sz w:val="26"/>
          <w:szCs w:val="26"/>
          <w:rtl/>
        </w:rPr>
        <w:t>346هـ</w:t>
      </w:r>
      <w:r w:rsidR="00217AB4" w:rsidRPr="00C3556F">
        <w:rPr>
          <w:rFonts w:ascii="mylotus" w:hAnsi="mylotus" w:cs="mylotus"/>
          <w:sz w:val="26"/>
          <w:szCs w:val="26"/>
          <w:rtl/>
        </w:rPr>
        <w:t>)،</w:t>
      </w:r>
      <w:r w:rsidRPr="00C3556F">
        <w:rPr>
          <w:rFonts w:ascii="mylotus" w:hAnsi="mylotus" w:cs="mylotus"/>
          <w:sz w:val="26"/>
          <w:szCs w:val="26"/>
          <w:rtl/>
        </w:rPr>
        <w:t xml:space="preserve"> «إثبات الوصية»</w:t>
      </w:r>
      <w:r w:rsidR="00217AB4" w:rsidRPr="00C3556F">
        <w:rPr>
          <w:rFonts w:ascii="mylotus" w:hAnsi="mylotus" w:cs="mylotus"/>
          <w:sz w:val="26"/>
          <w:szCs w:val="26"/>
          <w:rtl/>
        </w:rPr>
        <w:t>،</w:t>
      </w:r>
      <w:r w:rsidRPr="00C3556F">
        <w:rPr>
          <w:rFonts w:ascii="mylotus" w:hAnsi="mylotus" w:cs="mylotus"/>
          <w:sz w:val="26"/>
          <w:szCs w:val="26"/>
          <w:rtl/>
        </w:rPr>
        <w:t xml:space="preserve"> النجف</w:t>
      </w:r>
      <w:r w:rsidR="00217AB4" w:rsidRPr="00C3556F">
        <w:rPr>
          <w:rFonts w:ascii="mylotus" w:hAnsi="mylotus" w:cs="mylotus"/>
          <w:sz w:val="26"/>
          <w:szCs w:val="26"/>
          <w:rtl/>
        </w:rPr>
        <w:t>،</w:t>
      </w:r>
      <w:r w:rsidRPr="00C3556F">
        <w:rPr>
          <w:rFonts w:ascii="mylotus" w:hAnsi="mylotus" w:cs="mylotus"/>
          <w:sz w:val="26"/>
          <w:szCs w:val="26"/>
          <w:rtl/>
        </w:rPr>
        <w:t xml:space="preserve"> المطبعة الحيدرية</w:t>
      </w:r>
      <w:r w:rsidR="00217AB4" w:rsidRPr="00C3556F">
        <w:rPr>
          <w:rFonts w:ascii="mylotus" w:hAnsi="mylotus" w:cs="mylotus"/>
          <w:sz w:val="26"/>
          <w:szCs w:val="26"/>
          <w:rtl/>
        </w:rPr>
        <w:t>.</w:t>
      </w:r>
      <w:r w:rsidRPr="00C3556F">
        <w:rPr>
          <w:rFonts w:ascii="mylotus" w:hAnsi="mylotus" w:cs="mylotus"/>
          <w:sz w:val="26"/>
          <w:szCs w:val="26"/>
          <w:rtl/>
        </w:rPr>
        <w:t xml:space="preserve"> </w:t>
      </w:r>
      <w:r w:rsidR="00147857" w:rsidRPr="00C3556F">
        <w:rPr>
          <w:rFonts w:ascii="mylotus" w:hAnsi="mylotus" w:cs="mylotus"/>
          <w:sz w:val="26"/>
          <w:szCs w:val="26"/>
          <w:rtl/>
        </w:rPr>
        <w:t>[</w:t>
      </w:r>
      <w:r w:rsidRPr="00C3556F">
        <w:rPr>
          <w:rFonts w:ascii="mylotus" w:hAnsi="mylotus" w:cs="mylotus"/>
          <w:sz w:val="26"/>
          <w:szCs w:val="26"/>
          <w:rtl/>
        </w:rPr>
        <w:t>ملاحظة</w:t>
      </w:r>
      <w:r w:rsidR="00217AB4" w:rsidRPr="00C3556F">
        <w:rPr>
          <w:rFonts w:ascii="mylotus" w:hAnsi="mylotus" w:cs="mylotus"/>
          <w:sz w:val="26"/>
          <w:szCs w:val="26"/>
          <w:rtl/>
        </w:rPr>
        <w:t>:</w:t>
      </w:r>
      <w:r w:rsidRPr="00C3556F">
        <w:rPr>
          <w:rFonts w:ascii="mylotus" w:hAnsi="mylotus" w:cs="mylotus"/>
          <w:sz w:val="26"/>
          <w:szCs w:val="26"/>
          <w:rtl/>
        </w:rPr>
        <w:t xml:space="preserve"> الكتاب منسوبٌ خطأً للمسعودي وهو في الحقيقة لمؤلف مجهول</w:t>
      </w:r>
      <w:r w:rsidR="00217AB4" w:rsidRPr="00C3556F">
        <w:rPr>
          <w:rFonts w:ascii="mylotus" w:hAnsi="mylotus" w:cs="mylotus"/>
          <w:sz w:val="26"/>
          <w:szCs w:val="26"/>
          <w:rtl/>
        </w:rPr>
        <w:t>،</w:t>
      </w:r>
      <w:r w:rsidRPr="00C3556F">
        <w:rPr>
          <w:rFonts w:ascii="mylotus" w:hAnsi="mylotus" w:cs="mylotus"/>
          <w:sz w:val="26"/>
          <w:szCs w:val="26"/>
          <w:rtl/>
        </w:rPr>
        <w:t xml:space="preserve"> والكتاب موضوعٌ ومختلقٌ من أساسه]</w:t>
      </w:r>
      <w:r w:rsidR="00217AB4" w:rsidRPr="00C3556F">
        <w:rPr>
          <w:rFonts w:ascii="mylotus" w:hAnsi="mylotus" w:cs="mylotus"/>
          <w:sz w:val="26"/>
          <w:szCs w:val="26"/>
          <w:rtl/>
        </w:rPr>
        <w:t>.</w:t>
      </w:r>
    </w:p>
    <w:p w:rsidR="005C664D" w:rsidRPr="00C3556F" w:rsidRDefault="005C664D" w:rsidP="00C3556F">
      <w:pPr>
        <w:widowControl w:val="0"/>
        <w:numPr>
          <w:ilvl w:val="0"/>
          <w:numId w:val="30"/>
        </w:numPr>
        <w:spacing w:line="228" w:lineRule="auto"/>
        <w:ind w:left="397" w:hanging="397"/>
        <w:jc w:val="both"/>
        <w:rPr>
          <w:rFonts w:ascii="mylotus" w:hAnsi="mylotus" w:cs="mylotus"/>
          <w:sz w:val="26"/>
          <w:szCs w:val="26"/>
          <w:rtl/>
        </w:rPr>
      </w:pPr>
      <w:r w:rsidRPr="00C3556F">
        <w:rPr>
          <w:rFonts w:ascii="mylotus" w:hAnsi="mylotus" w:cs="mylotus"/>
          <w:sz w:val="26"/>
          <w:szCs w:val="26"/>
          <w:rtl/>
        </w:rPr>
        <w:t>المفيد</w:t>
      </w:r>
      <w:r w:rsidR="00217AB4" w:rsidRPr="00C3556F">
        <w:rPr>
          <w:rFonts w:ascii="mylotus" w:hAnsi="mylotus" w:cs="mylotus"/>
          <w:sz w:val="26"/>
          <w:szCs w:val="26"/>
          <w:rtl/>
        </w:rPr>
        <w:t>،</w:t>
      </w:r>
      <w:r w:rsidRPr="00C3556F">
        <w:rPr>
          <w:rFonts w:ascii="mylotus" w:hAnsi="mylotus" w:cs="mylotus"/>
          <w:sz w:val="26"/>
          <w:szCs w:val="26"/>
          <w:rtl/>
        </w:rPr>
        <w:t xml:space="preserve"> الشيخ المعلم مُحَمَّدُ بْنُ مُحَمَّدِ بْنِ النُّعْمَان العكبري البغدادي </w:t>
      </w:r>
      <w:r w:rsidR="00217AB4" w:rsidRPr="00C3556F">
        <w:rPr>
          <w:rFonts w:ascii="mylotus" w:hAnsi="mylotus" w:cs="mylotus"/>
          <w:sz w:val="26"/>
          <w:szCs w:val="26"/>
          <w:rtl/>
        </w:rPr>
        <w:t>(</w:t>
      </w:r>
      <w:r w:rsidRPr="00C3556F">
        <w:rPr>
          <w:rFonts w:ascii="mylotus" w:hAnsi="mylotus" w:cs="mylotus"/>
          <w:sz w:val="26"/>
          <w:szCs w:val="26"/>
          <w:rtl/>
        </w:rPr>
        <w:t>336</w:t>
      </w:r>
      <w:r w:rsidR="00217AB4" w:rsidRPr="00C3556F">
        <w:rPr>
          <w:rFonts w:ascii="mylotus" w:hAnsi="mylotus" w:cs="mylotus"/>
          <w:sz w:val="26"/>
          <w:szCs w:val="26"/>
          <w:rtl/>
        </w:rPr>
        <w:t>-</w:t>
      </w:r>
      <w:r w:rsidRPr="00C3556F">
        <w:rPr>
          <w:rFonts w:ascii="mylotus" w:hAnsi="mylotus" w:cs="mylotus"/>
          <w:sz w:val="26"/>
          <w:szCs w:val="26"/>
          <w:rtl/>
        </w:rPr>
        <w:t>413 هـ</w:t>
      </w:r>
      <w:r w:rsidR="00217AB4" w:rsidRPr="00C3556F">
        <w:rPr>
          <w:rFonts w:ascii="mylotus" w:hAnsi="mylotus" w:cs="mylotus"/>
          <w:sz w:val="26"/>
          <w:szCs w:val="26"/>
          <w:rtl/>
        </w:rPr>
        <w:t>)،</w:t>
      </w:r>
      <w:r w:rsidRPr="00C3556F">
        <w:rPr>
          <w:rFonts w:ascii="mylotus" w:hAnsi="mylotus" w:cs="mylotus"/>
          <w:sz w:val="26"/>
          <w:szCs w:val="26"/>
          <w:rtl/>
        </w:rPr>
        <w:t xml:space="preserve"> «تصحيح الاعتقاد»</w:t>
      </w:r>
      <w:r w:rsidR="00217AB4" w:rsidRPr="00C3556F">
        <w:rPr>
          <w:rFonts w:ascii="mylotus" w:hAnsi="mylotus" w:cs="mylotus"/>
          <w:sz w:val="26"/>
          <w:szCs w:val="26"/>
          <w:rtl/>
        </w:rPr>
        <w:t>،</w:t>
      </w:r>
      <w:r w:rsidRPr="00C3556F">
        <w:rPr>
          <w:rFonts w:ascii="mylotus" w:hAnsi="mylotus" w:cs="mylotus"/>
          <w:sz w:val="26"/>
          <w:szCs w:val="26"/>
          <w:rtl/>
        </w:rPr>
        <w:t xml:space="preserve"> طبع تبريز</w:t>
      </w:r>
      <w:r w:rsidR="00217AB4" w:rsidRPr="00C3556F">
        <w:rPr>
          <w:rFonts w:ascii="mylotus" w:hAnsi="mylotus" w:cs="mylotus"/>
          <w:sz w:val="26"/>
          <w:szCs w:val="26"/>
          <w:rtl/>
        </w:rPr>
        <w:t>.</w:t>
      </w:r>
      <w:r w:rsidRPr="00C3556F">
        <w:rPr>
          <w:rFonts w:ascii="mylotus" w:hAnsi="mylotus" w:cs="mylotus"/>
          <w:sz w:val="26"/>
          <w:szCs w:val="26"/>
          <w:rtl/>
        </w:rPr>
        <w:t>‏</w:t>
      </w:r>
    </w:p>
    <w:p w:rsidR="005C664D" w:rsidRPr="00C3556F" w:rsidRDefault="005C664D" w:rsidP="00C3556F">
      <w:pPr>
        <w:widowControl w:val="0"/>
        <w:numPr>
          <w:ilvl w:val="0"/>
          <w:numId w:val="30"/>
        </w:numPr>
        <w:spacing w:line="228" w:lineRule="auto"/>
        <w:ind w:left="397" w:hanging="397"/>
        <w:jc w:val="both"/>
        <w:rPr>
          <w:rFonts w:ascii="mylotus" w:hAnsi="mylotus" w:cs="mylotus"/>
          <w:sz w:val="26"/>
          <w:szCs w:val="26"/>
          <w:rtl/>
        </w:rPr>
      </w:pPr>
      <w:r w:rsidRPr="00C3556F">
        <w:rPr>
          <w:rFonts w:ascii="mylotus" w:hAnsi="mylotus" w:cs="mylotus"/>
          <w:sz w:val="26"/>
          <w:szCs w:val="26"/>
          <w:rtl/>
        </w:rPr>
        <w:t>المفيد</w:t>
      </w:r>
      <w:r w:rsidR="00217AB4" w:rsidRPr="00C3556F">
        <w:rPr>
          <w:rFonts w:ascii="mylotus" w:hAnsi="mylotus" w:cs="mylotus"/>
          <w:sz w:val="26"/>
          <w:szCs w:val="26"/>
          <w:rtl/>
        </w:rPr>
        <w:t>،</w:t>
      </w:r>
      <w:r w:rsidRPr="00C3556F">
        <w:rPr>
          <w:rFonts w:ascii="mylotus" w:hAnsi="mylotus" w:cs="mylotus"/>
          <w:sz w:val="26"/>
          <w:szCs w:val="26"/>
          <w:rtl/>
        </w:rPr>
        <w:t xml:space="preserve"> الشيخ المعلم</w:t>
      </w:r>
      <w:r w:rsidR="00217AB4" w:rsidRPr="00C3556F">
        <w:rPr>
          <w:rFonts w:ascii="mylotus" w:hAnsi="mylotus" w:cs="mylotus"/>
          <w:sz w:val="26"/>
          <w:szCs w:val="26"/>
          <w:rtl/>
        </w:rPr>
        <w:t>،</w:t>
      </w:r>
      <w:r w:rsidRPr="00C3556F">
        <w:rPr>
          <w:rFonts w:ascii="mylotus" w:hAnsi="mylotus" w:cs="mylotus"/>
          <w:sz w:val="26"/>
          <w:szCs w:val="26"/>
          <w:rtl/>
        </w:rPr>
        <w:t xml:space="preserve"> «المقنعة»</w:t>
      </w:r>
      <w:r w:rsidR="00217AB4" w:rsidRPr="00C3556F">
        <w:rPr>
          <w:rFonts w:ascii="mylotus" w:hAnsi="mylotus" w:cs="mylotus"/>
          <w:sz w:val="26"/>
          <w:szCs w:val="26"/>
          <w:rtl/>
        </w:rPr>
        <w:t>.</w:t>
      </w:r>
    </w:p>
    <w:p w:rsidR="005C664D" w:rsidRPr="00C3556F" w:rsidRDefault="005C664D" w:rsidP="00C3556F">
      <w:pPr>
        <w:widowControl w:val="0"/>
        <w:numPr>
          <w:ilvl w:val="0"/>
          <w:numId w:val="30"/>
        </w:numPr>
        <w:spacing w:line="228" w:lineRule="auto"/>
        <w:ind w:left="397" w:hanging="397"/>
        <w:jc w:val="both"/>
        <w:rPr>
          <w:rFonts w:ascii="mylotus" w:hAnsi="mylotus" w:cs="mylotus"/>
          <w:sz w:val="26"/>
          <w:szCs w:val="26"/>
          <w:rtl/>
        </w:rPr>
      </w:pPr>
      <w:r w:rsidRPr="00C3556F">
        <w:rPr>
          <w:rFonts w:ascii="mylotus" w:hAnsi="mylotus" w:cs="mylotus"/>
          <w:sz w:val="26"/>
          <w:szCs w:val="26"/>
          <w:rtl/>
        </w:rPr>
        <w:t>المهدي لدين الله</w:t>
      </w:r>
      <w:r w:rsidR="00217AB4" w:rsidRPr="00C3556F">
        <w:rPr>
          <w:rFonts w:ascii="mylotus" w:hAnsi="mylotus" w:cs="mylotus"/>
          <w:sz w:val="26"/>
          <w:szCs w:val="26"/>
          <w:rtl/>
        </w:rPr>
        <w:t>،</w:t>
      </w:r>
      <w:r w:rsidRPr="00C3556F">
        <w:rPr>
          <w:rFonts w:ascii="mylotus" w:hAnsi="mylotus" w:cs="mylotus"/>
          <w:sz w:val="26"/>
          <w:szCs w:val="26"/>
          <w:rtl/>
        </w:rPr>
        <w:t xml:space="preserve"> الإمام أحمد بن يحيى بن المرتضى الحسني </w:t>
      </w:r>
      <w:r w:rsidR="00217AB4" w:rsidRPr="00C3556F">
        <w:rPr>
          <w:rFonts w:ascii="mylotus" w:hAnsi="mylotus" w:cs="mylotus"/>
          <w:sz w:val="26"/>
          <w:szCs w:val="26"/>
          <w:rtl/>
        </w:rPr>
        <w:t>(</w:t>
      </w:r>
      <w:r w:rsidRPr="00C3556F">
        <w:rPr>
          <w:rFonts w:ascii="mylotus" w:hAnsi="mylotus" w:cs="mylotus"/>
          <w:sz w:val="26"/>
          <w:szCs w:val="26"/>
          <w:rtl/>
        </w:rPr>
        <w:t>840هـ</w:t>
      </w:r>
      <w:r w:rsidR="00217AB4" w:rsidRPr="00C3556F">
        <w:rPr>
          <w:rFonts w:ascii="mylotus" w:hAnsi="mylotus" w:cs="mylotus"/>
          <w:sz w:val="26"/>
          <w:szCs w:val="26"/>
          <w:rtl/>
        </w:rPr>
        <w:t>)،</w:t>
      </w:r>
      <w:r w:rsidRPr="00C3556F">
        <w:rPr>
          <w:rFonts w:ascii="mylotus" w:hAnsi="mylotus" w:cs="mylotus"/>
          <w:sz w:val="26"/>
          <w:szCs w:val="26"/>
          <w:rtl/>
        </w:rPr>
        <w:t xml:space="preserve"> «البحر الزخَّار الجامع لمذاهب علماء الأمصار»</w:t>
      </w:r>
      <w:r w:rsidR="00217AB4" w:rsidRPr="00C3556F">
        <w:rPr>
          <w:rFonts w:ascii="mylotus" w:hAnsi="mylotus" w:cs="mylotus"/>
          <w:sz w:val="26"/>
          <w:szCs w:val="26"/>
          <w:rtl/>
        </w:rPr>
        <w:t>.</w:t>
      </w:r>
      <w:r w:rsidRPr="00C3556F">
        <w:rPr>
          <w:rFonts w:ascii="mylotus" w:hAnsi="mylotus" w:cs="mylotus"/>
          <w:sz w:val="26"/>
          <w:szCs w:val="26"/>
          <w:rtl/>
        </w:rPr>
        <w:t xml:space="preserve"> </w:t>
      </w:r>
    </w:p>
    <w:p w:rsidR="005C664D" w:rsidRPr="00C3556F" w:rsidRDefault="005C664D" w:rsidP="00C3556F">
      <w:pPr>
        <w:widowControl w:val="0"/>
        <w:numPr>
          <w:ilvl w:val="0"/>
          <w:numId w:val="30"/>
        </w:numPr>
        <w:spacing w:line="228" w:lineRule="auto"/>
        <w:ind w:left="397" w:hanging="397"/>
        <w:jc w:val="both"/>
        <w:rPr>
          <w:rFonts w:ascii="mylotus" w:hAnsi="mylotus" w:cs="mylotus"/>
          <w:sz w:val="26"/>
          <w:szCs w:val="26"/>
          <w:rtl/>
        </w:rPr>
      </w:pPr>
      <w:r w:rsidRPr="00C3556F">
        <w:rPr>
          <w:rFonts w:ascii="mylotus" w:hAnsi="mylotus" w:cs="mylotus"/>
          <w:sz w:val="26"/>
          <w:szCs w:val="26"/>
          <w:rtl/>
        </w:rPr>
        <w:t>يحي بن آدم</w:t>
      </w:r>
      <w:r w:rsidR="00217AB4" w:rsidRPr="00C3556F">
        <w:rPr>
          <w:rFonts w:ascii="mylotus" w:hAnsi="mylotus" w:cs="mylotus"/>
          <w:sz w:val="26"/>
          <w:szCs w:val="26"/>
          <w:rtl/>
        </w:rPr>
        <w:t>،</w:t>
      </w:r>
      <w:r w:rsidRPr="00C3556F">
        <w:rPr>
          <w:rFonts w:ascii="mylotus" w:hAnsi="mylotus" w:cs="mylotus"/>
          <w:sz w:val="26"/>
          <w:szCs w:val="26"/>
          <w:rtl/>
        </w:rPr>
        <w:t xml:space="preserve"> الحافظ المحدث الفقيه أبو زكريا يحيى بن آدم بن سليمان الأموي الكوفي </w:t>
      </w:r>
      <w:r w:rsidR="00217AB4" w:rsidRPr="00C3556F">
        <w:rPr>
          <w:rFonts w:ascii="mylotus" w:hAnsi="mylotus" w:cs="mylotus"/>
          <w:sz w:val="26"/>
          <w:szCs w:val="26"/>
          <w:rtl/>
        </w:rPr>
        <w:t>(</w:t>
      </w:r>
      <w:r w:rsidRPr="00C3556F">
        <w:rPr>
          <w:rFonts w:ascii="mylotus" w:hAnsi="mylotus" w:cs="mylotus"/>
          <w:sz w:val="26"/>
          <w:szCs w:val="26"/>
          <w:rtl/>
        </w:rPr>
        <w:t>203هـ</w:t>
      </w:r>
      <w:r w:rsidR="00217AB4" w:rsidRPr="00C3556F">
        <w:rPr>
          <w:rFonts w:ascii="mylotus" w:hAnsi="mylotus" w:cs="mylotus"/>
          <w:sz w:val="26"/>
          <w:szCs w:val="26"/>
          <w:rtl/>
        </w:rPr>
        <w:t>)،</w:t>
      </w:r>
      <w:r w:rsidRPr="00C3556F">
        <w:rPr>
          <w:rFonts w:ascii="mylotus" w:hAnsi="mylotus" w:cs="mylotus"/>
          <w:sz w:val="26"/>
          <w:szCs w:val="26"/>
          <w:rtl/>
        </w:rPr>
        <w:t xml:space="preserve"> «الخراج»</w:t>
      </w:r>
      <w:r w:rsidR="00217AB4" w:rsidRPr="00C3556F">
        <w:rPr>
          <w:rFonts w:ascii="mylotus" w:hAnsi="mylotus" w:cs="mylotus"/>
          <w:sz w:val="26"/>
          <w:szCs w:val="26"/>
          <w:rtl/>
        </w:rPr>
        <w:t>.</w:t>
      </w:r>
    </w:p>
    <w:p w:rsidR="005C664D" w:rsidRPr="00C3556F" w:rsidRDefault="005C664D" w:rsidP="00C3556F">
      <w:pPr>
        <w:widowControl w:val="0"/>
        <w:numPr>
          <w:ilvl w:val="0"/>
          <w:numId w:val="30"/>
        </w:numPr>
        <w:spacing w:line="228" w:lineRule="auto"/>
        <w:ind w:left="397" w:hanging="397"/>
        <w:jc w:val="both"/>
        <w:rPr>
          <w:rFonts w:ascii="mylotus" w:hAnsi="mylotus" w:cs="mylotus"/>
          <w:sz w:val="26"/>
          <w:szCs w:val="26"/>
        </w:rPr>
      </w:pPr>
      <w:r w:rsidRPr="00C3556F">
        <w:rPr>
          <w:rFonts w:ascii="mylotus" w:hAnsi="mylotus" w:cs="mylotus"/>
          <w:sz w:val="26"/>
          <w:szCs w:val="26"/>
          <w:rtl/>
        </w:rPr>
        <w:t>يوسف البحراني</w:t>
      </w:r>
      <w:r w:rsidR="00217AB4" w:rsidRPr="00C3556F">
        <w:rPr>
          <w:rFonts w:ascii="mylotus" w:hAnsi="mylotus" w:cs="mylotus"/>
          <w:sz w:val="26"/>
          <w:szCs w:val="26"/>
          <w:rtl/>
        </w:rPr>
        <w:t>،</w:t>
      </w:r>
      <w:r w:rsidRPr="00C3556F">
        <w:rPr>
          <w:rFonts w:ascii="mylotus" w:hAnsi="mylotus" w:cs="mylotus"/>
          <w:sz w:val="26"/>
          <w:szCs w:val="26"/>
          <w:rtl/>
        </w:rPr>
        <w:t xml:space="preserve"> الشيخ يوسف بن أحمد بن إبراهيم الدرازي البحراني </w:t>
      </w:r>
      <w:r w:rsidR="00217AB4" w:rsidRPr="00C3556F">
        <w:rPr>
          <w:rFonts w:ascii="mylotus" w:hAnsi="mylotus" w:cs="mylotus"/>
          <w:sz w:val="26"/>
          <w:szCs w:val="26"/>
          <w:rtl/>
        </w:rPr>
        <w:t>(</w:t>
      </w:r>
      <w:r w:rsidRPr="00C3556F">
        <w:rPr>
          <w:rFonts w:ascii="mylotus" w:hAnsi="mylotus" w:cs="mylotus"/>
          <w:sz w:val="26"/>
          <w:szCs w:val="26"/>
          <w:rtl/>
        </w:rPr>
        <w:t xml:space="preserve">1107 </w:t>
      </w:r>
      <w:r w:rsidRPr="00C3556F">
        <w:rPr>
          <w:rFonts w:cs="Times New Roman" w:hint="cs"/>
          <w:sz w:val="26"/>
          <w:szCs w:val="26"/>
          <w:rtl/>
        </w:rPr>
        <w:t>–</w:t>
      </w:r>
      <w:r w:rsidRPr="00C3556F">
        <w:rPr>
          <w:rFonts w:ascii="mylotus" w:hAnsi="mylotus" w:cs="mylotus"/>
          <w:sz w:val="26"/>
          <w:szCs w:val="26"/>
          <w:rtl/>
        </w:rPr>
        <w:t xml:space="preserve"> 1186هـ</w:t>
      </w:r>
      <w:r w:rsidR="00217AB4" w:rsidRPr="00C3556F">
        <w:rPr>
          <w:rFonts w:ascii="mylotus" w:hAnsi="mylotus" w:cs="mylotus"/>
          <w:sz w:val="26"/>
          <w:szCs w:val="26"/>
          <w:rtl/>
        </w:rPr>
        <w:t>)،</w:t>
      </w:r>
      <w:r w:rsidRPr="00C3556F">
        <w:rPr>
          <w:rFonts w:ascii="mylotus" w:hAnsi="mylotus" w:cs="mylotus"/>
          <w:sz w:val="26"/>
          <w:szCs w:val="26"/>
          <w:rtl/>
        </w:rPr>
        <w:t xml:space="preserve"> «الحدائق الناضرة في أحكام العترة الطاهرة»</w:t>
      </w:r>
      <w:r w:rsidR="00217AB4" w:rsidRPr="00C3556F">
        <w:rPr>
          <w:rFonts w:ascii="mylotus" w:hAnsi="mylotus" w:cs="mylotus"/>
          <w:sz w:val="26"/>
          <w:szCs w:val="26"/>
          <w:rtl/>
        </w:rPr>
        <w:t>،</w:t>
      </w:r>
      <w:r w:rsidRPr="00C3556F">
        <w:rPr>
          <w:rFonts w:ascii="mylotus" w:hAnsi="mylotus" w:cs="mylotus"/>
          <w:sz w:val="26"/>
          <w:szCs w:val="26"/>
          <w:rtl/>
        </w:rPr>
        <w:t xml:space="preserve"> نشره الشيخ على الآخوندي</w:t>
      </w:r>
      <w:r w:rsidR="00217AB4" w:rsidRPr="00C3556F">
        <w:rPr>
          <w:rFonts w:ascii="mylotus" w:hAnsi="mylotus" w:cs="mylotus"/>
          <w:sz w:val="26"/>
          <w:szCs w:val="26"/>
          <w:rtl/>
        </w:rPr>
        <w:t>،</w:t>
      </w:r>
      <w:r w:rsidRPr="00C3556F">
        <w:rPr>
          <w:rFonts w:ascii="mylotus" w:hAnsi="mylotus" w:cs="mylotus"/>
          <w:sz w:val="26"/>
          <w:szCs w:val="26"/>
          <w:rtl/>
        </w:rPr>
        <w:t xml:space="preserve"> قم</w:t>
      </w:r>
      <w:r w:rsidR="00217AB4" w:rsidRPr="00C3556F">
        <w:rPr>
          <w:rFonts w:ascii="mylotus" w:hAnsi="mylotus" w:cs="mylotus"/>
          <w:sz w:val="26"/>
          <w:szCs w:val="26"/>
          <w:rtl/>
        </w:rPr>
        <w:t>:</w:t>
      </w:r>
      <w:r w:rsidRPr="00C3556F">
        <w:rPr>
          <w:rFonts w:ascii="mylotus" w:hAnsi="mylotus" w:cs="mylotus"/>
          <w:sz w:val="26"/>
          <w:szCs w:val="26"/>
          <w:rtl/>
        </w:rPr>
        <w:t xml:space="preserve"> مؤسسة النشر التابعة لجماعة المدرسين</w:t>
      </w:r>
      <w:r w:rsidR="00217AB4" w:rsidRPr="00C3556F">
        <w:rPr>
          <w:rFonts w:ascii="mylotus" w:hAnsi="mylotus" w:cs="mylotus"/>
          <w:sz w:val="26"/>
          <w:szCs w:val="26"/>
          <w:rtl/>
        </w:rPr>
        <w:t>.</w:t>
      </w:r>
    </w:p>
    <w:p w:rsidR="005C664D" w:rsidRPr="00C3556F" w:rsidRDefault="005C664D" w:rsidP="00C3556F">
      <w:pPr>
        <w:spacing w:line="228" w:lineRule="auto"/>
        <w:ind w:left="397" w:hanging="397"/>
        <w:jc w:val="both"/>
        <w:rPr>
          <w:rFonts w:ascii="mylotus" w:hAnsi="mylotus" w:cs="mylotus"/>
          <w:b/>
          <w:bCs/>
          <w:sz w:val="26"/>
          <w:szCs w:val="26"/>
          <w:rtl/>
        </w:rPr>
      </w:pPr>
      <w:bookmarkStart w:id="214" w:name="_Toc215491172"/>
      <w:bookmarkStart w:id="215" w:name="_Toc215498091"/>
      <w:r w:rsidRPr="00C3556F">
        <w:rPr>
          <w:rFonts w:ascii="mylotus" w:hAnsi="mylotus" w:cs="mylotus"/>
          <w:b/>
          <w:bCs/>
          <w:sz w:val="26"/>
          <w:szCs w:val="26"/>
          <w:rtl/>
        </w:rPr>
        <w:t xml:space="preserve">كتب الرجال </w:t>
      </w:r>
      <w:r w:rsidR="00217AB4" w:rsidRPr="00C3556F">
        <w:rPr>
          <w:rFonts w:ascii="mylotus" w:hAnsi="mylotus" w:cs="mylotus"/>
          <w:b/>
          <w:bCs/>
          <w:sz w:val="26"/>
          <w:szCs w:val="26"/>
          <w:rtl/>
        </w:rPr>
        <w:t>(</w:t>
      </w:r>
      <w:r w:rsidRPr="00C3556F">
        <w:rPr>
          <w:rFonts w:ascii="mylotus" w:hAnsi="mylotus" w:cs="mylotus"/>
          <w:b/>
          <w:bCs/>
          <w:sz w:val="26"/>
          <w:szCs w:val="26"/>
          <w:rtl/>
        </w:rPr>
        <w:t>الجرح</w:t>
      </w:r>
      <w:r w:rsidR="00147857" w:rsidRPr="00C3556F">
        <w:rPr>
          <w:rFonts w:ascii="mylotus" w:hAnsi="mylotus" w:cs="mylotus"/>
          <w:b/>
          <w:bCs/>
          <w:sz w:val="26"/>
          <w:szCs w:val="26"/>
          <w:rtl/>
        </w:rPr>
        <w:t xml:space="preserve"> و</w:t>
      </w:r>
      <w:r w:rsidRPr="00C3556F">
        <w:rPr>
          <w:rFonts w:ascii="mylotus" w:hAnsi="mylotus" w:cs="mylotus"/>
          <w:b/>
          <w:bCs/>
          <w:sz w:val="26"/>
          <w:szCs w:val="26"/>
          <w:rtl/>
        </w:rPr>
        <w:t>التعديل</w:t>
      </w:r>
      <w:r w:rsidR="00217AB4" w:rsidRPr="00C3556F">
        <w:rPr>
          <w:rFonts w:ascii="mylotus" w:hAnsi="mylotus" w:cs="mylotus"/>
          <w:b/>
          <w:bCs/>
          <w:sz w:val="26"/>
          <w:szCs w:val="26"/>
          <w:rtl/>
        </w:rPr>
        <w:t>)</w:t>
      </w:r>
      <w:r w:rsidRPr="00C3556F">
        <w:rPr>
          <w:rFonts w:ascii="mylotus" w:hAnsi="mylotus" w:cs="mylotus"/>
          <w:b/>
          <w:bCs/>
          <w:sz w:val="26"/>
          <w:szCs w:val="26"/>
          <w:rtl/>
        </w:rPr>
        <w:t xml:space="preserve"> وأصول الحديث</w:t>
      </w:r>
      <w:bookmarkEnd w:id="214"/>
      <w:bookmarkEnd w:id="215"/>
    </w:p>
    <w:p w:rsidR="005C664D" w:rsidRPr="00C3556F" w:rsidRDefault="005C664D" w:rsidP="00C3556F">
      <w:pPr>
        <w:numPr>
          <w:ilvl w:val="0"/>
          <w:numId w:val="30"/>
        </w:numPr>
        <w:spacing w:line="228" w:lineRule="auto"/>
        <w:ind w:left="397" w:hanging="397"/>
        <w:jc w:val="both"/>
        <w:rPr>
          <w:rFonts w:ascii="mylotus" w:hAnsi="mylotus" w:cs="mylotus"/>
          <w:sz w:val="26"/>
          <w:szCs w:val="26"/>
          <w:rtl/>
        </w:rPr>
      </w:pPr>
      <w:r w:rsidRPr="00C3556F">
        <w:rPr>
          <w:rFonts w:ascii="mylotus" w:hAnsi="mylotus" w:cs="mylotus"/>
          <w:sz w:val="26"/>
          <w:szCs w:val="26"/>
          <w:rtl/>
        </w:rPr>
        <w:t>ابن أبي داود</w:t>
      </w:r>
      <w:r w:rsidR="00217AB4" w:rsidRPr="00C3556F">
        <w:rPr>
          <w:rFonts w:ascii="mylotus" w:hAnsi="mylotus" w:cs="mylotus"/>
          <w:sz w:val="26"/>
          <w:szCs w:val="26"/>
          <w:rtl/>
        </w:rPr>
        <w:t>،</w:t>
      </w:r>
      <w:r w:rsidRPr="00C3556F">
        <w:rPr>
          <w:rFonts w:ascii="mylotus" w:hAnsi="mylotus" w:cs="mylotus"/>
          <w:sz w:val="26"/>
          <w:szCs w:val="26"/>
          <w:rtl/>
        </w:rPr>
        <w:t xml:space="preserve"> الحسن الحلي</w:t>
      </w:r>
      <w:r w:rsidR="00217AB4" w:rsidRPr="00C3556F">
        <w:rPr>
          <w:rFonts w:ascii="mylotus" w:hAnsi="mylotus" w:cs="mylotus"/>
          <w:sz w:val="26"/>
          <w:szCs w:val="26"/>
          <w:rtl/>
        </w:rPr>
        <w:t>،</w:t>
      </w:r>
      <w:r w:rsidRPr="00C3556F">
        <w:rPr>
          <w:rFonts w:ascii="mylotus" w:hAnsi="mylotus" w:cs="mylotus"/>
          <w:sz w:val="26"/>
          <w:szCs w:val="26"/>
          <w:rtl/>
        </w:rPr>
        <w:t xml:space="preserve"> </w:t>
      </w:r>
      <w:r w:rsidR="00217AB4" w:rsidRPr="00C3556F">
        <w:rPr>
          <w:rFonts w:ascii="mylotus" w:hAnsi="mylotus" w:cs="mylotus"/>
          <w:sz w:val="26"/>
          <w:szCs w:val="26"/>
          <w:rtl/>
        </w:rPr>
        <w:t>(</w:t>
      </w:r>
      <w:r w:rsidRPr="00C3556F">
        <w:rPr>
          <w:rFonts w:ascii="mylotus" w:hAnsi="mylotus" w:cs="mylotus"/>
          <w:sz w:val="26"/>
          <w:szCs w:val="26"/>
          <w:rtl/>
        </w:rPr>
        <w:t>توفي في القرن 8 هجري?</w:t>
      </w:r>
      <w:r w:rsidR="00217AB4" w:rsidRPr="00C3556F">
        <w:rPr>
          <w:rFonts w:ascii="mylotus" w:hAnsi="mylotus" w:cs="mylotus"/>
          <w:sz w:val="26"/>
          <w:szCs w:val="26"/>
          <w:rtl/>
        </w:rPr>
        <w:t>)،</w:t>
      </w:r>
      <w:r w:rsidRPr="00C3556F">
        <w:rPr>
          <w:rFonts w:ascii="mylotus" w:hAnsi="mylotus" w:cs="mylotus"/>
          <w:sz w:val="26"/>
          <w:szCs w:val="26"/>
          <w:rtl/>
        </w:rPr>
        <w:t xml:space="preserve"> «رجال ابن داود»</w:t>
      </w:r>
      <w:r w:rsidR="00217AB4" w:rsidRPr="00C3556F">
        <w:rPr>
          <w:rFonts w:ascii="mylotus" w:hAnsi="mylotus" w:cs="mylotus"/>
          <w:sz w:val="26"/>
          <w:szCs w:val="26"/>
          <w:rtl/>
        </w:rPr>
        <w:t>،</w:t>
      </w:r>
      <w:r w:rsidRPr="00C3556F">
        <w:rPr>
          <w:rFonts w:ascii="mylotus" w:hAnsi="mylotus" w:cs="mylotus"/>
          <w:sz w:val="26"/>
          <w:szCs w:val="26"/>
          <w:rtl/>
        </w:rPr>
        <w:t xml:space="preserve"> نشر مؤسسة النشر في جامعة طهران</w:t>
      </w:r>
      <w:r w:rsidR="00217AB4" w:rsidRPr="00C3556F">
        <w:rPr>
          <w:rFonts w:ascii="mylotus" w:hAnsi="mylotus" w:cs="mylotus"/>
          <w:sz w:val="26"/>
          <w:szCs w:val="26"/>
          <w:rtl/>
        </w:rPr>
        <w:t>،</w:t>
      </w:r>
      <w:r w:rsidRPr="00C3556F">
        <w:rPr>
          <w:rFonts w:ascii="mylotus" w:hAnsi="mylotus" w:cs="mylotus"/>
          <w:sz w:val="26"/>
          <w:szCs w:val="26"/>
          <w:rtl/>
        </w:rPr>
        <w:t xml:space="preserve"> 1383هـ</w:t>
      </w:r>
      <w:r w:rsidR="00217AB4" w:rsidRPr="00C3556F">
        <w:rPr>
          <w:rFonts w:ascii="mylotus" w:hAnsi="mylotus" w:cs="mylotus"/>
          <w:sz w:val="26"/>
          <w:szCs w:val="26"/>
          <w:rtl/>
        </w:rPr>
        <w:t>.</w:t>
      </w:r>
    </w:p>
    <w:p w:rsidR="005C664D" w:rsidRPr="00C3556F" w:rsidRDefault="005C664D" w:rsidP="00C3556F">
      <w:pPr>
        <w:numPr>
          <w:ilvl w:val="0"/>
          <w:numId w:val="30"/>
        </w:numPr>
        <w:spacing w:line="228" w:lineRule="auto"/>
        <w:ind w:left="397" w:hanging="397"/>
        <w:jc w:val="both"/>
        <w:rPr>
          <w:rFonts w:ascii="mylotus" w:hAnsi="mylotus" w:cs="mylotus"/>
          <w:sz w:val="26"/>
          <w:szCs w:val="26"/>
          <w:rtl/>
        </w:rPr>
      </w:pPr>
      <w:r w:rsidRPr="00C3556F">
        <w:rPr>
          <w:rFonts w:ascii="mylotus" w:hAnsi="mylotus" w:cs="mylotus"/>
          <w:sz w:val="26"/>
          <w:szCs w:val="26"/>
          <w:rtl/>
        </w:rPr>
        <w:t>ابن الغضائري</w:t>
      </w:r>
      <w:r w:rsidR="00217AB4" w:rsidRPr="00C3556F">
        <w:rPr>
          <w:rFonts w:ascii="mylotus" w:hAnsi="mylotus" w:cs="mylotus"/>
          <w:sz w:val="26"/>
          <w:szCs w:val="26"/>
          <w:rtl/>
        </w:rPr>
        <w:t>،</w:t>
      </w:r>
      <w:r w:rsidRPr="00C3556F">
        <w:rPr>
          <w:rFonts w:ascii="mylotus" w:hAnsi="mylotus" w:cs="mylotus"/>
          <w:sz w:val="26"/>
          <w:szCs w:val="26"/>
          <w:rtl/>
        </w:rPr>
        <w:t xml:space="preserve"> أبو عبد الله أحمد بن الحسين بن عبد الله بن إبراهيم الغضائري </w:t>
      </w:r>
      <w:r w:rsidR="00217AB4" w:rsidRPr="00C3556F">
        <w:rPr>
          <w:rFonts w:ascii="mylotus" w:hAnsi="mylotus" w:cs="mylotus"/>
          <w:sz w:val="26"/>
          <w:szCs w:val="26"/>
          <w:rtl/>
        </w:rPr>
        <w:t>(</w:t>
      </w:r>
      <w:r w:rsidRPr="00C3556F">
        <w:rPr>
          <w:rFonts w:ascii="mylotus" w:hAnsi="mylotus" w:cs="mylotus"/>
          <w:sz w:val="26"/>
          <w:szCs w:val="26"/>
          <w:rtl/>
        </w:rPr>
        <w:t>411هـ</w:t>
      </w:r>
      <w:r w:rsidR="00217AB4" w:rsidRPr="00C3556F">
        <w:rPr>
          <w:rFonts w:ascii="mylotus" w:hAnsi="mylotus" w:cs="mylotus"/>
          <w:sz w:val="26"/>
          <w:szCs w:val="26"/>
          <w:rtl/>
        </w:rPr>
        <w:t>)،</w:t>
      </w:r>
      <w:r w:rsidRPr="00C3556F">
        <w:rPr>
          <w:rFonts w:ascii="mylotus" w:hAnsi="mylotus" w:cs="mylotus"/>
          <w:sz w:val="26"/>
          <w:szCs w:val="26"/>
          <w:rtl/>
        </w:rPr>
        <w:t xml:space="preserve"> «رجال ‏ابن ‏الغضائري»</w:t>
      </w:r>
      <w:r w:rsidR="00217AB4" w:rsidRPr="00C3556F">
        <w:rPr>
          <w:rFonts w:ascii="mylotus" w:hAnsi="mylotus" w:cs="mylotus"/>
          <w:sz w:val="26"/>
          <w:szCs w:val="26"/>
          <w:rtl/>
        </w:rPr>
        <w:t>،</w:t>
      </w:r>
      <w:r w:rsidRPr="00C3556F">
        <w:rPr>
          <w:rFonts w:ascii="mylotus" w:hAnsi="mylotus" w:cs="mylotus"/>
          <w:sz w:val="26"/>
          <w:szCs w:val="26"/>
          <w:rtl/>
        </w:rPr>
        <w:t xml:space="preserve"> قم</w:t>
      </w:r>
      <w:r w:rsidR="00217AB4" w:rsidRPr="00C3556F">
        <w:rPr>
          <w:rFonts w:ascii="mylotus" w:hAnsi="mylotus" w:cs="mylotus"/>
          <w:sz w:val="26"/>
          <w:szCs w:val="26"/>
          <w:rtl/>
        </w:rPr>
        <w:t>:</w:t>
      </w:r>
      <w:r w:rsidRPr="00C3556F">
        <w:rPr>
          <w:rFonts w:ascii="mylotus" w:hAnsi="mylotus" w:cs="mylotus"/>
          <w:sz w:val="26"/>
          <w:szCs w:val="26"/>
          <w:rtl/>
        </w:rPr>
        <w:t xml:space="preserve"> مؤسسه اسماعيليان</w:t>
      </w:r>
      <w:r w:rsidR="00217AB4" w:rsidRPr="00C3556F">
        <w:rPr>
          <w:rFonts w:ascii="mylotus" w:hAnsi="mylotus" w:cs="mylotus"/>
          <w:sz w:val="26"/>
          <w:szCs w:val="26"/>
          <w:rtl/>
        </w:rPr>
        <w:t>،</w:t>
      </w:r>
      <w:r w:rsidRPr="00C3556F">
        <w:rPr>
          <w:rFonts w:ascii="mylotus" w:hAnsi="mylotus" w:cs="mylotus"/>
          <w:sz w:val="26"/>
          <w:szCs w:val="26"/>
          <w:rtl/>
        </w:rPr>
        <w:t xml:space="preserve"> 1364هـ</w:t>
      </w:r>
      <w:r w:rsidR="00217AB4" w:rsidRPr="00C3556F">
        <w:rPr>
          <w:rFonts w:ascii="mylotus" w:hAnsi="mylotus" w:cs="mylotus"/>
          <w:sz w:val="26"/>
          <w:szCs w:val="26"/>
          <w:rtl/>
        </w:rPr>
        <w:t>.</w:t>
      </w:r>
    </w:p>
    <w:p w:rsidR="005C664D" w:rsidRPr="00C3556F" w:rsidRDefault="005C664D" w:rsidP="00C3556F">
      <w:pPr>
        <w:numPr>
          <w:ilvl w:val="0"/>
          <w:numId w:val="30"/>
        </w:numPr>
        <w:spacing w:line="228" w:lineRule="auto"/>
        <w:ind w:left="397" w:hanging="397"/>
        <w:jc w:val="both"/>
        <w:rPr>
          <w:rFonts w:ascii="mylotus" w:hAnsi="mylotus" w:cs="mylotus"/>
          <w:sz w:val="26"/>
          <w:szCs w:val="26"/>
          <w:rtl/>
        </w:rPr>
      </w:pPr>
      <w:r w:rsidRPr="00C3556F">
        <w:rPr>
          <w:rFonts w:ascii="mylotus" w:hAnsi="mylotus" w:cs="mylotus"/>
          <w:sz w:val="26"/>
          <w:szCs w:val="26"/>
          <w:rtl/>
        </w:rPr>
        <w:t>أبو علي الحائري</w:t>
      </w:r>
      <w:r w:rsidR="00217AB4" w:rsidRPr="00C3556F">
        <w:rPr>
          <w:rFonts w:ascii="mylotus" w:hAnsi="mylotus" w:cs="mylotus"/>
          <w:sz w:val="26"/>
          <w:szCs w:val="26"/>
          <w:rtl/>
        </w:rPr>
        <w:t>،</w:t>
      </w:r>
      <w:r w:rsidRPr="00C3556F">
        <w:rPr>
          <w:rFonts w:ascii="mylotus" w:hAnsi="mylotus" w:cs="mylotus"/>
          <w:sz w:val="26"/>
          <w:szCs w:val="26"/>
          <w:rtl/>
        </w:rPr>
        <w:t xml:space="preserve"> الشيخ محمد بن إسماعيل </w:t>
      </w:r>
      <w:r w:rsidR="00217AB4" w:rsidRPr="00C3556F">
        <w:rPr>
          <w:rFonts w:ascii="mylotus" w:hAnsi="mylotus" w:cs="mylotus"/>
          <w:sz w:val="26"/>
          <w:szCs w:val="26"/>
          <w:rtl/>
        </w:rPr>
        <w:t>(</w:t>
      </w:r>
      <w:r w:rsidRPr="00C3556F">
        <w:rPr>
          <w:rFonts w:ascii="mylotus" w:hAnsi="mylotus" w:cs="mylotus"/>
          <w:sz w:val="26"/>
          <w:szCs w:val="26"/>
          <w:rtl/>
        </w:rPr>
        <w:t>1215 هـ</w:t>
      </w:r>
      <w:r w:rsidR="00217AB4" w:rsidRPr="00C3556F">
        <w:rPr>
          <w:rFonts w:ascii="mylotus" w:hAnsi="mylotus" w:cs="mylotus"/>
          <w:sz w:val="26"/>
          <w:szCs w:val="26"/>
          <w:rtl/>
        </w:rPr>
        <w:t>)،</w:t>
      </w:r>
      <w:r w:rsidRPr="00C3556F">
        <w:rPr>
          <w:rFonts w:ascii="mylotus" w:hAnsi="mylotus" w:cs="mylotus"/>
          <w:sz w:val="26"/>
          <w:szCs w:val="26"/>
          <w:rtl/>
        </w:rPr>
        <w:t xml:space="preserve"> «منتهى المقال في علم الرجال»</w:t>
      </w:r>
      <w:r w:rsidR="00217AB4" w:rsidRPr="00C3556F">
        <w:rPr>
          <w:rFonts w:ascii="mylotus" w:hAnsi="mylotus" w:cs="mylotus"/>
          <w:sz w:val="26"/>
          <w:szCs w:val="26"/>
          <w:rtl/>
        </w:rPr>
        <w:t>.</w:t>
      </w:r>
    </w:p>
    <w:p w:rsidR="005C664D" w:rsidRPr="00C3556F" w:rsidRDefault="005C664D" w:rsidP="00C3556F">
      <w:pPr>
        <w:numPr>
          <w:ilvl w:val="0"/>
          <w:numId w:val="30"/>
        </w:numPr>
        <w:spacing w:line="228" w:lineRule="auto"/>
        <w:ind w:left="397" w:hanging="397"/>
        <w:jc w:val="both"/>
        <w:rPr>
          <w:rFonts w:ascii="mylotus" w:hAnsi="mylotus" w:cs="mylotus"/>
          <w:sz w:val="26"/>
          <w:szCs w:val="26"/>
        </w:rPr>
      </w:pPr>
      <w:r w:rsidRPr="00C3556F">
        <w:rPr>
          <w:rFonts w:ascii="mylotus" w:hAnsi="mylotus" w:cs="mylotus"/>
          <w:sz w:val="26"/>
          <w:szCs w:val="26"/>
          <w:rtl/>
        </w:rPr>
        <w:t>الأردبيلي</w:t>
      </w:r>
      <w:r w:rsidR="00217AB4" w:rsidRPr="00C3556F">
        <w:rPr>
          <w:rFonts w:ascii="mylotus" w:hAnsi="mylotus" w:cs="mylotus"/>
          <w:sz w:val="26"/>
          <w:szCs w:val="26"/>
          <w:rtl/>
        </w:rPr>
        <w:t>،</w:t>
      </w:r>
      <w:r w:rsidRPr="00C3556F">
        <w:rPr>
          <w:rFonts w:ascii="mylotus" w:hAnsi="mylotus" w:cs="mylotus"/>
          <w:sz w:val="26"/>
          <w:szCs w:val="26"/>
          <w:rtl/>
        </w:rPr>
        <w:t xml:space="preserve"> محمد بن علي الغروي الحائري </w:t>
      </w:r>
      <w:r w:rsidR="00217AB4" w:rsidRPr="00C3556F">
        <w:rPr>
          <w:rFonts w:ascii="mylotus" w:hAnsi="mylotus" w:cs="mylotus"/>
          <w:sz w:val="26"/>
          <w:szCs w:val="26"/>
          <w:rtl/>
        </w:rPr>
        <w:t>(</w:t>
      </w:r>
      <w:r w:rsidRPr="00C3556F">
        <w:rPr>
          <w:rFonts w:ascii="mylotus" w:hAnsi="mylotus" w:cs="mylotus"/>
          <w:sz w:val="26"/>
          <w:szCs w:val="26"/>
          <w:rtl/>
        </w:rPr>
        <w:t>1101 هـ</w:t>
      </w:r>
      <w:r w:rsidR="00217AB4" w:rsidRPr="00C3556F">
        <w:rPr>
          <w:rFonts w:ascii="mylotus" w:hAnsi="mylotus" w:cs="mylotus"/>
          <w:sz w:val="26"/>
          <w:szCs w:val="26"/>
          <w:rtl/>
        </w:rPr>
        <w:t>)،</w:t>
      </w:r>
      <w:r w:rsidRPr="00C3556F">
        <w:rPr>
          <w:rFonts w:ascii="mylotus" w:hAnsi="mylotus" w:cs="mylotus"/>
          <w:sz w:val="26"/>
          <w:szCs w:val="26"/>
          <w:rtl/>
        </w:rPr>
        <w:t xml:space="preserve"> «جامع الرواة»</w:t>
      </w:r>
      <w:r w:rsidR="00217AB4" w:rsidRPr="00C3556F">
        <w:rPr>
          <w:rFonts w:ascii="mylotus" w:hAnsi="mylotus" w:cs="mylotus"/>
          <w:sz w:val="26"/>
          <w:szCs w:val="26"/>
          <w:rtl/>
        </w:rPr>
        <w:t>،</w:t>
      </w:r>
      <w:r w:rsidRPr="00C3556F">
        <w:rPr>
          <w:rFonts w:ascii="mylotus" w:hAnsi="mylotus" w:cs="mylotus"/>
          <w:sz w:val="26"/>
          <w:szCs w:val="26"/>
          <w:rtl/>
        </w:rPr>
        <w:t xml:space="preserve"> طبع قم</w:t>
      </w:r>
      <w:r w:rsidR="00217AB4" w:rsidRPr="00C3556F">
        <w:rPr>
          <w:rFonts w:ascii="mylotus" w:hAnsi="mylotus" w:cs="mylotus"/>
          <w:sz w:val="26"/>
          <w:szCs w:val="26"/>
          <w:rtl/>
        </w:rPr>
        <w:t>،</w:t>
      </w:r>
      <w:r w:rsidRPr="00C3556F">
        <w:rPr>
          <w:rFonts w:ascii="mylotus" w:hAnsi="mylotus" w:cs="mylotus"/>
          <w:sz w:val="26"/>
          <w:szCs w:val="26"/>
          <w:rtl/>
        </w:rPr>
        <w:t xml:space="preserve"> 1403هـ</w:t>
      </w:r>
      <w:r w:rsidR="00217AB4" w:rsidRPr="00C3556F">
        <w:rPr>
          <w:rFonts w:ascii="mylotus" w:hAnsi="mylotus" w:cs="mylotus"/>
          <w:sz w:val="26"/>
          <w:szCs w:val="26"/>
          <w:rtl/>
        </w:rPr>
        <w:t>.</w:t>
      </w:r>
    </w:p>
    <w:p w:rsidR="005C664D" w:rsidRPr="00C3556F" w:rsidRDefault="005C664D" w:rsidP="00C3556F">
      <w:pPr>
        <w:numPr>
          <w:ilvl w:val="0"/>
          <w:numId w:val="30"/>
        </w:numPr>
        <w:spacing w:line="228" w:lineRule="auto"/>
        <w:ind w:left="397" w:hanging="397"/>
        <w:jc w:val="both"/>
        <w:rPr>
          <w:rFonts w:ascii="mylotus" w:hAnsi="mylotus" w:cs="mylotus"/>
          <w:sz w:val="26"/>
          <w:szCs w:val="26"/>
          <w:rtl/>
        </w:rPr>
      </w:pPr>
      <w:r w:rsidRPr="00C3556F">
        <w:rPr>
          <w:rFonts w:ascii="mylotus" w:hAnsi="mylotus" w:cs="mylotus"/>
          <w:sz w:val="26"/>
          <w:szCs w:val="26"/>
          <w:rtl/>
        </w:rPr>
        <w:t>الأسترآبادي</w:t>
      </w:r>
      <w:r w:rsidR="00217AB4" w:rsidRPr="00C3556F">
        <w:rPr>
          <w:rFonts w:ascii="mylotus" w:hAnsi="mylotus" w:cs="mylotus"/>
          <w:sz w:val="26"/>
          <w:szCs w:val="26"/>
          <w:rtl/>
        </w:rPr>
        <w:t>،</w:t>
      </w:r>
      <w:r w:rsidRPr="00C3556F">
        <w:rPr>
          <w:rFonts w:ascii="mylotus" w:hAnsi="mylotus" w:cs="mylotus"/>
          <w:sz w:val="26"/>
          <w:szCs w:val="26"/>
          <w:rtl/>
        </w:rPr>
        <w:t xml:space="preserve"> الميرزا محمد </w:t>
      </w:r>
      <w:r w:rsidR="00217AB4" w:rsidRPr="00C3556F">
        <w:rPr>
          <w:rFonts w:ascii="mylotus" w:hAnsi="mylotus" w:cs="mylotus"/>
          <w:sz w:val="26"/>
          <w:szCs w:val="26"/>
          <w:rtl/>
        </w:rPr>
        <w:t>(</w:t>
      </w:r>
      <w:r w:rsidRPr="00C3556F">
        <w:rPr>
          <w:rFonts w:ascii="mylotus" w:hAnsi="mylotus" w:cs="mylotus"/>
          <w:sz w:val="26"/>
          <w:szCs w:val="26"/>
          <w:rtl/>
        </w:rPr>
        <w:t>1021 هـ</w:t>
      </w:r>
      <w:r w:rsidR="00217AB4" w:rsidRPr="00C3556F">
        <w:rPr>
          <w:rFonts w:ascii="mylotus" w:hAnsi="mylotus" w:cs="mylotus"/>
          <w:sz w:val="26"/>
          <w:szCs w:val="26"/>
          <w:rtl/>
        </w:rPr>
        <w:t>)،</w:t>
      </w:r>
      <w:r w:rsidRPr="00C3556F">
        <w:rPr>
          <w:rFonts w:ascii="mylotus" w:hAnsi="mylotus" w:cs="mylotus"/>
          <w:sz w:val="26"/>
          <w:szCs w:val="26"/>
          <w:rtl/>
        </w:rPr>
        <w:t xml:space="preserve"> «منهج المقال في تحقيق أحوال الرجال» المعروف بالرجال الكبير</w:t>
      </w:r>
      <w:r w:rsidR="00217AB4" w:rsidRPr="00C3556F">
        <w:rPr>
          <w:rFonts w:ascii="mylotus" w:hAnsi="mylotus" w:cs="mylotus"/>
          <w:sz w:val="26"/>
          <w:szCs w:val="26"/>
          <w:rtl/>
        </w:rPr>
        <w:t>،</w:t>
      </w:r>
      <w:r w:rsidRPr="00C3556F">
        <w:rPr>
          <w:rFonts w:ascii="mylotus" w:hAnsi="mylotus" w:cs="mylotus"/>
          <w:sz w:val="26"/>
          <w:szCs w:val="26"/>
          <w:rtl/>
        </w:rPr>
        <w:t xml:space="preserve"> طبع طهران</w:t>
      </w:r>
      <w:r w:rsidR="00217AB4" w:rsidRPr="00C3556F">
        <w:rPr>
          <w:rFonts w:ascii="mylotus" w:hAnsi="mylotus" w:cs="mylotus"/>
          <w:sz w:val="26"/>
          <w:szCs w:val="26"/>
          <w:rtl/>
        </w:rPr>
        <w:t>،</w:t>
      </w:r>
      <w:r w:rsidRPr="00C3556F">
        <w:rPr>
          <w:rFonts w:ascii="mylotus" w:hAnsi="mylotus" w:cs="mylotus"/>
          <w:sz w:val="26"/>
          <w:szCs w:val="26"/>
          <w:rtl/>
        </w:rPr>
        <w:t xml:space="preserve"> 1306هـ</w:t>
      </w:r>
      <w:r w:rsidR="00217AB4" w:rsidRPr="00C3556F">
        <w:rPr>
          <w:rFonts w:ascii="mylotus" w:hAnsi="mylotus" w:cs="mylotus"/>
          <w:sz w:val="26"/>
          <w:szCs w:val="26"/>
          <w:rtl/>
        </w:rPr>
        <w:t>.</w:t>
      </w:r>
      <w:r w:rsidRPr="00C3556F">
        <w:rPr>
          <w:rFonts w:ascii="mylotus" w:hAnsi="mylotus" w:cs="mylotus"/>
          <w:sz w:val="26"/>
          <w:szCs w:val="26"/>
          <w:rtl/>
        </w:rPr>
        <w:t xml:space="preserve"> </w:t>
      </w:r>
    </w:p>
    <w:p w:rsidR="005C664D" w:rsidRPr="00C3556F" w:rsidRDefault="005C664D" w:rsidP="00C3556F">
      <w:pPr>
        <w:numPr>
          <w:ilvl w:val="0"/>
          <w:numId w:val="30"/>
        </w:numPr>
        <w:spacing w:line="228" w:lineRule="auto"/>
        <w:ind w:left="397" w:hanging="397"/>
        <w:jc w:val="both"/>
        <w:rPr>
          <w:rFonts w:ascii="mylotus" w:hAnsi="mylotus" w:cs="mylotus"/>
          <w:sz w:val="26"/>
          <w:szCs w:val="26"/>
          <w:rtl/>
        </w:rPr>
      </w:pPr>
      <w:r w:rsidRPr="00C3556F">
        <w:rPr>
          <w:rFonts w:ascii="mylotus" w:hAnsi="mylotus" w:cs="mylotus"/>
          <w:sz w:val="26"/>
          <w:szCs w:val="26"/>
          <w:rtl/>
        </w:rPr>
        <w:t>التستري</w:t>
      </w:r>
      <w:r w:rsidR="00217AB4" w:rsidRPr="00C3556F">
        <w:rPr>
          <w:rFonts w:ascii="mylotus" w:hAnsi="mylotus" w:cs="mylotus"/>
          <w:sz w:val="26"/>
          <w:szCs w:val="26"/>
          <w:rtl/>
        </w:rPr>
        <w:t>،</w:t>
      </w:r>
      <w:r w:rsidRPr="00C3556F">
        <w:rPr>
          <w:rFonts w:ascii="mylotus" w:hAnsi="mylotus" w:cs="mylotus"/>
          <w:sz w:val="26"/>
          <w:szCs w:val="26"/>
          <w:rtl/>
        </w:rPr>
        <w:t xml:space="preserve"> الشيخ محمد تقي </w:t>
      </w:r>
      <w:r w:rsidR="00217AB4" w:rsidRPr="00C3556F">
        <w:rPr>
          <w:rFonts w:ascii="mylotus" w:hAnsi="mylotus" w:cs="mylotus"/>
          <w:sz w:val="26"/>
          <w:szCs w:val="26"/>
          <w:rtl/>
        </w:rPr>
        <w:t>(</w:t>
      </w:r>
      <w:r w:rsidRPr="00C3556F">
        <w:rPr>
          <w:rFonts w:ascii="mylotus" w:hAnsi="mylotus" w:cs="mylotus"/>
          <w:sz w:val="26"/>
          <w:szCs w:val="26"/>
          <w:rtl/>
        </w:rPr>
        <w:t>القرن 14 هـ</w:t>
      </w:r>
      <w:r w:rsidR="00217AB4" w:rsidRPr="00C3556F">
        <w:rPr>
          <w:rFonts w:ascii="mylotus" w:hAnsi="mylotus" w:cs="mylotus"/>
          <w:sz w:val="26"/>
          <w:szCs w:val="26"/>
          <w:rtl/>
        </w:rPr>
        <w:t>)،</w:t>
      </w:r>
      <w:r w:rsidRPr="00C3556F">
        <w:rPr>
          <w:rFonts w:ascii="mylotus" w:hAnsi="mylotus" w:cs="mylotus"/>
          <w:sz w:val="26"/>
          <w:szCs w:val="26"/>
          <w:rtl/>
        </w:rPr>
        <w:t xml:space="preserve"> «قاموس الرجال»</w:t>
      </w:r>
      <w:r w:rsidR="00217AB4" w:rsidRPr="00C3556F">
        <w:rPr>
          <w:rFonts w:ascii="mylotus" w:hAnsi="mylotus" w:cs="mylotus"/>
          <w:sz w:val="26"/>
          <w:szCs w:val="26"/>
          <w:rtl/>
        </w:rPr>
        <w:t>،</w:t>
      </w:r>
      <w:r w:rsidRPr="00C3556F">
        <w:rPr>
          <w:rFonts w:ascii="mylotus" w:hAnsi="mylotus" w:cs="mylotus"/>
          <w:sz w:val="26"/>
          <w:szCs w:val="26"/>
          <w:rtl/>
        </w:rPr>
        <w:t xml:space="preserve"> طهران</w:t>
      </w:r>
      <w:r w:rsidR="00217AB4" w:rsidRPr="00C3556F">
        <w:rPr>
          <w:rFonts w:ascii="mylotus" w:hAnsi="mylotus" w:cs="mylotus"/>
          <w:sz w:val="26"/>
          <w:szCs w:val="26"/>
          <w:rtl/>
        </w:rPr>
        <w:t>،</w:t>
      </w:r>
      <w:r w:rsidRPr="00C3556F">
        <w:rPr>
          <w:rFonts w:ascii="mylotus" w:hAnsi="mylotus" w:cs="mylotus"/>
          <w:sz w:val="26"/>
          <w:szCs w:val="26"/>
          <w:rtl/>
        </w:rPr>
        <w:t xml:space="preserve"> 1379هـ [11 مجلداً]</w:t>
      </w:r>
      <w:r w:rsidR="00217AB4" w:rsidRPr="00C3556F">
        <w:rPr>
          <w:rFonts w:ascii="mylotus" w:hAnsi="mylotus" w:cs="mylotus"/>
          <w:sz w:val="26"/>
          <w:szCs w:val="26"/>
          <w:rtl/>
        </w:rPr>
        <w:t>.</w:t>
      </w:r>
    </w:p>
    <w:p w:rsidR="005C664D" w:rsidRPr="00C3556F" w:rsidRDefault="005C664D" w:rsidP="00C3556F">
      <w:pPr>
        <w:numPr>
          <w:ilvl w:val="0"/>
          <w:numId w:val="30"/>
        </w:numPr>
        <w:spacing w:line="228" w:lineRule="auto"/>
        <w:ind w:left="397" w:hanging="397"/>
        <w:jc w:val="both"/>
        <w:rPr>
          <w:rFonts w:ascii="mylotus" w:hAnsi="mylotus" w:cs="mylotus"/>
          <w:sz w:val="26"/>
          <w:szCs w:val="26"/>
        </w:rPr>
      </w:pPr>
      <w:r w:rsidRPr="00C3556F">
        <w:rPr>
          <w:rFonts w:ascii="mylotus" w:hAnsi="mylotus" w:cs="mylotus"/>
          <w:sz w:val="26"/>
          <w:szCs w:val="26"/>
          <w:rtl/>
        </w:rPr>
        <w:t>التفرشي</w:t>
      </w:r>
      <w:r w:rsidR="00217AB4" w:rsidRPr="00C3556F">
        <w:rPr>
          <w:rFonts w:ascii="mylotus" w:hAnsi="mylotus" w:cs="mylotus"/>
          <w:sz w:val="26"/>
          <w:szCs w:val="26"/>
          <w:rtl/>
        </w:rPr>
        <w:t>،</w:t>
      </w:r>
      <w:r w:rsidRPr="00C3556F">
        <w:rPr>
          <w:rFonts w:ascii="mylotus" w:hAnsi="mylotus" w:cs="mylotus"/>
          <w:sz w:val="26"/>
          <w:szCs w:val="26"/>
          <w:rtl/>
        </w:rPr>
        <w:t xml:space="preserve"> آقا مير مصطفى بن الحسين الحسيني </w:t>
      </w:r>
      <w:r w:rsidR="00217AB4" w:rsidRPr="00C3556F">
        <w:rPr>
          <w:rFonts w:ascii="mylotus" w:hAnsi="mylotus" w:cs="mylotus"/>
          <w:sz w:val="26"/>
          <w:szCs w:val="26"/>
          <w:rtl/>
        </w:rPr>
        <w:t>(</w:t>
      </w:r>
      <w:r w:rsidRPr="00C3556F">
        <w:rPr>
          <w:rFonts w:ascii="mylotus" w:hAnsi="mylotus" w:cs="mylotus"/>
          <w:sz w:val="26"/>
          <w:szCs w:val="26"/>
          <w:rtl/>
        </w:rPr>
        <w:t>1015 أو 1031 هـ</w:t>
      </w:r>
      <w:r w:rsidR="00217AB4" w:rsidRPr="00C3556F">
        <w:rPr>
          <w:rFonts w:ascii="mylotus" w:hAnsi="mylotus" w:cs="mylotus"/>
          <w:sz w:val="26"/>
          <w:szCs w:val="26"/>
          <w:rtl/>
        </w:rPr>
        <w:t>؟)،</w:t>
      </w:r>
      <w:r w:rsidRPr="00C3556F">
        <w:rPr>
          <w:rFonts w:ascii="mylotus" w:hAnsi="mylotus" w:cs="mylotus"/>
          <w:sz w:val="26"/>
          <w:szCs w:val="26"/>
          <w:rtl/>
        </w:rPr>
        <w:t xml:space="preserve"> «نقد الرجال»</w:t>
      </w:r>
      <w:r w:rsidR="00217AB4" w:rsidRPr="00C3556F">
        <w:rPr>
          <w:rFonts w:ascii="mylotus" w:hAnsi="mylotus" w:cs="mylotus"/>
          <w:sz w:val="26"/>
          <w:szCs w:val="26"/>
          <w:rtl/>
        </w:rPr>
        <w:t>،</w:t>
      </w:r>
      <w:r w:rsidRPr="00C3556F">
        <w:rPr>
          <w:rFonts w:ascii="mylotus" w:hAnsi="mylotus" w:cs="mylotus"/>
          <w:sz w:val="26"/>
          <w:szCs w:val="26"/>
          <w:rtl/>
        </w:rPr>
        <w:t xml:space="preserve"> طهران</w:t>
      </w:r>
      <w:r w:rsidR="00217AB4" w:rsidRPr="00C3556F">
        <w:rPr>
          <w:rFonts w:ascii="mylotus" w:hAnsi="mylotus" w:cs="mylotus"/>
          <w:sz w:val="26"/>
          <w:szCs w:val="26"/>
          <w:rtl/>
        </w:rPr>
        <w:t>،</w:t>
      </w:r>
      <w:r w:rsidRPr="00C3556F">
        <w:rPr>
          <w:rFonts w:ascii="mylotus" w:hAnsi="mylotus" w:cs="mylotus"/>
          <w:sz w:val="26"/>
          <w:szCs w:val="26"/>
          <w:rtl/>
        </w:rPr>
        <w:t xml:space="preserve"> 1318هـ</w:t>
      </w:r>
      <w:r w:rsidR="00217AB4" w:rsidRPr="00C3556F">
        <w:rPr>
          <w:rFonts w:ascii="mylotus" w:hAnsi="mylotus" w:cs="mylotus"/>
          <w:sz w:val="26"/>
          <w:szCs w:val="26"/>
          <w:rtl/>
        </w:rPr>
        <w:t>.</w:t>
      </w:r>
    </w:p>
    <w:p w:rsidR="005C664D" w:rsidRPr="00C3556F" w:rsidRDefault="005C664D" w:rsidP="00C3556F">
      <w:pPr>
        <w:numPr>
          <w:ilvl w:val="0"/>
          <w:numId w:val="30"/>
        </w:numPr>
        <w:spacing w:line="228" w:lineRule="auto"/>
        <w:ind w:left="397" w:hanging="397"/>
        <w:jc w:val="both"/>
        <w:rPr>
          <w:rFonts w:ascii="mylotus" w:hAnsi="mylotus" w:cs="mylotus"/>
          <w:sz w:val="26"/>
          <w:szCs w:val="26"/>
        </w:rPr>
      </w:pPr>
      <w:r w:rsidRPr="00C3556F">
        <w:rPr>
          <w:rFonts w:ascii="mylotus" w:hAnsi="mylotus" w:cs="mylotus"/>
          <w:sz w:val="26"/>
          <w:szCs w:val="26"/>
          <w:rtl/>
        </w:rPr>
        <w:t>الجزائري</w:t>
      </w:r>
      <w:r w:rsidR="00217AB4" w:rsidRPr="00C3556F">
        <w:rPr>
          <w:rFonts w:ascii="mylotus" w:hAnsi="mylotus" w:cs="mylotus"/>
          <w:sz w:val="26"/>
          <w:szCs w:val="26"/>
          <w:rtl/>
        </w:rPr>
        <w:t>،</w:t>
      </w:r>
      <w:r w:rsidRPr="00C3556F">
        <w:rPr>
          <w:rFonts w:ascii="mylotus" w:hAnsi="mylotus" w:cs="mylotus"/>
          <w:sz w:val="26"/>
          <w:szCs w:val="26"/>
          <w:rtl/>
        </w:rPr>
        <w:t xml:space="preserve"> الشيخ عبد النبي بن سعد النجفي الحائري </w:t>
      </w:r>
      <w:r w:rsidR="00217AB4" w:rsidRPr="00C3556F">
        <w:rPr>
          <w:rFonts w:ascii="mylotus" w:hAnsi="mylotus" w:cs="mylotus"/>
          <w:sz w:val="26"/>
          <w:szCs w:val="26"/>
          <w:rtl/>
        </w:rPr>
        <w:t>(</w:t>
      </w:r>
      <w:r w:rsidRPr="00C3556F">
        <w:rPr>
          <w:rFonts w:ascii="mylotus" w:hAnsi="mylotus" w:cs="mylotus"/>
          <w:sz w:val="26"/>
          <w:szCs w:val="26"/>
          <w:rtl/>
        </w:rPr>
        <w:t>1021هـ</w:t>
      </w:r>
      <w:r w:rsidR="00217AB4" w:rsidRPr="00C3556F">
        <w:rPr>
          <w:rFonts w:ascii="mylotus" w:hAnsi="mylotus" w:cs="mylotus"/>
          <w:sz w:val="26"/>
          <w:szCs w:val="26"/>
          <w:rtl/>
        </w:rPr>
        <w:t>.)،</w:t>
      </w:r>
      <w:r w:rsidRPr="00C3556F">
        <w:rPr>
          <w:rFonts w:ascii="mylotus" w:hAnsi="mylotus" w:cs="mylotus"/>
          <w:sz w:val="26"/>
          <w:szCs w:val="26"/>
          <w:rtl/>
        </w:rPr>
        <w:t xml:space="preserve"> «الحاوي في الرجال»</w:t>
      </w:r>
      <w:r w:rsidR="00217AB4" w:rsidRPr="00C3556F">
        <w:rPr>
          <w:rFonts w:ascii="mylotus" w:hAnsi="mylotus" w:cs="mylotus"/>
          <w:sz w:val="26"/>
          <w:szCs w:val="26"/>
          <w:rtl/>
        </w:rPr>
        <w:t>.</w:t>
      </w:r>
    </w:p>
    <w:p w:rsidR="005C664D" w:rsidRPr="00C3556F" w:rsidRDefault="005C664D" w:rsidP="00C3556F">
      <w:pPr>
        <w:numPr>
          <w:ilvl w:val="0"/>
          <w:numId w:val="30"/>
        </w:numPr>
        <w:spacing w:line="228" w:lineRule="auto"/>
        <w:ind w:left="397" w:hanging="397"/>
        <w:jc w:val="both"/>
        <w:rPr>
          <w:rFonts w:ascii="mylotus" w:hAnsi="mylotus" w:cs="mylotus"/>
          <w:sz w:val="26"/>
          <w:szCs w:val="26"/>
          <w:rtl/>
        </w:rPr>
      </w:pPr>
      <w:r w:rsidRPr="00C3556F">
        <w:rPr>
          <w:rFonts w:ascii="mylotus" w:hAnsi="mylotus" w:cs="mylotus"/>
          <w:sz w:val="26"/>
          <w:szCs w:val="26"/>
          <w:rtl/>
        </w:rPr>
        <w:t>الحلي</w:t>
      </w:r>
      <w:r w:rsidR="00217AB4" w:rsidRPr="00C3556F">
        <w:rPr>
          <w:rFonts w:ascii="mylotus" w:hAnsi="mylotus" w:cs="mylotus"/>
          <w:sz w:val="26"/>
          <w:szCs w:val="26"/>
          <w:rtl/>
        </w:rPr>
        <w:t>،</w:t>
      </w:r>
      <w:r w:rsidRPr="00C3556F">
        <w:rPr>
          <w:rFonts w:ascii="mylotus" w:hAnsi="mylotus" w:cs="mylotus"/>
          <w:sz w:val="26"/>
          <w:szCs w:val="26"/>
          <w:rtl/>
        </w:rPr>
        <w:t xml:space="preserve"> العلامة الحسن بن يوسف بن المطهر</w:t>
      </w:r>
      <w:r w:rsidR="00217AB4" w:rsidRPr="00C3556F">
        <w:rPr>
          <w:rFonts w:ascii="mylotus" w:hAnsi="mylotus" w:cs="mylotus"/>
          <w:sz w:val="26"/>
          <w:szCs w:val="26"/>
          <w:rtl/>
        </w:rPr>
        <w:t>(</w:t>
      </w:r>
      <w:r w:rsidRPr="00C3556F">
        <w:rPr>
          <w:rFonts w:ascii="mylotus" w:hAnsi="mylotus" w:cs="mylotus"/>
          <w:sz w:val="26"/>
          <w:szCs w:val="26"/>
          <w:rtl/>
        </w:rPr>
        <w:t>726هـ</w:t>
      </w:r>
      <w:r w:rsidR="00217AB4" w:rsidRPr="00C3556F">
        <w:rPr>
          <w:rFonts w:ascii="mylotus" w:hAnsi="mylotus" w:cs="mylotus"/>
          <w:sz w:val="26"/>
          <w:szCs w:val="26"/>
          <w:rtl/>
        </w:rPr>
        <w:t>)،</w:t>
      </w:r>
      <w:r w:rsidRPr="00C3556F">
        <w:rPr>
          <w:rFonts w:ascii="mylotus" w:hAnsi="mylotus" w:cs="mylotus"/>
          <w:sz w:val="26"/>
          <w:szCs w:val="26"/>
          <w:rtl/>
        </w:rPr>
        <w:t xml:space="preserve"> «خلاصة الأقوال في معرفة الرجال»</w:t>
      </w:r>
      <w:r w:rsidR="00217AB4" w:rsidRPr="00C3556F">
        <w:rPr>
          <w:rFonts w:ascii="mylotus" w:hAnsi="mylotus" w:cs="mylotus"/>
          <w:sz w:val="26"/>
          <w:szCs w:val="26"/>
          <w:rtl/>
        </w:rPr>
        <w:t>.</w:t>
      </w:r>
    </w:p>
    <w:p w:rsidR="005C664D" w:rsidRPr="00C3556F" w:rsidRDefault="005C664D" w:rsidP="00C3556F">
      <w:pPr>
        <w:numPr>
          <w:ilvl w:val="0"/>
          <w:numId w:val="30"/>
        </w:numPr>
        <w:spacing w:line="228" w:lineRule="auto"/>
        <w:ind w:left="397" w:hanging="397"/>
        <w:jc w:val="both"/>
        <w:rPr>
          <w:rFonts w:ascii="mylotus" w:hAnsi="mylotus" w:cs="mylotus"/>
          <w:sz w:val="26"/>
          <w:szCs w:val="26"/>
          <w:rtl/>
        </w:rPr>
      </w:pPr>
      <w:r w:rsidRPr="00C3556F">
        <w:rPr>
          <w:rFonts w:ascii="mylotus" w:hAnsi="mylotus" w:cs="mylotus"/>
          <w:sz w:val="26"/>
          <w:szCs w:val="26"/>
          <w:rtl/>
        </w:rPr>
        <w:t>الطوسي</w:t>
      </w:r>
      <w:r w:rsidR="00217AB4" w:rsidRPr="00C3556F">
        <w:rPr>
          <w:rFonts w:ascii="mylotus" w:hAnsi="mylotus" w:cs="mylotus"/>
          <w:sz w:val="26"/>
          <w:szCs w:val="26"/>
          <w:rtl/>
        </w:rPr>
        <w:t>،</w:t>
      </w:r>
      <w:r w:rsidRPr="00C3556F">
        <w:rPr>
          <w:rFonts w:ascii="mylotus" w:hAnsi="mylotus" w:cs="mylotus"/>
          <w:sz w:val="26"/>
          <w:szCs w:val="26"/>
          <w:rtl/>
        </w:rPr>
        <w:t xml:space="preserve"> شيخ الطائفة أبو جعفر محمد بن الحسن </w:t>
      </w:r>
      <w:r w:rsidR="00217AB4" w:rsidRPr="00C3556F">
        <w:rPr>
          <w:rFonts w:ascii="mylotus" w:hAnsi="mylotus" w:cs="mylotus"/>
          <w:sz w:val="26"/>
          <w:szCs w:val="26"/>
          <w:rtl/>
        </w:rPr>
        <w:t>(</w:t>
      </w:r>
      <w:r w:rsidRPr="00C3556F">
        <w:rPr>
          <w:rFonts w:ascii="mylotus" w:hAnsi="mylotus" w:cs="mylotus"/>
          <w:sz w:val="26"/>
          <w:szCs w:val="26"/>
          <w:rtl/>
        </w:rPr>
        <w:t>460هـ</w:t>
      </w:r>
      <w:r w:rsidR="00217AB4" w:rsidRPr="00C3556F">
        <w:rPr>
          <w:rFonts w:ascii="mylotus" w:hAnsi="mylotus" w:cs="mylotus"/>
          <w:sz w:val="26"/>
          <w:szCs w:val="26"/>
          <w:rtl/>
        </w:rPr>
        <w:t>)،</w:t>
      </w:r>
      <w:r w:rsidRPr="00C3556F">
        <w:rPr>
          <w:rFonts w:ascii="mylotus" w:hAnsi="mylotus" w:cs="mylotus"/>
          <w:sz w:val="26"/>
          <w:szCs w:val="26"/>
          <w:rtl/>
        </w:rPr>
        <w:t xml:space="preserve"> «اختيار معرفة الرجال»</w:t>
      </w:r>
      <w:r w:rsidR="00217AB4" w:rsidRPr="00C3556F">
        <w:rPr>
          <w:rFonts w:ascii="mylotus" w:hAnsi="mylotus" w:cs="mylotus"/>
          <w:sz w:val="26"/>
          <w:szCs w:val="26"/>
          <w:rtl/>
        </w:rPr>
        <w:t>.</w:t>
      </w:r>
    </w:p>
    <w:p w:rsidR="005C664D" w:rsidRPr="00C3556F" w:rsidRDefault="005C664D" w:rsidP="00C3556F">
      <w:pPr>
        <w:numPr>
          <w:ilvl w:val="0"/>
          <w:numId w:val="30"/>
        </w:numPr>
        <w:spacing w:line="228" w:lineRule="auto"/>
        <w:ind w:left="397" w:hanging="397"/>
        <w:jc w:val="both"/>
        <w:rPr>
          <w:rFonts w:ascii="mylotus" w:hAnsi="mylotus" w:cs="mylotus"/>
          <w:sz w:val="26"/>
          <w:szCs w:val="26"/>
          <w:rtl/>
        </w:rPr>
      </w:pPr>
      <w:r w:rsidRPr="00C3556F">
        <w:rPr>
          <w:rFonts w:ascii="mylotus" w:hAnsi="mylotus" w:cs="mylotus"/>
          <w:sz w:val="26"/>
          <w:szCs w:val="26"/>
          <w:rtl/>
        </w:rPr>
        <w:t>الطوسي</w:t>
      </w:r>
      <w:r w:rsidR="00217AB4" w:rsidRPr="00C3556F">
        <w:rPr>
          <w:rFonts w:ascii="mylotus" w:hAnsi="mylotus" w:cs="mylotus"/>
          <w:sz w:val="26"/>
          <w:szCs w:val="26"/>
          <w:rtl/>
        </w:rPr>
        <w:t>،</w:t>
      </w:r>
      <w:r w:rsidRPr="00C3556F">
        <w:rPr>
          <w:rFonts w:ascii="mylotus" w:hAnsi="mylotus" w:cs="mylotus"/>
          <w:sz w:val="26"/>
          <w:szCs w:val="26"/>
          <w:rtl/>
        </w:rPr>
        <w:t xml:space="preserve"> شيخ الطائفة أبو جعفر محمد بن الحسن </w:t>
      </w:r>
      <w:r w:rsidR="00217AB4" w:rsidRPr="00C3556F">
        <w:rPr>
          <w:rFonts w:ascii="mylotus" w:hAnsi="mylotus" w:cs="mylotus"/>
          <w:sz w:val="26"/>
          <w:szCs w:val="26"/>
          <w:rtl/>
        </w:rPr>
        <w:t>(</w:t>
      </w:r>
      <w:r w:rsidRPr="00C3556F">
        <w:rPr>
          <w:rFonts w:ascii="mylotus" w:hAnsi="mylotus" w:cs="mylotus"/>
          <w:sz w:val="26"/>
          <w:szCs w:val="26"/>
          <w:rtl/>
        </w:rPr>
        <w:t>460هـ</w:t>
      </w:r>
      <w:r w:rsidR="00217AB4" w:rsidRPr="00C3556F">
        <w:rPr>
          <w:rFonts w:ascii="mylotus" w:hAnsi="mylotus" w:cs="mylotus"/>
          <w:sz w:val="26"/>
          <w:szCs w:val="26"/>
          <w:rtl/>
        </w:rPr>
        <w:t>)،</w:t>
      </w:r>
      <w:r w:rsidRPr="00C3556F">
        <w:rPr>
          <w:rFonts w:ascii="mylotus" w:hAnsi="mylotus" w:cs="mylotus"/>
          <w:sz w:val="26"/>
          <w:szCs w:val="26"/>
          <w:rtl/>
        </w:rPr>
        <w:t xml:space="preserve"> «الرجال»</w:t>
      </w:r>
      <w:r w:rsidR="00217AB4" w:rsidRPr="00C3556F">
        <w:rPr>
          <w:rFonts w:ascii="mylotus" w:hAnsi="mylotus" w:cs="mylotus"/>
          <w:sz w:val="26"/>
          <w:szCs w:val="26"/>
          <w:rtl/>
        </w:rPr>
        <w:t>.</w:t>
      </w:r>
    </w:p>
    <w:p w:rsidR="005C664D" w:rsidRPr="00C3556F" w:rsidRDefault="005C664D" w:rsidP="00C3556F">
      <w:pPr>
        <w:numPr>
          <w:ilvl w:val="0"/>
          <w:numId w:val="30"/>
        </w:numPr>
        <w:spacing w:line="228" w:lineRule="auto"/>
        <w:ind w:left="397" w:hanging="397"/>
        <w:jc w:val="both"/>
        <w:rPr>
          <w:rFonts w:ascii="mylotus" w:hAnsi="mylotus" w:cs="mylotus"/>
          <w:sz w:val="26"/>
          <w:szCs w:val="26"/>
          <w:rtl/>
        </w:rPr>
      </w:pPr>
      <w:r w:rsidRPr="00C3556F">
        <w:rPr>
          <w:rFonts w:ascii="mylotus" w:hAnsi="mylotus" w:cs="mylotus"/>
          <w:sz w:val="26"/>
          <w:szCs w:val="26"/>
          <w:rtl/>
        </w:rPr>
        <w:t>الطوسي</w:t>
      </w:r>
      <w:r w:rsidR="00217AB4" w:rsidRPr="00C3556F">
        <w:rPr>
          <w:rFonts w:ascii="mylotus" w:hAnsi="mylotus" w:cs="mylotus"/>
          <w:sz w:val="26"/>
          <w:szCs w:val="26"/>
          <w:rtl/>
        </w:rPr>
        <w:t>،</w:t>
      </w:r>
      <w:r w:rsidRPr="00C3556F">
        <w:rPr>
          <w:rFonts w:ascii="mylotus" w:hAnsi="mylotus" w:cs="mylotus"/>
          <w:sz w:val="26"/>
          <w:szCs w:val="26"/>
          <w:rtl/>
        </w:rPr>
        <w:t xml:space="preserve"> شيخ الطائفة</w:t>
      </w:r>
      <w:r w:rsidR="00217AB4" w:rsidRPr="00C3556F">
        <w:rPr>
          <w:rFonts w:ascii="mylotus" w:hAnsi="mylotus" w:cs="mylotus"/>
          <w:sz w:val="26"/>
          <w:szCs w:val="26"/>
          <w:rtl/>
        </w:rPr>
        <w:t>،</w:t>
      </w:r>
      <w:r w:rsidRPr="00C3556F">
        <w:rPr>
          <w:rFonts w:ascii="mylotus" w:hAnsi="mylotus" w:cs="mylotus"/>
          <w:sz w:val="26"/>
          <w:szCs w:val="26"/>
          <w:rtl/>
        </w:rPr>
        <w:t xml:space="preserve"> «الفهرست» طبع كلكوتة</w:t>
      </w:r>
      <w:r w:rsidR="00217AB4" w:rsidRPr="00C3556F">
        <w:rPr>
          <w:rFonts w:ascii="mylotus" w:hAnsi="mylotus" w:cs="mylotus"/>
          <w:sz w:val="26"/>
          <w:szCs w:val="26"/>
          <w:rtl/>
        </w:rPr>
        <w:t>.</w:t>
      </w:r>
    </w:p>
    <w:p w:rsidR="005C664D" w:rsidRPr="00C3556F" w:rsidRDefault="005C664D" w:rsidP="00C3556F">
      <w:pPr>
        <w:numPr>
          <w:ilvl w:val="0"/>
          <w:numId w:val="30"/>
        </w:numPr>
        <w:spacing w:line="228" w:lineRule="auto"/>
        <w:ind w:left="397" w:hanging="397"/>
        <w:jc w:val="both"/>
        <w:rPr>
          <w:rFonts w:ascii="mylotus" w:hAnsi="mylotus" w:cs="mylotus"/>
          <w:sz w:val="26"/>
          <w:szCs w:val="26"/>
          <w:rtl/>
        </w:rPr>
      </w:pPr>
      <w:r w:rsidRPr="00C3556F">
        <w:rPr>
          <w:rFonts w:ascii="mylotus" w:hAnsi="mylotus" w:cs="mylotus"/>
          <w:sz w:val="26"/>
          <w:szCs w:val="26"/>
          <w:rtl/>
        </w:rPr>
        <w:t>الكشي</w:t>
      </w:r>
      <w:r w:rsidR="00217AB4" w:rsidRPr="00C3556F">
        <w:rPr>
          <w:rFonts w:ascii="mylotus" w:hAnsi="mylotus" w:cs="mylotus"/>
          <w:sz w:val="26"/>
          <w:szCs w:val="26"/>
          <w:rtl/>
        </w:rPr>
        <w:t>،</w:t>
      </w:r>
      <w:r w:rsidRPr="00C3556F">
        <w:rPr>
          <w:rFonts w:ascii="mylotus" w:hAnsi="mylotus" w:cs="mylotus"/>
          <w:sz w:val="26"/>
          <w:szCs w:val="26"/>
          <w:rtl/>
        </w:rPr>
        <w:t xml:space="preserve"> أبو عمرو محمد بن عمر بن عبد العزيز الكشي </w:t>
      </w:r>
      <w:r w:rsidR="00217AB4" w:rsidRPr="00C3556F">
        <w:rPr>
          <w:rFonts w:ascii="mylotus" w:hAnsi="mylotus" w:cs="mylotus"/>
          <w:sz w:val="26"/>
          <w:szCs w:val="26"/>
          <w:rtl/>
        </w:rPr>
        <w:t>(</w:t>
      </w:r>
      <w:r w:rsidRPr="00C3556F">
        <w:rPr>
          <w:rFonts w:ascii="mylotus" w:hAnsi="mylotus" w:cs="mylotus"/>
          <w:sz w:val="26"/>
          <w:szCs w:val="26"/>
          <w:rtl/>
        </w:rPr>
        <w:t>حوالي سنة 350هـ</w:t>
      </w:r>
      <w:r w:rsidR="00217AB4" w:rsidRPr="00C3556F">
        <w:rPr>
          <w:rFonts w:ascii="mylotus" w:hAnsi="mylotus" w:cs="mylotus"/>
          <w:sz w:val="26"/>
          <w:szCs w:val="26"/>
          <w:rtl/>
        </w:rPr>
        <w:t>؟)،</w:t>
      </w:r>
      <w:r w:rsidRPr="00C3556F">
        <w:rPr>
          <w:rFonts w:ascii="mylotus" w:hAnsi="mylotus" w:cs="mylotus"/>
          <w:sz w:val="26"/>
          <w:szCs w:val="26"/>
          <w:rtl/>
        </w:rPr>
        <w:t xml:space="preserve"> «اختيار معرفة الرجال» أو «رجال الكشي»</w:t>
      </w:r>
      <w:r w:rsidR="00217AB4" w:rsidRPr="00C3556F">
        <w:rPr>
          <w:rFonts w:ascii="mylotus" w:hAnsi="mylotus" w:cs="mylotus"/>
          <w:sz w:val="26"/>
          <w:szCs w:val="26"/>
          <w:rtl/>
        </w:rPr>
        <w:t>،</w:t>
      </w:r>
      <w:r w:rsidRPr="00C3556F">
        <w:rPr>
          <w:rFonts w:ascii="mylotus" w:hAnsi="mylotus" w:cs="mylotus"/>
          <w:sz w:val="26"/>
          <w:szCs w:val="26"/>
          <w:rtl/>
        </w:rPr>
        <w:t xml:space="preserve"> الطبعة القديمة في كربلاء</w:t>
      </w:r>
      <w:r w:rsidR="00217AB4" w:rsidRPr="00C3556F">
        <w:rPr>
          <w:rFonts w:ascii="mylotus" w:hAnsi="mylotus" w:cs="mylotus"/>
          <w:sz w:val="26"/>
          <w:szCs w:val="26"/>
          <w:rtl/>
        </w:rPr>
        <w:t>،</w:t>
      </w:r>
      <w:r w:rsidRPr="00C3556F">
        <w:rPr>
          <w:rFonts w:ascii="mylotus" w:hAnsi="mylotus" w:cs="mylotus"/>
          <w:sz w:val="26"/>
          <w:szCs w:val="26"/>
          <w:rtl/>
        </w:rPr>
        <w:t xml:space="preserve"> أو طبعة مؤسسة النشر في جامعة مشهد/ إيران</w:t>
      </w:r>
      <w:r w:rsidR="00217AB4" w:rsidRPr="00C3556F">
        <w:rPr>
          <w:rFonts w:ascii="mylotus" w:hAnsi="mylotus" w:cs="mylotus"/>
          <w:sz w:val="26"/>
          <w:szCs w:val="26"/>
          <w:rtl/>
        </w:rPr>
        <w:t>،</w:t>
      </w:r>
      <w:r w:rsidRPr="00C3556F">
        <w:rPr>
          <w:rFonts w:ascii="mylotus" w:hAnsi="mylotus" w:cs="mylotus"/>
          <w:sz w:val="26"/>
          <w:szCs w:val="26"/>
          <w:rtl/>
        </w:rPr>
        <w:t xml:space="preserve"> 1348هـ</w:t>
      </w:r>
      <w:r w:rsidR="00217AB4" w:rsidRPr="00C3556F">
        <w:rPr>
          <w:rFonts w:ascii="mylotus" w:hAnsi="mylotus" w:cs="mylotus"/>
          <w:sz w:val="26"/>
          <w:szCs w:val="26"/>
          <w:rtl/>
        </w:rPr>
        <w:t>،</w:t>
      </w:r>
      <w:r w:rsidRPr="00C3556F">
        <w:rPr>
          <w:rFonts w:ascii="mylotus" w:hAnsi="mylotus" w:cs="mylotus"/>
          <w:sz w:val="26"/>
          <w:szCs w:val="26"/>
          <w:rtl/>
        </w:rPr>
        <w:t xml:space="preserve"> بتحقيق الدكتور حسن المصطفوي</w:t>
      </w:r>
      <w:r w:rsidR="00217AB4" w:rsidRPr="00C3556F">
        <w:rPr>
          <w:rFonts w:ascii="mylotus" w:hAnsi="mylotus" w:cs="mylotus"/>
          <w:sz w:val="26"/>
          <w:szCs w:val="26"/>
          <w:rtl/>
        </w:rPr>
        <w:t>.</w:t>
      </w:r>
    </w:p>
    <w:p w:rsidR="005C664D" w:rsidRPr="00C3556F" w:rsidRDefault="005C664D" w:rsidP="00C3556F">
      <w:pPr>
        <w:numPr>
          <w:ilvl w:val="0"/>
          <w:numId w:val="30"/>
        </w:numPr>
        <w:spacing w:line="228" w:lineRule="auto"/>
        <w:ind w:left="397" w:hanging="397"/>
        <w:jc w:val="both"/>
        <w:rPr>
          <w:rFonts w:ascii="mylotus" w:hAnsi="mylotus" w:cs="mylotus"/>
          <w:sz w:val="26"/>
          <w:szCs w:val="26"/>
          <w:rtl/>
        </w:rPr>
      </w:pPr>
      <w:r w:rsidRPr="00C3556F">
        <w:rPr>
          <w:rFonts w:ascii="mylotus" w:hAnsi="mylotus" w:cs="mylotus"/>
          <w:sz w:val="26"/>
          <w:szCs w:val="26"/>
          <w:rtl/>
        </w:rPr>
        <w:t>المامَقَانيّ</w:t>
      </w:r>
      <w:r w:rsidR="00217AB4" w:rsidRPr="00C3556F">
        <w:rPr>
          <w:rFonts w:ascii="mylotus" w:hAnsi="mylotus" w:cs="mylotus"/>
          <w:sz w:val="26"/>
          <w:szCs w:val="26"/>
          <w:rtl/>
        </w:rPr>
        <w:t>،</w:t>
      </w:r>
      <w:r w:rsidRPr="00C3556F">
        <w:rPr>
          <w:rFonts w:ascii="mylotus" w:hAnsi="mylotus" w:cs="mylotus"/>
          <w:sz w:val="26"/>
          <w:szCs w:val="26"/>
          <w:rtl/>
        </w:rPr>
        <w:t xml:space="preserve"> الشيخ عبد الله </w:t>
      </w:r>
      <w:r w:rsidR="00217AB4" w:rsidRPr="00C3556F">
        <w:rPr>
          <w:rFonts w:ascii="mylotus" w:hAnsi="mylotus" w:cs="mylotus"/>
          <w:sz w:val="26"/>
          <w:szCs w:val="26"/>
          <w:rtl/>
        </w:rPr>
        <w:t>(</w:t>
      </w:r>
      <w:r w:rsidRPr="00C3556F">
        <w:rPr>
          <w:rFonts w:ascii="mylotus" w:hAnsi="mylotus" w:cs="mylotus"/>
          <w:sz w:val="26"/>
          <w:szCs w:val="26"/>
          <w:rtl/>
        </w:rPr>
        <w:t>1350 أو 1351هـ</w:t>
      </w:r>
      <w:r w:rsidR="00217AB4" w:rsidRPr="00C3556F">
        <w:rPr>
          <w:rFonts w:ascii="mylotus" w:hAnsi="mylotus" w:cs="mylotus"/>
          <w:sz w:val="26"/>
          <w:szCs w:val="26"/>
          <w:rtl/>
        </w:rPr>
        <w:t>)،</w:t>
      </w:r>
      <w:r w:rsidRPr="00C3556F">
        <w:rPr>
          <w:rFonts w:ascii="mylotus" w:hAnsi="mylotus" w:cs="mylotus"/>
          <w:sz w:val="26"/>
          <w:szCs w:val="26"/>
          <w:rtl/>
        </w:rPr>
        <w:t xml:space="preserve"> «تنقيح المقال في أحوال الرجال»</w:t>
      </w:r>
      <w:r w:rsidR="00217AB4" w:rsidRPr="00C3556F">
        <w:rPr>
          <w:rFonts w:ascii="mylotus" w:hAnsi="mylotus" w:cs="mylotus"/>
          <w:sz w:val="26"/>
          <w:szCs w:val="26"/>
          <w:rtl/>
        </w:rPr>
        <w:t>،</w:t>
      </w:r>
      <w:r w:rsidRPr="00C3556F">
        <w:rPr>
          <w:rFonts w:ascii="mylotus" w:hAnsi="mylotus" w:cs="mylotus"/>
          <w:sz w:val="26"/>
          <w:szCs w:val="26"/>
          <w:rtl/>
        </w:rPr>
        <w:t xml:space="preserve"> الطبعة الحجرية القديمة </w:t>
      </w:r>
      <w:r w:rsidR="00147857" w:rsidRPr="00C3556F">
        <w:rPr>
          <w:rFonts w:ascii="mylotus" w:hAnsi="mylotus" w:cs="mylotus"/>
          <w:sz w:val="26"/>
          <w:szCs w:val="26"/>
          <w:rtl/>
        </w:rPr>
        <w:t>[</w:t>
      </w:r>
      <w:r w:rsidRPr="00C3556F">
        <w:rPr>
          <w:rFonts w:ascii="mylotus" w:hAnsi="mylotus" w:cs="mylotus"/>
          <w:sz w:val="26"/>
          <w:szCs w:val="26"/>
          <w:rtl/>
        </w:rPr>
        <w:t>3 مجلدات]</w:t>
      </w:r>
      <w:r w:rsidR="00217AB4" w:rsidRPr="00C3556F">
        <w:rPr>
          <w:rFonts w:ascii="mylotus" w:hAnsi="mylotus" w:cs="mylotus"/>
          <w:sz w:val="26"/>
          <w:szCs w:val="26"/>
          <w:rtl/>
        </w:rPr>
        <w:t>.</w:t>
      </w:r>
    </w:p>
    <w:p w:rsidR="005C664D" w:rsidRPr="00C3556F" w:rsidRDefault="005C664D" w:rsidP="00C3556F">
      <w:pPr>
        <w:numPr>
          <w:ilvl w:val="0"/>
          <w:numId w:val="30"/>
        </w:numPr>
        <w:spacing w:line="228" w:lineRule="auto"/>
        <w:ind w:left="397" w:hanging="397"/>
        <w:jc w:val="both"/>
        <w:rPr>
          <w:rFonts w:ascii="mylotus" w:hAnsi="mylotus" w:cs="mylotus"/>
          <w:sz w:val="26"/>
          <w:szCs w:val="26"/>
          <w:rtl/>
        </w:rPr>
      </w:pPr>
      <w:r w:rsidRPr="00C3556F">
        <w:rPr>
          <w:rFonts w:ascii="mylotus" w:hAnsi="mylotus" w:cs="mylotus"/>
          <w:sz w:val="26"/>
          <w:szCs w:val="26"/>
          <w:rtl/>
        </w:rPr>
        <w:t>محمد طه نجف</w:t>
      </w:r>
      <w:r w:rsidR="00217AB4" w:rsidRPr="00C3556F">
        <w:rPr>
          <w:rFonts w:ascii="mylotus" w:hAnsi="mylotus" w:cs="mylotus"/>
          <w:sz w:val="26"/>
          <w:szCs w:val="26"/>
          <w:rtl/>
        </w:rPr>
        <w:t>،</w:t>
      </w:r>
      <w:r w:rsidRPr="00C3556F">
        <w:rPr>
          <w:rFonts w:ascii="mylotus" w:hAnsi="mylotus" w:cs="mylotus"/>
          <w:sz w:val="26"/>
          <w:szCs w:val="26"/>
          <w:rtl/>
        </w:rPr>
        <w:t xml:space="preserve"> آية الله الشيخ</w:t>
      </w:r>
      <w:r w:rsidR="00217AB4" w:rsidRPr="00C3556F">
        <w:rPr>
          <w:rFonts w:ascii="mylotus" w:hAnsi="mylotus" w:cs="mylotus"/>
          <w:sz w:val="26"/>
          <w:szCs w:val="26"/>
          <w:rtl/>
        </w:rPr>
        <w:t>،</w:t>
      </w:r>
      <w:r w:rsidRPr="00C3556F">
        <w:rPr>
          <w:rFonts w:ascii="mylotus" w:hAnsi="mylotus" w:cs="mylotus"/>
          <w:sz w:val="26"/>
          <w:szCs w:val="26"/>
          <w:rtl/>
        </w:rPr>
        <w:t xml:space="preserve"> «إتقان المقال في أحوال الرجال»</w:t>
      </w:r>
      <w:r w:rsidR="00217AB4" w:rsidRPr="00C3556F">
        <w:rPr>
          <w:rFonts w:ascii="mylotus" w:hAnsi="mylotus" w:cs="mylotus"/>
          <w:sz w:val="26"/>
          <w:szCs w:val="26"/>
          <w:rtl/>
        </w:rPr>
        <w:t>.</w:t>
      </w:r>
    </w:p>
    <w:p w:rsidR="005C664D" w:rsidRPr="00C3556F" w:rsidRDefault="005C664D" w:rsidP="00C3556F">
      <w:pPr>
        <w:numPr>
          <w:ilvl w:val="0"/>
          <w:numId w:val="30"/>
        </w:numPr>
        <w:spacing w:line="228" w:lineRule="auto"/>
        <w:ind w:left="397" w:hanging="397"/>
        <w:jc w:val="both"/>
        <w:rPr>
          <w:rFonts w:ascii="mylotus" w:hAnsi="mylotus" w:cs="mylotus"/>
          <w:sz w:val="26"/>
          <w:szCs w:val="26"/>
          <w:rtl/>
        </w:rPr>
      </w:pPr>
      <w:r w:rsidRPr="00C3556F">
        <w:rPr>
          <w:rFonts w:ascii="mylotus" w:hAnsi="mylotus" w:cs="mylotus"/>
          <w:sz w:val="26"/>
          <w:szCs w:val="26"/>
          <w:rtl/>
        </w:rPr>
        <w:t>النجاشي</w:t>
      </w:r>
      <w:r w:rsidR="00217AB4" w:rsidRPr="00C3556F">
        <w:rPr>
          <w:rFonts w:ascii="mylotus" w:hAnsi="mylotus" w:cs="mylotus"/>
          <w:sz w:val="26"/>
          <w:szCs w:val="26"/>
          <w:rtl/>
        </w:rPr>
        <w:t>،</w:t>
      </w:r>
      <w:r w:rsidRPr="00C3556F">
        <w:rPr>
          <w:rFonts w:ascii="mylotus" w:hAnsi="mylotus" w:cs="mylotus"/>
          <w:sz w:val="26"/>
          <w:szCs w:val="26"/>
          <w:rtl/>
        </w:rPr>
        <w:t xml:space="preserve"> الشيخ الجليل أبو العباس أحمد بن علي </w:t>
      </w:r>
      <w:r w:rsidR="00217AB4" w:rsidRPr="00C3556F">
        <w:rPr>
          <w:rFonts w:ascii="mylotus" w:hAnsi="mylotus" w:cs="mylotus"/>
          <w:sz w:val="26"/>
          <w:szCs w:val="26"/>
          <w:rtl/>
        </w:rPr>
        <w:t>(</w:t>
      </w:r>
      <w:r w:rsidRPr="00C3556F">
        <w:rPr>
          <w:rFonts w:ascii="mylotus" w:hAnsi="mylotus" w:cs="mylotus"/>
          <w:sz w:val="26"/>
          <w:szCs w:val="26"/>
          <w:rtl/>
        </w:rPr>
        <w:t>405هـ</w:t>
      </w:r>
      <w:r w:rsidR="00217AB4" w:rsidRPr="00C3556F">
        <w:rPr>
          <w:rFonts w:ascii="mylotus" w:hAnsi="mylotus" w:cs="mylotus"/>
          <w:sz w:val="26"/>
          <w:szCs w:val="26"/>
          <w:rtl/>
        </w:rPr>
        <w:t>)،</w:t>
      </w:r>
      <w:r w:rsidRPr="00C3556F">
        <w:rPr>
          <w:rFonts w:ascii="mylotus" w:hAnsi="mylotus" w:cs="mylotus"/>
          <w:sz w:val="26"/>
          <w:szCs w:val="26"/>
          <w:rtl/>
        </w:rPr>
        <w:t xml:space="preserve"> «الرجال»</w:t>
      </w:r>
      <w:r w:rsidR="00217AB4" w:rsidRPr="00C3556F">
        <w:rPr>
          <w:rFonts w:ascii="mylotus" w:hAnsi="mylotus" w:cs="mylotus"/>
          <w:sz w:val="26"/>
          <w:szCs w:val="26"/>
          <w:rtl/>
        </w:rPr>
        <w:t>،</w:t>
      </w:r>
      <w:r w:rsidRPr="00C3556F">
        <w:rPr>
          <w:rFonts w:ascii="mylotus" w:hAnsi="mylotus" w:cs="mylotus"/>
          <w:sz w:val="26"/>
          <w:szCs w:val="26"/>
          <w:rtl/>
        </w:rPr>
        <w:t xml:space="preserve"> طبع بمبئي</w:t>
      </w:r>
      <w:r w:rsidR="00217AB4" w:rsidRPr="00C3556F">
        <w:rPr>
          <w:rFonts w:ascii="mylotus" w:hAnsi="mylotus" w:cs="mylotus"/>
          <w:sz w:val="26"/>
          <w:szCs w:val="26"/>
          <w:rtl/>
        </w:rPr>
        <w:t>.</w:t>
      </w:r>
      <w:r w:rsidRPr="00C3556F">
        <w:rPr>
          <w:rFonts w:ascii="mylotus" w:hAnsi="mylotus" w:cs="mylotus"/>
          <w:sz w:val="26"/>
          <w:szCs w:val="26"/>
          <w:rtl/>
        </w:rPr>
        <w:t xml:space="preserve"> وط5</w:t>
      </w:r>
      <w:r w:rsidR="00217AB4" w:rsidRPr="00C3556F">
        <w:rPr>
          <w:rFonts w:ascii="mylotus" w:hAnsi="mylotus" w:cs="mylotus"/>
          <w:sz w:val="26"/>
          <w:szCs w:val="26"/>
          <w:rtl/>
        </w:rPr>
        <w:t>،</w:t>
      </w:r>
      <w:r w:rsidRPr="00C3556F">
        <w:rPr>
          <w:rFonts w:ascii="mylotus" w:hAnsi="mylotus" w:cs="mylotus"/>
          <w:sz w:val="26"/>
          <w:szCs w:val="26"/>
          <w:rtl/>
        </w:rPr>
        <w:t xml:space="preserve"> قم</w:t>
      </w:r>
      <w:r w:rsidR="00217AB4" w:rsidRPr="00C3556F">
        <w:rPr>
          <w:rFonts w:ascii="mylotus" w:hAnsi="mylotus" w:cs="mylotus"/>
          <w:sz w:val="26"/>
          <w:szCs w:val="26"/>
          <w:rtl/>
        </w:rPr>
        <w:t>:</w:t>
      </w:r>
      <w:r w:rsidRPr="00C3556F">
        <w:rPr>
          <w:rFonts w:ascii="mylotus" w:hAnsi="mylotus" w:cs="mylotus"/>
          <w:sz w:val="26"/>
          <w:szCs w:val="26"/>
          <w:rtl/>
        </w:rPr>
        <w:t xml:space="preserve"> مؤسسة النشر الإسلامي التابعة لجماعة المدرسين</w:t>
      </w:r>
      <w:r w:rsidR="00217AB4" w:rsidRPr="00C3556F">
        <w:rPr>
          <w:rFonts w:ascii="mylotus" w:hAnsi="mylotus" w:cs="mylotus"/>
          <w:sz w:val="26"/>
          <w:szCs w:val="26"/>
          <w:rtl/>
        </w:rPr>
        <w:t>،</w:t>
      </w:r>
      <w:r w:rsidRPr="00C3556F">
        <w:rPr>
          <w:rFonts w:ascii="mylotus" w:hAnsi="mylotus" w:cs="mylotus"/>
          <w:sz w:val="26"/>
          <w:szCs w:val="26"/>
          <w:rtl/>
        </w:rPr>
        <w:t xml:space="preserve"> 1416هـ</w:t>
      </w:r>
      <w:r w:rsidR="00217AB4" w:rsidRPr="00C3556F">
        <w:rPr>
          <w:rFonts w:ascii="mylotus" w:hAnsi="mylotus" w:cs="mylotus"/>
          <w:sz w:val="26"/>
          <w:szCs w:val="26"/>
          <w:rtl/>
        </w:rPr>
        <w:t>.</w:t>
      </w:r>
    </w:p>
    <w:p w:rsidR="005C664D" w:rsidRPr="00C3556F" w:rsidRDefault="005C664D" w:rsidP="00C3556F">
      <w:pPr>
        <w:spacing w:line="228" w:lineRule="auto"/>
        <w:ind w:left="397" w:hanging="397"/>
        <w:jc w:val="both"/>
        <w:rPr>
          <w:rFonts w:ascii="mylotus" w:hAnsi="mylotus" w:cs="mylotus"/>
          <w:b/>
          <w:bCs/>
          <w:sz w:val="26"/>
          <w:szCs w:val="26"/>
          <w:rtl/>
        </w:rPr>
      </w:pPr>
      <w:bookmarkStart w:id="216" w:name="_Toc215491173"/>
      <w:bookmarkStart w:id="217" w:name="_Toc215498092"/>
      <w:r w:rsidRPr="00C3556F">
        <w:rPr>
          <w:rFonts w:ascii="mylotus" w:hAnsi="mylotus" w:cs="mylotus"/>
          <w:b/>
          <w:bCs/>
          <w:sz w:val="26"/>
          <w:szCs w:val="26"/>
          <w:rtl/>
        </w:rPr>
        <w:t>كتب التاريخ والسير والطبقات</w:t>
      </w:r>
      <w:bookmarkEnd w:id="216"/>
      <w:bookmarkEnd w:id="217"/>
    </w:p>
    <w:p w:rsidR="005C664D" w:rsidRPr="00C3556F" w:rsidRDefault="005C664D" w:rsidP="00C3556F">
      <w:pPr>
        <w:numPr>
          <w:ilvl w:val="0"/>
          <w:numId w:val="30"/>
        </w:numPr>
        <w:spacing w:line="228" w:lineRule="auto"/>
        <w:ind w:left="397" w:hanging="397"/>
        <w:jc w:val="both"/>
        <w:rPr>
          <w:rFonts w:ascii="mylotus" w:hAnsi="mylotus" w:cs="mylotus"/>
          <w:sz w:val="26"/>
          <w:szCs w:val="26"/>
          <w:rtl/>
        </w:rPr>
      </w:pPr>
      <w:r w:rsidRPr="00C3556F">
        <w:rPr>
          <w:rFonts w:ascii="mylotus" w:hAnsi="mylotus" w:cs="mylotus"/>
          <w:sz w:val="26"/>
          <w:szCs w:val="26"/>
          <w:rtl/>
        </w:rPr>
        <w:t>ابن الأثير الجزري</w:t>
      </w:r>
      <w:r w:rsidR="00217AB4" w:rsidRPr="00C3556F">
        <w:rPr>
          <w:rFonts w:ascii="mylotus" w:hAnsi="mylotus" w:cs="mylotus"/>
          <w:sz w:val="26"/>
          <w:szCs w:val="26"/>
          <w:rtl/>
        </w:rPr>
        <w:t>،</w:t>
      </w:r>
      <w:r w:rsidRPr="00C3556F">
        <w:rPr>
          <w:rFonts w:ascii="mylotus" w:hAnsi="mylotus" w:cs="mylotus"/>
          <w:sz w:val="26"/>
          <w:szCs w:val="26"/>
          <w:rtl/>
        </w:rPr>
        <w:t xml:space="preserve"> عز الدين أبو الحسن علي بن محمد الشيباني </w:t>
      </w:r>
      <w:r w:rsidR="00217AB4" w:rsidRPr="00C3556F">
        <w:rPr>
          <w:rFonts w:ascii="mylotus" w:hAnsi="mylotus" w:cs="mylotus"/>
          <w:sz w:val="26"/>
          <w:szCs w:val="26"/>
          <w:rtl/>
        </w:rPr>
        <w:t>(</w:t>
      </w:r>
      <w:r w:rsidRPr="00C3556F">
        <w:rPr>
          <w:rFonts w:ascii="mylotus" w:hAnsi="mylotus" w:cs="mylotus"/>
          <w:sz w:val="26"/>
          <w:szCs w:val="26"/>
          <w:rtl/>
        </w:rPr>
        <w:t>555</w:t>
      </w:r>
      <w:r w:rsidR="00217AB4" w:rsidRPr="00C3556F">
        <w:rPr>
          <w:rFonts w:ascii="mylotus" w:hAnsi="mylotus" w:cs="mylotus"/>
          <w:sz w:val="26"/>
          <w:szCs w:val="26"/>
          <w:rtl/>
        </w:rPr>
        <w:t>-</w:t>
      </w:r>
      <w:r w:rsidRPr="00C3556F">
        <w:rPr>
          <w:rFonts w:ascii="mylotus" w:hAnsi="mylotus" w:cs="mylotus"/>
          <w:sz w:val="26"/>
          <w:szCs w:val="26"/>
          <w:rtl/>
        </w:rPr>
        <w:t>630هـ</w:t>
      </w:r>
      <w:r w:rsidR="00217AB4" w:rsidRPr="00C3556F">
        <w:rPr>
          <w:rFonts w:ascii="mylotus" w:hAnsi="mylotus" w:cs="mylotus"/>
          <w:sz w:val="26"/>
          <w:szCs w:val="26"/>
          <w:rtl/>
        </w:rPr>
        <w:t>)،</w:t>
      </w:r>
      <w:r w:rsidRPr="00C3556F">
        <w:rPr>
          <w:rFonts w:ascii="mylotus" w:hAnsi="mylotus" w:cs="mylotus"/>
          <w:sz w:val="26"/>
          <w:szCs w:val="26"/>
          <w:rtl/>
        </w:rPr>
        <w:t xml:space="preserve"> «الكامل في التاريخ»</w:t>
      </w:r>
      <w:r w:rsidR="00217AB4" w:rsidRPr="00C3556F">
        <w:rPr>
          <w:rFonts w:ascii="mylotus" w:hAnsi="mylotus" w:cs="mylotus"/>
          <w:sz w:val="26"/>
          <w:szCs w:val="26"/>
          <w:rtl/>
        </w:rPr>
        <w:t>،</w:t>
      </w:r>
      <w:r w:rsidRPr="00C3556F">
        <w:rPr>
          <w:rFonts w:ascii="mylotus" w:hAnsi="mylotus" w:cs="mylotus"/>
          <w:sz w:val="26"/>
          <w:szCs w:val="26"/>
          <w:rtl/>
        </w:rPr>
        <w:t xml:space="preserve"> القاهرة</w:t>
      </w:r>
      <w:r w:rsidR="00217AB4" w:rsidRPr="00C3556F">
        <w:rPr>
          <w:rFonts w:ascii="mylotus" w:hAnsi="mylotus" w:cs="mylotus"/>
          <w:sz w:val="26"/>
          <w:szCs w:val="26"/>
          <w:rtl/>
        </w:rPr>
        <w:t>،</w:t>
      </w:r>
      <w:r w:rsidRPr="00C3556F">
        <w:rPr>
          <w:rFonts w:ascii="mylotus" w:hAnsi="mylotus" w:cs="mylotus"/>
          <w:sz w:val="26"/>
          <w:szCs w:val="26"/>
          <w:rtl/>
        </w:rPr>
        <w:t xml:space="preserve"> 1302ﻫ</w:t>
      </w:r>
      <w:r w:rsidR="00217AB4" w:rsidRPr="00C3556F">
        <w:rPr>
          <w:rFonts w:ascii="mylotus" w:hAnsi="mylotus" w:cs="mylotus"/>
          <w:sz w:val="26"/>
          <w:szCs w:val="26"/>
          <w:rtl/>
        </w:rPr>
        <w:t>.</w:t>
      </w:r>
    </w:p>
    <w:p w:rsidR="005C664D" w:rsidRPr="00C3556F" w:rsidRDefault="005C664D" w:rsidP="00C3556F">
      <w:pPr>
        <w:numPr>
          <w:ilvl w:val="0"/>
          <w:numId w:val="30"/>
        </w:numPr>
        <w:spacing w:line="228" w:lineRule="auto"/>
        <w:ind w:left="397" w:hanging="397"/>
        <w:jc w:val="both"/>
        <w:rPr>
          <w:rFonts w:ascii="mylotus" w:hAnsi="mylotus" w:cs="mylotus"/>
          <w:sz w:val="26"/>
          <w:szCs w:val="26"/>
          <w:rtl/>
        </w:rPr>
      </w:pPr>
      <w:r w:rsidRPr="00C3556F">
        <w:rPr>
          <w:rFonts w:ascii="mylotus" w:hAnsi="mylotus" w:cs="mylotus"/>
          <w:sz w:val="26"/>
          <w:szCs w:val="26"/>
          <w:rtl/>
        </w:rPr>
        <w:t>ابن الأثير الجزري</w:t>
      </w:r>
      <w:r w:rsidR="00217AB4" w:rsidRPr="00C3556F">
        <w:rPr>
          <w:rFonts w:ascii="mylotus" w:hAnsi="mylotus" w:cs="mylotus"/>
          <w:sz w:val="26"/>
          <w:szCs w:val="26"/>
          <w:rtl/>
        </w:rPr>
        <w:t>،</w:t>
      </w:r>
      <w:r w:rsidRPr="00C3556F">
        <w:rPr>
          <w:rFonts w:ascii="mylotus" w:hAnsi="mylotus" w:cs="mylotus"/>
          <w:sz w:val="26"/>
          <w:szCs w:val="26"/>
          <w:rtl/>
        </w:rPr>
        <w:t xml:space="preserve"> عز الدين أبو الحسن علي بن محمد الشيباني </w:t>
      </w:r>
      <w:r w:rsidR="00217AB4" w:rsidRPr="00C3556F">
        <w:rPr>
          <w:rFonts w:ascii="mylotus" w:hAnsi="mylotus" w:cs="mylotus"/>
          <w:sz w:val="26"/>
          <w:szCs w:val="26"/>
          <w:rtl/>
        </w:rPr>
        <w:t>(</w:t>
      </w:r>
      <w:r w:rsidRPr="00C3556F">
        <w:rPr>
          <w:rFonts w:ascii="mylotus" w:hAnsi="mylotus" w:cs="mylotus"/>
          <w:sz w:val="26"/>
          <w:szCs w:val="26"/>
          <w:rtl/>
        </w:rPr>
        <w:t xml:space="preserve">555 </w:t>
      </w:r>
      <w:r w:rsidRPr="00C3556F">
        <w:rPr>
          <w:rFonts w:cs="Times New Roman" w:hint="cs"/>
          <w:sz w:val="26"/>
          <w:szCs w:val="26"/>
          <w:rtl/>
        </w:rPr>
        <w:t>–</w:t>
      </w:r>
      <w:r w:rsidRPr="00C3556F">
        <w:rPr>
          <w:rFonts w:ascii="mylotus" w:hAnsi="mylotus" w:cs="mylotus"/>
          <w:sz w:val="26"/>
          <w:szCs w:val="26"/>
          <w:rtl/>
        </w:rPr>
        <w:t xml:space="preserve"> 630هـ</w:t>
      </w:r>
      <w:r w:rsidR="00217AB4" w:rsidRPr="00C3556F">
        <w:rPr>
          <w:rFonts w:ascii="mylotus" w:hAnsi="mylotus" w:cs="mylotus"/>
          <w:sz w:val="26"/>
          <w:szCs w:val="26"/>
          <w:rtl/>
        </w:rPr>
        <w:t>)،</w:t>
      </w:r>
      <w:r w:rsidRPr="00C3556F">
        <w:rPr>
          <w:rFonts w:ascii="mylotus" w:hAnsi="mylotus" w:cs="mylotus"/>
          <w:sz w:val="26"/>
          <w:szCs w:val="26"/>
          <w:rtl/>
        </w:rPr>
        <w:t xml:space="preserve"> «أُسْد الغابة في معرفة الصحابة»</w:t>
      </w:r>
      <w:r w:rsidR="00217AB4" w:rsidRPr="00C3556F">
        <w:rPr>
          <w:rFonts w:ascii="mylotus" w:hAnsi="mylotus" w:cs="mylotus"/>
          <w:sz w:val="26"/>
          <w:szCs w:val="26"/>
          <w:rtl/>
        </w:rPr>
        <w:t>،</w:t>
      </w:r>
      <w:r w:rsidRPr="00C3556F">
        <w:rPr>
          <w:rFonts w:ascii="mylotus" w:hAnsi="mylotus" w:cs="mylotus"/>
          <w:sz w:val="26"/>
          <w:szCs w:val="26"/>
          <w:rtl/>
        </w:rPr>
        <w:t xml:space="preserve"> قم</w:t>
      </w:r>
      <w:r w:rsidR="00217AB4" w:rsidRPr="00C3556F">
        <w:rPr>
          <w:rFonts w:ascii="mylotus" w:hAnsi="mylotus" w:cs="mylotus"/>
          <w:sz w:val="26"/>
          <w:szCs w:val="26"/>
          <w:rtl/>
        </w:rPr>
        <w:t>،</w:t>
      </w:r>
      <w:r w:rsidRPr="00C3556F">
        <w:rPr>
          <w:rFonts w:ascii="mylotus" w:hAnsi="mylotus" w:cs="mylotus"/>
          <w:sz w:val="26"/>
          <w:szCs w:val="26"/>
          <w:rtl/>
        </w:rPr>
        <w:t xml:space="preserve"> اسماعيليان</w:t>
      </w:r>
      <w:r w:rsidR="00217AB4" w:rsidRPr="00C3556F">
        <w:rPr>
          <w:rFonts w:ascii="mylotus" w:hAnsi="mylotus" w:cs="mylotus"/>
          <w:sz w:val="26"/>
          <w:szCs w:val="26"/>
          <w:rtl/>
        </w:rPr>
        <w:t>.</w:t>
      </w:r>
      <w:r w:rsidRPr="00C3556F">
        <w:rPr>
          <w:rFonts w:ascii="mylotus" w:hAnsi="mylotus" w:cs="mylotus"/>
          <w:sz w:val="26"/>
          <w:szCs w:val="26"/>
          <w:rtl/>
        </w:rPr>
        <w:t xml:space="preserve"> </w:t>
      </w:r>
    </w:p>
    <w:p w:rsidR="005C664D" w:rsidRPr="00C3556F" w:rsidRDefault="005C664D" w:rsidP="00C3556F">
      <w:pPr>
        <w:numPr>
          <w:ilvl w:val="0"/>
          <w:numId w:val="30"/>
        </w:numPr>
        <w:spacing w:line="228" w:lineRule="auto"/>
        <w:ind w:left="397" w:hanging="397"/>
        <w:jc w:val="both"/>
        <w:rPr>
          <w:rFonts w:ascii="mylotus" w:hAnsi="mylotus" w:cs="mylotus"/>
          <w:sz w:val="26"/>
          <w:szCs w:val="26"/>
          <w:rtl/>
        </w:rPr>
      </w:pPr>
      <w:r w:rsidRPr="00C3556F">
        <w:rPr>
          <w:rFonts w:ascii="mylotus" w:hAnsi="mylotus" w:cs="mylotus"/>
          <w:sz w:val="26"/>
          <w:szCs w:val="26"/>
          <w:rtl/>
        </w:rPr>
        <w:t>ابن الجوزي</w:t>
      </w:r>
      <w:r w:rsidR="00217AB4" w:rsidRPr="00C3556F">
        <w:rPr>
          <w:rFonts w:ascii="mylotus" w:hAnsi="mylotus" w:cs="mylotus"/>
          <w:sz w:val="26"/>
          <w:szCs w:val="26"/>
          <w:rtl/>
        </w:rPr>
        <w:t>،</w:t>
      </w:r>
      <w:r w:rsidRPr="00C3556F">
        <w:rPr>
          <w:rFonts w:ascii="mylotus" w:hAnsi="mylotus" w:cs="mylotus"/>
          <w:sz w:val="26"/>
          <w:szCs w:val="26"/>
          <w:rtl/>
        </w:rPr>
        <w:t xml:space="preserve"> أبو الفـرج عبد الرحمن بن عليّ البغدادي الحنبلي </w:t>
      </w:r>
      <w:r w:rsidR="00217AB4" w:rsidRPr="00C3556F">
        <w:rPr>
          <w:rFonts w:ascii="mylotus" w:hAnsi="mylotus" w:cs="mylotus"/>
          <w:sz w:val="26"/>
          <w:szCs w:val="26"/>
          <w:rtl/>
        </w:rPr>
        <w:t>(</w:t>
      </w:r>
      <w:r w:rsidRPr="00C3556F">
        <w:rPr>
          <w:rFonts w:ascii="mylotus" w:hAnsi="mylotus" w:cs="mylotus"/>
          <w:sz w:val="26"/>
          <w:szCs w:val="26"/>
          <w:rtl/>
        </w:rPr>
        <w:t>597 هـ</w:t>
      </w:r>
      <w:r w:rsidR="00217AB4" w:rsidRPr="00C3556F">
        <w:rPr>
          <w:rFonts w:ascii="mylotus" w:hAnsi="mylotus" w:cs="mylotus"/>
          <w:sz w:val="26"/>
          <w:szCs w:val="26"/>
          <w:rtl/>
        </w:rPr>
        <w:t>)،</w:t>
      </w:r>
      <w:r w:rsidRPr="00C3556F">
        <w:rPr>
          <w:rFonts w:ascii="mylotus" w:hAnsi="mylotus" w:cs="mylotus"/>
          <w:sz w:val="26"/>
          <w:szCs w:val="26"/>
          <w:rtl/>
        </w:rPr>
        <w:t xml:space="preserve"> «المنتظم في تاريخ الملوك والأمم»</w:t>
      </w:r>
      <w:r w:rsidR="00217AB4" w:rsidRPr="00C3556F">
        <w:rPr>
          <w:rFonts w:ascii="mylotus" w:hAnsi="mylotus" w:cs="mylotus"/>
          <w:sz w:val="26"/>
          <w:szCs w:val="26"/>
          <w:rtl/>
        </w:rPr>
        <w:t>.</w:t>
      </w:r>
    </w:p>
    <w:p w:rsidR="005C664D" w:rsidRPr="00C3556F" w:rsidRDefault="005C664D" w:rsidP="00C3556F">
      <w:pPr>
        <w:numPr>
          <w:ilvl w:val="0"/>
          <w:numId w:val="30"/>
        </w:numPr>
        <w:spacing w:line="228" w:lineRule="auto"/>
        <w:ind w:left="397" w:hanging="397"/>
        <w:jc w:val="both"/>
        <w:rPr>
          <w:rFonts w:ascii="mylotus" w:hAnsi="mylotus" w:cs="mylotus"/>
          <w:sz w:val="26"/>
          <w:szCs w:val="26"/>
          <w:rtl/>
        </w:rPr>
      </w:pPr>
      <w:r w:rsidRPr="00C3556F">
        <w:rPr>
          <w:rFonts w:ascii="mylotus" w:hAnsi="mylotus" w:cs="mylotus"/>
          <w:sz w:val="26"/>
          <w:szCs w:val="26"/>
          <w:rtl/>
        </w:rPr>
        <w:t>ابن خلدون</w:t>
      </w:r>
      <w:r w:rsidR="00217AB4" w:rsidRPr="00C3556F">
        <w:rPr>
          <w:rFonts w:ascii="mylotus" w:hAnsi="mylotus" w:cs="mylotus"/>
          <w:sz w:val="26"/>
          <w:szCs w:val="26"/>
          <w:rtl/>
        </w:rPr>
        <w:t>،</w:t>
      </w:r>
      <w:r w:rsidRPr="00C3556F">
        <w:rPr>
          <w:rFonts w:ascii="mylotus" w:hAnsi="mylotus" w:cs="mylotus"/>
          <w:sz w:val="26"/>
          <w:szCs w:val="26"/>
          <w:rtl/>
        </w:rPr>
        <w:t xml:space="preserve"> عبد الرحمن بن خلدون </w:t>
      </w:r>
      <w:r w:rsidR="00217AB4" w:rsidRPr="00C3556F">
        <w:rPr>
          <w:rFonts w:ascii="mylotus" w:hAnsi="mylotus" w:cs="mylotus"/>
          <w:sz w:val="26"/>
          <w:szCs w:val="26"/>
          <w:rtl/>
        </w:rPr>
        <w:t>(</w:t>
      </w:r>
      <w:r w:rsidRPr="00C3556F">
        <w:rPr>
          <w:rFonts w:ascii="mylotus" w:hAnsi="mylotus" w:cs="mylotus"/>
          <w:sz w:val="26"/>
          <w:szCs w:val="26"/>
          <w:rtl/>
        </w:rPr>
        <w:t>808هـ</w:t>
      </w:r>
      <w:r w:rsidR="00217AB4" w:rsidRPr="00C3556F">
        <w:rPr>
          <w:rFonts w:ascii="mylotus" w:hAnsi="mylotus" w:cs="mylotus"/>
          <w:sz w:val="26"/>
          <w:szCs w:val="26"/>
          <w:rtl/>
        </w:rPr>
        <w:t>)،</w:t>
      </w:r>
      <w:r w:rsidRPr="00C3556F">
        <w:rPr>
          <w:rFonts w:ascii="mylotus" w:hAnsi="mylotus" w:cs="mylotus"/>
          <w:sz w:val="26"/>
          <w:szCs w:val="26"/>
          <w:rtl/>
        </w:rPr>
        <w:t xml:space="preserve"> «تاريخ ابن خلدون»</w:t>
      </w:r>
      <w:r w:rsidR="00217AB4" w:rsidRPr="00C3556F">
        <w:rPr>
          <w:rFonts w:ascii="mylotus" w:hAnsi="mylotus" w:cs="mylotus"/>
          <w:sz w:val="26"/>
          <w:szCs w:val="26"/>
          <w:rtl/>
        </w:rPr>
        <w:t>،</w:t>
      </w:r>
      <w:r w:rsidRPr="00C3556F">
        <w:rPr>
          <w:rFonts w:ascii="mylotus" w:hAnsi="mylotus" w:cs="mylotus"/>
          <w:sz w:val="26"/>
          <w:szCs w:val="26"/>
          <w:rtl/>
        </w:rPr>
        <w:t xml:space="preserve"> دار الكتب العلمية</w:t>
      </w:r>
      <w:r w:rsidR="00217AB4" w:rsidRPr="00C3556F">
        <w:rPr>
          <w:rFonts w:ascii="mylotus" w:hAnsi="mylotus" w:cs="mylotus"/>
          <w:sz w:val="26"/>
          <w:szCs w:val="26"/>
          <w:rtl/>
        </w:rPr>
        <w:t>،</w:t>
      </w:r>
      <w:r w:rsidRPr="00C3556F">
        <w:rPr>
          <w:rFonts w:ascii="mylotus" w:hAnsi="mylotus" w:cs="mylotus"/>
          <w:sz w:val="26"/>
          <w:szCs w:val="26"/>
          <w:rtl/>
        </w:rPr>
        <w:t xml:space="preserve"> بيروت</w:t>
      </w:r>
      <w:r w:rsidR="00217AB4" w:rsidRPr="00C3556F">
        <w:rPr>
          <w:rFonts w:ascii="mylotus" w:hAnsi="mylotus" w:cs="mylotus"/>
          <w:sz w:val="26"/>
          <w:szCs w:val="26"/>
          <w:rtl/>
          <w:lang w:bidi="ar-SY"/>
        </w:rPr>
        <w:t>،</w:t>
      </w:r>
      <w:r w:rsidRPr="00C3556F">
        <w:rPr>
          <w:rFonts w:ascii="mylotus" w:hAnsi="mylotus" w:cs="mylotus"/>
          <w:sz w:val="26"/>
          <w:szCs w:val="26"/>
          <w:rtl/>
        </w:rPr>
        <w:t xml:space="preserve"> 1413هـ</w:t>
      </w:r>
      <w:r w:rsidR="00217AB4" w:rsidRPr="00C3556F">
        <w:rPr>
          <w:rFonts w:ascii="mylotus" w:hAnsi="mylotus" w:cs="mylotus"/>
          <w:sz w:val="26"/>
          <w:szCs w:val="26"/>
          <w:rtl/>
        </w:rPr>
        <w:t>.</w:t>
      </w:r>
    </w:p>
    <w:p w:rsidR="005C664D" w:rsidRPr="00C3556F" w:rsidRDefault="005C664D" w:rsidP="00C3556F">
      <w:pPr>
        <w:numPr>
          <w:ilvl w:val="0"/>
          <w:numId w:val="30"/>
        </w:numPr>
        <w:spacing w:line="228" w:lineRule="auto"/>
        <w:ind w:left="397" w:hanging="397"/>
        <w:jc w:val="both"/>
        <w:rPr>
          <w:rFonts w:ascii="mylotus" w:hAnsi="mylotus" w:cs="mylotus"/>
          <w:sz w:val="26"/>
          <w:szCs w:val="26"/>
          <w:rtl/>
        </w:rPr>
      </w:pPr>
      <w:r w:rsidRPr="00C3556F">
        <w:rPr>
          <w:rFonts w:ascii="mylotus" w:hAnsi="mylotus" w:cs="mylotus"/>
          <w:sz w:val="26"/>
          <w:szCs w:val="26"/>
          <w:rtl/>
        </w:rPr>
        <w:t>ابن خلكان</w:t>
      </w:r>
      <w:r w:rsidR="00217AB4" w:rsidRPr="00C3556F">
        <w:rPr>
          <w:rFonts w:ascii="mylotus" w:hAnsi="mylotus" w:cs="mylotus"/>
          <w:sz w:val="26"/>
          <w:szCs w:val="26"/>
          <w:rtl/>
        </w:rPr>
        <w:t>،</w:t>
      </w:r>
      <w:r w:rsidRPr="00C3556F">
        <w:rPr>
          <w:rFonts w:ascii="mylotus" w:hAnsi="mylotus" w:cs="mylotus"/>
          <w:sz w:val="26"/>
          <w:szCs w:val="26"/>
          <w:rtl/>
        </w:rPr>
        <w:t xml:space="preserve"> أبو العباس شمس الدين أحمد بن محمد بن أبي بكر </w:t>
      </w:r>
      <w:r w:rsidR="00217AB4" w:rsidRPr="00C3556F">
        <w:rPr>
          <w:rFonts w:ascii="mylotus" w:hAnsi="mylotus" w:cs="mylotus"/>
          <w:sz w:val="26"/>
          <w:szCs w:val="26"/>
          <w:rtl/>
        </w:rPr>
        <w:t>(</w:t>
      </w:r>
      <w:r w:rsidRPr="00C3556F">
        <w:rPr>
          <w:rFonts w:ascii="mylotus" w:hAnsi="mylotus" w:cs="mylotus"/>
          <w:sz w:val="26"/>
          <w:szCs w:val="26"/>
          <w:rtl/>
        </w:rPr>
        <w:t>681هـ</w:t>
      </w:r>
      <w:r w:rsidR="00217AB4" w:rsidRPr="00C3556F">
        <w:rPr>
          <w:rFonts w:ascii="mylotus" w:hAnsi="mylotus" w:cs="mylotus"/>
          <w:sz w:val="26"/>
          <w:szCs w:val="26"/>
          <w:rtl/>
        </w:rPr>
        <w:t>)،</w:t>
      </w:r>
      <w:r w:rsidRPr="00C3556F">
        <w:rPr>
          <w:rFonts w:ascii="mylotus" w:hAnsi="mylotus" w:cs="mylotus"/>
          <w:sz w:val="26"/>
          <w:szCs w:val="26"/>
          <w:rtl/>
        </w:rPr>
        <w:t xml:space="preserve"> «وفيات الأعيان وأنباء أبناء الزمان» </w:t>
      </w:r>
      <w:r w:rsidR="00217AB4" w:rsidRPr="00C3556F">
        <w:rPr>
          <w:rFonts w:ascii="mylotus" w:hAnsi="mylotus" w:cs="mylotus"/>
          <w:sz w:val="26"/>
          <w:szCs w:val="26"/>
          <w:rtl/>
        </w:rPr>
        <w:t>(</w:t>
      </w:r>
      <w:r w:rsidRPr="00C3556F">
        <w:rPr>
          <w:rFonts w:ascii="mylotus" w:hAnsi="mylotus" w:cs="mylotus"/>
          <w:sz w:val="26"/>
          <w:szCs w:val="26"/>
          <w:rtl/>
        </w:rPr>
        <w:t>المعروف بتاريخ ابن خلّكان</w:t>
      </w:r>
      <w:r w:rsidR="00217AB4" w:rsidRPr="00C3556F">
        <w:rPr>
          <w:rFonts w:ascii="mylotus" w:hAnsi="mylotus" w:cs="mylotus"/>
          <w:sz w:val="26"/>
          <w:szCs w:val="26"/>
          <w:rtl/>
        </w:rPr>
        <w:t>)،</w:t>
      </w:r>
      <w:r w:rsidRPr="00C3556F">
        <w:rPr>
          <w:rFonts w:ascii="mylotus" w:hAnsi="mylotus" w:cs="mylotus"/>
          <w:sz w:val="26"/>
          <w:szCs w:val="26"/>
          <w:rtl/>
        </w:rPr>
        <w:t xml:space="preserve"> تحقيق</w:t>
      </w:r>
      <w:r w:rsidR="00217AB4" w:rsidRPr="00C3556F">
        <w:rPr>
          <w:rFonts w:ascii="mylotus" w:hAnsi="mylotus" w:cs="mylotus"/>
          <w:sz w:val="26"/>
          <w:szCs w:val="26"/>
          <w:rtl/>
        </w:rPr>
        <w:t>:</w:t>
      </w:r>
      <w:r w:rsidRPr="00C3556F">
        <w:rPr>
          <w:rFonts w:ascii="mylotus" w:hAnsi="mylotus" w:cs="mylotus"/>
          <w:sz w:val="26"/>
          <w:szCs w:val="26"/>
          <w:rtl/>
        </w:rPr>
        <w:t xml:space="preserve"> د</w:t>
      </w:r>
      <w:r w:rsidR="00217AB4" w:rsidRPr="00C3556F">
        <w:rPr>
          <w:rFonts w:ascii="mylotus" w:hAnsi="mylotus" w:cs="mylotus"/>
          <w:sz w:val="26"/>
          <w:szCs w:val="26"/>
          <w:rtl/>
        </w:rPr>
        <w:t>.</w:t>
      </w:r>
      <w:r w:rsidRPr="00C3556F">
        <w:rPr>
          <w:rFonts w:ascii="mylotus" w:hAnsi="mylotus" w:cs="mylotus"/>
          <w:sz w:val="26"/>
          <w:szCs w:val="26"/>
          <w:rtl/>
        </w:rPr>
        <w:t xml:space="preserve"> إحسان عباس</w:t>
      </w:r>
      <w:r w:rsidR="00217AB4" w:rsidRPr="00C3556F">
        <w:rPr>
          <w:rFonts w:ascii="mylotus" w:hAnsi="mylotus" w:cs="mylotus"/>
          <w:sz w:val="26"/>
          <w:szCs w:val="26"/>
          <w:rtl/>
        </w:rPr>
        <w:t>،</w:t>
      </w:r>
      <w:r w:rsidRPr="00C3556F">
        <w:rPr>
          <w:rFonts w:ascii="mylotus" w:hAnsi="mylotus" w:cs="mylotus"/>
          <w:sz w:val="26"/>
          <w:szCs w:val="26"/>
          <w:rtl/>
        </w:rPr>
        <w:t xml:space="preserve"> بيروت</w:t>
      </w:r>
      <w:r w:rsidR="00217AB4" w:rsidRPr="00C3556F">
        <w:rPr>
          <w:rFonts w:ascii="mylotus" w:hAnsi="mylotus" w:cs="mylotus"/>
          <w:sz w:val="26"/>
          <w:szCs w:val="26"/>
          <w:rtl/>
        </w:rPr>
        <w:t>:</w:t>
      </w:r>
      <w:r w:rsidRPr="00C3556F">
        <w:rPr>
          <w:rFonts w:ascii="mylotus" w:hAnsi="mylotus" w:cs="mylotus"/>
          <w:sz w:val="26"/>
          <w:szCs w:val="26"/>
          <w:rtl/>
        </w:rPr>
        <w:t xml:space="preserve"> دار الثقافة</w:t>
      </w:r>
      <w:r w:rsidR="00217AB4" w:rsidRPr="00C3556F">
        <w:rPr>
          <w:rFonts w:ascii="mylotus" w:hAnsi="mylotus" w:cs="mylotus"/>
          <w:sz w:val="26"/>
          <w:szCs w:val="26"/>
          <w:rtl/>
        </w:rPr>
        <w:t>،</w:t>
      </w:r>
      <w:r w:rsidRPr="00C3556F">
        <w:rPr>
          <w:rFonts w:ascii="mylotus" w:hAnsi="mylotus" w:cs="mylotus"/>
          <w:sz w:val="26"/>
          <w:szCs w:val="26"/>
          <w:rtl/>
        </w:rPr>
        <w:t xml:space="preserve"> 1978م</w:t>
      </w:r>
      <w:r w:rsidR="00217AB4" w:rsidRPr="00C3556F">
        <w:rPr>
          <w:rFonts w:ascii="mylotus" w:hAnsi="mylotus" w:cs="mylotus"/>
          <w:sz w:val="26"/>
          <w:szCs w:val="26"/>
          <w:rtl/>
        </w:rPr>
        <w:t>.</w:t>
      </w:r>
      <w:r w:rsidRPr="00C3556F">
        <w:rPr>
          <w:rFonts w:ascii="mylotus" w:hAnsi="mylotus" w:cs="mylotus"/>
          <w:sz w:val="26"/>
          <w:szCs w:val="26"/>
          <w:rtl/>
        </w:rPr>
        <w:t xml:space="preserve"> [8 أجزاء]</w:t>
      </w:r>
      <w:r w:rsidR="00217AB4" w:rsidRPr="00C3556F">
        <w:rPr>
          <w:rFonts w:ascii="mylotus" w:hAnsi="mylotus" w:cs="mylotus"/>
          <w:sz w:val="26"/>
          <w:szCs w:val="26"/>
          <w:rtl/>
        </w:rPr>
        <w:t>.</w:t>
      </w:r>
    </w:p>
    <w:p w:rsidR="005C664D" w:rsidRPr="00C3556F" w:rsidRDefault="005C664D" w:rsidP="00C3556F">
      <w:pPr>
        <w:numPr>
          <w:ilvl w:val="0"/>
          <w:numId w:val="30"/>
        </w:numPr>
        <w:spacing w:line="228" w:lineRule="auto"/>
        <w:ind w:left="397" w:hanging="397"/>
        <w:jc w:val="both"/>
        <w:rPr>
          <w:rFonts w:ascii="mylotus" w:hAnsi="mylotus" w:cs="mylotus"/>
          <w:sz w:val="26"/>
          <w:szCs w:val="26"/>
          <w:rtl/>
        </w:rPr>
      </w:pPr>
      <w:r w:rsidRPr="00C3556F">
        <w:rPr>
          <w:rFonts w:ascii="mylotus" w:hAnsi="mylotus" w:cs="mylotus"/>
          <w:sz w:val="26"/>
          <w:szCs w:val="26"/>
          <w:rtl/>
        </w:rPr>
        <w:t>ابن شهرآشوب المازندراني</w:t>
      </w:r>
      <w:r w:rsidR="00217AB4" w:rsidRPr="00C3556F">
        <w:rPr>
          <w:rFonts w:ascii="mylotus" w:hAnsi="mylotus" w:cs="mylotus"/>
          <w:sz w:val="26"/>
          <w:szCs w:val="26"/>
          <w:rtl/>
        </w:rPr>
        <w:t>،</w:t>
      </w:r>
      <w:r w:rsidRPr="00C3556F">
        <w:rPr>
          <w:rFonts w:ascii="mylotus" w:hAnsi="mylotus" w:cs="mylotus"/>
          <w:sz w:val="26"/>
          <w:szCs w:val="26"/>
          <w:rtl/>
        </w:rPr>
        <w:t xml:space="preserve"> «المناقب»</w:t>
      </w:r>
      <w:r w:rsidR="00217AB4" w:rsidRPr="00C3556F">
        <w:rPr>
          <w:rFonts w:ascii="mylotus" w:hAnsi="mylotus" w:cs="mylotus"/>
          <w:sz w:val="26"/>
          <w:szCs w:val="26"/>
          <w:rtl/>
        </w:rPr>
        <w:t>.</w:t>
      </w:r>
    </w:p>
    <w:p w:rsidR="005C664D" w:rsidRPr="00C3556F" w:rsidRDefault="005C664D" w:rsidP="00C3556F">
      <w:pPr>
        <w:numPr>
          <w:ilvl w:val="0"/>
          <w:numId w:val="30"/>
        </w:numPr>
        <w:spacing w:line="228" w:lineRule="auto"/>
        <w:ind w:left="397" w:hanging="397"/>
        <w:jc w:val="both"/>
        <w:rPr>
          <w:rFonts w:ascii="mylotus" w:hAnsi="mylotus" w:cs="mylotus"/>
          <w:sz w:val="26"/>
          <w:szCs w:val="26"/>
          <w:rtl/>
        </w:rPr>
      </w:pPr>
      <w:r w:rsidRPr="00C3556F">
        <w:rPr>
          <w:rFonts w:ascii="mylotus" w:hAnsi="mylotus" w:cs="mylotus"/>
          <w:sz w:val="26"/>
          <w:szCs w:val="26"/>
          <w:rtl/>
        </w:rPr>
        <w:t>ابن عبد البر القرطبي</w:t>
      </w:r>
      <w:r w:rsidR="00217AB4" w:rsidRPr="00C3556F">
        <w:rPr>
          <w:rFonts w:ascii="mylotus" w:hAnsi="mylotus" w:cs="mylotus"/>
          <w:sz w:val="26"/>
          <w:szCs w:val="26"/>
          <w:rtl/>
        </w:rPr>
        <w:t>،</w:t>
      </w:r>
      <w:r w:rsidRPr="00C3556F">
        <w:rPr>
          <w:rFonts w:ascii="mylotus" w:hAnsi="mylotus" w:cs="mylotus"/>
          <w:sz w:val="26"/>
          <w:szCs w:val="26"/>
          <w:rtl/>
        </w:rPr>
        <w:t xml:space="preserve"> الفقيه أحمد بن محمد بن عبد البر أبو عبد الملك </w:t>
      </w:r>
      <w:r w:rsidR="00217AB4" w:rsidRPr="00C3556F">
        <w:rPr>
          <w:rFonts w:ascii="mylotus" w:hAnsi="mylotus" w:cs="mylotus"/>
          <w:sz w:val="26"/>
          <w:szCs w:val="26"/>
          <w:rtl/>
        </w:rPr>
        <w:t>(</w:t>
      </w:r>
      <w:r w:rsidRPr="00C3556F">
        <w:rPr>
          <w:rFonts w:ascii="mylotus" w:hAnsi="mylotus" w:cs="mylotus"/>
          <w:sz w:val="26"/>
          <w:szCs w:val="26"/>
          <w:rtl/>
        </w:rPr>
        <w:t>338هـ</w:t>
      </w:r>
      <w:r w:rsidR="00217AB4" w:rsidRPr="00C3556F">
        <w:rPr>
          <w:rFonts w:ascii="mylotus" w:hAnsi="mylotus" w:cs="mylotus"/>
          <w:sz w:val="26"/>
          <w:szCs w:val="26"/>
          <w:rtl/>
        </w:rPr>
        <w:t>)،</w:t>
      </w:r>
      <w:r w:rsidRPr="00C3556F">
        <w:rPr>
          <w:rFonts w:ascii="mylotus" w:hAnsi="mylotus" w:cs="mylotus"/>
          <w:sz w:val="26"/>
          <w:szCs w:val="26"/>
          <w:rtl/>
        </w:rPr>
        <w:t xml:space="preserve"> «الاستيعاب في معرفة الأصحاب»</w:t>
      </w:r>
      <w:r w:rsidR="00217AB4" w:rsidRPr="00C3556F">
        <w:rPr>
          <w:rFonts w:ascii="mylotus" w:hAnsi="mylotus" w:cs="mylotus"/>
          <w:sz w:val="26"/>
          <w:szCs w:val="26"/>
          <w:rtl/>
        </w:rPr>
        <w:t>.</w:t>
      </w:r>
    </w:p>
    <w:p w:rsidR="005C664D" w:rsidRPr="00C3556F" w:rsidRDefault="005C664D" w:rsidP="00C3556F">
      <w:pPr>
        <w:numPr>
          <w:ilvl w:val="0"/>
          <w:numId w:val="30"/>
        </w:numPr>
        <w:spacing w:line="228" w:lineRule="auto"/>
        <w:ind w:left="397" w:hanging="397"/>
        <w:jc w:val="both"/>
        <w:rPr>
          <w:rFonts w:ascii="mylotus" w:hAnsi="mylotus" w:cs="mylotus"/>
          <w:sz w:val="26"/>
          <w:szCs w:val="26"/>
          <w:rtl/>
        </w:rPr>
      </w:pPr>
      <w:r w:rsidRPr="00C3556F">
        <w:rPr>
          <w:rFonts w:ascii="mylotus" w:hAnsi="mylotus" w:cs="mylotus"/>
          <w:sz w:val="26"/>
          <w:szCs w:val="26"/>
          <w:rtl/>
        </w:rPr>
        <w:t>ابن هشام</w:t>
      </w:r>
      <w:r w:rsidR="00217AB4" w:rsidRPr="00C3556F">
        <w:rPr>
          <w:rFonts w:ascii="mylotus" w:hAnsi="mylotus" w:cs="mylotus"/>
          <w:sz w:val="26"/>
          <w:szCs w:val="26"/>
          <w:rtl/>
        </w:rPr>
        <w:t>،</w:t>
      </w:r>
      <w:r w:rsidRPr="00C3556F">
        <w:rPr>
          <w:rFonts w:ascii="mylotus" w:hAnsi="mylotus" w:cs="mylotus"/>
          <w:sz w:val="26"/>
          <w:szCs w:val="26"/>
          <w:rtl/>
        </w:rPr>
        <w:t xml:space="preserve"> عبد الملك بن هشام بن أيوب الحميري </w:t>
      </w:r>
      <w:r w:rsidR="00217AB4" w:rsidRPr="00C3556F">
        <w:rPr>
          <w:rFonts w:ascii="mylotus" w:hAnsi="mylotus" w:cs="mylotus"/>
          <w:sz w:val="26"/>
          <w:szCs w:val="26"/>
          <w:rtl/>
        </w:rPr>
        <w:t>(</w:t>
      </w:r>
      <w:r w:rsidRPr="00C3556F">
        <w:rPr>
          <w:rFonts w:ascii="mylotus" w:hAnsi="mylotus" w:cs="mylotus"/>
          <w:sz w:val="26"/>
          <w:szCs w:val="26"/>
          <w:rtl/>
        </w:rPr>
        <w:t>213 أو 218ﻫ</w:t>
      </w:r>
      <w:r w:rsidR="00217AB4" w:rsidRPr="00C3556F">
        <w:rPr>
          <w:rFonts w:ascii="mylotus" w:hAnsi="mylotus" w:cs="mylotus"/>
          <w:sz w:val="26"/>
          <w:szCs w:val="26"/>
          <w:rtl/>
        </w:rPr>
        <w:t>)،</w:t>
      </w:r>
      <w:r w:rsidR="00147857" w:rsidRPr="00C3556F">
        <w:rPr>
          <w:rFonts w:ascii="mylotus" w:hAnsi="mylotus" w:cs="mylotus"/>
          <w:sz w:val="26"/>
          <w:szCs w:val="26"/>
          <w:rtl/>
        </w:rPr>
        <w:t xml:space="preserve"> </w:t>
      </w:r>
      <w:r w:rsidRPr="00C3556F">
        <w:rPr>
          <w:rFonts w:ascii="mylotus" w:hAnsi="mylotus" w:cs="mylotus"/>
          <w:sz w:val="26"/>
          <w:szCs w:val="26"/>
          <w:rtl/>
        </w:rPr>
        <w:t>«السيرة النبوية»</w:t>
      </w:r>
      <w:r w:rsidR="00217AB4" w:rsidRPr="00C3556F">
        <w:rPr>
          <w:rFonts w:ascii="mylotus" w:hAnsi="mylotus" w:cs="mylotus"/>
          <w:sz w:val="26"/>
          <w:szCs w:val="26"/>
          <w:rtl/>
        </w:rPr>
        <w:t>.</w:t>
      </w:r>
      <w:r w:rsidRPr="00C3556F">
        <w:rPr>
          <w:rFonts w:ascii="mylotus" w:hAnsi="mylotus" w:cs="mylotus"/>
          <w:sz w:val="26"/>
          <w:szCs w:val="26"/>
          <w:rtl/>
        </w:rPr>
        <w:t xml:space="preserve"> </w:t>
      </w:r>
    </w:p>
    <w:p w:rsidR="005C664D" w:rsidRPr="00C3556F" w:rsidRDefault="005C664D" w:rsidP="00C3556F">
      <w:pPr>
        <w:numPr>
          <w:ilvl w:val="0"/>
          <w:numId w:val="30"/>
        </w:numPr>
        <w:spacing w:line="228" w:lineRule="auto"/>
        <w:ind w:left="510" w:hanging="510"/>
        <w:jc w:val="both"/>
        <w:rPr>
          <w:rFonts w:ascii="mylotus" w:hAnsi="mylotus" w:cs="mylotus"/>
          <w:sz w:val="26"/>
          <w:szCs w:val="26"/>
          <w:rtl/>
        </w:rPr>
      </w:pPr>
      <w:r w:rsidRPr="00C3556F">
        <w:rPr>
          <w:rFonts w:ascii="mylotus" w:hAnsi="mylotus" w:cs="mylotus"/>
          <w:sz w:val="26"/>
          <w:szCs w:val="26"/>
          <w:rtl/>
        </w:rPr>
        <w:t>أبو الفداء</w:t>
      </w:r>
      <w:r w:rsidR="00217AB4" w:rsidRPr="00C3556F">
        <w:rPr>
          <w:rFonts w:ascii="mylotus" w:hAnsi="mylotus" w:cs="mylotus"/>
          <w:sz w:val="26"/>
          <w:szCs w:val="26"/>
          <w:rtl/>
        </w:rPr>
        <w:t>،</w:t>
      </w:r>
      <w:r w:rsidRPr="00C3556F">
        <w:rPr>
          <w:rFonts w:ascii="mylotus" w:hAnsi="mylotus" w:cs="mylotus"/>
          <w:sz w:val="26"/>
          <w:szCs w:val="26"/>
          <w:rtl/>
        </w:rPr>
        <w:t xml:space="preserve"> الملك المؤيد إسماعيل بن محمد بن قلاوون بن أبي الفداء </w:t>
      </w:r>
      <w:r w:rsidR="00217AB4" w:rsidRPr="00C3556F">
        <w:rPr>
          <w:rFonts w:ascii="mylotus" w:hAnsi="mylotus" w:cs="mylotus"/>
          <w:sz w:val="26"/>
          <w:szCs w:val="26"/>
          <w:rtl/>
        </w:rPr>
        <w:t>(</w:t>
      </w:r>
      <w:r w:rsidRPr="00C3556F">
        <w:rPr>
          <w:rFonts w:ascii="mylotus" w:hAnsi="mylotus" w:cs="mylotus"/>
          <w:sz w:val="26"/>
          <w:szCs w:val="26"/>
          <w:rtl/>
        </w:rPr>
        <w:t>746هـ</w:t>
      </w:r>
      <w:r w:rsidR="00217AB4" w:rsidRPr="00C3556F">
        <w:rPr>
          <w:rFonts w:ascii="mylotus" w:hAnsi="mylotus" w:cs="mylotus"/>
          <w:sz w:val="26"/>
          <w:szCs w:val="26"/>
          <w:rtl/>
        </w:rPr>
        <w:t>)،</w:t>
      </w:r>
      <w:r w:rsidRPr="00C3556F">
        <w:rPr>
          <w:rFonts w:ascii="mylotus" w:hAnsi="mylotus" w:cs="mylotus"/>
          <w:sz w:val="26"/>
          <w:szCs w:val="26"/>
          <w:rtl/>
        </w:rPr>
        <w:t xml:space="preserve"> «تاريخ أبي الفداء»</w:t>
      </w:r>
      <w:r w:rsidR="00217AB4" w:rsidRPr="00C3556F">
        <w:rPr>
          <w:rFonts w:ascii="mylotus" w:hAnsi="mylotus" w:cs="mylotus"/>
          <w:sz w:val="26"/>
          <w:szCs w:val="26"/>
          <w:rtl/>
        </w:rPr>
        <w:t>.</w:t>
      </w:r>
      <w:r w:rsidRPr="00C3556F">
        <w:rPr>
          <w:rFonts w:ascii="mylotus" w:hAnsi="mylotus" w:cs="mylotus"/>
          <w:sz w:val="26"/>
          <w:szCs w:val="26"/>
          <w:rtl/>
        </w:rPr>
        <w:t xml:space="preserve"> </w:t>
      </w:r>
    </w:p>
    <w:p w:rsidR="005C664D" w:rsidRPr="00C3556F" w:rsidRDefault="005C664D" w:rsidP="00C3556F">
      <w:pPr>
        <w:numPr>
          <w:ilvl w:val="0"/>
          <w:numId w:val="30"/>
        </w:numPr>
        <w:spacing w:line="228" w:lineRule="auto"/>
        <w:ind w:left="510" w:hanging="510"/>
        <w:jc w:val="both"/>
        <w:rPr>
          <w:rFonts w:ascii="mylotus" w:hAnsi="mylotus" w:cs="mylotus"/>
          <w:sz w:val="26"/>
          <w:szCs w:val="26"/>
          <w:rtl/>
        </w:rPr>
      </w:pPr>
      <w:r w:rsidRPr="00C3556F">
        <w:rPr>
          <w:rFonts w:ascii="mylotus" w:hAnsi="mylotus" w:cs="mylotus"/>
          <w:sz w:val="26"/>
          <w:szCs w:val="26"/>
          <w:rtl/>
        </w:rPr>
        <w:t>أبو الفرج الأصفهاني</w:t>
      </w:r>
      <w:r w:rsidR="00217AB4" w:rsidRPr="00C3556F">
        <w:rPr>
          <w:rFonts w:ascii="mylotus" w:hAnsi="mylotus" w:cs="mylotus"/>
          <w:sz w:val="26"/>
          <w:szCs w:val="26"/>
          <w:rtl/>
        </w:rPr>
        <w:t>،</w:t>
      </w:r>
      <w:r w:rsidRPr="00C3556F">
        <w:rPr>
          <w:rFonts w:ascii="mylotus" w:hAnsi="mylotus" w:cs="mylotus"/>
          <w:sz w:val="26"/>
          <w:szCs w:val="26"/>
          <w:rtl/>
        </w:rPr>
        <w:t xml:space="preserve"> علي بن الحسين بن محمّد الأصفهاني </w:t>
      </w:r>
      <w:r w:rsidR="00217AB4" w:rsidRPr="00C3556F">
        <w:rPr>
          <w:rFonts w:ascii="mylotus" w:hAnsi="mylotus" w:cs="mylotus"/>
          <w:sz w:val="26"/>
          <w:szCs w:val="26"/>
          <w:rtl/>
        </w:rPr>
        <w:t>(</w:t>
      </w:r>
      <w:r w:rsidRPr="00C3556F">
        <w:rPr>
          <w:rFonts w:ascii="mylotus" w:hAnsi="mylotus" w:cs="mylotus"/>
          <w:sz w:val="26"/>
          <w:szCs w:val="26"/>
          <w:rtl/>
        </w:rPr>
        <w:t>350 أو 356هـ</w:t>
      </w:r>
      <w:r w:rsidR="00217AB4" w:rsidRPr="00C3556F">
        <w:rPr>
          <w:rFonts w:ascii="mylotus" w:hAnsi="mylotus" w:cs="mylotus"/>
          <w:sz w:val="26"/>
          <w:szCs w:val="26"/>
          <w:rtl/>
        </w:rPr>
        <w:t>؟)،</w:t>
      </w:r>
      <w:r w:rsidRPr="00C3556F">
        <w:rPr>
          <w:rFonts w:ascii="mylotus" w:hAnsi="mylotus" w:cs="mylotus"/>
          <w:sz w:val="26"/>
          <w:szCs w:val="26"/>
          <w:rtl/>
        </w:rPr>
        <w:t xml:space="preserve"> «الأغاني»</w:t>
      </w:r>
      <w:r w:rsidR="00217AB4" w:rsidRPr="00C3556F">
        <w:rPr>
          <w:rFonts w:ascii="mylotus" w:hAnsi="mylotus" w:cs="mylotus"/>
          <w:sz w:val="26"/>
          <w:szCs w:val="26"/>
          <w:rtl/>
        </w:rPr>
        <w:t>،</w:t>
      </w:r>
      <w:r w:rsidRPr="00C3556F">
        <w:rPr>
          <w:rFonts w:ascii="mylotus" w:hAnsi="mylotus" w:cs="mylotus"/>
          <w:sz w:val="26"/>
          <w:szCs w:val="26"/>
          <w:rtl/>
        </w:rPr>
        <w:t xml:space="preserve"> بيروت</w:t>
      </w:r>
      <w:r w:rsidR="00217AB4" w:rsidRPr="00C3556F">
        <w:rPr>
          <w:rFonts w:ascii="mylotus" w:hAnsi="mylotus" w:cs="mylotus"/>
          <w:sz w:val="26"/>
          <w:szCs w:val="26"/>
          <w:rtl/>
        </w:rPr>
        <w:t>،</w:t>
      </w:r>
      <w:r w:rsidRPr="00C3556F">
        <w:rPr>
          <w:rFonts w:ascii="mylotus" w:hAnsi="mylotus" w:cs="mylotus"/>
          <w:sz w:val="26"/>
          <w:szCs w:val="26"/>
          <w:rtl/>
        </w:rPr>
        <w:t xml:space="preserve"> 1992م</w:t>
      </w:r>
      <w:r w:rsidR="00217AB4" w:rsidRPr="00C3556F">
        <w:rPr>
          <w:rFonts w:ascii="mylotus" w:hAnsi="mylotus" w:cs="mylotus"/>
          <w:sz w:val="26"/>
          <w:szCs w:val="26"/>
          <w:rtl/>
        </w:rPr>
        <w:t>.</w:t>
      </w:r>
    </w:p>
    <w:p w:rsidR="005C664D" w:rsidRPr="00C3556F" w:rsidRDefault="005C664D" w:rsidP="00C3556F">
      <w:pPr>
        <w:numPr>
          <w:ilvl w:val="0"/>
          <w:numId w:val="30"/>
        </w:numPr>
        <w:spacing w:line="228" w:lineRule="auto"/>
        <w:ind w:left="510" w:hanging="510"/>
        <w:jc w:val="both"/>
        <w:rPr>
          <w:rFonts w:ascii="mylotus" w:hAnsi="mylotus" w:cs="mylotus"/>
          <w:sz w:val="26"/>
          <w:szCs w:val="26"/>
          <w:rtl/>
        </w:rPr>
      </w:pPr>
      <w:r w:rsidRPr="00C3556F">
        <w:rPr>
          <w:rFonts w:ascii="mylotus" w:hAnsi="mylotus" w:cs="mylotus"/>
          <w:sz w:val="26"/>
          <w:szCs w:val="26"/>
          <w:rtl/>
        </w:rPr>
        <w:t>الإربلي</w:t>
      </w:r>
      <w:r w:rsidR="00217AB4" w:rsidRPr="00C3556F">
        <w:rPr>
          <w:rFonts w:ascii="mylotus" w:hAnsi="mylotus" w:cs="mylotus"/>
          <w:sz w:val="26"/>
          <w:szCs w:val="26"/>
          <w:rtl/>
        </w:rPr>
        <w:t>،</w:t>
      </w:r>
      <w:r w:rsidRPr="00C3556F">
        <w:rPr>
          <w:rFonts w:ascii="mylotus" w:hAnsi="mylotus" w:cs="mylotus"/>
          <w:sz w:val="26"/>
          <w:szCs w:val="26"/>
          <w:rtl/>
        </w:rPr>
        <w:t xml:space="preserve"> أبو الحسن علي بن عيسى بن أبي الفتح الإربلي </w:t>
      </w:r>
      <w:r w:rsidR="00217AB4" w:rsidRPr="00C3556F">
        <w:rPr>
          <w:rFonts w:ascii="mylotus" w:hAnsi="mylotus" w:cs="mylotus"/>
          <w:sz w:val="26"/>
          <w:szCs w:val="26"/>
          <w:rtl/>
        </w:rPr>
        <w:t>(</w:t>
      </w:r>
      <w:r w:rsidRPr="00C3556F">
        <w:rPr>
          <w:rFonts w:ascii="mylotus" w:hAnsi="mylotus" w:cs="mylotus"/>
          <w:sz w:val="26"/>
          <w:szCs w:val="26"/>
          <w:rtl/>
        </w:rPr>
        <w:t>693هـ</w:t>
      </w:r>
      <w:r w:rsidR="00217AB4" w:rsidRPr="00C3556F">
        <w:rPr>
          <w:rFonts w:ascii="mylotus" w:hAnsi="mylotus" w:cs="mylotus"/>
          <w:sz w:val="26"/>
          <w:szCs w:val="26"/>
          <w:rtl/>
        </w:rPr>
        <w:t>)،</w:t>
      </w:r>
      <w:r w:rsidRPr="00C3556F">
        <w:rPr>
          <w:rFonts w:ascii="mylotus" w:hAnsi="mylotus" w:cs="mylotus"/>
          <w:sz w:val="26"/>
          <w:szCs w:val="26"/>
          <w:rtl/>
        </w:rPr>
        <w:t xml:space="preserve"> «كشف الغمة في معرفة الأئمة </w:t>
      </w:r>
      <w:r w:rsidR="00963EFD" w:rsidRPr="00963EFD">
        <w:rPr>
          <w:rFonts w:ascii="mylotus" w:hAnsi="mylotus" w:cs="CTraditional Arabic"/>
          <w:sz w:val="26"/>
          <w:szCs w:val="26"/>
          <w:rtl/>
        </w:rPr>
        <w:t>‡</w:t>
      </w:r>
      <w:r w:rsidRPr="00C3556F">
        <w:rPr>
          <w:rFonts w:ascii="mylotus" w:hAnsi="mylotus" w:cs="mylotus"/>
          <w:sz w:val="26"/>
          <w:szCs w:val="26"/>
          <w:rtl/>
        </w:rPr>
        <w:t>»</w:t>
      </w:r>
      <w:r w:rsidR="00217AB4" w:rsidRPr="00C3556F">
        <w:rPr>
          <w:rFonts w:ascii="mylotus" w:hAnsi="mylotus" w:cs="mylotus"/>
          <w:sz w:val="26"/>
          <w:szCs w:val="26"/>
          <w:rtl/>
        </w:rPr>
        <w:t>،</w:t>
      </w:r>
      <w:r w:rsidRPr="00C3556F">
        <w:rPr>
          <w:rFonts w:ascii="mylotus" w:hAnsi="mylotus" w:cs="mylotus"/>
          <w:sz w:val="26"/>
          <w:szCs w:val="26"/>
          <w:rtl/>
        </w:rPr>
        <w:t xml:space="preserve"> ط</w:t>
      </w:r>
      <w:r w:rsidR="00217AB4" w:rsidRPr="00C3556F">
        <w:rPr>
          <w:rFonts w:ascii="mylotus" w:hAnsi="mylotus" w:cs="mylotus"/>
          <w:sz w:val="26"/>
          <w:szCs w:val="26"/>
          <w:rtl/>
        </w:rPr>
        <w:t>.</w:t>
      </w:r>
      <w:r w:rsidRPr="00C3556F">
        <w:rPr>
          <w:rFonts w:ascii="mylotus" w:hAnsi="mylotus" w:cs="mylotus"/>
          <w:sz w:val="26"/>
          <w:szCs w:val="26"/>
          <w:rtl/>
        </w:rPr>
        <w:t>تبريز/ إيران</w:t>
      </w:r>
      <w:r w:rsidR="00217AB4" w:rsidRPr="00C3556F">
        <w:rPr>
          <w:rFonts w:ascii="mylotus" w:hAnsi="mylotus" w:cs="mylotus"/>
          <w:sz w:val="26"/>
          <w:szCs w:val="26"/>
          <w:rtl/>
        </w:rPr>
        <w:t>.</w:t>
      </w:r>
    </w:p>
    <w:p w:rsidR="005C664D" w:rsidRPr="00C3556F" w:rsidRDefault="005C664D" w:rsidP="00C3556F">
      <w:pPr>
        <w:numPr>
          <w:ilvl w:val="0"/>
          <w:numId w:val="30"/>
        </w:numPr>
        <w:spacing w:line="228" w:lineRule="auto"/>
        <w:ind w:left="510" w:hanging="510"/>
        <w:jc w:val="both"/>
        <w:rPr>
          <w:rFonts w:ascii="mylotus" w:hAnsi="mylotus" w:cs="mylotus"/>
          <w:sz w:val="26"/>
          <w:szCs w:val="26"/>
          <w:rtl/>
        </w:rPr>
      </w:pPr>
      <w:r w:rsidRPr="00C3556F">
        <w:rPr>
          <w:rFonts w:ascii="mylotus" w:hAnsi="mylotus" w:cs="mylotus"/>
          <w:sz w:val="26"/>
          <w:szCs w:val="26"/>
          <w:rtl/>
        </w:rPr>
        <w:t>أسد حيدر</w:t>
      </w:r>
      <w:r w:rsidR="00217AB4" w:rsidRPr="00C3556F">
        <w:rPr>
          <w:rFonts w:ascii="mylotus" w:hAnsi="mylotus" w:cs="mylotus"/>
          <w:sz w:val="26"/>
          <w:szCs w:val="26"/>
          <w:rtl/>
        </w:rPr>
        <w:t>،</w:t>
      </w:r>
      <w:r w:rsidRPr="00C3556F">
        <w:rPr>
          <w:rFonts w:ascii="mylotus" w:hAnsi="mylotus" w:cs="mylotus"/>
          <w:sz w:val="26"/>
          <w:szCs w:val="26"/>
          <w:rtl/>
        </w:rPr>
        <w:t xml:space="preserve"> «الإمام الصادق والمذاهب الأربعة»</w:t>
      </w:r>
      <w:r w:rsidR="00217AB4" w:rsidRPr="00C3556F">
        <w:rPr>
          <w:rFonts w:ascii="mylotus" w:hAnsi="mylotus" w:cs="mylotus"/>
          <w:sz w:val="26"/>
          <w:szCs w:val="26"/>
          <w:rtl/>
        </w:rPr>
        <w:t>،</w:t>
      </w:r>
      <w:r w:rsidRPr="00C3556F">
        <w:rPr>
          <w:rFonts w:ascii="mylotus" w:hAnsi="mylotus" w:cs="mylotus"/>
          <w:sz w:val="26"/>
          <w:szCs w:val="26"/>
          <w:rtl/>
        </w:rPr>
        <w:t xml:space="preserve"> بيروت</w:t>
      </w:r>
      <w:r w:rsidR="00217AB4" w:rsidRPr="00C3556F">
        <w:rPr>
          <w:rFonts w:ascii="mylotus" w:hAnsi="mylotus" w:cs="mylotus"/>
          <w:sz w:val="26"/>
          <w:szCs w:val="26"/>
          <w:rtl/>
        </w:rPr>
        <w:t>،</w:t>
      </w:r>
      <w:r w:rsidRPr="00C3556F">
        <w:rPr>
          <w:rFonts w:ascii="mylotus" w:hAnsi="mylotus" w:cs="mylotus"/>
          <w:sz w:val="26"/>
          <w:szCs w:val="26"/>
          <w:rtl/>
        </w:rPr>
        <w:t xml:space="preserve"> دار الكتب العربية</w:t>
      </w:r>
      <w:r w:rsidR="00217AB4" w:rsidRPr="00C3556F">
        <w:rPr>
          <w:rFonts w:ascii="mylotus" w:hAnsi="mylotus" w:cs="mylotus"/>
          <w:sz w:val="26"/>
          <w:szCs w:val="26"/>
          <w:rtl/>
        </w:rPr>
        <w:t>،</w:t>
      </w:r>
      <w:r w:rsidRPr="00C3556F">
        <w:rPr>
          <w:rFonts w:ascii="mylotus" w:hAnsi="mylotus" w:cs="mylotus"/>
          <w:sz w:val="26"/>
          <w:szCs w:val="26"/>
          <w:rtl/>
        </w:rPr>
        <w:t xml:space="preserve"> 1395هـ</w:t>
      </w:r>
      <w:r w:rsidR="00217AB4" w:rsidRPr="00C3556F">
        <w:rPr>
          <w:rFonts w:ascii="mylotus" w:hAnsi="mylotus" w:cs="mylotus"/>
          <w:sz w:val="26"/>
          <w:szCs w:val="26"/>
          <w:rtl/>
        </w:rPr>
        <w:t>.</w:t>
      </w:r>
      <w:r w:rsidRPr="00C3556F">
        <w:rPr>
          <w:rFonts w:ascii="mylotus" w:hAnsi="mylotus" w:cs="mylotus"/>
          <w:sz w:val="26"/>
          <w:szCs w:val="26"/>
          <w:rtl/>
        </w:rPr>
        <w:t xml:space="preserve"> </w:t>
      </w:r>
    </w:p>
    <w:p w:rsidR="005C664D" w:rsidRPr="00C3556F" w:rsidRDefault="005C664D" w:rsidP="00C3556F">
      <w:pPr>
        <w:numPr>
          <w:ilvl w:val="0"/>
          <w:numId w:val="30"/>
        </w:numPr>
        <w:spacing w:line="228" w:lineRule="auto"/>
        <w:ind w:left="510" w:hanging="510"/>
        <w:jc w:val="both"/>
        <w:rPr>
          <w:rFonts w:ascii="mylotus" w:hAnsi="mylotus" w:cs="mylotus"/>
          <w:sz w:val="26"/>
          <w:szCs w:val="26"/>
          <w:rtl/>
        </w:rPr>
      </w:pPr>
      <w:r w:rsidRPr="00C3556F">
        <w:rPr>
          <w:rFonts w:ascii="mylotus" w:hAnsi="mylotus" w:cs="mylotus"/>
          <w:sz w:val="26"/>
          <w:szCs w:val="26"/>
          <w:rtl/>
        </w:rPr>
        <w:t>الأشعري</w:t>
      </w:r>
      <w:r w:rsidR="00217AB4" w:rsidRPr="00C3556F">
        <w:rPr>
          <w:rFonts w:ascii="mylotus" w:hAnsi="mylotus" w:cs="mylotus"/>
          <w:sz w:val="26"/>
          <w:szCs w:val="26"/>
          <w:rtl/>
        </w:rPr>
        <w:t>،</w:t>
      </w:r>
      <w:r w:rsidRPr="00C3556F">
        <w:rPr>
          <w:rFonts w:ascii="mylotus" w:hAnsi="mylotus" w:cs="mylotus"/>
          <w:sz w:val="26"/>
          <w:szCs w:val="26"/>
          <w:rtl/>
        </w:rPr>
        <w:t xml:space="preserve"> سعد بن عبد الله بن أبي خلف الأشعري القمي </w:t>
      </w:r>
      <w:r w:rsidR="00217AB4" w:rsidRPr="00C3556F">
        <w:rPr>
          <w:rFonts w:ascii="mylotus" w:hAnsi="mylotus" w:cs="mylotus"/>
          <w:sz w:val="26"/>
          <w:szCs w:val="26"/>
          <w:rtl/>
        </w:rPr>
        <w:t>(</w:t>
      </w:r>
      <w:r w:rsidRPr="00C3556F">
        <w:rPr>
          <w:rFonts w:ascii="mylotus" w:hAnsi="mylotus" w:cs="mylotus"/>
          <w:sz w:val="26"/>
          <w:szCs w:val="26"/>
          <w:rtl/>
        </w:rPr>
        <w:t>301هـ</w:t>
      </w:r>
      <w:r w:rsidR="00217AB4" w:rsidRPr="00C3556F">
        <w:rPr>
          <w:rFonts w:ascii="mylotus" w:hAnsi="mylotus" w:cs="mylotus"/>
          <w:sz w:val="26"/>
          <w:szCs w:val="26"/>
          <w:rtl/>
        </w:rPr>
        <w:t>)،</w:t>
      </w:r>
      <w:r w:rsidRPr="00C3556F">
        <w:rPr>
          <w:rFonts w:ascii="mylotus" w:hAnsi="mylotus" w:cs="mylotus"/>
          <w:sz w:val="26"/>
          <w:szCs w:val="26"/>
          <w:rtl/>
        </w:rPr>
        <w:t xml:space="preserve"> المقالات والفرق</w:t>
      </w:r>
      <w:r w:rsidR="00217AB4" w:rsidRPr="00C3556F">
        <w:rPr>
          <w:rFonts w:ascii="mylotus" w:hAnsi="mylotus" w:cs="mylotus"/>
          <w:sz w:val="26"/>
          <w:szCs w:val="26"/>
          <w:rtl/>
        </w:rPr>
        <w:t>،</w:t>
      </w:r>
      <w:r w:rsidRPr="00C3556F">
        <w:rPr>
          <w:rFonts w:ascii="mylotus" w:hAnsi="mylotus" w:cs="mylotus"/>
          <w:sz w:val="26"/>
          <w:szCs w:val="26"/>
          <w:rtl/>
        </w:rPr>
        <w:t xml:space="preserve"> صححه وعلق عليه د</w:t>
      </w:r>
      <w:r w:rsidR="00217AB4" w:rsidRPr="00C3556F">
        <w:rPr>
          <w:rFonts w:ascii="mylotus" w:hAnsi="mylotus" w:cs="mylotus"/>
          <w:sz w:val="26"/>
          <w:szCs w:val="26"/>
          <w:rtl/>
        </w:rPr>
        <w:t>.</w:t>
      </w:r>
      <w:r w:rsidRPr="00C3556F">
        <w:rPr>
          <w:rFonts w:ascii="mylotus" w:hAnsi="mylotus" w:cs="mylotus"/>
          <w:sz w:val="26"/>
          <w:szCs w:val="26"/>
          <w:rtl/>
        </w:rPr>
        <w:t xml:space="preserve"> محمد جواد مشكور</w:t>
      </w:r>
      <w:r w:rsidR="00217AB4" w:rsidRPr="00C3556F">
        <w:rPr>
          <w:rFonts w:ascii="mylotus" w:hAnsi="mylotus" w:cs="mylotus"/>
          <w:sz w:val="26"/>
          <w:szCs w:val="26"/>
          <w:rtl/>
        </w:rPr>
        <w:t>،</w:t>
      </w:r>
      <w:r w:rsidRPr="00C3556F">
        <w:rPr>
          <w:rFonts w:ascii="mylotus" w:hAnsi="mylotus" w:cs="mylotus"/>
          <w:sz w:val="26"/>
          <w:szCs w:val="26"/>
          <w:rtl/>
        </w:rPr>
        <w:t xml:space="preserve"> طهران</w:t>
      </w:r>
      <w:r w:rsidR="00217AB4" w:rsidRPr="00C3556F">
        <w:rPr>
          <w:rFonts w:ascii="mylotus" w:hAnsi="mylotus" w:cs="mylotus"/>
          <w:sz w:val="26"/>
          <w:szCs w:val="26"/>
          <w:rtl/>
        </w:rPr>
        <w:t>،</w:t>
      </w:r>
      <w:r w:rsidRPr="00C3556F">
        <w:rPr>
          <w:rFonts w:ascii="mylotus" w:hAnsi="mylotus" w:cs="mylotus"/>
          <w:sz w:val="26"/>
          <w:szCs w:val="26"/>
          <w:rtl/>
        </w:rPr>
        <w:t xml:space="preserve"> 1963م</w:t>
      </w:r>
      <w:r w:rsidR="00217AB4" w:rsidRPr="00C3556F">
        <w:rPr>
          <w:rFonts w:ascii="mylotus" w:hAnsi="mylotus" w:cs="mylotus"/>
          <w:sz w:val="26"/>
          <w:szCs w:val="26"/>
          <w:rtl/>
        </w:rPr>
        <w:t>.</w:t>
      </w:r>
    </w:p>
    <w:p w:rsidR="005C664D" w:rsidRPr="00C3556F" w:rsidRDefault="005C664D" w:rsidP="00C3556F">
      <w:pPr>
        <w:numPr>
          <w:ilvl w:val="0"/>
          <w:numId w:val="30"/>
        </w:numPr>
        <w:spacing w:line="228" w:lineRule="auto"/>
        <w:ind w:left="510" w:hanging="510"/>
        <w:jc w:val="both"/>
        <w:rPr>
          <w:rFonts w:ascii="mylotus" w:hAnsi="mylotus" w:cs="mylotus"/>
          <w:sz w:val="26"/>
          <w:szCs w:val="26"/>
          <w:rtl/>
        </w:rPr>
      </w:pPr>
      <w:r w:rsidRPr="00C3556F">
        <w:rPr>
          <w:rFonts w:ascii="mylotus" w:hAnsi="mylotus" w:cs="mylotus"/>
          <w:sz w:val="26"/>
          <w:szCs w:val="26"/>
          <w:rtl/>
        </w:rPr>
        <w:t>البلاذري</w:t>
      </w:r>
      <w:r w:rsidR="00217AB4" w:rsidRPr="00C3556F">
        <w:rPr>
          <w:rFonts w:ascii="mylotus" w:hAnsi="mylotus" w:cs="mylotus"/>
          <w:sz w:val="26"/>
          <w:szCs w:val="26"/>
          <w:rtl/>
        </w:rPr>
        <w:t>،</w:t>
      </w:r>
      <w:r w:rsidRPr="00C3556F">
        <w:rPr>
          <w:rFonts w:ascii="mylotus" w:hAnsi="mylotus" w:cs="mylotus"/>
          <w:sz w:val="26"/>
          <w:szCs w:val="26"/>
          <w:rtl/>
        </w:rPr>
        <w:t xml:space="preserve"> أحمد بن يحيى بن جابر البلاذري </w:t>
      </w:r>
      <w:r w:rsidR="00217AB4" w:rsidRPr="00C3556F">
        <w:rPr>
          <w:rFonts w:ascii="mylotus" w:hAnsi="mylotus" w:cs="mylotus"/>
          <w:sz w:val="26"/>
          <w:szCs w:val="26"/>
          <w:rtl/>
        </w:rPr>
        <w:t>(</w:t>
      </w:r>
      <w:r w:rsidRPr="00C3556F">
        <w:rPr>
          <w:rFonts w:ascii="mylotus" w:hAnsi="mylotus" w:cs="mylotus"/>
          <w:sz w:val="26"/>
          <w:szCs w:val="26"/>
          <w:rtl/>
        </w:rPr>
        <w:t>279هـ</w:t>
      </w:r>
      <w:r w:rsidR="00217AB4" w:rsidRPr="00C3556F">
        <w:rPr>
          <w:rFonts w:ascii="mylotus" w:hAnsi="mylotus" w:cs="mylotus"/>
          <w:sz w:val="26"/>
          <w:szCs w:val="26"/>
          <w:rtl/>
        </w:rPr>
        <w:t>)،</w:t>
      </w:r>
      <w:r w:rsidRPr="00C3556F">
        <w:rPr>
          <w:rFonts w:ascii="mylotus" w:hAnsi="mylotus" w:cs="mylotus"/>
          <w:sz w:val="26"/>
          <w:szCs w:val="26"/>
          <w:rtl/>
        </w:rPr>
        <w:t xml:space="preserve"> «فتوح البلدان»</w:t>
      </w:r>
      <w:r w:rsidR="00217AB4" w:rsidRPr="00C3556F">
        <w:rPr>
          <w:rFonts w:ascii="mylotus" w:hAnsi="mylotus" w:cs="mylotus"/>
          <w:sz w:val="26"/>
          <w:szCs w:val="26"/>
          <w:rtl/>
        </w:rPr>
        <w:t>.</w:t>
      </w:r>
      <w:r w:rsidRPr="00C3556F">
        <w:rPr>
          <w:rFonts w:ascii="mylotus" w:hAnsi="mylotus" w:cs="mylotus"/>
          <w:sz w:val="26"/>
          <w:szCs w:val="26"/>
          <w:rtl/>
        </w:rPr>
        <w:t xml:space="preserve"> </w:t>
      </w:r>
    </w:p>
    <w:p w:rsidR="005C664D" w:rsidRPr="00C3556F" w:rsidRDefault="005C664D" w:rsidP="00C3556F">
      <w:pPr>
        <w:numPr>
          <w:ilvl w:val="0"/>
          <w:numId w:val="30"/>
        </w:numPr>
        <w:spacing w:line="228" w:lineRule="auto"/>
        <w:ind w:left="510" w:hanging="510"/>
        <w:jc w:val="both"/>
        <w:rPr>
          <w:rFonts w:ascii="mylotus" w:hAnsi="mylotus" w:cs="mylotus"/>
          <w:sz w:val="26"/>
          <w:szCs w:val="26"/>
          <w:rtl/>
        </w:rPr>
      </w:pPr>
      <w:r w:rsidRPr="00C3556F">
        <w:rPr>
          <w:rFonts w:ascii="mylotus" w:hAnsi="mylotus" w:cs="mylotus"/>
          <w:sz w:val="26"/>
          <w:szCs w:val="26"/>
          <w:rtl/>
        </w:rPr>
        <w:t>الثقفي</w:t>
      </w:r>
      <w:r w:rsidR="00217AB4" w:rsidRPr="00C3556F">
        <w:rPr>
          <w:rFonts w:ascii="mylotus" w:hAnsi="mylotus" w:cs="mylotus"/>
          <w:sz w:val="26"/>
          <w:szCs w:val="26"/>
          <w:rtl/>
        </w:rPr>
        <w:t>،</w:t>
      </w:r>
      <w:r w:rsidRPr="00C3556F">
        <w:rPr>
          <w:rFonts w:ascii="mylotus" w:hAnsi="mylotus" w:cs="mylotus"/>
          <w:sz w:val="26"/>
          <w:szCs w:val="26"/>
          <w:rtl/>
        </w:rPr>
        <w:t xml:space="preserve"> أبو اسحق إبراهيم بن محمد بن سعيد بن هلال المعروف بابن هلال الثقفي الكوفي </w:t>
      </w:r>
      <w:r w:rsidR="00217AB4" w:rsidRPr="00C3556F">
        <w:rPr>
          <w:rFonts w:ascii="mylotus" w:hAnsi="mylotus" w:cs="mylotus"/>
          <w:sz w:val="26"/>
          <w:szCs w:val="26"/>
          <w:rtl/>
        </w:rPr>
        <w:t>(</w:t>
      </w:r>
      <w:r w:rsidRPr="00C3556F">
        <w:rPr>
          <w:rFonts w:ascii="mylotus" w:hAnsi="mylotus" w:cs="mylotus"/>
          <w:sz w:val="26"/>
          <w:szCs w:val="26"/>
          <w:rtl/>
        </w:rPr>
        <w:t>283هـ</w:t>
      </w:r>
      <w:r w:rsidR="00217AB4" w:rsidRPr="00C3556F">
        <w:rPr>
          <w:rFonts w:ascii="mylotus" w:hAnsi="mylotus" w:cs="mylotus"/>
          <w:sz w:val="26"/>
          <w:szCs w:val="26"/>
          <w:rtl/>
        </w:rPr>
        <w:t>)،</w:t>
      </w:r>
      <w:r w:rsidRPr="00C3556F">
        <w:rPr>
          <w:rFonts w:ascii="mylotus" w:hAnsi="mylotus" w:cs="mylotus"/>
          <w:sz w:val="26"/>
          <w:szCs w:val="26"/>
          <w:rtl/>
        </w:rPr>
        <w:t xml:space="preserve"> «الغارات» أو «الاستنفار والغارات»</w:t>
      </w:r>
      <w:r w:rsidR="00217AB4" w:rsidRPr="00C3556F">
        <w:rPr>
          <w:rFonts w:ascii="mylotus" w:hAnsi="mylotus" w:cs="mylotus"/>
          <w:sz w:val="26"/>
          <w:szCs w:val="26"/>
          <w:rtl/>
        </w:rPr>
        <w:t>،</w:t>
      </w:r>
      <w:r w:rsidRPr="00C3556F">
        <w:rPr>
          <w:rFonts w:ascii="mylotus" w:hAnsi="mylotus" w:cs="mylotus"/>
          <w:sz w:val="26"/>
          <w:szCs w:val="26"/>
          <w:rtl/>
        </w:rPr>
        <w:t xml:space="preserve"> ط</w:t>
      </w:r>
      <w:r w:rsidR="00217AB4" w:rsidRPr="00C3556F">
        <w:rPr>
          <w:rFonts w:ascii="mylotus" w:hAnsi="mylotus" w:cs="mylotus"/>
          <w:sz w:val="26"/>
          <w:szCs w:val="26"/>
          <w:rtl/>
        </w:rPr>
        <w:t>.</w:t>
      </w:r>
      <w:r w:rsidRPr="00C3556F">
        <w:rPr>
          <w:rFonts w:ascii="mylotus" w:hAnsi="mylotus" w:cs="mylotus"/>
          <w:sz w:val="26"/>
          <w:szCs w:val="26"/>
          <w:rtl/>
        </w:rPr>
        <w:t>طهران</w:t>
      </w:r>
      <w:r w:rsidR="00217AB4" w:rsidRPr="00C3556F">
        <w:rPr>
          <w:rFonts w:ascii="mylotus" w:hAnsi="mylotus" w:cs="mylotus"/>
          <w:sz w:val="26"/>
          <w:szCs w:val="26"/>
          <w:rtl/>
        </w:rPr>
        <w:t>.</w:t>
      </w:r>
    </w:p>
    <w:p w:rsidR="005C664D" w:rsidRPr="00C3556F" w:rsidRDefault="005C664D" w:rsidP="00C3556F">
      <w:pPr>
        <w:numPr>
          <w:ilvl w:val="0"/>
          <w:numId w:val="30"/>
        </w:numPr>
        <w:spacing w:line="228" w:lineRule="auto"/>
        <w:ind w:left="510" w:hanging="510"/>
        <w:jc w:val="both"/>
        <w:rPr>
          <w:rFonts w:ascii="mylotus" w:hAnsi="mylotus" w:cs="mylotus"/>
          <w:sz w:val="26"/>
          <w:szCs w:val="26"/>
          <w:rtl/>
        </w:rPr>
      </w:pPr>
      <w:r w:rsidRPr="00C3556F">
        <w:rPr>
          <w:rFonts w:ascii="mylotus" w:hAnsi="mylotus" w:cs="mylotus"/>
          <w:sz w:val="26"/>
          <w:szCs w:val="26"/>
          <w:rtl/>
        </w:rPr>
        <w:t>الجهشياري</w:t>
      </w:r>
      <w:r w:rsidR="00217AB4" w:rsidRPr="00C3556F">
        <w:rPr>
          <w:rFonts w:ascii="mylotus" w:hAnsi="mylotus" w:cs="mylotus"/>
          <w:sz w:val="26"/>
          <w:szCs w:val="26"/>
          <w:rtl/>
        </w:rPr>
        <w:t>،</w:t>
      </w:r>
      <w:r w:rsidRPr="00C3556F">
        <w:rPr>
          <w:rFonts w:ascii="mylotus" w:hAnsi="mylotus" w:cs="mylotus"/>
          <w:sz w:val="26"/>
          <w:szCs w:val="26"/>
          <w:rtl/>
        </w:rPr>
        <w:t xml:space="preserve"> محمد بن عبدوس بن عبد الله الكوفي الجهشياري</w:t>
      </w:r>
      <w:r w:rsidR="00217AB4" w:rsidRPr="00C3556F">
        <w:rPr>
          <w:rFonts w:ascii="mylotus" w:hAnsi="mylotus" w:cs="mylotus"/>
          <w:sz w:val="26"/>
          <w:szCs w:val="26"/>
          <w:rtl/>
        </w:rPr>
        <w:t>،</w:t>
      </w:r>
      <w:r w:rsidRPr="00C3556F">
        <w:rPr>
          <w:rFonts w:ascii="mylotus" w:hAnsi="mylotus" w:cs="mylotus"/>
          <w:sz w:val="26"/>
          <w:szCs w:val="26"/>
          <w:rtl/>
        </w:rPr>
        <w:t xml:space="preserve"> أبو عبد الله </w:t>
      </w:r>
      <w:r w:rsidR="00217AB4" w:rsidRPr="00C3556F">
        <w:rPr>
          <w:rFonts w:ascii="mylotus" w:hAnsi="mylotus" w:cs="mylotus"/>
          <w:sz w:val="26"/>
          <w:szCs w:val="26"/>
          <w:rtl/>
        </w:rPr>
        <w:t>(</w:t>
      </w:r>
      <w:r w:rsidRPr="00C3556F">
        <w:rPr>
          <w:rFonts w:ascii="mylotus" w:hAnsi="mylotus" w:cs="mylotus"/>
          <w:sz w:val="26"/>
          <w:szCs w:val="26"/>
          <w:rtl/>
        </w:rPr>
        <w:t>331هـ</w:t>
      </w:r>
      <w:r w:rsidR="00217AB4" w:rsidRPr="00C3556F">
        <w:rPr>
          <w:rFonts w:ascii="mylotus" w:hAnsi="mylotus" w:cs="mylotus"/>
          <w:sz w:val="26"/>
          <w:szCs w:val="26"/>
          <w:rtl/>
        </w:rPr>
        <w:t>)،</w:t>
      </w:r>
      <w:r w:rsidRPr="00C3556F">
        <w:rPr>
          <w:rFonts w:ascii="mylotus" w:hAnsi="mylotus" w:cs="mylotus"/>
          <w:sz w:val="26"/>
          <w:szCs w:val="26"/>
          <w:rtl/>
        </w:rPr>
        <w:t xml:space="preserve"> «كتاب الوزراء والكتاب» المعروف بـ «تاريخ الوزراء»</w:t>
      </w:r>
      <w:r w:rsidR="00217AB4" w:rsidRPr="00C3556F">
        <w:rPr>
          <w:rFonts w:ascii="mylotus" w:hAnsi="mylotus" w:cs="mylotus"/>
          <w:sz w:val="26"/>
          <w:szCs w:val="26"/>
          <w:rtl/>
        </w:rPr>
        <w:t>.</w:t>
      </w:r>
      <w:r w:rsidRPr="00C3556F">
        <w:rPr>
          <w:rFonts w:ascii="mylotus" w:hAnsi="mylotus" w:cs="mylotus"/>
          <w:sz w:val="26"/>
          <w:szCs w:val="26"/>
          <w:rtl/>
        </w:rPr>
        <w:t xml:space="preserve"> </w:t>
      </w:r>
    </w:p>
    <w:p w:rsidR="005C664D" w:rsidRPr="00C3556F" w:rsidRDefault="005C664D" w:rsidP="00C3556F">
      <w:pPr>
        <w:numPr>
          <w:ilvl w:val="0"/>
          <w:numId w:val="30"/>
        </w:numPr>
        <w:spacing w:line="228" w:lineRule="auto"/>
        <w:ind w:left="510" w:hanging="510"/>
        <w:jc w:val="both"/>
        <w:rPr>
          <w:rFonts w:ascii="mylotus" w:hAnsi="mylotus" w:cs="mylotus"/>
          <w:sz w:val="26"/>
          <w:szCs w:val="26"/>
          <w:rtl/>
        </w:rPr>
      </w:pPr>
      <w:r w:rsidRPr="00C3556F">
        <w:rPr>
          <w:rFonts w:ascii="mylotus" w:hAnsi="mylotus" w:cs="mylotus"/>
          <w:sz w:val="26"/>
          <w:szCs w:val="26"/>
          <w:rtl/>
        </w:rPr>
        <w:t>الحسن بن محمد بن الحسن القمي</w:t>
      </w:r>
      <w:r w:rsidR="00217AB4" w:rsidRPr="00C3556F">
        <w:rPr>
          <w:rFonts w:ascii="mylotus" w:hAnsi="mylotus" w:cs="mylotus"/>
          <w:sz w:val="26"/>
          <w:szCs w:val="26"/>
          <w:rtl/>
        </w:rPr>
        <w:t>،</w:t>
      </w:r>
      <w:r w:rsidRPr="00C3556F">
        <w:rPr>
          <w:rFonts w:ascii="mylotus" w:hAnsi="mylotus" w:cs="mylotus"/>
          <w:sz w:val="26"/>
          <w:szCs w:val="26"/>
          <w:rtl/>
        </w:rPr>
        <w:t xml:space="preserve"> </w:t>
      </w:r>
      <w:r w:rsidR="00217AB4" w:rsidRPr="00C3556F">
        <w:rPr>
          <w:rFonts w:ascii="mylotus" w:hAnsi="mylotus" w:cs="mylotus"/>
          <w:sz w:val="26"/>
          <w:szCs w:val="26"/>
          <w:rtl/>
        </w:rPr>
        <w:t>(</w:t>
      </w:r>
      <w:r w:rsidRPr="00C3556F">
        <w:rPr>
          <w:rFonts w:ascii="mylotus" w:hAnsi="mylotus" w:cs="mylotus"/>
          <w:sz w:val="26"/>
          <w:szCs w:val="26"/>
          <w:rtl/>
        </w:rPr>
        <w:t>توفي في القرن 4 هـ</w:t>
      </w:r>
      <w:r w:rsidR="00217AB4" w:rsidRPr="00C3556F">
        <w:rPr>
          <w:rFonts w:ascii="mylotus" w:hAnsi="mylotus" w:cs="mylotus"/>
          <w:sz w:val="26"/>
          <w:szCs w:val="26"/>
          <w:rtl/>
        </w:rPr>
        <w:t>؟)،</w:t>
      </w:r>
      <w:r w:rsidRPr="00C3556F">
        <w:rPr>
          <w:rFonts w:ascii="mylotus" w:hAnsi="mylotus" w:cs="mylotus"/>
          <w:sz w:val="26"/>
          <w:szCs w:val="26"/>
          <w:rtl/>
        </w:rPr>
        <w:t xml:space="preserve"> «تاريخ قم»</w:t>
      </w:r>
      <w:r w:rsidR="00217AB4" w:rsidRPr="00C3556F">
        <w:rPr>
          <w:rFonts w:ascii="mylotus" w:hAnsi="mylotus" w:cs="mylotus"/>
          <w:sz w:val="26"/>
          <w:szCs w:val="26"/>
          <w:rtl/>
        </w:rPr>
        <w:t>.</w:t>
      </w:r>
      <w:r w:rsidR="00147857" w:rsidRPr="00C3556F">
        <w:rPr>
          <w:rFonts w:ascii="mylotus" w:hAnsi="mylotus" w:cs="mylotus"/>
          <w:sz w:val="26"/>
          <w:szCs w:val="26"/>
          <w:rtl/>
        </w:rPr>
        <w:t xml:space="preserve"> </w:t>
      </w:r>
    </w:p>
    <w:p w:rsidR="005C664D" w:rsidRPr="00C3556F" w:rsidRDefault="005C664D" w:rsidP="00C3556F">
      <w:pPr>
        <w:numPr>
          <w:ilvl w:val="0"/>
          <w:numId w:val="30"/>
        </w:numPr>
        <w:spacing w:line="228" w:lineRule="auto"/>
        <w:ind w:left="510" w:hanging="510"/>
        <w:jc w:val="both"/>
        <w:rPr>
          <w:rFonts w:ascii="mylotus" w:hAnsi="mylotus" w:cs="mylotus"/>
          <w:sz w:val="26"/>
          <w:szCs w:val="26"/>
          <w:rtl/>
        </w:rPr>
      </w:pPr>
      <w:r w:rsidRPr="00C3556F">
        <w:rPr>
          <w:rFonts w:ascii="mylotus" w:hAnsi="mylotus" w:cs="mylotus"/>
          <w:sz w:val="26"/>
          <w:szCs w:val="26"/>
          <w:rtl/>
        </w:rPr>
        <w:t>الخوانساري</w:t>
      </w:r>
      <w:r w:rsidR="00217AB4" w:rsidRPr="00C3556F">
        <w:rPr>
          <w:rFonts w:ascii="mylotus" w:hAnsi="mylotus" w:cs="mylotus"/>
          <w:sz w:val="26"/>
          <w:szCs w:val="26"/>
          <w:rtl/>
        </w:rPr>
        <w:t>،</w:t>
      </w:r>
      <w:r w:rsidRPr="00C3556F">
        <w:rPr>
          <w:rFonts w:ascii="mylotus" w:hAnsi="mylotus" w:cs="mylotus"/>
          <w:sz w:val="26"/>
          <w:szCs w:val="26"/>
          <w:rtl/>
        </w:rPr>
        <w:t xml:space="preserve"> العلامة السيد محمد باقر بن زين العابدين الموسوي الخوانساري </w:t>
      </w:r>
      <w:r w:rsidR="00217AB4" w:rsidRPr="00C3556F">
        <w:rPr>
          <w:rFonts w:ascii="mylotus" w:hAnsi="mylotus" w:cs="mylotus"/>
          <w:sz w:val="26"/>
          <w:szCs w:val="26"/>
          <w:rtl/>
        </w:rPr>
        <w:t>(</w:t>
      </w:r>
      <w:r w:rsidRPr="00C3556F">
        <w:rPr>
          <w:rFonts w:ascii="mylotus" w:hAnsi="mylotus" w:cs="mylotus"/>
          <w:sz w:val="26"/>
          <w:szCs w:val="26"/>
          <w:rtl/>
        </w:rPr>
        <w:t>1313هـ</w:t>
      </w:r>
      <w:r w:rsidR="00217AB4" w:rsidRPr="00C3556F">
        <w:rPr>
          <w:rFonts w:ascii="mylotus" w:hAnsi="mylotus" w:cs="mylotus"/>
          <w:sz w:val="26"/>
          <w:szCs w:val="26"/>
          <w:rtl/>
        </w:rPr>
        <w:t>)،</w:t>
      </w:r>
      <w:r w:rsidRPr="00C3556F">
        <w:rPr>
          <w:rFonts w:ascii="mylotus" w:hAnsi="mylotus" w:cs="mylotus"/>
          <w:sz w:val="26"/>
          <w:szCs w:val="26"/>
          <w:rtl/>
        </w:rPr>
        <w:t xml:space="preserve"> «روضات الجنات في أحوال العلماء والسادات»</w:t>
      </w:r>
      <w:r w:rsidR="00217AB4" w:rsidRPr="00C3556F">
        <w:rPr>
          <w:rFonts w:ascii="mylotus" w:hAnsi="mylotus" w:cs="mylotus"/>
          <w:sz w:val="26"/>
          <w:szCs w:val="26"/>
          <w:rtl/>
        </w:rPr>
        <w:t>.</w:t>
      </w:r>
    </w:p>
    <w:p w:rsidR="005C664D" w:rsidRPr="00C3556F" w:rsidRDefault="005C664D" w:rsidP="00C3556F">
      <w:pPr>
        <w:numPr>
          <w:ilvl w:val="0"/>
          <w:numId w:val="30"/>
        </w:numPr>
        <w:spacing w:line="228" w:lineRule="auto"/>
        <w:ind w:left="510" w:hanging="510"/>
        <w:jc w:val="both"/>
        <w:rPr>
          <w:rFonts w:ascii="mylotus" w:hAnsi="mylotus" w:cs="mylotus"/>
          <w:sz w:val="26"/>
          <w:szCs w:val="26"/>
          <w:rtl/>
        </w:rPr>
      </w:pPr>
      <w:r w:rsidRPr="00C3556F">
        <w:rPr>
          <w:rFonts w:ascii="mylotus" w:hAnsi="mylotus" w:cs="mylotus"/>
          <w:sz w:val="26"/>
          <w:szCs w:val="26"/>
          <w:rtl/>
        </w:rPr>
        <w:t>الذهبي</w:t>
      </w:r>
      <w:r w:rsidR="00217AB4" w:rsidRPr="00C3556F">
        <w:rPr>
          <w:rFonts w:ascii="mylotus" w:hAnsi="mylotus" w:cs="mylotus"/>
          <w:sz w:val="26"/>
          <w:szCs w:val="26"/>
          <w:rtl/>
        </w:rPr>
        <w:t>،</w:t>
      </w:r>
      <w:r w:rsidRPr="00C3556F">
        <w:rPr>
          <w:rFonts w:ascii="mylotus" w:hAnsi="mylotus" w:cs="mylotus"/>
          <w:sz w:val="26"/>
          <w:szCs w:val="26"/>
          <w:rtl/>
        </w:rPr>
        <w:t xml:space="preserve"> الحافظ شمس الدين محمد بن أحمد </w:t>
      </w:r>
      <w:r w:rsidR="00217AB4" w:rsidRPr="00C3556F">
        <w:rPr>
          <w:rFonts w:ascii="mylotus" w:hAnsi="mylotus" w:cs="mylotus"/>
          <w:sz w:val="26"/>
          <w:szCs w:val="26"/>
          <w:rtl/>
        </w:rPr>
        <w:t>(</w:t>
      </w:r>
      <w:r w:rsidRPr="00C3556F">
        <w:rPr>
          <w:rFonts w:ascii="mylotus" w:hAnsi="mylotus" w:cs="mylotus"/>
          <w:sz w:val="26"/>
          <w:szCs w:val="26"/>
          <w:rtl/>
        </w:rPr>
        <w:t>748 هـ</w:t>
      </w:r>
      <w:r w:rsidR="00217AB4" w:rsidRPr="00C3556F">
        <w:rPr>
          <w:rFonts w:ascii="mylotus" w:hAnsi="mylotus" w:cs="mylotus"/>
          <w:sz w:val="26"/>
          <w:szCs w:val="26"/>
          <w:rtl/>
        </w:rPr>
        <w:t>)،</w:t>
      </w:r>
      <w:r w:rsidRPr="00C3556F">
        <w:rPr>
          <w:rFonts w:ascii="mylotus" w:hAnsi="mylotus" w:cs="mylotus"/>
          <w:sz w:val="26"/>
          <w:szCs w:val="26"/>
          <w:rtl/>
        </w:rPr>
        <w:t xml:space="preserve"> «تاريخ الإسلام»</w:t>
      </w:r>
      <w:r w:rsidR="00217AB4" w:rsidRPr="00C3556F">
        <w:rPr>
          <w:rFonts w:ascii="mylotus" w:hAnsi="mylotus" w:cs="mylotus"/>
          <w:sz w:val="26"/>
          <w:szCs w:val="26"/>
          <w:rtl/>
        </w:rPr>
        <w:t>.</w:t>
      </w:r>
    </w:p>
    <w:p w:rsidR="005C664D" w:rsidRPr="00C3556F" w:rsidRDefault="005C664D" w:rsidP="00C3556F">
      <w:pPr>
        <w:numPr>
          <w:ilvl w:val="0"/>
          <w:numId w:val="30"/>
        </w:numPr>
        <w:spacing w:line="228" w:lineRule="auto"/>
        <w:ind w:left="510" w:hanging="510"/>
        <w:jc w:val="both"/>
        <w:rPr>
          <w:rFonts w:ascii="mylotus" w:hAnsi="mylotus" w:cs="mylotus"/>
          <w:sz w:val="26"/>
          <w:szCs w:val="26"/>
          <w:rtl/>
        </w:rPr>
      </w:pPr>
      <w:r w:rsidRPr="00C3556F">
        <w:rPr>
          <w:rFonts w:ascii="mylotus" w:hAnsi="mylotus" w:cs="mylotus"/>
          <w:sz w:val="26"/>
          <w:szCs w:val="26"/>
          <w:rtl/>
        </w:rPr>
        <w:t>الصالحي الشامي</w:t>
      </w:r>
      <w:r w:rsidR="00217AB4" w:rsidRPr="00C3556F">
        <w:rPr>
          <w:rFonts w:ascii="mylotus" w:hAnsi="mylotus" w:cs="mylotus"/>
          <w:sz w:val="26"/>
          <w:szCs w:val="26"/>
          <w:rtl/>
        </w:rPr>
        <w:t>،</w:t>
      </w:r>
      <w:r w:rsidRPr="00C3556F">
        <w:rPr>
          <w:rFonts w:ascii="mylotus" w:hAnsi="mylotus" w:cs="mylotus"/>
          <w:sz w:val="26"/>
          <w:szCs w:val="26"/>
          <w:rtl/>
        </w:rPr>
        <w:t xml:space="preserve"> محمد بن يوسف الصالحي الشامي </w:t>
      </w:r>
      <w:r w:rsidR="00217AB4" w:rsidRPr="00C3556F">
        <w:rPr>
          <w:rFonts w:ascii="mylotus" w:hAnsi="mylotus" w:cs="mylotus"/>
          <w:sz w:val="26"/>
          <w:szCs w:val="26"/>
          <w:rtl/>
        </w:rPr>
        <w:t>(</w:t>
      </w:r>
      <w:r w:rsidRPr="00C3556F">
        <w:rPr>
          <w:rFonts w:ascii="mylotus" w:hAnsi="mylotus" w:cs="mylotus"/>
          <w:sz w:val="26"/>
          <w:szCs w:val="26"/>
          <w:rtl/>
        </w:rPr>
        <w:t>942 هـ</w:t>
      </w:r>
      <w:r w:rsidR="00217AB4" w:rsidRPr="00C3556F">
        <w:rPr>
          <w:rFonts w:ascii="mylotus" w:hAnsi="mylotus" w:cs="mylotus"/>
          <w:sz w:val="26"/>
          <w:szCs w:val="26"/>
          <w:rtl/>
        </w:rPr>
        <w:t>)،</w:t>
      </w:r>
      <w:r w:rsidRPr="00C3556F">
        <w:rPr>
          <w:rFonts w:ascii="mylotus" w:hAnsi="mylotus" w:cs="mylotus"/>
          <w:sz w:val="26"/>
          <w:szCs w:val="26"/>
          <w:rtl/>
        </w:rPr>
        <w:t xml:space="preserve"> «سبل الهدى والرشاد في سيرة خير العباد»</w:t>
      </w:r>
      <w:r w:rsidR="00217AB4" w:rsidRPr="00C3556F">
        <w:rPr>
          <w:rFonts w:ascii="mylotus" w:hAnsi="mylotus" w:cs="mylotus"/>
          <w:sz w:val="26"/>
          <w:szCs w:val="26"/>
          <w:rtl/>
        </w:rPr>
        <w:t>،</w:t>
      </w:r>
      <w:r w:rsidRPr="00C3556F">
        <w:rPr>
          <w:rFonts w:ascii="mylotus" w:hAnsi="mylotus" w:cs="mylotus"/>
          <w:sz w:val="26"/>
          <w:szCs w:val="26"/>
          <w:rtl/>
        </w:rPr>
        <w:t xml:space="preserve"> بيروت</w:t>
      </w:r>
      <w:r w:rsidR="00217AB4" w:rsidRPr="00C3556F">
        <w:rPr>
          <w:rFonts w:ascii="mylotus" w:hAnsi="mylotus" w:cs="mylotus"/>
          <w:sz w:val="26"/>
          <w:szCs w:val="26"/>
          <w:rtl/>
        </w:rPr>
        <w:t>،</w:t>
      </w:r>
      <w:r w:rsidRPr="00C3556F">
        <w:rPr>
          <w:rFonts w:ascii="mylotus" w:hAnsi="mylotus" w:cs="mylotus"/>
          <w:sz w:val="26"/>
          <w:szCs w:val="26"/>
          <w:rtl/>
        </w:rPr>
        <w:t xml:space="preserve"> دار الكتب العلمية</w:t>
      </w:r>
      <w:r w:rsidR="00217AB4" w:rsidRPr="00C3556F">
        <w:rPr>
          <w:rFonts w:ascii="mylotus" w:hAnsi="mylotus" w:cs="mylotus"/>
          <w:sz w:val="26"/>
          <w:szCs w:val="26"/>
          <w:rtl/>
        </w:rPr>
        <w:t>،</w:t>
      </w:r>
      <w:r w:rsidRPr="00C3556F">
        <w:rPr>
          <w:rFonts w:ascii="mylotus" w:hAnsi="mylotus" w:cs="mylotus"/>
          <w:sz w:val="26"/>
          <w:szCs w:val="26"/>
          <w:rtl/>
        </w:rPr>
        <w:t xml:space="preserve"> 1414 هـ/1993م</w:t>
      </w:r>
      <w:r w:rsidR="00217AB4" w:rsidRPr="00C3556F">
        <w:rPr>
          <w:rFonts w:ascii="mylotus" w:hAnsi="mylotus" w:cs="mylotus"/>
          <w:sz w:val="26"/>
          <w:szCs w:val="26"/>
          <w:rtl/>
        </w:rPr>
        <w:t>.</w:t>
      </w:r>
    </w:p>
    <w:p w:rsidR="005C664D" w:rsidRPr="00C3556F" w:rsidRDefault="005C664D" w:rsidP="00C3556F">
      <w:pPr>
        <w:numPr>
          <w:ilvl w:val="0"/>
          <w:numId w:val="30"/>
        </w:numPr>
        <w:spacing w:line="228" w:lineRule="auto"/>
        <w:ind w:left="510" w:hanging="510"/>
        <w:jc w:val="both"/>
        <w:rPr>
          <w:rFonts w:ascii="mylotus" w:hAnsi="mylotus" w:cs="mylotus"/>
          <w:sz w:val="26"/>
          <w:szCs w:val="26"/>
          <w:rtl/>
        </w:rPr>
      </w:pPr>
      <w:r w:rsidRPr="00C3556F">
        <w:rPr>
          <w:rFonts w:ascii="mylotus" w:hAnsi="mylotus" w:cs="mylotus"/>
          <w:sz w:val="26"/>
          <w:szCs w:val="26"/>
          <w:rtl/>
        </w:rPr>
        <w:t>الصفدي</w:t>
      </w:r>
      <w:r w:rsidR="00217AB4" w:rsidRPr="00C3556F">
        <w:rPr>
          <w:rFonts w:ascii="mylotus" w:hAnsi="mylotus" w:cs="mylotus"/>
          <w:sz w:val="26"/>
          <w:szCs w:val="26"/>
          <w:rtl/>
        </w:rPr>
        <w:t>،</w:t>
      </w:r>
      <w:r w:rsidRPr="00C3556F">
        <w:rPr>
          <w:rFonts w:ascii="mylotus" w:hAnsi="mylotus" w:cs="mylotus"/>
          <w:sz w:val="26"/>
          <w:szCs w:val="26"/>
          <w:rtl/>
        </w:rPr>
        <w:t xml:space="preserve"> صلاح الدين خليل بن أيبك بن عبد الله الصفدي </w:t>
      </w:r>
      <w:r w:rsidR="00217AB4" w:rsidRPr="00C3556F">
        <w:rPr>
          <w:rFonts w:ascii="mylotus" w:hAnsi="mylotus" w:cs="mylotus"/>
          <w:sz w:val="26"/>
          <w:szCs w:val="26"/>
          <w:rtl/>
        </w:rPr>
        <w:t>(</w:t>
      </w:r>
      <w:r w:rsidRPr="00C3556F">
        <w:rPr>
          <w:rFonts w:ascii="mylotus" w:hAnsi="mylotus" w:cs="mylotus"/>
          <w:sz w:val="26"/>
          <w:szCs w:val="26"/>
          <w:rtl/>
        </w:rPr>
        <w:t xml:space="preserve">696 </w:t>
      </w:r>
      <w:r w:rsidR="00217AB4" w:rsidRPr="00C3556F">
        <w:rPr>
          <w:rFonts w:ascii="mylotus" w:hAnsi="mylotus" w:cs="mylotus"/>
          <w:sz w:val="26"/>
          <w:szCs w:val="26"/>
          <w:rtl/>
        </w:rPr>
        <w:t>-</w:t>
      </w:r>
      <w:r w:rsidRPr="00C3556F">
        <w:rPr>
          <w:rFonts w:ascii="mylotus" w:hAnsi="mylotus" w:cs="mylotus"/>
          <w:sz w:val="26"/>
          <w:szCs w:val="26"/>
          <w:rtl/>
        </w:rPr>
        <w:t xml:space="preserve"> 764هـ</w:t>
      </w:r>
      <w:r w:rsidR="00217AB4" w:rsidRPr="00C3556F">
        <w:rPr>
          <w:rFonts w:ascii="mylotus" w:hAnsi="mylotus" w:cs="mylotus"/>
          <w:sz w:val="26"/>
          <w:szCs w:val="26"/>
          <w:rtl/>
        </w:rPr>
        <w:t>)،</w:t>
      </w:r>
      <w:r w:rsidRPr="00C3556F">
        <w:rPr>
          <w:rFonts w:ascii="mylotus" w:hAnsi="mylotus" w:cs="mylotus"/>
          <w:sz w:val="26"/>
          <w:szCs w:val="26"/>
          <w:rtl/>
        </w:rPr>
        <w:t xml:space="preserve"> «الوافي بالوفيات»</w:t>
      </w:r>
      <w:r w:rsidR="00217AB4" w:rsidRPr="00C3556F">
        <w:rPr>
          <w:rFonts w:ascii="mylotus" w:hAnsi="mylotus" w:cs="mylotus"/>
          <w:sz w:val="26"/>
          <w:szCs w:val="26"/>
          <w:rtl/>
        </w:rPr>
        <w:t>،</w:t>
      </w:r>
      <w:r w:rsidRPr="00C3556F">
        <w:rPr>
          <w:rFonts w:ascii="mylotus" w:hAnsi="mylotus" w:cs="mylotus"/>
          <w:sz w:val="26"/>
          <w:szCs w:val="26"/>
          <w:rtl/>
        </w:rPr>
        <w:t xml:space="preserve"> بيروت</w:t>
      </w:r>
      <w:r w:rsidR="00217AB4" w:rsidRPr="00C3556F">
        <w:rPr>
          <w:rFonts w:ascii="mylotus" w:hAnsi="mylotus" w:cs="mylotus"/>
          <w:sz w:val="26"/>
          <w:szCs w:val="26"/>
          <w:rtl/>
        </w:rPr>
        <w:t>،</w:t>
      </w:r>
      <w:r w:rsidRPr="00C3556F">
        <w:rPr>
          <w:rFonts w:ascii="mylotus" w:hAnsi="mylotus" w:cs="mylotus"/>
          <w:sz w:val="26"/>
          <w:szCs w:val="26"/>
          <w:rtl/>
        </w:rPr>
        <w:t xml:space="preserve"> دار الثقافة</w:t>
      </w:r>
      <w:r w:rsidR="00217AB4" w:rsidRPr="00C3556F">
        <w:rPr>
          <w:rFonts w:ascii="mylotus" w:hAnsi="mylotus" w:cs="mylotus"/>
          <w:sz w:val="26"/>
          <w:szCs w:val="26"/>
          <w:rtl/>
        </w:rPr>
        <w:t>،</w:t>
      </w:r>
      <w:r w:rsidRPr="00C3556F">
        <w:rPr>
          <w:rFonts w:ascii="mylotus" w:hAnsi="mylotus" w:cs="mylotus"/>
          <w:sz w:val="26"/>
          <w:szCs w:val="26"/>
          <w:rtl/>
        </w:rPr>
        <w:t xml:space="preserve"> 1420هـ</w:t>
      </w:r>
    </w:p>
    <w:p w:rsidR="005C664D" w:rsidRPr="00C3556F" w:rsidRDefault="005C664D" w:rsidP="00C3556F">
      <w:pPr>
        <w:numPr>
          <w:ilvl w:val="0"/>
          <w:numId w:val="30"/>
        </w:numPr>
        <w:spacing w:line="228" w:lineRule="auto"/>
        <w:ind w:left="510" w:hanging="510"/>
        <w:jc w:val="both"/>
        <w:rPr>
          <w:rFonts w:ascii="mylotus" w:hAnsi="mylotus" w:cs="mylotus"/>
          <w:sz w:val="26"/>
          <w:szCs w:val="26"/>
          <w:rtl/>
        </w:rPr>
      </w:pPr>
      <w:r w:rsidRPr="00C3556F">
        <w:rPr>
          <w:rFonts w:ascii="mylotus" w:hAnsi="mylotus" w:cs="mylotus"/>
          <w:sz w:val="26"/>
          <w:szCs w:val="26"/>
          <w:rtl/>
        </w:rPr>
        <w:t>الطبرسي</w:t>
      </w:r>
      <w:r w:rsidR="00217AB4" w:rsidRPr="00C3556F">
        <w:rPr>
          <w:rFonts w:ascii="mylotus" w:hAnsi="mylotus" w:cs="mylotus"/>
          <w:sz w:val="26"/>
          <w:szCs w:val="26"/>
          <w:rtl/>
        </w:rPr>
        <w:t>،</w:t>
      </w:r>
      <w:r w:rsidRPr="00C3556F">
        <w:rPr>
          <w:rFonts w:ascii="mylotus" w:hAnsi="mylotus" w:cs="mylotus"/>
          <w:sz w:val="26"/>
          <w:szCs w:val="26"/>
          <w:rtl/>
        </w:rPr>
        <w:t xml:space="preserve"> أبو منصور أحمد بن علي بن أبي طالب </w:t>
      </w:r>
      <w:r w:rsidR="00217AB4" w:rsidRPr="00C3556F">
        <w:rPr>
          <w:rFonts w:ascii="mylotus" w:hAnsi="mylotus" w:cs="mylotus"/>
          <w:sz w:val="26"/>
          <w:szCs w:val="26"/>
          <w:rtl/>
        </w:rPr>
        <w:t>(</w:t>
      </w:r>
      <w:r w:rsidRPr="00C3556F">
        <w:rPr>
          <w:rFonts w:ascii="mylotus" w:hAnsi="mylotus" w:cs="mylotus"/>
          <w:sz w:val="26"/>
          <w:szCs w:val="26"/>
          <w:rtl/>
        </w:rPr>
        <w:t>القرن 6 هـ</w:t>
      </w:r>
      <w:r w:rsidR="00217AB4" w:rsidRPr="00C3556F">
        <w:rPr>
          <w:rFonts w:ascii="mylotus" w:hAnsi="mylotus" w:cs="mylotus"/>
          <w:sz w:val="26"/>
          <w:szCs w:val="26"/>
          <w:rtl/>
        </w:rPr>
        <w:t>؟)،</w:t>
      </w:r>
      <w:r w:rsidRPr="00C3556F">
        <w:rPr>
          <w:rFonts w:ascii="mylotus" w:hAnsi="mylotus" w:cs="mylotus"/>
          <w:sz w:val="26"/>
          <w:szCs w:val="26"/>
          <w:rtl/>
        </w:rPr>
        <w:t xml:space="preserve"> «الاحتجاج على أهل اللجاج»</w:t>
      </w:r>
      <w:r w:rsidR="00217AB4" w:rsidRPr="00C3556F">
        <w:rPr>
          <w:rFonts w:ascii="mylotus" w:hAnsi="mylotus" w:cs="mylotus"/>
          <w:sz w:val="26"/>
          <w:szCs w:val="26"/>
          <w:rtl/>
        </w:rPr>
        <w:t>،</w:t>
      </w:r>
      <w:r w:rsidRPr="00C3556F">
        <w:rPr>
          <w:rFonts w:ascii="mylotus" w:hAnsi="mylotus" w:cs="mylotus"/>
          <w:sz w:val="26"/>
          <w:szCs w:val="26"/>
          <w:rtl/>
        </w:rPr>
        <w:t xml:space="preserve"> طبع النجف</w:t>
      </w:r>
      <w:r w:rsidR="00217AB4" w:rsidRPr="00C3556F">
        <w:rPr>
          <w:rFonts w:ascii="mylotus" w:hAnsi="mylotus" w:cs="mylotus"/>
          <w:sz w:val="26"/>
          <w:szCs w:val="26"/>
          <w:rtl/>
        </w:rPr>
        <w:t>،</w:t>
      </w:r>
      <w:r w:rsidRPr="00C3556F">
        <w:rPr>
          <w:rFonts w:ascii="mylotus" w:hAnsi="mylotus" w:cs="mylotus"/>
          <w:sz w:val="26"/>
          <w:szCs w:val="26"/>
          <w:rtl/>
        </w:rPr>
        <w:t xml:space="preserve"> 1386هـ</w:t>
      </w:r>
      <w:r w:rsidR="00217AB4" w:rsidRPr="00C3556F">
        <w:rPr>
          <w:rFonts w:ascii="mylotus" w:hAnsi="mylotus" w:cs="mylotus"/>
          <w:sz w:val="26"/>
          <w:szCs w:val="26"/>
          <w:rtl/>
        </w:rPr>
        <w:t>.</w:t>
      </w:r>
    </w:p>
    <w:p w:rsidR="005C664D" w:rsidRPr="00C3556F" w:rsidRDefault="005C664D" w:rsidP="00C3556F">
      <w:pPr>
        <w:numPr>
          <w:ilvl w:val="0"/>
          <w:numId w:val="30"/>
        </w:numPr>
        <w:spacing w:line="228" w:lineRule="auto"/>
        <w:ind w:left="510" w:hanging="510"/>
        <w:jc w:val="both"/>
        <w:rPr>
          <w:rFonts w:ascii="mylotus" w:hAnsi="mylotus" w:cs="mylotus"/>
          <w:sz w:val="26"/>
          <w:szCs w:val="26"/>
          <w:rtl/>
        </w:rPr>
      </w:pPr>
      <w:r w:rsidRPr="00C3556F">
        <w:rPr>
          <w:rFonts w:ascii="mylotus" w:hAnsi="mylotus" w:cs="mylotus"/>
          <w:sz w:val="26"/>
          <w:szCs w:val="26"/>
          <w:rtl/>
        </w:rPr>
        <w:t>الطبري</w:t>
      </w:r>
      <w:r w:rsidR="00217AB4" w:rsidRPr="00C3556F">
        <w:rPr>
          <w:rFonts w:ascii="mylotus" w:hAnsi="mylotus" w:cs="mylotus"/>
          <w:sz w:val="26"/>
          <w:szCs w:val="26"/>
          <w:rtl/>
        </w:rPr>
        <w:t>،</w:t>
      </w:r>
      <w:r w:rsidRPr="00C3556F">
        <w:rPr>
          <w:rFonts w:ascii="mylotus" w:hAnsi="mylotus" w:cs="mylotus"/>
          <w:sz w:val="26"/>
          <w:szCs w:val="26"/>
          <w:rtl/>
        </w:rPr>
        <w:t xml:space="preserve"> أبو جعفر محمد بن جرير </w:t>
      </w:r>
      <w:r w:rsidR="00217AB4" w:rsidRPr="00C3556F">
        <w:rPr>
          <w:rFonts w:ascii="mylotus" w:hAnsi="mylotus" w:cs="mylotus"/>
          <w:sz w:val="26"/>
          <w:szCs w:val="26"/>
          <w:rtl/>
        </w:rPr>
        <w:t>(</w:t>
      </w:r>
      <w:r w:rsidRPr="00C3556F">
        <w:rPr>
          <w:rFonts w:ascii="mylotus" w:hAnsi="mylotus" w:cs="mylotus"/>
          <w:sz w:val="26"/>
          <w:szCs w:val="26"/>
          <w:rtl/>
        </w:rPr>
        <w:t>310هـ</w:t>
      </w:r>
      <w:r w:rsidR="00217AB4" w:rsidRPr="00C3556F">
        <w:rPr>
          <w:rFonts w:ascii="mylotus" w:hAnsi="mylotus" w:cs="mylotus"/>
          <w:sz w:val="26"/>
          <w:szCs w:val="26"/>
          <w:rtl/>
        </w:rPr>
        <w:t>)،</w:t>
      </w:r>
      <w:r w:rsidRPr="00C3556F">
        <w:rPr>
          <w:rFonts w:ascii="mylotus" w:hAnsi="mylotus" w:cs="mylotus"/>
          <w:sz w:val="26"/>
          <w:szCs w:val="26"/>
          <w:rtl/>
        </w:rPr>
        <w:t xml:space="preserve"> «تاريخ الأمم والملوك»</w:t>
      </w:r>
      <w:r w:rsidR="00217AB4" w:rsidRPr="00C3556F">
        <w:rPr>
          <w:rFonts w:ascii="mylotus" w:hAnsi="mylotus" w:cs="mylotus"/>
          <w:sz w:val="26"/>
          <w:szCs w:val="26"/>
          <w:rtl/>
        </w:rPr>
        <w:t>،</w:t>
      </w:r>
      <w:r w:rsidRPr="00C3556F">
        <w:rPr>
          <w:rFonts w:ascii="mylotus" w:hAnsi="mylotus" w:cs="mylotus"/>
          <w:sz w:val="26"/>
          <w:szCs w:val="26"/>
          <w:rtl/>
        </w:rPr>
        <w:t xml:space="preserve"> القاهرة</w:t>
      </w:r>
      <w:r w:rsidR="00217AB4" w:rsidRPr="00C3556F">
        <w:rPr>
          <w:rFonts w:ascii="mylotus" w:hAnsi="mylotus" w:cs="mylotus"/>
          <w:sz w:val="26"/>
          <w:szCs w:val="26"/>
          <w:rtl/>
        </w:rPr>
        <w:t>،</w:t>
      </w:r>
      <w:r w:rsidRPr="00C3556F">
        <w:rPr>
          <w:rFonts w:ascii="mylotus" w:hAnsi="mylotus" w:cs="mylotus"/>
          <w:sz w:val="26"/>
          <w:szCs w:val="26"/>
          <w:rtl/>
        </w:rPr>
        <w:t xml:space="preserve"> 1357هـ</w:t>
      </w:r>
      <w:r w:rsidR="00217AB4" w:rsidRPr="00C3556F">
        <w:rPr>
          <w:rFonts w:ascii="mylotus" w:hAnsi="mylotus" w:cs="mylotus"/>
          <w:sz w:val="26"/>
          <w:szCs w:val="26"/>
          <w:rtl/>
        </w:rPr>
        <w:t>.</w:t>
      </w:r>
    </w:p>
    <w:p w:rsidR="005C664D" w:rsidRPr="00C3556F" w:rsidRDefault="005C664D" w:rsidP="00C3556F">
      <w:pPr>
        <w:numPr>
          <w:ilvl w:val="0"/>
          <w:numId w:val="30"/>
        </w:numPr>
        <w:spacing w:line="228" w:lineRule="auto"/>
        <w:ind w:left="510" w:hanging="510"/>
        <w:jc w:val="both"/>
        <w:rPr>
          <w:rFonts w:ascii="mylotus" w:hAnsi="mylotus" w:cs="mylotus"/>
          <w:sz w:val="26"/>
          <w:szCs w:val="26"/>
          <w:rtl/>
        </w:rPr>
      </w:pPr>
      <w:r w:rsidRPr="00C3556F">
        <w:rPr>
          <w:rFonts w:ascii="mylotus" w:hAnsi="mylotus" w:cs="mylotus"/>
          <w:sz w:val="26"/>
          <w:szCs w:val="26"/>
          <w:rtl/>
        </w:rPr>
        <w:t>عبَّاس إقبال آشتياني</w:t>
      </w:r>
      <w:r w:rsidR="00217AB4" w:rsidRPr="00C3556F">
        <w:rPr>
          <w:rFonts w:ascii="mylotus" w:hAnsi="mylotus" w:cs="mylotus"/>
          <w:sz w:val="26"/>
          <w:szCs w:val="26"/>
          <w:rtl/>
        </w:rPr>
        <w:t>،</w:t>
      </w:r>
      <w:r w:rsidRPr="00C3556F">
        <w:rPr>
          <w:rFonts w:ascii="mylotus" w:hAnsi="mylotus" w:cs="mylotus"/>
          <w:sz w:val="26"/>
          <w:szCs w:val="26"/>
          <w:rtl/>
        </w:rPr>
        <w:t xml:space="preserve"> «خاندان نوبختي» </w:t>
      </w:r>
      <w:r w:rsidR="00217AB4" w:rsidRPr="00C3556F">
        <w:rPr>
          <w:rFonts w:ascii="mylotus" w:hAnsi="mylotus" w:cs="mylotus"/>
          <w:sz w:val="26"/>
          <w:szCs w:val="26"/>
          <w:rtl/>
        </w:rPr>
        <w:t>(</w:t>
      </w:r>
      <w:r w:rsidRPr="00C3556F">
        <w:rPr>
          <w:rFonts w:ascii="mylotus" w:hAnsi="mylotus" w:cs="mylotus"/>
          <w:sz w:val="26"/>
          <w:szCs w:val="26"/>
          <w:rtl/>
        </w:rPr>
        <w:t>بالفارسية</w:t>
      </w:r>
      <w:r w:rsidR="00217AB4" w:rsidRPr="00C3556F">
        <w:rPr>
          <w:rFonts w:ascii="mylotus" w:hAnsi="mylotus" w:cs="mylotus"/>
          <w:sz w:val="26"/>
          <w:szCs w:val="26"/>
          <w:rtl/>
        </w:rPr>
        <w:t>)،</w:t>
      </w:r>
      <w:r w:rsidRPr="00C3556F">
        <w:rPr>
          <w:rFonts w:ascii="mylotus" w:hAnsi="mylotus" w:cs="mylotus"/>
          <w:sz w:val="26"/>
          <w:szCs w:val="26"/>
          <w:rtl/>
        </w:rPr>
        <w:t xml:space="preserve"> طهران</w:t>
      </w:r>
      <w:r w:rsidR="00217AB4" w:rsidRPr="00C3556F">
        <w:rPr>
          <w:rFonts w:ascii="mylotus" w:hAnsi="mylotus" w:cs="mylotus"/>
          <w:sz w:val="26"/>
          <w:szCs w:val="26"/>
          <w:rtl/>
        </w:rPr>
        <w:t>.</w:t>
      </w:r>
    </w:p>
    <w:p w:rsidR="005C664D" w:rsidRPr="00C3556F" w:rsidRDefault="005C664D" w:rsidP="00C3556F">
      <w:pPr>
        <w:numPr>
          <w:ilvl w:val="0"/>
          <w:numId w:val="30"/>
        </w:numPr>
        <w:spacing w:line="228" w:lineRule="auto"/>
        <w:ind w:left="510" w:hanging="510"/>
        <w:jc w:val="both"/>
        <w:rPr>
          <w:rFonts w:ascii="mylotus" w:hAnsi="mylotus" w:cs="mylotus"/>
          <w:sz w:val="26"/>
          <w:szCs w:val="26"/>
        </w:rPr>
      </w:pPr>
      <w:r w:rsidRPr="00C3556F">
        <w:rPr>
          <w:rFonts w:ascii="mylotus" w:hAnsi="mylotus" w:cs="mylotus"/>
          <w:sz w:val="26"/>
          <w:szCs w:val="26"/>
          <w:rtl/>
        </w:rPr>
        <w:t>عبّاس القمي</w:t>
      </w:r>
      <w:r w:rsidR="00217AB4" w:rsidRPr="00C3556F">
        <w:rPr>
          <w:rFonts w:ascii="mylotus" w:hAnsi="mylotus" w:cs="mylotus"/>
          <w:sz w:val="26"/>
          <w:szCs w:val="26"/>
          <w:rtl/>
        </w:rPr>
        <w:t>،</w:t>
      </w:r>
      <w:r w:rsidRPr="00C3556F">
        <w:rPr>
          <w:rFonts w:ascii="mylotus" w:hAnsi="mylotus" w:cs="mylotus"/>
          <w:sz w:val="26"/>
          <w:szCs w:val="26"/>
          <w:rtl/>
        </w:rPr>
        <w:t xml:space="preserve"> الشيخ المحدث </w:t>
      </w:r>
      <w:r w:rsidR="00217AB4" w:rsidRPr="00C3556F">
        <w:rPr>
          <w:rFonts w:ascii="mylotus" w:hAnsi="mylotus" w:cs="mylotus"/>
          <w:sz w:val="26"/>
          <w:szCs w:val="26"/>
          <w:rtl/>
        </w:rPr>
        <w:t>(</w:t>
      </w:r>
      <w:r w:rsidRPr="00C3556F">
        <w:rPr>
          <w:rFonts w:ascii="mylotus" w:hAnsi="mylotus" w:cs="mylotus"/>
          <w:sz w:val="26"/>
          <w:szCs w:val="26"/>
          <w:rtl/>
        </w:rPr>
        <w:t>1294</w:t>
      </w:r>
      <w:r w:rsidR="00147857" w:rsidRPr="00C3556F">
        <w:rPr>
          <w:rFonts w:ascii="mylotus" w:hAnsi="mylotus" w:cs="mylotus"/>
          <w:sz w:val="26"/>
          <w:szCs w:val="26"/>
          <w:rtl/>
        </w:rPr>
        <w:t xml:space="preserve"> </w:t>
      </w:r>
      <w:r w:rsidR="00217AB4" w:rsidRPr="00C3556F">
        <w:rPr>
          <w:rFonts w:ascii="mylotus" w:hAnsi="mylotus" w:cs="mylotus"/>
          <w:sz w:val="26"/>
          <w:szCs w:val="26"/>
          <w:rtl/>
        </w:rPr>
        <w:t>-</w:t>
      </w:r>
      <w:r w:rsidR="00147857" w:rsidRPr="00C3556F">
        <w:rPr>
          <w:rFonts w:ascii="mylotus" w:hAnsi="mylotus" w:cs="mylotus"/>
          <w:sz w:val="26"/>
          <w:szCs w:val="26"/>
          <w:rtl/>
        </w:rPr>
        <w:t xml:space="preserve"> </w:t>
      </w:r>
      <w:r w:rsidRPr="00C3556F">
        <w:rPr>
          <w:rFonts w:ascii="mylotus" w:hAnsi="mylotus" w:cs="mylotus"/>
          <w:sz w:val="26"/>
          <w:szCs w:val="26"/>
          <w:rtl/>
        </w:rPr>
        <w:t>1359هـ</w:t>
      </w:r>
      <w:r w:rsidR="00217AB4" w:rsidRPr="00C3556F">
        <w:rPr>
          <w:rFonts w:ascii="mylotus" w:hAnsi="mylotus" w:cs="mylotus"/>
          <w:sz w:val="26"/>
          <w:szCs w:val="26"/>
          <w:rtl/>
        </w:rPr>
        <w:t>)،</w:t>
      </w:r>
      <w:r w:rsidRPr="00C3556F">
        <w:rPr>
          <w:rFonts w:ascii="mylotus" w:hAnsi="mylotus" w:cs="mylotus"/>
          <w:sz w:val="26"/>
          <w:szCs w:val="26"/>
          <w:rtl/>
        </w:rPr>
        <w:t xml:space="preserve"> «منتهى الآمال»</w:t>
      </w:r>
      <w:r w:rsidR="00217AB4" w:rsidRPr="00C3556F">
        <w:rPr>
          <w:rFonts w:ascii="mylotus" w:hAnsi="mylotus" w:cs="mylotus"/>
          <w:sz w:val="26"/>
          <w:szCs w:val="26"/>
          <w:rtl/>
        </w:rPr>
        <w:t>،</w:t>
      </w:r>
      <w:r w:rsidRPr="00C3556F">
        <w:rPr>
          <w:rFonts w:ascii="mylotus" w:hAnsi="mylotus" w:cs="mylotus"/>
          <w:sz w:val="26"/>
          <w:szCs w:val="26"/>
          <w:rtl/>
        </w:rPr>
        <w:t xml:space="preserve"> ط</w:t>
      </w:r>
      <w:r w:rsidR="00217AB4" w:rsidRPr="00C3556F">
        <w:rPr>
          <w:rFonts w:ascii="mylotus" w:hAnsi="mylotus" w:cs="mylotus"/>
          <w:sz w:val="26"/>
          <w:szCs w:val="26"/>
          <w:rtl/>
        </w:rPr>
        <w:t>.</w:t>
      </w:r>
      <w:r w:rsidRPr="00C3556F">
        <w:rPr>
          <w:rFonts w:ascii="mylotus" w:hAnsi="mylotus" w:cs="mylotus"/>
          <w:sz w:val="26"/>
          <w:szCs w:val="26"/>
          <w:rtl/>
        </w:rPr>
        <w:t>طهران</w:t>
      </w:r>
      <w:r w:rsidR="00217AB4" w:rsidRPr="00C3556F">
        <w:rPr>
          <w:rFonts w:ascii="mylotus" w:hAnsi="mylotus" w:cs="mylotus"/>
          <w:sz w:val="26"/>
          <w:szCs w:val="26"/>
          <w:rtl/>
        </w:rPr>
        <w:t>.</w:t>
      </w:r>
    </w:p>
    <w:p w:rsidR="005C664D" w:rsidRPr="00C3556F" w:rsidRDefault="005C664D" w:rsidP="00C3556F">
      <w:pPr>
        <w:numPr>
          <w:ilvl w:val="0"/>
          <w:numId w:val="30"/>
        </w:numPr>
        <w:spacing w:line="228" w:lineRule="auto"/>
        <w:ind w:left="510" w:hanging="510"/>
        <w:jc w:val="both"/>
        <w:rPr>
          <w:rFonts w:ascii="mylotus" w:hAnsi="mylotus" w:cs="mylotus"/>
          <w:sz w:val="26"/>
          <w:szCs w:val="26"/>
          <w:rtl/>
        </w:rPr>
      </w:pPr>
      <w:r w:rsidRPr="00C3556F">
        <w:rPr>
          <w:rFonts w:ascii="mylotus" w:hAnsi="mylotus" w:cs="mylotus"/>
          <w:sz w:val="26"/>
          <w:szCs w:val="26"/>
          <w:rtl/>
        </w:rPr>
        <w:t>عبّاس القمي</w:t>
      </w:r>
      <w:r w:rsidR="00217AB4" w:rsidRPr="00C3556F">
        <w:rPr>
          <w:rFonts w:ascii="mylotus" w:hAnsi="mylotus" w:cs="mylotus"/>
          <w:sz w:val="26"/>
          <w:szCs w:val="26"/>
          <w:rtl/>
        </w:rPr>
        <w:t>،</w:t>
      </w:r>
      <w:r w:rsidRPr="00C3556F">
        <w:rPr>
          <w:rFonts w:ascii="mylotus" w:hAnsi="mylotus" w:cs="mylotus"/>
          <w:sz w:val="26"/>
          <w:szCs w:val="26"/>
          <w:rtl/>
        </w:rPr>
        <w:t xml:space="preserve"> «تتمة المنتهى»</w:t>
      </w:r>
      <w:r w:rsidR="00217AB4" w:rsidRPr="00C3556F">
        <w:rPr>
          <w:rFonts w:ascii="mylotus" w:hAnsi="mylotus" w:cs="mylotus"/>
          <w:sz w:val="26"/>
          <w:szCs w:val="26"/>
          <w:rtl/>
        </w:rPr>
        <w:t>،</w:t>
      </w:r>
      <w:r w:rsidRPr="00C3556F">
        <w:rPr>
          <w:rFonts w:ascii="mylotus" w:hAnsi="mylotus" w:cs="mylotus"/>
          <w:sz w:val="26"/>
          <w:szCs w:val="26"/>
          <w:rtl/>
        </w:rPr>
        <w:t xml:space="preserve"> ط</w:t>
      </w:r>
      <w:r w:rsidR="00217AB4" w:rsidRPr="00C3556F">
        <w:rPr>
          <w:rFonts w:ascii="mylotus" w:hAnsi="mylotus" w:cs="mylotus"/>
          <w:sz w:val="26"/>
          <w:szCs w:val="26"/>
          <w:rtl/>
        </w:rPr>
        <w:t>.</w:t>
      </w:r>
      <w:r w:rsidRPr="00C3556F">
        <w:rPr>
          <w:rFonts w:ascii="mylotus" w:hAnsi="mylotus" w:cs="mylotus"/>
          <w:sz w:val="26"/>
          <w:szCs w:val="26"/>
          <w:rtl/>
        </w:rPr>
        <w:t>طهران</w:t>
      </w:r>
      <w:r w:rsidR="00217AB4" w:rsidRPr="00C3556F">
        <w:rPr>
          <w:rFonts w:ascii="mylotus" w:hAnsi="mylotus" w:cs="mylotus"/>
          <w:sz w:val="26"/>
          <w:szCs w:val="26"/>
          <w:rtl/>
        </w:rPr>
        <w:t>.</w:t>
      </w:r>
    </w:p>
    <w:p w:rsidR="005C664D" w:rsidRPr="00C3556F" w:rsidRDefault="005C664D" w:rsidP="00C3556F">
      <w:pPr>
        <w:numPr>
          <w:ilvl w:val="0"/>
          <w:numId w:val="30"/>
        </w:numPr>
        <w:spacing w:line="228" w:lineRule="auto"/>
        <w:ind w:left="510" w:hanging="510"/>
        <w:jc w:val="both"/>
        <w:rPr>
          <w:rFonts w:ascii="mylotus" w:hAnsi="mylotus" w:cs="mylotus"/>
          <w:sz w:val="26"/>
          <w:szCs w:val="26"/>
        </w:rPr>
      </w:pPr>
      <w:r w:rsidRPr="00C3556F">
        <w:rPr>
          <w:rFonts w:ascii="mylotus" w:hAnsi="mylotus" w:cs="mylotus"/>
          <w:sz w:val="26"/>
          <w:szCs w:val="26"/>
          <w:rtl/>
        </w:rPr>
        <w:t xml:space="preserve">عماد الدين الطبري </w:t>
      </w:r>
      <w:r w:rsidR="00217AB4" w:rsidRPr="00C3556F">
        <w:rPr>
          <w:rFonts w:ascii="mylotus" w:hAnsi="mylotus" w:cs="mylotus"/>
          <w:sz w:val="26"/>
          <w:szCs w:val="26"/>
          <w:rtl/>
        </w:rPr>
        <w:t>(</w:t>
      </w:r>
      <w:r w:rsidRPr="00C3556F">
        <w:rPr>
          <w:rFonts w:ascii="mylotus" w:hAnsi="mylotus" w:cs="mylotus"/>
          <w:sz w:val="26"/>
          <w:szCs w:val="26"/>
          <w:rtl/>
        </w:rPr>
        <w:t>525هـ</w:t>
      </w:r>
      <w:r w:rsidR="00217AB4" w:rsidRPr="00C3556F">
        <w:rPr>
          <w:rFonts w:ascii="mylotus" w:hAnsi="mylotus" w:cs="mylotus"/>
          <w:sz w:val="26"/>
          <w:szCs w:val="26"/>
          <w:rtl/>
        </w:rPr>
        <w:t>)،</w:t>
      </w:r>
      <w:r w:rsidRPr="00C3556F">
        <w:rPr>
          <w:rFonts w:ascii="mylotus" w:hAnsi="mylotus" w:cs="mylotus"/>
          <w:sz w:val="26"/>
          <w:szCs w:val="26"/>
          <w:rtl/>
        </w:rPr>
        <w:t xml:space="preserve"> «بشارة المصطفى لشيعة المرتضى» ط2</w:t>
      </w:r>
      <w:r w:rsidR="00217AB4" w:rsidRPr="00C3556F">
        <w:rPr>
          <w:rFonts w:ascii="mylotus" w:hAnsi="mylotus" w:cs="mylotus"/>
          <w:sz w:val="26"/>
          <w:szCs w:val="26"/>
          <w:rtl/>
        </w:rPr>
        <w:t>،</w:t>
      </w:r>
      <w:r w:rsidRPr="00C3556F">
        <w:rPr>
          <w:rFonts w:ascii="mylotus" w:hAnsi="mylotus" w:cs="mylotus"/>
          <w:sz w:val="26"/>
          <w:szCs w:val="26"/>
          <w:rtl/>
        </w:rPr>
        <w:t xml:space="preserve"> النجف الأشرف</w:t>
      </w:r>
      <w:r w:rsidR="00217AB4" w:rsidRPr="00C3556F">
        <w:rPr>
          <w:rFonts w:ascii="mylotus" w:hAnsi="mylotus" w:cs="mylotus"/>
          <w:sz w:val="26"/>
          <w:szCs w:val="26"/>
          <w:rtl/>
        </w:rPr>
        <w:t>،</w:t>
      </w:r>
      <w:r w:rsidRPr="00C3556F">
        <w:rPr>
          <w:rFonts w:ascii="mylotus" w:hAnsi="mylotus" w:cs="mylotus"/>
          <w:sz w:val="26"/>
          <w:szCs w:val="26"/>
          <w:rtl/>
        </w:rPr>
        <w:t xml:space="preserve"> 1383هـ</w:t>
      </w:r>
      <w:r w:rsidR="00217AB4" w:rsidRPr="00C3556F">
        <w:rPr>
          <w:rFonts w:ascii="mylotus" w:hAnsi="mylotus" w:cs="mylotus"/>
          <w:sz w:val="26"/>
          <w:szCs w:val="26"/>
          <w:rtl/>
        </w:rPr>
        <w:t>.</w:t>
      </w:r>
    </w:p>
    <w:p w:rsidR="005C664D" w:rsidRPr="00C3556F" w:rsidRDefault="005C664D" w:rsidP="00C3556F">
      <w:pPr>
        <w:numPr>
          <w:ilvl w:val="0"/>
          <w:numId w:val="30"/>
        </w:numPr>
        <w:spacing w:line="228" w:lineRule="auto"/>
        <w:ind w:left="510" w:hanging="510"/>
        <w:jc w:val="both"/>
        <w:rPr>
          <w:rFonts w:ascii="mylotus" w:hAnsi="mylotus" w:cs="mylotus"/>
          <w:sz w:val="26"/>
          <w:szCs w:val="26"/>
          <w:rtl/>
        </w:rPr>
      </w:pPr>
      <w:r w:rsidRPr="00C3556F">
        <w:rPr>
          <w:rFonts w:ascii="mylotus" w:hAnsi="mylotus" w:cs="mylotus"/>
          <w:sz w:val="26"/>
          <w:szCs w:val="26"/>
          <w:rtl/>
        </w:rPr>
        <w:t>العوفي</w:t>
      </w:r>
      <w:r w:rsidR="00217AB4" w:rsidRPr="00C3556F">
        <w:rPr>
          <w:rFonts w:ascii="mylotus" w:hAnsi="mylotus" w:cs="mylotus"/>
          <w:sz w:val="26"/>
          <w:szCs w:val="26"/>
          <w:rtl/>
        </w:rPr>
        <w:t>،</w:t>
      </w:r>
      <w:r w:rsidRPr="00C3556F">
        <w:rPr>
          <w:rFonts w:ascii="mylotus" w:hAnsi="mylotus" w:cs="mylotus"/>
          <w:sz w:val="26"/>
          <w:szCs w:val="26"/>
          <w:rtl/>
        </w:rPr>
        <w:t xml:space="preserve"> محمد بن جمال الدين العوفي الهندي </w:t>
      </w:r>
      <w:r w:rsidR="00217AB4" w:rsidRPr="00C3556F">
        <w:rPr>
          <w:rFonts w:ascii="mylotus" w:hAnsi="mylotus" w:cs="mylotus"/>
          <w:sz w:val="26"/>
          <w:szCs w:val="26"/>
          <w:rtl/>
        </w:rPr>
        <w:t>(</w:t>
      </w:r>
      <w:r w:rsidRPr="00C3556F">
        <w:rPr>
          <w:rFonts w:ascii="mylotus" w:hAnsi="mylotus" w:cs="mylotus"/>
          <w:sz w:val="26"/>
          <w:szCs w:val="26"/>
          <w:rtl/>
        </w:rPr>
        <w:t>القرن 7 هـ</w:t>
      </w:r>
      <w:r w:rsidR="00217AB4" w:rsidRPr="00C3556F">
        <w:rPr>
          <w:rFonts w:ascii="mylotus" w:hAnsi="mylotus" w:cs="mylotus"/>
          <w:sz w:val="26"/>
          <w:szCs w:val="26"/>
          <w:rtl/>
        </w:rPr>
        <w:t>)،</w:t>
      </w:r>
      <w:r w:rsidRPr="00C3556F">
        <w:rPr>
          <w:rFonts w:ascii="mylotus" w:hAnsi="mylotus" w:cs="mylotus"/>
          <w:sz w:val="26"/>
          <w:szCs w:val="26"/>
          <w:rtl/>
        </w:rPr>
        <w:t xml:space="preserve"> «جوامع الحكايات» ويسمى أيضاً «جامع الحكايات» بالفارسية</w:t>
      </w:r>
      <w:r w:rsidR="00217AB4" w:rsidRPr="00C3556F">
        <w:rPr>
          <w:rFonts w:ascii="mylotus" w:hAnsi="mylotus" w:cs="mylotus"/>
          <w:sz w:val="26"/>
          <w:szCs w:val="26"/>
          <w:rtl/>
        </w:rPr>
        <w:t>،</w:t>
      </w:r>
      <w:r w:rsidRPr="00C3556F">
        <w:rPr>
          <w:rFonts w:ascii="mylotus" w:hAnsi="mylotus" w:cs="mylotus"/>
          <w:sz w:val="26"/>
          <w:szCs w:val="26"/>
          <w:rtl/>
        </w:rPr>
        <w:t xml:space="preserve"> صنفه مؤلفه للوزير نظام الملك سنة 628هـ</w:t>
      </w:r>
      <w:r w:rsidR="00217AB4" w:rsidRPr="00C3556F">
        <w:rPr>
          <w:rFonts w:ascii="mylotus" w:hAnsi="mylotus" w:cs="mylotus"/>
          <w:sz w:val="26"/>
          <w:szCs w:val="26"/>
          <w:rtl/>
        </w:rPr>
        <w:t>،</w:t>
      </w:r>
      <w:r w:rsidRPr="00C3556F">
        <w:rPr>
          <w:rFonts w:ascii="mylotus" w:hAnsi="mylotus" w:cs="mylotus"/>
          <w:sz w:val="26"/>
          <w:szCs w:val="26"/>
          <w:rtl/>
        </w:rPr>
        <w:t xml:space="preserve"> طبع ليدن</w:t>
      </w:r>
      <w:r w:rsidR="00217AB4" w:rsidRPr="00C3556F">
        <w:rPr>
          <w:rFonts w:ascii="mylotus" w:hAnsi="mylotus" w:cs="mylotus"/>
          <w:sz w:val="26"/>
          <w:szCs w:val="26"/>
          <w:rtl/>
        </w:rPr>
        <w:t>،</w:t>
      </w:r>
      <w:r w:rsidRPr="00C3556F">
        <w:rPr>
          <w:rFonts w:ascii="mylotus" w:hAnsi="mylotus" w:cs="mylotus"/>
          <w:sz w:val="26"/>
          <w:szCs w:val="26"/>
          <w:rtl/>
        </w:rPr>
        <w:t xml:space="preserve"> هولندا</w:t>
      </w:r>
      <w:r w:rsidR="00217AB4" w:rsidRPr="00C3556F">
        <w:rPr>
          <w:rFonts w:ascii="mylotus" w:hAnsi="mylotus" w:cs="mylotus"/>
          <w:sz w:val="26"/>
          <w:szCs w:val="26"/>
          <w:rtl/>
        </w:rPr>
        <w:t>.</w:t>
      </w:r>
    </w:p>
    <w:p w:rsidR="005C664D" w:rsidRPr="00C3556F" w:rsidRDefault="005C664D" w:rsidP="00C3556F">
      <w:pPr>
        <w:numPr>
          <w:ilvl w:val="0"/>
          <w:numId w:val="30"/>
        </w:numPr>
        <w:spacing w:line="228" w:lineRule="auto"/>
        <w:ind w:left="510" w:hanging="510"/>
        <w:jc w:val="both"/>
        <w:rPr>
          <w:rFonts w:ascii="mylotus" w:hAnsi="mylotus" w:cs="mylotus"/>
          <w:sz w:val="26"/>
          <w:szCs w:val="26"/>
          <w:rtl/>
        </w:rPr>
      </w:pPr>
      <w:r w:rsidRPr="00C3556F">
        <w:rPr>
          <w:rFonts w:ascii="mylotus" w:hAnsi="mylotus" w:cs="mylotus"/>
          <w:sz w:val="26"/>
          <w:szCs w:val="26"/>
          <w:rtl/>
        </w:rPr>
        <w:t xml:space="preserve">محب الدين أحمد بن عبد الله الطبري الشيعي </w:t>
      </w:r>
      <w:r w:rsidR="00217AB4" w:rsidRPr="00C3556F">
        <w:rPr>
          <w:rFonts w:ascii="mylotus" w:hAnsi="mylotus" w:cs="mylotus"/>
          <w:sz w:val="26"/>
          <w:szCs w:val="26"/>
          <w:rtl/>
        </w:rPr>
        <w:t>(</w:t>
      </w:r>
      <w:r w:rsidRPr="00C3556F">
        <w:rPr>
          <w:rFonts w:ascii="mylotus" w:hAnsi="mylotus" w:cs="mylotus"/>
          <w:sz w:val="26"/>
          <w:szCs w:val="26"/>
          <w:rtl/>
        </w:rPr>
        <w:t>694هـ</w:t>
      </w:r>
      <w:r w:rsidR="00217AB4" w:rsidRPr="00C3556F">
        <w:rPr>
          <w:rFonts w:ascii="mylotus" w:hAnsi="mylotus" w:cs="mylotus"/>
          <w:sz w:val="26"/>
          <w:szCs w:val="26"/>
          <w:rtl/>
        </w:rPr>
        <w:t>)،</w:t>
      </w:r>
      <w:r w:rsidRPr="00C3556F">
        <w:rPr>
          <w:rFonts w:ascii="mylotus" w:hAnsi="mylotus" w:cs="mylotus"/>
          <w:sz w:val="26"/>
          <w:szCs w:val="26"/>
          <w:rtl/>
        </w:rPr>
        <w:t xml:space="preserve"> «ذخائر العقبى في مناقب ذوي القربى»</w:t>
      </w:r>
      <w:r w:rsidR="00217AB4" w:rsidRPr="00C3556F">
        <w:rPr>
          <w:rFonts w:ascii="mylotus" w:hAnsi="mylotus" w:cs="mylotus"/>
          <w:sz w:val="26"/>
          <w:szCs w:val="26"/>
          <w:rtl/>
        </w:rPr>
        <w:t>.</w:t>
      </w:r>
    </w:p>
    <w:p w:rsidR="005C664D" w:rsidRPr="00C3556F" w:rsidRDefault="005C664D" w:rsidP="00C3556F">
      <w:pPr>
        <w:numPr>
          <w:ilvl w:val="0"/>
          <w:numId w:val="30"/>
        </w:numPr>
        <w:spacing w:line="228" w:lineRule="auto"/>
        <w:ind w:left="510" w:hanging="510"/>
        <w:jc w:val="both"/>
        <w:rPr>
          <w:rFonts w:ascii="mylotus" w:hAnsi="mylotus" w:cs="mylotus"/>
          <w:sz w:val="26"/>
          <w:szCs w:val="26"/>
          <w:rtl/>
        </w:rPr>
      </w:pPr>
      <w:r w:rsidRPr="00C3556F">
        <w:rPr>
          <w:rFonts w:ascii="mylotus" w:hAnsi="mylotus" w:cs="mylotus"/>
          <w:sz w:val="26"/>
          <w:szCs w:val="26"/>
          <w:rtl/>
        </w:rPr>
        <w:t>محسن الأمين</w:t>
      </w:r>
      <w:r w:rsidR="00217AB4" w:rsidRPr="00C3556F">
        <w:rPr>
          <w:rFonts w:ascii="mylotus" w:hAnsi="mylotus" w:cs="mylotus"/>
          <w:sz w:val="26"/>
          <w:szCs w:val="26"/>
          <w:rtl/>
        </w:rPr>
        <w:t>،</w:t>
      </w:r>
      <w:r w:rsidRPr="00C3556F">
        <w:rPr>
          <w:rFonts w:ascii="mylotus" w:hAnsi="mylotus" w:cs="mylotus"/>
          <w:sz w:val="26"/>
          <w:szCs w:val="26"/>
          <w:rtl/>
        </w:rPr>
        <w:t xml:space="preserve"> آية الله السيد </w:t>
      </w:r>
      <w:r w:rsidR="00217AB4" w:rsidRPr="00C3556F">
        <w:rPr>
          <w:rFonts w:ascii="mylotus" w:hAnsi="mylotus" w:cs="mylotus"/>
          <w:sz w:val="26"/>
          <w:szCs w:val="26"/>
          <w:rtl/>
        </w:rPr>
        <w:t>(</w:t>
      </w:r>
      <w:r w:rsidRPr="00C3556F">
        <w:rPr>
          <w:rFonts w:ascii="mylotus" w:hAnsi="mylotus" w:cs="mylotus"/>
          <w:sz w:val="26"/>
          <w:szCs w:val="26"/>
          <w:rtl/>
        </w:rPr>
        <w:t>1390هـ</w:t>
      </w:r>
      <w:r w:rsidR="00217AB4" w:rsidRPr="00C3556F">
        <w:rPr>
          <w:rFonts w:ascii="mylotus" w:hAnsi="mylotus" w:cs="mylotus"/>
          <w:sz w:val="26"/>
          <w:szCs w:val="26"/>
          <w:rtl/>
        </w:rPr>
        <w:t>)،</w:t>
      </w:r>
      <w:r w:rsidRPr="00C3556F">
        <w:rPr>
          <w:rFonts w:ascii="mylotus" w:hAnsi="mylotus" w:cs="mylotus"/>
          <w:sz w:val="26"/>
          <w:szCs w:val="26"/>
          <w:rtl/>
        </w:rPr>
        <w:t xml:space="preserve"> «أعيان الشيعة»</w:t>
      </w:r>
      <w:r w:rsidR="00217AB4" w:rsidRPr="00C3556F">
        <w:rPr>
          <w:rFonts w:ascii="mylotus" w:hAnsi="mylotus" w:cs="mylotus"/>
          <w:sz w:val="26"/>
          <w:szCs w:val="26"/>
          <w:rtl/>
        </w:rPr>
        <w:t>،</w:t>
      </w:r>
      <w:r w:rsidRPr="00C3556F">
        <w:rPr>
          <w:rFonts w:ascii="mylotus" w:hAnsi="mylotus" w:cs="mylotus"/>
          <w:sz w:val="26"/>
          <w:szCs w:val="26"/>
          <w:rtl/>
        </w:rPr>
        <w:t xml:space="preserve"> تحقيق حسن الأمين</w:t>
      </w:r>
      <w:r w:rsidR="00217AB4" w:rsidRPr="00C3556F">
        <w:rPr>
          <w:rFonts w:ascii="mylotus" w:hAnsi="mylotus" w:cs="mylotus"/>
          <w:sz w:val="26"/>
          <w:szCs w:val="26"/>
          <w:rtl/>
        </w:rPr>
        <w:t>،</w:t>
      </w:r>
      <w:r w:rsidRPr="00C3556F">
        <w:rPr>
          <w:rFonts w:ascii="mylotus" w:hAnsi="mylotus" w:cs="mylotus"/>
          <w:sz w:val="26"/>
          <w:szCs w:val="26"/>
          <w:rtl/>
        </w:rPr>
        <w:t xml:space="preserve"> دار المعارف</w:t>
      </w:r>
      <w:r w:rsidR="00217AB4" w:rsidRPr="00C3556F">
        <w:rPr>
          <w:rFonts w:ascii="mylotus" w:hAnsi="mylotus" w:cs="mylotus"/>
          <w:sz w:val="26"/>
          <w:szCs w:val="26"/>
          <w:rtl/>
        </w:rPr>
        <w:t>،</w:t>
      </w:r>
      <w:r w:rsidRPr="00C3556F">
        <w:rPr>
          <w:rFonts w:ascii="mylotus" w:hAnsi="mylotus" w:cs="mylotus"/>
          <w:sz w:val="26"/>
          <w:szCs w:val="26"/>
          <w:rtl/>
        </w:rPr>
        <w:t xml:space="preserve"> بيروت 1406هـ</w:t>
      </w:r>
      <w:r w:rsidR="00217AB4" w:rsidRPr="00C3556F">
        <w:rPr>
          <w:rFonts w:ascii="mylotus" w:hAnsi="mylotus" w:cs="mylotus"/>
          <w:sz w:val="26"/>
          <w:szCs w:val="26"/>
          <w:rtl/>
        </w:rPr>
        <w:t>.</w:t>
      </w:r>
      <w:r w:rsidRPr="00C3556F">
        <w:rPr>
          <w:rFonts w:ascii="mylotus" w:hAnsi="mylotus" w:cs="mylotus"/>
          <w:sz w:val="26"/>
          <w:szCs w:val="26"/>
          <w:rtl/>
        </w:rPr>
        <w:t xml:space="preserve"> [10 مجلدات من القطع الكبير]</w:t>
      </w:r>
      <w:r w:rsidR="00217AB4" w:rsidRPr="00C3556F">
        <w:rPr>
          <w:rFonts w:ascii="mylotus" w:hAnsi="mylotus" w:cs="mylotus"/>
          <w:sz w:val="26"/>
          <w:szCs w:val="26"/>
          <w:rtl/>
        </w:rPr>
        <w:t>.</w:t>
      </w:r>
    </w:p>
    <w:p w:rsidR="005C664D" w:rsidRPr="00C3556F" w:rsidRDefault="005C664D" w:rsidP="00C3556F">
      <w:pPr>
        <w:numPr>
          <w:ilvl w:val="0"/>
          <w:numId w:val="30"/>
        </w:numPr>
        <w:spacing w:line="228" w:lineRule="auto"/>
        <w:ind w:left="510" w:hanging="510"/>
        <w:jc w:val="both"/>
        <w:rPr>
          <w:rFonts w:ascii="mylotus" w:hAnsi="mylotus" w:cs="mylotus"/>
          <w:sz w:val="26"/>
          <w:szCs w:val="26"/>
          <w:rtl/>
        </w:rPr>
      </w:pPr>
      <w:r w:rsidRPr="00C3556F">
        <w:rPr>
          <w:rFonts w:ascii="mylotus" w:hAnsi="mylotus" w:cs="mylotus"/>
          <w:sz w:val="26"/>
          <w:szCs w:val="26"/>
          <w:rtl/>
        </w:rPr>
        <w:t>المسعودي</w:t>
      </w:r>
      <w:r w:rsidR="00217AB4" w:rsidRPr="00C3556F">
        <w:rPr>
          <w:rFonts w:ascii="mylotus" w:hAnsi="mylotus" w:cs="mylotus"/>
          <w:sz w:val="26"/>
          <w:szCs w:val="26"/>
          <w:rtl/>
        </w:rPr>
        <w:t>،</w:t>
      </w:r>
      <w:r w:rsidRPr="00C3556F">
        <w:rPr>
          <w:rFonts w:ascii="mylotus" w:hAnsi="mylotus" w:cs="mylotus"/>
          <w:sz w:val="26"/>
          <w:szCs w:val="26"/>
          <w:rtl/>
        </w:rPr>
        <w:t xml:space="preserve"> علي بن الحسين بن علي الهذلي </w:t>
      </w:r>
      <w:r w:rsidR="00217AB4" w:rsidRPr="00C3556F">
        <w:rPr>
          <w:rFonts w:ascii="mylotus" w:hAnsi="mylotus" w:cs="mylotus"/>
          <w:sz w:val="26"/>
          <w:szCs w:val="26"/>
          <w:rtl/>
        </w:rPr>
        <w:t>(</w:t>
      </w:r>
      <w:r w:rsidRPr="00C3556F">
        <w:rPr>
          <w:rFonts w:ascii="mylotus" w:hAnsi="mylotus" w:cs="mylotus"/>
          <w:sz w:val="26"/>
          <w:szCs w:val="26"/>
          <w:rtl/>
        </w:rPr>
        <w:t>346هـ</w:t>
      </w:r>
      <w:r w:rsidR="00217AB4" w:rsidRPr="00C3556F">
        <w:rPr>
          <w:rFonts w:ascii="mylotus" w:hAnsi="mylotus" w:cs="mylotus"/>
          <w:sz w:val="26"/>
          <w:szCs w:val="26"/>
          <w:rtl/>
        </w:rPr>
        <w:t>)،</w:t>
      </w:r>
      <w:r w:rsidRPr="00C3556F">
        <w:rPr>
          <w:rFonts w:ascii="mylotus" w:hAnsi="mylotus" w:cs="mylotus"/>
          <w:sz w:val="26"/>
          <w:szCs w:val="26"/>
          <w:rtl/>
        </w:rPr>
        <w:t xml:space="preserve"> «مروج الذهب ومعادن الجوهر»</w:t>
      </w:r>
      <w:r w:rsidR="00217AB4" w:rsidRPr="00C3556F">
        <w:rPr>
          <w:rFonts w:ascii="mylotus" w:hAnsi="mylotus" w:cs="mylotus"/>
          <w:sz w:val="26"/>
          <w:szCs w:val="26"/>
          <w:rtl/>
        </w:rPr>
        <w:t>،</w:t>
      </w:r>
      <w:r w:rsidRPr="00C3556F">
        <w:rPr>
          <w:rFonts w:ascii="mylotus" w:hAnsi="mylotus" w:cs="mylotus"/>
          <w:sz w:val="26"/>
          <w:szCs w:val="26"/>
          <w:rtl/>
        </w:rPr>
        <w:t xml:space="preserve"> القاهرة</w:t>
      </w:r>
      <w:r w:rsidR="00217AB4" w:rsidRPr="00C3556F">
        <w:rPr>
          <w:rFonts w:ascii="mylotus" w:hAnsi="mylotus" w:cs="mylotus"/>
          <w:sz w:val="26"/>
          <w:szCs w:val="26"/>
          <w:rtl/>
        </w:rPr>
        <w:t>،</w:t>
      </w:r>
      <w:r w:rsidRPr="00C3556F">
        <w:rPr>
          <w:rFonts w:ascii="mylotus" w:hAnsi="mylotus" w:cs="mylotus"/>
          <w:sz w:val="26"/>
          <w:szCs w:val="26"/>
          <w:rtl/>
        </w:rPr>
        <w:t xml:space="preserve"> 1316هـ</w:t>
      </w:r>
      <w:r w:rsidR="00217AB4" w:rsidRPr="00C3556F">
        <w:rPr>
          <w:rFonts w:ascii="mylotus" w:hAnsi="mylotus" w:cs="mylotus"/>
          <w:sz w:val="26"/>
          <w:szCs w:val="26"/>
          <w:rtl/>
        </w:rPr>
        <w:t>.</w:t>
      </w:r>
    </w:p>
    <w:p w:rsidR="005C664D" w:rsidRPr="00C3556F" w:rsidRDefault="005C664D" w:rsidP="00C3556F">
      <w:pPr>
        <w:numPr>
          <w:ilvl w:val="0"/>
          <w:numId w:val="30"/>
        </w:numPr>
        <w:spacing w:line="228" w:lineRule="auto"/>
        <w:ind w:left="510" w:hanging="510"/>
        <w:jc w:val="both"/>
        <w:rPr>
          <w:rFonts w:ascii="mylotus" w:hAnsi="mylotus" w:cs="mylotus"/>
          <w:sz w:val="26"/>
          <w:szCs w:val="26"/>
        </w:rPr>
      </w:pPr>
      <w:r w:rsidRPr="00C3556F">
        <w:rPr>
          <w:rFonts w:ascii="mylotus" w:hAnsi="mylotus" w:cs="mylotus"/>
          <w:sz w:val="26"/>
          <w:szCs w:val="26"/>
          <w:rtl/>
        </w:rPr>
        <w:t xml:space="preserve">محمد نقي خان ابن المستوفي الملقب بلسان الملك </w:t>
      </w:r>
      <w:r w:rsidR="00217AB4" w:rsidRPr="00C3556F">
        <w:rPr>
          <w:rFonts w:ascii="mylotus" w:hAnsi="mylotus" w:cs="mylotus"/>
          <w:sz w:val="26"/>
          <w:szCs w:val="26"/>
          <w:rtl/>
        </w:rPr>
        <w:t>(</w:t>
      </w:r>
      <w:r w:rsidRPr="00C3556F">
        <w:rPr>
          <w:rFonts w:ascii="mylotus" w:hAnsi="mylotus" w:cs="mylotus"/>
          <w:sz w:val="26"/>
          <w:szCs w:val="26"/>
          <w:rtl/>
        </w:rPr>
        <w:t>1297هـ</w:t>
      </w:r>
      <w:r w:rsidR="00217AB4" w:rsidRPr="00C3556F">
        <w:rPr>
          <w:rFonts w:ascii="mylotus" w:hAnsi="mylotus" w:cs="mylotus"/>
          <w:sz w:val="26"/>
          <w:szCs w:val="26"/>
          <w:rtl/>
        </w:rPr>
        <w:t>)،</w:t>
      </w:r>
      <w:r w:rsidRPr="00C3556F">
        <w:rPr>
          <w:rFonts w:ascii="mylotus" w:hAnsi="mylotus" w:cs="mylotus"/>
          <w:sz w:val="26"/>
          <w:szCs w:val="26"/>
          <w:rtl/>
        </w:rPr>
        <w:t xml:space="preserve"> «ناسخ التواريخ» [بالفارسية]</w:t>
      </w:r>
      <w:r w:rsidR="00217AB4" w:rsidRPr="00C3556F">
        <w:rPr>
          <w:rFonts w:ascii="mylotus" w:hAnsi="mylotus" w:cs="mylotus"/>
          <w:sz w:val="26"/>
          <w:szCs w:val="26"/>
          <w:rtl/>
        </w:rPr>
        <w:t>،</w:t>
      </w:r>
      <w:r w:rsidRPr="00C3556F">
        <w:rPr>
          <w:rFonts w:ascii="mylotus" w:hAnsi="mylotus" w:cs="mylotus"/>
          <w:sz w:val="26"/>
          <w:szCs w:val="26"/>
          <w:rtl/>
        </w:rPr>
        <w:t xml:space="preserve"> طبع 1336هجري شمسي</w:t>
      </w:r>
      <w:r w:rsidR="00217AB4" w:rsidRPr="00C3556F">
        <w:rPr>
          <w:rFonts w:ascii="mylotus" w:hAnsi="mylotus" w:cs="mylotus"/>
          <w:sz w:val="26"/>
          <w:szCs w:val="26"/>
          <w:rtl/>
        </w:rPr>
        <w:t>.</w:t>
      </w:r>
      <w:r w:rsidRPr="00C3556F">
        <w:rPr>
          <w:rFonts w:ascii="mylotus" w:hAnsi="mylotus" w:cs="mylotus"/>
          <w:sz w:val="26"/>
          <w:szCs w:val="26"/>
          <w:rtl/>
        </w:rPr>
        <w:t xml:space="preserve"> </w:t>
      </w:r>
      <w:r w:rsidR="00217AB4" w:rsidRPr="00C3556F">
        <w:rPr>
          <w:rFonts w:ascii="mylotus" w:hAnsi="mylotus" w:cs="mylotus"/>
          <w:sz w:val="26"/>
          <w:szCs w:val="26"/>
          <w:rtl/>
        </w:rPr>
        <w:t>(</w:t>
      </w:r>
      <w:r w:rsidRPr="00C3556F">
        <w:rPr>
          <w:rFonts w:ascii="mylotus" w:hAnsi="mylotus" w:cs="mylotus"/>
          <w:sz w:val="26"/>
          <w:szCs w:val="26"/>
          <w:rtl/>
        </w:rPr>
        <w:t>الموافق 1966م</w:t>
      </w:r>
      <w:r w:rsidR="00217AB4" w:rsidRPr="00C3556F">
        <w:rPr>
          <w:rFonts w:ascii="mylotus" w:hAnsi="mylotus" w:cs="mylotus"/>
          <w:sz w:val="26"/>
          <w:szCs w:val="26"/>
          <w:rtl/>
        </w:rPr>
        <w:t>).</w:t>
      </w:r>
    </w:p>
    <w:p w:rsidR="005C664D" w:rsidRPr="00C3556F" w:rsidRDefault="005C664D" w:rsidP="00C3556F">
      <w:pPr>
        <w:numPr>
          <w:ilvl w:val="0"/>
          <w:numId w:val="30"/>
        </w:numPr>
        <w:spacing w:line="228" w:lineRule="auto"/>
        <w:ind w:left="510" w:hanging="510"/>
        <w:jc w:val="both"/>
        <w:rPr>
          <w:rFonts w:ascii="mylotus" w:hAnsi="mylotus" w:cs="mylotus"/>
          <w:sz w:val="26"/>
          <w:szCs w:val="26"/>
          <w:rtl/>
        </w:rPr>
      </w:pPr>
      <w:r w:rsidRPr="00C3556F">
        <w:rPr>
          <w:rFonts w:ascii="mylotus" w:hAnsi="mylotus" w:cs="mylotus"/>
          <w:sz w:val="26"/>
          <w:szCs w:val="26"/>
          <w:rtl/>
        </w:rPr>
        <w:t>النوبختي</w:t>
      </w:r>
      <w:r w:rsidR="00217AB4" w:rsidRPr="00C3556F">
        <w:rPr>
          <w:rFonts w:ascii="mylotus" w:hAnsi="mylotus" w:cs="mylotus"/>
          <w:sz w:val="26"/>
          <w:szCs w:val="26"/>
          <w:rtl/>
        </w:rPr>
        <w:t>،</w:t>
      </w:r>
      <w:r w:rsidRPr="00C3556F">
        <w:rPr>
          <w:rFonts w:ascii="mylotus" w:hAnsi="mylotus" w:cs="mylotus"/>
          <w:sz w:val="26"/>
          <w:szCs w:val="26"/>
          <w:rtl/>
        </w:rPr>
        <w:t xml:space="preserve"> أبو محمد الحسن بن موسى </w:t>
      </w:r>
      <w:r w:rsidR="00217AB4" w:rsidRPr="00C3556F">
        <w:rPr>
          <w:rFonts w:ascii="mylotus" w:hAnsi="mylotus" w:cs="mylotus"/>
          <w:sz w:val="26"/>
          <w:szCs w:val="26"/>
          <w:rtl/>
        </w:rPr>
        <w:t>(</w:t>
      </w:r>
      <w:r w:rsidRPr="00C3556F">
        <w:rPr>
          <w:rFonts w:ascii="mylotus" w:hAnsi="mylotus" w:cs="mylotus"/>
          <w:sz w:val="26"/>
          <w:szCs w:val="26"/>
          <w:rtl/>
        </w:rPr>
        <w:t>توفي بين300</w:t>
      </w:r>
      <w:r w:rsidR="00147857" w:rsidRPr="00C3556F">
        <w:rPr>
          <w:rFonts w:ascii="mylotus" w:hAnsi="mylotus" w:cs="mylotus"/>
          <w:sz w:val="26"/>
          <w:szCs w:val="26"/>
          <w:rtl/>
        </w:rPr>
        <w:t xml:space="preserve"> </w:t>
      </w:r>
      <w:r w:rsidRPr="00C3556F">
        <w:rPr>
          <w:rFonts w:ascii="mylotus" w:hAnsi="mylotus" w:cs="mylotus"/>
          <w:sz w:val="26"/>
          <w:szCs w:val="26"/>
          <w:rtl/>
        </w:rPr>
        <w:t>و310هـ</w:t>
      </w:r>
      <w:r w:rsidR="00217AB4" w:rsidRPr="00C3556F">
        <w:rPr>
          <w:rFonts w:ascii="mylotus" w:hAnsi="mylotus" w:cs="mylotus"/>
          <w:sz w:val="26"/>
          <w:szCs w:val="26"/>
          <w:rtl/>
        </w:rPr>
        <w:t>؟)،،</w:t>
      </w:r>
      <w:r w:rsidRPr="00C3556F">
        <w:rPr>
          <w:rFonts w:ascii="mylotus" w:hAnsi="mylotus" w:cs="mylotus"/>
          <w:sz w:val="26"/>
          <w:szCs w:val="26"/>
          <w:rtl/>
        </w:rPr>
        <w:t>«فرق الشيعة»</w:t>
      </w:r>
      <w:r w:rsidR="00217AB4" w:rsidRPr="00C3556F">
        <w:rPr>
          <w:rFonts w:ascii="mylotus" w:hAnsi="mylotus" w:cs="mylotus"/>
          <w:sz w:val="26"/>
          <w:szCs w:val="26"/>
          <w:rtl/>
        </w:rPr>
        <w:t>،</w:t>
      </w:r>
      <w:r w:rsidRPr="00C3556F">
        <w:rPr>
          <w:rFonts w:ascii="mylotus" w:hAnsi="mylotus" w:cs="mylotus"/>
          <w:sz w:val="26"/>
          <w:szCs w:val="26"/>
          <w:rtl/>
        </w:rPr>
        <w:t xml:space="preserve"> صححه وعلق عليه</w:t>
      </w:r>
      <w:r w:rsidR="00217AB4" w:rsidRPr="00C3556F">
        <w:rPr>
          <w:rFonts w:ascii="mylotus" w:hAnsi="mylotus" w:cs="mylotus"/>
          <w:sz w:val="26"/>
          <w:szCs w:val="26"/>
          <w:rtl/>
        </w:rPr>
        <w:t>:</w:t>
      </w:r>
      <w:r w:rsidRPr="00C3556F">
        <w:rPr>
          <w:rFonts w:ascii="mylotus" w:hAnsi="mylotus" w:cs="mylotus"/>
          <w:sz w:val="26"/>
          <w:szCs w:val="26"/>
          <w:rtl/>
        </w:rPr>
        <w:t xml:space="preserve"> السيد محمد صادق آل بحر العلوم</w:t>
      </w:r>
      <w:r w:rsidR="00217AB4" w:rsidRPr="00C3556F">
        <w:rPr>
          <w:rFonts w:ascii="mylotus" w:hAnsi="mylotus" w:cs="mylotus"/>
          <w:sz w:val="26"/>
          <w:szCs w:val="26"/>
          <w:rtl/>
        </w:rPr>
        <w:t>:</w:t>
      </w:r>
      <w:r w:rsidRPr="00C3556F">
        <w:rPr>
          <w:rFonts w:ascii="mylotus" w:hAnsi="mylotus" w:cs="mylotus"/>
          <w:sz w:val="26"/>
          <w:szCs w:val="26"/>
          <w:rtl/>
        </w:rPr>
        <w:t xml:space="preserve"> النجف 1355هـ</w:t>
      </w:r>
      <w:r w:rsidR="00217AB4" w:rsidRPr="00C3556F">
        <w:rPr>
          <w:rFonts w:ascii="mylotus" w:hAnsi="mylotus" w:cs="mylotus"/>
          <w:sz w:val="26"/>
          <w:szCs w:val="26"/>
          <w:rtl/>
        </w:rPr>
        <w:t>.</w:t>
      </w:r>
    </w:p>
    <w:p w:rsidR="005C664D" w:rsidRPr="00C3556F" w:rsidRDefault="005C664D" w:rsidP="00C3556F">
      <w:pPr>
        <w:numPr>
          <w:ilvl w:val="0"/>
          <w:numId w:val="30"/>
        </w:numPr>
        <w:spacing w:line="228" w:lineRule="auto"/>
        <w:ind w:left="510" w:hanging="510"/>
        <w:jc w:val="both"/>
        <w:rPr>
          <w:rFonts w:ascii="mylotus" w:hAnsi="mylotus" w:cs="mylotus"/>
          <w:sz w:val="26"/>
          <w:szCs w:val="26"/>
          <w:rtl/>
        </w:rPr>
      </w:pPr>
      <w:r w:rsidRPr="00C3556F">
        <w:rPr>
          <w:rFonts w:ascii="mylotus" w:hAnsi="mylotus" w:cs="mylotus"/>
          <w:sz w:val="26"/>
          <w:szCs w:val="26"/>
          <w:rtl/>
        </w:rPr>
        <w:t>الواقدي</w:t>
      </w:r>
      <w:r w:rsidR="00217AB4" w:rsidRPr="00C3556F">
        <w:rPr>
          <w:rFonts w:ascii="mylotus" w:hAnsi="mylotus" w:cs="mylotus"/>
          <w:sz w:val="26"/>
          <w:szCs w:val="26"/>
          <w:rtl/>
        </w:rPr>
        <w:t>،</w:t>
      </w:r>
      <w:r w:rsidRPr="00C3556F">
        <w:rPr>
          <w:rFonts w:ascii="mylotus" w:hAnsi="mylotus" w:cs="mylotus"/>
          <w:sz w:val="26"/>
          <w:szCs w:val="26"/>
          <w:rtl/>
        </w:rPr>
        <w:t xml:space="preserve"> محمد بن عمر بن واقد الواقدي </w:t>
      </w:r>
      <w:r w:rsidR="00217AB4" w:rsidRPr="00C3556F">
        <w:rPr>
          <w:rFonts w:ascii="mylotus" w:hAnsi="mylotus" w:cs="mylotus"/>
          <w:sz w:val="26"/>
          <w:szCs w:val="26"/>
          <w:rtl/>
        </w:rPr>
        <w:t>(</w:t>
      </w:r>
      <w:r w:rsidRPr="00C3556F">
        <w:rPr>
          <w:rFonts w:ascii="mylotus" w:hAnsi="mylotus" w:cs="mylotus"/>
          <w:sz w:val="26"/>
          <w:szCs w:val="26"/>
          <w:rtl/>
        </w:rPr>
        <w:t>207هـ</w:t>
      </w:r>
      <w:r w:rsidR="00217AB4" w:rsidRPr="00C3556F">
        <w:rPr>
          <w:rFonts w:ascii="mylotus" w:hAnsi="mylotus" w:cs="mylotus"/>
          <w:sz w:val="26"/>
          <w:szCs w:val="26"/>
          <w:rtl/>
        </w:rPr>
        <w:t>)،</w:t>
      </w:r>
      <w:r w:rsidRPr="00C3556F">
        <w:rPr>
          <w:rFonts w:ascii="mylotus" w:hAnsi="mylotus" w:cs="mylotus"/>
          <w:sz w:val="26"/>
          <w:szCs w:val="26"/>
          <w:rtl/>
        </w:rPr>
        <w:t xml:space="preserve"> «مغازي الواقدي»</w:t>
      </w:r>
      <w:r w:rsidR="00217AB4" w:rsidRPr="00C3556F">
        <w:rPr>
          <w:rFonts w:ascii="mylotus" w:hAnsi="mylotus" w:cs="mylotus"/>
          <w:sz w:val="26"/>
          <w:szCs w:val="26"/>
          <w:rtl/>
        </w:rPr>
        <w:t>.</w:t>
      </w:r>
      <w:r w:rsidRPr="00C3556F">
        <w:rPr>
          <w:rFonts w:ascii="mylotus" w:hAnsi="mylotus" w:cs="mylotus"/>
          <w:sz w:val="26"/>
          <w:szCs w:val="26"/>
          <w:rtl/>
        </w:rPr>
        <w:t xml:space="preserve"> </w:t>
      </w:r>
    </w:p>
    <w:p w:rsidR="005C664D" w:rsidRPr="00C3556F" w:rsidRDefault="005C664D" w:rsidP="00C3556F">
      <w:pPr>
        <w:numPr>
          <w:ilvl w:val="0"/>
          <w:numId w:val="30"/>
        </w:numPr>
        <w:spacing w:line="228" w:lineRule="auto"/>
        <w:ind w:left="510" w:hanging="510"/>
        <w:jc w:val="both"/>
        <w:rPr>
          <w:rFonts w:ascii="mylotus" w:hAnsi="mylotus" w:cs="mylotus"/>
          <w:sz w:val="26"/>
          <w:szCs w:val="26"/>
          <w:rtl/>
        </w:rPr>
      </w:pPr>
      <w:r w:rsidRPr="00C3556F">
        <w:rPr>
          <w:rFonts w:ascii="mylotus" w:hAnsi="mylotus" w:cs="mylotus"/>
          <w:sz w:val="26"/>
          <w:szCs w:val="26"/>
          <w:rtl/>
        </w:rPr>
        <w:t>اليافعي</w:t>
      </w:r>
      <w:r w:rsidR="00217AB4" w:rsidRPr="00C3556F">
        <w:rPr>
          <w:rFonts w:ascii="mylotus" w:hAnsi="mylotus" w:cs="mylotus"/>
          <w:sz w:val="26"/>
          <w:szCs w:val="26"/>
          <w:rtl/>
        </w:rPr>
        <w:t>،</w:t>
      </w:r>
      <w:r w:rsidRPr="00C3556F">
        <w:rPr>
          <w:rFonts w:ascii="mylotus" w:hAnsi="mylotus" w:cs="mylotus"/>
          <w:sz w:val="26"/>
          <w:szCs w:val="26"/>
          <w:rtl/>
        </w:rPr>
        <w:t xml:space="preserve"> الشيخ العلامة أبو محمد عبد الله بن أسعد بن علي اليمني المعروف باليافعي </w:t>
      </w:r>
      <w:r w:rsidR="00217AB4" w:rsidRPr="00C3556F">
        <w:rPr>
          <w:rFonts w:ascii="mylotus" w:hAnsi="mylotus" w:cs="mylotus"/>
          <w:sz w:val="26"/>
          <w:szCs w:val="26"/>
          <w:rtl/>
        </w:rPr>
        <w:t>(</w:t>
      </w:r>
      <w:r w:rsidRPr="00C3556F">
        <w:rPr>
          <w:rFonts w:ascii="mylotus" w:hAnsi="mylotus" w:cs="mylotus"/>
          <w:sz w:val="26"/>
          <w:szCs w:val="26"/>
          <w:rtl/>
        </w:rPr>
        <w:t>768 هـ</w:t>
      </w:r>
      <w:r w:rsidR="00217AB4" w:rsidRPr="00C3556F">
        <w:rPr>
          <w:rFonts w:ascii="mylotus" w:hAnsi="mylotus" w:cs="mylotus"/>
          <w:sz w:val="26"/>
          <w:szCs w:val="26"/>
          <w:rtl/>
        </w:rPr>
        <w:t>)،</w:t>
      </w:r>
      <w:r w:rsidRPr="00C3556F">
        <w:rPr>
          <w:rFonts w:ascii="mylotus" w:hAnsi="mylotus" w:cs="mylotus"/>
          <w:sz w:val="26"/>
          <w:szCs w:val="26"/>
          <w:rtl/>
        </w:rPr>
        <w:t xml:space="preserve"> «مرآة الجنان وعبرة اليقظان في معرفة حوادث الزمان»</w:t>
      </w:r>
      <w:r w:rsidR="00217AB4" w:rsidRPr="00C3556F">
        <w:rPr>
          <w:rFonts w:ascii="mylotus" w:hAnsi="mylotus" w:cs="mylotus"/>
          <w:sz w:val="26"/>
          <w:szCs w:val="26"/>
          <w:rtl/>
        </w:rPr>
        <w:t>.</w:t>
      </w:r>
      <w:r w:rsidRPr="00C3556F">
        <w:rPr>
          <w:rFonts w:ascii="mylotus" w:hAnsi="mylotus" w:cs="mylotus"/>
          <w:sz w:val="26"/>
          <w:szCs w:val="26"/>
          <w:rtl/>
        </w:rPr>
        <w:t xml:space="preserve"> </w:t>
      </w:r>
    </w:p>
    <w:p w:rsidR="005C664D" w:rsidRDefault="005C664D" w:rsidP="00C3556F">
      <w:pPr>
        <w:numPr>
          <w:ilvl w:val="0"/>
          <w:numId w:val="30"/>
        </w:numPr>
        <w:spacing w:line="228" w:lineRule="auto"/>
        <w:ind w:left="510" w:hanging="510"/>
        <w:jc w:val="both"/>
        <w:rPr>
          <w:rFonts w:ascii="mylotus" w:hAnsi="mylotus" w:cs="mylotus" w:hint="cs"/>
          <w:sz w:val="26"/>
          <w:szCs w:val="26"/>
        </w:rPr>
      </w:pPr>
      <w:r w:rsidRPr="00C3556F">
        <w:rPr>
          <w:rFonts w:ascii="mylotus" w:hAnsi="mylotus" w:cs="mylotus"/>
          <w:sz w:val="26"/>
          <w:szCs w:val="26"/>
          <w:rtl/>
        </w:rPr>
        <w:t>اليعقوبي</w:t>
      </w:r>
      <w:r w:rsidR="00217AB4" w:rsidRPr="00C3556F">
        <w:rPr>
          <w:rFonts w:ascii="mylotus" w:hAnsi="mylotus" w:cs="mylotus"/>
          <w:sz w:val="26"/>
          <w:szCs w:val="26"/>
          <w:rtl/>
        </w:rPr>
        <w:t>،</w:t>
      </w:r>
      <w:r w:rsidRPr="00C3556F">
        <w:rPr>
          <w:rFonts w:ascii="mylotus" w:hAnsi="mylotus" w:cs="mylotus"/>
          <w:sz w:val="26"/>
          <w:szCs w:val="26"/>
          <w:rtl/>
        </w:rPr>
        <w:t xml:space="preserve"> أحمد بن أبي يعقوب بن جعفر</w:t>
      </w:r>
      <w:r w:rsidR="00217AB4" w:rsidRPr="00C3556F">
        <w:rPr>
          <w:rFonts w:ascii="mylotus" w:hAnsi="mylotus" w:cs="mylotus"/>
          <w:sz w:val="26"/>
          <w:szCs w:val="26"/>
          <w:rtl/>
        </w:rPr>
        <w:t>،</w:t>
      </w:r>
      <w:r w:rsidRPr="00C3556F">
        <w:rPr>
          <w:rFonts w:ascii="mylotus" w:hAnsi="mylotus" w:cs="mylotus"/>
          <w:sz w:val="26"/>
          <w:szCs w:val="26"/>
          <w:rtl/>
        </w:rPr>
        <w:t xml:space="preserve"> </w:t>
      </w:r>
      <w:r w:rsidR="00217AB4" w:rsidRPr="00C3556F">
        <w:rPr>
          <w:rFonts w:ascii="mylotus" w:hAnsi="mylotus" w:cs="mylotus"/>
          <w:sz w:val="26"/>
          <w:szCs w:val="26"/>
          <w:rtl/>
        </w:rPr>
        <w:t>(</w:t>
      </w:r>
      <w:r w:rsidRPr="00C3556F">
        <w:rPr>
          <w:rFonts w:ascii="mylotus" w:hAnsi="mylotus" w:cs="mylotus"/>
          <w:sz w:val="26"/>
          <w:szCs w:val="26"/>
          <w:rtl/>
        </w:rPr>
        <w:t>292هـ</w:t>
      </w:r>
      <w:r w:rsidR="00217AB4" w:rsidRPr="00C3556F">
        <w:rPr>
          <w:rFonts w:ascii="mylotus" w:hAnsi="mylotus" w:cs="mylotus"/>
          <w:sz w:val="26"/>
          <w:szCs w:val="26"/>
          <w:rtl/>
        </w:rPr>
        <w:t>)،</w:t>
      </w:r>
      <w:r w:rsidRPr="00C3556F">
        <w:rPr>
          <w:rFonts w:ascii="mylotus" w:hAnsi="mylotus" w:cs="mylotus"/>
          <w:sz w:val="26"/>
          <w:szCs w:val="26"/>
          <w:rtl/>
        </w:rPr>
        <w:t xml:space="preserve"> «تاريخ اليعقوبي»</w:t>
      </w:r>
      <w:r w:rsidR="00217AB4" w:rsidRPr="00C3556F">
        <w:rPr>
          <w:rFonts w:ascii="mylotus" w:hAnsi="mylotus" w:cs="mylotus"/>
          <w:sz w:val="26"/>
          <w:szCs w:val="26"/>
          <w:rtl/>
        </w:rPr>
        <w:t>،</w:t>
      </w:r>
      <w:r w:rsidRPr="00C3556F">
        <w:rPr>
          <w:rFonts w:ascii="mylotus" w:hAnsi="mylotus" w:cs="mylotus"/>
          <w:sz w:val="26"/>
          <w:szCs w:val="26"/>
          <w:rtl/>
        </w:rPr>
        <w:t xml:space="preserve"> تحقيق عبد الأمير مهنّا</w:t>
      </w:r>
      <w:r w:rsidR="00217AB4" w:rsidRPr="00C3556F">
        <w:rPr>
          <w:rFonts w:ascii="mylotus" w:hAnsi="mylotus" w:cs="mylotus"/>
          <w:sz w:val="26"/>
          <w:szCs w:val="26"/>
          <w:rtl/>
        </w:rPr>
        <w:t>،</w:t>
      </w:r>
      <w:r w:rsidRPr="00C3556F">
        <w:rPr>
          <w:rFonts w:ascii="mylotus" w:hAnsi="mylotus" w:cs="mylotus"/>
          <w:sz w:val="26"/>
          <w:szCs w:val="26"/>
          <w:rtl/>
        </w:rPr>
        <w:t xml:space="preserve"> مؤسّسة الأعلمي</w:t>
      </w:r>
      <w:r w:rsidR="00217AB4" w:rsidRPr="00C3556F">
        <w:rPr>
          <w:rFonts w:ascii="mylotus" w:hAnsi="mylotus" w:cs="mylotus"/>
          <w:sz w:val="26"/>
          <w:szCs w:val="26"/>
          <w:rtl/>
        </w:rPr>
        <w:t>،</w:t>
      </w:r>
      <w:r w:rsidRPr="00C3556F">
        <w:rPr>
          <w:rFonts w:ascii="mylotus" w:hAnsi="mylotus" w:cs="mylotus"/>
          <w:sz w:val="26"/>
          <w:szCs w:val="26"/>
          <w:rtl/>
        </w:rPr>
        <w:t xml:space="preserve"> بيروت 1993م</w:t>
      </w:r>
      <w:r w:rsidR="00217AB4" w:rsidRPr="00C3556F">
        <w:rPr>
          <w:rFonts w:ascii="mylotus" w:hAnsi="mylotus" w:cs="mylotus"/>
          <w:sz w:val="26"/>
          <w:szCs w:val="26"/>
          <w:rtl/>
        </w:rPr>
        <w:t>.</w:t>
      </w:r>
    </w:p>
    <w:p w:rsidR="00F90700" w:rsidRDefault="00F90700" w:rsidP="00F90700">
      <w:pPr>
        <w:spacing w:line="228" w:lineRule="auto"/>
        <w:jc w:val="both"/>
        <w:rPr>
          <w:rFonts w:ascii="mylotus" w:hAnsi="mylotus" w:cs="mylotus" w:hint="cs"/>
          <w:sz w:val="26"/>
          <w:szCs w:val="26"/>
          <w:rtl/>
        </w:rPr>
      </w:pPr>
    </w:p>
    <w:p w:rsidR="00F90700" w:rsidRPr="00C3556F" w:rsidRDefault="00F90700" w:rsidP="00F90700">
      <w:pPr>
        <w:spacing w:line="228" w:lineRule="auto"/>
        <w:jc w:val="both"/>
        <w:rPr>
          <w:rFonts w:ascii="mylotus" w:hAnsi="mylotus" w:cs="mylotus"/>
          <w:sz w:val="26"/>
          <w:szCs w:val="26"/>
          <w:rtl/>
        </w:rPr>
      </w:pPr>
    </w:p>
    <w:p w:rsidR="005C664D" w:rsidRPr="00C3556F" w:rsidRDefault="005C664D" w:rsidP="00C3556F">
      <w:pPr>
        <w:spacing w:line="228" w:lineRule="auto"/>
        <w:ind w:left="510" w:hanging="510"/>
        <w:jc w:val="both"/>
        <w:rPr>
          <w:rFonts w:ascii="mylotus" w:hAnsi="mylotus" w:cs="mylotus"/>
          <w:b/>
          <w:bCs/>
          <w:sz w:val="26"/>
          <w:szCs w:val="26"/>
          <w:rtl/>
        </w:rPr>
      </w:pPr>
      <w:bookmarkStart w:id="218" w:name="_Toc215491174"/>
      <w:bookmarkStart w:id="219" w:name="_Toc215498093"/>
      <w:r w:rsidRPr="00C3556F">
        <w:rPr>
          <w:rFonts w:ascii="mylotus" w:hAnsi="mylotus" w:cs="mylotus"/>
          <w:b/>
          <w:bCs/>
          <w:sz w:val="26"/>
          <w:szCs w:val="26"/>
          <w:rtl/>
        </w:rPr>
        <w:t>كتب اللغة</w:t>
      </w:r>
      <w:bookmarkEnd w:id="218"/>
      <w:bookmarkEnd w:id="219"/>
      <w:r w:rsidRPr="00C3556F">
        <w:rPr>
          <w:rFonts w:ascii="mylotus" w:hAnsi="mylotus" w:cs="mylotus"/>
          <w:b/>
          <w:bCs/>
          <w:sz w:val="26"/>
          <w:szCs w:val="26"/>
          <w:rtl/>
        </w:rPr>
        <w:t xml:space="preserve"> </w:t>
      </w:r>
    </w:p>
    <w:p w:rsidR="005C664D" w:rsidRPr="00C3556F" w:rsidRDefault="005C664D" w:rsidP="00C3556F">
      <w:pPr>
        <w:numPr>
          <w:ilvl w:val="0"/>
          <w:numId w:val="30"/>
        </w:numPr>
        <w:spacing w:line="228" w:lineRule="auto"/>
        <w:ind w:left="510" w:hanging="510"/>
        <w:jc w:val="both"/>
        <w:rPr>
          <w:rFonts w:ascii="mylotus" w:hAnsi="mylotus" w:cs="mylotus"/>
          <w:sz w:val="26"/>
          <w:szCs w:val="26"/>
          <w:rtl/>
        </w:rPr>
      </w:pPr>
      <w:r w:rsidRPr="00C3556F">
        <w:rPr>
          <w:rFonts w:ascii="mylotus" w:hAnsi="mylotus" w:cs="mylotus"/>
          <w:sz w:val="26"/>
          <w:szCs w:val="26"/>
          <w:rtl/>
        </w:rPr>
        <w:t>ابن الأثير</w:t>
      </w:r>
      <w:r w:rsidR="00217AB4" w:rsidRPr="00C3556F">
        <w:rPr>
          <w:rFonts w:ascii="mylotus" w:hAnsi="mylotus" w:cs="mylotus"/>
          <w:sz w:val="26"/>
          <w:szCs w:val="26"/>
          <w:rtl/>
        </w:rPr>
        <w:t>،</w:t>
      </w:r>
      <w:r w:rsidRPr="00C3556F">
        <w:rPr>
          <w:rFonts w:ascii="mylotus" w:hAnsi="mylotus" w:cs="mylotus"/>
          <w:sz w:val="26"/>
          <w:szCs w:val="26"/>
          <w:rtl/>
        </w:rPr>
        <w:t xml:space="preserve"> أبو السعادات المبارك بن محمّد الجزري </w:t>
      </w:r>
      <w:r w:rsidR="00217AB4" w:rsidRPr="00C3556F">
        <w:rPr>
          <w:rFonts w:ascii="mylotus" w:hAnsi="mylotus" w:cs="mylotus"/>
          <w:sz w:val="26"/>
          <w:szCs w:val="26"/>
          <w:rtl/>
        </w:rPr>
        <w:t>(</w:t>
      </w:r>
      <w:r w:rsidRPr="00C3556F">
        <w:rPr>
          <w:rFonts w:ascii="mylotus" w:hAnsi="mylotus" w:cs="mylotus"/>
          <w:sz w:val="26"/>
          <w:szCs w:val="26"/>
          <w:rtl/>
        </w:rPr>
        <w:t>606هـ</w:t>
      </w:r>
      <w:r w:rsidR="00217AB4" w:rsidRPr="00C3556F">
        <w:rPr>
          <w:rFonts w:ascii="mylotus" w:hAnsi="mylotus" w:cs="mylotus"/>
          <w:sz w:val="26"/>
          <w:szCs w:val="26"/>
          <w:rtl/>
        </w:rPr>
        <w:t>)،</w:t>
      </w:r>
      <w:r w:rsidRPr="00C3556F">
        <w:rPr>
          <w:rFonts w:ascii="mylotus" w:hAnsi="mylotus" w:cs="mylotus"/>
          <w:sz w:val="26"/>
          <w:szCs w:val="26"/>
          <w:rtl/>
        </w:rPr>
        <w:t xml:space="preserve"> «النهاية في غريب الحديث والأثر»</w:t>
      </w:r>
      <w:r w:rsidR="00217AB4" w:rsidRPr="00C3556F">
        <w:rPr>
          <w:rFonts w:ascii="mylotus" w:hAnsi="mylotus" w:cs="mylotus"/>
          <w:sz w:val="26"/>
          <w:szCs w:val="26"/>
          <w:rtl/>
        </w:rPr>
        <w:t>.</w:t>
      </w:r>
    </w:p>
    <w:p w:rsidR="005C664D" w:rsidRPr="00C3556F" w:rsidRDefault="005C664D" w:rsidP="00C3556F">
      <w:pPr>
        <w:numPr>
          <w:ilvl w:val="0"/>
          <w:numId w:val="30"/>
        </w:numPr>
        <w:spacing w:line="228" w:lineRule="auto"/>
        <w:ind w:left="510" w:hanging="510"/>
        <w:jc w:val="both"/>
        <w:rPr>
          <w:rFonts w:ascii="mylotus" w:hAnsi="mylotus" w:cs="mylotus"/>
          <w:sz w:val="26"/>
          <w:szCs w:val="26"/>
        </w:rPr>
      </w:pPr>
      <w:r w:rsidRPr="00C3556F">
        <w:rPr>
          <w:rFonts w:ascii="mylotus" w:hAnsi="mylotus" w:cs="mylotus"/>
          <w:sz w:val="26"/>
          <w:szCs w:val="26"/>
          <w:rtl/>
        </w:rPr>
        <w:t>ابن منظور</w:t>
      </w:r>
      <w:r w:rsidR="00217AB4" w:rsidRPr="00C3556F">
        <w:rPr>
          <w:rFonts w:ascii="mylotus" w:hAnsi="mylotus" w:cs="mylotus"/>
          <w:sz w:val="26"/>
          <w:szCs w:val="26"/>
          <w:rtl/>
        </w:rPr>
        <w:t>،</w:t>
      </w:r>
      <w:r w:rsidRPr="00C3556F">
        <w:rPr>
          <w:rFonts w:ascii="mylotus" w:hAnsi="mylotus" w:cs="mylotus"/>
          <w:sz w:val="26"/>
          <w:szCs w:val="26"/>
          <w:rtl/>
        </w:rPr>
        <w:t xml:space="preserve"> محمد بن مكرم بن على</w:t>
      </w:r>
      <w:r w:rsidR="00217AB4" w:rsidRPr="00C3556F">
        <w:rPr>
          <w:rFonts w:ascii="mylotus" w:hAnsi="mylotus" w:cs="mylotus"/>
          <w:sz w:val="26"/>
          <w:szCs w:val="26"/>
          <w:rtl/>
        </w:rPr>
        <w:t>،</w:t>
      </w:r>
      <w:r w:rsidRPr="00C3556F">
        <w:rPr>
          <w:rFonts w:ascii="mylotus" w:hAnsi="mylotus" w:cs="mylotus"/>
          <w:sz w:val="26"/>
          <w:szCs w:val="26"/>
          <w:rtl/>
        </w:rPr>
        <w:t xml:space="preserve"> أبو الفضل</w:t>
      </w:r>
      <w:r w:rsidR="00217AB4" w:rsidRPr="00C3556F">
        <w:rPr>
          <w:rFonts w:ascii="mylotus" w:hAnsi="mylotus" w:cs="mylotus"/>
          <w:sz w:val="26"/>
          <w:szCs w:val="26"/>
          <w:rtl/>
        </w:rPr>
        <w:t>،</w:t>
      </w:r>
      <w:r w:rsidRPr="00C3556F">
        <w:rPr>
          <w:rFonts w:ascii="mylotus" w:hAnsi="mylotus" w:cs="mylotus"/>
          <w:sz w:val="26"/>
          <w:szCs w:val="26"/>
          <w:rtl/>
        </w:rPr>
        <w:t xml:space="preserve"> جمال الدين ابن منظور الأنصاري الرويفعي الأفريقي </w:t>
      </w:r>
      <w:r w:rsidR="00217AB4" w:rsidRPr="00C3556F">
        <w:rPr>
          <w:rFonts w:ascii="mylotus" w:hAnsi="mylotus" w:cs="mylotus"/>
          <w:sz w:val="26"/>
          <w:szCs w:val="26"/>
          <w:rtl/>
        </w:rPr>
        <w:t>(</w:t>
      </w:r>
      <w:r w:rsidRPr="00C3556F">
        <w:rPr>
          <w:rFonts w:ascii="mylotus" w:hAnsi="mylotus" w:cs="mylotus"/>
          <w:sz w:val="26"/>
          <w:szCs w:val="26"/>
          <w:rtl/>
        </w:rPr>
        <w:t xml:space="preserve">630 </w:t>
      </w:r>
      <w:r w:rsidRPr="00C3556F">
        <w:rPr>
          <w:rFonts w:cs="Times New Roman" w:hint="cs"/>
          <w:sz w:val="26"/>
          <w:szCs w:val="26"/>
          <w:rtl/>
        </w:rPr>
        <w:t>–</w:t>
      </w:r>
      <w:r w:rsidRPr="00C3556F">
        <w:rPr>
          <w:rFonts w:ascii="mylotus" w:hAnsi="mylotus" w:cs="mylotus"/>
          <w:sz w:val="26"/>
          <w:szCs w:val="26"/>
          <w:rtl/>
        </w:rPr>
        <w:t xml:space="preserve"> 711هـ</w:t>
      </w:r>
      <w:r w:rsidR="00217AB4" w:rsidRPr="00C3556F">
        <w:rPr>
          <w:rFonts w:ascii="mylotus" w:hAnsi="mylotus" w:cs="mylotus"/>
          <w:sz w:val="26"/>
          <w:szCs w:val="26"/>
          <w:rtl/>
        </w:rPr>
        <w:t>)،</w:t>
      </w:r>
      <w:r w:rsidRPr="00C3556F">
        <w:rPr>
          <w:rFonts w:ascii="mylotus" w:hAnsi="mylotus" w:cs="mylotus"/>
          <w:sz w:val="26"/>
          <w:szCs w:val="26"/>
          <w:rtl/>
        </w:rPr>
        <w:t xml:space="preserve"> «لسان العرب»</w:t>
      </w:r>
      <w:r w:rsidR="00217AB4" w:rsidRPr="00C3556F">
        <w:rPr>
          <w:rFonts w:ascii="mylotus" w:hAnsi="mylotus" w:cs="mylotus"/>
          <w:sz w:val="26"/>
          <w:szCs w:val="26"/>
          <w:rtl/>
        </w:rPr>
        <w:t>.</w:t>
      </w:r>
    </w:p>
    <w:p w:rsidR="005C664D" w:rsidRPr="00C3556F" w:rsidRDefault="005C664D" w:rsidP="00C3556F">
      <w:pPr>
        <w:numPr>
          <w:ilvl w:val="0"/>
          <w:numId w:val="30"/>
        </w:numPr>
        <w:spacing w:line="228" w:lineRule="auto"/>
        <w:ind w:left="510" w:hanging="510"/>
        <w:jc w:val="both"/>
        <w:rPr>
          <w:rFonts w:ascii="mylotus" w:hAnsi="mylotus" w:cs="mylotus"/>
          <w:sz w:val="26"/>
          <w:szCs w:val="26"/>
        </w:rPr>
      </w:pPr>
      <w:r w:rsidRPr="00C3556F">
        <w:rPr>
          <w:rFonts w:ascii="mylotus" w:hAnsi="mylotus" w:cs="mylotus"/>
          <w:sz w:val="26"/>
          <w:szCs w:val="26"/>
          <w:rtl/>
        </w:rPr>
        <w:t>دهخدا</w:t>
      </w:r>
      <w:r w:rsidR="00217AB4" w:rsidRPr="00C3556F">
        <w:rPr>
          <w:rFonts w:ascii="mylotus" w:hAnsi="mylotus" w:cs="mylotus"/>
          <w:sz w:val="26"/>
          <w:szCs w:val="26"/>
          <w:rtl/>
        </w:rPr>
        <w:t>،</w:t>
      </w:r>
      <w:r w:rsidRPr="00C3556F">
        <w:rPr>
          <w:rFonts w:ascii="mylotus" w:hAnsi="mylotus" w:cs="mylotus"/>
          <w:sz w:val="26"/>
          <w:szCs w:val="26"/>
          <w:rtl/>
        </w:rPr>
        <w:t xml:space="preserve"> «لغت نامه دهخدا»</w:t>
      </w:r>
      <w:r w:rsidR="00217AB4" w:rsidRPr="00C3556F">
        <w:rPr>
          <w:rFonts w:ascii="mylotus" w:hAnsi="mylotus" w:cs="mylotus"/>
          <w:sz w:val="26"/>
          <w:szCs w:val="26"/>
          <w:rtl/>
        </w:rPr>
        <w:t>،</w:t>
      </w:r>
      <w:r w:rsidRPr="00C3556F">
        <w:rPr>
          <w:rFonts w:ascii="mylotus" w:hAnsi="mylotus" w:cs="mylotus"/>
          <w:sz w:val="26"/>
          <w:szCs w:val="26"/>
          <w:rtl/>
        </w:rPr>
        <w:t xml:space="preserve"> أكبر موسوعة لغوية للغة الفارسية</w:t>
      </w:r>
      <w:r w:rsidR="00217AB4" w:rsidRPr="00C3556F">
        <w:rPr>
          <w:rFonts w:ascii="mylotus" w:hAnsi="mylotus" w:cs="mylotus"/>
          <w:sz w:val="26"/>
          <w:szCs w:val="26"/>
          <w:rtl/>
        </w:rPr>
        <w:t>.</w:t>
      </w:r>
    </w:p>
    <w:p w:rsidR="005C664D" w:rsidRPr="00C3556F" w:rsidRDefault="005C664D" w:rsidP="00C3556F">
      <w:pPr>
        <w:numPr>
          <w:ilvl w:val="0"/>
          <w:numId w:val="30"/>
        </w:numPr>
        <w:spacing w:line="228" w:lineRule="auto"/>
        <w:ind w:left="510" w:hanging="510"/>
        <w:jc w:val="both"/>
        <w:rPr>
          <w:rFonts w:ascii="mylotus" w:hAnsi="mylotus" w:cs="mylotus"/>
          <w:sz w:val="26"/>
          <w:szCs w:val="26"/>
          <w:rtl/>
        </w:rPr>
      </w:pPr>
      <w:r w:rsidRPr="00C3556F">
        <w:rPr>
          <w:rFonts w:ascii="mylotus" w:hAnsi="mylotus" w:cs="mylotus"/>
          <w:sz w:val="26"/>
          <w:szCs w:val="26"/>
          <w:rtl/>
        </w:rPr>
        <w:t>الطريحي</w:t>
      </w:r>
      <w:r w:rsidR="00217AB4" w:rsidRPr="00C3556F">
        <w:rPr>
          <w:rFonts w:ascii="mylotus" w:hAnsi="mylotus" w:cs="mylotus"/>
          <w:sz w:val="26"/>
          <w:szCs w:val="26"/>
          <w:rtl/>
        </w:rPr>
        <w:t>،</w:t>
      </w:r>
      <w:r w:rsidRPr="00C3556F">
        <w:rPr>
          <w:rFonts w:ascii="mylotus" w:hAnsi="mylotus" w:cs="mylotus"/>
          <w:sz w:val="26"/>
          <w:szCs w:val="26"/>
          <w:rtl/>
        </w:rPr>
        <w:t xml:space="preserve"> فخر الدين بن محمد بن علي بن طريح الرماحي النجفي </w:t>
      </w:r>
      <w:r w:rsidR="00217AB4" w:rsidRPr="00C3556F">
        <w:rPr>
          <w:rFonts w:ascii="mylotus" w:hAnsi="mylotus" w:cs="mylotus"/>
          <w:sz w:val="26"/>
          <w:szCs w:val="26"/>
          <w:rtl/>
        </w:rPr>
        <w:t>(</w:t>
      </w:r>
      <w:r w:rsidRPr="00C3556F">
        <w:rPr>
          <w:rFonts w:ascii="mylotus" w:hAnsi="mylotus" w:cs="mylotus"/>
          <w:sz w:val="26"/>
          <w:szCs w:val="26"/>
          <w:rtl/>
        </w:rPr>
        <w:t>979</w:t>
      </w:r>
      <w:r w:rsidRPr="00C3556F">
        <w:rPr>
          <w:rFonts w:cs="Times New Roman" w:hint="cs"/>
          <w:sz w:val="26"/>
          <w:szCs w:val="26"/>
          <w:rtl/>
        </w:rPr>
        <w:t>–</w:t>
      </w:r>
      <w:r w:rsidRPr="00C3556F">
        <w:rPr>
          <w:rFonts w:ascii="mylotus" w:hAnsi="mylotus" w:cs="mylotus"/>
          <w:sz w:val="26"/>
          <w:szCs w:val="26"/>
          <w:rtl/>
        </w:rPr>
        <w:t xml:space="preserve"> 1085هـ</w:t>
      </w:r>
      <w:r w:rsidR="00217AB4" w:rsidRPr="00C3556F">
        <w:rPr>
          <w:rFonts w:ascii="mylotus" w:hAnsi="mylotus" w:cs="mylotus"/>
          <w:sz w:val="26"/>
          <w:szCs w:val="26"/>
          <w:rtl/>
        </w:rPr>
        <w:t>)،</w:t>
      </w:r>
      <w:r w:rsidRPr="00C3556F">
        <w:rPr>
          <w:rFonts w:ascii="mylotus" w:hAnsi="mylotus" w:cs="mylotus"/>
          <w:sz w:val="26"/>
          <w:szCs w:val="26"/>
          <w:rtl/>
        </w:rPr>
        <w:t xml:space="preserve"> «مجمع البحرين»</w:t>
      </w:r>
      <w:r w:rsidR="00217AB4" w:rsidRPr="00C3556F">
        <w:rPr>
          <w:rFonts w:ascii="mylotus" w:hAnsi="mylotus" w:cs="mylotus"/>
          <w:sz w:val="26"/>
          <w:szCs w:val="26"/>
          <w:rtl/>
        </w:rPr>
        <w:t>.</w:t>
      </w:r>
    </w:p>
    <w:p w:rsidR="005C664D" w:rsidRPr="00C3556F" w:rsidRDefault="005C664D" w:rsidP="00C3556F">
      <w:pPr>
        <w:numPr>
          <w:ilvl w:val="0"/>
          <w:numId w:val="30"/>
        </w:numPr>
        <w:spacing w:line="228" w:lineRule="auto"/>
        <w:ind w:left="510" w:hanging="510"/>
        <w:jc w:val="both"/>
        <w:rPr>
          <w:rFonts w:ascii="mylotus" w:hAnsi="mylotus" w:cs="mylotus"/>
          <w:sz w:val="26"/>
          <w:szCs w:val="26"/>
          <w:rtl/>
        </w:rPr>
      </w:pPr>
      <w:r w:rsidRPr="00C3556F">
        <w:rPr>
          <w:rFonts w:ascii="mylotus" w:hAnsi="mylotus" w:cs="mylotus"/>
          <w:sz w:val="26"/>
          <w:szCs w:val="26"/>
          <w:rtl/>
        </w:rPr>
        <w:t>الفيروزآبادي</w:t>
      </w:r>
      <w:r w:rsidR="00217AB4" w:rsidRPr="00C3556F">
        <w:rPr>
          <w:rFonts w:ascii="mylotus" w:hAnsi="mylotus" w:cs="mylotus"/>
          <w:sz w:val="26"/>
          <w:szCs w:val="26"/>
          <w:rtl/>
        </w:rPr>
        <w:t>،</w:t>
      </w:r>
      <w:r w:rsidRPr="00C3556F">
        <w:rPr>
          <w:rFonts w:ascii="mylotus" w:hAnsi="mylotus" w:cs="mylotus"/>
          <w:sz w:val="26"/>
          <w:szCs w:val="26"/>
          <w:rtl/>
        </w:rPr>
        <w:t xml:space="preserve"> محمد بن يعقوب بن محمد مجد الدين أبو طاهر الشيرازي </w:t>
      </w:r>
      <w:r w:rsidR="00217AB4" w:rsidRPr="00C3556F">
        <w:rPr>
          <w:rFonts w:ascii="mylotus" w:hAnsi="mylotus" w:cs="mylotus"/>
          <w:sz w:val="26"/>
          <w:szCs w:val="26"/>
          <w:rtl/>
        </w:rPr>
        <w:t>(</w:t>
      </w:r>
      <w:r w:rsidRPr="00C3556F">
        <w:rPr>
          <w:rFonts w:ascii="mylotus" w:hAnsi="mylotus" w:cs="mylotus"/>
          <w:sz w:val="26"/>
          <w:szCs w:val="26"/>
          <w:rtl/>
        </w:rPr>
        <w:t>729</w:t>
      </w:r>
      <w:r w:rsidR="00217AB4" w:rsidRPr="00C3556F">
        <w:rPr>
          <w:rFonts w:ascii="mylotus" w:hAnsi="mylotus" w:cs="mylotus"/>
          <w:sz w:val="26"/>
          <w:szCs w:val="26"/>
          <w:rtl/>
        </w:rPr>
        <w:t>-</w:t>
      </w:r>
      <w:r w:rsidRPr="00C3556F">
        <w:rPr>
          <w:rFonts w:ascii="mylotus" w:hAnsi="mylotus" w:cs="mylotus"/>
          <w:sz w:val="26"/>
          <w:szCs w:val="26"/>
          <w:rtl/>
        </w:rPr>
        <w:t xml:space="preserve"> 817هـ</w:t>
      </w:r>
      <w:r w:rsidR="00217AB4" w:rsidRPr="00C3556F">
        <w:rPr>
          <w:rFonts w:ascii="mylotus" w:hAnsi="mylotus" w:cs="mylotus"/>
          <w:sz w:val="26"/>
          <w:szCs w:val="26"/>
          <w:rtl/>
        </w:rPr>
        <w:t>)،</w:t>
      </w:r>
      <w:r w:rsidRPr="00C3556F">
        <w:rPr>
          <w:rFonts w:ascii="mylotus" w:hAnsi="mylotus" w:cs="mylotus"/>
          <w:sz w:val="26"/>
          <w:szCs w:val="26"/>
          <w:rtl/>
        </w:rPr>
        <w:t xml:space="preserve"> «القاموس المحيط»</w:t>
      </w:r>
      <w:r w:rsidR="00217AB4" w:rsidRPr="00C3556F">
        <w:rPr>
          <w:rFonts w:ascii="mylotus" w:hAnsi="mylotus" w:cs="mylotus"/>
          <w:sz w:val="26"/>
          <w:szCs w:val="26"/>
          <w:rtl/>
        </w:rPr>
        <w:t>.</w:t>
      </w:r>
    </w:p>
    <w:p w:rsidR="005C664D" w:rsidRPr="00C3556F" w:rsidRDefault="005C664D" w:rsidP="00C3556F">
      <w:pPr>
        <w:spacing w:line="228" w:lineRule="auto"/>
        <w:ind w:left="454" w:hanging="397"/>
        <w:jc w:val="both"/>
        <w:rPr>
          <w:rFonts w:ascii="mylotus" w:hAnsi="mylotus" w:cs="mylotus"/>
          <w:sz w:val="26"/>
          <w:szCs w:val="26"/>
        </w:rPr>
      </w:pPr>
    </w:p>
    <w:p w:rsidR="00A4545C" w:rsidRPr="00A33EB8" w:rsidRDefault="00A4545C" w:rsidP="00A33EB8">
      <w:pPr>
        <w:pStyle w:val="10"/>
        <w:spacing w:before="0" w:line="228" w:lineRule="auto"/>
        <w:rPr>
          <w:rFonts w:ascii="mylotus" w:hAnsi="mylotus" w:cs="mylotus"/>
          <w:b w:val="0"/>
          <w:bCs w:val="0"/>
          <w:color w:val="auto"/>
          <w:sz w:val="26"/>
          <w:szCs w:val="26"/>
          <w:rtl/>
        </w:rPr>
      </w:pPr>
      <w:r w:rsidRPr="00A33EB8">
        <w:rPr>
          <w:rFonts w:ascii="mylotus" w:hAnsi="mylotus" w:cs="mylotus"/>
          <w:b w:val="0"/>
          <w:bCs w:val="0"/>
          <w:color w:val="auto"/>
          <w:sz w:val="26"/>
          <w:szCs w:val="26"/>
        </w:rPr>
        <w:sym w:font="AGA Arabesque" w:char="F02B"/>
      </w:r>
      <w:r w:rsidRPr="00A33EB8">
        <w:rPr>
          <w:rFonts w:ascii="mylotus" w:hAnsi="mylotus" w:cs="mylotus"/>
          <w:b w:val="0"/>
          <w:bCs w:val="0"/>
          <w:color w:val="auto"/>
          <w:sz w:val="26"/>
          <w:szCs w:val="26"/>
          <w:rtl/>
        </w:rPr>
        <w:t xml:space="preserve"> </w:t>
      </w:r>
      <w:r w:rsidRPr="00A33EB8">
        <w:rPr>
          <w:rFonts w:ascii="mylotus" w:hAnsi="mylotus" w:cs="mylotus"/>
          <w:b w:val="0"/>
          <w:bCs w:val="0"/>
          <w:color w:val="auto"/>
          <w:sz w:val="26"/>
          <w:szCs w:val="26"/>
        </w:rPr>
        <w:sym w:font="AGA Arabesque" w:char="F02B"/>
      </w:r>
      <w:r w:rsidRPr="00A33EB8">
        <w:rPr>
          <w:rFonts w:ascii="mylotus" w:hAnsi="mylotus" w:cs="mylotus"/>
          <w:b w:val="0"/>
          <w:bCs w:val="0"/>
          <w:color w:val="auto"/>
          <w:sz w:val="26"/>
          <w:szCs w:val="26"/>
          <w:rtl/>
        </w:rPr>
        <w:t xml:space="preserve"> </w:t>
      </w:r>
      <w:r w:rsidRPr="00A33EB8">
        <w:rPr>
          <w:rFonts w:ascii="mylotus" w:hAnsi="mylotus" w:cs="mylotus"/>
          <w:b w:val="0"/>
          <w:bCs w:val="0"/>
          <w:color w:val="auto"/>
          <w:sz w:val="26"/>
          <w:szCs w:val="26"/>
        </w:rPr>
        <w:sym w:font="AGA Arabesque" w:char="F02B"/>
      </w:r>
    </w:p>
    <w:p w:rsidR="00A4545C" w:rsidRPr="00C3556F" w:rsidRDefault="00A4545C" w:rsidP="00C3556F">
      <w:pPr>
        <w:pStyle w:val="10"/>
        <w:spacing w:before="0" w:line="228" w:lineRule="auto"/>
        <w:ind w:left="454" w:hanging="397"/>
        <w:jc w:val="both"/>
        <w:rPr>
          <w:rFonts w:ascii="mylotus" w:hAnsi="mylotus" w:cs="mylotus"/>
          <w:color w:val="auto"/>
          <w:sz w:val="26"/>
          <w:szCs w:val="26"/>
          <w:rtl/>
        </w:rPr>
      </w:pPr>
    </w:p>
    <w:sectPr w:rsidR="00A4545C" w:rsidRPr="00C3556F" w:rsidSect="00010AE3">
      <w:headerReference w:type="default" r:id="rId34"/>
      <w:footnotePr>
        <w:numRestart w:val="eachPage"/>
      </w:footnotePr>
      <w:type w:val="oddPage"/>
      <w:pgSz w:w="9356" w:h="13608" w:code="34"/>
      <w:pgMar w:top="964" w:right="1134" w:bottom="1134" w:left="964" w:header="0" w:footer="851" w:gutter="0"/>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D3725" w:rsidRDefault="00FD3725">
      <w:r>
        <w:separator/>
      </w:r>
    </w:p>
  </w:endnote>
  <w:endnote w:type="continuationSeparator" w:id="0">
    <w:p w:rsidR="00FD3725" w:rsidRDefault="00FD37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GA Arabesque">
    <w:panose1 w:val="05010101010101010101"/>
    <w:charset w:val="02"/>
    <w:family w:val="auto"/>
    <w:pitch w:val="variable"/>
    <w:sig w:usb0="00000000" w:usb1="10000000" w:usb2="00000000" w:usb3="00000000" w:csb0="80000000" w:csb1="00000000"/>
  </w:font>
  <w:font w:name="mylotus">
    <w:panose1 w:val="02000000000000000000"/>
    <w:charset w:val="00"/>
    <w:family w:val="auto"/>
    <w:pitch w:val="variable"/>
    <w:sig w:usb0="00002007" w:usb1="80000000" w:usb2="00000008" w:usb3="00000000" w:csb0="00000043" w:csb1="00000000"/>
  </w:font>
  <w:font w:name="Simplified Arabic">
    <w:panose1 w:val="02020603050405020304"/>
    <w:charset w:val="00"/>
    <w:family w:val="roman"/>
    <w:pitch w:val="variable"/>
    <w:sig w:usb0="00002003" w:usb1="00000000" w:usb2="00000000" w:usb3="00000000" w:csb0="00000041" w:csb1="00000000"/>
  </w:font>
  <w:font w:name="SKR HEAD1">
    <w:panose1 w:val="00000000000000000000"/>
    <w:charset w:val="B2"/>
    <w:family w:val="auto"/>
    <w:pitch w:val="variable"/>
    <w:sig w:usb0="00002001" w:usb1="00000000" w:usb2="00000000" w:usb3="00000000" w:csb0="00000040" w:csb1="00000000"/>
  </w:font>
  <w:font w:name="Arial">
    <w:panose1 w:val="020B0604020202020204"/>
    <w:charset w:val="00"/>
    <w:family w:val="swiss"/>
    <w:pitch w:val="variable"/>
    <w:sig w:usb0="E0002AFF" w:usb1="C0007843" w:usb2="00000009" w:usb3="00000000" w:csb0="000001FF" w:csb1="00000000"/>
  </w:font>
  <w:font w:name="KFGQPC Uthman Taha Naskh">
    <w:panose1 w:val="02000000000000000000"/>
    <w:charset w:val="B2"/>
    <w:family w:val="auto"/>
    <w:pitch w:val="variable"/>
    <w:sig w:usb0="80002001" w:usb1="90000000" w:usb2="00000008" w:usb3="00000000" w:csb0="0000004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KFGQPC Uthmanic Script HAFS">
    <w:panose1 w:val="02000000000000000000"/>
    <w:charset w:val="B2"/>
    <w:family w:val="auto"/>
    <w:pitch w:val="variable"/>
    <w:sig w:usb0="00002001" w:usb1="00000000" w:usb2="00000000" w:usb3="00000000" w:csb0="00000040" w:csb1="00000000"/>
  </w:font>
  <w:font w:name="mohammad bold art 1">
    <w:panose1 w:val="00000000000000000000"/>
    <w:charset w:val="B2"/>
    <w:family w:val="auto"/>
    <w:pitch w:val="variable"/>
    <w:sig w:usb0="00002001" w:usb1="00000000" w:usb2="00000000" w:usb3="00000000" w:csb0="00000040" w:csb1="00000000"/>
  </w:font>
  <w:font w:name="Times New Roman Bold">
    <w:altName w:val="Times New Roman Bold"/>
    <w:panose1 w:val="02020803070505020304"/>
    <w:charset w:val="00"/>
    <w:family w:val="roman"/>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B Yagut">
    <w:panose1 w:val="00000400000000000000"/>
    <w:charset w:val="B2"/>
    <w:family w:val="auto"/>
    <w:pitch w:val="variable"/>
    <w:sig w:usb0="00002001" w:usb1="80000000" w:usb2="00000008" w:usb3="00000000" w:csb0="00000040" w:csb1="00000000"/>
  </w:font>
  <w:font w:name="Traditional Arabic">
    <w:panose1 w:val="02020603050405020304"/>
    <w:charset w:val="00"/>
    <w:family w:val="roman"/>
    <w:pitch w:val="variable"/>
    <w:sig w:usb0="00002003" w:usb1="80000000" w:usb2="00000008" w:usb3="00000000" w:csb0="00000041" w:csb1="00000000"/>
  </w:font>
  <w:font w:name="CTraditional Arabic">
    <w:panose1 w:val="00000000000000000000"/>
    <w:charset w:val="B2"/>
    <w:family w:val="auto"/>
    <w:pitch w:val="variable"/>
    <w:sig w:usb0="00002001" w:usb1="00000000" w:usb2="00000000" w:usb3="00000000" w:csb0="00000040" w:csb1="00000000"/>
  </w:font>
  <w:font w:name="B Titr">
    <w:panose1 w:val="00000700000000000000"/>
    <w:charset w:val="B2"/>
    <w:family w:val="auto"/>
    <w:pitch w:val="variable"/>
    <w:sig w:usb0="00002001" w:usb1="80000000" w:usb2="00000008" w:usb3="00000000" w:csb0="00000040" w:csb1="00000000"/>
  </w:font>
  <w:font w:name="B Zar">
    <w:panose1 w:val="00000400000000000000"/>
    <w:charset w:val="B2"/>
    <w:family w:val="auto"/>
    <w:pitch w:val="variable"/>
    <w:sig w:usb0="00002001" w:usb1="80000000" w:usb2="00000008" w:usb3="00000000" w:csb0="00000040" w:csb1="00000000"/>
  </w:font>
  <w:font w:name="Font 079">
    <w:panose1 w:val="00000000000000000000"/>
    <w:charset w:val="B2"/>
    <w:family w:val="auto"/>
    <w:pitch w:val="variable"/>
    <w:sig w:usb0="00002001" w:usb1="00000000" w:usb2="00000000" w:usb3="00000000" w:csb0="00000040" w:csb1="00000000"/>
  </w:font>
  <w:font w:name="110_Besmellah">
    <w:panose1 w:val="00000000000000000000"/>
    <w:charset w:val="00"/>
    <w:family w:val="auto"/>
    <w:pitch w:val="variable"/>
    <w:sig w:usb0="00000003" w:usb1="00000000" w:usb2="00000000" w:usb3="00000000" w:csb0="00000001" w:csb1="00000000"/>
  </w:font>
  <w:font w:name="B Lotus">
    <w:panose1 w:val="00000400000000000000"/>
    <w:charset w:val="B2"/>
    <w:family w:val="auto"/>
    <w:pitch w:val="variable"/>
    <w:sig w:usb0="00002001" w:usb1="80000000" w:usb2="00000008" w:usb3="00000000" w:csb0="00000040" w:csb1="00000000"/>
  </w:font>
  <w:font w:name="Abo-thar">
    <w:panose1 w:val="05010101010101010101"/>
    <w:charset w:val="02"/>
    <w:family w:val="auto"/>
    <w:pitch w:val="variable"/>
    <w:sig w:usb0="00000000" w:usb1="10000000" w:usb2="00000000" w:usb3="00000000" w:csb0="80000000" w:csb1="00000000"/>
  </w:font>
  <w:font w:name="Arabic11 BT">
    <w:panose1 w:val="00000000000000000000"/>
    <w:charset w:val="B2"/>
    <w:family w:val="auto"/>
    <w:pitch w:val="variable"/>
    <w:sig w:usb0="00002001" w:usb1="00000000" w:usb2="00000000" w:usb3="00000000" w:csb0="00000040" w:csb1="00000000"/>
  </w:font>
  <w:font w:name="B Badr">
    <w:panose1 w:val="00000400000000000000"/>
    <w:charset w:val="B2"/>
    <w:family w:val="auto"/>
    <w:pitch w:val="variable"/>
    <w:sig w:usb0="00002001" w:usb1="80000000" w:usb2="00000008" w:usb3="00000000" w:csb0="00000040" w:csb1="00000000"/>
  </w:font>
  <w:font w:name="Lotus Linotype">
    <w:panose1 w:val="02000000000000000000"/>
    <w:charset w:val="00"/>
    <w:family w:val="auto"/>
    <w:pitch w:val="variable"/>
    <w:sig w:usb0="00002007" w:usb1="80000000" w:usb2="00000008" w:usb3="00000000" w:csb0="00000043" w:csb1="00000000"/>
  </w:font>
  <w:font w:name="2  Badr">
    <w:panose1 w:val="00000400000000000000"/>
    <w:charset w:val="B2"/>
    <w:family w:val="auto"/>
    <w:pitch w:val="variable"/>
    <w:sig w:usb0="00002001" w:usb1="80000000" w:usb2="00000008" w:usb3="00000000" w:csb0="00000040" w:csb1="00000000"/>
  </w:font>
  <w:font w:name="IRLotus">
    <w:panose1 w:val="02000503000000020002"/>
    <w:charset w:val="00"/>
    <w:family w:val="auto"/>
    <w:pitch w:val="variable"/>
    <w:sig w:usb0="00002003" w:usb1="00000000" w:usb2="00000000" w:usb3="00000000" w:csb0="00000041" w:csb1="00000000"/>
  </w:font>
  <w:font w:name="Akhbar MT">
    <w:panose1 w:val="00000000000000000000"/>
    <w:charset w:val="B2"/>
    <w:family w:val="auto"/>
    <w:pitch w:val="variable"/>
    <w:sig w:usb0="00002001" w:usb1="00000000" w:usb2="00000000" w:usb3="00000000" w:csb0="0000004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31118" w:rsidRDefault="00261222" w:rsidP="00093190">
    <w:pPr>
      <w:pStyle w:val="Footer"/>
      <w:jc w:val="center"/>
    </w:pPr>
    <w:r>
      <w:rPr>
        <w:noProof/>
      </w:rPr>
      <mc:AlternateContent>
        <mc:Choice Requires="wps">
          <w:drawing>
            <wp:anchor distT="0" distB="0" distL="114300" distR="114300" simplePos="0" relativeHeight="251643904" behindDoc="0" locked="0" layoutInCell="1" allowOverlap="1">
              <wp:simplePos x="0" y="0"/>
              <wp:positionH relativeFrom="column">
                <wp:posOffset>4139565</wp:posOffset>
              </wp:positionH>
              <wp:positionV relativeFrom="paragraph">
                <wp:posOffset>111125</wp:posOffset>
              </wp:positionV>
              <wp:extent cx="472440" cy="323850"/>
              <wp:effectExtent l="0" t="0" r="0" b="3175"/>
              <wp:wrapNone/>
              <wp:docPr id="18"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2440" cy="323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B31118" w:rsidRPr="008838C3" w:rsidRDefault="00B31118" w:rsidP="008838C3">
                          <w:pPr>
                            <w:jc w:val="center"/>
                            <w:rPr>
                              <w:rFonts w:cs="Font 079"/>
                              <w:sz w:val="30"/>
                              <w:szCs w:val="30"/>
                            </w:rPr>
                          </w:pPr>
                          <w:r w:rsidRPr="008838C3">
                            <w:rPr>
                              <w:rFonts w:cs="Font 079"/>
                              <w:sz w:val="30"/>
                              <w:szCs w:val="30"/>
                              <w:rtl/>
                            </w:rPr>
                            <w:fldChar w:fldCharType="begin"/>
                          </w:r>
                          <w:r w:rsidRPr="008838C3">
                            <w:rPr>
                              <w:rFonts w:cs="Font 079"/>
                              <w:sz w:val="30"/>
                              <w:szCs w:val="30"/>
                            </w:rPr>
                            <w:instrText xml:space="preserve">PAGE  </w:instrText>
                          </w:r>
                          <w:r w:rsidRPr="008838C3">
                            <w:rPr>
                              <w:rFonts w:cs="Font 079"/>
                              <w:sz w:val="30"/>
                              <w:szCs w:val="30"/>
                              <w:rtl/>
                            </w:rPr>
                            <w:fldChar w:fldCharType="separate"/>
                          </w:r>
                          <w:r w:rsidR="00261222">
                            <w:rPr>
                              <w:rFonts w:cs="Font 079"/>
                              <w:noProof/>
                              <w:sz w:val="30"/>
                              <w:szCs w:val="30"/>
                              <w:rtl/>
                            </w:rPr>
                            <w:t>40</w:t>
                          </w:r>
                          <w:r w:rsidRPr="008838C3">
                            <w:rPr>
                              <w:rFonts w:cs="Font 079"/>
                              <w:sz w:val="30"/>
                              <w:szCs w:val="30"/>
                              <w:rtl/>
                            </w:rPr>
                            <w:fldChar w:fldCharType="end"/>
                          </w:r>
                        </w:p>
                        <w:p w:rsidR="00B31118" w:rsidRDefault="00B31118" w:rsidP="004817E8"/>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0" o:spid="_x0000_s1028" type="#_x0000_t202" style="position:absolute;left:0;text-align:left;margin-left:325.95pt;margin-top:8.75pt;width:37.2pt;height:25.5pt;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" filled="f" stroked="f" strokeweight=".5pt">
              <v:textbox>
                <w:txbxContent>
                  <w:p w:rsidR="00B31118" w:rsidRPr="008838C3" w:rsidRDefault="00B31118" w:rsidP="008838C3">
                    <w:pPr>
                      <w:jc w:val="center"/>
                      <w:rPr>
                        <w:rFonts w:cs="Font 079"/>
                        <w:sz w:val="30"/>
                        <w:szCs w:val="30"/>
                      </w:rPr>
                    </w:pPr>
                    <w:r w:rsidRPr="008838C3">
                      <w:rPr>
                        <w:rFonts w:cs="Font 079"/>
                        <w:sz w:val="30"/>
                        <w:szCs w:val="30"/>
                        <w:rtl/>
                      </w:rPr>
                      <w:fldChar w:fldCharType="begin"/>
                    </w:r>
                    <w:r w:rsidRPr="008838C3">
                      <w:rPr>
                        <w:rFonts w:cs="Font 079"/>
                        <w:sz w:val="30"/>
                        <w:szCs w:val="30"/>
                      </w:rPr>
                      <w:instrText xml:space="preserve">PAGE  </w:instrText>
                    </w:r>
                    <w:r w:rsidRPr="008838C3">
                      <w:rPr>
                        <w:rFonts w:cs="Font 079"/>
                        <w:sz w:val="30"/>
                        <w:szCs w:val="30"/>
                        <w:rtl/>
                      </w:rPr>
                      <w:fldChar w:fldCharType="separate"/>
                    </w:r>
                    <w:r w:rsidR="00261222">
                      <w:rPr>
                        <w:rFonts w:cs="Font 079"/>
                        <w:noProof/>
                        <w:sz w:val="30"/>
                        <w:szCs w:val="30"/>
                        <w:rtl/>
                      </w:rPr>
                      <w:t>40</w:t>
                    </w:r>
                    <w:r w:rsidRPr="008838C3">
                      <w:rPr>
                        <w:rFonts w:cs="Font 079"/>
                        <w:sz w:val="30"/>
                        <w:szCs w:val="30"/>
                        <w:rtl/>
                      </w:rPr>
                      <w:fldChar w:fldCharType="end"/>
                    </w:r>
                  </w:p>
                  <w:p w:rsidR="00B31118" w:rsidRDefault="00B31118" w:rsidP="004817E8"/>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31118" w:rsidRPr="004817E8" w:rsidRDefault="00261222" w:rsidP="004817E8">
    <w:pPr>
      <w:pStyle w:val="Footer"/>
      <w:rPr>
        <w:rFonts w:hint="cs"/>
      </w:rPr>
    </w:pPr>
    <w:r>
      <w:rPr>
        <w:rFonts w:hint="cs"/>
        <w:noProof/>
      </w:rPr>
      <mc:AlternateContent>
        <mc:Choice Requires="wps">
          <w:drawing>
            <wp:anchor distT="0" distB="0" distL="114300" distR="114300" simplePos="0" relativeHeight="251646976" behindDoc="0" locked="0" layoutInCell="1" allowOverlap="1">
              <wp:simplePos x="0" y="0"/>
              <wp:positionH relativeFrom="column">
                <wp:posOffset>-19685</wp:posOffset>
              </wp:positionH>
              <wp:positionV relativeFrom="paragraph">
                <wp:posOffset>116205</wp:posOffset>
              </wp:positionV>
              <wp:extent cx="470535" cy="323850"/>
              <wp:effectExtent l="0" t="0" r="0" b="0"/>
              <wp:wrapNone/>
              <wp:docPr id="106" name="Text Box 1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70535" cy="323850"/>
                      </a:xfrm>
                      <a:prstGeom prst="rect">
                        <a:avLst/>
                      </a:prstGeom>
                      <a:noFill/>
                      <a:ln w="6350">
                        <a:noFill/>
                      </a:ln>
                      <a:effectLst/>
                    </wps:spPr>
                    <wps:txbx>
                      <w:txbxContent>
                        <w:p w:rsidR="00B31118" w:rsidRPr="008838C3" w:rsidRDefault="00B31118" w:rsidP="008838C3">
                          <w:pPr>
                            <w:jc w:val="center"/>
                            <w:rPr>
                              <w:rFonts w:cs="Font 079"/>
                              <w:sz w:val="30"/>
                              <w:szCs w:val="30"/>
                            </w:rPr>
                          </w:pPr>
                          <w:r w:rsidRPr="008838C3">
                            <w:rPr>
                              <w:rFonts w:cs="Font 079"/>
                              <w:sz w:val="30"/>
                              <w:szCs w:val="30"/>
                              <w:rtl/>
                            </w:rPr>
                            <w:fldChar w:fldCharType="begin"/>
                          </w:r>
                          <w:r w:rsidRPr="008838C3">
                            <w:rPr>
                              <w:rFonts w:cs="Font 079"/>
                              <w:sz w:val="30"/>
                              <w:szCs w:val="30"/>
                            </w:rPr>
                            <w:instrText xml:space="preserve">PAGE  </w:instrText>
                          </w:r>
                          <w:r w:rsidRPr="008838C3">
                            <w:rPr>
                              <w:rFonts w:cs="Font 079"/>
                              <w:sz w:val="30"/>
                              <w:szCs w:val="30"/>
                              <w:rtl/>
                            </w:rPr>
                            <w:fldChar w:fldCharType="separate"/>
                          </w:r>
                          <w:r w:rsidR="00261222">
                            <w:rPr>
                              <w:rFonts w:cs="Font 079"/>
                              <w:noProof/>
                              <w:sz w:val="30"/>
                              <w:szCs w:val="30"/>
                              <w:rtl/>
                            </w:rPr>
                            <w:t>37</w:t>
                          </w:r>
                          <w:r w:rsidRPr="008838C3">
                            <w:rPr>
                              <w:rFonts w:cs="Font 079"/>
                              <w:sz w:val="30"/>
                              <w:szCs w:val="30"/>
                              <w:rtl/>
                            </w:rPr>
                            <w:fldChar w:fldCharType="end"/>
                          </w:r>
                        </w:p>
                        <w:p w:rsidR="00B31118" w:rsidRDefault="00B31118" w:rsidP="004817E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06" o:spid="_x0000_s1029" type="#_x0000_t202" style="position:absolute;left:0;text-align:left;margin-left:-1.55pt;margin-top:9.15pt;width:37.05pt;height:25.5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" filled="f" stroked="f" strokeweight=".5pt">
              <v:path arrowok="t"/>
              <v:textbox>
                <w:txbxContent>
                  <w:p w:rsidR="00B31118" w:rsidRPr="008838C3" w:rsidRDefault="00B31118" w:rsidP="008838C3">
                    <w:pPr>
                      <w:jc w:val="center"/>
                      <w:rPr>
                        <w:rFonts w:cs="Font 079"/>
                        <w:sz w:val="30"/>
                        <w:szCs w:val="30"/>
                      </w:rPr>
                    </w:pPr>
                    <w:r w:rsidRPr="008838C3">
                      <w:rPr>
                        <w:rFonts w:cs="Font 079"/>
                        <w:sz w:val="30"/>
                        <w:szCs w:val="30"/>
                        <w:rtl/>
                      </w:rPr>
                      <w:fldChar w:fldCharType="begin"/>
                    </w:r>
                    <w:r w:rsidRPr="008838C3">
                      <w:rPr>
                        <w:rFonts w:cs="Font 079"/>
                        <w:sz w:val="30"/>
                        <w:szCs w:val="30"/>
                      </w:rPr>
                      <w:instrText xml:space="preserve">PAGE  </w:instrText>
                    </w:r>
                    <w:r w:rsidRPr="008838C3">
                      <w:rPr>
                        <w:rFonts w:cs="Font 079"/>
                        <w:sz w:val="30"/>
                        <w:szCs w:val="30"/>
                        <w:rtl/>
                      </w:rPr>
                      <w:fldChar w:fldCharType="separate"/>
                    </w:r>
                    <w:r w:rsidR="00261222">
                      <w:rPr>
                        <w:rFonts w:cs="Font 079"/>
                        <w:noProof/>
                        <w:sz w:val="30"/>
                        <w:szCs w:val="30"/>
                        <w:rtl/>
                      </w:rPr>
                      <w:t>37</w:t>
                    </w:r>
                    <w:r w:rsidRPr="008838C3">
                      <w:rPr>
                        <w:rFonts w:cs="Font 079"/>
                        <w:sz w:val="30"/>
                        <w:szCs w:val="30"/>
                        <w:rtl/>
                      </w:rPr>
                      <w:fldChar w:fldCharType="end"/>
                    </w:r>
                  </w:p>
                  <w:p w:rsidR="00B31118" w:rsidRDefault="00B31118" w:rsidP="004817E8"/>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31118" w:rsidRDefault="00261222">
    <w:pPr>
      <w:pStyle w:val="Footer"/>
    </w:pPr>
    <w:r>
      <w:rPr>
        <w:noProof/>
      </w:rPr>
      <mc:AlternateContent>
        <mc:Choice Requires="wps">
          <w:drawing>
            <wp:anchor distT="0" distB="0" distL="114300" distR="114300" simplePos="0" relativeHeight="251640832" behindDoc="0" locked="0" layoutInCell="1" allowOverlap="1">
              <wp:simplePos x="0" y="0"/>
              <wp:positionH relativeFrom="column">
                <wp:posOffset>-21590</wp:posOffset>
              </wp:positionH>
              <wp:positionV relativeFrom="paragraph">
                <wp:posOffset>104775</wp:posOffset>
              </wp:positionV>
              <wp:extent cx="472440" cy="323850"/>
              <wp:effectExtent l="0" t="0" r="0" b="0"/>
              <wp:wrapNone/>
              <wp:docPr id="15"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2440" cy="323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B31118" w:rsidRPr="00071132" w:rsidRDefault="00B31118" w:rsidP="00071132">
                          <w:pPr>
                            <w:jc w:val="center"/>
                            <w:rPr>
                              <w:rFonts w:cs="Font 079"/>
                              <w:sz w:val="30"/>
                              <w:szCs w:val="30"/>
                            </w:rPr>
                          </w:pPr>
                          <w:r w:rsidRPr="00071132">
                            <w:rPr>
                              <w:rFonts w:cs="Font 079"/>
                              <w:sz w:val="30"/>
                              <w:szCs w:val="30"/>
                              <w:rtl/>
                            </w:rPr>
                            <w:fldChar w:fldCharType="begin"/>
                          </w:r>
                          <w:r w:rsidRPr="00071132">
                            <w:rPr>
                              <w:rFonts w:cs="Font 079"/>
                              <w:sz w:val="30"/>
                              <w:szCs w:val="30"/>
                            </w:rPr>
                            <w:instrText xml:space="preserve">PAGE  </w:instrText>
                          </w:r>
                          <w:r w:rsidRPr="00071132">
                            <w:rPr>
                              <w:rFonts w:cs="Font 079"/>
                              <w:sz w:val="30"/>
                              <w:szCs w:val="30"/>
                              <w:rtl/>
                            </w:rPr>
                            <w:fldChar w:fldCharType="separate"/>
                          </w:r>
                          <w:r w:rsidR="00261222">
                            <w:rPr>
                              <w:rFonts w:cs="Font 079"/>
                              <w:noProof/>
                              <w:sz w:val="30"/>
                              <w:szCs w:val="30"/>
                              <w:rtl/>
                            </w:rPr>
                            <w:t>39</w:t>
                          </w:r>
                          <w:r w:rsidRPr="00071132">
                            <w:rPr>
                              <w:rFonts w:cs="Font 079"/>
                              <w:sz w:val="30"/>
                              <w:szCs w:val="30"/>
                              <w:rtl/>
                            </w:rPr>
                            <w:fldChar w:fldCharType="end"/>
                          </w:r>
                        </w:p>
                        <w:p w:rsidR="00B31118" w:rsidRDefault="00B31118" w:rsidP="004817E8"/>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030" type="#_x0000_t202" style="position:absolute;left:0;text-align:left;margin-left:-1.7pt;margin-top:8.25pt;width:37.2pt;height:25.5pt;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" filled="f" stroked="f" strokeweight=".5pt">
              <v:textbox>
                <w:txbxContent>
                  <w:p w:rsidR="00B31118" w:rsidRPr="00071132" w:rsidRDefault="00B31118" w:rsidP="00071132">
                    <w:pPr>
                      <w:jc w:val="center"/>
                      <w:rPr>
                        <w:rFonts w:cs="Font 079"/>
                        <w:sz w:val="30"/>
                        <w:szCs w:val="30"/>
                      </w:rPr>
                    </w:pPr>
                    <w:r w:rsidRPr="00071132">
                      <w:rPr>
                        <w:rFonts w:cs="Font 079"/>
                        <w:sz w:val="30"/>
                        <w:szCs w:val="30"/>
                        <w:rtl/>
                      </w:rPr>
                      <w:fldChar w:fldCharType="begin"/>
                    </w:r>
                    <w:r w:rsidRPr="00071132">
                      <w:rPr>
                        <w:rFonts w:cs="Font 079"/>
                        <w:sz w:val="30"/>
                        <w:szCs w:val="30"/>
                      </w:rPr>
                      <w:instrText xml:space="preserve">PAGE  </w:instrText>
                    </w:r>
                    <w:r w:rsidRPr="00071132">
                      <w:rPr>
                        <w:rFonts w:cs="Font 079"/>
                        <w:sz w:val="30"/>
                        <w:szCs w:val="30"/>
                        <w:rtl/>
                      </w:rPr>
                      <w:fldChar w:fldCharType="separate"/>
                    </w:r>
                    <w:r w:rsidR="00261222">
                      <w:rPr>
                        <w:rFonts w:cs="Font 079"/>
                        <w:noProof/>
                        <w:sz w:val="30"/>
                        <w:szCs w:val="30"/>
                        <w:rtl/>
                      </w:rPr>
                      <w:t>39</w:t>
                    </w:r>
                    <w:r w:rsidRPr="00071132">
                      <w:rPr>
                        <w:rFonts w:cs="Font 079"/>
                        <w:sz w:val="30"/>
                        <w:szCs w:val="30"/>
                        <w:rtl/>
                      </w:rPr>
                      <w:fldChar w:fldCharType="end"/>
                    </w:r>
                  </w:p>
                  <w:p w:rsidR="00B31118" w:rsidRDefault="00B31118" w:rsidP="004817E8"/>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D3725" w:rsidRDefault="00FD3725">
      <w:r>
        <w:separator/>
      </w:r>
    </w:p>
  </w:footnote>
  <w:footnote w:type="continuationSeparator" w:id="0">
    <w:p w:rsidR="00FD3725" w:rsidRDefault="00FD3725">
      <w:r>
        <w:continuationSeparator/>
      </w:r>
    </w:p>
  </w:footnote>
  <w:footnote w:id="1">
    <w:p w:rsidR="00B31118" w:rsidRPr="00563AE6" w:rsidRDefault="00B31118" w:rsidP="00B300C9">
      <w:pPr>
        <w:pStyle w:val="FootnoteText"/>
        <w:spacing w:line="228" w:lineRule="auto"/>
        <w:ind w:left="284" w:hanging="284"/>
        <w:jc w:val="both"/>
        <w:rPr>
          <w:rFonts w:ascii="mylotus" w:eastAsia="B Badr" w:hAnsi="mylotus" w:cs="mylotus"/>
          <w:sz w:val="23"/>
          <w:szCs w:val="23"/>
          <w:rtl/>
        </w:rPr>
      </w:pPr>
      <w:r w:rsidRPr="00563AE6">
        <w:rPr>
          <w:rFonts w:ascii="mylotus" w:hAnsi="mylotus" w:cs="mylotus"/>
          <w:sz w:val="23"/>
          <w:szCs w:val="23"/>
        </w:rPr>
        <w:t xml:space="preserve"> </w:t>
      </w:r>
      <w:r w:rsidRPr="00563AE6">
        <w:rPr>
          <w:rStyle w:val="FootnoteReference"/>
          <w:rFonts w:ascii="mylotus" w:hAnsi="mylotus" w:cs="mylotus"/>
          <w:sz w:val="23"/>
          <w:szCs w:val="23"/>
          <w:vertAlign w:val="baseline"/>
          <w:rtl/>
        </w:rPr>
        <w:footnoteRef/>
      </w:r>
      <w:r>
        <w:rPr>
          <w:rFonts w:ascii="mylotus" w:hAnsi="mylotus" w:cs="mylotus"/>
          <w:sz w:val="23"/>
          <w:szCs w:val="23"/>
          <w:rtl/>
        </w:rPr>
        <w:t>-</w:t>
      </w:r>
      <w:r>
        <w:rPr>
          <w:rFonts w:ascii="mylotus" w:eastAsia="B Badr" w:hAnsi="mylotus" w:cs="mylotus" w:hint="cs"/>
          <w:sz w:val="23"/>
          <w:szCs w:val="23"/>
          <w:rtl/>
        </w:rPr>
        <w:t xml:space="preserve"> </w:t>
      </w:r>
      <w:r w:rsidRPr="00563AE6">
        <w:rPr>
          <w:rFonts w:ascii="mylotus" w:eastAsia="B Badr" w:hAnsi="mylotus" w:cs="mylotus"/>
          <w:sz w:val="23"/>
          <w:szCs w:val="23"/>
          <w:rtl/>
        </w:rPr>
        <w:t>انظر ترجمته وآراءه ودعواته الإصلاحية في كتاب أعلام التصحيح والاعتدال للبديوي ص 278-337.</w:t>
      </w:r>
    </w:p>
  </w:footnote>
  <w:footnote w:id="2">
    <w:p w:rsidR="00B31118" w:rsidRPr="00563AE6" w:rsidRDefault="00B31118" w:rsidP="00B300C9">
      <w:pPr>
        <w:pStyle w:val="FootnoteText"/>
        <w:spacing w:line="228" w:lineRule="auto"/>
        <w:ind w:left="284" w:hanging="284"/>
        <w:jc w:val="both"/>
        <w:rPr>
          <w:rFonts w:ascii="mylotus" w:eastAsia="B Badr" w:hAnsi="mylotus" w:cs="mylotus" w:hint="cs"/>
          <w:sz w:val="23"/>
          <w:szCs w:val="23"/>
          <w:rtl/>
        </w:rPr>
      </w:pPr>
      <w:r w:rsidRPr="00563AE6">
        <w:rPr>
          <w:rFonts w:ascii="mylotus" w:eastAsia="B Badr" w:hAnsi="mylotus" w:cs="mylotus"/>
          <w:sz w:val="23"/>
          <w:szCs w:val="23"/>
        </w:rPr>
        <w:t xml:space="preserve"> </w:t>
      </w:r>
      <w:r w:rsidRPr="00563AE6">
        <w:rPr>
          <w:rFonts w:ascii="mylotus" w:eastAsia="B Badr" w:hAnsi="mylotus" w:cs="mylotus"/>
          <w:sz w:val="23"/>
          <w:szCs w:val="23"/>
          <w:rtl/>
        </w:rPr>
        <w:footnoteRef/>
      </w:r>
      <w:r>
        <w:rPr>
          <w:rFonts w:ascii="mylotus" w:eastAsia="B Badr" w:hAnsi="mylotus" w:cs="mylotus"/>
          <w:sz w:val="23"/>
          <w:szCs w:val="23"/>
          <w:rtl/>
        </w:rPr>
        <w:t>-</w:t>
      </w:r>
      <w:r>
        <w:rPr>
          <w:rFonts w:ascii="mylotus" w:eastAsia="B Badr" w:hAnsi="mylotus" w:cs="mylotus" w:hint="cs"/>
          <w:sz w:val="23"/>
          <w:szCs w:val="23"/>
          <w:rtl/>
        </w:rPr>
        <w:t xml:space="preserve"> </w:t>
      </w:r>
      <w:r w:rsidRPr="00563AE6">
        <w:rPr>
          <w:rFonts w:ascii="mylotus" w:eastAsia="B Badr" w:hAnsi="mylotus" w:cs="mylotus"/>
          <w:sz w:val="23"/>
          <w:szCs w:val="23"/>
          <w:rtl/>
        </w:rPr>
        <w:t>انظر ترجمته في كتاب تراجم الرجال لأحمد الحسيني 2/817.</w:t>
      </w:r>
    </w:p>
  </w:footnote>
  <w:footnote w:id="3">
    <w:p w:rsidR="00B31118" w:rsidRPr="00563AE6" w:rsidRDefault="00B31118" w:rsidP="00B300C9">
      <w:pPr>
        <w:pStyle w:val="FootnoteText"/>
        <w:spacing w:line="228" w:lineRule="auto"/>
        <w:jc w:val="both"/>
        <w:rPr>
          <w:rFonts w:ascii="mylotus" w:eastAsia="B Badr" w:hAnsi="mylotus" w:cs="mylotus"/>
          <w:sz w:val="23"/>
          <w:szCs w:val="23"/>
          <w:rtl/>
          <w:lang w:bidi="fa-IR"/>
        </w:rPr>
      </w:pPr>
      <w:r w:rsidRPr="00563AE6">
        <w:rPr>
          <w:rFonts w:ascii="mylotus" w:eastAsia="B Badr" w:hAnsi="mylotus" w:cs="mylotus"/>
          <w:sz w:val="23"/>
          <w:szCs w:val="23"/>
          <w:rtl/>
          <w:lang w:bidi="fa-IR"/>
        </w:rPr>
        <w:footnoteRef/>
      </w:r>
      <w:r>
        <w:rPr>
          <w:rFonts w:ascii="mylotus" w:eastAsia="B Badr" w:hAnsi="mylotus" w:cs="mylotus"/>
          <w:sz w:val="23"/>
          <w:szCs w:val="23"/>
          <w:rtl/>
          <w:lang w:bidi="fa-IR"/>
        </w:rPr>
        <w:t>-</w:t>
      </w:r>
      <w:r w:rsidRPr="00563AE6">
        <w:rPr>
          <w:rFonts w:ascii="mylotus" w:eastAsia="B Badr" w:hAnsi="mylotus" w:cs="mylotus"/>
          <w:sz w:val="23"/>
          <w:szCs w:val="23"/>
          <w:rtl/>
          <w:lang w:bidi="fa-IR"/>
        </w:rPr>
        <w:t xml:space="preserve"> بعض كتب الأستاذ طبعت ضمن هذه المجموعة</w:t>
      </w:r>
      <w:r w:rsidRPr="00563AE6">
        <w:rPr>
          <w:rFonts w:ascii="mylotus" w:eastAsia="B Badr" w:hAnsi="mylotus" w:cs="mylotus" w:hint="cs"/>
          <w:sz w:val="23"/>
          <w:szCs w:val="23"/>
          <w:rtl/>
          <w:lang w:bidi="fa-IR"/>
        </w:rPr>
        <w:t>،</w:t>
      </w:r>
      <w:r w:rsidRPr="00563AE6">
        <w:rPr>
          <w:rFonts w:ascii="mylotus" w:eastAsia="B Badr" w:hAnsi="mylotus" w:cs="mylotus"/>
          <w:sz w:val="23"/>
          <w:szCs w:val="23"/>
          <w:rtl/>
          <w:lang w:bidi="fa-IR"/>
        </w:rPr>
        <w:t xml:space="preserve"> ومنشور في موقع مجموعة </w:t>
      </w:r>
      <w:r>
        <w:rPr>
          <w:rFonts w:ascii="mylotus" w:eastAsia="B Badr" w:hAnsi="mylotus" w:cs="mylotus" w:hint="cs"/>
          <w:sz w:val="23"/>
          <w:szCs w:val="23"/>
          <w:rtl/>
          <w:lang w:bidi="fa-IR"/>
        </w:rPr>
        <w:t>ال</w:t>
      </w:r>
      <w:r w:rsidRPr="00563AE6">
        <w:rPr>
          <w:rFonts w:ascii="mylotus" w:eastAsia="B Badr" w:hAnsi="mylotus" w:cs="mylotus"/>
          <w:sz w:val="23"/>
          <w:szCs w:val="23"/>
          <w:rtl/>
          <w:lang w:bidi="fa-IR"/>
        </w:rPr>
        <w:t>موحدين على شبكة الإنترنت</w:t>
      </w:r>
      <w:r w:rsidRPr="00563AE6">
        <w:rPr>
          <w:rFonts w:ascii="mylotus" w:eastAsia="B Badr" w:hAnsi="mylotus" w:cs="mylotus" w:hint="cs"/>
          <w:sz w:val="23"/>
          <w:szCs w:val="23"/>
          <w:rtl/>
          <w:lang w:bidi="fa-IR"/>
        </w:rPr>
        <w:t>:</w:t>
      </w:r>
    </w:p>
    <w:p w:rsidR="00B31118" w:rsidRPr="00563AE6" w:rsidRDefault="00B31118" w:rsidP="00B300C9">
      <w:pPr>
        <w:pStyle w:val="FootnoteText"/>
        <w:bidi w:val="0"/>
        <w:spacing w:line="228" w:lineRule="auto"/>
        <w:jc w:val="both"/>
        <w:rPr>
          <w:rFonts w:eastAsia="B Badr" w:cs="Times New Roman"/>
          <w:spacing w:val="4"/>
          <w:sz w:val="23"/>
          <w:szCs w:val="23"/>
          <w:rtl/>
          <w:lang w:bidi="fa-IR"/>
        </w:rPr>
      </w:pPr>
      <w:r w:rsidRPr="00563AE6">
        <w:rPr>
          <w:rFonts w:eastAsia="B Badr" w:cs="Times New Roman"/>
          <w:spacing w:val="4"/>
          <w:sz w:val="23"/>
          <w:szCs w:val="23"/>
          <w:lang w:bidi="fa-IR"/>
        </w:rPr>
        <w:t>http://www.mowahedin.com</w:t>
      </w:r>
    </w:p>
  </w:footnote>
  <w:footnote w:id="4">
    <w:p w:rsidR="00B31118" w:rsidRPr="00563AE6" w:rsidRDefault="00B31118" w:rsidP="00B300C9">
      <w:pPr>
        <w:pStyle w:val="FootnoteText"/>
        <w:spacing w:line="228" w:lineRule="auto"/>
        <w:ind w:left="378" w:hanging="378"/>
        <w:jc w:val="both"/>
        <w:rPr>
          <w:rFonts w:cs="mylotus" w:hint="cs"/>
          <w:sz w:val="23"/>
          <w:szCs w:val="23"/>
        </w:rPr>
      </w:pPr>
      <w:r w:rsidRPr="00563AE6">
        <w:rPr>
          <w:rStyle w:val="FootnoteReference"/>
          <w:rFonts w:cs="mylotus"/>
          <w:sz w:val="23"/>
          <w:szCs w:val="23"/>
          <w:vertAlign w:val="baseline"/>
          <w:rtl/>
        </w:rPr>
        <w:footnoteRef/>
      </w:r>
      <w:r>
        <w:rPr>
          <w:rFonts w:cs="mylotus"/>
          <w:sz w:val="23"/>
          <w:szCs w:val="23"/>
          <w:rtl/>
        </w:rPr>
        <w:t>-</w:t>
      </w:r>
      <w:r w:rsidRPr="00563AE6">
        <w:rPr>
          <w:rFonts w:cs="mylotus" w:hint="cs"/>
          <w:sz w:val="23"/>
          <w:szCs w:val="23"/>
          <w:rtl/>
        </w:rPr>
        <w:t xml:space="preserve"> كما قال تعالى: </w:t>
      </w:r>
      <w:r w:rsidRPr="00563AE6">
        <w:rPr>
          <w:rFonts w:cs="Traditional Arabic" w:hint="cs"/>
          <w:sz w:val="23"/>
          <w:szCs w:val="23"/>
          <w:rtl/>
        </w:rPr>
        <w:t>﴿</w:t>
      </w:r>
      <w:r w:rsidRPr="00563AE6">
        <w:rPr>
          <w:rFonts w:ascii="KFGQPC Uthmanic Script HAFS" w:cs="KFGQPC Uthmanic Script HAFS" w:hint="eastAsia"/>
          <w:sz w:val="23"/>
          <w:szCs w:val="23"/>
          <w:rtl/>
        </w:rPr>
        <w:t>أَنَّ</w:t>
      </w:r>
      <w:r w:rsidRPr="00563AE6">
        <w:rPr>
          <w:rFonts w:ascii="KFGQPC Uthmanic Script HAFS" w:cs="KFGQPC Uthmanic Script HAFS"/>
          <w:sz w:val="23"/>
          <w:szCs w:val="23"/>
          <w:rtl/>
        </w:rPr>
        <w:t xml:space="preserve"> </w:t>
      </w:r>
      <w:r w:rsidRPr="00563AE6">
        <w:rPr>
          <w:rFonts w:ascii="KFGQPC Uthmanic Script HAFS" w:cs="KFGQPC Uthmanic Script HAFS" w:hint="cs"/>
          <w:sz w:val="23"/>
          <w:szCs w:val="23"/>
          <w:rtl/>
        </w:rPr>
        <w:t>ٱ</w:t>
      </w:r>
      <w:r w:rsidRPr="00563AE6">
        <w:rPr>
          <w:rFonts w:ascii="KFGQPC Uthmanic Script HAFS" w:cs="KFGQPC Uthmanic Script HAFS" w:hint="eastAsia"/>
          <w:sz w:val="23"/>
          <w:szCs w:val="23"/>
          <w:rtl/>
        </w:rPr>
        <w:t>للَّهَ</w:t>
      </w:r>
      <w:r w:rsidRPr="00563AE6">
        <w:rPr>
          <w:rFonts w:ascii="KFGQPC Uthmanic Script HAFS" w:cs="KFGQPC Uthmanic Script HAFS"/>
          <w:sz w:val="23"/>
          <w:szCs w:val="23"/>
          <w:rtl/>
        </w:rPr>
        <w:t xml:space="preserve"> </w:t>
      </w:r>
      <w:r w:rsidRPr="00563AE6">
        <w:rPr>
          <w:rFonts w:ascii="KFGQPC Uthmanic Script HAFS" w:cs="KFGQPC Uthmanic Script HAFS" w:hint="eastAsia"/>
          <w:sz w:val="23"/>
          <w:szCs w:val="23"/>
          <w:rtl/>
        </w:rPr>
        <w:t>سَخَّرَ</w:t>
      </w:r>
      <w:r w:rsidRPr="00563AE6">
        <w:rPr>
          <w:rFonts w:ascii="KFGQPC Uthmanic Script HAFS" w:cs="KFGQPC Uthmanic Script HAFS"/>
          <w:sz w:val="23"/>
          <w:szCs w:val="23"/>
          <w:rtl/>
        </w:rPr>
        <w:t xml:space="preserve"> </w:t>
      </w:r>
      <w:r w:rsidRPr="00563AE6">
        <w:rPr>
          <w:rFonts w:ascii="KFGQPC Uthmanic Script HAFS" w:cs="KFGQPC Uthmanic Script HAFS" w:hint="eastAsia"/>
          <w:sz w:val="23"/>
          <w:szCs w:val="23"/>
          <w:rtl/>
        </w:rPr>
        <w:t>لَكُم</w:t>
      </w:r>
      <w:r w:rsidRPr="00563AE6">
        <w:rPr>
          <w:rFonts w:ascii="KFGQPC Uthmanic Script HAFS" w:cs="KFGQPC Uthmanic Script HAFS"/>
          <w:sz w:val="23"/>
          <w:szCs w:val="23"/>
          <w:rtl/>
        </w:rPr>
        <w:t xml:space="preserve"> </w:t>
      </w:r>
      <w:r w:rsidRPr="00563AE6">
        <w:rPr>
          <w:rFonts w:ascii="KFGQPC Uthmanic Script HAFS" w:cs="KFGQPC Uthmanic Script HAFS" w:hint="eastAsia"/>
          <w:sz w:val="23"/>
          <w:szCs w:val="23"/>
          <w:rtl/>
        </w:rPr>
        <w:t>مَّا</w:t>
      </w:r>
      <w:r w:rsidRPr="00563AE6">
        <w:rPr>
          <w:rFonts w:ascii="KFGQPC Uthmanic Script HAFS" w:cs="KFGQPC Uthmanic Script HAFS"/>
          <w:sz w:val="23"/>
          <w:szCs w:val="23"/>
          <w:rtl/>
        </w:rPr>
        <w:t xml:space="preserve"> </w:t>
      </w:r>
      <w:r w:rsidRPr="00563AE6">
        <w:rPr>
          <w:rFonts w:ascii="KFGQPC Uthmanic Script HAFS" w:cs="KFGQPC Uthmanic Script HAFS" w:hint="eastAsia"/>
          <w:sz w:val="23"/>
          <w:szCs w:val="23"/>
          <w:rtl/>
        </w:rPr>
        <w:t>فِي</w:t>
      </w:r>
      <w:r w:rsidRPr="00563AE6">
        <w:rPr>
          <w:rFonts w:ascii="KFGQPC Uthmanic Script HAFS" w:cs="KFGQPC Uthmanic Script HAFS"/>
          <w:sz w:val="23"/>
          <w:szCs w:val="23"/>
          <w:rtl/>
        </w:rPr>
        <w:t xml:space="preserve"> </w:t>
      </w:r>
      <w:r w:rsidRPr="00563AE6">
        <w:rPr>
          <w:rFonts w:ascii="KFGQPC Uthmanic Script HAFS" w:cs="KFGQPC Uthmanic Script HAFS" w:hint="cs"/>
          <w:sz w:val="23"/>
          <w:szCs w:val="23"/>
          <w:rtl/>
        </w:rPr>
        <w:t>ٱ</w:t>
      </w:r>
      <w:r w:rsidRPr="00563AE6">
        <w:rPr>
          <w:rFonts w:ascii="KFGQPC Uthmanic Script HAFS" w:cs="KFGQPC Uthmanic Script HAFS" w:hint="eastAsia"/>
          <w:sz w:val="23"/>
          <w:szCs w:val="23"/>
          <w:rtl/>
        </w:rPr>
        <w:t>لسَّمَ</w:t>
      </w:r>
      <w:r w:rsidRPr="00563AE6">
        <w:rPr>
          <w:rFonts w:ascii="KFGQPC Uthmanic Script HAFS" w:cs="KFGQPC Uthmanic Script HAFS" w:hint="cs"/>
          <w:sz w:val="23"/>
          <w:szCs w:val="23"/>
          <w:rtl/>
        </w:rPr>
        <w:t>ٰ</w:t>
      </w:r>
      <w:r w:rsidRPr="00563AE6">
        <w:rPr>
          <w:rFonts w:ascii="KFGQPC Uthmanic Script HAFS" w:cs="KFGQPC Uthmanic Script HAFS" w:hint="eastAsia"/>
          <w:sz w:val="23"/>
          <w:szCs w:val="23"/>
          <w:rtl/>
        </w:rPr>
        <w:t>وَ</w:t>
      </w:r>
      <w:r w:rsidRPr="00563AE6">
        <w:rPr>
          <w:rFonts w:ascii="KFGQPC Uthmanic Script HAFS" w:cs="KFGQPC Uthmanic Script HAFS" w:hint="cs"/>
          <w:sz w:val="23"/>
          <w:szCs w:val="23"/>
          <w:rtl/>
        </w:rPr>
        <w:t>ٰ</w:t>
      </w:r>
      <w:r w:rsidRPr="00563AE6">
        <w:rPr>
          <w:rFonts w:ascii="KFGQPC Uthmanic Script HAFS" w:cs="KFGQPC Uthmanic Script HAFS" w:hint="eastAsia"/>
          <w:sz w:val="23"/>
          <w:szCs w:val="23"/>
          <w:rtl/>
        </w:rPr>
        <w:t>تِ</w:t>
      </w:r>
      <w:r w:rsidRPr="00563AE6">
        <w:rPr>
          <w:rFonts w:ascii="KFGQPC Uthmanic Script HAFS" w:cs="KFGQPC Uthmanic Script HAFS"/>
          <w:sz w:val="23"/>
          <w:szCs w:val="23"/>
          <w:rtl/>
        </w:rPr>
        <w:t xml:space="preserve"> </w:t>
      </w:r>
      <w:r w:rsidRPr="00563AE6">
        <w:rPr>
          <w:rFonts w:ascii="KFGQPC Uthmanic Script HAFS" w:cs="KFGQPC Uthmanic Script HAFS" w:hint="eastAsia"/>
          <w:sz w:val="23"/>
          <w:szCs w:val="23"/>
          <w:rtl/>
        </w:rPr>
        <w:t>وَمَا</w:t>
      </w:r>
      <w:r w:rsidRPr="00563AE6">
        <w:rPr>
          <w:rFonts w:ascii="KFGQPC Uthmanic Script HAFS" w:cs="KFGQPC Uthmanic Script HAFS"/>
          <w:sz w:val="23"/>
          <w:szCs w:val="23"/>
          <w:rtl/>
        </w:rPr>
        <w:t xml:space="preserve"> </w:t>
      </w:r>
      <w:r w:rsidRPr="00563AE6">
        <w:rPr>
          <w:rFonts w:ascii="KFGQPC Uthmanic Script HAFS" w:cs="KFGQPC Uthmanic Script HAFS" w:hint="eastAsia"/>
          <w:sz w:val="23"/>
          <w:szCs w:val="23"/>
          <w:rtl/>
        </w:rPr>
        <w:t>فِي</w:t>
      </w:r>
      <w:r w:rsidRPr="00563AE6">
        <w:rPr>
          <w:rFonts w:ascii="KFGQPC Uthmanic Script HAFS" w:cs="KFGQPC Uthmanic Script HAFS"/>
          <w:sz w:val="23"/>
          <w:szCs w:val="23"/>
          <w:rtl/>
        </w:rPr>
        <w:t xml:space="preserve"> </w:t>
      </w:r>
      <w:r w:rsidRPr="00563AE6">
        <w:rPr>
          <w:rFonts w:ascii="KFGQPC Uthmanic Script HAFS" w:cs="KFGQPC Uthmanic Script HAFS" w:hint="cs"/>
          <w:sz w:val="23"/>
          <w:szCs w:val="23"/>
          <w:rtl/>
        </w:rPr>
        <w:t>ٱ</w:t>
      </w:r>
      <w:r w:rsidRPr="00563AE6">
        <w:rPr>
          <w:rFonts w:ascii="KFGQPC Uthmanic Script HAFS" w:cs="KFGQPC Uthmanic Script HAFS" w:hint="eastAsia"/>
          <w:sz w:val="23"/>
          <w:szCs w:val="23"/>
          <w:rtl/>
        </w:rPr>
        <w:t>ل</w:t>
      </w:r>
      <w:r w:rsidRPr="00563AE6">
        <w:rPr>
          <w:rFonts w:ascii="KFGQPC Uthmanic Script HAFS" w:cs="KFGQPC Uthmanic Script HAFS" w:hint="cs"/>
          <w:sz w:val="23"/>
          <w:szCs w:val="23"/>
          <w:rtl/>
        </w:rPr>
        <w:t>ۡ</w:t>
      </w:r>
      <w:r w:rsidRPr="00563AE6">
        <w:rPr>
          <w:rFonts w:ascii="KFGQPC Uthmanic Script HAFS" w:cs="KFGQPC Uthmanic Script HAFS" w:hint="eastAsia"/>
          <w:sz w:val="23"/>
          <w:szCs w:val="23"/>
          <w:rtl/>
        </w:rPr>
        <w:t>أَر</w:t>
      </w:r>
      <w:r w:rsidRPr="00563AE6">
        <w:rPr>
          <w:rFonts w:ascii="KFGQPC Uthmanic Script HAFS" w:cs="KFGQPC Uthmanic Script HAFS" w:hint="cs"/>
          <w:sz w:val="23"/>
          <w:szCs w:val="23"/>
          <w:rtl/>
        </w:rPr>
        <w:t>ۡ</w:t>
      </w:r>
      <w:r w:rsidRPr="00563AE6">
        <w:rPr>
          <w:rFonts w:ascii="KFGQPC Uthmanic Script HAFS" w:cs="KFGQPC Uthmanic Script HAFS" w:hint="eastAsia"/>
          <w:sz w:val="23"/>
          <w:szCs w:val="23"/>
          <w:rtl/>
        </w:rPr>
        <w:t>ضِ</w:t>
      </w:r>
      <w:r w:rsidRPr="00563AE6">
        <w:rPr>
          <w:rFonts w:ascii="KFGQPC Uthmanic Script HAFS" w:cs="KFGQPC Uthmanic Script HAFS"/>
          <w:sz w:val="23"/>
          <w:szCs w:val="23"/>
          <w:rtl/>
        </w:rPr>
        <w:t xml:space="preserve"> </w:t>
      </w:r>
      <w:r w:rsidRPr="00563AE6">
        <w:rPr>
          <w:rFonts w:ascii="KFGQPC Uthmanic Script HAFS" w:cs="KFGQPC Uthmanic Script HAFS" w:hint="eastAsia"/>
          <w:sz w:val="23"/>
          <w:szCs w:val="23"/>
          <w:rtl/>
        </w:rPr>
        <w:t>وَأَس</w:t>
      </w:r>
      <w:r w:rsidRPr="00563AE6">
        <w:rPr>
          <w:rFonts w:ascii="KFGQPC Uthmanic Script HAFS" w:cs="KFGQPC Uthmanic Script HAFS" w:hint="cs"/>
          <w:sz w:val="23"/>
          <w:szCs w:val="23"/>
          <w:rtl/>
        </w:rPr>
        <w:t>ۡ</w:t>
      </w:r>
      <w:r w:rsidRPr="00563AE6">
        <w:rPr>
          <w:rFonts w:ascii="KFGQPC Uthmanic Script HAFS" w:cs="KFGQPC Uthmanic Script HAFS" w:hint="eastAsia"/>
          <w:sz w:val="23"/>
          <w:szCs w:val="23"/>
          <w:rtl/>
        </w:rPr>
        <w:t>بَغَ</w:t>
      </w:r>
      <w:r w:rsidRPr="00563AE6">
        <w:rPr>
          <w:rFonts w:ascii="KFGQPC Uthmanic Script HAFS" w:cs="KFGQPC Uthmanic Script HAFS"/>
          <w:sz w:val="23"/>
          <w:szCs w:val="23"/>
          <w:rtl/>
        </w:rPr>
        <w:t xml:space="preserve"> </w:t>
      </w:r>
      <w:r w:rsidRPr="00563AE6">
        <w:rPr>
          <w:rFonts w:ascii="KFGQPC Uthmanic Script HAFS" w:cs="KFGQPC Uthmanic Script HAFS" w:hint="eastAsia"/>
          <w:sz w:val="23"/>
          <w:szCs w:val="23"/>
          <w:rtl/>
        </w:rPr>
        <w:t>عَلَي</w:t>
      </w:r>
      <w:r w:rsidRPr="00563AE6">
        <w:rPr>
          <w:rFonts w:ascii="KFGQPC Uthmanic Script HAFS" w:cs="KFGQPC Uthmanic Script HAFS" w:hint="cs"/>
          <w:sz w:val="23"/>
          <w:szCs w:val="23"/>
          <w:rtl/>
        </w:rPr>
        <w:t>ۡ</w:t>
      </w:r>
      <w:r w:rsidRPr="00563AE6">
        <w:rPr>
          <w:rFonts w:ascii="KFGQPC Uthmanic Script HAFS" w:cs="KFGQPC Uthmanic Script HAFS" w:hint="eastAsia"/>
          <w:sz w:val="23"/>
          <w:szCs w:val="23"/>
          <w:rtl/>
        </w:rPr>
        <w:t>كُم</w:t>
      </w:r>
      <w:r w:rsidRPr="00563AE6">
        <w:rPr>
          <w:rFonts w:ascii="KFGQPC Uthmanic Script HAFS" w:cs="KFGQPC Uthmanic Script HAFS" w:hint="cs"/>
          <w:sz w:val="23"/>
          <w:szCs w:val="23"/>
          <w:rtl/>
        </w:rPr>
        <w:t>ۡ</w:t>
      </w:r>
      <w:r w:rsidRPr="00563AE6">
        <w:rPr>
          <w:rFonts w:ascii="KFGQPC Uthmanic Script HAFS" w:cs="KFGQPC Uthmanic Script HAFS"/>
          <w:sz w:val="23"/>
          <w:szCs w:val="23"/>
          <w:rtl/>
        </w:rPr>
        <w:t xml:space="preserve"> </w:t>
      </w:r>
      <w:r w:rsidRPr="00563AE6">
        <w:rPr>
          <w:rFonts w:ascii="KFGQPC Uthmanic Script HAFS" w:cs="KFGQPC Uthmanic Script HAFS" w:hint="eastAsia"/>
          <w:sz w:val="23"/>
          <w:szCs w:val="23"/>
          <w:rtl/>
        </w:rPr>
        <w:t>نِعَمَهُ</w:t>
      </w:r>
      <w:r w:rsidRPr="00563AE6">
        <w:rPr>
          <w:rFonts w:ascii="KFGQPC Uthmanic Script HAFS" w:cs="KFGQPC Uthmanic Script HAFS" w:hint="cs"/>
          <w:sz w:val="23"/>
          <w:szCs w:val="23"/>
          <w:rtl/>
        </w:rPr>
        <w:t>ۥ</w:t>
      </w:r>
      <w:r w:rsidRPr="00563AE6">
        <w:rPr>
          <w:rFonts w:ascii="KFGQPC Uthmanic Script HAFS" w:cs="KFGQPC Uthmanic Script HAFS"/>
          <w:sz w:val="23"/>
          <w:szCs w:val="23"/>
          <w:rtl/>
        </w:rPr>
        <w:t xml:space="preserve"> </w:t>
      </w:r>
      <w:r w:rsidRPr="00563AE6">
        <w:rPr>
          <w:rFonts w:ascii="KFGQPC Uthmanic Script HAFS" w:cs="KFGQPC Uthmanic Script HAFS" w:hint="eastAsia"/>
          <w:sz w:val="23"/>
          <w:szCs w:val="23"/>
          <w:rtl/>
        </w:rPr>
        <w:t>ظَ</w:t>
      </w:r>
      <w:r w:rsidRPr="00563AE6">
        <w:rPr>
          <w:rFonts w:ascii="KFGQPC Uthmanic Script HAFS" w:cs="KFGQPC Uthmanic Script HAFS" w:hint="cs"/>
          <w:sz w:val="23"/>
          <w:szCs w:val="23"/>
          <w:rtl/>
        </w:rPr>
        <w:t>ٰ</w:t>
      </w:r>
      <w:r w:rsidRPr="00563AE6">
        <w:rPr>
          <w:rFonts w:ascii="KFGQPC Uthmanic Script HAFS" w:cs="KFGQPC Uthmanic Script HAFS" w:hint="eastAsia"/>
          <w:sz w:val="23"/>
          <w:szCs w:val="23"/>
          <w:rtl/>
        </w:rPr>
        <w:t>هِرَة</w:t>
      </w:r>
      <w:r w:rsidRPr="00563AE6">
        <w:rPr>
          <w:rFonts w:ascii="KFGQPC Uthmanic Script HAFS" w:cs="KFGQPC Uthmanic Script HAFS" w:hint="cs"/>
          <w:sz w:val="23"/>
          <w:szCs w:val="23"/>
          <w:rtl/>
        </w:rPr>
        <w:t>ٗ</w:t>
      </w:r>
      <w:r w:rsidRPr="00563AE6">
        <w:rPr>
          <w:rFonts w:ascii="KFGQPC Uthmanic Script HAFS" w:cs="KFGQPC Uthmanic Script HAFS"/>
          <w:sz w:val="23"/>
          <w:szCs w:val="23"/>
          <w:rtl/>
        </w:rPr>
        <w:t xml:space="preserve"> </w:t>
      </w:r>
      <w:r w:rsidRPr="00563AE6">
        <w:rPr>
          <w:rFonts w:ascii="KFGQPC Uthmanic Script HAFS" w:cs="KFGQPC Uthmanic Script HAFS" w:hint="eastAsia"/>
          <w:sz w:val="23"/>
          <w:szCs w:val="23"/>
          <w:rtl/>
        </w:rPr>
        <w:t>وَبَاطِنَة</w:t>
      </w:r>
      <w:r w:rsidRPr="00563AE6">
        <w:rPr>
          <w:rFonts w:ascii="KFGQPC Uthmanic Script HAFS" w:cs="KFGQPC Uthmanic Script HAFS" w:hint="cs"/>
          <w:sz w:val="23"/>
          <w:szCs w:val="23"/>
          <w:rtl/>
        </w:rPr>
        <w:t>ٗ</w:t>
      </w:r>
      <w:r w:rsidRPr="00563AE6">
        <w:rPr>
          <w:rFonts w:ascii="KFGQPC Uthmanic Script HAFS" w:cs="Times New Roman" w:hint="cs"/>
          <w:sz w:val="23"/>
          <w:szCs w:val="23"/>
          <w:rtl/>
        </w:rPr>
        <w:t>...</w:t>
      </w:r>
      <w:r w:rsidRPr="00563AE6">
        <w:rPr>
          <w:rFonts w:cs="Traditional Arabic" w:hint="cs"/>
          <w:sz w:val="23"/>
          <w:szCs w:val="23"/>
          <w:rtl/>
        </w:rPr>
        <w:t>﴾</w:t>
      </w:r>
      <w:r w:rsidRPr="00563AE6">
        <w:rPr>
          <w:rFonts w:cs="mylotus" w:hint="cs"/>
          <w:sz w:val="23"/>
          <w:szCs w:val="23"/>
          <w:rtl/>
        </w:rPr>
        <w:t xml:space="preserve"> [لقمان:20] وقال: </w:t>
      </w:r>
      <w:r w:rsidRPr="00563AE6">
        <w:rPr>
          <w:rFonts w:cs="Traditional Arabic" w:hint="cs"/>
          <w:sz w:val="23"/>
          <w:szCs w:val="23"/>
          <w:rtl/>
        </w:rPr>
        <w:t>﴿</w:t>
      </w:r>
      <w:r w:rsidRPr="00563AE6">
        <w:rPr>
          <w:rFonts w:ascii="KFGQPC Uthmanic Script HAFS" w:cs="KFGQPC Uthmanic Script HAFS" w:hint="eastAsia"/>
          <w:sz w:val="23"/>
          <w:szCs w:val="23"/>
          <w:rtl/>
        </w:rPr>
        <w:t>وَلَقَد</w:t>
      </w:r>
      <w:r w:rsidRPr="00563AE6">
        <w:rPr>
          <w:rFonts w:ascii="KFGQPC Uthmanic Script HAFS" w:cs="KFGQPC Uthmanic Script HAFS" w:hint="cs"/>
          <w:sz w:val="23"/>
          <w:szCs w:val="23"/>
          <w:rtl/>
        </w:rPr>
        <w:t>ۡ</w:t>
      </w:r>
      <w:r w:rsidRPr="00563AE6">
        <w:rPr>
          <w:rFonts w:ascii="KFGQPC Uthmanic Script HAFS" w:cs="KFGQPC Uthmanic Script HAFS"/>
          <w:sz w:val="23"/>
          <w:szCs w:val="23"/>
          <w:rtl/>
        </w:rPr>
        <w:t xml:space="preserve"> </w:t>
      </w:r>
      <w:r w:rsidRPr="00563AE6">
        <w:rPr>
          <w:rFonts w:ascii="KFGQPC Uthmanic Script HAFS" w:cs="KFGQPC Uthmanic Script HAFS" w:hint="eastAsia"/>
          <w:sz w:val="23"/>
          <w:szCs w:val="23"/>
          <w:rtl/>
        </w:rPr>
        <w:t>كَرَّم</w:t>
      </w:r>
      <w:r w:rsidRPr="00563AE6">
        <w:rPr>
          <w:rFonts w:ascii="KFGQPC Uthmanic Script HAFS" w:cs="KFGQPC Uthmanic Script HAFS" w:hint="cs"/>
          <w:sz w:val="23"/>
          <w:szCs w:val="23"/>
          <w:rtl/>
        </w:rPr>
        <w:t>ۡ</w:t>
      </w:r>
      <w:r w:rsidRPr="00563AE6">
        <w:rPr>
          <w:rFonts w:ascii="KFGQPC Uthmanic Script HAFS" w:cs="KFGQPC Uthmanic Script HAFS" w:hint="eastAsia"/>
          <w:sz w:val="23"/>
          <w:szCs w:val="23"/>
          <w:rtl/>
        </w:rPr>
        <w:t>نَا</w:t>
      </w:r>
      <w:r w:rsidRPr="00563AE6">
        <w:rPr>
          <w:rFonts w:ascii="KFGQPC Uthmanic Script HAFS" w:cs="KFGQPC Uthmanic Script HAFS"/>
          <w:sz w:val="23"/>
          <w:szCs w:val="23"/>
          <w:rtl/>
        </w:rPr>
        <w:t xml:space="preserve"> </w:t>
      </w:r>
      <w:r w:rsidRPr="00563AE6">
        <w:rPr>
          <w:rFonts w:ascii="KFGQPC Uthmanic Script HAFS" w:cs="KFGQPC Uthmanic Script HAFS" w:hint="eastAsia"/>
          <w:sz w:val="23"/>
          <w:szCs w:val="23"/>
          <w:rtl/>
        </w:rPr>
        <w:t>بَنِي</w:t>
      </w:r>
      <w:r w:rsidRPr="00563AE6">
        <w:rPr>
          <w:rFonts w:ascii="KFGQPC Uthmanic Script HAFS" w:cs="KFGQPC Uthmanic Script HAFS" w:hint="cs"/>
          <w:sz w:val="23"/>
          <w:szCs w:val="23"/>
          <w:rtl/>
        </w:rPr>
        <w:t>ٓ</w:t>
      </w:r>
      <w:r w:rsidRPr="00563AE6">
        <w:rPr>
          <w:rFonts w:ascii="KFGQPC Uthmanic Script HAFS" w:cs="KFGQPC Uthmanic Script HAFS"/>
          <w:sz w:val="23"/>
          <w:szCs w:val="23"/>
          <w:rtl/>
        </w:rPr>
        <w:t xml:space="preserve"> </w:t>
      </w:r>
      <w:r w:rsidRPr="00563AE6">
        <w:rPr>
          <w:rFonts w:ascii="KFGQPC Uthmanic Script HAFS" w:cs="KFGQPC Uthmanic Script HAFS" w:hint="eastAsia"/>
          <w:sz w:val="23"/>
          <w:szCs w:val="23"/>
          <w:rtl/>
        </w:rPr>
        <w:t>ءَادَمَ</w:t>
      </w:r>
      <w:r w:rsidRPr="00563AE6">
        <w:rPr>
          <w:rFonts w:ascii="KFGQPC Uthmanic Script HAFS" w:cs="KFGQPC Uthmanic Script HAFS"/>
          <w:sz w:val="23"/>
          <w:szCs w:val="23"/>
          <w:rtl/>
        </w:rPr>
        <w:t xml:space="preserve"> </w:t>
      </w:r>
      <w:r w:rsidRPr="00563AE6">
        <w:rPr>
          <w:rFonts w:ascii="KFGQPC Uthmanic Script HAFS" w:cs="KFGQPC Uthmanic Script HAFS" w:hint="eastAsia"/>
          <w:sz w:val="23"/>
          <w:szCs w:val="23"/>
          <w:rtl/>
        </w:rPr>
        <w:t>وَحَمَل</w:t>
      </w:r>
      <w:r w:rsidRPr="00563AE6">
        <w:rPr>
          <w:rFonts w:ascii="KFGQPC Uthmanic Script HAFS" w:cs="KFGQPC Uthmanic Script HAFS" w:hint="cs"/>
          <w:sz w:val="23"/>
          <w:szCs w:val="23"/>
          <w:rtl/>
        </w:rPr>
        <w:t>ۡ</w:t>
      </w:r>
      <w:r w:rsidRPr="00563AE6">
        <w:rPr>
          <w:rFonts w:ascii="KFGQPC Uthmanic Script HAFS" w:cs="KFGQPC Uthmanic Script HAFS" w:hint="eastAsia"/>
          <w:sz w:val="23"/>
          <w:szCs w:val="23"/>
          <w:rtl/>
        </w:rPr>
        <w:t>نَ</w:t>
      </w:r>
      <w:r w:rsidRPr="00563AE6">
        <w:rPr>
          <w:rFonts w:ascii="KFGQPC Uthmanic Script HAFS" w:cs="KFGQPC Uthmanic Script HAFS" w:hint="cs"/>
          <w:sz w:val="23"/>
          <w:szCs w:val="23"/>
          <w:rtl/>
        </w:rPr>
        <w:t>ٰ</w:t>
      </w:r>
      <w:r w:rsidRPr="00563AE6">
        <w:rPr>
          <w:rFonts w:ascii="KFGQPC Uthmanic Script HAFS" w:cs="KFGQPC Uthmanic Script HAFS" w:hint="eastAsia"/>
          <w:sz w:val="23"/>
          <w:szCs w:val="23"/>
          <w:rtl/>
        </w:rPr>
        <w:t>هُم</w:t>
      </w:r>
      <w:r w:rsidRPr="00563AE6">
        <w:rPr>
          <w:rFonts w:ascii="KFGQPC Uthmanic Script HAFS" w:cs="KFGQPC Uthmanic Script HAFS" w:hint="cs"/>
          <w:sz w:val="23"/>
          <w:szCs w:val="23"/>
          <w:rtl/>
        </w:rPr>
        <w:t>ۡ</w:t>
      </w:r>
      <w:r w:rsidRPr="00563AE6">
        <w:rPr>
          <w:rFonts w:ascii="KFGQPC Uthmanic Script HAFS" w:cs="KFGQPC Uthmanic Script HAFS"/>
          <w:sz w:val="23"/>
          <w:szCs w:val="23"/>
          <w:rtl/>
        </w:rPr>
        <w:t xml:space="preserve"> </w:t>
      </w:r>
      <w:r w:rsidRPr="00563AE6">
        <w:rPr>
          <w:rFonts w:ascii="KFGQPC Uthmanic Script HAFS" w:cs="KFGQPC Uthmanic Script HAFS" w:hint="eastAsia"/>
          <w:sz w:val="23"/>
          <w:szCs w:val="23"/>
          <w:rtl/>
        </w:rPr>
        <w:t>فِي</w:t>
      </w:r>
      <w:r w:rsidRPr="00563AE6">
        <w:rPr>
          <w:rFonts w:ascii="KFGQPC Uthmanic Script HAFS" w:cs="KFGQPC Uthmanic Script HAFS"/>
          <w:sz w:val="23"/>
          <w:szCs w:val="23"/>
          <w:rtl/>
        </w:rPr>
        <w:t xml:space="preserve"> </w:t>
      </w:r>
      <w:r w:rsidRPr="00563AE6">
        <w:rPr>
          <w:rFonts w:ascii="KFGQPC Uthmanic Script HAFS" w:cs="KFGQPC Uthmanic Script HAFS" w:hint="cs"/>
          <w:sz w:val="23"/>
          <w:szCs w:val="23"/>
          <w:rtl/>
        </w:rPr>
        <w:t>ٱ</w:t>
      </w:r>
      <w:r w:rsidRPr="00563AE6">
        <w:rPr>
          <w:rFonts w:ascii="KFGQPC Uthmanic Script HAFS" w:cs="KFGQPC Uthmanic Script HAFS" w:hint="eastAsia"/>
          <w:sz w:val="23"/>
          <w:szCs w:val="23"/>
          <w:rtl/>
        </w:rPr>
        <w:t>ل</w:t>
      </w:r>
      <w:r w:rsidRPr="00563AE6">
        <w:rPr>
          <w:rFonts w:ascii="KFGQPC Uthmanic Script HAFS" w:cs="KFGQPC Uthmanic Script HAFS" w:hint="cs"/>
          <w:sz w:val="23"/>
          <w:szCs w:val="23"/>
          <w:rtl/>
        </w:rPr>
        <w:t>ۡ</w:t>
      </w:r>
      <w:r w:rsidRPr="00563AE6">
        <w:rPr>
          <w:rFonts w:ascii="KFGQPC Uthmanic Script HAFS" w:cs="KFGQPC Uthmanic Script HAFS" w:hint="eastAsia"/>
          <w:sz w:val="23"/>
          <w:szCs w:val="23"/>
          <w:rtl/>
        </w:rPr>
        <w:t>بَرِّ</w:t>
      </w:r>
      <w:r w:rsidRPr="00563AE6">
        <w:rPr>
          <w:rFonts w:ascii="KFGQPC Uthmanic Script HAFS" w:cs="KFGQPC Uthmanic Script HAFS"/>
          <w:sz w:val="23"/>
          <w:szCs w:val="23"/>
          <w:rtl/>
        </w:rPr>
        <w:t xml:space="preserve"> </w:t>
      </w:r>
      <w:r w:rsidRPr="00563AE6">
        <w:rPr>
          <w:rFonts w:ascii="KFGQPC Uthmanic Script HAFS" w:cs="KFGQPC Uthmanic Script HAFS" w:hint="eastAsia"/>
          <w:sz w:val="23"/>
          <w:szCs w:val="23"/>
          <w:rtl/>
        </w:rPr>
        <w:t>وَ</w:t>
      </w:r>
      <w:r w:rsidRPr="00563AE6">
        <w:rPr>
          <w:rFonts w:ascii="KFGQPC Uthmanic Script HAFS" w:cs="KFGQPC Uthmanic Script HAFS" w:hint="cs"/>
          <w:sz w:val="23"/>
          <w:szCs w:val="23"/>
          <w:rtl/>
        </w:rPr>
        <w:t>ٱ</w:t>
      </w:r>
      <w:r w:rsidRPr="00563AE6">
        <w:rPr>
          <w:rFonts w:ascii="KFGQPC Uthmanic Script HAFS" w:cs="KFGQPC Uthmanic Script HAFS" w:hint="eastAsia"/>
          <w:sz w:val="23"/>
          <w:szCs w:val="23"/>
          <w:rtl/>
        </w:rPr>
        <w:t>ل</w:t>
      </w:r>
      <w:r w:rsidRPr="00563AE6">
        <w:rPr>
          <w:rFonts w:ascii="KFGQPC Uthmanic Script HAFS" w:cs="KFGQPC Uthmanic Script HAFS" w:hint="cs"/>
          <w:sz w:val="23"/>
          <w:szCs w:val="23"/>
          <w:rtl/>
        </w:rPr>
        <w:t>ۡ</w:t>
      </w:r>
      <w:r w:rsidRPr="00563AE6">
        <w:rPr>
          <w:rFonts w:ascii="KFGQPC Uthmanic Script HAFS" w:cs="KFGQPC Uthmanic Script HAFS" w:hint="eastAsia"/>
          <w:sz w:val="23"/>
          <w:szCs w:val="23"/>
          <w:rtl/>
        </w:rPr>
        <w:t>بَح</w:t>
      </w:r>
      <w:r w:rsidRPr="00563AE6">
        <w:rPr>
          <w:rFonts w:ascii="KFGQPC Uthmanic Script HAFS" w:cs="KFGQPC Uthmanic Script HAFS" w:hint="cs"/>
          <w:sz w:val="23"/>
          <w:szCs w:val="23"/>
          <w:rtl/>
        </w:rPr>
        <w:t>ۡ</w:t>
      </w:r>
      <w:r w:rsidRPr="00563AE6">
        <w:rPr>
          <w:rFonts w:ascii="KFGQPC Uthmanic Script HAFS" w:cs="KFGQPC Uthmanic Script HAFS" w:hint="eastAsia"/>
          <w:sz w:val="23"/>
          <w:szCs w:val="23"/>
          <w:rtl/>
        </w:rPr>
        <w:t>رِ</w:t>
      </w:r>
      <w:r w:rsidRPr="00563AE6">
        <w:rPr>
          <w:rFonts w:ascii="KFGQPC Uthmanic Script HAFS" w:cs="KFGQPC Uthmanic Script HAFS"/>
          <w:sz w:val="23"/>
          <w:szCs w:val="23"/>
          <w:rtl/>
        </w:rPr>
        <w:t xml:space="preserve"> </w:t>
      </w:r>
      <w:r w:rsidRPr="00563AE6">
        <w:rPr>
          <w:rFonts w:ascii="KFGQPC Uthmanic Script HAFS" w:cs="KFGQPC Uthmanic Script HAFS" w:hint="eastAsia"/>
          <w:sz w:val="23"/>
          <w:szCs w:val="23"/>
          <w:rtl/>
        </w:rPr>
        <w:t>وَرَزَق</w:t>
      </w:r>
      <w:r w:rsidRPr="00563AE6">
        <w:rPr>
          <w:rFonts w:ascii="KFGQPC Uthmanic Script HAFS" w:cs="KFGQPC Uthmanic Script HAFS" w:hint="cs"/>
          <w:sz w:val="23"/>
          <w:szCs w:val="23"/>
          <w:rtl/>
        </w:rPr>
        <w:t>ۡ</w:t>
      </w:r>
      <w:r w:rsidRPr="00563AE6">
        <w:rPr>
          <w:rFonts w:ascii="KFGQPC Uthmanic Script HAFS" w:cs="KFGQPC Uthmanic Script HAFS" w:hint="eastAsia"/>
          <w:sz w:val="23"/>
          <w:szCs w:val="23"/>
          <w:rtl/>
        </w:rPr>
        <w:t>نَ</w:t>
      </w:r>
      <w:r w:rsidRPr="00563AE6">
        <w:rPr>
          <w:rFonts w:ascii="KFGQPC Uthmanic Script HAFS" w:cs="KFGQPC Uthmanic Script HAFS" w:hint="cs"/>
          <w:sz w:val="23"/>
          <w:szCs w:val="23"/>
          <w:rtl/>
        </w:rPr>
        <w:t>ٰ</w:t>
      </w:r>
      <w:r w:rsidRPr="00563AE6">
        <w:rPr>
          <w:rFonts w:ascii="KFGQPC Uthmanic Script HAFS" w:cs="KFGQPC Uthmanic Script HAFS" w:hint="eastAsia"/>
          <w:sz w:val="23"/>
          <w:szCs w:val="23"/>
          <w:rtl/>
        </w:rPr>
        <w:t>هُم</w:t>
      </w:r>
      <w:r w:rsidRPr="00563AE6">
        <w:rPr>
          <w:rFonts w:ascii="KFGQPC Uthmanic Script HAFS" w:cs="KFGQPC Uthmanic Script HAFS"/>
          <w:sz w:val="23"/>
          <w:szCs w:val="23"/>
          <w:rtl/>
        </w:rPr>
        <w:t xml:space="preserve"> </w:t>
      </w:r>
      <w:r w:rsidRPr="00563AE6">
        <w:rPr>
          <w:rFonts w:ascii="KFGQPC Uthmanic Script HAFS" w:cs="KFGQPC Uthmanic Script HAFS" w:hint="eastAsia"/>
          <w:sz w:val="23"/>
          <w:szCs w:val="23"/>
          <w:rtl/>
        </w:rPr>
        <w:t>مِّنَ</w:t>
      </w:r>
      <w:r w:rsidRPr="00563AE6">
        <w:rPr>
          <w:rFonts w:ascii="KFGQPC Uthmanic Script HAFS" w:cs="KFGQPC Uthmanic Script HAFS"/>
          <w:sz w:val="23"/>
          <w:szCs w:val="23"/>
          <w:rtl/>
        </w:rPr>
        <w:t xml:space="preserve"> </w:t>
      </w:r>
      <w:r w:rsidRPr="00563AE6">
        <w:rPr>
          <w:rFonts w:ascii="KFGQPC Uthmanic Script HAFS" w:cs="KFGQPC Uthmanic Script HAFS" w:hint="cs"/>
          <w:sz w:val="23"/>
          <w:szCs w:val="23"/>
          <w:rtl/>
        </w:rPr>
        <w:t>ٱ</w:t>
      </w:r>
      <w:r w:rsidRPr="00563AE6">
        <w:rPr>
          <w:rFonts w:ascii="KFGQPC Uthmanic Script HAFS" w:cs="KFGQPC Uthmanic Script HAFS" w:hint="eastAsia"/>
          <w:sz w:val="23"/>
          <w:szCs w:val="23"/>
          <w:rtl/>
        </w:rPr>
        <w:t>لطَّيِّبَ</w:t>
      </w:r>
      <w:r w:rsidRPr="00563AE6">
        <w:rPr>
          <w:rFonts w:ascii="KFGQPC Uthmanic Script HAFS" w:cs="KFGQPC Uthmanic Script HAFS" w:hint="cs"/>
          <w:sz w:val="23"/>
          <w:szCs w:val="23"/>
          <w:rtl/>
        </w:rPr>
        <w:t>ٰ</w:t>
      </w:r>
      <w:r w:rsidRPr="00563AE6">
        <w:rPr>
          <w:rFonts w:ascii="KFGQPC Uthmanic Script HAFS" w:cs="KFGQPC Uthmanic Script HAFS" w:hint="eastAsia"/>
          <w:sz w:val="23"/>
          <w:szCs w:val="23"/>
          <w:rtl/>
        </w:rPr>
        <w:t>تِ</w:t>
      </w:r>
      <w:r w:rsidRPr="00563AE6">
        <w:rPr>
          <w:rFonts w:ascii="KFGQPC Uthmanic Script HAFS" w:cs="KFGQPC Uthmanic Script HAFS"/>
          <w:sz w:val="23"/>
          <w:szCs w:val="23"/>
          <w:rtl/>
        </w:rPr>
        <w:t xml:space="preserve"> </w:t>
      </w:r>
      <w:r w:rsidRPr="00563AE6">
        <w:rPr>
          <w:rFonts w:ascii="KFGQPC Uthmanic Script HAFS" w:cs="KFGQPC Uthmanic Script HAFS" w:hint="eastAsia"/>
          <w:sz w:val="23"/>
          <w:szCs w:val="23"/>
          <w:rtl/>
        </w:rPr>
        <w:t>وَفَضَّل</w:t>
      </w:r>
      <w:r w:rsidRPr="00563AE6">
        <w:rPr>
          <w:rFonts w:ascii="KFGQPC Uthmanic Script HAFS" w:cs="KFGQPC Uthmanic Script HAFS" w:hint="cs"/>
          <w:sz w:val="23"/>
          <w:szCs w:val="23"/>
          <w:rtl/>
        </w:rPr>
        <w:t>ۡ</w:t>
      </w:r>
      <w:r w:rsidRPr="00563AE6">
        <w:rPr>
          <w:rFonts w:ascii="KFGQPC Uthmanic Script HAFS" w:cs="KFGQPC Uthmanic Script HAFS" w:hint="eastAsia"/>
          <w:sz w:val="23"/>
          <w:szCs w:val="23"/>
          <w:rtl/>
        </w:rPr>
        <w:t>نَ</w:t>
      </w:r>
      <w:r w:rsidRPr="00563AE6">
        <w:rPr>
          <w:rFonts w:ascii="KFGQPC Uthmanic Script HAFS" w:cs="KFGQPC Uthmanic Script HAFS" w:hint="cs"/>
          <w:sz w:val="23"/>
          <w:szCs w:val="23"/>
          <w:rtl/>
        </w:rPr>
        <w:t>ٰ</w:t>
      </w:r>
      <w:r w:rsidRPr="00563AE6">
        <w:rPr>
          <w:rFonts w:ascii="KFGQPC Uthmanic Script HAFS" w:cs="KFGQPC Uthmanic Script HAFS" w:hint="eastAsia"/>
          <w:sz w:val="23"/>
          <w:szCs w:val="23"/>
          <w:rtl/>
        </w:rPr>
        <w:t>هُم</w:t>
      </w:r>
      <w:r w:rsidRPr="00563AE6">
        <w:rPr>
          <w:rFonts w:ascii="KFGQPC Uthmanic Script HAFS" w:cs="KFGQPC Uthmanic Script HAFS" w:hint="cs"/>
          <w:sz w:val="23"/>
          <w:szCs w:val="23"/>
          <w:rtl/>
        </w:rPr>
        <w:t>ۡ</w:t>
      </w:r>
      <w:r w:rsidRPr="00563AE6">
        <w:rPr>
          <w:rFonts w:ascii="KFGQPC Uthmanic Script HAFS" w:cs="KFGQPC Uthmanic Script HAFS"/>
          <w:sz w:val="23"/>
          <w:szCs w:val="23"/>
          <w:rtl/>
        </w:rPr>
        <w:t xml:space="preserve"> </w:t>
      </w:r>
      <w:r w:rsidRPr="00563AE6">
        <w:rPr>
          <w:rFonts w:ascii="KFGQPC Uthmanic Script HAFS" w:cs="KFGQPC Uthmanic Script HAFS" w:hint="eastAsia"/>
          <w:sz w:val="23"/>
          <w:szCs w:val="23"/>
          <w:rtl/>
        </w:rPr>
        <w:t>عَلَى</w:t>
      </w:r>
      <w:r w:rsidRPr="00563AE6">
        <w:rPr>
          <w:rFonts w:ascii="KFGQPC Uthmanic Script HAFS" w:cs="KFGQPC Uthmanic Script HAFS" w:hint="cs"/>
          <w:sz w:val="23"/>
          <w:szCs w:val="23"/>
          <w:rtl/>
        </w:rPr>
        <w:t>ٰ</w:t>
      </w:r>
      <w:r w:rsidRPr="00563AE6">
        <w:rPr>
          <w:rFonts w:ascii="KFGQPC Uthmanic Script HAFS" w:cs="KFGQPC Uthmanic Script HAFS"/>
          <w:sz w:val="23"/>
          <w:szCs w:val="23"/>
          <w:rtl/>
        </w:rPr>
        <w:t xml:space="preserve"> </w:t>
      </w:r>
      <w:r w:rsidRPr="00563AE6">
        <w:rPr>
          <w:rFonts w:ascii="KFGQPC Uthmanic Script HAFS" w:cs="KFGQPC Uthmanic Script HAFS" w:hint="eastAsia"/>
          <w:sz w:val="23"/>
          <w:szCs w:val="23"/>
          <w:rtl/>
        </w:rPr>
        <w:t>كَثِير</w:t>
      </w:r>
      <w:r w:rsidRPr="00563AE6">
        <w:rPr>
          <w:rFonts w:ascii="KFGQPC Uthmanic Script HAFS" w:cs="KFGQPC Uthmanic Script HAFS" w:hint="cs"/>
          <w:sz w:val="23"/>
          <w:szCs w:val="23"/>
          <w:rtl/>
        </w:rPr>
        <w:t>ٖ</w:t>
      </w:r>
      <w:r w:rsidRPr="00563AE6">
        <w:rPr>
          <w:rFonts w:ascii="KFGQPC Uthmanic Script HAFS" w:cs="KFGQPC Uthmanic Script HAFS"/>
          <w:sz w:val="23"/>
          <w:szCs w:val="23"/>
          <w:rtl/>
        </w:rPr>
        <w:t xml:space="preserve"> </w:t>
      </w:r>
      <w:r w:rsidRPr="00563AE6">
        <w:rPr>
          <w:rFonts w:ascii="KFGQPC Uthmanic Script HAFS" w:cs="KFGQPC Uthmanic Script HAFS" w:hint="eastAsia"/>
          <w:sz w:val="23"/>
          <w:szCs w:val="23"/>
          <w:rtl/>
        </w:rPr>
        <w:t>مِّمَّن</w:t>
      </w:r>
      <w:r w:rsidRPr="00563AE6">
        <w:rPr>
          <w:rFonts w:ascii="KFGQPC Uthmanic Script HAFS" w:cs="KFGQPC Uthmanic Script HAFS" w:hint="cs"/>
          <w:sz w:val="23"/>
          <w:szCs w:val="23"/>
          <w:rtl/>
        </w:rPr>
        <w:t>ۡ</w:t>
      </w:r>
      <w:r w:rsidRPr="00563AE6">
        <w:rPr>
          <w:rFonts w:ascii="KFGQPC Uthmanic Script HAFS" w:cs="KFGQPC Uthmanic Script HAFS"/>
          <w:sz w:val="23"/>
          <w:szCs w:val="23"/>
          <w:rtl/>
        </w:rPr>
        <w:t xml:space="preserve"> </w:t>
      </w:r>
      <w:r w:rsidRPr="00563AE6">
        <w:rPr>
          <w:rFonts w:ascii="KFGQPC Uthmanic Script HAFS" w:cs="KFGQPC Uthmanic Script HAFS" w:hint="eastAsia"/>
          <w:sz w:val="23"/>
          <w:szCs w:val="23"/>
          <w:rtl/>
        </w:rPr>
        <w:t>خَلَق</w:t>
      </w:r>
      <w:r w:rsidRPr="00563AE6">
        <w:rPr>
          <w:rFonts w:ascii="KFGQPC Uthmanic Script HAFS" w:cs="KFGQPC Uthmanic Script HAFS" w:hint="cs"/>
          <w:sz w:val="23"/>
          <w:szCs w:val="23"/>
          <w:rtl/>
        </w:rPr>
        <w:t>ۡ</w:t>
      </w:r>
      <w:r w:rsidRPr="00563AE6">
        <w:rPr>
          <w:rFonts w:ascii="KFGQPC Uthmanic Script HAFS" w:cs="KFGQPC Uthmanic Script HAFS" w:hint="eastAsia"/>
          <w:sz w:val="23"/>
          <w:szCs w:val="23"/>
          <w:rtl/>
        </w:rPr>
        <w:t>نَا</w:t>
      </w:r>
      <w:r w:rsidRPr="00563AE6">
        <w:rPr>
          <w:rFonts w:ascii="KFGQPC Uthmanic Script HAFS" w:cs="KFGQPC Uthmanic Script HAFS"/>
          <w:sz w:val="23"/>
          <w:szCs w:val="23"/>
          <w:rtl/>
        </w:rPr>
        <w:t xml:space="preserve"> </w:t>
      </w:r>
      <w:r w:rsidRPr="00563AE6">
        <w:rPr>
          <w:rFonts w:ascii="KFGQPC Uthmanic Script HAFS" w:cs="KFGQPC Uthmanic Script HAFS" w:hint="eastAsia"/>
          <w:sz w:val="23"/>
          <w:szCs w:val="23"/>
          <w:rtl/>
        </w:rPr>
        <w:t>تَف</w:t>
      </w:r>
      <w:r w:rsidRPr="00563AE6">
        <w:rPr>
          <w:rFonts w:ascii="KFGQPC Uthmanic Script HAFS" w:cs="KFGQPC Uthmanic Script HAFS" w:hint="cs"/>
          <w:sz w:val="23"/>
          <w:szCs w:val="23"/>
          <w:rtl/>
        </w:rPr>
        <w:t>ۡ</w:t>
      </w:r>
      <w:r w:rsidRPr="00563AE6">
        <w:rPr>
          <w:rFonts w:ascii="KFGQPC Uthmanic Script HAFS" w:cs="KFGQPC Uthmanic Script HAFS" w:hint="eastAsia"/>
          <w:sz w:val="23"/>
          <w:szCs w:val="23"/>
          <w:rtl/>
        </w:rPr>
        <w:t>ضِيل</w:t>
      </w:r>
      <w:r w:rsidRPr="00563AE6">
        <w:rPr>
          <w:rFonts w:ascii="KFGQPC Uthmanic Script HAFS" w:cs="KFGQPC Uthmanic Script HAFS" w:hint="cs"/>
          <w:sz w:val="23"/>
          <w:szCs w:val="23"/>
          <w:rtl/>
        </w:rPr>
        <w:t>ٗ</w:t>
      </w:r>
      <w:r w:rsidRPr="00563AE6">
        <w:rPr>
          <w:rFonts w:ascii="KFGQPC Uthmanic Script HAFS" w:cs="KFGQPC Uthmanic Script HAFS" w:hint="eastAsia"/>
          <w:sz w:val="23"/>
          <w:szCs w:val="23"/>
          <w:rtl/>
        </w:rPr>
        <w:t>ا</w:t>
      </w:r>
      <w:r w:rsidRPr="00563AE6">
        <w:rPr>
          <w:rFonts w:ascii="KFGQPC Uthmanic Script HAFS" w:cs="KFGQPC Uthmanic Script HAFS"/>
          <w:sz w:val="23"/>
          <w:szCs w:val="23"/>
          <w:rtl/>
        </w:rPr>
        <w:t xml:space="preserve"> </w:t>
      </w:r>
      <w:r w:rsidRPr="00563AE6">
        <w:rPr>
          <w:rFonts w:ascii="KFGQPC Uthmanic Script HAFS" w:cs="KFGQPC Uthmanic Script HAFS" w:hint="cs"/>
          <w:sz w:val="23"/>
          <w:szCs w:val="23"/>
          <w:rtl/>
        </w:rPr>
        <w:t>٧٠</w:t>
      </w:r>
      <w:r w:rsidRPr="00563AE6">
        <w:rPr>
          <w:rFonts w:cs="Traditional Arabic" w:hint="cs"/>
          <w:sz w:val="23"/>
          <w:szCs w:val="23"/>
          <w:rtl/>
        </w:rPr>
        <w:t>﴾</w:t>
      </w:r>
      <w:r w:rsidRPr="00563AE6">
        <w:rPr>
          <w:rFonts w:cs="mylotus" w:hint="cs"/>
          <w:sz w:val="23"/>
          <w:szCs w:val="23"/>
          <w:rtl/>
        </w:rPr>
        <w:t xml:space="preserve"> [الإسراء: </w:t>
      </w:r>
      <w:r w:rsidRPr="00563AE6">
        <w:rPr>
          <w:rFonts w:cs="mylotus"/>
          <w:sz w:val="23"/>
          <w:szCs w:val="23"/>
          <w:rtl/>
        </w:rPr>
        <w:t>70</w:t>
      </w:r>
      <w:r w:rsidRPr="00563AE6">
        <w:rPr>
          <w:rFonts w:cs="mylotus" w:hint="cs"/>
          <w:sz w:val="23"/>
          <w:szCs w:val="23"/>
          <w:rtl/>
        </w:rPr>
        <w:t>] (المُتَرْجِمُ).</w:t>
      </w:r>
    </w:p>
  </w:footnote>
  <w:footnote w:id="5">
    <w:p w:rsidR="00B31118" w:rsidRPr="00563AE6" w:rsidRDefault="00B31118" w:rsidP="00B300C9">
      <w:pPr>
        <w:pStyle w:val="FootnoteText"/>
        <w:spacing w:line="228" w:lineRule="auto"/>
        <w:ind w:left="378" w:hanging="378"/>
        <w:jc w:val="both"/>
        <w:rPr>
          <w:rFonts w:cs="mylotus" w:hint="cs"/>
          <w:sz w:val="23"/>
          <w:szCs w:val="23"/>
          <w:rtl/>
        </w:rPr>
      </w:pPr>
      <w:r w:rsidRPr="00563AE6">
        <w:rPr>
          <w:rStyle w:val="FootnoteReference"/>
          <w:rFonts w:cs="mylotus"/>
          <w:sz w:val="23"/>
          <w:szCs w:val="23"/>
          <w:vertAlign w:val="baseline"/>
          <w:rtl/>
        </w:rPr>
        <w:footnoteRef/>
      </w:r>
      <w:r>
        <w:rPr>
          <w:rFonts w:cs="mylotus"/>
          <w:sz w:val="23"/>
          <w:szCs w:val="23"/>
          <w:rtl/>
        </w:rPr>
        <w:t>-</w:t>
      </w:r>
      <w:r w:rsidRPr="00563AE6">
        <w:rPr>
          <w:rFonts w:cs="mylotus"/>
          <w:sz w:val="23"/>
          <w:szCs w:val="23"/>
          <w:rtl/>
        </w:rPr>
        <w:t xml:space="preserve"> </w:t>
      </w:r>
      <w:r w:rsidRPr="00563AE6">
        <w:rPr>
          <w:rFonts w:cs="mylotus" w:hint="cs"/>
          <w:sz w:val="23"/>
          <w:szCs w:val="23"/>
          <w:rtl/>
        </w:rPr>
        <w:t>هذا الحساب كان حين تأليف المؤلف للكتاب أي عام 1347هـ شمسية. (أي 1968م).</w:t>
      </w:r>
    </w:p>
  </w:footnote>
  <w:footnote w:id="6">
    <w:p w:rsidR="00B31118" w:rsidRPr="00563AE6" w:rsidRDefault="00B31118" w:rsidP="00B300C9">
      <w:pPr>
        <w:pStyle w:val="FootnoteText"/>
        <w:spacing w:line="228" w:lineRule="auto"/>
        <w:ind w:left="378" w:hanging="378"/>
        <w:jc w:val="both"/>
        <w:rPr>
          <w:rFonts w:cs="mylotus" w:hint="cs"/>
          <w:sz w:val="23"/>
          <w:szCs w:val="23"/>
          <w:rtl/>
        </w:rPr>
      </w:pPr>
      <w:r w:rsidRPr="00563AE6">
        <w:rPr>
          <w:rStyle w:val="FootnoteReference"/>
          <w:rFonts w:cs="mylotus"/>
          <w:sz w:val="23"/>
          <w:szCs w:val="23"/>
          <w:vertAlign w:val="baseline"/>
          <w:rtl/>
        </w:rPr>
        <w:footnoteRef/>
      </w:r>
      <w:r>
        <w:rPr>
          <w:rFonts w:cs="mylotus"/>
          <w:sz w:val="23"/>
          <w:szCs w:val="23"/>
          <w:rtl/>
        </w:rPr>
        <w:t>-</w:t>
      </w:r>
      <w:r w:rsidRPr="00563AE6">
        <w:rPr>
          <w:rFonts w:cs="mylotus" w:hint="cs"/>
          <w:sz w:val="23"/>
          <w:szCs w:val="23"/>
          <w:rtl/>
        </w:rPr>
        <w:t xml:space="preserve"> </w:t>
      </w:r>
      <w:r w:rsidRPr="00563AE6">
        <w:rPr>
          <w:rFonts w:cs="mylotus"/>
          <w:sz w:val="23"/>
          <w:szCs w:val="23"/>
          <w:rtl/>
        </w:rPr>
        <w:t xml:space="preserve">صاحب السرائر هو الفقيه محمد بن إدريس الحلي، من كبار فقهاء الإمامية في القرن السادس الهجري وصاحب كتاب السرائر الذي عُرِفَ فيه بآرائه الجديدة الجريئة في الفقه </w:t>
      </w:r>
      <w:r w:rsidRPr="00563AE6">
        <w:rPr>
          <w:rFonts w:cs="mylotus" w:hint="cs"/>
          <w:sz w:val="23"/>
          <w:szCs w:val="23"/>
          <w:rtl/>
        </w:rPr>
        <w:t>و</w:t>
      </w:r>
      <w:r w:rsidRPr="00563AE6">
        <w:rPr>
          <w:rFonts w:cs="mylotus"/>
          <w:sz w:val="23"/>
          <w:szCs w:val="23"/>
          <w:rtl/>
        </w:rPr>
        <w:t>انتقاده لمن سبقه من الفقهاء، توفي سنة 598هـ.</w:t>
      </w:r>
      <w:r w:rsidRPr="00563AE6">
        <w:rPr>
          <w:rFonts w:cs="mylotus" w:hint="cs"/>
          <w:sz w:val="23"/>
          <w:szCs w:val="23"/>
          <w:rtl/>
        </w:rPr>
        <w:t xml:space="preserve"> (المُتَرْجِمُ)</w:t>
      </w:r>
    </w:p>
  </w:footnote>
  <w:footnote w:id="7">
    <w:p w:rsidR="00B31118" w:rsidRPr="00563AE6" w:rsidRDefault="00B31118" w:rsidP="00B300C9">
      <w:pPr>
        <w:pStyle w:val="FootnoteText"/>
        <w:spacing w:line="228" w:lineRule="auto"/>
        <w:ind w:left="378" w:hanging="378"/>
        <w:jc w:val="both"/>
        <w:rPr>
          <w:rFonts w:cs="mylotus" w:hint="cs"/>
          <w:sz w:val="23"/>
          <w:szCs w:val="23"/>
          <w:rtl/>
          <w:lang w:bidi="ar-SY"/>
        </w:rPr>
      </w:pPr>
      <w:r w:rsidRPr="00563AE6">
        <w:rPr>
          <w:rStyle w:val="FootnoteReference"/>
          <w:rFonts w:cs="mylotus"/>
          <w:sz w:val="23"/>
          <w:szCs w:val="23"/>
          <w:vertAlign w:val="baseline"/>
          <w:rtl/>
        </w:rPr>
        <w:footnoteRef/>
      </w:r>
      <w:r>
        <w:rPr>
          <w:rFonts w:cs="mylotus"/>
          <w:sz w:val="23"/>
          <w:szCs w:val="23"/>
          <w:rtl/>
        </w:rPr>
        <w:t>-</w:t>
      </w:r>
      <w:r w:rsidRPr="00563AE6">
        <w:rPr>
          <w:rFonts w:cs="mylotus"/>
          <w:sz w:val="23"/>
          <w:szCs w:val="23"/>
          <w:rtl/>
        </w:rPr>
        <w:t xml:space="preserve"> </w:t>
      </w:r>
      <w:r w:rsidRPr="00563AE6">
        <w:rPr>
          <w:rFonts w:cs="mylotus" w:hint="cs"/>
          <w:sz w:val="23"/>
          <w:szCs w:val="23"/>
          <w:rtl/>
        </w:rPr>
        <w:t>انظر ابن إدريس الحلي، كتاب</w:t>
      </w:r>
      <w:r w:rsidRPr="00563AE6">
        <w:rPr>
          <w:rFonts w:cs="mylotus"/>
          <w:sz w:val="23"/>
          <w:szCs w:val="23"/>
          <w:rtl/>
        </w:rPr>
        <w:t xml:space="preserve"> «السرائر» (ج1، ص495) </w:t>
      </w:r>
      <w:r w:rsidRPr="00563AE6">
        <w:rPr>
          <w:rFonts w:cs="mylotus" w:hint="cs"/>
          <w:sz w:val="23"/>
          <w:szCs w:val="23"/>
          <w:rtl/>
        </w:rPr>
        <w:t xml:space="preserve">حيث قال </w:t>
      </w:r>
      <w:r w:rsidRPr="00563AE6">
        <w:rPr>
          <w:rFonts w:cs="mylotus"/>
          <w:sz w:val="23"/>
          <w:szCs w:val="23"/>
          <w:rtl/>
        </w:rPr>
        <w:t>في معرض تعليقه على روايتين مرسلتين: «وراوي أحدهما فطحي المذهب، كافر ملعون، وهو الحسن بن الفضال، وبنو فضال كلهم فطحية، والحسن رأسهم في الضلال..».</w:t>
      </w:r>
      <w:r w:rsidRPr="00563AE6">
        <w:rPr>
          <w:rFonts w:cs="mylotus" w:hint="cs"/>
          <w:sz w:val="23"/>
          <w:szCs w:val="23"/>
          <w:rtl/>
        </w:rPr>
        <w:t xml:space="preserve"> (المُتَرْجِمُ)</w:t>
      </w:r>
    </w:p>
  </w:footnote>
  <w:footnote w:id="8">
    <w:p w:rsidR="00B31118" w:rsidRPr="00563AE6" w:rsidRDefault="00B31118" w:rsidP="00B300C9">
      <w:pPr>
        <w:pStyle w:val="FootnoteText"/>
        <w:spacing w:line="228" w:lineRule="auto"/>
        <w:ind w:left="378" w:hanging="378"/>
        <w:jc w:val="both"/>
        <w:rPr>
          <w:rFonts w:cs="mylotus"/>
          <w:sz w:val="23"/>
          <w:szCs w:val="23"/>
        </w:rPr>
      </w:pPr>
      <w:r w:rsidRPr="00563AE6">
        <w:rPr>
          <w:rStyle w:val="FootnoteReference"/>
          <w:rFonts w:cs="mylotus"/>
          <w:sz w:val="23"/>
          <w:szCs w:val="23"/>
          <w:vertAlign w:val="baseline"/>
          <w:rtl/>
        </w:rPr>
        <w:footnoteRef/>
      </w:r>
      <w:r>
        <w:rPr>
          <w:rFonts w:cs="mylotus"/>
          <w:sz w:val="23"/>
          <w:szCs w:val="23"/>
          <w:rtl/>
        </w:rPr>
        <w:t>-</w:t>
      </w:r>
      <w:r w:rsidRPr="00563AE6">
        <w:rPr>
          <w:rFonts w:cs="mylotus"/>
          <w:sz w:val="23"/>
          <w:szCs w:val="23"/>
          <w:rtl/>
        </w:rPr>
        <w:t xml:space="preserve"> </w:t>
      </w:r>
      <w:r w:rsidRPr="00563AE6">
        <w:rPr>
          <w:rFonts w:cs="mylotus" w:hint="cs"/>
          <w:sz w:val="23"/>
          <w:szCs w:val="23"/>
          <w:rtl/>
        </w:rPr>
        <w:t xml:space="preserve">هذا الحساب تم زمن تأليف الكتاب أي عام 1347 هـجرية شمسية. (أي 1968م) </w:t>
      </w:r>
    </w:p>
  </w:footnote>
  <w:footnote w:id="9">
    <w:p w:rsidR="00B31118" w:rsidRPr="00563AE6" w:rsidRDefault="00B31118" w:rsidP="00B300C9">
      <w:pPr>
        <w:pStyle w:val="FootnoteText"/>
        <w:spacing w:line="228" w:lineRule="auto"/>
        <w:ind w:left="378" w:hanging="378"/>
        <w:jc w:val="both"/>
        <w:rPr>
          <w:rFonts w:cs="mylotus" w:hint="cs"/>
          <w:sz w:val="23"/>
          <w:szCs w:val="23"/>
          <w:rtl/>
          <w:lang w:bidi="ar-SY"/>
        </w:rPr>
      </w:pPr>
      <w:r w:rsidRPr="00563AE6">
        <w:rPr>
          <w:rStyle w:val="FootnoteReference"/>
          <w:rFonts w:cs="mylotus"/>
          <w:sz w:val="23"/>
          <w:szCs w:val="23"/>
          <w:vertAlign w:val="baseline"/>
          <w:rtl/>
        </w:rPr>
        <w:footnoteRef/>
      </w:r>
      <w:r>
        <w:rPr>
          <w:rFonts w:cs="mylotus"/>
          <w:sz w:val="23"/>
          <w:szCs w:val="23"/>
          <w:rtl/>
        </w:rPr>
        <w:t>-</w:t>
      </w:r>
      <w:r w:rsidRPr="00563AE6">
        <w:rPr>
          <w:rFonts w:cs="mylotus" w:hint="cs"/>
          <w:sz w:val="23"/>
          <w:szCs w:val="23"/>
          <w:rtl/>
        </w:rPr>
        <w:t xml:space="preserve"> الكليني، </w:t>
      </w:r>
      <w:r w:rsidRPr="00563AE6">
        <w:rPr>
          <w:rFonts w:cs="mylotus"/>
          <w:sz w:val="23"/>
          <w:szCs w:val="23"/>
          <w:rtl/>
        </w:rPr>
        <w:t xml:space="preserve">أصول الكافي، </w:t>
      </w:r>
      <w:r w:rsidRPr="00563AE6">
        <w:rPr>
          <w:rFonts w:cs="mylotus" w:hint="cs"/>
          <w:sz w:val="23"/>
          <w:szCs w:val="23"/>
          <w:rtl/>
        </w:rPr>
        <w:t>1، 62</w:t>
      </w:r>
      <w:r w:rsidRPr="00563AE6">
        <w:rPr>
          <w:rFonts w:cs="mylotus"/>
          <w:sz w:val="23"/>
          <w:szCs w:val="23"/>
          <w:rtl/>
        </w:rPr>
        <w:t xml:space="preserve">. </w:t>
      </w:r>
      <w:r w:rsidRPr="00563AE6">
        <w:rPr>
          <w:rFonts w:cs="mylotus" w:hint="cs"/>
          <w:sz w:val="23"/>
          <w:szCs w:val="23"/>
          <w:rtl/>
        </w:rPr>
        <w:t xml:space="preserve">وجاء نحوه </w:t>
      </w:r>
      <w:r w:rsidRPr="00563AE6">
        <w:rPr>
          <w:rFonts w:cs="mylotus"/>
          <w:sz w:val="23"/>
          <w:szCs w:val="23"/>
          <w:rtl/>
        </w:rPr>
        <w:t>في نهج البلاغة، الخطبة 210</w:t>
      </w:r>
      <w:r w:rsidRPr="00563AE6">
        <w:rPr>
          <w:rFonts w:cs="mylotus" w:hint="cs"/>
          <w:sz w:val="23"/>
          <w:szCs w:val="23"/>
          <w:rtl/>
        </w:rPr>
        <w:t>.</w:t>
      </w:r>
    </w:p>
  </w:footnote>
  <w:footnote w:id="10">
    <w:p w:rsidR="00B31118" w:rsidRPr="00563AE6" w:rsidRDefault="00B31118" w:rsidP="008A4E41">
      <w:pPr>
        <w:pStyle w:val="FootnoteText"/>
        <w:spacing w:line="228" w:lineRule="auto"/>
        <w:ind w:left="378" w:hanging="378"/>
        <w:jc w:val="both"/>
        <w:rPr>
          <w:rFonts w:cs="mylotus" w:hint="cs"/>
          <w:sz w:val="23"/>
          <w:szCs w:val="23"/>
          <w:rtl/>
        </w:rPr>
      </w:pPr>
      <w:r w:rsidRPr="00563AE6">
        <w:rPr>
          <w:rFonts w:cs="mylotus"/>
          <w:sz w:val="23"/>
          <w:szCs w:val="23"/>
          <w:rtl/>
        </w:rPr>
        <w:footnoteRef/>
      </w:r>
      <w:r>
        <w:rPr>
          <w:rFonts w:cs="mylotus"/>
          <w:sz w:val="23"/>
          <w:szCs w:val="23"/>
          <w:rtl/>
        </w:rPr>
        <w:t>-</w:t>
      </w:r>
      <w:r w:rsidRPr="00563AE6">
        <w:rPr>
          <w:rFonts w:cs="mylotus"/>
          <w:sz w:val="23"/>
          <w:szCs w:val="23"/>
          <w:rtl/>
        </w:rPr>
        <w:t xml:space="preserve"> </w:t>
      </w:r>
      <w:r w:rsidRPr="00563AE6">
        <w:rPr>
          <w:rFonts w:cs="mylotus" w:hint="cs"/>
          <w:sz w:val="23"/>
          <w:szCs w:val="23"/>
          <w:rtl/>
        </w:rPr>
        <w:t>قوله «</w:t>
      </w:r>
      <w:r w:rsidRPr="00563AE6">
        <w:rPr>
          <w:rFonts w:cs="mylotus"/>
          <w:sz w:val="23"/>
          <w:szCs w:val="23"/>
          <w:rtl/>
        </w:rPr>
        <w:t>وتقتل من أصحابك مثلهم</w:t>
      </w:r>
      <w:r w:rsidRPr="00563AE6">
        <w:rPr>
          <w:rFonts w:cs="mylotus" w:hint="cs"/>
          <w:sz w:val="23"/>
          <w:szCs w:val="23"/>
          <w:rtl/>
        </w:rPr>
        <w:t>» جملة غير واضحة، لكن الروايات الأخرى لهذا الحديث أوضحت المقصود منها، كالذي أخرجه الترمذي في سننه (1567): «ع</w:t>
      </w:r>
      <w:r w:rsidRPr="00563AE6">
        <w:rPr>
          <w:rFonts w:cs="mylotus"/>
          <w:sz w:val="23"/>
          <w:szCs w:val="23"/>
          <w:rtl/>
        </w:rPr>
        <w:t xml:space="preserve">نِ ابْنِ سِيرِينَ عَنْ عَبِيدَةَ عَنْ عَلِىٍّ أَنَّ </w:t>
      </w:r>
      <w:r w:rsidRPr="008E6B97">
        <w:rPr>
          <w:rFonts w:ascii="mylotus" w:hAnsi="mylotus" w:cs="mylotus"/>
          <w:sz w:val="23"/>
          <w:szCs w:val="23"/>
          <w:rtl/>
        </w:rPr>
        <w:t>رَسُولَ</w:t>
      </w:r>
      <w:r w:rsidRPr="008E6B97">
        <w:rPr>
          <w:rFonts w:cs="Times New Roman" w:hint="cs"/>
          <w:sz w:val="23"/>
          <w:szCs w:val="23"/>
          <w:rtl/>
        </w:rPr>
        <w:t>‌</w:t>
      </w:r>
      <w:r w:rsidRPr="008E6B97">
        <w:rPr>
          <w:rFonts w:ascii="mylotus" w:hAnsi="mylotus" w:cs="mylotus"/>
          <w:sz w:val="23"/>
          <w:szCs w:val="23"/>
          <w:rtl/>
        </w:rPr>
        <w:t>اللَّهِ -</w:t>
      </w:r>
      <w:r w:rsidRPr="008E6B97">
        <w:rPr>
          <w:rFonts w:ascii="Abo-thar" w:hAnsi="Abo-thar" w:cs="CTraditional Arabic" w:hint="cs"/>
          <w:sz w:val="28"/>
          <w:rtl/>
          <w:lang w:bidi="ar-SY"/>
        </w:rPr>
        <w:t xml:space="preserve"> </w:t>
      </w:r>
      <w:r w:rsidRPr="008E6B97">
        <w:rPr>
          <w:rFonts w:ascii="Abo-thar" w:hAnsi="Abo-thar" w:cs="CTraditional Arabic" w:hint="cs"/>
          <w:sz w:val="23"/>
          <w:szCs w:val="23"/>
          <w:rtl/>
          <w:lang w:bidi="ar-SY"/>
        </w:rPr>
        <w:t>ص</w:t>
      </w:r>
      <w:r w:rsidRPr="00563AE6">
        <w:rPr>
          <w:rFonts w:cs="mylotus"/>
          <w:sz w:val="23"/>
          <w:szCs w:val="23"/>
          <w:rtl/>
        </w:rPr>
        <w:t xml:space="preserve"> - قَالَ «إِنَّ جِبْرَائِيلَ هَبَطَ عَلَيْهِ فَقَالَ لَهُ خَيِّرْهُمْ </w:t>
      </w:r>
      <w:r w:rsidRPr="00563AE6">
        <w:rPr>
          <w:rFonts w:cs="mylotus" w:hint="cs"/>
          <w:sz w:val="23"/>
          <w:szCs w:val="23"/>
          <w:rtl/>
        </w:rPr>
        <w:t xml:space="preserve">- </w:t>
      </w:r>
      <w:r w:rsidRPr="00563AE6">
        <w:rPr>
          <w:rFonts w:cs="mylotus"/>
          <w:sz w:val="23"/>
          <w:szCs w:val="23"/>
          <w:rtl/>
        </w:rPr>
        <w:t>يَعْنِى أَصْحَابَكَ</w:t>
      </w:r>
      <w:r w:rsidRPr="00563AE6">
        <w:rPr>
          <w:rFonts w:cs="mylotus" w:hint="cs"/>
          <w:sz w:val="23"/>
          <w:szCs w:val="23"/>
          <w:rtl/>
        </w:rPr>
        <w:t xml:space="preserve"> -</w:t>
      </w:r>
      <w:r w:rsidRPr="00563AE6">
        <w:rPr>
          <w:rFonts w:cs="mylotus"/>
          <w:sz w:val="23"/>
          <w:szCs w:val="23"/>
          <w:rtl/>
        </w:rPr>
        <w:t xml:space="preserve"> فِ</w:t>
      </w:r>
      <w:r w:rsidRPr="00563AE6">
        <w:rPr>
          <w:rFonts w:cs="mylotus" w:hint="cs"/>
          <w:sz w:val="23"/>
          <w:szCs w:val="23"/>
          <w:rtl/>
        </w:rPr>
        <w:t>ي</w:t>
      </w:r>
      <w:r w:rsidRPr="00563AE6">
        <w:rPr>
          <w:rFonts w:cs="mylotus"/>
          <w:sz w:val="23"/>
          <w:szCs w:val="23"/>
          <w:rtl/>
        </w:rPr>
        <w:t xml:space="preserve"> أُسَارَى بَدْرٍ</w:t>
      </w:r>
      <w:r w:rsidRPr="00563AE6">
        <w:rPr>
          <w:rFonts w:cs="mylotus" w:hint="cs"/>
          <w:sz w:val="23"/>
          <w:szCs w:val="23"/>
          <w:rtl/>
        </w:rPr>
        <w:t>:</w:t>
      </w:r>
      <w:r w:rsidRPr="00563AE6">
        <w:rPr>
          <w:rFonts w:cs="mylotus"/>
          <w:sz w:val="23"/>
          <w:szCs w:val="23"/>
          <w:rtl/>
        </w:rPr>
        <w:t xml:space="preserve"> الْقَتْلَ أَوِ الْفِدَاءَ</w:t>
      </w:r>
      <w:r w:rsidRPr="00563AE6">
        <w:rPr>
          <w:rFonts w:cs="mylotus" w:hint="cs"/>
          <w:sz w:val="23"/>
          <w:szCs w:val="23"/>
          <w:rtl/>
        </w:rPr>
        <w:t>،</w:t>
      </w:r>
      <w:r w:rsidRPr="00563AE6">
        <w:rPr>
          <w:rFonts w:cs="mylotus"/>
          <w:sz w:val="23"/>
          <w:szCs w:val="23"/>
          <w:rtl/>
        </w:rPr>
        <w:t xml:space="preserve"> عَلَى أَنْ يُقْتَلَ مِنْهُمْ قَابِلاً مِثْلُهُمْ. قَالُوا الْفِدَاءَ وَيُقْتَلَ مِنَّا»</w:t>
      </w:r>
      <w:r w:rsidRPr="00563AE6">
        <w:rPr>
          <w:rFonts w:cs="mylotus" w:hint="cs"/>
          <w:sz w:val="23"/>
          <w:szCs w:val="23"/>
          <w:rtl/>
        </w:rPr>
        <w:t>. (المُتَرْجِمُ)</w:t>
      </w:r>
    </w:p>
  </w:footnote>
  <w:footnote w:id="11">
    <w:p w:rsidR="00B31118" w:rsidRPr="00563AE6" w:rsidRDefault="00B31118" w:rsidP="008E6B97">
      <w:pPr>
        <w:pStyle w:val="FootnoteText"/>
        <w:spacing w:line="228" w:lineRule="auto"/>
        <w:ind w:left="378" w:hanging="378"/>
        <w:jc w:val="both"/>
        <w:rPr>
          <w:rFonts w:cs="mylotus" w:hint="cs"/>
          <w:sz w:val="23"/>
          <w:szCs w:val="23"/>
        </w:rPr>
      </w:pPr>
      <w:r w:rsidRPr="00563AE6">
        <w:rPr>
          <w:rFonts w:cs="mylotus"/>
          <w:sz w:val="23"/>
          <w:szCs w:val="23"/>
          <w:rtl/>
        </w:rPr>
        <w:footnoteRef/>
      </w:r>
      <w:r>
        <w:rPr>
          <w:rFonts w:cs="mylotus"/>
          <w:sz w:val="23"/>
          <w:szCs w:val="23"/>
          <w:rtl/>
        </w:rPr>
        <w:t>-</w:t>
      </w:r>
      <w:r w:rsidRPr="00563AE6">
        <w:rPr>
          <w:rFonts w:cs="mylotus" w:hint="cs"/>
          <w:sz w:val="23"/>
          <w:szCs w:val="23"/>
          <w:rtl/>
        </w:rPr>
        <w:t xml:space="preserve"> جاء في كتب التواريخ والسير ومنها كتاب </w:t>
      </w:r>
      <w:r w:rsidRPr="00563AE6">
        <w:rPr>
          <w:rFonts w:cs="mylotus" w:hint="eastAsia"/>
          <w:sz w:val="23"/>
          <w:szCs w:val="23"/>
          <w:rtl/>
        </w:rPr>
        <w:t>«</w:t>
      </w:r>
      <w:r w:rsidRPr="00563AE6">
        <w:rPr>
          <w:rFonts w:cs="mylotus" w:hint="cs"/>
          <w:sz w:val="23"/>
          <w:szCs w:val="23"/>
          <w:rtl/>
        </w:rPr>
        <w:t>تاريخ قم</w:t>
      </w:r>
      <w:r w:rsidRPr="00563AE6">
        <w:rPr>
          <w:rFonts w:cs="mylotus" w:hint="eastAsia"/>
          <w:sz w:val="23"/>
          <w:szCs w:val="23"/>
          <w:rtl/>
        </w:rPr>
        <w:t>»</w:t>
      </w:r>
      <w:r w:rsidRPr="00563AE6">
        <w:rPr>
          <w:rFonts w:cs="mylotus"/>
          <w:sz w:val="23"/>
          <w:szCs w:val="23"/>
          <w:rtl/>
        </w:rPr>
        <w:t xml:space="preserve"> </w:t>
      </w:r>
      <w:r w:rsidRPr="00563AE6">
        <w:rPr>
          <w:rFonts w:cs="mylotus" w:hint="cs"/>
          <w:sz w:val="23"/>
          <w:szCs w:val="23"/>
          <w:rtl/>
        </w:rPr>
        <w:t>الذي يعد من كتب</w:t>
      </w:r>
      <w:r>
        <w:rPr>
          <w:rFonts w:cs="mylotus" w:hint="cs"/>
          <w:sz w:val="23"/>
          <w:szCs w:val="23"/>
          <w:rtl/>
        </w:rPr>
        <w:t xml:space="preserve"> الشيعة المعتبرة (ص 291) أن أبا</w:t>
      </w:r>
      <w:r w:rsidRPr="00563AE6">
        <w:rPr>
          <w:rFonts w:cs="mylotus" w:hint="cs"/>
          <w:sz w:val="23"/>
          <w:szCs w:val="23"/>
          <w:rtl/>
        </w:rPr>
        <w:t>مالك الأشعري كان هو الذي قسم الخمس قبل نزول القرآن بآية الخمس. وجاء في الكتاب ذاته (ص 278) أن مالك بن عامر كان من المهاجرين وابتدأ بتقسيم الخمس قبل نزول آية الخمس وذلك عندما غنم غنيمة في بعض الغزوات فقال له رسول الله (</w:t>
      </w:r>
      <w:r w:rsidRPr="008E6B97">
        <w:rPr>
          <w:rFonts w:ascii="Abo-thar" w:hAnsi="Abo-thar" w:cs="CTraditional Arabic" w:hint="cs"/>
          <w:sz w:val="23"/>
          <w:szCs w:val="23"/>
          <w:rtl/>
          <w:lang w:bidi="ar-SY"/>
        </w:rPr>
        <w:t>ص</w:t>
      </w:r>
      <w:r w:rsidRPr="00563AE6">
        <w:rPr>
          <w:rFonts w:cs="mylotus" w:hint="cs"/>
          <w:sz w:val="23"/>
          <w:szCs w:val="23"/>
          <w:rtl/>
        </w:rPr>
        <w:t xml:space="preserve">) ضع سهماً منه لِـلَّهِ فقال مالك بن عامر: خُمْسُهُ لِـلَّهِ فرضي الحق سبحانه وتعالى بقسمة مالك بن عامر وأمضاها وأنزل قوله: </w:t>
      </w:r>
      <w:r w:rsidRPr="00563AE6">
        <w:rPr>
          <w:rFonts w:cs="Traditional Arabic" w:hint="cs"/>
          <w:sz w:val="23"/>
          <w:szCs w:val="23"/>
          <w:rtl/>
        </w:rPr>
        <w:t>﴿</w:t>
      </w:r>
      <w:r w:rsidRPr="00563AE6">
        <w:rPr>
          <w:rFonts w:ascii="KFGQPC Uthmanic Script HAFS" w:cs="KFGQPC Uthmanic Script HAFS" w:hint="eastAsia"/>
          <w:sz w:val="23"/>
          <w:szCs w:val="23"/>
          <w:rtl/>
        </w:rPr>
        <w:t>وَ</w:t>
      </w:r>
      <w:r w:rsidRPr="00563AE6">
        <w:rPr>
          <w:rFonts w:ascii="KFGQPC Uthmanic Script HAFS" w:cs="KFGQPC Uthmanic Script HAFS" w:hint="cs"/>
          <w:sz w:val="23"/>
          <w:szCs w:val="23"/>
          <w:rtl/>
        </w:rPr>
        <w:t>ٱ</w:t>
      </w:r>
      <w:r w:rsidRPr="00563AE6">
        <w:rPr>
          <w:rFonts w:ascii="KFGQPC Uthmanic Script HAFS" w:cs="KFGQPC Uthmanic Script HAFS" w:hint="eastAsia"/>
          <w:sz w:val="23"/>
          <w:szCs w:val="23"/>
          <w:rtl/>
        </w:rPr>
        <w:t>ع</w:t>
      </w:r>
      <w:r w:rsidRPr="00563AE6">
        <w:rPr>
          <w:rFonts w:ascii="KFGQPC Uthmanic Script HAFS" w:cs="KFGQPC Uthmanic Script HAFS" w:hint="cs"/>
          <w:sz w:val="23"/>
          <w:szCs w:val="23"/>
          <w:rtl/>
        </w:rPr>
        <w:t>ۡ</w:t>
      </w:r>
      <w:r w:rsidRPr="00563AE6">
        <w:rPr>
          <w:rFonts w:ascii="KFGQPC Uthmanic Script HAFS" w:cs="KFGQPC Uthmanic Script HAFS" w:hint="eastAsia"/>
          <w:sz w:val="23"/>
          <w:szCs w:val="23"/>
          <w:rtl/>
        </w:rPr>
        <w:t>لَمُو</w:t>
      </w:r>
      <w:r w:rsidRPr="00563AE6">
        <w:rPr>
          <w:rFonts w:ascii="KFGQPC Uthmanic Script HAFS" w:cs="KFGQPC Uthmanic Script HAFS" w:hint="cs"/>
          <w:sz w:val="23"/>
          <w:szCs w:val="23"/>
          <w:rtl/>
        </w:rPr>
        <w:t>ٓ</w:t>
      </w:r>
      <w:r w:rsidRPr="00563AE6">
        <w:rPr>
          <w:rFonts w:ascii="KFGQPC Uthmanic Script HAFS" w:cs="KFGQPC Uthmanic Script HAFS" w:hint="eastAsia"/>
          <w:sz w:val="23"/>
          <w:szCs w:val="23"/>
          <w:rtl/>
        </w:rPr>
        <w:t>اْ</w:t>
      </w:r>
      <w:r w:rsidRPr="00563AE6">
        <w:rPr>
          <w:rFonts w:ascii="KFGQPC Uthmanic Script HAFS" w:cs="KFGQPC Uthmanic Script HAFS"/>
          <w:sz w:val="23"/>
          <w:szCs w:val="23"/>
          <w:rtl/>
        </w:rPr>
        <w:t xml:space="preserve"> </w:t>
      </w:r>
      <w:r w:rsidRPr="00563AE6">
        <w:rPr>
          <w:rFonts w:ascii="KFGQPC Uthmanic Script HAFS" w:cs="KFGQPC Uthmanic Script HAFS" w:hint="eastAsia"/>
          <w:sz w:val="23"/>
          <w:szCs w:val="23"/>
          <w:rtl/>
        </w:rPr>
        <w:t>أَنَّمَا</w:t>
      </w:r>
      <w:r w:rsidRPr="00563AE6">
        <w:rPr>
          <w:rFonts w:ascii="KFGQPC Uthmanic Script HAFS" w:cs="KFGQPC Uthmanic Script HAFS"/>
          <w:sz w:val="23"/>
          <w:szCs w:val="23"/>
          <w:rtl/>
        </w:rPr>
        <w:t xml:space="preserve"> </w:t>
      </w:r>
      <w:r w:rsidRPr="00563AE6">
        <w:rPr>
          <w:rFonts w:ascii="KFGQPC Uthmanic Script HAFS" w:cs="KFGQPC Uthmanic Script HAFS" w:hint="eastAsia"/>
          <w:sz w:val="23"/>
          <w:szCs w:val="23"/>
          <w:rtl/>
        </w:rPr>
        <w:t>غَنِم</w:t>
      </w:r>
      <w:r w:rsidRPr="00563AE6">
        <w:rPr>
          <w:rFonts w:ascii="KFGQPC Uthmanic Script HAFS" w:cs="KFGQPC Uthmanic Script HAFS" w:hint="cs"/>
          <w:sz w:val="23"/>
          <w:szCs w:val="23"/>
          <w:rtl/>
        </w:rPr>
        <w:t>ۡ</w:t>
      </w:r>
      <w:r w:rsidRPr="00563AE6">
        <w:rPr>
          <w:rFonts w:ascii="KFGQPC Uthmanic Script HAFS" w:cs="KFGQPC Uthmanic Script HAFS" w:hint="eastAsia"/>
          <w:sz w:val="23"/>
          <w:szCs w:val="23"/>
          <w:rtl/>
        </w:rPr>
        <w:t>تُم</w:t>
      </w:r>
      <w:r w:rsidRPr="00563AE6">
        <w:rPr>
          <w:rFonts w:ascii="KFGQPC Uthmanic Script HAFS" w:cs="KFGQPC Uthmanic Script HAFS"/>
          <w:sz w:val="23"/>
          <w:szCs w:val="23"/>
          <w:rtl/>
        </w:rPr>
        <w:t xml:space="preserve"> </w:t>
      </w:r>
      <w:r w:rsidRPr="00563AE6">
        <w:rPr>
          <w:rFonts w:ascii="KFGQPC Uthmanic Script HAFS" w:cs="KFGQPC Uthmanic Script HAFS" w:hint="eastAsia"/>
          <w:sz w:val="23"/>
          <w:szCs w:val="23"/>
          <w:rtl/>
        </w:rPr>
        <w:t>مِّن</w:t>
      </w:r>
      <w:r w:rsidRPr="00563AE6">
        <w:rPr>
          <w:rFonts w:ascii="KFGQPC Uthmanic Script HAFS" w:cs="KFGQPC Uthmanic Script HAFS"/>
          <w:sz w:val="23"/>
          <w:szCs w:val="23"/>
          <w:rtl/>
        </w:rPr>
        <w:t xml:space="preserve"> </w:t>
      </w:r>
      <w:r w:rsidRPr="00563AE6">
        <w:rPr>
          <w:rFonts w:ascii="KFGQPC Uthmanic Script HAFS" w:cs="KFGQPC Uthmanic Script HAFS" w:hint="eastAsia"/>
          <w:sz w:val="23"/>
          <w:szCs w:val="23"/>
          <w:rtl/>
        </w:rPr>
        <w:t>شَي</w:t>
      </w:r>
      <w:r w:rsidRPr="00563AE6">
        <w:rPr>
          <w:rFonts w:ascii="KFGQPC Uthmanic Script HAFS" w:cs="KFGQPC Uthmanic Script HAFS" w:hint="cs"/>
          <w:sz w:val="23"/>
          <w:szCs w:val="23"/>
          <w:rtl/>
        </w:rPr>
        <w:t>ۡ</w:t>
      </w:r>
      <w:r w:rsidRPr="00563AE6">
        <w:rPr>
          <w:rFonts w:ascii="KFGQPC Uthmanic Script HAFS" w:cs="KFGQPC Uthmanic Script HAFS" w:hint="eastAsia"/>
          <w:sz w:val="23"/>
          <w:szCs w:val="23"/>
          <w:rtl/>
        </w:rPr>
        <w:t>ء</w:t>
      </w:r>
      <w:r w:rsidRPr="00563AE6">
        <w:rPr>
          <w:rFonts w:ascii="KFGQPC Uthmanic Script HAFS" w:cs="KFGQPC Uthmanic Script HAFS" w:hint="cs"/>
          <w:sz w:val="23"/>
          <w:szCs w:val="23"/>
          <w:rtl/>
        </w:rPr>
        <w:t>ٖ</w:t>
      </w:r>
      <w:r w:rsidRPr="00563AE6">
        <w:rPr>
          <w:rFonts w:ascii="KFGQPC Uthmanic Script HAFS" w:cs="KFGQPC Uthmanic Script HAFS"/>
          <w:sz w:val="23"/>
          <w:szCs w:val="23"/>
          <w:rtl/>
        </w:rPr>
        <w:t xml:space="preserve"> </w:t>
      </w:r>
      <w:r w:rsidRPr="00563AE6">
        <w:rPr>
          <w:rFonts w:ascii="KFGQPC Uthmanic Script HAFS" w:cs="KFGQPC Uthmanic Script HAFS" w:hint="eastAsia"/>
          <w:sz w:val="23"/>
          <w:szCs w:val="23"/>
          <w:rtl/>
        </w:rPr>
        <w:t>فَأَنَّ</w:t>
      </w:r>
      <w:r w:rsidRPr="00563AE6">
        <w:rPr>
          <w:rFonts w:ascii="KFGQPC Uthmanic Script HAFS" w:cs="KFGQPC Uthmanic Script HAFS"/>
          <w:sz w:val="23"/>
          <w:szCs w:val="23"/>
          <w:rtl/>
        </w:rPr>
        <w:t xml:space="preserve"> </w:t>
      </w:r>
      <w:r w:rsidRPr="00563AE6">
        <w:rPr>
          <w:rFonts w:ascii="KFGQPC Uthmanic Script HAFS" w:cs="KFGQPC Uthmanic Script HAFS" w:hint="eastAsia"/>
          <w:sz w:val="23"/>
          <w:szCs w:val="23"/>
          <w:rtl/>
        </w:rPr>
        <w:t>لِلَّهِ</w:t>
      </w:r>
      <w:r w:rsidRPr="00563AE6">
        <w:rPr>
          <w:rFonts w:ascii="KFGQPC Uthmanic Script HAFS" w:cs="KFGQPC Uthmanic Script HAFS"/>
          <w:sz w:val="23"/>
          <w:szCs w:val="23"/>
          <w:rtl/>
        </w:rPr>
        <w:t xml:space="preserve"> </w:t>
      </w:r>
      <w:r w:rsidRPr="00563AE6">
        <w:rPr>
          <w:rFonts w:ascii="KFGQPC Uthmanic Script HAFS" w:cs="KFGQPC Uthmanic Script HAFS" w:hint="eastAsia"/>
          <w:sz w:val="23"/>
          <w:szCs w:val="23"/>
          <w:rtl/>
        </w:rPr>
        <w:t>خُمُسَهُ</w:t>
      </w:r>
      <w:r w:rsidRPr="00563AE6">
        <w:rPr>
          <w:rFonts w:ascii="KFGQPC Uthmanic Script HAFS" w:cs="KFGQPC Uthmanic Script HAFS" w:hint="cs"/>
          <w:sz w:val="23"/>
          <w:szCs w:val="23"/>
          <w:rtl/>
        </w:rPr>
        <w:t>ۥ</w:t>
      </w:r>
      <w:r w:rsidRPr="00563AE6">
        <w:rPr>
          <w:rFonts w:cs="Traditional Arabic" w:hint="cs"/>
          <w:sz w:val="23"/>
          <w:szCs w:val="23"/>
          <w:rtl/>
        </w:rPr>
        <w:t>﴾</w:t>
      </w:r>
      <w:r w:rsidRPr="00563AE6">
        <w:rPr>
          <w:rFonts w:cs="mylotus" w:hint="cs"/>
          <w:sz w:val="23"/>
          <w:szCs w:val="23"/>
          <w:rtl/>
        </w:rPr>
        <w:t xml:space="preserve"> [الأنفال:41]. وذكرت بعض التواريخ الأخرى أن أول من أتى بالخمس إلى رسول الله كان </w:t>
      </w:r>
      <w:r w:rsidRPr="00563AE6">
        <w:rPr>
          <w:rFonts w:cs="mylotus" w:hint="eastAsia"/>
          <w:sz w:val="23"/>
          <w:szCs w:val="23"/>
          <w:rtl/>
        </w:rPr>
        <w:t>«</w:t>
      </w:r>
      <w:r w:rsidRPr="00563AE6">
        <w:rPr>
          <w:rFonts w:cs="mylotus" w:hint="cs"/>
          <w:sz w:val="23"/>
          <w:szCs w:val="23"/>
          <w:rtl/>
        </w:rPr>
        <w:t>عبد الله بن جحش</w:t>
      </w:r>
      <w:r w:rsidRPr="00563AE6">
        <w:rPr>
          <w:rFonts w:cs="mylotus" w:hint="eastAsia"/>
          <w:sz w:val="23"/>
          <w:szCs w:val="23"/>
          <w:rtl/>
        </w:rPr>
        <w:t>»</w:t>
      </w:r>
      <w:r w:rsidRPr="00563AE6">
        <w:rPr>
          <w:rFonts w:cs="mylotus" w:hint="cs"/>
          <w:sz w:val="23"/>
          <w:szCs w:val="23"/>
          <w:rtl/>
        </w:rPr>
        <w:t xml:space="preserve"> في سريته التي وقعت قبل معركة بدر (انظر تاريخ أبي الفدا ابن كثير، ومغازي الواقدي وتاريخ ابن خلدون وتاريخ اليعقوبي).</w:t>
      </w:r>
      <w:r w:rsidRPr="00563AE6">
        <w:rPr>
          <w:rFonts w:cs="mylotus"/>
          <w:sz w:val="23"/>
          <w:szCs w:val="23"/>
          <w:rtl/>
        </w:rPr>
        <w:t xml:space="preserve"> </w:t>
      </w:r>
    </w:p>
  </w:footnote>
  <w:footnote w:id="12">
    <w:p w:rsidR="00B31118" w:rsidRPr="00563AE6" w:rsidRDefault="00B31118" w:rsidP="008E6B97">
      <w:pPr>
        <w:pStyle w:val="FootnoteText"/>
        <w:spacing w:line="228" w:lineRule="auto"/>
        <w:ind w:left="378" w:hanging="378"/>
        <w:jc w:val="both"/>
        <w:rPr>
          <w:rFonts w:cs="mylotus" w:hint="cs"/>
          <w:sz w:val="23"/>
          <w:szCs w:val="23"/>
        </w:rPr>
      </w:pPr>
      <w:r w:rsidRPr="00563AE6">
        <w:rPr>
          <w:rStyle w:val="FootnoteReference"/>
          <w:rFonts w:cs="mylotus"/>
          <w:sz w:val="23"/>
          <w:szCs w:val="23"/>
          <w:vertAlign w:val="baseline"/>
          <w:rtl/>
        </w:rPr>
        <w:footnoteRef/>
      </w:r>
      <w:r>
        <w:rPr>
          <w:rFonts w:cs="mylotus"/>
          <w:sz w:val="23"/>
          <w:szCs w:val="23"/>
          <w:rtl/>
        </w:rPr>
        <w:t>-</w:t>
      </w:r>
      <w:r w:rsidRPr="00563AE6">
        <w:rPr>
          <w:rFonts w:cs="mylotus" w:hint="cs"/>
          <w:sz w:val="23"/>
          <w:szCs w:val="23"/>
          <w:rtl/>
        </w:rPr>
        <w:t xml:space="preserve"> </w:t>
      </w:r>
      <w:r w:rsidRPr="00563AE6">
        <w:rPr>
          <w:rFonts w:cs="mylotus"/>
          <w:sz w:val="23"/>
          <w:szCs w:val="23"/>
          <w:rtl/>
        </w:rPr>
        <w:t>قال القرطبي في تفسيره (ج 8، ص14): «إن أهل الجاهلية كانوا يرون للرئيس ربع الغنيمة قال شاعرهم: «لك المرباع منها والصفايا *** وحكمك والنشيطة والفضول»». وقال في موضع آخر (ج 18، ص12): «..</w:t>
      </w:r>
      <w:r w:rsidRPr="00563AE6">
        <w:rPr>
          <w:rFonts w:cs="mylotus" w:hint="cs"/>
          <w:sz w:val="23"/>
          <w:szCs w:val="23"/>
          <w:rtl/>
        </w:rPr>
        <w:t xml:space="preserve"> </w:t>
      </w:r>
      <w:r w:rsidRPr="00563AE6">
        <w:rPr>
          <w:rFonts w:cs="mylotus"/>
          <w:sz w:val="23"/>
          <w:szCs w:val="23"/>
          <w:rtl/>
        </w:rPr>
        <w:t>إن أهل الجاهلية كانوا إذا غنموا أخذ الرئيس ربعها لنفسه وهو المرباع ثم يصطفي منها أيضاً بعد المرباع ما شاء وفيها قال شاعرهم: «لك المرباع منها والصفايا</w:t>
      </w:r>
      <w:r w:rsidRPr="00563AE6">
        <w:rPr>
          <w:rFonts w:cs="mylotus" w:hint="cs"/>
          <w:sz w:val="23"/>
          <w:szCs w:val="23"/>
          <w:rtl/>
        </w:rPr>
        <w:t>». (</w:t>
      </w:r>
      <w:r w:rsidRPr="00563AE6">
        <w:rPr>
          <w:rFonts w:cs="mylotus"/>
          <w:sz w:val="23"/>
          <w:szCs w:val="23"/>
          <w:rtl/>
        </w:rPr>
        <w:t>قال في لسان العرب مادة ر ب ع): «المِرْباع: ما يأْخذه الرئيس وهو ربع الغنيمة؛ والصَّفايا: ما يَصْطَفِيه الرئيس، والنَّشِيطةُ: ما أَصاب من الغنيمة قبل أَن يصير إِلى مُجتَمع الحيّ، والفُضول: ما عُجِزَ أَن يُقْسَم لقلته وخُصَّ به</w:t>
      </w:r>
      <w:r w:rsidRPr="00563AE6">
        <w:rPr>
          <w:rFonts w:cs="mylotus" w:hint="cs"/>
          <w:sz w:val="23"/>
          <w:szCs w:val="23"/>
          <w:rtl/>
        </w:rPr>
        <w:t>].</w:t>
      </w:r>
      <w:r w:rsidRPr="00563AE6">
        <w:rPr>
          <w:rFonts w:cs="mylotus"/>
          <w:sz w:val="23"/>
          <w:szCs w:val="23"/>
          <w:rtl/>
        </w:rPr>
        <w:t xml:space="preserve"> </w:t>
      </w:r>
    </w:p>
  </w:footnote>
  <w:footnote w:id="13">
    <w:p w:rsidR="00B31118" w:rsidRPr="00563AE6" w:rsidRDefault="00B31118" w:rsidP="00B300C9">
      <w:pPr>
        <w:pStyle w:val="FootnoteText"/>
        <w:spacing w:line="228" w:lineRule="auto"/>
        <w:ind w:left="378" w:hanging="378"/>
        <w:jc w:val="both"/>
        <w:rPr>
          <w:rFonts w:cs="mylotus" w:hint="cs"/>
          <w:sz w:val="23"/>
          <w:szCs w:val="23"/>
        </w:rPr>
      </w:pPr>
      <w:r w:rsidRPr="00563AE6">
        <w:rPr>
          <w:rStyle w:val="FootnoteReference"/>
          <w:rFonts w:cs="mylotus"/>
          <w:sz w:val="23"/>
          <w:szCs w:val="23"/>
          <w:vertAlign w:val="baseline"/>
          <w:rtl/>
        </w:rPr>
        <w:footnoteRef/>
      </w:r>
      <w:r>
        <w:rPr>
          <w:rFonts w:cs="mylotus"/>
          <w:sz w:val="23"/>
          <w:szCs w:val="23"/>
          <w:rtl/>
        </w:rPr>
        <w:t>-</w:t>
      </w:r>
      <w:r w:rsidRPr="00563AE6">
        <w:rPr>
          <w:rFonts w:cs="mylotus" w:hint="cs"/>
          <w:sz w:val="23"/>
          <w:szCs w:val="23"/>
          <w:rtl/>
        </w:rPr>
        <w:t xml:space="preserve"> سيرة ابن هشام، ج 4، ص 224 [أو </w:t>
      </w:r>
      <w:r w:rsidRPr="00563AE6">
        <w:rPr>
          <w:rFonts w:ascii="Abo-thar" w:hAnsi="Abo-thar" w:cs="mylotus"/>
          <w:sz w:val="23"/>
          <w:szCs w:val="23"/>
          <w:rtl/>
        </w:rPr>
        <w:t>ج2،</w:t>
      </w:r>
      <w:r w:rsidRPr="00563AE6">
        <w:rPr>
          <w:rFonts w:ascii="Abo-thar" w:hAnsi="Abo-thar" w:cs="mylotus" w:hint="cs"/>
          <w:sz w:val="23"/>
          <w:szCs w:val="23"/>
          <w:rtl/>
        </w:rPr>
        <w:t xml:space="preserve"> </w:t>
      </w:r>
      <w:r w:rsidRPr="00563AE6">
        <w:rPr>
          <w:rFonts w:ascii="Abo-thar" w:hAnsi="Abo-thar" w:cs="mylotus"/>
          <w:sz w:val="23"/>
          <w:szCs w:val="23"/>
          <w:rtl/>
        </w:rPr>
        <w:t>ص560-563</w:t>
      </w:r>
      <w:r w:rsidRPr="00563AE6">
        <w:rPr>
          <w:rFonts w:ascii="Abo-thar" w:hAnsi="Abo-thar" w:cs="mylotus" w:hint="cs"/>
          <w:sz w:val="23"/>
          <w:szCs w:val="23"/>
          <w:rtl/>
        </w:rPr>
        <w:t xml:space="preserve"> في طبعة القاهرة بتحقيق السقا والأبياري وشلبي)</w:t>
      </w:r>
      <w:r w:rsidRPr="00563AE6">
        <w:rPr>
          <w:rFonts w:cs="mylotus" w:hint="cs"/>
          <w:sz w:val="23"/>
          <w:szCs w:val="23"/>
          <w:rtl/>
        </w:rPr>
        <w:t>.</w:t>
      </w:r>
      <w:r w:rsidRPr="00563AE6">
        <w:rPr>
          <w:rFonts w:cs="mylotus"/>
          <w:sz w:val="23"/>
          <w:szCs w:val="23"/>
          <w:rtl/>
        </w:rPr>
        <w:t xml:space="preserve"> </w:t>
      </w:r>
    </w:p>
  </w:footnote>
  <w:footnote w:id="14">
    <w:p w:rsidR="00B31118" w:rsidRPr="00563AE6" w:rsidRDefault="00B31118" w:rsidP="00B300C9">
      <w:pPr>
        <w:pStyle w:val="FootnoteText"/>
        <w:spacing w:line="228" w:lineRule="auto"/>
        <w:ind w:left="378" w:hanging="378"/>
        <w:jc w:val="both"/>
        <w:rPr>
          <w:rFonts w:cs="mylotus" w:hint="cs"/>
          <w:sz w:val="23"/>
          <w:szCs w:val="23"/>
        </w:rPr>
      </w:pPr>
      <w:r w:rsidRPr="00563AE6">
        <w:rPr>
          <w:rStyle w:val="FootnoteReference"/>
          <w:rFonts w:cs="mylotus"/>
          <w:sz w:val="23"/>
          <w:szCs w:val="23"/>
          <w:vertAlign w:val="baseline"/>
          <w:rtl/>
        </w:rPr>
        <w:footnoteRef/>
      </w:r>
      <w:r>
        <w:rPr>
          <w:rFonts w:cs="mylotus"/>
          <w:sz w:val="23"/>
          <w:szCs w:val="23"/>
          <w:rtl/>
        </w:rPr>
        <w:t>-</w:t>
      </w:r>
      <w:r w:rsidRPr="00563AE6">
        <w:rPr>
          <w:rFonts w:cs="mylotus" w:hint="cs"/>
          <w:sz w:val="23"/>
          <w:szCs w:val="23"/>
          <w:rtl/>
        </w:rPr>
        <w:t xml:space="preserve"> سيرة ابن هشام، ج 4، ص 230.</w:t>
      </w:r>
    </w:p>
  </w:footnote>
  <w:footnote w:id="15">
    <w:p w:rsidR="00B31118" w:rsidRPr="00563AE6" w:rsidRDefault="00B31118" w:rsidP="00B300C9">
      <w:pPr>
        <w:pStyle w:val="FootnoteText"/>
        <w:spacing w:line="228" w:lineRule="auto"/>
        <w:ind w:left="378" w:hanging="378"/>
        <w:jc w:val="both"/>
        <w:rPr>
          <w:rFonts w:cs="mylotus" w:hint="cs"/>
          <w:sz w:val="23"/>
          <w:szCs w:val="23"/>
        </w:rPr>
      </w:pPr>
      <w:r w:rsidRPr="00563AE6">
        <w:rPr>
          <w:rStyle w:val="FootnoteReference"/>
          <w:rFonts w:cs="mylotus"/>
          <w:sz w:val="23"/>
          <w:szCs w:val="23"/>
          <w:vertAlign w:val="baseline"/>
          <w:rtl/>
        </w:rPr>
        <w:footnoteRef/>
      </w:r>
      <w:r>
        <w:rPr>
          <w:rFonts w:cs="mylotus"/>
          <w:sz w:val="23"/>
          <w:szCs w:val="23"/>
          <w:rtl/>
        </w:rPr>
        <w:t>-</w:t>
      </w:r>
      <w:r w:rsidRPr="00563AE6">
        <w:rPr>
          <w:rFonts w:cs="mylotus" w:hint="cs"/>
          <w:sz w:val="23"/>
          <w:szCs w:val="23"/>
          <w:rtl/>
        </w:rPr>
        <w:t xml:space="preserve"> سيرة ابن هشام، ج 4، ص 230.</w:t>
      </w:r>
    </w:p>
  </w:footnote>
  <w:footnote w:id="16">
    <w:p w:rsidR="00B31118" w:rsidRPr="00563AE6" w:rsidRDefault="00B31118" w:rsidP="00B300C9">
      <w:pPr>
        <w:pStyle w:val="FootnoteText"/>
        <w:spacing w:line="228" w:lineRule="auto"/>
        <w:ind w:left="378" w:hanging="378"/>
        <w:jc w:val="both"/>
        <w:rPr>
          <w:rFonts w:cs="mylotus" w:hint="cs"/>
          <w:sz w:val="23"/>
          <w:szCs w:val="23"/>
        </w:rPr>
      </w:pPr>
      <w:r w:rsidRPr="00563AE6">
        <w:rPr>
          <w:rStyle w:val="FootnoteReference"/>
          <w:rFonts w:cs="mylotus"/>
          <w:sz w:val="23"/>
          <w:szCs w:val="23"/>
          <w:vertAlign w:val="baseline"/>
          <w:rtl/>
        </w:rPr>
        <w:footnoteRef/>
      </w:r>
      <w:r>
        <w:rPr>
          <w:rFonts w:cs="mylotus"/>
          <w:sz w:val="23"/>
          <w:szCs w:val="23"/>
          <w:rtl/>
        </w:rPr>
        <w:t>-</w:t>
      </w:r>
      <w:r w:rsidRPr="00563AE6">
        <w:rPr>
          <w:rFonts w:cs="mylotus" w:hint="cs"/>
          <w:sz w:val="23"/>
          <w:szCs w:val="23"/>
          <w:rtl/>
        </w:rPr>
        <w:t xml:space="preserve"> مجمع البيان، ج </w:t>
      </w:r>
      <w:r w:rsidRPr="00563AE6">
        <w:rPr>
          <w:rFonts w:cs="mylotus"/>
          <w:sz w:val="23"/>
          <w:szCs w:val="23"/>
          <w:rtl/>
        </w:rPr>
        <w:t>5</w:t>
      </w:r>
      <w:r w:rsidRPr="00563AE6">
        <w:rPr>
          <w:rFonts w:cs="mylotus" w:hint="cs"/>
          <w:sz w:val="23"/>
          <w:szCs w:val="23"/>
          <w:rtl/>
        </w:rPr>
        <w:t xml:space="preserve">، ص </w:t>
      </w:r>
      <w:r w:rsidRPr="00563AE6">
        <w:rPr>
          <w:rFonts w:cs="mylotus"/>
          <w:sz w:val="23"/>
          <w:szCs w:val="23"/>
          <w:rtl/>
        </w:rPr>
        <w:t>261، طبع المطبعة الإسلامية</w:t>
      </w:r>
      <w:r w:rsidRPr="00563AE6">
        <w:rPr>
          <w:rFonts w:cs="mylotus" w:hint="cs"/>
          <w:sz w:val="23"/>
          <w:szCs w:val="23"/>
          <w:rtl/>
        </w:rPr>
        <w:t>.</w:t>
      </w:r>
    </w:p>
  </w:footnote>
  <w:footnote w:id="17">
    <w:p w:rsidR="00B31118" w:rsidRPr="00563AE6" w:rsidRDefault="00B31118" w:rsidP="00B300C9">
      <w:pPr>
        <w:pStyle w:val="FootnoteText"/>
        <w:spacing w:line="228" w:lineRule="auto"/>
        <w:ind w:left="378" w:hanging="378"/>
        <w:jc w:val="both"/>
        <w:rPr>
          <w:rFonts w:cs="mylotus" w:hint="cs"/>
          <w:sz w:val="23"/>
          <w:szCs w:val="23"/>
        </w:rPr>
      </w:pPr>
      <w:r w:rsidRPr="00563AE6">
        <w:rPr>
          <w:rStyle w:val="FootnoteReference"/>
          <w:rFonts w:cs="mylotus"/>
          <w:sz w:val="23"/>
          <w:szCs w:val="23"/>
          <w:vertAlign w:val="baseline"/>
          <w:rtl/>
        </w:rPr>
        <w:footnoteRef/>
      </w:r>
      <w:r>
        <w:rPr>
          <w:rFonts w:cs="mylotus"/>
          <w:sz w:val="23"/>
          <w:szCs w:val="23"/>
          <w:rtl/>
        </w:rPr>
        <w:t>-</w:t>
      </w:r>
      <w:r w:rsidRPr="00563AE6">
        <w:rPr>
          <w:rFonts w:cs="mylotus" w:hint="cs"/>
          <w:sz w:val="23"/>
          <w:szCs w:val="23"/>
          <w:rtl/>
        </w:rPr>
        <w:t xml:space="preserve"> </w:t>
      </w:r>
      <w:r w:rsidRPr="00563AE6">
        <w:rPr>
          <w:rFonts w:cs="mylotus"/>
          <w:sz w:val="23"/>
          <w:szCs w:val="23"/>
          <w:rtl/>
        </w:rPr>
        <w:t>مسالك الأفهام</w:t>
      </w:r>
      <w:r w:rsidRPr="00563AE6">
        <w:rPr>
          <w:rFonts w:cs="mylotus" w:hint="cs"/>
          <w:sz w:val="23"/>
          <w:szCs w:val="23"/>
          <w:rtl/>
        </w:rPr>
        <w:t xml:space="preserve"> إلى آيات الأحكام، ج </w:t>
      </w:r>
      <w:r w:rsidRPr="00563AE6">
        <w:rPr>
          <w:rFonts w:cs="mylotus"/>
          <w:sz w:val="23"/>
          <w:szCs w:val="23"/>
          <w:rtl/>
        </w:rPr>
        <w:t>2</w:t>
      </w:r>
      <w:r w:rsidRPr="00563AE6">
        <w:rPr>
          <w:rFonts w:cs="mylotus" w:hint="cs"/>
          <w:sz w:val="23"/>
          <w:szCs w:val="23"/>
          <w:rtl/>
        </w:rPr>
        <w:t xml:space="preserve">، ص </w:t>
      </w:r>
      <w:r w:rsidRPr="00563AE6">
        <w:rPr>
          <w:rFonts w:cs="mylotus"/>
          <w:sz w:val="23"/>
          <w:szCs w:val="23"/>
          <w:rtl/>
        </w:rPr>
        <w:t>95</w:t>
      </w:r>
      <w:r w:rsidRPr="00563AE6">
        <w:rPr>
          <w:rFonts w:cs="mylotus" w:hint="cs"/>
          <w:sz w:val="23"/>
          <w:szCs w:val="23"/>
          <w:rtl/>
        </w:rPr>
        <w:t>.</w:t>
      </w:r>
    </w:p>
  </w:footnote>
  <w:footnote w:id="18">
    <w:p w:rsidR="00B31118" w:rsidRPr="00563AE6" w:rsidRDefault="00B31118" w:rsidP="00B300C9">
      <w:pPr>
        <w:pStyle w:val="FootnoteText"/>
        <w:spacing w:line="228" w:lineRule="auto"/>
        <w:ind w:left="378" w:hanging="378"/>
        <w:jc w:val="both"/>
        <w:rPr>
          <w:rFonts w:cs="mylotus" w:hint="cs"/>
          <w:sz w:val="23"/>
          <w:szCs w:val="23"/>
        </w:rPr>
      </w:pPr>
      <w:r w:rsidRPr="00563AE6">
        <w:rPr>
          <w:rStyle w:val="FootnoteReference"/>
          <w:rFonts w:cs="mylotus"/>
          <w:sz w:val="23"/>
          <w:szCs w:val="23"/>
          <w:vertAlign w:val="baseline"/>
          <w:rtl/>
        </w:rPr>
        <w:footnoteRef/>
      </w:r>
      <w:r>
        <w:rPr>
          <w:rFonts w:cs="mylotus"/>
          <w:sz w:val="23"/>
          <w:szCs w:val="23"/>
          <w:rtl/>
        </w:rPr>
        <w:t>-</w:t>
      </w:r>
      <w:r w:rsidRPr="00563AE6">
        <w:rPr>
          <w:rFonts w:ascii="Abo-thar" w:hAnsi="Abo-thar" w:cs="mylotus" w:hint="cs"/>
          <w:sz w:val="23"/>
          <w:szCs w:val="23"/>
          <w:rtl/>
        </w:rPr>
        <w:t xml:space="preserve"> العلامة الحلي، </w:t>
      </w:r>
      <w:r w:rsidRPr="00563AE6">
        <w:rPr>
          <w:rFonts w:ascii="Abo-thar" w:hAnsi="Abo-thar" w:cs="mylotus"/>
          <w:sz w:val="23"/>
          <w:szCs w:val="23"/>
          <w:rtl/>
        </w:rPr>
        <w:t>منتهى المطلب</w:t>
      </w:r>
      <w:r w:rsidRPr="00563AE6">
        <w:rPr>
          <w:rFonts w:ascii="Abo-thar" w:hAnsi="Abo-thar" w:cs="mylotus" w:hint="cs"/>
          <w:sz w:val="23"/>
          <w:szCs w:val="23"/>
          <w:rtl/>
        </w:rPr>
        <w:t xml:space="preserve">، ج </w:t>
      </w:r>
      <w:r w:rsidRPr="00563AE6">
        <w:rPr>
          <w:rFonts w:ascii="Abo-thar" w:hAnsi="Abo-thar" w:cs="mylotus"/>
          <w:sz w:val="23"/>
          <w:szCs w:val="23"/>
          <w:rtl/>
        </w:rPr>
        <w:t>2</w:t>
      </w:r>
      <w:r w:rsidRPr="00563AE6">
        <w:rPr>
          <w:rFonts w:ascii="Abo-thar" w:hAnsi="Abo-thar" w:cs="mylotus" w:hint="cs"/>
          <w:sz w:val="23"/>
          <w:szCs w:val="23"/>
          <w:rtl/>
        </w:rPr>
        <w:t xml:space="preserve">، ص </w:t>
      </w:r>
      <w:r w:rsidRPr="00563AE6">
        <w:rPr>
          <w:rFonts w:ascii="Abo-thar" w:hAnsi="Abo-thar" w:cs="mylotus"/>
          <w:sz w:val="23"/>
          <w:szCs w:val="23"/>
          <w:rtl/>
        </w:rPr>
        <w:t>922، الطبعة الحجرية القديمة</w:t>
      </w:r>
      <w:r w:rsidRPr="00563AE6">
        <w:rPr>
          <w:rFonts w:cs="mylotus" w:hint="cs"/>
          <w:sz w:val="23"/>
          <w:szCs w:val="23"/>
          <w:rtl/>
        </w:rPr>
        <w:t>.</w:t>
      </w:r>
    </w:p>
  </w:footnote>
  <w:footnote w:id="19">
    <w:p w:rsidR="00B31118" w:rsidRPr="00563AE6" w:rsidRDefault="00B31118" w:rsidP="00B300C9">
      <w:pPr>
        <w:pStyle w:val="FootnoteText"/>
        <w:spacing w:line="228" w:lineRule="auto"/>
        <w:ind w:left="378" w:hanging="378"/>
        <w:jc w:val="both"/>
        <w:rPr>
          <w:rFonts w:ascii="Abo-thar" w:hAnsi="Abo-thar" w:cs="mylotus"/>
          <w:sz w:val="23"/>
          <w:szCs w:val="23"/>
        </w:rPr>
      </w:pPr>
      <w:r w:rsidRPr="00563AE6">
        <w:rPr>
          <w:rStyle w:val="FootnoteReference"/>
          <w:rFonts w:cs="mylotus"/>
          <w:sz w:val="23"/>
          <w:szCs w:val="23"/>
          <w:vertAlign w:val="baseline"/>
          <w:rtl/>
        </w:rPr>
        <w:footnoteRef/>
      </w:r>
      <w:r>
        <w:rPr>
          <w:rFonts w:cs="mylotus"/>
          <w:sz w:val="23"/>
          <w:szCs w:val="23"/>
          <w:rtl/>
        </w:rPr>
        <w:t>-</w:t>
      </w:r>
      <w:r w:rsidRPr="00563AE6">
        <w:rPr>
          <w:rFonts w:ascii="Abo-thar" w:hAnsi="Abo-thar" w:cs="mylotus" w:hint="cs"/>
          <w:sz w:val="23"/>
          <w:szCs w:val="23"/>
          <w:rtl/>
        </w:rPr>
        <w:t xml:space="preserve"> تذكرة الفقهاء، </w:t>
      </w:r>
      <w:r w:rsidRPr="00563AE6">
        <w:rPr>
          <w:rFonts w:ascii="Abo-thar" w:hAnsi="Abo-thar" w:cs="mylotus"/>
          <w:sz w:val="23"/>
          <w:szCs w:val="23"/>
          <w:rtl/>
        </w:rPr>
        <w:t>الطبعة الجديدة</w:t>
      </w:r>
      <w:r w:rsidRPr="00563AE6">
        <w:rPr>
          <w:rFonts w:ascii="Abo-thar" w:hAnsi="Abo-thar" w:cs="mylotus" w:hint="cs"/>
          <w:sz w:val="23"/>
          <w:szCs w:val="23"/>
          <w:rtl/>
        </w:rPr>
        <w:t xml:space="preserve">، ج </w:t>
      </w:r>
      <w:r w:rsidRPr="00563AE6">
        <w:rPr>
          <w:rFonts w:ascii="Abo-thar" w:hAnsi="Abo-thar" w:cs="mylotus"/>
          <w:sz w:val="23"/>
          <w:szCs w:val="23"/>
          <w:rtl/>
        </w:rPr>
        <w:t>9</w:t>
      </w:r>
      <w:r w:rsidRPr="00563AE6">
        <w:rPr>
          <w:rFonts w:ascii="Abo-thar" w:hAnsi="Abo-thar" w:cs="mylotus" w:hint="cs"/>
          <w:sz w:val="23"/>
          <w:szCs w:val="23"/>
          <w:rtl/>
        </w:rPr>
        <w:t>، ص</w:t>
      </w:r>
      <w:r w:rsidRPr="00563AE6">
        <w:rPr>
          <w:rFonts w:ascii="Abo-thar" w:hAnsi="Abo-thar" w:cs="mylotus"/>
          <w:sz w:val="23"/>
          <w:szCs w:val="23"/>
          <w:rtl/>
        </w:rPr>
        <w:t>114</w:t>
      </w:r>
      <w:r w:rsidRPr="00563AE6">
        <w:rPr>
          <w:rFonts w:ascii="Abo-thar" w:hAnsi="Abo-thar" w:cs="mylotus" w:hint="cs"/>
          <w:sz w:val="23"/>
          <w:szCs w:val="23"/>
          <w:rtl/>
        </w:rPr>
        <w:t>.</w:t>
      </w:r>
    </w:p>
  </w:footnote>
  <w:footnote w:id="20">
    <w:p w:rsidR="00B31118" w:rsidRPr="00563AE6" w:rsidRDefault="00B31118" w:rsidP="00B300C9">
      <w:pPr>
        <w:pStyle w:val="FootnoteText"/>
        <w:spacing w:line="228" w:lineRule="auto"/>
        <w:ind w:left="378" w:hanging="378"/>
        <w:jc w:val="both"/>
        <w:rPr>
          <w:rFonts w:ascii="Abo-thar" w:hAnsi="Abo-thar" w:cs="mylotus"/>
          <w:sz w:val="23"/>
          <w:szCs w:val="23"/>
          <w:lang w:bidi="ar-SY"/>
        </w:rPr>
      </w:pPr>
      <w:r w:rsidRPr="00563AE6">
        <w:rPr>
          <w:rStyle w:val="FootnoteReference"/>
          <w:rFonts w:cs="mylotus"/>
          <w:sz w:val="23"/>
          <w:szCs w:val="23"/>
          <w:vertAlign w:val="baseline"/>
          <w:rtl/>
        </w:rPr>
        <w:footnoteRef/>
      </w:r>
      <w:r>
        <w:rPr>
          <w:rFonts w:cs="mylotus"/>
          <w:sz w:val="23"/>
          <w:szCs w:val="23"/>
          <w:rtl/>
        </w:rPr>
        <w:t>-</w:t>
      </w:r>
      <w:r w:rsidRPr="00563AE6">
        <w:rPr>
          <w:rFonts w:ascii="Abo-thar" w:hAnsi="Abo-thar" w:cs="mylotus" w:hint="cs"/>
          <w:sz w:val="23"/>
          <w:szCs w:val="23"/>
          <w:rtl/>
        </w:rPr>
        <w:t xml:space="preserve"> المجلسي، مرآة العقول، ج </w:t>
      </w:r>
      <w:r w:rsidRPr="00563AE6">
        <w:rPr>
          <w:rFonts w:ascii="Abo-thar" w:hAnsi="Abo-thar" w:cs="mylotus"/>
          <w:sz w:val="23"/>
          <w:szCs w:val="23"/>
          <w:rtl/>
        </w:rPr>
        <w:t>1</w:t>
      </w:r>
      <w:r w:rsidRPr="00563AE6">
        <w:rPr>
          <w:rFonts w:ascii="Abo-thar" w:hAnsi="Abo-thar" w:cs="mylotus" w:hint="cs"/>
          <w:sz w:val="23"/>
          <w:szCs w:val="23"/>
          <w:rtl/>
        </w:rPr>
        <w:t xml:space="preserve">، ص </w:t>
      </w:r>
      <w:r w:rsidRPr="00563AE6">
        <w:rPr>
          <w:rFonts w:ascii="Abo-thar" w:hAnsi="Abo-thar" w:cs="mylotus"/>
          <w:sz w:val="23"/>
          <w:szCs w:val="23"/>
          <w:rtl/>
        </w:rPr>
        <w:t>422</w:t>
      </w:r>
      <w:r w:rsidRPr="00563AE6">
        <w:rPr>
          <w:rFonts w:ascii="Abo-thar" w:hAnsi="Abo-thar" w:cs="mylotus" w:hint="cs"/>
          <w:sz w:val="23"/>
          <w:szCs w:val="23"/>
          <w:rtl/>
        </w:rPr>
        <w:t>.</w:t>
      </w:r>
    </w:p>
  </w:footnote>
  <w:footnote w:id="21">
    <w:p w:rsidR="00B31118" w:rsidRPr="00563AE6" w:rsidRDefault="00B31118" w:rsidP="00B300C9">
      <w:pPr>
        <w:pStyle w:val="FootnoteText"/>
        <w:spacing w:line="228" w:lineRule="auto"/>
        <w:ind w:left="378" w:hanging="378"/>
        <w:jc w:val="both"/>
        <w:rPr>
          <w:rFonts w:cs="mylotus" w:hint="cs"/>
          <w:sz w:val="23"/>
          <w:szCs w:val="23"/>
        </w:rPr>
      </w:pPr>
      <w:r w:rsidRPr="00563AE6">
        <w:rPr>
          <w:rStyle w:val="FootnoteReference"/>
          <w:rFonts w:cs="mylotus"/>
          <w:sz w:val="23"/>
          <w:szCs w:val="23"/>
          <w:vertAlign w:val="baseline"/>
          <w:rtl/>
        </w:rPr>
        <w:footnoteRef/>
      </w:r>
      <w:r>
        <w:rPr>
          <w:rFonts w:cs="mylotus"/>
          <w:sz w:val="23"/>
          <w:szCs w:val="23"/>
          <w:rtl/>
        </w:rPr>
        <w:t>-</w:t>
      </w:r>
      <w:r w:rsidRPr="00563AE6">
        <w:rPr>
          <w:rFonts w:ascii="Abo-thar" w:hAnsi="Abo-thar" w:cs="mylotus" w:hint="cs"/>
          <w:sz w:val="23"/>
          <w:szCs w:val="23"/>
          <w:rtl/>
        </w:rPr>
        <w:t xml:space="preserve"> المصنف، </w:t>
      </w:r>
      <w:r w:rsidRPr="00563AE6">
        <w:rPr>
          <w:rFonts w:ascii="Abo-thar" w:hAnsi="Abo-thar" w:cs="mylotus"/>
          <w:sz w:val="23"/>
          <w:szCs w:val="23"/>
          <w:rtl/>
        </w:rPr>
        <w:t>ج</w:t>
      </w:r>
      <w:r w:rsidRPr="00563AE6">
        <w:rPr>
          <w:rFonts w:ascii="Abo-thar" w:hAnsi="Abo-thar" w:cs="mylotus" w:hint="cs"/>
          <w:sz w:val="23"/>
          <w:szCs w:val="23"/>
          <w:rtl/>
        </w:rPr>
        <w:t xml:space="preserve"> </w:t>
      </w:r>
      <w:r w:rsidRPr="00563AE6">
        <w:rPr>
          <w:rFonts w:ascii="Abo-thar" w:hAnsi="Abo-thar" w:cs="mylotus"/>
          <w:sz w:val="23"/>
          <w:szCs w:val="23"/>
          <w:rtl/>
        </w:rPr>
        <w:t>5</w:t>
      </w:r>
      <w:r w:rsidRPr="00563AE6">
        <w:rPr>
          <w:rFonts w:ascii="Abo-thar" w:hAnsi="Abo-thar" w:cs="mylotus" w:hint="cs"/>
          <w:sz w:val="23"/>
          <w:szCs w:val="23"/>
          <w:rtl/>
        </w:rPr>
        <w:t xml:space="preserve">، </w:t>
      </w:r>
      <w:r w:rsidRPr="00563AE6">
        <w:rPr>
          <w:rFonts w:ascii="Abo-thar" w:hAnsi="Abo-thar" w:cs="mylotus"/>
          <w:sz w:val="23"/>
          <w:szCs w:val="23"/>
          <w:rtl/>
        </w:rPr>
        <w:t>ص241-242</w:t>
      </w:r>
      <w:r w:rsidRPr="00563AE6">
        <w:rPr>
          <w:rFonts w:ascii="Abo-thar" w:hAnsi="Abo-thar" w:cs="mylotus" w:hint="cs"/>
          <w:sz w:val="23"/>
          <w:szCs w:val="23"/>
          <w:rtl/>
        </w:rPr>
        <w:t xml:space="preserve">، حديث </w:t>
      </w:r>
      <w:r w:rsidRPr="00563AE6">
        <w:rPr>
          <w:rFonts w:ascii="Abo-thar" w:hAnsi="Abo-thar" w:cs="mylotus"/>
          <w:sz w:val="23"/>
          <w:szCs w:val="23"/>
          <w:rtl/>
        </w:rPr>
        <w:t>9492</w:t>
      </w:r>
      <w:r w:rsidRPr="00563AE6">
        <w:rPr>
          <w:rFonts w:ascii="Abo-thar" w:hAnsi="Abo-thar" w:cs="mylotus" w:hint="cs"/>
          <w:sz w:val="23"/>
          <w:szCs w:val="23"/>
          <w:rtl/>
        </w:rPr>
        <w:t>.</w:t>
      </w:r>
    </w:p>
  </w:footnote>
  <w:footnote w:id="22">
    <w:p w:rsidR="00B31118" w:rsidRPr="00563AE6" w:rsidRDefault="00B31118" w:rsidP="00B300C9">
      <w:pPr>
        <w:pStyle w:val="FootnoteText"/>
        <w:spacing w:line="228" w:lineRule="auto"/>
        <w:ind w:left="378" w:hanging="378"/>
        <w:jc w:val="both"/>
        <w:rPr>
          <w:rFonts w:cs="mylotus" w:hint="cs"/>
          <w:sz w:val="23"/>
          <w:szCs w:val="23"/>
        </w:rPr>
      </w:pPr>
      <w:r w:rsidRPr="00563AE6">
        <w:rPr>
          <w:rStyle w:val="FootnoteReference"/>
          <w:rFonts w:cs="mylotus"/>
          <w:sz w:val="23"/>
          <w:szCs w:val="23"/>
          <w:vertAlign w:val="baseline"/>
          <w:rtl/>
        </w:rPr>
        <w:footnoteRef/>
      </w:r>
      <w:r>
        <w:rPr>
          <w:rFonts w:cs="mylotus"/>
          <w:sz w:val="23"/>
          <w:szCs w:val="23"/>
          <w:rtl/>
        </w:rPr>
        <w:t>-</w:t>
      </w:r>
      <w:r w:rsidRPr="00563AE6">
        <w:rPr>
          <w:rFonts w:ascii="Abo-thar" w:hAnsi="Abo-thar" w:cs="mylotus" w:hint="cs"/>
          <w:sz w:val="23"/>
          <w:szCs w:val="23"/>
          <w:rtl/>
        </w:rPr>
        <w:t xml:space="preserve"> صحيح البخاري، ج </w:t>
      </w:r>
      <w:r w:rsidRPr="00563AE6">
        <w:rPr>
          <w:rFonts w:ascii="Abo-thar" w:hAnsi="Abo-thar" w:cs="mylotus"/>
          <w:sz w:val="23"/>
          <w:szCs w:val="23"/>
          <w:rtl/>
        </w:rPr>
        <w:t>3</w:t>
      </w:r>
      <w:r w:rsidRPr="00563AE6">
        <w:rPr>
          <w:rFonts w:ascii="Abo-thar" w:hAnsi="Abo-thar" w:cs="mylotus" w:hint="cs"/>
          <w:sz w:val="23"/>
          <w:szCs w:val="23"/>
          <w:rtl/>
        </w:rPr>
        <w:t xml:space="preserve">، ص </w:t>
      </w:r>
      <w:r w:rsidRPr="00563AE6">
        <w:rPr>
          <w:rFonts w:ascii="Abo-thar" w:hAnsi="Abo-thar" w:cs="mylotus"/>
          <w:sz w:val="23"/>
          <w:szCs w:val="23"/>
          <w:rtl/>
        </w:rPr>
        <w:t xml:space="preserve">1136، </w:t>
      </w:r>
      <w:r w:rsidRPr="00563AE6">
        <w:rPr>
          <w:rFonts w:ascii="Abo-thar" w:hAnsi="Abo-thar" w:cs="mylotus" w:hint="cs"/>
          <w:sz w:val="23"/>
          <w:szCs w:val="23"/>
          <w:rtl/>
        </w:rPr>
        <w:t>حديث</w:t>
      </w:r>
      <w:r w:rsidRPr="00563AE6">
        <w:rPr>
          <w:rFonts w:ascii="Abo-thar" w:hAnsi="Abo-thar" w:cs="mylotus"/>
          <w:sz w:val="23"/>
          <w:szCs w:val="23"/>
          <w:rtl/>
        </w:rPr>
        <w:t xml:space="preserve"> 2956</w:t>
      </w:r>
      <w:r w:rsidRPr="00563AE6">
        <w:rPr>
          <w:rFonts w:ascii="Abo-thar" w:hAnsi="Abo-thar" w:cs="mylotus" w:hint="cs"/>
          <w:sz w:val="23"/>
          <w:szCs w:val="23"/>
          <w:rtl/>
        </w:rPr>
        <w:t>.</w:t>
      </w:r>
    </w:p>
  </w:footnote>
  <w:footnote w:id="23">
    <w:p w:rsidR="00B31118" w:rsidRPr="00563AE6" w:rsidRDefault="00B31118" w:rsidP="00B300C9">
      <w:pPr>
        <w:pStyle w:val="FootnoteText"/>
        <w:spacing w:line="228" w:lineRule="auto"/>
        <w:ind w:left="378" w:hanging="378"/>
        <w:jc w:val="both"/>
        <w:rPr>
          <w:rFonts w:cs="mylotus" w:hint="cs"/>
          <w:sz w:val="23"/>
          <w:szCs w:val="23"/>
        </w:rPr>
      </w:pPr>
      <w:r w:rsidRPr="00563AE6">
        <w:rPr>
          <w:rStyle w:val="FootnoteReference"/>
          <w:rFonts w:cs="mylotus"/>
          <w:sz w:val="23"/>
          <w:szCs w:val="23"/>
          <w:vertAlign w:val="baseline"/>
          <w:rtl/>
        </w:rPr>
        <w:footnoteRef/>
      </w:r>
      <w:r>
        <w:rPr>
          <w:rFonts w:cs="mylotus"/>
          <w:sz w:val="23"/>
          <w:szCs w:val="23"/>
          <w:rtl/>
        </w:rPr>
        <w:t>-</w:t>
      </w:r>
      <w:r w:rsidRPr="00563AE6">
        <w:rPr>
          <w:rFonts w:ascii="Abo-thar" w:hAnsi="Abo-thar" w:cs="mylotus" w:hint="cs"/>
          <w:sz w:val="23"/>
          <w:szCs w:val="23"/>
          <w:rtl/>
        </w:rPr>
        <w:t xml:space="preserve"> أخرجه </w:t>
      </w:r>
      <w:r w:rsidRPr="00563AE6">
        <w:rPr>
          <w:rFonts w:ascii="Abo-thar" w:hAnsi="Abo-thar" w:cs="mylotus"/>
          <w:sz w:val="23"/>
          <w:szCs w:val="23"/>
          <w:rtl/>
        </w:rPr>
        <w:t xml:space="preserve">البخارى (1، 128، رقم 328)، ومسلم (1، 370، رقم 521)، والنسائى (1، 209، رقم 432)، </w:t>
      </w:r>
      <w:r w:rsidRPr="00563AE6">
        <w:rPr>
          <w:rFonts w:ascii="Abo-thar" w:hAnsi="Abo-thar" w:cs="mylotus" w:hint="cs"/>
          <w:sz w:val="23"/>
          <w:szCs w:val="23"/>
          <w:rtl/>
        </w:rPr>
        <w:t>و</w:t>
      </w:r>
      <w:r w:rsidRPr="00563AE6">
        <w:rPr>
          <w:rFonts w:ascii="Abo-thar" w:hAnsi="Abo-thar" w:cs="mylotus"/>
          <w:sz w:val="23"/>
          <w:szCs w:val="23"/>
          <w:rtl/>
        </w:rPr>
        <w:t>الدارمى (1، 374، رقم 1389)، وابن حبان (14، 308، رقم 6398). وهو مروي عن ابن عباس وأبي ذر أيضاً</w:t>
      </w:r>
      <w:r w:rsidRPr="00563AE6">
        <w:rPr>
          <w:rFonts w:ascii="Abo-thar" w:hAnsi="Abo-thar" w:cs="mylotus" w:hint="cs"/>
          <w:sz w:val="23"/>
          <w:szCs w:val="23"/>
          <w:rtl/>
        </w:rPr>
        <w:t>.</w:t>
      </w:r>
      <w:r w:rsidRPr="00563AE6">
        <w:rPr>
          <w:rFonts w:cs="mylotus" w:hint="cs"/>
          <w:sz w:val="23"/>
          <w:szCs w:val="23"/>
          <w:rtl/>
        </w:rPr>
        <w:t xml:space="preserve"> (المُتَرْجِمُ)</w:t>
      </w:r>
    </w:p>
  </w:footnote>
  <w:footnote w:id="24">
    <w:p w:rsidR="00B31118" w:rsidRPr="00563AE6" w:rsidRDefault="00B31118" w:rsidP="00B300C9">
      <w:pPr>
        <w:pStyle w:val="FootnoteText"/>
        <w:spacing w:line="228" w:lineRule="auto"/>
        <w:ind w:left="378" w:hanging="378"/>
        <w:jc w:val="both"/>
        <w:rPr>
          <w:rFonts w:cs="mylotus" w:hint="cs"/>
          <w:sz w:val="23"/>
          <w:szCs w:val="23"/>
          <w:rtl/>
        </w:rPr>
      </w:pPr>
      <w:r w:rsidRPr="00563AE6">
        <w:rPr>
          <w:rStyle w:val="FootnoteReference"/>
          <w:rFonts w:cs="mylotus"/>
          <w:sz w:val="23"/>
          <w:szCs w:val="23"/>
          <w:vertAlign w:val="baseline"/>
          <w:rtl/>
        </w:rPr>
        <w:footnoteRef/>
      </w:r>
      <w:r>
        <w:rPr>
          <w:rFonts w:cs="mylotus"/>
          <w:sz w:val="23"/>
          <w:szCs w:val="23"/>
          <w:rtl/>
        </w:rPr>
        <w:t>-</w:t>
      </w:r>
      <w:r w:rsidRPr="00563AE6">
        <w:rPr>
          <w:rFonts w:cs="mylotus"/>
          <w:sz w:val="23"/>
          <w:szCs w:val="23"/>
          <w:rtl/>
        </w:rPr>
        <w:t xml:space="preserve"> </w:t>
      </w:r>
      <w:r w:rsidRPr="00563AE6">
        <w:rPr>
          <w:rFonts w:cs="mylotus" w:hint="cs"/>
          <w:sz w:val="23"/>
          <w:szCs w:val="23"/>
          <w:rtl/>
        </w:rPr>
        <w:t xml:space="preserve">قال المرحوم </w:t>
      </w:r>
      <w:r w:rsidRPr="00563AE6">
        <w:rPr>
          <w:rFonts w:cs="mylotus" w:hint="eastAsia"/>
          <w:sz w:val="23"/>
          <w:szCs w:val="23"/>
          <w:rtl/>
        </w:rPr>
        <w:t>«</w:t>
      </w:r>
      <w:r w:rsidRPr="00563AE6">
        <w:rPr>
          <w:rFonts w:cs="mylotus" w:hint="cs"/>
          <w:sz w:val="23"/>
          <w:szCs w:val="23"/>
          <w:rtl/>
        </w:rPr>
        <w:t>الفاضل السبزواري</w:t>
      </w:r>
      <w:r w:rsidRPr="00563AE6">
        <w:rPr>
          <w:rFonts w:cs="mylotus" w:hint="eastAsia"/>
          <w:sz w:val="23"/>
          <w:szCs w:val="23"/>
          <w:rtl/>
        </w:rPr>
        <w:t>»</w:t>
      </w:r>
      <w:r w:rsidRPr="00563AE6">
        <w:rPr>
          <w:rFonts w:cs="mylotus"/>
          <w:sz w:val="23"/>
          <w:szCs w:val="23"/>
          <w:rtl/>
        </w:rPr>
        <w:t xml:space="preserve"> </w:t>
      </w:r>
      <w:r w:rsidRPr="00563AE6">
        <w:rPr>
          <w:rFonts w:cs="mylotus" w:hint="cs"/>
          <w:sz w:val="23"/>
          <w:szCs w:val="23"/>
          <w:rtl/>
        </w:rPr>
        <w:t xml:space="preserve">(الميرزا محمد باقر) في </w:t>
      </w:r>
      <w:r w:rsidRPr="00563AE6">
        <w:rPr>
          <w:rFonts w:cs="mylotus" w:hint="eastAsia"/>
          <w:sz w:val="23"/>
          <w:szCs w:val="23"/>
          <w:rtl/>
        </w:rPr>
        <w:t>«</w:t>
      </w:r>
      <w:r w:rsidRPr="00563AE6">
        <w:rPr>
          <w:rFonts w:cs="mylotus" w:hint="cs"/>
          <w:sz w:val="23"/>
          <w:szCs w:val="23"/>
          <w:rtl/>
        </w:rPr>
        <w:t>ذخيرة المعاد في شرح الإرشاد</w:t>
      </w:r>
      <w:r w:rsidRPr="00563AE6">
        <w:rPr>
          <w:rFonts w:cs="mylotus" w:hint="eastAsia"/>
          <w:sz w:val="23"/>
          <w:szCs w:val="23"/>
          <w:rtl/>
        </w:rPr>
        <w:t>»</w:t>
      </w:r>
      <w:r w:rsidRPr="00563AE6">
        <w:rPr>
          <w:rFonts w:cs="mylotus" w:hint="cs"/>
          <w:sz w:val="23"/>
          <w:szCs w:val="23"/>
          <w:rtl/>
        </w:rPr>
        <w:t xml:space="preserve"> [ج 2، ص 423]: (لأن الغانمين وإن ملكوا الغنيمة باختيار، إلا أن ملكهم في غاية الضعف ... وللإمام أن يقسم بينهم). انتهى. كما أن الشهيد الثاني (رح) قطع في كتابه </w:t>
      </w:r>
      <w:r w:rsidRPr="00563AE6">
        <w:rPr>
          <w:rFonts w:cs="mylotus" w:hint="eastAsia"/>
          <w:sz w:val="23"/>
          <w:szCs w:val="23"/>
          <w:rtl/>
        </w:rPr>
        <w:t>«</w:t>
      </w:r>
      <w:r w:rsidRPr="00563AE6">
        <w:rPr>
          <w:rFonts w:cs="mylotus" w:hint="cs"/>
          <w:sz w:val="23"/>
          <w:szCs w:val="23"/>
          <w:rtl/>
        </w:rPr>
        <w:t>الفوائد</w:t>
      </w:r>
      <w:r w:rsidRPr="00563AE6">
        <w:rPr>
          <w:rFonts w:cs="mylotus" w:hint="eastAsia"/>
          <w:sz w:val="23"/>
          <w:szCs w:val="23"/>
          <w:rtl/>
        </w:rPr>
        <w:t>»</w:t>
      </w:r>
      <w:r w:rsidRPr="00563AE6">
        <w:rPr>
          <w:rFonts w:cs="mylotus" w:hint="cs"/>
          <w:sz w:val="23"/>
          <w:szCs w:val="23"/>
          <w:rtl/>
        </w:rPr>
        <w:t xml:space="preserve"> بتوقف ملك الغنيمة على تقسيمها فكما قيل إن الآية الكريمة التي صُدِرّت بكلمة </w:t>
      </w:r>
      <w:r w:rsidRPr="00563AE6">
        <w:rPr>
          <w:rFonts w:cs="mylotus" w:hint="eastAsia"/>
          <w:sz w:val="23"/>
          <w:szCs w:val="23"/>
          <w:rtl/>
        </w:rPr>
        <w:t>«</w:t>
      </w:r>
      <w:r w:rsidRPr="00563AE6">
        <w:rPr>
          <w:rFonts w:cs="mylotus" w:hint="cs"/>
          <w:sz w:val="23"/>
          <w:szCs w:val="23"/>
          <w:rtl/>
        </w:rPr>
        <w:t>واعلموا</w:t>
      </w:r>
      <w:r w:rsidRPr="00563AE6">
        <w:rPr>
          <w:rFonts w:cs="mylotus" w:hint="eastAsia"/>
          <w:sz w:val="23"/>
          <w:szCs w:val="23"/>
          <w:rtl/>
        </w:rPr>
        <w:t>»</w:t>
      </w:r>
      <w:r w:rsidRPr="00563AE6">
        <w:rPr>
          <w:rFonts w:cs="mylotus" w:hint="cs"/>
          <w:sz w:val="23"/>
          <w:szCs w:val="23"/>
          <w:rtl/>
        </w:rPr>
        <w:t xml:space="preserve"> لم تأمر أحداً بإيتاء الخمس لأن أحداً لم يملك شيئاً بعد حتى يُؤمر بأن يُعطى خمسه إذ ما زال ذلك المال مشتركاً ومُشاعاً بين الغانمين ورئيس الجند، ولذلك صُدِّرت آية تقسيم الخمس ورفع النزاع بشأن الغنائم بكلمة: </w:t>
      </w:r>
      <w:r w:rsidRPr="00563AE6">
        <w:rPr>
          <w:rFonts w:cs="Traditional Arabic" w:hint="cs"/>
          <w:sz w:val="23"/>
          <w:szCs w:val="23"/>
          <w:rtl/>
        </w:rPr>
        <w:t>﴿</w:t>
      </w:r>
      <w:r w:rsidRPr="00563AE6">
        <w:rPr>
          <w:rFonts w:ascii="KFGQPC Uthmanic Script HAFS" w:cs="KFGQPC Uthmanic Script HAFS" w:hint="eastAsia"/>
          <w:sz w:val="23"/>
          <w:szCs w:val="23"/>
          <w:rtl/>
        </w:rPr>
        <w:t>وَ</w:t>
      </w:r>
      <w:r w:rsidRPr="00563AE6">
        <w:rPr>
          <w:rFonts w:ascii="KFGQPC Uthmanic Script HAFS" w:cs="KFGQPC Uthmanic Script HAFS" w:hint="cs"/>
          <w:sz w:val="23"/>
          <w:szCs w:val="23"/>
          <w:rtl/>
        </w:rPr>
        <w:t>ٱ</w:t>
      </w:r>
      <w:r w:rsidRPr="00563AE6">
        <w:rPr>
          <w:rFonts w:ascii="KFGQPC Uthmanic Script HAFS" w:cs="KFGQPC Uthmanic Script HAFS" w:hint="eastAsia"/>
          <w:sz w:val="23"/>
          <w:szCs w:val="23"/>
          <w:rtl/>
        </w:rPr>
        <w:t>ع</w:t>
      </w:r>
      <w:r w:rsidRPr="00563AE6">
        <w:rPr>
          <w:rFonts w:ascii="KFGQPC Uthmanic Script HAFS" w:cs="KFGQPC Uthmanic Script HAFS" w:hint="cs"/>
          <w:sz w:val="23"/>
          <w:szCs w:val="23"/>
          <w:rtl/>
        </w:rPr>
        <w:t>ۡ</w:t>
      </w:r>
      <w:r w:rsidRPr="00563AE6">
        <w:rPr>
          <w:rFonts w:ascii="KFGQPC Uthmanic Script HAFS" w:cs="KFGQPC Uthmanic Script HAFS" w:hint="eastAsia"/>
          <w:sz w:val="23"/>
          <w:szCs w:val="23"/>
          <w:rtl/>
        </w:rPr>
        <w:t>لَمُو</w:t>
      </w:r>
      <w:r w:rsidRPr="00563AE6">
        <w:rPr>
          <w:rFonts w:ascii="KFGQPC Uthmanic Script HAFS" w:cs="KFGQPC Uthmanic Script HAFS" w:hint="cs"/>
          <w:sz w:val="23"/>
          <w:szCs w:val="23"/>
          <w:rtl/>
        </w:rPr>
        <w:t>ٓ</w:t>
      </w:r>
      <w:r w:rsidRPr="00563AE6">
        <w:rPr>
          <w:rFonts w:ascii="KFGQPC Uthmanic Script HAFS" w:cs="KFGQPC Uthmanic Script HAFS" w:hint="eastAsia"/>
          <w:sz w:val="23"/>
          <w:szCs w:val="23"/>
          <w:rtl/>
        </w:rPr>
        <w:t>اْ</w:t>
      </w:r>
      <w:r w:rsidRPr="00563AE6">
        <w:rPr>
          <w:rFonts w:cs="Traditional Arabic" w:hint="cs"/>
          <w:sz w:val="23"/>
          <w:szCs w:val="23"/>
          <w:rtl/>
        </w:rPr>
        <w:t>﴾</w:t>
      </w:r>
      <w:r w:rsidRPr="00563AE6">
        <w:rPr>
          <w:rFonts w:cs="mylotus" w:hint="cs"/>
          <w:sz w:val="23"/>
          <w:szCs w:val="23"/>
          <w:rtl/>
        </w:rPr>
        <w:t xml:space="preserve"> ولم تُصدَّر بأمر على نحو الأمر بأخذ الزكاة في قوله تعالى: </w:t>
      </w:r>
      <w:r w:rsidRPr="00563AE6">
        <w:rPr>
          <w:rFonts w:cs="Traditional Arabic" w:hint="cs"/>
          <w:sz w:val="23"/>
          <w:szCs w:val="23"/>
          <w:rtl/>
        </w:rPr>
        <w:t>﴿</w:t>
      </w:r>
      <w:r w:rsidRPr="00563AE6">
        <w:rPr>
          <w:rFonts w:ascii="KFGQPC Uthmanic Script HAFS" w:cs="KFGQPC Uthmanic Script HAFS" w:hint="eastAsia"/>
          <w:sz w:val="23"/>
          <w:szCs w:val="23"/>
          <w:rtl/>
        </w:rPr>
        <w:t>خُذ</w:t>
      </w:r>
      <w:r w:rsidRPr="00563AE6">
        <w:rPr>
          <w:rFonts w:ascii="KFGQPC Uthmanic Script HAFS" w:cs="KFGQPC Uthmanic Script HAFS" w:hint="cs"/>
          <w:sz w:val="23"/>
          <w:szCs w:val="23"/>
          <w:rtl/>
        </w:rPr>
        <w:t>ۡ</w:t>
      </w:r>
      <w:r w:rsidRPr="00563AE6">
        <w:rPr>
          <w:rFonts w:ascii="KFGQPC Uthmanic Script HAFS" w:cs="KFGQPC Uthmanic Script HAFS"/>
          <w:sz w:val="23"/>
          <w:szCs w:val="23"/>
          <w:rtl/>
        </w:rPr>
        <w:t xml:space="preserve"> </w:t>
      </w:r>
      <w:r w:rsidRPr="00563AE6">
        <w:rPr>
          <w:rFonts w:ascii="KFGQPC Uthmanic Script HAFS" w:cs="KFGQPC Uthmanic Script HAFS" w:hint="eastAsia"/>
          <w:sz w:val="23"/>
          <w:szCs w:val="23"/>
          <w:rtl/>
        </w:rPr>
        <w:t>مِن</w:t>
      </w:r>
      <w:r w:rsidRPr="00563AE6">
        <w:rPr>
          <w:rFonts w:ascii="KFGQPC Uthmanic Script HAFS" w:cs="KFGQPC Uthmanic Script HAFS" w:hint="cs"/>
          <w:sz w:val="23"/>
          <w:szCs w:val="23"/>
          <w:rtl/>
        </w:rPr>
        <w:t>ۡ</w:t>
      </w:r>
      <w:r w:rsidRPr="00563AE6">
        <w:rPr>
          <w:rFonts w:ascii="KFGQPC Uthmanic Script HAFS" w:cs="KFGQPC Uthmanic Script HAFS"/>
          <w:sz w:val="23"/>
          <w:szCs w:val="23"/>
          <w:rtl/>
        </w:rPr>
        <w:t xml:space="preserve"> </w:t>
      </w:r>
      <w:r w:rsidRPr="00563AE6">
        <w:rPr>
          <w:rFonts w:ascii="KFGQPC Uthmanic Script HAFS" w:cs="KFGQPC Uthmanic Script HAFS" w:hint="eastAsia"/>
          <w:sz w:val="23"/>
          <w:szCs w:val="23"/>
          <w:rtl/>
        </w:rPr>
        <w:t>أَم</w:t>
      </w:r>
      <w:r w:rsidRPr="00563AE6">
        <w:rPr>
          <w:rFonts w:ascii="KFGQPC Uthmanic Script HAFS" w:cs="KFGQPC Uthmanic Script HAFS" w:hint="cs"/>
          <w:sz w:val="23"/>
          <w:szCs w:val="23"/>
          <w:rtl/>
        </w:rPr>
        <w:t>ۡ</w:t>
      </w:r>
      <w:r w:rsidRPr="00563AE6">
        <w:rPr>
          <w:rFonts w:ascii="KFGQPC Uthmanic Script HAFS" w:cs="KFGQPC Uthmanic Script HAFS" w:hint="eastAsia"/>
          <w:sz w:val="23"/>
          <w:szCs w:val="23"/>
          <w:rtl/>
        </w:rPr>
        <w:t>وَ</w:t>
      </w:r>
      <w:r w:rsidRPr="00563AE6">
        <w:rPr>
          <w:rFonts w:ascii="KFGQPC Uthmanic Script HAFS" w:cs="KFGQPC Uthmanic Script HAFS" w:hint="cs"/>
          <w:sz w:val="23"/>
          <w:szCs w:val="23"/>
          <w:rtl/>
        </w:rPr>
        <w:t>ٰ</w:t>
      </w:r>
      <w:r w:rsidRPr="00563AE6">
        <w:rPr>
          <w:rFonts w:ascii="KFGQPC Uthmanic Script HAFS" w:cs="KFGQPC Uthmanic Script HAFS" w:hint="eastAsia"/>
          <w:sz w:val="23"/>
          <w:szCs w:val="23"/>
          <w:rtl/>
        </w:rPr>
        <w:t>لِهِم</w:t>
      </w:r>
      <w:r w:rsidRPr="00563AE6">
        <w:rPr>
          <w:rFonts w:ascii="KFGQPC Uthmanic Script HAFS" w:cs="KFGQPC Uthmanic Script HAFS" w:hint="cs"/>
          <w:sz w:val="23"/>
          <w:szCs w:val="23"/>
          <w:rtl/>
        </w:rPr>
        <w:t>ۡ</w:t>
      </w:r>
      <w:r w:rsidRPr="00563AE6">
        <w:rPr>
          <w:rFonts w:ascii="KFGQPC Uthmanic Script HAFS" w:cs="KFGQPC Uthmanic Script HAFS"/>
          <w:sz w:val="23"/>
          <w:szCs w:val="23"/>
          <w:rtl/>
        </w:rPr>
        <w:t xml:space="preserve"> </w:t>
      </w:r>
      <w:r w:rsidRPr="00563AE6">
        <w:rPr>
          <w:rFonts w:ascii="KFGQPC Uthmanic Script HAFS" w:cs="KFGQPC Uthmanic Script HAFS" w:hint="eastAsia"/>
          <w:sz w:val="23"/>
          <w:szCs w:val="23"/>
          <w:rtl/>
        </w:rPr>
        <w:t>صَدَقَة</w:t>
      </w:r>
      <w:r w:rsidRPr="00563AE6">
        <w:rPr>
          <w:rFonts w:ascii="KFGQPC Uthmanic Script HAFS" w:cs="KFGQPC Uthmanic Script HAFS" w:hint="cs"/>
          <w:sz w:val="23"/>
          <w:szCs w:val="23"/>
          <w:rtl/>
        </w:rPr>
        <w:t>ٗ</w:t>
      </w:r>
      <w:r w:rsidRPr="00563AE6">
        <w:rPr>
          <w:rFonts w:ascii="KFGQPC Uthmanic Script HAFS" w:cs="Times New Roman" w:hint="cs"/>
          <w:sz w:val="23"/>
          <w:szCs w:val="23"/>
          <w:rtl/>
        </w:rPr>
        <w:t>...</w:t>
      </w:r>
      <w:r w:rsidRPr="00563AE6">
        <w:rPr>
          <w:rFonts w:cs="Traditional Arabic" w:hint="cs"/>
          <w:sz w:val="23"/>
          <w:szCs w:val="23"/>
          <w:rtl/>
        </w:rPr>
        <w:t>﴾</w:t>
      </w:r>
      <w:r w:rsidRPr="00563AE6">
        <w:rPr>
          <w:rFonts w:cs="mylotus" w:hint="cs"/>
          <w:sz w:val="23"/>
          <w:szCs w:val="23"/>
          <w:rtl/>
        </w:rPr>
        <w:t xml:space="preserve">. والحاصل أن في مسألة الخمس، ملك الطرفين (الإمام والمجاهدين) قبل التقسيم ملكٌ ضعيف، لذا لم يتعلق بهم الخطاب بالأمر. والله أعلم. </w:t>
      </w:r>
    </w:p>
  </w:footnote>
  <w:footnote w:id="25">
    <w:p w:rsidR="00B31118" w:rsidRPr="00563AE6" w:rsidRDefault="00B31118" w:rsidP="00B300C9">
      <w:pPr>
        <w:pStyle w:val="FootnoteText"/>
        <w:spacing w:line="228" w:lineRule="auto"/>
        <w:ind w:left="378" w:hanging="378"/>
        <w:jc w:val="both"/>
        <w:rPr>
          <w:rFonts w:cs="mylotus" w:hint="cs"/>
          <w:sz w:val="23"/>
          <w:szCs w:val="23"/>
          <w:rtl/>
        </w:rPr>
      </w:pPr>
      <w:r w:rsidRPr="00563AE6">
        <w:rPr>
          <w:rStyle w:val="FootnoteReference"/>
          <w:rFonts w:cs="mylotus"/>
          <w:sz w:val="23"/>
          <w:szCs w:val="23"/>
          <w:vertAlign w:val="baseline"/>
          <w:rtl/>
        </w:rPr>
        <w:footnoteRef/>
      </w:r>
      <w:r>
        <w:rPr>
          <w:rFonts w:cs="mylotus"/>
          <w:sz w:val="23"/>
          <w:szCs w:val="23"/>
          <w:rtl/>
        </w:rPr>
        <w:t>-</w:t>
      </w:r>
      <w:r w:rsidRPr="00563AE6">
        <w:rPr>
          <w:rFonts w:cs="mylotus" w:hint="cs"/>
          <w:sz w:val="23"/>
          <w:szCs w:val="23"/>
          <w:rtl/>
        </w:rPr>
        <w:t xml:space="preserve"> والأكثر وضوحاً في هذه النقطة أنه كلما جاء في الآيات الكريمة ذكرٌ للغنائم كان المسلمون هم الآخذون وليسوا المعطين كما نجد ذلك في الآيات التالية: </w:t>
      </w:r>
    </w:p>
    <w:p w:rsidR="00B31118" w:rsidRPr="00563AE6" w:rsidRDefault="00B31118" w:rsidP="00B300C9">
      <w:pPr>
        <w:pStyle w:val="FootnoteText"/>
        <w:spacing w:line="228" w:lineRule="auto"/>
        <w:ind w:left="378"/>
        <w:jc w:val="both"/>
        <w:rPr>
          <w:rFonts w:cs="mylotus"/>
          <w:sz w:val="23"/>
          <w:szCs w:val="23"/>
          <w:rtl/>
        </w:rPr>
      </w:pPr>
      <w:r w:rsidRPr="00563AE6">
        <w:rPr>
          <w:rFonts w:cs="Traditional Arabic" w:hint="cs"/>
          <w:sz w:val="23"/>
          <w:szCs w:val="23"/>
          <w:rtl/>
        </w:rPr>
        <w:t>﴿</w:t>
      </w:r>
      <w:r w:rsidRPr="00563AE6">
        <w:rPr>
          <w:rFonts w:ascii="KFGQPC Uthmanic Script HAFS" w:cs="KFGQPC Uthmanic Script HAFS" w:hint="eastAsia"/>
          <w:sz w:val="23"/>
          <w:szCs w:val="23"/>
          <w:rtl/>
        </w:rPr>
        <w:t>سَيَقُولُ</w:t>
      </w:r>
      <w:r w:rsidRPr="00563AE6">
        <w:rPr>
          <w:rFonts w:ascii="KFGQPC Uthmanic Script HAFS" w:cs="KFGQPC Uthmanic Script HAFS"/>
          <w:sz w:val="23"/>
          <w:szCs w:val="23"/>
          <w:rtl/>
        </w:rPr>
        <w:t xml:space="preserve"> </w:t>
      </w:r>
      <w:r w:rsidRPr="00563AE6">
        <w:rPr>
          <w:rFonts w:ascii="KFGQPC Uthmanic Script HAFS" w:cs="KFGQPC Uthmanic Script HAFS" w:hint="cs"/>
          <w:sz w:val="23"/>
          <w:szCs w:val="23"/>
          <w:rtl/>
        </w:rPr>
        <w:t>ٱ</w:t>
      </w:r>
      <w:r w:rsidRPr="00563AE6">
        <w:rPr>
          <w:rFonts w:ascii="KFGQPC Uthmanic Script HAFS" w:cs="KFGQPC Uthmanic Script HAFS" w:hint="eastAsia"/>
          <w:sz w:val="23"/>
          <w:szCs w:val="23"/>
          <w:rtl/>
        </w:rPr>
        <w:t>ل</w:t>
      </w:r>
      <w:r w:rsidRPr="00563AE6">
        <w:rPr>
          <w:rFonts w:ascii="KFGQPC Uthmanic Script HAFS" w:cs="KFGQPC Uthmanic Script HAFS" w:hint="cs"/>
          <w:sz w:val="23"/>
          <w:szCs w:val="23"/>
          <w:rtl/>
        </w:rPr>
        <w:t>ۡ</w:t>
      </w:r>
      <w:r w:rsidRPr="00563AE6">
        <w:rPr>
          <w:rFonts w:ascii="KFGQPC Uthmanic Script HAFS" w:cs="KFGQPC Uthmanic Script HAFS" w:hint="eastAsia"/>
          <w:sz w:val="23"/>
          <w:szCs w:val="23"/>
          <w:rtl/>
        </w:rPr>
        <w:t>مُخَلَّفُونَ</w:t>
      </w:r>
      <w:r w:rsidRPr="00563AE6">
        <w:rPr>
          <w:rFonts w:ascii="KFGQPC Uthmanic Script HAFS" w:cs="KFGQPC Uthmanic Script HAFS"/>
          <w:sz w:val="23"/>
          <w:szCs w:val="23"/>
          <w:rtl/>
        </w:rPr>
        <w:t xml:space="preserve"> </w:t>
      </w:r>
      <w:r w:rsidRPr="00563AE6">
        <w:rPr>
          <w:rFonts w:ascii="KFGQPC Uthmanic Script HAFS" w:cs="KFGQPC Uthmanic Script HAFS" w:hint="eastAsia"/>
          <w:sz w:val="23"/>
          <w:szCs w:val="23"/>
          <w:rtl/>
        </w:rPr>
        <w:t>إِذَا</w:t>
      </w:r>
      <w:r w:rsidRPr="00563AE6">
        <w:rPr>
          <w:rFonts w:ascii="KFGQPC Uthmanic Script HAFS" w:cs="KFGQPC Uthmanic Script HAFS"/>
          <w:sz w:val="23"/>
          <w:szCs w:val="23"/>
          <w:rtl/>
        </w:rPr>
        <w:t xml:space="preserve"> </w:t>
      </w:r>
      <w:r w:rsidRPr="00563AE6">
        <w:rPr>
          <w:rFonts w:ascii="KFGQPC Uthmanic Script HAFS" w:cs="KFGQPC Uthmanic Script HAFS" w:hint="cs"/>
          <w:sz w:val="23"/>
          <w:szCs w:val="23"/>
          <w:rtl/>
        </w:rPr>
        <w:t>ٱ</w:t>
      </w:r>
      <w:r w:rsidRPr="00563AE6">
        <w:rPr>
          <w:rFonts w:ascii="KFGQPC Uthmanic Script HAFS" w:cs="KFGQPC Uthmanic Script HAFS" w:hint="eastAsia"/>
          <w:sz w:val="23"/>
          <w:szCs w:val="23"/>
          <w:rtl/>
        </w:rPr>
        <w:t>نطَلَق</w:t>
      </w:r>
      <w:r w:rsidRPr="00563AE6">
        <w:rPr>
          <w:rFonts w:ascii="KFGQPC Uthmanic Script HAFS" w:cs="KFGQPC Uthmanic Script HAFS" w:hint="cs"/>
          <w:sz w:val="23"/>
          <w:szCs w:val="23"/>
          <w:rtl/>
        </w:rPr>
        <w:t>ۡ</w:t>
      </w:r>
      <w:r w:rsidRPr="00563AE6">
        <w:rPr>
          <w:rFonts w:ascii="KFGQPC Uthmanic Script HAFS" w:cs="KFGQPC Uthmanic Script HAFS" w:hint="eastAsia"/>
          <w:sz w:val="23"/>
          <w:szCs w:val="23"/>
          <w:rtl/>
        </w:rPr>
        <w:t>تُم</w:t>
      </w:r>
      <w:r w:rsidRPr="00563AE6">
        <w:rPr>
          <w:rFonts w:ascii="KFGQPC Uthmanic Script HAFS" w:cs="KFGQPC Uthmanic Script HAFS" w:hint="cs"/>
          <w:sz w:val="23"/>
          <w:szCs w:val="23"/>
          <w:rtl/>
        </w:rPr>
        <w:t>ۡ</w:t>
      </w:r>
      <w:r w:rsidRPr="00563AE6">
        <w:rPr>
          <w:rFonts w:ascii="KFGQPC Uthmanic Script HAFS" w:cs="KFGQPC Uthmanic Script HAFS"/>
          <w:sz w:val="23"/>
          <w:szCs w:val="23"/>
          <w:rtl/>
        </w:rPr>
        <w:t xml:space="preserve"> </w:t>
      </w:r>
      <w:r w:rsidRPr="00563AE6">
        <w:rPr>
          <w:rFonts w:ascii="KFGQPC Uthmanic Script HAFS" w:cs="KFGQPC Uthmanic Script HAFS" w:hint="eastAsia"/>
          <w:sz w:val="23"/>
          <w:szCs w:val="23"/>
          <w:rtl/>
        </w:rPr>
        <w:t>إِلَى</w:t>
      </w:r>
      <w:r w:rsidRPr="00563AE6">
        <w:rPr>
          <w:rFonts w:ascii="KFGQPC Uthmanic Script HAFS" w:cs="KFGQPC Uthmanic Script HAFS" w:hint="cs"/>
          <w:sz w:val="23"/>
          <w:szCs w:val="23"/>
          <w:rtl/>
        </w:rPr>
        <w:t>ٰ</w:t>
      </w:r>
      <w:r w:rsidRPr="00563AE6">
        <w:rPr>
          <w:rFonts w:ascii="KFGQPC Uthmanic Script HAFS" w:cs="KFGQPC Uthmanic Script HAFS"/>
          <w:sz w:val="23"/>
          <w:szCs w:val="23"/>
          <w:rtl/>
        </w:rPr>
        <w:t xml:space="preserve"> </w:t>
      </w:r>
      <w:r w:rsidRPr="00563AE6">
        <w:rPr>
          <w:rFonts w:ascii="KFGQPC Uthmanic Script HAFS" w:cs="KFGQPC Uthmanic Script HAFS" w:hint="eastAsia"/>
          <w:sz w:val="23"/>
          <w:szCs w:val="23"/>
          <w:rtl/>
        </w:rPr>
        <w:t>مَغَانِمَ</w:t>
      </w:r>
      <w:r w:rsidRPr="00563AE6">
        <w:rPr>
          <w:rFonts w:ascii="KFGQPC Uthmanic Script HAFS" w:cs="KFGQPC Uthmanic Script HAFS"/>
          <w:sz w:val="23"/>
          <w:szCs w:val="23"/>
          <w:rtl/>
        </w:rPr>
        <w:t xml:space="preserve"> </w:t>
      </w:r>
      <w:r w:rsidRPr="00563AE6">
        <w:rPr>
          <w:rFonts w:ascii="KFGQPC Uthmanic Script HAFS" w:cs="KFGQPC Uthmanic Script HAFS" w:hint="eastAsia"/>
          <w:sz w:val="23"/>
          <w:szCs w:val="23"/>
          <w:rtl/>
        </w:rPr>
        <w:t>لِتَأ</w:t>
      </w:r>
      <w:r w:rsidRPr="00563AE6">
        <w:rPr>
          <w:rFonts w:ascii="KFGQPC Uthmanic Script HAFS" w:cs="KFGQPC Uthmanic Script HAFS" w:hint="cs"/>
          <w:sz w:val="23"/>
          <w:szCs w:val="23"/>
          <w:rtl/>
        </w:rPr>
        <w:t>ۡ</w:t>
      </w:r>
      <w:r w:rsidRPr="00563AE6">
        <w:rPr>
          <w:rFonts w:ascii="KFGQPC Uthmanic Script HAFS" w:cs="KFGQPC Uthmanic Script HAFS" w:hint="eastAsia"/>
          <w:sz w:val="23"/>
          <w:szCs w:val="23"/>
          <w:rtl/>
        </w:rPr>
        <w:t>خُذُوهَا</w:t>
      </w:r>
      <w:r w:rsidRPr="00563AE6">
        <w:rPr>
          <w:rFonts w:ascii="KFGQPC Uthmanic Script HAFS" w:cs="KFGQPC Uthmanic Script HAFS"/>
          <w:sz w:val="23"/>
          <w:szCs w:val="23"/>
          <w:rtl/>
        </w:rPr>
        <w:t xml:space="preserve"> </w:t>
      </w:r>
      <w:r w:rsidRPr="00563AE6">
        <w:rPr>
          <w:rFonts w:ascii="KFGQPC Uthmanic Script HAFS" w:cs="KFGQPC Uthmanic Script HAFS" w:hint="eastAsia"/>
          <w:sz w:val="23"/>
          <w:szCs w:val="23"/>
          <w:rtl/>
        </w:rPr>
        <w:t>ذَرُونَا</w:t>
      </w:r>
      <w:r w:rsidRPr="00563AE6">
        <w:rPr>
          <w:rFonts w:ascii="KFGQPC Uthmanic Script HAFS" w:cs="KFGQPC Uthmanic Script HAFS"/>
          <w:sz w:val="23"/>
          <w:szCs w:val="23"/>
          <w:rtl/>
        </w:rPr>
        <w:t xml:space="preserve"> </w:t>
      </w:r>
      <w:r w:rsidRPr="00563AE6">
        <w:rPr>
          <w:rFonts w:ascii="KFGQPC Uthmanic Script HAFS" w:cs="KFGQPC Uthmanic Script HAFS" w:hint="eastAsia"/>
          <w:sz w:val="23"/>
          <w:szCs w:val="23"/>
          <w:rtl/>
        </w:rPr>
        <w:t>نَتَّبِع</w:t>
      </w:r>
      <w:r w:rsidRPr="00563AE6">
        <w:rPr>
          <w:rFonts w:ascii="KFGQPC Uthmanic Script HAFS" w:cs="KFGQPC Uthmanic Script HAFS" w:hint="cs"/>
          <w:sz w:val="23"/>
          <w:szCs w:val="23"/>
          <w:rtl/>
        </w:rPr>
        <w:t>ۡ</w:t>
      </w:r>
      <w:r w:rsidRPr="00563AE6">
        <w:rPr>
          <w:rFonts w:ascii="KFGQPC Uthmanic Script HAFS" w:cs="KFGQPC Uthmanic Script HAFS" w:hint="eastAsia"/>
          <w:sz w:val="23"/>
          <w:szCs w:val="23"/>
          <w:rtl/>
        </w:rPr>
        <w:t>كُم</w:t>
      </w:r>
      <w:r w:rsidRPr="00563AE6">
        <w:rPr>
          <w:rFonts w:ascii="KFGQPC Uthmanic Script HAFS" w:cs="KFGQPC Uthmanic Script HAFS" w:hint="cs"/>
          <w:sz w:val="23"/>
          <w:szCs w:val="23"/>
          <w:rtl/>
        </w:rPr>
        <w:t>ۡ</w:t>
      </w:r>
      <w:r w:rsidRPr="00563AE6">
        <w:rPr>
          <w:rFonts w:cs="Traditional Arabic" w:hint="cs"/>
          <w:sz w:val="23"/>
          <w:szCs w:val="23"/>
          <w:rtl/>
        </w:rPr>
        <w:t>﴾</w:t>
      </w:r>
      <w:r w:rsidRPr="00563AE6">
        <w:rPr>
          <w:rFonts w:cs="mylotus" w:hint="cs"/>
          <w:sz w:val="23"/>
          <w:szCs w:val="23"/>
          <w:rtl/>
        </w:rPr>
        <w:t xml:space="preserve"> </w:t>
      </w:r>
      <w:r w:rsidRPr="00563AE6">
        <w:rPr>
          <w:rFonts w:cs="mylotus"/>
          <w:sz w:val="23"/>
          <w:szCs w:val="23"/>
          <w:rtl/>
        </w:rPr>
        <w:t>[الفتح</w:t>
      </w:r>
      <w:r w:rsidRPr="00563AE6">
        <w:rPr>
          <w:rFonts w:cs="mylotus" w:hint="cs"/>
          <w:sz w:val="23"/>
          <w:szCs w:val="23"/>
          <w:rtl/>
        </w:rPr>
        <w:t xml:space="preserve">: </w:t>
      </w:r>
      <w:r w:rsidRPr="00563AE6">
        <w:rPr>
          <w:rFonts w:cs="mylotus"/>
          <w:sz w:val="23"/>
          <w:szCs w:val="23"/>
          <w:rtl/>
        </w:rPr>
        <w:t>15]</w:t>
      </w:r>
    </w:p>
    <w:p w:rsidR="00B31118" w:rsidRPr="00563AE6" w:rsidRDefault="00B31118" w:rsidP="00B300C9">
      <w:pPr>
        <w:pStyle w:val="FootnoteText"/>
        <w:spacing w:line="228" w:lineRule="auto"/>
        <w:ind w:left="378"/>
        <w:jc w:val="both"/>
        <w:rPr>
          <w:rFonts w:cs="mylotus" w:hint="cs"/>
          <w:sz w:val="23"/>
          <w:szCs w:val="23"/>
          <w:rtl/>
        </w:rPr>
      </w:pPr>
      <w:r w:rsidRPr="00563AE6">
        <w:rPr>
          <w:rFonts w:cs="Traditional Arabic" w:hint="cs"/>
          <w:sz w:val="23"/>
          <w:szCs w:val="23"/>
          <w:rtl/>
        </w:rPr>
        <w:t>﴿</w:t>
      </w:r>
      <w:r w:rsidRPr="00563AE6">
        <w:rPr>
          <w:rFonts w:ascii="KFGQPC Uthmanic Script HAFS" w:cs="KFGQPC Uthmanic Script HAFS" w:hint="eastAsia"/>
          <w:sz w:val="23"/>
          <w:szCs w:val="23"/>
          <w:rtl/>
        </w:rPr>
        <w:t>وَمَغَانِمَ</w:t>
      </w:r>
      <w:r w:rsidRPr="00563AE6">
        <w:rPr>
          <w:rFonts w:ascii="KFGQPC Uthmanic Script HAFS" w:cs="KFGQPC Uthmanic Script HAFS"/>
          <w:sz w:val="23"/>
          <w:szCs w:val="23"/>
          <w:rtl/>
        </w:rPr>
        <w:t xml:space="preserve"> </w:t>
      </w:r>
      <w:r w:rsidRPr="00563AE6">
        <w:rPr>
          <w:rFonts w:ascii="KFGQPC Uthmanic Script HAFS" w:cs="KFGQPC Uthmanic Script HAFS" w:hint="eastAsia"/>
          <w:sz w:val="23"/>
          <w:szCs w:val="23"/>
          <w:rtl/>
        </w:rPr>
        <w:t>كَثِيرَة</w:t>
      </w:r>
      <w:r w:rsidRPr="00563AE6">
        <w:rPr>
          <w:rFonts w:ascii="KFGQPC Uthmanic Script HAFS" w:cs="KFGQPC Uthmanic Script HAFS" w:hint="cs"/>
          <w:sz w:val="23"/>
          <w:szCs w:val="23"/>
          <w:rtl/>
        </w:rPr>
        <w:t>ٗ</w:t>
      </w:r>
      <w:r w:rsidRPr="00563AE6">
        <w:rPr>
          <w:rFonts w:ascii="KFGQPC Uthmanic Script HAFS" w:cs="KFGQPC Uthmanic Script HAFS"/>
          <w:sz w:val="23"/>
          <w:szCs w:val="23"/>
          <w:rtl/>
        </w:rPr>
        <w:t xml:space="preserve"> </w:t>
      </w:r>
      <w:r w:rsidRPr="00563AE6">
        <w:rPr>
          <w:rFonts w:ascii="KFGQPC Uthmanic Script HAFS" w:cs="KFGQPC Uthmanic Script HAFS" w:hint="eastAsia"/>
          <w:sz w:val="23"/>
          <w:szCs w:val="23"/>
          <w:rtl/>
        </w:rPr>
        <w:t>يَأ</w:t>
      </w:r>
      <w:r w:rsidRPr="00563AE6">
        <w:rPr>
          <w:rFonts w:ascii="KFGQPC Uthmanic Script HAFS" w:cs="KFGQPC Uthmanic Script HAFS" w:hint="cs"/>
          <w:sz w:val="23"/>
          <w:szCs w:val="23"/>
          <w:rtl/>
        </w:rPr>
        <w:t>ۡ</w:t>
      </w:r>
      <w:r w:rsidRPr="00563AE6">
        <w:rPr>
          <w:rFonts w:ascii="KFGQPC Uthmanic Script HAFS" w:cs="KFGQPC Uthmanic Script HAFS" w:hint="eastAsia"/>
          <w:sz w:val="23"/>
          <w:szCs w:val="23"/>
          <w:rtl/>
        </w:rPr>
        <w:t>خُذُونَهَا</w:t>
      </w:r>
      <w:r w:rsidRPr="00563AE6">
        <w:rPr>
          <w:rFonts w:cs="Traditional Arabic" w:hint="cs"/>
          <w:sz w:val="23"/>
          <w:szCs w:val="23"/>
          <w:rtl/>
        </w:rPr>
        <w:t>﴾</w:t>
      </w:r>
      <w:r w:rsidRPr="00563AE6">
        <w:rPr>
          <w:rFonts w:cs="mylotus" w:hint="cs"/>
          <w:sz w:val="23"/>
          <w:szCs w:val="23"/>
          <w:rtl/>
        </w:rPr>
        <w:t xml:space="preserve"> </w:t>
      </w:r>
      <w:r w:rsidRPr="00563AE6">
        <w:rPr>
          <w:rFonts w:cs="mylotus"/>
          <w:sz w:val="23"/>
          <w:szCs w:val="23"/>
          <w:rtl/>
        </w:rPr>
        <w:t>[الفتح</w:t>
      </w:r>
      <w:r w:rsidRPr="00563AE6">
        <w:rPr>
          <w:rFonts w:cs="mylotus" w:hint="cs"/>
          <w:sz w:val="23"/>
          <w:szCs w:val="23"/>
          <w:rtl/>
        </w:rPr>
        <w:t xml:space="preserve">: </w:t>
      </w:r>
      <w:r w:rsidRPr="00563AE6">
        <w:rPr>
          <w:rFonts w:cs="mylotus"/>
          <w:sz w:val="23"/>
          <w:szCs w:val="23"/>
          <w:rtl/>
        </w:rPr>
        <w:t>19]</w:t>
      </w:r>
    </w:p>
    <w:p w:rsidR="00B31118" w:rsidRPr="00563AE6" w:rsidRDefault="00B31118" w:rsidP="00B300C9">
      <w:pPr>
        <w:pStyle w:val="FootnoteText"/>
        <w:spacing w:line="228" w:lineRule="auto"/>
        <w:ind w:left="378"/>
        <w:jc w:val="both"/>
        <w:rPr>
          <w:rFonts w:cs="mylotus" w:hint="cs"/>
          <w:sz w:val="23"/>
          <w:szCs w:val="23"/>
          <w:rtl/>
        </w:rPr>
      </w:pPr>
      <w:r w:rsidRPr="00563AE6">
        <w:rPr>
          <w:rFonts w:cs="mylotus"/>
          <w:sz w:val="23"/>
          <w:szCs w:val="23"/>
          <w:rtl/>
        </w:rPr>
        <w:t>﴿</w:t>
      </w:r>
      <w:r w:rsidRPr="00563AE6">
        <w:rPr>
          <w:rFonts w:ascii="KFGQPC Uthmanic Script HAFS" w:cs="KFGQPC Uthmanic Script HAFS" w:hint="eastAsia"/>
          <w:sz w:val="23"/>
          <w:szCs w:val="23"/>
          <w:rtl/>
        </w:rPr>
        <w:t xml:space="preserve"> وَعَدَكُمُ</w:t>
      </w:r>
      <w:r w:rsidRPr="00563AE6">
        <w:rPr>
          <w:rFonts w:ascii="KFGQPC Uthmanic Script HAFS" w:cs="KFGQPC Uthmanic Script HAFS"/>
          <w:sz w:val="23"/>
          <w:szCs w:val="23"/>
          <w:rtl/>
        </w:rPr>
        <w:t xml:space="preserve"> </w:t>
      </w:r>
      <w:r w:rsidRPr="00563AE6">
        <w:rPr>
          <w:rFonts w:ascii="KFGQPC Uthmanic Script HAFS" w:cs="KFGQPC Uthmanic Script HAFS" w:hint="cs"/>
          <w:sz w:val="23"/>
          <w:szCs w:val="23"/>
          <w:rtl/>
        </w:rPr>
        <w:t>ٱ</w:t>
      </w:r>
      <w:r w:rsidRPr="00563AE6">
        <w:rPr>
          <w:rFonts w:ascii="KFGQPC Uthmanic Script HAFS" w:cs="KFGQPC Uthmanic Script HAFS" w:hint="eastAsia"/>
          <w:sz w:val="23"/>
          <w:szCs w:val="23"/>
          <w:rtl/>
        </w:rPr>
        <w:t>للَّهُ</w:t>
      </w:r>
      <w:r w:rsidRPr="00563AE6">
        <w:rPr>
          <w:rFonts w:ascii="KFGQPC Uthmanic Script HAFS" w:cs="KFGQPC Uthmanic Script HAFS"/>
          <w:sz w:val="23"/>
          <w:szCs w:val="23"/>
          <w:rtl/>
        </w:rPr>
        <w:t xml:space="preserve"> </w:t>
      </w:r>
      <w:r w:rsidRPr="00563AE6">
        <w:rPr>
          <w:rFonts w:ascii="KFGQPC Uthmanic Script HAFS" w:cs="KFGQPC Uthmanic Script HAFS" w:hint="eastAsia"/>
          <w:sz w:val="23"/>
          <w:szCs w:val="23"/>
          <w:rtl/>
        </w:rPr>
        <w:t>مَغَانِمَ</w:t>
      </w:r>
      <w:r w:rsidRPr="00563AE6">
        <w:rPr>
          <w:rFonts w:ascii="KFGQPC Uthmanic Script HAFS" w:cs="KFGQPC Uthmanic Script HAFS"/>
          <w:sz w:val="23"/>
          <w:szCs w:val="23"/>
          <w:rtl/>
        </w:rPr>
        <w:t xml:space="preserve"> </w:t>
      </w:r>
      <w:r w:rsidRPr="00563AE6">
        <w:rPr>
          <w:rFonts w:ascii="KFGQPC Uthmanic Script HAFS" w:cs="KFGQPC Uthmanic Script HAFS" w:hint="eastAsia"/>
          <w:sz w:val="23"/>
          <w:szCs w:val="23"/>
          <w:rtl/>
        </w:rPr>
        <w:t>كَثِيرَة</w:t>
      </w:r>
      <w:r w:rsidRPr="00563AE6">
        <w:rPr>
          <w:rFonts w:ascii="KFGQPC Uthmanic Script HAFS" w:cs="KFGQPC Uthmanic Script HAFS" w:hint="cs"/>
          <w:sz w:val="23"/>
          <w:szCs w:val="23"/>
          <w:rtl/>
        </w:rPr>
        <w:t>ٗ</w:t>
      </w:r>
      <w:r w:rsidRPr="00563AE6">
        <w:rPr>
          <w:rFonts w:ascii="KFGQPC Uthmanic Script HAFS" w:cs="KFGQPC Uthmanic Script HAFS"/>
          <w:sz w:val="23"/>
          <w:szCs w:val="23"/>
          <w:rtl/>
        </w:rPr>
        <w:t xml:space="preserve"> </w:t>
      </w:r>
      <w:r w:rsidRPr="00563AE6">
        <w:rPr>
          <w:rFonts w:ascii="KFGQPC Uthmanic Script HAFS" w:cs="KFGQPC Uthmanic Script HAFS" w:hint="eastAsia"/>
          <w:sz w:val="23"/>
          <w:szCs w:val="23"/>
          <w:rtl/>
        </w:rPr>
        <w:t>تَأ</w:t>
      </w:r>
      <w:r w:rsidRPr="00563AE6">
        <w:rPr>
          <w:rFonts w:ascii="KFGQPC Uthmanic Script HAFS" w:cs="KFGQPC Uthmanic Script HAFS" w:hint="cs"/>
          <w:sz w:val="23"/>
          <w:szCs w:val="23"/>
          <w:rtl/>
        </w:rPr>
        <w:t>ۡ</w:t>
      </w:r>
      <w:r w:rsidRPr="00563AE6">
        <w:rPr>
          <w:rFonts w:ascii="KFGQPC Uthmanic Script HAFS" w:cs="KFGQPC Uthmanic Script HAFS" w:hint="eastAsia"/>
          <w:sz w:val="23"/>
          <w:szCs w:val="23"/>
          <w:rtl/>
        </w:rPr>
        <w:t>خُذُونَهَا</w:t>
      </w:r>
      <w:r w:rsidRPr="00563AE6">
        <w:rPr>
          <w:rFonts w:cs="mylotus"/>
          <w:sz w:val="23"/>
          <w:szCs w:val="23"/>
          <w:rtl/>
        </w:rPr>
        <w:t>﴾ [الفتح/20]</w:t>
      </w:r>
    </w:p>
    <w:p w:rsidR="00B31118" w:rsidRPr="00563AE6" w:rsidRDefault="00B31118" w:rsidP="00B300C9">
      <w:pPr>
        <w:pStyle w:val="FootnoteText"/>
        <w:spacing w:line="228" w:lineRule="auto"/>
        <w:ind w:left="378"/>
        <w:jc w:val="both"/>
        <w:rPr>
          <w:rFonts w:cs="mylotus"/>
          <w:sz w:val="23"/>
          <w:szCs w:val="23"/>
          <w:rtl/>
        </w:rPr>
      </w:pPr>
      <w:r w:rsidRPr="00563AE6">
        <w:rPr>
          <w:rFonts w:ascii="Traditional Arabic" w:hAnsi="Traditional Arabic" w:cs="Traditional Arabic"/>
          <w:sz w:val="23"/>
          <w:szCs w:val="23"/>
          <w:rtl/>
        </w:rPr>
        <w:t>﴿</w:t>
      </w:r>
      <w:r w:rsidRPr="00563AE6">
        <w:rPr>
          <w:rFonts w:ascii="KFGQPC Uthmanic Script HAFS" w:cs="KFGQPC Uthmanic Script HAFS" w:hint="eastAsia"/>
          <w:sz w:val="23"/>
          <w:szCs w:val="23"/>
          <w:rtl/>
        </w:rPr>
        <w:t>مَّا</w:t>
      </w:r>
      <w:r w:rsidRPr="00563AE6">
        <w:rPr>
          <w:rFonts w:ascii="KFGQPC Uthmanic Script HAFS" w:cs="KFGQPC Uthmanic Script HAFS" w:hint="cs"/>
          <w:sz w:val="23"/>
          <w:szCs w:val="23"/>
          <w:rtl/>
        </w:rPr>
        <w:t>ٓ</w:t>
      </w:r>
      <w:r w:rsidRPr="00563AE6">
        <w:rPr>
          <w:rFonts w:ascii="KFGQPC Uthmanic Script HAFS" w:cs="KFGQPC Uthmanic Script HAFS"/>
          <w:sz w:val="23"/>
          <w:szCs w:val="23"/>
          <w:rtl/>
        </w:rPr>
        <w:t xml:space="preserve"> </w:t>
      </w:r>
      <w:r w:rsidRPr="00563AE6">
        <w:rPr>
          <w:rFonts w:ascii="KFGQPC Uthmanic Script HAFS" w:cs="KFGQPC Uthmanic Script HAFS" w:hint="eastAsia"/>
          <w:sz w:val="23"/>
          <w:szCs w:val="23"/>
          <w:rtl/>
        </w:rPr>
        <w:t>أَفَا</w:t>
      </w:r>
      <w:r w:rsidRPr="00563AE6">
        <w:rPr>
          <w:rFonts w:ascii="KFGQPC Uthmanic Script HAFS" w:cs="KFGQPC Uthmanic Script HAFS" w:hint="cs"/>
          <w:sz w:val="23"/>
          <w:szCs w:val="23"/>
          <w:rtl/>
        </w:rPr>
        <w:t>ٓ</w:t>
      </w:r>
      <w:r w:rsidRPr="00563AE6">
        <w:rPr>
          <w:rFonts w:ascii="KFGQPC Uthmanic Script HAFS" w:cs="KFGQPC Uthmanic Script HAFS" w:hint="eastAsia"/>
          <w:sz w:val="23"/>
          <w:szCs w:val="23"/>
          <w:rtl/>
        </w:rPr>
        <w:t>ءَ</w:t>
      </w:r>
      <w:r w:rsidRPr="00563AE6">
        <w:rPr>
          <w:rFonts w:ascii="KFGQPC Uthmanic Script HAFS" w:cs="KFGQPC Uthmanic Script HAFS"/>
          <w:sz w:val="23"/>
          <w:szCs w:val="23"/>
          <w:rtl/>
        </w:rPr>
        <w:t xml:space="preserve"> </w:t>
      </w:r>
      <w:r w:rsidRPr="00563AE6">
        <w:rPr>
          <w:rFonts w:ascii="KFGQPC Uthmanic Script HAFS" w:cs="KFGQPC Uthmanic Script HAFS" w:hint="cs"/>
          <w:sz w:val="23"/>
          <w:szCs w:val="23"/>
          <w:rtl/>
        </w:rPr>
        <w:t>ٱ</w:t>
      </w:r>
      <w:r w:rsidRPr="00563AE6">
        <w:rPr>
          <w:rFonts w:ascii="KFGQPC Uthmanic Script HAFS" w:cs="KFGQPC Uthmanic Script HAFS" w:hint="eastAsia"/>
          <w:sz w:val="23"/>
          <w:szCs w:val="23"/>
          <w:rtl/>
        </w:rPr>
        <w:t>للَّهُ</w:t>
      </w:r>
      <w:r w:rsidRPr="00563AE6">
        <w:rPr>
          <w:rFonts w:ascii="KFGQPC Uthmanic Script HAFS" w:cs="KFGQPC Uthmanic Script HAFS"/>
          <w:sz w:val="23"/>
          <w:szCs w:val="23"/>
          <w:rtl/>
        </w:rPr>
        <w:t xml:space="preserve"> </w:t>
      </w:r>
      <w:r w:rsidRPr="00563AE6">
        <w:rPr>
          <w:rFonts w:ascii="KFGQPC Uthmanic Script HAFS" w:cs="KFGQPC Uthmanic Script HAFS" w:hint="eastAsia"/>
          <w:sz w:val="23"/>
          <w:szCs w:val="23"/>
          <w:rtl/>
        </w:rPr>
        <w:t>عَلَى</w:t>
      </w:r>
      <w:r w:rsidRPr="00563AE6">
        <w:rPr>
          <w:rFonts w:ascii="KFGQPC Uthmanic Script HAFS" w:cs="KFGQPC Uthmanic Script HAFS" w:hint="cs"/>
          <w:sz w:val="23"/>
          <w:szCs w:val="23"/>
          <w:rtl/>
        </w:rPr>
        <w:t>ٰ</w:t>
      </w:r>
      <w:r w:rsidRPr="00563AE6">
        <w:rPr>
          <w:rFonts w:ascii="KFGQPC Uthmanic Script HAFS" w:cs="KFGQPC Uthmanic Script HAFS"/>
          <w:sz w:val="23"/>
          <w:szCs w:val="23"/>
          <w:rtl/>
        </w:rPr>
        <w:t xml:space="preserve"> </w:t>
      </w:r>
      <w:r w:rsidRPr="00563AE6">
        <w:rPr>
          <w:rFonts w:ascii="KFGQPC Uthmanic Script HAFS" w:cs="KFGQPC Uthmanic Script HAFS" w:hint="eastAsia"/>
          <w:sz w:val="23"/>
          <w:szCs w:val="23"/>
          <w:rtl/>
        </w:rPr>
        <w:t>رَسُولِهِ</w:t>
      </w:r>
      <w:r w:rsidRPr="00563AE6">
        <w:rPr>
          <w:rFonts w:ascii="KFGQPC Uthmanic Script HAFS" w:cs="KFGQPC Uthmanic Script HAFS" w:hint="cs"/>
          <w:sz w:val="23"/>
          <w:szCs w:val="23"/>
          <w:rtl/>
        </w:rPr>
        <w:t>ۦ</w:t>
      </w:r>
      <w:r w:rsidRPr="00563AE6">
        <w:rPr>
          <w:rFonts w:ascii="KFGQPC Uthmanic Script HAFS" w:cs="KFGQPC Uthmanic Script HAFS"/>
          <w:sz w:val="23"/>
          <w:szCs w:val="23"/>
          <w:rtl/>
        </w:rPr>
        <w:t xml:space="preserve"> </w:t>
      </w:r>
      <w:r w:rsidRPr="00563AE6">
        <w:rPr>
          <w:rFonts w:ascii="KFGQPC Uthmanic Script HAFS" w:cs="KFGQPC Uthmanic Script HAFS" w:hint="eastAsia"/>
          <w:sz w:val="23"/>
          <w:szCs w:val="23"/>
          <w:rtl/>
        </w:rPr>
        <w:t>مِن</w:t>
      </w:r>
      <w:r w:rsidRPr="00563AE6">
        <w:rPr>
          <w:rFonts w:ascii="KFGQPC Uthmanic Script HAFS" w:cs="KFGQPC Uthmanic Script HAFS" w:hint="cs"/>
          <w:sz w:val="23"/>
          <w:szCs w:val="23"/>
          <w:rtl/>
        </w:rPr>
        <w:t>ۡ</w:t>
      </w:r>
      <w:r w:rsidRPr="00563AE6">
        <w:rPr>
          <w:rFonts w:ascii="KFGQPC Uthmanic Script HAFS" w:cs="KFGQPC Uthmanic Script HAFS"/>
          <w:sz w:val="23"/>
          <w:szCs w:val="23"/>
          <w:rtl/>
        </w:rPr>
        <w:t xml:space="preserve"> </w:t>
      </w:r>
      <w:r w:rsidRPr="00563AE6">
        <w:rPr>
          <w:rFonts w:ascii="KFGQPC Uthmanic Script HAFS" w:cs="KFGQPC Uthmanic Script HAFS" w:hint="eastAsia"/>
          <w:sz w:val="23"/>
          <w:szCs w:val="23"/>
          <w:rtl/>
        </w:rPr>
        <w:t>أَه</w:t>
      </w:r>
      <w:r w:rsidRPr="00563AE6">
        <w:rPr>
          <w:rFonts w:ascii="KFGQPC Uthmanic Script HAFS" w:cs="KFGQPC Uthmanic Script HAFS" w:hint="cs"/>
          <w:sz w:val="23"/>
          <w:szCs w:val="23"/>
          <w:rtl/>
        </w:rPr>
        <w:t>ۡ</w:t>
      </w:r>
      <w:r w:rsidRPr="00563AE6">
        <w:rPr>
          <w:rFonts w:ascii="KFGQPC Uthmanic Script HAFS" w:cs="KFGQPC Uthmanic Script HAFS" w:hint="eastAsia"/>
          <w:sz w:val="23"/>
          <w:szCs w:val="23"/>
          <w:rtl/>
        </w:rPr>
        <w:t>لِ</w:t>
      </w:r>
      <w:r w:rsidRPr="00563AE6">
        <w:rPr>
          <w:rFonts w:ascii="KFGQPC Uthmanic Script HAFS" w:cs="KFGQPC Uthmanic Script HAFS"/>
          <w:sz w:val="23"/>
          <w:szCs w:val="23"/>
          <w:rtl/>
        </w:rPr>
        <w:t xml:space="preserve"> </w:t>
      </w:r>
      <w:r w:rsidRPr="00563AE6">
        <w:rPr>
          <w:rFonts w:ascii="KFGQPC Uthmanic Script HAFS" w:cs="KFGQPC Uthmanic Script HAFS" w:hint="cs"/>
          <w:sz w:val="23"/>
          <w:szCs w:val="23"/>
          <w:rtl/>
        </w:rPr>
        <w:t>ٱ</w:t>
      </w:r>
      <w:r w:rsidRPr="00563AE6">
        <w:rPr>
          <w:rFonts w:ascii="KFGQPC Uthmanic Script HAFS" w:cs="KFGQPC Uthmanic Script HAFS" w:hint="eastAsia"/>
          <w:sz w:val="23"/>
          <w:szCs w:val="23"/>
          <w:rtl/>
        </w:rPr>
        <w:t>ل</w:t>
      </w:r>
      <w:r w:rsidRPr="00563AE6">
        <w:rPr>
          <w:rFonts w:ascii="KFGQPC Uthmanic Script HAFS" w:cs="KFGQPC Uthmanic Script HAFS" w:hint="cs"/>
          <w:sz w:val="23"/>
          <w:szCs w:val="23"/>
          <w:rtl/>
        </w:rPr>
        <w:t>ۡ</w:t>
      </w:r>
      <w:r w:rsidRPr="00563AE6">
        <w:rPr>
          <w:rFonts w:ascii="KFGQPC Uthmanic Script HAFS" w:cs="KFGQPC Uthmanic Script HAFS" w:hint="eastAsia"/>
          <w:sz w:val="23"/>
          <w:szCs w:val="23"/>
          <w:rtl/>
        </w:rPr>
        <w:t>قُرَى</w:t>
      </w:r>
      <w:r w:rsidRPr="00563AE6">
        <w:rPr>
          <w:rFonts w:ascii="KFGQPC Uthmanic Script HAFS" w:cs="KFGQPC Uthmanic Script HAFS" w:hint="cs"/>
          <w:sz w:val="23"/>
          <w:szCs w:val="23"/>
          <w:rtl/>
        </w:rPr>
        <w:t>ٰ</w:t>
      </w:r>
      <w:r w:rsidRPr="00563AE6">
        <w:rPr>
          <w:rFonts w:ascii="KFGQPC Uthmanic Script HAFS" w:cs="KFGQPC Uthmanic Script HAFS"/>
          <w:sz w:val="23"/>
          <w:szCs w:val="23"/>
          <w:rtl/>
        </w:rPr>
        <w:t xml:space="preserve"> </w:t>
      </w:r>
      <w:r w:rsidRPr="00563AE6">
        <w:rPr>
          <w:rFonts w:ascii="KFGQPC Uthmanic Script HAFS" w:cs="KFGQPC Uthmanic Script HAFS" w:hint="eastAsia"/>
          <w:sz w:val="23"/>
          <w:szCs w:val="23"/>
          <w:rtl/>
        </w:rPr>
        <w:t>فَلِلَّهِ</w:t>
      </w:r>
      <w:r w:rsidRPr="00563AE6">
        <w:rPr>
          <w:rFonts w:ascii="KFGQPC Uthmanic Script HAFS" w:cs="KFGQPC Uthmanic Script HAFS"/>
          <w:sz w:val="23"/>
          <w:szCs w:val="23"/>
          <w:rtl/>
        </w:rPr>
        <w:t xml:space="preserve"> </w:t>
      </w:r>
      <w:r w:rsidRPr="00563AE6">
        <w:rPr>
          <w:rFonts w:ascii="KFGQPC Uthmanic Script HAFS" w:cs="KFGQPC Uthmanic Script HAFS" w:hint="eastAsia"/>
          <w:sz w:val="23"/>
          <w:szCs w:val="23"/>
          <w:rtl/>
        </w:rPr>
        <w:t>وَلِلرَّسُولِ</w:t>
      </w:r>
      <w:r w:rsidRPr="00563AE6">
        <w:rPr>
          <w:rFonts w:ascii="KFGQPC Uthmanic Script HAFS" w:cs="KFGQPC Uthmanic Script HAFS"/>
          <w:sz w:val="23"/>
          <w:szCs w:val="23"/>
          <w:rtl/>
        </w:rPr>
        <w:t xml:space="preserve"> </w:t>
      </w:r>
      <w:r w:rsidRPr="00563AE6">
        <w:rPr>
          <w:rFonts w:ascii="KFGQPC Uthmanic Script HAFS" w:cs="KFGQPC Uthmanic Script HAFS" w:hint="eastAsia"/>
          <w:sz w:val="23"/>
          <w:szCs w:val="23"/>
          <w:rtl/>
        </w:rPr>
        <w:t>وَلِذِي</w:t>
      </w:r>
      <w:r w:rsidRPr="00563AE6">
        <w:rPr>
          <w:rFonts w:ascii="KFGQPC Uthmanic Script HAFS" w:cs="KFGQPC Uthmanic Script HAFS"/>
          <w:sz w:val="23"/>
          <w:szCs w:val="23"/>
          <w:rtl/>
        </w:rPr>
        <w:t xml:space="preserve"> </w:t>
      </w:r>
      <w:r w:rsidRPr="00563AE6">
        <w:rPr>
          <w:rFonts w:ascii="KFGQPC Uthmanic Script HAFS" w:cs="KFGQPC Uthmanic Script HAFS" w:hint="cs"/>
          <w:sz w:val="23"/>
          <w:szCs w:val="23"/>
          <w:rtl/>
        </w:rPr>
        <w:t>ٱ</w:t>
      </w:r>
      <w:r w:rsidRPr="00563AE6">
        <w:rPr>
          <w:rFonts w:ascii="KFGQPC Uthmanic Script HAFS" w:cs="KFGQPC Uthmanic Script HAFS" w:hint="eastAsia"/>
          <w:sz w:val="23"/>
          <w:szCs w:val="23"/>
          <w:rtl/>
        </w:rPr>
        <w:t>ل</w:t>
      </w:r>
      <w:r w:rsidRPr="00563AE6">
        <w:rPr>
          <w:rFonts w:ascii="KFGQPC Uthmanic Script HAFS" w:cs="KFGQPC Uthmanic Script HAFS" w:hint="cs"/>
          <w:sz w:val="23"/>
          <w:szCs w:val="23"/>
          <w:rtl/>
        </w:rPr>
        <w:t>ۡ</w:t>
      </w:r>
      <w:r w:rsidRPr="00563AE6">
        <w:rPr>
          <w:rFonts w:ascii="KFGQPC Uthmanic Script HAFS" w:cs="KFGQPC Uthmanic Script HAFS" w:hint="eastAsia"/>
          <w:sz w:val="23"/>
          <w:szCs w:val="23"/>
          <w:rtl/>
        </w:rPr>
        <w:t>قُر</w:t>
      </w:r>
      <w:r w:rsidRPr="00563AE6">
        <w:rPr>
          <w:rFonts w:ascii="KFGQPC Uthmanic Script HAFS" w:cs="KFGQPC Uthmanic Script HAFS" w:hint="cs"/>
          <w:sz w:val="23"/>
          <w:szCs w:val="23"/>
          <w:rtl/>
        </w:rPr>
        <w:t>ۡ</w:t>
      </w:r>
      <w:r w:rsidRPr="00563AE6">
        <w:rPr>
          <w:rFonts w:ascii="KFGQPC Uthmanic Script HAFS" w:cs="KFGQPC Uthmanic Script HAFS" w:hint="eastAsia"/>
          <w:sz w:val="23"/>
          <w:szCs w:val="23"/>
          <w:rtl/>
        </w:rPr>
        <w:t>بَى</w:t>
      </w:r>
      <w:r w:rsidRPr="00563AE6">
        <w:rPr>
          <w:rFonts w:ascii="KFGQPC Uthmanic Script HAFS" w:cs="KFGQPC Uthmanic Script HAFS" w:hint="cs"/>
          <w:sz w:val="23"/>
          <w:szCs w:val="23"/>
          <w:rtl/>
        </w:rPr>
        <w:t>ٰ</w:t>
      </w:r>
      <w:r w:rsidRPr="00563AE6">
        <w:rPr>
          <w:rFonts w:ascii="KFGQPC Uthmanic Script HAFS" w:cs="KFGQPC Uthmanic Script HAFS"/>
          <w:sz w:val="23"/>
          <w:szCs w:val="23"/>
          <w:rtl/>
        </w:rPr>
        <w:t xml:space="preserve"> </w:t>
      </w:r>
      <w:r w:rsidRPr="00563AE6">
        <w:rPr>
          <w:rFonts w:ascii="KFGQPC Uthmanic Script HAFS" w:cs="KFGQPC Uthmanic Script HAFS" w:hint="eastAsia"/>
          <w:sz w:val="23"/>
          <w:szCs w:val="23"/>
          <w:rtl/>
        </w:rPr>
        <w:t>وَ</w:t>
      </w:r>
      <w:r w:rsidRPr="00563AE6">
        <w:rPr>
          <w:rFonts w:ascii="KFGQPC Uthmanic Script HAFS" w:cs="KFGQPC Uthmanic Script HAFS" w:hint="cs"/>
          <w:sz w:val="23"/>
          <w:szCs w:val="23"/>
          <w:rtl/>
        </w:rPr>
        <w:t>ٱ</w:t>
      </w:r>
      <w:r w:rsidRPr="00563AE6">
        <w:rPr>
          <w:rFonts w:ascii="KFGQPC Uthmanic Script HAFS" w:cs="KFGQPC Uthmanic Script HAFS" w:hint="eastAsia"/>
          <w:sz w:val="23"/>
          <w:szCs w:val="23"/>
          <w:rtl/>
        </w:rPr>
        <w:t>ل</w:t>
      </w:r>
      <w:r w:rsidRPr="00563AE6">
        <w:rPr>
          <w:rFonts w:ascii="KFGQPC Uthmanic Script HAFS" w:cs="KFGQPC Uthmanic Script HAFS" w:hint="cs"/>
          <w:sz w:val="23"/>
          <w:szCs w:val="23"/>
          <w:rtl/>
        </w:rPr>
        <w:t>ۡ</w:t>
      </w:r>
      <w:r w:rsidRPr="00563AE6">
        <w:rPr>
          <w:rFonts w:ascii="KFGQPC Uthmanic Script HAFS" w:cs="KFGQPC Uthmanic Script HAFS" w:hint="eastAsia"/>
          <w:sz w:val="23"/>
          <w:szCs w:val="23"/>
          <w:rtl/>
        </w:rPr>
        <w:t>يَتَ</w:t>
      </w:r>
      <w:r w:rsidRPr="00563AE6">
        <w:rPr>
          <w:rFonts w:ascii="KFGQPC Uthmanic Script HAFS" w:cs="KFGQPC Uthmanic Script HAFS" w:hint="cs"/>
          <w:sz w:val="23"/>
          <w:szCs w:val="23"/>
          <w:rtl/>
        </w:rPr>
        <w:t>ٰ</w:t>
      </w:r>
      <w:r w:rsidRPr="00563AE6">
        <w:rPr>
          <w:rFonts w:ascii="KFGQPC Uthmanic Script HAFS" w:cs="KFGQPC Uthmanic Script HAFS" w:hint="eastAsia"/>
          <w:sz w:val="23"/>
          <w:szCs w:val="23"/>
          <w:rtl/>
        </w:rPr>
        <w:t>مَى</w:t>
      </w:r>
      <w:r w:rsidRPr="00563AE6">
        <w:rPr>
          <w:rFonts w:ascii="KFGQPC Uthmanic Script HAFS" w:cs="KFGQPC Uthmanic Script HAFS" w:hint="cs"/>
          <w:sz w:val="23"/>
          <w:szCs w:val="23"/>
          <w:rtl/>
        </w:rPr>
        <w:t>ٰ</w:t>
      </w:r>
      <w:r w:rsidRPr="00563AE6">
        <w:rPr>
          <w:rFonts w:ascii="KFGQPC Uthmanic Script HAFS" w:cs="KFGQPC Uthmanic Script HAFS"/>
          <w:sz w:val="23"/>
          <w:szCs w:val="23"/>
          <w:rtl/>
        </w:rPr>
        <w:t xml:space="preserve"> </w:t>
      </w:r>
      <w:r w:rsidRPr="00563AE6">
        <w:rPr>
          <w:rFonts w:ascii="KFGQPC Uthmanic Script HAFS" w:cs="KFGQPC Uthmanic Script HAFS" w:hint="eastAsia"/>
          <w:sz w:val="23"/>
          <w:szCs w:val="23"/>
          <w:rtl/>
        </w:rPr>
        <w:t>وَ</w:t>
      </w:r>
      <w:r w:rsidRPr="00563AE6">
        <w:rPr>
          <w:rFonts w:ascii="KFGQPC Uthmanic Script HAFS" w:cs="KFGQPC Uthmanic Script HAFS" w:hint="cs"/>
          <w:sz w:val="23"/>
          <w:szCs w:val="23"/>
          <w:rtl/>
        </w:rPr>
        <w:t>ٱ</w:t>
      </w:r>
      <w:r w:rsidRPr="00563AE6">
        <w:rPr>
          <w:rFonts w:ascii="KFGQPC Uthmanic Script HAFS" w:cs="KFGQPC Uthmanic Script HAFS" w:hint="eastAsia"/>
          <w:sz w:val="23"/>
          <w:szCs w:val="23"/>
          <w:rtl/>
        </w:rPr>
        <w:t>ل</w:t>
      </w:r>
      <w:r w:rsidRPr="00563AE6">
        <w:rPr>
          <w:rFonts w:ascii="KFGQPC Uthmanic Script HAFS" w:cs="KFGQPC Uthmanic Script HAFS" w:hint="cs"/>
          <w:sz w:val="23"/>
          <w:szCs w:val="23"/>
          <w:rtl/>
        </w:rPr>
        <w:t>ۡ</w:t>
      </w:r>
      <w:r w:rsidRPr="00563AE6">
        <w:rPr>
          <w:rFonts w:ascii="KFGQPC Uthmanic Script HAFS" w:cs="KFGQPC Uthmanic Script HAFS" w:hint="eastAsia"/>
          <w:sz w:val="23"/>
          <w:szCs w:val="23"/>
          <w:rtl/>
        </w:rPr>
        <w:t>مَسَ</w:t>
      </w:r>
      <w:r w:rsidRPr="00563AE6">
        <w:rPr>
          <w:rFonts w:ascii="KFGQPC Uthmanic Script HAFS" w:cs="KFGQPC Uthmanic Script HAFS" w:hint="cs"/>
          <w:sz w:val="23"/>
          <w:szCs w:val="23"/>
          <w:rtl/>
        </w:rPr>
        <w:t>ٰ</w:t>
      </w:r>
      <w:r w:rsidRPr="00563AE6">
        <w:rPr>
          <w:rFonts w:ascii="KFGQPC Uthmanic Script HAFS" w:cs="KFGQPC Uthmanic Script HAFS" w:hint="eastAsia"/>
          <w:sz w:val="23"/>
          <w:szCs w:val="23"/>
          <w:rtl/>
        </w:rPr>
        <w:t>كِينِ</w:t>
      </w:r>
      <w:r w:rsidRPr="00563AE6">
        <w:rPr>
          <w:rFonts w:ascii="KFGQPC Uthmanic Script HAFS" w:cs="KFGQPC Uthmanic Script HAFS"/>
          <w:sz w:val="23"/>
          <w:szCs w:val="23"/>
          <w:rtl/>
        </w:rPr>
        <w:t xml:space="preserve"> </w:t>
      </w:r>
      <w:r w:rsidRPr="00563AE6">
        <w:rPr>
          <w:rFonts w:ascii="KFGQPC Uthmanic Script HAFS" w:cs="KFGQPC Uthmanic Script HAFS" w:hint="eastAsia"/>
          <w:sz w:val="23"/>
          <w:szCs w:val="23"/>
          <w:rtl/>
        </w:rPr>
        <w:t>وَ</w:t>
      </w:r>
      <w:r w:rsidRPr="00563AE6">
        <w:rPr>
          <w:rFonts w:ascii="KFGQPC Uthmanic Script HAFS" w:cs="KFGQPC Uthmanic Script HAFS" w:hint="cs"/>
          <w:sz w:val="23"/>
          <w:szCs w:val="23"/>
          <w:rtl/>
        </w:rPr>
        <w:t>ٱ</w:t>
      </w:r>
      <w:r w:rsidRPr="00563AE6">
        <w:rPr>
          <w:rFonts w:ascii="KFGQPC Uthmanic Script HAFS" w:cs="KFGQPC Uthmanic Script HAFS" w:hint="eastAsia"/>
          <w:sz w:val="23"/>
          <w:szCs w:val="23"/>
          <w:rtl/>
        </w:rPr>
        <w:t>ب</w:t>
      </w:r>
      <w:r w:rsidRPr="00563AE6">
        <w:rPr>
          <w:rFonts w:ascii="KFGQPC Uthmanic Script HAFS" w:cs="KFGQPC Uthmanic Script HAFS" w:hint="cs"/>
          <w:sz w:val="23"/>
          <w:szCs w:val="23"/>
          <w:rtl/>
        </w:rPr>
        <w:t>ۡ</w:t>
      </w:r>
      <w:r w:rsidRPr="00563AE6">
        <w:rPr>
          <w:rFonts w:ascii="KFGQPC Uthmanic Script HAFS" w:cs="KFGQPC Uthmanic Script HAFS" w:hint="eastAsia"/>
          <w:sz w:val="23"/>
          <w:szCs w:val="23"/>
          <w:rtl/>
        </w:rPr>
        <w:t>نِ</w:t>
      </w:r>
      <w:r w:rsidRPr="00563AE6">
        <w:rPr>
          <w:rFonts w:ascii="KFGQPC Uthmanic Script HAFS" w:cs="KFGQPC Uthmanic Script HAFS"/>
          <w:sz w:val="23"/>
          <w:szCs w:val="23"/>
          <w:rtl/>
        </w:rPr>
        <w:t xml:space="preserve"> </w:t>
      </w:r>
      <w:r w:rsidRPr="00563AE6">
        <w:rPr>
          <w:rFonts w:ascii="KFGQPC Uthmanic Script HAFS" w:cs="KFGQPC Uthmanic Script HAFS" w:hint="cs"/>
          <w:sz w:val="23"/>
          <w:szCs w:val="23"/>
          <w:rtl/>
        </w:rPr>
        <w:t>ٱ</w:t>
      </w:r>
      <w:r w:rsidRPr="00563AE6">
        <w:rPr>
          <w:rFonts w:ascii="KFGQPC Uthmanic Script HAFS" w:cs="KFGQPC Uthmanic Script HAFS" w:hint="eastAsia"/>
          <w:sz w:val="23"/>
          <w:szCs w:val="23"/>
          <w:rtl/>
        </w:rPr>
        <w:t>لسَّبِيلِ</w:t>
      </w:r>
      <w:r w:rsidRPr="00563AE6">
        <w:rPr>
          <w:rFonts w:ascii="KFGQPC Uthmanic Script HAFS" w:cs="KFGQPC Uthmanic Script HAFS"/>
          <w:sz w:val="23"/>
          <w:szCs w:val="23"/>
          <w:rtl/>
        </w:rPr>
        <w:t xml:space="preserve"> </w:t>
      </w:r>
      <w:r w:rsidRPr="00563AE6">
        <w:rPr>
          <w:rFonts w:ascii="KFGQPC Uthmanic Script HAFS" w:cs="KFGQPC Uthmanic Script HAFS" w:hint="eastAsia"/>
          <w:sz w:val="23"/>
          <w:szCs w:val="23"/>
          <w:rtl/>
        </w:rPr>
        <w:t>كَي</w:t>
      </w:r>
      <w:r w:rsidRPr="00563AE6">
        <w:rPr>
          <w:rFonts w:ascii="KFGQPC Uthmanic Script HAFS" w:cs="KFGQPC Uthmanic Script HAFS" w:hint="cs"/>
          <w:sz w:val="23"/>
          <w:szCs w:val="23"/>
          <w:rtl/>
        </w:rPr>
        <w:t>ۡ</w:t>
      </w:r>
      <w:r w:rsidRPr="00563AE6">
        <w:rPr>
          <w:rFonts w:ascii="KFGQPC Uthmanic Script HAFS" w:cs="KFGQPC Uthmanic Script HAFS"/>
          <w:sz w:val="23"/>
          <w:szCs w:val="23"/>
          <w:rtl/>
        </w:rPr>
        <w:t xml:space="preserve"> </w:t>
      </w:r>
      <w:r w:rsidRPr="00563AE6">
        <w:rPr>
          <w:rFonts w:ascii="KFGQPC Uthmanic Script HAFS" w:cs="KFGQPC Uthmanic Script HAFS" w:hint="eastAsia"/>
          <w:sz w:val="23"/>
          <w:szCs w:val="23"/>
          <w:rtl/>
        </w:rPr>
        <w:t>لَا</w:t>
      </w:r>
      <w:r w:rsidRPr="00563AE6">
        <w:rPr>
          <w:rFonts w:ascii="KFGQPC Uthmanic Script HAFS" w:cs="KFGQPC Uthmanic Script HAFS"/>
          <w:sz w:val="23"/>
          <w:szCs w:val="23"/>
          <w:rtl/>
        </w:rPr>
        <w:t xml:space="preserve"> </w:t>
      </w:r>
      <w:r w:rsidRPr="00563AE6">
        <w:rPr>
          <w:rFonts w:ascii="KFGQPC Uthmanic Script HAFS" w:cs="KFGQPC Uthmanic Script HAFS" w:hint="eastAsia"/>
          <w:sz w:val="23"/>
          <w:szCs w:val="23"/>
          <w:rtl/>
        </w:rPr>
        <w:t>يَكُونَ</w:t>
      </w:r>
      <w:r w:rsidRPr="00563AE6">
        <w:rPr>
          <w:rFonts w:ascii="KFGQPC Uthmanic Script HAFS" w:cs="KFGQPC Uthmanic Script HAFS"/>
          <w:sz w:val="23"/>
          <w:szCs w:val="23"/>
          <w:rtl/>
        </w:rPr>
        <w:t xml:space="preserve"> </w:t>
      </w:r>
      <w:r w:rsidRPr="00563AE6">
        <w:rPr>
          <w:rFonts w:ascii="KFGQPC Uthmanic Script HAFS" w:cs="KFGQPC Uthmanic Script HAFS" w:hint="eastAsia"/>
          <w:sz w:val="23"/>
          <w:szCs w:val="23"/>
          <w:rtl/>
        </w:rPr>
        <w:t>دُولَةَ</w:t>
      </w:r>
      <w:r w:rsidRPr="00563AE6">
        <w:rPr>
          <w:rFonts w:ascii="KFGQPC Uthmanic Script HAFS" w:cs="KFGQPC Uthmanic Script HAFS" w:hint="cs"/>
          <w:sz w:val="23"/>
          <w:szCs w:val="23"/>
          <w:rtl/>
        </w:rPr>
        <w:t>ۢ</w:t>
      </w:r>
      <w:r w:rsidRPr="00563AE6">
        <w:rPr>
          <w:rFonts w:ascii="KFGQPC Uthmanic Script HAFS" w:cs="KFGQPC Uthmanic Script HAFS"/>
          <w:sz w:val="23"/>
          <w:szCs w:val="23"/>
          <w:rtl/>
        </w:rPr>
        <w:t xml:space="preserve"> </w:t>
      </w:r>
      <w:r w:rsidRPr="00563AE6">
        <w:rPr>
          <w:rFonts w:ascii="KFGQPC Uthmanic Script HAFS" w:cs="KFGQPC Uthmanic Script HAFS" w:hint="eastAsia"/>
          <w:sz w:val="23"/>
          <w:szCs w:val="23"/>
          <w:rtl/>
        </w:rPr>
        <w:t>بَي</w:t>
      </w:r>
      <w:r w:rsidRPr="00563AE6">
        <w:rPr>
          <w:rFonts w:ascii="KFGQPC Uthmanic Script HAFS" w:cs="KFGQPC Uthmanic Script HAFS" w:hint="cs"/>
          <w:sz w:val="23"/>
          <w:szCs w:val="23"/>
          <w:rtl/>
        </w:rPr>
        <w:t>ۡ</w:t>
      </w:r>
      <w:r w:rsidRPr="00563AE6">
        <w:rPr>
          <w:rFonts w:ascii="KFGQPC Uthmanic Script HAFS" w:cs="KFGQPC Uthmanic Script HAFS" w:hint="eastAsia"/>
          <w:sz w:val="23"/>
          <w:szCs w:val="23"/>
          <w:rtl/>
        </w:rPr>
        <w:t>نَ</w:t>
      </w:r>
      <w:r w:rsidRPr="00563AE6">
        <w:rPr>
          <w:rFonts w:ascii="KFGQPC Uthmanic Script HAFS" w:cs="KFGQPC Uthmanic Script HAFS"/>
          <w:sz w:val="23"/>
          <w:szCs w:val="23"/>
          <w:rtl/>
        </w:rPr>
        <w:t xml:space="preserve"> </w:t>
      </w:r>
      <w:r w:rsidRPr="00563AE6">
        <w:rPr>
          <w:rFonts w:ascii="KFGQPC Uthmanic Script HAFS" w:cs="KFGQPC Uthmanic Script HAFS" w:hint="cs"/>
          <w:sz w:val="23"/>
          <w:szCs w:val="23"/>
          <w:rtl/>
        </w:rPr>
        <w:t>ٱ</w:t>
      </w:r>
      <w:r w:rsidRPr="00563AE6">
        <w:rPr>
          <w:rFonts w:ascii="KFGQPC Uthmanic Script HAFS" w:cs="KFGQPC Uthmanic Script HAFS" w:hint="eastAsia"/>
          <w:sz w:val="23"/>
          <w:szCs w:val="23"/>
          <w:rtl/>
        </w:rPr>
        <w:t>ل</w:t>
      </w:r>
      <w:r w:rsidRPr="00563AE6">
        <w:rPr>
          <w:rFonts w:ascii="KFGQPC Uthmanic Script HAFS" w:cs="KFGQPC Uthmanic Script HAFS" w:hint="cs"/>
          <w:sz w:val="23"/>
          <w:szCs w:val="23"/>
          <w:rtl/>
        </w:rPr>
        <w:t>ۡ</w:t>
      </w:r>
      <w:r w:rsidRPr="00563AE6">
        <w:rPr>
          <w:rFonts w:ascii="KFGQPC Uthmanic Script HAFS" w:cs="KFGQPC Uthmanic Script HAFS" w:hint="eastAsia"/>
          <w:sz w:val="23"/>
          <w:szCs w:val="23"/>
          <w:rtl/>
        </w:rPr>
        <w:t>أَغ</w:t>
      </w:r>
      <w:r w:rsidRPr="00563AE6">
        <w:rPr>
          <w:rFonts w:ascii="KFGQPC Uthmanic Script HAFS" w:cs="KFGQPC Uthmanic Script HAFS" w:hint="cs"/>
          <w:sz w:val="23"/>
          <w:szCs w:val="23"/>
          <w:rtl/>
        </w:rPr>
        <w:t>ۡ</w:t>
      </w:r>
      <w:r w:rsidRPr="00563AE6">
        <w:rPr>
          <w:rFonts w:ascii="KFGQPC Uthmanic Script HAFS" w:cs="KFGQPC Uthmanic Script HAFS" w:hint="eastAsia"/>
          <w:sz w:val="23"/>
          <w:szCs w:val="23"/>
          <w:rtl/>
        </w:rPr>
        <w:t>نِيَا</w:t>
      </w:r>
      <w:r w:rsidRPr="00563AE6">
        <w:rPr>
          <w:rFonts w:ascii="KFGQPC Uthmanic Script HAFS" w:cs="KFGQPC Uthmanic Script HAFS" w:hint="cs"/>
          <w:sz w:val="23"/>
          <w:szCs w:val="23"/>
          <w:rtl/>
        </w:rPr>
        <w:t>ٓ</w:t>
      </w:r>
      <w:r w:rsidRPr="00563AE6">
        <w:rPr>
          <w:rFonts w:ascii="KFGQPC Uthmanic Script HAFS" w:cs="KFGQPC Uthmanic Script HAFS" w:hint="eastAsia"/>
          <w:sz w:val="23"/>
          <w:szCs w:val="23"/>
          <w:rtl/>
        </w:rPr>
        <w:t>ءِ</w:t>
      </w:r>
      <w:r w:rsidRPr="00563AE6">
        <w:rPr>
          <w:rFonts w:ascii="KFGQPC Uthmanic Script HAFS" w:cs="KFGQPC Uthmanic Script HAFS"/>
          <w:sz w:val="23"/>
          <w:szCs w:val="23"/>
          <w:rtl/>
        </w:rPr>
        <w:t xml:space="preserve"> </w:t>
      </w:r>
      <w:r w:rsidRPr="00563AE6">
        <w:rPr>
          <w:rFonts w:ascii="KFGQPC Uthmanic Script HAFS" w:cs="KFGQPC Uthmanic Script HAFS" w:hint="eastAsia"/>
          <w:sz w:val="23"/>
          <w:szCs w:val="23"/>
          <w:rtl/>
        </w:rPr>
        <w:t>مِنكُم</w:t>
      </w:r>
      <w:r w:rsidRPr="00563AE6">
        <w:rPr>
          <w:rFonts w:ascii="KFGQPC Uthmanic Script HAFS" w:cs="KFGQPC Uthmanic Script HAFS" w:hint="cs"/>
          <w:sz w:val="23"/>
          <w:szCs w:val="23"/>
          <w:rtl/>
        </w:rPr>
        <w:t>ۡ</w:t>
      </w:r>
      <w:r w:rsidRPr="00563AE6">
        <w:rPr>
          <w:rFonts w:ascii="Traditional Arabic" w:hAnsi="Traditional Arabic" w:cs="Traditional Arabic"/>
          <w:sz w:val="23"/>
          <w:szCs w:val="23"/>
          <w:rtl/>
        </w:rPr>
        <w:t>﴾</w:t>
      </w:r>
      <w:r w:rsidRPr="00563AE6">
        <w:rPr>
          <w:rFonts w:cs="mylotus"/>
          <w:sz w:val="23"/>
          <w:szCs w:val="23"/>
          <w:rtl/>
        </w:rPr>
        <w:t xml:space="preserve"> [الحشر/7]</w:t>
      </w:r>
    </w:p>
    <w:p w:rsidR="00B31118" w:rsidRPr="00563AE6" w:rsidRDefault="00B31118" w:rsidP="00B300C9">
      <w:pPr>
        <w:pStyle w:val="FootnoteText"/>
        <w:spacing w:line="228" w:lineRule="auto"/>
        <w:ind w:left="378"/>
        <w:jc w:val="both"/>
        <w:rPr>
          <w:rFonts w:cs="mylotus" w:hint="cs"/>
          <w:sz w:val="23"/>
          <w:szCs w:val="23"/>
          <w:rtl/>
        </w:rPr>
      </w:pPr>
      <w:r w:rsidRPr="00563AE6">
        <w:rPr>
          <w:rFonts w:cs="mylotus"/>
          <w:sz w:val="23"/>
          <w:szCs w:val="23"/>
          <w:rtl/>
        </w:rPr>
        <w:t>﴿</w:t>
      </w:r>
      <w:r w:rsidRPr="00563AE6">
        <w:rPr>
          <w:rFonts w:ascii="KFGQPC Uthmanic Script HAFS" w:cs="KFGQPC Uthmanic Script HAFS" w:hint="eastAsia"/>
          <w:sz w:val="23"/>
          <w:szCs w:val="23"/>
          <w:rtl/>
        </w:rPr>
        <w:t>وَمَا</w:t>
      </w:r>
      <w:r w:rsidRPr="00563AE6">
        <w:rPr>
          <w:rFonts w:ascii="KFGQPC Uthmanic Script HAFS" w:cs="KFGQPC Uthmanic Script HAFS" w:hint="cs"/>
          <w:sz w:val="23"/>
          <w:szCs w:val="23"/>
          <w:rtl/>
        </w:rPr>
        <w:t>ٓ</w:t>
      </w:r>
      <w:r w:rsidRPr="00563AE6">
        <w:rPr>
          <w:rFonts w:ascii="KFGQPC Uthmanic Script HAFS" w:cs="KFGQPC Uthmanic Script HAFS"/>
          <w:sz w:val="23"/>
          <w:szCs w:val="23"/>
          <w:rtl/>
        </w:rPr>
        <w:t xml:space="preserve"> </w:t>
      </w:r>
      <w:r w:rsidRPr="00563AE6">
        <w:rPr>
          <w:rFonts w:ascii="KFGQPC Uthmanic Script HAFS" w:cs="KFGQPC Uthmanic Script HAFS" w:hint="eastAsia"/>
          <w:sz w:val="23"/>
          <w:szCs w:val="23"/>
          <w:rtl/>
        </w:rPr>
        <w:t>ءَاتَى</w:t>
      </w:r>
      <w:r w:rsidRPr="00563AE6">
        <w:rPr>
          <w:rFonts w:ascii="KFGQPC Uthmanic Script HAFS" w:cs="KFGQPC Uthmanic Script HAFS" w:hint="cs"/>
          <w:sz w:val="23"/>
          <w:szCs w:val="23"/>
          <w:rtl/>
        </w:rPr>
        <w:t>ٰ</w:t>
      </w:r>
      <w:r w:rsidRPr="00563AE6">
        <w:rPr>
          <w:rFonts w:ascii="KFGQPC Uthmanic Script HAFS" w:cs="KFGQPC Uthmanic Script HAFS" w:hint="eastAsia"/>
          <w:sz w:val="23"/>
          <w:szCs w:val="23"/>
          <w:rtl/>
        </w:rPr>
        <w:t>كُمُ</w:t>
      </w:r>
      <w:r w:rsidRPr="00563AE6">
        <w:rPr>
          <w:rFonts w:ascii="KFGQPC Uthmanic Script HAFS" w:cs="KFGQPC Uthmanic Script HAFS"/>
          <w:sz w:val="23"/>
          <w:szCs w:val="23"/>
          <w:rtl/>
        </w:rPr>
        <w:t xml:space="preserve"> </w:t>
      </w:r>
      <w:r w:rsidRPr="00563AE6">
        <w:rPr>
          <w:rFonts w:ascii="KFGQPC Uthmanic Script HAFS" w:cs="KFGQPC Uthmanic Script HAFS" w:hint="cs"/>
          <w:sz w:val="23"/>
          <w:szCs w:val="23"/>
          <w:rtl/>
        </w:rPr>
        <w:t>ٱ</w:t>
      </w:r>
      <w:r w:rsidRPr="00563AE6">
        <w:rPr>
          <w:rFonts w:ascii="KFGQPC Uthmanic Script HAFS" w:cs="KFGQPC Uthmanic Script HAFS" w:hint="eastAsia"/>
          <w:sz w:val="23"/>
          <w:szCs w:val="23"/>
          <w:rtl/>
        </w:rPr>
        <w:t>لرَّسُولُ</w:t>
      </w:r>
      <w:r w:rsidRPr="00563AE6">
        <w:rPr>
          <w:rFonts w:ascii="KFGQPC Uthmanic Script HAFS" w:cs="KFGQPC Uthmanic Script HAFS"/>
          <w:sz w:val="23"/>
          <w:szCs w:val="23"/>
          <w:rtl/>
        </w:rPr>
        <w:t xml:space="preserve"> </w:t>
      </w:r>
      <w:r w:rsidRPr="00563AE6">
        <w:rPr>
          <w:rFonts w:ascii="KFGQPC Uthmanic Script HAFS" w:cs="KFGQPC Uthmanic Script HAFS" w:hint="eastAsia"/>
          <w:sz w:val="23"/>
          <w:szCs w:val="23"/>
          <w:rtl/>
        </w:rPr>
        <w:t>فَخُذُوهُ</w:t>
      </w:r>
      <w:r w:rsidRPr="00563AE6">
        <w:rPr>
          <w:rFonts w:ascii="KFGQPC Uthmanic Script HAFS" w:cs="KFGQPC Uthmanic Script HAFS"/>
          <w:sz w:val="23"/>
          <w:szCs w:val="23"/>
          <w:rtl/>
        </w:rPr>
        <w:t xml:space="preserve"> </w:t>
      </w:r>
      <w:r w:rsidRPr="00563AE6">
        <w:rPr>
          <w:rFonts w:ascii="KFGQPC Uthmanic Script HAFS" w:cs="KFGQPC Uthmanic Script HAFS" w:hint="eastAsia"/>
          <w:sz w:val="23"/>
          <w:szCs w:val="23"/>
          <w:rtl/>
        </w:rPr>
        <w:t>وَمَا</w:t>
      </w:r>
      <w:r w:rsidRPr="00563AE6">
        <w:rPr>
          <w:rFonts w:ascii="KFGQPC Uthmanic Script HAFS" w:cs="KFGQPC Uthmanic Script HAFS"/>
          <w:sz w:val="23"/>
          <w:szCs w:val="23"/>
          <w:rtl/>
        </w:rPr>
        <w:t xml:space="preserve"> </w:t>
      </w:r>
      <w:r w:rsidRPr="00563AE6">
        <w:rPr>
          <w:rFonts w:ascii="KFGQPC Uthmanic Script HAFS" w:cs="KFGQPC Uthmanic Script HAFS" w:hint="eastAsia"/>
          <w:sz w:val="23"/>
          <w:szCs w:val="23"/>
          <w:rtl/>
        </w:rPr>
        <w:t>نَهَى</w:t>
      </w:r>
      <w:r w:rsidRPr="00563AE6">
        <w:rPr>
          <w:rFonts w:ascii="KFGQPC Uthmanic Script HAFS" w:cs="KFGQPC Uthmanic Script HAFS" w:hint="cs"/>
          <w:sz w:val="23"/>
          <w:szCs w:val="23"/>
          <w:rtl/>
        </w:rPr>
        <w:t>ٰ</w:t>
      </w:r>
      <w:r w:rsidRPr="00563AE6">
        <w:rPr>
          <w:rFonts w:ascii="KFGQPC Uthmanic Script HAFS" w:cs="KFGQPC Uthmanic Script HAFS" w:hint="eastAsia"/>
          <w:sz w:val="23"/>
          <w:szCs w:val="23"/>
          <w:rtl/>
        </w:rPr>
        <w:t>كُم</w:t>
      </w:r>
      <w:r w:rsidRPr="00563AE6">
        <w:rPr>
          <w:rFonts w:ascii="KFGQPC Uthmanic Script HAFS" w:cs="KFGQPC Uthmanic Script HAFS" w:hint="cs"/>
          <w:sz w:val="23"/>
          <w:szCs w:val="23"/>
          <w:rtl/>
        </w:rPr>
        <w:t>ۡ</w:t>
      </w:r>
      <w:r w:rsidRPr="00563AE6">
        <w:rPr>
          <w:rFonts w:ascii="KFGQPC Uthmanic Script HAFS" w:cs="KFGQPC Uthmanic Script HAFS"/>
          <w:sz w:val="23"/>
          <w:szCs w:val="23"/>
          <w:rtl/>
        </w:rPr>
        <w:t xml:space="preserve"> </w:t>
      </w:r>
      <w:r w:rsidRPr="00563AE6">
        <w:rPr>
          <w:rFonts w:ascii="KFGQPC Uthmanic Script HAFS" w:cs="KFGQPC Uthmanic Script HAFS" w:hint="eastAsia"/>
          <w:sz w:val="23"/>
          <w:szCs w:val="23"/>
          <w:rtl/>
        </w:rPr>
        <w:t>عَن</w:t>
      </w:r>
      <w:r w:rsidRPr="00563AE6">
        <w:rPr>
          <w:rFonts w:ascii="KFGQPC Uthmanic Script HAFS" w:cs="KFGQPC Uthmanic Script HAFS" w:hint="cs"/>
          <w:sz w:val="23"/>
          <w:szCs w:val="23"/>
          <w:rtl/>
        </w:rPr>
        <w:t>ۡ</w:t>
      </w:r>
      <w:r w:rsidRPr="00563AE6">
        <w:rPr>
          <w:rFonts w:ascii="KFGQPC Uthmanic Script HAFS" w:cs="KFGQPC Uthmanic Script HAFS" w:hint="eastAsia"/>
          <w:sz w:val="23"/>
          <w:szCs w:val="23"/>
          <w:rtl/>
        </w:rPr>
        <w:t>هُ</w:t>
      </w:r>
      <w:r w:rsidRPr="00563AE6">
        <w:rPr>
          <w:rFonts w:ascii="KFGQPC Uthmanic Script HAFS" w:cs="KFGQPC Uthmanic Script HAFS"/>
          <w:sz w:val="23"/>
          <w:szCs w:val="23"/>
          <w:rtl/>
        </w:rPr>
        <w:t xml:space="preserve"> </w:t>
      </w:r>
      <w:r w:rsidRPr="00563AE6">
        <w:rPr>
          <w:rFonts w:ascii="KFGQPC Uthmanic Script HAFS" w:cs="KFGQPC Uthmanic Script HAFS" w:hint="eastAsia"/>
          <w:sz w:val="23"/>
          <w:szCs w:val="23"/>
          <w:rtl/>
        </w:rPr>
        <w:t>فَ</w:t>
      </w:r>
      <w:r w:rsidRPr="00563AE6">
        <w:rPr>
          <w:rFonts w:ascii="KFGQPC Uthmanic Script HAFS" w:cs="KFGQPC Uthmanic Script HAFS" w:hint="cs"/>
          <w:sz w:val="23"/>
          <w:szCs w:val="23"/>
          <w:rtl/>
        </w:rPr>
        <w:t>ٱ</w:t>
      </w:r>
      <w:r w:rsidRPr="00563AE6">
        <w:rPr>
          <w:rFonts w:ascii="KFGQPC Uthmanic Script HAFS" w:cs="KFGQPC Uthmanic Script HAFS" w:hint="eastAsia"/>
          <w:sz w:val="23"/>
          <w:szCs w:val="23"/>
          <w:rtl/>
        </w:rPr>
        <w:t>نتَهُواْ</w:t>
      </w:r>
      <w:r w:rsidRPr="00563AE6">
        <w:rPr>
          <w:rFonts w:cs="mylotus"/>
          <w:sz w:val="23"/>
          <w:szCs w:val="23"/>
          <w:rtl/>
        </w:rPr>
        <w:t>﴾ [الحشر/7]</w:t>
      </w:r>
    </w:p>
  </w:footnote>
  <w:footnote w:id="26">
    <w:p w:rsidR="00B31118" w:rsidRPr="00563AE6" w:rsidRDefault="00B31118" w:rsidP="00B300C9">
      <w:pPr>
        <w:pStyle w:val="FootnoteText"/>
        <w:spacing w:line="228" w:lineRule="auto"/>
        <w:ind w:left="378" w:hanging="378"/>
        <w:jc w:val="both"/>
        <w:rPr>
          <w:rFonts w:cs="mylotus" w:hint="cs"/>
          <w:sz w:val="23"/>
          <w:szCs w:val="23"/>
          <w:rtl/>
        </w:rPr>
      </w:pPr>
      <w:r w:rsidRPr="00563AE6">
        <w:rPr>
          <w:rStyle w:val="FootnoteReference"/>
          <w:rFonts w:cs="mylotus"/>
          <w:sz w:val="23"/>
          <w:szCs w:val="23"/>
          <w:vertAlign w:val="baseline"/>
          <w:rtl/>
        </w:rPr>
        <w:footnoteRef/>
      </w:r>
      <w:r>
        <w:rPr>
          <w:rFonts w:cs="mylotus"/>
          <w:sz w:val="23"/>
          <w:szCs w:val="23"/>
          <w:rtl/>
        </w:rPr>
        <w:t>-</w:t>
      </w:r>
      <w:r w:rsidRPr="00563AE6">
        <w:rPr>
          <w:rFonts w:cs="mylotus"/>
          <w:sz w:val="23"/>
          <w:szCs w:val="23"/>
          <w:rtl/>
        </w:rPr>
        <w:t xml:space="preserve"> </w:t>
      </w:r>
      <w:r w:rsidRPr="00563AE6">
        <w:rPr>
          <w:rFonts w:cs="mylotus" w:hint="cs"/>
          <w:sz w:val="23"/>
          <w:szCs w:val="23"/>
          <w:rtl/>
        </w:rPr>
        <w:t xml:space="preserve">الشيخ الطوسي، تهذيب الأحكام، تحقيق حسن موسوي الخرسان، ج 4، ص 128. (المُتَرْجِمُ) </w:t>
      </w:r>
    </w:p>
  </w:footnote>
  <w:footnote w:id="27">
    <w:p w:rsidR="00B31118" w:rsidRPr="00563AE6" w:rsidRDefault="00B31118" w:rsidP="00B300C9">
      <w:pPr>
        <w:pStyle w:val="FootnoteText"/>
        <w:spacing w:line="228" w:lineRule="auto"/>
        <w:ind w:left="378" w:hanging="378"/>
        <w:jc w:val="both"/>
        <w:rPr>
          <w:rFonts w:cs="mylotus" w:hint="cs"/>
          <w:sz w:val="23"/>
          <w:szCs w:val="23"/>
          <w:rtl/>
        </w:rPr>
      </w:pPr>
      <w:r w:rsidRPr="00563AE6">
        <w:rPr>
          <w:rFonts w:cs="mylotus"/>
          <w:sz w:val="23"/>
          <w:szCs w:val="23"/>
          <w:rtl/>
        </w:rPr>
        <w:footnoteRef/>
      </w:r>
      <w:r>
        <w:rPr>
          <w:rFonts w:cs="mylotus"/>
          <w:sz w:val="23"/>
          <w:szCs w:val="23"/>
          <w:rtl/>
        </w:rPr>
        <w:t>-</w:t>
      </w:r>
      <w:r w:rsidRPr="00563AE6">
        <w:rPr>
          <w:rFonts w:cs="mylotus"/>
          <w:sz w:val="23"/>
          <w:szCs w:val="23"/>
          <w:rtl/>
        </w:rPr>
        <w:t xml:space="preserve"> </w:t>
      </w:r>
      <w:r w:rsidRPr="00563AE6">
        <w:rPr>
          <w:rFonts w:cs="mylotus" w:hint="cs"/>
          <w:sz w:val="23"/>
          <w:szCs w:val="23"/>
          <w:rtl/>
        </w:rPr>
        <w:t xml:space="preserve">كتاب الأم، </w:t>
      </w:r>
      <w:r w:rsidRPr="00563AE6">
        <w:rPr>
          <w:rFonts w:ascii="Abo-thar" w:hAnsi="Abo-thar" w:cs="mylotus" w:hint="cs"/>
          <w:sz w:val="23"/>
          <w:szCs w:val="23"/>
          <w:rtl/>
        </w:rPr>
        <w:t xml:space="preserve">ج </w:t>
      </w:r>
      <w:r w:rsidRPr="00563AE6">
        <w:rPr>
          <w:rFonts w:ascii="Abo-thar" w:hAnsi="Abo-thar" w:cs="mylotus"/>
          <w:sz w:val="23"/>
          <w:szCs w:val="23"/>
          <w:rtl/>
        </w:rPr>
        <w:t>4</w:t>
      </w:r>
      <w:r w:rsidRPr="00563AE6">
        <w:rPr>
          <w:rFonts w:ascii="Abo-thar" w:hAnsi="Abo-thar" w:cs="mylotus" w:hint="cs"/>
          <w:sz w:val="23"/>
          <w:szCs w:val="23"/>
          <w:rtl/>
        </w:rPr>
        <w:t xml:space="preserve">، ص </w:t>
      </w:r>
      <w:r w:rsidRPr="00563AE6">
        <w:rPr>
          <w:rFonts w:ascii="Abo-thar" w:hAnsi="Abo-thar" w:cs="mylotus"/>
          <w:sz w:val="23"/>
          <w:szCs w:val="23"/>
          <w:rtl/>
        </w:rPr>
        <w:t>64</w:t>
      </w:r>
      <w:r w:rsidRPr="00563AE6">
        <w:rPr>
          <w:rFonts w:ascii="Abo-thar" w:hAnsi="Abo-thar" w:cs="mylotus" w:hint="cs"/>
          <w:sz w:val="23"/>
          <w:szCs w:val="23"/>
          <w:rtl/>
        </w:rPr>
        <w:t>.</w:t>
      </w:r>
    </w:p>
  </w:footnote>
  <w:footnote w:id="28">
    <w:p w:rsidR="00B31118" w:rsidRPr="00563AE6" w:rsidRDefault="00B31118" w:rsidP="00B300C9">
      <w:pPr>
        <w:pStyle w:val="FootnoteText"/>
        <w:spacing w:line="228" w:lineRule="auto"/>
        <w:ind w:left="378" w:hanging="378"/>
        <w:jc w:val="both"/>
        <w:rPr>
          <w:rFonts w:cs="mylotus" w:hint="cs"/>
          <w:sz w:val="23"/>
          <w:szCs w:val="23"/>
          <w:rtl/>
          <w:lang w:bidi="ar-SY"/>
        </w:rPr>
      </w:pPr>
      <w:r w:rsidRPr="00563AE6">
        <w:rPr>
          <w:rFonts w:cs="mylotus"/>
          <w:sz w:val="23"/>
          <w:szCs w:val="23"/>
          <w:rtl/>
        </w:rPr>
        <w:footnoteRef/>
      </w:r>
      <w:r>
        <w:rPr>
          <w:rFonts w:cs="mylotus"/>
          <w:sz w:val="23"/>
          <w:szCs w:val="23"/>
          <w:rtl/>
        </w:rPr>
        <w:t>-</w:t>
      </w:r>
      <w:r w:rsidRPr="00563AE6">
        <w:rPr>
          <w:rFonts w:cs="mylotus"/>
          <w:sz w:val="23"/>
          <w:szCs w:val="23"/>
          <w:rtl/>
        </w:rPr>
        <w:t xml:space="preserve"> </w:t>
      </w:r>
      <w:r w:rsidRPr="00563AE6">
        <w:rPr>
          <w:rFonts w:cs="mylotus" w:hint="cs"/>
          <w:sz w:val="23"/>
          <w:szCs w:val="23"/>
          <w:rtl/>
        </w:rPr>
        <w:t>العنوة: القهر والغلبة. (المُتَرْجِمُ)</w:t>
      </w:r>
    </w:p>
  </w:footnote>
  <w:footnote w:id="29">
    <w:p w:rsidR="00B31118" w:rsidRPr="00563AE6" w:rsidRDefault="00B31118" w:rsidP="00B300C9">
      <w:pPr>
        <w:pStyle w:val="FootnoteText"/>
        <w:spacing w:line="228" w:lineRule="auto"/>
        <w:ind w:left="378" w:hanging="378"/>
        <w:jc w:val="both"/>
        <w:rPr>
          <w:rFonts w:cs="mylotus" w:hint="cs"/>
          <w:sz w:val="23"/>
          <w:szCs w:val="23"/>
          <w:rtl/>
        </w:rPr>
      </w:pPr>
      <w:r w:rsidRPr="00563AE6">
        <w:rPr>
          <w:rFonts w:cs="mylotus"/>
          <w:sz w:val="23"/>
          <w:szCs w:val="23"/>
          <w:rtl/>
        </w:rPr>
        <w:footnoteRef/>
      </w:r>
      <w:r>
        <w:rPr>
          <w:rFonts w:cs="mylotus"/>
          <w:sz w:val="23"/>
          <w:szCs w:val="23"/>
          <w:rtl/>
        </w:rPr>
        <w:t>-</w:t>
      </w:r>
      <w:r w:rsidRPr="00563AE6">
        <w:rPr>
          <w:rFonts w:cs="mylotus" w:hint="cs"/>
          <w:sz w:val="23"/>
          <w:szCs w:val="23"/>
          <w:rtl/>
        </w:rPr>
        <w:t xml:space="preserve"> يحيى بن آدم، </w:t>
      </w:r>
      <w:r w:rsidRPr="00563AE6">
        <w:rPr>
          <w:rFonts w:cs="mylotus" w:hint="eastAsia"/>
          <w:sz w:val="23"/>
          <w:szCs w:val="23"/>
          <w:rtl/>
        </w:rPr>
        <w:t>«</w:t>
      </w:r>
      <w:r w:rsidRPr="00563AE6">
        <w:rPr>
          <w:rFonts w:cs="mylotus" w:hint="cs"/>
          <w:sz w:val="23"/>
          <w:szCs w:val="23"/>
          <w:rtl/>
        </w:rPr>
        <w:t>الخراج</w:t>
      </w:r>
      <w:r w:rsidRPr="00563AE6">
        <w:rPr>
          <w:rFonts w:cs="mylotus" w:hint="eastAsia"/>
          <w:sz w:val="23"/>
          <w:szCs w:val="23"/>
          <w:rtl/>
        </w:rPr>
        <w:t>»</w:t>
      </w:r>
      <w:r w:rsidRPr="00563AE6">
        <w:rPr>
          <w:rFonts w:cs="mylotus" w:hint="cs"/>
          <w:sz w:val="23"/>
          <w:szCs w:val="23"/>
          <w:rtl/>
        </w:rPr>
        <w:t>،</w:t>
      </w:r>
      <w:r w:rsidRPr="00563AE6">
        <w:rPr>
          <w:rFonts w:cs="mylotus"/>
          <w:sz w:val="23"/>
          <w:szCs w:val="23"/>
          <w:rtl/>
        </w:rPr>
        <w:t xml:space="preserve"> ص 17</w:t>
      </w:r>
      <w:r w:rsidRPr="00563AE6">
        <w:rPr>
          <w:rFonts w:cs="mylotus" w:hint="cs"/>
          <w:sz w:val="23"/>
          <w:szCs w:val="23"/>
          <w:rtl/>
        </w:rPr>
        <w:t>.</w:t>
      </w:r>
    </w:p>
  </w:footnote>
  <w:footnote w:id="30">
    <w:p w:rsidR="00B31118" w:rsidRPr="00563AE6" w:rsidRDefault="00B31118" w:rsidP="00B300C9">
      <w:pPr>
        <w:pStyle w:val="FootnoteText"/>
        <w:spacing w:line="228" w:lineRule="auto"/>
        <w:ind w:left="378" w:hanging="378"/>
        <w:jc w:val="both"/>
        <w:rPr>
          <w:rFonts w:cs="mylotus"/>
          <w:sz w:val="23"/>
          <w:szCs w:val="23"/>
          <w:rtl/>
        </w:rPr>
      </w:pPr>
      <w:r w:rsidRPr="00563AE6">
        <w:rPr>
          <w:rFonts w:cs="mylotus"/>
          <w:sz w:val="23"/>
          <w:szCs w:val="23"/>
          <w:rtl/>
        </w:rPr>
        <w:footnoteRef/>
      </w:r>
      <w:r>
        <w:rPr>
          <w:rFonts w:cs="mylotus"/>
          <w:sz w:val="23"/>
          <w:szCs w:val="23"/>
          <w:rtl/>
        </w:rPr>
        <w:t>-</w:t>
      </w:r>
      <w:r w:rsidRPr="00563AE6">
        <w:rPr>
          <w:rFonts w:cs="mylotus" w:hint="cs"/>
          <w:sz w:val="23"/>
          <w:szCs w:val="23"/>
          <w:rtl/>
        </w:rPr>
        <w:t xml:space="preserve"> الماوردي، الأحكام السلطانية، ص 121.</w:t>
      </w:r>
    </w:p>
  </w:footnote>
  <w:footnote w:id="31">
    <w:p w:rsidR="00B31118" w:rsidRPr="00563AE6" w:rsidRDefault="00B31118" w:rsidP="00B300C9">
      <w:pPr>
        <w:pStyle w:val="FootnoteText"/>
        <w:spacing w:line="228" w:lineRule="auto"/>
        <w:ind w:left="378" w:hanging="378"/>
        <w:jc w:val="both"/>
        <w:rPr>
          <w:rFonts w:cs="mylotus" w:hint="cs"/>
          <w:sz w:val="23"/>
          <w:szCs w:val="23"/>
          <w:rtl/>
        </w:rPr>
      </w:pPr>
      <w:r w:rsidRPr="00563AE6">
        <w:rPr>
          <w:rFonts w:cs="mylotus"/>
          <w:sz w:val="23"/>
          <w:szCs w:val="23"/>
          <w:rtl/>
        </w:rPr>
        <w:footnoteRef/>
      </w:r>
      <w:r>
        <w:rPr>
          <w:rFonts w:cs="mylotus"/>
          <w:sz w:val="23"/>
          <w:szCs w:val="23"/>
          <w:rtl/>
        </w:rPr>
        <w:t>-</w:t>
      </w:r>
      <w:r w:rsidRPr="00563AE6">
        <w:rPr>
          <w:rFonts w:cs="mylotus" w:hint="cs"/>
          <w:sz w:val="23"/>
          <w:szCs w:val="23"/>
          <w:rtl/>
        </w:rPr>
        <w:t xml:space="preserve"> أبو يوسف القاضي، «الخراج»،</w:t>
      </w:r>
      <w:r w:rsidRPr="00563AE6">
        <w:rPr>
          <w:rFonts w:cs="mylotus"/>
          <w:sz w:val="23"/>
          <w:szCs w:val="23"/>
          <w:rtl/>
        </w:rPr>
        <w:t xml:space="preserve"> ص 18</w:t>
      </w:r>
      <w:r w:rsidRPr="00563AE6">
        <w:rPr>
          <w:rFonts w:cs="mylotus" w:hint="cs"/>
          <w:sz w:val="23"/>
          <w:szCs w:val="23"/>
          <w:rtl/>
        </w:rPr>
        <w:t>-19.</w:t>
      </w:r>
    </w:p>
  </w:footnote>
  <w:footnote w:id="32">
    <w:p w:rsidR="00B31118" w:rsidRPr="00563AE6" w:rsidRDefault="00B31118" w:rsidP="00B300C9">
      <w:pPr>
        <w:pStyle w:val="FootnoteText"/>
        <w:spacing w:line="228" w:lineRule="auto"/>
        <w:ind w:left="378" w:hanging="378"/>
        <w:jc w:val="both"/>
        <w:rPr>
          <w:rFonts w:cs="mylotus" w:hint="cs"/>
          <w:sz w:val="23"/>
          <w:szCs w:val="23"/>
          <w:rtl/>
        </w:rPr>
      </w:pPr>
      <w:r w:rsidRPr="00563AE6">
        <w:rPr>
          <w:rFonts w:cs="mylotus"/>
          <w:sz w:val="23"/>
          <w:szCs w:val="23"/>
          <w:rtl/>
        </w:rPr>
        <w:footnoteRef/>
      </w:r>
      <w:r>
        <w:rPr>
          <w:rFonts w:cs="mylotus"/>
          <w:sz w:val="23"/>
          <w:szCs w:val="23"/>
          <w:rtl/>
        </w:rPr>
        <w:t>-</w:t>
      </w:r>
      <w:r w:rsidRPr="00563AE6">
        <w:rPr>
          <w:rFonts w:cs="mylotus" w:hint="cs"/>
          <w:sz w:val="23"/>
          <w:szCs w:val="23"/>
          <w:rtl/>
        </w:rPr>
        <w:t xml:space="preserve"> الطوسي، </w:t>
      </w:r>
      <w:r w:rsidRPr="00563AE6">
        <w:rPr>
          <w:rFonts w:cs="mylotus"/>
          <w:sz w:val="23"/>
          <w:szCs w:val="23"/>
          <w:rtl/>
        </w:rPr>
        <w:t>تفسير التبيان</w:t>
      </w:r>
      <w:r w:rsidRPr="00563AE6">
        <w:rPr>
          <w:rFonts w:cs="mylotus" w:hint="cs"/>
          <w:sz w:val="23"/>
          <w:szCs w:val="23"/>
          <w:rtl/>
        </w:rPr>
        <w:t xml:space="preserve">، </w:t>
      </w:r>
      <w:r w:rsidRPr="00563AE6">
        <w:rPr>
          <w:rFonts w:cs="mylotus"/>
          <w:sz w:val="23"/>
          <w:szCs w:val="23"/>
          <w:rtl/>
        </w:rPr>
        <w:t>ج1</w:t>
      </w:r>
      <w:r w:rsidRPr="00563AE6">
        <w:rPr>
          <w:rFonts w:cs="mylotus" w:hint="cs"/>
          <w:sz w:val="23"/>
          <w:szCs w:val="23"/>
          <w:rtl/>
        </w:rPr>
        <w:t xml:space="preserve">، </w:t>
      </w:r>
      <w:r w:rsidRPr="00563AE6">
        <w:rPr>
          <w:rFonts w:cs="mylotus"/>
          <w:sz w:val="23"/>
          <w:szCs w:val="23"/>
          <w:rtl/>
        </w:rPr>
        <w:t>ص797 من طبعة طهران الحجرية أو ج</w:t>
      </w:r>
      <w:r w:rsidRPr="00563AE6">
        <w:rPr>
          <w:rFonts w:cs="mylotus" w:hint="cs"/>
          <w:sz w:val="23"/>
          <w:szCs w:val="23"/>
          <w:rtl/>
        </w:rPr>
        <w:t xml:space="preserve"> </w:t>
      </w:r>
      <w:r w:rsidRPr="00563AE6">
        <w:rPr>
          <w:rFonts w:cs="mylotus"/>
          <w:sz w:val="23"/>
          <w:szCs w:val="23"/>
          <w:rtl/>
        </w:rPr>
        <w:t>5</w:t>
      </w:r>
      <w:r w:rsidRPr="00563AE6">
        <w:rPr>
          <w:rFonts w:cs="mylotus" w:hint="cs"/>
          <w:sz w:val="23"/>
          <w:szCs w:val="23"/>
          <w:rtl/>
        </w:rPr>
        <w:t xml:space="preserve">، </w:t>
      </w:r>
      <w:r w:rsidRPr="00563AE6">
        <w:rPr>
          <w:rFonts w:cs="mylotus"/>
          <w:sz w:val="23"/>
          <w:szCs w:val="23"/>
          <w:rtl/>
        </w:rPr>
        <w:t>ص117من الطبعة الجديدة</w:t>
      </w:r>
      <w:r w:rsidRPr="00563AE6">
        <w:rPr>
          <w:rFonts w:cs="mylotus" w:hint="cs"/>
          <w:sz w:val="23"/>
          <w:szCs w:val="23"/>
          <w:rtl/>
        </w:rPr>
        <w:t>.</w:t>
      </w:r>
    </w:p>
  </w:footnote>
  <w:footnote w:id="33">
    <w:p w:rsidR="00B31118" w:rsidRPr="00563AE6" w:rsidRDefault="00B31118" w:rsidP="00B300C9">
      <w:pPr>
        <w:pStyle w:val="FootnoteText"/>
        <w:spacing w:line="228" w:lineRule="auto"/>
        <w:ind w:left="378" w:hanging="378"/>
        <w:jc w:val="both"/>
        <w:rPr>
          <w:rFonts w:cs="mylotus" w:hint="cs"/>
          <w:sz w:val="23"/>
          <w:szCs w:val="23"/>
          <w:rtl/>
        </w:rPr>
      </w:pPr>
      <w:r w:rsidRPr="00563AE6">
        <w:rPr>
          <w:rFonts w:cs="mylotus"/>
          <w:sz w:val="23"/>
          <w:szCs w:val="23"/>
          <w:rtl/>
        </w:rPr>
        <w:footnoteRef/>
      </w:r>
      <w:r>
        <w:rPr>
          <w:rFonts w:cs="mylotus"/>
          <w:sz w:val="23"/>
          <w:szCs w:val="23"/>
          <w:rtl/>
        </w:rPr>
        <w:t>-</w:t>
      </w:r>
      <w:r w:rsidRPr="00563AE6">
        <w:rPr>
          <w:rFonts w:cs="mylotus" w:hint="cs"/>
          <w:sz w:val="23"/>
          <w:szCs w:val="23"/>
          <w:rtl/>
        </w:rPr>
        <w:t xml:space="preserve"> المصدر نفسه، </w:t>
      </w:r>
      <w:r w:rsidRPr="00563AE6">
        <w:rPr>
          <w:rFonts w:cs="mylotus"/>
          <w:sz w:val="23"/>
          <w:szCs w:val="23"/>
          <w:rtl/>
        </w:rPr>
        <w:t>ج2</w:t>
      </w:r>
      <w:r w:rsidRPr="00563AE6">
        <w:rPr>
          <w:rFonts w:cs="mylotus" w:hint="cs"/>
          <w:sz w:val="23"/>
          <w:szCs w:val="23"/>
          <w:rtl/>
        </w:rPr>
        <w:t xml:space="preserve">، </w:t>
      </w:r>
      <w:r w:rsidRPr="00563AE6">
        <w:rPr>
          <w:rFonts w:cs="mylotus"/>
          <w:sz w:val="23"/>
          <w:szCs w:val="23"/>
          <w:rtl/>
        </w:rPr>
        <w:t>ص666، أو</w:t>
      </w:r>
      <w:r w:rsidRPr="00563AE6">
        <w:rPr>
          <w:rFonts w:cs="mylotus" w:hint="cs"/>
          <w:sz w:val="23"/>
          <w:szCs w:val="23"/>
          <w:rtl/>
        </w:rPr>
        <w:t xml:space="preserve"> في الطبعة الجديدة،</w:t>
      </w:r>
      <w:r w:rsidRPr="00563AE6">
        <w:rPr>
          <w:rFonts w:cs="mylotus"/>
          <w:sz w:val="23"/>
          <w:szCs w:val="23"/>
          <w:rtl/>
        </w:rPr>
        <w:t xml:space="preserve"> ج9</w:t>
      </w:r>
      <w:r w:rsidRPr="00563AE6">
        <w:rPr>
          <w:rFonts w:cs="mylotus" w:hint="cs"/>
          <w:sz w:val="23"/>
          <w:szCs w:val="23"/>
          <w:rtl/>
        </w:rPr>
        <w:t xml:space="preserve">، </w:t>
      </w:r>
      <w:r w:rsidRPr="00563AE6">
        <w:rPr>
          <w:rFonts w:cs="mylotus"/>
          <w:sz w:val="23"/>
          <w:szCs w:val="23"/>
          <w:rtl/>
        </w:rPr>
        <w:t xml:space="preserve"> ص</w:t>
      </w:r>
      <w:r w:rsidRPr="00563AE6">
        <w:rPr>
          <w:rFonts w:cs="mylotus" w:hint="cs"/>
          <w:sz w:val="23"/>
          <w:szCs w:val="23"/>
          <w:rtl/>
        </w:rPr>
        <w:t xml:space="preserve"> </w:t>
      </w:r>
      <w:r w:rsidRPr="00563AE6">
        <w:rPr>
          <w:rFonts w:cs="mylotus"/>
          <w:sz w:val="23"/>
          <w:szCs w:val="23"/>
          <w:rtl/>
        </w:rPr>
        <w:t>548</w:t>
      </w:r>
      <w:r w:rsidRPr="00563AE6">
        <w:rPr>
          <w:rFonts w:cs="mylotus" w:hint="cs"/>
          <w:sz w:val="23"/>
          <w:szCs w:val="23"/>
          <w:rtl/>
        </w:rPr>
        <w:t>.</w:t>
      </w:r>
    </w:p>
  </w:footnote>
  <w:footnote w:id="34">
    <w:p w:rsidR="00B31118" w:rsidRPr="00563AE6" w:rsidRDefault="00B31118" w:rsidP="00B300C9">
      <w:pPr>
        <w:pStyle w:val="FootnoteText"/>
        <w:spacing w:line="228" w:lineRule="auto"/>
        <w:ind w:left="378" w:hanging="378"/>
        <w:jc w:val="both"/>
        <w:rPr>
          <w:rFonts w:cs="mylotus" w:hint="cs"/>
          <w:sz w:val="23"/>
          <w:szCs w:val="23"/>
          <w:rtl/>
        </w:rPr>
      </w:pPr>
      <w:r w:rsidRPr="00563AE6">
        <w:rPr>
          <w:rFonts w:cs="mylotus"/>
          <w:sz w:val="23"/>
          <w:szCs w:val="23"/>
          <w:rtl/>
        </w:rPr>
        <w:footnoteRef/>
      </w:r>
      <w:r>
        <w:rPr>
          <w:rFonts w:cs="mylotus"/>
          <w:sz w:val="23"/>
          <w:szCs w:val="23"/>
          <w:rtl/>
        </w:rPr>
        <w:t>-</w:t>
      </w:r>
      <w:r w:rsidRPr="00563AE6">
        <w:rPr>
          <w:rFonts w:cs="mylotus" w:hint="cs"/>
          <w:sz w:val="23"/>
          <w:szCs w:val="23"/>
          <w:rtl/>
        </w:rPr>
        <w:t xml:space="preserve"> الطبرسي، </w:t>
      </w:r>
      <w:r w:rsidRPr="00563AE6">
        <w:rPr>
          <w:rFonts w:cs="mylotus"/>
          <w:sz w:val="23"/>
          <w:szCs w:val="23"/>
          <w:rtl/>
        </w:rPr>
        <w:t>تفسير مجمع البيان</w:t>
      </w:r>
      <w:r w:rsidRPr="00563AE6">
        <w:rPr>
          <w:rFonts w:cs="mylotus" w:hint="cs"/>
          <w:sz w:val="23"/>
          <w:szCs w:val="23"/>
          <w:rtl/>
        </w:rPr>
        <w:t xml:space="preserve">، </w:t>
      </w:r>
      <w:r w:rsidRPr="00563AE6">
        <w:rPr>
          <w:rFonts w:cs="mylotus"/>
          <w:sz w:val="23"/>
          <w:szCs w:val="23"/>
          <w:rtl/>
        </w:rPr>
        <w:t>ج4</w:t>
      </w:r>
      <w:r w:rsidRPr="00563AE6">
        <w:rPr>
          <w:rFonts w:cs="mylotus" w:hint="cs"/>
          <w:sz w:val="23"/>
          <w:szCs w:val="23"/>
          <w:rtl/>
        </w:rPr>
        <w:t xml:space="preserve">، </w:t>
      </w:r>
      <w:r w:rsidRPr="00563AE6">
        <w:rPr>
          <w:rFonts w:cs="mylotus"/>
          <w:sz w:val="23"/>
          <w:szCs w:val="23"/>
          <w:rtl/>
        </w:rPr>
        <w:t>ص543، طبع المطبعة الإسلامية</w:t>
      </w:r>
      <w:r w:rsidRPr="00563AE6">
        <w:rPr>
          <w:rFonts w:cs="mylotus" w:hint="cs"/>
          <w:sz w:val="23"/>
          <w:szCs w:val="23"/>
          <w:rtl/>
        </w:rPr>
        <w:t>.</w:t>
      </w:r>
    </w:p>
  </w:footnote>
  <w:footnote w:id="35">
    <w:p w:rsidR="00B31118" w:rsidRPr="00563AE6" w:rsidRDefault="00B31118" w:rsidP="00B300C9">
      <w:pPr>
        <w:pStyle w:val="FootnoteText"/>
        <w:spacing w:line="228" w:lineRule="auto"/>
        <w:ind w:left="378" w:hanging="378"/>
        <w:jc w:val="both"/>
        <w:rPr>
          <w:rFonts w:cs="mylotus" w:hint="cs"/>
          <w:sz w:val="23"/>
          <w:szCs w:val="23"/>
          <w:rtl/>
        </w:rPr>
      </w:pPr>
      <w:r w:rsidRPr="00563AE6">
        <w:rPr>
          <w:rFonts w:cs="mylotus"/>
          <w:sz w:val="23"/>
          <w:szCs w:val="23"/>
          <w:rtl/>
        </w:rPr>
        <w:footnoteRef/>
      </w:r>
      <w:r>
        <w:rPr>
          <w:rFonts w:cs="mylotus"/>
          <w:sz w:val="23"/>
          <w:szCs w:val="23"/>
          <w:rtl/>
        </w:rPr>
        <w:t>-</w:t>
      </w:r>
      <w:r w:rsidRPr="00563AE6">
        <w:rPr>
          <w:rFonts w:cs="mylotus" w:hint="cs"/>
          <w:sz w:val="23"/>
          <w:szCs w:val="23"/>
          <w:rtl/>
        </w:rPr>
        <w:t xml:space="preserve"> </w:t>
      </w:r>
      <w:r w:rsidRPr="00563AE6">
        <w:rPr>
          <w:rFonts w:cs="mylotus"/>
          <w:sz w:val="23"/>
          <w:szCs w:val="23"/>
          <w:rtl/>
        </w:rPr>
        <w:t>مسالك الأفهام إلى آيات الأحكام</w:t>
      </w:r>
      <w:r w:rsidRPr="00563AE6">
        <w:rPr>
          <w:rFonts w:cs="mylotus" w:hint="cs"/>
          <w:sz w:val="23"/>
          <w:szCs w:val="23"/>
          <w:rtl/>
        </w:rPr>
        <w:t>، ج2، ص 76</w:t>
      </w:r>
      <w:r w:rsidRPr="00563AE6">
        <w:rPr>
          <w:rFonts w:cs="mylotus"/>
          <w:sz w:val="23"/>
          <w:szCs w:val="23"/>
          <w:rtl/>
        </w:rPr>
        <w:t>-81</w:t>
      </w:r>
      <w:r w:rsidRPr="00563AE6">
        <w:rPr>
          <w:rFonts w:cs="mylotus" w:hint="cs"/>
          <w:sz w:val="23"/>
          <w:szCs w:val="23"/>
          <w:rtl/>
        </w:rPr>
        <w:t>.</w:t>
      </w:r>
    </w:p>
  </w:footnote>
  <w:footnote w:id="36">
    <w:p w:rsidR="00B31118" w:rsidRPr="00563AE6" w:rsidRDefault="00B31118" w:rsidP="00B300C9">
      <w:pPr>
        <w:pStyle w:val="FootnoteText"/>
        <w:spacing w:line="228" w:lineRule="auto"/>
        <w:ind w:left="378" w:hanging="378"/>
        <w:jc w:val="both"/>
        <w:rPr>
          <w:rFonts w:cs="mylotus" w:hint="cs"/>
          <w:sz w:val="23"/>
          <w:szCs w:val="23"/>
          <w:rtl/>
        </w:rPr>
      </w:pPr>
      <w:r w:rsidRPr="00563AE6">
        <w:rPr>
          <w:rFonts w:cs="mylotus"/>
          <w:sz w:val="23"/>
          <w:szCs w:val="23"/>
          <w:rtl/>
        </w:rPr>
        <w:footnoteRef/>
      </w:r>
      <w:r>
        <w:rPr>
          <w:rFonts w:cs="mylotus"/>
          <w:sz w:val="23"/>
          <w:szCs w:val="23"/>
          <w:rtl/>
        </w:rPr>
        <w:t>-</w:t>
      </w:r>
      <w:r w:rsidRPr="00563AE6">
        <w:rPr>
          <w:rFonts w:cs="mylotus" w:hint="cs"/>
          <w:sz w:val="23"/>
          <w:szCs w:val="23"/>
          <w:rtl/>
        </w:rPr>
        <w:t xml:space="preserve"> محمد باقر المجلسي، </w:t>
      </w:r>
      <w:r w:rsidRPr="00563AE6">
        <w:rPr>
          <w:rFonts w:cs="mylotus"/>
          <w:sz w:val="23"/>
          <w:szCs w:val="23"/>
          <w:rtl/>
        </w:rPr>
        <w:t>مرآة العقول في شرح أخبار آل الرسول</w:t>
      </w:r>
      <w:r w:rsidRPr="00563AE6">
        <w:rPr>
          <w:rFonts w:cs="mylotus" w:hint="cs"/>
          <w:sz w:val="23"/>
          <w:szCs w:val="23"/>
          <w:rtl/>
        </w:rPr>
        <w:t xml:space="preserve">، </w:t>
      </w:r>
      <w:r w:rsidRPr="00563AE6">
        <w:rPr>
          <w:rFonts w:cs="mylotus"/>
          <w:sz w:val="23"/>
          <w:szCs w:val="23"/>
          <w:rtl/>
        </w:rPr>
        <w:t>ج</w:t>
      </w:r>
      <w:r w:rsidRPr="00563AE6">
        <w:rPr>
          <w:rFonts w:cs="mylotus" w:hint="cs"/>
          <w:sz w:val="23"/>
          <w:szCs w:val="23"/>
          <w:rtl/>
        </w:rPr>
        <w:t xml:space="preserve"> </w:t>
      </w:r>
      <w:r w:rsidRPr="00563AE6">
        <w:rPr>
          <w:rFonts w:cs="mylotus"/>
          <w:sz w:val="23"/>
          <w:szCs w:val="23"/>
          <w:rtl/>
        </w:rPr>
        <w:t>1</w:t>
      </w:r>
      <w:r w:rsidRPr="00563AE6">
        <w:rPr>
          <w:rFonts w:cs="mylotus" w:hint="cs"/>
          <w:sz w:val="23"/>
          <w:szCs w:val="23"/>
          <w:rtl/>
        </w:rPr>
        <w:t xml:space="preserve">، </w:t>
      </w:r>
      <w:r w:rsidRPr="00563AE6">
        <w:rPr>
          <w:rFonts w:cs="mylotus"/>
          <w:sz w:val="23"/>
          <w:szCs w:val="23"/>
          <w:rtl/>
        </w:rPr>
        <w:t>ص441</w:t>
      </w:r>
      <w:r w:rsidRPr="00563AE6">
        <w:rPr>
          <w:rFonts w:cs="mylotus" w:hint="cs"/>
          <w:sz w:val="23"/>
          <w:szCs w:val="23"/>
          <w:rtl/>
        </w:rPr>
        <w:t>.</w:t>
      </w:r>
    </w:p>
  </w:footnote>
  <w:footnote w:id="37">
    <w:p w:rsidR="00B31118" w:rsidRPr="00563AE6" w:rsidRDefault="00B31118" w:rsidP="00B300C9">
      <w:pPr>
        <w:pStyle w:val="FootnoteText"/>
        <w:spacing w:line="228" w:lineRule="auto"/>
        <w:ind w:left="378" w:hanging="378"/>
        <w:jc w:val="both"/>
        <w:rPr>
          <w:rFonts w:cs="mylotus" w:hint="cs"/>
          <w:sz w:val="23"/>
          <w:szCs w:val="23"/>
        </w:rPr>
      </w:pPr>
      <w:r w:rsidRPr="00563AE6">
        <w:rPr>
          <w:rStyle w:val="FootnoteReference"/>
          <w:rFonts w:cs="mylotus"/>
          <w:sz w:val="23"/>
          <w:szCs w:val="23"/>
          <w:vertAlign w:val="baseline"/>
          <w:rtl/>
        </w:rPr>
        <w:footnoteRef/>
      </w:r>
      <w:r>
        <w:rPr>
          <w:rFonts w:cs="mylotus"/>
          <w:sz w:val="23"/>
          <w:szCs w:val="23"/>
          <w:rtl/>
        </w:rPr>
        <w:t>-</w:t>
      </w:r>
      <w:r w:rsidRPr="00563AE6">
        <w:rPr>
          <w:rFonts w:cs="mylotus"/>
          <w:sz w:val="23"/>
          <w:szCs w:val="23"/>
          <w:rtl/>
        </w:rPr>
        <w:t xml:space="preserve"> </w:t>
      </w:r>
      <w:r w:rsidRPr="00563AE6">
        <w:rPr>
          <w:rFonts w:cs="mylotus" w:hint="cs"/>
          <w:sz w:val="23"/>
          <w:szCs w:val="23"/>
          <w:rtl/>
        </w:rPr>
        <w:t xml:space="preserve">بيَّن القاضي أبو يوسف المعاصر لهارون الرشيد وضع أخذ الزكاة والخراج في كتابه </w:t>
      </w:r>
      <w:r w:rsidRPr="00563AE6">
        <w:rPr>
          <w:rFonts w:cs="mylotus" w:hint="eastAsia"/>
          <w:sz w:val="23"/>
          <w:szCs w:val="23"/>
          <w:rtl/>
        </w:rPr>
        <w:t>«</w:t>
      </w:r>
      <w:r w:rsidRPr="00563AE6">
        <w:rPr>
          <w:rFonts w:cs="mylotus" w:hint="cs"/>
          <w:sz w:val="23"/>
          <w:szCs w:val="23"/>
          <w:rtl/>
        </w:rPr>
        <w:t>الخراج</w:t>
      </w:r>
      <w:r w:rsidRPr="00563AE6">
        <w:rPr>
          <w:rFonts w:cs="mylotus" w:hint="eastAsia"/>
          <w:sz w:val="23"/>
          <w:szCs w:val="23"/>
          <w:rtl/>
        </w:rPr>
        <w:t>»</w:t>
      </w:r>
      <w:r w:rsidRPr="00563AE6">
        <w:rPr>
          <w:rFonts w:cs="mylotus"/>
          <w:sz w:val="23"/>
          <w:szCs w:val="23"/>
          <w:rtl/>
        </w:rPr>
        <w:t xml:space="preserve"> </w:t>
      </w:r>
      <w:r w:rsidRPr="00563AE6">
        <w:rPr>
          <w:rFonts w:cs="mylotus" w:hint="cs"/>
          <w:sz w:val="23"/>
          <w:szCs w:val="23"/>
          <w:rtl/>
        </w:rPr>
        <w:t>الذي كتبه لهارون فقال فيه: «</w:t>
      </w:r>
      <w:r w:rsidRPr="00563AE6">
        <w:rPr>
          <w:rFonts w:cs="mylotus"/>
          <w:sz w:val="23"/>
          <w:szCs w:val="23"/>
          <w:rtl/>
        </w:rPr>
        <w:t>لأنه بلغني أنهم يقيمون أهل الخراج في الشمس ويض</w:t>
      </w:r>
      <w:r w:rsidRPr="00563AE6">
        <w:rPr>
          <w:rFonts w:cs="mylotus" w:hint="cs"/>
          <w:sz w:val="23"/>
          <w:szCs w:val="23"/>
          <w:rtl/>
        </w:rPr>
        <w:t>ـ</w:t>
      </w:r>
      <w:r w:rsidRPr="00563AE6">
        <w:rPr>
          <w:rFonts w:cs="mylotus"/>
          <w:sz w:val="23"/>
          <w:szCs w:val="23"/>
          <w:rtl/>
        </w:rPr>
        <w:t>ربونهم الض</w:t>
      </w:r>
      <w:r w:rsidRPr="00563AE6">
        <w:rPr>
          <w:rFonts w:cs="mylotus" w:hint="cs"/>
          <w:sz w:val="23"/>
          <w:szCs w:val="23"/>
          <w:rtl/>
        </w:rPr>
        <w:t>ـ</w:t>
      </w:r>
      <w:r w:rsidRPr="00563AE6">
        <w:rPr>
          <w:rFonts w:cs="mylotus"/>
          <w:sz w:val="23"/>
          <w:szCs w:val="23"/>
          <w:rtl/>
        </w:rPr>
        <w:t>رب الشديد ويطلقون عليهم الجرار ويقيدونهم بما يمنعهم من الصلاة، وهذ</w:t>
      </w:r>
      <w:r>
        <w:rPr>
          <w:rFonts w:cs="mylotus"/>
          <w:sz w:val="23"/>
          <w:szCs w:val="23"/>
          <w:rtl/>
        </w:rPr>
        <w:t>ا عظيم عند الله شنيع في الإسلام</w:t>
      </w:r>
      <w:r w:rsidRPr="00563AE6">
        <w:rPr>
          <w:rFonts w:cs="mylotus" w:hint="cs"/>
          <w:sz w:val="23"/>
          <w:szCs w:val="23"/>
          <w:rtl/>
        </w:rPr>
        <w:t xml:space="preserve">». وقال </w:t>
      </w:r>
      <w:r w:rsidRPr="00563AE6">
        <w:rPr>
          <w:rFonts w:cs="mylotus" w:hint="eastAsia"/>
          <w:sz w:val="23"/>
          <w:szCs w:val="23"/>
          <w:rtl/>
        </w:rPr>
        <w:t>«</w:t>
      </w:r>
      <w:r w:rsidRPr="00563AE6">
        <w:rPr>
          <w:rFonts w:cs="mylotus" w:hint="cs"/>
          <w:sz w:val="23"/>
          <w:szCs w:val="23"/>
          <w:rtl/>
        </w:rPr>
        <w:t>الجهشياري</w:t>
      </w:r>
      <w:r w:rsidRPr="00563AE6">
        <w:rPr>
          <w:rFonts w:cs="mylotus" w:hint="eastAsia"/>
          <w:sz w:val="23"/>
          <w:szCs w:val="23"/>
          <w:rtl/>
        </w:rPr>
        <w:t>»</w:t>
      </w:r>
      <w:r w:rsidRPr="00563AE6">
        <w:rPr>
          <w:rFonts w:cs="mylotus" w:hint="cs"/>
          <w:sz w:val="23"/>
          <w:szCs w:val="23"/>
          <w:rtl/>
        </w:rPr>
        <w:t xml:space="preserve"> في كتابه </w:t>
      </w:r>
      <w:r w:rsidRPr="00563AE6">
        <w:rPr>
          <w:rFonts w:cs="mylotus" w:hint="eastAsia"/>
          <w:sz w:val="23"/>
          <w:szCs w:val="23"/>
          <w:rtl/>
        </w:rPr>
        <w:t>«</w:t>
      </w:r>
      <w:r w:rsidRPr="00563AE6">
        <w:rPr>
          <w:rFonts w:cs="mylotus" w:hint="cs"/>
          <w:sz w:val="23"/>
          <w:szCs w:val="23"/>
          <w:rtl/>
        </w:rPr>
        <w:t>تاريخ الوزراء</w:t>
      </w:r>
      <w:r w:rsidRPr="00563AE6">
        <w:rPr>
          <w:rFonts w:cs="mylotus" w:hint="eastAsia"/>
          <w:sz w:val="23"/>
          <w:szCs w:val="23"/>
          <w:rtl/>
        </w:rPr>
        <w:t>»</w:t>
      </w:r>
      <w:r w:rsidRPr="00563AE6">
        <w:rPr>
          <w:rFonts w:cs="mylotus" w:hint="cs"/>
          <w:sz w:val="23"/>
          <w:szCs w:val="23"/>
          <w:rtl/>
        </w:rPr>
        <w:t xml:space="preserve"> (ص32) أن سليمان بن عبد الملك كتب إلى عامله على مصـر يقول: «اجلب الذر حتى ينقطع واجلب الدم حتى ينصرم». وقال المؤرخون عن الدولة العباسية أن عمال جباية الخراج كانوا يستخدمون أنواعاً مختلفة من وسائل التهديد والعذاب بحق المديني</w:t>
      </w:r>
      <w:r>
        <w:rPr>
          <w:rFonts w:cs="mylotus" w:hint="cs"/>
          <w:sz w:val="23"/>
          <w:szCs w:val="23"/>
          <w:rtl/>
        </w:rPr>
        <w:t>ي</w:t>
      </w:r>
      <w:r w:rsidRPr="00563AE6">
        <w:rPr>
          <w:rFonts w:cs="mylotus" w:hint="cs"/>
          <w:sz w:val="23"/>
          <w:szCs w:val="23"/>
          <w:rtl/>
        </w:rPr>
        <w:t>ن الذين لا</w:t>
      </w:r>
      <w:r w:rsidRPr="00563AE6">
        <w:rPr>
          <w:rFonts w:cs="Times New Roman" w:hint="cs"/>
          <w:sz w:val="23"/>
          <w:szCs w:val="23"/>
          <w:rtl/>
        </w:rPr>
        <w:t> </w:t>
      </w:r>
      <w:r w:rsidRPr="00563AE6">
        <w:rPr>
          <w:rFonts w:cs="mylotus" w:hint="cs"/>
          <w:sz w:val="23"/>
          <w:szCs w:val="23"/>
          <w:rtl/>
        </w:rPr>
        <w:t xml:space="preserve">يدفعون الخراج حتى لكأن الرحمة والإيمان نزعا من قلوبهم. ومن أسوء تلك الطرق كان تسليط الثعابين والأفاعي على المتخلفين وحبسهم وتعليقهم من رجل ومن يد واحدة حتى يموتوا! وجاء في كتاب </w:t>
      </w:r>
      <w:r w:rsidRPr="00563AE6">
        <w:rPr>
          <w:rFonts w:cs="mylotus" w:hint="eastAsia"/>
          <w:sz w:val="23"/>
          <w:szCs w:val="23"/>
          <w:rtl/>
        </w:rPr>
        <w:t>«</w:t>
      </w:r>
      <w:r w:rsidRPr="00563AE6">
        <w:rPr>
          <w:rFonts w:cs="mylotus" w:hint="cs"/>
          <w:sz w:val="23"/>
          <w:szCs w:val="23"/>
          <w:rtl/>
        </w:rPr>
        <w:t>الإمام الصادق والمذاهب الأربعة</w:t>
      </w:r>
      <w:r w:rsidRPr="00563AE6">
        <w:rPr>
          <w:rFonts w:cs="mylotus" w:hint="eastAsia"/>
          <w:sz w:val="23"/>
          <w:szCs w:val="23"/>
          <w:rtl/>
        </w:rPr>
        <w:t>»</w:t>
      </w:r>
      <w:r w:rsidRPr="00563AE6">
        <w:rPr>
          <w:rFonts w:cs="mylotus" w:hint="cs"/>
          <w:sz w:val="23"/>
          <w:szCs w:val="23"/>
          <w:rtl/>
        </w:rPr>
        <w:t xml:space="preserve"> (ص 536) نقلاً عن كتاب الحضارة (ص 336) قصة أخذ ابن الفرَّاء للخراج من </w:t>
      </w:r>
      <w:r w:rsidRPr="00563AE6">
        <w:rPr>
          <w:rFonts w:cs="mylotus" w:hint="eastAsia"/>
          <w:sz w:val="23"/>
          <w:szCs w:val="23"/>
          <w:rtl/>
        </w:rPr>
        <w:t>«</w:t>
      </w:r>
      <w:r w:rsidRPr="00563AE6">
        <w:rPr>
          <w:rFonts w:cs="mylotus" w:hint="cs"/>
          <w:sz w:val="23"/>
          <w:szCs w:val="23"/>
          <w:rtl/>
        </w:rPr>
        <w:t>محمد بن جعفر بن الحجاج</w:t>
      </w:r>
      <w:r w:rsidRPr="00563AE6">
        <w:rPr>
          <w:rFonts w:cs="mylotus" w:hint="eastAsia"/>
          <w:sz w:val="23"/>
          <w:szCs w:val="23"/>
          <w:rtl/>
        </w:rPr>
        <w:t>»</w:t>
      </w:r>
      <w:r w:rsidRPr="00563AE6">
        <w:rPr>
          <w:rFonts w:cs="mylotus" w:hint="cs"/>
          <w:sz w:val="23"/>
          <w:szCs w:val="23"/>
          <w:rtl/>
        </w:rPr>
        <w:t xml:space="preserve"> وما قام به من ظلم وجنايات بحق ذلك المدين المظلوم. </w:t>
      </w:r>
    </w:p>
  </w:footnote>
  <w:footnote w:id="38">
    <w:p w:rsidR="00B31118" w:rsidRPr="00563AE6" w:rsidRDefault="00B31118" w:rsidP="00B300C9">
      <w:pPr>
        <w:spacing w:line="228" w:lineRule="auto"/>
        <w:ind w:left="378" w:hanging="378"/>
        <w:jc w:val="both"/>
        <w:rPr>
          <w:rFonts w:cs="mylotus" w:hint="cs"/>
          <w:sz w:val="23"/>
          <w:szCs w:val="23"/>
          <w:rtl/>
        </w:rPr>
      </w:pPr>
      <w:r w:rsidRPr="00563AE6">
        <w:rPr>
          <w:rStyle w:val="FootnoteReference"/>
          <w:rFonts w:cs="mylotus"/>
          <w:sz w:val="23"/>
          <w:szCs w:val="23"/>
          <w:vertAlign w:val="baseline"/>
          <w:rtl/>
        </w:rPr>
        <w:footnoteRef/>
      </w:r>
      <w:r>
        <w:rPr>
          <w:rFonts w:cs="mylotus"/>
          <w:sz w:val="23"/>
          <w:szCs w:val="23"/>
          <w:rtl/>
        </w:rPr>
        <w:t>-</w:t>
      </w:r>
      <w:r w:rsidRPr="00563AE6">
        <w:rPr>
          <w:rFonts w:cs="mylotus"/>
          <w:sz w:val="23"/>
          <w:szCs w:val="23"/>
          <w:rtl/>
        </w:rPr>
        <w:t xml:space="preserve"> </w:t>
      </w:r>
      <w:r w:rsidRPr="00563AE6">
        <w:rPr>
          <w:rFonts w:cs="mylotus" w:hint="cs"/>
          <w:sz w:val="23"/>
          <w:szCs w:val="23"/>
          <w:rtl/>
        </w:rPr>
        <w:t xml:space="preserve">قال المرحوم المقدس الأردبيلي في كتابه </w:t>
      </w:r>
      <w:r w:rsidRPr="00563AE6">
        <w:rPr>
          <w:rFonts w:cs="mylotus" w:hint="eastAsia"/>
          <w:sz w:val="23"/>
          <w:szCs w:val="23"/>
          <w:rtl/>
        </w:rPr>
        <w:t>«</w:t>
      </w:r>
      <w:r w:rsidRPr="00563AE6">
        <w:rPr>
          <w:rFonts w:cs="mylotus" w:hint="cs"/>
          <w:sz w:val="23"/>
          <w:szCs w:val="23"/>
          <w:rtl/>
        </w:rPr>
        <w:t>زبدة البيان</w:t>
      </w:r>
      <w:r w:rsidRPr="00563AE6">
        <w:rPr>
          <w:rFonts w:cs="mylotus" w:hint="eastAsia"/>
          <w:sz w:val="23"/>
          <w:szCs w:val="23"/>
          <w:rtl/>
        </w:rPr>
        <w:t>»</w:t>
      </w:r>
      <w:r w:rsidRPr="00563AE6">
        <w:rPr>
          <w:rFonts w:cs="mylotus" w:hint="cs"/>
          <w:sz w:val="23"/>
          <w:szCs w:val="23"/>
          <w:rtl/>
        </w:rPr>
        <w:t xml:space="preserve"> (ص 209): «</w:t>
      </w:r>
      <w:r w:rsidRPr="00563AE6">
        <w:rPr>
          <w:rFonts w:cs="mylotus"/>
          <w:sz w:val="23"/>
          <w:szCs w:val="23"/>
          <w:rtl/>
        </w:rPr>
        <w:t>الذي ينبغي أن يذكر هنا مضمون الآية فهي تدل على وجوبه في غنائم دار الحرب مما يصدق عليه ش</w:t>
      </w:r>
      <w:r w:rsidRPr="00563AE6">
        <w:rPr>
          <w:rFonts w:cs="mylotus" w:hint="cs"/>
          <w:sz w:val="23"/>
          <w:szCs w:val="23"/>
          <w:rtl/>
        </w:rPr>
        <w:t>يء</w:t>
      </w:r>
      <w:r w:rsidRPr="00563AE6">
        <w:rPr>
          <w:rFonts w:cs="mylotus"/>
          <w:sz w:val="23"/>
          <w:szCs w:val="23"/>
          <w:rtl/>
        </w:rPr>
        <w:t>، وأي ش</w:t>
      </w:r>
      <w:r w:rsidRPr="00563AE6">
        <w:rPr>
          <w:rFonts w:cs="mylotus" w:hint="cs"/>
          <w:sz w:val="23"/>
          <w:szCs w:val="23"/>
          <w:rtl/>
        </w:rPr>
        <w:t>يء</w:t>
      </w:r>
      <w:r w:rsidRPr="00563AE6">
        <w:rPr>
          <w:rFonts w:cs="mylotus"/>
          <w:sz w:val="23"/>
          <w:szCs w:val="23"/>
          <w:rtl/>
        </w:rPr>
        <w:t xml:space="preserve"> كان منقولا</w:t>
      </w:r>
      <w:r w:rsidRPr="00563AE6">
        <w:rPr>
          <w:rFonts w:cs="mylotus" w:hint="cs"/>
          <w:sz w:val="23"/>
          <w:szCs w:val="23"/>
          <w:rtl/>
        </w:rPr>
        <w:t>ً</w:t>
      </w:r>
      <w:r w:rsidRPr="00563AE6">
        <w:rPr>
          <w:rFonts w:cs="mylotus"/>
          <w:sz w:val="23"/>
          <w:szCs w:val="23"/>
          <w:rtl/>
        </w:rPr>
        <w:t xml:space="preserve"> وغير منقول</w:t>
      </w:r>
      <w:r w:rsidRPr="00563AE6">
        <w:rPr>
          <w:rFonts w:cs="mylotus" w:hint="cs"/>
          <w:sz w:val="23"/>
          <w:szCs w:val="23"/>
          <w:rtl/>
        </w:rPr>
        <w:t xml:space="preserve">». وقال المرحوم ذاته في الصفحة (110) من كتابه المذكور أيضاً بعد أن نقل الحديث الذي رواه الكليني في الكافي والشيخ الطوسي في </w:t>
      </w:r>
      <w:r w:rsidRPr="00563AE6">
        <w:rPr>
          <w:rFonts w:cs="mylotus" w:hint="eastAsia"/>
          <w:sz w:val="23"/>
          <w:szCs w:val="23"/>
          <w:rtl/>
        </w:rPr>
        <w:t>«</w:t>
      </w:r>
      <w:r w:rsidRPr="00563AE6">
        <w:rPr>
          <w:rFonts w:cs="mylotus" w:hint="cs"/>
          <w:sz w:val="23"/>
          <w:szCs w:val="23"/>
          <w:rtl/>
        </w:rPr>
        <w:t>التهذيب</w:t>
      </w:r>
      <w:r w:rsidRPr="00563AE6">
        <w:rPr>
          <w:rFonts w:cs="mylotus" w:hint="eastAsia"/>
          <w:sz w:val="23"/>
          <w:szCs w:val="23"/>
          <w:rtl/>
        </w:rPr>
        <w:t>»</w:t>
      </w:r>
      <w:r w:rsidRPr="00563AE6">
        <w:rPr>
          <w:rFonts w:cs="mylotus"/>
          <w:sz w:val="23"/>
          <w:szCs w:val="23"/>
          <w:rtl/>
        </w:rPr>
        <w:t xml:space="preserve"> </w:t>
      </w:r>
      <w:r w:rsidRPr="00563AE6">
        <w:rPr>
          <w:rFonts w:cs="mylotus" w:hint="cs"/>
          <w:sz w:val="23"/>
          <w:szCs w:val="23"/>
          <w:rtl/>
        </w:rPr>
        <w:t>(ج4، ص121) من طبعة النجف عن علي بن فضال: «</w:t>
      </w:r>
      <w:r w:rsidRPr="00563AE6">
        <w:rPr>
          <w:rFonts w:cs="mylotus"/>
          <w:sz w:val="23"/>
          <w:szCs w:val="23"/>
          <w:rtl/>
        </w:rPr>
        <w:t xml:space="preserve">عَنْ حُكَيْمٍ مُؤَذِّنِ ابْنِ عِيسَى قَالَ سَأَلْتُ أَبَا عَبْدِ اللهِ </w:t>
      </w:r>
      <w:r w:rsidRPr="00BC4BA9">
        <w:rPr>
          <w:rFonts w:cs="CTraditional Arabic" w:hint="cs"/>
          <w:sz w:val="23"/>
          <w:szCs w:val="23"/>
          <w:rtl/>
        </w:rPr>
        <w:t>÷</w:t>
      </w:r>
      <w:r w:rsidRPr="00563AE6">
        <w:rPr>
          <w:rFonts w:cs="mylotus"/>
          <w:sz w:val="23"/>
          <w:szCs w:val="23"/>
          <w:rtl/>
        </w:rPr>
        <w:t xml:space="preserve"> عَنْ قَوْلِ اللهِ تَعَالَى</w:t>
      </w:r>
      <w:r w:rsidRPr="00563AE6">
        <w:rPr>
          <w:rFonts w:cs="mylotus" w:hint="cs"/>
          <w:sz w:val="23"/>
          <w:szCs w:val="23"/>
          <w:rtl/>
        </w:rPr>
        <w:t xml:space="preserve">: </w:t>
      </w:r>
      <w:r w:rsidRPr="00563AE6">
        <w:rPr>
          <w:rFonts w:cs="Traditional Arabic" w:hint="cs"/>
          <w:sz w:val="23"/>
          <w:szCs w:val="23"/>
          <w:rtl/>
        </w:rPr>
        <w:t>﴿</w:t>
      </w:r>
      <w:r w:rsidRPr="00563AE6">
        <w:rPr>
          <w:rFonts w:ascii="KFGQPC Uthmanic Script HAFS" w:cs="KFGQPC Uthmanic Script HAFS" w:hint="eastAsia"/>
          <w:sz w:val="23"/>
          <w:szCs w:val="23"/>
          <w:rtl/>
        </w:rPr>
        <w:t>وَ</w:t>
      </w:r>
      <w:r w:rsidRPr="00563AE6">
        <w:rPr>
          <w:rFonts w:ascii="KFGQPC Uthmanic Script HAFS" w:cs="KFGQPC Uthmanic Script HAFS" w:hint="cs"/>
          <w:sz w:val="23"/>
          <w:szCs w:val="23"/>
          <w:rtl/>
        </w:rPr>
        <w:t>ٱ</w:t>
      </w:r>
      <w:r w:rsidRPr="00563AE6">
        <w:rPr>
          <w:rFonts w:ascii="KFGQPC Uthmanic Script HAFS" w:cs="KFGQPC Uthmanic Script HAFS" w:hint="eastAsia"/>
          <w:sz w:val="23"/>
          <w:szCs w:val="23"/>
          <w:rtl/>
        </w:rPr>
        <w:t>ع</w:t>
      </w:r>
      <w:r w:rsidRPr="00563AE6">
        <w:rPr>
          <w:rFonts w:ascii="KFGQPC Uthmanic Script HAFS" w:cs="KFGQPC Uthmanic Script HAFS" w:hint="cs"/>
          <w:sz w:val="23"/>
          <w:szCs w:val="23"/>
          <w:rtl/>
        </w:rPr>
        <w:t>ۡ</w:t>
      </w:r>
      <w:r w:rsidRPr="00563AE6">
        <w:rPr>
          <w:rFonts w:ascii="KFGQPC Uthmanic Script HAFS" w:cs="KFGQPC Uthmanic Script HAFS" w:hint="eastAsia"/>
          <w:sz w:val="23"/>
          <w:szCs w:val="23"/>
          <w:rtl/>
        </w:rPr>
        <w:t>لَمُو</w:t>
      </w:r>
      <w:r w:rsidRPr="00563AE6">
        <w:rPr>
          <w:rFonts w:ascii="KFGQPC Uthmanic Script HAFS" w:cs="KFGQPC Uthmanic Script HAFS" w:hint="cs"/>
          <w:sz w:val="23"/>
          <w:szCs w:val="23"/>
          <w:rtl/>
        </w:rPr>
        <w:t>ٓ</w:t>
      </w:r>
      <w:r w:rsidRPr="00563AE6">
        <w:rPr>
          <w:rFonts w:ascii="KFGQPC Uthmanic Script HAFS" w:cs="KFGQPC Uthmanic Script HAFS" w:hint="eastAsia"/>
          <w:sz w:val="23"/>
          <w:szCs w:val="23"/>
          <w:rtl/>
        </w:rPr>
        <w:t>اْ</w:t>
      </w:r>
      <w:r w:rsidRPr="00563AE6">
        <w:rPr>
          <w:rFonts w:ascii="KFGQPC Uthmanic Script HAFS" w:cs="KFGQPC Uthmanic Script HAFS"/>
          <w:sz w:val="23"/>
          <w:szCs w:val="23"/>
          <w:rtl/>
        </w:rPr>
        <w:t xml:space="preserve"> </w:t>
      </w:r>
      <w:r w:rsidRPr="00563AE6">
        <w:rPr>
          <w:rFonts w:ascii="KFGQPC Uthmanic Script HAFS" w:cs="KFGQPC Uthmanic Script HAFS" w:hint="eastAsia"/>
          <w:sz w:val="23"/>
          <w:szCs w:val="23"/>
          <w:rtl/>
        </w:rPr>
        <w:t>أَنَّمَا</w:t>
      </w:r>
      <w:r w:rsidRPr="00563AE6">
        <w:rPr>
          <w:rFonts w:ascii="KFGQPC Uthmanic Script HAFS" w:cs="KFGQPC Uthmanic Script HAFS"/>
          <w:sz w:val="23"/>
          <w:szCs w:val="23"/>
          <w:rtl/>
        </w:rPr>
        <w:t xml:space="preserve"> </w:t>
      </w:r>
      <w:r w:rsidRPr="00563AE6">
        <w:rPr>
          <w:rFonts w:ascii="KFGQPC Uthmanic Script HAFS" w:cs="KFGQPC Uthmanic Script HAFS" w:hint="eastAsia"/>
          <w:sz w:val="23"/>
          <w:szCs w:val="23"/>
          <w:rtl/>
        </w:rPr>
        <w:t>غَنِم</w:t>
      </w:r>
      <w:r w:rsidRPr="00563AE6">
        <w:rPr>
          <w:rFonts w:ascii="KFGQPC Uthmanic Script HAFS" w:cs="KFGQPC Uthmanic Script HAFS" w:hint="cs"/>
          <w:sz w:val="23"/>
          <w:szCs w:val="23"/>
          <w:rtl/>
        </w:rPr>
        <w:t>ۡ</w:t>
      </w:r>
      <w:r w:rsidRPr="00563AE6">
        <w:rPr>
          <w:rFonts w:ascii="KFGQPC Uthmanic Script HAFS" w:cs="KFGQPC Uthmanic Script HAFS" w:hint="eastAsia"/>
          <w:sz w:val="23"/>
          <w:szCs w:val="23"/>
          <w:rtl/>
        </w:rPr>
        <w:t>تُم</w:t>
      </w:r>
      <w:r w:rsidRPr="00563AE6">
        <w:rPr>
          <w:rFonts w:ascii="KFGQPC Uthmanic Script HAFS" w:cs="KFGQPC Uthmanic Script HAFS"/>
          <w:sz w:val="23"/>
          <w:szCs w:val="23"/>
          <w:rtl/>
        </w:rPr>
        <w:t xml:space="preserve"> </w:t>
      </w:r>
      <w:r w:rsidRPr="00563AE6">
        <w:rPr>
          <w:rFonts w:ascii="KFGQPC Uthmanic Script HAFS" w:cs="KFGQPC Uthmanic Script HAFS" w:hint="eastAsia"/>
          <w:sz w:val="23"/>
          <w:szCs w:val="23"/>
          <w:rtl/>
        </w:rPr>
        <w:t>مِّن</w:t>
      </w:r>
      <w:r w:rsidRPr="00563AE6">
        <w:rPr>
          <w:rFonts w:ascii="KFGQPC Uthmanic Script HAFS" w:cs="KFGQPC Uthmanic Script HAFS"/>
          <w:sz w:val="23"/>
          <w:szCs w:val="23"/>
          <w:rtl/>
        </w:rPr>
        <w:t xml:space="preserve"> </w:t>
      </w:r>
      <w:r w:rsidRPr="00563AE6">
        <w:rPr>
          <w:rFonts w:ascii="KFGQPC Uthmanic Script HAFS" w:cs="KFGQPC Uthmanic Script HAFS" w:hint="eastAsia"/>
          <w:sz w:val="23"/>
          <w:szCs w:val="23"/>
          <w:rtl/>
        </w:rPr>
        <w:t>شَي</w:t>
      </w:r>
      <w:r w:rsidRPr="00563AE6">
        <w:rPr>
          <w:rFonts w:ascii="KFGQPC Uthmanic Script HAFS" w:cs="KFGQPC Uthmanic Script HAFS" w:hint="cs"/>
          <w:sz w:val="23"/>
          <w:szCs w:val="23"/>
          <w:rtl/>
        </w:rPr>
        <w:t>ۡ</w:t>
      </w:r>
      <w:r w:rsidRPr="00563AE6">
        <w:rPr>
          <w:rFonts w:ascii="KFGQPC Uthmanic Script HAFS" w:cs="KFGQPC Uthmanic Script HAFS" w:hint="eastAsia"/>
          <w:sz w:val="23"/>
          <w:szCs w:val="23"/>
          <w:rtl/>
        </w:rPr>
        <w:t>ء</w:t>
      </w:r>
      <w:r w:rsidRPr="00563AE6">
        <w:rPr>
          <w:rFonts w:ascii="KFGQPC Uthmanic Script HAFS" w:cs="KFGQPC Uthmanic Script HAFS" w:hint="cs"/>
          <w:sz w:val="23"/>
          <w:szCs w:val="23"/>
          <w:rtl/>
        </w:rPr>
        <w:t>ٖ</w:t>
      </w:r>
      <w:r w:rsidRPr="00563AE6">
        <w:rPr>
          <w:rFonts w:ascii="KFGQPC Uthmanic Script HAFS" w:cs="KFGQPC Uthmanic Script HAFS"/>
          <w:sz w:val="23"/>
          <w:szCs w:val="23"/>
          <w:rtl/>
        </w:rPr>
        <w:t xml:space="preserve"> </w:t>
      </w:r>
      <w:r w:rsidRPr="00563AE6">
        <w:rPr>
          <w:rFonts w:ascii="KFGQPC Uthmanic Script HAFS" w:cs="KFGQPC Uthmanic Script HAFS" w:hint="eastAsia"/>
          <w:sz w:val="23"/>
          <w:szCs w:val="23"/>
          <w:rtl/>
        </w:rPr>
        <w:t>فَأَنَّ</w:t>
      </w:r>
      <w:r w:rsidRPr="00563AE6">
        <w:rPr>
          <w:rFonts w:ascii="KFGQPC Uthmanic Script HAFS" w:cs="KFGQPC Uthmanic Script HAFS"/>
          <w:sz w:val="23"/>
          <w:szCs w:val="23"/>
          <w:rtl/>
        </w:rPr>
        <w:t xml:space="preserve"> </w:t>
      </w:r>
      <w:r w:rsidRPr="00563AE6">
        <w:rPr>
          <w:rFonts w:ascii="KFGQPC Uthmanic Script HAFS" w:cs="KFGQPC Uthmanic Script HAFS" w:hint="eastAsia"/>
          <w:sz w:val="23"/>
          <w:szCs w:val="23"/>
          <w:rtl/>
        </w:rPr>
        <w:t>لِلَّهِ</w:t>
      </w:r>
      <w:r w:rsidRPr="00563AE6">
        <w:rPr>
          <w:rFonts w:ascii="KFGQPC Uthmanic Script HAFS" w:cs="KFGQPC Uthmanic Script HAFS"/>
          <w:sz w:val="23"/>
          <w:szCs w:val="23"/>
          <w:rtl/>
        </w:rPr>
        <w:t xml:space="preserve"> </w:t>
      </w:r>
      <w:r w:rsidRPr="00563AE6">
        <w:rPr>
          <w:rFonts w:ascii="KFGQPC Uthmanic Script HAFS" w:cs="KFGQPC Uthmanic Script HAFS" w:hint="eastAsia"/>
          <w:sz w:val="23"/>
          <w:szCs w:val="23"/>
          <w:rtl/>
        </w:rPr>
        <w:t>خُمُسَهُ</w:t>
      </w:r>
      <w:r w:rsidRPr="00563AE6">
        <w:rPr>
          <w:rFonts w:ascii="KFGQPC Uthmanic Script HAFS" w:cs="KFGQPC Uthmanic Script HAFS" w:hint="cs"/>
          <w:sz w:val="23"/>
          <w:szCs w:val="23"/>
          <w:rtl/>
        </w:rPr>
        <w:t>ۥ</w:t>
      </w:r>
      <w:r w:rsidRPr="00563AE6">
        <w:rPr>
          <w:rFonts w:ascii="KFGQPC Uthmanic Script HAFS" w:cs="KFGQPC Uthmanic Script HAFS"/>
          <w:sz w:val="23"/>
          <w:szCs w:val="23"/>
          <w:rtl/>
        </w:rPr>
        <w:t xml:space="preserve"> </w:t>
      </w:r>
      <w:r w:rsidRPr="00563AE6">
        <w:rPr>
          <w:rFonts w:ascii="KFGQPC Uthmanic Script HAFS" w:cs="KFGQPC Uthmanic Script HAFS" w:hint="eastAsia"/>
          <w:sz w:val="23"/>
          <w:szCs w:val="23"/>
          <w:rtl/>
        </w:rPr>
        <w:t>وَلِلرَّسُولِ</w:t>
      </w:r>
      <w:r w:rsidRPr="00563AE6">
        <w:rPr>
          <w:rFonts w:ascii="KFGQPC Uthmanic Script HAFS" w:cs="KFGQPC Uthmanic Script HAFS"/>
          <w:sz w:val="23"/>
          <w:szCs w:val="23"/>
          <w:rtl/>
        </w:rPr>
        <w:t xml:space="preserve"> </w:t>
      </w:r>
      <w:r w:rsidRPr="00563AE6">
        <w:rPr>
          <w:rFonts w:ascii="KFGQPC Uthmanic Script HAFS" w:cs="KFGQPC Uthmanic Script HAFS" w:hint="eastAsia"/>
          <w:sz w:val="23"/>
          <w:szCs w:val="23"/>
          <w:rtl/>
        </w:rPr>
        <w:t>وَلِذِي</w:t>
      </w:r>
      <w:r w:rsidRPr="00563AE6">
        <w:rPr>
          <w:rFonts w:ascii="KFGQPC Uthmanic Script HAFS" w:cs="KFGQPC Uthmanic Script HAFS"/>
          <w:sz w:val="23"/>
          <w:szCs w:val="23"/>
          <w:rtl/>
        </w:rPr>
        <w:t xml:space="preserve"> </w:t>
      </w:r>
      <w:r w:rsidRPr="00563AE6">
        <w:rPr>
          <w:rFonts w:ascii="KFGQPC Uthmanic Script HAFS" w:cs="KFGQPC Uthmanic Script HAFS" w:hint="cs"/>
          <w:sz w:val="23"/>
          <w:szCs w:val="23"/>
          <w:rtl/>
        </w:rPr>
        <w:t>ٱ</w:t>
      </w:r>
      <w:r w:rsidRPr="00563AE6">
        <w:rPr>
          <w:rFonts w:ascii="KFGQPC Uthmanic Script HAFS" w:cs="KFGQPC Uthmanic Script HAFS" w:hint="eastAsia"/>
          <w:sz w:val="23"/>
          <w:szCs w:val="23"/>
          <w:rtl/>
        </w:rPr>
        <w:t>ل</w:t>
      </w:r>
      <w:r w:rsidRPr="00563AE6">
        <w:rPr>
          <w:rFonts w:ascii="KFGQPC Uthmanic Script HAFS" w:cs="KFGQPC Uthmanic Script HAFS" w:hint="cs"/>
          <w:sz w:val="23"/>
          <w:szCs w:val="23"/>
          <w:rtl/>
        </w:rPr>
        <w:t>ۡ</w:t>
      </w:r>
      <w:r w:rsidRPr="00563AE6">
        <w:rPr>
          <w:rFonts w:ascii="KFGQPC Uthmanic Script HAFS" w:cs="KFGQPC Uthmanic Script HAFS" w:hint="eastAsia"/>
          <w:sz w:val="23"/>
          <w:szCs w:val="23"/>
          <w:rtl/>
        </w:rPr>
        <w:t>قُر</w:t>
      </w:r>
      <w:r w:rsidRPr="00563AE6">
        <w:rPr>
          <w:rFonts w:ascii="KFGQPC Uthmanic Script HAFS" w:cs="KFGQPC Uthmanic Script HAFS" w:hint="cs"/>
          <w:sz w:val="23"/>
          <w:szCs w:val="23"/>
          <w:rtl/>
        </w:rPr>
        <w:t>ۡ</w:t>
      </w:r>
      <w:r w:rsidRPr="00563AE6">
        <w:rPr>
          <w:rFonts w:ascii="KFGQPC Uthmanic Script HAFS" w:cs="KFGQPC Uthmanic Script HAFS" w:hint="eastAsia"/>
          <w:sz w:val="23"/>
          <w:szCs w:val="23"/>
          <w:rtl/>
        </w:rPr>
        <w:t>بَى</w:t>
      </w:r>
      <w:r w:rsidRPr="00563AE6">
        <w:rPr>
          <w:rFonts w:ascii="KFGQPC Uthmanic Script HAFS" w:cs="KFGQPC Uthmanic Script HAFS" w:hint="cs"/>
          <w:sz w:val="23"/>
          <w:szCs w:val="23"/>
          <w:rtl/>
        </w:rPr>
        <w:t>ٰ</w:t>
      </w:r>
      <w:r w:rsidRPr="00563AE6">
        <w:rPr>
          <w:rFonts w:ascii="KFGQPC Uthmanic Script HAFS" w:cs="Times New Roman" w:hint="cs"/>
          <w:sz w:val="23"/>
          <w:szCs w:val="23"/>
          <w:rtl/>
        </w:rPr>
        <w:t>...</w:t>
      </w:r>
      <w:r w:rsidRPr="00563AE6">
        <w:rPr>
          <w:rFonts w:cs="Traditional Arabic" w:hint="cs"/>
          <w:sz w:val="23"/>
          <w:szCs w:val="23"/>
          <w:rtl/>
        </w:rPr>
        <w:t>﴾</w:t>
      </w:r>
      <w:r w:rsidRPr="00563AE6">
        <w:rPr>
          <w:rFonts w:cs="mylotus"/>
          <w:sz w:val="23"/>
          <w:szCs w:val="23"/>
          <w:rtl/>
        </w:rPr>
        <w:t xml:space="preserve"> فَقَالَ أَبُو عَبْدِ اللهِ </w:t>
      </w:r>
      <w:r w:rsidRPr="00BC4BA9">
        <w:rPr>
          <w:rFonts w:cs="CTraditional Arabic" w:hint="cs"/>
          <w:sz w:val="23"/>
          <w:szCs w:val="23"/>
          <w:rtl/>
        </w:rPr>
        <w:t>÷</w:t>
      </w:r>
      <w:r w:rsidRPr="00563AE6">
        <w:rPr>
          <w:rFonts w:cs="mylotus"/>
          <w:sz w:val="23"/>
          <w:szCs w:val="23"/>
          <w:rtl/>
        </w:rPr>
        <w:t xml:space="preserve"> بِمِرْفَقَيْهِ عَلَى رُكْبَتَيْهِ ثُمَّ أَشَارَ بِيَدِهِ ثُمَّ قَالَ</w:t>
      </w:r>
      <w:r w:rsidRPr="00563AE6">
        <w:rPr>
          <w:rFonts w:cs="mylotus" w:hint="cs"/>
          <w:sz w:val="23"/>
          <w:szCs w:val="23"/>
          <w:rtl/>
        </w:rPr>
        <w:t>:</w:t>
      </w:r>
      <w:r w:rsidRPr="00563AE6">
        <w:rPr>
          <w:rFonts w:cs="mylotus"/>
          <w:sz w:val="23"/>
          <w:szCs w:val="23"/>
          <w:rtl/>
        </w:rPr>
        <w:t xml:space="preserve"> هِيَ </w:t>
      </w:r>
      <w:r w:rsidRPr="00563AE6">
        <w:rPr>
          <w:rFonts w:cs="mylotus" w:hint="cs"/>
          <w:sz w:val="23"/>
          <w:szCs w:val="23"/>
          <w:rtl/>
        </w:rPr>
        <w:t>وَاللهِ</w:t>
      </w:r>
      <w:r w:rsidRPr="00563AE6">
        <w:rPr>
          <w:rFonts w:cs="mylotus"/>
          <w:sz w:val="23"/>
          <w:szCs w:val="23"/>
          <w:rtl/>
        </w:rPr>
        <w:t xml:space="preserve"> الْإِفَادَةُ يَوْماً بِيَوْمٍ إِلَّا أَنَّ أَبِي جَعَلَ شِيعَتَهُ فِي حِلٍّ لِيَزْكُوا</w:t>
      </w:r>
      <w:r w:rsidRPr="00563AE6">
        <w:rPr>
          <w:rFonts w:cs="mylotus" w:hint="cs"/>
          <w:sz w:val="23"/>
          <w:szCs w:val="23"/>
          <w:rtl/>
        </w:rPr>
        <w:t>». فقال: «</w:t>
      </w:r>
      <w:r w:rsidRPr="00563AE6">
        <w:rPr>
          <w:rFonts w:cs="mylotus" w:hint="eastAsia"/>
          <w:sz w:val="23"/>
          <w:szCs w:val="23"/>
          <w:rtl/>
        </w:rPr>
        <w:t>الظاهر</w:t>
      </w:r>
      <w:r w:rsidRPr="00563AE6">
        <w:rPr>
          <w:rFonts w:cs="mylotus"/>
          <w:sz w:val="23"/>
          <w:szCs w:val="23"/>
          <w:rtl/>
        </w:rPr>
        <w:t xml:space="preserve"> </w:t>
      </w:r>
      <w:r w:rsidRPr="00563AE6">
        <w:rPr>
          <w:rFonts w:cs="mylotus" w:hint="eastAsia"/>
          <w:sz w:val="23"/>
          <w:szCs w:val="23"/>
          <w:rtl/>
        </w:rPr>
        <w:t>أن</w:t>
      </w:r>
      <w:r w:rsidRPr="00563AE6">
        <w:rPr>
          <w:rFonts w:cs="mylotus"/>
          <w:sz w:val="23"/>
          <w:szCs w:val="23"/>
          <w:rtl/>
        </w:rPr>
        <w:t xml:space="preserve"> </w:t>
      </w:r>
      <w:r w:rsidRPr="00563AE6">
        <w:rPr>
          <w:rFonts w:cs="mylotus" w:hint="eastAsia"/>
          <w:sz w:val="23"/>
          <w:szCs w:val="23"/>
          <w:rtl/>
        </w:rPr>
        <w:t>لا</w:t>
      </w:r>
      <w:r w:rsidRPr="00563AE6">
        <w:rPr>
          <w:rFonts w:cs="mylotus"/>
          <w:sz w:val="23"/>
          <w:szCs w:val="23"/>
          <w:rtl/>
        </w:rPr>
        <w:t xml:space="preserve"> </w:t>
      </w:r>
      <w:r w:rsidRPr="00563AE6">
        <w:rPr>
          <w:rFonts w:cs="mylotus" w:hint="eastAsia"/>
          <w:sz w:val="23"/>
          <w:szCs w:val="23"/>
          <w:rtl/>
        </w:rPr>
        <w:t>قائل</w:t>
      </w:r>
      <w:r w:rsidRPr="00563AE6">
        <w:rPr>
          <w:rFonts w:cs="mylotus"/>
          <w:sz w:val="23"/>
          <w:szCs w:val="23"/>
          <w:rtl/>
        </w:rPr>
        <w:t xml:space="preserve"> </w:t>
      </w:r>
      <w:r w:rsidRPr="00563AE6">
        <w:rPr>
          <w:rFonts w:cs="mylotus" w:hint="eastAsia"/>
          <w:sz w:val="23"/>
          <w:szCs w:val="23"/>
          <w:rtl/>
        </w:rPr>
        <w:t>به،</w:t>
      </w:r>
      <w:r w:rsidRPr="00563AE6">
        <w:rPr>
          <w:rFonts w:cs="mylotus"/>
          <w:sz w:val="23"/>
          <w:szCs w:val="23"/>
          <w:rtl/>
        </w:rPr>
        <w:t xml:space="preserve"> </w:t>
      </w:r>
      <w:r w:rsidRPr="00563AE6">
        <w:rPr>
          <w:rFonts w:cs="mylotus" w:hint="eastAsia"/>
          <w:sz w:val="23"/>
          <w:szCs w:val="23"/>
          <w:rtl/>
        </w:rPr>
        <w:t>ف</w:t>
      </w:r>
      <w:r w:rsidRPr="00563AE6">
        <w:rPr>
          <w:rFonts w:cs="mylotus" w:hint="cs"/>
          <w:sz w:val="23"/>
          <w:szCs w:val="23"/>
          <w:rtl/>
        </w:rPr>
        <w:t>إ</w:t>
      </w:r>
      <w:r w:rsidRPr="00563AE6">
        <w:rPr>
          <w:rFonts w:cs="mylotus" w:hint="eastAsia"/>
          <w:sz w:val="23"/>
          <w:szCs w:val="23"/>
          <w:rtl/>
        </w:rPr>
        <w:t>ن</w:t>
      </w:r>
      <w:r w:rsidRPr="00563AE6">
        <w:rPr>
          <w:rFonts w:cs="mylotus" w:hint="cs"/>
          <w:sz w:val="23"/>
          <w:szCs w:val="23"/>
          <w:rtl/>
        </w:rPr>
        <w:t>َّ</w:t>
      </w:r>
      <w:r w:rsidRPr="00563AE6">
        <w:rPr>
          <w:rFonts w:cs="mylotus"/>
          <w:sz w:val="23"/>
          <w:szCs w:val="23"/>
          <w:rtl/>
        </w:rPr>
        <w:t xml:space="preserve"> </w:t>
      </w:r>
      <w:r w:rsidRPr="00563AE6">
        <w:rPr>
          <w:rFonts w:cs="mylotus" w:hint="eastAsia"/>
          <w:sz w:val="23"/>
          <w:szCs w:val="23"/>
          <w:rtl/>
        </w:rPr>
        <w:t>بعض</w:t>
      </w:r>
      <w:r w:rsidRPr="00563AE6">
        <w:rPr>
          <w:rFonts w:cs="mylotus"/>
          <w:sz w:val="23"/>
          <w:szCs w:val="23"/>
          <w:rtl/>
        </w:rPr>
        <w:t xml:space="preserve"> </w:t>
      </w:r>
      <w:r w:rsidRPr="00563AE6">
        <w:rPr>
          <w:rFonts w:cs="mylotus" w:hint="eastAsia"/>
          <w:sz w:val="23"/>
          <w:szCs w:val="23"/>
          <w:rtl/>
        </w:rPr>
        <w:t>العلماء</w:t>
      </w:r>
      <w:r w:rsidRPr="00563AE6">
        <w:rPr>
          <w:rFonts w:cs="mylotus"/>
          <w:sz w:val="23"/>
          <w:szCs w:val="23"/>
          <w:rtl/>
        </w:rPr>
        <w:t xml:space="preserve"> </w:t>
      </w:r>
      <w:r w:rsidRPr="00563AE6">
        <w:rPr>
          <w:rFonts w:cs="mylotus" w:hint="eastAsia"/>
          <w:sz w:val="23"/>
          <w:szCs w:val="23"/>
          <w:rtl/>
        </w:rPr>
        <w:t>يجعلونه</w:t>
      </w:r>
      <w:r w:rsidRPr="00563AE6">
        <w:rPr>
          <w:rFonts w:cs="mylotus"/>
          <w:sz w:val="23"/>
          <w:szCs w:val="23"/>
          <w:rtl/>
        </w:rPr>
        <w:t xml:space="preserve"> </w:t>
      </w:r>
      <w:r w:rsidRPr="00563AE6">
        <w:rPr>
          <w:rFonts w:cs="mylotus" w:hint="eastAsia"/>
          <w:sz w:val="23"/>
          <w:szCs w:val="23"/>
          <w:rtl/>
        </w:rPr>
        <w:t>مخصوصا</w:t>
      </w:r>
      <w:r w:rsidRPr="00563AE6">
        <w:rPr>
          <w:rFonts w:cs="mylotus" w:hint="cs"/>
          <w:sz w:val="23"/>
          <w:szCs w:val="23"/>
          <w:rtl/>
        </w:rPr>
        <w:t>ً</w:t>
      </w:r>
      <w:r w:rsidRPr="00563AE6">
        <w:rPr>
          <w:rFonts w:cs="mylotus"/>
          <w:sz w:val="23"/>
          <w:szCs w:val="23"/>
          <w:rtl/>
        </w:rPr>
        <w:t xml:space="preserve"> </w:t>
      </w:r>
      <w:r w:rsidRPr="00563AE6">
        <w:rPr>
          <w:rFonts w:cs="mylotus" w:hint="eastAsia"/>
          <w:sz w:val="23"/>
          <w:szCs w:val="23"/>
          <w:rtl/>
        </w:rPr>
        <w:t>بغنائم</w:t>
      </w:r>
      <w:r w:rsidRPr="00563AE6">
        <w:rPr>
          <w:rFonts w:cs="mylotus"/>
          <w:sz w:val="23"/>
          <w:szCs w:val="23"/>
          <w:rtl/>
        </w:rPr>
        <w:t xml:space="preserve"> </w:t>
      </w:r>
      <w:r w:rsidRPr="00563AE6">
        <w:rPr>
          <w:rFonts w:cs="mylotus" w:hint="eastAsia"/>
          <w:sz w:val="23"/>
          <w:szCs w:val="23"/>
          <w:rtl/>
        </w:rPr>
        <w:t>دار</w:t>
      </w:r>
      <w:r w:rsidRPr="00563AE6">
        <w:rPr>
          <w:rFonts w:cs="mylotus"/>
          <w:sz w:val="23"/>
          <w:szCs w:val="23"/>
          <w:rtl/>
        </w:rPr>
        <w:t xml:space="preserve"> </w:t>
      </w:r>
      <w:r w:rsidRPr="00563AE6">
        <w:rPr>
          <w:rFonts w:cs="mylotus" w:hint="eastAsia"/>
          <w:sz w:val="23"/>
          <w:szCs w:val="23"/>
          <w:rtl/>
        </w:rPr>
        <w:t>الحرب</w:t>
      </w:r>
      <w:r w:rsidRPr="00563AE6">
        <w:rPr>
          <w:rFonts w:cs="mylotus"/>
          <w:sz w:val="23"/>
          <w:szCs w:val="23"/>
          <w:rtl/>
        </w:rPr>
        <w:t xml:space="preserve"> </w:t>
      </w:r>
      <w:r w:rsidRPr="00563AE6">
        <w:rPr>
          <w:rFonts w:cs="mylotus" w:hint="eastAsia"/>
          <w:sz w:val="23"/>
          <w:szCs w:val="23"/>
          <w:rtl/>
        </w:rPr>
        <w:t>كما</w:t>
      </w:r>
      <w:r w:rsidRPr="00563AE6">
        <w:rPr>
          <w:rFonts w:cs="mylotus"/>
          <w:sz w:val="23"/>
          <w:szCs w:val="23"/>
          <w:rtl/>
        </w:rPr>
        <w:t xml:space="preserve"> </w:t>
      </w:r>
      <w:r w:rsidRPr="00563AE6">
        <w:rPr>
          <w:rFonts w:cs="mylotus" w:hint="eastAsia"/>
          <w:sz w:val="23"/>
          <w:szCs w:val="23"/>
          <w:rtl/>
        </w:rPr>
        <w:t>عرفت</w:t>
      </w:r>
      <w:r w:rsidRPr="00563AE6">
        <w:rPr>
          <w:rFonts w:cs="mylotus" w:hint="cs"/>
          <w:sz w:val="23"/>
          <w:szCs w:val="23"/>
          <w:rtl/>
        </w:rPr>
        <w:t>».</w:t>
      </w:r>
    </w:p>
    <w:p w:rsidR="00B31118" w:rsidRPr="00563AE6" w:rsidRDefault="00B31118" w:rsidP="00B300C9">
      <w:pPr>
        <w:pStyle w:val="FootnoteText"/>
        <w:spacing w:line="228" w:lineRule="auto"/>
        <w:ind w:left="378"/>
        <w:jc w:val="both"/>
        <w:rPr>
          <w:rFonts w:cs="mylotus" w:hint="cs"/>
          <w:sz w:val="23"/>
          <w:szCs w:val="23"/>
          <w:rtl/>
        </w:rPr>
      </w:pPr>
      <w:r w:rsidRPr="00563AE6">
        <w:rPr>
          <w:rFonts w:cs="mylotus" w:hint="cs"/>
          <w:sz w:val="23"/>
          <w:szCs w:val="23"/>
          <w:rtl/>
        </w:rPr>
        <w:t>وكتب المرحوم الأردبيلي ذاته بشأن القول بشمول الخمس لجميع الأشياء : «</w:t>
      </w:r>
      <w:r w:rsidRPr="00563AE6">
        <w:rPr>
          <w:rFonts w:cs="mylotus"/>
          <w:sz w:val="23"/>
          <w:szCs w:val="23"/>
          <w:rtl/>
        </w:rPr>
        <w:t>وأنه تكليف شاق، وإلزام شخص ب</w:t>
      </w:r>
      <w:r w:rsidRPr="00563AE6">
        <w:rPr>
          <w:rFonts w:cs="mylotus" w:hint="cs"/>
          <w:sz w:val="23"/>
          <w:szCs w:val="23"/>
          <w:rtl/>
        </w:rPr>
        <w:t>إ</w:t>
      </w:r>
      <w:r w:rsidRPr="00563AE6">
        <w:rPr>
          <w:rFonts w:cs="mylotus"/>
          <w:sz w:val="23"/>
          <w:szCs w:val="23"/>
          <w:rtl/>
        </w:rPr>
        <w:t>خراج خمس جميع ما يملكه بمثله مشكل، و</w:t>
      </w:r>
      <w:r w:rsidRPr="00563AE6">
        <w:rPr>
          <w:rFonts w:cs="mylotus" w:hint="cs"/>
          <w:sz w:val="23"/>
          <w:szCs w:val="23"/>
          <w:rtl/>
        </w:rPr>
        <w:t>الأصل</w:t>
      </w:r>
      <w:r w:rsidRPr="00563AE6">
        <w:rPr>
          <w:rFonts w:cs="mylotus"/>
          <w:sz w:val="23"/>
          <w:szCs w:val="23"/>
          <w:rtl/>
        </w:rPr>
        <w:t xml:space="preserve"> والشريعة السهلة السمحة ينفيانه، والرواية غير صحيحة وفي صراحتها تأمل</w:t>
      </w:r>
      <w:r w:rsidRPr="00563AE6">
        <w:rPr>
          <w:rFonts w:cs="mylotus" w:hint="cs"/>
          <w:sz w:val="23"/>
          <w:szCs w:val="23"/>
          <w:rtl/>
        </w:rPr>
        <w:t xml:space="preserve">». </w:t>
      </w:r>
    </w:p>
    <w:p w:rsidR="00B31118" w:rsidRPr="00563AE6" w:rsidRDefault="00B31118" w:rsidP="00B300C9">
      <w:pPr>
        <w:pStyle w:val="FootnoteText"/>
        <w:spacing w:line="228" w:lineRule="auto"/>
        <w:ind w:left="378"/>
        <w:jc w:val="both"/>
        <w:rPr>
          <w:rFonts w:cs="mylotus" w:hint="cs"/>
          <w:sz w:val="23"/>
          <w:szCs w:val="23"/>
          <w:rtl/>
        </w:rPr>
      </w:pPr>
      <w:r w:rsidRPr="00563AE6">
        <w:rPr>
          <w:rFonts w:cs="mylotus" w:hint="cs"/>
          <w:sz w:val="23"/>
          <w:szCs w:val="23"/>
          <w:rtl/>
        </w:rPr>
        <w:t xml:space="preserve">وقال المرحوم المحقق السبزواري في كتابه </w:t>
      </w:r>
      <w:r w:rsidRPr="00563AE6">
        <w:rPr>
          <w:rFonts w:cs="mylotus" w:hint="eastAsia"/>
          <w:sz w:val="23"/>
          <w:szCs w:val="23"/>
          <w:rtl/>
        </w:rPr>
        <w:t>ذخيرة المعاد</w:t>
      </w:r>
      <w:r w:rsidRPr="00563AE6">
        <w:rPr>
          <w:rFonts w:cs="mylotus" w:hint="cs"/>
          <w:sz w:val="23"/>
          <w:szCs w:val="23"/>
          <w:rtl/>
        </w:rPr>
        <w:t xml:space="preserve">: «احتج الموجبون بقوله تعالى: </w:t>
      </w:r>
      <w:r w:rsidRPr="00563AE6">
        <w:rPr>
          <w:rFonts w:cs="Traditional Arabic" w:hint="cs"/>
          <w:sz w:val="23"/>
          <w:szCs w:val="23"/>
          <w:rtl/>
        </w:rPr>
        <w:t>﴿</w:t>
      </w:r>
      <w:r w:rsidRPr="00563AE6">
        <w:rPr>
          <w:rFonts w:ascii="KFGQPC Uthmanic Script HAFS" w:cs="KFGQPC Uthmanic Script HAFS" w:hint="eastAsia"/>
          <w:sz w:val="23"/>
          <w:szCs w:val="23"/>
          <w:rtl/>
        </w:rPr>
        <w:t>وَ</w:t>
      </w:r>
      <w:r w:rsidRPr="00563AE6">
        <w:rPr>
          <w:rFonts w:ascii="KFGQPC Uthmanic Script HAFS" w:cs="KFGQPC Uthmanic Script HAFS" w:hint="cs"/>
          <w:sz w:val="23"/>
          <w:szCs w:val="23"/>
          <w:rtl/>
        </w:rPr>
        <w:t>ٱ</w:t>
      </w:r>
      <w:r w:rsidRPr="00563AE6">
        <w:rPr>
          <w:rFonts w:ascii="KFGQPC Uthmanic Script HAFS" w:cs="KFGQPC Uthmanic Script HAFS" w:hint="eastAsia"/>
          <w:sz w:val="23"/>
          <w:szCs w:val="23"/>
          <w:rtl/>
        </w:rPr>
        <w:t>ع</w:t>
      </w:r>
      <w:r w:rsidRPr="00563AE6">
        <w:rPr>
          <w:rFonts w:ascii="KFGQPC Uthmanic Script HAFS" w:cs="KFGQPC Uthmanic Script HAFS" w:hint="cs"/>
          <w:sz w:val="23"/>
          <w:szCs w:val="23"/>
          <w:rtl/>
        </w:rPr>
        <w:t>ۡ</w:t>
      </w:r>
      <w:r w:rsidRPr="00563AE6">
        <w:rPr>
          <w:rFonts w:ascii="KFGQPC Uthmanic Script HAFS" w:cs="KFGQPC Uthmanic Script HAFS" w:hint="eastAsia"/>
          <w:sz w:val="23"/>
          <w:szCs w:val="23"/>
          <w:rtl/>
        </w:rPr>
        <w:t>لَمُو</w:t>
      </w:r>
      <w:r w:rsidRPr="00563AE6">
        <w:rPr>
          <w:rFonts w:ascii="KFGQPC Uthmanic Script HAFS" w:cs="KFGQPC Uthmanic Script HAFS" w:hint="cs"/>
          <w:sz w:val="23"/>
          <w:szCs w:val="23"/>
          <w:rtl/>
        </w:rPr>
        <w:t>ٓ</w:t>
      </w:r>
      <w:r w:rsidRPr="00563AE6">
        <w:rPr>
          <w:rFonts w:ascii="KFGQPC Uthmanic Script HAFS" w:cs="KFGQPC Uthmanic Script HAFS" w:hint="eastAsia"/>
          <w:sz w:val="23"/>
          <w:szCs w:val="23"/>
          <w:rtl/>
        </w:rPr>
        <w:t>اْ</w:t>
      </w:r>
      <w:r w:rsidRPr="00563AE6">
        <w:rPr>
          <w:rFonts w:ascii="KFGQPC Uthmanic Script HAFS" w:cs="KFGQPC Uthmanic Script HAFS"/>
          <w:sz w:val="23"/>
          <w:szCs w:val="23"/>
          <w:rtl/>
        </w:rPr>
        <w:t xml:space="preserve"> </w:t>
      </w:r>
      <w:r w:rsidRPr="00563AE6">
        <w:rPr>
          <w:rFonts w:ascii="KFGQPC Uthmanic Script HAFS" w:cs="KFGQPC Uthmanic Script HAFS" w:hint="eastAsia"/>
          <w:sz w:val="23"/>
          <w:szCs w:val="23"/>
          <w:rtl/>
        </w:rPr>
        <w:t>أَنَّمَا</w:t>
      </w:r>
      <w:r w:rsidRPr="00563AE6">
        <w:rPr>
          <w:rFonts w:ascii="KFGQPC Uthmanic Script HAFS" w:cs="KFGQPC Uthmanic Script HAFS"/>
          <w:sz w:val="23"/>
          <w:szCs w:val="23"/>
          <w:rtl/>
        </w:rPr>
        <w:t xml:space="preserve"> </w:t>
      </w:r>
      <w:r w:rsidRPr="00563AE6">
        <w:rPr>
          <w:rFonts w:ascii="KFGQPC Uthmanic Script HAFS" w:cs="KFGQPC Uthmanic Script HAFS" w:hint="eastAsia"/>
          <w:sz w:val="23"/>
          <w:szCs w:val="23"/>
          <w:rtl/>
        </w:rPr>
        <w:t>غَنِم</w:t>
      </w:r>
      <w:r w:rsidRPr="00563AE6">
        <w:rPr>
          <w:rFonts w:ascii="KFGQPC Uthmanic Script HAFS" w:cs="KFGQPC Uthmanic Script HAFS" w:hint="cs"/>
          <w:sz w:val="23"/>
          <w:szCs w:val="23"/>
          <w:rtl/>
        </w:rPr>
        <w:t>ۡ</w:t>
      </w:r>
      <w:r w:rsidRPr="00563AE6">
        <w:rPr>
          <w:rFonts w:ascii="KFGQPC Uthmanic Script HAFS" w:cs="KFGQPC Uthmanic Script HAFS" w:hint="eastAsia"/>
          <w:sz w:val="23"/>
          <w:szCs w:val="23"/>
          <w:rtl/>
        </w:rPr>
        <w:t>تُم</w:t>
      </w:r>
      <w:r w:rsidRPr="00563AE6">
        <w:rPr>
          <w:rFonts w:ascii="KFGQPC Uthmanic Script HAFS" w:cs="KFGQPC Uthmanic Script HAFS"/>
          <w:sz w:val="23"/>
          <w:szCs w:val="23"/>
          <w:rtl/>
        </w:rPr>
        <w:t xml:space="preserve"> </w:t>
      </w:r>
      <w:r w:rsidRPr="00563AE6">
        <w:rPr>
          <w:rFonts w:ascii="KFGQPC Uthmanic Script HAFS" w:cs="KFGQPC Uthmanic Script HAFS" w:hint="eastAsia"/>
          <w:sz w:val="23"/>
          <w:szCs w:val="23"/>
          <w:rtl/>
        </w:rPr>
        <w:t>مِّن</w:t>
      </w:r>
      <w:r w:rsidRPr="00563AE6">
        <w:rPr>
          <w:rFonts w:ascii="KFGQPC Uthmanic Script HAFS" w:cs="KFGQPC Uthmanic Script HAFS"/>
          <w:sz w:val="23"/>
          <w:szCs w:val="23"/>
          <w:rtl/>
        </w:rPr>
        <w:t xml:space="preserve"> </w:t>
      </w:r>
      <w:r w:rsidRPr="00563AE6">
        <w:rPr>
          <w:rFonts w:ascii="KFGQPC Uthmanic Script HAFS" w:cs="KFGQPC Uthmanic Script HAFS" w:hint="eastAsia"/>
          <w:sz w:val="23"/>
          <w:szCs w:val="23"/>
          <w:rtl/>
        </w:rPr>
        <w:t>شَي</w:t>
      </w:r>
      <w:r w:rsidRPr="00563AE6">
        <w:rPr>
          <w:rFonts w:ascii="KFGQPC Uthmanic Script HAFS" w:cs="KFGQPC Uthmanic Script HAFS" w:hint="cs"/>
          <w:sz w:val="23"/>
          <w:szCs w:val="23"/>
          <w:rtl/>
        </w:rPr>
        <w:t>ۡ</w:t>
      </w:r>
      <w:r w:rsidRPr="00563AE6">
        <w:rPr>
          <w:rFonts w:ascii="KFGQPC Uthmanic Script HAFS" w:cs="KFGQPC Uthmanic Script HAFS" w:hint="eastAsia"/>
          <w:sz w:val="23"/>
          <w:szCs w:val="23"/>
          <w:rtl/>
        </w:rPr>
        <w:t>ء</w:t>
      </w:r>
      <w:r w:rsidRPr="00563AE6">
        <w:rPr>
          <w:rFonts w:ascii="KFGQPC Uthmanic Script HAFS" w:cs="KFGQPC Uthmanic Script HAFS" w:hint="cs"/>
          <w:sz w:val="23"/>
          <w:szCs w:val="23"/>
          <w:rtl/>
        </w:rPr>
        <w:t>ٖ</w:t>
      </w:r>
      <w:r w:rsidRPr="00563AE6">
        <w:rPr>
          <w:rFonts w:ascii="KFGQPC Uthmanic Script HAFS" w:cs="KFGQPC Uthmanic Script HAFS"/>
          <w:sz w:val="23"/>
          <w:szCs w:val="23"/>
          <w:rtl/>
        </w:rPr>
        <w:t xml:space="preserve"> </w:t>
      </w:r>
      <w:r w:rsidRPr="00563AE6">
        <w:rPr>
          <w:rFonts w:ascii="KFGQPC Uthmanic Script HAFS" w:cs="KFGQPC Uthmanic Script HAFS" w:hint="eastAsia"/>
          <w:sz w:val="23"/>
          <w:szCs w:val="23"/>
          <w:rtl/>
        </w:rPr>
        <w:t>فَأَنَّ</w:t>
      </w:r>
      <w:r w:rsidRPr="00563AE6">
        <w:rPr>
          <w:rFonts w:ascii="KFGQPC Uthmanic Script HAFS" w:cs="KFGQPC Uthmanic Script HAFS"/>
          <w:sz w:val="23"/>
          <w:szCs w:val="23"/>
          <w:rtl/>
        </w:rPr>
        <w:t xml:space="preserve"> </w:t>
      </w:r>
      <w:r w:rsidRPr="00563AE6">
        <w:rPr>
          <w:rFonts w:ascii="KFGQPC Uthmanic Script HAFS" w:cs="KFGQPC Uthmanic Script HAFS" w:hint="cs"/>
          <w:sz w:val="23"/>
          <w:szCs w:val="23"/>
          <w:rtl/>
          <w:lang w:bidi="ar-SY"/>
        </w:rPr>
        <w:t>لِـلَّه</w:t>
      </w:r>
      <w:r w:rsidRPr="00563AE6">
        <w:rPr>
          <w:rFonts w:ascii="KFGQPC Uthmanic Script HAFS" w:cs="KFGQPC Uthmanic Script HAFS"/>
          <w:sz w:val="23"/>
          <w:szCs w:val="23"/>
          <w:rtl/>
        </w:rPr>
        <w:t xml:space="preserve"> </w:t>
      </w:r>
      <w:r w:rsidRPr="00563AE6">
        <w:rPr>
          <w:rFonts w:ascii="KFGQPC Uthmanic Script HAFS" w:cs="KFGQPC Uthmanic Script HAFS" w:hint="eastAsia"/>
          <w:sz w:val="23"/>
          <w:szCs w:val="23"/>
          <w:rtl/>
        </w:rPr>
        <w:t>خُمُسَهُ</w:t>
      </w:r>
      <w:r w:rsidRPr="00563AE6">
        <w:rPr>
          <w:rFonts w:ascii="KFGQPC Uthmanic Script HAFS" w:cs="KFGQPC Uthmanic Script HAFS" w:hint="cs"/>
          <w:sz w:val="23"/>
          <w:szCs w:val="23"/>
          <w:rtl/>
        </w:rPr>
        <w:t>ۥ</w:t>
      </w:r>
      <w:r w:rsidRPr="00563AE6">
        <w:rPr>
          <w:rFonts w:ascii="KFGQPC Uthmanic Script HAFS" w:cs="KFGQPC Uthmanic Script HAFS"/>
          <w:sz w:val="23"/>
          <w:szCs w:val="23"/>
          <w:rtl/>
        </w:rPr>
        <w:t xml:space="preserve"> </w:t>
      </w:r>
      <w:r w:rsidRPr="00563AE6">
        <w:rPr>
          <w:rFonts w:ascii="KFGQPC Uthmanic Script HAFS" w:cs="KFGQPC Uthmanic Script HAFS" w:hint="eastAsia"/>
          <w:sz w:val="23"/>
          <w:szCs w:val="23"/>
          <w:rtl/>
        </w:rPr>
        <w:t>وَلِلرَّسُولِ</w:t>
      </w:r>
      <w:r w:rsidRPr="00563AE6">
        <w:rPr>
          <w:rFonts w:ascii="KFGQPC Uthmanic Script HAFS" w:cs="KFGQPC Uthmanic Script HAFS"/>
          <w:sz w:val="23"/>
          <w:szCs w:val="23"/>
          <w:rtl/>
        </w:rPr>
        <w:t xml:space="preserve"> </w:t>
      </w:r>
      <w:r w:rsidRPr="00563AE6">
        <w:rPr>
          <w:rFonts w:ascii="KFGQPC Uthmanic Script HAFS" w:cs="KFGQPC Uthmanic Script HAFS" w:hint="eastAsia"/>
          <w:sz w:val="23"/>
          <w:szCs w:val="23"/>
          <w:rtl/>
        </w:rPr>
        <w:t>وَلِذِي</w:t>
      </w:r>
      <w:r w:rsidRPr="00563AE6">
        <w:rPr>
          <w:rFonts w:ascii="KFGQPC Uthmanic Script HAFS" w:cs="KFGQPC Uthmanic Script HAFS"/>
          <w:sz w:val="23"/>
          <w:szCs w:val="23"/>
          <w:rtl/>
        </w:rPr>
        <w:t xml:space="preserve"> </w:t>
      </w:r>
      <w:r w:rsidRPr="00563AE6">
        <w:rPr>
          <w:rFonts w:ascii="KFGQPC Uthmanic Script HAFS" w:cs="KFGQPC Uthmanic Script HAFS" w:hint="cs"/>
          <w:sz w:val="23"/>
          <w:szCs w:val="23"/>
          <w:rtl/>
        </w:rPr>
        <w:t>ٱ</w:t>
      </w:r>
      <w:r w:rsidRPr="00563AE6">
        <w:rPr>
          <w:rFonts w:ascii="KFGQPC Uthmanic Script HAFS" w:cs="KFGQPC Uthmanic Script HAFS" w:hint="eastAsia"/>
          <w:sz w:val="23"/>
          <w:szCs w:val="23"/>
          <w:rtl/>
        </w:rPr>
        <w:t>ل</w:t>
      </w:r>
      <w:r w:rsidRPr="00563AE6">
        <w:rPr>
          <w:rFonts w:ascii="KFGQPC Uthmanic Script HAFS" w:cs="KFGQPC Uthmanic Script HAFS" w:hint="cs"/>
          <w:sz w:val="23"/>
          <w:szCs w:val="23"/>
          <w:rtl/>
        </w:rPr>
        <w:t>ۡ</w:t>
      </w:r>
      <w:r w:rsidRPr="00563AE6">
        <w:rPr>
          <w:rFonts w:ascii="KFGQPC Uthmanic Script HAFS" w:cs="KFGQPC Uthmanic Script HAFS" w:hint="eastAsia"/>
          <w:sz w:val="23"/>
          <w:szCs w:val="23"/>
          <w:rtl/>
        </w:rPr>
        <w:t>قُر</w:t>
      </w:r>
      <w:r w:rsidRPr="00563AE6">
        <w:rPr>
          <w:rFonts w:ascii="KFGQPC Uthmanic Script HAFS" w:cs="KFGQPC Uthmanic Script HAFS" w:hint="cs"/>
          <w:sz w:val="23"/>
          <w:szCs w:val="23"/>
          <w:rtl/>
        </w:rPr>
        <w:t>ۡ</w:t>
      </w:r>
      <w:r w:rsidRPr="00563AE6">
        <w:rPr>
          <w:rFonts w:ascii="KFGQPC Uthmanic Script HAFS" w:cs="KFGQPC Uthmanic Script HAFS" w:hint="eastAsia"/>
          <w:sz w:val="23"/>
          <w:szCs w:val="23"/>
          <w:rtl/>
        </w:rPr>
        <w:t>بَى</w:t>
      </w:r>
      <w:r w:rsidRPr="00563AE6">
        <w:rPr>
          <w:rFonts w:ascii="KFGQPC Uthmanic Script HAFS" w:cs="KFGQPC Uthmanic Script HAFS" w:hint="cs"/>
          <w:sz w:val="23"/>
          <w:szCs w:val="23"/>
          <w:rtl/>
        </w:rPr>
        <w:t>ٰ</w:t>
      </w:r>
      <w:r w:rsidRPr="00563AE6">
        <w:rPr>
          <w:rFonts w:ascii="KFGQPC Uthmanic Script HAFS" w:cs="Times New Roman" w:hint="cs"/>
          <w:sz w:val="23"/>
          <w:szCs w:val="23"/>
          <w:rtl/>
        </w:rPr>
        <w:t>...</w:t>
      </w:r>
      <w:r w:rsidRPr="00563AE6">
        <w:rPr>
          <w:rFonts w:cs="Traditional Arabic" w:hint="cs"/>
          <w:sz w:val="23"/>
          <w:szCs w:val="23"/>
          <w:rtl/>
        </w:rPr>
        <w:t>﴾</w:t>
      </w:r>
      <w:r w:rsidRPr="00563AE6">
        <w:rPr>
          <w:rFonts w:cs="mylotus"/>
          <w:sz w:val="23"/>
          <w:szCs w:val="23"/>
          <w:rtl/>
        </w:rPr>
        <w:t xml:space="preserve"> </w:t>
      </w:r>
      <w:r w:rsidRPr="00563AE6">
        <w:rPr>
          <w:rFonts w:cs="mylotus" w:hint="cs"/>
          <w:sz w:val="23"/>
          <w:szCs w:val="23"/>
          <w:rtl/>
        </w:rPr>
        <w:t>[الأنفال: 41] وفيه نظر، لأن الغنيمة لا</w:t>
      </w:r>
      <w:r w:rsidRPr="00563AE6">
        <w:rPr>
          <w:rFonts w:cs="Times New Roman" w:hint="cs"/>
          <w:sz w:val="23"/>
          <w:szCs w:val="23"/>
          <w:rtl/>
        </w:rPr>
        <w:t> </w:t>
      </w:r>
      <w:r w:rsidRPr="00563AE6">
        <w:rPr>
          <w:rFonts w:cs="mylotus" w:hint="cs"/>
          <w:sz w:val="23"/>
          <w:szCs w:val="23"/>
          <w:rtl/>
        </w:rPr>
        <w:t xml:space="preserve">تشمل الأرباح لغةً وعُرْفاً على أن المتبادر من الغنيمة الواقعة في الآية غنيمة دار الحرب كما يدل عليه سوق الآيات السابقة واللاحقة. </w:t>
      </w:r>
    </w:p>
    <w:p w:rsidR="00B31118" w:rsidRPr="00563AE6" w:rsidRDefault="00B31118" w:rsidP="00B300C9">
      <w:pPr>
        <w:pStyle w:val="FootnoteText"/>
        <w:spacing w:line="228" w:lineRule="auto"/>
        <w:ind w:left="378"/>
        <w:jc w:val="both"/>
        <w:rPr>
          <w:rFonts w:cs="mylotus" w:hint="cs"/>
          <w:sz w:val="23"/>
          <w:szCs w:val="23"/>
          <w:rtl/>
        </w:rPr>
      </w:pPr>
      <w:r w:rsidRPr="00563AE6">
        <w:rPr>
          <w:rFonts w:cs="mylotus" w:hint="cs"/>
          <w:sz w:val="23"/>
          <w:szCs w:val="23"/>
          <w:rtl/>
        </w:rPr>
        <w:t xml:space="preserve">وقال السبزواري ذاته أيضاً في موضع آخر من كتابه المذكور بشأن ذهاب بعض علماء الشيعة إلى أن معنى الخمس في الآية الكريمة يشمل أرباح المكاسب ما نصه: «وأنكر بعض أصحابنا صحة هذه الدعوى مدعياً اتفاق العُرْف وكلام أهل اللغة على خلافها، ولعله متجهٌ وما وجدته من كلام أهل اللغة يساعد عليه». </w:t>
      </w:r>
    </w:p>
    <w:p w:rsidR="00B31118" w:rsidRPr="00445175" w:rsidRDefault="00B31118" w:rsidP="00B300C9">
      <w:pPr>
        <w:pStyle w:val="FootnoteText"/>
        <w:spacing w:line="228" w:lineRule="auto"/>
        <w:ind w:left="378"/>
        <w:jc w:val="both"/>
        <w:rPr>
          <w:rFonts w:cs="mylotus" w:hint="cs"/>
          <w:spacing w:val="-2"/>
          <w:sz w:val="23"/>
          <w:szCs w:val="23"/>
          <w:rtl/>
        </w:rPr>
      </w:pPr>
      <w:r w:rsidRPr="00445175">
        <w:rPr>
          <w:rFonts w:cs="mylotus" w:hint="cs"/>
          <w:spacing w:val="-2"/>
          <w:sz w:val="23"/>
          <w:szCs w:val="23"/>
          <w:rtl/>
        </w:rPr>
        <w:t xml:space="preserve">وقال أخيراً في آخر كتابه المذكور </w:t>
      </w:r>
      <w:r w:rsidRPr="00445175">
        <w:rPr>
          <w:rFonts w:cs="mylotus" w:hint="eastAsia"/>
          <w:spacing w:val="-2"/>
          <w:sz w:val="23"/>
          <w:szCs w:val="23"/>
          <w:rtl/>
        </w:rPr>
        <w:t>ذخيرة المعاد</w:t>
      </w:r>
      <w:r w:rsidRPr="00445175">
        <w:rPr>
          <w:rFonts w:cs="mylotus" w:hint="cs"/>
          <w:spacing w:val="-2"/>
          <w:sz w:val="23"/>
          <w:szCs w:val="23"/>
          <w:rtl/>
        </w:rPr>
        <w:t xml:space="preserve">، حيث رجح فيه سقوط الخمس، وردَّ على من يستند إلى الآية الكريمة: «أما الآية فظاهرها اختصاصها بالغنائم فلا يعم غيرها مع أنها لا تشمل زمن الغيبة ...» (وذلك لأنه لا يوجد في زمان الغيبة جهاد حتى تكون هناك غنيمة وإذا لم تكن هناك غنائم لم يكن هناك خمس)! </w:t>
      </w:r>
    </w:p>
    <w:p w:rsidR="00B31118" w:rsidRPr="00563AE6" w:rsidRDefault="00B31118" w:rsidP="00B300C9">
      <w:pPr>
        <w:pStyle w:val="FootnoteText"/>
        <w:spacing w:line="228" w:lineRule="auto"/>
        <w:ind w:left="378"/>
        <w:jc w:val="both"/>
        <w:rPr>
          <w:rFonts w:cs="mylotus" w:hint="cs"/>
          <w:sz w:val="23"/>
          <w:szCs w:val="23"/>
          <w:rtl/>
        </w:rPr>
      </w:pPr>
      <w:r w:rsidRPr="00563AE6">
        <w:rPr>
          <w:rFonts w:cs="mylotus" w:hint="cs"/>
          <w:sz w:val="23"/>
          <w:szCs w:val="23"/>
          <w:rtl/>
        </w:rPr>
        <w:t xml:space="preserve">وقال المرحوم </w:t>
      </w:r>
      <w:r w:rsidRPr="00563AE6">
        <w:rPr>
          <w:rFonts w:cs="mylotus" w:hint="eastAsia"/>
          <w:sz w:val="23"/>
          <w:szCs w:val="23"/>
          <w:rtl/>
        </w:rPr>
        <w:t>«</w:t>
      </w:r>
      <w:r w:rsidRPr="00563AE6">
        <w:rPr>
          <w:rFonts w:cs="mylotus" w:hint="cs"/>
          <w:sz w:val="23"/>
          <w:szCs w:val="23"/>
          <w:rtl/>
        </w:rPr>
        <w:t>الفاضل الجواد الكاظمي</w:t>
      </w:r>
      <w:r w:rsidRPr="00563AE6">
        <w:rPr>
          <w:rFonts w:cs="mylotus" w:hint="eastAsia"/>
          <w:sz w:val="23"/>
          <w:szCs w:val="23"/>
          <w:rtl/>
        </w:rPr>
        <w:t>»</w:t>
      </w:r>
      <w:r w:rsidRPr="00563AE6">
        <w:rPr>
          <w:rFonts w:cs="mylotus" w:hint="cs"/>
          <w:sz w:val="23"/>
          <w:szCs w:val="23"/>
          <w:rtl/>
        </w:rPr>
        <w:t xml:space="preserve"> في كتابه </w:t>
      </w:r>
      <w:r w:rsidRPr="00563AE6">
        <w:rPr>
          <w:rFonts w:cs="mylotus" w:hint="eastAsia"/>
          <w:sz w:val="23"/>
          <w:szCs w:val="23"/>
          <w:rtl/>
        </w:rPr>
        <w:t>«</w:t>
      </w:r>
      <w:r w:rsidRPr="00563AE6">
        <w:rPr>
          <w:rFonts w:cs="mylotus" w:hint="cs"/>
          <w:sz w:val="23"/>
          <w:szCs w:val="23"/>
          <w:rtl/>
        </w:rPr>
        <w:t>مسالك الأفهام</w:t>
      </w:r>
      <w:r w:rsidRPr="00563AE6">
        <w:rPr>
          <w:rFonts w:cs="mylotus" w:hint="eastAsia"/>
          <w:sz w:val="23"/>
          <w:szCs w:val="23"/>
          <w:rtl/>
        </w:rPr>
        <w:t>»</w:t>
      </w:r>
      <w:r w:rsidRPr="00563AE6">
        <w:rPr>
          <w:rFonts w:cs="mylotus" w:hint="cs"/>
          <w:sz w:val="23"/>
          <w:szCs w:val="23"/>
          <w:rtl/>
        </w:rPr>
        <w:t xml:space="preserve"> - كما سبقت الإشارة إليه - : «</w:t>
      </w:r>
      <w:r w:rsidRPr="00563AE6">
        <w:rPr>
          <w:rFonts w:cs="mylotus"/>
          <w:sz w:val="23"/>
          <w:szCs w:val="23"/>
          <w:rtl/>
        </w:rPr>
        <w:t>ظاهر الغنيمة ما أخذت من دار الحرب، ويؤيّده الآيات السابقة واللاحقة، وعلى ذلك حملها أكثر المفسّرين، والظاهر من أصحابنا أنّهم يحملونها على الفائدة مطلقا، وإن لم يكن من دار الحرب</w:t>
      </w:r>
      <w:r w:rsidRPr="00563AE6">
        <w:rPr>
          <w:rFonts w:cs="mylotus" w:hint="cs"/>
          <w:sz w:val="23"/>
          <w:szCs w:val="23"/>
          <w:rtl/>
        </w:rPr>
        <w:t>... [إلى قوله:] والحقّ أنّ استفادة ذلك من ظاهر الآية بعيدة بل الظاهر منها كون الغنيمة غنيمة دار الحرب.».</w:t>
      </w:r>
    </w:p>
  </w:footnote>
  <w:footnote w:id="39">
    <w:p w:rsidR="00B31118" w:rsidRPr="00563AE6" w:rsidRDefault="00B31118" w:rsidP="009D225B">
      <w:pPr>
        <w:spacing w:line="228" w:lineRule="auto"/>
        <w:ind w:left="378" w:hanging="378"/>
        <w:jc w:val="both"/>
        <w:rPr>
          <w:rFonts w:cs="mylotus" w:hint="cs"/>
          <w:sz w:val="23"/>
          <w:szCs w:val="23"/>
          <w:rtl/>
        </w:rPr>
      </w:pPr>
      <w:r w:rsidRPr="00563AE6">
        <w:rPr>
          <w:rStyle w:val="FootnoteReference"/>
          <w:rFonts w:cs="mylotus"/>
          <w:sz w:val="23"/>
          <w:szCs w:val="23"/>
          <w:vertAlign w:val="baseline"/>
          <w:rtl/>
        </w:rPr>
        <w:footnoteRef/>
      </w:r>
      <w:r>
        <w:rPr>
          <w:rFonts w:cs="mylotus"/>
          <w:sz w:val="23"/>
          <w:szCs w:val="23"/>
          <w:rtl/>
        </w:rPr>
        <w:t>-</w:t>
      </w:r>
      <w:r w:rsidRPr="00563AE6">
        <w:rPr>
          <w:rFonts w:cs="mylotus"/>
          <w:sz w:val="23"/>
          <w:szCs w:val="23"/>
          <w:rtl/>
        </w:rPr>
        <w:t xml:space="preserve"> </w:t>
      </w:r>
      <w:r w:rsidRPr="00563AE6">
        <w:rPr>
          <w:rFonts w:cs="mylotus" w:hint="cs"/>
          <w:sz w:val="23"/>
          <w:szCs w:val="23"/>
          <w:rtl/>
        </w:rPr>
        <w:t>جاء في وسائل الشيعة للحر العاملي (9، 491): «</w:t>
      </w:r>
      <w:r w:rsidRPr="00563AE6">
        <w:rPr>
          <w:rFonts w:cs="mylotus"/>
          <w:sz w:val="23"/>
          <w:szCs w:val="23"/>
          <w:rtl/>
        </w:rPr>
        <w:t xml:space="preserve">الْعَيَّاشِيُّ فِي تَفْسِيرِهِ عَنْ سَمَاعَةَ </w:t>
      </w:r>
      <w:r>
        <w:rPr>
          <w:rFonts w:cs="mylotus"/>
          <w:sz w:val="23"/>
          <w:szCs w:val="23"/>
          <w:rtl/>
        </w:rPr>
        <w:t>عَنْ أَبِي عَبْدِ اللهِ وَأَبِي</w:t>
      </w:r>
      <w:r>
        <w:rPr>
          <w:rFonts w:cs="Times New Roman" w:hint="cs"/>
          <w:sz w:val="23"/>
          <w:szCs w:val="23"/>
          <w:rtl/>
        </w:rPr>
        <w:t>‌</w:t>
      </w:r>
      <w:r w:rsidRPr="00563AE6">
        <w:rPr>
          <w:rFonts w:cs="mylotus"/>
          <w:sz w:val="23"/>
          <w:szCs w:val="23"/>
          <w:rtl/>
        </w:rPr>
        <w:t>الْحَسَنِ</w:t>
      </w:r>
      <w:r w:rsidRPr="00BC4BA9">
        <w:rPr>
          <w:rFonts w:cs="CTraditional Arabic" w:hint="cs"/>
          <w:sz w:val="23"/>
          <w:szCs w:val="23"/>
          <w:rtl/>
        </w:rPr>
        <w:t>÷</w:t>
      </w:r>
      <w:r w:rsidRPr="00563AE6">
        <w:rPr>
          <w:rFonts w:cs="mylotus"/>
          <w:sz w:val="23"/>
          <w:szCs w:val="23"/>
          <w:rtl/>
        </w:rPr>
        <w:t xml:space="preserve"> قَالَ سَأَلْتُ أَحَدَهُمَا عَنِ الْخُمُسِ فَقَالَ</w:t>
      </w:r>
      <w:r w:rsidRPr="00563AE6">
        <w:rPr>
          <w:rFonts w:cs="mylotus" w:hint="cs"/>
          <w:sz w:val="23"/>
          <w:szCs w:val="23"/>
          <w:rtl/>
        </w:rPr>
        <w:t>:</w:t>
      </w:r>
      <w:r w:rsidRPr="00563AE6">
        <w:rPr>
          <w:rFonts w:cs="mylotus"/>
          <w:sz w:val="23"/>
          <w:szCs w:val="23"/>
          <w:rtl/>
        </w:rPr>
        <w:t xml:space="preserve"> لَيْسَ الْخُمُسُ إِلَّا فِي الْغَنَائِمِ</w:t>
      </w:r>
      <w:r w:rsidRPr="00563AE6">
        <w:rPr>
          <w:rFonts w:cs="mylotus" w:hint="cs"/>
          <w:sz w:val="23"/>
          <w:szCs w:val="23"/>
          <w:rtl/>
        </w:rPr>
        <w:t>».</w:t>
      </w:r>
    </w:p>
  </w:footnote>
  <w:footnote w:id="40">
    <w:p w:rsidR="00B31118" w:rsidRPr="00563AE6" w:rsidRDefault="00B31118" w:rsidP="00B300C9">
      <w:pPr>
        <w:pStyle w:val="FootnoteText"/>
        <w:spacing w:line="228" w:lineRule="auto"/>
        <w:ind w:left="378" w:hanging="378"/>
        <w:jc w:val="both"/>
        <w:rPr>
          <w:rFonts w:cs="mylotus" w:hint="cs"/>
          <w:sz w:val="23"/>
          <w:szCs w:val="23"/>
        </w:rPr>
      </w:pPr>
      <w:r w:rsidRPr="00563AE6">
        <w:rPr>
          <w:rStyle w:val="FootnoteReference"/>
          <w:rFonts w:cs="mylotus"/>
          <w:sz w:val="23"/>
          <w:szCs w:val="23"/>
          <w:vertAlign w:val="baseline"/>
          <w:rtl/>
        </w:rPr>
        <w:footnoteRef/>
      </w:r>
      <w:r>
        <w:rPr>
          <w:rFonts w:cs="mylotus"/>
          <w:sz w:val="23"/>
          <w:szCs w:val="23"/>
          <w:rtl/>
        </w:rPr>
        <w:t>-</w:t>
      </w:r>
      <w:r w:rsidRPr="00563AE6">
        <w:rPr>
          <w:rFonts w:cs="mylotus"/>
          <w:sz w:val="23"/>
          <w:szCs w:val="23"/>
          <w:rtl/>
        </w:rPr>
        <w:t xml:space="preserve"> </w:t>
      </w:r>
      <w:r w:rsidRPr="00563AE6">
        <w:rPr>
          <w:rFonts w:cs="mylotus" w:hint="cs"/>
          <w:sz w:val="23"/>
          <w:szCs w:val="23"/>
          <w:rtl/>
        </w:rPr>
        <w:t xml:space="preserve">من جملة بالآيات التي تدل على الماضي في موضوع الزكاة الآيات: 177 و277 من سورة البقرة. ومن الآيات التي تدل على الأمر في الزمن الحاضر: الآية 110 من سورة البقرة، والآية 77 من سورة النساء، والآية 7 من سورة الحج، والآية 56 من سورة النور. وأما الآيات التي جاءت بصيغة المضارع بمعنى المستقبل فمنها: الآية 55 من سورة المائدة والآية 71 من سورة التوبة والآية 156 من سورة الأعراف. </w:t>
      </w:r>
    </w:p>
  </w:footnote>
  <w:footnote w:id="41">
    <w:p w:rsidR="00B31118" w:rsidRPr="00563AE6" w:rsidRDefault="00B31118" w:rsidP="00B300C9">
      <w:pPr>
        <w:spacing w:line="228" w:lineRule="auto"/>
        <w:ind w:left="378" w:hanging="378"/>
        <w:jc w:val="both"/>
        <w:rPr>
          <w:rFonts w:cs="mylotus" w:hint="cs"/>
          <w:sz w:val="23"/>
          <w:szCs w:val="23"/>
          <w:rtl/>
        </w:rPr>
      </w:pPr>
      <w:r w:rsidRPr="00563AE6">
        <w:rPr>
          <w:rFonts w:cs="mylotus"/>
          <w:sz w:val="23"/>
          <w:szCs w:val="23"/>
          <w:rtl/>
        </w:rPr>
        <w:footnoteRef/>
      </w:r>
      <w:r>
        <w:rPr>
          <w:rFonts w:cs="mylotus"/>
          <w:sz w:val="23"/>
          <w:szCs w:val="23"/>
          <w:rtl/>
        </w:rPr>
        <w:t>-</w:t>
      </w:r>
      <w:r w:rsidRPr="00563AE6">
        <w:rPr>
          <w:rFonts w:cs="mylotus"/>
          <w:sz w:val="23"/>
          <w:szCs w:val="23"/>
          <w:rtl/>
        </w:rPr>
        <w:t xml:space="preserve"> </w:t>
      </w:r>
      <w:r w:rsidRPr="00563AE6">
        <w:rPr>
          <w:rFonts w:cs="mylotus" w:hint="cs"/>
          <w:sz w:val="23"/>
          <w:szCs w:val="23"/>
          <w:rtl/>
        </w:rPr>
        <w:t xml:space="preserve">قال المرحوم الفاضل الجواد الكاظمي في كتابه </w:t>
      </w:r>
      <w:r w:rsidRPr="00563AE6">
        <w:rPr>
          <w:rFonts w:cs="mylotus" w:hint="eastAsia"/>
          <w:sz w:val="23"/>
          <w:szCs w:val="23"/>
          <w:rtl/>
        </w:rPr>
        <w:t>«</w:t>
      </w:r>
      <w:r w:rsidRPr="00563AE6">
        <w:rPr>
          <w:rFonts w:cs="mylotus" w:hint="cs"/>
          <w:sz w:val="23"/>
          <w:szCs w:val="23"/>
          <w:rtl/>
        </w:rPr>
        <w:t>مسالك الأفهام</w:t>
      </w:r>
      <w:r w:rsidRPr="00563AE6">
        <w:rPr>
          <w:rFonts w:cs="mylotus" w:hint="eastAsia"/>
          <w:sz w:val="23"/>
          <w:szCs w:val="23"/>
          <w:rtl/>
        </w:rPr>
        <w:t>»</w:t>
      </w:r>
      <w:r w:rsidRPr="00563AE6">
        <w:rPr>
          <w:rFonts w:cs="mylotus"/>
          <w:sz w:val="23"/>
          <w:szCs w:val="23"/>
          <w:rtl/>
        </w:rPr>
        <w:t xml:space="preserve"> </w:t>
      </w:r>
      <w:r w:rsidRPr="00563AE6">
        <w:rPr>
          <w:rFonts w:cs="mylotus" w:hint="cs"/>
          <w:sz w:val="23"/>
          <w:szCs w:val="23"/>
          <w:rtl/>
        </w:rPr>
        <w:t xml:space="preserve">(ج2، ص20) حول هذا الموضوع ما محصله: أن المراد من القرابة (في آية خمس الغنائم) قرابة الشخص، فأمرت بصلة الرحم بالمال والروح، أو المراد الإنفاق الواجب على ذوي القربى، ومقتضى الآية الكريمة: </w:t>
      </w:r>
      <w:r w:rsidRPr="00563AE6">
        <w:rPr>
          <w:rFonts w:cs="Traditional Arabic" w:hint="cs"/>
          <w:sz w:val="23"/>
          <w:szCs w:val="23"/>
          <w:rtl/>
        </w:rPr>
        <w:t>﴿</w:t>
      </w:r>
      <w:r w:rsidRPr="00563AE6">
        <w:rPr>
          <w:rFonts w:ascii="KFGQPC Uthmanic Script HAFS" w:cs="KFGQPC Uthmanic Script HAFS" w:hint="eastAsia"/>
          <w:sz w:val="23"/>
          <w:szCs w:val="23"/>
          <w:rtl/>
        </w:rPr>
        <w:t>وَلِلرَّسُولِ</w:t>
      </w:r>
      <w:r w:rsidRPr="00563AE6">
        <w:rPr>
          <w:rFonts w:ascii="KFGQPC Uthmanic Script HAFS" w:cs="KFGQPC Uthmanic Script HAFS"/>
          <w:sz w:val="23"/>
          <w:szCs w:val="23"/>
          <w:rtl/>
        </w:rPr>
        <w:t xml:space="preserve"> </w:t>
      </w:r>
      <w:r w:rsidRPr="00563AE6">
        <w:rPr>
          <w:rFonts w:ascii="KFGQPC Uthmanic Script HAFS" w:cs="KFGQPC Uthmanic Script HAFS" w:hint="eastAsia"/>
          <w:sz w:val="23"/>
          <w:szCs w:val="23"/>
          <w:rtl/>
        </w:rPr>
        <w:t>وَلِذِي</w:t>
      </w:r>
      <w:r w:rsidRPr="00563AE6">
        <w:rPr>
          <w:rFonts w:ascii="KFGQPC Uthmanic Script HAFS" w:cs="KFGQPC Uthmanic Script HAFS"/>
          <w:sz w:val="23"/>
          <w:szCs w:val="23"/>
          <w:rtl/>
        </w:rPr>
        <w:t xml:space="preserve"> </w:t>
      </w:r>
      <w:r w:rsidRPr="00563AE6">
        <w:rPr>
          <w:rFonts w:ascii="KFGQPC Uthmanic Script HAFS" w:cs="KFGQPC Uthmanic Script HAFS" w:hint="cs"/>
          <w:sz w:val="23"/>
          <w:szCs w:val="23"/>
          <w:rtl/>
        </w:rPr>
        <w:t>ٱ</w:t>
      </w:r>
      <w:r w:rsidRPr="00563AE6">
        <w:rPr>
          <w:rFonts w:ascii="KFGQPC Uthmanic Script HAFS" w:cs="KFGQPC Uthmanic Script HAFS" w:hint="eastAsia"/>
          <w:sz w:val="23"/>
          <w:szCs w:val="23"/>
          <w:rtl/>
        </w:rPr>
        <w:t>ل</w:t>
      </w:r>
      <w:r w:rsidRPr="00563AE6">
        <w:rPr>
          <w:rFonts w:ascii="KFGQPC Uthmanic Script HAFS" w:cs="KFGQPC Uthmanic Script HAFS" w:hint="cs"/>
          <w:sz w:val="23"/>
          <w:szCs w:val="23"/>
          <w:rtl/>
        </w:rPr>
        <w:t>ۡ</w:t>
      </w:r>
      <w:r w:rsidRPr="00563AE6">
        <w:rPr>
          <w:rFonts w:ascii="KFGQPC Uthmanic Script HAFS" w:cs="KFGQPC Uthmanic Script HAFS" w:hint="eastAsia"/>
          <w:sz w:val="23"/>
          <w:szCs w:val="23"/>
          <w:rtl/>
        </w:rPr>
        <w:t>قُر</w:t>
      </w:r>
      <w:r w:rsidRPr="00563AE6">
        <w:rPr>
          <w:rFonts w:ascii="KFGQPC Uthmanic Script HAFS" w:cs="KFGQPC Uthmanic Script HAFS" w:hint="cs"/>
          <w:sz w:val="23"/>
          <w:szCs w:val="23"/>
          <w:rtl/>
        </w:rPr>
        <w:t>ۡ</w:t>
      </w:r>
      <w:r w:rsidRPr="00563AE6">
        <w:rPr>
          <w:rFonts w:ascii="KFGQPC Uthmanic Script HAFS" w:cs="KFGQPC Uthmanic Script HAFS" w:hint="eastAsia"/>
          <w:sz w:val="23"/>
          <w:szCs w:val="23"/>
          <w:rtl/>
        </w:rPr>
        <w:t>بَى</w:t>
      </w:r>
      <w:r w:rsidRPr="00563AE6">
        <w:rPr>
          <w:rFonts w:ascii="KFGQPC Uthmanic Script HAFS" w:cs="KFGQPC Uthmanic Script HAFS" w:hint="cs"/>
          <w:sz w:val="23"/>
          <w:szCs w:val="23"/>
          <w:rtl/>
        </w:rPr>
        <w:t>ٰ</w:t>
      </w:r>
      <w:r w:rsidRPr="00563AE6">
        <w:rPr>
          <w:rFonts w:cs="Traditional Arabic" w:hint="cs"/>
          <w:sz w:val="23"/>
          <w:szCs w:val="23"/>
          <w:rtl/>
        </w:rPr>
        <w:t>﴾</w:t>
      </w:r>
      <w:r w:rsidRPr="00563AE6">
        <w:rPr>
          <w:rFonts w:cs="mylotus" w:hint="cs"/>
          <w:sz w:val="23"/>
          <w:szCs w:val="23"/>
          <w:rtl/>
        </w:rPr>
        <w:t xml:space="preserve"> العموم (فلا تختص بفرد أو أفراد معينين). </w:t>
      </w:r>
    </w:p>
    <w:p w:rsidR="00B31118" w:rsidRPr="00563AE6" w:rsidRDefault="00B31118" w:rsidP="00B300C9">
      <w:pPr>
        <w:spacing w:line="228" w:lineRule="auto"/>
        <w:ind w:left="378"/>
        <w:jc w:val="both"/>
        <w:rPr>
          <w:rFonts w:cs="mylotus" w:hint="cs"/>
          <w:sz w:val="23"/>
          <w:szCs w:val="23"/>
        </w:rPr>
      </w:pPr>
      <w:r w:rsidRPr="00563AE6">
        <w:rPr>
          <w:rFonts w:cs="mylotus" w:hint="cs"/>
          <w:sz w:val="23"/>
          <w:szCs w:val="23"/>
          <w:rtl/>
        </w:rPr>
        <w:t xml:space="preserve">وقال المرحوم الشيخ الطوسي أيضاً في تفسيره </w:t>
      </w:r>
      <w:r w:rsidRPr="00563AE6">
        <w:rPr>
          <w:rFonts w:cs="mylotus" w:hint="eastAsia"/>
          <w:sz w:val="23"/>
          <w:szCs w:val="23"/>
          <w:rtl/>
        </w:rPr>
        <w:t>«</w:t>
      </w:r>
      <w:r w:rsidRPr="00563AE6">
        <w:rPr>
          <w:rFonts w:cs="mylotus" w:hint="cs"/>
          <w:sz w:val="23"/>
          <w:szCs w:val="23"/>
          <w:rtl/>
        </w:rPr>
        <w:t>التبيان</w:t>
      </w:r>
      <w:r w:rsidRPr="00563AE6">
        <w:rPr>
          <w:rFonts w:cs="mylotus" w:hint="eastAsia"/>
          <w:sz w:val="23"/>
          <w:szCs w:val="23"/>
          <w:rtl/>
        </w:rPr>
        <w:t>»</w:t>
      </w:r>
      <w:r w:rsidRPr="00563AE6">
        <w:rPr>
          <w:rFonts w:cs="mylotus" w:hint="cs"/>
          <w:sz w:val="23"/>
          <w:szCs w:val="23"/>
          <w:rtl/>
        </w:rPr>
        <w:t xml:space="preserve"> (ج2، ص521، طبع طهران) ذيل تفسيره للآية الكريمة: </w:t>
      </w:r>
      <w:r w:rsidRPr="00563AE6">
        <w:rPr>
          <w:rFonts w:cs="Traditional Arabic" w:hint="cs"/>
          <w:sz w:val="23"/>
          <w:szCs w:val="23"/>
          <w:rtl/>
        </w:rPr>
        <w:t>﴿</w:t>
      </w:r>
      <w:r w:rsidRPr="00563AE6">
        <w:rPr>
          <w:rFonts w:ascii="KFGQPC Uthmanic Script HAFS" w:cs="KFGQPC Uthmanic Script HAFS" w:hint="eastAsia"/>
          <w:sz w:val="23"/>
          <w:szCs w:val="23"/>
          <w:rtl/>
        </w:rPr>
        <w:t>وَءَاتِ</w:t>
      </w:r>
      <w:r w:rsidRPr="00563AE6">
        <w:rPr>
          <w:rFonts w:ascii="KFGQPC Uthmanic Script HAFS" w:cs="KFGQPC Uthmanic Script HAFS"/>
          <w:sz w:val="23"/>
          <w:szCs w:val="23"/>
          <w:rtl/>
        </w:rPr>
        <w:t xml:space="preserve"> </w:t>
      </w:r>
      <w:r w:rsidRPr="00563AE6">
        <w:rPr>
          <w:rFonts w:ascii="KFGQPC Uthmanic Script HAFS" w:cs="KFGQPC Uthmanic Script HAFS" w:hint="eastAsia"/>
          <w:sz w:val="23"/>
          <w:szCs w:val="23"/>
          <w:rtl/>
        </w:rPr>
        <w:t>ذَا</w:t>
      </w:r>
      <w:r w:rsidRPr="00563AE6">
        <w:rPr>
          <w:rFonts w:ascii="KFGQPC Uthmanic Script HAFS" w:cs="KFGQPC Uthmanic Script HAFS"/>
          <w:sz w:val="23"/>
          <w:szCs w:val="23"/>
          <w:rtl/>
        </w:rPr>
        <w:t xml:space="preserve"> </w:t>
      </w:r>
      <w:r w:rsidRPr="00563AE6">
        <w:rPr>
          <w:rFonts w:ascii="KFGQPC Uthmanic Script HAFS" w:cs="KFGQPC Uthmanic Script HAFS" w:hint="cs"/>
          <w:sz w:val="23"/>
          <w:szCs w:val="23"/>
          <w:rtl/>
        </w:rPr>
        <w:t>ٱ</w:t>
      </w:r>
      <w:r w:rsidRPr="00563AE6">
        <w:rPr>
          <w:rFonts w:ascii="KFGQPC Uthmanic Script HAFS" w:cs="KFGQPC Uthmanic Script HAFS" w:hint="eastAsia"/>
          <w:sz w:val="23"/>
          <w:szCs w:val="23"/>
          <w:rtl/>
        </w:rPr>
        <w:t>ل</w:t>
      </w:r>
      <w:r w:rsidRPr="00563AE6">
        <w:rPr>
          <w:rFonts w:ascii="KFGQPC Uthmanic Script HAFS" w:cs="KFGQPC Uthmanic Script HAFS" w:hint="cs"/>
          <w:sz w:val="23"/>
          <w:szCs w:val="23"/>
          <w:rtl/>
        </w:rPr>
        <w:t>ۡ</w:t>
      </w:r>
      <w:r w:rsidRPr="00563AE6">
        <w:rPr>
          <w:rFonts w:ascii="KFGQPC Uthmanic Script HAFS" w:cs="KFGQPC Uthmanic Script HAFS" w:hint="eastAsia"/>
          <w:sz w:val="23"/>
          <w:szCs w:val="23"/>
          <w:rtl/>
        </w:rPr>
        <w:t>قُر</w:t>
      </w:r>
      <w:r w:rsidRPr="00563AE6">
        <w:rPr>
          <w:rFonts w:ascii="KFGQPC Uthmanic Script HAFS" w:cs="KFGQPC Uthmanic Script HAFS" w:hint="cs"/>
          <w:sz w:val="23"/>
          <w:szCs w:val="23"/>
          <w:rtl/>
        </w:rPr>
        <w:t>ۡ</w:t>
      </w:r>
      <w:r w:rsidRPr="00563AE6">
        <w:rPr>
          <w:rFonts w:ascii="KFGQPC Uthmanic Script HAFS" w:cs="KFGQPC Uthmanic Script HAFS" w:hint="eastAsia"/>
          <w:sz w:val="23"/>
          <w:szCs w:val="23"/>
          <w:rtl/>
        </w:rPr>
        <w:t>بَى</w:t>
      </w:r>
      <w:r w:rsidRPr="00563AE6">
        <w:rPr>
          <w:rFonts w:ascii="KFGQPC Uthmanic Script HAFS" w:cs="KFGQPC Uthmanic Script HAFS" w:hint="cs"/>
          <w:sz w:val="23"/>
          <w:szCs w:val="23"/>
          <w:rtl/>
        </w:rPr>
        <w:t>ٰ</w:t>
      </w:r>
      <w:r w:rsidRPr="00563AE6">
        <w:rPr>
          <w:rFonts w:ascii="KFGQPC Uthmanic Script HAFS" w:cs="KFGQPC Uthmanic Script HAFS"/>
          <w:sz w:val="23"/>
          <w:szCs w:val="23"/>
          <w:rtl/>
        </w:rPr>
        <w:t xml:space="preserve"> </w:t>
      </w:r>
      <w:r w:rsidRPr="00563AE6">
        <w:rPr>
          <w:rFonts w:ascii="KFGQPC Uthmanic Script HAFS" w:cs="KFGQPC Uthmanic Script HAFS" w:hint="eastAsia"/>
          <w:sz w:val="23"/>
          <w:szCs w:val="23"/>
          <w:rtl/>
        </w:rPr>
        <w:t>حَقَّهُ</w:t>
      </w:r>
      <w:r w:rsidRPr="00563AE6">
        <w:rPr>
          <w:rFonts w:cs="KFGQPC Uthman Taha Naskh" w:hint="cs"/>
          <w:sz w:val="23"/>
          <w:szCs w:val="23"/>
          <w:rtl/>
          <w:lang w:bidi="fa-IR"/>
        </w:rPr>
        <w:t>...</w:t>
      </w:r>
      <w:r w:rsidRPr="00563AE6">
        <w:rPr>
          <w:rFonts w:cs="Traditional Arabic" w:hint="cs"/>
          <w:sz w:val="23"/>
          <w:szCs w:val="23"/>
          <w:rtl/>
        </w:rPr>
        <w:t>﴾</w:t>
      </w:r>
      <w:r w:rsidRPr="00563AE6">
        <w:rPr>
          <w:rFonts w:cs="mylotus" w:hint="cs"/>
          <w:sz w:val="23"/>
          <w:szCs w:val="23"/>
          <w:rtl/>
        </w:rPr>
        <w:t xml:space="preserve"> (وروي عن ابن عباس والحسن أنهم قرابة الإنسان). </w:t>
      </w:r>
    </w:p>
  </w:footnote>
  <w:footnote w:id="42">
    <w:p w:rsidR="00B31118" w:rsidRPr="00563AE6" w:rsidRDefault="00B31118" w:rsidP="00B300C9">
      <w:pPr>
        <w:spacing w:line="228" w:lineRule="auto"/>
        <w:ind w:left="378" w:hanging="378"/>
        <w:jc w:val="both"/>
        <w:rPr>
          <w:rFonts w:cs="mylotus" w:hint="cs"/>
          <w:sz w:val="23"/>
          <w:szCs w:val="23"/>
          <w:rtl/>
        </w:rPr>
      </w:pPr>
      <w:r w:rsidRPr="00563AE6">
        <w:rPr>
          <w:rFonts w:cs="mylotus"/>
          <w:sz w:val="23"/>
          <w:szCs w:val="23"/>
          <w:rtl/>
        </w:rPr>
        <w:footnoteRef/>
      </w:r>
      <w:r>
        <w:rPr>
          <w:rFonts w:cs="mylotus"/>
          <w:sz w:val="23"/>
          <w:szCs w:val="23"/>
          <w:rtl/>
        </w:rPr>
        <w:t>-</w:t>
      </w:r>
      <w:r w:rsidRPr="00563AE6">
        <w:rPr>
          <w:rFonts w:cs="mylotus"/>
          <w:sz w:val="23"/>
          <w:szCs w:val="23"/>
          <w:rtl/>
        </w:rPr>
        <w:t xml:space="preserve"> </w:t>
      </w:r>
      <w:r w:rsidRPr="00563AE6">
        <w:rPr>
          <w:rFonts w:cs="mylotus" w:hint="cs"/>
          <w:sz w:val="23"/>
          <w:szCs w:val="23"/>
          <w:rtl/>
        </w:rPr>
        <w:t xml:space="preserve">النص المذكور هو من رواية الواقدي في المغازي، أما الصنعاني فقد رواه مختصراً، كما رواه مختصراً </w:t>
      </w:r>
      <w:r w:rsidRPr="00563AE6">
        <w:rPr>
          <w:rFonts w:cs="mylotus"/>
          <w:sz w:val="23"/>
          <w:szCs w:val="23"/>
          <w:rtl/>
        </w:rPr>
        <w:t>أبو بكر عبد الله بن أبي شيبة الكوفي</w:t>
      </w:r>
      <w:r w:rsidRPr="00563AE6">
        <w:rPr>
          <w:rFonts w:cs="mylotus" w:hint="cs"/>
          <w:sz w:val="23"/>
          <w:szCs w:val="23"/>
          <w:rtl/>
        </w:rPr>
        <w:t xml:space="preserve"> في كتابه «</w:t>
      </w:r>
      <w:r w:rsidRPr="00563AE6">
        <w:rPr>
          <w:rFonts w:cs="mylotus"/>
          <w:sz w:val="23"/>
          <w:szCs w:val="23"/>
          <w:rtl/>
        </w:rPr>
        <w:t>المصن</w:t>
      </w:r>
      <w:r w:rsidRPr="00563AE6">
        <w:rPr>
          <w:rFonts w:cs="mylotus" w:hint="cs"/>
          <w:sz w:val="23"/>
          <w:szCs w:val="23"/>
          <w:rtl/>
        </w:rPr>
        <w:t>َّ</w:t>
      </w:r>
      <w:r w:rsidRPr="00563AE6">
        <w:rPr>
          <w:rFonts w:cs="mylotus"/>
          <w:sz w:val="23"/>
          <w:szCs w:val="23"/>
          <w:rtl/>
        </w:rPr>
        <w:t>ف في الأحاديث والآثار</w:t>
      </w:r>
      <w:r w:rsidRPr="00563AE6">
        <w:rPr>
          <w:rFonts w:cs="mylotus" w:hint="cs"/>
          <w:sz w:val="23"/>
          <w:szCs w:val="23"/>
          <w:rtl/>
        </w:rPr>
        <w:t>» ح (</w:t>
      </w:r>
      <w:r w:rsidRPr="00563AE6">
        <w:rPr>
          <w:rFonts w:cs="mylotus"/>
          <w:sz w:val="23"/>
          <w:szCs w:val="23"/>
          <w:rtl/>
        </w:rPr>
        <w:t>33450</w:t>
      </w:r>
      <w:r w:rsidRPr="00563AE6">
        <w:rPr>
          <w:rFonts w:cs="mylotus" w:hint="cs"/>
          <w:sz w:val="23"/>
          <w:szCs w:val="23"/>
          <w:rtl/>
        </w:rPr>
        <w:t>). (المُتَرْجِمُ)</w:t>
      </w:r>
    </w:p>
  </w:footnote>
  <w:footnote w:id="43">
    <w:p w:rsidR="00B31118" w:rsidRPr="00563AE6" w:rsidRDefault="00B31118" w:rsidP="00B300C9">
      <w:pPr>
        <w:spacing w:line="228" w:lineRule="auto"/>
        <w:ind w:left="378" w:hanging="378"/>
        <w:jc w:val="both"/>
        <w:rPr>
          <w:rFonts w:cs="mylotus" w:hint="cs"/>
          <w:sz w:val="23"/>
          <w:szCs w:val="23"/>
          <w:rtl/>
        </w:rPr>
      </w:pPr>
      <w:r w:rsidRPr="00563AE6">
        <w:rPr>
          <w:rFonts w:cs="mylotus"/>
          <w:sz w:val="23"/>
          <w:szCs w:val="23"/>
          <w:rtl/>
        </w:rPr>
        <w:footnoteRef/>
      </w:r>
      <w:r>
        <w:rPr>
          <w:rFonts w:cs="mylotus"/>
          <w:sz w:val="23"/>
          <w:szCs w:val="23"/>
          <w:rtl/>
        </w:rPr>
        <w:t>-</w:t>
      </w:r>
      <w:r w:rsidRPr="00563AE6">
        <w:rPr>
          <w:rFonts w:cs="mylotus" w:hint="cs"/>
          <w:sz w:val="23"/>
          <w:szCs w:val="23"/>
          <w:rtl/>
        </w:rPr>
        <w:t xml:space="preserve"> </w:t>
      </w:r>
      <w:r w:rsidRPr="00563AE6">
        <w:rPr>
          <w:rFonts w:cs="mylotus"/>
          <w:sz w:val="23"/>
          <w:szCs w:val="23"/>
          <w:rtl/>
        </w:rPr>
        <w:t>الخ</w:t>
      </w:r>
      <w:r w:rsidRPr="00563AE6">
        <w:rPr>
          <w:rFonts w:cs="mylotus" w:hint="cs"/>
          <w:sz w:val="23"/>
          <w:szCs w:val="23"/>
          <w:rtl/>
        </w:rPr>
        <w:t>ِ</w:t>
      </w:r>
      <w:r w:rsidRPr="00563AE6">
        <w:rPr>
          <w:rFonts w:cs="mylotus"/>
          <w:sz w:val="23"/>
          <w:szCs w:val="23"/>
          <w:rtl/>
        </w:rPr>
        <w:t>ي</w:t>
      </w:r>
      <w:r w:rsidRPr="00563AE6">
        <w:rPr>
          <w:rFonts w:cs="mylotus" w:hint="cs"/>
          <w:sz w:val="23"/>
          <w:szCs w:val="23"/>
          <w:rtl/>
        </w:rPr>
        <w:t>َ</w:t>
      </w:r>
      <w:r w:rsidRPr="00563AE6">
        <w:rPr>
          <w:rFonts w:cs="mylotus"/>
          <w:sz w:val="23"/>
          <w:szCs w:val="23"/>
          <w:rtl/>
        </w:rPr>
        <w:t>اط هنا: الخيط،</w:t>
      </w:r>
      <w:r w:rsidRPr="00563AE6">
        <w:rPr>
          <w:rFonts w:cs="mylotus" w:hint="cs"/>
          <w:sz w:val="23"/>
          <w:szCs w:val="23"/>
          <w:rtl/>
        </w:rPr>
        <w:t xml:space="preserve"> </w:t>
      </w:r>
      <w:r w:rsidRPr="00563AE6">
        <w:rPr>
          <w:rFonts w:cs="mylotus"/>
          <w:sz w:val="23"/>
          <w:szCs w:val="23"/>
          <w:rtl/>
        </w:rPr>
        <w:t>وَالْمِخْيَطَ: الإبرة</w:t>
      </w:r>
      <w:r w:rsidRPr="00563AE6">
        <w:rPr>
          <w:rFonts w:cs="mylotus" w:hint="cs"/>
          <w:sz w:val="23"/>
          <w:szCs w:val="23"/>
          <w:rtl/>
        </w:rPr>
        <w:t>. (المُتَرْجِمُ)</w:t>
      </w:r>
    </w:p>
  </w:footnote>
  <w:footnote w:id="44">
    <w:p w:rsidR="00B31118" w:rsidRPr="00563AE6" w:rsidRDefault="00B31118" w:rsidP="00B300C9">
      <w:pPr>
        <w:spacing w:line="228" w:lineRule="auto"/>
        <w:ind w:left="378" w:hanging="378"/>
        <w:jc w:val="both"/>
        <w:rPr>
          <w:rFonts w:cs="mylotus" w:hint="cs"/>
          <w:sz w:val="23"/>
          <w:szCs w:val="23"/>
        </w:rPr>
      </w:pPr>
      <w:r w:rsidRPr="00563AE6">
        <w:rPr>
          <w:rFonts w:cs="mylotus"/>
          <w:sz w:val="23"/>
          <w:szCs w:val="23"/>
          <w:rtl/>
        </w:rPr>
        <w:footnoteRef/>
      </w:r>
      <w:r>
        <w:rPr>
          <w:rFonts w:cs="mylotus"/>
          <w:sz w:val="23"/>
          <w:szCs w:val="23"/>
          <w:rtl/>
        </w:rPr>
        <w:t>-</w:t>
      </w:r>
      <w:r w:rsidRPr="00563AE6">
        <w:rPr>
          <w:rFonts w:cs="mylotus" w:hint="cs"/>
          <w:sz w:val="23"/>
          <w:szCs w:val="23"/>
          <w:rtl/>
        </w:rPr>
        <w:t xml:space="preserve"> </w:t>
      </w:r>
      <w:r w:rsidRPr="00563AE6">
        <w:rPr>
          <w:rFonts w:cs="mylotus"/>
          <w:sz w:val="23"/>
          <w:szCs w:val="23"/>
          <w:rtl/>
        </w:rPr>
        <w:t>الشنار: العيب.</w:t>
      </w:r>
      <w:r w:rsidRPr="00563AE6">
        <w:rPr>
          <w:rFonts w:cs="mylotus" w:hint="cs"/>
          <w:sz w:val="23"/>
          <w:szCs w:val="23"/>
          <w:rtl/>
        </w:rPr>
        <w:t xml:space="preserve"> (</w:t>
      </w:r>
      <w:r w:rsidRPr="00563AE6">
        <w:rPr>
          <w:rFonts w:cs="mylotus"/>
          <w:sz w:val="23"/>
          <w:szCs w:val="23"/>
          <w:rtl/>
        </w:rPr>
        <w:t>النهاية، ج2</w:t>
      </w:r>
      <w:r w:rsidRPr="00563AE6">
        <w:rPr>
          <w:rFonts w:cs="mylotus" w:hint="cs"/>
          <w:sz w:val="23"/>
          <w:szCs w:val="23"/>
          <w:rtl/>
        </w:rPr>
        <w:t xml:space="preserve">،  </w:t>
      </w:r>
      <w:r w:rsidRPr="00563AE6">
        <w:rPr>
          <w:rFonts w:cs="mylotus"/>
          <w:sz w:val="23"/>
          <w:szCs w:val="23"/>
          <w:rtl/>
        </w:rPr>
        <w:t>ص238</w:t>
      </w:r>
      <w:r w:rsidRPr="00563AE6">
        <w:rPr>
          <w:rFonts w:cs="mylotus" w:hint="cs"/>
          <w:sz w:val="23"/>
          <w:szCs w:val="23"/>
          <w:rtl/>
        </w:rPr>
        <w:t>). (المُتَرْجِمُ)</w:t>
      </w:r>
    </w:p>
  </w:footnote>
  <w:footnote w:id="45">
    <w:p w:rsidR="00B31118" w:rsidRPr="00563AE6" w:rsidRDefault="00B31118" w:rsidP="00B300C9">
      <w:pPr>
        <w:spacing w:line="228" w:lineRule="auto"/>
        <w:ind w:left="378" w:hanging="378"/>
        <w:jc w:val="both"/>
        <w:rPr>
          <w:rFonts w:cs="mylotus" w:hint="cs"/>
          <w:sz w:val="23"/>
          <w:szCs w:val="23"/>
          <w:rtl/>
        </w:rPr>
      </w:pPr>
      <w:r w:rsidRPr="00563AE6">
        <w:rPr>
          <w:rFonts w:cs="mylotus"/>
          <w:sz w:val="23"/>
          <w:szCs w:val="23"/>
          <w:rtl/>
        </w:rPr>
        <w:footnoteRef/>
      </w:r>
      <w:r>
        <w:rPr>
          <w:rFonts w:cs="mylotus"/>
          <w:sz w:val="23"/>
          <w:szCs w:val="23"/>
          <w:rtl/>
        </w:rPr>
        <w:t>-</w:t>
      </w:r>
      <w:r w:rsidRPr="00563AE6">
        <w:rPr>
          <w:rFonts w:cs="mylotus" w:hint="cs"/>
          <w:sz w:val="23"/>
          <w:szCs w:val="23"/>
          <w:rtl/>
        </w:rPr>
        <w:t xml:space="preserve"> </w:t>
      </w:r>
      <w:r w:rsidRPr="00563AE6">
        <w:rPr>
          <w:rFonts w:cs="mylotus"/>
          <w:sz w:val="23"/>
          <w:szCs w:val="23"/>
          <w:rtl/>
        </w:rPr>
        <w:t xml:space="preserve">روى البخاري حديث أبي هريرة في تعظيم الغلول، وقوله لا ألفين أحدكم يوم القيامة...على رقبته فرس له حمحمة...الخ </w:t>
      </w:r>
      <w:r w:rsidRPr="00563AE6">
        <w:rPr>
          <w:rFonts w:cs="mylotus" w:hint="cs"/>
          <w:sz w:val="23"/>
          <w:szCs w:val="23"/>
          <w:rtl/>
        </w:rPr>
        <w:t>(</w:t>
      </w:r>
      <w:r w:rsidRPr="00563AE6">
        <w:rPr>
          <w:rFonts w:cs="mylotus"/>
          <w:sz w:val="23"/>
          <w:szCs w:val="23"/>
          <w:rtl/>
        </w:rPr>
        <w:t>6،</w:t>
      </w:r>
      <w:r w:rsidRPr="00563AE6">
        <w:rPr>
          <w:rFonts w:cs="mylotus" w:hint="cs"/>
          <w:sz w:val="23"/>
          <w:szCs w:val="23"/>
          <w:rtl/>
        </w:rPr>
        <w:t xml:space="preserve"> </w:t>
      </w:r>
      <w:r w:rsidRPr="00563AE6">
        <w:rPr>
          <w:rFonts w:cs="mylotus"/>
          <w:sz w:val="23"/>
          <w:szCs w:val="23"/>
          <w:rtl/>
        </w:rPr>
        <w:t>113</w:t>
      </w:r>
      <w:r w:rsidRPr="00563AE6">
        <w:rPr>
          <w:rFonts w:cs="mylotus" w:hint="cs"/>
          <w:sz w:val="23"/>
          <w:szCs w:val="23"/>
          <w:rtl/>
        </w:rPr>
        <w:t>)</w:t>
      </w:r>
      <w:r w:rsidRPr="00563AE6">
        <w:rPr>
          <w:rFonts w:cs="mylotus"/>
          <w:sz w:val="23"/>
          <w:szCs w:val="23"/>
          <w:rtl/>
        </w:rPr>
        <w:t xml:space="preserve"> والحمحمة: صوت الفرس عند العلف وهو دون الصهيل</w:t>
      </w:r>
      <w:r w:rsidRPr="00563AE6">
        <w:rPr>
          <w:rFonts w:cs="mylotus" w:hint="cs"/>
          <w:sz w:val="23"/>
          <w:szCs w:val="23"/>
          <w:rtl/>
        </w:rPr>
        <w:t>. (المُتَرْجِمُ)</w:t>
      </w:r>
    </w:p>
  </w:footnote>
  <w:footnote w:id="46">
    <w:p w:rsidR="00B31118" w:rsidRPr="00563AE6" w:rsidRDefault="00B31118" w:rsidP="00445175">
      <w:pPr>
        <w:spacing w:line="228" w:lineRule="auto"/>
        <w:ind w:left="378" w:hanging="378"/>
        <w:jc w:val="both"/>
        <w:rPr>
          <w:rFonts w:cs="mylotus" w:hint="cs"/>
          <w:sz w:val="23"/>
          <w:szCs w:val="23"/>
          <w:rtl/>
        </w:rPr>
      </w:pPr>
      <w:r w:rsidRPr="00563AE6">
        <w:rPr>
          <w:rFonts w:cs="mylotus"/>
          <w:sz w:val="23"/>
          <w:szCs w:val="23"/>
          <w:rtl/>
        </w:rPr>
        <w:footnoteRef/>
      </w:r>
      <w:r>
        <w:rPr>
          <w:rFonts w:cs="mylotus" w:hint="cs"/>
          <w:sz w:val="23"/>
          <w:szCs w:val="23"/>
          <w:rtl/>
        </w:rPr>
        <w:t>-</w:t>
      </w:r>
      <w:r w:rsidRPr="00563AE6">
        <w:rPr>
          <w:rFonts w:cs="mylotus" w:hint="cs"/>
          <w:sz w:val="23"/>
          <w:szCs w:val="23"/>
          <w:rtl/>
        </w:rPr>
        <w:t xml:space="preserve"> روى ال</w:t>
      </w:r>
      <w:r w:rsidRPr="00563AE6">
        <w:rPr>
          <w:rFonts w:cs="mylotus"/>
          <w:sz w:val="23"/>
          <w:szCs w:val="23"/>
          <w:rtl/>
        </w:rPr>
        <w:t>بخار</w:t>
      </w:r>
      <w:r w:rsidRPr="00563AE6">
        <w:rPr>
          <w:rFonts w:cs="mylotus" w:hint="cs"/>
          <w:sz w:val="23"/>
          <w:szCs w:val="23"/>
          <w:rtl/>
        </w:rPr>
        <w:t>ي في صحيحه</w:t>
      </w:r>
      <w:r w:rsidRPr="00563AE6">
        <w:rPr>
          <w:rFonts w:cs="mylotus"/>
          <w:sz w:val="23"/>
          <w:szCs w:val="23"/>
          <w:rtl/>
        </w:rPr>
        <w:t>، ج5</w:t>
      </w:r>
      <w:r w:rsidRPr="00563AE6">
        <w:rPr>
          <w:rFonts w:cs="mylotus" w:hint="cs"/>
          <w:sz w:val="23"/>
          <w:szCs w:val="23"/>
          <w:rtl/>
        </w:rPr>
        <w:t xml:space="preserve">، </w:t>
      </w:r>
      <w:r w:rsidRPr="00563AE6">
        <w:rPr>
          <w:rFonts w:cs="mylotus"/>
          <w:sz w:val="23"/>
          <w:szCs w:val="23"/>
          <w:rtl/>
        </w:rPr>
        <w:t xml:space="preserve">ص138، </w:t>
      </w:r>
      <w:r w:rsidRPr="00563AE6">
        <w:rPr>
          <w:rFonts w:cs="mylotus" w:hint="cs"/>
          <w:sz w:val="23"/>
          <w:szCs w:val="23"/>
          <w:rtl/>
        </w:rPr>
        <w:t xml:space="preserve">الحديث </w:t>
      </w:r>
      <w:r w:rsidRPr="00563AE6">
        <w:rPr>
          <w:rFonts w:cs="mylotus"/>
          <w:sz w:val="23"/>
          <w:szCs w:val="23"/>
          <w:rtl/>
        </w:rPr>
        <w:t xml:space="preserve">4234، </w:t>
      </w:r>
      <w:r w:rsidRPr="00563AE6">
        <w:rPr>
          <w:rFonts w:cs="mylotus" w:hint="cs"/>
          <w:sz w:val="23"/>
          <w:szCs w:val="23"/>
          <w:rtl/>
        </w:rPr>
        <w:t>و</w:t>
      </w:r>
      <w:r w:rsidRPr="00563AE6">
        <w:rPr>
          <w:rFonts w:cs="mylotus"/>
          <w:sz w:val="23"/>
          <w:szCs w:val="23"/>
          <w:rtl/>
        </w:rPr>
        <w:t>مسلم</w:t>
      </w:r>
      <w:r w:rsidRPr="00563AE6">
        <w:rPr>
          <w:rFonts w:cs="mylotus" w:hint="cs"/>
          <w:sz w:val="23"/>
          <w:szCs w:val="23"/>
          <w:rtl/>
        </w:rPr>
        <w:t xml:space="preserve"> في صحيحه</w:t>
      </w:r>
      <w:r w:rsidRPr="00563AE6">
        <w:rPr>
          <w:rFonts w:cs="mylotus"/>
          <w:sz w:val="23"/>
          <w:szCs w:val="23"/>
          <w:rtl/>
        </w:rPr>
        <w:t>، ج1</w:t>
      </w:r>
      <w:r w:rsidRPr="00563AE6">
        <w:rPr>
          <w:rFonts w:cs="mylotus" w:hint="cs"/>
          <w:sz w:val="23"/>
          <w:szCs w:val="23"/>
          <w:rtl/>
        </w:rPr>
        <w:t xml:space="preserve">، </w:t>
      </w:r>
      <w:r w:rsidRPr="00563AE6">
        <w:rPr>
          <w:rFonts w:cs="mylotus"/>
          <w:sz w:val="23"/>
          <w:szCs w:val="23"/>
          <w:rtl/>
        </w:rPr>
        <w:t xml:space="preserve">ص108، </w:t>
      </w:r>
      <w:r w:rsidRPr="00563AE6">
        <w:rPr>
          <w:rFonts w:cs="mylotus" w:hint="cs"/>
          <w:sz w:val="23"/>
          <w:szCs w:val="23"/>
          <w:rtl/>
        </w:rPr>
        <w:t xml:space="preserve">الحديث: </w:t>
      </w:r>
      <w:r w:rsidRPr="00563AE6">
        <w:rPr>
          <w:rFonts w:cs="mylotus"/>
          <w:sz w:val="23"/>
          <w:szCs w:val="23"/>
          <w:rtl/>
        </w:rPr>
        <w:t>115</w:t>
      </w:r>
      <w:r w:rsidRPr="00563AE6">
        <w:rPr>
          <w:rFonts w:cs="mylotus" w:hint="cs"/>
          <w:sz w:val="23"/>
          <w:szCs w:val="23"/>
          <w:rtl/>
        </w:rPr>
        <w:t xml:space="preserve">، من حديث أبي هريرة </w:t>
      </w:r>
      <w:r w:rsidRPr="00563AE6">
        <w:rPr>
          <w:rFonts w:cs="mylotus" w:hint="cs"/>
          <w:sz w:val="23"/>
          <w:szCs w:val="23"/>
          <w:rtl/>
        </w:rPr>
        <w:sym w:font="AGA Arabesque" w:char="F074"/>
      </w:r>
      <w:r w:rsidRPr="00563AE6">
        <w:rPr>
          <w:rFonts w:cs="mylotus"/>
          <w:sz w:val="23"/>
          <w:szCs w:val="23"/>
          <w:rtl/>
        </w:rPr>
        <w:t>.</w:t>
      </w:r>
    </w:p>
  </w:footnote>
  <w:footnote w:id="47">
    <w:p w:rsidR="00B31118" w:rsidRPr="00563AE6" w:rsidRDefault="00B31118" w:rsidP="00445175">
      <w:pPr>
        <w:pStyle w:val="FootnoteText"/>
        <w:spacing w:line="228" w:lineRule="auto"/>
        <w:ind w:left="397" w:hanging="397"/>
        <w:jc w:val="both"/>
        <w:rPr>
          <w:rFonts w:cs="mylotus" w:hint="cs"/>
          <w:sz w:val="23"/>
          <w:szCs w:val="23"/>
          <w:rtl/>
          <w:lang w:bidi="ar-SY"/>
        </w:rPr>
      </w:pPr>
      <w:r w:rsidRPr="00563AE6">
        <w:rPr>
          <w:rStyle w:val="FootnoteReference"/>
          <w:rFonts w:cs="mylotus"/>
          <w:sz w:val="23"/>
          <w:szCs w:val="23"/>
          <w:vertAlign w:val="baseline"/>
          <w:rtl/>
          <w:lang w:bidi="ar-SY"/>
        </w:rPr>
        <w:footnoteRef/>
      </w:r>
      <w:r>
        <w:rPr>
          <w:rFonts w:cs="mylotus"/>
          <w:sz w:val="23"/>
          <w:szCs w:val="23"/>
          <w:rtl/>
          <w:lang w:bidi="ar-SY"/>
        </w:rPr>
        <w:t>-</w:t>
      </w:r>
      <w:r w:rsidRPr="00563AE6">
        <w:rPr>
          <w:rFonts w:cs="mylotus" w:hint="cs"/>
          <w:sz w:val="23"/>
          <w:szCs w:val="23"/>
          <w:rtl/>
          <w:lang w:bidi="ar-SY"/>
        </w:rPr>
        <w:t xml:space="preserve"> ابن الأثير،</w:t>
      </w:r>
      <w:r w:rsidRPr="00563AE6">
        <w:rPr>
          <w:rFonts w:cs="mylotus"/>
          <w:sz w:val="23"/>
          <w:szCs w:val="23"/>
          <w:rtl/>
          <w:lang w:bidi="ar-SY"/>
        </w:rPr>
        <w:t xml:space="preserve"> أُسْد الغابة</w:t>
      </w:r>
      <w:r w:rsidRPr="00563AE6">
        <w:rPr>
          <w:rFonts w:cs="mylotus" w:hint="cs"/>
          <w:sz w:val="23"/>
          <w:szCs w:val="23"/>
          <w:rtl/>
          <w:lang w:bidi="ar-SY"/>
        </w:rPr>
        <w:t xml:space="preserve">، </w:t>
      </w:r>
      <w:r w:rsidRPr="00563AE6">
        <w:rPr>
          <w:rFonts w:cs="mylotus"/>
          <w:sz w:val="23"/>
          <w:szCs w:val="23"/>
          <w:rtl/>
          <w:lang w:bidi="ar-SY"/>
        </w:rPr>
        <w:t>ج 1، ص 175، و</w:t>
      </w:r>
      <w:r w:rsidRPr="00563AE6">
        <w:rPr>
          <w:rFonts w:cs="mylotus" w:hint="cs"/>
          <w:sz w:val="23"/>
          <w:szCs w:val="23"/>
          <w:rtl/>
          <w:lang w:bidi="ar-SY"/>
        </w:rPr>
        <w:t xml:space="preserve">ابن حجر العسقلاني، </w:t>
      </w:r>
      <w:r w:rsidRPr="00563AE6">
        <w:rPr>
          <w:rFonts w:cs="mylotus"/>
          <w:sz w:val="23"/>
          <w:szCs w:val="23"/>
          <w:rtl/>
          <w:lang w:bidi="ar-SY"/>
        </w:rPr>
        <w:t>الإصابة</w:t>
      </w:r>
      <w:r w:rsidRPr="00563AE6">
        <w:rPr>
          <w:rFonts w:cs="mylotus" w:hint="cs"/>
          <w:sz w:val="23"/>
          <w:szCs w:val="23"/>
          <w:rtl/>
          <w:lang w:bidi="ar-SY"/>
        </w:rPr>
        <w:t xml:space="preserve">، </w:t>
      </w:r>
      <w:r w:rsidRPr="00563AE6">
        <w:rPr>
          <w:rFonts w:cs="mylotus"/>
          <w:sz w:val="23"/>
          <w:szCs w:val="23"/>
          <w:rtl/>
          <w:lang w:bidi="ar-SY"/>
        </w:rPr>
        <w:t>ج 1، رقم 696</w:t>
      </w:r>
      <w:r w:rsidRPr="00563AE6">
        <w:rPr>
          <w:rFonts w:cs="mylotus" w:hint="cs"/>
          <w:sz w:val="23"/>
          <w:szCs w:val="23"/>
          <w:rtl/>
          <w:lang w:bidi="ar-SY"/>
        </w:rPr>
        <w:t>،</w:t>
      </w:r>
      <w:r w:rsidRPr="00563AE6">
        <w:rPr>
          <w:rFonts w:cs="mylotus"/>
          <w:sz w:val="23"/>
          <w:szCs w:val="23"/>
          <w:rtl/>
          <w:lang w:bidi="ar-SY"/>
        </w:rPr>
        <w:t xml:space="preserve"> و</w:t>
      </w:r>
      <w:r w:rsidRPr="00563AE6">
        <w:rPr>
          <w:rFonts w:cs="mylotus" w:hint="cs"/>
          <w:sz w:val="23"/>
          <w:szCs w:val="23"/>
          <w:rtl/>
          <w:lang w:bidi="ar-SY"/>
        </w:rPr>
        <w:t xml:space="preserve">ابن سعد، </w:t>
      </w:r>
      <w:r w:rsidRPr="00563AE6">
        <w:rPr>
          <w:rFonts w:cs="mylotus"/>
          <w:sz w:val="23"/>
          <w:szCs w:val="23"/>
          <w:rtl/>
          <w:lang w:bidi="ar-SY"/>
        </w:rPr>
        <w:t>الطبقات الكبرى</w:t>
      </w:r>
      <w:r w:rsidRPr="00563AE6">
        <w:rPr>
          <w:rFonts w:cs="mylotus" w:hint="cs"/>
          <w:sz w:val="23"/>
          <w:szCs w:val="23"/>
          <w:rtl/>
          <w:lang w:bidi="ar-SY"/>
        </w:rPr>
        <w:t>،</w:t>
      </w:r>
      <w:r w:rsidRPr="00563AE6">
        <w:rPr>
          <w:rFonts w:cs="mylotus"/>
          <w:sz w:val="23"/>
          <w:szCs w:val="23"/>
          <w:rtl/>
          <w:lang w:bidi="ar-SY"/>
        </w:rPr>
        <w:t xml:space="preserve"> ج 1، ص274</w:t>
      </w:r>
      <w:r w:rsidRPr="00563AE6">
        <w:rPr>
          <w:rFonts w:cs="mylotus" w:hint="cs"/>
          <w:sz w:val="23"/>
          <w:szCs w:val="23"/>
          <w:rtl/>
          <w:lang w:bidi="ar-SY"/>
        </w:rPr>
        <w:t>.</w:t>
      </w:r>
    </w:p>
  </w:footnote>
  <w:footnote w:id="48">
    <w:p w:rsidR="00B31118" w:rsidRPr="00563AE6" w:rsidRDefault="00B31118" w:rsidP="00B300C9">
      <w:pPr>
        <w:pStyle w:val="FootnoteText"/>
        <w:spacing w:line="228" w:lineRule="auto"/>
        <w:jc w:val="both"/>
        <w:rPr>
          <w:rFonts w:cs="mylotus" w:hint="cs"/>
          <w:sz w:val="23"/>
          <w:szCs w:val="23"/>
          <w:rtl/>
          <w:lang w:bidi="ar-SY"/>
        </w:rPr>
      </w:pPr>
      <w:r w:rsidRPr="00563AE6">
        <w:rPr>
          <w:rStyle w:val="FootnoteReference"/>
          <w:rFonts w:cs="mylotus"/>
          <w:sz w:val="23"/>
          <w:szCs w:val="23"/>
          <w:vertAlign w:val="baseline"/>
          <w:rtl/>
          <w:lang w:bidi="ar-SY"/>
        </w:rPr>
        <w:footnoteRef/>
      </w:r>
      <w:r>
        <w:rPr>
          <w:rFonts w:cs="mylotus"/>
          <w:sz w:val="23"/>
          <w:szCs w:val="23"/>
          <w:rtl/>
          <w:lang w:bidi="ar-SY"/>
        </w:rPr>
        <w:t>-</w:t>
      </w:r>
      <w:r w:rsidRPr="00563AE6">
        <w:rPr>
          <w:rFonts w:ascii="Abo-thar" w:hAnsi="Abo-thar" w:cs="mylotus" w:hint="cs"/>
          <w:sz w:val="23"/>
          <w:szCs w:val="23"/>
          <w:rtl/>
          <w:lang w:bidi="ar-SY"/>
        </w:rPr>
        <w:t xml:space="preserve"> </w:t>
      </w:r>
      <w:r w:rsidRPr="00563AE6">
        <w:rPr>
          <w:rFonts w:ascii="Abo-thar" w:hAnsi="Abo-thar" w:cs="mylotus"/>
          <w:sz w:val="23"/>
          <w:szCs w:val="23"/>
          <w:rtl/>
          <w:lang w:bidi="ar-SY"/>
        </w:rPr>
        <w:t xml:space="preserve"> </w:t>
      </w:r>
      <w:r w:rsidRPr="00563AE6">
        <w:rPr>
          <w:rFonts w:cs="mylotus"/>
          <w:sz w:val="23"/>
          <w:szCs w:val="23"/>
          <w:rtl/>
          <w:lang w:bidi="ar-SY"/>
        </w:rPr>
        <w:t>اليعقوبي</w:t>
      </w:r>
      <w:r w:rsidRPr="00563AE6">
        <w:rPr>
          <w:rFonts w:cs="mylotus" w:hint="cs"/>
          <w:sz w:val="23"/>
          <w:szCs w:val="23"/>
          <w:rtl/>
          <w:lang w:bidi="ar-SY"/>
        </w:rPr>
        <w:t>،</w:t>
      </w:r>
      <w:r w:rsidRPr="00563AE6">
        <w:rPr>
          <w:rFonts w:cs="mylotus"/>
          <w:sz w:val="23"/>
          <w:szCs w:val="23"/>
          <w:rtl/>
          <w:lang w:bidi="ar-SY"/>
        </w:rPr>
        <w:t xml:space="preserve"> تاريخ</w:t>
      </w:r>
      <w:r w:rsidRPr="00563AE6">
        <w:rPr>
          <w:rFonts w:cs="mylotus" w:hint="cs"/>
          <w:sz w:val="23"/>
          <w:szCs w:val="23"/>
          <w:rtl/>
          <w:lang w:bidi="ar-SY"/>
        </w:rPr>
        <w:t xml:space="preserve"> اليعقوبي، </w:t>
      </w:r>
      <w:r w:rsidRPr="00563AE6">
        <w:rPr>
          <w:rFonts w:cs="mylotus"/>
          <w:sz w:val="23"/>
          <w:szCs w:val="23"/>
          <w:rtl/>
          <w:lang w:bidi="ar-SY"/>
        </w:rPr>
        <w:t>ج2</w:t>
      </w:r>
      <w:r w:rsidRPr="00563AE6">
        <w:rPr>
          <w:rFonts w:cs="mylotus" w:hint="cs"/>
          <w:sz w:val="23"/>
          <w:szCs w:val="23"/>
          <w:rtl/>
          <w:lang w:bidi="ar-SY"/>
        </w:rPr>
        <w:t xml:space="preserve">، </w:t>
      </w:r>
      <w:r w:rsidRPr="00563AE6">
        <w:rPr>
          <w:rFonts w:cs="mylotus"/>
          <w:sz w:val="23"/>
          <w:szCs w:val="23"/>
          <w:rtl/>
          <w:lang w:bidi="ar-SY"/>
        </w:rPr>
        <w:t>ص64</w:t>
      </w:r>
      <w:r w:rsidRPr="00563AE6">
        <w:rPr>
          <w:rFonts w:cs="mylotus" w:hint="cs"/>
          <w:sz w:val="23"/>
          <w:szCs w:val="23"/>
          <w:rtl/>
          <w:lang w:bidi="ar-SY"/>
        </w:rPr>
        <w:t>، و</w:t>
      </w:r>
      <w:r w:rsidRPr="00563AE6">
        <w:rPr>
          <w:rFonts w:cs="mylotus"/>
          <w:sz w:val="23"/>
          <w:szCs w:val="23"/>
          <w:rtl/>
          <w:lang w:bidi="ar-SY"/>
        </w:rPr>
        <w:t>ابن سعد</w:t>
      </w:r>
      <w:r w:rsidRPr="00563AE6">
        <w:rPr>
          <w:rFonts w:cs="mylotus" w:hint="cs"/>
          <w:sz w:val="23"/>
          <w:szCs w:val="23"/>
          <w:rtl/>
          <w:lang w:bidi="ar-SY"/>
        </w:rPr>
        <w:t>،</w:t>
      </w:r>
      <w:r w:rsidRPr="00563AE6">
        <w:rPr>
          <w:rFonts w:cs="mylotus"/>
          <w:sz w:val="23"/>
          <w:szCs w:val="23"/>
          <w:rtl/>
          <w:lang w:bidi="ar-SY"/>
        </w:rPr>
        <w:t xml:space="preserve"> الطبقات الكبرى</w:t>
      </w:r>
      <w:r w:rsidRPr="00563AE6">
        <w:rPr>
          <w:rFonts w:cs="mylotus" w:hint="cs"/>
          <w:sz w:val="23"/>
          <w:szCs w:val="23"/>
          <w:rtl/>
          <w:lang w:bidi="ar-SY"/>
        </w:rPr>
        <w:t xml:space="preserve">، </w:t>
      </w:r>
      <w:r w:rsidRPr="00563AE6">
        <w:rPr>
          <w:rFonts w:cs="mylotus"/>
          <w:sz w:val="23"/>
          <w:szCs w:val="23"/>
          <w:rtl/>
          <w:lang w:bidi="ar-SY"/>
        </w:rPr>
        <w:t>ج1</w:t>
      </w:r>
      <w:r w:rsidRPr="00563AE6">
        <w:rPr>
          <w:rFonts w:cs="mylotus" w:hint="cs"/>
          <w:sz w:val="23"/>
          <w:szCs w:val="23"/>
          <w:rtl/>
          <w:lang w:bidi="ar-SY"/>
        </w:rPr>
        <w:t xml:space="preserve">، </w:t>
      </w:r>
      <w:r w:rsidRPr="00563AE6">
        <w:rPr>
          <w:rFonts w:cs="mylotus"/>
          <w:sz w:val="23"/>
          <w:szCs w:val="23"/>
          <w:rtl/>
          <w:lang w:bidi="ar-SY"/>
        </w:rPr>
        <w:t>ص264</w:t>
      </w:r>
      <w:r w:rsidRPr="00563AE6">
        <w:rPr>
          <w:rFonts w:cs="mylotus" w:hint="cs"/>
          <w:sz w:val="23"/>
          <w:szCs w:val="23"/>
          <w:rtl/>
          <w:lang w:bidi="ar-SY"/>
        </w:rPr>
        <w:t>.</w:t>
      </w:r>
    </w:p>
  </w:footnote>
  <w:footnote w:id="49">
    <w:p w:rsidR="00B31118" w:rsidRPr="00563AE6" w:rsidRDefault="00B31118" w:rsidP="00B300C9">
      <w:pPr>
        <w:pStyle w:val="FootnoteText"/>
        <w:spacing w:line="228" w:lineRule="auto"/>
        <w:jc w:val="both"/>
        <w:rPr>
          <w:rFonts w:cs="mylotus" w:hint="cs"/>
          <w:sz w:val="23"/>
          <w:szCs w:val="23"/>
          <w:rtl/>
          <w:lang w:bidi="ar-SY"/>
        </w:rPr>
      </w:pPr>
      <w:r w:rsidRPr="00563AE6">
        <w:rPr>
          <w:rStyle w:val="FootnoteReference"/>
          <w:rFonts w:cs="mylotus"/>
          <w:sz w:val="23"/>
          <w:szCs w:val="23"/>
          <w:vertAlign w:val="baseline"/>
          <w:rtl/>
          <w:lang w:bidi="ar-SY"/>
        </w:rPr>
        <w:footnoteRef/>
      </w:r>
      <w:r>
        <w:rPr>
          <w:rFonts w:cs="mylotus"/>
          <w:sz w:val="23"/>
          <w:szCs w:val="23"/>
          <w:rtl/>
          <w:lang w:bidi="ar-SY"/>
        </w:rPr>
        <w:t>-</w:t>
      </w:r>
      <w:r w:rsidRPr="00563AE6">
        <w:rPr>
          <w:rFonts w:ascii="Abo-thar" w:hAnsi="Abo-thar" w:cs="mylotus" w:hint="cs"/>
          <w:sz w:val="23"/>
          <w:szCs w:val="23"/>
          <w:rtl/>
          <w:lang w:bidi="ar-SY"/>
        </w:rPr>
        <w:t xml:space="preserve"> </w:t>
      </w:r>
      <w:r w:rsidRPr="00563AE6">
        <w:rPr>
          <w:rFonts w:cs="mylotus" w:hint="cs"/>
          <w:sz w:val="23"/>
          <w:szCs w:val="23"/>
          <w:rtl/>
          <w:lang w:bidi="ar-SY"/>
        </w:rPr>
        <w:t>ابن سعد، الطبقات الكبرى، ج1، ص 270، والمتقي الهندي، كنز العمال، ج 5، ص 320.</w:t>
      </w:r>
    </w:p>
  </w:footnote>
  <w:footnote w:id="50">
    <w:p w:rsidR="00B31118" w:rsidRPr="00563AE6" w:rsidRDefault="00B31118" w:rsidP="00445175">
      <w:pPr>
        <w:pStyle w:val="FootnoteText"/>
        <w:spacing w:line="228" w:lineRule="auto"/>
        <w:ind w:left="397" w:hanging="397"/>
        <w:jc w:val="both"/>
        <w:rPr>
          <w:rFonts w:cs="mylotus" w:hint="cs"/>
          <w:sz w:val="23"/>
          <w:szCs w:val="23"/>
          <w:rtl/>
          <w:lang w:bidi="ar-SY"/>
        </w:rPr>
      </w:pPr>
      <w:r w:rsidRPr="00563AE6">
        <w:rPr>
          <w:rStyle w:val="FootnoteReference"/>
          <w:rFonts w:cs="mylotus"/>
          <w:sz w:val="23"/>
          <w:szCs w:val="23"/>
          <w:vertAlign w:val="baseline"/>
          <w:rtl/>
          <w:lang w:bidi="ar-SY"/>
        </w:rPr>
        <w:footnoteRef/>
      </w:r>
      <w:r>
        <w:rPr>
          <w:rFonts w:cs="mylotus"/>
          <w:sz w:val="23"/>
          <w:szCs w:val="23"/>
          <w:rtl/>
          <w:lang w:bidi="ar-SY"/>
        </w:rPr>
        <w:t>-</w:t>
      </w:r>
      <w:r w:rsidRPr="00563AE6">
        <w:rPr>
          <w:rFonts w:ascii="Abo-thar" w:hAnsi="Abo-thar" w:cs="mylotus" w:hint="cs"/>
          <w:sz w:val="23"/>
          <w:szCs w:val="23"/>
          <w:rtl/>
          <w:lang w:bidi="ar-SY"/>
        </w:rPr>
        <w:t xml:space="preserve"> </w:t>
      </w:r>
      <w:r w:rsidRPr="00563AE6">
        <w:rPr>
          <w:rFonts w:ascii="Abo-thar" w:hAnsi="Abo-thar" w:cs="mylotus"/>
          <w:sz w:val="23"/>
          <w:szCs w:val="23"/>
          <w:rtl/>
          <w:lang w:bidi="ar-SY"/>
        </w:rPr>
        <w:t xml:space="preserve"> </w:t>
      </w:r>
      <w:r w:rsidRPr="00563AE6">
        <w:rPr>
          <w:rFonts w:cs="mylotus"/>
          <w:sz w:val="23"/>
          <w:szCs w:val="23"/>
          <w:rtl/>
          <w:lang w:bidi="ar-SY"/>
        </w:rPr>
        <w:t>تاريخ الطبري، ج2، ص 281، وابن كثير، البداية والنهاية، ج 5، ص76، والبلاذري، فتوح البلدان ص80، والسيرة النبوية لابن هشام في ج4، ص 258.</w:t>
      </w:r>
    </w:p>
  </w:footnote>
  <w:footnote w:id="51">
    <w:p w:rsidR="00B31118" w:rsidRPr="00563AE6" w:rsidRDefault="00B31118" w:rsidP="00B300C9">
      <w:pPr>
        <w:pStyle w:val="FootnoteText"/>
        <w:spacing w:line="228" w:lineRule="auto"/>
        <w:jc w:val="both"/>
        <w:rPr>
          <w:rFonts w:cs="mylotus" w:hint="cs"/>
          <w:sz w:val="23"/>
          <w:szCs w:val="23"/>
          <w:rtl/>
          <w:lang w:bidi="ar-SY"/>
        </w:rPr>
      </w:pPr>
      <w:r w:rsidRPr="00563AE6">
        <w:rPr>
          <w:rStyle w:val="FootnoteReference"/>
          <w:rFonts w:cs="mylotus"/>
          <w:sz w:val="23"/>
          <w:szCs w:val="23"/>
          <w:vertAlign w:val="baseline"/>
          <w:rtl/>
          <w:lang w:bidi="ar-SY"/>
        </w:rPr>
        <w:footnoteRef/>
      </w:r>
      <w:r>
        <w:rPr>
          <w:rFonts w:cs="mylotus"/>
          <w:sz w:val="23"/>
          <w:szCs w:val="23"/>
          <w:rtl/>
          <w:lang w:bidi="ar-SY"/>
        </w:rPr>
        <w:t>-</w:t>
      </w:r>
      <w:r w:rsidRPr="00563AE6">
        <w:rPr>
          <w:rFonts w:ascii="Abo-thar" w:hAnsi="Abo-thar" w:cs="mylotus" w:hint="cs"/>
          <w:sz w:val="23"/>
          <w:szCs w:val="23"/>
          <w:rtl/>
          <w:lang w:bidi="ar-SY"/>
        </w:rPr>
        <w:t xml:space="preserve"> القلقشندي، صبح الأعشى، ج 10، ص 10؛ أبو يوسف القاضي، الخراج، ص 72.</w:t>
      </w:r>
    </w:p>
  </w:footnote>
  <w:footnote w:id="52">
    <w:p w:rsidR="00B31118" w:rsidRPr="00563AE6" w:rsidRDefault="00B31118" w:rsidP="00B300C9">
      <w:pPr>
        <w:pStyle w:val="FootnoteText"/>
        <w:spacing w:line="228" w:lineRule="auto"/>
        <w:jc w:val="both"/>
        <w:rPr>
          <w:rFonts w:cs="mylotus" w:hint="cs"/>
          <w:sz w:val="23"/>
          <w:szCs w:val="23"/>
          <w:rtl/>
          <w:lang w:bidi="ar-SY"/>
        </w:rPr>
      </w:pPr>
      <w:r w:rsidRPr="00563AE6">
        <w:rPr>
          <w:rStyle w:val="FootnoteReference"/>
          <w:rFonts w:cs="mylotus"/>
          <w:sz w:val="23"/>
          <w:szCs w:val="23"/>
          <w:vertAlign w:val="baseline"/>
          <w:rtl/>
          <w:lang w:bidi="ar-SY"/>
        </w:rPr>
        <w:footnoteRef/>
      </w:r>
      <w:r>
        <w:rPr>
          <w:rFonts w:cs="mylotus"/>
          <w:sz w:val="23"/>
          <w:szCs w:val="23"/>
          <w:rtl/>
          <w:lang w:bidi="ar-SY"/>
        </w:rPr>
        <w:t>-</w:t>
      </w:r>
      <w:r w:rsidRPr="00563AE6">
        <w:rPr>
          <w:rFonts w:ascii="Abo-thar" w:hAnsi="Abo-thar" w:cs="mylotus" w:hint="cs"/>
          <w:sz w:val="23"/>
          <w:szCs w:val="23"/>
          <w:rtl/>
          <w:lang w:bidi="ar-SY"/>
        </w:rPr>
        <w:t xml:space="preserve">  أبو عبيد القاسم بن سلام، الأموال، ص 19.</w:t>
      </w:r>
    </w:p>
  </w:footnote>
  <w:footnote w:id="53">
    <w:p w:rsidR="00B31118" w:rsidRPr="00563AE6" w:rsidRDefault="00B31118" w:rsidP="00B300C9">
      <w:pPr>
        <w:pStyle w:val="FootnoteText"/>
        <w:spacing w:line="228" w:lineRule="auto"/>
        <w:jc w:val="both"/>
        <w:rPr>
          <w:rFonts w:cs="mylotus" w:hint="cs"/>
          <w:sz w:val="23"/>
          <w:szCs w:val="23"/>
          <w:rtl/>
          <w:lang w:bidi="ar-SY"/>
        </w:rPr>
      </w:pPr>
      <w:r w:rsidRPr="00563AE6">
        <w:rPr>
          <w:rStyle w:val="FootnoteReference"/>
          <w:rFonts w:cs="mylotus"/>
          <w:sz w:val="23"/>
          <w:szCs w:val="23"/>
          <w:vertAlign w:val="baseline"/>
          <w:rtl/>
          <w:lang w:bidi="ar-SY"/>
        </w:rPr>
        <w:footnoteRef/>
      </w:r>
      <w:r>
        <w:rPr>
          <w:rFonts w:cs="mylotus"/>
          <w:sz w:val="23"/>
          <w:szCs w:val="23"/>
          <w:rtl/>
          <w:lang w:bidi="ar-SY"/>
        </w:rPr>
        <w:t>-</w:t>
      </w:r>
      <w:r w:rsidRPr="00563AE6">
        <w:rPr>
          <w:rFonts w:ascii="Abo-thar" w:hAnsi="Abo-thar" w:cs="mylotus" w:hint="cs"/>
          <w:sz w:val="23"/>
          <w:szCs w:val="23"/>
          <w:rtl/>
          <w:lang w:bidi="ar-SY"/>
        </w:rPr>
        <w:t xml:space="preserve">  المصدر نفسه، ص 427.</w:t>
      </w:r>
    </w:p>
  </w:footnote>
  <w:footnote w:id="54">
    <w:p w:rsidR="00B31118" w:rsidRPr="00563AE6" w:rsidRDefault="00B31118" w:rsidP="00B300C9">
      <w:pPr>
        <w:pStyle w:val="FootnoteText"/>
        <w:spacing w:line="228" w:lineRule="auto"/>
        <w:jc w:val="both"/>
        <w:rPr>
          <w:rFonts w:cs="mylotus" w:hint="cs"/>
          <w:sz w:val="23"/>
          <w:szCs w:val="23"/>
          <w:rtl/>
          <w:lang w:bidi="ar-SY"/>
        </w:rPr>
      </w:pPr>
      <w:r w:rsidRPr="00563AE6">
        <w:rPr>
          <w:rStyle w:val="FootnoteReference"/>
          <w:rFonts w:cs="mylotus"/>
          <w:sz w:val="23"/>
          <w:szCs w:val="23"/>
          <w:vertAlign w:val="baseline"/>
          <w:rtl/>
          <w:lang w:bidi="ar-SY"/>
        </w:rPr>
        <w:footnoteRef/>
      </w:r>
      <w:r>
        <w:rPr>
          <w:rFonts w:cs="mylotus"/>
          <w:sz w:val="23"/>
          <w:szCs w:val="23"/>
          <w:rtl/>
          <w:lang w:bidi="ar-SY"/>
        </w:rPr>
        <w:t>-</w:t>
      </w:r>
      <w:r w:rsidRPr="00563AE6">
        <w:rPr>
          <w:rFonts w:ascii="Abo-thar" w:hAnsi="Abo-thar" w:cs="mylotus" w:hint="cs"/>
          <w:sz w:val="23"/>
          <w:szCs w:val="23"/>
          <w:rtl/>
          <w:lang w:bidi="ar-SY"/>
        </w:rPr>
        <w:t xml:space="preserve">  النوري الطبرسي، مستدرك الوسائل، ج1، ص551.</w:t>
      </w:r>
    </w:p>
  </w:footnote>
  <w:footnote w:id="55">
    <w:p w:rsidR="00B31118" w:rsidRPr="00563AE6" w:rsidRDefault="00B31118" w:rsidP="00B300C9">
      <w:pPr>
        <w:pStyle w:val="FootnoteText"/>
        <w:spacing w:line="228" w:lineRule="auto"/>
        <w:jc w:val="both"/>
        <w:rPr>
          <w:rFonts w:cs="mylotus" w:hint="cs"/>
          <w:sz w:val="23"/>
          <w:szCs w:val="23"/>
          <w:rtl/>
          <w:lang w:bidi="ar-SY"/>
        </w:rPr>
      </w:pPr>
      <w:r w:rsidRPr="00563AE6">
        <w:rPr>
          <w:rStyle w:val="FootnoteReference"/>
          <w:rFonts w:cs="mylotus"/>
          <w:sz w:val="23"/>
          <w:szCs w:val="23"/>
          <w:vertAlign w:val="baseline"/>
          <w:rtl/>
          <w:lang w:bidi="ar-SY"/>
        </w:rPr>
        <w:footnoteRef/>
      </w:r>
      <w:r>
        <w:rPr>
          <w:rFonts w:cs="mylotus"/>
          <w:sz w:val="23"/>
          <w:szCs w:val="23"/>
          <w:rtl/>
          <w:lang w:bidi="ar-SY"/>
        </w:rPr>
        <w:t>-</w:t>
      </w:r>
      <w:r w:rsidRPr="00563AE6">
        <w:rPr>
          <w:rFonts w:ascii="Abo-thar" w:hAnsi="Abo-thar" w:cs="mylotus" w:hint="cs"/>
          <w:sz w:val="23"/>
          <w:szCs w:val="23"/>
          <w:rtl/>
          <w:lang w:bidi="ar-SY"/>
        </w:rPr>
        <w:t xml:space="preserve">  الشيخ </w:t>
      </w:r>
      <w:r w:rsidRPr="00563AE6">
        <w:rPr>
          <w:rFonts w:ascii="Abo-thar" w:hAnsi="Abo-thar" w:cs="mylotus"/>
          <w:sz w:val="23"/>
          <w:szCs w:val="23"/>
          <w:rtl/>
          <w:lang w:bidi="ar-SY"/>
        </w:rPr>
        <w:t>مُحَمَّدُ بْنُ الْحَسَنِ الصَّفَّارُ</w:t>
      </w:r>
      <w:r w:rsidRPr="00563AE6">
        <w:rPr>
          <w:rFonts w:ascii="Abo-thar" w:hAnsi="Abo-thar" w:cs="mylotus" w:hint="cs"/>
          <w:sz w:val="23"/>
          <w:szCs w:val="23"/>
          <w:rtl/>
          <w:lang w:bidi="ar-SY"/>
        </w:rPr>
        <w:t xml:space="preserve">، </w:t>
      </w:r>
      <w:r w:rsidRPr="00563AE6">
        <w:rPr>
          <w:rFonts w:ascii="Abo-thar" w:hAnsi="Abo-thar" w:cs="mylotus"/>
          <w:sz w:val="23"/>
          <w:szCs w:val="23"/>
          <w:rtl/>
          <w:lang w:bidi="ar-SY"/>
        </w:rPr>
        <w:t>بَصَائِرِ الدَّرَجَاتِ</w:t>
      </w:r>
      <w:r w:rsidRPr="00563AE6">
        <w:rPr>
          <w:rFonts w:ascii="Abo-thar" w:hAnsi="Abo-thar" w:cs="mylotus" w:hint="cs"/>
          <w:sz w:val="23"/>
          <w:szCs w:val="23"/>
          <w:rtl/>
          <w:lang w:bidi="ar-SY"/>
        </w:rPr>
        <w:t>، ص290.</w:t>
      </w:r>
    </w:p>
  </w:footnote>
  <w:footnote w:id="56">
    <w:p w:rsidR="00B31118" w:rsidRPr="00563AE6" w:rsidRDefault="00B31118" w:rsidP="00B300C9">
      <w:pPr>
        <w:pStyle w:val="FootnoteText"/>
        <w:spacing w:line="228" w:lineRule="auto"/>
        <w:jc w:val="both"/>
        <w:rPr>
          <w:rFonts w:cs="mylotus" w:hint="cs"/>
          <w:sz w:val="23"/>
          <w:szCs w:val="23"/>
          <w:rtl/>
          <w:lang w:bidi="ar-SY"/>
        </w:rPr>
      </w:pPr>
      <w:r w:rsidRPr="00563AE6">
        <w:rPr>
          <w:rStyle w:val="FootnoteReference"/>
          <w:rFonts w:cs="mylotus"/>
          <w:sz w:val="23"/>
          <w:szCs w:val="23"/>
          <w:vertAlign w:val="baseline"/>
          <w:rtl/>
          <w:lang w:bidi="ar-SY"/>
        </w:rPr>
        <w:footnoteRef/>
      </w:r>
      <w:r>
        <w:rPr>
          <w:rFonts w:cs="mylotus"/>
          <w:sz w:val="23"/>
          <w:szCs w:val="23"/>
          <w:rtl/>
          <w:lang w:bidi="ar-SY"/>
        </w:rPr>
        <w:t>-</w:t>
      </w:r>
      <w:r w:rsidRPr="00563AE6">
        <w:rPr>
          <w:rFonts w:ascii="Abo-thar" w:hAnsi="Abo-thar" w:cs="mylotus" w:hint="cs"/>
          <w:sz w:val="23"/>
          <w:szCs w:val="23"/>
          <w:rtl/>
          <w:lang w:bidi="ar-SY"/>
        </w:rPr>
        <w:t xml:space="preserve">  ابن سعد، الطبقات الكبرى، ج3، ص 194.</w:t>
      </w:r>
    </w:p>
  </w:footnote>
  <w:footnote w:id="57">
    <w:p w:rsidR="00B31118" w:rsidRPr="00563AE6" w:rsidRDefault="00B31118" w:rsidP="00B300C9">
      <w:pPr>
        <w:pStyle w:val="FootnoteText"/>
        <w:spacing w:line="228" w:lineRule="auto"/>
        <w:jc w:val="both"/>
        <w:rPr>
          <w:rFonts w:cs="mylotus" w:hint="cs"/>
          <w:sz w:val="23"/>
          <w:szCs w:val="23"/>
          <w:rtl/>
          <w:lang w:bidi="ar-SY"/>
        </w:rPr>
      </w:pPr>
      <w:r w:rsidRPr="00563AE6">
        <w:rPr>
          <w:rStyle w:val="FootnoteReference"/>
          <w:rFonts w:cs="mylotus"/>
          <w:sz w:val="23"/>
          <w:szCs w:val="23"/>
          <w:vertAlign w:val="baseline"/>
          <w:rtl/>
          <w:lang w:bidi="ar-SY"/>
        </w:rPr>
        <w:footnoteRef/>
      </w:r>
      <w:r>
        <w:rPr>
          <w:rFonts w:cs="mylotus"/>
          <w:sz w:val="23"/>
          <w:szCs w:val="23"/>
          <w:rtl/>
          <w:lang w:bidi="ar-SY"/>
        </w:rPr>
        <w:t>-</w:t>
      </w:r>
      <w:r w:rsidRPr="00563AE6">
        <w:rPr>
          <w:rFonts w:ascii="Abo-thar" w:hAnsi="Abo-thar" w:cs="mylotus" w:hint="cs"/>
          <w:sz w:val="23"/>
          <w:szCs w:val="23"/>
          <w:rtl/>
          <w:lang w:bidi="ar-SY"/>
        </w:rPr>
        <w:t xml:space="preserve"> البيهقي، السنن الكبرى، ج6، ص336.</w:t>
      </w:r>
    </w:p>
  </w:footnote>
  <w:footnote w:id="58">
    <w:p w:rsidR="00B31118" w:rsidRPr="00563AE6" w:rsidRDefault="00B31118" w:rsidP="00B300C9">
      <w:pPr>
        <w:pStyle w:val="FootnoteText"/>
        <w:spacing w:line="228" w:lineRule="auto"/>
        <w:jc w:val="both"/>
        <w:rPr>
          <w:rFonts w:cs="mylotus" w:hint="cs"/>
          <w:sz w:val="23"/>
          <w:szCs w:val="23"/>
          <w:rtl/>
          <w:lang w:bidi="ar-SY"/>
        </w:rPr>
      </w:pPr>
      <w:r w:rsidRPr="00563AE6">
        <w:rPr>
          <w:rStyle w:val="FootnoteReference"/>
          <w:rFonts w:cs="mylotus"/>
          <w:sz w:val="23"/>
          <w:szCs w:val="23"/>
          <w:vertAlign w:val="baseline"/>
          <w:rtl/>
          <w:lang w:bidi="ar-SY"/>
        </w:rPr>
        <w:footnoteRef/>
      </w:r>
      <w:r>
        <w:rPr>
          <w:rFonts w:cs="mylotus"/>
          <w:sz w:val="23"/>
          <w:szCs w:val="23"/>
          <w:rtl/>
          <w:lang w:bidi="ar-SY"/>
        </w:rPr>
        <w:t>-</w:t>
      </w:r>
      <w:r w:rsidRPr="00563AE6">
        <w:rPr>
          <w:rFonts w:ascii="Abo-thar" w:hAnsi="Abo-thar" w:cs="mylotus" w:hint="cs"/>
          <w:sz w:val="23"/>
          <w:szCs w:val="23"/>
          <w:rtl/>
          <w:lang w:bidi="ar-SY"/>
        </w:rPr>
        <w:t xml:space="preserve"> عبد الرزاق الصنعاني، المصنَّف، ج 5، ص238، حديث رقم 9482.</w:t>
      </w:r>
    </w:p>
  </w:footnote>
  <w:footnote w:id="59">
    <w:p w:rsidR="00B31118" w:rsidRPr="00563AE6" w:rsidRDefault="00B31118" w:rsidP="00B300C9">
      <w:pPr>
        <w:spacing w:line="228" w:lineRule="auto"/>
        <w:ind w:left="378" w:hanging="378"/>
        <w:jc w:val="both"/>
        <w:rPr>
          <w:rFonts w:cs="mylotus" w:hint="cs"/>
          <w:sz w:val="23"/>
          <w:szCs w:val="23"/>
          <w:rtl/>
        </w:rPr>
      </w:pPr>
      <w:r w:rsidRPr="00563AE6">
        <w:rPr>
          <w:rFonts w:cs="mylotus"/>
          <w:sz w:val="23"/>
          <w:szCs w:val="23"/>
          <w:rtl/>
        </w:rPr>
        <w:footnoteRef/>
      </w:r>
      <w:r>
        <w:rPr>
          <w:rFonts w:cs="mylotus"/>
          <w:sz w:val="23"/>
          <w:szCs w:val="23"/>
          <w:rtl/>
        </w:rPr>
        <w:t>-</w:t>
      </w:r>
      <w:r w:rsidRPr="00563AE6">
        <w:rPr>
          <w:rFonts w:cs="mylotus"/>
          <w:sz w:val="23"/>
          <w:szCs w:val="23"/>
          <w:rtl/>
        </w:rPr>
        <w:t xml:space="preserve"> </w:t>
      </w:r>
      <w:r w:rsidRPr="00563AE6">
        <w:rPr>
          <w:rFonts w:cs="mylotus" w:hint="cs"/>
          <w:sz w:val="23"/>
          <w:szCs w:val="23"/>
          <w:rtl/>
        </w:rPr>
        <w:t xml:space="preserve">روى عبد الرزاق الصنعاني في كتابه </w:t>
      </w:r>
      <w:r w:rsidRPr="00563AE6">
        <w:rPr>
          <w:rFonts w:cs="mylotus" w:hint="eastAsia"/>
          <w:sz w:val="23"/>
          <w:szCs w:val="23"/>
          <w:rtl/>
        </w:rPr>
        <w:t>«</w:t>
      </w:r>
      <w:r w:rsidRPr="00563AE6">
        <w:rPr>
          <w:rFonts w:cs="mylotus" w:hint="cs"/>
          <w:sz w:val="23"/>
          <w:szCs w:val="23"/>
          <w:rtl/>
        </w:rPr>
        <w:t>المصنف</w:t>
      </w:r>
      <w:r w:rsidRPr="00563AE6">
        <w:rPr>
          <w:rFonts w:cs="mylotus" w:hint="eastAsia"/>
          <w:sz w:val="23"/>
          <w:szCs w:val="23"/>
          <w:rtl/>
        </w:rPr>
        <w:t>»</w:t>
      </w:r>
      <w:r w:rsidRPr="00563AE6">
        <w:rPr>
          <w:rFonts w:cs="mylotus"/>
          <w:sz w:val="23"/>
          <w:szCs w:val="23"/>
          <w:rtl/>
        </w:rPr>
        <w:t xml:space="preserve"> </w:t>
      </w:r>
      <w:r w:rsidRPr="00563AE6">
        <w:rPr>
          <w:rFonts w:cs="mylotus" w:hint="cs"/>
          <w:sz w:val="23"/>
          <w:szCs w:val="23"/>
          <w:rtl/>
        </w:rPr>
        <w:t>(ج5، ص239، رقم 9485): «</w:t>
      </w:r>
      <w:r w:rsidRPr="00563AE6">
        <w:rPr>
          <w:rFonts w:cs="mylotus"/>
          <w:sz w:val="23"/>
          <w:szCs w:val="23"/>
          <w:rtl/>
        </w:rPr>
        <w:t>كان سهم النبي</w:t>
      </w:r>
      <w:r w:rsidRPr="00563AE6">
        <w:rPr>
          <w:rFonts w:cs="mylotus" w:hint="cs"/>
          <w:sz w:val="23"/>
          <w:szCs w:val="23"/>
          <w:rtl/>
        </w:rPr>
        <w:t>ّ</w:t>
      </w:r>
      <w:r w:rsidRPr="00563AE6">
        <w:rPr>
          <w:rFonts w:cs="mylotus"/>
          <w:sz w:val="23"/>
          <w:szCs w:val="23"/>
          <w:rtl/>
        </w:rPr>
        <w:t xml:space="preserve"> </w:t>
      </w:r>
      <w:r w:rsidRPr="00BC4BA9">
        <w:rPr>
          <w:rFonts w:cs="CTraditional Arabic"/>
          <w:sz w:val="23"/>
          <w:szCs w:val="23"/>
          <w:rtl/>
        </w:rPr>
        <w:t>ص</w:t>
      </w:r>
      <w:r w:rsidRPr="00563AE6">
        <w:rPr>
          <w:rFonts w:cs="mylotus"/>
          <w:sz w:val="23"/>
          <w:szCs w:val="23"/>
          <w:rtl/>
        </w:rPr>
        <w:t xml:space="preserve"> يدعى الصفي</w:t>
      </w:r>
      <w:r w:rsidRPr="00563AE6">
        <w:rPr>
          <w:rFonts w:cs="mylotus" w:hint="cs"/>
          <w:sz w:val="23"/>
          <w:szCs w:val="23"/>
          <w:rtl/>
        </w:rPr>
        <w:t>ّ</w:t>
      </w:r>
      <w:r w:rsidRPr="00563AE6">
        <w:rPr>
          <w:rFonts w:cs="mylotus"/>
          <w:sz w:val="23"/>
          <w:szCs w:val="23"/>
          <w:rtl/>
        </w:rPr>
        <w:t>، إن شاء عبدا</w:t>
      </w:r>
      <w:r w:rsidRPr="00563AE6">
        <w:rPr>
          <w:rFonts w:cs="mylotus" w:hint="cs"/>
          <w:sz w:val="23"/>
          <w:szCs w:val="23"/>
          <w:rtl/>
        </w:rPr>
        <w:t>ً</w:t>
      </w:r>
      <w:r w:rsidRPr="00563AE6">
        <w:rPr>
          <w:rFonts w:cs="mylotus"/>
          <w:sz w:val="23"/>
          <w:szCs w:val="23"/>
          <w:rtl/>
        </w:rPr>
        <w:t>، وإن شاء فرسا</w:t>
      </w:r>
      <w:r w:rsidRPr="00563AE6">
        <w:rPr>
          <w:rFonts w:cs="mylotus" w:hint="cs"/>
          <w:sz w:val="23"/>
          <w:szCs w:val="23"/>
          <w:rtl/>
        </w:rPr>
        <w:t>ً</w:t>
      </w:r>
      <w:r w:rsidRPr="00563AE6">
        <w:rPr>
          <w:rFonts w:cs="mylotus"/>
          <w:sz w:val="23"/>
          <w:szCs w:val="23"/>
          <w:rtl/>
        </w:rPr>
        <w:t>، يختاره قبل الخمس، ويضرب له سهمه، إن شهد، وإن غاب، وكانت صفية بنت حيي من الصفي</w:t>
      </w:r>
      <w:r w:rsidRPr="00563AE6">
        <w:rPr>
          <w:rFonts w:cs="mylotus" w:hint="cs"/>
          <w:sz w:val="23"/>
          <w:szCs w:val="23"/>
          <w:rtl/>
        </w:rPr>
        <w:t>ّ</w:t>
      </w:r>
      <w:r w:rsidRPr="00563AE6">
        <w:rPr>
          <w:rFonts w:cs="mylotus"/>
          <w:sz w:val="23"/>
          <w:szCs w:val="23"/>
          <w:rtl/>
        </w:rPr>
        <w:t>.</w:t>
      </w:r>
      <w:r w:rsidRPr="00563AE6">
        <w:rPr>
          <w:rFonts w:cs="mylotus" w:hint="cs"/>
          <w:sz w:val="23"/>
          <w:szCs w:val="23"/>
          <w:rtl/>
        </w:rPr>
        <w:t>»</w:t>
      </w:r>
    </w:p>
  </w:footnote>
  <w:footnote w:id="60">
    <w:p w:rsidR="00B31118" w:rsidRPr="00563AE6" w:rsidRDefault="00B31118" w:rsidP="00B300C9">
      <w:pPr>
        <w:spacing w:line="228" w:lineRule="auto"/>
        <w:ind w:left="378" w:hanging="378"/>
        <w:jc w:val="both"/>
        <w:rPr>
          <w:rFonts w:cs="mylotus" w:hint="cs"/>
          <w:sz w:val="23"/>
          <w:szCs w:val="23"/>
          <w:rtl/>
        </w:rPr>
      </w:pPr>
      <w:r w:rsidRPr="00563AE6">
        <w:rPr>
          <w:rFonts w:cs="mylotus"/>
          <w:sz w:val="23"/>
          <w:szCs w:val="23"/>
          <w:rtl/>
        </w:rPr>
        <w:footnoteRef/>
      </w:r>
      <w:r>
        <w:rPr>
          <w:rFonts w:cs="mylotus"/>
          <w:sz w:val="23"/>
          <w:szCs w:val="23"/>
          <w:rtl/>
        </w:rPr>
        <w:t>-</w:t>
      </w:r>
      <w:r w:rsidRPr="00563AE6">
        <w:rPr>
          <w:rFonts w:cs="mylotus"/>
          <w:sz w:val="23"/>
          <w:szCs w:val="23"/>
          <w:rtl/>
        </w:rPr>
        <w:t xml:space="preserve"> </w:t>
      </w:r>
      <w:r w:rsidRPr="00563AE6">
        <w:rPr>
          <w:rFonts w:cs="mylotus" w:hint="cs"/>
          <w:sz w:val="23"/>
          <w:szCs w:val="23"/>
          <w:rtl/>
        </w:rPr>
        <w:t>الماوردي، الأحكام السلطانية، مختصراً. (المُتَرْجِمُ)</w:t>
      </w:r>
    </w:p>
  </w:footnote>
  <w:footnote w:id="61">
    <w:p w:rsidR="00B31118" w:rsidRPr="00563AE6" w:rsidRDefault="00B31118" w:rsidP="00B300C9">
      <w:pPr>
        <w:spacing w:line="228" w:lineRule="auto"/>
        <w:ind w:left="378" w:hanging="378"/>
        <w:jc w:val="both"/>
        <w:rPr>
          <w:rFonts w:cs="mylotus" w:hint="cs"/>
          <w:sz w:val="23"/>
          <w:szCs w:val="23"/>
          <w:rtl/>
        </w:rPr>
      </w:pPr>
      <w:r w:rsidRPr="00563AE6">
        <w:rPr>
          <w:rFonts w:cs="mylotus"/>
          <w:sz w:val="23"/>
          <w:szCs w:val="23"/>
          <w:rtl/>
        </w:rPr>
        <w:footnoteRef/>
      </w:r>
      <w:r>
        <w:rPr>
          <w:rFonts w:cs="mylotus"/>
          <w:sz w:val="23"/>
          <w:szCs w:val="23"/>
          <w:rtl/>
        </w:rPr>
        <w:t>-</w:t>
      </w:r>
      <w:r w:rsidRPr="00563AE6">
        <w:rPr>
          <w:rFonts w:cs="mylotus"/>
          <w:sz w:val="23"/>
          <w:szCs w:val="23"/>
          <w:rtl/>
        </w:rPr>
        <w:t xml:space="preserve"> </w:t>
      </w:r>
      <w:r w:rsidRPr="00563AE6">
        <w:rPr>
          <w:rFonts w:cs="mylotus" w:hint="cs"/>
          <w:sz w:val="23"/>
          <w:szCs w:val="23"/>
          <w:rtl/>
        </w:rPr>
        <w:t>المصدر السابق. (المُتَرْجِمُ)</w:t>
      </w:r>
    </w:p>
  </w:footnote>
  <w:footnote w:id="62">
    <w:p w:rsidR="00B31118" w:rsidRPr="00563AE6" w:rsidRDefault="00B31118" w:rsidP="00B300C9">
      <w:pPr>
        <w:spacing w:line="228" w:lineRule="auto"/>
        <w:ind w:left="378" w:hanging="378"/>
        <w:jc w:val="both"/>
        <w:rPr>
          <w:rFonts w:cs="mylotus" w:hint="cs"/>
          <w:sz w:val="23"/>
          <w:szCs w:val="23"/>
          <w:rtl/>
        </w:rPr>
      </w:pPr>
      <w:r w:rsidRPr="00563AE6">
        <w:rPr>
          <w:rFonts w:cs="mylotus"/>
          <w:sz w:val="23"/>
          <w:szCs w:val="23"/>
          <w:rtl/>
        </w:rPr>
        <w:footnoteRef/>
      </w:r>
      <w:r>
        <w:rPr>
          <w:rFonts w:cs="mylotus"/>
          <w:sz w:val="23"/>
          <w:szCs w:val="23"/>
          <w:rtl/>
        </w:rPr>
        <w:t>-</w:t>
      </w:r>
      <w:r w:rsidRPr="00563AE6">
        <w:rPr>
          <w:rFonts w:cs="mylotus" w:hint="cs"/>
          <w:sz w:val="23"/>
          <w:szCs w:val="23"/>
          <w:rtl/>
        </w:rPr>
        <w:t xml:space="preserve"> </w:t>
      </w:r>
      <w:r w:rsidRPr="00563AE6">
        <w:rPr>
          <w:rFonts w:cs="mylotus"/>
          <w:sz w:val="23"/>
          <w:szCs w:val="23"/>
          <w:rtl/>
        </w:rPr>
        <w:t>الْكُرَاع</w:t>
      </w:r>
      <w:r w:rsidRPr="00563AE6">
        <w:rPr>
          <w:rFonts w:cs="mylotus" w:hint="cs"/>
          <w:sz w:val="23"/>
          <w:szCs w:val="23"/>
          <w:rtl/>
        </w:rPr>
        <w:t>ُ: اسمٌ لجميع الخيل. (النهاية لابن الأثير). (المُتَرْجِمُ)</w:t>
      </w:r>
    </w:p>
  </w:footnote>
  <w:footnote w:id="63">
    <w:p w:rsidR="00B31118" w:rsidRPr="00563AE6" w:rsidRDefault="00B31118" w:rsidP="00B300C9">
      <w:pPr>
        <w:spacing w:line="228" w:lineRule="auto"/>
        <w:ind w:left="378" w:hanging="378"/>
        <w:jc w:val="both"/>
        <w:rPr>
          <w:rFonts w:cs="mylotus" w:hint="cs"/>
          <w:sz w:val="23"/>
          <w:szCs w:val="23"/>
          <w:rtl/>
        </w:rPr>
      </w:pPr>
      <w:r w:rsidRPr="00563AE6">
        <w:rPr>
          <w:rFonts w:cs="mylotus"/>
          <w:sz w:val="23"/>
          <w:szCs w:val="23"/>
          <w:rtl/>
        </w:rPr>
        <w:footnoteRef/>
      </w:r>
      <w:r>
        <w:rPr>
          <w:rFonts w:cs="mylotus"/>
          <w:sz w:val="23"/>
          <w:szCs w:val="23"/>
          <w:rtl/>
        </w:rPr>
        <w:t>-</w:t>
      </w:r>
      <w:r w:rsidRPr="00563AE6">
        <w:rPr>
          <w:rFonts w:cs="mylotus"/>
          <w:sz w:val="23"/>
          <w:szCs w:val="23"/>
          <w:rtl/>
        </w:rPr>
        <w:t xml:space="preserve"> </w:t>
      </w:r>
      <w:r w:rsidRPr="00563AE6">
        <w:rPr>
          <w:rFonts w:cs="mylotus" w:hint="cs"/>
          <w:sz w:val="23"/>
          <w:szCs w:val="23"/>
          <w:rtl/>
        </w:rPr>
        <w:t xml:space="preserve">«حبساً»: أي وقفاً. و«لنوائبه»: من </w:t>
      </w:r>
      <w:r w:rsidRPr="00563AE6">
        <w:rPr>
          <w:rFonts w:cs="mylotus"/>
          <w:sz w:val="23"/>
          <w:szCs w:val="23"/>
          <w:rtl/>
        </w:rPr>
        <w:t>النوائبُ: جمع نائبة، وهي ما يَنوبُ الإنسانَ: أي يَنْزِل به من المِهمّات والحوادث.</w:t>
      </w:r>
      <w:r w:rsidRPr="00563AE6">
        <w:rPr>
          <w:rFonts w:cs="mylotus" w:hint="cs"/>
          <w:sz w:val="23"/>
          <w:szCs w:val="23"/>
          <w:rtl/>
        </w:rPr>
        <w:t xml:space="preserve"> (النهاية لابن الأثير). (المُتَرْجِمُ)</w:t>
      </w:r>
    </w:p>
  </w:footnote>
  <w:footnote w:id="64">
    <w:p w:rsidR="00B31118" w:rsidRPr="00563AE6" w:rsidRDefault="00B31118" w:rsidP="00B300C9">
      <w:pPr>
        <w:spacing w:line="228" w:lineRule="auto"/>
        <w:ind w:left="378" w:hanging="378"/>
        <w:jc w:val="both"/>
        <w:rPr>
          <w:rFonts w:cs="mylotus" w:hint="cs"/>
          <w:sz w:val="23"/>
          <w:szCs w:val="23"/>
        </w:rPr>
      </w:pPr>
      <w:r w:rsidRPr="00563AE6">
        <w:rPr>
          <w:rStyle w:val="FootnoteReference"/>
          <w:rFonts w:cs="mylotus"/>
          <w:sz w:val="23"/>
          <w:szCs w:val="23"/>
          <w:vertAlign w:val="baseline"/>
          <w:rtl/>
        </w:rPr>
        <w:footnoteRef/>
      </w:r>
      <w:r>
        <w:rPr>
          <w:rFonts w:cs="mylotus"/>
          <w:sz w:val="23"/>
          <w:szCs w:val="23"/>
          <w:rtl/>
        </w:rPr>
        <w:t>-</w:t>
      </w:r>
      <w:r w:rsidRPr="00563AE6">
        <w:rPr>
          <w:rFonts w:cs="mylotus"/>
          <w:sz w:val="23"/>
          <w:szCs w:val="23"/>
          <w:rtl/>
        </w:rPr>
        <w:t xml:space="preserve"> </w:t>
      </w:r>
      <w:r w:rsidRPr="00563AE6">
        <w:rPr>
          <w:rFonts w:cs="mylotus" w:hint="cs"/>
          <w:sz w:val="23"/>
          <w:szCs w:val="23"/>
          <w:rtl/>
        </w:rPr>
        <w:t xml:space="preserve">ذكر </w:t>
      </w:r>
      <w:r w:rsidRPr="00563AE6">
        <w:rPr>
          <w:rFonts w:cs="mylotus"/>
          <w:sz w:val="23"/>
          <w:szCs w:val="23"/>
          <w:rtl/>
        </w:rPr>
        <w:t>أبو عبيد القاسم بن سلام البغدادي</w:t>
      </w:r>
      <w:r w:rsidRPr="00563AE6">
        <w:rPr>
          <w:rFonts w:cs="mylotus" w:hint="cs"/>
          <w:sz w:val="23"/>
          <w:szCs w:val="23"/>
          <w:rtl/>
        </w:rPr>
        <w:t xml:space="preserve"> </w:t>
      </w:r>
      <w:r w:rsidRPr="00563AE6">
        <w:rPr>
          <w:rFonts w:cs="mylotus"/>
          <w:sz w:val="23"/>
          <w:szCs w:val="23"/>
          <w:rtl/>
        </w:rPr>
        <w:t>(224هـ)</w:t>
      </w:r>
      <w:r w:rsidRPr="00563AE6">
        <w:rPr>
          <w:rFonts w:cs="mylotus" w:hint="cs"/>
          <w:sz w:val="23"/>
          <w:szCs w:val="23"/>
          <w:rtl/>
        </w:rPr>
        <w:t xml:space="preserve"> في كتابه </w:t>
      </w:r>
      <w:r w:rsidRPr="00563AE6">
        <w:rPr>
          <w:rFonts w:cs="mylotus" w:hint="eastAsia"/>
          <w:sz w:val="23"/>
          <w:szCs w:val="23"/>
          <w:rtl/>
        </w:rPr>
        <w:t>«</w:t>
      </w:r>
      <w:r w:rsidRPr="00563AE6">
        <w:rPr>
          <w:rFonts w:cs="mylotus" w:hint="cs"/>
          <w:sz w:val="23"/>
          <w:szCs w:val="23"/>
          <w:rtl/>
        </w:rPr>
        <w:t>الأموال</w:t>
      </w:r>
      <w:r w:rsidRPr="00563AE6">
        <w:rPr>
          <w:rFonts w:cs="mylotus" w:hint="eastAsia"/>
          <w:sz w:val="23"/>
          <w:szCs w:val="23"/>
          <w:rtl/>
        </w:rPr>
        <w:t>»</w:t>
      </w:r>
      <w:r w:rsidRPr="00563AE6">
        <w:rPr>
          <w:rFonts w:cs="mylotus"/>
          <w:sz w:val="23"/>
          <w:szCs w:val="23"/>
          <w:rtl/>
        </w:rPr>
        <w:t xml:space="preserve"> </w:t>
      </w:r>
      <w:r w:rsidRPr="00563AE6">
        <w:rPr>
          <w:rFonts w:cs="mylotus" w:hint="cs"/>
          <w:sz w:val="23"/>
          <w:szCs w:val="23"/>
          <w:rtl/>
        </w:rPr>
        <w:t>روايةً «</w:t>
      </w:r>
      <w:r w:rsidRPr="00563AE6">
        <w:rPr>
          <w:rFonts w:cs="mylotus"/>
          <w:sz w:val="23"/>
          <w:szCs w:val="23"/>
          <w:rtl/>
        </w:rPr>
        <w:t xml:space="preserve">عن علي بن أبي طلحة، عن ابن عباس، قال: كانت الغنيمة تقسم على خمسة أخماس، فأربعة منها لمن قاتل عليها، وخمس واحد يقسم على أربعة، فربع </w:t>
      </w:r>
      <w:r w:rsidRPr="00563AE6">
        <w:rPr>
          <w:rFonts w:cs="mylotus" w:hint="cs"/>
          <w:sz w:val="23"/>
          <w:szCs w:val="23"/>
          <w:rtl/>
        </w:rPr>
        <w:t>لِـلّهِ</w:t>
      </w:r>
      <w:r w:rsidRPr="00563AE6">
        <w:rPr>
          <w:rFonts w:cs="mylotus"/>
          <w:sz w:val="23"/>
          <w:szCs w:val="23"/>
          <w:rtl/>
        </w:rPr>
        <w:t xml:space="preserve"> وللرسول ولذي القربى، يعني قرابة النبي </w:t>
      </w:r>
      <w:r w:rsidRPr="00BC4BA9">
        <w:rPr>
          <w:rFonts w:cs="CTraditional Arabic"/>
          <w:sz w:val="23"/>
          <w:szCs w:val="23"/>
          <w:rtl/>
        </w:rPr>
        <w:t>ص</w:t>
      </w:r>
      <w:r w:rsidRPr="00563AE6">
        <w:rPr>
          <w:rFonts w:cs="mylotus"/>
          <w:sz w:val="23"/>
          <w:szCs w:val="23"/>
          <w:rtl/>
        </w:rPr>
        <w:t xml:space="preserve">، قال: فما كان </w:t>
      </w:r>
      <w:r w:rsidRPr="00563AE6">
        <w:rPr>
          <w:rFonts w:cs="mylotus" w:hint="cs"/>
          <w:sz w:val="23"/>
          <w:szCs w:val="23"/>
          <w:rtl/>
        </w:rPr>
        <w:t>لِـلّهِ</w:t>
      </w:r>
      <w:r w:rsidRPr="00563AE6">
        <w:rPr>
          <w:rFonts w:cs="mylotus"/>
          <w:sz w:val="23"/>
          <w:szCs w:val="23"/>
          <w:rtl/>
        </w:rPr>
        <w:t xml:space="preserve"> وللرسول منها فهو لقرابة النبي </w:t>
      </w:r>
      <w:r w:rsidRPr="00BC4BA9">
        <w:rPr>
          <w:rFonts w:cs="CTraditional Arabic"/>
          <w:sz w:val="23"/>
          <w:szCs w:val="23"/>
          <w:rtl/>
        </w:rPr>
        <w:t>ص</w:t>
      </w:r>
      <w:r w:rsidRPr="00563AE6">
        <w:rPr>
          <w:rFonts w:cs="mylotus"/>
          <w:sz w:val="23"/>
          <w:szCs w:val="23"/>
          <w:rtl/>
        </w:rPr>
        <w:t xml:space="preserve">، ولم يأخذ النبي </w:t>
      </w:r>
      <w:r w:rsidRPr="00BC4BA9">
        <w:rPr>
          <w:rFonts w:cs="CTraditional Arabic"/>
          <w:sz w:val="23"/>
          <w:szCs w:val="23"/>
          <w:rtl/>
        </w:rPr>
        <w:t>ص</w:t>
      </w:r>
      <w:r w:rsidRPr="00563AE6">
        <w:rPr>
          <w:rFonts w:cs="mylotus"/>
          <w:sz w:val="23"/>
          <w:szCs w:val="23"/>
          <w:rtl/>
        </w:rPr>
        <w:t xml:space="preserve"> من الخمس شيئا، والربع الثاني لليتامى، والربع الثالث للمساكين، والربع الرابع لابن السبيل، وهو الضيف الفقير الذي ينزل بالمسلمين</w:t>
      </w:r>
      <w:r w:rsidRPr="00563AE6">
        <w:rPr>
          <w:rFonts w:cs="mylotus" w:hint="cs"/>
          <w:sz w:val="23"/>
          <w:szCs w:val="23"/>
          <w:rtl/>
        </w:rPr>
        <w:t>».</w:t>
      </w:r>
    </w:p>
  </w:footnote>
  <w:footnote w:id="65">
    <w:p w:rsidR="00B31118" w:rsidRPr="00563AE6" w:rsidRDefault="00B31118" w:rsidP="00B300C9">
      <w:pPr>
        <w:spacing w:line="228" w:lineRule="auto"/>
        <w:ind w:left="378" w:hanging="378"/>
        <w:jc w:val="both"/>
        <w:rPr>
          <w:rFonts w:cs="mylotus"/>
          <w:sz w:val="23"/>
          <w:szCs w:val="23"/>
          <w:rtl/>
        </w:rPr>
      </w:pPr>
      <w:r w:rsidRPr="00563AE6">
        <w:rPr>
          <w:rStyle w:val="FootnoteReference"/>
          <w:rFonts w:cs="mylotus"/>
          <w:sz w:val="23"/>
          <w:szCs w:val="23"/>
          <w:vertAlign w:val="baseline"/>
          <w:rtl/>
        </w:rPr>
        <w:footnoteRef/>
      </w:r>
      <w:r>
        <w:rPr>
          <w:rFonts w:cs="mylotus"/>
          <w:sz w:val="23"/>
          <w:szCs w:val="23"/>
          <w:rtl/>
        </w:rPr>
        <w:t>-</w:t>
      </w:r>
      <w:r w:rsidRPr="00563AE6">
        <w:rPr>
          <w:rFonts w:cs="mylotus" w:hint="cs"/>
          <w:sz w:val="23"/>
          <w:szCs w:val="23"/>
          <w:rtl/>
        </w:rPr>
        <w:t xml:space="preserve"> روى الحر العاملي في وسائل الشيعة [</w:t>
      </w:r>
      <w:r w:rsidRPr="00563AE6">
        <w:rPr>
          <w:rFonts w:cs="mylotus"/>
          <w:sz w:val="23"/>
          <w:szCs w:val="23"/>
          <w:rtl/>
        </w:rPr>
        <w:t>ج 9</w:t>
      </w:r>
      <w:r w:rsidRPr="00563AE6">
        <w:rPr>
          <w:rFonts w:cs="mylotus" w:hint="cs"/>
          <w:sz w:val="23"/>
          <w:szCs w:val="23"/>
          <w:rtl/>
        </w:rPr>
        <w:t xml:space="preserve">، </w:t>
      </w:r>
      <w:r w:rsidRPr="00563AE6">
        <w:rPr>
          <w:rFonts w:cs="mylotus"/>
          <w:sz w:val="23"/>
          <w:szCs w:val="23"/>
          <w:rtl/>
        </w:rPr>
        <w:t>ص</w:t>
      </w:r>
      <w:r w:rsidRPr="00563AE6">
        <w:rPr>
          <w:rFonts w:cs="mylotus" w:hint="cs"/>
          <w:sz w:val="23"/>
          <w:szCs w:val="23"/>
          <w:rtl/>
        </w:rPr>
        <w:t>530-</w:t>
      </w:r>
      <w:r w:rsidRPr="00563AE6">
        <w:rPr>
          <w:rFonts w:cs="mylotus"/>
          <w:sz w:val="23"/>
          <w:szCs w:val="23"/>
          <w:rtl/>
        </w:rPr>
        <w:t>531</w:t>
      </w:r>
      <w:r w:rsidRPr="00563AE6">
        <w:rPr>
          <w:rFonts w:cs="mylotus" w:hint="cs"/>
          <w:sz w:val="23"/>
          <w:szCs w:val="23"/>
          <w:rtl/>
        </w:rPr>
        <w:t>، ح (</w:t>
      </w:r>
      <w:r w:rsidRPr="00563AE6">
        <w:rPr>
          <w:rFonts w:cs="mylotus"/>
          <w:sz w:val="23"/>
          <w:szCs w:val="23"/>
          <w:rtl/>
        </w:rPr>
        <w:t>12643</w:t>
      </w:r>
      <w:r w:rsidRPr="00563AE6">
        <w:rPr>
          <w:rFonts w:cs="mylotus" w:hint="cs"/>
          <w:sz w:val="23"/>
          <w:szCs w:val="23"/>
          <w:rtl/>
        </w:rPr>
        <w:t>)] قال:</w:t>
      </w:r>
      <w:r w:rsidRPr="00563AE6">
        <w:rPr>
          <w:rFonts w:cs="mylotus"/>
          <w:sz w:val="23"/>
          <w:szCs w:val="23"/>
          <w:rtl/>
        </w:rPr>
        <w:t xml:space="preserve"> عَلِيُّ بْنُ الْحُسَيْنِ الْمُرْتَضَى فِي </w:t>
      </w:r>
      <w:r w:rsidRPr="00563AE6">
        <w:rPr>
          <w:rFonts w:cs="mylotus" w:hint="cs"/>
          <w:sz w:val="23"/>
          <w:szCs w:val="23"/>
          <w:rtl/>
        </w:rPr>
        <w:t>«</w:t>
      </w:r>
      <w:r w:rsidRPr="00563AE6">
        <w:rPr>
          <w:rFonts w:cs="mylotus"/>
          <w:sz w:val="23"/>
          <w:szCs w:val="23"/>
          <w:rtl/>
        </w:rPr>
        <w:t>رِسَالَةِ المُحْكَمِ وَالمُتَشَابِهِ</w:t>
      </w:r>
      <w:r w:rsidRPr="00563AE6">
        <w:rPr>
          <w:rFonts w:cs="mylotus" w:hint="cs"/>
          <w:sz w:val="23"/>
          <w:szCs w:val="23"/>
          <w:rtl/>
        </w:rPr>
        <w:t xml:space="preserve">» </w:t>
      </w:r>
      <w:r w:rsidRPr="00563AE6">
        <w:rPr>
          <w:rFonts w:cs="mylotus"/>
          <w:sz w:val="23"/>
          <w:szCs w:val="23"/>
          <w:rtl/>
        </w:rPr>
        <w:t xml:space="preserve">نَقْلًا مِنْ تَفْسِيرِ النُّعْمَانِيِّ بِإِسْنَادِهِ الْآتِي </w:t>
      </w:r>
      <w:r w:rsidRPr="00563AE6">
        <w:rPr>
          <w:rFonts w:cs="mylotus" w:hint="cs"/>
          <w:sz w:val="23"/>
          <w:szCs w:val="23"/>
          <w:rtl/>
        </w:rPr>
        <w:t>«</w:t>
      </w:r>
      <w:r w:rsidRPr="00563AE6">
        <w:rPr>
          <w:rFonts w:cs="mylotus"/>
          <w:sz w:val="23"/>
          <w:szCs w:val="23"/>
          <w:rtl/>
        </w:rPr>
        <w:t xml:space="preserve">عَنْ عَلِيٍّ </w:t>
      </w:r>
      <w:r w:rsidRPr="00BC4BA9">
        <w:rPr>
          <w:rFonts w:cs="CTraditional Arabic" w:hint="cs"/>
          <w:sz w:val="23"/>
          <w:szCs w:val="23"/>
          <w:rtl/>
        </w:rPr>
        <w:t>÷</w:t>
      </w:r>
      <w:r w:rsidRPr="00563AE6">
        <w:rPr>
          <w:rFonts w:cs="mylotus"/>
          <w:sz w:val="23"/>
          <w:szCs w:val="23"/>
          <w:rtl/>
        </w:rPr>
        <w:t>‏</w:t>
      </w:r>
      <w:r w:rsidRPr="00563AE6">
        <w:rPr>
          <w:rFonts w:cs="mylotus" w:hint="cs"/>
          <w:sz w:val="23"/>
          <w:szCs w:val="23"/>
          <w:rtl/>
        </w:rPr>
        <w:t xml:space="preserve">، </w:t>
      </w:r>
      <w:r w:rsidRPr="00563AE6">
        <w:rPr>
          <w:rFonts w:cs="mylotus"/>
          <w:sz w:val="23"/>
          <w:szCs w:val="23"/>
          <w:rtl/>
        </w:rPr>
        <w:t xml:space="preserve">بَعْدَ مَا ذَكَرَ الْخُمُسَ وَأَنَّ نِصْفَهُ لِلْإِمَامِ ثُمَّ قَالَ إِنَّ لِلْقَائِمِ بِأُمُورِ المُسْلِمِينَ بَعْدَ ذَلِكَ الْأَنْفَالَ الَّتِي كَانَتْ لِرَسُولِ </w:t>
      </w:r>
      <w:r w:rsidRPr="00563AE6">
        <w:rPr>
          <w:rFonts w:cs="mylotus" w:hint="cs"/>
          <w:sz w:val="23"/>
          <w:szCs w:val="23"/>
          <w:rtl/>
        </w:rPr>
        <w:t>اللهِ</w:t>
      </w:r>
      <w:r w:rsidRPr="00563AE6">
        <w:rPr>
          <w:rFonts w:cs="mylotus"/>
          <w:sz w:val="23"/>
          <w:szCs w:val="23"/>
          <w:rtl/>
        </w:rPr>
        <w:t xml:space="preserve"> </w:t>
      </w:r>
      <w:r w:rsidRPr="00563AE6">
        <w:rPr>
          <w:rFonts w:cs="CTraditional Arabic" w:hint="cs"/>
          <w:sz w:val="23"/>
          <w:szCs w:val="23"/>
          <w:rtl/>
        </w:rPr>
        <w:t>ص</w:t>
      </w:r>
      <w:r w:rsidRPr="00563AE6">
        <w:rPr>
          <w:rFonts w:cs="mylotus"/>
          <w:sz w:val="23"/>
          <w:szCs w:val="23"/>
          <w:rtl/>
        </w:rPr>
        <w:t xml:space="preserve"> قَالَ اللهُ عَزَّ وَجَلَّ</w:t>
      </w:r>
      <w:r w:rsidRPr="00563AE6">
        <w:rPr>
          <w:rFonts w:cs="mylotus" w:hint="cs"/>
          <w:sz w:val="23"/>
          <w:szCs w:val="23"/>
          <w:rtl/>
        </w:rPr>
        <w:t xml:space="preserve"> </w:t>
      </w:r>
      <w:r w:rsidRPr="00563AE6">
        <w:rPr>
          <w:rFonts w:cs="Traditional Arabic" w:hint="cs"/>
          <w:sz w:val="23"/>
          <w:szCs w:val="23"/>
          <w:rtl/>
        </w:rPr>
        <w:t>﴿</w:t>
      </w:r>
      <w:r w:rsidRPr="00563AE6">
        <w:rPr>
          <w:rFonts w:ascii="KFGQPC Uthmanic Script HAFS" w:cs="KFGQPC Uthmanic Script HAFS" w:hint="eastAsia"/>
          <w:sz w:val="23"/>
          <w:szCs w:val="23"/>
          <w:rtl/>
        </w:rPr>
        <w:t>يَس</w:t>
      </w:r>
      <w:r w:rsidRPr="00563AE6">
        <w:rPr>
          <w:rFonts w:ascii="KFGQPC Uthmanic Script HAFS" w:cs="KFGQPC Uthmanic Script HAFS" w:hint="cs"/>
          <w:sz w:val="23"/>
          <w:szCs w:val="23"/>
          <w:rtl/>
        </w:rPr>
        <w:t>ۡ</w:t>
      </w:r>
      <w:r w:rsidRPr="00563AE6">
        <w:rPr>
          <w:rFonts w:ascii="KFGQPC Uthmanic Script HAFS" w:cs="KFGQPC Uthmanic Script HAFS" w:hint="eastAsia"/>
          <w:sz w:val="23"/>
          <w:szCs w:val="23"/>
          <w:rtl/>
        </w:rPr>
        <w:t>‍</w:t>
      </w:r>
      <w:r w:rsidRPr="00563AE6">
        <w:rPr>
          <w:rFonts w:ascii="KFGQPC Uthmanic Script HAFS" w:cs="KFGQPC Uthmanic Script HAFS" w:hint="cs"/>
          <w:sz w:val="23"/>
          <w:szCs w:val="23"/>
          <w:rtl/>
        </w:rPr>
        <w:t>ٔ</w:t>
      </w:r>
      <w:r w:rsidRPr="00563AE6">
        <w:rPr>
          <w:rFonts w:ascii="KFGQPC Uthmanic Script HAFS" w:cs="KFGQPC Uthmanic Script HAFS" w:hint="eastAsia"/>
          <w:sz w:val="23"/>
          <w:szCs w:val="23"/>
          <w:rtl/>
        </w:rPr>
        <w:t>َلُونَكَ</w:t>
      </w:r>
      <w:r w:rsidRPr="00563AE6">
        <w:rPr>
          <w:rFonts w:ascii="KFGQPC Uthmanic Script HAFS" w:cs="KFGQPC Uthmanic Script HAFS"/>
          <w:sz w:val="23"/>
          <w:szCs w:val="23"/>
          <w:rtl/>
        </w:rPr>
        <w:t xml:space="preserve"> </w:t>
      </w:r>
      <w:r w:rsidRPr="00563AE6">
        <w:rPr>
          <w:rFonts w:ascii="KFGQPC Uthmanic Script HAFS" w:cs="KFGQPC Uthmanic Script HAFS" w:hint="eastAsia"/>
          <w:sz w:val="23"/>
          <w:szCs w:val="23"/>
          <w:rtl/>
        </w:rPr>
        <w:t>عَنِ</w:t>
      </w:r>
      <w:r w:rsidRPr="00563AE6">
        <w:rPr>
          <w:rFonts w:ascii="KFGQPC Uthmanic Script HAFS" w:cs="KFGQPC Uthmanic Script HAFS"/>
          <w:sz w:val="23"/>
          <w:szCs w:val="23"/>
          <w:rtl/>
        </w:rPr>
        <w:t xml:space="preserve"> </w:t>
      </w:r>
      <w:r w:rsidRPr="00563AE6">
        <w:rPr>
          <w:rFonts w:ascii="KFGQPC Uthmanic Script HAFS" w:cs="KFGQPC Uthmanic Script HAFS" w:hint="cs"/>
          <w:sz w:val="23"/>
          <w:szCs w:val="23"/>
          <w:rtl/>
        </w:rPr>
        <w:t>ٱ</w:t>
      </w:r>
      <w:r w:rsidRPr="00563AE6">
        <w:rPr>
          <w:rFonts w:ascii="KFGQPC Uthmanic Script HAFS" w:cs="KFGQPC Uthmanic Script HAFS" w:hint="eastAsia"/>
          <w:sz w:val="23"/>
          <w:szCs w:val="23"/>
          <w:rtl/>
        </w:rPr>
        <w:t>ل</w:t>
      </w:r>
      <w:r w:rsidRPr="00563AE6">
        <w:rPr>
          <w:rFonts w:ascii="KFGQPC Uthmanic Script HAFS" w:cs="KFGQPC Uthmanic Script HAFS" w:hint="cs"/>
          <w:sz w:val="23"/>
          <w:szCs w:val="23"/>
          <w:rtl/>
        </w:rPr>
        <w:t>ۡ</w:t>
      </w:r>
      <w:r w:rsidRPr="00563AE6">
        <w:rPr>
          <w:rFonts w:ascii="KFGQPC Uthmanic Script HAFS" w:cs="KFGQPC Uthmanic Script HAFS" w:hint="eastAsia"/>
          <w:sz w:val="23"/>
          <w:szCs w:val="23"/>
          <w:rtl/>
        </w:rPr>
        <w:t>أَنفَالِ</w:t>
      </w:r>
      <w:r w:rsidRPr="00563AE6">
        <w:rPr>
          <w:rFonts w:ascii="KFGQPC Uthmanic Script HAFS" w:cs="KFGQPC Uthmanic Script HAFS" w:hint="cs"/>
          <w:sz w:val="23"/>
          <w:szCs w:val="23"/>
          <w:rtl/>
        </w:rPr>
        <w:t>ۖ</w:t>
      </w:r>
      <w:r w:rsidRPr="00563AE6">
        <w:rPr>
          <w:rFonts w:ascii="KFGQPC Uthmanic Script HAFS" w:cs="KFGQPC Uthmanic Script HAFS"/>
          <w:sz w:val="23"/>
          <w:szCs w:val="23"/>
          <w:rtl/>
        </w:rPr>
        <w:t xml:space="preserve"> </w:t>
      </w:r>
      <w:r w:rsidRPr="00563AE6">
        <w:rPr>
          <w:rFonts w:ascii="KFGQPC Uthmanic Script HAFS" w:cs="KFGQPC Uthmanic Script HAFS" w:hint="eastAsia"/>
          <w:sz w:val="23"/>
          <w:szCs w:val="23"/>
          <w:rtl/>
        </w:rPr>
        <w:t>قُلِ</w:t>
      </w:r>
      <w:r w:rsidRPr="00563AE6">
        <w:rPr>
          <w:rFonts w:ascii="KFGQPC Uthmanic Script HAFS" w:cs="KFGQPC Uthmanic Script HAFS"/>
          <w:sz w:val="23"/>
          <w:szCs w:val="23"/>
          <w:rtl/>
        </w:rPr>
        <w:t xml:space="preserve"> </w:t>
      </w:r>
      <w:r w:rsidRPr="00563AE6">
        <w:rPr>
          <w:rFonts w:ascii="KFGQPC Uthmanic Script HAFS" w:cs="KFGQPC Uthmanic Script HAFS" w:hint="cs"/>
          <w:sz w:val="23"/>
          <w:szCs w:val="23"/>
          <w:rtl/>
        </w:rPr>
        <w:t>ٱ</w:t>
      </w:r>
      <w:r w:rsidRPr="00563AE6">
        <w:rPr>
          <w:rFonts w:ascii="KFGQPC Uthmanic Script HAFS" w:cs="KFGQPC Uthmanic Script HAFS" w:hint="eastAsia"/>
          <w:sz w:val="23"/>
          <w:szCs w:val="23"/>
          <w:rtl/>
        </w:rPr>
        <w:t>ل</w:t>
      </w:r>
      <w:r w:rsidRPr="00563AE6">
        <w:rPr>
          <w:rFonts w:ascii="KFGQPC Uthmanic Script HAFS" w:cs="KFGQPC Uthmanic Script HAFS" w:hint="cs"/>
          <w:sz w:val="23"/>
          <w:szCs w:val="23"/>
          <w:rtl/>
        </w:rPr>
        <w:t>ۡ</w:t>
      </w:r>
      <w:r w:rsidRPr="00563AE6">
        <w:rPr>
          <w:rFonts w:ascii="KFGQPC Uthmanic Script HAFS" w:cs="KFGQPC Uthmanic Script HAFS" w:hint="eastAsia"/>
          <w:sz w:val="23"/>
          <w:szCs w:val="23"/>
          <w:rtl/>
        </w:rPr>
        <w:t>أَنفَالُ</w:t>
      </w:r>
      <w:r w:rsidRPr="00563AE6">
        <w:rPr>
          <w:rFonts w:ascii="KFGQPC Uthmanic Script HAFS" w:cs="KFGQPC Uthmanic Script HAFS"/>
          <w:sz w:val="23"/>
          <w:szCs w:val="23"/>
          <w:rtl/>
        </w:rPr>
        <w:t xml:space="preserve"> </w:t>
      </w:r>
      <w:r w:rsidRPr="00563AE6">
        <w:rPr>
          <w:rFonts w:ascii="KFGQPC Uthmanic Script HAFS" w:cs="KFGQPC Uthmanic Script HAFS" w:hint="eastAsia"/>
          <w:sz w:val="23"/>
          <w:szCs w:val="23"/>
          <w:rtl/>
        </w:rPr>
        <w:t>لِلَّهِ</w:t>
      </w:r>
      <w:r w:rsidRPr="00563AE6">
        <w:rPr>
          <w:rFonts w:ascii="KFGQPC Uthmanic Script HAFS" w:cs="KFGQPC Uthmanic Script HAFS"/>
          <w:sz w:val="23"/>
          <w:szCs w:val="23"/>
          <w:rtl/>
        </w:rPr>
        <w:t xml:space="preserve"> </w:t>
      </w:r>
      <w:r w:rsidRPr="00563AE6">
        <w:rPr>
          <w:rFonts w:ascii="KFGQPC Uthmanic Script HAFS" w:cs="KFGQPC Uthmanic Script HAFS" w:hint="eastAsia"/>
          <w:sz w:val="23"/>
          <w:szCs w:val="23"/>
          <w:rtl/>
        </w:rPr>
        <w:t>وَ</w:t>
      </w:r>
      <w:r w:rsidRPr="00563AE6">
        <w:rPr>
          <w:rFonts w:ascii="KFGQPC Uthmanic Script HAFS" w:cs="KFGQPC Uthmanic Script HAFS" w:hint="cs"/>
          <w:sz w:val="23"/>
          <w:szCs w:val="23"/>
          <w:rtl/>
        </w:rPr>
        <w:t>ٱ</w:t>
      </w:r>
      <w:r w:rsidRPr="00563AE6">
        <w:rPr>
          <w:rFonts w:ascii="KFGQPC Uthmanic Script HAFS" w:cs="KFGQPC Uthmanic Script HAFS" w:hint="eastAsia"/>
          <w:sz w:val="23"/>
          <w:szCs w:val="23"/>
          <w:rtl/>
        </w:rPr>
        <w:t>لرَّسُولِ</w:t>
      </w:r>
      <w:r w:rsidRPr="00563AE6">
        <w:rPr>
          <w:rFonts w:cs="Traditional Arabic" w:hint="cs"/>
          <w:sz w:val="23"/>
          <w:szCs w:val="23"/>
          <w:rtl/>
        </w:rPr>
        <w:t>﴾</w:t>
      </w:r>
      <w:r w:rsidRPr="00563AE6">
        <w:rPr>
          <w:rFonts w:cs="mylotus"/>
          <w:sz w:val="23"/>
          <w:szCs w:val="23"/>
          <w:rtl/>
        </w:rPr>
        <w:t xml:space="preserve"> وَإِنَّمَا سَأَلُوا الْأَنْفَالَ لِيَأْخُذُوهَا لِأَنْفُسِهِمْ فَأَجَابَهُمُ اللهُ بِمَا تَقَدَّمَ ذِكْرُهُ وَالدَّلِيلُ عَلَى ذَلِكَ قَوْلُهُ تَعَالَى </w:t>
      </w:r>
      <w:r w:rsidRPr="00563AE6">
        <w:rPr>
          <w:rFonts w:cs="Traditional Arabic" w:hint="cs"/>
          <w:sz w:val="23"/>
          <w:szCs w:val="23"/>
          <w:rtl/>
        </w:rPr>
        <w:t>﴿</w:t>
      </w:r>
      <w:r w:rsidRPr="00563AE6">
        <w:rPr>
          <w:rFonts w:ascii="KFGQPC Uthmanic Script HAFS" w:cs="KFGQPC Uthmanic Script HAFS" w:hint="eastAsia"/>
          <w:sz w:val="23"/>
          <w:szCs w:val="23"/>
          <w:rtl/>
        </w:rPr>
        <w:t>فَ</w:t>
      </w:r>
      <w:r w:rsidRPr="00563AE6">
        <w:rPr>
          <w:rFonts w:ascii="KFGQPC Uthmanic Script HAFS" w:cs="KFGQPC Uthmanic Script HAFS" w:hint="cs"/>
          <w:sz w:val="23"/>
          <w:szCs w:val="23"/>
          <w:rtl/>
        </w:rPr>
        <w:t>ٱ</w:t>
      </w:r>
      <w:r w:rsidRPr="00563AE6">
        <w:rPr>
          <w:rFonts w:ascii="KFGQPC Uthmanic Script HAFS" w:cs="KFGQPC Uthmanic Script HAFS" w:hint="eastAsia"/>
          <w:sz w:val="23"/>
          <w:szCs w:val="23"/>
          <w:rtl/>
        </w:rPr>
        <w:t>تَّقُواْ</w:t>
      </w:r>
      <w:r w:rsidRPr="00563AE6">
        <w:rPr>
          <w:rFonts w:ascii="KFGQPC Uthmanic Script HAFS" w:cs="KFGQPC Uthmanic Script HAFS"/>
          <w:sz w:val="23"/>
          <w:szCs w:val="23"/>
          <w:rtl/>
        </w:rPr>
        <w:t xml:space="preserve"> </w:t>
      </w:r>
      <w:r w:rsidRPr="00563AE6">
        <w:rPr>
          <w:rFonts w:ascii="KFGQPC Uthmanic Script HAFS" w:cs="KFGQPC Uthmanic Script HAFS" w:hint="cs"/>
          <w:sz w:val="23"/>
          <w:szCs w:val="23"/>
          <w:rtl/>
        </w:rPr>
        <w:t>ٱ</w:t>
      </w:r>
      <w:r w:rsidRPr="00563AE6">
        <w:rPr>
          <w:rFonts w:ascii="KFGQPC Uthmanic Script HAFS" w:cs="KFGQPC Uthmanic Script HAFS" w:hint="eastAsia"/>
          <w:sz w:val="23"/>
          <w:szCs w:val="23"/>
          <w:rtl/>
        </w:rPr>
        <w:t>للَّهَ</w:t>
      </w:r>
      <w:r w:rsidRPr="00563AE6">
        <w:rPr>
          <w:rFonts w:ascii="KFGQPC Uthmanic Script HAFS" w:cs="KFGQPC Uthmanic Script HAFS"/>
          <w:sz w:val="23"/>
          <w:szCs w:val="23"/>
          <w:rtl/>
        </w:rPr>
        <w:t xml:space="preserve"> </w:t>
      </w:r>
      <w:r w:rsidRPr="00563AE6">
        <w:rPr>
          <w:rFonts w:ascii="KFGQPC Uthmanic Script HAFS" w:cs="KFGQPC Uthmanic Script HAFS" w:hint="eastAsia"/>
          <w:sz w:val="23"/>
          <w:szCs w:val="23"/>
          <w:rtl/>
        </w:rPr>
        <w:t>وَأَص</w:t>
      </w:r>
      <w:r w:rsidRPr="00563AE6">
        <w:rPr>
          <w:rFonts w:ascii="KFGQPC Uthmanic Script HAFS" w:cs="KFGQPC Uthmanic Script HAFS" w:hint="cs"/>
          <w:sz w:val="23"/>
          <w:szCs w:val="23"/>
          <w:rtl/>
        </w:rPr>
        <w:t>ۡ</w:t>
      </w:r>
      <w:r w:rsidRPr="00563AE6">
        <w:rPr>
          <w:rFonts w:ascii="KFGQPC Uthmanic Script HAFS" w:cs="KFGQPC Uthmanic Script HAFS" w:hint="eastAsia"/>
          <w:sz w:val="23"/>
          <w:szCs w:val="23"/>
          <w:rtl/>
        </w:rPr>
        <w:t>لِحُواْ</w:t>
      </w:r>
      <w:r w:rsidRPr="00563AE6">
        <w:rPr>
          <w:rFonts w:ascii="KFGQPC Uthmanic Script HAFS" w:cs="KFGQPC Uthmanic Script HAFS"/>
          <w:sz w:val="23"/>
          <w:szCs w:val="23"/>
          <w:rtl/>
        </w:rPr>
        <w:t xml:space="preserve"> </w:t>
      </w:r>
      <w:r w:rsidRPr="00563AE6">
        <w:rPr>
          <w:rFonts w:ascii="KFGQPC Uthmanic Script HAFS" w:cs="KFGQPC Uthmanic Script HAFS" w:hint="eastAsia"/>
          <w:sz w:val="23"/>
          <w:szCs w:val="23"/>
          <w:rtl/>
        </w:rPr>
        <w:t>ذَاتَ</w:t>
      </w:r>
      <w:r w:rsidRPr="00563AE6">
        <w:rPr>
          <w:rFonts w:ascii="KFGQPC Uthmanic Script HAFS" w:cs="KFGQPC Uthmanic Script HAFS"/>
          <w:sz w:val="23"/>
          <w:szCs w:val="23"/>
          <w:rtl/>
        </w:rPr>
        <w:t xml:space="preserve"> </w:t>
      </w:r>
      <w:r w:rsidRPr="00563AE6">
        <w:rPr>
          <w:rFonts w:ascii="KFGQPC Uthmanic Script HAFS" w:cs="KFGQPC Uthmanic Script HAFS" w:hint="eastAsia"/>
          <w:sz w:val="23"/>
          <w:szCs w:val="23"/>
          <w:rtl/>
        </w:rPr>
        <w:t>بَي</w:t>
      </w:r>
      <w:r w:rsidRPr="00563AE6">
        <w:rPr>
          <w:rFonts w:ascii="KFGQPC Uthmanic Script HAFS" w:cs="KFGQPC Uthmanic Script HAFS" w:hint="cs"/>
          <w:sz w:val="23"/>
          <w:szCs w:val="23"/>
          <w:rtl/>
        </w:rPr>
        <w:t>ۡ</w:t>
      </w:r>
      <w:r w:rsidRPr="00563AE6">
        <w:rPr>
          <w:rFonts w:ascii="KFGQPC Uthmanic Script HAFS" w:cs="KFGQPC Uthmanic Script HAFS" w:hint="eastAsia"/>
          <w:sz w:val="23"/>
          <w:szCs w:val="23"/>
          <w:rtl/>
        </w:rPr>
        <w:t>نِكُم</w:t>
      </w:r>
      <w:r w:rsidRPr="00563AE6">
        <w:rPr>
          <w:rFonts w:ascii="KFGQPC Uthmanic Script HAFS" w:cs="KFGQPC Uthmanic Script HAFS" w:hint="cs"/>
          <w:sz w:val="23"/>
          <w:szCs w:val="23"/>
          <w:rtl/>
        </w:rPr>
        <w:t>ۡۖ</w:t>
      </w:r>
      <w:r w:rsidRPr="00563AE6">
        <w:rPr>
          <w:rFonts w:ascii="KFGQPC Uthmanic Script HAFS" w:cs="KFGQPC Uthmanic Script HAFS"/>
          <w:sz w:val="23"/>
          <w:szCs w:val="23"/>
          <w:rtl/>
        </w:rPr>
        <w:t xml:space="preserve"> </w:t>
      </w:r>
      <w:r w:rsidRPr="00563AE6">
        <w:rPr>
          <w:rFonts w:ascii="KFGQPC Uthmanic Script HAFS" w:cs="KFGQPC Uthmanic Script HAFS" w:hint="eastAsia"/>
          <w:sz w:val="23"/>
          <w:szCs w:val="23"/>
          <w:rtl/>
        </w:rPr>
        <w:t>وَأَطِيعُواْ</w:t>
      </w:r>
      <w:r w:rsidRPr="00563AE6">
        <w:rPr>
          <w:rFonts w:ascii="KFGQPC Uthmanic Script HAFS" w:cs="KFGQPC Uthmanic Script HAFS"/>
          <w:sz w:val="23"/>
          <w:szCs w:val="23"/>
          <w:rtl/>
        </w:rPr>
        <w:t xml:space="preserve"> </w:t>
      </w:r>
      <w:r w:rsidRPr="00563AE6">
        <w:rPr>
          <w:rFonts w:ascii="KFGQPC Uthmanic Script HAFS" w:cs="KFGQPC Uthmanic Script HAFS" w:hint="cs"/>
          <w:sz w:val="23"/>
          <w:szCs w:val="23"/>
          <w:rtl/>
        </w:rPr>
        <w:t>ٱ</w:t>
      </w:r>
      <w:r w:rsidRPr="00563AE6">
        <w:rPr>
          <w:rFonts w:ascii="KFGQPC Uthmanic Script HAFS" w:cs="KFGQPC Uthmanic Script HAFS" w:hint="eastAsia"/>
          <w:sz w:val="23"/>
          <w:szCs w:val="23"/>
          <w:rtl/>
        </w:rPr>
        <w:t>للَّهَ</w:t>
      </w:r>
      <w:r w:rsidRPr="00563AE6">
        <w:rPr>
          <w:rFonts w:ascii="KFGQPC Uthmanic Script HAFS" w:cs="KFGQPC Uthmanic Script HAFS"/>
          <w:sz w:val="23"/>
          <w:szCs w:val="23"/>
          <w:rtl/>
        </w:rPr>
        <w:t xml:space="preserve"> </w:t>
      </w:r>
      <w:r w:rsidRPr="00563AE6">
        <w:rPr>
          <w:rFonts w:ascii="KFGQPC Uthmanic Script HAFS" w:cs="KFGQPC Uthmanic Script HAFS" w:hint="eastAsia"/>
          <w:sz w:val="23"/>
          <w:szCs w:val="23"/>
          <w:rtl/>
        </w:rPr>
        <w:t>وَرَسُولَهُ</w:t>
      </w:r>
      <w:r w:rsidRPr="00563AE6">
        <w:rPr>
          <w:rFonts w:ascii="KFGQPC Uthmanic Script HAFS" w:cs="KFGQPC Uthmanic Script HAFS" w:hint="cs"/>
          <w:sz w:val="23"/>
          <w:szCs w:val="23"/>
          <w:rtl/>
        </w:rPr>
        <w:t>ۥٓ</w:t>
      </w:r>
      <w:r w:rsidRPr="00563AE6">
        <w:rPr>
          <w:rFonts w:ascii="KFGQPC Uthmanic Script HAFS" w:cs="KFGQPC Uthmanic Script HAFS"/>
          <w:sz w:val="23"/>
          <w:szCs w:val="23"/>
          <w:rtl/>
        </w:rPr>
        <w:t xml:space="preserve"> </w:t>
      </w:r>
      <w:r w:rsidRPr="00563AE6">
        <w:rPr>
          <w:rFonts w:ascii="KFGQPC Uthmanic Script HAFS" w:cs="KFGQPC Uthmanic Script HAFS" w:hint="eastAsia"/>
          <w:sz w:val="23"/>
          <w:szCs w:val="23"/>
          <w:rtl/>
        </w:rPr>
        <w:t>إِن</w:t>
      </w:r>
      <w:r w:rsidRPr="00563AE6">
        <w:rPr>
          <w:rFonts w:ascii="KFGQPC Uthmanic Script HAFS" w:cs="KFGQPC Uthmanic Script HAFS"/>
          <w:sz w:val="23"/>
          <w:szCs w:val="23"/>
          <w:rtl/>
        </w:rPr>
        <w:t xml:space="preserve"> </w:t>
      </w:r>
      <w:r w:rsidRPr="00563AE6">
        <w:rPr>
          <w:rFonts w:ascii="KFGQPC Uthmanic Script HAFS" w:cs="KFGQPC Uthmanic Script HAFS" w:hint="eastAsia"/>
          <w:sz w:val="23"/>
          <w:szCs w:val="23"/>
          <w:rtl/>
        </w:rPr>
        <w:t>كُنتُم</w:t>
      </w:r>
      <w:r w:rsidRPr="00563AE6">
        <w:rPr>
          <w:rFonts w:ascii="KFGQPC Uthmanic Script HAFS" w:cs="KFGQPC Uthmanic Script HAFS"/>
          <w:sz w:val="23"/>
          <w:szCs w:val="23"/>
          <w:rtl/>
        </w:rPr>
        <w:t xml:space="preserve"> </w:t>
      </w:r>
      <w:r w:rsidRPr="00563AE6">
        <w:rPr>
          <w:rFonts w:ascii="KFGQPC Uthmanic Script HAFS" w:cs="KFGQPC Uthmanic Script HAFS" w:hint="eastAsia"/>
          <w:sz w:val="23"/>
          <w:szCs w:val="23"/>
          <w:rtl/>
        </w:rPr>
        <w:t>مُّؤ</w:t>
      </w:r>
      <w:r w:rsidRPr="00563AE6">
        <w:rPr>
          <w:rFonts w:ascii="KFGQPC Uthmanic Script HAFS" w:cs="KFGQPC Uthmanic Script HAFS" w:hint="cs"/>
          <w:sz w:val="23"/>
          <w:szCs w:val="23"/>
          <w:rtl/>
        </w:rPr>
        <w:t>ۡ</w:t>
      </w:r>
      <w:r w:rsidRPr="00563AE6">
        <w:rPr>
          <w:rFonts w:ascii="KFGQPC Uthmanic Script HAFS" w:cs="KFGQPC Uthmanic Script HAFS" w:hint="eastAsia"/>
          <w:sz w:val="23"/>
          <w:szCs w:val="23"/>
          <w:rtl/>
        </w:rPr>
        <w:t>مِنِينَ</w:t>
      </w:r>
      <w:r w:rsidRPr="00563AE6">
        <w:rPr>
          <w:rFonts w:cs="Traditional Arabic" w:hint="cs"/>
          <w:sz w:val="23"/>
          <w:szCs w:val="23"/>
          <w:rtl/>
        </w:rPr>
        <w:t>﴾</w:t>
      </w:r>
      <w:r w:rsidRPr="00563AE6">
        <w:rPr>
          <w:rFonts w:cs="mylotus" w:hint="cs"/>
          <w:sz w:val="23"/>
          <w:szCs w:val="23"/>
          <w:rtl/>
        </w:rPr>
        <w:t xml:space="preserve"> </w:t>
      </w:r>
      <w:r w:rsidRPr="00563AE6">
        <w:rPr>
          <w:rFonts w:cs="mylotus"/>
          <w:sz w:val="23"/>
          <w:szCs w:val="23"/>
          <w:rtl/>
        </w:rPr>
        <w:t>أَيِ الْزَمُوا طَاعَةَ اللهِ فِي أَنْ لَا تَطْلُبُوا مَا لَا تَسْتَحِقُّونَهُ فَمَا كَانَ لِـلّهِ وَلِرَسُولِهِ فَهُوَ لِلْإِمَام‏</w:t>
      </w:r>
      <w:r w:rsidRPr="00563AE6">
        <w:rPr>
          <w:rFonts w:cs="mylotus" w:hint="cs"/>
          <w:sz w:val="23"/>
          <w:szCs w:val="23"/>
          <w:rtl/>
        </w:rPr>
        <w:t>».</w:t>
      </w:r>
    </w:p>
    <w:p w:rsidR="00B31118" w:rsidRPr="00563AE6" w:rsidRDefault="00B31118" w:rsidP="00F01069">
      <w:pPr>
        <w:spacing w:line="228" w:lineRule="auto"/>
        <w:ind w:left="378"/>
        <w:jc w:val="both"/>
        <w:rPr>
          <w:rFonts w:cs="mylotus" w:hint="cs"/>
          <w:sz w:val="23"/>
          <w:szCs w:val="23"/>
          <w:rtl/>
        </w:rPr>
      </w:pPr>
      <w:r w:rsidRPr="00563AE6">
        <w:rPr>
          <w:rFonts w:cs="mylotus" w:hint="cs"/>
          <w:sz w:val="23"/>
          <w:szCs w:val="23"/>
          <w:rtl/>
        </w:rPr>
        <w:t xml:space="preserve">ورغم ذلك لا يستنبط من هذا الحديث أن رئيس المسلمين ومن بيده زمام أمورهم له حقٌّ خاصٌّ وشخصيٌّ في الأنفال، مثلما أننا لا نستنبط وجود مثل ذلك الحق الخاص لرسول الله </w:t>
      </w:r>
      <w:r w:rsidRPr="00563AE6">
        <w:rPr>
          <w:rFonts w:cs="CTraditional Arabic" w:hint="cs"/>
          <w:sz w:val="23"/>
          <w:szCs w:val="23"/>
          <w:rtl/>
        </w:rPr>
        <w:t>ص</w:t>
      </w:r>
      <w:r w:rsidRPr="00563AE6">
        <w:rPr>
          <w:rFonts w:cs="mylotus" w:hint="cs"/>
          <w:sz w:val="23"/>
          <w:szCs w:val="23"/>
          <w:rtl/>
        </w:rPr>
        <w:t xml:space="preserve">. </w:t>
      </w:r>
    </w:p>
    <w:p w:rsidR="00B31118" w:rsidRPr="00F01069" w:rsidRDefault="00B31118" w:rsidP="00F01069">
      <w:pPr>
        <w:spacing w:line="228" w:lineRule="auto"/>
        <w:ind w:left="378"/>
        <w:jc w:val="both"/>
        <w:rPr>
          <w:rFonts w:cs="mylotus" w:hint="cs"/>
          <w:spacing w:val="-3"/>
          <w:sz w:val="23"/>
          <w:szCs w:val="23"/>
          <w:rtl/>
        </w:rPr>
      </w:pPr>
      <w:r w:rsidRPr="00F01069">
        <w:rPr>
          <w:rFonts w:cs="mylotus" w:hint="cs"/>
          <w:spacing w:val="-3"/>
          <w:sz w:val="23"/>
          <w:szCs w:val="23"/>
          <w:rtl/>
        </w:rPr>
        <w:t xml:space="preserve">وقد جاء في كتب العامة أن رسول الله </w:t>
      </w:r>
      <w:r w:rsidRPr="00F01069">
        <w:rPr>
          <w:rFonts w:cs="CTraditional Arabic" w:hint="cs"/>
          <w:spacing w:val="-3"/>
          <w:sz w:val="23"/>
          <w:szCs w:val="23"/>
          <w:rtl/>
        </w:rPr>
        <w:t>ص</w:t>
      </w:r>
      <w:r w:rsidRPr="00F01069">
        <w:rPr>
          <w:rFonts w:cs="mylotus" w:hint="cs"/>
          <w:spacing w:val="-3"/>
          <w:sz w:val="23"/>
          <w:szCs w:val="23"/>
          <w:rtl/>
        </w:rPr>
        <w:t xml:space="preserve"> كان يأخذ من غنائم الحرب ما يكفيه لمؤونته ومؤونة أهله لمدة سنة ويصرف البقية في مصالح المسلمين كما نجد ذلك في </w:t>
      </w:r>
      <w:r w:rsidRPr="00F01069">
        <w:rPr>
          <w:rFonts w:cs="mylotus" w:hint="eastAsia"/>
          <w:spacing w:val="-3"/>
          <w:sz w:val="23"/>
          <w:szCs w:val="23"/>
          <w:rtl/>
        </w:rPr>
        <w:t>«</w:t>
      </w:r>
      <w:r w:rsidRPr="00F01069">
        <w:rPr>
          <w:rFonts w:cs="mylotus" w:hint="cs"/>
          <w:spacing w:val="-3"/>
          <w:sz w:val="23"/>
          <w:szCs w:val="23"/>
          <w:rtl/>
        </w:rPr>
        <w:t>بداية المجتهد</w:t>
      </w:r>
      <w:r w:rsidRPr="00F01069">
        <w:rPr>
          <w:rFonts w:cs="mylotus" w:hint="eastAsia"/>
          <w:spacing w:val="-3"/>
          <w:sz w:val="23"/>
          <w:szCs w:val="23"/>
          <w:rtl/>
        </w:rPr>
        <w:t>»</w:t>
      </w:r>
      <w:r w:rsidRPr="00F01069">
        <w:rPr>
          <w:rFonts w:cs="mylotus" w:hint="cs"/>
          <w:spacing w:val="-3"/>
          <w:sz w:val="23"/>
          <w:szCs w:val="23"/>
          <w:rtl/>
        </w:rPr>
        <w:t xml:space="preserve"> لابن رشد (ج1، ص38) ونهاية المحتاج (ج5، ص 106) </w:t>
      </w:r>
      <w:r w:rsidRPr="00F01069">
        <w:rPr>
          <w:rFonts w:cs="mylotus" w:hint="eastAsia"/>
          <w:spacing w:val="-3"/>
          <w:sz w:val="23"/>
          <w:szCs w:val="23"/>
          <w:rtl/>
        </w:rPr>
        <w:t>«</w:t>
      </w:r>
      <w:r w:rsidRPr="00F01069">
        <w:rPr>
          <w:rFonts w:cs="mylotus" w:hint="cs"/>
          <w:spacing w:val="-3"/>
          <w:sz w:val="23"/>
          <w:szCs w:val="23"/>
          <w:rtl/>
        </w:rPr>
        <w:t>البحر الزخار</w:t>
      </w:r>
      <w:r w:rsidRPr="00F01069">
        <w:rPr>
          <w:rFonts w:cs="mylotus" w:hint="eastAsia"/>
          <w:spacing w:val="-3"/>
          <w:sz w:val="23"/>
          <w:szCs w:val="23"/>
          <w:rtl/>
        </w:rPr>
        <w:t>»</w:t>
      </w:r>
      <w:r w:rsidRPr="00F01069">
        <w:rPr>
          <w:rFonts w:cs="mylotus" w:hint="cs"/>
          <w:spacing w:val="-3"/>
          <w:sz w:val="23"/>
          <w:szCs w:val="23"/>
          <w:rtl/>
        </w:rPr>
        <w:t xml:space="preserve"> (ج5، ص440)، و</w:t>
      </w:r>
      <w:r w:rsidRPr="00F01069">
        <w:rPr>
          <w:rFonts w:cs="mylotus" w:hint="eastAsia"/>
          <w:spacing w:val="-3"/>
          <w:sz w:val="23"/>
          <w:szCs w:val="23"/>
          <w:rtl/>
        </w:rPr>
        <w:t>«</w:t>
      </w:r>
      <w:r w:rsidRPr="00F01069">
        <w:rPr>
          <w:rFonts w:cs="mylotus" w:hint="cs"/>
          <w:spacing w:val="-3"/>
          <w:sz w:val="23"/>
          <w:szCs w:val="23"/>
          <w:rtl/>
        </w:rPr>
        <w:t>تفسير المنار</w:t>
      </w:r>
      <w:r w:rsidRPr="00F01069">
        <w:rPr>
          <w:rFonts w:cs="mylotus" w:hint="eastAsia"/>
          <w:spacing w:val="-3"/>
          <w:sz w:val="23"/>
          <w:szCs w:val="23"/>
          <w:rtl/>
        </w:rPr>
        <w:t>»</w:t>
      </w:r>
      <w:r w:rsidRPr="00F01069">
        <w:rPr>
          <w:rFonts w:cs="mylotus" w:hint="cs"/>
          <w:spacing w:val="-3"/>
          <w:sz w:val="23"/>
          <w:szCs w:val="23"/>
          <w:rtl/>
        </w:rPr>
        <w:t xml:space="preserve"> (ج10، ص7)، و</w:t>
      </w:r>
      <w:r w:rsidRPr="00F01069">
        <w:rPr>
          <w:rFonts w:cs="mylotus" w:hint="eastAsia"/>
          <w:spacing w:val="-3"/>
          <w:sz w:val="23"/>
          <w:szCs w:val="23"/>
          <w:rtl/>
        </w:rPr>
        <w:t>«</w:t>
      </w:r>
      <w:r w:rsidRPr="00F01069">
        <w:rPr>
          <w:rFonts w:cs="mylotus" w:hint="cs"/>
          <w:spacing w:val="-3"/>
          <w:sz w:val="23"/>
          <w:szCs w:val="23"/>
          <w:rtl/>
        </w:rPr>
        <w:t>تفسير القرطبي</w:t>
      </w:r>
      <w:r w:rsidRPr="00F01069">
        <w:rPr>
          <w:rFonts w:cs="mylotus" w:hint="eastAsia"/>
          <w:spacing w:val="-3"/>
          <w:sz w:val="23"/>
          <w:szCs w:val="23"/>
          <w:rtl/>
        </w:rPr>
        <w:t>»</w:t>
      </w:r>
      <w:r w:rsidRPr="00F01069">
        <w:rPr>
          <w:rFonts w:cs="mylotus" w:hint="cs"/>
          <w:spacing w:val="-3"/>
          <w:sz w:val="23"/>
          <w:szCs w:val="23"/>
          <w:rtl/>
        </w:rPr>
        <w:t xml:space="preserve"> (ج8، ص11) ولفقهاء العامة والخاصة آراء ووجهات نظر مختلفة في موضوع سهم رسول الله</w:t>
      </w:r>
      <w:r w:rsidRPr="00F01069">
        <w:rPr>
          <w:rFonts w:cs="CTraditional Arabic" w:hint="cs"/>
          <w:spacing w:val="-3"/>
          <w:sz w:val="23"/>
          <w:szCs w:val="23"/>
          <w:rtl/>
        </w:rPr>
        <w:t>ص</w:t>
      </w:r>
      <w:r w:rsidRPr="00F01069">
        <w:rPr>
          <w:rFonts w:cs="mylotus" w:hint="cs"/>
          <w:spacing w:val="-3"/>
          <w:sz w:val="23"/>
          <w:szCs w:val="23"/>
          <w:rtl/>
        </w:rPr>
        <w:t xml:space="preserve"> من خمس الغنائم لكن مؤدى ونتيجة أقوالهم قول واحد! </w:t>
      </w:r>
    </w:p>
    <w:p w:rsidR="00B31118" w:rsidRPr="00563AE6" w:rsidRDefault="00B31118" w:rsidP="00B300C9">
      <w:pPr>
        <w:spacing w:line="228" w:lineRule="auto"/>
        <w:ind w:left="378"/>
        <w:jc w:val="both"/>
        <w:rPr>
          <w:rFonts w:cs="mylotus" w:hint="cs"/>
          <w:sz w:val="23"/>
          <w:szCs w:val="23"/>
          <w:rtl/>
        </w:rPr>
      </w:pPr>
      <w:r w:rsidRPr="00563AE6">
        <w:rPr>
          <w:rFonts w:cs="mylotus" w:hint="cs"/>
          <w:sz w:val="23"/>
          <w:szCs w:val="23"/>
          <w:rtl/>
        </w:rPr>
        <w:t xml:space="preserve">فالشافعي يرى أن سهم رسول الله </w:t>
      </w:r>
      <w:r w:rsidRPr="00563AE6">
        <w:rPr>
          <w:rFonts w:cs="CTraditional Arabic" w:hint="cs"/>
          <w:sz w:val="23"/>
          <w:szCs w:val="23"/>
          <w:rtl/>
        </w:rPr>
        <w:t>ص</w:t>
      </w:r>
      <w:r w:rsidRPr="00563AE6">
        <w:rPr>
          <w:rFonts w:cs="mylotus" w:hint="cs"/>
          <w:sz w:val="23"/>
          <w:szCs w:val="23"/>
          <w:rtl/>
        </w:rPr>
        <w:t xml:space="preserve"> من الغنائم يُصـرف بعد رحيله على مصالح المسلمين وسهم ذوي القربى يصرف بين أغنيائهم وفقرائهم للذكر مثل حظ الأنثيين وبقية المال يفرق ثلاثة أسهم على اليتامى والمساكين وأبناء السبيل من عامة المسلمين.</w:t>
      </w:r>
    </w:p>
    <w:p w:rsidR="00B31118" w:rsidRPr="00563AE6" w:rsidRDefault="00B31118" w:rsidP="00B300C9">
      <w:pPr>
        <w:spacing w:line="228" w:lineRule="auto"/>
        <w:ind w:left="378"/>
        <w:jc w:val="both"/>
        <w:rPr>
          <w:rFonts w:cs="mylotus" w:hint="cs"/>
          <w:sz w:val="23"/>
          <w:szCs w:val="23"/>
          <w:rtl/>
        </w:rPr>
      </w:pPr>
      <w:r w:rsidRPr="00563AE6">
        <w:rPr>
          <w:rFonts w:cs="mylotus" w:hint="cs"/>
          <w:sz w:val="23"/>
          <w:szCs w:val="23"/>
          <w:rtl/>
        </w:rPr>
        <w:t xml:space="preserve">أما أبو حنيفة فيرى أن سهم رسول الله </w:t>
      </w:r>
      <w:r w:rsidRPr="00563AE6">
        <w:rPr>
          <w:rFonts w:cs="CTraditional Arabic" w:hint="cs"/>
          <w:sz w:val="23"/>
          <w:szCs w:val="23"/>
          <w:rtl/>
        </w:rPr>
        <w:t>ص</w:t>
      </w:r>
      <w:r w:rsidRPr="00563AE6">
        <w:rPr>
          <w:rFonts w:cs="mylotus" w:hint="cs"/>
          <w:sz w:val="23"/>
          <w:szCs w:val="23"/>
          <w:rtl/>
        </w:rPr>
        <w:t xml:space="preserve"> يسقط بعد وفاته </w:t>
      </w:r>
      <w:r w:rsidRPr="003C7AEB">
        <w:rPr>
          <w:rFonts w:cs="CTraditional Arabic" w:hint="cs"/>
          <w:sz w:val="23"/>
          <w:szCs w:val="23"/>
          <w:rtl/>
        </w:rPr>
        <w:t>ص</w:t>
      </w:r>
      <w:r w:rsidRPr="00563AE6">
        <w:rPr>
          <w:rFonts w:cs="mylotus" w:hint="cs"/>
          <w:sz w:val="23"/>
          <w:szCs w:val="23"/>
          <w:rtl/>
        </w:rPr>
        <w:t xml:space="preserve"> وكذلك سهم ذوي القربى فإذا كان ذوو القربى هؤلاء فقراء فإن لهم حصة من الزكاة ومن بيت المال مثل في ذلك مثل سائر فقراء المسلمين وبالتالي فإن خمس الغنائم يقسم فقط على اليتامى والمساكين وأبناء السبيل من جميع المسلمين. </w:t>
      </w:r>
    </w:p>
    <w:p w:rsidR="00B31118" w:rsidRPr="00563AE6" w:rsidRDefault="00B31118" w:rsidP="00B300C9">
      <w:pPr>
        <w:spacing w:line="228" w:lineRule="auto"/>
        <w:ind w:left="378"/>
        <w:jc w:val="both"/>
        <w:rPr>
          <w:rFonts w:cs="mylotus" w:hint="cs"/>
          <w:sz w:val="23"/>
          <w:szCs w:val="23"/>
          <w:rtl/>
        </w:rPr>
      </w:pPr>
      <w:r w:rsidRPr="00563AE6">
        <w:rPr>
          <w:rFonts w:cs="mylotus" w:hint="cs"/>
          <w:sz w:val="23"/>
          <w:szCs w:val="23"/>
          <w:rtl/>
        </w:rPr>
        <w:t xml:space="preserve">أما مالك فيرى أن أمر خمس الغنائم مفوض لرأي الإمام ورئيس المسلمين. </w:t>
      </w:r>
    </w:p>
    <w:p w:rsidR="00B31118" w:rsidRPr="00563AE6" w:rsidRDefault="00B31118" w:rsidP="00B300C9">
      <w:pPr>
        <w:spacing w:line="228" w:lineRule="auto"/>
        <w:ind w:left="378"/>
        <w:jc w:val="both"/>
        <w:rPr>
          <w:rFonts w:cs="mylotus" w:hint="cs"/>
          <w:sz w:val="23"/>
          <w:szCs w:val="23"/>
          <w:rtl/>
          <w:lang w:bidi="ar-SY"/>
        </w:rPr>
      </w:pPr>
      <w:r w:rsidRPr="00563AE6">
        <w:rPr>
          <w:rFonts w:cs="mylotus" w:hint="cs"/>
          <w:sz w:val="23"/>
          <w:szCs w:val="23"/>
          <w:rtl/>
        </w:rPr>
        <w:t xml:space="preserve">فالنتيجة أن آراءهم جميعاً تنتهي إلى رأي واحد هو أن خمس الغنائم يحوَّل </w:t>
      </w:r>
      <w:r w:rsidRPr="00563AE6">
        <w:rPr>
          <w:rFonts w:cs="Times New Roman" w:hint="cs"/>
          <w:sz w:val="23"/>
          <w:szCs w:val="23"/>
          <w:rtl/>
        </w:rPr>
        <w:t>–</w:t>
      </w:r>
      <w:r w:rsidRPr="00563AE6">
        <w:rPr>
          <w:rFonts w:cs="mylotus" w:hint="cs"/>
          <w:sz w:val="23"/>
          <w:szCs w:val="23"/>
          <w:rtl/>
        </w:rPr>
        <w:t xml:space="preserve"> </w:t>
      </w:r>
      <w:r w:rsidRPr="00563AE6">
        <w:rPr>
          <w:rFonts w:ascii="mylotus" w:hAnsi="mylotus" w:cs="mylotus" w:hint="cs"/>
          <w:sz w:val="23"/>
          <w:szCs w:val="23"/>
          <w:rtl/>
        </w:rPr>
        <w:t>بعد</w:t>
      </w:r>
      <w:r w:rsidRPr="00563AE6">
        <w:rPr>
          <w:rFonts w:cs="mylotus" w:hint="cs"/>
          <w:sz w:val="23"/>
          <w:szCs w:val="23"/>
          <w:rtl/>
        </w:rPr>
        <w:t xml:space="preserve"> </w:t>
      </w:r>
      <w:r w:rsidRPr="00563AE6">
        <w:rPr>
          <w:rFonts w:ascii="mylotus" w:hAnsi="mylotus" w:cs="mylotus" w:hint="cs"/>
          <w:sz w:val="23"/>
          <w:szCs w:val="23"/>
          <w:rtl/>
        </w:rPr>
        <w:t>رحيل</w:t>
      </w:r>
      <w:r w:rsidRPr="00563AE6">
        <w:rPr>
          <w:rFonts w:cs="mylotus" w:hint="cs"/>
          <w:sz w:val="23"/>
          <w:szCs w:val="23"/>
          <w:rtl/>
        </w:rPr>
        <w:t xml:space="preserve"> النبي </w:t>
      </w:r>
      <w:r w:rsidRPr="00563AE6">
        <w:rPr>
          <w:rFonts w:cs="CTraditional Arabic" w:hint="cs"/>
          <w:sz w:val="23"/>
          <w:szCs w:val="23"/>
          <w:rtl/>
        </w:rPr>
        <w:t>ص</w:t>
      </w:r>
      <w:r w:rsidRPr="00563AE6">
        <w:rPr>
          <w:rFonts w:cs="mylotus" w:hint="cs"/>
          <w:sz w:val="23"/>
          <w:szCs w:val="23"/>
          <w:rtl/>
        </w:rPr>
        <w:t xml:space="preserve"> - إلى بيت مال المسلمين.</w:t>
      </w:r>
    </w:p>
  </w:footnote>
  <w:footnote w:id="66">
    <w:p w:rsidR="00B31118" w:rsidRPr="00563AE6" w:rsidRDefault="00B31118" w:rsidP="00B300C9">
      <w:pPr>
        <w:spacing w:line="228" w:lineRule="auto"/>
        <w:ind w:left="378" w:hanging="378"/>
        <w:jc w:val="both"/>
        <w:rPr>
          <w:rFonts w:cs="mylotus" w:hint="cs"/>
          <w:sz w:val="23"/>
          <w:szCs w:val="23"/>
          <w:rtl/>
        </w:rPr>
      </w:pPr>
      <w:r w:rsidRPr="00563AE6">
        <w:rPr>
          <w:rFonts w:cs="mylotus"/>
          <w:sz w:val="23"/>
          <w:szCs w:val="23"/>
          <w:rtl/>
        </w:rPr>
        <w:footnoteRef/>
      </w:r>
      <w:r>
        <w:rPr>
          <w:rFonts w:cs="mylotus"/>
          <w:sz w:val="23"/>
          <w:szCs w:val="23"/>
          <w:rtl/>
        </w:rPr>
        <w:t>-</w:t>
      </w:r>
      <w:r w:rsidRPr="00563AE6">
        <w:rPr>
          <w:rFonts w:cs="mylotus"/>
          <w:sz w:val="23"/>
          <w:szCs w:val="23"/>
          <w:rtl/>
        </w:rPr>
        <w:t xml:space="preserve"> </w:t>
      </w:r>
      <w:r w:rsidRPr="00563AE6">
        <w:rPr>
          <w:rFonts w:cs="mylotus" w:hint="cs"/>
          <w:sz w:val="23"/>
          <w:szCs w:val="23"/>
          <w:rtl/>
        </w:rPr>
        <w:t>راجع تخريجه سابقا في هذا الكتاب. (المُتَرْجِمُ)</w:t>
      </w:r>
    </w:p>
  </w:footnote>
  <w:footnote w:id="67">
    <w:p w:rsidR="00B31118" w:rsidRPr="00563AE6" w:rsidRDefault="00B31118" w:rsidP="00B300C9">
      <w:pPr>
        <w:pStyle w:val="FootnoteText"/>
        <w:spacing w:line="228" w:lineRule="auto"/>
        <w:jc w:val="both"/>
        <w:rPr>
          <w:rFonts w:cs="mylotus" w:hint="cs"/>
          <w:sz w:val="23"/>
          <w:szCs w:val="23"/>
          <w:lang w:bidi="ar-SY"/>
        </w:rPr>
      </w:pPr>
      <w:r w:rsidRPr="00563AE6">
        <w:rPr>
          <w:rStyle w:val="FootnoteReference"/>
          <w:rFonts w:cs="mylotus"/>
          <w:sz w:val="23"/>
          <w:szCs w:val="23"/>
          <w:vertAlign w:val="baseline"/>
          <w:rtl/>
          <w:lang w:bidi="ar-SY"/>
        </w:rPr>
        <w:footnoteRef/>
      </w:r>
      <w:r>
        <w:rPr>
          <w:rFonts w:cs="mylotus"/>
          <w:sz w:val="23"/>
          <w:szCs w:val="23"/>
          <w:rtl/>
          <w:lang w:bidi="ar-SY"/>
        </w:rPr>
        <w:t>-</w:t>
      </w:r>
      <w:r w:rsidRPr="00563AE6">
        <w:rPr>
          <w:rFonts w:cs="mylotus" w:hint="cs"/>
          <w:sz w:val="23"/>
          <w:szCs w:val="23"/>
          <w:rtl/>
          <w:lang w:bidi="ar-SY"/>
        </w:rPr>
        <w:t xml:space="preserve"> الواقدي، المغازي، ج 1، ص 102.</w:t>
      </w:r>
    </w:p>
  </w:footnote>
  <w:footnote w:id="68">
    <w:p w:rsidR="00B31118" w:rsidRPr="00563AE6" w:rsidRDefault="00B31118" w:rsidP="00B300C9">
      <w:pPr>
        <w:spacing w:line="228" w:lineRule="auto"/>
        <w:ind w:left="378" w:hanging="378"/>
        <w:jc w:val="both"/>
        <w:rPr>
          <w:rFonts w:cs="mylotus" w:hint="cs"/>
          <w:sz w:val="23"/>
          <w:szCs w:val="23"/>
          <w:rtl/>
        </w:rPr>
      </w:pPr>
      <w:r w:rsidRPr="00563AE6">
        <w:rPr>
          <w:rStyle w:val="FootnoteReference"/>
          <w:rFonts w:cs="mylotus"/>
          <w:sz w:val="23"/>
          <w:szCs w:val="23"/>
          <w:vertAlign w:val="baseline"/>
          <w:rtl/>
        </w:rPr>
        <w:footnoteRef/>
      </w:r>
      <w:r>
        <w:rPr>
          <w:rFonts w:cs="mylotus"/>
          <w:sz w:val="23"/>
          <w:szCs w:val="23"/>
          <w:rtl/>
        </w:rPr>
        <w:t>-</w:t>
      </w:r>
      <w:r w:rsidRPr="00563AE6">
        <w:rPr>
          <w:rFonts w:cs="mylotus"/>
          <w:sz w:val="23"/>
          <w:szCs w:val="23"/>
          <w:rtl/>
        </w:rPr>
        <w:t xml:space="preserve"> </w:t>
      </w:r>
      <w:r w:rsidRPr="00563AE6">
        <w:rPr>
          <w:rFonts w:cs="mylotus" w:hint="cs"/>
          <w:sz w:val="23"/>
          <w:szCs w:val="23"/>
          <w:rtl/>
        </w:rPr>
        <w:t>ثمة حديث مرفوع روي من طريق العامة في مراسيل ابن داود (ص 12) ومن طريق الخاصة في «المصنف» لعبد الرزاق الصنعاني (ج5، ص188): «</w:t>
      </w:r>
      <w:r w:rsidRPr="00563AE6">
        <w:rPr>
          <w:rFonts w:cs="mylotus"/>
          <w:sz w:val="23"/>
          <w:szCs w:val="23"/>
          <w:rtl/>
        </w:rPr>
        <w:t>إذا مات الرجل بعدما يدخل أرض العدو، ويخرج من أرض المسلمين وأرض الصلح، فإن سهمه ل</w:t>
      </w:r>
      <w:r w:rsidRPr="00563AE6">
        <w:rPr>
          <w:rFonts w:cs="mylotus" w:hint="cs"/>
          <w:sz w:val="23"/>
          <w:szCs w:val="23"/>
          <w:rtl/>
        </w:rPr>
        <w:t>أ</w:t>
      </w:r>
      <w:r w:rsidRPr="00563AE6">
        <w:rPr>
          <w:rFonts w:cs="mylotus"/>
          <w:sz w:val="23"/>
          <w:szCs w:val="23"/>
          <w:rtl/>
        </w:rPr>
        <w:t>هله</w:t>
      </w:r>
      <w:r w:rsidRPr="00563AE6">
        <w:rPr>
          <w:rFonts w:cs="mylotus" w:hint="cs"/>
          <w:sz w:val="23"/>
          <w:szCs w:val="23"/>
          <w:rtl/>
        </w:rPr>
        <w:t xml:space="preserve">». </w:t>
      </w:r>
    </w:p>
  </w:footnote>
  <w:footnote w:id="69">
    <w:p w:rsidR="00B31118" w:rsidRPr="00563AE6" w:rsidRDefault="00B31118" w:rsidP="00B300C9">
      <w:pPr>
        <w:spacing w:line="228" w:lineRule="auto"/>
        <w:ind w:left="378" w:hanging="378"/>
        <w:jc w:val="both"/>
        <w:rPr>
          <w:rFonts w:cs="mylotus" w:hint="cs"/>
          <w:sz w:val="23"/>
          <w:szCs w:val="23"/>
          <w:rtl/>
        </w:rPr>
      </w:pPr>
      <w:r w:rsidRPr="00563AE6">
        <w:rPr>
          <w:rFonts w:cs="mylotus"/>
          <w:sz w:val="23"/>
          <w:szCs w:val="23"/>
          <w:rtl/>
        </w:rPr>
        <w:footnoteRef/>
      </w:r>
      <w:r>
        <w:rPr>
          <w:rFonts w:cs="mylotus"/>
          <w:sz w:val="23"/>
          <w:szCs w:val="23"/>
          <w:rtl/>
        </w:rPr>
        <w:t>-</w:t>
      </w:r>
      <w:r w:rsidRPr="00563AE6">
        <w:rPr>
          <w:rFonts w:cs="mylotus"/>
          <w:sz w:val="23"/>
          <w:szCs w:val="23"/>
          <w:rtl/>
        </w:rPr>
        <w:t xml:space="preserve"> </w:t>
      </w:r>
      <w:r w:rsidRPr="00563AE6">
        <w:rPr>
          <w:rFonts w:cs="mylotus" w:hint="cs"/>
          <w:sz w:val="23"/>
          <w:szCs w:val="23"/>
          <w:rtl/>
        </w:rPr>
        <w:t>قال ابن عبد البر في «الاستيعاب في معرفة الأصحاب» وابن الأثير في «أسد الغابة» في ترجمة «المقداد بن عمرو بن الأسود الكندي» (</w:t>
      </w:r>
      <w:r w:rsidRPr="00563AE6">
        <w:rPr>
          <w:rFonts w:cs="mylotus"/>
          <w:sz w:val="23"/>
          <w:szCs w:val="23"/>
          <w:rtl/>
        </w:rPr>
        <w:t xml:space="preserve">وهو قديم الإسلام من السابقين، وهاجر إلى أرض الحبشة. ثم عاد إلى مكة، فلم يقدر على الهجرة إلى المدينة لما هاجر إليها رسول الله </w:t>
      </w:r>
      <w:r w:rsidRPr="00BC4BA9">
        <w:rPr>
          <w:rFonts w:cs="CTraditional Arabic"/>
          <w:sz w:val="23"/>
          <w:szCs w:val="23"/>
          <w:rtl/>
        </w:rPr>
        <w:t>ص</w:t>
      </w:r>
      <w:r w:rsidRPr="00563AE6">
        <w:rPr>
          <w:rFonts w:cs="mylotus"/>
          <w:sz w:val="23"/>
          <w:szCs w:val="23"/>
          <w:rtl/>
        </w:rPr>
        <w:t xml:space="preserve">، فبقي إلى أن بعث رسول الله </w:t>
      </w:r>
      <w:r w:rsidRPr="00BC4BA9">
        <w:rPr>
          <w:rFonts w:cs="CTraditional Arabic"/>
          <w:sz w:val="23"/>
          <w:szCs w:val="23"/>
          <w:rtl/>
        </w:rPr>
        <w:t>ص</w:t>
      </w:r>
      <w:r w:rsidRPr="00563AE6">
        <w:rPr>
          <w:rFonts w:cs="mylotus"/>
          <w:sz w:val="23"/>
          <w:szCs w:val="23"/>
          <w:rtl/>
        </w:rPr>
        <w:t xml:space="preserve"> عبيدة بن الحارث في سرية</w:t>
      </w:r>
      <w:r w:rsidRPr="00563AE6">
        <w:rPr>
          <w:rFonts w:cs="mylotus" w:hint="cs"/>
          <w:sz w:val="23"/>
          <w:szCs w:val="23"/>
          <w:rtl/>
        </w:rPr>
        <w:t xml:space="preserve"> [</w:t>
      </w:r>
      <w:r w:rsidRPr="00563AE6">
        <w:rPr>
          <w:rFonts w:cs="mylotus"/>
          <w:sz w:val="23"/>
          <w:szCs w:val="23"/>
          <w:rtl/>
        </w:rPr>
        <w:t>إلى ثنية المرة</w:t>
      </w:r>
      <w:r w:rsidRPr="00563AE6">
        <w:rPr>
          <w:rFonts w:cs="mylotus" w:hint="cs"/>
          <w:sz w:val="23"/>
          <w:szCs w:val="23"/>
          <w:rtl/>
        </w:rPr>
        <w:t>]</w:t>
      </w:r>
      <w:r w:rsidRPr="00563AE6">
        <w:rPr>
          <w:rFonts w:cs="mylotus"/>
          <w:sz w:val="23"/>
          <w:szCs w:val="23"/>
          <w:rtl/>
        </w:rPr>
        <w:t>، فلقوا جمعاً من المشركين عليهم عكرمة بن أبي جهل، وكان المقداد وعتبة بن غزوان قد خرجا مع المشركين ليتوصلا إلى المسلمين، فتواف</w:t>
      </w:r>
      <w:r w:rsidRPr="00563AE6">
        <w:rPr>
          <w:rFonts w:cs="mylotus" w:hint="cs"/>
          <w:sz w:val="23"/>
          <w:szCs w:val="23"/>
          <w:rtl/>
        </w:rPr>
        <w:t>ق</w:t>
      </w:r>
      <w:r w:rsidRPr="00563AE6">
        <w:rPr>
          <w:rFonts w:cs="mylotus"/>
          <w:sz w:val="23"/>
          <w:szCs w:val="23"/>
          <w:rtl/>
        </w:rPr>
        <w:t>ت الطائفتان، ولم يكن قتال</w:t>
      </w:r>
      <w:r w:rsidRPr="00563AE6">
        <w:rPr>
          <w:rFonts w:cs="mylotus" w:hint="cs"/>
          <w:sz w:val="23"/>
          <w:szCs w:val="23"/>
          <w:rtl/>
        </w:rPr>
        <w:t xml:space="preserve">، </w:t>
      </w:r>
      <w:r w:rsidRPr="00563AE6">
        <w:rPr>
          <w:rFonts w:cs="mylotus"/>
          <w:sz w:val="23"/>
          <w:szCs w:val="23"/>
          <w:rtl/>
        </w:rPr>
        <w:t>وهرب عتبة بن غزوان والمقداد بن الأسود يومئذ إلى المسلمين</w:t>
      </w:r>
      <w:r w:rsidRPr="00563AE6">
        <w:rPr>
          <w:rFonts w:cs="mylotus" w:hint="cs"/>
          <w:sz w:val="23"/>
          <w:szCs w:val="23"/>
          <w:rtl/>
        </w:rPr>
        <w:t>...». (المُتَرْجِمُ)</w:t>
      </w:r>
    </w:p>
  </w:footnote>
  <w:footnote w:id="70">
    <w:p w:rsidR="00B31118" w:rsidRPr="00563AE6" w:rsidRDefault="00B31118" w:rsidP="00B300C9">
      <w:pPr>
        <w:spacing w:line="228" w:lineRule="auto"/>
        <w:ind w:left="378" w:hanging="378"/>
        <w:jc w:val="both"/>
        <w:rPr>
          <w:rFonts w:cs="mylotus" w:hint="cs"/>
          <w:sz w:val="23"/>
          <w:szCs w:val="23"/>
          <w:rtl/>
        </w:rPr>
      </w:pPr>
      <w:r w:rsidRPr="00563AE6">
        <w:rPr>
          <w:rFonts w:cs="mylotus"/>
          <w:sz w:val="23"/>
          <w:szCs w:val="23"/>
          <w:rtl/>
        </w:rPr>
        <w:footnoteRef/>
      </w:r>
      <w:r>
        <w:rPr>
          <w:rFonts w:cs="mylotus"/>
          <w:sz w:val="23"/>
          <w:szCs w:val="23"/>
          <w:rtl/>
        </w:rPr>
        <w:t>-</w:t>
      </w:r>
      <w:r w:rsidRPr="00563AE6">
        <w:rPr>
          <w:rFonts w:cs="mylotus"/>
          <w:sz w:val="23"/>
          <w:szCs w:val="23"/>
          <w:rtl/>
        </w:rPr>
        <w:t xml:space="preserve"> </w:t>
      </w:r>
      <w:r w:rsidRPr="00563AE6">
        <w:rPr>
          <w:rFonts w:cs="mylotus" w:hint="cs"/>
          <w:sz w:val="23"/>
          <w:szCs w:val="23"/>
          <w:rtl/>
        </w:rPr>
        <w:t>ابن شعبة الحراني، تحف العقول، ص 340-341؛  النوري الطبرسي، مستدرك الوسائل، ج 7، 306 - 307. (المُتَرْجِمُ)</w:t>
      </w:r>
    </w:p>
  </w:footnote>
  <w:footnote w:id="71">
    <w:p w:rsidR="00B31118" w:rsidRPr="00563AE6" w:rsidRDefault="00B31118" w:rsidP="00B300C9">
      <w:pPr>
        <w:spacing w:line="228" w:lineRule="auto"/>
        <w:ind w:left="378" w:hanging="378"/>
        <w:jc w:val="both"/>
        <w:rPr>
          <w:rFonts w:cs="mylotus" w:hint="cs"/>
          <w:sz w:val="23"/>
          <w:szCs w:val="23"/>
          <w:rtl/>
          <w:lang w:bidi="ar-SY"/>
        </w:rPr>
      </w:pPr>
      <w:r w:rsidRPr="00563AE6">
        <w:rPr>
          <w:rFonts w:cs="mylotus"/>
          <w:sz w:val="23"/>
          <w:szCs w:val="23"/>
          <w:rtl/>
        </w:rPr>
        <w:footnoteRef/>
      </w:r>
      <w:r>
        <w:rPr>
          <w:rFonts w:cs="mylotus"/>
          <w:sz w:val="23"/>
          <w:szCs w:val="23"/>
          <w:rtl/>
        </w:rPr>
        <w:t>-</w:t>
      </w:r>
      <w:r w:rsidRPr="00563AE6">
        <w:rPr>
          <w:rFonts w:cs="mylotus"/>
          <w:sz w:val="23"/>
          <w:szCs w:val="23"/>
          <w:rtl/>
        </w:rPr>
        <w:t xml:space="preserve"> </w:t>
      </w:r>
      <w:r w:rsidRPr="00563AE6">
        <w:rPr>
          <w:rFonts w:cs="mylotus" w:hint="cs"/>
          <w:sz w:val="23"/>
          <w:szCs w:val="23"/>
          <w:rtl/>
        </w:rPr>
        <w:t xml:space="preserve">الروضة من الكافي، ج 8، ص 285. يقول المترجم: لم أجد هذه الجملة الأخيرة (أي جملة: </w:t>
      </w:r>
      <w:r w:rsidRPr="00563AE6">
        <w:rPr>
          <w:rFonts w:cs="mylotus"/>
          <w:b/>
          <w:bCs/>
          <w:sz w:val="23"/>
          <w:szCs w:val="23"/>
          <w:rtl/>
        </w:rPr>
        <w:t>دون سهام اليتامى والمساكين</w:t>
      </w:r>
      <w:r w:rsidRPr="00563AE6">
        <w:rPr>
          <w:rFonts w:cs="mylotus" w:hint="cs"/>
          <w:sz w:val="23"/>
          <w:szCs w:val="23"/>
          <w:rtl/>
        </w:rPr>
        <w:t>... إلخ)</w:t>
      </w:r>
      <w:r w:rsidRPr="00563AE6">
        <w:rPr>
          <w:rFonts w:cs="mylotus"/>
          <w:b/>
          <w:bCs/>
          <w:sz w:val="23"/>
          <w:szCs w:val="23"/>
          <w:rtl/>
        </w:rPr>
        <w:t xml:space="preserve"> </w:t>
      </w:r>
      <w:r w:rsidRPr="00563AE6">
        <w:rPr>
          <w:rFonts w:cs="mylotus" w:hint="cs"/>
          <w:sz w:val="23"/>
          <w:szCs w:val="23"/>
          <w:rtl/>
        </w:rPr>
        <w:t>في النسخة المتداولة للمصدر المذكور. وقد أجاب المؤلف رحمه الله عن ذلك. راجع صفحة 532 من الكتاب الحاضر. (المُتَرْجِمُ)</w:t>
      </w:r>
    </w:p>
  </w:footnote>
  <w:footnote w:id="72">
    <w:p w:rsidR="00B31118" w:rsidRPr="00563AE6" w:rsidRDefault="00B31118" w:rsidP="00B300C9">
      <w:pPr>
        <w:spacing w:line="228" w:lineRule="auto"/>
        <w:ind w:left="378" w:hanging="378"/>
        <w:jc w:val="both"/>
        <w:rPr>
          <w:rFonts w:cs="mylotus" w:hint="cs"/>
          <w:sz w:val="23"/>
          <w:szCs w:val="23"/>
          <w:rtl/>
        </w:rPr>
      </w:pPr>
      <w:r w:rsidRPr="00563AE6">
        <w:rPr>
          <w:rFonts w:cs="mylotus"/>
          <w:sz w:val="23"/>
          <w:szCs w:val="23"/>
          <w:rtl/>
        </w:rPr>
        <w:footnoteRef/>
      </w:r>
      <w:r>
        <w:rPr>
          <w:rFonts w:cs="mylotus"/>
          <w:sz w:val="23"/>
          <w:szCs w:val="23"/>
          <w:rtl/>
        </w:rPr>
        <w:t>-</w:t>
      </w:r>
      <w:r w:rsidRPr="00563AE6">
        <w:rPr>
          <w:rFonts w:cs="mylotus" w:hint="cs"/>
          <w:sz w:val="23"/>
          <w:szCs w:val="23"/>
          <w:rtl/>
        </w:rPr>
        <w:t xml:space="preserve"> </w:t>
      </w:r>
      <w:r w:rsidRPr="00563AE6">
        <w:rPr>
          <w:rFonts w:cs="mylotus"/>
          <w:sz w:val="23"/>
          <w:szCs w:val="23"/>
          <w:rtl/>
        </w:rPr>
        <w:t>الشيخ الط</w:t>
      </w:r>
      <w:r w:rsidRPr="00563AE6">
        <w:rPr>
          <w:rFonts w:cs="mylotus" w:hint="cs"/>
          <w:sz w:val="23"/>
          <w:szCs w:val="23"/>
          <w:rtl/>
        </w:rPr>
        <w:t>و</w:t>
      </w:r>
      <w:r w:rsidRPr="00563AE6">
        <w:rPr>
          <w:rFonts w:cs="mylotus"/>
          <w:sz w:val="23"/>
          <w:szCs w:val="23"/>
          <w:rtl/>
        </w:rPr>
        <w:t>سي</w:t>
      </w:r>
      <w:r w:rsidRPr="00563AE6">
        <w:rPr>
          <w:rFonts w:cs="mylotus" w:hint="cs"/>
          <w:sz w:val="23"/>
          <w:szCs w:val="23"/>
          <w:rtl/>
        </w:rPr>
        <w:t>،</w:t>
      </w:r>
      <w:r w:rsidRPr="00563AE6">
        <w:rPr>
          <w:rFonts w:cs="mylotus"/>
          <w:sz w:val="23"/>
          <w:szCs w:val="23"/>
          <w:rtl/>
        </w:rPr>
        <w:t xml:space="preserve"> </w:t>
      </w:r>
      <w:r w:rsidRPr="00563AE6">
        <w:rPr>
          <w:rFonts w:cs="mylotus"/>
          <w:b/>
          <w:bCs/>
          <w:sz w:val="23"/>
          <w:szCs w:val="23"/>
          <w:rtl/>
        </w:rPr>
        <w:t>تهذيب</w:t>
      </w:r>
      <w:r w:rsidRPr="00563AE6">
        <w:rPr>
          <w:rFonts w:cs="mylotus" w:hint="cs"/>
          <w:b/>
          <w:bCs/>
          <w:sz w:val="23"/>
          <w:szCs w:val="23"/>
          <w:rtl/>
        </w:rPr>
        <w:t xml:space="preserve"> الأحكام</w:t>
      </w:r>
      <w:r w:rsidRPr="00563AE6">
        <w:rPr>
          <w:rFonts w:cs="mylotus" w:hint="cs"/>
          <w:sz w:val="23"/>
          <w:szCs w:val="23"/>
          <w:rtl/>
        </w:rPr>
        <w:t xml:space="preserve">، </w:t>
      </w:r>
      <w:r w:rsidRPr="00563AE6">
        <w:rPr>
          <w:rFonts w:cs="mylotus"/>
          <w:sz w:val="23"/>
          <w:szCs w:val="23"/>
          <w:rtl/>
        </w:rPr>
        <w:t>ج2</w:t>
      </w:r>
      <w:r w:rsidRPr="00563AE6">
        <w:rPr>
          <w:rFonts w:cs="mylotus" w:hint="cs"/>
          <w:sz w:val="23"/>
          <w:szCs w:val="23"/>
          <w:rtl/>
        </w:rPr>
        <w:t xml:space="preserve">، </w:t>
      </w:r>
      <w:r w:rsidRPr="00563AE6">
        <w:rPr>
          <w:rFonts w:cs="mylotus"/>
          <w:sz w:val="23"/>
          <w:szCs w:val="23"/>
          <w:rtl/>
        </w:rPr>
        <w:t xml:space="preserve">ص125، </w:t>
      </w:r>
      <w:r w:rsidRPr="00563AE6">
        <w:rPr>
          <w:rFonts w:cs="mylotus" w:hint="cs"/>
          <w:sz w:val="23"/>
          <w:szCs w:val="23"/>
          <w:rtl/>
        </w:rPr>
        <w:t xml:space="preserve">الشيخ الصدوق، </w:t>
      </w:r>
      <w:r w:rsidRPr="00563AE6">
        <w:rPr>
          <w:rFonts w:cs="mylotus"/>
          <w:b/>
          <w:bCs/>
          <w:sz w:val="23"/>
          <w:szCs w:val="23"/>
          <w:rtl/>
        </w:rPr>
        <w:t>من لا يحضره الفقيه</w:t>
      </w:r>
      <w:r w:rsidRPr="00563AE6">
        <w:rPr>
          <w:rFonts w:cs="mylotus" w:hint="cs"/>
          <w:sz w:val="23"/>
          <w:szCs w:val="23"/>
          <w:rtl/>
        </w:rPr>
        <w:t>،</w:t>
      </w:r>
      <w:r w:rsidRPr="00563AE6">
        <w:rPr>
          <w:rFonts w:cs="mylotus"/>
          <w:sz w:val="23"/>
          <w:szCs w:val="23"/>
          <w:rtl/>
        </w:rPr>
        <w:t xml:space="preserve"> طبع النجف</w:t>
      </w:r>
      <w:r w:rsidRPr="00563AE6">
        <w:rPr>
          <w:rFonts w:cs="mylotus" w:hint="cs"/>
          <w:sz w:val="23"/>
          <w:szCs w:val="23"/>
          <w:rtl/>
        </w:rPr>
        <w:t>،</w:t>
      </w:r>
      <w:r w:rsidRPr="00563AE6">
        <w:rPr>
          <w:rFonts w:cs="mylotus"/>
          <w:sz w:val="23"/>
          <w:szCs w:val="23"/>
          <w:rtl/>
        </w:rPr>
        <w:t xml:space="preserve"> ج2</w:t>
      </w:r>
      <w:r w:rsidRPr="00563AE6">
        <w:rPr>
          <w:rFonts w:cs="mylotus" w:hint="cs"/>
          <w:sz w:val="23"/>
          <w:szCs w:val="23"/>
          <w:rtl/>
        </w:rPr>
        <w:t xml:space="preserve">، </w:t>
      </w:r>
      <w:r w:rsidRPr="00563AE6">
        <w:rPr>
          <w:rFonts w:cs="mylotus"/>
          <w:sz w:val="23"/>
          <w:szCs w:val="23"/>
          <w:rtl/>
        </w:rPr>
        <w:t>ص</w:t>
      </w:r>
      <w:r w:rsidRPr="00563AE6">
        <w:rPr>
          <w:rFonts w:cs="mylotus" w:hint="cs"/>
          <w:sz w:val="23"/>
          <w:szCs w:val="23"/>
          <w:rtl/>
        </w:rPr>
        <w:t xml:space="preserve"> </w:t>
      </w:r>
      <w:r w:rsidRPr="00563AE6">
        <w:rPr>
          <w:rFonts w:cs="mylotus"/>
          <w:sz w:val="23"/>
          <w:szCs w:val="23"/>
          <w:rtl/>
        </w:rPr>
        <w:t>22</w:t>
      </w:r>
      <w:r w:rsidRPr="00563AE6">
        <w:rPr>
          <w:rFonts w:cs="mylotus" w:hint="cs"/>
          <w:sz w:val="23"/>
          <w:szCs w:val="23"/>
          <w:rtl/>
        </w:rPr>
        <w:t>، العلامة الحلي،</w:t>
      </w:r>
      <w:r w:rsidRPr="00563AE6">
        <w:rPr>
          <w:rFonts w:cs="mylotus"/>
          <w:sz w:val="23"/>
          <w:szCs w:val="23"/>
          <w:rtl/>
        </w:rPr>
        <w:t xml:space="preserve"> </w:t>
      </w:r>
      <w:r w:rsidRPr="00563AE6">
        <w:rPr>
          <w:rFonts w:cs="mylotus"/>
          <w:b/>
          <w:bCs/>
          <w:sz w:val="23"/>
          <w:szCs w:val="23"/>
          <w:rtl/>
        </w:rPr>
        <w:t>مختلف الشيعة</w:t>
      </w:r>
      <w:r w:rsidRPr="00563AE6">
        <w:rPr>
          <w:rFonts w:cs="mylotus" w:hint="cs"/>
          <w:sz w:val="23"/>
          <w:szCs w:val="23"/>
          <w:rtl/>
        </w:rPr>
        <w:t xml:space="preserve">، </w:t>
      </w:r>
      <w:r w:rsidRPr="00563AE6">
        <w:rPr>
          <w:rFonts w:cs="mylotus"/>
          <w:sz w:val="23"/>
          <w:szCs w:val="23"/>
          <w:rtl/>
        </w:rPr>
        <w:t>ج</w:t>
      </w:r>
      <w:r w:rsidRPr="00563AE6">
        <w:rPr>
          <w:rFonts w:cs="mylotus" w:hint="cs"/>
          <w:sz w:val="23"/>
          <w:szCs w:val="23"/>
          <w:rtl/>
        </w:rPr>
        <w:t xml:space="preserve"> </w:t>
      </w:r>
      <w:r w:rsidRPr="00563AE6">
        <w:rPr>
          <w:rFonts w:cs="mylotus"/>
          <w:sz w:val="23"/>
          <w:szCs w:val="23"/>
          <w:rtl/>
        </w:rPr>
        <w:t>2</w:t>
      </w:r>
      <w:r w:rsidRPr="00563AE6">
        <w:rPr>
          <w:rFonts w:cs="mylotus" w:hint="cs"/>
          <w:sz w:val="23"/>
          <w:szCs w:val="23"/>
          <w:rtl/>
        </w:rPr>
        <w:t xml:space="preserve">، </w:t>
      </w:r>
      <w:r w:rsidRPr="00563AE6">
        <w:rPr>
          <w:rFonts w:cs="mylotus"/>
          <w:sz w:val="23"/>
          <w:szCs w:val="23"/>
          <w:rtl/>
        </w:rPr>
        <w:t>ص34</w:t>
      </w:r>
      <w:r w:rsidRPr="00563AE6">
        <w:rPr>
          <w:rFonts w:cs="mylotus" w:hint="cs"/>
          <w:sz w:val="23"/>
          <w:szCs w:val="23"/>
          <w:rtl/>
        </w:rPr>
        <w:t>.</w:t>
      </w:r>
    </w:p>
  </w:footnote>
  <w:footnote w:id="73">
    <w:p w:rsidR="00B31118" w:rsidRPr="00563AE6" w:rsidRDefault="00B31118" w:rsidP="00B300C9">
      <w:pPr>
        <w:spacing w:line="228" w:lineRule="auto"/>
        <w:ind w:left="378" w:hanging="378"/>
        <w:jc w:val="both"/>
        <w:rPr>
          <w:rFonts w:cs="mylotus" w:hint="cs"/>
          <w:sz w:val="23"/>
          <w:szCs w:val="23"/>
          <w:rtl/>
        </w:rPr>
      </w:pPr>
      <w:r w:rsidRPr="00563AE6">
        <w:rPr>
          <w:rFonts w:cs="mylotus"/>
          <w:sz w:val="23"/>
          <w:szCs w:val="23"/>
          <w:rtl/>
        </w:rPr>
        <w:footnoteRef/>
      </w:r>
      <w:r>
        <w:rPr>
          <w:rFonts w:cs="mylotus"/>
          <w:sz w:val="23"/>
          <w:szCs w:val="23"/>
          <w:rtl/>
        </w:rPr>
        <w:t>-</w:t>
      </w:r>
      <w:r w:rsidRPr="00563AE6">
        <w:rPr>
          <w:rFonts w:cs="mylotus" w:hint="cs"/>
          <w:sz w:val="23"/>
          <w:szCs w:val="23"/>
          <w:rtl/>
        </w:rPr>
        <w:t xml:space="preserve"> </w:t>
      </w:r>
      <w:r w:rsidRPr="00563AE6">
        <w:rPr>
          <w:rFonts w:cs="mylotus"/>
          <w:sz w:val="23"/>
          <w:szCs w:val="23"/>
          <w:rtl/>
        </w:rPr>
        <w:t>الشيخ الطوسي</w:t>
      </w:r>
      <w:r w:rsidRPr="00563AE6">
        <w:rPr>
          <w:rFonts w:cs="mylotus" w:hint="cs"/>
          <w:sz w:val="23"/>
          <w:szCs w:val="23"/>
          <w:rtl/>
        </w:rPr>
        <w:t>،</w:t>
      </w:r>
      <w:r w:rsidRPr="00563AE6">
        <w:rPr>
          <w:rFonts w:cs="mylotus"/>
          <w:sz w:val="23"/>
          <w:szCs w:val="23"/>
          <w:rtl/>
        </w:rPr>
        <w:t xml:space="preserve"> تهذيب</w:t>
      </w:r>
      <w:r w:rsidRPr="00563AE6">
        <w:rPr>
          <w:rFonts w:cs="mylotus" w:hint="cs"/>
          <w:sz w:val="23"/>
          <w:szCs w:val="23"/>
          <w:rtl/>
        </w:rPr>
        <w:t xml:space="preserve"> الأحكام، </w:t>
      </w:r>
      <w:r w:rsidRPr="00563AE6">
        <w:rPr>
          <w:rFonts w:cs="mylotus"/>
          <w:sz w:val="23"/>
          <w:szCs w:val="23"/>
          <w:rtl/>
        </w:rPr>
        <w:t>ج4</w:t>
      </w:r>
      <w:r w:rsidRPr="00563AE6">
        <w:rPr>
          <w:rFonts w:cs="mylotus" w:hint="cs"/>
          <w:sz w:val="23"/>
          <w:szCs w:val="23"/>
          <w:rtl/>
        </w:rPr>
        <w:t xml:space="preserve">، </w:t>
      </w:r>
      <w:r w:rsidRPr="00563AE6">
        <w:rPr>
          <w:rFonts w:cs="mylotus"/>
          <w:sz w:val="23"/>
          <w:szCs w:val="23"/>
          <w:rtl/>
        </w:rPr>
        <w:t>ص134</w:t>
      </w:r>
      <w:r w:rsidRPr="00563AE6">
        <w:rPr>
          <w:rFonts w:cs="mylotus" w:hint="cs"/>
          <w:sz w:val="23"/>
          <w:szCs w:val="23"/>
          <w:rtl/>
        </w:rPr>
        <w:t>،</w:t>
      </w:r>
      <w:r w:rsidRPr="00563AE6">
        <w:rPr>
          <w:rFonts w:cs="mylotus"/>
          <w:sz w:val="23"/>
          <w:szCs w:val="23"/>
          <w:rtl/>
        </w:rPr>
        <w:t xml:space="preserve"> طبع النجف</w:t>
      </w:r>
      <w:r w:rsidRPr="00563AE6">
        <w:rPr>
          <w:rFonts w:cs="mylotus" w:hint="cs"/>
          <w:sz w:val="23"/>
          <w:szCs w:val="23"/>
          <w:rtl/>
        </w:rPr>
        <w:t>. يقول المترجم: وروى نحو ذلك النعمان بن محمد المغربي، دعائم الإسلام، تحقيق آصف الفيضي، ج 1، ص 386.</w:t>
      </w:r>
    </w:p>
  </w:footnote>
  <w:footnote w:id="74">
    <w:p w:rsidR="00B31118" w:rsidRPr="00563AE6" w:rsidRDefault="00B31118" w:rsidP="00B300C9">
      <w:pPr>
        <w:spacing w:line="228" w:lineRule="auto"/>
        <w:ind w:left="378" w:hanging="378"/>
        <w:jc w:val="both"/>
        <w:rPr>
          <w:rFonts w:cs="mylotus" w:hint="cs"/>
          <w:sz w:val="23"/>
          <w:szCs w:val="23"/>
          <w:rtl/>
        </w:rPr>
      </w:pPr>
      <w:r w:rsidRPr="00563AE6">
        <w:rPr>
          <w:rFonts w:cs="mylotus"/>
          <w:sz w:val="23"/>
          <w:szCs w:val="23"/>
          <w:rtl/>
        </w:rPr>
        <w:footnoteRef/>
      </w:r>
      <w:r>
        <w:rPr>
          <w:rFonts w:cs="mylotus"/>
          <w:sz w:val="23"/>
          <w:szCs w:val="23"/>
          <w:rtl/>
        </w:rPr>
        <w:t>-</w:t>
      </w:r>
      <w:r w:rsidRPr="00563AE6">
        <w:rPr>
          <w:rFonts w:cs="mylotus" w:hint="cs"/>
          <w:sz w:val="23"/>
          <w:szCs w:val="23"/>
          <w:rtl/>
        </w:rPr>
        <w:t xml:space="preserve"> </w:t>
      </w:r>
      <w:r w:rsidRPr="00563AE6">
        <w:rPr>
          <w:rFonts w:cs="mylotus"/>
          <w:sz w:val="23"/>
          <w:szCs w:val="23"/>
          <w:rtl/>
        </w:rPr>
        <w:t>تفسير العياشي</w:t>
      </w:r>
      <w:r w:rsidRPr="00563AE6">
        <w:rPr>
          <w:rFonts w:cs="mylotus" w:hint="cs"/>
          <w:sz w:val="23"/>
          <w:szCs w:val="23"/>
          <w:rtl/>
        </w:rPr>
        <w:t xml:space="preserve">، </w:t>
      </w:r>
      <w:r w:rsidRPr="00563AE6">
        <w:rPr>
          <w:rFonts w:cs="mylotus"/>
          <w:sz w:val="23"/>
          <w:szCs w:val="23"/>
          <w:rtl/>
        </w:rPr>
        <w:t>ج2</w:t>
      </w:r>
      <w:r w:rsidRPr="00563AE6">
        <w:rPr>
          <w:rFonts w:cs="mylotus" w:hint="cs"/>
          <w:sz w:val="23"/>
          <w:szCs w:val="23"/>
          <w:rtl/>
        </w:rPr>
        <w:t xml:space="preserve">، </w:t>
      </w:r>
      <w:r w:rsidRPr="00563AE6">
        <w:rPr>
          <w:rFonts w:cs="mylotus"/>
          <w:sz w:val="23"/>
          <w:szCs w:val="23"/>
          <w:rtl/>
        </w:rPr>
        <w:t>ص63</w:t>
      </w:r>
      <w:r w:rsidRPr="00563AE6">
        <w:rPr>
          <w:rFonts w:cs="mylotus" w:hint="cs"/>
          <w:sz w:val="23"/>
          <w:szCs w:val="23"/>
          <w:rtl/>
        </w:rPr>
        <w:t>؛</w:t>
      </w:r>
      <w:r w:rsidRPr="00563AE6">
        <w:rPr>
          <w:rFonts w:cs="mylotus"/>
          <w:sz w:val="23"/>
          <w:szCs w:val="23"/>
          <w:rtl/>
        </w:rPr>
        <w:t xml:space="preserve"> </w:t>
      </w:r>
      <w:r w:rsidRPr="00563AE6">
        <w:rPr>
          <w:rFonts w:cs="mylotus" w:hint="cs"/>
          <w:sz w:val="23"/>
          <w:szCs w:val="23"/>
          <w:rtl/>
        </w:rPr>
        <w:t xml:space="preserve">محمد باقر </w:t>
      </w:r>
      <w:r w:rsidRPr="00563AE6">
        <w:rPr>
          <w:rFonts w:cs="mylotus"/>
          <w:sz w:val="23"/>
          <w:szCs w:val="23"/>
          <w:rtl/>
        </w:rPr>
        <w:t>المجلسي</w:t>
      </w:r>
      <w:r w:rsidRPr="00563AE6">
        <w:rPr>
          <w:rFonts w:cs="mylotus" w:hint="cs"/>
          <w:sz w:val="23"/>
          <w:szCs w:val="23"/>
          <w:rtl/>
        </w:rPr>
        <w:t>،</w:t>
      </w:r>
      <w:r w:rsidRPr="00563AE6">
        <w:rPr>
          <w:rFonts w:cs="mylotus"/>
          <w:sz w:val="23"/>
          <w:szCs w:val="23"/>
          <w:rtl/>
        </w:rPr>
        <w:t xml:space="preserve"> بحار الأنوار</w:t>
      </w:r>
      <w:r w:rsidRPr="00563AE6">
        <w:rPr>
          <w:rFonts w:cs="mylotus" w:hint="cs"/>
          <w:sz w:val="23"/>
          <w:szCs w:val="23"/>
          <w:rtl/>
        </w:rPr>
        <w:t xml:space="preserve">، </w:t>
      </w:r>
      <w:r w:rsidRPr="00563AE6">
        <w:rPr>
          <w:rFonts w:cs="mylotus"/>
          <w:sz w:val="23"/>
          <w:szCs w:val="23"/>
          <w:rtl/>
        </w:rPr>
        <w:t>ج20</w:t>
      </w:r>
      <w:r w:rsidRPr="00563AE6">
        <w:rPr>
          <w:rFonts w:cs="mylotus" w:hint="cs"/>
          <w:sz w:val="23"/>
          <w:szCs w:val="23"/>
          <w:rtl/>
        </w:rPr>
        <w:t xml:space="preserve">، </w:t>
      </w:r>
      <w:r w:rsidRPr="00563AE6">
        <w:rPr>
          <w:rFonts w:cs="mylotus"/>
          <w:sz w:val="23"/>
          <w:szCs w:val="23"/>
          <w:rtl/>
        </w:rPr>
        <w:t>ص52 طبع كمپاني الحجرية القديمة في تبريز</w:t>
      </w:r>
      <w:r w:rsidRPr="00563AE6">
        <w:rPr>
          <w:rFonts w:cs="mylotus" w:hint="cs"/>
          <w:sz w:val="23"/>
          <w:szCs w:val="23"/>
          <w:rtl/>
        </w:rPr>
        <w:t xml:space="preserve">. [أو </w:t>
      </w:r>
      <w:r w:rsidRPr="00563AE6">
        <w:rPr>
          <w:rFonts w:cs="mylotus"/>
          <w:sz w:val="23"/>
          <w:szCs w:val="23"/>
          <w:rtl/>
        </w:rPr>
        <w:t>ج93، ص 201، طبع بيروت، مؤسسة الوفاء، 1404هـ</w:t>
      </w:r>
      <w:r w:rsidRPr="00563AE6">
        <w:rPr>
          <w:rFonts w:cs="mylotus" w:hint="cs"/>
          <w:sz w:val="23"/>
          <w:szCs w:val="23"/>
          <w:rtl/>
        </w:rPr>
        <w:t>،</w:t>
      </w:r>
      <w:r w:rsidRPr="00563AE6">
        <w:rPr>
          <w:rFonts w:cs="mylotus"/>
          <w:sz w:val="23"/>
          <w:szCs w:val="23"/>
          <w:rtl/>
        </w:rPr>
        <w:t xml:space="preserve"> في 110 مجلدات</w:t>
      </w:r>
      <w:r w:rsidRPr="00563AE6">
        <w:rPr>
          <w:rFonts w:cs="mylotus" w:hint="cs"/>
          <w:sz w:val="23"/>
          <w:szCs w:val="23"/>
          <w:rtl/>
        </w:rPr>
        <w:t xml:space="preserve">]؛ والسيد هاشم البحراني، تفسير البرهان، طبع سالك، ج 2، ص 88؛ والحر العاملي، وسائل الشيعة، أبواب تقسيم الخمس. </w:t>
      </w:r>
    </w:p>
  </w:footnote>
  <w:footnote w:id="75">
    <w:p w:rsidR="00B31118" w:rsidRPr="00563AE6" w:rsidRDefault="00B31118" w:rsidP="00B300C9">
      <w:pPr>
        <w:spacing w:line="228" w:lineRule="auto"/>
        <w:ind w:left="378" w:hanging="378"/>
        <w:jc w:val="both"/>
        <w:rPr>
          <w:rFonts w:cs="mylotus" w:hint="cs"/>
          <w:sz w:val="23"/>
          <w:szCs w:val="23"/>
          <w:rtl/>
        </w:rPr>
      </w:pPr>
      <w:r w:rsidRPr="00563AE6">
        <w:rPr>
          <w:rFonts w:cs="mylotus"/>
          <w:sz w:val="23"/>
          <w:szCs w:val="23"/>
          <w:rtl/>
        </w:rPr>
        <w:footnoteRef/>
      </w:r>
      <w:r>
        <w:rPr>
          <w:rFonts w:cs="mylotus"/>
          <w:sz w:val="23"/>
          <w:szCs w:val="23"/>
          <w:rtl/>
        </w:rPr>
        <w:t>-</w:t>
      </w:r>
      <w:r w:rsidRPr="00563AE6">
        <w:rPr>
          <w:rFonts w:cs="mylotus" w:hint="cs"/>
          <w:sz w:val="23"/>
          <w:szCs w:val="23"/>
          <w:rtl/>
        </w:rPr>
        <w:t xml:space="preserve"> صفو المغنم أو صفيه </w:t>
      </w:r>
      <w:r w:rsidRPr="00563AE6">
        <w:rPr>
          <w:rFonts w:cs="mylotus"/>
          <w:sz w:val="23"/>
          <w:szCs w:val="23"/>
          <w:rtl/>
        </w:rPr>
        <w:t xml:space="preserve">ما يصطفيه </w:t>
      </w:r>
      <w:r w:rsidRPr="00563AE6">
        <w:rPr>
          <w:rFonts w:cs="mylotus" w:hint="cs"/>
          <w:sz w:val="23"/>
          <w:szCs w:val="23"/>
          <w:rtl/>
        </w:rPr>
        <w:t>قائد الجيش</w:t>
      </w:r>
      <w:r w:rsidRPr="00563AE6">
        <w:rPr>
          <w:rFonts w:cs="mylotus"/>
          <w:sz w:val="23"/>
          <w:szCs w:val="23"/>
          <w:rtl/>
        </w:rPr>
        <w:t xml:space="preserve"> عن أرض الغنيمة من شيء قبل أن يقسم من عبد أو جارية أو فرس</w:t>
      </w:r>
      <w:r w:rsidRPr="00563AE6">
        <w:rPr>
          <w:rFonts w:cs="mylotus" w:hint="cs"/>
          <w:sz w:val="23"/>
          <w:szCs w:val="23"/>
          <w:rtl/>
        </w:rPr>
        <w:t xml:space="preserve"> ممتاز</w:t>
      </w:r>
      <w:r w:rsidRPr="00563AE6">
        <w:rPr>
          <w:rFonts w:cs="mylotus"/>
          <w:sz w:val="23"/>
          <w:szCs w:val="23"/>
          <w:rtl/>
        </w:rPr>
        <w:t xml:space="preserve"> أو سيف </w:t>
      </w:r>
      <w:r w:rsidRPr="00563AE6">
        <w:rPr>
          <w:rFonts w:cs="mylotus" w:hint="cs"/>
          <w:sz w:val="23"/>
          <w:szCs w:val="23"/>
          <w:rtl/>
        </w:rPr>
        <w:t>جيد ونحو ذلك.</w:t>
      </w:r>
    </w:p>
  </w:footnote>
  <w:footnote w:id="76">
    <w:p w:rsidR="00B31118" w:rsidRPr="00563AE6" w:rsidRDefault="00B31118" w:rsidP="00B300C9">
      <w:pPr>
        <w:spacing w:line="228" w:lineRule="auto"/>
        <w:ind w:left="378" w:hanging="378"/>
        <w:jc w:val="both"/>
        <w:rPr>
          <w:rFonts w:cs="mylotus" w:hint="cs"/>
          <w:sz w:val="23"/>
          <w:szCs w:val="23"/>
          <w:rtl/>
        </w:rPr>
      </w:pPr>
      <w:r w:rsidRPr="00563AE6">
        <w:rPr>
          <w:rFonts w:cs="mylotus"/>
          <w:sz w:val="23"/>
          <w:szCs w:val="23"/>
          <w:rtl/>
        </w:rPr>
        <w:footnoteRef/>
      </w:r>
      <w:r>
        <w:rPr>
          <w:rFonts w:cs="mylotus"/>
          <w:sz w:val="23"/>
          <w:szCs w:val="23"/>
          <w:rtl/>
        </w:rPr>
        <w:t>-</w:t>
      </w:r>
      <w:r w:rsidRPr="00563AE6">
        <w:rPr>
          <w:rFonts w:cs="mylotus" w:hint="cs"/>
          <w:sz w:val="23"/>
          <w:szCs w:val="23"/>
          <w:rtl/>
        </w:rPr>
        <w:t xml:space="preserve"> الشيخ الطوسي، </w:t>
      </w:r>
      <w:r w:rsidRPr="00563AE6">
        <w:rPr>
          <w:rFonts w:cs="mylotus"/>
          <w:sz w:val="23"/>
          <w:szCs w:val="23"/>
          <w:rtl/>
        </w:rPr>
        <w:t>تهذيب‏الأحكام</w:t>
      </w:r>
      <w:r w:rsidRPr="00563AE6">
        <w:rPr>
          <w:rFonts w:cs="mylotus" w:hint="cs"/>
          <w:sz w:val="23"/>
          <w:szCs w:val="23"/>
          <w:rtl/>
        </w:rPr>
        <w:t xml:space="preserve">، </w:t>
      </w:r>
      <w:r w:rsidRPr="00563AE6">
        <w:rPr>
          <w:rFonts w:cs="mylotus"/>
          <w:sz w:val="23"/>
          <w:szCs w:val="23"/>
          <w:rtl/>
        </w:rPr>
        <w:t>ج</w:t>
      </w:r>
      <w:r w:rsidRPr="00563AE6">
        <w:rPr>
          <w:rFonts w:cs="mylotus" w:hint="cs"/>
          <w:sz w:val="23"/>
          <w:szCs w:val="23"/>
          <w:rtl/>
        </w:rPr>
        <w:t xml:space="preserve"> </w:t>
      </w:r>
      <w:r w:rsidRPr="00563AE6">
        <w:rPr>
          <w:rFonts w:cs="mylotus"/>
          <w:sz w:val="23"/>
          <w:szCs w:val="23"/>
          <w:rtl/>
        </w:rPr>
        <w:t>4</w:t>
      </w:r>
      <w:r w:rsidRPr="00563AE6">
        <w:rPr>
          <w:rFonts w:cs="mylotus" w:hint="cs"/>
          <w:sz w:val="23"/>
          <w:szCs w:val="23"/>
          <w:rtl/>
        </w:rPr>
        <w:t xml:space="preserve">، </w:t>
      </w:r>
      <w:r w:rsidRPr="00563AE6">
        <w:rPr>
          <w:rFonts w:cs="mylotus"/>
          <w:sz w:val="23"/>
          <w:szCs w:val="23"/>
          <w:rtl/>
        </w:rPr>
        <w:t>ص 128</w:t>
      </w:r>
      <w:r w:rsidRPr="00563AE6">
        <w:rPr>
          <w:rFonts w:cs="mylotus" w:hint="cs"/>
          <w:sz w:val="23"/>
          <w:szCs w:val="23"/>
          <w:rtl/>
        </w:rPr>
        <w:t>،</w:t>
      </w:r>
      <w:r w:rsidRPr="00563AE6">
        <w:rPr>
          <w:rFonts w:cs="mylotus"/>
          <w:sz w:val="23"/>
          <w:szCs w:val="23"/>
          <w:rtl/>
        </w:rPr>
        <w:t xml:space="preserve"> ح</w:t>
      </w:r>
      <w:r w:rsidRPr="00563AE6">
        <w:rPr>
          <w:rFonts w:cs="mylotus" w:hint="cs"/>
          <w:sz w:val="23"/>
          <w:szCs w:val="23"/>
          <w:rtl/>
        </w:rPr>
        <w:t xml:space="preserve">ديث </w:t>
      </w:r>
      <w:r w:rsidRPr="00563AE6">
        <w:rPr>
          <w:rFonts w:cs="mylotus"/>
          <w:sz w:val="23"/>
          <w:szCs w:val="23"/>
          <w:rtl/>
        </w:rPr>
        <w:t>365</w:t>
      </w:r>
      <w:r w:rsidRPr="00563AE6">
        <w:rPr>
          <w:rFonts w:cs="mylotus" w:hint="cs"/>
          <w:sz w:val="23"/>
          <w:szCs w:val="23"/>
          <w:rtl/>
        </w:rPr>
        <w:t>؛</w:t>
      </w:r>
      <w:r w:rsidRPr="00563AE6">
        <w:rPr>
          <w:rFonts w:cs="mylotus"/>
          <w:sz w:val="23"/>
          <w:szCs w:val="23"/>
          <w:rtl/>
        </w:rPr>
        <w:t xml:space="preserve"> و</w:t>
      </w:r>
      <w:r w:rsidRPr="00563AE6">
        <w:rPr>
          <w:rFonts w:cs="mylotus" w:hint="cs"/>
          <w:sz w:val="23"/>
          <w:szCs w:val="23"/>
          <w:rtl/>
        </w:rPr>
        <w:t xml:space="preserve">الطوسي أيضًا، </w:t>
      </w:r>
      <w:r w:rsidRPr="00563AE6">
        <w:rPr>
          <w:rFonts w:cs="mylotus"/>
          <w:sz w:val="23"/>
          <w:szCs w:val="23"/>
          <w:rtl/>
        </w:rPr>
        <w:t>الاستبصار</w:t>
      </w:r>
      <w:r w:rsidRPr="00563AE6">
        <w:rPr>
          <w:rFonts w:cs="mylotus" w:hint="cs"/>
          <w:sz w:val="23"/>
          <w:szCs w:val="23"/>
          <w:rtl/>
        </w:rPr>
        <w:t xml:space="preserve">، </w:t>
      </w:r>
      <w:r w:rsidRPr="00563AE6">
        <w:rPr>
          <w:rFonts w:cs="mylotus"/>
          <w:sz w:val="23"/>
          <w:szCs w:val="23"/>
          <w:rtl/>
        </w:rPr>
        <w:t>ج</w:t>
      </w:r>
      <w:r w:rsidRPr="00563AE6">
        <w:rPr>
          <w:rFonts w:cs="mylotus" w:hint="cs"/>
          <w:sz w:val="23"/>
          <w:szCs w:val="23"/>
          <w:rtl/>
        </w:rPr>
        <w:t xml:space="preserve"> </w:t>
      </w:r>
      <w:r w:rsidRPr="00563AE6">
        <w:rPr>
          <w:rFonts w:cs="mylotus"/>
          <w:sz w:val="23"/>
          <w:szCs w:val="23"/>
          <w:rtl/>
        </w:rPr>
        <w:t>2</w:t>
      </w:r>
      <w:r w:rsidRPr="00563AE6">
        <w:rPr>
          <w:rFonts w:cs="mylotus" w:hint="cs"/>
          <w:sz w:val="23"/>
          <w:szCs w:val="23"/>
          <w:rtl/>
        </w:rPr>
        <w:t xml:space="preserve">، </w:t>
      </w:r>
      <w:r w:rsidRPr="00563AE6">
        <w:rPr>
          <w:rFonts w:cs="mylotus"/>
          <w:sz w:val="23"/>
          <w:szCs w:val="23"/>
          <w:rtl/>
        </w:rPr>
        <w:t>ص</w:t>
      </w:r>
      <w:r w:rsidRPr="00563AE6">
        <w:rPr>
          <w:rFonts w:cs="mylotus" w:hint="cs"/>
          <w:sz w:val="23"/>
          <w:szCs w:val="23"/>
          <w:rtl/>
        </w:rPr>
        <w:t xml:space="preserve"> </w:t>
      </w:r>
      <w:r w:rsidRPr="00563AE6">
        <w:rPr>
          <w:rFonts w:cs="mylotus"/>
          <w:sz w:val="23"/>
          <w:szCs w:val="23"/>
          <w:rtl/>
        </w:rPr>
        <w:t>56</w:t>
      </w:r>
      <w:r w:rsidRPr="00563AE6">
        <w:rPr>
          <w:rFonts w:cs="mylotus" w:hint="cs"/>
          <w:sz w:val="23"/>
          <w:szCs w:val="23"/>
          <w:rtl/>
        </w:rPr>
        <w:t xml:space="preserve">، </w:t>
      </w:r>
      <w:r w:rsidRPr="00563AE6">
        <w:rPr>
          <w:rFonts w:cs="mylotus"/>
          <w:sz w:val="23"/>
          <w:szCs w:val="23"/>
          <w:rtl/>
        </w:rPr>
        <w:t>ح</w:t>
      </w:r>
      <w:r w:rsidRPr="00563AE6">
        <w:rPr>
          <w:rFonts w:cs="mylotus" w:hint="cs"/>
          <w:sz w:val="23"/>
          <w:szCs w:val="23"/>
          <w:rtl/>
        </w:rPr>
        <w:t xml:space="preserve">ديث </w:t>
      </w:r>
      <w:r w:rsidRPr="00563AE6">
        <w:rPr>
          <w:rFonts w:cs="mylotus"/>
          <w:sz w:val="23"/>
          <w:szCs w:val="23"/>
          <w:rtl/>
        </w:rPr>
        <w:t>176</w:t>
      </w:r>
      <w:r w:rsidRPr="00563AE6">
        <w:rPr>
          <w:rFonts w:cs="mylotus" w:hint="cs"/>
          <w:sz w:val="23"/>
          <w:szCs w:val="23"/>
          <w:rtl/>
        </w:rPr>
        <w:t xml:space="preserve">. </w:t>
      </w:r>
    </w:p>
  </w:footnote>
  <w:footnote w:id="77">
    <w:p w:rsidR="00B31118" w:rsidRPr="00563AE6" w:rsidRDefault="00B31118" w:rsidP="00B300C9">
      <w:pPr>
        <w:spacing w:line="228" w:lineRule="auto"/>
        <w:ind w:left="378" w:hanging="378"/>
        <w:jc w:val="both"/>
        <w:rPr>
          <w:rFonts w:cs="mylotus" w:hint="cs"/>
          <w:sz w:val="23"/>
          <w:szCs w:val="23"/>
          <w:rtl/>
        </w:rPr>
      </w:pPr>
      <w:r w:rsidRPr="00563AE6">
        <w:rPr>
          <w:rFonts w:cs="mylotus"/>
          <w:sz w:val="23"/>
          <w:szCs w:val="23"/>
          <w:rtl/>
        </w:rPr>
        <w:footnoteRef/>
      </w:r>
      <w:r>
        <w:rPr>
          <w:rFonts w:cs="mylotus"/>
          <w:sz w:val="23"/>
          <w:szCs w:val="23"/>
          <w:rtl/>
        </w:rPr>
        <w:t>-</w:t>
      </w:r>
      <w:r w:rsidRPr="00563AE6">
        <w:rPr>
          <w:rFonts w:cs="mylotus" w:hint="cs"/>
          <w:sz w:val="23"/>
          <w:szCs w:val="23"/>
          <w:rtl/>
        </w:rPr>
        <w:t xml:space="preserve"> الشيخ الصدوق، </w:t>
      </w:r>
      <w:r w:rsidRPr="00563AE6">
        <w:rPr>
          <w:rFonts w:cs="mylotus"/>
          <w:sz w:val="23"/>
          <w:szCs w:val="23"/>
          <w:rtl/>
        </w:rPr>
        <w:t>عيون أخبار الرض</w:t>
      </w:r>
      <w:r w:rsidRPr="00563AE6">
        <w:rPr>
          <w:rFonts w:cs="mylotus" w:hint="cs"/>
          <w:sz w:val="23"/>
          <w:szCs w:val="23"/>
          <w:rtl/>
        </w:rPr>
        <w:t xml:space="preserve">ا، </w:t>
      </w:r>
      <w:r w:rsidRPr="00563AE6">
        <w:rPr>
          <w:rFonts w:cs="mylotus"/>
          <w:sz w:val="23"/>
          <w:szCs w:val="23"/>
          <w:rtl/>
        </w:rPr>
        <w:t xml:space="preserve">23- باب ذكر مجلس الرضا </w:t>
      </w:r>
      <w:r w:rsidRPr="00BC4BA9">
        <w:rPr>
          <w:rFonts w:cs="CTraditional Arabic"/>
          <w:sz w:val="23"/>
          <w:szCs w:val="23"/>
          <w:rtl/>
        </w:rPr>
        <w:t>÷</w:t>
      </w:r>
      <w:r w:rsidRPr="00563AE6">
        <w:rPr>
          <w:rFonts w:cs="mylotus"/>
          <w:sz w:val="23"/>
          <w:szCs w:val="23"/>
          <w:rtl/>
        </w:rPr>
        <w:t xml:space="preserve"> مع المأمون في الفرق بين العترة والأمة</w:t>
      </w:r>
      <w:r w:rsidRPr="00563AE6">
        <w:rPr>
          <w:rFonts w:cs="mylotus" w:hint="cs"/>
          <w:sz w:val="23"/>
          <w:szCs w:val="23"/>
          <w:rtl/>
        </w:rPr>
        <w:t xml:space="preserve">، </w:t>
      </w:r>
      <w:r w:rsidRPr="00563AE6">
        <w:rPr>
          <w:rFonts w:cs="mylotus"/>
          <w:sz w:val="23"/>
          <w:szCs w:val="23"/>
          <w:rtl/>
        </w:rPr>
        <w:t>ج1</w:t>
      </w:r>
      <w:r w:rsidRPr="00563AE6">
        <w:rPr>
          <w:rFonts w:cs="mylotus" w:hint="cs"/>
          <w:sz w:val="23"/>
          <w:szCs w:val="23"/>
          <w:rtl/>
        </w:rPr>
        <w:t xml:space="preserve">، </w:t>
      </w:r>
      <w:r w:rsidRPr="00563AE6">
        <w:rPr>
          <w:rFonts w:cs="mylotus"/>
          <w:sz w:val="23"/>
          <w:szCs w:val="23"/>
          <w:rtl/>
        </w:rPr>
        <w:t>ص237-238</w:t>
      </w:r>
      <w:r w:rsidRPr="00563AE6">
        <w:rPr>
          <w:rFonts w:cs="mylotus" w:hint="cs"/>
          <w:sz w:val="23"/>
          <w:szCs w:val="23"/>
          <w:rtl/>
        </w:rPr>
        <w:t xml:space="preserve">. </w:t>
      </w:r>
    </w:p>
  </w:footnote>
  <w:footnote w:id="78">
    <w:p w:rsidR="00B31118" w:rsidRPr="00563AE6" w:rsidRDefault="00B31118" w:rsidP="00F01069">
      <w:pPr>
        <w:spacing w:line="228" w:lineRule="auto"/>
        <w:ind w:left="378" w:hanging="378"/>
        <w:jc w:val="both"/>
        <w:rPr>
          <w:rFonts w:cs="mylotus" w:hint="cs"/>
          <w:sz w:val="23"/>
          <w:szCs w:val="23"/>
          <w:rtl/>
        </w:rPr>
      </w:pPr>
      <w:r w:rsidRPr="00563AE6">
        <w:rPr>
          <w:rFonts w:cs="mylotus"/>
          <w:sz w:val="23"/>
          <w:szCs w:val="23"/>
          <w:rtl/>
        </w:rPr>
        <w:footnoteRef/>
      </w:r>
      <w:r>
        <w:rPr>
          <w:rFonts w:cs="mylotus"/>
          <w:sz w:val="23"/>
          <w:szCs w:val="23"/>
          <w:rtl/>
        </w:rPr>
        <w:t>-</w:t>
      </w:r>
      <w:r w:rsidRPr="00563AE6">
        <w:rPr>
          <w:rFonts w:cs="mylotus" w:hint="cs"/>
          <w:sz w:val="23"/>
          <w:szCs w:val="23"/>
          <w:rtl/>
        </w:rPr>
        <w:t xml:space="preserve"> الشيخ الصدوق، </w:t>
      </w:r>
      <w:r w:rsidRPr="00563AE6">
        <w:rPr>
          <w:rFonts w:cs="mylotus"/>
          <w:sz w:val="23"/>
          <w:szCs w:val="23"/>
          <w:rtl/>
        </w:rPr>
        <w:t>عيون أخبار الرض</w:t>
      </w:r>
      <w:r w:rsidRPr="00563AE6">
        <w:rPr>
          <w:rFonts w:cs="mylotus" w:hint="cs"/>
          <w:sz w:val="23"/>
          <w:szCs w:val="23"/>
          <w:rtl/>
        </w:rPr>
        <w:t xml:space="preserve">ا، </w:t>
      </w:r>
      <w:r w:rsidRPr="00563AE6">
        <w:rPr>
          <w:rFonts w:cs="mylotus"/>
          <w:sz w:val="23"/>
          <w:szCs w:val="23"/>
          <w:rtl/>
        </w:rPr>
        <w:t>59- باب الأسباب التي من أجلها قتل المأمون علي بن موسى الرضا</w:t>
      </w:r>
      <w:r w:rsidRPr="00BC4BA9">
        <w:rPr>
          <w:rFonts w:cs="CTraditional Arabic"/>
          <w:sz w:val="23"/>
          <w:szCs w:val="23"/>
          <w:rtl/>
        </w:rPr>
        <w:t>÷</w:t>
      </w:r>
      <w:r w:rsidRPr="00563AE6">
        <w:rPr>
          <w:rFonts w:cs="mylotus"/>
          <w:sz w:val="23"/>
          <w:szCs w:val="23"/>
          <w:rtl/>
        </w:rPr>
        <w:t xml:space="preserve"> بالسم</w:t>
      </w:r>
      <w:r w:rsidRPr="00563AE6">
        <w:rPr>
          <w:rFonts w:cs="mylotus" w:hint="cs"/>
          <w:sz w:val="23"/>
          <w:szCs w:val="23"/>
          <w:rtl/>
        </w:rPr>
        <w:t xml:space="preserve">، </w:t>
      </w:r>
      <w:r w:rsidRPr="00563AE6">
        <w:rPr>
          <w:rFonts w:cs="mylotus"/>
          <w:sz w:val="23"/>
          <w:szCs w:val="23"/>
          <w:rtl/>
        </w:rPr>
        <w:t>ج</w:t>
      </w:r>
      <w:r w:rsidRPr="00563AE6">
        <w:rPr>
          <w:rFonts w:cs="mylotus" w:hint="cs"/>
          <w:sz w:val="23"/>
          <w:szCs w:val="23"/>
          <w:rtl/>
        </w:rPr>
        <w:t xml:space="preserve"> </w:t>
      </w:r>
      <w:r w:rsidRPr="00563AE6">
        <w:rPr>
          <w:rFonts w:cs="mylotus"/>
          <w:sz w:val="23"/>
          <w:szCs w:val="23"/>
          <w:rtl/>
        </w:rPr>
        <w:t>2</w:t>
      </w:r>
      <w:r w:rsidRPr="00563AE6">
        <w:rPr>
          <w:rFonts w:cs="mylotus" w:hint="cs"/>
          <w:sz w:val="23"/>
          <w:szCs w:val="23"/>
          <w:rtl/>
        </w:rPr>
        <w:t xml:space="preserve">، </w:t>
      </w:r>
      <w:r w:rsidRPr="00563AE6">
        <w:rPr>
          <w:rFonts w:cs="mylotus"/>
          <w:sz w:val="23"/>
          <w:szCs w:val="23"/>
          <w:rtl/>
        </w:rPr>
        <w:t>ص 238-239</w:t>
      </w:r>
      <w:r w:rsidRPr="00563AE6">
        <w:rPr>
          <w:rFonts w:cs="mylotus" w:hint="cs"/>
          <w:sz w:val="23"/>
          <w:szCs w:val="23"/>
          <w:rtl/>
        </w:rPr>
        <w:t>.</w:t>
      </w:r>
    </w:p>
  </w:footnote>
  <w:footnote w:id="79">
    <w:p w:rsidR="00B31118" w:rsidRPr="00563AE6" w:rsidRDefault="00B31118" w:rsidP="00F01069">
      <w:pPr>
        <w:spacing w:line="228" w:lineRule="auto"/>
        <w:ind w:left="378" w:hanging="378"/>
        <w:jc w:val="both"/>
        <w:rPr>
          <w:rFonts w:cs="mylotus" w:hint="cs"/>
          <w:sz w:val="23"/>
          <w:szCs w:val="23"/>
          <w:rtl/>
        </w:rPr>
      </w:pPr>
      <w:r w:rsidRPr="00563AE6">
        <w:rPr>
          <w:rFonts w:cs="mylotus"/>
          <w:sz w:val="23"/>
          <w:szCs w:val="23"/>
          <w:rtl/>
        </w:rPr>
        <w:footnoteRef/>
      </w:r>
      <w:r>
        <w:rPr>
          <w:rFonts w:cs="mylotus"/>
          <w:sz w:val="23"/>
          <w:szCs w:val="23"/>
          <w:rtl/>
        </w:rPr>
        <w:t>-</w:t>
      </w:r>
      <w:r w:rsidRPr="00563AE6">
        <w:rPr>
          <w:rFonts w:cs="mylotus" w:hint="cs"/>
          <w:sz w:val="23"/>
          <w:szCs w:val="23"/>
          <w:rtl/>
        </w:rPr>
        <w:t xml:space="preserve"> </w:t>
      </w:r>
      <w:r w:rsidRPr="00563AE6">
        <w:rPr>
          <w:rFonts w:cs="mylotus"/>
          <w:sz w:val="23"/>
          <w:szCs w:val="23"/>
          <w:rtl/>
        </w:rPr>
        <w:t xml:space="preserve">مسند حضرة الإمام زيد بن علي بن الحسين </w:t>
      </w:r>
      <w:r w:rsidRPr="003C7AEB">
        <w:rPr>
          <w:rFonts w:cs="CTraditional Arabic"/>
          <w:sz w:val="23"/>
          <w:szCs w:val="23"/>
          <w:rtl/>
        </w:rPr>
        <w:t>÷</w:t>
      </w:r>
      <w:r w:rsidRPr="00563AE6">
        <w:rPr>
          <w:rFonts w:cs="mylotus"/>
          <w:sz w:val="23"/>
          <w:szCs w:val="23"/>
          <w:rtl/>
        </w:rPr>
        <w:t xml:space="preserve"> لأبي خالد الواسطي</w:t>
      </w:r>
      <w:r w:rsidRPr="00563AE6">
        <w:rPr>
          <w:rFonts w:cs="mylotus" w:hint="cs"/>
          <w:sz w:val="23"/>
          <w:szCs w:val="23"/>
          <w:rtl/>
        </w:rPr>
        <w:t>،</w:t>
      </w:r>
      <w:r w:rsidRPr="00563AE6">
        <w:rPr>
          <w:rFonts w:cs="mylotus"/>
          <w:sz w:val="23"/>
          <w:szCs w:val="23"/>
          <w:rtl/>
        </w:rPr>
        <w:t xml:space="preserve"> طبع بيروت</w:t>
      </w:r>
      <w:r w:rsidRPr="00563AE6">
        <w:rPr>
          <w:rFonts w:cs="mylotus" w:hint="cs"/>
          <w:sz w:val="23"/>
          <w:szCs w:val="23"/>
          <w:rtl/>
        </w:rPr>
        <w:t xml:space="preserve">، </w:t>
      </w:r>
      <w:r w:rsidRPr="00563AE6">
        <w:rPr>
          <w:rFonts w:cs="mylotus"/>
          <w:sz w:val="23"/>
          <w:szCs w:val="23"/>
          <w:rtl/>
        </w:rPr>
        <w:t>باب الخمس والأنفال</w:t>
      </w:r>
      <w:r w:rsidRPr="00563AE6">
        <w:rPr>
          <w:rFonts w:cs="mylotus" w:hint="cs"/>
          <w:sz w:val="23"/>
          <w:szCs w:val="23"/>
          <w:rtl/>
        </w:rPr>
        <w:t>،</w:t>
      </w:r>
      <w:r w:rsidRPr="00563AE6">
        <w:rPr>
          <w:rFonts w:cs="mylotus"/>
          <w:sz w:val="23"/>
          <w:szCs w:val="23"/>
          <w:rtl/>
        </w:rPr>
        <w:t xml:space="preserve"> ص</w:t>
      </w:r>
      <w:r w:rsidRPr="00563AE6">
        <w:rPr>
          <w:rFonts w:cs="mylotus" w:hint="cs"/>
          <w:sz w:val="23"/>
          <w:szCs w:val="23"/>
          <w:rtl/>
        </w:rPr>
        <w:t xml:space="preserve"> </w:t>
      </w:r>
      <w:r w:rsidRPr="00563AE6">
        <w:rPr>
          <w:rFonts w:cs="mylotus"/>
          <w:sz w:val="23"/>
          <w:szCs w:val="23"/>
          <w:rtl/>
        </w:rPr>
        <w:t>356</w:t>
      </w:r>
      <w:r w:rsidRPr="00563AE6">
        <w:rPr>
          <w:rFonts w:cs="mylotus" w:hint="cs"/>
          <w:sz w:val="23"/>
          <w:szCs w:val="23"/>
          <w:rtl/>
        </w:rPr>
        <w:t>.</w:t>
      </w:r>
    </w:p>
  </w:footnote>
  <w:footnote w:id="80">
    <w:p w:rsidR="00B31118" w:rsidRPr="00563AE6" w:rsidRDefault="00B31118" w:rsidP="00B300C9">
      <w:pPr>
        <w:spacing w:line="228" w:lineRule="auto"/>
        <w:ind w:left="378" w:hanging="378"/>
        <w:jc w:val="both"/>
        <w:rPr>
          <w:rFonts w:cs="mylotus" w:hint="cs"/>
          <w:sz w:val="23"/>
          <w:szCs w:val="23"/>
          <w:rtl/>
        </w:rPr>
      </w:pPr>
      <w:r w:rsidRPr="00563AE6">
        <w:rPr>
          <w:rFonts w:cs="mylotus"/>
          <w:sz w:val="23"/>
          <w:szCs w:val="23"/>
          <w:rtl/>
        </w:rPr>
        <w:footnoteRef/>
      </w:r>
      <w:r>
        <w:rPr>
          <w:rFonts w:cs="mylotus"/>
          <w:sz w:val="23"/>
          <w:szCs w:val="23"/>
          <w:rtl/>
        </w:rPr>
        <w:t>-</w:t>
      </w:r>
      <w:r w:rsidRPr="00563AE6">
        <w:rPr>
          <w:rFonts w:cs="mylotus" w:hint="cs"/>
          <w:sz w:val="23"/>
          <w:szCs w:val="23"/>
          <w:rtl/>
        </w:rPr>
        <w:t xml:space="preserve"> </w:t>
      </w:r>
      <w:r w:rsidRPr="00563AE6">
        <w:rPr>
          <w:rFonts w:cs="mylotus"/>
          <w:sz w:val="23"/>
          <w:szCs w:val="23"/>
          <w:rtl/>
        </w:rPr>
        <w:t>تفسير تنوير المقباس</w:t>
      </w:r>
      <w:r w:rsidRPr="00563AE6">
        <w:rPr>
          <w:rFonts w:cs="mylotus" w:hint="cs"/>
          <w:sz w:val="23"/>
          <w:szCs w:val="23"/>
          <w:rtl/>
        </w:rPr>
        <w:t>،</w:t>
      </w:r>
      <w:r w:rsidRPr="00563AE6">
        <w:rPr>
          <w:rFonts w:cs="mylotus"/>
          <w:sz w:val="23"/>
          <w:szCs w:val="23"/>
          <w:rtl/>
        </w:rPr>
        <w:t xml:space="preserve"> عبد الله بن عباس</w:t>
      </w:r>
      <w:r w:rsidRPr="00563AE6">
        <w:rPr>
          <w:rFonts w:cs="mylotus" w:hint="cs"/>
          <w:sz w:val="23"/>
          <w:szCs w:val="23"/>
          <w:rtl/>
        </w:rPr>
        <w:t>،</w:t>
      </w:r>
      <w:r w:rsidRPr="00563AE6">
        <w:rPr>
          <w:rFonts w:cs="mylotus"/>
          <w:sz w:val="23"/>
          <w:szCs w:val="23"/>
          <w:rtl/>
        </w:rPr>
        <w:t xml:space="preserve"> </w:t>
      </w:r>
      <w:r w:rsidRPr="00563AE6">
        <w:rPr>
          <w:rFonts w:cs="mylotus" w:hint="cs"/>
          <w:sz w:val="23"/>
          <w:szCs w:val="23"/>
          <w:rtl/>
        </w:rPr>
        <w:t>طبع</w:t>
      </w:r>
      <w:r w:rsidRPr="00563AE6">
        <w:rPr>
          <w:rFonts w:cs="mylotus"/>
          <w:sz w:val="23"/>
          <w:szCs w:val="23"/>
          <w:rtl/>
        </w:rPr>
        <w:t xml:space="preserve"> في حاشية تفسير الدر المنثور</w:t>
      </w:r>
      <w:r w:rsidRPr="00563AE6">
        <w:rPr>
          <w:rFonts w:cs="mylotus" w:hint="cs"/>
          <w:sz w:val="23"/>
          <w:szCs w:val="23"/>
          <w:rtl/>
        </w:rPr>
        <w:t xml:space="preserve"> في التفسير بامأثور،</w:t>
      </w:r>
      <w:r w:rsidRPr="00563AE6">
        <w:rPr>
          <w:rFonts w:cs="mylotus"/>
          <w:sz w:val="23"/>
          <w:szCs w:val="23"/>
          <w:rtl/>
        </w:rPr>
        <w:t xml:space="preserve"> للسيوطي، طبع مصر</w:t>
      </w:r>
      <w:r w:rsidRPr="00563AE6">
        <w:rPr>
          <w:rFonts w:cs="mylotus" w:hint="cs"/>
          <w:sz w:val="23"/>
          <w:szCs w:val="23"/>
          <w:rtl/>
        </w:rPr>
        <w:t xml:space="preserve">، </w:t>
      </w:r>
      <w:r w:rsidRPr="00563AE6">
        <w:rPr>
          <w:rFonts w:cs="mylotus"/>
          <w:sz w:val="23"/>
          <w:szCs w:val="23"/>
          <w:rtl/>
        </w:rPr>
        <w:t>ج</w:t>
      </w:r>
      <w:r w:rsidRPr="00563AE6">
        <w:rPr>
          <w:rFonts w:cs="mylotus" w:hint="cs"/>
          <w:sz w:val="23"/>
          <w:szCs w:val="23"/>
          <w:rtl/>
        </w:rPr>
        <w:t xml:space="preserve"> </w:t>
      </w:r>
      <w:r w:rsidRPr="00563AE6">
        <w:rPr>
          <w:rFonts w:cs="mylotus"/>
          <w:sz w:val="23"/>
          <w:szCs w:val="23"/>
          <w:rtl/>
        </w:rPr>
        <w:t>2</w:t>
      </w:r>
      <w:r w:rsidRPr="00563AE6">
        <w:rPr>
          <w:rFonts w:cs="mylotus" w:hint="cs"/>
          <w:sz w:val="23"/>
          <w:szCs w:val="23"/>
          <w:rtl/>
        </w:rPr>
        <w:t xml:space="preserve">، </w:t>
      </w:r>
      <w:r w:rsidRPr="00563AE6">
        <w:rPr>
          <w:rFonts w:cs="mylotus"/>
          <w:sz w:val="23"/>
          <w:szCs w:val="23"/>
          <w:rtl/>
        </w:rPr>
        <w:t>ص</w:t>
      </w:r>
      <w:r w:rsidRPr="00563AE6">
        <w:rPr>
          <w:rFonts w:cs="mylotus" w:hint="cs"/>
          <w:sz w:val="23"/>
          <w:szCs w:val="23"/>
          <w:rtl/>
        </w:rPr>
        <w:t xml:space="preserve"> </w:t>
      </w:r>
      <w:r w:rsidRPr="00563AE6">
        <w:rPr>
          <w:rFonts w:cs="mylotus"/>
          <w:sz w:val="23"/>
          <w:szCs w:val="23"/>
          <w:rtl/>
        </w:rPr>
        <w:t>64</w:t>
      </w:r>
      <w:r w:rsidRPr="00563AE6">
        <w:rPr>
          <w:rFonts w:cs="mylotus" w:hint="cs"/>
          <w:sz w:val="23"/>
          <w:szCs w:val="23"/>
          <w:rtl/>
        </w:rPr>
        <w:t>.</w:t>
      </w:r>
    </w:p>
  </w:footnote>
  <w:footnote w:id="81">
    <w:p w:rsidR="00B31118" w:rsidRPr="00563AE6" w:rsidRDefault="00B31118" w:rsidP="00B300C9">
      <w:pPr>
        <w:spacing w:line="228" w:lineRule="auto"/>
        <w:ind w:left="378" w:hanging="378"/>
        <w:jc w:val="both"/>
        <w:rPr>
          <w:rFonts w:cs="mylotus" w:hint="cs"/>
          <w:sz w:val="23"/>
          <w:szCs w:val="23"/>
          <w:rtl/>
          <w:lang w:bidi="ar-SY"/>
        </w:rPr>
      </w:pPr>
      <w:r w:rsidRPr="00563AE6">
        <w:rPr>
          <w:rStyle w:val="FootnoteReference"/>
          <w:rFonts w:cs="mylotus"/>
          <w:sz w:val="23"/>
          <w:szCs w:val="23"/>
          <w:vertAlign w:val="baseline"/>
          <w:rtl/>
        </w:rPr>
        <w:footnoteRef/>
      </w:r>
      <w:r>
        <w:rPr>
          <w:rFonts w:cs="mylotus"/>
          <w:sz w:val="23"/>
          <w:szCs w:val="23"/>
          <w:rtl/>
        </w:rPr>
        <w:t>-</w:t>
      </w:r>
      <w:r w:rsidRPr="00563AE6">
        <w:rPr>
          <w:rFonts w:cs="mylotus"/>
          <w:sz w:val="23"/>
          <w:szCs w:val="23"/>
          <w:rtl/>
        </w:rPr>
        <w:t xml:space="preserve"> </w:t>
      </w:r>
      <w:r w:rsidRPr="00563AE6">
        <w:rPr>
          <w:rFonts w:cs="mylotus" w:hint="cs"/>
          <w:sz w:val="23"/>
          <w:szCs w:val="23"/>
          <w:rtl/>
        </w:rPr>
        <w:t xml:space="preserve">الكليني، </w:t>
      </w:r>
      <w:r w:rsidRPr="00563AE6">
        <w:rPr>
          <w:rFonts w:cs="mylotus" w:hint="cs"/>
          <w:b/>
          <w:bCs/>
          <w:sz w:val="23"/>
          <w:szCs w:val="23"/>
          <w:rtl/>
        </w:rPr>
        <w:t>أصول الكافي</w:t>
      </w:r>
      <w:r w:rsidRPr="00563AE6">
        <w:rPr>
          <w:rFonts w:cs="mylotus" w:hint="cs"/>
          <w:sz w:val="23"/>
          <w:szCs w:val="23"/>
          <w:rtl/>
        </w:rPr>
        <w:t xml:space="preserve">، </w:t>
      </w:r>
      <w:r w:rsidRPr="00563AE6">
        <w:rPr>
          <w:rFonts w:cs="mylotus"/>
          <w:sz w:val="23"/>
          <w:szCs w:val="23"/>
          <w:rtl/>
        </w:rPr>
        <w:t>بَابُ الْفَيْ‏ءِ وَالْأَنْفَالِ وَتَفْسِيرِ الْخُمُسِ وَحُدُودِهِ وَمَا يَجِبُ فِيهِ</w:t>
      </w:r>
      <w:r w:rsidRPr="00563AE6">
        <w:rPr>
          <w:rFonts w:cs="mylotus" w:hint="cs"/>
          <w:sz w:val="23"/>
          <w:szCs w:val="23"/>
          <w:rtl/>
        </w:rPr>
        <w:t>،</w:t>
      </w:r>
      <w:r w:rsidRPr="00563AE6">
        <w:rPr>
          <w:rFonts w:cs="mylotus"/>
          <w:sz w:val="23"/>
          <w:szCs w:val="23"/>
          <w:rtl/>
        </w:rPr>
        <w:t xml:space="preserve"> </w:t>
      </w:r>
      <w:r w:rsidRPr="00563AE6">
        <w:rPr>
          <w:rFonts w:cs="mylotus" w:hint="cs"/>
          <w:sz w:val="23"/>
          <w:szCs w:val="23"/>
          <w:rtl/>
        </w:rPr>
        <w:t>ج1، ص358.</w:t>
      </w:r>
    </w:p>
  </w:footnote>
  <w:footnote w:id="82">
    <w:p w:rsidR="00B31118" w:rsidRPr="00563AE6" w:rsidRDefault="00B31118" w:rsidP="00B300C9">
      <w:pPr>
        <w:spacing w:line="228" w:lineRule="auto"/>
        <w:ind w:left="378" w:hanging="378"/>
        <w:jc w:val="both"/>
        <w:rPr>
          <w:rFonts w:cs="mylotus" w:hint="cs"/>
          <w:sz w:val="23"/>
          <w:szCs w:val="23"/>
          <w:rtl/>
        </w:rPr>
      </w:pPr>
      <w:r w:rsidRPr="00563AE6">
        <w:rPr>
          <w:rFonts w:cs="mylotus"/>
          <w:sz w:val="23"/>
          <w:szCs w:val="23"/>
          <w:rtl/>
        </w:rPr>
        <w:footnoteRef/>
      </w:r>
      <w:r>
        <w:rPr>
          <w:rFonts w:cs="mylotus"/>
          <w:sz w:val="23"/>
          <w:szCs w:val="23"/>
          <w:rtl/>
        </w:rPr>
        <w:t>-</w:t>
      </w:r>
      <w:r w:rsidRPr="00563AE6">
        <w:rPr>
          <w:rFonts w:cs="mylotus" w:hint="cs"/>
          <w:sz w:val="23"/>
          <w:szCs w:val="23"/>
          <w:rtl/>
        </w:rPr>
        <w:t xml:space="preserve"> الطبرسي، </w:t>
      </w:r>
      <w:r w:rsidRPr="00563AE6">
        <w:rPr>
          <w:rFonts w:cs="mylotus"/>
          <w:b/>
          <w:bCs/>
          <w:sz w:val="23"/>
          <w:szCs w:val="23"/>
          <w:rtl/>
        </w:rPr>
        <w:t>تفسي</w:t>
      </w:r>
      <w:r w:rsidRPr="00563AE6">
        <w:rPr>
          <w:rFonts w:cs="mylotus" w:hint="cs"/>
          <w:b/>
          <w:bCs/>
          <w:sz w:val="23"/>
          <w:szCs w:val="23"/>
          <w:rtl/>
        </w:rPr>
        <w:t xml:space="preserve">ر </w:t>
      </w:r>
      <w:r w:rsidRPr="00563AE6">
        <w:rPr>
          <w:rFonts w:cs="mylotus"/>
          <w:b/>
          <w:bCs/>
          <w:sz w:val="23"/>
          <w:szCs w:val="23"/>
          <w:rtl/>
        </w:rPr>
        <w:t>مجمع البيان</w:t>
      </w:r>
      <w:r w:rsidRPr="00563AE6">
        <w:rPr>
          <w:rFonts w:cs="mylotus" w:hint="cs"/>
          <w:sz w:val="23"/>
          <w:szCs w:val="23"/>
          <w:rtl/>
        </w:rPr>
        <w:t xml:space="preserve">، </w:t>
      </w:r>
      <w:r w:rsidRPr="00563AE6">
        <w:rPr>
          <w:rFonts w:cs="mylotus"/>
          <w:sz w:val="23"/>
          <w:szCs w:val="23"/>
          <w:rtl/>
        </w:rPr>
        <w:t>طبع إسلامية، طهران</w:t>
      </w:r>
      <w:r w:rsidRPr="00563AE6">
        <w:rPr>
          <w:rFonts w:cs="mylotus" w:hint="cs"/>
          <w:sz w:val="23"/>
          <w:szCs w:val="23"/>
          <w:rtl/>
        </w:rPr>
        <w:t>،</w:t>
      </w:r>
      <w:r w:rsidRPr="00563AE6">
        <w:rPr>
          <w:rFonts w:cs="mylotus"/>
          <w:sz w:val="23"/>
          <w:szCs w:val="23"/>
          <w:rtl/>
        </w:rPr>
        <w:t xml:space="preserve"> ج9</w:t>
      </w:r>
      <w:r w:rsidRPr="00563AE6">
        <w:rPr>
          <w:rFonts w:cs="mylotus" w:hint="cs"/>
          <w:sz w:val="23"/>
          <w:szCs w:val="23"/>
          <w:rtl/>
        </w:rPr>
        <w:t xml:space="preserve">، </w:t>
      </w:r>
      <w:r w:rsidRPr="00563AE6">
        <w:rPr>
          <w:rFonts w:cs="mylotus"/>
          <w:sz w:val="23"/>
          <w:szCs w:val="23"/>
          <w:rtl/>
        </w:rPr>
        <w:t>ص612</w:t>
      </w:r>
      <w:r w:rsidRPr="00563AE6">
        <w:rPr>
          <w:rFonts w:cs="mylotus" w:hint="cs"/>
          <w:sz w:val="23"/>
          <w:szCs w:val="23"/>
          <w:rtl/>
        </w:rPr>
        <w:t>.</w:t>
      </w:r>
    </w:p>
  </w:footnote>
  <w:footnote w:id="83">
    <w:p w:rsidR="00B31118" w:rsidRPr="00563AE6" w:rsidRDefault="00B31118" w:rsidP="00B300C9">
      <w:pPr>
        <w:spacing w:line="228" w:lineRule="auto"/>
        <w:ind w:left="378" w:hanging="378"/>
        <w:jc w:val="both"/>
        <w:rPr>
          <w:rFonts w:cs="mylotus" w:hint="cs"/>
          <w:sz w:val="23"/>
          <w:szCs w:val="23"/>
          <w:rtl/>
        </w:rPr>
      </w:pPr>
      <w:r w:rsidRPr="00563AE6">
        <w:rPr>
          <w:rFonts w:cs="mylotus"/>
          <w:sz w:val="23"/>
          <w:szCs w:val="23"/>
          <w:rtl/>
        </w:rPr>
        <w:footnoteRef/>
      </w:r>
      <w:r>
        <w:rPr>
          <w:rFonts w:cs="mylotus"/>
          <w:sz w:val="23"/>
          <w:szCs w:val="23"/>
          <w:rtl/>
        </w:rPr>
        <w:t>-</w:t>
      </w:r>
      <w:r w:rsidRPr="00563AE6">
        <w:rPr>
          <w:rFonts w:ascii="Abo-thar" w:hAnsi="Abo-thar" w:cs="mylotus"/>
          <w:sz w:val="23"/>
          <w:szCs w:val="23"/>
          <w:lang w:bidi="ar-SY"/>
        </w:rPr>
        <w:t></w:t>
      </w:r>
      <w:r w:rsidRPr="00563AE6">
        <w:rPr>
          <w:rFonts w:cs="mylotus"/>
          <w:b/>
          <w:bCs/>
          <w:sz w:val="23"/>
          <w:szCs w:val="23"/>
          <w:rtl/>
        </w:rPr>
        <w:t>الحدائق الناضرة</w:t>
      </w:r>
      <w:r w:rsidRPr="00563AE6">
        <w:rPr>
          <w:rFonts w:cs="mylotus" w:hint="cs"/>
          <w:sz w:val="23"/>
          <w:szCs w:val="23"/>
          <w:rtl/>
        </w:rPr>
        <w:t>، طبع النجف،</w:t>
      </w:r>
      <w:r w:rsidRPr="00563AE6">
        <w:rPr>
          <w:rFonts w:cs="mylotus"/>
          <w:sz w:val="23"/>
          <w:szCs w:val="23"/>
          <w:rtl/>
        </w:rPr>
        <w:t xml:space="preserve"> ج12</w:t>
      </w:r>
      <w:r w:rsidRPr="00563AE6">
        <w:rPr>
          <w:rFonts w:cs="mylotus" w:hint="cs"/>
          <w:sz w:val="23"/>
          <w:szCs w:val="23"/>
          <w:rtl/>
        </w:rPr>
        <w:t xml:space="preserve">، </w:t>
      </w:r>
      <w:r w:rsidRPr="00563AE6">
        <w:rPr>
          <w:rFonts w:cs="mylotus"/>
          <w:sz w:val="23"/>
          <w:szCs w:val="23"/>
          <w:rtl/>
        </w:rPr>
        <w:t>ص</w:t>
      </w:r>
      <w:r w:rsidRPr="00563AE6">
        <w:rPr>
          <w:rFonts w:cs="mylotus" w:hint="cs"/>
          <w:sz w:val="23"/>
          <w:szCs w:val="23"/>
          <w:rtl/>
        </w:rPr>
        <w:t xml:space="preserve"> </w:t>
      </w:r>
      <w:r w:rsidRPr="00563AE6">
        <w:rPr>
          <w:rFonts w:cs="mylotus"/>
          <w:sz w:val="23"/>
          <w:szCs w:val="23"/>
          <w:rtl/>
        </w:rPr>
        <w:t>387</w:t>
      </w:r>
      <w:r w:rsidRPr="00563AE6">
        <w:rPr>
          <w:rFonts w:cs="mylotus" w:hint="cs"/>
          <w:sz w:val="23"/>
          <w:szCs w:val="23"/>
          <w:rtl/>
        </w:rPr>
        <w:t>.</w:t>
      </w:r>
    </w:p>
  </w:footnote>
  <w:footnote w:id="84">
    <w:p w:rsidR="00B31118" w:rsidRPr="00563AE6" w:rsidRDefault="00B31118" w:rsidP="00B300C9">
      <w:pPr>
        <w:spacing w:line="228" w:lineRule="auto"/>
        <w:ind w:left="378" w:hanging="378"/>
        <w:jc w:val="both"/>
        <w:rPr>
          <w:rFonts w:cs="mylotus" w:hint="cs"/>
          <w:sz w:val="23"/>
          <w:szCs w:val="23"/>
          <w:rtl/>
        </w:rPr>
      </w:pPr>
      <w:r w:rsidRPr="00563AE6">
        <w:rPr>
          <w:rFonts w:cs="mylotus"/>
          <w:sz w:val="23"/>
          <w:szCs w:val="23"/>
          <w:rtl/>
        </w:rPr>
        <w:footnoteRef/>
      </w:r>
      <w:r>
        <w:rPr>
          <w:rFonts w:cs="mylotus"/>
          <w:sz w:val="23"/>
          <w:szCs w:val="23"/>
          <w:rtl/>
        </w:rPr>
        <w:t>-</w:t>
      </w:r>
      <w:r w:rsidRPr="00563AE6">
        <w:rPr>
          <w:rFonts w:cs="mylotus" w:hint="cs"/>
          <w:sz w:val="23"/>
          <w:szCs w:val="23"/>
          <w:rtl/>
        </w:rPr>
        <w:t xml:space="preserve"> رضا الهمداني، </w:t>
      </w:r>
      <w:r w:rsidRPr="00563AE6">
        <w:rPr>
          <w:rFonts w:cs="mylotus"/>
          <w:sz w:val="23"/>
          <w:szCs w:val="23"/>
          <w:rtl/>
        </w:rPr>
        <w:t>مصباح الفقيه</w:t>
      </w:r>
      <w:r w:rsidRPr="00563AE6">
        <w:rPr>
          <w:rFonts w:cs="mylotus" w:hint="cs"/>
          <w:sz w:val="23"/>
          <w:szCs w:val="23"/>
          <w:rtl/>
        </w:rPr>
        <w:t xml:space="preserve">، </w:t>
      </w:r>
      <w:r w:rsidRPr="00563AE6">
        <w:rPr>
          <w:rFonts w:cs="mylotus"/>
          <w:sz w:val="23"/>
          <w:szCs w:val="23"/>
          <w:rtl/>
        </w:rPr>
        <w:t>ج1</w:t>
      </w:r>
      <w:r w:rsidRPr="00563AE6">
        <w:rPr>
          <w:rFonts w:cs="mylotus" w:hint="cs"/>
          <w:sz w:val="23"/>
          <w:szCs w:val="23"/>
          <w:rtl/>
        </w:rPr>
        <w:t xml:space="preserve">، </w:t>
      </w:r>
      <w:r w:rsidRPr="00563AE6">
        <w:rPr>
          <w:rFonts w:cs="mylotus"/>
          <w:sz w:val="23"/>
          <w:szCs w:val="23"/>
          <w:rtl/>
        </w:rPr>
        <w:t>ص</w:t>
      </w:r>
      <w:r w:rsidRPr="00563AE6">
        <w:rPr>
          <w:rFonts w:cs="mylotus" w:hint="cs"/>
          <w:sz w:val="23"/>
          <w:szCs w:val="23"/>
          <w:rtl/>
        </w:rPr>
        <w:t xml:space="preserve"> </w:t>
      </w:r>
      <w:r w:rsidRPr="00563AE6">
        <w:rPr>
          <w:rFonts w:cs="mylotus"/>
          <w:sz w:val="23"/>
          <w:szCs w:val="23"/>
          <w:rtl/>
        </w:rPr>
        <w:t>145</w:t>
      </w:r>
      <w:r w:rsidRPr="00563AE6">
        <w:rPr>
          <w:rFonts w:cs="mylotus" w:hint="cs"/>
          <w:sz w:val="23"/>
          <w:szCs w:val="23"/>
          <w:rtl/>
        </w:rPr>
        <w:t>.</w:t>
      </w:r>
    </w:p>
  </w:footnote>
  <w:footnote w:id="85">
    <w:p w:rsidR="00B31118" w:rsidRPr="00563AE6" w:rsidRDefault="00B31118" w:rsidP="00B300C9">
      <w:pPr>
        <w:spacing w:line="228" w:lineRule="auto"/>
        <w:ind w:left="378" w:hanging="378"/>
        <w:jc w:val="both"/>
        <w:rPr>
          <w:rFonts w:cs="mylotus" w:hint="cs"/>
          <w:sz w:val="23"/>
          <w:szCs w:val="23"/>
        </w:rPr>
      </w:pPr>
      <w:r w:rsidRPr="00563AE6">
        <w:rPr>
          <w:rFonts w:cs="mylotus"/>
          <w:sz w:val="23"/>
          <w:szCs w:val="23"/>
          <w:rtl/>
        </w:rPr>
        <w:footnoteRef/>
      </w:r>
      <w:r>
        <w:rPr>
          <w:rFonts w:cs="mylotus"/>
          <w:sz w:val="23"/>
          <w:szCs w:val="23"/>
          <w:rtl/>
        </w:rPr>
        <w:t>-</w:t>
      </w:r>
      <w:r w:rsidRPr="00563AE6">
        <w:rPr>
          <w:rFonts w:cs="mylotus"/>
          <w:sz w:val="23"/>
          <w:szCs w:val="23"/>
          <w:rtl/>
        </w:rPr>
        <w:t xml:space="preserve"> </w:t>
      </w:r>
      <w:r w:rsidRPr="00563AE6">
        <w:rPr>
          <w:rFonts w:cs="mylotus" w:hint="cs"/>
          <w:sz w:val="23"/>
          <w:szCs w:val="23"/>
          <w:rtl/>
        </w:rPr>
        <w:t xml:space="preserve">بعد أن نقل المرحوم صاحب المدارك ذلك القول عن ابن جنيد قال: والظاهر أن هذا القيد (إذا استغنى عنها ذوو القربى) على سبيل الأفضلية على سبيل التعيين ويدل على ما ذكره إطلاق الآية الشريفة. </w:t>
      </w:r>
    </w:p>
  </w:footnote>
  <w:footnote w:id="86">
    <w:p w:rsidR="00B31118" w:rsidRPr="00563AE6" w:rsidRDefault="00B31118" w:rsidP="00B300C9">
      <w:pPr>
        <w:spacing w:line="228" w:lineRule="auto"/>
        <w:ind w:left="378" w:hanging="378"/>
        <w:jc w:val="both"/>
        <w:rPr>
          <w:rFonts w:cs="mylotus" w:hint="cs"/>
          <w:sz w:val="23"/>
          <w:szCs w:val="23"/>
        </w:rPr>
      </w:pPr>
      <w:r w:rsidRPr="00563AE6">
        <w:rPr>
          <w:rFonts w:cs="mylotus"/>
          <w:sz w:val="23"/>
          <w:szCs w:val="23"/>
          <w:rtl/>
        </w:rPr>
        <w:footnoteRef/>
      </w:r>
      <w:r>
        <w:rPr>
          <w:rFonts w:cs="mylotus"/>
          <w:sz w:val="23"/>
          <w:szCs w:val="23"/>
          <w:rtl/>
        </w:rPr>
        <w:t>-</w:t>
      </w:r>
      <w:r w:rsidRPr="00563AE6">
        <w:rPr>
          <w:rFonts w:cs="mylotus" w:hint="cs"/>
          <w:sz w:val="23"/>
          <w:szCs w:val="23"/>
          <w:rtl/>
        </w:rPr>
        <w:t xml:space="preserve"> مصباح الفقيه، ج2، ص144.</w:t>
      </w:r>
    </w:p>
  </w:footnote>
  <w:footnote w:id="87">
    <w:p w:rsidR="00B31118" w:rsidRPr="00563AE6" w:rsidRDefault="00B31118" w:rsidP="00B300C9">
      <w:pPr>
        <w:spacing w:line="228" w:lineRule="auto"/>
        <w:ind w:left="378" w:hanging="378"/>
        <w:jc w:val="both"/>
        <w:rPr>
          <w:rFonts w:cs="mylotus" w:hint="cs"/>
          <w:sz w:val="23"/>
          <w:szCs w:val="23"/>
        </w:rPr>
      </w:pPr>
      <w:r w:rsidRPr="00563AE6">
        <w:rPr>
          <w:rFonts w:cs="mylotus"/>
          <w:sz w:val="23"/>
          <w:szCs w:val="23"/>
          <w:rtl/>
        </w:rPr>
        <w:footnoteRef/>
      </w:r>
      <w:r>
        <w:rPr>
          <w:rFonts w:cs="mylotus"/>
          <w:sz w:val="23"/>
          <w:szCs w:val="23"/>
          <w:rtl/>
        </w:rPr>
        <w:t>-</w:t>
      </w:r>
      <w:r w:rsidRPr="00563AE6">
        <w:rPr>
          <w:rFonts w:cs="mylotus"/>
          <w:sz w:val="23"/>
          <w:szCs w:val="23"/>
          <w:rtl/>
        </w:rPr>
        <w:t xml:space="preserve"> </w:t>
      </w:r>
      <w:r w:rsidRPr="00563AE6">
        <w:rPr>
          <w:rFonts w:cs="mylotus" w:hint="cs"/>
          <w:sz w:val="23"/>
          <w:szCs w:val="23"/>
          <w:rtl/>
        </w:rPr>
        <w:t xml:space="preserve">ابن شهرآشوب، </w:t>
      </w:r>
      <w:r w:rsidRPr="00563AE6">
        <w:rPr>
          <w:rFonts w:cs="mylotus"/>
          <w:sz w:val="23"/>
          <w:szCs w:val="23"/>
          <w:rtl/>
        </w:rPr>
        <w:t>متشابهات القرآن ومختلفه</w:t>
      </w:r>
      <w:r w:rsidRPr="00563AE6">
        <w:rPr>
          <w:rFonts w:cs="mylotus" w:hint="cs"/>
          <w:sz w:val="23"/>
          <w:szCs w:val="23"/>
          <w:rtl/>
        </w:rPr>
        <w:t xml:space="preserve">، </w:t>
      </w:r>
      <w:r w:rsidRPr="00563AE6">
        <w:rPr>
          <w:rFonts w:cs="mylotus"/>
          <w:sz w:val="23"/>
          <w:szCs w:val="23"/>
          <w:rtl/>
        </w:rPr>
        <w:t>الطبعة الجديدة</w:t>
      </w:r>
      <w:r w:rsidRPr="00563AE6">
        <w:rPr>
          <w:rFonts w:cs="mylotus" w:hint="cs"/>
          <w:sz w:val="23"/>
          <w:szCs w:val="23"/>
          <w:rtl/>
        </w:rPr>
        <w:t>،</w:t>
      </w:r>
      <w:r w:rsidRPr="00563AE6">
        <w:rPr>
          <w:rFonts w:cs="mylotus"/>
          <w:sz w:val="23"/>
          <w:szCs w:val="23"/>
          <w:rtl/>
        </w:rPr>
        <w:t xml:space="preserve"> ج2</w:t>
      </w:r>
      <w:r w:rsidRPr="00563AE6">
        <w:rPr>
          <w:rFonts w:cs="mylotus" w:hint="cs"/>
          <w:sz w:val="23"/>
          <w:szCs w:val="23"/>
          <w:rtl/>
        </w:rPr>
        <w:t xml:space="preserve">، </w:t>
      </w:r>
      <w:r w:rsidRPr="00563AE6">
        <w:rPr>
          <w:rFonts w:cs="mylotus"/>
          <w:sz w:val="23"/>
          <w:szCs w:val="23"/>
          <w:rtl/>
        </w:rPr>
        <w:t>ص175</w:t>
      </w:r>
      <w:r w:rsidRPr="00563AE6">
        <w:rPr>
          <w:rFonts w:cs="mylotus" w:hint="cs"/>
          <w:sz w:val="23"/>
          <w:szCs w:val="23"/>
          <w:rtl/>
        </w:rPr>
        <w:t xml:space="preserve">. </w:t>
      </w:r>
    </w:p>
  </w:footnote>
  <w:footnote w:id="88">
    <w:p w:rsidR="00B31118" w:rsidRPr="00563AE6" w:rsidRDefault="00B31118" w:rsidP="00B300C9">
      <w:pPr>
        <w:spacing w:line="228" w:lineRule="auto"/>
        <w:ind w:left="378" w:hanging="378"/>
        <w:jc w:val="both"/>
        <w:rPr>
          <w:rFonts w:cs="mylotus" w:hint="cs"/>
          <w:sz w:val="23"/>
          <w:szCs w:val="23"/>
        </w:rPr>
      </w:pPr>
      <w:r w:rsidRPr="00563AE6">
        <w:rPr>
          <w:rFonts w:cs="mylotus"/>
          <w:sz w:val="23"/>
          <w:szCs w:val="23"/>
          <w:rtl/>
        </w:rPr>
        <w:footnoteRef/>
      </w:r>
      <w:r>
        <w:rPr>
          <w:rFonts w:cs="mylotus"/>
          <w:sz w:val="23"/>
          <w:szCs w:val="23"/>
          <w:rtl/>
        </w:rPr>
        <w:t>-</w:t>
      </w:r>
      <w:r w:rsidRPr="00563AE6">
        <w:rPr>
          <w:rFonts w:cs="mylotus" w:hint="cs"/>
          <w:sz w:val="23"/>
          <w:szCs w:val="23"/>
          <w:rtl/>
        </w:rPr>
        <w:t xml:space="preserve"> </w:t>
      </w:r>
      <w:r w:rsidRPr="00563AE6">
        <w:rPr>
          <w:rFonts w:cs="mylotus"/>
          <w:sz w:val="23"/>
          <w:szCs w:val="23"/>
          <w:rtl/>
        </w:rPr>
        <w:t>الشيخ يوسف البحراني</w:t>
      </w:r>
      <w:r w:rsidRPr="00563AE6">
        <w:rPr>
          <w:rFonts w:cs="mylotus" w:hint="cs"/>
          <w:sz w:val="23"/>
          <w:szCs w:val="23"/>
          <w:rtl/>
        </w:rPr>
        <w:t>،</w:t>
      </w:r>
      <w:r w:rsidRPr="00563AE6">
        <w:rPr>
          <w:rFonts w:cs="mylotus"/>
          <w:sz w:val="23"/>
          <w:szCs w:val="23"/>
          <w:rtl/>
        </w:rPr>
        <w:t xml:space="preserve"> </w:t>
      </w:r>
      <w:r w:rsidRPr="00563AE6">
        <w:rPr>
          <w:rFonts w:cs="mylotus" w:hint="cs"/>
          <w:sz w:val="23"/>
          <w:szCs w:val="23"/>
          <w:rtl/>
        </w:rPr>
        <w:t xml:space="preserve">الحدائق الناضرة، ج12، صص 382 - 387. </w:t>
      </w:r>
    </w:p>
  </w:footnote>
  <w:footnote w:id="89">
    <w:p w:rsidR="00B31118" w:rsidRPr="00563AE6" w:rsidRDefault="00B31118" w:rsidP="00B300C9">
      <w:pPr>
        <w:spacing w:line="228" w:lineRule="auto"/>
        <w:ind w:left="378" w:hanging="378"/>
        <w:jc w:val="both"/>
        <w:rPr>
          <w:rFonts w:cs="mylotus" w:hint="cs"/>
          <w:sz w:val="23"/>
          <w:szCs w:val="23"/>
        </w:rPr>
      </w:pPr>
      <w:r w:rsidRPr="00563AE6">
        <w:rPr>
          <w:rFonts w:cs="mylotus"/>
          <w:sz w:val="23"/>
          <w:szCs w:val="23"/>
          <w:rtl/>
        </w:rPr>
        <w:footnoteRef/>
      </w:r>
      <w:r>
        <w:rPr>
          <w:rFonts w:cs="mylotus"/>
          <w:sz w:val="23"/>
          <w:szCs w:val="23"/>
          <w:rtl/>
        </w:rPr>
        <w:t>-</w:t>
      </w:r>
      <w:r w:rsidRPr="00563AE6">
        <w:rPr>
          <w:rFonts w:cs="mylotus" w:hint="cs"/>
          <w:sz w:val="23"/>
          <w:szCs w:val="23"/>
          <w:rtl/>
        </w:rPr>
        <w:t xml:space="preserve"> ذخيرة المعاد، باب الخمس. </w:t>
      </w:r>
    </w:p>
  </w:footnote>
  <w:footnote w:id="90">
    <w:p w:rsidR="00B31118" w:rsidRPr="00563AE6" w:rsidRDefault="00B31118" w:rsidP="00B300C9">
      <w:pPr>
        <w:spacing w:line="228" w:lineRule="auto"/>
        <w:ind w:left="378" w:hanging="378"/>
        <w:jc w:val="both"/>
        <w:rPr>
          <w:rFonts w:cs="mylotus" w:hint="cs"/>
          <w:sz w:val="23"/>
          <w:szCs w:val="23"/>
          <w:rtl/>
          <w:lang w:bidi="ar-SY"/>
        </w:rPr>
      </w:pPr>
      <w:r w:rsidRPr="00563AE6">
        <w:rPr>
          <w:rStyle w:val="FootnoteReference"/>
          <w:rFonts w:cs="mylotus"/>
          <w:sz w:val="23"/>
          <w:szCs w:val="23"/>
          <w:vertAlign w:val="baseline"/>
          <w:rtl/>
        </w:rPr>
        <w:footnoteRef/>
      </w:r>
      <w:r>
        <w:rPr>
          <w:rFonts w:cs="mylotus"/>
          <w:sz w:val="23"/>
          <w:szCs w:val="23"/>
          <w:rtl/>
        </w:rPr>
        <w:t>-</w:t>
      </w:r>
      <w:r w:rsidRPr="00563AE6">
        <w:rPr>
          <w:rFonts w:cs="mylotus" w:hint="cs"/>
          <w:sz w:val="23"/>
          <w:szCs w:val="23"/>
          <w:rtl/>
        </w:rPr>
        <w:t xml:space="preserve"> </w:t>
      </w:r>
      <w:r w:rsidRPr="00563AE6">
        <w:rPr>
          <w:rFonts w:cs="mylotus"/>
          <w:sz w:val="23"/>
          <w:szCs w:val="23"/>
          <w:rtl/>
        </w:rPr>
        <w:t>ويُسَمَّى أيضاً «اللوامع القدسية شرح كتاب من لا يحضره الفقيه»</w:t>
      </w:r>
      <w:r w:rsidRPr="00563AE6">
        <w:rPr>
          <w:rFonts w:cs="mylotus" w:hint="cs"/>
          <w:sz w:val="23"/>
          <w:szCs w:val="23"/>
          <w:rtl/>
        </w:rPr>
        <w:t xml:space="preserve"> وهو بالفارسية طبع في مجلدين كبيرين. (المُتَرْجِمُ)</w:t>
      </w:r>
    </w:p>
  </w:footnote>
  <w:footnote w:id="91">
    <w:p w:rsidR="00B31118" w:rsidRPr="00563AE6" w:rsidRDefault="00B31118" w:rsidP="00B300C9">
      <w:pPr>
        <w:spacing w:line="228" w:lineRule="auto"/>
        <w:ind w:left="378" w:hanging="378"/>
        <w:jc w:val="both"/>
        <w:rPr>
          <w:rFonts w:cs="mylotus" w:hint="cs"/>
          <w:sz w:val="23"/>
          <w:szCs w:val="23"/>
          <w:lang w:bidi="ar-SY"/>
        </w:rPr>
      </w:pPr>
      <w:r w:rsidRPr="00563AE6">
        <w:rPr>
          <w:rFonts w:cs="mylotus"/>
          <w:sz w:val="23"/>
          <w:szCs w:val="23"/>
          <w:rtl/>
        </w:rPr>
        <w:footnoteRef/>
      </w:r>
      <w:r>
        <w:rPr>
          <w:rFonts w:cs="mylotus"/>
          <w:sz w:val="23"/>
          <w:szCs w:val="23"/>
          <w:rtl/>
        </w:rPr>
        <w:t>-</w:t>
      </w:r>
      <w:r w:rsidRPr="00563AE6">
        <w:rPr>
          <w:rFonts w:ascii="Abo-thar" w:hAnsi="Abo-thar" w:cs="mylotus"/>
          <w:sz w:val="23"/>
          <w:szCs w:val="23"/>
          <w:lang w:bidi="ar-SY"/>
        </w:rPr>
        <w:t></w:t>
      </w:r>
      <w:r w:rsidRPr="00563AE6">
        <w:rPr>
          <w:rFonts w:cs="mylotus"/>
          <w:sz w:val="23"/>
          <w:szCs w:val="23"/>
          <w:rtl/>
        </w:rPr>
        <w:t>اللوامع الصاحب قرانية</w:t>
      </w:r>
      <w:r w:rsidRPr="00563AE6">
        <w:rPr>
          <w:rFonts w:cs="mylotus" w:hint="cs"/>
          <w:sz w:val="23"/>
          <w:szCs w:val="23"/>
          <w:rtl/>
        </w:rPr>
        <w:t xml:space="preserve">، </w:t>
      </w:r>
      <w:r w:rsidRPr="00563AE6">
        <w:rPr>
          <w:rFonts w:cs="mylotus"/>
          <w:sz w:val="23"/>
          <w:szCs w:val="23"/>
          <w:rtl/>
        </w:rPr>
        <w:t>شرح كتاب من لا يحضره الفقيه [بالفارسية]</w:t>
      </w:r>
      <w:r w:rsidRPr="00563AE6">
        <w:rPr>
          <w:rFonts w:cs="mylotus" w:hint="cs"/>
          <w:sz w:val="23"/>
          <w:szCs w:val="23"/>
          <w:rtl/>
        </w:rPr>
        <w:t xml:space="preserve">، </w:t>
      </w:r>
      <w:r w:rsidRPr="00563AE6">
        <w:rPr>
          <w:rFonts w:cs="mylotus"/>
          <w:sz w:val="23"/>
          <w:szCs w:val="23"/>
          <w:rtl/>
        </w:rPr>
        <w:t>ج2</w:t>
      </w:r>
      <w:r w:rsidRPr="00563AE6">
        <w:rPr>
          <w:rFonts w:cs="mylotus" w:hint="cs"/>
          <w:sz w:val="23"/>
          <w:szCs w:val="23"/>
          <w:rtl/>
        </w:rPr>
        <w:t xml:space="preserve">، </w:t>
      </w:r>
      <w:r w:rsidRPr="00563AE6">
        <w:rPr>
          <w:rFonts w:cs="mylotus"/>
          <w:sz w:val="23"/>
          <w:szCs w:val="23"/>
          <w:rtl/>
        </w:rPr>
        <w:t>ص50</w:t>
      </w:r>
      <w:r w:rsidRPr="00563AE6">
        <w:rPr>
          <w:rFonts w:cs="mylotus" w:hint="cs"/>
          <w:sz w:val="23"/>
          <w:szCs w:val="23"/>
          <w:rtl/>
        </w:rPr>
        <w:t>.</w:t>
      </w:r>
    </w:p>
  </w:footnote>
  <w:footnote w:id="92">
    <w:p w:rsidR="00B31118" w:rsidRPr="00563AE6" w:rsidRDefault="00B31118" w:rsidP="00B300C9">
      <w:pPr>
        <w:spacing w:line="228" w:lineRule="auto"/>
        <w:ind w:left="378" w:hanging="378"/>
        <w:jc w:val="both"/>
        <w:rPr>
          <w:rFonts w:cs="mylotus" w:hint="cs"/>
          <w:sz w:val="23"/>
          <w:szCs w:val="23"/>
          <w:lang w:bidi="ar-SY"/>
        </w:rPr>
      </w:pPr>
      <w:r w:rsidRPr="00563AE6">
        <w:rPr>
          <w:rFonts w:cs="mylotus"/>
          <w:sz w:val="23"/>
          <w:szCs w:val="23"/>
          <w:rtl/>
        </w:rPr>
        <w:footnoteRef/>
      </w:r>
      <w:r>
        <w:rPr>
          <w:rFonts w:cs="mylotus"/>
          <w:sz w:val="23"/>
          <w:szCs w:val="23"/>
          <w:rtl/>
        </w:rPr>
        <w:t>-</w:t>
      </w:r>
      <w:r w:rsidRPr="00563AE6">
        <w:rPr>
          <w:rFonts w:ascii="Abo-thar" w:hAnsi="Abo-thar" w:cs="mylotus"/>
          <w:sz w:val="23"/>
          <w:szCs w:val="23"/>
          <w:lang w:bidi="ar-SY"/>
        </w:rPr>
        <w:t></w:t>
      </w:r>
      <w:r w:rsidRPr="00563AE6">
        <w:rPr>
          <w:rFonts w:cs="mylotus"/>
          <w:sz w:val="23"/>
          <w:szCs w:val="23"/>
          <w:rtl/>
        </w:rPr>
        <w:t>الشيخ يوسف البحراني</w:t>
      </w:r>
      <w:r w:rsidRPr="00563AE6">
        <w:rPr>
          <w:rFonts w:cs="mylotus" w:hint="cs"/>
          <w:sz w:val="23"/>
          <w:szCs w:val="23"/>
          <w:rtl/>
        </w:rPr>
        <w:t>،</w:t>
      </w:r>
      <w:r w:rsidRPr="00563AE6">
        <w:rPr>
          <w:rFonts w:cs="mylotus"/>
          <w:sz w:val="23"/>
          <w:szCs w:val="23"/>
          <w:rtl/>
        </w:rPr>
        <w:t xml:space="preserve"> الحدائق</w:t>
      </w:r>
      <w:r w:rsidRPr="00563AE6">
        <w:rPr>
          <w:rFonts w:cs="mylotus" w:hint="cs"/>
          <w:sz w:val="23"/>
          <w:szCs w:val="23"/>
          <w:rtl/>
        </w:rPr>
        <w:t xml:space="preserve"> الناضرة،</w:t>
      </w:r>
      <w:r w:rsidRPr="00563AE6">
        <w:rPr>
          <w:rFonts w:cs="mylotus"/>
          <w:sz w:val="23"/>
          <w:szCs w:val="23"/>
          <w:rtl/>
        </w:rPr>
        <w:t xml:space="preserve"> ج12</w:t>
      </w:r>
      <w:r w:rsidRPr="00563AE6">
        <w:rPr>
          <w:rFonts w:cs="mylotus" w:hint="cs"/>
          <w:sz w:val="23"/>
          <w:szCs w:val="23"/>
          <w:rtl/>
        </w:rPr>
        <w:t xml:space="preserve">، </w:t>
      </w:r>
      <w:r w:rsidRPr="00563AE6">
        <w:rPr>
          <w:rFonts w:cs="mylotus"/>
          <w:sz w:val="23"/>
          <w:szCs w:val="23"/>
          <w:rtl/>
        </w:rPr>
        <w:t>ص377</w:t>
      </w:r>
      <w:r w:rsidRPr="00563AE6">
        <w:rPr>
          <w:rFonts w:cs="mylotus" w:hint="cs"/>
          <w:sz w:val="23"/>
          <w:szCs w:val="23"/>
          <w:rtl/>
        </w:rPr>
        <w:t>.</w:t>
      </w:r>
    </w:p>
  </w:footnote>
  <w:footnote w:id="93">
    <w:p w:rsidR="00B31118" w:rsidRPr="00563AE6" w:rsidRDefault="00B31118" w:rsidP="000913E5">
      <w:pPr>
        <w:spacing w:line="228" w:lineRule="auto"/>
        <w:ind w:left="378" w:hanging="378"/>
        <w:jc w:val="both"/>
        <w:rPr>
          <w:rFonts w:cs="mylotus" w:hint="cs"/>
          <w:sz w:val="23"/>
          <w:szCs w:val="23"/>
          <w:rtl/>
        </w:rPr>
      </w:pPr>
      <w:r w:rsidRPr="00563AE6">
        <w:rPr>
          <w:rFonts w:cs="mylotus"/>
          <w:sz w:val="23"/>
          <w:szCs w:val="23"/>
          <w:rtl/>
        </w:rPr>
        <w:footnoteRef/>
      </w:r>
      <w:r>
        <w:rPr>
          <w:rFonts w:cs="mylotus"/>
          <w:sz w:val="23"/>
          <w:szCs w:val="23"/>
          <w:rtl/>
        </w:rPr>
        <w:t>-</w:t>
      </w:r>
      <w:r w:rsidRPr="00563AE6">
        <w:rPr>
          <w:rFonts w:cs="mylotus"/>
          <w:sz w:val="23"/>
          <w:szCs w:val="23"/>
          <w:rtl/>
        </w:rPr>
        <w:t xml:space="preserve"> </w:t>
      </w:r>
      <w:r w:rsidRPr="00563AE6">
        <w:rPr>
          <w:rFonts w:cs="mylotus" w:hint="cs"/>
          <w:sz w:val="23"/>
          <w:szCs w:val="23"/>
          <w:rtl/>
        </w:rPr>
        <w:t xml:space="preserve">قال أبو بن عبيد القاسم بن سلام المتوفى سنة 224 هجرية أي المعاصر للأئمة </w:t>
      </w:r>
      <w:r w:rsidRPr="00563AE6">
        <w:rPr>
          <w:rFonts w:cs="mylotus" w:hint="eastAsia"/>
          <w:sz w:val="23"/>
          <w:szCs w:val="23"/>
          <w:rtl/>
        </w:rPr>
        <w:t>«</w:t>
      </w:r>
      <w:r w:rsidRPr="00563AE6">
        <w:rPr>
          <w:rFonts w:cs="mylotus" w:hint="cs"/>
          <w:sz w:val="23"/>
          <w:szCs w:val="23"/>
          <w:rtl/>
        </w:rPr>
        <w:t>من حضرة الصادق إلى حضرة الهادي</w:t>
      </w:r>
      <w:r w:rsidRPr="00563AE6">
        <w:rPr>
          <w:rFonts w:cs="mylotus" w:hint="eastAsia"/>
          <w:sz w:val="23"/>
          <w:szCs w:val="23"/>
          <w:rtl/>
        </w:rPr>
        <w:t>»</w:t>
      </w:r>
      <w:r w:rsidRPr="00563AE6">
        <w:rPr>
          <w:rFonts w:cs="mylotus" w:hint="cs"/>
          <w:sz w:val="23"/>
          <w:szCs w:val="23"/>
          <w:rtl/>
        </w:rPr>
        <w:t xml:space="preserve"> في كتابه الأموال (ص457): «</w:t>
      </w:r>
      <w:r w:rsidRPr="00563AE6">
        <w:rPr>
          <w:rFonts w:cs="mylotus"/>
          <w:sz w:val="23"/>
          <w:szCs w:val="23"/>
          <w:rtl/>
        </w:rPr>
        <w:t>أن الخمس إنما هو من الفيء، والفيء والخمس جميعا</w:t>
      </w:r>
      <w:r w:rsidRPr="00563AE6">
        <w:rPr>
          <w:rFonts w:cs="mylotus" w:hint="cs"/>
          <w:sz w:val="23"/>
          <w:szCs w:val="23"/>
          <w:rtl/>
        </w:rPr>
        <w:t>ً</w:t>
      </w:r>
      <w:r w:rsidRPr="00563AE6">
        <w:rPr>
          <w:rFonts w:cs="mylotus"/>
          <w:sz w:val="23"/>
          <w:szCs w:val="23"/>
          <w:rtl/>
        </w:rPr>
        <w:t xml:space="preserve"> أصلهما من أموال أهل الشرك، فرأوا رد الخمس إلى أصله عند موضع الفاقة من المسلمين إلى ذلك</w:t>
      </w:r>
      <w:r w:rsidRPr="00563AE6">
        <w:rPr>
          <w:rFonts w:cs="mylotus" w:hint="cs"/>
          <w:sz w:val="23"/>
          <w:szCs w:val="23"/>
          <w:rtl/>
        </w:rPr>
        <w:t>».</w:t>
      </w:r>
      <w:r>
        <w:rPr>
          <w:rFonts w:cs="mylotus" w:hint="cs"/>
          <w:sz w:val="23"/>
          <w:szCs w:val="23"/>
          <w:rtl/>
        </w:rPr>
        <w:t xml:space="preserve"> </w:t>
      </w:r>
      <w:r w:rsidRPr="00563AE6">
        <w:rPr>
          <w:rFonts w:cs="mylotus" w:hint="cs"/>
          <w:sz w:val="23"/>
          <w:szCs w:val="23"/>
          <w:rtl/>
        </w:rPr>
        <w:t>ثم قال بشأن الزكاة: «</w:t>
      </w:r>
      <w:r w:rsidRPr="00563AE6">
        <w:rPr>
          <w:rFonts w:cs="mylotus"/>
          <w:sz w:val="23"/>
          <w:szCs w:val="23"/>
          <w:rtl/>
        </w:rPr>
        <w:t>ومعنى هذا أن الصدقة إنما هي من أموال المسلمين خاصة، فحكمها أن تؤخذ من أغنيائهم، فترد في فقرائهم، فلا يجوز منها نفل ولا عطاء: فهذه من أموال المسلمين، وذاك من أموال أهل الكفر، فافترق حكم الخمس والصدقة لما ذكرنا</w:t>
      </w:r>
      <w:r w:rsidRPr="00563AE6">
        <w:rPr>
          <w:rFonts w:cs="mylotus" w:hint="cs"/>
          <w:sz w:val="23"/>
          <w:szCs w:val="23"/>
          <w:rtl/>
        </w:rPr>
        <w:t xml:space="preserve">.». </w:t>
      </w:r>
    </w:p>
    <w:p w:rsidR="00B31118" w:rsidRPr="00563AE6" w:rsidRDefault="00B31118" w:rsidP="00B300C9">
      <w:pPr>
        <w:spacing w:line="228" w:lineRule="auto"/>
        <w:ind w:left="378"/>
        <w:jc w:val="both"/>
        <w:rPr>
          <w:rFonts w:cs="mylotus" w:hint="cs"/>
          <w:sz w:val="23"/>
          <w:szCs w:val="23"/>
        </w:rPr>
      </w:pPr>
      <w:r w:rsidRPr="00563AE6">
        <w:rPr>
          <w:rFonts w:cs="mylotus" w:hint="cs"/>
          <w:sz w:val="23"/>
          <w:szCs w:val="23"/>
          <w:rtl/>
        </w:rPr>
        <w:t xml:space="preserve">فمن وجهة نظر «أبي عبيد» لما كان الخمس مأخوذاً من أموال المشركين والكفار كان في وسع الإمام أن يتصدق به ويهب منه أو يصرفه في الأمور السياسية، بعكس الزكاة التي لما كانت من أموال المسلمين وبيت مالهم وجب صرفها في مصارفها الخاصة. ولكن بعض الفقهاء لا يرون للإمام مثل هذا الحق. </w:t>
      </w:r>
    </w:p>
  </w:footnote>
  <w:footnote w:id="94">
    <w:p w:rsidR="00B31118" w:rsidRPr="00563AE6" w:rsidRDefault="00B31118" w:rsidP="00B300C9">
      <w:pPr>
        <w:spacing w:line="228" w:lineRule="auto"/>
        <w:ind w:left="378" w:hanging="378"/>
        <w:jc w:val="both"/>
        <w:rPr>
          <w:rFonts w:cs="mylotus" w:hint="cs"/>
          <w:sz w:val="23"/>
          <w:szCs w:val="23"/>
          <w:rtl/>
        </w:rPr>
      </w:pPr>
      <w:r w:rsidRPr="00563AE6">
        <w:rPr>
          <w:rFonts w:cs="mylotus"/>
          <w:sz w:val="23"/>
          <w:szCs w:val="23"/>
          <w:rtl/>
        </w:rPr>
        <w:footnoteRef/>
      </w:r>
      <w:r>
        <w:rPr>
          <w:rFonts w:cs="mylotus"/>
          <w:sz w:val="23"/>
          <w:szCs w:val="23"/>
          <w:rtl/>
        </w:rPr>
        <w:t>-</w:t>
      </w:r>
      <w:r w:rsidRPr="00563AE6">
        <w:rPr>
          <w:rFonts w:cs="mylotus" w:hint="cs"/>
          <w:sz w:val="23"/>
          <w:szCs w:val="23"/>
          <w:rtl/>
        </w:rPr>
        <w:t xml:space="preserve"> البيهقي، </w:t>
      </w:r>
      <w:r w:rsidRPr="00563AE6">
        <w:rPr>
          <w:rFonts w:cs="mylotus" w:hint="cs"/>
          <w:b/>
          <w:bCs/>
          <w:sz w:val="23"/>
          <w:szCs w:val="23"/>
          <w:rtl/>
        </w:rPr>
        <w:t>السنن الكبرى</w:t>
      </w:r>
      <w:r w:rsidRPr="00563AE6">
        <w:rPr>
          <w:rFonts w:cs="mylotus" w:hint="cs"/>
          <w:sz w:val="23"/>
          <w:szCs w:val="23"/>
          <w:rtl/>
        </w:rPr>
        <w:t xml:space="preserve">، ج6، ص 114، حديث رقم </w:t>
      </w:r>
      <w:r w:rsidRPr="00563AE6">
        <w:rPr>
          <w:rFonts w:cs="mylotus"/>
          <w:sz w:val="23"/>
          <w:szCs w:val="23"/>
          <w:rtl/>
        </w:rPr>
        <w:t>11959</w:t>
      </w:r>
      <w:r w:rsidRPr="00563AE6">
        <w:rPr>
          <w:rFonts w:cs="mylotus" w:hint="cs"/>
          <w:sz w:val="23"/>
          <w:szCs w:val="23"/>
          <w:rtl/>
        </w:rPr>
        <w:t>.</w:t>
      </w:r>
    </w:p>
  </w:footnote>
  <w:footnote w:id="95">
    <w:p w:rsidR="00B31118" w:rsidRPr="00563AE6" w:rsidRDefault="00B31118" w:rsidP="00B300C9">
      <w:pPr>
        <w:spacing w:line="228" w:lineRule="auto"/>
        <w:ind w:left="378" w:hanging="378"/>
        <w:jc w:val="both"/>
        <w:rPr>
          <w:rFonts w:cs="mylotus" w:hint="cs"/>
          <w:sz w:val="23"/>
          <w:szCs w:val="23"/>
          <w:rtl/>
        </w:rPr>
      </w:pPr>
      <w:r w:rsidRPr="00563AE6">
        <w:rPr>
          <w:rFonts w:cs="mylotus"/>
          <w:sz w:val="23"/>
          <w:szCs w:val="23"/>
          <w:rtl/>
        </w:rPr>
        <w:footnoteRef/>
      </w:r>
      <w:r>
        <w:rPr>
          <w:rFonts w:cs="mylotus"/>
          <w:sz w:val="23"/>
          <w:szCs w:val="23"/>
          <w:rtl/>
        </w:rPr>
        <w:t>-</w:t>
      </w:r>
      <w:r w:rsidRPr="00563AE6">
        <w:rPr>
          <w:rFonts w:cs="mylotus"/>
          <w:sz w:val="23"/>
          <w:szCs w:val="23"/>
          <w:rtl/>
        </w:rPr>
        <w:t xml:space="preserve"> </w:t>
      </w:r>
      <w:r w:rsidRPr="00563AE6">
        <w:rPr>
          <w:rFonts w:cs="mylotus" w:hint="cs"/>
          <w:sz w:val="23"/>
          <w:szCs w:val="23"/>
          <w:rtl/>
        </w:rPr>
        <w:t xml:space="preserve">البيهقي، </w:t>
      </w:r>
      <w:r w:rsidRPr="00563AE6">
        <w:rPr>
          <w:rFonts w:cs="mylotus" w:hint="cs"/>
          <w:b/>
          <w:bCs/>
          <w:sz w:val="23"/>
          <w:szCs w:val="23"/>
          <w:rtl/>
        </w:rPr>
        <w:t>السنن الكبرى</w:t>
      </w:r>
      <w:r w:rsidRPr="00563AE6">
        <w:rPr>
          <w:rFonts w:cs="mylotus" w:hint="cs"/>
          <w:sz w:val="23"/>
          <w:szCs w:val="23"/>
          <w:rtl/>
        </w:rPr>
        <w:t xml:space="preserve">، ج6، ص340، حديث رقم </w:t>
      </w:r>
      <w:r w:rsidRPr="00563AE6">
        <w:rPr>
          <w:rFonts w:cs="mylotus"/>
          <w:sz w:val="23"/>
          <w:szCs w:val="23"/>
          <w:rtl/>
        </w:rPr>
        <w:t>13332</w:t>
      </w:r>
      <w:r w:rsidRPr="00563AE6">
        <w:rPr>
          <w:rFonts w:cs="mylotus" w:hint="cs"/>
          <w:sz w:val="23"/>
          <w:szCs w:val="23"/>
          <w:rtl/>
        </w:rPr>
        <w:t xml:space="preserve">، وقارن ابن هشام، </w:t>
      </w:r>
      <w:r w:rsidRPr="00563AE6">
        <w:rPr>
          <w:rFonts w:cs="mylotus" w:hint="cs"/>
          <w:b/>
          <w:bCs/>
          <w:sz w:val="23"/>
          <w:szCs w:val="23"/>
          <w:rtl/>
        </w:rPr>
        <w:t>السيرة النبوية</w:t>
      </w:r>
      <w:r w:rsidRPr="00563AE6">
        <w:rPr>
          <w:rFonts w:cs="mylotus" w:hint="cs"/>
          <w:sz w:val="23"/>
          <w:szCs w:val="23"/>
          <w:rtl/>
        </w:rPr>
        <w:t xml:space="preserve">، قسمة أسهم خيبر، ج2، ص 350 </w:t>
      </w:r>
      <w:r w:rsidRPr="00563AE6">
        <w:rPr>
          <w:rFonts w:cs="Times New Roman" w:hint="cs"/>
          <w:sz w:val="23"/>
          <w:szCs w:val="23"/>
          <w:rtl/>
        </w:rPr>
        <w:t>–</w:t>
      </w:r>
      <w:r w:rsidRPr="00563AE6">
        <w:rPr>
          <w:rFonts w:cs="mylotus" w:hint="cs"/>
          <w:sz w:val="23"/>
          <w:szCs w:val="23"/>
          <w:rtl/>
        </w:rPr>
        <w:t xml:space="preserve"> 352. (المُتَرْجِمُ)</w:t>
      </w:r>
    </w:p>
  </w:footnote>
  <w:footnote w:id="96">
    <w:p w:rsidR="00B31118" w:rsidRPr="00563AE6" w:rsidRDefault="00B31118" w:rsidP="00B300C9">
      <w:pPr>
        <w:spacing w:line="228" w:lineRule="auto"/>
        <w:ind w:left="378" w:hanging="378"/>
        <w:jc w:val="both"/>
        <w:rPr>
          <w:rFonts w:cs="mylotus" w:hint="cs"/>
          <w:sz w:val="23"/>
          <w:szCs w:val="23"/>
          <w:rtl/>
        </w:rPr>
      </w:pPr>
      <w:r w:rsidRPr="00563AE6">
        <w:rPr>
          <w:rFonts w:cs="mylotus"/>
          <w:sz w:val="23"/>
          <w:szCs w:val="23"/>
          <w:rtl/>
        </w:rPr>
        <w:footnoteRef/>
      </w:r>
      <w:r>
        <w:rPr>
          <w:rFonts w:cs="mylotus"/>
          <w:sz w:val="23"/>
          <w:szCs w:val="23"/>
          <w:rtl/>
        </w:rPr>
        <w:t>-</w:t>
      </w:r>
      <w:r w:rsidRPr="00563AE6">
        <w:rPr>
          <w:rFonts w:cs="mylotus" w:hint="cs"/>
          <w:sz w:val="23"/>
          <w:szCs w:val="23"/>
          <w:rtl/>
        </w:rPr>
        <w:t xml:space="preserve"> تاريخ الطبري، </w:t>
      </w:r>
      <w:r w:rsidRPr="00563AE6">
        <w:rPr>
          <w:rFonts w:cs="mylotus"/>
          <w:sz w:val="23"/>
          <w:szCs w:val="23"/>
          <w:rtl/>
        </w:rPr>
        <w:t>ج</w:t>
      </w:r>
      <w:r w:rsidRPr="00563AE6">
        <w:rPr>
          <w:rFonts w:cs="mylotus" w:hint="cs"/>
          <w:sz w:val="23"/>
          <w:szCs w:val="23"/>
          <w:rtl/>
        </w:rPr>
        <w:t xml:space="preserve"> </w:t>
      </w:r>
      <w:r w:rsidRPr="00563AE6">
        <w:rPr>
          <w:rFonts w:cs="mylotus"/>
          <w:sz w:val="23"/>
          <w:szCs w:val="23"/>
          <w:rtl/>
        </w:rPr>
        <w:t>2</w:t>
      </w:r>
      <w:r w:rsidRPr="00563AE6">
        <w:rPr>
          <w:rFonts w:cs="mylotus" w:hint="cs"/>
          <w:sz w:val="23"/>
          <w:szCs w:val="23"/>
          <w:rtl/>
        </w:rPr>
        <w:t xml:space="preserve">، </w:t>
      </w:r>
      <w:r w:rsidRPr="00563AE6">
        <w:rPr>
          <w:rFonts w:cs="mylotus"/>
          <w:sz w:val="23"/>
          <w:szCs w:val="23"/>
          <w:rtl/>
        </w:rPr>
        <w:t>ص</w:t>
      </w:r>
      <w:r w:rsidRPr="00563AE6">
        <w:rPr>
          <w:rFonts w:cs="mylotus" w:hint="cs"/>
          <w:sz w:val="23"/>
          <w:szCs w:val="23"/>
          <w:rtl/>
        </w:rPr>
        <w:t xml:space="preserve"> </w:t>
      </w:r>
      <w:r w:rsidRPr="00563AE6">
        <w:rPr>
          <w:rFonts w:cs="mylotus"/>
          <w:sz w:val="23"/>
          <w:szCs w:val="23"/>
          <w:rtl/>
        </w:rPr>
        <w:t>306</w:t>
      </w:r>
      <w:r w:rsidRPr="00563AE6">
        <w:rPr>
          <w:rFonts w:cs="mylotus" w:hint="cs"/>
          <w:sz w:val="23"/>
          <w:szCs w:val="23"/>
          <w:rtl/>
        </w:rPr>
        <w:t>.</w:t>
      </w:r>
    </w:p>
  </w:footnote>
  <w:footnote w:id="97">
    <w:p w:rsidR="00B31118" w:rsidRPr="00563AE6" w:rsidRDefault="00B31118" w:rsidP="00B300C9">
      <w:pPr>
        <w:spacing w:line="228" w:lineRule="auto"/>
        <w:ind w:left="378" w:hanging="378"/>
        <w:jc w:val="both"/>
        <w:rPr>
          <w:rFonts w:cs="mylotus" w:hint="cs"/>
          <w:sz w:val="23"/>
          <w:szCs w:val="23"/>
          <w:rtl/>
        </w:rPr>
      </w:pPr>
      <w:r w:rsidRPr="00563AE6">
        <w:rPr>
          <w:rFonts w:cs="mylotus"/>
          <w:sz w:val="23"/>
          <w:szCs w:val="23"/>
          <w:rtl/>
        </w:rPr>
        <w:footnoteRef/>
      </w:r>
      <w:r>
        <w:rPr>
          <w:rFonts w:cs="mylotus"/>
          <w:sz w:val="23"/>
          <w:szCs w:val="23"/>
          <w:rtl/>
        </w:rPr>
        <w:t>-</w:t>
      </w:r>
      <w:r w:rsidRPr="00563AE6">
        <w:rPr>
          <w:rFonts w:cs="mylotus" w:hint="cs"/>
          <w:sz w:val="23"/>
          <w:szCs w:val="23"/>
          <w:rtl/>
        </w:rPr>
        <w:t xml:space="preserve"> صحيح البخاري،</w:t>
      </w:r>
      <w:r w:rsidRPr="00563AE6">
        <w:rPr>
          <w:rFonts w:cs="mylotus"/>
          <w:sz w:val="23"/>
          <w:szCs w:val="23"/>
          <w:rtl/>
        </w:rPr>
        <w:t xml:space="preserve"> طبع اسطنبول</w:t>
      </w:r>
      <w:r w:rsidRPr="00563AE6">
        <w:rPr>
          <w:rFonts w:cs="mylotus" w:hint="cs"/>
          <w:sz w:val="23"/>
          <w:szCs w:val="23"/>
          <w:rtl/>
        </w:rPr>
        <w:t xml:space="preserve">، </w:t>
      </w:r>
      <w:r w:rsidRPr="00563AE6">
        <w:rPr>
          <w:rFonts w:cs="mylotus"/>
          <w:sz w:val="23"/>
          <w:szCs w:val="23"/>
          <w:rtl/>
        </w:rPr>
        <w:t>ج2</w:t>
      </w:r>
      <w:r w:rsidRPr="00563AE6">
        <w:rPr>
          <w:rFonts w:cs="mylotus" w:hint="cs"/>
          <w:sz w:val="23"/>
          <w:szCs w:val="23"/>
          <w:rtl/>
        </w:rPr>
        <w:t xml:space="preserve">، </w:t>
      </w:r>
      <w:r w:rsidRPr="00563AE6">
        <w:rPr>
          <w:rFonts w:cs="mylotus"/>
          <w:sz w:val="23"/>
          <w:szCs w:val="23"/>
          <w:rtl/>
        </w:rPr>
        <w:t>ص</w:t>
      </w:r>
      <w:r w:rsidRPr="00563AE6">
        <w:rPr>
          <w:rFonts w:cs="mylotus" w:hint="cs"/>
          <w:sz w:val="23"/>
          <w:szCs w:val="23"/>
          <w:rtl/>
        </w:rPr>
        <w:t xml:space="preserve"> </w:t>
      </w:r>
      <w:r w:rsidRPr="00563AE6">
        <w:rPr>
          <w:rFonts w:cs="mylotus"/>
          <w:sz w:val="23"/>
          <w:szCs w:val="23"/>
          <w:rtl/>
        </w:rPr>
        <w:t>121</w:t>
      </w:r>
      <w:r w:rsidRPr="00563AE6">
        <w:rPr>
          <w:rFonts w:cs="mylotus" w:hint="cs"/>
          <w:sz w:val="23"/>
          <w:szCs w:val="23"/>
          <w:rtl/>
        </w:rPr>
        <w:t>.</w:t>
      </w:r>
    </w:p>
  </w:footnote>
  <w:footnote w:id="98">
    <w:p w:rsidR="00B31118" w:rsidRPr="00563AE6" w:rsidRDefault="00B31118" w:rsidP="00B300C9">
      <w:pPr>
        <w:spacing w:line="228" w:lineRule="auto"/>
        <w:ind w:left="378" w:hanging="378"/>
        <w:jc w:val="both"/>
        <w:rPr>
          <w:rFonts w:cs="mylotus" w:hint="cs"/>
          <w:sz w:val="23"/>
          <w:szCs w:val="23"/>
          <w:rtl/>
        </w:rPr>
      </w:pPr>
      <w:r w:rsidRPr="00563AE6">
        <w:rPr>
          <w:rFonts w:cs="mylotus"/>
          <w:sz w:val="23"/>
          <w:szCs w:val="23"/>
          <w:rtl/>
        </w:rPr>
        <w:footnoteRef/>
      </w:r>
      <w:r>
        <w:rPr>
          <w:rFonts w:cs="mylotus"/>
          <w:sz w:val="23"/>
          <w:szCs w:val="23"/>
          <w:rtl/>
        </w:rPr>
        <w:t>-</w:t>
      </w:r>
      <w:r w:rsidRPr="00563AE6">
        <w:rPr>
          <w:rFonts w:cs="mylotus"/>
          <w:sz w:val="23"/>
          <w:szCs w:val="23"/>
          <w:rtl/>
        </w:rPr>
        <w:t xml:space="preserve"> </w:t>
      </w:r>
      <w:r w:rsidRPr="00563AE6">
        <w:rPr>
          <w:rFonts w:cs="mylotus" w:hint="cs"/>
          <w:sz w:val="23"/>
          <w:szCs w:val="23"/>
          <w:rtl/>
        </w:rPr>
        <w:t>ابن هشام، السيرة النبوية، ج2، ص 497. وسبل الهدى والرشاد، 3، 185. (المُتَرْجِمُ)</w:t>
      </w:r>
    </w:p>
  </w:footnote>
  <w:footnote w:id="99">
    <w:p w:rsidR="00B31118" w:rsidRPr="00563AE6" w:rsidRDefault="00B31118" w:rsidP="00B300C9">
      <w:pPr>
        <w:spacing w:line="228" w:lineRule="auto"/>
        <w:ind w:left="378" w:hanging="378"/>
        <w:jc w:val="both"/>
        <w:rPr>
          <w:rFonts w:cs="mylotus" w:hint="cs"/>
          <w:sz w:val="23"/>
          <w:szCs w:val="23"/>
          <w:rtl/>
        </w:rPr>
      </w:pPr>
      <w:r w:rsidRPr="00563AE6">
        <w:rPr>
          <w:rFonts w:cs="mylotus"/>
          <w:sz w:val="23"/>
          <w:szCs w:val="23"/>
          <w:rtl/>
        </w:rPr>
        <w:footnoteRef/>
      </w:r>
      <w:r>
        <w:rPr>
          <w:rFonts w:cs="mylotus"/>
          <w:sz w:val="23"/>
          <w:szCs w:val="23"/>
          <w:rtl/>
        </w:rPr>
        <w:t>-</w:t>
      </w:r>
      <w:r w:rsidRPr="00563AE6">
        <w:rPr>
          <w:rFonts w:cs="mylotus" w:hint="cs"/>
          <w:sz w:val="23"/>
          <w:szCs w:val="23"/>
          <w:rtl/>
        </w:rPr>
        <w:t xml:space="preserve"> تاريخ التمدن الإسلامي، المجلد الأول.</w:t>
      </w:r>
    </w:p>
  </w:footnote>
  <w:footnote w:id="100">
    <w:p w:rsidR="00B31118" w:rsidRPr="00563AE6" w:rsidRDefault="00B31118" w:rsidP="00B300C9">
      <w:pPr>
        <w:spacing w:line="228" w:lineRule="auto"/>
        <w:ind w:left="378" w:hanging="378"/>
        <w:jc w:val="both"/>
        <w:rPr>
          <w:rFonts w:cs="mylotus" w:hint="cs"/>
          <w:sz w:val="23"/>
          <w:szCs w:val="23"/>
          <w:rtl/>
        </w:rPr>
      </w:pPr>
      <w:r w:rsidRPr="00563AE6">
        <w:rPr>
          <w:rFonts w:cs="mylotus"/>
          <w:sz w:val="23"/>
          <w:szCs w:val="23"/>
          <w:rtl/>
        </w:rPr>
        <w:footnoteRef/>
      </w:r>
      <w:r>
        <w:rPr>
          <w:rFonts w:cs="mylotus"/>
          <w:sz w:val="23"/>
          <w:szCs w:val="23"/>
          <w:rtl/>
        </w:rPr>
        <w:t>-</w:t>
      </w:r>
      <w:r w:rsidRPr="00563AE6">
        <w:rPr>
          <w:rFonts w:cs="mylotus" w:hint="cs"/>
          <w:sz w:val="23"/>
          <w:szCs w:val="23"/>
          <w:rtl/>
        </w:rPr>
        <w:t xml:space="preserve"> </w:t>
      </w:r>
      <w:r w:rsidRPr="00563AE6">
        <w:rPr>
          <w:rFonts w:cs="mylotus"/>
          <w:sz w:val="23"/>
          <w:szCs w:val="23"/>
          <w:rtl/>
        </w:rPr>
        <w:t>من لا يحضره الفقيه</w:t>
      </w:r>
      <w:r w:rsidRPr="00563AE6">
        <w:rPr>
          <w:rFonts w:cs="mylotus" w:hint="cs"/>
          <w:sz w:val="23"/>
          <w:szCs w:val="23"/>
          <w:rtl/>
        </w:rPr>
        <w:t xml:space="preserve">، </w:t>
      </w:r>
      <w:r w:rsidRPr="00563AE6">
        <w:rPr>
          <w:rFonts w:cs="mylotus"/>
          <w:sz w:val="23"/>
          <w:szCs w:val="23"/>
          <w:rtl/>
        </w:rPr>
        <w:t>ج</w:t>
      </w:r>
      <w:r w:rsidRPr="00563AE6">
        <w:rPr>
          <w:rFonts w:cs="mylotus" w:hint="cs"/>
          <w:sz w:val="23"/>
          <w:szCs w:val="23"/>
          <w:rtl/>
        </w:rPr>
        <w:t xml:space="preserve"> </w:t>
      </w:r>
      <w:r w:rsidRPr="00563AE6">
        <w:rPr>
          <w:rFonts w:cs="mylotus"/>
          <w:sz w:val="23"/>
          <w:szCs w:val="23"/>
          <w:rtl/>
        </w:rPr>
        <w:t>2</w:t>
      </w:r>
      <w:r w:rsidRPr="00563AE6">
        <w:rPr>
          <w:rFonts w:cs="mylotus" w:hint="cs"/>
          <w:sz w:val="23"/>
          <w:szCs w:val="23"/>
          <w:rtl/>
        </w:rPr>
        <w:t xml:space="preserve">، </w:t>
      </w:r>
      <w:r w:rsidRPr="00563AE6">
        <w:rPr>
          <w:rFonts w:cs="mylotus"/>
          <w:sz w:val="23"/>
          <w:szCs w:val="23"/>
          <w:rtl/>
        </w:rPr>
        <w:t>ص</w:t>
      </w:r>
      <w:r w:rsidRPr="00563AE6">
        <w:rPr>
          <w:rFonts w:cs="mylotus" w:hint="cs"/>
          <w:sz w:val="23"/>
          <w:szCs w:val="23"/>
          <w:rtl/>
        </w:rPr>
        <w:t xml:space="preserve"> </w:t>
      </w:r>
      <w:r w:rsidRPr="00563AE6">
        <w:rPr>
          <w:rFonts w:cs="mylotus"/>
          <w:sz w:val="23"/>
          <w:szCs w:val="23"/>
          <w:rtl/>
        </w:rPr>
        <w:t>41</w:t>
      </w:r>
      <w:r w:rsidRPr="00563AE6">
        <w:rPr>
          <w:rFonts w:cs="mylotus" w:hint="cs"/>
          <w:sz w:val="23"/>
          <w:szCs w:val="23"/>
          <w:rtl/>
        </w:rPr>
        <w:t>.</w:t>
      </w:r>
    </w:p>
  </w:footnote>
  <w:footnote w:id="101">
    <w:p w:rsidR="00B31118" w:rsidRPr="00563AE6" w:rsidRDefault="00B31118" w:rsidP="00B300C9">
      <w:pPr>
        <w:spacing w:line="228" w:lineRule="auto"/>
        <w:ind w:left="378" w:hanging="378"/>
        <w:jc w:val="both"/>
        <w:rPr>
          <w:rFonts w:cs="mylotus" w:hint="cs"/>
          <w:sz w:val="23"/>
          <w:szCs w:val="23"/>
          <w:rtl/>
        </w:rPr>
      </w:pPr>
      <w:r w:rsidRPr="00563AE6">
        <w:rPr>
          <w:rFonts w:cs="mylotus"/>
          <w:sz w:val="23"/>
          <w:szCs w:val="23"/>
          <w:rtl/>
        </w:rPr>
        <w:footnoteRef/>
      </w:r>
      <w:r>
        <w:rPr>
          <w:rFonts w:cs="mylotus"/>
          <w:sz w:val="23"/>
          <w:szCs w:val="23"/>
          <w:rtl/>
        </w:rPr>
        <w:t>-</w:t>
      </w:r>
      <w:r w:rsidRPr="00563AE6">
        <w:rPr>
          <w:rFonts w:cs="mylotus" w:hint="cs"/>
          <w:sz w:val="23"/>
          <w:szCs w:val="23"/>
          <w:rtl/>
        </w:rPr>
        <w:t xml:space="preserve"> </w:t>
      </w:r>
      <w:r w:rsidRPr="00563AE6">
        <w:rPr>
          <w:rFonts w:cs="mylotus"/>
          <w:sz w:val="23"/>
          <w:szCs w:val="23"/>
          <w:rtl/>
        </w:rPr>
        <w:t xml:space="preserve">الواقفة: فرقة من الشيعة وقفت على إمامة الإمام السابع موسى الكاظم بن جعفر الصادق </w:t>
      </w:r>
      <w:r w:rsidRPr="003C7AEB">
        <w:rPr>
          <w:rFonts w:cs="CTraditional Arabic"/>
          <w:sz w:val="23"/>
          <w:szCs w:val="23"/>
          <w:rtl/>
        </w:rPr>
        <w:t>إ</w:t>
      </w:r>
      <w:r w:rsidRPr="00563AE6">
        <w:rPr>
          <w:rFonts w:cs="mylotus"/>
          <w:sz w:val="23"/>
          <w:szCs w:val="23"/>
          <w:rtl/>
        </w:rPr>
        <w:t xml:space="preserve"> فقالت إن موسى بن جعفر لم يمت ولم يحبس، وأنه غاب واستتر، وهو القائم المهدي، وأنه في وقت غيبته استخلف على الأمة محمد بن بشير وجعله وصيه وأعطاه خاتمه وعلمه جميع ما يحتاج إليه رعيته... فهو الإمام، وزعموا أن علي بن موسى الرضا وكل من ادعى الإمامة من ولده وولد موسى بن جعفر مبطل</w:t>
      </w:r>
      <w:r w:rsidRPr="00563AE6">
        <w:rPr>
          <w:rFonts w:cs="mylotus" w:hint="cs"/>
          <w:sz w:val="23"/>
          <w:szCs w:val="23"/>
          <w:rtl/>
        </w:rPr>
        <w:t>و</w:t>
      </w:r>
      <w:r w:rsidRPr="00563AE6">
        <w:rPr>
          <w:rFonts w:cs="mylotus"/>
          <w:sz w:val="23"/>
          <w:szCs w:val="23"/>
          <w:rtl/>
        </w:rPr>
        <w:t>ن كاذب</w:t>
      </w:r>
      <w:r w:rsidRPr="00563AE6">
        <w:rPr>
          <w:rFonts w:cs="mylotus" w:hint="cs"/>
          <w:sz w:val="23"/>
          <w:szCs w:val="23"/>
          <w:rtl/>
        </w:rPr>
        <w:t>و</w:t>
      </w:r>
      <w:r w:rsidRPr="00563AE6">
        <w:rPr>
          <w:rFonts w:cs="mylotus"/>
          <w:sz w:val="23"/>
          <w:szCs w:val="23"/>
          <w:rtl/>
        </w:rPr>
        <w:t>ن، غير طيبي الولادة ونَفَوْهُم عن أنسابهم، وكَفَّروهم لدعواهم الإمامة وكَفَّروا القائلين بإمامتهم... وقالوا بإباحة المحارم وبالتناسخ ومذاهبهم في التفويض مذاهب الغلاة المفرطة. (من كتاب المقالات والفرق لسعد بن عبد الله الأشعري، وكتاب فرق الشيعة للنوبختي)</w:t>
      </w:r>
      <w:r w:rsidRPr="00563AE6">
        <w:rPr>
          <w:rFonts w:cs="mylotus" w:hint="cs"/>
          <w:sz w:val="23"/>
          <w:szCs w:val="23"/>
          <w:rtl/>
        </w:rPr>
        <w:t>. (المُتَرْجِمُ).</w:t>
      </w:r>
    </w:p>
  </w:footnote>
  <w:footnote w:id="102">
    <w:p w:rsidR="00B31118" w:rsidRPr="00563AE6" w:rsidRDefault="00B31118" w:rsidP="00B300C9">
      <w:pPr>
        <w:spacing w:line="228" w:lineRule="auto"/>
        <w:ind w:left="378" w:hanging="378"/>
        <w:jc w:val="both"/>
        <w:rPr>
          <w:rFonts w:cs="mylotus" w:hint="cs"/>
          <w:sz w:val="23"/>
          <w:szCs w:val="23"/>
          <w:rtl/>
        </w:rPr>
      </w:pPr>
      <w:r w:rsidRPr="00563AE6">
        <w:rPr>
          <w:rFonts w:cs="mylotus"/>
          <w:sz w:val="23"/>
          <w:szCs w:val="23"/>
          <w:rtl/>
        </w:rPr>
        <w:footnoteRef/>
      </w:r>
      <w:r>
        <w:rPr>
          <w:rFonts w:cs="mylotus"/>
          <w:sz w:val="23"/>
          <w:szCs w:val="23"/>
          <w:rtl/>
        </w:rPr>
        <w:t>-</w:t>
      </w:r>
      <w:r w:rsidRPr="00563AE6">
        <w:rPr>
          <w:rFonts w:cs="mylotus" w:hint="cs"/>
          <w:sz w:val="23"/>
          <w:szCs w:val="23"/>
          <w:rtl/>
        </w:rPr>
        <w:t xml:space="preserve"> بينا في كتابنا الزكاة (ص 189) حال «علي بن فضال» بشكل مفصل، ونذكر هنا خلاقة عن حاله:</w:t>
      </w:r>
    </w:p>
    <w:p w:rsidR="00B31118" w:rsidRPr="000913E5" w:rsidRDefault="00B31118" w:rsidP="00B300C9">
      <w:pPr>
        <w:spacing w:line="228" w:lineRule="auto"/>
        <w:ind w:left="378"/>
        <w:jc w:val="both"/>
        <w:rPr>
          <w:rFonts w:cs="mylotus" w:hint="cs"/>
          <w:spacing w:val="-2"/>
          <w:sz w:val="23"/>
          <w:szCs w:val="23"/>
          <w:rtl/>
        </w:rPr>
      </w:pPr>
      <w:r w:rsidRPr="000913E5">
        <w:rPr>
          <w:rFonts w:cs="mylotus" w:hint="cs"/>
          <w:spacing w:val="-2"/>
          <w:sz w:val="23"/>
          <w:szCs w:val="23"/>
          <w:rtl/>
        </w:rPr>
        <w:t xml:space="preserve">يتفق علماء الرجال على أن علي بن فضال كان فطحي المذهب يقول بإمامة «عبد الله بن جعفر الصادق»، حتى أنه </w:t>
      </w:r>
      <w:r w:rsidRPr="000913E5">
        <w:rPr>
          <w:rFonts w:cs="Times New Roman" w:hint="cs"/>
          <w:spacing w:val="-2"/>
          <w:sz w:val="23"/>
          <w:szCs w:val="23"/>
          <w:rtl/>
        </w:rPr>
        <w:t>–</w:t>
      </w:r>
      <w:r w:rsidRPr="000913E5">
        <w:rPr>
          <w:rFonts w:cs="mylotus" w:hint="cs"/>
          <w:spacing w:val="-2"/>
          <w:sz w:val="23"/>
          <w:szCs w:val="23"/>
          <w:rtl/>
        </w:rPr>
        <w:t xml:space="preserve"> </w:t>
      </w:r>
      <w:r w:rsidRPr="000913E5">
        <w:rPr>
          <w:rFonts w:ascii="mylotus" w:hAnsi="mylotus" w:cs="mylotus" w:hint="cs"/>
          <w:spacing w:val="-2"/>
          <w:sz w:val="23"/>
          <w:szCs w:val="23"/>
          <w:rtl/>
        </w:rPr>
        <w:t>كما</w:t>
      </w:r>
      <w:r w:rsidRPr="000913E5">
        <w:rPr>
          <w:rFonts w:cs="mylotus" w:hint="cs"/>
          <w:spacing w:val="-2"/>
          <w:sz w:val="23"/>
          <w:szCs w:val="23"/>
          <w:rtl/>
        </w:rPr>
        <w:t xml:space="preserve"> </w:t>
      </w:r>
      <w:r w:rsidRPr="000913E5">
        <w:rPr>
          <w:rFonts w:ascii="mylotus" w:hAnsi="mylotus" w:cs="mylotus" w:hint="cs"/>
          <w:spacing w:val="-2"/>
          <w:sz w:val="23"/>
          <w:szCs w:val="23"/>
          <w:rtl/>
        </w:rPr>
        <w:t>يصرح</w:t>
      </w:r>
      <w:r w:rsidRPr="000913E5">
        <w:rPr>
          <w:rFonts w:cs="mylotus" w:hint="cs"/>
          <w:spacing w:val="-2"/>
          <w:sz w:val="23"/>
          <w:szCs w:val="23"/>
          <w:rtl/>
        </w:rPr>
        <w:t xml:space="preserve"> </w:t>
      </w:r>
      <w:r w:rsidRPr="000913E5">
        <w:rPr>
          <w:rFonts w:ascii="mylotus" w:hAnsi="mylotus" w:cs="mylotus" w:hint="cs"/>
          <w:spacing w:val="-2"/>
          <w:sz w:val="23"/>
          <w:szCs w:val="23"/>
          <w:rtl/>
        </w:rPr>
        <w:t>بذلك</w:t>
      </w:r>
      <w:r w:rsidRPr="000913E5">
        <w:rPr>
          <w:rFonts w:cs="mylotus" w:hint="cs"/>
          <w:spacing w:val="-2"/>
          <w:sz w:val="23"/>
          <w:szCs w:val="23"/>
          <w:rtl/>
        </w:rPr>
        <w:t xml:space="preserve"> </w:t>
      </w:r>
      <w:r w:rsidRPr="000913E5">
        <w:rPr>
          <w:rFonts w:cs="mylotus"/>
          <w:spacing w:val="-2"/>
          <w:sz w:val="23"/>
          <w:szCs w:val="23"/>
          <w:rtl/>
        </w:rPr>
        <w:t>«</w:t>
      </w:r>
      <w:r w:rsidRPr="000913E5">
        <w:rPr>
          <w:rFonts w:cs="mylotus" w:hint="cs"/>
          <w:spacing w:val="-2"/>
          <w:sz w:val="23"/>
          <w:szCs w:val="23"/>
          <w:rtl/>
        </w:rPr>
        <w:t xml:space="preserve"> النجاشي</w:t>
      </w:r>
      <w:r w:rsidRPr="000913E5">
        <w:rPr>
          <w:rFonts w:cs="mylotus"/>
          <w:spacing w:val="-2"/>
          <w:sz w:val="23"/>
          <w:szCs w:val="23"/>
          <w:rtl/>
        </w:rPr>
        <w:t>»</w:t>
      </w:r>
      <w:r w:rsidRPr="000913E5">
        <w:rPr>
          <w:rFonts w:cs="mylotus" w:hint="cs"/>
          <w:spacing w:val="-2"/>
          <w:sz w:val="23"/>
          <w:szCs w:val="23"/>
          <w:rtl/>
        </w:rPr>
        <w:t xml:space="preserve"> في رجاله (ص196، طبع طهران) </w:t>
      </w:r>
      <w:r w:rsidRPr="000913E5">
        <w:rPr>
          <w:rFonts w:cs="Times New Roman" w:hint="cs"/>
          <w:spacing w:val="-2"/>
          <w:sz w:val="23"/>
          <w:szCs w:val="23"/>
          <w:rtl/>
        </w:rPr>
        <w:t>–</w:t>
      </w:r>
      <w:r w:rsidRPr="000913E5">
        <w:rPr>
          <w:rFonts w:cs="mylotus" w:hint="cs"/>
          <w:spacing w:val="-2"/>
          <w:sz w:val="23"/>
          <w:szCs w:val="23"/>
          <w:rtl/>
        </w:rPr>
        <w:t xml:space="preserve"> </w:t>
      </w:r>
      <w:r w:rsidRPr="000913E5">
        <w:rPr>
          <w:rFonts w:ascii="mylotus" w:hAnsi="mylotus" w:cs="mylotus" w:hint="cs"/>
          <w:spacing w:val="-2"/>
          <w:sz w:val="23"/>
          <w:szCs w:val="23"/>
          <w:rtl/>
        </w:rPr>
        <w:t>ألف</w:t>
      </w:r>
      <w:r w:rsidRPr="000913E5">
        <w:rPr>
          <w:rFonts w:cs="mylotus" w:hint="cs"/>
          <w:spacing w:val="-2"/>
          <w:sz w:val="23"/>
          <w:szCs w:val="23"/>
          <w:rtl/>
        </w:rPr>
        <w:t xml:space="preserve"> </w:t>
      </w:r>
      <w:r w:rsidRPr="000913E5">
        <w:rPr>
          <w:rFonts w:ascii="mylotus" w:hAnsi="mylotus" w:cs="mylotus" w:hint="cs"/>
          <w:spacing w:val="-2"/>
          <w:sz w:val="23"/>
          <w:szCs w:val="23"/>
          <w:rtl/>
        </w:rPr>
        <w:t>كتاباً</w:t>
      </w:r>
      <w:r w:rsidRPr="000913E5">
        <w:rPr>
          <w:rFonts w:cs="mylotus" w:hint="cs"/>
          <w:spacing w:val="-2"/>
          <w:sz w:val="23"/>
          <w:szCs w:val="23"/>
          <w:rtl/>
        </w:rPr>
        <w:t xml:space="preserve"> </w:t>
      </w:r>
      <w:r w:rsidRPr="000913E5">
        <w:rPr>
          <w:rFonts w:ascii="mylotus" w:hAnsi="mylotus" w:cs="mylotus" w:hint="cs"/>
          <w:spacing w:val="-2"/>
          <w:sz w:val="23"/>
          <w:szCs w:val="23"/>
          <w:rtl/>
        </w:rPr>
        <w:t>في</w:t>
      </w:r>
      <w:r w:rsidRPr="000913E5">
        <w:rPr>
          <w:rFonts w:cs="mylotus" w:hint="cs"/>
          <w:spacing w:val="-2"/>
          <w:sz w:val="23"/>
          <w:szCs w:val="23"/>
          <w:rtl/>
        </w:rPr>
        <w:t xml:space="preserve"> </w:t>
      </w:r>
      <w:r w:rsidRPr="000913E5">
        <w:rPr>
          <w:rFonts w:ascii="mylotus" w:hAnsi="mylotus" w:cs="mylotus" w:hint="cs"/>
          <w:spacing w:val="-2"/>
          <w:sz w:val="23"/>
          <w:szCs w:val="23"/>
          <w:rtl/>
        </w:rPr>
        <w:t>إثبات</w:t>
      </w:r>
      <w:r w:rsidRPr="000913E5">
        <w:rPr>
          <w:rFonts w:cs="mylotus" w:hint="cs"/>
          <w:spacing w:val="-2"/>
          <w:sz w:val="23"/>
          <w:szCs w:val="23"/>
          <w:rtl/>
        </w:rPr>
        <w:t xml:space="preserve"> </w:t>
      </w:r>
      <w:r w:rsidRPr="000913E5">
        <w:rPr>
          <w:rFonts w:ascii="mylotus" w:hAnsi="mylotus" w:cs="mylotus" w:hint="cs"/>
          <w:spacing w:val="-2"/>
          <w:sz w:val="23"/>
          <w:szCs w:val="23"/>
          <w:rtl/>
        </w:rPr>
        <w:t>إمامة</w:t>
      </w:r>
      <w:r w:rsidRPr="000913E5">
        <w:rPr>
          <w:rFonts w:cs="mylotus" w:hint="cs"/>
          <w:spacing w:val="-2"/>
          <w:sz w:val="23"/>
          <w:szCs w:val="23"/>
          <w:rtl/>
        </w:rPr>
        <w:t xml:space="preserve"> </w:t>
      </w:r>
      <w:r w:rsidRPr="000913E5">
        <w:rPr>
          <w:rFonts w:ascii="mylotus" w:hAnsi="mylotus" w:cs="mylotus" w:hint="cs"/>
          <w:spacing w:val="-2"/>
          <w:sz w:val="23"/>
          <w:szCs w:val="23"/>
          <w:rtl/>
        </w:rPr>
        <w:t>«عبد</w:t>
      </w:r>
      <w:r w:rsidRPr="000913E5">
        <w:rPr>
          <w:rFonts w:cs="mylotus" w:hint="cs"/>
          <w:spacing w:val="-2"/>
          <w:sz w:val="23"/>
          <w:szCs w:val="23"/>
          <w:rtl/>
        </w:rPr>
        <w:t xml:space="preserve"> </w:t>
      </w:r>
      <w:r w:rsidRPr="000913E5">
        <w:rPr>
          <w:rFonts w:ascii="mylotus" w:hAnsi="mylotus" w:cs="mylotus" w:hint="cs"/>
          <w:spacing w:val="-2"/>
          <w:sz w:val="23"/>
          <w:szCs w:val="23"/>
          <w:rtl/>
        </w:rPr>
        <w:t>الله»،</w:t>
      </w:r>
      <w:r w:rsidRPr="000913E5">
        <w:rPr>
          <w:rFonts w:cs="mylotus" w:hint="cs"/>
          <w:spacing w:val="-2"/>
          <w:sz w:val="23"/>
          <w:szCs w:val="23"/>
          <w:rtl/>
        </w:rPr>
        <w:t xml:space="preserve"> </w:t>
      </w:r>
      <w:r w:rsidRPr="000913E5">
        <w:rPr>
          <w:rFonts w:ascii="mylotus" w:hAnsi="mylotus" w:cs="mylotus" w:hint="cs"/>
          <w:spacing w:val="-2"/>
          <w:sz w:val="23"/>
          <w:szCs w:val="23"/>
          <w:rtl/>
        </w:rPr>
        <w:t>ولما</w:t>
      </w:r>
      <w:r w:rsidRPr="000913E5">
        <w:rPr>
          <w:rFonts w:cs="mylotus" w:hint="cs"/>
          <w:spacing w:val="-2"/>
          <w:sz w:val="23"/>
          <w:szCs w:val="23"/>
          <w:rtl/>
        </w:rPr>
        <w:t xml:space="preserve"> </w:t>
      </w:r>
      <w:r w:rsidRPr="000913E5">
        <w:rPr>
          <w:rFonts w:ascii="mylotus" w:hAnsi="mylotus" w:cs="mylotus" w:hint="cs"/>
          <w:spacing w:val="-2"/>
          <w:sz w:val="23"/>
          <w:szCs w:val="23"/>
          <w:rtl/>
        </w:rPr>
        <w:t>لم</w:t>
      </w:r>
      <w:r w:rsidRPr="000913E5">
        <w:rPr>
          <w:rFonts w:cs="mylotus" w:hint="cs"/>
          <w:spacing w:val="-2"/>
          <w:sz w:val="23"/>
          <w:szCs w:val="23"/>
          <w:rtl/>
        </w:rPr>
        <w:t xml:space="preserve"> </w:t>
      </w:r>
      <w:r w:rsidRPr="000913E5">
        <w:rPr>
          <w:rFonts w:ascii="mylotus" w:hAnsi="mylotus" w:cs="mylotus" w:hint="cs"/>
          <w:spacing w:val="-2"/>
          <w:sz w:val="23"/>
          <w:szCs w:val="23"/>
          <w:rtl/>
        </w:rPr>
        <w:t>يعش</w:t>
      </w:r>
      <w:r w:rsidRPr="000913E5">
        <w:rPr>
          <w:rFonts w:cs="mylotus" w:hint="cs"/>
          <w:spacing w:val="-2"/>
          <w:sz w:val="23"/>
          <w:szCs w:val="23"/>
          <w:rtl/>
        </w:rPr>
        <w:t xml:space="preserve"> </w:t>
      </w:r>
      <w:r w:rsidRPr="000913E5">
        <w:rPr>
          <w:rFonts w:cs="mylotus"/>
          <w:spacing w:val="-2"/>
          <w:sz w:val="23"/>
          <w:szCs w:val="23"/>
          <w:rtl/>
        </w:rPr>
        <w:t>«</w:t>
      </w:r>
      <w:r w:rsidRPr="000913E5">
        <w:rPr>
          <w:rFonts w:cs="mylotus" w:hint="cs"/>
          <w:spacing w:val="-2"/>
          <w:sz w:val="23"/>
          <w:szCs w:val="23"/>
          <w:rtl/>
        </w:rPr>
        <w:t>عبد الله</w:t>
      </w:r>
      <w:r w:rsidRPr="000913E5">
        <w:rPr>
          <w:rFonts w:cs="mylotus"/>
          <w:spacing w:val="-2"/>
          <w:sz w:val="23"/>
          <w:szCs w:val="23"/>
          <w:rtl/>
        </w:rPr>
        <w:t>»</w:t>
      </w:r>
      <w:r w:rsidRPr="000913E5">
        <w:rPr>
          <w:rFonts w:cs="mylotus" w:hint="cs"/>
          <w:spacing w:val="-2"/>
          <w:sz w:val="23"/>
          <w:szCs w:val="23"/>
          <w:rtl/>
        </w:rPr>
        <w:t xml:space="preserve"> هذا بعد وفاة أبيه الإمام الصادق أكثر من سبعين يوماً ونيِّف، فلا صحة لما قاله بعضهم من أن </w:t>
      </w:r>
      <w:r w:rsidRPr="000913E5">
        <w:rPr>
          <w:rFonts w:cs="mylotus"/>
          <w:spacing w:val="-2"/>
          <w:sz w:val="23"/>
          <w:szCs w:val="23"/>
          <w:rtl/>
        </w:rPr>
        <w:t>«</w:t>
      </w:r>
      <w:r w:rsidRPr="000913E5">
        <w:rPr>
          <w:rFonts w:cs="mylotus" w:hint="cs"/>
          <w:spacing w:val="-2"/>
          <w:sz w:val="23"/>
          <w:szCs w:val="23"/>
          <w:rtl/>
        </w:rPr>
        <w:t>علي بن فضال</w:t>
      </w:r>
      <w:r w:rsidRPr="000913E5">
        <w:rPr>
          <w:rFonts w:cs="mylotus"/>
          <w:spacing w:val="-2"/>
          <w:sz w:val="23"/>
          <w:szCs w:val="23"/>
          <w:rtl/>
        </w:rPr>
        <w:t>»</w:t>
      </w:r>
      <w:r w:rsidRPr="000913E5">
        <w:rPr>
          <w:rFonts w:cs="mylotus" w:hint="cs"/>
          <w:spacing w:val="-2"/>
          <w:sz w:val="23"/>
          <w:szCs w:val="23"/>
          <w:rtl/>
        </w:rPr>
        <w:t xml:space="preserve"> رجع عن القول بإمامة «عبد الله بن جعفر» لأنه من المسلم به أن </w:t>
      </w:r>
      <w:r w:rsidRPr="000913E5">
        <w:rPr>
          <w:rFonts w:cs="mylotus"/>
          <w:spacing w:val="-2"/>
          <w:sz w:val="23"/>
          <w:szCs w:val="23"/>
          <w:rtl/>
        </w:rPr>
        <w:t>«</w:t>
      </w:r>
      <w:r w:rsidRPr="000913E5">
        <w:rPr>
          <w:rFonts w:cs="mylotus" w:hint="cs"/>
          <w:spacing w:val="-2"/>
          <w:sz w:val="23"/>
          <w:szCs w:val="23"/>
          <w:rtl/>
        </w:rPr>
        <w:t>علي بن فضال</w:t>
      </w:r>
      <w:r w:rsidRPr="000913E5">
        <w:rPr>
          <w:rFonts w:cs="mylotus"/>
          <w:spacing w:val="-2"/>
          <w:sz w:val="23"/>
          <w:szCs w:val="23"/>
          <w:rtl/>
        </w:rPr>
        <w:t>»</w:t>
      </w:r>
      <w:r w:rsidRPr="000913E5">
        <w:rPr>
          <w:rFonts w:cs="mylotus" w:hint="cs"/>
          <w:spacing w:val="-2"/>
          <w:sz w:val="23"/>
          <w:szCs w:val="23"/>
          <w:rtl/>
        </w:rPr>
        <w:t xml:space="preserve"> لم يؤلف كتابه ذاك في فترة السبعين يوماً تلك! بل من المؤكد المقطوع به أنه ألفه بعد وفاة «عبد الله بن جعفر» وبقي </w:t>
      </w:r>
      <w:r w:rsidRPr="000913E5">
        <w:rPr>
          <w:rFonts w:cs="mylotus"/>
          <w:spacing w:val="-2"/>
          <w:sz w:val="23"/>
          <w:szCs w:val="23"/>
          <w:rtl/>
        </w:rPr>
        <w:t xml:space="preserve">«علي بن فضال» </w:t>
      </w:r>
      <w:r w:rsidRPr="000913E5">
        <w:rPr>
          <w:rFonts w:cs="mylotus" w:hint="cs"/>
          <w:spacing w:val="-2"/>
          <w:sz w:val="23"/>
          <w:szCs w:val="23"/>
          <w:rtl/>
        </w:rPr>
        <w:t xml:space="preserve">على القول بإمامته حتى آخر حياته، كما يرى ذلك أكثر أرباب الرجال، وبعد ذلك ذهب </w:t>
      </w:r>
      <w:r w:rsidRPr="000913E5">
        <w:rPr>
          <w:rFonts w:cs="mylotus"/>
          <w:spacing w:val="-2"/>
          <w:sz w:val="23"/>
          <w:szCs w:val="23"/>
          <w:rtl/>
        </w:rPr>
        <w:t>«علي بن فضال»</w:t>
      </w:r>
      <w:r w:rsidRPr="000913E5">
        <w:rPr>
          <w:rFonts w:cs="mylotus" w:hint="cs"/>
          <w:spacing w:val="-2"/>
          <w:sz w:val="23"/>
          <w:szCs w:val="23"/>
          <w:rtl/>
        </w:rPr>
        <w:t xml:space="preserve"> إلى القول بإمامة </w:t>
      </w:r>
      <w:r w:rsidRPr="000913E5">
        <w:rPr>
          <w:rFonts w:cs="mylotus"/>
          <w:spacing w:val="-2"/>
          <w:sz w:val="23"/>
          <w:szCs w:val="23"/>
          <w:rtl/>
        </w:rPr>
        <w:t>«</w:t>
      </w:r>
      <w:r w:rsidRPr="000913E5">
        <w:rPr>
          <w:rFonts w:cs="mylotus" w:hint="cs"/>
          <w:spacing w:val="-2"/>
          <w:sz w:val="23"/>
          <w:szCs w:val="23"/>
          <w:rtl/>
        </w:rPr>
        <w:t>جعفر الكذَّاب</w:t>
      </w:r>
      <w:r w:rsidRPr="000913E5">
        <w:rPr>
          <w:rFonts w:cs="mylotus"/>
          <w:spacing w:val="-2"/>
          <w:sz w:val="23"/>
          <w:szCs w:val="23"/>
          <w:rtl/>
        </w:rPr>
        <w:t>»</w:t>
      </w:r>
      <w:r w:rsidRPr="000913E5">
        <w:rPr>
          <w:rFonts w:cs="mylotus" w:hint="cs"/>
          <w:spacing w:val="-2"/>
          <w:sz w:val="23"/>
          <w:szCs w:val="23"/>
          <w:rtl/>
        </w:rPr>
        <w:t>، وبالتالي فطبقاً لموازين وقواعد علماء الرجال كل من لم يكن إمامياً وأدرك أحداً من الأئمة الإثني عشر فلم يؤمن بإمامته بل كان منحرفاً عنه، ضالٌّ ومضلٌّ، وأحاديثه غير مقبولة أو فاقدة للصحة. وإليكم الآن أقوال علماء الرجال بشأنه:</w:t>
      </w:r>
    </w:p>
    <w:p w:rsidR="00B31118" w:rsidRPr="000913E5" w:rsidRDefault="00B31118" w:rsidP="000913E5">
      <w:pPr>
        <w:spacing w:line="228" w:lineRule="auto"/>
        <w:ind w:left="664" w:hanging="284"/>
        <w:jc w:val="both"/>
        <w:rPr>
          <w:rFonts w:cs="mylotus" w:hint="cs"/>
          <w:spacing w:val="-4"/>
          <w:sz w:val="23"/>
          <w:szCs w:val="23"/>
          <w:rtl/>
        </w:rPr>
      </w:pPr>
      <w:r w:rsidRPr="000913E5">
        <w:rPr>
          <w:rFonts w:cs="mylotus" w:hint="cs"/>
          <w:spacing w:val="-4"/>
          <w:sz w:val="23"/>
          <w:szCs w:val="23"/>
          <w:rtl/>
        </w:rPr>
        <w:t xml:space="preserve">1- قال </w:t>
      </w:r>
      <w:r w:rsidRPr="000913E5">
        <w:rPr>
          <w:rFonts w:cs="mylotus"/>
          <w:spacing w:val="-4"/>
          <w:sz w:val="23"/>
          <w:szCs w:val="23"/>
          <w:rtl/>
        </w:rPr>
        <w:t>«</w:t>
      </w:r>
      <w:r w:rsidRPr="000913E5">
        <w:rPr>
          <w:rFonts w:cs="mylotus" w:hint="cs"/>
          <w:spacing w:val="-4"/>
          <w:sz w:val="23"/>
          <w:szCs w:val="23"/>
          <w:rtl/>
        </w:rPr>
        <w:t>النجاشي</w:t>
      </w:r>
      <w:r w:rsidRPr="000913E5">
        <w:rPr>
          <w:rFonts w:cs="mylotus"/>
          <w:spacing w:val="-4"/>
          <w:sz w:val="23"/>
          <w:szCs w:val="23"/>
          <w:rtl/>
        </w:rPr>
        <w:t>»</w:t>
      </w:r>
      <w:r w:rsidRPr="000913E5">
        <w:rPr>
          <w:rFonts w:cs="mylotus" w:hint="cs"/>
          <w:spacing w:val="-4"/>
          <w:sz w:val="23"/>
          <w:szCs w:val="23"/>
          <w:rtl/>
        </w:rPr>
        <w:t xml:space="preserve"> في رجاله (ص195): «</w:t>
      </w:r>
      <w:r w:rsidRPr="000913E5">
        <w:rPr>
          <w:rFonts w:cs="mylotus"/>
          <w:spacing w:val="-4"/>
          <w:sz w:val="23"/>
          <w:szCs w:val="23"/>
          <w:rtl/>
        </w:rPr>
        <w:t>علي بن الحسن بن علي بن فضال</w:t>
      </w:r>
      <w:r w:rsidRPr="000913E5">
        <w:rPr>
          <w:rFonts w:cs="mylotus" w:hint="cs"/>
          <w:spacing w:val="-4"/>
          <w:sz w:val="23"/>
          <w:szCs w:val="23"/>
          <w:rtl/>
        </w:rPr>
        <w:t xml:space="preserve">... </w:t>
      </w:r>
      <w:r w:rsidRPr="000913E5">
        <w:rPr>
          <w:rFonts w:cs="mylotus"/>
          <w:spacing w:val="-4"/>
          <w:sz w:val="23"/>
          <w:szCs w:val="23"/>
          <w:rtl/>
        </w:rPr>
        <w:t>كان فطحيا</w:t>
      </w:r>
      <w:r w:rsidRPr="000913E5">
        <w:rPr>
          <w:rFonts w:cs="mylotus" w:hint="cs"/>
          <w:spacing w:val="-4"/>
          <w:sz w:val="23"/>
          <w:szCs w:val="23"/>
          <w:rtl/>
        </w:rPr>
        <w:t>ً</w:t>
      </w:r>
      <w:r w:rsidRPr="000913E5">
        <w:rPr>
          <w:rFonts w:cs="mylotus"/>
          <w:spacing w:val="-4"/>
          <w:sz w:val="23"/>
          <w:szCs w:val="23"/>
          <w:rtl/>
        </w:rPr>
        <w:t>، ولم يرو عن أبيه شيئا</w:t>
      </w:r>
      <w:r w:rsidRPr="000913E5">
        <w:rPr>
          <w:rFonts w:cs="mylotus" w:hint="cs"/>
          <w:spacing w:val="-4"/>
          <w:sz w:val="23"/>
          <w:szCs w:val="23"/>
          <w:rtl/>
        </w:rPr>
        <w:t>ً</w:t>
      </w:r>
      <w:r w:rsidRPr="000913E5">
        <w:rPr>
          <w:rFonts w:cs="mylotus"/>
          <w:spacing w:val="-4"/>
          <w:sz w:val="23"/>
          <w:szCs w:val="23"/>
          <w:rtl/>
        </w:rPr>
        <w:t xml:space="preserve"> وقال كنت أقابله وسن</w:t>
      </w:r>
      <w:r w:rsidRPr="000913E5">
        <w:rPr>
          <w:rFonts w:cs="mylotus" w:hint="cs"/>
          <w:spacing w:val="-4"/>
          <w:sz w:val="23"/>
          <w:szCs w:val="23"/>
          <w:rtl/>
        </w:rPr>
        <w:t>ِّ</w:t>
      </w:r>
      <w:r w:rsidRPr="000913E5">
        <w:rPr>
          <w:rFonts w:cs="mylotus"/>
          <w:spacing w:val="-4"/>
          <w:sz w:val="23"/>
          <w:szCs w:val="23"/>
          <w:rtl/>
        </w:rPr>
        <w:t>ي</w:t>
      </w:r>
      <w:r w:rsidRPr="000913E5">
        <w:rPr>
          <w:rFonts w:cs="mylotus" w:hint="cs"/>
          <w:spacing w:val="-4"/>
          <w:sz w:val="23"/>
          <w:szCs w:val="23"/>
          <w:rtl/>
        </w:rPr>
        <w:t>ْ</w:t>
      </w:r>
      <w:r w:rsidRPr="000913E5">
        <w:rPr>
          <w:rFonts w:cs="mylotus"/>
          <w:spacing w:val="-4"/>
          <w:sz w:val="23"/>
          <w:szCs w:val="23"/>
          <w:rtl/>
        </w:rPr>
        <w:t xml:space="preserve"> ثمان عشرة سنة بكتبه ولا أفهم إذ ذاك الروايات ولا أستحل أن أرويها عنه.</w:t>
      </w:r>
      <w:r w:rsidRPr="000913E5">
        <w:rPr>
          <w:rFonts w:cs="mylotus" w:hint="cs"/>
          <w:spacing w:val="-4"/>
          <w:sz w:val="23"/>
          <w:szCs w:val="23"/>
          <w:rtl/>
        </w:rPr>
        <w:t>».</w:t>
      </w:r>
    </w:p>
    <w:p w:rsidR="00B31118" w:rsidRPr="00563AE6" w:rsidRDefault="00B31118" w:rsidP="000913E5">
      <w:pPr>
        <w:spacing w:line="228" w:lineRule="auto"/>
        <w:ind w:left="664" w:hanging="284"/>
        <w:jc w:val="both"/>
        <w:rPr>
          <w:rFonts w:cs="mylotus" w:hint="cs"/>
          <w:sz w:val="23"/>
          <w:szCs w:val="23"/>
          <w:rtl/>
        </w:rPr>
      </w:pPr>
      <w:r w:rsidRPr="00563AE6">
        <w:rPr>
          <w:rFonts w:cs="mylotus" w:hint="cs"/>
          <w:sz w:val="23"/>
          <w:szCs w:val="23"/>
          <w:rtl/>
        </w:rPr>
        <w:t>2- وقال العلامة الحلي عنه: ألف- في رجاله (ص 93، طبع النجف): «</w:t>
      </w:r>
      <w:r w:rsidRPr="00563AE6">
        <w:rPr>
          <w:rFonts w:cs="mylotus"/>
          <w:sz w:val="23"/>
          <w:szCs w:val="23"/>
          <w:rtl/>
        </w:rPr>
        <w:t xml:space="preserve">وكان فطحي المذهب! وقد </w:t>
      </w:r>
      <w:r w:rsidRPr="00563AE6">
        <w:rPr>
          <w:rFonts w:cs="mylotus" w:hint="cs"/>
          <w:sz w:val="23"/>
          <w:szCs w:val="23"/>
          <w:rtl/>
        </w:rPr>
        <w:t>أثنى</w:t>
      </w:r>
      <w:r w:rsidRPr="00563AE6">
        <w:rPr>
          <w:rFonts w:cs="mylotus"/>
          <w:sz w:val="23"/>
          <w:szCs w:val="23"/>
          <w:rtl/>
        </w:rPr>
        <w:t xml:space="preserve"> عليه محمد بن مسعود </w:t>
      </w:r>
      <w:r w:rsidRPr="00563AE6">
        <w:rPr>
          <w:rFonts w:cs="mylotus" w:hint="cs"/>
          <w:sz w:val="23"/>
          <w:szCs w:val="23"/>
          <w:rtl/>
        </w:rPr>
        <w:t>أ</w:t>
      </w:r>
      <w:r w:rsidRPr="00563AE6">
        <w:rPr>
          <w:rFonts w:cs="mylotus"/>
          <w:sz w:val="23"/>
          <w:szCs w:val="23"/>
          <w:rtl/>
        </w:rPr>
        <w:t>بو</w:t>
      </w:r>
      <w:r w:rsidRPr="00563AE6">
        <w:rPr>
          <w:rFonts w:cs="mylotus" w:hint="cs"/>
          <w:sz w:val="23"/>
          <w:szCs w:val="23"/>
          <w:rtl/>
        </w:rPr>
        <w:t xml:space="preserve"> </w:t>
      </w:r>
      <w:r w:rsidRPr="00563AE6">
        <w:rPr>
          <w:rFonts w:cs="mylotus"/>
          <w:sz w:val="23"/>
          <w:szCs w:val="23"/>
          <w:rtl/>
        </w:rPr>
        <w:t>النصر كثيرا</w:t>
      </w:r>
      <w:r w:rsidRPr="00563AE6">
        <w:rPr>
          <w:rFonts w:cs="mylotus" w:hint="cs"/>
          <w:sz w:val="23"/>
          <w:szCs w:val="23"/>
          <w:rtl/>
        </w:rPr>
        <w:t>ً</w:t>
      </w:r>
      <w:r w:rsidRPr="00563AE6">
        <w:rPr>
          <w:rFonts w:cs="mylotus"/>
          <w:sz w:val="23"/>
          <w:szCs w:val="23"/>
          <w:rtl/>
        </w:rPr>
        <w:t xml:space="preserve"> وقال: </w:t>
      </w:r>
      <w:r w:rsidRPr="00563AE6">
        <w:rPr>
          <w:rFonts w:cs="mylotus" w:hint="cs"/>
          <w:sz w:val="23"/>
          <w:szCs w:val="23"/>
          <w:rtl/>
        </w:rPr>
        <w:t>إ</w:t>
      </w:r>
      <w:r w:rsidRPr="00563AE6">
        <w:rPr>
          <w:rFonts w:cs="mylotus"/>
          <w:sz w:val="23"/>
          <w:szCs w:val="23"/>
          <w:rtl/>
        </w:rPr>
        <w:t>نه ثقة، وكذا شهد له بالثقة الشيخ الطوسي والنجاشي</w:t>
      </w:r>
      <w:r w:rsidRPr="00563AE6">
        <w:rPr>
          <w:rFonts w:cs="mylotus" w:hint="cs"/>
          <w:sz w:val="23"/>
          <w:szCs w:val="23"/>
          <w:rtl/>
        </w:rPr>
        <w:t>،</w:t>
      </w:r>
      <w:r w:rsidRPr="00563AE6">
        <w:rPr>
          <w:rFonts w:cs="mylotus"/>
          <w:sz w:val="23"/>
          <w:szCs w:val="23"/>
          <w:rtl/>
        </w:rPr>
        <w:t xml:space="preserve"> فأنا أعتمد على روايته</w:t>
      </w:r>
      <w:r w:rsidRPr="00563AE6">
        <w:rPr>
          <w:rFonts w:cs="mylotus" w:hint="cs"/>
          <w:sz w:val="23"/>
          <w:szCs w:val="23"/>
          <w:rtl/>
        </w:rPr>
        <w:t>،</w:t>
      </w:r>
      <w:r w:rsidRPr="00563AE6">
        <w:rPr>
          <w:rFonts w:cs="mylotus"/>
          <w:sz w:val="23"/>
          <w:szCs w:val="23"/>
          <w:rtl/>
        </w:rPr>
        <w:t xml:space="preserve"> و</w:t>
      </w:r>
      <w:r w:rsidRPr="00563AE6">
        <w:rPr>
          <w:rFonts w:cs="mylotus" w:hint="cs"/>
          <w:sz w:val="23"/>
          <w:szCs w:val="23"/>
          <w:rtl/>
        </w:rPr>
        <w:t>إ</w:t>
      </w:r>
      <w:r w:rsidRPr="00563AE6">
        <w:rPr>
          <w:rFonts w:cs="mylotus"/>
          <w:sz w:val="23"/>
          <w:szCs w:val="23"/>
          <w:rtl/>
        </w:rPr>
        <w:t>ن كان مذهبه فاسدا</w:t>
      </w:r>
      <w:r w:rsidRPr="00563AE6">
        <w:rPr>
          <w:rFonts w:cs="mylotus" w:hint="cs"/>
          <w:sz w:val="23"/>
          <w:szCs w:val="23"/>
          <w:rtl/>
        </w:rPr>
        <w:t xml:space="preserve">ً». ب- وفي كتابه </w:t>
      </w:r>
      <w:r w:rsidRPr="00563AE6">
        <w:rPr>
          <w:rFonts w:cs="mylotus"/>
          <w:sz w:val="23"/>
          <w:szCs w:val="23"/>
          <w:rtl/>
        </w:rPr>
        <w:t>«</w:t>
      </w:r>
      <w:r w:rsidRPr="00563AE6">
        <w:rPr>
          <w:rFonts w:cs="mylotus" w:hint="cs"/>
          <w:sz w:val="23"/>
          <w:szCs w:val="23"/>
          <w:rtl/>
        </w:rPr>
        <w:t>منتهى المطلب</w:t>
      </w:r>
      <w:r w:rsidRPr="00563AE6">
        <w:rPr>
          <w:rFonts w:cs="mylotus"/>
          <w:sz w:val="23"/>
          <w:szCs w:val="23"/>
          <w:rtl/>
        </w:rPr>
        <w:t>»</w:t>
      </w:r>
      <w:r w:rsidRPr="00563AE6">
        <w:rPr>
          <w:rFonts w:cs="mylotus" w:hint="cs"/>
          <w:sz w:val="23"/>
          <w:szCs w:val="23"/>
          <w:rtl/>
        </w:rPr>
        <w:t xml:space="preserve"> (ص 534) قال عنه خلال مناقشته لرواية إعطاء الزكاة لنبي هاشم: «وفي طريقه ابن فضال وهو ضعيف». وفي الكتاب ذاته (ص524) قال معلقاً على حديثٍ: «وفي طريقه علي بن فضال وهو ضعيف». ج- وفي كتابه </w:t>
      </w:r>
      <w:r w:rsidRPr="00563AE6">
        <w:rPr>
          <w:rFonts w:cs="mylotus"/>
          <w:sz w:val="23"/>
          <w:szCs w:val="23"/>
          <w:rtl/>
        </w:rPr>
        <w:t>«</w:t>
      </w:r>
      <w:r w:rsidRPr="00563AE6">
        <w:rPr>
          <w:rFonts w:cs="mylotus" w:hint="cs"/>
          <w:sz w:val="23"/>
          <w:szCs w:val="23"/>
          <w:rtl/>
        </w:rPr>
        <w:t>مختلف الشيعة</w:t>
      </w:r>
      <w:r w:rsidRPr="00563AE6">
        <w:rPr>
          <w:rFonts w:cs="mylotus"/>
          <w:sz w:val="23"/>
          <w:szCs w:val="23"/>
          <w:rtl/>
        </w:rPr>
        <w:t>»</w:t>
      </w:r>
      <w:r w:rsidRPr="00563AE6">
        <w:rPr>
          <w:rFonts w:cs="mylotus" w:hint="cs"/>
          <w:sz w:val="23"/>
          <w:szCs w:val="23"/>
          <w:rtl/>
        </w:rPr>
        <w:t xml:space="preserve"> (ج2،  ص7، الطبعة القديمة) [أو(ج3،  ص 184) </w:t>
      </w:r>
      <w:r w:rsidRPr="00973E5A">
        <w:rPr>
          <w:rFonts w:cs="mylotus" w:hint="cs"/>
          <w:sz w:val="23"/>
          <w:szCs w:val="23"/>
          <w:rtl/>
        </w:rPr>
        <w:t>من الطبعة الجديدة في 9</w:t>
      </w:r>
      <w:r w:rsidRPr="00563AE6">
        <w:rPr>
          <w:rFonts w:cs="mylotus" w:hint="cs"/>
          <w:sz w:val="23"/>
          <w:szCs w:val="23"/>
          <w:rtl/>
        </w:rPr>
        <w:t xml:space="preserve"> أجزاء] قال عنه في تعليقه على رواية رواها علي بن فضال عن محمد</w:t>
      </w:r>
      <w:r w:rsidRPr="00563AE6">
        <w:rPr>
          <w:rFonts w:cs="mylotus"/>
          <w:sz w:val="23"/>
          <w:szCs w:val="23"/>
          <w:rtl/>
        </w:rPr>
        <w:t xml:space="preserve"> بن مسلم وأبو بصير وبريد والفضيل</w:t>
      </w:r>
      <w:r w:rsidRPr="00563AE6">
        <w:rPr>
          <w:rFonts w:cs="mylotus" w:hint="cs"/>
          <w:sz w:val="23"/>
          <w:szCs w:val="23"/>
          <w:rtl/>
        </w:rPr>
        <w:t xml:space="preserve"> أنهم سألوا الإمام الصادق عن الأشياء التسعة، فقال: «</w:t>
      </w:r>
      <w:r w:rsidRPr="00563AE6">
        <w:rPr>
          <w:rFonts w:cs="mylotus"/>
          <w:sz w:val="23"/>
          <w:szCs w:val="23"/>
          <w:rtl/>
        </w:rPr>
        <w:t>والرواية ممنوعة السند، فإن في طريقها علي بن فضال، وفيه قول</w:t>
      </w:r>
      <w:r w:rsidRPr="00563AE6">
        <w:rPr>
          <w:rFonts w:cs="mylotus" w:hint="cs"/>
          <w:sz w:val="23"/>
          <w:szCs w:val="23"/>
          <w:rtl/>
        </w:rPr>
        <w:t xml:space="preserve">.». د- وأيضا في كتابه </w:t>
      </w:r>
      <w:r w:rsidRPr="00563AE6">
        <w:rPr>
          <w:rFonts w:cs="mylotus"/>
          <w:sz w:val="23"/>
          <w:szCs w:val="23"/>
          <w:rtl/>
        </w:rPr>
        <w:t>«</w:t>
      </w:r>
      <w:r w:rsidRPr="00563AE6">
        <w:rPr>
          <w:rFonts w:cs="mylotus" w:hint="cs"/>
          <w:sz w:val="23"/>
          <w:szCs w:val="23"/>
          <w:rtl/>
        </w:rPr>
        <w:t>منتهى المطلب</w:t>
      </w:r>
      <w:r w:rsidRPr="00563AE6">
        <w:rPr>
          <w:rFonts w:cs="mylotus"/>
          <w:sz w:val="23"/>
          <w:szCs w:val="23"/>
          <w:rtl/>
        </w:rPr>
        <w:t>»</w:t>
      </w:r>
      <w:r w:rsidRPr="00563AE6">
        <w:rPr>
          <w:rFonts w:cs="mylotus" w:hint="cs"/>
          <w:sz w:val="23"/>
          <w:szCs w:val="23"/>
          <w:rtl/>
        </w:rPr>
        <w:t xml:space="preserve"> (ص 492، و535) اعتبره ضعيفاً.</w:t>
      </w:r>
    </w:p>
    <w:p w:rsidR="00B31118" w:rsidRPr="00563AE6" w:rsidRDefault="00B31118" w:rsidP="000913E5">
      <w:pPr>
        <w:spacing w:line="228" w:lineRule="auto"/>
        <w:ind w:left="664" w:hanging="284"/>
        <w:jc w:val="both"/>
        <w:rPr>
          <w:rFonts w:cs="mylotus" w:hint="cs"/>
          <w:sz w:val="23"/>
          <w:szCs w:val="23"/>
          <w:rtl/>
        </w:rPr>
      </w:pPr>
      <w:r w:rsidRPr="00563AE6">
        <w:rPr>
          <w:rFonts w:cs="mylotus" w:hint="cs"/>
          <w:sz w:val="23"/>
          <w:szCs w:val="23"/>
          <w:rtl/>
        </w:rPr>
        <w:t>3- وأورده ابن أبي داود الحلي في رجاله (ص483) في قسم المجروحين والمجهولين.</w:t>
      </w:r>
    </w:p>
    <w:p w:rsidR="00B31118" w:rsidRPr="00563AE6" w:rsidRDefault="00B31118" w:rsidP="000913E5">
      <w:pPr>
        <w:spacing w:line="228" w:lineRule="auto"/>
        <w:ind w:left="664" w:hanging="284"/>
        <w:jc w:val="both"/>
        <w:rPr>
          <w:rFonts w:cs="mylotus" w:hint="cs"/>
          <w:sz w:val="23"/>
          <w:szCs w:val="23"/>
          <w:rtl/>
        </w:rPr>
      </w:pPr>
      <w:r w:rsidRPr="00563AE6">
        <w:rPr>
          <w:rFonts w:cs="mylotus" w:hint="cs"/>
          <w:sz w:val="23"/>
          <w:szCs w:val="23"/>
          <w:rtl/>
        </w:rPr>
        <w:t xml:space="preserve">4- وأما الفقيه «محمد بن إدريس الحلي» -الذي يعد من أعيان علماء الشيعة - فقد انتقد في باب تقسيم الخمس من كتابه </w:t>
      </w:r>
      <w:r w:rsidRPr="00563AE6">
        <w:rPr>
          <w:rFonts w:cs="mylotus"/>
          <w:sz w:val="23"/>
          <w:szCs w:val="23"/>
          <w:rtl/>
        </w:rPr>
        <w:t>«</w:t>
      </w:r>
      <w:r w:rsidRPr="00563AE6">
        <w:rPr>
          <w:rFonts w:cs="mylotus" w:hint="cs"/>
          <w:sz w:val="23"/>
          <w:szCs w:val="23"/>
          <w:rtl/>
        </w:rPr>
        <w:t>السرائر</w:t>
      </w:r>
      <w:r w:rsidRPr="00563AE6">
        <w:rPr>
          <w:rFonts w:cs="mylotus"/>
          <w:sz w:val="23"/>
          <w:szCs w:val="23"/>
          <w:rtl/>
        </w:rPr>
        <w:t>»</w:t>
      </w:r>
      <w:r w:rsidRPr="00563AE6">
        <w:rPr>
          <w:rFonts w:cs="mylotus" w:hint="cs"/>
          <w:sz w:val="23"/>
          <w:szCs w:val="23"/>
          <w:rtl/>
        </w:rPr>
        <w:t xml:space="preserve"> </w:t>
      </w:r>
      <w:r w:rsidRPr="00563AE6">
        <w:rPr>
          <w:rFonts w:cs="mylotus"/>
          <w:sz w:val="23"/>
          <w:szCs w:val="23"/>
          <w:rtl/>
        </w:rPr>
        <w:t>(ج1، ص495)</w:t>
      </w:r>
      <w:r w:rsidRPr="00563AE6">
        <w:rPr>
          <w:rFonts w:cs="mylotus" w:hint="cs"/>
          <w:sz w:val="23"/>
          <w:szCs w:val="23"/>
          <w:rtl/>
        </w:rPr>
        <w:t xml:space="preserve"> الشيخَ الطوسيَّ بشدَّة لروايته عن </w:t>
      </w:r>
      <w:r w:rsidRPr="00563AE6">
        <w:rPr>
          <w:rFonts w:cs="mylotus"/>
          <w:sz w:val="23"/>
          <w:szCs w:val="23"/>
          <w:rtl/>
        </w:rPr>
        <w:t>«</w:t>
      </w:r>
      <w:r w:rsidRPr="00563AE6">
        <w:rPr>
          <w:rFonts w:cs="mylotus" w:hint="cs"/>
          <w:sz w:val="23"/>
          <w:szCs w:val="23"/>
          <w:rtl/>
        </w:rPr>
        <w:t>علي بن فضال</w:t>
      </w:r>
      <w:r w:rsidRPr="00563AE6">
        <w:rPr>
          <w:rFonts w:cs="mylotus"/>
          <w:sz w:val="23"/>
          <w:szCs w:val="23"/>
          <w:rtl/>
        </w:rPr>
        <w:t>»</w:t>
      </w:r>
      <w:r w:rsidRPr="00563AE6">
        <w:rPr>
          <w:rFonts w:cs="mylotus" w:hint="cs"/>
          <w:sz w:val="23"/>
          <w:szCs w:val="23"/>
          <w:rtl/>
        </w:rPr>
        <w:t xml:space="preserve"> وقال</w:t>
      </w:r>
      <w:r w:rsidRPr="00563AE6">
        <w:rPr>
          <w:rFonts w:cs="mylotus"/>
          <w:sz w:val="23"/>
          <w:szCs w:val="23"/>
          <w:rtl/>
        </w:rPr>
        <w:t xml:space="preserve"> عنه في معرض تعليقه على روايتين مرسلتين: «وراوي أحدهما فطحي المذهب، كافر ملعون، وهو الحسن بن الفضال، وبنو فضال كلهم فطحية، والحسن رأسهم في الضلال..»</w:t>
      </w:r>
      <w:r w:rsidRPr="00563AE6">
        <w:rPr>
          <w:rFonts w:cs="mylotus" w:hint="cs"/>
          <w:sz w:val="23"/>
          <w:szCs w:val="23"/>
          <w:rtl/>
        </w:rPr>
        <w:t>.</w:t>
      </w:r>
    </w:p>
    <w:p w:rsidR="00B31118" w:rsidRPr="000913E5" w:rsidRDefault="00B31118" w:rsidP="000913E5">
      <w:pPr>
        <w:spacing w:line="228" w:lineRule="auto"/>
        <w:ind w:left="664" w:hanging="284"/>
        <w:jc w:val="both"/>
        <w:rPr>
          <w:rFonts w:cs="mylotus" w:hint="cs"/>
          <w:spacing w:val="-3"/>
          <w:sz w:val="23"/>
          <w:szCs w:val="23"/>
          <w:rtl/>
        </w:rPr>
      </w:pPr>
      <w:r w:rsidRPr="000913E5">
        <w:rPr>
          <w:rFonts w:cs="mylotus" w:hint="cs"/>
          <w:spacing w:val="-3"/>
          <w:sz w:val="23"/>
          <w:szCs w:val="23"/>
          <w:rtl/>
        </w:rPr>
        <w:t xml:space="preserve">5- والمرحوم المحقق السبزواري في كتابه </w:t>
      </w:r>
      <w:r w:rsidRPr="000913E5">
        <w:rPr>
          <w:rFonts w:cs="mylotus"/>
          <w:spacing w:val="-3"/>
          <w:sz w:val="23"/>
          <w:szCs w:val="23"/>
          <w:rtl/>
        </w:rPr>
        <w:t>«</w:t>
      </w:r>
      <w:r w:rsidRPr="000913E5">
        <w:rPr>
          <w:rFonts w:cs="mylotus" w:hint="cs"/>
          <w:spacing w:val="-3"/>
          <w:sz w:val="23"/>
          <w:szCs w:val="23"/>
          <w:rtl/>
        </w:rPr>
        <w:t>ذخيرة العباد</w:t>
      </w:r>
      <w:r w:rsidRPr="000913E5">
        <w:rPr>
          <w:rFonts w:cs="mylotus"/>
          <w:spacing w:val="-3"/>
          <w:sz w:val="23"/>
          <w:szCs w:val="23"/>
          <w:rtl/>
        </w:rPr>
        <w:t>»</w:t>
      </w:r>
      <w:r w:rsidRPr="000913E5">
        <w:rPr>
          <w:rFonts w:cs="mylotus" w:hint="cs"/>
          <w:spacing w:val="-3"/>
          <w:sz w:val="23"/>
          <w:szCs w:val="23"/>
          <w:rtl/>
        </w:rPr>
        <w:t xml:space="preserve"> كلما جاء ذكر لـ </w:t>
      </w:r>
      <w:r w:rsidRPr="000913E5">
        <w:rPr>
          <w:rFonts w:cs="mylotus"/>
          <w:spacing w:val="-3"/>
          <w:sz w:val="23"/>
          <w:szCs w:val="23"/>
          <w:rtl/>
        </w:rPr>
        <w:t>«</w:t>
      </w:r>
      <w:r w:rsidRPr="000913E5">
        <w:rPr>
          <w:rFonts w:cs="mylotus" w:hint="cs"/>
          <w:spacing w:val="-3"/>
          <w:sz w:val="23"/>
          <w:szCs w:val="23"/>
          <w:rtl/>
        </w:rPr>
        <w:t>علي بن فضال</w:t>
      </w:r>
      <w:r w:rsidRPr="000913E5">
        <w:rPr>
          <w:rFonts w:cs="mylotus"/>
          <w:spacing w:val="-3"/>
          <w:sz w:val="23"/>
          <w:szCs w:val="23"/>
          <w:rtl/>
        </w:rPr>
        <w:t>»</w:t>
      </w:r>
      <w:r w:rsidRPr="000913E5">
        <w:rPr>
          <w:rFonts w:cs="mylotus" w:hint="cs"/>
          <w:spacing w:val="-3"/>
          <w:sz w:val="23"/>
          <w:szCs w:val="23"/>
          <w:rtl/>
        </w:rPr>
        <w:t xml:space="preserve"> قال عنه أنه ضعيف.</w:t>
      </w:r>
    </w:p>
    <w:p w:rsidR="00B31118" w:rsidRPr="00563AE6" w:rsidRDefault="00B31118" w:rsidP="000913E5">
      <w:pPr>
        <w:spacing w:line="228" w:lineRule="auto"/>
        <w:ind w:left="664" w:hanging="284"/>
        <w:jc w:val="both"/>
        <w:rPr>
          <w:rFonts w:cs="mylotus" w:hint="cs"/>
          <w:sz w:val="23"/>
          <w:szCs w:val="23"/>
          <w:rtl/>
        </w:rPr>
      </w:pPr>
      <w:r w:rsidRPr="00563AE6">
        <w:rPr>
          <w:rFonts w:cs="mylotus" w:hint="cs"/>
          <w:sz w:val="23"/>
          <w:szCs w:val="23"/>
          <w:rtl/>
        </w:rPr>
        <w:t>6- وكذلك اعتبره صاحب المدارك في عدة مواضع من كتابه ضعيفاً.</w:t>
      </w:r>
    </w:p>
    <w:p w:rsidR="00B31118" w:rsidRPr="000913E5" w:rsidRDefault="00B31118" w:rsidP="000913E5">
      <w:pPr>
        <w:spacing w:line="228" w:lineRule="auto"/>
        <w:ind w:left="664" w:hanging="284"/>
        <w:jc w:val="both"/>
        <w:rPr>
          <w:rFonts w:cs="mylotus" w:hint="cs"/>
          <w:sz w:val="23"/>
          <w:szCs w:val="23"/>
          <w:rtl/>
        </w:rPr>
      </w:pPr>
      <w:r w:rsidRPr="000913E5">
        <w:rPr>
          <w:rFonts w:cs="mylotus" w:hint="cs"/>
          <w:sz w:val="23"/>
          <w:szCs w:val="23"/>
          <w:rtl/>
        </w:rPr>
        <w:t xml:space="preserve">7- و8- اعتبره كل من المحقق الحلي في كتابه </w:t>
      </w:r>
      <w:r w:rsidRPr="000913E5">
        <w:rPr>
          <w:rFonts w:cs="mylotus"/>
          <w:sz w:val="23"/>
          <w:szCs w:val="23"/>
          <w:rtl/>
        </w:rPr>
        <w:t>«</w:t>
      </w:r>
      <w:r w:rsidRPr="000913E5">
        <w:rPr>
          <w:rFonts w:cs="mylotus" w:hint="cs"/>
          <w:sz w:val="23"/>
          <w:szCs w:val="23"/>
          <w:rtl/>
        </w:rPr>
        <w:t>شرائع الإسلام</w:t>
      </w:r>
      <w:r w:rsidRPr="000913E5">
        <w:rPr>
          <w:rFonts w:cs="mylotus"/>
          <w:sz w:val="23"/>
          <w:szCs w:val="23"/>
          <w:rtl/>
        </w:rPr>
        <w:t>»</w:t>
      </w:r>
      <w:r w:rsidRPr="000913E5">
        <w:rPr>
          <w:rFonts w:cs="mylotus" w:hint="cs"/>
          <w:sz w:val="23"/>
          <w:szCs w:val="23"/>
          <w:rtl/>
        </w:rPr>
        <w:t xml:space="preserve"> والشهيد الثاني في كتابه </w:t>
      </w:r>
      <w:r w:rsidRPr="000913E5">
        <w:rPr>
          <w:rFonts w:cs="mylotus"/>
          <w:sz w:val="23"/>
          <w:szCs w:val="23"/>
          <w:rtl/>
        </w:rPr>
        <w:t>«</w:t>
      </w:r>
      <w:r w:rsidRPr="000913E5">
        <w:rPr>
          <w:rFonts w:cs="mylotus" w:hint="cs"/>
          <w:sz w:val="23"/>
          <w:szCs w:val="23"/>
          <w:rtl/>
        </w:rPr>
        <w:t>مسالك الأفهام</w:t>
      </w:r>
      <w:r w:rsidRPr="000913E5">
        <w:rPr>
          <w:rFonts w:cs="mylotus"/>
          <w:sz w:val="23"/>
          <w:szCs w:val="23"/>
          <w:rtl/>
        </w:rPr>
        <w:t>»</w:t>
      </w:r>
      <w:r w:rsidRPr="000913E5">
        <w:rPr>
          <w:rFonts w:cs="mylotus" w:hint="cs"/>
          <w:sz w:val="23"/>
          <w:szCs w:val="23"/>
          <w:rtl/>
        </w:rPr>
        <w:t xml:space="preserve"> ضعيفاً.</w:t>
      </w:r>
    </w:p>
    <w:p w:rsidR="00B31118" w:rsidRPr="00563AE6" w:rsidRDefault="00B31118" w:rsidP="000913E5">
      <w:pPr>
        <w:spacing w:line="228" w:lineRule="auto"/>
        <w:ind w:left="664" w:hanging="284"/>
        <w:jc w:val="both"/>
        <w:rPr>
          <w:rFonts w:cs="mylotus" w:hint="cs"/>
          <w:sz w:val="23"/>
          <w:szCs w:val="23"/>
          <w:rtl/>
        </w:rPr>
      </w:pPr>
      <w:r w:rsidRPr="00563AE6">
        <w:rPr>
          <w:rFonts w:cs="mylotus" w:hint="cs"/>
          <w:sz w:val="23"/>
          <w:szCs w:val="23"/>
          <w:rtl/>
        </w:rPr>
        <w:t xml:space="preserve">9 </w:t>
      </w:r>
      <w:r w:rsidRPr="00563AE6">
        <w:rPr>
          <w:rFonts w:cs="Times New Roman" w:hint="cs"/>
          <w:sz w:val="23"/>
          <w:szCs w:val="23"/>
          <w:rtl/>
        </w:rPr>
        <w:t>–</w:t>
      </w:r>
      <w:r w:rsidRPr="00563AE6">
        <w:rPr>
          <w:rFonts w:cs="mylotus" w:hint="cs"/>
          <w:sz w:val="23"/>
          <w:szCs w:val="23"/>
          <w:rtl/>
        </w:rPr>
        <w:t xml:space="preserve"> </w:t>
      </w:r>
      <w:r w:rsidRPr="00563AE6">
        <w:rPr>
          <w:rFonts w:ascii="mylotus" w:hAnsi="mylotus" w:cs="mylotus" w:hint="cs"/>
          <w:sz w:val="23"/>
          <w:szCs w:val="23"/>
          <w:rtl/>
        </w:rPr>
        <w:t>واعتبره</w:t>
      </w:r>
      <w:r w:rsidRPr="00563AE6">
        <w:rPr>
          <w:rFonts w:cs="mylotus" w:hint="cs"/>
          <w:sz w:val="23"/>
          <w:szCs w:val="23"/>
          <w:rtl/>
        </w:rPr>
        <w:t xml:space="preserve"> </w:t>
      </w:r>
      <w:r w:rsidRPr="00563AE6">
        <w:rPr>
          <w:rFonts w:ascii="mylotus" w:hAnsi="mylotus" w:cs="mylotus" w:hint="cs"/>
          <w:sz w:val="23"/>
          <w:szCs w:val="23"/>
          <w:rtl/>
        </w:rPr>
        <w:t>المرحوم</w:t>
      </w:r>
      <w:r w:rsidRPr="00563AE6">
        <w:rPr>
          <w:rFonts w:cs="mylotus" w:hint="cs"/>
          <w:sz w:val="23"/>
          <w:szCs w:val="23"/>
          <w:rtl/>
        </w:rPr>
        <w:t xml:space="preserve"> </w:t>
      </w:r>
      <w:r w:rsidRPr="00563AE6">
        <w:rPr>
          <w:rFonts w:ascii="mylotus" w:hAnsi="mylotus" w:cs="mylotus" w:hint="cs"/>
          <w:sz w:val="23"/>
          <w:szCs w:val="23"/>
          <w:rtl/>
        </w:rPr>
        <w:t>ي</w:t>
      </w:r>
      <w:r w:rsidRPr="00563AE6">
        <w:rPr>
          <w:rFonts w:cs="mylotus" w:hint="cs"/>
          <w:sz w:val="23"/>
          <w:szCs w:val="23"/>
          <w:rtl/>
        </w:rPr>
        <w:t>وسف البحراني في كتابه</w:t>
      </w:r>
      <w:r w:rsidRPr="00563AE6">
        <w:rPr>
          <w:rFonts w:cs="mylotus"/>
          <w:sz w:val="23"/>
          <w:szCs w:val="23"/>
          <w:rtl/>
        </w:rPr>
        <w:t>«</w:t>
      </w:r>
      <w:r w:rsidRPr="00563AE6">
        <w:rPr>
          <w:rFonts w:cs="mylotus" w:hint="cs"/>
          <w:sz w:val="23"/>
          <w:szCs w:val="23"/>
          <w:rtl/>
        </w:rPr>
        <w:t>الحدائق الناضرة</w:t>
      </w:r>
      <w:r w:rsidRPr="00563AE6">
        <w:rPr>
          <w:rFonts w:cs="mylotus"/>
          <w:sz w:val="23"/>
          <w:szCs w:val="23"/>
          <w:rtl/>
        </w:rPr>
        <w:t>»</w:t>
      </w:r>
      <w:r w:rsidRPr="00563AE6">
        <w:rPr>
          <w:rFonts w:cs="mylotus" w:hint="cs"/>
          <w:sz w:val="23"/>
          <w:szCs w:val="23"/>
          <w:rtl/>
        </w:rPr>
        <w:t xml:space="preserve"> (ج12، ص380) وص 253، ضعيفاً، نقلا عن صاحب الملل والنحل وعن قول المحقق.</w:t>
      </w:r>
    </w:p>
    <w:p w:rsidR="00B31118" w:rsidRPr="00563AE6" w:rsidRDefault="00B31118" w:rsidP="000913E5">
      <w:pPr>
        <w:spacing w:line="228" w:lineRule="auto"/>
        <w:ind w:left="664" w:hanging="284"/>
        <w:jc w:val="both"/>
        <w:rPr>
          <w:rFonts w:cs="mylotus" w:hint="cs"/>
          <w:sz w:val="23"/>
          <w:szCs w:val="23"/>
          <w:rtl/>
        </w:rPr>
      </w:pPr>
      <w:r w:rsidRPr="00563AE6">
        <w:rPr>
          <w:rFonts w:cs="mylotus" w:hint="cs"/>
          <w:sz w:val="23"/>
          <w:szCs w:val="23"/>
          <w:rtl/>
        </w:rPr>
        <w:t xml:space="preserve">10 </w:t>
      </w:r>
      <w:r w:rsidRPr="00563AE6">
        <w:rPr>
          <w:rFonts w:cs="Times New Roman" w:hint="cs"/>
          <w:sz w:val="23"/>
          <w:szCs w:val="23"/>
          <w:rtl/>
        </w:rPr>
        <w:t>–</w:t>
      </w:r>
      <w:r w:rsidRPr="00563AE6">
        <w:rPr>
          <w:rFonts w:cs="mylotus" w:hint="cs"/>
          <w:sz w:val="23"/>
          <w:szCs w:val="23"/>
          <w:rtl/>
        </w:rPr>
        <w:t xml:space="preserve"> </w:t>
      </w:r>
      <w:r w:rsidRPr="00563AE6">
        <w:rPr>
          <w:rFonts w:ascii="mylotus" w:hAnsi="mylotus" w:cs="mylotus" w:hint="cs"/>
          <w:sz w:val="23"/>
          <w:szCs w:val="23"/>
          <w:rtl/>
        </w:rPr>
        <w:t>واعتبره</w:t>
      </w:r>
      <w:r w:rsidRPr="00563AE6">
        <w:rPr>
          <w:rFonts w:cs="mylotus" w:hint="cs"/>
          <w:sz w:val="23"/>
          <w:szCs w:val="23"/>
          <w:rtl/>
        </w:rPr>
        <w:t xml:space="preserve"> </w:t>
      </w:r>
      <w:r w:rsidRPr="00563AE6">
        <w:rPr>
          <w:rFonts w:ascii="mylotus" w:hAnsi="mylotus" w:cs="mylotus" w:hint="cs"/>
          <w:sz w:val="23"/>
          <w:szCs w:val="23"/>
          <w:rtl/>
        </w:rPr>
        <w:t>صاحب</w:t>
      </w:r>
      <w:r w:rsidRPr="00563AE6">
        <w:rPr>
          <w:rFonts w:cs="mylotus" w:hint="cs"/>
          <w:sz w:val="23"/>
          <w:szCs w:val="23"/>
          <w:rtl/>
        </w:rPr>
        <w:t xml:space="preserve"> </w:t>
      </w:r>
      <w:r w:rsidRPr="00563AE6">
        <w:rPr>
          <w:rFonts w:ascii="mylotus" w:hAnsi="mylotus" w:cs="mylotus" w:hint="cs"/>
          <w:sz w:val="23"/>
          <w:szCs w:val="23"/>
          <w:rtl/>
        </w:rPr>
        <w:t>كتاب</w:t>
      </w:r>
      <w:r w:rsidRPr="00563AE6">
        <w:rPr>
          <w:rFonts w:cs="mylotus" w:hint="cs"/>
          <w:sz w:val="23"/>
          <w:szCs w:val="23"/>
          <w:rtl/>
        </w:rPr>
        <w:t xml:space="preserve"> </w:t>
      </w:r>
      <w:r w:rsidRPr="00563AE6">
        <w:rPr>
          <w:rFonts w:cs="mylotus"/>
          <w:sz w:val="23"/>
          <w:szCs w:val="23"/>
          <w:rtl/>
        </w:rPr>
        <w:t>«</w:t>
      </w:r>
      <w:r w:rsidRPr="00563AE6">
        <w:rPr>
          <w:rFonts w:cs="mylotus" w:hint="cs"/>
          <w:sz w:val="23"/>
          <w:szCs w:val="23"/>
          <w:rtl/>
        </w:rPr>
        <w:t>نزهة الناظر</w:t>
      </w:r>
      <w:r w:rsidRPr="00563AE6">
        <w:rPr>
          <w:rFonts w:cs="mylotus"/>
          <w:sz w:val="23"/>
          <w:szCs w:val="23"/>
          <w:rtl/>
        </w:rPr>
        <w:t>»</w:t>
      </w:r>
      <w:r w:rsidRPr="00563AE6">
        <w:rPr>
          <w:rFonts w:cs="mylotus" w:hint="cs"/>
          <w:sz w:val="23"/>
          <w:szCs w:val="23"/>
          <w:rtl/>
        </w:rPr>
        <w:t xml:space="preserve"> (ص 86) ضعيفاً.</w:t>
      </w:r>
    </w:p>
    <w:p w:rsidR="00B31118" w:rsidRPr="00563AE6" w:rsidRDefault="00B31118" w:rsidP="000913E5">
      <w:pPr>
        <w:spacing w:line="228" w:lineRule="auto"/>
        <w:ind w:left="664" w:hanging="284"/>
        <w:jc w:val="both"/>
        <w:rPr>
          <w:rFonts w:cs="mylotus" w:hint="cs"/>
          <w:sz w:val="23"/>
          <w:szCs w:val="23"/>
          <w:rtl/>
        </w:rPr>
      </w:pPr>
      <w:r w:rsidRPr="00563AE6">
        <w:rPr>
          <w:rFonts w:cs="mylotus" w:hint="cs"/>
          <w:sz w:val="23"/>
          <w:szCs w:val="23"/>
          <w:rtl/>
        </w:rPr>
        <w:t xml:space="preserve">11- واعتبره مولانا إسماعيل الخاجوي </w:t>
      </w:r>
      <w:r w:rsidRPr="00563AE6">
        <w:rPr>
          <w:rFonts w:cs="Times New Roman" w:hint="cs"/>
          <w:sz w:val="23"/>
          <w:szCs w:val="23"/>
          <w:rtl/>
        </w:rPr>
        <w:t>–</w:t>
      </w:r>
      <w:r w:rsidRPr="00563AE6">
        <w:rPr>
          <w:rFonts w:cs="mylotus" w:hint="cs"/>
          <w:sz w:val="23"/>
          <w:szCs w:val="23"/>
          <w:rtl/>
        </w:rPr>
        <w:t xml:space="preserve"> </w:t>
      </w:r>
      <w:r w:rsidRPr="00563AE6">
        <w:rPr>
          <w:rFonts w:ascii="mylotus" w:hAnsi="mylotus" w:cs="mylotus" w:hint="cs"/>
          <w:sz w:val="23"/>
          <w:szCs w:val="23"/>
          <w:rtl/>
        </w:rPr>
        <w:t>طبقا</w:t>
      </w:r>
      <w:r w:rsidRPr="00563AE6">
        <w:rPr>
          <w:rFonts w:cs="mylotus" w:hint="cs"/>
          <w:sz w:val="23"/>
          <w:szCs w:val="23"/>
          <w:rtl/>
        </w:rPr>
        <w:t xml:space="preserve"> </w:t>
      </w:r>
      <w:r w:rsidRPr="00563AE6">
        <w:rPr>
          <w:rFonts w:ascii="mylotus" w:hAnsi="mylotus" w:cs="mylotus" w:hint="cs"/>
          <w:sz w:val="23"/>
          <w:szCs w:val="23"/>
          <w:rtl/>
        </w:rPr>
        <w:t>لنقل</w:t>
      </w:r>
      <w:r w:rsidRPr="00563AE6">
        <w:rPr>
          <w:rFonts w:cs="mylotus" w:hint="cs"/>
          <w:sz w:val="23"/>
          <w:szCs w:val="23"/>
          <w:rtl/>
        </w:rPr>
        <w:t xml:space="preserve"> </w:t>
      </w:r>
      <w:r w:rsidRPr="00563AE6">
        <w:rPr>
          <w:rFonts w:ascii="mylotus" w:hAnsi="mylotus" w:cs="mylotus" w:hint="cs"/>
          <w:sz w:val="23"/>
          <w:szCs w:val="23"/>
          <w:rtl/>
        </w:rPr>
        <w:t>صاحب</w:t>
      </w:r>
      <w:r w:rsidRPr="00563AE6">
        <w:rPr>
          <w:rFonts w:cs="mylotus" w:hint="cs"/>
          <w:sz w:val="23"/>
          <w:szCs w:val="23"/>
          <w:rtl/>
        </w:rPr>
        <w:t xml:space="preserve"> </w:t>
      </w:r>
      <w:r w:rsidRPr="00563AE6">
        <w:rPr>
          <w:rFonts w:cs="mylotus"/>
          <w:sz w:val="23"/>
          <w:szCs w:val="23"/>
          <w:rtl/>
        </w:rPr>
        <w:t>«</w:t>
      </w:r>
      <w:r w:rsidRPr="00563AE6">
        <w:rPr>
          <w:rFonts w:cs="mylotus" w:hint="cs"/>
          <w:sz w:val="23"/>
          <w:szCs w:val="23"/>
          <w:rtl/>
        </w:rPr>
        <w:t xml:space="preserve">روضات الجنات» - ضمن ذكره لانتقاد </w:t>
      </w:r>
      <w:r w:rsidRPr="00563AE6">
        <w:rPr>
          <w:rFonts w:cs="mylotus"/>
          <w:sz w:val="23"/>
          <w:szCs w:val="23"/>
          <w:rtl/>
        </w:rPr>
        <w:t>«</w:t>
      </w:r>
      <w:r w:rsidRPr="00563AE6">
        <w:rPr>
          <w:rFonts w:cs="mylotus" w:hint="cs"/>
          <w:sz w:val="23"/>
          <w:szCs w:val="23"/>
          <w:rtl/>
        </w:rPr>
        <w:t>علي بن فضال</w:t>
      </w:r>
      <w:r w:rsidRPr="00563AE6">
        <w:rPr>
          <w:rFonts w:cs="mylotus"/>
          <w:sz w:val="23"/>
          <w:szCs w:val="23"/>
          <w:rtl/>
        </w:rPr>
        <w:t>»</w:t>
      </w:r>
      <w:r w:rsidRPr="00563AE6">
        <w:rPr>
          <w:rFonts w:cs="mylotus" w:hint="cs"/>
          <w:sz w:val="23"/>
          <w:szCs w:val="23"/>
          <w:rtl/>
        </w:rPr>
        <w:t xml:space="preserve"> لـ </w:t>
      </w:r>
      <w:r w:rsidRPr="00563AE6">
        <w:rPr>
          <w:rFonts w:cs="mylotus"/>
          <w:sz w:val="23"/>
          <w:szCs w:val="23"/>
          <w:rtl/>
        </w:rPr>
        <w:t>«</w:t>
      </w:r>
      <w:r w:rsidRPr="00563AE6">
        <w:rPr>
          <w:rFonts w:cs="mylotus" w:hint="cs"/>
          <w:sz w:val="23"/>
          <w:szCs w:val="23"/>
          <w:rtl/>
        </w:rPr>
        <w:t>علي بن أبي حمزة البطائني</w:t>
      </w:r>
      <w:r w:rsidRPr="00563AE6">
        <w:rPr>
          <w:rFonts w:cs="mylotus"/>
          <w:sz w:val="23"/>
          <w:szCs w:val="23"/>
          <w:rtl/>
        </w:rPr>
        <w:t>»</w:t>
      </w:r>
      <w:r w:rsidRPr="00563AE6">
        <w:rPr>
          <w:rFonts w:cs="mylotus" w:hint="cs"/>
          <w:sz w:val="23"/>
          <w:szCs w:val="23"/>
          <w:rtl/>
        </w:rPr>
        <w:t xml:space="preserve"> نمروداً فقال: «ويلٌ لمن كفَّره نمرود».</w:t>
      </w:r>
    </w:p>
    <w:p w:rsidR="00B31118" w:rsidRPr="00563AE6" w:rsidRDefault="00B31118" w:rsidP="000913E5">
      <w:pPr>
        <w:spacing w:line="228" w:lineRule="auto"/>
        <w:ind w:left="664" w:hanging="284"/>
        <w:jc w:val="both"/>
        <w:rPr>
          <w:rFonts w:cs="mylotus" w:hint="cs"/>
          <w:sz w:val="23"/>
          <w:szCs w:val="23"/>
          <w:rtl/>
        </w:rPr>
      </w:pPr>
      <w:r w:rsidRPr="00563AE6">
        <w:rPr>
          <w:rFonts w:cs="mylotus" w:hint="cs"/>
          <w:sz w:val="23"/>
          <w:szCs w:val="23"/>
          <w:rtl/>
        </w:rPr>
        <w:t xml:space="preserve">12- وقال المرحوم الحاج الشيخ عبد الله الممقاني في المجلد الثاني من كتابه </w:t>
      </w:r>
      <w:r w:rsidRPr="00563AE6">
        <w:rPr>
          <w:rFonts w:cs="mylotus"/>
          <w:sz w:val="23"/>
          <w:szCs w:val="23"/>
          <w:rtl/>
        </w:rPr>
        <w:t>«</w:t>
      </w:r>
      <w:r w:rsidRPr="00563AE6">
        <w:rPr>
          <w:rFonts w:cs="mylotus" w:hint="cs"/>
          <w:sz w:val="23"/>
          <w:szCs w:val="23"/>
          <w:rtl/>
        </w:rPr>
        <w:t>تنقيح المقال</w:t>
      </w:r>
      <w:r w:rsidRPr="00563AE6">
        <w:rPr>
          <w:rFonts w:cs="mylotus"/>
          <w:sz w:val="23"/>
          <w:szCs w:val="23"/>
          <w:rtl/>
        </w:rPr>
        <w:t>»</w:t>
      </w:r>
      <w:r w:rsidRPr="00563AE6">
        <w:rPr>
          <w:rFonts w:cs="mylotus" w:hint="cs"/>
          <w:sz w:val="23"/>
          <w:szCs w:val="23"/>
          <w:rtl/>
        </w:rPr>
        <w:t xml:space="preserve"> (ص 279): «صدر عن جمع من الأعلام التوقف في رواية الرجل». وانتقده. </w:t>
      </w:r>
    </w:p>
    <w:p w:rsidR="00B31118" w:rsidRPr="00563AE6" w:rsidRDefault="00B31118" w:rsidP="00B300C9">
      <w:pPr>
        <w:spacing w:line="228" w:lineRule="auto"/>
        <w:ind w:left="378"/>
        <w:jc w:val="both"/>
        <w:rPr>
          <w:rFonts w:cs="mylotus" w:hint="cs"/>
          <w:sz w:val="23"/>
          <w:szCs w:val="23"/>
          <w:rtl/>
        </w:rPr>
      </w:pPr>
      <w:r w:rsidRPr="00563AE6">
        <w:rPr>
          <w:rFonts w:cs="mylotus" w:hint="cs"/>
          <w:sz w:val="23"/>
          <w:szCs w:val="23"/>
          <w:rtl/>
        </w:rPr>
        <w:t>هذا ومما يجدر ذكره أن علي بن فضال علاوة على أنه كان فطحي المذهب، صار فيما بعد إلى القول بإمامة جعفر الكذاب، وقد مر شرح ذلك في (ص 194) من كتابنا الزكاة فراجعه.</w:t>
      </w:r>
    </w:p>
  </w:footnote>
  <w:footnote w:id="103">
    <w:p w:rsidR="00B31118" w:rsidRPr="00563AE6" w:rsidRDefault="00B31118" w:rsidP="00B300C9">
      <w:pPr>
        <w:widowControl w:val="0"/>
        <w:spacing w:line="228" w:lineRule="auto"/>
        <w:ind w:left="378" w:hanging="378"/>
        <w:jc w:val="both"/>
        <w:rPr>
          <w:rFonts w:cs="mylotus" w:hint="cs"/>
          <w:sz w:val="23"/>
          <w:szCs w:val="23"/>
          <w:rtl/>
        </w:rPr>
      </w:pPr>
      <w:r w:rsidRPr="00563AE6">
        <w:rPr>
          <w:rFonts w:cs="mylotus"/>
          <w:sz w:val="23"/>
          <w:szCs w:val="23"/>
          <w:rtl/>
        </w:rPr>
        <w:footnoteRef/>
      </w:r>
      <w:r>
        <w:rPr>
          <w:rFonts w:cs="mylotus"/>
          <w:sz w:val="23"/>
          <w:szCs w:val="23"/>
          <w:rtl/>
        </w:rPr>
        <w:t>-</w:t>
      </w:r>
      <w:r w:rsidRPr="00563AE6">
        <w:rPr>
          <w:rFonts w:cs="mylotus" w:hint="cs"/>
          <w:sz w:val="23"/>
          <w:szCs w:val="23"/>
          <w:rtl/>
        </w:rPr>
        <w:t xml:space="preserve"> تهذيب الأحكام، </w:t>
      </w:r>
      <w:r w:rsidRPr="00563AE6">
        <w:rPr>
          <w:rFonts w:cs="mylotus"/>
          <w:sz w:val="23"/>
          <w:szCs w:val="23"/>
          <w:rtl/>
        </w:rPr>
        <w:t>ج4</w:t>
      </w:r>
      <w:r w:rsidRPr="00563AE6">
        <w:rPr>
          <w:rFonts w:cs="mylotus" w:hint="cs"/>
          <w:sz w:val="23"/>
          <w:szCs w:val="23"/>
          <w:rtl/>
        </w:rPr>
        <w:t xml:space="preserve">، </w:t>
      </w:r>
      <w:r w:rsidRPr="00563AE6">
        <w:rPr>
          <w:rFonts w:cs="mylotus"/>
          <w:sz w:val="23"/>
          <w:szCs w:val="23"/>
          <w:rtl/>
        </w:rPr>
        <w:t>ص 128-129</w:t>
      </w:r>
      <w:r w:rsidRPr="00563AE6">
        <w:rPr>
          <w:rFonts w:cs="mylotus" w:hint="cs"/>
          <w:sz w:val="23"/>
          <w:szCs w:val="23"/>
          <w:rtl/>
        </w:rPr>
        <w:t>.</w:t>
      </w:r>
    </w:p>
  </w:footnote>
  <w:footnote w:id="104">
    <w:p w:rsidR="00B31118" w:rsidRPr="00563AE6" w:rsidRDefault="00B31118" w:rsidP="009858B2">
      <w:pPr>
        <w:widowControl w:val="0"/>
        <w:spacing w:line="228" w:lineRule="auto"/>
        <w:ind w:left="378" w:hanging="378"/>
        <w:jc w:val="both"/>
        <w:rPr>
          <w:rFonts w:ascii="Simplified Arabic" w:hAnsi="Simplified Arabic" w:cs="mylotus"/>
          <w:sz w:val="23"/>
          <w:szCs w:val="23"/>
          <w:rtl/>
        </w:rPr>
      </w:pPr>
      <w:r w:rsidRPr="00563AE6">
        <w:rPr>
          <w:rFonts w:cs="mylotus"/>
          <w:sz w:val="23"/>
          <w:szCs w:val="23"/>
          <w:rtl/>
        </w:rPr>
        <w:footnoteRef/>
      </w:r>
      <w:r>
        <w:rPr>
          <w:rFonts w:cs="mylotus"/>
          <w:sz w:val="23"/>
          <w:szCs w:val="23"/>
          <w:rtl/>
        </w:rPr>
        <w:t>-</w:t>
      </w:r>
      <w:r w:rsidRPr="00563AE6">
        <w:rPr>
          <w:rFonts w:cs="mylotus" w:hint="cs"/>
          <w:sz w:val="23"/>
          <w:szCs w:val="23"/>
          <w:rtl/>
        </w:rPr>
        <w:t xml:space="preserve"> </w:t>
      </w:r>
      <w:r w:rsidRPr="00563AE6">
        <w:rPr>
          <w:rFonts w:ascii="Simplified Arabic" w:hAnsi="Simplified Arabic" w:cs="mylotus"/>
          <w:sz w:val="23"/>
          <w:szCs w:val="23"/>
          <w:rtl/>
        </w:rPr>
        <w:t>لابن شهرآشوب في كتابه «مناقب آل أبي طالب» رواية جميلة جد</w:t>
      </w:r>
      <w:r w:rsidRPr="00563AE6">
        <w:rPr>
          <w:rFonts w:ascii="Simplified Arabic" w:hAnsi="Simplified Arabic" w:cs="mylotus" w:hint="cs"/>
          <w:sz w:val="23"/>
          <w:szCs w:val="23"/>
          <w:rtl/>
        </w:rPr>
        <w:t>ًّ</w:t>
      </w:r>
      <w:r w:rsidRPr="00563AE6">
        <w:rPr>
          <w:rFonts w:ascii="Simplified Arabic" w:hAnsi="Simplified Arabic" w:cs="mylotus"/>
          <w:sz w:val="23"/>
          <w:szCs w:val="23"/>
          <w:rtl/>
        </w:rPr>
        <w:t>ا نقلها</w:t>
      </w:r>
      <w:r w:rsidRPr="00563AE6">
        <w:rPr>
          <w:rFonts w:ascii="Simplified Arabic" w:hAnsi="Simplified Arabic" w:cs="mylotus" w:hint="cs"/>
          <w:sz w:val="23"/>
          <w:szCs w:val="23"/>
          <w:rtl/>
        </w:rPr>
        <w:t xml:space="preserve"> عنه</w:t>
      </w:r>
      <w:r w:rsidRPr="00563AE6">
        <w:rPr>
          <w:rFonts w:ascii="Simplified Arabic" w:hAnsi="Simplified Arabic" w:cs="mylotus"/>
          <w:sz w:val="23"/>
          <w:szCs w:val="23"/>
          <w:rtl/>
        </w:rPr>
        <w:t xml:space="preserve"> أيضًا المجلسي في بحار الأنوار (طبع بيروت، ج ‏46، ص 81 - 82)، جاء فيها </w:t>
      </w:r>
      <w:r w:rsidRPr="00563AE6">
        <w:rPr>
          <w:rFonts w:ascii="Simplified Arabic" w:hAnsi="Simplified Arabic" w:cs="mylotus" w:hint="cs"/>
          <w:sz w:val="23"/>
          <w:szCs w:val="23"/>
          <w:rtl/>
        </w:rPr>
        <w:t>عن</w:t>
      </w:r>
      <w:r w:rsidRPr="00563AE6">
        <w:rPr>
          <w:rFonts w:ascii="Simplified Arabic" w:hAnsi="Simplified Arabic" w:cs="mylotus"/>
          <w:sz w:val="23"/>
          <w:szCs w:val="23"/>
          <w:rtl/>
        </w:rPr>
        <w:t xml:space="preserve"> طَاوُس الْفَقِيه</w:t>
      </w:r>
      <w:r w:rsidRPr="00563AE6">
        <w:rPr>
          <w:rFonts w:ascii="Simplified Arabic" w:hAnsi="Simplified Arabic" w:cs="mylotus" w:hint="cs"/>
          <w:sz w:val="23"/>
          <w:szCs w:val="23"/>
          <w:rtl/>
        </w:rPr>
        <w:t xml:space="preserve"> أنه رأى</w:t>
      </w:r>
      <w:r w:rsidRPr="00563AE6">
        <w:rPr>
          <w:rFonts w:ascii="Simplified Arabic" w:hAnsi="Simplified Arabic" w:cs="mylotus"/>
          <w:sz w:val="23"/>
          <w:szCs w:val="23"/>
          <w:rtl/>
        </w:rPr>
        <w:t xml:space="preserve"> عليّ بن  الحسين زَيْن العَابِدِينَ يَطُوفُ مِنَ الْعِشَاءِ إِلَى سَحَرٍ وَيَتَعَبَّدُ، قال [أي طاوس]: </w:t>
      </w:r>
      <w:r w:rsidRPr="00563AE6">
        <w:rPr>
          <w:rFonts w:ascii="Simplified Arabic" w:hAnsi="Simplified Arabic" w:cs="mylotus" w:hint="cs"/>
          <w:sz w:val="23"/>
          <w:szCs w:val="23"/>
          <w:rtl/>
        </w:rPr>
        <w:t xml:space="preserve">« </w:t>
      </w:r>
      <w:r w:rsidRPr="00563AE6">
        <w:rPr>
          <w:rFonts w:ascii="Simplified Arabic" w:hAnsi="Simplified Arabic" w:cs="mylotus"/>
          <w:sz w:val="23"/>
          <w:szCs w:val="23"/>
          <w:rtl/>
        </w:rPr>
        <w:t xml:space="preserve">فَلَمَّا لَمْ يَرَ أَحَداً رَمَقَ السَّمَاءَ بِطَرْفِهِ وَقَالَ: إِلَهِي غَارَتْ نُجُومُ سَمَاوَاتِكَ وَهَجَعَتْ عُيُونُ أَنَامِكَ وَأَبْوَابُكَ مُفَتَّحَاتٌ لِلسَّائِلِينَ، جِئْتُكَ لِتَغْفِرَ لِي وَتَرْحَمَنِي وَتُرِيَنِي وَجْهَ جَدِّي مُحَمَّدٍ </w:t>
      </w:r>
      <w:r w:rsidRPr="00563AE6">
        <w:rPr>
          <w:rFonts w:ascii="Simplified Arabic" w:hAnsi="Simplified Arabic" w:cs="mylotus" w:hint="cs"/>
          <w:sz w:val="23"/>
          <w:szCs w:val="23"/>
          <w:rtl/>
        </w:rPr>
        <w:t>(</w:t>
      </w:r>
      <w:r>
        <w:rPr>
          <w:rFonts w:ascii="Simplified Arabic" w:hAnsi="Simplified Arabic" w:cs="CTraditional Arabic" w:hint="cs"/>
          <w:sz w:val="23"/>
          <w:szCs w:val="23"/>
          <w:rtl/>
        </w:rPr>
        <w:t>ص</w:t>
      </w:r>
      <w:r w:rsidRPr="00563AE6">
        <w:rPr>
          <w:rFonts w:ascii="Simplified Arabic" w:hAnsi="Simplified Arabic" w:cs="mylotus" w:hint="cs"/>
          <w:sz w:val="23"/>
          <w:szCs w:val="23"/>
          <w:rtl/>
        </w:rPr>
        <w:t>)</w:t>
      </w:r>
      <w:r w:rsidRPr="00563AE6">
        <w:rPr>
          <w:rFonts w:ascii="Simplified Arabic" w:hAnsi="Simplified Arabic" w:cs="mylotus"/>
          <w:sz w:val="23"/>
          <w:szCs w:val="23"/>
          <w:rtl/>
        </w:rPr>
        <w:t xml:space="preserve"> فِي عَرَصَاتِ الْقِيَامَةِ، ثُمَّ بَكَى وَقَالَ: وَعِزَّتِكَ وَجَلَالِكَ مَا أَرَدْتُ بِمَعْصِيَتِي مُخَالَفَتَكَ، وَمَا عَصَيْتُكَ إِذْ عَصَيْتُكَ وَأَنَا بِكَ شَاكٌّ وَلَا بِنَكَالِكَ جَاهِلٌ وَلَا لِعُقُوبَتِكَ مُتَعَرِّضٌ، وَلَكِنْ‏ سَوَّلَتْ لِي نَفْسِي‏ وَأَعَانَنِي عَلَى ذَلِكَ سَتْرُكَ الْمُرْخَى بِهِ عَلَيَّ، فَالْآنَ مِنْ عَذَابِكَ مَنْ يَسْتَنْقِذُنِي؟ وَبِحَبْلِ مِنَ أَعْتَصِمُ إِنْ قَطَعْتَ حَبْلَكَ عَنِّي؟ فَوَاسَوْأَتَاهْ غَداً مِنَ الْوُقُوفِ بَيْنَ يَدَيْكَ إِذَا قِيلَ لِلْمُخِفِّينَ: جُوزُوا وَلِلْمُثْقِلِينَ حُطُّوا! أَمَعَ الْمُخِفِّينَ أَجُوزُ أَمْ مَعَ الْمُثْقِلِينَ أَحُطُّ؟ وَيْلِي كُلَّمَا طَالَ عُمُرِي كَثُرَتْ خَطَايَايَ وَلَمْ أَتُبْ أَمَا آنَ لِي أَنْ أَسْتَحِيَ مِنْ رَبِّي ثُمَّ بَكَى وَأَنْشَأَ يَقُولُ:</w:t>
      </w:r>
    </w:p>
    <w:tbl>
      <w:tblPr>
        <w:bidiVisual/>
        <w:tblW w:w="0" w:type="auto"/>
        <w:tblInd w:w="1129" w:type="dxa"/>
        <w:tblLook w:val="04A0" w:firstRow="1" w:lastRow="0" w:firstColumn="1" w:lastColumn="0" w:noHBand="0" w:noVBand="1"/>
      </w:tblPr>
      <w:tblGrid>
        <w:gridCol w:w="2795"/>
        <w:gridCol w:w="2733"/>
      </w:tblGrid>
      <w:tr w:rsidR="00B31118" w:rsidRPr="008607E3" w:rsidTr="008607E3">
        <w:tc>
          <w:tcPr>
            <w:tcW w:w="2795" w:type="dxa"/>
            <w:shd w:val="clear" w:color="auto" w:fill="auto"/>
          </w:tcPr>
          <w:p w:rsidR="00B31118" w:rsidRPr="008607E3" w:rsidRDefault="00B31118" w:rsidP="008607E3">
            <w:pPr>
              <w:widowControl w:val="0"/>
              <w:spacing w:line="228" w:lineRule="auto"/>
              <w:ind w:right="284"/>
              <w:jc w:val="lowKashida"/>
              <w:rPr>
                <w:rFonts w:ascii="Simplified Arabic" w:hAnsi="Simplified Arabic" w:cs="mylotus"/>
                <w:sz w:val="2"/>
                <w:szCs w:val="2"/>
                <w:rtl/>
              </w:rPr>
            </w:pPr>
            <w:r w:rsidRPr="008607E3">
              <w:rPr>
                <w:rFonts w:ascii="Simplified Arabic" w:hAnsi="Simplified Arabic" w:cs="mylotus"/>
                <w:sz w:val="23"/>
                <w:szCs w:val="23"/>
                <w:rtl/>
              </w:rPr>
              <w:t>أَتُحْرِقُنِي بِالنَّارِ يَا غَايَةَ الْ</w:t>
            </w:r>
            <w:r w:rsidRPr="008607E3">
              <w:rPr>
                <w:rFonts w:ascii="Simplified Arabic" w:hAnsi="Simplified Arabic" w:cs="mylotus" w:hint="cs"/>
                <w:sz w:val="23"/>
                <w:szCs w:val="23"/>
                <w:rtl/>
              </w:rPr>
              <w:t>ـ</w:t>
            </w:r>
            <w:r w:rsidRPr="008607E3">
              <w:rPr>
                <w:rFonts w:ascii="Simplified Arabic" w:hAnsi="Simplified Arabic" w:cs="mylotus"/>
                <w:sz w:val="23"/>
                <w:szCs w:val="23"/>
                <w:rtl/>
              </w:rPr>
              <w:t>مُنَى</w:t>
            </w:r>
            <w:r w:rsidRPr="008607E3">
              <w:rPr>
                <w:rFonts w:ascii="Simplified Arabic" w:hAnsi="Simplified Arabic" w:cs="mylotus" w:hint="cs"/>
                <w:sz w:val="23"/>
                <w:szCs w:val="23"/>
                <w:rtl/>
              </w:rPr>
              <w:br/>
            </w:r>
            <w:r w:rsidRPr="008607E3">
              <w:rPr>
                <w:rFonts w:ascii="Simplified Arabic" w:hAnsi="Simplified Arabic" w:cs="mylotus"/>
                <w:sz w:val="23"/>
                <w:szCs w:val="23"/>
                <w:rtl/>
              </w:rPr>
              <w:t>أَتَيْتُ بِأَعْمَالٍ قِبَاحٍ زَرِيَّةٍ</w:t>
            </w:r>
            <w:r w:rsidRPr="008607E3">
              <w:rPr>
                <w:rFonts w:ascii="Simplified Arabic" w:hAnsi="Simplified Arabic" w:cs="mylotus" w:hint="cs"/>
                <w:sz w:val="23"/>
                <w:szCs w:val="23"/>
                <w:rtl/>
              </w:rPr>
              <w:br/>
            </w:r>
          </w:p>
        </w:tc>
        <w:tc>
          <w:tcPr>
            <w:tcW w:w="2733" w:type="dxa"/>
            <w:shd w:val="clear" w:color="auto" w:fill="auto"/>
          </w:tcPr>
          <w:p w:rsidR="00B31118" w:rsidRPr="008607E3" w:rsidRDefault="00B31118" w:rsidP="008607E3">
            <w:pPr>
              <w:widowControl w:val="0"/>
              <w:spacing w:line="228" w:lineRule="auto"/>
              <w:ind w:left="284"/>
              <w:jc w:val="lowKashida"/>
              <w:rPr>
                <w:rFonts w:ascii="Simplified Arabic" w:hAnsi="Simplified Arabic" w:cs="mylotus"/>
                <w:sz w:val="2"/>
                <w:szCs w:val="2"/>
              </w:rPr>
            </w:pPr>
            <w:r w:rsidRPr="008607E3">
              <w:rPr>
                <w:rFonts w:ascii="Simplified Arabic" w:hAnsi="Simplified Arabic" w:cs="mylotus"/>
                <w:sz w:val="23"/>
                <w:szCs w:val="23"/>
                <w:rtl/>
              </w:rPr>
              <w:t>فَأَيْنَ رَجَائِي ثُمَّ أَيْنَ مَحَبَّتِي‏</w:t>
            </w:r>
            <w:r w:rsidRPr="008607E3">
              <w:rPr>
                <w:rFonts w:ascii="Simplified Arabic" w:hAnsi="Simplified Arabic" w:cs="mylotus" w:hint="cs"/>
                <w:sz w:val="23"/>
                <w:szCs w:val="23"/>
                <w:rtl/>
              </w:rPr>
              <w:br/>
            </w:r>
            <w:r w:rsidRPr="008607E3">
              <w:rPr>
                <w:rFonts w:ascii="Simplified Arabic" w:hAnsi="Simplified Arabic" w:cs="mylotus"/>
                <w:sz w:val="23"/>
                <w:szCs w:val="23"/>
                <w:rtl/>
              </w:rPr>
              <w:t>وَمَا فِي الْوَرَى خَلْقٌ جَنَى كَجِنَايَتِي</w:t>
            </w:r>
            <w:r w:rsidRPr="008607E3">
              <w:rPr>
                <w:rFonts w:ascii="Simplified Arabic" w:hAnsi="Simplified Arabic" w:cs="mylotus" w:hint="cs"/>
                <w:sz w:val="23"/>
                <w:szCs w:val="23"/>
                <w:rtl/>
              </w:rPr>
              <w:br/>
            </w:r>
          </w:p>
        </w:tc>
      </w:tr>
    </w:tbl>
    <w:p w:rsidR="00B31118" w:rsidRPr="00563AE6" w:rsidRDefault="00B31118" w:rsidP="00B300C9">
      <w:pPr>
        <w:widowControl w:val="0"/>
        <w:spacing w:line="228" w:lineRule="auto"/>
        <w:ind w:left="378"/>
        <w:jc w:val="both"/>
        <w:rPr>
          <w:rFonts w:ascii="Simplified Arabic" w:hAnsi="Simplified Arabic" w:cs="mylotus"/>
          <w:sz w:val="23"/>
          <w:szCs w:val="23"/>
          <w:rtl/>
        </w:rPr>
      </w:pPr>
      <w:r w:rsidRPr="00563AE6">
        <w:rPr>
          <w:rFonts w:ascii="Simplified Arabic" w:hAnsi="Simplified Arabic" w:cs="mylotus"/>
          <w:sz w:val="23"/>
          <w:szCs w:val="23"/>
          <w:rtl/>
        </w:rPr>
        <w:t>ثُمَّ بَكَى وَقَالَ: سُبْحَانَكَ تُعْصَى كَأَنَّكَ لَا تَرَى، وَتَحْلُمُ كَأَنَّكَ لَمْ تُعْصَ، تَتَوَدَّدُ إِلَى خَلْقِكَ بِحُسْنِ الصَّنِيعِ كَأَنَّ بِكَ الْحَاجَةَ إِلَيْهِمْ وَأَنْتَ يَا سَيِّدِي الْغَنِيُّ عَنْهُمْ. ثُمَّ خَرَّ إِلَى الْأَرْضِ سَاجِداً.</w:t>
      </w:r>
    </w:p>
    <w:p w:rsidR="00B31118" w:rsidRPr="00563AE6" w:rsidRDefault="00B31118" w:rsidP="000913E5">
      <w:pPr>
        <w:widowControl w:val="0"/>
        <w:spacing w:line="228" w:lineRule="auto"/>
        <w:ind w:left="378"/>
        <w:jc w:val="both"/>
        <w:rPr>
          <w:rFonts w:ascii="Simplified Arabic" w:hAnsi="Simplified Arabic" w:cs="mylotus"/>
          <w:sz w:val="23"/>
          <w:szCs w:val="23"/>
          <w:rtl/>
        </w:rPr>
      </w:pPr>
      <w:r w:rsidRPr="00563AE6">
        <w:rPr>
          <w:rFonts w:ascii="Simplified Arabic" w:hAnsi="Simplified Arabic" w:cs="mylotus"/>
          <w:sz w:val="23"/>
          <w:szCs w:val="23"/>
          <w:rtl/>
        </w:rPr>
        <w:t>قَالَ [أي طاوس]: فَدَنَوْتُ مِنْهُ وَشُلْتُ بِرَأْسِهِ وَوَضَعْتُهُ عَلَى رُكْبَتِي وَبَكَيْتُ حَتَّى جَرَتْ دُمُوعِي عَلَى خَدِّهِ فَاسْتَوَى جَالِساً</w:t>
      </w:r>
      <w:r w:rsidRPr="00563AE6">
        <w:rPr>
          <w:rFonts w:ascii="Simplified Arabic" w:hAnsi="Simplified Arabic" w:cs="mylotus" w:hint="cs"/>
          <w:sz w:val="23"/>
          <w:szCs w:val="23"/>
          <w:rtl/>
        </w:rPr>
        <w:t>،</w:t>
      </w:r>
      <w:r w:rsidRPr="00563AE6">
        <w:rPr>
          <w:rFonts w:ascii="Simplified Arabic" w:hAnsi="Simplified Arabic" w:cs="mylotus"/>
          <w:sz w:val="23"/>
          <w:szCs w:val="23"/>
          <w:rtl/>
        </w:rPr>
        <w:t xml:space="preserve"> وَقَالَ: مَنِ الَّذِي أَشْغَلَنِي عَنِ ذِكْرِ رَبِّي؟ فَقُلْتُ: أَنَا طَاوُسٌ يَا ابْنَ رَسُولِ اللهِ! مَا هَذَا الْجَزَعُ وَالْفَزَعُ وَنَحْنُ يَلْزَمُنَا أَنْ نَفْعَلَ مِثْلَ هَذَا وَنَحْنُ عَاصُونَ جَانُونَ؟! أَبُوكَ الْحُسَيْنُ بْنُ عَلِيٍّ وَأُمُّكَ فَاطِمَةُ الزَّهْرَاءُ وَجَدُّكَ رَسُولُ اللهِ </w:t>
      </w:r>
      <w:r w:rsidRPr="00563AE6">
        <w:rPr>
          <w:rFonts w:ascii="Simplified Arabic" w:hAnsi="Simplified Arabic" w:cs="CTraditional Arabic" w:hint="cs"/>
          <w:sz w:val="23"/>
          <w:szCs w:val="23"/>
          <w:rtl/>
        </w:rPr>
        <w:t>ص</w:t>
      </w:r>
      <w:r w:rsidRPr="00563AE6">
        <w:rPr>
          <w:rFonts w:ascii="Simplified Arabic" w:hAnsi="Simplified Arabic" w:cs="mylotus"/>
          <w:sz w:val="23"/>
          <w:szCs w:val="23"/>
          <w:rtl/>
        </w:rPr>
        <w:t>؟!</w:t>
      </w:r>
    </w:p>
    <w:p w:rsidR="00B31118" w:rsidRPr="00563AE6" w:rsidRDefault="00B31118" w:rsidP="00B300C9">
      <w:pPr>
        <w:widowControl w:val="0"/>
        <w:spacing w:line="228" w:lineRule="auto"/>
        <w:ind w:left="378"/>
        <w:jc w:val="both"/>
        <w:rPr>
          <w:rFonts w:ascii="Simplified Arabic" w:hAnsi="Simplified Arabic" w:cs="mylotus" w:hint="cs"/>
          <w:sz w:val="23"/>
          <w:szCs w:val="23"/>
          <w:rtl/>
        </w:rPr>
      </w:pPr>
      <w:r w:rsidRPr="00563AE6">
        <w:rPr>
          <w:rFonts w:ascii="Simplified Arabic" w:hAnsi="Simplified Arabic" w:cs="mylotus"/>
          <w:sz w:val="23"/>
          <w:szCs w:val="23"/>
          <w:rtl/>
        </w:rPr>
        <w:t>قَالَ: فَالْتَفَتَ إِلَيَّ وَقَالَ: هَيْهَاتَ هَيْهَاتَ يَا طَاوُسُ! دَعْ عَنِّي حَدِيثَ أَبِي وَأُمِّي وَجَدِّي. خَلَقَ اللهُ الْجَنَّةَ لِمَنْ أَطَاعَهُ وَأَحْسَنَ وَلَوْ كَانَ عَبْداً حَبَشِيّاً، وَخَلَقَ النَّارَ لِمَنْ عَصَاهُ وَلَوْ كَانَ وَلَداً قُرَشِيّاً. أَمَا سَمِعْتَ قَوْلَهُ تَعَالَى‏: ﴿فَإِذا نُفِخَ‏ فِي‏ الصُّورِ فَلا أَنْسابَ‏ بَيْنَهُمْ‏ يَوْمَئِذٍ وَلا يَتَساءَلُونَ‏﴾ [المؤمنون: 101] وَاللهِ لَا يَنْفَعُكَ غَداً إِلَّا تَقْدِمَةٌ تُقَدِّمُهَا مِنْ عَمَلٍ صَالِحٍ‏</w:t>
      </w:r>
      <w:r w:rsidRPr="00563AE6">
        <w:rPr>
          <w:rFonts w:ascii="Simplified Arabic" w:hAnsi="Simplified Arabic" w:cs="mylotus" w:hint="cs"/>
          <w:sz w:val="23"/>
          <w:szCs w:val="23"/>
          <w:rtl/>
        </w:rPr>
        <w:t>».</w:t>
      </w:r>
    </w:p>
  </w:footnote>
  <w:footnote w:id="105">
    <w:p w:rsidR="00B31118" w:rsidRPr="00563AE6" w:rsidRDefault="00B31118" w:rsidP="005B684B">
      <w:pPr>
        <w:widowControl w:val="0"/>
        <w:spacing w:line="228" w:lineRule="auto"/>
        <w:ind w:left="378" w:hanging="378"/>
        <w:jc w:val="both"/>
        <w:rPr>
          <w:rFonts w:cs="mylotus" w:hint="cs"/>
          <w:sz w:val="23"/>
          <w:szCs w:val="23"/>
        </w:rPr>
      </w:pPr>
      <w:r w:rsidRPr="00563AE6">
        <w:rPr>
          <w:rFonts w:cs="mylotus"/>
          <w:sz w:val="23"/>
          <w:szCs w:val="23"/>
          <w:rtl/>
        </w:rPr>
        <w:footnoteRef/>
      </w:r>
      <w:r>
        <w:rPr>
          <w:rFonts w:cs="mylotus"/>
          <w:sz w:val="23"/>
          <w:szCs w:val="23"/>
          <w:rtl/>
        </w:rPr>
        <w:t>-</w:t>
      </w:r>
      <w:r w:rsidRPr="00563AE6">
        <w:rPr>
          <w:rFonts w:cs="mylotus"/>
          <w:sz w:val="23"/>
          <w:szCs w:val="23"/>
          <w:rtl/>
        </w:rPr>
        <w:t xml:space="preserve"> </w:t>
      </w:r>
      <w:r w:rsidRPr="00563AE6">
        <w:rPr>
          <w:rFonts w:cs="mylotus" w:hint="cs"/>
          <w:sz w:val="23"/>
          <w:szCs w:val="23"/>
          <w:rtl/>
        </w:rPr>
        <w:t xml:space="preserve">الشيخ الصدق، من لا يحضره الفقيه، </w:t>
      </w:r>
      <w:r w:rsidRPr="00563AE6">
        <w:rPr>
          <w:rFonts w:cs="mylotus"/>
          <w:sz w:val="23"/>
          <w:szCs w:val="23"/>
          <w:rtl/>
        </w:rPr>
        <w:t>ج 4</w:t>
      </w:r>
      <w:r w:rsidRPr="00563AE6">
        <w:rPr>
          <w:rFonts w:cs="mylotus" w:hint="cs"/>
          <w:sz w:val="23"/>
          <w:szCs w:val="23"/>
          <w:rtl/>
        </w:rPr>
        <w:t xml:space="preserve">، </w:t>
      </w:r>
      <w:r w:rsidRPr="00563AE6">
        <w:rPr>
          <w:rFonts w:cs="mylotus"/>
          <w:sz w:val="23"/>
          <w:szCs w:val="23"/>
          <w:rtl/>
        </w:rPr>
        <w:t>ص 363</w:t>
      </w:r>
      <w:r w:rsidRPr="00563AE6">
        <w:rPr>
          <w:rFonts w:cs="mylotus" w:hint="cs"/>
          <w:sz w:val="23"/>
          <w:szCs w:val="23"/>
          <w:rtl/>
        </w:rPr>
        <w:t>. [ المترجم: وهذا الحديث مروي من طرق عديدة في مصادر أهل السنة فمثلاً رواه ابن هشام في السيرة النبوية (2، 411) والواقدي في المغازي (2، 836) ضمن خطبة النبي (</w:t>
      </w:r>
      <w:r>
        <w:rPr>
          <w:rFonts w:cs="CTraditional Arabic" w:hint="cs"/>
          <w:sz w:val="23"/>
          <w:szCs w:val="23"/>
          <w:rtl/>
        </w:rPr>
        <w:t>ص</w:t>
      </w:r>
      <w:r w:rsidRPr="00563AE6">
        <w:rPr>
          <w:rFonts w:cs="mylotus" w:hint="cs"/>
          <w:sz w:val="23"/>
          <w:szCs w:val="23"/>
          <w:rtl/>
        </w:rPr>
        <w:t>) في قريش يوم فتح مكة ولفظ الواقدي: «</w:t>
      </w:r>
      <w:r w:rsidRPr="00563AE6">
        <w:rPr>
          <w:rFonts w:cs="mylotus"/>
          <w:sz w:val="23"/>
          <w:szCs w:val="23"/>
          <w:rtl/>
        </w:rPr>
        <w:t xml:space="preserve">إنّ </w:t>
      </w:r>
      <w:r w:rsidRPr="00563AE6">
        <w:rPr>
          <w:rFonts w:cs="mylotus" w:hint="cs"/>
          <w:sz w:val="23"/>
          <w:szCs w:val="23"/>
          <w:rtl/>
        </w:rPr>
        <w:t>اللهَ</w:t>
      </w:r>
      <w:r w:rsidRPr="00563AE6">
        <w:rPr>
          <w:rFonts w:cs="mylotus"/>
          <w:sz w:val="23"/>
          <w:szCs w:val="23"/>
          <w:rtl/>
        </w:rPr>
        <w:t xml:space="preserve"> قَدْ أَذْهَبَ نَخْوَةَ الْجَاهِلِيّةِ وَتَكَبّرَهَا بِآبَائِهَا، كُلّكُمْ مِنْ آدَمَ وَآدَمُ مِنْ تُرَابٍ وَأَكْرَمُكُمْ عِنْدَ </w:t>
      </w:r>
      <w:r w:rsidRPr="00563AE6">
        <w:rPr>
          <w:rFonts w:cs="mylotus" w:hint="cs"/>
          <w:sz w:val="23"/>
          <w:szCs w:val="23"/>
          <w:rtl/>
        </w:rPr>
        <w:t>اللهِ</w:t>
      </w:r>
      <w:r w:rsidRPr="00563AE6">
        <w:rPr>
          <w:rFonts w:cs="mylotus"/>
          <w:sz w:val="23"/>
          <w:szCs w:val="23"/>
          <w:rtl/>
        </w:rPr>
        <w:t xml:space="preserve"> أَتْقَاكُمْ.</w:t>
      </w:r>
      <w:r w:rsidRPr="00563AE6">
        <w:rPr>
          <w:rFonts w:cs="mylotus" w:hint="cs"/>
          <w:sz w:val="23"/>
          <w:szCs w:val="23"/>
          <w:rtl/>
        </w:rPr>
        <w:t>». وروى نحوه الترمذي في سننه (3270) وأحمد في مسنده (2، 361).].</w:t>
      </w:r>
    </w:p>
  </w:footnote>
  <w:footnote w:id="106">
    <w:p w:rsidR="00B31118" w:rsidRPr="00563AE6" w:rsidRDefault="00B31118" w:rsidP="00B300C9">
      <w:pPr>
        <w:widowControl w:val="0"/>
        <w:spacing w:line="228" w:lineRule="auto"/>
        <w:ind w:left="378" w:hanging="378"/>
        <w:jc w:val="both"/>
        <w:rPr>
          <w:rFonts w:cs="mylotus" w:hint="cs"/>
          <w:sz w:val="23"/>
          <w:szCs w:val="23"/>
          <w:rtl/>
        </w:rPr>
      </w:pPr>
      <w:r w:rsidRPr="00563AE6">
        <w:rPr>
          <w:rFonts w:cs="mylotus"/>
          <w:sz w:val="23"/>
          <w:szCs w:val="23"/>
          <w:rtl/>
        </w:rPr>
        <w:footnoteRef/>
      </w:r>
      <w:r>
        <w:rPr>
          <w:rFonts w:cs="mylotus"/>
          <w:sz w:val="23"/>
          <w:szCs w:val="23"/>
          <w:rtl/>
        </w:rPr>
        <w:t>-</w:t>
      </w:r>
      <w:r w:rsidRPr="00563AE6">
        <w:rPr>
          <w:rFonts w:cs="mylotus" w:hint="cs"/>
          <w:sz w:val="23"/>
          <w:szCs w:val="23"/>
          <w:rtl/>
        </w:rPr>
        <w:t xml:space="preserve"> ابن سعد، الطبقات الكبرى، ج1، ص25.</w:t>
      </w:r>
    </w:p>
  </w:footnote>
  <w:footnote w:id="107">
    <w:p w:rsidR="00B31118" w:rsidRPr="00563AE6" w:rsidRDefault="00B31118" w:rsidP="00B300C9">
      <w:pPr>
        <w:spacing w:line="228" w:lineRule="auto"/>
        <w:ind w:left="378" w:hanging="378"/>
        <w:jc w:val="both"/>
        <w:rPr>
          <w:rFonts w:cs="mylotus" w:hint="cs"/>
          <w:sz w:val="23"/>
          <w:szCs w:val="23"/>
          <w:rtl/>
        </w:rPr>
      </w:pPr>
      <w:r w:rsidRPr="00563AE6">
        <w:rPr>
          <w:rFonts w:cs="mylotus"/>
          <w:sz w:val="23"/>
          <w:szCs w:val="23"/>
          <w:rtl/>
        </w:rPr>
        <w:footnoteRef/>
      </w:r>
      <w:r>
        <w:rPr>
          <w:rFonts w:cs="mylotus"/>
          <w:sz w:val="23"/>
          <w:szCs w:val="23"/>
          <w:rtl/>
        </w:rPr>
        <w:t>-</w:t>
      </w:r>
      <w:r w:rsidRPr="00563AE6">
        <w:rPr>
          <w:rFonts w:cs="mylotus" w:hint="cs"/>
          <w:sz w:val="23"/>
          <w:szCs w:val="23"/>
          <w:rtl/>
        </w:rPr>
        <w:t xml:space="preserve"> ال</w:t>
      </w:r>
      <w:r w:rsidRPr="00563AE6">
        <w:rPr>
          <w:rFonts w:cs="mylotus"/>
          <w:sz w:val="23"/>
          <w:szCs w:val="23"/>
          <w:rtl/>
        </w:rPr>
        <w:t>عُبِّـيَّـ</w:t>
      </w:r>
      <w:r w:rsidRPr="00563AE6">
        <w:rPr>
          <w:rFonts w:cs="mylotus" w:hint="cs"/>
          <w:sz w:val="23"/>
          <w:szCs w:val="23"/>
          <w:rtl/>
        </w:rPr>
        <w:t>ةُ</w:t>
      </w:r>
      <w:r w:rsidRPr="00563AE6">
        <w:rPr>
          <w:rFonts w:cs="mylotus"/>
          <w:sz w:val="23"/>
          <w:szCs w:val="23"/>
          <w:rtl/>
        </w:rPr>
        <w:t xml:space="preserve"> والعِبِّ</w:t>
      </w:r>
      <w:r w:rsidRPr="00563AE6">
        <w:rPr>
          <w:rFonts w:cs="mylotus" w:hint="cs"/>
          <w:sz w:val="23"/>
          <w:szCs w:val="23"/>
          <w:rtl/>
        </w:rPr>
        <w:t>ـ</w:t>
      </w:r>
      <w:r w:rsidRPr="00563AE6">
        <w:rPr>
          <w:rFonts w:cs="mylotus"/>
          <w:sz w:val="23"/>
          <w:szCs w:val="23"/>
          <w:rtl/>
        </w:rPr>
        <w:t>يَّةُ</w:t>
      </w:r>
      <w:r w:rsidRPr="00563AE6">
        <w:rPr>
          <w:rFonts w:cs="mylotus" w:hint="cs"/>
          <w:sz w:val="23"/>
          <w:szCs w:val="23"/>
          <w:rtl/>
        </w:rPr>
        <w:t xml:space="preserve">: </w:t>
      </w:r>
      <w:r w:rsidRPr="00563AE6">
        <w:rPr>
          <w:rFonts w:cs="mylotus"/>
          <w:sz w:val="23"/>
          <w:szCs w:val="23"/>
          <w:rtl/>
        </w:rPr>
        <w:t xml:space="preserve">الكِبْرُ والفَخْرُ. </w:t>
      </w:r>
      <w:r w:rsidRPr="00563AE6">
        <w:rPr>
          <w:rFonts w:cs="mylotus" w:hint="cs"/>
          <w:sz w:val="23"/>
          <w:szCs w:val="23"/>
          <w:rtl/>
        </w:rPr>
        <w:t>(مجمع البحرين للطريحي: 1، 574). (المُتَرْجِمُ)</w:t>
      </w:r>
      <w:r w:rsidRPr="00563AE6">
        <w:rPr>
          <w:rFonts w:cs="mylotus"/>
          <w:sz w:val="23"/>
          <w:szCs w:val="23"/>
          <w:rtl/>
        </w:rPr>
        <w:t xml:space="preserve"> </w:t>
      </w:r>
    </w:p>
  </w:footnote>
  <w:footnote w:id="108">
    <w:p w:rsidR="00B31118" w:rsidRPr="00563AE6" w:rsidRDefault="00B31118" w:rsidP="00B300C9">
      <w:pPr>
        <w:spacing w:line="228" w:lineRule="auto"/>
        <w:ind w:left="378" w:hanging="378"/>
        <w:jc w:val="both"/>
        <w:rPr>
          <w:rFonts w:cs="mylotus" w:hint="cs"/>
          <w:sz w:val="23"/>
          <w:szCs w:val="23"/>
          <w:rtl/>
        </w:rPr>
      </w:pPr>
      <w:r w:rsidRPr="00563AE6">
        <w:rPr>
          <w:rFonts w:cs="mylotus"/>
          <w:sz w:val="23"/>
          <w:szCs w:val="23"/>
          <w:rtl/>
        </w:rPr>
        <w:footnoteRef/>
      </w:r>
      <w:r>
        <w:rPr>
          <w:rFonts w:cs="mylotus"/>
          <w:sz w:val="23"/>
          <w:szCs w:val="23"/>
          <w:rtl/>
        </w:rPr>
        <w:t>-</w:t>
      </w:r>
      <w:r w:rsidRPr="00563AE6">
        <w:rPr>
          <w:rFonts w:cs="mylotus" w:hint="cs"/>
          <w:sz w:val="23"/>
          <w:szCs w:val="23"/>
          <w:rtl/>
        </w:rPr>
        <w:t xml:space="preserve"> رجال الكشي، ص9؛ الأمالي للشيخ الطوسي، ص 146 - 147. [المترجم: والحديث رواه أيضًا الكليني في الكافي: </w:t>
      </w:r>
      <w:r w:rsidRPr="00563AE6">
        <w:rPr>
          <w:rFonts w:cs="mylotus"/>
          <w:sz w:val="23"/>
          <w:szCs w:val="23"/>
          <w:rtl/>
        </w:rPr>
        <w:t>ج 8</w:t>
      </w:r>
      <w:r w:rsidRPr="00563AE6">
        <w:rPr>
          <w:rFonts w:cs="mylotus" w:hint="cs"/>
          <w:sz w:val="23"/>
          <w:szCs w:val="23"/>
          <w:rtl/>
        </w:rPr>
        <w:t xml:space="preserve">، </w:t>
      </w:r>
      <w:r w:rsidRPr="00563AE6">
        <w:rPr>
          <w:rFonts w:cs="mylotus"/>
          <w:sz w:val="23"/>
          <w:szCs w:val="23"/>
          <w:rtl/>
        </w:rPr>
        <w:t>ص 181</w:t>
      </w:r>
      <w:r w:rsidRPr="00563AE6">
        <w:rPr>
          <w:rFonts w:cs="mylotus" w:hint="cs"/>
          <w:sz w:val="23"/>
          <w:szCs w:val="23"/>
          <w:rtl/>
        </w:rPr>
        <w:t>-182].</w:t>
      </w:r>
    </w:p>
  </w:footnote>
  <w:footnote w:id="109">
    <w:p w:rsidR="00B31118" w:rsidRPr="00502770" w:rsidRDefault="00B31118" w:rsidP="00B300C9">
      <w:pPr>
        <w:spacing w:line="228" w:lineRule="auto"/>
        <w:ind w:left="378" w:hanging="378"/>
        <w:jc w:val="both"/>
        <w:rPr>
          <w:rFonts w:cs="mylotus" w:hint="cs"/>
          <w:spacing w:val="-4"/>
          <w:sz w:val="23"/>
          <w:szCs w:val="23"/>
        </w:rPr>
      </w:pPr>
      <w:r w:rsidRPr="00502770">
        <w:rPr>
          <w:rFonts w:cs="mylotus"/>
          <w:spacing w:val="-4"/>
          <w:sz w:val="23"/>
          <w:szCs w:val="23"/>
          <w:rtl/>
        </w:rPr>
        <w:footnoteRef/>
      </w:r>
      <w:r w:rsidRPr="00502770">
        <w:rPr>
          <w:rFonts w:cs="mylotus"/>
          <w:spacing w:val="-4"/>
          <w:sz w:val="23"/>
          <w:szCs w:val="23"/>
          <w:rtl/>
        </w:rPr>
        <w:t>-</w:t>
      </w:r>
      <w:r w:rsidRPr="00502770">
        <w:rPr>
          <w:rFonts w:cs="mylotus" w:hint="cs"/>
          <w:spacing w:val="-4"/>
          <w:sz w:val="23"/>
          <w:szCs w:val="23"/>
          <w:rtl/>
        </w:rPr>
        <w:t xml:space="preserve"> الشيخ الصدوق، صفات الشيعة، ص 16،</w:t>
      </w:r>
      <w:r w:rsidRPr="00502770">
        <w:rPr>
          <w:rFonts w:cs="mylotus"/>
          <w:spacing w:val="-4"/>
          <w:sz w:val="23"/>
          <w:szCs w:val="23"/>
          <w:rtl/>
        </w:rPr>
        <w:t xml:space="preserve"> </w:t>
      </w:r>
      <w:r w:rsidRPr="00502770">
        <w:rPr>
          <w:rFonts w:cs="mylotus" w:hint="cs"/>
          <w:spacing w:val="-4"/>
          <w:sz w:val="23"/>
          <w:szCs w:val="23"/>
          <w:rtl/>
        </w:rPr>
        <w:t xml:space="preserve">[المترجم: والحديث رواه أيضًا الكليني في الكافي: </w:t>
      </w:r>
      <w:r w:rsidRPr="00502770">
        <w:rPr>
          <w:rFonts w:cs="mylotus"/>
          <w:spacing w:val="-4"/>
          <w:sz w:val="23"/>
          <w:szCs w:val="23"/>
          <w:rtl/>
        </w:rPr>
        <w:t>ج 8، ص 18</w:t>
      </w:r>
      <w:r w:rsidRPr="00502770">
        <w:rPr>
          <w:rFonts w:cs="mylotus" w:hint="cs"/>
          <w:spacing w:val="-4"/>
          <w:sz w:val="23"/>
          <w:szCs w:val="23"/>
          <w:rtl/>
        </w:rPr>
        <w:t>2]</w:t>
      </w:r>
      <w:r w:rsidRPr="00502770">
        <w:rPr>
          <w:rFonts w:cs="mylotus"/>
          <w:spacing w:val="-4"/>
          <w:sz w:val="23"/>
          <w:szCs w:val="23"/>
          <w:rtl/>
        </w:rPr>
        <w:t>.</w:t>
      </w:r>
    </w:p>
  </w:footnote>
  <w:footnote w:id="110">
    <w:p w:rsidR="00B31118" w:rsidRPr="00563AE6" w:rsidRDefault="00B31118" w:rsidP="00B300C9">
      <w:pPr>
        <w:spacing w:line="228" w:lineRule="auto"/>
        <w:ind w:left="378" w:hanging="378"/>
        <w:jc w:val="both"/>
        <w:rPr>
          <w:rFonts w:cs="mylotus" w:hint="cs"/>
          <w:sz w:val="23"/>
          <w:szCs w:val="23"/>
          <w:rtl/>
        </w:rPr>
      </w:pPr>
      <w:r w:rsidRPr="00563AE6">
        <w:rPr>
          <w:rFonts w:cs="mylotus"/>
          <w:sz w:val="23"/>
          <w:szCs w:val="23"/>
          <w:rtl/>
        </w:rPr>
        <w:footnoteRef/>
      </w:r>
      <w:r>
        <w:rPr>
          <w:rFonts w:cs="mylotus"/>
          <w:sz w:val="23"/>
          <w:szCs w:val="23"/>
          <w:rtl/>
        </w:rPr>
        <w:t>-</w:t>
      </w:r>
      <w:r w:rsidRPr="00563AE6">
        <w:rPr>
          <w:rFonts w:cs="mylotus" w:hint="cs"/>
          <w:sz w:val="23"/>
          <w:szCs w:val="23"/>
          <w:rtl/>
        </w:rPr>
        <w:t xml:space="preserve"> ابن شهرآشوب، مناقب آل أبي طالب، ج 4، ص 361؛ المجلسي، </w:t>
      </w:r>
      <w:r w:rsidRPr="00563AE6">
        <w:rPr>
          <w:rFonts w:cs="mylotus"/>
          <w:sz w:val="23"/>
          <w:szCs w:val="23"/>
          <w:rtl/>
        </w:rPr>
        <w:t>بحار</w:t>
      </w:r>
      <w:r w:rsidRPr="00563AE6">
        <w:rPr>
          <w:rFonts w:cs="mylotus" w:hint="cs"/>
          <w:sz w:val="23"/>
          <w:szCs w:val="23"/>
          <w:rtl/>
        </w:rPr>
        <w:t xml:space="preserve"> </w:t>
      </w:r>
      <w:r w:rsidRPr="00563AE6">
        <w:rPr>
          <w:rFonts w:cs="mylotus"/>
          <w:sz w:val="23"/>
          <w:szCs w:val="23"/>
          <w:rtl/>
        </w:rPr>
        <w:t>الأنوار</w:t>
      </w:r>
      <w:r w:rsidRPr="00563AE6">
        <w:rPr>
          <w:rFonts w:cs="mylotus" w:hint="cs"/>
          <w:sz w:val="23"/>
          <w:szCs w:val="23"/>
          <w:rtl/>
        </w:rPr>
        <w:t>،</w:t>
      </w:r>
      <w:r w:rsidRPr="00563AE6">
        <w:rPr>
          <w:rFonts w:cs="mylotus"/>
          <w:sz w:val="23"/>
          <w:szCs w:val="23"/>
          <w:rtl/>
        </w:rPr>
        <w:t xml:space="preserve"> ج 49</w:t>
      </w:r>
      <w:r w:rsidRPr="00563AE6">
        <w:rPr>
          <w:rFonts w:cs="mylotus" w:hint="cs"/>
          <w:sz w:val="23"/>
          <w:szCs w:val="23"/>
          <w:rtl/>
        </w:rPr>
        <w:t xml:space="preserve">، </w:t>
      </w:r>
      <w:r w:rsidRPr="00563AE6">
        <w:rPr>
          <w:rFonts w:cs="mylotus"/>
          <w:sz w:val="23"/>
          <w:szCs w:val="23"/>
          <w:rtl/>
        </w:rPr>
        <w:t>ص 221</w:t>
      </w:r>
      <w:r w:rsidRPr="00563AE6">
        <w:rPr>
          <w:rFonts w:cs="mylotus" w:hint="cs"/>
          <w:sz w:val="23"/>
          <w:szCs w:val="23"/>
          <w:rtl/>
        </w:rPr>
        <w:t>.</w:t>
      </w:r>
    </w:p>
  </w:footnote>
  <w:footnote w:id="111">
    <w:p w:rsidR="00B31118" w:rsidRPr="00502770" w:rsidRDefault="00B31118" w:rsidP="005B684B">
      <w:pPr>
        <w:widowControl w:val="0"/>
        <w:spacing w:line="216" w:lineRule="auto"/>
        <w:ind w:left="380" w:hanging="380"/>
        <w:jc w:val="both"/>
        <w:rPr>
          <w:rFonts w:cs="mylotus" w:hint="cs"/>
          <w:spacing w:val="-4"/>
          <w:sz w:val="23"/>
          <w:szCs w:val="23"/>
        </w:rPr>
      </w:pPr>
      <w:r w:rsidRPr="00502770">
        <w:rPr>
          <w:rFonts w:cs="mylotus"/>
          <w:spacing w:val="-4"/>
          <w:sz w:val="23"/>
          <w:szCs w:val="23"/>
          <w:rtl/>
        </w:rPr>
        <w:footnoteRef/>
      </w:r>
      <w:r w:rsidRPr="00502770">
        <w:rPr>
          <w:rFonts w:cs="mylotus"/>
          <w:spacing w:val="-4"/>
          <w:sz w:val="23"/>
          <w:szCs w:val="23"/>
          <w:rtl/>
        </w:rPr>
        <w:t>-</w:t>
      </w:r>
      <w:r w:rsidRPr="00502770">
        <w:rPr>
          <w:rFonts w:cs="mylotus" w:hint="cs"/>
          <w:spacing w:val="-4"/>
          <w:sz w:val="23"/>
          <w:szCs w:val="23"/>
          <w:rtl/>
        </w:rPr>
        <w:t xml:space="preserve"> الشيخ الصدوق، </w:t>
      </w:r>
      <w:r w:rsidRPr="00502770">
        <w:rPr>
          <w:rFonts w:cs="mylotus"/>
          <w:spacing w:val="-4"/>
          <w:sz w:val="23"/>
          <w:szCs w:val="23"/>
          <w:rtl/>
        </w:rPr>
        <w:t xml:space="preserve">عيون أخبار الرضا </w:t>
      </w:r>
      <w:r w:rsidRPr="00502770">
        <w:rPr>
          <w:rFonts w:cs="CTraditional Arabic"/>
          <w:spacing w:val="-4"/>
          <w:sz w:val="23"/>
          <w:szCs w:val="23"/>
          <w:rtl/>
        </w:rPr>
        <w:t>÷</w:t>
      </w:r>
      <w:r w:rsidRPr="00502770">
        <w:rPr>
          <w:rFonts w:cs="mylotus" w:hint="cs"/>
          <w:spacing w:val="-4"/>
          <w:sz w:val="23"/>
          <w:szCs w:val="23"/>
          <w:rtl/>
        </w:rPr>
        <w:t xml:space="preserve">، </w:t>
      </w:r>
      <w:r w:rsidRPr="00502770">
        <w:rPr>
          <w:rFonts w:cs="mylotus"/>
          <w:spacing w:val="-4"/>
          <w:sz w:val="23"/>
          <w:szCs w:val="23"/>
          <w:rtl/>
        </w:rPr>
        <w:t>ج2</w:t>
      </w:r>
      <w:r w:rsidRPr="00502770">
        <w:rPr>
          <w:rFonts w:cs="mylotus" w:hint="cs"/>
          <w:spacing w:val="-4"/>
          <w:sz w:val="23"/>
          <w:szCs w:val="23"/>
          <w:rtl/>
        </w:rPr>
        <w:t xml:space="preserve">، </w:t>
      </w:r>
      <w:r w:rsidRPr="00502770">
        <w:rPr>
          <w:rFonts w:cs="mylotus"/>
          <w:spacing w:val="-4"/>
          <w:sz w:val="23"/>
          <w:szCs w:val="23"/>
          <w:rtl/>
        </w:rPr>
        <w:t>ص232</w:t>
      </w:r>
      <w:r w:rsidRPr="00502770">
        <w:rPr>
          <w:rFonts w:cs="mylotus" w:hint="cs"/>
          <w:spacing w:val="-4"/>
          <w:sz w:val="23"/>
          <w:szCs w:val="23"/>
          <w:rtl/>
        </w:rPr>
        <w:t>،</w:t>
      </w:r>
      <w:r w:rsidRPr="00502770">
        <w:rPr>
          <w:rFonts w:cs="mylotus"/>
          <w:spacing w:val="-4"/>
          <w:sz w:val="23"/>
          <w:szCs w:val="23"/>
          <w:rtl/>
        </w:rPr>
        <w:t xml:space="preserve"> </w:t>
      </w:r>
      <w:r w:rsidRPr="00502770">
        <w:rPr>
          <w:rFonts w:cs="mylotus" w:hint="cs"/>
          <w:spacing w:val="-4"/>
          <w:sz w:val="23"/>
          <w:szCs w:val="23"/>
          <w:rtl/>
        </w:rPr>
        <w:t xml:space="preserve">والصدوق أيضًا </w:t>
      </w:r>
      <w:r w:rsidRPr="00502770">
        <w:rPr>
          <w:rFonts w:cs="mylotus"/>
          <w:spacing w:val="-4"/>
          <w:sz w:val="23"/>
          <w:szCs w:val="23"/>
          <w:rtl/>
        </w:rPr>
        <w:t>في معاني الأخبار</w:t>
      </w:r>
      <w:r w:rsidRPr="00502770">
        <w:rPr>
          <w:rFonts w:cs="mylotus" w:hint="cs"/>
          <w:spacing w:val="-4"/>
          <w:sz w:val="23"/>
          <w:szCs w:val="23"/>
          <w:rtl/>
        </w:rPr>
        <w:t xml:space="preserve">، </w:t>
      </w:r>
      <w:r w:rsidRPr="00502770">
        <w:rPr>
          <w:rFonts w:cs="mylotus"/>
          <w:spacing w:val="-4"/>
          <w:sz w:val="23"/>
          <w:szCs w:val="23"/>
          <w:rtl/>
        </w:rPr>
        <w:t>ص 105-106</w:t>
      </w:r>
      <w:r w:rsidRPr="00502770">
        <w:rPr>
          <w:rFonts w:cs="mylotus" w:hint="cs"/>
          <w:spacing w:val="-4"/>
          <w:sz w:val="23"/>
          <w:szCs w:val="23"/>
          <w:rtl/>
        </w:rPr>
        <w:t>.</w:t>
      </w:r>
    </w:p>
  </w:footnote>
  <w:footnote w:id="112">
    <w:p w:rsidR="00B31118" w:rsidRPr="00563AE6" w:rsidRDefault="00B31118" w:rsidP="005B684B">
      <w:pPr>
        <w:widowControl w:val="0"/>
        <w:spacing w:line="216" w:lineRule="auto"/>
        <w:ind w:left="380" w:hanging="380"/>
        <w:jc w:val="both"/>
        <w:rPr>
          <w:rFonts w:cs="mylotus" w:hint="cs"/>
          <w:sz w:val="23"/>
          <w:szCs w:val="23"/>
        </w:rPr>
      </w:pPr>
      <w:r w:rsidRPr="00563AE6">
        <w:rPr>
          <w:rFonts w:cs="mylotus"/>
          <w:sz w:val="23"/>
          <w:szCs w:val="23"/>
          <w:rtl/>
        </w:rPr>
        <w:footnoteRef/>
      </w:r>
      <w:r>
        <w:rPr>
          <w:rFonts w:cs="mylotus"/>
          <w:sz w:val="23"/>
          <w:szCs w:val="23"/>
          <w:rtl/>
        </w:rPr>
        <w:t>-</w:t>
      </w:r>
      <w:r w:rsidRPr="00563AE6">
        <w:rPr>
          <w:rFonts w:cs="mylotus" w:hint="cs"/>
          <w:sz w:val="23"/>
          <w:szCs w:val="23"/>
          <w:rtl/>
        </w:rPr>
        <w:t xml:space="preserve"> </w:t>
      </w:r>
      <w:r w:rsidRPr="00563AE6">
        <w:rPr>
          <w:rFonts w:cs="mylotus"/>
          <w:sz w:val="23"/>
          <w:szCs w:val="23"/>
          <w:rtl/>
        </w:rPr>
        <w:t>قوله غير محاب بتخفيف الباء</w:t>
      </w:r>
      <w:r w:rsidRPr="00563AE6">
        <w:rPr>
          <w:rFonts w:cs="mylotus" w:hint="cs"/>
          <w:sz w:val="23"/>
          <w:szCs w:val="23"/>
          <w:rtl/>
        </w:rPr>
        <w:t>،</w:t>
      </w:r>
      <w:r w:rsidRPr="00563AE6">
        <w:rPr>
          <w:rFonts w:cs="mylotus"/>
          <w:sz w:val="23"/>
          <w:szCs w:val="23"/>
          <w:rtl/>
        </w:rPr>
        <w:t xml:space="preserve"> قال الفيروزآبادي</w:t>
      </w:r>
      <w:r w:rsidRPr="00563AE6">
        <w:rPr>
          <w:rFonts w:cs="mylotus" w:hint="cs"/>
          <w:sz w:val="23"/>
          <w:szCs w:val="23"/>
          <w:rtl/>
        </w:rPr>
        <w:t>:</w:t>
      </w:r>
      <w:r w:rsidRPr="00563AE6">
        <w:rPr>
          <w:rFonts w:cs="mylotus"/>
          <w:sz w:val="23"/>
          <w:szCs w:val="23"/>
          <w:rtl/>
        </w:rPr>
        <w:t xml:space="preserve"> حاباه محاباة</w:t>
      </w:r>
      <w:r w:rsidRPr="00563AE6">
        <w:rPr>
          <w:rFonts w:cs="mylotus" w:hint="cs"/>
          <w:sz w:val="23"/>
          <w:szCs w:val="23"/>
          <w:rtl/>
        </w:rPr>
        <w:t xml:space="preserve">ً.. </w:t>
      </w:r>
      <w:r w:rsidRPr="00563AE6">
        <w:rPr>
          <w:rFonts w:cs="mylotus"/>
          <w:sz w:val="23"/>
          <w:szCs w:val="23"/>
          <w:rtl/>
        </w:rPr>
        <w:t>نصره واختصه ومال إليه</w:t>
      </w:r>
      <w:r w:rsidRPr="00563AE6">
        <w:rPr>
          <w:rFonts w:cs="mylotus" w:hint="cs"/>
          <w:sz w:val="23"/>
          <w:szCs w:val="23"/>
          <w:rtl/>
        </w:rPr>
        <w:t>.</w:t>
      </w:r>
    </w:p>
  </w:footnote>
  <w:footnote w:id="113">
    <w:p w:rsidR="00B31118" w:rsidRPr="00563AE6" w:rsidRDefault="00B31118" w:rsidP="005B684B">
      <w:pPr>
        <w:widowControl w:val="0"/>
        <w:spacing w:line="216" w:lineRule="auto"/>
        <w:ind w:left="380" w:hanging="380"/>
        <w:jc w:val="both"/>
        <w:rPr>
          <w:rFonts w:cs="mylotus" w:hint="cs"/>
          <w:sz w:val="23"/>
          <w:szCs w:val="23"/>
          <w:rtl/>
        </w:rPr>
      </w:pPr>
      <w:r w:rsidRPr="00563AE6">
        <w:rPr>
          <w:rFonts w:cs="mylotus"/>
          <w:sz w:val="23"/>
          <w:szCs w:val="23"/>
          <w:rtl/>
        </w:rPr>
        <w:footnoteRef/>
      </w:r>
      <w:r>
        <w:rPr>
          <w:rFonts w:cs="mylotus"/>
          <w:sz w:val="23"/>
          <w:szCs w:val="23"/>
          <w:rtl/>
        </w:rPr>
        <w:t>-</w:t>
      </w:r>
      <w:r w:rsidRPr="00563AE6">
        <w:rPr>
          <w:rFonts w:cs="mylotus" w:hint="cs"/>
          <w:sz w:val="23"/>
          <w:szCs w:val="23"/>
          <w:rtl/>
        </w:rPr>
        <w:t xml:space="preserve"> أمالي الصدوق، ص 110، المجلس 34.  أما الحديث المعروف المنسوب إلى رسول الله أنه قال: «ألا إن كل سبب ونسب منقطع يوم القيامة إلا سببي ونسبي» فقد بين ابن الجوزي في كتابه </w:t>
      </w:r>
      <w:r w:rsidRPr="00563AE6">
        <w:rPr>
          <w:rFonts w:cs="mylotus" w:hint="eastAsia"/>
          <w:sz w:val="23"/>
          <w:szCs w:val="23"/>
          <w:rtl/>
        </w:rPr>
        <w:t>«</w:t>
      </w:r>
      <w:r w:rsidRPr="00563AE6">
        <w:rPr>
          <w:rFonts w:cs="mylotus" w:hint="cs"/>
          <w:sz w:val="23"/>
          <w:szCs w:val="23"/>
          <w:rtl/>
        </w:rPr>
        <w:t>الموضوعات</w:t>
      </w:r>
      <w:r w:rsidRPr="00563AE6">
        <w:rPr>
          <w:rFonts w:cs="mylotus" w:hint="eastAsia"/>
          <w:sz w:val="23"/>
          <w:szCs w:val="23"/>
          <w:rtl/>
        </w:rPr>
        <w:t>»</w:t>
      </w:r>
      <w:r w:rsidRPr="00563AE6">
        <w:rPr>
          <w:rFonts w:cs="mylotus"/>
          <w:sz w:val="23"/>
          <w:szCs w:val="23"/>
          <w:rtl/>
        </w:rPr>
        <w:t xml:space="preserve"> </w:t>
      </w:r>
      <w:r w:rsidRPr="00563AE6">
        <w:rPr>
          <w:rFonts w:cs="mylotus" w:hint="cs"/>
          <w:sz w:val="23"/>
          <w:szCs w:val="23"/>
          <w:rtl/>
        </w:rPr>
        <w:t xml:space="preserve">(ج1، ص282) أنه حديث موضوع وكذب على رسول الله </w:t>
      </w:r>
      <w:r w:rsidRPr="00563AE6">
        <w:rPr>
          <w:rFonts w:cs="CTraditional Arabic" w:hint="cs"/>
          <w:sz w:val="23"/>
          <w:szCs w:val="23"/>
          <w:rtl/>
        </w:rPr>
        <w:t>ص</w:t>
      </w:r>
      <w:r w:rsidRPr="00563AE6">
        <w:rPr>
          <w:rFonts w:cs="mylotus" w:hint="cs"/>
          <w:sz w:val="23"/>
          <w:szCs w:val="23"/>
          <w:rtl/>
        </w:rPr>
        <w:t xml:space="preserve">. </w:t>
      </w:r>
    </w:p>
  </w:footnote>
  <w:footnote w:id="114">
    <w:p w:rsidR="00B31118" w:rsidRPr="00563AE6" w:rsidRDefault="00B31118" w:rsidP="00B300C9">
      <w:pPr>
        <w:spacing w:line="228" w:lineRule="auto"/>
        <w:ind w:left="378" w:hanging="378"/>
        <w:jc w:val="both"/>
        <w:rPr>
          <w:rFonts w:cs="mylotus" w:hint="cs"/>
          <w:sz w:val="23"/>
          <w:szCs w:val="23"/>
        </w:rPr>
      </w:pPr>
      <w:r w:rsidRPr="00563AE6">
        <w:rPr>
          <w:rFonts w:cs="mylotus"/>
          <w:sz w:val="23"/>
          <w:szCs w:val="23"/>
          <w:rtl/>
        </w:rPr>
        <w:footnoteRef/>
      </w:r>
      <w:r>
        <w:rPr>
          <w:rFonts w:cs="mylotus"/>
          <w:sz w:val="23"/>
          <w:szCs w:val="23"/>
          <w:rtl/>
        </w:rPr>
        <w:t>-</w:t>
      </w:r>
      <w:r w:rsidRPr="00563AE6">
        <w:rPr>
          <w:rFonts w:cs="mylotus"/>
          <w:sz w:val="23"/>
          <w:szCs w:val="23"/>
          <w:rtl/>
        </w:rPr>
        <w:t xml:space="preserve"> </w:t>
      </w:r>
      <w:r w:rsidRPr="00563AE6">
        <w:rPr>
          <w:rFonts w:cs="mylotus" w:hint="cs"/>
          <w:sz w:val="23"/>
          <w:szCs w:val="23"/>
          <w:rtl/>
        </w:rPr>
        <w:t>الرواية في «تهذيب الأحكام» للشيخ الطوسي في: ج6، ص 146-147. (المُتَرْجِمُ)</w:t>
      </w:r>
    </w:p>
  </w:footnote>
  <w:footnote w:id="115">
    <w:p w:rsidR="00B31118" w:rsidRPr="00563AE6" w:rsidRDefault="00B31118" w:rsidP="00B300C9">
      <w:pPr>
        <w:spacing w:line="228" w:lineRule="auto"/>
        <w:ind w:left="378" w:hanging="378"/>
        <w:jc w:val="both"/>
        <w:rPr>
          <w:rFonts w:cs="mylotus" w:hint="cs"/>
          <w:sz w:val="23"/>
          <w:szCs w:val="23"/>
          <w:rtl/>
        </w:rPr>
      </w:pPr>
      <w:r w:rsidRPr="00563AE6">
        <w:rPr>
          <w:rFonts w:cs="mylotus"/>
          <w:sz w:val="23"/>
          <w:szCs w:val="23"/>
          <w:rtl/>
        </w:rPr>
        <w:footnoteRef/>
      </w:r>
      <w:r>
        <w:rPr>
          <w:rFonts w:cs="mylotus"/>
          <w:sz w:val="23"/>
          <w:szCs w:val="23"/>
          <w:rtl/>
        </w:rPr>
        <w:t>-</w:t>
      </w:r>
      <w:r w:rsidRPr="00563AE6">
        <w:rPr>
          <w:rFonts w:cs="mylotus"/>
          <w:sz w:val="23"/>
          <w:szCs w:val="23"/>
          <w:rtl/>
        </w:rPr>
        <w:t xml:space="preserve"> </w:t>
      </w:r>
      <w:r w:rsidRPr="00563AE6">
        <w:rPr>
          <w:rFonts w:cs="mylotus" w:hint="cs"/>
          <w:sz w:val="23"/>
          <w:szCs w:val="23"/>
          <w:rtl/>
        </w:rPr>
        <w:t xml:space="preserve">قال القاسم بن سلام في كتاب </w:t>
      </w:r>
      <w:r w:rsidRPr="00563AE6">
        <w:rPr>
          <w:rFonts w:cs="mylotus" w:hint="eastAsia"/>
          <w:sz w:val="23"/>
          <w:szCs w:val="23"/>
          <w:rtl/>
        </w:rPr>
        <w:t>«</w:t>
      </w:r>
      <w:r w:rsidRPr="00563AE6">
        <w:rPr>
          <w:rFonts w:cs="mylotus" w:hint="cs"/>
          <w:sz w:val="23"/>
          <w:szCs w:val="23"/>
          <w:rtl/>
        </w:rPr>
        <w:t>الأموال</w:t>
      </w:r>
      <w:r w:rsidRPr="00563AE6">
        <w:rPr>
          <w:rFonts w:cs="mylotus" w:hint="eastAsia"/>
          <w:sz w:val="23"/>
          <w:szCs w:val="23"/>
          <w:rtl/>
        </w:rPr>
        <w:t>»</w:t>
      </w:r>
      <w:r w:rsidRPr="00563AE6">
        <w:rPr>
          <w:rFonts w:cs="mylotus"/>
          <w:sz w:val="23"/>
          <w:szCs w:val="23"/>
          <w:rtl/>
        </w:rPr>
        <w:t xml:space="preserve"> </w:t>
      </w:r>
      <w:r w:rsidRPr="00563AE6">
        <w:rPr>
          <w:rFonts w:cs="mylotus" w:hint="cs"/>
          <w:sz w:val="23"/>
          <w:szCs w:val="23"/>
          <w:rtl/>
        </w:rPr>
        <w:t>(ص375): «</w:t>
      </w:r>
      <w:r w:rsidRPr="00563AE6">
        <w:rPr>
          <w:rFonts w:cs="mylotus"/>
          <w:sz w:val="23"/>
          <w:szCs w:val="23"/>
          <w:rtl/>
        </w:rPr>
        <w:t>ذهب أبو بكر في التسوية إلى أن المسلمين إنما هم بنو الإسلام، كإخوة ورثوا آباءهم، فهم شركاء في الميراث تتساوى فيه سهامهم، وإن كان بعضهم أعلى من بعض في الفضائل ودرجات الدين والخير</w:t>
      </w:r>
      <w:r w:rsidRPr="00563AE6">
        <w:rPr>
          <w:rFonts w:cs="mylotus" w:hint="cs"/>
          <w:sz w:val="23"/>
          <w:szCs w:val="23"/>
          <w:rtl/>
        </w:rPr>
        <w:t xml:space="preserve">». </w:t>
      </w:r>
    </w:p>
  </w:footnote>
  <w:footnote w:id="116">
    <w:p w:rsidR="00B31118" w:rsidRPr="00563AE6" w:rsidRDefault="00B31118" w:rsidP="00502770">
      <w:pPr>
        <w:spacing w:line="228" w:lineRule="auto"/>
        <w:ind w:left="378" w:hanging="378"/>
        <w:jc w:val="both"/>
        <w:rPr>
          <w:rFonts w:cs="mylotus" w:hint="cs"/>
          <w:sz w:val="23"/>
          <w:szCs w:val="23"/>
          <w:rtl/>
        </w:rPr>
      </w:pPr>
      <w:r w:rsidRPr="00563AE6">
        <w:rPr>
          <w:rFonts w:cs="mylotus"/>
          <w:sz w:val="23"/>
          <w:szCs w:val="23"/>
          <w:rtl/>
        </w:rPr>
        <w:footnoteRef/>
      </w:r>
      <w:r>
        <w:rPr>
          <w:rFonts w:cs="mylotus"/>
          <w:sz w:val="23"/>
          <w:szCs w:val="23"/>
          <w:rtl/>
        </w:rPr>
        <w:t>-</w:t>
      </w:r>
      <w:r w:rsidRPr="00563AE6">
        <w:rPr>
          <w:rFonts w:cs="mylotus" w:hint="cs"/>
          <w:sz w:val="23"/>
          <w:szCs w:val="23"/>
          <w:rtl/>
        </w:rPr>
        <w:t xml:space="preserve"> </w:t>
      </w:r>
      <w:r w:rsidRPr="00563AE6">
        <w:rPr>
          <w:rFonts w:cs="mylotus"/>
          <w:sz w:val="23"/>
          <w:szCs w:val="23"/>
          <w:rtl/>
        </w:rPr>
        <w:t>الصدوق</w:t>
      </w:r>
      <w:r w:rsidRPr="00563AE6">
        <w:rPr>
          <w:rFonts w:cs="mylotus" w:hint="cs"/>
          <w:sz w:val="23"/>
          <w:szCs w:val="23"/>
          <w:rtl/>
        </w:rPr>
        <w:t xml:space="preserve">، </w:t>
      </w:r>
      <w:r w:rsidRPr="00563AE6">
        <w:rPr>
          <w:rFonts w:cs="mylotus"/>
          <w:sz w:val="23"/>
          <w:szCs w:val="23"/>
          <w:rtl/>
        </w:rPr>
        <w:t xml:space="preserve">عيون أخبار الرضا </w:t>
      </w:r>
      <w:r w:rsidRPr="00BC4BA9">
        <w:rPr>
          <w:rFonts w:cs="CTraditional Arabic"/>
          <w:sz w:val="23"/>
          <w:szCs w:val="23"/>
          <w:rtl/>
        </w:rPr>
        <w:t>÷</w:t>
      </w:r>
      <w:r w:rsidRPr="00563AE6">
        <w:rPr>
          <w:rFonts w:cs="mylotus" w:hint="cs"/>
          <w:sz w:val="23"/>
          <w:szCs w:val="23"/>
          <w:rtl/>
        </w:rPr>
        <w:t>،</w:t>
      </w:r>
      <w:r w:rsidRPr="00563AE6">
        <w:rPr>
          <w:rFonts w:cs="mylotus"/>
          <w:sz w:val="23"/>
          <w:szCs w:val="23"/>
          <w:rtl/>
        </w:rPr>
        <w:t xml:space="preserve"> ج 2، ص236</w:t>
      </w:r>
      <w:r w:rsidRPr="00563AE6">
        <w:rPr>
          <w:rFonts w:cs="mylotus" w:hint="cs"/>
          <w:sz w:val="23"/>
          <w:szCs w:val="23"/>
          <w:rtl/>
        </w:rPr>
        <w:t xml:space="preserve">. وقال القاسم بن سلام في كتاب </w:t>
      </w:r>
      <w:r w:rsidRPr="00563AE6">
        <w:rPr>
          <w:rFonts w:cs="mylotus" w:hint="eastAsia"/>
          <w:sz w:val="23"/>
          <w:szCs w:val="23"/>
          <w:rtl/>
        </w:rPr>
        <w:t>«</w:t>
      </w:r>
      <w:r w:rsidRPr="00563AE6">
        <w:rPr>
          <w:rFonts w:cs="mylotus" w:hint="cs"/>
          <w:sz w:val="23"/>
          <w:szCs w:val="23"/>
          <w:rtl/>
        </w:rPr>
        <w:t>الأموال</w:t>
      </w:r>
      <w:r w:rsidRPr="00563AE6">
        <w:rPr>
          <w:rFonts w:cs="mylotus" w:hint="eastAsia"/>
          <w:sz w:val="23"/>
          <w:szCs w:val="23"/>
          <w:rtl/>
        </w:rPr>
        <w:t>»</w:t>
      </w:r>
      <w:r w:rsidRPr="00563AE6">
        <w:rPr>
          <w:rFonts w:cs="mylotus"/>
          <w:sz w:val="23"/>
          <w:szCs w:val="23"/>
          <w:rtl/>
        </w:rPr>
        <w:t xml:space="preserve"> </w:t>
      </w:r>
      <w:r w:rsidRPr="00563AE6">
        <w:rPr>
          <w:rFonts w:cs="mylotus" w:hint="cs"/>
          <w:sz w:val="23"/>
          <w:szCs w:val="23"/>
          <w:rtl/>
        </w:rPr>
        <w:t>(ص375): «</w:t>
      </w:r>
      <w:r w:rsidRPr="00563AE6">
        <w:rPr>
          <w:rFonts w:cs="mylotus"/>
          <w:sz w:val="23"/>
          <w:szCs w:val="23"/>
          <w:rtl/>
        </w:rPr>
        <w:t>ذهب أبو بكر في التسوية إلى أن المسلمين إنما هم بنو الإسلام، كإخوة ورثوا آباءهم، فهم شركاء في الميراث تتساوى فيه سهامهم، وإن كان بعضهم أعلى من بعض في الفضائل ودرجات الدين والخير</w:t>
      </w:r>
      <w:r w:rsidRPr="00563AE6">
        <w:rPr>
          <w:rFonts w:cs="mylotus" w:hint="cs"/>
          <w:sz w:val="23"/>
          <w:szCs w:val="23"/>
          <w:rtl/>
        </w:rPr>
        <w:t xml:space="preserve">». </w:t>
      </w:r>
    </w:p>
  </w:footnote>
  <w:footnote w:id="117">
    <w:p w:rsidR="00B31118" w:rsidRPr="00563AE6" w:rsidRDefault="00B31118" w:rsidP="00B300C9">
      <w:pPr>
        <w:spacing w:line="228" w:lineRule="auto"/>
        <w:ind w:left="378" w:hanging="378"/>
        <w:jc w:val="both"/>
        <w:rPr>
          <w:rFonts w:cs="mylotus" w:hint="cs"/>
          <w:sz w:val="23"/>
          <w:szCs w:val="23"/>
          <w:rtl/>
        </w:rPr>
      </w:pPr>
      <w:r w:rsidRPr="00563AE6">
        <w:rPr>
          <w:rFonts w:cs="mylotus"/>
          <w:sz w:val="23"/>
          <w:szCs w:val="23"/>
          <w:rtl/>
        </w:rPr>
        <w:footnoteRef/>
      </w:r>
      <w:r>
        <w:rPr>
          <w:rFonts w:cs="mylotus"/>
          <w:sz w:val="23"/>
          <w:szCs w:val="23"/>
          <w:rtl/>
        </w:rPr>
        <w:t>-</w:t>
      </w:r>
      <w:r w:rsidRPr="00563AE6">
        <w:rPr>
          <w:rFonts w:cs="mylotus" w:hint="cs"/>
          <w:sz w:val="23"/>
          <w:szCs w:val="23"/>
          <w:rtl/>
        </w:rPr>
        <w:t xml:space="preserve"> إن عدم وجود أفضلية وامتياز لمن كان يمت بصلة قرابة لنبيٍّ من الأنبياء أمر تصافقت عليه كل الكتب السماوية، وكلها تعتبر أن الافتخار بالآباء والأجداد عمل لغو لا أساس له من الصحة، ومن آثار الجاهلية ولقد أرسل جميع الرسل بهذا الأمر. وفيما يلي بعض النصوص في ذلك: </w:t>
      </w:r>
    </w:p>
    <w:p w:rsidR="00B31118" w:rsidRPr="00563AE6" w:rsidRDefault="00B31118" w:rsidP="00B300C9">
      <w:pPr>
        <w:spacing w:line="228" w:lineRule="auto"/>
        <w:ind w:left="378"/>
        <w:jc w:val="both"/>
        <w:rPr>
          <w:rFonts w:cs="mylotus" w:hint="cs"/>
          <w:sz w:val="23"/>
          <w:szCs w:val="23"/>
          <w:rtl/>
        </w:rPr>
      </w:pPr>
      <w:r w:rsidRPr="00563AE6">
        <w:rPr>
          <w:rFonts w:cs="mylotus" w:hint="cs"/>
          <w:sz w:val="23"/>
          <w:szCs w:val="23"/>
          <w:rtl/>
        </w:rPr>
        <w:t>مثلاً، جاء في إنجيل متى، الإصحاح الثالث،  9-10: «</w:t>
      </w:r>
      <w:r w:rsidRPr="00563AE6">
        <w:rPr>
          <w:rFonts w:cs="mylotus"/>
          <w:sz w:val="23"/>
          <w:szCs w:val="23"/>
          <w:rtl/>
        </w:rPr>
        <w:t>9وَلا تُعَلِّلُوا أَنْفُسَكُمْ قَائِلِينَ: لَنَا إِبْرَاهِيمُ أَباً! فَإِنِّي أَقُولُ لَكُمْ: إِنَّ اللهَ قَادِرٌ أَنْ يُطْلِعَ مِنْ هَذِهِ الْحِجَارَةِ أَوْلاَداً ِلإِبْرَاهِيمَ. 10وَهَا إِنَّ الْفَأْسَ قَدْ أُلْقِيَتْ عَلَى أَصْلِ الشَّجَرِ، فَكُلُّ شَجَرَةٍ لاَ تُثْمِرُ ثَمَراً جَيِّداً تُقْطَعُ وَتُطْرَحُ فِي النَّارِ</w:t>
      </w:r>
      <w:r w:rsidRPr="00563AE6">
        <w:rPr>
          <w:rFonts w:cs="mylotus" w:hint="cs"/>
          <w:sz w:val="23"/>
          <w:szCs w:val="23"/>
          <w:rtl/>
        </w:rPr>
        <w:t>».</w:t>
      </w:r>
    </w:p>
    <w:p w:rsidR="00B31118" w:rsidRPr="00563AE6" w:rsidRDefault="00B31118" w:rsidP="00B300C9">
      <w:pPr>
        <w:spacing w:line="228" w:lineRule="auto"/>
        <w:ind w:left="378"/>
        <w:jc w:val="both"/>
        <w:rPr>
          <w:rFonts w:cs="mylotus" w:hint="cs"/>
          <w:sz w:val="23"/>
          <w:szCs w:val="23"/>
          <w:rtl/>
        </w:rPr>
      </w:pPr>
      <w:r w:rsidRPr="00563AE6">
        <w:rPr>
          <w:rFonts w:cs="mylotus" w:hint="cs"/>
          <w:sz w:val="23"/>
          <w:szCs w:val="23"/>
          <w:rtl/>
        </w:rPr>
        <w:t>وفي إنجيل مرقس، الإصحاح 3، 32-35: «</w:t>
      </w:r>
      <w:r w:rsidRPr="00563AE6">
        <w:rPr>
          <w:rFonts w:cs="mylotus"/>
          <w:sz w:val="23"/>
          <w:szCs w:val="23"/>
          <w:rtl/>
        </w:rPr>
        <w:t xml:space="preserve">32وَكَانَ الْجَمْعُ جَالِساً حَوْلَهُ فَقَالُوا لَهُ: «هُوَذَا أُمُّكَ وَإِخْوَتُكَ خَارِجاً يَطْلُبُونَكَ». 33فَأَجَابَهُمْ: «مَنْ أُمِّي وَإِخْوَتِي؟» 34ثُمَّ نَظَرَ حَوْلَهُ إِلَى الْجَالِسِينَ وَقَالَ: «هَا أُمِّي وَإِخْوَتِي 35لأَنَّ مَنْ يَصْنَعُ مَشِيئَةَ </w:t>
      </w:r>
      <w:r w:rsidRPr="00563AE6">
        <w:rPr>
          <w:rFonts w:cs="mylotus" w:hint="cs"/>
          <w:sz w:val="23"/>
          <w:szCs w:val="23"/>
          <w:rtl/>
        </w:rPr>
        <w:t>اللهِ</w:t>
      </w:r>
      <w:r w:rsidRPr="00563AE6">
        <w:rPr>
          <w:rFonts w:cs="mylotus"/>
          <w:sz w:val="23"/>
          <w:szCs w:val="23"/>
          <w:rtl/>
        </w:rPr>
        <w:t xml:space="preserve"> هُوَ أَخِي وَأُخْتِي وَأُمِّي»</w:t>
      </w:r>
      <w:r w:rsidRPr="00563AE6">
        <w:rPr>
          <w:rFonts w:cs="mylotus" w:hint="cs"/>
          <w:sz w:val="23"/>
          <w:szCs w:val="23"/>
          <w:rtl/>
        </w:rPr>
        <w:t>.</w:t>
      </w:r>
    </w:p>
    <w:p w:rsidR="00B31118" w:rsidRPr="00563AE6" w:rsidRDefault="00B31118" w:rsidP="00B300C9">
      <w:pPr>
        <w:spacing w:line="228" w:lineRule="auto"/>
        <w:ind w:left="378"/>
        <w:jc w:val="both"/>
        <w:rPr>
          <w:rFonts w:cs="mylotus" w:hint="cs"/>
          <w:sz w:val="23"/>
          <w:szCs w:val="23"/>
          <w:rtl/>
        </w:rPr>
      </w:pPr>
      <w:r w:rsidRPr="00563AE6">
        <w:rPr>
          <w:rFonts w:cs="mylotus" w:hint="cs"/>
          <w:sz w:val="23"/>
          <w:szCs w:val="23"/>
          <w:rtl/>
        </w:rPr>
        <w:t xml:space="preserve">وفي إنجيل لوقا، الإصحاح 8، 21، عندما قالوا للمسيح </w:t>
      </w:r>
      <w:r w:rsidRPr="003C7AEB">
        <w:rPr>
          <w:rFonts w:cs="CTraditional Arabic" w:hint="cs"/>
          <w:sz w:val="23"/>
          <w:szCs w:val="23"/>
          <w:rtl/>
        </w:rPr>
        <w:t>÷</w:t>
      </w:r>
      <w:r w:rsidRPr="00563AE6">
        <w:rPr>
          <w:rFonts w:cs="mylotus" w:hint="cs"/>
          <w:sz w:val="23"/>
          <w:szCs w:val="23"/>
          <w:rtl/>
        </w:rPr>
        <w:t xml:space="preserve"> إن أمك وأخوتك واقفين ينتظرونك في الخارج أجابهم المسيح: «</w:t>
      </w:r>
      <w:r w:rsidRPr="00563AE6">
        <w:rPr>
          <w:rFonts w:cs="mylotus"/>
          <w:sz w:val="23"/>
          <w:szCs w:val="23"/>
          <w:rtl/>
        </w:rPr>
        <w:t>«أُمِّي وَإِخْوَتِي هُمُ الَّذِينَ يَسْمَعُونَ كَلِمَةَ اللهِ وَيَعْمَلُونَ بِهَا»</w:t>
      </w:r>
      <w:r w:rsidRPr="00563AE6">
        <w:rPr>
          <w:rFonts w:cs="mylotus" w:hint="cs"/>
          <w:sz w:val="23"/>
          <w:szCs w:val="23"/>
          <w:rtl/>
        </w:rPr>
        <w:t xml:space="preserve">. </w:t>
      </w:r>
    </w:p>
    <w:p w:rsidR="00B31118" w:rsidRPr="00563AE6" w:rsidRDefault="00B31118" w:rsidP="00B300C9">
      <w:pPr>
        <w:spacing w:line="228" w:lineRule="auto"/>
        <w:ind w:left="378"/>
        <w:jc w:val="both"/>
        <w:rPr>
          <w:rFonts w:cs="mylotus" w:hint="cs"/>
          <w:sz w:val="23"/>
          <w:szCs w:val="23"/>
          <w:rtl/>
        </w:rPr>
      </w:pPr>
      <w:r w:rsidRPr="00563AE6">
        <w:rPr>
          <w:rFonts w:cs="mylotus" w:hint="cs"/>
          <w:sz w:val="23"/>
          <w:szCs w:val="23"/>
          <w:rtl/>
        </w:rPr>
        <w:t xml:space="preserve">أقول: كم يشيبه كلام المسيح الأخير هذا كلام الإمام الرضا </w:t>
      </w:r>
      <w:r w:rsidRPr="003C7AEB">
        <w:rPr>
          <w:rFonts w:cs="CTraditional Arabic" w:hint="cs"/>
          <w:sz w:val="23"/>
          <w:szCs w:val="23"/>
          <w:rtl/>
        </w:rPr>
        <w:t>÷</w:t>
      </w:r>
      <w:r w:rsidRPr="00563AE6">
        <w:rPr>
          <w:rFonts w:cs="mylotus" w:hint="cs"/>
          <w:sz w:val="23"/>
          <w:szCs w:val="23"/>
          <w:rtl/>
        </w:rPr>
        <w:t xml:space="preserve"> لما </w:t>
      </w:r>
      <w:r w:rsidRPr="00563AE6">
        <w:rPr>
          <w:rFonts w:cs="mylotus"/>
          <w:sz w:val="23"/>
          <w:szCs w:val="23"/>
          <w:rtl/>
        </w:rPr>
        <w:t xml:space="preserve">سَلَّمَ </w:t>
      </w:r>
      <w:r w:rsidRPr="00563AE6">
        <w:rPr>
          <w:rFonts w:cs="mylotus" w:hint="cs"/>
          <w:sz w:val="23"/>
          <w:szCs w:val="23"/>
          <w:rtl/>
        </w:rPr>
        <w:t xml:space="preserve">عليه أخوه </w:t>
      </w:r>
      <w:r w:rsidRPr="00563AE6">
        <w:rPr>
          <w:rFonts w:cs="mylotus"/>
          <w:sz w:val="23"/>
          <w:szCs w:val="23"/>
          <w:rtl/>
        </w:rPr>
        <w:t>زَيْدٌ فَلَمْ يُجِبْ</w:t>
      </w:r>
      <w:r w:rsidRPr="00563AE6">
        <w:rPr>
          <w:rFonts w:cs="mylotus" w:hint="cs"/>
          <w:sz w:val="23"/>
          <w:szCs w:val="23"/>
          <w:rtl/>
        </w:rPr>
        <w:t xml:space="preserve"> الإمام سلامه، </w:t>
      </w:r>
      <w:r w:rsidRPr="00563AE6">
        <w:rPr>
          <w:rFonts w:cs="mylotus"/>
          <w:sz w:val="23"/>
          <w:szCs w:val="23"/>
          <w:rtl/>
        </w:rPr>
        <w:t xml:space="preserve">فَقَالَ </w:t>
      </w:r>
      <w:r w:rsidRPr="00563AE6">
        <w:rPr>
          <w:rFonts w:cs="mylotus" w:hint="cs"/>
          <w:sz w:val="23"/>
          <w:szCs w:val="23"/>
          <w:rtl/>
        </w:rPr>
        <w:t xml:space="preserve">زيد: </w:t>
      </w:r>
      <w:r w:rsidRPr="00563AE6">
        <w:rPr>
          <w:rFonts w:cs="mylotus"/>
          <w:sz w:val="23"/>
          <w:szCs w:val="23"/>
          <w:rtl/>
        </w:rPr>
        <w:t xml:space="preserve">أَنَا ابْنُ أَبِيكَ وَلَا تَرُدُّ عَلَيَّ سَلَامِي؟! فَقَالَ </w:t>
      </w:r>
      <w:r w:rsidRPr="00563AE6">
        <w:rPr>
          <w:rFonts w:cs="mylotus" w:hint="cs"/>
          <w:sz w:val="23"/>
          <w:szCs w:val="23"/>
          <w:rtl/>
        </w:rPr>
        <w:t xml:space="preserve">الرضا </w:t>
      </w:r>
      <w:r w:rsidRPr="00BC4BA9">
        <w:rPr>
          <w:rFonts w:cs="CTraditional Arabic"/>
          <w:sz w:val="23"/>
          <w:szCs w:val="23"/>
          <w:rtl/>
        </w:rPr>
        <w:t>÷</w:t>
      </w:r>
      <w:r w:rsidRPr="00563AE6">
        <w:rPr>
          <w:rFonts w:cs="mylotus"/>
          <w:sz w:val="23"/>
          <w:szCs w:val="23"/>
          <w:rtl/>
        </w:rPr>
        <w:t>: أَنْتَ أَخِي مَا أَطَعْتَ اللهَ فَإِذَا عَصَيْتَ اللهَ لَا إِخَاءَ بَيْنِي وَبَيْنَك</w:t>
      </w:r>
      <w:r w:rsidRPr="00563AE6">
        <w:rPr>
          <w:rFonts w:cs="mylotus" w:hint="cs"/>
          <w:sz w:val="23"/>
          <w:szCs w:val="23"/>
          <w:rtl/>
        </w:rPr>
        <w:t>.</w:t>
      </w:r>
      <w:r w:rsidRPr="00563AE6">
        <w:rPr>
          <w:rFonts w:cs="mylotus"/>
          <w:sz w:val="23"/>
          <w:szCs w:val="23"/>
          <w:rtl/>
        </w:rPr>
        <w:t>‏</w:t>
      </w:r>
      <w:r w:rsidRPr="00563AE6">
        <w:rPr>
          <w:rFonts w:cs="mylotus" w:hint="cs"/>
          <w:sz w:val="23"/>
          <w:szCs w:val="23"/>
          <w:rtl/>
        </w:rPr>
        <w:t xml:space="preserve"> (</w:t>
      </w:r>
      <w:r w:rsidRPr="00563AE6">
        <w:rPr>
          <w:rFonts w:cs="mylotus"/>
          <w:sz w:val="23"/>
          <w:szCs w:val="23"/>
          <w:rtl/>
        </w:rPr>
        <w:t>المجلس</w:t>
      </w:r>
      <w:r w:rsidRPr="00563AE6">
        <w:rPr>
          <w:rFonts w:cs="mylotus" w:hint="cs"/>
          <w:sz w:val="23"/>
          <w:szCs w:val="23"/>
          <w:rtl/>
        </w:rPr>
        <w:t>ـ</w:t>
      </w:r>
      <w:r w:rsidRPr="00563AE6">
        <w:rPr>
          <w:rFonts w:cs="mylotus"/>
          <w:sz w:val="23"/>
          <w:szCs w:val="23"/>
          <w:rtl/>
        </w:rPr>
        <w:t>ي، بحار</w:t>
      </w:r>
      <w:r w:rsidRPr="00563AE6">
        <w:rPr>
          <w:rFonts w:cs="mylotus" w:hint="cs"/>
          <w:sz w:val="23"/>
          <w:szCs w:val="23"/>
          <w:rtl/>
        </w:rPr>
        <w:t xml:space="preserve"> </w:t>
      </w:r>
      <w:r w:rsidRPr="00563AE6">
        <w:rPr>
          <w:rFonts w:cs="mylotus"/>
          <w:sz w:val="23"/>
          <w:szCs w:val="23"/>
          <w:rtl/>
        </w:rPr>
        <w:t>الأنوار، ج 49، ص 221</w:t>
      </w:r>
      <w:r w:rsidRPr="00563AE6">
        <w:rPr>
          <w:rFonts w:cs="mylotus" w:hint="cs"/>
          <w:sz w:val="23"/>
          <w:szCs w:val="23"/>
          <w:rtl/>
        </w:rPr>
        <w:t>، نقلاً عن كتاب «</w:t>
      </w:r>
      <w:r w:rsidRPr="00563AE6">
        <w:rPr>
          <w:rFonts w:cs="mylotus"/>
          <w:sz w:val="23"/>
          <w:szCs w:val="23"/>
          <w:rtl/>
        </w:rPr>
        <w:t>المناقب</w:t>
      </w:r>
      <w:r w:rsidRPr="00563AE6">
        <w:rPr>
          <w:rFonts w:cs="mylotus" w:hint="cs"/>
          <w:sz w:val="23"/>
          <w:szCs w:val="23"/>
          <w:rtl/>
        </w:rPr>
        <w:t>»</w:t>
      </w:r>
      <w:r w:rsidRPr="00563AE6">
        <w:rPr>
          <w:rFonts w:cs="mylotus"/>
          <w:sz w:val="23"/>
          <w:szCs w:val="23"/>
          <w:rtl/>
        </w:rPr>
        <w:t xml:space="preserve"> لابن شهرآشوب</w:t>
      </w:r>
      <w:r w:rsidRPr="00563AE6">
        <w:rPr>
          <w:rFonts w:cs="mylotus" w:hint="cs"/>
          <w:sz w:val="23"/>
          <w:szCs w:val="23"/>
          <w:rtl/>
        </w:rPr>
        <w:t xml:space="preserve"> المازندراني).</w:t>
      </w:r>
    </w:p>
  </w:footnote>
  <w:footnote w:id="118">
    <w:p w:rsidR="00B31118" w:rsidRPr="00563AE6" w:rsidRDefault="00B31118" w:rsidP="00B300C9">
      <w:pPr>
        <w:spacing w:line="228" w:lineRule="auto"/>
        <w:ind w:left="378" w:hanging="378"/>
        <w:jc w:val="both"/>
        <w:rPr>
          <w:rFonts w:cs="mylotus" w:hint="cs"/>
          <w:sz w:val="23"/>
          <w:szCs w:val="23"/>
        </w:rPr>
      </w:pPr>
      <w:r w:rsidRPr="00563AE6">
        <w:rPr>
          <w:rStyle w:val="FootnoteReference"/>
          <w:rFonts w:cs="mylotus"/>
          <w:sz w:val="23"/>
          <w:szCs w:val="23"/>
          <w:vertAlign w:val="baseline"/>
          <w:rtl/>
        </w:rPr>
        <w:footnoteRef/>
      </w:r>
      <w:r>
        <w:rPr>
          <w:rFonts w:cs="mylotus"/>
          <w:sz w:val="23"/>
          <w:szCs w:val="23"/>
          <w:rtl/>
        </w:rPr>
        <w:t>-</w:t>
      </w:r>
      <w:r w:rsidRPr="00563AE6">
        <w:rPr>
          <w:rFonts w:cs="mylotus" w:hint="cs"/>
          <w:sz w:val="23"/>
          <w:szCs w:val="23"/>
          <w:rtl/>
        </w:rPr>
        <w:t xml:space="preserve"> انظر البيهقيُّ، السنن الكبرى، ج6، ص340، وانظر ابن هشام، السيرة النبوية، قسمة أسهم خيبر، ج2، ص 350 </w:t>
      </w:r>
      <w:r w:rsidRPr="00563AE6">
        <w:rPr>
          <w:rFonts w:cs="Times New Roman" w:hint="cs"/>
          <w:sz w:val="23"/>
          <w:szCs w:val="23"/>
          <w:rtl/>
        </w:rPr>
        <w:t>–</w:t>
      </w:r>
      <w:r w:rsidRPr="00563AE6">
        <w:rPr>
          <w:rFonts w:cs="mylotus" w:hint="cs"/>
          <w:sz w:val="23"/>
          <w:szCs w:val="23"/>
          <w:rtl/>
        </w:rPr>
        <w:t xml:space="preserve"> 352. (المُتَرْجِمُ)</w:t>
      </w:r>
    </w:p>
  </w:footnote>
  <w:footnote w:id="119">
    <w:p w:rsidR="00B31118" w:rsidRPr="00563AE6" w:rsidRDefault="00B31118" w:rsidP="00B300C9">
      <w:pPr>
        <w:spacing w:line="228" w:lineRule="auto"/>
        <w:ind w:left="378" w:hanging="378"/>
        <w:jc w:val="both"/>
        <w:rPr>
          <w:rFonts w:cs="mylotus" w:hint="cs"/>
          <w:sz w:val="23"/>
          <w:szCs w:val="23"/>
          <w:rtl/>
        </w:rPr>
      </w:pPr>
      <w:r w:rsidRPr="00563AE6">
        <w:rPr>
          <w:rStyle w:val="FootnoteReference"/>
          <w:rFonts w:cs="mylotus"/>
          <w:sz w:val="23"/>
          <w:szCs w:val="23"/>
          <w:vertAlign w:val="baseline"/>
          <w:rtl/>
        </w:rPr>
        <w:footnoteRef/>
      </w:r>
      <w:r>
        <w:rPr>
          <w:rFonts w:cs="mylotus"/>
          <w:sz w:val="23"/>
          <w:szCs w:val="23"/>
          <w:rtl/>
        </w:rPr>
        <w:t>-</w:t>
      </w:r>
      <w:r w:rsidRPr="00563AE6">
        <w:rPr>
          <w:rFonts w:cs="mylotus"/>
          <w:sz w:val="23"/>
          <w:szCs w:val="23"/>
          <w:rtl/>
        </w:rPr>
        <w:t xml:space="preserve"> </w:t>
      </w:r>
      <w:r w:rsidRPr="00563AE6">
        <w:rPr>
          <w:rFonts w:cs="mylotus" w:hint="cs"/>
          <w:sz w:val="23"/>
          <w:szCs w:val="23"/>
          <w:rtl/>
        </w:rPr>
        <w:t>ابن هشام، السيرة النبوية، ج2،  ص 392. (المُتَرْجِمُ)</w:t>
      </w:r>
    </w:p>
  </w:footnote>
  <w:footnote w:id="120">
    <w:p w:rsidR="00B31118" w:rsidRPr="00563AE6" w:rsidRDefault="00B31118" w:rsidP="002E2814">
      <w:pPr>
        <w:spacing w:line="228" w:lineRule="auto"/>
        <w:ind w:left="378" w:hanging="378"/>
        <w:jc w:val="both"/>
        <w:rPr>
          <w:rFonts w:cs="mylotus"/>
          <w:sz w:val="23"/>
          <w:szCs w:val="23"/>
        </w:rPr>
      </w:pPr>
      <w:r w:rsidRPr="00563AE6">
        <w:rPr>
          <w:rStyle w:val="FootnoteReference"/>
          <w:rFonts w:cs="mylotus"/>
          <w:sz w:val="23"/>
          <w:szCs w:val="23"/>
          <w:vertAlign w:val="baseline"/>
          <w:rtl/>
        </w:rPr>
        <w:footnoteRef/>
      </w:r>
      <w:r>
        <w:rPr>
          <w:rFonts w:cs="mylotus"/>
          <w:sz w:val="23"/>
          <w:szCs w:val="23"/>
          <w:rtl/>
        </w:rPr>
        <w:t>-</w:t>
      </w:r>
      <w:r w:rsidRPr="00563AE6">
        <w:rPr>
          <w:rFonts w:cs="mylotus" w:hint="cs"/>
          <w:sz w:val="23"/>
          <w:szCs w:val="23"/>
          <w:rtl/>
        </w:rPr>
        <w:t xml:space="preserve"> </w:t>
      </w:r>
      <w:r w:rsidRPr="00563AE6">
        <w:rPr>
          <w:rFonts w:cs="mylotus"/>
          <w:sz w:val="23"/>
          <w:szCs w:val="23"/>
          <w:rtl/>
        </w:rPr>
        <w:t>عبد الرزاق بن همام الصنعاني</w:t>
      </w:r>
      <w:r w:rsidRPr="00563AE6">
        <w:rPr>
          <w:rFonts w:cs="mylotus" w:hint="cs"/>
          <w:sz w:val="23"/>
          <w:szCs w:val="23"/>
          <w:rtl/>
        </w:rPr>
        <w:t>،</w:t>
      </w:r>
      <w:r w:rsidRPr="00563AE6">
        <w:rPr>
          <w:rFonts w:cs="mylotus"/>
          <w:sz w:val="23"/>
          <w:szCs w:val="23"/>
          <w:rtl/>
        </w:rPr>
        <w:t xml:space="preserve"> المصنَّف</w:t>
      </w:r>
      <w:r w:rsidRPr="00563AE6">
        <w:rPr>
          <w:rFonts w:cs="mylotus" w:hint="cs"/>
          <w:sz w:val="23"/>
          <w:szCs w:val="23"/>
          <w:rtl/>
        </w:rPr>
        <w:t>،</w:t>
      </w:r>
      <w:r w:rsidRPr="00563AE6">
        <w:rPr>
          <w:rFonts w:cs="mylotus"/>
          <w:sz w:val="23"/>
          <w:szCs w:val="23"/>
          <w:rtl/>
        </w:rPr>
        <w:t xml:space="preserve"> ج 5</w:t>
      </w:r>
      <w:r w:rsidRPr="00563AE6">
        <w:rPr>
          <w:rFonts w:cs="mylotus" w:hint="cs"/>
          <w:sz w:val="23"/>
          <w:szCs w:val="23"/>
          <w:rtl/>
        </w:rPr>
        <w:t xml:space="preserve">، </w:t>
      </w:r>
      <w:r w:rsidRPr="00563AE6">
        <w:rPr>
          <w:rFonts w:cs="mylotus"/>
          <w:sz w:val="23"/>
          <w:szCs w:val="23"/>
          <w:rtl/>
        </w:rPr>
        <w:t>ص 238</w:t>
      </w:r>
      <w:r w:rsidRPr="00563AE6">
        <w:rPr>
          <w:rFonts w:cs="mylotus" w:hint="cs"/>
          <w:sz w:val="23"/>
          <w:szCs w:val="23"/>
          <w:rtl/>
        </w:rPr>
        <w:t>، حديث</w:t>
      </w:r>
      <w:r w:rsidRPr="00563AE6">
        <w:rPr>
          <w:rFonts w:cs="mylotus"/>
          <w:sz w:val="23"/>
          <w:szCs w:val="23"/>
          <w:rtl/>
        </w:rPr>
        <w:t xml:space="preserve"> 9482</w:t>
      </w:r>
      <w:r w:rsidRPr="00563AE6">
        <w:rPr>
          <w:rFonts w:cs="mylotus" w:hint="cs"/>
          <w:sz w:val="23"/>
          <w:szCs w:val="23"/>
          <w:rtl/>
        </w:rPr>
        <w:t xml:space="preserve">. [المترجم: </w:t>
      </w:r>
      <w:r w:rsidRPr="00563AE6">
        <w:rPr>
          <w:rFonts w:cs="mylotus"/>
          <w:sz w:val="23"/>
          <w:szCs w:val="23"/>
          <w:rtl/>
        </w:rPr>
        <w:t xml:space="preserve"> </w:t>
      </w:r>
      <w:r w:rsidRPr="00563AE6">
        <w:rPr>
          <w:rFonts w:cs="mylotus" w:hint="cs"/>
          <w:sz w:val="23"/>
          <w:szCs w:val="23"/>
          <w:rtl/>
        </w:rPr>
        <w:t xml:space="preserve">الشرح بين المعقوفتين مستفاد من الرواية التي أخرجها الطحاوي في كتابه </w:t>
      </w:r>
      <w:r w:rsidRPr="00563AE6">
        <w:rPr>
          <w:rFonts w:cs="mylotus"/>
          <w:sz w:val="23"/>
          <w:szCs w:val="23"/>
          <w:rtl/>
        </w:rPr>
        <w:t>شرح معاني الآثار،</w:t>
      </w:r>
      <w:r w:rsidRPr="00563AE6">
        <w:rPr>
          <w:rFonts w:cs="mylotus" w:hint="cs"/>
          <w:sz w:val="23"/>
          <w:szCs w:val="23"/>
          <w:rtl/>
        </w:rPr>
        <w:t xml:space="preserve"> ج</w:t>
      </w:r>
      <w:r w:rsidRPr="00563AE6">
        <w:rPr>
          <w:rFonts w:cs="mylotus"/>
          <w:sz w:val="23"/>
          <w:szCs w:val="23"/>
          <w:rtl/>
        </w:rPr>
        <w:t xml:space="preserve"> 3، </w:t>
      </w:r>
      <w:r w:rsidRPr="00563AE6">
        <w:rPr>
          <w:rFonts w:cs="mylotus" w:hint="cs"/>
          <w:sz w:val="23"/>
          <w:szCs w:val="23"/>
          <w:rtl/>
        </w:rPr>
        <w:t xml:space="preserve">صص </w:t>
      </w:r>
      <w:r w:rsidRPr="00563AE6">
        <w:rPr>
          <w:rFonts w:cs="mylotus"/>
          <w:sz w:val="23"/>
          <w:szCs w:val="23"/>
          <w:rtl/>
        </w:rPr>
        <w:t>234 و277</w:t>
      </w:r>
      <w:r w:rsidRPr="00563AE6">
        <w:rPr>
          <w:rFonts w:cs="mylotus" w:hint="cs"/>
          <w:sz w:val="23"/>
          <w:szCs w:val="23"/>
          <w:rtl/>
        </w:rPr>
        <w:t>]. (المُتَرْجِمُ)</w:t>
      </w:r>
    </w:p>
  </w:footnote>
  <w:footnote w:id="121">
    <w:p w:rsidR="00B31118" w:rsidRPr="00563AE6" w:rsidRDefault="00B31118" w:rsidP="00B300C9">
      <w:pPr>
        <w:spacing w:line="228" w:lineRule="auto"/>
        <w:ind w:left="378" w:hanging="378"/>
        <w:jc w:val="both"/>
        <w:rPr>
          <w:rFonts w:cs="mylotus" w:hint="cs"/>
          <w:sz w:val="23"/>
          <w:szCs w:val="23"/>
          <w:rtl/>
        </w:rPr>
      </w:pPr>
      <w:r w:rsidRPr="00563AE6">
        <w:rPr>
          <w:rStyle w:val="FootnoteReference"/>
          <w:rFonts w:cs="mylotus"/>
          <w:sz w:val="23"/>
          <w:szCs w:val="23"/>
          <w:vertAlign w:val="baseline"/>
          <w:rtl/>
        </w:rPr>
        <w:footnoteRef/>
      </w:r>
      <w:r>
        <w:rPr>
          <w:rFonts w:cs="mylotus"/>
          <w:sz w:val="23"/>
          <w:szCs w:val="23"/>
          <w:rtl/>
        </w:rPr>
        <w:t>-</w:t>
      </w:r>
      <w:r w:rsidRPr="00563AE6">
        <w:rPr>
          <w:rFonts w:cs="mylotus" w:hint="cs"/>
          <w:sz w:val="23"/>
          <w:szCs w:val="23"/>
          <w:rtl/>
        </w:rPr>
        <w:t xml:space="preserve"> النوري الطبرسي، </w:t>
      </w:r>
      <w:r w:rsidRPr="00563AE6">
        <w:rPr>
          <w:rFonts w:cs="mylotus"/>
          <w:sz w:val="23"/>
          <w:szCs w:val="23"/>
          <w:rtl/>
        </w:rPr>
        <w:t>مستدرك‏ الوسائل، ج11، ص 91</w:t>
      </w:r>
      <w:r w:rsidRPr="00563AE6">
        <w:rPr>
          <w:rFonts w:cs="mylotus" w:hint="cs"/>
          <w:sz w:val="23"/>
          <w:szCs w:val="23"/>
          <w:rtl/>
        </w:rPr>
        <w:t xml:space="preserve"> نقلاً عن دعائم الإسلام. (المُتَرْجِمُ)</w:t>
      </w:r>
    </w:p>
  </w:footnote>
  <w:footnote w:id="122">
    <w:p w:rsidR="00B31118" w:rsidRPr="00563AE6" w:rsidRDefault="00B31118" w:rsidP="00B300C9">
      <w:pPr>
        <w:spacing w:line="228" w:lineRule="auto"/>
        <w:ind w:left="378" w:hanging="378"/>
        <w:jc w:val="both"/>
        <w:rPr>
          <w:rFonts w:cs="mylotus" w:hint="cs"/>
          <w:sz w:val="23"/>
          <w:szCs w:val="23"/>
          <w:rtl/>
        </w:rPr>
      </w:pPr>
      <w:r w:rsidRPr="00563AE6">
        <w:rPr>
          <w:rStyle w:val="FootnoteReference"/>
          <w:rFonts w:cs="mylotus"/>
          <w:sz w:val="23"/>
          <w:szCs w:val="23"/>
          <w:vertAlign w:val="baseline"/>
          <w:rtl/>
        </w:rPr>
        <w:footnoteRef/>
      </w:r>
      <w:r>
        <w:rPr>
          <w:rFonts w:cs="mylotus"/>
          <w:sz w:val="23"/>
          <w:szCs w:val="23"/>
          <w:rtl/>
        </w:rPr>
        <w:t>-</w:t>
      </w:r>
      <w:r w:rsidRPr="00563AE6">
        <w:rPr>
          <w:rFonts w:cs="mylotus" w:hint="cs"/>
          <w:sz w:val="23"/>
          <w:szCs w:val="23"/>
          <w:rtl/>
        </w:rPr>
        <w:t xml:space="preserve"> ابن أبي الحديد، شرح نهج البلاغة، ج7، ص41 نقلاً عن شيخه أبي جعفر الإسكافي، والمجلسي، </w:t>
      </w:r>
      <w:r w:rsidRPr="00563AE6">
        <w:rPr>
          <w:rFonts w:cs="mylotus"/>
          <w:sz w:val="23"/>
          <w:szCs w:val="23"/>
          <w:rtl/>
        </w:rPr>
        <w:t>بحار الأنوار، ج32، ص21- 22</w:t>
      </w:r>
      <w:r w:rsidRPr="00563AE6">
        <w:rPr>
          <w:rFonts w:cs="mylotus" w:hint="cs"/>
          <w:sz w:val="23"/>
          <w:szCs w:val="23"/>
          <w:rtl/>
        </w:rPr>
        <w:t xml:space="preserve"> نقلاً عنهما. (المُتَرْجِمُ)</w:t>
      </w:r>
    </w:p>
  </w:footnote>
  <w:footnote w:id="123">
    <w:p w:rsidR="00B31118" w:rsidRPr="00563AE6" w:rsidRDefault="00B31118" w:rsidP="00B300C9">
      <w:pPr>
        <w:spacing w:line="228" w:lineRule="auto"/>
        <w:ind w:left="378" w:hanging="378"/>
        <w:jc w:val="both"/>
        <w:rPr>
          <w:rFonts w:cs="mylotus" w:hint="cs"/>
          <w:sz w:val="23"/>
          <w:szCs w:val="23"/>
          <w:rtl/>
          <w:lang w:bidi="ar-SY"/>
        </w:rPr>
      </w:pPr>
      <w:r w:rsidRPr="00563AE6">
        <w:rPr>
          <w:rStyle w:val="FootnoteReference"/>
          <w:rFonts w:cs="mylotus"/>
          <w:sz w:val="23"/>
          <w:szCs w:val="23"/>
          <w:vertAlign w:val="baseline"/>
          <w:rtl/>
        </w:rPr>
        <w:footnoteRef/>
      </w:r>
      <w:r>
        <w:rPr>
          <w:rFonts w:cs="mylotus"/>
          <w:sz w:val="23"/>
          <w:szCs w:val="23"/>
          <w:rtl/>
        </w:rPr>
        <w:t>-</w:t>
      </w:r>
      <w:r w:rsidRPr="00563AE6">
        <w:rPr>
          <w:rFonts w:cs="mylotus" w:hint="cs"/>
          <w:sz w:val="23"/>
          <w:szCs w:val="23"/>
          <w:rtl/>
        </w:rPr>
        <w:t xml:space="preserve"> </w:t>
      </w:r>
      <w:r w:rsidRPr="00563AE6">
        <w:rPr>
          <w:rFonts w:cs="mylotus"/>
          <w:sz w:val="23"/>
          <w:szCs w:val="23"/>
          <w:rtl/>
        </w:rPr>
        <w:t>الأمالي</w:t>
      </w:r>
      <w:r w:rsidRPr="00563AE6">
        <w:rPr>
          <w:rFonts w:cs="mylotus" w:hint="cs"/>
          <w:sz w:val="23"/>
          <w:szCs w:val="23"/>
          <w:rtl/>
        </w:rPr>
        <w:t xml:space="preserve"> </w:t>
      </w:r>
      <w:r w:rsidRPr="00563AE6">
        <w:rPr>
          <w:rFonts w:cs="mylotus"/>
          <w:sz w:val="23"/>
          <w:szCs w:val="23"/>
          <w:rtl/>
        </w:rPr>
        <w:t>‏للطوسي</w:t>
      </w:r>
      <w:r w:rsidRPr="00563AE6">
        <w:rPr>
          <w:rFonts w:cs="mylotus" w:hint="cs"/>
          <w:sz w:val="23"/>
          <w:szCs w:val="23"/>
          <w:rtl/>
        </w:rPr>
        <w:t>،</w:t>
      </w:r>
      <w:r w:rsidRPr="00563AE6">
        <w:rPr>
          <w:rFonts w:cs="mylotus"/>
          <w:sz w:val="23"/>
          <w:szCs w:val="23"/>
          <w:rtl/>
        </w:rPr>
        <w:t xml:space="preserve"> ص 194</w:t>
      </w:r>
      <w:r w:rsidRPr="00563AE6">
        <w:rPr>
          <w:rFonts w:cs="mylotus" w:hint="cs"/>
          <w:sz w:val="23"/>
          <w:szCs w:val="23"/>
          <w:rtl/>
        </w:rPr>
        <w:t>، و</w:t>
      </w:r>
      <w:r w:rsidRPr="00563AE6">
        <w:rPr>
          <w:rFonts w:cs="mylotus"/>
          <w:sz w:val="23"/>
          <w:szCs w:val="23"/>
          <w:rtl/>
        </w:rPr>
        <w:t>الأمال</w:t>
      </w:r>
      <w:r w:rsidRPr="00563AE6">
        <w:rPr>
          <w:rFonts w:cs="mylotus" w:hint="cs"/>
          <w:sz w:val="23"/>
          <w:szCs w:val="23"/>
          <w:rtl/>
        </w:rPr>
        <w:t xml:space="preserve">ي </w:t>
      </w:r>
      <w:r w:rsidRPr="00563AE6">
        <w:rPr>
          <w:rFonts w:cs="mylotus"/>
          <w:sz w:val="23"/>
          <w:szCs w:val="23"/>
          <w:rtl/>
        </w:rPr>
        <w:t>‏للمفيد</w:t>
      </w:r>
      <w:r w:rsidRPr="00563AE6">
        <w:rPr>
          <w:rFonts w:cs="mylotus" w:hint="cs"/>
          <w:sz w:val="23"/>
          <w:szCs w:val="23"/>
          <w:rtl/>
        </w:rPr>
        <w:t>،</w:t>
      </w:r>
      <w:r w:rsidRPr="00563AE6">
        <w:rPr>
          <w:rFonts w:cs="mylotus"/>
          <w:sz w:val="23"/>
          <w:szCs w:val="23"/>
          <w:rtl/>
        </w:rPr>
        <w:t xml:space="preserve"> ص176</w:t>
      </w:r>
      <w:r w:rsidRPr="00563AE6">
        <w:rPr>
          <w:rFonts w:cs="mylotus" w:hint="cs"/>
          <w:sz w:val="23"/>
          <w:szCs w:val="23"/>
          <w:rtl/>
        </w:rPr>
        <w:t xml:space="preserve">، وبلفظ قريب منه: نهج البلاغة، ص 183، خطبة رقم </w:t>
      </w:r>
      <w:r w:rsidRPr="00563AE6">
        <w:rPr>
          <w:rFonts w:cs="mylotus"/>
          <w:sz w:val="23"/>
          <w:szCs w:val="23"/>
          <w:rtl/>
        </w:rPr>
        <w:t>126</w:t>
      </w:r>
      <w:r w:rsidRPr="00563AE6">
        <w:rPr>
          <w:rFonts w:cs="mylotus" w:hint="cs"/>
          <w:sz w:val="23"/>
          <w:szCs w:val="23"/>
          <w:rtl/>
        </w:rPr>
        <w:t>: و</w:t>
      </w:r>
      <w:r w:rsidRPr="00563AE6">
        <w:rPr>
          <w:rFonts w:cs="mylotus"/>
          <w:sz w:val="23"/>
          <w:szCs w:val="23"/>
          <w:rtl/>
        </w:rPr>
        <w:t xml:space="preserve">من كلام له </w:t>
      </w:r>
      <w:r w:rsidRPr="00BC4BA9">
        <w:rPr>
          <w:rFonts w:cs="CTraditional Arabic"/>
          <w:sz w:val="23"/>
          <w:szCs w:val="23"/>
          <w:rtl/>
        </w:rPr>
        <w:t>÷</w:t>
      </w:r>
      <w:r w:rsidRPr="00563AE6">
        <w:rPr>
          <w:rFonts w:cs="mylotus"/>
          <w:sz w:val="23"/>
          <w:szCs w:val="23"/>
          <w:rtl/>
        </w:rPr>
        <w:t xml:space="preserve"> لما عوتب على التسوية في العطاء</w:t>
      </w:r>
      <w:r w:rsidRPr="00563AE6">
        <w:rPr>
          <w:rFonts w:cs="mylotus" w:hint="cs"/>
          <w:sz w:val="23"/>
          <w:szCs w:val="23"/>
          <w:rtl/>
        </w:rPr>
        <w:t>. (المُتَرْجِمُ)</w:t>
      </w:r>
    </w:p>
  </w:footnote>
  <w:footnote w:id="124">
    <w:p w:rsidR="00B31118" w:rsidRPr="00563AE6" w:rsidRDefault="00B31118" w:rsidP="00B300C9">
      <w:pPr>
        <w:spacing w:line="228" w:lineRule="auto"/>
        <w:ind w:left="378" w:hanging="378"/>
        <w:jc w:val="both"/>
        <w:rPr>
          <w:rFonts w:cs="mylotus" w:hint="cs"/>
          <w:sz w:val="23"/>
          <w:szCs w:val="23"/>
          <w:rtl/>
        </w:rPr>
      </w:pPr>
      <w:r w:rsidRPr="00563AE6">
        <w:rPr>
          <w:rStyle w:val="FootnoteReference"/>
          <w:rFonts w:cs="mylotus"/>
          <w:sz w:val="23"/>
          <w:szCs w:val="23"/>
          <w:vertAlign w:val="baseline"/>
          <w:rtl/>
        </w:rPr>
        <w:footnoteRef/>
      </w:r>
      <w:r>
        <w:rPr>
          <w:rFonts w:cs="mylotus"/>
          <w:sz w:val="23"/>
          <w:szCs w:val="23"/>
          <w:rtl/>
        </w:rPr>
        <w:t>-</w:t>
      </w:r>
      <w:r w:rsidRPr="00563AE6">
        <w:rPr>
          <w:rFonts w:cs="mylotus"/>
          <w:sz w:val="23"/>
          <w:szCs w:val="23"/>
          <w:rtl/>
        </w:rPr>
        <w:t xml:space="preserve"> </w:t>
      </w:r>
      <w:r w:rsidRPr="00563AE6">
        <w:rPr>
          <w:rFonts w:cs="mylotus" w:hint="cs"/>
          <w:sz w:val="23"/>
          <w:szCs w:val="23"/>
          <w:rtl/>
        </w:rPr>
        <w:t xml:space="preserve">البيهقي، السنن الكبرى، ج 7، ص 32. وروى أبو عبيد القاسم بن سلام في كتابه </w:t>
      </w:r>
      <w:r w:rsidRPr="00563AE6">
        <w:rPr>
          <w:rFonts w:ascii="Lotus Linotype" w:hAnsi="Lotus Linotype" w:cs="mylotus"/>
          <w:sz w:val="23"/>
          <w:szCs w:val="23"/>
          <w:rtl/>
        </w:rPr>
        <w:t>«</w:t>
      </w:r>
      <w:r w:rsidRPr="00563AE6">
        <w:rPr>
          <w:rFonts w:cs="mylotus" w:hint="cs"/>
          <w:sz w:val="23"/>
          <w:szCs w:val="23"/>
          <w:rtl/>
        </w:rPr>
        <w:t>الأموال</w:t>
      </w:r>
      <w:r w:rsidRPr="00563AE6">
        <w:rPr>
          <w:rFonts w:ascii="Lotus Linotype" w:hAnsi="Lotus Linotype" w:cs="mylotus"/>
          <w:sz w:val="23"/>
          <w:szCs w:val="23"/>
          <w:rtl/>
        </w:rPr>
        <w:t>»</w:t>
      </w:r>
      <w:r w:rsidRPr="00563AE6">
        <w:rPr>
          <w:rFonts w:cs="mylotus" w:hint="cs"/>
          <w:sz w:val="23"/>
          <w:szCs w:val="23"/>
          <w:rtl/>
        </w:rPr>
        <w:t xml:space="preserve"> (كتاب الخمس، باب سهم ذي القربى من الخمس) القصة ذاتها بهذا التفصيل والتوضيح لسبب قوله </w:t>
      </w:r>
      <w:r w:rsidRPr="003C7AEB">
        <w:rPr>
          <w:rFonts w:ascii="Abo-thar" w:hAnsi="Abo-thar" w:cs="CTraditional Arabic"/>
          <w:sz w:val="23"/>
          <w:szCs w:val="23"/>
          <w:rtl/>
        </w:rPr>
        <w:t>ص</w:t>
      </w:r>
      <w:r w:rsidRPr="00563AE6">
        <w:rPr>
          <w:rFonts w:ascii="Abo-thar" w:hAnsi="Abo-thar" w:cs="mylotus"/>
          <w:sz w:val="23"/>
          <w:szCs w:val="23"/>
          <w:rtl/>
        </w:rPr>
        <w:t xml:space="preserve"> </w:t>
      </w:r>
      <w:r w:rsidRPr="00563AE6">
        <w:rPr>
          <w:rFonts w:cs="mylotus" w:hint="cs"/>
          <w:sz w:val="23"/>
          <w:szCs w:val="23"/>
          <w:rtl/>
        </w:rPr>
        <w:t>(</w:t>
      </w:r>
      <w:r w:rsidRPr="00563AE6">
        <w:rPr>
          <w:rFonts w:cs="mylotus"/>
          <w:sz w:val="23"/>
          <w:szCs w:val="23"/>
          <w:rtl/>
        </w:rPr>
        <w:t>إِنَّ الصَّدَقَةَ لاَ تَنْبَغِ</w:t>
      </w:r>
      <w:r w:rsidRPr="00563AE6">
        <w:rPr>
          <w:rFonts w:cs="mylotus" w:hint="cs"/>
          <w:sz w:val="23"/>
          <w:szCs w:val="23"/>
          <w:rtl/>
        </w:rPr>
        <w:t>ي</w:t>
      </w:r>
      <w:r w:rsidRPr="00563AE6">
        <w:rPr>
          <w:rFonts w:cs="mylotus"/>
          <w:sz w:val="23"/>
          <w:szCs w:val="23"/>
          <w:rtl/>
        </w:rPr>
        <w:t xml:space="preserve"> لآلِ مُحَمَّدٍ إِنَّمَا هِ</w:t>
      </w:r>
      <w:r w:rsidRPr="00563AE6">
        <w:rPr>
          <w:rFonts w:cs="mylotus" w:hint="cs"/>
          <w:sz w:val="23"/>
          <w:szCs w:val="23"/>
          <w:rtl/>
        </w:rPr>
        <w:t>يَ</w:t>
      </w:r>
      <w:r w:rsidRPr="00563AE6">
        <w:rPr>
          <w:rFonts w:cs="mylotus"/>
          <w:sz w:val="23"/>
          <w:szCs w:val="23"/>
          <w:rtl/>
        </w:rPr>
        <w:t xml:space="preserve"> أَوْسَاخُ النَّاسِ</w:t>
      </w:r>
      <w:r w:rsidRPr="00563AE6">
        <w:rPr>
          <w:rFonts w:cs="mylotus" w:hint="cs"/>
          <w:sz w:val="23"/>
          <w:szCs w:val="23"/>
          <w:rtl/>
        </w:rPr>
        <w:t xml:space="preserve">). وأفضل دليل على أن تحريم الصدقة على آل محمد وبني هاشم إنما كان أمراً مختصاً بزمن حياة رسول الله </w:t>
      </w:r>
      <w:r w:rsidRPr="003C7AEB">
        <w:rPr>
          <w:rFonts w:ascii="Abo-thar" w:hAnsi="Abo-thar" w:cs="CTraditional Arabic"/>
          <w:sz w:val="23"/>
          <w:szCs w:val="23"/>
          <w:rtl/>
        </w:rPr>
        <w:t>ص</w:t>
      </w:r>
      <w:r w:rsidRPr="00563AE6">
        <w:rPr>
          <w:rFonts w:ascii="Abo-thar" w:hAnsi="Abo-thar" w:cs="mylotus"/>
          <w:sz w:val="23"/>
          <w:szCs w:val="23"/>
          <w:rtl/>
        </w:rPr>
        <w:t xml:space="preserve"> </w:t>
      </w:r>
      <w:r w:rsidRPr="00563AE6">
        <w:rPr>
          <w:rFonts w:cs="mylotus" w:hint="cs"/>
          <w:sz w:val="23"/>
          <w:szCs w:val="23"/>
          <w:rtl/>
        </w:rPr>
        <w:t xml:space="preserve">هو هذه القصة وأنه </w:t>
      </w:r>
      <w:r w:rsidRPr="003C7AEB">
        <w:rPr>
          <w:rFonts w:ascii="Abo-thar" w:hAnsi="Abo-thar" w:cs="CTraditional Arabic"/>
          <w:sz w:val="23"/>
          <w:szCs w:val="23"/>
          <w:rtl/>
        </w:rPr>
        <w:t>ص</w:t>
      </w:r>
      <w:r w:rsidRPr="00563AE6">
        <w:rPr>
          <w:rFonts w:ascii="Abo-thar" w:hAnsi="Abo-thar" w:cs="mylotus"/>
          <w:sz w:val="23"/>
          <w:szCs w:val="23"/>
          <w:rtl/>
        </w:rPr>
        <w:t xml:space="preserve"> </w:t>
      </w:r>
      <w:r w:rsidRPr="00563AE6">
        <w:rPr>
          <w:rFonts w:cs="mylotus" w:hint="cs"/>
          <w:sz w:val="23"/>
          <w:szCs w:val="23"/>
          <w:rtl/>
        </w:rPr>
        <w:t xml:space="preserve">لم يجعل خلال حياته أياً من بني هاشم عاملاً على الزكاة ولم يولهم على الأمصار إلا تلك المدة القصيرة التي ولَّى فيها علياً </w:t>
      </w:r>
      <w:r w:rsidRPr="00BC4BA9">
        <w:rPr>
          <w:rFonts w:cs="CTraditional Arabic" w:hint="cs"/>
          <w:sz w:val="23"/>
          <w:szCs w:val="23"/>
          <w:rtl/>
        </w:rPr>
        <w:t>÷</w:t>
      </w:r>
      <w:r w:rsidRPr="00563AE6">
        <w:rPr>
          <w:rFonts w:cs="mylotus" w:hint="cs"/>
          <w:sz w:val="23"/>
          <w:szCs w:val="23"/>
          <w:rtl/>
        </w:rPr>
        <w:t xml:space="preserve"> على اليمن وأمره بأخذ الصدقات من أهلها، أما في زمن خلافة عليٍّ </w:t>
      </w:r>
      <w:r w:rsidRPr="00BC4BA9">
        <w:rPr>
          <w:rFonts w:cs="CTraditional Arabic" w:hint="cs"/>
          <w:sz w:val="23"/>
          <w:szCs w:val="23"/>
          <w:rtl/>
        </w:rPr>
        <w:t>÷</w:t>
      </w:r>
      <w:r w:rsidRPr="00563AE6">
        <w:rPr>
          <w:rFonts w:cs="mylotus" w:hint="cs"/>
          <w:sz w:val="23"/>
          <w:szCs w:val="23"/>
          <w:rtl/>
        </w:rPr>
        <w:t xml:space="preserve"> فنجد أن أكثر ولاته على الأمصار كانوا من بني هاشم وقد أوكل إليهم مهمة جباية أموال الزكاة من أهاليها، فقد ولى أولاد عمه العباس جميعاً، فولَّى </w:t>
      </w:r>
      <w:r w:rsidRPr="00563AE6">
        <w:rPr>
          <w:rFonts w:ascii="Lotus Linotype" w:hAnsi="Lotus Linotype" w:cs="mylotus"/>
          <w:sz w:val="23"/>
          <w:szCs w:val="23"/>
          <w:rtl/>
        </w:rPr>
        <w:t>«</w:t>
      </w:r>
      <w:r w:rsidRPr="00563AE6">
        <w:rPr>
          <w:rFonts w:cs="mylotus" w:hint="cs"/>
          <w:sz w:val="23"/>
          <w:szCs w:val="23"/>
          <w:rtl/>
        </w:rPr>
        <w:t>عبد الله بن عباس</w:t>
      </w:r>
      <w:r w:rsidRPr="00563AE6">
        <w:rPr>
          <w:rFonts w:ascii="Lotus Linotype" w:hAnsi="Lotus Linotype" w:cs="mylotus"/>
          <w:sz w:val="23"/>
          <w:szCs w:val="23"/>
          <w:rtl/>
        </w:rPr>
        <w:t>»</w:t>
      </w:r>
      <w:r w:rsidRPr="00563AE6">
        <w:rPr>
          <w:rFonts w:cs="mylotus" w:hint="cs"/>
          <w:sz w:val="23"/>
          <w:szCs w:val="23"/>
          <w:rtl/>
        </w:rPr>
        <w:t xml:space="preserve"> على البصرة و</w:t>
      </w:r>
      <w:r w:rsidRPr="00563AE6">
        <w:rPr>
          <w:rFonts w:ascii="Lotus Linotype" w:hAnsi="Lotus Linotype" w:cs="mylotus"/>
          <w:sz w:val="23"/>
          <w:szCs w:val="23"/>
          <w:rtl/>
        </w:rPr>
        <w:t>«</w:t>
      </w:r>
      <w:r w:rsidRPr="00563AE6">
        <w:rPr>
          <w:rFonts w:cs="mylotus" w:hint="cs"/>
          <w:sz w:val="23"/>
          <w:szCs w:val="23"/>
          <w:rtl/>
        </w:rPr>
        <w:t>عبيد الله بن العباس</w:t>
      </w:r>
      <w:r w:rsidRPr="00563AE6">
        <w:rPr>
          <w:rFonts w:ascii="Lotus Linotype" w:hAnsi="Lotus Linotype" w:cs="mylotus"/>
          <w:sz w:val="23"/>
          <w:szCs w:val="23"/>
          <w:rtl/>
        </w:rPr>
        <w:t>»</w:t>
      </w:r>
      <w:r w:rsidRPr="00563AE6">
        <w:rPr>
          <w:rFonts w:cs="mylotus" w:hint="cs"/>
          <w:sz w:val="23"/>
          <w:szCs w:val="23"/>
          <w:rtl/>
        </w:rPr>
        <w:t xml:space="preserve"> على اليمن و</w:t>
      </w:r>
      <w:r w:rsidRPr="00563AE6">
        <w:rPr>
          <w:rFonts w:ascii="Lotus Linotype" w:hAnsi="Lotus Linotype" w:cs="mylotus"/>
          <w:sz w:val="23"/>
          <w:szCs w:val="23"/>
          <w:rtl/>
        </w:rPr>
        <w:t>«</w:t>
      </w:r>
      <w:r w:rsidRPr="00563AE6">
        <w:rPr>
          <w:rFonts w:cs="mylotus" w:hint="cs"/>
          <w:sz w:val="23"/>
          <w:szCs w:val="23"/>
          <w:rtl/>
        </w:rPr>
        <w:t>قثم بن العباس</w:t>
      </w:r>
      <w:r w:rsidRPr="00563AE6">
        <w:rPr>
          <w:rFonts w:ascii="Lotus Linotype" w:hAnsi="Lotus Linotype" w:cs="mylotus"/>
          <w:sz w:val="23"/>
          <w:szCs w:val="23"/>
          <w:rtl/>
        </w:rPr>
        <w:t>»</w:t>
      </w:r>
      <w:r w:rsidRPr="00563AE6">
        <w:rPr>
          <w:rFonts w:cs="mylotus" w:hint="cs"/>
          <w:sz w:val="23"/>
          <w:szCs w:val="23"/>
          <w:rtl/>
        </w:rPr>
        <w:t xml:space="preserve"> على مكة و</w:t>
      </w:r>
      <w:r w:rsidRPr="00563AE6">
        <w:rPr>
          <w:rFonts w:ascii="Lotus Linotype" w:hAnsi="Lotus Linotype" w:cs="mylotus"/>
          <w:sz w:val="23"/>
          <w:szCs w:val="23"/>
          <w:rtl/>
        </w:rPr>
        <w:t>«</w:t>
      </w:r>
      <w:r w:rsidRPr="00563AE6">
        <w:rPr>
          <w:rFonts w:cs="mylotus" w:hint="cs"/>
          <w:sz w:val="23"/>
          <w:szCs w:val="23"/>
          <w:rtl/>
        </w:rPr>
        <w:t>معبد بن العباس</w:t>
      </w:r>
      <w:r w:rsidRPr="00563AE6">
        <w:rPr>
          <w:rFonts w:ascii="Lotus Linotype" w:hAnsi="Lotus Linotype" w:cs="mylotus"/>
          <w:sz w:val="23"/>
          <w:szCs w:val="23"/>
          <w:rtl/>
        </w:rPr>
        <w:t>»</w:t>
      </w:r>
      <w:r w:rsidRPr="00563AE6">
        <w:rPr>
          <w:rFonts w:cs="mylotus" w:hint="cs"/>
          <w:sz w:val="23"/>
          <w:szCs w:val="23"/>
          <w:rtl/>
        </w:rPr>
        <w:t xml:space="preserve"> على المدينة، وولَّى </w:t>
      </w:r>
      <w:r w:rsidRPr="00563AE6">
        <w:rPr>
          <w:rFonts w:cs="mylotus"/>
          <w:sz w:val="23"/>
          <w:szCs w:val="23"/>
          <w:rtl/>
        </w:rPr>
        <w:t xml:space="preserve">ابن </w:t>
      </w:r>
      <w:r w:rsidRPr="00563AE6">
        <w:rPr>
          <w:rFonts w:cs="mylotus" w:hint="cs"/>
          <w:sz w:val="23"/>
          <w:szCs w:val="23"/>
          <w:rtl/>
        </w:rPr>
        <w:t>أخته</w:t>
      </w:r>
      <w:r w:rsidRPr="00563AE6">
        <w:rPr>
          <w:rFonts w:cs="mylotus"/>
          <w:sz w:val="23"/>
          <w:szCs w:val="23"/>
          <w:rtl/>
        </w:rPr>
        <w:t xml:space="preserve"> </w:t>
      </w:r>
      <w:r w:rsidRPr="00563AE6">
        <w:rPr>
          <w:rFonts w:cs="mylotus" w:hint="cs"/>
          <w:sz w:val="23"/>
          <w:szCs w:val="23"/>
          <w:rtl/>
        </w:rPr>
        <w:t>[أ</w:t>
      </w:r>
      <w:r w:rsidRPr="00563AE6">
        <w:rPr>
          <w:rFonts w:cs="mylotus"/>
          <w:sz w:val="23"/>
          <w:szCs w:val="23"/>
          <w:rtl/>
        </w:rPr>
        <w:t>م هاني بنت أبى طالب</w:t>
      </w:r>
      <w:r w:rsidRPr="00563AE6">
        <w:rPr>
          <w:rFonts w:cs="mylotus" w:hint="cs"/>
          <w:sz w:val="23"/>
          <w:szCs w:val="23"/>
          <w:rtl/>
        </w:rPr>
        <w:t>]:</w:t>
      </w:r>
      <w:r w:rsidRPr="00563AE6">
        <w:rPr>
          <w:rFonts w:cs="mylotus"/>
          <w:sz w:val="23"/>
          <w:szCs w:val="23"/>
          <w:rtl/>
        </w:rPr>
        <w:t xml:space="preserve"> </w:t>
      </w:r>
      <w:r w:rsidRPr="00563AE6">
        <w:rPr>
          <w:rFonts w:ascii="Lotus Linotype" w:hAnsi="Lotus Linotype" w:cs="mylotus"/>
          <w:sz w:val="23"/>
          <w:szCs w:val="23"/>
          <w:rtl/>
        </w:rPr>
        <w:t>«</w:t>
      </w:r>
      <w:r w:rsidRPr="00563AE6">
        <w:rPr>
          <w:rFonts w:cs="mylotus"/>
          <w:sz w:val="23"/>
          <w:szCs w:val="23"/>
          <w:rtl/>
        </w:rPr>
        <w:t>جعدة</w:t>
      </w:r>
      <w:r w:rsidRPr="00563AE6">
        <w:rPr>
          <w:rFonts w:cs="mylotus" w:hint="cs"/>
          <w:sz w:val="23"/>
          <w:szCs w:val="23"/>
          <w:rtl/>
        </w:rPr>
        <w:t xml:space="preserve"> </w:t>
      </w:r>
      <w:r w:rsidRPr="00563AE6">
        <w:rPr>
          <w:rFonts w:cs="mylotus"/>
          <w:sz w:val="23"/>
          <w:szCs w:val="23"/>
          <w:rtl/>
        </w:rPr>
        <w:t xml:space="preserve">بن هبيرة </w:t>
      </w:r>
      <w:r w:rsidRPr="00563AE6">
        <w:rPr>
          <w:rFonts w:cs="mylotus" w:hint="cs"/>
          <w:sz w:val="23"/>
          <w:szCs w:val="23"/>
          <w:rtl/>
        </w:rPr>
        <w:t xml:space="preserve">بن وهب </w:t>
      </w:r>
      <w:r w:rsidRPr="00563AE6">
        <w:rPr>
          <w:rFonts w:cs="mylotus"/>
          <w:sz w:val="23"/>
          <w:szCs w:val="23"/>
          <w:rtl/>
        </w:rPr>
        <w:t>المخزومي</w:t>
      </w:r>
      <w:r w:rsidRPr="00563AE6">
        <w:rPr>
          <w:rFonts w:ascii="Lotus Linotype" w:hAnsi="Lotus Linotype" w:cs="mylotus"/>
          <w:sz w:val="23"/>
          <w:szCs w:val="23"/>
          <w:rtl/>
        </w:rPr>
        <w:t>»</w:t>
      </w:r>
      <w:r w:rsidRPr="00563AE6">
        <w:rPr>
          <w:rFonts w:ascii="Lotus Linotype" w:hAnsi="Lotus Linotype" w:cs="mylotus" w:hint="cs"/>
          <w:sz w:val="23"/>
          <w:szCs w:val="23"/>
          <w:rtl/>
        </w:rPr>
        <w:t xml:space="preserve"> على خراسان وأمره بجباية الزكاة والخراج من أهلها.</w:t>
      </w:r>
    </w:p>
  </w:footnote>
  <w:footnote w:id="125">
    <w:p w:rsidR="00B31118" w:rsidRPr="00563AE6" w:rsidRDefault="00B31118" w:rsidP="00833C06">
      <w:pPr>
        <w:spacing w:line="228" w:lineRule="auto"/>
        <w:ind w:left="378" w:hanging="378"/>
        <w:jc w:val="both"/>
        <w:rPr>
          <w:rFonts w:cs="mylotus" w:hint="cs"/>
          <w:sz w:val="23"/>
          <w:szCs w:val="23"/>
          <w:rtl/>
        </w:rPr>
      </w:pPr>
      <w:r w:rsidRPr="00563AE6">
        <w:rPr>
          <w:rStyle w:val="FootnoteReference"/>
          <w:rFonts w:cs="mylotus"/>
          <w:sz w:val="23"/>
          <w:szCs w:val="23"/>
          <w:vertAlign w:val="baseline"/>
          <w:rtl/>
        </w:rPr>
        <w:footnoteRef/>
      </w:r>
      <w:r>
        <w:rPr>
          <w:rFonts w:cs="mylotus"/>
          <w:sz w:val="23"/>
          <w:szCs w:val="23"/>
          <w:rtl/>
        </w:rPr>
        <w:t>-</w:t>
      </w:r>
      <w:r w:rsidRPr="00563AE6">
        <w:rPr>
          <w:rFonts w:cs="mylotus"/>
          <w:sz w:val="23"/>
          <w:szCs w:val="23"/>
          <w:rtl/>
        </w:rPr>
        <w:t xml:space="preserve"> </w:t>
      </w:r>
      <w:r w:rsidRPr="00563AE6">
        <w:rPr>
          <w:rFonts w:cs="mylotus" w:hint="cs"/>
          <w:sz w:val="23"/>
          <w:szCs w:val="23"/>
          <w:rtl/>
        </w:rPr>
        <w:t xml:space="preserve">وفي وسائل الشيعة (ج2، ص36) طبع أمير بهادر، [أو </w:t>
      </w:r>
      <w:r w:rsidRPr="00563AE6">
        <w:rPr>
          <w:rFonts w:cs="mylotus"/>
          <w:sz w:val="23"/>
          <w:szCs w:val="23"/>
          <w:rtl/>
        </w:rPr>
        <w:t>ج9</w:t>
      </w:r>
      <w:r w:rsidRPr="00563AE6">
        <w:rPr>
          <w:rFonts w:cs="mylotus" w:hint="cs"/>
          <w:sz w:val="23"/>
          <w:szCs w:val="23"/>
          <w:rtl/>
        </w:rPr>
        <w:t>، ص</w:t>
      </w:r>
      <w:r w:rsidRPr="00563AE6">
        <w:rPr>
          <w:rFonts w:cs="mylotus"/>
          <w:sz w:val="23"/>
          <w:szCs w:val="23"/>
          <w:rtl/>
        </w:rPr>
        <w:t>270</w:t>
      </w:r>
      <w:r w:rsidRPr="00563AE6">
        <w:rPr>
          <w:rFonts w:cs="mylotus" w:hint="cs"/>
          <w:sz w:val="23"/>
          <w:szCs w:val="23"/>
          <w:rtl/>
        </w:rPr>
        <w:t xml:space="preserve"> من طبعة قم: مؤسسة آل البيت، 1409هـ]: «</w:t>
      </w:r>
      <w:r w:rsidRPr="00563AE6">
        <w:rPr>
          <w:rFonts w:cs="mylotus"/>
          <w:sz w:val="23"/>
          <w:szCs w:val="23"/>
          <w:rtl/>
        </w:rPr>
        <w:t xml:space="preserve">الفَضْلُ بْنُ الحَسَنِ الطَّبْرِسِيُّ فِي صَحِيفَةِ الرِّضَا </w:t>
      </w:r>
      <w:r w:rsidRPr="00BC4BA9">
        <w:rPr>
          <w:rFonts w:cs="CTraditional Arabic" w:hint="cs"/>
          <w:sz w:val="23"/>
          <w:szCs w:val="23"/>
          <w:rtl/>
        </w:rPr>
        <w:t>÷</w:t>
      </w:r>
      <w:r w:rsidRPr="00563AE6">
        <w:rPr>
          <w:rFonts w:cs="mylotus"/>
          <w:sz w:val="23"/>
          <w:szCs w:val="23"/>
          <w:rtl/>
        </w:rPr>
        <w:t xml:space="preserve"> بِإِسْنَادِهِ قَالَ قَالَ رَسُولُ اللهِ </w:t>
      </w:r>
      <w:r w:rsidRPr="00833C06">
        <w:rPr>
          <w:rFonts w:ascii="Abo-thar" w:hAnsi="Abo-thar" w:cs="CTraditional Arabic"/>
          <w:szCs w:val="24"/>
          <w:rtl/>
          <w:lang w:bidi="ar-SY"/>
        </w:rPr>
        <w:t>ص</w:t>
      </w:r>
      <w:r w:rsidRPr="00563AE6">
        <w:rPr>
          <w:rFonts w:cs="mylotus" w:hint="cs"/>
          <w:sz w:val="23"/>
          <w:szCs w:val="23"/>
          <w:rtl/>
        </w:rPr>
        <w:t>:</w:t>
      </w:r>
      <w:r w:rsidRPr="00563AE6">
        <w:rPr>
          <w:rFonts w:cs="mylotus"/>
          <w:sz w:val="23"/>
          <w:szCs w:val="23"/>
          <w:rtl/>
        </w:rPr>
        <w:t xml:space="preserve"> إِنَّا أَهْلُ بَيْتٍ لَا تَحِلُّ لَنَا الصَّدَقَةُ وَأُمِرْنَا بِإِسْبَاغِ الوُضُوءِ وَأَنْ لَا نُنْزِيَ حِمَاراً عَلَى عَتِيقَةٍ</w:t>
      </w:r>
      <w:r w:rsidRPr="00563AE6">
        <w:rPr>
          <w:rFonts w:cs="mylotus" w:hint="cs"/>
          <w:sz w:val="23"/>
          <w:szCs w:val="23"/>
          <w:rtl/>
        </w:rPr>
        <w:t>، و</w:t>
      </w:r>
      <w:r w:rsidRPr="00563AE6">
        <w:rPr>
          <w:rFonts w:cs="mylotus"/>
          <w:sz w:val="23"/>
          <w:szCs w:val="23"/>
          <w:rtl/>
        </w:rPr>
        <w:t>لَا نَمْسَحَ عَلَى خُفٍّ</w:t>
      </w:r>
      <w:r w:rsidRPr="00563AE6">
        <w:rPr>
          <w:rFonts w:cs="mylotus" w:hint="cs"/>
          <w:sz w:val="23"/>
          <w:szCs w:val="23"/>
          <w:rtl/>
        </w:rPr>
        <w:t xml:space="preserve">». </w:t>
      </w:r>
    </w:p>
  </w:footnote>
  <w:footnote w:id="126">
    <w:p w:rsidR="00B31118" w:rsidRPr="00563AE6" w:rsidRDefault="00B31118" w:rsidP="00B300C9">
      <w:pPr>
        <w:spacing w:line="228" w:lineRule="auto"/>
        <w:ind w:left="378" w:hanging="378"/>
        <w:jc w:val="both"/>
        <w:rPr>
          <w:rFonts w:cs="mylotus"/>
          <w:sz w:val="23"/>
          <w:szCs w:val="23"/>
          <w:rtl/>
        </w:rPr>
      </w:pPr>
      <w:r w:rsidRPr="00563AE6">
        <w:rPr>
          <w:rStyle w:val="FootnoteReference"/>
          <w:rFonts w:cs="mylotus"/>
          <w:sz w:val="23"/>
          <w:szCs w:val="23"/>
          <w:vertAlign w:val="baseline"/>
          <w:rtl/>
        </w:rPr>
        <w:footnoteRef/>
      </w:r>
      <w:r>
        <w:rPr>
          <w:rFonts w:cs="mylotus"/>
          <w:sz w:val="23"/>
          <w:szCs w:val="23"/>
          <w:rtl/>
        </w:rPr>
        <w:t>-</w:t>
      </w:r>
      <w:r w:rsidRPr="00563AE6">
        <w:rPr>
          <w:rFonts w:cs="mylotus" w:hint="cs"/>
          <w:sz w:val="23"/>
          <w:szCs w:val="23"/>
          <w:rtl/>
        </w:rPr>
        <w:t xml:space="preserve"> </w:t>
      </w:r>
      <w:r w:rsidRPr="00563AE6">
        <w:rPr>
          <w:rFonts w:cs="mylotus"/>
          <w:sz w:val="23"/>
          <w:szCs w:val="23"/>
          <w:rtl/>
        </w:rPr>
        <w:t>ذكر المرحوم الشهيد الأول في كتابه الفقهي «الذكرى» [ص 272]</w:t>
      </w:r>
      <w:r w:rsidRPr="00563AE6">
        <w:rPr>
          <w:rFonts w:cs="mylotus" w:hint="cs"/>
          <w:sz w:val="23"/>
          <w:szCs w:val="23"/>
          <w:rtl/>
        </w:rPr>
        <w:t xml:space="preserve"> </w:t>
      </w:r>
      <w:r w:rsidRPr="00563AE6">
        <w:rPr>
          <w:rFonts w:cs="mylotus"/>
          <w:sz w:val="23"/>
          <w:szCs w:val="23"/>
          <w:rtl/>
        </w:rPr>
        <w:t>في باب صلاة الجماعة، ضمن بيانه للاختلاف حول تقديم القرشي والهاشمي للإمامة ما يلي:</w:t>
      </w:r>
    </w:p>
    <w:p w:rsidR="00B31118" w:rsidRPr="00563AE6" w:rsidRDefault="00B31118" w:rsidP="00B300C9">
      <w:pPr>
        <w:spacing w:line="228" w:lineRule="auto"/>
        <w:ind w:left="378"/>
        <w:jc w:val="both"/>
        <w:rPr>
          <w:rFonts w:cs="mylotus" w:hint="cs"/>
          <w:sz w:val="23"/>
          <w:szCs w:val="23"/>
          <w:rtl/>
        </w:rPr>
      </w:pPr>
      <w:r w:rsidRPr="00563AE6">
        <w:rPr>
          <w:rFonts w:cs="mylotus"/>
          <w:sz w:val="23"/>
          <w:szCs w:val="23"/>
          <w:rtl/>
        </w:rPr>
        <w:t>«... وجعل أبو الصلاح بعد الأفقه القرشي، وابن زهرة جعل الهاشمي بعد الأفقه (وابن حمزة جعل الأشرف بعد الأفقه) وفي النهاية لم يذكر الشرف</w:t>
      </w:r>
      <w:r w:rsidRPr="00563AE6">
        <w:rPr>
          <w:rFonts w:cs="mylotus" w:hint="cs"/>
          <w:sz w:val="23"/>
          <w:szCs w:val="23"/>
          <w:rtl/>
        </w:rPr>
        <w:t>،</w:t>
      </w:r>
      <w:r w:rsidRPr="00563AE6">
        <w:rPr>
          <w:rFonts w:cs="mylotus"/>
          <w:sz w:val="23"/>
          <w:szCs w:val="23"/>
          <w:rtl/>
        </w:rPr>
        <w:t xml:space="preserve"> وكذا المرتضى وابن الجنيد وعلي بن بابويه وابنه وسلّار وابن إدريس والشيخ نجيب الدين يحيى بن سعيد وابن عمه (المحقِّق) في المعتبر وذكر ذلك في الشـرائع وأطلق</w:t>
      </w:r>
      <w:r w:rsidRPr="00563AE6">
        <w:rPr>
          <w:rFonts w:cs="mylotus" w:hint="cs"/>
          <w:sz w:val="23"/>
          <w:szCs w:val="23"/>
          <w:rtl/>
        </w:rPr>
        <w:t>،</w:t>
      </w:r>
      <w:r w:rsidRPr="00563AE6">
        <w:rPr>
          <w:rFonts w:cs="mylotus"/>
          <w:sz w:val="23"/>
          <w:szCs w:val="23"/>
          <w:rtl/>
        </w:rPr>
        <w:t xml:space="preserve"> وكذا الفاضل (العلامة الحلي) في المختلف، وقال إنه المشهور، يعني تقديم الهاشمي. ونحن لم نره مذكوراً في الأخبار إلا ما روى مرسلاً أو مسنداً بطريق غير معلوم من قول النبي صلى الله عليه وآله: «قدموا قريشاً ولا تقدموها» وهو على تقدير تسليمه غير صريح في المدعى. نعم هو مشهور في التقديم في صلوة الجنازة كما سبق من غير رواية يدل عليه».</w:t>
      </w:r>
    </w:p>
  </w:footnote>
  <w:footnote w:id="127">
    <w:p w:rsidR="00B31118" w:rsidRPr="00563AE6" w:rsidRDefault="00B31118" w:rsidP="00B300C9">
      <w:pPr>
        <w:spacing w:line="228" w:lineRule="auto"/>
        <w:ind w:left="378" w:hanging="378"/>
        <w:jc w:val="both"/>
        <w:rPr>
          <w:rFonts w:cs="mylotus" w:hint="cs"/>
          <w:sz w:val="23"/>
          <w:szCs w:val="23"/>
          <w:rtl/>
        </w:rPr>
      </w:pPr>
      <w:r w:rsidRPr="00563AE6">
        <w:rPr>
          <w:rFonts w:cs="mylotus"/>
          <w:sz w:val="23"/>
          <w:szCs w:val="23"/>
          <w:rtl/>
        </w:rPr>
        <w:footnoteRef/>
      </w:r>
      <w:r>
        <w:rPr>
          <w:rFonts w:cs="mylotus"/>
          <w:sz w:val="23"/>
          <w:szCs w:val="23"/>
          <w:rtl/>
        </w:rPr>
        <w:t>-</w:t>
      </w:r>
      <w:r w:rsidRPr="00563AE6">
        <w:rPr>
          <w:rFonts w:cs="mylotus" w:hint="cs"/>
          <w:sz w:val="23"/>
          <w:szCs w:val="23"/>
          <w:rtl/>
        </w:rPr>
        <w:t xml:space="preserve"> </w:t>
      </w:r>
      <w:r w:rsidRPr="00563AE6">
        <w:rPr>
          <w:rFonts w:cs="mylotus"/>
          <w:sz w:val="23"/>
          <w:szCs w:val="23"/>
          <w:rtl/>
        </w:rPr>
        <w:t>الشيخ الصدوق</w:t>
      </w:r>
      <w:r w:rsidRPr="00563AE6">
        <w:rPr>
          <w:rFonts w:cs="mylotus" w:hint="cs"/>
          <w:sz w:val="23"/>
          <w:szCs w:val="23"/>
          <w:rtl/>
        </w:rPr>
        <w:t xml:space="preserve">، </w:t>
      </w:r>
      <w:r w:rsidRPr="00563AE6">
        <w:rPr>
          <w:rFonts w:cs="mylotus"/>
          <w:sz w:val="23"/>
          <w:szCs w:val="23"/>
          <w:rtl/>
        </w:rPr>
        <w:t>من‏ لا</w:t>
      </w:r>
      <w:r w:rsidRPr="00563AE6">
        <w:rPr>
          <w:rFonts w:cs="Times New Roman" w:hint="cs"/>
          <w:sz w:val="23"/>
          <w:szCs w:val="23"/>
          <w:rtl/>
        </w:rPr>
        <w:t> </w:t>
      </w:r>
      <w:r w:rsidRPr="00563AE6">
        <w:rPr>
          <w:rFonts w:cs="mylotus"/>
          <w:sz w:val="23"/>
          <w:szCs w:val="23"/>
          <w:rtl/>
        </w:rPr>
        <w:t>يحضره‏ الفقيه</w:t>
      </w:r>
      <w:r w:rsidRPr="00563AE6">
        <w:rPr>
          <w:rFonts w:cs="mylotus" w:hint="cs"/>
          <w:sz w:val="23"/>
          <w:szCs w:val="23"/>
          <w:rtl/>
        </w:rPr>
        <w:t xml:space="preserve">، </w:t>
      </w:r>
      <w:r w:rsidRPr="00563AE6">
        <w:rPr>
          <w:rFonts w:cs="mylotus"/>
          <w:sz w:val="23"/>
          <w:szCs w:val="23"/>
          <w:rtl/>
        </w:rPr>
        <w:t>ص88 من طبعة سالك الحجرية</w:t>
      </w:r>
      <w:r w:rsidRPr="00563AE6">
        <w:rPr>
          <w:rFonts w:cs="mylotus" w:hint="cs"/>
          <w:sz w:val="23"/>
          <w:szCs w:val="23"/>
          <w:rtl/>
        </w:rPr>
        <w:t xml:space="preserve">، </w:t>
      </w:r>
      <w:r w:rsidRPr="00563AE6">
        <w:rPr>
          <w:rFonts w:cs="mylotus"/>
          <w:sz w:val="23"/>
          <w:szCs w:val="23"/>
          <w:rtl/>
        </w:rPr>
        <w:t>أو ج1، ص320- 321، من طبعة قم</w:t>
      </w:r>
      <w:r w:rsidRPr="00563AE6">
        <w:rPr>
          <w:rFonts w:cs="mylotus" w:hint="cs"/>
          <w:sz w:val="23"/>
          <w:szCs w:val="23"/>
          <w:rtl/>
        </w:rPr>
        <w:t>،</w:t>
      </w:r>
      <w:r w:rsidRPr="00563AE6">
        <w:rPr>
          <w:rFonts w:cs="mylotus"/>
          <w:sz w:val="23"/>
          <w:szCs w:val="23"/>
          <w:rtl/>
        </w:rPr>
        <w:t xml:space="preserve"> مؤسسة انتشارات إسلامي، 1413هـ [1-4]. (المُتَرْجِمُ)</w:t>
      </w:r>
    </w:p>
  </w:footnote>
  <w:footnote w:id="128">
    <w:p w:rsidR="00B31118" w:rsidRPr="00563AE6" w:rsidRDefault="00B31118" w:rsidP="00833C06">
      <w:pPr>
        <w:spacing w:line="226" w:lineRule="auto"/>
        <w:ind w:left="380" w:hanging="380"/>
        <w:jc w:val="both"/>
        <w:rPr>
          <w:rFonts w:cs="mylotus" w:hint="cs"/>
          <w:sz w:val="23"/>
          <w:szCs w:val="23"/>
          <w:rtl/>
        </w:rPr>
      </w:pPr>
      <w:r w:rsidRPr="00563AE6">
        <w:rPr>
          <w:rFonts w:cs="mylotus"/>
          <w:sz w:val="23"/>
          <w:szCs w:val="23"/>
          <w:rtl/>
        </w:rPr>
        <w:footnoteRef/>
      </w:r>
      <w:r>
        <w:rPr>
          <w:rFonts w:cs="mylotus"/>
          <w:sz w:val="23"/>
          <w:szCs w:val="23"/>
          <w:rtl/>
        </w:rPr>
        <w:t>-</w:t>
      </w:r>
      <w:r w:rsidRPr="00563AE6">
        <w:rPr>
          <w:rFonts w:cs="mylotus"/>
          <w:sz w:val="23"/>
          <w:szCs w:val="23"/>
          <w:rtl/>
        </w:rPr>
        <w:t xml:space="preserve"> </w:t>
      </w:r>
      <w:r w:rsidRPr="00563AE6">
        <w:rPr>
          <w:rFonts w:cs="mylotus" w:hint="cs"/>
          <w:sz w:val="23"/>
          <w:szCs w:val="23"/>
          <w:rtl/>
        </w:rPr>
        <w:t>اسم الكتاب الكامل: «</w:t>
      </w:r>
      <w:r w:rsidRPr="00563AE6">
        <w:rPr>
          <w:rFonts w:cs="mylotus"/>
          <w:sz w:val="23"/>
          <w:szCs w:val="23"/>
          <w:rtl/>
        </w:rPr>
        <w:t>ذخائر العقبى في مناقب ذوي القربى</w:t>
      </w:r>
      <w:r w:rsidRPr="00563AE6">
        <w:rPr>
          <w:rFonts w:cs="mylotus" w:hint="cs"/>
          <w:sz w:val="23"/>
          <w:szCs w:val="23"/>
          <w:rtl/>
        </w:rPr>
        <w:t xml:space="preserve">». وهو تأليف </w:t>
      </w:r>
      <w:r w:rsidRPr="00563AE6">
        <w:rPr>
          <w:rFonts w:cs="mylotus"/>
          <w:sz w:val="23"/>
          <w:szCs w:val="23"/>
          <w:rtl/>
        </w:rPr>
        <w:t>العلامة الحافظ محب الدين أحمد بن عبد الله الطبري</w:t>
      </w:r>
      <w:r w:rsidRPr="00563AE6">
        <w:rPr>
          <w:rFonts w:cs="mylotus" w:hint="cs"/>
          <w:sz w:val="23"/>
          <w:szCs w:val="23"/>
          <w:rtl/>
        </w:rPr>
        <w:t xml:space="preserve"> الشيعي (694هـ) (المترجِم).</w:t>
      </w:r>
    </w:p>
  </w:footnote>
  <w:footnote w:id="129">
    <w:p w:rsidR="00B31118" w:rsidRPr="00563AE6" w:rsidRDefault="00B31118" w:rsidP="00833C06">
      <w:pPr>
        <w:spacing w:line="226" w:lineRule="auto"/>
        <w:ind w:left="380" w:hanging="380"/>
        <w:jc w:val="both"/>
        <w:rPr>
          <w:rFonts w:cs="mylotus" w:hint="cs"/>
          <w:sz w:val="23"/>
          <w:szCs w:val="23"/>
          <w:rtl/>
        </w:rPr>
      </w:pPr>
      <w:r w:rsidRPr="00563AE6">
        <w:rPr>
          <w:rFonts w:cs="mylotus"/>
          <w:sz w:val="23"/>
          <w:szCs w:val="23"/>
          <w:rtl/>
        </w:rPr>
        <w:footnoteRef/>
      </w:r>
      <w:r>
        <w:rPr>
          <w:rFonts w:cs="mylotus"/>
          <w:sz w:val="23"/>
          <w:szCs w:val="23"/>
          <w:rtl/>
        </w:rPr>
        <w:t>-</w:t>
      </w:r>
      <w:r w:rsidRPr="00563AE6">
        <w:rPr>
          <w:rFonts w:cs="mylotus" w:hint="cs"/>
          <w:sz w:val="23"/>
          <w:szCs w:val="23"/>
          <w:rtl/>
        </w:rPr>
        <w:t xml:space="preserve"> المحب </w:t>
      </w:r>
      <w:r w:rsidRPr="00563AE6">
        <w:rPr>
          <w:rFonts w:cs="mylotus"/>
          <w:sz w:val="23"/>
          <w:szCs w:val="23"/>
          <w:rtl/>
        </w:rPr>
        <w:t xml:space="preserve">الدين </w:t>
      </w:r>
      <w:r w:rsidRPr="00563AE6">
        <w:rPr>
          <w:rFonts w:cs="mylotus" w:hint="cs"/>
          <w:sz w:val="23"/>
          <w:szCs w:val="23"/>
          <w:rtl/>
        </w:rPr>
        <w:t xml:space="preserve">الطبري، </w:t>
      </w:r>
      <w:r w:rsidRPr="00563AE6">
        <w:rPr>
          <w:rFonts w:cs="mylotus"/>
          <w:sz w:val="23"/>
          <w:szCs w:val="23"/>
          <w:rtl/>
        </w:rPr>
        <w:t>ذخائر العقبى</w:t>
      </w:r>
      <w:r w:rsidRPr="00563AE6">
        <w:rPr>
          <w:rFonts w:cs="mylotus" w:hint="cs"/>
          <w:sz w:val="23"/>
          <w:szCs w:val="23"/>
          <w:rtl/>
        </w:rPr>
        <w:t xml:space="preserve"> في مناقب ذوي القربى، </w:t>
      </w:r>
      <w:r w:rsidRPr="00563AE6">
        <w:rPr>
          <w:rFonts w:cs="mylotus"/>
          <w:sz w:val="23"/>
          <w:szCs w:val="23"/>
          <w:rtl/>
        </w:rPr>
        <w:t>ص 51</w:t>
      </w:r>
      <w:r w:rsidRPr="00563AE6">
        <w:rPr>
          <w:rFonts w:cs="mylotus" w:hint="cs"/>
          <w:sz w:val="23"/>
          <w:szCs w:val="23"/>
          <w:rtl/>
        </w:rPr>
        <w:t xml:space="preserve">. [المترجم: والحديث موجود في صحيفة الرضا </w:t>
      </w:r>
      <w:r w:rsidRPr="003C7AEB">
        <w:rPr>
          <w:rFonts w:cs="CTraditional Arabic" w:hint="cs"/>
          <w:sz w:val="23"/>
          <w:szCs w:val="23"/>
          <w:rtl/>
        </w:rPr>
        <w:t>÷</w:t>
      </w:r>
      <w:r w:rsidRPr="00563AE6">
        <w:rPr>
          <w:rFonts w:cs="mylotus" w:hint="cs"/>
          <w:sz w:val="23"/>
          <w:szCs w:val="23"/>
          <w:rtl/>
        </w:rPr>
        <w:t xml:space="preserve"> (ص82) وَرواه الشيخ الصدوق في «عيون أخبار الرضا </w:t>
      </w:r>
      <w:r w:rsidRPr="00BC4BA9">
        <w:rPr>
          <w:rFonts w:cs="CTraditional Arabic" w:hint="cs"/>
          <w:sz w:val="23"/>
          <w:szCs w:val="23"/>
          <w:rtl/>
        </w:rPr>
        <w:t>÷</w:t>
      </w:r>
      <w:r w:rsidRPr="00563AE6">
        <w:rPr>
          <w:rFonts w:cs="mylotus" w:hint="cs"/>
          <w:sz w:val="23"/>
          <w:szCs w:val="23"/>
          <w:rtl/>
        </w:rPr>
        <w:t xml:space="preserve">» (ج2، ص44-45) ونقله المجلسي في </w:t>
      </w:r>
      <w:r w:rsidRPr="00563AE6">
        <w:rPr>
          <w:rFonts w:cs="mylotus"/>
          <w:sz w:val="23"/>
          <w:szCs w:val="23"/>
          <w:rtl/>
        </w:rPr>
        <w:t>بحار الأنوار</w:t>
      </w:r>
      <w:r w:rsidRPr="00563AE6">
        <w:rPr>
          <w:rFonts w:cs="mylotus" w:hint="cs"/>
          <w:sz w:val="23"/>
          <w:szCs w:val="23"/>
          <w:rtl/>
        </w:rPr>
        <w:t>،</w:t>
      </w:r>
      <w:r w:rsidRPr="00563AE6">
        <w:rPr>
          <w:rFonts w:cs="mylotus"/>
          <w:sz w:val="23"/>
          <w:szCs w:val="23"/>
          <w:rtl/>
        </w:rPr>
        <w:t xml:space="preserve"> </w:t>
      </w:r>
      <w:r w:rsidRPr="00563AE6">
        <w:rPr>
          <w:rFonts w:cs="mylotus" w:hint="cs"/>
          <w:sz w:val="23"/>
          <w:szCs w:val="23"/>
          <w:rtl/>
        </w:rPr>
        <w:t>ج</w:t>
      </w:r>
      <w:r w:rsidRPr="00563AE6">
        <w:rPr>
          <w:rFonts w:cs="mylotus"/>
          <w:sz w:val="23"/>
          <w:szCs w:val="23"/>
          <w:rtl/>
        </w:rPr>
        <w:t>43</w:t>
      </w:r>
      <w:r w:rsidRPr="00563AE6">
        <w:rPr>
          <w:rFonts w:cs="mylotus" w:hint="cs"/>
          <w:sz w:val="23"/>
          <w:szCs w:val="23"/>
          <w:rtl/>
        </w:rPr>
        <w:t xml:space="preserve">، </w:t>
      </w:r>
      <w:r w:rsidRPr="00563AE6">
        <w:rPr>
          <w:rFonts w:cs="mylotus"/>
          <w:sz w:val="23"/>
          <w:szCs w:val="23"/>
          <w:rtl/>
        </w:rPr>
        <w:t>ص27</w:t>
      </w:r>
      <w:r w:rsidRPr="00563AE6">
        <w:rPr>
          <w:rFonts w:cs="mylotus" w:hint="cs"/>
          <w:sz w:val="23"/>
          <w:szCs w:val="23"/>
          <w:rtl/>
        </w:rPr>
        <w:t>].</w:t>
      </w:r>
    </w:p>
  </w:footnote>
  <w:footnote w:id="130">
    <w:p w:rsidR="00B31118" w:rsidRPr="00563AE6" w:rsidRDefault="00B31118" w:rsidP="00833C06">
      <w:pPr>
        <w:spacing w:line="226" w:lineRule="auto"/>
        <w:ind w:left="380" w:hanging="380"/>
        <w:jc w:val="both"/>
        <w:rPr>
          <w:rFonts w:cs="mylotus" w:hint="cs"/>
          <w:sz w:val="23"/>
          <w:szCs w:val="23"/>
          <w:rtl/>
        </w:rPr>
      </w:pPr>
      <w:r w:rsidRPr="00563AE6">
        <w:rPr>
          <w:rFonts w:cs="mylotus"/>
          <w:sz w:val="23"/>
          <w:szCs w:val="23"/>
          <w:rtl/>
        </w:rPr>
        <w:footnoteRef/>
      </w:r>
      <w:r>
        <w:rPr>
          <w:rFonts w:cs="mylotus"/>
          <w:sz w:val="23"/>
          <w:szCs w:val="23"/>
          <w:rtl/>
        </w:rPr>
        <w:t>-</w:t>
      </w:r>
      <w:r w:rsidRPr="00563AE6">
        <w:rPr>
          <w:rFonts w:cs="mylotus"/>
          <w:sz w:val="23"/>
          <w:szCs w:val="23"/>
          <w:rtl/>
        </w:rPr>
        <w:t xml:space="preserve"> </w:t>
      </w:r>
      <w:r w:rsidRPr="00563AE6">
        <w:rPr>
          <w:rFonts w:cs="mylotus" w:hint="cs"/>
          <w:sz w:val="23"/>
          <w:szCs w:val="23"/>
          <w:rtl/>
        </w:rPr>
        <w:t xml:space="preserve">هذه الجملة المعترضة من كلام المؤلف الأستاذ قلمداران وليست جزءاً من الحديث. والجملة صحيحة المعنى ومروية في أحاديث كثيرة. (المترجِم). </w:t>
      </w:r>
    </w:p>
  </w:footnote>
  <w:footnote w:id="131">
    <w:p w:rsidR="00B31118" w:rsidRPr="00563AE6" w:rsidRDefault="00B31118" w:rsidP="00833C06">
      <w:pPr>
        <w:spacing w:line="226" w:lineRule="auto"/>
        <w:ind w:left="380" w:hanging="380"/>
        <w:jc w:val="both"/>
        <w:rPr>
          <w:rFonts w:cs="mylotus" w:hint="cs"/>
          <w:sz w:val="23"/>
          <w:szCs w:val="23"/>
          <w:rtl/>
        </w:rPr>
      </w:pPr>
      <w:r w:rsidRPr="00563AE6">
        <w:rPr>
          <w:rFonts w:cs="mylotus"/>
          <w:sz w:val="23"/>
          <w:szCs w:val="23"/>
          <w:rtl/>
        </w:rPr>
        <w:footnoteRef/>
      </w:r>
      <w:r>
        <w:rPr>
          <w:rFonts w:cs="mylotus"/>
          <w:sz w:val="23"/>
          <w:szCs w:val="23"/>
          <w:rtl/>
        </w:rPr>
        <w:t>-</w:t>
      </w:r>
      <w:r w:rsidRPr="00563AE6">
        <w:rPr>
          <w:rFonts w:cs="mylotus"/>
          <w:sz w:val="23"/>
          <w:szCs w:val="23"/>
          <w:rtl/>
        </w:rPr>
        <w:t xml:space="preserve"> </w:t>
      </w:r>
      <w:r w:rsidRPr="00563AE6">
        <w:rPr>
          <w:rFonts w:cs="mylotus" w:hint="cs"/>
          <w:sz w:val="23"/>
          <w:szCs w:val="23"/>
          <w:rtl/>
        </w:rPr>
        <w:t>«</w:t>
      </w:r>
      <w:r w:rsidRPr="00563AE6">
        <w:rPr>
          <w:rFonts w:cs="mylotus"/>
          <w:sz w:val="23"/>
          <w:szCs w:val="23"/>
          <w:rtl/>
        </w:rPr>
        <w:t xml:space="preserve"> فَإذَا هُوَ يَمْسَحُ عَلَى بَابِهَا</w:t>
      </w:r>
      <w:r w:rsidRPr="00563AE6">
        <w:rPr>
          <w:rFonts w:cs="mylotus" w:hint="cs"/>
          <w:sz w:val="23"/>
          <w:szCs w:val="23"/>
          <w:rtl/>
        </w:rPr>
        <w:t xml:space="preserve"> » هكذا في الأصل، ولا معنى له، ولعل الصواب ما جاء في مصادر أخرى: «</w:t>
      </w:r>
      <w:r w:rsidRPr="00563AE6">
        <w:rPr>
          <w:rFonts w:cs="mylotus"/>
          <w:sz w:val="23"/>
          <w:szCs w:val="23"/>
          <w:rtl/>
        </w:rPr>
        <w:t>فَإِذَا هُوَ بِمِسْحٍ عَلَى بَابِهَا</w:t>
      </w:r>
      <w:r w:rsidRPr="00563AE6">
        <w:rPr>
          <w:rFonts w:cs="mylotus" w:hint="cs"/>
          <w:sz w:val="23"/>
          <w:szCs w:val="23"/>
          <w:rtl/>
        </w:rPr>
        <w:t>» وَ«المِسْحُ»: الكساء من الشعر (كما في لسان العرب). (المترجِم)</w:t>
      </w:r>
    </w:p>
  </w:footnote>
  <w:footnote w:id="132">
    <w:p w:rsidR="00B31118" w:rsidRPr="00563AE6" w:rsidRDefault="00B31118" w:rsidP="00833C06">
      <w:pPr>
        <w:spacing w:line="226" w:lineRule="auto"/>
        <w:ind w:left="380" w:hanging="380"/>
        <w:jc w:val="both"/>
        <w:rPr>
          <w:rFonts w:cs="mylotus" w:hint="cs"/>
          <w:sz w:val="23"/>
          <w:szCs w:val="23"/>
          <w:rtl/>
        </w:rPr>
      </w:pPr>
      <w:r w:rsidRPr="00563AE6">
        <w:rPr>
          <w:rFonts w:cs="mylotus"/>
          <w:sz w:val="23"/>
          <w:szCs w:val="23"/>
          <w:rtl/>
        </w:rPr>
        <w:footnoteRef/>
      </w:r>
      <w:r>
        <w:rPr>
          <w:rFonts w:cs="mylotus"/>
          <w:sz w:val="23"/>
          <w:szCs w:val="23"/>
          <w:rtl/>
        </w:rPr>
        <w:t>-</w:t>
      </w:r>
      <w:r w:rsidRPr="00563AE6">
        <w:rPr>
          <w:rFonts w:cs="mylotus"/>
          <w:sz w:val="23"/>
          <w:szCs w:val="23"/>
          <w:rtl/>
        </w:rPr>
        <w:t xml:space="preserve"> </w:t>
      </w:r>
      <w:r w:rsidRPr="00563AE6">
        <w:rPr>
          <w:rFonts w:cs="mylotus" w:hint="cs"/>
          <w:sz w:val="23"/>
          <w:szCs w:val="23"/>
          <w:rtl/>
        </w:rPr>
        <w:t>قوله «</w:t>
      </w:r>
      <w:r w:rsidRPr="00563AE6">
        <w:rPr>
          <w:rFonts w:cs="mylotus"/>
          <w:sz w:val="23"/>
          <w:szCs w:val="23"/>
          <w:rtl/>
        </w:rPr>
        <w:t>قُلْبَيْنِ مِنْ فِضَّةٍ</w:t>
      </w:r>
      <w:r w:rsidRPr="00563AE6">
        <w:rPr>
          <w:rFonts w:cs="mylotus" w:hint="cs"/>
          <w:sz w:val="23"/>
          <w:szCs w:val="23"/>
          <w:rtl/>
        </w:rPr>
        <w:t>»: قال ابن الأثير في «النهاية»: «</w:t>
      </w:r>
      <w:r w:rsidRPr="00563AE6">
        <w:rPr>
          <w:rFonts w:cs="mylotus" w:hint="eastAsia"/>
          <w:sz w:val="23"/>
          <w:szCs w:val="23"/>
          <w:rtl/>
        </w:rPr>
        <w:t>وفي</w:t>
      </w:r>
      <w:r w:rsidRPr="00563AE6">
        <w:rPr>
          <w:rFonts w:cs="mylotus"/>
          <w:sz w:val="23"/>
          <w:szCs w:val="23"/>
          <w:rtl/>
        </w:rPr>
        <w:t xml:space="preserve"> </w:t>
      </w:r>
      <w:r w:rsidRPr="00563AE6">
        <w:rPr>
          <w:rFonts w:cs="mylotus" w:hint="eastAsia"/>
          <w:sz w:val="23"/>
          <w:szCs w:val="23"/>
          <w:rtl/>
        </w:rPr>
        <w:t>حديث</w:t>
      </w:r>
      <w:r w:rsidRPr="00563AE6">
        <w:rPr>
          <w:rFonts w:cs="mylotus"/>
          <w:sz w:val="23"/>
          <w:szCs w:val="23"/>
          <w:rtl/>
        </w:rPr>
        <w:t xml:space="preserve"> </w:t>
      </w:r>
      <w:r w:rsidRPr="00563AE6">
        <w:rPr>
          <w:rFonts w:cs="mylotus" w:hint="eastAsia"/>
          <w:sz w:val="23"/>
          <w:szCs w:val="23"/>
          <w:rtl/>
        </w:rPr>
        <w:t>ثَوْبان</w:t>
      </w:r>
      <w:r w:rsidRPr="00563AE6">
        <w:rPr>
          <w:rFonts w:cs="mylotus" w:hint="cs"/>
          <w:sz w:val="23"/>
          <w:szCs w:val="23"/>
          <w:rtl/>
        </w:rPr>
        <w:t xml:space="preserve">: </w:t>
      </w:r>
      <w:r w:rsidRPr="00563AE6">
        <w:rPr>
          <w:rFonts w:cs="mylotus" w:hint="eastAsia"/>
          <w:sz w:val="23"/>
          <w:szCs w:val="23"/>
          <w:rtl/>
        </w:rPr>
        <w:t>إنَّ</w:t>
      </w:r>
      <w:r w:rsidRPr="00563AE6">
        <w:rPr>
          <w:rFonts w:cs="mylotus"/>
          <w:sz w:val="23"/>
          <w:szCs w:val="23"/>
          <w:rtl/>
        </w:rPr>
        <w:t xml:space="preserve"> </w:t>
      </w:r>
      <w:r w:rsidRPr="00563AE6">
        <w:rPr>
          <w:rFonts w:cs="mylotus" w:hint="eastAsia"/>
          <w:sz w:val="23"/>
          <w:szCs w:val="23"/>
          <w:rtl/>
        </w:rPr>
        <w:t>فاطمة</w:t>
      </w:r>
      <w:r w:rsidRPr="00563AE6">
        <w:rPr>
          <w:rFonts w:cs="mylotus"/>
          <w:sz w:val="23"/>
          <w:szCs w:val="23"/>
          <w:rtl/>
        </w:rPr>
        <w:t xml:space="preserve"> </w:t>
      </w:r>
      <w:r w:rsidRPr="00563AE6">
        <w:rPr>
          <w:rFonts w:cs="mylotus" w:hint="eastAsia"/>
          <w:sz w:val="23"/>
          <w:szCs w:val="23"/>
          <w:rtl/>
        </w:rPr>
        <w:t>حَلَّت</w:t>
      </w:r>
      <w:r w:rsidRPr="00563AE6">
        <w:rPr>
          <w:rFonts w:cs="mylotus"/>
          <w:sz w:val="23"/>
          <w:szCs w:val="23"/>
          <w:rtl/>
        </w:rPr>
        <w:t xml:space="preserve"> </w:t>
      </w:r>
      <w:r w:rsidRPr="00563AE6">
        <w:rPr>
          <w:rFonts w:cs="mylotus" w:hint="eastAsia"/>
          <w:sz w:val="23"/>
          <w:szCs w:val="23"/>
          <w:rtl/>
        </w:rPr>
        <w:t>الحَسن</w:t>
      </w:r>
      <w:r w:rsidRPr="00563AE6">
        <w:rPr>
          <w:rFonts w:cs="mylotus"/>
          <w:sz w:val="23"/>
          <w:szCs w:val="23"/>
          <w:rtl/>
        </w:rPr>
        <w:t xml:space="preserve"> </w:t>
      </w:r>
      <w:r w:rsidRPr="00563AE6">
        <w:rPr>
          <w:rFonts w:cs="mylotus" w:hint="eastAsia"/>
          <w:sz w:val="23"/>
          <w:szCs w:val="23"/>
          <w:rtl/>
        </w:rPr>
        <w:t>والحُسين</w:t>
      </w:r>
      <w:r w:rsidRPr="00563AE6">
        <w:rPr>
          <w:rFonts w:cs="mylotus"/>
          <w:sz w:val="23"/>
          <w:szCs w:val="23"/>
          <w:rtl/>
        </w:rPr>
        <w:t xml:space="preserve"> </w:t>
      </w:r>
      <w:r w:rsidRPr="00563AE6">
        <w:rPr>
          <w:rFonts w:cs="mylotus" w:hint="eastAsia"/>
          <w:sz w:val="23"/>
          <w:szCs w:val="23"/>
          <w:rtl/>
        </w:rPr>
        <w:t>بقُلْبَين</w:t>
      </w:r>
      <w:r w:rsidRPr="00563AE6">
        <w:rPr>
          <w:rFonts w:cs="mylotus"/>
          <w:sz w:val="23"/>
          <w:szCs w:val="23"/>
          <w:rtl/>
        </w:rPr>
        <w:t xml:space="preserve"> </w:t>
      </w:r>
      <w:r w:rsidRPr="00563AE6">
        <w:rPr>
          <w:rFonts w:cs="mylotus" w:hint="eastAsia"/>
          <w:sz w:val="23"/>
          <w:szCs w:val="23"/>
          <w:rtl/>
        </w:rPr>
        <w:t>من</w:t>
      </w:r>
      <w:r w:rsidRPr="00563AE6">
        <w:rPr>
          <w:rFonts w:cs="mylotus"/>
          <w:sz w:val="23"/>
          <w:szCs w:val="23"/>
          <w:rtl/>
        </w:rPr>
        <w:t xml:space="preserve"> </w:t>
      </w:r>
      <w:r w:rsidRPr="00563AE6">
        <w:rPr>
          <w:rFonts w:cs="mylotus" w:hint="eastAsia"/>
          <w:sz w:val="23"/>
          <w:szCs w:val="23"/>
          <w:rtl/>
        </w:rPr>
        <w:t>فِضَّة</w:t>
      </w:r>
      <w:r w:rsidRPr="00563AE6">
        <w:rPr>
          <w:rFonts w:cs="mylotus" w:hint="cs"/>
          <w:sz w:val="23"/>
          <w:szCs w:val="23"/>
          <w:rtl/>
        </w:rPr>
        <w:t xml:space="preserve">، </w:t>
      </w:r>
      <w:r w:rsidRPr="00563AE6">
        <w:rPr>
          <w:rFonts w:cs="mylotus" w:hint="eastAsia"/>
          <w:sz w:val="23"/>
          <w:szCs w:val="23"/>
          <w:rtl/>
        </w:rPr>
        <w:t>القُلْب</w:t>
      </w:r>
      <w:r w:rsidRPr="00563AE6">
        <w:rPr>
          <w:rFonts w:cs="mylotus"/>
          <w:sz w:val="23"/>
          <w:szCs w:val="23"/>
          <w:rtl/>
        </w:rPr>
        <w:t xml:space="preserve">: </w:t>
      </w:r>
      <w:r w:rsidRPr="00563AE6">
        <w:rPr>
          <w:rFonts w:cs="mylotus" w:hint="eastAsia"/>
          <w:sz w:val="23"/>
          <w:szCs w:val="23"/>
          <w:rtl/>
        </w:rPr>
        <w:t>السِوار</w:t>
      </w:r>
      <w:r w:rsidRPr="00563AE6">
        <w:rPr>
          <w:rFonts w:cs="mylotus"/>
          <w:sz w:val="23"/>
          <w:szCs w:val="23"/>
          <w:rtl/>
        </w:rPr>
        <w:t>.</w:t>
      </w:r>
      <w:r w:rsidRPr="00563AE6">
        <w:rPr>
          <w:rFonts w:cs="mylotus" w:hint="cs"/>
          <w:sz w:val="23"/>
          <w:szCs w:val="23"/>
          <w:rtl/>
        </w:rPr>
        <w:t>». (المترجِم)</w:t>
      </w:r>
    </w:p>
  </w:footnote>
  <w:footnote w:id="133">
    <w:p w:rsidR="00B31118" w:rsidRPr="00563AE6" w:rsidRDefault="00B31118" w:rsidP="00833C06">
      <w:pPr>
        <w:spacing w:line="228" w:lineRule="auto"/>
        <w:ind w:left="378" w:hanging="378"/>
        <w:jc w:val="both"/>
        <w:rPr>
          <w:rFonts w:cs="mylotus" w:hint="cs"/>
          <w:sz w:val="23"/>
          <w:szCs w:val="23"/>
        </w:rPr>
      </w:pPr>
      <w:r w:rsidRPr="00563AE6">
        <w:rPr>
          <w:rFonts w:cs="mylotus"/>
          <w:sz w:val="23"/>
          <w:szCs w:val="23"/>
          <w:rtl/>
        </w:rPr>
        <w:footnoteRef/>
      </w:r>
      <w:r>
        <w:rPr>
          <w:rFonts w:cs="mylotus"/>
          <w:sz w:val="23"/>
          <w:szCs w:val="23"/>
          <w:rtl/>
        </w:rPr>
        <w:t>-</w:t>
      </w:r>
      <w:r w:rsidRPr="00563AE6">
        <w:rPr>
          <w:rFonts w:cs="mylotus"/>
          <w:sz w:val="23"/>
          <w:szCs w:val="23"/>
          <w:rtl/>
        </w:rPr>
        <w:t xml:space="preserve"> </w:t>
      </w:r>
      <w:r w:rsidRPr="00563AE6">
        <w:rPr>
          <w:rFonts w:cs="mylotus" w:hint="cs"/>
          <w:sz w:val="23"/>
          <w:szCs w:val="23"/>
          <w:rtl/>
        </w:rPr>
        <w:t>«</w:t>
      </w:r>
      <w:r w:rsidRPr="00563AE6">
        <w:rPr>
          <w:rFonts w:cs="mylotus"/>
          <w:sz w:val="23"/>
          <w:szCs w:val="23"/>
          <w:rtl/>
        </w:rPr>
        <w:t>قِلَادَةً مِنْ عَصَبٍ</w:t>
      </w:r>
      <w:r w:rsidRPr="00563AE6">
        <w:rPr>
          <w:rFonts w:cs="mylotus" w:hint="cs"/>
          <w:sz w:val="23"/>
          <w:szCs w:val="23"/>
          <w:rtl/>
        </w:rPr>
        <w:t>»: قال ابن الأثير في النهاية: «</w:t>
      </w:r>
      <w:r w:rsidRPr="00563AE6">
        <w:rPr>
          <w:rFonts w:cs="mylotus"/>
          <w:sz w:val="23"/>
          <w:szCs w:val="23"/>
          <w:rtl/>
        </w:rPr>
        <w:t xml:space="preserve">وفيه أنه قال لثَوْبَان: </w:t>
      </w:r>
      <w:r w:rsidRPr="00563AE6">
        <w:rPr>
          <w:rFonts w:cs="mylotus" w:hint="cs"/>
          <w:sz w:val="23"/>
          <w:szCs w:val="23"/>
          <w:rtl/>
        </w:rPr>
        <w:t>«</w:t>
      </w:r>
      <w:r w:rsidRPr="00563AE6">
        <w:rPr>
          <w:rFonts w:cs="mylotus"/>
          <w:sz w:val="23"/>
          <w:szCs w:val="23"/>
          <w:rtl/>
        </w:rPr>
        <w:t>اشتَرِ لفَاطِمَة قِلادَةً من عَصْب، وسِوارَين من عاج</w:t>
      </w:r>
      <w:r w:rsidRPr="00563AE6">
        <w:rPr>
          <w:rFonts w:cs="mylotus" w:hint="cs"/>
          <w:sz w:val="23"/>
          <w:szCs w:val="23"/>
          <w:rtl/>
        </w:rPr>
        <w:t>»:</w:t>
      </w:r>
      <w:r w:rsidRPr="00563AE6">
        <w:rPr>
          <w:rFonts w:cs="mylotus"/>
          <w:sz w:val="23"/>
          <w:szCs w:val="23"/>
          <w:rtl/>
        </w:rPr>
        <w:t xml:space="preserve"> قال الخطَّابيُّ في </w:t>
      </w:r>
      <w:r w:rsidRPr="00563AE6">
        <w:rPr>
          <w:rFonts w:cs="mylotus" w:hint="cs"/>
          <w:sz w:val="23"/>
          <w:szCs w:val="23"/>
          <w:rtl/>
        </w:rPr>
        <w:t>«</w:t>
      </w:r>
      <w:r w:rsidRPr="00563AE6">
        <w:rPr>
          <w:rFonts w:cs="mylotus"/>
          <w:sz w:val="23"/>
          <w:szCs w:val="23"/>
          <w:rtl/>
        </w:rPr>
        <w:t>المَعَالم</w:t>
      </w:r>
      <w:r w:rsidRPr="00563AE6">
        <w:rPr>
          <w:rFonts w:cs="mylotus" w:hint="cs"/>
          <w:sz w:val="23"/>
          <w:szCs w:val="23"/>
          <w:rtl/>
        </w:rPr>
        <w:t>»</w:t>
      </w:r>
      <w:r w:rsidRPr="00563AE6">
        <w:rPr>
          <w:rFonts w:cs="mylotus"/>
          <w:sz w:val="23"/>
          <w:szCs w:val="23"/>
          <w:rtl/>
        </w:rPr>
        <w:t xml:space="preserve">: إن لم تكن الثيابَ اليمانِيَّةَ فلا أدْرِي ما هِي، وما أَرَى أنَّ القِلاَدَة تكون منها. وقال أبو موسى: يَحتمل عِندِي أن الراوية إنما هي </w:t>
      </w:r>
      <w:r w:rsidRPr="00563AE6">
        <w:rPr>
          <w:rFonts w:cs="mylotus" w:hint="cs"/>
          <w:sz w:val="23"/>
          <w:szCs w:val="23"/>
          <w:rtl/>
        </w:rPr>
        <w:t>«</w:t>
      </w:r>
      <w:r w:rsidRPr="00563AE6">
        <w:rPr>
          <w:rFonts w:cs="mylotus"/>
          <w:sz w:val="23"/>
          <w:szCs w:val="23"/>
          <w:rtl/>
        </w:rPr>
        <w:t>العَصَب</w:t>
      </w:r>
      <w:r w:rsidRPr="00563AE6">
        <w:rPr>
          <w:rFonts w:cs="mylotus" w:hint="cs"/>
          <w:sz w:val="23"/>
          <w:szCs w:val="23"/>
          <w:rtl/>
        </w:rPr>
        <w:t>»</w:t>
      </w:r>
      <w:r w:rsidRPr="00563AE6">
        <w:rPr>
          <w:rFonts w:cs="mylotus"/>
          <w:sz w:val="23"/>
          <w:szCs w:val="23"/>
          <w:rtl/>
        </w:rPr>
        <w:t xml:space="preserve"> بفتح الصاد، وهي أطْناب مَفاصل الحيوانات، وهو شيءٌ مُدَوَّر، فيحتمل أنهم كانوا يأخذُون عصب بعض الحيوانات الطَّاهرَة فيقطعونه ويجعلونه شِبه الخرز، فإذا يَبِس يَتَّخذون منه القَلائد، وإذا جاز وأمكن أن يُتَّخذ من عِظام السُّلحفاة وغيرها الأسْورةُ</w:t>
      </w:r>
      <w:r w:rsidRPr="00563AE6">
        <w:rPr>
          <w:rFonts w:cs="mylotus" w:hint="cs"/>
          <w:sz w:val="23"/>
          <w:szCs w:val="23"/>
          <w:rtl/>
        </w:rPr>
        <w:t>،</w:t>
      </w:r>
      <w:r w:rsidRPr="00563AE6">
        <w:rPr>
          <w:rFonts w:cs="mylotus"/>
          <w:sz w:val="23"/>
          <w:szCs w:val="23"/>
          <w:rtl/>
        </w:rPr>
        <w:t xml:space="preserve"> جاز وأمكن أن يُتَّخذ من عصَب أشْباهها خرز تُنْظم منه القلائِد.</w:t>
      </w:r>
      <w:r w:rsidRPr="00563AE6">
        <w:rPr>
          <w:rFonts w:cs="mylotus" w:hint="cs"/>
          <w:sz w:val="23"/>
          <w:szCs w:val="23"/>
          <w:rtl/>
        </w:rPr>
        <w:t xml:space="preserve"> </w:t>
      </w:r>
      <w:r w:rsidRPr="00563AE6">
        <w:rPr>
          <w:rFonts w:cs="mylotus"/>
          <w:sz w:val="23"/>
          <w:szCs w:val="23"/>
          <w:rtl/>
        </w:rPr>
        <w:t>قال: ثم ذكر لي بعضُ أهْلِ اليَمن: أن العَصَب سِنُّ دابَّة بَحْرِيَّة تسَمَّى فرَس فِرعَون، يُتَّخذ منها الخَرَز وغَيرُ الخَرَز من نِصابِ سِكِّين وغيره، ويكون أبيضَ.</w:t>
      </w:r>
      <w:r w:rsidRPr="00563AE6">
        <w:rPr>
          <w:rFonts w:cs="mylotus" w:hint="cs"/>
          <w:sz w:val="23"/>
          <w:szCs w:val="23"/>
          <w:rtl/>
        </w:rPr>
        <w:t>». انتهى. (المترجِم)</w:t>
      </w:r>
    </w:p>
  </w:footnote>
  <w:footnote w:id="134">
    <w:p w:rsidR="00B31118" w:rsidRPr="00563AE6" w:rsidRDefault="00B31118" w:rsidP="00B300C9">
      <w:pPr>
        <w:spacing w:line="228" w:lineRule="auto"/>
        <w:ind w:left="378" w:hanging="378"/>
        <w:jc w:val="both"/>
        <w:rPr>
          <w:rFonts w:cs="mylotus" w:hint="cs"/>
          <w:sz w:val="23"/>
          <w:szCs w:val="23"/>
          <w:rtl/>
        </w:rPr>
      </w:pPr>
      <w:r w:rsidRPr="00563AE6">
        <w:rPr>
          <w:rFonts w:cs="mylotus"/>
          <w:sz w:val="23"/>
          <w:szCs w:val="23"/>
          <w:rtl/>
        </w:rPr>
        <w:footnoteRef/>
      </w:r>
      <w:r>
        <w:rPr>
          <w:rFonts w:cs="mylotus"/>
          <w:sz w:val="23"/>
          <w:szCs w:val="23"/>
          <w:rtl/>
        </w:rPr>
        <w:t>-</w:t>
      </w:r>
      <w:r w:rsidRPr="00563AE6">
        <w:rPr>
          <w:rFonts w:cs="mylotus" w:hint="cs"/>
          <w:sz w:val="23"/>
          <w:szCs w:val="23"/>
          <w:rtl/>
        </w:rPr>
        <w:t xml:space="preserve"> </w:t>
      </w:r>
      <w:r w:rsidRPr="00563AE6">
        <w:rPr>
          <w:rFonts w:cs="mylotus"/>
          <w:sz w:val="23"/>
          <w:szCs w:val="23"/>
          <w:rtl/>
        </w:rPr>
        <w:t>ذخائر العق</w:t>
      </w:r>
      <w:r w:rsidRPr="00563AE6">
        <w:rPr>
          <w:rFonts w:cs="mylotus" w:hint="cs"/>
          <w:sz w:val="23"/>
          <w:szCs w:val="23"/>
          <w:rtl/>
        </w:rPr>
        <w:t xml:space="preserve">بى، </w:t>
      </w:r>
      <w:r w:rsidRPr="00563AE6">
        <w:rPr>
          <w:rFonts w:cs="mylotus"/>
          <w:sz w:val="23"/>
          <w:szCs w:val="23"/>
          <w:rtl/>
        </w:rPr>
        <w:t>ص</w:t>
      </w:r>
      <w:r w:rsidRPr="00563AE6">
        <w:rPr>
          <w:rFonts w:cs="mylotus" w:hint="cs"/>
          <w:sz w:val="23"/>
          <w:szCs w:val="23"/>
          <w:rtl/>
        </w:rPr>
        <w:t>ص</w:t>
      </w:r>
      <w:r w:rsidRPr="00563AE6">
        <w:rPr>
          <w:rFonts w:cs="mylotus"/>
          <w:sz w:val="23"/>
          <w:szCs w:val="23"/>
          <w:rtl/>
        </w:rPr>
        <w:t xml:space="preserve"> 51</w:t>
      </w:r>
      <w:r w:rsidRPr="00563AE6">
        <w:rPr>
          <w:rFonts w:cs="mylotus" w:hint="cs"/>
          <w:sz w:val="23"/>
          <w:szCs w:val="23"/>
          <w:rtl/>
        </w:rPr>
        <w:t xml:space="preserve"> </w:t>
      </w:r>
      <w:r w:rsidRPr="00563AE6">
        <w:rPr>
          <w:rFonts w:cs="mylotus"/>
          <w:sz w:val="23"/>
          <w:szCs w:val="23"/>
          <w:rtl/>
        </w:rPr>
        <w:t>-</w:t>
      </w:r>
      <w:r w:rsidRPr="00563AE6">
        <w:rPr>
          <w:rFonts w:cs="mylotus" w:hint="cs"/>
          <w:sz w:val="23"/>
          <w:szCs w:val="23"/>
          <w:rtl/>
        </w:rPr>
        <w:t xml:space="preserve"> </w:t>
      </w:r>
      <w:r w:rsidRPr="00563AE6">
        <w:rPr>
          <w:rFonts w:cs="mylotus"/>
          <w:sz w:val="23"/>
          <w:szCs w:val="23"/>
          <w:rtl/>
        </w:rPr>
        <w:t>52</w:t>
      </w:r>
      <w:r w:rsidRPr="00563AE6">
        <w:rPr>
          <w:rFonts w:cs="mylotus" w:hint="cs"/>
          <w:sz w:val="23"/>
          <w:szCs w:val="23"/>
          <w:rtl/>
        </w:rPr>
        <w:t>. [المترجم: والحديث مروي من طرق الشيعة في كشف الغمة: (1، 451-452)، وَبشارة المصطفى (ص 203-204) ونقله المجلسي في البحار (ج43، ص89)، وَمن طرق السنة أخرجه أحمد بن حنبل في المسند (ج5، ص275)].</w:t>
      </w:r>
    </w:p>
  </w:footnote>
  <w:footnote w:id="135">
    <w:p w:rsidR="00B31118" w:rsidRPr="00563AE6" w:rsidRDefault="00B31118" w:rsidP="00B300C9">
      <w:pPr>
        <w:spacing w:line="228" w:lineRule="auto"/>
        <w:ind w:left="378" w:hanging="378"/>
        <w:jc w:val="both"/>
        <w:rPr>
          <w:rFonts w:cs="mylotus" w:hint="cs"/>
          <w:sz w:val="23"/>
          <w:szCs w:val="23"/>
        </w:rPr>
      </w:pPr>
      <w:r w:rsidRPr="00563AE6">
        <w:rPr>
          <w:rFonts w:cs="mylotus"/>
          <w:sz w:val="23"/>
          <w:szCs w:val="23"/>
          <w:rtl/>
        </w:rPr>
        <w:footnoteRef/>
      </w:r>
      <w:r>
        <w:rPr>
          <w:rFonts w:cs="mylotus"/>
          <w:sz w:val="23"/>
          <w:szCs w:val="23"/>
          <w:rtl/>
        </w:rPr>
        <w:t>-</w:t>
      </w:r>
      <w:r w:rsidRPr="00563AE6">
        <w:rPr>
          <w:rFonts w:cs="mylotus"/>
          <w:sz w:val="23"/>
          <w:szCs w:val="23"/>
          <w:rtl/>
        </w:rPr>
        <w:t xml:space="preserve"> </w:t>
      </w:r>
      <w:r w:rsidRPr="00563AE6">
        <w:rPr>
          <w:rFonts w:cs="mylotus" w:hint="cs"/>
          <w:sz w:val="23"/>
          <w:szCs w:val="23"/>
          <w:rtl/>
        </w:rPr>
        <w:t>هذا الحديث رواه الشيخ الصدوق في الأمالي (المجلس الحادي والأربعون، ص 234) وفي آخره «</w:t>
      </w:r>
      <w:r w:rsidRPr="00563AE6">
        <w:rPr>
          <w:rFonts w:cs="mylotus"/>
          <w:sz w:val="23"/>
          <w:szCs w:val="23"/>
          <w:rtl/>
        </w:rPr>
        <w:t>قَالَ</w:t>
      </w:r>
      <w:r w:rsidRPr="00563AE6">
        <w:rPr>
          <w:rFonts w:cs="mylotus" w:hint="cs"/>
          <w:sz w:val="23"/>
          <w:szCs w:val="23"/>
          <w:rtl/>
        </w:rPr>
        <w:t xml:space="preserve"> (ص):</w:t>
      </w:r>
      <w:r w:rsidRPr="00563AE6">
        <w:rPr>
          <w:rFonts w:cs="mylotus"/>
          <w:sz w:val="23"/>
          <w:szCs w:val="23"/>
          <w:rtl/>
        </w:rPr>
        <w:t xml:space="preserve"> فَعَلَتْ فِدَاهَا أَبُوهَا ثَلَاثَ مَرَّاتٍ</w:t>
      </w:r>
      <w:r w:rsidRPr="00563AE6">
        <w:rPr>
          <w:rFonts w:cs="mylotus" w:hint="cs"/>
          <w:sz w:val="23"/>
          <w:szCs w:val="23"/>
          <w:rtl/>
        </w:rPr>
        <w:t>،</w:t>
      </w:r>
      <w:r w:rsidRPr="00563AE6">
        <w:rPr>
          <w:rFonts w:cs="mylotus"/>
          <w:sz w:val="23"/>
          <w:szCs w:val="23"/>
          <w:rtl/>
        </w:rPr>
        <w:t xml:space="preserve"> لَيْسَتِ الدُّنْيَا مِنْ مُحَمَّدٍ وَلَا مِنْ آلِ مُحَمَّدٍ وَلَوْ كَانَتِ الدُّنْيَا تَعْدِلُ عِنْدَ اللهِ مِنَ الخَيْرِ جَنَاحَ بَعُوضَةٍ مَا سَقَى فِيهَا كَافِراً شَرْبَةَ مَاءٍ ثُمَّ قَامَ فَدَخَلَ عَلَيْهَا</w:t>
      </w:r>
      <w:r w:rsidRPr="00563AE6">
        <w:rPr>
          <w:rFonts w:cs="mylotus" w:hint="cs"/>
          <w:sz w:val="23"/>
          <w:szCs w:val="23"/>
          <w:rtl/>
        </w:rPr>
        <w:t>». ورواه أيضاً ا</w:t>
      </w:r>
      <w:r w:rsidRPr="00563AE6">
        <w:rPr>
          <w:rFonts w:cs="mylotus"/>
          <w:sz w:val="23"/>
          <w:szCs w:val="23"/>
          <w:rtl/>
        </w:rPr>
        <w:t xml:space="preserve">بن شهرآشوب المازندراني </w:t>
      </w:r>
      <w:r w:rsidRPr="00563AE6">
        <w:rPr>
          <w:rFonts w:cs="mylotus" w:hint="cs"/>
          <w:sz w:val="23"/>
          <w:szCs w:val="23"/>
          <w:rtl/>
        </w:rPr>
        <w:t xml:space="preserve">في «المناقب» (3، 243) نقلاً </w:t>
      </w:r>
      <w:r w:rsidRPr="00563AE6">
        <w:rPr>
          <w:rFonts w:cs="Times New Roman" w:hint="cs"/>
          <w:sz w:val="23"/>
          <w:szCs w:val="23"/>
          <w:rtl/>
        </w:rPr>
        <w:t>–</w:t>
      </w:r>
      <w:r w:rsidRPr="00563AE6">
        <w:rPr>
          <w:rFonts w:cs="mylotus" w:hint="cs"/>
          <w:sz w:val="23"/>
          <w:szCs w:val="23"/>
          <w:rtl/>
        </w:rPr>
        <w:t xml:space="preserve"> كما قال - عن </w:t>
      </w:r>
      <w:r w:rsidRPr="00563AE6">
        <w:rPr>
          <w:rFonts w:cs="mylotus"/>
          <w:sz w:val="23"/>
          <w:szCs w:val="23"/>
          <w:rtl/>
        </w:rPr>
        <w:t>ابن شاهين في مناقب فاطمة وأحمد في مسند الأنصار</w:t>
      </w:r>
      <w:r w:rsidRPr="00563AE6">
        <w:rPr>
          <w:rFonts w:cs="mylotus" w:hint="cs"/>
          <w:sz w:val="23"/>
          <w:szCs w:val="23"/>
          <w:rtl/>
        </w:rPr>
        <w:t>. ورواه المجلسي في البحار، ج 70، ص 86-87. (المترجِم)</w:t>
      </w:r>
    </w:p>
  </w:footnote>
  <w:footnote w:id="136">
    <w:p w:rsidR="00B31118" w:rsidRPr="00563AE6" w:rsidRDefault="00B31118" w:rsidP="00B300C9">
      <w:pPr>
        <w:spacing w:line="228" w:lineRule="auto"/>
        <w:ind w:left="378" w:hanging="378"/>
        <w:jc w:val="both"/>
        <w:rPr>
          <w:rFonts w:cs="mylotus" w:hint="cs"/>
          <w:sz w:val="23"/>
          <w:szCs w:val="23"/>
          <w:rtl/>
        </w:rPr>
      </w:pPr>
      <w:r w:rsidRPr="00563AE6">
        <w:rPr>
          <w:rFonts w:cs="mylotus"/>
          <w:sz w:val="23"/>
          <w:szCs w:val="23"/>
          <w:rtl/>
        </w:rPr>
        <w:footnoteRef/>
      </w:r>
      <w:r>
        <w:rPr>
          <w:rFonts w:cs="mylotus"/>
          <w:sz w:val="23"/>
          <w:szCs w:val="23"/>
          <w:rtl/>
        </w:rPr>
        <w:t>-</w:t>
      </w:r>
      <w:r w:rsidRPr="00563AE6">
        <w:rPr>
          <w:rFonts w:cs="mylotus" w:hint="cs"/>
          <w:sz w:val="23"/>
          <w:szCs w:val="23"/>
          <w:rtl/>
        </w:rPr>
        <w:t xml:space="preserve"> ابن أبي الحديد في شرحه لنهج البلاغة، ج2، ص197.  طبقا للتواريخ المعتبرة قال الإمام علي </w:t>
      </w:r>
      <w:r w:rsidRPr="003C7AEB">
        <w:rPr>
          <w:rFonts w:cs="CTraditional Arabic" w:hint="cs"/>
          <w:sz w:val="23"/>
          <w:szCs w:val="23"/>
          <w:rtl/>
        </w:rPr>
        <w:t>÷</w:t>
      </w:r>
      <w:r w:rsidRPr="00563AE6">
        <w:rPr>
          <w:rFonts w:cs="mylotus" w:hint="cs"/>
          <w:sz w:val="23"/>
          <w:szCs w:val="23"/>
          <w:rtl/>
        </w:rPr>
        <w:t xml:space="preserve"> شارحاً برنامج عمل حكومته الحقة: «</w:t>
      </w:r>
      <w:r w:rsidRPr="00563AE6">
        <w:rPr>
          <w:rFonts w:cs="mylotus"/>
          <w:sz w:val="23"/>
          <w:szCs w:val="23"/>
          <w:rtl/>
        </w:rPr>
        <w:t>أَيُّمَا رَجُلٍ اسْتَجَابَ لِـلَّهِ وَلِلرَّسُولِ فَصَدَّقَ مِلَّتَنَا وَدَخَلَ فِي دِينِنَا وَاسْتَقْبَلَ قِبْلَتَنَا فَقَدِ اسْتَوْجَبَ حُقُوقَ الإِسْلَامِ وَحُدُودَهُ فَأَنْتُمْ عِبَادُ اللهِ وَالمَالُ مَالُ اللهِ يُقْسَمُ بَيْنَكُمْ بِالسَّوِيَّةِ لَا فَضْلَ فِيهِ لِأَحَدٍ عَلَى</w:t>
      </w:r>
      <w:r w:rsidRPr="00563AE6">
        <w:rPr>
          <w:rFonts w:cs="mylotus" w:hint="cs"/>
          <w:sz w:val="23"/>
          <w:szCs w:val="23"/>
          <w:rtl/>
        </w:rPr>
        <w:t xml:space="preserve"> </w:t>
      </w:r>
      <w:r w:rsidRPr="00563AE6">
        <w:rPr>
          <w:rFonts w:cs="mylotus"/>
          <w:sz w:val="23"/>
          <w:szCs w:val="23"/>
          <w:rtl/>
        </w:rPr>
        <w:t>أَحَدٍ وَلِلْمُتَّقِينَ عِنْدَ اللهِ غَداً أَحْسَنُ الجَزَاءِ وَأَفْضَلُ الثَّوَابِ لَمْ يَجْعَلِ اللهُ الدُّنْيَا لِلْمُتَّقِينَ أَجْراً [جَزَاءً] وَلَا ثَوَاباً وَما عِنْدَ اللهِ خَيْرٌ لِلْأَبْرار</w:t>
      </w:r>
      <w:r w:rsidRPr="00563AE6">
        <w:rPr>
          <w:rFonts w:cs="mylotus" w:hint="cs"/>
          <w:sz w:val="23"/>
          <w:szCs w:val="23"/>
          <w:rtl/>
        </w:rPr>
        <w:t>». [رواه ابن أبي الحديد في شرح نهج البلاغة، ج7، ص37].</w:t>
      </w:r>
    </w:p>
    <w:p w:rsidR="00B31118" w:rsidRPr="00563AE6" w:rsidRDefault="00B31118" w:rsidP="00B300C9">
      <w:pPr>
        <w:spacing w:line="228" w:lineRule="auto"/>
        <w:ind w:left="378"/>
        <w:jc w:val="both"/>
        <w:rPr>
          <w:rFonts w:cs="mylotus" w:hint="cs"/>
          <w:sz w:val="23"/>
          <w:szCs w:val="23"/>
          <w:rtl/>
        </w:rPr>
      </w:pPr>
      <w:r w:rsidRPr="00563AE6">
        <w:rPr>
          <w:rFonts w:cs="mylotus" w:hint="cs"/>
          <w:sz w:val="23"/>
          <w:szCs w:val="23"/>
          <w:rtl/>
        </w:rPr>
        <w:t xml:space="preserve">ثم قال </w:t>
      </w:r>
      <w:r w:rsidRPr="003C7AEB">
        <w:rPr>
          <w:rFonts w:cs="CTraditional Arabic" w:hint="cs"/>
          <w:sz w:val="23"/>
          <w:szCs w:val="23"/>
          <w:rtl/>
        </w:rPr>
        <w:t>÷</w:t>
      </w:r>
      <w:r w:rsidRPr="00563AE6">
        <w:rPr>
          <w:rFonts w:cs="mylotus" w:hint="cs"/>
          <w:sz w:val="23"/>
          <w:szCs w:val="23"/>
          <w:rtl/>
        </w:rPr>
        <w:t xml:space="preserve"> في خطبة اليوم الرابع لخلافته: «</w:t>
      </w:r>
      <w:r w:rsidRPr="00563AE6">
        <w:rPr>
          <w:rFonts w:cs="mylotus"/>
          <w:sz w:val="23"/>
          <w:szCs w:val="23"/>
          <w:rtl/>
        </w:rPr>
        <w:t>فَأَمَّا هَذَا الفَيْ‏ءُ فَلَيْسَ لِأَحَدٍ عَلَى أَحَدٍ فِيهِ أَثَرَةٌ فَقَدْ فَرَغَ اللهُ مِنْ قِسْمَتِهِ فَهُوَ مَالُ اللهِ وَأَنْتُمْ عِبَادُ اللهِ المُسْلِمُونَ وَهَذَا كِتَابُ اللهِ بِهِ أَقْرَرْنَا وَلَهُ أَسْلَمْنَا</w:t>
      </w:r>
      <w:r w:rsidRPr="00563AE6">
        <w:rPr>
          <w:rFonts w:cs="mylotus" w:hint="cs"/>
          <w:sz w:val="23"/>
          <w:szCs w:val="23"/>
          <w:rtl/>
        </w:rPr>
        <w:t>». [رواه ابن أبي الحديد في شرح نهج البلاغة، ج7، ص40، وَابن شعبة الحراني في «تحف العقول» ص184.].</w:t>
      </w:r>
    </w:p>
  </w:footnote>
  <w:footnote w:id="137">
    <w:p w:rsidR="00B31118" w:rsidRPr="00563AE6" w:rsidRDefault="00B31118" w:rsidP="00B300C9">
      <w:pPr>
        <w:spacing w:line="228" w:lineRule="auto"/>
        <w:ind w:left="378" w:hanging="378"/>
        <w:jc w:val="both"/>
        <w:rPr>
          <w:rFonts w:cs="mylotus" w:hint="cs"/>
          <w:sz w:val="23"/>
          <w:szCs w:val="23"/>
        </w:rPr>
      </w:pPr>
      <w:r w:rsidRPr="00563AE6">
        <w:rPr>
          <w:rFonts w:cs="mylotus"/>
          <w:sz w:val="23"/>
          <w:szCs w:val="23"/>
          <w:rtl/>
        </w:rPr>
        <w:footnoteRef/>
      </w:r>
      <w:r>
        <w:rPr>
          <w:rFonts w:cs="mylotus"/>
          <w:sz w:val="23"/>
          <w:szCs w:val="23"/>
          <w:rtl/>
        </w:rPr>
        <w:t>-</w:t>
      </w:r>
      <w:r w:rsidRPr="00563AE6">
        <w:rPr>
          <w:rFonts w:cs="mylotus"/>
          <w:sz w:val="23"/>
          <w:szCs w:val="23"/>
          <w:rtl/>
        </w:rPr>
        <w:t xml:space="preserve"> </w:t>
      </w:r>
      <w:r w:rsidRPr="00563AE6">
        <w:rPr>
          <w:rFonts w:cs="mylotus" w:hint="cs"/>
          <w:sz w:val="23"/>
          <w:szCs w:val="23"/>
          <w:rtl/>
        </w:rPr>
        <w:t>انظر: ابن أبي الحديد في شرح نهج البلاغة، ج7، ص42. (المترجِم)</w:t>
      </w:r>
    </w:p>
  </w:footnote>
  <w:footnote w:id="138">
    <w:p w:rsidR="00B31118" w:rsidRPr="00563AE6" w:rsidRDefault="00B31118" w:rsidP="00B300C9">
      <w:pPr>
        <w:spacing w:line="228" w:lineRule="auto"/>
        <w:ind w:left="378" w:hanging="378"/>
        <w:jc w:val="both"/>
        <w:rPr>
          <w:rFonts w:cs="mylotus" w:hint="cs"/>
          <w:sz w:val="23"/>
          <w:szCs w:val="23"/>
          <w:rtl/>
        </w:rPr>
      </w:pPr>
      <w:r w:rsidRPr="00563AE6">
        <w:rPr>
          <w:rFonts w:cs="mylotus"/>
          <w:sz w:val="23"/>
          <w:szCs w:val="23"/>
          <w:rtl/>
        </w:rPr>
        <w:footnoteRef/>
      </w:r>
      <w:r>
        <w:rPr>
          <w:rFonts w:cs="mylotus"/>
          <w:sz w:val="23"/>
          <w:szCs w:val="23"/>
          <w:rtl/>
        </w:rPr>
        <w:t>-</w:t>
      </w:r>
      <w:r w:rsidRPr="00563AE6">
        <w:rPr>
          <w:rFonts w:cs="mylotus" w:hint="cs"/>
          <w:sz w:val="23"/>
          <w:szCs w:val="23"/>
          <w:rtl/>
        </w:rPr>
        <w:t xml:space="preserve"> </w:t>
      </w:r>
      <w:r w:rsidRPr="00563AE6">
        <w:rPr>
          <w:rFonts w:cs="mylotus"/>
          <w:sz w:val="23"/>
          <w:szCs w:val="23"/>
          <w:rtl/>
        </w:rPr>
        <w:t>نهج البلاغة</w:t>
      </w:r>
      <w:r w:rsidRPr="00563AE6">
        <w:rPr>
          <w:rFonts w:cs="mylotus" w:hint="cs"/>
          <w:sz w:val="23"/>
          <w:szCs w:val="23"/>
          <w:rtl/>
        </w:rPr>
        <w:t xml:space="preserve">، </w:t>
      </w:r>
      <w:r w:rsidRPr="00563AE6">
        <w:rPr>
          <w:rFonts w:cs="mylotus"/>
          <w:sz w:val="23"/>
          <w:szCs w:val="23"/>
          <w:rtl/>
        </w:rPr>
        <w:t>الخطبة 125</w:t>
      </w:r>
      <w:r w:rsidRPr="00563AE6">
        <w:rPr>
          <w:rFonts w:cs="mylotus" w:hint="cs"/>
          <w:sz w:val="23"/>
          <w:szCs w:val="23"/>
          <w:rtl/>
        </w:rPr>
        <w:t>.</w:t>
      </w:r>
    </w:p>
  </w:footnote>
  <w:footnote w:id="139">
    <w:p w:rsidR="00B31118" w:rsidRPr="00563AE6" w:rsidRDefault="00B31118" w:rsidP="00B300C9">
      <w:pPr>
        <w:spacing w:line="228" w:lineRule="auto"/>
        <w:ind w:left="378" w:hanging="378"/>
        <w:jc w:val="both"/>
        <w:rPr>
          <w:rFonts w:cs="mylotus" w:hint="cs"/>
          <w:sz w:val="23"/>
          <w:szCs w:val="23"/>
          <w:rtl/>
        </w:rPr>
      </w:pPr>
      <w:r w:rsidRPr="00563AE6">
        <w:rPr>
          <w:rFonts w:cs="mylotus"/>
          <w:sz w:val="23"/>
          <w:szCs w:val="23"/>
          <w:rtl/>
        </w:rPr>
        <w:footnoteRef/>
      </w:r>
      <w:r>
        <w:rPr>
          <w:rFonts w:cs="mylotus"/>
          <w:sz w:val="23"/>
          <w:szCs w:val="23"/>
          <w:rtl/>
        </w:rPr>
        <w:t>-</w:t>
      </w:r>
      <w:r w:rsidRPr="00563AE6">
        <w:rPr>
          <w:rFonts w:cs="mylotus" w:hint="cs"/>
          <w:sz w:val="23"/>
          <w:szCs w:val="23"/>
          <w:rtl/>
        </w:rPr>
        <w:t xml:space="preserve"> لَمْ </w:t>
      </w:r>
      <w:r w:rsidRPr="00563AE6">
        <w:rPr>
          <w:rFonts w:cs="mylotus"/>
          <w:sz w:val="23"/>
          <w:szCs w:val="23"/>
          <w:rtl/>
        </w:rPr>
        <w:t>أَرْزَؤُكُمْ</w:t>
      </w:r>
      <w:r w:rsidRPr="00563AE6">
        <w:rPr>
          <w:rFonts w:cs="mylotus" w:hint="cs"/>
          <w:sz w:val="23"/>
          <w:szCs w:val="23"/>
          <w:rtl/>
        </w:rPr>
        <w:t>: أي</w:t>
      </w:r>
      <w:r w:rsidRPr="00563AE6">
        <w:rPr>
          <w:rFonts w:cs="mylotus"/>
          <w:sz w:val="23"/>
          <w:szCs w:val="23"/>
          <w:rtl/>
        </w:rPr>
        <w:t xml:space="preserve"> لم </w:t>
      </w:r>
      <w:r w:rsidRPr="00563AE6">
        <w:rPr>
          <w:rFonts w:cs="mylotus" w:hint="cs"/>
          <w:sz w:val="23"/>
          <w:szCs w:val="23"/>
          <w:rtl/>
        </w:rPr>
        <w:t>آخذ منه</w:t>
      </w:r>
      <w:r w:rsidRPr="00563AE6">
        <w:rPr>
          <w:rFonts w:cs="mylotus"/>
          <w:sz w:val="23"/>
          <w:szCs w:val="23"/>
          <w:rtl/>
        </w:rPr>
        <w:t xml:space="preserve"> شيئاً . ي</w:t>
      </w:r>
      <w:r w:rsidRPr="00563AE6">
        <w:rPr>
          <w:rFonts w:cs="mylotus" w:hint="cs"/>
          <w:sz w:val="23"/>
          <w:szCs w:val="23"/>
          <w:rtl/>
        </w:rPr>
        <w:t>ُ</w:t>
      </w:r>
      <w:r w:rsidRPr="00563AE6">
        <w:rPr>
          <w:rFonts w:cs="mylotus"/>
          <w:sz w:val="23"/>
          <w:szCs w:val="23"/>
          <w:rtl/>
        </w:rPr>
        <w:t>ق</w:t>
      </w:r>
      <w:r w:rsidRPr="00563AE6">
        <w:rPr>
          <w:rFonts w:cs="mylotus" w:hint="cs"/>
          <w:sz w:val="23"/>
          <w:szCs w:val="23"/>
          <w:rtl/>
        </w:rPr>
        <w:t>َ</w:t>
      </w:r>
      <w:r w:rsidRPr="00563AE6">
        <w:rPr>
          <w:rFonts w:cs="mylotus"/>
          <w:sz w:val="23"/>
          <w:szCs w:val="23"/>
          <w:rtl/>
        </w:rPr>
        <w:t>ال رَزَأْته أرْزَؤُه. وأصله النَّقْص</w:t>
      </w:r>
      <w:r w:rsidRPr="00563AE6">
        <w:rPr>
          <w:rFonts w:cs="mylotus" w:hint="cs"/>
          <w:sz w:val="23"/>
          <w:szCs w:val="23"/>
          <w:rtl/>
        </w:rPr>
        <w:t xml:space="preserve">، </w:t>
      </w:r>
      <w:r w:rsidRPr="00563AE6">
        <w:rPr>
          <w:rFonts w:cs="mylotus"/>
          <w:sz w:val="23"/>
          <w:szCs w:val="23"/>
          <w:rtl/>
        </w:rPr>
        <w:t>أي ما نَقَصْ</w:t>
      </w:r>
      <w:r w:rsidRPr="00563AE6">
        <w:rPr>
          <w:rFonts w:cs="mylotus" w:hint="cs"/>
          <w:sz w:val="23"/>
          <w:szCs w:val="23"/>
          <w:rtl/>
        </w:rPr>
        <w:t>تُ من سهمكم</w:t>
      </w:r>
      <w:r w:rsidRPr="00563AE6">
        <w:rPr>
          <w:rFonts w:cs="mylotus"/>
          <w:sz w:val="23"/>
          <w:szCs w:val="23"/>
          <w:rtl/>
        </w:rPr>
        <w:t xml:space="preserve"> شيئاً ولا أخَذْ</w:t>
      </w:r>
      <w:r w:rsidRPr="00563AE6">
        <w:rPr>
          <w:rFonts w:cs="mylotus" w:hint="cs"/>
          <w:sz w:val="23"/>
          <w:szCs w:val="23"/>
          <w:rtl/>
        </w:rPr>
        <w:t>تُ. (انظر النهاية في غريب الحديث) (المترجِم)</w:t>
      </w:r>
      <w:r w:rsidRPr="00563AE6">
        <w:rPr>
          <w:rFonts w:cs="mylotus"/>
          <w:sz w:val="23"/>
          <w:szCs w:val="23"/>
          <w:rtl/>
        </w:rPr>
        <w:t xml:space="preserve"> </w:t>
      </w:r>
    </w:p>
  </w:footnote>
  <w:footnote w:id="140">
    <w:p w:rsidR="00B31118" w:rsidRPr="00563AE6" w:rsidRDefault="00B31118" w:rsidP="00B300C9">
      <w:pPr>
        <w:spacing w:line="228" w:lineRule="auto"/>
        <w:ind w:left="378" w:hanging="378"/>
        <w:jc w:val="both"/>
        <w:rPr>
          <w:rFonts w:cs="mylotus" w:hint="cs"/>
          <w:sz w:val="23"/>
          <w:szCs w:val="23"/>
        </w:rPr>
      </w:pPr>
      <w:r w:rsidRPr="00563AE6">
        <w:rPr>
          <w:rFonts w:cs="mylotus"/>
          <w:sz w:val="23"/>
          <w:szCs w:val="23"/>
          <w:rtl/>
        </w:rPr>
        <w:footnoteRef/>
      </w:r>
      <w:r>
        <w:rPr>
          <w:rFonts w:cs="mylotus"/>
          <w:sz w:val="23"/>
          <w:szCs w:val="23"/>
          <w:rtl/>
        </w:rPr>
        <w:t>-</w:t>
      </w:r>
      <w:r w:rsidRPr="00563AE6">
        <w:rPr>
          <w:rFonts w:cs="mylotus" w:hint="cs"/>
          <w:sz w:val="23"/>
          <w:szCs w:val="23"/>
          <w:rtl/>
        </w:rPr>
        <w:t xml:space="preserve"> الكليني، </w:t>
      </w:r>
      <w:r w:rsidRPr="00563AE6">
        <w:rPr>
          <w:rFonts w:cs="mylotus"/>
          <w:sz w:val="23"/>
          <w:szCs w:val="23"/>
          <w:rtl/>
        </w:rPr>
        <w:t>روضة الكافي</w:t>
      </w:r>
      <w:r w:rsidRPr="00563AE6">
        <w:rPr>
          <w:rFonts w:cs="mylotus" w:hint="cs"/>
          <w:sz w:val="23"/>
          <w:szCs w:val="23"/>
          <w:rtl/>
        </w:rPr>
        <w:t>،</w:t>
      </w:r>
      <w:r w:rsidRPr="00563AE6">
        <w:rPr>
          <w:rFonts w:cs="mylotus"/>
          <w:sz w:val="23"/>
          <w:szCs w:val="23"/>
          <w:rtl/>
        </w:rPr>
        <w:t xml:space="preserve"> ص34، طبع إسلامية</w:t>
      </w:r>
      <w:r w:rsidRPr="00563AE6">
        <w:rPr>
          <w:rFonts w:cs="mylotus" w:hint="cs"/>
          <w:sz w:val="23"/>
          <w:szCs w:val="23"/>
          <w:rtl/>
        </w:rPr>
        <w:t>؛</w:t>
      </w:r>
      <w:r w:rsidRPr="00563AE6">
        <w:rPr>
          <w:rFonts w:cs="mylotus"/>
          <w:sz w:val="23"/>
          <w:szCs w:val="23"/>
          <w:rtl/>
        </w:rPr>
        <w:t xml:space="preserve"> الحر العاملي، وسائل الشيعة</w:t>
      </w:r>
      <w:r w:rsidRPr="00563AE6">
        <w:rPr>
          <w:rFonts w:cs="mylotus" w:hint="cs"/>
          <w:sz w:val="23"/>
          <w:szCs w:val="23"/>
          <w:rtl/>
        </w:rPr>
        <w:t>،</w:t>
      </w:r>
      <w:r w:rsidRPr="00563AE6">
        <w:rPr>
          <w:rFonts w:cs="mylotus"/>
          <w:sz w:val="23"/>
          <w:szCs w:val="23"/>
          <w:rtl/>
        </w:rPr>
        <w:t xml:space="preserve"> طبع أمير بهادر</w:t>
      </w:r>
      <w:r w:rsidRPr="00563AE6">
        <w:rPr>
          <w:rFonts w:cs="mylotus" w:hint="cs"/>
          <w:sz w:val="23"/>
          <w:szCs w:val="23"/>
          <w:rtl/>
        </w:rPr>
        <w:t xml:space="preserve">، </w:t>
      </w:r>
      <w:r w:rsidRPr="00563AE6">
        <w:rPr>
          <w:rFonts w:cs="mylotus"/>
          <w:sz w:val="23"/>
          <w:szCs w:val="23"/>
          <w:rtl/>
        </w:rPr>
        <w:t>ج2</w:t>
      </w:r>
      <w:r w:rsidRPr="00563AE6">
        <w:rPr>
          <w:rFonts w:cs="mylotus" w:hint="cs"/>
          <w:sz w:val="23"/>
          <w:szCs w:val="23"/>
          <w:rtl/>
        </w:rPr>
        <w:t xml:space="preserve">، </w:t>
      </w:r>
      <w:r w:rsidRPr="00563AE6">
        <w:rPr>
          <w:rFonts w:cs="mylotus"/>
          <w:sz w:val="23"/>
          <w:szCs w:val="23"/>
          <w:rtl/>
        </w:rPr>
        <w:t>ص431</w:t>
      </w:r>
      <w:r w:rsidRPr="00563AE6">
        <w:rPr>
          <w:rFonts w:cs="mylotus" w:hint="cs"/>
          <w:sz w:val="23"/>
          <w:szCs w:val="23"/>
          <w:rtl/>
        </w:rPr>
        <w:t>.</w:t>
      </w:r>
      <w:r w:rsidRPr="00563AE6">
        <w:rPr>
          <w:rFonts w:cs="mylotus"/>
          <w:sz w:val="23"/>
          <w:szCs w:val="23"/>
          <w:rtl/>
        </w:rPr>
        <w:t xml:space="preserve"> </w:t>
      </w:r>
      <w:r w:rsidRPr="00563AE6">
        <w:rPr>
          <w:rFonts w:cs="mylotus" w:hint="cs"/>
          <w:sz w:val="23"/>
          <w:szCs w:val="23"/>
          <w:rtl/>
        </w:rPr>
        <w:t>[أو وسائل الشيعة، طبعة قم الحديثة، ج15، ص 105. (المترجِم)].</w:t>
      </w:r>
    </w:p>
  </w:footnote>
  <w:footnote w:id="141">
    <w:p w:rsidR="00B31118" w:rsidRPr="00563AE6" w:rsidRDefault="00B31118" w:rsidP="00B300C9">
      <w:pPr>
        <w:spacing w:line="228" w:lineRule="auto"/>
        <w:ind w:left="378" w:hanging="378"/>
        <w:jc w:val="both"/>
        <w:rPr>
          <w:rFonts w:cs="mylotus" w:hint="cs"/>
          <w:sz w:val="23"/>
          <w:szCs w:val="23"/>
        </w:rPr>
      </w:pPr>
      <w:r w:rsidRPr="00563AE6">
        <w:rPr>
          <w:rFonts w:cs="mylotus"/>
          <w:sz w:val="23"/>
          <w:szCs w:val="23"/>
          <w:rtl/>
        </w:rPr>
        <w:footnoteRef/>
      </w:r>
      <w:r>
        <w:rPr>
          <w:rFonts w:cs="mylotus"/>
          <w:sz w:val="23"/>
          <w:szCs w:val="23"/>
          <w:rtl/>
        </w:rPr>
        <w:t>-</w:t>
      </w:r>
      <w:r w:rsidRPr="00563AE6">
        <w:rPr>
          <w:rFonts w:cs="mylotus"/>
          <w:sz w:val="23"/>
          <w:szCs w:val="23"/>
          <w:rtl/>
        </w:rPr>
        <w:t xml:space="preserve"> </w:t>
      </w:r>
      <w:r w:rsidRPr="00563AE6">
        <w:rPr>
          <w:rFonts w:cs="mylotus" w:hint="cs"/>
          <w:sz w:val="23"/>
          <w:szCs w:val="23"/>
          <w:rtl/>
        </w:rPr>
        <w:t>الكُلَيْنِيّ، الكافي، ج8، ص69، ط4، طهران، دار الكتب الإسلامية، 1365هـ. ش.؛ و محمد باقر المجلسي، بحار الأنوار، ج 8، ص393، طبعة تبريز الحجرية. (المترجِم)</w:t>
      </w:r>
    </w:p>
  </w:footnote>
  <w:footnote w:id="142">
    <w:p w:rsidR="00B31118" w:rsidRPr="00563AE6" w:rsidRDefault="00B31118" w:rsidP="00B300C9">
      <w:pPr>
        <w:spacing w:line="228" w:lineRule="auto"/>
        <w:ind w:left="378" w:hanging="378"/>
        <w:jc w:val="both"/>
        <w:rPr>
          <w:rFonts w:cs="mylotus" w:hint="cs"/>
          <w:sz w:val="23"/>
          <w:szCs w:val="23"/>
          <w:rtl/>
        </w:rPr>
      </w:pPr>
      <w:r w:rsidRPr="00563AE6">
        <w:rPr>
          <w:rFonts w:cs="mylotus"/>
          <w:sz w:val="23"/>
          <w:szCs w:val="23"/>
          <w:rtl/>
        </w:rPr>
        <w:footnoteRef/>
      </w:r>
      <w:r>
        <w:rPr>
          <w:rFonts w:cs="mylotus"/>
          <w:sz w:val="23"/>
          <w:szCs w:val="23"/>
          <w:rtl/>
        </w:rPr>
        <w:t>-</w:t>
      </w:r>
      <w:r w:rsidRPr="00563AE6">
        <w:rPr>
          <w:rFonts w:cs="mylotus" w:hint="cs"/>
          <w:sz w:val="23"/>
          <w:szCs w:val="23"/>
          <w:rtl/>
        </w:rPr>
        <w:t xml:space="preserve"> المجلسي، بحار الأنوار، ج 8، ص 367، طبع تبريز، أو ج32،  ص 21، من الطبعة الجديدة. (المترجِم)</w:t>
      </w:r>
      <w:r w:rsidRPr="00563AE6">
        <w:rPr>
          <w:rFonts w:cs="mylotus"/>
          <w:sz w:val="23"/>
          <w:szCs w:val="23"/>
          <w:rtl/>
        </w:rPr>
        <w:t xml:space="preserve"> </w:t>
      </w:r>
    </w:p>
  </w:footnote>
  <w:footnote w:id="143">
    <w:p w:rsidR="00B31118" w:rsidRPr="00563AE6" w:rsidRDefault="00B31118" w:rsidP="00B300C9">
      <w:pPr>
        <w:spacing w:line="228" w:lineRule="auto"/>
        <w:ind w:left="378" w:hanging="378"/>
        <w:jc w:val="both"/>
        <w:rPr>
          <w:rFonts w:cs="mylotus" w:hint="cs"/>
          <w:sz w:val="23"/>
          <w:szCs w:val="23"/>
          <w:rtl/>
        </w:rPr>
      </w:pPr>
      <w:r w:rsidRPr="00563AE6">
        <w:rPr>
          <w:rFonts w:cs="mylotus"/>
          <w:sz w:val="23"/>
          <w:szCs w:val="23"/>
          <w:rtl/>
        </w:rPr>
        <w:footnoteRef/>
      </w:r>
      <w:r>
        <w:rPr>
          <w:rFonts w:cs="mylotus"/>
          <w:sz w:val="23"/>
          <w:szCs w:val="23"/>
          <w:rtl/>
        </w:rPr>
        <w:t>-</w:t>
      </w:r>
      <w:r w:rsidRPr="00563AE6">
        <w:rPr>
          <w:rFonts w:cs="mylotus"/>
          <w:sz w:val="23"/>
          <w:szCs w:val="23"/>
          <w:rtl/>
        </w:rPr>
        <w:t xml:space="preserve"> </w:t>
      </w:r>
      <w:r w:rsidRPr="00563AE6">
        <w:rPr>
          <w:rFonts w:cs="mylotus" w:hint="cs"/>
          <w:sz w:val="23"/>
          <w:szCs w:val="23"/>
          <w:rtl/>
        </w:rPr>
        <w:t>المجلسي، بحار الأنوار، ج 32،  ص 22، من الطبعة الجديدة. (المترجِم)</w:t>
      </w:r>
    </w:p>
  </w:footnote>
  <w:footnote w:id="144">
    <w:p w:rsidR="00B31118" w:rsidRPr="00563AE6" w:rsidRDefault="00B31118" w:rsidP="00B300C9">
      <w:pPr>
        <w:spacing w:line="228" w:lineRule="auto"/>
        <w:ind w:left="378" w:hanging="378"/>
        <w:jc w:val="both"/>
        <w:rPr>
          <w:rFonts w:cs="mylotus" w:hint="cs"/>
          <w:sz w:val="23"/>
          <w:szCs w:val="23"/>
          <w:rtl/>
        </w:rPr>
      </w:pPr>
      <w:r w:rsidRPr="00563AE6">
        <w:rPr>
          <w:rFonts w:cs="mylotus"/>
          <w:sz w:val="23"/>
          <w:szCs w:val="23"/>
          <w:rtl/>
        </w:rPr>
        <w:footnoteRef/>
      </w:r>
      <w:r>
        <w:rPr>
          <w:rFonts w:cs="mylotus"/>
          <w:sz w:val="23"/>
          <w:szCs w:val="23"/>
          <w:rtl/>
        </w:rPr>
        <w:t>-</w:t>
      </w:r>
      <w:r w:rsidRPr="00563AE6">
        <w:rPr>
          <w:rFonts w:cs="mylotus" w:hint="cs"/>
          <w:sz w:val="23"/>
          <w:szCs w:val="23"/>
          <w:rtl/>
        </w:rPr>
        <w:t xml:space="preserve"> </w:t>
      </w:r>
      <w:r w:rsidRPr="00563AE6">
        <w:rPr>
          <w:rFonts w:cs="mylotus"/>
          <w:sz w:val="23"/>
          <w:szCs w:val="23"/>
          <w:rtl/>
        </w:rPr>
        <w:t>ابن شهرآشوب</w:t>
      </w:r>
      <w:r w:rsidRPr="00563AE6">
        <w:rPr>
          <w:rFonts w:cs="mylotus" w:hint="cs"/>
          <w:sz w:val="23"/>
          <w:szCs w:val="23"/>
          <w:rtl/>
        </w:rPr>
        <w:t>،</w:t>
      </w:r>
      <w:r w:rsidRPr="00563AE6">
        <w:rPr>
          <w:rFonts w:cs="mylotus"/>
          <w:sz w:val="23"/>
          <w:szCs w:val="23"/>
          <w:rtl/>
        </w:rPr>
        <w:t xml:space="preserve"> مناقب</w:t>
      </w:r>
      <w:r w:rsidRPr="00563AE6">
        <w:rPr>
          <w:rFonts w:cs="mylotus" w:hint="cs"/>
          <w:sz w:val="23"/>
          <w:szCs w:val="23"/>
          <w:rtl/>
        </w:rPr>
        <w:t xml:space="preserve"> آل أبي طالب، </w:t>
      </w:r>
      <w:r w:rsidRPr="00563AE6">
        <w:rPr>
          <w:rFonts w:cs="mylotus"/>
          <w:sz w:val="23"/>
          <w:szCs w:val="23"/>
          <w:rtl/>
        </w:rPr>
        <w:t>طبع قم</w:t>
      </w:r>
      <w:r w:rsidRPr="00563AE6">
        <w:rPr>
          <w:rFonts w:cs="mylotus" w:hint="cs"/>
          <w:sz w:val="23"/>
          <w:szCs w:val="23"/>
          <w:rtl/>
        </w:rPr>
        <w:t>،</w:t>
      </w:r>
      <w:r w:rsidRPr="00563AE6">
        <w:rPr>
          <w:rFonts w:cs="mylotus"/>
          <w:sz w:val="23"/>
          <w:szCs w:val="23"/>
          <w:rtl/>
        </w:rPr>
        <w:t xml:space="preserve"> ج2</w:t>
      </w:r>
      <w:r w:rsidRPr="00563AE6">
        <w:rPr>
          <w:rFonts w:cs="mylotus" w:hint="cs"/>
          <w:sz w:val="23"/>
          <w:szCs w:val="23"/>
          <w:rtl/>
        </w:rPr>
        <w:t xml:space="preserve">، </w:t>
      </w:r>
      <w:r w:rsidRPr="00563AE6">
        <w:rPr>
          <w:rFonts w:cs="mylotus"/>
          <w:sz w:val="23"/>
          <w:szCs w:val="23"/>
          <w:rtl/>
        </w:rPr>
        <w:t>ص111</w:t>
      </w:r>
      <w:r w:rsidRPr="00563AE6">
        <w:rPr>
          <w:rFonts w:cs="mylotus" w:hint="cs"/>
          <w:sz w:val="23"/>
          <w:szCs w:val="23"/>
          <w:rtl/>
        </w:rPr>
        <w:t>.</w:t>
      </w:r>
    </w:p>
  </w:footnote>
  <w:footnote w:id="145">
    <w:p w:rsidR="00B31118" w:rsidRPr="00563AE6" w:rsidRDefault="00B31118" w:rsidP="00B300C9">
      <w:pPr>
        <w:spacing w:line="228" w:lineRule="auto"/>
        <w:ind w:left="378" w:hanging="378"/>
        <w:jc w:val="both"/>
        <w:rPr>
          <w:rFonts w:cs="mylotus" w:hint="cs"/>
          <w:sz w:val="23"/>
          <w:szCs w:val="23"/>
          <w:rtl/>
        </w:rPr>
      </w:pPr>
      <w:r w:rsidRPr="00563AE6">
        <w:rPr>
          <w:rFonts w:cs="mylotus"/>
          <w:sz w:val="23"/>
          <w:szCs w:val="23"/>
          <w:rtl/>
        </w:rPr>
        <w:footnoteRef/>
      </w:r>
      <w:r>
        <w:rPr>
          <w:rFonts w:cs="mylotus"/>
          <w:sz w:val="23"/>
          <w:szCs w:val="23"/>
          <w:rtl/>
        </w:rPr>
        <w:t>-</w:t>
      </w:r>
      <w:r w:rsidRPr="00563AE6">
        <w:rPr>
          <w:rFonts w:cs="mylotus" w:hint="cs"/>
          <w:sz w:val="23"/>
          <w:szCs w:val="23"/>
          <w:rtl/>
        </w:rPr>
        <w:t xml:space="preserve"> </w:t>
      </w:r>
      <w:r w:rsidRPr="00563AE6">
        <w:rPr>
          <w:rFonts w:cs="mylotus"/>
          <w:sz w:val="23"/>
          <w:szCs w:val="23"/>
          <w:rtl/>
        </w:rPr>
        <w:t>نهج البلاغة</w:t>
      </w:r>
      <w:r w:rsidRPr="00563AE6">
        <w:rPr>
          <w:rFonts w:cs="mylotus" w:hint="cs"/>
          <w:sz w:val="23"/>
          <w:szCs w:val="23"/>
          <w:rtl/>
        </w:rPr>
        <w:t xml:space="preserve">، </w:t>
      </w:r>
      <w:r w:rsidRPr="00563AE6">
        <w:rPr>
          <w:rFonts w:cs="mylotus"/>
          <w:sz w:val="23"/>
          <w:szCs w:val="23"/>
          <w:rtl/>
        </w:rPr>
        <w:t>الخطبة رقم 219</w:t>
      </w:r>
      <w:r w:rsidRPr="00563AE6">
        <w:rPr>
          <w:rFonts w:cs="mylotus" w:hint="cs"/>
          <w:sz w:val="23"/>
          <w:szCs w:val="23"/>
          <w:rtl/>
        </w:rPr>
        <w:t>.</w:t>
      </w:r>
    </w:p>
  </w:footnote>
  <w:footnote w:id="146">
    <w:p w:rsidR="00B31118" w:rsidRPr="00563AE6" w:rsidRDefault="00B31118" w:rsidP="00B300C9">
      <w:pPr>
        <w:spacing w:line="228" w:lineRule="auto"/>
        <w:ind w:left="378" w:hanging="378"/>
        <w:jc w:val="both"/>
        <w:rPr>
          <w:rFonts w:cs="mylotus" w:hint="cs"/>
          <w:sz w:val="23"/>
          <w:szCs w:val="23"/>
          <w:rtl/>
        </w:rPr>
      </w:pPr>
      <w:r w:rsidRPr="00563AE6">
        <w:rPr>
          <w:rFonts w:cs="mylotus"/>
          <w:sz w:val="23"/>
          <w:szCs w:val="23"/>
          <w:rtl/>
        </w:rPr>
        <w:footnoteRef/>
      </w:r>
      <w:r>
        <w:rPr>
          <w:rFonts w:cs="mylotus"/>
          <w:sz w:val="23"/>
          <w:szCs w:val="23"/>
          <w:rtl/>
        </w:rPr>
        <w:t>-</w:t>
      </w:r>
      <w:r w:rsidRPr="00563AE6">
        <w:rPr>
          <w:rFonts w:cs="mylotus" w:hint="cs"/>
          <w:sz w:val="23"/>
          <w:szCs w:val="23"/>
          <w:rtl/>
        </w:rPr>
        <w:t xml:space="preserve"> جلال الدين السيوطي، </w:t>
      </w:r>
      <w:r w:rsidRPr="00563AE6">
        <w:rPr>
          <w:rFonts w:cs="mylotus"/>
          <w:sz w:val="23"/>
          <w:szCs w:val="23"/>
          <w:rtl/>
        </w:rPr>
        <w:t>تاريخ الخلفاء</w:t>
      </w:r>
      <w:r w:rsidRPr="00563AE6">
        <w:rPr>
          <w:rFonts w:cs="mylotus" w:hint="cs"/>
          <w:sz w:val="23"/>
          <w:szCs w:val="23"/>
          <w:rtl/>
        </w:rPr>
        <w:t>،</w:t>
      </w:r>
      <w:r w:rsidRPr="00563AE6">
        <w:rPr>
          <w:rFonts w:cs="mylotus"/>
          <w:sz w:val="23"/>
          <w:szCs w:val="23"/>
          <w:rtl/>
        </w:rPr>
        <w:t xml:space="preserve"> ص 204، طبع سنة 1964م</w:t>
      </w:r>
      <w:r w:rsidRPr="00563AE6">
        <w:rPr>
          <w:rFonts w:cs="mylotus" w:hint="cs"/>
          <w:sz w:val="23"/>
          <w:szCs w:val="23"/>
          <w:rtl/>
        </w:rPr>
        <w:t>.</w:t>
      </w:r>
    </w:p>
  </w:footnote>
  <w:footnote w:id="147">
    <w:p w:rsidR="00B31118" w:rsidRPr="00563AE6" w:rsidRDefault="00B31118" w:rsidP="00B300C9">
      <w:pPr>
        <w:spacing w:line="228" w:lineRule="auto"/>
        <w:ind w:left="378" w:hanging="378"/>
        <w:jc w:val="both"/>
        <w:rPr>
          <w:rFonts w:cs="mylotus" w:hint="cs"/>
          <w:sz w:val="23"/>
          <w:szCs w:val="23"/>
          <w:rtl/>
        </w:rPr>
      </w:pPr>
      <w:r w:rsidRPr="00563AE6">
        <w:rPr>
          <w:rFonts w:cs="mylotus"/>
          <w:sz w:val="23"/>
          <w:szCs w:val="23"/>
          <w:rtl/>
        </w:rPr>
        <w:footnoteRef/>
      </w:r>
      <w:r>
        <w:rPr>
          <w:rFonts w:cs="mylotus"/>
          <w:sz w:val="23"/>
          <w:szCs w:val="23"/>
          <w:rtl/>
        </w:rPr>
        <w:t>-</w:t>
      </w:r>
      <w:r w:rsidRPr="00563AE6">
        <w:rPr>
          <w:rFonts w:cs="mylotus" w:hint="cs"/>
          <w:sz w:val="23"/>
          <w:szCs w:val="23"/>
          <w:rtl/>
        </w:rPr>
        <w:t xml:space="preserve"> ابن أبي الحديد، شرح نهج البلاغة، ج 2، ص 200؛ محمد باقر المجلسي، بحار الأنوار، ج 29، ص 495، من الطبعة الجديدة. (المُتَرْجِمُ)</w:t>
      </w:r>
    </w:p>
  </w:footnote>
  <w:footnote w:id="148">
    <w:p w:rsidR="00B31118" w:rsidRPr="00563AE6" w:rsidRDefault="00B31118" w:rsidP="00B300C9">
      <w:pPr>
        <w:spacing w:line="228" w:lineRule="auto"/>
        <w:ind w:left="378" w:hanging="378"/>
        <w:jc w:val="both"/>
        <w:rPr>
          <w:rFonts w:cs="mylotus" w:hint="cs"/>
          <w:sz w:val="23"/>
          <w:szCs w:val="23"/>
          <w:rtl/>
        </w:rPr>
      </w:pPr>
      <w:r w:rsidRPr="00563AE6">
        <w:rPr>
          <w:rFonts w:cs="mylotus"/>
          <w:sz w:val="23"/>
          <w:szCs w:val="23"/>
          <w:rtl/>
        </w:rPr>
        <w:footnoteRef/>
      </w:r>
      <w:r>
        <w:rPr>
          <w:rFonts w:cs="mylotus"/>
          <w:sz w:val="23"/>
          <w:szCs w:val="23"/>
          <w:rtl/>
        </w:rPr>
        <w:t>-</w:t>
      </w:r>
      <w:r w:rsidRPr="00563AE6">
        <w:rPr>
          <w:rFonts w:cs="mylotus"/>
          <w:sz w:val="23"/>
          <w:szCs w:val="23"/>
          <w:rtl/>
        </w:rPr>
        <w:t xml:space="preserve"> </w:t>
      </w:r>
      <w:r w:rsidRPr="00563AE6">
        <w:rPr>
          <w:rFonts w:cs="mylotus" w:hint="cs"/>
          <w:sz w:val="23"/>
          <w:szCs w:val="23"/>
          <w:rtl/>
        </w:rPr>
        <w:t xml:space="preserve">ورام بن أبي فراس من علماء الشيعة الإمامية في القرنين السادس والسابع الهجريين، ولد في الحلة جنوب العراق التي كانت في عصره من مراكز التشيع والفقه الإمامي. وهو جد السيد رضي الدين بن طاوس لأمه ويعود نسبه إلى قبيلة بني حمدان وهو من ذرية مالك الأشتر النخعي صاحب أمير المؤمنين علي </w:t>
      </w:r>
      <w:r w:rsidRPr="003C7AEB">
        <w:rPr>
          <w:rFonts w:cs="CTraditional Arabic" w:hint="cs"/>
          <w:sz w:val="23"/>
          <w:szCs w:val="23"/>
          <w:rtl/>
        </w:rPr>
        <w:t>÷</w:t>
      </w:r>
      <w:r w:rsidRPr="00563AE6">
        <w:rPr>
          <w:rFonts w:cs="mylotus" w:hint="cs"/>
          <w:sz w:val="23"/>
          <w:szCs w:val="23"/>
          <w:rtl/>
        </w:rPr>
        <w:t xml:space="preserve"> الوفيّ. من أشهر مؤلفاته كتابه الروائي: «</w:t>
      </w:r>
      <w:r w:rsidRPr="00563AE6">
        <w:rPr>
          <w:rFonts w:cs="mylotus"/>
          <w:sz w:val="23"/>
          <w:szCs w:val="23"/>
          <w:rtl/>
        </w:rPr>
        <w:t>تنبيه الخواطر ونزهة النواظر</w:t>
      </w:r>
      <w:r w:rsidRPr="00563AE6">
        <w:rPr>
          <w:rFonts w:cs="mylotus" w:hint="cs"/>
          <w:sz w:val="23"/>
          <w:szCs w:val="23"/>
          <w:rtl/>
        </w:rPr>
        <w:t>» ال</w:t>
      </w:r>
      <w:r w:rsidRPr="00563AE6">
        <w:rPr>
          <w:rFonts w:cs="mylotus"/>
          <w:sz w:val="23"/>
          <w:szCs w:val="23"/>
          <w:rtl/>
        </w:rPr>
        <w:t>معروف ب</w:t>
      </w:r>
      <w:r w:rsidRPr="00563AE6">
        <w:rPr>
          <w:rFonts w:cs="mylotus" w:hint="cs"/>
          <w:sz w:val="23"/>
          <w:szCs w:val="23"/>
          <w:rtl/>
        </w:rPr>
        <w:t>ـ«</w:t>
      </w:r>
      <w:r w:rsidRPr="00563AE6">
        <w:rPr>
          <w:rFonts w:cs="mylotus"/>
          <w:sz w:val="23"/>
          <w:szCs w:val="23"/>
          <w:rtl/>
        </w:rPr>
        <w:t>مجموعه ورام</w:t>
      </w:r>
      <w:r w:rsidRPr="00563AE6">
        <w:rPr>
          <w:rFonts w:cs="mylotus" w:hint="cs"/>
          <w:sz w:val="23"/>
          <w:szCs w:val="23"/>
          <w:rtl/>
        </w:rPr>
        <w:t xml:space="preserve">». توفي الشيخ </w:t>
      </w:r>
      <w:r w:rsidRPr="00563AE6">
        <w:rPr>
          <w:rFonts w:cs="mylotus"/>
          <w:sz w:val="23"/>
          <w:szCs w:val="23"/>
          <w:rtl/>
        </w:rPr>
        <w:t xml:space="preserve">ورام بن </w:t>
      </w:r>
      <w:r w:rsidRPr="00563AE6">
        <w:rPr>
          <w:rFonts w:cs="mylotus" w:hint="cs"/>
          <w:sz w:val="23"/>
          <w:szCs w:val="23"/>
          <w:rtl/>
        </w:rPr>
        <w:t>أ</w:t>
      </w:r>
      <w:r w:rsidRPr="00563AE6">
        <w:rPr>
          <w:rFonts w:cs="mylotus"/>
          <w:sz w:val="23"/>
          <w:szCs w:val="23"/>
          <w:rtl/>
        </w:rPr>
        <w:t>ب</w:t>
      </w:r>
      <w:r w:rsidRPr="00563AE6">
        <w:rPr>
          <w:rFonts w:cs="mylotus" w:hint="cs"/>
          <w:sz w:val="23"/>
          <w:szCs w:val="23"/>
          <w:rtl/>
        </w:rPr>
        <w:t>ي</w:t>
      </w:r>
      <w:r w:rsidRPr="00563AE6">
        <w:rPr>
          <w:rFonts w:cs="mylotus"/>
          <w:sz w:val="23"/>
          <w:szCs w:val="23"/>
          <w:rtl/>
        </w:rPr>
        <w:t xml:space="preserve"> فراس </w:t>
      </w:r>
      <w:r w:rsidRPr="00563AE6">
        <w:rPr>
          <w:rFonts w:cs="mylotus" w:hint="cs"/>
          <w:sz w:val="23"/>
          <w:szCs w:val="23"/>
          <w:rtl/>
        </w:rPr>
        <w:t>سنة</w:t>
      </w:r>
      <w:r w:rsidRPr="00563AE6">
        <w:rPr>
          <w:rFonts w:cs="mylotus"/>
          <w:sz w:val="23"/>
          <w:szCs w:val="23"/>
          <w:rtl/>
        </w:rPr>
        <w:t xml:space="preserve"> 605</w:t>
      </w:r>
      <w:r w:rsidRPr="00563AE6">
        <w:rPr>
          <w:rFonts w:cs="mylotus" w:hint="cs"/>
          <w:sz w:val="23"/>
          <w:szCs w:val="23"/>
          <w:rtl/>
        </w:rPr>
        <w:t>هـ</w:t>
      </w:r>
      <w:r w:rsidRPr="00563AE6">
        <w:rPr>
          <w:rFonts w:cs="mylotus"/>
          <w:sz w:val="23"/>
          <w:szCs w:val="23"/>
          <w:rtl/>
        </w:rPr>
        <w:t xml:space="preserve"> </w:t>
      </w:r>
      <w:r w:rsidRPr="00563AE6">
        <w:rPr>
          <w:rFonts w:cs="mylotus" w:hint="cs"/>
          <w:sz w:val="23"/>
          <w:szCs w:val="23"/>
          <w:rtl/>
        </w:rPr>
        <w:t>في الحلة ودفن فيها. (المترجِم)</w:t>
      </w:r>
    </w:p>
  </w:footnote>
  <w:footnote w:id="149">
    <w:p w:rsidR="00B31118" w:rsidRPr="00C761A3" w:rsidRDefault="00B31118" w:rsidP="00B300C9">
      <w:pPr>
        <w:spacing w:line="228" w:lineRule="auto"/>
        <w:ind w:left="378" w:hanging="378"/>
        <w:jc w:val="both"/>
        <w:rPr>
          <w:rFonts w:cs="mylotus" w:hint="cs"/>
          <w:sz w:val="23"/>
          <w:szCs w:val="23"/>
          <w:rtl/>
        </w:rPr>
      </w:pPr>
      <w:r w:rsidRPr="00C761A3">
        <w:rPr>
          <w:rFonts w:cs="mylotus"/>
          <w:sz w:val="23"/>
          <w:szCs w:val="23"/>
          <w:rtl/>
        </w:rPr>
        <w:footnoteRef/>
      </w:r>
      <w:r w:rsidRPr="00C761A3">
        <w:rPr>
          <w:rFonts w:cs="mylotus"/>
          <w:sz w:val="23"/>
          <w:szCs w:val="23"/>
          <w:rtl/>
        </w:rPr>
        <w:t>-</w:t>
      </w:r>
      <w:r w:rsidRPr="00C761A3">
        <w:rPr>
          <w:rFonts w:cs="mylotus" w:hint="cs"/>
          <w:sz w:val="23"/>
          <w:szCs w:val="23"/>
          <w:rtl/>
        </w:rPr>
        <w:t xml:space="preserve"> </w:t>
      </w:r>
      <w:r w:rsidRPr="00C761A3">
        <w:rPr>
          <w:rFonts w:cs="mylotus"/>
          <w:sz w:val="23"/>
          <w:szCs w:val="23"/>
          <w:rtl/>
        </w:rPr>
        <w:t>ورام بن أبى فراس</w:t>
      </w:r>
      <w:r w:rsidRPr="00C761A3">
        <w:rPr>
          <w:rFonts w:cs="mylotus" w:hint="cs"/>
          <w:sz w:val="23"/>
          <w:szCs w:val="23"/>
          <w:rtl/>
        </w:rPr>
        <w:t xml:space="preserve">، </w:t>
      </w:r>
      <w:r w:rsidRPr="00C761A3">
        <w:rPr>
          <w:rFonts w:cs="mylotus"/>
          <w:sz w:val="23"/>
          <w:szCs w:val="23"/>
          <w:rtl/>
        </w:rPr>
        <w:t>مجموعة ورام</w:t>
      </w:r>
      <w:r w:rsidRPr="00C761A3">
        <w:rPr>
          <w:rFonts w:cs="mylotus" w:hint="cs"/>
          <w:sz w:val="23"/>
          <w:szCs w:val="23"/>
          <w:rtl/>
        </w:rPr>
        <w:t xml:space="preserve">، </w:t>
      </w:r>
      <w:r w:rsidRPr="00C761A3">
        <w:rPr>
          <w:rFonts w:cs="mylotus"/>
          <w:sz w:val="23"/>
          <w:szCs w:val="23"/>
          <w:rtl/>
        </w:rPr>
        <w:t>ج2</w:t>
      </w:r>
      <w:r w:rsidRPr="00C761A3">
        <w:rPr>
          <w:rFonts w:cs="mylotus" w:hint="cs"/>
          <w:sz w:val="23"/>
          <w:szCs w:val="23"/>
          <w:rtl/>
        </w:rPr>
        <w:t xml:space="preserve">، </w:t>
      </w:r>
      <w:r w:rsidRPr="00C761A3">
        <w:rPr>
          <w:rFonts w:cs="mylotus"/>
          <w:sz w:val="23"/>
          <w:szCs w:val="23"/>
          <w:rtl/>
        </w:rPr>
        <w:t>ص3</w:t>
      </w:r>
      <w:r w:rsidRPr="00C761A3">
        <w:rPr>
          <w:rFonts w:cs="mylotus" w:hint="cs"/>
          <w:sz w:val="23"/>
          <w:szCs w:val="23"/>
          <w:rtl/>
        </w:rPr>
        <w:t xml:space="preserve">؛ </w:t>
      </w:r>
      <w:r w:rsidRPr="00C761A3">
        <w:rPr>
          <w:rFonts w:cs="mylotus"/>
          <w:sz w:val="23"/>
          <w:szCs w:val="23"/>
          <w:rtl/>
        </w:rPr>
        <w:t xml:space="preserve"> الشيخ الطوسي</w:t>
      </w:r>
      <w:r w:rsidRPr="00C761A3">
        <w:rPr>
          <w:rFonts w:cs="mylotus" w:hint="cs"/>
          <w:sz w:val="23"/>
          <w:szCs w:val="23"/>
          <w:rtl/>
        </w:rPr>
        <w:t xml:space="preserve">، </w:t>
      </w:r>
      <w:r w:rsidRPr="00C761A3">
        <w:rPr>
          <w:rFonts w:cs="mylotus"/>
          <w:sz w:val="23"/>
          <w:szCs w:val="23"/>
          <w:rtl/>
        </w:rPr>
        <w:t>تهذيب الأحكام</w:t>
      </w:r>
      <w:r w:rsidRPr="00C761A3">
        <w:rPr>
          <w:rFonts w:cs="mylotus" w:hint="cs"/>
          <w:sz w:val="23"/>
          <w:szCs w:val="23"/>
          <w:rtl/>
        </w:rPr>
        <w:t>،</w:t>
      </w:r>
      <w:r w:rsidRPr="00C761A3">
        <w:rPr>
          <w:rFonts w:cs="mylotus"/>
          <w:sz w:val="23"/>
          <w:szCs w:val="23"/>
          <w:rtl/>
        </w:rPr>
        <w:t xml:space="preserve"> ج10</w:t>
      </w:r>
      <w:r w:rsidRPr="00C761A3">
        <w:rPr>
          <w:rFonts w:cs="mylotus" w:hint="cs"/>
          <w:sz w:val="23"/>
          <w:szCs w:val="23"/>
          <w:rtl/>
        </w:rPr>
        <w:t xml:space="preserve">، </w:t>
      </w:r>
      <w:r w:rsidRPr="00C761A3">
        <w:rPr>
          <w:rFonts w:cs="mylotus"/>
          <w:sz w:val="23"/>
          <w:szCs w:val="23"/>
          <w:rtl/>
        </w:rPr>
        <w:t>ص151، طبع النجف</w:t>
      </w:r>
      <w:r w:rsidRPr="00C761A3">
        <w:rPr>
          <w:rFonts w:cs="mylotus" w:hint="cs"/>
          <w:sz w:val="23"/>
          <w:szCs w:val="23"/>
          <w:rtl/>
        </w:rPr>
        <w:t>.</w:t>
      </w:r>
    </w:p>
  </w:footnote>
  <w:footnote w:id="150">
    <w:p w:rsidR="00B31118" w:rsidRPr="00563AE6" w:rsidRDefault="00B31118" w:rsidP="00B300C9">
      <w:pPr>
        <w:spacing w:line="228" w:lineRule="auto"/>
        <w:ind w:left="378" w:hanging="378"/>
        <w:jc w:val="both"/>
        <w:rPr>
          <w:rFonts w:cs="mylotus" w:hint="cs"/>
          <w:sz w:val="23"/>
          <w:szCs w:val="23"/>
          <w:rtl/>
        </w:rPr>
      </w:pPr>
      <w:r w:rsidRPr="00563AE6">
        <w:rPr>
          <w:rFonts w:cs="mylotus"/>
          <w:sz w:val="23"/>
          <w:szCs w:val="23"/>
          <w:rtl/>
        </w:rPr>
        <w:footnoteRef/>
      </w:r>
      <w:r>
        <w:rPr>
          <w:rFonts w:cs="mylotus"/>
          <w:sz w:val="23"/>
          <w:szCs w:val="23"/>
          <w:rtl/>
        </w:rPr>
        <w:t>-</w:t>
      </w:r>
      <w:r w:rsidRPr="00563AE6">
        <w:rPr>
          <w:rFonts w:cs="mylotus"/>
          <w:sz w:val="23"/>
          <w:szCs w:val="23"/>
          <w:rtl/>
        </w:rPr>
        <w:t xml:space="preserve"> </w:t>
      </w:r>
      <w:r w:rsidRPr="00563AE6">
        <w:rPr>
          <w:rFonts w:cs="mylotus" w:hint="cs"/>
          <w:sz w:val="23"/>
          <w:szCs w:val="23"/>
          <w:rtl/>
        </w:rPr>
        <w:t>ابن أبي الحديد، شرح نهج البلاغة، ج 11،  ص 253، والمجلسي، بحار الأنوار، ج42،  ص 117-118، وشكك في صحة الرواية. والقصة رواها ابن شهرآشوب في «المناقب» (2، 107) وعلي بن عيسى الإربلي في كتابه «كشف الغمة في معرفة الأئمة» (1، 176) ولكنهما نسبا الأكل من العسل إلى الحسن لا إلى الحسين. (المترجِم)</w:t>
      </w:r>
    </w:p>
  </w:footnote>
  <w:footnote w:id="151">
    <w:p w:rsidR="00B31118" w:rsidRPr="00563AE6" w:rsidRDefault="00B31118" w:rsidP="00B300C9">
      <w:pPr>
        <w:spacing w:line="228" w:lineRule="auto"/>
        <w:ind w:left="378" w:hanging="378"/>
        <w:jc w:val="both"/>
        <w:rPr>
          <w:rFonts w:cs="mylotus" w:hint="cs"/>
          <w:sz w:val="23"/>
          <w:szCs w:val="23"/>
          <w:rtl/>
        </w:rPr>
      </w:pPr>
      <w:r w:rsidRPr="00563AE6">
        <w:rPr>
          <w:rFonts w:cs="mylotus"/>
          <w:sz w:val="23"/>
          <w:szCs w:val="23"/>
          <w:rtl/>
        </w:rPr>
        <w:footnoteRef/>
      </w:r>
      <w:r>
        <w:rPr>
          <w:rFonts w:cs="mylotus"/>
          <w:sz w:val="23"/>
          <w:szCs w:val="23"/>
          <w:rtl/>
        </w:rPr>
        <w:t>-</w:t>
      </w:r>
      <w:r w:rsidRPr="00563AE6">
        <w:rPr>
          <w:rFonts w:cs="mylotus" w:hint="cs"/>
          <w:sz w:val="23"/>
          <w:szCs w:val="23"/>
          <w:rtl/>
        </w:rPr>
        <w:t xml:space="preserve"> الكليني، الكافي،</w:t>
      </w:r>
      <w:r w:rsidRPr="00563AE6">
        <w:rPr>
          <w:rFonts w:cs="mylotus"/>
          <w:sz w:val="23"/>
          <w:szCs w:val="23"/>
          <w:rtl/>
        </w:rPr>
        <w:t xml:space="preserve"> </w:t>
      </w:r>
      <w:r w:rsidRPr="00563AE6">
        <w:rPr>
          <w:rFonts w:cs="mylotus" w:hint="cs"/>
          <w:sz w:val="23"/>
          <w:szCs w:val="23"/>
          <w:rtl/>
        </w:rPr>
        <w:t>ج8، ص69. (المترجِم)</w:t>
      </w:r>
    </w:p>
  </w:footnote>
  <w:footnote w:id="152">
    <w:p w:rsidR="00B31118" w:rsidRPr="00563AE6" w:rsidRDefault="00B31118" w:rsidP="00B300C9">
      <w:pPr>
        <w:spacing w:line="228" w:lineRule="auto"/>
        <w:ind w:left="378" w:hanging="378"/>
        <w:jc w:val="both"/>
        <w:rPr>
          <w:rFonts w:cs="mylotus" w:hint="cs"/>
          <w:sz w:val="23"/>
          <w:szCs w:val="23"/>
          <w:rtl/>
        </w:rPr>
      </w:pPr>
      <w:r w:rsidRPr="00563AE6">
        <w:rPr>
          <w:rFonts w:cs="mylotus"/>
          <w:sz w:val="23"/>
          <w:szCs w:val="23"/>
          <w:rtl/>
        </w:rPr>
        <w:footnoteRef/>
      </w:r>
      <w:r>
        <w:rPr>
          <w:rFonts w:cs="mylotus"/>
          <w:sz w:val="23"/>
          <w:szCs w:val="23"/>
          <w:rtl/>
        </w:rPr>
        <w:t>-</w:t>
      </w:r>
      <w:r w:rsidRPr="00563AE6">
        <w:rPr>
          <w:rFonts w:cs="mylotus"/>
          <w:sz w:val="23"/>
          <w:szCs w:val="23"/>
          <w:rtl/>
        </w:rPr>
        <w:t xml:space="preserve"> </w:t>
      </w:r>
      <w:r w:rsidRPr="00563AE6">
        <w:rPr>
          <w:rFonts w:cs="mylotus" w:hint="cs"/>
          <w:sz w:val="23"/>
          <w:szCs w:val="23"/>
          <w:rtl/>
        </w:rPr>
        <w:t xml:space="preserve">قال المرحوم الشيخ الطوسي في كتابه </w:t>
      </w:r>
      <w:r w:rsidRPr="00563AE6">
        <w:rPr>
          <w:rFonts w:cs="mylotus"/>
          <w:sz w:val="23"/>
          <w:szCs w:val="23"/>
          <w:rtl/>
        </w:rPr>
        <w:t>«</w:t>
      </w:r>
      <w:r w:rsidRPr="00563AE6">
        <w:rPr>
          <w:rFonts w:cs="mylotus" w:hint="cs"/>
          <w:sz w:val="23"/>
          <w:szCs w:val="23"/>
          <w:rtl/>
        </w:rPr>
        <w:t>الخلاف</w:t>
      </w:r>
      <w:r w:rsidRPr="00563AE6">
        <w:rPr>
          <w:rFonts w:cs="mylotus"/>
          <w:sz w:val="23"/>
          <w:szCs w:val="23"/>
          <w:rtl/>
        </w:rPr>
        <w:t>»</w:t>
      </w:r>
      <w:r w:rsidRPr="00563AE6">
        <w:rPr>
          <w:rFonts w:cs="mylotus" w:hint="cs"/>
          <w:sz w:val="23"/>
          <w:szCs w:val="23"/>
          <w:rtl/>
        </w:rPr>
        <w:t xml:space="preserve">، ج1، ص322، المسألة 51: «مصرف الخمس من الركاز والمعادن مصرف الفيء» والذي يدل على أن مصرف الخمس والفيء مصرف واحد، وطبقا لكلام مولى المتقين علي </w:t>
      </w:r>
      <w:r w:rsidRPr="003C7AEB">
        <w:rPr>
          <w:rFonts w:cs="CTraditional Arabic" w:hint="cs"/>
          <w:sz w:val="23"/>
          <w:szCs w:val="23"/>
          <w:rtl/>
        </w:rPr>
        <w:t>÷</w:t>
      </w:r>
      <w:r w:rsidRPr="00563AE6">
        <w:rPr>
          <w:rFonts w:cs="mylotus" w:hint="cs"/>
          <w:sz w:val="23"/>
          <w:szCs w:val="23"/>
          <w:rtl/>
        </w:rPr>
        <w:t xml:space="preserve"> لا فرق بين بني إسماعيل (قريش وبني هشام) وغيرهم في هذا الأمر.</w:t>
      </w:r>
    </w:p>
  </w:footnote>
  <w:footnote w:id="153">
    <w:p w:rsidR="00B31118" w:rsidRPr="00563AE6" w:rsidRDefault="00B31118" w:rsidP="00B300C9">
      <w:pPr>
        <w:spacing w:line="228" w:lineRule="auto"/>
        <w:ind w:left="378" w:hanging="378"/>
        <w:jc w:val="both"/>
        <w:rPr>
          <w:rFonts w:cs="mylotus" w:hint="cs"/>
          <w:sz w:val="23"/>
          <w:szCs w:val="23"/>
          <w:rtl/>
        </w:rPr>
      </w:pPr>
      <w:r w:rsidRPr="00563AE6">
        <w:rPr>
          <w:rFonts w:cs="mylotus"/>
          <w:sz w:val="23"/>
          <w:szCs w:val="23"/>
          <w:rtl/>
        </w:rPr>
        <w:footnoteRef/>
      </w:r>
      <w:r>
        <w:rPr>
          <w:rFonts w:cs="mylotus"/>
          <w:sz w:val="23"/>
          <w:szCs w:val="23"/>
          <w:rtl/>
        </w:rPr>
        <w:t>-</w:t>
      </w:r>
      <w:r w:rsidRPr="00563AE6">
        <w:rPr>
          <w:rFonts w:cs="mylotus"/>
          <w:sz w:val="23"/>
          <w:szCs w:val="23"/>
          <w:rtl/>
        </w:rPr>
        <w:t xml:space="preserve"> </w:t>
      </w:r>
      <w:r w:rsidRPr="00563AE6">
        <w:rPr>
          <w:rFonts w:cs="mylotus" w:hint="cs"/>
          <w:sz w:val="23"/>
          <w:szCs w:val="23"/>
          <w:rtl/>
        </w:rPr>
        <w:t>إبراهيم بن هلال الثقفي (283هـ)، الغارات، ج 1، ص45-46. والحرّ العاملي، وسائل الشيعة، ج15، ص 107. (المترجِم)</w:t>
      </w:r>
    </w:p>
  </w:footnote>
  <w:footnote w:id="154">
    <w:p w:rsidR="00B31118" w:rsidRPr="00563AE6" w:rsidRDefault="00B31118" w:rsidP="00B300C9">
      <w:pPr>
        <w:spacing w:line="228" w:lineRule="auto"/>
        <w:ind w:left="378" w:hanging="378"/>
        <w:jc w:val="both"/>
        <w:rPr>
          <w:rFonts w:cs="mylotus" w:hint="cs"/>
          <w:sz w:val="23"/>
          <w:szCs w:val="23"/>
          <w:rtl/>
        </w:rPr>
      </w:pPr>
      <w:r w:rsidRPr="00563AE6">
        <w:rPr>
          <w:rFonts w:cs="mylotus"/>
          <w:sz w:val="23"/>
          <w:szCs w:val="23"/>
          <w:rtl/>
        </w:rPr>
        <w:footnoteRef/>
      </w:r>
      <w:r>
        <w:rPr>
          <w:rFonts w:cs="mylotus"/>
          <w:sz w:val="23"/>
          <w:szCs w:val="23"/>
          <w:rtl/>
        </w:rPr>
        <w:t>-</w:t>
      </w:r>
      <w:r w:rsidRPr="00563AE6">
        <w:rPr>
          <w:rFonts w:cs="mylotus" w:hint="cs"/>
          <w:sz w:val="23"/>
          <w:szCs w:val="23"/>
          <w:rtl/>
        </w:rPr>
        <w:t xml:space="preserve"> </w:t>
      </w:r>
      <w:r w:rsidRPr="00563AE6">
        <w:rPr>
          <w:rFonts w:cs="mylotus"/>
          <w:sz w:val="23"/>
          <w:szCs w:val="23"/>
          <w:rtl/>
        </w:rPr>
        <w:t>البيهقيُّ</w:t>
      </w:r>
      <w:r w:rsidRPr="00563AE6">
        <w:rPr>
          <w:rFonts w:cs="mylotus" w:hint="cs"/>
          <w:sz w:val="23"/>
          <w:szCs w:val="23"/>
          <w:rtl/>
        </w:rPr>
        <w:t>،</w:t>
      </w:r>
      <w:r w:rsidRPr="00563AE6">
        <w:rPr>
          <w:rFonts w:cs="mylotus"/>
          <w:sz w:val="23"/>
          <w:szCs w:val="23"/>
          <w:rtl/>
        </w:rPr>
        <w:t xml:space="preserve"> السنن الكبرى</w:t>
      </w:r>
      <w:r w:rsidRPr="00563AE6">
        <w:rPr>
          <w:rFonts w:cs="mylotus" w:hint="cs"/>
          <w:sz w:val="23"/>
          <w:szCs w:val="23"/>
          <w:rtl/>
        </w:rPr>
        <w:t>،</w:t>
      </w:r>
      <w:r w:rsidRPr="00563AE6">
        <w:rPr>
          <w:rFonts w:cs="mylotus"/>
          <w:sz w:val="23"/>
          <w:szCs w:val="23"/>
          <w:rtl/>
        </w:rPr>
        <w:t xml:space="preserve"> ج4، ص105</w:t>
      </w:r>
      <w:r w:rsidRPr="00563AE6">
        <w:rPr>
          <w:rFonts w:cs="mylotus" w:hint="cs"/>
          <w:sz w:val="23"/>
          <w:szCs w:val="23"/>
          <w:rtl/>
        </w:rPr>
        <w:t>،  الحديث 7577.</w:t>
      </w:r>
    </w:p>
  </w:footnote>
  <w:footnote w:id="155">
    <w:p w:rsidR="00B31118" w:rsidRPr="00563AE6" w:rsidRDefault="00B31118" w:rsidP="00B300C9">
      <w:pPr>
        <w:spacing w:line="228" w:lineRule="auto"/>
        <w:ind w:left="378" w:hanging="378"/>
        <w:jc w:val="both"/>
        <w:rPr>
          <w:rFonts w:cs="mylotus" w:hint="cs"/>
          <w:sz w:val="23"/>
          <w:szCs w:val="23"/>
          <w:rtl/>
        </w:rPr>
      </w:pPr>
      <w:r w:rsidRPr="00563AE6">
        <w:rPr>
          <w:rFonts w:cs="mylotus"/>
          <w:sz w:val="23"/>
          <w:szCs w:val="23"/>
          <w:rtl/>
        </w:rPr>
        <w:footnoteRef/>
      </w:r>
      <w:r>
        <w:rPr>
          <w:rFonts w:cs="mylotus"/>
          <w:sz w:val="23"/>
          <w:szCs w:val="23"/>
          <w:rtl/>
        </w:rPr>
        <w:t>-</w:t>
      </w:r>
      <w:r w:rsidRPr="00563AE6">
        <w:rPr>
          <w:rFonts w:cs="mylotus" w:hint="cs"/>
          <w:sz w:val="23"/>
          <w:szCs w:val="23"/>
          <w:rtl/>
        </w:rPr>
        <w:t xml:space="preserve"> المصدر نفسه،</w:t>
      </w:r>
      <w:r w:rsidRPr="00563AE6">
        <w:rPr>
          <w:rFonts w:cs="mylotus"/>
          <w:sz w:val="23"/>
          <w:szCs w:val="23"/>
          <w:rtl/>
        </w:rPr>
        <w:t xml:space="preserve"> </w:t>
      </w:r>
      <w:r w:rsidRPr="00563AE6">
        <w:rPr>
          <w:rFonts w:cs="mylotus" w:hint="cs"/>
          <w:sz w:val="23"/>
          <w:szCs w:val="23"/>
          <w:rtl/>
        </w:rPr>
        <w:t>الحديث 7578.</w:t>
      </w:r>
    </w:p>
  </w:footnote>
  <w:footnote w:id="156">
    <w:p w:rsidR="00B31118" w:rsidRPr="00563AE6" w:rsidRDefault="00B31118" w:rsidP="00B300C9">
      <w:pPr>
        <w:spacing w:line="228" w:lineRule="auto"/>
        <w:ind w:left="378" w:hanging="378"/>
        <w:jc w:val="both"/>
        <w:rPr>
          <w:rFonts w:cs="mylotus" w:hint="cs"/>
          <w:sz w:val="23"/>
          <w:szCs w:val="23"/>
          <w:rtl/>
        </w:rPr>
      </w:pPr>
      <w:r w:rsidRPr="00563AE6">
        <w:rPr>
          <w:rFonts w:cs="mylotus"/>
          <w:sz w:val="23"/>
          <w:szCs w:val="23"/>
          <w:rtl/>
        </w:rPr>
        <w:footnoteRef/>
      </w:r>
      <w:r>
        <w:rPr>
          <w:rFonts w:cs="mylotus"/>
          <w:sz w:val="23"/>
          <w:szCs w:val="23"/>
          <w:rtl/>
        </w:rPr>
        <w:t>-</w:t>
      </w:r>
      <w:r w:rsidRPr="00563AE6">
        <w:rPr>
          <w:rFonts w:cs="mylotus" w:hint="cs"/>
          <w:sz w:val="23"/>
          <w:szCs w:val="23"/>
          <w:rtl/>
        </w:rPr>
        <w:t xml:space="preserve"> أو </w:t>
      </w:r>
      <w:r w:rsidRPr="00563AE6">
        <w:rPr>
          <w:rFonts w:cs="mylotus"/>
          <w:sz w:val="23"/>
          <w:szCs w:val="23"/>
          <w:rtl/>
        </w:rPr>
        <w:t>في سنن النسائي الكبرى</w:t>
      </w:r>
      <w:r w:rsidRPr="00563AE6">
        <w:rPr>
          <w:rFonts w:cs="mylotus" w:hint="cs"/>
          <w:sz w:val="23"/>
          <w:szCs w:val="23"/>
          <w:rtl/>
        </w:rPr>
        <w:t xml:space="preserve">، </w:t>
      </w:r>
      <w:r w:rsidRPr="00563AE6">
        <w:rPr>
          <w:rFonts w:cs="mylotus"/>
          <w:sz w:val="23"/>
          <w:szCs w:val="23"/>
          <w:rtl/>
        </w:rPr>
        <w:t>ج2،  ص 8</w:t>
      </w:r>
      <w:r w:rsidRPr="00563AE6">
        <w:rPr>
          <w:rFonts w:cs="mylotus" w:hint="cs"/>
          <w:sz w:val="23"/>
          <w:szCs w:val="23"/>
          <w:rtl/>
        </w:rPr>
        <w:t>. (المترجِم)</w:t>
      </w:r>
    </w:p>
  </w:footnote>
  <w:footnote w:id="157">
    <w:p w:rsidR="00B31118" w:rsidRPr="00563AE6" w:rsidRDefault="00B31118" w:rsidP="00B300C9">
      <w:pPr>
        <w:spacing w:line="228" w:lineRule="auto"/>
        <w:ind w:left="378" w:hanging="378"/>
        <w:jc w:val="both"/>
        <w:rPr>
          <w:rFonts w:cs="mylotus" w:hint="cs"/>
          <w:sz w:val="23"/>
          <w:szCs w:val="23"/>
          <w:rtl/>
        </w:rPr>
      </w:pPr>
      <w:r w:rsidRPr="00563AE6">
        <w:rPr>
          <w:rFonts w:cs="mylotus"/>
          <w:sz w:val="23"/>
          <w:szCs w:val="23"/>
          <w:rtl/>
        </w:rPr>
        <w:footnoteRef/>
      </w:r>
      <w:r>
        <w:rPr>
          <w:rFonts w:cs="mylotus"/>
          <w:sz w:val="23"/>
          <w:szCs w:val="23"/>
          <w:rtl/>
        </w:rPr>
        <w:t>-</w:t>
      </w:r>
      <w:r w:rsidRPr="00563AE6">
        <w:rPr>
          <w:rFonts w:cs="mylotus"/>
          <w:sz w:val="23"/>
          <w:szCs w:val="23"/>
          <w:rtl/>
        </w:rPr>
        <w:t xml:space="preserve"> </w:t>
      </w:r>
      <w:r w:rsidRPr="00563AE6">
        <w:rPr>
          <w:rFonts w:cs="mylotus" w:hint="cs"/>
          <w:sz w:val="23"/>
          <w:szCs w:val="23"/>
          <w:rtl/>
        </w:rPr>
        <w:t>هذا ما ذكرته كتب التاريخ والسيرة الموثوقة مثل سيرة ابن هشام (2، 140) و(3، 412)، والأحكام السلطانية للمارودي (ص 161) وفتوح البلدان للبلاذري (ص 26) والخراج ليحي بن آدم (ص 36)، فقد جاء فيها:</w:t>
      </w:r>
    </w:p>
    <w:p w:rsidR="00B31118" w:rsidRPr="00563AE6" w:rsidRDefault="00B31118" w:rsidP="00B300C9">
      <w:pPr>
        <w:spacing w:line="228" w:lineRule="auto"/>
        <w:ind w:left="378"/>
        <w:jc w:val="both"/>
        <w:rPr>
          <w:rFonts w:cs="mylotus"/>
          <w:sz w:val="23"/>
          <w:szCs w:val="23"/>
          <w:rtl/>
        </w:rPr>
      </w:pPr>
      <w:r w:rsidRPr="00563AE6">
        <w:rPr>
          <w:rFonts w:cs="mylotus"/>
          <w:sz w:val="23"/>
          <w:szCs w:val="23"/>
          <w:rtl/>
        </w:rPr>
        <w:t>كان</w:t>
      </w:r>
      <w:r w:rsidRPr="00563AE6">
        <w:rPr>
          <w:rFonts w:cs="mylotus" w:hint="cs"/>
          <w:sz w:val="23"/>
          <w:szCs w:val="23"/>
          <w:rtl/>
        </w:rPr>
        <w:t>ت</w:t>
      </w:r>
      <w:r w:rsidRPr="00563AE6">
        <w:rPr>
          <w:rFonts w:cs="mylotus"/>
          <w:sz w:val="23"/>
          <w:szCs w:val="23"/>
          <w:rtl/>
        </w:rPr>
        <w:t xml:space="preserve"> أول أرض</w:t>
      </w:r>
      <w:r w:rsidRPr="00563AE6">
        <w:rPr>
          <w:rFonts w:cs="mylotus" w:hint="cs"/>
          <w:sz w:val="23"/>
          <w:szCs w:val="23"/>
          <w:rtl/>
        </w:rPr>
        <w:t>ٍ</w:t>
      </w:r>
      <w:r w:rsidRPr="00563AE6">
        <w:rPr>
          <w:rFonts w:cs="mylotus"/>
          <w:sz w:val="23"/>
          <w:szCs w:val="23"/>
          <w:rtl/>
        </w:rPr>
        <w:t xml:space="preserve"> افتتحها رسول الله </w:t>
      </w:r>
      <w:r w:rsidRPr="003C7AEB">
        <w:rPr>
          <w:rFonts w:ascii="Abo-thar" w:hAnsi="Abo-thar" w:cs="CTraditional Arabic"/>
          <w:sz w:val="23"/>
          <w:szCs w:val="23"/>
          <w:rtl/>
        </w:rPr>
        <w:t>ص</w:t>
      </w:r>
      <w:r w:rsidRPr="00563AE6">
        <w:rPr>
          <w:rFonts w:ascii="Abo-thar" w:hAnsi="Abo-thar" w:cs="mylotus"/>
          <w:sz w:val="23"/>
          <w:szCs w:val="23"/>
          <w:rtl/>
        </w:rPr>
        <w:t xml:space="preserve"> </w:t>
      </w:r>
      <w:r w:rsidRPr="00563AE6">
        <w:rPr>
          <w:rFonts w:cs="mylotus"/>
          <w:sz w:val="23"/>
          <w:szCs w:val="23"/>
          <w:rtl/>
        </w:rPr>
        <w:t xml:space="preserve">أرض يهود بني النضير، وسبب ذلك أنهم نقضوا العهد الذي كان بينهم وبين رسول الله </w:t>
      </w:r>
      <w:r w:rsidRPr="003C7AEB">
        <w:rPr>
          <w:rFonts w:ascii="Abo-thar" w:hAnsi="Abo-thar" w:cs="CTraditional Arabic"/>
          <w:sz w:val="23"/>
          <w:szCs w:val="23"/>
          <w:rtl/>
        </w:rPr>
        <w:t>ص</w:t>
      </w:r>
      <w:r w:rsidRPr="00563AE6">
        <w:rPr>
          <w:rFonts w:ascii="Abo-thar" w:hAnsi="Abo-thar" w:cs="mylotus"/>
          <w:sz w:val="23"/>
          <w:szCs w:val="23"/>
          <w:rtl/>
        </w:rPr>
        <w:t xml:space="preserve"> </w:t>
      </w:r>
      <w:r w:rsidRPr="00563AE6">
        <w:rPr>
          <w:rFonts w:cs="mylotus"/>
          <w:sz w:val="23"/>
          <w:szCs w:val="23"/>
          <w:rtl/>
        </w:rPr>
        <w:t xml:space="preserve">حين خرج زعيمهم كعب بن الأشرف في أربعين فارساً حتى قدم مكة، بعد معركة بدر، فأخذ يقسم لقريش أنه حليفهم ويحرضهم على قتال محمد ويعدهم بالنصرة، وأما السبب المباشر فإنه لمّا أَتَى رَسُولُ اللهِ </w:t>
      </w:r>
      <w:r w:rsidRPr="003C7AEB">
        <w:rPr>
          <w:rFonts w:ascii="Abo-thar" w:hAnsi="Abo-thar" w:cs="CTraditional Arabic"/>
          <w:sz w:val="23"/>
          <w:szCs w:val="23"/>
          <w:rtl/>
        </w:rPr>
        <w:t>ص</w:t>
      </w:r>
      <w:r w:rsidRPr="00563AE6">
        <w:rPr>
          <w:rFonts w:ascii="Abo-thar" w:hAnsi="Abo-thar" w:cs="mylotus"/>
          <w:sz w:val="23"/>
          <w:szCs w:val="23"/>
          <w:rtl/>
        </w:rPr>
        <w:t xml:space="preserve"> </w:t>
      </w:r>
      <w:r w:rsidRPr="00563AE6">
        <w:rPr>
          <w:rFonts w:cs="mylotus"/>
          <w:sz w:val="23"/>
          <w:szCs w:val="23"/>
          <w:rtl/>
        </w:rPr>
        <w:t>بني النضيرَ يَسْتَعِينُهُمْ فِي دِيَةِ قَتِيلَيْنِ [قتلهما أحد أصحابه خطأً مع أ</w:t>
      </w:r>
      <w:r w:rsidRPr="00563AE6">
        <w:rPr>
          <w:rFonts w:cs="mylotus" w:hint="cs"/>
          <w:sz w:val="23"/>
          <w:szCs w:val="23"/>
          <w:rtl/>
        </w:rPr>
        <w:t>ن</w:t>
      </w:r>
      <w:r w:rsidRPr="00563AE6">
        <w:rPr>
          <w:rFonts w:cs="mylotus"/>
          <w:sz w:val="23"/>
          <w:szCs w:val="23"/>
          <w:rtl/>
        </w:rPr>
        <w:t xml:space="preserve">هما كانا معاهدين] فرأت بنو النضير أن الفرصة سانحة لاغتيال رسول الله </w:t>
      </w:r>
      <w:r w:rsidRPr="003C7AEB">
        <w:rPr>
          <w:rFonts w:ascii="Abo-thar" w:hAnsi="Abo-thar" w:cs="CTraditional Arabic"/>
          <w:sz w:val="23"/>
          <w:szCs w:val="23"/>
          <w:rtl/>
        </w:rPr>
        <w:t>ص</w:t>
      </w:r>
      <w:r w:rsidRPr="00563AE6">
        <w:rPr>
          <w:rFonts w:ascii="Abo-thar" w:hAnsi="Abo-thar" w:cs="mylotus"/>
          <w:sz w:val="23"/>
          <w:szCs w:val="23"/>
          <w:rtl/>
        </w:rPr>
        <w:t xml:space="preserve"> </w:t>
      </w:r>
      <w:r w:rsidRPr="00563AE6">
        <w:rPr>
          <w:rFonts w:cs="mylotus"/>
          <w:sz w:val="23"/>
          <w:szCs w:val="23"/>
          <w:rtl/>
        </w:rPr>
        <w:t xml:space="preserve">فلما علم الرسول بذلك قرر إجلاءهم وبعث إليهم يأمرهم بالجلاء عن بلده، </w:t>
      </w:r>
      <w:r w:rsidRPr="00563AE6">
        <w:rPr>
          <w:rFonts w:cs="mylotus" w:hint="cs"/>
          <w:sz w:val="23"/>
          <w:szCs w:val="23"/>
          <w:rtl/>
        </w:rPr>
        <w:t>لما</w:t>
      </w:r>
      <w:r w:rsidRPr="00563AE6">
        <w:rPr>
          <w:rFonts w:cs="mylotus"/>
          <w:sz w:val="23"/>
          <w:szCs w:val="23"/>
          <w:rtl/>
        </w:rPr>
        <w:t xml:space="preserve"> كان منهم من الغدر والنكث. فأبوا ذلك وأذنوا بالمحاربة. فزحف إليهم رسول الله </w:t>
      </w:r>
      <w:r w:rsidRPr="003C7AEB">
        <w:rPr>
          <w:rFonts w:ascii="Abo-thar" w:hAnsi="Abo-thar" w:cs="CTraditional Arabic"/>
          <w:sz w:val="23"/>
          <w:szCs w:val="23"/>
          <w:rtl/>
        </w:rPr>
        <w:t>ص</w:t>
      </w:r>
      <w:r w:rsidRPr="00563AE6">
        <w:rPr>
          <w:rFonts w:ascii="Abo-thar" w:hAnsi="Abo-thar" w:cs="mylotus"/>
          <w:sz w:val="23"/>
          <w:szCs w:val="23"/>
          <w:rtl/>
        </w:rPr>
        <w:t xml:space="preserve"> </w:t>
      </w:r>
      <w:r w:rsidRPr="00563AE6">
        <w:rPr>
          <w:rFonts w:cs="mylotus"/>
          <w:sz w:val="23"/>
          <w:szCs w:val="23"/>
          <w:rtl/>
        </w:rPr>
        <w:t>فحاصرهم خمس عشرة ليلة، ثم صالحوه على أن يخرجوا من بلده ولهم ما حملت الإبل إلا الحلقة [</w:t>
      </w:r>
      <w:r w:rsidRPr="00563AE6">
        <w:rPr>
          <w:rFonts w:cs="mylotus" w:hint="cs"/>
          <w:sz w:val="23"/>
          <w:szCs w:val="23"/>
          <w:rtl/>
        </w:rPr>
        <w:t>أي</w:t>
      </w:r>
      <w:r w:rsidRPr="00563AE6">
        <w:rPr>
          <w:rFonts w:cs="mylotus"/>
          <w:sz w:val="23"/>
          <w:szCs w:val="23"/>
          <w:rtl/>
        </w:rPr>
        <w:t xml:space="preserve"> السلاح] والآلة، ولرسول الله </w:t>
      </w:r>
      <w:r w:rsidRPr="003C7AEB">
        <w:rPr>
          <w:rFonts w:ascii="Abo-thar" w:hAnsi="Abo-thar" w:cs="CTraditional Arabic"/>
          <w:sz w:val="23"/>
          <w:szCs w:val="23"/>
          <w:rtl/>
        </w:rPr>
        <w:t>ص</w:t>
      </w:r>
      <w:r w:rsidRPr="00563AE6">
        <w:rPr>
          <w:rFonts w:ascii="Abo-thar" w:hAnsi="Abo-thar" w:cs="mylotus"/>
          <w:sz w:val="23"/>
          <w:szCs w:val="23"/>
          <w:rtl/>
        </w:rPr>
        <w:t xml:space="preserve"> </w:t>
      </w:r>
      <w:r w:rsidRPr="00563AE6">
        <w:rPr>
          <w:rFonts w:cs="mylotus"/>
          <w:sz w:val="23"/>
          <w:szCs w:val="23"/>
          <w:rtl/>
        </w:rPr>
        <w:t xml:space="preserve">أرضهم ونخلهم والحلقة وسائر السلاح. فخرج بعضهم إلى خيبر ومنهم آل أبي الحقيق وآل حيي بن أخطب، في حين هاجر آخرون إلى الشام، وَخَلَصَتْ أَرْضُهُمْ كُلُّهَا لِرَسُولِ اللهِ </w:t>
      </w:r>
      <w:r w:rsidRPr="003C7AEB">
        <w:rPr>
          <w:rFonts w:ascii="Abo-thar" w:hAnsi="Abo-thar" w:cs="CTraditional Arabic"/>
          <w:sz w:val="23"/>
          <w:szCs w:val="23"/>
          <w:rtl/>
        </w:rPr>
        <w:t>ص</w:t>
      </w:r>
      <w:r w:rsidRPr="00563AE6">
        <w:rPr>
          <w:rFonts w:ascii="Abo-thar" w:hAnsi="Abo-thar" w:cs="mylotus"/>
          <w:sz w:val="23"/>
          <w:szCs w:val="23"/>
          <w:rtl/>
        </w:rPr>
        <w:t xml:space="preserve"> </w:t>
      </w:r>
      <w:r w:rsidRPr="00563AE6">
        <w:rPr>
          <w:rFonts w:cs="mylotus"/>
          <w:sz w:val="23"/>
          <w:szCs w:val="23"/>
          <w:rtl/>
        </w:rPr>
        <w:t xml:space="preserve">إلَّا مَا كَانَ لِيَمِينِ بْنِ عُمَيْرٍ وَأَبِي سَعْدِ بْنِ وَهْبٍ فَإِنَّهُمَا أَسْلَمَا قَبْلَ الظَّفَرِ فَأَحْرَزَ لَهُمَا إسْلَامُهُمَا جَمِيعَ أَمْوَالِهِمَا. وكان وقوع تلك الواقعة بعد ستة أشهر من معركة أحد أي في شهر ربيع الأول من السنة الرابعة للهجرة. </w:t>
      </w:r>
      <w:r w:rsidRPr="00563AE6">
        <w:rPr>
          <w:rFonts w:cs="mylotus" w:hint="cs"/>
          <w:sz w:val="23"/>
          <w:szCs w:val="23"/>
          <w:rtl/>
        </w:rPr>
        <w:t>و</w:t>
      </w:r>
      <w:r w:rsidRPr="00563AE6">
        <w:rPr>
          <w:rFonts w:cs="mylotus"/>
          <w:sz w:val="23"/>
          <w:szCs w:val="23"/>
          <w:rtl/>
        </w:rPr>
        <w:t xml:space="preserve">قَسَّمَ رَسُولُ اللهِ </w:t>
      </w:r>
      <w:r w:rsidRPr="003C7AEB">
        <w:rPr>
          <w:rFonts w:ascii="Abo-thar" w:hAnsi="Abo-thar" w:cs="CTraditional Arabic"/>
          <w:sz w:val="23"/>
          <w:szCs w:val="23"/>
          <w:rtl/>
        </w:rPr>
        <w:t>ص</w:t>
      </w:r>
      <w:r w:rsidRPr="00563AE6">
        <w:rPr>
          <w:rFonts w:ascii="Abo-thar" w:hAnsi="Abo-thar" w:cs="mylotus"/>
          <w:sz w:val="23"/>
          <w:szCs w:val="23"/>
          <w:rtl/>
        </w:rPr>
        <w:t xml:space="preserve"> </w:t>
      </w:r>
      <w:r w:rsidRPr="00563AE6">
        <w:rPr>
          <w:rFonts w:cs="mylotus"/>
          <w:sz w:val="23"/>
          <w:szCs w:val="23"/>
          <w:rtl/>
        </w:rPr>
        <w:t xml:space="preserve">مَا سِوَى الْأَرْضَيْنِ مِنْ أَمْوَالِهِمْ عَلَى المُهَاجِرِينَ الْأَوَّلِينَ دُونَ الْأَنْصَارِ إلَّا سَهْلَ بْنَ حُنَيْفٍ وَأَبَا دُجَانَةَ سِمَاكَ بْنَ خَرَشَةَ </w:t>
      </w:r>
      <w:r w:rsidRPr="00563AE6">
        <w:rPr>
          <w:rFonts w:cs="mylotus" w:hint="cs"/>
          <w:sz w:val="23"/>
          <w:szCs w:val="23"/>
          <w:rtl/>
        </w:rPr>
        <w:t xml:space="preserve">[الأنصاريين] </w:t>
      </w:r>
      <w:r w:rsidRPr="00563AE6">
        <w:rPr>
          <w:rFonts w:cs="mylotus"/>
          <w:sz w:val="23"/>
          <w:szCs w:val="23"/>
          <w:rtl/>
        </w:rPr>
        <w:t>فَإِنَّهُمَا ذَكَرَا فَقْرًا فَأَعْطَاهُمَا</w:t>
      </w:r>
      <w:r w:rsidRPr="00563AE6">
        <w:rPr>
          <w:rFonts w:cs="mylotus" w:hint="cs"/>
          <w:sz w:val="23"/>
          <w:szCs w:val="23"/>
          <w:rtl/>
        </w:rPr>
        <w:t>،</w:t>
      </w:r>
      <w:r w:rsidRPr="00563AE6">
        <w:rPr>
          <w:rFonts w:cs="mylotus"/>
          <w:sz w:val="23"/>
          <w:szCs w:val="23"/>
          <w:rtl/>
        </w:rPr>
        <w:t xml:space="preserve"> وَحَبَسَ الْأَرْضَيْنِ الزراعية عَلَى نَفْسِهِ فَكَانَتْ مِنْ صَدَقَاتِهِ يَضَعُهَا حَيْثُ يَشَاءُ وَيسْتَخْرِجُ منها نفقته ونفقة أَزْوَاجِهِ السنوية، ثم ينفق الباقي </w:t>
      </w:r>
      <w:r w:rsidRPr="00563AE6">
        <w:rPr>
          <w:rFonts w:cs="mylotus" w:hint="cs"/>
          <w:sz w:val="23"/>
          <w:szCs w:val="23"/>
          <w:rtl/>
        </w:rPr>
        <w:t>على</w:t>
      </w:r>
      <w:r w:rsidRPr="00563AE6">
        <w:rPr>
          <w:rFonts w:cs="mylotus"/>
          <w:sz w:val="23"/>
          <w:szCs w:val="23"/>
          <w:rtl/>
        </w:rPr>
        <w:t xml:space="preserve"> السلاح وإعداد عدة القتال في سبيل الله. وقبل قضية بني النضير كان رسول الله </w:t>
      </w:r>
      <w:r w:rsidRPr="003C7AEB">
        <w:rPr>
          <w:rFonts w:ascii="Abo-thar" w:hAnsi="Abo-thar" w:cs="CTraditional Arabic"/>
          <w:sz w:val="23"/>
          <w:szCs w:val="23"/>
          <w:rtl/>
        </w:rPr>
        <w:t>ص</w:t>
      </w:r>
      <w:r w:rsidRPr="00563AE6">
        <w:rPr>
          <w:rFonts w:ascii="Abo-thar" w:hAnsi="Abo-thar" w:cs="mylotus"/>
          <w:sz w:val="23"/>
          <w:szCs w:val="23"/>
          <w:rtl/>
        </w:rPr>
        <w:t xml:space="preserve"> </w:t>
      </w:r>
      <w:r w:rsidRPr="00563AE6">
        <w:rPr>
          <w:rFonts w:cs="mylotus"/>
          <w:sz w:val="23"/>
          <w:szCs w:val="23"/>
          <w:rtl/>
        </w:rPr>
        <w:t xml:space="preserve">قد حاز حوائط مخيريق السبعة </w:t>
      </w:r>
      <w:r w:rsidRPr="00563AE6">
        <w:rPr>
          <w:rFonts w:cs="mylotus" w:hint="cs"/>
          <w:sz w:val="23"/>
          <w:szCs w:val="23"/>
          <w:rtl/>
        </w:rPr>
        <w:t xml:space="preserve">إذْ </w:t>
      </w:r>
      <w:r w:rsidRPr="00563AE6">
        <w:rPr>
          <w:rFonts w:cs="mylotus"/>
          <w:sz w:val="23"/>
          <w:szCs w:val="23"/>
          <w:rtl/>
        </w:rPr>
        <w:t xml:space="preserve">كَانَ مِنْ حَدِيثِ مُخَيْرِيقٍ أنه كَانَ حَبْرًا عَالِمًا، </w:t>
      </w:r>
      <w:r w:rsidRPr="00563AE6">
        <w:rPr>
          <w:rFonts w:cs="mylotus" w:hint="cs"/>
          <w:sz w:val="23"/>
          <w:szCs w:val="23"/>
          <w:rtl/>
        </w:rPr>
        <w:t>و</w:t>
      </w:r>
      <w:r w:rsidRPr="00563AE6">
        <w:rPr>
          <w:rFonts w:cs="mylotus"/>
          <w:sz w:val="23"/>
          <w:szCs w:val="23"/>
          <w:rtl/>
        </w:rPr>
        <w:t xml:space="preserve">رَجُلًا غَنِيّاً كَثِيرَ الْأَمْوَالِ مِنْ النّخْلِ وَكَانَ يَعْرِفُ رَسُولَ اللهِ </w:t>
      </w:r>
      <w:r w:rsidRPr="003C7AEB">
        <w:rPr>
          <w:rFonts w:ascii="Abo-thar" w:hAnsi="Abo-thar" w:cs="CTraditional Arabic"/>
          <w:sz w:val="23"/>
          <w:szCs w:val="23"/>
          <w:rtl/>
        </w:rPr>
        <w:t>ص</w:t>
      </w:r>
      <w:r w:rsidRPr="00563AE6">
        <w:rPr>
          <w:rFonts w:ascii="Abo-thar" w:hAnsi="Abo-thar" w:cs="mylotus"/>
          <w:sz w:val="23"/>
          <w:szCs w:val="23"/>
          <w:rtl/>
        </w:rPr>
        <w:t xml:space="preserve"> </w:t>
      </w:r>
      <w:r w:rsidRPr="00563AE6">
        <w:rPr>
          <w:rFonts w:cs="mylotus"/>
          <w:sz w:val="23"/>
          <w:szCs w:val="23"/>
          <w:rtl/>
        </w:rPr>
        <w:t xml:space="preserve">بِصِفَتِهِ وَمَا يَجِدُ فِي عِلْمِهِ وَغَلَبَ عَلَيْهِ إلْفُ دِينِهِ فَلَمْ يَزَلْ عَلَى ذَلِكَ حَتّى إذَا كَانَ يَوْمُ أُحُدٍ، وَكَانَ يَوْمُ أُحُدٍ يَوْمَ السّبْتِ، قَالَ يَا مَعْشَرَ يَهُودَ وَاللهِ إنّكُمْ لَتَعْلَمُونَ أَنّ نَصْرَ مُحَمّدٍ عَلَيْكُمْ لَحَقٌّ. قَالُوا: إنّ الْيَوْمَ يَوْمُ السّبْتِ قَالَ لَا سَبْتَ لَكُمْ. ثُمّ أَخَذَ سِلَاحَهُ فَخَرَجَ حَتّى أَتَى رَسُولَ اللهِ </w:t>
      </w:r>
      <w:r w:rsidRPr="003C7AEB">
        <w:rPr>
          <w:rFonts w:ascii="Abo-thar" w:hAnsi="Abo-thar" w:cs="CTraditional Arabic"/>
          <w:sz w:val="23"/>
          <w:szCs w:val="23"/>
          <w:rtl/>
        </w:rPr>
        <w:t>ص</w:t>
      </w:r>
      <w:r w:rsidRPr="00563AE6">
        <w:rPr>
          <w:rFonts w:ascii="Abo-thar" w:hAnsi="Abo-thar" w:cs="mylotus"/>
          <w:sz w:val="23"/>
          <w:szCs w:val="23"/>
          <w:rtl/>
        </w:rPr>
        <w:t xml:space="preserve"> </w:t>
      </w:r>
      <w:r w:rsidRPr="00563AE6">
        <w:rPr>
          <w:rFonts w:cs="mylotus"/>
          <w:sz w:val="23"/>
          <w:szCs w:val="23"/>
          <w:rtl/>
        </w:rPr>
        <w:t xml:space="preserve">بِأُحُدٍ وَعَهِدَ إلَى مَنْ وَرَاءَهُ مِنْ قَوْمِهِ إنْ قُتِلْتُ هَذَا الْيَوْمَ فَأَمْوَالِي لِمُحَمّدٍ </w:t>
      </w:r>
      <w:r w:rsidRPr="003C7AEB">
        <w:rPr>
          <w:rFonts w:ascii="Abo-thar" w:hAnsi="Abo-thar" w:cs="CTraditional Arabic"/>
          <w:sz w:val="23"/>
          <w:szCs w:val="23"/>
          <w:rtl/>
        </w:rPr>
        <w:t>ص</w:t>
      </w:r>
      <w:r w:rsidRPr="00563AE6">
        <w:rPr>
          <w:rFonts w:ascii="Abo-thar" w:hAnsi="Abo-thar" w:cs="mylotus"/>
          <w:sz w:val="23"/>
          <w:szCs w:val="23"/>
          <w:rtl/>
        </w:rPr>
        <w:t xml:space="preserve"> </w:t>
      </w:r>
      <w:r w:rsidRPr="00563AE6">
        <w:rPr>
          <w:rFonts w:cs="mylotus"/>
          <w:sz w:val="23"/>
          <w:szCs w:val="23"/>
          <w:rtl/>
        </w:rPr>
        <w:t xml:space="preserve">يَصْنَعُ فِيهَا مَا أَرَاهُ اللهُ. فَلَمّا قُتِلَ قَبَضَ رَسُولُ اللهِ </w:t>
      </w:r>
      <w:r w:rsidRPr="003C7AEB">
        <w:rPr>
          <w:rFonts w:ascii="Abo-thar" w:hAnsi="Abo-thar" w:cs="CTraditional Arabic"/>
          <w:sz w:val="23"/>
          <w:szCs w:val="23"/>
          <w:rtl/>
        </w:rPr>
        <w:t>ص</w:t>
      </w:r>
      <w:r w:rsidRPr="00563AE6">
        <w:rPr>
          <w:rFonts w:ascii="Abo-thar" w:hAnsi="Abo-thar" w:cs="mylotus"/>
          <w:sz w:val="23"/>
          <w:szCs w:val="23"/>
          <w:rtl/>
        </w:rPr>
        <w:t xml:space="preserve"> </w:t>
      </w:r>
      <w:r w:rsidRPr="00563AE6">
        <w:rPr>
          <w:rFonts w:cs="mylotus"/>
          <w:sz w:val="23"/>
          <w:szCs w:val="23"/>
          <w:rtl/>
        </w:rPr>
        <w:t xml:space="preserve">أَمْوَالَهُ وكانت سَبْعَةُ حَوَائِطَ، أي سبعة بساتين مزروعة فكانت عَامّةُ صَدَقَاتِ رَسُولِ اللهِ </w:t>
      </w:r>
      <w:r w:rsidRPr="003C7AEB">
        <w:rPr>
          <w:rFonts w:ascii="Abo-thar" w:hAnsi="Abo-thar" w:cs="CTraditional Arabic"/>
          <w:sz w:val="23"/>
          <w:szCs w:val="23"/>
          <w:rtl/>
        </w:rPr>
        <w:t>ص</w:t>
      </w:r>
      <w:r w:rsidRPr="00563AE6">
        <w:rPr>
          <w:rFonts w:ascii="Abo-thar" w:hAnsi="Abo-thar" w:cs="mylotus"/>
          <w:sz w:val="23"/>
          <w:szCs w:val="23"/>
          <w:rtl/>
        </w:rPr>
        <w:t xml:space="preserve"> </w:t>
      </w:r>
      <w:r w:rsidRPr="00563AE6">
        <w:rPr>
          <w:rFonts w:cs="mylotus"/>
          <w:sz w:val="23"/>
          <w:szCs w:val="23"/>
          <w:rtl/>
        </w:rPr>
        <w:t>بالمَدِينَةِ مِنْهَا.</w:t>
      </w:r>
    </w:p>
    <w:p w:rsidR="00B31118" w:rsidRPr="00563AE6" w:rsidRDefault="00B31118" w:rsidP="00B300C9">
      <w:pPr>
        <w:spacing w:line="228" w:lineRule="auto"/>
        <w:ind w:left="378"/>
        <w:jc w:val="both"/>
        <w:rPr>
          <w:rFonts w:cs="mylotus"/>
          <w:sz w:val="23"/>
          <w:szCs w:val="23"/>
          <w:rtl/>
        </w:rPr>
      </w:pPr>
      <w:r w:rsidRPr="00563AE6">
        <w:rPr>
          <w:rFonts w:cs="mylotus"/>
          <w:sz w:val="23"/>
          <w:szCs w:val="23"/>
          <w:rtl/>
        </w:rPr>
        <w:t xml:space="preserve">وفي غزوة خيبر أخذ رسول الله </w:t>
      </w:r>
      <w:r w:rsidRPr="003C7AEB">
        <w:rPr>
          <w:rFonts w:ascii="Abo-thar" w:hAnsi="Abo-thar" w:cs="CTraditional Arabic"/>
          <w:sz w:val="23"/>
          <w:szCs w:val="23"/>
          <w:rtl/>
        </w:rPr>
        <w:t>ص</w:t>
      </w:r>
      <w:r w:rsidRPr="00563AE6">
        <w:rPr>
          <w:rFonts w:ascii="Abo-thar" w:hAnsi="Abo-thar" w:cs="mylotus"/>
          <w:sz w:val="23"/>
          <w:szCs w:val="23"/>
          <w:rtl/>
        </w:rPr>
        <w:t xml:space="preserve"> </w:t>
      </w:r>
      <w:r w:rsidRPr="00563AE6">
        <w:rPr>
          <w:rFonts w:cs="mylotus"/>
          <w:sz w:val="23"/>
          <w:szCs w:val="23"/>
          <w:rtl/>
        </w:rPr>
        <w:t xml:space="preserve">إحدى القلاع السبعة التي تم افتتاحها كخمس الغنائم وأعطى باقي القلاع للمجاهدين، وأما أهْلُ فَدَكَ فَصَالَحُوا النبيَّ </w:t>
      </w:r>
      <w:r w:rsidRPr="003C7AEB">
        <w:rPr>
          <w:rFonts w:ascii="Abo-thar" w:hAnsi="Abo-thar" w:cs="CTraditional Arabic"/>
          <w:sz w:val="23"/>
          <w:szCs w:val="23"/>
          <w:rtl/>
        </w:rPr>
        <w:t>ص</w:t>
      </w:r>
      <w:r w:rsidRPr="00563AE6">
        <w:rPr>
          <w:rFonts w:ascii="Abo-thar" w:hAnsi="Abo-thar" w:cs="mylotus"/>
          <w:sz w:val="23"/>
          <w:szCs w:val="23"/>
          <w:rtl/>
        </w:rPr>
        <w:t xml:space="preserve"> </w:t>
      </w:r>
      <w:r w:rsidRPr="00563AE6">
        <w:rPr>
          <w:rFonts w:cs="mylotus"/>
          <w:sz w:val="23"/>
          <w:szCs w:val="23"/>
          <w:rtl/>
        </w:rPr>
        <w:t>عَلَى أَنَّ لَهُ نِصْفَ أَرْضِهِمْ وَنَخْلِهِمْ يُعَامِلُهُمْ عَلَيْهِ وَلَهُمْ النِّصْفُ الْآخَرُ.</w:t>
      </w:r>
    </w:p>
    <w:p w:rsidR="00B31118" w:rsidRPr="00563AE6" w:rsidRDefault="00B31118" w:rsidP="00B300C9">
      <w:pPr>
        <w:spacing w:line="228" w:lineRule="auto"/>
        <w:ind w:left="378"/>
        <w:jc w:val="both"/>
        <w:rPr>
          <w:rFonts w:cs="mylotus"/>
          <w:sz w:val="23"/>
          <w:szCs w:val="23"/>
          <w:rtl/>
        </w:rPr>
      </w:pPr>
      <w:r w:rsidRPr="00563AE6">
        <w:rPr>
          <w:rFonts w:cs="mylotus"/>
          <w:sz w:val="23"/>
          <w:szCs w:val="23"/>
          <w:rtl/>
        </w:rPr>
        <w:t xml:space="preserve">إذن طبقا لما ذكرناه في المتن لم تكن لرسول الله </w:t>
      </w:r>
      <w:r w:rsidRPr="003C7AEB">
        <w:rPr>
          <w:rFonts w:ascii="Abo-thar" w:hAnsi="Abo-thar" w:cs="CTraditional Arabic"/>
          <w:sz w:val="23"/>
          <w:szCs w:val="23"/>
          <w:rtl/>
        </w:rPr>
        <w:t>ص</w:t>
      </w:r>
      <w:r w:rsidRPr="00563AE6">
        <w:rPr>
          <w:rFonts w:ascii="Abo-thar" w:hAnsi="Abo-thar" w:cs="mylotus"/>
          <w:sz w:val="23"/>
          <w:szCs w:val="23"/>
          <w:rtl/>
        </w:rPr>
        <w:t xml:space="preserve"> </w:t>
      </w:r>
      <w:r w:rsidRPr="00563AE6">
        <w:rPr>
          <w:rFonts w:cs="mylotus"/>
          <w:sz w:val="23"/>
          <w:szCs w:val="23"/>
          <w:rtl/>
        </w:rPr>
        <w:t>أية حاجةٍ للاستفادة من الصدقات أو الارتزاق من مال الزكاة لذا كان يحترز عنها كل الاحتراز.</w:t>
      </w:r>
    </w:p>
    <w:p w:rsidR="00B31118" w:rsidRPr="00563AE6" w:rsidRDefault="00B31118" w:rsidP="00B300C9">
      <w:pPr>
        <w:spacing w:line="228" w:lineRule="auto"/>
        <w:ind w:left="378"/>
        <w:jc w:val="both"/>
        <w:rPr>
          <w:rFonts w:cs="mylotus" w:hint="cs"/>
          <w:sz w:val="23"/>
          <w:szCs w:val="23"/>
          <w:rtl/>
        </w:rPr>
      </w:pPr>
      <w:r w:rsidRPr="00563AE6">
        <w:rPr>
          <w:rFonts w:cs="mylotus"/>
          <w:sz w:val="23"/>
          <w:szCs w:val="23"/>
          <w:rtl/>
        </w:rPr>
        <w:t xml:space="preserve">فظهر إذن أن رسول الله </w:t>
      </w:r>
      <w:r w:rsidRPr="003C7AEB">
        <w:rPr>
          <w:rFonts w:ascii="Abo-thar" w:hAnsi="Abo-thar" w:cs="CTraditional Arabic"/>
          <w:sz w:val="23"/>
          <w:szCs w:val="23"/>
          <w:rtl/>
        </w:rPr>
        <w:t>ص</w:t>
      </w:r>
      <w:r w:rsidRPr="00563AE6">
        <w:rPr>
          <w:rFonts w:ascii="Abo-thar" w:hAnsi="Abo-thar" w:cs="mylotus"/>
          <w:sz w:val="23"/>
          <w:szCs w:val="23"/>
          <w:rtl/>
        </w:rPr>
        <w:t xml:space="preserve"> </w:t>
      </w:r>
      <w:r w:rsidRPr="00563AE6">
        <w:rPr>
          <w:rFonts w:cs="mylotus"/>
          <w:sz w:val="23"/>
          <w:szCs w:val="23"/>
          <w:rtl/>
        </w:rPr>
        <w:t xml:space="preserve">لم يكن يأكل أو يرتزق بشيء من الصدقات وأما كلمة «الحرمة» التي جاءت في بعض الأحاديث فيبدو أنها ليست بمعناها الظاهر أو أنه قصد منها الكراهة. والواقع أن كلمة «التحريم» لم تأتِ أصلاً في كثير من مصادر الحديث مثل صحيح البخاري بل ما جاء هو عبارة «لا يأكل» وذلك مثلما جاء في حديث أكل الحسنين من تمر الصدقة الذي هو من الأحاديث المشهورة حيث روى البخاري [2، 541] فقال: «كَانَ رَسُولُ اللهِ </w:t>
      </w:r>
      <w:r w:rsidRPr="003C7AEB">
        <w:rPr>
          <w:rFonts w:ascii="Abo-thar" w:hAnsi="Abo-thar" w:cs="CTraditional Arabic"/>
          <w:sz w:val="23"/>
          <w:szCs w:val="23"/>
          <w:rtl/>
        </w:rPr>
        <w:t>ص</w:t>
      </w:r>
      <w:r w:rsidRPr="00563AE6">
        <w:rPr>
          <w:rFonts w:ascii="Abo-thar" w:hAnsi="Abo-thar" w:cs="mylotus"/>
          <w:sz w:val="23"/>
          <w:szCs w:val="23"/>
          <w:rtl/>
        </w:rPr>
        <w:t xml:space="preserve"> </w:t>
      </w:r>
      <w:r w:rsidRPr="00563AE6">
        <w:rPr>
          <w:rFonts w:cs="mylotus"/>
          <w:sz w:val="23"/>
          <w:szCs w:val="23"/>
          <w:rtl/>
        </w:rPr>
        <w:t>يُؤْتَى بِالتَّمْرِ عِنْدَ صِرَامِ النَّخْلِ (أي تمر الزكاة) فَيَجِ</w:t>
      </w:r>
      <w:r w:rsidRPr="00563AE6">
        <w:rPr>
          <w:rFonts w:cs="mylotus" w:hint="cs"/>
          <w:sz w:val="23"/>
          <w:szCs w:val="23"/>
          <w:rtl/>
        </w:rPr>
        <w:t>ي</w:t>
      </w:r>
      <w:r w:rsidRPr="00563AE6">
        <w:rPr>
          <w:rFonts w:cs="mylotus"/>
          <w:sz w:val="23"/>
          <w:szCs w:val="23"/>
          <w:rtl/>
        </w:rPr>
        <w:t>ءُ هَذَا بِتَمْرِهِ وَهَذَا مِنْ تَمْرِهِ حَتَّى يَصِيرَ عِنْدَهُ كَوْمًا مِنْ تَمْرٍ، فَجَعَلَ الْحَسَنُ وَالْحُسَيْنُ - رض</w:t>
      </w:r>
      <w:r w:rsidRPr="00563AE6">
        <w:rPr>
          <w:rFonts w:cs="mylotus" w:hint="cs"/>
          <w:sz w:val="23"/>
          <w:szCs w:val="23"/>
          <w:rtl/>
        </w:rPr>
        <w:t>ي</w:t>
      </w:r>
      <w:r w:rsidRPr="00563AE6">
        <w:rPr>
          <w:rFonts w:cs="mylotus"/>
          <w:sz w:val="23"/>
          <w:szCs w:val="23"/>
          <w:rtl/>
        </w:rPr>
        <w:t xml:space="preserve"> الله عنهما - يَلْعَبَانِ بِذَلِكَ التَّمْرِ، فَأَخَذَ أَحَدُهُمَا تَمْرَةً، فَجَعَلَهَا ف</w:t>
      </w:r>
      <w:r w:rsidRPr="00563AE6">
        <w:rPr>
          <w:rFonts w:cs="mylotus" w:hint="cs"/>
          <w:sz w:val="23"/>
          <w:szCs w:val="23"/>
          <w:rtl/>
        </w:rPr>
        <w:t>ي</w:t>
      </w:r>
      <w:r w:rsidRPr="00563AE6">
        <w:rPr>
          <w:rFonts w:cs="mylotus"/>
          <w:sz w:val="23"/>
          <w:szCs w:val="23"/>
          <w:rtl/>
        </w:rPr>
        <w:t xml:space="preserve"> فِيهِ، فَنَظَرَ إِلَيْهِ رَسُولُ اللهِ </w:t>
      </w:r>
      <w:r w:rsidRPr="003C7AEB">
        <w:rPr>
          <w:rFonts w:ascii="Abo-thar" w:hAnsi="Abo-thar" w:cs="CTraditional Arabic"/>
          <w:sz w:val="23"/>
          <w:szCs w:val="23"/>
          <w:rtl/>
        </w:rPr>
        <w:t>ص</w:t>
      </w:r>
      <w:r w:rsidRPr="00563AE6">
        <w:rPr>
          <w:rFonts w:ascii="Abo-thar" w:hAnsi="Abo-thar" w:cs="mylotus"/>
          <w:sz w:val="23"/>
          <w:szCs w:val="23"/>
          <w:rtl/>
        </w:rPr>
        <w:t xml:space="preserve"> </w:t>
      </w:r>
      <w:r w:rsidRPr="00563AE6">
        <w:rPr>
          <w:rFonts w:cs="mylotus"/>
          <w:sz w:val="23"/>
          <w:szCs w:val="23"/>
          <w:rtl/>
        </w:rPr>
        <w:t xml:space="preserve">فَأَخْرَجَهَا مِنْ فِيهِ فَقَالَ: «أَمَا عَلِمْتَ أَنَّ آلَ مُحَمَّدٍ </w:t>
      </w:r>
      <w:r w:rsidRPr="003C7AEB">
        <w:rPr>
          <w:rFonts w:ascii="Abo-thar" w:hAnsi="Abo-thar" w:cs="CTraditional Arabic"/>
          <w:sz w:val="23"/>
          <w:szCs w:val="23"/>
          <w:rtl/>
        </w:rPr>
        <w:t>ص</w:t>
      </w:r>
      <w:r w:rsidRPr="00563AE6">
        <w:rPr>
          <w:rFonts w:ascii="Abo-thar" w:hAnsi="Abo-thar" w:cs="mylotus"/>
          <w:sz w:val="23"/>
          <w:szCs w:val="23"/>
          <w:rtl/>
        </w:rPr>
        <w:t xml:space="preserve"> </w:t>
      </w:r>
      <w:r w:rsidRPr="00563AE6">
        <w:rPr>
          <w:rFonts w:cs="mylotus"/>
          <w:sz w:val="23"/>
          <w:szCs w:val="23"/>
          <w:rtl/>
        </w:rPr>
        <w:t xml:space="preserve">لاَ يَأْكُلُونَ الصَّدَقَةَ»؟!» وفي </w:t>
      </w:r>
      <w:r w:rsidRPr="00563AE6">
        <w:rPr>
          <w:rFonts w:cs="mylotus" w:hint="cs"/>
          <w:sz w:val="23"/>
          <w:szCs w:val="23"/>
          <w:rtl/>
        </w:rPr>
        <w:t>رواية</w:t>
      </w:r>
      <w:r w:rsidRPr="00563AE6">
        <w:rPr>
          <w:rFonts w:cs="mylotus"/>
          <w:sz w:val="23"/>
          <w:szCs w:val="23"/>
          <w:rtl/>
        </w:rPr>
        <w:t xml:space="preserve"> أخرى أنه </w:t>
      </w:r>
      <w:r w:rsidRPr="003C7AEB">
        <w:rPr>
          <w:rFonts w:ascii="Abo-thar" w:hAnsi="Abo-thar" w:cs="CTraditional Arabic"/>
          <w:sz w:val="23"/>
          <w:szCs w:val="23"/>
          <w:rtl/>
        </w:rPr>
        <w:t>ص</w:t>
      </w:r>
      <w:r w:rsidRPr="00563AE6">
        <w:rPr>
          <w:rFonts w:ascii="Abo-thar" w:hAnsi="Abo-thar" w:cs="mylotus"/>
          <w:sz w:val="23"/>
          <w:szCs w:val="23"/>
          <w:rtl/>
        </w:rPr>
        <w:t xml:space="preserve"> </w:t>
      </w:r>
      <w:r w:rsidRPr="00563AE6">
        <w:rPr>
          <w:rFonts w:cs="mylotus"/>
          <w:sz w:val="23"/>
          <w:szCs w:val="23"/>
          <w:rtl/>
        </w:rPr>
        <w:t>قال للحسن بن علي: «أما شعرت أنا لا نأكل الصدقة؟؟». فكلمة «</w:t>
      </w:r>
      <w:r w:rsidRPr="00563AE6">
        <w:rPr>
          <w:rFonts w:cs="mylotus" w:hint="cs"/>
          <w:sz w:val="23"/>
          <w:szCs w:val="23"/>
          <w:rtl/>
        </w:rPr>
        <w:t>محرَّمة</w:t>
      </w:r>
      <w:r w:rsidRPr="00563AE6">
        <w:rPr>
          <w:rFonts w:cs="mylotus"/>
          <w:sz w:val="23"/>
          <w:szCs w:val="23"/>
          <w:rtl/>
        </w:rPr>
        <w:t>» التي وردت في بعض الروايات هي في الغالب من الرواية بالمعنى ومن ألفاظ المتحم</w:t>
      </w:r>
      <w:r w:rsidRPr="00563AE6">
        <w:rPr>
          <w:rFonts w:cs="mylotus" w:hint="cs"/>
          <w:sz w:val="23"/>
          <w:szCs w:val="23"/>
          <w:rtl/>
        </w:rPr>
        <w:t>ِّ</w:t>
      </w:r>
      <w:r w:rsidRPr="00563AE6">
        <w:rPr>
          <w:rFonts w:cs="mylotus"/>
          <w:sz w:val="23"/>
          <w:szCs w:val="23"/>
          <w:rtl/>
        </w:rPr>
        <w:t xml:space="preserve">سين، وإذا كانت لفظة التحريم دقيقة فإن هذا يكون من أحد الشؤون والخصوصيات الكثيرة </w:t>
      </w:r>
      <w:r w:rsidRPr="00563AE6">
        <w:rPr>
          <w:rFonts w:cs="mylotus" w:hint="cs"/>
          <w:sz w:val="23"/>
          <w:szCs w:val="23"/>
          <w:rtl/>
        </w:rPr>
        <w:t>الخاصَّة</w:t>
      </w:r>
      <w:r w:rsidRPr="00563AE6">
        <w:rPr>
          <w:rFonts w:cs="mylotus"/>
          <w:sz w:val="23"/>
          <w:szCs w:val="23"/>
          <w:rtl/>
        </w:rPr>
        <w:t xml:space="preserve"> </w:t>
      </w:r>
      <w:r w:rsidRPr="00563AE6">
        <w:rPr>
          <w:rFonts w:cs="mylotus" w:hint="cs"/>
          <w:sz w:val="23"/>
          <w:szCs w:val="23"/>
          <w:rtl/>
        </w:rPr>
        <w:t>ب</w:t>
      </w:r>
      <w:r w:rsidRPr="00563AE6">
        <w:rPr>
          <w:rFonts w:cs="mylotus"/>
          <w:sz w:val="23"/>
          <w:szCs w:val="23"/>
          <w:rtl/>
        </w:rPr>
        <w:t xml:space="preserve">النبي </w:t>
      </w:r>
      <w:r w:rsidRPr="003C7AEB">
        <w:rPr>
          <w:rFonts w:ascii="Abo-thar" w:hAnsi="Abo-thar" w:cs="CTraditional Arabic"/>
          <w:sz w:val="23"/>
          <w:szCs w:val="23"/>
          <w:rtl/>
        </w:rPr>
        <w:t>ص</w:t>
      </w:r>
      <w:r w:rsidRPr="00563AE6">
        <w:rPr>
          <w:rFonts w:ascii="Abo-thar" w:hAnsi="Abo-thar" w:cs="mylotus"/>
          <w:sz w:val="23"/>
          <w:szCs w:val="23"/>
          <w:rtl/>
        </w:rPr>
        <w:t xml:space="preserve"> </w:t>
      </w:r>
      <w:r w:rsidRPr="00563AE6">
        <w:rPr>
          <w:rFonts w:cs="mylotus"/>
          <w:sz w:val="23"/>
          <w:szCs w:val="23"/>
          <w:rtl/>
        </w:rPr>
        <w:t xml:space="preserve">وحده والتي لا تسري إلى غيره. </w:t>
      </w:r>
      <w:r w:rsidRPr="00563AE6">
        <w:rPr>
          <w:rFonts w:cs="mylotus" w:hint="cs"/>
          <w:sz w:val="23"/>
          <w:szCs w:val="23"/>
          <w:rtl/>
        </w:rPr>
        <w:t>ف</w:t>
      </w:r>
      <w:r w:rsidRPr="00563AE6">
        <w:rPr>
          <w:rFonts w:cs="mylotus"/>
          <w:sz w:val="23"/>
          <w:szCs w:val="23"/>
          <w:rtl/>
        </w:rPr>
        <w:t xml:space="preserve">قد روى كتَّاب السير أن رسول الله </w:t>
      </w:r>
      <w:r w:rsidRPr="003C7AEB">
        <w:rPr>
          <w:rFonts w:ascii="Abo-thar" w:hAnsi="Abo-thar" w:cs="CTraditional Arabic"/>
          <w:sz w:val="23"/>
          <w:szCs w:val="23"/>
          <w:rtl/>
        </w:rPr>
        <w:t>ص</w:t>
      </w:r>
      <w:r w:rsidRPr="00563AE6">
        <w:rPr>
          <w:rFonts w:ascii="Abo-thar" w:hAnsi="Abo-thar" w:cs="mylotus"/>
          <w:sz w:val="23"/>
          <w:szCs w:val="23"/>
          <w:rtl/>
        </w:rPr>
        <w:t xml:space="preserve"> </w:t>
      </w:r>
      <w:r w:rsidRPr="00563AE6">
        <w:rPr>
          <w:rFonts w:cs="mylotus"/>
          <w:sz w:val="23"/>
          <w:szCs w:val="23"/>
          <w:rtl/>
        </w:rPr>
        <w:t xml:space="preserve">حرَّم على نفسه الشريفة عدداً من الأشياء: </w:t>
      </w:r>
    </w:p>
    <w:p w:rsidR="00B31118" w:rsidRPr="00C761A3" w:rsidRDefault="00B31118" w:rsidP="00B300C9">
      <w:pPr>
        <w:spacing w:line="228" w:lineRule="auto"/>
        <w:ind w:left="378"/>
        <w:jc w:val="both"/>
        <w:rPr>
          <w:rFonts w:cs="mylotus" w:hint="cs"/>
          <w:spacing w:val="-2"/>
          <w:sz w:val="23"/>
          <w:szCs w:val="23"/>
          <w:rtl/>
        </w:rPr>
      </w:pPr>
      <w:r w:rsidRPr="00C761A3">
        <w:rPr>
          <w:rFonts w:cs="mylotus"/>
          <w:spacing w:val="-2"/>
          <w:sz w:val="23"/>
          <w:szCs w:val="23"/>
          <w:rtl/>
        </w:rPr>
        <w:t xml:space="preserve">الأول: الزكاة كما مر معنا في المتن وقد رأينا أن هذا التحريم غير ثابت لأن آيات الكتاب لا تؤيده بل تعارضه. </w:t>
      </w:r>
    </w:p>
    <w:p w:rsidR="00B31118" w:rsidRPr="00563AE6" w:rsidRDefault="00B31118" w:rsidP="00B300C9">
      <w:pPr>
        <w:spacing w:line="228" w:lineRule="auto"/>
        <w:ind w:left="378"/>
        <w:jc w:val="both"/>
        <w:rPr>
          <w:rFonts w:cs="mylotus" w:hint="cs"/>
          <w:sz w:val="23"/>
          <w:szCs w:val="23"/>
          <w:rtl/>
        </w:rPr>
      </w:pPr>
      <w:r w:rsidRPr="00563AE6">
        <w:rPr>
          <w:rFonts w:cs="mylotus"/>
          <w:sz w:val="23"/>
          <w:szCs w:val="23"/>
          <w:rtl/>
        </w:rPr>
        <w:t xml:space="preserve">الثاني: أكل البصل والثوم والكراث [نوع من البقل كريه الرائحة] النيِّئ. </w:t>
      </w:r>
    </w:p>
    <w:p w:rsidR="00B31118" w:rsidRPr="00563AE6" w:rsidRDefault="00B31118" w:rsidP="00B300C9">
      <w:pPr>
        <w:spacing w:line="228" w:lineRule="auto"/>
        <w:ind w:left="378"/>
        <w:jc w:val="both"/>
        <w:rPr>
          <w:rFonts w:cs="mylotus" w:hint="cs"/>
          <w:sz w:val="23"/>
          <w:szCs w:val="23"/>
          <w:rtl/>
        </w:rPr>
      </w:pPr>
      <w:r w:rsidRPr="00563AE6">
        <w:rPr>
          <w:rFonts w:cs="mylotus"/>
          <w:sz w:val="23"/>
          <w:szCs w:val="23"/>
          <w:rtl/>
        </w:rPr>
        <w:t xml:space="preserve">الثالث: الأكل متَّكئاً حيث قال: «لاَ آكُلُ مُتَّكِئًا». </w:t>
      </w:r>
    </w:p>
    <w:p w:rsidR="00B31118" w:rsidRPr="00C761A3" w:rsidRDefault="00B31118" w:rsidP="00B300C9">
      <w:pPr>
        <w:spacing w:line="228" w:lineRule="auto"/>
        <w:ind w:left="378"/>
        <w:jc w:val="both"/>
        <w:rPr>
          <w:rFonts w:cs="mylotus" w:hint="cs"/>
          <w:spacing w:val="-4"/>
          <w:sz w:val="23"/>
          <w:szCs w:val="23"/>
          <w:rtl/>
        </w:rPr>
      </w:pPr>
      <w:r w:rsidRPr="00C761A3">
        <w:rPr>
          <w:rFonts w:cs="mylotus"/>
          <w:spacing w:val="-4"/>
          <w:sz w:val="23"/>
          <w:szCs w:val="23"/>
          <w:rtl/>
        </w:rPr>
        <w:t xml:space="preserve">الرابع: الكتابة، كما تدل عليه الآية الكريمة: </w:t>
      </w:r>
      <w:r w:rsidRPr="00C761A3">
        <w:rPr>
          <w:rFonts w:cs="Traditional Arabic" w:hint="cs"/>
          <w:spacing w:val="-4"/>
          <w:sz w:val="23"/>
          <w:szCs w:val="23"/>
          <w:rtl/>
        </w:rPr>
        <w:t>﴿</w:t>
      </w:r>
      <w:r w:rsidRPr="00C761A3">
        <w:rPr>
          <w:rFonts w:ascii="KFGQPC Uthmanic Script HAFS" w:cs="KFGQPC Uthmanic Script HAFS" w:hint="eastAsia"/>
          <w:spacing w:val="-4"/>
          <w:sz w:val="23"/>
          <w:szCs w:val="23"/>
          <w:rtl/>
        </w:rPr>
        <w:t>وَلَا</w:t>
      </w:r>
      <w:r w:rsidRPr="00C761A3">
        <w:rPr>
          <w:rFonts w:ascii="KFGQPC Uthmanic Script HAFS" w:cs="KFGQPC Uthmanic Script HAFS"/>
          <w:spacing w:val="-4"/>
          <w:sz w:val="23"/>
          <w:szCs w:val="23"/>
          <w:rtl/>
        </w:rPr>
        <w:t xml:space="preserve"> </w:t>
      </w:r>
      <w:r w:rsidRPr="00C761A3">
        <w:rPr>
          <w:rFonts w:ascii="KFGQPC Uthmanic Script HAFS" w:cs="KFGQPC Uthmanic Script HAFS" w:hint="eastAsia"/>
          <w:spacing w:val="-4"/>
          <w:sz w:val="23"/>
          <w:szCs w:val="23"/>
          <w:rtl/>
        </w:rPr>
        <w:t>تَخُطُّهُ</w:t>
      </w:r>
      <w:r w:rsidRPr="00C761A3">
        <w:rPr>
          <w:rFonts w:ascii="KFGQPC Uthmanic Script HAFS" w:cs="KFGQPC Uthmanic Script HAFS" w:hint="cs"/>
          <w:spacing w:val="-4"/>
          <w:sz w:val="23"/>
          <w:szCs w:val="23"/>
          <w:rtl/>
        </w:rPr>
        <w:t>ۥ</w:t>
      </w:r>
      <w:r w:rsidRPr="00C761A3">
        <w:rPr>
          <w:rFonts w:ascii="KFGQPC Uthmanic Script HAFS" w:cs="KFGQPC Uthmanic Script HAFS"/>
          <w:spacing w:val="-4"/>
          <w:sz w:val="23"/>
          <w:szCs w:val="23"/>
          <w:rtl/>
        </w:rPr>
        <w:t xml:space="preserve"> </w:t>
      </w:r>
      <w:r w:rsidRPr="00C761A3">
        <w:rPr>
          <w:rFonts w:ascii="KFGQPC Uthmanic Script HAFS" w:cs="KFGQPC Uthmanic Script HAFS" w:hint="eastAsia"/>
          <w:spacing w:val="-4"/>
          <w:sz w:val="23"/>
          <w:szCs w:val="23"/>
          <w:rtl/>
        </w:rPr>
        <w:t>بِيَمِينِكَ</w:t>
      </w:r>
      <w:r w:rsidRPr="00C761A3">
        <w:rPr>
          <w:rFonts w:ascii="KFGQPC Uthmanic Script HAFS" w:cs="KFGQPC Uthmanic Script HAFS" w:hint="cs"/>
          <w:spacing w:val="-4"/>
          <w:sz w:val="23"/>
          <w:szCs w:val="23"/>
          <w:rtl/>
        </w:rPr>
        <w:t>ۖ</w:t>
      </w:r>
      <w:r w:rsidRPr="00C761A3">
        <w:rPr>
          <w:rFonts w:ascii="KFGQPC Uthmanic Script HAFS" w:cs="KFGQPC Uthmanic Script HAFS"/>
          <w:spacing w:val="-4"/>
          <w:sz w:val="23"/>
          <w:szCs w:val="23"/>
          <w:rtl/>
        </w:rPr>
        <w:t xml:space="preserve"> </w:t>
      </w:r>
      <w:r w:rsidRPr="00C761A3">
        <w:rPr>
          <w:rFonts w:ascii="KFGQPC Uthmanic Script HAFS" w:cs="KFGQPC Uthmanic Script HAFS" w:hint="eastAsia"/>
          <w:spacing w:val="-4"/>
          <w:sz w:val="23"/>
          <w:szCs w:val="23"/>
          <w:rtl/>
        </w:rPr>
        <w:t>إِذ</w:t>
      </w:r>
      <w:r w:rsidRPr="00C761A3">
        <w:rPr>
          <w:rFonts w:ascii="KFGQPC Uthmanic Script HAFS" w:cs="KFGQPC Uthmanic Script HAFS" w:hint="cs"/>
          <w:spacing w:val="-4"/>
          <w:sz w:val="23"/>
          <w:szCs w:val="23"/>
          <w:rtl/>
        </w:rPr>
        <w:t>ٗ</w:t>
      </w:r>
      <w:r w:rsidRPr="00C761A3">
        <w:rPr>
          <w:rFonts w:ascii="KFGQPC Uthmanic Script HAFS" w:cs="KFGQPC Uthmanic Script HAFS" w:hint="eastAsia"/>
          <w:spacing w:val="-4"/>
          <w:sz w:val="23"/>
          <w:szCs w:val="23"/>
          <w:rtl/>
        </w:rPr>
        <w:t>ا</w:t>
      </w:r>
      <w:r w:rsidRPr="00C761A3">
        <w:rPr>
          <w:rFonts w:ascii="KFGQPC Uthmanic Script HAFS" w:cs="KFGQPC Uthmanic Script HAFS"/>
          <w:spacing w:val="-4"/>
          <w:sz w:val="23"/>
          <w:szCs w:val="23"/>
          <w:rtl/>
        </w:rPr>
        <w:t xml:space="preserve"> </w:t>
      </w:r>
      <w:r w:rsidRPr="00C761A3">
        <w:rPr>
          <w:rFonts w:ascii="KFGQPC Uthmanic Script HAFS" w:cs="KFGQPC Uthmanic Script HAFS" w:hint="eastAsia"/>
          <w:spacing w:val="-4"/>
          <w:sz w:val="23"/>
          <w:szCs w:val="23"/>
          <w:rtl/>
        </w:rPr>
        <w:t>لَّ</w:t>
      </w:r>
      <w:r w:rsidRPr="00C761A3">
        <w:rPr>
          <w:rFonts w:ascii="KFGQPC Uthmanic Script HAFS" w:cs="KFGQPC Uthmanic Script HAFS" w:hint="cs"/>
          <w:spacing w:val="-4"/>
          <w:sz w:val="23"/>
          <w:szCs w:val="23"/>
          <w:rtl/>
        </w:rPr>
        <w:t>ٱ</w:t>
      </w:r>
      <w:r w:rsidRPr="00C761A3">
        <w:rPr>
          <w:rFonts w:ascii="KFGQPC Uthmanic Script HAFS" w:cs="KFGQPC Uthmanic Script HAFS" w:hint="eastAsia"/>
          <w:spacing w:val="-4"/>
          <w:sz w:val="23"/>
          <w:szCs w:val="23"/>
          <w:rtl/>
        </w:rPr>
        <w:t>ر</w:t>
      </w:r>
      <w:r w:rsidRPr="00C761A3">
        <w:rPr>
          <w:rFonts w:ascii="KFGQPC Uthmanic Script HAFS" w:cs="KFGQPC Uthmanic Script HAFS" w:hint="cs"/>
          <w:spacing w:val="-4"/>
          <w:sz w:val="23"/>
          <w:szCs w:val="23"/>
          <w:rtl/>
        </w:rPr>
        <w:t>ۡ</w:t>
      </w:r>
      <w:r w:rsidRPr="00C761A3">
        <w:rPr>
          <w:rFonts w:ascii="KFGQPC Uthmanic Script HAFS" w:cs="KFGQPC Uthmanic Script HAFS" w:hint="eastAsia"/>
          <w:spacing w:val="-4"/>
          <w:sz w:val="23"/>
          <w:szCs w:val="23"/>
          <w:rtl/>
        </w:rPr>
        <w:t>تَابَ</w:t>
      </w:r>
      <w:r w:rsidRPr="00C761A3">
        <w:rPr>
          <w:rFonts w:ascii="KFGQPC Uthmanic Script HAFS" w:cs="KFGQPC Uthmanic Script HAFS"/>
          <w:spacing w:val="-4"/>
          <w:sz w:val="23"/>
          <w:szCs w:val="23"/>
          <w:rtl/>
        </w:rPr>
        <w:t xml:space="preserve"> </w:t>
      </w:r>
      <w:r w:rsidRPr="00C761A3">
        <w:rPr>
          <w:rFonts w:ascii="KFGQPC Uthmanic Script HAFS" w:cs="KFGQPC Uthmanic Script HAFS" w:hint="cs"/>
          <w:spacing w:val="-4"/>
          <w:sz w:val="23"/>
          <w:szCs w:val="23"/>
          <w:rtl/>
        </w:rPr>
        <w:t>ٱ</w:t>
      </w:r>
      <w:r w:rsidRPr="00C761A3">
        <w:rPr>
          <w:rFonts w:ascii="KFGQPC Uthmanic Script HAFS" w:cs="KFGQPC Uthmanic Script HAFS" w:hint="eastAsia"/>
          <w:spacing w:val="-4"/>
          <w:sz w:val="23"/>
          <w:szCs w:val="23"/>
          <w:rtl/>
        </w:rPr>
        <w:t>ل</w:t>
      </w:r>
      <w:r w:rsidRPr="00C761A3">
        <w:rPr>
          <w:rFonts w:ascii="KFGQPC Uthmanic Script HAFS" w:cs="KFGQPC Uthmanic Script HAFS" w:hint="cs"/>
          <w:spacing w:val="-4"/>
          <w:sz w:val="23"/>
          <w:szCs w:val="23"/>
          <w:rtl/>
        </w:rPr>
        <w:t>ۡ</w:t>
      </w:r>
      <w:r w:rsidRPr="00C761A3">
        <w:rPr>
          <w:rFonts w:ascii="KFGQPC Uthmanic Script HAFS" w:cs="KFGQPC Uthmanic Script HAFS" w:hint="eastAsia"/>
          <w:spacing w:val="-4"/>
          <w:sz w:val="23"/>
          <w:szCs w:val="23"/>
          <w:rtl/>
        </w:rPr>
        <w:t>مُب</w:t>
      </w:r>
      <w:r w:rsidRPr="00C761A3">
        <w:rPr>
          <w:rFonts w:ascii="KFGQPC Uthmanic Script HAFS" w:cs="KFGQPC Uthmanic Script HAFS" w:hint="cs"/>
          <w:spacing w:val="-4"/>
          <w:sz w:val="23"/>
          <w:szCs w:val="23"/>
          <w:rtl/>
        </w:rPr>
        <w:t>ۡ</w:t>
      </w:r>
      <w:r w:rsidRPr="00C761A3">
        <w:rPr>
          <w:rFonts w:ascii="KFGQPC Uthmanic Script HAFS" w:cs="KFGQPC Uthmanic Script HAFS" w:hint="eastAsia"/>
          <w:spacing w:val="-4"/>
          <w:sz w:val="23"/>
          <w:szCs w:val="23"/>
          <w:rtl/>
        </w:rPr>
        <w:t>طِلُونَ</w:t>
      </w:r>
      <w:r w:rsidRPr="00C761A3">
        <w:rPr>
          <w:rFonts w:cs="Traditional Arabic" w:hint="cs"/>
          <w:spacing w:val="-4"/>
          <w:sz w:val="23"/>
          <w:szCs w:val="23"/>
          <w:rtl/>
        </w:rPr>
        <w:t>﴾</w:t>
      </w:r>
      <w:r w:rsidRPr="00C761A3">
        <w:rPr>
          <w:rFonts w:cs="mylotus"/>
          <w:spacing w:val="-4"/>
          <w:sz w:val="23"/>
          <w:szCs w:val="23"/>
          <w:rtl/>
        </w:rPr>
        <w:t xml:space="preserve"> [العنكبوت</w:t>
      </w:r>
      <w:r w:rsidRPr="00C761A3">
        <w:rPr>
          <w:rFonts w:cs="mylotus" w:hint="cs"/>
          <w:spacing w:val="-4"/>
          <w:sz w:val="23"/>
          <w:szCs w:val="23"/>
          <w:rtl/>
        </w:rPr>
        <w:t xml:space="preserve">: </w:t>
      </w:r>
      <w:r w:rsidRPr="00C761A3">
        <w:rPr>
          <w:rFonts w:cs="mylotus"/>
          <w:spacing w:val="-4"/>
          <w:sz w:val="23"/>
          <w:szCs w:val="23"/>
          <w:rtl/>
        </w:rPr>
        <w:t xml:space="preserve">48]. </w:t>
      </w:r>
    </w:p>
    <w:p w:rsidR="00B31118" w:rsidRPr="00563AE6" w:rsidRDefault="00B31118" w:rsidP="00B300C9">
      <w:pPr>
        <w:spacing w:line="228" w:lineRule="auto"/>
        <w:ind w:left="378"/>
        <w:jc w:val="both"/>
        <w:rPr>
          <w:rFonts w:cs="mylotus" w:hint="cs"/>
          <w:sz w:val="23"/>
          <w:szCs w:val="23"/>
          <w:rtl/>
        </w:rPr>
      </w:pPr>
      <w:r w:rsidRPr="00563AE6">
        <w:rPr>
          <w:rFonts w:cs="mylotus"/>
          <w:sz w:val="23"/>
          <w:szCs w:val="23"/>
          <w:rtl/>
        </w:rPr>
        <w:t>الخامس: قول الشعر بمدلول الآية الكريمة:</w:t>
      </w:r>
      <w:r w:rsidRPr="00563AE6">
        <w:rPr>
          <w:rFonts w:cs="mylotus" w:hint="cs"/>
          <w:sz w:val="23"/>
          <w:szCs w:val="23"/>
          <w:rtl/>
        </w:rPr>
        <w:t xml:space="preserve"> </w:t>
      </w:r>
      <w:r w:rsidRPr="00563AE6">
        <w:rPr>
          <w:rFonts w:cs="Traditional Arabic" w:hint="cs"/>
          <w:sz w:val="23"/>
          <w:szCs w:val="23"/>
          <w:rtl/>
        </w:rPr>
        <w:t>﴿</w:t>
      </w:r>
      <w:r w:rsidRPr="00563AE6">
        <w:rPr>
          <w:rFonts w:ascii="KFGQPC Uthmanic Script HAFS" w:cs="KFGQPC Uthmanic Script HAFS" w:hint="eastAsia"/>
          <w:sz w:val="23"/>
          <w:szCs w:val="23"/>
          <w:rtl/>
        </w:rPr>
        <w:t>وَمَا</w:t>
      </w:r>
      <w:r w:rsidRPr="00563AE6">
        <w:rPr>
          <w:rFonts w:ascii="KFGQPC Uthmanic Script HAFS" w:cs="KFGQPC Uthmanic Script HAFS"/>
          <w:sz w:val="23"/>
          <w:szCs w:val="23"/>
          <w:rtl/>
        </w:rPr>
        <w:t xml:space="preserve"> </w:t>
      </w:r>
      <w:r w:rsidRPr="00563AE6">
        <w:rPr>
          <w:rFonts w:ascii="KFGQPC Uthmanic Script HAFS" w:cs="KFGQPC Uthmanic Script HAFS" w:hint="eastAsia"/>
          <w:sz w:val="23"/>
          <w:szCs w:val="23"/>
          <w:rtl/>
        </w:rPr>
        <w:t>عَلَّم</w:t>
      </w:r>
      <w:r w:rsidRPr="00563AE6">
        <w:rPr>
          <w:rFonts w:ascii="KFGQPC Uthmanic Script HAFS" w:cs="KFGQPC Uthmanic Script HAFS" w:hint="cs"/>
          <w:sz w:val="23"/>
          <w:szCs w:val="23"/>
          <w:rtl/>
        </w:rPr>
        <w:t>ۡ</w:t>
      </w:r>
      <w:r w:rsidRPr="00563AE6">
        <w:rPr>
          <w:rFonts w:ascii="KFGQPC Uthmanic Script HAFS" w:cs="KFGQPC Uthmanic Script HAFS" w:hint="eastAsia"/>
          <w:sz w:val="23"/>
          <w:szCs w:val="23"/>
          <w:rtl/>
        </w:rPr>
        <w:t>نَ</w:t>
      </w:r>
      <w:r w:rsidRPr="00563AE6">
        <w:rPr>
          <w:rFonts w:ascii="KFGQPC Uthmanic Script HAFS" w:cs="KFGQPC Uthmanic Script HAFS" w:hint="cs"/>
          <w:sz w:val="23"/>
          <w:szCs w:val="23"/>
          <w:rtl/>
        </w:rPr>
        <w:t>ٰ</w:t>
      </w:r>
      <w:r w:rsidRPr="00563AE6">
        <w:rPr>
          <w:rFonts w:ascii="KFGQPC Uthmanic Script HAFS" w:cs="KFGQPC Uthmanic Script HAFS" w:hint="eastAsia"/>
          <w:sz w:val="23"/>
          <w:szCs w:val="23"/>
          <w:rtl/>
        </w:rPr>
        <w:t>هُ</w:t>
      </w:r>
      <w:r w:rsidRPr="00563AE6">
        <w:rPr>
          <w:rFonts w:ascii="KFGQPC Uthmanic Script HAFS" w:cs="KFGQPC Uthmanic Script HAFS"/>
          <w:sz w:val="23"/>
          <w:szCs w:val="23"/>
          <w:rtl/>
        </w:rPr>
        <w:t xml:space="preserve"> </w:t>
      </w:r>
      <w:r w:rsidRPr="00563AE6">
        <w:rPr>
          <w:rFonts w:ascii="KFGQPC Uthmanic Script HAFS" w:cs="KFGQPC Uthmanic Script HAFS" w:hint="cs"/>
          <w:sz w:val="23"/>
          <w:szCs w:val="23"/>
          <w:rtl/>
        </w:rPr>
        <w:t>ٱ</w:t>
      </w:r>
      <w:r w:rsidRPr="00563AE6">
        <w:rPr>
          <w:rFonts w:ascii="KFGQPC Uthmanic Script HAFS" w:cs="KFGQPC Uthmanic Script HAFS" w:hint="eastAsia"/>
          <w:sz w:val="23"/>
          <w:szCs w:val="23"/>
          <w:rtl/>
        </w:rPr>
        <w:t>لشِّع</w:t>
      </w:r>
      <w:r w:rsidRPr="00563AE6">
        <w:rPr>
          <w:rFonts w:ascii="KFGQPC Uthmanic Script HAFS" w:cs="KFGQPC Uthmanic Script HAFS" w:hint="cs"/>
          <w:sz w:val="23"/>
          <w:szCs w:val="23"/>
          <w:rtl/>
        </w:rPr>
        <w:t>ۡ</w:t>
      </w:r>
      <w:r w:rsidRPr="00563AE6">
        <w:rPr>
          <w:rFonts w:ascii="KFGQPC Uthmanic Script HAFS" w:cs="KFGQPC Uthmanic Script HAFS" w:hint="eastAsia"/>
          <w:sz w:val="23"/>
          <w:szCs w:val="23"/>
          <w:rtl/>
        </w:rPr>
        <w:t>رَ</w:t>
      </w:r>
      <w:r w:rsidRPr="00563AE6">
        <w:rPr>
          <w:rFonts w:ascii="KFGQPC Uthmanic Script HAFS" w:cs="KFGQPC Uthmanic Script HAFS"/>
          <w:sz w:val="23"/>
          <w:szCs w:val="23"/>
          <w:rtl/>
        </w:rPr>
        <w:t xml:space="preserve"> </w:t>
      </w:r>
      <w:r w:rsidRPr="00563AE6">
        <w:rPr>
          <w:rFonts w:ascii="KFGQPC Uthmanic Script HAFS" w:cs="KFGQPC Uthmanic Script HAFS" w:hint="eastAsia"/>
          <w:sz w:val="23"/>
          <w:szCs w:val="23"/>
          <w:rtl/>
        </w:rPr>
        <w:t>وَمَا</w:t>
      </w:r>
      <w:r w:rsidRPr="00563AE6">
        <w:rPr>
          <w:rFonts w:ascii="KFGQPC Uthmanic Script HAFS" w:cs="KFGQPC Uthmanic Script HAFS"/>
          <w:sz w:val="23"/>
          <w:szCs w:val="23"/>
          <w:rtl/>
        </w:rPr>
        <w:t xml:space="preserve"> </w:t>
      </w:r>
      <w:r w:rsidRPr="00563AE6">
        <w:rPr>
          <w:rFonts w:ascii="KFGQPC Uthmanic Script HAFS" w:cs="KFGQPC Uthmanic Script HAFS" w:hint="eastAsia"/>
          <w:sz w:val="23"/>
          <w:szCs w:val="23"/>
          <w:rtl/>
        </w:rPr>
        <w:t>يَن</w:t>
      </w:r>
      <w:r w:rsidRPr="00563AE6">
        <w:rPr>
          <w:rFonts w:ascii="KFGQPC Uthmanic Script HAFS" w:cs="KFGQPC Uthmanic Script HAFS" w:hint="cs"/>
          <w:sz w:val="23"/>
          <w:szCs w:val="23"/>
          <w:rtl/>
        </w:rPr>
        <w:t>ۢ</w:t>
      </w:r>
      <w:r w:rsidRPr="00563AE6">
        <w:rPr>
          <w:rFonts w:ascii="KFGQPC Uthmanic Script HAFS" w:cs="KFGQPC Uthmanic Script HAFS" w:hint="eastAsia"/>
          <w:sz w:val="23"/>
          <w:szCs w:val="23"/>
          <w:rtl/>
        </w:rPr>
        <w:t>بَغِي</w:t>
      </w:r>
      <w:r w:rsidRPr="00563AE6">
        <w:rPr>
          <w:rFonts w:ascii="KFGQPC Uthmanic Script HAFS" w:cs="KFGQPC Uthmanic Script HAFS"/>
          <w:sz w:val="23"/>
          <w:szCs w:val="23"/>
          <w:rtl/>
        </w:rPr>
        <w:t xml:space="preserve"> </w:t>
      </w:r>
      <w:r w:rsidRPr="00563AE6">
        <w:rPr>
          <w:rFonts w:ascii="KFGQPC Uthmanic Script HAFS" w:cs="KFGQPC Uthmanic Script HAFS" w:hint="eastAsia"/>
          <w:sz w:val="23"/>
          <w:szCs w:val="23"/>
          <w:rtl/>
        </w:rPr>
        <w:t>لَهُ</w:t>
      </w:r>
      <w:r w:rsidRPr="00563AE6">
        <w:rPr>
          <w:rFonts w:ascii="KFGQPC Uthmanic Script HAFS" w:cs="KFGQPC Uthmanic Script HAFS" w:hint="cs"/>
          <w:sz w:val="23"/>
          <w:szCs w:val="23"/>
          <w:rtl/>
        </w:rPr>
        <w:t>ۥٓۚ</w:t>
      </w:r>
      <w:r w:rsidRPr="00563AE6">
        <w:rPr>
          <w:rFonts w:ascii="KFGQPC Uthmanic Script HAFS" w:cs="KFGQPC Uthmanic Script HAFS"/>
          <w:sz w:val="23"/>
          <w:szCs w:val="23"/>
          <w:rtl/>
        </w:rPr>
        <w:t xml:space="preserve"> </w:t>
      </w:r>
      <w:r w:rsidRPr="00563AE6">
        <w:rPr>
          <w:rFonts w:ascii="KFGQPC Uthmanic Script HAFS" w:cs="KFGQPC Uthmanic Script HAFS" w:hint="eastAsia"/>
          <w:sz w:val="23"/>
          <w:szCs w:val="23"/>
          <w:rtl/>
        </w:rPr>
        <w:t>إِن</w:t>
      </w:r>
      <w:r w:rsidRPr="00563AE6">
        <w:rPr>
          <w:rFonts w:ascii="KFGQPC Uthmanic Script HAFS" w:cs="KFGQPC Uthmanic Script HAFS" w:hint="cs"/>
          <w:sz w:val="23"/>
          <w:szCs w:val="23"/>
          <w:rtl/>
        </w:rPr>
        <w:t>ۡ</w:t>
      </w:r>
      <w:r w:rsidRPr="00563AE6">
        <w:rPr>
          <w:rFonts w:ascii="KFGQPC Uthmanic Script HAFS" w:cs="KFGQPC Uthmanic Script HAFS"/>
          <w:sz w:val="23"/>
          <w:szCs w:val="23"/>
          <w:rtl/>
        </w:rPr>
        <w:t xml:space="preserve"> </w:t>
      </w:r>
      <w:r w:rsidRPr="00563AE6">
        <w:rPr>
          <w:rFonts w:ascii="KFGQPC Uthmanic Script HAFS" w:cs="KFGQPC Uthmanic Script HAFS" w:hint="eastAsia"/>
          <w:sz w:val="23"/>
          <w:szCs w:val="23"/>
          <w:rtl/>
        </w:rPr>
        <w:t>هُوَ</w:t>
      </w:r>
      <w:r w:rsidRPr="00563AE6">
        <w:rPr>
          <w:rFonts w:ascii="KFGQPC Uthmanic Script HAFS" w:cs="KFGQPC Uthmanic Script HAFS"/>
          <w:sz w:val="23"/>
          <w:szCs w:val="23"/>
          <w:rtl/>
        </w:rPr>
        <w:t xml:space="preserve"> </w:t>
      </w:r>
      <w:r w:rsidRPr="00563AE6">
        <w:rPr>
          <w:rFonts w:ascii="KFGQPC Uthmanic Script HAFS" w:cs="KFGQPC Uthmanic Script HAFS" w:hint="eastAsia"/>
          <w:sz w:val="23"/>
          <w:szCs w:val="23"/>
          <w:rtl/>
        </w:rPr>
        <w:t>إِلَّا</w:t>
      </w:r>
      <w:r w:rsidRPr="00563AE6">
        <w:rPr>
          <w:rFonts w:ascii="KFGQPC Uthmanic Script HAFS" w:cs="KFGQPC Uthmanic Script HAFS"/>
          <w:sz w:val="23"/>
          <w:szCs w:val="23"/>
          <w:rtl/>
        </w:rPr>
        <w:t xml:space="preserve"> </w:t>
      </w:r>
      <w:r w:rsidRPr="00563AE6">
        <w:rPr>
          <w:rFonts w:ascii="KFGQPC Uthmanic Script HAFS" w:cs="KFGQPC Uthmanic Script HAFS" w:hint="eastAsia"/>
          <w:sz w:val="23"/>
          <w:szCs w:val="23"/>
          <w:rtl/>
        </w:rPr>
        <w:t>ذِك</w:t>
      </w:r>
      <w:r w:rsidRPr="00563AE6">
        <w:rPr>
          <w:rFonts w:ascii="KFGQPC Uthmanic Script HAFS" w:cs="KFGQPC Uthmanic Script HAFS" w:hint="cs"/>
          <w:sz w:val="23"/>
          <w:szCs w:val="23"/>
          <w:rtl/>
        </w:rPr>
        <w:t>ۡ</w:t>
      </w:r>
      <w:r w:rsidRPr="00563AE6">
        <w:rPr>
          <w:rFonts w:ascii="KFGQPC Uthmanic Script HAFS" w:cs="KFGQPC Uthmanic Script HAFS" w:hint="eastAsia"/>
          <w:sz w:val="23"/>
          <w:szCs w:val="23"/>
          <w:rtl/>
        </w:rPr>
        <w:t>ر</w:t>
      </w:r>
      <w:r w:rsidRPr="00563AE6">
        <w:rPr>
          <w:rFonts w:ascii="KFGQPC Uthmanic Script HAFS" w:cs="KFGQPC Uthmanic Script HAFS" w:hint="cs"/>
          <w:sz w:val="23"/>
          <w:szCs w:val="23"/>
          <w:rtl/>
        </w:rPr>
        <w:t>ٞ</w:t>
      </w:r>
      <w:r w:rsidRPr="00563AE6">
        <w:rPr>
          <w:rFonts w:ascii="KFGQPC Uthmanic Script HAFS" w:cs="KFGQPC Uthmanic Script HAFS"/>
          <w:sz w:val="23"/>
          <w:szCs w:val="23"/>
          <w:rtl/>
        </w:rPr>
        <w:t xml:space="preserve"> </w:t>
      </w:r>
      <w:r w:rsidRPr="00563AE6">
        <w:rPr>
          <w:rFonts w:ascii="KFGQPC Uthmanic Script HAFS" w:cs="KFGQPC Uthmanic Script HAFS" w:hint="eastAsia"/>
          <w:sz w:val="23"/>
          <w:szCs w:val="23"/>
          <w:rtl/>
        </w:rPr>
        <w:t>وَقُر</w:t>
      </w:r>
      <w:r w:rsidRPr="00563AE6">
        <w:rPr>
          <w:rFonts w:ascii="KFGQPC Uthmanic Script HAFS" w:cs="KFGQPC Uthmanic Script HAFS" w:hint="cs"/>
          <w:sz w:val="23"/>
          <w:szCs w:val="23"/>
          <w:rtl/>
        </w:rPr>
        <w:t>ۡ</w:t>
      </w:r>
      <w:r w:rsidRPr="00563AE6">
        <w:rPr>
          <w:rFonts w:ascii="KFGQPC Uthmanic Script HAFS" w:cs="KFGQPC Uthmanic Script HAFS" w:hint="eastAsia"/>
          <w:sz w:val="23"/>
          <w:szCs w:val="23"/>
          <w:rtl/>
        </w:rPr>
        <w:t>ءَان</w:t>
      </w:r>
      <w:r w:rsidRPr="00563AE6">
        <w:rPr>
          <w:rFonts w:ascii="KFGQPC Uthmanic Script HAFS" w:cs="KFGQPC Uthmanic Script HAFS" w:hint="cs"/>
          <w:sz w:val="23"/>
          <w:szCs w:val="23"/>
          <w:rtl/>
        </w:rPr>
        <w:t>ٞ</w:t>
      </w:r>
      <w:r w:rsidRPr="00563AE6">
        <w:rPr>
          <w:rFonts w:ascii="KFGQPC Uthmanic Script HAFS" w:cs="KFGQPC Uthmanic Script HAFS"/>
          <w:sz w:val="23"/>
          <w:szCs w:val="23"/>
          <w:rtl/>
        </w:rPr>
        <w:t xml:space="preserve"> </w:t>
      </w:r>
      <w:r w:rsidRPr="00563AE6">
        <w:rPr>
          <w:rFonts w:ascii="KFGQPC Uthmanic Script HAFS" w:cs="KFGQPC Uthmanic Script HAFS" w:hint="eastAsia"/>
          <w:sz w:val="23"/>
          <w:szCs w:val="23"/>
          <w:rtl/>
        </w:rPr>
        <w:t>مُّبِين</w:t>
      </w:r>
      <w:r w:rsidRPr="00563AE6">
        <w:rPr>
          <w:rFonts w:ascii="KFGQPC Uthmanic Script HAFS" w:cs="KFGQPC Uthmanic Script HAFS" w:hint="cs"/>
          <w:sz w:val="23"/>
          <w:szCs w:val="23"/>
          <w:rtl/>
        </w:rPr>
        <w:t>ٞ</w:t>
      </w:r>
      <w:r w:rsidRPr="00563AE6">
        <w:rPr>
          <w:rFonts w:ascii="KFGQPC Uthmanic Script HAFS" w:cs="KFGQPC Uthmanic Script HAFS"/>
          <w:sz w:val="23"/>
          <w:szCs w:val="23"/>
          <w:rtl/>
        </w:rPr>
        <w:t xml:space="preserve"> </w:t>
      </w:r>
      <w:r w:rsidRPr="00563AE6">
        <w:rPr>
          <w:rFonts w:ascii="KFGQPC Uthmanic Script HAFS" w:cs="KFGQPC Uthmanic Script HAFS" w:hint="cs"/>
          <w:sz w:val="23"/>
          <w:szCs w:val="23"/>
          <w:rtl/>
        </w:rPr>
        <w:t>٦٩</w:t>
      </w:r>
      <w:r w:rsidRPr="00563AE6">
        <w:rPr>
          <w:rFonts w:cs="Traditional Arabic" w:hint="cs"/>
          <w:sz w:val="23"/>
          <w:szCs w:val="23"/>
          <w:rtl/>
        </w:rPr>
        <w:t>﴾</w:t>
      </w:r>
      <w:r w:rsidRPr="00563AE6">
        <w:rPr>
          <w:rFonts w:cs="mylotus"/>
          <w:sz w:val="23"/>
          <w:szCs w:val="23"/>
          <w:rtl/>
        </w:rPr>
        <w:t xml:space="preserve"> [يس</w:t>
      </w:r>
      <w:r w:rsidRPr="00563AE6">
        <w:rPr>
          <w:rFonts w:cs="mylotus" w:hint="cs"/>
          <w:sz w:val="23"/>
          <w:szCs w:val="23"/>
          <w:rtl/>
        </w:rPr>
        <w:t xml:space="preserve">: </w:t>
      </w:r>
      <w:r w:rsidRPr="00563AE6">
        <w:rPr>
          <w:rFonts w:cs="mylotus"/>
          <w:sz w:val="23"/>
          <w:szCs w:val="23"/>
          <w:rtl/>
        </w:rPr>
        <w:t xml:space="preserve">69]. </w:t>
      </w:r>
    </w:p>
    <w:p w:rsidR="00B31118" w:rsidRPr="00563AE6" w:rsidRDefault="00B31118" w:rsidP="00B300C9">
      <w:pPr>
        <w:spacing w:line="228" w:lineRule="auto"/>
        <w:ind w:left="378"/>
        <w:jc w:val="both"/>
        <w:rPr>
          <w:rFonts w:cs="mylotus" w:hint="cs"/>
          <w:sz w:val="23"/>
          <w:szCs w:val="23"/>
          <w:rtl/>
        </w:rPr>
      </w:pPr>
      <w:r w:rsidRPr="00563AE6">
        <w:rPr>
          <w:rFonts w:cs="mylotus"/>
          <w:sz w:val="23"/>
          <w:szCs w:val="23"/>
          <w:rtl/>
        </w:rPr>
        <w:t>السادس: أن يخلع لأمة الحرب [أي درع القتال] بعد لبسه كما قال قبيل معركة أحد عندما كان رأيه البقاء في المدينة والتحص</w:t>
      </w:r>
      <w:r w:rsidRPr="00563AE6">
        <w:rPr>
          <w:rFonts w:cs="mylotus" w:hint="cs"/>
          <w:sz w:val="23"/>
          <w:szCs w:val="23"/>
          <w:rtl/>
        </w:rPr>
        <w:t>ُّ</w:t>
      </w:r>
      <w:r w:rsidRPr="00563AE6">
        <w:rPr>
          <w:rFonts w:cs="mylotus"/>
          <w:sz w:val="23"/>
          <w:szCs w:val="23"/>
          <w:rtl/>
        </w:rPr>
        <w:t xml:space="preserve">ن فيها لكن أكثر أصحابه فضلوا الخروج فنزل عند رأيهم ولبس عدة الحرب القتال فندم أصحابه ورجعوا إليه وأرادوه أن يعمل برأيه في البقاء في المدينة فقال </w:t>
      </w:r>
      <w:r w:rsidRPr="003C7AEB">
        <w:rPr>
          <w:rFonts w:ascii="Abo-thar" w:hAnsi="Abo-thar" w:cs="CTraditional Arabic"/>
          <w:sz w:val="23"/>
          <w:szCs w:val="23"/>
          <w:rtl/>
        </w:rPr>
        <w:t>ص</w:t>
      </w:r>
      <w:r w:rsidRPr="00563AE6">
        <w:rPr>
          <w:rFonts w:cs="mylotus"/>
          <w:sz w:val="23"/>
          <w:szCs w:val="23"/>
          <w:rtl/>
        </w:rPr>
        <w:t>: «لاَ يَنْبَغِ</w:t>
      </w:r>
      <w:r w:rsidRPr="00563AE6">
        <w:rPr>
          <w:rFonts w:cs="mylotus" w:hint="cs"/>
          <w:sz w:val="23"/>
          <w:szCs w:val="23"/>
          <w:rtl/>
        </w:rPr>
        <w:t>ي</w:t>
      </w:r>
      <w:r w:rsidRPr="00563AE6">
        <w:rPr>
          <w:rFonts w:cs="mylotus"/>
          <w:sz w:val="23"/>
          <w:szCs w:val="23"/>
          <w:rtl/>
        </w:rPr>
        <w:t xml:space="preserve"> لِنَبِ</w:t>
      </w:r>
      <w:r w:rsidRPr="00563AE6">
        <w:rPr>
          <w:rFonts w:cs="mylotus" w:hint="cs"/>
          <w:sz w:val="23"/>
          <w:szCs w:val="23"/>
          <w:rtl/>
        </w:rPr>
        <w:t>يٍّ</w:t>
      </w:r>
      <w:r w:rsidRPr="00563AE6">
        <w:rPr>
          <w:rFonts w:cs="mylotus"/>
          <w:sz w:val="23"/>
          <w:szCs w:val="23"/>
          <w:rtl/>
        </w:rPr>
        <w:t xml:space="preserve"> إِذَا أَخَذَ لأْمَةَ الْحرْبِ وَأَذَّنَ فِي النَّاسِ بِالخُرُوجِ إِلَى الْعَدُوِّ أَنْ يَرْجِعَ حَتَّى يُقَاتِلَ» [سنن البيهقي: 7، 40]. </w:t>
      </w:r>
    </w:p>
    <w:p w:rsidR="00B31118" w:rsidRPr="00563AE6" w:rsidRDefault="00B31118" w:rsidP="00B300C9">
      <w:pPr>
        <w:spacing w:line="228" w:lineRule="auto"/>
        <w:ind w:left="378"/>
        <w:jc w:val="both"/>
        <w:rPr>
          <w:rFonts w:cs="mylotus" w:hint="cs"/>
          <w:sz w:val="23"/>
          <w:szCs w:val="23"/>
          <w:rtl/>
        </w:rPr>
      </w:pPr>
      <w:r w:rsidRPr="00563AE6">
        <w:rPr>
          <w:rFonts w:cs="mylotus"/>
          <w:sz w:val="23"/>
          <w:szCs w:val="23"/>
          <w:rtl/>
        </w:rPr>
        <w:t>السابع: الالتفات إلى زخارف الدنيا كما تدل عليه الآية المباركة:</w:t>
      </w:r>
      <w:r w:rsidRPr="00563AE6">
        <w:rPr>
          <w:rFonts w:cs="mylotus" w:hint="cs"/>
          <w:sz w:val="23"/>
          <w:szCs w:val="23"/>
          <w:rtl/>
        </w:rPr>
        <w:t xml:space="preserve"> </w:t>
      </w:r>
      <w:r w:rsidRPr="00563AE6">
        <w:rPr>
          <w:rFonts w:cs="Traditional Arabic" w:hint="cs"/>
          <w:sz w:val="23"/>
          <w:szCs w:val="23"/>
          <w:rtl/>
        </w:rPr>
        <w:t>﴿</w:t>
      </w:r>
      <w:r w:rsidRPr="00563AE6">
        <w:rPr>
          <w:rFonts w:ascii="KFGQPC Uthmanic Script HAFS" w:cs="KFGQPC Uthmanic Script HAFS" w:hint="eastAsia"/>
          <w:sz w:val="23"/>
          <w:szCs w:val="23"/>
          <w:rtl/>
        </w:rPr>
        <w:t>وَلَا</w:t>
      </w:r>
      <w:r w:rsidRPr="00563AE6">
        <w:rPr>
          <w:rFonts w:ascii="KFGQPC Uthmanic Script HAFS" w:cs="KFGQPC Uthmanic Script HAFS"/>
          <w:sz w:val="23"/>
          <w:szCs w:val="23"/>
          <w:rtl/>
        </w:rPr>
        <w:t xml:space="preserve"> </w:t>
      </w:r>
      <w:r w:rsidRPr="00563AE6">
        <w:rPr>
          <w:rFonts w:ascii="KFGQPC Uthmanic Script HAFS" w:cs="KFGQPC Uthmanic Script HAFS" w:hint="eastAsia"/>
          <w:sz w:val="23"/>
          <w:szCs w:val="23"/>
          <w:rtl/>
        </w:rPr>
        <w:t>تَمُدَّنَّ</w:t>
      </w:r>
      <w:r w:rsidRPr="00563AE6">
        <w:rPr>
          <w:rFonts w:ascii="KFGQPC Uthmanic Script HAFS" w:cs="KFGQPC Uthmanic Script HAFS"/>
          <w:sz w:val="23"/>
          <w:szCs w:val="23"/>
          <w:rtl/>
        </w:rPr>
        <w:t xml:space="preserve"> </w:t>
      </w:r>
      <w:r w:rsidRPr="00563AE6">
        <w:rPr>
          <w:rFonts w:ascii="KFGQPC Uthmanic Script HAFS" w:cs="KFGQPC Uthmanic Script HAFS" w:hint="eastAsia"/>
          <w:sz w:val="23"/>
          <w:szCs w:val="23"/>
          <w:rtl/>
        </w:rPr>
        <w:t>عَي</w:t>
      </w:r>
      <w:r w:rsidRPr="00563AE6">
        <w:rPr>
          <w:rFonts w:ascii="KFGQPC Uthmanic Script HAFS" w:cs="KFGQPC Uthmanic Script HAFS" w:hint="cs"/>
          <w:sz w:val="23"/>
          <w:szCs w:val="23"/>
          <w:rtl/>
        </w:rPr>
        <w:t>ۡ</w:t>
      </w:r>
      <w:r w:rsidRPr="00563AE6">
        <w:rPr>
          <w:rFonts w:ascii="KFGQPC Uthmanic Script HAFS" w:cs="KFGQPC Uthmanic Script HAFS" w:hint="eastAsia"/>
          <w:sz w:val="23"/>
          <w:szCs w:val="23"/>
          <w:rtl/>
        </w:rPr>
        <w:t>نَي</w:t>
      </w:r>
      <w:r w:rsidRPr="00563AE6">
        <w:rPr>
          <w:rFonts w:ascii="KFGQPC Uthmanic Script HAFS" w:cs="KFGQPC Uthmanic Script HAFS" w:hint="cs"/>
          <w:sz w:val="23"/>
          <w:szCs w:val="23"/>
          <w:rtl/>
        </w:rPr>
        <w:t>ۡ</w:t>
      </w:r>
      <w:r w:rsidRPr="00563AE6">
        <w:rPr>
          <w:rFonts w:ascii="KFGQPC Uthmanic Script HAFS" w:cs="KFGQPC Uthmanic Script HAFS" w:hint="eastAsia"/>
          <w:sz w:val="23"/>
          <w:szCs w:val="23"/>
          <w:rtl/>
        </w:rPr>
        <w:t>كَ</w:t>
      </w:r>
      <w:r w:rsidRPr="00563AE6">
        <w:rPr>
          <w:rFonts w:ascii="KFGQPC Uthmanic Script HAFS" w:cs="KFGQPC Uthmanic Script HAFS"/>
          <w:sz w:val="23"/>
          <w:szCs w:val="23"/>
          <w:rtl/>
        </w:rPr>
        <w:t xml:space="preserve"> </w:t>
      </w:r>
      <w:r w:rsidRPr="00563AE6">
        <w:rPr>
          <w:rFonts w:ascii="KFGQPC Uthmanic Script HAFS" w:cs="KFGQPC Uthmanic Script HAFS" w:hint="eastAsia"/>
          <w:sz w:val="23"/>
          <w:szCs w:val="23"/>
          <w:rtl/>
        </w:rPr>
        <w:t>إِلَى</w:t>
      </w:r>
      <w:r w:rsidRPr="00563AE6">
        <w:rPr>
          <w:rFonts w:ascii="KFGQPC Uthmanic Script HAFS" w:cs="KFGQPC Uthmanic Script HAFS" w:hint="cs"/>
          <w:sz w:val="23"/>
          <w:szCs w:val="23"/>
          <w:rtl/>
        </w:rPr>
        <w:t>ٰ</w:t>
      </w:r>
      <w:r w:rsidRPr="00563AE6">
        <w:rPr>
          <w:rFonts w:ascii="KFGQPC Uthmanic Script HAFS" w:cs="KFGQPC Uthmanic Script HAFS"/>
          <w:sz w:val="23"/>
          <w:szCs w:val="23"/>
          <w:rtl/>
        </w:rPr>
        <w:t xml:space="preserve"> </w:t>
      </w:r>
      <w:r w:rsidRPr="00563AE6">
        <w:rPr>
          <w:rFonts w:ascii="KFGQPC Uthmanic Script HAFS" w:cs="KFGQPC Uthmanic Script HAFS" w:hint="eastAsia"/>
          <w:sz w:val="23"/>
          <w:szCs w:val="23"/>
          <w:rtl/>
        </w:rPr>
        <w:t>مَا</w:t>
      </w:r>
      <w:r w:rsidRPr="00563AE6">
        <w:rPr>
          <w:rFonts w:ascii="KFGQPC Uthmanic Script HAFS" w:cs="KFGQPC Uthmanic Script HAFS"/>
          <w:sz w:val="23"/>
          <w:szCs w:val="23"/>
          <w:rtl/>
        </w:rPr>
        <w:t xml:space="preserve"> </w:t>
      </w:r>
      <w:r w:rsidRPr="00563AE6">
        <w:rPr>
          <w:rFonts w:ascii="KFGQPC Uthmanic Script HAFS" w:cs="KFGQPC Uthmanic Script HAFS" w:hint="eastAsia"/>
          <w:sz w:val="23"/>
          <w:szCs w:val="23"/>
          <w:rtl/>
        </w:rPr>
        <w:t>مَتَّع</w:t>
      </w:r>
      <w:r w:rsidRPr="00563AE6">
        <w:rPr>
          <w:rFonts w:ascii="KFGQPC Uthmanic Script HAFS" w:cs="KFGQPC Uthmanic Script HAFS" w:hint="cs"/>
          <w:sz w:val="23"/>
          <w:szCs w:val="23"/>
          <w:rtl/>
        </w:rPr>
        <w:t>ۡ</w:t>
      </w:r>
      <w:r w:rsidRPr="00563AE6">
        <w:rPr>
          <w:rFonts w:ascii="KFGQPC Uthmanic Script HAFS" w:cs="KFGQPC Uthmanic Script HAFS" w:hint="eastAsia"/>
          <w:sz w:val="23"/>
          <w:szCs w:val="23"/>
          <w:rtl/>
        </w:rPr>
        <w:t>نَا</w:t>
      </w:r>
      <w:r w:rsidRPr="00563AE6">
        <w:rPr>
          <w:rFonts w:ascii="KFGQPC Uthmanic Script HAFS" w:cs="KFGQPC Uthmanic Script HAFS"/>
          <w:sz w:val="23"/>
          <w:szCs w:val="23"/>
          <w:rtl/>
        </w:rPr>
        <w:t xml:space="preserve"> </w:t>
      </w:r>
      <w:r w:rsidRPr="00563AE6">
        <w:rPr>
          <w:rFonts w:ascii="KFGQPC Uthmanic Script HAFS" w:cs="KFGQPC Uthmanic Script HAFS" w:hint="eastAsia"/>
          <w:sz w:val="23"/>
          <w:szCs w:val="23"/>
          <w:rtl/>
        </w:rPr>
        <w:t>بِهِ</w:t>
      </w:r>
      <w:r w:rsidRPr="00563AE6">
        <w:rPr>
          <w:rFonts w:ascii="KFGQPC Uthmanic Script HAFS" w:cs="KFGQPC Uthmanic Script HAFS" w:hint="cs"/>
          <w:sz w:val="23"/>
          <w:szCs w:val="23"/>
          <w:rtl/>
        </w:rPr>
        <w:t>ۦٓ</w:t>
      </w:r>
      <w:r w:rsidRPr="00563AE6">
        <w:rPr>
          <w:rFonts w:ascii="KFGQPC Uthmanic Script HAFS" w:cs="KFGQPC Uthmanic Script HAFS"/>
          <w:sz w:val="23"/>
          <w:szCs w:val="23"/>
          <w:rtl/>
        </w:rPr>
        <w:t xml:space="preserve"> </w:t>
      </w:r>
      <w:r w:rsidRPr="00563AE6">
        <w:rPr>
          <w:rFonts w:ascii="KFGQPC Uthmanic Script HAFS" w:cs="KFGQPC Uthmanic Script HAFS" w:hint="eastAsia"/>
          <w:sz w:val="23"/>
          <w:szCs w:val="23"/>
          <w:rtl/>
        </w:rPr>
        <w:t>أَز</w:t>
      </w:r>
      <w:r w:rsidRPr="00563AE6">
        <w:rPr>
          <w:rFonts w:ascii="KFGQPC Uthmanic Script HAFS" w:cs="KFGQPC Uthmanic Script HAFS" w:hint="cs"/>
          <w:sz w:val="23"/>
          <w:szCs w:val="23"/>
          <w:rtl/>
        </w:rPr>
        <w:t>ۡ</w:t>
      </w:r>
      <w:r w:rsidRPr="00563AE6">
        <w:rPr>
          <w:rFonts w:ascii="KFGQPC Uthmanic Script HAFS" w:cs="KFGQPC Uthmanic Script HAFS" w:hint="eastAsia"/>
          <w:sz w:val="23"/>
          <w:szCs w:val="23"/>
          <w:rtl/>
        </w:rPr>
        <w:t>وَ</w:t>
      </w:r>
      <w:r w:rsidRPr="00563AE6">
        <w:rPr>
          <w:rFonts w:ascii="KFGQPC Uthmanic Script HAFS" w:cs="KFGQPC Uthmanic Script HAFS" w:hint="cs"/>
          <w:sz w:val="23"/>
          <w:szCs w:val="23"/>
          <w:rtl/>
        </w:rPr>
        <w:t>ٰ</w:t>
      </w:r>
      <w:r w:rsidRPr="00563AE6">
        <w:rPr>
          <w:rFonts w:ascii="KFGQPC Uthmanic Script HAFS" w:cs="KFGQPC Uthmanic Script HAFS" w:hint="eastAsia"/>
          <w:sz w:val="23"/>
          <w:szCs w:val="23"/>
          <w:rtl/>
        </w:rPr>
        <w:t>ج</w:t>
      </w:r>
      <w:r w:rsidRPr="00563AE6">
        <w:rPr>
          <w:rFonts w:ascii="KFGQPC Uthmanic Script HAFS" w:cs="KFGQPC Uthmanic Script HAFS" w:hint="cs"/>
          <w:sz w:val="23"/>
          <w:szCs w:val="23"/>
          <w:rtl/>
        </w:rPr>
        <w:t>ٗ</w:t>
      </w:r>
      <w:r w:rsidRPr="00563AE6">
        <w:rPr>
          <w:rFonts w:ascii="KFGQPC Uthmanic Script HAFS" w:cs="KFGQPC Uthmanic Script HAFS" w:hint="eastAsia"/>
          <w:sz w:val="23"/>
          <w:szCs w:val="23"/>
          <w:rtl/>
        </w:rPr>
        <w:t>ا</w:t>
      </w:r>
      <w:r w:rsidRPr="00563AE6">
        <w:rPr>
          <w:rFonts w:ascii="KFGQPC Uthmanic Script HAFS" w:cs="KFGQPC Uthmanic Script HAFS"/>
          <w:sz w:val="23"/>
          <w:szCs w:val="23"/>
          <w:rtl/>
        </w:rPr>
        <w:t xml:space="preserve"> </w:t>
      </w:r>
      <w:r w:rsidRPr="00563AE6">
        <w:rPr>
          <w:rFonts w:ascii="KFGQPC Uthmanic Script HAFS" w:cs="KFGQPC Uthmanic Script HAFS" w:hint="eastAsia"/>
          <w:sz w:val="23"/>
          <w:szCs w:val="23"/>
          <w:rtl/>
        </w:rPr>
        <w:t>مِّن</w:t>
      </w:r>
      <w:r w:rsidRPr="00563AE6">
        <w:rPr>
          <w:rFonts w:ascii="KFGQPC Uthmanic Script HAFS" w:cs="KFGQPC Uthmanic Script HAFS" w:hint="cs"/>
          <w:sz w:val="23"/>
          <w:szCs w:val="23"/>
          <w:rtl/>
        </w:rPr>
        <w:t>ۡ</w:t>
      </w:r>
      <w:r w:rsidRPr="00563AE6">
        <w:rPr>
          <w:rFonts w:ascii="KFGQPC Uthmanic Script HAFS" w:cs="KFGQPC Uthmanic Script HAFS" w:hint="eastAsia"/>
          <w:sz w:val="23"/>
          <w:szCs w:val="23"/>
          <w:rtl/>
        </w:rPr>
        <w:t>هُم</w:t>
      </w:r>
      <w:r w:rsidRPr="00563AE6">
        <w:rPr>
          <w:rFonts w:ascii="KFGQPC Uthmanic Script HAFS" w:cs="KFGQPC Uthmanic Script HAFS" w:hint="cs"/>
          <w:sz w:val="23"/>
          <w:szCs w:val="23"/>
          <w:rtl/>
        </w:rPr>
        <w:t>ۡ</w:t>
      </w:r>
      <w:r w:rsidRPr="00563AE6">
        <w:rPr>
          <w:rFonts w:ascii="KFGQPC Uthmanic Script HAFS" w:cs="KFGQPC Uthmanic Script HAFS"/>
          <w:sz w:val="23"/>
          <w:szCs w:val="23"/>
          <w:rtl/>
        </w:rPr>
        <w:t xml:space="preserve"> </w:t>
      </w:r>
      <w:r w:rsidRPr="00563AE6">
        <w:rPr>
          <w:rFonts w:ascii="KFGQPC Uthmanic Script HAFS" w:cs="KFGQPC Uthmanic Script HAFS" w:hint="eastAsia"/>
          <w:sz w:val="23"/>
          <w:szCs w:val="23"/>
          <w:rtl/>
        </w:rPr>
        <w:t>زَه</w:t>
      </w:r>
      <w:r w:rsidRPr="00563AE6">
        <w:rPr>
          <w:rFonts w:ascii="KFGQPC Uthmanic Script HAFS" w:cs="KFGQPC Uthmanic Script HAFS" w:hint="cs"/>
          <w:sz w:val="23"/>
          <w:szCs w:val="23"/>
          <w:rtl/>
        </w:rPr>
        <w:t>ۡ</w:t>
      </w:r>
      <w:r w:rsidRPr="00563AE6">
        <w:rPr>
          <w:rFonts w:ascii="KFGQPC Uthmanic Script HAFS" w:cs="KFGQPC Uthmanic Script HAFS" w:hint="eastAsia"/>
          <w:sz w:val="23"/>
          <w:szCs w:val="23"/>
          <w:rtl/>
        </w:rPr>
        <w:t>رَةَ</w:t>
      </w:r>
      <w:r w:rsidRPr="00563AE6">
        <w:rPr>
          <w:rFonts w:ascii="KFGQPC Uthmanic Script HAFS" w:cs="KFGQPC Uthmanic Script HAFS"/>
          <w:sz w:val="23"/>
          <w:szCs w:val="23"/>
          <w:rtl/>
        </w:rPr>
        <w:t xml:space="preserve"> </w:t>
      </w:r>
      <w:r w:rsidRPr="00563AE6">
        <w:rPr>
          <w:rFonts w:ascii="KFGQPC Uthmanic Script HAFS" w:cs="KFGQPC Uthmanic Script HAFS" w:hint="cs"/>
          <w:sz w:val="23"/>
          <w:szCs w:val="23"/>
          <w:rtl/>
        </w:rPr>
        <w:t>ٱ</w:t>
      </w:r>
      <w:r w:rsidRPr="00563AE6">
        <w:rPr>
          <w:rFonts w:ascii="KFGQPC Uthmanic Script HAFS" w:cs="KFGQPC Uthmanic Script HAFS" w:hint="eastAsia"/>
          <w:sz w:val="23"/>
          <w:szCs w:val="23"/>
          <w:rtl/>
        </w:rPr>
        <w:t>ل</w:t>
      </w:r>
      <w:r w:rsidRPr="00563AE6">
        <w:rPr>
          <w:rFonts w:ascii="KFGQPC Uthmanic Script HAFS" w:cs="KFGQPC Uthmanic Script HAFS" w:hint="cs"/>
          <w:sz w:val="23"/>
          <w:szCs w:val="23"/>
          <w:rtl/>
        </w:rPr>
        <w:t>ۡ</w:t>
      </w:r>
      <w:r w:rsidRPr="00563AE6">
        <w:rPr>
          <w:rFonts w:ascii="KFGQPC Uthmanic Script HAFS" w:cs="KFGQPC Uthmanic Script HAFS" w:hint="eastAsia"/>
          <w:sz w:val="23"/>
          <w:szCs w:val="23"/>
          <w:rtl/>
        </w:rPr>
        <w:t>حَيَو</w:t>
      </w:r>
      <w:r w:rsidRPr="00563AE6">
        <w:rPr>
          <w:rFonts w:ascii="KFGQPC Uthmanic Script HAFS" w:cs="KFGQPC Uthmanic Script HAFS" w:hint="cs"/>
          <w:sz w:val="23"/>
          <w:szCs w:val="23"/>
          <w:rtl/>
        </w:rPr>
        <w:t>ٰ</w:t>
      </w:r>
      <w:r w:rsidRPr="00563AE6">
        <w:rPr>
          <w:rFonts w:ascii="KFGQPC Uthmanic Script HAFS" w:cs="KFGQPC Uthmanic Script HAFS" w:hint="eastAsia"/>
          <w:sz w:val="23"/>
          <w:szCs w:val="23"/>
          <w:rtl/>
        </w:rPr>
        <w:t>ةِ</w:t>
      </w:r>
      <w:r w:rsidRPr="00563AE6">
        <w:rPr>
          <w:rFonts w:ascii="KFGQPC Uthmanic Script HAFS" w:cs="KFGQPC Uthmanic Script HAFS"/>
          <w:sz w:val="23"/>
          <w:szCs w:val="23"/>
          <w:rtl/>
        </w:rPr>
        <w:t xml:space="preserve"> </w:t>
      </w:r>
      <w:r w:rsidRPr="00563AE6">
        <w:rPr>
          <w:rFonts w:ascii="KFGQPC Uthmanic Script HAFS" w:cs="KFGQPC Uthmanic Script HAFS" w:hint="cs"/>
          <w:sz w:val="23"/>
          <w:szCs w:val="23"/>
          <w:rtl/>
        </w:rPr>
        <w:t>ٱ</w:t>
      </w:r>
      <w:r w:rsidRPr="00563AE6">
        <w:rPr>
          <w:rFonts w:ascii="KFGQPC Uthmanic Script HAFS" w:cs="KFGQPC Uthmanic Script HAFS" w:hint="eastAsia"/>
          <w:sz w:val="23"/>
          <w:szCs w:val="23"/>
          <w:rtl/>
        </w:rPr>
        <w:t>لدُّن</w:t>
      </w:r>
      <w:r w:rsidRPr="00563AE6">
        <w:rPr>
          <w:rFonts w:ascii="KFGQPC Uthmanic Script HAFS" w:cs="KFGQPC Uthmanic Script HAFS" w:hint="cs"/>
          <w:sz w:val="23"/>
          <w:szCs w:val="23"/>
          <w:rtl/>
        </w:rPr>
        <w:t>ۡ</w:t>
      </w:r>
      <w:r w:rsidRPr="00563AE6">
        <w:rPr>
          <w:rFonts w:ascii="KFGQPC Uthmanic Script HAFS" w:cs="KFGQPC Uthmanic Script HAFS" w:hint="eastAsia"/>
          <w:sz w:val="23"/>
          <w:szCs w:val="23"/>
          <w:rtl/>
        </w:rPr>
        <w:t>يَا</w:t>
      </w:r>
      <w:r w:rsidRPr="00563AE6">
        <w:rPr>
          <w:rFonts w:cs="Traditional Arabic" w:hint="cs"/>
          <w:sz w:val="23"/>
          <w:szCs w:val="23"/>
          <w:rtl/>
        </w:rPr>
        <w:t>﴾</w:t>
      </w:r>
      <w:r w:rsidRPr="00563AE6">
        <w:rPr>
          <w:rFonts w:cs="mylotus"/>
          <w:sz w:val="23"/>
          <w:szCs w:val="23"/>
          <w:rtl/>
        </w:rPr>
        <w:t xml:space="preserve"> [طه</w:t>
      </w:r>
      <w:r w:rsidRPr="00563AE6">
        <w:rPr>
          <w:rFonts w:cs="mylotus" w:hint="cs"/>
          <w:sz w:val="23"/>
          <w:szCs w:val="23"/>
          <w:rtl/>
        </w:rPr>
        <w:t xml:space="preserve">: </w:t>
      </w:r>
      <w:r w:rsidRPr="00563AE6">
        <w:rPr>
          <w:rFonts w:cs="mylotus"/>
          <w:sz w:val="23"/>
          <w:szCs w:val="23"/>
          <w:rtl/>
        </w:rPr>
        <w:t xml:space="preserve">131]. </w:t>
      </w:r>
    </w:p>
    <w:p w:rsidR="00B31118" w:rsidRPr="00563AE6" w:rsidRDefault="00B31118" w:rsidP="00B300C9">
      <w:pPr>
        <w:spacing w:line="228" w:lineRule="auto"/>
        <w:ind w:left="378"/>
        <w:jc w:val="both"/>
        <w:rPr>
          <w:rFonts w:cs="mylotus" w:hint="cs"/>
          <w:sz w:val="23"/>
          <w:szCs w:val="23"/>
          <w:rtl/>
        </w:rPr>
      </w:pPr>
      <w:r w:rsidRPr="00563AE6">
        <w:rPr>
          <w:rFonts w:cs="mylotus"/>
          <w:sz w:val="23"/>
          <w:szCs w:val="23"/>
          <w:rtl/>
        </w:rPr>
        <w:t>الثامن: خائنة الأعين، أي ا</w:t>
      </w:r>
      <w:r w:rsidRPr="00563AE6">
        <w:rPr>
          <w:rFonts w:cs="mylotus" w:hint="cs"/>
          <w:sz w:val="23"/>
          <w:szCs w:val="23"/>
          <w:rtl/>
        </w:rPr>
        <w:t>لإ</w:t>
      </w:r>
      <w:r w:rsidRPr="00563AE6">
        <w:rPr>
          <w:rFonts w:cs="mylotus"/>
          <w:sz w:val="23"/>
          <w:szCs w:val="23"/>
          <w:rtl/>
        </w:rPr>
        <w:t xml:space="preserve">شارة بالرأس والعين، كما حصل يوم فتح مكة عندما أهدر النبيُّ </w:t>
      </w:r>
      <w:r w:rsidRPr="003C7AEB">
        <w:rPr>
          <w:rFonts w:ascii="Abo-thar" w:hAnsi="Abo-thar" w:cs="CTraditional Arabic"/>
          <w:sz w:val="23"/>
          <w:szCs w:val="23"/>
          <w:rtl/>
        </w:rPr>
        <w:t>ص</w:t>
      </w:r>
      <w:r w:rsidRPr="00563AE6">
        <w:rPr>
          <w:rFonts w:ascii="Abo-thar" w:hAnsi="Abo-thar" w:cs="mylotus"/>
          <w:sz w:val="23"/>
          <w:szCs w:val="23"/>
          <w:rtl/>
        </w:rPr>
        <w:t xml:space="preserve"> </w:t>
      </w:r>
      <w:r w:rsidRPr="00563AE6">
        <w:rPr>
          <w:rFonts w:cs="mylotus"/>
          <w:sz w:val="23"/>
          <w:szCs w:val="23"/>
          <w:rtl/>
        </w:rPr>
        <w:t>دمَ «عَبْدِ اللهِ بْنِ سَعْدِ بْنِ أَبِى سَرْحٍ»، فجيء به إليه وط</w:t>
      </w:r>
      <w:r w:rsidRPr="00563AE6">
        <w:rPr>
          <w:rFonts w:cs="mylotus" w:hint="cs"/>
          <w:sz w:val="23"/>
          <w:szCs w:val="23"/>
          <w:rtl/>
        </w:rPr>
        <w:t>ُ</w:t>
      </w:r>
      <w:r w:rsidRPr="00563AE6">
        <w:rPr>
          <w:rFonts w:cs="mylotus"/>
          <w:sz w:val="23"/>
          <w:szCs w:val="23"/>
          <w:rtl/>
        </w:rPr>
        <w:t>ل</w:t>
      </w:r>
      <w:r w:rsidRPr="00563AE6">
        <w:rPr>
          <w:rFonts w:cs="mylotus" w:hint="cs"/>
          <w:sz w:val="23"/>
          <w:szCs w:val="23"/>
          <w:rtl/>
        </w:rPr>
        <w:t>ِ</w:t>
      </w:r>
      <w:r w:rsidRPr="00563AE6">
        <w:rPr>
          <w:rFonts w:cs="mylotus"/>
          <w:sz w:val="23"/>
          <w:szCs w:val="23"/>
          <w:rtl/>
        </w:rPr>
        <w:t xml:space="preserve">ب </w:t>
      </w:r>
      <w:r w:rsidRPr="00563AE6">
        <w:rPr>
          <w:rFonts w:cs="mylotus" w:hint="cs"/>
          <w:sz w:val="23"/>
          <w:szCs w:val="23"/>
          <w:rtl/>
        </w:rPr>
        <w:t xml:space="preserve">له </w:t>
      </w:r>
      <w:r w:rsidRPr="00563AE6">
        <w:rPr>
          <w:rFonts w:cs="mylotus"/>
          <w:sz w:val="23"/>
          <w:szCs w:val="23"/>
          <w:rtl/>
        </w:rPr>
        <w:t xml:space="preserve">من رسول الله الأمان </w:t>
      </w:r>
      <w:r w:rsidRPr="00563AE6">
        <w:rPr>
          <w:rFonts w:cs="mylotus" w:hint="cs"/>
          <w:sz w:val="23"/>
          <w:szCs w:val="23"/>
          <w:rtl/>
        </w:rPr>
        <w:t>فتأخر رسول الله عن</w:t>
      </w:r>
      <w:r w:rsidRPr="00563AE6">
        <w:rPr>
          <w:rFonts w:cs="mylotus"/>
          <w:sz w:val="23"/>
          <w:szCs w:val="23"/>
          <w:rtl/>
        </w:rPr>
        <w:t xml:space="preserve"> مبايعته ثم قال: «أَمَا كَانَ فِيكُمْ رَجُلٌ رَشِيدٌ يَقُومُ إِلَى هَذَا حِينَ رَآنِى كَفَفْتُ يَدِ</w:t>
      </w:r>
      <w:r w:rsidRPr="00563AE6">
        <w:rPr>
          <w:rFonts w:cs="mylotus" w:hint="cs"/>
          <w:sz w:val="23"/>
          <w:szCs w:val="23"/>
          <w:rtl/>
        </w:rPr>
        <w:t>ي</w:t>
      </w:r>
      <w:r w:rsidRPr="00563AE6">
        <w:rPr>
          <w:rFonts w:cs="mylotus"/>
          <w:sz w:val="23"/>
          <w:szCs w:val="23"/>
          <w:rtl/>
        </w:rPr>
        <w:t xml:space="preserve"> عَنْ بَيْعَتِهِ فَيَقْتُلُهُ؟». فَقَالُوا: مَا يُدْرِينَا يَا رَسُولَ اللهِ</w:t>
      </w:r>
      <w:r>
        <w:rPr>
          <w:rFonts w:cs="mylotus" w:hint="cs"/>
          <w:sz w:val="23"/>
          <w:szCs w:val="23"/>
          <w:rtl/>
        </w:rPr>
        <w:t>!</w:t>
      </w:r>
      <w:r w:rsidRPr="00563AE6">
        <w:rPr>
          <w:rFonts w:cs="mylotus"/>
          <w:sz w:val="23"/>
          <w:szCs w:val="23"/>
          <w:rtl/>
        </w:rPr>
        <w:t xml:space="preserve"> مَا ف</w:t>
      </w:r>
      <w:r w:rsidRPr="00563AE6">
        <w:rPr>
          <w:rFonts w:cs="mylotus" w:hint="cs"/>
          <w:sz w:val="23"/>
          <w:szCs w:val="23"/>
          <w:rtl/>
        </w:rPr>
        <w:t>ي</w:t>
      </w:r>
      <w:r w:rsidRPr="00563AE6">
        <w:rPr>
          <w:rFonts w:cs="mylotus"/>
          <w:sz w:val="23"/>
          <w:szCs w:val="23"/>
          <w:rtl/>
        </w:rPr>
        <w:t xml:space="preserve"> نَفْسِكَ هَلاَّ أَوْمَأْتَ إِلَيْنَا بِعَيْنِكَ؟ فقَالَ </w:t>
      </w:r>
      <w:r w:rsidRPr="003C7AEB">
        <w:rPr>
          <w:rFonts w:ascii="Abo-thar" w:hAnsi="Abo-thar" w:cs="CTraditional Arabic"/>
          <w:sz w:val="23"/>
          <w:szCs w:val="23"/>
          <w:rtl/>
        </w:rPr>
        <w:t>ص</w:t>
      </w:r>
      <w:r w:rsidRPr="00563AE6">
        <w:rPr>
          <w:rFonts w:ascii="Abo-thar" w:hAnsi="Abo-thar" w:cs="mylotus"/>
          <w:sz w:val="23"/>
          <w:szCs w:val="23"/>
          <w:rtl/>
        </w:rPr>
        <w:t xml:space="preserve"> </w:t>
      </w:r>
      <w:r w:rsidRPr="00563AE6">
        <w:rPr>
          <w:rFonts w:cs="mylotus"/>
          <w:sz w:val="23"/>
          <w:szCs w:val="23"/>
          <w:rtl/>
        </w:rPr>
        <w:t>: «إِنَّهُ لاَ يَنْبَغِ</w:t>
      </w:r>
      <w:r w:rsidRPr="00563AE6">
        <w:rPr>
          <w:rFonts w:cs="mylotus" w:hint="cs"/>
          <w:sz w:val="23"/>
          <w:szCs w:val="23"/>
          <w:rtl/>
        </w:rPr>
        <w:t>ي</w:t>
      </w:r>
      <w:r w:rsidRPr="00563AE6">
        <w:rPr>
          <w:rFonts w:cs="mylotus"/>
          <w:sz w:val="23"/>
          <w:szCs w:val="23"/>
          <w:rtl/>
        </w:rPr>
        <w:t xml:space="preserve"> لِنَبِ</w:t>
      </w:r>
      <w:r w:rsidRPr="00563AE6">
        <w:rPr>
          <w:rFonts w:cs="mylotus" w:hint="cs"/>
          <w:sz w:val="23"/>
          <w:szCs w:val="23"/>
          <w:rtl/>
        </w:rPr>
        <w:t>يٍّ</w:t>
      </w:r>
      <w:r w:rsidRPr="00563AE6">
        <w:rPr>
          <w:rFonts w:cs="mylotus"/>
          <w:sz w:val="23"/>
          <w:szCs w:val="23"/>
          <w:rtl/>
        </w:rPr>
        <w:t xml:space="preserve"> أَنْ تَكُونَ لَهُ خَائِنَةُ الأَعْيُنِ». [سنن البيهقي: 8، 205]. </w:t>
      </w:r>
    </w:p>
    <w:p w:rsidR="00B31118" w:rsidRPr="00563AE6" w:rsidRDefault="00B31118" w:rsidP="00191B46">
      <w:pPr>
        <w:spacing w:line="228" w:lineRule="auto"/>
        <w:ind w:left="378"/>
        <w:jc w:val="both"/>
        <w:rPr>
          <w:rFonts w:cs="mylotus" w:hint="cs"/>
          <w:sz w:val="23"/>
          <w:szCs w:val="23"/>
          <w:rtl/>
        </w:rPr>
      </w:pPr>
      <w:r w:rsidRPr="00563AE6">
        <w:rPr>
          <w:rFonts w:cs="mylotus"/>
          <w:sz w:val="23"/>
          <w:szCs w:val="23"/>
          <w:rtl/>
        </w:rPr>
        <w:t>التاسع: أن يعطي أحداً أو يهديه بقصد أن يأخذ أكثر مما أعطى كما تدل عليه الآية:</w:t>
      </w:r>
      <w:r w:rsidRPr="00563AE6">
        <w:rPr>
          <w:rFonts w:cs="mylotus" w:hint="cs"/>
          <w:sz w:val="23"/>
          <w:szCs w:val="23"/>
          <w:rtl/>
        </w:rPr>
        <w:t xml:space="preserve"> </w:t>
      </w:r>
      <w:r w:rsidRPr="00563AE6">
        <w:rPr>
          <w:rFonts w:cs="Traditional Arabic" w:hint="cs"/>
          <w:sz w:val="23"/>
          <w:szCs w:val="23"/>
          <w:rtl/>
        </w:rPr>
        <w:t>﴿</w:t>
      </w:r>
      <w:r w:rsidRPr="00563AE6">
        <w:rPr>
          <w:rFonts w:ascii="KFGQPC Uthmanic Script HAFS" w:cs="KFGQPC Uthmanic Script HAFS" w:hint="eastAsia"/>
          <w:sz w:val="23"/>
          <w:szCs w:val="23"/>
          <w:rtl/>
        </w:rPr>
        <w:t>وَلَا</w:t>
      </w:r>
      <w:r w:rsidRPr="00563AE6">
        <w:rPr>
          <w:rFonts w:ascii="KFGQPC Uthmanic Script HAFS" w:cs="KFGQPC Uthmanic Script HAFS"/>
          <w:sz w:val="23"/>
          <w:szCs w:val="23"/>
          <w:rtl/>
        </w:rPr>
        <w:t xml:space="preserve"> </w:t>
      </w:r>
      <w:r w:rsidRPr="00563AE6">
        <w:rPr>
          <w:rFonts w:ascii="KFGQPC Uthmanic Script HAFS" w:cs="KFGQPC Uthmanic Script HAFS" w:hint="eastAsia"/>
          <w:sz w:val="23"/>
          <w:szCs w:val="23"/>
          <w:rtl/>
        </w:rPr>
        <w:t>تَم</w:t>
      </w:r>
      <w:r w:rsidRPr="00563AE6">
        <w:rPr>
          <w:rFonts w:ascii="KFGQPC Uthmanic Script HAFS" w:cs="KFGQPC Uthmanic Script HAFS" w:hint="cs"/>
          <w:sz w:val="23"/>
          <w:szCs w:val="23"/>
          <w:rtl/>
        </w:rPr>
        <w:t>ۡ</w:t>
      </w:r>
      <w:r w:rsidRPr="00563AE6">
        <w:rPr>
          <w:rFonts w:ascii="KFGQPC Uthmanic Script HAFS" w:cs="KFGQPC Uthmanic Script HAFS" w:hint="eastAsia"/>
          <w:sz w:val="23"/>
          <w:szCs w:val="23"/>
          <w:rtl/>
        </w:rPr>
        <w:t>نُن</w:t>
      </w:r>
      <w:r w:rsidRPr="00563AE6">
        <w:rPr>
          <w:rFonts w:ascii="KFGQPC Uthmanic Script HAFS" w:cs="KFGQPC Uthmanic Script HAFS"/>
          <w:sz w:val="23"/>
          <w:szCs w:val="23"/>
          <w:rtl/>
        </w:rPr>
        <w:t xml:space="preserve"> </w:t>
      </w:r>
      <w:r w:rsidRPr="00563AE6">
        <w:rPr>
          <w:rFonts w:ascii="KFGQPC Uthmanic Script HAFS" w:cs="KFGQPC Uthmanic Script HAFS" w:hint="eastAsia"/>
          <w:sz w:val="23"/>
          <w:szCs w:val="23"/>
          <w:rtl/>
        </w:rPr>
        <w:t>تَس</w:t>
      </w:r>
      <w:r w:rsidRPr="00563AE6">
        <w:rPr>
          <w:rFonts w:ascii="KFGQPC Uthmanic Script HAFS" w:cs="KFGQPC Uthmanic Script HAFS" w:hint="cs"/>
          <w:sz w:val="23"/>
          <w:szCs w:val="23"/>
          <w:rtl/>
        </w:rPr>
        <w:t>ۡ</w:t>
      </w:r>
      <w:r w:rsidRPr="00563AE6">
        <w:rPr>
          <w:rFonts w:ascii="KFGQPC Uthmanic Script HAFS" w:cs="KFGQPC Uthmanic Script HAFS" w:hint="eastAsia"/>
          <w:sz w:val="23"/>
          <w:szCs w:val="23"/>
          <w:rtl/>
        </w:rPr>
        <w:t>تَك</w:t>
      </w:r>
      <w:r w:rsidRPr="00563AE6">
        <w:rPr>
          <w:rFonts w:ascii="KFGQPC Uthmanic Script HAFS" w:cs="KFGQPC Uthmanic Script HAFS" w:hint="cs"/>
          <w:sz w:val="23"/>
          <w:szCs w:val="23"/>
          <w:rtl/>
        </w:rPr>
        <w:t>ۡ</w:t>
      </w:r>
      <w:r w:rsidRPr="00563AE6">
        <w:rPr>
          <w:rFonts w:ascii="KFGQPC Uthmanic Script HAFS" w:cs="KFGQPC Uthmanic Script HAFS" w:hint="eastAsia"/>
          <w:sz w:val="23"/>
          <w:szCs w:val="23"/>
          <w:rtl/>
        </w:rPr>
        <w:t>ثِرُ</w:t>
      </w:r>
      <w:r w:rsidRPr="00563AE6">
        <w:rPr>
          <w:rFonts w:ascii="KFGQPC Uthmanic Script HAFS" w:cs="KFGQPC Uthmanic Script HAFS" w:hint="cs"/>
          <w:sz w:val="23"/>
          <w:szCs w:val="23"/>
          <w:rtl/>
        </w:rPr>
        <w:t>٦</w:t>
      </w:r>
      <w:r w:rsidRPr="00563AE6">
        <w:rPr>
          <w:rFonts w:cs="Traditional Arabic" w:hint="cs"/>
          <w:sz w:val="23"/>
          <w:szCs w:val="23"/>
          <w:rtl/>
        </w:rPr>
        <w:t>﴾</w:t>
      </w:r>
      <w:r w:rsidRPr="00563AE6">
        <w:rPr>
          <w:rFonts w:cs="mylotus" w:hint="cs"/>
          <w:sz w:val="23"/>
          <w:szCs w:val="23"/>
          <w:rtl/>
        </w:rPr>
        <w:t xml:space="preserve"> </w:t>
      </w:r>
      <w:r w:rsidRPr="00191B46">
        <w:rPr>
          <w:rFonts w:cs="mylotus"/>
          <w:sz w:val="22"/>
          <w:szCs w:val="22"/>
          <w:rtl/>
        </w:rPr>
        <w:t>[المدَّثر</w:t>
      </w:r>
      <w:r w:rsidRPr="00191B46">
        <w:rPr>
          <w:rFonts w:cs="mylotus" w:hint="cs"/>
          <w:sz w:val="22"/>
          <w:szCs w:val="22"/>
          <w:rtl/>
        </w:rPr>
        <w:t xml:space="preserve">: </w:t>
      </w:r>
      <w:r w:rsidRPr="00191B46">
        <w:rPr>
          <w:rFonts w:cs="mylotus"/>
          <w:sz w:val="22"/>
          <w:szCs w:val="22"/>
          <w:rtl/>
        </w:rPr>
        <w:t xml:space="preserve">6]. </w:t>
      </w:r>
    </w:p>
    <w:p w:rsidR="00B31118" w:rsidRPr="00563AE6" w:rsidRDefault="00B31118" w:rsidP="00B300C9">
      <w:pPr>
        <w:spacing w:line="228" w:lineRule="auto"/>
        <w:ind w:left="378"/>
        <w:jc w:val="both"/>
        <w:rPr>
          <w:rFonts w:cs="mylotus" w:hint="cs"/>
          <w:sz w:val="23"/>
          <w:szCs w:val="23"/>
          <w:rtl/>
        </w:rPr>
      </w:pPr>
      <w:r w:rsidRPr="00563AE6">
        <w:rPr>
          <w:rFonts w:cs="mylotus"/>
          <w:sz w:val="23"/>
          <w:szCs w:val="23"/>
          <w:rtl/>
        </w:rPr>
        <w:t xml:space="preserve">العاشر: التزوج من امرأة تخاف الزواج منه كما حدث عندما قالت له ابنة النعمان بعد زواجها منه: «أعوذ بالله منك» ففارقها النبي </w:t>
      </w:r>
      <w:r w:rsidRPr="003C7AEB">
        <w:rPr>
          <w:rFonts w:ascii="Abo-thar" w:hAnsi="Abo-thar" w:cs="CTraditional Arabic"/>
          <w:sz w:val="23"/>
          <w:szCs w:val="23"/>
          <w:rtl/>
        </w:rPr>
        <w:t>ص</w:t>
      </w:r>
      <w:r w:rsidRPr="00563AE6">
        <w:rPr>
          <w:rFonts w:ascii="Abo-thar" w:hAnsi="Abo-thar" w:cs="mylotus"/>
          <w:sz w:val="23"/>
          <w:szCs w:val="23"/>
          <w:rtl/>
        </w:rPr>
        <w:t xml:space="preserve"> </w:t>
      </w:r>
      <w:r w:rsidRPr="00563AE6">
        <w:rPr>
          <w:rFonts w:cs="mylotus"/>
          <w:sz w:val="23"/>
          <w:szCs w:val="23"/>
          <w:rtl/>
        </w:rPr>
        <w:t xml:space="preserve">على الفور. </w:t>
      </w:r>
    </w:p>
    <w:p w:rsidR="00B31118" w:rsidRPr="00563AE6" w:rsidRDefault="00B31118" w:rsidP="00B300C9">
      <w:pPr>
        <w:spacing w:line="228" w:lineRule="auto"/>
        <w:ind w:left="378"/>
        <w:jc w:val="both"/>
        <w:rPr>
          <w:rFonts w:cs="mylotus" w:hint="cs"/>
          <w:sz w:val="23"/>
          <w:szCs w:val="23"/>
          <w:rtl/>
        </w:rPr>
      </w:pPr>
      <w:r w:rsidRPr="00563AE6">
        <w:rPr>
          <w:rFonts w:cs="mylotus"/>
          <w:sz w:val="23"/>
          <w:szCs w:val="23"/>
          <w:rtl/>
        </w:rPr>
        <w:t xml:space="preserve">الحادي عشر: نكاح الحرة الكتابية. </w:t>
      </w:r>
    </w:p>
    <w:p w:rsidR="00B31118" w:rsidRPr="00563AE6" w:rsidRDefault="00B31118" w:rsidP="00B300C9">
      <w:pPr>
        <w:spacing w:line="228" w:lineRule="auto"/>
        <w:ind w:left="378"/>
        <w:jc w:val="both"/>
        <w:rPr>
          <w:rFonts w:cs="mylotus" w:hint="cs"/>
          <w:sz w:val="23"/>
          <w:szCs w:val="23"/>
          <w:rtl/>
        </w:rPr>
      </w:pPr>
      <w:r w:rsidRPr="00563AE6">
        <w:rPr>
          <w:rFonts w:cs="mylotus"/>
          <w:sz w:val="23"/>
          <w:szCs w:val="23"/>
          <w:rtl/>
        </w:rPr>
        <w:t>الثاني عشر: نكاح الأمة المسلمة</w:t>
      </w:r>
      <w:r w:rsidRPr="00563AE6">
        <w:rPr>
          <w:rFonts w:cs="mylotus" w:hint="cs"/>
          <w:sz w:val="23"/>
          <w:szCs w:val="23"/>
          <w:rtl/>
        </w:rPr>
        <w:t>،</w:t>
      </w:r>
      <w:r w:rsidRPr="00563AE6">
        <w:rPr>
          <w:rFonts w:cs="mylotus"/>
          <w:sz w:val="23"/>
          <w:szCs w:val="23"/>
          <w:rtl/>
        </w:rPr>
        <w:t xml:space="preserve"> لأن مثل هذا النكاح إنما يجوز بشرطين: الخوف من الوقع في الحرام وفقدان العفة، والثاني عدم القدرة على نكاح الحرة، وكلا الأمرين منتفيان بالنسبة إلى رسول الله </w:t>
      </w:r>
      <w:r w:rsidRPr="003C7AEB">
        <w:rPr>
          <w:rFonts w:ascii="Abo-thar" w:hAnsi="Abo-thar" w:cs="CTraditional Arabic"/>
          <w:sz w:val="23"/>
          <w:szCs w:val="23"/>
          <w:rtl/>
        </w:rPr>
        <w:t>ص</w:t>
      </w:r>
      <w:r w:rsidRPr="00563AE6">
        <w:rPr>
          <w:rFonts w:ascii="Abo-thar" w:hAnsi="Abo-thar" w:cs="mylotus"/>
          <w:sz w:val="23"/>
          <w:szCs w:val="23"/>
          <w:rtl/>
        </w:rPr>
        <w:t xml:space="preserve"> </w:t>
      </w:r>
      <w:r w:rsidRPr="00563AE6">
        <w:rPr>
          <w:rFonts w:cs="mylotus"/>
          <w:sz w:val="23"/>
          <w:szCs w:val="23"/>
          <w:rtl/>
        </w:rPr>
        <w:t>. الثالث عشر: حرمة الزواج من نساء أخريات غير اللواتي تزوجهن كما قال له تعالى:</w:t>
      </w:r>
      <w:r w:rsidRPr="00563AE6">
        <w:rPr>
          <w:rFonts w:cs="mylotus" w:hint="cs"/>
          <w:sz w:val="23"/>
          <w:szCs w:val="23"/>
          <w:rtl/>
        </w:rPr>
        <w:t xml:space="preserve"> </w:t>
      </w:r>
      <w:r w:rsidRPr="00563AE6">
        <w:rPr>
          <w:rFonts w:cs="Traditional Arabic" w:hint="cs"/>
          <w:sz w:val="23"/>
          <w:szCs w:val="23"/>
          <w:rtl/>
        </w:rPr>
        <w:t>﴿</w:t>
      </w:r>
      <w:r w:rsidRPr="00563AE6">
        <w:rPr>
          <w:rFonts w:ascii="KFGQPC Uthmanic Script HAFS" w:cs="KFGQPC Uthmanic Script HAFS" w:hint="eastAsia"/>
          <w:sz w:val="23"/>
          <w:szCs w:val="23"/>
          <w:rtl/>
        </w:rPr>
        <w:t>لَّا</w:t>
      </w:r>
      <w:r w:rsidRPr="00563AE6">
        <w:rPr>
          <w:rFonts w:ascii="KFGQPC Uthmanic Script HAFS" w:cs="KFGQPC Uthmanic Script HAFS" w:hint="cs"/>
          <w:sz w:val="23"/>
          <w:szCs w:val="23"/>
          <w:rtl/>
        </w:rPr>
        <w:t xml:space="preserve"> </w:t>
      </w:r>
      <w:r w:rsidRPr="00563AE6">
        <w:rPr>
          <w:rFonts w:ascii="KFGQPC Uthmanic Script HAFS" w:cs="KFGQPC Uthmanic Script HAFS" w:hint="eastAsia"/>
          <w:sz w:val="23"/>
          <w:szCs w:val="23"/>
          <w:rtl/>
        </w:rPr>
        <w:t>يَحِلُّ</w:t>
      </w:r>
      <w:r w:rsidRPr="00563AE6">
        <w:rPr>
          <w:rFonts w:ascii="KFGQPC Uthmanic Script HAFS" w:cs="KFGQPC Uthmanic Script HAFS"/>
          <w:sz w:val="23"/>
          <w:szCs w:val="23"/>
          <w:rtl/>
        </w:rPr>
        <w:t xml:space="preserve"> </w:t>
      </w:r>
      <w:r w:rsidRPr="00563AE6">
        <w:rPr>
          <w:rFonts w:ascii="KFGQPC Uthmanic Script HAFS" w:cs="KFGQPC Uthmanic Script HAFS" w:hint="eastAsia"/>
          <w:sz w:val="23"/>
          <w:szCs w:val="23"/>
          <w:rtl/>
        </w:rPr>
        <w:t>لَكَ</w:t>
      </w:r>
      <w:r w:rsidRPr="00563AE6">
        <w:rPr>
          <w:rFonts w:ascii="KFGQPC Uthmanic Script HAFS" w:cs="KFGQPC Uthmanic Script HAFS"/>
          <w:sz w:val="23"/>
          <w:szCs w:val="23"/>
          <w:rtl/>
        </w:rPr>
        <w:t xml:space="preserve"> </w:t>
      </w:r>
      <w:r w:rsidRPr="00563AE6">
        <w:rPr>
          <w:rFonts w:ascii="KFGQPC Uthmanic Script HAFS" w:cs="KFGQPC Uthmanic Script HAFS" w:hint="cs"/>
          <w:sz w:val="23"/>
          <w:szCs w:val="23"/>
          <w:rtl/>
        </w:rPr>
        <w:t>ٱ</w:t>
      </w:r>
      <w:r w:rsidRPr="00563AE6">
        <w:rPr>
          <w:rFonts w:ascii="KFGQPC Uthmanic Script HAFS" w:cs="KFGQPC Uthmanic Script HAFS" w:hint="eastAsia"/>
          <w:sz w:val="23"/>
          <w:szCs w:val="23"/>
          <w:rtl/>
        </w:rPr>
        <w:t>لنِّسَا</w:t>
      </w:r>
      <w:r w:rsidRPr="00563AE6">
        <w:rPr>
          <w:rFonts w:ascii="KFGQPC Uthmanic Script HAFS" w:cs="KFGQPC Uthmanic Script HAFS" w:hint="cs"/>
          <w:sz w:val="23"/>
          <w:szCs w:val="23"/>
          <w:rtl/>
        </w:rPr>
        <w:t>ٓ</w:t>
      </w:r>
      <w:r w:rsidRPr="00563AE6">
        <w:rPr>
          <w:rFonts w:ascii="KFGQPC Uthmanic Script HAFS" w:cs="KFGQPC Uthmanic Script HAFS" w:hint="eastAsia"/>
          <w:sz w:val="23"/>
          <w:szCs w:val="23"/>
          <w:rtl/>
        </w:rPr>
        <w:t>ءُ</w:t>
      </w:r>
      <w:r w:rsidRPr="00563AE6">
        <w:rPr>
          <w:rFonts w:ascii="KFGQPC Uthmanic Script HAFS" w:cs="KFGQPC Uthmanic Script HAFS"/>
          <w:sz w:val="23"/>
          <w:szCs w:val="23"/>
          <w:rtl/>
        </w:rPr>
        <w:t xml:space="preserve"> </w:t>
      </w:r>
      <w:r w:rsidRPr="00563AE6">
        <w:rPr>
          <w:rFonts w:ascii="KFGQPC Uthmanic Script HAFS" w:cs="KFGQPC Uthmanic Script HAFS" w:hint="eastAsia"/>
          <w:sz w:val="23"/>
          <w:szCs w:val="23"/>
          <w:rtl/>
        </w:rPr>
        <w:t>مِن</w:t>
      </w:r>
      <w:r w:rsidRPr="00563AE6">
        <w:rPr>
          <w:rFonts w:ascii="KFGQPC Uthmanic Script HAFS" w:cs="KFGQPC Uthmanic Script HAFS" w:hint="cs"/>
          <w:sz w:val="23"/>
          <w:szCs w:val="23"/>
          <w:rtl/>
        </w:rPr>
        <w:t>ۢ</w:t>
      </w:r>
      <w:r w:rsidRPr="00563AE6">
        <w:rPr>
          <w:rFonts w:ascii="KFGQPC Uthmanic Script HAFS" w:cs="KFGQPC Uthmanic Script HAFS"/>
          <w:sz w:val="23"/>
          <w:szCs w:val="23"/>
          <w:rtl/>
        </w:rPr>
        <w:t xml:space="preserve"> </w:t>
      </w:r>
      <w:r w:rsidRPr="00563AE6">
        <w:rPr>
          <w:rFonts w:ascii="KFGQPC Uthmanic Script HAFS" w:cs="KFGQPC Uthmanic Script HAFS" w:hint="eastAsia"/>
          <w:sz w:val="23"/>
          <w:szCs w:val="23"/>
          <w:rtl/>
        </w:rPr>
        <w:t>بَع</w:t>
      </w:r>
      <w:r w:rsidRPr="00563AE6">
        <w:rPr>
          <w:rFonts w:ascii="KFGQPC Uthmanic Script HAFS" w:cs="KFGQPC Uthmanic Script HAFS" w:hint="cs"/>
          <w:sz w:val="23"/>
          <w:szCs w:val="23"/>
          <w:rtl/>
        </w:rPr>
        <w:t>ۡ</w:t>
      </w:r>
      <w:r w:rsidRPr="00563AE6">
        <w:rPr>
          <w:rFonts w:ascii="KFGQPC Uthmanic Script HAFS" w:cs="KFGQPC Uthmanic Script HAFS" w:hint="eastAsia"/>
          <w:sz w:val="23"/>
          <w:szCs w:val="23"/>
          <w:rtl/>
        </w:rPr>
        <w:t>دُ</w:t>
      </w:r>
      <w:r w:rsidRPr="00563AE6">
        <w:rPr>
          <w:rFonts w:ascii="KFGQPC Uthmanic Script HAFS" w:cs="KFGQPC Uthmanic Script HAFS"/>
          <w:sz w:val="23"/>
          <w:szCs w:val="23"/>
          <w:rtl/>
        </w:rPr>
        <w:t xml:space="preserve"> </w:t>
      </w:r>
      <w:r w:rsidRPr="00563AE6">
        <w:rPr>
          <w:rFonts w:ascii="KFGQPC Uthmanic Script HAFS" w:cs="KFGQPC Uthmanic Script HAFS" w:hint="eastAsia"/>
          <w:sz w:val="23"/>
          <w:szCs w:val="23"/>
          <w:rtl/>
        </w:rPr>
        <w:t>وَلَا</w:t>
      </w:r>
      <w:r w:rsidRPr="00563AE6">
        <w:rPr>
          <w:rFonts w:ascii="KFGQPC Uthmanic Script HAFS" w:cs="KFGQPC Uthmanic Script HAFS" w:hint="cs"/>
          <w:sz w:val="23"/>
          <w:szCs w:val="23"/>
          <w:rtl/>
        </w:rPr>
        <w:t>ٓ</w:t>
      </w:r>
      <w:r w:rsidRPr="00563AE6">
        <w:rPr>
          <w:rFonts w:ascii="KFGQPC Uthmanic Script HAFS" w:cs="KFGQPC Uthmanic Script HAFS"/>
          <w:sz w:val="23"/>
          <w:szCs w:val="23"/>
          <w:rtl/>
        </w:rPr>
        <w:t xml:space="preserve"> </w:t>
      </w:r>
      <w:r w:rsidRPr="00563AE6">
        <w:rPr>
          <w:rFonts w:ascii="KFGQPC Uthmanic Script HAFS" w:cs="KFGQPC Uthmanic Script HAFS" w:hint="eastAsia"/>
          <w:sz w:val="23"/>
          <w:szCs w:val="23"/>
          <w:rtl/>
        </w:rPr>
        <w:t>أَن</w:t>
      </w:r>
      <w:r w:rsidRPr="00563AE6">
        <w:rPr>
          <w:rFonts w:ascii="KFGQPC Uthmanic Script HAFS" w:cs="KFGQPC Uthmanic Script HAFS"/>
          <w:sz w:val="23"/>
          <w:szCs w:val="23"/>
          <w:rtl/>
        </w:rPr>
        <w:t xml:space="preserve"> </w:t>
      </w:r>
      <w:r w:rsidRPr="00563AE6">
        <w:rPr>
          <w:rFonts w:ascii="KFGQPC Uthmanic Script HAFS" w:cs="KFGQPC Uthmanic Script HAFS" w:hint="eastAsia"/>
          <w:sz w:val="23"/>
          <w:szCs w:val="23"/>
          <w:rtl/>
        </w:rPr>
        <w:t>تَبَدَّلَ</w:t>
      </w:r>
      <w:r w:rsidRPr="00563AE6">
        <w:rPr>
          <w:rFonts w:ascii="KFGQPC Uthmanic Script HAFS" w:cs="KFGQPC Uthmanic Script HAFS"/>
          <w:sz w:val="23"/>
          <w:szCs w:val="23"/>
          <w:rtl/>
        </w:rPr>
        <w:t xml:space="preserve"> </w:t>
      </w:r>
      <w:r w:rsidRPr="00563AE6">
        <w:rPr>
          <w:rFonts w:ascii="KFGQPC Uthmanic Script HAFS" w:cs="KFGQPC Uthmanic Script HAFS" w:hint="eastAsia"/>
          <w:sz w:val="23"/>
          <w:szCs w:val="23"/>
          <w:rtl/>
        </w:rPr>
        <w:t>بِهِنَّ</w:t>
      </w:r>
      <w:r w:rsidRPr="00563AE6">
        <w:rPr>
          <w:rFonts w:ascii="KFGQPC Uthmanic Script HAFS" w:cs="KFGQPC Uthmanic Script HAFS"/>
          <w:sz w:val="23"/>
          <w:szCs w:val="23"/>
          <w:rtl/>
        </w:rPr>
        <w:t xml:space="preserve"> </w:t>
      </w:r>
      <w:r w:rsidRPr="00563AE6">
        <w:rPr>
          <w:rFonts w:ascii="KFGQPC Uthmanic Script HAFS" w:cs="KFGQPC Uthmanic Script HAFS" w:hint="eastAsia"/>
          <w:sz w:val="23"/>
          <w:szCs w:val="23"/>
          <w:rtl/>
        </w:rPr>
        <w:t>مِن</w:t>
      </w:r>
      <w:r w:rsidRPr="00563AE6">
        <w:rPr>
          <w:rFonts w:ascii="KFGQPC Uthmanic Script HAFS" w:cs="KFGQPC Uthmanic Script HAFS" w:hint="cs"/>
          <w:sz w:val="23"/>
          <w:szCs w:val="23"/>
          <w:rtl/>
        </w:rPr>
        <w:t>ۡ</w:t>
      </w:r>
      <w:r w:rsidRPr="00563AE6">
        <w:rPr>
          <w:rFonts w:ascii="KFGQPC Uthmanic Script HAFS" w:cs="KFGQPC Uthmanic Script HAFS"/>
          <w:sz w:val="23"/>
          <w:szCs w:val="23"/>
          <w:rtl/>
        </w:rPr>
        <w:t xml:space="preserve"> </w:t>
      </w:r>
      <w:r w:rsidRPr="00563AE6">
        <w:rPr>
          <w:rFonts w:ascii="KFGQPC Uthmanic Script HAFS" w:cs="KFGQPC Uthmanic Script HAFS" w:hint="eastAsia"/>
          <w:sz w:val="23"/>
          <w:szCs w:val="23"/>
          <w:rtl/>
        </w:rPr>
        <w:t>أَز</w:t>
      </w:r>
      <w:r w:rsidRPr="00563AE6">
        <w:rPr>
          <w:rFonts w:ascii="KFGQPC Uthmanic Script HAFS" w:cs="KFGQPC Uthmanic Script HAFS" w:hint="cs"/>
          <w:sz w:val="23"/>
          <w:szCs w:val="23"/>
          <w:rtl/>
        </w:rPr>
        <w:t>ۡ</w:t>
      </w:r>
      <w:r w:rsidRPr="00563AE6">
        <w:rPr>
          <w:rFonts w:ascii="KFGQPC Uthmanic Script HAFS" w:cs="KFGQPC Uthmanic Script HAFS" w:hint="eastAsia"/>
          <w:sz w:val="23"/>
          <w:szCs w:val="23"/>
          <w:rtl/>
        </w:rPr>
        <w:t>وَ</w:t>
      </w:r>
      <w:r w:rsidRPr="00563AE6">
        <w:rPr>
          <w:rFonts w:ascii="KFGQPC Uthmanic Script HAFS" w:cs="KFGQPC Uthmanic Script HAFS" w:hint="cs"/>
          <w:sz w:val="23"/>
          <w:szCs w:val="23"/>
          <w:rtl/>
        </w:rPr>
        <w:t>ٰ</w:t>
      </w:r>
      <w:r w:rsidRPr="00563AE6">
        <w:rPr>
          <w:rFonts w:ascii="KFGQPC Uthmanic Script HAFS" w:cs="KFGQPC Uthmanic Script HAFS" w:hint="eastAsia"/>
          <w:sz w:val="23"/>
          <w:szCs w:val="23"/>
          <w:rtl/>
        </w:rPr>
        <w:t>ج</w:t>
      </w:r>
      <w:r w:rsidRPr="00563AE6">
        <w:rPr>
          <w:rFonts w:ascii="KFGQPC Uthmanic Script HAFS" w:cs="KFGQPC Uthmanic Script HAFS" w:hint="cs"/>
          <w:sz w:val="23"/>
          <w:szCs w:val="23"/>
          <w:rtl/>
        </w:rPr>
        <w:t>ٖ</w:t>
      </w:r>
      <w:r w:rsidRPr="00563AE6">
        <w:rPr>
          <w:rFonts w:ascii="KFGQPC Uthmanic Script HAFS" w:cs="Times New Roman" w:hint="cs"/>
          <w:sz w:val="23"/>
          <w:szCs w:val="23"/>
          <w:rtl/>
        </w:rPr>
        <w:t>...</w:t>
      </w:r>
      <w:r w:rsidRPr="00563AE6">
        <w:rPr>
          <w:rFonts w:cs="Traditional Arabic" w:hint="cs"/>
          <w:sz w:val="23"/>
          <w:szCs w:val="23"/>
          <w:rtl/>
        </w:rPr>
        <w:t>﴾</w:t>
      </w:r>
      <w:r w:rsidRPr="00563AE6">
        <w:rPr>
          <w:rFonts w:cs="mylotus"/>
          <w:sz w:val="23"/>
          <w:szCs w:val="23"/>
          <w:rtl/>
        </w:rPr>
        <w:t xml:space="preserve"> [الأحزاب</w:t>
      </w:r>
      <w:r w:rsidRPr="00563AE6">
        <w:rPr>
          <w:rFonts w:cs="mylotus" w:hint="cs"/>
          <w:sz w:val="23"/>
          <w:szCs w:val="23"/>
          <w:rtl/>
        </w:rPr>
        <w:t xml:space="preserve">: </w:t>
      </w:r>
      <w:r w:rsidRPr="00563AE6">
        <w:rPr>
          <w:rFonts w:cs="mylotus"/>
          <w:sz w:val="23"/>
          <w:szCs w:val="23"/>
          <w:rtl/>
        </w:rPr>
        <w:t xml:space="preserve">52]. </w:t>
      </w:r>
    </w:p>
    <w:p w:rsidR="00B31118" w:rsidRPr="00563AE6" w:rsidRDefault="00B31118" w:rsidP="00B300C9">
      <w:pPr>
        <w:spacing w:line="228" w:lineRule="auto"/>
        <w:ind w:left="378"/>
        <w:jc w:val="both"/>
        <w:rPr>
          <w:rFonts w:cs="mylotus" w:hint="cs"/>
          <w:sz w:val="23"/>
          <w:szCs w:val="23"/>
        </w:rPr>
      </w:pPr>
      <w:r w:rsidRPr="00563AE6">
        <w:rPr>
          <w:rFonts w:cs="mylotus"/>
          <w:sz w:val="23"/>
          <w:szCs w:val="23"/>
          <w:rtl/>
        </w:rPr>
        <w:t xml:space="preserve">فكل هذه الأمور كانت من خصائص النبيّ ولو فرضنا أنها كانت محرمة عليه فإن هذه الحرمة تختص به وحده وسرايتها إلى بقية المسلمين </w:t>
      </w:r>
      <w:r w:rsidRPr="00563AE6">
        <w:rPr>
          <w:rFonts w:cs="mylotus" w:hint="cs"/>
          <w:sz w:val="23"/>
          <w:szCs w:val="23"/>
          <w:rtl/>
        </w:rPr>
        <w:t>في غاية البُعْد.</w:t>
      </w:r>
    </w:p>
  </w:footnote>
  <w:footnote w:id="158">
    <w:p w:rsidR="00B31118" w:rsidRPr="00563AE6" w:rsidRDefault="00B31118" w:rsidP="00B300C9">
      <w:pPr>
        <w:spacing w:line="228" w:lineRule="auto"/>
        <w:ind w:left="378" w:hanging="378"/>
        <w:jc w:val="both"/>
        <w:rPr>
          <w:rFonts w:cs="mylotus" w:hint="cs"/>
          <w:sz w:val="23"/>
          <w:szCs w:val="23"/>
          <w:rtl/>
        </w:rPr>
      </w:pPr>
      <w:r w:rsidRPr="00563AE6">
        <w:rPr>
          <w:rFonts w:cs="mylotus"/>
          <w:sz w:val="23"/>
          <w:szCs w:val="23"/>
          <w:rtl/>
        </w:rPr>
        <w:footnoteRef/>
      </w:r>
      <w:r>
        <w:rPr>
          <w:rFonts w:cs="mylotus"/>
          <w:sz w:val="23"/>
          <w:szCs w:val="23"/>
          <w:rtl/>
        </w:rPr>
        <w:t>-</w:t>
      </w:r>
      <w:r w:rsidRPr="00563AE6">
        <w:rPr>
          <w:rFonts w:cs="mylotus" w:hint="cs"/>
          <w:sz w:val="23"/>
          <w:szCs w:val="23"/>
          <w:rtl/>
        </w:rPr>
        <w:t xml:space="preserve"> الكليني، الكافي، ج 4، ص 58؛ الشيخ الطوسي، تهذيب الأحكام، ج4، ص58، طبع النجف.</w:t>
      </w:r>
    </w:p>
  </w:footnote>
  <w:footnote w:id="159">
    <w:p w:rsidR="00B31118" w:rsidRPr="00563AE6" w:rsidRDefault="00B31118" w:rsidP="00B300C9">
      <w:pPr>
        <w:spacing w:line="228" w:lineRule="auto"/>
        <w:ind w:left="378" w:hanging="378"/>
        <w:jc w:val="both"/>
        <w:rPr>
          <w:rFonts w:cs="mylotus" w:hint="cs"/>
          <w:sz w:val="23"/>
          <w:szCs w:val="23"/>
          <w:rtl/>
        </w:rPr>
      </w:pPr>
      <w:r w:rsidRPr="00563AE6">
        <w:rPr>
          <w:rFonts w:cs="mylotus"/>
          <w:sz w:val="23"/>
          <w:szCs w:val="23"/>
          <w:rtl/>
        </w:rPr>
        <w:footnoteRef/>
      </w:r>
      <w:r>
        <w:rPr>
          <w:rFonts w:cs="mylotus"/>
          <w:sz w:val="23"/>
          <w:szCs w:val="23"/>
          <w:rtl/>
        </w:rPr>
        <w:t>-</w:t>
      </w:r>
      <w:r w:rsidRPr="00563AE6">
        <w:rPr>
          <w:rFonts w:cs="mylotus" w:hint="cs"/>
          <w:sz w:val="23"/>
          <w:szCs w:val="23"/>
          <w:rtl/>
        </w:rPr>
        <w:t xml:space="preserve"> المجلسيُّ، بحار الأنوار، ج16، ص382، الطبعة البيروتية الجديدة. (المترجِم)</w:t>
      </w:r>
    </w:p>
  </w:footnote>
  <w:footnote w:id="160">
    <w:p w:rsidR="00B31118" w:rsidRPr="00563AE6" w:rsidRDefault="00B31118" w:rsidP="00B300C9">
      <w:pPr>
        <w:spacing w:line="228" w:lineRule="auto"/>
        <w:ind w:left="378" w:hanging="378"/>
        <w:jc w:val="both"/>
        <w:rPr>
          <w:rFonts w:cs="mylotus" w:hint="cs"/>
          <w:sz w:val="23"/>
          <w:szCs w:val="23"/>
          <w:rtl/>
          <w:lang w:bidi="ar-SY"/>
        </w:rPr>
      </w:pPr>
      <w:r w:rsidRPr="00563AE6">
        <w:rPr>
          <w:rFonts w:cs="mylotus"/>
          <w:sz w:val="23"/>
          <w:szCs w:val="23"/>
          <w:rtl/>
        </w:rPr>
        <w:footnoteRef/>
      </w:r>
      <w:r>
        <w:rPr>
          <w:rFonts w:cs="mylotus"/>
          <w:sz w:val="23"/>
          <w:szCs w:val="23"/>
          <w:rtl/>
        </w:rPr>
        <w:t>-</w:t>
      </w:r>
      <w:r w:rsidRPr="00563AE6">
        <w:rPr>
          <w:rFonts w:cs="mylotus" w:hint="cs"/>
          <w:sz w:val="23"/>
          <w:szCs w:val="23"/>
          <w:rtl/>
        </w:rPr>
        <w:t xml:space="preserve"> </w:t>
      </w:r>
      <w:r w:rsidRPr="00563AE6">
        <w:rPr>
          <w:rFonts w:cs="mylotus"/>
          <w:sz w:val="23"/>
          <w:szCs w:val="23"/>
          <w:rtl/>
        </w:rPr>
        <w:t>العلامة الحلي</w:t>
      </w:r>
      <w:r w:rsidRPr="00563AE6">
        <w:rPr>
          <w:rFonts w:cs="mylotus" w:hint="cs"/>
          <w:sz w:val="23"/>
          <w:szCs w:val="23"/>
          <w:rtl/>
        </w:rPr>
        <w:t xml:space="preserve">، </w:t>
      </w:r>
      <w:r w:rsidRPr="00563AE6">
        <w:rPr>
          <w:rFonts w:cs="mylotus"/>
          <w:sz w:val="23"/>
          <w:szCs w:val="23"/>
          <w:rtl/>
        </w:rPr>
        <w:t>تذكرة الفقهاء</w:t>
      </w:r>
      <w:r w:rsidRPr="00563AE6">
        <w:rPr>
          <w:rFonts w:cs="mylotus" w:hint="cs"/>
          <w:sz w:val="23"/>
          <w:szCs w:val="23"/>
          <w:rtl/>
        </w:rPr>
        <w:t xml:space="preserve">، </w:t>
      </w:r>
      <w:r w:rsidRPr="00563AE6">
        <w:rPr>
          <w:rFonts w:cs="mylotus"/>
          <w:sz w:val="23"/>
          <w:szCs w:val="23"/>
          <w:rtl/>
        </w:rPr>
        <w:t>الطبعة الحجرية القديمة</w:t>
      </w:r>
      <w:r w:rsidRPr="00563AE6">
        <w:rPr>
          <w:rFonts w:cs="mylotus" w:hint="cs"/>
          <w:sz w:val="23"/>
          <w:szCs w:val="23"/>
          <w:rtl/>
        </w:rPr>
        <w:t>،</w:t>
      </w:r>
      <w:r w:rsidRPr="00563AE6">
        <w:rPr>
          <w:rFonts w:cs="mylotus"/>
          <w:sz w:val="23"/>
          <w:szCs w:val="23"/>
          <w:rtl/>
        </w:rPr>
        <w:t xml:space="preserve"> ج2، ص565</w:t>
      </w:r>
      <w:r w:rsidRPr="00563AE6">
        <w:rPr>
          <w:rFonts w:cs="mylotus" w:hint="cs"/>
          <w:sz w:val="23"/>
          <w:szCs w:val="23"/>
          <w:rtl/>
        </w:rPr>
        <w:t>.</w:t>
      </w:r>
    </w:p>
  </w:footnote>
  <w:footnote w:id="161">
    <w:p w:rsidR="00B31118" w:rsidRPr="00563AE6" w:rsidRDefault="00B31118" w:rsidP="00B300C9">
      <w:pPr>
        <w:spacing w:line="228" w:lineRule="auto"/>
        <w:ind w:left="378" w:hanging="378"/>
        <w:jc w:val="both"/>
        <w:rPr>
          <w:rFonts w:cs="mylotus" w:hint="cs"/>
          <w:sz w:val="23"/>
          <w:szCs w:val="23"/>
          <w:rtl/>
        </w:rPr>
      </w:pPr>
      <w:r w:rsidRPr="00563AE6">
        <w:rPr>
          <w:rFonts w:cs="mylotus"/>
          <w:sz w:val="23"/>
          <w:szCs w:val="23"/>
          <w:rtl/>
        </w:rPr>
        <w:footnoteRef/>
      </w:r>
      <w:r>
        <w:rPr>
          <w:rFonts w:cs="mylotus"/>
          <w:sz w:val="23"/>
          <w:szCs w:val="23"/>
          <w:rtl/>
        </w:rPr>
        <w:t>-</w:t>
      </w:r>
      <w:r w:rsidRPr="00563AE6">
        <w:rPr>
          <w:rFonts w:cs="mylotus"/>
          <w:sz w:val="23"/>
          <w:szCs w:val="23"/>
          <w:rtl/>
        </w:rPr>
        <w:t xml:space="preserve"> الكافي</w:t>
      </w:r>
      <w:r w:rsidRPr="00563AE6">
        <w:rPr>
          <w:rFonts w:cs="mylotus" w:hint="cs"/>
          <w:sz w:val="23"/>
          <w:szCs w:val="23"/>
          <w:rtl/>
        </w:rPr>
        <w:t>،</w:t>
      </w:r>
      <w:r w:rsidRPr="00563AE6">
        <w:rPr>
          <w:rFonts w:cs="mylotus"/>
          <w:sz w:val="23"/>
          <w:szCs w:val="23"/>
          <w:rtl/>
        </w:rPr>
        <w:t xml:space="preserve"> ج4</w:t>
      </w:r>
      <w:r w:rsidRPr="00563AE6">
        <w:rPr>
          <w:rFonts w:cs="mylotus" w:hint="cs"/>
          <w:sz w:val="23"/>
          <w:szCs w:val="23"/>
          <w:rtl/>
        </w:rPr>
        <w:t xml:space="preserve">، </w:t>
      </w:r>
      <w:r w:rsidRPr="00563AE6">
        <w:rPr>
          <w:rFonts w:cs="mylotus"/>
          <w:sz w:val="23"/>
          <w:szCs w:val="23"/>
          <w:rtl/>
        </w:rPr>
        <w:t>ص59</w:t>
      </w:r>
      <w:r w:rsidRPr="00563AE6">
        <w:rPr>
          <w:rFonts w:cs="mylotus" w:hint="cs"/>
          <w:sz w:val="23"/>
          <w:szCs w:val="23"/>
          <w:rtl/>
        </w:rPr>
        <w:t>. (المترجِم)</w:t>
      </w:r>
    </w:p>
  </w:footnote>
  <w:footnote w:id="162">
    <w:p w:rsidR="00B31118" w:rsidRPr="00563AE6" w:rsidRDefault="00B31118" w:rsidP="00B300C9">
      <w:pPr>
        <w:spacing w:line="228" w:lineRule="auto"/>
        <w:ind w:left="378" w:hanging="378"/>
        <w:jc w:val="both"/>
        <w:rPr>
          <w:rFonts w:cs="mylotus" w:hint="cs"/>
          <w:sz w:val="23"/>
          <w:szCs w:val="23"/>
          <w:rtl/>
        </w:rPr>
      </w:pPr>
      <w:r w:rsidRPr="00563AE6">
        <w:rPr>
          <w:rFonts w:cs="mylotus"/>
          <w:sz w:val="23"/>
          <w:szCs w:val="23"/>
          <w:rtl/>
        </w:rPr>
        <w:footnoteRef/>
      </w:r>
      <w:r>
        <w:rPr>
          <w:rFonts w:cs="mylotus"/>
          <w:sz w:val="23"/>
          <w:szCs w:val="23"/>
          <w:rtl/>
        </w:rPr>
        <w:t>-</w:t>
      </w:r>
      <w:r w:rsidRPr="00563AE6">
        <w:rPr>
          <w:rFonts w:cs="mylotus" w:hint="cs"/>
          <w:sz w:val="23"/>
          <w:szCs w:val="23"/>
          <w:rtl/>
        </w:rPr>
        <w:t xml:space="preserve"> </w:t>
      </w:r>
      <w:r w:rsidRPr="00563AE6">
        <w:rPr>
          <w:rFonts w:cs="mylotus"/>
          <w:sz w:val="23"/>
          <w:szCs w:val="23"/>
          <w:rtl/>
        </w:rPr>
        <w:t>من</w:t>
      </w:r>
      <w:r w:rsidRPr="00563AE6">
        <w:rPr>
          <w:rFonts w:cs="mylotus" w:hint="cs"/>
          <w:sz w:val="23"/>
          <w:szCs w:val="23"/>
          <w:rtl/>
        </w:rPr>
        <w:t xml:space="preserve"> </w:t>
      </w:r>
      <w:r w:rsidRPr="00563AE6">
        <w:rPr>
          <w:rFonts w:cs="mylotus"/>
          <w:sz w:val="23"/>
          <w:szCs w:val="23"/>
          <w:rtl/>
        </w:rPr>
        <w:t>‏لا</w:t>
      </w:r>
      <w:r w:rsidRPr="00563AE6">
        <w:rPr>
          <w:rFonts w:cs="mylotus" w:hint="cs"/>
          <w:sz w:val="23"/>
          <w:szCs w:val="23"/>
          <w:rtl/>
        </w:rPr>
        <w:t xml:space="preserve"> </w:t>
      </w:r>
      <w:r w:rsidRPr="00563AE6">
        <w:rPr>
          <w:rFonts w:cs="mylotus"/>
          <w:sz w:val="23"/>
          <w:szCs w:val="23"/>
          <w:rtl/>
        </w:rPr>
        <w:t>يحضره‏</w:t>
      </w:r>
      <w:r w:rsidRPr="00563AE6">
        <w:rPr>
          <w:rFonts w:cs="mylotus" w:hint="cs"/>
          <w:sz w:val="23"/>
          <w:szCs w:val="23"/>
          <w:rtl/>
        </w:rPr>
        <w:t xml:space="preserve"> </w:t>
      </w:r>
      <w:r w:rsidRPr="00563AE6">
        <w:rPr>
          <w:rFonts w:cs="mylotus"/>
          <w:sz w:val="23"/>
          <w:szCs w:val="23"/>
          <w:rtl/>
        </w:rPr>
        <w:t>الفقيه</w:t>
      </w:r>
      <w:r w:rsidRPr="00563AE6">
        <w:rPr>
          <w:rFonts w:cs="mylotus" w:hint="cs"/>
          <w:sz w:val="23"/>
          <w:szCs w:val="23"/>
          <w:rtl/>
        </w:rPr>
        <w:t>،</w:t>
      </w:r>
      <w:r w:rsidRPr="00563AE6">
        <w:rPr>
          <w:rFonts w:cs="mylotus"/>
          <w:sz w:val="23"/>
          <w:szCs w:val="23"/>
          <w:rtl/>
        </w:rPr>
        <w:t xml:space="preserve"> ج2</w:t>
      </w:r>
      <w:r w:rsidRPr="00563AE6">
        <w:rPr>
          <w:rFonts w:cs="mylotus" w:hint="cs"/>
          <w:sz w:val="23"/>
          <w:szCs w:val="23"/>
          <w:rtl/>
        </w:rPr>
        <w:t xml:space="preserve">، </w:t>
      </w:r>
      <w:r w:rsidRPr="00563AE6">
        <w:rPr>
          <w:rFonts w:cs="mylotus"/>
          <w:sz w:val="23"/>
          <w:szCs w:val="23"/>
          <w:rtl/>
        </w:rPr>
        <w:t>ص37</w:t>
      </w:r>
      <w:r w:rsidRPr="00563AE6">
        <w:rPr>
          <w:rFonts w:cs="mylotus" w:hint="cs"/>
          <w:sz w:val="23"/>
          <w:szCs w:val="23"/>
          <w:rtl/>
        </w:rPr>
        <w:t xml:space="preserve">، </w:t>
      </w:r>
      <w:r w:rsidRPr="00563AE6">
        <w:rPr>
          <w:rFonts w:cs="mylotus"/>
          <w:sz w:val="23"/>
          <w:szCs w:val="23"/>
          <w:rtl/>
        </w:rPr>
        <w:t>بَابُ مَا لِبَنِي هَاشِمٍ مِنَ الزَّكَاةِ</w:t>
      </w:r>
      <w:r w:rsidRPr="00563AE6">
        <w:rPr>
          <w:rFonts w:cs="mylotus" w:hint="cs"/>
          <w:sz w:val="23"/>
          <w:szCs w:val="23"/>
          <w:rtl/>
        </w:rPr>
        <w:t>. (المترجِم)</w:t>
      </w:r>
    </w:p>
  </w:footnote>
  <w:footnote w:id="163">
    <w:p w:rsidR="00B31118" w:rsidRPr="00563AE6" w:rsidRDefault="00B31118" w:rsidP="00B300C9">
      <w:pPr>
        <w:spacing w:line="228" w:lineRule="auto"/>
        <w:ind w:left="378" w:hanging="378"/>
        <w:jc w:val="both"/>
        <w:rPr>
          <w:rFonts w:cs="mylotus"/>
          <w:sz w:val="23"/>
          <w:szCs w:val="23"/>
          <w:rtl/>
        </w:rPr>
      </w:pPr>
      <w:r w:rsidRPr="00563AE6">
        <w:rPr>
          <w:rFonts w:cs="mylotus"/>
          <w:sz w:val="23"/>
          <w:szCs w:val="23"/>
          <w:rtl/>
        </w:rPr>
        <w:footnoteRef/>
      </w:r>
      <w:r>
        <w:rPr>
          <w:rFonts w:cs="mylotus" w:hint="cs"/>
          <w:sz w:val="23"/>
          <w:szCs w:val="23"/>
          <w:rtl/>
        </w:rPr>
        <w:t>-</w:t>
      </w:r>
      <w:r w:rsidRPr="00563AE6">
        <w:rPr>
          <w:rFonts w:cs="mylotus" w:hint="cs"/>
          <w:sz w:val="23"/>
          <w:szCs w:val="23"/>
          <w:rtl/>
        </w:rPr>
        <w:t xml:space="preserve"> تهذيب‏الأحكام، ج4، ص60، والاستبصار، ج2، ص 36. (المترجِم)</w:t>
      </w:r>
    </w:p>
  </w:footnote>
  <w:footnote w:id="164">
    <w:p w:rsidR="00B31118" w:rsidRPr="00563AE6" w:rsidRDefault="00B31118" w:rsidP="00B300C9">
      <w:pPr>
        <w:spacing w:line="228" w:lineRule="auto"/>
        <w:ind w:left="378" w:hanging="378"/>
        <w:jc w:val="both"/>
        <w:rPr>
          <w:rFonts w:cs="mylotus" w:hint="cs"/>
          <w:sz w:val="23"/>
          <w:szCs w:val="23"/>
          <w:rtl/>
        </w:rPr>
      </w:pPr>
      <w:r w:rsidRPr="00563AE6">
        <w:rPr>
          <w:rFonts w:cs="mylotus"/>
          <w:sz w:val="23"/>
          <w:szCs w:val="23"/>
          <w:rtl/>
        </w:rPr>
        <w:footnoteRef/>
      </w:r>
      <w:r>
        <w:rPr>
          <w:rFonts w:cs="mylotus"/>
          <w:sz w:val="23"/>
          <w:szCs w:val="23"/>
          <w:rtl/>
        </w:rPr>
        <w:t>-</w:t>
      </w:r>
      <w:r w:rsidRPr="00563AE6">
        <w:rPr>
          <w:rFonts w:cs="mylotus"/>
          <w:sz w:val="23"/>
          <w:szCs w:val="23"/>
          <w:rtl/>
        </w:rPr>
        <w:t xml:space="preserve"> </w:t>
      </w:r>
      <w:r w:rsidRPr="00563AE6">
        <w:rPr>
          <w:rFonts w:cs="mylotus" w:hint="cs"/>
          <w:sz w:val="23"/>
          <w:szCs w:val="23"/>
          <w:rtl/>
        </w:rPr>
        <w:t>طبقاً لمنهجنا، نعتبر الأحاديث التي يصدِّقُها كتاب الله تعالى ويؤيد مضمونها، أو على الأقل التي لا</w:t>
      </w:r>
      <w:r w:rsidRPr="00563AE6">
        <w:rPr>
          <w:rFonts w:cs="Times New Roman" w:hint="cs"/>
          <w:sz w:val="23"/>
          <w:szCs w:val="23"/>
          <w:rtl/>
        </w:rPr>
        <w:t> </w:t>
      </w:r>
      <w:r w:rsidRPr="00563AE6">
        <w:rPr>
          <w:rFonts w:cs="mylotus" w:hint="cs"/>
          <w:sz w:val="23"/>
          <w:szCs w:val="23"/>
          <w:rtl/>
        </w:rPr>
        <w:t>يخالفها الكتاب، صحيحةً، ولا يهمنا بعد صحة المضمون حال رجال سندها، كائناً من كانوا، بل نقبل بها لصحة مضمونها [ولو كان رجال سندها فاسدين]، وعلى العكس من ذلك إذا وجدنا أن متن حديث ومضمونه يخالف كتاب الله تعالى، أو على الأقل ليس في كتاب الله دليل عليه، فإننا لا نعتبره صحيحاً ولا</w:t>
      </w:r>
      <w:r w:rsidRPr="00563AE6">
        <w:rPr>
          <w:rFonts w:cs="Times New Roman" w:hint="cs"/>
          <w:sz w:val="23"/>
          <w:szCs w:val="23"/>
          <w:rtl/>
        </w:rPr>
        <w:t> </w:t>
      </w:r>
      <w:r w:rsidRPr="00563AE6">
        <w:rPr>
          <w:rFonts w:cs="mylotus" w:hint="cs"/>
          <w:sz w:val="23"/>
          <w:szCs w:val="23"/>
          <w:rtl/>
        </w:rPr>
        <w:t>نُعوِّلُ عليه، [ولو كان سنده مقبولاً].</w:t>
      </w:r>
    </w:p>
  </w:footnote>
  <w:footnote w:id="165">
    <w:p w:rsidR="00B31118" w:rsidRPr="00563AE6" w:rsidRDefault="00B31118" w:rsidP="00B300C9">
      <w:pPr>
        <w:spacing w:line="228" w:lineRule="auto"/>
        <w:ind w:left="378" w:hanging="378"/>
        <w:jc w:val="both"/>
        <w:rPr>
          <w:rFonts w:cs="mylotus" w:hint="cs"/>
          <w:sz w:val="23"/>
          <w:szCs w:val="23"/>
          <w:rtl/>
        </w:rPr>
      </w:pPr>
      <w:r w:rsidRPr="00563AE6">
        <w:rPr>
          <w:rFonts w:cs="mylotus"/>
          <w:sz w:val="23"/>
          <w:szCs w:val="23"/>
          <w:rtl/>
        </w:rPr>
        <w:footnoteRef/>
      </w:r>
      <w:r>
        <w:rPr>
          <w:rFonts w:cs="mylotus"/>
          <w:sz w:val="23"/>
          <w:szCs w:val="23"/>
          <w:rtl/>
        </w:rPr>
        <w:t>-</w:t>
      </w:r>
      <w:r w:rsidRPr="00563AE6">
        <w:rPr>
          <w:rFonts w:cs="mylotus" w:hint="cs"/>
          <w:sz w:val="23"/>
          <w:szCs w:val="23"/>
          <w:rtl/>
        </w:rPr>
        <w:t xml:space="preserve"> أحمد </w:t>
      </w:r>
      <w:r w:rsidRPr="00563AE6">
        <w:rPr>
          <w:rFonts w:cs="mylotus"/>
          <w:sz w:val="23"/>
          <w:szCs w:val="23"/>
          <w:rtl/>
        </w:rPr>
        <w:t>بن محمد بن خالد</w:t>
      </w:r>
      <w:r w:rsidRPr="00563AE6">
        <w:rPr>
          <w:rFonts w:cs="mylotus" w:hint="cs"/>
          <w:sz w:val="23"/>
          <w:szCs w:val="23"/>
          <w:rtl/>
        </w:rPr>
        <w:t xml:space="preserve"> البرقي من رواة حديث الشيعة الإمامية وفقهائهم القدماء في القرن الهجري الثالث، وإليه مرجع كثير من روايات الصدوق والكليني. ولد في قرية </w:t>
      </w:r>
      <w:r w:rsidRPr="00563AE6">
        <w:rPr>
          <w:rFonts w:cs="mylotus"/>
          <w:sz w:val="23"/>
          <w:szCs w:val="23"/>
          <w:rtl/>
        </w:rPr>
        <w:t>«برق‏</w:t>
      </w:r>
      <w:r w:rsidRPr="00563AE6">
        <w:rPr>
          <w:rFonts w:cs="mylotus" w:hint="cs"/>
          <w:sz w:val="23"/>
          <w:szCs w:val="23"/>
          <w:rtl/>
        </w:rPr>
        <w:t xml:space="preserve"> </w:t>
      </w:r>
      <w:r w:rsidRPr="00563AE6">
        <w:rPr>
          <w:rFonts w:cs="mylotus"/>
          <w:sz w:val="23"/>
          <w:szCs w:val="23"/>
          <w:rtl/>
        </w:rPr>
        <w:t xml:space="preserve">رود» </w:t>
      </w:r>
      <w:r w:rsidRPr="00563AE6">
        <w:rPr>
          <w:rFonts w:cs="mylotus" w:hint="cs"/>
          <w:sz w:val="23"/>
          <w:szCs w:val="23"/>
          <w:rtl/>
        </w:rPr>
        <w:t xml:space="preserve">من توابع مدينة قم وسط إيران، وأصله من الكوفة، تفقه على يد أبيه «محمد بن خالد البرقي» الذي كان من أعلام الشيعة وشيوخ الرواية وسمع الحديث منه ومن غيره ثم صار من رواة الحديث، لكن أحمد بن محمد بن عيسى الأشعري أخرجه من قم لأنه كان يكثر من رواية المراسيل ولرواية عن الضعفاء. ومع ذلك فقد وثقه رجاليو الشيعة القدماء كالنجاشي والطوسي. توفي في قم سنة </w:t>
      </w:r>
      <w:r w:rsidRPr="00563AE6">
        <w:rPr>
          <w:rFonts w:cs="mylotus"/>
          <w:sz w:val="23"/>
          <w:szCs w:val="23"/>
          <w:rtl/>
        </w:rPr>
        <w:t>274</w:t>
      </w:r>
      <w:r w:rsidRPr="00563AE6">
        <w:rPr>
          <w:rFonts w:cs="mylotus" w:hint="cs"/>
          <w:sz w:val="23"/>
          <w:szCs w:val="23"/>
          <w:rtl/>
        </w:rPr>
        <w:t>هـ</w:t>
      </w:r>
      <w:r w:rsidRPr="00563AE6">
        <w:rPr>
          <w:rFonts w:cs="mylotus"/>
          <w:sz w:val="23"/>
          <w:szCs w:val="23"/>
          <w:rtl/>
        </w:rPr>
        <w:t xml:space="preserve"> </w:t>
      </w:r>
      <w:r w:rsidRPr="00563AE6">
        <w:rPr>
          <w:rFonts w:cs="mylotus" w:hint="cs"/>
          <w:sz w:val="23"/>
          <w:szCs w:val="23"/>
          <w:rtl/>
        </w:rPr>
        <w:t>وقيل سنة</w:t>
      </w:r>
      <w:r w:rsidRPr="00563AE6">
        <w:rPr>
          <w:rFonts w:cs="mylotus"/>
          <w:sz w:val="23"/>
          <w:szCs w:val="23"/>
          <w:rtl/>
        </w:rPr>
        <w:t xml:space="preserve"> 280 ه</w:t>
      </w:r>
      <w:r w:rsidRPr="00563AE6">
        <w:rPr>
          <w:rFonts w:cs="mylotus" w:hint="cs"/>
          <w:sz w:val="23"/>
          <w:szCs w:val="23"/>
          <w:rtl/>
        </w:rPr>
        <w:t>ـ. (المترجِم)</w:t>
      </w:r>
    </w:p>
  </w:footnote>
  <w:footnote w:id="166">
    <w:p w:rsidR="00B31118" w:rsidRPr="00563AE6" w:rsidRDefault="00B31118" w:rsidP="00B300C9">
      <w:pPr>
        <w:spacing w:line="228" w:lineRule="auto"/>
        <w:ind w:left="378" w:hanging="378"/>
        <w:jc w:val="both"/>
        <w:rPr>
          <w:rFonts w:cs="mylotus" w:hint="cs"/>
          <w:sz w:val="23"/>
          <w:szCs w:val="23"/>
          <w:rtl/>
        </w:rPr>
      </w:pPr>
      <w:r w:rsidRPr="00563AE6">
        <w:rPr>
          <w:rFonts w:cs="mylotus"/>
          <w:sz w:val="23"/>
          <w:szCs w:val="23"/>
          <w:rtl/>
        </w:rPr>
        <w:footnoteRef/>
      </w:r>
      <w:r>
        <w:rPr>
          <w:rFonts w:cs="mylotus"/>
          <w:sz w:val="23"/>
          <w:szCs w:val="23"/>
          <w:rtl/>
        </w:rPr>
        <w:t>-</w:t>
      </w:r>
      <w:r w:rsidRPr="00563AE6">
        <w:rPr>
          <w:rFonts w:cs="mylotus" w:hint="cs"/>
          <w:sz w:val="23"/>
          <w:szCs w:val="23"/>
          <w:rtl/>
        </w:rPr>
        <w:t xml:space="preserve"> </w:t>
      </w:r>
      <w:r w:rsidRPr="00563AE6">
        <w:rPr>
          <w:rFonts w:cs="mylotus"/>
          <w:sz w:val="23"/>
          <w:szCs w:val="23"/>
          <w:rtl/>
        </w:rPr>
        <w:t>أحمد بن محمد بن خالد البرقي المحاسن</w:t>
      </w:r>
      <w:r w:rsidRPr="00563AE6">
        <w:rPr>
          <w:rFonts w:cs="mylotus" w:hint="cs"/>
          <w:sz w:val="23"/>
          <w:szCs w:val="23"/>
          <w:rtl/>
        </w:rPr>
        <w:t xml:space="preserve">، </w:t>
      </w:r>
      <w:r w:rsidRPr="00563AE6">
        <w:rPr>
          <w:rFonts w:cs="mylotus"/>
          <w:sz w:val="23"/>
          <w:szCs w:val="23"/>
          <w:rtl/>
        </w:rPr>
        <w:t>طبع طهران</w:t>
      </w:r>
      <w:r w:rsidRPr="00563AE6">
        <w:rPr>
          <w:rFonts w:cs="mylotus" w:hint="cs"/>
          <w:sz w:val="23"/>
          <w:szCs w:val="23"/>
          <w:rtl/>
        </w:rPr>
        <w:t>،</w:t>
      </w:r>
      <w:r w:rsidRPr="00563AE6">
        <w:rPr>
          <w:rFonts w:cs="mylotus"/>
          <w:sz w:val="23"/>
          <w:szCs w:val="23"/>
          <w:rtl/>
        </w:rPr>
        <w:t xml:space="preserve"> ج1، ص145</w:t>
      </w:r>
      <w:r w:rsidRPr="00563AE6">
        <w:rPr>
          <w:rFonts w:cs="mylotus" w:hint="cs"/>
          <w:sz w:val="23"/>
          <w:szCs w:val="23"/>
          <w:rtl/>
        </w:rPr>
        <w:t xml:space="preserve">.  ونقول: يتبين من عدد من الأحاديث المروية من طرق العامة [ أهل السنة] والخاصة [الشيعة] أن كراهة الأكل من مال الزكاة التي تل إلى حد الحرمة ليست منحصرة برسول الله </w:t>
      </w:r>
      <w:r w:rsidRPr="003C7AEB">
        <w:rPr>
          <w:rFonts w:ascii="Abo-thar" w:hAnsi="Abo-thar" w:cs="CTraditional Arabic"/>
          <w:sz w:val="23"/>
          <w:szCs w:val="23"/>
          <w:rtl/>
        </w:rPr>
        <w:t>ص</w:t>
      </w:r>
      <w:r w:rsidRPr="00563AE6">
        <w:rPr>
          <w:rFonts w:ascii="Abo-thar" w:hAnsi="Abo-thar" w:cs="mylotus"/>
          <w:sz w:val="23"/>
          <w:szCs w:val="23"/>
          <w:rtl/>
        </w:rPr>
        <w:t xml:space="preserve"> </w:t>
      </w:r>
      <w:r w:rsidRPr="00563AE6">
        <w:rPr>
          <w:rFonts w:cs="mylotus" w:hint="cs"/>
          <w:sz w:val="23"/>
          <w:szCs w:val="23"/>
          <w:rtl/>
        </w:rPr>
        <w:t>وحده بل إن ذلك مكروه أو حرام على جميع زعماء وحكام الإسلام كما نجد ذلك في كتاب فقه الزكاة (ج2، ص735) وكتاب البحر الزخار (ج2، ص184) حيث نصَّا على أن الصدقة لا تحل للإمام كما لا تحل للرسول، واستدلا بتقيُّؤِ عمر بن الخطاب لبن الصدقة وأنه بمجرد علمه بأن ما شربه من لبن كان من مواشي الزكاة سارع إلى تقيُّئه.</w:t>
      </w:r>
    </w:p>
    <w:p w:rsidR="00B31118" w:rsidRPr="00563AE6" w:rsidRDefault="00B31118" w:rsidP="00B300C9">
      <w:pPr>
        <w:spacing w:line="228" w:lineRule="auto"/>
        <w:ind w:left="378"/>
        <w:jc w:val="both"/>
        <w:rPr>
          <w:rFonts w:cs="mylotus" w:hint="cs"/>
          <w:sz w:val="23"/>
          <w:szCs w:val="23"/>
          <w:rtl/>
        </w:rPr>
      </w:pPr>
      <w:r w:rsidRPr="00563AE6">
        <w:rPr>
          <w:rFonts w:cs="mylotus" w:hint="cs"/>
          <w:sz w:val="23"/>
          <w:szCs w:val="23"/>
          <w:rtl/>
        </w:rPr>
        <w:t xml:space="preserve">كما أن عبادة بن الصامت الذي كان أكابر صحابة رسول الله </w:t>
      </w:r>
      <w:r w:rsidRPr="003C7AEB">
        <w:rPr>
          <w:rFonts w:ascii="Abo-thar" w:hAnsi="Abo-thar" w:cs="CTraditional Arabic"/>
          <w:sz w:val="23"/>
          <w:szCs w:val="23"/>
          <w:rtl/>
        </w:rPr>
        <w:t>ص</w:t>
      </w:r>
      <w:r w:rsidRPr="00563AE6">
        <w:rPr>
          <w:rFonts w:ascii="Abo-thar" w:hAnsi="Abo-thar" w:cs="mylotus"/>
          <w:sz w:val="23"/>
          <w:szCs w:val="23"/>
          <w:rtl/>
        </w:rPr>
        <w:t xml:space="preserve"> </w:t>
      </w:r>
      <w:r w:rsidRPr="00563AE6">
        <w:rPr>
          <w:rFonts w:cs="mylotus" w:hint="cs"/>
          <w:sz w:val="23"/>
          <w:szCs w:val="23"/>
          <w:rtl/>
        </w:rPr>
        <w:t xml:space="preserve">كان يأبى أن يعمل بجباية الصدقات، والواقع أن كراهة الأكل من مال الصدقة لم يكن مقتصراً على أقرباء النبي وآله وكبار أصحابه، بل إن أكثر المسلمين كانوا غير راغبين بأخذ المال الذي يأتي عن طريق الزكاة. </w:t>
      </w:r>
    </w:p>
  </w:footnote>
  <w:footnote w:id="167">
    <w:p w:rsidR="00B31118" w:rsidRPr="00563AE6" w:rsidRDefault="00B31118" w:rsidP="00B300C9">
      <w:pPr>
        <w:spacing w:line="228" w:lineRule="auto"/>
        <w:ind w:left="378" w:hanging="378"/>
        <w:jc w:val="both"/>
        <w:rPr>
          <w:rFonts w:cs="mylotus" w:hint="cs"/>
          <w:sz w:val="23"/>
          <w:szCs w:val="23"/>
          <w:rtl/>
        </w:rPr>
      </w:pPr>
      <w:r w:rsidRPr="00563AE6">
        <w:rPr>
          <w:rFonts w:cs="mylotus"/>
          <w:sz w:val="23"/>
          <w:szCs w:val="23"/>
          <w:rtl/>
        </w:rPr>
        <w:footnoteRef/>
      </w:r>
      <w:r>
        <w:rPr>
          <w:rFonts w:cs="mylotus"/>
          <w:sz w:val="23"/>
          <w:szCs w:val="23"/>
          <w:rtl/>
        </w:rPr>
        <w:t>-</w:t>
      </w:r>
      <w:r w:rsidRPr="00563AE6">
        <w:rPr>
          <w:rFonts w:cs="mylotus" w:hint="cs"/>
          <w:sz w:val="23"/>
          <w:szCs w:val="23"/>
          <w:rtl/>
        </w:rPr>
        <w:t xml:space="preserve"> الشيخ الطوسي، تهذيب الأحكام، </w:t>
      </w:r>
      <w:r w:rsidRPr="00563AE6">
        <w:rPr>
          <w:rFonts w:cs="mylotus"/>
          <w:sz w:val="23"/>
          <w:szCs w:val="23"/>
          <w:rtl/>
        </w:rPr>
        <w:t>ج4، ص61، طبع النجف</w:t>
      </w:r>
      <w:r w:rsidRPr="00563AE6">
        <w:rPr>
          <w:rFonts w:cs="mylotus" w:hint="cs"/>
          <w:sz w:val="23"/>
          <w:szCs w:val="23"/>
          <w:rtl/>
        </w:rPr>
        <w:t>.</w:t>
      </w:r>
    </w:p>
  </w:footnote>
  <w:footnote w:id="168">
    <w:p w:rsidR="00B31118" w:rsidRPr="00563AE6" w:rsidRDefault="00B31118" w:rsidP="00B300C9">
      <w:pPr>
        <w:spacing w:line="228" w:lineRule="auto"/>
        <w:ind w:left="378" w:hanging="378"/>
        <w:jc w:val="both"/>
        <w:rPr>
          <w:rFonts w:cs="mylotus" w:hint="cs"/>
          <w:sz w:val="23"/>
          <w:szCs w:val="23"/>
          <w:rtl/>
        </w:rPr>
      </w:pPr>
      <w:r w:rsidRPr="00563AE6">
        <w:rPr>
          <w:rFonts w:cs="mylotus"/>
          <w:sz w:val="23"/>
          <w:szCs w:val="23"/>
          <w:rtl/>
        </w:rPr>
        <w:footnoteRef/>
      </w:r>
      <w:r>
        <w:rPr>
          <w:rFonts w:cs="mylotus"/>
          <w:sz w:val="23"/>
          <w:szCs w:val="23"/>
          <w:rtl/>
        </w:rPr>
        <w:t>-</w:t>
      </w:r>
      <w:r w:rsidRPr="00563AE6">
        <w:rPr>
          <w:rFonts w:cs="mylotus" w:hint="cs"/>
          <w:sz w:val="23"/>
          <w:szCs w:val="23"/>
          <w:rtl/>
        </w:rPr>
        <w:t xml:space="preserve"> انظر: ج2، ص 37، طبع أمير بهادر.</w:t>
      </w:r>
    </w:p>
  </w:footnote>
  <w:footnote w:id="169">
    <w:p w:rsidR="00B31118" w:rsidRPr="00563AE6" w:rsidRDefault="00B31118" w:rsidP="00B300C9">
      <w:pPr>
        <w:spacing w:line="228" w:lineRule="auto"/>
        <w:ind w:left="378" w:hanging="378"/>
        <w:jc w:val="both"/>
        <w:rPr>
          <w:rFonts w:cs="mylotus" w:hint="cs"/>
          <w:sz w:val="23"/>
          <w:szCs w:val="23"/>
          <w:rtl/>
        </w:rPr>
      </w:pPr>
      <w:r w:rsidRPr="00563AE6">
        <w:rPr>
          <w:rFonts w:cs="mylotus"/>
          <w:sz w:val="23"/>
          <w:szCs w:val="23"/>
          <w:rtl/>
        </w:rPr>
        <w:footnoteRef/>
      </w:r>
      <w:r>
        <w:rPr>
          <w:rFonts w:cs="mylotus"/>
          <w:sz w:val="23"/>
          <w:szCs w:val="23"/>
          <w:rtl/>
        </w:rPr>
        <w:t>-</w:t>
      </w:r>
      <w:r w:rsidRPr="00563AE6">
        <w:rPr>
          <w:rFonts w:cs="mylotus"/>
          <w:sz w:val="23"/>
          <w:szCs w:val="23"/>
          <w:rtl/>
        </w:rPr>
        <w:t xml:space="preserve"> </w:t>
      </w:r>
      <w:r w:rsidRPr="00563AE6">
        <w:rPr>
          <w:rFonts w:cs="mylotus" w:hint="cs"/>
          <w:sz w:val="23"/>
          <w:szCs w:val="23"/>
          <w:rtl/>
        </w:rPr>
        <w:t xml:space="preserve">تفسير الإمام العسكري، ص 79، وهو في وسائل الشيعة، </w:t>
      </w:r>
      <w:r w:rsidRPr="00563AE6">
        <w:rPr>
          <w:rFonts w:cs="mylotus"/>
          <w:sz w:val="23"/>
          <w:szCs w:val="23"/>
          <w:rtl/>
        </w:rPr>
        <w:t>ج 9</w:t>
      </w:r>
      <w:r w:rsidRPr="00563AE6">
        <w:rPr>
          <w:rFonts w:cs="mylotus" w:hint="cs"/>
          <w:sz w:val="23"/>
          <w:szCs w:val="23"/>
          <w:rtl/>
        </w:rPr>
        <w:t xml:space="preserve">، </w:t>
      </w:r>
      <w:r w:rsidRPr="00563AE6">
        <w:rPr>
          <w:rFonts w:cs="mylotus"/>
          <w:sz w:val="23"/>
          <w:szCs w:val="23"/>
          <w:rtl/>
        </w:rPr>
        <w:t>ص229</w:t>
      </w:r>
      <w:r w:rsidRPr="00563AE6">
        <w:rPr>
          <w:rFonts w:cs="mylotus" w:hint="cs"/>
          <w:sz w:val="23"/>
          <w:szCs w:val="23"/>
          <w:rtl/>
        </w:rPr>
        <w:t xml:space="preserve">، وبحار الأنوار، </w:t>
      </w:r>
      <w:r w:rsidRPr="00563AE6">
        <w:rPr>
          <w:rFonts w:cs="mylotus"/>
          <w:sz w:val="23"/>
          <w:szCs w:val="23"/>
          <w:rtl/>
        </w:rPr>
        <w:t>ج 93</w:t>
      </w:r>
      <w:r w:rsidRPr="00563AE6">
        <w:rPr>
          <w:rFonts w:cs="mylotus" w:hint="cs"/>
          <w:sz w:val="23"/>
          <w:szCs w:val="23"/>
          <w:rtl/>
        </w:rPr>
        <w:t xml:space="preserve">، </w:t>
      </w:r>
      <w:r w:rsidRPr="00563AE6">
        <w:rPr>
          <w:rFonts w:cs="mylotus"/>
          <w:sz w:val="23"/>
          <w:szCs w:val="23"/>
          <w:rtl/>
        </w:rPr>
        <w:t>ص 68</w:t>
      </w:r>
      <w:r w:rsidRPr="00563AE6">
        <w:rPr>
          <w:rFonts w:cs="mylotus" w:hint="cs"/>
          <w:sz w:val="23"/>
          <w:szCs w:val="23"/>
          <w:rtl/>
        </w:rPr>
        <w:t>. (المترجِم)</w:t>
      </w:r>
    </w:p>
  </w:footnote>
  <w:footnote w:id="170">
    <w:p w:rsidR="00B31118" w:rsidRPr="00563AE6" w:rsidRDefault="00B31118" w:rsidP="00B300C9">
      <w:pPr>
        <w:spacing w:line="228" w:lineRule="auto"/>
        <w:ind w:left="378" w:hanging="378"/>
        <w:jc w:val="both"/>
        <w:rPr>
          <w:rFonts w:cs="mylotus" w:hint="cs"/>
          <w:sz w:val="23"/>
          <w:szCs w:val="23"/>
          <w:rtl/>
        </w:rPr>
      </w:pPr>
      <w:r w:rsidRPr="00563AE6">
        <w:rPr>
          <w:rFonts w:cs="mylotus"/>
          <w:sz w:val="23"/>
          <w:szCs w:val="23"/>
          <w:rtl/>
        </w:rPr>
        <w:footnoteRef/>
      </w:r>
      <w:r>
        <w:rPr>
          <w:rFonts w:cs="mylotus"/>
          <w:sz w:val="23"/>
          <w:szCs w:val="23"/>
          <w:rtl/>
        </w:rPr>
        <w:t>-</w:t>
      </w:r>
      <w:r w:rsidRPr="00563AE6">
        <w:rPr>
          <w:rFonts w:cs="mylotus" w:hint="cs"/>
          <w:sz w:val="23"/>
          <w:szCs w:val="23"/>
          <w:rtl/>
        </w:rPr>
        <w:t xml:space="preserve"> الشيخ الصدوق، </w:t>
      </w:r>
      <w:r w:rsidRPr="00563AE6">
        <w:rPr>
          <w:rFonts w:cs="mylotus"/>
          <w:sz w:val="23"/>
          <w:szCs w:val="23"/>
          <w:rtl/>
        </w:rPr>
        <w:t>من لا يحضره‏ الفقيه، ج 2، ص 38</w:t>
      </w:r>
      <w:r w:rsidRPr="00563AE6">
        <w:rPr>
          <w:rFonts w:cs="mylotus" w:hint="cs"/>
          <w:sz w:val="23"/>
          <w:szCs w:val="23"/>
          <w:rtl/>
        </w:rPr>
        <w:t>.</w:t>
      </w:r>
      <w:r w:rsidRPr="00563AE6">
        <w:rPr>
          <w:rFonts w:cs="mylotus"/>
          <w:sz w:val="23"/>
          <w:szCs w:val="23"/>
          <w:rtl/>
        </w:rPr>
        <w:t xml:space="preserve"> </w:t>
      </w:r>
      <w:r w:rsidRPr="00563AE6">
        <w:rPr>
          <w:rFonts w:cs="mylotus" w:hint="cs"/>
          <w:sz w:val="23"/>
          <w:szCs w:val="23"/>
          <w:rtl/>
        </w:rPr>
        <w:t>وهو في تهذيب الأحكام، ج4، ص60-61، وفي الاستبصار للشيخ الطوسي أيضاً. (المترجِم)</w:t>
      </w:r>
    </w:p>
  </w:footnote>
  <w:footnote w:id="171">
    <w:p w:rsidR="00B31118" w:rsidRPr="00563AE6" w:rsidRDefault="00B31118" w:rsidP="00B300C9">
      <w:pPr>
        <w:spacing w:line="228" w:lineRule="auto"/>
        <w:ind w:left="378" w:hanging="378"/>
        <w:jc w:val="both"/>
        <w:rPr>
          <w:rFonts w:cs="mylotus" w:hint="cs"/>
          <w:sz w:val="23"/>
          <w:szCs w:val="23"/>
          <w:rtl/>
        </w:rPr>
      </w:pPr>
      <w:r w:rsidRPr="00563AE6">
        <w:rPr>
          <w:rFonts w:cs="mylotus"/>
          <w:sz w:val="23"/>
          <w:szCs w:val="23"/>
          <w:rtl/>
        </w:rPr>
        <w:footnoteRef/>
      </w:r>
      <w:r>
        <w:rPr>
          <w:rFonts w:cs="mylotus"/>
          <w:sz w:val="23"/>
          <w:szCs w:val="23"/>
          <w:rtl/>
        </w:rPr>
        <w:t>-</w:t>
      </w:r>
      <w:r w:rsidRPr="00563AE6">
        <w:rPr>
          <w:rFonts w:cs="mylotus"/>
          <w:sz w:val="23"/>
          <w:szCs w:val="23"/>
          <w:rtl/>
        </w:rPr>
        <w:t xml:space="preserve"> </w:t>
      </w:r>
      <w:r w:rsidRPr="00563AE6">
        <w:rPr>
          <w:rFonts w:cs="mylotus" w:hint="cs"/>
          <w:sz w:val="23"/>
          <w:szCs w:val="23"/>
          <w:rtl/>
        </w:rPr>
        <w:t xml:space="preserve">الكُلَيْنِيّ، الكافي، </w:t>
      </w:r>
      <w:r w:rsidRPr="00563AE6">
        <w:rPr>
          <w:rFonts w:cs="mylotus"/>
          <w:sz w:val="23"/>
          <w:szCs w:val="23"/>
          <w:rtl/>
        </w:rPr>
        <w:t>ج 4</w:t>
      </w:r>
      <w:r w:rsidRPr="00563AE6">
        <w:rPr>
          <w:rFonts w:cs="mylotus" w:hint="cs"/>
          <w:sz w:val="23"/>
          <w:szCs w:val="23"/>
          <w:rtl/>
        </w:rPr>
        <w:t xml:space="preserve">، </w:t>
      </w:r>
      <w:r w:rsidRPr="00563AE6">
        <w:rPr>
          <w:rFonts w:cs="mylotus"/>
          <w:sz w:val="23"/>
          <w:szCs w:val="23"/>
          <w:rtl/>
        </w:rPr>
        <w:t>ص 174</w:t>
      </w:r>
      <w:r w:rsidRPr="00563AE6">
        <w:rPr>
          <w:rFonts w:cs="mylotus" w:hint="cs"/>
          <w:sz w:val="23"/>
          <w:szCs w:val="23"/>
          <w:rtl/>
        </w:rPr>
        <w:t>، ونص الحديث: «</w:t>
      </w:r>
      <w:r w:rsidRPr="00563AE6">
        <w:rPr>
          <w:rFonts w:cs="mylotus"/>
          <w:sz w:val="23"/>
          <w:szCs w:val="23"/>
          <w:rtl/>
        </w:rPr>
        <w:t xml:space="preserve">22- مُحَمَّدُ بْنُ يَحْيَى عَنْ بُنَانِ بْنِ مُحَمَّدٍ عَنْ أَخِيهِ عَبْدِ الرَّحْمَنِ بْنِ مُحَمَّدٍ عَنْ مُحَمَّدِ بْنِ إِسْمَاعِيلَ قَالَ بَعَثْتُ إِلَى أَبِي الْحَسَنِ الرِّضَا </w:t>
      </w:r>
      <w:r w:rsidRPr="00BC4BA9">
        <w:rPr>
          <w:rFonts w:cs="CTraditional Arabic" w:hint="cs"/>
          <w:sz w:val="23"/>
          <w:szCs w:val="23"/>
          <w:rtl/>
        </w:rPr>
        <w:t>÷</w:t>
      </w:r>
      <w:r w:rsidRPr="00563AE6">
        <w:rPr>
          <w:rFonts w:cs="mylotus"/>
          <w:sz w:val="23"/>
          <w:szCs w:val="23"/>
          <w:rtl/>
        </w:rPr>
        <w:t xml:space="preserve"> بِدَرَاهِمَ لِي وَلِغَيْرِي وَكَتَبْتُ إِلَيْهِ أُخْبِرُهُ أَنَّهَا مِنْ فِطْرَةِ الْعِيَالِ فَكَتَبَ بِخَطِّهِ قَبَضْتُ وَقَبِلْتُ</w:t>
      </w:r>
      <w:r w:rsidRPr="00563AE6">
        <w:rPr>
          <w:rFonts w:cs="mylotus" w:hint="cs"/>
          <w:sz w:val="23"/>
          <w:szCs w:val="23"/>
          <w:rtl/>
        </w:rPr>
        <w:t>». (المترجِم)</w:t>
      </w:r>
    </w:p>
  </w:footnote>
  <w:footnote w:id="172">
    <w:p w:rsidR="00B31118" w:rsidRPr="00563AE6" w:rsidRDefault="00B31118" w:rsidP="00B300C9">
      <w:pPr>
        <w:spacing w:line="228" w:lineRule="auto"/>
        <w:ind w:left="378" w:hanging="378"/>
        <w:jc w:val="both"/>
        <w:rPr>
          <w:rFonts w:cs="mylotus" w:hint="cs"/>
          <w:sz w:val="23"/>
          <w:szCs w:val="23"/>
          <w:rtl/>
        </w:rPr>
      </w:pPr>
      <w:r w:rsidRPr="00563AE6">
        <w:rPr>
          <w:rFonts w:cs="mylotus"/>
          <w:sz w:val="23"/>
          <w:szCs w:val="23"/>
          <w:rtl/>
        </w:rPr>
        <w:footnoteRef/>
      </w:r>
      <w:r>
        <w:rPr>
          <w:rFonts w:cs="mylotus"/>
          <w:sz w:val="23"/>
          <w:szCs w:val="23"/>
          <w:rtl/>
        </w:rPr>
        <w:t>-</w:t>
      </w:r>
      <w:r w:rsidRPr="00563AE6">
        <w:rPr>
          <w:rFonts w:cs="mylotus" w:hint="cs"/>
          <w:sz w:val="23"/>
          <w:szCs w:val="23"/>
          <w:rtl/>
        </w:rPr>
        <w:t xml:space="preserve"> الشيخ الطوسي، </w:t>
      </w:r>
      <w:r w:rsidRPr="00563AE6">
        <w:rPr>
          <w:rFonts w:cs="mylotus"/>
          <w:sz w:val="23"/>
          <w:szCs w:val="23"/>
          <w:rtl/>
        </w:rPr>
        <w:t>تهذيب‏الأحكام</w:t>
      </w:r>
      <w:r w:rsidRPr="00563AE6">
        <w:rPr>
          <w:rFonts w:cs="mylotus" w:hint="cs"/>
          <w:sz w:val="23"/>
          <w:szCs w:val="23"/>
          <w:rtl/>
        </w:rPr>
        <w:t xml:space="preserve">، </w:t>
      </w:r>
      <w:r w:rsidRPr="00563AE6">
        <w:rPr>
          <w:rFonts w:cs="mylotus"/>
          <w:sz w:val="23"/>
          <w:szCs w:val="23"/>
          <w:rtl/>
        </w:rPr>
        <w:t>ج</w:t>
      </w:r>
      <w:r w:rsidRPr="00563AE6">
        <w:rPr>
          <w:rFonts w:cs="mylotus" w:hint="cs"/>
          <w:sz w:val="23"/>
          <w:szCs w:val="23"/>
          <w:rtl/>
        </w:rPr>
        <w:t xml:space="preserve"> </w:t>
      </w:r>
      <w:r w:rsidRPr="00563AE6">
        <w:rPr>
          <w:rFonts w:cs="mylotus"/>
          <w:sz w:val="23"/>
          <w:szCs w:val="23"/>
          <w:rtl/>
        </w:rPr>
        <w:t>4</w:t>
      </w:r>
      <w:r w:rsidRPr="00563AE6">
        <w:rPr>
          <w:rFonts w:cs="mylotus" w:hint="cs"/>
          <w:sz w:val="23"/>
          <w:szCs w:val="23"/>
          <w:rtl/>
        </w:rPr>
        <w:t xml:space="preserve">، </w:t>
      </w:r>
      <w:r w:rsidRPr="00563AE6">
        <w:rPr>
          <w:rFonts w:cs="mylotus"/>
          <w:sz w:val="23"/>
          <w:szCs w:val="23"/>
          <w:rtl/>
        </w:rPr>
        <w:t>ص</w:t>
      </w:r>
      <w:r w:rsidRPr="00563AE6">
        <w:rPr>
          <w:rFonts w:cs="mylotus" w:hint="cs"/>
          <w:sz w:val="23"/>
          <w:szCs w:val="23"/>
          <w:rtl/>
        </w:rPr>
        <w:t xml:space="preserve"> </w:t>
      </w:r>
      <w:r w:rsidRPr="00563AE6">
        <w:rPr>
          <w:rFonts w:cs="mylotus"/>
          <w:sz w:val="23"/>
          <w:szCs w:val="23"/>
          <w:rtl/>
        </w:rPr>
        <w:t>91</w:t>
      </w:r>
      <w:r w:rsidRPr="00563AE6">
        <w:rPr>
          <w:rFonts w:cs="mylotus" w:hint="cs"/>
          <w:sz w:val="23"/>
          <w:szCs w:val="23"/>
          <w:rtl/>
        </w:rPr>
        <w:t>، والحر العاملي، و</w:t>
      </w:r>
      <w:r w:rsidRPr="00563AE6">
        <w:rPr>
          <w:rFonts w:cs="mylotus"/>
          <w:sz w:val="23"/>
          <w:szCs w:val="23"/>
          <w:rtl/>
        </w:rPr>
        <w:t>سائل</w:t>
      </w:r>
      <w:r w:rsidRPr="00563AE6">
        <w:rPr>
          <w:rFonts w:cs="mylotus" w:hint="cs"/>
          <w:sz w:val="23"/>
          <w:szCs w:val="23"/>
          <w:rtl/>
        </w:rPr>
        <w:t xml:space="preserve"> </w:t>
      </w:r>
      <w:r w:rsidRPr="00563AE6">
        <w:rPr>
          <w:rFonts w:cs="mylotus"/>
          <w:sz w:val="23"/>
          <w:szCs w:val="23"/>
          <w:rtl/>
        </w:rPr>
        <w:t>‏الشيعة</w:t>
      </w:r>
      <w:r w:rsidRPr="00563AE6">
        <w:rPr>
          <w:rFonts w:cs="mylotus" w:hint="cs"/>
          <w:sz w:val="23"/>
          <w:szCs w:val="23"/>
          <w:rtl/>
        </w:rPr>
        <w:t>،</w:t>
      </w:r>
      <w:r w:rsidRPr="00563AE6">
        <w:rPr>
          <w:rFonts w:cs="mylotus"/>
          <w:sz w:val="23"/>
          <w:szCs w:val="23"/>
          <w:rtl/>
        </w:rPr>
        <w:t xml:space="preserve"> ج9</w:t>
      </w:r>
      <w:r w:rsidRPr="00563AE6">
        <w:rPr>
          <w:rFonts w:cs="mylotus" w:hint="cs"/>
          <w:sz w:val="23"/>
          <w:szCs w:val="23"/>
          <w:rtl/>
        </w:rPr>
        <w:t xml:space="preserve">، </w:t>
      </w:r>
      <w:r w:rsidRPr="00563AE6">
        <w:rPr>
          <w:rFonts w:cs="mylotus"/>
          <w:sz w:val="23"/>
          <w:szCs w:val="23"/>
          <w:rtl/>
        </w:rPr>
        <w:t>ص346</w:t>
      </w:r>
      <w:r w:rsidRPr="00563AE6">
        <w:rPr>
          <w:rFonts w:cs="mylotus" w:hint="cs"/>
          <w:sz w:val="23"/>
          <w:szCs w:val="23"/>
          <w:rtl/>
        </w:rPr>
        <w:t>. (المترجِم)</w:t>
      </w:r>
    </w:p>
  </w:footnote>
  <w:footnote w:id="173">
    <w:p w:rsidR="00B31118" w:rsidRPr="00563AE6" w:rsidRDefault="00B31118" w:rsidP="00B300C9">
      <w:pPr>
        <w:spacing w:line="228" w:lineRule="auto"/>
        <w:ind w:left="378" w:hanging="378"/>
        <w:jc w:val="both"/>
        <w:rPr>
          <w:rFonts w:cs="mylotus" w:hint="cs"/>
          <w:sz w:val="23"/>
          <w:szCs w:val="23"/>
        </w:rPr>
      </w:pPr>
      <w:r w:rsidRPr="00563AE6">
        <w:rPr>
          <w:rFonts w:cs="mylotus"/>
          <w:sz w:val="23"/>
          <w:szCs w:val="23"/>
          <w:rtl/>
        </w:rPr>
        <w:footnoteRef/>
      </w:r>
      <w:r>
        <w:rPr>
          <w:rFonts w:cs="mylotus"/>
          <w:sz w:val="23"/>
          <w:szCs w:val="23"/>
          <w:rtl/>
        </w:rPr>
        <w:t>-</w:t>
      </w:r>
      <w:r w:rsidRPr="00563AE6">
        <w:rPr>
          <w:rFonts w:cs="mylotus"/>
          <w:sz w:val="23"/>
          <w:szCs w:val="23"/>
          <w:rtl/>
        </w:rPr>
        <w:t xml:space="preserve"> </w:t>
      </w:r>
      <w:r w:rsidRPr="00563AE6">
        <w:rPr>
          <w:rFonts w:cs="mylotus" w:hint="cs"/>
          <w:sz w:val="23"/>
          <w:szCs w:val="23"/>
          <w:rtl/>
        </w:rPr>
        <w:t xml:space="preserve">الشيخ الطوسي، </w:t>
      </w:r>
      <w:r w:rsidRPr="00563AE6">
        <w:rPr>
          <w:rFonts w:cs="mylotus"/>
          <w:sz w:val="23"/>
          <w:szCs w:val="23"/>
          <w:rtl/>
        </w:rPr>
        <w:t>تهذيب‏</w:t>
      </w:r>
      <w:r w:rsidRPr="00563AE6">
        <w:rPr>
          <w:rFonts w:cs="mylotus" w:hint="cs"/>
          <w:sz w:val="23"/>
          <w:szCs w:val="23"/>
          <w:rtl/>
        </w:rPr>
        <w:t xml:space="preserve"> </w:t>
      </w:r>
      <w:r w:rsidRPr="00563AE6">
        <w:rPr>
          <w:rFonts w:cs="mylotus"/>
          <w:sz w:val="23"/>
          <w:szCs w:val="23"/>
          <w:rtl/>
        </w:rPr>
        <w:t>الأحكام، ج</w:t>
      </w:r>
      <w:r w:rsidRPr="00563AE6">
        <w:rPr>
          <w:rFonts w:cs="mylotus" w:hint="cs"/>
          <w:sz w:val="23"/>
          <w:szCs w:val="23"/>
          <w:rtl/>
        </w:rPr>
        <w:t xml:space="preserve"> </w:t>
      </w:r>
      <w:r w:rsidRPr="00563AE6">
        <w:rPr>
          <w:rFonts w:cs="mylotus"/>
          <w:sz w:val="23"/>
          <w:szCs w:val="23"/>
          <w:rtl/>
        </w:rPr>
        <w:t>4، ص 88- 89</w:t>
      </w:r>
      <w:r w:rsidRPr="00563AE6">
        <w:rPr>
          <w:rFonts w:cs="mylotus" w:hint="cs"/>
          <w:sz w:val="23"/>
          <w:szCs w:val="23"/>
          <w:rtl/>
        </w:rPr>
        <w:t>. (المترجِم)</w:t>
      </w:r>
    </w:p>
  </w:footnote>
  <w:footnote w:id="174">
    <w:p w:rsidR="00B31118" w:rsidRPr="00563AE6" w:rsidRDefault="00B31118" w:rsidP="00B300C9">
      <w:pPr>
        <w:spacing w:line="228" w:lineRule="auto"/>
        <w:ind w:left="378" w:hanging="378"/>
        <w:jc w:val="both"/>
        <w:rPr>
          <w:rFonts w:cs="mylotus" w:hint="cs"/>
          <w:sz w:val="23"/>
          <w:szCs w:val="23"/>
          <w:rtl/>
        </w:rPr>
      </w:pPr>
      <w:r w:rsidRPr="00563AE6">
        <w:rPr>
          <w:rFonts w:cs="mylotus"/>
          <w:sz w:val="23"/>
          <w:szCs w:val="23"/>
          <w:rtl/>
        </w:rPr>
        <w:footnoteRef/>
      </w:r>
      <w:r>
        <w:rPr>
          <w:rFonts w:cs="mylotus"/>
          <w:sz w:val="23"/>
          <w:szCs w:val="23"/>
          <w:rtl/>
        </w:rPr>
        <w:t>-</w:t>
      </w:r>
      <w:r w:rsidRPr="00563AE6">
        <w:rPr>
          <w:rFonts w:cs="mylotus" w:hint="cs"/>
          <w:sz w:val="23"/>
          <w:szCs w:val="23"/>
          <w:rtl/>
        </w:rPr>
        <w:t xml:space="preserve"> المجلسي، بحار الأنوار، ج 29، ص 202، من الطبعة الجديدة. (المترجِم)</w:t>
      </w:r>
    </w:p>
  </w:footnote>
  <w:footnote w:id="175">
    <w:p w:rsidR="00B31118" w:rsidRPr="00563AE6" w:rsidRDefault="00B31118" w:rsidP="00B300C9">
      <w:pPr>
        <w:spacing w:line="228" w:lineRule="auto"/>
        <w:ind w:left="378" w:hanging="378"/>
        <w:jc w:val="both"/>
        <w:rPr>
          <w:rFonts w:cs="mylotus" w:hint="cs"/>
          <w:sz w:val="23"/>
          <w:szCs w:val="23"/>
          <w:rtl/>
        </w:rPr>
      </w:pPr>
      <w:r w:rsidRPr="00563AE6">
        <w:rPr>
          <w:rFonts w:cs="mylotus"/>
          <w:sz w:val="23"/>
          <w:szCs w:val="23"/>
          <w:rtl/>
        </w:rPr>
        <w:footnoteRef/>
      </w:r>
      <w:r>
        <w:rPr>
          <w:rFonts w:cs="mylotus"/>
          <w:sz w:val="23"/>
          <w:szCs w:val="23"/>
          <w:rtl/>
        </w:rPr>
        <w:t>-</w:t>
      </w:r>
      <w:r w:rsidRPr="00563AE6">
        <w:rPr>
          <w:rFonts w:cs="mylotus" w:hint="cs"/>
          <w:sz w:val="23"/>
          <w:szCs w:val="23"/>
          <w:rtl/>
        </w:rPr>
        <w:t xml:space="preserve"> </w:t>
      </w:r>
      <w:r w:rsidRPr="00563AE6">
        <w:rPr>
          <w:rFonts w:cs="mylotus"/>
          <w:sz w:val="23"/>
          <w:szCs w:val="23"/>
          <w:rtl/>
        </w:rPr>
        <w:t>المجلسي، بحار الأنوار، ج</w:t>
      </w:r>
      <w:r w:rsidRPr="00563AE6">
        <w:rPr>
          <w:rFonts w:cs="mylotus" w:hint="cs"/>
          <w:sz w:val="23"/>
          <w:szCs w:val="23"/>
          <w:rtl/>
        </w:rPr>
        <w:t xml:space="preserve"> 29</w:t>
      </w:r>
      <w:r w:rsidRPr="00563AE6">
        <w:rPr>
          <w:rFonts w:cs="mylotus"/>
          <w:sz w:val="23"/>
          <w:szCs w:val="23"/>
          <w:rtl/>
        </w:rPr>
        <w:t xml:space="preserve">،  ص </w:t>
      </w:r>
      <w:r w:rsidRPr="00563AE6">
        <w:rPr>
          <w:rFonts w:cs="mylotus" w:hint="cs"/>
          <w:sz w:val="23"/>
          <w:szCs w:val="23"/>
          <w:rtl/>
        </w:rPr>
        <w:t>229</w:t>
      </w:r>
      <w:r w:rsidRPr="00563AE6">
        <w:rPr>
          <w:rFonts w:cs="mylotus"/>
          <w:sz w:val="23"/>
          <w:szCs w:val="23"/>
          <w:rtl/>
        </w:rPr>
        <w:t xml:space="preserve">، من الطبعة الجديدة. </w:t>
      </w:r>
      <w:r w:rsidRPr="00563AE6">
        <w:rPr>
          <w:rFonts w:cs="mylotus" w:hint="cs"/>
          <w:sz w:val="23"/>
          <w:szCs w:val="23"/>
          <w:rtl/>
        </w:rPr>
        <w:t xml:space="preserve">ويشبهه ما روي من طرق أهل السنة عن أبي الدرداء عن النبي </w:t>
      </w:r>
      <w:r w:rsidRPr="003C7AEB">
        <w:rPr>
          <w:rFonts w:ascii="Abo-thar" w:hAnsi="Abo-thar" w:cs="CTraditional Arabic"/>
          <w:sz w:val="23"/>
          <w:szCs w:val="23"/>
          <w:rtl/>
        </w:rPr>
        <w:t>ص</w:t>
      </w:r>
      <w:r w:rsidRPr="00563AE6">
        <w:rPr>
          <w:rFonts w:ascii="Abo-thar" w:hAnsi="Abo-thar" w:cs="mylotus"/>
          <w:sz w:val="23"/>
          <w:szCs w:val="23"/>
          <w:rtl/>
        </w:rPr>
        <w:t xml:space="preserve"> </w:t>
      </w:r>
      <w:r w:rsidRPr="00563AE6">
        <w:rPr>
          <w:rFonts w:cs="mylotus" w:hint="cs"/>
          <w:sz w:val="23"/>
          <w:szCs w:val="23"/>
          <w:rtl/>
        </w:rPr>
        <w:t>ضمن حديثٍ: «</w:t>
      </w:r>
      <w:r w:rsidRPr="00563AE6">
        <w:rPr>
          <w:rFonts w:cs="mylotus" w:hint="eastAsia"/>
          <w:sz w:val="23"/>
          <w:szCs w:val="23"/>
          <w:rtl/>
        </w:rPr>
        <w:t>وَإِنَّ</w:t>
      </w:r>
      <w:r w:rsidRPr="00563AE6">
        <w:rPr>
          <w:rFonts w:cs="mylotus"/>
          <w:sz w:val="23"/>
          <w:szCs w:val="23"/>
          <w:rtl/>
        </w:rPr>
        <w:t xml:space="preserve"> </w:t>
      </w:r>
      <w:r w:rsidRPr="00563AE6">
        <w:rPr>
          <w:rFonts w:cs="mylotus" w:hint="eastAsia"/>
          <w:sz w:val="23"/>
          <w:szCs w:val="23"/>
          <w:rtl/>
        </w:rPr>
        <w:t>الأَنْبِيَاءَ</w:t>
      </w:r>
      <w:r w:rsidRPr="00563AE6">
        <w:rPr>
          <w:rFonts w:cs="mylotus"/>
          <w:sz w:val="23"/>
          <w:szCs w:val="23"/>
          <w:rtl/>
        </w:rPr>
        <w:t xml:space="preserve"> </w:t>
      </w:r>
      <w:r w:rsidRPr="00563AE6">
        <w:rPr>
          <w:rFonts w:cs="mylotus" w:hint="eastAsia"/>
          <w:sz w:val="23"/>
          <w:szCs w:val="23"/>
          <w:rtl/>
        </w:rPr>
        <w:t>لَمْ</w:t>
      </w:r>
      <w:r w:rsidRPr="00563AE6">
        <w:rPr>
          <w:rFonts w:cs="mylotus"/>
          <w:sz w:val="23"/>
          <w:szCs w:val="23"/>
          <w:rtl/>
        </w:rPr>
        <w:t xml:space="preserve"> </w:t>
      </w:r>
      <w:r w:rsidRPr="00563AE6">
        <w:rPr>
          <w:rFonts w:cs="mylotus" w:hint="eastAsia"/>
          <w:sz w:val="23"/>
          <w:szCs w:val="23"/>
          <w:rtl/>
        </w:rPr>
        <w:t>يُوَرِّثُوا</w:t>
      </w:r>
      <w:r w:rsidRPr="00563AE6">
        <w:rPr>
          <w:rFonts w:cs="mylotus"/>
          <w:sz w:val="23"/>
          <w:szCs w:val="23"/>
          <w:rtl/>
        </w:rPr>
        <w:t xml:space="preserve"> </w:t>
      </w:r>
      <w:r w:rsidRPr="00563AE6">
        <w:rPr>
          <w:rFonts w:cs="mylotus" w:hint="eastAsia"/>
          <w:sz w:val="23"/>
          <w:szCs w:val="23"/>
          <w:rtl/>
        </w:rPr>
        <w:t>دِينَارًا</w:t>
      </w:r>
      <w:r w:rsidRPr="00563AE6">
        <w:rPr>
          <w:rFonts w:cs="mylotus"/>
          <w:sz w:val="23"/>
          <w:szCs w:val="23"/>
          <w:rtl/>
        </w:rPr>
        <w:t xml:space="preserve"> </w:t>
      </w:r>
      <w:r w:rsidRPr="00563AE6">
        <w:rPr>
          <w:rFonts w:cs="mylotus" w:hint="eastAsia"/>
          <w:sz w:val="23"/>
          <w:szCs w:val="23"/>
          <w:rtl/>
        </w:rPr>
        <w:t>وَلاَ</w:t>
      </w:r>
      <w:r w:rsidRPr="00563AE6">
        <w:rPr>
          <w:rFonts w:cs="mylotus"/>
          <w:sz w:val="23"/>
          <w:szCs w:val="23"/>
          <w:rtl/>
        </w:rPr>
        <w:t xml:space="preserve"> </w:t>
      </w:r>
      <w:r w:rsidRPr="00563AE6">
        <w:rPr>
          <w:rFonts w:cs="mylotus" w:hint="eastAsia"/>
          <w:sz w:val="23"/>
          <w:szCs w:val="23"/>
          <w:rtl/>
        </w:rPr>
        <w:t>دِرْهَمًا</w:t>
      </w:r>
      <w:r w:rsidRPr="00563AE6">
        <w:rPr>
          <w:rFonts w:cs="mylotus"/>
          <w:sz w:val="23"/>
          <w:szCs w:val="23"/>
          <w:rtl/>
        </w:rPr>
        <w:t xml:space="preserve"> إِنَّمَا</w:t>
      </w:r>
      <w:r w:rsidRPr="00563AE6">
        <w:rPr>
          <w:rFonts w:cs="mylotus" w:hint="eastAsia"/>
          <w:sz w:val="23"/>
          <w:szCs w:val="23"/>
          <w:rtl/>
        </w:rPr>
        <w:t xml:space="preserve"> وَرَّثُوا</w:t>
      </w:r>
      <w:r w:rsidRPr="00563AE6">
        <w:rPr>
          <w:rFonts w:cs="mylotus"/>
          <w:sz w:val="23"/>
          <w:szCs w:val="23"/>
          <w:rtl/>
        </w:rPr>
        <w:t xml:space="preserve"> </w:t>
      </w:r>
      <w:r w:rsidRPr="00563AE6">
        <w:rPr>
          <w:rFonts w:cs="mylotus" w:hint="eastAsia"/>
          <w:sz w:val="23"/>
          <w:szCs w:val="23"/>
          <w:rtl/>
        </w:rPr>
        <w:t>الْعِلْمَ</w:t>
      </w:r>
      <w:r w:rsidRPr="00563AE6">
        <w:rPr>
          <w:rFonts w:cs="mylotus"/>
          <w:sz w:val="23"/>
          <w:szCs w:val="23"/>
          <w:rtl/>
        </w:rPr>
        <w:t xml:space="preserve"> </w:t>
      </w:r>
      <w:r w:rsidRPr="00563AE6">
        <w:rPr>
          <w:rFonts w:cs="mylotus" w:hint="eastAsia"/>
          <w:sz w:val="23"/>
          <w:szCs w:val="23"/>
          <w:rtl/>
        </w:rPr>
        <w:t>فَمَنْ</w:t>
      </w:r>
      <w:r w:rsidRPr="00563AE6">
        <w:rPr>
          <w:rFonts w:cs="mylotus"/>
          <w:sz w:val="23"/>
          <w:szCs w:val="23"/>
          <w:rtl/>
        </w:rPr>
        <w:t xml:space="preserve"> </w:t>
      </w:r>
      <w:r w:rsidRPr="00563AE6">
        <w:rPr>
          <w:rFonts w:cs="mylotus" w:hint="eastAsia"/>
          <w:sz w:val="23"/>
          <w:szCs w:val="23"/>
          <w:rtl/>
        </w:rPr>
        <w:t>أَخَذَهُ</w:t>
      </w:r>
      <w:r w:rsidRPr="00563AE6">
        <w:rPr>
          <w:rFonts w:cs="mylotus"/>
          <w:sz w:val="23"/>
          <w:szCs w:val="23"/>
          <w:rtl/>
        </w:rPr>
        <w:t xml:space="preserve"> </w:t>
      </w:r>
      <w:r w:rsidRPr="00563AE6">
        <w:rPr>
          <w:rFonts w:cs="mylotus" w:hint="eastAsia"/>
          <w:sz w:val="23"/>
          <w:szCs w:val="23"/>
          <w:rtl/>
        </w:rPr>
        <w:t>أَخَذَ</w:t>
      </w:r>
      <w:r w:rsidRPr="00563AE6">
        <w:rPr>
          <w:rFonts w:cs="mylotus"/>
          <w:sz w:val="23"/>
          <w:szCs w:val="23"/>
          <w:rtl/>
        </w:rPr>
        <w:t xml:space="preserve"> </w:t>
      </w:r>
      <w:r w:rsidRPr="00563AE6">
        <w:rPr>
          <w:rFonts w:cs="mylotus" w:hint="eastAsia"/>
          <w:sz w:val="23"/>
          <w:szCs w:val="23"/>
          <w:rtl/>
        </w:rPr>
        <w:t>بِحَظٍّ</w:t>
      </w:r>
      <w:r w:rsidRPr="00563AE6">
        <w:rPr>
          <w:rFonts w:cs="mylotus"/>
          <w:sz w:val="23"/>
          <w:szCs w:val="23"/>
          <w:rtl/>
        </w:rPr>
        <w:t xml:space="preserve"> </w:t>
      </w:r>
      <w:r w:rsidRPr="00563AE6">
        <w:rPr>
          <w:rFonts w:cs="mylotus" w:hint="eastAsia"/>
          <w:sz w:val="23"/>
          <w:szCs w:val="23"/>
          <w:rtl/>
        </w:rPr>
        <w:t>وَافِرٍ</w:t>
      </w:r>
      <w:r w:rsidRPr="00563AE6">
        <w:rPr>
          <w:rFonts w:cs="mylotus" w:hint="cs"/>
          <w:sz w:val="23"/>
          <w:szCs w:val="23"/>
          <w:rtl/>
        </w:rPr>
        <w:t>» رواه الترمذي (</w:t>
      </w:r>
      <w:r w:rsidRPr="00563AE6">
        <w:rPr>
          <w:rFonts w:cs="mylotus"/>
          <w:sz w:val="23"/>
          <w:szCs w:val="23"/>
          <w:rtl/>
        </w:rPr>
        <w:t>2682</w:t>
      </w:r>
      <w:r w:rsidRPr="00563AE6">
        <w:rPr>
          <w:rFonts w:cs="mylotus" w:hint="cs"/>
          <w:sz w:val="23"/>
          <w:szCs w:val="23"/>
          <w:rtl/>
        </w:rPr>
        <w:t>) وأبو داود (</w:t>
      </w:r>
      <w:r w:rsidRPr="00563AE6">
        <w:rPr>
          <w:rFonts w:cs="mylotus"/>
          <w:sz w:val="23"/>
          <w:szCs w:val="23"/>
          <w:rtl/>
        </w:rPr>
        <w:t>3641</w:t>
      </w:r>
      <w:r w:rsidRPr="00563AE6">
        <w:rPr>
          <w:rFonts w:cs="mylotus" w:hint="cs"/>
          <w:sz w:val="23"/>
          <w:szCs w:val="23"/>
          <w:rtl/>
        </w:rPr>
        <w:t xml:space="preserve">) في سننهما. </w:t>
      </w:r>
      <w:r w:rsidRPr="00563AE6">
        <w:rPr>
          <w:rFonts w:cs="mylotus"/>
          <w:sz w:val="23"/>
          <w:szCs w:val="23"/>
          <w:rtl/>
        </w:rPr>
        <w:t>(المترجِم)</w:t>
      </w:r>
    </w:p>
  </w:footnote>
  <w:footnote w:id="176">
    <w:p w:rsidR="00B31118" w:rsidRPr="00563AE6" w:rsidRDefault="00B31118" w:rsidP="00B300C9">
      <w:pPr>
        <w:spacing w:line="228" w:lineRule="auto"/>
        <w:ind w:left="378" w:hanging="378"/>
        <w:jc w:val="both"/>
        <w:rPr>
          <w:rFonts w:cs="mylotus" w:hint="cs"/>
          <w:sz w:val="23"/>
          <w:szCs w:val="23"/>
          <w:rtl/>
        </w:rPr>
      </w:pPr>
      <w:r w:rsidRPr="00563AE6">
        <w:rPr>
          <w:rFonts w:cs="mylotus"/>
          <w:sz w:val="23"/>
          <w:szCs w:val="23"/>
          <w:rtl/>
        </w:rPr>
        <w:footnoteRef/>
      </w:r>
      <w:r>
        <w:rPr>
          <w:rFonts w:cs="mylotus"/>
          <w:sz w:val="23"/>
          <w:szCs w:val="23"/>
          <w:rtl/>
        </w:rPr>
        <w:t>-</w:t>
      </w:r>
      <w:r w:rsidRPr="00563AE6">
        <w:rPr>
          <w:rFonts w:cs="mylotus" w:hint="cs"/>
          <w:sz w:val="23"/>
          <w:szCs w:val="23"/>
          <w:rtl/>
        </w:rPr>
        <w:t xml:space="preserve"> المجلسي، بحار الأنوار، ج 8، ص 109، من الطبعة الحجرية القديمة في تبريز، أو </w:t>
      </w:r>
      <w:r w:rsidRPr="00563AE6">
        <w:rPr>
          <w:rFonts w:cs="mylotus"/>
          <w:sz w:val="23"/>
          <w:szCs w:val="23"/>
          <w:rtl/>
        </w:rPr>
        <w:t xml:space="preserve">ج 31، ص 47 </w:t>
      </w:r>
      <w:r w:rsidRPr="00563AE6">
        <w:rPr>
          <w:rFonts w:cs="Times New Roman" w:hint="cs"/>
          <w:sz w:val="23"/>
          <w:szCs w:val="23"/>
          <w:rtl/>
        </w:rPr>
        <w:t>–</w:t>
      </w:r>
      <w:r w:rsidRPr="00563AE6">
        <w:rPr>
          <w:rFonts w:cs="mylotus"/>
          <w:sz w:val="23"/>
          <w:szCs w:val="23"/>
          <w:rtl/>
        </w:rPr>
        <w:t xml:space="preserve"> 49</w:t>
      </w:r>
      <w:r w:rsidRPr="00563AE6">
        <w:rPr>
          <w:rFonts w:cs="mylotus" w:hint="cs"/>
          <w:sz w:val="23"/>
          <w:szCs w:val="23"/>
          <w:rtl/>
        </w:rPr>
        <w:t xml:space="preserve"> من الطبعة الجديدة ببيروت. (المترجِم)</w:t>
      </w:r>
    </w:p>
  </w:footnote>
  <w:footnote w:id="177">
    <w:p w:rsidR="00B31118" w:rsidRPr="00563AE6" w:rsidRDefault="00B31118" w:rsidP="00B300C9">
      <w:pPr>
        <w:spacing w:line="228" w:lineRule="auto"/>
        <w:ind w:left="378" w:hanging="378"/>
        <w:jc w:val="both"/>
        <w:rPr>
          <w:rFonts w:cs="mylotus" w:hint="cs"/>
          <w:sz w:val="23"/>
          <w:szCs w:val="23"/>
        </w:rPr>
      </w:pPr>
      <w:r w:rsidRPr="00563AE6">
        <w:rPr>
          <w:rFonts w:cs="mylotus"/>
          <w:sz w:val="23"/>
          <w:szCs w:val="23"/>
          <w:rtl/>
        </w:rPr>
        <w:footnoteRef/>
      </w:r>
      <w:r>
        <w:rPr>
          <w:rFonts w:cs="mylotus"/>
          <w:sz w:val="23"/>
          <w:szCs w:val="23"/>
          <w:rtl/>
        </w:rPr>
        <w:t>-</w:t>
      </w:r>
      <w:r w:rsidRPr="00563AE6">
        <w:rPr>
          <w:rFonts w:cs="mylotus"/>
          <w:sz w:val="23"/>
          <w:szCs w:val="23"/>
          <w:rtl/>
        </w:rPr>
        <w:t xml:space="preserve"> </w:t>
      </w:r>
      <w:r w:rsidRPr="00563AE6">
        <w:rPr>
          <w:rFonts w:cs="mylotus" w:hint="cs"/>
          <w:sz w:val="23"/>
          <w:szCs w:val="23"/>
          <w:rtl/>
        </w:rPr>
        <w:t>الطبري، تاريخ الأمم والملوك، 3، 109، وابن الأثير، الكامل في التاريخ، ج2، ص503. (المترجِم)</w:t>
      </w:r>
    </w:p>
  </w:footnote>
  <w:footnote w:id="178">
    <w:p w:rsidR="00B31118" w:rsidRPr="00563AE6" w:rsidRDefault="00B31118" w:rsidP="00B300C9">
      <w:pPr>
        <w:spacing w:line="228" w:lineRule="auto"/>
        <w:ind w:left="378" w:hanging="378"/>
        <w:jc w:val="both"/>
        <w:rPr>
          <w:rFonts w:cs="mylotus" w:hint="cs"/>
          <w:sz w:val="23"/>
          <w:szCs w:val="23"/>
          <w:rtl/>
        </w:rPr>
      </w:pPr>
      <w:r w:rsidRPr="00563AE6">
        <w:rPr>
          <w:rFonts w:cs="mylotus"/>
          <w:sz w:val="23"/>
          <w:szCs w:val="23"/>
          <w:rtl/>
        </w:rPr>
        <w:footnoteRef/>
      </w:r>
      <w:r>
        <w:rPr>
          <w:rFonts w:cs="mylotus"/>
          <w:sz w:val="23"/>
          <w:szCs w:val="23"/>
          <w:rtl/>
        </w:rPr>
        <w:t>-</w:t>
      </w:r>
      <w:r w:rsidRPr="00563AE6">
        <w:rPr>
          <w:rFonts w:cs="mylotus" w:hint="cs"/>
          <w:sz w:val="23"/>
          <w:szCs w:val="23"/>
          <w:rtl/>
        </w:rPr>
        <w:t xml:space="preserve"> الكُلَيْنِيّ، الكافي،</w:t>
      </w:r>
      <w:r w:rsidRPr="00563AE6">
        <w:rPr>
          <w:rFonts w:cs="mylotus"/>
          <w:sz w:val="23"/>
          <w:szCs w:val="23"/>
          <w:rtl/>
        </w:rPr>
        <w:t xml:space="preserve"> </w:t>
      </w:r>
      <w:r w:rsidRPr="00563AE6">
        <w:rPr>
          <w:rFonts w:cs="mylotus" w:hint="cs"/>
          <w:sz w:val="23"/>
          <w:szCs w:val="23"/>
          <w:rtl/>
        </w:rPr>
        <w:t>ج 1، ص 539-540. (المترجِم)</w:t>
      </w:r>
    </w:p>
  </w:footnote>
  <w:footnote w:id="179">
    <w:p w:rsidR="00B31118" w:rsidRPr="00563AE6" w:rsidRDefault="00B31118" w:rsidP="00B300C9">
      <w:pPr>
        <w:spacing w:line="228" w:lineRule="auto"/>
        <w:ind w:left="378" w:hanging="378"/>
        <w:jc w:val="both"/>
        <w:rPr>
          <w:rFonts w:cs="mylotus" w:hint="cs"/>
          <w:sz w:val="23"/>
          <w:szCs w:val="23"/>
        </w:rPr>
      </w:pPr>
      <w:r w:rsidRPr="00563AE6">
        <w:rPr>
          <w:rFonts w:cs="mylotus"/>
          <w:sz w:val="23"/>
          <w:szCs w:val="23"/>
          <w:rtl/>
        </w:rPr>
        <w:footnoteRef/>
      </w:r>
      <w:r>
        <w:rPr>
          <w:rFonts w:cs="mylotus"/>
          <w:sz w:val="23"/>
          <w:szCs w:val="23"/>
          <w:rtl/>
        </w:rPr>
        <w:t>-</w:t>
      </w:r>
      <w:r w:rsidRPr="00563AE6">
        <w:rPr>
          <w:rFonts w:cs="mylotus" w:hint="cs"/>
          <w:sz w:val="23"/>
          <w:szCs w:val="23"/>
          <w:rtl/>
        </w:rPr>
        <w:t xml:space="preserve"> </w:t>
      </w:r>
      <w:r w:rsidRPr="00563AE6">
        <w:rPr>
          <w:rFonts w:cs="mylotus"/>
          <w:sz w:val="23"/>
          <w:szCs w:val="23"/>
          <w:rtl/>
        </w:rPr>
        <w:t>اليعقوبي</w:t>
      </w:r>
      <w:r w:rsidRPr="00563AE6">
        <w:rPr>
          <w:rFonts w:cs="mylotus" w:hint="cs"/>
          <w:sz w:val="23"/>
          <w:szCs w:val="23"/>
          <w:rtl/>
        </w:rPr>
        <w:t xml:space="preserve">، </w:t>
      </w:r>
      <w:r w:rsidRPr="00563AE6">
        <w:rPr>
          <w:rFonts w:cs="mylotus"/>
          <w:sz w:val="23"/>
          <w:szCs w:val="23"/>
          <w:rtl/>
        </w:rPr>
        <w:t>تاريخ</w:t>
      </w:r>
      <w:r w:rsidRPr="00563AE6">
        <w:rPr>
          <w:rFonts w:cs="mylotus" w:hint="cs"/>
          <w:sz w:val="23"/>
          <w:szCs w:val="23"/>
          <w:rtl/>
        </w:rPr>
        <w:t xml:space="preserve"> اليعقوبي،</w:t>
      </w:r>
      <w:r w:rsidRPr="00563AE6">
        <w:rPr>
          <w:rFonts w:cs="mylotus"/>
          <w:sz w:val="23"/>
          <w:szCs w:val="23"/>
          <w:rtl/>
        </w:rPr>
        <w:t xml:space="preserve"> ج2، ص106</w:t>
      </w:r>
      <w:r w:rsidRPr="00563AE6">
        <w:rPr>
          <w:rFonts w:cs="mylotus" w:hint="cs"/>
          <w:sz w:val="23"/>
          <w:szCs w:val="23"/>
          <w:rtl/>
        </w:rPr>
        <w:t>.</w:t>
      </w:r>
    </w:p>
  </w:footnote>
  <w:footnote w:id="180">
    <w:p w:rsidR="00B31118" w:rsidRPr="00563AE6" w:rsidRDefault="00B31118" w:rsidP="00B300C9">
      <w:pPr>
        <w:spacing w:line="228" w:lineRule="auto"/>
        <w:ind w:left="378" w:hanging="378"/>
        <w:jc w:val="both"/>
        <w:rPr>
          <w:rFonts w:cs="mylotus" w:hint="cs"/>
          <w:sz w:val="23"/>
          <w:szCs w:val="23"/>
          <w:rtl/>
        </w:rPr>
      </w:pPr>
      <w:r w:rsidRPr="00563AE6">
        <w:rPr>
          <w:rFonts w:cs="mylotus"/>
          <w:sz w:val="23"/>
          <w:szCs w:val="23"/>
          <w:rtl/>
        </w:rPr>
        <w:footnoteRef/>
      </w:r>
      <w:r>
        <w:rPr>
          <w:rFonts w:cs="mylotus"/>
          <w:sz w:val="23"/>
          <w:szCs w:val="23"/>
          <w:rtl/>
        </w:rPr>
        <w:t>-</w:t>
      </w:r>
      <w:r w:rsidRPr="00563AE6">
        <w:rPr>
          <w:rFonts w:cs="mylotus" w:hint="cs"/>
          <w:sz w:val="23"/>
          <w:szCs w:val="23"/>
          <w:rtl/>
        </w:rPr>
        <w:t xml:space="preserve"> أبو يوسف القاضي، </w:t>
      </w:r>
      <w:r w:rsidRPr="00563AE6">
        <w:rPr>
          <w:rFonts w:cs="mylotus"/>
          <w:sz w:val="23"/>
          <w:szCs w:val="23"/>
          <w:rtl/>
        </w:rPr>
        <w:t>الخراج</w:t>
      </w:r>
      <w:r w:rsidRPr="00563AE6">
        <w:rPr>
          <w:rFonts w:cs="mylotus" w:hint="cs"/>
          <w:sz w:val="23"/>
          <w:szCs w:val="23"/>
          <w:rtl/>
        </w:rPr>
        <w:t xml:space="preserve">، </w:t>
      </w:r>
      <w:r w:rsidRPr="00563AE6">
        <w:rPr>
          <w:rFonts w:cs="mylotus"/>
          <w:sz w:val="23"/>
          <w:szCs w:val="23"/>
          <w:rtl/>
        </w:rPr>
        <w:t>ص43</w:t>
      </w:r>
      <w:r w:rsidRPr="00563AE6">
        <w:rPr>
          <w:rFonts w:cs="mylotus" w:hint="cs"/>
          <w:sz w:val="23"/>
          <w:szCs w:val="23"/>
          <w:rtl/>
        </w:rPr>
        <w:t>؛ أبو</w:t>
      </w:r>
      <w:r w:rsidRPr="00563AE6">
        <w:rPr>
          <w:rFonts w:cs="mylotus"/>
          <w:sz w:val="23"/>
          <w:szCs w:val="23"/>
          <w:rtl/>
        </w:rPr>
        <w:t xml:space="preserve"> عبيد القاسم بن سلام</w:t>
      </w:r>
      <w:r w:rsidRPr="00563AE6">
        <w:rPr>
          <w:rFonts w:cs="mylotus" w:hint="cs"/>
          <w:sz w:val="23"/>
          <w:szCs w:val="23"/>
          <w:rtl/>
        </w:rPr>
        <w:t>،</w:t>
      </w:r>
      <w:r w:rsidRPr="00563AE6">
        <w:rPr>
          <w:rFonts w:cs="mylotus"/>
          <w:sz w:val="23"/>
          <w:szCs w:val="23"/>
          <w:rtl/>
        </w:rPr>
        <w:t xml:space="preserve"> الأموال</w:t>
      </w:r>
      <w:r w:rsidRPr="00563AE6">
        <w:rPr>
          <w:rFonts w:cs="mylotus" w:hint="cs"/>
          <w:sz w:val="23"/>
          <w:szCs w:val="23"/>
          <w:rtl/>
        </w:rPr>
        <w:t xml:space="preserve">، </w:t>
      </w:r>
      <w:r w:rsidRPr="00563AE6">
        <w:rPr>
          <w:rFonts w:cs="mylotus"/>
          <w:sz w:val="23"/>
          <w:szCs w:val="23"/>
          <w:rtl/>
        </w:rPr>
        <w:t>ص 322</w:t>
      </w:r>
      <w:r w:rsidRPr="00563AE6">
        <w:rPr>
          <w:rFonts w:cs="mylotus" w:hint="cs"/>
          <w:sz w:val="23"/>
          <w:szCs w:val="23"/>
          <w:rtl/>
        </w:rPr>
        <w:t>. [وانظر الطبري، تاريخ الأمم والملوك، ج 3، ص 109-110. وابن الأثير، الكامل في التاريخ، حوادث سنة خمس عشرة للهجرة. (المترجِم)].</w:t>
      </w:r>
    </w:p>
  </w:footnote>
  <w:footnote w:id="181">
    <w:p w:rsidR="00B31118" w:rsidRPr="00563AE6" w:rsidRDefault="00B31118" w:rsidP="00B300C9">
      <w:pPr>
        <w:spacing w:line="228" w:lineRule="auto"/>
        <w:ind w:left="378" w:hanging="378"/>
        <w:jc w:val="both"/>
        <w:rPr>
          <w:rFonts w:cs="mylotus" w:hint="cs"/>
          <w:sz w:val="23"/>
          <w:szCs w:val="23"/>
          <w:rtl/>
        </w:rPr>
      </w:pPr>
      <w:r w:rsidRPr="00563AE6">
        <w:rPr>
          <w:rFonts w:cs="mylotus"/>
          <w:sz w:val="23"/>
          <w:szCs w:val="23"/>
          <w:rtl/>
        </w:rPr>
        <w:footnoteRef/>
      </w:r>
      <w:r>
        <w:rPr>
          <w:rFonts w:cs="mylotus"/>
          <w:sz w:val="23"/>
          <w:szCs w:val="23"/>
          <w:rtl/>
        </w:rPr>
        <w:t>-</w:t>
      </w:r>
      <w:r w:rsidRPr="00563AE6">
        <w:rPr>
          <w:rFonts w:cs="mylotus"/>
          <w:sz w:val="23"/>
          <w:szCs w:val="23"/>
          <w:rtl/>
        </w:rPr>
        <w:t xml:space="preserve"> </w:t>
      </w:r>
      <w:r w:rsidRPr="00563AE6">
        <w:rPr>
          <w:rFonts w:cs="mylotus" w:hint="cs"/>
          <w:sz w:val="23"/>
          <w:szCs w:val="23"/>
          <w:rtl/>
        </w:rPr>
        <w:t>من ذلك</w:t>
      </w:r>
      <w:r w:rsidRPr="00563AE6">
        <w:rPr>
          <w:rFonts w:cs="mylotus"/>
          <w:sz w:val="23"/>
          <w:szCs w:val="23"/>
          <w:rtl/>
        </w:rPr>
        <w:t xml:space="preserve"> الأثر الذي رواه ابن أبي شيبة في «المصنف في الأحاديث والآثار» (6، 454) بسنده: «عَنْ زَيْدِ بْنِ أَسْلَمَ عْن أَبِيهِ قَالَ سَمِعْت عُمَرَ بْنَ الْخَطَّابِ يَقُولُ: لَئِنْ بَقِيتُ إلَى قَابِلٍ لأُلْحِقَنَّ أُخْرَى النَّاسِ بِأُولاَهُمْ وَلأَجْعَلَنهُمْ بَيَانًا وَاحِدًا.». وذكره الأستاذ «أكرم بن ضياء العمري» في كتابه «عصر الخلافة الراشدة» </w:t>
      </w:r>
      <w:r w:rsidRPr="00563AE6">
        <w:rPr>
          <w:rFonts w:cs="mylotus" w:hint="cs"/>
          <w:sz w:val="23"/>
          <w:szCs w:val="23"/>
          <w:rtl/>
        </w:rPr>
        <w:t xml:space="preserve">(1، 236) وعزاه أيضاً إلى </w:t>
      </w:r>
      <w:r w:rsidRPr="00563AE6">
        <w:rPr>
          <w:rFonts w:cs="mylotus"/>
          <w:sz w:val="23"/>
          <w:szCs w:val="23"/>
          <w:rtl/>
        </w:rPr>
        <w:t>ابن زنجويه</w:t>
      </w:r>
      <w:r w:rsidRPr="00563AE6">
        <w:rPr>
          <w:rFonts w:cs="mylotus" w:hint="cs"/>
          <w:sz w:val="23"/>
          <w:szCs w:val="23"/>
          <w:rtl/>
        </w:rPr>
        <w:t xml:space="preserve"> في </w:t>
      </w:r>
      <w:r w:rsidRPr="00563AE6">
        <w:rPr>
          <w:rFonts w:ascii="Lotus Linotype" w:hAnsi="Lotus Linotype" w:cs="mylotus"/>
          <w:sz w:val="23"/>
          <w:szCs w:val="23"/>
          <w:rtl/>
        </w:rPr>
        <w:t>«</w:t>
      </w:r>
      <w:r w:rsidRPr="00563AE6">
        <w:rPr>
          <w:rFonts w:cs="mylotus"/>
          <w:sz w:val="23"/>
          <w:szCs w:val="23"/>
          <w:rtl/>
        </w:rPr>
        <w:t>الأموال</w:t>
      </w:r>
      <w:r w:rsidRPr="00563AE6">
        <w:rPr>
          <w:rFonts w:ascii="Lotus Linotype" w:hAnsi="Lotus Linotype" w:cs="mylotus"/>
          <w:sz w:val="23"/>
          <w:szCs w:val="23"/>
          <w:rtl/>
        </w:rPr>
        <w:t>»</w:t>
      </w:r>
      <w:r w:rsidRPr="00563AE6">
        <w:rPr>
          <w:rFonts w:cs="mylotus"/>
          <w:sz w:val="23"/>
          <w:szCs w:val="23"/>
          <w:rtl/>
        </w:rPr>
        <w:t xml:space="preserve"> </w:t>
      </w:r>
      <w:r w:rsidRPr="00563AE6">
        <w:rPr>
          <w:rFonts w:cs="mylotus" w:hint="cs"/>
          <w:sz w:val="23"/>
          <w:szCs w:val="23"/>
          <w:rtl/>
        </w:rPr>
        <w:t>(</w:t>
      </w:r>
      <w:r w:rsidRPr="00563AE6">
        <w:rPr>
          <w:rFonts w:cs="mylotus"/>
          <w:sz w:val="23"/>
          <w:szCs w:val="23"/>
          <w:rtl/>
        </w:rPr>
        <w:t>2</w:t>
      </w:r>
      <w:r w:rsidRPr="00563AE6">
        <w:rPr>
          <w:rFonts w:cs="mylotus" w:hint="cs"/>
          <w:sz w:val="23"/>
          <w:szCs w:val="23"/>
          <w:rtl/>
        </w:rPr>
        <w:t xml:space="preserve">، </w:t>
      </w:r>
      <w:r w:rsidRPr="00563AE6">
        <w:rPr>
          <w:rFonts w:cs="mylotus"/>
          <w:sz w:val="23"/>
          <w:szCs w:val="23"/>
          <w:rtl/>
        </w:rPr>
        <w:t>576</w:t>
      </w:r>
      <w:r w:rsidRPr="00563AE6">
        <w:rPr>
          <w:rFonts w:cs="mylotus" w:hint="cs"/>
          <w:sz w:val="23"/>
          <w:szCs w:val="23"/>
          <w:rtl/>
        </w:rPr>
        <w:t>)</w:t>
      </w:r>
      <w:r w:rsidRPr="00563AE6">
        <w:rPr>
          <w:rFonts w:cs="mylotus"/>
          <w:sz w:val="23"/>
          <w:szCs w:val="23"/>
          <w:rtl/>
        </w:rPr>
        <w:t xml:space="preserve"> </w:t>
      </w:r>
      <w:r w:rsidRPr="00563AE6">
        <w:rPr>
          <w:rFonts w:cs="mylotus" w:hint="cs"/>
          <w:sz w:val="23"/>
          <w:szCs w:val="23"/>
          <w:rtl/>
        </w:rPr>
        <w:t xml:space="preserve">ثم قال: </w:t>
      </w:r>
      <w:r w:rsidRPr="00563AE6">
        <w:rPr>
          <w:rFonts w:cs="mylotus"/>
          <w:sz w:val="23"/>
          <w:szCs w:val="23"/>
          <w:rtl/>
        </w:rPr>
        <w:t>والأثر صحيح.</w:t>
      </w:r>
      <w:r w:rsidRPr="00563AE6">
        <w:rPr>
          <w:rFonts w:cs="mylotus" w:hint="cs"/>
          <w:sz w:val="23"/>
          <w:szCs w:val="23"/>
          <w:rtl/>
        </w:rPr>
        <w:t xml:space="preserve"> ومنه ما ذكره الطبري في تاريخه وابن الأثير في </w:t>
      </w:r>
      <w:r w:rsidRPr="00563AE6">
        <w:rPr>
          <w:rFonts w:ascii="Lotus Linotype" w:hAnsi="Lotus Linotype" w:cs="mylotus"/>
          <w:sz w:val="23"/>
          <w:szCs w:val="23"/>
          <w:rtl/>
        </w:rPr>
        <w:t>«</w:t>
      </w:r>
      <w:r w:rsidRPr="00563AE6">
        <w:rPr>
          <w:rFonts w:ascii="Lotus Linotype" w:hAnsi="Lotus Linotype" w:cs="mylotus" w:hint="cs"/>
          <w:sz w:val="23"/>
          <w:szCs w:val="23"/>
          <w:rtl/>
        </w:rPr>
        <w:t>الكامل</w:t>
      </w:r>
      <w:r w:rsidRPr="00563AE6">
        <w:rPr>
          <w:rFonts w:ascii="Lotus Linotype" w:hAnsi="Lotus Linotype" w:cs="mylotus"/>
          <w:sz w:val="23"/>
          <w:szCs w:val="23"/>
          <w:rtl/>
        </w:rPr>
        <w:t>»</w:t>
      </w:r>
      <w:r w:rsidRPr="00563AE6">
        <w:rPr>
          <w:rFonts w:ascii="Lotus Linotype" w:hAnsi="Lotus Linotype" w:cs="mylotus" w:hint="cs"/>
          <w:sz w:val="23"/>
          <w:szCs w:val="23"/>
          <w:rtl/>
        </w:rPr>
        <w:t xml:space="preserve"> </w:t>
      </w:r>
      <w:r w:rsidRPr="00563AE6">
        <w:rPr>
          <w:rFonts w:cs="mylotus" w:hint="cs"/>
          <w:sz w:val="23"/>
          <w:szCs w:val="23"/>
          <w:rtl/>
        </w:rPr>
        <w:t>بعد بيانهما للأسهم التي قررها عمر (رض) للصحابة حسب منزلتهم وسوابقهم، بعد وضع الديوان، فقالا: «</w:t>
      </w:r>
      <w:r w:rsidRPr="00563AE6">
        <w:rPr>
          <w:rFonts w:cs="mylotus"/>
          <w:sz w:val="23"/>
          <w:szCs w:val="23"/>
          <w:rtl/>
        </w:rPr>
        <w:t>قال عمر قبل موته</w:t>
      </w:r>
      <w:r w:rsidRPr="00563AE6">
        <w:rPr>
          <w:rFonts w:cs="mylotus" w:hint="cs"/>
          <w:sz w:val="23"/>
          <w:szCs w:val="23"/>
          <w:rtl/>
        </w:rPr>
        <w:t>:</w:t>
      </w:r>
      <w:r w:rsidRPr="00563AE6">
        <w:rPr>
          <w:rFonts w:cs="mylotus"/>
          <w:sz w:val="23"/>
          <w:szCs w:val="23"/>
          <w:rtl/>
        </w:rPr>
        <w:t xml:space="preserve"> لقد ه</w:t>
      </w:r>
      <w:r w:rsidRPr="00563AE6">
        <w:rPr>
          <w:rFonts w:cs="mylotus" w:hint="cs"/>
          <w:sz w:val="23"/>
          <w:szCs w:val="23"/>
          <w:rtl/>
        </w:rPr>
        <w:t>م</w:t>
      </w:r>
      <w:r w:rsidRPr="00563AE6">
        <w:rPr>
          <w:rFonts w:cs="mylotus"/>
          <w:sz w:val="23"/>
          <w:szCs w:val="23"/>
          <w:rtl/>
        </w:rPr>
        <w:t xml:space="preserve">مت أن أجعل العطاء أربعة آلاف أربعة آلاف </w:t>
      </w:r>
      <w:r w:rsidRPr="00563AE6">
        <w:rPr>
          <w:rFonts w:cs="mylotus" w:hint="cs"/>
          <w:sz w:val="23"/>
          <w:szCs w:val="23"/>
          <w:rtl/>
        </w:rPr>
        <w:t>..</w:t>
      </w:r>
      <w:r w:rsidRPr="00563AE6">
        <w:rPr>
          <w:rFonts w:cs="mylotus"/>
          <w:sz w:val="23"/>
          <w:szCs w:val="23"/>
          <w:rtl/>
        </w:rPr>
        <w:t xml:space="preserve"> فمات قبل أن يفعل</w:t>
      </w:r>
      <w:r w:rsidRPr="00563AE6">
        <w:rPr>
          <w:rFonts w:cs="mylotus" w:hint="cs"/>
          <w:sz w:val="23"/>
          <w:szCs w:val="23"/>
          <w:rtl/>
        </w:rPr>
        <w:t>». تاريخ الأمم والملوك للطبري، ج3، ص110، والكامل في التاريخ لابن الأثير، حوادث سنة 15هـ.(المترجِم)</w:t>
      </w:r>
    </w:p>
  </w:footnote>
  <w:footnote w:id="182">
    <w:p w:rsidR="00B31118" w:rsidRPr="00563AE6" w:rsidRDefault="00B31118" w:rsidP="00B300C9">
      <w:pPr>
        <w:spacing w:line="228" w:lineRule="auto"/>
        <w:ind w:left="378" w:hanging="378"/>
        <w:jc w:val="both"/>
        <w:rPr>
          <w:rFonts w:cs="mylotus" w:hint="cs"/>
          <w:sz w:val="23"/>
          <w:szCs w:val="23"/>
          <w:rtl/>
        </w:rPr>
      </w:pPr>
      <w:r w:rsidRPr="00563AE6">
        <w:rPr>
          <w:rFonts w:cs="mylotus"/>
          <w:sz w:val="23"/>
          <w:szCs w:val="23"/>
          <w:rtl/>
        </w:rPr>
        <w:footnoteRef/>
      </w:r>
      <w:r>
        <w:rPr>
          <w:rFonts w:cs="mylotus"/>
          <w:sz w:val="23"/>
          <w:szCs w:val="23"/>
          <w:rtl/>
        </w:rPr>
        <w:t>-</w:t>
      </w:r>
      <w:r w:rsidRPr="00563AE6">
        <w:rPr>
          <w:rFonts w:cs="mylotus"/>
          <w:sz w:val="23"/>
          <w:szCs w:val="23"/>
          <w:rtl/>
        </w:rPr>
        <w:t xml:space="preserve"> </w:t>
      </w:r>
      <w:r w:rsidRPr="00563AE6">
        <w:rPr>
          <w:rFonts w:cs="mylotus" w:hint="cs"/>
          <w:sz w:val="23"/>
          <w:szCs w:val="23"/>
          <w:rtl/>
        </w:rPr>
        <w:t>الحِمْيَرِيّ: هو أ</w:t>
      </w:r>
      <w:r w:rsidRPr="00563AE6">
        <w:rPr>
          <w:rFonts w:cs="mylotus"/>
          <w:sz w:val="23"/>
          <w:szCs w:val="23"/>
          <w:rtl/>
        </w:rPr>
        <w:t>بو العباس عبد</w:t>
      </w:r>
      <w:r w:rsidRPr="00563AE6">
        <w:rPr>
          <w:rFonts w:cs="mylotus" w:hint="cs"/>
          <w:sz w:val="23"/>
          <w:szCs w:val="23"/>
          <w:rtl/>
        </w:rPr>
        <w:t>ُ</w:t>
      </w:r>
      <w:r w:rsidRPr="00563AE6">
        <w:rPr>
          <w:rFonts w:cs="mylotus"/>
          <w:sz w:val="23"/>
          <w:szCs w:val="23"/>
          <w:rtl/>
        </w:rPr>
        <w:t xml:space="preserve"> الله بن جعفر</w:t>
      </w:r>
      <w:r w:rsidRPr="00563AE6">
        <w:rPr>
          <w:rFonts w:cs="mylotus" w:hint="cs"/>
          <w:sz w:val="23"/>
          <w:szCs w:val="23"/>
          <w:rtl/>
        </w:rPr>
        <w:t xml:space="preserve"> بن الحُسيْن </w:t>
      </w:r>
      <w:r w:rsidRPr="00563AE6">
        <w:rPr>
          <w:rFonts w:cs="mylotus"/>
          <w:sz w:val="23"/>
          <w:szCs w:val="23"/>
          <w:rtl/>
        </w:rPr>
        <w:t>الحِمْيَرِيّ الق</w:t>
      </w:r>
      <w:r w:rsidRPr="00563AE6">
        <w:rPr>
          <w:rFonts w:cs="mylotus" w:hint="cs"/>
          <w:sz w:val="23"/>
          <w:szCs w:val="23"/>
          <w:rtl/>
        </w:rPr>
        <w:t>ُ</w:t>
      </w:r>
      <w:r w:rsidRPr="00563AE6">
        <w:rPr>
          <w:rFonts w:cs="mylotus"/>
          <w:sz w:val="23"/>
          <w:szCs w:val="23"/>
          <w:rtl/>
        </w:rPr>
        <w:t>م</w:t>
      </w:r>
      <w:r w:rsidRPr="00563AE6">
        <w:rPr>
          <w:rFonts w:cs="mylotus" w:hint="cs"/>
          <w:sz w:val="23"/>
          <w:szCs w:val="23"/>
          <w:rtl/>
        </w:rPr>
        <w:t>ِّ</w:t>
      </w:r>
      <w:r w:rsidRPr="00563AE6">
        <w:rPr>
          <w:rFonts w:cs="mylotus"/>
          <w:sz w:val="23"/>
          <w:szCs w:val="23"/>
          <w:rtl/>
        </w:rPr>
        <w:t>ي</w:t>
      </w:r>
      <w:r w:rsidRPr="00563AE6">
        <w:rPr>
          <w:rFonts w:cs="mylotus" w:hint="cs"/>
          <w:sz w:val="23"/>
          <w:szCs w:val="23"/>
          <w:rtl/>
        </w:rPr>
        <w:t>ّ</w:t>
      </w:r>
      <w:r w:rsidRPr="00563AE6">
        <w:rPr>
          <w:rFonts w:cs="mylotus"/>
          <w:sz w:val="23"/>
          <w:szCs w:val="23"/>
          <w:rtl/>
        </w:rPr>
        <w:t xml:space="preserve">، من أصحاب الإمام الحسن العسكري - </w:t>
      </w:r>
      <w:r w:rsidRPr="003C7AEB">
        <w:rPr>
          <w:rFonts w:cs="CTraditional Arabic"/>
          <w:sz w:val="23"/>
          <w:szCs w:val="23"/>
          <w:rtl/>
        </w:rPr>
        <w:t>÷</w:t>
      </w:r>
      <w:r w:rsidRPr="00563AE6">
        <w:rPr>
          <w:rFonts w:cs="mylotus"/>
          <w:sz w:val="23"/>
          <w:szCs w:val="23"/>
          <w:rtl/>
        </w:rPr>
        <w:t xml:space="preserve"> - ومن الفقهاء </w:t>
      </w:r>
      <w:r w:rsidRPr="00563AE6">
        <w:rPr>
          <w:rFonts w:cs="mylotus" w:hint="cs"/>
          <w:sz w:val="23"/>
          <w:szCs w:val="23"/>
          <w:rtl/>
        </w:rPr>
        <w:t>وشيوخ الرواية لدى</w:t>
      </w:r>
      <w:r w:rsidRPr="00563AE6">
        <w:rPr>
          <w:rFonts w:cs="mylotus"/>
          <w:sz w:val="23"/>
          <w:szCs w:val="23"/>
          <w:rtl/>
        </w:rPr>
        <w:t xml:space="preserve"> الشيعة الإمامية في القرن الثالث الهجري، كانت له مكاتبات مع الإمامين الهادي والعسكري، و</w:t>
      </w:r>
      <w:r w:rsidRPr="00563AE6">
        <w:rPr>
          <w:rFonts w:cs="mylotus" w:hint="cs"/>
          <w:sz w:val="23"/>
          <w:szCs w:val="23"/>
          <w:rtl/>
        </w:rPr>
        <w:t xml:space="preserve">كان </w:t>
      </w:r>
      <w:r w:rsidRPr="00563AE6">
        <w:rPr>
          <w:rFonts w:cs="mylotus"/>
          <w:sz w:val="23"/>
          <w:szCs w:val="23"/>
          <w:rtl/>
        </w:rPr>
        <w:t>يتمتع بشخصية رفيعة بين علماء الشيعة وفقهائهم الكبار</w:t>
      </w:r>
      <w:r w:rsidRPr="00563AE6">
        <w:rPr>
          <w:rFonts w:cs="mylotus" w:hint="cs"/>
          <w:sz w:val="23"/>
          <w:szCs w:val="23"/>
          <w:rtl/>
        </w:rPr>
        <w:t>،</w:t>
      </w:r>
      <w:r w:rsidRPr="00563AE6">
        <w:rPr>
          <w:rFonts w:cs="mylotus"/>
          <w:sz w:val="23"/>
          <w:szCs w:val="23"/>
          <w:rtl/>
        </w:rPr>
        <w:t xml:space="preserve"> </w:t>
      </w:r>
      <w:r w:rsidRPr="00563AE6">
        <w:rPr>
          <w:rFonts w:cs="mylotus" w:hint="cs"/>
          <w:sz w:val="23"/>
          <w:szCs w:val="23"/>
          <w:rtl/>
        </w:rPr>
        <w:t>ف</w:t>
      </w:r>
      <w:r w:rsidRPr="00563AE6">
        <w:rPr>
          <w:rFonts w:cs="mylotus"/>
          <w:sz w:val="23"/>
          <w:szCs w:val="23"/>
          <w:rtl/>
        </w:rPr>
        <w:t xml:space="preserve">أطراه الصدوق فى مشيخة «من لا يحضره الفقيه» والنجاشي في «الرجال» </w:t>
      </w:r>
      <w:r w:rsidRPr="00563AE6">
        <w:rPr>
          <w:rFonts w:cs="mylotus" w:hint="cs"/>
          <w:sz w:val="23"/>
          <w:szCs w:val="23"/>
          <w:rtl/>
        </w:rPr>
        <w:t>و</w:t>
      </w:r>
      <w:r w:rsidRPr="00563AE6">
        <w:rPr>
          <w:rFonts w:cs="mylotus"/>
          <w:sz w:val="23"/>
          <w:szCs w:val="23"/>
          <w:rtl/>
        </w:rPr>
        <w:t xml:space="preserve">وصفاه بالفقاهة والوثاقة بين الرواة في مدينة قم، ويُعَدُّ من أساتذة الكليني </w:t>
      </w:r>
      <w:r w:rsidRPr="00563AE6">
        <w:rPr>
          <w:rFonts w:cs="mylotus" w:hint="cs"/>
          <w:sz w:val="23"/>
          <w:szCs w:val="23"/>
          <w:rtl/>
        </w:rPr>
        <w:t xml:space="preserve">إذْ </w:t>
      </w:r>
      <w:r w:rsidRPr="00563AE6">
        <w:rPr>
          <w:rFonts w:cs="mylotus"/>
          <w:sz w:val="23"/>
          <w:szCs w:val="23"/>
          <w:rtl/>
        </w:rPr>
        <w:t xml:space="preserve">اعتمد عليه كثيراً في الكافي، كما اعتمد سائر </w:t>
      </w:r>
      <w:r w:rsidRPr="00563AE6">
        <w:rPr>
          <w:rFonts w:cs="mylotus" w:hint="cs"/>
          <w:sz w:val="23"/>
          <w:szCs w:val="23"/>
          <w:rtl/>
        </w:rPr>
        <w:t>محدثي الشيعة</w:t>
      </w:r>
      <w:r w:rsidRPr="00563AE6">
        <w:rPr>
          <w:rFonts w:cs="mylotus"/>
          <w:sz w:val="23"/>
          <w:szCs w:val="23"/>
          <w:rtl/>
        </w:rPr>
        <w:t xml:space="preserve"> على مرويَّاته كالصدوق في «الفقيه» و«الخصال»</w:t>
      </w:r>
      <w:r w:rsidRPr="00563AE6">
        <w:rPr>
          <w:rFonts w:cs="mylotus" w:hint="cs"/>
          <w:sz w:val="23"/>
          <w:szCs w:val="23"/>
          <w:rtl/>
        </w:rPr>
        <w:t>،</w:t>
      </w:r>
      <w:r w:rsidRPr="00563AE6">
        <w:rPr>
          <w:rFonts w:cs="mylotus"/>
          <w:sz w:val="23"/>
          <w:szCs w:val="23"/>
          <w:rtl/>
        </w:rPr>
        <w:t xml:space="preserve"> و</w:t>
      </w:r>
      <w:r w:rsidRPr="00563AE6">
        <w:rPr>
          <w:rFonts w:cs="mylotus" w:hint="cs"/>
          <w:sz w:val="23"/>
          <w:szCs w:val="23"/>
          <w:rtl/>
        </w:rPr>
        <w:t>ك</w:t>
      </w:r>
      <w:r w:rsidRPr="00563AE6">
        <w:rPr>
          <w:rFonts w:cs="mylotus"/>
          <w:sz w:val="23"/>
          <w:szCs w:val="23"/>
          <w:rtl/>
        </w:rPr>
        <w:t>الطوسي في «التهذيب» والطبرسي في «مكارم الأخلاق»</w:t>
      </w:r>
      <w:r w:rsidRPr="00563AE6">
        <w:rPr>
          <w:rFonts w:cs="mylotus" w:hint="cs"/>
          <w:sz w:val="23"/>
          <w:szCs w:val="23"/>
          <w:rtl/>
        </w:rPr>
        <w:t>.</w:t>
      </w:r>
      <w:r w:rsidRPr="00563AE6">
        <w:rPr>
          <w:rFonts w:cs="mylotus"/>
          <w:sz w:val="23"/>
          <w:szCs w:val="23"/>
          <w:rtl/>
        </w:rPr>
        <w:t xml:space="preserve"> لم يُعرف تاريخ ولادته ووفاته والمعروف أنه دخل الكوفة وحد</w:t>
      </w:r>
      <w:r w:rsidRPr="00563AE6">
        <w:rPr>
          <w:rFonts w:cs="mylotus" w:hint="cs"/>
          <w:sz w:val="23"/>
          <w:szCs w:val="23"/>
          <w:rtl/>
        </w:rPr>
        <w:t>ّ</w:t>
      </w:r>
      <w:r w:rsidRPr="00563AE6">
        <w:rPr>
          <w:rFonts w:cs="mylotus"/>
          <w:sz w:val="23"/>
          <w:szCs w:val="23"/>
          <w:rtl/>
        </w:rPr>
        <w:t>ث علماءها حوالي270هـ.</w:t>
      </w:r>
      <w:r w:rsidRPr="00563AE6">
        <w:rPr>
          <w:rFonts w:cs="mylotus" w:hint="cs"/>
          <w:sz w:val="23"/>
          <w:szCs w:val="23"/>
          <w:rtl/>
        </w:rPr>
        <w:t xml:space="preserve"> (المترجِم).</w:t>
      </w:r>
    </w:p>
  </w:footnote>
  <w:footnote w:id="183">
    <w:p w:rsidR="00B31118" w:rsidRPr="00563AE6" w:rsidRDefault="00B31118" w:rsidP="00B300C9">
      <w:pPr>
        <w:spacing w:line="228" w:lineRule="auto"/>
        <w:ind w:left="378" w:hanging="378"/>
        <w:jc w:val="both"/>
        <w:rPr>
          <w:rFonts w:cs="mylotus" w:hint="cs"/>
          <w:sz w:val="23"/>
          <w:szCs w:val="23"/>
          <w:rtl/>
        </w:rPr>
      </w:pPr>
      <w:r w:rsidRPr="00563AE6">
        <w:rPr>
          <w:rFonts w:cs="mylotus"/>
          <w:sz w:val="23"/>
          <w:szCs w:val="23"/>
          <w:rtl/>
        </w:rPr>
        <w:footnoteRef/>
      </w:r>
      <w:r>
        <w:rPr>
          <w:rFonts w:cs="mylotus"/>
          <w:sz w:val="23"/>
          <w:szCs w:val="23"/>
          <w:rtl/>
        </w:rPr>
        <w:t>-</w:t>
      </w:r>
      <w:r w:rsidRPr="00563AE6">
        <w:rPr>
          <w:rFonts w:cs="mylotus" w:hint="cs"/>
          <w:sz w:val="23"/>
          <w:szCs w:val="23"/>
          <w:rtl/>
        </w:rPr>
        <w:t xml:space="preserve"> </w:t>
      </w:r>
      <w:r w:rsidRPr="00563AE6">
        <w:rPr>
          <w:rFonts w:cs="mylotus"/>
          <w:sz w:val="23"/>
          <w:szCs w:val="23"/>
          <w:rtl/>
        </w:rPr>
        <w:t>الشيخ الطوسي</w:t>
      </w:r>
      <w:r w:rsidRPr="00563AE6">
        <w:rPr>
          <w:rFonts w:cs="mylotus" w:hint="cs"/>
          <w:sz w:val="23"/>
          <w:szCs w:val="23"/>
          <w:rtl/>
        </w:rPr>
        <w:t xml:space="preserve">، </w:t>
      </w:r>
      <w:r w:rsidRPr="00563AE6">
        <w:rPr>
          <w:rFonts w:cs="mylotus"/>
          <w:sz w:val="23"/>
          <w:szCs w:val="23"/>
          <w:rtl/>
        </w:rPr>
        <w:t>تهذيب</w:t>
      </w:r>
      <w:r w:rsidRPr="00563AE6">
        <w:rPr>
          <w:rFonts w:cs="mylotus" w:hint="cs"/>
          <w:sz w:val="23"/>
          <w:szCs w:val="23"/>
          <w:rtl/>
        </w:rPr>
        <w:t xml:space="preserve"> الأحكام، </w:t>
      </w:r>
      <w:r w:rsidRPr="00563AE6">
        <w:rPr>
          <w:rFonts w:cs="mylotus"/>
          <w:sz w:val="23"/>
          <w:szCs w:val="23"/>
          <w:rtl/>
        </w:rPr>
        <w:t>ج 6، ص 327، طبع النجف</w:t>
      </w:r>
      <w:r w:rsidRPr="00563AE6">
        <w:rPr>
          <w:rFonts w:cs="mylotus" w:hint="cs"/>
          <w:sz w:val="23"/>
          <w:szCs w:val="23"/>
          <w:rtl/>
        </w:rPr>
        <w:t>؛</w:t>
      </w:r>
      <w:r w:rsidRPr="00563AE6">
        <w:rPr>
          <w:rFonts w:cs="mylotus"/>
          <w:sz w:val="23"/>
          <w:szCs w:val="23"/>
          <w:rtl/>
        </w:rPr>
        <w:t xml:space="preserve"> العلامة الحلي</w:t>
      </w:r>
      <w:r w:rsidRPr="00563AE6">
        <w:rPr>
          <w:rFonts w:cs="mylotus" w:hint="cs"/>
          <w:sz w:val="23"/>
          <w:szCs w:val="23"/>
          <w:rtl/>
        </w:rPr>
        <w:t xml:space="preserve">، </w:t>
      </w:r>
      <w:r w:rsidRPr="00563AE6">
        <w:rPr>
          <w:rFonts w:cs="mylotus"/>
          <w:sz w:val="23"/>
          <w:szCs w:val="23"/>
          <w:rtl/>
        </w:rPr>
        <w:t>منتهى المطلب</w:t>
      </w:r>
      <w:r w:rsidRPr="00563AE6">
        <w:rPr>
          <w:rFonts w:cs="mylotus" w:hint="cs"/>
          <w:sz w:val="23"/>
          <w:szCs w:val="23"/>
          <w:rtl/>
        </w:rPr>
        <w:t>،</w:t>
      </w:r>
      <w:r w:rsidRPr="00563AE6">
        <w:rPr>
          <w:rFonts w:cs="mylotus"/>
          <w:sz w:val="23"/>
          <w:szCs w:val="23"/>
          <w:rtl/>
        </w:rPr>
        <w:t xml:space="preserve"> ج2، ص1025</w:t>
      </w:r>
      <w:r w:rsidRPr="00563AE6">
        <w:rPr>
          <w:rFonts w:cs="mylotus" w:hint="cs"/>
          <w:sz w:val="23"/>
          <w:szCs w:val="23"/>
          <w:rtl/>
        </w:rPr>
        <w:t>؛</w:t>
      </w:r>
      <w:r w:rsidRPr="00563AE6">
        <w:rPr>
          <w:rFonts w:cs="mylotus"/>
          <w:sz w:val="23"/>
          <w:szCs w:val="23"/>
          <w:rtl/>
        </w:rPr>
        <w:t xml:space="preserve"> الحميري</w:t>
      </w:r>
      <w:r w:rsidRPr="00563AE6">
        <w:rPr>
          <w:rFonts w:cs="mylotus" w:hint="cs"/>
          <w:sz w:val="23"/>
          <w:szCs w:val="23"/>
          <w:rtl/>
        </w:rPr>
        <w:t xml:space="preserve">، </w:t>
      </w:r>
      <w:r w:rsidRPr="00563AE6">
        <w:rPr>
          <w:rFonts w:cs="mylotus"/>
          <w:sz w:val="23"/>
          <w:szCs w:val="23"/>
          <w:rtl/>
        </w:rPr>
        <w:t>قرب الإسناد</w:t>
      </w:r>
      <w:r w:rsidRPr="00563AE6">
        <w:rPr>
          <w:rFonts w:cs="mylotus" w:hint="cs"/>
          <w:sz w:val="23"/>
          <w:szCs w:val="23"/>
          <w:rtl/>
        </w:rPr>
        <w:t>، ص 35؛</w:t>
      </w:r>
      <w:r w:rsidRPr="00563AE6">
        <w:rPr>
          <w:rFonts w:cs="mylotus"/>
          <w:sz w:val="23"/>
          <w:szCs w:val="23"/>
          <w:rtl/>
        </w:rPr>
        <w:t xml:space="preserve"> الحر العاملي</w:t>
      </w:r>
      <w:r w:rsidRPr="00563AE6">
        <w:rPr>
          <w:rFonts w:cs="mylotus" w:hint="cs"/>
          <w:sz w:val="23"/>
          <w:szCs w:val="23"/>
          <w:rtl/>
        </w:rPr>
        <w:t xml:space="preserve">، </w:t>
      </w:r>
      <w:r w:rsidRPr="00563AE6">
        <w:rPr>
          <w:rFonts w:cs="mylotus"/>
          <w:sz w:val="23"/>
          <w:szCs w:val="23"/>
          <w:rtl/>
        </w:rPr>
        <w:t>وسائل الشيعة</w:t>
      </w:r>
      <w:r w:rsidRPr="00563AE6">
        <w:rPr>
          <w:rFonts w:cs="mylotus" w:hint="cs"/>
          <w:sz w:val="23"/>
          <w:szCs w:val="23"/>
          <w:rtl/>
        </w:rPr>
        <w:t xml:space="preserve">، </w:t>
      </w:r>
      <w:r w:rsidRPr="00563AE6">
        <w:rPr>
          <w:rFonts w:cs="mylotus"/>
          <w:sz w:val="23"/>
          <w:szCs w:val="23"/>
          <w:rtl/>
        </w:rPr>
        <w:t>ج 17، ص 214</w:t>
      </w:r>
      <w:r w:rsidRPr="00563AE6">
        <w:rPr>
          <w:rFonts w:cs="mylotus" w:hint="cs"/>
          <w:sz w:val="23"/>
          <w:szCs w:val="23"/>
          <w:rtl/>
        </w:rPr>
        <w:t>.</w:t>
      </w:r>
    </w:p>
  </w:footnote>
  <w:footnote w:id="184">
    <w:p w:rsidR="00B31118" w:rsidRPr="00563AE6" w:rsidRDefault="00B31118" w:rsidP="00B300C9">
      <w:pPr>
        <w:spacing w:line="228" w:lineRule="auto"/>
        <w:ind w:left="378" w:hanging="378"/>
        <w:jc w:val="both"/>
        <w:rPr>
          <w:rFonts w:cs="mylotus" w:hint="cs"/>
          <w:sz w:val="23"/>
          <w:szCs w:val="23"/>
          <w:rtl/>
        </w:rPr>
      </w:pPr>
      <w:r w:rsidRPr="00563AE6">
        <w:rPr>
          <w:rFonts w:cs="mylotus"/>
          <w:sz w:val="23"/>
          <w:szCs w:val="23"/>
          <w:rtl/>
        </w:rPr>
        <w:footnoteRef/>
      </w:r>
      <w:r>
        <w:rPr>
          <w:rFonts w:cs="mylotus"/>
          <w:sz w:val="23"/>
          <w:szCs w:val="23"/>
          <w:rtl/>
        </w:rPr>
        <w:t>-</w:t>
      </w:r>
      <w:r w:rsidRPr="00563AE6">
        <w:rPr>
          <w:rFonts w:cs="mylotus" w:hint="cs"/>
          <w:sz w:val="23"/>
          <w:szCs w:val="23"/>
          <w:rtl/>
        </w:rPr>
        <w:t xml:space="preserve"> </w:t>
      </w:r>
      <w:r w:rsidRPr="00563AE6">
        <w:rPr>
          <w:rFonts w:cs="mylotus"/>
          <w:sz w:val="23"/>
          <w:szCs w:val="23"/>
          <w:rtl/>
        </w:rPr>
        <w:t>أَحْمَدُ بْنُ عَلِيِّ بْنِ أَبِي طَالِبٍ الطَّبْرِسِيُّ</w:t>
      </w:r>
      <w:r w:rsidRPr="00563AE6">
        <w:rPr>
          <w:rFonts w:cs="mylotus" w:hint="cs"/>
          <w:sz w:val="23"/>
          <w:szCs w:val="23"/>
          <w:rtl/>
        </w:rPr>
        <w:t xml:space="preserve">، </w:t>
      </w:r>
      <w:r w:rsidRPr="00563AE6">
        <w:rPr>
          <w:rFonts w:cs="mylotus"/>
          <w:sz w:val="23"/>
          <w:szCs w:val="23"/>
          <w:rtl/>
        </w:rPr>
        <w:t>الاحْتِجَاج</w:t>
      </w:r>
      <w:r w:rsidRPr="00563AE6">
        <w:rPr>
          <w:rFonts w:cs="mylotus" w:hint="cs"/>
          <w:sz w:val="23"/>
          <w:szCs w:val="23"/>
          <w:rtl/>
        </w:rPr>
        <w:t xml:space="preserve">، ج </w:t>
      </w:r>
      <w:r w:rsidRPr="00563AE6">
        <w:rPr>
          <w:rFonts w:cs="mylotus"/>
          <w:sz w:val="23"/>
          <w:szCs w:val="23"/>
          <w:rtl/>
        </w:rPr>
        <w:t>2،</w:t>
      </w:r>
      <w:r w:rsidRPr="00563AE6">
        <w:rPr>
          <w:rFonts w:cs="mylotus" w:hint="cs"/>
          <w:sz w:val="23"/>
          <w:szCs w:val="23"/>
          <w:rtl/>
        </w:rPr>
        <w:t xml:space="preserve"> ص</w:t>
      </w:r>
      <w:r w:rsidRPr="00563AE6">
        <w:rPr>
          <w:rFonts w:cs="mylotus"/>
          <w:sz w:val="23"/>
          <w:szCs w:val="23"/>
          <w:rtl/>
        </w:rPr>
        <w:t xml:space="preserve"> 298</w:t>
      </w:r>
      <w:r w:rsidRPr="00563AE6">
        <w:rPr>
          <w:rFonts w:cs="mylotus" w:hint="cs"/>
          <w:sz w:val="23"/>
          <w:szCs w:val="23"/>
          <w:rtl/>
        </w:rPr>
        <w:t xml:space="preserve">. ورواه  عنه  الحر العاملي، وسائل الشيعة، </w:t>
      </w:r>
      <w:r w:rsidRPr="00563AE6">
        <w:rPr>
          <w:rFonts w:cs="mylotus"/>
          <w:sz w:val="23"/>
          <w:szCs w:val="23"/>
          <w:rtl/>
        </w:rPr>
        <w:t>ج 17</w:t>
      </w:r>
      <w:r w:rsidRPr="00563AE6">
        <w:rPr>
          <w:rFonts w:cs="mylotus" w:hint="cs"/>
          <w:sz w:val="23"/>
          <w:szCs w:val="23"/>
          <w:rtl/>
        </w:rPr>
        <w:t xml:space="preserve">، </w:t>
      </w:r>
      <w:r w:rsidRPr="00563AE6">
        <w:rPr>
          <w:rFonts w:cs="mylotus"/>
          <w:sz w:val="23"/>
          <w:szCs w:val="23"/>
          <w:rtl/>
        </w:rPr>
        <w:t>ص 217</w:t>
      </w:r>
      <w:r w:rsidRPr="00563AE6">
        <w:rPr>
          <w:rFonts w:cs="mylotus" w:hint="cs"/>
          <w:sz w:val="23"/>
          <w:szCs w:val="23"/>
          <w:rtl/>
        </w:rPr>
        <w:t xml:space="preserve">، حديث </w:t>
      </w:r>
      <w:r w:rsidRPr="00563AE6">
        <w:rPr>
          <w:rFonts w:cs="mylotus"/>
          <w:sz w:val="23"/>
          <w:szCs w:val="23"/>
          <w:rtl/>
        </w:rPr>
        <w:t>22369</w:t>
      </w:r>
      <w:r w:rsidRPr="00563AE6">
        <w:rPr>
          <w:rFonts w:cs="mylotus" w:hint="cs"/>
          <w:sz w:val="23"/>
          <w:szCs w:val="23"/>
          <w:rtl/>
        </w:rPr>
        <w:t>. (المترجِم).</w:t>
      </w:r>
    </w:p>
  </w:footnote>
  <w:footnote w:id="185">
    <w:p w:rsidR="00B31118" w:rsidRPr="00563AE6" w:rsidRDefault="00B31118" w:rsidP="00B300C9">
      <w:pPr>
        <w:spacing w:line="228" w:lineRule="auto"/>
        <w:ind w:left="378" w:hanging="378"/>
        <w:jc w:val="both"/>
        <w:rPr>
          <w:rFonts w:cs="mylotus" w:hint="cs"/>
          <w:sz w:val="23"/>
          <w:szCs w:val="23"/>
          <w:rtl/>
        </w:rPr>
      </w:pPr>
      <w:r w:rsidRPr="00563AE6">
        <w:rPr>
          <w:rFonts w:cs="mylotus"/>
          <w:sz w:val="23"/>
          <w:szCs w:val="23"/>
          <w:rtl/>
        </w:rPr>
        <w:footnoteRef/>
      </w:r>
      <w:r>
        <w:rPr>
          <w:rFonts w:cs="mylotus"/>
          <w:sz w:val="23"/>
          <w:szCs w:val="23"/>
          <w:rtl/>
        </w:rPr>
        <w:t>-</w:t>
      </w:r>
      <w:r w:rsidRPr="00563AE6">
        <w:rPr>
          <w:rFonts w:cs="mylotus" w:hint="cs"/>
          <w:sz w:val="23"/>
          <w:szCs w:val="23"/>
          <w:rtl/>
        </w:rPr>
        <w:t xml:space="preserve"> </w:t>
      </w:r>
      <w:r w:rsidRPr="00563AE6">
        <w:rPr>
          <w:rFonts w:cs="mylotus"/>
          <w:sz w:val="23"/>
          <w:szCs w:val="23"/>
          <w:rtl/>
        </w:rPr>
        <w:t>عبدُ الله بن جعفر الحِمْيَرِيّ</w:t>
      </w:r>
      <w:r w:rsidRPr="00563AE6">
        <w:rPr>
          <w:rFonts w:cs="mylotus" w:hint="cs"/>
          <w:sz w:val="23"/>
          <w:szCs w:val="23"/>
          <w:rtl/>
        </w:rPr>
        <w:t xml:space="preserve">، </w:t>
      </w:r>
      <w:r w:rsidRPr="00563AE6">
        <w:rPr>
          <w:rFonts w:cs="mylotus"/>
          <w:sz w:val="23"/>
          <w:szCs w:val="23"/>
          <w:rtl/>
        </w:rPr>
        <w:t>قرب الإسناد</w:t>
      </w:r>
      <w:r w:rsidRPr="00563AE6">
        <w:rPr>
          <w:rFonts w:cs="mylotus" w:hint="cs"/>
          <w:sz w:val="23"/>
          <w:szCs w:val="23"/>
          <w:rtl/>
        </w:rPr>
        <w:t xml:space="preserve">، </w:t>
      </w:r>
      <w:r w:rsidRPr="00563AE6">
        <w:rPr>
          <w:rFonts w:cs="mylotus"/>
          <w:sz w:val="23"/>
          <w:szCs w:val="23"/>
          <w:rtl/>
        </w:rPr>
        <w:t>ص 45</w:t>
      </w:r>
      <w:r w:rsidRPr="00563AE6">
        <w:rPr>
          <w:rFonts w:cs="mylotus" w:hint="cs"/>
          <w:sz w:val="23"/>
          <w:szCs w:val="23"/>
          <w:rtl/>
        </w:rPr>
        <w:t xml:space="preserve">.  ونقله عنه الحر العاملي، وسائل الشيعة، </w:t>
      </w:r>
      <w:r w:rsidRPr="00563AE6">
        <w:rPr>
          <w:rFonts w:cs="mylotus"/>
          <w:sz w:val="23"/>
          <w:szCs w:val="23"/>
          <w:rtl/>
        </w:rPr>
        <w:t>ج 17</w:t>
      </w:r>
      <w:r w:rsidRPr="00563AE6">
        <w:rPr>
          <w:rFonts w:cs="mylotus" w:hint="cs"/>
          <w:sz w:val="23"/>
          <w:szCs w:val="23"/>
          <w:rtl/>
        </w:rPr>
        <w:t xml:space="preserve">، </w:t>
      </w:r>
      <w:r w:rsidRPr="00563AE6">
        <w:rPr>
          <w:rFonts w:cs="mylotus"/>
          <w:sz w:val="23"/>
          <w:szCs w:val="23"/>
          <w:rtl/>
        </w:rPr>
        <w:t xml:space="preserve">ص </w:t>
      </w:r>
      <w:r w:rsidRPr="00563AE6">
        <w:rPr>
          <w:rFonts w:cs="mylotus" w:hint="cs"/>
          <w:sz w:val="23"/>
          <w:szCs w:val="23"/>
          <w:rtl/>
        </w:rPr>
        <w:t xml:space="preserve">216-217، حديث </w:t>
      </w:r>
      <w:r w:rsidRPr="00563AE6">
        <w:rPr>
          <w:rFonts w:cs="mylotus"/>
          <w:sz w:val="23"/>
          <w:szCs w:val="23"/>
          <w:rtl/>
        </w:rPr>
        <w:t>2236</w:t>
      </w:r>
      <w:r w:rsidRPr="00563AE6">
        <w:rPr>
          <w:rFonts w:cs="mylotus" w:hint="cs"/>
          <w:sz w:val="23"/>
          <w:szCs w:val="23"/>
          <w:rtl/>
        </w:rPr>
        <w:t>8. (المترجِم).</w:t>
      </w:r>
    </w:p>
  </w:footnote>
  <w:footnote w:id="186">
    <w:p w:rsidR="00B31118" w:rsidRPr="00563AE6" w:rsidRDefault="00B31118" w:rsidP="00B300C9">
      <w:pPr>
        <w:spacing w:line="228" w:lineRule="auto"/>
        <w:ind w:left="378" w:hanging="378"/>
        <w:jc w:val="both"/>
        <w:rPr>
          <w:rFonts w:cs="mylotus" w:hint="cs"/>
          <w:sz w:val="23"/>
          <w:szCs w:val="23"/>
          <w:rtl/>
        </w:rPr>
      </w:pPr>
      <w:r w:rsidRPr="00563AE6">
        <w:rPr>
          <w:rFonts w:cs="mylotus"/>
          <w:sz w:val="23"/>
          <w:szCs w:val="23"/>
          <w:rtl/>
        </w:rPr>
        <w:footnoteRef/>
      </w:r>
      <w:r>
        <w:rPr>
          <w:rFonts w:cs="mylotus"/>
          <w:sz w:val="23"/>
          <w:szCs w:val="23"/>
          <w:rtl/>
        </w:rPr>
        <w:t>-</w:t>
      </w:r>
      <w:r w:rsidRPr="00563AE6">
        <w:rPr>
          <w:rFonts w:cs="mylotus" w:hint="cs"/>
          <w:sz w:val="23"/>
          <w:szCs w:val="23"/>
          <w:rtl/>
        </w:rPr>
        <w:t xml:space="preserve"> أبو حامد </w:t>
      </w:r>
      <w:r w:rsidRPr="00563AE6">
        <w:rPr>
          <w:rFonts w:cs="mylotus"/>
          <w:sz w:val="23"/>
          <w:szCs w:val="23"/>
          <w:rtl/>
        </w:rPr>
        <w:t>الغزالي</w:t>
      </w:r>
      <w:r w:rsidRPr="00563AE6">
        <w:rPr>
          <w:rFonts w:cs="mylotus" w:hint="cs"/>
          <w:sz w:val="23"/>
          <w:szCs w:val="23"/>
          <w:rtl/>
        </w:rPr>
        <w:t xml:space="preserve">، </w:t>
      </w:r>
      <w:r w:rsidRPr="00563AE6">
        <w:rPr>
          <w:rFonts w:cs="mylotus"/>
          <w:sz w:val="23"/>
          <w:szCs w:val="23"/>
          <w:rtl/>
        </w:rPr>
        <w:t>إحياء علوم الدين</w:t>
      </w:r>
      <w:r w:rsidRPr="00563AE6">
        <w:rPr>
          <w:rFonts w:cs="mylotus" w:hint="cs"/>
          <w:sz w:val="23"/>
          <w:szCs w:val="23"/>
          <w:rtl/>
        </w:rPr>
        <w:t xml:space="preserve">، </w:t>
      </w:r>
      <w:r w:rsidRPr="00563AE6">
        <w:rPr>
          <w:rFonts w:cs="mylotus"/>
          <w:sz w:val="23"/>
          <w:szCs w:val="23"/>
          <w:rtl/>
        </w:rPr>
        <w:t>طبعة مصر القديمة</w:t>
      </w:r>
      <w:r w:rsidRPr="00563AE6">
        <w:rPr>
          <w:rFonts w:cs="mylotus" w:hint="cs"/>
          <w:sz w:val="23"/>
          <w:szCs w:val="23"/>
          <w:rtl/>
        </w:rPr>
        <w:t>،</w:t>
      </w:r>
      <w:r w:rsidRPr="00563AE6">
        <w:rPr>
          <w:rFonts w:cs="mylotus"/>
          <w:sz w:val="23"/>
          <w:szCs w:val="23"/>
          <w:rtl/>
        </w:rPr>
        <w:t xml:space="preserve"> ج2، ص102</w:t>
      </w:r>
      <w:r w:rsidRPr="00563AE6">
        <w:rPr>
          <w:rFonts w:cs="mylotus" w:hint="cs"/>
          <w:sz w:val="23"/>
          <w:szCs w:val="23"/>
          <w:rtl/>
        </w:rPr>
        <w:t>.</w:t>
      </w:r>
    </w:p>
  </w:footnote>
  <w:footnote w:id="187">
    <w:p w:rsidR="00B31118" w:rsidRPr="00563AE6" w:rsidRDefault="00B31118" w:rsidP="00B300C9">
      <w:pPr>
        <w:spacing w:line="228" w:lineRule="auto"/>
        <w:ind w:left="378" w:hanging="378"/>
        <w:jc w:val="both"/>
        <w:rPr>
          <w:rFonts w:cs="mylotus" w:hint="cs"/>
          <w:sz w:val="23"/>
          <w:szCs w:val="23"/>
          <w:rtl/>
        </w:rPr>
      </w:pPr>
      <w:r w:rsidRPr="00563AE6">
        <w:rPr>
          <w:rFonts w:cs="mylotus"/>
          <w:sz w:val="23"/>
          <w:szCs w:val="23"/>
          <w:rtl/>
        </w:rPr>
        <w:footnoteRef/>
      </w:r>
      <w:r>
        <w:rPr>
          <w:rFonts w:cs="mylotus"/>
          <w:sz w:val="23"/>
          <w:szCs w:val="23"/>
          <w:rtl/>
        </w:rPr>
        <w:t>-</w:t>
      </w:r>
      <w:r w:rsidRPr="00563AE6">
        <w:rPr>
          <w:rFonts w:cs="mylotus" w:hint="cs"/>
          <w:sz w:val="23"/>
          <w:szCs w:val="23"/>
          <w:rtl/>
        </w:rPr>
        <w:t xml:space="preserve"> </w:t>
      </w:r>
      <w:r w:rsidRPr="00563AE6">
        <w:rPr>
          <w:rFonts w:cs="mylotus"/>
          <w:sz w:val="23"/>
          <w:szCs w:val="23"/>
          <w:rtl/>
        </w:rPr>
        <w:t>أبو الفرج الأصفهاني</w:t>
      </w:r>
      <w:r w:rsidRPr="00563AE6">
        <w:rPr>
          <w:rFonts w:cs="mylotus" w:hint="cs"/>
          <w:sz w:val="23"/>
          <w:szCs w:val="23"/>
          <w:rtl/>
        </w:rPr>
        <w:t>،</w:t>
      </w:r>
      <w:r w:rsidRPr="00563AE6">
        <w:rPr>
          <w:rFonts w:cs="mylotus"/>
          <w:sz w:val="23"/>
          <w:szCs w:val="23"/>
          <w:rtl/>
        </w:rPr>
        <w:t xml:space="preserve"> الأغاني</w:t>
      </w:r>
      <w:r w:rsidRPr="00563AE6">
        <w:rPr>
          <w:rFonts w:cs="mylotus" w:hint="cs"/>
          <w:sz w:val="23"/>
          <w:szCs w:val="23"/>
          <w:rtl/>
        </w:rPr>
        <w:t xml:space="preserve">، </w:t>
      </w:r>
      <w:r w:rsidRPr="00563AE6">
        <w:rPr>
          <w:rFonts w:cs="mylotus"/>
          <w:sz w:val="23"/>
          <w:szCs w:val="23"/>
          <w:rtl/>
        </w:rPr>
        <w:t>ج16، ص 150</w:t>
      </w:r>
      <w:r w:rsidRPr="00563AE6">
        <w:rPr>
          <w:rFonts w:cs="mylotus" w:hint="cs"/>
          <w:sz w:val="23"/>
          <w:szCs w:val="23"/>
          <w:rtl/>
        </w:rPr>
        <w:t>.</w:t>
      </w:r>
    </w:p>
  </w:footnote>
  <w:footnote w:id="188">
    <w:p w:rsidR="00B31118" w:rsidRPr="00563AE6" w:rsidRDefault="00B31118" w:rsidP="00B300C9">
      <w:pPr>
        <w:spacing w:line="228" w:lineRule="auto"/>
        <w:ind w:left="378" w:hanging="378"/>
        <w:jc w:val="both"/>
        <w:rPr>
          <w:rFonts w:cs="mylotus" w:hint="cs"/>
          <w:sz w:val="23"/>
          <w:szCs w:val="23"/>
          <w:rtl/>
        </w:rPr>
      </w:pPr>
      <w:r w:rsidRPr="00563AE6">
        <w:rPr>
          <w:rFonts w:cs="mylotus"/>
          <w:sz w:val="23"/>
          <w:szCs w:val="23"/>
          <w:rtl/>
        </w:rPr>
        <w:footnoteRef/>
      </w:r>
      <w:r>
        <w:rPr>
          <w:rFonts w:cs="mylotus"/>
          <w:sz w:val="23"/>
          <w:szCs w:val="23"/>
          <w:rtl/>
        </w:rPr>
        <w:t>-</w:t>
      </w:r>
      <w:r w:rsidRPr="00563AE6">
        <w:rPr>
          <w:rFonts w:cs="mylotus" w:hint="cs"/>
          <w:sz w:val="23"/>
          <w:szCs w:val="23"/>
          <w:rtl/>
        </w:rPr>
        <w:t xml:space="preserve"> </w:t>
      </w:r>
      <w:r w:rsidRPr="00563AE6">
        <w:rPr>
          <w:rFonts w:cs="mylotus"/>
          <w:sz w:val="23"/>
          <w:szCs w:val="23"/>
          <w:rtl/>
        </w:rPr>
        <w:t>ابن سع</w:t>
      </w:r>
      <w:r w:rsidRPr="00563AE6">
        <w:rPr>
          <w:rFonts w:cs="mylotus" w:hint="cs"/>
          <w:sz w:val="23"/>
          <w:szCs w:val="23"/>
          <w:rtl/>
        </w:rPr>
        <w:t xml:space="preserve">د، </w:t>
      </w:r>
      <w:r w:rsidRPr="00563AE6">
        <w:rPr>
          <w:rFonts w:cs="mylotus"/>
          <w:sz w:val="23"/>
          <w:szCs w:val="23"/>
          <w:rtl/>
        </w:rPr>
        <w:t>الطبقات الكبرى</w:t>
      </w:r>
      <w:r w:rsidRPr="00563AE6">
        <w:rPr>
          <w:rFonts w:cs="mylotus" w:hint="cs"/>
          <w:sz w:val="23"/>
          <w:szCs w:val="23"/>
          <w:rtl/>
        </w:rPr>
        <w:t xml:space="preserve">، </w:t>
      </w:r>
      <w:r w:rsidRPr="00563AE6">
        <w:rPr>
          <w:rFonts w:cs="mylotus"/>
          <w:sz w:val="23"/>
          <w:szCs w:val="23"/>
          <w:rtl/>
        </w:rPr>
        <w:t>ج2، ص213</w:t>
      </w:r>
      <w:r w:rsidRPr="00563AE6">
        <w:rPr>
          <w:rFonts w:cs="mylotus" w:hint="cs"/>
          <w:sz w:val="23"/>
          <w:szCs w:val="23"/>
          <w:rtl/>
        </w:rPr>
        <w:t>.</w:t>
      </w:r>
    </w:p>
  </w:footnote>
  <w:footnote w:id="189">
    <w:p w:rsidR="00B31118" w:rsidRPr="00563AE6" w:rsidRDefault="00B31118" w:rsidP="00B300C9">
      <w:pPr>
        <w:spacing w:line="228" w:lineRule="auto"/>
        <w:ind w:left="378" w:hanging="378"/>
        <w:jc w:val="both"/>
        <w:rPr>
          <w:rFonts w:cs="mylotus" w:hint="cs"/>
          <w:sz w:val="23"/>
          <w:szCs w:val="23"/>
        </w:rPr>
      </w:pPr>
      <w:r w:rsidRPr="00563AE6">
        <w:rPr>
          <w:rFonts w:cs="mylotus"/>
          <w:sz w:val="23"/>
          <w:szCs w:val="23"/>
          <w:rtl/>
        </w:rPr>
        <w:footnoteRef/>
      </w:r>
      <w:r>
        <w:rPr>
          <w:rFonts w:cs="mylotus"/>
          <w:sz w:val="23"/>
          <w:szCs w:val="23"/>
          <w:rtl/>
        </w:rPr>
        <w:t>-</w:t>
      </w:r>
      <w:r w:rsidRPr="00563AE6">
        <w:rPr>
          <w:rFonts w:cs="mylotus"/>
          <w:sz w:val="23"/>
          <w:szCs w:val="23"/>
          <w:rtl/>
        </w:rPr>
        <w:t xml:space="preserve"> قطب الدين الراوندي </w:t>
      </w:r>
      <w:r w:rsidRPr="00563AE6">
        <w:rPr>
          <w:rFonts w:cs="mylotus" w:hint="cs"/>
          <w:sz w:val="23"/>
          <w:szCs w:val="23"/>
          <w:rtl/>
        </w:rPr>
        <w:t xml:space="preserve">صاحب كتاب </w:t>
      </w:r>
      <w:r w:rsidRPr="00563AE6">
        <w:rPr>
          <w:rFonts w:cs="mylotus"/>
          <w:sz w:val="23"/>
          <w:szCs w:val="23"/>
          <w:rtl/>
        </w:rPr>
        <w:t>«الخرائج والجرائح»</w:t>
      </w:r>
      <w:r w:rsidRPr="00563AE6">
        <w:rPr>
          <w:rFonts w:cs="mylotus" w:hint="cs"/>
          <w:sz w:val="23"/>
          <w:szCs w:val="23"/>
          <w:rtl/>
        </w:rPr>
        <w:t xml:space="preserve">، </w:t>
      </w:r>
      <w:r w:rsidRPr="00563AE6">
        <w:rPr>
          <w:rFonts w:cs="mylotus"/>
          <w:sz w:val="23"/>
          <w:szCs w:val="23"/>
          <w:rtl/>
        </w:rPr>
        <w:t xml:space="preserve">من علماء الشيعة الإمامية في القرن السادس الهجري، توفي في قم سنة (573 هـ). </w:t>
      </w:r>
      <w:r w:rsidRPr="00563AE6">
        <w:rPr>
          <w:rFonts w:cs="mylotus" w:hint="cs"/>
          <w:sz w:val="23"/>
          <w:szCs w:val="23"/>
          <w:rtl/>
        </w:rPr>
        <w:t xml:space="preserve">وجميع </w:t>
      </w:r>
      <w:r w:rsidRPr="00563AE6">
        <w:rPr>
          <w:rFonts w:cs="mylotus"/>
          <w:sz w:val="23"/>
          <w:szCs w:val="23"/>
          <w:rtl/>
        </w:rPr>
        <w:t>الأخبار والروايات التي يذكرها الراوندي في كتابه الخرائج مرسلة ومقطوعة السند لأنه يرويها عن رواة من القرن الثالث دون بيان طريقه إليهم.</w:t>
      </w:r>
      <w:r w:rsidRPr="00563AE6">
        <w:rPr>
          <w:rFonts w:cs="mylotus" w:hint="cs"/>
          <w:sz w:val="23"/>
          <w:szCs w:val="23"/>
          <w:rtl/>
        </w:rPr>
        <w:t xml:space="preserve"> (المترجِم).</w:t>
      </w:r>
    </w:p>
  </w:footnote>
  <w:footnote w:id="190">
    <w:p w:rsidR="00B31118" w:rsidRPr="00563AE6" w:rsidRDefault="00B31118" w:rsidP="00B300C9">
      <w:pPr>
        <w:spacing w:line="228" w:lineRule="auto"/>
        <w:ind w:left="378" w:hanging="378"/>
        <w:jc w:val="both"/>
        <w:rPr>
          <w:rFonts w:cs="mylotus" w:hint="cs"/>
          <w:sz w:val="23"/>
          <w:szCs w:val="23"/>
          <w:rtl/>
        </w:rPr>
      </w:pPr>
      <w:r w:rsidRPr="00563AE6">
        <w:rPr>
          <w:rFonts w:cs="mylotus"/>
          <w:sz w:val="23"/>
          <w:szCs w:val="23"/>
          <w:rtl/>
        </w:rPr>
        <w:footnoteRef/>
      </w:r>
      <w:r>
        <w:rPr>
          <w:rFonts w:cs="mylotus"/>
          <w:sz w:val="23"/>
          <w:szCs w:val="23"/>
          <w:rtl/>
        </w:rPr>
        <w:t>-</w:t>
      </w:r>
      <w:r w:rsidRPr="00563AE6">
        <w:rPr>
          <w:rFonts w:cs="mylotus" w:hint="cs"/>
          <w:sz w:val="23"/>
          <w:szCs w:val="23"/>
          <w:rtl/>
        </w:rPr>
        <w:t xml:space="preserve"> </w:t>
      </w:r>
      <w:r w:rsidRPr="00563AE6">
        <w:rPr>
          <w:rFonts w:cs="mylotus"/>
          <w:sz w:val="23"/>
          <w:szCs w:val="23"/>
          <w:rtl/>
        </w:rPr>
        <w:t>القطب الراوندي</w:t>
      </w:r>
      <w:r w:rsidRPr="00563AE6">
        <w:rPr>
          <w:rFonts w:cs="mylotus" w:hint="cs"/>
          <w:sz w:val="23"/>
          <w:szCs w:val="23"/>
          <w:rtl/>
        </w:rPr>
        <w:t>،</w:t>
      </w:r>
      <w:r w:rsidRPr="00563AE6">
        <w:rPr>
          <w:rFonts w:cs="mylotus"/>
          <w:sz w:val="23"/>
          <w:szCs w:val="23"/>
          <w:rtl/>
        </w:rPr>
        <w:t xml:space="preserve"> الخرائج والجرائح</w:t>
      </w:r>
      <w:r w:rsidRPr="00563AE6">
        <w:rPr>
          <w:rFonts w:cs="mylotus" w:hint="cs"/>
          <w:sz w:val="23"/>
          <w:szCs w:val="23"/>
          <w:rtl/>
        </w:rPr>
        <w:t xml:space="preserve">، </w:t>
      </w:r>
      <w:r w:rsidRPr="00563AE6">
        <w:rPr>
          <w:rFonts w:cs="mylotus"/>
          <w:sz w:val="23"/>
          <w:szCs w:val="23"/>
          <w:rtl/>
        </w:rPr>
        <w:t>ص 194</w:t>
      </w:r>
      <w:r w:rsidRPr="00563AE6">
        <w:rPr>
          <w:rFonts w:cs="mylotus" w:hint="cs"/>
          <w:sz w:val="23"/>
          <w:szCs w:val="23"/>
          <w:rtl/>
        </w:rPr>
        <w:t>؛ والمجلسي، بحار الأنوار، ج 46، ص 28-29. (المترجِم).</w:t>
      </w:r>
    </w:p>
  </w:footnote>
  <w:footnote w:id="191">
    <w:p w:rsidR="00B31118" w:rsidRPr="00563AE6" w:rsidRDefault="00B31118" w:rsidP="00B300C9">
      <w:pPr>
        <w:spacing w:line="228" w:lineRule="auto"/>
        <w:ind w:left="378" w:hanging="378"/>
        <w:jc w:val="both"/>
        <w:rPr>
          <w:rFonts w:cs="mylotus" w:hint="cs"/>
          <w:sz w:val="23"/>
          <w:szCs w:val="23"/>
          <w:rtl/>
        </w:rPr>
      </w:pPr>
      <w:r w:rsidRPr="00563AE6">
        <w:rPr>
          <w:rFonts w:cs="mylotus"/>
          <w:sz w:val="23"/>
          <w:szCs w:val="23"/>
          <w:rtl/>
        </w:rPr>
        <w:footnoteRef/>
      </w:r>
      <w:r>
        <w:rPr>
          <w:rFonts w:cs="mylotus"/>
          <w:sz w:val="23"/>
          <w:szCs w:val="23"/>
          <w:rtl/>
        </w:rPr>
        <w:t>-</w:t>
      </w:r>
      <w:r w:rsidRPr="00563AE6">
        <w:rPr>
          <w:rFonts w:cs="mylotus" w:hint="cs"/>
          <w:sz w:val="23"/>
          <w:szCs w:val="23"/>
          <w:rtl/>
        </w:rPr>
        <w:t xml:space="preserve"> النوري الطبرسي، </w:t>
      </w:r>
      <w:r w:rsidRPr="00563AE6">
        <w:rPr>
          <w:rFonts w:cs="mylotus"/>
          <w:sz w:val="23"/>
          <w:szCs w:val="23"/>
          <w:rtl/>
        </w:rPr>
        <w:t>مستدرك‏الوسائل</w:t>
      </w:r>
      <w:r w:rsidRPr="00563AE6">
        <w:rPr>
          <w:rFonts w:cs="mylotus" w:hint="cs"/>
          <w:sz w:val="23"/>
          <w:szCs w:val="23"/>
          <w:rtl/>
        </w:rPr>
        <w:t xml:space="preserve">، </w:t>
      </w:r>
      <w:r w:rsidRPr="00563AE6">
        <w:rPr>
          <w:rFonts w:cs="mylotus"/>
          <w:sz w:val="23"/>
          <w:szCs w:val="23"/>
          <w:rtl/>
        </w:rPr>
        <w:t>ج 13، ص 178</w:t>
      </w:r>
      <w:r w:rsidRPr="00563AE6">
        <w:rPr>
          <w:rFonts w:cs="mylotus" w:hint="cs"/>
          <w:sz w:val="23"/>
          <w:szCs w:val="23"/>
          <w:rtl/>
        </w:rPr>
        <w:t>.</w:t>
      </w:r>
    </w:p>
  </w:footnote>
  <w:footnote w:id="192">
    <w:p w:rsidR="00B31118" w:rsidRPr="00563AE6" w:rsidRDefault="00B31118" w:rsidP="00B300C9">
      <w:pPr>
        <w:spacing w:line="228" w:lineRule="auto"/>
        <w:ind w:left="378" w:hanging="378"/>
        <w:jc w:val="both"/>
        <w:rPr>
          <w:rFonts w:cs="mylotus" w:hint="cs"/>
          <w:sz w:val="23"/>
          <w:szCs w:val="23"/>
          <w:rtl/>
        </w:rPr>
      </w:pPr>
      <w:r w:rsidRPr="00563AE6">
        <w:rPr>
          <w:rFonts w:cs="mylotus"/>
          <w:sz w:val="23"/>
          <w:szCs w:val="23"/>
          <w:rtl/>
        </w:rPr>
        <w:footnoteRef/>
      </w:r>
      <w:r>
        <w:rPr>
          <w:rFonts w:cs="mylotus"/>
          <w:sz w:val="23"/>
          <w:szCs w:val="23"/>
          <w:rtl/>
        </w:rPr>
        <w:t>-</w:t>
      </w:r>
      <w:r w:rsidRPr="00563AE6">
        <w:rPr>
          <w:rFonts w:cs="mylotus" w:hint="cs"/>
          <w:sz w:val="23"/>
          <w:szCs w:val="23"/>
          <w:rtl/>
        </w:rPr>
        <w:t xml:space="preserve"> المجلسي، بحار الأنوار، ج 46، ص 95. (المترجِم).</w:t>
      </w:r>
    </w:p>
  </w:footnote>
  <w:footnote w:id="193">
    <w:p w:rsidR="00B31118" w:rsidRPr="00563AE6" w:rsidRDefault="00B31118" w:rsidP="00B300C9">
      <w:pPr>
        <w:spacing w:line="228" w:lineRule="auto"/>
        <w:ind w:left="378" w:hanging="378"/>
        <w:jc w:val="both"/>
        <w:rPr>
          <w:rFonts w:cs="mylotus" w:hint="cs"/>
          <w:sz w:val="23"/>
          <w:szCs w:val="23"/>
          <w:rtl/>
        </w:rPr>
      </w:pPr>
      <w:r w:rsidRPr="00563AE6">
        <w:rPr>
          <w:rFonts w:cs="mylotus"/>
          <w:sz w:val="23"/>
          <w:szCs w:val="23"/>
          <w:rtl/>
        </w:rPr>
        <w:footnoteRef/>
      </w:r>
      <w:r>
        <w:rPr>
          <w:rFonts w:cs="mylotus"/>
          <w:sz w:val="23"/>
          <w:szCs w:val="23"/>
          <w:rtl/>
        </w:rPr>
        <w:t>-</w:t>
      </w:r>
      <w:r w:rsidRPr="00563AE6">
        <w:rPr>
          <w:rFonts w:cs="mylotus" w:hint="cs"/>
          <w:sz w:val="23"/>
          <w:szCs w:val="23"/>
          <w:rtl/>
        </w:rPr>
        <w:t xml:space="preserve"> </w:t>
      </w:r>
      <w:r w:rsidRPr="00563AE6">
        <w:rPr>
          <w:rFonts w:cs="mylotus"/>
          <w:sz w:val="23"/>
          <w:szCs w:val="23"/>
          <w:rtl/>
        </w:rPr>
        <w:t>ابن سعد</w:t>
      </w:r>
      <w:r w:rsidRPr="00563AE6">
        <w:rPr>
          <w:rFonts w:cs="mylotus" w:hint="cs"/>
          <w:sz w:val="23"/>
          <w:szCs w:val="23"/>
          <w:rtl/>
        </w:rPr>
        <w:t xml:space="preserve">، </w:t>
      </w:r>
      <w:r w:rsidRPr="00563AE6">
        <w:rPr>
          <w:rFonts w:cs="mylotus"/>
          <w:sz w:val="23"/>
          <w:szCs w:val="23"/>
          <w:rtl/>
        </w:rPr>
        <w:t>الطبقات الكبرى</w:t>
      </w:r>
      <w:r w:rsidRPr="00563AE6">
        <w:rPr>
          <w:rFonts w:cs="mylotus" w:hint="cs"/>
          <w:sz w:val="23"/>
          <w:szCs w:val="23"/>
          <w:rtl/>
        </w:rPr>
        <w:t xml:space="preserve">، </w:t>
      </w:r>
      <w:r w:rsidRPr="00563AE6">
        <w:rPr>
          <w:rFonts w:cs="mylotus"/>
          <w:sz w:val="23"/>
          <w:szCs w:val="23"/>
          <w:rtl/>
        </w:rPr>
        <w:t>ج 5، ص111-112</w:t>
      </w:r>
      <w:r w:rsidRPr="00563AE6">
        <w:rPr>
          <w:rFonts w:cs="mylotus" w:hint="cs"/>
          <w:sz w:val="23"/>
          <w:szCs w:val="23"/>
          <w:rtl/>
        </w:rPr>
        <w:t>.</w:t>
      </w:r>
    </w:p>
  </w:footnote>
  <w:footnote w:id="194">
    <w:p w:rsidR="00B31118" w:rsidRPr="00563AE6" w:rsidRDefault="00B31118" w:rsidP="00B300C9">
      <w:pPr>
        <w:spacing w:line="228" w:lineRule="auto"/>
        <w:ind w:left="378" w:hanging="378"/>
        <w:jc w:val="both"/>
        <w:rPr>
          <w:rFonts w:cs="mylotus" w:hint="cs"/>
          <w:sz w:val="23"/>
          <w:szCs w:val="23"/>
          <w:rtl/>
        </w:rPr>
      </w:pPr>
      <w:r w:rsidRPr="00563AE6">
        <w:rPr>
          <w:rFonts w:cs="mylotus"/>
          <w:sz w:val="23"/>
          <w:szCs w:val="23"/>
          <w:rtl/>
        </w:rPr>
        <w:footnoteRef/>
      </w:r>
      <w:r>
        <w:rPr>
          <w:rFonts w:cs="mylotus"/>
          <w:sz w:val="23"/>
          <w:szCs w:val="23"/>
          <w:rtl/>
        </w:rPr>
        <w:t>-</w:t>
      </w:r>
      <w:r w:rsidRPr="00563AE6">
        <w:rPr>
          <w:rFonts w:cs="mylotus" w:hint="cs"/>
          <w:sz w:val="23"/>
          <w:szCs w:val="23"/>
          <w:rtl/>
        </w:rPr>
        <w:t xml:space="preserve"> </w:t>
      </w:r>
      <w:r w:rsidRPr="00563AE6">
        <w:rPr>
          <w:rFonts w:cs="mylotus"/>
          <w:sz w:val="23"/>
          <w:szCs w:val="23"/>
          <w:rtl/>
        </w:rPr>
        <w:t>النوري الطبرسي</w:t>
      </w:r>
      <w:r w:rsidRPr="00563AE6">
        <w:rPr>
          <w:rFonts w:cs="mylotus" w:hint="cs"/>
          <w:sz w:val="23"/>
          <w:szCs w:val="23"/>
          <w:rtl/>
        </w:rPr>
        <w:t xml:space="preserve">، </w:t>
      </w:r>
      <w:r w:rsidRPr="00563AE6">
        <w:rPr>
          <w:rFonts w:cs="mylotus"/>
          <w:sz w:val="23"/>
          <w:szCs w:val="23"/>
          <w:rtl/>
        </w:rPr>
        <w:t>مستدرك الوسائ</w:t>
      </w:r>
      <w:r w:rsidRPr="00563AE6">
        <w:rPr>
          <w:rFonts w:cs="mylotus" w:hint="cs"/>
          <w:sz w:val="23"/>
          <w:szCs w:val="23"/>
          <w:rtl/>
        </w:rPr>
        <w:t xml:space="preserve">ل، </w:t>
      </w:r>
      <w:r w:rsidRPr="00563AE6">
        <w:rPr>
          <w:rFonts w:cs="mylotus"/>
          <w:sz w:val="23"/>
          <w:szCs w:val="23"/>
          <w:rtl/>
        </w:rPr>
        <w:t>ج13، ص178</w:t>
      </w:r>
      <w:r w:rsidRPr="00563AE6">
        <w:rPr>
          <w:rFonts w:cs="mylotus" w:hint="cs"/>
          <w:sz w:val="23"/>
          <w:szCs w:val="23"/>
          <w:rtl/>
        </w:rPr>
        <w:t xml:space="preserve">، </w:t>
      </w:r>
      <w:r w:rsidRPr="00563AE6">
        <w:rPr>
          <w:rFonts w:cs="mylotus"/>
          <w:sz w:val="23"/>
          <w:szCs w:val="23"/>
          <w:rtl/>
        </w:rPr>
        <w:t>ح</w:t>
      </w:r>
      <w:r w:rsidRPr="00563AE6">
        <w:rPr>
          <w:rFonts w:cs="mylotus" w:hint="cs"/>
          <w:sz w:val="23"/>
          <w:szCs w:val="23"/>
          <w:rtl/>
        </w:rPr>
        <w:t xml:space="preserve">ديث </w:t>
      </w:r>
      <w:r w:rsidRPr="00563AE6">
        <w:rPr>
          <w:rFonts w:cs="mylotus"/>
          <w:sz w:val="23"/>
          <w:szCs w:val="23"/>
          <w:rtl/>
        </w:rPr>
        <w:t>15031</w:t>
      </w:r>
      <w:r w:rsidRPr="00563AE6">
        <w:rPr>
          <w:rFonts w:cs="mylotus" w:hint="cs"/>
          <w:sz w:val="23"/>
          <w:szCs w:val="23"/>
          <w:rtl/>
        </w:rPr>
        <w:t>.</w:t>
      </w:r>
    </w:p>
  </w:footnote>
  <w:footnote w:id="195">
    <w:p w:rsidR="00B31118" w:rsidRPr="00563AE6" w:rsidRDefault="00B31118" w:rsidP="00B300C9">
      <w:pPr>
        <w:spacing w:line="228" w:lineRule="auto"/>
        <w:ind w:left="378" w:hanging="378"/>
        <w:jc w:val="both"/>
        <w:rPr>
          <w:rFonts w:cs="mylotus" w:hint="cs"/>
          <w:sz w:val="23"/>
          <w:szCs w:val="23"/>
          <w:rtl/>
        </w:rPr>
      </w:pPr>
      <w:r w:rsidRPr="00563AE6">
        <w:rPr>
          <w:rFonts w:cs="mylotus"/>
          <w:sz w:val="23"/>
          <w:szCs w:val="23"/>
          <w:rtl/>
        </w:rPr>
        <w:footnoteRef/>
      </w:r>
      <w:r>
        <w:rPr>
          <w:rFonts w:cs="mylotus"/>
          <w:sz w:val="23"/>
          <w:szCs w:val="23"/>
          <w:rtl/>
        </w:rPr>
        <w:t>-</w:t>
      </w:r>
      <w:r w:rsidRPr="00563AE6">
        <w:rPr>
          <w:rFonts w:cs="mylotus" w:hint="cs"/>
          <w:sz w:val="23"/>
          <w:szCs w:val="23"/>
          <w:rtl/>
        </w:rPr>
        <w:t xml:space="preserve"> </w:t>
      </w:r>
      <w:r w:rsidRPr="00563AE6">
        <w:rPr>
          <w:rFonts w:cs="mylotus"/>
          <w:sz w:val="23"/>
          <w:szCs w:val="23"/>
          <w:rtl/>
        </w:rPr>
        <w:t>النوري الطبرس</w:t>
      </w:r>
      <w:r w:rsidRPr="00563AE6">
        <w:rPr>
          <w:rFonts w:cs="mylotus" w:hint="cs"/>
          <w:sz w:val="23"/>
          <w:szCs w:val="23"/>
          <w:rtl/>
        </w:rPr>
        <w:t xml:space="preserve">ي، </w:t>
      </w:r>
      <w:r w:rsidRPr="00563AE6">
        <w:rPr>
          <w:rFonts w:cs="mylotus"/>
          <w:sz w:val="23"/>
          <w:szCs w:val="23"/>
          <w:rtl/>
        </w:rPr>
        <w:t>مستدرك الوسائل</w:t>
      </w:r>
      <w:r w:rsidRPr="00563AE6">
        <w:rPr>
          <w:rFonts w:cs="mylotus" w:hint="cs"/>
          <w:sz w:val="23"/>
          <w:szCs w:val="23"/>
          <w:rtl/>
        </w:rPr>
        <w:t xml:space="preserve">، </w:t>
      </w:r>
      <w:r w:rsidRPr="00563AE6">
        <w:rPr>
          <w:rFonts w:cs="mylotus"/>
          <w:sz w:val="23"/>
          <w:szCs w:val="23"/>
          <w:rtl/>
        </w:rPr>
        <w:t>الطبعة الحجرية القديمة</w:t>
      </w:r>
      <w:r w:rsidRPr="00563AE6">
        <w:rPr>
          <w:rFonts w:cs="mylotus" w:hint="cs"/>
          <w:sz w:val="23"/>
          <w:szCs w:val="23"/>
          <w:rtl/>
        </w:rPr>
        <w:t>،</w:t>
      </w:r>
      <w:r w:rsidRPr="00563AE6">
        <w:rPr>
          <w:rFonts w:cs="mylotus"/>
          <w:sz w:val="23"/>
          <w:szCs w:val="23"/>
          <w:rtl/>
        </w:rPr>
        <w:t xml:space="preserve"> ج 2،  ص450</w:t>
      </w:r>
      <w:r w:rsidRPr="00563AE6">
        <w:rPr>
          <w:rFonts w:cs="mylotus" w:hint="cs"/>
          <w:sz w:val="23"/>
          <w:szCs w:val="23"/>
          <w:rtl/>
        </w:rPr>
        <w:t xml:space="preserve">. [المترجم: وهو في ج13،  ص 173-174، حديث </w:t>
      </w:r>
      <w:r w:rsidRPr="00563AE6">
        <w:rPr>
          <w:rFonts w:cs="mylotus"/>
          <w:sz w:val="23"/>
          <w:szCs w:val="23"/>
          <w:rtl/>
        </w:rPr>
        <w:t>15022</w:t>
      </w:r>
      <w:r w:rsidRPr="00563AE6">
        <w:rPr>
          <w:rFonts w:cs="mylotus" w:hint="cs"/>
          <w:sz w:val="23"/>
          <w:szCs w:val="23"/>
          <w:rtl/>
        </w:rPr>
        <w:t xml:space="preserve"> من الطبعة الجديدة].</w:t>
      </w:r>
    </w:p>
  </w:footnote>
  <w:footnote w:id="196">
    <w:p w:rsidR="00B31118" w:rsidRPr="00563AE6" w:rsidRDefault="00B31118" w:rsidP="00B300C9">
      <w:pPr>
        <w:spacing w:line="228" w:lineRule="auto"/>
        <w:ind w:left="378" w:hanging="378"/>
        <w:jc w:val="both"/>
        <w:rPr>
          <w:rFonts w:cs="mylotus" w:hint="cs"/>
          <w:sz w:val="23"/>
          <w:szCs w:val="23"/>
          <w:rtl/>
        </w:rPr>
      </w:pPr>
      <w:r w:rsidRPr="00563AE6">
        <w:rPr>
          <w:rFonts w:cs="mylotus"/>
          <w:sz w:val="23"/>
          <w:szCs w:val="23"/>
          <w:rtl/>
        </w:rPr>
        <w:footnoteRef/>
      </w:r>
      <w:r>
        <w:rPr>
          <w:rFonts w:cs="mylotus"/>
          <w:sz w:val="23"/>
          <w:szCs w:val="23"/>
          <w:rtl/>
        </w:rPr>
        <w:t>-</w:t>
      </w:r>
      <w:r w:rsidRPr="00563AE6">
        <w:rPr>
          <w:rFonts w:cs="mylotus" w:hint="cs"/>
          <w:sz w:val="23"/>
          <w:szCs w:val="23"/>
          <w:rtl/>
        </w:rPr>
        <w:t xml:space="preserve"> </w:t>
      </w:r>
      <w:r w:rsidRPr="00563AE6">
        <w:rPr>
          <w:rFonts w:cs="mylotus"/>
          <w:sz w:val="23"/>
          <w:szCs w:val="23"/>
          <w:rtl/>
        </w:rPr>
        <w:t>الشَّيْخُ المُفِيد</w:t>
      </w:r>
      <w:r w:rsidRPr="00563AE6">
        <w:rPr>
          <w:rFonts w:cs="mylotus" w:hint="cs"/>
          <w:sz w:val="23"/>
          <w:szCs w:val="23"/>
          <w:rtl/>
        </w:rPr>
        <w:t xml:space="preserve">، </w:t>
      </w:r>
      <w:r w:rsidRPr="00563AE6">
        <w:rPr>
          <w:rFonts w:cs="mylotus"/>
          <w:sz w:val="23"/>
          <w:szCs w:val="23"/>
          <w:rtl/>
        </w:rPr>
        <w:t>الاخْتِصَاصِ</w:t>
      </w:r>
      <w:r w:rsidRPr="00563AE6">
        <w:rPr>
          <w:rFonts w:cs="mylotus" w:hint="cs"/>
          <w:sz w:val="23"/>
          <w:szCs w:val="23"/>
          <w:rtl/>
        </w:rPr>
        <w:t xml:space="preserve">، </w:t>
      </w:r>
      <w:r w:rsidRPr="00563AE6">
        <w:rPr>
          <w:rFonts w:cs="mylotus"/>
          <w:sz w:val="23"/>
          <w:szCs w:val="23"/>
          <w:rtl/>
        </w:rPr>
        <w:t>ص 58</w:t>
      </w:r>
      <w:r w:rsidRPr="00563AE6">
        <w:rPr>
          <w:rFonts w:cs="mylotus" w:hint="cs"/>
          <w:sz w:val="23"/>
          <w:szCs w:val="23"/>
          <w:rtl/>
        </w:rPr>
        <w:t>. [المُتَرْجِمُ: ونقله المجلسي في بحار الأنوار، ج48،  ص124-125، والنوري الطبرسي في مستدرك الوسائل: ج13،  177-178].</w:t>
      </w:r>
    </w:p>
  </w:footnote>
  <w:footnote w:id="197">
    <w:p w:rsidR="00B31118" w:rsidRPr="00563AE6" w:rsidRDefault="00B31118" w:rsidP="00B300C9">
      <w:pPr>
        <w:spacing w:line="228" w:lineRule="auto"/>
        <w:ind w:left="378" w:hanging="378"/>
        <w:jc w:val="both"/>
        <w:rPr>
          <w:rFonts w:cs="mylotus" w:hint="cs"/>
          <w:sz w:val="23"/>
          <w:szCs w:val="23"/>
          <w:rtl/>
        </w:rPr>
      </w:pPr>
      <w:r w:rsidRPr="00563AE6">
        <w:rPr>
          <w:rFonts w:cs="mylotus"/>
          <w:sz w:val="23"/>
          <w:szCs w:val="23"/>
          <w:rtl/>
        </w:rPr>
        <w:footnoteRef/>
      </w:r>
      <w:r>
        <w:rPr>
          <w:rFonts w:cs="mylotus"/>
          <w:sz w:val="23"/>
          <w:szCs w:val="23"/>
          <w:rtl/>
        </w:rPr>
        <w:t>-</w:t>
      </w:r>
      <w:r w:rsidRPr="00563AE6">
        <w:rPr>
          <w:rFonts w:cs="mylotus"/>
          <w:sz w:val="23"/>
          <w:szCs w:val="23"/>
          <w:rtl/>
        </w:rPr>
        <w:t xml:space="preserve"> </w:t>
      </w:r>
      <w:r w:rsidRPr="00563AE6">
        <w:rPr>
          <w:rFonts w:cs="mylotus" w:hint="cs"/>
          <w:sz w:val="23"/>
          <w:szCs w:val="23"/>
          <w:rtl/>
        </w:rPr>
        <w:t xml:space="preserve">اسم الكتاب الكامل: </w:t>
      </w:r>
      <w:r w:rsidRPr="00563AE6">
        <w:rPr>
          <w:rFonts w:ascii="Lotus Linotype" w:hAnsi="Lotus Linotype" w:cs="mylotus"/>
          <w:sz w:val="23"/>
          <w:szCs w:val="23"/>
          <w:rtl/>
        </w:rPr>
        <w:t>«</w:t>
      </w:r>
      <w:r w:rsidRPr="00563AE6">
        <w:rPr>
          <w:rFonts w:cs="mylotus"/>
          <w:sz w:val="23"/>
          <w:szCs w:val="23"/>
          <w:rtl/>
        </w:rPr>
        <w:t>مرآة الجنان وعبرة اليقظان في معرفة حوادث الزمان</w:t>
      </w:r>
      <w:r w:rsidRPr="00563AE6">
        <w:rPr>
          <w:rFonts w:ascii="Lotus Linotype" w:hAnsi="Lotus Linotype" w:cs="mylotus"/>
          <w:sz w:val="23"/>
          <w:szCs w:val="23"/>
          <w:rtl/>
        </w:rPr>
        <w:t>»</w:t>
      </w:r>
      <w:r w:rsidRPr="00563AE6">
        <w:rPr>
          <w:rFonts w:cs="mylotus" w:hint="cs"/>
          <w:sz w:val="23"/>
          <w:szCs w:val="23"/>
          <w:rtl/>
        </w:rPr>
        <w:t>، ومؤلفه هو: ا</w:t>
      </w:r>
      <w:r w:rsidRPr="00563AE6">
        <w:rPr>
          <w:rFonts w:cs="mylotus"/>
          <w:sz w:val="23"/>
          <w:szCs w:val="23"/>
          <w:rtl/>
        </w:rPr>
        <w:t>لشيخ العلامة علم العلماء وقدوة العرفاء أبو محمد عبد</w:t>
      </w:r>
      <w:r w:rsidRPr="00563AE6">
        <w:rPr>
          <w:rFonts w:cs="mylotus" w:hint="cs"/>
          <w:sz w:val="23"/>
          <w:szCs w:val="23"/>
          <w:rtl/>
        </w:rPr>
        <w:t xml:space="preserve"> </w:t>
      </w:r>
      <w:r w:rsidRPr="00563AE6">
        <w:rPr>
          <w:rFonts w:cs="mylotus"/>
          <w:sz w:val="23"/>
          <w:szCs w:val="23"/>
          <w:rtl/>
        </w:rPr>
        <w:t>الله بن أسعد بن علي نزيل الحرمين الشريفين اليمني المعروف باليافعي</w:t>
      </w:r>
      <w:r w:rsidRPr="00563AE6">
        <w:rPr>
          <w:rFonts w:cs="mylotus" w:hint="cs"/>
          <w:sz w:val="23"/>
          <w:szCs w:val="23"/>
          <w:rtl/>
        </w:rPr>
        <w:t xml:space="preserve"> (</w:t>
      </w:r>
      <w:r w:rsidRPr="00563AE6">
        <w:rPr>
          <w:rFonts w:cs="mylotus"/>
          <w:sz w:val="23"/>
          <w:szCs w:val="23"/>
          <w:rtl/>
        </w:rPr>
        <w:t xml:space="preserve">768 </w:t>
      </w:r>
      <w:r w:rsidRPr="00563AE6">
        <w:rPr>
          <w:rFonts w:cs="mylotus" w:hint="cs"/>
          <w:sz w:val="23"/>
          <w:szCs w:val="23"/>
          <w:rtl/>
        </w:rPr>
        <w:t xml:space="preserve">هـ)، وكتابه </w:t>
      </w:r>
      <w:r w:rsidRPr="00563AE6">
        <w:rPr>
          <w:rFonts w:ascii="Lotus Linotype" w:hAnsi="Lotus Linotype" w:cs="mylotus"/>
          <w:sz w:val="23"/>
          <w:szCs w:val="23"/>
          <w:rtl/>
        </w:rPr>
        <w:t>«</w:t>
      </w:r>
      <w:r w:rsidRPr="00563AE6">
        <w:rPr>
          <w:rFonts w:cs="mylotus"/>
          <w:sz w:val="23"/>
          <w:szCs w:val="23"/>
          <w:rtl/>
        </w:rPr>
        <w:t>مرآة الجنان</w:t>
      </w:r>
      <w:r w:rsidRPr="00563AE6">
        <w:rPr>
          <w:rFonts w:ascii="Lotus Linotype" w:hAnsi="Lotus Linotype" w:cs="mylotus"/>
          <w:sz w:val="23"/>
          <w:szCs w:val="23"/>
          <w:rtl/>
        </w:rPr>
        <w:t>»</w:t>
      </w:r>
      <w:r w:rsidRPr="00563AE6">
        <w:rPr>
          <w:rFonts w:cs="mylotus"/>
          <w:sz w:val="23"/>
          <w:szCs w:val="23"/>
          <w:rtl/>
        </w:rPr>
        <w:t xml:space="preserve"> كتاب في التراجم على حسب السنين، بدأ فيه اليافعي بوفيات السنة الأولى للهجرة، وانتهى بسنة 750هـ مقيداً أهم الحوادث التي وقعت طوال هذا التاريخ، وأكثر فيه من الرجوع إلى تاريخ الذهبي ووفيات الأعيان لابن خلكان، وطبقات فقهاء اليمن لابن سمرة الجنَدي، والأغاني لأبي الفرج، والمقتبس لابن المرزباني، والشعر والشعراء لابن قتيبة</w:t>
      </w:r>
      <w:r w:rsidRPr="00563AE6">
        <w:rPr>
          <w:rFonts w:cs="mylotus" w:hint="cs"/>
          <w:sz w:val="23"/>
          <w:szCs w:val="23"/>
          <w:rtl/>
        </w:rPr>
        <w:t>. (المترجِم).</w:t>
      </w:r>
    </w:p>
  </w:footnote>
  <w:footnote w:id="198">
    <w:p w:rsidR="00B31118" w:rsidRPr="00563AE6" w:rsidRDefault="00B31118" w:rsidP="00B300C9">
      <w:pPr>
        <w:spacing w:line="228" w:lineRule="auto"/>
        <w:ind w:left="378" w:hanging="378"/>
        <w:jc w:val="both"/>
        <w:rPr>
          <w:rFonts w:cs="mylotus" w:hint="cs"/>
          <w:sz w:val="23"/>
          <w:szCs w:val="23"/>
        </w:rPr>
      </w:pPr>
      <w:r w:rsidRPr="00563AE6">
        <w:rPr>
          <w:rFonts w:cs="mylotus"/>
          <w:sz w:val="23"/>
          <w:szCs w:val="23"/>
          <w:rtl/>
        </w:rPr>
        <w:footnoteRef/>
      </w:r>
      <w:r>
        <w:rPr>
          <w:rFonts w:cs="mylotus"/>
          <w:sz w:val="23"/>
          <w:szCs w:val="23"/>
          <w:rtl/>
        </w:rPr>
        <w:t>-</w:t>
      </w:r>
      <w:r w:rsidRPr="00563AE6">
        <w:rPr>
          <w:rFonts w:cs="mylotus" w:hint="cs"/>
          <w:sz w:val="23"/>
          <w:szCs w:val="23"/>
          <w:rtl/>
        </w:rPr>
        <w:t xml:space="preserve"> </w:t>
      </w:r>
      <w:r w:rsidRPr="00563AE6">
        <w:rPr>
          <w:rFonts w:cs="mylotus"/>
          <w:sz w:val="23"/>
          <w:szCs w:val="23"/>
          <w:rtl/>
        </w:rPr>
        <w:t>اليافعي</w:t>
      </w:r>
      <w:r w:rsidRPr="00563AE6">
        <w:rPr>
          <w:rFonts w:cs="mylotus" w:hint="cs"/>
          <w:sz w:val="23"/>
          <w:szCs w:val="23"/>
          <w:rtl/>
        </w:rPr>
        <w:t xml:space="preserve">، </w:t>
      </w:r>
      <w:r w:rsidRPr="00563AE6">
        <w:rPr>
          <w:rFonts w:cs="mylotus"/>
          <w:sz w:val="23"/>
          <w:szCs w:val="23"/>
          <w:rtl/>
        </w:rPr>
        <w:t>مرآة الجنان</w:t>
      </w:r>
      <w:r w:rsidRPr="00563AE6">
        <w:rPr>
          <w:rFonts w:cs="mylotus" w:hint="cs"/>
          <w:sz w:val="23"/>
          <w:szCs w:val="23"/>
          <w:rtl/>
        </w:rPr>
        <w:t xml:space="preserve">، </w:t>
      </w:r>
      <w:r w:rsidRPr="00563AE6">
        <w:rPr>
          <w:rFonts w:cs="mylotus"/>
          <w:sz w:val="23"/>
          <w:szCs w:val="23"/>
          <w:rtl/>
        </w:rPr>
        <w:t>ج</w:t>
      </w:r>
      <w:r w:rsidRPr="00563AE6">
        <w:rPr>
          <w:rFonts w:cs="mylotus" w:hint="cs"/>
          <w:sz w:val="23"/>
          <w:szCs w:val="23"/>
          <w:rtl/>
        </w:rPr>
        <w:t xml:space="preserve"> </w:t>
      </w:r>
      <w:r w:rsidRPr="00563AE6">
        <w:rPr>
          <w:rFonts w:cs="mylotus"/>
          <w:sz w:val="23"/>
          <w:szCs w:val="23"/>
          <w:rtl/>
        </w:rPr>
        <w:t>1، ص394</w:t>
      </w:r>
      <w:r w:rsidRPr="00563AE6">
        <w:rPr>
          <w:rFonts w:cs="mylotus" w:hint="cs"/>
          <w:sz w:val="23"/>
          <w:szCs w:val="23"/>
          <w:rtl/>
        </w:rPr>
        <w:t>.</w:t>
      </w:r>
    </w:p>
  </w:footnote>
  <w:footnote w:id="199">
    <w:p w:rsidR="00B31118" w:rsidRPr="00563AE6" w:rsidRDefault="00B31118" w:rsidP="00B300C9">
      <w:pPr>
        <w:spacing w:line="228" w:lineRule="auto"/>
        <w:ind w:left="378" w:hanging="378"/>
        <w:jc w:val="both"/>
        <w:rPr>
          <w:rFonts w:cs="mylotus" w:hint="cs"/>
          <w:sz w:val="23"/>
          <w:szCs w:val="23"/>
          <w:rtl/>
        </w:rPr>
      </w:pPr>
      <w:r w:rsidRPr="00563AE6">
        <w:rPr>
          <w:rFonts w:cs="mylotus"/>
          <w:sz w:val="23"/>
          <w:szCs w:val="23"/>
          <w:rtl/>
        </w:rPr>
        <w:footnoteRef/>
      </w:r>
      <w:r>
        <w:rPr>
          <w:rFonts w:cs="mylotus"/>
          <w:sz w:val="23"/>
          <w:szCs w:val="23"/>
          <w:rtl/>
        </w:rPr>
        <w:t>-</w:t>
      </w:r>
      <w:r w:rsidRPr="00563AE6">
        <w:rPr>
          <w:rFonts w:cs="mylotus" w:hint="cs"/>
          <w:sz w:val="23"/>
          <w:szCs w:val="23"/>
          <w:rtl/>
        </w:rPr>
        <w:t xml:space="preserve"> المصدر نفسه، ج 1، ص</w:t>
      </w:r>
      <w:r w:rsidRPr="00563AE6">
        <w:rPr>
          <w:rFonts w:cs="mylotus"/>
          <w:sz w:val="23"/>
          <w:szCs w:val="23"/>
          <w:rtl/>
        </w:rPr>
        <w:t xml:space="preserve"> 395</w:t>
      </w:r>
      <w:r w:rsidRPr="00563AE6">
        <w:rPr>
          <w:rFonts w:cs="mylotus" w:hint="cs"/>
          <w:sz w:val="23"/>
          <w:szCs w:val="23"/>
          <w:rtl/>
        </w:rPr>
        <w:t>.</w:t>
      </w:r>
    </w:p>
  </w:footnote>
  <w:footnote w:id="200">
    <w:p w:rsidR="00B31118" w:rsidRPr="00563AE6" w:rsidRDefault="00B31118" w:rsidP="00B300C9">
      <w:pPr>
        <w:spacing w:line="228" w:lineRule="auto"/>
        <w:ind w:left="378" w:hanging="378"/>
        <w:jc w:val="both"/>
        <w:rPr>
          <w:rFonts w:cs="mylotus" w:hint="cs"/>
          <w:sz w:val="23"/>
          <w:szCs w:val="23"/>
          <w:rtl/>
        </w:rPr>
      </w:pPr>
      <w:r w:rsidRPr="00563AE6">
        <w:rPr>
          <w:rFonts w:cs="mylotus"/>
          <w:sz w:val="23"/>
          <w:szCs w:val="23"/>
          <w:rtl/>
        </w:rPr>
        <w:footnoteRef/>
      </w:r>
      <w:r>
        <w:rPr>
          <w:rFonts w:cs="mylotus"/>
          <w:sz w:val="23"/>
          <w:szCs w:val="23"/>
          <w:rtl/>
        </w:rPr>
        <w:t>-</w:t>
      </w:r>
      <w:r w:rsidRPr="00563AE6">
        <w:rPr>
          <w:rFonts w:cs="mylotus" w:hint="cs"/>
          <w:sz w:val="23"/>
          <w:szCs w:val="23"/>
          <w:rtl/>
        </w:rPr>
        <w:t xml:space="preserve"> المصدر نفسه، ج 2، </w:t>
      </w:r>
      <w:r w:rsidRPr="00563AE6">
        <w:rPr>
          <w:rFonts w:cs="mylotus"/>
          <w:sz w:val="23"/>
          <w:szCs w:val="23"/>
          <w:rtl/>
        </w:rPr>
        <w:t>ص</w:t>
      </w:r>
      <w:r w:rsidRPr="00563AE6">
        <w:rPr>
          <w:rFonts w:cs="mylotus" w:hint="cs"/>
          <w:sz w:val="23"/>
          <w:szCs w:val="23"/>
          <w:rtl/>
        </w:rPr>
        <w:t xml:space="preserve"> </w:t>
      </w:r>
      <w:r w:rsidRPr="00563AE6">
        <w:rPr>
          <w:rFonts w:cs="mylotus"/>
          <w:sz w:val="23"/>
          <w:szCs w:val="23"/>
          <w:rtl/>
        </w:rPr>
        <w:t>13</w:t>
      </w:r>
      <w:r w:rsidRPr="00563AE6">
        <w:rPr>
          <w:rFonts w:cs="mylotus" w:hint="cs"/>
          <w:sz w:val="23"/>
          <w:szCs w:val="23"/>
          <w:rtl/>
        </w:rPr>
        <w:t>.</w:t>
      </w:r>
    </w:p>
  </w:footnote>
  <w:footnote w:id="201">
    <w:p w:rsidR="00B31118" w:rsidRPr="00563AE6" w:rsidRDefault="00B31118" w:rsidP="00B300C9">
      <w:pPr>
        <w:spacing w:line="228" w:lineRule="auto"/>
        <w:ind w:left="378" w:hanging="378"/>
        <w:jc w:val="both"/>
        <w:rPr>
          <w:rFonts w:cs="mylotus" w:hint="cs"/>
          <w:sz w:val="23"/>
          <w:szCs w:val="23"/>
          <w:rtl/>
        </w:rPr>
      </w:pPr>
      <w:r w:rsidRPr="00563AE6">
        <w:rPr>
          <w:rFonts w:cs="mylotus"/>
          <w:sz w:val="23"/>
          <w:szCs w:val="23"/>
          <w:rtl/>
        </w:rPr>
        <w:footnoteRef/>
      </w:r>
      <w:r>
        <w:rPr>
          <w:rFonts w:cs="mylotus"/>
          <w:sz w:val="23"/>
          <w:szCs w:val="23"/>
          <w:rtl/>
        </w:rPr>
        <w:t>-</w:t>
      </w:r>
      <w:r w:rsidRPr="00563AE6">
        <w:rPr>
          <w:rFonts w:cs="mylotus"/>
          <w:sz w:val="23"/>
          <w:szCs w:val="23"/>
          <w:rtl/>
        </w:rPr>
        <w:t xml:space="preserve"> </w:t>
      </w:r>
      <w:r w:rsidRPr="00563AE6">
        <w:rPr>
          <w:rFonts w:cs="mylotus" w:hint="cs"/>
          <w:sz w:val="23"/>
          <w:szCs w:val="23"/>
          <w:rtl/>
        </w:rPr>
        <w:t xml:space="preserve">الرواية نقلها النوري الطبرسي في </w:t>
      </w:r>
      <w:r w:rsidRPr="00563AE6">
        <w:rPr>
          <w:rFonts w:cs="mylotus"/>
          <w:sz w:val="23"/>
          <w:szCs w:val="23"/>
          <w:rtl/>
        </w:rPr>
        <w:t>«</w:t>
      </w:r>
      <w:r w:rsidRPr="00563AE6">
        <w:rPr>
          <w:rFonts w:cs="mylotus" w:hint="cs"/>
          <w:sz w:val="23"/>
          <w:szCs w:val="23"/>
          <w:rtl/>
        </w:rPr>
        <w:t>مستدرك الوسائل</w:t>
      </w:r>
      <w:r w:rsidRPr="00563AE6">
        <w:rPr>
          <w:rFonts w:cs="mylotus"/>
          <w:sz w:val="23"/>
          <w:szCs w:val="23"/>
          <w:rtl/>
        </w:rPr>
        <w:t>»</w:t>
      </w:r>
      <w:r w:rsidRPr="00563AE6">
        <w:rPr>
          <w:rFonts w:cs="mylotus" w:hint="cs"/>
          <w:sz w:val="23"/>
          <w:szCs w:val="23"/>
          <w:rtl/>
        </w:rPr>
        <w:t xml:space="preserve"> </w:t>
      </w:r>
      <w:r w:rsidRPr="00563AE6">
        <w:rPr>
          <w:rFonts w:cs="mylotus"/>
          <w:sz w:val="23"/>
          <w:szCs w:val="23"/>
          <w:rtl/>
        </w:rPr>
        <w:t>ج 13</w:t>
      </w:r>
      <w:r w:rsidRPr="00563AE6">
        <w:rPr>
          <w:rFonts w:cs="mylotus" w:hint="cs"/>
          <w:sz w:val="23"/>
          <w:szCs w:val="23"/>
          <w:rtl/>
        </w:rPr>
        <w:t xml:space="preserve">، </w:t>
      </w:r>
      <w:r w:rsidRPr="00563AE6">
        <w:rPr>
          <w:rFonts w:cs="mylotus"/>
          <w:sz w:val="23"/>
          <w:szCs w:val="23"/>
          <w:rtl/>
        </w:rPr>
        <w:t>ص</w:t>
      </w:r>
      <w:r w:rsidRPr="00563AE6">
        <w:rPr>
          <w:rFonts w:cs="mylotus" w:hint="cs"/>
          <w:sz w:val="23"/>
          <w:szCs w:val="23"/>
          <w:rtl/>
        </w:rPr>
        <w:t>178-</w:t>
      </w:r>
      <w:r w:rsidRPr="00563AE6">
        <w:rPr>
          <w:rFonts w:cs="mylotus"/>
          <w:sz w:val="23"/>
          <w:szCs w:val="23"/>
          <w:rtl/>
        </w:rPr>
        <w:t xml:space="preserve"> 179</w:t>
      </w:r>
      <w:r w:rsidRPr="00563AE6">
        <w:rPr>
          <w:rFonts w:cs="mylotus" w:hint="cs"/>
          <w:sz w:val="23"/>
          <w:szCs w:val="23"/>
          <w:rtl/>
        </w:rPr>
        <w:t>، ح (</w:t>
      </w:r>
      <w:r w:rsidRPr="00563AE6">
        <w:rPr>
          <w:rFonts w:cs="mylotus"/>
          <w:sz w:val="23"/>
          <w:szCs w:val="23"/>
          <w:rtl/>
        </w:rPr>
        <w:t>15033</w:t>
      </w:r>
      <w:r w:rsidRPr="00563AE6">
        <w:rPr>
          <w:rFonts w:cs="mylotus" w:hint="cs"/>
          <w:sz w:val="23"/>
          <w:szCs w:val="23"/>
          <w:rtl/>
        </w:rPr>
        <w:t>).</w:t>
      </w:r>
    </w:p>
  </w:footnote>
  <w:footnote w:id="202">
    <w:p w:rsidR="00B31118" w:rsidRPr="00563AE6" w:rsidRDefault="00B31118" w:rsidP="00B300C9">
      <w:pPr>
        <w:spacing w:line="228" w:lineRule="auto"/>
        <w:ind w:left="378" w:hanging="378"/>
        <w:jc w:val="both"/>
        <w:rPr>
          <w:rFonts w:cs="mylotus" w:hint="cs"/>
          <w:sz w:val="23"/>
          <w:szCs w:val="23"/>
        </w:rPr>
      </w:pPr>
      <w:r w:rsidRPr="00563AE6">
        <w:rPr>
          <w:rFonts w:cs="mylotus"/>
          <w:sz w:val="23"/>
          <w:szCs w:val="23"/>
          <w:rtl/>
        </w:rPr>
        <w:footnoteRef/>
      </w:r>
      <w:r>
        <w:rPr>
          <w:rFonts w:cs="mylotus"/>
          <w:sz w:val="23"/>
          <w:szCs w:val="23"/>
          <w:rtl/>
        </w:rPr>
        <w:t>-</w:t>
      </w:r>
      <w:r w:rsidRPr="00563AE6">
        <w:rPr>
          <w:rFonts w:cs="mylotus" w:hint="cs"/>
          <w:sz w:val="23"/>
          <w:szCs w:val="23"/>
          <w:rtl/>
        </w:rPr>
        <w:t xml:space="preserve"> </w:t>
      </w:r>
      <w:r w:rsidRPr="00563AE6">
        <w:rPr>
          <w:rFonts w:cs="mylotus"/>
          <w:sz w:val="23"/>
          <w:szCs w:val="23"/>
          <w:rtl/>
        </w:rPr>
        <w:t>اليافعي</w:t>
      </w:r>
      <w:r w:rsidRPr="00563AE6">
        <w:rPr>
          <w:rFonts w:cs="mylotus" w:hint="cs"/>
          <w:sz w:val="23"/>
          <w:szCs w:val="23"/>
          <w:rtl/>
        </w:rPr>
        <w:t xml:space="preserve">، </w:t>
      </w:r>
      <w:r w:rsidRPr="00563AE6">
        <w:rPr>
          <w:rFonts w:cs="mylotus"/>
          <w:sz w:val="23"/>
          <w:szCs w:val="23"/>
          <w:rtl/>
        </w:rPr>
        <w:t>مرآة الجنان</w:t>
      </w:r>
      <w:r w:rsidRPr="00563AE6">
        <w:rPr>
          <w:rFonts w:cs="mylotus" w:hint="cs"/>
          <w:sz w:val="23"/>
          <w:szCs w:val="23"/>
          <w:rtl/>
        </w:rPr>
        <w:t xml:space="preserve">، </w:t>
      </w:r>
      <w:r w:rsidRPr="00563AE6">
        <w:rPr>
          <w:rFonts w:cs="mylotus"/>
          <w:sz w:val="23"/>
          <w:szCs w:val="23"/>
          <w:rtl/>
        </w:rPr>
        <w:t>ج2، ص</w:t>
      </w:r>
      <w:r w:rsidRPr="00563AE6">
        <w:rPr>
          <w:rFonts w:cs="mylotus" w:hint="cs"/>
          <w:sz w:val="23"/>
          <w:szCs w:val="23"/>
          <w:rtl/>
        </w:rPr>
        <w:t xml:space="preserve"> </w:t>
      </w:r>
      <w:r w:rsidRPr="00563AE6">
        <w:rPr>
          <w:rFonts w:cs="mylotus"/>
          <w:sz w:val="23"/>
          <w:szCs w:val="23"/>
          <w:rtl/>
        </w:rPr>
        <w:t>80</w:t>
      </w:r>
      <w:r w:rsidRPr="00563AE6">
        <w:rPr>
          <w:rFonts w:cs="mylotus" w:hint="cs"/>
          <w:sz w:val="23"/>
          <w:szCs w:val="23"/>
          <w:rtl/>
        </w:rPr>
        <w:t>.</w:t>
      </w:r>
    </w:p>
  </w:footnote>
  <w:footnote w:id="203">
    <w:p w:rsidR="00B31118" w:rsidRPr="00563AE6" w:rsidRDefault="00B31118" w:rsidP="00B300C9">
      <w:pPr>
        <w:spacing w:line="228" w:lineRule="auto"/>
        <w:ind w:left="378" w:hanging="378"/>
        <w:jc w:val="both"/>
        <w:rPr>
          <w:rFonts w:cs="mylotus" w:hint="cs"/>
          <w:sz w:val="23"/>
          <w:szCs w:val="23"/>
        </w:rPr>
      </w:pPr>
      <w:r w:rsidRPr="00563AE6">
        <w:rPr>
          <w:rFonts w:cs="mylotus"/>
          <w:sz w:val="23"/>
          <w:szCs w:val="23"/>
          <w:rtl/>
        </w:rPr>
        <w:footnoteRef/>
      </w:r>
      <w:r>
        <w:rPr>
          <w:rFonts w:cs="mylotus"/>
          <w:sz w:val="23"/>
          <w:szCs w:val="23"/>
          <w:rtl/>
        </w:rPr>
        <w:t>-</w:t>
      </w:r>
      <w:r w:rsidRPr="00563AE6">
        <w:rPr>
          <w:rFonts w:cs="mylotus" w:hint="cs"/>
          <w:sz w:val="23"/>
          <w:szCs w:val="23"/>
          <w:rtl/>
        </w:rPr>
        <w:t xml:space="preserve"> تاريخ اليعقوبي، </w:t>
      </w:r>
      <w:r w:rsidRPr="00563AE6">
        <w:rPr>
          <w:rFonts w:cs="mylotus"/>
          <w:sz w:val="23"/>
          <w:szCs w:val="23"/>
          <w:rtl/>
        </w:rPr>
        <w:t>طبع بيروت، 1375هـ</w:t>
      </w:r>
      <w:r w:rsidRPr="00563AE6">
        <w:rPr>
          <w:rFonts w:cs="mylotus" w:hint="cs"/>
          <w:sz w:val="23"/>
          <w:szCs w:val="23"/>
          <w:rtl/>
        </w:rPr>
        <w:t>،</w:t>
      </w:r>
      <w:r w:rsidRPr="00563AE6">
        <w:rPr>
          <w:rFonts w:cs="mylotus"/>
          <w:sz w:val="23"/>
          <w:szCs w:val="23"/>
          <w:rtl/>
        </w:rPr>
        <w:t xml:space="preserve"> ج2، ص 150</w:t>
      </w:r>
      <w:r w:rsidRPr="00563AE6">
        <w:rPr>
          <w:rFonts w:cs="mylotus" w:hint="cs"/>
          <w:sz w:val="23"/>
          <w:szCs w:val="23"/>
          <w:rtl/>
        </w:rPr>
        <w:t>.</w:t>
      </w:r>
    </w:p>
  </w:footnote>
  <w:footnote w:id="204">
    <w:p w:rsidR="00B31118" w:rsidRPr="00563AE6" w:rsidRDefault="00B31118" w:rsidP="00B300C9">
      <w:pPr>
        <w:spacing w:line="228" w:lineRule="auto"/>
        <w:ind w:left="378" w:hanging="378"/>
        <w:jc w:val="both"/>
        <w:rPr>
          <w:rFonts w:cs="mylotus" w:hint="cs"/>
          <w:sz w:val="23"/>
          <w:szCs w:val="23"/>
        </w:rPr>
      </w:pPr>
      <w:r w:rsidRPr="00563AE6">
        <w:rPr>
          <w:rFonts w:cs="mylotus"/>
          <w:sz w:val="23"/>
          <w:szCs w:val="23"/>
          <w:rtl/>
        </w:rPr>
        <w:footnoteRef/>
      </w:r>
      <w:r>
        <w:rPr>
          <w:rFonts w:cs="mylotus"/>
          <w:sz w:val="23"/>
          <w:szCs w:val="23"/>
          <w:rtl/>
        </w:rPr>
        <w:t>-</w:t>
      </w:r>
      <w:r w:rsidRPr="00563AE6">
        <w:rPr>
          <w:rFonts w:cs="mylotus" w:hint="cs"/>
          <w:sz w:val="23"/>
          <w:szCs w:val="23"/>
          <w:rtl/>
        </w:rPr>
        <w:t xml:space="preserve"> </w:t>
      </w:r>
      <w:r w:rsidRPr="00563AE6">
        <w:rPr>
          <w:rFonts w:cs="mylotus"/>
          <w:sz w:val="23"/>
          <w:szCs w:val="23"/>
          <w:rtl/>
        </w:rPr>
        <w:t>مستدرك‏</w:t>
      </w:r>
      <w:r w:rsidRPr="00563AE6">
        <w:rPr>
          <w:rFonts w:cs="mylotus" w:hint="cs"/>
          <w:sz w:val="23"/>
          <w:szCs w:val="23"/>
          <w:rtl/>
        </w:rPr>
        <w:t xml:space="preserve"> </w:t>
      </w:r>
      <w:r w:rsidRPr="00563AE6">
        <w:rPr>
          <w:rFonts w:cs="mylotus"/>
          <w:sz w:val="23"/>
          <w:szCs w:val="23"/>
          <w:rtl/>
        </w:rPr>
        <w:t>الوسائل</w:t>
      </w:r>
      <w:r w:rsidRPr="00563AE6">
        <w:rPr>
          <w:rFonts w:cs="mylotus" w:hint="cs"/>
          <w:sz w:val="23"/>
          <w:szCs w:val="23"/>
          <w:rtl/>
        </w:rPr>
        <w:t xml:space="preserve">، </w:t>
      </w:r>
      <w:r w:rsidRPr="00563AE6">
        <w:rPr>
          <w:rFonts w:cs="mylotus"/>
          <w:sz w:val="23"/>
          <w:szCs w:val="23"/>
          <w:rtl/>
        </w:rPr>
        <w:t>ج 13</w:t>
      </w:r>
      <w:r w:rsidRPr="00563AE6">
        <w:rPr>
          <w:rFonts w:cs="mylotus" w:hint="cs"/>
          <w:sz w:val="23"/>
          <w:szCs w:val="23"/>
          <w:rtl/>
        </w:rPr>
        <w:t xml:space="preserve">، </w:t>
      </w:r>
      <w:r w:rsidRPr="00563AE6">
        <w:rPr>
          <w:rFonts w:cs="mylotus"/>
          <w:sz w:val="23"/>
          <w:szCs w:val="23"/>
          <w:rtl/>
        </w:rPr>
        <w:t>ص 179</w:t>
      </w:r>
      <w:r w:rsidRPr="00563AE6">
        <w:rPr>
          <w:rFonts w:cs="mylotus" w:hint="cs"/>
          <w:sz w:val="23"/>
          <w:szCs w:val="23"/>
          <w:rtl/>
        </w:rPr>
        <w:t>، ح (</w:t>
      </w:r>
      <w:r w:rsidRPr="00563AE6">
        <w:rPr>
          <w:rFonts w:cs="mylotus"/>
          <w:sz w:val="23"/>
          <w:szCs w:val="23"/>
          <w:rtl/>
        </w:rPr>
        <w:t>15034</w:t>
      </w:r>
      <w:r w:rsidRPr="00563AE6">
        <w:rPr>
          <w:rFonts w:cs="mylotus" w:hint="cs"/>
          <w:sz w:val="23"/>
          <w:szCs w:val="23"/>
          <w:rtl/>
        </w:rPr>
        <w:t>). (المترجِم)</w:t>
      </w:r>
    </w:p>
  </w:footnote>
  <w:footnote w:id="205">
    <w:p w:rsidR="00B31118" w:rsidRPr="00563AE6" w:rsidRDefault="00B31118" w:rsidP="00B300C9">
      <w:pPr>
        <w:spacing w:line="228" w:lineRule="auto"/>
        <w:ind w:left="378" w:hanging="378"/>
        <w:jc w:val="both"/>
        <w:rPr>
          <w:rFonts w:cs="mylotus" w:hint="cs"/>
          <w:sz w:val="23"/>
          <w:szCs w:val="23"/>
          <w:rtl/>
        </w:rPr>
      </w:pPr>
      <w:r w:rsidRPr="00563AE6">
        <w:rPr>
          <w:rFonts w:cs="mylotus"/>
          <w:sz w:val="23"/>
          <w:szCs w:val="23"/>
          <w:rtl/>
        </w:rPr>
        <w:footnoteRef/>
      </w:r>
      <w:r>
        <w:rPr>
          <w:rFonts w:cs="mylotus"/>
          <w:sz w:val="23"/>
          <w:szCs w:val="23"/>
          <w:rtl/>
        </w:rPr>
        <w:t>-</w:t>
      </w:r>
      <w:r w:rsidRPr="00563AE6">
        <w:rPr>
          <w:rFonts w:cs="mylotus" w:hint="cs"/>
          <w:sz w:val="23"/>
          <w:szCs w:val="23"/>
          <w:rtl/>
        </w:rPr>
        <w:t xml:space="preserve"> </w:t>
      </w:r>
      <w:r w:rsidRPr="00563AE6">
        <w:rPr>
          <w:rFonts w:cs="mylotus"/>
          <w:sz w:val="23"/>
          <w:szCs w:val="23"/>
          <w:rtl/>
        </w:rPr>
        <w:t>مستدرك‏</w:t>
      </w:r>
      <w:r w:rsidRPr="00563AE6">
        <w:rPr>
          <w:rFonts w:cs="mylotus" w:hint="cs"/>
          <w:sz w:val="23"/>
          <w:szCs w:val="23"/>
          <w:rtl/>
        </w:rPr>
        <w:t xml:space="preserve"> </w:t>
      </w:r>
      <w:r w:rsidRPr="00563AE6">
        <w:rPr>
          <w:rFonts w:cs="mylotus"/>
          <w:sz w:val="23"/>
          <w:szCs w:val="23"/>
          <w:rtl/>
        </w:rPr>
        <w:t>الوسائل</w:t>
      </w:r>
      <w:r w:rsidRPr="00563AE6">
        <w:rPr>
          <w:rFonts w:cs="mylotus" w:hint="cs"/>
          <w:sz w:val="23"/>
          <w:szCs w:val="23"/>
          <w:rtl/>
        </w:rPr>
        <w:t xml:space="preserve">، </w:t>
      </w:r>
      <w:r w:rsidRPr="00563AE6">
        <w:rPr>
          <w:rFonts w:cs="mylotus"/>
          <w:sz w:val="23"/>
          <w:szCs w:val="23"/>
          <w:rtl/>
        </w:rPr>
        <w:t>ج 13</w:t>
      </w:r>
      <w:r w:rsidRPr="00563AE6">
        <w:rPr>
          <w:rFonts w:cs="mylotus" w:hint="cs"/>
          <w:sz w:val="23"/>
          <w:szCs w:val="23"/>
          <w:rtl/>
        </w:rPr>
        <w:t xml:space="preserve">، </w:t>
      </w:r>
      <w:r w:rsidRPr="00563AE6">
        <w:rPr>
          <w:rFonts w:cs="mylotus"/>
          <w:sz w:val="23"/>
          <w:szCs w:val="23"/>
          <w:rtl/>
        </w:rPr>
        <w:t xml:space="preserve">ص </w:t>
      </w:r>
      <w:r w:rsidRPr="00563AE6">
        <w:rPr>
          <w:rFonts w:cs="mylotus" w:hint="cs"/>
          <w:sz w:val="23"/>
          <w:szCs w:val="23"/>
          <w:rtl/>
        </w:rPr>
        <w:t xml:space="preserve">180، حديث </w:t>
      </w:r>
      <w:r w:rsidRPr="00563AE6">
        <w:rPr>
          <w:rFonts w:cs="mylotus"/>
          <w:sz w:val="23"/>
          <w:szCs w:val="23"/>
          <w:rtl/>
        </w:rPr>
        <w:t>15035</w:t>
      </w:r>
      <w:r w:rsidRPr="00563AE6">
        <w:rPr>
          <w:rFonts w:cs="mylotus" w:hint="cs"/>
          <w:sz w:val="23"/>
          <w:szCs w:val="23"/>
          <w:rtl/>
        </w:rPr>
        <w:t>. (المترجِم)</w:t>
      </w:r>
    </w:p>
  </w:footnote>
  <w:footnote w:id="206">
    <w:p w:rsidR="00B31118" w:rsidRPr="00563AE6" w:rsidRDefault="00B31118" w:rsidP="00B300C9">
      <w:pPr>
        <w:spacing w:line="228" w:lineRule="auto"/>
        <w:ind w:left="378" w:hanging="378"/>
        <w:jc w:val="both"/>
        <w:rPr>
          <w:rFonts w:cs="mylotus" w:hint="cs"/>
          <w:sz w:val="23"/>
          <w:szCs w:val="23"/>
          <w:rtl/>
        </w:rPr>
      </w:pPr>
      <w:r w:rsidRPr="00563AE6">
        <w:rPr>
          <w:rFonts w:cs="mylotus"/>
          <w:sz w:val="23"/>
          <w:szCs w:val="23"/>
          <w:rtl/>
        </w:rPr>
        <w:footnoteRef/>
      </w:r>
      <w:r>
        <w:rPr>
          <w:rFonts w:cs="mylotus"/>
          <w:sz w:val="23"/>
          <w:szCs w:val="23"/>
          <w:rtl/>
        </w:rPr>
        <w:t>-</w:t>
      </w:r>
      <w:r w:rsidRPr="00563AE6">
        <w:rPr>
          <w:rFonts w:cs="mylotus" w:hint="cs"/>
          <w:sz w:val="23"/>
          <w:szCs w:val="23"/>
          <w:rtl/>
        </w:rPr>
        <w:t xml:space="preserve"> المسعودي، مروج الذهب، ج 4، ص 108، وابن خلكان (</w:t>
      </w:r>
      <w:r w:rsidRPr="00563AE6">
        <w:rPr>
          <w:rFonts w:cs="mylotus"/>
          <w:sz w:val="23"/>
          <w:szCs w:val="23"/>
          <w:rtl/>
        </w:rPr>
        <w:t>681</w:t>
      </w:r>
      <w:r w:rsidRPr="00563AE6">
        <w:rPr>
          <w:rFonts w:cs="mylotus" w:hint="cs"/>
          <w:sz w:val="23"/>
          <w:szCs w:val="23"/>
          <w:rtl/>
        </w:rPr>
        <w:t xml:space="preserve">هـ)، وفيات الأعيان </w:t>
      </w:r>
      <w:r w:rsidRPr="00563AE6">
        <w:rPr>
          <w:rFonts w:cs="mylotus"/>
          <w:sz w:val="23"/>
          <w:szCs w:val="23"/>
          <w:rtl/>
        </w:rPr>
        <w:t>وأنباء أبناء الزمان</w:t>
      </w:r>
      <w:r w:rsidRPr="00563AE6">
        <w:rPr>
          <w:rFonts w:cs="mylotus" w:hint="cs"/>
          <w:sz w:val="23"/>
          <w:szCs w:val="23"/>
          <w:rtl/>
        </w:rPr>
        <w:t>، طبع بيروت، دار الثقافة، ج 3، 272 - 273؛ والصفدي (</w:t>
      </w:r>
      <w:r w:rsidRPr="00563AE6">
        <w:rPr>
          <w:rFonts w:cs="mylotus"/>
          <w:sz w:val="23"/>
          <w:szCs w:val="23"/>
          <w:rtl/>
        </w:rPr>
        <w:t>764</w:t>
      </w:r>
      <w:r w:rsidRPr="00563AE6">
        <w:rPr>
          <w:rFonts w:cs="mylotus" w:hint="cs"/>
          <w:sz w:val="23"/>
          <w:szCs w:val="23"/>
          <w:rtl/>
        </w:rPr>
        <w:t>هـ)، الوافي بالوفيات، طبع بيروت، دار الثقافة، 1420هـ، ج 22، ص 49؛ وانظر المجلسيُّ، بحار الأنوار، ج 50، ص 211 - 212؛ ومحسن الأمين، أعيان الشيعة، ج 2، ص 38. (المترجِم).</w:t>
      </w:r>
    </w:p>
  </w:footnote>
  <w:footnote w:id="207">
    <w:p w:rsidR="00B31118" w:rsidRPr="00563AE6" w:rsidRDefault="00B31118" w:rsidP="00B300C9">
      <w:pPr>
        <w:spacing w:line="228" w:lineRule="auto"/>
        <w:ind w:left="378" w:hanging="378"/>
        <w:jc w:val="both"/>
        <w:rPr>
          <w:rFonts w:cs="mylotus" w:hint="cs"/>
          <w:sz w:val="23"/>
          <w:szCs w:val="23"/>
          <w:rtl/>
        </w:rPr>
      </w:pPr>
      <w:r w:rsidRPr="00563AE6">
        <w:rPr>
          <w:rFonts w:cs="mylotus"/>
          <w:sz w:val="23"/>
          <w:szCs w:val="23"/>
          <w:rtl/>
        </w:rPr>
        <w:footnoteRef/>
      </w:r>
      <w:r>
        <w:rPr>
          <w:rFonts w:cs="mylotus"/>
          <w:sz w:val="23"/>
          <w:szCs w:val="23"/>
          <w:rtl/>
        </w:rPr>
        <w:t>-</w:t>
      </w:r>
      <w:r w:rsidRPr="00563AE6">
        <w:rPr>
          <w:rFonts w:cs="mylotus" w:hint="cs"/>
          <w:sz w:val="23"/>
          <w:szCs w:val="23"/>
          <w:rtl/>
        </w:rPr>
        <w:t xml:space="preserve"> وقد ذكر المسعودي في مروج الذهب، في ترجمته للحجاج، هذا التزويج </w:t>
      </w:r>
      <w:r w:rsidRPr="00563AE6">
        <w:rPr>
          <w:rFonts w:cs="Times New Roman" w:hint="cs"/>
          <w:sz w:val="23"/>
          <w:szCs w:val="23"/>
          <w:rtl/>
        </w:rPr>
        <w:t>–</w:t>
      </w:r>
      <w:r w:rsidRPr="00563AE6">
        <w:rPr>
          <w:rFonts w:cs="mylotus" w:hint="cs"/>
          <w:sz w:val="23"/>
          <w:szCs w:val="23"/>
          <w:rtl/>
        </w:rPr>
        <w:t xml:space="preserve"> دون ذكر المهر- وعبارته فيه: «</w:t>
      </w:r>
      <w:r w:rsidRPr="00563AE6">
        <w:rPr>
          <w:rFonts w:cs="mylotus" w:hint="eastAsia"/>
          <w:sz w:val="23"/>
          <w:szCs w:val="23"/>
          <w:rtl/>
        </w:rPr>
        <w:t>وقد</w:t>
      </w:r>
      <w:r w:rsidRPr="00563AE6">
        <w:rPr>
          <w:rFonts w:cs="mylotus"/>
          <w:sz w:val="23"/>
          <w:szCs w:val="23"/>
          <w:rtl/>
        </w:rPr>
        <w:t xml:space="preserve"> </w:t>
      </w:r>
      <w:r w:rsidRPr="00563AE6">
        <w:rPr>
          <w:rFonts w:cs="mylotus" w:hint="eastAsia"/>
          <w:sz w:val="23"/>
          <w:szCs w:val="23"/>
          <w:rtl/>
        </w:rPr>
        <w:t>كان</w:t>
      </w:r>
      <w:r w:rsidRPr="00563AE6">
        <w:rPr>
          <w:rFonts w:cs="mylotus"/>
          <w:sz w:val="23"/>
          <w:szCs w:val="23"/>
          <w:rtl/>
        </w:rPr>
        <w:t xml:space="preserve"> </w:t>
      </w:r>
      <w:r w:rsidRPr="00563AE6">
        <w:rPr>
          <w:rFonts w:cs="mylotus" w:hint="eastAsia"/>
          <w:sz w:val="23"/>
          <w:szCs w:val="23"/>
          <w:rtl/>
        </w:rPr>
        <w:t>الحج</w:t>
      </w:r>
      <w:r w:rsidRPr="00563AE6">
        <w:rPr>
          <w:rFonts w:cs="mylotus" w:hint="cs"/>
          <w:sz w:val="23"/>
          <w:szCs w:val="23"/>
          <w:rtl/>
        </w:rPr>
        <w:t>َّ</w:t>
      </w:r>
      <w:r w:rsidRPr="00563AE6">
        <w:rPr>
          <w:rFonts w:cs="mylotus" w:hint="eastAsia"/>
          <w:sz w:val="23"/>
          <w:szCs w:val="23"/>
          <w:rtl/>
        </w:rPr>
        <w:t>اج</w:t>
      </w:r>
      <w:r w:rsidRPr="00563AE6">
        <w:rPr>
          <w:rFonts w:cs="mylotus"/>
          <w:sz w:val="23"/>
          <w:szCs w:val="23"/>
          <w:rtl/>
        </w:rPr>
        <w:t xml:space="preserve"> </w:t>
      </w:r>
      <w:r w:rsidRPr="00563AE6">
        <w:rPr>
          <w:rFonts w:cs="mylotus" w:hint="eastAsia"/>
          <w:sz w:val="23"/>
          <w:szCs w:val="23"/>
          <w:rtl/>
        </w:rPr>
        <w:t>تزو</w:t>
      </w:r>
      <w:r w:rsidRPr="00563AE6">
        <w:rPr>
          <w:rFonts w:cs="mylotus" w:hint="cs"/>
          <w:sz w:val="23"/>
          <w:szCs w:val="23"/>
          <w:rtl/>
        </w:rPr>
        <w:t>َّ</w:t>
      </w:r>
      <w:r w:rsidRPr="00563AE6">
        <w:rPr>
          <w:rFonts w:cs="mylotus" w:hint="eastAsia"/>
          <w:sz w:val="23"/>
          <w:szCs w:val="23"/>
          <w:rtl/>
        </w:rPr>
        <w:t>ج</w:t>
      </w:r>
      <w:r w:rsidRPr="00563AE6">
        <w:rPr>
          <w:rFonts w:cs="mylotus"/>
          <w:sz w:val="23"/>
          <w:szCs w:val="23"/>
          <w:rtl/>
        </w:rPr>
        <w:t xml:space="preserve"> </w:t>
      </w:r>
      <w:r w:rsidRPr="00563AE6">
        <w:rPr>
          <w:rFonts w:cs="mylotus" w:hint="eastAsia"/>
          <w:sz w:val="23"/>
          <w:szCs w:val="23"/>
          <w:rtl/>
        </w:rPr>
        <w:t>إلى</w:t>
      </w:r>
      <w:r w:rsidRPr="00563AE6">
        <w:rPr>
          <w:rFonts w:cs="mylotus"/>
          <w:sz w:val="23"/>
          <w:szCs w:val="23"/>
          <w:rtl/>
        </w:rPr>
        <w:t xml:space="preserve"> </w:t>
      </w:r>
      <w:r w:rsidRPr="00563AE6">
        <w:rPr>
          <w:rFonts w:cs="mylotus" w:hint="eastAsia"/>
          <w:sz w:val="23"/>
          <w:szCs w:val="23"/>
          <w:rtl/>
        </w:rPr>
        <w:t>عبد</w:t>
      </w:r>
      <w:r w:rsidRPr="00563AE6">
        <w:rPr>
          <w:rFonts w:cs="mylotus"/>
          <w:sz w:val="23"/>
          <w:szCs w:val="23"/>
          <w:rtl/>
        </w:rPr>
        <w:t xml:space="preserve"> </w:t>
      </w:r>
      <w:r w:rsidRPr="00563AE6">
        <w:rPr>
          <w:rFonts w:cs="mylotus" w:hint="cs"/>
          <w:sz w:val="23"/>
          <w:szCs w:val="23"/>
          <w:rtl/>
        </w:rPr>
        <w:t>الله</w:t>
      </w:r>
      <w:r w:rsidRPr="00563AE6">
        <w:rPr>
          <w:rFonts w:cs="mylotus"/>
          <w:sz w:val="23"/>
          <w:szCs w:val="23"/>
          <w:rtl/>
        </w:rPr>
        <w:t xml:space="preserve"> </w:t>
      </w:r>
      <w:r w:rsidRPr="00563AE6">
        <w:rPr>
          <w:rFonts w:cs="mylotus" w:hint="eastAsia"/>
          <w:sz w:val="23"/>
          <w:szCs w:val="23"/>
          <w:rtl/>
        </w:rPr>
        <w:t>بن</w:t>
      </w:r>
      <w:r w:rsidRPr="00563AE6">
        <w:rPr>
          <w:rFonts w:cs="mylotus"/>
          <w:sz w:val="23"/>
          <w:szCs w:val="23"/>
          <w:rtl/>
        </w:rPr>
        <w:t xml:space="preserve"> </w:t>
      </w:r>
      <w:r w:rsidRPr="00563AE6">
        <w:rPr>
          <w:rFonts w:cs="mylotus" w:hint="eastAsia"/>
          <w:sz w:val="23"/>
          <w:szCs w:val="23"/>
          <w:rtl/>
        </w:rPr>
        <w:t>جعفر</w:t>
      </w:r>
      <w:r w:rsidRPr="00563AE6">
        <w:rPr>
          <w:rFonts w:cs="mylotus"/>
          <w:sz w:val="23"/>
          <w:szCs w:val="23"/>
          <w:rtl/>
        </w:rPr>
        <w:t xml:space="preserve"> </w:t>
      </w:r>
      <w:r w:rsidRPr="00563AE6">
        <w:rPr>
          <w:rFonts w:cs="mylotus" w:hint="eastAsia"/>
          <w:sz w:val="23"/>
          <w:szCs w:val="23"/>
          <w:rtl/>
        </w:rPr>
        <w:t>بن</w:t>
      </w:r>
      <w:r w:rsidRPr="00563AE6">
        <w:rPr>
          <w:rFonts w:cs="mylotus"/>
          <w:sz w:val="23"/>
          <w:szCs w:val="23"/>
          <w:rtl/>
        </w:rPr>
        <w:t xml:space="preserve"> </w:t>
      </w:r>
      <w:r w:rsidRPr="00563AE6">
        <w:rPr>
          <w:rFonts w:cs="mylotus" w:hint="eastAsia"/>
          <w:sz w:val="23"/>
          <w:szCs w:val="23"/>
          <w:rtl/>
        </w:rPr>
        <w:t>أبي</w:t>
      </w:r>
      <w:r w:rsidRPr="00563AE6">
        <w:rPr>
          <w:rFonts w:cs="mylotus"/>
          <w:sz w:val="23"/>
          <w:szCs w:val="23"/>
          <w:rtl/>
        </w:rPr>
        <w:t xml:space="preserve"> </w:t>
      </w:r>
      <w:r w:rsidRPr="00563AE6">
        <w:rPr>
          <w:rFonts w:cs="mylotus" w:hint="eastAsia"/>
          <w:sz w:val="23"/>
          <w:szCs w:val="23"/>
          <w:rtl/>
        </w:rPr>
        <w:t>طالب</w:t>
      </w:r>
      <w:r w:rsidRPr="00563AE6">
        <w:rPr>
          <w:rFonts w:cs="mylotus"/>
          <w:sz w:val="23"/>
          <w:szCs w:val="23"/>
          <w:rtl/>
        </w:rPr>
        <w:t xml:space="preserve"> </w:t>
      </w:r>
      <w:r w:rsidRPr="00563AE6">
        <w:rPr>
          <w:rFonts w:cs="mylotus" w:hint="eastAsia"/>
          <w:sz w:val="23"/>
          <w:szCs w:val="23"/>
          <w:rtl/>
        </w:rPr>
        <w:t>حين</w:t>
      </w:r>
      <w:r w:rsidRPr="00563AE6">
        <w:rPr>
          <w:rFonts w:cs="mylotus"/>
          <w:sz w:val="23"/>
          <w:szCs w:val="23"/>
          <w:rtl/>
        </w:rPr>
        <w:t xml:space="preserve"> </w:t>
      </w:r>
      <w:r w:rsidRPr="00563AE6">
        <w:rPr>
          <w:rFonts w:cs="mylotus" w:hint="eastAsia"/>
          <w:sz w:val="23"/>
          <w:szCs w:val="23"/>
          <w:rtl/>
        </w:rPr>
        <w:t>أمْلَقَ</w:t>
      </w:r>
      <w:r w:rsidRPr="00563AE6">
        <w:rPr>
          <w:rFonts w:cs="mylotus"/>
          <w:sz w:val="23"/>
          <w:szCs w:val="23"/>
          <w:rtl/>
        </w:rPr>
        <w:t xml:space="preserve"> </w:t>
      </w:r>
      <w:r w:rsidRPr="00563AE6">
        <w:rPr>
          <w:rFonts w:cs="mylotus" w:hint="eastAsia"/>
          <w:sz w:val="23"/>
          <w:szCs w:val="23"/>
          <w:rtl/>
        </w:rPr>
        <w:t>عبدُ</w:t>
      </w:r>
      <w:r w:rsidRPr="00563AE6">
        <w:rPr>
          <w:rFonts w:cs="mylotus"/>
          <w:sz w:val="23"/>
          <w:szCs w:val="23"/>
          <w:rtl/>
        </w:rPr>
        <w:t xml:space="preserve"> </w:t>
      </w:r>
      <w:r w:rsidRPr="00563AE6">
        <w:rPr>
          <w:rFonts w:cs="mylotus" w:hint="cs"/>
          <w:sz w:val="23"/>
          <w:szCs w:val="23"/>
          <w:rtl/>
        </w:rPr>
        <w:t>الله</w:t>
      </w:r>
      <w:r w:rsidRPr="00563AE6">
        <w:rPr>
          <w:rFonts w:cs="mylotus"/>
          <w:sz w:val="23"/>
          <w:szCs w:val="23"/>
          <w:rtl/>
        </w:rPr>
        <w:t xml:space="preserve"> </w:t>
      </w:r>
      <w:r w:rsidRPr="00563AE6">
        <w:rPr>
          <w:rFonts w:cs="mylotus" w:hint="eastAsia"/>
          <w:sz w:val="23"/>
          <w:szCs w:val="23"/>
          <w:rtl/>
        </w:rPr>
        <w:t>وافتقر،</w:t>
      </w:r>
      <w:r w:rsidRPr="00563AE6">
        <w:rPr>
          <w:rFonts w:cs="mylotus"/>
          <w:sz w:val="23"/>
          <w:szCs w:val="23"/>
          <w:rtl/>
        </w:rPr>
        <w:t xml:space="preserve"> </w:t>
      </w:r>
      <w:r w:rsidRPr="00563AE6">
        <w:rPr>
          <w:rFonts w:cs="mylotus" w:hint="eastAsia"/>
          <w:sz w:val="23"/>
          <w:szCs w:val="23"/>
          <w:rtl/>
        </w:rPr>
        <w:t>وقد</w:t>
      </w:r>
      <w:r w:rsidRPr="00563AE6">
        <w:rPr>
          <w:rFonts w:cs="mylotus"/>
          <w:sz w:val="23"/>
          <w:szCs w:val="23"/>
          <w:rtl/>
        </w:rPr>
        <w:t xml:space="preserve"> </w:t>
      </w:r>
      <w:r w:rsidRPr="00563AE6">
        <w:rPr>
          <w:rFonts w:cs="mylotus" w:hint="eastAsia"/>
          <w:sz w:val="23"/>
          <w:szCs w:val="23"/>
          <w:rtl/>
        </w:rPr>
        <w:t>ذكرنا</w:t>
      </w:r>
      <w:r w:rsidRPr="00563AE6">
        <w:rPr>
          <w:rFonts w:cs="mylotus"/>
          <w:sz w:val="23"/>
          <w:szCs w:val="23"/>
          <w:rtl/>
        </w:rPr>
        <w:t xml:space="preserve"> </w:t>
      </w:r>
      <w:r w:rsidRPr="00563AE6">
        <w:rPr>
          <w:rFonts w:cs="mylotus" w:hint="eastAsia"/>
          <w:sz w:val="23"/>
          <w:szCs w:val="23"/>
          <w:rtl/>
        </w:rPr>
        <w:t>في</w:t>
      </w:r>
      <w:r w:rsidRPr="00563AE6">
        <w:rPr>
          <w:rFonts w:cs="mylotus"/>
          <w:sz w:val="23"/>
          <w:szCs w:val="23"/>
          <w:rtl/>
        </w:rPr>
        <w:t xml:space="preserve"> </w:t>
      </w:r>
      <w:r w:rsidRPr="00563AE6">
        <w:rPr>
          <w:rFonts w:cs="mylotus" w:hint="eastAsia"/>
          <w:sz w:val="23"/>
          <w:szCs w:val="23"/>
          <w:rtl/>
        </w:rPr>
        <w:t>كتابنا</w:t>
      </w:r>
      <w:r w:rsidRPr="00563AE6">
        <w:rPr>
          <w:rFonts w:cs="mylotus"/>
          <w:sz w:val="23"/>
          <w:szCs w:val="23"/>
          <w:rtl/>
        </w:rPr>
        <w:t xml:space="preserve"> </w:t>
      </w:r>
      <w:r w:rsidRPr="00563AE6">
        <w:rPr>
          <w:rFonts w:cs="mylotus" w:hint="eastAsia"/>
          <w:sz w:val="23"/>
          <w:szCs w:val="23"/>
          <w:rtl/>
        </w:rPr>
        <w:t>أخبار</w:t>
      </w:r>
      <w:r w:rsidRPr="00563AE6">
        <w:rPr>
          <w:rFonts w:cs="mylotus"/>
          <w:sz w:val="23"/>
          <w:szCs w:val="23"/>
          <w:rtl/>
        </w:rPr>
        <w:t xml:space="preserve"> </w:t>
      </w:r>
      <w:r w:rsidRPr="00563AE6">
        <w:rPr>
          <w:rFonts w:cs="mylotus" w:hint="eastAsia"/>
          <w:sz w:val="23"/>
          <w:szCs w:val="23"/>
          <w:rtl/>
        </w:rPr>
        <w:t>الزمان</w:t>
      </w:r>
      <w:r w:rsidRPr="00563AE6">
        <w:rPr>
          <w:rFonts w:cs="mylotus"/>
          <w:sz w:val="23"/>
          <w:szCs w:val="23"/>
          <w:rtl/>
        </w:rPr>
        <w:t xml:space="preserve"> </w:t>
      </w:r>
      <w:r w:rsidRPr="00563AE6">
        <w:rPr>
          <w:rFonts w:cs="mylotus" w:hint="eastAsia"/>
          <w:sz w:val="23"/>
          <w:szCs w:val="23"/>
          <w:rtl/>
        </w:rPr>
        <w:t>الخبر</w:t>
      </w:r>
      <w:r w:rsidRPr="00563AE6">
        <w:rPr>
          <w:rFonts w:cs="mylotus"/>
          <w:sz w:val="23"/>
          <w:szCs w:val="23"/>
          <w:rtl/>
        </w:rPr>
        <w:t xml:space="preserve"> </w:t>
      </w:r>
      <w:r w:rsidRPr="00563AE6">
        <w:rPr>
          <w:rFonts w:cs="mylotus" w:hint="eastAsia"/>
          <w:sz w:val="23"/>
          <w:szCs w:val="23"/>
          <w:rtl/>
        </w:rPr>
        <w:t>في</w:t>
      </w:r>
      <w:r w:rsidRPr="00563AE6">
        <w:rPr>
          <w:rFonts w:cs="mylotus"/>
          <w:sz w:val="23"/>
          <w:szCs w:val="23"/>
          <w:rtl/>
        </w:rPr>
        <w:t xml:space="preserve"> </w:t>
      </w:r>
      <w:r w:rsidRPr="00563AE6">
        <w:rPr>
          <w:rFonts w:cs="mylotus" w:hint="eastAsia"/>
          <w:sz w:val="23"/>
          <w:szCs w:val="23"/>
          <w:rtl/>
        </w:rPr>
        <w:t>ذلك</w:t>
      </w:r>
      <w:r w:rsidRPr="00563AE6">
        <w:rPr>
          <w:rFonts w:cs="mylotus"/>
          <w:sz w:val="23"/>
          <w:szCs w:val="23"/>
          <w:rtl/>
        </w:rPr>
        <w:t xml:space="preserve"> </w:t>
      </w:r>
      <w:r w:rsidRPr="00563AE6">
        <w:rPr>
          <w:rFonts w:cs="mylotus" w:hint="eastAsia"/>
          <w:sz w:val="23"/>
          <w:szCs w:val="23"/>
          <w:rtl/>
        </w:rPr>
        <w:t>وتهنئة</w:t>
      </w:r>
      <w:r w:rsidRPr="00563AE6">
        <w:rPr>
          <w:rFonts w:cs="mylotus"/>
          <w:sz w:val="23"/>
          <w:szCs w:val="23"/>
          <w:rtl/>
        </w:rPr>
        <w:t xml:space="preserve"> </w:t>
      </w:r>
      <w:r w:rsidRPr="00563AE6">
        <w:rPr>
          <w:rFonts w:cs="mylotus" w:hint="eastAsia"/>
          <w:sz w:val="23"/>
          <w:szCs w:val="23"/>
          <w:rtl/>
        </w:rPr>
        <w:t>ابن</w:t>
      </w:r>
      <w:r w:rsidRPr="00563AE6">
        <w:rPr>
          <w:rFonts w:cs="mylotus"/>
          <w:sz w:val="23"/>
          <w:szCs w:val="23"/>
          <w:rtl/>
        </w:rPr>
        <w:t xml:space="preserve"> </w:t>
      </w:r>
      <w:r w:rsidRPr="00563AE6">
        <w:rPr>
          <w:rFonts w:cs="mylotus" w:hint="eastAsia"/>
          <w:sz w:val="23"/>
          <w:szCs w:val="23"/>
          <w:rtl/>
        </w:rPr>
        <w:t>القَرِّية</w:t>
      </w:r>
      <w:r w:rsidRPr="00563AE6">
        <w:rPr>
          <w:rFonts w:cs="mylotus"/>
          <w:sz w:val="23"/>
          <w:szCs w:val="23"/>
          <w:rtl/>
        </w:rPr>
        <w:t xml:space="preserve"> </w:t>
      </w:r>
      <w:r w:rsidRPr="00563AE6">
        <w:rPr>
          <w:rFonts w:cs="mylotus" w:hint="eastAsia"/>
          <w:sz w:val="23"/>
          <w:szCs w:val="23"/>
          <w:rtl/>
        </w:rPr>
        <w:t>الح</w:t>
      </w:r>
      <w:r w:rsidRPr="00563AE6">
        <w:rPr>
          <w:rFonts w:cs="mylotus" w:hint="cs"/>
          <w:sz w:val="23"/>
          <w:szCs w:val="23"/>
          <w:rtl/>
        </w:rPr>
        <w:t>جَّ</w:t>
      </w:r>
      <w:r w:rsidRPr="00563AE6">
        <w:rPr>
          <w:rFonts w:cs="mylotus" w:hint="eastAsia"/>
          <w:sz w:val="23"/>
          <w:szCs w:val="23"/>
          <w:rtl/>
        </w:rPr>
        <w:t>اج</w:t>
      </w:r>
      <w:r w:rsidRPr="00563AE6">
        <w:rPr>
          <w:rFonts w:cs="mylotus"/>
          <w:sz w:val="23"/>
          <w:szCs w:val="23"/>
          <w:rtl/>
        </w:rPr>
        <w:t xml:space="preserve"> </w:t>
      </w:r>
      <w:r w:rsidRPr="00563AE6">
        <w:rPr>
          <w:rFonts w:cs="mylotus" w:hint="eastAsia"/>
          <w:sz w:val="23"/>
          <w:szCs w:val="23"/>
          <w:rtl/>
        </w:rPr>
        <w:t>بذلك</w:t>
      </w:r>
      <w:r w:rsidRPr="00563AE6">
        <w:rPr>
          <w:rFonts w:cs="mylotus" w:hint="cs"/>
          <w:sz w:val="23"/>
          <w:szCs w:val="23"/>
          <w:rtl/>
        </w:rPr>
        <w:t xml:space="preserve">». (المترجِم). </w:t>
      </w:r>
    </w:p>
  </w:footnote>
  <w:footnote w:id="208">
    <w:p w:rsidR="00B31118" w:rsidRPr="00563AE6" w:rsidRDefault="00B31118" w:rsidP="00B300C9">
      <w:pPr>
        <w:spacing w:line="228" w:lineRule="auto"/>
        <w:ind w:left="378" w:hanging="378"/>
        <w:jc w:val="both"/>
        <w:rPr>
          <w:rFonts w:cs="mylotus" w:hint="cs"/>
          <w:sz w:val="23"/>
          <w:szCs w:val="23"/>
          <w:rtl/>
        </w:rPr>
      </w:pPr>
      <w:r w:rsidRPr="00563AE6">
        <w:rPr>
          <w:rFonts w:cs="mylotus"/>
          <w:sz w:val="23"/>
          <w:szCs w:val="23"/>
          <w:rtl/>
        </w:rPr>
        <w:footnoteRef/>
      </w:r>
      <w:r>
        <w:rPr>
          <w:rFonts w:cs="mylotus"/>
          <w:sz w:val="23"/>
          <w:szCs w:val="23"/>
          <w:rtl/>
        </w:rPr>
        <w:t>-</w:t>
      </w:r>
      <w:r w:rsidRPr="00563AE6">
        <w:rPr>
          <w:rFonts w:cs="mylotus" w:hint="cs"/>
          <w:sz w:val="23"/>
          <w:szCs w:val="23"/>
          <w:rtl/>
        </w:rPr>
        <w:t xml:space="preserve"> </w:t>
      </w:r>
      <w:r w:rsidRPr="00563AE6">
        <w:rPr>
          <w:rFonts w:cs="mylotus"/>
          <w:sz w:val="23"/>
          <w:szCs w:val="23"/>
          <w:rtl/>
        </w:rPr>
        <w:t>الشيخ الطوسي</w:t>
      </w:r>
      <w:r w:rsidRPr="00563AE6">
        <w:rPr>
          <w:rFonts w:cs="mylotus" w:hint="cs"/>
          <w:sz w:val="23"/>
          <w:szCs w:val="23"/>
          <w:rtl/>
        </w:rPr>
        <w:t xml:space="preserve">، </w:t>
      </w:r>
      <w:r w:rsidRPr="00563AE6">
        <w:rPr>
          <w:rFonts w:cs="mylotus"/>
          <w:sz w:val="23"/>
          <w:szCs w:val="23"/>
          <w:rtl/>
        </w:rPr>
        <w:t>تهذيب</w:t>
      </w:r>
      <w:r w:rsidRPr="00563AE6">
        <w:rPr>
          <w:rFonts w:cs="mylotus" w:hint="cs"/>
          <w:sz w:val="23"/>
          <w:szCs w:val="23"/>
          <w:rtl/>
        </w:rPr>
        <w:t xml:space="preserve"> الأحكام، ج </w:t>
      </w:r>
      <w:r w:rsidRPr="00563AE6">
        <w:rPr>
          <w:rFonts w:cs="mylotus"/>
          <w:sz w:val="23"/>
          <w:szCs w:val="23"/>
          <w:rtl/>
        </w:rPr>
        <w:t>4،</w:t>
      </w:r>
      <w:r w:rsidRPr="00563AE6">
        <w:rPr>
          <w:rFonts w:cs="mylotus" w:hint="cs"/>
          <w:sz w:val="23"/>
          <w:szCs w:val="23"/>
          <w:rtl/>
        </w:rPr>
        <w:t xml:space="preserve"> ص</w:t>
      </w:r>
      <w:r w:rsidRPr="00563AE6">
        <w:rPr>
          <w:rFonts w:cs="mylotus"/>
          <w:sz w:val="23"/>
          <w:szCs w:val="23"/>
          <w:rtl/>
        </w:rPr>
        <w:t xml:space="preserve"> 60</w:t>
      </w:r>
      <w:r w:rsidRPr="00563AE6">
        <w:rPr>
          <w:rFonts w:cs="mylotus" w:hint="cs"/>
          <w:sz w:val="23"/>
          <w:szCs w:val="23"/>
          <w:rtl/>
        </w:rPr>
        <w:t>، حديث 160؛</w:t>
      </w:r>
      <w:r w:rsidRPr="00563AE6">
        <w:rPr>
          <w:rFonts w:cs="mylotus"/>
          <w:sz w:val="23"/>
          <w:szCs w:val="23"/>
          <w:rtl/>
        </w:rPr>
        <w:t xml:space="preserve"> </w:t>
      </w:r>
      <w:r w:rsidRPr="00563AE6">
        <w:rPr>
          <w:rFonts w:cs="mylotus" w:hint="cs"/>
          <w:sz w:val="23"/>
          <w:szCs w:val="23"/>
          <w:rtl/>
        </w:rPr>
        <w:t>و</w:t>
      </w:r>
      <w:r w:rsidRPr="00563AE6">
        <w:rPr>
          <w:rFonts w:cs="mylotus"/>
          <w:sz w:val="23"/>
          <w:szCs w:val="23"/>
          <w:rtl/>
        </w:rPr>
        <w:t>عنه الحرّ العامليّ</w:t>
      </w:r>
      <w:r w:rsidRPr="00563AE6">
        <w:rPr>
          <w:rFonts w:cs="mylotus" w:hint="cs"/>
          <w:sz w:val="23"/>
          <w:szCs w:val="23"/>
          <w:rtl/>
        </w:rPr>
        <w:t xml:space="preserve">، </w:t>
      </w:r>
      <w:r w:rsidRPr="00563AE6">
        <w:rPr>
          <w:rFonts w:cs="mylotus"/>
          <w:sz w:val="23"/>
          <w:szCs w:val="23"/>
          <w:rtl/>
        </w:rPr>
        <w:t>وسائل الشيعة</w:t>
      </w:r>
      <w:r w:rsidRPr="00563AE6">
        <w:rPr>
          <w:rFonts w:cs="mylotus" w:hint="cs"/>
          <w:sz w:val="23"/>
          <w:szCs w:val="23"/>
          <w:rtl/>
        </w:rPr>
        <w:t xml:space="preserve">، </w:t>
      </w:r>
      <w:r w:rsidRPr="00563AE6">
        <w:rPr>
          <w:rFonts w:cs="mylotus"/>
          <w:sz w:val="23"/>
          <w:szCs w:val="23"/>
          <w:rtl/>
        </w:rPr>
        <w:t>طبع أمير بهادر</w:t>
      </w:r>
      <w:r w:rsidRPr="00563AE6">
        <w:rPr>
          <w:rFonts w:cs="mylotus" w:hint="cs"/>
          <w:sz w:val="23"/>
          <w:szCs w:val="23"/>
          <w:rtl/>
        </w:rPr>
        <w:t xml:space="preserve">، </w:t>
      </w:r>
      <w:r w:rsidRPr="00563AE6">
        <w:rPr>
          <w:rFonts w:cs="mylotus"/>
          <w:sz w:val="23"/>
          <w:szCs w:val="23"/>
          <w:rtl/>
        </w:rPr>
        <w:t>ج2، ص37</w:t>
      </w:r>
      <w:r w:rsidRPr="00563AE6">
        <w:rPr>
          <w:rFonts w:cs="mylotus" w:hint="cs"/>
          <w:sz w:val="23"/>
          <w:szCs w:val="23"/>
          <w:rtl/>
        </w:rPr>
        <w:t>.</w:t>
      </w:r>
    </w:p>
  </w:footnote>
  <w:footnote w:id="209">
    <w:p w:rsidR="00B31118" w:rsidRPr="00563AE6" w:rsidRDefault="00B31118" w:rsidP="00B300C9">
      <w:pPr>
        <w:spacing w:line="228" w:lineRule="auto"/>
        <w:ind w:left="378" w:hanging="378"/>
        <w:jc w:val="both"/>
        <w:rPr>
          <w:rFonts w:cs="mylotus" w:hint="cs"/>
          <w:sz w:val="23"/>
          <w:szCs w:val="23"/>
          <w:rtl/>
        </w:rPr>
      </w:pPr>
      <w:r w:rsidRPr="00563AE6">
        <w:rPr>
          <w:rFonts w:cs="mylotus"/>
          <w:sz w:val="23"/>
          <w:szCs w:val="23"/>
          <w:rtl/>
        </w:rPr>
        <w:footnoteRef/>
      </w:r>
      <w:r>
        <w:rPr>
          <w:rFonts w:cs="mylotus"/>
          <w:sz w:val="23"/>
          <w:szCs w:val="23"/>
          <w:rtl/>
        </w:rPr>
        <w:t>-</w:t>
      </w:r>
      <w:r w:rsidRPr="00563AE6">
        <w:rPr>
          <w:rFonts w:cs="mylotus" w:hint="cs"/>
          <w:sz w:val="23"/>
          <w:szCs w:val="23"/>
          <w:rtl/>
        </w:rPr>
        <w:t xml:space="preserve"> </w:t>
      </w:r>
      <w:r w:rsidRPr="00563AE6">
        <w:rPr>
          <w:rFonts w:cs="mylotus"/>
          <w:sz w:val="23"/>
          <w:szCs w:val="23"/>
          <w:rtl/>
        </w:rPr>
        <w:t>الشيخ الطوسي</w:t>
      </w:r>
      <w:r w:rsidRPr="00563AE6">
        <w:rPr>
          <w:rFonts w:cs="mylotus" w:hint="cs"/>
          <w:sz w:val="23"/>
          <w:szCs w:val="23"/>
          <w:rtl/>
        </w:rPr>
        <w:t xml:space="preserve">، </w:t>
      </w:r>
      <w:r w:rsidRPr="00563AE6">
        <w:rPr>
          <w:rFonts w:cs="mylotus"/>
          <w:sz w:val="23"/>
          <w:szCs w:val="23"/>
          <w:rtl/>
        </w:rPr>
        <w:t>تهذيب</w:t>
      </w:r>
      <w:r w:rsidRPr="00563AE6">
        <w:rPr>
          <w:rFonts w:cs="mylotus" w:hint="cs"/>
          <w:sz w:val="23"/>
          <w:szCs w:val="23"/>
          <w:rtl/>
        </w:rPr>
        <w:t xml:space="preserve"> الأحكام، </w:t>
      </w:r>
      <w:r w:rsidRPr="00563AE6">
        <w:rPr>
          <w:rFonts w:cs="mylotus"/>
          <w:sz w:val="23"/>
          <w:szCs w:val="23"/>
          <w:rtl/>
        </w:rPr>
        <w:t>ج 4، ص 60</w:t>
      </w:r>
      <w:r w:rsidRPr="00563AE6">
        <w:rPr>
          <w:rFonts w:cs="mylotus" w:hint="cs"/>
          <w:sz w:val="23"/>
          <w:szCs w:val="23"/>
          <w:rtl/>
        </w:rPr>
        <w:t xml:space="preserve">، حديث 161؛ </w:t>
      </w:r>
      <w:r w:rsidRPr="00563AE6">
        <w:rPr>
          <w:rFonts w:cs="mylotus"/>
          <w:sz w:val="23"/>
          <w:szCs w:val="23"/>
          <w:rtl/>
        </w:rPr>
        <w:t>الحرّ العامليّ</w:t>
      </w:r>
      <w:r w:rsidRPr="00563AE6">
        <w:rPr>
          <w:rFonts w:cs="mylotus" w:hint="cs"/>
          <w:sz w:val="23"/>
          <w:szCs w:val="23"/>
          <w:rtl/>
        </w:rPr>
        <w:t xml:space="preserve">، </w:t>
      </w:r>
      <w:r w:rsidRPr="00563AE6">
        <w:rPr>
          <w:rFonts w:cs="mylotus"/>
          <w:sz w:val="23"/>
          <w:szCs w:val="23"/>
          <w:rtl/>
        </w:rPr>
        <w:t>وسائل الشيعة</w:t>
      </w:r>
      <w:r w:rsidRPr="00563AE6">
        <w:rPr>
          <w:rFonts w:cs="mylotus" w:hint="cs"/>
          <w:sz w:val="23"/>
          <w:szCs w:val="23"/>
          <w:rtl/>
        </w:rPr>
        <w:t xml:space="preserve">، </w:t>
      </w:r>
      <w:r w:rsidRPr="00563AE6">
        <w:rPr>
          <w:rFonts w:cs="mylotus"/>
          <w:sz w:val="23"/>
          <w:szCs w:val="23"/>
          <w:rtl/>
        </w:rPr>
        <w:t>طبع أمير بهادر</w:t>
      </w:r>
      <w:r w:rsidRPr="00563AE6">
        <w:rPr>
          <w:rFonts w:cs="mylotus" w:hint="cs"/>
          <w:sz w:val="23"/>
          <w:szCs w:val="23"/>
          <w:rtl/>
        </w:rPr>
        <w:t xml:space="preserve">، </w:t>
      </w:r>
      <w:r w:rsidRPr="00563AE6">
        <w:rPr>
          <w:rFonts w:cs="mylotus"/>
          <w:sz w:val="23"/>
          <w:szCs w:val="23"/>
          <w:rtl/>
        </w:rPr>
        <w:t>ج 2، ص 36</w:t>
      </w:r>
      <w:r w:rsidRPr="00563AE6">
        <w:rPr>
          <w:rFonts w:cs="mylotus" w:hint="cs"/>
          <w:sz w:val="23"/>
          <w:szCs w:val="23"/>
          <w:rtl/>
        </w:rPr>
        <w:t>.</w:t>
      </w:r>
    </w:p>
  </w:footnote>
  <w:footnote w:id="210">
    <w:p w:rsidR="00B31118" w:rsidRPr="00563AE6" w:rsidRDefault="00B31118" w:rsidP="00B300C9">
      <w:pPr>
        <w:spacing w:line="228" w:lineRule="auto"/>
        <w:ind w:left="378" w:hanging="378"/>
        <w:jc w:val="both"/>
        <w:rPr>
          <w:rFonts w:cs="mylotus" w:hint="cs"/>
          <w:sz w:val="23"/>
          <w:szCs w:val="23"/>
          <w:rtl/>
        </w:rPr>
      </w:pPr>
      <w:r w:rsidRPr="00563AE6">
        <w:rPr>
          <w:rFonts w:cs="mylotus"/>
          <w:sz w:val="23"/>
          <w:szCs w:val="23"/>
          <w:rtl/>
        </w:rPr>
        <w:footnoteRef/>
      </w:r>
      <w:r>
        <w:rPr>
          <w:rFonts w:cs="mylotus"/>
          <w:sz w:val="23"/>
          <w:szCs w:val="23"/>
          <w:rtl/>
        </w:rPr>
        <w:t>-</w:t>
      </w:r>
      <w:r w:rsidRPr="00563AE6">
        <w:rPr>
          <w:rFonts w:cs="mylotus" w:hint="cs"/>
          <w:sz w:val="23"/>
          <w:szCs w:val="23"/>
          <w:rtl/>
        </w:rPr>
        <w:t xml:space="preserve"> الحر العاملي، وسائل الشيعة، الطبعة الجديدة في قم، </w:t>
      </w:r>
      <w:r w:rsidRPr="00563AE6">
        <w:rPr>
          <w:rFonts w:cs="mylotus"/>
          <w:sz w:val="23"/>
          <w:szCs w:val="23"/>
          <w:rtl/>
        </w:rPr>
        <w:t xml:space="preserve">ج </w:t>
      </w:r>
      <w:r w:rsidRPr="00563AE6">
        <w:rPr>
          <w:rFonts w:cs="mylotus" w:hint="cs"/>
          <w:sz w:val="23"/>
          <w:szCs w:val="23"/>
          <w:rtl/>
        </w:rPr>
        <w:t xml:space="preserve">9، </w:t>
      </w:r>
      <w:r w:rsidRPr="00563AE6">
        <w:rPr>
          <w:rFonts w:cs="mylotus"/>
          <w:sz w:val="23"/>
          <w:szCs w:val="23"/>
          <w:rtl/>
        </w:rPr>
        <w:t xml:space="preserve">ص </w:t>
      </w:r>
      <w:r w:rsidRPr="00563AE6">
        <w:rPr>
          <w:rFonts w:cs="mylotus" w:hint="cs"/>
          <w:sz w:val="23"/>
          <w:szCs w:val="23"/>
          <w:rtl/>
        </w:rPr>
        <w:t xml:space="preserve">270، حديث </w:t>
      </w:r>
      <w:r w:rsidRPr="00563AE6">
        <w:rPr>
          <w:rFonts w:cs="mylotus"/>
          <w:sz w:val="23"/>
          <w:szCs w:val="23"/>
          <w:rtl/>
        </w:rPr>
        <w:t>11997</w:t>
      </w:r>
      <w:r w:rsidRPr="00563AE6">
        <w:rPr>
          <w:rFonts w:cs="mylotus" w:hint="cs"/>
          <w:sz w:val="23"/>
          <w:szCs w:val="23"/>
          <w:rtl/>
        </w:rPr>
        <w:t>. (المترجِم).</w:t>
      </w:r>
    </w:p>
  </w:footnote>
  <w:footnote w:id="211">
    <w:p w:rsidR="00B31118" w:rsidRPr="00563AE6" w:rsidRDefault="00B31118" w:rsidP="00B300C9">
      <w:pPr>
        <w:spacing w:line="228" w:lineRule="auto"/>
        <w:ind w:left="378" w:hanging="378"/>
        <w:jc w:val="both"/>
        <w:rPr>
          <w:rFonts w:cs="mylotus" w:hint="cs"/>
          <w:sz w:val="23"/>
          <w:szCs w:val="23"/>
          <w:rtl/>
        </w:rPr>
      </w:pPr>
      <w:r w:rsidRPr="00563AE6">
        <w:rPr>
          <w:rFonts w:cs="mylotus"/>
          <w:sz w:val="23"/>
          <w:szCs w:val="23"/>
          <w:rtl/>
        </w:rPr>
        <w:footnoteRef/>
      </w:r>
      <w:r>
        <w:rPr>
          <w:rFonts w:cs="mylotus"/>
          <w:sz w:val="23"/>
          <w:szCs w:val="23"/>
          <w:rtl/>
        </w:rPr>
        <w:t>-</w:t>
      </w:r>
      <w:r w:rsidRPr="00563AE6">
        <w:rPr>
          <w:rFonts w:cs="mylotus" w:hint="cs"/>
          <w:sz w:val="23"/>
          <w:szCs w:val="23"/>
          <w:rtl/>
        </w:rPr>
        <w:t xml:space="preserve"> ا</w:t>
      </w:r>
      <w:r w:rsidRPr="00563AE6">
        <w:rPr>
          <w:rFonts w:cs="mylotus"/>
          <w:sz w:val="23"/>
          <w:szCs w:val="23"/>
          <w:rtl/>
        </w:rPr>
        <w:t>لبيهقي</w:t>
      </w:r>
      <w:r w:rsidRPr="00563AE6">
        <w:rPr>
          <w:rFonts w:cs="mylotus" w:hint="cs"/>
          <w:sz w:val="23"/>
          <w:szCs w:val="23"/>
          <w:rtl/>
        </w:rPr>
        <w:t>،</w:t>
      </w:r>
      <w:r w:rsidRPr="00563AE6">
        <w:rPr>
          <w:rFonts w:cs="mylotus"/>
          <w:sz w:val="23"/>
          <w:szCs w:val="23"/>
          <w:rtl/>
        </w:rPr>
        <w:t xml:space="preserve"> السنن الكبرى</w:t>
      </w:r>
      <w:r w:rsidRPr="00563AE6">
        <w:rPr>
          <w:rFonts w:cs="mylotus" w:hint="cs"/>
          <w:sz w:val="23"/>
          <w:szCs w:val="23"/>
          <w:rtl/>
        </w:rPr>
        <w:t>،</w:t>
      </w:r>
      <w:r w:rsidRPr="00563AE6">
        <w:rPr>
          <w:rFonts w:cs="mylotus"/>
          <w:sz w:val="23"/>
          <w:szCs w:val="23"/>
          <w:rtl/>
        </w:rPr>
        <w:t xml:space="preserve"> ج 7،  ص31، ح</w:t>
      </w:r>
      <w:r w:rsidRPr="00563AE6">
        <w:rPr>
          <w:rFonts w:cs="mylotus" w:hint="cs"/>
          <w:sz w:val="23"/>
          <w:szCs w:val="23"/>
          <w:rtl/>
        </w:rPr>
        <w:t xml:space="preserve">ديث </w:t>
      </w:r>
      <w:r w:rsidRPr="00563AE6">
        <w:rPr>
          <w:rFonts w:cs="mylotus"/>
          <w:sz w:val="23"/>
          <w:szCs w:val="23"/>
          <w:rtl/>
        </w:rPr>
        <w:t>13620</w:t>
      </w:r>
      <w:r w:rsidRPr="00563AE6">
        <w:rPr>
          <w:rFonts w:cs="mylotus" w:hint="cs"/>
          <w:sz w:val="23"/>
          <w:szCs w:val="23"/>
          <w:rtl/>
        </w:rPr>
        <w:t>.</w:t>
      </w:r>
    </w:p>
  </w:footnote>
  <w:footnote w:id="212">
    <w:p w:rsidR="00B31118" w:rsidRPr="00563AE6" w:rsidRDefault="00B31118" w:rsidP="00B300C9">
      <w:pPr>
        <w:spacing w:line="228" w:lineRule="auto"/>
        <w:ind w:left="378" w:hanging="378"/>
        <w:jc w:val="both"/>
        <w:rPr>
          <w:rFonts w:cs="mylotus" w:hint="cs"/>
          <w:sz w:val="23"/>
          <w:szCs w:val="23"/>
          <w:rtl/>
        </w:rPr>
      </w:pPr>
      <w:r w:rsidRPr="00563AE6">
        <w:rPr>
          <w:rFonts w:cs="mylotus"/>
          <w:sz w:val="23"/>
          <w:szCs w:val="23"/>
          <w:rtl/>
        </w:rPr>
        <w:footnoteRef/>
      </w:r>
      <w:r>
        <w:rPr>
          <w:rFonts w:cs="mylotus"/>
          <w:sz w:val="23"/>
          <w:szCs w:val="23"/>
          <w:rtl/>
        </w:rPr>
        <w:t>-</w:t>
      </w:r>
      <w:r w:rsidRPr="00563AE6">
        <w:rPr>
          <w:rFonts w:cs="mylotus"/>
          <w:sz w:val="23"/>
          <w:szCs w:val="23"/>
          <w:rtl/>
        </w:rPr>
        <w:t xml:space="preserve"> </w:t>
      </w:r>
      <w:r w:rsidRPr="00563AE6">
        <w:rPr>
          <w:rFonts w:cs="mylotus" w:hint="cs"/>
          <w:sz w:val="23"/>
          <w:szCs w:val="23"/>
          <w:rtl/>
        </w:rPr>
        <w:t xml:space="preserve">حاولت أن أجد مثل هذا النص بالعربية في عديد من الرسائل العملية للمراجع المشهورين في العقود الماضية فلم أجد عين تلك العبارات، ولعل أقرب ما وجدته لها هو ما جاء في كتاب </w:t>
      </w:r>
      <w:r w:rsidRPr="00563AE6">
        <w:rPr>
          <w:rFonts w:ascii="Lotus Linotype" w:hAnsi="Lotus Linotype" w:cs="mylotus"/>
          <w:sz w:val="23"/>
          <w:szCs w:val="23"/>
          <w:rtl/>
        </w:rPr>
        <w:t>«</w:t>
      </w:r>
      <w:r w:rsidRPr="00563AE6">
        <w:rPr>
          <w:rFonts w:cs="mylotus" w:hint="cs"/>
          <w:sz w:val="23"/>
          <w:szCs w:val="23"/>
          <w:rtl/>
        </w:rPr>
        <w:t>العروة الوثقى</w:t>
      </w:r>
      <w:r w:rsidRPr="00563AE6">
        <w:rPr>
          <w:rFonts w:ascii="Lotus Linotype" w:hAnsi="Lotus Linotype" w:cs="mylotus"/>
          <w:sz w:val="23"/>
          <w:szCs w:val="23"/>
          <w:rtl/>
        </w:rPr>
        <w:t>»</w:t>
      </w:r>
      <w:r w:rsidRPr="00563AE6">
        <w:rPr>
          <w:rFonts w:cs="mylotus" w:hint="cs"/>
          <w:sz w:val="23"/>
          <w:szCs w:val="23"/>
          <w:rtl/>
        </w:rPr>
        <w:t xml:space="preserve"> لآية الله السيد </w:t>
      </w:r>
      <w:r w:rsidRPr="00563AE6">
        <w:rPr>
          <w:rFonts w:cs="mylotus"/>
          <w:sz w:val="23"/>
          <w:szCs w:val="23"/>
          <w:rtl/>
        </w:rPr>
        <w:t>محمد كاظم</w:t>
      </w:r>
      <w:r w:rsidRPr="00563AE6">
        <w:rPr>
          <w:rFonts w:cs="mylotus" w:hint="cs"/>
          <w:sz w:val="23"/>
          <w:szCs w:val="23"/>
          <w:rtl/>
        </w:rPr>
        <w:t xml:space="preserve"> </w:t>
      </w:r>
      <w:r w:rsidRPr="00563AE6">
        <w:rPr>
          <w:rFonts w:cs="mylotus"/>
          <w:sz w:val="23"/>
          <w:szCs w:val="23"/>
          <w:rtl/>
        </w:rPr>
        <w:t>الطباطبائي اليزدي</w:t>
      </w:r>
      <w:r w:rsidRPr="00563AE6">
        <w:rPr>
          <w:rFonts w:cs="mylotus" w:hint="cs"/>
          <w:sz w:val="23"/>
          <w:szCs w:val="23"/>
          <w:rtl/>
        </w:rPr>
        <w:t xml:space="preserve"> (1337هـ) (ج2،  المسألة 49) من قوله: </w:t>
      </w:r>
      <w:r w:rsidRPr="00563AE6">
        <w:rPr>
          <w:rFonts w:cs="mylotus"/>
          <w:sz w:val="23"/>
          <w:szCs w:val="23"/>
          <w:rtl/>
        </w:rPr>
        <w:t>«ما يفضل عن مؤ</w:t>
      </w:r>
      <w:r w:rsidRPr="00563AE6">
        <w:rPr>
          <w:rFonts w:cs="mylotus" w:hint="cs"/>
          <w:sz w:val="23"/>
          <w:szCs w:val="23"/>
          <w:rtl/>
        </w:rPr>
        <w:t>و</w:t>
      </w:r>
      <w:r w:rsidRPr="00563AE6">
        <w:rPr>
          <w:rFonts w:cs="mylotus"/>
          <w:sz w:val="23"/>
          <w:szCs w:val="23"/>
          <w:rtl/>
        </w:rPr>
        <w:t>نة سنته ومؤ</w:t>
      </w:r>
      <w:r w:rsidRPr="00563AE6">
        <w:rPr>
          <w:rFonts w:cs="mylotus" w:hint="cs"/>
          <w:sz w:val="23"/>
          <w:szCs w:val="23"/>
          <w:rtl/>
        </w:rPr>
        <w:t>و</w:t>
      </w:r>
      <w:r w:rsidRPr="00563AE6">
        <w:rPr>
          <w:rFonts w:cs="mylotus"/>
          <w:sz w:val="23"/>
          <w:szCs w:val="23"/>
          <w:rtl/>
        </w:rPr>
        <w:t>نة</w:t>
      </w:r>
      <w:r w:rsidRPr="00563AE6">
        <w:rPr>
          <w:rFonts w:cs="mylotus" w:hint="cs"/>
          <w:sz w:val="23"/>
          <w:szCs w:val="23"/>
          <w:rtl/>
        </w:rPr>
        <w:t xml:space="preserve"> </w:t>
      </w:r>
      <w:r w:rsidRPr="00563AE6">
        <w:rPr>
          <w:rFonts w:cs="mylotus"/>
          <w:sz w:val="23"/>
          <w:szCs w:val="23"/>
          <w:rtl/>
        </w:rPr>
        <w:t>عياله من أرباح التجارات ومن سائر التكسبات من الصناعات والزراعات وال</w:t>
      </w:r>
      <w:r w:rsidRPr="00563AE6">
        <w:rPr>
          <w:rFonts w:cs="mylotus" w:hint="cs"/>
          <w:sz w:val="23"/>
          <w:szCs w:val="23"/>
          <w:rtl/>
        </w:rPr>
        <w:t>إ</w:t>
      </w:r>
      <w:r w:rsidRPr="00563AE6">
        <w:rPr>
          <w:rFonts w:cs="mylotus"/>
          <w:sz w:val="23"/>
          <w:szCs w:val="23"/>
          <w:rtl/>
        </w:rPr>
        <w:t>جارات</w:t>
      </w:r>
      <w:r w:rsidRPr="00563AE6">
        <w:rPr>
          <w:rFonts w:cs="mylotus" w:hint="cs"/>
          <w:sz w:val="23"/>
          <w:szCs w:val="23"/>
          <w:rtl/>
        </w:rPr>
        <w:t xml:space="preserve"> </w:t>
      </w:r>
      <w:r w:rsidRPr="00563AE6">
        <w:rPr>
          <w:rFonts w:cs="mylotus"/>
          <w:sz w:val="23"/>
          <w:szCs w:val="23"/>
          <w:rtl/>
        </w:rPr>
        <w:t xml:space="preserve">حتى الخياطة والكتابة والنجارة والصيد وحيازة المباحات </w:t>
      </w:r>
      <w:r w:rsidRPr="00563AE6">
        <w:rPr>
          <w:rFonts w:cs="mylotus" w:hint="cs"/>
          <w:sz w:val="23"/>
          <w:szCs w:val="23"/>
          <w:rtl/>
        </w:rPr>
        <w:t>وأجرة</w:t>
      </w:r>
      <w:r w:rsidRPr="00563AE6">
        <w:rPr>
          <w:rFonts w:cs="mylotus"/>
          <w:sz w:val="23"/>
          <w:szCs w:val="23"/>
          <w:rtl/>
        </w:rPr>
        <w:t xml:space="preserve"> العبادات</w:t>
      </w:r>
      <w:r w:rsidRPr="00563AE6">
        <w:rPr>
          <w:rFonts w:cs="mylotus" w:hint="cs"/>
          <w:sz w:val="23"/>
          <w:szCs w:val="23"/>
          <w:rtl/>
        </w:rPr>
        <w:t xml:space="preserve"> </w:t>
      </w:r>
      <w:r w:rsidRPr="00563AE6">
        <w:rPr>
          <w:rFonts w:cs="mylotus"/>
          <w:sz w:val="23"/>
          <w:szCs w:val="23"/>
          <w:rtl/>
        </w:rPr>
        <w:t xml:space="preserve">الاستيجارية من الحج والصوم والصلاة والزيارات وتعليم </w:t>
      </w:r>
      <w:r w:rsidRPr="00563AE6">
        <w:rPr>
          <w:rFonts w:cs="mylotus" w:hint="cs"/>
          <w:sz w:val="23"/>
          <w:szCs w:val="23"/>
          <w:rtl/>
        </w:rPr>
        <w:t>الأطفال</w:t>
      </w:r>
      <w:r w:rsidRPr="00563AE6">
        <w:rPr>
          <w:rFonts w:cs="mylotus"/>
          <w:sz w:val="23"/>
          <w:szCs w:val="23"/>
          <w:rtl/>
        </w:rPr>
        <w:t xml:space="preserve"> وغير ذلك من </w:t>
      </w:r>
      <w:r w:rsidRPr="00563AE6">
        <w:rPr>
          <w:rFonts w:cs="mylotus" w:hint="cs"/>
          <w:sz w:val="23"/>
          <w:szCs w:val="23"/>
          <w:rtl/>
        </w:rPr>
        <w:t xml:space="preserve">الأعمال </w:t>
      </w:r>
      <w:r w:rsidRPr="00563AE6">
        <w:rPr>
          <w:rFonts w:cs="mylotus"/>
          <w:sz w:val="23"/>
          <w:szCs w:val="23"/>
          <w:rtl/>
        </w:rPr>
        <w:t>الت</w:t>
      </w:r>
      <w:r w:rsidRPr="00563AE6">
        <w:rPr>
          <w:rFonts w:cs="mylotus" w:hint="cs"/>
          <w:sz w:val="23"/>
          <w:szCs w:val="23"/>
          <w:rtl/>
        </w:rPr>
        <w:t>ي</w:t>
      </w:r>
      <w:r w:rsidRPr="00563AE6">
        <w:rPr>
          <w:rFonts w:cs="mylotus"/>
          <w:sz w:val="23"/>
          <w:szCs w:val="23"/>
          <w:rtl/>
        </w:rPr>
        <w:t xml:space="preserve"> لها أجرة، بل ال</w:t>
      </w:r>
      <w:r w:rsidRPr="00563AE6">
        <w:rPr>
          <w:rFonts w:cs="mylotus" w:hint="cs"/>
          <w:sz w:val="23"/>
          <w:szCs w:val="23"/>
          <w:rtl/>
        </w:rPr>
        <w:t>أ</w:t>
      </w:r>
      <w:r w:rsidRPr="00563AE6">
        <w:rPr>
          <w:rFonts w:cs="mylotus"/>
          <w:sz w:val="23"/>
          <w:szCs w:val="23"/>
          <w:rtl/>
        </w:rPr>
        <w:t>حوط ثبوته في مطلق الفائدة وإن لم تحصل بالاكتساب كالهبة</w:t>
      </w:r>
      <w:r w:rsidRPr="00563AE6">
        <w:rPr>
          <w:rFonts w:cs="mylotus" w:hint="cs"/>
          <w:sz w:val="23"/>
          <w:szCs w:val="23"/>
          <w:rtl/>
        </w:rPr>
        <w:t xml:space="preserve"> </w:t>
      </w:r>
      <w:r w:rsidRPr="00563AE6">
        <w:rPr>
          <w:rFonts w:cs="mylotus"/>
          <w:sz w:val="23"/>
          <w:szCs w:val="23"/>
          <w:rtl/>
        </w:rPr>
        <w:t>والهدية والجائزة والمال الموصى به ونحوها، بل لا</w:t>
      </w:r>
      <w:r w:rsidRPr="00563AE6">
        <w:rPr>
          <w:rFonts w:cs="Times New Roman" w:hint="cs"/>
          <w:sz w:val="23"/>
          <w:szCs w:val="23"/>
          <w:rtl/>
        </w:rPr>
        <w:t> </w:t>
      </w:r>
      <w:r w:rsidRPr="00563AE6">
        <w:rPr>
          <w:rFonts w:cs="mylotus"/>
          <w:sz w:val="23"/>
          <w:szCs w:val="23"/>
          <w:rtl/>
        </w:rPr>
        <w:t>يخلو عن قوة..»</w:t>
      </w:r>
      <w:r w:rsidRPr="00563AE6">
        <w:rPr>
          <w:rFonts w:cs="mylotus" w:hint="cs"/>
          <w:sz w:val="23"/>
          <w:szCs w:val="23"/>
          <w:rtl/>
        </w:rPr>
        <w:t>. (المترجِم)</w:t>
      </w:r>
    </w:p>
  </w:footnote>
  <w:footnote w:id="213">
    <w:p w:rsidR="00B31118" w:rsidRPr="00563AE6" w:rsidRDefault="00B31118" w:rsidP="00B300C9">
      <w:pPr>
        <w:spacing w:line="228" w:lineRule="auto"/>
        <w:ind w:left="378" w:hanging="378"/>
        <w:jc w:val="both"/>
        <w:rPr>
          <w:rFonts w:cs="mylotus" w:hint="cs"/>
          <w:sz w:val="23"/>
          <w:szCs w:val="23"/>
          <w:rtl/>
        </w:rPr>
      </w:pPr>
      <w:r w:rsidRPr="00563AE6">
        <w:rPr>
          <w:rFonts w:cs="mylotus"/>
          <w:sz w:val="23"/>
          <w:szCs w:val="23"/>
          <w:rtl/>
        </w:rPr>
        <w:footnoteRef/>
      </w:r>
      <w:r>
        <w:rPr>
          <w:rFonts w:cs="mylotus"/>
          <w:sz w:val="23"/>
          <w:szCs w:val="23"/>
          <w:rtl/>
        </w:rPr>
        <w:t>-</w:t>
      </w:r>
      <w:r w:rsidRPr="00563AE6">
        <w:rPr>
          <w:rFonts w:cs="mylotus"/>
          <w:sz w:val="23"/>
          <w:szCs w:val="23"/>
          <w:rtl/>
        </w:rPr>
        <w:t xml:space="preserve"> </w:t>
      </w:r>
      <w:r w:rsidRPr="00563AE6">
        <w:rPr>
          <w:rFonts w:cs="mylotus" w:hint="cs"/>
          <w:sz w:val="23"/>
          <w:szCs w:val="23"/>
          <w:rtl/>
        </w:rPr>
        <w:t xml:space="preserve">الكليني، أصول الكافي، ج1،  ص 539 </w:t>
      </w:r>
      <w:r w:rsidRPr="00563AE6">
        <w:rPr>
          <w:rFonts w:cs="Times New Roman" w:hint="cs"/>
          <w:sz w:val="23"/>
          <w:szCs w:val="23"/>
          <w:rtl/>
        </w:rPr>
        <w:t>–</w:t>
      </w:r>
      <w:r w:rsidRPr="00563AE6">
        <w:rPr>
          <w:rFonts w:cs="mylotus" w:hint="cs"/>
          <w:sz w:val="23"/>
          <w:szCs w:val="23"/>
          <w:rtl/>
        </w:rPr>
        <w:t xml:space="preserve"> 540، ح رقم 4. وأيضاً الشيخ الطوسي، تهذيب الأحكام، ج 4،  ص 128 </w:t>
      </w:r>
      <w:r w:rsidRPr="00563AE6">
        <w:rPr>
          <w:rFonts w:cs="Times New Roman" w:hint="cs"/>
          <w:sz w:val="23"/>
          <w:szCs w:val="23"/>
          <w:rtl/>
        </w:rPr>
        <w:t>–</w:t>
      </w:r>
      <w:r w:rsidRPr="00563AE6">
        <w:rPr>
          <w:rFonts w:cs="mylotus" w:hint="cs"/>
          <w:sz w:val="23"/>
          <w:szCs w:val="23"/>
          <w:rtl/>
        </w:rPr>
        <w:t xml:space="preserve"> 129. (المترجِم)</w:t>
      </w:r>
    </w:p>
  </w:footnote>
  <w:footnote w:id="214">
    <w:p w:rsidR="00B31118" w:rsidRPr="00563AE6" w:rsidRDefault="00B31118" w:rsidP="00B300C9">
      <w:pPr>
        <w:spacing w:line="228" w:lineRule="auto"/>
        <w:ind w:left="378" w:hanging="378"/>
        <w:jc w:val="both"/>
        <w:rPr>
          <w:rFonts w:cs="mylotus" w:hint="cs"/>
          <w:sz w:val="23"/>
          <w:szCs w:val="23"/>
        </w:rPr>
      </w:pPr>
      <w:r w:rsidRPr="00563AE6">
        <w:rPr>
          <w:rFonts w:cs="mylotus"/>
          <w:sz w:val="23"/>
          <w:szCs w:val="23"/>
          <w:rtl/>
        </w:rPr>
        <w:footnoteRef/>
      </w:r>
      <w:r>
        <w:rPr>
          <w:rFonts w:cs="mylotus"/>
          <w:sz w:val="23"/>
          <w:szCs w:val="23"/>
          <w:rtl/>
        </w:rPr>
        <w:t>-</w:t>
      </w:r>
      <w:r w:rsidRPr="00563AE6">
        <w:rPr>
          <w:rFonts w:cs="mylotus" w:hint="cs"/>
          <w:sz w:val="23"/>
          <w:szCs w:val="23"/>
          <w:rtl/>
        </w:rPr>
        <w:t xml:space="preserve"> تومان: اسم العملة الإيرانية، وكانت قيمة التومان في الزمن الذي ألف المؤلف فيه كتابه هذا تعادل حوالي ثُلُث دولار أي كان الدولار حينها يساوي ثلاثة تومانات.</w:t>
      </w:r>
      <w:r w:rsidRPr="00563AE6">
        <w:rPr>
          <w:rFonts w:cs="mylotus"/>
          <w:sz w:val="23"/>
          <w:szCs w:val="23"/>
          <w:rtl/>
        </w:rPr>
        <w:t xml:space="preserve"> </w:t>
      </w:r>
      <w:r w:rsidRPr="00563AE6">
        <w:rPr>
          <w:rFonts w:cs="mylotus" w:hint="cs"/>
          <w:sz w:val="23"/>
          <w:szCs w:val="23"/>
          <w:rtl/>
        </w:rPr>
        <w:t>(المترجِم)</w:t>
      </w:r>
    </w:p>
  </w:footnote>
  <w:footnote w:id="215">
    <w:p w:rsidR="00B31118" w:rsidRPr="00563AE6" w:rsidRDefault="00B31118" w:rsidP="00B300C9">
      <w:pPr>
        <w:spacing w:line="228" w:lineRule="auto"/>
        <w:ind w:left="378" w:hanging="378"/>
        <w:jc w:val="both"/>
        <w:rPr>
          <w:rFonts w:cs="mylotus" w:hint="cs"/>
          <w:sz w:val="23"/>
          <w:szCs w:val="23"/>
          <w:rtl/>
        </w:rPr>
      </w:pPr>
      <w:r w:rsidRPr="00563AE6">
        <w:rPr>
          <w:rFonts w:cs="mylotus"/>
          <w:sz w:val="23"/>
          <w:szCs w:val="23"/>
          <w:rtl/>
        </w:rPr>
        <w:footnoteRef/>
      </w:r>
      <w:r>
        <w:rPr>
          <w:rFonts w:cs="mylotus"/>
          <w:sz w:val="23"/>
          <w:szCs w:val="23"/>
          <w:rtl/>
        </w:rPr>
        <w:t>-</w:t>
      </w:r>
      <w:r w:rsidRPr="00563AE6">
        <w:rPr>
          <w:rFonts w:cs="mylotus"/>
          <w:sz w:val="23"/>
          <w:szCs w:val="23"/>
          <w:rtl/>
        </w:rPr>
        <w:t xml:space="preserve"> </w:t>
      </w:r>
      <w:r w:rsidRPr="00563AE6">
        <w:rPr>
          <w:rFonts w:cs="mylotus" w:hint="cs"/>
          <w:sz w:val="23"/>
          <w:szCs w:val="23"/>
          <w:rtl/>
        </w:rPr>
        <w:t xml:space="preserve">يؤيّد كلام المؤلف الحديث المشهور الذي رواه الفريقان عن رسول الله </w:t>
      </w:r>
      <w:r w:rsidRPr="003C7AEB">
        <w:rPr>
          <w:rFonts w:ascii="Abo-thar" w:hAnsi="Abo-thar" w:cs="CTraditional Arabic"/>
          <w:sz w:val="23"/>
          <w:szCs w:val="23"/>
          <w:rtl/>
        </w:rPr>
        <w:t>ص</w:t>
      </w:r>
      <w:r w:rsidRPr="00563AE6">
        <w:rPr>
          <w:rFonts w:ascii="Abo-thar" w:hAnsi="Abo-thar" w:cs="mylotus"/>
          <w:sz w:val="23"/>
          <w:szCs w:val="23"/>
          <w:rtl/>
        </w:rPr>
        <w:t xml:space="preserve"> </w:t>
      </w:r>
      <w:r w:rsidRPr="00563AE6">
        <w:rPr>
          <w:rFonts w:cs="mylotus"/>
          <w:sz w:val="23"/>
          <w:szCs w:val="23"/>
          <w:rtl/>
        </w:rPr>
        <w:t xml:space="preserve">أَنَّهُ قَالَ لِعَلِيٍّ </w:t>
      </w:r>
      <w:r w:rsidRPr="00BC4BA9">
        <w:rPr>
          <w:rFonts w:cs="CTraditional Arabic" w:hint="cs"/>
          <w:sz w:val="23"/>
          <w:szCs w:val="23"/>
          <w:rtl/>
        </w:rPr>
        <w:t>÷</w:t>
      </w:r>
      <w:r w:rsidRPr="00563AE6">
        <w:rPr>
          <w:rFonts w:cs="mylotus" w:hint="cs"/>
          <w:sz w:val="23"/>
          <w:szCs w:val="23"/>
          <w:rtl/>
        </w:rPr>
        <w:t>: «</w:t>
      </w:r>
      <w:r w:rsidRPr="00563AE6">
        <w:rPr>
          <w:rFonts w:cs="mylotus"/>
          <w:sz w:val="23"/>
          <w:szCs w:val="23"/>
          <w:rtl/>
        </w:rPr>
        <w:t>لَا</w:t>
      </w:r>
      <w:r w:rsidRPr="00563AE6">
        <w:rPr>
          <w:rFonts w:cs="Times New Roman" w:hint="cs"/>
          <w:sz w:val="23"/>
          <w:szCs w:val="23"/>
          <w:rtl/>
        </w:rPr>
        <w:t> </w:t>
      </w:r>
      <w:r w:rsidRPr="00563AE6">
        <w:rPr>
          <w:rFonts w:cs="mylotus"/>
          <w:sz w:val="23"/>
          <w:szCs w:val="23"/>
          <w:rtl/>
        </w:rPr>
        <w:t>يُحِبُّكَ إِلَّا مُؤْمِنٌ وَلَا يُبْغِضُكَ إِلَّا مُنَافِق‏</w:t>
      </w:r>
      <w:r w:rsidRPr="00563AE6">
        <w:rPr>
          <w:rFonts w:cs="mylotus" w:hint="cs"/>
          <w:sz w:val="23"/>
          <w:szCs w:val="23"/>
          <w:rtl/>
        </w:rPr>
        <w:t xml:space="preserve">»، وقد أشار الإمام عليٍّ </w:t>
      </w:r>
      <w:r w:rsidRPr="003C7AEB">
        <w:rPr>
          <w:rFonts w:cs="CTraditional Arabic" w:hint="cs"/>
          <w:sz w:val="23"/>
          <w:szCs w:val="23"/>
          <w:rtl/>
        </w:rPr>
        <w:t>÷</w:t>
      </w:r>
      <w:r w:rsidRPr="00563AE6">
        <w:rPr>
          <w:rFonts w:cs="mylotus" w:hint="cs"/>
          <w:sz w:val="23"/>
          <w:szCs w:val="23"/>
          <w:rtl/>
        </w:rPr>
        <w:t xml:space="preserve"> إلى هذا كما جاء عنه في نهج البلاغة من قوله: «لَوْ ضَرَبْتُ خَيْشُومَ المُؤْمِنِ بِسَيْفِي هَذَا عَلَى أَنْ يُبْغِضَنِي مَا أَبْغَضَنِي وَلَوْ صَبَبْتُ الدُّنْيَا بِجَمَّاتِهَا عَلَى المُنَافِقِ عَلَى أَنْ يُحِبَّنِي مَا أَحَبَّنِي، وَذَلِكَ أَنَّهُ قُضِيَ فَانْقَضَى عَلَى لِسَانِ النَّبِيِّ الْأُمِّيِّ </w:t>
      </w:r>
      <w:r w:rsidRPr="003C7AEB">
        <w:rPr>
          <w:rFonts w:ascii="Abo-thar" w:hAnsi="Abo-thar" w:cs="CTraditional Arabic"/>
          <w:sz w:val="23"/>
          <w:szCs w:val="23"/>
          <w:rtl/>
        </w:rPr>
        <w:t>ص</w:t>
      </w:r>
      <w:r w:rsidRPr="00563AE6">
        <w:rPr>
          <w:rFonts w:ascii="Abo-thar" w:hAnsi="Abo-thar" w:cs="mylotus"/>
          <w:sz w:val="23"/>
          <w:szCs w:val="23"/>
          <w:rtl/>
        </w:rPr>
        <w:t xml:space="preserve"> </w:t>
      </w:r>
      <w:r w:rsidRPr="00563AE6">
        <w:rPr>
          <w:rFonts w:cs="mylotus" w:hint="cs"/>
          <w:sz w:val="23"/>
          <w:szCs w:val="23"/>
          <w:rtl/>
        </w:rPr>
        <w:t>أَنَّهُ قَالَ: يَا عَلِيُّ! لَا</w:t>
      </w:r>
      <w:r w:rsidRPr="00563AE6">
        <w:rPr>
          <w:rFonts w:cs="Times New Roman" w:hint="cs"/>
          <w:sz w:val="23"/>
          <w:szCs w:val="23"/>
          <w:rtl/>
        </w:rPr>
        <w:t> </w:t>
      </w:r>
      <w:r w:rsidRPr="00563AE6">
        <w:rPr>
          <w:rFonts w:cs="mylotus" w:hint="cs"/>
          <w:sz w:val="23"/>
          <w:szCs w:val="23"/>
          <w:rtl/>
        </w:rPr>
        <w:t>يُبْغِضُكَ مُؤْمِنٌ وَلَا يُحِبُّكَ مُنَافِق».‏ (نهج البلاغة، ص 477، الحكمة 45). (المُتَرْجِمُ)</w:t>
      </w:r>
    </w:p>
  </w:footnote>
  <w:footnote w:id="216">
    <w:p w:rsidR="00B31118" w:rsidRPr="00563AE6" w:rsidRDefault="00B31118" w:rsidP="00B300C9">
      <w:pPr>
        <w:spacing w:line="228" w:lineRule="auto"/>
        <w:ind w:left="378" w:hanging="378"/>
        <w:jc w:val="both"/>
        <w:rPr>
          <w:rFonts w:cs="mylotus" w:hint="cs"/>
          <w:sz w:val="23"/>
          <w:szCs w:val="23"/>
          <w:rtl/>
        </w:rPr>
      </w:pPr>
      <w:r w:rsidRPr="00563AE6">
        <w:rPr>
          <w:rFonts w:cs="mylotus"/>
          <w:sz w:val="23"/>
          <w:szCs w:val="23"/>
          <w:rtl/>
        </w:rPr>
        <w:footnoteRef/>
      </w:r>
      <w:r>
        <w:rPr>
          <w:rFonts w:cs="mylotus"/>
          <w:sz w:val="23"/>
          <w:szCs w:val="23"/>
          <w:rtl/>
        </w:rPr>
        <w:t>-</w:t>
      </w:r>
      <w:r w:rsidRPr="00563AE6">
        <w:rPr>
          <w:rFonts w:cs="mylotus" w:hint="cs"/>
          <w:sz w:val="23"/>
          <w:szCs w:val="23"/>
          <w:rtl/>
        </w:rPr>
        <w:t xml:space="preserve"> </w:t>
      </w:r>
      <w:r w:rsidRPr="00563AE6">
        <w:rPr>
          <w:rFonts w:cs="mylotus"/>
          <w:sz w:val="23"/>
          <w:szCs w:val="23"/>
          <w:rtl/>
        </w:rPr>
        <w:t>الشَّيْخُ المُفِيدُ</w:t>
      </w:r>
      <w:r w:rsidRPr="00563AE6">
        <w:rPr>
          <w:rFonts w:cs="mylotus" w:hint="cs"/>
          <w:sz w:val="23"/>
          <w:szCs w:val="23"/>
          <w:rtl/>
        </w:rPr>
        <w:t xml:space="preserve">، </w:t>
      </w:r>
      <w:r w:rsidRPr="00563AE6">
        <w:rPr>
          <w:rFonts w:cs="mylotus"/>
          <w:sz w:val="23"/>
          <w:szCs w:val="23"/>
          <w:rtl/>
        </w:rPr>
        <w:t>تصحيح الاعتقاد</w:t>
      </w:r>
      <w:r w:rsidRPr="00563AE6">
        <w:rPr>
          <w:rFonts w:cs="mylotus" w:hint="cs"/>
          <w:sz w:val="23"/>
          <w:szCs w:val="23"/>
          <w:rtl/>
        </w:rPr>
        <w:t xml:space="preserve">، </w:t>
      </w:r>
      <w:r w:rsidRPr="00563AE6">
        <w:rPr>
          <w:rFonts w:cs="mylotus"/>
          <w:sz w:val="23"/>
          <w:szCs w:val="23"/>
          <w:rtl/>
        </w:rPr>
        <w:t>طبع تبريز</w:t>
      </w:r>
      <w:r w:rsidRPr="00563AE6">
        <w:rPr>
          <w:rFonts w:cs="mylotus" w:hint="cs"/>
          <w:sz w:val="23"/>
          <w:szCs w:val="23"/>
          <w:rtl/>
        </w:rPr>
        <w:t>،</w:t>
      </w:r>
      <w:r w:rsidRPr="00563AE6">
        <w:rPr>
          <w:rFonts w:cs="mylotus"/>
          <w:sz w:val="23"/>
          <w:szCs w:val="23"/>
          <w:rtl/>
        </w:rPr>
        <w:t xml:space="preserve"> ص67</w:t>
      </w:r>
      <w:r w:rsidRPr="00563AE6">
        <w:rPr>
          <w:rFonts w:cs="mylotus" w:hint="cs"/>
          <w:sz w:val="23"/>
          <w:szCs w:val="23"/>
          <w:rtl/>
        </w:rPr>
        <w:t>.</w:t>
      </w:r>
    </w:p>
  </w:footnote>
  <w:footnote w:id="217">
    <w:p w:rsidR="00B31118" w:rsidRPr="00563AE6" w:rsidRDefault="00B31118" w:rsidP="00B300C9">
      <w:pPr>
        <w:spacing w:line="228" w:lineRule="auto"/>
        <w:ind w:left="378" w:hanging="378"/>
        <w:jc w:val="both"/>
        <w:rPr>
          <w:rFonts w:cs="mylotus"/>
          <w:sz w:val="23"/>
          <w:szCs w:val="23"/>
        </w:rPr>
      </w:pPr>
      <w:r w:rsidRPr="00563AE6">
        <w:rPr>
          <w:rFonts w:cs="mylotus"/>
          <w:sz w:val="23"/>
          <w:szCs w:val="23"/>
          <w:rtl/>
        </w:rPr>
        <w:footnoteRef/>
      </w:r>
      <w:r>
        <w:rPr>
          <w:rFonts w:cs="mylotus"/>
          <w:sz w:val="23"/>
          <w:szCs w:val="23"/>
          <w:rtl/>
        </w:rPr>
        <w:t>-</w:t>
      </w:r>
      <w:r w:rsidRPr="00563AE6">
        <w:rPr>
          <w:rFonts w:cs="mylotus"/>
          <w:sz w:val="23"/>
          <w:szCs w:val="23"/>
          <w:rtl/>
        </w:rPr>
        <w:t xml:space="preserve"> </w:t>
      </w:r>
      <w:r w:rsidRPr="00563AE6">
        <w:rPr>
          <w:rFonts w:cs="mylotus" w:hint="cs"/>
          <w:sz w:val="23"/>
          <w:szCs w:val="23"/>
          <w:rtl/>
        </w:rPr>
        <w:t xml:space="preserve">هذا الحساب كان حين تأليف المؤلف لكتابه، أما اليوم حيث تم طباعة الكتاب بعون الله فطبقاً لتصريحات مسؤولي البلاد فإن إيرادات البترول السنوية تتجاوز العشرين مليار دولار وبالتالي فخمسها يساوي أربع مليارات دولار فلو قسمنا أرباح الخمس على السادة في إيران من هذا الطريق فقط لنال كل واحد مهم أكثر من ألف تومان يومياً. </w:t>
      </w:r>
    </w:p>
  </w:footnote>
  <w:footnote w:id="218">
    <w:p w:rsidR="00B31118" w:rsidRPr="00563AE6" w:rsidRDefault="00B31118" w:rsidP="00B300C9">
      <w:pPr>
        <w:spacing w:line="228" w:lineRule="auto"/>
        <w:ind w:left="378" w:hanging="378"/>
        <w:jc w:val="both"/>
        <w:rPr>
          <w:rFonts w:cs="mylotus" w:hint="cs"/>
          <w:sz w:val="23"/>
          <w:szCs w:val="23"/>
          <w:rtl/>
        </w:rPr>
      </w:pPr>
      <w:r w:rsidRPr="00563AE6">
        <w:rPr>
          <w:rFonts w:cs="mylotus"/>
          <w:sz w:val="23"/>
          <w:szCs w:val="23"/>
          <w:rtl/>
        </w:rPr>
        <w:footnoteRef/>
      </w:r>
      <w:r>
        <w:rPr>
          <w:rFonts w:cs="mylotus"/>
          <w:sz w:val="23"/>
          <w:szCs w:val="23"/>
          <w:rtl/>
        </w:rPr>
        <w:t>-</w:t>
      </w:r>
      <w:r w:rsidRPr="00563AE6">
        <w:rPr>
          <w:rFonts w:cs="mylotus" w:hint="cs"/>
          <w:sz w:val="23"/>
          <w:szCs w:val="23"/>
          <w:rtl/>
        </w:rPr>
        <w:t xml:space="preserve"> العلامة الحلي، منتهى المطلب، </w:t>
      </w:r>
      <w:r w:rsidRPr="00563AE6">
        <w:rPr>
          <w:rFonts w:cs="mylotus"/>
          <w:sz w:val="23"/>
          <w:szCs w:val="23"/>
          <w:rtl/>
        </w:rPr>
        <w:t>الطبعة القديمة</w:t>
      </w:r>
      <w:r w:rsidRPr="00563AE6">
        <w:rPr>
          <w:rFonts w:cs="mylotus" w:hint="cs"/>
          <w:sz w:val="23"/>
          <w:szCs w:val="23"/>
          <w:rtl/>
        </w:rPr>
        <w:t>،</w:t>
      </w:r>
      <w:r w:rsidRPr="00563AE6">
        <w:rPr>
          <w:rFonts w:cs="mylotus"/>
          <w:sz w:val="23"/>
          <w:szCs w:val="23"/>
          <w:rtl/>
        </w:rPr>
        <w:t xml:space="preserve"> ج1، ص552</w:t>
      </w:r>
      <w:r w:rsidRPr="00563AE6">
        <w:rPr>
          <w:rFonts w:cs="mylotus" w:hint="cs"/>
          <w:sz w:val="23"/>
          <w:szCs w:val="23"/>
          <w:rtl/>
        </w:rPr>
        <w:t>.</w:t>
      </w:r>
    </w:p>
  </w:footnote>
  <w:footnote w:id="219">
    <w:p w:rsidR="00B31118" w:rsidRPr="00563AE6" w:rsidRDefault="00B31118" w:rsidP="00B300C9">
      <w:pPr>
        <w:spacing w:line="228" w:lineRule="auto"/>
        <w:ind w:left="378" w:hanging="378"/>
        <w:jc w:val="both"/>
        <w:rPr>
          <w:rFonts w:cs="mylotus" w:hint="cs"/>
          <w:sz w:val="23"/>
          <w:szCs w:val="23"/>
        </w:rPr>
      </w:pPr>
      <w:r w:rsidRPr="00563AE6">
        <w:rPr>
          <w:rFonts w:cs="mylotus"/>
          <w:sz w:val="23"/>
          <w:szCs w:val="23"/>
          <w:rtl/>
        </w:rPr>
        <w:footnoteRef/>
      </w:r>
      <w:r>
        <w:rPr>
          <w:rFonts w:cs="mylotus"/>
          <w:sz w:val="23"/>
          <w:szCs w:val="23"/>
          <w:rtl/>
        </w:rPr>
        <w:t>-</w:t>
      </w:r>
      <w:r w:rsidRPr="00563AE6">
        <w:rPr>
          <w:rFonts w:cs="mylotus"/>
          <w:sz w:val="23"/>
          <w:szCs w:val="23"/>
          <w:rtl/>
        </w:rPr>
        <w:t xml:space="preserve"> </w:t>
      </w:r>
      <w:r w:rsidRPr="00563AE6">
        <w:rPr>
          <w:rFonts w:cs="mylotus" w:hint="cs"/>
          <w:sz w:val="23"/>
          <w:szCs w:val="23"/>
          <w:rtl/>
        </w:rPr>
        <w:t>هذا الحساب كان حين تأليف المؤلف لكتابه أي سنة 1347هـ.ش. (1968م).</w:t>
      </w:r>
      <w:r w:rsidRPr="00563AE6">
        <w:rPr>
          <w:rFonts w:cs="mylotus"/>
          <w:sz w:val="23"/>
          <w:szCs w:val="23"/>
          <w:rtl/>
        </w:rPr>
        <w:t xml:space="preserve"> </w:t>
      </w:r>
    </w:p>
  </w:footnote>
  <w:footnote w:id="220">
    <w:p w:rsidR="00B31118" w:rsidRPr="00563AE6" w:rsidRDefault="00B31118" w:rsidP="00B300C9">
      <w:pPr>
        <w:spacing w:line="228" w:lineRule="auto"/>
        <w:ind w:left="378" w:hanging="378"/>
        <w:jc w:val="both"/>
        <w:rPr>
          <w:rFonts w:cs="mylotus" w:hint="cs"/>
          <w:sz w:val="23"/>
          <w:szCs w:val="23"/>
          <w:rtl/>
        </w:rPr>
      </w:pPr>
      <w:r w:rsidRPr="00563AE6">
        <w:rPr>
          <w:rFonts w:cs="mylotus"/>
          <w:sz w:val="23"/>
          <w:szCs w:val="23"/>
          <w:rtl/>
        </w:rPr>
        <w:footnoteRef/>
      </w:r>
      <w:r>
        <w:rPr>
          <w:rFonts w:cs="mylotus"/>
          <w:sz w:val="23"/>
          <w:szCs w:val="23"/>
          <w:rtl/>
        </w:rPr>
        <w:t>-</w:t>
      </w:r>
      <w:r w:rsidRPr="00563AE6">
        <w:rPr>
          <w:rFonts w:cs="mylotus"/>
          <w:sz w:val="23"/>
          <w:szCs w:val="23"/>
          <w:rtl/>
        </w:rPr>
        <w:t xml:space="preserve"> </w:t>
      </w:r>
      <w:r w:rsidRPr="00563AE6">
        <w:rPr>
          <w:rFonts w:cs="mylotus" w:hint="cs"/>
          <w:sz w:val="23"/>
          <w:szCs w:val="23"/>
          <w:rtl/>
        </w:rPr>
        <w:t xml:space="preserve">الحديث صحيح متفق عليه عند أهل السنة رواه الجماعة من عِدَّة طرق. </w:t>
      </w:r>
      <w:r w:rsidRPr="00563AE6">
        <w:rPr>
          <w:rFonts w:cs="mylotus"/>
          <w:sz w:val="23"/>
          <w:szCs w:val="23"/>
          <w:rtl/>
        </w:rPr>
        <w:t>(المُتَرْجِمُ)</w:t>
      </w:r>
    </w:p>
  </w:footnote>
  <w:footnote w:id="221">
    <w:p w:rsidR="00B31118" w:rsidRPr="00563AE6" w:rsidRDefault="00B31118" w:rsidP="00B300C9">
      <w:pPr>
        <w:spacing w:line="228" w:lineRule="auto"/>
        <w:ind w:left="378" w:hanging="378"/>
        <w:jc w:val="both"/>
        <w:rPr>
          <w:rFonts w:cs="mylotus" w:hint="cs"/>
          <w:sz w:val="23"/>
          <w:szCs w:val="23"/>
          <w:rtl/>
          <w:lang w:bidi="ar-SY"/>
        </w:rPr>
      </w:pPr>
      <w:r w:rsidRPr="00563AE6">
        <w:rPr>
          <w:rFonts w:cs="mylotus"/>
          <w:sz w:val="23"/>
          <w:szCs w:val="23"/>
          <w:rtl/>
        </w:rPr>
        <w:footnoteRef/>
      </w:r>
      <w:r>
        <w:rPr>
          <w:rFonts w:cs="mylotus"/>
          <w:sz w:val="23"/>
          <w:szCs w:val="23"/>
          <w:rtl/>
        </w:rPr>
        <w:t>-</w:t>
      </w:r>
      <w:r w:rsidRPr="00563AE6">
        <w:rPr>
          <w:rFonts w:cs="mylotus" w:hint="cs"/>
          <w:sz w:val="23"/>
          <w:szCs w:val="23"/>
          <w:rtl/>
        </w:rPr>
        <w:t xml:space="preserve"> عبد الرحمن الجزيري، </w:t>
      </w:r>
      <w:r w:rsidRPr="00563AE6">
        <w:rPr>
          <w:rFonts w:cs="mylotus"/>
          <w:sz w:val="23"/>
          <w:szCs w:val="23"/>
          <w:rtl/>
        </w:rPr>
        <w:t>الفقه على المذاهب الأربعة</w:t>
      </w:r>
      <w:r w:rsidRPr="00563AE6">
        <w:rPr>
          <w:rFonts w:cs="mylotus" w:hint="cs"/>
          <w:sz w:val="23"/>
          <w:szCs w:val="23"/>
          <w:rtl/>
        </w:rPr>
        <w:t xml:space="preserve">، </w:t>
      </w:r>
      <w:r w:rsidRPr="00563AE6">
        <w:rPr>
          <w:rFonts w:cs="mylotus"/>
          <w:sz w:val="23"/>
          <w:szCs w:val="23"/>
          <w:rtl/>
        </w:rPr>
        <w:t>ج1،  ص632</w:t>
      </w:r>
      <w:r w:rsidRPr="00563AE6">
        <w:rPr>
          <w:rFonts w:cs="mylotus" w:hint="cs"/>
          <w:sz w:val="23"/>
          <w:szCs w:val="23"/>
          <w:rtl/>
        </w:rPr>
        <w:t>.</w:t>
      </w:r>
    </w:p>
  </w:footnote>
  <w:footnote w:id="222">
    <w:p w:rsidR="00B31118" w:rsidRPr="00563AE6" w:rsidRDefault="00B31118" w:rsidP="00B300C9">
      <w:pPr>
        <w:spacing w:line="228" w:lineRule="auto"/>
        <w:ind w:left="378" w:hanging="378"/>
        <w:jc w:val="both"/>
        <w:rPr>
          <w:rFonts w:cs="mylotus" w:hint="cs"/>
          <w:sz w:val="23"/>
          <w:szCs w:val="23"/>
          <w:rtl/>
        </w:rPr>
      </w:pPr>
      <w:r w:rsidRPr="00563AE6">
        <w:rPr>
          <w:rFonts w:cs="mylotus"/>
          <w:sz w:val="23"/>
          <w:szCs w:val="23"/>
          <w:rtl/>
        </w:rPr>
        <w:footnoteRef/>
      </w:r>
      <w:r>
        <w:rPr>
          <w:rFonts w:cs="mylotus"/>
          <w:sz w:val="23"/>
          <w:szCs w:val="23"/>
          <w:rtl/>
        </w:rPr>
        <w:t>-</w:t>
      </w:r>
      <w:r w:rsidRPr="00563AE6">
        <w:rPr>
          <w:rFonts w:cs="mylotus" w:hint="cs"/>
          <w:sz w:val="23"/>
          <w:szCs w:val="23"/>
          <w:rtl/>
        </w:rPr>
        <w:t xml:space="preserve"> المصدر نفسه، ج </w:t>
      </w:r>
      <w:r w:rsidRPr="00563AE6">
        <w:rPr>
          <w:rFonts w:cs="mylotus"/>
          <w:sz w:val="23"/>
          <w:szCs w:val="23"/>
          <w:rtl/>
        </w:rPr>
        <w:t>1،</w:t>
      </w:r>
      <w:r w:rsidRPr="00563AE6">
        <w:rPr>
          <w:rFonts w:cs="mylotus" w:hint="cs"/>
          <w:sz w:val="23"/>
          <w:szCs w:val="23"/>
          <w:rtl/>
        </w:rPr>
        <w:t xml:space="preserve"> ص</w:t>
      </w:r>
      <w:r w:rsidRPr="00563AE6">
        <w:rPr>
          <w:rFonts w:cs="mylotus"/>
          <w:sz w:val="23"/>
          <w:szCs w:val="23"/>
          <w:rtl/>
        </w:rPr>
        <w:t xml:space="preserve"> 616</w:t>
      </w:r>
      <w:r w:rsidRPr="00563AE6">
        <w:rPr>
          <w:rFonts w:cs="mylotus" w:hint="cs"/>
          <w:sz w:val="23"/>
          <w:szCs w:val="23"/>
          <w:rtl/>
        </w:rPr>
        <w:t>.</w:t>
      </w:r>
    </w:p>
  </w:footnote>
  <w:footnote w:id="223">
    <w:p w:rsidR="00B31118" w:rsidRPr="00563AE6" w:rsidRDefault="00B31118" w:rsidP="00B300C9">
      <w:pPr>
        <w:spacing w:line="228" w:lineRule="auto"/>
        <w:ind w:left="378" w:hanging="378"/>
        <w:jc w:val="both"/>
        <w:rPr>
          <w:rFonts w:cs="mylotus" w:hint="cs"/>
          <w:sz w:val="23"/>
          <w:szCs w:val="23"/>
          <w:rtl/>
        </w:rPr>
      </w:pPr>
      <w:r w:rsidRPr="00563AE6">
        <w:rPr>
          <w:rFonts w:cs="mylotus"/>
          <w:sz w:val="23"/>
          <w:szCs w:val="23"/>
          <w:rtl/>
        </w:rPr>
        <w:footnoteRef/>
      </w:r>
      <w:r>
        <w:rPr>
          <w:rFonts w:cs="mylotus"/>
          <w:sz w:val="23"/>
          <w:szCs w:val="23"/>
          <w:rtl/>
        </w:rPr>
        <w:t>-</w:t>
      </w:r>
      <w:r w:rsidRPr="00563AE6">
        <w:rPr>
          <w:rFonts w:cs="mylotus" w:hint="cs"/>
          <w:sz w:val="23"/>
          <w:szCs w:val="23"/>
          <w:rtl/>
        </w:rPr>
        <w:t xml:space="preserve"> الكندي، الولاة والقضاة، ص 198.</w:t>
      </w:r>
    </w:p>
  </w:footnote>
  <w:footnote w:id="224">
    <w:p w:rsidR="00B31118" w:rsidRPr="00563AE6" w:rsidRDefault="00B31118" w:rsidP="00B300C9">
      <w:pPr>
        <w:spacing w:line="228" w:lineRule="auto"/>
        <w:ind w:left="378" w:hanging="378"/>
        <w:jc w:val="both"/>
        <w:rPr>
          <w:rFonts w:cs="mylotus" w:hint="cs"/>
          <w:sz w:val="23"/>
          <w:szCs w:val="23"/>
          <w:rtl/>
          <w:lang w:bidi="ar-SY"/>
        </w:rPr>
      </w:pPr>
      <w:r w:rsidRPr="00563AE6">
        <w:rPr>
          <w:rStyle w:val="FootnoteReference"/>
          <w:rFonts w:cs="mylotus"/>
          <w:sz w:val="23"/>
          <w:szCs w:val="23"/>
          <w:vertAlign w:val="baseline"/>
          <w:rtl/>
        </w:rPr>
        <w:footnoteRef/>
      </w:r>
      <w:r>
        <w:rPr>
          <w:rFonts w:cs="mylotus"/>
          <w:sz w:val="23"/>
          <w:szCs w:val="23"/>
          <w:rtl/>
        </w:rPr>
        <w:t>-</w:t>
      </w:r>
      <w:r w:rsidRPr="00563AE6">
        <w:rPr>
          <w:rFonts w:cs="mylotus"/>
          <w:sz w:val="23"/>
          <w:szCs w:val="23"/>
          <w:rtl/>
        </w:rPr>
        <w:t xml:space="preserve"> </w:t>
      </w:r>
      <w:r w:rsidRPr="00563AE6">
        <w:rPr>
          <w:rFonts w:cs="mylotus" w:hint="cs"/>
          <w:sz w:val="23"/>
          <w:szCs w:val="23"/>
          <w:rtl/>
        </w:rPr>
        <w:t xml:space="preserve">سند الحديث كما أورده الشيخ الطوسي [في التهذيب] هو: </w:t>
      </w:r>
      <w:r w:rsidRPr="00563AE6">
        <w:rPr>
          <w:rFonts w:cs="mylotus"/>
          <w:sz w:val="23"/>
          <w:szCs w:val="23"/>
          <w:rtl/>
        </w:rPr>
        <w:t xml:space="preserve">الْحَسَنُ بْنُ مَحْبُوبٍ عَنْ عَبْدِ اللَّهِ بْنِ سِنَانٍ قَالَ: سَمِعْتُ أَبَا عَبْدِ </w:t>
      </w:r>
      <w:r w:rsidRPr="00563AE6">
        <w:rPr>
          <w:rFonts w:cs="mylotus" w:hint="cs"/>
          <w:sz w:val="23"/>
          <w:szCs w:val="23"/>
          <w:rtl/>
        </w:rPr>
        <w:t>اللهِ</w:t>
      </w:r>
      <w:r w:rsidRPr="00563AE6">
        <w:rPr>
          <w:rFonts w:cs="mylotus"/>
          <w:sz w:val="23"/>
          <w:szCs w:val="23"/>
          <w:rtl/>
        </w:rPr>
        <w:t xml:space="preserve"> </w:t>
      </w:r>
      <w:r w:rsidRPr="00BC4BA9">
        <w:rPr>
          <w:rFonts w:cs="CTraditional Arabic" w:hint="cs"/>
          <w:sz w:val="23"/>
          <w:szCs w:val="23"/>
          <w:rtl/>
        </w:rPr>
        <w:t>÷</w:t>
      </w:r>
      <w:r w:rsidRPr="00563AE6">
        <w:rPr>
          <w:rFonts w:cs="mylotus" w:hint="cs"/>
          <w:sz w:val="23"/>
          <w:szCs w:val="23"/>
          <w:rtl/>
        </w:rPr>
        <w:t xml:space="preserve">. وقد رواه الشيخ الصدوق بالسند ذاته. </w:t>
      </w:r>
    </w:p>
    <w:p w:rsidR="00B31118" w:rsidRPr="00563AE6" w:rsidRDefault="00B31118" w:rsidP="00B31118">
      <w:pPr>
        <w:spacing w:line="228" w:lineRule="auto"/>
        <w:ind w:left="737" w:hanging="340"/>
        <w:jc w:val="both"/>
        <w:rPr>
          <w:rFonts w:cs="mylotus" w:hint="cs"/>
          <w:sz w:val="23"/>
          <w:szCs w:val="23"/>
          <w:rtl/>
        </w:rPr>
      </w:pPr>
      <w:r w:rsidRPr="00563AE6">
        <w:rPr>
          <w:rFonts w:cs="mylotus" w:hint="cs"/>
          <w:sz w:val="23"/>
          <w:szCs w:val="23"/>
          <w:rtl/>
          <w:lang w:bidi="ar-SY"/>
        </w:rPr>
        <w:t xml:space="preserve">1- جاء في كتاب «منتقى الجمان» تأليف الشيخ </w:t>
      </w:r>
      <w:r w:rsidRPr="00563AE6">
        <w:rPr>
          <w:rFonts w:cs="mylotus"/>
          <w:sz w:val="23"/>
          <w:szCs w:val="23"/>
          <w:rtl/>
          <w:lang w:bidi="ar-SY"/>
        </w:rPr>
        <w:t>«</w:t>
      </w:r>
      <w:r w:rsidRPr="00563AE6">
        <w:rPr>
          <w:rFonts w:cs="mylotus" w:hint="cs"/>
          <w:sz w:val="23"/>
          <w:szCs w:val="23"/>
          <w:rtl/>
          <w:lang w:bidi="ar-SY"/>
        </w:rPr>
        <w:t>حسن زين الدين (الشهيد الثاني)</w:t>
      </w:r>
      <w:r w:rsidRPr="00563AE6">
        <w:rPr>
          <w:rFonts w:cs="mylotus"/>
          <w:sz w:val="23"/>
          <w:szCs w:val="23"/>
          <w:rtl/>
          <w:lang w:bidi="ar-SY"/>
        </w:rPr>
        <w:t>»</w:t>
      </w:r>
      <w:r w:rsidRPr="00563AE6">
        <w:rPr>
          <w:rFonts w:cs="mylotus" w:hint="cs"/>
          <w:sz w:val="23"/>
          <w:szCs w:val="23"/>
          <w:rtl/>
          <w:lang w:bidi="ar-SY"/>
        </w:rPr>
        <w:t xml:space="preserve"> (ج2، ص138، الطبعة الجديدة): «</w:t>
      </w:r>
      <w:r w:rsidRPr="00563AE6">
        <w:rPr>
          <w:rFonts w:cs="mylotus"/>
          <w:sz w:val="23"/>
          <w:szCs w:val="23"/>
          <w:rtl/>
          <w:lang w:bidi="ar-SY"/>
        </w:rPr>
        <w:t>وللأصحاب في تأويله وجهان، أحدهما: الحمل على إرادة الخمس المستفاد من ظاهر الكتاب، فإن ما سوى الغنائم مما يجب فيه الخمس إنما استفيد حكمه من الس</w:t>
      </w:r>
      <w:r w:rsidRPr="00563AE6">
        <w:rPr>
          <w:rFonts w:cs="mylotus" w:hint="cs"/>
          <w:sz w:val="23"/>
          <w:szCs w:val="23"/>
          <w:rtl/>
          <w:lang w:bidi="ar-SY"/>
        </w:rPr>
        <w:t>ُ</w:t>
      </w:r>
      <w:r w:rsidRPr="00563AE6">
        <w:rPr>
          <w:rFonts w:cs="mylotus"/>
          <w:sz w:val="23"/>
          <w:szCs w:val="23"/>
          <w:rtl/>
          <w:lang w:bidi="ar-SY"/>
        </w:rPr>
        <w:t>ن</w:t>
      </w:r>
      <w:r w:rsidRPr="00563AE6">
        <w:rPr>
          <w:rFonts w:cs="mylotus" w:hint="cs"/>
          <w:sz w:val="23"/>
          <w:szCs w:val="23"/>
          <w:rtl/>
          <w:lang w:bidi="ar-SY"/>
        </w:rPr>
        <w:t>َّ</w:t>
      </w:r>
      <w:r w:rsidRPr="00563AE6">
        <w:rPr>
          <w:rFonts w:cs="mylotus"/>
          <w:sz w:val="23"/>
          <w:szCs w:val="23"/>
          <w:rtl/>
          <w:lang w:bidi="ar-SY"/>
        </w:rPr>
        <w:t>ة</w:t>
      </w:r>
      <w:r w:rsidRPr="00563AE6">
        <w:rPr>
          <w:rFonts w:cs="mylotus" w:hint="cs"/>
          <w:sz w:val="23"/>
          <w:szCs w:val="23"/>
          <w:rtl/>
          <w:lang w:bidi="ar-SY"/>
        </w:rPr>
        <w:t>،</w:t>
      </w:r>
      <w:r w:rsidRPr="00563AE6">
        <w:rPr>
          <w:rFonts w:cs="mylotus"/>
          <w:sz w:val="23"/>
          <w:szCs w:val="23"/>
          <w:rtl/>
          <w:lang w:bidi="ar-SY"/>
        </w:rPr>
        <w:t xml:space="preserve"> ذكر ذلك الشيخ - رحمه الله -. والثاني: دعوى صدق اسم الغنيمة على كل ما يجب فيه الخمس، ذكره جماعة منهم العلامة والشهيد، وتوج</w:t>
      </w:r>
      <w:r w:rsidRPr="00563AE6">
        <w:rPr>
          <w:rFonts w:cs="mylotus" w:hint="cs"/>
          <w:sz w:val="23"/>
          <w:szCs w:val="23"/>
          <w:rtl/>
          <w:lang w:bidi="ar-SY"/>
        </w:rPr>
        <w:t>ُّ</w:t>
      </w:r>
      <w:r w:rsidRPr="00563AE6">
        <w:rPr>
          <w:rFonts w:cs="mylotus"/>
          <w:sz w:val="23"/>
          <w:szCs w:val="23"/>
          <w:rtl/>
          <w:lang w:bidi="ar-SY"/>
        </w:rPr>
        <w:t>ه المنع إلى هذه الدعوى بي</w:t>
      </w:r>
      <w:r w:rsidRPr="00563AE6">
        <w:rPr>
          <w:rFonts w:cs="mylotus" w:hint="cs"/>
          <w:sz w:val="23"/>
          <w:szCs w:val="23"/>
          <w:rtl/>
          <w:lang w:bidi="ar-SY"/>
        </w:rPr>
        <w:t>ِّ</w:t>
      </w:r>
      <w:r w:rsidRPr="00563AE6">
        <w:rPr>
          <w:rFonts w:cs="mylotus"/>
          <w:sz w:val="23"/>
          <w:szCs w:val="23"/>
          <w:rtl/>
          <w:lang w:bidi="ar-SY"/>
        </w:rPr>
        <w:t>ن</w:t>
      </w:r>
      <w:r w:rsidRPr="00563AE6">
        <w:rPr>
          <w:rFonts w:cs="mylotus" w:hint="cs"/>
          <w:sz w:val="23"/>
          <w:szCs w:val="23"/>
          <w:rtl/>
          <w:lang w:bidi="ar-SY"/>
        </w:rPr>
        <w:t>ٌ</w:t>
      </w:r>
      <w:r w:rsidRPr="00563AE6">
        <w:rPr>
          <w:rFonts w:cs="mylotus"/>
          <w:sz w:val="23"/>
          <w:szCs w:val="23"/>
          <w:rtl/>
          <w:lang w:bidi="ar-SY"/>
        </w:rPr>
        <w:t xml:space="preserve">، لاتفاق العرف وكلام أهل اللغة على خلافها. نعم، يمكن الحمل على إرادة هذا المعنى </w:t>
      </w:r>
      <w:r w:rsidRPr="00563AE6">
        <w:rPr>
          <w:rFonts w:cs="mylotus" w:hint="cs"/>
          <w:sz w:val="23"/>
          <w:szCs w:val="23"/>
          <w:rtl/>
          <w:lang w:bidi="ar-SY"/>
        </w:rPr>
        <w:t>ب</w:t>
      </w:r>
      <w:r w:rsidRPr="00563AE6">
        <w:rPr>
          <w:rFonts w:cs="mylotus"/>
          <w:sz w:val="23"/>
          <w:szCs w:val="23"/>
          <w:rtl/>
          <w:lang w:bidi="ar-SY"/>
        </w:rPr>
        <w:t>طريق التجو</w:t>
      </w:r>
      <w:r w:rsidRPr="00563AE6">
        <w:rPr>
          <w:rFonts w:cs="mylotus" w:hint="cs"/>
          <w:sz w:val="23"/>
          <w:szCs w:val="23"/>
          <w:rtl/>
          <w:lang w:bidi="ar-SY"/>
        </w:rPr>
        <w:t>ُّ</w:t>
      </w:r>
      <w:r w:rsidRPr="00563AE6">
        <w:rPr>
          <w:rFonts w:cs="mylotus"/>
          <w:sz w:val="23"/>
          <w:szCs w:val="23"/>
          <w:rtl/>
          <w:lang w:bidi="ar-SY"/>
        </w:rPr>
        <w:t>ز، فإن استعمال لفظ الغنيمة وما يتصرف منه في غير معانيها الأصلية من المجازات الشا</w:t>
      </w:r>
      <w:r w:rsidRPr="00563AE6">
        <w:rPr>
          <w:rFonts w:cs="mylotus" w:hint="cs"/>
          <w:sz w:val="23"/>
          <w:szCs w:val="23"/>
          <w:rtl/>
          <w:lang w:bidi="ar-SY"/>
        </w:rPr>
        <w:t>ئ</w:t>
      </w:r>
      <w:r w:rsidRPr="00563AE6">
        <w:rPr>
          <w:rFonts w:cs="mylotus"/>
          <w:sz w:val="23"/>
          <w:szCs w:val="23"/>
          <w:rtl/>
          <w:lang w:bidi="ar-SY"/>
        </w:rPr>
        <w:t>عة الراجحة المساوي احتمالها من اللفظ لاحتمال الحقيقة منه في المرجح الخارجي. وغير خفي</w:t>
      </w:r>
      <w:r w:rsidRPr="00563AE6">
        <w:rPr>
          <w:rFonts w:cs="mylotus" w:hint="cs"/>
          <w:sz w:val="23"/>
          <w:szCs w:val="23"/>
          <w:rtl/>
          <w:lang w:bidi="ar-SY"/>
        </w:rPr>
        <w:t>ٍّ</w:t>
      </w:r>
      <w:r w:rsidRPr="00563AE6">
        <w:rPr>
          <w:rFonts w:cs="mylotus"/>
          <w:sz w:val="23"/>
          <w:szCs w:val="23"/>
          <w:rtl/>
          <w:lang w:bidi="ar-SY"/>
        </w:rPr>
        <w:t xml:space="preserve"> أن ذلك لا ينافي استفادة المعنى الحقيقي منه في أمثال موضع النزاع من حيث تناول المعنى المجازي للحقيقي فيقطع بإرادته من اللفظ على كل حال ويرجح الشك إلى ما سواه، وله نظائر من الألفاظ المجملة في معان يكون بعضها متناولا لبعض فإن أثر </w:t>
      </w:r>
      <w:r w:rsidRPr="00563AE6">
        <w:rPr>
          <w:rFonts w:cs="mylotus" w:hint="cs"/>
          <w:sz w:val="23"/>
          <w:szCs w:val="23"/>
          <w:rtl/>
          <w:lang w:bidi="ar-SY"/>
        </w:rPr>
        <w:t>الإجمال</w:t>
      </w:r>
      <w:r w:rsidRPr="00563AE6">
        <w:rPr>
          <w:rFonts w:cs="mylotus"/>
          <w:sz w:val="23"/>
          <w:szCs w:val="23"/>
          <w:rtl/>
          <w:lang w:bidi="ar-SY"/>
        </w:rPr>
        <w:t xml:space="preserve"> إنما يظهر في المتناول - اسم فاعل - كصيغة الأمر عند من يقول باشتراكها بين الوجوب والندب، والمخصص المتعقب للجمل المتعددة المتعاطفة على القول بجواز تعلق</w:t>
      </w:r>
      <w:r w:rsidRPr="00563AE6">
        <w:rPr>
          <w:rFonts w:cs="mylotus" w:hint="cs"/>
          <w:sz w:val="23"/>
          <w:szCs w:val="23"/>
          <w:rtl/>
          <w:lang w:bidi="ar-SY"/>
        </w:rPr>
        <w:t>ه</w:t>
      </w:r>
      <w:r w:rsidRPr="00563AE6">
        <w:rPr>
          <w:rFonts w:cs="mylotus"/>
          <w:sz w:val="23"/>
          <w:szCs w:val="23"/>
          <w:rtl/>
          <w:lang w:bidi="ar-SY"/>
        </w:rPr>
        <w:t xml:space="preserve"> بالأخيرة وبالجميع حقيقة، فإن وقوع </w:t>
      </w:r>
      <w:r w:rsidRPr="00563AE6">
        <w:rPr>
          <w:rFonts w:cs="mylotus" w:hint="cs"/>
          <w:sz w:val="23"/>
          <w:szCs w:val="23"/>
          <w:rtl/>
          <w:lang w:bidi="ar-SY"/>
        </w:rPr>
        <w:t>الإجمال</w:t>
      </w:r>
      <w:r w:rsidRPr="00563AE6">
        <w:rPr>
          <w:rFonts w:cs="mylotus"/>
          <w:sz w:val="23"/>
          <w:szCs w:val="23"/>
          <w:rtl/>
          <w:lang w:bidi="ar-SY"/>
        </w:rPr>
        <w:t xml:space="preserve"> في الأول لا</w:t>
      </w:r>
      <w:r w:rsidRPr="00563AE6">
        <w:rPr>
          <w:rFonts w:cs="Times New Roman" w:hint="cs"/>
          <w:sz w:val="23"/>
          <w:szCs w:val="23"/>
          <w:rtl/>
          <w:lang w:bidi="ar-SY"/>
        </w:rPr>
        <w:t> </w:t>
      </w:r>
      <w:r w:rsidRPr="00563AE6">
        <w:rPr>
          <w:rFonts w:cs="mylotus"/>
          <w:sz w:val="23"/>
          <w:szCs w:val="23"/>
          <w:rtl/>
          <w:lang w:bidi="ar-SY"/>
        </w:rPr>
        <w:t>يمنع من استفادة الندب من الأمر</w:t>
      </w:r>
      <w:r w:rsidRPr="00563AE6">
        <w:rPr>
          <w:rFonts w:cs="mylotus" w:hint="cs"/>
          <w:sz w:val="23"/>
          <w:szCs w:val="23"/>
          <w:rtl/>
          <w:lang w:bidi="ar-SY"/>
        </w:rPr>
        <w:t>.</w:t>
      </w:r>
      <w:r w:rsidRPr="00563AE6">
        <w:rPr>
          <w:rFonts w:cs="mylotus"/>
          <w:sz w:val="23"/>
          <w:szCs w:val="23"/>
          <w:rtl/>
          <w:lang w:bidi="ar-SY"/>
        </w:rPr>
        <w:t xml:space="preserve"> وفي الثاني يجامع القطع بتخصيص الأخيرة فيختص أثر ال</w:t>
      </w:r>
      <w:r w:rsidRPr="00563AE6">
        <w:rPr>
          <w:rFonts w:cs="mylotus" w:hint="cs"/>
          <w:sz w:val="23"/>
          <w:szCs w:val="23"/>
          <w:rtl/>
          <w:lang w:bidi="ar-SY"/>
        </w:rPr>
        <w:t>إ</w:t>
      </w:r>
      <w:r w:rsidRPr="00563AE6">
        <w:rPr>
          <w:rFonts w:cs="mylotus"/>
          <w:sz w:val="23"/>
          <w:szCs w:val="23"/>
          <w:rtl/>
          <w:lang w:bidi="ar-SY"/>
        </w:rPr>
        <w:t>جمال في الأمر بالوجوب وفي التخصيص بما سوى الأخيرة، والحال ههنا كذلك فإن لفظ الغنائم وإن احتمل العموم المجازي والحقيقة الأصلية لكن الحقيقة متحققة ال</w:t>
      </w:r>
      <w:r w:rsidRPr="00563AE6">
        <w:rPr>
          <w:rFonts w:cs="mylotus" w:hint="cs"/>
          <w:sz w:val="23"/>
          <w:szCs w:val="23"/>
          <w:rtl/>
          <w:lang w:bidi="ar-SY"/>
        </w:rPr>
        <w:t>إ</w:t>
      </w:r>
      <w:r w:rsidRPr="00563AE6">
        <w:rPr>
          <w:rFonts w:cs="mylotus"/>
          <w:sz w:val="23"/>
          <w:szCs w:val="23"/>
          <w:rtl/>
          <w:lang w:bidi="ar-SY"/>
        </w:rPr>
        <w:t>رادة لدخولها في عموم المجاز ويقع الشك في إرادة ما سواها فيتمسك في نفيها بالأصل إلى أن يقوم على خلافه دليل.</w:t>
      </w:r>
      <w:r w:rsidRPr="00563AE6">
        <w:rPr>
          <w:rFonts w:cs="mylotus" w:hint="cs"/>
          <w:sz w:val="23"/>
          <w:szCs w:val="23"/>
          <w:rtl/>
          <w:lang w:bidi="ar-SY"/>
        </w:rPr>
        <w:t>».</w:t>
      </w:r>
    </w:p>
    <w:p w:rsidR="00B31118" w:rsidRPr="00563AE6" w:rsidRDefault="00B31118" w:rsidP="00E51696">
      <w:pPr>
        <w:spacing w:line="228" w:lineRule="auto"/>
        <w:ind w:left="737" w:hanging="340"/>
        <w:jc w:val="both"/>
        <w:rPr>
          <w:rFonts w:cs="mylotus" w:hint="cs"/>
          <w:sz w:val="23"/>
          <w:szCs w:val="23"/>
          <w:rtl/>
          <w:lang w:bidi="ar-SY"/>
        </w:rPr>
      </w:pPr>
      <w:r w:rsidRPr="00563AE6">
        <w:rPr>
          <w:rFonts w:cs="mylotus" w:hint="cs"/>
          <w:sz w:val="23"/>
          <w:szCs w:val="23"/>
          <w:rtl/>
          <w:lang w:bidi="ar-SY"/>
        </w:rPr>
        <w:t xml:space="preserve">2- وقال المحقق السبزواري في كتابه </w:t>
      </w:r>
      <w:r w:rsidRPr="00563AE6">
        <w:rPr>
          <w:rFonts w:cs="mylotus"/>
          <w:sz w:val="23"/>
          <w:szCs w:val="23"/>
          <w:rtl/>
          <w:lang w:bidi="ar-SY"/>
        </w:rPr>
        <w:t>ذخيرة المعاد</w:t>
      </w:r>
      <w:r w:rsidRPr="00563AE6">
        <w:rPr>
          <w:rFonts w:cs="mylotus" w:hint="cs"/>
          <w:sz w:val="23"/>
          <w:szCs w:val="23"/>
          <w:rtl/>
          <w:lang w:bidi="ar-SY"/>
        </w:rPr>
        <w:t xml:space="preserve">، باب الخمس، في بيان أن الخمس في الغنائم خاصة وبيانه لما تشمله كلمة </w:t>
      </w:r>
      <w:r w:rsidRPr="00563AE6">
        <w:rPr>
          <w:rFonts w:cs="mylotus"/>
          <w:sz w:val="23"/>
          <w:szCs w:val="23"/>
          <w:rtl/>
          <w:lang w:bidi="ar-SY"/>
        </w:rPr>
        <w:t>«</w:t>
      </w:r>
      <w:r w:rsidRPr="00563AE6">
        <w:rPr>
          <w:rFonts w:cs="mylotus" w:hint="cs"/>
          <w:sz w:val="23"/>
          <w:szCs w:val="23"/>
          <w:rtl/>
          <w:lang w:bidi="ar-SY"/>
        </w:rPr>
        <w:t>الغنائم</w:t>
      </w:r>
      <w:r w:rsidRPr="00563AE6">
        <w:rPr>
          <w:rFonts w:cs="mylotus"/>
          <w:sz w:val="23"/>
          <w:szCs w:val="23"/>
          <w:rtl/>
          <w:lang w:bidi="ar-SY"/>
        </w:rPr>
        <w:t>»</w:t>
      </w:r>
      <w:r w:rsidRPr="00563AE6">
        <w:rPr>
          <w:rFonts w:cs="mylotus" w:hint="cs"/>
          <w:sz w:val="23"/>
          <w:szCs w:val="23"/>
          <w:rtl/>
          <w:lang w:bidi="ar-SY"/>
        </w:rPr>
        <w:t>: «</w:t>
      </w:r>
      <w:r w:rsidRPr="00563AE6">
        <w:rPr>
          <w:rFonts w:cs="mylotus"/>
          <w:sz w:val="23"/>
          <w:szCs w:val="23"/>
          <w:rtl/>
          <w:lang w:bidi="ar-SY"/>
        </w:rPr>
        <w:t xml:space="preserve">ويمكن </w:t>
      </w:r>
      <w:r w:rsidRPr="00563AE6">
        <w:rPr>
          <w:rFonts w:cs="mylotus" w:hint="cs"/>
          <w:sz w:val="23"/>
          <w:szCs w:val="23"/>
          <w:rtl/>
          <w:lang w:bidi="ar-SY"/>
        </w:rPr>
        <w:t>أ</w:t>
      </w:r>
      <w:r w:rsidRPr="00563AE6">
        <w:rPr>
          <w:rFonts w:cs="mylotus"/>
          <w:sz w:val="23"/>
          <w:szCs w:val="23"/>
          <w:rtl/>
          <w:lang w:bidi="ar-SY"/>
        </w:rPr>
        <w:t>ن يستدل على ذلك بهذه ال</w:t>
      </w:r>
      <w:r w:rsidRPr="00563AE6">
        <w:rPr>
          <w:rFonts w:cs="mylotus" w:hint="cs"/>
          <w:sz w:val="23"/>
          <w:szCs w:val="23"/>
          <w:rtl/>
          <w:lang w:bidi="ar-SY"/>
        </w:rPr>
        <w:t>آ</w:t>
      </w:r>
      <w:r w:rsidRPr="00563AE6">
        <w:rPr>
          <w:rFonts w:cs="mylotus"/>
          <w:sz w:val="23"/>
          <w:szCs w:val="23"/>
          <w:rtl/>
          <w:lang w:bidi="ar-SY"/>
        </w:rPr>
        <w:t>ية</w:t>
      </w:r>
      <w:r w:rsidRPr="00563AE6">
        <w:rPr>
          <w:rFonts w:cs="mylotus" w:hint="cs"/>
          <w:sz w:val="23"/>
          <w:szCs w:val="23"/>
          <w:rtl/>
          <w:lang w:bidi="ar-SY"/>
        </w:rPr>
        <w:t xml:space="preserve">: [أي آية: </w:t>
      </w:r>
      <w:r w:rsidRPr="00563AE6">
        <w:rPr>
          <w:rFonts w:cs="Traditional Arabic" w:hint="cs"/>
          <w:sz w:val="23"/>
          <w:szCs w:val="23"/>
          <w:rtl/>
          <w:lang w:bidi="ar-SY"/>
        </w:rPr>
        <w:t>﴿</w:t>
      </w:r>
      <w:r w:rsidRPr="00563AE6">
        <w:rPr>
          <w:rFonts w:ascii="KFGQPC Uthmanic Script HAFS" w:cs="KFGQPC Uthmanic Script HAFS" w:hint="eastAsia"/>
          <w:sz w:val="23"/>
          <w:szCs w:val="23"/>
          <w:rtl/>
        </w:rPr>
        <w:t>وَ</w:t>
      </w:r>
      <w:r w:rsidRPr="00563AE6">
        <w:rPr>
          <w:rFonts w:ascii="KFGQPC Uthmanic Script HAFS" w:cs="KFGQPC Uthmanic Script HAFS" w:hint="cs"/>
          <w:sz w:val="23"/>
          <w:szCs w:val="23"/>
          <w:rtl/>
        </w:rPr>
        <w:t>ٱ</w:t>
      </w:r>
      <w:r w:rsidRPr="00563AE6">
        <w:rPr>
          <w:rFonts w:ascii="KFGQPC Uthmanic Script HAFS" w:cs="KFGQPC Uthmanic Script HAFS" w:hint="eastAsia"/>
          <w:sz w:val="23"/>
          <w:szCs w:val="23"/>
          <w:rtl/>
        </w:rPr>
        <w:t>ع</w:t>
      </w:r>
      <w:r w:rsidRPr="00563AE6">
        <w:rPr>
          <w:rFonts w:ascii="KFGQPC Uthmanic Script HAFS" w:cs="KFGQPC Uthmanic Script HAFS" w:hint="cs"/>
          <w:sz w:val="23"/>
          <w:szCs w:val="23"/>
          <w:rtl/>
        </w:rPr>
        <w:t>ۡ</w:t>
      </w:r>
      <w:r w:rsidRPr="00563AE6">
        <w:rPr>
          <w:rFonts w:ascii="KFGQPC Uthmanic Script HAFS" w:cs="KFGQPC Uthmanic Script HAFS" w:hint="eastAsia"/>
          <w:sz w:val="23"/>
          <w:szCs w:val="23"/>
          <w:rtl/>
        </w:rPr>
        <w:t>لَمُو</w:t>
      </w:r>
      <w:r w:rsidRPr="00563AE6">
        <w:rPr>
          <w:rFonts w:ascii="KFGQPC Uthmanic Script HAFS" w:cs="KFGQPC Uthmanic Script HAFS" w:hint="cs"/>
          <w:sz w:val="23"/>
          <w:szCs w:val="23"/>
          <w:rtl/>
        </w:rPr>
        <w:t>ٓ</w:t>
      </w:r>
      <w:r w:rsidRPr="00563AE6">
        <w:rPr>
          <w:rFonts w:ascii="KFGQPC Uthmanic Script HAFS" w:cs="KFGQPC Uthmanic Script HAFS" w:hint="eastAsia"/>
          <w:sz w:val="23"/>
          <w:szCs w:val="23"/>
          <w:rtl/>
        </w:rPr>
        <w:t>اْ</w:t>
      </w:r>
      <w:r w:rsidRPr="00563AE6">
        <w:rPr>
          <w:rFonts w:ascii="KFGQPC Uthmanic Script HAFS" w:cs="KFGQPC Uthmanic Script HAFS"/>
          <w:sz w:val="23"/>
          <w:szCs w:val="23"/>
          <w:rtl/>
        </w:rPr>
        <w:t xml:space="preserve"> </w:t>
      </w:r>
      <w:r w:rsidRPr="00563AE6">
        <w:rPr>
          <w:rFonts w:ascii="KFGQPC Uthmanic Script HAFS" w:cs="KFGQPC Uthmanic Script HAFS" w:hint="eastAsia"/>
          <w:sz w:val="23"/>
          <w:szCs w:val="23"/>
          <w:rtl/>
        </w:rPr>
        <w:t>أَنَّمَا</w:t>
      </w:r>
      <w:r w:rsidRPr="00563AE6">
        <w:rPr>
          <w:rFonts w:ascii="KFGQPC Uthmanic Script HAFS" w:cs="KFGQPC Uthmanic Script HAFS"/>
          <w:sz w:val="23"/>
          <w:szCs w:val="23"/>
          <w:rtl/>
        </w:rPr>
        <w:t xml:space="preserve"> </w:t>
      </w:r>
      <w:r w:rsidRPr="00563AE6">
        <w:rPr>
          <w:rFonts w:ascii="KFGQPC Uthmanic Script HAFS" w:cs="KFGQPC Uthmanic Script HAFS" w:hint="eastAsia"/>
          <w:sz w:val="23"/>
          <w:szCs w:val="23"/>
          <w:rtl/>
        </w:rPr>
        <w:t>غَنِم</w:t>
      </w:r>
      <w:r w:rsidRPr="00563AE6">
        <w:rPr>
          <w:rFonts w:ascii="KFGQPC Uthmanic Script HAFS" w:cs="KFGQPC Uthmanic Script HAFS" w:hint="cs"/>
          <w:sz w:val="23"/>
          <w:szCs w:val="23"/>
          <w:rtl/>
        </w:rPr>
        <w:t>ۡ</w:t>
      </w:r>
      <w:r w:rsidRPr="00563AE6">
        <w:rPr>
          <w:rFonts w:ascii="KFGQPC Uthmanic Script HAFS" w:cs="KFGQPC Uthmanic Script HAFS" w:hint="eastAsia"/>
          <w:sz w:val="23"/>
          <w:szCs w:val="23"/>
          <w:rtl/>
        </w:rPr>
        <w:t>تُم</w:t>
      </w:r>
      <w:r w:rsidRPr="00563AE6">
        <w:rPr>
          <w:rFonts w:ascii="KFGQPC Uthmanic Script HAFS" w:cs="KFGQPC Uthmanic Script HAFS"/>
          <w:sz w:val="23"/>
          <w:szCs w:val="23"/>
          <w:rtl/>
        </w:rPr>
        <w:t xml:space="preserve"> </w:t>
      </w:r>
      <w:r w:rsidRPr="00563AE6">
        <w:rPr>
          <w:rFonts w:ascii="KFGQPC Uthmanic Script HAFS" w:cs="KFGQPC Uthmanic Script HAFS" w:hint="eastAsia"/>
          <w:sz w:val="23"/>
          <w:szCs w:val="23"/>
          <w:rtl/>
        </w:rPr>
        <w:t>مِّن</w:t>
      </w:r>
      <w:r w:rsidRPr="00563AE6">
        <w:rPr>
          <w:rFonts w:ascii="KFGQPC Uthmanic Script HAFS" w:cs="KFGQPC Uthmanic Script HAFS"/>
          <w:sz w:val="23"/>
          <w:szCs w:val="23"/>
          <w:rtl/>
        </w:rPr>
        <w:t xml:space="preserve"> </w:t>
      </w:r>
      <w:r w:rsidRPr="00563AE6">
        <w:rPr>
          <w:rFonts w:ascii="KFGQPC Uthmanic Script HAFS" w:cs="KFGQPC Uthmanic Script HAFS" w:hint="eastAsia"/>
          <w:sz w:val="23"/>
          <w:szCs w:val="23"/>
          <w:rtl/>
        </w:rPr>
        <w:t>شَي</w:t>
      </w:r>
      <w:r w:rsidRPr="00563AE6">
        <w:rPr>
          <w:rFonts w:ascii="KFGQPC Uthmanic Script HAFS" w:cs="KFGQPC Uthmanic Script HAFS" w:hint="cs"/>
          <w:sz w:val="23"/>
          <w:szCs w:val="23"/>
          <w:rtl/>
        </w:rPr>
        <w:t>ۡ</w:t>
      </w:r>
      <w:r w:rsidRPr="00563AE6">
        <w:rPr>
          <w:rFonts w:ascii="KFGQPC Uthmanic Script HAFS" w:cs="KFGQPC Uthmanic Script HAFS" w:hint="eastAsia"/>
          <w:sz w:val="23"/>
          <w:szCs w:val="23"/>
          <w:rtl/>
        </w:rPr>
        <w:t>ء</w:t>
      </w:r>
      <w:r w:rsidRPr="00563AE6">
        <w:rPr>
          <w:rFonts w:ascii="KFGQPC Uthmanic Script HAFS" w:cs="KFGQPC Uthmanic Script HAFS" w:hint="cs"/>
          <w:sz w:val="23"/>
          <w:szCs w:val="23"/>
          <w:rtl/>
        </w:rPr>
        <w:t>ٖ</w:t>
      </w:r>
      <w:r w:rsidRPr="00563AE6">
        <w:rPr>
          <w:rFonts w:ascii="KFGQPC Uthmanic Script HAFS" w:cs="KFGQPC Uthmanic Script HAFS"/>
          <w:sz w:val="23"/>
          <w:szCs w:val="23"/>
          <w:rtl/>
        </w:rPr>
        <w:t xml:space="preserve"> </w:t>
      </w:r>
      <w:r w:rsidRPr="00563AE6">
        <w:rPr>
          <w:rFonts w:ascii="KFGQPC Uthmanic Script HAFS" w:cs="KFGQPC Uthmanic Script HAFS" w:hint="eastAsia"/>
          <w:sz w:val="23"/>
          <w:szCs w:val="23"/>
          <w:rtl/>
        </w:rPr>
        <w:t>فَأَنَّ</w:t>
      </w:r>
      <w:r w:rsidRPr="00563AE6">
        <w:rPr>
          <w:rFonts w:ascii="KFGQPC Uthmanic Script HAFS" w:cs="KFGQPC Uthmanic Script HAFS"/>
          <w:sz w:val="23"/>
          <w:szCs w:val="23"/>
          <w:rtl/>
        </w:rPr>
        <w:t xml:space="preserve"> </w:t>
      </w:r>
      <w:r w:rsidRPr="00563AE6">
        <w:rPr>
          <w:rFonts w:ascii="KFGQPC Uthmanic Script HAFS" w:cs="KFGQPC Uthmanic Script HAFS" w:hint="eastAsia"/>
          <w:sz w:val="23"/>
          <w:szCs w:val="23"/>
          <w:rtl/>
        </w:rPr>
        <w:t>لِلَّهِ</w:t>
      </w:r>
      <w:r w:rsidRPr="00563AE6">
        <w:rPr>
          <w:rFonts w:ascii="KFGQPC Uthmanic Script HAFS" w:cs="KFGQPC Uthmanic Script HAFS"/>
          <w:sz w:val="23"/>
          <w:szCs w:val="23"/>
          <w:rtl/>
        </w:rPr>
        <w:t xml:space="preserve"> </w:t>
      </w:r>
      <w:r w:rsidRPr="00563AE6">
        <w:rPr>
          <w:rFonts w:ascii="KFGQPC Uthmanic Script HAFS" w:cs="KFGQPC Uthmanic Script HAFS" w:hint="eastAsia"/>
          <w:sz w:val="23"/>
          <w:szCs w:val="23"/>
          <w:rtl/>
        </w:rPr>
        <w:t>خُمُسَهُ</w:t>
      </w:r>
      <w:r w:rsidRPr="00563AE6">
        <w:rPr>
          <w:rFonts w:ascii="KFGQPC Uthmanic Script HAFS" w:cs="KFGQPC Uthmanic Script HAFS" w:hint="cs"/>
          <w:sz w:val="23"/>
          <w:szCs w:val="23"/>
          <w:rtl/>
        </w:rPr>
        <w:t>ۥ</w:t>
      </w:r>
      <w:r w:rsidRPr="00563AE6">
        <w:rPr>
          <w:rFonts w:cs="Traditional Arabic" w:hint="cs"/>
          <w:sz w:val="23"/>
          <w:szCs w:val="23"/>
          <w:rtl/>
          <w:lang w:bidi="ar-SY"/>
        </w:rPr>
        <w:t>﴾</w:t>
      </w:r>
      <w:r w:rsidRPr="00563AE6">
        <w:rPr>
          <w:rFonts w:cs="mylotus" w:hint="cs"/>
          <w:sz w:val="23"/>
          <w:szCs w:val="23"/>
          <w:rtl/>
          <w:lang w:bidi="ar-SY"/>
        </w:rPr>
        <w:t xml:space="preserve"> </w:t>
      </w:r>
      <w:r w:rsidRPr="00563AE6">
        <w:rPr>
          <w:rFonts w:cs="mylotus"/>
          <w:sz w:val="23"/>
          <w:szCs w:val="23"/>
          <w:rtl/>
          <w:lang w:bidi="ar-SY"/>
        </w:rPr>
        <w:t>[الأنفال</w:t>
      </w:r>
      <w:r w:rsidRPr="00563AE6">
        <w:rPr>
          <w:rFonts w:cs="mylotus" w:hint="cs"/>
          <w:sz w:val="23"/>
          <w:szCs w:val="23"/>
          <w:rtl/>
          <w:lang w:bidi="ar-SY"/>
        </w:rPr>
        <w:t xml:space="preserve">: </w:t>
      </w:r>
      <w:r w:rsidRPr="00563AE6">
        <w:rPr>
          <w:rFonts w:cs="mylotus"/>
          <w:sz w:val="23"/>
          <w:szCs w:val="23"/>
          <w:rtl/>
          <w:lang w:bidi="ar-SY"/>
        </w:rPr>
        <w:t>41] ف</w:t>
      </w:r>
      <w:r w:rsidRPr="00563AE6">
        <w:rPr>
          <w:rFonts w:cs="mylotus" w:hint="cs"/>
          <w:sz w:val="23"/>
          <w:szCs w:val="23"/>
          <w:rtl/>
          <w:lang w:bidi="ar-SY"/>
        </w:rPr>
        <w:t>إ</w:t>
      </w:r>
      <w:r w:rsidRPr="00563AE6">
        <w:rPr>
          <w:rFonts w:cs="mylotus"/>
          <w:sz w:val="23"/>
          <w:szCs w:val="23"/>
          <w:rtl/>
          <w:lang w:bidi="ar-SY"/>
        </w:rPr>
        <w:t>ن</w:t>
      </w:r>
      <w:r w:rsidRPr="00563AE6">
        <w:rPr>
          <w:rFonts w:cs="mylotus" w:hint="cs"/>
          <w:sz w:val="23"/>
          <w:szCs w:val="23"/>
          <w:rtl/>
          <w:lang w:bidi="ar-SY"/>
        </w:rPr>
        <w:t>َّ</w:t>
      </w:r>
      <w:r w:rsidRPr="00563AE6">
        <w:rPr>
          <w:rFonts w:cs="mylotus"/>
          <w:sz w:val="23"/>
          <w:szCs w:val="23"/>
          <w:rtl/>
          <w:lang w:bidi="ar-SY"/>
        </w:rPr>
        <w:t xml:space="preserve"> في عرف اللغة يطلق</w:t>
      </w:r>
      <w:r w:rsidRPr="00563AE6">
        <w:rPr>
          <w:rFonts w:cs="mylotus" w:hint="cs"/>
          <w:sz w:val="23"/>
          <w:szCs w:val="23"/>
          <w:rtl/>
          <w:lang w:bidi="ar-SY"/>
        </w:rPr>
        <w:t xml:space="preserve"> </w:t>
      </w:r>
      <w:r w:rsidRPr="00563AE6">
        <w:rPr>
          <w:rFonts w:cs="mylotus"/>
          <w:sz w:val="23"/>
          <w:szCs w:val="23"/>
          <w:rtl/>
          <w:lang w:bidi="ar-SY"/>
        </w:rPr>
        <w:t>على جميع ذلك اسم الغنم والغنيمة انتهى</w:t>
      </w:r>
      <w:r w:rsidRPr="00563AE6">
        <w:rPr>
          <w:rFonts w:cs="mylotus" w:hint="cs"/>
          <w:sz w:val="23"/>
          <w:szCs w:val="23"/>
          <w:rtl/>
          <w:lang w:bidi="ar-SY"/>
        </w:rPr>
        <w:t>». ثم يعقب المحقق السبزواري مباشرة فيقول: «وأنكر</w:t>
      </w:r>
      <w:r w:rsidRPr="00563AE6">
        <w:rPr>
          <w:rFonts w:cs="mylotus"/>
          <w:sz w:val="23"/>
          <w:szCs w:val="23"/>
          <w:rtl/>
          <w:lang w:bidi="ar-SY"/>
        </w:rPr>
        <w:t xml:space="preserve"> بعض </w:t>
      </w:r>
      <w:r w:rsidRPr="00563AE6">
        <w:rPr>
          <w:rFonts w:cs="mylotus" w:hint="cs"/>
          <w:sz w:val="23"/>
          <w:szCs w:val="23"/>
          <w:rtl/>
          <w:lang w:bidi="ar-SY"/>
        </w:rPr>
        <w:t>أصحابنا</w:t>
      </w:r>
      <w:r w:rsidRPr="00563AE6">
        <w:rPr>
          <w:rFonts w:cs="mylotus"/>
          <w:sz w:val="23"/>
          <w:szCs w:val="23"/>
          <w:rtl/>
          <w:lang w:bidi="ar-SY"/>
        </w:rPr>
        <w:t xml:space="preserve"> صحة هذه الدعوى</w:t>
      </w:r>
      <w:r w:rsidRPr="00563AE6">
        <w:rPr>
          <w:rFonts w:cs="mylotus" w:hint="cs"/>
          <w:sz w:val="23"/>
          <w:szCs w:val="23"/>
          <w:rtl/>
          <w:lang w:bidi="ar-SY"/>
        </w:rPr>
        <w:t xml:space="preserve"> </w:t>
      </w:r>
      <w:r w:rsidRPr="00563AE6">
        <w:rPr>
          <w:rFonts w:cs="mylotus"/>
          <w:sz w:val="23"/>
          <w:szCs w:val="23"/>
          <w:rtl/>
          <w:lang w:bidi="ar-SY"/>
        </w:rPr>
        <w:t>مدعيا</w:t>
      </w:r>
      <w:r w:rsidRPr="00563AE6">
        <w:rPr>
          <w:rFonts w:cs="mylotus" w:hint="cs"/>
          <w:sz w:val="23"/>
          <w:szCs w:val="23"/>
          <w:rtl/>
          <w:lang w:bidi="ar-SY"/>
        </w:rPr>
        <w:t>ً</w:t>
      </w:r>
      <w:r w:rsidRPr="00563AE6">
        <w:rPr>
          <w:rFonts w:cs="mylotus"/>
          <w:sz w:val="23"/>
          <w:szCs w:val="23"/>
          <w:rtl/>
          <w:lang w:bidi="ar-SY"/>
        </w:rPr>
        <w:t xml:space="preserve"> اتفاق العرف وكلام </w:t>
      </w:r>
      <w:r w:rsidRPr="00563AE6">
        <w:rPr>
          <w:rFonts w:cs="mylotus" w:hint="cs"/>
          <w:sz w:val="23"/>
          <w:szCs w:val="23"/>
          <w:rtl/>
          <w:lang w:bidi="ar-SY"/>
        </w:rPr>
        <w:t>أهل</w:t>
      </w:r>
      <w:r w:rsidRPr="00563AE6">
        <w:rPr>
          <w:rFonts w:cs="mylotus"/>
          <w:sz w:val="23"/>
          <w:szCs w:val="23"/>
          <w:rtl/>
          <w:lang w:bidi="ar-SY"/>
        </w:rPr>
        <w:t xml:space="preserve"> اللغة على خلافها ولعله مت</w:t>
      </w:r>
      <w:r w:rsidRPr="00563AE6">
        <w:rPr>
          <w:rFonts w:cs="mylotus" w:hint="cs"/>
          <w:sz w:val="23"/>
          <w:szCs w:val="23"/>
          <w:rtl/>
          <w:lang w:bidi="ar-SY"/>
        </w:rPr>
        <w:t>َّ</w:t>
      </w:r>
      <w:r w:rsidRPr="00563AE6">
        <w:rPr>
          <w:rFonts w:cs="mylotus"/>
          <w:sz w:val="23"/>
          <w:szCs w:val="23"/>
          <w:rtl/>
          <w:lang w:bidi="ar-SY"/>
        </w:rPr>
        <w:t>جه</w:t>
      </w:r>
      <w:r w:rsidRPr="00563AE6">
        <w:rPr>
          <w:rFonts w:cs="mylotus" w:hint="cs"/>
          <w:sz w:val="23"/>
          <w:szCs w:val="23"/>
          <w:rtl/>
          <w:lang w:bidi="ar-SY"/>
        </w:rPr>
        <w:t xml:space="preserve">ٌ». ومقصوده من بعض أصحابنا الشهيد الثاني صاحب </w:t>
      </w:r>
      <w:r w:rsidRPr="00563AE6">
        <w:rPr>
          <w:rFonts w:cs="mylotus"/>
          <w:sz w:val="23"/>
          <w:szCs w:val="23"/>
          <w:rtl/>
          <w:lang w:bidi="ar-SY"/>
        </w:rPr>
        <w:t>«</w:t>
      </w:r>
      <w:r w:rsidRPr="00563AE6">
        <w:rPr>
          <w:rFonts w:cs="mylotus" w:hint="cs"/>
          <w:sz w:val="23"/>
          <w:szCs w:val="23"/>
          <w:rtl/>
          <w:lang w:bidi="ar-SY"/>
        </w:rPr>
        <w:t>منتقى الجمان</w:t>
      </w:r>
      <w:r w:rsidRPr="00563AE6">
        <w:rPr>
          <w:rFonts w:cs="mylotus"/>
          <w:sz w:val="23"/>
          <w:szCs w:val="23"/>
          <w:rtl/>
          <w:lang w:bidi="ar-SY"/>
        </w:rPr>
        <w:t>»</w:t>
      </w:r>
      <w:r w:rsidRPr="00563AE6">
        <w:rPr>
          <w:rFonts w:cs="mylotus" w:hint="cs"/>
          <w:sz w:val="23"/>
          <w:szCs w:val="23"/>
          <w:rtl/>
          <w:lang w:bidi="ar-SY"/>
        </w:rPr>
        <w:t>.</w:t>
      </w:r>
    </w:p>
    <w:p w:rsidR="00B31118" w:rsidRPr="00563AE6" w:rsidRDefault="00B31118" w:rsidP="00E51696">
      <w:pPr>
        <w:spacing w:line="228" w:lineRule="auto"/>
        <w:ind w:left="737" w:hanging="340"/>
        <w:jc w:val="both"/>
        <w:rPr>
          <w:rFonts w:cs="mylotus" w:hint="cs"/>
          <w:sz w:val="23"/>
          <w:szCs w:val="23"/>
          <w:rtl/>
          <w:lang w:bidi="ar-SY"/>
        </w:rPr>
      </w:pPr>
      <w:r w:rsidRPr="00563AE6">
        <w:rPr>
          <w:rFonts w:cs="mylotus" w:hint="cs"/>
          <w:sz w:val="23"/>
          <w:szCs w:val="23"/>
          <w:rtl/>
          <w:lang w:bidi="ar-SY"/>
        </w:rPr>
        <w:t xml:space="preserve">3- </w:t>
      </w:r>
      <w:r w:rsidRPr="00563AE6">
        <w:rPr>
          <w:rFonts w:cs="mylotus"/>
          <w:sz w:val="23"/>
          <w:szCs w:val="23"/>
          <w:rtl/>
          <w:lang w:bidi="ar-SY"/>
        </w:rPr>
        <w:t>وقال المرحوم «الفاضل الجواد الكاظمي» في «مسالك الأفهام إلى آيات الأحكام» لدى تفسيره لآية الخمس من سورة الأنفال (2، 76 -81):</w:t>
      </w:r>
      <w:r w:rsidRPr="00563AE6">
        <w:rPr>
          <w:rFonts w:cs="mylotus" w:hint="cs"/>
          <w:sz w:val="23"/>
          <w:szCs w:val="23"/>
          <w:rtl/>
          <w:lang w:bidi="ar-SY"/>
        </w:rPr>
        <w:t xml:space="preserve"> «...</w:t>
      </w:r>
      <w:r w:rsidRPr="00563AE6">
        <w:rPr>
          <w:rFonts w:cs="mylotus"/>
          <w:sz w:val="23"/>
          <w:szCs w:val="23"/>
          <w:rtl/>
          <w:lang w:bidi="ar-SY"/>
        </w:rPr>
        <w:t xml:space="preserve">والحقّ أنّ استفادة ذلك </w:t>
      </w:r>
      <w:r w:rsidRPr="00563AE6">
        <w:rPr>
          <w:rFonts w:cs="mylotus" w:hint="cs"/>
          <w:sz w:val="23"/>
          <w:szCs w:val="23"/>
          <w:rtl/>
          <w:lang w:bidi="ar-SY"/>
        </w:rPr>
        <w:t xml:space="preserve">[أي كون الخمس من جميع المكاسب والمنافع] </w:t>
      </w:r>
      <w:r w:rsidRPr="00563AE6">
        <w:rPr>
          <w:rFonts w:cs="mylotus"/>
          <w:sz w:val="23"/>
          <w:szCs w:val="23"/>
          <w:rtl/>
          <w:lang w:bidi="ar-SY"/>
        </w:rPr>
        <w:t>من ظاهر الآية بعيدة بل الظاهر منها كون الغنيمة غنيمة دار الحرب.».</w:t>
      </w:r>
    </w:p>
    <w:p w:rsidR="00B31118" w:rsidRPr="00563AE6" w:rsidRDefault="00B31118" w:rsidP="00E51696">
      <w:pPr>
        <w:spacing w:line="228" w:lineRule="auto"/>
        <w:ind w:left="737" w:hanging="340"/>
        <w:jc w:val="both"/>
        <w:rPr>
          <w:rFonts w:cs="mylotus" w:hint="cs"/>
          <w:sz w:val="23"/>
          <w:szCs w:val="23"/>
          <w:rtl/>
        </w:rPr>
      </w:pPr>
      <w:r w:rsidRPr="00563AE6">
        <w:rPr>
          <w:rFonts w:cs="mylotus" w:hint="cs"/>
          <w:sz w:val="23"/>
          <w:szCs w:val="23"/>
          <w:rtl/>
          <w:lang w:bidi="ar-SY"/>
        </w:rPr>
        <w:t xml:space="preserve">4- </w:t>
      </w:r>
      <w:r w:rsidRPr="00563AE6">
        <w:rPr>
          <w:rFonts w:cs="mylotus"/>
          <w:sz w:val="23"/>
          <w:szCs w:val="23"/>
          <w:rtl/>
          <w:lang w:bidi="ar-SY"/>
        </w:rPr>
        <w:t xml:space="preserve">وقال الطوسي في </w:t>
      </w:r>
      <w:r w:rsidRPr="00563AE6">
        <w:rPr>
          <w:rFonts w:cs="mylotus" w:hint="cs"/>
          <w:sz w:val="23"/>
          <w:szCs w:val="23"/>
          <w:rtl/>
          <w:lang w:bidi="ar-SY"/>
        </w:rPr>
        <w:t xml:space="preserve">تفسيره </w:t>
      </w:r>
      <w:r w:rsidRPr="00563AE6">
        <w:rPr>
          <w:rFonts w:cs="mylotus"/>
          <w:sz w:val="23"/>
          <w:szCs w:val="23"/>
          <w:rtl/>
          <w:lang w:bidi="ar-SY"/>
        </w:rPr>
        <w:t>«</w:t>
      </w:r>
      <w:r w:rsidRPr="00563AE6">
        <w:rPr>
          <w:rFonts w:cs="mylotus" w:hint="cs"/>
          <w:sz w:val="23"/>
          <w:szCs w:val="23"/>
          <w:rtl/>
          <w:lang w:bidi="ar-SY"/>
        </w:rPr>
        <w:t>التبيان</w:t>
      </w:r>
      <w:r w:rsidRPr="00563AE6">
        <w:rPr>
          <w:rFonts w:cs="mylotus"/>
          <w:sz w:val="23"/>
          <w:szCs w:val="23"/>
          <w:rtl/>
          <w:lang w:bidi="ar-SY"/>
        </w:rPr>
        <w:t xml:space="preserve">» </w:t>
      </w:r>
      <w:r w:rsidRPr="00563AE6">
        <w:rPr>
          <w:rFonts w:cs="mylotus" w:hint="cs"/>
          <w:sz w:val="23"/>
          <w:szCs w:val="23"/>
          <w:rtl/>
          <w:lang w:bidi="ar-SY"/>
        </w:rPr>
        <w:t>(</w:t>
      </w:r>
      <w:r w:rsidRPr="00563AE6">
        <w:rPr>
          <w:rFonts w:cs="mylotus"/>
          <w:sz w:val="23"/>
          <w:szCs w:val="23"/>
          <w:rtl/>
          <w:lang w:bidi="ar-SY"/>
        </w:rPr>
        <w:t>ج 9،  ص 548): «والذي نذهب إليه أن مال الفيء غير مال الغنيمة، فالغنيمة كل ما أخذ من دار الحرب بالسيف عنوةً مما يمكن نقله إلى دار الإسلام، وما لا يمكن نقله إلى دار الإسلام، فهو لجميع المسلمين ينظر فيه الإمام ويصرف انتفاعه إلى بيت المال لمصالح المسلمين.».</w:t>
      </w:r>
    </w:p>
    <w:p w:rsidR="00B31118" w:rsidRPr="00563AE6" w:rsidRDefault="00B31118" w:rsidP="00B300C9">
      <w:pPr>
        <w:spacing w:line="228" w:lineRule="auto"/>
        <w:ind w:left="378"/>
        <w:jc w:val="both"/>
        <w:rPr>
          <w:rFonts w:cs="mylotus" w:hint="cs"/>
          <w:sz w:val="23"/>
          <w:szCs w:val="23"/>
          <w:rtl/>
        </w:rPr>
      </w:pPr>
      <w:r w:rsidRPr="00563AE6">
        <w:rPr>
          <w:rFonts w:cs="mylotus" w:hint="cs"/>
          <w:sz w:val="23"/>
          <w:szCs w:val="23"/>
          <w:rtl/>
        </w:rPr>
        <w:t>إذن نتيجة تحقيق أولئك المحققين الكبار والعلماء الأعلام أن الغنائم ليست سوى غنائم الحرب ولا</w:t>
      </w:r>
      <w:r w:rsidRPr="00563AE6">
        <w:rPr>
          <w:rFonts w:cs="Times New Roman" w:hint="cs"/>
          <w:sz w:val="23"/>
          <w:szCs w:val="23"/>
          <w:rtl/>
        </w:rPr>
        <w:t> </w:t>
      </w:r>
      <w:r w:rsidRPr="00563AE6">
        <w:rPr>
          <w:rFonts w:ascii="mylotus" w:hAnsi="mylotus" w:cs="mylotus" w:hint="cs"/>
          <w:sz w:val="23"/>
          <w:szCs w:val="23"/>
          <w:rtl/>
        </w:rPr>
        <w:t>توجد</w:t>
      </w:r>
      <w:r w:rsidRPr="00563AE6">
        <w:rPr>
          <w:rFonts w:cs="mylotus" w:hint="cs"/>
          <w:sz w:val="23"/>
          <w:szCs w:val="23"/>
          <w:rtl/>
        </w:rPr>
        <w:t xml:space="preserve"> </w:t>
      </w:r>
      <w:r w:rsidRPr="00563AE6">
        <w:rPr>
          <w:rFonts w:ascii="mylotus" w:hAnsi="mylotus" w:cs="mylotus" w:hint="cs"/>
          <w:sz w:val="23"/>
          <w:szCs w:val="23"/>
          <w:rtl/>
        </w:rPr>
        <w:t>في</w:t>
      </w:r>
      <w:r w:rsidRPr="00563AE6">
        <w:rPr>
          <w:rFonts w:cs="mylotus" w:hint="cs"/>
          <w:sz w:val="23"/>
          <w:szCs w:val="23"/>
          <w:rtl/>
        </w:rPr>
        <w:t xml:space="preserve"> </w:t>
      </w:r>
      <w:r w:rsidRPr="00563AE6">
        <w:rPr>
          <w:rFonts w:ascii="mylotus" w:hAnsi="mylotus" w:cs="mylotus" w:hint="cs"/>
          <w:sz w:val="23"/>
          <w:szCs w:val="23"/>
          <w:rtl/>
        </w:rPr>
        <w:t>آية</w:t>
      </w:r>
      <w:r w:rsidRPr="00563AE6">
        <w:rPr>
          <w:rFonts w:cs="mylotus" w:hint="cs"/>
          <w:sz w:val="23"/>
          <w:szCs w:val="23"/>
          <w:rtl/>
        </w:rPr>
        <w:t xml:space="preserve"> </w:t>
      </w:r>
      <w:r w:rsidRPr="00563AE6">
        <w:rPr>
          <w:rFonts w:ascii="mylotus" w:hAnsi="mylotus" w:cs="mylotus" w:hint="cs"/>
          <w:sz w:val="23"/>
          <w:szCs w:val="23"/>
          <w:rtl/>
        </w:rPr>
        <w:t>الخمس</w:t>
      </w:r>
      <w:r w:rsidRPr="00563AE6">
        <w:rPr>
          <w:rFonts w:cs="mylotus" w:hint="cs"/>
          <w:sz w:val="23"/>
          <w:szCs w:val="23"/>
          <w:rtl/>
        </w:rPr>
        <w:t xml:space="preserve"> </w:t>
      </w:r>
      <w:r w:rsidRPr="00563AE6">
        <w:rPr>
          <w:rFonts w:ascii="mylotus" w:hAnsi="mylotus" w:cs="mylotus" w:hint="cs"/>
          <w:sz w:val="23"/>
          <w:szCs w:val="23"/>
          <w:rtl/>
        </w:rPr>
        <w:t>أي</w:t>
      </w:r>
      <w:r w:rsidRPr="00563AE6">
        <w:rPr>
          <w:rFonts w:cs="mylotus" w:hint="cs"/>
          <w:sz w:val="23"/>
          <w:szCs w:val="23"/>
          <w:rtl/>
        </w:rPr>
        <w:t xml:space="preserve"> إشارة ولا كناية لشمول الخمس لسائر الأرباح أو المكاسب والأموال فالاستناد إلى هذه الآية والتمسك بها في إيجاب الخمس في جميع الأرباح والمكاسب من غير غنائم دار الحرب تمسك باطل غير صحيح وفي غير محله.</w:t>
      </w:r>
    </w:p>
  </w:footnote>
  <w:footnote w:id="225">
    <w:p w:rsidR="00B31118" w:rsidRPr="00563AE6" w:rsidRDefault="00B31118" w:rsidP="00B300C9">
      <w:pPr>
        <w:spacing w:line="228" w:lineRule="auto"/>
        <w:ind w:left="378" w:hanging="378"/>
        <w:jc w:val="both"/>
        <w:rPr>
          <w:rFonts w:cs="mylotus" w:hint="cs"/>
          <w:sz w:val="23"/>
          <w:szCs w:val="23"/>
          <w:rtl/>
        </w:rPr>
      </w:pPr>
      <w:r w:rsidRPr="00563AE6">
        <w:rPr>
          <w:rFonts w:cs="mylotus"/>
          <w:sz w:val="23"/>
          <w:szCs w:val="23"/>
          <w:rtl/>
        </w:rPr>
        <w:footnoteRef/>
      </w:r>
      <w:r>
        <w:rPr>
          <w:rFonts w:cs="mylotus"/>
          <w:sz w:val="23"/>
          <w:szCs w:val="23"/>
          <w:rtl/>
        </w:rPr>
        <w:t>-</w:t>
      </w:r>
      <w:r w:rsidRPr="00563AE6">
        <w:rPr>
          <w:rFonts w:cs="mylotus"/>
          <w:sz w:val="23"/>
          <w:szCs w:val="23"/>
          <w:rtl/>
        </w:rPr>
        <w:t xml:space="preserve"> </w:t>
      </w:r>
      <w:r w:rsidRPr="00563AE6">
        <w:rPr>
          <w:rFonts w:cs="mylotus" w:hint="cs"/>
          <w:sz w:val="23"/>
          <w:szCs w:val="23"/>
          <w:rtl/>
        </w:rPr>
        <w:t>جاء في الحديث الذي رواه الشيخ الصدوق في كتابه «الخصال»،  باب الخمسة، الفقرة 83-</w:t>
      </w:r>
      <w:r w:rsidRPr="00563AE6">
        <w:rPr>
          <w:rFonts w:cs="mylotus"/>
          <w:sz w:val="23"/>
          <w:szCs w:val="23"/>
          <w:rtl/>
        </w:rPr>
        <w:t xml:space="preserve"> سن عبد المطلب في الجاهلية خمس سنن أجراها الله عز وجل في الإسلام</w:t>
      </w:r>
      <w:r w:rsidRPr="00563AE6">
        <w:rPr>
          <w:rFonts w:cs="mylotus" w:hint="cs"/>
          <w:sz w:val="23"/>
          <w:szCs w:val="23"/>
          <w:rtl/>
        </w:rPr>
        <w:t>: «</w:t>
      </w:r>
      <w:r w:rsidRPr="00563AE6">
        <w:rPr>
          <w:rFonts w:cs="mylotus"/>
          <w:sz w:val="23"/>
          <w:szCs w:val="23"/>
          <w:rtl/>
        </w:rPr>
        <w:t xml:space="preserve">يَا عَلِيُّ إِنَّ عَبْدَ الْمُطَّلِبِ </w:t>
      </w:r>
      <w:r w:rsidRPr="00BC4BA9">
        <w:rPr>
          <w:rFonts w:cs="CTraditional Arabic"/>
          <w:sz w:val="23"/>
          <w:szCs w:val="23"/>
          <w:rtl/>
        </w:rPr>
        <w:t>÷</w:t>
      </w:r>
      <w:r w:rsidRPr="00563AE6">
        <w:rPr>
          <w:rFonts w:cs="mylotus"/>
          <w:sz w:val="23"/>
          <w:szCs w:val="23"/>
          <w:rtl/>
        </w:rPr>
        <w:t xml:space="preserve"> سَنَّ فِي الْجَاهِلِيَّةِ خَمْسَ سُنَنٍ أَجْرَاهَا اللَّهُ عَزَّ وَجَلَّ فِي الْإِسْلَامِ حَرَّمَ نِسَاءَ الْآبَاءِ عَلَى الْأَبْنَاءِ فَأَنْزَلَ </w:t>
      </w:r>
      <w:r w:rsidRPr="004D3535">
        <w:rPr>
          <w:rFonts w:ascii="IRLotus" w:hAnsi="IRLotus" w:cs="IRLotus"/>
          <w:sz w:val="23"/>
          <w:szCs w:val="23"/>
          <w:rtl/>
        </w:rPr>
        <w:t xml:space="preserve">اللَّهُ </w:t>
      </w:r>
      <w:r w:rsidRPr="00563AE6">
        <w:rPr>
          <w:rFonts w:cs="mylotus"/>
          <w:sz w:val="23"/>
          <w:szCs w:val="23"/>
          <w:rtl/>
        </w:rPr>
        <w:t>عَزَّ وَجَلَّ</w:t>
      </w:r>
      <w:r w:rsidRPr="00563AE6">
        <w:rPr>
          <w:rFonts w:cs="mylotus" w:hint="cs"/>
          <w:sz w:val="23"/>
          <w:szCs w:val="23"/>
          <w:rtl/>
        </w:rPr>
        <w:t xml:space="preserve"> </w:t>
      </w:r>
      <w:r w:rsidRPr="00563AE6">
        <w:rPr>
          <w:rFonts w:cs="Traditional Arabic" w:hint="cs"/>
          <w:sz w:val="23"/>
          <w:szCs w:val="23"/>
          <w:rtl/>
        </w:rPr>
        <w:t>﴿</w:t>
      </w:r>
      <w:r w:rsidRPr="00563AE6">
        <w:rPr>
          <w:rFonts w:ascii="KFGQPC Uthmanic Script HAFS" w:cs="KFGQPC Uthmanic Script HAFS" w:hint="eastAsia"/>
          <w:sz w:val="23"/>
          <w:szCs w:val="23"/>
          <w:rtl/>
        </w:rPr>
        <w:t>وَلَا</w:t>
      </w:r>
      <w:r w:rsidRPr="00563AE6">
        <w:rPr>
          <w:rFonts w:ascii="KFGQPC Uthmanic Script HAFS" w:cs="KFGQPC Uthmanic Script HAFS"/>
          <w:sz w:val="23"/>
          <w:szCs w:val="23"/>
          <w:rtl/>
        </w:rPr>
        <w:t xml:space="preserve"> </w:t>
      </w:r>
      <w:r w:rsidRPr="00563AE6">
        <w:rPr>
          <w:rFonts w:ascii="KFGQPC Uthmanic Script HAFS" w:cs="KFGQPC Uthmanic Script HAFS" w:hint="eastAsia"/>
          <w:sz w:val="23"/>
          <w:szCs w:val="23"/>
          <w:rtl/>
        </w:rPr>
        <w:t>تَنكِحُواْ</w:t>
      </w:r>
      <w:r w:rsidRPr="00563AE6">
        <w:rPr>
          <w:rFonts w:ascii="KFGQPC Uthmanic Script HAFS" w:cs="KFGQPC Uthmanic Script HAFS"/>
          <w:sz w:val="23"/>
          <w:szCs w:val="23"/>
          <w:rtl/>
        </w:rPr>
        <w:t xml:space="preserve"> </w:t>
      </w:r>
      <w:r w:rsidRPr="00563AE6">
        <w:rPr>
          <w:rFonts w:ascii="KFGQPC Uthmanic Script HAFS" w:cs="KFGQPC Uthmanic Script HAFS" w:hint="eastAsia"/>
          <w:sz w:val="23"/>
          <w:szCs w:val="23"/>
          <w:rtl/>
        </w:rPr>
        <w:t>مَا</w:t>
      </w:r>
      <w:r w:rsidRPr="00563AE6">
        <w:rPr>
          <w:rFonts w:ascii="KFGQPC Uthmanic Script HAFS" w:cs="KFGQPC Uthmanic Script HAFS"/>
          <w:sz w:val="23"/>
          <w:szCs w:val="23"/>
          <w:rtl/>
        </w:rPr>
        <w:t xml:space="preserve"> </w:t>
      </w:r>
      <w:r w:rsidRPr="00563AE6">
        <w:rPr>
          <w:rFonts w:ascii="KFGQPC Uthmanic Script HAFS" w:cs="KFGQPC Uthmanic Script HAFS" w:hint="eastAsia"/>
          <w:sz w:val="23"/>
          <w:szCs w:val="23"/>
          <w:rtl/>
        </w:rPr>
        <w:t>نَكَحَ</w:t>
      </w:r>
      <w:r w:rsidRPr="00563AE6">
        <w:rPr>
          <w:rFonts w:ascii="KFGQPC Uthmanic Script HAFS" w:cs="KFGQPC Uthmanic Script HAFS"/>
          <w:sz w:val="23"/>
          <w:szCs w:val="23"/>
          <w:rtl/>
        </w:rPr>
        <w:t xml:space="preserve"> </w:t>
      </w:r>
      <w:r w:rsidRPr="00563AE6">
        <w:rPr>
          <w:rFonts w:ascii="KFGQPC Uthmanic Script HAFS" w:cs="KFGQPC Uthmanic Script HAFS" w:hint="eastAsia"/>
          <w:sz w:val="23"/>
          <w:szCs w:val="23"/>
          <w:rtl/>
        </w:rPr>
        <w:t>ءَابَا</w:t>
      </w:r>
      <w:r w:rsidRPr="00563AE6">
        <w:rPr>
          <w:rFonts w:ascii="KFGQPC Uthmanic Script HAFS" w:cs="KFGQPC Uthmanic Script HAFS" w:hint="cs"/>
          <w:sz w:val="23"/>
          <w:szCs w:val="23"/>
          <w:rtl/>
        </w:rPr>
        <w:t>ٓ</w:t>
      </w:r>
      <w:r w:rsidRPr="00563AE6">
        <w:rPr>
          <w:rFonts w:ascii="KFGQPC Uthmanic Script HAFS" w:cs="KFGQPC Uthmanic Script HAFS" w:hint="eastAsia"/>
          <w:sz w:val="23"/>
          <w:szCs w:val="23"/>
          <w:rtl/>
        </w:rPr>
        <w:t>ؤُكُم</w:t>
      </w:r>
      <w:r w:rsidRPr="00563AE6">
        <w:rPr>
          <w:rFonts w:ascii="KFGQPC Uthmanic Script HAFS" w:cs="KFGQPC Uthmanic Script HAFS"/>
          <w:sz w:val="23"/>
          <w:szCs w:val="23"/>
          <w:rtl/>
        </w:rPr>
        <w:t xml:space="preserve"> </w:t>
      </w:r>
      <w:r w:rsidRPr="00563AE6">
        <w:rPr>
          <w:rFonts w:ascii="KFGQPC Uthmanic Script HAFS" w:cs="KFGQPC Uthmanic Script HAFS" w:hint="eastAsia"/>
          <w:sz w:val="23"/>
          <w:szCs w:val="23"/>
          <w:rtl/>
        </w:rPr>
        <w:t>مِّنَ</w:t>
      </w:r>
      <w:r w:rsidRPr="00563AE6">
        <w:rPr>
          <w:rFonts w:ascii="KFGQPC Uthmanic Script HAFS" w:cs="KFGQPC Uthmanic Script HAFS"/>
          <w:sz w:val="23"/>
          <w:szCs w:val="23"/>
          <w:rtl/>
        </w:rPr>
        <w:t xml:space="preserve"> </w:t>
      </w:r>
      <w:r w:rsidRPr="00563AE6">
        <w:rPr>
          <w:rFonts w:ascii="KFGQPC Uthmanic Script HAFS" w:cs="KFGQPC Uthmanic Script HAFS" w:hint="cs"/>
          <w:sz w:val="23"/>
          <w:szCs w:val="23"/>
          <w:rtl/>
        </w:rPr>
        <w:t>ٱ</w:t>
      </w:r>
      <w:r w:rsidRPr="00563AE6">
        <w:rPr>
          <w:rFonts w:ascii="KFGQPC Uthmanic Script HAFS" w:cs="KFGQPC Uthmanic Script HAFS" w:hint="eastAsia"/>
          <w:sz w:val="23"/>
          <w:szCs w:val="23"/>
          <w:rtl/>
        </w:rPr>
        <w:t>لنِّسَا</w:t>
      </w:r>
      <w:r w:rsidRPr="00563AE6">
        <w:rPr>
          <w:rFonts w:ascii="KFGQPC Uthmanic Script HAFS" w:cs="KFGQPC Uthmanic Script HAFS" w:hint="cs"/>
          <w:sz w:val="23"/>
          <w:szCs w:val="23"/>
          <w:rtl/>
        </w:rPr>
        <w:t>ٓ</w:t>
      </w:r>
      <w:r w:rsidRPr="00563AE6">
        <w:rPr>
          <w:rFonts w:ascii="KFGQPC Uthmanic Script HAFS" w:cs="KFGQPC Uthmanic Script HAFS" w:hint="eastAsia"/>
          <w:sz w:val="23"/>
          <w:szCs w:val="23"/>
          <w:rtl/>
        </w:rPr>
        <w:t>ءِ</w:t>
      </w:r>
      <w:r w:rsidRPr="00563AE6">
        <w:rPr>
          <w:rFonts w:cs="Traditional Arabic" w:hint="cs"/>
          <w:sz w:val="23"/>
          <w:szCs w:val="23"/>
          <w:rtl/>
        </w:rPr>
        <w:t>﴾</w:t>
      </w:r>
      <w:r w:rsidRPr="00563AE6">
        <w:rPr>
          <w:rFonts w:cs="mylotus"/>
          <w:sz w:val="23"/>
          <w:szCs w:val="23"/>
          <w:rtl/>
        </w:rPr>
        <w:t xml:space="preserve"> </w:t>
      </w:r>
      <w:r w:rsidRPr="00563AE6">
        <w:rPr>
          <w:rFonts w:cs="mylotus" w:hint="cs"/>
          <w:sz w:val="23"/>
          <w:szCs w:val="23"/>
          <w:rtl/>
        </w:rPr>
        <w:t xml:space="preserve">(إلى قوله): </w:t>
      </w:r>
      <w:r w:rsidRPr="00563AE6">
        <w:rPr>
          <w:rFonts w:cs="mylotus" w:hint="cs"/>
          <w:sz w:val="23"/>
          <w:szCs w:val="23"/>
          <w:u w:val="single"/>
          <w:rtl/>
        </w:rPr>
        <w:t>و</w:t>
      </w:r>
      <w:r w:rsidRPr="00563AE6">
        <w:rPr>
          <w:rFonts w:cs="mylotus"/>
          <w:sz w:val="23"/>
          <w:szCs w:val="23"/>
          <w:u w:val="single"/>
          <w:rtl/>
        </w:rPr>
        <w:t>وَجَدَ كَنْزاً فَأَخْرَجَ مِنْهُ الخُمُسَ وتَصَدَّقَ بِهِ</w:t>
      </w:r>
      <w:r w:rsidRPr="00563AE6">
        <w:rPr>
          <w:rFonts w:cs="mylotus" w:hint="cs"/>
          <w:sz w:val="23"/>
          <w:szCs w:val="23"/>
          <w:rtl/>
        </w:rPr>
        <w:t>».</w:t>
      </w:r>
    </w:p>
  </w:footnote>
  <w:footnote w:id="226">
    <w:p w:rsidR="00B31118" w:rsidRPr="00563AE6" w:rsidRDefault="00B31118" w:rsidP="00B300C9">
      <w:pPr>
        <w:pStyle w:val="FootnoteText"/>
        <w:spacing w:line="228" w:lineRule="auto"/>
        <w:ind w:left="378" w:hanging="378"/>
        <w:jc w:val="both"/>
        <w:rPr>
          <w:rFonts w:cs="mylotus" w:hint="cs"/>
          <w:sz w:val="23"/>
          <w:szCs w:val="23"/>
          <w:rtl/>
          <w:lang w:bidi="ar-SY"/>
        </w:rPr>
      </w:pPr>
      <w:r w:rsidRPr="00563AE6">
        <w:rPr>
          <w:rStyle w:val="FootnoteReference"/>
          <w:rFonts w:cs="mylotus"/>
          <w:sz w:val="23"/>
          <w:szCs w:val="23"/>
          <w:vertAlign w:val="baseline"/>
          <w:rtl/>
        </w:rPr>
        <w:footnoteRef/>
      </w:r>
      <w:r>
        <w:rPr>
          <w:rFonts w:cs="mylotus"/>
          <w:sz w:val="23"/>
          <w:szCs w:val="23"/>
          <w:rtl/>
        </w:rPr>
        <w:t>-</w:t>
      </w:r>
      <w:r w:rsidRPr="00563AE6">
        <w:rPr>
          <w:rFonts w:cs="mylotus"/>
          <w:sz w:val="23"/>
          <w:szCs w:val="23"/>
          <w:rtl/>
        </w:rPr>
        <w:t xml:space="preserve"> </w:t>
      </w:r>
      <w:r w:rsidRPr="00563AE6">
        <w:rPr>
          <w:rFonts w:cs="mylotus" w:hint="cs"/>
          <w:sz w:val="23"/>
          <w:szCs w:val="23"/>
          <w:rtl/>
        </w:rPr>
        <w:t xml:space="preserve">أي يجب الخمس من ربح المعدن النقي الخالص بعد حذف رأسمال إعداده. </w:t>
      </w:r>
    </w:p>
  </w:footnote>
  <w:footnote w:id="227">
    <w:p w:rsidR="00B31118" w:rsidRPr="00563AE6" w:rsidRDefault="00B31118" w:rsidP="00B300C9">
      <w:pPr>
        <w:spacing w:line="228" w:lineRule="auto"/>
        <w:ind w:left="378" w:hanging="378"/>
        <w:jc w:val="both"/>
        <w:rPr>
          <w:rFonts w:cs="mylotus" w:hint="cs"/>
          <w:sz w:val="23"/>
          <w:szCs w:val="23"/>
          <w:rtl/>
        </w:rPr>
      </w:pPr>
      <w:r w:rsidRPr="00563AE6">
        <w:rPr>
          <w:rFonts w:cs="mylotus"/>
          <w:sz w:val="23"/>
          <w:szCs w:val="23"/>
          <w:rtl/>
        </w:rPr>
        <w:footnoteRef/>
      </w:r>
      <w:r>
        <w:rPr>
          <w:rFonts w:cs="mylotus"/>
          <w:sz w:val="23"/>
          <w:szCs w:val="23"/>
          <w:rtl/>
        </w:rPr>
        <w:t>-</w:t>
      </w:r>
      <w:r w:rsidRPr="00563AE6">
        <w:rPr>
          <w:rFonts w:cs="mylotus" w:hint="cs"/>
          <w:sz w:val="23"/>
          <w:szCs w:val="23"/>
          <w:rtl/>
        </w:rPr>
        <w:t xml:space="preserve"> </w:t>
      </w:r>
      <w:r w:rsidRPr="00563AE6">
        <w:rPr>
          <w:rFonts w:cs="mylotus"/>
          <w:sz w:val="23"/>
          <w:szCs w:val="23"/>
          <w:rtl/>
        </w:rPr>
        <w:t>الكُلَيْنِيّ</w:t>
      </w:r>
      <w:r w:rsidRPr="00563AE6">
        <w:rPr>
          <w:rFonts w:cs="mylotus" w:hint="cs"/>
          <w:sz w:val="23"/>
          <w:szCs w:val="23"/>
          <w:rtl/>
        </w:rPr>
        <w:t>، ا</w:t>
      </w:r>
      <w:r w:rsidRPr="00563AE6">
        <w:rPr>
          <w:rFonts w:cs="mylotus"/>
          <w:sz w:val="23"/>
          <w:szCs w:val="23"/>
          <w:rtl/>
        </w:rPr>
        <w:t>لكافي</w:t>
      </w:r>
      <w:r w:rsidRPr="00563AE6">
        <w:rPr>
          <w:rFonts w:cs="mylotus" w:hint="cs"/>
          <w:sz w:val="23"/>
          <w:szCs w:val="23"/>
          <w:rtl/>
        </w:rPr>
        <w:t xml:space="preserve">، </w:t>
      </w:r>
      <w:r w:rsidRPr="00563AE6">
        <w:rPr>
          <w:rFonts w:cs="mylotus"/>
          <w:sz w:val="23"/>
          <w:szCs w:val="23"/>
          <w:rtl/>
        </w:rPr>
        <w:t>ج1، ص544</w:t>
      </w:r>
      <w:r w:rsidRPr="00563AE6">
        <w:rPr>
          <w:rFonts w:cs="mylotus" w:hint="cs"/>
          <w:sz w:val="23"/>
          <w:szCs w:val="23"/>
          <w:rtl/>
        </w:rPr>
        <w:t>؛</w:t>
      </w:r>
      <w:r w:rsidRPr="00563AE6">
        <w:rPr>
          <w:rFonts w:cs="mylotus"/>
          <w:sz w:val="23"/>
          <w:szCs w:val="23"/>
          <w:rtl/>
        </w:rPr>
        <w:t xml:space="preserve"> الشيخ الطوسي</w:t>
      </w:r>
      <w:r w:rsidRPr="00563AE6">
        <w:rPr>
          <w:rFonts w:cs="mylotus" w:hint="cs"/>
          <w:sz w:val="23"/>
          <w:szCs w:val="23"/>
          <w:rtl/>
        </w:rPr>
        <w:t xml:space="preserve">، </w:t>
      </w:r>
      <w:r w:rsidRPr="00563AE6">
        <w:rPr>
          <w:rFonts w:cs="mylotus"/>
          <w:sz w:val="23"/>
          <w:szCs w:val="23"/>
          <w:rtl/>
        </w:rPr>
        <w:t>تهذيب</w:t>
      </w:r>
      <w:r w:rsidRPr="00563AE6">
        <w:rPr>
          <w:rFonts w:cs="mylotus" w:hint="cs"/>
          <w:sz w:val="23"/>
          <w:szCs w:val="23"/>
          <w:rtl/>
        </w:rPr>
        <w:t xml:space="preserve"> الأحكام، </w:t>
      </w:r>
      <w:r w:rsidRPr="00563AE6">
        <w:rPr>
          <w:rFonts w:cs="mylotus"/>
          <w:sz w:val="23"/>
          <w:szCs w:val="23"/>
          <w:rtl/>
        </w:rPr>
        <w:t>ج4، ص121</w:t>
      </w:r>
      <w:r w:rsidRPr="00563AE6">
        <w:rPr>
          <w:rFonts w:cs="mylotus" w:hint="cs"/>
          <w:sz w:val="23"/>
          <w:szCs w:val="23"/>
          <w:rtl/>
        </w:rPr>
        <w:t>.</w:t>
      </w:r>
    </w:p>
  </w:footnote>
  <w:footnote w:id="228">
    <w:p w:rsidR="00B31118" w:rsidRPr="00563AE6" w:rsidRDefault="00B31118" w:rsidP="00B300C9">
      <w:pPr>
        <w:spacing w:line="228" w:lineRule="auto"/>
        <w:ind w:left="378" w:hanging="378"/>
        <w:jc w:val="both"/>
        <w:rPr>
          <w:rFonts w:cs="mylotus" w:hint="cs"/>
          <w:sz w:val="23"/>
          <w:szCs w:val="23"/>
          <w:rtl/>
        </w:rPr>
      </w:pPr>
      <w:r w:rsidRPr="00563AE6">
        <w:rPr>
          <w:rFonts w:cs="mylotus"/>
          <w:sz w:val="23"/>
          <w:szCs w:val="23"/>
          <w:rtl/>
        </w:rPr>
        <w:footnoteRef/>
      </w:r>
      <w:r>
        <w:rPr>
          <w:rFonts w:cs="mylotus"/>
          <w:sz w:val="23"/>
          <w:szCs w:val="23"/>
          <w:rtl/>
        </w:rPr>
        <w:t>-</w:t>
      </w:r>
      <w:r w:rsidRPr="00563AE6">
        <w:rPr>
          <w:rFonts w:cs="mylotus" w:hint="cs"/>
          <w:sz w:val="23"/>
          <w:szCs w:val="23"/>
          <w:rtl/>
        </w:rPr>
        <w:t xml:space="preserve"> </w:t>
      </w:r>
      <w:r w:rsidRPr="00563AE6">
        <w:rPr>
          <w:rFonts w:cs="mylotus"/>
          <w:sz w:val="23"/>
          <w:szCs w:val="23"/>
          <w:rtl/>
        </w:rPr>
        <w:t>الكُلَيْنِيّ،</w:t>
      </w:r>
      <w:r w:rsidRPr="00563AE6">
        <w:rPr>
          <w:rFonts w:cs="mylotus" w:hint="cs"/>
          <w:sz w:val="23"/>
          <w:szCs w:val="23"/>
          <w:rtl/>
        </w:rPr>
        <w:t xml:space="preserve"> </w:t>
      </w:r>
      <w:r w:rsidRPr="00563AE6">
        <w:rPr>
          <w:rFonts w:cs="mylotus"/>
          <w:sz w:val="23"/>
          <w:szCs w:val="23"/>
          <w:rtl/>
        </w:rPr>
        <w:t>الكافي</w:t>
      </w:r>
      <w:r w:rsidRPr="00563AE6">
        <w:rPr>
          <w:rFonts w:cs="mylotus" w:hint="cs"/>
          <w:sz w:val="23"/>
          <w:szCs w:val="23"/>
          <w:rtl/>
        </w:rPr>
        <w:t xml:space="preserve">، ج </w:t>
      </w:r>
      <w:r w:rsidRPr="00563AE6">
        <w:rPr>
          <w:rFonts w:cs="mylotus"/>
          <w:sz w:val="23"/>
          <w:szCs w:val="23"/>
          <w:rtl/>
        </w:rPr>
        <w:t xml:space="preserve">1، </w:t>
      </w:r>
      <w:r w:rsidRPr="00563AE6">
        <w:rPr>
          <w:rFonts w:cs="mylotus" w:hint="cs"/>
          <w:sz w:val="23"/>
          <w:szCs w:val="23"/>
          <w:rtl/>
        </w:rPr>
        <w:t xml:space="preserve">ص </w:t>
      </w:r>
      <w:r w:rsidRPr="00563AE6">
        <w:rPr>
          <w:rFonts w:cs="mylotus"/>
          <w:sz w:val="23"/>
          <w:szCs w:val="23"/>
          <w:rtl/>
        </w:rPr>
        <w:t>546</w:t>
      </w:r>
      <w:r w:rsidRPr="00563AE6">
        <w:rPr>
          <w:rFonts w:cs="mylotus" w:hint="cs"/>
          <w:sz w:val="23"/>
          <w:szCs w:val="23"/>
          <w:rtl/>
        </w:rPr>
        <w:t>؛</w:t>
      </w:r>
      <w:r w:rsidRPr="00563AE6">
        <w:rPr>
          <w:rFonts w:cs="mylotus"/>
          <w:sz w:val="23"/>
          <w:szCs w:val="23"/>
          <w:rtl/>
        </w:rPr>
        <w:t xml:space="preserve"> </w:t>
      </w:r>
      <w:r w:rsidRPr="00563AE6">
        <w:rPr>
          <w:rFonts w:cs="mylotus" w:hint="cs"/>
          <w:sz w:val="23"/>
          <w:szCs w:val="23"/>
          <w:rtl/>
        </w:rPr>
        <w:t xml:space="preserve">الشيخ </w:t>
      </w:r>
      <w:r w:rsidRPr="00563AE6">
        <w:rPr>
          <w:rFonts w:cs="mylotus"/>
          <w:sz w:val="23"/>
          <w:szCs w:val="23"/>
          <w:rtl/>
        </w:rPr>
        <w:t>الصدوق</w:t>
      </w:r>
      <w:r w:rsidRPr="00563AE6">
        <w:rPr>
          <w:rFonts w:cs="mylotus" w:hint="cs"/>
          <w:sz w:val="23"/>
          <w:szCs w:val="23"/>
          <w:rtl/>
        </w:rPr>
        <w:t xml:space="preserve">، </w:t>
      </w:r>
      <w:r w:rsidRPr="00563AE6">
        <w:rPr>
          <w:rFonts w:cs="mylotus"/>
          <w:sz w:val="23"/>
          <w:szCs w:val="23"/>
          <w:rtl/>
        </w:rPr>
        <w:t>من لا يحضره الفقيه</w:t>
      </w:r>
      <w:r w:rsidRPr="00563AE6">
        <w:rPr>
          <w:rFonts w:cs="mylotus" w:hint="cs"/>
          <w:sz w:val="23"/>
          <w:szCs w:val="23"/>
          <w:rtl/>
        </w:rPr>
        <w:t>، ج</w:t>
      </w:r>
      <w:r w:rsidRPr="00563AE6">
        <w:rPr>
          <w:rFonts w:cs="mylotus"/>
          <w:sz w:val="23"/>
          <w:szCs w:val="23"/>
          <w:rtl/>
        </w:rPr>
        <w:t>2،</w:t>
      </w:r>
      <w:r w:rsidRPr="00563AE6">
        <w:rPr>
          <w:rFonts w:cs="mylotus" w:hint="cs"/>
          <w:sz w:val="23"/>
          <w:szCs w:val="23"/>
          <w:rtl/>
        </w:rPr>
        <w:t xml:space="preserve"> ص</w:t>
      </w:r>
      <w:r w:rsidRPr="00563AE6">
        <w:rPr>
          <w:rFonts w:cs="mylotus"/>
          <w:sz w:val="23"/>
          <w:szCs w:val="23"/>
          <w:rtl/>
        </w:rPr>
        <w:t xml:space="preserve"> 39</w:t>
      </w:r>
      <w:r w:rsidRPr="00563AE6">
        <w:rPr>
          <w:rFonts w:cs="mylotus" w:hint="cs"/>
          <w:sz w:val="23"/>
          <w:szCs w:val="23"/>
          <w:rtl/>
        </w:rPr>
        <w:t>؛</w:t>
      </w:r>
      <w:r w:rsidRPr="00563AE6">
        <w:rPr>
          <w:rFonts w:cs="mylotus"/>
          <w:sz w:val="23"/>
          <w:szCs w:val="23"/>
          <w:rtl/>
        </w:rPr>
        <w:t xml:space="preserve"> الشيخ الطوسي</w:t>
      </w:r>
      <w:r w:rsidRPr="00563AE6">
        <w:rPr>
          <w:rFonts w:cs="mylotus" w:hint="cs"/>
          <w:sz w:val="23"/>
          <w:szCs w:val="23"/>
          <w:rtl/>
        </w:rPr>
        <w:t xml:space="preserve">، </w:t>
      </w:r>
      <w:r w:rsidRPr="00563AE6">
        <w:rPr>
          <w:rFonts w:cs="mylotus"/>
          <w:sz w:val="23"/>
          <w:szCs w:val="23"/>
          <w:rtl/>
        </w:rPr>
        <w:t>تهذيب</w:t>
      </w:r>
      <w:r w:rsidRPr="00563AE6">
        <w:rPr>
          <w:rFonts w:cs="mylotus" w:hint="cs"/>
          <w:sz w:val="23"/>
          <w:szCs w:val="23"/>
          <w:rtl/>
        </w:rPr>
        <w:t xml:space="preserve"> الأحكام، ج </w:t>
      </w:r>
      <w:r w:rsidRPr="00563AE6">
        <w:rPr>
          <w:rFonts w:cs="mylotus"/>
          <w:sz w:val="23"/>
          <w:szCs w:val="23"/>
          <w:rtl/>
        </w:rPr>
        <w:t xml:space="preserve">4، </w:t>
      </w:r>
      <w:r w:rsidRPr="00563AE6">
        <w:rPr>
          <w:rFonts w:cs="mylotus" w:hint="cs"/>
          <w:sz w:val="23"/>
          <w:szCs w:val="23"/>
          <w:rtl/>
        </w:rPr>
        <w:t xml:space="preserve">ص </w:t>
      </w:r>
      <w:r w:rsidRPr="00563AE6">
        <w:rPr>
          <w:rFonts w:cs="mylotus"/>
          <w:sz w:val="23"/>
          <w:szCs w:val="23"/>
          <w:rtl/>
        </w:rPr>
        <w:t>124</w:t>
      </w:r>
      <w:r w:rsidRPr="00563AE6">
        <w:rPr>
          <w:rFonts w:cs="mylotus" w:hint="cs"/>
          <w:sz w:val="23"/>
          <w:szCs w:val="23"/>
          <w:rtl/>
        </w:rPr>
        <w:t>.</w:t>
      </w:r>
    </w:p>
  </w:footnote>
  <w:footnote w:id="229">
    <w:p w:rsidR="00B31118" w:rsidRPr="00563AE6" w:rsidRDefault="00B31118" w:rsidP="00B300C9">
      <w:pPr>
        <w:spacing w:line="228" w:lineRule="auto"/>
        <w:ind w:left="378" w:hanging="378"/>
        <w:jc w:val="both"/>
        <w:rPr>
          <w:rFonts w:cs="mylotus" w:hint="cs"/>
          <w:sz w:val="23"/>
          <w:szCs w:val="23"/>
          <w:rtl/>
        </w:rPr>
      </w:pPr>
      <w:r w:rsidRPr="00563AE6">
        <w:rPr>
          <w:rFonts w:cs="mylotus"/>
          <w:sz w:val="23"/>
          <w:szCs w:val="23"/>
          <w:rtl/>
        </w:rPr>
        <w:footnoteRef/>
      </w:r>
      <w:r>
        <w:rPr>
          <w:rFonts w:cs="mylotus"/>
          <w:sz w:val="23"/>
          <w:szCs w:val="23"/>
          <w:rtl/>
        </w:rPr>
        <w:t>-</w:t>
      </w:r>
      <w:r w:rsidRPr="00563AE6">
        <w:rPr>
          <w:rFonts w:cs="mylotus"/>
          <w:sz w:val="23"/>
          <w:szCs w:val="23"/>
          <w:rtl/>
        </w:rPr>
        <w:t xml:space="preserve"> </w:t>
      </w:r>
      <w:r w:rsidRPr="00563AE6">
        <w:rPr>
          <w:rFonts w:cs="mylotus" w:hint="cs"/>
          <w:sz w:val="23"/>
          <w:szCs w:val="23"/>
          <w:rtl/>
        </w:rPr>
        <w:t xml:space="preserve">الصدوق، من لا يحضره الفقيه، </w:t>
      </w:r>
      <w:r w:rsidRPr="00563AE6">
        <w:rPr>
          <w:rFonts w:cs="mylotus"/>
          <w:sz w:val="23"/>
          <w:szCs w:val="23"/>
          <w:rtl/>
        </w:rPr>
        <w:t>ج 2</w:t>
      </w:r>
      <w:r w:rsidRPr="00563AE6">
        <w:rPr>
          <w:rFonts w:cs="mylotus" w:hint="cs"/>
          <w:sz w:val="23"/>
          <w:szCs w:val="23"/>
          <w:rtl/>
        </w:rPr>
        <w:t xml:space="preserve">، </w:t>
      </w:r>
      <w:r w:rsidRPr="00563AE6">
        <w:rPr>
          <w:rFonts w:cs="mylotus"/>
          <w:sz w:val="23"/>
          <w:szCs w:val="23"/>
          <w:rtl/>
        </w:rPr>
        <w:t>ص 43</w:t>
      </w:r>
      <w:r w:rsidRPr="00563AE6">
        <w:rPr>
          <w:rFonts w:cs="mylotus" w:hint="cs"/>
          <w:sz w:val="23"/>
          <w:szCs w:val="23"/>
          <w:rtl/>
        </w:rPr>
        <w:t>.</w:t>
      </w:r>
    </w:p>
  </w:footnote>
  <w:footnote w:id="230">
    <w:p w:rsidR="00B31118" w:rsidRPr="00563AE6" w:rsidRDefault="00B31118" w:rsidP="00B300C9">
      <w:pPr>
        <w:spacing w:line="228" w:lineRule="auto"/>
        <w:ind w:left="378" w:hanging="378"/>
        <w:jc w:val="both"/>
        <w:rPr>
          <w:rFonts w:cs="mylotus" w:hint="cs"/>
          <w:sz w:val="23"/>
          <w:szCs w:val="23"/>
          <w:rtl/>
        </w:rPr>
      </w:pPr>
      <w:r w:rsidRPr="00563AE6">
        <w:rPr>
          <w:rFonts w:cs="mylotus"/>
          <w:sz w:val="23"/>
          <w:szCs w:val="23"/>
          <w:rtl/>
        </w:rPr>
        <w:footnoteRef/>
      </w:r>
      <w:r>
        <w:rPr>
          <w:rFonts w:cs="mylotus"/>
          <w:sz w:val="23"/>
          <w:szCs w:val="23"/>
          <w:rtl/>
        </w:rPr>
        <w:t>-</w:t>
      </w:r>
      <w:r w:rsidRPr="00563AE6">
        <w:rPr>
          <w:rFonts w:cs="mylotus" w:hint="cs"/>
          <w:sz w:val="23"/>
          <w:szCs w:val="23"/>
          <w:rtl/>
        </w:rPr>
        <w:t xml:space="preserve"> الحر العاملي، وسائل الشيعة، طبع قم، ج 9، ص 185. (المُتَرْجِمُ)</w:t>
      </w:r>
    </w:p>
  </w:footnote>
  <w:footnote w:id="231">
    <w:p w:rsidR="00B31118" w:rsidRPr="00563AE6" w:rsidRDefault="00B31118" w:rsidP="00B300C9">
      <w:pPr>
        <w:spacing w:line="228" w:lineRule="auto"/>
        <w:ind w:left="378" w:hanging="378"/>
        <w:jc w:val="both"/>
        <w:rPr>
          <w:rFonts w:cs="mylotus" w:hint="cs"/>
          <w:sz w:val="23"/>
          <w:szCs w:val="23"/>
          <w:rtl/>
        </w:rPr>
      </w:pPr>
      <w:r w:rsidRPr="00563AE6">
        <w:rPr>
          <w:rFonts w:cs="mylotus"/>
          <w:sz w:val="23"/>
          <w:szCs w:val="23"/>
          <w:rtl/>
        </w:rPr>
        <w:footnoteRef/>
      </w:r>
      <w:r>
        <w:rPr>
          <w:rFonts w:cs="mylotus"/>
          <w:sz w:val="23"/>
          <w:szCs w:val="23"/>
          <w:rtl/>
        </w:rPr>
        <w:t>-</w:t>
      </w:r>
      <w:r w:rsidRPr="00563AE6">
        <w:rPr>
          <w:rFonts w:cs="mylotus"/>
          <w:sz w:val="23"/>
          <w:szCs w:val="23"/>
          <w:rtl/>
        </w:rPr>
        <w:t xml:space="preserve"> </w:t>
      </w:r>
      <w:r w:rsidRPr="00563AE6">
        <w:rPr>
          <w:rFonts w:cs="mylotus" w:hint="cs"/>
          <w:sz w:val="23"/>
          <w:szCs w:val="23"/>
          <w:rtl/>
        </w:rPr>
        <w:t xml:space="preserve">الكُلَيْنِيّ، الكافي، ج 2، ص 18. والحديث مشهور أيضاً لدى أهل السنة ولديهم عبارة </w:t>
      </w:r>
      <w:r w:rsidRPr="00563AE6">
        <w:rPr>
          <w:rFonts w:cs="mylotus"/>
          <w:sz w:val="23"/>
          <w:szCs w:val="23"/>
          <w:rtl/>
        </w:rPr>
        <w:t>«</w:t>
      </w:r>
      <w:r w:rsidRPr="00563AE6">
        <w:rPr>
          <w:rFonts w:cs="mylotus" w:hint="cs"/>
          <w:sz w:val="23"/>
          <w:szCs w:val="23"/>
          <w:rtl/>
        </w:rPr>
        <w:t>الشهادتين</w:t>
      </w:r>
      <w:r w:rsidRPr="00563AE6">
        <w:rPr>
          <w:rFonts w:cs="mylotus"/>
          <w:sz w:val="23"/>
          <w:szCs w:val="23"/>
          <w:rtl/>
        </w:rPr>
        <w:t>»</w:t>
      </w:r>
      <w:r w:rsidRPr="00563AE6">
        <w:rPr>
          <w:rFonts w:cs="mylotus" w:hint="cs"/>
          <w:sz w:val="23"/>
          <w:szCs w:val="23"/>
          <w:rtl/>
        </w:rPr>
        <w:t>، بدلاً من كلمة: الولاية. (المُتَرْجِمُ)</w:t>
      </w:r>
    </w:p>
  </w:footnote>
  <w:footnote w:id="232">
    <w:p w:rsidR="00B31118" w:rsidRPr="00563AE6" w:rsidRDefault="00B31118" w:rsidP="00B300C9">
      <w:pPr>
        <w:spacing w:line="228" w:lineRule="auto"/>
        <w:ind w:left="378" w:hanging="378"/>
        <w:jc w:val="both"/>
        <w:rPr>
          <w:rFonts w:cs="mylotus" w:hint="cs"/>
          <w:sz w:val="23"/>
          <w:szCs w:val="23"/>
        </w:rPr>
      </w:pPr>
      <w:r w:rsidRPr="00563AE6">
        <w:rPr>
          <w:rFonts w:cs="mylotus"/>
          <w:sz w:val="23"/>
          <w:szCs w:val="23"/>
          <w:rtl/>
        </w:rPr>
        <w:footnoteRef/>
      </w:r>
      <w:r>
        <w:rPr>
          <w:rFonts w:cs="mylotus"/>
          <w:sz w:val="23"/>
          <w:szCs w:val="23"/>
          <w:rtl/>
        </w:rPr>
        <w:t>-</w:t>
      </w:r>
      <w:r w:rsidRPr="00563AE6">
        <w:rPr>
          <w:rFonts w:cs="mylotus"/>
          <w:sz w:val="23"/>
          <w:szCs w:val="23"/>
          <w:rtl/>
        </w:rPr>
        <w:t xml:space="preserve"> </w:t>
      </w:r>
      <w:r w:rsidRPr="00563AE6">
        <w:rPr>
          <w:rFonts w:cs="mylotus" w:hint="cs"/>
          <w:sz w:val="23"/>
          <w:szCs w:val="23"/>
          <w:rtl/>
        </w:rPr>
        <w:t xml:space="preserve">الإمام مالك، الموطأ، كتاب الزكاة، باب الزكاة في المعادن، حديث 548. </w:t>
      </w:r>
      <w:r w:rsidRPr="00563AE6">
        <w:rPr>
          <w:rFonts w:cs="mylotus"/>
          <w:sz w:val="23"/>
          <w:szCs w:val="23"/>
          <w:rtl/>
        </w:rPr>
        <w:t>(المُتَرْجِمُ)</w:t>
      </w:r>
    </w:p>
  </w:footnote>
  <w:footnote w:id="233">
    <w:p w:rsidR="00B31118" w:rsidRPr="00563AE6" w:rsidRDefault="00B31118" w:rsidP="00B300C9">
      <w:pPr>
        <w:spacing w:line="228" w:lineRule="auto"/>
        <w:ind w:left="378" w:hanging="378"/>
        <w:jc w:val="both"/>
        <w:rPr>
          <w:rFonts w:cs="mylotus" w:hint="cs"/>
          <w:sz w:val="23"/>
          <w:szCs w:val="23"/>
          <w:rtl/>
        </w:rPr>
      </w:pPr>
      <w:r w:rsidRPr="00563AE6">
        <w:rPr>
          <w:rFonts w:cs="mylotus"/>
          <w:sz w:val="23"/>
          <w:szCs w:val="23"/>
          <w:rtl/>
        </w:rPr>
        <w:footnoteRef/>
      </w:r>
      <w:r>
        <w:rPr>
          <w:rFonts w:cs="mylotus"/>
          <w:sz w:val="23"/>
          <w:szCs w:val="23"/>
          <w:rtl/>
        </w:rPr>
        <w:t>-</w:t>
      </w:r>
      <w:r w:rsidRPr="00563AE6">
        <w:rPr>
          <w:rFonts w:cs="mylotus" w:hint="cs"/>
          <w:sz w:val="23"/>
          <w:szCs w:val="23"/>
          <w:rtl/>
        </w:rPr>
        <w:t xml:space="preserve"> </w:t>
      </w:r>
      <w:r w:rsidRPr="00563AE6">
        <w:rPr>
          <w:rFonts w:cs="mylotus"/>
          <w:sz w:val="23"/>
          <w:szCs w:val="23"/>
          <w:rtl/>
        </w:rPr>
        <w:t>الشيخ الطوسي</w:t>
      </w:r>
      <w:r w:rsidRPr="00563AE6">
        <w:rPr>
          <w:rFonts w:cs="mylotus" w:hint="cs"/>
          <w:sz w:val="23"/>
          <w:szCs w:val="23"/>
          <w:rtl/>
        </w:rPr>
        <w:t xml:space="preserve">، </w:t>
      </w:r>
      <w:r w:rsidRPr="00563AE6">
        <w:rPr>
          <w:rFonts w:cs="mylotus"/>
          <w:sz w:val="23"/>
          <w:szCs w:val="23"/>
          <w:rtl/>
        </w:rPr>
        <w:t>تهذيب</w:t>
      </w:r>
      <w:r w:rsidRPr="00563AE6">
        <w:rPr>
          <w:rFonts w:cs="mylotus" w:hint="cs"/>
          <w:sz w:val="23"/>
          <w:szCs w:val="23"/>
          <w:rtl/>
        </w:rPr>
        <w:t xml:space="preserve"> الأحكام،</w:t>
      </w:r>
      <w:r w:rsidRPr="00563AE6">
        <w:rPr>
          <w:rFonts w:cs="mylotus"/>
          <w:sz w:val="23"/>
          <w:szCs w:val="23"/>
          <w:rtl/>
        </w:rPr>
        <w:t xml:space="preserve"> </w:t>
      </w:r>
      <w:r w:rsidRPr="00563AE6">
        <w:rPr>
          <w:rFonts w:cs="mylotus" w:hint="cs"/>
          <w:sz w:val="23"/>
          <w:szCs w:val="23"/>
          <w:rtl/>
        </w:rPr>
        <w:t>ج</w:t>
      </w:r>
      <w:r w:rsidRPr="00563AE6">
        <w:rPr>
          <w:rFonts w:cs="mylotus"/>
          <w:sz w:val="23"/>
          <w:szCs w:val="23"/>
          <w:rtl/>
        </w:rPr>
        <w:t>4،</w:t>
      </w:r>
      <w:r w:rsidRPr="00563AE6">
        <w:rPr>
          <w:rFonts w:cs="mylotus" w:hint="cs"/>
          <w:sz w:val="23"/>
          <w:szCs w:val="23"/>
          <w:rtl/>
        </w:rPr>
        <w:t xml:space="preserve"> ص</w:t>
      </w:r>
      <w:r w:rsidRPr="00563AE6">
        <w:rPr>
          <w:rFonts w:cs="mylotus"/>
          <w:sz w:val="23"/>
          <w:szCs w:val="23"/>
          <w:rtl/>
        </w:rPr>
        <w:t xml:space="preserve"> 138-139</w:t>
      </w:r>
      <w:r w:rsidRPr="00563AE6">
        <w:rPr>
          <w:rFonts w:cs="mylotus" w:hint="cs"/>
          <w:sz w:val="23"/>
          <w:szCs w:val="23"/>
          <w:rtl/>
        </w:rPr>
        <w:t>.</w:t>
      </w:r>
    </w:p>
  </w:footnote>
  <w:footnote w:id="234">
    <w:p w:rsidR="00B31118" w:rsidRPr="00563AE6" w:rsidRDefault="00B31118" w:rsidP="00B300C9">
      <w:pPr>
        <w:spacing w:line="228" w:lineRule="auto"/>
        <w:ind w:left="378" w:hanging="378"/>
        <w:jc w:val="both"/>
        <w:rPr>
          <w:rFonts w:cs="mylotus" w:hint="cs"/>
          <w:sz w:val="23"/>
          <w:szCs w:val="23"/>
          <w:rtl/>
        </w:rPr>
      </w:pPr>
      <w:r w:rsidRPr="00563AE6">
        <w:rPr>
          <w:rFonts w:cs="mylotus"/>
          <w:sz w:val="23"/>
          <w:szCs w:val="23"/>
          <w:rtl/>
        </w:rPr>
        <w:footnoteRef/>
      </w:r>
      <w:r>
        <w:rPr>
          <w:rFonts w:cs="mylotus"/>
          <w:sz w:val="23"/>
          <w:szCs w:val="23"/>
          <w:rtl/>
        </w:rPr>
        <w:t>-</w:t>
      </w:r>
      <w:r w:rsidRPr="00563AE6">
        <w:rPr>
          <w:rFonts w:cs="mylotus"/>
          <w:sz w:val="23"/>
          <w:szCs w:val="23"/>
          <w:rtl/>
        </w:rPr>
        <w:t xml:space="preserve"> </w:t>
      </w:r>
      <w:r w:rsidRPr="00563AE6">
        <w:rPr>
          <w:rFonts w:cs="mylotus" w:hint="cs"/>
          <w:sz w:val="23"/>
          <w:szCs w:val="23"/>
          <w:rtl/>
        </w:rPr>
        <w:t xml:space="preserve">الحرّ العاملي، وسائل الشيعة، ج9، ص 497. </w:t>
      </w:r>
      <w:r w:rsidRPr="00563AE6">
        <w:rPr>
          <w:rFonts w:cs="mylotus"/>
          <w:sz w:val="23"/>
          <w:szCs w:val="23"/>
          <w:rtl/>
        </w:rPr>
        <w:t>(المُتَرْجِمُ)</w:t>
      </w:r>
    </w:p>
  </w:footnote>
  <w:footnote w:id="235">
    <w:p w:rsidR="00B31118" w:rsidRPr="00563AE6" w:rsidRDefault="00B31118" w:rsidP="00B300C9">
      <w:pPr>
        <w:spacing w:line="228" w:lineRule="auto"/>
        <w:ind w:left="378" w:hanging="378"/>
        <w:jc w:val="both"/>
        <w:rPr>
          <w:rFonts w:cs="mylotus" w:hint="cs"/>
          <w:sz w:val="23"/>
          <w:szCs w:val="23"/>
          <w:rtl/>
        </w:rPr>
      </w:pPr>
      <w:r w:rsidRPr="00563AE6">
        <w:rPr>
          <w:rFonts w:cs="mylotus"/>
          <w:sz w:val="23"/>
          <w:szCs w:val="23"/>
          <w:rtl/>
        </w:rPr>
        <w:footnoteRef/>
      </w:r>
      <w:r>
        <w:rPr>
          <w:rFonts w:cs="mylotus"/>
          <w:sz w:val="23"/>
          <w:szCs w:val="23"/>
          <w:rtl/>
        </w:rPr>
        <w:t>-</w:t>
      </w:r>
      <w:r w:rsidRPr="00563AE6">
        <w:rPr>
          <w:rFonts w:cs="mylotus"/>
          <w:sz w:val="23"/>
          <w:szCs w:val="23"/>
          <w:rtl/>
        </w:rPr>
        <w:t xml:space="preserve"> </w:t>
      </w:r>
      <w:r w:rsidRPr="00563AE6">
        <w:rPr>
          <w:rFonts w:cs="mylotus" w:hint="cs"/>
          <w:sz w:val="23"/>
          <w:szCs w:val="23"/>
          <w:rtl/>
        </w:rPr>
        <w:t>قال ابن الأثير في النهاية: «</w:t>
      </w:r>
      <w:r w:rsidRPr="00563AE6">
        <w:rPr>
          <w:rFonts w:cs="mylotus"/>
          <w:sz w:val="23"/>
          <w:szCs w:val="23"/>
          <w:rtl/>
        </w:rPr>
        <w:t>الرِّكاز عند أهل الحِجاز: كُنوز الجاهلية المدْفونة في الأرض وعند أهل العِراق: المعَادِن والقَوْلان تَحْتَمِلُهما اللغة لأنّ كلّاً مِنهما مَرْكوز في الأرض: أي ثابِت</w:t>
      </w:r>
      <w:r w:rsidRPr="00563AE6">
        <w:rPr>
          <w:rFonts w:cs="mylotus" w:hint="cs"/>
          <w:sz w:val="23"/>
          <w:szCs w:val="23"/>
          <w:rtl/>
        </w:rPr>
        <w:t xml:space="preserve">». </w:t>
      </w:r>
    </w:p>
  </w:footnote>
  <w:footnote w:id="236">
    <w:p w:rsidR="00B31118" w:rsidRPr="00563AE6" w:rsidRDefault="00B31118" w:rsidP="00B300C9">
      <w:pPr>
        <w:spacing w:line="228" w:lineRule="auto"/>
        <w:ind w:left="378" w:hanging="378"/>
        <w:jc w:val="both"/>
        <w:rPr>
          <w:rFonts w:cs="mylotus" w:hint="cs"/>
          <w:sz w:val="23"/>
          <w:szCs w:val="23"/>
        </w:rPr>
      </w:pPr>
      <w:r w:rsidRPr="00563AE6">
        <w:rPr>
          <w:rFonts w:cs="mylotus"/>
          <w:sz w:val="23"/>
          <w:szCs w:val="23"/>
          <w:rtl/>
        </w:rPr>
        <w:footnoteRef/>
      </w:r>
      <w:r>
        <w:rPr>
          <w:rFonts w:cs="mylotus"/>
          <w:sz w:val="23"/>
          <w:szCs w:val="23"/>
          <w:rtl/>
        </w:rPr>
        <w:t>-</w:t>
      </w:r>
      <w:r w:rsidRPr="00563AE6">
        <w:rPr>
          <w:rFonts w:cs="mylotus" w:hint="cs"/>
          <w:sz w:val="23"/>
          <w:szCs w:val="23"/>
          <w:rtl/>
        </w:rPr>
        <w:t xml:space="preserve"> </w:t>
      </w:r>
      <w:r w:rsidRPr="00563AE6">
        <w:rPr>
          <w:rFonts w:cs="mylotus"/>
          <w:sz w:val="23"/>
          <w:szCs w:val="23"/>
          <w:rtl/>
        </w:rPr>
        <w:t xml:space="preserve">أبو يوسف (113 </w:t>
      </w:r>
      <w:r w:rsidRPr="00563AE6">
        <w:rPr>
          <w:rFonts w:cs="Times New Roman" w:hint="cs"/>
          <w:sz w:val="23"/>
          <w:szCs w:val="23"/>
          <w:rtl/>
        </w:rPr>
        <w:t>–</w:t>
      </w:r>
      <w:r w:rsidRPr="00563AE6">
        <w:rPr>
          <w:rFonts w:cs="mylotus"/>
          <w:sz w:val="23"/>
          <w:szCs w:val="23"/>
          <w:rtl/>
        </w:rPr>
        <w:t xml:space="preserve"> 182</w:t>
      </w:r>
      <w:r w:rsidRPr="00563AE6">
        <w:rPr>
          <w:rFonts w:ascii="mylotus" w:hAnsi="mylotus" w:cs="mylotus" w:hint="cs"/>
          <w:sz w:val="23"/>
          <w:szCs w:val="23"/>
          <w:rtl/>
        </w:rPr>
        <w:t>هـ</w:t>
      </w:r>
      <w:r w:rsidRPr="00563AE6">
        <w:rPr>
          <w:rFonts w:cs="mylotus"/>
          <w:sz w:val="23"/>
          <w:szCs w:val="23"/>
          <w:rtl/>
        </w:rPr>
        <w:t xml:space="preserve">) </w:t>
      </w:r>
      <w:r w:rsidRPr="00563AE6">
        <w:rPr>
          <w:rFonts w:ascii="mylotus" w:hAnsi="mylotus" w:cs="mylotus" w:hint="cs"/>
          <w:sz w:val="23"/>
          <w:szCs w:val="23"/>
          <w:rtl/>
        </w:rPr>
        <w:t>يعقوب</w:t>
      </w:r>
      <w:r w:rsidRPr="00563AE6">
        <w:rPr>
          <w:rFonts w:cs="mylotus"/>
          <w:sz w:val="23"/>
          <w:szCs w:val="23"/>
          <w:rtl/>
        </w:rPr>
        <w:t xml:space="preserve"> </w:t>
      </w:r>
      <w:r w:rsidRPr="00563AE6">
        <w:rPr>
          <w:rFonts w:ascii="mylotus" w:hAnsi="mylotus" w:cs="mylotus" w:hint="cs"/>
          <w:sz w:val="23"/>
          <w:szCs w:val="23"/>
          <w:rtl/>
        </w:rPr>
        <w:t>بن</w:t>
      </w:r>
      <w:r w:rsidRPr="00563AE6">
        <w:rPr>
          <w:rFonts w:cs="mylotus"/>
          <w:sz w:val="23"/>
          <w:szCs w:val="23"/>
          <w:rtl/>
        </w:rPr>
        <w:t xml:space="preserve"> </w:t>
      </w:r>
      <w:r w:rsidRPr="00563AE6">
        <w:rPr>
          <w:rFonts w:ascii="mylotus" w:hAnsi="mylotus" w:cs="mylotus" w:hint="cs"/>
          <w:sz w:val="23"/>
          <w:szCs w:val="23"/>
          <w:rtl/>
        </w:rPr>
        <w:t>إبراهيم</w:t>
      </w:r>
      <w:r w:rsidRPr="00563AE6">
        <w:rPr>
          <w:rFonts w:cs="mylotus"/>
          <w:sz w:val="23"/>
          <w:szCs w:val="23"/>
          <w:rtl/>
        </w:rPr>
        <w:t xml:space="preserve"> </w:t>
      </w:r>
      <w:r w:rsidRPr="00563AE6">
        <w:rPr>
          <w:rFonts w:ascii="mylotus" w:hAnsi="mylotus" w:cs="mylotus" w:hint="cs"/>
          <w:sz w:val="23"/>
          <w:szCs w:val="23"/>
          <w:rtl/>
        </w:rPr>
        <w:t>بن</w:t>
      </w:r>
      <w:r w:rsidRPr="00563AE6">
        <w:rPr>
          <w:rFonts w:cs="mylotus"/>
          <w:sz w:val="23"/>
          <w:szCs w:val="23"/>
          <w:rtl/>
        </w:rPr>
        <w:t xml:space="preserve"> </w:t>
      </w:r>
      <w:r w:rsidRPr="00563AE6">
        <w:rPr>
          <w:rFonts w:ascii="mylotus" w:hAnsi="mylotus" w:cs="mylotus" w:hint="cs"/>
          <w:sz w:val="23"/>
          <w:szCs w:val="23"/>
          <w:rtl/>
        </w:rPr>
        <w:t>حبيب</w:t>
      </w:r>
      <w:r w:rsidRPr="00563AE6">
        <w:rPr>
          <w:rFonts w:cs="mylotus"/>
          <w:sz w:val="23"/>
          <w:szCs w:val="23"/>
          <w:rtl/>
        </w:rPr>
        <w:t xml:space="preserve"> </w:t>
      </w:r>
      <w:r w:rsidRPr="00563AE6">
        <w:rPr>
          <w:rFonts w:ascii="mylotus" w:hAnsi="mylotus" w:cs="mylotus" w:hint="cs"/>
          <w:sz w:val="23"/>
          <w:szCs w:val="23"/>
          <w:rtl/>
        </w:rPr>
        <w:t>الأنصاري</w:t>
      </w:r>
      <w:r w:rsidRPr="00563AE6">
        <w:rPr>
          <w:rFonts w:cs="mylotus"/>
          <w:sz w:val="23"/>
          <w:szCs w:val="23"/>
          <w:rtl/>
        </w:rPr>
        <w:t xml:space="preserve"> </w:t>
      </w:r>
      <w:r w:rsidRPr="00563AE6">
        <w:rPr>
          <w:rFonts w:ascii="mylotus" w:hAnsi="mylotus" w:cs="mylotus" w:hint="cs"/>
          <w:sz w:val="23"/>
          <w:szCs w:val="23"/>
          <w:rtl/>
        </w:rPr>
        <w:t>الكوفي</w:t>
      </w:r>
      <w:r w:rsidRPr="00563AE6">
        <w:rPr>
          <w:rFonts w:cs="mylotus"/>
          <w:sz w:val="23"/>
          <w:szCs w:val="23"/>
          <w:rtl/>
        </w:rPr>
        <w:t xml:space="preserve"> </w:t>
      </w:r>
      <w:r w:rsidRPr="00563AE6">
        <w:rPr>
          <w:rFonts w:ascii="mylotus" w:hAnsi="mylotus" w:cs="mylotus" w:hint="cs"/>
          <w:sz w:val="23"/>
          <w:szCs w:val="23"/>
          <w:rtl/>
        </w:rPr>
        <w:t>البغدادي،</w:t>
      </w:r>
      <w:r w:rsidRPr="00563AE6">
        <w:rPr>
          <w:rFonts w:cs="mylotus"/>
          <w:sz w:val="23"/>
          <w:szCs w:val="23"/>
          <w:rtl/>
        </w:rPr>
        <w:t xml:space="preserve"> </w:t>
      </w:r>
      <w:r w:rsidRPr="00563AE6">
        <w:rPr>
          <w:rFonts w:ascii="mylotus" w:hAnsi="mylotus" w:cs="mylotus" w:hint="cs"/>
          <w:sz w:val="23"/>
          <w:szCs w:val="23"/>
          <w:rtl/>
        </w:rPr>
        <w:t>أبو</w:t>
      </w:r>
      <w:r w:rsidRPr="00563AE6">
        <w:rPr>
          <w:rFonts w:cs="mylotus"/>
          <w:sz w:val="23"/>
          <w:szCs w:val="23"/>
          <w:rtl/>
        </w:rPr>
        <w:t xml:space="preserve"> </w:t>
      </w:r>
      <w:r w:rsidRPr="00563AE6">
        <w:rPr>
          <w:rFonts w:ascii="mylotus" w:hAnsi="mylotus" w:cs="mylotus" w:hint="cs"/>
          <w:sz w:val="23"/>
          <w:szCs w:val="23"/>
          <w:rtl/>
        </w:rPr>
        <w:t>يوسف</w:t>
      </w:r>
      <w:r w:rsidRPr="00563AE6">
        <w:rPr>
          <w:rFonts w:cs="mylotus"/>
          <w:sz w:val="23"/>
          <w:szCs w:val="23"/>
          <w:rtl/>
        </w:rPr>
        <w:t xml:space="preserve">: </w:t>
      </w:r>
      <w:r w:rsidRPr="00563AE6">
        <w:rPr>
          <w:rFonts w:ascii="mylotus" w:hAnsi="mylotus" w:cs="mylotus" w:hint="cs"/>
          <w:sz w:val="23"/>
          <w:szCs w:val="23"/>
          <w:rtl/>
        </w:rPr>
        <w:t>صاحب</w:t>
      </w:r>
      <w:r w:rsidRPr="00563AE6">
        <w:rPr>
          <w:rFonts w:cs="mylotus"/>
          <w:sz w:val="23"/>
          <w:szCs w:val="23"/>
          <w:rtl/>
        </w:rPr>
        <w:t xml:space="preserve"> </w:t>
      </w:r>
      <w:r w:rsidRPr="00563AE6">
        <w:rPr>
          <w:rFonts w:ascii="mylotus" w:hAnsi="mylotus" w:cs="mylotus" w:hint="cs"/>
          <w:sz w:val="23"/>
          <w:szCs w:val="23"/>
          <w:rtl/>
        </w:rPr>
        <w:t>الإمام</w:t>
      </w:r>
      <w:r w:rsidRPr="00563AE6">
        <w:rPr>
          <w:rFonts w:cs="mylotus"/>
          <w:sz w:val="23"/>
          <w:szCs w:val="23"/>
          <w:rtl/>
        </w:rPr>
        <w:t xml:space="preserve"> </w:t>
      </w:r>
      <w:r w:rsidRPr="00563AE6">
        <w:rPr>
          <w:rFonts w:ascii="mylotus" w:hAnsi="mylotus" w:cs="mylotus" w:hint="cs"/>
          <w:sz w:val="23"/>
          <w:szCs w:val="23"/>
          <w:rtl/>
        </w:rPr>
        <w:t>أبي</w:t>
      </w:r>
      <w:r w:rsidRPr="00563AE6">
        <w:rPr>
          <w:rFonts w:cs="mylotus"/>
          <w:sz w:val="23"/>
          <w:szCs w:val="23"/>
          <w:rtl/>
        </w:rPr>
        <w:t xml:space="preserve"> </w:t>
      </w:r>
      <w:r w:rsidRPr="00563AE6">
        <w:rPr>
          <w:rFonts w:ascii="mylotus" w:hAnsi="mylotus" w:cs="mylotus" w:hint="cs"/>
          <w:sz w:val="23"/>
          <w:szCs w:val="23"/>
          <w:rtl/>
        </w:rPr>
        <w:t>حنيفة</w:t>
      </w:r>
      <w:r w:rsidRPr="00563AE6">
        <w:rPr>
          <w:rFonts w:cs="mylotus"/>
          <w:sz w:val="23"/>
          <w:szCs w:val="23"/>
          <w:rtl/>
        </w:rPr>
        <w:t xml:space="preserve"> </w:t>
      </w:r>
      <w:r w:rsidRPr="00563AE6">
        <w:rPr>
          <w:rFonts w:ascii="mylotus" w:hAnsi="mylotus" w:cs="mylotus" w:hint="cs"/>
          <w:sz w:val="23"/>
          <w:szCs w:val="23"/>
          <w:rtl/>
        </w:rPr>
        <w:t>وتلميذه،</w:t>
      </w:r>
      <w:r w:rsidRPr="00563AE6">
        <w:rPr>
          <w:rFonts w:cs="mylotus"/>
          <w:sz w:val="23"/>
          <w:szCs w:val="23"/>
          <w:rtl/>
        </w:rPr>
        <w:t xml:space="preserve"> </w:t>
      </w:r>
      <w:r w:rsidRPr="00563AE6">
        <w:rPr>
          <w:rFonts w:ascii="mylotus" w:hAnsi="mylotus" w:cs="mylotus" w:hint="cs"/>
          <w:sz w:val="23"/>
          <w:szCs w:val="23"/>
          <w:rtl/>
        </w:rPr>
        <w:t>وأول</w:t>
      </w:r>
      <w:r w:rsidRPr="00563AE6">
        <w:rPr>
          <w:rFonts w:cs="mylotus"/>
          <w:sz w:val="23"/>
          <w:szCs w:val="23"/>
          <w:rtl/>
        </w:rPr>
        <w:t xml:space="preserve"> </w:t>
      </w:r>
      <w:r w:rsidRPr="00563AE6">
        <w:rPr>
          <w:rFonts w:ascii="mylotus" w:hAnsi="mylotus" w:cs="mylotus" w:hint="cs"/>
          <w:sz w:val="23"/>
          <w:szCs w:val="23"/>
          <w:rtl/>
        </w:rPr>
        <w:t>من</w:t>
      </w:r>
      <w:r w:rsidRPr="00563AE6">
        <w:rPr>
          <w:rFonts w:cs="mylotus"/>
          <w:sz w:val="23"/>
          <w:szCs w:val="23"/>
          <w:rtl/>
        </w:rPr>
        <w:t xml:space="preserve"> </w:t>
      </w:r>
      <w:r w:rsidRPr="00563AE6">
        <w:rPr>
          <w:rFonts w:ascii="mylotus" w:hAnsi="mylotus" w:cs="mylotus" w:hint="cs"/>
          <w:sz w:val="23"/>
          <w:szCs w:val="23"/>
          <w:rtl/>
        </w:rPr>
        <w:t>نشر</w:t>
      </w:r>
      <w:r w:rsidRPr="00563AE6">
        <w:rPr>
          <w:rFonts w:cs="mylotus"/>
          <w:sz w:val="23"/>
          <w:szCs w:val="23"/>
          <w:rtl/>
        </w:rPr>
        <w:t xml:space="preserve"> </w:t>
      </w:r>
      <w:r w:rsidRPr="00563AE6">
        <w:rPr>
          <w:rFonts w:ascii="mylotus" w:hAnsi="mylotus" w:cs="mylotus" w:hint="cs"/>
          <w:sz w:val="23"/>
          <w:szCs w:val="23"/>
          <w:rtl/>
        </w:rPr>
        <w:t>مذهبه</w:t>
      </w:r>
      <w:r w:rsidRPr="00563AE6">
        <w:rPr>
          <w:rFonts w:cs="mylotus"/>
          <w:sz w:val="23"/>
          <w:szCs w:val="23"/>
          <w:rtl/>
        </w:rPr>
        <w:t xml:space="preserve">. </w:t>
      </w:r>
      <w:r w:rsidRPr="00563AE6">
        <w:rPr>
          <w:rFonts w:ascii="mylotus" w:hAnsi="mylotus" w:cs="mylotus" w:hint="cs"/>
          <w:sz w:val="23"/>
          <w:szCs w:val="23"/>
          <w:rtl/>
        </w:rPr>
        <w:t>كان</w:t>
      </w:r>
      <w:r w:rsidRPr="00563AE6">
        <w:rPr>
          <w:rFonts w:cs="mylotus"/>
          <w:sz w:val="23"/>
          <w:szCs w:val="23"/>
          <w:rtl/>
        </w:rPr>
        <w:t xml:space="preserve"> </w:t>
      </w:r>
      <w:r w:rsidRPr="00563AE6">
        <w:rPr>
          <w:rFonts w:ascii="mylotus" w:hAnsi="mylotus" w:cs="mylotus" w:hint="cs"/>
          <w:sz w:val="23"/>
          <w:szCs w:val="23"/>
          <w:rtl/>
        </w:rPr>
        <w:t>فقيهاً</w:t>
      </w:r>
      <w:r w:rsidRPr="00563AE6">
        <w:rPr>
          <w:rFonts w:cs="mylotus"/>
          <w:sz w:val="23"/>
          <w:szCs w:val="23"/>
          <w:rtl/>
        </w:rPr>
        <w:t xml:space="preserve"> </w:t>
      </w:r>
      <w:r w:rsidRPr="00563AE6">
        <w:rPr>
          <w:rFonts w:ascii="mylotus" w:hAnsi="mylotus" w:cs="mylotus" w:hint="cs"/>
          <w:sz w:val="23"/>
          <w:szCs w:val="23"/>
          <w:rtl/>
        </w:rPr>
        <w:t>علامةً،</w:t>
      </w:r>
      <w:r w:rsidRPr="00563AE6">
        <w:rPr>
          <w:rFonts w:cs="mylotus"/>
          <w:sz w:val="23"/>
          <w:szCs w:val="23"/>
          <w:rtl/>
        </w:rPr>
        <w:t xml:space="preserve"> </w:t>
      </w:r>
      <w:r w:rsidRPr="00563AE6">
        <w:rPr>
          <w:rFonts w:ascii="mylotus" w:hAnsi="mylotus" w:cs="mylotus" w:hint="cs"/>
          <w:sz w:val="23"/>
          <w:szCs w:val="23"/>
          <w:rtl/>
        </w:rPr>
        <w:t>من</w:t>
      </w:r>
      <w:r w:rsidRPr="00563AE6">
        <w:rPr>
          <w:rFonts w:cs="mylotus"/>
          <w:sz w:val="23"/>
          <w:szCs w:val="23"/>
          <w:rtl/>
        </w:rPr>
        <w:t xml:space="preserve"> </w:t>
      </w:r>
      <w:r w:rsidRPr="00563AE6">
        <w:rPr>
          <w:rFonts w:ascii="mylotus" w:hAnsi="mylotus" w:cs="mylotus" w:hint="cs"/>
          <w:sz w:val="23"/>
          <w:szCs w:val="23"/>
          <w:rtl/>
        </w:rPr>
        <w:t>حفاظ</w:t>
      </w:r>
      <w:r w:rsidRPr="00563AE6">
        <w:rPr>
          <w:rFonts w:cs="mylotus"/>
          <w:sz w:val="23"/>
          <w:szCs w:val="23"/>
          <w:rtl/>
        </w:rPr>
        <w:t xml:space="preserve"> </w:t>
      </w:r>
      <w:r w:rsidRPr="00563AE6">
        <w:rPr>
          <w:rFonts w:ascii="mylotus" w:hAnsi="mylotus" w:cs="mylotus" w:hint="cs"/>
          <w:sz w:val="23"/>
          <w:szCs w:val="23"/>
          <w:rtl/>
        </w:rPr>
        <w:t>الحديث</w:t>
      </w:r>
      <w:r w:rsidRPr="00563AE6">
        <w:rPr>
          <w:rFonts w:cs="mylotus"/>
          <w:sz w:val="23"/>
          <w:szCs w:val="23"/>
          <w:rtl/>
        </w:rPr>
        <w:t xml:space="preserve">. </w:t>
      </w:r>
      <w:r w:rsidRPr="00563AE6">
        <w:rPr>
          <w:rFonts w:ascii="mylotus" w:hAnsi="mylotus" w:cs="mylotus" w:hint="cs"/>
          <w:sz w:val="23"/>
          <w:szCs w:val="23"/>
          <w:rtl/>
        </w:rPr>
        <w:t>ولد</w:t>
      </w:r>
      <w:r w:rsidRPr="00563AE6">
        <w:rPr>
          <w:rFonts w:cs="mylotus"/>
          <w:sz w:val="23"/>
          <w:szCs w:val="23"/>
          <w:rtl/>
        </w:rPr>
        <w:t xml:space="preserve"> </w:t>
      </w:r>
      <w:r w:rsidRPr="00563AE6">
        <w:rPr>
          <w:rFonts w:ascii="mylotus" w:hAnsi="mylotus" w:cs="mylotus" w:hint="cs"/>
          <w:sz w:val="23"/>
          <w:szCs w:val="23"/>
          <w:rtl/>
        </w:rPr>
        <w:t>بالكوفة،</w:t>
      </w:r>
      <w:r w:rsidRPr="00563AE6">
        <w:rPr>
          <w:rFonts w:cs="mylotus"/>
          <w:sz w:val="23"/>
          <w:szCs w:val="23"/>
          <w:rtl/>
        </w:rPr>
        <w:t xml:space="preserve"> </w:t>
      </w:r>
      <w:r w:rsidRPr="00563AE6">
        <w:rPr>
          <w:rFonts w:ascii="mylotus" w:hAnsi="mylotus" w:cs="mylotus" w:hint="cs"/>
          <w:sz w:val="23"/>
          <w:szCs w:val="23"/>
          <w:rtl/>
        </w:rPr>
        <w:t>وتفقه</w:t>
      </w:r>
      <w:r w:rsidRPr="00563AE6">
        <w:rPr>
          <w:rFonts w:cs="mylotus"/>
          <w:sz w:val="23"/>
          <w:szCs w:val="23"/>
          <w:rtl/>
        </w:rPr>
        <w:t xml:space="preserve"> </w:t>
      </w:r>
      <w:r w:rsidRPr="00563AE6">
        <w:rPr>
          <w:rFonts w:ascii="mylotus" w:hAnsi="mylotus" w:cs="mylotus" w:hint="cs"/>
          <w:sz w:val="23"/>
          <w:szCs w:val="23"/>
          <w:rtl/>
        </w:rPr>
        <w:t>بالحديث</w:t>
      </w:r>
      <w:r w:rsidRPr="00563AE6">
        <w:rPr>
          <w:rFonts w:cs="mylotus"/>
          <w:sz w:val="23"/>
          <w:szCs w:val="23"/>
          <w:rtl/>
        </w:rPr>
        <w:t xml:space="preserve"> والرواية، ثم لزم أبا حنيفة، فغلب عليه "الرأي" وولي القضاء ببغداد أيام المهدي والهادي والرشيد، ومات في خلافته، ببغداد، وهو على القضاء. وهو أول من د</w:t>
      </w:r>
      <w:r w:rsidRPr="00563AE6">
        <w:rPr>
          <w:rFonts w:cs="mylotus" w:hint="cs"/>
          <w:sz w:val="23"/>
          <w:szCs w:val="23"/>
          <w:rtl/>
        </w:rPr>
        <w:t>ُ</w:t>
      </w:r>
      <w:r w:rsidRPr="00563AE6">
        <w:rPr>
          <w:rFonts w:cs="mylotus"/>
          <w:sz w:val="23"/>
          <w:szCs w:val="23"/>
          <w:rtl/>
        </w:rPr>
        <w:t>عي "قاضي القضاة"، وأول من وضع الكتب في أصول الفقه، على مذهب أبي حنيفة. من كتبه «الخراج» و«الآثار» وهو مسند أبي حنيفة، و«أدب القاضي» وغيرها.</w:t>
      </w:r>
      <w:r w:rsidRPr="00563AE6">
        <w:rPr>
          <w:rFonts w:cs="mylotus" w:hint="cs"/>
          <w:sz w:val="23"/>
          <w:szCs w:val="23"/>
          <w:rtl/>
        </w:rPr>
        <w:t xml:space="preserve"> (ملخص من كتاب الأعلام للزركلي). (المُتَرْجِمُ)</w:t>
      </w:r>
    </w:p>
  </w:footnote>
  <w:footnote w:id="237">
    <w:p w:rsidR="00B31118" w:rsidRPr="00563AE6" w:rsidRDefault="00B31118" w:rsidP="00B300C9">
      <w:pPr>
        <w:spacing w:line="228" w:lineRule="auto"/>
        <w:ind w:left="378" w:hanging="378"/>
        <w:jc w:val="both"/>
        <w:rPr>
          <w:rFonts w:cs="mylotus" w:hint="cs"/>
          <w:sz w:val="23"/>
          <w:szCs w:val="23"/>
        </w:rPr>
      </w:pPr>
      <w:r w:rsidRPr="00563AE6">
        <w:rPr>
          <w:rFonts w:cs="mylotus"/>
          <w:sz w:val="23"/>
          <w:szCs w:val="23"/>
          <w:rtl/>
        </w:rPr>
        <w:footnoteRef/>
      </w:r>
      <w:r>
        <w:rPr>
          <w:rFonts w:cs="mylotus"/>
          <w:sz w:val="23"/>
          <w:szCs w:val="23"/>
          <w:rtl/>
        </w:rPr>
        <w:t>-</w:t>
      </w:r>
      <w:r w:rsidRPr="00563AE6">
        <w:rPr>
          <w:rFonts w:cs="mylotus" w:hint="cs"/>
          <w:sz w:val="23"/>
          <w:szCs w:val="23"/>
          <w:rtl/>
        </w:rPr>
        <w:t xml:space="preserve"> أبو يوسف القاضي، الخراج، ص 21.</w:t>
      </w:r>
    </w:p>
  </w:footnote>
  <w:footnote w:id="238">
    <w:p w:rsidR="00B31118" w:rsidRPr="00563AE6" w:rsidRDefault="00B31118" w:rsidP="00B300C9">
      <w:pPr>
        <w:spacing w:line="228" w:lineRule="auto"/>
        <w:ind w:left="378" w:hanging="378"/>
        <w:jc w:val="both"/>
        <w:rPr>
          <w:rFonts w:cs="mylotus" w:hint="cs"/>
          <w:sz w:val="23"/>
          <w:szCs w:val="23"/>
          <w:rtl/>
        </w:rPr>
      </w:pPr>
      <w:r w:rsidRPr="00563AE6">
        <w:rPr>
          <w:rFonts w:cs="mylotus"/>
          <w:sz w:val="23"/>
          <w:szCs w:val="23"/>
          <w:rtl/>
        </w:rPr>
        <w:footnoteRef/>
      </w:r>
      <w:r>
        <w:rPr>
          <w:rFonts w:cs="mylotus"/>
          <w:sz w:val="23"/>
          <w:szCs w:val="23"/>
          <w:rtl/>
        </w:rPr>
        <w:t>-</w:t>
      </w:r>
      <w:r w:rsidRPr="00563AE6">
        <w:rPr>
          <w:rFonts w:cs="mylotus"/>
          <w:sz w:val="23"/>
          <w:szCs w:val="23"/>
          <w:rtl/>
        </w:rPr>
        <w:t xml:space="preserve"> </w:t>
      </w:r>
      <w:r w:rsidRPr="00563AE6">
        <w:rPr>
          <w:rFonts w:cs="mylotus" w:hint="cs"/>
          <w:sz w:val="23"/>
          <w:szCs w:val="23"/>
          <w:rtl/>
        </w:rPr>
        <w:t xml:space="preserve">جاء في </w:t>
      </w:r>
      <w:r w:rsidRPr="00563AE6">
        <w:rPr>
          <w:rFonts w:cs="mylotus"/>
          <w:sz w:val="23"/>
          <w:szCs w:val="23"/>
          <w:rtl/>
        </w:rPr>
        <w:t xml:space="preserve">كتاب «المصنَّف» </w:t>
      </w:r>
      <w:r w:rsidRPr="00563AE6">
        <w:rPr>
          <w:rFonts w:cs="mylotus" w:hint="cs"/>
          <w:sz w:val="23"/>
          <w:szCs w:val="23"/>
          <w:rtl/>
        </w:rPr>
        <w:t>لع</w:t>
      </w:r>
      <w:r w:rsidRPr="00563AE6">
        <w:rPr>
          <w:rFonts w:cs="mylotus"/>
          <w:sz w:val="23"/>
          <w:szCs w:val="23"/>
          <w:rtl/>
        </w:rPr>
        <w:t>بد الرزاق بن همّام الصنعاني</w:t>
      </w:r>
      <w:r w:rsidRPr="00563AE6">
        <w:rPr>
          <w:rFonts w:cs="mylotus" w:hint="cs"/>
          <w:sz w:val="23"/>
          <w:szCs w:val="23"/>
          <w:rtl/>
        </w:rPr>
        <w:t>، الذي أُلِّف في القرن الهجري الثاني، الأحاديث التالية (ج4،  ص116) حول زكاة المعادن:</w:t>
      </w:r>
    </w:p>
    <w:p w:rsidR="00B31118" w:rsidRPr="00563AE6" w:rsidRDefault="00B31118" w:rsidP="00B300C9">
      <w:pPr>
        <w:spacing w:line="228" w:lineRule="auto"/>
        <w:ind w:left="378" w:hanging="378"/>
        <w:jc w:val="both"/>
        <w:rPr>
          <w:rFonts w:cs="mylotus"/>
          <w:sz w:val="23"/>
          <w:szCs w:val="23"/>
          <w:rtl/>
        </w:rPr>
      </w:pPr>
      <w:r w:rsidRPr="00563AE6">
        <w:rPr>
          <w:rFonts w:cs="mylotus" w:hint="cs"/>
          <w:sz w:val="23"/>
          <w:szCs w:val="23"/>
          <w:rtl/>
        </w:rPr>
        <w:t xml:space="preserve">1) </w:t>
      </w:r>
      <w:r w:rsidRPr="00563AE6">
        <w:rPr>
          <w:rFonts w:cs="mylotus"/>
          <w:sz w:val="23"/>
          <w:szCs w:val="23"/>
          <w:rtl/>
        </w:rPr>
        <w:t>7177 - عبد الرزاق عن معمر عن رجل ممن كان يعمل في المعادن زمان عمر بن عبد العزيز عن عمر قال: كانوا يأخذون منا فيما نعالج ونعتمل بأيدينا، من كل مائتي درهم خمسة دراهم، فإذا وجدنا في المعادن الركازة أخذ منا الخمس.</w:t>
      </w:r>
    </w:p>
    <w:p w:rsidR="00B31118" w:rsidRPr="00563AE6" w:rsidRDefault="00B31118" w:rsidP="00B300C9">
      <w:pPr>
        <w:spacing w:line="228" w:lineRule="auto"/>
        <w:ind w:left="378" w:hanging="378"/>
        <w:jc w:val="both"/>
        <w:rPr>
          <w:rFonts w:cs="mylotus"/>
          <w:sz w:val="23"/>
          <w:szCs w:val="23"/>
          <w:rtl/>
        </w:rPr>
      </w:pPr>
      <w:r w:rsidRPr="00563AE6">
        <w:rPr>
          <w:rFonts w:cs="mylotus" w:hint="cs"/>
          <w:sz w:val="23"/>
          <w:szCs w:val="23"/>
          <w:rtl/>
        </w:rPr>
        <w:t xml:space="preserve">2) </w:t>
      </w:r>
      <w:r w:rsidRPr="00563AE6">
        <w:rPr>
          <w:rFonts w:cs="mylotus"/>
          <w:sz w:val="23"/>
          <w:szCs w:val="23"/>
          <w:rtl/>
        </w:rPr>
        <w:t>7178 - عبد الرزاق عن ابن جريج قال: أخبرني أبو الزبير أنه سمع جابر بن عبد الله يقول: ما وجد من غنيمة ففيها الخمس.</w:t>
      </w:r>
    </w:p>
    <w:p w:rsidR="00B31118" w:rsidRPr="00563AE6" w:rsidRDefault="00B31118" w:rsidP="00B300C9">
      <w:pPr>
        <w:spacing w:line="228" w:lineRule="auto"/>
        <w:ind w:left="378" w:hanging="378"/>
        <w:jc w:val="both"/>
        <w:rPr>
          <w:rFonts w:cs="mylotus" w:hint="cs"/>
          <w:sz w:val="23"/>
          <w:szCs w:val="23"/>
          <w:rtl/>
        </w:rPr>
      </w:pPr>
      <w:r w:rsidRPr="00563AE6">
        <w:rPr>
          <w:rFonts w:cs="mylotus" w:hint="cs"/>
          <w:sz w:val="23"/>
          <w:szCs w:val="23"/>
          <w:rtl/>
        </w:rPr>
        <w:t xml:space="preserve">3) </w:t>
      </w:r>
      <w:r w:rsidRPr="00563AE6">
        <w:rPr>
          <w:rFonts w:cs="mylotus"/>
          <w:sz w:val="23"/>
          <w:szCs w:val="23"/>
          <w:rtl/>
        </w:rPr>
        <w:t xml:space="preserve">7179 - عبد الرزاق عن ابن جريج قال: أخبرني جعفر بن محمد أن النبي </w:t>
      </w:r>
      <w:r w:rsidRPr="00BC4BA9">
        <w:rPr>
          <w:rFonts w:cs="CTraditional Arabic"/>
          <w:sz w:val="23"/>
          <w:szCs w:val="23"/>
          <w:rtl/>
        </w:rPr>
        <w:t>ص</w:t>
      </w:r>
      <w:r w:rsidRPr="00563AE6">
        <w:rPr>
          <w:rFonts w:cs="mylotus"/>
          <w:sz w:val="23"/>
          <w:szCs w:val="23"/>
          <w:rtl/>
        </w:rPr>
        <w:t xml:space="preserve"> بعث علي بن أبي طالب إلى ركاز باليمن فخم</w:t>
      </w:r>
      <w:r w:rsidRPr="00563AE6">
        <w:rPr>
          <w:rFonts w:cs="mylotus" w:hint="cs"/>
          <w:sz w:val="23"/>
          <w:szCs w:val="23"/>
          <w:rtl/>
        </w:rPr>
        <w:t>َّ</w:t>
      </w:r>
      <w:r w:rsidRPr="00563AE6">
        <w:rPr>
          <w:rFonts w:cs="mylotus"/>
          <w:sz w:val="23"/>
          <w:szCs w:val="23"/>
          <w:rtl/>
        </w:rPr>
        <w:t>سها.</w:t>
      </w:r>
    </w:p>
    <w:p w:rsidR="00B31118" w:rsidRPr="00563AE6" w:rsidRDefault="00B31118" w:rsidP="00B300C9">
      <w:pPr>
        <w:spacing w:line="228" w:lineRule="auto"/>
        <w:ind w:left="378"/>
        <w:jc w:val="both"/>
        <w:rPr>
          <w:rFonts w:cs="mylotus" w:hint="cs"/>
          <w:sz w:val="23"/>
          <w:szCs w:val="23"/>
          <w:rtl/>
        </w:rPr>
      </w:pPr>
      <w:r w:rsidRPr="00563AE6">
        <w:rPr>
          <w:rFonts w:cs="mylotus" w:hint="cs"/>
          <w:sz w:val="23"/>
          <w:szCs w:val="23"/>
          <w:rtl/>
        </w:rPr>
        <w:t>و في الصفحة 64 من الجزء الرابع من هذا الكتاب وتحت عنوان (باب العنبر*):</w:t>
      </w:r>
    </w:p>
    <w:p w:rsidR="00B31118" w:rsidRPr="00563AE6" w:rsidRDefault="00B31118" w:rsidP="00B300C9">
      <w:pPr>
        <w:spacing w:line="228" w:lineRule="auto"/>
        <w:ind w:left="378"/>
        <w:jc w:val="both"/>
        <w:rPr>
          <w:rFonts w:cs="mylotus" w:hint="cs"/>
          <w:sz w:val="23"/>
          <w:szCs w:val="23"/>
          <w:rtl/>
        </w:rPr>
      </w:pPr>
      <w:r w:rsidRPr="00563AE6">
        <w:rPr>
          <w:rFonts w:cs="mylotus" w:hint="cs"/>
          <w:sz w:val="23"/>
          <w:szCs w:val="23"/>
          <w:rtl/>
        </w:rPr>
        <w:t>«</w:t>
      </w:r>
      <w:r w:rsidRPr="00563AE6">
        <w:rPr>
          <w:rFonts w:cs="mylotus"/>
          <w:sz w:val="23"/>
          <w:szCs w:val="23"/>
          <w:rtl/>
        </w:rPr>
        <w:t>عبد الرزاق عن ابن جريج قال:.. فزعم عروة: أنه قد كتب إلى عمر بن عبد العزيز يسأله عن صدقة العنبر، فزعم عروة أنه كتب إليه اكتب إلي كيف كان أوائل الناس يأخذونه أم كيف كان يؤخذ منهم؟ ثم اكتب إلي قال: إنه قد ثبت عندي إنه كان ينزل بمنزلة الغنيمة فيؤخذ منه الخمس، فزعم عروة أنه كتب إليه: أن خذ الخمس، وادفع ما فضل بعد الخمس إلى من وجده</w:t>
      </w:r>
      <w:r w:rsidRPr="00563AE6">
        <w:rPr>
          <w:rFonts w:cs="mylotus" w:hint="cs"/>
          <w:sz w:val="23"/>
          <w:szCs w:val="23"/>
          <w:rtl/>
        </w:rPr>
        <w:t>». انتهى.</w:t>
      </w:r>
    </w:p>
    <w:p w:rsidR="00B31118" w:rsidRPr="00563AE6" w:rsidRDefault="00B31118" w:rsidP="00B300C9">
      <w:pPr>
        <w:spacing w:line="228" w:lineRule="auto"/>
        <w:ind w:left="378"/>
        <w:jc w:val="both"/>
        <w:rPr>
          <w:rFonts w:cs="mylotus" w:hint="cs"/>
          <w:sz w:val="23"/>
          <w:szCs w:val="23"/>
          <w:rtl/>
        </w:rPr>
      </w:pPr>
      <w:r w:rsidRPr="00563AE6">
        <w:rPr>
          <w:rFonts w:cs="mylotus" w:hint="cs"/>
          <w:sz w:val="23"/>
          <w:szCs w:val="23"/>
          <w:rtl/>
        </w:rPr>
        <w:t xml:space="preserve">[ملاحظة: *العنبر سمكةٌ (حوتٌ) كبيرةٌ جداً وعظيمةٌ </w:t>
      </w:r>
      <w:r w:rsidRPr="00563AE6">
        <w:rPr>
          <w:rFonts w:cs="mylotus"/>
          <w:sz w:val="23"/>
          <w:szCs w:val="23"/>
          <w:rtl/>
        </w:rPr>
        <w:t>يُتَّخذَ من جلده</w:t>
      </w:r>
      <w:r w:rsidRPr="00563AE6">
        <w:rPr>
          <w:rFonts w:cs="mylotus" w:hint="cs"/>
          <w:sz w:val="23"/>
          <w:szCs w:val="23"/>
          <w:rtl/>
        </w:rPr>
        <w:t>ا</w:t>
      </w:r>
      <w:r w:rsidRPr="00563AE6">
        <w:rPr>
          <w:rFonts w:cs="mylotus"/>
          <w:sz w:val="23"/>
          <w:szCs w:val="23"/>
          <w:rtl/>
        </w:rPr>
        <w:t xml:space="preserve"> التّرسُ</w:t>
      </w:r>
      <w:r w:rsidRPr="00563AE6">
        <w:rPr>
          <w:rFonts w:cs="mylotus" w:hint="cs"/>
          <w:sz w:val="23"/>
          <w:szCs w:val="23"/>
          <w:rtl/>
        </w:rPr>
        <w:t>].</w:t>
      </w:r>
    </w:p>
  </w:footnote>
  <w:footnote w:id="239">
    <w:p w:rsidR="00B31118" w:rsidRPr="00563AE6" w:rsidRDefault="00B31118" w:rsidP="00B300C9">
      <w:pPr>
        <w:spacing w:line="228" w:lineRule="auto"/>
        <w:ind w:left="378" w:hanging="378"/>
        <w:jc w:val="both"/>
        <w:rPr>
          <w:rFonts w:cs="mylotus" w:hint="cs"/>
          <w:sz w:val="23"/>
          <w:szCs w:val="23"/>
          <w:rtl/>
        </w:rPr>
      </w:pPr>
      <w:r w:rsidRPr="00563AE6">
        <w:rPr>
          <w:rStyle w:val="FootnoteReference"/>
          <w:rFonts w:cs="mylotus"/>
          <w:sz w:val="23"/>
          <w:szCs w:val="23"/>
          <w:vertAlign w:val="baseline"/>
          <w:rtl/>
        </w:rPr>
        <w:footnoteRef/>
      </w:r>
      <w:r>
        <w:rPr>
          <w:rFonts w:cs="mylotus"/>
          <w:sz w:val="23"/>
          <w:szCs w:val="23"/>
          <w:rtl/>
        </w:rPr>
        <w:t>-</w:t>
      </w:r>
      <w:r w:rsidRPr="00563AE6">
        <w:rPr>
          <w:rFonts w:cs="mylotus" w:hint="cs"/>
          <w:sz w:val="23"/>
          <w:szCs w:val="23"/>
          <w:rtl/>
        </w:rPr>
        <w:t xml:space="preserve"> إضافة إلى ما نقلناه في المتن عن الشافعي، نذكر أيضاً ما قاله في كتابه </w:t>
      </w:r>
      <w:r w:rsidRPr="00563AE6">
        <w:rPr>
          <w:rFonts w:cs="mylotus"/>
          <w:sz w:val="23"/>
          <w:szCs w:val="23"/>
          <w:rtl/>
        </w:rPr>
        <w:t>«</w:t>
      </w:r>
      <w:r w:rsidRPr="00563AE6">
        <w:rPr>
          <w:rFonts w:cs="mylotus" w:hint="cs"/>
          <w:sz w:val="23"/>
          <w:szCs w:val="23"/>
          <w:rtl/>
        </w:rPr>
        <w:t>الأم</w:t>
      </w:r>
      <w:r w:rsidRPr="00563AE6">
        <w:rPr>
          <w:rFonts w:cs="mylotus"/>
          <w:sz w:val="23"/>
          <w:szCs w:val="23"/>
          <w:rtl/>
        </w:rPr>
        <w:t>»</w:t>
      </w:r>
      <w:r w:rsidRPr="00563AE6">
        <w:rPr>
          <w:rFonts w:cs="mylotus" w:hint="cs"/>
          <w:sz w:val="23"/>
          <w:szCs w:val="23"/>
          <w:rtl/>
        </w:rPr>
        <w:t xml:space="preserve"> (ج2، ص38):</w:t>
      </w:r>
    </w:p>
    <w:p w:rsidR="00B31118" w:rsidRPr="00563AE6" w:rsidRDefault="00B31118" w:rsidP="00B300C9">
      <w:pPr>
        <w:spacing w:line="228" w:lineRule="auto"/>
        <w:ind w:left="378"/>
        <w:jc w:val="both"/>
        <w:rPr>
          <w:rFonts w:cs="mylotus" w:hint="cs"/>
          <w:sz w:val="23"/>
          <w:szCs w:val="23"/>
          <w:rtl/>
        </w:rPr>
      </w:pPr>
      <w:r w:rsidRPr="00563AE6">
        <w:rPr>
          <w:rFonts w:cs="mylotus" w:hint="cs"/>
          <w:sz w:val="23"/>
          <w:szCs w:val="23"/>
          <w:rtl/>
        </w:rPr>
        <w:t>«</w:t>
      </w:r>
      <w:r w:rsidRPr="00563AE6">
        <w:rPr>
          <w:rFonts w:cs="mylotus"/>
          <w:sz w:val="23"/>
          <w:szCs w:val="23"/>
          <w:rtl/>
        </w:rPr>
        <w:t>قال الشافعي وإذا وجد الركاز فوجب فيه الخمس فإنما يجب ح</w:t>
      </w:r>
      <w:r w:rsidRPr="00563AE6">
        <w:rPr>
          <w:rFonts w:cs="mylotus" w:hint="cs"/>
          <w:sz w:val="23"/>
          <w:szCs w:val="23"/>
          <w:rtl/>
        </w:rPr>
        <w:t>ي</w:t>
      </w:r>
      <w:r w:rsidRPr="00563AE6">
        <w:rPr>
          <w:rFonts w:cs="mylotus"/>
          <w:sz w:val="23"/>
          <w:szCs w:val="23"/>
          <w:rtl/>
        </w:rPr>
        <w:t>ن يجده كما تجب زكاة المعادن حين يجدها لأنها موجودة من الأرض وهو مخالف لما استفيد من غير ما يوجد في الأرض</w:t>
      </w:r>
      <w:r w:rsidRPr="00563AE6">
        <w:rPr>
          <w:rFonts w:cs="mylotus" w:hint="cs"/>
          <w:sz w:val="23"/>
          <w:szCs w:val="23"/>
          <w:rtl/>
        </w:rPr>
        <w:t>».</w:t>
      </w:r>
    </w:p>
    <w:p w:rsidR="00B31118" w:rsidRPr="00563AE6" w:rsidRDefault="00B31118" w:rsidP="00B300C9">
      <w:pPr>
        <w:spacing w:line="228" w:lineRule="auto"/>
        <w:ind w:left="378"/>
        <w:jc w:val="both"/>
        <w:rPr>
          <w:rFonts w:cs="mylotus" w:hint="cs"/>
          <w:sz w:val="23"/>
          <w:szCs w:val="23"/>
          <w:rtl/>
        </w:rPr>
      </w:pPr>
      <w:r w:rsidRPr="00563AE6">
        <w:rPr>
          <w:rFonts w:cs="mylotus" w:hint="cs"/>
          <w:sz w:val="23"/>
          <w:szCs w:val="23"/>
          <w:rtl/>
        </w:rPr>
        <w:t xml:space="preserve">فدليل الشافعي إذن على أن زكاة الركاز (أي الكنوز المدفونة في الأرض) والمعادن هي </w:t>
      </w:r>
      <w:r w:rsidRPr="00563AE6">
        <w:rPr>
          <w:rFonts w:cs="mylotus"/>
          <w:sz w:val="23"/>
          <w:szCs w:val="23"/>
          <w:rtl/>
        </w:rPr>
        <w:t>«الخُمُس»</w:t>
      </w:r>
      <w:r w:rsidRPr="00563AE6">
        <w:rPr>
          <w:rFonts w:cs="mylotus" w:hint="cs"/>
          <w:sz w:val="23"/>
          <w:szCs w:val="23"/>
          <w:rtl/>
        </w:rPr>
        <w:t xml:space="preserve"> هو أن الحصول عليها يتم بسهولة ودون مشقة، وأنها موجودة في الأرض من تلقاء نفسها، بخلاف سائر الأشياء التي فيها الزكاة والتي يتجشم الإنسان العناء للحصول عليها، لذا يؤخذ منها مقدارٌ أقل للزكاة.</w:t>
      </w:r>
    </w:p>
    <w:p w:rsidR="00B31118" w:rsidRPr="00563AE6" w:rsidRDefault="00B31118" w:rsidP="00B300C9">
      <w:pPr>
        <w:spacing w:line="228" w:lineRule="auto"/>
        <w:ind w:left="378"/>
        <w:jc w:val="both"/>
        <w:rPr>
          <w:rFonts w:cs="mylotus" w:hint="cs"/>
          <w:sz w:val="23"/>
          <w:szCs w:val="23"/>
          <w:rtl/>
        </w:rPr>
      </w:pPr>
      <w:r w:rsidRPr="00563AE6">
        <w:rPr>
          <w:rFonts w:cs="mylotus" w:hint="cs"/>
          <w:sz w:val="23"/>
          <w:szCs w:val="23"/>
          <w:rtl/>
        </w:rPr>
        <w:t>ثم يقول الشافعي في (ص 71) من الكتاب ذاته في نفس الجزء معدداً الأشياء التي تشملها الزكاة:</w:t>
      </w:r>
    </w:p>
    <w:p w:rsidR="00B31118" w:rsidRPr="00563AE6" w:rsidRDefault="00B31118" w:rsidP="00B300C9">
      <w:pPr>
        <w:spacing w:line="228" w:lineRule="auto"/>
        <w:ind w:left="378"/>
        <w:jc w:val="both"/>
        <w:rPr>
          <w:rFonts w:cs="mylotus" w:hint="cs"/>
          <w:sz w:val="23"/>
          <w:szCs w:val="23"/>
          <w:rtl/>
        </w:rPr>
      </w:pPr>
      <w:r w:rsidRPr="00563AE6">
        <w:rPr>
          <w:rFonts w:cs="mylotus" w:hint="cs"/>
          <w:sz w:val="23"/>
          <w:szCs w:val="23"/>
          <w:rtl/>
        </w:rPr>
        <w:t>«</w:t>
      </w:r>
      <w:r w:rsidRPr="00563AE6">
        <w:rPr>
          <w:rFonts w:cs="mylotus"/>
          <w:sz w:val="23"/>
          <w:szCs w:val="23"/>
          <w:rtl/>
        </w:rPr>
        <w:t>فما أخذ من مسلم من صدقة</w:t>
      </w:r>
      <w:r w:rsidRPr="00563AE6">
        <w:rPr>
          <w:rFonts w:cs="mylotus" w:hint="cs"/>
          <w:sz w:val="23"/>
          <w:szCs w:val="23"/>
          <w:rtl/>
        </w:rPr>
        <w:t>ِ</w:t>
      </w:r>
      <w:r w:rsidRPr="00563AE6">
        <w:rPr>
          <w:rFonts w:cs="mylotus"/>
          <w:sz w:val="23"/>
          <w:szCs w:val="23"/>
          <w:rtl/>
        </w:rPr>
        <w:t xml:space="preserve"> ماله ناض</w:t>
      </w:r>
      <w:r w:rsidRPr="00563AE6">
        <w:rPr>
          <w:rFonts w:cs="mylotus" w:hint="cs"/>
          <w:sz w:val="23"/>
          <w:szCs w:val="23"/>
          <w:rtl/>
        </w:rPr>
        <w:t>َّ</w:t>
      </w:r>
      <w:r w:rsidRPr="00563AE6">
        <w:rPr>
          <w:rFonts w:cs="mylotus"/>
          <w:sz w:val="23"/>
          <w:szCs w:val="23"/>
          <w:rtl/>
        </w:rPr>
        <w:t>ا</w:t>
      </w:r>
      <w:r w:rsidRPr="00563AE6">
        <w:rPr>
          <w:rFonts w:cs="mylotus" w:hint="cs"/>
          <w:sz w:val="23"/>
          <w:szCs w:val="23"/>
          <w:rtl/>
        </w:rPr>
        <w:t>ً</w:t>
      </w:r>
      <w:r w:rsidRPr="00563AE6">
        <w:rPr>
          <w:rFonts w:cs="mylotus"/>
          <w:sz w:val="23"/>
          <w:szCs w:val="23"/>
          <w:rtl/>
        </w:rPr>
        <w:t xml:space="preserve"> كان أو ماشية</w:t>
      </w:r>
      <w:r w:rsidRPr="00563AE6">
        <w:rPr>
          <w:rFonts w:cs="mylotus" w:hint="cs"/>
          <w:sz w:val="23"/>
          <w:szCs w:val="23"/>
          <w:rtl/>
        </w:rPr>
        <w:t>ً</w:t>
      </w:r>
      <w:r w:rsidRPr="00563AE6">
        <w:rPr>
          <w:rFonts w:cs="mylotus"/>
          <w:sz w:val="23"/>
          <w:szCs w:val="23"/>
          <w:rtl/>
        </w:rPr>
        <w:t xml:space="preserve"> أو زرعا</w:t>
      </w:r>
      <w:r w:rsidRPr="00563AE6">
        <w:rPr>
          <w:rFonts w:cs="mylotus" w:hint="cs"/>
          <w:sz w:val="23"/>
          <w:szCs w:val="23"/>
          <w:rtl/>
        </w:rPr>
        <w:t>ً</w:t>
      </w:r>
      <w:r w:rsidRPr="00563AE6">
        <w:rPr>
          <w:rFonts w:cs="mylotus"/>
          <w:sz w:val="23"/>
          <w:szCs w:val="23"/>
          <w:rtl/>
        </w:rPr>
        <w:t xml:space="preserve"> أو زكاة فطر أو خمس ركاز أو صدقة معدن أو غيره مما وجب عليه في ماله في كتاب أو سنة أو أمر أجمع عليه عوام المسلمين فمعناه واحد</w:t>
      </w:r>
      <w:r w:rsidRPr="00563AE6">
        <w:rPr>
          <w:rFonts w:cs="mylotus" w:hint="cs"/>
          <w:sz w:val="23"/>
          <w:szCs w:val="23"/>
          <w:rtl/>
        </w:rPr>
        <w:t>».</w:t>
      </w:r>
    </w:p>
    <w:p w:rsidR="00B31118" w:rsidRPr="00563AE6" w:rsidRDefault="00B31118" w:rsidP="00B300C9">
      <w:pPr>
        <w:spacing w:line="228" w:lineRule="auto"/>
        <w:ind w:left="378"/>
        <w:jc w:val="both"/>
        <w:rPr>
          <w:rFonts w:cs="mylotus" w:hint="cs"/>
          <w:sz w:val="23"/>
          <w:szCs w:val="23"/>
          <w:rtl/>
        </w:rPr>
      </w:pPr>
      <w:r w:rsidRPr="00563AE6">
        <w:rPr>
          <w:rFonts w:cs="mylotus" w:hint="cs"/>
          <w:sz w:val="23"/>
          <w:szCs w:val="23"/>
          <w:rtl/>
        </w:rPr>
        <w:t>[و مثله قوله في (2، 103): «</w:t>
      </w:r>
      <w:r w:rsidRPr="00563AE6">
        <w:rPr>
          <w:rFonts w:cs="mylotus"/>
          <w:sz w:val="23"/>
          <w:szCs w:val="23"/>
          <w:rtl/>
        </w:rPr>
        <w:t>قال الشافعي رحمه الله تعالى : وجميع ما أخذ من مسلم من صدقة فطر وخ</w:t>
      </w:r>
      <w:r w:rsidRPr="00563AE6">
        <w:rPr>
          <w:rFonts w:cs="mylotus" w:hint="cs"/>
          <w:sz w:val="23"/>
          <w:szCs w:val="23"/>
          <w:rtl/>
        </w:rPr>
        <w:t>ُ</w:t>
      </w:r>
      <w:r w:rsidRPr="00563AE6">
        <w:rPr>
          <w:rFonts w:cs="mylotus"/>
          <w:sz w:val="23"/>
          <w:szCs w:val="23"/>
          <w:rtl/>
        </w:rPr>
        <w:t>مس ركاز وزكاة معدن وصدقة ماشية وزكاة مال وعشر زرع وأي أصناف الصدقات أخذ من مسلم فقسمه واحد على الآية التي في براءة { إنما الصدقات للفقراء والمساكين } الآية لا يختلف وسواء قليلة وكثيرة على ما وصفت</w:t>
      </w:r>
      <w:r w:rsidRPr="00563AE6">
        <w:rPr>
          <w:rFonts w:cs="mylotus" w:hint="cs"/>
          <w:sz w:val="23"/>
          <w:szCs w:val="23"/>
          <w:rtl/>
        </w:rPr>
        <w:t>».]. انتهى.</w:t>
      </w:r>
    </w:p>
    <w:p w:rsidR="00B31118" w:rsidRPr="00563AE6" w:rsidRDefault="00B31118" w:rsidP="00B300C9">
      <w:pPr>
        <w:pStyle w:val="FootnoteText"/>
        <w:spacing w:line="228" w:lineRule="auto"/>
        <w:ind w:left="378"/>
        <w:jc w:val="both"/>
        <w:rPr>
          <w:rFonts w:cs="mylotus" w:hint="cs"/>
          <w:sz w:val="23"/>
          <w:szCs w:val="23"/>
          <w:rtl/>
        </w:rPr>
      </w:pPr>
      <w:r w:rsidRPr="00563AE6">
        <w:rPr>
          <w:rFonts w:cs="mylotus" w:hint="cs"/>
          <w:sz w:val="23"/>
          <w:szCs w:val="23"/>
          <w:rtl/>
        </w:rPr>
        <w:t xml:space="preserve">فبناء على كل ما تقدم ليس هناك من شك في أن </w:t>
      </w:r>
      <w:r w:rsidRPr="00563AE6">
        <w:rPr>
          <w:rFonts w:cs="mylotus"/>
          <w:sz w:val="23"/>
          <w:szCs w:val="23"/>
          <w:rtl/>
        </w:rPr>
        <w:t>«</w:t>
      </w:r>
      <w:r w:rsidRPr="00563AE6">
        <w:rPr>
          <w:rFonts w:cs="mylotus" w:hint="cs"/>
          <w:sz w:val="23"/>
          <w:szCs w:val="23"/>
          <w:rtl/>
        </w:rPr>
        <w:t>الخُمس</w:t>
      </w:r>
      <w:r w:rsidRPr="00563AE6">
        <w:rPr>
          <w:rFonts w:cs="mylotus"/>
          <w:sz w:val="23"/>
          <w:szCs w:val="23"/>
          <w:rtl/>
        </w:rPr>
        <w:t>»</w:t>
      </w:r>
      <w:r w:rsidRPr="00563AE6">
        <w:rPr>
          <w:rFonts w:cs="mylotus" w:hint="cs"/>
          <w:sz w:val="23"/>
          <w:szCs w:val="23"/>
          <w:rtl/>
        </w:rPr>
        <w:t xml:space="preserve"> الذي يؤخذ من المعادن والكنوز الدفينة هو زكاتها ومصرفه مصارف الزكاة.</w:t>
      </w:r>
    </w:p>
  </w:footnote>
  <w:footnote w:id="240">
    <w:p w:rsidR="00B31118" w:rsidRPr="00563AE6" w:rsidRDefault="00B31118" w:rsidP="006133F3">
      <w:pPr>
        <w:pStyle w:val="FootnoteText"/>
        <w:spacing w:line="228" w:lineRule="auto"/>
        <w:ind w:left="378" w:hanging="378"/>
        <w:jc w:val="both"/>
        <w:rPr>
          <w:rFonts w:cs="mylotus" w:hint="cs"/>
          <w:sz w:val="23"/>
          <w:szCs w:val="23"/>
          <w:rtl/>
        </w:rPr>
      </w:pPr>
      <w:r w:rsidRPr="00563AE6">
        <w:rPr>
          <w:rFonts w:cs="mylotus"/>
          <w:sz w:val="23"/>
          <w:szCs w:val="23"/>
          <w:rtl/>
        </w:rPr>
        <w:footnoteRef/>
      </w:r>
      <w:r>
        <w:rPr>
          <w:rFonts w:cs="mylotus"/>
          <w:sz w:val="23"/>
          <w:szCs w:val="23"/>
          <w:rtl/>
        </w:rPr>
        <w:t>-</w:t>
      </w:r>
      <w:r w:rsidRPr="00563AE6">
        <w:rPr>
          <w:rFonts w:cs="mylotus"/>
          <w:sz w:val="23"/>
          <w:szCs w:val="23"/>
          <w:rtl/>
        </w:rPr>
        <w:t xml:space="preserve"> </w:t>
      </w:r>
      <w:r w:rsidRPr="00563AE6">
        <w:rPr>
          <w:rFonts w:cs="mylotus" w:hint="cs"/>
          <w:sz w:val="23"/>
          <w:szCs w:val="23"/>
          <w:rtl/>
        </w:rPr>
        <w:t xml:space="preserve">جاء في </w:t>
      </w:r>
      <w:r w:rsidRPr="00563AE6">
        <w:rPr>
          <w:rFonts w:cs="mylotus"/>
          <w:sz w:val="23"/>
          <w:szCs w:val="23"/>
          <w:rtl/>
        </w:rPr>
        <w:t>«</w:t>
      </w:r>
      <w:r w:rsidRPr="00563AE6">
        <w:rPr>
          <w:rFonts w:cs="mylotus" w:hint="cs"/>
          <w:sz w:val="23"/>
          <w:szCs w:val="23"/>
          <w:rtl/>
        </w:rPr>
        <w:t>جمع الجوامع</w:t>
      </w:r>
      <w:r w:rsidRPr="00563AE6">
        <w:rPr>
          <w:rFonts w:cs="mylotus"/>
          <w:sz w:val="23"/>
          <w:szCs w:val="23"/>
          <w:rtl/>
        </w:rPr>
        <w:t>»</w:t>
      </w:r>
      <w:r w:rsidRPr="00563AE6">
        <w:rPr>
          <w:rFonts w:cs="mylotus" w:hint="cs"/>
          <w:sz w:val="23"/>
          <w:szCs w:val="23"/>
          <w:rtl/>
        </w:rPr>
        <w:t xml:space="preserve"> للسيوطي في الرسالة التي كتبها رسول الله (</w:t>
      </w:r>
      <w:r w:rsidR="006133F3">
        <w:rPr>
          <w:rFonts w:cs="CTraditional Arabic" w:hint="cs"/>
          <w:sz w:val="23"/>
          <w:szCs w:val="23"/>
          <w:rtl/>
        </w:rPr>
        <w:t>ص</w:t>
      </w:r>
      <w:r w:rsidRPr="00563AE6">
        <w:rPr>
          <w:rFonts w:cs="mylotus" w:hint="cs"/>
          <w:sz w:val="23"/>
          <w:szCs w:val="23"/>
          <w:rtl/>
        </w:rPr>
        <w:t>) إلى جهينة: «</w:t>
      </w:r>
      <w:r w:rsidRPr="00563AE6">
        <w:rPr>
          <w:rFonts w:cs="mylotus"/>
          <w:sz w:val="23"/>
          <w:szCs w:val="23"/>
          <w:rtl/>
        </w:rPr>
        <w:t xml:space="preserve">بسم الله الرحمن الرحيم هذا كتاب أمان من الله العزيز على لسان رسوله بحق صادق وكتاب ناطق مع عمرو بن مرة لجهينة بن زيد إن لكم بطون الأرض وسهولها وتلاع الأودية وظهورها على أن ترعوا نباتها وتشربوا ماءها </w:t>
      </w:r>
      <w:r w:rsidRPr="00563AE6">
        <w:rPr>
          <w:rFonts w:cs="mylotus"/>
          <w:sz w:val="23"/>
          <w:szCs w:val="23"/>
          <w:u w:val="single"/>
          <w:rtl/>
        </w:rPr>
        <w:t>على أن تؤدوا الخمس</w:t>
      </w:r>
      <w:r w:rsidRPr="00563AE6">
        <w:rPr>
          <w:rFonts w:cs="mylotus" w:hint="cs"/>
          <w:sz w:val="23"/>
          <w:szCs w:val="23"/>
          <w:rtl/>
        </w:rPr>
        <w:t xml:space="preserve">..». [انظر كنز العمال: حديث </w:t>
      </w:r>
      <w:r w:rsidRPr="00563AE6">
        <w:rPr>
          <w:rFonts w:cs="mylotus"/>
          <w:sz w:val="23"/>
          <w:szCs w:val="23"/>
          <w:rtl/>
        </w:rPr>
        <w:t>37293</w:t>
      </w:r>
      <w:r w:rsidRPr="00563AE6">
        <w:rPr>
          <w:rFonts w:cs="mylotus" w:hint="cs"/>
          <w:sz w:val="23"/>
          <w:szCs w:val="23"/>
          <w:rtl/>
        </w:rPr>
        <w:t>].</w:t>
      </w:r>
    </w:p>
  </w:footnote>
  <w:footnote w:id="241">
    <w:p w:rsidR="00B31118" w:rsidRPr="00255A16" w:rsidRDefault="00B31118" w:rsidP="00B300C9">
      <w:pPr>
        <w:pStyle w:val="FootnoteText"/>
        <w:spacing w:line="228" w:lineRule="auto"/>
        <w:ind w:left="378" w:hanging="378"/>
        <w:jc w:val="both"/>
        <w:rPr>
          <w:rFonts w:cs="mylotus"/>
          <w:spacing w:val="-2"/>
          <w:sz w:val="23"/>
          <w:szCs w:val="23"/>
          <w:rtl/>
        </w:rPr>
      </w:pPr>
      <w:r w:rsidRPr="00255A16">
        <w:rPr>
          <w:rFonts w:cs="mylotus"/>
          <w:spacing w:val="-2"/>
          <w:sz w:val="23"/>
          <w:szCs w:val="23"/>
          <w:rtl/>
        </w:rPr>
        <w:footnoteRef/>
      </w:r>
      <w:r w:rsidRPr="00255A16">
        <w:rPr>
          <w:rFonts w:cs="mylotus"/>
          <w:spacing w:val="-2"/>
          <w:sz w:val="23"/>
          <w:szCs w:val="23"/>
          <w:rtl/>
        </w:rPr>
        <w:t>-</w:t>
      </w:r>
      <w:r w:rsidRPr="00255A16">
        <w:rPr>
          <w:rFonts w:cs="mylotus" w:hint="cs"/>
          <w:spacing w:val="-2"/>
          <w:sz w:val="23"/>
          <w:szCs w:val="23"/>
          <w:rtl/>
        </w:rPr>
        <w:t xml:space="preserve"> الشيخ الصدوق، </w:t>
      </w:r>
      <w:r w:rsidRPr="00255A16">
        <w:rPr>
          <w:rFonts w:cs="mylotus" w:hint="cs"/>
          <w:b/>
          <w:bCs/>
          <w:spacing w:val="-2"/>
          <w:sz w:val="23"/>
          <w:szCs w:val="23"/>
          <w:rtl/>
        </w:rPr>
        <w:t>الخصال</w:t>
      </w:r>
      <w:r w:rsidRPr="00255A16">
        <w:rPr>
          <w:rFonts w:cs="mylotus" w:hint="cs"/>
          <w:spacing w:val="-2"/>
          <w:sz w:val="23"/>
          <w:szCs w:val="23"/>
          <w:rtl/>
        </w:rPr>
        <w:t xml:space="preserve">، ج 1، ص 290.  ملاحظة: </w:t>
      </w:r>
      <w:r w:rsidRPr="00255A16">
        <w:rPr>
          <w:rFonts w:cs="mylotus"/>
          <w:spacing w:val="-2"/>
          <w:sz w:val="23"/>
          <w:szCs w:val="23"/>
          <w:rtl/>
        </w:rPr>
        <w:t>ثمة كلام وتقرير مهم للمحقق المعاصر العلامة الشيخ محمد تقي الشوشتري (التُستري) [صاحب قاموس الرجال] يتسحق الانتباه والتأمل، فقد كتب يقول:</w:t>
      </w:r>
    </w:p>
    <w:p w:rsidR="00B31118" w:rsidRPr="00563AE6" w:rsidRDefault="00B31118" w:rsidP="00B300C9">
      <w:pPr>
        <w:pStyle w:val="FootnoteText"/>
        <w:spacing w:line="228" w:lineRule="auto"/>
        <w:ind w:left="378"/>
        <w:jc w:val="both"/>
        <w:rPr>
          <w:rFonts w:cs="mylotus"/>
          <w:sz w:val="23"/>
          <w:szCs w:val="23"/>
          <w:rtl/>
        </w:rPr>
      </w:pPr>
      <w:r w:rsidRPr="00563AE6">
        <w:rPr>
          <w:rFonts w:cs="mylotus"/>
          <w:sz w:val="23"/>
          <w:szCs w:val="23"/>
          <w:rtl/>
        </w:rPr>
        <w:t>«إنّما في الخصال - كما في الـمطبوعة ونسخةٍ خطّ</w:t>
      </w:r>
      <w:r w:rsidRPr="00563AE6">
        <w:rPr>
          <w:rFonts w:cs="mylotus" w:hint="cs"/>
          <w:sz w:val="23"/>
          <w:szCs w:val="23"/>
          <w:rtl/>
        </w:rPr>
        <w:t>ي</w:t>
      </w:r>
      <w:r w:rsidRPr="00563AE6">
        <w:rPr>
          <w:rFonts w:cs="mylotus" w:hint="eastAsia"/>
          <w:sz w:val="23"/>
          <w:szCs w:val="23"/>
          <w:rtl/>
        </w:rPr>
        <w:t>ةٍ</w:t>
      </w:r>
      <w:r w:rsidRPr="00563AE6">
        <w:rPr>
          <w:rFonts w:cs="mylotus"/>
          <w:sz w:val="23"/>
          <w:szCs w:val="23"/>
          <w:rtl/>
        </w:rPr>
        <w:t xml:space="preserve"> - هكذا: (ف</w:t>
      </w:r>
      <w:r w:rsidRPr="00563AE6">
        <w:rPr>
          <w:rFonts w:cs="mylotus" w:hint="cs"/>
          <w:sz w:val="23"/>
          <w:szCs w:val="23"/>
          <w:rtl/>
        </w:rPr>
        <w:t>ي</w:t>
      </w:r>
      <w:r w:rsidRPr="00563AE6">
        <w:rPr>
          <w:rFonts w:cs="mylotus" w:hint="eastAsia"/>
          <w:sz w:val="23"/>
          <w:szCs w:val="23"/>
          <w:rtl/>
        </w:rPr>
        <w:t>ما</w:t>
      </w:r>
      <w:r w:rsidRPr="00563AE6">
        <w:rPr>
          <w:rFonts w:cs="mylotus"/>
          <w:sz w:val="23"/>
          <w:szCs w:val="23"/>
          <w:rtl/>
        </w:rPr>
        <w:t xml:space="preserve"> </w:t>
      </w:r>
      <w:r w:rsidRPr="00563AE6">
        <w:rPr>
          <w:rFonts w:cs="mylotus" w:hint="cs"/>
          <w:sz w:val="23"/>
          <w:szCs w:val="23"/>
          <w:rtl/>
        </w:rPr>
        <w:t>يُ</w:t>
      </w:r>
      <w:r w:rsidRPr="00563AE6">
        <w:rPr>
          <w:rFonts w:cs="mylotus" w:hint="eastAsia"/>
          <w:sz w:val="23"/>
          <w:szCs w:val="23"/>
          <w:rtl/>
        </w:rPr>
        <w:t>خرَجُ</w:t>
      </w:r>
      <w:r w:rsidRPr="00563AE6">
        <w:rPr>
          <w:rFonts w:cs="mylotus"/>
          <w:sz w:val="23"/>
          <w:szCs w:val="23"/>
          <w:rtl/>
        </w:rPr>
        <w:t xml:space="preserve"> مِن الـمعادنِ والبحر والكنوزِ الخُمسُ)، رَواهُ في عنوان «ما </w:t>
      </w:r>
      <w:r w:rsidRPr="00563AE6">
        <w:rPr>
          <w:rFonts w:cs="mylotus" w:hint="cs"/>
          <w:sz w:val="23"/>
          <w:szCs w:val="23"/>
          <w:rtl/>
        </w:rPr>
        <w:t>ي</w:t>
      </w:r>
      <w:r w:rsidRPr="00563AE6">
        <w:rPr>
          <w:rFonts w:cs="mylotus" w:hint="eastAsia"/>
          <w:sz w:val="23"/>
          <w:szCs w:val="23"/>
          <w:rtl/>
        </w:rPr>
        <w:t>جبُ</w:t>
      </w:r>
      <w:r w:rsidRPr="00563AE6">
        <w:rPr>
          <w:rFonts w:cs="mylotus"/>
          <w:sz w:val="23"/>
          <w:szCs w:val="23"/>
          <w:rtl/>
        </w:rPr>
        <w:t xml:space="preserve"> ف</w:t>
      </w:r>
      <w:r w:rsidRPr="00563AE6">
        <w:rPr>
          <w:rFonts w:cs="mylotus" w:hint="cs"/>
          <w:sz w:val="23"/>
          <w:szCs w:val="23"/>
          <w:rtl/>
        </w:rPr>
        <w:t>ي</w:t>
      </w:r>
      <w:r w:rsidRPr="00563AE6">
        <w:rPr>
          <w:rFonts w:cs="mylotus" w:hint="eastAsia"/>
          <w:sz w:val="23"/>
          <w:szCs w:val="23"/>
          <w:rtl/>
        </w:rPr>
        <w:t>ه</w:t>
      </w:r>
      <w:r w:rsidRPr="00563AE6">
        <w:rPr>
          <w:rFonts w:cs="mylotus"/>
          <w:sz w:val="23"/>
          <w:szCs w:val="23"/>
          <w:rtl/>
        </w:rPr>
        <w:t xml:space="preserve"> الخُمسُ» مِن أَبواب الخَمسةِ</w:t>
      </w:r>
      <w:r w:rsidRPr="00563AE6">
        <w:rPr>
          <w:rFonts w:cs="mylotus" w:hint="cs"/>
          <w:sz w:val="23"/>
          <w:szCs w:val="23"/>
          <w:rtl/>
        </w:rPr>
        <w:t>.</w:t>
      </w:r>
      <w:r w:rsidRPr="00563AE6">
        <w:rPr>
          <w:rFonts w:cs="mylotus"/>
          <w:sz w:val="23"/>
          <w:szCs w:val="23"/>
          <w:rtl/>
        </w:rPr>
        <w:t xml:space="preserve"> فَلا بُدَّ أنَّ الزّ</w:t>
      </w:r>
      <w:r w:rsidRPr="00563AE6">
        <w:rPr>
          <w:rFonts w:cs="mylotus" w:hint="cs"/>
          <w:sz w:val="23"/>
          <w:szCs w:val="23"/>
          <w:rtl/>
        </w:rPr>
        <w:t>ي</w:t>
      </w:r>
      <w:r w:rsidRPr="00563AE6">
        <w:rPr>
          <w:rFonts w:cs="mylotus" w:hint="eastAsia"/>
          <w:sz w:val="23"/>
          <w:szCs w:val="23"/>
          <w:rtl/>
        </w:rPr>
        <w:t>ادةَ</w:t>
      </w:r>
      <w:r w:rsidRPr="00563AE6">
        <w:rPr>
          <w:rFonts w:cs="mylotus"/>
          <w:sz w:val="23"/>
          <w:szCs w:val="23"/>
          <w:rtl/>
        </w:rPr>
        <w:t xml:space="preserve"> مِنَ المُحَشّ</w:t>
      </w:r>
      <w:r w:rsidRPr="00563AE6">
        <w:rPr>
          <w:rFonts w:cs="mylotus" w:hint="cs"/>
          <w:sz w:val="23"/>
          <w:szCs w:val="23"/>
          <w:rtl/>
        </w:rPr>
        <w:t>ي</w:t>
      </w:r>
      <w:r w:rsidRPr="00563AE6">
        <w:rPr>
          <w:rFonts w:cs="mylotus" w:hint="eastAsia"/>
          <w:sz w:val="23"/>
          <w:szCs w:val="23"/>
          <w:rtl/>
        </w:rPr>
        <w:t>نَ</w:t>
      </w:r>
      <w:r w:rsidRPr="00563AE6">
        <w:rPr>
          <w:rFonts w:cs="mylotus"/>
          <w:sz w:val="23"/>
          <w:szCs w:val="23"/>
          <w:rtl/>
        </w:rPr>
        <w:t xml:space="preserve"> أخذاً مِن أخبارٍ أخرى خ</w:t>
      </w:r>
      <w:r w:rsidRPr="00563AE6">
        <w:rPr>
          <w:rFonts w:cs="mylotus" w:hint="cs"/>
          <w:sz w:val="23"/>
          <w:szCs w:val="23"/>
          <w:rtl/>
        </w:rPr>
        <w:t>ُ</w:t>
      </w:r>
      <w:r w:rsidRPr="00563AE6">
        <w:rPr>
          <w:rFonts w:cs="mylotus"/>
          <w:sz w:val="23"/>
          <w:szCs w:val="23"/>
          <w:rtl/>
        </w:rPr>
        <w:t>ل</w:t>
      </w:r>
      <w:r w:rsidRPr="00563AE6">
        <w:rPr>
          <w:rFonts w:cs="mylotus" w:hint="cs"/>
          <w:sz w:val="23"/>
          <w:szCs w:val="23"/>
          <w:rtl/>
        </w:rPr>
        <w:t>ِ</w:t>
      </w:r>
      <w:r w:rsidRPr="00563AE6">
        <w:rPr>
          <w:rFonts w:cs="mylotus"/>
          <w:sz w:val="23"/>
          <w:szCs w:val="23"/>
          <w:rtl/>
        </w:rPr>
        <w:t>طَت بالمَتنِ ف</w:t>
      </w:r>
      <w:r w:rsidRPr="00563AE6">
        <w:rPr>
          <w:rFonts w:cs="mylotus" w:hint="cs"/>
          <w:sz w:val="23"/>
          <w:szCs w:val="23"/>
          <w:rtl/>
        </w:rPr>
        <w:t>ي</w:t>
      </w:r>
      <w:r w:rsidRPr="00563AE6">
        <w:rPr>
          <w:rFonts w:cs="mylotus"/>
          <w:sz w:val="23"/>
          <w:szCs w:val="23"/>
          <w:rtl/>
        </w:rPr>
        <w:t xml:space="preserve"> ن</w:t>
      </w:r>
      <w:r w:rsidRPr="00563AE6">
        <w:rPr>
          <w:rFonts w:cs="mylotus" w:hint="eastAsia"/>
          <w:sz w:val="23"/>
          <w:szCs w:val="23"/>
          <w:rtl/>
        </w:rPr>
        <w:t>سخةِ</w:t>
      </w:r>
      <w:r w:rsidRPr="00563AE6">
        <w:rPr>
          <w:rFonts w:cs="mylotus"/>
          <w:sz w:val="23"/>
          <w:szCs w:val="23"/>
          <w:rtl/>
        </w:rPr>
        <w:t xml:space="preserve"> العامِلي وتَبِعهُ ف</w:t>
      </w:r>
      <w:r w:rsidRPr="00563AE6">
        <w:rPr>
          <w:rFonts w:cs="mylotus" w:hint="cs"/>
          <w:sz w:val="23"/>
          <w:szCs w:val="23"/>
          <w:rtl/>
        </w:rPr>
        <w:t>ي</w:t>
      </w:r>
      <w:r w:rsidRPr="00563AE6">
        <w:rPr>
          <w:rFonts w:cs="mylotus"/>
          <w:sz w:val="23"/>
          <w:szCs w:val="23"/>
          <w:rtl/>
        </w:rPr>
        <w:t xml:space="preserve"> نقلِ الخبَر مُختلطاً</w:t>
      </w:r>
      <w:r w:rsidRPr="00563AE6">
        <w:rPr>
          <w:rFonts w:cs="mylotus" w:hint="cs"/>
          <w:sz w:val="23"/>
          <w:szCs w:val="23"/>
          <w:rtl/>
        </w:rPr>
        <w:t>:</w:t>
      </w:r>
      <w:r w:rsidRPr="00563AE6">
        <w:rPr>
          <w:rFonts w:cs="mylotus"/>
          <w:sz w:val="23"/>
          <w:szCs w:val="23"/>
          <w:rtl/>
        </w:rPr>
        <w:t xml:space="preserve"> الجَواهِرُ وَالمُستنَدُ». [الأخبار</w:t>
      </w:r>
      <w:r w:rsidRPr="00563AE6">
        <w:rPr>
          <w:rFonts w:cs="mylotus" w:hint="cs"/>
          <w:sz w:val="23"/>
          <w:szCs w:val="23"/>
          <w:rtl/>
        </w:rPr>
        <w:t xml:space="preserve"> </w:t>
      </w:r>
      <w:r w:rsidRPr="00563AE6">
        <w:rPr>
          <w:rFonts w:cs="mylotus"/>
          <w:sz w:val="23"/>
          <w:szCs w:val="23"/>
          <w:rtl/>
        </w:rPr>
        <w:t>الدخ</w:t>
      </w:r>
      <w:r w:rsidRPr="00563AE6">
        <w:rPr>
          <w:rFonts w:cs="mylotus" w:hint="cs"/>
          <w:sz w:val="23"/>
          <w:szCs w:val="23"/>
          <w:rtl/>
        </w:rPr>
        <w:t>ي</w:t>
      </w:r>
      <w:r w:rsidRPr="00563AE6">
        <w:rPr>
          <w:rFonts w:cs="mylotus" w:hint="eastAsia"/>
          <w:sz w:val="23"/>
          <w:szCs w:val="23"/>
          <w:rtl/>
        </w:rPr>
        <w:t>لة</w:t>
      </w:r>
      <w:r w:rsidRPr="00563AE6">
        <w:rPr>
          <w:rFonts w:cs="mylotus"/>
          <w:sz w:val="23"/>
          <w:szCs w:val="23"/>
          <w:rtl/>
        </w:rPr>
        <w:t>: ص</w:t>
      </w:r>
      <w:r w:rsidRPr="00563AE6">
        <w:rPr>
          <w:rFonts w:cs="mylotus" w:hint="cs"/>
          <w:sz w:val="23"/>
          <w:szCs w:val="23"/>
          <w:rtl/>
        </w:rPr>
        <w:t xml:space="preserve"> </w:t>
      </w:r>
      <w:r w:rsidRPr="00563AE6">
        <w:rPr>
          <w:rFonts w:cs="mylotus"/>
          <w:sz w:val="23"/>
          <w:szCs w:val="23"/>
          <w:rtl/>
        </w:rPr>
        <w:t>87].</w:t>
      </w:r>
    </w:p>
    <w:p w:rsidR="00B31118" w:rsidRPr="00563AE6" w:rsidRDefault="00B31118" w:rsidP="00B300C9">
      <w:pPr>
        <w:pStyle w:val="FootnoteText"/>
        <w:spacing w:line="228" w:lineRule="auto"/>
        <w:ind w:left="378"/>
        <w:jc w:val="both"/>
        <w:rPr>
          <w:rFonts w:cs="mylotus" w:hint="cs"/>
          <w:sz w:val="23"/>
          <w:szCs w:val="23"/>
          <w:rtl/>
        </w:rPr>
      </w:pPr>
      <w:r w:rsidRPr="00563AE6">
        <w:rPr>
          <w:rFonts w:cs="mylotus" w:hint="cs"/>
          <w:sz w:val="23"/>
          <w:szCs w:val="23"/>
          <w:rtl/>
        </w:rPr>
        <w:t xml:space="preserve">بناء على هذا الكلام </w:t>
      </w:r>
      <w:r w:rsidRPr="00563AE6">
        <w:rPr>
          <w:rFonts w:cs="mylotus" w:hint="eastAsia"/>
          <w:sz w:val="23"/>
          <w:szCs w:val="23"/>
          <w:rtl/>
        </w:rPr>
        <w:t>يتبين</w:t>
      </w:r>
      <w:r w:rsidRPr="00563AE6">
        <w:rPr>
          <w:rFonts w:cs="mylotus"/>
          <w:sz w:val="23"/>
          <w:szCs w:val="23"/>
          <w:rtl/>
        </w:rPr>
        <w:t xml:space="preserve"> أن هذه الأخبار، إضافةً إلى </w:t>
      </w:r>
      <w:r w:rsidRPr="00563AE6">
        <w:rPr>
          <w:rFonts w:cs="mylotus" w:hint="cs"/>
          <w:sz w:val="23"/>
          <w:szCs w:val="23"/>
          <w:rtl/>
        </w:rPr>
        <w:t xml:space="preserve">كونها موضوعة ومفتراة </w:t>
      </w:r>
      <w:r w:rsidRPr="00563AE6">
        <w:rPr>
          <w:rFonts w:cs="mylotus"/>
          <w:sz w:val="23"/>
          <w:szCs w:val="23"/>
          <w:rtl/>
        </w:rPr>
        <w:t xml:space="preserve">من الأساس </w:t>
      </w:r>
      <w:r w:rsidRPr="00563AE6">
        <w:rPr>
          <w:rFonts w:cs="mylotus" w:hint="cs"/>
          <w:sz w:val="23"/>
          <w:szCs w:val="23"/>
          <w:rtl/>
        </w:rPr>
        <w:t>مِنْ قِبَلِ</w:t>
      </w:r>
      <w:r w:rsidRPr="00563AE6">
        <w:rPr>
          <w:rFonts w:cs="mylotus"/>
          <w:sz w:val="23"/>
          <w:szCs w:val="23"/>
          <w:rtl/>
        </w:rPr>
        <w:t xml:space="preserve"> الوضاعين المحتالين المدلِّسين، قد تعرَّضت فوق ذلك إلى تلاعب النُسَّاخ وكُتَّاب الحواشي! </w:t>
      </w:r>
      <w:r w:rsidRPr="00563AE6">
        <w:rPr>
          <w:rFonts w:cs="mylotus" w:hint="cs"/>
          <w:sz w:val="23"/>
          <w:szCs w:val="23"/>
          <w:rtl/>
        </w:rPr>
        <w:t xml:space="preserve">(فانطبق عليها القول: </w:t>
      </w:r>
      <w:r w:rsidRPr="00563AE6">
        <w:rPr>
          <w:rFonts w:cs="mylotus"/>
          <w:sz w:val="23"/>
          <w:szCs w:val="23"/>
          <w:rtl/>
        </w:rPr>
        <w:t>ظلماتٌ بعضها فوق بعض!!</w:t>
      </w:r>
      <w:r w:rsidRPr="00563AE6">
        <w:rPr>
          <w:rFonts w:cs="mylotus" w:hint="cs"/>
          <w:sz w:val="23"/>
          <w:szCs w:val="23"/>
          <w:rtl/>
        </w:rPr>
        <w:t>). (المُتَرْجِمُ)</w:t>
      </w:r>
    </w:p>
  </w:footnote>
  <w:footnote w:id="242">
    <w:p w:rsidR="00B31118" w:rsidRPr="00563AE6" w:rsidRDefault="00B31118" w:rsidP="00B300C9">
      <w:pPr>
        <w:pStyle w:val="FootnoteText"/>
        <w:spacing w:line="228" w:lineRule="auto"/>
        <w:ind w:left="378" w:hanging="378"/>
        <w:jc w:val="both"/>
        <w:rPr>
          <w:rFonts w:cs="mylotus" w:hint="cs"/>
          <w:sz w:val="23"/>
          <w:szCs w:val="23"/>
          <w:rtl/>
        </w:rPr>
      </w:pPr>
      <w:r w:rsidRPr="00563AE6">
        <w:rPr>
          <w:rFonts w:cs="mylotus"/>
          <w:sz w:val="23"/>
          <w:szCs w:val="23"/>
          <w:rtl/>
        </w:rPr>
        <w:footnoteRef/>
      </w:r>
      <w:r>
        <w:rPr>
          <w:rFonts w:cs="mylotus"/>
          <w:sz w:val="23"/>
          <w:szCs w:val="23"/>
          <w:rtl/>
        </w:rPr>
        <w:t>-</w:t>
      </w:r>
      <w:r w:rsidRPr="00563AE6">
        <w:rPr>
          <w:rFonts w:cs="mylotus" w:hint="cs"/>
          <w:sz w:val="23"/>
          <w:szCs w:val="23"/>
          <w:rtl/>
        </w:rPr>
        <w:t xml:space="preserve"> </w:t>
      </w:r>
      <w:r w:rsidRPr="00563AE6">
        <w:rPr>
          <w:rFonts w:cs="mylotus"/>
          <w:sz w:val="23"/>
          <w:szCs w:val="23"/>
          <w:rtl/>
        </w:rPr>
        <w:t>الشيخ الطوسي</w:t>
      </w:r>
      <w:r w:rsidRPr="00563AE6">
        <w:rPr>
          <w:rFonts w:cs="mylotus" w:hint="cs"/>
          <w:sz w:val="23"/>
          <w:szCs w:val="23"/>
          <w:rtl/>
        </w:rPr>
        <w:t xml:space="preserve">، </w:t>
      </w:r>
      <w:r w:rsidRPr="00563AE6">
        <w:rPr>
          <w:rFonts w:cs="mylotus"/>
          <w:sz w:val="23"/>
          <w:szCs w:val="23"/>
          <w:rtl/>
        </w:rPr>
        <w:t>تهذيب</w:t>
      </w:r>
      <w:r w:rsidRPr="00563AE6">
        <w:rPr>
          <w:rFonts w:cs="mylotus" w:hint="cs"/>
          <w:sz w:val="23"/>
          <w:szCs w:val="23"/>
          <w:rtl/>
        </w:rPr>
        <w:t xml:space="preserve"> الأحكام،</w:t>
      </w:r>
      <w:r w:rsidRPr="00563AE6">
        <w:rPr>
          <w:rFonts w:cs="mylotus"/>
          <w:sz w:val="23"/>
          <w:szCs w:val="23"/>
          <w:rtl/>
        </w:rPr>
        <w:t xml:space="preserve"> ج 4، ص 145</w:t>
      </w:r>
      <w:r w:rsidRPr="00563AE6">
        <w:rPr>
          <w:rFonts w:cs="mylotus" w:hint="cs"/>
          <w:sz w:val="23"/>
          <w:szCs w:val="23"/>
          <w:rtl/>
        </w:rPr>
        <w:t>.</w:t>
      </w:r>
    </w:p>
  </w:footnote>
  <w:footnote w:id="243">
    <w:p w:rsidR="00B31118" w:rsidRPr="00563AE6" w:rsidRDefault="00B31118" w:rsidP="00B300C9">
      <w:pPr>
        <w:pStyle w:val="FootnoteText"/>
        <w:spacing w:line="228" w:lineRule="auto"/>
        <w:ind w:left="378" w:hanging="378"/>
        <w:jc w:val="both"/>
        <w:rPr>
          <w:rFonts w:cs="mylotus" w:hint="cs"/>
          <w:sz w:val="23"/>
          <w:szCs w:val="23"/>
          <w:rtl/>
        </w:rPr>
      </w:pPr>
      <w:r w:rsidRPr="00563AE6">
        <w:rPr>
          <w:rFonts w:cs="mylotus"/>
          <w:sz w:val="23"/>
          <w:szCs w:val="23"/>
          <w:rtl/>
        </w:rPr>
        <w:footnoteRef/>
      </w:r>
      <w:r>
        <w:rPr>
          <w:rFonts w:cs="mylotus"/>
          <w:sz w:val="23"/>
          <w:szCs w:val="23"/>
          <w:rtl/>
        </w:rPr>
        <w:t>-</w:t>
      </w:r>
      <w:r w:rsidRPr="00563AE6">
        <w:rPr>
          <w:rFonts w:cs="mylotus" w:hint="cs"/>
          <w:sz w:val="23"/>
          <w:szCs w:val="23"/>
          <w:rtl/>
        </w:rPr>
        <w:t xml:space="preserve"> </w:t>
      </w:r>
      <w:r w:rsidRPr="00563AE6">
        <w:rPr>
          <w:rFonts w:cs="mylotus" w:hint="cs"/>
          <w:b/>
          <w:bCs/>
          <w:sz w:val="23"/>
          <w:szCs w:val="23"/>
          <w:rtl/>
        </w:rPr>
        <w:t>المصدر نفسه</w:t>
      </w:r>
      <w:r w:rsidRPr="00563AE6">
        <w:rPr>
          <w:rFonts w:cs="mylotus" w:hint="cs"/>
          <w:sz w:val="23"/>
          <w:szCs w:val="23"/>
          <w:rtl/>
        </w:rPr>
        <w:t xml:space="preserve">، ج 4، ص 125. ورواه كذلك الشيخ الصدوق، من لا يحضره الفقيه، ج2، ص 42. </w:t>
      </w:r>
    </w:p>
  </w:footnote>
  <w:footnote w:id="244">
    <w:p w:rsidR="00B31118" w:rsidRPr="00563AE6" w:rsidRDefault="00B31118" w:rsidP="00B300C9">
      <w:pPr>
        <w:pStyle w:val="FootnoteText"/>
        <w:spacing w:line="228" w:lineRule="auto"/>
        <w:ind w:left="378" w:hanging="378"/>
        <w:jc w:val="both"/>
        <w:rPr>
          <w:rFonts w:cs="mylotus" w:hint="cs"/>
          <w:sz w:val="23"/>
          <w:szCs w:val="23"/>
          <w:rtl/>
        </w:rPr>
      </w:pPr>
      <w:r w:rsidRPr="00563AE6">
        <w:rPr>
          <w:rFonts w:cs="mylotus"/>
          <w:sz w:val="23"/>
          <w:szCs w:val="23"/>
          <w:rtl/>
        </w:rPr>
        <w:footnoteRef/>
      </w:r>
      <w:r>
        <w:rPr>
          <w:rFonts w:cs="mylotus"/>
          <w:sz w:val="23"/>
          <w:szCs w:val="23"/>
          <w:rtl/>
        </w:rPr>
        <w:t>-</w:t>
      </w:r>
      <w:r w:rsidRPr="00563AE6">
        <w:rPr>
          <w:rFonts w:cs="mylotus" w:hint="cs"/>
          <w:sz w:val="23"/>
          <w:szCs w:val="23"/>
          <w:rtl/>
        </w:rPr>
        <w:t xml:space="preserve"> </w:t>
      </w:r>
      <w:r w:rsidRPr="00563AE6">
        <w:rPr>
          <w:rFonts w:cs="mylotus"/>
          <w:sz w:val="23"/>
          <w:szCs w:val="23"/>
          <w:rtl/>
        </w:rPr>
        <w:t>الشيخ الطوسي</w:t>
      </w:r>
      <w:r w:rsidRPr="00563AE6">
        <w:rPr>
          <w:rFonts w:cs="mylotus" w:hint="cs"/>
          <w:sz w:val="23"/>
          <w:szCs w:val="23"/>
          <w:rtl/>
        </w:rPr>
        <w:t xml:space="preserve">، </w:t>
      </w:r>
      <w:r w:rsidRPr="00563AE6">
        <w:rPr>
          <w:rFonts w:cs="mylotus"/>
          <w:sz w:val="23"/>
          <w:szCs w:val="23"/>
          <w:rtl/>
        </w:rPr>
        <w:t>تهذيب</w:t>
      </w:r>
      <w:r w:rsidRPr="00563AE6">
        <w:rPr>
          <w:rFonts w:cs="mylotus" w:hint="cs"/>
          <w:sz w:val="23"/>
          <w:szCs w:val="23"/>
          <w:rtl/>
        </w:rPr>
        <w:t xml:space="preserve"> الأحكام،</w:t>
      </w:r>
      <w:r w:rsidRPr="00563AE6">
        <w:rPr>
          <w:rFonts w:cs="mylotus"/>
          <w:sz w:val="23"/>
          <w:szCs w:val="23"/>
          <w:rtl/>
        </w:rPr>
        <w:t xml:space="preserve"> ج 4، ص </w:t>
      </w:r>
      <w:r w:rsidRPr="00563AE6">
        <w:rPr>
          <w:rFonts w:cs="mylotus" w:hint="cs"/>
          <w:sz w:val="23"/>
          <w:szCs w:val="23"/>
          <w:rtl/>
        </w:rPr>
        <w:t>125.</w:t>
      </w:r>
    </w:p>
  </w:footnote>
  <w:footnote w:id="245">
    <w:p w:rsidR="00B31118" w:rsidRPr="00563AE6" w:rsidRDefault="00B31118" w:rsidP="00B300C9">
      <w:pPr>
        <w:pStyle w:val="FootnoteText"/>
        <w:spacing w:line="228" w:lineRule="auto"/>
        <w:ind w:left="378" w:hanging="378"/>
        <w:jc w:val="both"/>
        <w:rPr>
          <w:rFonts w:cs="mylotus" w:hint="cs"/>
          <w:sz w:val="23"/>
          <w:szCs w:val="23"/>
          <w:rtl/>
        </w:rPr>
      </w:pPr>
      <w:r w:rsidRPr="00563AE6">
        <w:rPr>
          <w:rFonts w:cs="mylotus"/>
          <w:sz w:val="23"/>
          <w:szCs w:val="23"/>
          <w:rtl/>
        </w:rPr>
        <w:footnoteRef/>
      </w:r>
      <w:r>
        <w:rPr>
          <w:rFonts w:cs="mylotus"/>
          <w:sz w:val="23"/>
          <w:szCs w:val="23"/>
          <w:rtl/>
        </w:rPr>
        <w:t>-</w:t>
      </w:r>
      <w:r w:rsidRPr="00563AE6">
        <w:rPr>
          <w:rFonts w:cs="mylotus" w:hint="cs"/>
          <w:sz w:val="23"/>
          <w:szCs w:val="23"/>
          <w:rtl/>
        </w:rPr>
        <w:t xml:space="preserve"> </w:t>
      </w:r>
      <w:r w:rsidRPr="00563AE6">
        <w:rPr>
          <w:rFonts w:cs="mylotus" w:hint="cs"/>
          <w:b/>
          <w:bCs/>
          <w:sz w:val="23"/>
          <w:szCs w:val="23"/>
          <w:rtl/>
        </w:rPr>
        <w:t>المصدر نفسه</w:t>
      </w:r>
      <w:r w:rsidRPr="00563AE6">
        <w:rPr>
          <w:rFonts w:cs="mylotus" w:hint="cs"/>
          <w:sz w:val="23"/>
          <w:szCs w:val="23"/>
          <w:rtl/>
        </w:rPr>
        <w:t xml:space="preserve">، </w:t>
      </w:r>
      <w:r w:rsidRPr="00563AE6">
        <w:rPr>
          <w:rFonts w:cs="mylotus"/>
          <w:sz w:val="23"/>
          <w:szCs w:val="23"/>
          <w:rtl/>
        </w:rPr>
        <w:t xml:space="preserve">ج 4، ص </w:t>
      </w:r>
      <w:r w:rsidRPr="00563AE6">
        <w:rPr>
          <w:rFonts w:cs="mylotus" w:hint="cs"/>
          <w:sz w:val="23"/>
          <w:szCs w:val="23"/>
          <w:rtl/>
        </w:rPr>
        <w:t>128.</w:t>
      </w:r>
    </w:p>
  </w:footnote>
  <w:footnote w:id="246">
    <w:p w:rsidR="00B31118" w:rsidRPr="00563AE6" w:rsidRDefault="00B31118" w:rsidP="00B300C9">
      <w:pPr>
        <w:pStyle w:val="FootnoteText"/>
        <w:spacing w:line="228" w:lineRule="auto"/>
        <w:ind w:left="378" w:hanging="378"/>
        <w:jc w:val="both"/>
        <w:rPr>
          <w:rFonts w:cs="mylotus" w:hint="cs"/>
          <w:sz w:val="23"/>
          <w:szCs w:val="23"/>
          <w:rtl/>
        </w:rPr>
      </w:pPr>
      <w:r w:rsidRPr="00563AE6">
        <w:rPr>
          <w:rFonts w:cs="mylotus"/>
          <w:sz w:val="23"/>
          <w:szCs w:val="23"/>
          <w:rtl/>
        </w:rPr>
        <w:footnoteRef/>
      </w:r>
      <w:r>
        <w:rPr>
          <w:rFonts w:cs="mylotus"/>
          <w:sz w:val="23"/>
          <w:szCs w:val="23"/>
          <w:rtl/>
        </w:rPr>
        <w:t>-</w:t>
      </w:r>
      <w:r w:rsidRPr="00563AE6">
        <w:rPr>
          <w:rFonts w:cs="mylotus" w:hint="cs"/>
          <w:sz w:val="23"/>
          <w:szCs w:val="23"/>
          <w:rtl/>
        </w:rPr>
        <w:t xml:space="preserve"> </w:t>
      </w:r>
      <w:r w:rsidRPr="00563AE6">
        <w:rPr>
          <w:rFonts w:cs="mylotus"/>
          <w:sz w:val="23"/>
          <w:szCs w:val="23"/>
          <w:rtl/>
        </w:rPr>
        <w:t>الكُلَيْنِيّ</w:t>
      </w:r>
      <w:r w:rsidRPr="00563AE6">
        <w:rPr>
          <w:rFonts w:cs="mylotus" w:hint="cs"/>
          <w:sz w:val="23"/>
          <w:szCs w:val="23"/>
          <w:rtl/>
        </w:rPr>
        <w:t xml:space="preserve">، </w:t>
      </w:r>
      <w:r w:rsidRPr="00563AE6">
        <w:rPr>
          <w:rFonts w:cs="mylotus"/>
          <w:sz w:val="23"/>
          <w:szCs w:val="23"/>
          <w:rtl/>
        </w:rPr>
        <w:t>الكافي</w:t>
      </w:r>
      <w:r w:rsidRPr="00563AE6">
        <w:rPr>
          <w:rFonts w:cs="mylotus" w:hint="cs"/>
          <w:sz w:val="23"/>
          <w:szCs w:val="23"/>
          <w:rtl/>
        </w:rPr>
        <w:t xml:space="preserve">، </w:t>
      </w:r>
      <w:r w:rsidRPr="00563AE6">
        <w:rPr>
          <w:rFonts w:cs="mylotus"/>
          <w:sz w:val="23"/>
          <w:szCs w:val="23"/>
          <w:rtl/>
        </w:rPr>
        <w:t>ج 1، ص 539</w:t>
      </w:r>
      <w:r w:rsidRPr="00563AE6">
        <w:rPr>
          <w:rFonts w:cs="mylotus" w:hint="cs"/>
          <w:sz w:val="23"/>
          <w:szCs w:val="23"/>
          <w:rtl/>
        </w:rPr>
        <w:t>.</w:t>
      </w:r>
    </w:p>
  </w:footnote>
  <w:footnote w:id="247">
    <w:p w:rsidR="00B31118" w:rsidRPr="00563AE6" w:rsidRDefault="00B31118" w:rsidP="00B300C9">
      <w:pPr>
        <w:pStyle w:val="FootnoteText"/>
        <w:spacing w:line="228" w:lineRule="auto"/>
        <w:ind w:left="378" w:hanging="378"/>
        <w:jc w:val="both"/>
        <w:rPr>
          <w:rFonts w:cs="mylotus" w:hint="cs"/>
          <w:sz w:val="23"/>
          <w:szCs w:val="23"/>
          <w:lang w:bidi="ar-SY"/>
        </w:rPr>
      </w:pPr>
      <w:r w:rsidRPr="00563AE6">
        <w:rPr>
          <w:rFonts w:cs="mylotus"/>
          <w:sz w:val="23"/>
          <w:szCs w:val="23"/>
          <w:rtl/>
        </w:rPr>
        <w:footnoteRef/>
      </w:r>
      <w:r>
        <w:rPr>
          <w:rFonts w:cs="mylotus"/>
          <w:sz w:val="23"/>
          <w:szCs w:val="23"/>
          <w:rtl/>
        </w:rPr>
        <w:t>-</w:t>
      </w:r>
      <w:r w:rsidRPr="00563AE6">
        <w:rPr>
          <w:rFonts w:cs="mylotus" w:hint="cs"/>
          <w:sz w:val="23"/>
          <w:szCs w:val="23"/>
          <w:rtl/>
        </w:rPr>
        <w:t xml:space="preserve"> </w:t>
      </w:r>
      <w:r w:rsidRPr="00563AE6">
        <w:rPr>
          <w:rFonts w:cs="mylotus" w:hint="cs"/>
          <w:b/>
          <w:bCs/>
          <w:sz w:val="23"/>
          <w:szCs w:val="23"/>
          <w:rtl/>
        </w:rPr>
        <w:t>المصدر نفسه</w:t>
      </w:r>
      <w:r w:rsidRPr="00563AE6">
        <w:rPr>
          <w:rFonts w:cs="mylotus" w:hint="cs"/>
          <w:sz w:val="23"/>
          <w:szCs w:val="23"/>
          <w:rtl/>
        </w:rPr>
        <w:t xml:space="preserve">، </w:t>
      </w:r>
      <w:r w:rsidRPr="00563AE6">
        <w:rPr>
          <w:rFonts w:cs="mylotus"/>
          <w:sz w:val="23"/>
          <w:szCs w:val="23"/>
          <w:rtl/>
        </w:rPr>
        <w:t>ج 1، ص 539</w:t>
      </w:r>
      <w:r w:rsidRPr="00563AE6">
        <w:rPr>
          <w:rFonts w:cs="mylotus" w:hint="cs"/>
          <w:sz w:val="23"/>
          <w:szCs w:val="23"/>
          <w:rtl/>
        </w:rPr>
        <w:t>.</w:t>
      </w:r>
    </w:p>
  </w:footnote>
  <w:footnote w:id="248">
    <w:p w:rsidR="00B31118" w:rsidRPr="00563AE6" w:rsidRDefault="00B31118" w:rsidP="00B300C9">
      <w:pPr>
        <w:pStyle w:val="FootnoteText"/>
        <w:spacing w:line="228" w:lineRule="auto"/>
        <w:ind w:left="378" w:hanging="378"/>
        <w:jc w:val="both"/>
        <w:rPr>
          <w:rFonts w:cs="mylotus" w:hint="cs"/>
          <w:sz w:val="23"/>
          <w:szCs w:val="23"/>
        </w:rPr>
      </w:pPr>
      <w:r w:rsidRPr="00563AE6">
        <w:rPr>
          <w:rFonts w:cs="mylotus"/>
          <w:sz w:val="23"/>
          <w:szCs w:val="23"/>
          <w:rtl/>
        </w:rPr>
        <w:footnoteRef/>
      </w:r>
      <w:r>
        <w:rPr>
          <w:rFonts w:cs="mylotus"/>
          <w:sz w:val="23"/>
          <w:szCs w:val="23"/>
          <w:rtl/>
        </w:rPr>
        <w:t>-</w:t>
      </w:r>
      <w:r w:rsidRPr="00563AE6">
        <w:rPr>
          <w:rFonts w:cs="mylotus" w:hint="cs"/>
          <w:sz w:val="23"/>
          <w:szCs w:val="23"/>
          <w:rtl/>
        </w:rPr>
        <w:t xml:space="preserve"> </w:t>
      </w:r>
      <w:r w:rsidRPr="00563AE6">
        <w:rPr>
          <w:rFonts w:cs="mylotus" w:hint="cs"/>
          <w:b/>
          <w:bCs/>
          <w:sz w:val="23"/>
          <w:szCs w:val="23"/>
          <w:rtl/>
        </w:rPr>
        <w:t>المصدر نفسه</w:t>
      </w:r>
      <w:r w:rsidRPr="00563AE6">
        <w:rPr>
          <w:rFonts w:cs="mylotus" w:hint="cs"/>
          <w:sz w:val="23"/>
          <w:szCs w:val="23"/>
          <w:rtl/>
        </w:rPr>
        <w:t xml:space="preserve">، </w:t>
      </w:r>
      <w:r w:rsidRPr="00563AE6">
        <w:rPr>
          <w:rFonts w:cs="mylotus"/>
          <w:sz w:val="23"/>
          <w:szCs w:val="23"/>
          <w:rtl/>
        </w:rPr>
        <w:t xml:space="preserve">ج 1، ص </w:t>
      </w:r>
      <w:r w:rsidRPr="00563AE6">
        <w:rPr>
          <w:rFonts w:cs="mylotus" w:hint="cs"/>
          <w:sz w:val="23"/>
          <w:szCs w:val="23"/>
          <w:rtl/>
        </w:rPr>
        <w:t>544.</w:t>
      </w:r>
    </w:p>
  </w:footnote>
  <w:footnote w:id="249">
    <w:p w:rsidR="00B31118" w:rsidRPr="00563AE6" w:rsidRDefault="00B31118" w:rsidP="00B300C9">
      <w:pPr>
        <w:pStyle w:val="FootnoteText"/>
        <w:spacing w:line="228" w:lineRule="auto"/>
        <w:ind w:left="378" w:hanging="378"/>
        <w:jc w:val="both"/>
        <w:rPr>
          <w:rFonts w:cs="mylotus" w:hint="cs"/>
          <w:sz w:val="23"/>
          <w:szCs w:val="23"/>
        </w:rPr>
      </w:pPr>
      <w:r w:rsidRPr="00563AE6">
        <w:rPr>
          <w:rStyle w:val="FootnoteReference"/>
          <w:rFonts w:cs="mylotus"/>
          <w:sz w:val="23"/>
          <w:szCs w:val="23"/>
          <w:vertAlign w:val="baseline"/>
          <w:rtl/>
        </w:rPr>
        <w:footnoteRef/>
      </w:r>
      <w:r>
        <w:rPr>
          <w:rFonts w:cs="mylotus"/>
          <w:sz w:val="23"/>
          <w:szCs w:val="23"/>
          <w:rtl/>
        </w:rPr>
        <w:t>-</w:t>
      </w:r>
      <w:r w:rsidRPr="00563AE6">
        <w:rPr>
          <w:rFonts w:cs="mylotus" w:hint="cs"/>
          <w:b/>
          <w:bCs/>
          <w:sz w:val="23"/>
          <w:szCs w:val="23"/>
          <w:rtl/>
        </w:rPr>
        <w:t xml:space="preserve"> المصدر نفسه</w:t>
      </w:r>
      <w:r w:rsidRPr="00563AE6">
        <w:rPr>
          <w:rFonts w:cs="mylotus" w:hint="cs"/>
          <w:sz w:val="23"/>
          <w:szCs w:val="23"/>
          <w:rtl/>
        </w:rPr>
        <w:t xml:space="preserve">، </w:t>
      </w:r>
      <w:r w:rsidRPr="00563AE6">
        <w:rPr>
          <w:rFonts w:cs="mylotus"/>
          <w:sz w:val="23"/>
          <w:szCs w:val="23"/>
          <w:rtl/>
        </w:rPr>
        <w:t>ج 1، ص 539</w:t>
      </w:r>
      <w:r w:rsidRPr="00563AE6">
        <w:rPr>
          <w:rFonts w:cs="mylotus" w:hint="cs"/>
          <w:sz w:val="23"/>
          <w:szCs w:val="23"/>
          <w:rtl/>
        </w:rPr>
        <w:t>.</w:t>
      </w:r>
    </w:p>
  </w:footnote>
  <w:footnote w:id="250">
    <w:p w:rsidR="00B31118" w:rsidRPr="00563AE6" w:rsidRDefault="00B31118" w:rsidP="00B300C9">
      <w:pPr>
        <w:pStyle w:val="FootnoteText"/>
        <w:spacing w:line="228" w:lineRule="auto"/>
        <w:ind w:left="378" w:hanging="378"/>
        <w:jc w:val="both"/>
        <w:rPr>
          <w:rFonts w:cs="mylotus" w:hint="cs"/>
          <w:sz w:val="23"/>
          <w:szCs w:val="23"/>
          <w:lang w:bidi="ar-SY"/>
        </w:rPr>
      </w:pPr>
      <w:r w:rsidRPr="00563AE6">
        <w:rPr>
          <w:rStyle w:val="FootnoteReference"/>
          <w:rFonts w:cs="mylotus"/>
          <w:sz w:val="23"/>
          <w:szCs w:val="23"/>
          <w:vertAlign w:val="baseline"/>
          <w:rtl/>
        </w:rPr>
        <w:footnoteRef/>
      </w:r>
      <w:r>
        <w:rPr>
          <w:rFonts w:cs="mylotus"/>
          <w:sz w:val="23"/>
          <w:szCs w:val="23"/>
          <w:rtl/>
        </w:rPr>
        <w:t>-</w:t>
      </w:r>
      <w:r w:rsidRPr="00563AE6">
        <w:rPr>
          <w:rFonts w:cs="mylotus"/>
          <w:sz w:val="23"/>
          <w:szCs w:val="23"/>
          <w:rtl/>
        </w:rPr>
        <w:t xml:space="preserve"> </w:t>
      </w:r>
      <w:r w:rsidRPr="00563AE6">
        <w:rPr>
          <w:rFonts w:cs="mylotus" w:hint="cs"/>
          <w:sz w:val="23"/>
          <w:szCs w:val="23"/>
          <w:rtl/>
        </w:rPr>
        <w:t xml:space="preserve">الحرّ العاملي، </w:t>
      </w:r>
      <w:r w:rsidRPr="00563AE6">
        <w:rPr>
          <w:rFonts w:cs="mylotus"/>
          <w:sz w:val="23"/>
          <w:szCs w:val="23"/>
          <w:rtl/>
        </w:rPr>
        <w:t>وسائل الشيعة</w:t>
      </w:r>
      <w:r w:rsidRPr="00563AE6">
        <w:rPr>
          <w:rFonts w:cs="mylotus" w:hint="cs"/>
          <w:sz w:val="23"/>
          <w:szCs w:val="23"/>
          <w:rtl/>
        </w:rPr>
        <w:t>، ج 9، ص 515-516.</w:t>
      </w:r>
    </w:p>
  </w:footnote>
  <w:footnote w:id="251">
    <w:p w:rsidR="00B31118" w:rsidRPr="00563AE6" w:rsidRDefault="00B31118" w:rsidP="00B300C9">
      <w:pPr>
        <w:pStyle w:val="FootnoteText"/>
        <w:spacing w:line="228" w:lineRule="auto"/>
        <w:ind w:left="378" w:hanging="378"/>
        <w:jc w:val="both"/>
        <w:rPr>
          <w:rFonts w:cs="mylotus" w:hint="cs"/>
          <w:sz w:val="23"/>
          <w:szCs w:val="23"/>
          <w:rtl/>
          <w:lang w:bidi="ar-SY"/>
        </w:rPr>
      </w:pPr>
      <w:r w:rsidRPr="00563AE6">
        <w:rPr>
          <w:rStyle w:val="FootnoteReference"/>
          <w:rFonts w:cs="mylotus"/>
          <w:sz w:val="23"/>
          <w:szCs w:val="23"/>
          <w:vertAlign w:val="baseline"/>
          <w:rtl/>
        </w:rPr>
        <w:footnoteRef/>
      </w:r>
      <w:r>
        <w:rPr>
          <w:rFonts w:cs="mylotus"/>
          <w:sz w:val="23"/>
          <w:szCs w:val="23"/>
          <w:rtl/>
        </w:rPr>
        <w:t>-</w:t>
      </w:r>
      <w:r w:rsidRPr="00563AE6">
        <w:rPr>
          <w:rFonts w:cs="mylotus"/>
          <w:sz w:val="23"/>
          <w:szCs w:val="23"/>
          <w:rtl/>
        </w:rPr>
        <w:t xml:space="preserve"> </w:t>
      </w:r>
      <w:r w:rsidRPr="00563AE6">
        <w:rPr>
          <w:rFonts w:cs="mylotus" w:hint="cs"/>
          <w:sz w:val="23"/>
          <w:szCs w:val="23"/>
          <w:rtl/>
        </w:rPr>
        <w:t xml:space="preserve">الحرّ العاملي، </w:t>
      </w:r>
      <w:r w:rsidRPr="00563AE6">
        <w:rPr>
          <w:rFonts w:cs="mylotus"/>
          <w:sz w:val="23"/>
          <w:szCs w:val="23"/>
          <w:rtl/>
        </w:rPr>
        <w:t>وسائل الشيعة</w:t>
      </w:r>
      <w:r w:rsidRPr="00563AE6">
        <w:rPr>
          <w:rFonts w:cs="mylotus" w:hint="cs"/>
          <w:sz w:val="23"/>
          <w:szCs w:val="23"/>
          <w:rtl/>
        </w:rPr>
        <w:t xml:space="preserve">، ج 9، ص 484. </w:t>
      </w:r>
    </w:p>
  </w:footnote>
  <w:footnote w:id="252">
    <w:p w:rsidR="00B31118" w:rsidRPr="00563AE6" w:rsidRDefault="00B31118" w:rsidP="00B300C9">
      <w:pPr>
        <w:spacing w:line="228" w:lineRule="auto"/>
        <w:ind w:left="378" w:hanging="378"/>
        <w:jc w:val="both"/>
        <w:rPr>
          <w:rFonts w:cs="mylotus" w:hint="cs"/>
          <w:sz w:val="23"/>
          <w:szCs w:val="23"/>
          <w:rtl/>
        </w:rPr>
      </w:pPr>
      <w:r w:rsidRPr="00563AE6">
        <w:rPr>
          <w:rFonts w:cs="mylotus"/>
          <w:sz w:val="23"/>
          <w:szCs w:val="23"/>
          <w:rtl/>
        </w:rPr>
        <w:footnoteRef/>
      </w:r>
      <w:r>
        <w:rPr>
          <w:rFonts w:cs="mylotus"/>
          <w:sz w:val="23"/>
          <w:szCs w:val="23"/>
          <w:rtl/>
        </w:rPr>
        <w:t>-</w:t>
      </w:r>
      <w:r w:rsidRPr="00563AE6">
        <w:rPr>
          <w:rFonts w:cs="mylotus"/>
          <w:sz w:val="23"/>
          <w:szCs w:val="23"/>
          <w:rtl/>
        </w:rPr>
        <w:t xml:space="preserve"> </w:t>
      </w:r>
      <w:r w:rsidRPr="00563AE6">
        <w:rPr>
          <w:rFonts w:cs="mylotus" w:hint="cs"/>
          <w:sz w:val="23"/>
          <w:szCs w:val="23"/>
          <w:rtl/>
        </w:rPr>
        <w:t>أو ج 9، ص من 509 إلى 519، من الطبعة الجديدة في [29] مجلداً، طبع قم: م</w:t>
      </w:r>
      <w:r w:rsidRPr="00563AE6">
        <w:rPr>
          <w:rFonts w:cs="mylotus"/>
          <w:sz w:val="23"/>
          <w:szCs w:val="23"/>
          <w:rtl/>
        </w:rPr>
        <w:t>ؤسسه آل البيت لإحياء التراث</w:t>
      </w:r>
      <w:r w:rsidRPr="00563AE6">
        <w:rPr>
          <w:rFonts w:cs="mylotus" w:hint="cs"/>
          <w:sz w:val="23"/>
          <w:szCs w:val="23"/>
          <w:rtl/>
        </w:rPr>
        <w:t>، 1409هـ</w:t>
      </w:r>
      <w:r w:rsidRPr="00563AE6">
        <w:rPr>
          <w:rFonts w:cs="mylotus"/>
          <w:sz w:val="23"/>
          <w:szCs w:val="23"/>
          <w:rtl/>
        </w:rPr>
        <w:t>‏</w:t>
      </w:r>
      <w:r w:rsidRPr="00563AE6">
        <w:rPr>
          <w:rFonts w:cs="mylotus" w:hint="cs"/>
          <w:sz w:val="23"/>
          <w:szCs w:val="23"/>
          <w:rtl/>
        </w:rPr>
        <w:t>. (المُتَرْجِمُ)</w:t>
      </w:r>
    </w:p>
  </w:footnote>
  <w:footnote w:id="253">
    <w:p w:rsidR="00B31118" w:rsidRPr="00563AE6" w:rsidRDefault="00B31118" w:rsidP="00B300C9">
      <w:pPr>
        <w:spacing w:line="228" w:lineRule="auto"/>
        <w:ind w:left="378" w:hanging="378"/>
        <w:jc w:val="both"/>
        <w:rPr>
          <w:rFonts w:cs="mylotus" w:hint="cs"/>
          <w:sz w:val="23"/>
          <w:szCs w:val="23"/>
          <w:rtl/>
        </w:rPr>
      </w:pPr>
      <w:r w:rsidRPr="00563AE6">
        <w:rPr>
          <w:rFonts w:cs="mylotus"/>
          <w:sz w:val="23"/>
          <w:szCs w:val="23"/>
          <w:rtl/>
        </w:rPr>
        <w:footnoteRef/>
      </w:r>
      <w:r>
        <w:rPr>
          <w:rFonts w:cs="mylotus"/>
          <w:sz w:val="23"/>
          <w:szCs w:val="23"/>
          <w:rtl/>
        </w:rPr>
        <w:t>-</w:t>
      </w:r>
      <w:r w:rsidRPr="00563AE6">
        <w:rPr>
          <w:rFonts w:cs="mylotus" w:hint="cs"/>
          <w:sz w:val="23"/>
          <w:szCs w:val="23"/>
          <w:rtl/>
        </w:rPr>
        <w:t xml:space="preserve"> </w:t>
      </w:r>
      <w:r w:rsidRPr="00563AE6">
        <w:rPr>
          <w:rFonts w:cs="mylotus"/>
          <w:sz w:val="23"/>
          <w:szCs w:val="23"/>
          <w:rtl/>
        </w:rPr>
        <w:t>المقدس الأردبيلي</w:t>
      </w:r>
      <w:r w:rsidRPr="00563AE6">
        <w:rPr>
          <w:rFonts w:cs="mylotus" w:hint="cs"/>
          <w:sz w:val="23"/>
          <w:szCs w:val="23"/>
          <w:rtl/>
        </w:rPr>
        <w:t xml:space="preserve">، </w:t>
      </w:r>
      <w:r w:rsidRPr="00563AE6">
        <w:rPr>
          <w:rFonts w:cs="mylotus"/>
          <w:sz w:val="23"/>
          <w:szCs w:val="23"/>
          <w:rtl/>
        </w:rPr>
        <w:t>زبدة البيا</w:t>
      </w:r>
      <w:r w:rsidRPr="00563AE6">
        <w:rPr>
          <w:rFonts w:cs="mylotus" w:hint="cs"/>
          <w:sz w:val="23"/>
          <w:szCs w:val="23"/>
          <w:rtl/>
        </w:rPr>
        <w:t xml:space="preserve">ن، </w:t>
      </w:r>
      <w:r w:rsidRPr="00563AE6">
        <w:rPr>
          <w:rFonts w:cs="mylotus"/>
          <w:sz w:val="23"/>
          <w:szCs w:val="23"/>
          <w:rtl/>
        </w:rPr>
        <w:t>ص</w:t>
      </w:r>
      <w:r w:rsidRPr="00563AE6">
        <w:rPr>
          <w:rFonts w:cs="mylotus" w:hint="cs"/>
          <w:sz w:val="23"/>
          <w:szCs w:val="23"/>
          <w:rtl/>
        </w:rPr>
        <w:t xml:space="preserve"> </w:t>
      </w:r>
      <w:r w:rsidRPr="00563AE6">
        <w:rPr>
          <w:rFonts w:cs="mylotus"/>
          <w:sz w:val="23"/>
          <w:szCs w:val="23"/>
          <w:rtl/>
        </w:rPr>
        <w:t>209</w:t>
      </w:r>
      <w:r w:rsidRPr="00563AE6">
        <w:rPr>
          <w:rFonts w:cs="mylotus" w:hint="cs"/>
          <w:sz w:val="23"/>
          <w:szCs w:val="23"/>
          <w:rtl/>
        </w:rPr>
        <w:t>.</w:t>
      </w:r>
    </w:p>
  </w:footnote>
  <w:footnote w:id="254">
    <w:p w:rsidR="00B31118" w:rsidRPr="00563AE6" w:rsidRDefault="00B31118" w:rsidP="00B300C9">
      <w:pPr>
        <w:spacing w:line="228" w:lineRule="auto"/>
        <w:ind w:left="378" w:hanging="378"/>
        <w:jc w:val="both"/>
        <w:rPr>
          <w:rFonts w:cs="mylotus" w:hint="cs"/>
          <w:sz w:val="23"/>
          <w:szCs w:val="23"/>
          <w:rtl/>
        </w:rPr>
      </w:pPr>
      <w:r w:rsidRPr="00563AE6">
        <w:rPr>
          <w:rFonts w:cs="mylotus"/>
          <w:sz w:val="23"/>
          <w:szCs w:val="23"/>
          <w:rtl/>
        </w:rPr>
        <w:footnoteRef/>
      </w:r>
      <w:r>
        <w:rPr>
          <w:rFonts w:cs="mylotus"/>
          <w:sz w:val="23"/>
          <w:szCs w:val="23"/>
          <w:rtl/>
        </w:rPr>
        <w:t>-</w:t>
      </w:r>
      <w:r w:rsidRPr="00563AE6">
        <w:rPr>
          <w:rFonts w:cs="mylotus"/>
          <w:sz w:val="23"/>
          <w:szCs w:val="23"/>
          <w:rtl/>
        </w:rPr>
        <w:t xml:space="preserve"> </w:t>
      </w:r>
      <w:r w:rsidRPr="00563AE6">
        <w:rPr>
          <w:rFonts w:cs="mylotus" w:hint="cs"/>
          <w:sz w:val="23"/>
          <w:szCs w:val="23"/>
          <w:rtl/>
        </w:rPr>
        <w:t xml:space="preserve">حقاً إنه مما يلفت الانتباه ويستدعي التأمل أن لا يوجد أي حديث من هذه الأحاديث والأخبار التي تتحدث عن خمس شامل لأرباح المكاسب وغيرها في كتاب </w:t>
      </w:r>
      <w:r w:rsidRPr="00563AE6">
        <w:rPr>
          <w:rFonts w:cs="mylotus" w:hint="eastAsia"/>
          <w:sz w:val="23"/>
          <w:szCs w:val="23"/>
          <w:rtl/>
        </w:rPr>
        <w:t>«</w:t>
      </w:r>
      <w:r w:rsidRPr="00563AE6">
        <w:rPr>
          <w:rFonts w:cs="mylotus" w:hint="cs"/>
          <w:sz w:val="23"/>
          <w:szCs w:val="23"/>
          <w:rtl/>
        </w:rPr>
        <w:t>من لا يحضره الفقيه</w:t>
      </w:r>
      <w:r w:rsidRPr="00563AE6">
        <w:rPr>
          <w:rFonts w:cs="mylotus" w:hint="eastAsia"/>
          <w:sz w:val="23"/>
          <w:szCs w:val="23"/>
          <w:rtl/>
        </w:rPr>
        <w:t>»</w:t>
      </w:r>
      <w:r w:rsidRPr="00563AE6">
        <w:rPr>
          <w:rFonts w:cs="mylotus" w:hint="cs"/>
          <w:sz w:val="23"/>
          <w:szCs w:val="23"/>
          <w:rtl/>
        </w:rPr>
        <w:t xml:space="preserve">. وهذا يبين أن الشيخ الصدوق لم يكن يُعِرْ مثل هذه الأحاديث أي اهتمام ولا يرى صحة شيء منها، وإلا لأورد بعضها في كتابه الفقهي الذي جعله حجة بينه وبين الله! وفي كتاب الكافي الشريف، في (باب الفيء والأنفال وتفسير الخمس وحدوده) ثمانية وعشرون حديثاً في هذا الموضوع، وطبقاً لتحقيق العلامة المجلسي (رح) في كتابه </w:t>
      </w:r>
      <w:r w:rsidRPr="00563AE6">
        <w:rPr>
          <w:rFonts w:cs="mylotus" w:hint="eastAsia"/>
          <w:sz w:val="23"/>
          <w:szCs w:val="23"/>
          <w:rtl/>
        </w:rPr>
        <w:t>«</w:t>
      </w:r>
      <w:r w:rsidRPr="00563AE6">
        <w:rPr>
          <w:rFonts w:cs="mylotus" w:hint="cs"/>
          <w:sz w:val="23"/>
          <w:szCs w:val="23"/>
          <w:rtl/>
        </w:rPr>
        <w:t>مرآة العقول</w:t>
      </w:r>
      <w:r w:rsidRPr="00563AE6">
        <w:rPr>
          <w:rFonts w:cs="mylotus" w:hint="eastAsia"/>
          <w:sz w:val="23"/>
          <w:szCs w:val="23"/>
          <w:rtl/>
        </w:rPr>
        <w:t>»</w:t>
      </w:r>
      <w:r w:rsidRPr="00563AE6">
        <w:rPr>
          <w:rFonts w:cs="mylotus" w:hint="cs"/>
          <w:sz w:val="23"/>
          <w:szCs w:val="23"/>
          <w:rtl/>
        </w:rPr>
        <w:t xml:space="preserve"> (ج1، ص441 إلى 449) فإن درجة هذه الأحاديث هي كما يلي: </w:t>
      </w:r>
    </w:p>
    <w:p w:rsidR="00B31118" w:rsidRPr="00563AE6" w:rsidRDefault="00B31118" w:rsidP="00B300C9">
      <w:pPr>
        <w:spacing w:line="228" w:lineRule="auto"/>
        <w:ind w:left="378"/>
        <w:jc w:val="both"/>
        <w:rPr>
          <w:rFonts w:cs="mylotus" w:hint="cs"/>
          <w:sz w:val="23"/>
          <w:szCs w:val="23"/>
        </w:rPr>
      </w:pPr>
      <w:r w:rsidRPr="00563AE6">
        <w:rPr>
          <w:rFonts w:cs="mylotus" w:hint="cs"/>
          <w:sz w:val="23"/>
          <w:szCs w:val="23"/>
          <w:rtl/>
        </w:rPr>
        <w:t xml:space="preserve">13 حديثاً منها ضعيفة وهي الأحاديث: 1-4-6-10-14-15-18-20-22-23-24-25-26. و9 منها حسنة وهي الأحاديث: 3-8-9-11-16-17-27-28. ولا يدل أي منها على الأمر بدفع الخمس، بل هي تشرح الأشياء التي يتم إخراج خمسها من قبل ولي الأمر مثل الأنفال والمعادن وصفو المال وتولية الوقف. و3 أحاديث منها مجهولة وهي الأحاديث 5-12-21. والحديث الرابع مرسل وهو يشرح تقسيم الغنائم. ولا يوجد من جميع الثمانية وعشرين حديثاً هذه إلا حديثان صحيحان هما الحديث 7 الذي يدل على أن تقسيم الخمس بيد النبي والإمام والحديث 13 الذي يفيد أن الخمس إنما يخرج بعد وضع المؤونة مثل خمس المعادن الذي يخرج بعد اقتطاع تكاليف استخراجه. </w:t>
      </w:r>
    </w:p>
  </w:footnote>
  <w:footnote w:id="255">
    <w:p w:rsidR="00B31118" w:rsidRPr="00563AE6" w:rsidRDefault="00B31118" w:rsidP="00B300C9">
      <w:pPr>
        <w:spacing w:line="228" w:lineRule="auto"/>
        <w:ind w:left="378" w:hanging="378"/>
        <w:jc w:val="both"/>
        <w:rPr>
          <w:rFonts w:cs="mylotus" w:hint="cs"/>
          <w:sz w:val="23"/>
          <w:szCs w:val="23"/>
        </w:rPr>
      </w:pPr>
      <w:r w:rsidRPr="00563AE6">
        <w:rPr>
          <w:rFonts w:cs="mylotus"/>
          <w:sz w:val="23"/>
          <w:szCs w:val="23"/>
          <w:rtl/>
        </w:rPr>
        <w:footnoteRef/>
      </w:r>
      <w:r>
        <w:rPr>
          <w:rFonts w:cs="mylotus"/>
          <w:sz w:val="23"/>
          <w:szCs w:val="23"/>
          <w:rtl/>
        </w:rPr>
        <w:t>-</w:t>
      </w:r>
      <w:r w:rsidRPr="00563AE6">
        <w:rPr>
          <w:rFonts w:cs="mylotus" w:hint="cs"/>
          <w:sz w:val="23"/>
          <w:szCs w:val="23"/>
          <w:rtl/>
        </w:rPr>
        <w:t xml:space="preserve"> انظروا: وسائل الشيعة، ج 2، ص 61.</w:t>
      </w:r>
    </w:p>
  </w:footnote>
  <w:footnote w:id="256">
    <w:p w:rsidR="00B31118" w:rsidRPr="00563AE6" w:rsidRDefault="00B31118" w:rsidP="00B300C9">
      <w:pPr>
        <w:spacing w:line="228" w:lineRule="auto"/>
        <w:ind w:left="378" w:hanging="378"/>
        <w:jc w:val="both"/>
        <w:rPr>
          <w:rFonts w:cs="mylotus" w:hint="cs"/>
          <w:sz w:val="23"/>
          <w:szCs w:val="23"/>
        </w:rPr>
      </w:pPr>
      <w:r w:rsidRPr="00563AE6">
        <w:rPr>
          <w:rFonts w:cs="mylotus"/>
          <w:sz w:val="23"/>
          <w:szCs w:val="23"/>
          <w:rtl/>
        </w:rPr>
        <w:footnoteRef/>
      </w:r>
      <w:r>
        <w:rPr>
          <w:rFonts w:cs="mylotus"/>
          <w:sz w:val="23"/>
          <w:szCs w:val="23"/>
          <w:rtl/>
        </w:rPr>
        <w:t>-</w:t>
      </w:r>
      <w:r w:rsidRPr="00563AE6">
        <w:rPr>
          <w:rFonts w:cs="mylotus" w:hint="cs"/>
          <w:sz w:val="23"/>
          <w:szCs w:val="23"/>
          <w:rtl/>
        </w:rPr>
        <w:t xml:space="preserve"> تهذيب الأحكام، ج 4، ص 16.</w:t>
      </w:r>
    </w:p>
  </w:footnote>
  <w:footnote w:id="257">
    <w:p w:rsidR="00B31118" w:rsidRPr="00563AE6" w:rsidRDefault="00B31118" w:rsidP="00B300C9">
      <w:pPr>
        <w:spacing w:line="228" w:lineRule="auto"/>
        <w:ind w:left="378" w:hanging="378"/>
        <w:jc w:val="both"/>
        <w:rPr>
          <w:rFonts w:cs="mylotus" w:hint="cs"/>
          <w:sz w:val="23"/>
          <w:szCs w:val="23"/>
        </w:rPr>
      </w:pPr>
      <w:r w:rsidRPr="00563AE6">
        <w:rPr>
          <w:rFonts w:cs="mylotus"/>
          <w:sz w:val="23"/>
          <w:szCs w:val="23"/>
          <w:rtl/>
        </w:rPr>
        <w:footnoteRef/>
      </w:r>
      <w:r>
        <w:rPr>
          <w:rFonts w:cs="mylotus"/>
          <w:sz w:val="23"/>
          <w:szCs w:val="23"/>
          <w:rtl/>
        </w:rPr>
        <w:t>-</w:t>
      </w:r>
      <w:r w:rsidRPr="00563AE6">
        <w:rPr>
          <w:rFonts w:cs="mylotus" w:hint="cs"/>
          <w:sz w:val="23"/>
          <w:szCs w:val="23"/>
          <w:rtl/>
        </w:rPr>
        <w:t xml:space="preserve"> رجال ابن داود، ص 457.</w:t>
      </w:r>
    </w:p>
  </w:footnote>
  <w:footnote w:id="258">
    <w:p w:rsidR="00B31118" w:rsidRPr="00563AE6" w:rsidRDefault="00B31118" w:rsidP="00EE7F5E">
      <w:pPr>
        <w:spacing w:line="228" w:lineRule="auto"/>
        <w:ind w:left="378" w:hanging="378"/>
        <w:jc w:val="both"/>
        <w:rPr>
          <w:rFonts w:cs="mylotus" w:hint="cs"/>
          <w:sz w:val="23"/>
          <w:szCs w:val="23"/>
          <w:rtl/>
        </w:rPr>
      </w:pPr>
      <w:r w:rsidRPr="00563AE6">
        <w:rPr>
          <w:rFonts w:cs="mylotus"/>
          <w:sz w:val="23"/>
          <w:szCs w:val="23"/>
          <w:rtl/>
        </w:rPr>
        <w:footnoteRef/>
      </w:r>
      <w:r>
        <w:rPr>
          <w:rFonts w:cs="mylotus"/>
          <w:sz w:val="23"/>
          <w:szCs w:val="23"/>
          <w:rtl/>
        </w:rPr>
        <w:t>-</w:t>
      </w:r>
      <w:r w:rsidRPr="00563AE6">
        <w:rPr>
          <w:rFonts w:cs="mylotus"/>
          <w:sz w:val="23"/>
          <w:szCs w:val="23"/>
          <w:rtl/>
        </w:rPr>
        <w:t xml:space="preserve"> </w:t>
      </w:r>
      <w:r w:rsidRPr="00563AE6">
        <w:rPr>
          <w:rFonts w:cs="mylotus" w:hint="cs"/>
          <w:sz w:val="23"/>
          <w:szCs w:val="23"/>
          <w:rtl/>
        </w:rPr>
        <w:t xml:space="preserve">قال المرحوم المحقق السبزواري في كتابه </w:t>
      </w:r>
      <w:r w:rsidRPr="00563AE6">
        <w:rPr>
          <w:rFonts w:cs="mylotus" w:hint="eastAsia"/>
          <w:sz w:val="23"/>
          <w:szCs w:val="23"/>
          <w:rtl/>
        </w:rPr>
        <w:t>ذخيرة المعاد</w:t>
      </w:r>
      <w:r w:rsidRPr="00563AE6">
        <w:rPr>
          <w:rFonts w:cs="mylotus" w:hint="cs"/>
          <w:sz w:val="23"/>
          <w:szCs w:val="23"/>
          <w:rtl/>
        </w:rPr>
        <w:t xml:space="preserve"> معلقاً على هذا الحديث «و رُدَّ بأنه يقتضي اختصاص الخمس بالأئمة، وهو خلاف المعروف من مذهب الأصحاب، وفيه تأمل، وبأن راويها لم يُوثَّق في كتب الرجال صريحاً». </w:t>
      </w:r>
    </w:p>
    <w:p w:rsidR="00B31118" w:rsidRPr="00563AE6" w:rsidRDefault="00B31118" w:rsidP="00B300C9">
      <w:pPr>
        <w:spacing w:line="228" w:lineRule="auto"/>
        <w:ind w:left="378"/>
        <w:jc w:val="both"/>
        <w:rPr>
          <w:rFonts w:cs="mylotus" w:hint="cs"/>
          <w:sz w:val="23"/>
          <w:szCs w:val="23"/>
          <w:rtl/>
        </w:rPr>
      </w:pPr>
      <w:r w:rsidRPr="00563AE6">
        <w:rPr>
          <w:rFonts w:cs="mylotus" w:hint="cs"/>
          <w:sz w:val="23"/>
          <w:szCs w:val="23"/>
          <w:rtl/>
        </w:rPr>
        <w:t xml:space="preserve">وكلام المحقق صحيح وفي محلِّه لأن ابن داود ذكر في رجاله (ص439) اسم الحسن بن راشد في القسم الثاني الخاص بالمجهولين والمجروحين، ونقل عن ابن الغضائري أنه قال عن الحسن بن راشد (ضعيف جداً)، هذا رغم إن ابن داود نفسه دافع عن هذا الرجل قائلاً أنه حصل خلط واشتباه بين الحسن بن راشد والحسين بن راشد، لذا ذكره أيضاً في القسم الأول الخاص بالموثوقين!؟ </w:t>
      </w:r>
    </w:p>
    <w:p w:rsidR="00B31118" w:rsidRPr="00563AE6" w:rsidRDefault="00B31118" w:rsidP="00B300C9">
      <w:pPr>
        <w:spacing w:line="228" w:lineRule="auto"/>
        <w:ind w:left="378"/>
        <w:jc w:val="both"/>
        <w:rPr>
          <w:rFonts w:cs="mylotus" w:hint="cs"/>
          <w:sz w:val="23"/>
          <w:szCs w:val="23"/>
        </w:rPr>
      </w:pPr>
      <w:r w:rsidRPr="00563AE6">
        <w:rPr>
          <w:rFonts w:cs="mylotus" w:hint="cs"/>
          <w:sz w:val="23"/>
          <w:szCs w:val="23"/>
          <w:rtl/>
        </w:rPr>
        <w:t xml:space="preserve">وقال صاحب المدارك أيضاً معلّقاً على هذا الحديث: (راويها أبو علي بن راشد لم يوثَّق صريحاً) فالحديث إذن ضعيف ولا قيمة له! </w:t>
      </w:r>
    </w:p>
  </w:footnote>
  <w:footnote w:id="259">
    <w:p w:rsidR="00B31118" w:rsidRPr="00563AE6" w:rsidRDefault="00B31118" w:rsidP="00B300C9">
      <w:pPr>
        <w:spacing w:line="228" w:lineRule="auto"/>
        <w:ind w:left="378" w:hanging="378"/>
        <w:jc w:val="both"/>
        <w:rPr>
          <w:rFonts w:cs="mylotus" w:hint="cs"/>
          <w:sz w:val="23"/>
          <w:szCs w:val="23"/>
          <w:rtl/>
        </w:rPr>
      </w:pPr>
      <w:r w:rsidRPr="00563AE6">
        <w:rPr>
          <w:rFonts w:cs="mylotus"/>
          <w:sz w:val="23"/>
          <w:szCs w:val="23"/>
          <w:rtl/>
        </w:rPr>
        <w:footnoteRef/>
      </w:r>
      <w:r>
        <w:rPr>
          <w:rFonts w:cs="mylotus"/>
          <w:sz w:val="23"/>
          <w:szCs w:val="23"/>
          <w:rtl/>
        </w:rPr>
        <w:t>-</w:t>
      </w:r>
      <w:r w:rsidRPr="00563AE6">
        <w:rPr>
          <w:rFonts w:cs="mylotus" w:hint="cs"/>
          <w:sz w:val="23"/>
          <w:szCs w:val="23"/>
          <w:rtl/>
        </w:rPr>
        <w:t xml:space="preserve"> الشيخ الطوسي، تهذيب الأحكام، ج 4، ص 123.</w:t>
      </w:r>
    </w:p>
  </w:footnote>
  <w:footnote w:id="260">
    <w:p w:rsidR="00B31118" w:rsidRPr="00563AE6" w:rsidRDefault="00B31118" w:rsidP="00B300C9">
      <w:pPr>
        <w:spacing w:line="228" w:lineRule="auto"/>
        <w:ind w:left="378" w:hanging="378"/>
        <w:jc w:val="both"/>
        <w:rPr>
          <w:rFonts w:cs="mylotus" w:hint="cs"/>
          <w:sz w:val="23"/>
          <w:szCs w:val="23"/>
          <w:rtl/>
        </w:rPr>
      </w:pPr>
      <w:r w:rsidRPr="00563AE6">
        <w:rPr>
          <w:rFonts w:cs="mylotus"/>
          <w:sz w:val="23"/>
          <w:szCs w:val="23"/>
          <w:rtl/>
        </w:rPr>
        <w:footnoteRef/>
      </w:r>
      <w:r>
        <w:rPr>
          <w:rFonts w:cs="mylotus"/>
          <w:sz w:val="23"/>
          <w:szCs w:val="23"/>
          <w:rtl/>
        </w:rPr>
        <w:t>-</w:t>
      </w:r>
      <w:r w:rsidRPr="00563AE6">
        <w:rPr>
          <w:rFonts w:cs="mylotus" w:hint="cs"/>
          <w:sz w:val="23"/>
          <w:szCs w:val="23"/>
          <w:rtl/>
        </w:rPr>
        <w:t xml:space="preserve"> الشيخ الطوسي، الفهرست، طبع النجف، ص 106.</w:t>
      </w:r>
    </w:p>
  </w:footnote>
  <w:footnote w:id="261">
    <w:p w:rsidR="00B31118" w:rsidRPr="00563AE6" w:rsidRDefault="00B31118" w:rsidP="00B300C9">
      <w:pPr>
        <w:spacing w:line="228" w:lineRule="auto"/>
        <w:ind w:left="378" w:hanging="378"/>
        <w:jc w:val="both"/>
        <w:rPr>
          <w:rFonts w:cs="mylotus" w:hint="cs"/>
          <w:sz w:val="23"/>
          <w:szCs w:val="23"/>
          <w:rtl/>
        </w:rPr>
      </w:pPr>
      <w:r w:rsidRPr="00563AE6">
        <w:rPr>
          <w:rFonts w:cs="mylotus"/>
          <w:sz w:val="23"/>
          <w:szCs w:val="23"/>
          <w:rtl/>
        </w:rPr>
        <w:footnoteRef/>
      </w:r>
      <w:r>
        <w:rPr>
          <w:rFonts w:cs="mylotus"/>
          <w:sz w:val="23"/>
          <w:szCs w:val="23"/>
          <w:rtl/>
        </w:rPr>
        <w:t>-</w:t>
      </w:r>
      <w:r w:rsidRPr="00563AE6">
        <w:rPr>
          <w:rFonts w:cs="mylotus" w:hint="cs"/>
          <w:sz w:val="23"/>
          <w:szCs w:val="23"/>
          <w:rtl/>
        </w:rPr>
        <w:t xml:space="preserve"> الشيخ الطوسي، الاستبصار، ج 3، ص 261.</w:t>
      </w:r>
    </w:p>
  </w:footnote>
  <w:footnote w:id="262">
    <w:p w:rsidR="00B31118" w:rsidRPr="00563AE6" w:rsidRDefault="00B31118" w:rsidP="00B300C9">
      <w:pPr>
        <w:spacing w:line="228" w:lineRule="auto"/>
        <w:ind w:left="378" w:hanging="378"/>
        <w:jc w:val="both"/>
        <w:rPr>
          <w:rFonts w:cs="mylotus" w:hint="cs"/>
          <w:sz w:val="23"/>
          <w:szCs w:val="23"/>
          <w:rtl/>
        </w:rPr>
      </w:pPr>
      <w:r w:rsidRPr="00563AE6">
        <w:rPr>
          <w:rFonts w:cs="mylotus"/>
          <w:sz w:val="23"/>
          <w:szCs w:val="23"/>
          <w:rtl/>
        </w:rPr>
        <w:footnoteRef/>
      </w:r>
      <w:r>
        <w:rPr>
          <w:rFonts w:cs="mylotus"/>
          <w:sz w:val="23"/>
          <w:szCs w:val="23"/>
          <w:rtl/>
        </w:rPr>
        <w:t>-</w:t>
      </w:r>
      <w:r w:rsidRPr="00563AE6">
        <w:rPr>
          <w:rFonts w:cs="mylotus" w:hint="cs"/>
          <w:sz w:val="23"/>
          <w:szCs w:val="23"/>
          <w:rtl/>
        </w:rPr>
        <w:t xml:space="preserve"> رجال النجاشي، طبع طهران، ص 140. [المترجِم: أو طبع قم، نشر مؤسسة النشر التابعة لجماعة المدرسين، ط 6، 1406هـ، ص 185].</w:t>
      </w:r>
    </w:p>
  </w:footnote>
  <w:footnote w:id="263">
    <w:p w:rsidR="00B31118" w:rsidRPr="00563AE6" w:rsidRDefault="00B31118" w:rsidP="00B300C9">
      <w:pPr>
        <w:spacing w:line="228" w:lineRule="auto"/>
        <w:ind w:left="378" w:hanging="378"/>
        <w:jc w:val="both"/>
        <w:rPr>
          <w:rFonts w:cs="mylotus" w:hint="cs"/>
          <w:sz w:val="23"/>
          <w:szCs w:val="23"/>
        </w:rPr>
      </w:pPr>
      <w:r w:rsidRPr="00563AE6">
        <w:rPr>
          <w:rFonts w:cs="mylotus"/>
          <w:sz w:val="23"/>
          <w:szCs w:val="23"/>
          <w:rtl/>
        </w:rPr>
        <w:footnoteRef/>
      </w:r>
      <w:r>
        <w:rPr>
          <w:rFonts w:cs="mylotus"/>
          <w:sz w:val="23"/>
          <w:szCs w:val="23"/>
          <w:rtl/>
        </w:rPr>
        <w:t>-</w:t>
      </w:r>
      <w:r w:rsidRPr="00563AE6">
        <w:rPr>
          <w:rFonts w:cs="mylotus" w:hint="cs"/>
          <w:sz w:val="23"/>
          <w:szCs w:val="23"/>
          <w:rtl/>
        </w:rPr>
        <w:t xml:space="preserve"> أحمد بن الحسين بن الغضائري، </w:t>
      </w:r>
      <w:r w:rsidRPr="00563AE6">
        <w:rPr>
          <w:rFonts w:cs="mylotus"/>
          <w:sz w:val="23"/>
          <w:szCs w:val="23"/>
          <w:rtl/>
        </w:rPr>
        <w:t>رجال</w:t>
      </w:r>
      <w:r w:rsidRPr="00563AE6">
        <w:rPr>
          <w:rFonts w:cs="mylotus" w:hint="cs"/>
          <w:sz w:val="23"/>
          <w:szCs w:val="23"/>
          <w:rtl/>
        </w:rPr>
        <w:t xml:space="preserve"> </w:t>
      </w:r>
      <w:r w:rsidRPr="00563AE6">
        <w:rPr>
          <w:rFonts w:cs="mylotus"/>
          <w:sz w:val="23"/>
          <w:szCs w:val="23"/>
          <w:rtl/>
        </w:rPr>
        <w:t>‏ابن</w:t>
      </w:r>
      <w:r w:rsidRPr="00563AE6">
        <w:rPr>
          <w:rFonts w:cs="mylotus" w:hint="cs"/>
          <w:sz w:val="23"/>
          <w:szCs w:val="23"/>
          <w:rtl/>
        </w:rPr>
        <w:t xml:space="preserve"> </w:t>
      </w:r>
      <w:r w:rsidRPr="00563AE6">
        <w:rPr>
          <w:rFonts w:cs="mylotus"/>
          <w:sz w:val="23"/>
          <w:szCs w:val="23"/>
          <w:rtl/>
        </w:rPr>
        <w:t>‏الغضائري</w:t>
      </w:r>
      <w:r w:rsidRPr="00563AE6">
        <w:rPr>
          <w:rFonts w:cs="mylotus" w:hint="cs"/>
          <w:sz w:val="23"/>
          <w:szCs w:val="23"/>
          <w:rtl/>
        </w:rPr>
        <w:t>، طبع قم، مؤسسه إسماعيليان، 1364هـ.،</w:t>
      </w:r>
      <w:r w:rsidRPr="00563AE6">
        <w:rPr>
          <w:rFonts w:cs="mylotus"/>
          <w:sz w:val="23"/>
          <w:szCs w:val="23"/>
          <w:rtl/>
        </w:rPr>
        <w:t xml:space="preserve"> ج3</w:t>
      </w:r>
      <w:r w:rsidRPr="00563AE6">
        <w:rPr>
          <w:rFonts w:cs="mylotus" w:hint="cs"/>
          <w:sz w:val="23"/>
          <w:szCs w:val="23"/>
          <w:rtl/>
        </w:rPr>
        <w:t xml:space="preserve">، </w:t>
      </w:r>
      <w:r w:rsidRPr="00563AE6">
        <w:rPr>
          <w:rFonts w:cs="mylotus"/>
          <w:sz w:val="23"/>
          <w:szCs w:val="23"/>
          <w:rtl/>
        </w:rPr>
        <w:t>ص 179</w:t>
      </w:r>
      <w:r w:rsidRPr="00563AE6">
        <w:rPr>
          <w:rFonts w:cs="mylotus" w:hint="cs"/>
          <w:sz w:val="23"/>
          <w:szCs w:val="23"/>
          <w:rtl/>
        </w:rPr>
        <w:t>. (المُتَرْجِمُ)</w:t>
      </w:r>
    </w:p>
  </w:footnote>
  <w:footnote w:id="264">
    <w:p w:rsidR="00B31118" w:rsidRPr="00563AE6" w:rsidRDefault="00B31118" w:rsidP="00B300C9">
      <w:pPr>
        <w:spacing w:line="228" w:lineRule="auto"/>
        <w:ind w:left="378" w:hanging="378"/>
        <w:jc w:val="both"/>
        <w:rPr>
          <w:rFonts w:cs="mylotus" w:hint="cs"/>
          <w:sz w:val="23"/>
          <w:szCs w:val="23"/>
          <w:rtl/>
        </w:rPr>
      </w:pPr>
      <w:r w:rsidRPr="00563AE6">
        <w:rPr>
          <w:rFonts w:cs="mylotus"/>
          <w:sz w:val="23"/>
          <w:szCs w:val="23"/>
          <w:rtl/>
        </w:rPr>
        <w:footnoteRef/>
      </w:r>
      <w:r>
        <w:rPr>
          <w:rFonts w:cs="mylotus"/>
          <w:sz w:val="23"/>
          <w:szCs w:val="23"/>
          <w:rtl/>
        </w:rPr>
        <w:t>-</w:t>
      </w:r>
      <w:r w:rsidRPr="00563AE6">
        <w:rPr>
          <w:rFonts w:cs="mylotus" w:hint="cs"/>
          <w:sz w:val="23"/>
          <w:szCs w:val="23"/>
          <w:rtl/>
        </w:rPr>
        <w:t xml:space="preserve"> كتاب </w:t>
      </w:r>
      <w:r w:rsidRPr="00563AE6">
        <w:rPr>
          <w:rFonts w:cs="mylotus"/>
          <w:sz w:val="23"/>
          <w:szCs w:val="23"/>
          <w:rtl/>
        </w:rPr>
        <w:t xml:space="preserve">«تحرير الطاووسي» </w:t>
      </w:r>
      <w:r w:rsidRPr="00563AE6">
        <w:rPr>
          <w:rFonts w:cs="mylotus" w:hint="cs"/>
          <w:sz w:val="23"/>
          <w:szCs w:val="23"/>
          <w:rtl/>
        </w:rPr>
        <w:t>هو ل</w:t>
      </w:r>
      <w:r w:rsidRPr="00563AE6">
        <w:rPr>
          <w:rFonts w:cs="mylotus"/>
          <w:sz w:val="23"/>
          <w:szCs w:val="23"/>
          <w:rtl/>
        </w:rPr>
        <w:t>لشيخ حسن بن زين الدين صاحب المعالم المتوفى 1011 ه</w:t>
      </w:r>
      <w:r w:rsidRPr="00563AE6">
        <w:rPr>
          <w:rFonts w:cs="mylotus" w:hint="cs"/>
          <w:sz w:val="23"/>
          <w:szCs w:val="23"/>
          <w:rtl/>
        </w:rPr>
        <w:t>ـ.، وهو م</w:t>
      </w:r>
      <w:r w:rsidRPr="00563AE6">
        <w:rPr>
          <w:rFonts w:cs="mylotus"/>
          <w:sz w:val="23"/>
          <w:szCs w:val="23"/>
          <w:rtl/>
        </w:rPr>
        <w:t>ستخرج من كتاب حل ال</w:t>
      </w:r>
      <w:r w:rsidRPr="00563AE6">
        <w:rPr>
          <w:rFonts w:cs="mylotus" w:hint="cs"/>
          <w:sz w:val="23"/>
          <w:szCs w:val="23"/>
          <w:rtl/>
        </w:rPr>
        <w:t>إ</w:t>
      </w:r>
      <w:r w:rsidRPr="00563AE6">
        <w:rPr>
          <w:rFonts w:cs="mylotus"/>
          <w:sz w:val="23"/>
          <w:szCs w:val="23"/>
          <w:rtl/>
        </w:rPr>
        <w:t xml:space="preserve">شكال للسيد </w:t>
      </w:r>
      <w:r w:rsidRPr="00563AE6">
        <w:rPr>
          <w:rFonts w:cs="mylotus" w:hint="cs"/>
          <w:sz w:val="23"/>
          <w:szCs w:val="23"/>
          <w:rtl/>
        </w:rPr>
        <w:t>أ</w:t>
      </w:r>
      <w:r w:rsidRPr="00563AE6">
        <w:rPr>
          <w:rFonts w:cs="mylotus"/>
          <w:sz w:val="23"/>
          <w:szCs w:val="23"/>
          <w:rtl/>
        </w:rPr>
        <w:t>حمد بن موسى الطاووس المتوفى سنة 673 ه</w:t>
      </w:r>
      <w:r w:rsidRPr="00563AE6">
        <w:rPr>
          <w:rFonts w:cs="mylotus" w:hint="cs"/>
          <w:sz w:val="23"/>
          <w:szCs w:val="23"/>
          <w:rtl/>
        </w:rPr>
        <w:t>ـ،</w:t>
      </w:r>
      <w:r w:rsidRPr="00563AE6">
        <w:rPr>
          <w:rFonts w:cs="mylotus"/>
          <w:sz w:val="23"/>
          <w:szCs w:val="23"/>
          <w:rtl/>
        </w:rPr>
        <w:t xml:space="preserve">‍ </w:t>
      </w:r>
      <w:r w:rsidRPr="00563AE6">
        <w:rPr>
          <w:rFonts w:cs="mylotus" w:hint="cs"/>
          <w:sz w:val="23"/>
          <w:szCs w:val="23"/>
          <w:rtl/>
        </w:rPr>
        <w:t xml:space="preserve">(والشيخ حسن بن زين الدين صاحب المعالم هذا هو ابن الفقيه الإمامي المعروف بالشهيد الثاني أي </w:t>
      </w:r>
      <w:r w:rsidRPr="00563AE6">
        <w:rPr>
          <w:rFonts w:cs="mylotus"/>
          <w:sz w:val="23"/>
          <w:szCs w:val="23"/>
          <w:rtl/>
        </w:rPr>
        <w:t>زين الدين بن علي بن أحمد العاملي الجبعي</w:t>
      </w:r>
      <w:r w:rsidRPr="00563AE6">
        <w:rPr>
          <w:rFonts w:cs="mylotus" w:hint="cs"/>
          <w:sz w:val="23"/>
          <w:szCs w:val="23"/>
          <w:rtl/>
        </w:rPr>
        <w:t xml:space="preserve"> المتوفى </w:t>
      </w:r>
      <w:r w:rsidRPr="00563AE6">
        <w:rPr>
          <w:rFonts w:cs="mylotus"/>
          <w:sz w:val="23"/>
          <w:szCs w:val="23"/>
          <w:rtl/>
        </w:rPr>
        <w:t>966ه</w:t>
      </w:r>
      <w:r w:rsidRPr="00563AE6">
        <w:rPr>
          <w:rFonts w:cs="mylotus" w:hint="cs"/>
          <w:sz w:val="23"/>
          <w:szCs w:val="23"/>
          <w:rtl/>
        </w:rPr>
        <w:t>ـ.). (المُتَرْجِمُ)</w:t>
      </w:r>
    </w:p>
  </w:footnote>
  <w:footnote w:id="265">
    <w:p w:rsidR="00B31118" w:rsidRPr="00563AE6" w:rsidRDefault="00B31118" w:rsidP="00B300C9">
      <w:pPr>
        <w:spacing w:line="228" w:lineRule="auto"/>
        <w:ind w:left="378" w:hanging="378"/>
        <w:jc w:val="both"/>
        <w:rPr>
          <w:rFonts w:cs="mylotus" w:hint="cs"/>
          <w:sz w:val="23"/>
          <w:szCs w:val="23"/>
          <w:rtl/>
        </w:rPr>
      </w:pPr>
      <w:r w:rsidRPr="00563AE6">
        <w:rPr>
          <w:rFonts w:cs="mylotus"/>
          <w:sz w:val="23"/>
          <w:szCs w:val="23"/>
          <w:rtl/>
        </w:rPr>
        <w:footnoteRef/>
      </w:r>
      <w:r>
        <w:rPr>
          <w:rFonts w:cs="mylotus"/>
          <w:sz w:val="23"/>
          <w:szCs w:val="23"/>
          <w:rtl/>
        </w:rPr>
        <w:t>-</w:t>
      </w:r>
      <w:r w:rsidRPr="00563AE6">
        <w:rPr>
          <w:rFonts w:cs="mylotus" w:hint="cs"/>
          <w:sz w:val="23"/>
          <w:szCs w:val="23"/>
          <w:rtl/>
        </w:rPr>
        <w:t xml:space="preserve"> محمد بن عمر الكشي، رجال الكشي أو اختيار معرفة الرجال، تحقيق حسن المصطفوي، طبع مشهد، منشورات جامعة مشهد، ط1، 1409هـ، ص 566. ملاحظة: </w:t>
      </w:r>
      <w:r w:rsidRPr="00563AE6">
        <w:rPr>
          <w:rFonts w:cs="mylotus"/>
          <w:sz w:val="23"/>
          <w:szCs w:val="23"/>
          <w:rtl/>
        </w:rPr>
        <w:t>وقد جاءت عبارته ضمن ترجمة (أبي الخير صالح بن أبي حماد الرازي‏) ونص عبارته</w:t>
      </w:r>
      <w:r w:rsidRPr="00563AE6">
        <w:rPr>
          <w:rFonts w:cs="mylotus" w:hint="cs"/>
          <w:sz w:val="23"/>
          <w:szCs w:val="23"/>
          <w:rtl/>
        </w:rPr>
        <w:t>:</w:t>
      </w:r>
      <w:r w:rsidRPr="00563AE6">
        <w:rPr>
          <w:rFonts w:cs="mylotus"/>
          <w:sz w:val="23"/>
          <w:szCs w:val="23"/>
          <w:rtl/>
        </w:rPr>
        <w:t xml:space="preserve"> ((كَانَ أَبُو مُحَمَّدٍ الْفَضْلُ يَرْتَضِيهِ وَ يَمْدَحُهُ وَلَا يَرْتَضِي أَبَا سَعِيدٍ الْآدَمِيَّ وَيَقُولُ هُوَ الْأَحْمَقُ)). </w:t>
      </w:r>
      <w:r w:rsidRPr="00563AE6">
        <w:rPr>
          <w:rFonts w:cs="mylotus" w:hint="cs"/>
          <w:sz w:val="23"/>
          <w:szCs w:val="23"/>
          <w:rtl/>
        </w:rPr>
        <w:t>مع العلم</w:t>
      </w:r>
      <w:r w:rsidRPr="00563AE6">
        <w:rPr>
          <w:rFonts w:cs="mylotus"/>
          <w:sz w:val="23"/>
          <w:szCs w:val="23"/>
          <w:rtl/>
        </w:rPr>
        <w:t xml:space="preserve"> أن أبا سعيد الآدمي هو سهل بن زياد.</w:t>
      </w:r>
      <w:r w:rsidRPr="00563AE6">
        <w:rPr>
          <w:rFonts w:cs="mylotus" w:hint="cs"/>
          <w:sz w:val="23"/>
          <w:szCs w:val="23"/>
          <w:rtl/>
        </w:rPr>
        <w:t xml:space="preserve"> (المُتَرْجِمُ)</w:t>
      </w:r>
    </w:p>
  </w:footnote>
  <w:footnote w:id="266">
    <w:p w:rsidR="00B31118" w:rsidRPr="00563AE6" w:rsidRDefault="00B31118" w:rsidP="00B300C9">
      <w:pPr>
        <w:spacing w:line="228" w:lineRule="auto"/>
        <w:ind w:left="378" w:hanging="378"/>
        <w:jc w:val="both"/>
        <w:rPr>
          <w:rFonts w:cs="mylotus" w:hint="cs"/>
          <w:sz w:val="23"/>
          <w:szCs w:val="23"/>
          <w:rtl/>
        </w:rPr>
      </w:pPr>
      <w:r w:rsidRPr="00563AE6">
        <w:rPr>
          <w:rFonts w:cs="mylotus"/>
          <w:sz w:val="23"/>
          <w:szCs w:val="23"/>
          <w:rtl/>
        </w:rPr>
        <w:footnoteRef/>
      </w:r>
      <w:r>
        <w:rPr>
          <w:rFonts w:cs="mylotus"/>
          <w:sz w:val="23"/>
          <w:szCs w:val="23"/>
          <w:rtl/>
        </w:rPr>
        <w:t>-</w:t>
      </w:r>
      <w:r w:rsidRPr="00563AE6">
        <w:rPr>
          <w:rFonts w:cs="mylotus" w:hint="cs"/>
          <w:sz w:val="23"/>
          <w:szCs w:val="23"/>
          <w:rtl/>
        </w:rPr>
        <w:t xml:space="preserve"> التفرشي، نقد الرجال، ص 165.</w:t>
      </w:r>
    </w:p>
  </w:footnote>
  <w:footnote w:id="267">
    <w:p w:rsidR="00B31118" w:rsidRPr="00563AE6" w:rsidRDefault="00B31118" w:rsidP="00B300C9">
      <w:pPr>
        <w:spacing w:line="228" w:lineRule="auto"/>
        <w:ind w:left="378" w:hanging="378"/>
        <w:jc w:val="both"/>
        <w:rPr>
          <w:rFonts w:cs="mylotus" w:hint="cs"/>
          <w:sz w:val="23"/>
          <w:szCs w:val="23"/>
          <w:rtl/>
        </w:rPr>
      </w:pPr>
      <w:r w:rsidRPr="00563AE6">
        <w:rPr>
          <w:rFonts w:cs="mylotus"/>
          <w:sz w:val="23"/>
          <w:szCs w:val="23"/>
          <w:rtl/>
        </w:rPr>
        <w:footnoteRef/>
      </w:r>
      <w:r>
        <w:rPr>
          <w:rFonts w:cs="mylotus"/>
          <w:sz w:val="23"/>
          <w:szCs w:val="23"/>
          <w:rtl/>
        </w:rPr>
        <w:t>-</w:t>
      </w:r>
      <w:r w:rsidRPr="00563AE6">
        <w:rPr>
          <w:rFonts w:cs="mylotus" w:hint="cs"/>
          <w:sz w:val="23"/>
          <w:szCs w:val="23"/>
          <w:rtl/>
        </w:rPr>
        <w:t xml:space="preserve"> ا</w:t>
      </w:r>
      <w:r w:rsidRPr="00563AE6">
        <w:rPr>
          <w:rFonts w:cs="mylotus"/>
          <w:sz w:val="23"/>
          <w:szCs w:val="23"/>
          <w:rtl/>
        </w:rPr>
        <w:t>لأردبيلي، الفاضل محمد بن علي الغروي الحائري (ت 1101 هـ)،</w:t>
      </w:r>
      <w:r w:rsidRPr="00563AE6">
        <w:rPr>
          <w:rFonts w:cs="mylotus" w:hint="cs"/>
          <w:sz w:val="23"/>
          <w:szCs w:val="23"/>
          <w:rtl/>
        </w:rPr>
        <w:t xml:space="preserve"> جامع الرواة، ج 1، ص 392.</w:t>
      </w:r>
    </w:p>
  </w:footnote>
  <w:footnote w:id="268">
    <w:p w:rsidR="00B31118" w:rsidRPr="00563AE6" w:rsidRDefault="00B31118" w:rsidP="00B300C9">
      <w:pPr>
        <w:spacing w:line="228" w:lineRule="auto"/>
        <w:ind w:left="378" w:hanging="378"/>
        <w:jc w:val="both"/>
        <w:rPr>
          <w:rFonts w:cs="mylotus" w:hint="cs"/>
          <w:sz w:val="23"/>
          <w:szCs w:val="23"/>
          <w:rtl/>
        </w:rPr>
      </w:pPr>
      <w:r w:rsidRPr="00563AE6">
        <w:rPr>
          <w:rFonts w:cs="mylotus"/>
          <w:sz w:val="23"/>
          <w:szCs w:val="23"/>
          <w:rtl/>
        </w:rPr>
        <w:footnoteRef/>
      </w:r>
      <w:r>
        <w:rPr>
          <w:rFonts w:cs="mylotus"/>
          <w:sz w:val="23"/>
          <w:szCs w:val="23"/>
          <w:rtl/>
        </w:rPr>
        <w:t>-</w:t>
      </w:r>
      <w:r w:rsidRPr="00563AE6">
        <w:rPr>
          <w:rFonts w:cs="mylotus" w:hint="cs"/>
          <w:sz w:val="23"/>
          <w:szCs w:val="23"/>
          <w:rtl/>
        </w:rPr>
        <w:t xml:space="preserve"> محمد طه نجف، رجال طه (إتقان المقال في أحوال الرجال)، ص 298.</w:t>
      </w:r>
    </w:p>
  </w:footnote>
  <w:footnote w:id="269">
    <w:p w:rsidR="00B31118" w:rsidRPr="00563AE6" w:rsidRDefault="00B31118" w:rsidP="00B300C9">
      <w:pPr>
        <w:spacing w:line="228" w:lineRule="auto"/>
        <w:ind w:left="378" w:hanging="378"/>
        <w:jc w:val="both"/>
        <w:rPr>
          <w:rFonts w:cs="mylotus" w:hint="cs"/>
          <w:sz w:val="23"/>
          <w:szCs w:val="23"/>
          <w:rtl/>
        </w:rPr>
      </w:pPr>
      <w:r w:rsidRPr="00563AE6">
        <w:rPr>
          <w:rFonts w:cs="mylotus"/>
          <w:sz w:val="23"/>
          <w:szCs w:val="23"/>
          <w:rtl/>
        </w:rPr>
        <w:footnoteRef/>
      </w:r>
      <w:r>
        <w:rPr>
          <w:rFonts w:cs="mylotus"/>
          <w:sz w:val="23"/>
          <w:szCs w:val="23"/>
          <w:rtl/>
        </w:rPr>
        <w:t>-</w:t>
      </w:r>
      <w:r w:rsidRPr="00563AE6">
        <w:rPr>
          <w:rFonts w:cs="mylotus" w:hint="cs"/>
          <w:sz w:val="23"/>
          <w:szCs w:val="23"/>
          <w:rtl/>
        </w:rPr>
        <w:t xml:space="preserve"> العلامة محمد تقي الشوشتري، قاموس الرجال، ج 5، ص 38.</w:t>
      </w:r>
    </w:p>
  </w:footnote>
  <w:footnote w:id="270">
    <w:p w:rsidR="00B31118" w:rsidRPr="00563AE6" w:rsidRDefault="00B31118" w:rsidP="00B300C9">
      <w:pPr>
        <w:spacing w:line="228" w:lineRule="auto"/>
        <w:ind w:left="378" w:hanging="378"/>
        <w:jc w:val="both"/>
        <w:rPr>
          <w:rFonts w:cs="mylotus" w:hint="cs"/>
          <w:sz w:val="23"/>
          <w:szCs w:val="23"/>
          <w:rtl/>
        </w:rPr>
      </w:pPr>
      <w:r w:rsidRPr="00563AE6">
        <w:rPr>
          <w:rFonts w:cs="mylotus"/>
          <w:sz w:val="23"/>
          <w:szCs w:val="23"/>
          <w:rtl/>
        </w:rPr>
        <w:footnoteRef/>
      </w:r>
      <w:r>
        <w:rPr>
          <w:rFonts w:cs="mylotus"/>
          <w:sz w:val="23"/>
          <w:szCs w:val="23"/>
          <w:rtl/>
        </w:rPr>
        <w:t>-</w:t>
      </w:r>
      <w:r w:rsidRPr="00563AE6">
        <w:rPr>
          <w:rFonts w:cs="mylotus"/>
          <w:sz w:val="23"/>
          <w:szCs w:val="23"/>
          <w:rtl/>
        </w:rPr>
        <w:t xml:space="preserve"> </w:t>
      </w:r>
      <w:r w:rsidRPr="00563AE6">
        <w:rPr>
          <w:rFonts w:cs="mylotus" w:hint="cs"/>
          <w:sz w:val="23"/>
          <w:szCs w:val="23"/>
          <w:rtl/>
        </w:rPr>
        <w:t xml:space="preserve">شكك المرحوم الشهيد الثاني في عدالة إبراهيم الذي كان من وكلاء الإمام علي النقي </w:t>
      </w:r>
      <w:r w:rsidRPr="003C7AEB">
        <w:rPr>
          <w:rFonts w:cs="CTraditional Arabic" w:hint="cs"/>
          <w:sz w:val="23"/>
          <w:szCs w:val="23"/>
          <w:rtl/>
        </w:rPr>
        <w:t>÷</w:t>
      </w:r>
      <w:r w:rsidRPr="00563AE6">
        <w:rPr>
          <w:rFonts w:cs="mylotus" w:hint="cs"/>
          <w:sz w:val="23"/>
          <w:szCs w:val="23"/>
          <w:rtl/>
        </w:rPr>
        <w:t xml:space="preserve"> وقال: «في طريقها من هو مطعون فيه ومجهول العدالة ومجهول الحال». وقال المرحوم المقدس الأردبيلي في شرح الإرشاد: «إن إبراهيم هذا مجهولٌ». وقال المحقق السبزواري ذيل هذا الحديث: «وروى الكليني بإسناد فيه ضعف عن إبراهيم بن محمد الهمذاني». والعجيب أنه نسي </w:t>
      </w:r>
      <w:r w:rsidRPr="00563AE6">
        <w:rPr>
          <w:rFonts w:cs="mylotus"/>
          <w:sz w:val="23"/>
          <w:szCs w:val="23"/>
          <w:rtl/>
        </w:rPr>
        <w:t>«</w:t>
      </w:r>
      <w:r w:rsidRPr="00563AE6">
        <w:rPr>
          <w:rFonts w:cs="mylotus" w:hint="cs"/>
          <w:sz w:val="23"/>
          <w:szCs w:val="23"/>
          <w:rtl/>
        </w:rPr>
        <w:t>سهل بن زياد</w:t>
      </w:r>
      <w:r w:rsidRPr="00563AE6">
        <w:rPr>
          <w:rFonts w:cs="mylotus"/>
          <w:sz w:val="23"/>
          <w:szCs w:val="23"/>
          <w:rtl/>
        </w:rPr>
        <w:t>»</w:t>
      </w:r>
      <w:r w:rsidRPr="00563AE6">
        <w:rPr>
          <w:rFonts w:cs="mylotus" w:hint="cs"/>
          <w:sz w:val="23"/>
          <w:szCs w:val="23"/>
          <w:rtl/>
        </w:rPr>
        <w:t>!</w:t>
      </w:r>
    </w:p>
  </w:footnote>
  <w:footnote w:id="271">
    <w:p w:rsidR="00B31118" w:rsidRPr="00563AE6" w:rsidRDefault="00B31118" w:rsidP="00B300C9">
      <w:pPr>
        <w:spacing w:line="228" w:lineRule="auto"/>
        <w:ind w:left="378" w:hanging="378"/>
        <w:jc w:val="both"/>
        <w:rPr>
          <w:rFonts w:cs="mylotus" w:hint="cs"/>
          <w:sz w:val="23"/>
          <w:szCs w:val="23"/>
          <w:rtl/>
        </w:rPr>
      </w:pPr>
      <w:r w:rsidRPr="00563AE6">
        <w:rPr>
          <w:rFonts w:cs="mylotus"/>
          <w:sz w:val="23"/>
          <w:szCs w:val="23"/>
          <w:rtl/>
        </w:rPr>
        <w:footnoteRef/>
      </w:r>
      <w:r>
        <w:rPr>
          <w:rFonts w:cs="mylotus"/>
          <w:sz w:val="23"/>
          <w:szCs w:val="23"/>
          <w:rtl/>
        </w:rPr>
        <w:t>-</w:t>
      </w:r>
      <w:r w:rsidRPr="00563AE6">
        <w:rPr>
          <w:rFonts w:cs="mylotus"/>
          <w:sz w:val="23"/>
          <w:szCs w:val="23"/>
          <w:rtl/>
        </w:rPr>
        <w:t xml:space="preserve"> </w:t>
      </w:r>
      <w:r w:rsidRPr="00563AE6">
        <w:rPr>
          <w:rFonts w:cs="mylotus" w:hint="cs"/>
          <w:sz w:val="23"/>
          <w:szCs w:val="23"/>
          <w:rtl/>
        </w:rPr>
        <w:t xml:space="preserve">اعتبر العلامة المجلسي في كتابه: مرآة العقول، ج1، ص448، ذيل تعليقه على الحديث 42 من كتاب الكافي، باب الفيء والأنفال، هذا الحديث ضعيفاً. </w:t>
      </w:r>
    </w:p>
  </w:footnote>
  <w:footnote w:id="272">
    <w:p w:rsidR="00B31118" w:rsidRPr="00563AE6" w:rsidRDefault="00B31118" w:rsidP="00B300C9">
      <w:pPr>
        <w:spacing w:line="228" w:lineRule="auto"/>
        <w:ind w:left="378" w:hanging="378"/>
        <w:jc w:val="both"/>
        <w:rPr>
          <w:rFonts w:cs="mylotus" w:hint="cs"/>
          <w:sz w:val="23"/>
          <w:szCs w:val="23"/>
          <w:rtl/>
        </w:rPr>
      </w:pPr>
      <w:r w:rsidRPr="00563AE6">
        <w:rPr>
          <w:rFonts w:cs="mylotus"/>
          <w:sz w:val="23"/>
          <w:szCs w:val="23"/>
          <w:rtl/>
        </w:rPr>
        <w:footnoteRef/>
      </w:r>
      <w:r>
        <w:rPr>
          <w:rFonts w:cs="mylotus"/>
          <w:sz w:val="23"/>
          <w:szCs w:val="23"/>
          <w:rtl/>
        </w:rPr>
        <w:t>-</w:t>
      </w:r>
      <w:r w:rsidRPr="00563AE6">
        <w:rPr>
          <w:rFonts w:cs="mylotus" w:hint="cs"/>
          <w:sz w:val="23"/>
          <w:szCs w:val="23"/>
          <w:rtl/>
        </w:rPr>
        <w:t xml:space="preserve"> الشيخ الطوسي، </w:t>
      </w:r>
      <w:r w:rsidRPr="00563AE6">
        <w:rPr>
          <w:rFonts w:cs="mylotus"/>
          <w:sz w:val="23"/>
          <w:szCs w:val="23"/>
          <w:rtl/>
        </w:rPr>
        <w:t>تهذيب</w:t>
      </w:r>
      <w:r w:rsidRPr="00563AE6">
        <w:rPr>
          <w:rFonts w:cs="mylotus" w:hint="cs"/>
          <w:sz w:val="23"/>
          <w:szCs w:val="23"/>
          <w:rtl/>
        </w:rPr>
        <w:t xml:space="preserve"> الأحكام،</w:t>
      </w:r>
      <w:r w:rsidRPr="00563AE6">
        <w:rPr>
          <w:rFonts w:cs="mylotus"/>
          <w:sz w:val="23"/>
          <w:szCs w:val="23"/>
          <w:rtl/>
        </w:rPr>
        <w:t xml:space="preserve"> ج1، ص141-142</w:t>
      </w:r>
      <w:r w:rsidRPr="00563AE6">
        <w:rPr>
          <w:rFonts w:cs="mylotus" w:hint="cs"/>
          <w:sz w:val="23"/>
          <w:szCs w:val="23"/>
          <w:rtl/>
        </w:rPr>
        <w:t>؛</w:t>
      </w:r>
      <w:r w:rsidRPr="00563AE6">
        <w:rPr>
          <w:rFonts w:cs="mylotus"/>
          <w:sz w:val="23"/>
          <w:szCs w:val="23"/>
          <w:rtl/>
        </w:rPr>
        <w:t xml:space="preserve"> والاستبصار</w:t>
      </w:r>
      <w:r w:rsidRPr="00563AE6">
        <w:rPr>
          <w:rFonts w:cs="mylotus" w:hint="cs"/>
          <w:sz w:val="23"/>
          <w:szCs w:val="23"/>
          <w:rtl/>
        </w:rPr>
        <w:t xml:space="preserve">، </w:t>
      </w:r>
      <w:r w:rsidRPr="00563AE6">
        <w:rPr>
          <w:rFonts w:cs="mylotus"/>
          <w:sz w:val="23"/>
          <w:szCs w:val="23"/>
          <w:rtl/>
        </w:rPr>
        <w:t>ج2، ص60</w:t>
      </w:r>
      <w:r w:rsidRPr="00563AE6">
        <w:rPr>
          <w:rFonts w:cs="mylotus" w:hint="cs"/>
          <w:sz w:val="23"/>
          <w:szCs w:val="23"/>
          <w:rtl/>
        </w:rPr>
        <w:t>.</w:t>
      </w:r>
    </w:p>
  </w:footnote>
  <w:footnote w:id="273">
    <w:p w:rsidR="00B31118" w:rsidRPr="00563AE6" w:rsidRDefault="00B31118" w:rsidP="00B300C9">
      <w:pPr>
        <w:spacing w:line="228" w:lineRule="auto"/>
        <w:ind w:left="378" w:hanging="378"/>
        <w:jc w:val="both"/>
        <w:rPr>
          <w:rFonts w:cs="mylotus" w:hint="cs"/>
          <w:sz w:val="23"/>
          <w:szCs w:val="23"/>
          <w:rtl/>
        </w:rPr>
      </w:pPr>
      <w:r w:rsidRPr="00563AE6">
        <w:rPr>
          <w:rFonts w:cs="mylotus"/>
          <w:sz w:val="23"/>
          <w:szCs w:val="23"/>
          <w:rtl/>
        </w:rPr>
        <w:footnoteRef/>
      </w:r>
      <w:r>
        <w:rPr>
          <w:rFonts w:cs="mylotus"/>
          <w:sz w:val="23"/>
          <w:szCs w:val="23"/>
          <w:rtl/>
        </w:rPr>
        <w:t>-</w:t>
      </w:r>
      <w:r w:rsidRPr="00563AE6">
        <w:rPr>
          <w:rFonts w:cs="mylotus"/>
          <w:sz w:val="23"/>
          <w:szCs w:val="23"/>
          <w:rtl/>
        </w:rPr>
        <w:t xml:space="preserve"> </w:t>
      </w:r>
      <w:r w:rsidRPr="00563AE6">
        <w:rPr>
          <w:rFonts w:cs="mylotus" w:hint="cs"/>
          <w:sz w:val="23"/>
          <w:szCs w:val="23"/>
          <w:rtl/>
        </w:rPr>
        <w:t xml:space="preserve">الشيخ الطوسي، كتاب </w:t>
      </w:r>
      <w:r w:rsidRPr="00563AE6">
        <w:rPr>
          <w:rFonts w:cs="mylotus"/>
          <w:sz w:val="23"/>
          <w:szCs w:val="23"/>
          <w:rtl/>
        </w:rPr>
        <w:t>«</w:t>
      </w:r>
      <w:r w:rsidRPr="00563AE6">
        <w:rPr>
          <w:rFonts w:cs="mylotus" w:hint="cs"/>
          <w:sz w:val="23"/>
          <w:szCs w:val="23"/>
          <w:rtl/>
        </w:rPr>
        <w:t>الغيبة</w:t>
      </w:r>
      <w:r w:rsidRPr="00563AE6">
        <w:rPr>
          <w:rFonts w:cs="mylotus"/>
          <w:sz w:val="23"/>
          <w:szCs w:val="23"/>
          <w:rtl/>
        </w:rPr>
        <w:t>»</w:t>
      </w:r>
      <w:r w:rsidRPr="00563AE6">
        <w:rPr>
          <w:rFonts w:cs="mylotus" w:hint="cs"/>
          <w:sz w:val="23"/>
          <w:szCs w:val="23"/>
          <w:rtl/>
        </w:rPr>
        <w:t xml:space="preserve">، قم، مؤسسه معارف اسلامي، 1411هـ، ص 345. والمجلسـيّ، </w:t>
      </w:r>
      <w:r w:rsidRPr="00563AE6">
        <w:rPr>
          <w:rFonts w:cs="mylotus"/>
          <w:sz w:val="23"/>
          <w:szCs w:val="23"/>
          <w:rtl/>
        </w:rPr>
        <w:t>بحار الأنوار</w:t>
      </w:r>
      <w:r w:rsidRPr="00563AE6">
        <w:rPr>
          <w:rFonts w:cs="mylotus" w:hint="cs"/>
          <w:sz w:val="23"/>
          <w:szCs w:val="23"/>
          <w:rtl/>
        </w:rPr>
        <w:t>، ج51، ص343. (المُتَرْجِمُ).</w:t>
      </w:r>
    </w:p>
  </w:footnote>
  <w:footnote w:id="274">
    <w:p w:rsidR="00B31118" w:rsidRPr="00563AE6" w:rsidRDefault="00B31118" w:rsidP="00B300C9">
      <w:pPr>
        <w:pStyle w:val="FootnoteText"/>
        <w:spacing w:line="228" w:lineRule="auto"/>
        <w:jc w:val="both"/>
        <w:rPr>
          <w:rFonts w:cs="mylotus" w:hint="cs"/>
          <w:sz w:val="23"/>
          <w:szCs w:val="23"/>
          <w:rtl/>
          <w:lang w:bidi="ar-SY"/>
        </w:rPr>
      </w:pPr>
      <w:r w:rsidRPr="00563AE6">
        <w:rPr>
          <w:rStyle w:val="FootnoteReference"/>
          <w:rFonts w:cs="mylotus"/>
          <w:sz w:val="23"/>
          <w:szCs w:val="23"/>
          <w:vertAlign w:val="baseline"/>
          <w:rtl/>
          <w:lang w:bidi="ar-SY"/>
        </w:rPr>
        <w:footnoteRef/>
      </w:r>
      <w:r>
        <w:rPr>
          <w:rFonts w:cs="mylotus"/>
          <w:sz w:val="23"/>
          <w:szCs w:val="23"/>
          <w:rtl/>
          <w:lang w:bidi="ar-SY"/>
        </w:rPr>
        <w:t>-</w:t>
      </w:r>
      <w:r w:rsidRPr="00563AE6">
        <w:rPr>
          <w:rFonts w:cs="mylotus" w:hint="cs"/>
          <w:sz w:val="23"/>
          <w:szCs w:val="23"/>
          <w:rtl/>
          <w:lang w:bidi="ar-SY"/>
        </w:rPr>
        <w:t xml:space="preserve"> ابن خلكان، </w:t>
      </w:r>
      <w:r w:rsidRPr="00563AE6">
        <w:rPr>
          <w:rFonts w:cs="mylotus"/>
          <w:sz w:val="23"/>
          <w:szCs w:val="23"/>
          <w:rtl/>
          <w:lang w:bidi="ar-SY"/>
        </w:rPr>
        <w:t>وفيات الأعيان</w:t>
      </w:r>
      <w:r w:rsidRPr="00563AE6">
        <w:rPr>
          <w:rFonts w:cs="mylotus" w:hint="cs"/>
          <w:sz w:val="23"/>
          <w:szCs w:val="23"/>
          <w:rtl/>
          <w:lang w:bidi="ar-SY"/>
        </w:rPr>
        <w:t xml:space="preserve">، </w:t>
      </w:r>
      <w:r w:rsidRPr="00563AE6">
        <w:rPr>
          <w:rFonts w:cs="mylotus"/>
          <w:sz w:val="23"/>
          <w:szCs w:val="23"/>
          <w:rtl/>
          <w:lang w:bidi="ar-SY"/>
        </w:rPr>
        <w:t>طبع طهران</w:t>
      </w:r>
      <w:r w:rsidRPr="00563AE6">
        <w:rPr>
          <w:rFonts w:cs="mylotus" w:hint="cs"/>
          <w:sz w:val="23"/>
          <w:szCs w:val="23"/>
          <w:rtl/>
          <w:lang w:bidi="ar-SY"/>
        </w:rPr>
        <w:t xml:space="preserve">، </w:t>
      </w:r>
      <w:r w:rsidRPr="00563AE6">
        <w:rPr>
          <w:rFonts w:cs="mylotus"/>
          <w:sz w:val="23"/>
          <w:szCs w:val="23"/>
          <w:rtl/>
          <w:lang w:bidi="ar-SY"/>
        </w:rPr>
        <w:t>ج2، ص33</w:t>
      </w:r>
      <w:r w:rsidRPr="00563AE6">
        <w:rPr>
          <w:rFonts w:cs="mylotus" w:hint="cs"/>
          <w:sz w:val="23"/>
          <w:szCs w:val="23"/>
          <w:rtl/>
          <w:lang w:bidi="ar-SY"/>
        </w:rPr>
        <w:t>.</w:t>
      </w:r>
      <w:r w:rsidRPr="00563AE6">
        <w:rPr>
          <w:rFonts w:cs="mylotus"/>
          <w:sz w:val="23"/>
          <w:szCs w:val="23"/>
          <w:rtl/>
          <w:lang w:bidi="ar-SY"/>
        </w:rPr>
        <w:t xml:space="preserve"> </w:t>
      </w:r>
    </w:p>
  </w:footnote>
  <w:footnote w:id="275">
    <w:p w:rsidR="00B31118" w:rsidRPr="00563AE6" w:rsidRDefault="00B31118" w:rsidP="00B300C9">
      <w:pPr>
        <w:spacing w:line="228" w:lineRule="auto"/>
        <w:ind w:left="378" w:hanging="378"/>
        <w:jc w:val="both"/>
        <w:rPr>
          <w:rFonts w:cs="mylotus" w:hint="cs"/>
          <w:sz w:val="23"/>
          <w:szCs w:val="23"/>
        </w:rPr>
      </w:pPr>
      <w:r w:rsidRPr="00563AE6">
        <w:rPr>
          <w:rFonts w:cs="mylotus"/>
          <w:sz w:val="23"/>
          <w:szCs w:val="23"/>
          <w:rtl/>
        </w:rPr>
        <w:footnoteRef/>
      </w:r>
      <w:r>
        <w:rPr>
          <w:rFonts w:cs="mylotus"/>
          <w:sz w:val="23"/>
          <w:szCs w:val="23"/>
          <w:rtl/>
        </w:rPr>
        <w:t>-</w:t>
      </w:r>
      <w:r w:rsidRPr="00563AE6">
        <w:rPr>
          <w:rFonts w:cs="mylotus" w:hint="cs"/>
          <w:sz w:val="23"/>
          <w:szCs w:val="23"/>
          <w:rtl/>
        </w:rPr>
        <w:t xml:space="preserve"> </w:t>
      </w:r>
      <w:r w:rsidRPr="00563AE6">
        <w:rPr>
          <w:rFonts w:cs="mylotus"/>
          <w:sz w:val="23"/>
          <w:szCs w:val="23"/>
          <w:rtl/>
        </w:rPr>
        <w:t>المسعودي،</w:t>
      </w:r>
      <w:r w:rsidRPr="00563AE6">
        <w:rPr>
          <w:rFonts w:cs="mylotus" w:hint="cs"/>
          <w:sz w:val="23"/>
          <w:szCs w:val="23"/>
          <w:rtl/>
        </w:rPr>
        <w:t xml:space="preserve"> </w:t>
      </w:r>
      <w:r w:rsidRPr="00563AE6">
        <w:rPr>
          <w:rFonts w:cs="mylotus"/>
          <w:sz w:val="23"/>
          <w:szCs w:val="23"/>
          <w:rtl/>
        </w:rPr>
        <w:t>مروج الذهب</w:t>
      </w:r>
      <w:r w:rsidRPr="00563AE6">
        <w:rPr>
          <w:rFonts w:cs="mylotus" w:hint="cs"/>
          <w:sz w:val="23"/>
          <w:szCs w:val="23"/>
          <w:rtl/>
        </w:rPr>
        <w:t xml:space="preserve">، </w:t>
      </w:r>
      <w:r w:rsidRPr="00563AE6">
        <w:rPr>
          <w:rFonts w:cs="mylotus"/>
          <w:sz w:val="23"/>
          <w:szCs w:val="23"/>
          <w:rtl/>
        </w:rPr>
        <w:t>ج2، ص351</w:t>
      </w:r>
      <w:r w:rsidRPr="00563AE6">
        <w:rPr>
          <w:rFonts w:cs="mylotus" w:hint="cs"/>
          <w:sz w:val="23"/>
          <w:szCs w:val="23"/>
          <w:rtl/>
        </w:rPr>
        <w:t>.</w:t>
      </w:r>
    </w:p>
  </w:footnote>
  <w:footnote w:id="276">
    <w:p w:rsidR="00B31118" w:rsidRPr="00563AE6" w:rsidRDefault="00B31118" w:rsidP="00B300C9">
      <w:pPr>
        <w:spacing w:line="228" w:lineRule="auto"/>
        <w:ind w:left="378" w:hanging="378"/>
        <w:jc w:val="both"/>
        <w:rPr>
          <w:rFonts w:cs="mylotus" w:hint="cs"/>
          <w:sz w:val="23"/>
          <w:szCs w:val="23"/>
          <w:rtl/>
        </w:rPr>
      </w:pPr>
      <w:r w:rsidRPr="00563AE6">
        <w:rPr>
          <w:rFonts w:cs="mylotus"/>
          <w:sz w:val="23"/>
          <w:szCs w:val="23"/>
          <w:rtl/>
        </w:rPr>
        <w:footnoteRef/>
      </w:r>
      <w:r>
        <w:rPr>
          <w:rFonts w:cs="mylotus"/>
          <w:sz w:val="23"/>
          <w:szCs w:val="23"/>
          <w:rtl/>
        </w:rPr>
        <w:t>-</w:t>
      </w:r>
      <w:r w:rsidRPr="00563AE6">
        <w:rPr>
          <w:rFonts w:cs="mylotus" w:hint="cs"/>
          <w:sz w:val="23"/>
          <w:szCs w:val="23"/>
          <w:rtl/>
        </w:rPr>
        <w:t xml:space="preserve"> </w:t>
      </w:r>
      <w:r w:rsidRPr="00563AE6">
        <w:rPr>
          <w:rFonts w:cs="mylotus"/>
          <w:sz w:val="23"/>
          <w:szCs w:val="23"/>
          <w:rtl/>
        </w:rPr>
        <w:t>الطبري</w:t>
      </w:r>
      <w:r w:rsidRPr="00563AE6">
        <w:rPr>
          <w:rFonts w:cs="mylotus" w:hint="cs"/>
          <w:sz w:val="23"/>
          <w:szCs w:val="23"/>
          <w:rtl/>
        </w:rPr>
        <w:t xml:space="preserve">، </w:t>
      </w:r>
      <w:r w:rsidRPr="00563AE6">
        <w:rPr>
          <w:rFonts w:cs="mylotus"/>
          <w:sz w:val="23"/>
          <w:szCs w:val="23"/>
          <w:rtl/>
        </w:rPr>
        <w:t>تاريخ</w:t>
      </w:r>
      <w:r w:rsidRPr="00563AE6">
        <w:rPr>
          <w:rFonts w:cs="mylotus" w:hint="cs"/>
          <w:sz w:val="23"/>
          <w:szCs w:val="23"/>
          <w:rtl/>
        </w:rPr>
        <w:t xml:space="preserve"> الطبري، </w:t>
      </w:r>
      <w:r w:rsidRPr="00563AE6">
        <w:rPr>
          <w:rFonts w:cs="mylotus"/>
          <w:sz w:val="23"/>
          <w:szCs w:val="23"/>
          <w:rtl/>
        </w:rPr>
        <w:t>طبع القاهرة سنة 1358هـ</w:t>
      </w:r>
      <w:r w:rsidRPr="00563AE6">
        <w:rPr>
          <w:rFonts w:cs="mylotus" w:hint="cs"/>
          <w:sz w:val="23"/>
          <w:szCs w:val="23"/>
          <w:rtl/>
        </w:rPr>
        <w:t>،</w:t>
      </w:r>
      <w:r w:rsidRPr="00563AE6">
        <w:rPr>
          <w:rFonts w:cs="mylotus"/>
          <w:sz w:val="23"/>
          <w:szCs w:val="23"/>
          <w:rtl/>
        </w:rPr>
        <w:t xml:space="preserve"> ج7، ص224</w:t>
      </w:r>
      <w:r w:rsidRPr="00563AE6">
        <w:rPr>
          <w:rFonts w:cs="mylotus" w:hint="cs"/>
          <w:sz w:val="23"/>
          <w:szCs w:val="23"/>
          <w:rtl/>
        </w:rPr>
        <w:t>.</w:t>
      </w:r>
    </w:p>
  </w:footnote>
  <w:footnote w:id="277">
    <w:p w:rsidR="00B31118" w:rsidRPr="00563AE6" w:rsidRDefault="00B31118" w:rsidP="00B300C9">
      <w:pPr>
        <w:spacing w:line="228" w:lineRule="auto"/>
        <w:ind w:left="378" w:hanging="378"/>
        <w:jc w:val="both"/>
        <w:rPr>
          <w:rFonts w:cs="mylotus" w:hint="cs"/>
          <w:sz w:val="23"/>
          <w:szCs w:val="23"/>
          <w:rtl/>
        </w:rPr>
      </w:pPr>
      <w:r w:rsidRPr="00563AE6">
        <w:rPr>
          <w:rFonts w:cs="mylotus"/>
          <w:sz w:val="23"/>
          <w:szCs w:val="23"/>
          <w:rtl/>
        </w:rPr>
        <w:footnoteRef/>
      </w:r>
      <w:r>
        <w:rPr>
          <w:rFonts w:cs="mylotus"/>
          <w:sz w:val="23"/>
          <w:szCs w:val="23"/>
          <w:rtl/>
        </w:rPr>
        <w:t>-</w:t>
      </w:r>
      <w:r w:rsidRPr="00563AE6">
        <w:rPr>
          <w:rFonts w:cs="mylotus"/>
          <w:sz w:val="23"/>
          <w:szCs w:val="23"/>
          <w:rtl/>
        </w:rPr>
        <w:t xml:space="preserve"> </w:t>
      </w:r>
      <w:r w:rsidRPr="00563AE6">
        <w:rPr>
          <w:rFonts w:cs="mylotus" w:hint="cs"/>
          <w:sz w:val="23"/>
          <w:szCs w:val="23"/>
          <w:rtl/>
        </w:rPr>
        <w:t xml:space="preserve">الكُلَيْنِيّ، </w:t>
      </w:r>
      <w:r w:rsidRPr="00563AE6">
        <w:rPr>
          <w:rFonts w:cs="mylotus"/>
          <w:sz w:val="23"/>
          <w:szCs w:val="23"/>
          <w:rtl/>
        </w:rPr>
        <w:t>الكافي</w:t>
      </w:r>
      <w:r w:rsidRPr="00563AE6">
        <w:rPr>
          <w:rFonts w:cs="mylotus" w:hint="cs"/>
          <w:sz w:val="23"/>
          <w:szCs w:val="23"/>
          <w:rtl/>
        </w:rPr>
        <w:t>، ج1، ص 492. (المُتَرْجِمُ)</w:t>
      </w:r>
    </w:p>
  </w:footnote>
  <w:footnote w:id="278">
    <w:p w:rsidR="00B31118" w:rsidRPr="00563AE6" w:rsidRDefault="00B31118" w:rsidP="00B300C9">
      <w:pPr>
        <w:spacing w:line="228" w:lineRule="auto"/>
        <w:ind w:left="378" w:hanging="378"/>
        <w:jc w:val="both"/>
        <w:rPr>
          <w:rFonts w:cs="mylotus" w:hint="cs"/>
          <w:sz w:val="23"/>
          <w:szCs w:val="23"/>
          <w:rtl/>
        </w:rPr>
      </w:pPr>
      <w:r w:rsidRPr="00563AE6">
        <w:rPr>
          <w:rFonts w:cs="mylotus"/>
          <w:sz w:val="23"/>
          <w:szCs w:val="23"/>
          <w:rtl/>
        </w:rPr>
        <w:footnoteRef/>
      </w:r>
      <w:r>
        <w:rPr>
          <w:rFonts w:cs="mylotus"/>
          <w:sz w:val="23"/>
          <w:szCs w:val="23"/>
          <w:rtl/>
        </w:rPr>
        <w:t>-</w:t>
      </w:r>
      <w:r w:rsidRPr="00563AE6">
        <w:rPr>
          <w:rFonts w:cs="mylotus" w:hint="cs"/>
          <w:sz w:val="23"/>
          <w:szCs w:val="23"/>
          <w:rtl/>
        </w:rPr>
        <w:t xml:space="preserve"> </w:t>
      </w:r>
      <w:r w:rsidRPr="00563AE6">
        <w:rPr>
          <w:rFonts w:cs="mylotus"/>
          <w:sz w:val="23"/>
          <w:szCs w:val="23"/>
          <w:rtl/>
        </w:rPr>
        <w:t>المجلسي</w:t>
      </w:r>
      <w:r w:rsidRPr="00563AE6">
        <w:rPr>
          <w:rFonts w:cs="mylotus" w:hint="cs"/>
          <w:sz w:val="23"/>
          <w:szCs w:val="23"/>
          <w:rtl/>
        </w:rPr>
        <w:t xml:space="preserve">، </w:t>
      </w:r>
      <w:r w:rsidRPr="00563AE6">
        <w:rPr>
          <w:rFonts w:cs="mylotus"/>
          <w:sz w:val="23"/>
          <w:szCs w:val="23"/>
          <w:rtl/>
        </w:rPr>
        <w:t>مرآة العقول</w:t>
      </w:r>
      <w:r w:rsidRPr="00563AE6">
        <w:rPr>
          <w:rFonts w:cs="mylotus" w:hint="cs"/>
          <w:sz w:val="23"/>
          <w:szCs w:val="23"/>
          <w:rtl/>
        </w:rPr>
        <w:t xml:space="preserve">، </w:t>
      </w:r>
      <w:r w:rsidRPr="00563AE6">
        <w:rPr>
          <w:rFonts w:cs="mylotus"/>
          <w:sz w:val="23"/>
          <w:szCs w:val="23"/>
          <w:rtl/>
        </w:rPr>
        <w:t>ج1، ص412</w:t>
      </w:r>
      <w:r w:rsidRPr="00563AE6">
        <w:rPr>
          <w:rFonts w:cs="mylotus" w:hint="cs"/>
          <w:sz w:val="23"/>
          <w:szCs w:val="23"/>
          <w:rtl/>
        </w:rPr>
        <w:t>.</w:t>
      </w:r>
    </w:p>
  </w:footnote>
  <w:footnote w:id="279">
    <w:p w:rsidR="00B31118" w:rsidRPr="00563AE6" w:rsidRDefault="00B31118" w:rsidP="00B300C9">
      <w:pPr>
        <w:pStyle w:val="FootnoteText"/>
        <w:spacing w:line="228" w:lineRule="auto"/>
        <w:jc w:val="both"/>
        <w:rPr>
          <w:rFonts w:cs="mylotus" w:hint="cs"/>
          <w:sz w:val="23"/>
          <w:szCs w:val="23"/>
          <w:lang w:bidi="ar-SY"/>
        </w:rPr>
      </w:pPr>
      <w:r w:rsidRPr="00563AE6">
        <w:rPr>
          <w:rStyle w:val="FootnoteReference"/>
          <w:rFonts w:cs="mylotus"/>
          <w:sz w:val="23"/>
          <w:szCs w:val="23"/>
          <w:vertAlign w:val="baseline"/>
          <w:rtl/>
          <w:lang w:bidi="ar-SY"/>
        </w:rPr>
        <w:footnoteRef/>
      </w:r>
      <w:r>
        <w:rPr>
          <w:rFonts w:cs="mylotus"/>
          <w:sz w:val="23"/>
          <w:szCs w:val="23"/>
          <w:rtl/>
          <w:lang w:bidi="ar-SY"/>
        </w:rPr>
        <w:t>-</w:t>
      </w:r>
      <w:r w:rsidRPr="00563AE6">
        <w:rPr>
          <w:rFonts w:cs="mylotus" w:hint="cs"/>
          <w:sz w:val="23"/>
          <w:szCs w:val="23"/>
          <w:rtl/>
          <w:lang w:bidi="ar-SY"/>
        </w:rPr>
        <w:t xml:space="preserve"> </w:t>
      </w:r>
      <w:r w:rsidRPr="00563AE6">
        <w:rPr>
          <w:rFonts w:cs="mylotus"/>
          <w:sz w:val="23"/>
          <w:szCs w:val="23"/>
          <w:rtl/>
          <w:lang w:bidi="ar-SY"/>
        </w:rPr>
        <w:t>الشهيد الثاني</w:t>
      </w:r>
      <w:r w:rsidRPr="00563AE6">
        <w:rPr>
          <w:rFonts w:cs="mylotus" w:hint="cs"/>
          <w:sz w:val="23"/>
          <w:szCs w:val="23"/>
          <w:rtl/>
          <w:lang w:bidi="ar-SY"/>
        </w:rPr>
        <w:t>،</w:t>
      </w:r>
      <w:r w:rsidRPr="00563AE6">
        <w:rPr>
          <w:rFonts w:cs="mylotus"/>
          <w:sz w:val="23"/>
          <w:szCs w:val="23"/>
          <w:rtl/>
          <w:lang w:bidi="ar-SY"/>
        </w:rPr>
        <w:t xml:space="preserve"> الدراية</w:t>
      </w:r>
      <w:r w:rsidRPr="00563AE6">
        <w:rPr>
          <w:rFonts w:cs="mylotus" w:hint="cs"/>
          <w:sz w:val="23"/>
          <w:szCs w:val="23"/>
          <w:rtl/>
          <w:lang w:bidi="ar-SY"/>
        </w:rPr>
        <w:t xml:space="preserve">، </w:t>
      </w:r>
      <w:r w:rsidRPr="00563AE6">
        <w:rPr>
          <w:rFonts w:cs="mylotus"/>
          <w:sz w:val="23"/>
          <w:szCs w:val="23"/>
          <w:rtl/>
          <w:lang w:bidi="ar-SY"/>
        </w:rPr>
        <w:t>طبع النجف</w:t>
      </w:r>
      <w:r w:rsidRPr="00563AE6">
        <w:rPr>
          <w:rFonts w:cs="mylotus" w:hint="cs"/>
          <w:sz w:val="23"/>
          <w:szCs w:val="23"/>
          <w:rtl/>
          <w:lang w:bidi="ar-SY"/>
        </w:rPr>
        <w:t>،</w:t>
      </w:r>
      <w:r w:rsidRPr="00563AE6">
        <w:rPr>
          <w:rFonts w:cs="mylotus"/>
          <w:sz w:val="23"/>
          <w:szCs w:val="23"/>
          <w:rtl/>
          <w:lang w:bidi="ar-SY"/>
        </w:rPr>
        <w:t xml:space="preserve"> ص 50</w:t>
      </w:r>
      <w:r w:rsidRPr="00563AE6">
        <w:rPr>
          <w:rFonts w:cs="mylotus" w:hint="cs"/>
          <w:sz w:val="23"/>
          <w:szCs w:val="23"/>
          <w:rtl/>
          <w:lang w:bidi="ar-SY"/>
        </w:rPr>
        <w:t>.</w:t>
      </w:r>
    </w:p>
  </w:footnote>
  <w:footnote w:id="280">
    <w:p w:rsidR="00B31118" w:rsidRPr="00563AE6" w:rsidRDefault="00B31118" w:rsidP="00B300C9">
      <w:pPr>
        <w:spacing w:line="228" w:lineRule="auto"/>
        <w:ind w:left="378" w:hanging="378"/>
        <w:jc w:val="both"/>
        <w:rPr>
          <w:rFonts w:cs="mylotus"/>
          <w:sz w:val="23"/>
          <w:szCs w:val="23"/>
          <w:rtl/>
        </w:rPr>
      </w:pPr>
      <w:r w:rsidRPr="00563AE6">
        <w:rPr>
          <w:rFonts w:cs="mylotus"/>
          <w:sz w:val="23"/>
          <w:szCs w:val="23"/>
          <w:rtl/>
        </w:rPr>
        <w:footnoteRef/>
      </w:r>
      <w:r>
        <w:rPr>
          <w:rFonts w:cs="mylotus" w:hint="cs"/>
          <w:sz w:val="23"/>
          <w:szCs w:val="23"/>
          <w:rtl/>
        </w:rPr>
        <w:t>-</w:t>
      </w:r>
      <w:r w:rsidRPr="00563AE6">
        <w:rPr>
          <w:rFonts w:cs="mylotus" w:hint="cs"/>
          <w:sz w:val="23"/>
          <w:szCs w:val="23"/>
          <w:rtl/>
        </w:rPr>
        <w:t xml:space="preserve"> </w:t>
      </w:r>
      <w:r w:rsidRPr="00563AE6">
        <w:rPr>
          <w:rFonts w:cs="mylotus"/>
          <w:sz w:val="23"/>
          <w:szCs w:val="23"/>
          <w:rtl/>
        </w:rPr>
        <w:t xml:space="preserve">شرح </w:t>
      </w:r>
      <w:r w:rsidRPr="00563AE6">
        <w:rPr>
          <w:rFonts w:cs="mylotus" w:hint="cs"/>
          <w:sz w:val="23"/>
          <w:szCs w:val="23"/>
          <w:rtl/>
        </w:rPr>
        <w:t>الإ</w:t>
      </w:r>
      <w:r w:rsidRPr="00563AE6">
        <w:rPr>
          <w:rFonts w:cs="mylotus"/>
          <w:sz w:val="23"/>
          <w:szCs w:val="23"/>
          <w:rtl/>
        </w:rPr>
        <w:t>رشاد</w:t>
      </w:r>
      <w:r w:rsidRPr="00563AE6">
        <w:rPr>
          <w:rFonts w:cs="mylotus" w:hint="cs"/>
          <w:sz w:val="23"/>
          <w:szCs w:val="23"/>
          <w:rtl/>
        </w:rPr>
        <w:t>،</w:t>
      </w:r>
      <w:r w:rsidRPr="00563AE6">
        <w:rPr>
          <w:rFonts w:cs="mylotus"/>
          <w:sz w:val="23"/>
          <w:szCs w:val="23"/>
          <w:rtl/>
        </w:rPr>
        <w:t xml:space="preserve"> ص272.</w:t>
      </w:r>
    </w:p>
  </w:footnote>
  <w:footnote w:id="281">
    <w:p w:rsidR="00B31118" w:rsidRPr="00563AE6" w:rsidRDefault="00B31118" w:rsidP="00B300C9">
      <w:pPr>
        <w:spacing w:line="228" w:lineRule="auto"/>
        <w:ind w:left="378" w:hanging="378"/>
        <w:jc w:val="both"/>
        <w:rPr>
          <w:rFonts w:cs="mylotus" w:hint="cs"/>
          <w:sz w:val="23"/>
          <w:szCs w:val="23"/>
          <w:rtl/>
        </w:rPr>
      </w:pPr>
      <w:r w:rsidRPr="00563AE6">
        <w:rPr>
          <w:rFonts w:cs="mylotus"/>
          <w:sz w:val="23"/>
          <w:szCs w:val="23"/>
          <w:rtl/>
        </w:rPr>
        <w:footnoteRef/>
      </w:r>
      <w:r>
        <w:rPr>
          <w:rFonts w:cs="mylotus"/>
          <w:sz w:val="23"/>
          <w:szCs w:val="23"/>
          <w:rtl/>
        </w:rPr>
        <w:t>-</w:t>
      </w:r>
      <w:r w:rsidRPr="00563AE6">
        <w:rPr>
          <w:rFonts w:cs="mylotus" w:hint="cs"/>
          <w:sz w:val="23"/>
          <w:szCs w:val="23"/>
          <w:rtl/>
        </w:rPr>
        <w:t xml:space="preserve"> </w:t>
      </w:r>
      <w:r w:rsidRPr="00563AE6">
        <w:rPr>
          <w:rFonts w:cs="mylotus"/>
          <w:sz w:val="23"/>
          <w:szCs w:val="23"/>
          <w:rtl/>
        </w:rPr>
        <w:t>الشيخ الطوس</w:t>
      </w:r>
      <w:r w:rsidRPr="00563AE6">
        <w:rPr>
          <w:rFonts w:cs="mylotus" w:hint="cs"/>
          <w:sz w:val="23"/>
          <w:szCs w:val="23"/>
          <w:rtl/>
        </w:rPr>
        <w:t xml:space="preserve">ي، تهذيب الأحكام، </w:t>
      </w:r>
      <w:r w:rsidRPr="00563AE6">
        <w:rPr>
          <w:rFonts w:cs="mylotus"/>
          <w:sz w:val="23"/>
          <w:szCs w:val="23"/>
          <w:rtl/>
        </w:rPr>
        <w:t>ج4، ص</w:t>
      </w:r>
      <w:r w:rsidRPr="00563AE6">
        <w:rPr>
          <w:rFonts w:cs="mylotus" w:hint="cs"/>
          <w:sz w:val="23"/>
          <w:szCs w:val="23"/>
          <w:rtl/>
        </w:rPr>
        <w:t xml:space="preserve"> </w:t>
      </w:r>
      <w:r w:rsidRPr="00563AE6">
        <w:rPr>
          <w:rFonts w:cs="mylotus"/>
          <w:sz w:val="23"/>
          <w:szCs w:val="23"/>
          <w:rtl/>
        </w:rPr>
        <w:t>122</w:t>
      </w:r>
      <w:r w:rsidRPr="00563AE6">
        <w:rPr>
          <w:rFonts w:cs="mylotus" w:hint="cs"/>
          <w:sz w:val="23"/>
          <w:szCs w:val="23"/>
          <w:rtl/>
        </w:rPr>
        <w:t>.</w:t>
      </w:r>
    </w:p>
  </w:footnote>
  <w:footnote w:id="282">
    <w:p w:rsidR="00B31118" w:rsidRPr="00563AE6" w:rsidRDefault="00B31118" w:rsidP="00B300C9">
      <w:pPr>
        <w:spacing w:line="228" w:lineRule="auto"/>
        <w:ind w:left="378" w:hanging="378"/>
        <w:jc w:val="both"/>
        <w:rPr>
          <w:rFonts w:cs="mylotus" w:hint="cs"/>
          <w:sz w:val="23"/>
          <w:szCs w:val="23"/>
        </w:rPr>
      </w:pPr>
      <w:r w:rsidRPr="00563AE6">
        <w:rPr>
          <w:rFonts w:cs="mylotus"/>
          <w:sz w:val="23"/>
          <w:szCs w:val="23"/>
          <w:rtl/>
        </w:rPr>
        <w:footnoteRef/>
      </w:r>
      <w:r>
        <w:rPr>
          <w:rFonts w:cs="mylotus"/>
          <w:sz w:val="23"/>
          <w:szCs w:val="23"/>
          <w:rtl/>
        </w:rPr>
        <w:t>-</w:t>
      </w:r>
      <w:r w:rsidRPr="00563AE6">
        <w:rPr>
          <w:rFonts w:cs="mylotus" w:hint="cs"/>
          <w:sz w:val="23"/>
          <w:szCs w:val="23"/>
          <w:rtl/>
        </w:rPr>
        <w:t xml:space="preserve"> </w:t>
      </w:r>
      <w:r w:rsidRPr="00563AE6">
        <w:rPr>
          <w:rFonts w:cs="mylotus"/>
          <w:sz w:val="23"/>
          <w:szCs w:val="23"/>
          <w:rtl/>
        </w:rPr>
        <w:t>رجال‏</w:t>
      </w:r>
      <w:r w:rsidRPr="00563AE6">
        <w:rPr>
          <w:rFonts w:cs="mylotus" w:hint="cs"/>
          <w:sz w:val="23"/>
          <w:szCs w:val="23"/>
          <w:rtl/>
        </w:rPr>
        <w:t xml:space="preserve"> </w:t>
      </w:r>
      <w:r w:rsidRPr="00563AE6">
        <w:rPr>
          <w:rFonts w:cs="mylotus"/>
          <w:sz w:val="23"/>
          <w:szCs w:val="23"/>
          <w:rtl/>
        </w:rPr>
        <w:t>ابن</w:t>
      </w:r>
      <w:r w:rsidRPr="00563AE6">
        <w:rPr>
          <w:rFonts w:cs="mylotus" w:hint="cs"/>
          <w:sz w:val="23"/>
          <w:szCs w:val="23"/>
          <w:rtl/>
        </w:rPr>
        <w:t xml:space="preserve"> </w:t>
      </w:r>
      <w:r w:rsidRPr="00563AE6">
        <w:rPr>
          <w:rFonts w:cs="mylotus"/>
          <w:sz w:val="23"/>
          <w:szCs w:val="23"/>
          <w:rtl/>
        </w:rPr>
        <w:t>‏الغضائري</w:t>
      </w:r>
      <w:r w:rsidRPr="00563AE6">
        <w:rPr>
          <w:rFonts w:cs="mylotus" w:hint="cs"/>
          <w:sz w:val="23"/>
          <w:szCs w:val="23"/>
          <w:rtl/>
        </w:rPr>
        <w:t>،</w:t>
      </w:r>
      <w:r w:rsidRPr="00563AE6">
        <w:rPr>
          <w:rFonts w:cs="mylotus"/>
          <w:sz w:val="23"/>
          <w:szCs w:val="23"/>
          <w:rtl/>
        </w:rPr>
        <w:t xml:space="preserve"> ج 4</w:t>
      </w:r>
      <w:r w:rsidRPr="00563AE6">
        <w:rPr>
          <w:rFonts w:cs="mylotus" w:hint="cs"/>
          <w:sz w:val="23"/>
          <w:szCs w:val="23"/>
          <w:rtl/>
        </w:rPr>
        <w:t xml:space="preserve">، </w:t>
      </w:r>
      <w:r w:rsidRPr="00563AE6">
        <w:rPr>
          <w:rFonts w:cs="mylotus"/>
          <w:sz w:val="23"/>
          <w:szCs w:val="23"/>
          <w:rtl/>
        </w:rPr>
        <w:t xml:space="preserve"> ص 35</w:t>
      </w:r>
      <w:r w:rsidRPr="00563AE6">
        <w:rPr>
          <w:rFonts w:cs="mylotus" w:hint="cs"/>
          <w:sz w:val="23"/>
          <w:szCs w:val="23"/>
          <w:rtl/>
        </w:rPr>
        <w:t>. (المُتَرْجِمُ)</w:t>
      </w:r>
    </w:p>
  </w:footnote>
  <w:footnote w:id="283">
    <w:p w:rsidR="00B31118" w:rsidRPr="00563AE6" w:rsidRDefault="00B31118" w:rsidP="00B300C9">
      <w:pPr>
        <w:pStyle w:val="FootnoteText"/>
        <w:spacing w:line="228" w:lineRule="auto"/>
        <w:jc w:val="both"/>
        <w:rPr>
          <w:rFonts w:cs="mylotus" w:hint="cs"/>
          <w:sz w:val="23"/>
          <w:szCs w:val="23"/>
          <w:rtl/>
          <w:lang w:bidi="ar-SY"/>
        </w:rPr>
      </w:pPr>
      <w:r w:rsidRPr="00563AE6">
        <w:rPr>
          <w:rStyle w:val="FootnoteReference"/>
          <w:rFonts w:cs="mylotus"/>
          <w:sz w:val="23"/>
          <w:szCs w:val="23"/>
          <w:vertAlign w:val="baseline"/>
          <w:rtl/>
          <w:lang w:bidi="ar-SY"/>
        </w:rPr>
        <w:footnoteRef/>
      </w:r>
      <w:r>
        <w:rPr>
          <w:rFonts w:cs="mylotus"/>
          <w:sz w:val="23"/>
          <w:szCs w:val="23"/>
          <w:rtl/>
          <w:lang w:bidi="ar-SY"/>
        </w:rPr>
        <w:t>-</w:t>
      </w:r>
      <w:r w:rsidRPr="00563AE6">
        <w:rPr>
          <w:rFonts w:cs="mylotus" w:hint="cs"/>
          <w:sz w:val="23"/>
          <w:szCs w:val="23"/>
          <w:rtl/>
          <w:lang w:bidi="ar-SY"/>
        </w:rPr>
        <w:t xml:space="preserve"> النجاشي، رجال النجاشي، ص 226. (المُتَرْجِمُ)</w:t>
      </w:r>
    </w:p>
  </w:footnote>
  <w:footnote w:id="284">
    <w:p w:rsidR="00B31118" w:rsidRPr="00563AE6" w:rsidRDefault="00B31118" w:rsidP="00B300C9">
      <w:pPr>
        <w:spacing w:line="228" w:lineRule="auto"/>
        <w:ind w:left="378" w:hanging="378"/>
        <w:jc w:val="both"/>
        <w:rPr>
          <w:rFonts w:cs="mylotus" w:hint="cs"/>
          <w:sz w:val="23"/>
          <w:szCs w:val="23"/>
          <w:rtl/>
        </w:rPr>
      </w:pPr>
      <w:r w:rsidRPr="00563AE6">
        <w:rPr>
          <w:rFonts w:cs="mylotus"/>
          <w:sz w:val="23"/>
          <w:szCs w:val="23"/>
          <w:rtl/>
        </w:rPr>
        <w:footnoteRef/>
      </w:r>
      <w:r>
        <w:rPr>
          <w:rFonts w:cs="mylotus"/>
          <w:sz w:val="23"/>
          <w:szCs w:val="23"/>
          <w:rtl/>
        </w:rPr>
        <w:t>-</w:t>
      </w:r>
      <w:r w:rsidRPr="00563AE6">
        <w:rPr>
          <w:rFonts w:cs="mylotus" w:hint="cs"/>
          <w:sz w:val="23"/>
          <w:szCs w:val="23"/>
          <w:rtl/>
        </w:rPr>
        <w:t xml:space="preserve"> العلامة الحلي، خلاصة الأقوال في معرفة أحوال الرجال، ص 236. (المُتَرْجِمُ)</w:t>
      </w:r>
    </w:p>
  </w:footnote>
  <w:footnote w:id="285">
    <w:p w:rsidR="00B31118" w:rsidRPr="00563AE6" w:rsidRDefault="00B31118" w:rsidP="00B300C9">
      <w:pPr>
        <w:spacing w:line="228" w:lineRule="auto"/>
        <w:ind w:left="378" w:hanging="378"/>
        <w:jc w:val="both"/>
        <w:rPr>
          <w:rFonts w:cs="mylotus" w:hint="cs"/>
          <w:sz w:val="23"/>
          <w:szCs w:val="23"/>
        </w:rPr>
      </w:pPr>
      <w:r w:rsidRPr="00563AE6">
        <w:rPr>
          <w:rFonts w:cs="mylotus"/>
          <w:sz w:val="23"/>
          <w:szCs w:val="23"/>
          <w:rtl/>
        </w:rPr>
        <w:footnoteRef/>
      </w:r>
      <w:r>
        <w:rPr>
          <w:rFonts w:cs="mylotus"/>
          <w:sz w:val="23"/>
          <w:szCs w:val="23"/>
          <w:rtl/>
        </w:rPr>
        <w:t>-</w:t>
      </w:r>
      <w:r w:rsidRPr="00563AE6">
        <w:rPr>
          <w:rFonts w:cs="mylotus" w:hint="cs"/>
          <w:sz w:val="23"/>
          <w:szCs w:val="23"/>
          <w:rtl/>
        </w:rPr>
        <w:t xml:space="preserve"> </w:t>
      </w:r>
      <w:r w:rsidRPr="00563AE6">
        <w:rPr>
          <w:rFonts w:cs="mylotus"/>
          <w:sz w:val="23"/>
          <w:szCs w:val="23"/>
          <w:rtl/>
        </w:rPr>
        <w:t>الشيخ الطوسي</w:t>
      </w:r>
      <w:r w:rsidRPr="00563AE6">
        <w:rPr>
          <w:rFonts w:cs="mylotus" w:hint="cs"/>
          <w:sz w:val="23"/>
          <w:szCs w:val="23"/>
          <w:rtl/>
        </w:rPr>
        <w:t>،</w:t>
      </w:r>
      <w:r w:rsidRPr="00563AE6">
        <w:rPr>
          <w:rFonts w:cs="mylotus"/>
          <w:sz w:val="23"/>
          <w:szCs w:val="23"/>
          <w:rtl/>
        </w:rPr>
        <w:t xml:space="preserve"> تهذيب</w:t>
      </w:r>
      <w:r w:rsidRPr="00563AE6">
        <w:rPr>
          <w:rFonts w:cs="mylotus" w:hint="cs"/>
          <w:sz w:val="23"/>
          <w:szCs w:val="23"/>
          <w:rtl/>
        </w:rPr>
        <w:t xml:space="preserve">، الأحكام </w:t>
      </w:r>
      <w:r w:rsidRPr="00563AE6">
        <w:rPr>
          <w:rFonts w:cs="mylotus"/>
          <w:sz w:val="23"/>
          <w:szCs w:val="23"/>
          <w:rtl/>
        </w:rPr>
        <w:t>ج4، ص102</w:t>
      </w:r>
      <w:r w:rsidRPr="00563AE6">
        <w:rPr>
          <w:rFonts w:cs="mylotus" w:hint="cs"/>
          <w:sz w:val="23"/>
          <w:szCs w:val="23"/>
          <w:rtl/>
        </w:rPr>
        <w:t xml:space="preserve">؛ </w:t>
      </w:r>
      <w:r w:rsidRPr="00563AE6">
        <w:rPr>
          <w:rFonts w:cs="mylotus"/>
          <w:sz w:val="23"/>
          <w:szCs w:val="23"/>
          <w:rtl/>
        </w:rPr>
        <w:t>والاستبصار</w:t>
      </w:r>
      <w:r w:rsidRPr="00563AE6">
        <w:rPr>
          <w:rFonts w:cs="mylotus" w:hint="cs"/>
          <w:sz w:val="23"/>
          <w:szCs w:val="23"/>
          <w:rtl/>
        </w:rPr>
        <w:t xml:space="preserve">، </w:t>
      </w:r>
      <w:r w:rsidRPr="00563AE6">
        <w:rPr>
          <w:rFonts w:cs="mylotus"/>
          <w:sz w:val="23"/>
          <w:szCs w:val="23"/>
          <w:rtl/>
        </w:rPr>
        <w:t>ج2، ص55</w:t>
      </w:r>
      <w:r w:rsidRPr="00563AE6">
        <w:rPr>
          <w:rFonts w:cs="mylotus" w:hint="cs"/>
          <w:sz w:val="23"/>
          <w:szCs w:val="23"/>
          <w:rtl/>
        </w:rPr>
        <w:t>.</w:t>
      </w:r>
    </w:p>
  </w:footnote>
  <w:footnote w:id="286">
    <w:p w:rsidR="00B31118" w:rsidRPr="00563AE6" w:rsidRDefault="00B31118" w:rsidP="00B300C9">
      <w:pPr>
        <w:spacing w:line="228" w:lineRule="auto"/>
        <w:ind w:left="378" w:hanging="378"/>
        <w:jc w:val="both"/>
        <w:rPr>
          <w:rFonts w:cs="mylotus" w:hint="cs"/>
          <w:sz w:val="23"/>
          <w:szCs w:val="23"/>
        </w:rPr>
      </w:pPr>
      <w:r w:rsidRPr="00563AE6">
        <w:rPr>
          <w:rFonts w:cs="mylotus"/>
          <w:sz w:val="23"/>
          <w:szCs w:val="23"/>
          <w:rtl/>
        </w:rPr>
        <w:footnoteRef/>
      </w:r>
      <w:r>
        <w:rPr>
          <w:rFonts w:cs="mylotus"/>
          <w:sz w:val="23"/>
          <w:szCs w:val="23"/>
          <w:rtl/>
        </w:rPr>
        <w:t>-</w:t>
      </w:r>
      <w:r w:rsidRPr="00563AE6">
        <w:rPr>
          <w:rFonts w:cs="mylotus"/>
          <w:sz w:val="23"/>
          <w:szCs w:val="23"/>
          <w:rtl/>
        </w:rPr>
        <w:t xml:space="preserve"> </w:t>
      </w:r>
      <w:r w:rsidRPr="00563AE6">
        <w:rPr>
          <w:rFonts w:cs="mylotus" w:hint="cs"/>
          <w:sz w:val="23"/>
          <w:szCs w:val="23"/>
          <w:rtl/>
        </w:rPr>
        <w:t xml:space="preserve">وهو الشرح المسمى: </w:t>
      </w:r>
      <w:r w:rsidRPr="00563AE6">
        <w:rPr>
          <w:rFonts w:cs="mylotus"/>
          <w:sz w:val="23"/>
          <w:szCs w:val="23"/>
          <w:rtl/>
        </w:rPr>
        <w:t>«</w:t>
      </w:r>
      <w:r w:rsidRPr="00563AE6">
        <w:rPr>
          <w:rFonts w:cs="mylotus" w:hint="cs"/>
          <w:sz w:val="23"/>
          <w:szCs w:val="23"/>
          <w:rtl/>
        </w:rPr>
        <w:t>مجمع الفائدة والبرهان في شرح إرشاد الأذهان</w:t>
      </w:r>
      <w:r w:rsidRPr="00563AE6">
        <w:rPr>
          <w:rFonts w:cs="mylotus"/>
          <w:sz w:val="23"/>
          <w:szCs w:val="23"/>
          <w:rtl/>
        </w:rPr>
        <w:t>»</w:t>
      </w:r>
      <w:r w:rsidRPr="00563AE6">
        <w:rPr>
          <w:rFonts w:cs="mylotus" w:hint="cs"/>
          <w:sz w:val="23"/>
          <w:szCs w:val="23"/>
          <w:rtl/>
        </w:rPr>
        <w:t xml:space="preserve"> للفقيه المحقِّق أحمد الأردبيلي (993هـ) الذي شرح فيه كتاب العلامة الحلي الموسوم بـ </w:t>
      </w:r>
      <w:r w:rsidRPr="00563AE6">
        <w:rPr>
          <w:rFonts w:cs="mylotus"/>
          <w:sz w:val="23"/>
          <w:szCs w:val="23"/>
          <w:rtl/>
        </w:rPr>
        <w:t>«إرشاد الأذهان إلى أحكام الإيمان»</w:t>
      </w:r>
      <w:r w:rsidRPr="00563AE6">
        <w:rPr>
          <w:rFonts w:cs="mylotus" w:hint="cs"/>
          <w:sz w:val="23"/>
          <w:szCs w:val="23"/>
          <w:rtl/>
        </w:rPr>
        <w:t xml:space="preserve"> في الفقه. (المُتَرْجِمُ) </w:t>
      </w:r>
    </w:p>
  </w:footnote>
  <w:footnote w:id="287">
    <w:p w:rsidR="00B31118" w:rsidRPr="00563AE6" w:rsidRDefault="00B31118" w:rsidP="00B300C9">
      <w:pPr>
        <w:spacing w:line="228" w:lineRule="auto"/>
        <w:ind w:left="378" w:hanging="378"/>
        <w:jc w:val="both"/>
        <w:rPr>
          <w:rFonts w:cs="mylotus" w:hint="cs"/>
          <w:sz w:val="23"/>
          <w:szCs w:val="23"/>
        </w:rPr>
      </w:pPr>
      <w:r w:rsidRPr="00563AE6">
        <w:rPr>
          <w:rFonts w:cs="mylotus"/>
          <w:sz w:val="23"/>
          <w:szCs w:val="23"/>
          <w:rtl/>
        </w:rPr>
        <w:footnoteRef/>
      </w:r>
      <w:r>
        <w:rPr>
          <w:rFonts w:cs="mylotus"/>
          <w:sz w:val="23"/>
          <w:szCs w:val="23"/>
          <w:rtl/>
        </w:rPr>
        <w:t>-</w:t>
      </w:r>
      <w:r w:rsidRPr="00563AE6">
        <w:rPr>
          <w:rFonts w:cs="mylotus" w:hint="cs"/>
          <w:sz w:val="23"/>
          <w:szCs w:val="23"/>
          <w:rtl/>
        </w:rPr>
        <w:t xml:space="preserve"> المقدس الأردبيلي، مجمع الفائدة والبرهان في شرح إرشاد  الأذهان، قم: </w:t>
      </w:r>
      <w:r w:rsidRPr="00563AE6">
        <w:rPr>
          <w:rFonts w:cs="mylotus"/>
          <w:sz w:val="23"/>
          <w:szCs w:val="23"/>
          <w:rtl/>
        </w:rPr>
        <w:t>مؤسسة النشر الإسلامي التابعة لجماعة المدرسين بقم</w:t>
      </w:r>
      <w:r w:rsidRPr="00563AE6">
        <w:rPr>
          <w:rFonts w:cs="mylotus" w:hint="cs"/>
          <w:sz w:val="23"/>
          <w:szCs w:val="23"/>
          <w:rtl/>
        </w:rPr>
        <w:t>، 1405هـ، ج4، ص312-313. (المُتَرْجِمُ)</w:t>
      </w:r>
    </w:p>
  </w:footnote>
  <w:footnote w:id="288">
    <w:p w:rsidR="00B31118" w:rsidRPr="00563AE6" w:rsidRDefault="00B31118" w:rsidP="00B300C9">
      <w:pPr>
        <w:spacing w:line="228" w:lineRule="auto"/>
        <w:ind w:left="378" w:hanging="378"/>
        <w:jc w:val="both"/>
        <w:rPr>
          <w:rFonts w:cs="mylotus" w:hint="cs"/>
          <w:sz w:val="23"/>
          <w:szCs w:val="23"/>
        </w:rPr>
      </w:pPr>
      <w:r w:rsidRPr="00563AE6">
        <w:rPr>
          <w:rFonts w:cs="mylotus"/>
          <w:sz w:val="23"/>
          <w:szCs w:val="23"/>
          <w:rtl/>
        </w:rPr>
        <w:footnoteRef/>
      </w:r>
      <w:r>
        <w:rPr>
          <w:rFonts w:cs="mylotus"/>
          <w:sz w:val="23"/>
          <w:szCs w:val="23"/>
          <w:rtl/>
        </w:rPr>
        <w:t>-</w:t>
      </w:r>
      <w:r w:rsidRPr="00563AE6">
        <w:rPr>
          <w:rFonts w:cs="mylotus"/>
          <w:sz w:val="23"/>
          <w:szCs w:val="23"/>
          <w:rtl/>
        </w:rPr>
        <w:t xml:space="preserve"> </w:t>
      </w:r>
      <w:r w:rsidRPr="00563AE6">
        <w:rPr>
          <w:rFonts w:cs="mylotus" w:hint="cs"/>
          <w:sz w:val="23"/>
          <w:szCs w:val="23"/>
          <w:rtl/>
        </w:rPr>
        <w:t xml:space="preserve">أي </w:t>
      </w:r>
      <w:r w:rsidRPr="00563AE6">
        <w:rPr>
          <w:rFonts w:cs="mylotus"/>
          <w:sz w:val="23"/>
          <w:szCs w:val="23"/>
          <w:rtl/>
        </w:rPr>
        <w:t>الفقيه المحق</w:t>
      </w:r>
      <w:r w:rsidRPr="00563AE6">
        <w:rPr>
          <w:rFonts w:cs="mylotus" w:hint="cs"/>
          <w:sz w:val="23"/>
          <w:szCs w:val="23"/>
          <w:rtl/>
        </w:rPr>
        <w:t>ِّ</w:t>
      </w:r>
      <w:r w:rsidRPr="00563AE6">
        <w:rPr>
          <w:rFonts w:cs="mylotus"/>
          <w:sz w:val="23"/>
          <w:szCs w:val="23"/>
          <w:rtl/>
        </w:rPr>
        <w:t xml:space="preserve">ق السيد محمد بن علي الموسوي العاملي </w:t>
      </w:r>
      <w:r w:rsidRPr="00563AE6">
        <w:rPr>
          <w:rFonts w:cs="mylotus" w:hint="cs"/>
          <w:sz w:val="23"/>
          <w:szCs w:val="23"/>
          <w:rtl/>
        </w:rPr>
        <w:t>(</w:t>
      </w:r>
      <w:r w:rsidRPr="00563AE6">
        <w:rPr>
          <w:rFonts w:cs="mylotus"/>
          <w:sz w:val="23"/>
          <w:szCs w:val="23"/>
          <w:rtl/>
        </w:rPr>
        <w:t xml:space="preserve"> 1009</w:t>
      </w:r>
      <w:r w:rsidRPr="00563AE6">
        <w:rPr>
          <w:rFonts w:cs="mylotus" w:hint="cs"/>
          <w:sz w:val="23"/>
          <w:szCs w:val="23"/>
          <w:rtl/>
        </w:rPr>
        <w:t xml:space="preserve">هـ) مؤلف كتاب: </w:t>
      </w:r>
      <w:r w:rsidRPr="00563AE6">
        <w:rPr>
          <w:rFonts w:cs="mylotus"/>
          <w:sz w:val="23"/>
          <w:szCs w:val="23"/>
          <w:rtl/>
        </w:rPr>
        <w:t>«مدارك الأحكام في شرح شرائع الإسلام»</w:t>
      </w:r>
      <w:r w:rsidRPr="00563AE6">
        <w:rPr>
          <w:rFonts w:cs="mylotus" w:hint="cs"/>
          <w:sz w:val="23"/>
          <w:szCs w:val="23"/>
          <w:rtl/>
        </w:rPr>
        <w:t xml:space="preserve"> الذي شرح فيه كتاب شرائع الإسلام للمحقق الحليّ. (المُتَرْجِمُ)</w:t>
      </w:r>
    </w:p>
  </w:footnote>
  <w:footnote w:id="289">
    <w:p w:rsidR="00B31118" w:rsidRPr="00563AE6" w:rsidRDefault="00B31118" w:rsidP="00B300C9">
      <w:pPr>
        <w:spacing w:line="228" w:lineRule="auto"/>
        <w:ind w:left="378" w:hanging="378"/>
        <w:jc w:val="both"/>
        <w:rPr>
          <w:rFonts w:cs="mylotus" w:hint="cs"/>
          <w:sz w:val="23"/>
          <w:szCs w:val="23"/>
          <w:rtl/>
        </w:rPr>
      </w:pPr>
      <w:r w:rsidRPr="00563AE6">
        <w:rPr>
          <w:rFonts w:cs="mylotus"/>
          <w:sz w:val="23"/>
          <w:szCs w:val="23"/>
          <w:rtl/>
        </w:rPr>
        <w:footnoteRef/>
      </w:r>
      <w:r>
        <w:rPr>
          <w:rFonts w:cs="mylotus"/>
          <w:sz w:val="23"/>
          <w:szCs w:val="23"/>
          <w:rtl/>
        </w:rPr>
        <w:t>-</w:t>
      </w:r>
      <w:r w:rsidRPr="00563AE6">
        <w:rPr>
          <w:rFonts w:cs="mylotus" w:hint="cs"/>
          <w:sz w:val="23"/>
          <w:szCs w:val="23"/>
          <w:rtl/>
        </w:rPr>
        <w:t xml:space="preserve"> السيد محمد العاملي، مدارك الأحكام في شرح شرائع الإسلام، نشر قم، مؤسسة آل البيت لإحياء التراث، 1410هـ، ج5،  ص 382. (المُتَرْجِمُ)</w:t>
      </w:r>
    </w:p>
  </w:footnote>
  <w:footnote w:id="290">
    <w:p w:rsidR="00B31118" w:rsidRPr="00563AE6" w:rsidRDefault="00B31118" w:rsidP="00B300C9">
      <w:pPr>
        <w:spacing w:line="228" w:lineRule="auto"/>
        <w:ind w:left="378" w:hanging="378"/>
        <w:jc w:val="both"/>
        <w:rPr>
          <w:rFonts w:cs="mylotus" w:hint="cs"/>
          <w:sz w:val="23"/>
          <w:szCs w:val="23"/>
        </w:rPr>
      </w:pPr>
      <w:r w:rsidRPr="00563AE6">
        <w:rPr>
          <w:rFonts w:cs="mylotus"/>
          <w:sz w:val="23"/>
          <w:szCs w:val="23"/>
          <w:rtl/>
        </w:rPr>
        <w:footnoteRef/>
      </w:r>
      <w:r>
        <w:rPr>
          <w:rFonts w:cs="mylotus"/>
          <w:sz w:val="23"/>
          <w:szCs w:val="23"/>
          <w:rtl/>
        </w:rPr>
        <w:t>-</w:t>
      </w:r>
      <w:r w:rsidRPr="00563AE6">
        <w:rPr>
          <w:rFonts w:cs="mylotus" w:hint="cs"/>
          <w:sz w:val="23"/>
          <w:szCs w:val="23"/>
          <w:rtl/>
        </w:rPr>
        <w:t xml:space="preserve"> رجال ابن داود، ص 460.</w:t>
      </w:r>
    </w:p>
  </w:footnote>
  <w:footnote w:id="291">
    <w:p w:rsidR="00B31118" w:rsidRPr="00563AE6" w:rsidRDefault="00B31118" w:rsidP="00B300C9">
      <w:pPr>
        <w:spacing w:line="228" w:lineRule="auto"/>
        <w:ind w:left="378" w:hanging="378"/>
        <w:jc w:val="both"/>
        <w:rPr>
          <w:rFonts w:cs="mylotus" w:hint="cs"/>
          <w:sz w:val="23"/>
          <w:szCs w:val="23"/>
          <w:rtl/>
        </w:rPr>
      </w:pPr>
      <w:r w:rsidRPr="00563AE6">
        <w:rPr>
          <w:rFonts w:cs="mylotus"/>
          <w:sz w:val="23"/>
          <w:szCs w:val="23"/>
          <w:rtl/>
        </w:rPr>
        <w:footnoteRef/>
      </w:r>
      <w:r>
        <w:rPr>
          <w:rFonts w:cs="mylotus"/>
          <w:sz w:val="23"/>
          <w:szCs w:val="23"/>
          <w:rtl/>
        </w:rPr>
        <w:t>-</w:t>
      </w:r>
      <w:r w:rsidRPr="00563AE6">
        <w:rPr>
          <w:rFonts w:cs="mylotus" w:hint="cs"/>
          <w:sz w:val="23"/>
          <w:szCs w:val="23"/>
          <w:rtl/>
        </w:rPr>
        <w:t xml:space="preserve"> المصدر نفسه، ص 530.</w:t>
      </w:r>
    </w:p>
  </w:footnote>
  <w:footnote w:id="292">
    <w:p w:rsidR="00B31118" w:rsidRPr="00563AE6" w:rsidRDefault="00B31118" w:rsidP="00B300C9">
      <w:pPr>
        <w:spacing w:line="228" w:lineRule="auto"/>
        <w:ind w:left="378" w:hanging="378"/>
        <w:jc w:val="both"/>
        <w:rPr>
          <w:rFonts w:cs="mylotus" w:hint="cs"/>
          <w:sz w:val="23"/>
          <w:szCs w:val="23"/>
          <w:rtl/>
        </w:rPr>
      </w:pPr>
      <w:r w:rsidRPr="00563AE6">
        <w:rPr>
          <w:rFonts w:cs="mylotus"/>
          <w:sz w:val="23"/>
          <w:szCs w:val="23"/>
          <w:rtl/>
        </w:rPr>
        <w:footnoteRef/>
      </w:r>
      <w:r>
        <w:rPr>
          <w:rFonts w:cs="mylotus"/>
          <w:sz w:val="23"/>
          <w:szCs w:val="23"/>
          <w:rtl/>
        </w:rPr>
        <w:t>-</w:t>
      </w:r>
      <w:r w:rsidRPr="00563AE6">
        <w:rPr>
          <w:rFonts w:cs="mylotus" w:hint="cs"/>
          <w:sz w:val="23"/>
          <w:szCs w:val="23"/>
          <w:rtl/>
        </w:rPr>
        <w:t xml:space="preserve"> </w:t>
      </w:r>
      <w:r w:rsidRPr="00563AE6">
        <w:rPr>
          <w:rFonts w:cs="mylotus"/>
          <w:sz w:val="23"/>
          <w:szCs w:val="23"/>
          <w:rtl/>
        </w:rPr>
        <w:t>المامقاني</w:t>
      </w:r>
      <w:r w:rsidRPr="00563AE6">
        <w:rPr>
          <w:rFonts w:cs="mylotus" w:hint="cs"/>
          <w:sz w:val="23"/>
          <w:szCs w:val="23"/>
          <w:rtl/>
        </w:rPr>
        <w:t xml:space="preserve">، </w:t>
      </w:r>
      <w:r w:rsidRPr="00563AE6">
        <w:rPr>
          <w:rFonts w:cs="mylotus"/>
          <w:sz w:val="23"/>
          <w:szCs w:val="23"/>
          <w:rtl/>
        </w:rPr>
        <w:t>مقباس الهداي</w:t>
      </w:r>
      <w:r w:rsidRPr="00563AE6">
        <w:rPr>
          <w:rFonts w:cs="mylotus" w:hint="cs"/>
          <w:sz w:val="23"/>
          <w:szCs w:val="23"/>
          <w:rtl/>
        </w:rPr>
        <w:t xml:space="preserve">ة، </w:t>
      </w:r>
      <w:r w:rsidRPr="00563AE6">
        <w:rPr>
          <w:rFonts w:cs="mylotus"/>
          <w:sz w:val="23"/>
          <w:szCs w:val="23"/>
          <w:rtl/>
        </w:rPr>
        <w:t>ص 83</w:t>
      </w:r>
      <w:r w:rsidRPr="00563AE6">
        <w:rPr>
          <w:rFonts w:cs="mylotus" w:hint="cs"/>
          <w:sz w:val="23"/>
          <w:szCs w:val="23"/>
          <w:rtl/>
        </w:rPr>
        <w:t>.</w:t>
      </w:r>
    </w:p>
  </w:footnote>
  <w:footnote w:id="293">
    <w:p w:rsidR="00B31118" w:rsidRPr="00563AE6" w:rsidRDefault="00B31118" w:rsidP="00B300C9">
      <w:pPr>
        <w:spacing w:line="228" w:lineRule="auto"/>
        <w:ind w:left="378" w:hanging="378"/>
        <w:jc w:val="both"/>
        <w:rPr>
          <w:rFonts w:cs="mylotus" w:hint="cs"/>
          <w:sz w:val="23"/>
          <w:szCs w:val="23"/>
          <w:rtl/>
        </w:rPr>
      </w:pPr>
      <w:r w:rsidRPr="00563AE6">
        <w:rPr>
          <w:rFonts w:cs="mylotus"/>
          <w:sz w:val="23"/>
          <w:szCs w:val="23"/>
          <w:rtl/>
        </w:rPr>
        <w:footnoteRef/>
      </w:r>
      <w:r>
        <w:rPr>
          <w:rFonts w:cs="mylotus"/>
          <w:sz w:val="23"/>
          <w:szCs w:val="23"/>
          <w:rtl/>
        </w:rPr>
        <w:t>-</w:t>
      </w:r>
      <w:r w:rsidRPr="00563AE6">
        <w:rPr>
          <w:rFonts w:cs="mylotus" w:hint="cs"/>
          <w:sz w:val="23"/>
          <w:szCs w:val="23"/>
          <w:rtl/>
        </w:rPr>
        <w:t xml:space="preserve"> المجلسي، مرآة العقول، ج19، ص446.</w:t>
      </w:r>
    </w:p>
  </w:footnote>
  <w:footnote w:id="294">
    <w:p w:rsidR="00B31118" w:rsidRPr="00563AE6" w:rsidRDefault="00B31118" w:rsidP="00B300C9">
      <w:pPr>
        <w:pStyle w:val="FootnoteText"/>
        <w:spacing w:line="228" w:lineRule="auto"/>
        <w:jc w:val="both"/>
        <w:rPr>
          <w:rFonts w:cs="mylotus" w:hint="cs"/>
          <w:sz w:val="23"/>
          <w:szCs w:val="23"/>
          <w:rtl/>
          <w:lang w:bidi="ar-SY"/>
        </w:rPr>
      </w:pPr>
      <w:r w:rsidRPr="00563AE6">
        <w:rPr>
          <w:rStyle w:val="FootnoteReference"/>
          <w:rFonts w:cs="mylotus"/>
          <w:sz w:val="23"/>
          <w:szCs w:val="23"/>
          <w:vertAlign w:val="baseline"/>
          <w:rtl/>
          <w:lang w:bidi="ar-SY"/>
        </w:rPr>
        <w:footnoteRef/>
      </w:r>
      <w:r>
        <w:rPr>
          <w:rFonts w:cs="mylotus"/>
          <w:sz w:val="23"/>
          <w:szCs w:val="23"/>
          <w:rtl/>
          <w:lang w:bidi="ar-SY"/>
        </w:rPr>
        <w:t>-</w:t>
      </w:r>
      <w:r w:rsidRPr="00563AE6">
        <w:rPr>
          <w:rFonts w:cs="mylotus" w:hint="cs"/>
          <w:sz w:val="23"/>
          <w:szCs w:val="23"/>
          <w:rtl/>
          <w:lang w:bidi="ar-SY"/>
        </w:rPr>
        <w:t xml:space="preserve"> </w:t>
      </w:r>
      <w:r w:rsidRPr="00563AE6">
        <w:rPr>
          <w:rFonts w:cs="mylotus"/>
          <w:sz w:val="23"/>
          <w:szCs w:val="23"/>
          <w:rtl/>
          <w:lang w:bidi="ar-SY"/>
        </w:rPr>
        <w:t>الشيخ الطوسي</w:t>
      </w:r>
      <w:r w:rsidRPr="00563AE6">
        <w:rPr>
          <w:rFonts w:cs="mylotus" w:hint="cs"/>
          <w:sz w:val="23"/>
          <w:szCs w:val="23"/>
          <w:rtl/>
          <w:lang w:bidi="ar-SY"/>
        </w:rPr>
        <w:t xml:space="preserve">، </w:t>
      </w:r>
      <w:r w:rsidRPr="00563AE6">
        <w:rPr>
          <w:rFonts w:cs="mylotus"/>
          <w:sz w:val="23"/>
          <w:szCs w:val="23"/>
          <w:rtl/>
          <w:lang w:bidi="ar-SY"/>
        </w:rPr>
        <w:t>تهذيب</w:t>
      </w:r>
      <w:r w:rsidRPr="00563AE6">
        <w:rPr>
          <w:rFonts w:cs="mylotus" w:hint="cs"/>
          <w:sz w:val="23"/>
          <w:szCs w:val="23"/>
          <w:rtl/>
          <w:lang w:bidi="ar-SY"/>
        </w:rPr>
        <w:t xml:space="preserve"> الأحكام، </w:t>
      </w:r>
      <w:r w:rsidRPr="00563AE6">
        <w:rPr>
          <w:rFonts w:cs="mylotus"/>
          <w:sz w:val="23"/>
          <w:szCs w:val="23"/>
          <w:rtl/>
          <w:lang w:bidi="ar-SY"/>
        </w:rPr>
        <w:t>ج4، ص139</w:t>
      </w:r>
      <w:r w:rsidRPr="00563AE6">
        <w:rPr>
          <w:rFonts w:cs="mylotus" w:hint="cs"/>
          <w:sz w:val="23"/>
          <w:szCs w:val="23"/>
          <w:rtl/>
          <w:lang w:bidi="ar-SY"/>
        </w:rPr>
        <w:t>.</w:t>
      </w:r>
    </w:p>
  </w:footnote>
  <w:footnote w:id="295">
    <w:p w:rsidR="00B31118" w:rsidRPr="00563AE6" w:rsidRDefault="00B31118" w:rsidP="00B300C9">
      <w:pPr>
        <w:spacing w:line="228" w:lineRule="auto"/>
        <w:ind w:left="378" w:hanging="378"/>
        <w:jc w:val="both"/>
        <w:rPr>
          <w:rFonts w:cs="mylotus" w:hint="cs"/>
          <w:sz w:val="23"/>
          <w:szCs w:val="23"/>
          <w:rtl/>
        </w:rPr>
      </w:pPr>
      <w:r w:rsidRPr="00563AE6">
        <w:rPr>
          <w:rFonts w:cs="mylotus"/>
          <w:sz w:val="23"/>
          <w:szCs w:val="23"/>
          <w:rtl/>
        </w:rPr>
        <w:footnoteRef/>
      </w:r>
      <w:r>
        <w:rPr>
          <w:rFonts w:cs="mylotus"/>
          <w:sz w:val="23"/>
          <w:szCs w:val="23"/>
          <w:rtl/>
        </w:rPr>
        <w:t>-</w:t>
      </w:r>
      <w:r w:rsidRPr="00563AE6">
        <w:rPr>
          <w:rFonts w:cs="mylotus" w:hint="cs"/>
          <w:sz w:val="23"/>
          <w:szCs w:val="23"/>
          <w:rtl/>
        </w:rPr>
        <w:t xml:space="preserve"> السيد محمد العاملي، </w:t>
      </w:r>
      <w:r w:rsidRPr="00563AE6">
        <w:rPr>
          <w:rFonts w:cs="mylotus"/>
          <w:sz w:val="23"/>
          <w:szCs w:val="23"/>
          <w:rtl/>
        </w:rPr>
        <w:t>مدارك الأحكام في شرح شرائع الإسلام</w:t>
      </w:r>
      <w:r w:rsidRPr="00563AE6">
        <w:rPr>
          <w:rFonts w:cs="mylotus" w:hint="cs"/>
          <w:sz w:val="23"/>
          <w:szCs w:val="23"/>
          <w:rtl/>
        </w:rPr>
        <w:t>، ج 5، ص 382-383. (المُتَرْجِمُ)</w:t>
      </w:r>
    </w:p>
  </w:footnote>
  <w:footnote w:id="296">
    <w:p w:rsidR="00B31118" w:rsidRPr="00563AE6" w:rsidRDefault="00B31118" w:rsidP="00B300C9">
      <w:pPr>
        <w:spacing w:line="228" w:lineRule="auto"/>
        <w:ind w:left="378" w:hanging="378"/>
        <w:jc w:val="both"/>
        <w:rPr>
          <w:rFonts w:cs="mylotus" w:hint="cs"/>
          <w:sz w:val="23"/>
          <w:szCs w:val="23"/>
        </w:rPr>
      </w:pPr>
      <w:r w:rsidRPr="00563AE6">
        <w:rPr>
          <w:rFonts w:cs="mylotus"/>
          <w:sz w:val="23"/>
          <w:szCs w:val="23"/>
          <w:rtl/>
        </w:rPr>
        <w:footnoteRef/>
      </w:r>
      <w:r>
        <w:rPr>
          <w:rFonts w:cs="mylotus"/>
          <w:sz w:val="23"/>
          <w:szCs w:val="23"/>
          <w:rtl/>
        </w:rPr>
        <w:t>-</w:t>
      </w:r>
      <w:r w:rsidRPr="00563AE6">
        <w:rPr>
          <w:rFonts w:cs="mylotus" w:hint="cs"/>
          <w:sz w:val="23"/>
          <w:szCs w:val="23"/>
          <w:rtl/>
        </w:rPr>
        <w:t xml:space="preserve"> </w:t>
      </w:r>
      <w:r w:rsidRPr="00563AE6">
        <w:rPr>
          <w:rFonts w:cs="mylotus"/>
          <w:sz w:val="23"/>
          <w:szCs w:val="23"/>
          <w:rtl/>
        </w:rPr>
        <w:t>الشيخ الطوس</w:t>
      </w:r>
      <w:r w:rsidRPr="00563AE6">
        <w:rPr>
          <w:rFonts w:cs="mylotus" w:hint="cs"/>
          <w:sz w:val="23"/>
          <w:szCs w:val="23"/>
          <w:rtl/>
        </w:rPr>
        <w:t xml:space="preserve">ي، </w:t>
      </w:r>
      <w:r w:rsidRPr="00563AE6">
        <w:rPr>
          <w:rFonts w:cs="mylotus"/>
          <w:sz w:val="23"/>
          <w:szCs w:val="23"/>
          <w:rtl/>
        </w:rPr>
        <w:t>الفهرست</w:t>
      </w:r>
      <w:r w:rsidRPr="00563AE6">
        <w:rPr>
          <w:rFonts w:cs="mylotus" w:hint="cs"/>
          <w:sz w:val="23"/>
          <w:szCs w:val="23"/>
          <w:rtl/>
        </w:rPr>
        <w:t xml:space="preserve">، </w:t>
      </w:r>
      <w:r w:rsidRPr="00563AE6">
        <w:rPr>
          <w:rFonts w:cs="mylotus"/>
          <w:sz w:val="23"/>
          <w:szCs w:val="23"/>
          <w:rtl/>
        </w:rPr>
        <w:t>ص 36</w:t>
      </w:r>
      <w:r w:rsidRPr="00563AE6">
        <w:rPr>
          <w:rFonts w:cs="mylotus" w:hint="cs"/>
          <w:sz w:val="23"/>
          <w:szCs w:val="23"/>
          <w:rtl/>
        </w:rPr>
        <w:t>.</w:t>
      </w:r>
    </w:p>
  </w:footnote>
  <w:footnote w:id="297">
    <w:p w:rsidR="00B31118" w:rsidRPr="00563AE6" w:rsidRDefault="00B31118" w:rsidP="00B300C9">
      <w:pPr>
        <w:spacing w:line="228" w:lineRule="auto"/>
        <w:ind w:left="378" w:hanging="378"/>
        <w:jc w:val="both"/>
        <w:rPr>
          <w:rFonts w:cs="mylotus" w:hint="cs"/>
          <w:sz w:val="23"/>
          <w:szCs w:val="23"/>
          <w:rtl/>
        </w:rPr>
      </w:pPr>
      <w:r w:rsidRPr="00563AE6">
        <w:rPr>
          <w:rFonts w:cs="mylotus"/>
          <w:sz w:val="23"/>
          <w:szCs w:val="23"/>
          <w:rtl/>
        </w:rPr>
        <w:footnoteRef/>
      </w:r>
      <w:r>
        <w:rPr>
          <w:rFonts w:cs="mylotus"/>
          <w:sz w:val="23"/>
          <w:szCs w:val="23"/>
          <w:rtl/>
        </w:rPr>
        <w:t>-</w:t>
      </w:r>
      <w:r w:rsidRPr="00563AE6">
        <w:rPr>
          <w:rFonts w:cs="mylotus" w:hint="cs"/>
          <w:sz w:val="23"/>
          <w:szCs w:val="23"/>
          <w:rtl/>
        </w:rPr>
        <w:t xml:space="preserve"> الشيخ الطوسي، </w:t>
      </w:r>
      <w:r w:rsidRPr="00563AE6">
        <w:rPr>
          <w:rFonts w:cs="mylotus"/>
          <w:sz w:val="23"/>
          <w:szCs w:val="23"/>
          <w:rtl/>
        </w:rPr>
        <w:t>الغيبة</w:t>
      </w:r>
      <w:r w:rsidRPr="00563AE6">
        <w:rPr>
          <w:rFonts w:cs="mylotus" w:hint="cs"/>
          <w:sz w:val="23"/>
          <w:szCs w:val="23"/>
          <w:rtl/>
        </w:rPr>
        <w:t xml:space="preserve">، </w:t>
      </w:r>
      <w:r w:rsidRPr="00563AE6">
        <w:rPr>
          <w:rFonts w:cs="mylotus"/>
          <w:sz w:val="23"/>
          <w:szCs w:val="23"/>
          <w:rtl/>
        </w:rPr>
        <w:t>طبعة إيران القديمة</w:t>
      </w:r>
      <w:r w:rsidRPr="00563AE6">
        <w:rPr>
          <w:rFonts w:cs="mylotus" w:hint="cs"/>
          <w:sz w:val="23"/>
          <w:szCs w:val="23"/>
          <w:rtl/>
        </w:rPr>
        <w:t>،</w:t>
      </w:r>
      <w:r w:rsidRPr="00563AE6">
        <w:rPr>
          <w:rFonts w:cs="mylotus"/>
          <w:sz w:val="23"/>
          <w:szCs w:val="23"/>
          <w:rtl/>
        </w:rPr>
        <w:t xml:space="preserve"> ص 243</w:t>
      </w:r>
      <w:r w:rsidRPr="00563AE6">
        <w:rPr>
          <w:rFonts w:cs="mylotus" w:hint="cs"/>
          <w:sz w:val="23"/>
          <w:szCs w:val="23"/>
          <w:rtl/>
        </w:rPr>
        <w:t>.</w:t>
      </w:r>
    </w:p>
  </w:footnote>
  <w:footnote w:id="298">
    <w:p w:rsidR="00B31118" w:rsidRPr="00563AE6" w:rsidRDefault="00B31118" w:rsidP="00B300C9">
      <w:pPr>
        <w:spacing w:line="228" w:lineRule="auto"/>
        <w:ind w:left="378" w:hanging="378"/>
        <w:jc w:val="both"/>
        <w:rPr>
          <w:rFonts w:cs="mylotus" w:hint="cs"/>
          <w:sz w:val="23"/>
          <w:szCs w:val="23"/>
          <w:rtl/>
        </w:rPr>
      </w:pPr>
      <w:r w:rsidRPr="00563AE6">
        <w:rPr>
          <w:rFonts w:cs="mylotus"/>
          <w:sz w:val="23"/>
          <w:szCs w:val="23"/>
          <w:rtl/>
        </w:rPr>
        <w:footnoteRef/>
      </w:r>
      <w:r>
        <w:rPr>
          <w:rFonts w:cs="mylotus"/>
          <w:sz w:val="23"/>
          <w:szCs w:val="23"/>
          <w:rtl/>
        </w:rPr>
        <w:t>-</w:t>
      </w:r>
      <w:r w:rsidRPr="00563AE6">
        <w:rPr>
          <w:rFonts w:cs="mylotus" w:hint="cs"/>
          <w:sz w:val="23"/>
          <w:szCs w:val="23"/>
          <w:rtl/>
        </w:rPr>
        <w:t xml:space="preserve"> ر</w:t>
      </w:r>
      <w:r w:rsidRPr="00563AE6">
        <w:rPr>
          <w:rFonts w:cs="mylotus"/>
          <w:sz w:val="23"/>
          <w:szCs w:val="23"/>
          <w:rtl/>
        </w:rPr>
        <w:t>جال الكشي</w:t>
      </w:r>
      <w:r w:rsidRPr="00563AE6">
        <w:rPr>
          <w:rFonts w:cs="mylotus" w:hint="cs"/>
          <w:sz w:val="23"/>
          <w:szCs w:val="23"/>
          <w:rtl/>
        </w:rPr>
        <w:t xml:space="preserve">، </w:t>
      </w:r>
      <w:r w:rsidRPr="00563AE6">
        <w:rPr>
          <w:rFonts w:cs="mylotus"/>
          <w:sz w:val="23"/>
          <w:szCs w:val="23"/>
          <w:rtl/>
        </w:rPr>
        <w:t>ص 449</w:t>
      </w:r>
      <w:r w:rsidRPr="00563AE6">
        <w:rPr>
          <w:rFonts w:cs="mylotus" w:hint="cs"/>
          <w:sz w:val="23"/>
          <w:szCs w:val="23"/>
          <w:rtl/>
        </w:rPr>
        <w:t>؛</w:t>
      </w:r>
      <w:r w:rsidRPr="00563AE6">
        <w:rPr>
          <w:rFonts w:cs="mylotus"/>
          <w:sz w:val="23"/>
          <w:szCs w:val="23"/>
          <w:rtl/>
        </w:rPr>
        <w:t xml:space="preserve"> والرجال الكبير</w:t>
      </w:r>
      <w:r w:rsidRPr="00563AE6">
        <w:rPr>
          <w:rFonts w:cs="mylotus" w:hint="cs"/>
          <w:sz w:val="23"/>
          <w:szCs w:val="23"/>
          <w:rtl/>
        </w:rPr>
        <w:t xml:space="preserve"> (</w:t>
      </w:r>
      <w:r w:rsidRPr="00563AE6">
        <w:rPr>
          <w:rFonts w:cs="mylotus"/>
          <w:sz w:val="23"/>
          <w:szCs w:val="23"/>
          <w:rtl/>
        </w:rPr>
        <w:t>منهج المقال</w:t>
      </w:r>
      <w:r w:rsidRPr="00563AE6">
        <w:rPr>
          <w:rFonts w:cs="mylotus" w:hint="cs"/>
          <w:sz w:val="23"/>
          <w:szCs w:val="23"/>
          <w:rtl/>
        </w:rPr>
        <w:t>)</w:t>
      </w:r>
      <w:r w:rsidRPr="00563AE6">
        <w:rPr>
          <w:rFonts w:cs="mylotus"/>
          <w:sz w:val="23"/>
          <w:szCs w:val="23"/>
          <w:rtl/>
        </w:rPr>
        <w:t>، ص49</w:t>
      </w:r>
      <w:r w:rsidRPr="00563AE6">
        <w:rPr>
          <w:rFonts w:cs="mylotus" w:hint="cs"/>
          <w:sz w:val="23"/>
          <w:szCs w:val="23"/>
          <w:rtl/>
        </w:rPr>
        <w:t>.</w:t>
      </w:r>
    </w:p>
  </w:footnote>
  <w:footnote w:id="299">
    <w:p w:rsidR="00B31118" w:rsidRPr="00563AE6" w:rsidRDefault="00B31118" w:rsidP="00B300C9">
      <w:pPr>
        <w:spacing w:line="228" w:lineRule="auto"/>
        <w:ind w:left="378" w:hanging="378"/>
        <w:jc w:val="both"/>
        <w:rPr>
          <w:rFonts w:cs="mylotus" w:hint="cs"/>
          <w:sz w:val="23"/>
          <w:szCs w:val="23"/>
          <w:rtl/>
        </w:rPr>
      </w:pPr>
      <w:r w:rsidRPr="00563AE6">
        <w:rPr>
          <w:rFonts w:cs="mylotus"/>
          <w:sz w:val="23"/>
          <w:szCs w:val="23"/>
          <w:rtl/>
        </w:rPr>
        <w:footnoteRef/>
      </w:r>
      <w:r>
        <w:rPr>
          <w:rFonts w:cs="mylotus"/>
          <w:sz w:val="23"/>
          <w:szCs w:val="23"/>
          <w:rtl/>
        </w:rPr>
        <w:t>-</w:t>
      </w:r>
      <w:r w:rsidRPr="00563AE6">
        <w:rPr>
          <w:rFonts w:cs="mylotus" w:hint="cs"/>
          <w:sz w:val="23"/>
          <w:szCs w:val="23"/>
          <w:rtl/>
        </w:rPr>
        <w:t xml:space="preserve"> رجال ابن داود، ص 55.</w:t>
      </w:r>
    </w:p>
  </w:footnote>
  <w:footnote w:id="300">
    <w:p w:rsidR="00B31118" w:rsidRPr="00563AE6" w:rsidRDefault="00B31118" w:rsidP="00B300C9">
      <w:pPr>
        <w:spacing w:line="228" w:lineRule="auto"/>
        <w:ind w:left="378" w:hanging="378"/>
        <w:jc w:val="both"/>
        <w:rPr>
          <w:rFonts w:cs="mylotus" w:hint="cs"/>
          <w:sz w:val="23"/>
          <w:szCs w:val="23"/>
        </w:rPr>
      </w:pPr>
      <w:r w:rsidRPr="00563AE6">
        <w:rPr>
          <w:rFonts w:cs="mylotus"/>
          <w:sz w:val="23"/>
          <w:szCs w:val="23"/>
          <w:rtl/>
        </w:rPr>
        <w:footnoteRef/>
      </w:r>
      <w:r>
        <w:rPr>
          <w:rFonts w:cs="mylotus"/>
          <w:sz w:val="23"/>
          <w:szCs w:val="23"/>
          <w:rtl/>
        </w:rPr>
        <w:t>-</w:t>
      </w:r>
      <w:r w:rsidRPr="00563AE6">
        <w:rPr>
          <w:rFonts w:cs="mylotus" w:hint="cs"/>
          <w:sz w:val="23"/>
          <w:szCs w:val="23"/>
          <w:rtl/>
        </w:rPr>
        <w:t xml:space="preserve"> </w:t>
      </w:r>
      <w:r w:rsidRPr="00563AE6">
        <w:rPr>
          <w:rFonts w:cs="mylotus"/>
          <w:sz w:val="23"/>
          <w:szCs w:val="23"/>
          <w:rtl/>
        </w:rPr>
        <w:t>الشيخ الطوس</w:t>
      </w:r>
      <w:r w:rsidRPr="00563AE6">
        <w:rPr>
          <w:rFonts w:cs="mylotus" w:hint="cs"/>
          <w:sz w:val="23"/>
          <w:szCs w:val="23"/>
          <w:rtl/>
        </w:rPr>
        <w:t xml:space="preserve">ي، تهذيب الأحكام، </w:t>
      </w:r>
      <w:r w:rsidRPr="00563AE6">
        <w:rPr>
          <w:rFonts w:cs="mylotus"/>
          <w:sz w:val="23"/>
          <w:szCs w:val="23"/>
          <w:rtl/>
        </w:rPr>
        <w:t>ج4، ص121</w:t>
      </w:r>
      <w:r w:rsidRPr="00563AE6">
        <w:rPr>
          <w:rFonts w:cs="mylotus" w:hint="cs"/>
          <w:sz w:val="23"/>
          <w:szCs w:val="23"/>
          <w:rtl/>
        </w:rPr>
        <w:t>.</w:t>
      </w:r>
    </w:p>
  </w:footnote>
  <w:footnote w:id="301">
    <w:p w:rsidR="00B31118" w:rsidRPr="00563AE6" w:rsidRDefault="00B31118" w:rsidP="00B300C9">
      <w:pPr>
        <w:spacing w:line="228" w:lineRule="auto"/>
        <w:ind w:left="378" w:hanging="378"/>
        <w:jc w:val="both"/>
        <w:rPr>
          <w:rFonts w:cs="mylotus" w:hint="cs"/>
          <w:sz w:val="23"/>
          <w:szCs w:val="23"/>
        </w:rPr>
      </w:pPr>
      <w:r w:rsidRPr="00563AE6">
        <w:rPr>
          <w:rFonts w:cs="mylotus"/>
          <w:sz w:val="23"/>
          <w:szCs w:val="23"/>
          <w:rtl/>
        </w:rPr>
        <w:footnoteRef/>
      </w:r>
      <w:r>
        <w:rPr>
          <w:rFonts w:cs="mylotus"/>
          <w:sz w:val="23"/>
          <w:szCs w:val="23"/>
          <w:rtl/>
        </w:rPr>
        <w:t>-</w:t>
      </w:r>
      <w:r w:rsidRPr="00563AE6">
        <w:rPr>
          <w:rFonts w:cs="mylotus"/>
          <w:sz w:val="23"/>
          <w:szCs w:val="23"/>
          <w:rtl/>
        </w:rPr>
        <w:t xml:space="preserve"> </w:t>
      </w:r>
      <w:r w:rsidRPr="00563AE6">
        <w:rPr>
          <w:rFonts w:cs="mylotus" w:hint="cs"/>
          <w:sz w:val="23"/>
          <w:szCs w:val="23"/>
          <w:rtl/>
        </w:rPr>
        <w:t>راجع ما ذكره المؤلف عن حاله في متن وحاشية الصفحات 79-80 من هذا الكتاب. (المُتَرْجِمُ).</w:t>
      </w:r>
    </w:p>
  </w:footnote>
  <w:footnote w:id="302">
    <w:p w:rsidR="00B31118" w:rsidRPr="00563AE6" w:rsidRDefault="00B31118" w:rsidP="00B300C9">
      <w:pPr>
        <w:spacing w:line="228" w:lineRule="auto"/>
        <w:ind w:left="378" w:hanging="378"/>
        <w:jc w:val="both"/>
        <w:rPr>
          <w:rFonts w:cs="mylotus" w:hint="cs"/>
          <w:sz w:val="23"/>
          <w:szCs w:val="23"/>
          <w:rtl/>
        </w:rPr>
      </w:pPr>
      <w:r w:rsidRPr="00563AE6">
        <w:rPr>
          <w:rFonts w:cs="mylotus"/>
          <w:sz w:val="23"/>
          <w:szCs w:val="23"/>
          <w:rtl/>
        </w:rPr>
        <w:footnoteRef/>
      </w:r>
      <w:r>
        <w:rPr>
          <w:rFonts w:cs="mylotus"/>
          <w:sz w:val="23"/>
          <w:szCs w:val="23"/>
          <w:rtl/>
        </w:rPr>
        <w:t>-</w:t>
      </w:r>
      <w:r w:rsidRPr="00563AE6">
        <w:rPr>
          <w:rFonts w:cs="mylotus" w:hint="cs"/>
          <w:sz w:val="23"/>
          <w:szCs w:val="23"/>
          <w:rtl/>
        </w:rPr>
        <w:t xml:space="preserve"> </w:t>
      </w:r>
      <w:r w:rsidRPr="00563AE6">
        <w:rPr>
          <w:rFonts w:cs="mylotus"/>
          <w:sz w:val="23"/>
          <w:szCs w:val="23"/>
          <w:rtl/>
        </w:rPr>
        <w:t xml:space="preserve">الشيخ الطوسي، </w:t>
      </w:r>
      <w:r w:rsidRPr="00563AE6">
        <w:rPr>
          <w:rFonts w:cs="mylotus" w:hint="cs"/>
          <w:sz w:val="23"/>
          <w:szCs w:val="23"/>
          <w:rtl/>
        </w:rPr>
        <w:t>الفهرست</w:t>
      </w:r>
      <w:r w:rsidRPr="00563AE6">
        <w:rPr>
          <w:rFonts w:cs="mylotus"/>
          <w:sz w:val="23"/>
          <w:szCs w:val="23"/>
          <w:rtl/>
        </w:rPr>
        <w:t>،</w:t>
      </w:r>
      <w:r w:rsidRPr="00563AE6">
        <w:rPr>
          <w:rFonts w:cs="mylotus" w:hint="cs"/>
          <w:sz w:val="23"/>
          <w:szCs w:val="23"/>
          <w:rtl/>
        </w:rPr>
        <w:t xml:space="preserve"> ص 143.</w:t>
      </w:r>
    </w:p>
  </w:footnote>
  <w:footnote w:id="303">
    <w:p w:rsidR="00B31118" w:rsidRPr="00563AE6" w:rsidRDefault="00B31118" w:rsidP="00B300C9">
      <w:pPr>
        <w:spacing w:line="228" w:lineRule="auto"/>
        <w:ind w:left="378" w:hanging="378"/>
        <w:jc w:val="both"/>
        <w:rPr>
          <w:rFonts w:cs="mylotus" w:hint="cs"/>
          <w:sz w:val="23"/>
          <w:szCs w:val="23"/>
        </w:rPr>
      </w:pPr>
      <w:r w:rsidRPr="00563AE6">
        <w:rPr>
          <w:rFonts w:cs="mylotus"/>
          <w:sz w:val="23"/>
          <w:szCs w:val="23"/>
          <w:rtl/>
        </w:rPr>
        <w:footnoteRef/>
      </w:r>
      <w:r>
        <w:rPr>
          <w:rFonts w:cs="mylotus"/>
          <w:sz w:val="23"/>
          <w:szCs w:val="23"/>
          <w:rtl/>
        </w:rPr>
        <w:t>-</w:t>
      </w:r>
      <w:r w:rsidRPr="00563AE6">
        <w:rPr>
          <w:rFonts w:cs="mylotus" w:hint="cs"/>
          <w:sz w:val="23"/>
          <w:szCs w:val="23"/>
          <w:rtl/>
        </w:rPr>
        <w:t xml:space="preserve"> رجال النجاشي، </w:t>
      </w:r>
      <w:r w:rsidRPr="00563AE6">
        <w:rPr>
          <w:rFonts w:cs="mylotus"/>
          <w:sz w:val="23"/>
          <w:szCs w:val="23"/>
          <w:rtl/>
        </w:rPr>
        <w:t>ص252</w:t>
      </w:r>
      <w:r w:rsidRPr="00563AE6">
        <w:rPr>
          <w:rFonts w:cs="mylotus" w:hint="cs"/>
          <w:sz w:val="23"/>
          <w:szCs w:val="23"/>
          <w:rtl/>
        </w:rPr>
        <w:t>.</w:t>
      </w:r>
    </w:p>
  </w:footnote>
  <w:footnote w:id="304">
    <w:p w:rsidR="00B31118" w:rsidRPr="00563AE6" w:rsidRDefault="00B31118" w:rsidP="00B300C9">
      <w:pPr>
        <w:spacing w:line="228" w:lineRule="auto"/>
        <w:ind w:left="378" w:hanging="378"/>
        <w:jc w:val="both"/>
        <w:rPr>
          <w:rFonts w:cs="mylotus" w:hint="cs"/>
          <w:sz w:val="23"/>
          <w:szCs w:val="23"/>
          <w:rtl/>
        </w:rPr>
      </w:pPr>
      <w:r w:rsidRPr="00563AE6">
        <w:rPr>
          <w:rFonts w:cs="mylotus"/>
          <w:sz w:val="23"/>
          <w:szCs w:val="23"/>
          <w:rtl/>
        </w:rPr>
        <w:footnoteRef/>
      </w:r>
      <w:r>
        <w:rPr>
          <w:rFonts w:cs="mylotus"/>
          <w:sz w:val="23"/>
          <w:szCs w:val="23"/>
          <w:rtl/>
        </w:rPr>
        <w:t>-</w:t>
      </w:r>
      <w:r w:rsidRPr="00563AE6">
        <w:rPr>
          <w:rFonts w:cs="mylotus" w:hint="cs"/>
          <w:sz w:val="23"/>
          <w:szCs w:val="23"/>
          <w:rtl/>
        </w:rPr>
        <w:t xml:space="preserve"> رجال ابن داود، ص 541.</w:t>
      </w:r>
    </w:p>
  </w:footnote>
  <w:footnote w:id="305">
    <w:p w:rsidR="00B31118" w:rsidRPr="00563AE6" w:rsidRDefault="00B31118" w:rsidP="00B300C9">
      <w:pPr>
        <w:spacing w:line="228" w:lineRule="auto"/>
        <w:ind w:left="378" w:hanging="378"/>
        <w:jc w:val="both"/>
        <w:rPr>
          <w:rFonts w:cs="mylotus" w:hint="cs"/>
          <w:sz w:val="23"/>
          <w:szCs w:val="23"/>
          <w:rtl/>
        </w:rPr>
      </w:pPr>
      <w:r w:rsidRPr="00563AE6">
        <w:rPr>
          <w:rFonts w:cs="mylotus"/>
          <w:sz w:val="23"/>
          <w:szCs w:val="23"/>
          <w:rtl/>
        </w:rPr>
        <w:footnoteRef/>
      </w:r>
      <w:r>
        <w:rPr>
          <w:rFonts w:cs="mylotus"/>
          <w:sz w:val="23"/>
          <w:szCs w:val="23"/>
          <w:rtl/>
        </w:rPr>
        <w:t>-</w:t>
      </w:r>
      <w:r w:rsidRPr="00563AE6">
        <w:rPr>
          <w:rFonts w:cs="mylotus" w:hint="cs"/>
          <w:sz w:val="23"/>
          <w:szCs w:val="23"/>
          <w:rtl/>
        </w:rPr>
        <w:t xml:space="preserve"> المصدر نفسه، ص 437.</w:t>
      </w:r>
    </w:p>
  </w:footnote>
  <w:footnote w:id="306">
    <w:p w:rsidR="00B31118" w:rsidRPr="00563AE6" w:rsidRDefault="00B31118" w:rsidP="00B300C9">
      <w:pPr>
        <w:spacing w:line="228" w:lineRule="auto"/>
        <w:ind w:left="378" w:hanging="378"/>
        <w:jc w:val="both"/>
        <w:rPr>
          <w:rFonts w:cs="mylotus" w:hint="cs"/>
          <w:sz w:val="23"/>
          <w:szCs w:val="23"/>
          <w:rtl/>
        </w:rPr>
      </w:pPr>
      <w:r w:rsidRPr="00563AE6">
        <w:rPr>
          <w:rFonts w:cs="mylotus"/>
          <w:sz w:val="23"/>
          <w:szCs w:val="23"/>
          <w:rtl/>
        </w:rPr>
        <w:footnoteRef/>
      </w:r>
      <w:r>
        <w:rPr>
          <w:rFonts w:cs="mylotus"/>
          <w:sz w:val="23"/>
          <w:szCs w:val="23"/>
          <w:rtl/>
        </w:rPr>
        <w:t>-</w:t>
      </w:r>
      <w:r w:rsidRPr="00563AE6">
        <w:rPr>
          <w:rFonts w:cs="mylotus" w:hint="cs"/>
          <w:sz w:val="23"/>
          <w:szCs w:val="23"/>
          <w:rtl/>
        </w:rPr>
        <w:t xml:space="preserve"> رجال الكشي، ص 437. </w:t>
      </w:r>
    </w:p>
  </w:footnote>
  <w:footnote w:id="307">
    <w:p w:rsidR="00B31118" w:rsidRPr="00563AE6" w:rsidRDefault="00B31118" w:rsidP="00B300C9">
      <w:pPr>
        <w:spacing w:line="228" w:lineRule="auto"/>
        <w:ind w:left="378" w:hanging="378"/>
        <w:jc w:val="both"/>
        <w:rPr>
          <w:rFonts w:cs="mylotus" w:hint="cs"/>
          <w:sz w:val="23"/>
          <w:szCs w:val="23"/>
          <w:rtl/>
        </w:rPr>
      </w:pPr>
      <w:r w:rsidRPr="00563AE6">
        <w:rPr>
          <w:rFonts w:cs="mylotus"/>
          <w:sz w:val="23"/>
          <w:szCs w:val="23"/>
          <w:rtl/>
        </w:rPr>
        <w:footnoteRef/>
      </w:r>
      <w:r>
        <w:rPr>
          <w:rFonts w:cs="mylotus"/>
          <w:sz w:val="23"/>
          <w:szCs w:val="23"/>
          <w:rtl/>
        </w:rPr>
        <w:t>-</w:t>
      </w:r>
      <w:r w:rsidRPr="00563AE6">
        <w:rPr>
          <w:rFonts w:cs="mylotus" w:hint="cs"/>
          <w:sz w:val="23"/>
          <w:szCs w:val="23"/>
          <w:rtl/>
        </w:rPr>
        <w:t xml:space="preserve"> الميرزا محمد الأسترآبادي، منهج المقال، ص 298.</w:t>
      </w:r>
    </w:p>
  </w:footnote>
  <w:footnote w:id="308">
    <w:p w:rsidR="00B31118" w:rsidRPr="00563AE6" w:rsidRDefault="00B31118" w:rsidP="00B300C9">
      <w:pPr>
        <w:spacing w:line="228" w:lineRule="auto"/>
        <w:ind w:left="378" w:hanging="378"/>
        <w:jc w:val="both"/>
        <w:rPr>
          <w:rFonts w:cs="mylotus" w:hint="cs"/>
          <w:sz w:val="23"/>
          <w:szCs w:val="23"/>
          <w:rtl/>
        </w:rPr>
      </w:pPr>
      <w:r w:rsidRPr="00563AE6">
        <w:rPr>
          <w:rFonts w:cs="mylotus"/>
          <w:sz w:val="23"/>
          <w:szCs w:val="23"/>
          <w:rtl/>
        </w:rPr>
        <w:footnoteRef/>
      </w:r>
      <w:r>
        <w:rPr>
          <w:rFonts w:cs="mylotus"/>
          <w:sz w:val="23"/>
          <w:szCs w:val="23"/>
          <w:rtl/>
        </w:rPr>
        <w:t>-</w:t>
      </w:r>
      <w:r w:rsidRPr="00563AE6">
        <w:rPr>
          <w:rFonts w:cs="mylotus" w:hint="cs"/>
          <w:sz w:val="23"/>
          <w:szCs w:val="23"/>
          <w:rtl/>
        </w:rPr>
        <w:t xml:space="preserve"> رجال العلامة الحلي، ص266.</w:t>
      </w:r>
    </w:p>
  </w:footnote>
  <w:footnote w:id="309">
    <w:p w:rsidR="00B31118" w:rsidRPr="00563AE6" w:rsidRDefault="00B31118" w:rsidP="00B300C9">
      <w:pPr>
        <w:spacing w:line="228" w:lineRule="auto"/>
        <w:ind w:left="378" w:hanging="378"/>
        <w:jc w:val="both"/>
        <w:rPr>
          <w:rFonts w:ascii="Lotus Linotype" w:hAnsi="Lotus Linotype" w:cs="mylotus" w:hint="cs"/>
          <w:sz w:val="23"/>
          <w:szCs w:val="23"/>
        </w:rPr>
      </w:pPr>
      <w:r w:rsidRPr="00563AE6">
        <w:rPr>
          <w:rFonts w:cs="mylotus"/>
          <w:sz w:val="23"/>
          <w:szCs w:val="23"/>
          <w:rtl/>
        </w:rPr>
        <w:footnoteRef/>
      </w:r>
      <w:r>
        <w:rPr>
          <w:rFonts w:cs="mylotus"/>
          <w:sz w:val="23"/>
          <w:szCs w:val="23"/>
          <w:rtl/>
        </w:rPr>
        <w:t>-</w:t>
      </w:r>
      <w:r w:rsidRPr="00563AE6">
        <w:rPr>
          <w:rFonts w:cs="mylotus"/>
          <w:sz w:val="23"/>
          <w:szCs w:val="23"/>
          <w:rtl/>
        </w:rPr>
        <w:t xml:space="preserve"> </w:t>
      </w:r>
      <w:r w:rsidRPr="00563AE6">
        <w:rPr>
          <w:rFonts w:cs="mylotus" w:hint="cs"/>
          <w:sz w:val="23"/>
          <w:szCs w:val="23"/>
          <w:rtl/>
        </w:rPr>
        <w:t xml:space="preserve">هو الفقيه الإمامي </w:t>
      </w:r>
      <w:r w:rsidRPr="00563AE6">
        <w:rPr>
          <w:rFonts w:ascii="Lotus Linotype" w:hAnsi="Lotus Linotype" w:cs="mylotus" w:hint="cs"/>
          <w:sz w:val="23"/>
          <w:szCs w:val="23"/>
          <w:rtl/>
        </w:rPr>
        <w:t xml:space="preserve">القديم </w:t>
      </w:r>
      <w:r w:rsidRPr="00563AE6">
        <w:rPr>
          <w:rFonts w:ascii="Lotus Linotype" w:hAnsi="Lotus Linotype" w:cs="mylotus"/>
          <w:sz w:val="23"/>
          <w:szCs w:val="23"/>
          <w:rtl/>
        </w:rPr>
        <w:t>«</w:t>
      </w:r>
      <w:r w:rsidRPr="00563AE6">
        <w:rPr>
          <w:rFonts w:cs="mylotus"/>
          <w:sz w:val="23"/>
          <w:szCs w:val="23"/>
          <w:rtl/>
        </w:rPr>
        <w:t xml:space="preserve">محمد بن أحمد </w:t>
      </w:r>
      <w:r w:rsidRPr="00563AE6">
        <w:rPr>
          <w:rFonts w:cs="mylotus" w:hint="cs"/>
          <w:sz w:val="23"/>
          <w:szCs w:val="23"/>
          <w:rtl/>
        </w:rPr>
        <w:t xml:space="preserve">بن الجنيد الكاتب </w:t>
      </w:r>
      <w:r w:rsidRPr="00563AE6">
        <w:rPr>
          <w:rFonts w:cs="mylotus"/>
          <w:sz w:val="23"/>
          <w:szCs w:val="23"/>
          <w:rtl/>
        </w:rPr>
        <w:t>الإسكافي</w:t>
      </w:r>
      <w:r w:rsidRPr="00563AE6">
        <w:rPr>
          <w:rFonts w:ascii="Lotus Linotype" w:hAnsi="Lotus Linotype" w:cs="mylotus"/>
          <w:sz w:val="23"/>
          <w:szCs w:val="23"/>
          <w:rtl/>
        </w:rPr>
        <w:t>»</w:t>
      </w:r>
      <w:r w:rsidRPr="00563AE6">
        <w:rPr>
          <w:rFonts w:cs="mylotus"/>
          <w:sz w:val="23"/>
          <w:szCs w:val="23"/>
          <w:rtl/>
        </w:rPr>
        <w:t xml:space="preserve"> </w:t>
      </w:r>
      <w:r w:rsidRPr="00563AE6">
        <w:rPr>
          <w:rFonts w:cs="mylotus" w:hint="cs"/>
          <w:sz w:val="23"/>
          <w:szCs w:val="23"/>
          <w:rtl/>
        </w:rPr>
        <w:t xml:space="preserve">المعروف بـ </w:t>
      </w:r>
      <w:r w:rsidRPr="00563AE6">
        <w:rPr>
          <w:rFonts w:cs="mylotus"/>
          <w:sz w:val="23"/>
          <w:szCs w:val="23"/>
          <w:rtl/>
        </w:rPr>
        <w:t>«</w:t>
      </w:r>
      <w:r w:rsidRPr="00563AE6">
        <w:rPr>
          <w:rFonts w:cs="mylotus" w:hint="cs"/>
          <w:sz w:val="23"/>
          <w:szCs w:val="23"/>
          <w:rtl/>
        </w:rPr>
        <w:t>ابن الجنيد</w:t>
      </w:r>
      <w:r w:rsidRPr="00563AE6">
        <w:rPr>
          <w:rFonts w:cs="mylotus"/>
          <w:sz w:val="23"/>
          <w:szCs w:val="23"/>
          <w:rtl/>
        </w:rPr>
        <w:t>»</w:t>
      </w:r>
      <w:r w:rsidRPr="00563AE6">
        <w:rPr>
          <w:rFonts w:cs="mylotus" w:hint="cs"/>
          <w:sz w:val="23"/>
          <w:szCs w:val="23"/>
          <w:rtl/>
        </w:rPr>
        <w:t xml:space="preserve"> و</w:t>
      </w:r>
      <w:r w:rsidRPr="00563AE6">
        <w:rPr>
          <w:rFonts w:cs="mylotus"/>
          <w:sz w:val="23"/>
          <w:szCs w:val="23"/>
          <w:rtl/>
        </w:rPr>
        <w:t>المتوف</w:t>
      </w:r>
      <w:r w:rsidRPr="00563AE6">
        <w:rPr>
          <w:rFonts w:cs="mylotus" w:hint="cs"/>
          <w:sz w:val="23"/>
          <w:szCs w:val="23"/>
          <w:rtl/>
        </w:rPr>
        <w:t>َّى</w:t>
      </w:r>
      <w:r w:rsidRPr="00563AE6">
        <w:rPr>
          <w:rFonts w:cs="mylotus"/>
          <w:sz w:val="23"/>
          <w:szCs w:val="23"/>
          <w:rtl/>
        </w:rPr>
        <w:t xml:space="preserve"> سنة 381</w:t>
      </w:r>
      <w:r w:rsidRPr="00563AE6">
        <w:rPr>
          <w:rFonts w:cs="mylotus" w:hint="cs"/>
          <w:sz w:val="23"/>
          <w:szCs w:val="23"/>
          <w:rtl/>
        </w:rPr>
        <w:t>هـ، أحد أبرز فقهاء الإمامية القدماء وشيخ مشايخ النجاشي والشيخ الطوسي وقد ترجمه في كتابه. قال العلامة الحلي عنه في رجاله (ص 145): «ك</w:t>
      </w:r>
      <w:r w:rsidRPr="00563AE6">
        <w:rPr>
          <w:rFonts w:cs="mylotus"/>
          <w:sz w:val="23"/>
          <w:szCs w:val="23"/>
          <w:rtl/>
        </w:rPr>
        <w:t>ان شيخ</w:t>
      </w:r>
      <w:r w:rsidRPr="00563AE6">
        <w:rPr>
          <w:rFonts w:cs="mylotus" w:hint="cs"/>
          <w:sz w:val="23"/>
          <w:szCs w:val="23"/>
          <w:rtl/>
        </w:rPr>
        <w:t xml:space="preserve"> </w:t>
      </w:r>
      <w:r w:rsidRPr="00563AE6">
        <w:rPr>
          <w:rFonts w:cs="mylotus"/>
          <w:sz w:val="23"/>
          <w:szCs w:val="23"/>
          <w:rtl/>
        </w:rPr>
        <w:t>ال</w:t>
      </w:r>
      <w:r w:rsidRPr="00563AE6">
        <w:rPr>
          <w:rFonts w:cs="mylotus" w:hint="cs"/>
          <w:sz w:val="23"/>
          <w:szCs w:val="23"/>
          <w:rtl/>
        </w:rPr>
        <w:t>إ</w:t>
      </w:r>
      <w:r w:rsidRPr="00563AE6">
        <w:rPr>
          <w:rFonts w:cs="mylotus"/>
          <w:sz w:val="23"/>
          <w:szCs w:val="23"/>
          <w:rtl/>
        </w:rPr>
        <w:t>مامية</w:t>
      </w:r>
      <w:r w:rsidRPr="00563AE6">
        <w:rPr>
          <w:rFonts w:cs="mylotus" w:hint="cs"/>
          <w:sz w:val="23"/>
          <w:szCs w:val="23"/>
          <w:rtl/>
        </w:rPr>
        <w:t>،</w:t>
      </w:r>
      <w:r w:rsidRPr="00563AE6">
        <w:rPr>
          <w:rFonts w:cs="mylotus"/>
          <w:sz w:val="23"/>
          <w:szCs w:val="23"/>
          <w:rtl/>
        </w:rPr>
        <w:t xml:space="preserve"> جيد التصنيف حسنه</w:t>
      </w:r>
      <w:r w:rsidRPr="00563AE6">
        <w:rPr>
          <w:rFonts w:cs="mylotus" w:hint="cs"/>
          <w:sz w:val="23"/>
          <w:szCs w:val="23"/>
          <w:rtl/>
        </w:rPr>
        <w:t>،</w:t>
      </w:r>
      <w:r w:rsidRPr="00563AE6">
        <w:rPr>
          <w:rFonts w:cs="mylotus"/>
          <w:sz w:val="23"/>
          <w:szCs w:val="23"/>
          <w:rtl/>
        </w:rPr>
        <w:t xml:space="preserve"> وجه</w:t>
      </w:r>
      <w:r w:rsidRPr="00563AE6">
        <w:rPr>
          <w:rFonts w:cs="mylotus" w:hint="cs"/>
          <w:sz w:val="23"/>
          <w:szCs w:val="23"/>
          <w:rtl/>
        </w:rPr>
        <w:t xml:space="preserve">ٌ </w:t>
      </w:r>
      <w:r w:rsidRPr="00563AE6">
        <w:rPr>
          <w:rFonts w:cs="mylotus"/>
          <w:sz w:val="23"/>
          <w:szCs w:val="23"/>
          <w:rtl/>
        </w:rPr>
        <w:t>ف</w:t>
      </w:r>
      <w:r w:rsidRPr="00563AE6">
        <w:rPr>
          <w:rFonts w:cs="mylotus" w:hint="cs"/>
          <w:sz w:val="23"/>
          <w:szCs w:val="23"/>
          <w:rtl/>
        </w:rPr>
        <w:t>ي</w:t>
      </w:r>
      <w:r w:rsidRPr="00563AE6">
        <w:rPr>
          <w:rFonts w:cs="mylotus"/>
          <w:sz w:val="23"/>
          <w:szCs w:val="23"/>
          <w:rtl/>
        </w:rPr>
        <w:t xml:space="preserve"> </w:t>
      </w:r>
      <w:r w:rsidRPr="00563AE6">
        <w:rPr>
          <w:rFonts w:cs="mylotus" w:hint="cs"/>
          <w:sz w:val="23"/>
          <w:szCs w:val="23"/>
          <w:rtl/>
        </w:rPr>
        <w:t>أصحابنا</w:t>
      </w:r>
      <w:r w:rsidRPr="00563AE6">
        <w:rPr>
          <w:rFonts w:cs="mylotus"/>
          <w:sz w:val="23"/>
          <w:szCs w:val="23"/>
          <w:rtl/>
        </w:rPr>
        <w:t xml:space="preserve"> ثقة</w:t>
      </w:r>
      <w:r w:rsidRPr="00563AE6">
        <w:rPr>
          <w:rFonts w:cs="mylotus" w:hint="cs"/>
          <w:sz w:val="23"/>
          <w:szCs w:val="23"/>
          <w:rtl/>
        </w:rPr>
        <w:t>ٌ</w:t>
      </w:r>
      <w:r w:rsidRPr="00563AE6">
        <w:rPr>
          <w:rFonts w:cs="mylotus"/>
          <w:sz w:val="23"/>
          <w:szCs w:val="23"/>
          <w:rtl/>
        </w:rPr>
        <w:t xml:space="preserve"> جليل</w:t>
      </w:r>
      <w:r w:rsidRPr="00563AE6">
        <w:rPr>
          <w:rFonts w:cs="mylotus" w:hint="cs"/>
          <w:sz w:val="23"/>
          <w:szCs w:val="23"/>
          <w:rtl/>
        </w:rPr>
        <w:t>ُ</w:t>
      </w:r>
      <w:r w:rsidRPr="00563AE6">
        <w:rPr>
          <w:rFonts w:cs="mylotus"/>
          <w:sz w:val="23"/>
          <w:szCs w:val="23"/>
          <w:rtl/>
        </w:rPr>
        <w:t xml:space="preserve"> القدر صن</w:t>
      </w:r>
      <w:r w:rsidRPr="00563AE6">
        <w:rPr>
          <w:rFonts w:cs="mylotus" w:hint="cs"/>
          <w:sz w:val="23"/>
          <w:szCs w:val="23"/>
          <w:rtl/>
        </w:rPr>
        <w:t>َّ</w:t>
      </w:r>
      <w:r w:rsidRPr="00563AE6">
        <w:rPr>
          <w:rFonts w:cs="mylotus"/>
          <w:sz w:val="23"/>
          <w:szCs w:val="23"/>
          <w:rtl/>
        </w:rPr>
        <w:t>ف فأكثر وقد ذكرت</w:t>
      </w:r>
      <w:r w:rsidRPr="00563AE6">
        <w:rPr>
          <w:rFonts w:cs="mylotus" w:hint="cs"/>
          <w:sz w:val="23"/>
          <w:szCs w:val="23"/>
          <w:rtl/>
        </w:rPr>
        <w:t>ُ</w:t>
      </w:r>
      <w:r w:rsidRPr="00563AE6">
        <w:rPr>
          <w:rFonts w:cs="mylotus"/>
          <w:sz w:val="23"/>
          <w:szCs w:val="23"/>
          <w:rtl/>
        </w:rPr>
        <w:t xml:space="preserve"> خلافه ف</w:t>
      </w:r>
      <w:r w:rsidRPr="00563AE6">
        <w:rPr>
          <w:rFonts w:cs="mylotus" w:hint="cs"/>
          <w:sz w:val="23"/>
          <w:szCs w:val="23"/>
          <w:rtl/>
        </w:rPr>
        <w:t>ي</w:t>
      </w:r>
      <w:r w:rsidRPr="00563AE6">
        <w:rPr>
          <w:rFonts w:cs="mylotus"/>
          <w:sz w:val="23"/>
          <w:szCs w:val="23"/>
          <w:rtl/>
        </w:rPr>
        <w:t xml:space="preserve"> كتبي</w:t>
      </w:r>
      <w:r w:rsidRPr="00563AE6">
        <w:rPr>
          <w:rFonts w:cs="mylotus" w:hint="cs"/>
          <w:sz w:val="23"/>
          <w:szCs w:val="23"/>
          <w:rtl/>
        </w:rPr>
        <w:t>..</w:t>
      </w:r>
      <w:r w:rsidRPr="00563AE6">
        <w:rPr>
          <w:rFonts w:cs="mylotus"/>
          <w:sz w:val="23"/>
          <w:szCs w:val="23"/>
          <w:rtl/>
        </w:rPr>
        <w:t>قال الشيخ</w:t>
      </w:r>
      <w:r w:rsidRPr="00563AE6">
        <w:rPr>
          <w:rFonts w:cs="mylotus" w:hint="cs"/>
          <w:sz w:val="23"/>
          <w:szCs w:val="23"/>
          <w:rtl/>
        </w:rPr>
        <w:t xml:space="preserve"> </w:t>
      </w:r>
      <w:r w:rsidRPr="00563AE6">
        <w:rPr>
          <w:rFonts w:cs="mylotus"/>
          <w:sz w:val="23"/>
          <w:szCs w:val="23"/>
          <w:rtl/>
        </w:rPr>
        <w:t>الطوس</w:t>
      </w:r>
      <w:r w:rsidRPr="00563AE6">
        <w:rPr>
          <w:rFonts w:cs="mylotus" w:hint="cs"/>
          <w:sz w:val="23"/>
          <w:szCs w:val="23"/>
          <w:rtl/>
        </w:rPr>
        <w:t>ي</w:t>
      </w:r>
      <w:r w:rsidRPr="00563AE6">
        <w:rPr>
          <w:rFonts w:cs="mylotus"/>
          <w:sz w:val="23"/>
          <w:szCs w:val="23"/>
          <w:rtl/>
        </w:rPr>
        <w:t xml:space="preserve"> رحم</w:t>
      </w:r>
      <w:r w:rsidRPr="00563AE6">
        <w:rPr>
          <w:rFonts w:cs="mylotus" w:hint="cs"/>
          <w:sz w:val="23"/>
          <w:szCs w:val="23"/>
          <w:rtl/>
        </w:rPr>
        <w:t xml:space="preserve">ه </w:t>
      </w:r>
      <w:r w:rsidRPr="00563AE6">
        <w:rPr>
          <w:rFonts w:cs="mylotus"/>
          <w:sz w:val="23"/>
          <w:szCs w:val="23"/>
          <w:rtl/>
        </w:rPr>
        <w:t xml:space="preserve">الله: </w:t>
      </w:r>
      <w:r w:rsidRPr="00563AE6">
        <w:rPr>
          <w:rFonts w:cs="mylotus" w:hint="cs"/>
          <w:sz w:val="23"/>
          <w:szCs w:val="23"/>
          <w:rtl/>
        </w:rPr>
        <w:t>إ</w:t>
      </w:r>
      <w:r w:rsidRPr="00563AE6">
        <w:rPr>
          <w:rFonts w:cs="mylotus"/>
          <w:sz w:val="23"/>
          <w:szCs w:val="23"/>
          <w:rtl/>
        </w:rPr>
        <w:t>نه كان يرى</w:t>
      </w:r>
      <w:r w:rsidRPr="00563AE6">
        <w:rPr>
          <w:rFonts w:cs="mylotus" w:hint="cs"/>
          <w:sz w:val="23"/>
          <w:szCs w:val="23"/>
          <w:rtl/>
        </w:rPr>
        <w:t xml:space="preserve"> </w:t>
      </w:r>
      <w:r w:rsidRPr="00563AE6">
        <w:rPr>
          <w:rFonts w:cs="mylotus"/>
          <w:sz w:val="23"/>
          <w:szCs w:val="23"/>
          <w:rtl/>
        </w:rPr>
        <w:t>القول بالقياس فت</w:t>
      </w:r>
      <w:r w:rsidRPr="00563AE6">
        <w:rPr>
          <w:rFonts w:cs="mylotus" w:hint="cs"/>
          <w:sz w:val="23"/>
          <w:szCs w:val="23"/>
          <w:rtl/>
        </w:rPr>
        <w:t>ُ</w:t>
      </w:r>
      <w:r w:rsidRPr="00563AE6">
        <w:rPr>
          <w:rFonts w:cs="mylotus"/>
          <w:sz w:val="23"/>
          <w:szCs w:val="23"/>
          <w:rtl/>
        </w:rPr>
        <w:t>رك</w:t>
      </w:r>
      <w:r w:rsidRPr="00563AE6">
        <w:rPr>
          <w:rFonts w:cs="mylotus" w:hint="cs"/>
          <w:sz w:val="23"/>
          <w:szCs w:val="23"/>
          <w:rtl/>
        </w:rPr>
        <w:t>َ</w:t>
      </w:r>
      <w:r w:rsidRPr="00563AE6">
        <w:rPr>
          <w:rFonts w:cs="mylotus"/>
          <w:sz w:val="23"/>
          <w:szCs w:val="23"/>
          <w:rtl/>
        </w:rPr>
        <w:t>ت لذلك كتب</w:t>
      </w:r>
      <w:r w:rsidRPr="00563AE6">
        <w:rPr>
          <w:rFonts w:cs="mylotus" w:hint="cs"/>
          <w:sz w:val="23"/>
          <w:szCs w:val="23"/>
          <w:rtl/>
        </w:rPr>
        <w:t>ُ</w:t>
      </w:r>
      <w:r w:rsidRPr="00563AE6">
        <w:rPr>
          <w:rFonts w:cs="mylotus"/>
          <w:sz w:val="23"/>
          <w:szCs w:val="23"/>
          <w:rtl/>
        </w:rPr>
        <w:t>ه ولم ي</w:t>
      </w:r>
      <w:r w:rsidRPr="00563AE6">
        <w:rPr>
          <w:rFonts w:cs="mylotus" w:hint="cs"/>
          <w:sz w:val="23"/>
          <w:szCs w:val="23"/>
          <w:rtl/>
        </w:rPr>
        <w:t>ُ</w:t>
      </w:r>
      <w:r w:rsidRPr="00563AE6">
        <w:rPr>
          <w:rFonts w:cs="mylotus"/>
          <w:sz w:val="23"/>
          <w:szCs w:val="23"/>
          <w:rtl/>
        </w:rPr>
        <w:t>عو</w:t>
      </w:r>
      <w:r w:rsidRPr="00563AE6">
        <w:rPr>
          <w:rFonts w:cs="mylotus" w:hint="cs"/>
          <w:sz w:val="23"/>
          <w:szCs w:val="23"/>
          <w:rtl/>
        </w:rPr>
        <w:t>َّ</w:t>
      </w:r>
      <w:r w:rsidRPr="00563AE6">
        <w:rPr>
          <w:rFonts w:cs="mylotus"/>
          <w:sz w:val="23"/>
          <w:szCs w:val="23"/>
          <w:rtl/>
        </w:rPr>
        <w:t>ل عليها</w:t>
      </w:r>
      <w:r w:rsidRPr="00563AE6">
        <w:rPr>
          <w:rFonts w:cs="mylotus" w:hint="cs"/>
          <w:sz w:val="23"/>
          <w:szCs w:val="23"/>
          <w:rtl/>
        </w:rPr>
        <w:t xml:space="preserve">» انتهى. ومن أهم كتبه </w:t>
      </w:r>
      <w:r w:rsidRPr="00563AE6">
        <w:rPr>
          <w:rFonts w:ascii="Lotus Linotype" w:hAnsi="Lotus Linotype" w:cs="mylotus"/>
          <w:sz w:val="23"/>
          <w:szCs w:val="23"/>
          <w:rtl/>
        </w:rPr>
        <w:t>«</w:t>
      </w:r>
      <w:r w:rsidRPr="00563AE6">
        <w:rPr>
          <w:rFonts w:ascii="Lotus Linotype" w:hAnsi="Lotus Linotype" w:cs="mylotus" w:hint="cs"/>
          <w:sz w:val="23"/>
          <w:szCs w:val="23"/>
          <w:rtl/>
        </w:rPr>
        <w:t>تهذيب الشيعة لأحكام الشريعة</w:t>
      </w:r>
      <w:r w:rsidRPr="00563AE6">
        <w:rPr>
          <w:rFonts w:ascii="Lotus Linotype" w:hAnsi="Lotus Linotype" w:cs="mylotus"/>
          <w:sz w:val="23"/>
          <w:szCs w:val="23"/>
          <w:rtl/>
        </w:rPr>
        <w:t>»</w:t>
      </w:r>
      <w:r w:rsidRPr="00563AE6">
        <w:rPr>
          <w:rFonts w:ascii="Lotus Linotype" w:hAnsi="Lotus Linotype" w:cs="mylotus" w:hint="cs"/>
          <w:sz w:val="23"/>
          <w:szCs w:val="23"/>
          <w:rtl/>
        </w:rPr>
        <w:t xml:space="preserve"> قيل إنه في 20 مجلداً وقد قرأ العلامة الحلي كتاب النكاح منه فقال: «</w:t>
      </w:r>
      <w:r w:rsidRPr="00563AE6">
        <w:rPr>
          <w:rFonts w:ascii="Lotus Linotype" w:hAnsi="Lotus Linotype" w:cs="mylotus"/>
          <w:sz w:val="23"/>
          <w:szCs w:val="23"/>
          <w:rtl/>
        </w:rPr>
        <w:t>فلم أر</w:t>
      </w:r>
      <w:r w:rsidRPr="00563AE6">
        <w:rPr>
          <w:rFonts w:ascii="Lotus Linotype" w:hAnsi="Lotus Linotype" w:cs="mylotus" w:hint="cs"/>
          <w:sz w:val="23"/>
          <w:szCs w:val="23"/>
          <w:rtl/>
        </w:rPr>
        <w:t>َ</w:t>
      </w:r>
      <w:r w:rsidRPr="00563AE6">
        <w:rPr>
          <w:rFonts w:ascii="Lotus Linotype" w:hAnsi="Lotus Linotype" w:cs="mylotus"/>
          <w:sz w:val="23"/>
          <w:szCs w:val="23"/>
          <w:rtl/>
        </w:rPr>
        <w:t xml:space="preserve"> لأحد من هذه الطائفة (الشيعة) كتاباً أجود منه ولا أبلغ ولا أحسن عبارة ولا أدق معنى وقد استوفى فيه الفروع والأصول وذكر الخلاف في المسائل</w:t>
      </w:r>
      <w:r w:rsidRPr="00563AE6">
        <w:rPr>
          <w:rFonts w:ascii="Lotus Linotype" w:hAnsi="Lotus Linotype" w:cs="mylotus" w:hint="cs"/>
          <w:sz w:val="23"/>
          <w:szCs w:val="23"/>
          <w:rtl/>
        </w:rPr>
        <w:t xml:space="preserve">... </w:t>
      </w:r>
      <w:r w:rsidRPr="00563AE6">
        <w:rPr>
          <w:rFonts w:ascii="Lotus Linotype" w:hAnsi="Lotus Linotype" w:cs="mylotus"/>
          <w:sz w:val="23"/>
          <w:szCs w:val="23"/>
          <w:rtl/>
        </w:rPr>
        <w:t>واستدل بطرق الإمامية وطرق مخالفيهم</w:t>
      </w:r>
      <w:r w:rsidRPr="00563AE6">
        <w:rPr>
          <w:rFonts w:ascii="Lotus Linotype" w:hAnsi="Lotus Linotype" w:cs="mylotus" w:hint="cs"/>
          <w:sz w:val="23"/>
          <w:szCs w:val="23"/>
          <w:rtl/>
        </w:rPr>
        <w:t>». إلى قوله: «</w:t>
      </w:r>
      <w:r w:rsidRPr="00563AE6">
        <w:rPr>
          <w:rFonts w:ascii="Lotus Linotype" w:hAnsi="Lotus Linotype" w:cs="mylotus"/>
          <w:sz w:val="23"/>
          <w:szCs w:val="23"/>
          <w:rtl/>
        </w:rPr>
        <w:t>ومن مصنفات هذا الشيخ العظيم الشأن «كتاب الأحمدي في الفقه المحمدي» وهو مختصر هذا الكتاب وهو كتاب جيد يدل على فضل هذا الرجل وكماله وبلوغه غاية المقصود في الفقه وجودة نظره وأنا ذكرت خلافه وأقواله في كتاب «مختلف الشيعة»</w:t>
      </w:r>
      <w:r w:rsidRPr="00563AE6">
        <w:rPr>
          <w:rFonts w:ascii="Lotus Linotype" w:hAnsi="Lotus Linotype" w:cs="mylotus" w:hint="cs"/>
          <w:sz w:val="23"/>
          <w:szCs w:val="23"/>
          <w:rtl/>
        </w:rPr>
        <w:t xml:space="preserve">». (آقا بزرگ الطهراني، الذريعة إلى تصانيف الشيعة، ط3، بيروت، دار الأضواء، 1403هـ، ج4، ص510). </w:t>
      </w:r>
      <w:r w:rsidRPr="00563AE6">
        <w:rPr>
          <w:rFonts w:cs="mylotus" w:hint="cs"/>
          <w:sz w:val="23"/>
          <w:szCs w:val="23"/>
          <w:rtl/>
        </w:rPr>
        <w:t>(المُتَرْجِمُ)</w:t>
      </w:r>
    </w:p>
  </w:footnote>
  <w:footnote w:id="310">
    <w:p w:rsidR="00B31118" w:rsidRPr="00563AE6" w:rsidRDefault="00B31118" w:rsidP="00B300C9">
      <w:pPr>
        <w:spacing w:line="228" w:lineRule="auto"/>
        <w:ind w:left="378" w:hanging="378"/>
        <w:jc w:val="both"/>
        <w:rPr>
          <w:rFonts w:cs="mylotus" w:hint="cs"/>
          <w:sz w:val="23"/>
          <w:szCs w:val="23"/>
        </w:rPr>
      </w:pPr>
      <w:r w:rsidRPr="00563AE6">
        <w:rPr>
          <w:rFonts w:cs="mylotus"/>
          <w:sz w:val="23"/>
          <w:szCs w:val="23"/>
          <w:rtl/>
        </w:rPr>
        <w:footnoteRef/>
      </w:r>
      <w:r>
        <w:rPr>
          <w:rFonts w:cs="mylotus"/>
          <w:sz w:val="23"/>
          <w:szCs w:val="23"/>
          <w:rtl/>
        </w:rPr>
        <w:t>-</w:t>
      </w:r>
      <w:r w:rsidRPr="00563AE6">
        <w:rPr>
          <w:rFonts w:cs="mylotus" w:hint="cs"/>
          <w:sz w:val="23"/>
          <w:szCs w:val="23"/>
          <w:rtl/>
        </w:rPr>
        <w:t xml:space="preserve"> العلامة الحلي، مختلف الشيعة، ج2، ص 31،</w:t>
      </w:r>
      <w:r w:rsidRPr="00563AE6">
        <w:rPr>
          <w:rFonts w:cs="mylotus"/>
          <w:sz w:val="23"/>
          <w:szCs w:val="23"/>
          <w:rtl/>
        </w:rPr>
        <w:t xml:space="preserve"> </w:t>
      </w:r>
      <w:r w:rsidRPr="00563AE6">
        <w:rPr>
          <w:rFonts w:cs="mylotus" w:hint="cs"/>
          <w:sz w:val="23"/>
          <w:szCs w:val="23"/>
          <w:rtl/>
        </w:rPr>
        <w:t>[ أو: ج3، ص314، من الطبعة الجديدة</w:t>
      </w:r>
      <w:r w:rsidRPr="00563AE6">
        <w:rPr>
          <w:rFonts w:ascii="Lotus Linotype" w:hAnsi="Lotus Linotype" w:cs="mylotus"/>
          <w:sz w:val="23"/>
          <w:szCs w:val="23"/>
          <w:rtl/>
        </w:rPr>
        <w:t xml:space="preserve"> </w:t>
      </w:r>
      <w:r w:rsidRPr="00563AE6">
        <w:rPr>
          <w:rFonts w:ascii="Lotus Linotype" w:hAnsi="Lotus Linotype" w:cs="mylotus" w:hint="cs"/>
          <w:sz w:val="23"/>
          <w:szCs w:val="23"/>
          <w:rtl/>
        </w:rPr>
        <w:t>في</w:t>
      </w:r>
      <w:r w:rsidRPr="00563AE6">
        <w:rPr>
          <w:rFonts w:cs="mylotus" w:hint="cs"/>
          <w:sz w:val="23"/>
          <w:szCs w:val="23"/>
          <w:rtl/>
        </w:rPr>
        <w:t xml:space="preserve"> قم، طبع </w:t>
      </w:r>
      <w:r w:rsidRPr="00563AE6">
        <w:rPr>
          <w:rFonts w:cs="mylotus"/>
          <w:sz w:val="23"/>
          <w:szCs w:val="23"/>
          <w:rtl/>
        </w:rPr>
        <w:t>مؤسسة النش</w:t>
      </w:r>
      <w:r w:rsidRPr="00563AE6">
        <w:rPr>
          <w:rFonts w:cs="mylotus" w:hint="cs"/>
          <w:sz w:val="23"/>
          <w:szCs w:val="23"/>
          <w:rtl/>
        </w:rPr>
        <w:t>ـ</w:t>
      </w:r>
      <w:r w:rsidRPr="00563AE6">
        <w:rPr>
          <w:rFonts w:cs="mylotus"/>
          <w:sz w:val="23"/>
          <w:szCs w:val="23"/>
          <w:rtl/>
        </w:rPr>
        <w:t>ر الإسلامي التابعة لجماعة المدرسين</w:t>
      </w:r>
      <w:r w:rsidRPr="00563AE6">
        <w:rPr>
          <w:rFonts w:cs="mylotus" w:hint="cs"/>
          <w:sz w:val="23"/>
          <w:szCs w:val="23"/>
          <w:rtl/>
        </w:rPr>
        <w:t xml:space="preserve">، </w:t>
      </w:r>
      <w:r w:rsidRPr="00563AE6">
        <w:rPr>
          <w:rFonts w:cs="mylotus"/>
          <w:sz w:val="23"/>
          <w:szCs w:val="23"/>
          <w:rtl/>
        </w:rPr>
        <w:t>1413</w:t>
      </w:r>
      <w:r w:rsidRPr="00563AE6">
        <w:rPr>
          <w:rFonts w:cs="mylotus" w:hint="cs"/>
          <w:sz w:val="23"/>
          <w:szCs w:val="23"/>
          <w:rtl/>
        </w:rPr>
        <w:t>هـ، في [9] مجلدات. (المُتَرْجِمُ)].</w:t>
      </w:r>
    </w:p>
  </w:footnote>
  <w:footnote w:id="311">
    <w:p w:rsidR="00B31118" w:rsidRPr="00563AE6" w:rsidRDefault="00B31118" w:rsidP="00B300C9">
      <w:pPr>
        <w:spacing w:line="228" w:lineRule="auto"/>
        <w:ind w:left="378" w:hanging="378"/>
        <w:jc w:val="both"/>
        <w:rPr>
          <w:rFonts w:cs="mylotus" w:hint="cs"/>
          <w:sz w:val="23"/>
          <w:szCs w:val="23"/>
          <w:rtl/>
        </w:rPr>
      </w:pPr>
      <w:r w:rsidRPr="00563AE6">
        <w:rPr>
          <w:rFonts w:cs="mylotus"/>
          <w:sz w:val="23"/>
          <w:szCs w:val="23"/>
          <w:rtl/>
        </w:rPr>
        <w:footnoteRef/>
      </w:r>
      <w:r>
        <w:rPr>
          <w:rFonts w:cs="mylotus"/>
          <w:sz w:val="23"/>
          <w:szCs w:val="23"/>
          <w:rtl/>
        </w:rPr>
        <w:t>-</w:t>
      </w:r>
      <w:r w:rsidRPr="00563AE6">
        <w:rPr>
          <w:rFonts w:cs="mylotus" w:hint="cs"/>
          <w:sz w:val="23"/>
          <w:szCs w:val="23"/>
          <w:rtl/>
        </w:rPr>
        <w:t xml:space="preserve"> المحقق السبزواري، ذخيرة المعاد، ج1، ق 3، ص 480.</w:t>
      </w:r>
    </w:p>
  </w:footnote>
  <w:footnote w:id="312">
    <w:p w:rsidR="00B31118" w:rsidRPr="00563AE6" w:rsidRDefault="00B31118" w:rsidP="00B300C9">
      <w:pPr>
        <w:spacing w:line="228" w:lineRule="auto"/>
        <w:ind w:left="378" w:hanging="378"/>
        <w:jc w:val="both"/>
        <w:rPr>
          <w:rFonts w:cs="mylotus" w:hint="cs"/>
          <w:sz w:val="23"/>
          <w:szCs w:val="23"/>
          <w:rtl/>
        </w:rPr>
      </w:pPr>
      <w:r w:rsidRPr="00563AE6">
        <w:rPr>
          <w:rFonts w:cs="mylotus"/>
          <w:sz w:val="23"/>
          <w:szCs w:val="23"/>
          <w:rtl/>
        </w:rPr>
        <w:footnoteRef/>
      </w:r>
      <w:r>
        <w:rPr>
          <w:rFonts w:cs="mylotus"/>
          <w:sz w:val="23"/>
          <w:szCs w:val="23"/>
          <w:rtl/>
        </w:rPr>
        <w:t>-</w:t>
      </w:r>
      <w:r w:rsidRPr="00563AE6">
        <w:rPr>
          <w:rFonts w:cs="mylotus" w:hint="cs"/>
          <w:sz w:val="23"/>
          <w:szCs w:val="23"/>
          <w:rtl/>
        </w:rPr>
        <w:t xml:space="preserve"> يوسف البحراني، الحدائق الناضرة، ج 12، ص 38. [أو: ج 12، ص 347 من الطبعة الأحدث لـ </w:t>
      </w:r>
      <w:r w:rsidRPr="00563AE6">
        <w:rPr>
          <w:rFonts w:ascii="Lotus Linotype" w:hAnsi="Lotus Linotype" w:cs="mylotus"/>
          <w:sz w:val="23"/>
          <w:szCs w:val="23"/>
          <w:rtl/>
        </w:rPr>
        <w:t>«</w:t>
      </w:r>
      <w:r w:rsidRPr="00563AE6">
        <w:rPr>
          <w:rFonts w:ascii="Lotus Linotype" w:hAnsi="Lotus Linotype" w:cs="mylotus" w:hint="cs"/>
          <w:sz w:val="23"/>
          <w:szCs w:val="23"/>
          <w:rtl/>
        </w:rPr>
        <w:t>الحدائق الناضرة</w:t>
      </w:r>
      <w:r w:rsidRPr="00563AE6">
        <w:rPr>
          <w:rFonts w:ascii="Lotus Linotype" w:hAnsi="Lotus Linotype" w:cs="mylotus"/>
          <w:sz w:val="23"/>
          <w:szCs w:val="23"/>
          <w:rtl/>
        </w:rPr>
        <w:t>»</w:t>
      </w:r>
      <w:r w:rsidRPr="00563AE6">
        <w:rPr>
          <w:rFonts w:ascii="Lotus Linotype" w:hAnsi="Lotus Linotype" w:cs="mylotus" w:hint="cs"/>
          <w:sz w:val="23"/>
          <w:szCs w:val="23"/>
          <w:rtl/>
        </w:rPr>
        <w:t xml:space="preserve">، </w:t>
      </w:r>
      <w:r w:rsidRPr="00563AE6">
        <w:rPr>
          <w:rFonts w:cs="mylotus" w:hint="cs"/>
          <w:sz w:val="23"/>
          <w:szCs w:val="23"/>
          <w:rtl/>
        </w:rPr>
        <w:t>قم، نشـر جماعة المدرسين في الحوزة العلمية، تحقيق وتعليق محمد تقي الأيرواني، 1363 هـ شمسية (الموافق 1984م)، في [25 مجلداً]. (المُتَرْجِمُ).</w:t>
      </w:r>
    </w:p>
  </w:footnote>
  <w:footnote w:id="313">
    <w:p w:rsidR="00B31118" w:rsidRPr="00563AE6" w:rsidRDefault="00B31118" w:rsidP="00B300C9">
      <w:pPr>
        <w:spacing w:line="228" w:lineRule="auto"/>
        <w:ind w:left="378" w:hanging="378"/>
        <w:jc w:val="both"/>
        <w:rPr>
          <w:rFonts w:cs="mylotus" w:hint="cs"/>
          <w:sz w:val="23"/>
          <w:szCs w:val="23"/>
        </w:rPr>
      </w:pPr>
      <w:r w:rsidRPr="00563AE6">
        <w:rPr>
          <w:rFonts w:cs="mylotus"/>
          <w:sz w:val="23"/>
          <w:szCs w:val="23"/>
          <w:rtl/>
        </w:rPr>
        <w:footnoteRef/>
      </w:r>
      <w:r>
        <w:rPr>
          <w:rFonts w:cs="mylotus"/>
          <w:sz w:val="23"/>
          <w:szCs w:val="23"/>
          <w:rtl/>
        </w:rPr>
        <w:t>-</w:t>
      </w:r>
      <w:r w:rsidRPr="00563AE6">
        <w:rPr>
          <w:rFonts w:cs="mylotus"/>
          <w:sz w:val="23"/>
          <w:szCs w:val="23"/>
          <w:rtl/>
        </w:rPr>
        <w:t xml:space="preserve"> </w:t>
      </w:r>
      <w:r w:rsidRPr="00563AE6">
        <w:rPr>
          <w:rFonts w:cs="mylotus" w:hint="cs"/>
          <w:sz w:val="23"/>
          <w:szCs w:val="23"/>
          <w:rtl/>
        </w:rPr>
        <w:t>هو الحسن بن أبي عقيل العماني من قدماء علماء الشيعة الإمامية في أوائل المائة الرابعة، وكان ممن يرى العمل بالقياس. وهو أ</w:t>
      </w:r>
      <w:r w:rsidRPr="00563AE6">
        <w:rPr>
          <w:rFonts w:cs="mylotus"/>
          <w:sz w:val="23"/>
          <w:szCs w:val="23"/>
          <w:rtl/>
        </w:rPr>
        <w:t>ول من هذ</w:t>
      </w:r>
      <w:r w:rsidRPr="00563AE6">
        <w:rPr>
          <w:rFonts w:cs="mylotus" w:hint="cs"/>
          <w:sz w:val="23"/>
          <w:szCs w:val="23"/>
          <w:rtl/>
        </w:rPr>
        <w:t>َّ</w:t>
      </w:r>
      <w:r w:rsidRPr="00563AE6">
        <w:rPr>
          <w:rFonts w:cs="mylotus"/>
          <w:sz w:val="23"/>
          <w:szCs w:val="23"/>
          <w:rtl/>
        </w:rPr>
        <w:t>ب الفقه وبو</w:t>
      </w:r>
      <w:r w:rsidRPr="00563AE6">
        <w:rPr>
          <w:rFonts w:cs="mylotus" w:hint="cs"/>
          <w:sz w:val="23"/>
          <w:szCs w:val="23"/>
          <w:rtl/>
        </w:rPr>
        <w:t>َّ</w:t>
      </w:r>
      <w:r w:rsidRPr="00563AE6">
        <w:rPr>
          <w:rFonts w:cs="mylotus"/>
          <w:sz w:val="23"/>
          <w:szCs w:val="23"/>
          <w:rtl/>
        </w:rPr>
        <w:t>به على الكتب المعروفة اليوم</w:t>
      </w:r>
      <w:r w:rsidRPr="00563AE6">
        <w:rPr>
          <w:rFonts w:cs="mylotus" w:hint="cs"/>
          <w:sz w:val="23"/>
          <w:szCs w:val="23"/>
          <w:rtl/>
        </w:rPr>
        <w:t xml:space="preserve">، أثنى عليهوعلى كتبه أعاظم علماء الشيعة، </w:t>
      </w:r>
      <w:r w:rsidRPr="00563AE6">
        <w:rPr>
          <w:rFonts w:cs="mylotus"/>
          <w:sz w:val="23"/>
          <w:szCs w:val="23"/>
          <w:rtl/>
        </w:rPr>
        <w:t xml:space="preserve">له في الفقه كتاب </w:t>
      </w:r>
      <w:r w:rsidRPr="00563AE6">
        <w:rPr>
          <w:rFonts w:ascii="Lotus Linotype" w:hAnsi="Lotus Linotype" w:cs="mylotus"/>
          <w:sz w:val="23"/>
          <w:szCs w:val="23"/>
          <w:rtl/>
        </w:rPr>
        <w:t>«</w:t>
      </w:r>
      <w:r w:rsidRPr="00563AE6">
        <w:rPr>
          <w:rFonts w:cs="mylotus"/>
          <w:sz w:val="23"/>
          <w:szCs w:val="23"/>
          <w:rtl/>
        </w:rPr>
        <w:t>المتمسك بحبل آل الرسول</w:t>
      </w:r>
      <w:r w:rsidRPr="00563AE6">
        <w:rPr>
          <w:rFonts w:ascii="Lotus Linotype" w:hAnsi="Lotus Linotype" w:cs="mylotus"/>
          <w:sz w:val="23"/>
          <w:szCs w:val="23"/>
          <w:rtl/>
        </w:rPr>
        <w:t>»</w:t>
      </w:r>
      <w:r w:rsidRPr="00563AE6">
        <w:rPr>
          <w:rFonts w:ascii="Lotus Linotype" w:hAnsi="Lotus Linotype" w:cs="mylotus" w:hint="cs"/>
          <w:sz w:val="23"/>
          <w:szCs w:val="23"/>
          <w:rtl/>
        </w:rPr>
        <w:t>،</w:t>
      </w:r>
      <w:r w:rsidRPr="00563AE6">
        <w:rPr>
          <w:rFonts w:cs="mylotus"/>
          <w:sz w:val="23"/>
          <w:szCs w:val="23"/>
          <w:rtl/>
        </w:rPr>
        <w:t xml:space="preserve"> معاصر لجعفر بن محمد بن قولويه</w:t>
      </w:r>
      <w:r w:rsidRPr="00563AE6">
        <w:rPr>
          <w:rFonts w:cs="mylotus" w:hint="cs"/>
          <w:sz w:val="23"/>
          <w:szCs w:val="23"/>
          <w:rtl/>
        </w:rPr>
        <w:t>،</w:t>
      </w:r>
      <w:r w:rsidRPr="00563AE6">
        <w:rPr>
          <w:rFonts w:cs="mylotus"/>
          <w:sz w:val="23"/>
          <w:szCs w:val="23"/>
          <w:rtl/>
        </w:rPr>
        <w:t xml:space="preserve"> كتب إليه يجيزه بالكتاب المذكور وابن قولويه توفي سنة 369</w:t>
      </w:r>
      <w:r w:rsidRPr="00563AE6">
        <w:rPr>
          <w:rFonts w:cs="mylotus" w:hint="cs"/>
          <w:sz w:val="23"/>
          <w:szCs w:val="23"/>
          <w:rtl/>
        </w:rPr>
        <w:t>هـ</w:t>
      </w:r>
      <w:r w:rsidRPr="00563AE6">
        <w:rPr>
          <w:rFonts w:cs="mylotus"/>
          <w:sz w:val="23"/>
          <w:szCs w:val="23"/>
          <w:rtl/>
        </w:rPr>
        <w:t xml:space="preserve"> .</w:t>
      </w:r>
      <w:r w:rsidRPr="00563AE6">
        <w:rPr>
          <w:rFonts w:cs="mylotus" w:hint="cs"/>
          <w:sz w:val="23"/>
          <w:szCs w:val="23"/>
          <w:rtl/>
        </w:rPr>
        <w:t xml:space="preserve"> (نقلاً عن كتاب «أعيان الشيعة</w:t>
      </w:r>
      <w:r w:rsidRPr="00563AE6">
        <w:rPr>
          <w:rFonts w:ascii="Lotus Linotype" w:hAnsi="Lotus Linotype" w:cs="mylotus"/>
          <w:sz w:val="23"/>
          <w:szCs w:val="23"/>
          <w:rtl/>
        </w:rPr>
        <w:t>»</w:t>
      </w:r>
      <w:r w:rsidRPr="00563AE6">
        <w:rPr>
          <w:rFonts w:cs="mylotus" w:hint="cs"/>
          <w:sz w:val="23"/>
          <w:szCs w:val="23"/>
          <w:rtl/>
        </w:rPr>
        <w:t xml:space="preserve"> للعلامة السيد محسن أمين العاملي (1371هـ) ت</w:t>
      </w:r>
      <w:r w:rsidRPr="00563AE6">
        <w:rPr>
          <w:rFonts w:cs="mylotus"/>
          <w:sz w:val="23"/>
          <w:szCs w:val="23"/>
          <w:rtl/>
        </w:rPr>
        <w:t>حقيق وتخريج حسن الأمين</w:t>
      </w:r>
      <w:r w:rsidRPr="00563AE6">
        <w:rPr>
          <w:rFonts w:cs="mylotus" w:hint="cs"/>
          <w:sz w:val="23"/>
          <w:szCs w:val="23"/>
          <w:rtl/>
        </w:rPr>
        <w:t xml:space="preserve">، بيروت، </w:t>
      </w:r>
      <w:r w:rsidRPr="00563AE6">
        <w:rPr>
          <w:rFonts w:cs="mylotus"/>
          <w:sz w:val="23"/>
          <w:szCs w:val="23"/>
          <w:rtl/>
        </w:rPr>
        <w:t>دار التعارف للمطبوعات</w:t>
      </w:r>
      <w:r w:rsidRPr="00563AE6">
        <w:rPr>
          <w:rFonts w:cs="mylotus" w:hint="cs"/>
          <w:sz w:val="23"/>
          <w:szCs w:val="23"/>
          <w:rtl/>
        </w:rPr>
        <w:t>، ج1،  ص112و 124 و135.). (المُتَرْجِمُ).</w:t>
      </w:r>
    </w:p>
  </w:footnote>
  <w:footnote w:id="314">
    <w:p w:rsidR="00B31118" w:rsidRPr="00563AE6" w:rsidRDefault="00B31118" w:rsidP="00B300C9">
      <w:pPr>
        <w:spacing w:line="228" w:lineRule="auto"/>
        <w:ind w:left="378" w:hanging="378"/>
        <w:jc w:val="both"/>
        <w:rPr>
          <w:rFonts w:cs="mylotus" w:hint="cs"/>
          <w:sz w:val="23"/>
          <w:szCs w:val="23"/>
        </w:rPr>
      </w:pPr>
      <w:r w:rsidRPr="00563AE6">
        <w:rPr>
          <w:rFonts w:cs="mylotus"/>
          <w:sz w:val="23"/>
          <w:szCs w:val="23"/>
          <w:rtl/>
        </w:rPr>
        <w:footnoteRef/>
      </w:r>
      <w:r>
        <w:rPr>
          <w:rFonts w:cs="mylotus"/>
          <w:sz w:val="23"/>
          <w:szCs w:val="23"/>
          <w:rtl/>
        </w:rPr>
        <w:t>-</w:t>
      </w:r>
      <w:r w:rsidRPr="00563AE6">
        <w:rPr>
          <w:rFonts w:cs="mylotus" w:hint="cs"/>
          <w:sz w:val="23"/>
          <w:szCs w:val="23"/>
          <w:rtl/>
        </w:rPr>
        <w:t xml:space="preserve"> تهذيب الأحكام، ج 4، ص 143.</w:t>
      </w:r>
    </w:p>
  </w:footnote>
  <w:footnote w:id="315">
    <w:p w:rsidR="00B31118" w:rsidRPr="00563AE6" w:rsidRDefault="00B31118" w:rsidP="00B300C9">
      <w:pPr>
        <w:spacing w:line="228" w:lineRule="auto"/>
        <w:ind w:left="378" w:hanging="378"/>
        <w:jc w:val="both"/>
        <w:rPr>
          <w:rFonts w:cs="mylotus" w:hint="cs"/>
          <w:sz w:val="23"/>
          <w:szCs w:val="23"/>
          <w:rtl/>
        </w:rPr>
      </w:pPr>
      <w:r w:rsidRPr="00563AE6">
        <w:rPr>
          <w:rFonts w:cs="mylotus"/>
          <w:sz w:val="23"/>
          <w:szCs w:val="23"/>
          <w:rtl/>
        </w:rPr>
        <w:footnoteRef/>
      </w:r>
      <w:r>
        <w:rPr>
          <w:rFonts w:cs="mylotus"/>
          <w:sz w:val="23"/>
          <w:szCs w:val="23"/>
          <w:rtl/>
        </w:rPr>
        <w:t>-</w:t>
      </w:r>
      <w:r w:rsidRPr="00563AE6">
        <w:rPr>
          <w:rFonts w:cs="mylotus" w:hint="cs"/>
          <w:sz w:val="23"/>
          <w:szCs w:val="23"/>
          <w:rtl/>
        </w:rPr>
        <w:t xml:space="preserve"> </w:t>
      </w:r>
      <w:r w:rsidRPr="00563AE6">
        <w:rPr>
          <w:rFonts w:cs="mylotus"/>
          <w:sz w:val="23"/>
          <w:szCs w:val="23"/>
          <w:rtl/>
        </w:rPr>
        <w:t>هو الشيخ</w:t>
      </w:r>
      <w:r w:rsidRPr="00563AE6">
        <w:rPr>
          <w:rFonts w:cs="mylotus" w:hint="cs"/>
          <w:sz w:val="23"/>
          <w:szCs w:val="23"/>
          <w:rtl/>
        </w:rPr>
        <w:t>:</w:t>
      </w:r>
      <w:r w:rsidRPr="00563AE6">
        <w:rPr>
          <w:rFonts w:cs="mylotus"/>
          <w:sz w:val="23"/>
          <w:szCs w:val="23"/>
          <w:rtl/>
        </w:rPr>
        <w:t xml:space="preserve"> حمزة بن عبد العزيز الديلمي الطبرستاني، أبو يعلى، الملقب بسلار أو سالار</w:t>
      </w:r>
      <w:r w:rsidRPr="00563AE6">
        <w:rPr>
          <w:rFonts w:cs="mylotus" w:hint="cs"/>
          <w:sz w:val="23"/>
          <w:szCs w:val="23"/>
          <w:rtl/>
        </w:rPr>
        <w:t xml:space="preserve"> (توفي </w:t>
      </w:r>
      <w:r w:rsidRPr="00563AE6">
        <w:rPr>
          <w:rFonts w:cs="mylotus"/>
          <w:sz w:val="23"/>
          <w:szCs w:val="23"/>
          <w:rtl/>
        </w:rPr>
        <w:t>463</w:t>
      </w:r>
      <w:r w:rsidRPr="00563AE6">
        <w:rPr>
          <w:rFonts w:cs="mylotus" w:hint="cs"/>
          <w:sz w:val="23"/>
          <w:szCs w:val="23"/>
          <w:rtl/>
        </w:rPr>
        <w:t>هـ)</w:t>
      </w:r>
      <w:r w:rsidRPr="00563AE6">
        <w:rPr>
          <w:rFonts w:cs="mylotus"/>
          <w:sz w:val="23"/>
          <w:szCs w:val="23"/>
          <w:rtl/>
        </w:rPr>
        <w:t>: فقيه</w:t>
      </w:r>
      <w:r w:rsidRPr="00563AE6">
        <w:rPr>
          <w:rFonts w:cs="mylotus" w:hint="cs"/>
          <w:sz w:val="23"/>
          <w:szCs w:val="23"/>
          <w:rtl/>
        </w:rPr>
        <w:t>ٌ</w:t>
      </w:r>
      <w:r w:rsidRPr="00563AE6">
        <w:rPr>
          <w:rFonts w:cs="mylotus"/>
          <w:sz w:val="23"/>
          <w:szCs w:val="23"/>
          <w:rtl/>
        </w:rPr>
        <w:t xml:space="preserve"> إمامي</w:t>
      </w:r>
      <w:r w:rsidRPr="00563AE6">
        <w:rPr>
          <w:rFonts w:cs="mylotus" w:hint="cs"/>
          <w:sz w:val="23"/>
          <w:szCs w:val="23"/>
          <w:rtl/>
        </w:rPr>
        <w:t xml:space="preserve">ٌّ، </w:t>
      </w:r>
      <w:r w:rsidRPr="00563AE6">
        <w:rPr>
          <w:rFonts w:cs="mylotus"/>
          <w:sz w:val="23"/>
          <w:szCs w:val="23"/>
          <w:rtl/>
        </w:rPr>
        <w:t>من شيوخ وفقهاء الإمامية القدماء</w:t>
      </w:r>
      <w:r w:rsidRPr="00563AE6">
        <w:rPr>
          <w:rFonts w:cs="mylotus" w:hint="cs"/>
          <w:sz w:val="23"/>
          <w:szCs w:val="23"/>
          <w:rtl/>
        </w:rPr>
        <w:t xml:space="preserve">، </w:t>
      </w:r>
      <w:r w:rsidRPr="00563AE6">
        <w:rPr>
          <w:rFonts w:cs="mylotus"/>
          <w:sz w:val="23"/>
          <w:szCs w:val="23"/>
          <w:rtl/>
        </w:rPr>
        <w:t>سكن بغداد</w:t>
      </w:r>
      <w:r w:rsidRPr="00563AE6">
        <w:rPr>
          <w:rFonts w:cs="mylotus" w:hint="cs"/>
          <w:sz w:val="23"/>
          <w:szCs w:val="23"/>
          <w:rtl/>
        </w:rPr>
        <w:t xml:space="preserve"> وتتلمذ على</w:t>
      </w:r>
      <w:r w:rsidRPr="00563AE6">
        <w:rPr>
          <w:rFonts w:cs="mylotus"/>
          <w:sz w:val="23"/>
          <w:szCs w:val="23"/>
          <w:rtl/>
        </w:rPr>
        <w:t xml:space="preserve"> الشيخ المفيد والسيد المرتضى</w:t>
      </w:r>
      <w:r w:rsidRPr="00563AE6">
        <w:rPr>
          <w:rFonts w:cs="mylotus" w:hint="cs"/>
          <w:sz w:val="23"/>
          <w:szCs w:val="23"/>
          <w:rtl/>
        </w:rPr>
        <w:t>،</w:t>
      </w:r>
      <w:r w:rsidRPr="00563AE6">
        <w:rPr>
          <w:rFonts w:cs="mylotus"/>
          <w:sz w:val="23"/>
          <w:szCs w:val="23"/>
          <w:rtl/>
        </w:rPr>
        <w:t xml:space="preserve"> كان ذا باع في العلم والأدب وغيرهما، وله </w:t>
      </w:r>
      <w:r w:rsidRPr="00563AE6">
        <w:rPr>
          <w:rFonts w:cs="mylotus" w:hint="cs"/>
          <w:sz w:val="23"/>
          <w:szCs w:val="23"/>
          <w:rtl/>
        </w:rPr>
        <w:t>(</w:t>
      </w:r>
      <w:r w:rsidRPr="00563AE6">
        <w:rPr>
          <w:rFonts w:cs="mylotus"/>
          <w:sz w:val="23"/>
          <w:szCs w:val="23"/>
          <w:rtl/>
        </w:rPr>
        <w:t>المقنع في المذهب</w:t>
      </w:r>
      <w:r w:rsidRPr="00563AE6">
        <w:rPr>
          <w:rFonts w:cs="mylotus" w:hint="cs"/>
          <w:sz w:val="23"/>
          <w:szCs w:val="23"/>
          <w:rtl/>
        </w:rPr>
        <w:t>)</w:t>
      </w:r>
      <w:r w:rsidRPr="00563AE6">
        <w:rPr>
          <w:rFonts w:cs="mylotus"/>
          <w:sz w:val="23"/>
          <w:szCs w:val="23"/>
          <w:rtl/>
        </w:rPr>
        <w:t>،</w:t>
      </w:r>
      <w:r w:rsidRPr="00563AE6">
        <w:rPr>
          <w:rFonts w:cs="mylotus" w:hint="cs"/>
          <w:sz w:val="23"/>
          <w:szCs w:val="23"/>
          <w:rtl/>
        </w:rPr>
        <w:t xml:space="preserve"> و</w:t>
      </w:r>
      <w:r w:rsidRPr="00563AE6">
        <w:rPr>
          <w:rFonts w:cs="mylotus"/>
          <w:sz w:val="23"/>
          <w:szCs w:val="23"/>
          <w:rtl/>
        </w:rPr>
        <w:t>(</w:t>
      </w:r>
      <w:r w:rsidRPr="00563AE6">
        <w:rPr>
          <w:rFonts w:cs="mylotus" w:hint="cs"/>
          <w:sz w:val="23"/>
          <w:szCs w:val="23"/>
          <w:rtl/>
        </w:rPr>
        <w:t>الأبواب</w:t>
      </w:r>
      <w:r w:rsidRPr="00563AE6">
        <w:rPr>
          <w:rFonts w:cs="mylotus"/>
          <w:sz w:val="23"/>
          <w:szCs w:val="23"/>
          <w:rtl/>
        </w:rPr>
        <w:t xml:space="preserve"> والفصول) في الفقه،</w:t>
      </w:r>
      <w:r w:rsidRPr="00563AE6">
        <w:rPr>
          <w:rFonts w:cs="mylotus" w:hint="cs"/>
          <w:sz w:val="23"/>
          <w:szCs w:val="23"/>
          <w:rtl/>
        </w:rPr>
        <w:t xml:space="preserve"> </w:t>
      </w:r>
      <w:r w:rsidRPr="00563AE6">
        <w:rPr>
          <w:rFonts w:cs="mylotus"/>
          <w:sz w:val="23"/>
          <w:szCs w:val="23"/>
          <w:rtl/>
        </w:rPr>
        <w:t>و</w:t>
      </w:r>
      <w:r w:rsidRPr="00563AE6">
        <w:rPr>
          <w:rFonts w:cs="mylotus" w:hint="cs"/>
          <w:sz w:val="23"/>
          <w:szCs w:val="23"/>
          <w:rtl/>
        </w:rPr>
        <w:t>له (</w:t>
      </w:r>
      <w:r w:rsidRPr="00563AE6">
        <w:rPr>
          <w:rFonts w:cs="mylotus"/>
          <w:sz w:val="23"/>
          <w:szCs w:val="23"/>
          <w:rtl/>
        </w:rPr>
        <w:t>التقريب</w:t>
      </w:r>
      <w:r w:rsidRPr="00563AE6">
        <w:rPr>
          <w:rFonts w:cs="mylotus" w:hint="cs"/>
          <w:sz w:val="23"/>
          <w:szCs w:val="23"/>
          <w:rtl/>
        </w:rPr>
        <w:t>)</w:t>
      </w:r>
      <w:r w:rsidRPr="00563AE6">
        <w:rPr>
          <w:rFonts w:cs="mylotus"/>
          <w:sz w:val="23"/>
          <w:szCs w:val="23"/>
          <w:rtl/>
        </w:rPr>
        <w:t xml:space="preserve"> في أصول الفقه، و</w:t>
      </w:r>
      <w:r w:rsidRPr="00563AE6">
        <w:rPr>
          <w:rFonts w:cs="mylotus" w:hint="cs"/>
          <w:sz w:val="23"/>
          <w:szCs w:val="23"/>
          <w:rtl/>
        </w:rPr>
        <w:t xml:space="preserve">له </w:t>
      </w:r>
      <w:r w:rsidRPr="00563AE6">
        <w:rPr>
          <w:rFonts w:cs="mylotus"/>
          <w:sz w:val="23"/>
          <w:szCs w:val="23"/>
          <w:rtl/>
        </w:rPr>
        <w:t>الرد على أبى الحسن البصري في نقض الشافي</w:t>
      </w:r>
      <w:r w:rsidRPr="00563AE6">
        <w:rPr>
          <w:rFonts w:cs="mylotus" w:hint="cs"/>
          <w:sz w:val="23"/>
          <w:szCs w:val="23"/>
          <w:rtl/>
        </w:rPr>
        <w:t xml:space="preserve">، </w:t>
      </w:r>
      <w:r w:rsidRPr="00563AE6">
        <w:rPr>
          <w:rFonts w:cs="mylotus"/>
          <w:sz w:val="23"/>
          <w:szCs w:val="23"/>
          <w:rtl/>
        </w:rPr>
        <w:t>وله</w:t>
      </w:r>
      <w:r w:rsidRPr="00563AE6">
        <w:rPr>
          <w:rFonts w:cs="mylotus" w:hint="cs"/>
          <w:sz w:val="23"/>
          <w:szCs w:val="23"/>
          <w:rtl/>
        </w:rPr>
        <w:t xml:space="preserve"> </w:t>
      </w:r>
      <w:r w:rsidRPr="00563AE6">
        <w:rPr>
          <w:rFonts w:cs="mylotus"/>
          <w:sz w:val="23"/>
          <w:szCs w:val="23"/>
          <w:rtl/>
        </w:rPr>
        <w:t xml:space="preserve">الرسالة التي سماها: </w:t>
      </w:r>
      <w:r w:rsidRPr="00563AE6">
        <w:rPr>
          <w:rFonts w:cs="mylotus" w:hint="cs"/>
          <w:sz w:val="23"/>
          <w:szCs w:val="23"/>
          <w:rtl/>
        </w:rPr>
        <w:t>(</w:t>
      </w:r>
      <w:r w:rsidRPr="00563AE6">
        <w:rPr>
          <w:rFonts w:cs="mylotus"/>
          <w:sz w:val="23"/>
          <w:szCs w:val="23"/>
          <w:rtl/>
        </w:rPr>
        <w:t>المراسم العلوية والأحكام النبوية</w:t>
      </w:r>
      <w:r w:rsidRPr="00563AE6">
        <w:rPr>
          <w:rFonts w:cs="mylotus" w:hint="cs"/>
          <w:sz w:val="23"/>
          <w:szCs w:val="23"/>
          <w:rtl/>
        </w:rPr>
        <w:t>)</w:t>
      </w:r>
      <w:r w:rsidRPr="00563AE6">
        <w:rPr>
          <w:rFonts w:cs="mylotus"/>
          <w:sz w:val="23"/>
          <w:szCs w:val="23"/>
          <w:rtl/>
        </w:rPr>
        <w:t xml:space="preserve"> وذكر الشهيد الثاني أنه </w:t>
      </w:r>
      <w:r w:rsidRPr="00563AE6">
        <w:rPr>
          <w:rFonts w:cs="mylotus" w:hint="cs"/>
          <w:sz w:val="23"/>
          <w:szCs w:val="23"/>
          <w:rtl/>
        </w:rPr>
        <w:t xml:space="preserve">كان </w:t>
      </w:r>
      <w:r w:rsidRPr="00563AE6">
        <w:rPr>
          <w:rFonts w:cs="mylotus"/>
          <w:sz w:val="23"/>
          <w:szCs w:val="23"/>
          <w:rtl/>
        </w:rPr>
        <w:t>من علماء حلب.</w:t>
      </w:r>
      <w:r w:rsidRPr="00563AE6">
        <w:rPr>
          <w:rFonts w:cs="mylotus" w:hint="cs"/>
          <w:sz w:val="23"/>
          <w:szCs w:val="23"/>
          <w:rtl/>
        </w:rPr>
        <w:t xml:space="preserve"> (ملخص من كتابَيْ: الأعلام للزركلي، وأمل الآمل للحر العاملي). (المُتَرْجِمُ)</w:t>
      </w:r>
    </w:p>
  </w:footnote>
  <w:footnote w:id="316">
    <w:p w:rsidR="00B31118" w:rsidRPr="00563AE6" w:rsidRDefault="00B31118" w:rsidP="00B300C9">
      <w:pPr>
        <w:spacing w:line="228" w:lineRule="auto"/>
        <w:ind w:left="378" w:hanging="378"/>
        <w:jc w:val="both"/>
        <w:rPr>
          <w:rFonts w:cs="mylotus" w:hint="cs"/>
          <w:sz w:val="23"/>
          <w:szCs w:val="23"/>
          <w:rtl/>
        </w:rPr>
      </w:pPr>
      <w:r w:rsidRPr="00563AE6">
        <w:rPr>
          <w:rFonts w:cs="mylotus"/>
          <w:sz w:val="23"/>
          <w:szCs w:val="23"/>
          <w:rtl/>
        </w:rPr>
        <w:footnoteRef/>
      </w:r>
      <w:r>
        <w:rPr>
          <w:rFonts w:cs="mylotus"/>
          <w:sz w:val="23"/>
          <w:szCs w:val="23"/>
          <w:rtl/>
        </w:rPr>
        <w:t>-</w:t>
      </w:r>
      <w:r w:rsidRPr="00563AE6">
        <w:rPr>
          <w:rFonts w:cs="mylotus"/>
          <w:sz w:val="23"/>
          <w:szCs w:val="23"/>
          <w:rtl/>
        </w:rPr>
        <w:t xml:space="preserve"> </w:t>
      </w:r>
      <w:r w:rsidRPr="00563AE6">
        <w:rPr>
          <w:rFonts w:cs="mylotus" w:hint="cs"/>
          <w:sz w:val="23"/>
          <w:szCs w:val="23"/>
          <w:rtl/>
        </w:rPr>
        <w:t>العماني هو «الحسن بن أبي عقيل» والأسكافي هو «ابن الجنيد» وقد سبق ذكر قولهما بالعفو عن خمس أرباح المكاسب والتجارات والزراعات والصناعات. (المُتَرْجِمُ).</w:t>
      </w:r>
    </w:p>
  </w:footnote>
  <w:footnote w:id="317">
    <w:p w:rsidR="00B31118" w:rsidRPr="00563AE6" w:rsidRDefault="00B31118" w:rsidP="00B300C9">
      <w:pPr>
        <w:spacing w:line="228" w:lineRule="auto"/>
        <w:ind w:left="378" w:hanging="378"/>
        <w:jc w:val="both"/>
        <w:rPr>
          <w:rFonts w:cs="mylotus" w:hint="cs"/>
          <w:sz w:val="23"/>
          <w:szCs w:val="23"/>
          <w:rtl/>
        </w:rPr>
      </w:pPr>
      <w:r w:rsidRPr="00563AE6">
        <w:rPr>
          <w:rFonts w:cs="mylotus"/>
          <w:sz w:val="23"/>
          <w:szCs w:val="23"/>
          <w:rtl/>
        </w:rPr>
        <w:footnoteRef/>
      </w:r>
      <w:r>
        <w:rPr>
          <w:rFonts w:cs="mylotus"/>
          <w:sz w:val="23"/>
          <w:szCs w:val="23"/>
          <w:rtl/>
        </w:rPr>
        <w:t>-</w:t>
      </w:r>
      <w:r w:rsidRPr="00563AE6">
        <w:rPr>
          <w:rFonts w:cs="mylotus" w:hint="cs"/>
          <w:sz w:val="23"/>
          <w:szCs w:val="23"/>
          <w:rtl/>
        </w:rPr>
        <w:t xml:space="preserve"> الفقيه </w:t>
      </w:r>
      <w:r w:rsidRPr="00563AE6">
        <w:rPr>
          <w:rFonts w:cs="mylotus"/>
          <w:sz w:val="23"/>
          <w:szCs w:val="23"/>
          <w:rtl/>
        </w:rPr>
        <w:t>السيد علي الطباطبائي</w:t>
      </w:r>
      <w:r w:rsidRPr="00563AE6">
        <w:rPr>
          <w:rFonts w:cs="mylotus" w:hint="cs"/>
          <w:sz w:val="23"/>
          <w:szCs w:val="23"/>
          <w:rtl/>
        </w:rPr>
        <w:t xml:space="preserve"> (1231هـ)، «</w:t>
      </w:r>
      <w:r w:rsidRPr="00563AE6">
        <w:rPr>
          <w:rFonts w:cs="mylotus"/>
          <w:sz w:val="23"/>
          <w:szCs w:val="23"/>
          <w:rtl/>
        </w:rPr>
        <w:t>رياض المسائل</w:t>
      </w:r>
      <w:r w:rsidRPr="00563AE6">
        <w:rPr>
          <w:rFonts w:cs="mylotus" w:hint="cs"/>
          <w:sz w:val="23"/>
          <w:szCs w:val="23"/>
          <w:rtl/>
        </w:rPr>
        <w:t>»، قم، م</w:t>
      </w:r>
      <w:r w:rsidRPr="00563AE6">
        <w:rPr>
          <w:rFonts w:cs="mylotus"/>
          <w:sz w:val="23"/>
          <w:szCs w:val="23"/>
          <w:rtl/>
        </w:rPr>
        <w:t>ؤسسة النشر الإسلامي التابعة لجماعة المدرسين بقم المشرفة</w:t>
      </w:r>
      <w:r w:rsidRPr="00563AE6">
        <w:rPr>
          <w:rFonts w:cs="mylotus" w:hint="cs"/>
          <w:sz w:val="23"/>
          <w:szCs w:val="23"/>
          <w:rtl/>
        </w:rPr>
        <w:t xml:space="preserve">، </w:t>
      </w:r>
      <w:r w:rsidRPr="00563AE6">
        <w:rPr>
          <w:rFonts w:cs="mylotus"/>
          <w:sz w:val="23"/>
          <w:szCs w:val="23"/>
          <w:rtl/>
        </w:rPr>
        <w:t>1412</w:t>
      </w:r>
      <w:r w:rsidRPr="00563AE6">
        <w:rPr>
          <w:rFonts w:cs="mylotus" w:hint="cs"/>
          <w:sz w:val="23"/>
          <w:szCs w:val="23"/>
          <w:rtl/>
        </w:rPr>
        <w:t>هـ، ج5،  ص241. (المُتَرْجِمُ).</w:t>
      </w:r>
    </w:p>
  </w:footnote>
  <w:footnote w:id="318">
    <w:p w:rsidR="00B31118" w:rsidRPr="00563AE6" w:rsidRDefault="00B31118" w:rsidP="00B300C9">
      <w:pPr>
        <w:spacing w:line="228" w:lineRule="auto"/>
        <w:ind w:left="378" w:hanging="378"/>
        <w:jc w:val="both"/>
        <w:rPr>
          <w:rFonts w:cs="mylotus" w:hint="cs"/>
          <w:sz w:val="23"/>
          <w:szCs w:val="23"/>
          <w:rtl/>
        </w:rPr>
      </w:pPr>
      <w:r w:rsidRPr="00563AE6">
        <w:rPr>
          <w:rFonts w:cs="mylotus"/>
          <w:sz w:val="23"/>
          <w:szCs w:val="23"/>
          <w:rtl/>
        </w:rPr>
        <w:footnoteRef/>
      </w:r>
      <w:r>
        <w:rPr>
          <w:rFonts w:cs="mylotus"/>
          <w:sz w:val="23"/>
          <w:szCs w:val="23"/>
          <w:rtl/>
        </w:rPr>
        <w:t>-</w:t>
      </w:r>
      <w:r w:rsidRPr="00563AE6">
        <w:rPr>
          <w:rFonts w:cs="mylotus"/>
          <w:sz w:val="23"/>
          <w:szCs w:val="23"/>
          <w:rtl/>
        </w:rPr>
        <w:t xml:space="preserve"> </w:t>
      </w:r>
      <w:r w:rsidRPr="00563AE6">
        <w:rPr>
          <w:rFonts w:cs="mylotus" w:hint="cs"/>
          <w:sz w:val="23"/>
          <w:szCs w:val="23"/>
          <w:rtl/>
        </w:rPr>
        <w:t xml:space="preserve">الشيخ حسن بن زين الدين صاحب المعالم (ابن الشهيد الثاني) (1011هـ)، </w:t>
      </w:r>
      <w:r w:rsidRPr="00563AE6">
        <w:rPr>
          <w:rFonts w:cs="mylotus"/>
          <w:sz w:val="23"/>
          <w:szCs w:val="23"/>
          <w:rtl/>
        </w:rPr>
        <w:t>«منتقى الجمان</w:t>
      </w:r>
      <w:r w:rsidRPr="00563AE6">
        <w:rPr>
          <w:rFonts w:cs="mylotus" w:hint="cs"/>
          <w:sz w:val="23"/>
          <w:szCs w:val="23"/>
          <w:rtl/>
        </w:rPr>
        <w:t xml:space="preserve"> في الأحاديث الصحاح والحسان</w:t>
      </w:r>
      <w:r w:rsidRPr="00563AE6">
        <w:rPr>
          <w:rFonts w:cs="mylotus"/>
          <w:sz w:val="23"/>
          <w:szCs w:val="23"/>
          <w:rtl/>
        </w:rPr>
        <w:t>»</w:t>
      </w:r>
      <w:r w:rsidRPr="00563AE6">
        <w:rPr>
          <w:rFonts w:cs="mylotus" w:hint="cs"/>
          <w:sz w:val="23"/>
          <w:szCs w:val="23"/>
          <w:rtl/>
        </w:rPr>
        <w:t xml:space="preserve">، ج2، ص145، أو الطبعة التي صححها وعلق عليها: علي أكبر الغفاري، قم: نشر جامعة المدرسين في الحوزة العلمية، 1406هـ. </w:t>
      </w:r>
      <w:r w:rsidRPr="00563AE6">
        <w:rPr>
          <w:rFonts w:cs="mylotus"/>
          <w:sz w:val="23"/>
          <w:szCs w:val="23"/>
          <w:rtl/>
        </w:rPr>
        <w:t>ج 2</w:t>
      </w:r>
      <w:r w:rsidRPr="00563AE6">
        <w:rPr>
          <w:rFonts w:cs="mylotus" w:hint="cs"/>
          <w:sz w:val="23"/>
          <w:szCs w:val="23"/>
          <w:rtl/>
        </w:rPr>
        <w:t xml:space="preserve">، </w:t>
      </w:r>
      <w:r w:rsidRPr="00563AE6">
        <w:rPr>
          <w:rFonts w:cs="mylotus"/>
          <w:sz w:val="23"/>
          <w:szCs w:val="23"/>
          <w:rtl/>
        </w:rPr>
        <w:t xml:space="preserve"> ص 443 </w:t>
      </w:r>
      <w:r w:rsidRPr="00563AE6">
        <w:rPr>
          <w:rFonts w:cs="Times New Roman" w:hint="cs"/>
          <w:sz w:val="23"/>
          <w:szCs w:val="23"/>
          <w:rtl/>
        </w:rPr>
        <w:t>–</w:t>
      </w:r>
      <w:r w:rsidRPr="00563AE6">
        <w:rPr>
          <w:rFonts w:cs="mylotus"/>
          <w:sz w:val="23"/>
          <w:szCs w:val="23"/>
          <w:rtl/>
        </w:rPr>
        <w:t xml:space="preserve"> 444</w:t>
      </w:r>
      <w:r w:rsidRPr="00563AE6">
        <w:rPr>
          <w:rFonts w:cs="mylotus" w:hint="cs"/>
          <w:sz w:val="23"/>
          <w:szCs w:val="23"/>
          <w:rtl/>
        </w:rPr>
        <w:t>. (المُتَرْجِمُ).</w:t>
      </w:r>
    </w:p>
  </w:footnote>
  <w:footnote w:id="319">
    <w:p w:rsidR="00B31118" w:rsidRPr="00563AE6" w:rsidRDefault="00B31118" w:rsidP="00B300C9">
      <w:pPr>
        <w:spacing w:line="228" w:lineRule="auto"/>
        <w:ind w:left="378" w:hanging="378"/>
        <w:jc w:val="both"/>
        <w:rPr>
          <w:rFonts w:cs="mylotus" w:hint="cs"/>
          <w:sz w:val="23"/>
          <w:szCs w:val="23"/>
          <w:rtl/>
        </w:rPr>
      </w:pPr>
      <w:r w:rsidRPr="00563AE6">
        <w:rPr>
          <w:rFonts w:cs="mylotus"/>
          <w:sz w:val="23"/>
          <w:szCs w:val="23"/>
          <w:rtl/>
        </w:rPr>
        <w:footnoteRef/>
      </w:r>
      <w:r>
        <w:rPr>
          <w:rFonts w:cs="mylotus"/>
          <w:sz w:val="23"/>
          <w:szCs w:val="23"/>
          <w:rtl/>
        </w:rPr>
        <w:t>-</w:t>
      </w:r>
      <w:r w:rsidRPr="00563AE6">
        <w:rPr>
          <w:rFonts w:cs="mylotus" w:hint="cs"/>
          <w:sz w:val="23"/>
          <w:szCs w:val="23"/>
          <w:rtl/>
        </w:rPr>
        <w:t xml:space="preserve"> </w:t>
      </w:r>
      <w:r w:rsidRPr="00563AE6">
        <w:rPr>
          <w:rFonts w:cs="mylotus"/>
          <w:sz w:val="23"/>
          <w:szCs w:val="23"/>
          <w:rtl/>
        </w:rPr>
        <w:t>السيد محمد العاملي</w:t>
      </w:r>
      <w:r w:rsidRPr="00563AE6">
        <w:rPr>
          <w:rFonts w:cs="mylotus" w:hint="cs"/>
          <w:sz w:val="23"/>
          <w:szCs w:val="23"/>
          <w:rtl/>
        </w:rPr>
        <w:t xml:space="preserve"> (1009هـ)، </w:t>
      </w:r>
      <w:r w:rsidRPr="00563AE6">
        <w:rPr>
          <w:rFonts w:cs="mylotus"/>
          <w:sz w:val="23"/>
          <w:szCs w:val="23"/>
          <w:rtl/>
        </w:rPr>
        <w:t>مدارك الأحكام</w:t>
      </w:r>
      <w:r w:rsidRPr="00563AE6">
        <w:rPr>
          <w:rFonts w:cs="mylotus" w:hint="cs"/>
          <w:sz w:val="23"/>
          <w:szCs w:val="23"/>
          <w:rtl/>
        </w:rPr>
        <w:t xml:space="preserve">، </w:t>
      </w:r>
      <w:r w:rsidRPr="00563AE6">
        <w:rPr>
          <w:rFonts w:cs="mylotus"/>
          <w:sz w:val="23"/>
          <w:szCs w:val="23"/>
          <w:rtl/>
        </w:rPr>
        <w:t>قم</w:t>
      </w:r>
      <w:r w:rsidRPr="00563AE6">
        <w:rPr>
          <w:rFonts w:cs="mylotus" w:hint="cs"/>
          <w:sz w:val="23"/>
          <w:szCs w:val="23"/>
          <w:rtl/>
        </w:rPr>
        <w:t xml:space="preserve">، </w:t>
      </w:r>
      <w:r w:rsidRPr="00563AE6">
        <w:rPr>
          <w:rFonts w:cs="mylotus"/>
          <w:sz w:val="23"/>
          <w:szCs w:val="23"/>
          <w:rtl/>
        </w:rPr>
        <w:t xml:space="preserve">مؤسسة آل البيت </w:t>
      </w:r>
      <w:r w:rsidRPr="00963EFD">
        <w:rPr>
          <w:rFonts w:cs="CTraditional Arabic"/>
          <w:sz w:val="23"/>
          <w:szCs w:val="23"/>
          <w:rtl/>
        </w:rPr>
        <w:t>‡</w:t>
      </w:r>
      <w:r w:rsidRPr="00563AE6">
        <w:rPr>
          <w:rFonts w:cs="mylotus"/>
          <w:sz w:val="23"/>
          <w:szCs w:val="23"/>
          <w:rtl/>
        </w:rPr>
        <w:t xml:space="preserve"> لإحياء التراث</w:t>
      </w:r>
      <w:r w:rsidRPr="00563AE6">
        <w:rPr>
          <w:rFonts w:cs="mylotus" w:hint="cs"/>
          <w:sz w:val="23"/>
          <w:szCs w:val="23"/>
          <w:rtl/>
        </w:rPr>
        <w:t xml:space="preserve">، </w:t>
      </w:r>
      <w:r w:rsidRPr="00563AE6">
        <w:rPr>
          <w:rFonts w:cs="mylotus"/>
          <w:sz w:val="23"/>
          <w:szCs w:val="23"/>
          <w:rtl/>
        </w:rPr>
        <w:t>1410</w:t>
      </w:r>
      <w:r w:rsidRPr="00563AE6">
        <w:rPr>
          <w:rFonts w:cs="mylotus" w:hint="cs"/>
          <w:sz w:val="23"/>
          <w:szCs w:val="23"/>
          <w:rtl/>
        </w:rPr>
        <w:t xml:space="preserve">هـ، </w:t>
      </w:r>
      <w:r w:rsidRPr="00563AE6">
        <w:rPr>
          <w:rFonts w:cs="mylotus"/>
          <w:sz w:val="23"/>
          <w:szCs w:val="23"/>
          <w:rtl/>
        </w:rPr>
        <w:t>ج 5</w:t>
      </w:r>
      <w:r w:rsidRPr="00563AE6">
        <w:rPr>
          <w:rFonts w:cs="mylotus" w:hint="cs"/>
          <w:sz w:val="23"/>
          <w:szCs w:val="23"/>
          <w:rtl/>
        </w:rPr>
        <w:t xml:space="preserve">، </w:t>
      </w:r>
      <w:r w:rsidRPr="00563AE6">
        <w:rPr>
          <w:rFonts w:cs="mylotus"/>
          <w:sz w:val="23"/>
          <w:szCs w:val="23"/>
          <w:rtl/>
        </w:rPr>
        <w:t xml:space="preserve"> شرح ص </w:t>
      </w:r>
      <w:r w:rsidRPr="00563AE6">
        <w:rPr>
          <w:rFonts w:cs="mylotus" w:hint="cs"/>
          <w:sz w:val="23"/>
          <w:szCs w:val="23"/>
          <w:rtl/>
        </w:rPr>
        <w:t>384. (المُتَرْجِمُ).</w:t>
      </w:r>
    </w:p>
  </w:footnote>
  <w:footnote w:id="320">
    <w:p w:rsidR="00B31118" w:rsidRPr="00563AE6" w:rsidRDefault="00B31118" w:rsidP="00B300C9">
      <w:pPr>
        <w:spacing w:line="228" w:lineRule="auto"/>
        <w:ind w:left="378" w:hanging="378"/>
        <w:jc w:val="both"/>
        <w:rPr>
          <w:rFonts w:cs="mylotus" w:hint="cs"/>
          <w:sz w:val="23"/>
          <w:szCs w:val="23"/>
          <w:rtl/>
        </w:rPr>
      </w:pPr>
      <w:r w:rsidRPr="00563AE6">
        <w:rPr>
          <w:rFonts w:cs="mylotus"/>
          <w:sz w:val="23"/>
          <w:szCs w:val="23"/>
          <w:rtl/>
        </w:rPr>
        <w:footnoteRef/>
      </w:r>
      <w:r>
        <w:rPr>
          <w:rFonts w:cs="mylotus"/>
          <w:sz w:val="23"/>
          <w:szCs w:val="23"/>
          <w:rtl/>
        </w:rPr>
        <w:t>-</w:t>
      </w:r>
      <w:r w:rsidRPr="00563AE6">
        <w:rPr>
          <w:rFonts w:cs="mylotus"/>
          <w:sz w:val="23"/>
          <w:szCs w:val="23"/>
          <w:rtl/>
        </w:rPr>
        <w:t xml:space="preserve"> </w:t>
      </w:r>
      <w:r w:rsidRPr="00563AE6">
        <w:rPr>
          <w:rFonts w:cs="mylotus" w:hint="cs"/>
          <w:sz w:val="23"/>
          <w:szCs w:val="23"/>
          <w:rtl/>
        </w:rPr>
        <w:t>انظر: «</w:t>
      </w:r>
      <w:r w:rsidRPr="00563AE6">
        <w:rPr>
          <w:rFonts w:cs="mylotus"/>
          <w:sz w:val="23"/>
          <w:szCs w:val="23"/>
          <w:rtl/>
        </w:rPr>
        <w:t>النخبة الفقهية» و«مفاتيح الشرايع» و«المحجة البيضاء»</w:t>
      </w:r>
      <w:r w:rsidRPr="00563AE6">
        <w:rPr>
          <w:rFonts w:cs="mylotus" w:hint="cs"/>
          <w:sz w:val="23"/>
          <w:szCs w:val="23"/>
          <w:rtl/>
        </w:rPr>
        <w:t>.</w:t>
      </w:r>
    </w:p>
  </w:footnote>
  <w:footnote w:id="321">
    <w:p w:rsidR="00B31118" w:rsidRPr="00563AE6" w:rsidRDefault="00B31118" w:rsidP="00B300C9">
      <w:pPr>
        <w:spacing w:line="228" w:lineRule="auto"/>
        <w:ind w:left="378" w:hanging="378"/>
        <w:jc w:val="both"/>
        <w:rPr>
          <w:rFonts w:cs="mylotus" w:hint="cs"/>
          <w:sz w:val="23"/>
          <w:szCs w:val="23"/>
          <w:rtl/>
        </w:rPr>
      </w:pPr>
      <w:r w:rsidRPr="00563AE6">
        <w:rPr>
          <w:rFonts w:cs="mylotus"/>
          <w:sz w:val="23"/>
          <w:szCs w:val="23"/>
          <w:rtl/>
        </w:rPr>
        <w:footnoteRef/>
      </w:r>
      <w:r>
        <w:rPr>
          <w:rFonts w:cs="mylotus"/>
          <w:sz w:val="23"/>
          <w:szCs w:val="23"/>
          <w:rtl/>
        </w:rPr>
        <w:t>-</w:t>
      </w:r>
      <w:r w:rsidRPr="00563AE6">
        <w:rPr>
          <w:rFonts w:cs="mylotus" w:hint="cs"/>
          <w:sz w:val="23"/>
          <w:szCs w:val="23"/>
          <w:rtl/>
        </w:rPr>
        <w:t xml:space="preserve"> </w:t>
      </w:r>
      <w:r w:rsidRPr="00563AE6">
        <w:rPr>
          <w:rFonts w:cs="mylotus"/>
          <w:sz w:val="23"/>
          <w:szCs w:val="23"/>
          <w:rtl/>
        </w:rPr>
        <w:t>هو السيد علي الطباطبائي (علي بن محمد بن علي الطباطبائي، الأصبهاني الكاظمي الحائري) (1231هـ)، فقيهٌ شيعيٌ إماميٌ أصولي</w:t>
      </w:r>
      <w:r w:rsidRPr="00563AE6">
        <w:rPr>
          <w:rFonts w:cs="mylotus" w:hint="cs"/>
          <w:sz w:val="23"/>
          <w:szCs w:val="23"/>
          <w:rtl/>
        </w:rPr>
        <w:t>ٌّ</w:t>
      </w:r>
      <w:r w:rsidRPr="00563AE6">
        <w:rPr>
          <w:rFonts w:cs="mylotus"/>
          <w:sz w:val="23"/>
          <w:szCs w:val="23"/>
          <w:rtl/>
        </w:rPr>
        <w:t>، مشارك</w:t>
      </w:r>
      <w:r w:rsidRPr="00563AE6">
        <w:rPr>
          <w:rFonts w:cs="mylotus" w:hint="cs"/>
          <w:sz w:val="23"/>
          <w:szCs w:val="23"/>
          <w:rtl/>
        </w:rPr>
        <w:t>ٌ</w:t>
      </w:r>
      <w:r w:rsidRPr="00563AE6">
        <w:rPr>
          <w:rFonts w:cs="mylotus"/>
          <w:sz w:val="23"/>
          <w:szCs w:val="23"/>
          <w:rtl/>
        </w:rPr>
        <w:t xml:space="preserve"> في بعض العلوم، من تصانيفه الكثيرة: </w:t>
      </w:r>
      <w:r w:rsidRPr="00563AE6">
        <w:rPr>
          <w:rFonts w:ascii="Lotus Linotype" w:hAnsi="Lotus Linotype" w:cs="mylotus"/>
          <w:sz w:val="23"/>
          <w:szCs w:val="23"/>
          <w:rtl/>
        </w:rPr>
        <w:t>«</w:t>
      </w:r>
      <w:r w:rsidRPr="00563AE6">
        <w:rPr>
          <w:rFonts w:cs="mylotus"/>
          <w:sz w:val="23"/>
          <w:szCs w:val="23"/>
          <w:rtl/>
        </w:rPr>
        <w:t>رياض المسائل في بيان أحكام الش</w:t>
      </w:r>
      <w:r w:rsidRPr="00563AE6">
        <w:rPr>
          <w:rFonts w:cs="mylotus" w:hint="cs"/>
          <w:sz w:val="23"/>
          <w:szCs w:val="23"/>
          <w:rtl/>
        </w:rPr>
        <w:t>ـ</w:t>
      </w:r>
      <w:r w:rsidRPr="00563AE6">
        <w:rPr>
          <w:rFonts w:cs="mylotus"/>
          <w:sz w:val="23"/>
          <w:szCs w:val="23"/>
          <w:rtl/>
        </w:rPr>
        <w:t>رع بالدلائل</w:t>
      </w:r>
      <w:r w:rsidRPr="00563AE6">
        <w:rPr>
          <w:rFonts w:ascii="Lotus Linotype" w:hAnsi="Lotus Linotype" w:cs="mylotus"/>
          <w:sz w:val="23"/>
          <w:szCs w:val="23"/>
          <w:rtl/>
        </w:rPr>
        <w:t>»</w:t>
      </w:r>
      <w:r w:rsidRPr="00563AE6">
        <w:rPr>
          <w:rFonts w:cs="mylotus" w:hint="cs"/>
          <w:sz w:val="23"/>
          <w:szCs w:val="23"/>
          <w:rtl/>
        </w:rPr>
        <w:t xml:space="preserve"> (وإليه أشار المصنف في المتن)، و</w:t>
      </w:r>
      <w:r w:rsidRPr="00563AE6">
        <w:rPr>
          <w:rFonts w:cs="mylotus"/>
          <w:sz w:val="23"/>
          <w:szCs w:val="23"/>
          <w:rtl/>
        </w:rPr>
        <w:t>شرح المفاتيح</w:t>
      </w:r>
      <w:r w:rsidRPr="00563AE6">
        <w:rPr>
          <w:rFonts w:cs="mylotus" w:hint="cs"/>
          <w:sz w:val="23"/>
          <w:szCs w:val="23"/>
          <w:rtl/>
        </w:rPr>
        <w:t>، و</w:t>
      </w:r>
      <w:r w:rsidRPr="00563AE6">
        <w:rPr>
          <w:rFonts w:cs="mylotus"/>
          <w:sz w:val="23"/>
          <w:szCs w:val="23"/>
          <w:rtl/>
        </w:rPr>
        <w:t>حاشية على معالم الأصول،</w:t>
      </w:r>
      <w:r w:rsidRPr="00563AE6">
        <w:rPr>
          <w:rFonts w:cs="mylotus" w:hint="cs"/>
          <w:sz w:val="23"/>
          <w:szCs w:val="23"/>
          <w:rtl/>
        </w:rPr>
        <w:t xml:space="preserve"> و</w:t>
      </w:r>
      <w:r w:rsidRPr="00563AE6">
        <w:rPr>
          <w:rFonts w:cs="mylotus"/>
          <w:sz w:val="23"/>
          <w:szCs w:val="23"/>
          <w:rtl/>
        </w:rPr>
        <w:t>رسالة في الأصول الخمسة</w:t>
      </w:r>
      <w:r w:rsidRPr="00563AE6">
        <w:rPr>
          <w:rFonts w:cs="mylotus" w:hint="cs"/>
          <w:sz w:val="23"/>
          <w:szCs w:val="23"/>
          <w:rtl/>
        </w:rPr>
        <w:t>،</w:t>
      </w:r>
      <w:r w:rsidRPr="00563AE6">
        <w:rPr>
          <w:rFonts w:cs="mylotus"/>
          <w:sz w:val="23"/>
          <w:szCs w:val="23"/>
          <w:rtl/>
        </w:rPr>
        <w:t xml:space="preserve"> ورسالة في الإجماع.</w:t>
      </w:r>
      <w:r w:rsidRPr="00563AE6">
        <w:rPr>
          <w:rFonts w:cs="mylotus" w:hint="cs"/>
          <w:sz w:val="23"/>
          <w:szCs w:val="23"/>
          <w:rtl/>
        </w:rPr>
        <w:t xml:space="preserve"> (المُتَرْجِمُ)</w:t>
      </w:r>
    </w:p>
  </w:footnote>
  <w:footnote w:id="322">
    <w:p w:rsidR="00B31118" w:rsidRPr="00563AE6" w:rsidRDefault="00B31118" w:rsidP="00B300C9">
      <w:pPr>
        <w:spacing w:line="228" w:lineRule="auto"/>
        <w:ind w:left="378" w:hanging="378"/>
        <w:jc w:val="both"/>
        <w:rPr>
          <w:rFonts w:cs="mylotus" w:hint="cs"/>
          <w:sz w:val="23"/>
          <w:szCs w:val="23"/>
        </w:rPr>
      </w:pPr>
      <w:r w:rsidRPr="00563AE6">
        <w:rPr>
          <w:rFonts w:cs="mylotus"/>
          <w:sz w:val="23"/>
          <w:szCs w:val="23"/>
          <w:rtl/>
        </w:rPr>
        <w:footnoteRef/>
      </w:r>
      <w:r>
        <w:rPr>
          <w:rFonts w:cs="mylotus"/>
          <w:sz w:val="23"/>
          <w:szCs w:val="23"/>
          <w:rtl/>
        </w:rPr>
        <w:t>-</w:t>
      </w:r>
      <w:r w:rsidRPr="00563AE6">
        <w:rPr>
          <w:rFonts w:cs="mylotus" w:hint="cs"/>
          <w:sz w:val="23"/>
          <w:szCs w:val="23"/>
          <w:rtl/>
        </w:rPr>
        <w:t xml:space="preserve"> هو الشيخ عبد الله بن صالح بن جمعة البحراني ولد سنة 1076هـ وتوفي سنة 1135هـ في بهبهان (جنوب إيران)، كان عالماً فاضلاً محدثاً متبحراً في الأخبار عارفاً بأساليبها ووجوهها بصيراً في أغوارها خبيراً بالجمع بين متنافياتها وتطبيق بعضها على بعض له سليقة حسنة في فهم الاحتياط على طريقة الأخباريين كثير الإنكار على أهل الاجتهاد </w:t>
      </w:r>
      <w:r w:rsidRPr="00563AE6">
        <w:rPr>
          <w:rFonts w:cs="mylotus"/>
          <w:sz w:val="23"/>
          <w:szCs w:val="23"/>
          <w:rtl/>
        </w:rPr>
        <w:t xml:space="preserve">ومن إفراطه وغلوه في هذا الباب منعه من العمل بظواهر الكتاب ودعواه </w:t>
      </w:r>
      <w:r w:rsidRPr="00563AE6">
        <w:rPr>
          <w:rFonts w:cs="mylotus" w:hint="cs"/>
          <w:sz w:val="23"/>
          <w:szCs w:val="23"/>
          <w:rtl/>
        </w:rPr>
        <w:t>أ</w:t>
      </w:r>
      <w:r w:rsidRPr="00563AE6">
        <w:rPr>
          <w:rFonts w:cs="mylotus"/>
          <w:sz w:val="23"/>
          <w:szCs w:val="23"/>
          <w:rtl/>
        </w:rPr>
        <w:t>ن القرآن كله متشابه على الرعية</w:t>
      </w:r>
      <w:r w:rsidRPr="00563AE6">
        <w:rPr>
          <w:rFonts w:cs="mylotus" w:hint="cs"/>
          <w:sz w:val="23"/>
          <w:szCs w:val="23"/>
          <w:rtl/>
        </w:rPr>
        <w:t xml:space="preserve">. (أعيان الشيعة، </w:t>
      </w:r>
      <w:r w:rsidRPr="00563AE6">
        <w:rPr>
          <w:rFonts w:cs="mylotus"/>
          <w:sz w:val="23"/>
          <w:szCs w:val="23"/>
          <w:rtl/>
        </w:rPr>
        <w:t>ج 8،</w:t>
      </w:r>
      <w:r w:rsidRPr="00563AE6">
        <w:rPr>
          <w:rFonts w:cs="mylotus" w:hint="cs"/>
          <w:sz w:val="23"/>
          <w:szCs w:val="23"/>
          <w:rtl/>
        </w:rPr>
        <w:t xml:space="preserve"> </w:t>
      </w:r>
      <w:r w:rsidRPr="00563AE6">
        <w:rPr>
          <w:rFonts w:cs="mylotus"/>
          <w:sz w:val="23"/>
          <w:szCs w:val="23"/>
          <w:rtl/>
        </w:rPr>
        <w:t xml:space="preserve">ص 53 </w:t>
      </w:r>
      <w:r w:rsidRPr="00563AE6">
        <w:rPr>
          <w:rFonts w:cs="Times New Roman" w:hint="cs"/>
          <w:sz w:val="23"/>
          <w:szCs w:val="23"/>
          <w:rtl/>
        </w:rPr>
        <w:t>–</w:t>
      </w:r>
      <w:r w:rsidRPr="00563AE6">
        <w:rPr>
          <w:rFonts w:cs="mylotus"/>
          <w:sz w:val="23"/>
          <w:szCs w:val="23"/>
          <w:rtl/>
        </w:rPr>
        <w:t xml:space="preserve"> 54</w:t>
      </w:r>
      <w:r w:rsidRPr="00563AE6">
        <w:rPr>
          <w:rFonts w:cs="mylotus" w:hint="cs"/>
          <w:sz w:val="23"/>
          <w:szCs w:val="23"/>
          <w:rtl/>
        </w:rPr>
        <w:t xml:space="preserve">) </w:t>
      </w:r>
      <w:r w:rsidRPr="00563AE6">
        <w:rPr>
          <w:rFonts w:cs="mylotus"/>
          <w:sz w:val="23"/>
          <w:szCs w:val="23"/>
          <w:rtl/>
        </w:rPr>
        <w:t>(المُتَرْجِمُ).</w:t>
      </w:r>
    </w:p>
  </w:footnote>
  <w:footnote w:id="323">
    <w:p w:rsidR="00B31118" w:rsidRPr="00563AE6" w:rsidRDefault="00B31118" w:rsidP="00B300C9">
      <w:pPr>
        <w:spacing w:line="228" w:lineRule="auto"/>
        <w:ind w:left="378" w:hanging="378"/>
        <w:jc w:val="both"/>
        <w:rPr>
          <w:rFonts w:cs="mylotus" w:hint="cs"/>
          <w:sz w:val="23"/>
          <w:szCs w:val="23"/>
        </w:rPr>
      </w:pPr>
      <w:r w:rsidRPr="00563AE6">
        <w:rPr>
          <w:rFonts w:cs="mylotus"/>
          <w:sz w:val="23"/>
          <w:szCs w:val="23"/>
          <w:rtl/>
        </w:rPr>
        <w:footnoteRef/>
      </w:r>
      <w:r>
        <w:rPr>
          <w:rFonts w:cs="mylotus"/>
          <w:sz w:val="23"/>
          <w:szCs w:val="23"/>
          <w:rtl/>
        </w:rPr>
        <w:t>-</w:t>
      </w:r>
      <w:r w:rsidRPr="00563AE6">
        <w:rPr>
          <w:rFonts w:cs="mylotus" w:hint="cs"/>
          <w:sz w:val="23"/>
          <w:szCs w:val="23"/>
          <w:rtl/>
        </w:rPr>
        <w:t xml:space="preserve"> </w:t>
      </w:r>
      <w:r w:rsidRPr="00563AE6">
        <w:rPr>
          <w:rFonts w:cs="mylotus"/>
          <w:sz w:val="23"/>
          <w:szCs w:val="23"/>
          <w:rtl/>
        </w:rPr>
        <w:t>الشيخ الجواهري</w:t>
      </w:r>
      <w:r w:rsidRPr="00563AE6">
        <w:rPr>
          <w:rFonts w:cs="mylotus" w:hint="cs"/>
          <w:sz w:val="23"/>
          <w:szCs w:val="23"/>
          <w:rtl/>
        </w:rPr>
        <w:t>، شيخ الفقهاء وإمام المحققين الشيخ محمد حسن النجفي (</w:t>
      </w:r>
      <w:r w:rsidRPr="00563AE6">
        <w:rPr>
          <w:rFonts w:cs="mylotus"/>
          <w:sz w:val="23"/>
          <w:szCs w:val="23"/>
          <w:rtl/>
        </w:rPr>
        <w:t>1266</w:t>
      </w:r>
      <w:r w:rsidRPr="00563AE6">
        <w:rPr>
          <w:rFonts w:cs="mylotus" w:hint="cs"/>
          <w:sz w:val="23"/>
          <w:szCs w:val="23"/>
          <w:rtl/>
        </w:rPr>
        <w:t xml:space="preserve">هـ)، «جواهر الكلام في شرح شرائع الإسلام»، </w:t>
      </w:r>
      <w:r w:rsidRPr="00563AE6">
        <w:rPr>
          <w:rFonts w:cs="mylotus"/>
          <w:sz w:val="23"/>
          <w:szCs w:val="23"/>
          <w:rtl/>
        </w:rPr>
        <w:t>تحقيق وتعليق</w:t>
      </w:r>
      <w:r w:rsidRPr="00563AE6">
        <w:rPr>
          <w:rFonts w:cs="mylotus" w:hint="cs"/>
          <w:sz w:val="23"/>
          <w:szCs w:val="23"/>
          <w:rtl/>
        </w:rPr>
        <w:t xml:space="preserve"> </w:t>
      </w:r>
      <w:r w:rsidRPr="00563AE6">
        <w:rPr>
          <w:rFonts w:cs="mylotus"/>
          <w:sz w:val="23"/>
          <w:szCs w:val="23"/>
          <w:rtl/>
        </w:rPr>
        <w:t>الشيخ عباس القوچاني</w:t>
      </w:r>
      <w:r w:rsidRPr="00563AE6">
        <w:rPr>
          <w:rFonts w:cs="mylotus" w:hint="cs"/>
          <w:sz w:val="23"/>
          <w:szCs w:val="23"/>
          <w:rtl/>
        </w:rPr>
        <w:t xml:space="preserve">، ط2، </w:t>
      </w:r>
      <w:r w:rsidRPr="00563AE6">
        <w:rPr>
          <w:rFonts w:cs="mylotus"/>
          <w:sz w:val="23"/>
          <w:szCs w:val="23"/>
          <w:rtl/>
        </w:rPr>
        <w:t>طهران</w:t>
      </w:r>
      <w:r w:rsidRPr="00563AE6">
        <w:rPr>
          <w:rFonts w:cs="mylotus" w:hint="cs"/>
          <w:sz w:val="23"/>
          <w:szCs w:val="23"/>
          <w:rtl/>
        </w:rPr>
        <w:t xml:space="preserve">، </w:t>
      </w:r>
      <w:r w:rsidRPr="00563AE6">
        <w:rPr>
          <w:rFonts w:cs="mylotus"/>
          <w:sz w:val="23"/>
          <w:szCs w:val="23"/>
          <w:rtl/>
        </w:rPr>
        <w:t>دار الكتب الإسلامية</w:t>
      </w:r>
      <w:r w:rsidRPr="00563AE6">
        <w:rPr>
          <w:rFonts w:cs="mylotus" w:hint="cs"/>
          <w:sz w:val="23"/>
          <w:szCs w:val="23"/>
          <w:rtl/>
        </w:rPr>
        <w:t xml:space="preserve">، </w:t>
      </w:r>
      <w:r w:rsidRPr="00563AE6">
        <w:rPr>
          <w:rFonts w:cs="mylotus"/>
          <w:sz w:val="23"/>
          <w:szCs w:val="23"/>
          <w:rtl/>
        </w:rPr>
        <w:t xml:space="preserve">1365 </w:t>
      </w:r>
      <w:r w:rsidRPr="00563AE6">
        <w:rPr>
          <w:rFonts w:cs="mylotus" w:hint="cs"/>
          <w:sz w:val="23"/>
          <w:szCs w:val="23"/>
          <w:rtl/>
        </w:rPr>
        <w:t xml:space="preserve">هجرية </w:t>
      </w:r>
      <w:r w:rsidRPr="00563AE6">
        <w:rPr>
          <w:rFonts w:cs="mylotus"/>
          <w:sz w:val="23"/>
          <w:szCs w:val="23"/>
          <w:rtl/>
        </w:rPr>
        <w:t>ش</w:t>
      </w:r>
      <w:r w:rsidRPr="00563AE6">
        <w:rPr>
          <w:rFonts w:cs="mylotus" w:hint="cs"/>
          <w:sz w:val="23"/>
          <w:szCs w:val="23"/>
          <w:rtl/>
        </w:rPr>
        <w:t xml:space="preserve">مسية (الموافق لـ 1986م.)، ج16، ص156. </w:t>
      </w:r>
      <w:r w:rsidRPr="00563AE6">
        <w:rPr>
          <w:rFonts w:cs="mylotus"/>
          <w:sz w:val="23"/>
          <w:szCs w:val="23"/>
          <w:rtl/>
        </w:rPr>
        <w:t>(المُتَرْجِمُ)</w:t>
      </w:r>
    </w:p>
  </w:footnote>
  <w:footnote w:id="324">
    <w:p w:rsidR="00B31118" w:rsidRPr="00563AE6" w:rsidRDefault="00B31118" w:rsidP="00B300C9">
      <w:pPr>
        <w:spacing w:line="228" w:lineRule="auto"/>
        <w:ind w:left="378" w:hanging="378"/>
        <w:jc w:val="both"/>
        <w:rPr>
          <w:rFonts w:cs="mylotus" w:hint="cs"/>
          <w:sz w:val="23"/>
          <w:szCs w:val="23"/>
          <w:rtl/>
        </w:rPr>
      </w:pPr>
      <w:r w:rsidRPr="00563AE6">
        <w:rPr>
          <w:rFonts w:cs="mylotus"/>
          <w:sz w:val="23"/>
          <w:szCs w:val="23"/>
          <w:rtl/>
        </w:rPr>
        <w:footnoteRef/>
      </w:r>
      <w:r>
        <w:rPr>
          <w:rFonts w:cs="mylotus"/>
          <w:sz w:val="23"/>
          <w:szCs w:val="23"/>
          <w:rtl/>
        </w:rPr>
        <w:t>-</w:t>
      </w:r>
      <w:r w:rsidRPr="00563AE6">
        <w:rPr>
          <w:rFonts w:cs="mylotus" w:hint="cs"/>
          <w:sz w:val="23"/>
          <w:szCs w:val="23"/>
          <w:rtl/>
        </w:rPr>
        <w:t xml:space="preserve"> المقدس الأردبيلي، </w:t>
      </w:r>
      <w:r w:rsidRPr="00563AE6">
        <w:rPr>
          <w:rFonts w:cs="mylotus"/>
          <w:sz w:val="23"/>
          <w:szCs w:val="23"/>
          <w:rtl/>
        </w:rPr>
        <w:t xml:space="preserve">شرح </w:t>
      </w:r>
      <w:r w:rsidRPr="00563AE6">
        <w:rPr>
          <w:rFonts w:cs="mylotus" w:hint="cs"/>
          <w:sz w:val="23"/>
          <w:szCs w:val="23"/>
          <w:rtl/>
        </w:rPr>
        <w:t>الإ</w:t>
      </w:r>
      <w:r w:rsidRPr="00563AE6">
        <w:rPr>
          <w:rFonts w:cs="mylotus"/>
          <w:sz w:val="23"/>
          <w:szCs w:val="23"/>
          <w:rtl/>
        </w:rPr>
        <w:t>رشـاد</w:t>
      </w:r>
      <w:r w:rsidRPr="00563AE6">
        <w:rPr>
          <w:rFonts w:cs="mylotus" w:hint="cs"/>
          <w:sz w:val="23"/>
          <w:szCs w:val="23"/>
          <w:rtl/>
        </w:rPr>
        <w:t>،</w:t>
      </w:r>
      <w:r w:rsidRPr="00563AE6">
        <w:rPr>
          <w:rFonts w:cs="mylotus"/>
          <w:sz w:val="23"/>
          <w:szCs w:val="23"/>
          <w:rtl/>
        </w:rPr>
        <w:t xml:space="preserve"> ص277</w:t>
      </w:r>
      <w:r w:rsidRPr="00563AE6">
        <w:rPr>
          <w:rFonts w:cs="mylotus" w:hint="cs"/>
          <w:sz w:val="23"/>
          <w:szCs w:val="23"/>
          <w:rtl/>
        </w:rPr>
        <w:t>.</w:t>
      </w:r>
    </w:p>
  </w:footnote>
  <w:footnote w:id="325">
    <w:p w:rsidR="00B31118" w:rsidRPr="00563AE6" w:rsidRDefault="00B31118" w:rsidP="00B300C9">
      <w:pPr>
        <w:spacing w:line="228" w:lineRule="auto"/>
        <w:ind w:left="378" w:hanging="378"/>
        <w:jc w:val="both"/>
        <w:rPr>
          <w:rFonts w:cs="mylotus" w:hint="cs"/>
          <w:sz w:val="23"/>
          <w:szCs w:val="23"/>
          <w:rtl/>
        </w:rPr>
      </w:pPr>
      <w:r w:rsidRPr="00563AE6">
        <w:rPr>
          <w:rFonts w:cs="mylotus"/>
          <w:sz w:val="23"/>
          <w:szCs w:val="23"/>
          <w:rtl/>
        </w:rPr>
        <w:footnoteRef/>
      </w:r>
      <w:r>
        <w:rPr>
          <w:rFonts w:cs="mylotus"/>
          <w:sz w:val="23"/>
          <w:szCs w:val="23"/>
          <w:rtl/>
        </w:rPr>
        <w:t>-</w:t>
      </w:r>
      <w:r w:rsidRPr="00563AE6">
        <w:rPr>
          <w:rFonts w:cs="mylotus"/>
          <w:sz w:val="23"/>
          <w:szCs w:val="23"/>
          <w:rtl/>
        </w:rPr>
        <w:t xml:space="preserve"> </w:t>
      </w:r>
      <w:r w:rsidRPr="00563AE6">
        <w:rPr>
          <w:rFonts w:cs="mylotus" w:hint="cs"/>
          <w:sz w:val="23"/>
          <w:szCs w:val="23"/>
          <w:rtl/>
        </w:rPr>
        <w:t>بحار الأنوار، ج11، ص27 (طبع كمباني) [أو ج46، ص93 من طبعة بيروت]، وكتاب الأغاني لأبي الفرج الأصفهاني، وكتاب المناقب لابن شهرآشوب، [ج4، ص161]. (المُتَرْجِمُ)</w:t>
      </w:r>
    </w:p>
  </w:footnote>
  <w:footnote w:id="326">
    <w:p w:rsidR="00B31118" w:rsidRPr="00563AE6" w:rsidRDefault="00B31118" w:rsidP="00B300C9">
      <w:pPr>
        <w:spacing w:line="228" w:lineRule="auto"/>
        <w:ind w:left="378" w:hanging="378"/>
        <w:jc w:val="both"/>
        <w:rPr>
          <w:rFonts w:cs="mylotus" w:hint="cs"/>
          <w:sz w:val="23"/>
          <w:szCs w:val="23"/>
        </w:rPr>
      </w:pPr>
      <w:r w:rsidRPr="00563AE6">
        <w:rPr>
          <w:rFonts w:cs="mylotus"/>
          <w:sz w:val="23"/>
          <w:szCs w:val="23"/>
          <w:rtl/>
        </w:rPr>
        <w:footnoteRef/>
      </w:r>
      <w:r>
        <w:rPr>
          <w:rFonts w:cs="mylotus"/>
          <w:sz w:val="23"/>
          <w:szCs w:val="23"/>
          <w:rtl/>
        </w:rPr>
        <w:t>-</w:t>
      </w:r>
      <w:r w:rsidRPr="00563AE6">
        <w:rPr>
          <w:rFonts w:cs="mylotus"/>
          <w:sz w:val="23"/>
          <w:szCs w:val="23"/>
          <w:rtl/>
        </w:rPr>
        <w:t xml:space="preserve"> </w:t>
      </w:r>
      <w:r w:rsidRPr="00563AE6">
        <w:rPr>
          <w:rFonts w:cs="mylotus" w:hint="cs"/>
          <w:sz w:val="23"/>
          <w:szCs w:val="23"/>
          <w:rtl/>
        </w:rPr>
        <w:t>الحافظ الذهبي (شمس الدين محمد بن أحمد) (</w:t>
      </w:r>
      <w:r w:rsidRPr="00563AE6">
        <w:rPr>
          <w:rFonts w:cs="mylotus"/>
          <w:sz w:val="23"/>
          <w:szCs w:val="23"/>
          <w:rtl/>
        </w:rPr>
        <w:t>748</w:t>
      </w:r>
      <w:r w:rsidRPr="00563AE6">
        <w:rPr>
          <w:rFonts w:cs="mylotus" w:hint="cs"/>
          <w:sz w:val="23"/>
          <w:szCs w:val="23"/>
          <w:rtl/>
        </w:rPr>
        <w:t xml:space="preserve"> هـ)، تاريخ الإسلام، ضمن تراجم طبقة الأعلام في أحداث الفترة بين 201 و211هـ. (المُتَرْجِمُ).</w:t>
      </w:r>
    </w:p>
  </w:footnote>
  <w:footnote w:id="327">
    <w:p w:rsidR="00B31118" w:rsidRPr="00563AE6" w:rsidRDefault="00B31118" w:rsidP="00B300C9">
      <w:pPr>
        <w:spacing w:line="228" w:lineRule="auto"/>
        <w:ind w:left="378" w:hanging="378"/>
        <w:jc w:val="both"/>
        <w:rPr>
          <w:rFonts w:cs="mylotus" w:hint="cs"/>
          <w:sz w:val="23"/>
          <w:szCs w:val="23"/>
          <w:rtl/>
        </w:rPr>
      </w:pPr>
      <w:r w:rsidRPr="00563AE6">
        <w:rPr>
          <w:rFonts w:cs="mylotus"/>
          <w:sz w:val="23"/>
          <w:szCs w:val="23"/>
          <w:rtl/>
        </w:rPr>
        <w:footnoteRef/>
      </w:r>
      <w:r>
        <w:rPr>
          <w:rFonts w:cs="mylotus"/>
          <w:sz w:val="23"/>
          <w:szCs w:val="23"/>
          <w:rtl/>
        </w:rPr>
        <w:t>-</w:t>
      </w:r>
      <w:r w:rsidRPr="00563AE6">
        <w:rPr>
          <w:rFonts w:cs="mylotus"/>
          <w:sz w:val="23"/>
          <w:szCs w:val="23"/>
          <w:rtl/>
        </w:rPr>
        <w:t xml:space="preserve"> </w:t>
      </w:r>
      <w:r w:rsidRPr="00563AE6">
        <w:rPr>
          <w:rFonts w:cs="mylotus" w:hint="cs"/>
          <w:sz w:val="23"/>
          <w:szCs w:val="23"/>
          <w:rtl/>
        </w:rPr>
        <w:t xml:space="preserve">المجلسيُّ، </w:t>
      </w:r>
      <w:r w:rsidRPr="00563AE6">
        <w:rPr>
          <w:rFonts w:cs="mylotus"/>
          <w:sz w:val="23"/>
          <w:szCs w:val="23"/>
          <w:rtl/>
        </w:rPr>
        <w:t>بحار الأنوار</w:t>
      </w:r>
      <w:r w:rsidRPr="00563AE6">
        <w:rPr>
          <w:rFonts w:cs="mylotus" w:hint="cs"/>
          <w:sz w:val="23"/>
          <w:szCs w:val="23"/>
          <w:rtl/>
        </w:rPr>
        <w:t>، ج46، ص 93. (المُتَرْجِمُ)</w:t>
      </w:r>
    </w:p>
  </w:footnote>
  <w:footnote w:id="328">
    <w:p w:rsidR="00B31118" w:rsidRPr="00563AE6" w:rsidRDefault="00B31118" w:rsidP="00B300C9">
      <w:pPr>
        <w:spacing w:line="228" w:lineRule="auto"/>
        <w:ind w:left="378" w:hanging="378"/>
        <w:jc w:val="both"/>
        <w:rPr>
          <w:rFonts w:cs="mylotus" w:hint="cs"/>
          <w:sz w:val="23"/>
          <w:szCs w:val="23"/>
        </w:rPr>
      </w:pPr>
      <w:r w:rsidRPr="00563AE6">
        <w:rPr>
          <w:rFonts w:cs="mylotus"/>
          <w:sz w:val="23"/>
          <w:szCs w:val="23"/>
          <w:rtl/>
        </w:rPr>
        <w:footnoteRef/>
      </w:r>
      <w:r>
        <w:rPr>
          <w:rFonts w:cs="mylotus"/>
          <w:sz w:val="23"/>
          <w:szCs w:val="23"/>
          <w:rtl/>
        </w:rPr>
        <w:t>-</w:t>
      </w:r>
      <w:r w:rsidRPr="00563AE6">
        <w:rPr>
          <w:rFonts w:cs="mylotus" w:hint="cs"/>
          <w:sz w:val="23"/>
          <w:szCs w:val="23"/>
          <w:rtl/>
        </w:rPr>
        <w:t xml:space="preserve"> الشيخ الصدوق، من لا يحضره الفقيه، ج 2، ص 44؛ و له أيضًا، علل الشرائع، ج 2، ص 378.</w:t>
      </w:r>
    </w:p>
  </w:footnote>
  <w:footnote w:id="329">
    <w:p w:rsidR="00B31118" w:rsidRPr="00563AE6" w:rsidRDefault="00B31118" w:rsidP="00B300C9">
      <w:pPr>
        <w:spacing w:line="228" w:lineRule="auto"/>
        <w:ind w:left="378" w:hanging="378"/>
        <w:jc w:val="both"/>
        <w:rPr>
          <w:rFonts w:cs="mylotus" w:hint="cs"/>
          <w:sz w:val="23"/>
          <w:szCs w:val="23"/>
        </w:rPr>
      </w:pPr>
      <w:r w:rsidRPr="00563AE6">
        <w:rPr>
          <w:rFonts w:cs="mylotus"/>
          <w:sz w:val="23"/>
          <w:szCs w:val="23"/>
          <w:rtl/>
        </w:rPr>
        <w:footnoteRef/>
      </w:r>
      <w:r>
        <w:rPr>
          <w:rFonts w:cs="mylotus"/>
          <w:sz w:val="23"/>
          <w:szCs w:val="23"/>
          <w:rtl/>
        </w:rPr>
        <w:t>-</w:t>
      </w:r>
      <w:r w:rsidRPr="00563AE6">
        <w:rPr>
          <w:rFonts w:cs="mylotus" w:hint="cs"/>
          <w:sz w:val="23"/>
          <w:szCs w:val="23"/>
          <w:rtl/>
        </w:rPr>
        <w:t xml:space="preserve"> </w:t>
      </w:r>
      <w:r w:rsidRPr="00563AE6">
        <w:rPr>
          <w:rFonts w:cs="mylotus"/>
          <w:sz w:val="23"/>
          <w:szCs w:val="23"/>
          <w:rtl/>
        </w:rPr>
        <w:t>الشيخ الطوسي، تهذيب الأحكام،</w:t>
      </w:r>
      <w:r w:rsidRPr="00563AE6">
        <w:rPr>
          <w:rFonts w:cs="mylotus" w:hint="cs"/>
          <w:sz w:val="23"/>
          <w:szCs w:val="23"/>
          <w:rtl/>
        </w:rPr>
        <w:t xml:space="preserve"> ج 4، ص 137 - 138.</w:t>
      </w:r>
    </w:p>
  </w:footnote>
  <w:footnote w:id="330">
    <w:p w:rsidR="00B31118" w:rsidRPr="00563AE6" w:rsidRDefault="00B31118" w:rsidP="00B300C9">
      <w:pPr>
        <w:spacing w:line="228" w:lineRule="auto"/>
        <w:ind w:left="378" w:hanging="378"/>
        <w:jc w:val="both"/>
        <w:rPr>
          <w:rFonts w:cs="mylotus" w:hint="cs"/>
          <w:sz w:val="23"/>
          <w:szCs w:val="23"/>
          <w:rtl/>
        </w:rPr>
      </w:pPr>
      <w:r w:rsidRPr="00563AE6">
        <w:rPr>
          <w:rFonts w:cs="mylotus"/>
          <w:sz w:val="23"/>
          <w:szCs w:val="23"/>
          <w:rtl/>
        </w:rPr>
        <w:footnoteRef/>
      </w:r>
      <w:r>
        <w:rPr>
          <w:rFonts w:cs="mylotus"/>
          <w:sz w:val="23"/>
          <w:szCs w:val="23"/>
          <w:rtl/>
        </w:rPr>
        <w:t>-</w:t>
      </w:r>
      <w:r w:rsidRPr="00563AE6">
        <w:rPr>
          <w:rFonts w:cs="mylotus" w:hint="cs"/>
          <w:sz w:val="23"/>
          <w:szCs w:val="23"/>
          <w:rtl/>
        </w:rPr>
        <w:t xml:space="preserve"> الشيخ الصدوق، علل الشرائع، </w:t>
      </w:r>
      <w:r w:rsidRPr="00563AE6">
        <w:rPr>
          <w:rFonts w:cs="mylotus"/>
          <w:sz w:val="23"/>
          <w:szCs w:val="23"/>
          <w:rtl/>
        </w:rPr>
        <w:t>106- باب العلة التي من أجلها جعلت الشيعة في حل من الخمس</w:t>
      </w:r>
      <w:r w:rsidRPr="00563AE6">
        <w:rPr>
          <w:rFonts w:cs="mylotus" w:hint="cs"/>
          <w:sz w:val="23"/>
          <w:szCs w:val="23"/>
          <w:rtl/>
        </w:rPr>
        <w:t>، ج2، ص377. (المُتَرْجِمُ)</w:t>
      </w:r>
    </w:p>
  </w:footnote>
  <w:footnote w:id="331">
    <w:p w:rsidR="00B31118" w:rsidRPr="00563AE6" w:rsidRDefault="00B31118" w:rsidP="00B300C9">
      <w:pPr>
        <w:spacing w:line="228" w:lineRule="auto"/>
        <w:ind w:left="378" w:hanging="378"/>
        <w:jc w:val="both"/>
        <w:rPr>
          <w:rFonts w:cs="mylotus" w:hint="cs"/>
          <w:sz w:val="23"/>
          <w:szCs w:val="23"/>
        </w:rPr>
      </w:pPr>
      <w:r w:rsidRPr="00563AE6">
        <w:rPr>
          <w:rFonts w:cs="mylotus"/>
          <w:sz w:val="23"/>
          <w:szCs w:val="23"/>
          <w:rtl/>
        </w:rPr>
        <w:footnoteRef/>
      </w:r>
      <w:r>
        <w:rPr>
          <w:rFonts w:cs="mylotus"/>
          <w:sz w:val="23"/>
          <w:szCs w:val="23"/>
          <w:rtl/>
        </w:rPr>
        <w:t>-</w:t>
      </w:r>
      <w:r w:rsidRPr="00563AE6">
        <w:rPr>
          <w:rFonts w:cs="mylotus"/>
          <w:sz w:val="23"/>
          <w:szCs w:val="23"/>
          <w:rtl/>
        </w:rPr>
        <w:t xml:space="preserve"> </w:t>
      </w:r>
      <w:r w:rsidRPr="00563AE6">
        <w:rPr>
          <w:rFonts w:cs="mylotus" w:hint="cs"/>
          <w:sz w:val="23"/>
          <w:szCs w:val="23"/>
          <w:rtl/>
        </w:rPr>
        <w:t>المصدر السابق، ج2، ص377. (المُتَرْجِمُ)</w:t>
      </w:r>
    </w:p>
  </w:footnote>
  <w:footnote w:id="332">
    <w:p w:rsidR="00B31118" w:rsidRPr="00563AE6" w:rsidRDefault="00B31118" w:rsidP="00B300C9">
      <w:pPr>
        <w:spacing w:line="228" w:lineRule="auto"/>
        <w:ind w:left="378" w:hanging="378"/>
        <w:jc w:val="both"/>
        <w:rPr>
          <w:rFonts w:cs="mylotus" w:hint="cs"/>
          <w:sz w:val="23"/>
          <w:szCs w:val="23"/>
          <w:rtl/>
        </w:rPr>
      </w:pPr>
      <w:r w:rsidRPr="00563AE6">
        <w:rPr>
          <w:rFonts w:cs="mylotus"/>
          <w:sz w:val="23"/>
          <w:szCs w:val="23"/>
          <w:rtl/>
        </w:rPr>
        <w:footnoteRef/>
      </w:r>
      <w:r>
        <w:rPr>
          <w:rFonts w:cs="mylotus"/>
          <w:sz w:val="23"/>
          <w:szCs w:val="23"/>
          <w:rtl/>
        </w:rPr>
        <w:t>-</w:t>
      </w:r>
      <w:r w:rsidRPr="00563AE6">
        <w:rPr>
          <w:rFonts w:cs="mylotus" w:hint="cs"/>
          <w:sz w:val="23"/>
          <w:szCs w:val="23"/>
          <w:rtl/>
        </w:rPr>
        <w:t xml:space="preserve"> التفسير المنسوب للإمام العسكري، ص 83. (المُتَرْجِمُ)</w:t>
      </w:r>
    </w:p>
  </w:footnote>
  <w:footnote w:id="333">
    <w:p w:rsidR="00B31118" w:rsidRPr="00563AE6" w:rsidRDefault="00B31118" w:rsidP="00B300C9">
      <w:pPr>
        <w:spacing w:line="228" w:lineRule="auto"/>
        <w:ind w:left="378" w:hanging="378"/>
        <w:jc w:val="both"/>
        <w:rPr>
          <w:rFonts w:cs="mylotus" w:hint="cs"/>
          <w:sz w:val="23"/>
          <w:szCs w:val="23"/>
          <w:rtl/>
        </w:rPr>
      </w:pPr>
      <w:r w:rsidRPr="00563AE6">
        <w:rPr>
          <w:rFonts w:cs="mylotus"/>
          <w:sz w:val="23"/>
          <w:szCs w:val="23"/>
          <w:rtl/>
        </w:rPr>
        <w:footnoteRef/>
      </w:r>
      <w:r>
        <w:rPr>
          <w:rFonts w:cs="mylotus"/>
          <w:sz w:val="23"/>
          <w:szCs w:val="23"/>
          <w:rtl/>
        </w:rPr>
        <w:t>-</w:t>
      </w:r>
      <w:r w:rsidRPr="00563AE6">
        <w:rPr>
          <w:rFonts w:cs="mylotus" w:hint="cs"/>
          <w:sz w:val="23"/>
          <w:szCs w:val="23"/>
          <w:rtl/>
        </w:rPr>
        <w:t xml:space="preserve"> </w:t>
      </w:r>
      <w:r w:rsidRPr="00563AE6">
        <w:rPr>
          <w:rFonts w:cs="mylotus"/>
          <w:sz w:val="23"/>
          <w:szCs w:val="23"/>
          <w:rtl/>
        </w:rPr>
        <w:t>الشيخ الطوسي، تهذيب الأحكام،</w:t>
      </w:r>
      <w:r w:rsidRPr="00563AE6">
        <w:rPr>
          <w:rFonts w:cs="mylotus" w:hint="cs"/>
          <w:sz w:val="23"/>
          <w:szCs w:val="23"/>
          <w:rtl/>
        </w:rPr>
        <w:t xml:space="preserve"> ج 4، ص 143.</w:t>
      </w:r>
    </w:p>
  </w:footnote>
  <w:footnote w:id="334">
    <w:p w:rsidR="00B31118" w:rsidRPr="00563AE6" w:rsidRDefault="00B31118" w:rsidP="00B300C9">
      <w:pPr>
        <w:spacing w:line="228" w:lineRule="auto"/>
        <w:ind w:left="378" w:hanging="378"/>
        <w:jc w:val="both"/>
        <w:rPr>
          <w:rFonts w:cs="mylotus" w:hint="cs"/>
          <w:sz w:val="23"/>
          <w:szCs w:val="23"/>
          <w:rtl/>
        </w:rPr>
      </w:pPr>
      <w:r w:rsidRPr="00563AE6">
        <w:rPr>
          <w:rFonts w:cs="mylotus"/>
          <w:sz w:val="23"/>
          <w:szCs w:val="23"/>
          <w:rtl/>
        </w:rPr>
        <w:footnoteRef/>
      </w:r>
      <w:r>
        <w:rPr>
          <w:rFonts w:cs="mylotus"/>
          <w:sz w:val="23"/>
          <w:szCs w:val="23"/>
          <w:rtl/>
        </w:rPr>
        <w:t>-</w:t>
      </w:r>
      <w:r w:rsidRPr="00563AE6">
        <w:rPr>
          <w:rFonts w:cs="mylotus" w:hint="cs"/>
          <w:sz w:val="23"/>
          <w:szCs w:val="23"/>
          <w:rtl/>
        </w:rPr>
        <w:t xml:space="preserve"> </w:t>
      </w:r>
      <w:r w:rsidRPr="00563AE6">
        <w:rPr>
          <w:rFonts w:cs="mylotus"/>
          <w:sz w:val="23"/>
          <w:szCs w:val="23"/>
          <w:rtl/>
        </w:rPr>
        <w:t>الشيخ الطوسي، تهذيب الأحكام،</w:t>
      </w:r>
      <w:r w:rsidRPr="00563AE6">
        <w:rPr>
          <w:rFonts w:cs="mylotus" w:hint="cs"/>
          <w:sz w:val="23"/>
          <w:szCs w:val="23"/>
          <w:rtl/>
        </w:rPr>
        <w:t xml:space="preserve"> ج 4، ص 128؛ وله  أيضًا: الاستبصار، ج 2، ص 59.</w:t>
      </w:r>
    </w:p>
  </w:footnote>
  <w:footnote w:id="335">
    <w:p w:rsidR="00B31118" w:rsidRPr="00563AE6" w:rsidRDefault="00B31118" w:rsidP="00B300C9">
      <w:pPr>
        <w:spacing w:line="228" w:lineRule="auto"/>
        <w:ind w:left="378" w:hanging="378"/>
        <w:jc w:val="both"/>
        <w:rPr>
          <w:rFonts w:cs="mylotus" w:hint="cs"/>
          <w:sz w:val="23"/>
          <w:szCs w:val="23"/>
          <w:rtl/>
        </w:rPr>
      </w:pPr>
      <w:r w:rsidRPr="00563AE6">
        <w:rPr>
          <w:rFonts w:cs="mylotus"/>
          <w:sz w:val="23"/>
          <w:szCs w:val="23"/>
          <w:rtl/>
        </w:rPr>
        <w:footnoteRef/>
      </w:r>
      <w:r>
        <w:rPr>
          <w:rFonts w:cs="mylotus"/>
          <w:sz w:val="23"/>
          <w:szCs w:val="23"/>
          <w:rtl/>
        </w:rPr>
        <w:t>-</w:t>
      </w:r>
      <w:r w:rsidRPr="00563AE6">
        <w:rPr>
          <w:rFonts w:cs="mylotus" w:hint="cs"/>
          <w:sz w:val="23"/>
          <w:szCs w:val="23"/>
          <w:rtl/>
        </w:rPr>
        <w:t xml:space="preserve"> </w:t>
      </w:r>
      <w:r w:rsidRPr="00563AE6">
        <w:rPr>
          <w:rFonts w:cs="mylotus"/>
          <w:sz w:val="23"/>
          <w:szCs w:val="23"/>
          <w:rtl/>
        </w:rPr>
        <w:t>الشيخ الطوسي، تهذيب الأحكام،</w:t>
      </w:r>
      <w:r w:rsidRPr="00563AE6">
        <w:rPr>
          <w:rFonts w:cs="mylotus" w:hint="cs"/>
          <w:sz w:val="23"/>
          <w:szCs w:val="23"/>
          <w:rtl/>
        </w:rPr>
        <w:t xml:space="preserve"> ج 4، ص 121؛ </w:t>
      </w:r>
      <w:r w:rsidRPr="00563AE6">
        <w:rPr>
          <w:rFonts w:cs="mylotus"/>
          <w:sz w:val="23"/>
          <w:szCs w:val="23"/>
          <w:rtl/>
        </w:rPr>
        <w:t xml:space="preserve">وله  أيضًا: الاستبصار، ج </w:t>
      </w:r>
      <w:r w:rsidRPr="00563AE6">
        <w:rPr>
          <w:rFonts w:cs="mylotus" w:hint="cs"/>
          <w:sz w:val="23"/>
          <w:szCs w:val="23"/>
          <w:rtl/>
        </w:rPr>
        <w:t>2</w:t>
      </w:r>
      <w:r w:rsidRPr="00563AE6">
        <w:rPr>
          <w:rFonts w:cs="mylotus"/>
          <w:sz w:val="23"/>
          <w:szCs w:val="23"/>
          <w:rtl/>
        </w:rPr>
        <w:t>، ص</w:t>
      </w:r>
      <w:r w:rsidRPr="00563AE6">
        <w:rPr>
          <w:rFonts w:cs="mylotus" w:hint="cs"/>
          <w:sz w:val="23"/>
          <w:szCs w:val="23"/>
          <w:rtl/>
        </w:rPr>
        <w:t xml:space="preserve"> 54</w:t>
      </w:r>
      <w:r w:rsidRPr="00563AE6">
        <w:rPr>
          <w:rFonts w:cs="mylotus"/>
          <w:sz w:val="23"/>
          <w:szCs w:val="23"/>
          <w:rtl/>
        </w:rPr>
        <w:t>.</w:t>
      </w:r>
    </w:p>
  </w:footnote>
  <w:footnote w:id="336">
    <w:p w:rsidR="00B31118" w:rsidRPr="00563AE6" w:rsidRDefault="00B31118" w:rsidP="00B300C9">
      <w:pPr>
        <w:spacing w:line="228" w:lineRule="auto"/>
        <w:ind w:left="378" w:hanging="378"/>
        <w:jc w:val="both"/>
        <w:rPr>
          <w:rFonts w:cs="mylotus" w:hint="cs"/>
          <w:sz w:val="23"/>
          <w:szCs w:val="23"/>
          <w:rtl/>
        </w:rPr>
      </w:pPr>
      <w:r w:rsidRPr="00563AE6">
        <w:rPr>
          <w:rFonts w:cs="mylotus"/>
          <w:sz w:val="23"/>
          <w:szCs w:val="23"/>
          <w:rtl/>
        </w:rPr>
        <w:footnoteRef/>
      </w:r>
      <w:r>
        <w:rPr>
          <w:rFonts w:cs="mylotus"/>
          <w:sz w:val="23"/>
          <w:szCs w:val="23"/>
          <w:rtl/>
        </w:rPr>
        <w:t>-</w:t>
      </w:r>
      <w:r w:rsidRPr="00563AE6">
        <w:rPr>
          <w:rFonts w:cs="mylotus" w:hint="cs"/>
          <w:sz w:val="23"/>
          <w:szCs w:val="23"/>
          <w:rtl/>
        </w:rPr>
        <w:t xml:space="preserve"> </w:t>
      </w:r>
      <w:r w:rsidRPr="00563AE6">
        <w:rPr>
          <w:rFonts w:cs="mylotus"/>
          <w:sz w:val="23"/>
          <w:szCs w:val="23"/>
          <w:rtl/>
        </w:rPr>
        <w:t>الشيخ الطوسي، تهذيب الأحكام،</w:t>
      </w:r>
      <w:r w:rsidRPr="00563AE6">
        <w:rPr>
          <w:rFonts w:cs="mylotus" w:hint="cs"/>
          <w:sz w:val="23"/>
          <w:szCs w:val="23"/>
          <w:rtl/>
        </w:rPr>
        <w:t xml:space="preserve"> ج 4، ص 136؛ </w:t>
      </w:r>
      <w:r w:rsidRPr="00563AE6">
        <w:rPr>
          <w:rFonts w:cs="mylotus"/>
          <w:sz w:val="23"/>
          <w:szCs w:val="23"/>
          <w:rtl/>
        </w:rPr>
        <w:t xml:space="preserve">وله  أيضًا: الاستبصار، ج </w:t>
      </w:r>
      <w:r w:rsidRPr="00563AE6">
        <w:rPr>
          <w:rFonts w:cs="mylotus" w:hint="cs"/>
          <w:sz w:val="23"/>
          <w:szCs w:val="23"/>
          <w:rtl/>
        </w:rPr>
        <w:t>2</w:t>
      </w:r>
      <w:r w:rsidRPr="00563AE6">
        <w:rPr>
          <w:rFonts w:cs="mylotus"/>
          <w:sz w:val="23"/>
          <w:szCs w:val="23"/>
          <w:rtl/>
        </w:rPr>
        <w:t>، ص</w:t>
      </w:r>
      <w:r w:rsidRPr="00563AE6">
        <w:rPr>
          <w:rFonts w:cs="mylotus" w:hint="cs"/>
          <w:sz w:val="23"/>
          <w:szCs w:val="23"/>
          <w:rtl/>
        </w:rPr>
        <w:t xml:space="preserve"> 57</w:t>
      </w:r>
      <w:r w:rsidRPr="00563AE6">
        <w:rPr>
          <w:rFonts w:cs="mylotus"/>
          <w:sz w:val="23"/>
          <w:szCs w:val="23"/>
          <w:rtl/>
        </w:rPr>
        <w:t>.</w:t>
      </w:r>
    </w:p>
  </w:footnote>
  <w:footnote w:id="337">
    <w:p w:rsidR="00B31118" w:rsidRPr="00563AE6" w:rsidRDefault="00B31118" w:rsidP="00B300C9">
      <w:pPr>
        <w:spacing w:line="228" w:lineRule="auto"/>
        <w:ind w:left="378" w:hanging="378"/>
        <w:jc w:val="both"/>
        <w:rPr>
          <w:rFonts w:cs="mylotus" w:hint="cs"/>
          <w:sz w:val="23"/>
          <w:szCs w:val="23"/>
          <w:rtl/>
        </w:rPr>
      </w:pPr>
      <w:r w:rsidRPr="00563AE6">
        <w:rPr>
          <w:rFonts w:cs="mylotus"/>
          <w:sz w:val="23"/>
          <w:szCs w:val="23"/>
          <w:rtl/>
        </w:rPr>
        <w:footnoteRef/>
      </w:r>
      <w:r>
        <w:rPr>
          <w:rFonts w:cs="mylotus"/>
          <w:sz w:val="23"/>
          <w:szCs w:val="23"/>
          <w:rtl/>
        </w:rPr>
        <w:t>-</w:t>
      </w:r>
      <w:r w:rsidRPr="00563AE6">
        <w:rPr>
          <w:rFonts w:cs="mylotus" w:hint="cs"/>
          <w:sz w:val="23"/>
          <w:szCs w:val="23"/>
          <w:rtl/>
        </w:rPr>
        <w:t xml:space="preserve"> الحر العاملي، وسائل الشيعة، طبعة أمير بهادر، ج 2، ص 68.</w:t>
      </w:r>
    </w:p>
  </w:footnote>
  <w:footnote w:id="338">
    <w:p w:rsidR="00B31118" w:rsidRPr="00563AE6" w:rsidRDefault="00B31118" w:rsidP="00B300C9">
      <w:pPr>
        <w:spacing w:line="228" w:lineRule="auto"/>
        <w:ind w:left="378" w:hanging="378"/>
        <w:jc w:val="both"/>
        <w:rPr>
          <w:rFonts w:cs="mylotus" w:hint="cs"/>
          <w:sz w:val="23"/>
          <w:szCs w:val="23"/>
        </w:rPr>
      </w:pPr>
      <w:r w:rsidRPr="00563AE6">
        <w:rPr>
          <w:rFonts w:cs="mylotus"/>
          <w:sz w:val="23"/>
          <w:szCs w:val="23"/>
          <w:rtl/>
        </w:rPr>
        <w:footnoteRef/>
      </w:r>
      <w:r>
        <w:rPr>
          <w:rFonts w:cs="mylotus"/>
          <w:sz w:val="23"/>
          <w:szCs w:val="23"/>
          <w:rtl/>
        </w:rPr>
        <w:t>-</w:t>
      </w:r>
      <w:r w:rsidRPr="00563AE6">
        <w:rPr>
          <w:rFonts w:cs="mylotus" w:hint="cs"/>
          <w:sz w:val="23"/>
          <w:szCs w:val="23"/>
          <w:rtl/>
        </w:rPr>
        <w:t xml:space="preserve"> </w:t>
      </w:r>
      <w:r w:rsidRPr="00563AE6">
        <w:rPr>
          <w:rFonts w:cs="mylotus"/>
          <w:sz w:val="23"/>
          <w:szCs w:val="23"/>
          <w:rtl/>
        </w:rPr>
        <w:t xml:space="preserve">الشيخ الطوسي، تهذيب الأحكام، ج </w:t>
      </w:r>
      <w:r w:rsidRPr="00563AE6">
        <w:rPr>
          <w:rFonts w:cs="mylotus" w:hint="cs"/>
          <w:sz w:val="23"/>
          <w:szCs w:val="23"/>
          <w:rtl/>
        </w:rPr>
        <w:t>4</w:t>
      </w:r>
      <w:r w:rsidRPr="00563AE6">
        <w:rPr>
          <w:rFonts w:cs="mylotus"/>
          <w:sz w:val="23"/>
          <w:szCs w:val="23"/>
          <w:rtl/>
        </w:rPr>
        <w:t xml:space="preserve">، ص </w:t>
      </w:r>
      <w:r w:rsidRPr="00563AE6">
        <w:rPr>
          <w:rFonts w:cs="mylotus" w:hint="cs"/>
          <w:sz w:val="23"/>
          <w:szCs w:val="23"/>
          <w:rtl/>
        </w:rPr>
        <w:t>145.</w:t>
      </w:r>
    </w:p>
  </w:footnote>
  <w:footnote w:id="339">
    <w:p w:rsidR="00B31118" w:rsidRPr="00563AE6" w:rsidRDefault="00B31118" w:rsidP="00B300C9">
      <w:pPr>
        <w:spacing w:line="228" w:lineRule="auto"/>
        <w:ind w:left="378" w:hanging="378"/>
        <w:jc w:val="both"/>
        <w:rPr>
          <w:rFonts w:cs="mylotus" w:hint="cs"/>
          <w:sz w:val="23"/>
          <w:szCs w:val="23"/>
          <w:rtl/>
        </w:rPr>
      </w:pPr>
      <w:r w:rsidRPr="00563AE6">
        <w:rPr>
          <w:rFonts w:cs="mylotus"/>
          <w:sz w:val="23"/>
          <w:szCs w:val="23"/>
          <w:rtl/>
        </w:rPr>
        <w:footnoteRef/>
      </w:r>
      <w:r>
        <w:rPr>
          <w:rFonts w:cs="mylotus"/>
          <w:sz w:val="23"/>
          <w:szCs w:val="23"/>
          <w:rtl/>
        </w:rPr>
        <w:t>-</w:t>
      </w:r>
      <w:r w:rsidRPr="00563AE6">
        <w:rPr>
          <w:rFonts w:cs="mylotus" w:hint="cs"/>
          <w:sz w:val="23"/>
          <w:szCs w:val="23"/>
          <w:rtl/>
        </w:rPr>
        <w:t xml:space="preserve"> المجلسي، بحار الأنوار، طبع كمباني، ج 20، ص 55.</w:t>
      </w:r>
    </w:p>
  </w:footnote>
  <w:footnote w:id="340">
    <w:p w:rsidR="00B31118" w:rsidRPr="00563AE6" w:rsidRDefault="00B31118" w:rsidP="00B300C9">
      <w:pPr>
        <w:spacing w:line="228" w:lineRule="auto"/>
        <w:ind w:left="378" w:hanging="378"/>
        <w:jc w:val="both"/>
        <w:rPr>
          <w:rFonts w:cs="mylotus" w:hint="cs"/>
          <w:sz w:val="23"/>
          <w:szCs w:val="23"/>
        </w:rPr>
      </w:pPr>
      <w:r w:rsidRPr="00563AE6">
        <w:rPr>
          <w:rFonts w:cs="mylotus"/>
          <w:sz w:val="23"/>
          <w:szCs w:val="23"/>
          <w:rtl/>
        </w:rPr>
        <w:footnoteRef/>
      </w:r>
      <w:r>
        <w:rPr>
          <w:rFonts w:cs="mylotus"/>
          <w:sz w:val="23"/>
          <w:szCs w:val="23"/>
          <w:rtl/>
        </w:rPr>
        <w:t>-</w:t>
      </w:r>
      <w:r w:rsidRPr="00563AE6">
        <w:rPr>
          <w:rFonts w:cs="mylotus" w:hint="cs"/>
          <w:sz w:val="23"/>
          <w:szCs w:val="23"/>
          <w:rtl/>
        </w:rPr>
        <w:t xml:space="preserve"> </w:t>
      </w:r>
      <w:r w:rsidRPr="00563AE6">
        <w:rPr>
          <w:rFonts w:cs="mylotus"/>
          <w:sz w:val="23"/>
          <w:szCs w:val="23"/>
          <w:rtl/>
        </w:rPr>
        <w:t xml:space="preserve">الشيخ الطوسي، تهذيب الأحكام، ج </w:t>
      </w:r>
      <w:r w:rsidRPr="00563AE6">
        <w:rPr>
          <w:rFonts w:cs="mylotus" w:hint="cs"/>
          <w:sz w:val="23"/>
          <w:szCs w:val="23"/>
          <w:rtl/>
        </w:rPr>
        <w:t>4</w:t>
      </w:r>
      <w:r w:rsidRPr="00563AE6">
        <w:rPr>
          <w:rFonts w:cs="mylotus"/>
          <w:sz w:val="23"/>
          <w:szCs w:val="23"/>
          <w:rtl/>
        </w:rPr>
        <w:t xml:space="preserve">، ص </w:t>
      </w:r>
      <w:r w:rsidRPr="00563AE6">
        <w:rPr>
          <w:rFonts w:cs="mylotus" w:hint="cs"/>
          <w:sz w:val="23"/>
          <w:szCs w:val="23"/>
          <w:rtl/>
        </w:rPr>
        <w:t>137</w:t>
      </w:r>
      <w:r w:rsidRPr="00563AE6">
        <w:rPr>
          <w:rFonts w:cs="mylotus"/>
          <w:sz w:val="23"/>
          <w:szCs w:val="23"/>
          <w:rtl/>
        </w:rPr>
        <w:t xml:space="preserve">؛ وله  أيضًا: الاستبصار، ج </w:t>
      </w:r>
      <w:r w:rsidRPr="00563AE6">
        <w:rPr>
          <w:rFonts w:cs="mylotus" w:hint="cs"/>
          <w:sz w:val="23"/>
          <w:szCs w:val="23"/>
          <w:rtl/>
        </w:rPr>
        <w:t>2</w:t>
      </w:r>
      <w:r w:rsidRPr="00563AE6">
        <w:rPr>
          <w:rFonts w:cs="mylotus"/>
          <w:sz w:val="23"/>
          <w:szCs w:val="23"/>
          <w:rtl/>
        </w:rPr>
        <w:t>، ص</w:t>
      </w:r>
      <w:r w:rsidRPr="00563AE6">
        <w:rPr>
          <w:rFonts w:cs="mylotus" w:hint="cs"/>
          <w:sz w:val="23"/>
          <w:szCs w:val="23"/>
          <w:rtl/>
        </w:rPr>
        <w:t xml:space="preserve"> 58</w:t>
      </w:r>
      <w:r w:rsidRPr="00563AE6">
        <w:rPr>
          <w:rFonts w:cs="mylotus"/>
          <w:sz w:val="23"/>
          <w:szCs w:val="23"/>
          <w:rtl/>
        </w:rPr>
        <w:t>.</w:t>
      </w:r>
    </w:p>
  </w:footnote>
  <w:footnote w:id="341">
    <w:p w:rsidR="00B31118" w:rsidRPr="00563AE6" w:rsidRDefault="00B31118" w:rsidP="00B300C9">
      <w:pPr>
        <w:spacing w:line="228" w:lineRule="auto"/>
        <w:ind w:left="378" w:hanging="378"/>
        <w:jc w:val="both"/>
        <w:rPr>
          <w:rFonts w:cs="mylotus" w:hint="cs"/>
          <w:sz w:val="23"/>
          <w:szCs w:val="23"/>
        </w:rPr>
      </w:pPr>
      <w:r w:rsidRPr="00563AE6">
        <w:rPr>
          <w:rFonts w:cs="mylotus"/>
          <w:sz w:val="23"/>
          <w:szCs w:val="23"/>
          <w:rtl/>
        </w:rPr>
        <w:footnoteRef/>
      </w:r>
      <w:r>
        <w:rPr>
          <w:rFonts w:cs="mylotus"/>
          <w:sz w:val="23"/>
          <w:szCs w:val="23"/>
          <w:rtl/>
        </w:rPr>
        <w:t>-</w:t>
      </w:r>
      <w:r w:rsidRPr="00563AE6">
        <w:rPr>
          <w:rFonts w:cs="mylotus" w:hint="cs"/>
          <w:sz w:val="23"/>
          <w:szCs w:val="23"/>
          <w:rtl/>
        </w:rPr>
        <w:t xml:space="preserve"> </w:t>
      </w:r>
      <w:r w:rsidRPr="00563AE6">
        <w:rPr>
          <w:rFonts w:cs="mylotus"/>
          <w:sz w:val="23"/>
          <w:szCs w:val="23"/>
          <w:rtl/>
        </w:rPr>
        <w:t xml:space="preserve">الشيخ الطوسي، تهذيب الأحكام، ج </w:t>
      </w:r>
      <w:r w:rsidRPr="00563AE6">
        <w:rPr>
          <w:rFonts w:cs="mylotus" w:hint="cs"/>
          <w:sz w:val="23"/>
          <w:szCs w:val="23"/>
          <w:rtl/>
        </w:rPr>
        <w:t>4</w:t>
      </w:r>
      <w:r w:rsidRPr="00563AE6">
        <w:rPr>
          <w:rFonts w:cs="mylotus"/>
          <w:sz w:val="23"/>
          <w:szCs w:val="23"/>
          <w:rtl/>
        </w:rPr>
        <w:t xml:space="preserve">، ص </w:t>
      </w:r>
      <w:r w:rsidRPr="00563AE6">
        <w:rPr>
          <w:rFonts w:cs="mylotus" w:hint="cs"/>
          <w:sz w:val="23"/>
          <w:szCs w:val="23"/>
          <w:rtl/>
        </w:rPr>
        <w:t>136</w:t>
      </w:r>
      <w:r w:rsidRPr="00563AE6">
        <w:rPr>
          <w:rFonts w:cs="mylotus"/>
          <w:sz w:val="23"/>
          <w:szCs w:val="23"/>
          <w:rtl/>
        </w:rPr>
        <w:t xml:space="preserve">؛ وله  أيضًا: الاستبصار، ج </w:t>
      </w:r>
      <w:r w:rsidRPr="00563AE6">
        <w:rPr>
          <w:rFonts w:cs="mylotus" w:hint="cs"/>
          <w:sz w:val="23"/>
          <w:szCs w:val="23"/>
          <w:rtl/>
        </w:rPr>
        <w:t>2</w:t>
      </w:r>
      <w:r w:rsidRPr="00563AE6">
        <w:rPr>
          <w:rFonts w:cs="mylotus"/>
          <w:sz w:val="23"/>
          <w:szCs w:val="23"/>
          <w:rtl/>
        </w:rPr>
        <w:t>، ص</w:t>
      </w:r>
      <w:r w:rsidRPr="00563AE6">
        <w:rPr>
          <w:rFonts w:cs="mylotus" w:hint="cs"/>
          <w:sz w:val="23"/>
          <w:szCs w:val="23"/>
          <w:rtl/>
        </w:rPr>
        <w:t xml:space="preserve"> 57</w:t>
      </w:r>
      <w:r w:rsidRPr="00563AE6">
        <w:rPr>
          <w:rFonts w:cs="mylotus"/>
          <w:sz w:val="23"/>
          <w:szCs w:val="23"/>
          <w:rtl/>
        </w:rPr>
        <w:t>.</w:t>
      </w:r>
    </w:p>
  </w:footnote>
  <w:footnote w:id="342">
    <w:p w:rsidR="00B31118" w:rsidRPr="00563AE6" w:rsidRDefault="00B31118" w:rsidP="00B300C9">
      <w:pPr>
        <w:spacing w:line="228" w:lineRule="auto"/>
        <w:ind w:left="378" w:hanging="378"/>
        <w:jc w:val="both"/>
        <w:rPr>
          <w:rFonts w:cs="mylotus" w:hint="cs"/>
          <w:sz w:val="23"/>
          <w:szCs w:val="23"/>
          <w:rtl/>
        </w:rPr>
      </w:pPr>
      <w:r w:rsidRPr="00563AE6">
        <w:rPr>
          <w:rFonts w:cs="mylotus"/>
          <w:sz w:val="23"/>
          <w:szCs w:val="23"/>
          <w:rtl/>
        </w:rPr>
        <w:footnoteRef/>
      </w:r>
      <w:r>
        <w:rPr>
          <w:rFonts w:cs="mylotus"/>
          <w:sz w:val="23"/>
          <w:szCs w:val="23"/>
          <w:rtl/>
        </w:rPr>
        <w:t>-</w:t>
      </w:r>
      <w:r w:rsidRPr="00563AE6">
        <w:rPr>
          <w:rFonts w:cs="mylotus" w:hint="cs"/>
          <w:sz w:val="23"/>
          <w:szCs w:val="23"/>
          <w:rtl/>
        </w:rPr>
        <w:t xml:space="preserve"> الكُلَيْنِيّ، الكافي، ج 1، ص 546.</w:t>
      </w:r>
    </w:p>
  </w:footnote>
  <w:footnote w:id="343">
    <w:p w:rsidR="00B31118" w:rsidRPr="00563AE6" w:rsidRDefault="00B31118" w:rsidP="00B300C9">
      <w:pPr>
        <w:spacing w:line="228" w:lineRule="auto"/>
        <w:ind w:left="378" w:hanging="378"/>
        <w:jc w:val="both"/>
        <w:rPr>
          <w:rFonts w:cs="mylotus" w:hint="cs"/>
          <w:sz w:val="23"/>
          <w:szCs w:val="23"/>
          <w:rtl/>
        </w:rPr>
      </w:pPr>
      <w:r w:rsidRPr="00563AE6">
        <w:rPr>
          <w:rFonts w:cs="mylotus"/>
          <w:sz w:val="23"/>
          <w:szCs w:val="23"/>
          <w:rtl/>
        </w:rPr>
        <w:footnoteRef/>
      </w:r>
      <w:r>
        <w:rPr>
          <w:rFonts w:cs="mylotus"/>
          <w:sz w:val="23"/>
          <w:szCs w:val="23"/>
          <w:rtl/>
        </w:rPr>
        <w:t>-</w:t>
      </w:r>
      <w:r w:rsidRPr="00563AE6">
        <w:rPr>
          <w:rFonts w:cs="mylotus" w:hint="cs"/>
          <w:sz w:val="23"/>
          <w:szCs w:val="23"/>
          <w:rtl/>
        </w:rPr>
        <w:t xml:space="preserve"> </w:t>
      </w:r>
      <w:r w:rsidRPr="00563AE6">
        <w:rPr>
          <w:rFonts w:cs="mylotus"/>
          <w:sz w:val="23"/>
          <w:szCs w:val="23"/>
          <w:rtl/>
        </w:rPr>
        <w:t xml:space="preserve">الشيخ الطوسي، تهذيب الأحكام، ج </w:t>
      </w:r>
      <w:r w:rsidRPr="00563AE6">
        <w:rPr>
          <w:rFonts w:cs="mylotus" w:hint="cs"/>
          <w:sz w:val="23"/>
          <w:szCs w:val="23"/>
          <w:rtl/>
        </w:rPr>
        <w:t>4</w:t>
      </w:r>
      <w:r w:rsidRPr="00563AE6">
        <w:rPr>
          <w:rFonts w:cs="mylotus"/>
          <w:sz w:val="23"/>
          <w:szCs w:val="23"/>
          <w:rtl/>
        </w:rPr>
        <w:t xml:space="preserve">، ص </w:t>
      </w:r>
      <w:r w:rsidRPr="00563AE6">
        <w:rPr>
          <w:rFonts w:cs="mylotus" w:hint="cs"/>
          <w:sz w:val="23"/>
          <w:szCs w:val="23"/>
          <w:rtl/>
        </w:rPr>
        <w:t>138</w:t>
      </w:r>
      <w:r w:rsidRPr="00563AE6">
        <w:rPr>
          <w:rFonts w:cs="mylotus"/>
          <w:sz w:val="23"/>
          <w:szCs w:val="23"/>
          <w:rtl/>
        </w:rPr>
        <w:t>؛</w:t>
      </w:r>
      <w:r w:rsidRPr="00563AE6">
        <w:rPr>
          <w:rFonts w:cs="mylotus" w:hint="cs"/>
          <w:sz w:val="23"/>
          <w:szCs w:val="23"/>
          <w:rtl/>
        </w:rPr>
        <w:t xml:space="preserve"> الصدوق، من لا يحضره الفقيه، ج 2، ص 44.</w:t>
      </w:r>
    </w:p>
  </w:footnote>
  <w:footnote w:id="344">
    <w:p w:rsidR="00B31118" w:rsidRPr="00563AE6" w:rsidRDefault="00B31118" w:rsidP="00B300C9">
      <w:pPr>
        <w:spacing w:line="228" w:lineRule="auto"/>
        <w:ind w:left="378" w:hanging="378"/>
        <w:jc w:val="both"/>
        <w:rPr>
          <w:rFonts w:cs="mylotus" w:hint="cs"/>
          <w:sz w:val="23"/>
          <w:szCs w:val="23"/>
        </w:rPr>
      </w:pPr>
      <w:r w:rsidRPr="00563AE6">
        <w:rPr>
          <w:rFonts w:cs="mylotus"/>
          <w:sz w:val="23"/>
          <w:szCs w:val="23"/>
          <w:rtl/>
        </w:rPr>
        <w:footnoteRef/>
      </w:r>
      <w:r>
        <w:rPr>
          <w:rFonts w:cs="mylotus"/>
          <w:sz w:val="23"/>
          <w:szCs w:val="23"/>
          <w:rtl/>
        </w:rPr>
        <w:t>-</w:t>
      </w:r>
      <w:r w:rsidRPr="00563AE6">
        <w:rPr>
          <w:rFonts w:cs="mylotus" w:hint="cs"/>
          <w:sz w:val="23"/>
          <w:szCs w:val="23"/>
          <w:rtl/>
        </w:rPr>
        <w:t xml:space="preserve"> </w:t>
      </w:r>
      <w:r w:rsidRPr="00563AE6">
        <w:rPr>
          <w:rFonts w:cs="mylotus"/>
          <w:sz w:val="23"/>
          <w:szCs w:val="23"/>
          <w:rtl/>
        </w:rPr>
        <w:t xml:space="preserve">الشيخ الطوسي، تهذيب الأحكام، ج </w:t>
      </w:r>
      <w:r w:rsidRPr="00563AE6">
        <w:rPr>
          <w:rFonts w:cs="mylotus" w:hint="cs"/>
          <w:sz w:val="23"/>
          <w:szCs w:val="23"/>
          <w:rtl/>
        </w:rPr>
        <w:t>4</w:t>
      </w:r>
      <w:r w:rsidRPr="00563AE6">
        <w:rPr>
          <w:rFonts w:cs="mylotus"/>
          <w:sz w:val="23"/>
          <w:szCs w:val="23"/>
          <w:rtl/>
        </w:rPr>
        <w:t xml:space="preserve">، ص </w:t>
      </w:r>
      <w:r w:rsidRPr="00563AE6">
        <w:rPr>
          <w:rFonts w:cs="mylotus" w:hint="cs"/>
          <w:sz w:val="23"/>
          <w:szCs w:val="23"/>
          <w:rtl/>
        </w:rPr>
        <w:t>138</w:t>
      </w:r>
      <w:r w:rsidRPr="00563AE6">
        <w:rPr>
          <w:rFonts w:cs="mylotus"/>
          <w:sz w:val="23"/>
          <w:szCs w:val="23"/>
          <w:rtl/>
        </w:rPr>
        <w:t xml:space="preserve">؛ وله  أيضًا: الاستبصار، ج </w:t>
      </w:r>
      <w:r w:rsidRPr="00563AE6">
        <w:rPr>
          <w:rFonts w:cs="mylotus" w:hint="cs"/>
          <w:sz w:val="23"/>
          <w:szCs w:val="23"/>
          <w:rtl/>
        </w:rPr>
        <w:t>2</w:t>
      </w:r>
      <w:r w:rsidRPr="00563AE6">
        <w:rPr>
          <w:rFonts w:cs="mylotus"/>
          <w:sz w:val="23"/>
          <w:szCs w:val="23"/>
          <w:rtl/>
        </w:rPr>
        <w:t>، ص</w:t>
      </w:r>
      <w:r w:rsidRPr="00563AE6">
        <w:rPr>
          <w:rFonts w:cs="mylotus" w:hint="cs"/>
          <w:sz w:val="23"/>
          <w:szCs w:val="23"/>
          <w:rtl/>
        </w:rPr>
        <w:t xml:space="preserve"> 59؛ والصدوق، من لا يحضره  الفقيه، ج 2، ص 33.  </w:t>
      </w:r>
    </w:p>
  </w:footnote>
  <w:footnote w:id="345">
    <w:p w:rsidR="00B31118" w:rsidRPr="00563AE6" w:rsidRDefault="00B31118" w:rsidP="00B300C9">
      <w:pPr>
        <w:spacing w:line="228" w:lineRule="auto"/>
        <w:ind w:left="378" w:hanging="378"/>
        <w:jc w:val="both"/>
        <w:rPr>
          <w:rFonts w:cs="mylotus" w:hint="cs"/>
          <w:sz w:val="23"/>
          <w:szCs w:val="23"/>
        </w:rPr>
      </w:pPr>
      <w:r w:rsidRPr="00563AE6">
        <w:rPr>
          <w:rFonts w:cs="mylotus"/>
          <w:sz w:val="23"/>
          <w:szCs w:val="23"/>
          <w:rtl/>
        </w:rPr>
        <w:footnoteRef/>
      </w:r>
      <w:r>
        <w:rPr>
          <w:rFonts w:cs="mylotus"/>
          <w:sz w:val="23"/>
          <w:szCs w:val="23"/>
          <w:rtl/>
        </w:rPr>
        <w:t>-</w:t>
      </w:r>
      <w:r w:rsidRPr="00563AE6">
        <w:rPr>
          <w:rFonts w:cs="mylotus" w:hint="cs"/>
          <w:sz w:val="23"/>
          <w:szCs w:val="23"/>
          <w:rtl/>
        </w:rPr>
        <w:t xml:space="preserve"> الصدوق، علل الشرائع، ج 2، ص 377.</w:t>
      </w:r>
    </w:p>
  </w:footnote>
  <w:footnote w:id="346">
    <w:p w:rsidR="00B31118" w:rsidRPr="00563AE6" w:rsidRDefault="00B31118" w:rsidP="00B300C9">
      <w:pPr>
        <w:spacing w:line="228" w:lineRule="auto"/>
        <w:ind w:left="378" w:hanging="378"/>
        <w:jc w:val="both"/>
        <w:rPr>
          <w:rFonts w:cs="mylotus" w:hint="cs"/>
          <w:sz w:val="23"/>
          <w:szCs w:val="23"/>
          <w:rtl/>
        </w:rPr>
      </w:pPr>
      <w:r w:rsidRPr="00563AE6">
        <w:rPr>
          <w:rFonts w:cs="mylotus"/>
          <w:sz w:val="23"/>
          <w:szCs w:val="23"/>
          <w:rtl/>
        </w:rPr>
        <w:footnoteRef/>
      </w:r>
      <w:r>
        <w:rPr>
          <w:rFonts w:cs="mylotus"/>
          <w:sz w:val="23"/>
          <w:szCs w:val="23"/>
          <w:rtl/>
        </w:rPr>
        <w:t>-</w:t>
      </w:r>
      <w:r w:rsidRPr="00563AE6">
        <w:rPr>
          <w:rFonts w:cs="mylotus" w:hint="cs"/>
          <w:sz w:val="23"/>
          <w:szCs w:val="23"/>
          <w:rtl/>
        </w:rPr>
        <w:t xml:space="preserve"> </w:t>
      </w:r>
      <w:r w:rsidRPr="00563AE6">
        <w:rPr>
          <w:rFonts w:cs="mylotus"/>
          <w:sz w:val="23"/>
          <w:szCs w:val="23"/>
          <w:rtl/>
        </w:rPr>
        <w:t xml:space="preserve">الشيخ الطوسي، تهذيب الأحكام، ج </w:t>
      </w:r>
      <w:r w:rsidRPr="00563AE6">
        <w:rPr>
          <w:rFonts w:cs="mylotus" w:hint="cs"/>
          <w:sz w:val="23"/>
          <w:szCs w:val="23"/>
          <w:rtl/>
        </w:rPr>
        <w:t>4</w:t>
      </w:r>
      <w:r w:rsidRPr="00563AE6">
        <w:rPr>
          <w:rFonts w:cs="mylotus"/>
          <w:sz w:val="23"/>
          <w:szCs w:val="23"/>
          <w:rtl/>
        </w:rPr>
        <w:t>، ص</w:t>
      </w:r>
      <w:r w:rsidRPr="00563AE6">
        <w:rPr>
          <w:rFonts w:cs="mylotus" w:hint="cs"/>
          <w:sz w:val="23"/>
          <w:szCs w:val="23"/>
          <w:rtl/>
        </w:rPr>
        <w:t xml:space="preserve"> 143.</w:t>
      </w:r>
    </w:p>
  </w:footnote>
  <w:footnote w:id="347">
    <w:p w:rsidR="00B31118" w:rsidRPr="00563AE6" w:rsidRDefault="00B31118" w:rsidP="00B300C9">
      <w:pPr>
        <w:spacing w:line="228" w:lineRule="auto"/>
        <w:ind w:left="378" w:hanging="378"/>
        <w:jc w:val="both"/>
        <w:rPr>
          <w:rFonts w:cs="mylotus" w:hint="cs"/>
          <w:sz w:val="23"/>
          <w:szCs w:val="23"/>
        </w:rPr>
      </w:pPr>
      <w:r w:rsidRPr="00563AE6">
        <w:rPr>
          <w:rFonts w:cs="mylotus"/>
          <w:sz w:val="23"/>
          <w:szCs w:val="23"/>
          <w:rtl/>
        </w:rPr>
        <w:footnoteRef/>
      </w:r>
      <w:r>
        <w:rPr>
          <w:rFonts w:cs="mylotus"/>
          <w:sz w:val="23"/>
          <w:szCs w:val="23"/>
          <w:rtl/>
        </w:rPr>
        <w:t>-</w:t>
      </w:r>
      <w:r w:rsidRPr="00563AE6">
        <w:rPr>
          <w:rFonts w:cs="mylotus" w:hint="cs"/>
          <w:sz w:val="23"/>
          <w:szCs w:val="23"/>
          <w:rtl/>
        </w:rPr>
        <w:t xml:space="preserve"> الحر العاملي، وسائل الشيعة، ج 9، ص 553 - 554.</w:t>
      </w:r>
    </w:p>
  </w:footnote>
  <w:footnote w:id="348">
    <w:p w:rsidR="00B31118" w:rsidRPr="00563AE6" w:rsidRDefault="00B31118" w:rsidP="00B300C9">
      <w:pPr>
        <w:spacing w:line="228" w:lineRule="auto"/>
        <w:ind w:left="378" w:hanging="378"/>
        <w:jc w:val="both"/>
        <w:rPr>
          <w:rFonts w:cs="mylotus" w:hint="cs"/>
          <w:sz w:val="23"/>
          <w:szCs w:val="23"/>
          <w:rtl/>
        </w:rPr>
      </w:pPr>
      <w:r w:rsidRPr="00563AE6">
        <w:rPr>
          <w:rFonts w:cs="mylotus"/>
          <w:sz w:val="23"/>
          <w:szCs w:val="23"/>
          <w:rtl/>
        </w:rPr>
        <w:footnoteRef/>
      </w:r>
      <w:r>
        <w:rPr>
          <w:rFonts w:cs="mylotus"/>
          <w:sz w:val="23"/>
          <w:szCs w:val="23"/>
          <w:rtl/>
        </w:rPr>
        <w:t>-</w:t>
      </w:r>
      <w:r w:rsidRPr="00563AE6">
        <w:rPr>
          <w:rFonts w:cs="mylotus" w:hint="cs"/>
          <w:sz w:val="23"/>
          <w:szCs w:val="23"/>
          <w:rtl/>
        </w:rPr>
        <w:t xml:space="preserve"> </w:t>
      </w:r>
      <w:r w:rsidRPr="00563AE6">
        <w:rPr>
          <w:rFonts w:cs="mylotus"/>
          <w:sz w:val="23"/>
          <w:szCs w:val="23"/>
          <w:rtl/>
        </w:rPr>
        <w:t>الكُلَيْنِيّ</w:t>
      </w:r>
      <w:r w:rsidRPr="00563AE6">
        <w:rPr>
          <w:rFonts w:cs="mylotus" w:hint="cs"/>
          <w:sz w:val="23"/>
          <w:szCs w:val="23"/>
          <w:rtl/>
        </w:rPr>
        <w:t xml:space="preserve">، الكافي، ج 4، ص 61؛ </w:t>
      </w:r>
      <w:r w:rsidRPr="00563AE6">
        <w:rPr>
          <w:rFonts w:cs="mylotus"/>
          <w:sz w:val="23"/>
          <w:szCs w:val="23"/>
          <w:rtl/>
        </w:rPr>
        <w:t xml:space="preserve">الشيخ الطوسي، تهذيب الأحكام، ج </w:t>
      </w:r>
      <w:r w:rsidRPr="00563AE6">
        <w:rPr>
          <w:rFonts w:cs="mylotus" w:hint="cs"/>
          <w:sz w:val="23"/>
          <w:szCs w:val="23"/>
          <w:rtl/>
        </w:rPr>
        <w:t>4</w:t>
      </w:r>
      <w:r w:rsidRPr="00563AE6">
        <w:rPr>
          <w:rFonts w:cs="mylotus"/>
          <w:sz w:val="23"/>
          <w:szCs w:val="23"/>
          <w:rtl/>
        </w:rPr>
        <w:t>، ص</w:t>
      </w:r>
      <w:r w:rsidRPr="00563AE6">
        <w:rPr>
          <w:rFonts w:cs="mylotus" w:hint="cs"/>
          <w:sz w:val="23"/>
          <w:szCs w:val="23"/>
          <w:rtl/>
        </w:rPr>
        <w:t xml:space="preserve"> 143 - 144.</w:t>
      </w:r>
    </w:p>
  </w:footnote>
  <w:footnote w:id="349">
    <w:p w:rsidR="00B31118" w:rsidRPr="00563AE6" w:rsidRDefault="00B31118" w:rsidP="00B300C9">
      <w:pPr>
        <w:spacing w:line="228" w:lineRule="auto"/>
        <w:ind w:left="378" w:hanging="378"/>
        <w:jc w:val="both"/>
        <w:rPr>
          <w:rFonts w:cs="mylotus" w:hint="cs"/>
          <w:sz w:val="23"/>
          <w:szCs w:val="23"/>
          <w:rtl/>
        </w:rPr>
      </w:pPr>
      <w:r w:rsidRPr="00563AE6">
        <w:rPr>
          <w:rFonts w:cs="mylotus"/>
          <w:sz w:val="23"/>
          <w:szCs w:val="23"/>
          <w:rtl/>
        </w:rPr>
        <w:footnoteRef/>
      </w:r>
      <w:r>
        <w:rPr>
          <w:rFonts w:cs="mylotus"/>
          <w:sz w:val="23"/>
          <w:szCs w:val="23"/>
          <w:rtl/>
        </w:rPr>
        <w:t>-</w:t>
      </w:r>
      <w:r w:rsidRPr="00563AE6">
        <w:rPr>
          <w:rFonts w:cs="mylotus" w:hint="cs"/>
          <w:sz w:val="23"/>
          <w:szCs w:val="23"/>
          <w:rtl/>
        </w:rPr>
        <w:t xml:space="preserve"> </w:t>
      </w:r>
      <w:r w:rsidRPr="00563AE6">
        <w:rPr>
          <w:rFonts w:cs="mylotus"/>
          <w:sz w:val="23"/>
          <w:szCs w:val="23"/>
          <w:rtl/>
        </w:rPr>
        <w:t xml:space="preserve">الشيخ الطوسي، تهذيب الأحكام، ج </w:t>
      </w:r>
      <w:r w:rsidRPr="00563AE6">
        <w:rPr>
          <w:rFonts w:cs="mylotus" w:hint="cs"/>
          <w:sz w:val="23"/>
          <w:szCs w:val="23"/>
          <w:rtl/>
        </w:rPr>
        <w:t>4</w:t>
      </w:r>
      <w:r w:rsidRPr="00563AE6">
        <w:rPr>
          <w:rFonts w:cs="mylotus"/>
          <w:sz w:val="23"/>
          <w:szCs w:val="23"/>
          <w:rtl/>
        </w:rPr>
        <w:t>، ص</w:t>
      </w:r>
      <w:r w:rsidRPr="00563AE6">
        <w:rPr>
          <w:rFonts w:cs="mylotus" w:hint="cs"/>
          <w:sz w:val="23"/>
          <w:szCs w:val="23"/>
          <w:rtl/>
        </w:rPr>
        <w:t xml:space="preserve"> 144؛ </w:t>
      </w:r>
      <w:r w:rsidRPr="00563AE6">
        <w:rPr>
          <w:rFonts w:cs="mylotus"/>
          <w:sz w:val="23"/>
          <w:szCs w:val="23"/>
          <w:rtl/>
        </w:rPr>
        <w:t>الحر العاملي، وسائل الشيعة</w:t>
      </w:r>
      <w:r w:rsidRPr="00563AE6">
        <w:rPr>
          <w:rFonts w:cs="mylotus" w:hint="cs"/>
          <w:sz w:val="23"/>
          <w:szCs w:val="23"/>
          <w:rtl/>
        </w:rPr>
        <w:t>،</w:t>
      </w:r>
      <w:r w:rsidRPr="00563AE6">
        <w:rPr>
          <w:rFonts w:cs="mylotus"/>
          <w:sz w:val="23"/>
          <w:szCs w:val="23"/>
          <w:rtl/>
        </w:rPr>
        <w:t xml:space="preserve"> طبع أمير بهادر، ج2، ص67.</w:t>
      </w:r>
    </w:p>
  </w:footnote>
  <w:footnote w:id="350">
    <w:p w:rsidR="00B31118" w:rsidRPr="00563AE6" w:rsidRDefault="00B31118" w:rsidP="00B300C9">
      <w:pPr>
        <w:spacing w:line="228" w:lineRule="auto"/>
        <w:ind w:left="378" w:hanging="378"/>
        <w:jc w:val="both"/>
        <w:rPr>
          <w:rFonts w:cs="mylotus" w:hint="cs"/>
          <w:sz w:val="23"/>
          <w:szCs w:val="23"/>
          <w:rtl/>
        </w:rPr>
      </w:pPr>
      <w:r w:rsidRPr="00563AE6">
        <w:rPr>
          <w:rFonts w:cs="mylotus"/>
          <w:sz w:val="23"/>
          <w:szCs w:val="23"/>
          <w:rtl/>
        </w:rPr>
        <w:footnoteRef/>
      </w:r>
      <w:r>
        <w:rPr>
          <w:rFonts w:cs="mylotus"/>
          <w:sz w:val="23"/>
          <w:szCs w:val="23"/>
          <w:rtl/>
        </w:rPr>
        <w:t>-</w:t>
      </w:r>
      <w:r w:rsidRPr="00563AE6">
        <w:rPr>
          <w:rFonts w:cs="mylotus" w:hint="cs"/>
          <w:sz w:val="23"/>
          <w:szCs w:val="23"/>
          <w:rtl/>
        </w:rPr>
        <w:t xml:space="preserve"> </w:t>
      </w:r>
      <w:r w:rsidRPr="00563AE6">
        <w:rPr>
          <w:rFonts w:cs="mylotus"/>
          <w:sz w:val="23"/>
          <w:szCs w:val="23"/>
          <w:rtl/>
        </w:rPr>
        <w:t xml:space="preserve">الكُلَيْنِيّ، الكافي، ج </w:t>
      </w:r>
      <w:r w:rsidRPr="00563AE6">
        <w:rPr>
          <w:rFonts w:cs="mylotus" w:hint="cs"/>
          <w:sz w:val="23"/>
          <w:szCs w:val="23"/>
          <w:rtl/>
        </w:rPr>
        <w:t>1</w:t>
      </w:r>
      <w:r w:rsidRPr="00563AE6">
        <w:rPr>
          <w:rFonts w:cs="mylotus"/>
          <w:sz w:val="23"/>
          <w:szCs w:val="23"/>
          <w:rtl/>
        </w:rPr>
        <w:t>، ص</w:t>
      </w:r>
      <w:r w:rsidRPr="00563AE6">
        <w:rPr>
          <w:rFonts w:cs="mylotus" w:hint="cs"/>
          <w:sz w:val="23"/>
          <w:szCs w:val="23"/>
          <w:rtl/>
        </w:rPr>
        <w:t xml:space="preserve"> 408</w:t>
      </w:r>
      <w:r w:rsidRPr="00563AE6">
        <w:rPr>
          <w:rFonts w:cs="mylotus"/>
          <w:sz w:val="23"/>
          <w:szCs w:val="23"/>
          <w:rtl/>
        </w:rPr>
        <w:t>.</w:t>
      </w:r>
    </w:p>
  </w:footnote>
  <w:footnote w:id="351">
    <w:p w:rsidR="00B31118" w:rsidRPr="00563AE6" w:rsidRDefault="00B31118" w:rsidP="00B300C9">
      <w:pPr>
        <w:spacing w:line="228" w:lineRule="auto"/>
        <w:ind w:left="378" w:hanging="378"/>
        <w:jc w:val="both"/>
        <w:rPr>
          <w:rFonts w:cs="mylotus" w:hint="cs"/>
          <w:sz w:val="23"/>
          <w:szCs w:val="23"/>
          <w:rtl/>
        </w:rPr>
      </w:pPr>
      <w:r w:rsidRPr="00563AE6">
        <w:rPr>
          <w:rFonts w:cs="mylotus"/>
          <w:sz w:val="23"/>
          <w:szCs w:val="23"/>
          <w:rtl/>
        </w:rPr>
        <w:footnoteRef/>
      </w:r>
      <w:r>
        <w:rPr>
          <w:rFonts w:cs="mylotus"/>
          <w:sz w:val="23"/>
          <w:szCs w:val="23"/>
          <w:rtl/>
        </w:rPr>
        <w:t>-</w:t>
      </w:r>
      <w:r w:rsidRPr="00563AE6">
        <w:rPr>
          <w:rFonts w:cs="mylotus" w:hint="cs"/>
          <w:sz w:val="23"/>
          <w:szCs w:val="23"/>
          <w:rtl/>
        </w:rPr>
        <w:t xml:space="preserve"> </w:t>
      </w:r>
      <w:r w:rsidRPr="00563AE6">
        <w:rPr>
          <w:rFonts w:cs="mylotus"/>
          <w:sz w:val="23"/>
          <w:szCs w:val="23"/>
          <w:rtl/>
        </w:rPr>
        <w:t xml:space="preserve">الشيخ الطوسي، تهذيب الأحكام، ج </w:t>
      </w:r>
      <w:r w:rsidRPr="00563AE6">
        <w:rPr>
          <w:rFonts w:cs="mylotus" w:hint="cs"/>
          <w:sz w:val="23"/>
          <w:szCs w:val="23"/>
          <w:rtl/>
        </w:rPr>
        <w:t>4</w:t>
      </w:r>
      <w:r w:rsidRPr="00563AE6">
        <w:rPr>
          <w:rFonts w:cs="mylotus"/>
          <w:sz w:val="23"/>
          <w:szCs w:val="23"/>
          <w:rtl/>
        </w:rPr>
        <w:t xml:space="preserve">، ص </w:t>
      </w:r>
      <w:r w:rsidRPr="00563AE6">
        <w:rPr>
          <w:rFonts w:cs="mylotus" w:hint="cs"/>
          <w:sz w:val="23"/>
          <w:szCs w:val="23"/>
          <w:rtl/>
        </w:rPr>
        <w:t>137</w:t>
      </w:r>
      <w:r w:rsidRPr="00563AE6">
        <w:rPr>
          <w:rFonts w:cs="mylotus"/>
          <w:sz w:val="23"/>
          <w:szCs w:val="23"/>
          <w:rtl/>
        </w:rPr>
        <w:t xml:space="preserve">؛ وله  أيضًا: الاستبصار، ج </w:t>
      </w:r>
      <w:r w:rsidRPr="00563AE6">
        <w:rPr>
          <w:rFonts w:cs="mylotus" w:hint="cs"/>
          <w:sz w:val="23"/>
          <w:szCs w:val="23"/>
          <w:rtl/>
        </w:rPr>
        <w:t>2</w:t>
      </w:r>
      <w:r w:rsidRPr="00563AE6">
        <w:rPr>
          <w:rFonts w:cs="mylotus"/>
          <w:sz w:val="23"/>
          <w:szCs w:val="23"/>
          <w:rtl/>
        </w:rPr>
        <w:t>، ص</w:t>
      </w:r>
      <w:r w:rsidRPr="00563AE6">
        <w:rPr>
          <w:rFonts w:cs="mylotus" w:hint="cs"/>
          <w:sz w:val="23"/>
          <w:szCs w:val="23"/>
          <w:rtl/>
        </w:rPr>
        <w:t xml:space="preserve"> 58</w:t>
      </w:r>
      <w:r w:rsidRPr="00563AE6">
        <w:rPr>
          <w:rFonts w:cs="mylotus"/>
          <w:sz w:val="23"/>
          <w:szCs w:val="23"/>
          <w:rtl/>
        </w:rPr>
        <w:t>.</w:t>
      </w:r>
    </w:p>
  </w:footnote>
  <w:footnote w:id="352">
    <w:p w:rsidR="00B31118" w:rsidRPr="00563AE6" w:rsidRDefault="00B31118" w:rsidP="00B300C9">
      <w:pPr>
        <w:spacing w:line="228" w:lineRule="auto"/>
        <w:ind w:left="378" w:hanging="378"/>
        <w:jc w:val="both"/>
        <w:rPr>
          <w:rFonts w:cs="mylotus" w:hint="cs"/>
          <w:sz w:val="23"/>
          <w:szCs w:val="23"/>
          <w:rtl/>
        </w:rPr>
      </w:pPr>
      <w:r w:rsidRPr="00563AE6">
        <w:rPr>
          <w:rFonts w:cs="mylotus"/>
          <w:sz w:val="23"/>
          <w:szCs w:val="23"/>
          <w:rtl/>
        </w:rPr>
        <w:footnoteRef/>
      </w:r>
      <w:r>
        <w:rPr>
          <w:rFonts w:cs="mylotus"/>
          <w:sz w:val="23"/>
          <w:szCs w:val="23"/>
          <w:rtl/>
        </w:rPr>
        <w:t>-</w:t>
      </w:r>
      <w:r w:rsidRPr="00563AE6">
        <w:rPr>
          <w:rFonts w:cs="mylotus" w:hint="cs"/>
          <w:sz w:val="23"/>
          <w:szCs w:val="23"/>
          <w:rtl/>
        </w:rPr>
        <w:t xml:space="preserve"> </w:t>
      </w:r>
      <w:r w:rsidRPr="00563AE6">
        <w:rPr>
          <w:rFonts w:cs="mylotus"/>
          <w:sz w:val="23"/>
          <w:szCs w:val="23"/>
          <w:rtl/>
        </w:rPr>
        <w:t xml:space="preserve">الكُلَيْنِيّ، الكافي، ج </w:t>
      </w:r>
      <w:r w:rsidRPr="00563AE6">
        <w:rPr>
          <w:rFonts w:cs="mylotus" w:hint="cs"/>
          <w:sz w:val="23"/>
          <w:szCs w:val="23"/>
          <w:rtl/>
        </w:rPr>
        <w:t>1</w:t>
      </w:r>
      <w:r w:rsidRPr="00563AE6">
        <w:rPr>
          <w:rFonts w:cs="mylotus"/>
          <w:sz w:val="23"/>
          <w:szCs w:val="23"/>
          <w:rtl/>
        </w:rPr>
        <w:t>، ص</w:t>
      </w:r>
      <w:r w:rsidRPr="00563AE6">
        <w:rPr>
          <w:rFonts w:cs="mylotus" w:hint="cs"/>
          <w:sz w:val="23"/>
          <w:szCs w:val="23"/>
          <w:rtl/>
        </w:rPr>
        <w:t xml:space="preserve"> 409</w:t>
      </w:r>
      <w:r w:rsidRPr="00563AE6">
        <w:rPr>
          <w:rFonts w:cs="mylotus"/>
          <w:sz w:val="23"/>
          <w:szCs w:val="23"/>
          <w:rtl/>
        </w:rPr>
        <w:t>.</w:t>
      </w:r>
    </w:p>
  </w:footnote>
  <w:footnote w:id="353">
    <w:p w:rsidR="00B31118" w:rsidRPr="00563AE6" w:rsidRDefault="00B31118" w:rsidP="00B300C9">
      <w:pPr>
        <w:spacing w:line="228" w:lineRule="auto"/>
        <w:ind w:left="378" w:hanging="378"/>
        <w:jc w:val="both"/>
        <w:rPr>
          <w:rFonts w:cs="mylotus" w:hint="cs"/>
          <w:sz w:val="23"/>
          <w:szCs w:val="23"/>
          <w:rtl/>
        </w:rPr>
      </w:pPr>
      <w:r w:rsidRPr="00563AE6">
        <w:rPr>
          <w:rFonts w:cs="mylotus"/>
          <w:sz w:val="23"/>
          <w:szCs w:val="23"/>
          <w:rtl/>
        </w:rPr>
        <w:footnoteRef/>
      </w:r>
      <w:r>
        <w:rPr>
          <w:rFonts w:cs="mylotus"/>
          <w:sz w:val="23"/>
          <w:szCs w:val="23"/>
          <w:rtl/>
        </w:rPr>
        <w:t>-</w:t>
      </w:r>
      <w:r w:rsidRPr="00563AE6">
        <w:rPr>
          <w:rFonts w:cs="mylotus" w:hint="cs"/>
          <w:sz w:val="23"/>
          <w:szCs w:val="23"/>
          <w:rtl/>
        </w:rPr>
        <w:t xml:space="preserve"> </w:t>
      </w:r>
      <w:r w:rsidRPr="00563AE6">
        <w:rPr>
          <w:rFonts w:cs="mylotus"/>
          <w:sz w:val="23"/>
          <w:szCs w:val="23"/>
          <w:rtl/>
        </w:rPr>
        <w:t xml:space="preserve">الكُلَيْنِيّ، الكافي، ج </w:t>
      </w:r>
      <w:r w:rsidRPr="00563AE6">
        <w:rPr>
          <w:rFonts w:cs="mylotus" w:hint="cs"/>
          <w:sz w:val="23"/>
          <w:szCs w:val="23"/>
          <w:rtl/>
        </w:rPr>
        <w:t>1</w:t>
      </w:r>
      <w:r w:rsidRPr="00563AE6">
        <w:rPr>
          <w:rFonts w:cs="mylotus"/>
          <w:sz w:val="23"/>
          <w:szCs w:val="23"/>
          <w:rtl/>
        </w:rPr>
        <w:t>، ص</w:t>
      </w:r>
      <w:r w:rsidRPr="00563AE6">
        <w:rPr>
          <w:rFonts w:cs="mylotus" w:hint="cs"/>
          <w:sz w:val="23"/>
          <w:szCs w:val="23"/>
          <w:rtl/>
        </w:rPr>
        <w:t xml:space="preserve"> 545</w:t>
      </w:r>
      <w:r w:rsidRPr="00563AE6">
        <w:rPr>
          <w:rFonts w:cs="mylotus"/>
          <w:sz w:val="23"/>
          <w:szCs w:val="23"/>
          <w:rtl/>
        </w:rPr>
        <w:t>.</w:t>
      </w:r>
    </w:p>
  </w:footnote>
  <w:footnote w:id="354">
    <w:p w:rsidR="00B31118" w:rsidRPr="00563AE6" w:rsidRDefault="00B31118" w:rsidP="00B300C9">
      <w:pPr>
        <w:spacing w:line="228" w:lineRule="auto"/>
        <w:ind w:left="378" w:hanging="378"/>
        <w:jc w:val="both"/>
        <w:rPr>
          <w:rFonts w:cs="mylotus" w:hint="cs"/>
          <w:sz w:val="23"/>
          <w:szCs w:val="23"/>
          <w:rtl/>
        </w:rPr>
      </w:pPr>
      <w:r w:rsidRPr="00563AE6">
        <w:rPr>
          <w:rFonts w:cs="mylotus"/>
          <w:sz w:val="23"/>
          <w:szCs w:val="23"/>
          <w:rtl/>
        </w:rPr>
        <w:footnoteRef/>
      </w:r>
      <w:r>
        <w:rPr>
          <w:rFonts w:cs="mylotus"/>
          <w:sz w:val="23"/>
          <w:szCs w:val="23"/>
          <w:rtl/>
        </w:rPr>
        <w:t>-</w:t>
      </w:r>
      <w:r w:rsidRPr="00563AE6">
        <w:rPr>
          <w:rFonts w:cs="mylotus" w:hint="cs"/>
          <w:sz w:val="23"/>
          <w:szCs w:val="23"/>
          <w:rtl/>
        </w:rPr>
        <w:t xml:space="preserve"> </w:t>
      </w:r>
      <w:r w:rsidRPr="00563AE6">
        <w:rPr>
          <w:rFonts w:cs="mylotus"/>
          <w:sz w:val="23"/>
          <w:szCs w:val="23"/>
          <w:rtl/>
        </w:rPr>
        <w:t xml:space="preserve">الشيخ الطوسي، تهذيب الأحكام، ج </w:t>
      </w:r>
      <w:r w:rsidRPr="00563AE6">
        <w:rPr>
          <w:rFonts w:cs="mylotus" w:hint="cs"/>
          <w:sz w:val="23"/>
          <w:szCs w:val="23"/>
          <w:rtl/>
        </w:rPr>
        <w:t>4</w:t>
      </w:r>
      <w:r w:rsidRPr="00563AE6">
        <w:rPr>
          <w:rFonts w:cs="mylotus"/>
          <w:sz w:val="23"/>
          <w:szCs w:val="23"/>
          <w:rtl/>
        </w:rPr>
        <w:t>، ص</w:t>
      </w:r>
      <w:r w:rsidRPr="00563AE6">
        <w:rPr>
          <w:rFonts w:cs="mylotus" w:hint="cs"/>
          <w:sz w:val="23"/>
          <w:szCs w:val="23"/>
          <w:rtl/>
        </w:rPr>
        <w:t xml:space="preserve"> 137</w:t>
      </w:r>
      <w:r w:rsidRPr="00563AE6">
        <w:rPr>
          <w:rFonts w:cs="mylotus"/>
          <w:sz w:val="23"/>
          <w:szCs w:val="23"/>
          <w:rtl/>
        </w:rPr>
        <w:t xml:space="preserve">؛ وله  أيضًا: الاستبصار، ج </w:t>
      </w:r>
      <w:r w:rsidRPr="00563AE6">
        <w:rPr>
          <w:rFonts w:cs="mylotus" w:hint="cs"/>
          <w:sz w:val="23"/>
          <w:szCs w:val="23"/>
          <w:rtl/>
        </w:rPr>
        <w:t>2</w:t>
      </w:r>
      <w:r w:rsidRPr="00563AE6">
        <w:rPr>
          <w:rFonts w:cs="mylotus"/>
          <w:sz w:val="23"/>
          <w:szCs w:val="23"/>
          <w:rtl/>
        </w:rPr>
        <w:t>، ص</w:t>
      </w:r>
      <w:r w:rsidRPr="00563AE6">
        <w:rPr>
          <w:rFonts w:cs="mylotus" w:hint="cs"/>
          <w:sz w:val="23"/>
          <w:szCs w:val="23"/>
          <w:rtl/>
        </w:rPr>
        <w:t xml:space="preserve"> 58</w:t>
      </w:r>
      <w:r w:rsidRPr="00563AE6">
        <w:rPr>
          <w:rFonts w:cs="mylotus"/>
          <w:sz w:val="23"/>
          <w:szCs w:val="23"/>
          <w:rtl/>
        </w:rPr>
        <w:t>.</w:t>
      </w:r>
    </w:p>
  </w:footnote>
  <w:footnote w:id="355">
    <w:p w:rsidR="00B31118" w:rsidRPr="00563AE6" w:rsidRDefault="00B31118" w:rsidP="00B300C9">
      <w:pPr>
        <w:spacing w:line="228" w:lineRule="auto"/>
        <w:ind w:left="378" w:hanging="378"/>
        <w:jc w:val="both"/>
        <w:rPr>
          <w:rFonts w:cs="mylotus" w:hint="cs"/>
          <w:sz w:val="23"/>
          <w:szCs w:val="23"/>
          <w:rtl/>
        </w:rPr>
      </w:pPr>
      <w:r w:rsidRPr="00563AE6">
        <w:rPr>
          <w:rFonts w:cs="mylotus"/>
          <w:sz w:val="23"/>
          <w:szCs w:val="23"/>
          <w:rtl/>
        </w:rPr>
        <w:footnoteRef/>
      </w:r>
      <w:r>
        <w:rPr>
          <w:rFonts w:cs="mylotus"/>
          <w:sz w:val="23"/>
          <w:szCs w:val="23"/>
          <w:rtl/>
        </w:rPr>
        <w:t>-</w:t>
      </w:r>
      <w:r w:rsidRPr="00563AE6">
        <w:rPr>
          <w:rFonts w:cs="mylotus" w:hint="cs"/>
          <w:sz w:val="23"/>
          <w:szCs w:val="23"/>
          <w:rtl/>
        </w:rPr>
        <w:t xml:space="preserve"> </w:t>
      </w:r>
      <w:r w:rsidRPr="00563AE6">
        <w:rPr>
          <w:rFonts w:cs="mylotus"/>
          <w:sz w:val="23"/>
          <w:szCs w:val="23"/>
          <w:rtl/>
        </w:rPr>
        <w:t xml:space="preserve">الشيخ الطوسي، تهذيب الأحكام، ج </w:t>
      </w:r>
      <w:r w:rsidRPr="00563AE6">
        <w:rPr>
          <w:rFonts w:cs="mylotus" w:hint="cs"/>
          <w:sz w:val="23"/>
          <w:szCs w:val="23"/>
          <w:rtl/>
        </w:rPr>
        <w:t>4</w:t>
      </w:r>
      <w:r w:rsidRPr="00563AE6">
        <w:rPr>
          <w:rFonts w:cs="mylotus"/>
          <w:sz w:val="23"/>
          <w:szCs w:val="23"/>
          <w:rtl/>
        </w:rPr>
        <w:t>، ص</w:t>
      </w:r>
      <w:r w:rsidRPr="00563AE6">
        <w:rPr>
          <w:rFonts w:cs="mylotus" w:hint="cs"/>
          <w:sz w:val="23"/>
          <w:szCs w:val="23"/>
          <w:rtl/>
        </w:rPr>
        <w:t xml:space="preserve"> 122.</w:t>
      </w:r>
    </w:p>
  </w:footnote>
  <w:footnote w:id="356">
    <w:p w:rsidR="00B31118" w:rsidRPr="00563AE6" w:rsidRDefault="00B31118" w:rsidP="00B300C9">
      <w:pPr>
        <w:spacing w:line="228" w:lineRule="auto"/>
        <w:ind w:left="378" w:hanging="378"/>
        <w:jc w:val="both"/>
        <w:rPr>
          <w:rFonts w:cs="mylotus" w:hint="cs"/>
          <w:sz w:val="23"/>
          <w:szCs w:val="23"/>
          <w:rtl/>
        </w:rPr>
      </w:pPr>
      <w:r w:rsidRPr="00563AE6">
        <w:rPr>
          <w:rFonts w:cs="mylotus"/>
          <w:sz w:val="23"/>
          <w:szCs w:val="23"/>
          <w:rtl/>
        </w:rPr>
        <w:footnoteRef/>
      </w:r>
      <w:r>
        <w:rPr>
          <w:rFonts w:cs="mylotus"/>
          <w:sz w:val="23"/>
          <w:szCs w:val="23"/>
          <w:rtl/>
        </w:rPr>
        <w:t>-</w:t>
      </w:r>
      <w:r w:rsidRPr="00563AE6">
        <w:rPr>
          <w:rFonts w:cs="mylotus" w:hint="cs"/>
          <w:sz w:val="23"/>
          <w:szCs w:val="23"/>
          <w:rtl/>
        </w:rPr>
        <w:t xml:space="preserve"> </w:t>
      </w:r>
      <w:r w:rsidRPr="00563AE6">
        <w:rPr>
          <w:rFonts w:cs="mylotus"/>
          <w:sz w:val="23"/>
          <w:szCs w:val="23"/>
          <w:rtl/>
        </w:rPr>
        <w:t xml:space="preserve">الشيخ الطوسي، تهذيب الأحكام، ج </w:t>
      </w:r>
      <w:r w:rsidRPr="00563AE6">
        <w:rPr>
          <w:rFonts w:cs="mylotus" w:hint="cs"/>
          <w:sz w:val="23"/>
          <w:szCs w:val="23"/>
          <w:rtl/>
        </w:rPr>
        <w:t>4</w:t>
      </w:r>
      <w:r w:rsidRPr="00563AE6">
        <w:rPr>
          <w:rFonts w:cs="mylotus"/>
          <w:sz w:val="23"/>
          <w:szCs w:val="23"/>
          <w:rtl/>
        </w:rPr>
        <w:t>، ص</w:t>
      </w:r>
      <w:r w:rsidRPr="00563AE6">
        <w:rPr>
          <w:rFonts w:cs="mylotus" w:hint="cs"/>
          <w:sz w:val="23"/>
          <w:szCs w:val="23"/>
          <w:rtl/>
        </w:rPr>
        <w:t xml:space="preserve"> 122.</w:t>
      </w:r>
    </w:p>
  </w:footnote>
  <w:footnote w:id="357">
    <w:p w:rsidR="00B31118" w:rsidRPr="00563AE6" w:rsidRDefault="00B31118" w:rsidP="00B300C9">
      <w:pPr>
        <w:spacing w:line="228" w:lineRule="auto"/>
        <w:ind w:left="378" w:hanging="378"/>
        <w:jc w:val="both"/>
        <w:rPr>
          <w:rFonts w:cs="mylotus" w:hint="cs"/>
          <w:sz w:val="23"/>
          <w:szCs w:val="23"/>
        </w:rPr>
      </w:pPr>
      <w:r w:rsidRPr="00563AE6">
        <w:rPr>
          <w:rFonts w:cs="mylotus"/>
          <w:sz w:val="23"/>
          <w:szCs w:val="23"/>
          <w:rtl/>
        </w:rPr>
        <w:footnoteRef/>
      </w:r>
      <w:r>
        <w:rPr>
          <w:rFonts w:cs="mylotus"/>
          <w:sz w:val="23"/>
          <w:szCs w:val="23"/>
          <w:rtl/>
        </w:rPr>
        <w:t>-</w:t>
      </w:r>
      <w:r w:rsidRPr="00563AE6">
        <w:rPr>
          <w:rFonts w:cs="mylotus" w:hint="cs"/>
          <w:sz w:val="23"/>
          <w:szCs w:val="23"/>
          <w:rtl/>
        </w:rPr>
        <w:t xml:space="preserve"> الطبرسي، مشكوة الأنوار، طبع النجف، 1370هـ، ص 94.</w:t>
      </w:r>
    </w:p>
  </w:footnote>
  <w:footnote w:id="358">
    <w:p w:rsidR="00B31118" w:rsidRPr="00563AE6" w:rsidRDefault="00B31118" w:rsidP="00B300C9">
      <w:pPr>
        <w:spacing w:line="228" w:lineRule="auto"/>
        <w:ind w:left="378" w:hanging="378"/>
        <w:jc w:val="both"/>
        <w:rPr>
          <w:rFonts w:cs="mylotus" w:hint="cs"/>
          <w:sz w:val="23"/>
          <w:szCs w:val="23"/>
          <w:rtl/>
        </w:rPr>
      </w:pPr>
      <w:r w:rsidRPr="00563AE6">
        <w:rPr>
          <w:rFonts w:cs="mylotus"/>
          <w:sz w:val="23"/>
          <w:szCs w:val="23"/>
          <w:rtl/>
        </w:rPr>
        <w:footnoteRef/>
      </w:r>
      <w:r>
        <w:rPr>
          <w:rFonts w:cs="mylotus"/>
          <w:sz w:val="23"/>
          <w:szCs w:val="23"/>
          <w:rtl/>
        </w:rPr>
        <w:t>-</w:t>
      </w:r>
      <w:r w:rsidRPr="00563AE6">
        <w:rPr>
          <w:rFonts w:cs="mylotus" w:hint="cs"/>
          <w:sz w:val="23"/>
          <w:szCs w:val="23"/>
          <w:rtl/>
        </w:rPr>
        <w:t xml:space="preserve"> </w:t>
      </w:r>
      <w:r w:rsidRPr="00563AE6">
        <w:rPr>
          <w:rFonts w:cs="mylotus"/>
          <w:sz w:val="23"/>
          <w:szCs w:val="23"/>
          <w:rtl/>
        </w:rPr>
        <w:t xml:space="preserve">الشيخ الطوسي، تهذيب الأحكام، ج </w:t>
      </w:r>
      <w:r w:rsidRPr="00563AE6">
        <w:rPr>
          <w:rFonts w:cs="mylotus" w:hint="cs"/>
          <w:sz w:val="23"/>
          <w:szCs w:val="23"/>
          <w:rtl/>
        </w:rPr>
        <w:t>4</w:t>
      </w:r>
      <w:r w:rsidRPr="00563AE6">
        <w:rPr>
          <w:rFonts w:cs="mylotus"/>
          <w:sz w:val="23"/>
          <w:szCs w:val="23"/>
          <w:rtl/>
        </w:rPr>
        <w:t>، ص</w:t>
      </w:r>
      <w:r w:rsidRPr="00563AE6">
        <w:rPr>
          <w:rFonts w:cs="mylotus" w:hint="cs"/>
          <w:sz w:val="23"/>
          <w:szCs w:val="23"/>
          <w:rtl/>
        </w:rPr>
        <w:t xml:space="preserve"> 143؛ الصدوق، من لا يحضره  الفقيه، ج 2، ص 44.</w:t>
      </w:r>
    </w:p>
  </w:footnote>
  <w:footnote w:id="359">
    <w:p w:rsidR="00B31118" w:rsidRPr="00563AE6" w:rsidRDefault="00B31118" w:rsidP="00B300C9">
      <w:pPr>
        <w:spacing w:line="228" w:lineRule="auto"/>
        <w:ind w:left="378" w:hanging="378"/>
        <w:jc w:val="both"/>
        <w:rPr>
          <w:rFonts w:cs="mylotus" w:hint="cs"/>
          <w:sz w:val="23"/>
          <w:szCs w:val="23"/>
          <w:rtl/>
        </w:rPr>
      </w:pPr>
      <w:r w:rsidRPr="00563AE6">
        <w:rPr>
          <w:rFonts w:cs="mylotus"/>
          <w:sz w:val="23"/>
          <w:szCs w:val="23"/>
          <w:rtl/>
        </w:rPr>
        <w:footnoteRef/>
      </w:r>
      <w:r>
        <w:rPr>
          <w:rFonts w:cs="mylotus"/>
          <w:sz w:val="23"/>
          <w:szCs w:val="23"/>
          <w:rtl/>
        </w:rPr>
        <w:t>-</w:t>
      </w:r>
      <w:r w:rsidRPr="00563AE6">
        <w:rPr>
          <w:rFonts w:cs="mylotus" w:hint="cs"/>
          <w:sz w:val="23"/>
          <w:szCs w:val="23"/>
          <w:rtl/>
        </w:rPr>
        <w:t xml:space="preserve"> </w:t>
      </w:r>
      <w:r w:rsidRPr="00563AE6">
        <w:rPr>
          <w:rFonts w:cs="mylotus"/>
          <w:sz w:val="23"/>
          <w:szCs w:val="23"/>
          <w:rtl/>
        </w:rPr>
        <w:t xml:space="preserve">الشيخ الطوسي، تهذيب الأحكام، ج </w:t>
      </w:r>
      <w:r w:rsidRPr="00563AE6">
        <w:rPr>
          <w:rFonts w:cs="mylotus" w:hint="cs"/>
          <w:sz w:val="23"/>
          <w:szCs w:val="23"/>
          <w:rtl/>
        </w:rPr>
        <w:t>4</w:t>
      </w:r>
      <w:r w:rsidRPr="00563AE6">
        <w:rPr>
          <w:rFonts w:cs="mylotus"/>
          <w:sz w:val="23"/>
          <w:szCs w:val="23"/>
          <w:rtl/>
        </w:rPr>
        <w:t>، ص</w:t>
      </w:r>
      <w:r w:rsidRPr="00563AE6">
        <w:rPr>
          <w:rFonts w:cs="mylotus" w:hint="cs"/>
          <w:sz w:val="23"/>
          <w:szCs w:val="23"/>
          <w:rtl/>
        </w:rPr>
        <w:t xml:space="preserve"> 141</w:t>
      </w:r>
      <w:r w:rsidRPr="00563AE6">
        <w:rPr>
          <w:rFonts w:cs="mylotus"/>
          <w:sz w:val="23"/>
          <w:szCs w:val="23"/>
          <w:rtl/>
        </w:rPr>
        <w:t xml:space="preserve">؛ وله  أيضًا: الاستبصار، ج </w:t>
      </w:r>
      <w:r w:rsidRPr="00563AE6">
        <w:rPr>
          <w:rFonts w:cs="mylotus" w:hint="cs"/>
          <w:sz w:val="23"/>
          <w:szCs w:val="23"/>
          <w:rtl/>
        </w:rPr>
        <w:t>2</w:t>
      </w:r>
      <w:r w:rsidRPr="00563AE6">
        <w:rPr>
          <w:rFonts w:cs="mylotus"/>
          <w:sz w:val="23"/>
          <w:szCs w:val="23"/>
          <w:rtl/>
        </w:rPr>
        <w:t>، ص</w:t>
      </w:r>
      <w:r w:rsidRPr="00563AE6">
        <w:rPr>
          <w:rFonts w:cs="mylotus" w:hint="cs"/>
          <w:sz w:val="23"/>
          <w:szCs w:val="23"/>
          <w:rtl/>
        </w:rPr>
        <w:t>60 - 61</w:t>
      </w:r>
      <w:r w:rsidRPr="00563AE6">
        <w:rPr>
          <w:rFonts w:cs="mylotus"/>
          <w:sz w:val="23"/>
          <w:szCs w:val="23"/>
          <w:rtl/>
        </w:rPr>
        <w:t>.</w:t>
      </w:r>
    </w:p>
  </w:footnote>
  <w:footnote w:id="360">
    <w:p w:rsidR="00B31118" w:rsidRPr="00563AE6" w:rsidRDefault="00B31118" w:rsidP="00B300C9">
      <w:pPr>
        <w:spacing w:line="228" w:lineRule="auto"/>
        <w:ind w:left="378" w:hanging="378"/>
        <w:jc w:val="both"/>
        <w:rPr>
          <w:rFonts w:cs="mylotus" w:hint="cs"/>
          <w:sz w:val="23"/>
          <w:szCs w:val="23"/>
        </w:rPr>
      </w:pPr>
      <w:r w:rsidRPr="00563AE6">
        <w:rPr>
          <w:rFonts w:cs="mylotus"/>
          <w:sz w:val="23"/>
          <w:szCs w:val="23"/>
          <w:rtl/>
        </w:rPr>
        <w:footnoteRef/>
      </w:r>
      <w:r>
        <w:rPr>
          <w:rFonts w:cs="mylotus"/>
          <w:sz w:val="23"/>
          <w:szCs w:val="23"/>
          <w:rtl/>
        </w:rPr>
        <w:t>-</w:t>
      </w:r>
      <w:r w:rsidRPr="00563AE6">
        <w:rPr>
          <w:rFonts w:cs="mylotus" w:hint="cs"/>
          <w:sz w:val="23"/>
          <w:szCs w:val="23"/>
          <w:rtl/>
        </w:rPr>
        <w:t xml:space="preserve"> الحر العاملي، وسائل الشيعة، الطبعة الجديدة في قم، ج 9، ص 550.</w:t>
      </w:r>
    </w:p>
  </w:footnote>
  <w:footnote w:id="361">
    <w:p w:rsidR="00B31118" w:rsidRPr="00563AE6" w:rsidRDefault="00B31118" w:rsidP="00B300C9">
      <w:pPr>
        <w:spacing w:line="228" w:lineRule="auto"/>
        <w:ind w:left="378" w:hanging="378"/>
        <w:jc w:val="both"/>
        <w:rPr>
          <w:rFonts w:cs="mylotus" w:hint="cs"/>
          <w:sz w:val="23"/>
          <w:szCs w:val="23"/>
          <w:rtl/>
        </w:rPr>
      </w:pPr>
      <w:r w:rsidRPr="00563AE6">
        <w:rPr>
          <w:rFonts w:cs="mylotus"/>
          <w:sz w:val="23"/>
          <w:szCs w:val="23"/>
          <w:rtl/>
        </w:rPr>
        <w:footnoteRef/>
      </w:r>
      <w:r>
        <w:rPr>
          <w:rFonts w:cs="mylotus"/>
          <w:sz w:val="23"/>
          <w:szCs w:val="23"/>
          <w:rtl/>
        </w:rPr>
        <w:t>-</w:t>
      </w:r>
      <w:r w:rsidRPr="00563AE6">
        <w:rPr>
          <w:rFonts w:cs="mylotus"/>
          <w:sz w:val="23"/>
          <w:szCs w:val="23"/>
          <w:rtl/>
        </w:rPr>
        <w:t xml:space="preserve"> </w:t>
      </w:r>
      <w:r w:rsidRPr="00563AE6">
        <w:rPr>
          <w:rFonts w:cs="mylotus" w:hint="cs"/>
          <w:sz w:val="23"/>
          <w:szCs w:val="23"/>
          <w:rtl/>
        </w:rPr>
        <w:t xml:space="preserve">الحاج </w:t>
      </w:r>
      <w:r w:rsidRPr="00563AE6">
        <w:rPr>
          <w:rFonts w:cs="mylotus"/>
          <w:sz w:val="23"/>
          <w:szCs w:val="23"/>
          <w:rtl/>
        </w:rPr>
        <w:t>«</w:t>
      </w:r>
      <w:r w:rsidRPr="00563AE6">
        <w:rPr>
          <w:rFonts w:cs="mylotus" w:hint="cs"/>
          <w:sz w:val="23"/>
          <w:szCs w:val="23"/>
          <w:rtl/>
        </w:rPr>
        <w:t>آقا رضا الهمداني</w:t>
      </w:r>
      <w:r w:rsidRPr="00563AE6">
        <w:rPr>
          <w:rFonts w:cs="mylotus"/>
          <w:sz w:val="23"/>
          <w:szCs w:val="23"/>
          <w:rtl/>
        </w:rPr>
        <w:t>»</w:t>
      </w:r>
      <w:r w:rsidRPr="00563AE6">
        <w:rPr>
          <w:rFonts w:cs="mylotus" w:hint="cs"/>
          <w:sz w:val="23"/>
          <w:szCs w:val="23"/>
          <w:rtl/>
        </w:rPr>
        <w:t xml:space="preserve"> هو العلامة الفقيه </w:t>
      </w:r>
      <w:r w:rsidRPr="00563AE6">
        <w:rPr>
          <w:rFonts w:cs="mylotus"/>
          <w:sz w:val="23"/>
          <w:szCs w:val="23"/>
          <w:rtl/>
        </w:rPr>
        <w:t>رضا بن محمد هادي الهمذاني</w:t>
      </w:r>
      <w:r w:rsidRPr="00563AE6">
        <w:rPr>
          <w:rFonts w:cs="mylotus" w:hint="cs"/>
          <w:sz w:val="23"/>
          <w:szCs w:val="23"/>
          <w:rtl/>
        </w:rPr>
        <w:t xml:space="preserve"> </w:t>
      </w:r>
      <w:r w:rsidRPr="00563AE6">
        <w:rPr>
          <w:rFonts w:cs="mylotus"/>
          <w:sz w:val="23"/>
          <w:szCs w:val="23"/>
          <w:rtl/>
        </w:rPr>
        <w:t xml:space="preserve">(1240 </w:t>
      </w:r>
      <w:r w:rsidRPr="00563AE6">
        <w:rPr>
          <w:rFonts w:cs="Times New Roman" w:hint="cs"/>
          <w:sz w:val="23"/>
          <w:szCs w:val="23"/>
          <w:rtl/>
        </w:rPr>
        <w:t>–</w:t>
      </w:r>
      <w:r w:rsidRPr="00563AE6">
        <w:rPr>
          <w:rFonts w:cs="mylotus"/>
          <w:sz w:val="23"/>
          <w:szCs w:val="23"/>
          <w:rtl/>
        </w:rPr>
        <w:t xml:space="preserve"> 1322</w:t>
      </w:r>
      <w:r w:rsidRPr="00563AE6">
        <w:rPr>
          <w:rFonts w:cs="mylotus" w:hint="cs"/>
          <w:sz w:val="23"/>
          <w:szCs w:val="23"/>
          <w:rtl/>
        </w:rPr>
        <w:t>هـ</w:t>
      </w:r>
      <w:r w:rsidRPr="00563AE6">
        <w:rPr>
          <w:rFonts w:cs="mylotus"/>
          <w:sz w:val="23"/>
          <w:szCs w:val="23"/>
          <w:rtl/>
        </w:rPr>
        <w:t xml:space="preserve"> = 1825 - 1904م)</w:t>
      </w:r>
      <w:r w:rsidRPr="00563AE6">
        <w:rPr>
          <w:rFonts w:cs="mylotus" w:hint="cs"/>
          <w:sz w:val="23"/>
          <w:szCs w:val="23"/>
          <w:rtl/>
        </w:rPr>
        <w:t xml:space="preserve"> </w:t>
      </w:r>
      <w:r w:rsidRPr="00563AE6">
        <w:rPr>
          <w:rFonts w:cs="mylotus"/>
          <w:sz w:val="23"/>
          <w:szCs w:val="23"/>
          <w:rtl/>
        </w:rPr>
        <w:t xml:space="preserve">من مواليد همذان </w:t>
      </w:r>
      <w:r w:rsidRPr="00563AE6">
        <w:rPr>
          <w:rFonts w:cs="mylotus" w:hint="cs"/>
          <w:sz w:val="23"/>
          <w:szCs w:val="23"/>
          <w:rtl/>
        </w:rPr>
        <w:t>و</w:t>
      </w:r>
      <w:r w:rsidRPr="00563AE6">
        <w:rPr>
          <w:rFonts w:cs="mylotus"/>
          <w:sz w:val="23"/>
          <w:szCs w:val="23"/>
          <w:rtl/>
        </w:rPr>
        <w:t>توفي بسامراء</w:t>
      </w:r>
      <w:r w:rsidRPr="00563AE6">
        <w:rPr>
          <w:rFonts w:cs="mylotus" w:hint="cs"/>
          <w:sz w:val="23"/>
          <w:szCs w:val="23"/>
          <w:rtl/>
        </w:rPr>
        <w:t xml:space="preserve">. كان من أعاظم وكبار فقهاء الشيعة الإمامية في القرن الهجري الثالث عشر، ومرجعاً كبيراً وأستاذاً لكثير من الفقهاء. من أشهر كتبه: </w:t>
      </w:r>
      <w:r w:rsidRPr="00563AE6">
        <w:rPr>
          <w:rFonts w:cs="mylotus"/>
          <w:sz w:val="23"/>
          <w:szCs w:val="23"/>
          <w:rtl/>
        </w:rPr>
        <w:t xml:space="preserve">(مصباح الفقيه) </w:t>
      </w:r>
      <w:r w:rsidRPr="00563AE6">
        <w:rPr>
          <w:rFonts w:cs="mylotus" w:hint="cs"/>
          <w:sz w:val="23"/>
          <w:szCs w:val="23"/>
          <w:rtl/>
        </w:rPr>
        <w:t>وهو كتاب فقهي استدلالي واسع اقتصر فيه على العبادات فقط، و</w:t>
      </w:r>
      <w:r w:rsidRPr="00563AE6">
        <w:rPr>
          <w:rFonts w:cs="mylotus"/>
          <w:sz w:val="23"/>
          <w:szCs w:val="23"/>
          <w:rtl/>
        </w:rPr>
        <w:t>(العوائد الرضوية على الفوائد المرتضوية)</w:t>
      </w:r>
      <w:r w:rsidRPr="00563AE6">
        <w:rPr>
          <w:rFonts w:cs="mylotus" w:hint="cs"/>
          <w:sz w:val="23"/>
          <w:szCs w:val="23"/>
          <w:rtl/>
        </w:rPr>
        <w:t xml:space="preserve"> وكلاهما طبعا طبعة حجرية. (المُتَرْجِمُ)</w:t>
      </w:r>
    </w:p>
  </w:footnote>
  <w:footnote w:id="362">
    <w:p w:rsidR="00B31118" w:rsidRPr="00563AE6" w:rsidRDefault="00B31118" w:rsidP="00B300C9">
      <w:pPr>
        <w:spacing w:line="228" w:lineRule="auto"/>
        <w:ind w:left="378" w:hanging="378"/>
        <w:jc w:val="both"/>
        <w:rPr>
          <w:rFonts w:cs="mylotus" w:hint="cs"/>
          <w:sz w:val="23"/>
          <w:szCs w:val="23"/>
          <w:rtl/>
        </w:rPr>
      </w:pPr>
      <w:r w:rsidRPr="00563AE6">
        <w:rPr>
          <w:rFonts w:cs="mylotus"/>
          <w:sz w:val="23"/>
          <w:szCs w:val="23"/>
          <w:rtl/>
        </w:rPr>
        <w:footnoteRef/>
      </w:r>
      <w:r>
        <w:rPr>
          <w:rFonts w:cs="mylotus"/>
          <w:sz w:val="23"/>
          <w:szCs w:val="23"/>
          <w:rtl/>
        </w:rPr>
        <w:t>-</w:t>
      </w:r>
      <w:r w:rsidRPr="00563AE6">
        <w:rPr>
          <w:rFonts w:cs="mylotus"/>
          <w:sz w:val="23"/>
          <w:szCs w:val="23"/>
          <w:rtl/>
        </w:rPr>
        <w:t xml:space="preserve"> </w:t>
      </w:r>
      <w:r w:rsidRPr="00563AE6">
        <w:rPr>
          <w:rFonts w:cs="mylotus" w:hint="cs"/>
          <w:sz w:val="23"/>
          <w:szCs w:val="23"/>
          <w:rtl/>
        </w:rPr>
        <w:t>يبدو أن هذه العقيدة متأثِّرة في نشأتها بتلمود اليهود (والتلمود كتاب دونه أحبار اليهود ويعتقدون أنه معادل للتوارة بل أكثر أهمية منها في نظرهم)، لأنه طبقاً لما ورد في التلمود: جميع الأموال التي على الأرض هي لِـلَّهِ، ولما كان اليهود يعتبرون أنفسهم أبناء الله وأجزاء منه لذا فهم يرون أنهم ينوبون عن الله في ملك كل ما على الأرض، وبالتالي فيرون أن تصرفهم في كل ما على الأرض جائز لهم بل واجب عليهم (من كتاب الكنز المرصود في قواعد التلمود، للدكتور روه لنز، ص 19- 30).</w:t>
      </w:r>
    </w:p>
  </w:footnote>
  <w:footnote w:id="363">
    <w:p w:rsidR="00B31118" w:rsidRPr="00563AE6" w:rsidRDefault="00B31118" w:rsidP="00B300C9">
      <w:pPr>
        <w:spacing w:line="228" w:lineRule="auto"/>
        <w:ind w:left="378" w:hanging="378"/>
        <w:jc w:val="both"/>
        <w:rPr>
          <w:rFonts w:cs="mylotus" w:hint="cs"/>
          <w:sz w:val="23"/>
          <w:szCs w:val="23"/>
        </w:rPr>
      </w:pPr>
      <w:r w:rsidRPr="00563AE6">
        <w:rPr>
          <w:rFonts w:cs="mylotus"/>
          <w:sz w:val="23"/>
          <w:szCs w:val="23"/>
          <w:rtl/>
        </w:rPr>
        <w:footnoteRef/>
      </w:r>
      <w:r>
        <w:rPr>
          <w:rFonts w:cs="mylotus"/>
          <w:sz w:val="23"/>
          <w:szCs w:val="23"/>
          <w:rtl/>
        </w:rPr>
        <w:t>-</w:t>
      </w:r>
      <w:r w:rsidRPr="00563AE6">
        <w:rPr>
          <w:rFonts w:cs="mylotus"/>
          <w:sz w:val="23"/>
          <w:szCs w:val="23"/>
          <w:rtl/>
        </w:rPr>
        <w:t xml:space="preserve"> </w:t>
      </w:r>
      <w:r w:rsidRPr="00563AE6">
        <w:rPr>
          <w:rFonts w:cs="mylotus" w:hint="cs"/>
          <w:sz w:val="23"/>
          <w:szCs w:val="23"/>
          <w:rtl/>
        </w:rPr>
        <w:t xml:space="preserve">الكُلَيْنِيّ، </w:t>
      </w:r>
      <w:r w:rsidRPr="00563AE6">
        <w:rPr>
          <w:rFonts w:cs="mylotus"/>
          <w:sz w:val="23"/>
          <w:szCs w:val="23"/>
          <w:rtl/>
        </w:rPr>
        <w:t>أصول الكافي</w:t>
      </w:r>
      <w:r w:rsidRPr="00563AE6">
        <w:rPr>
          <w:rFonts w:cs="mylotus" w:hint="cs"/>
          <w:sz w:val="23"/>
          <w:szCs w:val="23"/>
          <w:rtl/>
        </w:rPr>
        <w:t>، ج 1،  ص 408-409. (المُتَرْجِمُ)</w:t>
      </w:r>
    </w:p>
  </w:footnote>
  <w:footnote w:id="364">
    <w:p w:rsidR="00B31118" w:rsidRPr="00563AE6" w:rsidRDefault="00B31118" w:rsidP="00B300C9">
      <w:pPr>
        <w:spacing w:line="228" w:lineRule="auto"/>
        <w:ind w:left="378" w:hanging="378"/>
        <w:jc w:val="both"/>
        <w:rPr>
          <w:rFonts w:cs="mylotus" w:hint="cs"/>
          <w:sz w:val="23"/>
          <w:szCs w:val="23"/>
        </w:rPr>
      </w:pPr>
      <w:r w:rsidRPr="00563AE6">
        <w:rPr>
          <w:rFonts w:cs="mylotus"/>
          <w:sz w:val="23"/>
          <w:szCs w:val="23"/>
          <w:rtl/>
        </w:rPr>
        <w:footnoteRef/>
      </w:r>
      <w:r>
        <w:rPr>
          <w:rFonts w:cs="mylotus"/>
          <w:sz w:val="23"/>
          <w:szCs w:val="23"/>
          <w:rtl/>
        </w:rPr>
        <w:t>-</w:t>
      </w:r>
      <w:r w:rsidRPr="00563AE6">
        <w:rPr>
          <w:rFonts w:cs="mylotus" w:hint="cs"/>
          <w:sz w:val="23"/>
          <w:szCs w:val="23"/>
          <w:rtl/>
        </w:rPr>
        <w:t xml:space="preserve"> الكُلَيْنِيّ، </w:t>
      </w:r>
      <w:r w:rsidRPr="00563AE6">
        <w:rPr>
          <w:rFonts w:cs="mylotus"/>
          <w:sz w:val="23"/>
          <w:szCs w:val="23"/>
          <w:rtl/>
        </w:rPr>
        <w:t>أصول الكافي</w:t>
      </w:r>
      <w:r w:rsidRPr="00563AE6">
        <w:rPr>
          <w:rFonts w:cs="mylotus" w:hint="cs"/>
          <w:sz w:val="23"/>
          <w:szCs w:val="23"/>
          <w:rtl/>
        </w:rPr>
        <w:t>، ج 1،  ص 409. (المُتَرْجِمُ)</w:t>
      </w:r>
    </w:p>
  </w:footnote>
  <w:footnote w:id="365">
    <w:p w:rsidR="00B31118" w:rsidRPr="00563AE6" w:rsidRDefault="00B31118" w:rsidP="00B300C9">
      <w:pPr>
        <w:spacing w:line="228" w:lineRule="auto"/>
        <w:ind w:left="378" w:hanging="378"/>
        <w:jc w:val="both"/>
        <w:rPr>
          <w:rFonts w:cs="mylotus" w:hint="cs"/>
          <w:sz w:val="23"/>
          <w:szCs w:val="23"/>
        </w:rPr>
      </w:pPr>
      <w:r w:rsidRPr="00563AE6">
        <w:rPr>
          <w:rFonts w:cs="mylotus"/>
          <w:sz w:val="23"/>
          <w:szCs w:val="23"/>
          <w:rtl/>
        </w:rPr>
        <w:footnoteRef/>
      </w:r>
      <w:r>
        <w:rPr>
          <w:rFonts w:cs="mylotus"/>
          <w:sz w:val="23"/>
          <w:szCs w:val="23"/>
          <w:rtl/>
        </w:rPr>
        <w:t>-</w:t>
      </w:r>
      <w:r w:rsidRPr="00563AE6">
        <w:rPr>
          <w:rFonts w:cs="mylotus" w:hint="cs"/>
          <w:sz w:val="23"/>
          <w:szCs w:val="23"/>
          <w:rtl/>
        </w:rPr>
        <w:t xml:space="preserve"> </w:t>
      </w:r>
      <w:r w:rsidRPr="00563AE6">
        <w:rPr>
          <w:rFonts w:cs="mylotus"/>
          <w:sz w:val="23"/>
          <w:szCs w:val="23"/>
          <w:rtl/>
        </w:rPr>
        <w:t>الكُلَيْنِيّ، أصول الكافي، ج 1،  ص</w:t>
      </w:r>
      <w:r w:rsidRPr="00563AE6">
        <w:rPr>
          <w:rFonts w:cs="mylotus" w:hint="cs"/>
          <w:sz w:val="23"/>
          <w:szCs w:val="23"/>
          <w:rtl/>
        </w:rPr>
        <w:t xml:space="preserve"> </w:t>
      </w:r>
      <w:r w:rsidRPr="00563AE6">
        <w:rPr>
          <w:rFonts w:cs="mylotus"/>
          <w:sz w:val="23"/>
          <w:szCs w:val="23"/>
          <w:rtl/>
        </w:rPr>
        <w:t>408</w:t>
      </w:r>
      <w:r w:rsidRPr="00563AE6">
        <w:rPr>
          <w:rFonts w:cs="mylotus" w:hint="cs"/>
          <w:sz w:val="23"/>
          <w:szCs w:val="23"/>
          <w:rtl/>
        </w:rPr>
        <w:t>. (المُتَرْجِمُ)</w:t>
      </w:r>
    </w:p>
  </w:footnote>
  <w:footnote w:id="366">
    <w:p w:rsidR="00B31118" w:rsidRPr="00563AE6" w:rsidRDefault="00B31118" w:rsidP="00B300C9">
      <w:pPr>
        <w:spacing w:line="228" w:lineRule="auto"/>
        <w:ind w:left="378" w:hanging="378"/>
        <w:jc w:val="both"/>
        <w:rPr>
          <w:rFonts w:cs="mylotus" w:hint="cs"/>
          <w:sz w:val="23"/>
          <w:szCs w:val="23"/>
        </w:rPr>
      </w:pPr>
      <w:r w:rsidRPr="00563AE6">
        <w:rPr>
          <w:rFonts w:cs="mylotus"/>
          <w:sz w:val="23"/>
          <w:szCs w:val="23"/>
          <w:rtl/>
        </w:rPr>
        <w:footnoteRef/>
      </w:r>
      <w:r>
        <w:rPr>
          <w:rFonts w:cs="mylotus"/>
          <w:sz w:val="23"/>
          <w:szCs w:val="23"/>
          <w:rtl/>
        </w:rPr>
        <w:t>-</w:t>
      </w:r>
      <w:r w:rsidRPr="00563AE6">
        <w:rPr>
          <w:rFonts w:cs="mylotus" w:hint="cs"/>
          <w:sz w:val="23"/>
          <w:szCs w:val="23"/>
          <w:rtl/>
        </w:rPr>
        <w:t xml:space="preserve"> </w:t>
      </w:r>
      <w:r w:rsidRPr="00563AE6">
        <w:rPr>
          <w:rFonts w:cs="mylotus"/>
          <w:sz w:val="23"/>
          <w:szCs w:val="23"/>
          <w:rtl/>
        </w:rPr>
        <w:t>الكُلَيْنِيّ، أصول الكافي، ج 1،  ص</w:t>
      </w:r>
      <w:r w:rsidRPr="00563AE6">
        <w:rPr>
          <w:rFonts w:cs="mylotus" w:hint="cs"/>
          <w:sz w:val="23"/>
          <w:szCs w:val="23"/>
          <w:rtl/>
        </w:rPr>
        <w:t xml:space="preserve"> </w:t>
      </w:r>
      <w:r w:rsidRPr="00563AE6">
        <w:rPr>
          <w:rFonts w:cs="mylotus"/>
          <w:sz w:val="23"/>
          <w:szCs w:val="23"/>
          <w:rtl/>
        </w:rPr>
        <w:t>409.</w:t>
      </w:r>
      <w:r w:rsidRPr="00563AE6">
        <w:rPr>
          <w:rFonts w:cs="mylotus" w:hint="cs"/>
          <w:sz w:val="23"/>
          <w:szCs w:val="23"/>
          <w:rtl/>
        </w:rPr>
        <w:t xml:space="preserve"> (المُتَرْجِمُ)</w:t>
      </w:r>
    </w:p>
  </w:footnote>
  <w:footnote w:id="367">
    <w:p w:rsidR="00B31118" w:rsidRPr="00563AE6" w:rsidRDefault="00B31118" w:rsidP="00B300C9">
      <w:pPr>
        <w:spacing w:line="228" w:lineRule="auto"/>
        <w:ind w:left="378" w:hanging="378"/>
        <w:jc w:val="both"/>
        <w:rPr>
          <w:rFonts w:cs="mylotus" w:hint="cs"/>
          <w:sz w:val="23"/>
          <w:szCs w:val="23"/>
        </w:rPr>
      </w:pPr>
      <w:r w:rsidRPr="00563AE6">
        <w:rPr>
          <w:rFonts w:cs="mylotus"/>
          <w:sz w:val="23"/>
          <w:szCs w:val="23"/>
          <w:rtl/>
        </w:rPr>
        <w:footnoteRef/>
      </w:r>
      <w:r>
        <w:rPr>
          <w:rFonts w:cs="mylotus"/>
          <w:sz w:val="23"/>
          <w:szCs w:val="23"/>
          <w:rtl/>
        </w:rPr>
        <w:t>-</w:t>
      </w:r>
      <w:r w:rsidRPr="00563AE6">
        <w:rPr>
          <w:rFonts w:cs="mylotus" w:hint="cs"/>
          <w:sz w:val="23"/>
          <w:szCs w:val="23"/>
          <w:rtl/>
        </w:rPr>
        <w:t xml:space="preserve"> </w:t>
      </w:r>
      <w:r w:rsidRPr="00563AE6">
        <w:rPr>
          <w:rFonts w:cs="mylotus"/>
          <w:sz w:val="23"/>
          <w:szCs w:val="23"/>
          <w:rtl/>
        </w:rPr>
        <w:t>الكُلَيْنِيّ، أصول الكافي، ج 1،  ص 408</w:t>
      </w:r>
      <w:r w:rsidRPr="00563AE6">
        <w:rPr>
          <w:rFonts w:cs="mylotus" w:hint="cs"/>
          <w:sz w:val="23"/>
          <w:szCs w:val="23"/>
          <w:rtl/>
        </w:rPr>
        <w:t>. (المُتَرْجِمُ)</w:t>
      </w:r>
    </w:p>
  </w:footnote>
  <w:footnote w:id="368">
    <w:p w:rsidR="00B31118" w:rsidRPr="00563AE6" w:rsidRDefault="00B31118" w:rsidP="00B300C9">
      <w:pPr>
        <w:spacing w:line="228" w:lineRule="auto"/>
        <w:ind w:left="378" w:hanging="378"/>
        <w:jc w:val="both"/>
        <w:rPr>
          <w:rFonts w:cs="mylotus" w:hint="cs"/>
          <w:sz w:val="23"/>
          <w:szCs w:val="23"/>
        </w:rPr>
      </w:pPr>
      <w:r w:rsidRPr="00563AE6">
        <w:rPr>
          <w:rFonts w:cs="mylotus"/>
          <w:sz w:val="23"/>
          <w:szCs w:val="23"/>
          <w:rtl/>
        </w:rPr>
        <w:footnoteRef/>
      </w:r>
      <w:r>
        <w:rPr>
          <w:rFonts w:cs="mylotus"/>
          <w:sz w:val="23"/>
          <w:szCs w:val="23"/>
          <w:rtl/>
        </w:rPr>
        <w:t>-</w:t>
      </w:r>
      <w:r w:rsidRPr="00563AE6">
        <w:rPr>
          <w:rFonts w:cs="mylotus" w:hint="cs"/>
          <w:sz w:val="23"/>
          <w:szCs w:val="23"/>
          <w:rtl/>
        </w:rPr>
        <w:t xml:space="preserve"> </w:t>
      </w:r>
      <w:r w:rsidRPr="00563AE6">
        <w:rPr>
          <w:rFonts w:cs="mylotus"/>
          <w:sz w:val="23"/>
          <w:szCs w:val="23"/>
          <w:rtl/>
        </w:rPr>
        <w:t xml:space="preserve">الكُلَيْنِيّ، أصول الكافي، ج 1،  ص </w:t>
      </w:r>
      <w:r w:rsidRPr="00563AE6">
        <w:rPr>
          <w:rFonts w:cs="mylotus" w:hint="cs"/>
          <w:sz w:val="23"/>
          <w:szCs w:val="23"/>
          <w:rtl/>
        </w:rPr>
        <w:t>407</w:t>
      </w:r>
      <w:r w:rsidRPr="00563AE6">
        <w:rPr>
          <w:rFonts w:cs="mylotus"/>
          <w:sz w:val="23"/>
          <w:szCs w:val="23"/>
          <w:rtl/>
        </w:rPr>
        <w:t>.</w:t>
      </w:r>
      <w:r w:rsidRPr="00563AE6">
        <w:rPr>
          <w:rFonts w:cs="mylotus" w:hint="cs"/>
          <w:sz w:val="23"/>
          <w:szCs w:val="23"/>
          <w:rtl/>
        </w:rPr>
        <w:t xml:space="preserve"> (المُتَرْجِمُ)</w:t>
      </w:r>
    </w:p>
  </w:footnote>
  <w:footnote w:id="369">
    <w:p w:rsidR="00B31118" w:rsidRPr="00563AE6" w:rsidRDefault="00B31118" w:rsidP="00B300C9">
      <w:pPr>
        <w:spacing w:line="228" w:lineRule="auto"/>
        <w:ind w:left="378" w:hanging="378"/>
        <w:jc w:val="both"/>
        <w:rPr>
          <w:rFonts w:cs="mylotus" w:hint="cs"/>
          <w:sz w:val="23"/>
          <w:szCs w:val="23"/>
        </w:rPr>
      </w:pPr>
      <w:r w:rsidRPr="00563AE6">
        <w:rPr>
          <w:rFonts w:cs="mylotus"/>
          <w:sz w:val="23"/>
          <w:szCs w:val="23"/>
          <w:rtl/>
        </w:rPr>
        <w:footnoteRef/>
      </w:r>
      <w:r>
        <w:rPr>
          <w:rFonts w:cs="mylotus"/>
          <w:sz w:val="23"/>
          <w:szCs w:val="23"/>
          <w:rtl/>
        </w:rPr>
        <w:t>-</w:t>
      </w:r>
      <w:r w:rsidRPr="00563AE6">
        <w:rPr>
          <w:rFonts w:cs="mylotus" w:hint="cs"/>
          <w:sz w:val="23"/>
          <w:szCs w:val="23"/>
          <w:rtl/>
        </w:rPr>
        <w:t xml:space="preserve"> </w:t>
      </w:r>
      <w:r w:rsidRPr="00563AE6">
        <w:rPr>
          <w:rFonts w:cs="mylotus"/>
          <w:sz w:val="23"/>
          <w:szCs w:val="23"/>
          <w:rtl/>
        </w:rPr>
        <w:t>الحاج آقا رضا الهمداني</w:t>
      </w:r>
      <w:r w:rsidRPr="00563AE6">
        <w:rPr>
          <w:rFonts w:cs="mylotus" w:hint="cs"/>
          <w:sz w:val="23"/>
          <w:szCs w:val="23"/>
          <w:rtl/>
        </w:rPr>
        <w:t xml:space="preserve">، </w:t>
      </w:r>
      <w:r w:rsidRPr="00563AE6">
        <w:rPr>
          <w:rFonts w:cs="mylotus"/>
          <w:sz w:val="23"/>
          <w:szCs w:val="23"/>
          <w:rtl/>
        </w:rPr>
        <w:t>مصباح الفقيه</w:t>
      </w:r>
      <w:r w:rsidRPr="00563AE6">
        <w:rPr>
          <w:rFonts w:cs="mylotus" w:hint="cs"/>
          <w:sz w:val="23"/>
          <w:szCs w:val="23"/>
          <w:rtl/>
        </w:rPr>
        <w:t>، الطبعة الحجرية في 3 مجلدات من القطع الكبير، باب الخمس، ج3،  ص 108. (المُتَرْجِمُ)</w:t>
      </w:r>
    </w:p>
  </w:footnote>
  <w:footnote w:id="370">
    <w:p w:rsidR="00B31118" w:rsidRPr="00563AE6" w:rsidRDefault="00B31118" w:rsidP="00B300C9">
      <w:pPr>
        <w:spacing w:line="228" w:lineRule="auto"/>
        <w:ind w:left="378" w:hanging="378"/>
        <w:jc w:val="both"/>
        <w:rPr>
          <w:rFonts w:cs="mylotus" w:hint="cs"/>
          <w:sz w:val="23"/>
          <w:szCs w:val="23"/>
          <w:rtl/>
        </w:rPr>
      </w:pPr>
      <w:r w:rsidRPr="00563AE6">
        <w:rPr>
          <w:rFonts w:cs="mylotus"/>
          <w:sz w:val="23"/>
          <w:szCs w:val="23"/>
          <w:rtl/>
        </w:rPr>
        <w:footnoteRef/>
      </w:r>
      <w:r>
        <w:rPr>
          <w:rFonts w:cs="mylotus"/>
          <w:sz w:val="23"/>
          <w:szCs w:val="23"/>
          <w:rtl/>
        </w:rPr>
        <w:t>-</w:t>
      </w:r>
      <w:r w:rsidRPr="00563AE6">
        <w:rPr>
          <w:rFonts w:cs="mylotus" w:hint="cs"/>
          <w:sz w:val="23"/>
          <w:szCs w:val="23"/>
          <w:rtl/>
        </w:rPr>
        <w:t xml:space="preserve"> </w:t>
      </w:r>
      <w:r w:rsidRPr="00563AE6">
        <w:rPr>
          <w:rFonts w:cs="mylotus"/>
          <w:sz w:val="23"/>
          <w:szCs w:val="23"/>
          <w:rtl/>
        </w:rPr>
        <w:t xml:space="preserve">الحاج آقا رضا الهمداني، مصباح الفقيه، باب الخمس، ج3،  ص 108. </w:t>
      </w:r>
      <w:r w:rsidRPr="00563AE6">
        <w:rPr>
          <w:rFonts w:cs="mylotus" w:hint="cs"/>
          <w:sz w:val="23"/>
          <w:szCs w:val="23"/>
          <w:rtl/>
        </w:rPr>
        <w:t>(المُتَرْجِمُ)</w:t>
      </w:r>
    </w:p>
  </w:footnote>
  <w:footnote w:id="371">
    <w:p w:rsidR="00B31118" w:rsidRPr="00563AE6" w:rsidRDefault="00B31118" w:rsidP="00B300C9">
      <w:pPr>
        <w:spacing w:line="228" w:lineRule="auto"/>
        <w:ind w:left="378" w:hanging="378"/>
        <w:jc w:val="both"/>
        <w:rPr>
          <w:rFonts w:cs="mylotus" w:hint="cs"/>
          <w:sz w:val="23"/>
          <w:szCs w:val="23"/>
        </w:rPr>
      </w:pPr>
      <w:r w:rsidRPr="00563AE6">
        <w:rPr>
          <w:rFonts w:cs="mylotus"/>
          <w:sz w:val="23"/>
          <w:szCs w:val="23"/>
          <w:rtl/>
        </w:rPr>
        <w:footnoteRef/>
      </w:r>
      <w:r>
        <w:rPr>
          <w:rFonts w:cs="mylotus"/>
          <w:sz w:val="23"/>
          <w:szCs w:val="23"/>
          <w:rtl/>
        </w:rPr>
        <w:t>-</w:t>
      </w:r>
      <w:r w:rsidRPr="00563AE6">
        <w:rPr>
          <w:rFonts w:cs="mylotus" w:hint="cs"/>
          <w:sz w:val="23"/>
          <w:szCs w:val="23"/>
          <w:rtl/>
        </w:rPr>
        <w:t xml:space="preserve"> الكُلَيْنِيّ، </w:t>
      </w:r>
      <w:r w:rsidRPr="00563AE6">
        <w:rPr>
          <w:rFonts w:cs="mylotus"/>
          <w:sz w:val="23"/>
          <w:szCs w:val="23"/>
          <w:rtl/>
        </w:rPr>
        <w:t>أصول الكافي</w:t>
      </w:r>
      <w:r w:rsidRPr="00563AE6">
        <w:rPr>
          <w:rFonts w:cs="mylotus" w:hint="cs"/>
          <w:sz w:val="23"/>
          <w:szCs w:val="23"/>
          <w:rtl/>
        </w:rPr>
        <w:t xml:space="preserve">، </w:t>
      </w:r>
      <w:r w:rsidRPr="00563AE6">
        <w:rPr>
          <w:rFonts w:cs="mylotus"/>
          <w:sz w:val="23"/>
          <w:szCs w:val="23"/>
          <w:rtl/>
        </w:rPr>
        <w:t>ج 1</w:t>
      </w:r>
      <w:r w:rsidRPr="00563AE6">
        <w:rPr>
          <w:rFonts w:cs="mylotus" w:hint="cs"/>
          <w:sz w:val="23"/>
          <w:szCs w:val="23"/>
          <w:rtl/>
        </w:rPr>
        <w:t xml:space="preserve">، </w:t>
      </w:r>
      <w:r w:rsidRPr="00563AE6">
        <w:rPr>
          <w:rFonts w:cs="mylotus"/>
          <w:sz w:val="23"/>
          <w:szCs w:val="23"/>
          <w:rtl/>
        </w:rPr>
        <w:t>ص 410</w:t>
      </w:r>
      <w:r w:rsidRPr="00563AE6">
        <w:rPr>
          <w:rFonts w:cs="mylotus" w:hint="cs"/>
          <w:sz w:val="23"/>
          <w:szCs w:val="23"/>
          <w:rtl/>
        </w:rPr>
        <w:t>. (المُتَرْجِمُ)</w:t>
      </w:r>
    </w:p>
  </w:footnote>
  <w:footnote w:id="372">
    <w:p w:rsidR="00B31118" w:rsidRPr="00563AE6" w:rsidRDefault="00B31118" w:rsidP="00B300C9">
      <w:pPr>
        <w:pStyle w:val="FootnoteText"/>
        <w:spacing w:line="228" w:lineRule="auto"/>
        <w:ind w:left="378" w:hanging="378"/>
        <w:jc w:val="both"/>
        <w:rPr>
          <w:rFonts w:cs="mylotus" w:hint="cs"/>
          <w:sz w:val="23"/>
          <w:szCs w:val="23"/>
        </w:rPr>
      </w:pPr>
      <w:r w:rsidRPr="00563AE6">
        <w:rPr>
          <w:rFonts w:cs="mylotus"/>
          <w:sz w:val="23"/>
          <w:szCs w:val="23"/>
          <w:rtl/>
        </w:rPr>
        <w:footnoteRef/>
      </w:r>
      <w:r>
        <w:rPr>
          <w:rFonts w:cs="mylotus"/>
          <w:sz w:val="23"/>
          <w:szCs w:val="23"/>
          <w:rtl/>
        </w:rPr>
        <w:t>-</w:t>
      </w:r>
      <w:r w:rsidRPr="00563AE6">
        <w:rPr>
          <w:rFonts w:cs="mylotus" w:hint="cs"/>
          <w:sz w:val="23"/>
          <w:szCs w:val="23"/>
          <w:rtl/>
        </w:rPr>
        <w:t xml:space="preserve"> رجال ابن الغضائري، ج 5، ص 133.</w:t>
      </w:r>
    </w:p>
  </w:footnote>
  <w:footnote w:id="373">
    <w:p w:rsidR="00B31118" w:rsidRPr="00563AE6" w:rsidRDefault="00B31118" w:rsidP="00B300C9">
      <w:pPr>
        <w:pStyle w:val="FootnoteText"/>
        <w:spacing w:line="228" w:lineRule="auto"/>
        <w:ind w:left="378" w:hanging="378"/>
        <w:jc w:val="both"/>
        <w:rPr>
          <w:rFonts w:cs="mylotus" w:hint="cs"/>
          <w:sz w:val="23"/>
          <w:szCs w:val="23"/>
        </w:rPr>
      </w:pPr>
      <w:r w:rsidRPr="00563AE6">
        <w:rPr>
          <w:rFonts w:cs="mylotus"/>
          <w:sz w:val="23"/>
          <w:szCs w:val="23"/>
          <w:rtl/>
        </w:rPr>
        <w:footnoteRef/>
      </w:r>
      <w:r>
        <w:rPr>
          <w:rFonts w:cs="mylotus"/>
          <w:sz w:val="23"/>
          <w:szCs w:val="23"/>
          <w:rtl/>
        </w:rPr>
        <w:t>-</w:t>
      </w:r>
      <w:r w:rsidRPr="00563AE6">
        <w:rPr>
          <w:rFonts w:cs="mylotus"/>
          <w:sz w:val="23"/>
          <w:szCs w:val="23"/>
          <w:rtl/>
        </w:rPr>
        <w:t xml:space="preserve"> </w:t>
      </w:r>
      <w:r w:rsidRPr="00563AE6">
        <w:rPr>
          <w:rFonts w:cs="mylotus" w:hint="cs"/>
          <w:sz w:val="23"/>
          <w:szCs w:val="23"/>
          <w:rtl/>
        </w:rPr>
        <w:t xml:space="preserve">هو الشيخ عبد النبي </w:t>
      </w:r>
      <w:r w:rsidRPr="00563AE6">
        <w:rPr>
          <w:rFonts w:cs="mylotus"/>
          <w:sz w:val="23"/>
          <w:szCs w:val="23"/>
          <w:rtl/>
        </w:rPr>
        <w:t xml:space="preserve">بن سعد </w:t>
      </w:r>
      <w:r w:rsidRPr="00563AE6">
        <w:rPr>
          <w:rFonts w:cs="mylotus" w:hint="cs"/>
          <w:sz w:val="23"/>
          <w:szCs w:val="23"/>
          <w:rtl/>
        </w:rPr>
        <w:t>الجزائري</w:t>
      </w:r>
      <w:r w:rsidRPr="00563AE6">
        <w:rPr>
          <w:rFonts w:cs="mylotus"/>
          <w:sz w:val="23"/>
          <w:szCs w:val="23"/>
          <w:rtl/>
        </w:rPr>
        <w:t xml:space="preserve"> النجف</w:t>
      </w:r>
      <w:r w:rsidRPr="00563AE6">
        <w:rPr>
          <w:rFonts w:cs="mylotus" w:hint="cs"/>
          <w:sz w:val="23"/>
          <w:szCs w:val="23"/>
          <w:rtl/>
        </w:rPr>
        <w:t>ي</w:t>
      </w:r>
      <w:r w:rsidRPr="00563AE6">
        <w:rPr>
          <w:rFonts w:cs="mylotus"/>
          <w:sz w:val="23"/>
          <w:szCs w:val="23"/>
          <w:rtl/>
        </w:rPr>
        <w:t xml:space="preserve"> الحائر</w:t>
      </w:r>
      <w:r w:rsidRPr="00563AE6">
        <w:rPr>
          <w:rFonts w:cs="mylotus" w:hint="cs"/>
          <w:sz w:val="23"/>
          <w:szCs w:val="23"/>
          <w:rtl/>
        </w:rPr>
        <w:t>ي (</w:t>
      </w:r>
      <w:r w:rsidRPr="00563AE6">
        <w:rPr>
          <w:rFonts w:cs="mylotus"/>
          <w:sz w:val="23"/>
          <w:szCs w:val="23"/>
          <w:rtl/>
        </w:rPr>
        <w:t>1021</w:t>
      </w:r>
      <w:r w:rsidRPr="00563AE6">
        <w:rPr>
          <w:rFonts w:cs="mylotus" w:hint="cs"/>
          <w:sz w:val="23"/>
          <w:szCs w:val="23"/>
          <w:rtl/>
        </w:rPr>
        <w:t xml:space="preserve">هـ) مؤلف كتاب </w:t>
      </w:r>
      <w:r w:rsidRPr="00563AE6">
        <w:rPr>
          <w:rFonts w:cs="mylotus"/>
          <w:sz w:val="23"/>
          <w:szCs w:val="23"/>
          <w:rtl/>
        </w:rPr>
        <w:t>«</w:t>
      </w:r>
      <w:r w:rsidRPr="00563AE6">
        <w:rPr>
          <w:rFonts w:cs="mylotus" w:hint="cs"/>
          <w:sz w:val="23"/>
          <w:szCs w:val="23"/>
          <w:rtl/>
        </w:rPr>
        <w:t>الحاوي في الرجال</w:t>
      </w:r>
      <w:r w:rsidRPr="00563AE6">
        <w:rPr>
          <w:rFonts w:cs="mylotus"/>
          <w:sz w:val="23"/>
          <w:szCs w:val="23"/>
          <w:rtl/>
        </w:rPr>
        <w:t>»</w:t>
      </w:r>
      <w:r w:rsidRPr="00563AE6">
        <w:rPr>
          <w:rFonts w:cs="mylotus" w:hint="cs"/>
          <w:sz w:val="23"/>
          <w:szCs w:val="23"/>
          <w:rtl/>
        </w:rPr>
        <w:t>. (المُتَرْجِمُ)</w:t>
      </w:r>
    </w:p>
  </w:footnote>
  <w:footnote w:id="374">
    <w:p w:rsidR="00B31118" w:rsidRPr="00563AE6" w:rsidRDefault="00B31118" w:rsidP="00B300C9">
      <w:pPr>
        <w:pStyle w:val="FootnoteText"/>
        <w:spacing w:line="228" w:lineRule="auto"/>
        <w:ind w:left="378" w:hanging="378"/>
        <w:jc w:val="both"/>
        <w:rPr>
          <w:rFonts w:cs="mylotus" w:hint="cs"/>
          <w:sz w:val="23"/>
          <w:szCs w:val="23"/>
          <w:rtl/>
        </w:rPr>
      </w:pPr>
      <w:r w:rsidRPr="00563AE6">
        <w:rPr>
          <w:rFonts w:cs="mylotus"/>
          <w:sz w:val="23"/>
          <w:szCs w:val="23"/>
          <w:rtl/>
        </w:rPr>
        <w:footnoteRef/>
      </w:r>
      <w:r>
        <w:rPr>
          <w:rFonts w:cs="mylotus"/>
          <w:sz w:val="23"/>
          <w:szCs w:val="23"/>
          <w:rtl/>
        </w:rPr>
        <w:t>-</w:t>
      </w:r>
      <w:r w:rsidRPr="00563AE6">
        <w:rPr>
          <w:rFonts w:cs="mylotus"/>
          <w:sz w:val="23"/>
          <w:szCs w:val="23"/>
          <w:rtl/>
        </w:rPr>
        <w:t xml:space="preserve"> </w:t>
      </w:r>
      <w:r w:rsidRPr="00563AE6">
        <w:rPr>
          <w:rFonts w:cs="mylotus" w:hint="cs"/>
          <w:sz w:val="23"/>
          <w:szCs w:val="23"/>
          <w:rtl/>
        </w:rPr>
        <w:t>رجال الكشي، ص 444-445. (المُتَرْجِمُ)</w:t>
      </w:r>
    </w:p>
  </w:footnote>
  <w:footnote w:id="375">
    <w:p w:rsidR="00B31118" w:rsidRPr="00563AE6" w:rsidRDefault="00B31118" w:rsidP="00B300C9">
      <w:pPr>
        <w:pStyle w:val="FootnoteText"/>
        <w:spacing w:line="228" w:lineRule="auto"/>
        <w:ind w:left="378" w:hanging="378"/>
        <w:jc w:val="both"/>
        <w:rPr>
          <w:rFonts w:cs="mylotus" w:hint="cs"/>
          <w:sz w:val="23"/>
          <w:szCs w:val="23"/>
          <w:rtl/>
        </w:rPr>
      </w:pPr>
      <w:r w:rsidRPr="00563AE6">
        <w:rPr>
          <w:rFonts w:cs="mylotus"/>
          <w:sz w:val="23"/>
          <w:szCs w:val="23"/>
          <w:rtl/>
        </w:rPr>
        <w:footnoteRef/>
      </w:r>
      <w:r>
        <w:rPr>
          <w:rFonts w:cs="mylotus"/>
          <w:sz w:val="23"/>
          <w:szCs w:val="23"/>
          <w:rtl/>
        </w:rPr>
        <w:t>-</w:t>
      </w:r>
      <w:r w:rsidRPr="00563AE6">
        <w:rPr>
          <w:rFonts w:cs="mylotus" w:hint="cs"/>
          <w:sz w:val="23"/>
          <w:szCs w:val="23"/>
          <w:rtl/>
        </w:rPr>
        <w:t xml:space="preserve"> رجال الكشي، ص 404. (المُتَرْجِمُ)</w:t>
      </w:r>
    </w:p>
  </w:footnote>
  <w:footnote w:id="376">
    <w:p w:rsidR="00B31118" w:rsidRPr="00563AE6" w:rsidRDefault="00B31118" w:rsidP="00B300C9">
      <w:pPr>
        <w:pStyle w:val="FootnoteText"/>
        <w:spacing w:line="228" w:lineRule="auto"/>
        <w:ind w:left="378" w:hanging="378"/>
        <w:jc w:val="both"/>
        <w:rPr>
          <w:rFonts w:cs="mylotus" w:hint="cs"/>
          <w:sz w:val="23"/>
          <w:szCs w:val="23"/>
          <w:rtl/>
        </w:rPr>
      </w:pPr>
      <w:r w:rsidRPr="00563AE6">
        <w:rPr>
          <w:rFonts w:cs="mylotus"/>
          <w:sz w:val="23"/>
          <w:szCs w:val="23"/>
          <w:rtl/>
        </w:rPr>
        <w:footnoteRef/>
      </w:r>
      <w:r>
        <w:rPr>
          <w:rFonts w:cs="mylotus"/>
          <w:sz w:val="23"/>
          <w:szCs w:val="23"/>
          <w:rtl/>
        </w:rPr>
        <w:t>-</w:t>
      </w:r>
      <w:r w:rsidRPr="00563AE6">
        <w:rPr>
          <w:rFonts w:cs="mylotus" w:hint="cs"/>
          <w:sz w:val="23"/>
          <w:szCs w:val="23"/>
          <w:rtl/>
        </w:rPr>
        <w:t xml:space="preserve"> رجال الكشي، ص 444. (المُتَرْجِمُ)</w:t>
      </w:r>
    </w:p>
  </w:footnote>
  <w:footnote w:id="377">
    <w:p w:rsidR="00B31118" w:rsidRPr="00563AE6" w:rsidRDefault="00B31118" w:rsidP="00B300C9">
      <w:pPr>
        <w:pStyle w:val="FootnoteText"/>
        <w:spacing w:line="228" w:lineRule="auto"/>
        <w:ind w:left="378" w:hanging="378"/>
        <w:jc w:val="both"/>
        <w:rPr>
          <w:rFonts w:cs="mylotus" w:hint="cs"/>
          <w:sz w:val="23"/>
          <w:szCs w:val="23"/>
        </w:rPr>
      </w:pPr>
      <w:r w:rsidRPr="00563AE6">
        <w:rPr>
          <w:rFonts w:cs="mylotus"/>
          <w:sz w:val="23"/>
          <w:szCs w:val="23"/>
          <w:rtl/>
        </w:rPr>
        <w:footnoteRef/>
      </w:r>
      <w:r>
        <w:rPr>
          <w:rFonts w:cs="mylotus"/>
          <w:sz w:val="23"/>
          <w:szCs w:val="23"/>
          <w:rtl/>
        </w:rPr>
        <w:t>-</w:t>
      </w:r>
      <w:r w:rsidRPr="00563AE6">
        <w:rPr>
          <w:rFonts w:cs="mylotus" w:hint="cs"/>
          <w:sz w:val="23"/>
          <w:szCs w:val="23"/>
          <w:rtl/>
        </w:rPr>
        <w:t xml:space="preserve"> الشيخ الطوسي، الفهرست، ص 140 - 141.</w:t>
      </w:r>
    </w:p>
  </w:footnote>
  <w:footnote w:id="378">
    <w:p w:rsidR="00B31118" w:rsidRPr="00563AE6" w:rsidRDefault="00B31118" w:rsidP="00B300C9">
      <w:pPr>
        <w:pStyle w:val="FootnoteText"/>
        <w:spacing w:line="228" w:lineRule="auto"/>
        <w:ind w:left="378" w:hanging="378"/>
        <w:jc w:val="both"/>
        <w:rPr>
          <w:rFonts w:cs="mylotus" w:hint="cs"/>
          <w:sz w:val="23"/>
          <w:szCs w:val="23"/>
          <w:rtl/>
        </w:rPr>
      </w:pPr>
      <w:r w:rsidRPr="00563AE6">
        <w:rPr>
          <w:rFonts w:cs="mylotus"/>
          <w:sz w:val="23"/>
          <w:szCs w:val="23"/>
          <w:rtl/>
        </w:rPr>
        <w:footnoteRef/>
      </w:r>
      <w:r>
        <w:rPr>
          <w:rFonts w:cs="mylotus"/>
          <w:sz w:val="23"/>
          <w:szCs w:val="23"/>
          <w:rtl/>
        </w:rPr>
        <w:t>-</w:t>
      </w:r>
      <w:r w:rsidRPr="00563AE6">
        <w:rPr>
          <w:rFonts w:cs="mylotus" w:hint="cs"/>
          <w:sz w:val="23"/>
          <w:szCs w:val="23"/>
          <w:rtl/>
        </w:rPr>
        <w:t xml:space="preserve"> </w:t>
      </w:r>
      <w:r w:rsidRPr="00563AE6">
        <w:rPr>
          <w:rFonts w:cs="mylotus"/>
          <w:sz w:val="23"/>
          <w:szCs w:val="23"/>
          <w:rtl/>
        </w:rPr>
        <w:t>المامقاني</w:t>
      </w:r>
      <w:r w:rsidRPr="00563AE6">
        <w:rPr>
          <w:rFonts w:cs="mylotus" w:hint="cs"/>
          <w:sz w:val="23"/>
          <w:szCs w:val="23"/>
          <w:rtl/>
        </w:rPr>
        <w:t xml:space="preserve">، </w:t>
      </w:r>
      <w:r w:rsidRPr="00563AE6">
        <w:rPr>
          <w:rFonts w:cs="mylotus"/>
          <w:sz w:val="23"/>
          <w:szCs w:val="23"/>
          <w:rtl/>
        </w:rPr>
        <w:t>تنقيح المقال</w:t>
      </w:r>
      <w:r w:rsidRPr="00563AE6">
        <w:rPr>
          <w:rFonts w:cs="mylotus" w:hint="cs"/>
          <w:sz w:val="23"/>
          <w:szCs w:val="23"/>
          <w:rtl/>
        </w:rPr>
        <w:t xml:space="preserve">، </w:t>
      </w:r>
      <w:r w:rsidRPr="00563AE6">
        <w:rPr>
          <w:rFonts w:cs="mylotus"/>
          <w:sz w:val="23"/>
          <w:szCs w:val="23"/>
          <w:rtl/>
        </w:rPr>
        <w:t>ج3، ص167</w:t>
      </w:r>
      <w:r w:rsidRPr="00563AE6">
        <w:rPr>
          <w:rFonts w:cs="mylotus" w:hint="cs"/>
          <w:sz w:val="23"/>
          <w:szCs w:val="23"/>
          <w:rtl/>
        </w:rPr>
        <w:t>.</w:t>
      </w:r>
    </w:p>
  </w:footnote>
  <w:footnote w:id="379">
    <w:p w:rsidR="00B31118" w:rsidRPr="00563AE6" w:rsidRDefault="00B31118" w:rsidP="00B300C9">
      <w:pPr>
        <w:pStyle w:val="FootnoteText"/>
        <w:spacing w:line="228" w:lineRule="auto"/>
        <w:ind w:left="378" w:hanging="378"/>
        <w:jc w:val="both"/>
        <w:rPr>
          <w:rFonts w:cs="mylotus" w:hint="cs"/>
          <w:sz w:val="23"/>
          <w:szCs w:val="23"/>
          <w:rtl/>
        </w:rPr>
      </w:pPr>
      <w:r w:rsidRPr="00563AE6">
        <w:rPr>
          <w:rFonts w:cs="mylotus"/>
          <w:sz w:val="23"/>
          <w:szCs w:val="23"/>
          <w:rtl/>
        </w:rPr>
        <w:footnoteRef/>
      </w:r>
      <w:r>
        <w:rPr>
          <w:rFonts w:cs="mylotus"/>
          <w:sz w:val="23"/>
          <w:szCs w:val="23"/>
          <w:rtl/>
        </w:rPr>
        <w:t>-</w:t>
      </w:r>
      <w:r w:rsidRPr="00563AE6">
        <w:rPr>
          <w:rFonts w:cs="mylotus" w:hint="cs"/>
          <w:sz w:val="23"/>
          <w:szCs w:val="23"/>
          <w:rtl/>
        </w:rPr>
        <w:t xml:space="preserve"> </w:t>
      </w:r>
      <w:r w:rsidRPr="00563AE6">
        <w:rPr>
          <w:rFonts w:cs="mylotus"/>
          <w:sz w:val="23"/>
          <w:szCs w:val="23"/>
          <w:rtl/>
        </w:rPr>
        <w:t>المامقاني</w:t>
      </w:r>
      <w:r w:rsidRPr="00563AE6">
        <w:rPr>
          <w:rFonts w:cs="mylotus" w:hint="cs"/>
          <w:sz w:val="23"/>
          <w:szCs w:val="23"/>
          <w:rtl/>
        </w:rPr>
        <w:t xml:space="preserve">، </w:t>
      </w:r>
      <w:r w:rsidRPr="00563AE6">
        <w:rPr>
          <w:rFonts w:cs="mylotus"/>
          <w:sz w:val="23"/>
          <w:szCs w:val="23"/>
          <w:rtl/>
        </w:rPr>
        <w:t>تنقيح المقال</w:t>
      </w:r>
      <w:r w:rsidRPr="00563AE6">
        <w:rPr>
          <w:rFonts w:cs="mylotus" w:hint="cs"/>
          <w:sz w:val="23"/>
          <w:szCs w:val="23"/>
          <w:rtl/>
        </w:rPr>
        <w:t xml:space="preserve">، </w:t>
      </w:r>
      <w:r w:rsidRPr="00563AE6">
        <w:rPr>
          <w:rFonts w:cs="mylotus"/>
          <w:sz w:val="23"/>
          <w:szCs w:val="23"/>
          <w:rtl/>
        </w:rPr>
        <w:t>ج3، ص</w:t>
      </w:r>
      <w:r w:rsidRPr="00563AE6">
        <w:rPr>
          <w:rFonts w:cs="mylotus" w:hint="cs"/>
          <w:sz w:val="23"/>
          <w:szCs w:val="23"/>
          <w:rtl/>
        </w:rPr>
        <w:t>233.</w:t>
      </w:r>
    </w:p>
  </w:footnote>
  <w:footnote w:id="380">
    <w:p w:rsidR="00B31118" w:rsidRPr="00563AE6" w:rsidRDefault="00B31118" w:rsidP="00B300C9">
      <w:pPr>
        <w:pStyle w:val="FootnoteText"/>
        <w:spacing w:line="228" w:lineRule="auto"/>
        <w:ind w:left="378" w:hanging="378"/>
        <w:jc w:val="both"/>
        <w:rPr>
          <w:rFonts w:cs="mylotus" w:hint="cs"/>
          <w:sz w:val="23"/>
          <w:szCs w:val="23"/>
          <w:rtl/>
        </w:rPr>
      </w:pPr>
      <w:r w:rsidRPr="00563AE6">
        <w:rPr>
          <w:rFonts w:cs="mylotus"/>
          <w:sz w:val="23"/>
          <w:szCs w:val="23"/>
          <w:rtl/>
        </w:rPr>
        <w:footnoteRef/>
      </w:r>
      <w:r>
        <w:rPr>
          <w:rFonts w:cs="mylotus"/>
          <w:sz w:val="23"/>
          <w:szCs w:val="23"/>
          <w:rtl/>
        </w:rPr>
        <w:t>-</w:t>
      </w:r>
      <w:r w:rsidRPr="00563AE6">
        <w:rPr>
          <w:rFonts w:cs="mylotus" w:hint="cs"/>
          <w:sz w:val="23"/>
          <w:szCs w:val="23"/>
          <w:rtl/>
        </w:rPr>
        <w:t xml:space="preserve"> المجلسي، مرآة العقول، ج1، ص307.</w:t>
      </w:r>
    </w:p>
  </w:footnote>
  <w:footnote w:id="381">
    <w:p w:rsidR="00B31118" w:rsidRPr="00563AE6" w:rsidRDefault="00B31118" w:rsidP="00B300C9">
      <w:pPr>
        <w:pStyle w:val="FootnoteText"/>
        <w:spacing w:line="228" w:lineRule="auto"/>
        <w:jc w:val="both"/>
        <w:rPr>
          <w:rFonts w:cs="mylotus" w:hint="cs"/>
          <w:sz w:val="23"/>
          <w:szCs w:val="23"/>
          <w:rtl/>
          <w:lang w:bidi="ar-SY"/>
        </w:rPr>
      </w:pPr>
      <w:r w:rsidRPr="00563AE6">
        <w:rPr>
          <w:rStyle w:val="FootnoteReference"/>
          <w:rFonts w:cs="mylotus"/>
          <w:sz w:val="23"/>
          <w:szCs w:val="23"/>
          <w:vertAlign w:val="baseline"/>
          <w:rtl/>
          <w:lang w:bidi="ar-SY"/>
        </w:rPr>
        <w:footnoteRef/>
      </w:r>
      <w:r>
        <w:rPr>
          <w:rFonts w:cs="mylotus"/>
          <w:sz w:val="23"/>
          <w:szCs w:val="23"/>
          <w:rtl/>
          <w:lang w:bidi="ar-SY"/>
        </w:rPr>
        <w:t>-</w:t>
      </w:r>
      <w:r w:rsidRPr="00563AE6">
        <w:rPr>
          <w:rFonts w:cs="mylotus" w:hint="cs"/>
          <w:sz w:val="23"/>
          <w:szCs w:val="23"/>
          <w:rtl/>
          <w:lang w:bidi="ar-SY"/>
        </w:rPr>
        <w:t xml:space="preserve"> رجال النجاشي، ص 287.</w:t>
      </w:r>
    </w:p>
  </w:footnote>
  <w:footnote w:id="382">
    <w:p w:rsidR="00B31118" w:rsidRPr="00563AE6" w:rsidRDefault="00B31118" w:rsidP="00B300C9">
      <w:pPr>
        <w:pStyle w:val="FootnoteText"/>
        <w:spacing w:line="228" w:lineRule="auto"/>
        <w:jc w:val="both"/>
        <w:rPr>
          <w:rFonts w:cs="mylotus" w:hint="cs"/>
          <w:sz w:val="23"/>
          <w:szCs w:val="23"/>
          <w:rtl/>
          <w:lang w:bidi="ar-SY"/>
        </w:rPr>
      </w:pPr>
      <w:r w:rsidRPr="00563AE6">
        <w:rPr>
          <w:rStyle w:val="FootnoteReference"/>
          <w:rFonts w:cs="mylotus"/>
          <w:sz w:val="23"/>
          <w:szCs w:val="23"/>
          <w:vertAlign w:val="baseline"/>
          <w:rtl/>
          <w:lang w:bidi="ar-SY"/>
        </w:rPr>
        <w:footnoteRef/>
      </w:r>
      <w:r>
        <w:rPr>
          <w:rFonts w:cs="mylotus"/>
          <w:sz w:val="23"/>
          <w:szCs w:val="23"/>
          <w:rtl/>
          <w:lang w:bidi="ar-SY"/>
        </w:rPr>
        <w:t>-</w:t>
      </w:r>
      <w:r w:rsidRPr="00563AE6">
        <w:rPr>
          <w:rFonts w:cs="mylotus" w:hint="cs"/>
          <w:sz w:val="23"/>
          <w:szCs w:val="23"/>
          <w:rtl/>
          <w:lang w:bidi="ar-SY"/>
        </w:rPr>
        <w:t xml:space="preserve"> رجال ابن الغضائري، ج 4، ص 305.</w:t>
      </w:r>
    </w:p>
  </w:footnote>
  <w:footnote w:id="383">
    <w:p w:rsidR="00B31118" w:rsidRPr="00563AE6" w:rsidRDefault="00B31118" w:rsidP="00B300C9">
      <w:pPr>
        <w:pStyle w:val="FootnoteText"/>
        <w:spacing w:line="228" w:lineRule="auto"/>
        <w:ind w:left="378" w:hanging="378"/>
        <w:jc w:val="both"/>
        <w:rPr>
          <w:rFonts w:cs="mylotus" w:hint="cs"/>
          <w:sz w:val="23"/>
          <w:szCs w:val="23"/>
        </w:rPr>
      </w:pPr>
      <w:r w:rsidRPr="00563AE6">
        <w:rPr>
          <w:rFonts w:cs="mylotus"/>
          <w:sz w:val="23"/>
          <w:szCs w:val="23"/>
          <w:rtl/>
        </w:rPr>
        <w:footnoteRef/>
      </w:r>
      <w:r>
        <w:rPr>
          <w:rFonts w:cs="mylotus"/>
          <w:sz w:val="23"/>
          <w:szCs w:val="23"/>
          <w:rtl/>
        </w:rPr>
        <w:t>-</w:t>
      </w:r>
      <w:r w:rsidRPr="00563AE6">
        <w:rPr>
          <w:rFonts w:cs="mylotus" w:hint="cs"/>
          <w:sz w:val="23"/>
          <w:szCs w:val="23"/>
          <w:rtl/>
        </w:rPr>
        <w:t xml:space="preserve"> العلامة الحلي، </w:t>
      </w:r>
      <w:r w:rsidRPr="00563AE6">
        <w:rPr>
          <w:rFonts w:cs="mylotus"/>
          <w:sz w:val="23"/>
          <w:szCs w:val="23"/>
          <w:rtl/>
        </w:rPr>
        <w:t>خلاصة الأقوال في معرفة الرجال</w:t>
      </w:r>
      <w:r w:rsidRPr="00563AE6">
        <w:rPr>
          <w:rFonts w:cs="mylotus" w:hint="cs"/>
          <w:sz w:val="23"/>
          <w:szCs w:val="23"/>
          <w:rtl/>
        </w:rPr>
        <w:t>، ص 241.</w:t>
      </w:r>
    </w:p>
  </w:footnote>
  <w:footnote w:id="384">
    <w:p w:rsidR="00B31118" w:rsidRPr="00563AE6" w:rsidRDefault="00B31118" w:rsidP="00B300C9">
      <w:pPr>
        <w:pStyle w:val="FootnoteText"/>
        <w:spacing w:line="228" w:lineRule="auto"/>
        <w:ind w:left="378" w:hanging="378"/>
        <w:jc w:val="both"/>
        <w:rPr>
          <w:rFonts w:cs="mylotus" w:hint="cs"/>
          <w:sz w:val="23"/>
          <w:szCs w:val="23"/>
          <w:rtl/>
        </w:rPr>
      </w:pPr>
      <w:r w:rsidRPr="00563AE6">
        <w:rPr>
          <w:rFonts w:cs="mylotus"/>
          <w:sz w:val="23"/>
          <w:szCs w:val="23"/>
          <w:rtl/>
        </w:rPr>
        <w:footnoteRef/>
      </w:r>
      <w:r>
        <w:rPr>
          <w:rFonts w:cs="mylotus"/>
          <w:sz w:val="23"/>
          <w:szCs w:val="23"/>
          <w:rtl/>
        </w:rPr>
        <w:t>-</w:t>
      </w:r>
      <w:r w:rsidRPr="00563AE6">
        <w:rPr>
          <w:rFonts w:cs="mylotus"/>
          <w:sz w:val="23"/>
          <w:szCs w:val="23"/>
          <w:rtl/>
        </w:rPr>
        <w:t xml:space="preserve"> </w:t>
      </w:r>
      <w:r w:rsidRPr="00563AE6">
        <w:rPr>
          <w:rFonts w:cs="mylotus" w:hint="cs"/>
          <w:sz w:val="23"/>
          <w:szCs w:val="23"/>
          <w:rtl/>
        </w:rPr>
        <w:t xml:space="preserve">لم أجد هذا في النسخة المطبوعة من رجال الكشي، ولكن وجدت أن المجلسي روى </w:t>
      </w:r>
      <w:r w:rsidRPr="00563AE6">
        <w:rPr>
          <w:rFonts w:cs="mylotus"/>
          <w:sz w:val="23"/>
          <w:szCs w:val="23"/>
          <w:rtl/>
        </w:rPr>
        <w:t>في البحار روايةً نسبها إلى الكشيّ في رجاله وفي سندها «عمرو بن شمر» يروي</w:t>
      </w:r>
      <w:r w:rsidRPr="00563AE6">
        <w:rPr>
          <w:rFonts w:cs="mylotus" w:hint="cs"/>
          <w:sz w:val="23"/>
          <w:szCs w:val="23"/>
          <w:rtl/>
        </w:rPr>
        <w:t>ها</w:t>
      </w:r>
      <w:r w:rsidRPr="00563AE6">
        <w:rPr>
          <w:rFonts w:cs="mylotus"/>
          <w:sz w:val="23"/>
          <w:szCs w:val="23"/>
          <w:rtl/>
        </w:rPr>
        <w:t xml:space="preserve"> عن جابر بن يزيد، ثم قال في آخر الرواية: «هَذَا حَدِيثٌ مَوْضُوعٌ لَا شَكَّ فِي كَذِبِهِ ورُوَاتُهُ كُلُّهُمْ مُتَّهَمُونَ بِالْغُلُوِّ والتَّفْوِيض»</w:t>
      </w:r>
      <w:r w:rsidRPr="00563AE6">
        <w:rPr>
          <w:rFonts w:cs="mylotus" w:hint="cs"/>
          <w:sz w:val="23"/>
          <w:szCs w:val="23"/>
          <w:rtl/>
        </w:rPr>
        <w:t xml:space="preserve"> وقال المجلسي معقِّباً: «</w:t>
      </w:r>
      <w:r w:rsidRPr="00563AE6">
        <w:rPr>
          <w:rFonts w:cs="mylotus"/>
          <w:sz w:val="23"/>
          <w:szCs w:val="23"/>
          <w:rtl/>
        </w:rPr>
        <w:t>بيان</w:t>
      </w:r>
      <w:r w:rsidRPr="00563AE6">
        <w:rPr>
          <w:rFonts w:cs="mylotus" w:hint="cs"/>
          <w:sz w:val="23"/>
          <w:szCs w:val="23"/>
          <w:rtl/>
        </w:rPr>
        <w:t>ٌ:</w:t>
      </w:r>
      <w:r w:rsidRPr="00563AE6">
        <w:rPr>
          <w:rFonts w:cs="mylotus"/>
          <w:sz w:val="23"/>
          <w:szCs w:val="23"/>
          <w:rtl/>
        </w:rPr>
        <w:t xml:space="preserve"> قوله </w:t>
      </w:r>
      <w:r w:rsidRPr="00563AE6">
        <w:rPr>
          <w:rFonts w:ascii="Lotus Linotype" w:hAnsi="Lotus Linotype" w:cs="mylotus"/>
          <w:sz w:val="23"/>
          <w:szCs w:val="23"/>
          <w:rtl/>
        </w:rPr>
        <w:t>«</w:t>
      </w:r>
      <w:r w:rsidRPr="00563AE6">
        <w:rPr>
          <w:rFonts w:cs="mylotus"/>
          <w:sz w:val="23"/>
          <w:szCs w:val="23"/>
          <w:rtl/>
        </w:rPr>
        <w:t>هذا حديث موضوع</w:t>
      </w:r>
      <w:r w:rsidRPr="00563AE6">
        <w:rPr>
          <w:rFonts w:cs="mylotus" w:hint="cs"/>
          <w:sz w:val="23"/>
          <w:szCs w:val="23"/>
          <w:rtl/>
        </w:rPr>
        <w:t>ٌ..</w:t>
      </w:r>
      <w:r w:rsidRPr="00563AE6">
        <w:rPr>
          <w:rFonts w:cs="mylotus"/>
          <w:sz w:val="23"/>
          <w:szCs w:val="23"/>
          <w:rtl/>
        </w:rPr>
        <w:t xml:space="preserve"> </w:t>
      </w:r>
      <w:r w:rsidRPr="00563AE6">
        <w:rPr>
          <w:rFonts w:ascii="Lotus Linotype" w:hAnsi="Lotus Linotype" w:cs="mylotus"/>
          <w:sz w:val="23"/>
          <w:szCs w:val="23"/>
          <w:rtl/>
        </w:rPr>
        <w:t>»</w:t>
      </w:r>
      <w:r w:rsidRPr="00563AE6">
        <w:rPr>
          <w:rFonts w:ascii="Lotus Linotype" w:hAnsi="Lotus Linotype" w:cs="mylotus" w:hint="cs"/>
          <w:sz w:val="23"/>
          <w:szCs w:val="23"/>
          <w:rtl/>
        </w:rPr>
        <w:t xml:space="preserve"> </w:t>
      </w:r>
      <w:r w:rsidRPr="00563AE6">
        <w:rPr>
          <w:rFonts w:cs="mylotus"/>
          <w:sz w:val="23"/>
          <w:szCs w:val="23"/>
          <w:rtl/>
        </w:rPr>
        <w:t>كلام الكشي أو الشيخ</w:t>
      </w:r>
      <w:r w:rsidRPr="00563AE6">
        <w:rPr>
          <w:rFonts w:cs="mylotus" w:hint="cs"/>
          <w:sz w:val="23"/>
          <w:szCs w:val="23"/>
          <w:rtl/>
        </w:rPr>
        <w:t>،</w:t>
      </w:r>
      <w:r w:rsidRPr="00563AE6">
        <w:rPr>
          <w:rFonts w:cs="mylotus"/>
          <w:sz w:val="23"/>
          <w:szCs w:val="23"/>
          <w:rtl/>
        </w:rPr>
        <w:t xml:space="preserve"> لأنه موجود في اختياره ولا ريب في كونه موضوعا</w:t>
      </w:r>
      <w:r w:rsidRPr="00563AE6">
        <w:rPr>
          <w:rFonts w:cs="mylotus" w:hint="cs"/>
          <w:sz w:val="23"/>
          <w:szCs w:val="23"/>
          <w:rtl/>
        </w:rPr>
        <w:t>ً</w:t>
      </w:r>
      <w:r w:rsidRPr="00563AE6">
        <w:rPr>
          <w:rFonts w:cs="mylotus"/>
          <w:sz w:val="23"/>
          <w:szCs w:val="23"/>
          <w:rtl/>
        </w:rPr>
        <w:t xml:space="preserve"> وهو مشتمل على القول بالتناسخ والتشويش في ألفاظه ومعانيه فلهذا لم نتعر</w:t>
      </w:r>
      <w:r w:rsidRPr="00563AE6">
        <w:rPr>
          <w:rFonts w:cs="mylotus" w:hint="cs"/>
          <w:sz w:val="23"/>
          <w:szCs w:val="23"/>
          <w:rtl/>
        </w:rPr>
        <w:t>َّ</w:t>
      </w:r>
      <w:r w:rsidRPr="00563AE6">
        <w:rPr>
          <w:rFonts w:cs="mylotus"/>
          <w:sz w:val="23"/>
          <w:szCs w:val="23"/>
          <w:rtl/>
        </w:rPr>
        <w:t>ض لش</w:t>
      </w:r>
      <w:r w:rsidRPr="00563AE6">
        <w:rPr>
          <w:rFonts w:cs="mylotus" w:hint="cs"/>
          <w:sz w:val="23"/>
          <w:szCs w:val="23"/>
          <w:rtl/>
        </w:rPr>
        <w:t>ـ</w:t>
      </w:r>
      <w:r w:rsidRPr="00563AE6">
        <w:rPr>
          <w:rFonts w:cs="mylotus"/>
          <w:sz w:val="23"/>
          <w:szCs w:val="23"/>
          <w:rtl/>
        </w:rPr>
        <w:t>رحه‏</w:t>
      </w:r>
      <w:r w:rsidRPr="00563AE6">
        <w:rPr>
          <w:rFonts w:cs="mylotus" w:hint="cs"/>
          <w:sz w:val="23"/>
          <w:szCs w:val="23"/>
          <w:rtl/>
        </w:rPr>
        <w:t>». بحار الأنوار، ج66، ص 280، من طبعة بيروت،1404هـ. (المُتَرْجِمُ)</w:t>
      </w:r>
    </w:p>
  </w:footnote>
  <w:footnote w:id="385">
    <w:p w:rsidR="00B31118" w:rsidRPr="00563AE6" w:rsidRDefault="00B31118" w:rsidP="00B300C9">
      <w:pPr>
        <w:pStyle w:val="FootnoteText"/>
        <w:spacing w:line="228" w:lineRule="auto"/>
        <w:ind w:left="378" w:hanging="378"/>
        <w:jc w:val="both"/>
        <w:rPr>
          <w:rFonts w:cs="mylotus" w:hint="cs"/>
          <w:sz w:val="23"/>
          <w:szCs w:val="23"/>
          <w:rtl/>
        </w:rPr>
      </w:pPr>
      <w:r w:rsidRPr="00563AE6">
        <w:rPr>
          <w:rFonts w:cs="mylotus"/>
          <w:sz w:val="23"/>
          <w:szCs w:val="23"/>
          <w:rtl/>
        </w:rPr>
        <w:footnoteRef/>
      </w:r>
      <w:r>
        <w:rPr>
          <w:rFonts w:cs="mylotus"/>
          <w:sz w:val="23"/>
          <w:szCs w:val="23"/>
          <w:rtl/>
        </w:rPr>
        <w:t>-</w:t>
      </w:r>
      <w:r w:rsidRPr="00563AE6">
        <w:rPr>
          <w:rFonts w:cs="mylotus" w:hint="cs"/>
          <w:sz w:val="23"/>
          <w:szCs w:val="23"/>
          <w:rtl/>
        </w:rPr>
        <w:t xml:space="preserve"> رجال الكشي، ص 191.</w:t>
      </w:r>
    </w:p>
  </w:footnote>
  <w:footnote w:id="386">
    <w:p w:rsidR="00B31118" w:rsidRPr="00563AE6" w:rsidRDefault="00B31118" w:rsidP="00B300C9">
      <w:pPr>
        <w:pStyle w:val="FootnoteText"/>
        <w:spacing w:line="228" w:lineRule="auto"/>
        <w:ind w:left="378" w:hanging="378"/>
        <w:jc w:val="both"/>
        <w:rPr>
          <w:rFonts w:cs="mylotus" w:hint="cs"/>
          <w:sz w:val="23"/>
          <w:szCs w:val="23"/>
          <w:rtl/>
        </w:rPr>
      </w:pPr>
      <w:r w:rsidRPr="00563AE6">
        <w:rPr>
          <w:rFonts w:cs="mylotus"/>
          <w:sz w:val="23"/>
          <w:szCs w:val="23"/>
          <w:rtl/>
        </w:rPr>
        <w:footnoteRef/>
      </w:r>
      <w:r>
        <w:rPr>
          <w:rFonts w:cs="mylotus"/>
          <w:sz w:val="23"/>
          <w:szCs w:val="23"/>
          <w:rtl/>
        </w:rPr>
        <w:t>-</w:t>
      </w:r>
      <w:r w:rsidRPr="00563AE6">
        <w:rPr>
          <w:rFonts w:cs="mylotus" w:hint="cs"/>
          <w:sz w:val="23"/>
          <w:szCs w:val="23"/>
          <w:rtl/>
        </w:rPr>
        <w:t xml:space="preserve"> </w:t>
      </w:r>
      <w:r w:rsidRPr="00563AE6">
        <w:rPr>
          <w:rFonts w:cs="mylotus"/>
          <w:sz w:val="23"/>
          <w:szCs w:val="23"/>
          <w:rtl/>
        </w:rPr>
        <w:t xml:space="preserve">أبو الفرج عبد الرحمن بن علي بن الجوزي </w:t>
      </w:r>
      <w:r w:rsidRPr="00563AE6">
        <w:rPr>
          <w:rFonts w:cs="mylotus" w:hint="cs"/>
          <w:sz w:val="23"/>
          <w:szCs w:val="23"/>
          <w:rtl/>
        </w:rPr>
        <w:t xml:space="preserve">الحنبلي </w:t>
      </w:r>
      <w:r w:rsidRPr="00563AE6">
        <w:rPr>
          <w:rFonts w:cs="mylotus"/>
          <w:sz w:val="23"/>
          <w:szCs w:val="23"/>
          <w:rtl/>
        </w:rPr>
        <w:t>(597 هـ)</w:t>
      </w:r>
      <w:r w:rsidRPr="00563AE6">
        <w:rPr>
          <w:rFonts w:cs="mylotus" w:hint="cs"/>
          <w:sz w:val="23"/>
          <w:szCs w:val="23"/>
          <w:rtl/>
        </w:rPr>
        <w:t xml:space="preserve">، </w:t>
      </w:r>
      <w:r w:rsidRPr="00563AE6">
        <w:rPr>
          <w:rFonts w:cs="mylotus"/>
          <w:sz w:val="23"/>
          <w:szCs w:val="23"/>
          <w:rtl/>
        </w:rPr>
        <w:t>المنتظم في تاريخ الملوك والأمم</w:t>
      </w:r>
      <w:r w:rsidRPr="00563AE6">
        <w:rPr>
          <w:rFonts w:cs="mylotus" w:hint="cs"/>
          <w:sz w:val="23"/>
          <w:szCs w:val="23"/>
          <w:rtl/>
        </w:rPr>
        <w:t>، حوادث سنة تسع وعشرين ومائة. (المُتَرْجِمُ)</w:t>
      </w:r>
    </w:p>
  </w:footnote>
  <w:footnote w:id="387">
    <w:p w:rsidR="00B31118" w:rsidRPr="00563AE6" w:rsidRDefault="00B31118" w:rsidP="00B300C9">
      <w:pPr>
        <w:pStyle w:val="FootnoteText"/>
        <w:spacing w:line="228" w:lineRule="auto"/>
        <w:ind w:left="378" w:hanging="378"/>
        <w:jc w:val="both"/>
        <w:rPr>
          <w:rFonts w:cs="mylotus" w:hint="cs"/>
          <w:sz w:val="23"/>
          <w:szCs w:val="23"/>
        </w:rPr>
      </w:pPr>
      <w:r w:rsidRPr="00563AE6">
        <w:rPr>
          <w:rFonts w:cs="mylotus"/>
          <w:sz w:val="23"/>
          <w:szCs w:val="23"/>
          <w:rtl/>
        </w:rPr>
        <w:footnoteRef/>
      </w:r>
      <w:r>
        <w:rPr>
          <w:rFonts w:cs="mylotus"/>
          <w:sz w:val="23"/>
          <w:szCs w:val="23"/>
          <w:rtl/>
        </w:rPr>
        <w:t>-</w:t>
      </w:r>
      <w:r w:rsidRPr="00563AE6">
        <w:rPr>
          <w:rFonts w:cs="mylotus"/>
          <w:sz w:val="23"/>
          <w:szCs w:val="23"/>
          <w:rtl/>
        </w:rPr>
        <w:t xml:space="preserve"> </w:t>
      </w:r>
      <w:r w:rsidRPr="00563AE6">
        <w:rPr>
          <w:rFonts w:cs="mylotus" w:hint="cs"/>
          <w:sz w:val="23"/>
          <w:szCs w:val="23"/>
          <w:rtl/>
        </w:rPr>
        <w:t>هذا في الواقع هو الحديث السادس من الأحاديث التي أوردها الفقيه رضا الهمداني والتي نقلها المؤلف قلمداران (رحمه الله) عنه في بداية هذا المبحث، وليس الحديث الخامس، ويبدو أنه قد سقط سهوا من قلم المؤلف نقد سند الحديث الخامس. (المُتَرْجِمُ)</w:t>
      </w:r>
    </w:p>
  </w:footnote>
  <w:footnote w:id="388">
    <w:p w:rsidR="00B31118" w:rsidRPr="00563AE6" w:rsidRDefault="00B31118" w:rsidP="00B300C9">
      <w:pPr>
        <w:pStyle w:val="FootnoteText"/>
        <w:spacing w:line="228" w:lineRule="auto"/>
        <w:ind w:left="378" w:hanging="378"/>
        <w:jc w:val="both"/>
        <w:rPr>
          <w:rFonts w:cs="mylotus" w:hint="cs"/>
          <w:sz w:val="23"/>
          <w:szCs w:val="23"/>
          <w:rtl/>
        </w:rPr>
      </w:pPr>
      <w:r w:rsidRPr="00563AE6">
        <w:rPr>
          <w:rFonts w:cs="mylotus"/>
          <w:sz w:val="23"/>
          <w:szCs w:val="23"/>
          <w:rtl/>
        </w:rPr>
        <w:footnoteRef/>
      </w:r>
      <w:r>
        <w:rPr>
          <w:rFonts w:cs="mylotus"/>
          <w:sz w:val="23"/>
          <w:szCs w:val="23"/>
          <w:rtl/>
        </w:rPr>
        <w:t>-</w:t>
      </w:r>
      <w:r w:rsidRPr="00563AE6">
        <w:rPr>
          <w:rFonts w:cs="mylotus" w:hint="cs"/>
          <w:sz w:val="23"/>
          <w:szCs w:val="23"/>
          <w:rtl/>
        </w:rPr>
        <w:t xml:space="preserve"> رجال الكشي، ص 390.</w:t>
      </w:r>
    </w:p>
  </w:footnote>
  <w:footnote w:id="389">
    <w:p w:rsidR="00B31118" w:rsidRPr="00563AE6" w:rsidRDefault="00B31118" w:rsidP="00B300C9">
      <w:pPr>
        <w:pStyle w:val="FootnoteText"/>
        <w:spacing w:line="228" w:lineRule="auto"/>
        <w:ind w:left="378" w:hanging="378"/>
        <w:jc w:val="both"/>
        <w:rPr>
          <w:rFonts w:cs="mylotus" w:hint="cs"/>
          <w:sz w:val="23"/>
          <w:szCs w:val="23"/>
          <w:rtl/>
        </w:rPr>
      </w:pPr>
      <w:r w:rsidRPr="00563AE6">
        <w:rPr>
          <w:rFonts w:cs="mylotus"/>
          <w:sz w:val="23"/>
          <w:szCs w:val="23"/>
          <w:rtl/>
        </w:rPr>
        <w:footnoteRef/>
      </w:r>
      <w:r>
        <w:rPr>
          <w:rFonts w:cs="mylotus"/>
          <w:sz w:val="23"/>
          <w:szCs w:val="23"/>
          <w:rtl/>
        </w:rPr>
        <w:t>-</w:t>
      </w:r>
      <w:r w:rsidRPr="00563AE6">
        <w:rPr>
          <w:rFonts w:cs="mylotus" w:hint="cs"/>
          <w:sz w:val="23"/>
          <w:szCs w:val="23"/>
          <w:rtl/>
        </w:rPr>
        <w:t xml:space="preserve"> الشيخ الطوسي، تهذيب الأحكام، ج 4، ص 53.</w:t>
      </w:r>
    </w:p>
  </w:footnote>
  <w:footnote w:id="390">
    <w:p w:rsidR="00B31118" w:rsidRPr="00563AE6" w:rsidRDefault="00B31118" w:rsidP="00B300C9">
      <w:pPr>
        <w:pStyle w:val="FootnoteText"/>
        <w:spacing w:line="228" w:lineRule="auto"/>
        <w:ind w:left="378" w:hanging="378"/>
        <w:jc w:val="both"/>
        <w:rPr>
          <w:rFonts w:cs="mylotus" w:hint="cs"/>
          <w:sz w:val="23"/>
          <w:szCs w:val="23"/>
        </w:rPr>
      </w:pPr>
      <w:r w:rsidRPr="00563AE6">
        <w:rPr>
          <w:rFonts w:cs="mylotus"/>
          <w:sz w:val="23"/>
          <w:szCs w:val="23"/>
          <w:rtl/>
        </w:rPr>
        <w:footnoteRef/>
      </w:r>
      <w:r>
        <w:rPr>
          <w:rFonts w:cs="mylotus"/>
          <w:sz w:val="23"/>
          <w:szCs w:val="23"/>
          <w:rtl/>
        </w:rPr>
        <w:t>-</w:t>
      </w:r>
      <w:r w:rsidRPr="00563AE6">
        <w:rPr>
          <w:rFonts w:cs="mylotus" w:hint="cs"/>
          <w:sz w:val="23"/>
          <w:szCs w:val="23"/>
          <w:rtl/>
        </w:rPr>
        <w:t xml:space="preserve"> الشيخ الطوسي، تهذيب الأحكام، ج 4، ص 60 - 61.</w:t>
      </w:r>
    </w:p>
  </w:footnote>
  <w:footnote w:id="391">
    <w:p w:rsidR="00B31118" w:rsidRPr="00563AE6" w:rsidRDefault="00B31118" w:rsidP="00B300C9">
      <w:pPr>
        <w:pStyle w:val="FootnoteText"/>
        <w:spacing w:line="228" w:lineRule="auto"/>
        <w:ind w:left="378" w:hanging="378"/>
        <w:jc w:val="both"/>
        <w:rPr>
          <w:rFonts w:cs="mylotus"/>
          <w:sz w:val="23"/>
          <w:szCs w:val="23"/>
          <w:rtl/>
        </w:rPr>
      </w:pPr>
      <w:r w:rsidRPr="00563AE6">
        <w:rPr>
          <w:rFonts w:cs="mylotus"/>
          <w:sz w:val="23"/>
          <w:szCs w:val="23"/>
          <w:rtl/>
        </w:rPr>
        <w:footnoteRef/>
      </w:r>
      <w:r>
        <w:rPr>
          <w:rFonts w:cs="mylotus"/>
          <w:sz w:val="23"/>
          <w:szCs w:val="23"/>
          <w:rtl/>
        </w:rPr>
        <w:t>-</w:t>
      </w:r>
      <w:r w:rsidRPr="00563AE6">
        <w:rPr>
          <w:rFonts w:cs="mylotus"/>
          <w:sz w:val="23"/>
          <w:szCs w:val="23"/>
          <w:rtl/>
        </w:rPr>
        <w:t xml:space="preserve"> </w:t>
      </w:r>
      <w:r w:rsidRPr="00563AE6">
        <w:rPr>
          <w:rFonts w:cs="mylotus" w:hint="cs"/>
          <w:sz w:val="23"/>
          <w:szCs w:val="23"/>
          <w:rtl/>
        </w:rPr>
        <w:t>كتب المرحوم الشيخ المفيد في المقنعة (ص 14) [ أو ص 252 من طبعة قم الجديدة، سنة 1413هـ) يقول: «</w:t>
      </w:r>
      <w:r w:rsidRPr="00563AE6">
        <w:rPr>
          <w:rFonts w:cs="mylotus"/>
          <w:sz w:val="23"/>
          <w:szCs w:val="23"/>
          <w:rtl/>
        </w:rPr>
        <w:t>بَابُ وُجُوبِ إِخْرَاجِ الزَّكَاةِ إِلَى الإِمَامِ</w:t>
      </w:r>
      <w:r w:rsidRPr="00563AE6">
        <w:rPr>
          <w:rFonts w:cs="mylotus" w:hint="cs"/>
          <w:sz w:val="23"/>
          <w:szCs w:val="23"/>
          <w:rtl/>
        </w:rPr>
        <w:t>:</w:t>
      </w:r>
      <w:r w:rsidRPr="00563AE6">
        <w:rPr>
          <w:rFonts w:cs="mylotus"/>
          <w:sz w:val="23"/>
          <w:szCs w:val="23"/>
          <w:rtl/>
        </w:rPr>
        <w:t xml:space="preserve"> </w:t>
      </w:r>
    </w:p>
    <w:p w:rsidR="00B31118" w:rsidRPr="00563AE6" w:rsidRDefault="00B31118" w:rsidP="00B300C9">
      <w:pPr>
        <w:pStyle w:val="FootnoteText"/>
        <w:spacing w:line="228" w:lineRule="auto"/>
        <w:ind w:left="378" w:hanging="378"/>
        <w:jc w:val="both"/>
        <w:rPr>
          <w:rFonts w:cs="mylotus" w:hint="cs"/>
          <w:sz w:val="23"/>
          <w:szCs w:val="23"/>
          <w:rtl/>
        </w:rPr>
      </w:pPr>
      <w:r w:rsidRPr="00563AE6">
        <w:rPr>
          <w:rFonts w:cs="mylotus"/>
          <w:sz w:val="23"/>
          <w:szCs w:val="23"/>
          <w:rtl/>
        </w:rPr>
        <w:t xml:space="preserve"> </w:t>
      </w:r>
      <w:r w:rsidRPr="00563AE6">
        <w:rPr>
          <w:rFonts w:cs="mylotus" w:hint="cs"/>
          <w:sz w:val="23"/>
          <w:szCs w:val="23"/>
          <w:rtl/>
        </w:rPr>
        <w:tab/>
      </w:r>
      <w:r w:rsidRPr="00563AE6">
        <w:rPr>
          <w:rFonts w:cs="mylotus"/>
          <w:sz w:val="23"/>
          <w:szCs w:val="23"/>
          <w:rtl/>
        </w:rPr>
        <w:t>قَالَ اللهُ سُبْحَانَهُ</w:t>
      </w:r>
      <w:r w:rsidRPr="00563AE6">
        <w:rPr>
          <w:rFonts w:cs="mylotus" w:hint="cs"/>
          <w:sz w:val="23"/>
          <w:szCs w:val="23"/>
          <w:rtl/>
        </w:rPr>
        <w:t xml:space="preserve">: </w:t>
      </w:r>
      <w:r w:rsidRPr="00563AE6">
        <w:rPr>
          <w:rFonts w:cs="Traditional Arabic" w:hint="cs"/>
          <w:sz w:val="23"/>
          <w:szCs w:val="23"/>
          <w:rtl/>
        </w:rPr>
        <w:t>﴿</w:t>
      </w:r>
      <w:r w:rsidRPr="00563AE6">
        <w:rPr>
          <w:rFonts w:ascii="KFGQPC Uthmanic Script HAFS" w:cs="KFGQPC Uthmanic Script HAFS" w:hint="eastAsia"/>
          <w:sz w:val="23"/>
          <w:szCs w:val="23"/>
          <w:rtl/>
        </w:rPr>
        <w:t>خُذ</w:t>
      </w:r>
      <w:r w:rsidRPr="00563AE6">
        <w:rPr>
          <w:rFonts w:ascii="KFGQPC Uthmanic Script HAFS" w:cs="KFGQPC Uthmanic Script HAFS" w:hint="cs"/>
          <w:sz w:val="23"/>
          <w:szCs w:val="23"/>
          <w:rtl/>
        </w:rPr>
        <w:t>ۡ</w:t>
      </w:r>
      <w:r w:rsidRPr="00563AE6">
        <w:rPr>
          <w:rFonts w:ascii="KFGQPC Uthmanic Script HAFS" w:cs="KFGQPC Uthmanic Script HAFS"/>
          <w:sz w:val="23"/>
          <w:szCs w:val="23"/>
          <w:rtl/>
        </w:rPr>
        <w:t xml:space="preserve"> </w:t>
      </w:r>
      <w:r w:rsidRPr="00563AE6">
        <w:rPr>
          <w:rFonts w:ascii="KFGQPC Uthmanic Script HAFS" w:cs="KFGQPC Uthmanic Script HAFS" w:hint="eastAsia"/>
          <w:sz w:val="23"/>
          <w:szCs w:val="23"/>
          <w:rtl/>
        </w:rPr>
        <w:t>مِن</w:t>
      </w:r>
      <w:r w:rsidRPr="00563AE6">
        <w:rPr>
          <w:rFonts w:ascii="KFGQPC Uthmanic Script HAFS" w:cs="KFGQPC Uthmanic Script HAFS" w:hint="cs"/>
          <w:sz w:val="23"/>
          <w:szCs w:val="23"/>
          <w:rtl/>
        </w:rPr>
        <w:t>ۡ</w:t>
      </w:r>
      <w:r w:rsidRPr="00563AE6">
        <w:rPr>
          <w:rFonts w:ascii="KFGQPC Uthmanic Script HAFS" w:cs="KFGQPC Uthmanic Script HAFS"/>
          <w:sz w:val="23"/>
          <w:szCs w:val="23"/>
          <w:rtl/>
        </w:rPr>
        <w:t xml:space="preserve"> </w:t>
      </w:r>
      <w:r w:rsidRPr="00563AE6">
        <w:rPr>
          <w:rFonts w:ascii="KFGQPC Uthmanic Script HAFS" w:cs="KFGQPC Uthmanic Script HAFS" w:hint="eastAsia"/>
          <w:sz w:val="23"/>
          <w:szCs w:val="23"/>
          <w:rtl/>
        </w:rPr>
        <w:t>أَم</w:t>
      </w:r>
      <w:r w:rsidRPr="00563AE6">
        <w:rPr>
          <w:rFonts w:ascii="KFGQPC Uthmanic Script HAFS" w:cs="KFGQPC Uthmanic Script HAFS" w:hint="cs"/>
          <w:sz w:val="23"/>
          <w:szCs w:val="23"/>
          <w:rtl/>
        </w:rPr>
        <w:t>ۡ</w:t>
      </w:r>
      <w:r w:rsidRPr="00563AE6">
        <w:rPr>
          <w:rFonts w:ascii="KFGQPC Uthmanic Script HAFS" w:cs="KFGQPC Uthmanic Script HAFS" w:hint="eastAsia"/>
          <w:sz w:val="23"/>
          <w:szCs w:val="23"/>
          <w:rtl/>
        </w:rPr>
        <w:t>وَ</w:t>
      </w:r>
      <w:r w:rsidRPr="00563AE6">
        <w:rPr>
          <w:rFonts w:ascii="KFGQPC Uthmanic Script HAFS" w:cs="KFGQPC Uthmanic Script HAFS" w:hint="cs"/>
          <w:sz w:val="23"/>
          <w:szCs w:val="23"/>
          <w:rtl/>
        </w:rPr>
        <w:t>ٰ</w:t>
      </w:r>
      <w:r w:rsidRPr="00563AE6">
        <w:rPr>
          <w:rFonts w:ascii="KFGQPC Uthmanic Script HAFS" w:cs="KFGQPC Uthmanic Script HAFS" w:hint="eastAsia"/>
          <w:sz w:val="23"/>
          <w:szCs w:val="23"/>
          <w:rtl/>
        </w:rPr>
        <w:t>لِهِم</w:t>
      </w:r>
      <w:r w:rsidRPr="00563AE6">
        <w:rPr>
          <w:rFonts w:ascii="KFGQPC Uthmanic Script HAFS" w:cs="KFGQPC Uthmanic Script HAFS" w:hint="cs"/>
          <w:sz w:val="23"/>
          <w:szCs w:val="23"/>
          <w:rtl/>
        </w:rPr>
        <w:t>ۡ</w:t>
      </w:r>
      <w:r w:rsidRPr="00563AE6">
        <w:rPr>
          <w:rFonts w:ascii="KFGQPC Uthmanic Script HAFS" w:cs="KFGQPC Uthmanic Script HAFS"/>
          <w:sz w:val="23"/>
          <w:szCs w:val="23"/>
          <w:rtl/>
        </w:rPr>
        <w:t xml:space="preserve"> </w:t>
      </w:r>
      <w:r w:rsidRPr="00563AE6">
        <w:rPr>
          <w:rFonts w:ascii="KFGQPC Uthmanic Script HAFS" w:cs="KFGQPC Uthmanic Script HAFS" w:hint="eastAsia"/>
          <w:sz w:val="23"/>
          <w:szCs w:val="23"/>
          <w:rtl/>
        </w:rPr>
        <w:t>صَدَقَة</w:t>
      </w:r>
      <w:r w:rsidRPr="00563AE6">
        <w:rPr>
          <w:rFonts w:ascii="KFGQPC Uthmanic Script HAFS" w:cs="KFGQPC Uthmanic Script HAFS" w:hint="cs"/>
          <w:sz w:val="23"/>
          <w:szCs w:val="23"/>
          <w:rtl/>
        </w:rPr>
        <w:t>ٗ</w:t>
      </w:r>
      <w:r w:rsidRPr="00563AE6">
        <w:rPr>
          <w:rFonts w:ascii="KFGQPC Uthmanic Script HAFS" w:cs="KFGQPC Uthmanic Script HAFS"/>
          <w:sz w:val="23"/>
          <w:szCs w:val="23"/>
          <w:rtl/>
        </w:rPr>
        <w:t xml:space="preserve"> </w:t>
      </w:r>
      <w:r w:rsidRPr="00563AE6">
        <w:rPr>
          <w:rFonts w:ascii="KFGQPC Uthmanic Script HAFS" w:cs="KFGQPC Uthmanic Script HAFS" w:hint="eastAsia"/>
          <w:sz w:val="23"/>
          <w:szCs w:val="23"/>
          <w:rtl/>
        </w:rPr>
        <w:t>تُطَهِّرُهُم</w:t>
      </w:r>
      <w:r w:rsidRPr="00563AE6">
        <w:rPr>
          <w:rFonts w:ascii="KFGQPC Uthmanic Script HAFS" w:cs="KFGQPC Uthmanic Script HAFS" w:hint="cs"/>
          <w:sz w:val="23"/>
          <w:szCs w:val="23"/>
          <w:rtl/>
        </w:rPr>
        <w:t>ۡ</w:t>
      </w:r>
      <w:r w:rsidRPr="00563AE6">
        <w:rPr>
          <w:rFonts w:ascii="KFGQPC Uthmanic Script HAFS" w:cs="KFGQPC Uthmanic Script HAFS"/>
          <w:sz w:val="23"/>
          <w:szCs w:val="23"/>
          <w:rtl/>
        </w:rPr>
        <w:t xml:space="preserve"> </w:t>
      </w:r>
      <w:r w:rsidRPr="00563AE6">
        <w:rPr>
          <w:rFonts w:ascii="KFGQPC Uthmanic Script HAFS" w:cs="KFGQPC Uthmanic Script HAFS" w:hint="eastAsia"/>
          <w:sz w:val="23"/>
          <w:szCs w:val="23"/>
          <w:rtl/>
        </w:rPr>
        <w:t>وَتُزَكِّيهِم</w:t>
      </w:r>
      <w:r w:rsidRPr="00563AE6">
        <w:rPr>
          <w:rFonts w:ascii="KFGQPC Uthmanic Script HAFS" w:cs="KFGQPC Uthmanic Script HAFS"/>
          <w:sz w:val="23"/>
          <w:szCs w:val="23"/>
          <w:rtl/>
        </w:rPr>
        <w:t xml:space="preserve"> </w:t>
      </w:r>
      <w:r w:rsidRPr="00563AE6">
        <w:rPr>
          <w:rFonts w:ascii="KFGQPC Uthmanic Script HAFS" w:cs="KFGQPC Uthmanic Script HAFS" w:hint="eastAsia"/>
          <w:sz w:val="23"/>
          <w:szCs w:val="23"/>
          <w:rtl/>
        </w:rPr>
        <w:t>بِهَا</w:t>
      </w:r>
      <w:r w:rsidRPr="00563AE6">
        <w:rPr>
          <w:rFonts w:ascii="KFGQPC Uthmanic Script HAFS" w:cs="KFGQPC Uthmanic Script HAFS"/>
          <w:sz w:val="23"/>
          <w:szCs w:val="23"/>
          <w:rtl/>
        </w:rPr>
        <w:t xml:space="preserve"> </w:t>
      </w:r>
      <w:r w:rsidRPr="00563AE6">
        <w:rPr>
          <w:rFonts w:ascii="KFGQPC Uthmanic Script HAFS" w:cs="KFGQPC Uthmanic Script HAFS" w:hint="eastAsia"/>
          <w:sz w:val="23"/>
          <w:szCs w:val="23"/>
          <w:rtl/>
        </w:rPr>
        <w:t>وَصَلِّ</w:t>
      </w:r>
      <w:r w:rsidRPr="00563AE6">
        <w:rPr>
          <w:rFonts w:ascii="KFGQPC Uthmanic Script HAFS" w:cs="KFGQPC Uthmanic Script HAFS"/>
          <w:sz w:val="23"/>
          <w:szCs w:val="23"/>
          <w:rtl/>
        </w:rPr>
        <w:t xml:space="preserve"> </w:t>
      </w:r>
      <w:r w:rsidRPr="00563AE6">
        <w:rPr>
          <w:rFonts w:ascii="KFGQPC Uthmanic Script HAFS" w:cs="KFGQPC Uthmanic Script HAFS" w:hint="eastAsia"/>
          <w:sz w:val="23"/>
          <w:szCs w:val="23"/>
          <w:rtl/>
        </w:rPr>
        <w:t>عَلَي</w:t>
      </w:r>
      <w:r w:rsidRPr="00563AE6">
        <w:rPr>
          <w:rFonts w:ascii="KFGQPC Uthmanic Script HAFS" w:cs="KFGQPC Uthmanic Script HAFS" w:hint="cs"/>
          <w:sz w:val="23"/>
          <w:szCs w:val="23"/>
          <w:rtl/>
        </w:rPr>
        <w:t>ۡ</w:t>
      </w:r>
      <w:r w:rsidRPr="00563AE6">
        <w:rPr>
          <w:rFonts w:ascii="KFGQPC Uthmanic Script HAFS" w:cs="KFGQPC Uthmanic Script HAFS" w:hint="eastAsia"/>
          <w:sz w:val="23"/>
          <w:szCs w:val="23"/>
          <w:rtl/>
        </w:rPr>
        <w:t>هِم</w:t>
      </w:r>
      <w:r w:rsidRPr="00563AE6">
        <w:rPr>
          <w:rFonts w:ascii="KFGQPC Uthmanic Script HAFS" w:cs="KFGQPC Uthmanic Script HAFS" w:hint="cs"/>
          <w:sz w:val="23"/>
          <w:szCs w:val="23"/>
          <w:rtl/>
        </w:rPr>
        <w:t>ۡۖ</w:t>
      </w:r>
      <w:r w:rsidRPr="00563AE6">
        <w:rPr>
          <w:rFonts w:ascii="KFGQPC Uthmanic Script HAFS" w:cs="KFGQPC Uthmanic Script HAFS"/>
          <w:sz w:val="23"/>
          <w:szCs w:val="23"/>
          <w:rtl/>
        </w:rPr>
        <w:t xml:space="preserve"> </w:t>
      </w:r>
      <w:r w:rsidRPr="00563AE6">
        <w:rPr>
          <w:rFonts w:ascii="KFGQPC Uthmanic Script HAFS" w:cs="KFGQPC Uthmanic Script HAFS" w:hint="eastAsia"/>
          <w:sz w:val="23"/>
          <w:szCs w:val="23"/>
          <w:rtl/>
        </w:rPr>
        <w:t>إِنَّ</w:t>
      </w:r>
      <w:r w:rsidRPr="00563AE6">
        <w:rPr>
          <w:rFonts w:ascii="KFGQPC Uthmanic Script HAFS" w:cs="KFGQPC Uthmanic Script HAFS"/>
          <w:sz w:val="23"/>
          <w:szCs w:val="23"/>
          <w:rtl/>
        </w:rPr>
        <w:t xml:space="preserve"> </w:t>
      </w:r>
      <w:r w:rsidRPr="00563AE6">
        <w:rPr>
          <w:rFonts w:ascii="KFGQPC Uthmanic Script HAFS" w:cs="KFGQPC Uthmanic Script HAFS" w:hint="eastAsia"/>
          <w:sz w:val="23"/>
          <w:szCs w:val="23"/>
          <w:rtl/>
        </w:rPr>
        <w:t>صَلَو</w:t>
      </w:r>
      <w:r w:rsidRPr="00563AE6">
        <w:rPr>
          <w:rFonts w:ascii="KFGQPC Uthmanic Script HAFS" w:cs="KFGQPC Uthmanic Script HAFS" w:hint="cs"/>
          <w:sz w:val="23"/>
          <w:szCs w:val="23"/>
          <w:rtl/>
        </w:rPr>
        <w:t>ٰ</w:t>
      </w:r>
      <w:r w:rsidRPr="00563AE6">
        <w:rPr>
          <w:rFonts w:ascii="KFGQPC Uthmanic Script HAFS" w:cs="KFGQPC Uthmanic Script HAFS" w:hint="eastAsia"/>
          <w:sz w:val="23"/>
          <w:szCs w:val="23"/>
          <w:rtl/>
        </w:rPr>
        <w:t>تَكَ</w:t>
      </w:r>
      <w:r w:rsidRPr="00563AE6">
        <w:rPr>
          <w:rFonts w:ascii="KFGQPC Uthmanic Script HAFS" w:cs="KFGQPC Uthmanic Script HAFS"/>
          <w:sz w:val="23"/>
          <w:szCs w:val="23"/>
          <w:rtl/>
        </w:rPr>
        <w:t xml:space="preserve"> </w:t>
      </w:r>
      <w:r w:rsidRPr="00563AE6">
        <w:rPr>
          <w:rFonts w:ascii="KFGQPC Uthmanic Script HAFS" w:cs="KFGQPC Uthmanic Script HAFS" w:hint="eastAsia"/>
          <w:sz w:val="23"/>
          <w:szCs w:val="23"/>
          <w:rtl/>
        </w:rPr>
        <w:t>سَكَن</w:t>
      </w:r>
      <w:r w:rsidRPr="00563AE6">
        <w:rPr>
          <w:rFonts w:ascii="KFGQPC Uthmanic Script HAFS" w:cs="KFGQPC Uthmanic Script HAFS" w:hint="cs"/>
          <w:sz w:val="23"/>
          <w:szCs w:val="23"/>
          <w:rtl/>
        </w:rPr>
        <w:t>ٞ</w:t>
      </w:r>
      <w:r w:rsidRPr="00563AE6">
        <w:rPr>
          <w:rFonts w:ascii="KFGQPC Uthmanic Script HAFS" w:cs="KFGQPC Uthmanic Script HAFS"/>
          <w:sz w:val="23"/>
          <w:szCs w:val="23"/>
          <w:rtl/>
        </w:rPr>
        <w:t xml:space="preserve"> </w:t>
      </w:r>
      <w:r w:rsidRPr="00563AE6">
        <w:rPr>
          <w:rFonts w:ascii="KFGQPC Uthmanic Script HAFS" w:cs="KFGQPC Uthmanic Script HAFS" w:hint="eastAsia"/>
          <w:sz w:val="23"/>
          <w:szCs w:val="23"/>
          <w:rtl/>
        </w:rPr>
        <w:t>لَّهُم</w:t>
      </w:r>
      <w:r w:rsidRPr="00563AE6">
        <w:rPr>
          <w:rFonts w:ascii="KFGQPC Uthmanic Script HAFS" w:cs="KFGQPC Uthmanic Script HAFS" w:hint="cs"/>
          <w:sz w:val="23"/>
          <w:szCs w:val="23"/>
          <w:rtl/>
        </w:rPr>
        <w:t>ۡۗ</w:t>
      </w:r>
      <w:r w:rsidRPr="00563AE6">
        <w:rPr>
          <w:rFonts w:ascii="KFGQPC Uthmanic Script HAFS" w:cs="KFGQPC Uthmanic Script HAFS"/>
          <w:sz w:val="23"/>
          <w:szCs w:val="23"/>
          <w:rtl/>
        </w:rPr>
        <w:t xml:space="preserve"> </w:t>
      </w:r>
      <w:r w:rsidRPr="00563AE6">
        <w:rPr>
          <w:rFonts w:ascii="KFGQPC Uthmanic Script HAFS" w:cs="KFGQPC Uthmanic Script HAFS" w:hint="eastAsia"/>
          <w:sz w:val="23"/>
          <w:szCs w:val="23"/>
          <w:rtl/>
        </w:rPr>
        <w:t>وَ</w:t>
      </w:r>
      <w:r w:rsidRPr="00563AE6">
        <w:rPr>
          <w:rFonts w:ascii="KFGQPC Uthmanic Script HAFS" w:cs="KFGQPC Uthmanic Script HAFS" w:hint="cs"/>
          <w:sz w:val="23"/>
          <w:szCs w:val="23"/>
          <w:rtl/>
        </w:rPr>
        <w:t>ٱ</w:t>
      </w:r>
      <w:r w:rsidRPr="00563AE6">
        <w:rPr>
          <w:rFonts w:ascii="KFGQPC Uthmanic Script HAFS" w:cs="KFGQPC Uthmanic Script HAFS" w:hint="eastAsia"/>
          <w:sz w:val="23"/>
          <w:szCs w:val="23"/>
          <w:rtl/>
        </w:rPr>
        <w:t>للَّهُ</w:t>
      </w:r>
      <w:r w:rsidRPr="00563AE6">
        <w:rPr>
          <w:rFonts w:ascii="KFGQPC Uthmanic Script HAFS" w:cs="KFGQPC Uthmanic Script HAFS"/>
          <w:sz w:val="23"/>
          <w:szCs w:val="23"/>
          <w:rtl/>
        </w:rPr>
        <w:t xml:space="preserve"> </w:t>
      </w:r>
      <w:r w:rsidRPr="00563AE6">
        <w:rPr>
          <w:rFonts w:ascii="KFGQPC Uthmanic Script HAFS" w:cs="KFGQPC Uthmanic Script HAFS" w:hint="eastAsia"/>
          <w:sz w:val="23"/>
          <w:szCs w:val="23"/>
          <w:rtl/>
        </w:rPr>
        <w:t>سَمِيعٌ</w:t>
      </w:r>
      <w:r w:rsidRPr="00563AE6">
        <w:rPr>
          <w:rFonts w:ascii="KFGQPC Uthmanic Script HAFS" w:cs="KFGQPC Uthmanic Script HAFS"/>
          <w:sz w:val="23"/>
          <w:szCs w:val="23"/>
          <w:rtl/>
        </w:rPr>
        <w:t xml:space="preserve"> </w:t>
      </w:r>
      <w:r w:rsidRPr="00563AE6">
        <w:rPr>
          <w:rFonts w:ascii="KFGQPC Uthmanic Script HAFS" w:cs="KFGQPC Uthmanic Script HAFS" w:hint="eastAsia"/>
          <w:sz w:val="23"/>
          <w:szCs w:val="23"/>
          <w:rtl/>
        </w:rPr>
        <w:t>عَلِيمٌ</w:t>
      </w:r>
      <w:r w:rsidRPr="00563AE6">
        <w:rPr>
          <w:rFonts w:ascii="KFGQPC Uthmanic Script HAFS" w:cs="KFGQPC Uthmanic Script HAFS"/>
          <w:sz w:val="23"/>
          <w:szCs w:val="23"/>
          <w:rtl/>
        </w:rPr>
        <w:t xml:space="preserve"> </w:t>
      </w:r>
      <w:r w:rsidRPr="00563AE6">
        <w:rPr>
          <w:rFonts w:cs="Traditional Arabic" w:hint="cs"/>
          <w:sz w:val="23"/>
          <w:szCs w:val="23"/>
          <w:rtl/>
        </w:rPr>
        <w:t>﴾</w:t>
      </w:r>
      <w:r w:rsidRPr="00563AE6">
        <w:rPr>
          <w:rFonts w:cs="mylotus" w:hint="cs"/>
          <w:sz w:val="23"/>
          <w:szCs w:val="23"/>
          <w:rtl/>
        </w:rPr>
        <w:t xml:space="preserve"> [التوبة: 103] </w:t>
      </w:r>
      <w:r w:rsidRPr="00563AE6">
        <w:rPr>
          <w:rFonts w:cs="mylotus"/>
          <w:sz w:val="23"/>
          <w:szCs w:val="23"/>
          <w:rtl/>
        </w:rPr>
        <w:t xml:space="preserve">فَأَمَرَ نَبِيَّهُ </w:t>
      </w:r>
      <w:r w:rsidRPr="003C7AEB">
        <w:rPr>
          <w:rFonts w:ascii="Abo-thar" w:hAnsi="Abo-thar" w:cs="CTraditional Arabic"/>
          <w:sz w:val="23"/>
          <w:szCs w:val="23"/>
          <w:rtl/>
        </w:rPr>
        <w:t>ص</w:t>
      </w:r>
      <w:r w:rsidRPr="00563AE6">
        <w:rPr>
          <w:rFonts w:ascii="Abo-thar" w:hAnsi="Abo-thar" w:cs="mylotus"/>
          <w:sz w:val="23"/>
          <w:szCs w:val="23"/>
          <w:rtl/>
        </w:rPr>
        <w:t xml:space="preserve"> </w:t>
      </w:r>
      <w:r w:rsidRPr="00563AE6">
        <w:rPr>
          <w:rFonts w:cs="mylotus"/>
          <w:sz w:val="23"/>
          <w:szCs w:val="23"/>
          <w:rtl/>
        </w:rPr>
        <w:t xml:space="preserve">بِأَخْذِ صَدَقَاتِهِمْ تَطْهِيراً لَهُمْ بِهَا مِنْ ذُنُوبِهِمْ وفَرَضَ عَلَى الأُمَّةِ حَمْلَهَا إِلَيْهِ لِفَرْضِهِ عَلَيْهَا طَاعَتَهُ ونَهْيِهِ لَهَا عَنْ خِلَافِهِ والْإِمَامُ قَائِمٌ مَقَامَ النَّبِيِّ </w:t>
      </w:r>
      <w:r w:rsidRPr="003C7AEB">
        <w:rPr>
          <w:rFonts w:ascii="Abo-thar" w:hAnsi="Abo-thar" w:cs="CTraditional Arabic"/>
          <w:sz w:val="23"/>
          <w:szCs w:val="23"/>
          <w:rtl/>
        </w:rPr>
        <w:t>ص</w:t>
      </w:r>
      <w:r w:rsidRPr="00563AE6">
        <w:rPr>
          <w:rFonts w:ascii="Abo-thar" w:hAnsi="Abo-thar" w:cs="mylotus"/>
          <w:sz w:val="23"/>
          <w:szCs w:val="23"/>
          <w:rtl/>
        </w:rPr>
        <w:t xml:space="preserve"> </w:t>
      </w:r>
      <w:r w:rsidRPr="00563AE6">
        <w:rPr>
          <w:rFonts w:cs="mylotus"/>
          <w:sz w:val="23"/>
          <w:szCs w:val="23"/>
          <w:rtl/>
        </w:rPr>
        <w:t>فِيمَا فَرَضَ اللهُ عَلَيْهِ مِنْ إِقَامَةِ الحُدُودِ والْأَحْكَامِ لِأَنَّهُ مُخَاطَبٌ بِخِطَابِهِ فِي ذَلِك</w:t>
      </w:r>
      <w:r w:rsidRPr="00563AE6">
        <w:rPr>
          <w:rFonts w:cs="mylotus" w:hint="cs"/>
          <w:sz w:val="23"/>
          <w:szCs w:val="23"/>
          <w:rtl/>
        </w:rPr>
        <w:t>».</w:t>
      </w:r>
    </w:p>
    <w:p w:rsidR="00B31118" w:rsidRPr="00563AE6" w:rsidRDefault="00B31118" w:rsidP="00B300C9">
      <w:pPr>
        <w:pStyle w:val="FootnoteText"/>
        <w:spacing w:line="228" w:lineRule="auto"/>
        <w:ind w:left="378"/>
        <w:jc w:val="both"/>
        <w:rPr>
          <w:rFonts w:cs="mylotus" w:hint="cs"/>
          <w:sz w:val="23"/>
          <w:szCs w:val="23"/>
          <w:rtl/>
        </w:rPr>
      </w:pPr>
      <w:r w:rsidRPr="00563AE6">
        <w:rPr>
          <w:rFonts w:cs="mylotus" w:hint="cs"/>
          <w:sz w:val="23"/>
          <w:szCs w:val="23"/>
          <w:rtl/>
        </w:rPr>
        <w:t>قلتُ [المترجم]: وهذا النص بعين حروفه ذكره أيضاً الشيخ الطوسي في تهذيب الأحكام، ج4، ص 90.</w:t>
      </w:r>
    </w:p>
  </w:footnote>
  <w:footnote w:id="392">
    <w:p w:rsidR="00B31118" w:rsidRPr="00563AE6" w:rsidRDefault="00B31118" w:rsidP="00B300C9">
      <w:pPr>
        <w:pStyle w:val="FootnoteText"/>
        <w:spacing w:line="228" w:lineRule="auto"/>
        <w:ind w:left="378" w:hanging="378"/>
        <w:jc w:val="both"/>
        <w:rPr>
          <w:rFonts w:cs="mylotus" w:hint="cs"/>
          <w:sz w:val="23"/>
          <w:szCs w:val="23"/>
          <w:rtl/>
        </w:rPr>
      </w:pPr>
      <w:r w:rsidRPr="00563AE6">
        <w:rPr>
          <w:rFonts w:cs="mylotus"/>
          <w:sz w:val="23"/>
          <w:szCs w:val="23"/>
          <w:rtl/>
        </w:rPr>
        <w:footnoteRef/>
      </w:r>
      <w:r>
        <w:rPr>
          <w:rFonts w:cs="mylotus"/>
          <w:sz w:val="23"/>
          <w:szCs w:val="23"/>
          <w:rtl/>
        </w:rPr>
        <w:t>-</w:t>
      </w:r>
      <w:r w:rsidRPr="00563AE6">
        <w:rPr>
          <w:rFonts w:cs="mylotus"/>
          <w:sz w:val="23"/>
          <w:szCs w:val="23"/>
          <w:rtl/>
        </w:rPr>
        <w:t xml:space="preserve"> </w:t>
      </w:r>
      <w:r w:rsidRPr="00563AE6">
        <w:rPr>
          <w:rFonts w:cs="mylotus" w:hint="cs"/>
          <w:sz w:val="23"/>
          <w:szCs w:val="23"/>
          <w:rtl/>
        </w:rPr>
        <w:t xml:space="preserve">الكُلَيْنِيّ، </w:t>
      </w:r>
      <w:r w:rsidRPr="00563AE6">
        <w:rPr>
          <w:rFonts w:cs="mylotus"/>
          <w:sz w:val="23"/>
          <w:szCs w:val="23"/>
          <w:rtl/>
        </w:rPr>
        <w:t>الكافي</w:t>
      </w:r>
      <w:r w:rsidRPr="00563AE6">
        <w:rPr>
          <w:rFonts w:cs="mylotus" w:hint="cs"/>
          <w:sz w:val="23"/>
          <w:szCs w:val="23"/>
          <w:rtl/>
        </w:rPr>
        <w:t>، ج1،  ص 548، والشيخ الطوسي، تهذيب الأحكام، ج4، ص 140. (المُتَرْجِمُ)</w:t>
      </w:r>
    </w:p>
  </w:footnote>
  <w:footnote w:id="393">
    <w:p w:rsidR="00B31118" w:rsidRPr="00563AE6" w:rsidRDefault="00B31118" w:rsidP="00B300C9">
      <w:pPr>
        <w:pStyle w:val="FootnoteText"/>
        <w:spacing w:line="228" w:lineRule="auto"/>
        <w:ind w:left="378" w:hanging="378"/>
        <w:jc w:val="both"/>
        <w:rPr>
          <w:rFonts w:cs="mylotus" w:hint="cs"/>
          <w:sz w:val="23"/>
          <w:szCs w:val="23"/>
          <w:rtl/>
        </w:rPr>
      </w:pPr>
      <w:r w:rsidRPr="00563AE6">
        <w:rPr>
          <w:rFonts w:cs="mylotus"/>
          <w:sz w:val="23"/>
          <w:szCs w:val="23"/>
          <w:rtl/>
        </w:rPr>
        <w:footnoteRef/>
      </w:r>
      <w:r>
        <w:rPr>
          <w:rFonts w:cs="mylotus"/>
          <w:sz w:val="23"/>
          <w:szCs w:val="23"/>
          <w:rtl/>
        </w:rPr>
        <w:t>-</w:t>
      </w:r>
      <w:r w:rsidRPr="00563AE6">
        <w:rPr>
          <w:rFonts w:cs="mylotus" w:hint="cs"/>
          <w:sz w:val="23"/>
          <w:szCs w:val="23"/>
          <w:rtl/>
        </w:rPr>
        <w:t xml:space="preserve"> الحسن بن محمد بن الحسن القمي، تاريخ قم، ص 279.</w:t>
      </w:r>
    </w:p>
  </w:footnote>
  <w:footnote w:id="394">
    <w:p w:rsidR="00B31118" w:rsidRPr="00563AE6" w:rsidRDefault="00B31118" w:rsidP="00B300C9">
      <w:pPr>
        <w:pStyle w:val="FootnoteText"/>
        <w:spacing w:line="228" w:lineRule="auto"/>
        <w:ind w:left="378" w:hanging="378"/>
        <w:jc w:val="both"/>
        <w:rPr>
          <w:rFonts w:cs="mylotus" w:hint="cs"/>
          <w:sz w:val="23"/>
          <w:szCs w:val="23"/>
          <w:rtl/>
        </w:rPr>
      </w:pPr>
      <w:r w:rsidRPr="00563AE6">
        <w:rPr>
          <w:rFonts w:cs="mylotus"/>
          <w:sz w:val="23"/>
          <w:szCs w:val="23"/>
          <w:rtl/>
        </w:rPr>
        <w:footnoteRef/>
      </w:r>
      <w:r>
        <w:rPr>
          <w:rFonts w:cs="mylotus"/>
          <w:sz w:val="23"/>
          <w:szCs w:val="23"/>
          <w:rtl/>
        </w:rPr>
        <w:t>-</w:t>
      </w:r>
      <w:r w:rsidRPr="00563AE6">
        <w:rPr>
          <w:rFonts w:cs="mylotus" w:hint="cs"/>
          <w:sz w:val="23"/>
          <w:szCs w:val="23"/>
          <w:rtl/>
        </w:rPr>
        <w:t xml:space="preserve"> الشيخ الصدوق، من لا يحضره الفقيه،</w:t>
      </w:r>
      <w:r w:rsidRPr="00563AE6">
        <w:rPr>
          <w:rFonts w:cs="mylotus"/>
          <w:sz w:val="23"/>
          <w:szCs w:val="23"/>
          <w:rtl/>
        </w:rPr>
        <w:t xml:space="preserve"> طبع سالك</w:t>
      </w:r>
      <w:r w:rsidRPr="00563AE6">
        <w:rPr>
          <w:rFonts w:cs="mylotus" w:hint="cs"/>
          <w:sz w:val="23"/>
          <w:szCs w:val="23"/>
          <w:rtl/>
        </w:rPr>
        <w:t xml:space="preserve">، </w:t>
      </w:r>
      <w:r w:rsidRPr="00563AE6">
        <w:rPr>
          <w:rFonts w:cs="mylotus"/>
          <w:sz w:val="23"/>
          <w:szCs w:val="23"/>
          <w:rtl/>
        </w:rPr>
        <w:t>ص539</w:t>
      </w:r>
      <w:r w:rsidRPr="00563AE6">
        <w:rPr>
          <w:rFonts w:cs="mylotus" w:hint="cs"/>
          <w:sz w:val="23"/>
          <w:szCs w:val="23"/>
          <w:rtl/>
        </w:rPr>
        <w:t>.</w:t>
      </w:r>
    </w:p>
  </w:footnote>
  <w:footnote w:id="395">
    <w:p w:rsidR="00B31118" w:rsidRPr="00563AE6" w:rsidRDefault="00B31118" w:rsidP="00B300C9">
      <w:pPr>
        <w:pStyle w:val="FootnoteText"/>
        <w:spacing w:line="228" w:lineRule="auto"/>
        <w:ind w:left="378" w:hanging="378"/>
        <w:jc w:val="both"/>
        <w:rPr>
          <w:rFonts w:cs="mylotus" w:hint="cs"/>
          <w:sz w:val="23"/>
          <w:szCs w:val="23"/>
          <w:rtl/>
        </w:rPr>
      </w:pPr>
      <w:r w:rsidRPr="00563AE6">
        <w:rPr>
          <w:rFonts w:cs="mylotus"/>
          <w:sz w:val="23"/>
          <w:szCs w:val="23"/>
          <w:rtl/>
        </w:rPr>
        <w:footnoteRef/>
      </w:r>
      <w:r>
        <w:rPr>
          <w:rFonts w:cs="mylotus"/>
          <w:sz w:val="23"/>
          <w:szCs w:val="23"/>
          <w:rtl/>
        </w:rPr>
        <w:t>-</w:t>
      </w:r>
      <w:r w:rsidRPr="00563AE6">
        <w:rPr>
          <w:rFonts w:cs="mylotus" w:hint="cs"/>
          <w:sz w:val="23"/>
          <w:szCs w:val="23"/>
          <w:rtl/>
        </w:rPr>
        <w:t xml:space="preserve"> الشيخ الطوسي، تهذيب الأحكام، ج4، ص61.</w:t>
      </w:r>
    </w:p>
  </w:footnote>
  <w:footnote w:id="396">
    <w:p w:rsidR="00B31118" w:rsidRPr="00563AE6" w:rsidRDefault="00B31118" w:rsidP="00B300C9">
      <w:pPr>
        <w:pStyle w:val="FootnoteText"/>
        <w:spacing w:line="228" w:lineRule="auto"/>
        <w:ind w:left="378" w:hanging="378"/>
        <w:jc w:val="both"/>
        <w:rPr>
          <w:rFonts w:cs="mylotus" w:hint="cs"/>
          <w:sz w:val="23"/>
          <w:szCs w:val="23"/>
          <w:lang w:bidi="ar-SY"/>
        </w:rPr>
      </w:pPr>
      <w:r w:rsidRPr="00563AE6">
        <w:rPr>
          <w:rFonts w:cs="mylotus"/>
          <w:sz w:val="23"/>
          <w:szCs w:val="23"/>
          <w:rtl/>
        </w:rPr>
        <w:footnoteRef/>
      </w:r>
      <w:r>
        <w:rPr>
          <w:rFonts w:cs="mylotus"/>
          <w:sz w:val="23"/>
          <w:szCs w:val="23"/>
          <w:rtl/>
        </w:rPr>
        <w:t>-</w:t>
      </w:r>
      <w:r w:rsidRPr="00563AE6">
        <w:rPr>
          <w:rFonts w:cs="mylotus" w:hint="cs"/>
          <w:sz w:val="23"/>
          <w:szCs w:val="23"/>
          <w:rtl/>
        </w:rPr>
        <w:t xml:space="preserve"> الكليني، الكافي، ج 1، ص 540 - 541؛ الشيخ الطوسي، تهذيب الأحكام، ج4، ص 130 - 131، الحديث 366.</w:t>
      </w:r>
    </w:p>
  </w:footnote>
  <w:footnote w:id="397">
    <w:p w:rsidR="00B31118" w:rsidRPr="00563AE6" w:rsidRDefault="00B31118" w:rsidP="00B300C9">
      <w:pPr>
        <w:pStyle w:val="FootnoteText"/>
        <w:spacing w:line="228" w:lineRule="auto"/>
        <w:ind w:left="378" w:hanging="378"/>
        <w:jc w:val="both"/>
        <w:rPr>
          <w:rFonts w:cs="mylotus" w:hint="cs"/>
          <w:sz w:val="23"/>
          <w:szCs w:val="23"/>
          <w:rtl/>
        </w:rPr>
      </w:pPr>
      <w:r w:rsidRPr="00563AE6">
        <w:rPr>
          <w:rFonts w:cs="mylotus"/>
          <w:sz w:val="23"/>
          <w:szCs w:val="23"/>
          <w:rtl/>
        </w:rPr>
        <w:footnoteRef/>
      </w:r>
      <w:r>
        <w:rPr>
          <w:rFonts w:cs="mylotus"/>
          <w:sz w:val="23"/>
          <w:szCs w:val="23"/>
          <w:rtl/>
        </w:rPr>
        <w:t>-</w:t>
      </w:r>
      <w:r w:rsidRPr="00563AE6">
        <w:rPr>
          <w:rFonts w:cs="mylotus"/>
          <w:sz w:val="23"/>
          <w:szCs w:val="23"/>
          <w:rtl/>
        </w:rPr>
        <w:t xml:space="preserve"> </w:t>
      </w:r>
      <w:r w:rsidRPr="00563AE6">
        <w:rPr>
          <w:rFonts w:cs="mylotus" w:hint="cs"/>
          <w:sz w:val="23"/>
          <w:szCs w:val="23"/>
          <w:rtl/>
        </w:rPr>
        <w:t xml:space="preserve">روى السيد المرتضى في رسالة </w:t>
      </w:r>
      <w:r w:rsidRPr="00563AE6">
        <w:rPr>
          <w:rFonts w:cs="mylotus"/>
          <w:sz w:val="23"/>
          <w:szCs w:val="23"/>
          <w:rtl/>
        </w:rPr>
        <w:t>«</w:t>
      </w:r>
      <w:r w:rsidRPr="00563AE6">
        <w:rPr>
          <w:rFonts w:cs="mylotus" w:hint="cs"/>
          <w:sz w:val="23"/>
          <w:szCs w:val="23"/>
          <w:rtl/>
        </w:rPr>
        <w:t>المحكم والمتشابه</w:t>
      </w:r>
      <w:r w:rsidRPr="00563AE6">
        <w:rPr>
          <w:rFonts w:cs="mylotus"/>
          <w:sz w:val="23"/>
          <w:szCs w:val="23"/>
          <w:rtl/>
        </w:rPr>
        <w:t>»</w:t>
      </w:r>
      <w:r w:rsidRPr="00563AE6">
        <w:rPr>
          <w:rFonts w:cs="mylotus" w:hint="cs"/>
          <w:sz w:val="23"/>
          <w:szCs w:val="23"/>
          <w:rtl/>
        </w:rPr>
        <w:t xml:space="preserve"> (ص 59) عن أمير المؤمنين </w:t>
      </w:r>
      <w:r w:rsidRPr="003C7AEB">
        <w:rPr>
          <w:rFonts w:cs="CTraditional Arabic" w:hint="cs"/>
          <w:sz w:val="23"/>
          <w:szCs w:val="23"/>
          <w:rtl/>
        </w:rPr>
        <w:t>÷</w:t>
      </w:r>
      <w:r w:rsidRPr="00563AE6">
        <w:rPr>
          <w:rFonts w:cs="mylotus" w:hint="cs"/>
          <w:sz w:val="23"/>
          <w:szCs w:val="23"/>
          <w:rtl/>
        </w:rPr>
        <w:t xml:space="preserve"> أنه قال: «للقائم بأمور المسلمين بعد ذلك الأنفال التي كانت لرسول الله </w:t>
      </w:r>
      <w:r w:rsidRPr="003C7AEB">
        <w:rPr>
          <w:rFonts w:ascii="Abo-thar" w:hAnsi="Abo-thar" w:cs="CTraditional Arabic"/>
          <w:sz w:val="23"/>
          <w:szCs w:val="23"/>
          <w:rtl/>
        </w:rPr>
        <w:t>ص</w:t>
      </w:r>
      <w:r w:rsidRPr="00563AE6">
        <w:rPr>
          <w:rFonts w:ascii="Abo-thar" w:hAnsi="Abo-thar" w:cs="mylotus"/>
          <w:sz w:val="23"/>
          <w:szCs w:val="23"/>
          <w:rtl/>
        </w:rPr>
        <w:t xml:space="preserve"> </w:t>
      </w:r>
      <w:r w:rsidRPr="00563AE6">
        <w:rPr>
          <w:rFonts w:cs="mylotus" w:hint="cs"/>
          <w:sz w:val="23"/>
          <w:szCs w:val="23"/>
          <w:rtl/>
        </w:rPr>
        <w:t>».</w:t>
      </w:r>
    </w:p>
  </w:footnote>
  <w:footnote w:id="398">
    <w:p w:rsidR="00B31118" w:rsidRPr="00563AE6" w:rsidRDefault="00B31118" w:rsidP="00B300C9">
      <w:pPr>
        <w:pStyle w:val="FootnoteText"/>
        <w:spacing w:line="228" w:lineRule="auto"/>
        <w:ind w:left="378" w:hanging="378"/>
        <w:jc w:val="both"/>
        <w:rPr>
          <w:rFonts w:cs="mylotus" w:hint="cs"/>
          <w:sz w:val="23"/>
          <w:szCs w:val="23"/>
          <w:rtl/>
        </w:rPr>
      </w:pPr>
      <w:r w:rsidRPr="00563AE6">
        <w:rPr>
          <w:rFonts w:cs="mylotus"/>
          <w:sz w:val="23"/>
          <w:szCs w:val="23"/>
          <w:rtl/>
        </w:rPr>
        <w:footnoteRef/>
      </w:r>
      <w:r>
        <w:rPr>
          <w:rFonts w:cs="mylotus"/>
          <w:sz w:val="23"/>
          <w:szCs w:val="23"/>
          <w:rtl/>
        </w:rPr>
        <w:t>-</w:t>
      </w:r>
      <w:r w:rsidRPr="00563AE6">
        <w:rPr>
          <w:rFonts w:cs="mylotus"/>
          <w:sz w:val="23"/>
          <w:szCs w:val="23"/>
          <w:rtl/>
        </w:rPr>
        <w:t xml:space="preserve"> </w:t>
      </w:r>
      <w:r w:rsidRPr="00563AE6">
        <w:rPr>
          <w:rFonts w:cs="mylotus" w:hint="cs"/>
          <w:sz w:val="23"/>
          <w:szCs w:val="23"/>
          <w:rtl/>
        </w:rPr>
        <w:t xml:space="preserve">البيهقي، السنن الكبرى، ج6، ص 342. وقد ذكر عبد الرزاق بن همام الصنعاني في </w:t>
      </w:r>
      <w:r w:rsidRPr="00563AE6">
        <w:rPr>
          <w:rFonts w:cs="mylotus"/>
          <w:sz w:val="23"/>
          <w:szCs w:val="23"/>
          <w:rtl/>
        </w:rPr>
        <w:t>«</w:t>
      </w:r>
      <w:r w:rsidRPr="00563AE6">
        <w:rPr>
          <w:rFonts w:cs="mylotus" w:hint="cs"/>
          <w:sz w:val="23"/>
          <w:szCs w:val="23"/>
          <w:rtl/>
        </w:rPr>
        <w:t>المصنف</w:t>
      </w:r>
      <w:r w:rsidRPr="00563AE6">
        <w:rPr>
          <w:rFonts w:cs="mylotus"/>
          <w:sz w:val="23"/>
          <w:szCs w:val="23"/>
          <w:rtl/>
        </w:rPr>
        <w:t>»</w:t>
      </w:r>
      <w:r w:rsidRPr="00563AE6">
        <w:rPr>
          <w:rFonts w:cs="mylotus" w:hint="cs"/>
          <w:sz w:val="23"/>
          <w:szCs w:val="23"/>
          <w:rtl/>
        </w:rPr>
        <w:t xml:space="preserve"> (ج5، ص238) نحوه أيضاً حيث أورد أن </w:t>
      </w:r>
      <w:r w:rsidRPr="00563AE6">
        <w:rPr>
          <w:rFonts w:cs="mylotus"/>
          <w:sz w:val="23"/>
          <w:szCs w:val="23"/>
          <w:rtl/>
        </w:rPr>
        <w:t>الحسن بن محمد بن على ابن الحنفية قال لما سُئل عن: قول الله تعالى:</w:t>
      </w:r>
      <w:r w:rsidRPr="00563AE6">
        <w:rPr>
          <w:rFonts w:cs="mylotus" w:hint="cs"/>
          <w:sz w:val="23"/>
          <w:szCs w:val="23"/>
          <w:rtl/>
        </w:rPr>
        <w:t xml:space="preserve"> </w:t>
      </w:r>
      <w:r w:rsidRPr="00563AE6">
        <w:rPr>
          <w:rFonts w:cs="Traditional Arabic" w:hint="cs"/>
          <w:sz w:val="23"/>
          <w:szCs w:val="23"/>
          <w:rtl/>
        </w:rPr>
        <w:t>﴿</w:t>
      </w:r>
      <w:r w:rsidRPr="00563AE6">
        <w:rPr>
          <w:rFonts w:ascii="KFGQPC Uthmanic Script HAFS" w:cs="KFGQPC Uthmanic Script HAFS" w:hint="eastAsia"/>
          <w:sz w:val="23"/>
          <w:szCs w:val="23"/>
          <w:rtl/>
        </w:rPr>
        <w:t>وَ</w:t>
      </w:r>
      <w:r w:rsidRPr="00563AE6">
        <w:rPr>
          <w:rFonts w:ascii="KFGQPC Uthmanic Script HAFS" w:cs="KFGQPC Uthmanic Script HAFS" w:hint="cs"/>
          <w:sz w:val="23"/>
          <w:szCs w:val="23"/>
          <w:rtl/>
        </w:rPr>
        <w:t>ٱ</w:t>
      </w:r>
      <w:r w:rsidRPr="00563AE6">
        <w:rPr>
          <w:rFonts w:ascii="KFGQPC Uthmanic Script HAFS" w:cs="KFGQPC Uthmanic Script HAFS" w:hint="eastAsia"/>
          <w:sz w:val="23"/>
          <w:szCs w:val="23"/>
          <w:rtl/>
        </w:rPr>
        <w:t>ع</w:t>
      </w:r>
      <w:r w:rsidRPr="00563AE6">
        <w:rPr>
          <w:rFonts w:ascii="KFGQPC Uthmanic Script HAFS" w:cs="KFGQPC Uthmanic Script HAFS" w:hint="cs"/>
          <w:sz w:val="23"/>
          <w:szCs w:val="23"/>
          <w:rtl/>
        </w:rPr>
        <w:t>ۡ</w:t>
      </w:r>
      <w:r w:rsidRPr="00563AE6">
        <w:rPr>
          <w:rFonts w:ascii="KFGQPC Uthmanic Script HAFS" w:cs="KFGQPC Uthmanic Script HAFS" w:hint="eastAsia"/>
          <w:sz w:val="23"/>
          <w:szCs w:val="23"/>
          <w:rtl/>
        </w:rPr>
        <w:t>لَمُو</w:t>
      </w:r>
      <w:r w:rsidRPr="00563AE6">
        <w:rPr>
          <w:rFonts w:ascii="KFGQPC Uthmanic Script HAFS" w:cs="KFGQPC Uthmanic Script HAFS" w:hint="cs"/>
          <w:sz w:val="23"/>
          <w:szCs w:val="23"/>
          <w:rtl/>
        </w:rPr>
        <w:t>ٓ</w:t>
      </w:r>
      <w:r w:rsidRPr="00563AE6">
        <w:rPr>
          <w:rFonts w:ascii="KFGQPC Uthmanic Script HAFS" w:cs="KFGQPC Uthmanic Script HAFS" w:hint="eastAsia"/>
          <w:sz w:val="23"/>
          <w:szCs w:val="23"/>
          <w:rtl/>
        </w:rPr>
        <w:t>اْ</w:t>
      </w:r>
      <w:r w:rsidRPr="00563AE6">
        <w:rPr>
          <w:rFonts w:ascii="KFGQPC Uthmanic Script HAFS" w:cs="KFGQPC Uthmanic Script HAFS"/>
          <w:sz w:val="23"/>
          <w:szCs w:val="23"/>
          <w:rtl/>
        </w:rPr>
        <w:t xml:space="preserve"> </w:t>
      </w:r>
      <w:r w:rsidRPr="00563AE6">
        <w:rPr>
          <w:rFonts w:ascii="KFGQPC Uthmanic Script HAFS" w:cs="KFGQPC Uthmanic Script HAFS" w:hint="eastAsia"/>
          <w:sz w:val="23"/>
          <w:szCs w:val="23"/>
          <w:rtl/>
        </w:rPr>
        <w:t>أَنَّمَا</w:t>
      </w:r>
      <w:r w:rsidRPr="00563AE6">
        <w:rPr>
          <w:rFonts w:ascii="KFGQPC Uthmanic Script HAFS" w:cs="KFGQPC Uthmanic Script HAFS"/>
          <w:sz w:val="23"/>
          <w:szCs w:val="23"/>
          <w:rtl/>
        </w:rPr>
        <w:t xml:space="preserve"> </w:t>
      </w:r>
      <w:r w:rsidRPr="00563AE6">
        <w:rPr>
          <w:rFonts w:ascii="KFGQPC Uthmanic Script HAFS" w:cs="KFGQPC Uthmanic Script HAFS" w:hint="eastAsia"/>
          <w:sz w:val="23"/>
          <w:szCs w:val="23"/>
          <w:rtl/>
        </w:rPr>
        <w:t>غَنِم</w:t>
      </w:r>
      <w:r w:rsidRPr="00563AE6">
        <w:rPr>
          <w:rFonts w:ascii="KFGQPC Uthmanic Script HAFS" w:cs="KFGQPC Uthmanic Script HAFS" w:hint="cs"/>
          <w:sz w:val="23"/>
          <w:szCs w:val="23"/>
          <w:rtl/>
        </w:rPr>
        <w:t>ۡ</w:t>
      </w:r>
      <w:r w:rsidRPr="00563AE6">
        <w:rPr>
          <w:rFonts w:ascii="KFGQPC Uthmanic Script HAFS" w:cs="KFGQPC Uthmanic Script HAFS" w:hint="eastAsia"/>
          <w:sz w:val="23"/>
          <w:szCs w:val="23"/>
          <w:rtl/>
        </w:rPr>
        <w:t>تُم</w:t>
      </w:r>
      <w:r w:rsidRPr="00563AE6">
        <w:rPr>
          <w:rFonts w:ascii="KFGQPC Uthmanic Script HAFS" w:cs="KFGQPC Uthmanic Script HAFS"/>
          <w:sz w:val="23"/>
          <w:szCs w:val="23"/>
          <w:rtl/>
        </w:rPr>
        <w:t xml:space="preserve"> </w:t>
      </w:r>
      <w:r w:rsidRPr="00563AE6">
        <w:rPr>
          <w:rFonts w:ascii="KFGQPC Uthmanic Script HAFS" w:cs="KFGQPC Uthmanic Script HAFS" w:hint="eastAsia"/>
          <w:sz w:val="23"/>
          <w:szCs w:val="23"/>
          <w:rtl/>
        </w:rPr>
        <w:t>مِّن</w:t>
      </w:r>
      <w:r w:rsidRPr="00563AE6">
        <w:rPr>
          <w:rFonts w:ascii="KFGQPC Uthmanic Script HAFS" w:cs="KFGQPC Uthmanic Script HAFS"/>
          <w:sz w:val="23"/>
          <w:szCs w:val="23"/>
          <w:rtl/>
        </w:rPr>
        <w:t xml:space="preserve"> </w:t>
      </w:r>
      <w:r w:rsidRPr="00563AE6">
        <w:rPr>
          <w:rFonts w:ascii="KFGQPC Uthmanic Script HAFS" w:cs="KFGQPC Uthmanic Script HAFS" w:hint="eastAsia"/>
          <w:sz w:val="23"/>
          <w:szCs w:val="23"/>
          <w:rtl/>
        </w:rPr>
        <w:t>شَي</w:t>
      </w:r>
      <w:r w:rsidRPr="00563AE6">
        <w:rPr>
          <w:rFonts w:ascii="KFGQPC Uthmanic Script HAFS" w:cs="KFGQPC Uthmanic Script HAFS" w:hint="cs"/>
          <w:sz w:val="23"/>
          <w:szCs w:val="23"/>
          <w:rtl/>
        </w:rPr>
        <w:t>ۡ</w:t>
      </w:r>
      <w:r w:rsidRPr="00563AE6">
        <w:rPr>
          <w:rFonts w:ascii="KFGQPC Uthmanic Script HAFS" w:cs="KFGQPC Uthmanic Script HAFS" w:hint="eastAsia"/>
          <w:sz w:val="23"/>
          <w:szCs w:val="23"/>
          <w:rtl/>
        </w:rPr>
        <w:t>ء</w:t>
      </w:r>
      <w:r w:rsidRPr="00563AE6">
        <w:rPr>
          <w:rFonts w:ascii="KFGQPC Uthmanic Script HAFS" w:cs="KFGQPC Uthmanic Script HAFS" w:hint="cs"/>
          <w:sz w:val="23"/>
          <w:szCs w:val="23"/>
          <w:rtl/>
        </w:rPr>
        <w:t>ٖ</w:t>
      </w:r>
      <w:r w:rsidRPr="00563AE6">
        <w:rPr>
          <w:rFonts w:ascii="KFGQPC Uthmanic Script HAFS" w:cs="KFGQPC Uthmanic Script HAFS"/>
          <w:sz w:val="23"/>
          <w:szCs w:val="23"/>
          <w:rtl/>
        </w:rPr>
        <w:t xml:space="preserve"> </w:t>
      </w:r>
      <w:r w:rsidRPr="00563AE6">
        <w:rPr>
          <w:rFonts w:ascii="KFGQPC Uthmanic Script HAFS" w:cs="KFGQPC Uthmanic Script HAFS" w:hint="eastAsia"/>
          <w:sz w:val="23"/>
          <w:szCs w:val="23"/>
          <w:rtl/>
        </w:rPr>
        <w:t>فَأَنَّ</w:t>
      </w:r>
      <w:r w:rsidRPr="00563AE6">
        <w:rPr>
          <w:rFonts w:ascii="KFGQPC Uthmanic Script HAFS" w:cs="KFGQPC Uthmanic Script HAFS"/>
          <w:sz w:val="23"/>
          <w:szCs w:val="23"/>
          <w:rtl/>
        </w:rPr>
        <w:t xml:space="preserve"> </w:t>
      </w:r>
      <w:r w:rsidRPr="00563AE6">
        <w:rPr>
          <w:rFonts w:ascii="KFGQPC Uthmanic Script HAFS" w:cs="KFGQPC Uthmanic Script HAFS" w:hint="eastAsia"/>
          <w:sz w:val="23"/>
          <w:szCs w:val="23"/>
          <w:rtl/>
        </w:rPr>
        <w:t>لِلَّهِ</w:t>
      </w:r>
      <w:r w:rsidRPr="00563AE6">
        <w:rPr>
          <w:rFonts w:ascii="KFGQPC Uthmanic Script HAFS" w:cs="KFGQPC Uthmanic Script HAFS"/>
          <w:sz w:val="23"/>
          <w:szCs w:val="23"/>
          <w:rtl/>
        </w:rPr>
        <w:t xml:space="preserve"> </w:t>
      </w:r>
      <w:r w:rsidRPr="00563AE6">
        <w:rPr>
          <w:rFonts w:ascii="KFGQPC Uthmanic Script HAFS" w:cs="KFGQPC Uthmanic Script HAFS" w:hint="eastAsia"/>
          <w:sz w:val="23"/>
          <w:szCs w:val="23"/>
          <w:rtl/>
        </w:rPr>
        <w:t>خُمُسَهُ</w:t>
      </w:r>
      <w:r w:rsidRPr="00563AE6">
        <w:rPr>
          <w:rFonts w:ascii="KFGQPC Uthmanic Script HAFS" w:cs="KFGQPC Uthmanic Script HAFS" w:hint="cs"/>
          <w:sz w:val="23"/>
          <w:szCs w:val="23"/>
          <w:rtl/>
        </w:rPr>
        <w:t>ۥ</w:t>
      </w:r>
      <w:r w:rsidRPr="00563AE6">
        <w:rPr>
          <w:rFonts w:ascii="KFGQPC Uthmanic Script HAFS" w:cs="KFGQPC Uthmanic Script HAFS"/>
          <w:sz w:val="23"/>
          <w:szCs w:val="23"/>
          <w:rtl/>
        </w:rPr>
        <w:t xml:space="preserve"> </w:t>
      </w:r>
      <w:r w:rsidRPr="00563AE6">
        <w:rPr>
          <w:rFonts w:ascii="KFGQPC Uthmanic Script HAFS" w:cs="KFGQPC Uthmanic Script HAFS" w:hint="eastAsia"/>
          <w:sz w:val="23"/>
          <w:szCs w:val="23"/>
          <w:rtl/>
        </w:rPr>
        <w:t>وَلِلرَّسُولِ</w:t>
      </w:r>
      <w:r w:rsidRPr="00563AE6">
        <w:rPr>
          <w:rFonts w:ascii="KFGQPC Uthmanic Script HAFS" w:cs="KFGQPC Uthmanic Script HAFS"/>
          <w:sz w:val="23"/>
          <w:szCs w:val="23"/>
          <w:rtl/>
        </w:rPr>
        <w:t xml:space="preserve"> </w:t>
      </w:r>
      <w:r w:rsidRPr="00563AE6">
        <w:rPr>
          <w:rFonts w:ascii="KFGQPC Uthmanic Script HAFS" w:cs="KFGQPC Uthmanic Script HAFS" w:hint="eastAsia"/>
          <w:sz w:val="23"/>
          <w:szCs w:val="23"/>
          <w:rtl/>
        </w:rPr>
        <w:t>وَلِذِي</w:t>
      </w:r>
      <w:r w:rsidRPr="00563AE6">
        <w:rPr>
          <w:rFonts w:ascii="KFGQPC Uthmanic Script HAFS" w:cs="KFGQPC Uthmanic Script HAFS"/>
          <w:sz w:val="23"/>
          <w:szCs w:val="23"/>
          <w:rtl/>
        </w:rPr>
        <w:t xml:space="preserve"> </w:t>
      </w:r>
      <w:r w:rsidRPr="00563AE6">
        <w:rPr>
          <w:rFonts w:ascii="KFGQPC Uthmanic Script HAFS" w:cs="KFGQPC Uthmanic Script HAFS" w:hint="cs"/>
          <w:sz w:val="23"/>
          <w:szCs w:val="23"/>
          <w:rtl/>
        </w:rPr>
        <w:t>ٱ</w:t>
      </w:r>
      <w:r w:rsidRPr="00563AE6">
        <w:rPr>
          <w:rFonts w:ascii="KFGQPC Uthmanic Script HAFS" w:cs="KFGQPC Uthmanic Script HAFS" w:hint="eastAsia"/>
          <w:sz w:val="23"/>
          <w:szCs w:val="23"/>
          <w:rtl/>
        </w:rPr>
        <w:t>ل</w:t>
      </w:r>
      <w:r w:rsidRPr="00563AE6">
        <w:rPr>
          <w:rFonts w:ascii="KFGQPC Uthmanic Script HAFS" w:cs="KFGQPC Uthmanic Script HAFS" w:hint="cs"/>
          <w:sz w:val="23"/>
          <w:szCs w:val="23"/>
          <w:rtl/>
        </w:rPr>
        <w:t>ۡ</w:t>
      </w:r>
      <w:r w:rsidRPr="00563AE6">
        <w:rPr>
          <w:rFonts w:ascii="KFGQPC Uthmanic Script HAFS" w:cs="KFGQPC Uthmanic Script HAFS" w:hint="eastAsia"/>
          <w:sz w:val="23"/>
          <w:szCs w:val="23"/>
          <w:rtl/>
        </w:rPr>
        <w:t>قُر</w:t>
      </w:r>
      <w:r w:rsidRPr="00563AE6">
        <w:rPr>
          <w:rFonts w:ascii="KFGQPC Uthmanic Script HAFS" w:cs="KFGQPC Uthmanic Script HAFS" w:hint="cs"/>
          <w:sz w:val="23"/>
          <w:szCs w:val="23"/>
          <w:rtl/>
        </w:rPr>
        <w:t>ۡ</w:t>
      </w:r>
      <w:r w:rsidRPr="00563AE6">
        <w:rPr>
          <w:rFonts w:ascii="KFGQPC Uthmanic Script HAFS" w:cs="KFGQPC Uthmanic Script HAFS" w:hint="eastAsia"/>
          <w:sz w:val="23"/>
          <w:szCs w:val="23"/>
          <w:rtl/>
        </w:rPr>
        <w:t>بَى</w:t>
      </w:r>
      <w:r w:rsidRPr="00563AE6">
        <w:rPr>
          <w:rFonts w:ascii="KFGQPC Uthmanic Script HAFS" w:cs="KFGQPC Uthmanic Script HAFS" w:hint="cs"/>
          <w:sz w:val="23"/>
          <w:szCs w:val="23"/>
          <w:rtl/>
        </w:rPr>
        <w:t>ٰ</w:t>
      </w:r>
      <w:r w:rsidRPr="00563AE6">
        <w:rPr>
          <w:rFonts w:ascii="KFGQPC Uthmanic Script HAFS" w:cs="Times New Roman" w:hint="cs"/>
          <w:sz w:val="23"/>
          <w:szCs w:val="23"/>
          <w:rtl/>
        </w:rPr>
        <w:t>...</w:t>
      </w:r>
      <w:r w:rsidRPr="00563AE6">
        <w:rPr>
          <w:rFonts w:cs="Traditional Arabic" w:hint="cs"/>
          <w:sz w:val="23"/>
          <w:szCs w:val="23"/>
          <w:rtl/>
        </w:rPr>
        <w:t>﴾</w:t>
      </w:r>
      <w:r w:rsidRPr="00563AE6">
        <w:rPr>
          <w:rFonts w:cs="mylotus"/>
          <w:sz w:val="23"/>
          <w:szCs w:val="23"/>
          <w:rtl/>
        </w:rPr>
        <w:t xml:space="preserve"> [الأنفال</w:t>
      </w:r>
      <w:r w:rsidRPr="00563AE6">
        <w:rPr>
          <w:rFonts w:cs="mylotus" w:hint="cs"/>
          <w:sz w:val="23"/>
          <w:szCs w:val="23"/>
          <w:rtl/>
        </w:rPr>
        <w:t xml:space="preserve">: </w:t>
      </w:r>
      <w:r w:rsidRPr="00563AE6">
        <w:rPr>
          <w:rFonts w:cs="mylotus"/>
          <w:sz w:val="23"/>
          <w:szCs w:val="23"/>
          <w:rtl/>
        </w:rPr>
        <w:t xml:space="preserve">41] قال: «هذا مفتاح كلام، لِـلَّهِ الدنيا والآخرة، وللرسول ولذي القربى، فاختلفوا بعد وفاة رسول الله </w:t>
      </w:r>
      <w:r w:rsidRPr="00BC4BA9">
        <w:rPr>
          <w:rFonts w:ascii="Lotus Linotype" w:hAnsi="Lotus Linotype" w:cs="CTraditional Arabic"/>
          <w:sz w:val="23"/>
          <w:szCs w:val="23"/>
          <w:rtl/>
        </w:rPr>
        <w:t>ص</w:t>
      </w:r>
      <w:r w:rsidRPr="00563AE6">
        <w:rPr>
          <w:rFonts w:ascii="Lotus Linotype" w:hAnsi="Lotus Linotype" w:cs="mylotus"/>
          <w:sz w:val="23"/>
          <w:szCs w:val="23"/>
          <w:rtl/>
        </w:rPr>
        <w:t xml:space="preserve"> </w:t>
      </w:r>
      <w:r w:rsidRPr="00563AE6">
        <w:rPr>
          <w:rFonts w:cs="mylotus"/>
          <w:sz w:val="23"/>
          <w:szCs w:val="23"/>
          <w:rtl/>
        </w:rPr>
        <w:t xml:space="preserve">في هذين السهمين، قال قائلٌ: سهم ذي القربى لقرابة النبي </w:t>
      </w:r>
      <w:r w:rsidRPr="00BC4BA9">
        <w:rPr>
          <w:rFonts w:ascii="Lotus Linotype" w:hAnsi="Lotus Linotype" w:cs="CTraditional Arabic"/>
          <w:sz w:val="23"/>
          <w:szCs w:val="23"/>
          <w:rtl/>
        </w:rPr>
        <w:t>ص</w:t>
      </w:r>
      <w:r w:rsidRPr="00563AE6">
        <w:rPr>
          <w:rFonts w:ascii="Lotus Linotype" w:hAnsi="Lotus Linotype" w:cs="mylotus"/>
          <w:sz w:val="23"/>
          <w:szCs w:val="23"/>
          <w:rtl/>
        </w:rPr>
        <w:t>،</w:t>
      </w:r>
      <w:r w:rsidRPr="00563AE6">
        <w:rPr>
          <w:rFonts w:cs="mylotus"/>
          <w:sz w:val="23"/>
          <w:szCs w:val="23"/>
          <w:rtl/>
        </w:rPr>
        <w:t xml:space="preserve"> وقال قائلٌ: سهم ذي القربى لقرابة الخليفة، واجتمع رأي أصحاب محمد </w:t>
      </w:r>
      <w:r w:rsidRPr="00BC4BA9">
        <w:rPr>
          <w:rFonts w:ascii="Lotus Linotype" w:hAnsi="Lotus Linotype" w:cs="CTraditional Arabic"/>
          <w:sz w:val="23"/>
          <w:szCs w:val="23"/>
          <w:rtl/>
        </w:rPr>
        <w:t>ص</w:t>
      </w:r>
      <w:r w:rsidRPr="00563AE6">
        <w:rPr>
          <w:rFonts w:ascii="Lotus Linotype" w:hAnsi="Lotus Linotype" w:cs="mylotus"/>
          <w:sz w:val="23"/>
          <w:szCs w:val="23"/>
          <w:rtl/>
        </w:rPr>
        <w:t xml:space="preserve"> </w:t>
      </w:r>
      <w:r w:rsidRPr="00563AE6">
        <w:rPr>
          <w:rFonts w:cs="mylotus"/>
          <w:sz w:val="23"/>
          <w:szCs w:val="23"/>
          <w:rtl/>
        </w:rPr>
        <w:t>أن يجعلوا هذين السهمين في الخيل والعدة في سبيل الله، وكان ذلك في خلافة أبي بكر وعمر»</w:t>
      </w:r>
      <w:r w:rsidRPr="00563AE6">
        <w:rPr>
          <w:rFonts w:cs="mylotus" w:hint="cs"/>
          <w:sz w:val="23"/>
          <w:szCs w:val="23"/>
          <w:rtl/>
        </w:rPr>
        <w:t>. (المُتَرْجِمُ)</w:t>
      </w:r>
    </w:p>
  </w:footnote>
  <w:footnote w:id="399">
    <w:p w:rsidR="00B31118" w:rsidRPr="00563AE6" w:rsidRDefault="00B31118" w:rsidP="00B300C9">
      <w:pPr>
        <w:pStyle w:val="FootnoteText"/>
        <w:spacing w:line="228" w:lineRule="auto"/>
        <w:ind w:left="378" w:hanging="378"/>
        <w:jc w:val="both"/>
        <w:rPr>
          <w:rFonts w:cs="mylotus" w:hint="cs"/>
          <w:sz w:val="23"/>
          <w:szCs w:val="23"/>
          <w:rtl/>
        </w:rPr>
      </w:pPr>
      <w:r w:rsidRPr="00563AE6">
        <w:rPr>
          <w:rFonts w:cs="mylotus"/>
          <w:sz w:val="23"/>
          <w:szCs w:val="23"/>
          <w:rtl/>
        </w:rPr>
        <w:footnoteRef/>
      </w:r>
      <w:r>
        <w:rPr>
          <w:rFonts w:cs="mylotus"/>
          <w:sz w:val="23"/>
          <w:szCs w:val="23"/>
          <w:rtl/>
        </w:rPr>
        <w:t>-</w:t>
      </w:r>
      <w:r w:rsidRPr="00563AE6">
        <w:rPr>
          <w:rFonts w:cs="mylotus" w:hint="cs"/>
          <w:sz w:val="23"/>
          <w:szCs w:val="23"/>
          <w:rtl/>
        </w:rPr>
        <w:t xml:space="preserve"> البيهقي، السنن الكبرى، ج6، ص 343. (المُتَرْجِمُ)</w:t>
      </w:r>
    </w:p>
  </w:footnote>
  <w:footnote w:id="400">
    <w:p w:rsidR="00B31118" w:rsidRPr="00563AE6" w:rsidRDefault="00B31118" w:rsidP="00B300C9">
      <w:pPr>
        <w:pStyle w:val="FootnoteText"/>
        <w:spacing w:line="228" w:lineRule="auto"/>
        <w:ind w:left="378" w:hanging="378"/>
        <w:jc w:val="both"/>
        <w:rPr>
          <w:rFonts w:cs="mylotus" w:hint="cs"/>
          <w:sz w:val="23"/>
          <w:szCs w:val="23"/>
        </w:rPr>
      </w:pPr>
      <w:r w:rsidRPr="00563AE6">
        <w:rPr>
          <w:rFonts w:cs="mylotus"/>
          <w:sz w:val="23"/>
          <w:szCs w:val="23"/>
          <w:rtl/>
        </w:rPr>
        <w:footnoteRef/>
      </w:r>
      <w:r>
        <w:rPr>
          <w:rFonts w:cs="mylotus"/>
          <w:sz w:val="23"/>
          <w:szCs w:val="23"/>
          <w:rtl/>
        </w:rPr>
        <w:t>-</w:t>
      </w:r>
      <w:r w:rsidRPr="00563AE6">
        <w:rPr>
          <w:rFonts w:cs="mylotus" w:hint="cs"/>
          <w:sz w:val="23"/>
          <w:szCs w:val="23"/>
          <w:rtl/>
        </w:rPr>
        <w:t xml:space="preserve"> البيهقي، السنن الكبرى، ج6، ص 343، حديث </w:t>
      </w:r>
      <w:r w:rsidRPr="00563AE6">
        <w:rPr>
          <w:rFonts w:cs="mylotus"/>
          <w:sz w:val="23"/>
          <w:szCs w:val="23"/>
          <w:rtl/>
        </w:rPr>
        <w:t>13342</w:t>
      </w:r>
      <w:r w:rsidRPr="00563AE6">
        <w:rPr>
          <w:rFonts w:cs="mylotus" w:hint="cs"/>
          <w:sz w:val="23"/>
          <w:szCs w:val="23"/>
          <w:rtl/>
        </w:rPr>
        <w:t>. (المُتَرْجِمُ)</w:t>
      </w:r>
    </w:p>
  </w:footnote>
  <w:footnote w:id="401">
    <w:p w:rsidR="00B31118" w:rsidRPr="00563AE6" w:rsidRDefault="00B31118" w:rsidP="00B300C9">
      <w:pPr>
        <w:pStyle w:val="FootnoteText"/>
        <w:spacing w:line="228" w:lineRule="auto"/>
        <w:ind w:left="378" w:hanging="378"/>
        <w:jc w:val="both"/>
        <w:rPr>
          <w:rFonts w:cs="mylotus" w:hint="cs"/>
          <w:sz w:val="23"/>
          <w:szCs w:val="23"/>
        </w:rPr>
      </w:pPr>
      <w:r w:rsidRPr="00563AE6">
        <w:rPr>
          <w:rFonts w:cs="mylotus"/>
          <w:sz w:val="23"/>
          <w:szCs w:val="23"/>
          <w:rtl/>
        </w:rPr>
        <w:footnoteRef/>
      </w:r>
      <w:r>
        <w:rPr>
          <w:rFonts w:cs="mylotus"/>
          <w:sz w:val="23"/>
          <w:szCs w:val="23"/>
          <w:rtl/>
        </w:rPr>
        <w:t>-</w:t>
      </w:r>
      <w:r w:rsidRPr="00563AE6">
        <w:rPr>
          <w:rFonts w:cs="mylotus"/>
          <w:sz w:val="23"/>
          <w:szCs w:val="23"/>
          <w:rtl/>
        </w:rPr>
        <w:t xml:space="preserve"> </w:t>
      </w:r>
      <w:r w:rsidRPr="00563AE6">
        <w:rPr>
          <w:rFonts w:cs="mylotus" w:hint="cs"/>
          <w:sz w:val="23"/>
          <w:szCs w:val="23"/>
          <w:rtl/>
        </w:rPr>
        <w:t xml:space="preserve">يشير المؤلف إلى ما رواه الحافظ </w:t>
      </w:r>
      <w:r w:rsidRPr="00563AE6">
        <w:rPr>
          <w:rFonts w:cs="mylotus"/>
          <w:sz w:val="23"/>
          <w:szCs w:val="23"/>
          <w:rtl/>
        </w:rPr>
        <w:t xml:space="preserve">عبد الرزاق بن همام الصنعاني </w:t>
      </w:r>
      <w:r w:rsidRPr="00563AE6">
        <w:rPr>
          <w:rFonts w:cs="mylotus" w:hint="cs"/>
          <w:sz w:val="23"/>
          <w:szCs w:val="23"/>
          <w:rtl/>
        </w:rPr>
        <w:t xml:space="preserve">الشيعي </w:t>
      </w:r>
      <w:r w:rsidRPr="00563AE6">
        <w:rPr>
          <w:rFonts w:cs="mylotus"/>
          <w:sz w:val="23"/>
          <w:szCs w:val="23"/>
          <w:rtl/>
        </w:rPr>
        <w:t>في كتابه «المصنَّف»</w:t>
      </w:r>
      <w:r w:rsidRPr="00563AE6">
        <w:rPr>
          <w:rFonts w:cs="mylotus" w:hint="cs"/>
          <w:sz w:val="23"/>
          <w:szCs w:val="23"/>
          <w:rtl/>
        </w:rPr>
        <w:t xml:space="preserve">، </w:t>
      </w:r>
      <w:r w:rsidRPr="00563AE6">
        <w:rPr>
          <w:rFonts w:cs="mylotus"/>
          <w:sz w:val="23"/>
          <w:szCs w:val="23"/>
          <w:rtl/>
        </w:rPr>
        <w:t>ج 5، ص 238</w:t>
      </w:r>
      <w:r w:rsidRPr="00563AE6">
        <w:rPr>
          <w:rFonts w:cs="mylotus" w:hint="cs"/>
          <w:sz w:val="23"/>
          <w:szCs w:val="23"/>
          <w:rtl/>
        </w:rPr>
        <w:t xml:space="preserve">، </w:t>
      </w:r>
      <w:r w:rsidRPr="00563AE6">
        <w:rPr>
          <w:rFonts w:cs="mylotus"/>
          <w:sz w:val="23"/>
          <w:szCs w:val="23"/>
          <w:rtl/>
        </w:rPr>
        <w:t>ح</w:t>
      </w:r>
      <w:r w:rsidRPr="00563AE6">
        <w:rPr>
          <w:rFonts w:cs="mylotus" w:hint="cs"/>
          <w:sz w:val="23"/>
          <w:szCs w:val="23"/>
          <w:rtl/>
        </w:rPr>
        <w:t>ديث</w:t>
      </w:r>
      <w:r w:rsidRPr="00563AE6">
        <w:rPr>
          <w:rFonts w:cs="mylotus"/>
          <w:sz w:val="23"/>
          <w:szCs w:val="23"/>
          <w:rtl/>
        </w:rPr>
        <w:t xml:space="preserve"> 9482</w:t>
      </w:r>
      <w:r w:rsidRPr="00563AE6">
        <w:rPr>
          <w:rFonts w:cs="mylotus" w:hint="cs"/>
          <w:sz w:val="23"/>
          <w:szCs w:val="23"/>
          <w:rtl/>
        </w:rPr>
        <w:t>، وقد أورد المؤلف هذه لرواية سابقا في ص94 من هذا الكتاب فراجعها ثمة. (المُتَرْجِمُ)</w:t>
      </w:r>
    </w:p>
  </w:footnote>
  <w:footnote w:id="402">
    <w:p w:rsidR="00B31118" w:rsidRPr="00563AE6" w:rsidRDefault="00B31118" w:rsidP="00B300C9">
      <w:pPr>
        <w:pStyle w:val="FootnoteText"/>
        <w:spacing w:line="228" w:lineRule="auto"/>
        <w:ind w:left="378" w:hanging="378"/>
        <w:jc w:val="both"/>
        <w:rPr>
          <w:rFonts w:cs="mylotus" w:hint="cs"/>
          <w:sz w:val="23"/>
          <w:szCs w:val="23"/>
        </w:rPr>
      </w:pPr>
      <w:r w:rsidRPr="00563AE6">
        <w:rPr>
          <w:rFonts w:cs="mylotus"/>
          <w:sz w:val="23"/>
          <w:szCs w:val="23"/>
          <w:rtl/>
        </w:rPr>
        <w:footnoteRef/>
      </w:r>
      <w:r>
        <w:rPr>
          <w:rFonts w:cs="mylotus"/>
          <w:sz w:val="23"/>
          <w:szCs w:val="23"/>
          <w:rtl/>
        </w:rPr>
        <w:t>-</w:t>
      </w:r>
      <w:r w:rsidRPr="00563AE6">
        <w:rPr>
          <w:rFonts w:cs="mylotus"/>
          <w:sz w:val="23"/>
          <w:szCs w:val="23"/>
          <w:rtl/>
        </w:rPr>
        <w:t xml:space="preserve"> </w:t>
      </w:r>
      <w:r w:rsidRPr="00563AE6">
        <w:rPr>
          <w:rFonts w:cs="mylotus" w:hint="cs"/>
          <w:sz w:val="23"/>
          <w:szCs w:val="23"/>
          <w:rtl/>
        </w:rPr>
        <w:t xml:space="preserve">وهو في </w:t>
      </w:r>
      <w:r w:rsidRPr="00563AE6">
        <w:rPr>
          <w:rFonts w:cs="mylotus"/>
          <w:sz w:val="23"/>
          <w:szCs w:val="23"/>
          <w:rtl/>
        </w:rPr>
        <w:t>بحار الأنوار</w:t>
      </w:r>
      <w:r w:rsidRPr="00563AE6">
        <w:rPr>
          <w:rFonts w:cs="mylotus" w:hint="cs"/>
          <w:sz w:val="23"/>
          <w:szCs w:val="23"/>
          <w:rtl/>
        </w:rPr>
        <w:t xml:space="preserve">، </w:t>
      </w:r>
      <w:r w:rsidRPr="00563AE6">
        <w:rPr>
          <w:rFonts w:cs="mylotus"/>
          <w:sz w:val="23"/>
          <w:szCs w:val="23"/>
          <w:rtl/>
        </w:rPr>
        <w:t>ج 93،  ص 198</w:t>
      </w:r>
      <w:r w:rsidRPr="00563AE6">
        <w:rPr>
          <w:rFonts w:cs="mylotus" w:hint="cs"/>
          <w:sz w:val="23"/>
          <w:szCs w:val="23"/>
          <w:rtl/>
        </w:rPr>
        <w:t xml:space="preserve"> من طبعة بيروت الحديثة. (المُتَرْجِمُ)</w:t>
      </w:r>
    </w:p>
  </w:footnote>
  <w:footnote w:id="403">
    <w:p w:rsidR="00B31118" w:rsidRPr="00563AE6" w:rsidRDefault="00B31118" w:rsidP="00A1493A">
      <w:pPr>
        <w:pStyle w:val="FootnoteText"/>
        <w:spacing w:line="228" w:lineRule="auto"/>
        <w:ind w:left="380" w:hanging="380"/>
        <w:jc w:val="both"/>
        <w:rPr>
          <w:rFonts w:cs="mylotus" w:hint="cs"/>
          <w:sz w:val="23"/>
          <w:szCs w:val="23"/>
          <w:rtl/>
        </w:rPr>
      </w:pPr>
      <w:r w:rsidRPr="00563AE6">
        <w:rPr>
          <w:rFonts w:cs="mylotus"/>
          <w:sz w:val="23"/>
          <w:szCs w:val="23"/>
          <w:rtl/>
        </w:rPr>
        <w:footnoteRef/>
      </w:r>
      <w:r>
        <w:rPr>
          <w:rFonts w:cs="mylotus"/>
          <w:sz w:val="23"/>
          <w:szCs w:val="23"/>
          <w:rtl/>
        </w:rPr>
        <w:t>-</w:t>
      </w:r>
      <w:r w:rsidRPr="00563AE6">
        <w:rPr>
          <w:rFonts w:cs="mylotus"/>
          <w:sz w:val="23"/>
          <w:szCs w:val="23"/>
          <w:rtl/>
        </w:rPr>
        <w:t xml:space="preserve"> </w:t>
      </w:r>
      <w:r w:rsidRPr="00563AE6">
        <w:rPr>
          <w:rFonts w:cs="mylotus" w:hint="cs"/>
          <w:sz w:val="23"/>
          <w:szCs w:val="23"/>
          <w:rtl/>
        </w:rPr>
        <w:t xml:space="preserve">يقصد </w:t>
      </w:r>
      <w:r w:rsidRPr="00563AE6">
        <w:rPr>
          <w:rFonts w:cs="mylotus"/>
          <w:sz w:val="23"/>
          <w:szCs w:val="23"/>
          <w:rtl/>
        </w:rPr>
        <w:t>الشيخ: حمزة بن عبد العزيز الديلمي الطبرستاني، أبو يعلى، الملقب بسلار أو سالار (</w:t>
      </w:r>
      <w:r w:rsidRPr="00563AE6">
        <w:rPr>
          <w:rFonts w:cs="mylotus" w:hint="cs"/>
          <w:sz w:val="23"/>
          <w:szCs w:val="23"/>
          <w:rtl/>
        </w:rPr>
        <w:t>المت</w:t>
      </w:r>
      <w:r w:rsidRPr="00563AE6">
        <w:rPr>
          <w:rFonts w:cs="mylotus"/>
          <w:sz w:val="23"/>
          <w:szCs w:val="23"/>
          <w:rtl/>
        </w:rPr>
        <w:t>وف</w:t>
      </w:r>
      <w:r w:rsidRPr="00563AE6">
        <w:rPr>
          <w:rFonts w:cs="mylotus" w:hint="cs"/>
          <w:sz w:val="23"/>
          <w:szCs w:val="23"/>
          <w:rtl/>
        </w:rPr>
        <w:t>ى سنة</w:t>
      </w:r>
      <w:r w:rsidRPr="00563AE6">
        <w:rPr>
          <w:rFonts w:cs="mylotus"/>
          <w:sz w:val="23"/>
          <w:szCs w:val="23"/>
          <w:rtl/>
        </w:rPr>
        <w:t xml:space="preserve"> 463هـ)</w:t>
      </w:r>
      <w:r w:rsidRPr="00563AE6">
        <w:rPr>
          <w:rFonts w:cs="mylotus" w:hint="cs"/>
          <w:sz w:val="23"/>
          <w:szCs w:val="23"/>
          <w:rtl/>
        </w:rPr>
        <w:t xml:space="preserve">، في كتابه </w:t>
      </w:r>
      <w:r w:rsidRPr="00563AE6">
        <w:rPr>
          <w:rFonts w:cs="mylotus"/>
          <w:sz w:val="23"/>
          <w:szCs w:val="23"/>
          <w:rtl/>
        </w:rPr>
        <w:t>«المراسم العلوية والأحكام النبوية»</w:t>
      </w:r>
      <w:r w:rsidRPr="00563AE6">
        <w:rPr>
          <w:rFonts w:cs="mylotus" w:hint="cs"/>
          <w:sz w:val="23"/>
          <w:szCs w:val="23"/>
          <w:rtl/>
        </w:rPr>
        <w:t>، كما مرت الإشارة إلى ذلك ص 241 من هذا الكتاب فراجعه. (المُتَرْجِمُ)</w:t>
      </w:r>
    </w:p>
  </w:footnote>
  <w:footnote w:id="404">
    <w:p w:rsidR="00B31118" w:rsidRPr="00563AE6" w:rsidRDefault="00B31118" w:rsidP="00B300C9">
      <w:pPr>
        <w:pStyle w:val="FootnoteText"/>
        <w:spacing w:line="228" w:lineRule="auto"/>
        <w:ind w:left="378" w:hanging="378"/>
        <w:jc w:val="both"/>
        <w:rPr>
          <w:rFonts w:cs="mylotus" w:hint="cs"/>
          <w:sz w:val="23"/>
          <w:szCs w:val="23"/>
          <w:rtl/>
        </w:rPr>
      </w:pPr>
      <w:r w:rsidRPr="00563AE6">
        <w:rPr>
          <w:rFonts w:cs="mylotus"/>
          <w:sz w:val="23"/>
          <w:szCs w:val="23"/>
          <w:rtl/>
        </w:rPr>
        <w:footnoteRef/>
      </w:r>
      <w:r>
        <w:rPr>
          <w:rFonts w:cs="mylotus"/>
          <w:sz w:val="23"/>
          <w:szCs w:val="23"/>
          <w:rtl/>
        </w:rPr>
        <w:t>-</w:t>
      </w:r>
      <w:r w:rsidRPr="00563AE6">
        <w:rPr>
          <w:rFonts w:cs="mylotus" w:hint="cs"/>
          <w:sz w:val="23"/>
          <w:szCs w:val="23"/>
          <w:rtl/>
        </w:rPr>
        <w:t xml:space="preserve"> تجديد الدوارس، ج 5، ص 311.</w:t>
      </w:r>
    </w:p>
  </w:footnote>
  <w:footnote w:id="405">
    <w:p w:rsidR="00B31118" w:rsidRPr="00563AE6" w:rsidRDefault="00B31118" w:rsidP="00B300C9">
      <w:pPr>
        <w:pStyle w:val="FootnoteText"/>
        <w:spacing w:line="228" w:lineRule="auto"/>
        <w:ind w:left="378" w:hanging="378"/>
        <w:jc w:val="both"/>
        <w:rPr>
          <w:rFonts w:cs="mylotus" w:hint="cs"/>
          <w:sz w:val="23"/>
          <w:szCs w:val="23"/>
          <w:rtl/>
        </w:rPr>
      </w:pPr>
      <w:r w:rsidRPr="00563AE6">
        <w:rPr>
          <w:rFonts w:cs="mylotus"/>
          <w:sz w:val="23"/>
          <w:szCs w:val="23"/>
          <w:rtl/>
        </w:rPr>
        <w:footnoteRef/>
      </w:r>
      <w:r>
        <w:rPr>
          <w:rFonts w:cs="mylotus"/>
          <w:sz w:val="23"/>
          <w:szCs w:val="23"/>
          <w:rtl/>
        </w:rPr>
        <w:t>-</w:t>
      </w:r>
      <w:r w:rsidRPr="00563AE6">
        <w:rPr>
          <w:rFonts w:cs="mylotus" w:hint="cs"/>
          <w:sz w:val="23"/>
          <w:szCs w:val="23"/>
          <w:rtl/>
        </w:rPr>
        <w:t xml:space="preserve"> </w:t>
      </w:r>
      <w:r w:rsidRPr="00563AE6">
        <w:rPr>
          <w:rFonts w:cs="mylotus"/>
          <w:sz w:val="23"/>
          <w:szCs w:val="23"/>
          <w:rtl/>
        </w:rPr>
        <w:t>حاج آقا رضا الهمداني</w:t>
      </w:r>
      <w:r w:rsidRPr="00563AE6">
        <w:rPr>
          <w:rFonts w:cs="mylotus" w:hint="cs"/>
          <w:sz w:val="23"/>
          <w:szCs w:val="23"/>
          <w:rtl/>
        </w:rPr>
        <w:t xml:space="preserve">، </w:t>
      </w:r>
      <w:r w:rsidRPr="00563AE6">
        <w:rPr>
          <w:rFonts w:cs="mylotus"/>
          <w:sz w:val="23"/>
          <w:szCs w:val="23"/>
          <w:rtl/>
        </w:rPr>
        <w:t>مصباح الفقيه</w:t>
      </w:r>
      <w:r w:rsidRPr="00563AE6">
        <w:rPr>
          <w:rFonts w:cs="mylotus" w:hint="cs"/>
          <w:sz w:val="23"/>
          <w:szCs w:val="23"/>
          <w:rtl/>
        </w:rPr>
        <w:t xml:space="preserve">، </w:t>
      </w:r>
      <w:r w:rsidRPr="00563AE6">
        <w:rPr>
          <w:rFonts w:cs="mylotus"/>
          <w:sz w:val="23"/>
          <w:szCs w:val="23"/>
          <w:rtl/>
        </w:rPr>
        <w:t>ج3، ص</w:t>
      </w:r>
      <w:r w:rsidRPr="00563AE6">
        <w:rPr>
          <w:rFonts w:cs="mylotus" w:hint="cs"/>
          <w:sz w:val="23"/>
          <w:szCs w:val="23"/>
          <w:rtl/>
        </w:rPr>
        <w:t xml:space="preserve"> </w:t>
      </w:r>
      <w:r w:rsidRPr="00563AE6">
        <w:rPr>
          <w:rFonts w:cs="mylotus"/>
          <w:sz w:val="23"/>
          <w:szCs w:val="23"/>
          <w:rtl/>
        </w:rPr>
        <w:t>158</w:t>
      </w:r>
      <w:r w:rsidRPr="00563AE6">
        <w:rPr>
          <w:rFonts w:cs="mylotus" w:hint="cs"/>
          <w:sz w:val="23"/>
          <w:szCs w:val="23"/>
          <w:rtl/>
        </w:rPr>
        <w:t>.</w:t>
      </w:r>
    </w:p>
  </w:footnote>
  <w:footnote w:id="406">
    <w:p w:rsidR="00B31118" w:rsidRPr="00563AE6" w:rsidRDefault="00B31118" w:rsidP="00B300C9">
      <w:pPr>
        <w:pStyle w:val="FootnoteText"/>
        <w:spacing w:line="228" w:lineRule="auto"/>
        <w:ind w:left="378" w:hanging="378"/>
        <w:jc w:val="both"/>
        <w:rPr>
          <w:rFonts w:cs="mylotus" w:hint="cs"/>
          <w:sz w:val="23"/>
          <w:szCs w:val="23"/>
        </w:rPr>
      </w:pPr>
      <w:r w:rsidRPr="00563AE6">
        <w:rPr>
          <w:rFonts w:cs="mylotus"/>
          <w:sz w:val="23"/>
          <w:szCs w:val="23"/>
          <w:rtl/>
        </w:rPr>
        <w:footnoteRef/>
      </w:r>
      <w:r>
        <w:rPr>
          <w:rFonts w:cs="mylotus"/>
          <w:sz w:val="23"/>
          <w:szCs w:val="23"/>
          <w:rtl/>
        </w:rPr>
        <w:t>-</w:t>
      </w:r>
      <w:r w:rsidRPr="00563AE6">
        <w:rPr>
          <w:rFonts w:cs="mylotus" w:hint="cs"/>
          <w:sz w:val="23"/>
          <w:szCs w:val="23"/>
          <w:rtl/>
        </w:rPr>
        <w:t xml:space="preserve"> الشيخ الطوسي، النهاية، طبع بيروت، ص 200.</w:t>
      </w:r>
    </w:p>
  </w:footnote>
  <w:footnote w:id="407">
    <w:p w:rsidR="00B31118" w:rsidRPr="00563AE6" w:rsidRDefault="00B31118" w:rsidP="00B300C9">
      <w:pPr>
        <w:pStyle w:val="FootnoteText"/>
        <w:spacing w:line="228" w:lineRule="auto"/>
        <w:ind w:left="378" w:hanging="378"/>
        <w:jc w:val="both"/>
        <w:rPr>
          <w:rFonts w:cs="mylotus" w:hint="cs"/>
          <w:sz w:val="23"/>
          <w:szCs w:val="23"/>
          <w:rtl/>
        </w:rPr>
      </w:pPr>
      <w:r w:rsidRPr="00563AE6">
        <w:rPr>
          <w:rFonts w:cs="mylotus"/>
          <w:sz w:val="23"/>
          <w:szCs w:val="23"/>
          <w:rtl/>
        </w:rPr>
        <w:footnoteRef/>
      </w:r>
      <w:r>
        <w:rPr>
          <w:rFonts w:cs="mylotus"/>
          <w:sz w:val="23"/>
          <w:szCs w:val="23"/>
          <w:rtl/>
        </w:rPr>
        <w:t>-</w:t>
      </w:r>
      <w:r w:rsidRPr="00563AE6">
        <w:rPr>
          <w:rFonts w:cs="mylotus" w:hint="cs"/>
          <w:sz w:val="23"/>
          <w:szCs w:val="23"/>
          <w:rtl/>
        </w:rPr>
        <w:t xml:space="preserve"> </w:t>
      </w:r>
      <w:r w:rsidRPr="00563AE6">
        <w:rPr>
          <w:rFonts w:cs="mylotus"/>
          <w:sz w:val="23"/>
          <w:szCs w:val="23"/>
          <w:rtl/>
        </w:rPr>
        <w:t xml:space="preserve">قال المحقق السبزواري في ذخيرة المعاد (ج 1 ق 3،  ص 492، من الطبعة القديمة): </w:t>
      </w:r>
      <w:r w:rsidRPr="00563AE6">
        <w:rPr>
          <w:rFonts w:cs="mylotus" w:hint="cs"/>
          <w:sz w:val="23"/>
          <w:szCs w:val="23"/>
          <w:rtl/>
        </w:rPr>
        <w:t xml:space="preserve">«... </w:t>
      </w:r>
      <w:r w:rsidRPr="00563AE6">
        <w:rPr>
          <w:rFonts w:cs="mylotus"/>
          <w:sz w:val="23"/>
          <w:szCs w:val="23"/>
          <w:rtl/>
        </w:rPr>
        <w:t>وقد ذكرنا سابقا</w:t>
      </w:r>
      <w:r w:rsidRPr="00563AE6">
        <w:rPr>
          <w:rFonts w:cs="mylotus" w:hint="cs"/>
          <w:sz w:val="23"/>
          <w:szCs w:val="23"/>
          <w:rtl/>
        </w:rPr>
        <w:t>ً</w:t>
      </w:r>
      <w:r w:rsidRPr="00563AE6">
        <w:rPr>
          <w:rFonts w:cs="mylotus"/>
          <w:sz w:val="23"/>
          <w:szCs w:val="23"/>
          <w:rtl/>
        </w:rPr>
        <w:t xml:space="preserve"> ترجيح سقوط خمس الأرباح في زمان الغيبة والمستفاد من الأخبار الكثيرة السابقة في بحث الأرباح "كصحيحة الحرث بن المغيرة النضري وصحيحة الفضلاء وصحيحة زرارة وصحيحة علي بن مهزيار وصحيحة ضريس وحسنة الفضيل ورواية محمد بن مسلم ورواية داود بن كثير ورواية الحرث بن المغيرة النضري ورواية معاذ بن كثير ورواية إسحاق بن يعقوب ورواية عبد الله ابن سنان ورواية حكم مؤذن بن</w:t>
      </w:r>
      <w:r w:rsidRPr="00563AE6">
        <w:rPr>
          <w:rFonts w:cs="mylotus" w:hint="cs"/>
          <w:sz w:val="23"/>
          <w:szCs w:val="23"/>
          <w:rtl/>
        </w:rPr>
        <w:t>ي</w:t>
      </w:r>
      <w:r w:rsidRPr="00563AE6">
        <w:rPr>
          <w:rFonts w:cs="mylotus"/>
          <w:sz w:val="23"/>
          <w:szCs w:val="23"/>
          <w:rtl/>
        </w:rPr>
        <w:t xml:space="preserve"> ع</w:t>
      </w:r>
      <w:r w:rsidRPr="00563AE6">
        <w:rPr>
          <w:rFonts w:cs="mylotus" w:hint="cs"/>
          <w:sz w:val="23"/>
          <w:szCs w:val="23"/>
          <w:rtl/>
        </w:rPr>
        <w:t>ب</w:t>
      </w:r>
      <w:r w:rsidRPr="00563AE6">
        <w:rPr>
          <w:rFonts w:cs="mylotus"/>
          <w:sz w:val="23"/>
          <w:szCs w:val="23"/>
          <w:rtl/>
        </w:rPr>
        <w:t>س إباحة الخمس ( مطلقا</w:t>
      </w:r>
      <w:r w:rsidRPr="00563AE6">
        <w:rPr>
          <w:rFonts w:cs="mylotus" w:hint="cs"/>
          <w:sz w:val="23"/>
          <w:szCs w:val="23"/>
          <w:rtl/>
        </w:rPr>
        <w:t>ً</w:t>
      </w:r>
      <w:r w:rsidRPr="00563AE6">
        <w:rPr>
          <w:rFonts w:cs="mylotus"/>
          <w:sz w:val="23"/>
          <w:szCs w:val="23"/>
          <w:rtl/>
        </w:rPr>
        <w:t xml:space="preserve"> ) للشيعة"</w:t>
      </w:r>
      <w:r w:rsidRPr="00563AE6">
        <w:rPr>
          <w:rFonts w:cs="mylotus" w:hint="cs"/>
          <w:sz w:val="23"/>
          <w:szCs w:val="23"/>
          <w:rtl/>
        </w:rPr>
        <w:t xml:space="preserve">. </w:t>
      </w:r>
      <w:r w:rsidRPr="00563AE6">
        <w:rPr>
          <w:rFonts w:cs="mylotus"/>
          <w:sz w:val="23"/>
          <w:szCs w:val="23"/>
          <w:rtl/>
        </w:rPr>
        <w:t xml:space="preserve">لكن يبقى على القول به </w:t>
      </w:r>
      <w:r w:rsidRPr="00563AE6">
        <w:rPr>
          <w:rFonts w:cs="mylotus" w:hint="cs"/>
          <w:sz w:val="23"/>
          <w:szCs w:val="23"/>
          <w:rtl/>
        </w:rPr>
        <w:t>إشكالات</w:t>
      </w:r>
      <w:r w:rsidRPr="00563AE6">
        <w:rPr>
          <w:rFonts w:cs="mylotus"/>
          <w:sz w:val="23"/>
          <w:szCs w:val="23"/>
          <w:rtl/>
        </w:rPr>
        <w:t xml:space="preserve"> منها </w:t>
      </w:r>
      <w:r w:rsidRPr="00563AE6">
        <w:rPr>
          <w:rFonts w:cs="mylotus" w:hint="cs"/>
          <w:sz w:val="23"/>
          <w:szCs w:val="23"/>
          <w:rtl/>
        </w:rPr>
        <w:t>أن</w:t>
      </w:r>
      <w:r w:rsidRPr="00563AE6">
        <w:rPr>
          <w:rFonts w:cs="mylotus"/>
          <w:sz w:val="23"/>
          <w:szCs w:val="23"/>
          <w:rtl/>
        </w:rPr>
        <w:t xml:space="preserve"> التحليل يختص </w:t>
      </w:r>
      <w:r w:rsidRPr="00563AE6">
        <w:rPr>
          <w:rFonts w:cs="mylotus" w:hint="cs"/>
          <w:sz w:val="23"/>
          <w:szCs w:val="23"/>
          <w:rtl/>
        </w:rPr>
        <w:t>بالإمام</w:t>
      </w:r>
      <w:r w:rsidRPr="00563AE6">
        <w:rPr>
          <w:rFonts w:cs="mylotus"/>
          <w:sz w:val="23"/>
          <w:szCs w:val="23"/>
          <w:rtl/>
        </w:rPr>
        <w:t xml:space="preserve"> الذي يصدر منه الحكم إذ لا معنى لتحليل غير صاحب الحق فلا يلزم عموم الحكم وجوابه </w:t>
      </w:r>
      <w:r w:rsidRPr="00563AE6">
        <w:rPr>
          <w:rFonts w:cs="mylotus" w:hint="cs"/>
          <w:sz w:val="23"/>
          <w:szCs w:val="23"/>
          <w:rtl/>
        </w:rPr>
        <w:t>أن</w:t>
      </w:r>
      <w:r w:rsidRPr="00563AE6">
        <w:rPr>
          <w:rFonts w:cs="mylotus"/>
          <w:sz w:val="23"/>
          <w:szCs w:val="23"/>
          <w:rtl/>
        </w:rPr>
        <w:t xml:space="preserve"> ظاهر التعليل بطيب الولادة المذكور في بعض الأخبار والتصريح بدوام الحكم في بعضها </w:t>
      </w:r>
      <w:r w:rsidRPr="00563AE6">
        <w:rPr>
          <w:rFonts w:cs="mylotus" w:hint="cs"/>
          <w:sz w:val="23"/>
          <w:szCs w:val="23"/>
          <w:rtl/>
        </w:rPr>
        <w:t>وإسناد</w:t>
      </w:r>
      <w:r w:rsidRPr="00563AE6">
        <w:rPr>
          <w:rFonts w:cs="mylotus"/>
          <w:sz w:val="23"/>
          <w:szCs w:val="23"/>
          <w:rtl/>
        </w:rPr>
        <w:t xml:space="preserve"> التحليل بصيغة الجمع في بعضها يقتضى تحقق التحليل منهم (ع) جميعا</w:t>
      </w:r>
      <w:r w:rsidRPr="00563AE6">
        <w:rPr>
          <w:rFonts w:cs="mylotus" w:hint="cs"/>
          <w:sz w:val="23"/>
          <w:szCs w:val="23"/>
          <w:rtl/>
        </w:rPr>
        <w:t>ً</w:t>
      </w:r>
      <w:r w:rsidRPr="00563AE6">
        <w:rPr>
          <w:rFonts w:cs="mylotus"/>
          <w:sz w:val="23"/>
          <w:szCs w:val="23"/>
          <w:rtl/>
        </w:rPr>
        <w:t xml:space="preserve"> ويكفى في ثبوته </w:t>
      </w:r>
      <w:r w:rsidRPr="00563AE6">
        <w:rPr>
          <w:rFonts w:cs="mylotus" w:hint="cs"/>
          <w:sz w:val="23"/>
          <w:szCs w:val="23"/>
          <w:rtl/>
        </w:rPr>
        <w:t>إ</w:t>
      </w:r>
      <w:r w:rsidRPr="00563AE6">
        <w:rPr>
          <w:rFonts w:cs="mylotus"/>
          <w:sz w:val="23"/>
          <w:szCs w:val="23"/>
          <w:rtl/>
        </w:rPr>
        <w:t>خبار بعضهم (ع) بذلك وقد أشار إلى ذلك المحقق وغيره</w:t>
      </w:r>
      <w:r w:rsidRPr="00563AE6">
        <w:rPr>
          <w:rFonts w:cs="mylotus" w:hint="cs"/>
          <w:sz w:val="23"/>
          <w:szCs w:val="23"/>
          <w:rtl/>
        </w:rPr>
        <w:t>».</w:t>
      </w:r>
    </w:p>
  </w:footnote>
  <w:footnote w:id="408">
    <w:p w:rsidR="00B31118" w:rsidRPr="00563AE6" w:rsidRDefault="00B31118" w:rsidP="00B300C9">
      <w:pPr>
        <w:pStyle w:val="FootnoteText"/>
        <w:spacing w:line="228" w:lineRule="auto"/>
        <w:ind w:left="378" w:hanging="378"/>
        <w:jc w:val="both"/>
        <w:rPr>
          <w:rFonts w:cs="mylotus" w:hint="cs"/>
          <w:sz w:val="23"/>
          <w:szCs w:val="23"/>
          <w:rtl/>
        </w:rPr>
      </w:pPr>
      <w:r w:rsidRPr="00563AE6">
        <w:rPr>
          <w:rFonts w:cs="mylotus"/>
          <w:sz w:val="23"/>
          <w:szCs w:val="23"/>
          <w:rtl/>
        </w:rPr>
        <w:footnoteRef/>
      </w:r>
      <w:r>
        <w:rPr>
          <w:rFonts w:cs="mylotus"/>
          <w:sz w:val="23"/>
          <w:szCs w:val="23"/>
          <w:rtl/>
        </w:rPr>
        <w:t>-</w:t>
      </w:r>
      <w:r w:rsidRPr="00563AE6">
        <w:rPr>
          <w:rFonts w:cs="mylotus"/>
          <w:sz w:val="23"/>
          <w:szCs w:val="23"/>
          <w:rtl/>
        </w:rPr>
        <w:t xml:space="preserve"> </w:t>
      </w:r>
      <w:r w:rsidRPr="00563AE6">
        <w:rPr>
          <w:rFonts w:cs="mylotus" w:hint="cs"/>
          <w:sz w:val="23"/>
          <w:szCs w:val="23"/>
          <w:rtl/>
        </w:rPr>
        <w:t xml:space="preserve">الشيخ يوسف البحراني (1186هـ)، الحدائق الناضرة في أحكام العترة الطاهرة، قم: مؤسسة النشر التابعة لجماعة المدرسين، قام بنشره الشيخ على الآخوندي. ج12،  </w:t>
      </w:r>
      <w:r w:rsidRPr="00563AE6">
        <w:rPr>
          <w:rFonts w:cs="mylotus"/>
          <w:sz w:val="23"/>
          <w:szCs w:val="23"/>
          <w:rtl/>
        </w:rPr>
        <w:t xml:space="preserve">ص </w:t>
      </w:r>
      <w:r w:rsidRPr="00563AE6">
        <w:rPr>
          <w:rFonts w:cs="mylotus" w:hint="cs"/>
          <w:sz w:val="23"/>
          <w:szCs w:val="23"/>
          <w:rtl/>
        </w:rPr>
        <w:t>4</w:t>
      </w:r>
      <w:r w:rsidRPr="00563AE6">
        <w:rPr>
          <w:rFonts w:cs="mylotus"/>
          <w:sz w:val="23"/>
          <w:szCs w:val="23"/>
          <w:rtl/>
        </w:rPr>
        <w:t>38-</w:t>
      </w:r>
      <w:r w:rsidRPr="00563AE6">
        <w:rPr>
          <w:rFonts w:cs="mylotus" w:hint="cs"/>
          <w:sz w:val="23"/>
          <w:szCs w:val="23"/>
          <w:rtl/>
        </w:rPr>
        <w:t>4</w:t>
      </w:r>
      <w:r w:rsidRPr="00563AE6">
        <w:rPr>
          <w:rFonts w:cs="mylotus"/>
          <w:sz w:val="23"/>
          <w:szCs w:val="23"/>
          <w:rtl/>
        </w:rPr>
        <w:t>39</w:t>
      </w:r>
      <w:r w:rsidRPr="00563AE6">
        <w:rPr>
          <w:rFonts w:cs="mylotus" w:hint="cs"/>
          <w:sz w:val="23"/>
          <w:szCs w:val="23"/>
          <w:rtl/>
        </w:rPr>
        <w:t>. (المُتَرْجِمُ)</w:t>
      </w:r>
    </w:p>
  </w:footnote>
  <w:footnote w:id="409">
    <w:p w:rsidR="00B31118" w:rsidRPr="00563AE6" w:rsidRDefault="00B31118" w:rsidP="00B300C9">
      <w:pPr>
        <w:pStyle w:val="FootnoteText"/>
        <w:spacing w:line="228" w:lineRule="auto"/>
        <w:ind w:left="378" w:hanging="378"/>
        <w:jc w:val="both"/>
        <w:rPr>
          <w:rFonts w:cs="mylotus" w:hint="cs"/>
          <w:sz w:val="23"/>
          <w:szCs w:val="23"/>
          <w:rtl/>
        </w:rPr>
      </w:pPr>
      <w:r w:rsidRPr="00563AE6">
        <w:rPr>
          <w:rFonts w:cs="mylotus"/>
          <w:sz w:val="23"/>
          <w:szCs w:val="23"/>
          <w:rtl/>
        </w:rPr>
        <w:footnoteRef/>
      </w:r>
      <w:r>
        <w:rPr>
          <w:rFonts w:cs="mylotus"/>
          <w:sz w:val="23"/>
          <w:szCs w:val="23"/>
          <w:rtl/>
        </w:rPr>
        <w:t>-</w:t>
      </w:r>
      <w:r w:rsidRPr="00563AE6">
        <w:rPr>
          <w:rFonts w:cs="mylotus" w:hint="cs"/>
          <w:sz w:val="23"/>
          <w:szCs w:val="23"/>
          <w:rtl/>
        </w:rPr>
        <w:t xml:space="preserve"> </w:t>
      </w:r>
      <w:r w:rsidRPr="00563AE6">
        <w:rPr>
          <w:rFonts w:cs="mylotus"/>
          <w:sz w:val="23"/>
          <w:szCs w:val="23"/>
          <w:rtl/>
        </w:rPr>
        <w:t>العلامة الحلي، مختلف الشيعة،</w:t>
      </w:r>
      <w:r w:rsidRPr="00563AE6">
        <w:rPr>
          <w:rFonts w:cs="mylotus" w:hint="cs"/>
          <w:sz w:val="23"/>
          <w:szCs w:val="23"/>
          <w:rtl/>
        </w:rPr>
        <w:t xml:space="preserve"> ج 2، ص 31. [أو:</w:t>
      </w:r>
      <w:r w:rsidRPr="00563AE6">
        <w:rPr>
          <w:rFonts w:cs="mylotus"/>
          <w:sz w:val="23"/>
          <w:szCs w:val="23"/>
          <w:rtl/>
        </w:rPr>
        <w:t xml:space="preserve"> ج3،  ص</w:t>
      </w:r>
      <w:r w:rsidRPr="00563AE6">
        <w:rPr>
          <w:rFonts w:cs="mylotus" w:hint="cs"/>
          <w:sz w:val="23"/>
          <w:szCs w:val="23"/>
          <w:rtl/>
        </w:rPr>
        <w:t xml:space="preserve">314 من الطبعة الجديدة في </w:t>
      </w:r>
      <w:r w:rsidRPr="00563AE6">
        <w:rPr>
          <w:rFonts w:cs="mylotus"/>
          <w:sz w:val="23"/>
          <w:szCs w:val="23"/>
          <w:rtl/>
        </w:rPr>
        <w:t xml:space="preserve">قم، مؤسسة النشر الإسلامي التابعة لجماعة المدرسين، 1413هـ. </w:t>
      </w:r>
      <w:r w:rsidRPr="00563AE6">
        <w:rPr>
          <w:rFonts w:cs="mylotus" w:hint="cs"/>
          <w:sz w:val="23"/>
          <w:szCs w:val="23"/>
          <w:rtl/>
        </w:rPr>
        <w:t>(المُتَرْجِمُ)]</w:t>
      </w:r>
    </w:p>
  </w:footnote>
  <w:footnote w:id="410">
    <w:p w:rsidR="00B31118" w:rsidRPr="00563AE6" w:rsidRDefault="00B31118" w:rsidP="00B300C9">
      <w:pPr>
        <w:pStyle w:val="FootnoteText"/>
        <w:spacing w:line="228" w:lineRule="auto"/>
        <w:ind w:left="378" w:hanging="378"/>
        <w:jc w:val="both"/>
        <w:rPr>
          <w:rFonts w:cs="mylotus" w:hint="cs"/>
          <w:sz w:val="23"/>
          <w:szCs w:val="23"/>
          <w:rtl/>
        </w:rPr>
      </w:pPr>
      <w:r w:rsidRPr="00563AE6">
        <w:rPr>
          <w:rFonts w:cs="mylotus"/>
          <w:sz w:val="23"/>
          <w:szCs w:val="23"/>
          <w:rtl/>
        </w:rPr>
        <w:footnoteRef/>
      </w:r>
      <w:r>
        <w:rPr>
          <w:rFonts w:cs="mylotus"/>
          <w:sz w:val="23"/>
          <w:szCs w:val="23"/>
          <w:rtl/>
        </w:rPr>
        <w:t>-</w:t>
      </w:r>
      <w:r w:rsidRPr="00563AE6">
        <w:rPr>
          <w:rFonts w:cs="mylotus" w:hint="cs"/>
          <w:sz w:val="23"/>
          <w:szCs w:val="23"/>
          <w:rtl/>
        </w:rPr>
        <w:t xml:space="preserve"> </w:t>
      </w:r>
      <w:r w:rsidRPr="00563AE6">
        <w:rPr>
          <w:rFonts w:cs="mylotus"/>
          <w:sz w:val="23"/>
          <w:szCs w:val="23"/>
          <w:rtl/>
        </w:rPr>
        <w:t>مختلف الشيعة،</w:t>
      </w:r>
      <w:r w:rsidRPr="00563AE6">
        <w:rPr>
          <w:rFonts w:cs="mylotus" w:hint="cs"/>
          <w:sz w:val="23"/>
          <w:szCs w:val="23"/>
          <w:rtl/>
        </w:rPr>
        <w:t xml:space="preserve"> ج 2، ص 39. [ أو:</w:t>
      </w:r>
      <w:r w:rsidRPr="00563AE6">
        <w:rPr>
          <w:rFonts w:cs="mylotus"/>
          <w:sz w:val="23"/>
          <w:szCs w:val="23"/>
          <w:rtl/>
        </w:rPr>
        <w:t xml:space="preserve"> ج3،  ص 351</w:t>
      </w:r>
      <w:r w:rsidRPr="00563AE6">
        <w:rPr>
          <w:rFonts w:cs="mylotus" w:hint="cs"/>
          <w:sz w:val="23"/>
          <w:szCs w:val="23"/>
          <w:rtl/>
        </w:rPr>
        <w:t xml:space="preserve"> من الطبعة الجديدة في قم (المُتَرْجِمُ)]</w:t>
      </w:r>
    </w:p>
  </w:footnote>
  <w:footnote w:id="411">
    <w:p w:rsidR="00B31118" w:rsidRPr="00563AE6" w:rsidRDefault="00B31118" w:rsidP="00B300C9">
      <w:pPr>
        <w:pStyle w:val="FootnoteText"/>
        <w:spacing w:line="228" w:lineRule="auto"/>
        <w:ind w:left="378" w:hanging="378"/>
        <w:jc w:val="both"/>
        <w:rPr>
          <w:rFonts w:cs="mylotus" w:hint="cs"/>
          <w:sz w:val="23"/>
          <w:szCs w:val="23"/>
          <w:rtl/>
        </w:rPr>
      </w:pPr>
      <w:r w:rsidRPr="00563AE6">
        <w:rPr>
          <w:rFonts w:cs="mylotus"/>
          <w:sz w:val="23"/>
          <w:szCs w:val="23"/>
          <w:rtl/>
        </w:rPr>
        <w:footnoteRef/>
      </w:r>
      <w:r>
        <w:rPr>
          <w:rFonts w:cs="mylotus"/>
          <w:sz w:val="23"/>
          <w:szCs w:val="23"/>
          <w:rtl/>
        </w:rPr>
        <w:t>-</w:t>
      </w:r>
      <w:r w:rsidRPr="00563AE6">
        <w:rPr>
          <w:rFonts w:cs="mylotus" w:hint="cs"/>
          <w:sz w:val="23"/>
          <w:szCs w:val="23"/>
          <w:rtl/>
        </w:rPr>
        <w:t xml:space="preserve"> الشيخ المفيد، المقنعة، ص 46. </w:t>
      </w:r>
    </w:p>
  </w:footnote>
  <w:footnote w:id="412">
    <w:p w:rsidR="00B31118" w:rsidRPr="00563AE6" w:rsidRDefault="00B31118" w:rsidP="00B300C9">
      <w:pPr>
        <w:pStyle w:val="FootnoteText"/>
        <w:spacing w:line="228" w:lineRule="auto"/>
        <w:ind w:left="378" w:hanging="378"/>
        <w:jc w:val="both"/>
        <w:rPr>
          <w:rFonts w:cs="mylotus" w:hint="cs"/>
          <w:sz w:val="23"/>
          <w:szCs w:val="23"/>
          <w:rtl/>
        </w:rPr>
      </w:pPr>
      <w:r w:rsidRPr="00563AE6">
        <w:rPr>
          <w:rFonts w:cs="mylotus"/>
          <w:sz w:val="23"/>
          <w:szCs w:val="23"/>
          <w:rtl/>
        </w:rPr>
        <w:footnoteRef/>
      </w:r>
      <w:r>
        <w:rPr>
          <w:rFonts w:cs="mylotus"/>
          <w:sz w:val="23"/>
          <w:szCs w:val="23"/>
          <w:rtl/>
        </w:rPr>
        <w:t>-</w:t>
      </w:r>
      <w:r w:rsidRPr="00563AE6">
        <w:rPr>
          <w:rFonts w:cs="mylotus" w:hint="cs"/>
          <w:sz w:val="23"/>
          <w:szCs w:val="23"/>
          <w:rtl/>
        </w:rPr>
        <w:t xml:space="preserve"> المحقق الحلي، شرائع الإسلام، ص 35. [أو: ج 1، ص 137 في الطبعة الجديدة، طهران، انتشارات استقلال، تعليق السيد صادق الشيرازي، 1409 هـ، في أربعة مجلدات. (المُتَرْجِمُ)]</w:t>
      </w:r>
    </w:p>
  </w:footnote>
  <w:footnote w:id="413">
    <w:p w:rsidR="00B31118" w:rsidRPr="00563AE6" w:rsidRDefault="00B31118" w:rsidP="00B300C9">
      <w:pPr>
        <w:pStyle w:val="FootnoteText"/>
        <w:spacing w:line="228" w:lineRule="auto"/>
        <w:jc w:val="both"/>
        <w:rPr>
          <w:rFonts w:cs="mylotus" w:hint="cs"/>
          <w:sz w:val="23"/>
          <w:szCs w:val="23"/>
          <w:rtl/>
          <w:lang w:bidi="ar-SY"/>
        </w:rPr>
      </w:pPr>
      <w:r w:rsidRPr="00563AE6">
        <w:rPr>
          <w:rStyle w:val="FootnoteReference"/>
          <w:rFonts w:cs="mylotus"/>
          <w:sz w:val="23"/>
          <w:szCs w:val="23"/>
          <w:vertAlign w:val="baseline"/>
          <w:rtl/>
          <w:lang w:bidi="ar-SY"/>
        </w:rPr>
        <w:footnoteRef/>
      </w:r>
      <w:r>
        <w:rPr>
          <w:rFonts w:cs="mylotus"/>
          <w:sz w:val="23"/>
          <w:szCs w:val="23"/>
          <w:rtl/>
          <w:lang w:bidi="ar-SY"/>
        </w:rPr>
        <w:t>-</w:t>
      </w:r>
      <w:r w:rsidRPr="00563AE6">
        <w:rPr>
          <w:rFonts w:cs="mylotus" w:hint="cs"/>
          <w:sz w:val="23"/>
          <w:szCs w:val="23"/>
          <w:rtl/>
          <w:lang w:bidi="ar-SY"/>
        </w:rPr>
        <w:t xml:space="preserve"> الحدائق الناضرة، ج 12، ص 442.</w:t>
      </w:r>
    </w:p>
  </w:footnote>
  <w:footnote w:id="414">
    <w:p w:rsidR="00B31118" w:rsidRPr="00563AE6" w:rsidRDefault="00B31118" w:rsidP="00B300C9">
      <w:pPr>
        <w:pStyle w:val="FootnoteText"/>
        <w:spacing w:line="228" w:lineRule="auto"/>
        <w:ind w:left="378" w:hanging="378"/>
        <w:jc w:val="both"/>
        <w:rPr>
          <w:rFonts w:cs="mylotus" w:hint="cs"/>
          <w:sz w:val="23"/>
          <w:szCs w:val="23"/>
          <w:rtl/>
        </w:rPr>
      </w:pPr>
      <w:r w:rsidRPr="00563AE6">
        <w:rPr>
          <w:rFonts w:cs="mylotus"/>
          <w:sz w:val="23"/>
          <w:szCs w:val="23"/>
          <w:rtl/>
        </w:rPr>
        <w:footnoteRef/>
      </w:r>
      <w:r>
        <w:rPr>
          <w:rFonts w:cs="mylotus"/>
          <w:sz w:val="23"/>
          <w:szCs w:val="23"/>
          <w:rtl/>
        </w:rPr>
        <w:t>-</w:t>
      </w:r>
      <w:r w:rsidRPr="00563AE6">
        <w:rPr>
          <w:rFonts w:cs="mylotus"/>
          <w:sz w:val="23"/>
          <w:szCs w:val="23"/>
          <w:rtl/>
        </w:rPr>
        <w:t xml:space="preserve"> </w:t>
      </w:r>
      <w:r w:rsidRPr="00563AE6">
        <w:rPr>
          <w:rFonts w:cs="mylotus" w:hint="cs"/>
          <w:sz w:val="23"/>
          <w:szCs w:val="23"/>
          <w:rtl/>
        </w:rPr>
        <w:t xml:space="preserve">جاء هذا القول لصاحب </w:t>
      </w:r>
      <w:r w:rsidRPr="00563AE6">
        <w:rPr>
          <w:rFonts w:ascii="Lotus Linotype" w:hAnsi="Lotus Linotype" w:cs="mylotus"/>
          <w:sz w:val="23"/>
          <w:szCs w:val="23"/>
          <w:rtl/>
        </w:rPr>
        <w:t>«</w:t>
      </w:r>
      <w:r w:rsidRPr="00563AE6">
        <w:rPr>
          <w:rFonts w:ascii="Lotus Linotype" w:hAnsi="Lotus Linotype" w:cs="mylotus" w:hint="cs"/>
          <w:sz w:val="23"/>
          <w:szCs w:val="23"/>
          <w:rtl/>
        </w:rPr>
        <w:t>مدارك الأحكام في شرح شرائع الإسلام</w:t>
      </w:r>
      <w:r w:rsidRPr="00563AE6">
        <w:rPr>
          <w:rFonts w:ascii="Lotus Linotype" w:hAnsi="Lotus Linotype" w:cs="mylotus"/>
          <w:sz w:val="23"/>
          <w:szCs w:val="23"/>
          <w:rtl/>
        </w:rPr>
        <w:t>»</w:t>
      </w:r>
      <w:r w:rsidRPr="00563AE6">
        <w:rPr>
          <w:rFonts w:ascii="Lotus Linotype" w:hAnsi="Lotus Linotype" w:cs="mylotus" w:hint="cs"/>
          <w:sz w:val="23"/>
          <w:szCs w:val="23"/>
          <w:rtl/>
        </w:rPr>
        <w:t xml:space="preserve"> </w:t>
      </w:r>
      <w:r w:rsidRPr="00563AE6">
        <w:rPr>
          <w:rFonts w:cs="mylotus" w:hint="cs"/>
          <w:sz w:val="23"/>
          <w:szCs w:val="23"/>
          <w:rtl/>
        </w:rPr>
        <w:t>في آخر كتاب الخمس على النحو التالي: «والأصح</w:t>
      </w:r>
      <w:r w:rsidRPr="00563AE6">
        <w:rPr>
          <w:rFonts w:cs="mylotus"/>
          <w:sz w:val="23"/>
          <w:szCs w:val="23"/>
          <w:rtl/>
        </w:rPr>
        <w:t xml:space="preserve"> إباحة ما يتعلق </w:t>
      </w:r>
      <w:r w:rsidRPr="00563AE6">
        <w:rPr>
          <w:rFonts w:cs="mylotus" w:hint="cs"/>
          <w:sz w:val="23"/>
          <w:szCs w:val="23"/>
          <w:rtl/>
        </w:rPr>
        <w:t>بالإمام</w:t>
      </w:r>
      <w:r w:rsidRPr="00563AE6">
        <w:rPr>
          <w:rFonts w:cs="mylotus"/>
          <w:sz w:val="23"/>
          <w:szCs w:val="23"/>
          <w:rtl/>
        </w:rPr>
        <w:t xml:space="preserve"> </w:t>
      </w:r>
      <w:r w:rsidRPr="003C7AEB">
        <w:rPr>
          <w:rFonts w:cs="CTraditional Arabic"/>
          <w:sz w:val="23"/>
          <w:szCs w:val="23"/>
          <w:rtl/>
        </w:rPr>
        <w:t>÷</w:t>
      </w:r>
      <w:r w:rsidRPr="00563AE6">
        <w:rPr>
          <w:rFonts w:cs="mylotus"/>
          <w:sz w:val="23"/>
          <w:szCs w:val="23"/>
          <w:rtl/>
        </w:rPr>
        <w:t xml:space="preserve"> من ذلك خاصة، </w:t>
      </w:r>
      <w:r w:rsidRPr="00563AE6">
        <w:rPr>
          <w:rFonts w:cs="mylotus" w:hint="cs"/>
          <w:sz w:val="23"/>
          <w:szCs w:val="23"/>
          <w:rtl/>
        </w:rPr>
        <w:t>للأخبار</w:t>
      </w:r>
      <w:r w:rsidRPr="00563AE6">
        <w:rPr>
          <w:rFonts w:cs="mylotus"/>
          <w:sz w:val="23"/>
          <w:szCs w:val="23"/>
          <w:rtl/>
        </w:rPr>
        <w:t xml:space="preserve"> الكثيرة الدالة عليه، كصحيحة علي بن مهزيار، قال : قرأت في كتاب</w:t>
      </w:r>
      <w:r w:rsidRPr="00563AE6">
        <w:rPr>
          <w:rFonts w:cs="mylotus" w:hint="cs"/>
          <w:sz w:val="23"/>
          <w:szCs w:val="23"/>
          <w:rtl/>
        </w:rPr>
        <w:t xml:space="preserve"> </w:t>
      </w:r>
      <w:r w:rsidRPr="00563AE6">
        <w:rPr>
          <w:rFonts w:cs="mylotus"/>
          <w:sz w:val="23"/>
          <w:szCs w:val="23"/>
          <w:rtl/>
        </w:rPr>
        <w:t>ل</w:t>
      </w:r>
      <w:r w:rsidRPr="00563AE6">
        <w:rPr>
          <w:rFonts w:cs="mylotus" w:hint="cs"/>
          <w:sz w:val="23"/>
          <w:szCs w:val="23"/>
          <w:rtl/>
        </w:rPr>
        <w:t>أ</w:t>
      </w:r>
      <w:r w:rsidRPr="00563AE6">
        <w:rPr>
          <w:rFonts w:cs="mylotus"/>
          <w:sz w:val="23"/>
          <w:szCs w:val="23"/>
          <w:rtl/>
        </w:rPr>
        <w:t xml:space="preserve">بي جعفر </w:t>
      </w:r>
      <w:r w:rsidRPr="003C7AEB">
        <w:rPr>
          <w:rFonts w:cs="CTraditional Arabic"/>
          <w:sz w:val="23"/>
          <w:szCs w:val="23"/>
          <w:rtl/>
        </w:rPr>
        <w:t>÷</w:t>
      </w:r>
      <w:r w:rsidRPr="00563AE6">
        <w:rPr>
          <w:rFonts w:cs="mylotus"/>
          <w:sz w:val="23"/>
          <w:szCs w:val="23"/>
          <w:rtl/>
        </w:rPr>
        <w:t xml:space="preserve"> من رجل يسأله أن يجعله في حل من مأكله ومشربه من الخمس</w:t>
      </w:r>
      <w:r w:rsidRPr="00563AE6">
        <w:rPr>
          <w:rFonts w:cs="mylotus" w:hint="cs"/>
          <w:sz w:val="23"/>
          <w:szCs w:val="23"/>
          <w:rtl/>
        </w:rPr>
        <w:t xml:space="preserve"> </w:t>
      </w:r>
      <w:r w:rsidRPr="00563AE6">
        <w:rPr>
          <w:rFonts w:cs="mylotus"/>
          <w:sz w:val="23"/>
          <w:szCs w:val="23"/>
          <w:rtl/>
        </w:rPr>
        <w:t>فكتب بخطه</w:t>
      </w:r>
      <w:r w:rsidRPr="00563AE6">
        <w:rPr>
          <w:rFonts w:cs="mylotus" w:hint="cs"/>
          <w:sz w:val="23"/>
          <w:szCs w:val="23"/>
          <w:rtl/>
        </w:rPr>
        <w:t>:</w:t>
      </w:r>
      <w:r w:rsidRPr="00563AE6">
        <w:rPr>
          <w:rFonts w:cs="mylotus"/>
          <w:sz w:val="23"/>
          <w:szCs w:val="23"/>
          <w:rtl/>
        </w:rPr>
        <w:t xml:space="preserve"> </w:t>
      </w:r>
      <w:r w:rsidRPr="00563AE6">
        <w:rPr>
          <w:rFonts w:cs="mylotus" w:hint="cs"/>
          <w:sz w:val="23"/>
          <w:szCs w:val="23"/>
          <w:rtl/>
        </w:rPr>
        <w:t>"</w:t>
      </w:r>
      <w:r w:rsidRPr="00563AE6">
        <w:rPr>
          <w:rFonts w:cs="mylotus"/>
          <w:sz w:val="23"/>
          <w:szCs w:val="23"/>
          <w:rtl/>
        </w:rPr>
        <w:t>من أعوزه ش</w:t>
      </w:r>
      <w:r w:rsidRPr="00563AE6">
        <w:rPr>
          <w:rFonts w:cs="mylotus" w:hint="cs"/>
          <w:sz w:val="23"/>
          <w:szCs w:val="23"/>
          <w:rtl/>
        </w:rPr>
        <w:t>يءٌ</w:t>
      </w:r>
      <w:r w:rsidRPr="00563AE6">
        <w:rPr>
          <w:rFonts w:cs="mylotus"/>
          <w:sz w:val="23"/>
          <w:szCs w:val="23"/>
          <w:rtl/>
        </w:rPr>
        <w:t xml:space="preserve"> من حقي فهو في حل</w:t>
      </w:r>
      <w:r w:rsidRPr="00563AE6">
        <w:rPr>
          <w:rFonts w:cs="mylotus" w:hint="cs"/>
          <w:sz w:val="23"/>
          <w:szCs w:val="23"/>
          <w:rtl/>
        </w:rPr>
        <w:t xml:space="preserve">".». </w:t>
      </w:r>
    </w:p>
    <w:p w:rsidR="00B31118" w:rsidRPr="00563AE6" w:rsidRDefault="00B31118" w:rsidP="00B300C9">
      <w:pPr>
        <w:pStyle w:val="FootnoteText"/>
        <w:spacing w:line="228" w:lineRule="auto"/>
        <w:ind w:left="378"/>
        <w:jc w:val="both"/>
        <w:rPr>
          <w:rFonts w:cs="mylotus" w:hint="cs"/>
          <w:sz w:val="23"/>
          <w:szCs w:val="23"/>
          <w:rtl/>
        </w:rPr>
      </w:pPr>
      <w:r w:rsidRPr="00563AE6">
        <w:rPr>
          <w:rFonts w:cs="mylotus" w:hint="cs"/>
          <w:sz w:val="23"/>
          <w:szCs w:val="23"/>
          <w:rtl/>
        </w:rPr>
        <w:t>ثم أورد أخبار التحليل، ونقل أقوال وأراء فقهاء الشيعة في هذا الموضوع ثم ختم ذلك بقوله: «</w:t>
      </w:r>
      <w:r w:rsidRPr="00563AE6">
        <w:rPr>
          <w:rFonts w:cs="mylotus"/>
          <w:sz w:val="23"/>
          <w:szCs w:val="23"/>
          <w:rtl/>
        </w:rPr>
        <w:t>و ك</w:t>
      </w:r>
      <w:r w:rsidRPr="00563AE6">
        <w:rPr>
          <w:rFonts w:cs="mylotus" w:hint="cs"/>
          <w:sz w:val="23"/>
          <w:szCs w:val="23"/>
          <w:rtl/>
        </w:rPr>
        <w:t>ي</w:t>
      </w:r>
      <w:r w:rsidRPr="00563AE6">
        <w:rPr>
          <w:rFonts w:cs="mylotus" w:hint="eastAsia"/>
          <w:sz w:val="23"/>
          <w:szCs w:val="23"/>
          <w:rtl/>
        </w:rPr>
        <w:t>ف</w:t>
      </w:r>
      <w:r w:rsidRPr="00563AE6">
        <w:rPr>
          <w:rFonts w:cs="mylotus"/>
          <w:sz w:val="23"/>
          <w:szCs w:val="23"/>
          <w:rtl/>
        </w:rPr>
        <w:t xml:space="preserve"> كان فالمستفاد من</w:t>
      </w:r>
      <w:r w:rsidRPr="00563AE6">
        <w:rPr>
          <w:rFonts w:cs="Times New Roman" w:hint="cs"/>
          <w:sz w:val="23"/>
          <w:szCs w:val="23"/>
          <w:rtl/>
        </w:rPr>
        <w:t>‌</w:t>
      </w:r>
      <w:r w:rsidRPr="00563AE6">
        <w:rPr>
          <w:rFonts w:ascii="Lotus Linotype" w:hAnsi="Lotus Linotype" w:cs="mylotus" w:hint="cs"/>
          <w:sz w:val="23"/>
          <w:szCs w:val="23"/>
          <w:rtl/>
        </w:rPr>
        <w:t xml:space="preserve"> الأخبار المقدمة إباحة حقوقهم من جم</w:t>
      </w:r>
      <w:r w:rsidRPr="00563AE6">
        <w:rPr>
          <w:rFonts w:cs="mylotus" w:hint="cs"/>
          <w:sz w:val="23"/>
          <w:szCs w:val="23"/>
          <w:rtl/>
        </w:rPr>
        <w:t>ي</w:t>
      </w:r>
      <w:r w:rsidRPr="00563AE6">
        <w:rPr>
          <w:rFonts w:cs="mylotus" w:hint="eastAsia"/>
          <w:sz w:val="23"/>
          <w:szCs w:val="23"/>
          <w:rtl/>
        </w:rPr>
        <w:t>ع</w:t>
      </w:r>
      <w:r w:rsidRPr="00563AE6">
        <w:rPr>
          <w:rFonts w:cs="mylotus"/>
          <w:sz w:val="23"/>
          <w:szCs w:val="23"/>
          <w:rtl/>
        </w:rPr>
        <w:t xml:space="preserve"> ذلك</w:t>
      </w:r>
      <w:r w:rsidRPr="00563AE6">
        <w:rPr>
          <w:rFonts w:cs="mylotus" w:hint="cs"/>
          <w:sz w:val="23"/>
          <w:szCs w:val="23"/>
          <w:rtl/>
        </w:rPr>
        <w:t>». (المُتَرْجِمُ)</w:t>
      </w:r>
    </w:p>
  </w:footnote>
  <w:footnote w:id="415">
    <w:p w:rsidR="00B31118" w:rsidRPr="00563AE6" w:rsidRDefault="00B31118" w:rsidP="00B300C9">
      <w:pPr>
        <w:pStyle w:val="FootnoteText"/>
        <w:spacing w:line="228" w:lineRule="auto"/>
        <w:ind w:left="378" w:hanging="378"/>
        <w:jc w:val="both"/>
        <w:rPr>
          <w:rFonts w:cs="mylotus" w:hint="cs"/>
          <w:sz w:val="23"/>
          <w:szCs w:val="23"/>
          <w:rtl/>
        </w:rPr>
      </w:pPr>
      <w:r w:rsidRPr="00563AE6">
        <w:rPr>
          <w:rFonts w:cs="mylotus"/>
          <w:sz w:val="23"/>
          <w:szCs w:val="23"/>
          <w:rtl/>
        </w:rPr>
        <w:footnoteRef/>
      </w:r>
      <w:r>
        <w:rPr>
          <w:rFonts w:cs="mylotus"/>
          <w:sz w:val="23"/>
          <w:szCs w:val="23"/>
          <w:rtl/>
        </w:rPr>
        <w:t>-</w:t>
      </w:r>
      <w:r w:rsidRPr="00563AE6">
        <w:rPr>
          <w:rFonts w:cs="mylotus" w:hint="cs"/>
          <w:sz w:val="23"/>
          <w:szCs w:val="23"/>
          <w:rtl/>
        </w:rPr>
        <w:t xml:space="preserve"> الشيخ الطوسي، تهذيب الأحكام، ج 4، ص 142.</w:t>
      </w:r>
    </w:p>
  </w:footnote>
  <w:footnote w:id="416">
    <w:p w:rsidR="00B31118" w:rsidRPr="00563AE6" w:rsidRDefault="00B31118" w:rsidP="00B300C9">
      <w:pPr>
        <w:pStyle w:val="FootnoteText"/>
        <w:spacing w:line="228" w:lineRule="auto"/>
        <w:ind w:left="378" w:hanging="378"/>
        <w:jc w:val="both"/>
        <w:rPr>
          <w:rFonts w:cs="mylotus" w:hint="cs"/>
          <w:sz w:val="23"/>
          <w:szCs w:val="23"/>
          <w:rtl/>
        </w:rPr>
      </w:pPr>
      <w:r w:rsidRPr="00563AE6">
        <w:rPr>
          <w:rFonts w:cs="mylotus"/>
          <w:sz w:val="23"/>
          <w:szCs w:val="23"/>
          <w:rtl/>
        </w:rPr>
        <w:footnoteRef/>
      </w:r>
      <w:r>
        <w:rPr>
          <w:rFonts w:cs="mylotus"/>
          <w:sz w:val="23"/>
          <w:szCs w:val="23"/>
          <w:rtl/>
        </w:rPr>
        <w:t>-</w:t>
      </w:r>
      <w:r w:rsidRPr="00563AE6">
        <w:rPr>
          <w:rFonts w:cs="mylotus" w:hint="cs"/>
          <w:sz w:val="23"/>
          <w:szCs w:val="23"/>
          <w:rtl/>
        </w:rPr>
        <w:t xml:space="preserve"> الفيض الكاشاني، مفاتيح الشرائع، ج 1، ص 229.  </w:t>
      </w:r>
    </w:p>
  </w:footnote>
  <w:footnote w:id="417">
    <w:p w:rsidR="00B31118" w:rsidRPr="00563AE6" w:rsidRDefault="00B31118" w:rsidP="00B300C9">
      <w:pPr>
        <w:pStyle w:val="FootnoteText"/>
        <w:spacing w:line="228" w:lineRule="auto"/>
        <w:ind w:left="378" w:hanging="378"/>
        <w:jc w:val="both"/>
        <w:rPr>
          <w:rFonts w:cs="mylotus" w:hint="cs"/>
          <w:sz w:val="23"/>
          <w:szCs w:val="23"/>
          <w:rtl/>
          <w:lang w:bidi="ar-SY"/>
        </w:rPr>
      </w:pPr>
      <w:r w:rsidRPr="00563AE6">
        <w:rPr>
          <w:rFonts w:cs="mylotus"/>
          <w:sz w:val="23"/>
          <w:szCs w:val="23"/>
          <w:rtl/>
        </w:rPr>
        <w:footnoteRef/>
      </w:r>
      <w:r>
        <w:rPr>
          <w:rFonts w:cs="mylotus"/>
          <w:sz w:val="23"/>
          <w:szCs w:val="23"/>
          <w:rtl/>
        </w:rPr>
        <w:t>-</w:t>
      </w:r>
      <w:r w:rsidRPr="00563AE6">
        <w:rPr>
          <w:rFonts w:cs="mylotus" w:hint="cs"/>
          <w:sz w:val="23"/>
          <w:szCs w:val="23"/>
          <w:rtl/>
        </w:rPr>
        <w:t xml:space="preserve"> محمد تقي المجلسي، لوامع صاحبقراني (بالفارسية)، ج 2، ص 51 [ أو: ج 5، ص 589 - 590، من الطبعة الثانية في قم، مؤسسة إسماعيليان، 1414هـ.ق. (المُتَرْجِمُ)].</w:t>
      </w:r>
    </w:p>
  </w:footnote>
  <w:footnote w:id="418">
    <w:p w:rsidR="00B31118" w:rsidRPr="00563AE6" w:rsidRDefault="00B31118" w:rsidP="00B300C9">
      <w:pPr>
        <w:pStyle w:val="FootnoteText"/>
        <w:spacing w:line="228" w:lineRule="auto"/>
        <w:ind w:left="378" w:hanging="378"/>
        <w:jc w:val="both"/>
        <w:rPr>
          <w:rFonts w:cs="mylotus" w:hint="cs"/>
          <w:sz w:val="23"/>
          <w:szCs w:val="23"/>
          <w:rtl/>
        </w:rPr>
      </w:pPr>
      <w:r w:rsidRPr="00563AE6">
        <w:rPr>
          <w:rFonts w:cs="mylotus"/>
          <w:sz w:val="23"/>
          <w:szCs w:val="23"/>
          <w:rtl/>
        </w:rPr>
        <w:footnoteRef/>
      </w:r>
      <w:r>
        <w:rPr>
          <w:rFonts w:cs="mylotus"/>
          <w:sz w:val="23"/>
          <w:szCs w:val="23"/>
          <w:rtl/>
        </w:rPr>
        <w:t>-</w:t>
      </w:r>
      <w:r w:rsidRPr="00563AE6">
        <w:rPr>
          <w:rFonts w:cs="mylotus" w:hint="cs"/>
          <w:sz w:val="23"/>
          <w:szCs w:val="23"/>
          <w:rtl/>
        </w:rPr>
        <w:t xml:space="preserve"> ابن الشهيد الثاني، منتقى الجمان، ج 2، ص 145. </w:t>
      </w:r>
    </w:p>
  </w:footnote>
  <w:footnote w:id="419">
    <w:p w:rsidR="00B31118" w:rsidRPr="00563AE6" w:rsidRDefault="00B31118" w:rsidP="00B300C9">
      <w:pPr>
        <w:pStyle w:val="FootnoteText"/>
        <w:spacing w:line="228" w:lineRule="auto"/>
        <w:ind w:left="378" w:hanging="378"/>
        <w:jc w:val="both"/>
        <w:rPr>
          <w:rFonts w:cs="mylotus" w:hint="cs"/>
          <w:sz w:val="23"/>
          <w:szCs w:val="23"/>
          <w:rtl/>
        </w:rPr>
      </w:pPr>
      <w:r w:rsidRPr="00563AE6">
        <w:rPr>
          <w:rFonts w:cs="mylotus"/>
          <w:sz w:val="23"/>
          <w:szCs w:val="23"/>
          <w:rtl/>
        </w:rPr>
        <w:footnoteRef/>
      </w:r>
      <w:r>
        <w:rPr>
          <w:rFonts w:cs="mylotus"/>
          <w:sz w:val="23"/>
          <w:szCs w:val="23"/>
          <w:rtl/>
        </w:rPr>
        <w:t>-</w:t>
      </w:r>
      <w:r w:rsidRPr="00563AE6">
        <w:rPr>
          <w:rFonts w:cs="mylotus"/>
          <w:sz w:val="23"/>
          <w:szCs w:val="23"/>
          <w:rtl/>
        </w:rPr>
        <w:t xml:space="preserve"> </w:t>
      </w:r>
      <w:r w:rsidRPr="00563AE6">
        <w:rPr>
          <w:rFonts w:cs="mylotus" w:hint="cs"/>
          <w:sz w:val="23"/>
          <w:szCs w:val="23"/>
          <w:rtl/>
        </w:rPr>
        <w:t xml:space="preserve">ونص عبارته: «لا يخفى قوة دلالة هذا الحديث على تحليل حق الإمام </w:t>
      </w:r>
      <w:r w:rsidRPr="003C7AEB">
        <w:rPr>
          <w:rFonts w:cs="CTraditional Arabic" w:hint="cs"/>
          <w:sz w:val="23"/>
          <w:szCs w:val="23"/>
          <w:rtl/>
        </w:rPr>
        <w:t>÷</w:t>
      </w:r>
      <w:r w:rsidRPr="00563AE6">
        <w:rPr>
          <w:rFonts w:cs="mylotus" w:hint="cs"/>
          <w:sz w:val="23"/>
          <w:szCs w:val="23"/>
          <w:rtl/>
        </w:rPr>
        <w:t xml:space="preserve"> في خصوص النوع المعروف في كلام الأصحاب بالأرباح فإذا أضفته إلى الأخبار السالفة الدالة بمعونة ما حققناه على اختصاصه </w:t>
      </w:r>
      <w:r w:rsidRPr="003C7AEB">
        <w:rPr>
          <w:rFonts w:cs="CTraditional Arabic" w:hint="cs"/>
          <w:sz w:val="23"/>
          <w:szCs w:val="23"/>
          <w:rtl/>
        </w:rPr>
        <w:t>÷</w:t>
      </w:r>
      <w:r w:rsidRPr="00563AE6">
        <w:rPr>
          <w:rFonts w:cs="mylotus" w:hint="cs"/>
          <w:sz w:val="23"/>
          <w:szCs w:val="23"/>
          <w:rtl/>
        </w:rPr>
        <w:t xml:space="preserve"> بخمسها عرفت وجه مصير بعض قدمائنا إلى عدم وجوب إخراجه بخصوصه في حال الغيبة وتحققت أن استضعاف المتأخرين له ناشئٌ من قلّة التفحص عن الأخبار ومعانيها والقناعة بميسور النظر فيها». (المُتَرْجِمُ)</w:t>
      </w:r>
    </w:p>
  </w:footnote>
  <w:footnote w:id="420">
    <w:p w:rsidR="00B31118" w:rsidRPr="00563AE6" w:rsidRDefault="00B31118" w:rsidP="00B300C9">
      <w:pPr>
        <w:pStyle w:val="FootnoteText"/>
        <w:spacing w:line="228" w:lineRule="auto"/>
        <w:ind w:left="378" w:hanging="378"/>
        <w:jc w:val="both"/>
        <w:rPr>
          <w:rFonts w:cs="mylotus" w:hint="cs"/>
          <w:sz w:val="23"/>
          <w:szCs w:val="23"/>
        </w:rPr>
      </w:pPr>
      <w:r w:rsidRPr="00563AE6">
        <w:rPr>
          <w:rFonts w:cs="mylotus"/>
          <w:sz w:val="23"/>
          <w:szCs w:val="23"/>
          <w:rtl/>
        </w:rPr>
        <w:footnoteRef/>
      </w:r>
      <w:r>
        <w:rPr>
          <w:rFonts w:cs="mylotus"/>
          <w:sz w:val="23"/>
          <w:szCs w:val="23"/>
          <w:rtl/>
        </w:rPr>
        <w:t>-</w:t>
      </w:r>
      <w:r w:rsidRPr="00563AE6">
        <w:rPr>
          <w:rFonts w:cs="mylotus"/>
          <w:sz w:val="23"/>
          <w:szCs w:val="23"/>
          <w:rtl/>
        </w:rPr>
        <w:t xml:space="preserve"> </w:t>
      </w:r>
      <w:r w:rsidRPr="00563AE6">
        <w:rPr>
          <w:rFonts w:cs="mylotus" w:hint="cs"/>
          <w:sz w:val="23"/>
          <w:szCs w:val="23"/>
          <w:rtl/>
        </w:rPr>
        <w:t xml:space="preserve">الشيخ المفيد، المقنعة، ص 285 </w:t>
      </w:r>
      <w:r w:rsidRPr="00563AE6">
        <w:rPr>
          <w:rFonts w:cs="Times New Roman" w:hint="cs"/>
          <w:sz w:val="23"/>
          <w:szCs w:val="23"/>
          <w:rtl/>
        </w:rPr>
        <w:t>–</w:t>
      </w:r>
      <w:r w:rsidRPr="00563AE6">
        <w:rPr>
          <w:rFonts w:cs="mylotus" w:hint="cs"/>
          <w:sz w:val="23"/>
          <w:szCs w:val="23"/>
          <w:rtl/>
        </w:rPr>
        <w:t xml:space="preserve"> 287 في الطبعة الجديدة. (المُتَرْجِمُ)</w:t>
      </w:r>
    </w:p>
  </w:footnote>
  <w:footnote w:id="421">
    <w:p w:rsidR="00B31118" w:rsidRPr="00563AE6" w:rsidRDefault="00B31118" w:rsidP="00B300C9">
      <w:pPr>
        <w:pStyle w:val="FootnoteText"/>
        <w:spacing w:line="228" w:lineRule="auto"/>
        <w:ind w:left="378" w:hanging="378"/>
        <w:jc w:val="both"/>
        <w:rPr>
          <w:rFonts w:cs="mylotus" w:hint="cs"/>
          <w:sz w:val="23"/>
          <w:szCs w:val="23"/>
          <w:rtl/>
        </w:rPr>
      </w:pPr>
      <w:r w:rsidRPr="00563AE6">
        <w:rPr>
          <w:rFonts w:cs="mylotus"/>
          <w:sz w:val="23"/>
          <w:szCs w:val="23"/>
          <w:rtl/>
        </w:rPr>
        <w:footnoteRef/>
      </w:r>
      <w:r>
        <w:rPr>
          <w:rFonts w:cs="mylotus"/>
          <w:sz w:val="23"/>
          <w:szCs w:val="23"/>
          <w:rtl/>
        </w:rPr>
        <w:t>-</w:t>
      </w:r>
      <w:r w:rsidRPr="00563AE6">
        <w:rPr>
          <w:rFonts w:cs="mylotus" w:hint="cs"/>
          <w:sz w:val="23"/>
          <w:szCs w:val="23"/>
          <w:rtl/>
        </w:rPr>
        <w:t xml:space="preserve"> الشيخ الطوسي، تهذيب الأحكام، </w:t>
      </w:r>
      <w:r w:rsidRPr="00563AE6">
        <w:rPr>
          <w:rFonts w:cs="mylotus"/>
          <w:sz w:val="23"/>
          <w:szCs w:val="23"/>
          <w:rtl/>
        </w:rPr>
        <w:t>ج4، ص 147-148</w:t>
      </w:r>
      <w:r w:rsidRPr="00563AE6">
        <w:rPr>
          <w:rFonts w:cs="mylotus" w:hint="cs"/>
          <w:sz w:val="23"/>
          <w:szCs w:val="23"/>
          <w:rtl/>
        </w:rPr>
        <w:t>.</w:t>
      </w:r>
    </w:p>
  </w:footnote>
  <w:footnote w:id="422">
    <w:p w:rsidR="00B31118" w:rsidRPr="00563AE6" w:rsidRDefault="00B31118" w:rsidP="00B300C9">
      <w:pPr>
        <w:pStyle w:val="FootnoteText"/>
        <w:spacing w:line="228" w:lineRule="auto"/>
        <w:ind w:left="378" w:hanging="378"/>
        <w:jc w:val="both"/>
        <w:rPr>
          <w:rFonts w:cs="mylotus" w:hint="cs"/>
          <w:sz w:val="23"/>
          <w:szCs w:val="23"/>
          <w:rtl/>
        </w:rPr>
      </w:pPr>
      <w:r w:rsidRPr="00563AE6">
        <w:rPr>
          <w:rFonts w:cs="mylotus"/>
          <w:sz w:val="23"/>
          <w:szCs w:val="23"/>
          <w:rtl/>
        </w:rPr>
        <w:footnoteRef/>
      </w:r>
      <w:r>
        <w:rPr>
          <w:rFonts w:cs="mylotus"/>
          <w:sz w:val="23"/>
          <w:szCs w:val="23"/>
          <w:rtl/>
        </w:rPr>
        <w:t>-</w:t>
      </w:r>
      <w:r w:rsidRPr="00563AE6">
        <w:rPr>
          <w:rFonts w:cs="mylotus" w:hint="cs"/>
          <w:sz w:val="23"/>
          <w:szCs w:val="23"/>
          <w:rtl/>
        </w:rPr>
        <w:t xml:space="preserve"> المحقق الحلي، شرائع الإسلام، ج 1، 167.</w:t>
      </w:r>
    </w:p>
  </w:footnote>
  <w:footnote w:id="423">
    <w:p w:rsidR="00B31118" w:rsidRPr="00563AE6" w:rsidRDefault="00B31118" w:rsidP="00B300C9">
      <w:pPr>
        <w:pStyle w:val="FootnoteText"/>
        <w:spacing w:line="228" w:lineRule="auto"/>
        <w:ind w:left="378" w:hanging="378"/>
        <w:jc w:val="both"/>
        <w:rPr>
          <w:rFonts w:cs="mylotus" w:hint="cs"/>
          <w:sz w:val="23"/>
          <w:szCs w:val="23"/>
        </w:rPr>
      </w:pPr>
      <w:r w:rsidRPr="00563AE6">
        <w:rPr>
          <w:rFonts w:cs="mylotus"/>
          <w:sz w:val="23"/>
          <w:szCs w:val="23"/>
          <w:rtl/>
        </w:rPr>
        <w:footnoteRef/>
      </w:r>
      <w:r>
        <w:rPr>
          <w:rFonts w:cs="mylotus"/>
          <w:sz w:val="23"/>
          <w:szCs w:val="23"/>
          <w:rtl/>
        </w:rPr>
        <w:t>-</w:t>
      </w:r>
      <w:r w:rsidRPr="00563AE6">
        <w:rPr>
          <w:rFonts w:cs="mylotus" w:hint="cs"/>
          <w:sz w:val="23"/>
          <w:szCs w:val="23"/>
          <w:rtl/>
        </w:rPr>
        <w:t xml:space="preserve"> العلامة الحلي، منتهى المطلب، ج1، ص 555.</w:t>
      </w:r>
    </w:p>
  </w:footnote>
  <w:footnote w:id="424">
    <w:p w:rsidR="00B31118" w:rsidRPr="00563AE6" w:rsidRDefault="00B31118" w:rsidP="00B300C9">
      <w:pPr>
        <w:pStyle w:val="FootnoteText"/>
        <w:spacing w:line="228" w:lineRule="auto"/>
        <w:ind w:left="378" w:hanging="378"/>
        <w:jc w:val="both"/>
        <w:rPr>
          <w:rFonts w:cs="mylotus" w:hint="cs"/>
          <w:sz w:val="23"/>
          <w:szCs w:val="23"/>
          <w:rtl/>
        </w:rPr>
      </w:pPr>
      <w:r w:rsidRPr="00563AE6">
        <w:rPr>
          <w:rFonts w:cs="mylotus"/>
          <w:sz w:val="23"/>
          <w:szCs w:val="23"/>
          <w:rtl/>
        </w:rPr>
        <w:footnoteRef/>
      </w:r>
      <w:r>
        <w:rPr>
          <w:rFonts w:cs="mylotus"/>
          <w:sz w:val="23"/>
          <w:szCs w:val="23"/>
          <w:rtl/>
        </w:rPr>
        <w:t>-</w:t>
      </w:r>
      <w:r w:rsidRPr="00563AE6">
        <w:rPr>
          <w:rFonts w:cs="mylotus" w:hint="cs"/>
          <w:sz w:val="23"/>
          <w:szCs w:val="23"/>
          <w:rtl/>
        </w:rPr>
        <w:t xml:space="preserve"> محمد تقي المجلسي، لوامع صاحبقراني، ج2، ص51.</w:t>
      </w:r>
    </w:p>
  </w:footnote>
  <w:footnote w:id="425">
    <w:p w:rsidR="00B31118" w:rsidRPr="00563AE6" w:rsidRDefault="00B31118" w:rsidP="00B300C9">
      <w:pPr>
        <w:pStyle w:val="FootnoteText"/>
        <w:spacing w:line="228" w:lineRule="auto"/>
        <w:ind w:left="378" w:hanging="378"/>
        <w:jc w:val="both"/>
        <w:rPr>
          <w:rFonts w:cs="mylotus" w:hint="cs"/>
          <w:sz w:val="23"/>
          <w:szCs w:val="23"/>
        </w:rPr>
      </w:pPr>
      <w:r w:rsidRPr="00563AE6">
        <w:rPr>
          <w:rFonts w:cs="mylotus"/>
          <w:sz w:val="23"/>
          <w:szCs w:val="23"/>
          <w:rtl/>
        </w:rPr>
        <w:footnoteRef/>
      </w:r>
      <w:r>
        <w:rPr>
          <w:rFonts w:cs="mylotus"/>
          <w:sz w:val="23"/>
          <w:szCs w:val="23"/>
          <w:rtl/>
        </w:rPr>
        <w:t>-</w:t>
      </w:r>
      <w:r w:rsidRPr="00563AE6">
        <w:rPr>
          <w:rFonts w:cs="mylotus" w:hint="cs"/>
          <w:sz w:val="23"/>
          <w:szCs w:val="23"/>
          <w:rtl/>
        </w:rPr>
        <w:t xml:space="preserve"> الميرزا القمي، غنائم الأيام، ص386.</w:t>
      </w:r>
    </w:p>
  </w:footnote>
  <w:footnote w:id="426">
    <w:p w:rsidR="00B31118" w:rsidRPr="00563AE6" w:rsidRDefault="00B31118" w:rsidP="00B300C9">
      <w:pPr>
        <w:pStyle w:val="FootnoteText"/>
        <w:spacing w:line="228" w:lineRule="auto"/>
        <w:ind w:left="378" w:hanging="378"/>
        <w:jc w:val="both"/>
        <w:rPr>
          <w:rFonts w:cs="mylotus" w:hint="cs"/>
          <w:sz w:val="23"/>
          <w:szCs w:val="23"/>
          <w:rtl/>
        </w:rPr>
      </w:pPr>
      <w:r w:rsidRPr="00563AE6">
        <w:rPr>
          <w:rFonts w:cs="mylotus"/>
          <w:sz w:val="23"/>
          <w:szCs w:val="23"/>
          <w:rtl/>
        </w:rPr>
        <w:footnoteRef/>
      </w:r>
      <w:r>
        <w:rPr>
          <w:rFonts w:cs="mylotus"/>
          <w:sz w:val="23"/>
          <w:szCs w:val="23"/>
          <w:rtl/>
        </w:rPr>
        <w:t>-</w:t>
      </w:r>
      <w:r w:rsidRPr="00563AE6">
        <w:rPr>
          <w:rFonts w:cs="mylotus" w:hint="cs"/>
          <w:sz w:val="23"/>
          <w:szCs w:val="23"/>
          <w:rtl/>
        </w:rPr>
        <w:t xml:space="preserve"> محمد حسين آل كاشف الغطاء، الفردوس الأعلى، ص55.</w:t>
      </w:r>
    </w:p>
  </w:footnote>
  <w:footnote w:id="427">
    <w:p w:rsidR="00B31118" w:rsidRPr="00563AE6" w:rsidRDefault="00B31118" w:rsidP="00B300C9">
      <w:pPr>
        <w:pStyle w:val="FootnoteText"/>
        <w:spacing w:line="228" w:lineRule="auto"/>
        <w:ind w:left="378" w:hanging="378"/>
        <w:jc w:val="both"/>
        <w:rPr>
          <w:rFonts w:cs="mylotus" w:hint="cs"/>
          <w:sz w:val="23"/>
          <w:szCs w:val="23"/>
          <w:rtl/>
        </w:rPr>
      </w:pPr>
      <w:r w:rsidRPr="00563AE6">
        <w:rPr>
          <w:rFonts w:cs="mylotus"/>
          <w:sz w:val="23"/>
          <w:szCs w:val="23"/>
          <w:rtl/>
        </w:rPr>
        <w:footnoteRef/>
      </w:r>
      <w:r>
        <w:rPr>
          <w:rFonts w:cs="mylotus"/>
          <w:sz w:val="23"/>
          <w:szCs w:val="23"/>
          <w:rtl/>
        </w:rPr>
        <w:t>-</w:t>
      </w:r>
      <w:r w:rsidRPr="00563AE6">
        <w:rPr>
          <w:rFonts w:cs="mylotus" w:hint="cs"/>
          <w:sz w:val="23"/>
          <w:szCs w:val="23"/>
          <w:rtl/>
        </w:rPr>
        <w:t xml:space="preserve"> الشيخ الصدوق، من لا يحضره الفقيه، ج 2، ص 41.</w:t>
      </w:r>
    </w:p>
  </w:footnote>
  <w:footnote w:id="428">
    <w:p w:rsidR="00B31118" w:rsidRPr="00563AE6" w:rsidRDefault="00B31118" w:rsidP="00B300C9">
      <w:pPr>
        <w:pStyle w:val="FootnoteText"/>
        <w:spacing w:line="228" w:lineRule="auto"/>
        <w:ind w:left="378" w:hanging="378"/>
        <w:jc w:val="both"/>
        <w:rPr>
          <w:rFonts w:cs="mylotus" w:hint="cs"/>
          <w:sz w:val="23"/>
          <w:szCs w:val="23"/>
        </w:rPr>
      </w:pPr>
      <w:r w:rsidRPr="00563AE6">
        <w:rPr>
          <w:rFonts w:cs="mylotus"/>
          <w:sz w:val="23"/>
          <w:szCs w:val="23"/>
          <w:rtl/>
        </w:rPr>
        <w:footnoteRef/>
      </w:r>
      <w:r>
        <w:rPr>
          <w:rFonts w:cs="mylotus"/>
          <w:sz w:val="23"/>
          <w:szCs w:val="23"/>
          <w:rtl/>
        </w:rPr>
        <w:t>-</w:t>
      </w:r>
      <w:r w:rsidRPr="00563AE6">
        <w:rPr>
          <w:rFonts w:cs="mylotus" w:hint="cs"/>
          <w:sz w:val="23"/>
          <w:szCs w:val="23"/>
          <w:rtl/>
        </w:rPr>
        <w:t xml:space="preserve"> الشيخ الطوسي، تهذيب الأحكام، ج 4، ص 139 - 140.</w:t>
      </w:r>
    </w:p>
  </w:footnote>
  <w:footnote w:id="429">
    <w:p w:rsidR="00B31118" w:rsidRPr="00873C4C" w:rsidRDefault="00B31118" w:rsidP="00B300C9">
      <w:pPr>
        <w:pStyle w:val="FootnoteText"/>
        <w:widowControl w:val="0"/>
        <w:spacing w:line="228" w:lineRule="auto"/>
        <w:ind w:left="340" w:hanging="340"/>
        <w:jc w:val="both"/>
        <w:rPr>
          <w:rFonts w:ascii="mylotus" w:hAnsi="mylotus" w:cs="mylotus"/>
          <w:sz w:val="23"/>
          <w:szCs w:val="23"/>
          <w:rtl/>
        </w:rPr>
      </w:pPr>
      <w:r w:rsidRPr="00873C4C">
        <w:rPr>
          <w:rStyle w:val="FootnoteReference"/>
          <w:rFonts w:ascii="mylotus" w:hAnsi="mylotus" w:cs="mylotus"/>
          <w:sz w:val="23"/>
          <w:szCs w:val="23"/>
          <w:vertAlign w:val="baseline"/>
          <w:rtl/>
        </w:rPr>
        <w:footnoteRef/>
      </w:r>
      <w:r w:rsidRPr="00873C4C">
        <w:rPr>
          <w:rFonts w:ascii="mylotus" w:hAnsi="mylotus" w:cs="mylotus"/>
          <w:sz w:val="23"/>
          <w:szCs w:val="23"/>
          <w:rtl/>
        </w:rPr>
        <w:t>-</w:t>
      </w:r>
      <w:r w:rsidRPr="00873C4C">
        <w:rPr>
          <w:rFonts w:ascii="mylotus" w:hAnsi="mylotus" w:cs="mylotus"/>
          <w:sz w:val="23"/>
          <w:szCs w:val="23"/>
          <w:rtl/>
        </w:rPr>
        <w:tab/>
        <w:t xml:space="preserve">هذه الاصطلاحات كُتبت لأجل فهم الشيعة، وإلا فإن جناب الأستاذ قلمداران لم يكن أبداً يعتقد بهذه الخرافات بل كتب كتباً في ردّ هذه الأباطيل. [كتبه المُصحِّح] </w:t>
      </w:r>
    </w:p>
  </w:footnote>
  <w:footnote w:id="430">
    <w:p w:rsidR="00B31118" w:rsidRPr="00873C4C" w:rsidRDefault="00B31118" w:rsidP="00B300C9">
      <w:pPr>
        <w:pStyle w:val="FootnoteText"/>
        <w:widowControl w:val="0"/>
        <w:spacing w:line="228" w:lineRule="auto"/>
        <w:ind w:left="340" w:hanging="340"/>
        <w:jc w:val="both"/>
        <w:rPr>
          <w:rFonts w:ascii="mylotus" w:hAnsi="mylotus" w:cs="mylotus"/>
          <w:sz w:val="23"/>
          <w:szCs w:val="23"/>
          <w:rtl/>
        </w:rPr>
      </w:pPr>
      <w:r w:rsidRPr="00873C4C">
        <w:rPr>
          <w:rStyle w:val="FootnoteReference"/>
          <w:rFonts w:ascii="mylotus" w:hAnsi="mylotus" w:cs="mylotus"/>
          <w:sz w:val="23"/>
          <w:szCs w:val="23"/>
          <w:vertAlign w:val="baseline"/>
          <w:rtl/>
        </w:rPr>
        <w:footnoteRef/>
      </w:r>
      <w:r w:rsidRPr="00873C4C">
        <w:rPr>
          <w:rFonts w:ascii="mylotus" w:hAnsi="mylotus" w:cs="mylotus"/>
          <w:sz w:val="23"/>
          <w:szCs w:val="23"/>
          <w:rtl/>
        </w:rPr>
        <w:t>-</w:t>
      </w:r>
      <w:r w:rsidRPr="00873C4C">
        <w:rPr>
          <w:rFonts w:ascii="mylotus" w:hAnsi="mylotus" w:cs="mylotus"/>
          <w:sz w:val="23"/>
          <w:szCs w:val="23"/>
          <w:rtl/>
        </w:rPr>
        <w:tab/>
        <w:t>هو الحسن بن أبي طالب اليوسفي (كان حياً سنة 672هـ) وكتابه «</w:t>
      </w:r>
      <w:r w:rsidRPr="00873C4C">
        <w:rPr>
          <w:rFonts w:ascii="mylotus" w:hAnsi="mylotus" w:cs="mylotus"/>
          <w:b/>
          <w:bCs/>
          <w:sz w:val="23"/>
          <w:szCs w:val="23"/>
          <w:rtl/>
        </w:rPr>
        <w:t>كشف الرموز</w:t>
      </w:r>
      <w:r w:rsidRPr="00873C4C">
        <w:rPr>
          <w:rFonts w:ascii="mylotus" w:hAnsi="mylotus" w:cs="mylotus"/>
          <w:sz w:val="23"/>
          <w:szCs w:val="23"/>
          <w:rtl/>
        </w:rPr>
        <w:t>» أول شرح لكتاب «</w:t>
      </w:r>
      <w:r w:rsidRPr="00873C4C">
        <w:rPr>
          <w:rFonts w:ascii="mylotus" w:hAnsi="mylotus" w:cs="mylotus"/>
          <w:b/>
          <w:bCs/>
          <w:sz w:val="23"/>
          <w:szCs w:val="23"/>
          <w:rtl/>
        </w:rPr>
        <w:t>المختصر النافع</w:t>
      </w:r>
      <w:r w:rsidRPr="00873C4C">
        <w:rPr>
          <w:rFonts w:ascii="mylotus" w:hAnsi="mylotus" w:cs="mylotus"/>
          <w:sz w:val="23"/>
          <w:szCs w:val="23"/>
          <w:rtl/>
        </w:rPr>
        <w:t>» في الفقه على مذهب الإمامية للمحقق الحلي. (المُتَرْجِمُ)</w:t>
      </w:r>
    </w:p>
  </w:footnote>
  <w:footnote w:id="431">
    <w:p w:rsidR="00B31118" w:rsidRPr="00563AE6" w:rsidRDefault="00B31118" w:rsidP="00B300C9">
      <w:pPr>
        <w:pStyle w:val="FootnoteText"/>
        <w:spacing w:line="228" w:lineRule="auto"/>
        <w:ind w:left="378" w:hanging="378"/>
        <w:jc w:val="both"/>
        <w:rPr>
          <w:rFonts w:cs="mylotus" w:hint="cs"/>
          <w:sz w:val="23"/>
          <w:szCs w:val="23"/>
          <w:rtl/>
        </w:rPr>
      </w:pPr>
      <w:r w:rsidRPr="00563AE6">
        <w:rPr>
          <w:rFonts w:cs="mylotus"/>
          <w:sz w:val="23"/>
          <w:szCs w:val="23"/>
          <w:rtl/>
        </w:rPr>
        <w:footnoteRef/>
      </w:r>
      <w:r>
        <w:rPr>
          <w:rFonts w:cs="mylotus"/>
          <w:sz w:val="23"/>
          <w:szCs w:val="23"/>
          <w:rtl/>
        </w:rPr>
        <w:t>-</w:t>
      </w:r>
      <w:r w:rsidRPr="00563AE6">
        <w:rPr>
          <w:rFonts w:cs="mylotus" w:hint="cs"/>
          <w:sz w:val="23"/>
          <w:szCs w:val="23"/>
          <w:rtl/>
        </w:rPr>
        <w:t xml:space="preserve"> التستري، قاموس الرجال، ج 3، ص 198. </w:t>
      </w:r>
    </w:p>
  </w:footnote>
  <w:footnote w:id="432">
    <w:p w:rsidR="00B31118" w:rsidRPr="00873C4C" w:rsidRDefault="00B31118" w:rsidP="00B300C9">
      <w:pPr>
        <w:pStyle w:val="FootnoteText"/>
        <w:widowControl w:val="0"/>
        <w:spacing w:line="228" w:lineRule="auto"/>
        <w:ind w:left="340" w:hanging="340"/>
        <w:jc w:val="both"/>
        <w:rPr>
          <w:rFonts w:ascii="mylotus" w:hAnsi="mylotus" w:cs="mylotus"/>
          <w:sz w:val="23"/>
          <w:szCs w:val="23"/>
          <w:rtl/>
        </w:rPr>
      </w:pPr>
      <w:r w:rsidRPr="00873C4C">
        <w:rPr>
          <w:rStyle w:val="FootnoteReference"/>
          <w:rFonts w:ascii="mylotus" w:hAnsi="mylotus" w:cs="mylotus"/>
          <w:sz w:val="23"/>
          <w:szCs w:val="23"/>
          <w:vertAlign w:val="baseline"/>
          <w:rtl/>
        </w:rPr>
        <w:footnoteRef/>
      </w:r>
      <w:r w:rsidRPr="00873C4C">
        <w:rPr>
          <w:rFonts w:ascii="mylotus" w:hAnsi="mylotus" w:cs="mylotus"/>
          <w:sz w:val="23"/>
          <w:szCs w:val="23"/>
          <w:rtl/>
        </w:rPr>
        <w:t>- يقصد به الكتاب الفقهي من مجلد واحد المعنون بـ: «</w:t>
      </w:r>
      <w:r w:rsidRPr="00873C4C">
        <w:rPr>
          <w:rFonts w:ascii="mylotus" w:hAnsi="mylotus" w:cs="mylotus"/>
          <w:b/>
          <w:bCs/>
          <w:sz w:val="23"/>
          <w:szCs w:val="23"/>
          <w:rtl/>
        </w:rPr>
        <w:t>إرشاد الأذهان إلى أحكام الأيمان</w:t>
      </w:r>
      <w:r w:rsidRPr="00873C4C">
        <w:rPr>
          <w:rFonts w:ascii="mylotus" w:hAnsi="mylotus" w:cs="mylotus"/>
          <w:sz w:val="23"/>
          <w:szCs w:val="23"/>
          <w:rtl/>
        </w:rPr>
        <w:t>» تأليف العلامة الحلي (ت 726هـ)، وقد شرحه المحقق الميرزا محمد باقر الخراساني (وهو: المحقق السبزواري المولى محمد باقر بن محمد مؤمن الخراساني المتوفى سنة 1090 هـ ) في كتابه: «</w:t>
      </w:r>
      <w:r w:rsidRPr="00873C4C">
        <w:rPr>
          <w:rFonts w:ascii="mylotus" w:hAnsi="mylotus" w:cs="mylotus"/>
          <w:b/>
          <w:bCs/>
          <w:sz w:val="23"/>
          <w:szCs w:val="23"/>
          <w:rtl/>
        </w:rPr>
        <w:t>ذخيرة المعاد في شرح الإرشاد</w:t>
      </w:r>
      <w:r w:rsidRPr="00873C4C">
        <w:rPr>
          <w:rFonts w:ascii="mylotus" w:hAnsi="mylotus" w:cs="mylotus"/>
          <w:sz w:val="23"/>
          <w:szCs w:val="23"/>
          <w:rtl/>
        </w:rPr>
        <w:t>». (المُتَرْجِمُ)</w:t>
      </w:r>
    </w:p>
  </w:footnote>
  <w:footnote w:id="433">
    <w:p w:rsidR="00B31118" w:rsidRPr="00873C4C" w:rsidRDefault="00B31118" w:rsidP="00B300C9">
      <w:pPr>
        <w:pStyle w:val="FootnoteText"/>
        <w:widowControl w:val="0"/>
        <w:spacing w:line="228" w:lineRule="auto"/>
        <w:ind w:left="340" w:hanging="340"/>
        <w:jc w:val="both"/>
        <w:rPr>
          <w:rFonts w:ascii="mylotus" w:hAnsi="mylotus" w:cs="mylotus"/>
          <w:sz w:val="23"/>
          <w:szCs w:val="23"/>
          <w:rtl/>
        </w:rPr>
      </w:pPr>
      <w:r w:rsidRPr="00873C4C">
        <w:rPr>
          <w:rStyle w:val="FootnoteReference"/>
          <w:rFonts w:ascii="mylotus" w:hAnsi="mylotus" w:cs="mylotus"/>
          <w:sz w:val="23"/>
          <w:szCs w:val="23"/>
          <w:vertAlign w:val="baseline"/>
          <w:rtl/>
        </w:rPr>
        <w:footnoteRef/>
      </w:r>
      <w:r w:rsidRPr="00873C4C">
        <w:rPr>
          <w:rFonts w:ascii="mylotus" w:hAnsi="mylotus" w:cs="mylotus"/>
          <w:sz w:val="23"/>
          <w:szCs w:val="23"/>
          <w:rtl/>
        </w:rPr>
        <w:t>-</w:t>
      </w:r>
      <w:r w:rsidRPr="00873C4C">
        <w:rPr>
          <w:rFonts w:ascii="mylotus" w:hAnsi="mylotus" w:cs="mylotus"/>
          <w:sz w:val="23"/>
          <w:szCs w:val="23"/>
          <w:rtl/>
          <w:lang w:bidi="ar-SY"/>
        </w:rPr>
        <w:tab/>
        <w:t xml:space="preserve">المتوفَّى سنة 381هـ. </w:t>
      </w:r>
      <w:r w:rsidRPr="00873C4C">
        <w:rPr>
          <w:rFonts w:ascii="mylotus" w:hAnsi="mylotus" w:cs="mylotus"/>
          <w:sz w:val="23"/>
          <w:szCs w:val="23"/>
          <w:rtl/>
        </w:rPr>
        <w:t>(المُتَرْجِمُ)</w:t>
      </w:r>
    </w:p>
  </w:footnote>
  <w:footnote w:id="434">
    <w:p w:rsidR="00B31118" w:rsidRPr="00563AE6" w:rsidRDefault="00B31118" w:rsidP="00B300C9">
      <w:pPr>
        <w:pStyle w:val="FootnoteText"/>
        <w:spacing w:line="228" w:lineRule="auto"/>
        <w:ind w:left="378" w:hanging="378"/>
        <w:jc w:val="both"/>
        <w:rPr>
          <w:rFonts w:cs="mylotus" w:hint="cs"/>
          <w:sz w:val="23"/>
          <w:szCs w:val="23"/>
          <w:rtl/>
        </w:rPr>
      </w:pPr>
      <w:r w:rsidRPr="00873C4C">
        <w:rPr>
          <w:rFonts w:ascii="mylotus" w:hAnsi="mylotus" w:cs="mylotus"/>
          <w:sz w:val="23"/>
          <w:szCs w:val="23"/>
          <w:rtl/>
        </w:rPr>
        <w:footnoteRef/>
      </w:r>
      <w:r w:rsidRPr="00873C4C">
        <w:rPr>
          <w:rFonts w:ascii="mylotus" w:hAnsi="mylotus" w:cs="mylotus"/>
          <w:sz w:val="23"/>
          <w:szCs w:val="23"/>
          <w:rtl/>
        </w:rPr>
        <w:t>- ا</w:t>
      </w:r>
      <w:r w:rsidRPr="00563AE6">
        <w:rPr>
          <w:rFonts w:cs="mylotus" w:hint="cs"/>
          <w:sz w:val="23"/>
          <w:szCs w:val="23"/>
          <w:rtl/>
        </w:rPr>
        <w:t>لمحدث القمي، الكنى والألقاب، ج 2، ص 22.</w:t>
      </w:r>
    </w:p>
  </w:footnote>
  <w:footnote w:id="435">
    <w:p w:rsidR="00B31118" w:rsidRPr="00563AE6" w:rsidRDefault="00B31118" w:rsidP="00B300C9">
      <w:pPr>
        <w:pStyle w:val="FootnoteText"/>
        <w:spacing w:line="228" w:lineRule="auto"/>
        <w:ind w:left="378" w:hanging="378"/>
        <w:jc w:val="both"/>
        <w:rPr>
          <w:rFonts w:cs="mylotus" w:hint="cs"/>
          <w:sz w:val="23"/>
          <w:szCs w:val="23"/>
          <w:rtl/>
        </w:rPr>
      </w:pPr>
      <w:r w:rsidRPr="00563AE6">
        <w:rPr>
          <w:rFonts w:cs="mylotus"/>
          <w:sz w:val="23"/>
          <w:szCs w:val="23"/>
          <w:rtl/>
        </w:rPr>
        <w:footnoteRef/>
      </w:r>
      <w:r>
        <w:rPr>
          <w:rFonts w:cs="mylotus"/>
          <w:sz w:val="23"/>
          <w:szCs w:val="23"/>
          <w:rtl/>
        </w:rPr>
        <w:t>-</w:t>
      </w:r>
      <w:r w:rsidRPr="00563AE6">
        <w:rPr>
          <w:rFonts w:cs="mylotus" w:hint="cs"/>
          <w:sz w:val="23"/>
          <w:szCs w:val="23"/>
          <w:rtl/>
        </w:rPr>
        <w:t xml:space="preserve"> </w:t>
      </w:r>
      <w:r w:rsidRPr="00563AE6">
        <w:rPr>
          <w:rFonts w:cs="mylotus"/>
          <w:sz w:val="23"/>
          <w:szCs w:val="23"/>
          <w:rtl/>
        </w:rPr>
        <w:t xml:space="preserve">العلامة </w:t>
      </w:r>
      <w:r w:rsidRPr="00563AE6">
        <w:rPr>
          <w:rFonts w:cs="mylotus" w:hint="cs"/>
          <w:sz w:val="23"/>
          <w:szCs w:val="23"/>
          <w:rtl/>
        </w:rPr>
        <w:t xml:space="preserve">الحلي، </w:t>
      </w:r>
      <w:r w:rsidRPr="00563AE6">
        <w:rPr>
          <w:rFonts w:cs="mylotus"/>
          <w:sz w:val="23"/>
          <w:szCs w:val="23"/>
          <w:rtl/>
        </w:rPr>
        <w:t>مختلف الشيعة</w:t>
      </w:r>
      <w:r w:rsidRPr="00563AE6">
        <w:rPr>
          <w:rFonts w:cs="mylotus" w:hint="cs"/>
          <w:sz w:val="23"/>
          <w:szCs w:val="23"/>
          <w:rtl/>
        </w:rPr>
        <w:t xml:space="preserve">، </w:t>
      </w:r>
      <w:r w:rsidRPr="00563AE6">
        <w:rPr>
          <w:rFonts w:cs="mylotus"/>
          <w:sz w:val="23"/>
          <w:szCs w:val="23"/>
          <w:rtl/>
        </w:rPr>
        <w:t>ج 2، ص 31</w:t>
      </w:r>
      <w:r w:rsidRPr="00563AE6">
        <w:rPr>
          <w:rFonts w:cs="mylotus" w:hint="cs"/>
          <w:sz w:val="23"/>
          <w:szCs w:val="23"/>
          <w:rtl/>
        </w:rPr>
        <w:t>.</w:t>
      </w:r>
    </w:p>
  </w:footnote>
  <w:footnote w:id="436">
    <w:p w:rsidR="00B31118" w:rsidRPr="00873C4C" w:rsidRDefault="00B31118" w:rsidP="00B300C9">
      <w:pPr>
        <w:pStyle w:val="FootnoteText"/>
        <w:widowControl w:val="0"/>
        <w:spacing w:line="228" w:lineRule="auto"/>
        <w:ind w:left="340" w:hanging="340"/>
        <w:jc w:val="both"/>
        <w:rPr>
          <w:rFonts w:ascii="mylotus" w:hAnsi="mylotus" w:cs="mylotus"/>
          <w:sz w:val="23"/>
          <w:szCs w:val="23"/>
        </w:rPr>
      </w:pPr>
      <w:r w:rsidRPr="00873C4C">
        <w:rPr>
          <w:rStyle w:val="FootnoteReference"/>
          <w:rFonts w:ascii="mylotus" w:hAnsi="mylotus" w:cs="mylotus"/>
          <w:sz w:val="23"/>
          <w:szCs w:val="23"/>
          <w:vertAlign w:val="baseline"/>
          <w:rtl/>
        </w:rPr>
        <w:footnoteRef/>
      </w:r>
      <w:r w:rsidRPr="00873C4C">
        <w:rPr>
          <w:rFonts w:ascii="mylotus" w:hAnsi="mylotus" w:cs="mylotus"/>
          <w:sz w:val="23"/>
          <w:szCs w:val="23"/>
          <w:rtl/>
        </w:rPr>
        <w:t>-</w:t>
      </w:r>
      <w:r w:rsidRPr="00873C4C">
        <w:rPr>
          <w:rFonts w:ascii="mylotus" w:hAnsi="mylotus" w:cs="mylotus"/>
          <w:sz w:val="23"/>
          <w:szCs w:val="23"/>
          <w:rtl/>
        </w:rPr>
        <w:tab/>
        <w:t>هو السيد علي الطباطبائي (علي بن محمد بن علي الطباطبائي، الأصبهاني الكاظمي الحائري) (1231هـ)، فقيهٌ شيعيٌ إماميٌ أصوليٌّ، مشاركٌ في بعض العلوم، من تصانيفه الكثيرة: «</w:t>
      </w:r>
      <w:r w:rsidRPr="00873C4C">
        <w:rPr>
          <w:rFonts w:ascii="mylotus" w:hAnsi="mylotus" w:cs="mylotus"/>
          <w:b/>
          <w:bCs/>
          <w:sz w:val="23"/>
          <w:szCs w:val="23"/>
          <w:rtl/>
        </w:rPr>
        <w:t>رياض المسائل في بيان أحكام الشرع بالدلائل</w:t>
      </w:r>
      <w:r w:rsidRPr="00873C4C">
        <w:rPr>
          <w:rFonts w:ascii="mylotus" w:hAnsi="mylotus" w:cs="mylotus"/>
          <w:sz w:val="23"/>
          <w:szCs w:val="23"/>
          <w:rtl/>
        </w:rPr>
        <w:t>» (وإليه أشار المصنف في المتن)، وشرح المفاتيح، وحاشية على معالم الأصول، ورسالة في الأصول الخمسة، ورسالة في الإجماع. (المُتَرْجِمُ)</w:t>
      </w:r>
    </w:p>
  </w:footnote>
  <w:footnote w:id="437">
    <w:p w:rsidR="00B31118" w:rsidRPr="00563AE6" w:rsidRDefault="00B31118" w:rsidP="00B300C9">
      <w:pPr>
        <w:pStyle w:val="FootnoteText"/>
        <w:spacing w:line="228" w:lineRule="auto"/>
        <w:ind w:left="378" w:hanging="378"/>
        <w:jc w:val="both"/>
        <w:rPr>
          <w:rFonts w:cs="mylotus" w:hint="cs"/>
          <w:sz w:val="23"/>
          <w:szCs w:val="23"/>
        </w:rPr>
      </w:pPr>
      <w:r w:rsidRPr="00563AE6">
        <w:rPr>
          <w:rFonts w:cs="mylotus"/>
          <w:sz w:val="23"/>
          <w:szCs w:val="23"/>
          <w:rtl/>
        </w:rPr>
        <w:footnoteRef/>
      </w:r>
      <w:r>
        <w:rPr>
          <w:rFonts w:cs="mylotus"/>
          <w:sz w:val="23"/>
          <w:szCs w:val="23"/>
          <w:rtl/>
        </w:rPr>
        <w:t>-</w:t>
      </w:r>
      <w:r w:rsidRPr="00563AE6">
        <w:rPr>
          <w:rFonts w:cs="mylotus" w:hint="cs"/>
          <w:sz w:val="23"/>
          <w:szCs w:val="23"/>
          <w:rtl/>
        </w:rPr>
        <w:t xml:space="preserve"> الشيخ الصدوق، علل الشرائع، طبع قم، ج 2، ص 65.</w:t>
      </w:r>
    </w:p>
  </w:footnote>
  <w:footnote w:id="438">
    <w:p w:rsidR="00B31118" w:rsidRPr="00563AE6" w:rsidRDefault="00B31118" w:rsidP="00B300C9">
      <w:pPr>
        <w:pStyle w:val="FootnoteText"/>
        <w:spacing w:line="228" w:lineRule="auto"/>
        <w:ind w:left="378" w:hanging="378"/>
        <w:jc w:val="both"/>
        <w:rPr>
          <w:rFonts w:cs="mylotus" w:hint="cs"/>
          <w:sz w:val="23"/>
          <w:szCs w:val="23"/>
          <w:rtl/>
        </w:rPr>
      </w:pPr>
      <w:r w:rsidRPr="00563AE6">
        <w:rPr>
          <w:rFonts w:cs="mylotus"/>
          <w:sz w:val="23"/>
          <w:szCs w:val="23"/>
          <w:rtl/>
        </w:rPr>
        <w:footnoteRef/>
      </w:r>
      <w:r>
        <w:rPr>
          <w:rFonts w:cs="mylotus"/>
          <w:sz w:val="23"/>
          <w:szCs w:val="23"/>
          <w:rtl/>
        </w:rPr>
        <w:t>-</w:t>
      </w:r>
      <w:r w:rsidRPr="00563AE6">
        <w:rPr>
          <w:rFonts w:cs="mylotus" w:hint="cs"/>
          <w:sz w:val="23"/>
          <w:szCs w:val="23"/>
          <w:rtl/>
        </w:rPr>
        <w:t xml:space="preserve"> الشيخ الطوسي، تهذيب الأحكام، ج 4، ص 143.</w:t>
      </w:r>
    </w:p>
  </w:footnote>
  <w:footnote w:id="439">
    <w:p w:rsidR="00B31118" w:rsidRPr="00563AE6" w:rsidRDefault="00B31118" w:rsidP="00B300C9">
      <w:pPr>
        <w:pStyle w:val="FootnoteText"/>
        <w:spacing w:line="228" w:lineRule="auto"/>
        <w:ind w:left="378" w:hanging="378"/>
        <w:jc w:val="both"/>
        <w:rPr>
          <w:rFonts w:cs="mylotus" w:hint="cs"/>
          <w:sz w:val="23"/>
          <w:szCs w:val="23"/>
          <w:rtl/>
        </w:rPr>
      </w:pPr>
      <w:r w:rsidRPr="00563AE6">
        <w:rPr>
          <w:rFonts w:cs="mylotus"/>
          <w:sz w:val="23"/>
          <w:szCs w:val="23"/>
          <w:rtl/>
        </w:rPr>
        <w:footnoteRef/>
      </w:r>
      <w:r>
        <w:rPr>
          <w:rFonts w:cs="mylotus"/>
          <w:sz w:val="23"/>
          <w:szCs w:val="23"/>
          <w:rtl/>
        </w:rPr>
        <w:t>-</w:t>
      </w:r>
      <w:r w:rsidRPr="00563AE6">
        <w:rPr>
          <w:rFonts w:cs="mylotus" w:hint="cs"/>
          <w:sz w:val="23"/>
          <w:szCs w:val="23"/>
          <w:rtl/>
        </w:rPr>
        <w:t xml:space="preserve"> الشيخ الطوسي، </w:t>
      </w:r>
      <w:r w:rsidRPr="00563AE6">
        <w:rPr>
          <w:rFonts w:cs="mylotus" w:hint="cs"/>
          <w:b/>
          <w:bCs/>
          <w:sz w:val="23"/>
          <w:szCs w:val="23"/>
          <w:rtl/>
        </w:rPr>
        <w:t>المبسوط</w:t>
      </w:r>
      <w:r w:rsidRPr="00563AE6">
        <w:rPr>
          <w:rFonts w:cs="mylotus" w:hint="cs"/>
          <w:sz w:val="23"/>
          <w:szCs w:val="23"/>
          <w:rtl/>
        </w:rPr>
        <w:t>، الطبعة الجديدة، ج 1، ص 263.</w:t>
      </w:r>
    </w:p>
  </w:footnote>
  <w:footnote w:id="440">
    <w:p w:rsidR="00B31118" w:rsidRPr="00563AE6" w:rsidRDefault="00B31118" w:rsidP="00B300C9">
      <w:pPr>
        <w:pStyle w:val="FootnoteText"/>
        <w:spacing w:line="228" w:lineRule="auto"/>
        <w:ind w:left="378" w:hanging="378"/>
        <w:jc w:val="both"/>
        <w:rPr>
          <w:rFonts w:cs="mylotus" w:hint="cs"/>
          <w:sz w:val="23"/>
          <w:szCs w:val="23"/>
          <w:rtl/>
        </w:rPr>
      </w:pPr>
      <w:r w:rsidRPr="00563AE6">
        <w:rPr>
          <w:rFonts w:cs="mylotus"/>
          <w:sz w:val="23"/>
          <w:szCs w:val="23"/>
          <w:rtl/>
        </w:rPr>
        <w:footnoteRef/>
      </w:r>
      <w:r>
        <w:rPr>
          <w:rFonts w:cs="mylotus"/>
          <w:sz w:val="23"/>
          <w:szCs w:val="23"/>
          <w:rtl/>
        </w:rPr>
        <w:t>-</w:t>
      </w:r>
      <w:r w:rsidRPr="00563AE6">
        <w:rPr>
          <w:rFonts w:cs="mylotus" w:hint="cs"/>
          <w:sz w:val="23"/>
          <w:szCs w:val="23"/>
          <w:rtl/>
        </w:rPr>
        <w:t xml:space="preserve"> الشيخ الطوسي، </w:t>
      </w:r>
      <w:r w:rsidRPr="00563AE6">
        <w:rPr>
          <w:rFonts w:cs="mylotus" w:hint="cs"/>
          <w:b/>
          <w:bCs/>
          <w:sz w:val="23"/>
          <w:szCs w:val="23"/>
          <w:rtl/>
        </w:rPr>
        <w:t>النهاية</w:t>
      </w:r>
      <w:r w:rsidRPr="00563AE6">
        <w:rPr>
          <w:rFonts w:cs="mylotus" w:hint="cs"/>
          <w:sz w:val="23"/>
          <w:szCs w:val="23"/>
          <w:rtl/>
        </w:rPr>
        <w:t>، طبع بيروت، 1390هـ،  ص 200.</w:t>
      </w:r>
    </w:p>
  </w:footnote>
  <w:footnote w:id="441">
    <w:p w:rsidR="00B31118" w:rsidRPr="00873C4C" w:rsidRDefault="00B31118" w:rsidP="00B300C9">
      <w:pPr>
        <w:pStyle w:val="FootnoteText"/>
        <w:spacing w:line="228" w:lineRule="auto"/>
        <w:ind w:left="378" w:hanging="378"/>
        <w:jc w:val="both"/>
        <w:rPr>
          <w:rFonts w:ascii="mylotus" w:hAnsi="mylotus" w:cs="mylotus"/>
          <w:sz w:val="23"/>
          <w:szCs w:val="23"/>
        </w:rPr>
      </w:pPr>
      <w:r w:rsidRPr="00873C4C">
        <w:rPr>
          <w:rFonts w:ascii="mylotus" w:hAnsi="mylotus" w:cs="mylotus"/>
          <w:sz w:val="23"/>
          <w:szCs w:val="23"/>
          <w:rtl/>
        </w:rPr>
        <w:footnoteRef/>
      </w:r>
      <w:r w:rsidRPr="00873C4C">
        <w:rPr>
          <w:rFonts w:ascii="mylotus" w:hAnsi="mylotus" w:cs="mylotus"/>
          <w:sz w:val="23"/>
          <w:szCs w:val="23"/>
          <w:rtl/>
        </w:rPr>
        <w:t xml:space="preserve">- العلامة الحلي، مختلف الشيعة، ج 2، ص 36- 37. [أو: ج 3، ص 339 - 340 من الطبعة الثانية الجديدة لمختلف الشيعة، بتحقيق ونشر مؤسسة النشر الإسلامي التابعة لجماعة المدرسين في قم، 1413 هـ.ق. في 9 مجلدات. </w:t>
      </w:r>
      <w:r w:rsidRPr="00873C4C">
        <w:rPr>
          <w:rFonts w:ascii="mylotus" w:hAnsi="mylotus" w:cs="mylotus"/>
          <w:sz w:val="23"/>
          <w:szCs w:val="23"/>
          <w:rtl/>
          <w:lang w:bidi="ar-SY"/>
        </w:rPr>
        <w:t>(المُتَرْجِمُ)</w:t>
      </w:r>
      <w:r w:rsidRPr="00873C4C">
        <w:rPr>
          <w:rFonts w:ascii="mylotus" w:hAnsi="mylotus" w:cs="mylotus"/>
          <w:sz w:val="23"/>
          <w:szCs w:val="23"/>
          <w:rtl/>
        </w:rPr>
        <w:t>]</w:t>
      </w:r>
    </w:p>
  </w:footnote>
  <w:footnote w:id="442">
    <w:p w:rsidR="00B31118" w:rsidRPr="00873C4C" w:rsidRDefault="00B31118" w:rsidP="00B300C9">
      <w:pPr>
        <w:pStyle w:val="FootnoteText"/>
        <w:widowControl w:val="0"/>
        <w:spacing w:line="228" w:lineRule="auto"/>
        <w:ind w:left="340" w:hanging="340"/>
        <w:jc w:val="both"/>
        <w:rPr>
          <w:rFonts w:ascii="mylotus" w:hAnsi="mylotus" w:cs="mylotus"/>
          <w:sz w:val="23"/>
          <w:szCs w:val="23"/>
          <w:rtl/>
        </w:rPr>
      </w:pPr>
      <w:r w:rsidRPr="00873C4C">
        <w:rPr>
          <w:rStyle w:val="FootnoteReference"/>
          <w:rFonts w:ascii="mylotus" w:hAnsi="mylotus" w:cs="mylotus"/>
          <w:sz w:val="23"/>
          <w:szCs w:val="23"/>
          <w:vertAlign w:val="baseline"/>
          <w:rtl/>
        </w:rPr>
        <w:footnoteRef/>
      </w:r>
      <w:r w:rsidRPr="00873C4C">
        <w:rPr>
          <w:rFonts w:ascii="mylotus" w:hAnsi="mylotus" w:cs="mylotus"/>
          <w:sz w:val="23"/>
          <w:szCs w:val="23"/>
          <w:rtl/>
        </w:rPr>
        <w:t>- هذا وقد أكد الشيخ السبزواري في كتابه ذخيرة المعاد أيضاً ذهاب الشيخ «سلار» إلى إباحة الخمس ونقل العبارة عينها التي ذكرها العلامة الحلي في كتابه «</w:t>
      </w:r>
      <w:r w:rsidRPr="00873C4C">
        <w:rPr>
          <w:rFonts w:ascii="mylotus" w:hAnsi="mylotus" w:cs="mylotus"/>
          <w:b/>
          <w:bCs/>
          <w:sz w:val="23"/>
          <w:szCs w:val="23"/>
          <w:rtl/>
        </w:rPr>
        <w:t>مختلف الشيعة</w:t>
      </w:r>
      <w:r w:rsidRPr="00873C4C">
        <w:rPr>
          <w:rFonts w:ascii="mylotus" w:hAnsi="mylotus" w:cs="mylotus"/>
          <w:sz w:val="23"/>
          <w:szCs w:val="23"/>
          <w:rtl/>
        </w:rPr>
        <w:t>». (المُتَرْجِمُ)</w:t>
      </w:r>
    </w:p>
  </w:footnote>
  <w:footnote w:id="443">
    <w:p w:rsidR="00B31118" w:rsidRPr="00873C4C" w:rsidRDefault="00B31118" w:rsidP="00B300C9">
      <w:pPr>
        <w:pStyle w:val="FootnoteText"/>
        <w:widowControl w:val="0"/>
        <w:spacing w:line="228" w:lineRule="auto"/>
        <w:ind w:left="340" w:hanging="340"/>
        <w:jc w:val="both"/>
        <w:rPr>
          <w:rFonts w:ascii="mylotus" w:hAnsi="mylotus" w:cs="mylotus"/>
          <w:sz w:val="23"/>
          <w:szCs w:val="23"/>
          <w:rtl/>
        </w:rPr>
      </w:pPr>
      <w:r w:rsidRPr="00873C4C">
        <w:rPr>
          <w:rFonts w:ascii="mylotus" w:hAnsi="mylotus" w:cs="mylotus"/>
          <w:sz w:val="23"/>
          <w:szCs w:val="23"/>
          <w:rtl/>
        </w:rPr>
        <w:footnoteRef/>
      </w:r>
      <w:r w:rsidRPr="00873C4C">
        <w:rPr>
          <w:rFonts w:ascii="mylotus" w:hAnsi="mylotus" w:cs="mylotus"/>
          <w:sz w:val="23"/>
          <w:szCs w:val="23"/>
          <w:rtl/>
        </w:rPr>
        <w:t>- قطع اللجاج، ص 26.</w:t>
      </w:r>
    </w:p>
  </w:footnote>
  <w:footnote w:id="444">
    <w:p w:rsidR="00B31118" w:rsidRPr="00873C4C" w:rsidRDefault="00B31118" w:rsidP="00B300C9">
      <w:pPr>
        <w:pStyle w:val="FootnoteText"/>
        <w:widowControl w:val="0"/>
        <w:spacing w:line="228" w:lineRule="auto"/>
        <w:ind w:left="340" w:hanging="340"/>
        <w:jc w:val="both"/>
        <w:rPr>
          <w:rFonts w:ascii="mylotus" w:hAnsi="mylotus" w:cs="mylotus"/>
          <w:sz w:val="23"/>
          <w:szCs w:val="23"/>
          <w:lang w:bidi="ar-SY"/>
        </w:rPr>
      </w:pPr>
      <w:r w:rsidRPr="00873C4C">
        <w:rPr>
          <w:rFonts w:ascii="mylotus" w:hAnsi="mylotus" w:cs="mylotus"/>
          <w:sz w:val="23"/>
          <w:szCs w:val="23"/>
          <w:rtl/>
        </w:rPr>
        <w:footnoteRef/>
      </w:r>
      <w:r w:rsidRPr="00873C4C">
        <w:rPr>
          <w:rFonts w:ascii="mylotus" w:hAnsi="mylotus" w:cs="mylotus"/>
          <w:sz w:val="23"/>
          <w:szCs w:val="23"/>
          <w:rtl/>
        </w:rPr>
        <w:t>-</w:t>
      </w:r>
      <w:r w:rsidRPr="00873C4C">
        <w:rPr>
          <w:rFonts w:ascii="mylotus" w:hAnsi="mylotus" w:cs="mylotus"/>
          <w:b/>
          <w:bCs/>
          <w:sz w:val="23"/>
          <w:szCs w:val="23"/>
          <w:rtl/>
          <w:lang w:bidi="ar-SY"/>
        </w:rPr>
        <w:t xml:space="preserve"> المقدس الأردبيلي، زبدة البيان</w:t>
      </w:r>
      <w:r w:rsidRPr="00873C4C">
        <w:rPr>
          <w:rFonts w:ascii="mylotus" w:hAnsi="mylotus" w:cs="mylotus"/>
          <w:sz w:val="23"/>
          <w:szCs w:val="23"/>
          <w:rtl/>
          <w:lang w:bidi="ar-SY"/>
        </w:rPr>
        <w:t xml:space="preserve"> </w:t>
      </w:r>
      <w:r w:rsidRPr="00873C4C">
        <w:rPr>
          <w:rFonts w:ascii="mylotus" w:hAnsi="mylotus" w:cs="mylotus"/>
          <w:b/>
          <w:bCs/>
          <w:sz w:val="23"/>
          <w:szCs w:val="23"/>
          <w:rtl/>
          <w:lang w:bidi="ar-SY"/>
        </w:rPr>
        <w:t>في أحكام القرآن</w:t>
      </w:r>
      <w:r w:rsidRPr="00873C4C">
        <w:rPr>
          <w:rFonts w:ascii="mylotus" w:hAnsi="mylotus" w:cs="mylotus"/>
          <w:sz w:val="23"/>
          <w:szCs w:val="23"/>
          <w:rtl/>
          <w:lang w:bidi="ar-SY"/>
        </w:rPr>
        <w:t>، الطبعة الجديدة، ص 210.</w:t>
      </w:r>
    </w:p>
  </w:footnote>
  <w:footnote w:id="445">
    <w:p w:rsidR="00B31118" w:rsidRPr="00873C4C" w:rsidRDefault="00B31118" w:rsidP="00B300C9">
      <w:pPr>
        <w:pStyle w:val="FootnoteText"/>
        <w:widowControl w:val="0"/>
        <w:spacing w:line="228" w:lineRule="auto"/>
        <w:ind w:left="340" w:hanging="340"/>
        <w:jc w:val="both"/>
        <w:rPr>
          <w:rFonts w:ascii="mylotus" w:hAnsi="mylotus" w:cs="mylotus"/>
          <w:sz w:val="23"/>
          <w:szCs w:val="23"/>
        </w:rPr>
      </w:pPr>
      <w:r w:rsidRPr="00873C4C">
        <w:rPr>
          <w:rFonts w:ascii="mylotus" w:hAnsi="mylotus" w:cs="mylotus"/>
          <w:sz w:val="23"/>
          <w:szCs w:val="23"/>
          <w:rtl/>
        </w:rPr>
        <w:footnoteRef/>
      </w:r>
      <w:r w:rsidRPr="00873C4C">
        <w:rPr>
          <w:rFonts w:ascii="mylotus" w:hAnsi="mylotus" w:cs="mylotus"/>
          <w:sz w:val="23"/>
          <w:szCs w:val="23"/>
          <w:rtl/>
        </w:rPr>
        <w:t>-</w:t>
      </w:r>
      <w:r w:rsidRPr="00873C4C">
        <w:rPr>
          <w:rFonts w:ascii="mylotus" w:hAnsi="mylotus" w:cs="mylotus"/>
          <w:b/>
          <w:bCs/>
          <w:sz w:val="23"/>
          <w:szCs w:val="23"/>
          <w:rtl/>
          <w:lang w:bidi="ar-SY"/>
        </w:rPr>
        <w:t xml:space="preserve"> المقدس الأردبيلي، </w:t>
      </w:r>
      <w:r w:rsidRPr="00873C4C">
        <w:rPr>
          <w:rFonts w:ascii="mylotus" w:hAnsi="mylotus" w:cs="mylotus"/>
          <w:b/>
          <w:bCs/>
          <w:sz w:val="23"/>
          <w:szCs w:val="23"/>
          <w:rtl/>
        </w:rPr>
        <w:t>شرح الإرشاد</w:t>
      </w:r>
      <w:r w:rsidRPr="00873C4C">
        <w:rPr>
          <w:rFonts w:ascii="mylotus" w:hAnsi="mylotus" w:cs="mylotus"/>
          <w:sz w:val="23"/>
          <w:szCs w:val="23"/>
          <w:rtl/>
        </w:rPr>
        <w:t xml:space="preserve">، </w:t>
      </w:r>
      <w:r w:rsidRPr="00873C4C">
        <w:rPr>
          <w:rFonts w:ascii="mylotus" w:hAnsi="mylotus" w:cs="mylotus"/>
          <w:sz w:val="23"/>
          <w:szCs w:val="23"/>
          <w:rtl/>
          <w:lang w:bidi="ar-SY"/>
        </w:rPr>
        <w:t>ص 277.</w:t>
      </w:r>
    </w:p>
  </w:footnote>
  <w:footnote w:id="446">
    <w:p w:rsidR="00B31118" w:rsidRPr="00873C4C" w:rsidRDefault="00B31118" w:rsidP="00B300C9">
      <w:pPr>
        <w:pStyle w:val="FootnoteText"/>
        <w:widowControl w:val="0"/>
        <w:spacing w:line="228" w:lineRule="auto"/>
        <w:ind w:left="340" w:hanging="340"/>
        <w:jc w:val="both"/>
        <w:rPr>
          <w:rFonts w:ascii="mylotus" w:hAnsi="mylotus" w:cs="mylotus"/>
          <w:sz w:val="23"/>
          <w:szCs w:val="23"/>
        </w:rPr>
      </w:pPr>
      <w:r w:rsidRPr="00873C4C">
        <w:rPr>
          <w:rFonts w:ascii="mylotus" w:hAnsi="mylotus" w:cs="mylotus"/>
          <w:sz w:val="23"/>
          <w:szCs w:val="23"/>
          <w:rtl/>
        </w:rPr>
        <w:footnoteRef/>
      </w:r>
      <w:r w:rsidRPr="00873C4C">
        <w:rPr>
          <w:rFonts w:ascii="mylotus" w:hAnsi="mylotus" w:cs="mylotus"/>
          <w:sz w:val="23"/>
          <w:szCs w:val="23"/>
          <w:rtl/>
        </w:rPr>
        <w:t>- ماجد بن فلاح الشيباني، الخراج، ص 183.</w:t>
      </w:r>
    </w:p>
  </w:footnote>
  <w:footnote w:id="447">
    <w:p w:rsidR="00B31118" w:rsidRPr="00873C4C" w:rsidRDefault="00B31118" w:rsidP="00B300C9">
      <w:pPr>
        <w:pStyle w:val="FootnoteText"/>
        <w:widowControl w:val="0"/>
        <w:spacing w:line="228" w:lineRule="auto"/>
        <w:ind w:left="340" w:hanging="340"/>
        <w:jc w:val="both"/>
        <w:rPr>
          <w:rFonts w:ascii="mylotus" w:hAnsi="mylotus" w:cs="mylotus"/>
          <w:sz w:val="23"/>
          <w:szCs w:val="23"/>
          <w:rtl/>
        </w:rPr>
      </w:pPr>
      <w:r w:rsidRPr="00873C4C">
        <w:rPr>
          <w:rFonts w:ascii="mylotus" w:hAnsi="mylotus" w:cs="mylotus"/>
          <w:sz w:val="23"/>
          <w:szCs w:val="23"/>
          <w:rtl/>
        </w:rPr>
        <w:footnoteRef/>
      </w:r>
      <w:r w:rsidRPr="00873C4C">
        <w:rPr>
          <w:rFonts w:ascii="mylotus" w:hAnsi="mylotus" w:cs="mylotus"/>
          <w:sz w:val="23"/>
          <w:szCs w:val="23"/>
          <w:rtl/>
        </w:rPr>
        <w:t>- القطيفي، السراج الوهاج في مسألة الخراج، ص 101.</w:t>
      </w:r>
    </w:p>
  </w:footnote>
  <w:footnote w:id="448">
    <w:p w:rsidR="00B31118" w:rsidRPr="00873C4C" w:rsidRDefault="00B31118" w:rsidP="00B300C9">
      <w:pPr>
        <w:pStyle w:val="FootnoteText"/>
        <w:widowControl w:val="0"/>
        <w:spacing w:line="228" w:lineRule="auto"/>
        <w:ind w:left="340" w:hanging="340"/>
        <w:jc w:val="both"/>
        <w:rPr>
          <w:rFonts w:ascii="mylotus" w:hAnsi="mylotus" w:cs="mylotus"/>
          <w:sz w:val="23"/>
          <w:szCs w:val="23"/>
        </w:rPr>
      </w:pPr>
      <w:r w:rsidRPr="00873C4C">
        <w:rPr>
          <w:rFonts w:ascii="mylotus" w:hAnsi="mylotus" w:cs="mylotus"/>
          <w:sz w:val="23"/>
          <w:szCs w:val="23"/>
          <w:rtl/>
        </w:rPr>
        <w:footnoteRef/>
      </w:r>
      <w:r w:rsidRPr="00873C4C">
        <w:rPr>
          <w:rFonts w:ascii="mylotus" w:hAnsi="mylotus" w:cs="mylotus"/>
          <w:sz w:val="23"/>
          <w:szCs w:val="23"/>
          <w:rtl/>
        </w:rPr>
        <w:t>-</w:t>
      </w:r>
      <w:r w:rsidRPr="00873C4C">
        <w:rPr>
          <w:rFonts w:ascii="mylotus" w:hAnsi="mylotus" w:cs="mylotus"/>
          <w:sz w:val="23"/>
          <w:szCs w:val="23"/>
          <w:rtl/>
          <w:lang w:bidi="ar-SY"/>
        </w:rPr>
        <w:t xml:space="preserve"> الشيخ الحسن بن الشهيد الثاني، مُنتقى الجُمَان، ج 2، ص 145</w:t>
      </w:r>
      <w:r w:rsidRPr="00873C4C">
        <w:rPr>
          <w:rFonts w:ascii="mylotus" w:hAnsi="mylotus" w:cs="mylotus"/>
          <w:sz w:val="23"/>
          <w:szCs w:val="23"/>
          <w:rtl/>
        </w:rPr>
        <w:t>.</w:t>
      </w:r>
    </w:p>
  </w:footnote>
  <w:footnote w:id="449">
    <w:p w:rsidR="00B31118" w:rsidRPr="00873C4C" w:rsidRDefault="00B31118" w:rsidP="00B300C9">
      <w:pPr>
        <w:pStyle w:val="FootnoteText"/>
        <w:widowControl w:val="0"/>
        <w:spacing w:line="228" w:lineRule="auto"/>
        <w:ind w:left="340" w:hanging="340"/>
        <w:jc w:val="both"/>
        <w:rPr>
          <w:rFonts w:ascii="mylotus" w:hAnsi="mylotus" w:cs="mylotus"/>
          <w:sz w:val="23"/>
          <w:szCs w:val="23"/>
          <w:rtl/>
        </w:rPr>
      </w:pPr>
      <w:r w:rsidRPr="00873C4C">
        <w:rPr>
          <w:rFonts w:ascii="mylotus" w:hAnsi="mylotus" w:cs="mylotus"/>
          <w:sz w:val="23"/>
          <w:szCs w:val="23"/>
          <w:rtl/>
        </w:rPr>
        <w:footnoteRef/>
      </w:r>
      <w:r w:rsidRPr="00873C4C">
        <w:rPr>
          <w:rFonts w:ascii="mylotus" w:hAnsi="mylotus" w:cs="mylotus"/>
          <w:sz w:val="23"/>
          <w:szCs w:val="23"/>
          <w:rtl/>
        </w:rPr>
        <w:t>- الشيخ يوسف البحراني، الحدائق الناضرة، ج 12، ص 443، طبع النجف.</w:t>
      </w:r>
    </w:p>
  </w:footnote>
  <w:footnote w:id="450">
    <w:p w:rsidR="00B31118" w:rsidRPr="00873C4C" w:rsidRDefault="00B31118" w:rsidP="00873C4C">
      <w:pPr>
        <w:pStyle w:val="FootnoteText"/>
        <w:widowControl w:val="0"/>
        <w:spacing w:line="228" w:lineRule="auto"/>
        <w:ind w:left="340" w:hanging="340"/>
        <w:jc w:val="both"/>
        <w:rPr>
          <w:rFonts w:ascii="mylotus" w:hAnsi="mylotus" w:cs="mylotus"/>
          <w:sz w:val="23"/>
          <w:szCs w:val="23"/>
          <w:rtl/>
        </w:rPr>
      </w:pPr>
      <w:r w:rsidRPr="00873C4C">
        <w:rPr>
          <w:rStyle w:val="FootnoteReference"/>
          <w:rFonts w:ascii="mylotus" w:hAnsi="mylotus" w:cs="mylotus"/>
          <w:sz w:val="23"/>
          <w:szCs w:val="23"/>
          <w:vertAlign w:val="baseline"/>
          <w:rtl/>
        </w:rPr>
        <w:footnoteRef/>
      </w:r>
      <w:r w:rsidRPr="00873C4C">
        <w:rPr>
          <w:rFonts w:ascii="mylotus" w:hAnsi="mylotus" w:cs="mylotus"/>
          <w:sz w:val="23"/>
          <w:szCs w:val="23"/>
          <w:rtl/>
        </w:rPr>
        <w:t>-</w:t>
      </w:r>
      <w:r w:rsidRPr="00873C4C">
        <w:rPr>
          <w:rFonts w:ascii="mylotus" w:hAnsi="mylotus" w:cs="mylotus"/>
          <w:sz w:val="23"/>
          <w:szCs w:val="23"/>
          <w:rtl/>
        </w:rPr>
        <w:tab/>
        <w:t>هو الشيخ محمد بن الحسن (الحر العاملي) صاحب موسوعة وسائل الشيعة المعروفة، والمتوفَّى سنة 1104ه</w:t>
      </w:r>
      <w:r>
        <w:rPr>
          <w:rFonts w:ascii="mylotus" w:hAnsi="mylotus" w:cs="mylotus"/>
          <w:sz w:val="23"/>
          <w:szCs w:val="23"/>
          <w:rtl/>
        </w:rPr>
        <w:t>ـ</w:t>
      </w:r>
      <w:r w:rsidRPr="00873C4C">
        <w:rPr>
          <w:rFonts w:ascii="mylotus" w:hAnsi="mylotus" w:cs="mylotus"/>
          <w:sz w:val="23"/>
          <w:szCs w:val="23"/>
          <w:rtl/>
        </w:rPr>
        <w:t>. والاسم الكامل للكتاب «</w:t>
      </w:r>
      <w:r w:rsidRPr="00873C4C">
        <w:rPr>
          <w:rFonts w:ascii="mylotus" w:hAnsi="mylotus" w:cs="mylotus"/>
          <w:b/>
          <w:bCs/>
          <w:sz w:val="23"/>
          <w:szCs w:val="23"/>
          <w:rtl/>
        </w:rPr>
        <w:t>أمل الآمل في ذكر علماء جبل عامل</w:t>
      </w:r>
      <w:r w:rsidRPr="00873C4C">
        <w:rPr>
          <w:rFonts w:ascii="mylotus" w:hAnsi="mylotus" w:cs="mylotus"/>
          <w:sz w:val="23"/>
          <w:szCs w:val="23"/>
          <w:rtl/>
        </w:rPr>
        <w:t>»، طبع في مطبعة الآداب في النجف. (المُتَرْجِمُ)</w:t>
      </w:r>
    </w:p>
  </w:footnote>
  <w:footnote w:id="451">
    <w:p w:rsidR="00B31118" w:rsidRPr="00873C4C" w:rsidRDefault="00B31118" w:rsidP="00B300C9">
      <w:pPr>
        <w:pStyle w:val="FootnoteText"/>
        <w:widowControl w:val="0"/>
        <w:spacing w:line="228" w:lineRule="auto"/>
        <w:ind w:left="340" w:hanging="340"/>
        <w:jc w:val="both"/>
        <w:rPr>
          <w:rFonts w:ascii="mylotus" w:hAnsi="mylotus" w:cs="mylotus"/>
          <w:sz w:val="23"/>
          <w:szCs w:val="23"/>
          <w:rtl/>
        </w:rPr>
      </w:pPr>
      <w:r w:rsidRPr="00873C4C">
        <w:rPr>
          <w:rFonts w:ascii="mylotus" w:hAnsi="mylotus" w:cs="mylotus"/>
          <w:sz w:val="23"/>
          <w:szCs w:val="23"/>
          <w:rtl/>
        </w:rPr>
        <w:footnoteRef/>
      </w:r>
      <w:r w:rsidRPr="00873C4C">
        <w:rPr>
          <w:rFonts w:ascii="mylotus" w:hAnsi="mylotus" w:cs="mylotus"/>
          <w:sz w:val="23"/>
          <w:szCs w:val="23"/>
          <w:rtl/>
        </w:rPr>
        <w:t>- الشيخ يوسف البحراني،  الحدائق الناضرة، ج 12، ص 442، طبع النجف.</w:t>
      </w:r>
    </w:p>
  </w:footnote>
  <w:footnote w:id="452">
    <w:p w:rsidR="00B31118" w:rsidRPr="00873C4C" w:rsidRDefault="00B31118" w:rsidP="00B300C9">
      <w:pPr>
        <w:pStyle w:val="FootnoteText"/>
        <w:widowControl w:val="0"/>
        <w:spacing w:line="228" w:lineRule="auto"/>
        <w:ind w:left="340" w:hanging="340"/>
        <w:jc w:val="both"/>
        <w:rPr>
          <w:rFonts w:ascii="mylotus" w:hAnsi="mylotus" w:cs="mylotus"/>
          <w:sz w:val="23"/>
          <w:szCs w:val="23"/>
          <w:rtl/>
        </w:rPr>
      </w:pPr>
      <w:r w:rsidRPr="00873C4C">
        <w:rPr>
          <w:rStyle w:val="FootnoteReference"/>
          <w:rFonts w:ascii="mylotus" w:hAnsi="mylotus" w:cs="mylotus"/>
          <w:sz w:val="23"/>
          <w:szCs w:val="23"/>
          <w:vertAlign w:val="baseline"/>
          <w:rtl/>
        </w:rPr>
        <w:footnoteRef/>
      </w:r>
      <w:r w:rsidRPr="00873C4C">
        <w:rPr>
          <w:rFonts w:ascii="mylotus" w:hAnsi="mylotus" w:cs="mylotus"/>
          <w:sz w:val="23"/>
          <w:szCs w:val="23"/>
          <w:rtl/>
        </w:rPr>
        <w:t>-</w:t>
      </w:r>
      <w:r w:rsidRPr="00873C4C">
        <w:rPr>
          <w:rFonts w:ascii="mylotus" w:hAnsi="mylotus" w:cs="mylotus"/>
          <w:sz w:val="23"/>
          <w:szCs w:val="23"/>
          <w:rtl/>
        </w:rPr>
        <w:tab/>
        <w:t>المحقق السبزواري، «</w:t>
      </w:r>
      <w:r w:rsidRPr="00873C4C">
        <w:rPr>
          <w:rFonts w:ascii="mylotus" w:hAnsi="mylotus" w:cs="mylotus"/>
          <w:b/>
          <w:bCs/>
          <w:sz w:val="23"/>
          <w:szCs w:val="23"/>
          <w:rtl/>
        </w:rPr>
        <w:t>ذخيرة المعاد في شرح إرشاد الأذهان</w:t>
      </w:r>
      <w:r w:rsidRPr="00873C4C">
        <w:rPr>
          <w:rFonts w:ascii="mylotus" w:hAnsi="mylotus" w:cs="mylotus"/>
          <w:sz w:val="23"/>
          <w:szCs w:val="23"/>
          <w:rtl/>
        </w:rPr>
        <w:t>» [مجلدان]، ج 2، ص 481. (المُتَرْجِمُ)</w:t>
      </w:r>
    </w:p>
  </w:footnote>
  <w:footnote w:id="453">
    <w:p w:rsidR="00B31118" w:rsidRPr="00873C4C" w:rsidRDefault="00B31118" w:rsidP="00B300C9">
      <w:pPr>
        <w:pStyle w:val="FootnoteText"/>
        <w:widowControl w:val="0"/>
        <w:spacing w:line="228" w:lineRule="auto"/>
        <w:ind w:left="340" w:hanging="340"/>
        <w:jc w:val="both"/>
        <w:rPr>
          <w:rFonts w:ascii="mylotus" w:hAnsi="mylotus" w:cs="mylotus"/>
          <w:sz w:val="23"/>
          <w:szCs w:val="23"/>
        </w:rPr>
      </w:pPr>
      <w:r w:rsidRPr="00873C4C">
        <w:rPr>
          <w:rStyle w:val="FootnoteReference"/>
          <w:rFonts w:ascii="mylotus" w:hAnsi="mylotus" w:cs="mylotus"/>
          <w:sz w:val="23"/>
          <w:szCs w:val="23"/>
          <w:vertAlign w:val="baseline"/>
          <w:rtl/>
        </w:rPr>
        <w:footnoteRef/>
      </w:r>
      <w:r w:rsidRPr="00873C4C">
        <w:rPr>
          <w:rFonts w:ascii="mylotus" w:hAnsi="mylotus" w:cs="mylotus"/>
          <w:sz w:val="23"/>
          <w:szCs w:val="23"/>
          <w:rtl/>
        </w:rPr>
        <w:t>-</w:t>
      </w:r>
      <w:r w:rsidRPr="00873C4C">
        <w:rPr>
          <w:rFonts w:ascii="mylotus" w:hAnsi="mylotus" w:cs="mylotus"/>
          <w:sz w:val="23"/>
          <w:szCs w:val="23"/>
          <w:rtl/>
        </w:rPr>
        <w:tab/>
        <w:t xml:space="preserve">المحقق السبزواري، </w:t>
      </w:r>
      <w:r w:rsidRPr="00873C4C">
        <w:rPr>
          <w:rFonts w:ascii="mylotus" w:hAnsi="mylotus" w:cs="mylotus"/>
          <w:b/>
          <w:bCs/>
          <w:sz w:val="23"/>
          <w:szCs w:val="23"/>
          <w:rtl/>
        </w:rPr>
        <w:t>ذخيرة المعاد في شرح إرشاد الأذهان</w:t>
      </w:r>
      <w:r w:rsidRPr="00873C4C">
        <w:rPr>
          <w:rFonts w:ascii="mylotus" w:hAnsi="mylotus" w:cs="mylotus"/>
          <w:sz w:val="23"/>
          <w:szCs w:val="23"/>
          <w:rtl/>
        </w:rPr>
        <w:t xml:space="preserve">، ج2، ص 492. (المُتَرْجِمُ) </w:t>
      </w:r>
    </w:p>
  </w:footnote>
  <w:footnote w:id="454">
    <w:p w:rsidR="00B31118" w:rsidRPr="00873C4C" w:rsidRDefault="00B31118" w:rsidP="00B300C9">
      <w:pPr>
        <w:pStyle w:val="FootnoteText"/>
        <w:widowControl w:val="0"/>
        <w:spacing w:line="228" w:lineRule="auto"/>
        <w:ind w:left="340" w:hanging="340"/>
        <w:jc w:val="both"/>
        <w:rPr>
          <w:rFonts w:ascii="mylotus" w:hAnsi="mylotus" w:cs="mylotus"/>
          <w:sz w:val="23"/>
          <w:szCs w:val="23"/>
          <w:rtl/>
        </w:rPr>
      </w:pPr>
      <w:r w:rsidRPr="00873C4C">
        <w:rPr>
          <w:rFonts w:ascii="mylotus" w:hAnsi="mylotus" w:cs="mylotus"/>
          <w:sz w:val="23"/>
          <w:szCs w:val="23"/>
          <w:rtl/>
        </w:rPr>
        <w:footnoteRef/>
      </w:r>
      <w:r w:rsidRPr="00873C4C">
        <w:rPr>
          <w:rFonts w:ascii="mylotus" w:hAnsi="mylotus" w:cs="mylotus"/>
          <w:sz w:val="23"/>
          <w:szCs w:val="23"/>
          <w:rtl/>
        </w:rPr>
        <w:t>- الشيخ يوسف البحراني،  الحدائق الناضرة، ج 12، ص 438، طبع النجف.</w:t>
      </w:r>
    </w:p>
  </w:footnote>
  <w:footnote w:id="455">
    <w:p w:rsidR="00B31118" w:rsidRPr="00873C4C" w:rsidRDefault="00B31118" w:rsidP="00B300C9">
      <w:pPr>
        <w:pStyle w:val="FootnoteText"/>
        <w:widowControl w:val="0"/>
        <w:spacing w:line="228" w:lineRule="auto"/>
        <w:ind w:left="340" w:hanging="340"/>
        <w:jc w:val="both"/>
        <w:rPr>
          <w:rFonts w:ascii="mylotus" w:hAnsi="mylotus" w:cs="mylotus"/>
          <w:sz w:val="23"/>
          <w:szCs w:val="23"/>
          <w:rtl/>
        </w:rPr>
      </w:pPr>
      <w:r w:rsidRPr="00873C4C">
        <w:rPr>
          <w:rFonts w:ascii="mylotus" w:hAnsi="mylotus" w:cs="mylotus"/>
          <w:sz w:val="23"/>
          <w:szCs w:val="23"/>
          <w:rtl/>
        </w:rPr>
        <w:footnoteRef/>
      </w:r>
      <w:r w:rsidRPr="00873C4C">
        <w:rPr>
          <w:rFonts w:ascii="mylotus" w:hAnsi="mylotus" w:cs="mylotus"/>
          <w:sz w:val="23"/>
          <w:szCs w:val="23"/>
          <w:rtl/>
        </w:rPr>
        <w:t>- الفيض الكاشاني، الوافي، المُجلَّد 2، ج 6، ص 48.</w:t>
      </w:r>
    </w:p>
  </w:footnote>
  <w:footnote w:id="456">
    <w:p w:rsidR="00B31118" w:rsidRPr="00873C4C" w:rsidRDefault="00B31118" w:rsidP="00B300C9">
      <w:pPr>
        <w:pStyle w:val="FootnoteText"/>
        <w:widowControl w:val="0"/>
        <w:spacing w:line="228" w:lineRule="auto"/>
        <w:ind w:left="340" w:hanging="340"/>
        <w:jc w:val="both"/>
        <w:rPr>
          <w:rFonts w:ascii="mylotus" w:hAnsi="mylotus" w:cs="mylotus"/>
          <w:sz w:val="23"/>
          <w:szCs w:val="23"/>
          <w:rtl/>
        </w:rPr>
      </w:pPr>
      <w:r w:rsidRPr="00873C4C">
        <w:rPr>
          <w:rFonts w:ascii="mylotus" w:hAnsi="mylotus" w:cs="mylotus"/>
          <w:sz w:val="23"/>
          <w:szCs w:val="23"/>
          <w:rtl/>
        </w:rPr>
        <w:footnoteRef/>
      </w:r>
      <w:r w:rsidRPr="00873C4C">
        <w:rPr>
          <w:rFonts w:ascii="mylotus" w:hAnsi="mylotus" w:cs="mylotus"/>
          <w:sz w:val="23"/>
          <w:szCs w:val="23"/>
          <w:rtl/>
        </w:rPr>
        <w:t xml:space="preserve">- الفيض الكاشاني، مفاتيح الشرائع، ج 1، ص 229. </w:t>
      </w:r>
      <w:r w:rsidRPr="00873C4C">
        <w:rPr>
          <w:rFonts w:ascii="mylotus" w:hAnsi="mylotus" w:cs="mylotus"/>
          <w:sz w:val="23"/>
          <w:szCs w:val="23"/>
          <w:rtl/>
          <w:lang w:bidi="ar-SY"/>
        </w:rPr>
        <w:t>(المُتَرْجِمُ)</w:t>
      </w:r>
    </w:p>
  </w:footnote>
  <w:footnote w:id="457">
    <w:p w:rsidR="00B31118" w:rsidRPr="00873C4C" w:rsidRDefault="00B31118" w:rsidP="00B300C9">
      <w:pPr>
        <w:pStyle w:val="FootnoteText"/>
        <w:widowControl w:val="0"/>
        <w:spacing w:line="228" w:lineRule="auto"/>
        <w:ind w:left="340" w:hanging="340"/>
        <w:jc w:val="both"/>
        <w:rPr>
          <w:rFonts w:ascii="mylotus" w:hAnsi="mylotus" w:cs="mylotus"/>
          <w:sz w:val="23"/>
          <w:szCs w:val="23"/>
          <w:rtl/>
        </w:rPr>
      </w:pPr>
      <w:r w:rsidRPr="00873C4C">
        <w:rPr>
          <w:rFonts w:ascii="mylotus" w:hAnsi="mylotus" w:cs="mylotus"/>
          <w:sz w:val="23"/>
          <w:szCs w:val="23"/>
          <w:rtl/>
        </w:rPr>
        <w:footnoteRef/>
      </w:r>
      <w:r w:rsidRPr="00873C4C">
        <w:rPr>
          <w:rFonts w:ascii="mylotus" w:hAnsi="mylotus" w:cs="mylotus"/>
          <w:sz w:val="23"/>
          <w:szCs w:val="23"/>
          <w:rtl/>
        </w:rPr>
        <w:t>- الشيخ يوسف البحراني،  الحدائق الناضرة، ج 12، ص 442، طبع النجف.</w:t>
      </w:r>
    </w:p>
  </w:footnote>
  <w:footnote w:id="458">
    <w:p w:rsidR="00B31118" w:rsidRPr="00873C4C" w:rsidRDefault="00B31118" w:rsidP="00B300C9">
      <w:pPr>
        <w:pStyle w:val="FootnoteText"/>
        <w:widowControl w:val="0"/>
        <w:spacing w:line="228" w:lineRule="auto"/>
        <w:ind w:left="340" w:hanging="340"/>
        <w:jc w:val="both"/>
        <w:rPr>
          <w:rFonts w:ascii="mylotus" w:hAnsi="mylotus" w:cs="mylotus"/>
          <w:sz w:val="23"/>
          <w:szCs w:val="23"/>
          <w:rtl/>
        </w:rPr>
      </w:pPr>
      <w:r w:rsidRPr="00873C4C">
        <w:rPr>
          <w:rFonts w:ascii="mylotus" w:hAnsi="mylotus" w:cs="mylotus"/>
          <w:sz w:val="23"/>
          <w:szCs w:val="23"/>
          <w:rtl/>
        </w:rPr>
        <w:footnoteRef/>
      </w:r>
      <w:r w:rsidRPr="00873C4C">
        <w:rPr>
          <w:rFonts w:ascii="mylotus" w:hAnsi="mylotus" w:cs="mylotus"/>
          <w:sz w:val="23"/>
          <w:szCs w:val="23"/>
          <w:rtl/>
        </w:rPr>
        <w:t xml:space="preserve">- الحر العاملي، وسائل الشيعة، كتاب الخمس، الباب 4. </w:t>
      </w:r>
    </w:p>
  </w:footnote>
  <w:footnote w:id="459">
    <w:p w:rsidR="00B31118" w:rsidRPr="00873C4C" w:rsidRDefault="00B31118" w:rsidP="00B300C9">
      <w:pPr>
        <w:pStyle w:val="FootnoteText"/>
        <w:widowControl w:val="0"/>
        <w:spacing w:line="228" w:lineRule="auto"/>
        <w:ind w:left="340" w:hanging="340"/>
        <w:jc w:val="both"/>
        <w:rPr>
          <w:rFonts w:ascii="mylotus" w:hAnsi="mylotus" w:cs="mylotus"/>
          <w:sz w:val="23"/>
          <w:szCs w:val="23"/>
          <w:rtl/>
        </w:rPr>
      </w:pPr>
      <w:r w:rsidRPr="00873C4C">
        <w:rPr>
          <w:rFonts w:ascii="mylotus" w:hAnsi="mylotus" w:cs="mylotus"/>
          <w:sz w:val="23"/>
          <w:szCs w:val="23"/>
          <w:rtl/>
        </w:rPr>
        <w:footnoteRef/>
      </w:r>
      <w:r w:rsidRPr="00873C4C">
        <w:rPr>
          <w:rFonts w:ascii="mylotus" w:hAnsi="mylotus" w:cs="mylotus"/>
          <w:sz w:val="23"/>
          <w:szCs w:val="23"/>
          <w:rtl/>
        </w:rPr>
        <w:t>- الشيخ يوسف البحراني،  الحدائق الناضرة، ج 12، ص 442، طبع النجف.</w:t>
      </w:r>
    </w:p>
  </w:footnote>
  <w:footnote w:id="460">
    <w:p w:rsidR="00B31118" w:rsidRPr="00873C4C" w:rsidRDefault="00B31118" w:rsidP="00B300C9">
      <w:pPr>
        <w:pStyle w:val="FootnoteText"/>
        <w:widowControl w:val="0"/>
        <w:spacing w:line="228" w:lineRule="auto"/>
        <w:ind w:left="340" w:hanging="340"/>
        <w:jc w:val="both"/>
        <w:rPr>
          <w:rFonts w:ascii="mylotus" w:hAnsi="mylotus" w:cs="mylotus"/>
          <w:sz w:val="23"/>
          <w:szCs w:val="23"/>
        </w:rPr>
      </w:pPr>
      <w:r w:rsidRPr="00873C4C">
        <w:rPr>
          <w:rFonts w:ascii="mylotus" w:hAnsi="mylotus" w:cs="mylotus"/>
          <w:sz w:val="23"/>
          <w:szCs w:val="23"/>
          <w:rtl/>
        </w:rPr>
        <w:footnoteRef/>
      </w:r>
      <w:r w:rsidRPr="00873C4C">
        <w:rPr>
          <w:rFonts w:ascii="mylotus" w:hAnsi="mylotus" w:cs="mylotus"/>
          <w:sz w:val="23"/>
          <w:szCs w:val="23"/>
          <w:rtl/>
        </w:rPr>
        <w:t>- الشيخ يوسف البحراني،  الحدائق الناضرة، ج 12، ص 448، طبع النجف.</w:t>
      </w:r>
    </w:p>
  </w:footnote>
  <w:footnote w:id="461">
    <w:p w:rsidR="00B31118" w:rsidRPr="00873C4C" w:rsidRDefault="00B31118" w:rsidP="00B300C9">
      <w:pPr>
        <w:pStyle w:val="FootnoteText"/>
        <w:widowControl w:val="0"/>
        <w:spacing w:line="228" w:lineRule="auto"/>
        <w:ind w:left="340" w:hanging="340"/>
        <w:jc w:val="both"/>
        <w:rPr>
          <w:rFonts w:ascii="mylotus" w:hAnsi="mylotus" w:cs="mylotus"/>
          <w:sz w:val="23"/>
          <w:szCs w:val="23"/>
        </w:rPr>
      </w:pPr>
      <w:r w:rsidRPr="00873C4C">
        <w:rPr>
          <w:rFonts w:ascii="mylotus" w:hAnsi="mylotus" w:cs="mylotus"/>
          <w:sz w:val="23"/>
          <w:szCs w:val="23"/>
          <w:rtl/>
        </w:rPr>
        <w:footnoteRef/>
      </w:r>
      <w:r w:rsidRPr="00873C4C">
        <w:rPr>
          <w:rFonts w:ascii="mylotus" w:hAnsi="mylotus" w:cs="mylotus"/>
          <w:sz w:val="23"/>
          <w:szCs w:val="23"/>
          <w:rtl/>
        </w:rPr>
        <w:t xml:space="preserve">- الشيخ محمد حسن النجفي (صاحب الجواهر)، جواهر الكلام في شرح شرائع الإسلام، ج 16، ص 155. </w:t>
      </w:r>
      <w:r w:rsidRPr="00873C4C">
        <w:rPr>
          <w:rFonts w:ascii="mylotus" w:hAnsi="mylotus" w:cs="mylotus"/>
          <w:sz w:val="23"/>
          <w:szCs w:val="23"/>
          <w:rtl/>
          <w:lang w:bidi="ar-SY"/>
        </w:rPr>
        <w:t>(المُتَرْجِمُ)</w:t>
      </w:r>
    </w:p>
  </w:footnote>
  <w:footnote w:id="462">
    <w:p w:rsidR="00B31118" w:rsidRPr="00873C4C" w:rsidRDefault="00B31118" w:rsidP="00B300C9">
      <w:pPr>
        <w:pStyle w:val="FootnoteText"/>
        <w:widowControl w:val="0"/>
        <w:spacing w:line="228" w:lineRule="auto"/>
        <w:ind w:left="340" w:hanging="340"/>
        <w:jc w:val="both"/>
        <w:rPr>
          <w:rFonts w:ascii="mylotus" w:hAnsi="mylotus" w:cs="mylotus"/>
          <w:sz w:val="23"/>
          <w:szCs w:val="23"/>
          <w:rtl/>
          <w:lang w:bidi="ar-SY"/>
        </w:rPr>
      </w:pPr>
      <w:r w:rsidRPr="00873C4C">
        <w:rPr>
          <w:rFonts w:ascii="mylotus" w:hAnsi="mylotus" w:cs="mylotus"/>
          <w:sz w:val="23"/>
          <w:szCs w:val="23"/>
          <w:rtl/>
        </w:rPr>
        <w:footnoteRef/>
      </w:r>
      <w:r w:rsidRPr="00873C4C">
        <w:rPr>
          <w:rFonts w:ascii="mylotus" w:hAnsi="mylotus" w:cs="mylotus"/>
          <w:sz w:val="23"/>
          <w:szCs w:val="23"/>
          <w:rtl/>
        </w:rPr>
        <w:t xml:space="preserve">- المصدر السابق، ج 16، ص 174. </w:t>
      </w:r>
      <w:r w:rsidRPr="00873C4C">
        <w:rPr>
          <w:rFonts w:ascii="mylotus" w:hAnsi="mylotus" w:cs="mylotus"/>
          <w:sz w:val="23"/>
          <w:szCs w:val="23"/>
          <w:rtl/>
          <w:lang w:bidi="ar-SY"/>
        </w:rPr>
        <w:t>(المُتَرْجِمُ)</w:t>
      </w:r>
    </w:p>
  </w:footnote>
  <w:footnote w:id="463">
    <w:p w:rsidR="00B31118" w:rsidRPr="00873C4C" w:rsidRDefault="00B31118" w:rsidP="00B300C9">
      <w:pPr>
        <w:pStyle w:val="FootnoteText"/>
        <w:widowControl w:val="0"/>
        <w:spacing w:line="228" w:lineRule="auto"/>
        <w:ind w:left="340" w:hanging="340"/>
        <w:jc w:val="both"/>
        <w:rPr>
          <w:rFonts w:ascii="mylotus" w:hAnsi="mylotus" w:cs="mylotus"/>
          <w:sz w:val="23"/>
          <w:szCs w:val="23"/>
          <w:rtl/>
        </w:rPr>
      </w:pPr>
      <w:r w:rsidRPr="00873C4C">
        <w:rPr>
          <w:rFonts w:ascii="mylotus" w:hAnsi="mylotus" w:cs="mylotus"/>
          <w:sz w:val="23"/>
          <w:szCs w:val="23"/>
          <w:rtl/>
        </w:rPr>
        <w:footnoteRef/>
      </w:r>
      <w:r w:rsidRPr="00873C4C">
        <w:rPr>
          <w:rFonts w:ascii="mylotus" w:hAnsi="mylotus" w:cs="mylotus"/>
          <w:sz w:val="23"/>
          <w:szCs w:val="23"/>
          <w:rtl/>
        </w:rPr>
        <w:t>- الشيخ الطوسي، النهاية، طبع بيروت، ص 199.</w:t>
      </w:r>
    </w:p>
  </w:footnote>
  <w:footnote w:id="464">
    <w:p w:rsidR="00B31118" w:rsidRPr="00873C4C" w:rsidRDefault="00B31118" w:rsidP="00B300C9">
      <w:pPr>
        <w:pStyle w:val="FootnoteText"/>
        <w:spacing w:line="228" w:lineRule="auto"/>
        <w:jc w:val="both"/>
        <w:rPr>
          <w:rFonts w:ascii="mylotus" w:hAnsi="mylotus" w:cs="mylotus"/>
          <w:sz w:val="23"/>
          <w:szCs w:val="23"/>
          <w:rtl/>
          <w:lang w:bidi="ar-SY"/>
        </w:rPr>
      </w:pPr>
      <w:r w:rsidRPr="00873C4C">
        <w:rPr>
          <w:rStyle w:val="FootnoteReference"/>
          <w:rFonts w:ascii="mylotus" w:hAnsi="mylotus" w:cs="mylotus"/>
          <w:sz w:val="23"/>
          <w:szCs w:val="23"/>
          <w:vertAlign w:val="baseline"/>
          <w:rtl/>
          <w:lang w:bidi="ar-SY"/>
        </w:rPr>
        <w:footnoteRef/>
      </w:r>
      <w:r w:rsidRPr="00873C4C">
        <w:rPr>
          <w:rFonts w:ascii="mylotus" w:hAnsi="mylotus" w:cs="mylotus"/>
          <w:sz w:val="23"/>
          <w:szCs w:val="23"/>
          <w:rtl/>
          <w:lang w:bidi="ar-SY"/>
        </w:rPr>
        <w:t>- محمد حسين آل كاشف الغطاء، الفردوس الأعلى، ص 55.</w:t>
      </w:r>
    </w:p>
  </w:footnote>
  <w:footnote w:id="465">
    <w:p w:rsidR="00B31118" w:rsidRPr="00563AE6" w:rsidRDefault="00B31118" w:rsidP="00B300C9">
      <w:pPr>
        <w:pStyle w:val="FootnoteText"/>
        <w:spacing w:line="228" w:lineRule="auto"/>
        <w:jc w:val="both"/>
        <w:rPr>
          <w:rFonts w:cs="mylotus" w:hint="cs"/>
          <w:sz w:val="23"/>
          <w:szCs w:val="23"/>
          <w:rtl/>
        </w:rPr>
      </w:pPr>
      <w:r w:rsidRPr="00873C4C">
        <w:rPr>
          <w:rStyle w:val="FootnoteReference"/>
          <w:rFonts w:ascii="mylotus" w:hAnsi="mylotus" w:cs="mylotus"/>
          <w:sz w:val="23"/>
          <w:szCs w:val="23"/>
          <w:vertAlign w:val="baseline"/>
          <w:rtl/>
          <w:lang w:bidi="ar-SY"/>
        </w:rPr>
        <w:footnoteRef/>
      </w:r>
      <w:r>
        <w:rPr>
          <w:rFonts w:cs="mylotus" w:hint="cs"/>
          <w:sz w:val="23"/>
          <w:szCs w:val="23"/>
          <w:rtl/>
          <w:lang w:bidi="ar-SY"/>
        </w:rPr>
        <w:t>-</w:t>
      </w:r>
      <w:r w:rsidRPr="00563AE6">
        <w:rPr>
          <w:rFonts w:cs="mylotus" w:hint="cs"/>
          <w:sz w:val="23"/>
          <w:szCs w:val="23"/>
          <w:rtl/>
          <w:lang w:bidi="ar-SY"/>
        </w:rPr>
        <w:t xml:space="preserve"> ملاحظة: من بين إجابات المؤلف على الردود الخمسة التي كُتِبَت ردًّا على كتاب «</w:t>
      </w:r>
      <w:r w:rsidRPr="00563AE6">
        <w:rPr>
          <w:rFonts w:cs="mylotus" w:hint="cs"/>
          <w:b/>
          <w:bCs/>
          <w:sz w:val="23"/>
          <w:szCs w:val="23"/>
          <w:rtl/>
          <w:lang w:bidi="ar-SY"/>
        </w:rPr>
        <w:t>الخُمس</w:t>
      </w:r>
      <w:r w:rsidRPr="00563AE6">
        <w:rPr>
          <w:rFonts w:cs="mylotus" w:hint="cs"/>
          <w:sz w:val="23"/>
          <w:szCs w:val="23"/>
          <w:rtl/>
          <w:lang w:bidi="ar-SY"/>
        </w:rPr>
        <w:t>»، لم نتمكن من العثور إلا على ثلاثة إجابات فقط، فأوردناها في هذا القسم من الكتاب. كما أنه بسبب البُعْد الزمني الطويل نسبيًّا بين الطبعة الأولى للكتاب، وهذه الطبعة الجديدة، اضطررنا أحيانًا إلى تغيير بعض العبارات بما يتناسب مع لغة الزمن الحاضر. (</w:t>
      </w:r>
      <w:r w:rsidRPr="00563AE6">
        <w:rPr>
          <w:rFonts w:cs="mylotus" w:hint="cs"/>
          <w:b/>
          <w:bCs/>
          <w:sz w:val="23"/>
          <w:szCs w:val="23"/>
          <w:rtl/>
          <w:lang w:bidi="ar-SY"/>
        </w:rPr>
        <w:t>د. حنيف</w:t>
      </w:r>
      <w:r w:rsidRPr="00563AE6">
        <w:rPr>
          <w:rFonts w:cs="mylotus" w:hint="cs"/>
          <w:sz w:val="23"/>
          <w:szCs w:val="23"/>
          <w:rtl/>
          <w:lang w:bidi="ar-SY"/>
        </w:rPr>
        <w:t>).</w:t>
      </w:r>
    </w:p>
  </w:footnote>
  <w:footnote w:id="466">
    <w:p w:rsidR="00B31118" w:rsidRPr="00563AE6" w:rsidRDefault="00B31118" w:rsidP="00B300C9">
      <w:pPr>
        <w:pStyle w:val="FootnoteText"/>
        <w:spacing w:line="228" w:lineRule="auto"/>
        <w:jc w:val="both"/>
        <w:rPr>
          <w:rFonts w:cs="mylotus" w:hint="cs"/>
          <w:sz w:val="23"/>
          <w:szCs w:val="23"/>
          <w:lang w:bidi="ar-SY"/>
        </w:rPr>
      </w:pPr>
      <w:r w:rsidRPr="00563AE6">
        <w:rPr>
          <w:rStyle w:val="FootnoteReference"/>
          <w:rFonts w:cs="mylotus"/>
          <w:sz w:val="23"/>
          <w:szCs w:val="23"/>
          <w:vertAlign w:val="baseline"/>
        </w:rPr>
        <w:footnoteRef/>
      </w:r>
      <w:r w:rsidRPr="00563AE6">
        <w:rPr>
          <w:rFonts w:cs="mylotus" w:hint="cs"/>
          <w:sz w:val="23"/>
          <w:szCs w:val="23"/>
          <w:rtl/>
        </w:rPr>
        <w:t>- إشارة إلى اللباس الرائج لعلماء الدين في بلده. (</w:t>
      </w:r>
      <w:r w:rsidRPr="00563AE6">
        <w:rPr>
          <w:rFonts w:cs="mylotus" w:hint="cs"/>
          <w:b/>
          <w:bCs/>
          <w:sz w:val="23"/>
          <w:szCs w:val="23"/>
          <w:rtl/>
        </w:rPr>
        <w:t>المُتَرْجِمُ</w:t>
      </w:r>
      <w:r w:rsidRPr="00563AE6">
        <w:rPr>
          <w:rFonts w:cs="mylotus" w:hint="cs"/>
          <w:sz w:val="23"/>
          <w:szCs w:val="23"/>
          <w:rtl/>
        </w:rPr>
        <w:t xml:space="preserve">) </w:t>
      </w:r>
    </w:p>
  </w:footnote>
  <w:footnote w:id="467">
    <w:p w:rsidR="00B31118" w:rsidRPr="00563AE6" w:rsidRDefault="00B31118" w:rsidP="00B300C9">
      <w:pPr>
        <w:pStyle w:val="FootnoteText"/>
        <w:spacing w:line="228" w:lineRule="auto"/>
        <w:jc w:val="both"/>
        <w:rPr>
          <w:rStyle w:val="FootnoteReference"/>
          <w:rFonts w:cs="mylotus"/>
          <w:sz w:val="23"/>
          <w:szCs w:val="23"/>
          <w:vertAlign w:val="baseline"/>
          <w:lang w:bidi="ar-SY"/>
        </w:rPr>
      </w:pPr>
      <w:r w:rsidRPr="00563AE6">
        <w:rPr>
          <w:rStyle w:val="FootnoteReference"/>
          <w:rFonts w:cs="mylotus"/>
          <w:sz w:val="23"/>
          <w:szCs w:val="23"/>
          <w:vertAlign w:val="baseline"/>
          <w:rtl/>
        </w:rPr>
        <w:footnoteRef/>
      </w:r>
      <w:r>
        <w:rPr>
          <w:rStyle w:val="FootnoteReference"/>
          <w:rFonts w:cs="mylotus" w:hint="cs"/>
          <w:sz w:val="23"/>
          <w:szCs w:val="23"/>
          <w:vertAlign w:val="baseline"/>
          <w:rtl/>
        </w:rPr>
        <w:t>-</w:t>
      </w:r>
      <w:r w:rsidRPr="00563AE6">
        <w:rPr>
          <w:rStyle w:val="FootnoteReference"/>
          <w:rFonts w:cs="mylotus" w:hint="cs"/>
          <w:sz w:val="23"/>
          <w:szCs w:val="23"/>
          <w:vertAlign w:val="baseline"/>
          <w:rtl/>
        </w:rPr>
        <w:t xml:space="preserve"> يشير إلى كتابَي المؤلف قلمداران</w:t>
      </w:r>
      <w:r w:rsidRPr="00563AE6">
        <w:rPr>
          <w:rFonts w:cs="mylotus" w:hint="cs"/>
          <w:sz w:val="23"/>
          <w:szCs w:val="23"/>
          <w:rtl/>
        </w:rPr>
        <w:t>: «</w:t>
      </w:r>
      <w:r w:rsidRPr="00563AE6">
        <w:rPr>
          <w:rFonts w:cs="mylotus"/>
          <w:b/>
          <w:bCs/>
          <w:sz w:val="23"/>
          <w:szCs w:val="23"/>
          <w:rtl/>
        </w:rPr>
        <w:t>الزكاة</w:t>
      </w:r>
      <w:r w:rsidRPr="00563AE6">
        <w:rPr>
          <w:rFonts w:cs="mylotus" w:hint="cs"/>
          <w:sz w:val="23"/>
          <w:szCs w:val="23"/>
          <w:rtl/>
        </w:rPr>
        <w:t>» [واسمه الكامل بالفارسية: «</w:t>
      </w:r>
      <w:r w:rsidRPr="00563AE6">
        <w:rPr>
          <w:rFonts w:cs="mylotus"/>
          <w:sz w:val="23"/>
          <w:szCs w:val="23"/>
          <w:rtl/>
        </w:rPr>
        <w:t xml:space="preserve"> </w:t>
      </w:r>
      <w:r w:rsidRPr="00563AE6">
        <w:rPr>
          <w:rFonts w:cs="mylotus"/>
          <w:b/>
          <w:bCs/>
          <w:sz w:val="23"/>
          <w:szCs w:val="23"/>
          <w:rtl/>
        </w:rPr>
        <w:t>بحث</w:t>
      </w:r>
      <w:r w:rsidRPr="00563AE6">
        <w:rPr>
          <w:rFonts w:cs="mylotus" w:hint="cs"/>
          <w:b/>
          <w:bCs/>
          <w:sz w:val="23"/>
          <w:szCs w:val="23"/>
          <w:rtl/>
        </w:rPr>
        <w:t>ى</w:t>
      </w:r>
      <w:r w:rsidRPr="00563AE6">
        <w:rPr>
          <w:rFonts w:cs="mylotus"/>
          <w:b/>
          <w:bCs/>
          <w:sz w:val="23"/>
          <w:szCs w:val="23"/>
          <w:rtl/>
        </w:rPr>
        <w:t xml:space="preserve"> در باره مسائل واجب بعد از نماز</w:t>
      </w:r>
      <w:r w:rsidRPr="00563AE6">
        <w:rPr>
          <w:rFonts w:cs="mylotus" w:hint="cs"/>
          <w:sz w:val="23"/>
          <w:szCs w:val="23"/>
          <w:rtl/>
        </w:rPr>
        <w:t>» = بحث حول المسائل الواجبة بعد الصلاة، الجزء الأول: الزكاة]، و</w:t>
      </w:r>
      <w:r w:rsidRPr="00563AE6">
        <w:rPr>
          <w:rStyle w:val="FootnoteReference"/>
          <w:rFonts w:cs="mylotus" w:hint="cs"/>
          <w:sz w:val="23"/>
          <w:szCs w:val="23"/>
          <w:vertAlign w:val="baseline"/>
          <w:rtl/>
        </w:rPr>
        <w:t>«</w:t>
      </w:r>
      <w:r w:rsidRPr="00563AE6">
        <w:rPr>
          <w:rFonts w:cs="mylotus" w:hint="cs"/>
          <w:b/>
          <w:bCs/>
          <w:sz w:val="23"/>
          <w:szCs w:val="23"/>
          <w:rtl/>
        </w:rPr>
        <w:t>الخُمْس</w:t>
      </w:r>
      <w:r w:rsidRPr="00563AE6">
        <w:rPr>
          <w:rFonts w:cs="mylotus" w:hint="cs"/>
          <w:sz w:val="23"/>
          <w:szCs w:val="23"/>
          <w:rtl/>
        </w:rPr>
        <w:t>» [واسمه الأصلي بالفارسية: «</w:t>
      </w:r>
      <w:r w:rsidRPr="00563AE6">
        <w:rPr>
          <w:rFonts w:cs="mylotus"/>
          <w:b/>
          <w:bCs/>
          <w:sz w:val="23"/>
          <w:szCs w:val="23"/>
          <w:rtl/>
        </w:rPr>
        <w:t>م</w:t>
      </w:r>
      <w:r w:rsidRPr="00563AE6">
        <w:rPr>
          <w:rFonts w:cs="mylotus" w:hint="cs"/>
          <w:b/>
          <w:bCs/>
          <w:sz w:val="23"/>
          <w:szCs w:val="23"/>
          <w:rtl/>
        </w:rPr>
        <w:t>س</w:t>
      </w:r>
      <w:r w:rsidRPr="00563AE6">
        <w:rPr>
          <w:rFonts w:cs="mylotus"/>
          <w:b/>
          <w:bCs/>
          <w:sz w:val="23"/>
          <w:szCs w:val="23"/>
          <w:rtl/>
        </w:rPr>
        <w:t>أله خمس مأخوذ از كتاب و سنت</w:t>
      </w:r>
      <w:r w:rsidRPr="00563AE6">
        <w:rPr>
          <w:rFonts w:cs="mylotus" w:hint="cs"/>
          <w:sz w:val="23"/>
          <w:szCs w:val="23"/>
          <w:rtl/>
        </w:rPr>
        <w:t>» = مسألة الخُمْس مأخوذة من الكتاب والسنَّة]، اللذين صدرا في وقت متزامن تقريبًا.</w:t>
      </w:r>
    </w:p>
  </w:footnote>
  <w:footnote w:id="468">
    <w:p w:rsidR="00B31118" w:rsidRPr="00563AE6" w:rsidRDefault="00B31118" w:rsidP="00B300C9">
      <w:pPr>
        <w:pStyle w:val="FootnoteText"/>
        <w:spacing w:line="228" w:lineRule="auto"/>
        <w:jc w:val="both"/>
        <w:rPr>
          <w:rFonts w:cs="mylotus" w:hint="cs"/>
          <w:sz w:val="23"/>
          <w:szCs w:val="23"/>
          <w:rtl/>
          <w:lang w:bidi="ar-SY"/>
        </w:rPr>
      </w:pPr>
      <w:r w:rsidRPr="00563AE6">
        <w:rPr>
          <w:rStyle w:val="FootnoteReference"/>
          <w:rFonts w:cs="mylotus"/>
          <w:sz w:val="23"/>
          <w:szCs w:val="23"/>
          <w:vertAlign w:val="baseline"/>
        </w:rPr>
        <w:footnoteRef/>
      </w:r>
      <w:r w:rsidRPr="00563AE6">
        <w:rPr>
          <w:rFonts w:cs="mylotus" w:hint="cs"/>
          <w:sz w:val="23"/>
          <w:szCs w:val="23"/>
          <w:rtl/>
        </w:rPr>
        <w:t xml:space="preserve">- </w:t>
      </w:r>
      <w:r w:rsidRPr="00563AE6">
        <w:rPr>
          <w:rFonts w:cs="mylotus"/>
          <w:sz w:val="23"/>
          <w:szCs w:val="23"/>
          <w:rtl/>
        </w:rPr>
        <w:t>يقصد كتاب «</w:t>
      </w:r>
      <w:r w:rsidRPr="00563AE6">
        <w:rPr>
          <w:rFonts w:cs="mylotus"/>
          <w:b/>
          <w:bCs/>
          <w:sz w:val="23"/>
          <w:szCs w:val="23"/>
          <w:rtl/>
        </w:rPr>
        <w:t>غنائم الأيام في مسائل الحلال والحرام</w:t>
      </w:r>
      <w:r w:rsidRPr="00563AE6">
        <w:rPr>
          <w:rFonts w:cs="mylotus"/>
          <w:sz w:val="23"/>
          <w:szCs w:val="23"/>
          <w:rtl/>
        </w:rPr>
        <w:t xml:space="preserve">» تأليف الميرزا أبو القاسم بن محمد حسن القمي (ت 1232 أو 1231 أو 1233 هـ. ق.) </w:t>
      </w:r>
      <w:r w:rsidRPr="00563AE6">
        <w:rPr>
          <w:rFonts w:cs="mylotus" w:hint="cs"/>
          <w:sz w:val="23"/>
          <w:szCs w:val="23"/>
          <w:rtl/>
        </w:rPr>
        <w:t xml:space="preserve">ويقع </w:t>
      </w:r>
      <w:r w:rsidRPr="00563AE6">
        <w:rPr>
          <w:rFonts w:cs="mylotus"/>
          <w:sz w:val="23"/>
          <w:szCs w:val="23"/>
          <w:rtl/>
        </w:rPr>
        <w:t xml:space="preserve">في 6 مجلدات، </w:t>
      </w:r>
      <w:r w:rsidRPr="00563AE6">
        <w:rPr>
          <w:rFonts w:cs="mylotus" w:hint="cs"/>
          <w:sz w:val="23"/>
          <w:szCs w:val="23"/>
          <w:rtl/>
        </w:rPr>
        <w:t xml:space="preserve">نشر: </w:t>
      </w:r>
      <w:r w:rsidRPr="00563AE6">
        <w:rPr>
          <w:rFonts w:cs="mylotus"/>
          <w:sz w:val="23"/>
          <w:szCs w:val="23"/>
          <w:rtl/>
        </w:rPr>
        <w:t>قم، مكتب الإعلام الإسلامي التابع للحوزة العلمية في قم، 1417هـ.ق</w:t>
      </w:r>
      <w:r w:rsidRPr="00563AE6">
        <w:rPr>
          <w:rFonts w:cs="mylotus" w:hint="cs"/>
          <w:sz w:val="23"/>
          <w:szCs w:val="23"/>
          <w:rtl/>
        </w:rPr>
        <w:t>. (</w:t>
      </w:r>
      <w:r w:rsidRPr="00563AE6">
        <w:rPr>
          <w:rFonts w:cs="mylotus" w:hint="cs"/>
          <w:b/>
          <w:bCs/>
          <w:sz w:val="23"/>
          <w:szCs w:val="23"/>
          <w:rtl/>
        </w:rPr>
        <w:t>المُتَرْجِمُ</w:t>
      </w:r>
      <w:r w:rsidRPr="00563AE6">
        <w:rPr>
          <w:rFonts w:cs="mylotus" w:hint="cs"/>
          <w:sz w:val="23"/>
          <w:szCs w:val="23"/>
          <w:rtl/>
        </w:rPr>
        <w:t>)</w:t>
      </w:r>
    </w:p>
  </w:footnote>
  <w:footnote w:id="469">
    <w:p w:rsidR="00B31118" w:rsidRPr="00563AE6" w:rsidRDefault="00B31118" w:rsidP="00B300C9">
      <w:pPr>
        <w:pStyle w:val="FootnoteText"/>
        <w:spacing w:line="228" w:lineRule="auto"/>
        <w:jc w:val="both"/>
        <w:rPr>
          <w:rFonts w:cs="mylotus" w:hint="cs"/>
          <w:sz w:val="23"/>
          <w:szCs w:val="23"/>
          <w:rtl/>
          <w:lang w:bidi="ar-SY"/>
        </w:rPr>
      </w:pPr>
      <w:r w:rsidRPr="00563AE6">
        <w:rPr>
          <w:rStyle w:val="FootnoteReference"/>
          <w:rFonts w:cs="mylotus"/>
          <w:sz w:val="23"/>
          <w:szCs w:val="23"/>
          <w:vertAlign w:val="baseline"/>
        </w:rPr>
        <w:footnoteRef/>
      </w:r>
      <w:r w:rsidRPr="00563AE6">
        <w:rPr>
          <w:rFonts w:cs="mylotus" w:hint="cs"/>
          <w:sz w:val="23"/>
          <w:szCs w:val="23"/>
          <w:rtl/>
        </w:rPr>
        <w:t xml:space="preserve">- الميرزا أبو القاسم القمي، </w:t>
      </w:r>
      <w:r w:rsidRPr="00563AE6">
        <w:rPr>
          <w:rFonts w:cs="mylotus" w:hint="cs"/>
          <w:b/>
          <w:bCs/>
          <w:sz w:val="23"/>
          <w:szCs w:val="23"/>
          <w:rtl/>
        </w:rPr>
        <w:t>غنائم الأيام في مسائل الحلال والحرام</w:t>
      </w:r>
      <w:r w:rsidRPr="00563AE6">
        <w:rPr>
          <w:rFonts w:cs="mylotus" w:hint="cs"/>
          <w:sz w:val="23"/>
          <w:szCs w:val="23"/>
          <w:rtl/>
        </w:rPr>
        <w:t>،ج 4، ص 315. (</w:t>
      </w:r>
      <w:r w:rsidRPr="00563AE6">
        <w:rPr>
          <w:rFonts w:cs="mylotus" w:hint="cs"/>
          <w:b/>
          <w:bCs/>
          <w:sz w:val="23"/>
          <w:szCs w:val="23"/>
          <w:rtl/>
        </w:rPr>
        <w:t>المُتَرْجِمُ</w:t>
      </w:r>
      <w:r w:rsidRPr="00563AE6">
        <w:rPr>
          <w:rFonts w:cs="mylotus" w:hint="cs"/>
          <w:sz w:val="23"/>
          <w:szCs w:val="23"/>
          <w:rtl/>
        </w:rPr>
        <w:t>)</w:t>
      </w:r>
    </w:p>
  </w:footnote>
  <w:footnote w:id="470">
    <w:p w:rsidR="00B31118" w:rsidRPr="00563AE6" w:rsidRDefault="00B31118" w:rsidP="00B300C9">
      <w:pPr>
        <w:pStyle w:val="FootnoteText"/>
        <w:spacing w:line="228" w:lineRule="auto"/>
        <w:jc w:val="both"/>
        <w:rPr>
          <w:rFonts w:cs="mylotus" w:hint="cs"/>
          <w:sz w:val="23"/>
          <w:szCs w:val="23"/>
        </w:rPr>
      </w:pPr>
      <w:r w:rsidRPr="00563AE6">
        <w:rPr>
          <w:rFonts w:cs="mylotus"/>
          <w:sz w:val="23"/>
          <w:szCs w:val="23"/>
        </w:rPr>
        <w:footnoteRef/>
      </w:r>
      <w:r w:rsidRPr="00563AE6">
        <w:rPr>
          <w:rFonts w:cs="mylotus" w:hint="cs"/>
          <w:sz w:val="23"/>
          <w:szCs w:val="23"/>
          <w:rtl/>
        </w:rPr>
        <w:t xml:space="preserve">- </w:t>
      </w:r>
      <w:r w:rsidRPr="00563AE6">
        <w:rPr>
          <w:rFonts w:cs="mylotus"/>
          <w:sz w:val="23"/>
          <w:szCs w:val="23"/>
          <w:rtl/>
        </w:rPr>
        <w:t>الأنفال</w:t>
      </w:r>
      <w:r w:rsidRPr="00563AE6">
        <w:rPr>
          <w:rFonts w:cs="mylotus" w:hint="cs"/>
          <w:sz w:val="23"/>
          <w:szCs w:val="23"/>
          <w:rtl/>
        </w:rPr>
        <w:t xml:space="preserve">: </w:t>
      </w:r>
      <w:r w:rsidRPr="00563AE6">
        <w:rPr>
          <w:rFonts w:cs="mylotus"/>
          <w:sz w:val="23"/>
          <w:szCs w:val="23"/>
          <w:rtl/>
        </w:rPr>
        <w:t>41</w:t>
      </w:r>
      <w:r w:rsidRPr="00563AE6">
        <w:rPr>
          <w:rFonts w:cs="mylotus" w:hint="cs"/>
          <w:sz w:val="23"/>
          <w:szCs w:val="23"/>
          <w:rtl/>
        </w:rPr>
        <w:t>. (</w:t>
      </w:r>
      <w:r w:rsidRPr="00563AE6">
        <w:rPr>
          <w:rFonts w:cs="mylotus" w:hint="cs"/>
          <w:b/>
          <w:bCs/>
          <w:sz w:val="23"/>
          <w:szCs w:val="23"/>
          <w:rtl/>
        </w:rPr>
        <w:t>المُتَرْجِمُ</w:t>
      </w:r>
      <w:r w:rsidRPr="00563AE6">
        <w:rPr>
          <w:rFonts w:cs="mylotus" w:hint="cs"/>
          <w:sz w:val="23"/>
          <w:szCs w:val="23"/>
          <w:rtl/>
        </w:rPr>
        <w:t>)</w:t>
      </w:r>
    </w:p>
  </w:footnote>
  <w:footnote w:id="471">
    <w:p w:rsidR="00B31118" w:rsidRPr="00563AE6" w:rsidRDefault="00B31118" w:rsidP="00B300C9">
      <w:pPr>
        <w:pStyle w:val="FootnoteText"/>
        <w:spacing w:line="228" w:lineRule="auto"/>
        <w:jc w:val="both"/>
        <w:rPr>
          <w:rFonts w:cs="mylotus" w:hint="cs"/>
          <w:sz w:val="23"/>
          <w:szCs w:val="23"/>
          <w:rtl/>
          <w:lang w:bidi="ar-SY"/>
        </w:rPr>
      </w:pPr>
      <w:r w:rsidRPr="00563AE6">
        <w:rPr>
          <w:rStyle w:val="FootnoteReference"/>
          <w:rFonts w:cs="mylotus"/>
          <w:sz w:val="23"/>
          <w:szCs w:val="23"/>
          <w:vertAlign w:val="baseline"/>
        </w:rPr>
        <w:footnoteRef/>
      </w:r>
      <w:r w:rsidRPr="00563AE6">
        <w:rPr>
          <w:rFonts w:cs="mylotus" w:hint="cs"/>
          <w:sz w:val="23"/>
          <w:szCs w:val="23"/>
          <w:rtl/>
        </w:rPr>
        <w:t xml:space="preserve">- الشيخ الطوسي، </w:t>
      </w:r>
      <w:r w:rsidRPr="00563AE6">
        <w:rPr>
          <w:rFonts w:cs="mylotus" w:hint="cs"/>
          <w:b/>
          <w:bCs/>
          <w:sz w:val="23"/>
          <w:szCs w:val="23"/>
          <w:rtl/>
        </w:rPr>
        <w:t>التبيان في تفسير القرآن</w:t>
      </w:r>
      <w:r w:rsidRPr="00563AE6">
        <w:rPr>
          <w:rFonts w:cs="mylotus" w:hint="cs"/>
          <w:sz w:val="23"/>
          <w:szCs w:val="23"/>
          <w:rtl/>
        </w:rPr>
        <w:t>، ج 1، ص 797، طبعة عام 1364 هـ.ق. (</w:t>
      </w:r>
      <w:r w:rsidRPr="00563AE6">
        <w:rPr>
          <w:rFonts w:cs="mylotus" w:hint="cs"/>
          <w:b/>
          <w:bCs/>
          <w:sz w:val="23"/>
          <w:szCs w:val="23"/>
          <w:rtl/>
        </w:rPr>
        <w:t>المُتَرْجِمُ</w:t>
      </w:r>
      <w:r w:rsidRPr="00563AE6">
        <w:rPr>
          <w:rFonts w:cs="mylotus" w:hint="cs"/>
          <w:sz w:val="23"/>
          <w:szCs w:val="23"/>
          <w:rtl/>
        </w:rPr>
        <w:t>)</w:t>
      </w:r>
    </w:p>
  </w:footnote>
  <w:footnote w:id="472">
    <w:p w:rsidR="00B31118" w:rsidRPr="00563AE6" w:rsidRDefault="00B31118" w:rsidP="00B300C9">
      <w:pPr>
        <w:pStyle w:val="FootnoteText"/>
        <w:spacing w:line="228" w:lineRule="auto"/>
        <w:jc w:val="both"/>
        <w:rPr>
          <w:rFonts w:cs="mylotus" w:hint="cs"/>
          <w:sz w:val="23"/>
          <w:szCs w:val="23"/>
          <w:lang w:bidi="ar-SY"/>
        </w:rPr>
      </w:pPr>
      <w:r w:rsidRPr="00563AE6">
        <w:rPr>
          <w:rStyle w:val="FootnoteReference"/>
          <w:rFonts w:cs="mylotus"/>
          <w:sz w:val="23"/>
          <w:szCs w:val="23"/>
          <w:vertAlign w:val="baseline"/>
        </w:rPr>
        <w:footnoteRef/>
      </w:r>
      <w:r w:rsidRPr="00563AE6">
        <w:rPr>
          <w:rFonts w:cs="mylotus" w:hint="cs"/>
          <w:sz w:val="23"/>
          <w:szCs w:val="23"/>
          <w:rtl/>
        </w:rPr>
        <w:t xml:space="preserve">- أحمد بن محمد الأردبيلي المعروف بالمقدس الأردبيلي (ت 993هـ.ق)، </w:t>
      </w:r>
      <w:r w:rsidRPr="00563AE6">
        <w:rPr>
          <w:rFonts w:cs="mylotus" w:hint="cs"/>
          <w:b/>
          <w:bCs/>
          <w:sz w:val="23"/>
          <w:szCs w:val="23"/>
          <w:rtl/>
        </w:rPr>
        <w:t>زبدة البيان في أحكام القرآن</w:t>
      </w:r>
      <w:r w:rsidRPr="00563AE6">
        <w:rPr>
          <w:rFonts w:cs="mylotus" w:hint="cs"/>
          <w:sz w:val="23"/>
          <w:szCs w:val="23"/>
          <w:rtl/>
        </w:rPr>
        <w:t>، تحقيق محمد باقر البهبودي، طهران، المكتبة الجعفرية لإحياء الآثار الجعفرية، ص 210. (</w:t>
      </w:r>
      <w:r w:rsidRPr="00563AE6">
        <w:rPr>
          <w:rFonts w:cs="mylotus" w:hint="cs"/>
          <w:b/>
          <w:bCs/>
          <w:sz w:val="23"/>
          <w:szCs w:val="23"/>
          <w:rtl/>
        </w:rPr>
        <w:t>المُتَرْجِمُ</w:t>
      </w:r>
      <w:r w:rsidRPr="00563AE6">
        <w:rPr>
          <w:rFonts w:cs="mylotus" w:hint="cs"/>
          <w:sz w:val="23"/>
          <w:szCs w:val="23"/>
          <w:rtl/>
        </w:rPr>
        <w:t>)</w:t>
      </w:r>
    </w:p>
  </w:footnote>
  <w:footnote w:id="473">
    <w:p w:rsidR="00B31118" w:rsidRPr="00563AE6" w:rsidRDefault="00B31118" w:rsidP="00B300C9">
      <w:pPr>
        <w:pStyle w:val="FootnoteText"/>
        <w:spacing w:line="228" w:lineRule="auto"/>
        <w:jc w:val="both"/>
        <w:rPr>
          <w:rFonts w:cs="mylotus" w:hint="cs"/>
          <w:sz w:val="23"/>
          <w:szCs w:val="23"/>
          <w:rtl/>
          <w:lang w:bidi="ar-SY"/>
        </w:rPr>
      </w:pPr>
      <w:r w:rsidRPr="00563AE6">
        <w:rPr>
          <w:rStyle w:val="FootnoteReference"/>
          <w:rFonts w:cs="mylotus"/>
          <w:sz w:val="23"/>
          <w:szCs w:val="23"/>
          <w:vertAlign w:val="baseline"/>
        </w:rPr>
        <w:footnoteRef/>
      </w:r>
      <w:r w:rsidRPr="00563AE6">
        <w:rPr>
          <w:rFonts w:cs="mylotus" w:hint="cs"/>
          <w:sz w:val="23"/>
          <w:szCs w:val="23"/>
          <w:rtl/>
        </w:rPr>
        <w:t xml:space="preserve">- </w:t>
      </w:r>
      <w:r w:rsidRPr="00563AE6">
        <w:rPr>
          <w:rFonts w:cs="mylotus"/>
          <w:sz w:val="23"/>
          <w:szCs w:val="23"/>
          <w:rtl/>
        </w:rPr>
        <w:t xml:space="preserve">الشيخ الطوسي، </w:t>
      </w:r>
      <w:r w:rsidRPr="00563AE6">
        <w:rPr>
          <w:rFonts w:cs="mylotus"/>
          <w:b/>
          <w:bCs/>
          <w:sz w:val="23"/>
          <w:szCs w:val="23"/>
          <w:rtl/>
        </w:rPr>
        <w:t>تهذيب</w:t>
      </w:r>
      <w:r w:rsidRPr="00563AE6">
        <w:rPr>
          <w:rFonts w:cs="mylotus" w:hint="cs"/>
          <w:b/>
          <w:bCs/>
          <w:sz w:val="23"/>
          <w:szCs w:val="23"/>
          <w:rtl/>
        </w:rPr>
        <w:t xml:space="preserve"> الأحكام</w:t>
      </w:r>
      <w:r w:rsidRPr="00563AE6">
        <w:rPr>
          <w:rFonts w:cs="mylotus"/>
          <w:sz w:val="23"/>
          <w:szCs w:val="23"/>
          <w:rtl/>
        </w:rPr>
        <w:t xml:space="preserve">، ج 1، ص 388، وانظر أيضاً: محمد بن يعقوب الكليني، </w:t>
      </w:r>
      <w:r w:rsidRPr="00563AE6">
        <w:rPr>
          <w:rFonts w:cs="mylotus"/>
          <w:b/>
          <w:bCs/>
          <w:sz w:val="23"/>
          <w:szCs w:val="23"/>
          <w:rtl/>
        </w:rPr>
        <w:t>الكافي</w:t>
      </w:r>
      <w:r w:rsidRPr="00563AE6">
        <w:rPr>
          <w:rFonts w:cs="mylotus"/>
          <w:sz w:val="23"/>
          <w:szCs w:val="23"/>
          <w:rtl/>
        </w:rPr>
        <w:t>، ج 1، ص 544.</w:t>
      </w:r>
      <w:r w:rsidRPr="00563AE6">
        <w:rPr>
          <w:rFonts w:cs="mylotus" w:hint="cs"/>
          <w:sz w:val="23"/>
          <w:szCs w:val="23"/>
          <w:rtl/>
        </w:rPr>
        <w:t xml:space="preserve"> (</w:t>
      </w:r>
      <w:r w:rsidRPr="00563AE6">
        <w:rPr>
          <w:rFonts w:cs="mylotus" w:hint="cs"/>
          <w:b/>
          <w:bCs/>
          <w:sz w:val="23"/>
          <w:szCs w:val="23"/>
          <w:rtl/>
        </w:rPr>
        <w:t>المُتَرْجِمُ</w:t>
      </w:r>
      <w:r w:rsidRPr="00563AE6">
        <w:rPr>
          <w:rFonts w:cs="mylotus" w:hint="cs"/>
          <w:sz w:val="23"/>
          <w:szCs w:val="23"/>
          <w:rtl/>
        </w:rPr>
        <w:t>)</w:t>
      </w:r>
    </w:p>
  </w:footnote>
  <w:footnote w:id="474">
    <w:p w:rsidR="00B31118" w:rsidRPr="00563AE6" w:rsidRDefault="00B31118" w:rsidP="00B300C9">
      <w:pPr>
        <w:pStyle w:val="FootnoteText"/>
        <w:spacing w:line="228" w:lineRule="auto"/>
        <w:jc w:val="both"/>
        <w:rPr>
          <w:rFonts w:cs="mylotus" w:hint="cs"/>
          <w:sz w:val="23"/>
          <w:szCs w:val="23"/>
          <w:rtl/>
          <w:lang w:bidi="ar-SY"/>
        </w:rPr>
      </w:pPr>
      <w:r w:rsidRPr="00563AE6">
        <w:rPr>
          <w:rStyle w:val="FootnoteReference"/>
          <w:rFonts w:cs="mylotus"/>
          <w:sz w:val="23"/>
          <w:szCs w:val="23"/>
          <w:vertAlign w:val="baseline"/>
        </w:rPr>
        <w:footnoteRef/>
      </w:r>
      <w:r w:rsidRPr="00563AE6">
        <w:rPr>
          <w:rFonts w:cs="mylotus" w:hint="cs"/>
          <w:sz w:val="23"/>
          <w:szCs w:val="23"/>
          <w:rtl/>
        </w:rPr>
        <w:t xml:space="preserve">- المقدس الأردبيلي، </w:t>
      </w:r>
      <w:r w:rsidRPr="00563AE6">
        <w:rPr>
          <w:rFonts w:cs="mylotus" w:hint="cs"/>
          <w:b/>
          <w:bCs/>
          <w:sz w:val="23"/>
          <w:szCs w:val="23"/>
          <w:rtl/>
        </w:rPr>
        <w:t>زبدة البيان في أحكام القرآن</w:t>
      </w:r>
      <w:r w:rsidRPr="00563AE6">
        <w:rPr>
          <w:rFonts w:cs="mylotus" w:hint="cs"/>
          <w:sz w:val="23"/>
          <w:szCs w:val="23"/>
          <w:rtl/>
        </w:rPr>
        <w:t>، ص 210. (</w:t>
      </w:r>
      <w:r w:rsidRPr="00563AE6">
        <w:rPr>
          <w:rFonts w:cs="mylotus" w:hint="cs"/>
          <w:b/>
          <w:bCs/>
          <w:sz w:val="23"/>
          <w:szCs w:val="23"/>
          <w:rtl/>
        </w:rPr>
        <w:t>المُتَرْجِمُ</w:t>
      </w:r>
      <w:r w:rsidRPr="00563AE6">
        <w:rPr>
          <w:rFonts w:cs="mylotus" w:hint="cs"/>
          <w:sz w:val="23"/>
          <w:szCs w:val="23"/>
          <w:rtl/>
        </w:rPr>
        <w:t>)</w:t>
      </w:r>
    </w:p>
  </w:footnote>
  <w:footnote w:id="475">
    <w:p w:rsidR="00B31118" w:rsidRPr="00563AE6" w:rsidRDefault="00B31118" w:rsidP="00B300C9">
      <w:pPr>
        <w:pStyle w:val="FootnoteText"/>
        <w:spacing w:line="228" w:lineRule="auto"/>
        <w:jc w:val="both"/>
        <w:rPr>
          <w:rFonts w:cs="mylotus" w:hint="cs"/>
          <w:sz w:val="23"/>
          <w:szCs w:val="23"/>
          <w:rtl/>
          <w:lang w:bidi="ar-SY"/>
        </w:rPr>
      </w:pPr>
      <w:r w:rsidRPr="00563AE6">
        <w:rPr>
          <w:rStyle w:val="FootnoteReference"/>
          <w:rFonts w:cs="mylotus"/>
          <w:sz w:val="23"/>
          <w:szCs w:val="23"/>
          <w:vertAlign w:val="baseline"/>
          <w:rtl/>
        </w:rPr>
        <w:footnoteRef/>
      </w:r>
      <w:r>
        <w:rPr>
          <w:rFonts w:cs="mylotus" w:hint="cs"/>
          <w:sz w:val="23"/>
          <w:szCs w:val="23"/>
          <w:rtl/>
        </w:rPr>
        <w:t>-</w:t>
      </w:r>
      <w:r w:rsidRPr="00563AE6">
        <w:rPr>
          <w:rFonts w:cs="mylotus" w:hint="cs"/>
          <w:sz w:val="23"/>
          <w:szCs w:val="23"/>
          <w:rtl/>
        </w:rPr>
        <w:t xml:space="preserve"> </w:t>
      </w:r>
      <w:r w:rsidRPr="00563AE6">
        <w:rPr>
          <w:rFonts w:cs="mylotus" w:hint="cs"/>
          <w:b/>
          <w:bCs/>
          <w:sz w:val="23"/>
          <w:szCs w:val="23"/>
          <w:rtl/>
        </w:rPr>
        <w:t>المصدر نفسه</w:t>
      </w:r>
      <w:r w:rsidRPr="00563AE6">
        <w:rPr>
          <w:rFonts w:cs="mylotus" w:hint="cs"/>
          <w:sz w:val="23"/>
          <w:szCs w:val="23"/>
          <w:rtl/>
        </w:rPr>
        <w:t>، ص 211. (</w:t>
      </w:r>
      <w:r w:rsidRPr="00563AE6">
        <w:rPr>
          <w:rFonts w:cs="mylotus" w:hint="cs"/>
          <w:b/>
          <w:bCs/>
          <w:sz w:val="23"/>
          <w:szCs w:val="23"/>
          <w:rtl/>
        </w:rPr>
        <w:t>المُتَرْجِمُ</w:t>
      </w:r>
      <w:r w:rsidRPr="00563AE6">
        <w:rPr>
          <w:rFonts w:cs="mylotus" w:hint="cs"/>
          <w:sz w:val="23"/>
          <w:szCs w:val="23"/>
          <w:rtl/>
        </w:rPr>
        <w:t>)</w:t>
      </w:r>
    </w:p>
  </w:footnote>
  <w:footnote w:id="476">
    <w:p w:rsidR="00B31118" w:rsidRPr="00563AE6" w:rsidRDefault="00B31118" w:rsidP="00B300C9">
      <w:pPr>
        <w:pStyle w:val="FootnoteText"/>
        <w:spacing w:line="228" w:lineRule="auto"/>
        <w:jc w:val="both"/>
        <w:rPr>
          <w:rFonts w:cs="mylotus" w:hint="cs"/>
          <w:sz w:val="23"/>
          <w:szCs w:val="23"/>
          <w:rtl/>
          <w:lang w:bidi="ar-SY"/>
        </w:rPr>
      </w:pPr>
      <w:r w:rsidRPr="00563AE6">
        <w:rPr>
          <w:rStyle w:val="FootnoteReference"/>
          <w:rFonts w:cs="mylotus"/>
          <w:sz w:val="23"/>
          <w:szCs w:val="23"/>
          <w:vertAlign w:val="baseline"/>
          <w:rtl/>
          <w:lang w:bidi="ar-SY"/>
        </w:rPr>
        <w:footnoteRef/>
      </w:r>
      <w:r>
        <w:rPr>
          <w:rFonts w:cs="mylotus"/>
          <w:sz w:val="23"/>
          <w:szCs w:val="23"/>
          <w:rtl/>
          <w:lang w:bidi="ar-SY"/>
        </w:rPr>
        <w:t>-</w:t>
      </w:r>
      <w:r w:rsidRPr="00563AE6">
        <w:rPr>
          <w:rFonts w:cs="mylotus" w:hint="cs"/>
          <w:sz w:val="23"/>
          <w:szCs w:val="23"/>
          <w:rtl/>
          <w:lang w:bidi="ar-SY"/>
        </w:rPr>
        <w:t xml:space="preserve"> المقدَّس الأردبيلي، </w:t>
      </w:r>
      <w:r w:rsidRPr="00563AE6">
        <w:rPr>
          <w:rFonts w:cs="mylotus"/>
          <w:b/>
          <w:bCs/>
          <w:sz w:val="23"/>
          <w:szCs w:val="23"/>
          <w:rtl/>
          <w:lang w:bidi="ar-SY"/>
        </w:rPr>
        <w:t>مجمع الفائدة والبرهان في شرح إرشاد الأذهان</w:t>
      </w:r>
      <w:r w:rsidRPr="00563AE6">
        <w:rPr>
          <w:rFonts w:cs="mylotus"/>
          <w:sz w:val="23"/>
          <w:szCs w:val="23"/>
          <w:rtl/>
          <w:lang w:bidi="ar-SY"/>
        </w:rPr>
        <w:t xml:space="preserve">، ج‏4، </w:t>
      </w:r>
      <w:r w:rsidRPr="00563AE6">
        <w:rPr>
          <w:rFonts w:cs="mylotus" w:hint="cs"/>
          <w:sz w:val="23"/>
          <w:szCs w:val="23"/>
          <w:rtl/>
          <w:lang w:bidi="ar-SY"/>
        </w:rPr>
        <w:t>ص</w:t>
      </w:r>
      <w:r w:rsidRPr="00563AE6">
        <w:rPr>
          <w:rFonts w:cs="mylotus"/>
          <w:sz w:val="23"/>
          <w:szCs w:val="23"/>
          <w:rtl/>
          <w:lang w:bidi="ar-SY"/>
        </w:rPr>
        <w:t xml:space="preserve"> 356</w:t>
      </w:r>
      <w:r w:rsidRPr="00563AE6">
        <w:rPr>
          <w:rFonts w:cs="mylotus" w:hint="cs"/>
          <w:sz w:val="23"/>
          <w:szCs w:val="23"/>
          <w:rtl/>
          <w:lang w:bidi="ar-SY"/>
        </w:rPr>
        <w:t>. (المُتَرْجِمُ)</w:t>
      </w:r>
    </w:p>
  </w:footnote>
  <w:footnote w:id="477">
    <w:p w:rsidR="00B31118" w:rsidRPr="00563AE6" w:rsidRDefault="00B31118" w:rsidP="00B300C9">
      <w:pPr>
        <w:pStyle w:val="FootnoteText"/>
        <w:spacing w:line="228" w:lineRule="auto"/>
        <w:jc w:val="both"/>
        <w:rPr>
          <w:rFonts w:cs="mylotus" w:hint="cs"/>
          <w:sz w:val="23"/>
          <w:szCs w:val="23"/>
          <w:rtl/>
        </w:rPr>
      </w:pPr>
      <w:r w:rsidRPr="00563AE6">
        <w:rPr>
          <w:rStyle w:val="FootnoteReference"/>
          <w:rFonts w:cs="mylotus"/>
          <w:sz w:val="23"/>
          <w:szCs w:val="23"/>
          <w:vertAlign w:val="baseline"/>
          <w:rtl/>
        </w:rPr>
        <w:footnoteRef/>
      </w:r>
      <w:r>
        <w:rPr>
          <w:rFonts w:cs="mylotus" w:hint="cs"/>
          <w:sz w:val="23"/>
          <w:szCs w:val="23"/>
          <w:rtl/>
        </w:rPr>
        <w:t>-</w:t>
      </w:r>
      <w:r w:rsidRPr="00563AE6">
        <w:rPr>
          <w:rFonts w:cs="mylotus" w:hint="cs"/>
          <w:sz w:val="23"/>
          <w:szCs w:val="23"/>
          <w:rtl/>
        </w:rPr>
        <w:t xml:space="preserve"> </w:t>
      </w:r>
      <w:r w:rsidRPr="00563AE6">
        <w:rPr>
          <w:rFonts w:cs="mylotus" w:hint="cs"/>
          <w:b/>
          <w:bCs/>
          <w:sz w:val="23"/>
          <w:szCs w:val="23"/>
          <w:rtl/>
        </w:rPr>
        <w:t>المصدر نفسه</w:t>
      </w:r>
      <w:r w:rsidRPr="00563AE6">
        <w:rPr>
          <w:rFonts w:cs="mylotus" w:hint="cs"/>
          <w:sz w:val="23"/>
          <w:szCs w:val="23"/>
          <w:rtl/>
        </w:rPr>
        <w:t xml:space="preserve">، ص </w:t>
      </w:r>
      <w:r w:rsidRPr="00563AE6">
        <w:rPr>
          <w:rFonts w:cs="mylotus"/>
          <w:sz w:val="23"/>
          <w:szCs w:val="23"/>
          <w:rtl/>
        </w:rPr>
        <w:t xml:space="preserve"> ج‏4، ص355 - 356</w:t>
      </w:r>
      <w:r w:rsidRPr="00563AE6">
        <w:rPr>
          <w:rFonts w:cs="mylotus" w:hint="cs"/>
          <w:sz w:val="23"/>
          <w:szCs w:val="23"/>
          <w:rtl/>
        </w:rPr>
        <w:t>. (</w:t>
      </w:r>
      <w:r w:rsidRPr="00563AE6">
        <w:rPr>
          <w:rFonts w:cs="mylotus" w:hint="cs"/>
          <w:b/>
          <w:bCs/>
          <w:sz w:val="23"/>
          <w:szCs w:val="23"/>
          <w:rtl/>
        </w:rPr>
        <w:t>المُتَرْجِمُ</w:t>
      </w:r>
      <w:r w:rsidRPr="00563AE6">
        <w:rPr>
          <w:rFonts w:cs="mylotus" w:hint="cs"/>
          <w:sz w:val="23"/>
          <w:szCs w:val="23"/>
          <w:rtl/>
        </w:rPr>
        <w:t>)</w:t>
      </w:r>
    </w:p>
  </w:footnote>
  <w:footnote w:id="478">
    <w:p w:rsidR="00B31118" w:rsidRPr="00563AE6" w:rsidRDefault="00B31118" w:rsidP="00B300C9">
      <w:pPr>
        <w:pStyle w:val="FootnoteText"/>
        <w:spacing w:line="228" w:lineRule="auto"/>
        <w:jc w:val="both"/>
        <w:rPr>
          <w:rFonts w:cs="mylotus" w:hint="cs"/>
          <w:sz w:val="23"/>
          <w:szCs w:val="23"/>
          <w:lang w:bidi="ar-SY"/>
        </w:rPr>
      </w:pPr>
      <w:r w:rsidRPr="00563AE6">
        <w:rPr>
          <w:rStyle w:val="FootnoteReference"/>
          <w:rFonts w:cs="mylotus"/>
          <w:sz w:val="23"/>
          <w:szCs w:val="23"/>
          <w:vertAlign w:val="baseline"/>
          <w:rtl/>
          <w:lang w:bidi="ar-SY"/>
        </w:rPr>
        <w:footnoteRef/>
      </w:r>
      <w:r>
        <w:rPr>
          <w:rFonts w:cs="mylotus"/>
          <w:sz w:val="23"/>
          <w:szCs w:val="23"/>
          <w:rtl/>
          <w:lang w:bidi="ar-SY"/>
        </w:rPr>
        <w:t>-</w:t>
      </w:r>
      <w:r w:rsidRPr="00563AE6">
        <w:rPr>
          <w:rFonts w:cs="mylotus" w:hint="cs"/>
          <w:sz w:val="23"/>
          <w:szCs w:val="23"/>
          <w:rtl/>
          <w:lang w:bidi="ar-SY"/>
        </w:rPr>
        <w:t xml:space="preserve"> محمد تقي مجلسي، لوامع صاحبقراني، ج 2، ص 682.</w:t>
      </w:r>
    </w:p>
  </w:footnote>
  <w:footnote w:id="479">
    <w:p w:rsidR="00B31118" w:rsidRPr="00563AE6" w:rsidRDefault="00B31118" w:rsidP="00B300C9">
      <w:pPr>
        <w:pStyle w:val="FootnoteText"/>
        <w:spacing w:line="228" w:lineRule="auto"/>
        <w:jc w:val="both"/>
        <w:rPr>
          <w:rFonts w:cs="mylotus" w:hint="cs"/>
          <w:sz w:val="23"/>
          <w:szCs w:val="23"/>
          <w:lang w:bidi="ar-SY"/>
        </w:rPr>
      </w:pPr>
      <w:r w:rsidRPr="00563AE6">
        <w:rPr>
          <w:rStyle w:val="FootnoteReference"/>
          <w:rFonts w:cs="mylotus"/>
          <w:sz w:val="23"/>
          <w:szCs w:val="23"/>
          <w:vertAlign w:val="baseline"/>
          <w:rtl/>
          <w:lang w:bidi="ar-SY"/>
        </w:rPr>
        <w:footnoteRef/>
      </w:r>
      <w:r>
        <w:rPr>
          <w:rFonts w:cs="mylotus"/>
          <w:sz w:val="23"/>
          <w:szCs w:val="23"/>
          <w:rtl/>
          <w:lang w:bidi="ar-SY"/>
        </w:rPr>
        <w:t>-</w:t>
      </w:r>
      <w:r w:rsidRPr="00563AE6">
        <w:rPr>
          <w:rFonts w:cs="mylotus" w:hint="cs"/>
          <w:sz w:val="23"/>
          <w:szCs w:val="23"/>
          <w:rtl/>
          <w:lang w:bidi="ar-SY"/>
        </w:rPr>
        <w:t xml:space="preserve"> مسالك الأفهام، ج2، ص 76.</w:t>
      </w:r>
    </w:p>
  </w:footnote>
  <w:footnote w:id="480">
    <w:p w:rsidR="00B31118" w:rsidRPr="00563AE6" w:rsidRDefault="00B31118" w:rsidP="00B300C9">
      <w:pPr>
        <w:pStyle w:val="FootnoteText"/>
        <w:spacing w:line="228" w:lineRule="auto"/>
        <w:jc w:val="both"/>
        <w:rPr>
          <w:rFonts w:cs="mylotus" w:hint="cs"/>
          <w:sz w:val="23"/>
          <w:szCs w:val="23"/>
        </w:rPr>
      </w:pPr>
      <w:r w:rsidRPr="00563AE6">
        <w:rPr>
          <w:rStyle w:val="FootnoteReference"/>
          <w:rFonts w:cs="mylotus"/>
          <w:sz w:val="23"/>
          <w:szCs w:val="23"/>
          <w:vertAlign w:val="baseline"/>
        </w:rPr>
        <w:footnoteRef/>
      </w:r>
      <w:r w:rsidRPr="00563AE6">
        <w:rPr>
          <w:rFonts w:cs="mylotus" w:hint="cs"/>
          <w:sz w:val="23"/>
          <w:szCs w:val="23"/>
          <w:rtl/>
        </w:rPr>
        <w:t xml:space="preserve">- </w:t>
      </w:r>
      <w:r w:rsidRPr="00563AE6">
        <w:rPr>
          <w:rFonts w:cs="mylotus"/>
          <w:sz w:val="23"/>
          <w:szCs w:val="23"/>
          <w:rtl/>
        </w:rPr>
        <w:t>هو أبو الصلاح الشيخ ت</w:t>
      </w:r>
      <w:r w:rsidRPr="00563AE6">
        <w:rPr>
          <w:rFonts w:cs="mylotus" w:hint="cs"/>
          <w:sz w:val="23"/>
          <w:szCs w:val="23"/>
          <w:rtl/>
        </w:rPr>
        <w:t>قي</w:t>
      </w:r>
      <w:r w:rsidRPr="00563AE6">
        <w:rPr>
          <w:rFonts w:cs="mylotus"/>
          <w:sz w:val="23"/>
          <w:szCs w:val="23"/>
          <w:rtl/>
        </w:rPr>
        <w:t xml:space="preserve"> ابن النجم الحلبي الشيخ الأقدم</w:t>
      </w:r>
      <w:r w:rsidRPr="00563AE6">
        <w:rPr>
          <w:rFonts w:cs="mylotus" w:hint="cs"/>
          <w:sz w:val="23"/>
          <w:szCs w:val="23"/>
          <w:rtl/>
        </w:rPr>
        <w:t>،</w:t>
      </w:r>
      <w:r w:rsidRPr="00563AE6">
        <w:rPr>
          <w:rFonts w:cs="mylotus"/>
          <w:sz w:val="23"/>
          <w:szCs w:val="23"/>
          <w:rtl/>
        </w:rPr>
        <w:t xml:space="preserve"> من كبار علما</w:t>
      </w:r>
      <w:r w:rsidRPr="00563AE6">
        <w:rPr>
          <w:rFonts w:cs="mylotus" w:hint="cs"/>
          <w:sz w:val="23"/>
          <w:szCs w:val="23"/>
          <w:rtl/>
        </w:rPr>
        <w:t>ء</w:t>
      </w:r>
      <w:r w:rsidRPr="00563AE6">
        <w:rPr>
          <w:rFonts w:cs="mylotus"/>
          <w:sz w:val="23"/>
          <w:szCs w:val="23"/>
          <w:rtl/>
        </w:rPr>
        <w:t xml:space="preserve"> الإمامية</w:t>
      </w:r>
      <w:r w:rsidRPr="00563AE6">
        <w:rPr>
          <w:rFonts w:cs="mylotus" w:hint="cs"/>
          <w:sz w:val="23"/>
          <w:szCs w:val="23"/>
          <w:rtl/>
        </w:rPr>
        <w:t>،</w:t>
      </w:r>
      <w:r w:rsidRPr="00563AE6">
        <w:rPr>
          <w:rFonts w:cs="mylotus"/>
          <w:sz w:val="23"/>
          <w:szCs w:val="23"/>
          <w:rtl/>
        </w:rPr>
        <w:t xml:space="preserve"> كان معاصر</w:t>
      </w:r>
      <w:r w:rsidRPr="00563AE6">
        <w:rPr>
          <w:rFonts w:cs="mylotus" w:hint="cs"/>
          <w:sz w:val="23"/>
          <w:szCs w:val="23"/>
          <w:rtl/>
        </w:rPr>
        <w:t>ً</w:t>
      </w:r>
      <w:r w:rsidRPr="00563AE6">
        <w:rPr>
          <w:rFonts w:cs="mylotus"/>
          <w:sz w:val="23"/>
          <w:szCs w:val="23"/>
          <w:rtl/>
        </w:rPr>
        <w:t xml:space="preserve">ا للشيخ </w:t>
      </w:r>
      <w:r w:rsidRPr="00563AE6">
        <w:rPr>
          <w:rFonts w:cs="mylotus" w:hint="cs"/>
          <w:sz w:val="23"/>
          <w:szCs w:val="23"/>
          <w:rtl/>
        </w:rPr>
        <w:t>أبى</w:t>
      </w:r>
      <w:r w:rsidRPr="00563AE6">
        <w:rPr>
          <w:rFonts w:cs="mylotus"/>
          <w:sz w:val="23"/>
          <w:szCs w:val="23"/>
          <w:rtl/>
        </w:rPr>
        <w:t xml:space="preserve"> جعفر الطوسي، وقرأ عليه وعلى السيد المرتضى رحمة الل</w:t>
      </w:r>
      <w:r w:rsidRPr="00563AE6">
        <w:rPr>
          <w:rFonts w:cs="mylotus" w:hint="cs"/>
          <w:sz w:val="23"/>
          <w:szCs w:val="23"/>
          <w:rtl/>
        </w:rPr>
        <w:t>ه</w:t>
      </w:r>
      <w:r w:rsidRPr="00563AE6">
        <w:rPr>
          <w:rFonts w:cs="mylotus"/>
          <w:sz w:val="23"/>
          <w:szCs w:val="23"/>
          <w:rtl/>
        </w:rPr>
        <w:t xml:space="preserve"> عليهم أجمعين.</w:t>
      </w:r>
      <w:r w:rsidRPr="00563AE6">
        <w:rPr>
          <w:rFonts w:cs="mylotus" w:hint="cs"/>
          <w:sz w:val="23"/>
          <w:szCs w:val="23"/>
          <w:rtl/>
        </w:rPr>
        <w:t xml:space="preserve"> (</w:t>
      </w:r>
      <w:r w:rsidRPr="00563AE6">
        <w:rPr>
          <w:rFonts w:cs="mylotus" w:hint="cs"/>
          <w:b/>
          <w:bCs/>
          <w:sz w:val="23"/>
          <w:szCs w:val="23"/>
          <w:rtl/>
        </w:rPr>
        <w:t>المُتَرْجِمُ</w:t>
      </w:r>
      <w:r w:rsidRPr="00563AE6">
        <w:rPr>
          <w:rFonts w:cs="mylotus" w:hint="cs"/>
          <w:sz w:val="23"/>
          <w:szCs w:val="23"/>
          <w:rtl/>
        </w:rPr>
        <w:t>)</w:t>
      </w:r>
    </w:p>
  </w:footnote>
  <w:footnote w:id="481">
    <w:p w:rsidR="00B31118" w:rsidRPr="00563AE6" w:rsidRDefault="00B31118" w:rsidP="00B300C9">
      <w:pPr>
        <w:pStyle w:val="FootnoteText"/>
        <w:spacing w:line="228" w:lineRule="auto"/>
        <w:jc w:val="both"/>
        <w:rPr>
          <w:rFonts w:cs="mylotus" w:hint="cs"/>
          <w:sz w:val="23"/>
          <w:szCs w:val="23"/>
          <w:rtl/>
          <w:lang w:bidi="ar-SY"/>
        </w:rPr>
      </w:pPr>
      <w:r w:rsidRPr="00563AE6">
        <w:rPr>
          <w:rStyle w:val="FootnoteReference"/>
          <w:rFonts w:cs="mylotus"/>
          <w:sz w:val="23"/>
          <w:szCs w:val="23"/>
          <w:vertAlign w:val="baseline"/>
        </w:rPr>
        <w:footnoteRef/>
      </w:r>
      <w:r w:rsidRPr="00563AE6">
        <w:rPr>
          <w:rFonts w:cs="mylotus" w:hint="cs"/>
          <w:sz w:val="23"/>
          <w:szCs w:val="23"/>
          <w:rtl/>
        </w:rPr>
        <w:t xml:space="preserve">- الفاضل جواد الكاظمي، </w:t>
      </w:r>
      <w:r w:rsidRPr="00563AE6">
        <w:rPr>
          <w:rFonts w:cs="mylotus" w:hint="cs"/>
          <w:b/>
          <w:bCs/>
          <w:sz w:val="23"/>
          <w:szCs w:val="23"/>
          <w:rtl/>
        </w:rPr>
        <w:t>مسالك الأفهام إلى آيات الأحكام</w:t>
      </w:r>
      <w:r w:rsidRPr="00563AE6">
        <w:rPr>
          <w:rFonts w:cs="mylotus" w:hint="cs"/>
          <w:sz w:val="23"/>
          <w:szCs w:val="23"/>
          <w:rtl/>
        </w:rPr>
        <w:t>، ج 2، صص 79 - 80.</w:t>
      </w:r>
      <w:r w:rsidRPr="00563AE6">
        <w:rPr>
          <w:rFonts w:cs="mylotus"/>
          <w:sz w:val="23"/>
          <w:szCs w:val="23"/>
          <w:rtl/>
        </w:rPr>
        <w:t xml:space="preserve"> </w:t>
      </w:r>
      <w:r w:rsidRPr="00563AE6">
        <w:rPr>
          <w:rFonts w:cs="mylotus" w:hint="cs"/>
          <w:sz w:val="23"/>
          <w:szCs w:val="23"/>
          <w:rtl/>
        </w:rPr>
        <w:t>(</w:t>
      </w:r>
      <w:r w:rsidRPr="00563AE6">
        <w:rPr>
          <w:rFonts w:cs="mylotus" w:hint="cs"/>
          <w:b/>
          <w:bCs/>
          <w:sz w:val="23"/>
          <w:szCs w:val="23"/>
          <w:rtl/>
        </w:rPr>
        <w:t>المُتَرْجِمُ</w:t>
      </w:r>
      <w:r w:rsidRPr="00563AE6">
        <w:rPr>
          <w:rFonts w:cs="mylotus" w:hint="cs"/>
          <w:sz w:val="23"/>
          <w:szCs w:val="23"/>
          <w:rtl/>
        </w:rPr>
        <w:t>)</w:t>
      </w:r>
    </w:p>
  </w:footnote>
  <w:footnote w:id="482">
    <w:p w:rsidR="00B31118" w:rsidRPr="00563AE6" w:rsidRDefault="00B31118" w:rsidP="00B300C9">
      <w:pPr>
        <w:pStyle w:val="FootnoteText"/>
        <w:spacing w:line="228" w:lineRule="auto"/>
        <w:jc w:val="both"/>
        <w:rPr>
          <w:rFonts w:cs="mylotus"/>
          <w:sz w:val="23"/>
          <w:szCs w:val="23"/>
        </w:rPr>
      </w:pPr>
      <w:r w:rsidRPr="00563AE6">
        <w:rPr>
          <w:rStyle w:val="FootnoteReference"/>
          <w:rFonts w:cs="mylotus"/>
          <w:sz w:val="23"/>
          <w:szCs w:val="23"/>
          <w:vertAlign w:val="baseline"/>
        </w:rPr>
        <w:footnoteRef/>
      </w:r>
      <w:r w:rsidRPr="00563AE6">
        <w:rPr>
          <w:rFonts w:cs="mylotus" w:hint="cs"/>
          <w:sz w:val="23"/>
          <w:szCs w:val="23"/>
          <w:rtl/>
        </w:rPr>
        <w:t xml:space="preserve">- </w:t>
      </w:r>
      <w:r w:rsidRPr="00563AE6">
        <w:rPr>
          <w:rFonts w:cs="mylotus" w:hint="cs"/>
          <w:b/>
          <w:bCs/>
          <w:sz w:val="23"/>
          <w:szCs w:val="23"/>
          <w:rtl/>
        </w:rPr>
        <w:t>المصدر نفسه</w:t>
      </w:r>
      <w:r w:rsidRPr="00563AE6">
        <w:rPr>
          <w:rFonts w:cs="mylotus" w:hint="cs"/>
          <w:sz w:val="23"/>
          <w:szCs w:val="23"/>
          <w:rtl/>
        </w:rPr>
        <w:t>، ج 2، ص 81</w:t>
      </w:r>
      <w:r w:rsidRPr="00563AE6">
        <w:rPr>
          <w:rFonts w:cs="mylotus"/>
          <w:sz w:val="23"/>
          <w:szCs w:val="23"/>
          <w:rtl/>
        </w:rPr>
        <w:t xml:space="preserve"> </w:t>
      </w:r>
      <w:r w:rsidRPr="00563AE6">
        <w:rPr>
          <w:rFonts w:cs="mylotus" w:hint="cs"/>
          <w:sz w:val="23"/>
          <w:szCs w:val="23"/>
          <w:rtl/>
        </w:rPr>
        <w:t>. (</w:t>
      </w:r>
      <w:r w:rsidRPr="00563AE6">
        <w:rPr>
          <w:rFonts w:cs="mylotus" w:hint="cs"/>
          <w:b/>
          <w:bCs/>
          <w:sz w:val="23"/>
          <w:szCs w:val="23"/>
          <w:rtl/>
        </w:rPr>
        <w:t>المُتَرْجِمُ</w:t>
      </w:r>
      <w:r w:rsidRPr="00563AE6">
        <w:rPr>
          <w:rFonts w:cs="mylotus" w:hint="cs"/>
          <w:sz w:val="23"/>
          <w:szCs w:val="23"/>
          <w:rtl/>
        </w:rPr>
        <w:t>)</w:t>
      </w:r>
    </w:p>
  </w:footnote>
  <w:footnote w:id="483">
    <w:p w:rsidR="00B31118" w:rsidRPr="00563AE6" w:rsidRDefault="00B31118" w:rsidP="00B300C9">
      <w:pPr>
        <w:pStyle w:val="FootnoteText"/>
        <w:spacing w:line="228" w:lineRule="auto"/>
        <w:jc w:val="both"/>
        <w:rPr>
          <w:rFonts w:cs="mylotus" w:hint="cs"/>
          <w:sz w:val="23"/>
          <w:szCs w:val="23"/>
          <w:rtl/>
        </w:rPr>
      </w:pPr>
      <w:r w:rsidRPr="00563AE6">
        <w:rPr>
          <w:rStyle w:val="FootnoteReference"/>
          <w:rFonts w:cs="mylotus"/>
          <w:sz w:val="23"/>
          <w:szCs w:val="23"/>
          <w:vertAlign w:val="baseline"/>
        </w:rPr>
        <w:footnoteRef/>
      </w:r>
      <w:r w:rsidRPr="00563AE6">
        <w:rPr>
          <w:rFonts w:cs="mylotus" w:hint="cs"/>
          <w:sz w:val="23"/>
          <w:szCs w:val="23"/>
          <w:rtl/>
        </w:rPr>
        <w:t xml:space="preserve">- </w:t>
      </w:r>
      <w:r w:rsidRPr="00563AE6">
        <w:rPr>
          <w:rFonts w:cs="mylotus"/>
          <w:sz w:val="23"/>
          <w:szCs w:val="23"/>
          <w:rtl/>
        </w:rPr>
        <w:t xml:space="preserve">كما جاء في تفسير </w:t>
      </w:r>
      <w:r w:rsidRPr="00563AE6">
        <w:rPr>
          <w:rFonts w:cs="mylotus"/>
          <w:b/>
          <w:bCs/>
          <w:sz w:val="23"/>
          <w:szCs w:val="23"/>
          <w:rtl/>
        </w:rPr>
        <w:t>مجمع البيان</w:t>
      </w:r>
      <w:r w:rsidRPr="00563AE6">
        <w:rPr>
          <w:rFonts w:cs="mylotus"/>
          <w:sz w:val="23"/>
          <w:szCs w:val="23"/>
          <w:rtl/>
        </w:rPr>
        <w:t xml:space="preserve"> ( ج 3، ص 146)</w:t>
      </w:r>
      <w:r w:rsidRPr="00563AE6">
        <w:rPr>
          <w:rFonts w:cs="mylotus" w:hint="cs"/>
          <w:sz w:val="23"/>
          <w:szCs w:val="23"/>
          <w:rtl/>
        </w:rPr>
        <w:t xml:space="preserve"> للطبرسي من قوله:</w:t>
      </w:r>
      <w:r w:rsidRPr="00563AE6">
        <w:rPr>
          <w:rFonts w:cs="mylotus"/>
          <w:sz w:val="23"/>
          <w:szCs w:val="23"/>
          <w:rtl/>
        </w:rPr>
        <w:t xml:space="preserve"> </w:t>
      </w:r>
      <w:r w:rsidRPr="00563AE6">
        <w:rPr>
          <w:rFonts w:cs="mylotus" w:hint="cs"/>
          <w:sz w:val="23"/>
          <w:szCs w:val="23"/>
          <w:rtl/>
        </w:rPr>
        <w:t xml:space="preserve"> </w:t>
      </w:r>
      <w:r w:rsidRPr="00563AE6">
        <w:rPr>
          <w:rFonts w:cs="Traditional Arabic" w:hint="cs"/>
          <w:sz w:val="23"/>
          <w:szCs w:val="23"/>
          <w:rtl/>
          <w:lang w:bidi="ar-SY"/>
        </w:rPr>
        <w:t>﴿</w:t>
      </w:r>
      <w:r w:rsidRPr="00563AE6">
        <w:rPr>
          <w:rFonts w:ascii="KFGQPC Uthmanic Script HAFS" w:cs="KFGQPC Uthmanic Script HAFS" w:hint="eastAsia"/>
          <w:sz w:val="23"/>
          <w:szCs w:val="23"/>
          <w:rtl/>
        </w:rPr>
        <w:t>فَعِندَ</w:t>
      </w:r>
      <w:r w:rsidRPr="00563AE6">
        <w:rPr>
          <w:rFonts w:ascii="KFGQPC Uthmanic Script HAFS" w:cs="KFGQPC Uthmanic Script HAFS"/>
          <w:sz w:val="23"/>
          <w:szCs w:val="23"/>
          <w:rtl/>
        </w:rPr>
        <w:t xml:space="preserve"> </w:t>
      </w:r>
      <w:r w:rsidRPr="00563AE6">
        <w:rPr>
          <w:rFonts w:ascii="KFGQPC Uthmanic Script HAFS" w:cs="KFGQPC Uthmanic Script HAFS" w:hint="cs"/>
          <w:sz w:val="23"/>
          <w:szCs w:val="23"/>
          <w:rtl/>
        </w:rPr>
        <w:t>ٱ</w:t>
      </w:r>
      <w:r w:rsidRPr="00563AE6">
        <w:rPr>
          <w:rFonts w:ascii="KFGQPC Uthmanic Script HAFS" w:cs="KFGQPC Uthmanic Script HAFS" w:hint="eastAsia"/>
          <w:sz w:val="23"/>
          <w:szCs w:val="23"/>
          <w:rtl/>
        </w:rPr>
        <w:t>للَّهِ</w:t>
      </w:r>
      <w:r w:rsidRPr="00563AE6">
        <w:rPr>
          <w:rFonts w:ascii="KFGQPC Uthmanic Script HAFS" w:cs="KFGQPC Uthmanic Script HAFS"/>
          <w:sz w:val="23"/>
          <w:szCs w:val="23"/>
          <w:rtl/>
        </w:rPr>
        <w:t xml:space="preserve"> </w:t>
      </w:r>
      <w:r w:rsidRPr="00563AE6">
        <w:rPr>
          <w:rFonts w:ascii="KFGQPC Uthmanic Script HAFS" w:cs="KFGQPC Uthmanic Script HAFS" w:hint="eastAsia"/>
          <w:sz w:val="23"/>
          <w:szCs w:val="23"/>
          <w:rtl/>
        </w:rPr>
        <w:t>مَغَانِمُ</w:t>
      </w:r>
      <w:r w:rsidRPr="00563AE6">
        <w:rPr>
          <w:rFonts w:ascii="KFGQPC Uthmanic Script HAFS" w:cs="KFGQPC Uthmanic Script HAFS"/>
          <w:sz w:val="23"/>
          <w:szCs w:val="23"/>
          <w:rtl/>
        </w:rPr>
        <w:t xml:space="preserve"> </w:t>
      </w:r>
      <w:r w:rsidRPr="00563AE6">
        <w:rPr>
          <w:rFonts w:ascii="KFGQPC Uthmanic Script HAFS" w:cs="KFGQPC Uthmanic Script HAFS" w:hint="eastAsia"/>
          <w:sz w:val="23"/>
          <w:szCs w:val="23"/>
          <w:rtl/>
        </w:rPr>
        <w:t>كَثِيرَة</w:t>
      </w:r>
      <w:r w:rsidRPr="00563AE6">
        <w:rPr>
          <w:rFonts w:ascii="KFGQPC Uthmanic Script HAFS" w:cs="KFGQPC Uthmanic Script HAFS" w:hint="cs"/>
          <w:sz w:val="23"/>
          <w:szCs w:val="23"/>
          <w:rtl/>
        </w:rPr>
        <w:t>ٞ</w:t>
      </w:r>
      <w:r w:rsidRPr="00563AE6">
        <w:rPr>
          <w:rFonts w:cs="Traditional Arabic" w:hint="cs"/>
          <w:sz w:val="23"/>
          <w:szCs w:val="23"/>
          <w:rtl/>
          <w:lang w:bidi="ar-SY"/>
        </w:rPr>
        <w:t>﴾</w:t>
      </w:r>
      <w:r w:rsidRPr="00563AE6">
        <w:rPr>
          <w:rFonts w:cs="mylotus"/>
          <w:sz w:val="23"/>
          <w:szCs w:val="23"/>
          <w:rtl/>
        </w:rPr>
        <w:t xml:space="preserve"> أي في مقدوره فواضل ونعم ورزق إن أطعتموه فيما أمركم به). ومثله ما جاء في </w:t>
      </w:r>
      <w:r w:rsidRPr="00563AE6">
        <w:rPr>
          <w:rFonts w:cs="mylotus"/>
          <w:b/>
          <w:bCs/>
          <w:sz w:val="23"/>
          <w:szCs w:val="23"/>
          <w:rtl/>
        </w:rPr>
        <w:t>زبدة التفاسير</w:t>
      </w:r>
      <w:r w:rsidRPr="00563AE6">
        <w:rPr>
          <w:rFonts w:cs="mylotus"/>
          <w:sz w:val="23"/>
          <w:szCs w:val="23"/>
          <w:rtl/>
        </w:rPr>
        <w:t xml:space="preserve"> للملا فتح الله الكاشاني ( ج 2، ص 129)</w:t>
      </w:r>
      <w:r w:rsidRPr="00563AE6">
        <w:rPr>
          <w:rFonts w:cs="mylotus" w:hint="cs"/>
          <w:sz w:val="23"/>
          <w:szCs w:val="23"/>
          <w:rtl/>
        </w:rPr>
        <w:t xml:space="preserve"> من قوله:  (</w:t>
      </w:r>
      <w:r w:rsidRPr="00563AE6">
        <w:rPr>
          <w:rFonts w:cs="Traditional Arabic" w:hint="cs"/>
          <w:sz w:val="23"/>
          <w:szCs w:val="23"/>
          <w:rtl/>
          <w:lang w:bidi="ar-SY"/>
        </w:rPr>
        <w:t>﴿</w:t>
      </w:r>
      <w:r w:rsidRPr="00563AE6">
        <w:rPr>
          <w:rFonts w:ascii="KFGQPC Uthmanic Script HAFS" w:cs="KFGQPC Uthmanic Script HAFS" w:hint="eastAsia"/>
          <w:sz w:val="23"/>
          <w:szCs w:val="23"/>
          <w:rtl/>
        </w:rPr>
        <w:t>فَعِندَ</w:t>
      </w:r>
      <w:r w:rsidRPr="00563AE6">
        <w:rPr>
          <w:rFonts w:ascii="KFGQPC Uthmanic Script HAFS" w:cs="KFGQPC Uthmanic Script HAFS"/>
          <w:sz w:val="23"/>
          <w:szCs w:val="23"/>
          <w:rtl/>
        </w:rPr>
        <w:t xml:space="preserve"> </w:t>
      </w:r>
      <w:r w:rsidRPr="00563AE6">
        <w:rPr>
          <w:rFonts w:ascii="KFGQPC Uthmanic Script HAFS" w:cs="KFGQPC Uthmanic Script HAFS" w:hint="cs"/>
          <w:sz w:val="23"/>
          <w:szCs w:val="23"/>
          <w:rtl/>
        </w:rPr>
        <w:t>ٱ</w:t>
      </w:r>
      <w:r w:rsidRPr="00563AE6">
        <w:rPr>
          <w:rFonts w:ascii="KFGQPC Uthmanic Script HAFS" w:cs="KFGQPC Uthmanic Script HAFS" w:hint="eastAsia"/>
          <w:sz w:val="23"/>
          <w:szCs w:val="23"/>
          <w:rtl/>
        </w:rPr>
        <w:t>للَّهِ</w:t>
      </w:r>
      <w:r w:rsidRPr="00563AE6">
        <w:rPr>
          <w:rFonts w:ascii="KFGQPC Uthmanic Script HAFS" w:cs="KFGQPC Uthmanic Script HAFS"/>
          <w:sz w:val="23"/>
          <w:szCs w:val="23"/>
          <w:rtl/>
        </w:rPr>
        <w:t xml:space="preserve"> </w:t>
      </w:r>
      <w:r w:rsidRPr="00563AE6">
        <w:rPr>
          <w:rFonts w:ascii="KFGQPC Uthmanic Script HAFS" w:cs="KFGQPC Uthmanic Script HAFS" w:hint="eastAsia"/>
          <w:sz w:val="23"/>
          <w:szCs w:val="23"/>
          <w:rtl/>
        </w:rPr>
        <w:t>مَغَانِمُ</w:t>
      </w:r>
      <w:r w:rsidRPr="00563AE6">
        <w:rPr>
          <w:rFonts w:ascii="KFGQPC Uthmanic Script HAFS" w:cs="KFGQPC Uthmanic Script HAFS"/>
          <w:sz w:val="23"/>
          <w:szCs w:val="23"/>
          <w:rtl/>
        </w:rPr>
        <w:t xml:space="preserve"> </w:t>
      </w:r>
      <w:r w:rsidRPr="00563AE6">
        <w:rPr>
          <w:rFonts w:ascii="KFGQPC Uthmanic Script HAFS" w:cs="KFGQPC Uthmanic Script HAFS" w:hint="eastAsia"/>
          <w:sz w:val="23"/>
          <w:szCs w:val="23"/>
          <w:rtl/>
        </w:rPr>
        <w:t>كَثِيرَة</w:t>
      </w:r>
      <w:r w:rsidRPr="00563AE6">
        <w:rPr>
          <w:rFonts w:ascii="KFGQPC Uthmanic Script HAFS" w:cs="KFGQPC Uthmanic Script HAFS" w:hint="cs"/>
          <w:sz w:val="23"/>
          <w:szCs w:val="23"/>
          <w:rtl/>
        </w:rPr>
        <w:t>ٞ</w:t>
      </w:r>
      <w:r w:rsidRPr="00563AE6">
        <w:rPr>
          <w:rFonts w:cs="Traditional Arabic" w:hint="cs"/>
          <w:sz w:val="23"/>
          <w:szCs w:val="23"/>
          <w:rtl/>
          <w:lang w:bidi="ar-SY"/>
        </w:rPr>
        <w:t>﴾</w:t>
      </w:r>
      <w:r w:rsidRPr="00563AE6">
        <w:rPr>
          <w:rFonts w:cs="mylotus"/>
          <w:sz w:val="23"/>
          <w:szCs w:val="23"/>
          <w:rtl/>
        </w:rPr>
        <w:t xml:space="preserve"> أي: في مقدوره فواضل ونعم وأرزاق </w:t>
      </w:r>
      <w:r w:rsidRPr="00563AE6">
        <w:rPr>
          <w:rFonts w:cs="mylotus" w:hint="cs"/>
          <w:sz w:val="23"/>
          <w:szCs w:val="23"/>
          <w:rtl/>
        </w:rPr>
        <w:t>ي</w:t>
      </w:r>
      <w:r w:rsidRPr="00563AE6">
        <w:rPr>
          <w:rFonts w:cs="mylotus"/>
          <w:sz w:val="23"/>
          <w:szCs w:val="23"/>
          <w:rtl/>
        </w:rPr>
        <w:t>غنيكم بها عن قتل رجل يظهر الإسلام لتأخذوا ماله، إن أطعتموه فيما أمركم به</w:t>
      </w:r>
      <w:r w:rsidRPr="00563AE6">
        <w:rPr>
          <w:rFonts w:cs="mylotus" w:hint="cs"/>
          <w:sz w:val="23"/>
          <w:szCs w:val="23"/>
          <w:rtl/>
        </w:rPr>
        <w:t>)</w:t>
      </w:r>
      <w:r w:rsidRPr="00563AE6">
        <w:rPr>
          <w:rFonts w:cs="mylotus"/>
          <w:sz w:val="23"/>
          <w:szCs w:val="23"/>
          <w:rtl/>
        </w:rPr>
        <w:t>.</w:t>
      </w:r>
      <w:r w:rsidRPr="00563AE6">
        <w:rPr>
          <w:rFonts w:cs="mylotus" w:hint="cs"/>
          <w:sz w:val="23"/>
          <w:szCs w:val="23"/>
          <w:rtl/>
        </w:rPr>
        <w:t xml:space="preserve"> (</w:t>
      </w:r>
      <w:r w:rsidRPr="00563AE6">
        <w:rPr>
          <w:rFonts w:cs="mylotus" w:hint="cs"/>
          <w:b/>
          <w:bCs/>
          <w:sz w:val="23"/>
          <w:szCs w:val="23"/>
          <w:rtl/>
        </w:rPr>
        <w:t>المُتَرْجِمُ</w:t>
      </w:r>
      <w:r w:rsidRPr="00563AE6">
        <w:rPr>
          <w:rFonts w:cs="mylotus" w:hint="cs"/>
          <w:sz w:val="23"/>
          <w:szCs w:val="23"/>
          <w:rtl/>
        </w:rPr>
        <w:t>)</w:t>
      </w:r>
    </w:p>
  </w:footnote>
  <w:footnote w:id="484">
    <w:p w:rsidR="00B31118" w:rsidRPr="00563AE6" w:rsidRDefault="00B31118" w:rsidP="00B300C9">
      <w:pPr>
        <w:pStyle w:val="FootnoteText"/>
        <w:spacing w:line="228" w:lineRule="auto"/>
        <w:jc w:val="both"/>
        <w:rPr>
          <w:rFonts w:cs="mylotus" w:hint="cs"/>
          <w:sz w:val="23"/>
          <w:szCs w:val="23"/>
          <w:rtl/>
          <w:lang w:bidi="ar-SY"/>
        </w:rPr>
      </w:pPr>
      <w:r w:rsidRPr="00563AE6">
        <w:rPr>
          <w:rStyle w:val="FootnoteReference"/>
          <w:rFonts w:cs="mylotus"/>
          <w:sz w:val="23"/>
          <w:szCs w:val="23"/>
          <w:vertAlign w:val="baseline"/>
        </w:rPr>
        <w:footnoteRef/>
      </w:r>
      <w:r w:rsidRPr="00563AE6">
        <w:rPr>
          <w:rFonts w:cs="mylotus" w:hint="cs"/>
          <w:sz w:val="23"/>
          <w:szCs w:val="23"/>
          <w:rtl/>
        </w:rPr>
        <w:t>- «</w:t>
      </w:r>
      <w:r w:rsidRPr="00563AE6">
        <w:rPr>
          <w:rFonts w:cs="mylotus" w:hint="cs"/>
          <w:b/>
          <w:bCs/>
          <w:sz w:val="23"/>
          <w:szCs w:val="23"/>
          <w:rtl/>
        </w:rPr>
        <w:t>معيار اللغة</w:t>
      </w:r>
      <w:r w:rsidRPr="00563AE6">
        <w:rPr>
          <w:rFonts w:cs="mylotus" w:hint="cs"/>
          <w:sz w:val="23"/>
          <w:szCs w:val="23"/>
          <w:rtl/>
        </w:rPr>
        <w:t xml:space="preserve">»: </w:t>
      </w:r>
      <w:r w:rsidRPr="00563AE6">
        <w:rPr>
          <w:rFonts w:cs="mylotus"/>
          <w:sz w:val="23"/>
          <w:szCs w:val="23"/>
          <w:rtl/>
        </w:rPr>
        <w:t>معجم عربي م</w:t>
      </w:r>
      <w:r w:rsidRPr="00563AE6">
        <w:rPr>
          <w:rFonts w:cs="mylotus" w:hint="cs"/>
          <w:sz w:val="23"/>
          <w:szCs w:val="23"/>
          <w:rtl/>
        </w:rPr>
        <w:t>ُ</w:t>
      </w:r>
      <w:r w:rsidRPr="00563AE6">
        <w:rPr>
          <w:rFonts w:cs="mylotus"/>
          <w:sz w:val="23"/>
          <w:szCs w:val="23"/>
          <w:rtl/>
        </w:rPr>
        <w:t>طو</w:t>
      </w:r>
      <w:r w:rsidRPr="00563AE6">
        <w:rPr>
          <w:rFonts w:cs="mylotus" w:hint="cs"/>
          <w:sz w:val="23"/>
          <w:szCs w:val="23"/>
          <w:rtl/>
        </w:rPr>
        <w:t>َّ</w:t>
      </w:r>
      <w:r w:rsidRPr="00563AE6">
        <w:rPr>
          <w:rFonts w:cs="mylotus"/>
          <w:sz w:val="23"/>
          <w:szCs w:val="23"/>
          <w:rtl/>
        </w:rPr>
        <w:t xml:space="preserve">ل ألَّفه الميرزا محمد علي بن محمد صادق الشيرازي، وأتم تأليفه سنة 1273هـ. </w:t>
      </w:r>
      <w:r w:rsidRPr="00563AE6">
        <w:rPr>
          <w:rFonts w:cs="mylotus" w:hint="cs"/>
          <w:sz w:val="23"/>
          <w:szCs w:val="23"/>
          <w:rtl/>
        </w:rPr>
        <w:t xml:space="preserve">ثم </w:t>
      </w:r>
      <w:r w:rsidRPr="00563AE6">
        <w:rPr>
          <w:rFonts w:cs="mylotus"/>
          <w:sz w:val="23"/>
          <w:szCs w:val="23"/>
          <w:rtl/>
        </w:rPr>
        <w:t xml:space="preserve">طُبِع في طهران طبعة حجرية عام 1314هـ.ق في </w:t>
      </w:r>
      <w:r w:rsidRPr="00563AE6">
        <w:rPr>
          <w:rFonts w:cs="mylotus" w:hint="cs"/>
          <w:sz w:val="23"/>
          <w:szCs w:val="23"/>
          <w:rtl/>
        </w:rPr>
        <w:t>جزأين</w:t>
      </w:r>
      <w:r w:rsidRPr="00563AE6">
        <w:rPr>
          <w:rFonts w:cs="mylotus"/>
          <w:sz w:val="23"/>
          <w:szCs w:val="23"/>
          <w:rtl/>
        </w:rPr>
        <w:t>. (</w:t>
      </w:r>
      <w:r w:rsidRPr="00563AE6">
        <w:rPr>
          <w:rFonts w:cs="mylotus"/>
          <w:b/>
          <w:bCs/>
          <w:sz w:val="23"/>
          <w:szCs w:val="23"/>
          <w:rtl/>
        </w:rPr>
        <w:t>المُتَرْجِمُ</w:t>
      </w:r>
      <w:r w:rsidRPr="00563AE6">
        <w:rPr>
          <w:rFonts w:cs="mylotus"/>
          <w:sz w:val="23"/>
          <w:szCs w:val="23"/>
          <w:rtl/>
        </w:rPr>
        <w:t>)</w:t>
      </w:r>
    </w:p>
  </w:footnote>
  <w:footnote w:id="485">
    <w:p w:rsidR="00B31118" w:rsidRPr="00563AE6" w:rsidRDefault="00B31118" w:rsidP="00B300C9">
      <w:pPr>
        <w:pStyle w:val="FootnoteText"/>
        <w:spacing w:line="228" w:lineRule="auto"/>
        <w:jc w:val="both"/>
        <w:rPr>
          <w:rStyle w:val="FootnoteReference"/>
          <w:rFonts w:cs="mylotus"/>
          <w:sz w:val="23"/>
          <w:szCs w:val="23"/>
          <w:vertAlign w:val="baseline"/>
          <w:lang w:bidi="ar-SY"/>
        </w:rPr>
      </w:pPr>
      <w:r w:rsidRPr="00563AE6">
        <w:rPr>
          <w:rStyle w:val="FootnoteReference"/>
          <w:rFonts w:cs="mylotus"/>
          <w:sz w:val="23"/>
          <w:szCs w:val="23"/>
          <w:vertAlign w:val="baseline"/>
        </w:rPr>
        <w:footnoteRef/>
      </w:r>
      <w:r w:rsidRPr="00563AE6">
        <w:rPr>
          <w:rStyle w:val="FootnoteReference"/>
          <w:rFonts w:cs="mylotus" w:hint="cs"/>
          <w:sz w:val="23"/>
          <w:szCs w:val="23"/>
          <w:vertAlign w:val="baseline"/>
          <w:rtl/>
        </w:rPr>
        <w:t xml:space="preserve">- </w:t>
      </w:r>
      <w:r w:rsidRPr="00563AE6">
        <w:rPr>
          <w:rFonts w:cs="mylotus"/>
          <w:sz w:val="23"/>
          <w:szCs w:val="23"/>
          <w:rtl/>
        </w:rPr>
        <w:t>جهاز أمن الدولة والمخابرات في عهد الشاه</w:t>
      </w:r>
      <w:r w:rsidRPr="00563AE6">
        <w:rPr>
          <w:rFonts w:cs="mylotus" w:hint="cs"/>
          <w:sz w:val="23"/>
          <w:szCs w:val="23"/>
          <w:rtl/>
        </w:rPr>
        <w:t xml:space="preserve"> محمد رضا بلهوي. (</w:t>
      </w:r>
      <w:r w:rsidRPr="00563AE6">
        <w:rPr>
          <w:rFonts w:cs="mylotus" w:hint="cs"/>
          <w:b/>
          <w:bCs/>
          <w:sz w:val="23"/>
          <w:szCs w:val="23"/>
          <w:rtl/>
        </w:rPr>
        <w:t>المُتَرْجِمُ</w:t>
      </w:r>
      <w:r w:rsidRPr="00563AE6">
        <w:rPr>
          <w:rFonts w:cs="mylotus" w:hint="cs"/>
          <w:sz w:val="23"/>
          <w:szCs w:val="23"/>
          <w:rtl/>
        </w:rPr>
        <w:t>)</w:t>
      </w:r>
    </w:p>
  </w:footnote>
  <w:footnote w:id="486">
    <w:p w:rsidR="00B31118" w:rsidRPr="00563AE6" w:rsidRDefault="00B31118" w:rsidP="00B300C9">
      <w:pPr>
        <w:pStyle w:val="FootnoteText"/>
        <w:spacing w:line="228" w:lineRule="auto"/>
        <w:jc w:val="both"/>
        <w:rPr>
          <w:rFonts w:cs="mylotus" w:hint="cs"/>
          <w:sz w:val="23"/>
          <w:szCs w:val="23"/>
        </w:rPr>
      </w:pPr>
      <w:r w:rsidRPr="00563AE6">
        <w:rPr>
          <w:rStyle w:val="FootnoteReference"/>
          <w:rFonts w:cs="mylotus"/>
          <w:sz w:val="23"/>
          <w:szCs w:val="23"/>
          <w:vertAlign w:val="baseline"/>
        </w:rPr>
        <w:footnoteRef/>
      </w:r>
      <w:r w:rsidRPr="00563AE6">
        <w:rPr>
          <w:rFonts w:cs="mylotus" w:hint="cs"/>
          <w:sz w:val="23"/>
          <w:szCs w:val="23"/>
          <w:rtl/>
        </w:rPr>
        <w:t>. يشير المؤلف إلى آية الله العظمى حسين علي المنتظري الذي كان مسجوناً في سجون حكومة الشاه البهلوي، وقد أرسل الشيخ المنتظري إلى الأستاذ قلمداران مبلغ 100 تومان لما سمع بتأليفه لكتابه الخمس ليساعده في طباعته. (</w:t>
      </w:r>
      <w:r w:rsidRPr="00563AE6">
        <w:rPr>
          <w:rFonts w:cs="mylotus" w:hint="cs"/>
          <w:b/>
          <w:bCs/>
          <w:sz w:val="23"/>
          <w:szCs w:val="23"/>
          <w:rtl/>
        </w:rPr>
        <w:t>حنيف</w:t>
      </w:r>
      <w:r w:rsidRPr="00563AE6">
        <w:rPr>
          <w:rFonts w:cs="mylotus" w:hint="cs"/>
          <w:sz w:val="23"/>
          <w:szCs w:val="23"/>
          <w:rtl/>
        </w:rPr>
        <w:t>)</w:t>
      </w:r>
    </w:p>
  </w:footnote>
  <w:footnote w:id="487">
    <w:p w:rsidR="00B31118" w:rsidRPr="00563AE6" w:rsidRDefault="00B31118" w:rsidP="00B300C9">
      <w:pPr>
        <w:pStyle w:val="FootnoteText"/>
        <w:spacing w:line="228" w:lineRule="auto"/>
        <w:jc w:val="both"/>
        <w:rPr>
          <w:rFonts w:cs="mylotus" w:hint="cs"/>
          <w:sz w:val="23"/>
          <w:szCs w:val="23"/>
          <w:lang w:bidi="ar-SY"/>
        </w:rPr>
      </w:pPr>
      <w:r w:rsidRPr="00563AE6">
        <w:rPr>
          <w:rStyle w:val="FootnoteReference"/>
          <w:rFonts w:cs="mylotus"/>
          <w:sz w:val="23"/>
          <w:szCs w:val="23"/>
          <w:vertAlign w:val="baseline"/>
        </w:rPr>
        <w:footnoteRef/>
      </w:r>
      <w:r w:rsidRPr="00563AE6">
        <w:rPr>
          <w:rFonts w:cs="mylotus" w:hint="cs"/>
          <w:sz w:val="23"/>
          <w:szCs w:val="23"/>
          <w:rtl/>
        </w:rPr>
        <w:t xml:space="preserve">- المُقدَّس الأردبيلي، </w:t>
      </w:r>
      <w:r w:rsidRPr="00563AE6">
        <w:rPr>
          <w:rFonts w:cs="mylotus"/>
          <w:b/>
          <w:bCs/>
          <w:sz w:val="23"/>
          <w:szCs w:val="23"/>
          <w:rtl/>
        </w:rPr>
        <w:t>مجمع الفائدة والبرهان في شرح إرشاد الأذهان</w:t>
      </w:r>
      <w:r w:rsidRPr="00563AE6">
        <w:rPr>
          <w:rFonts w:cs="mylotus"/>
          <w:sz w:val="23"/>
          <w:szCs w:val="23"/>
          <w:rtl/>
        </w:rPr>
        <w:t>، ج</w:t>
      </w:r>
      <w:r w:rsidRPr="00563AE6">
        <w:rPr>
          <w:rFonts w:cs="mylotus" w:hint="cs"/>
          <w:sz w:val="23"/>
          <w:szCs w:val="23"/>
          <w:rtl/>
        </w:rPr>
        <w:t xml:space="preserve"> </w:t>
      </w:r>
      <w:r w:rsidRPr="00563AE6">
        <w:rPr>
          <w:rFonts w:cs="mylotus"/>
          <w:sz w:val="23"/>
          <w:szCs w:val="23"/>
          <w:rtl/>
        </w:rPr>
        <w:t>‏4، ص 313</w:t>
      </w:r>
      <w:r w:rsidRPr="00563AE6">
        <w:rPr>
          <w:rFonts w:cs="mylotus" w:hint="cs"/>
          <w:sz w:val="23"/>
          <w:szCs w:val="23"/>
          <w:rtl/>
        </w:rPr>
        <w:t>. (</w:t>
      </w:r>
      <w:r w:rsidRPr="00563AE6">
        <w:rPr>
          <w:rFonts w:cs="mylotus" w:hint="cs"/>
          <w:b/>
          <w:bCs/>
          <w:sz w:val="23"/>
          <w:szCs w:val="23"/>
          <w:rtl/>
        </w:rPr>
        <w:t>المُتَرْجِمُ</w:t>
      </w:r>
      <w:r w:rsidRPr="00563AE6">
        <w:rPr>
          <w:rFonts w:cs="mylotus" w:hint="cs"/>
          <w:sz w:val="23"/>
          <w:szCs w:val="23"/>
          <w:rtl/>
        </w:rPr>
        <w:t>)</w:t>
      </w:r>
    </w:p>
  </w:footnote>
  <w:footnote w:id="488">
    <w:p w:rsidR="00B31118" w:rsidRPr="00563AE6" w:rsidRDefault="00B31118" w:rsidP="00B300C9">
      <w:pPr>
        <w:pStyle w:val="FootnoteText"/>
        <w:spacing w:line="228" w:lineRule="auto"/>
        <w:jc w:val="both"/>
        <w:rPr>
          <w:rFonts w:cs="mylotus" w:hint="cs"/>
          <w:sz w:val="23"/>
          <w:szCs w:val="23"/>
          <w:rtl/>
          <w:lang w:bidi="ar-SY"/>
        </w:rPr>
      </w:pPr>
      <w:r w:rsidRPr="00563AE6">
        <w:rPr>
          <w:rStyle w:val="FootnoteReference"/>
          <w:rFonts w:cs="mylotus"/>
          <w:sz w:val="23"/>
          <w:szCs w:val="23"/>
          <w:vertAlign w:val="baseline"/>
        </w:rPr>
        <w:footnoteRef/>
      </w:r>
      <w:r w:rsidRPr="00563AE6">
        <w:rPr>
          <w:rFonts w:cs="mylotus" w:hint="cs"/>
          <w:sz w:val="23"/>
          <w:szCs w:val="23"/>
          <w:rtl/>
        </w:rPr>
        <w:t xml:space="preserve">- هو </w:t>
      </w:r>
      <w:r w:rsidRPr="00563AE6">
        <w:rPr>
          <w:rFonts w:cs="mylotus"/>
          <w:sz w:val="23"/>
          <w:szCs w:val="23"/>
          <w:rtl/>
        </w:rPr>
        <w:t>الفقيه المحقِّق السيد محمد بن علي الموسوي العاملي (</w:t>
      </w:r>
      <w:r w:rsidRPr="00563AE6">
        <w:rPr>
          <w:rFonts w:cs="mylotus" w:hint="cs"/>
          <w:sz w:val="23"/>
          <w:szCs w:val="23"/>
          <w:rtl/>
        </w:rPr>
        <w:t>ت</w:t>
      </w:r>
      <w:r w:rsidRPr="00563AE6">
        <w:rPr>
          <w:rFonts w:cs="mylotus"/>
          <w:sz w:val="23"/>
          <w:szCs w:val="23"/>
          <w:rtl/>
        </w:rPr>
        <w:t xml:space="preserve"> 1009هـ)</w:t>
      </w:r>
      <w:r w:rsidRPr="00563AE6">
        <w:rPr>
          <w:rFonts w:cs="mylotus" w:hint="cs"/>
          <w:sz w:val="23"/>
          <w:szCs w:val="23"/>
          <w:rtl/>
        </w:rPr>
        <w:t xml:space="preserve"> صاحب</w:t>
      </w:r>
      <w:r w:rsidRPr="00563AE6">
        <w:rPr>
          <w:rFonts w:cs="mylotus"/>
          <w:sz w:val="23"/>
          <w:szCs w:val="23"/>
          <w:rtl/>
        </w:rPr>
        <w:t xml:space="preserve"> كتاب: «</w:t>
      </w:r>
      <w:r w:rsidRPr="00563AE6">
        <w:rPr>
          <w:rFonts w:cs="mylotus"/>
          <w:b/>
          <w:bCs/>
          <w:sz w:val="23"/>
          <w:szCs w:val="23"/>
          <w:rtl/>
        </w:rPr>
        <w:t>مدارك الأحكام في شرح شرائع الإسلام</w:t>
      </w:r>
      <w:r w:rsidRPr="00563AE6">
        <w:rPr>
          <w:rFonts w:cs="mylotus"/>
          <w:sz w:val="23"/>
          <w:szCs w:val="23"/>
          <w:rtl/>
        </w:rPr>
        <w:t xml:space="preserve">» الذي شرح فيه كتاب </w:t>
      </w:r>
      <w:r w:rsidRPr="00563AE6">
        <w:rPr>
          <w:rFonts w:cs="mylotus"/>
          <w:b/>
          <w:bCs/>
          <w:sz w:val="23"/>
          <w:szCs w:val="23"/>
          <w:rtl/>
        </w:rPr>
        <w:t>شرائع الإسلام</w:t>
      </w:r>
      <w:r w:rsidRPr="00563AE6">
        <w:rPr>
          <w:rFonts w:cs="mylotus"/>
          <w:sz w:val="23"/>
          <w:szCs w:val="23"/>
          <w:rtl/>
        </w:rPr>
        <w:t xml:space="preserve"> للمحقق الحل</w:t>
      </w:r>
      <w:r w:rsidRPr="00563AE6">
        <w:rPr>
          <w:rFonts w:cs="mylotus" w:hint="cs"/>
          <w:sz w:val="23"/>
          <w:szCs w:val="23"/>
          <w:rtl/>
        </w:rPr>
        <w:t>ّ</w:t>
      </w:r>
      <w:r w:rsidRPr="00563AE6">
        <w:rPr>
          <w:rFonts w:cs="mylotus"/>
          <w:sz w:val="23"/>
          <w:szCs w:val="23"/>
          <w:rtl/>
        </w:rPr>
        <w:t>يّ</w:t>
      </w:r>
      <w:r w:rsidRPr="00563AE6">
        <w:rPr>
          <w:rFonts w:cs="mylotus" w:hint="cs"/>
          <w:sz w:val="23"/>
          <w:szCs w:val="23"/>
          <w:rtl/>
        </w:rPr>
        <w:t>. (</w:t>
      </w:r>
      <w:r w:rsidRPr="00563AE6">
        <w:rPr>
          <w:rFonts w:cs="mylotus" w:hint="cs"/>
          <w:b/>
          <w:bCs/>
          <w:sz w:val="23"/>
          <w:szCs w:val="23"/>
          <w:rtl/>
        </w:rPr>
        <w:t>المُتَرْجِمُ</w:t>
      </w:r>
      <w:r w:rsidRPr="00563AE6">
        <w:rPr>
          <w:rFonts w:cs="mylotus" w:hint="cs"/>
          <w:sz w:val="23"/>
          <w:szCs w:val="23"/>
          <w:rtl/>
        </w:rPr>
        <w:t>)</w:t>
      </w:r>
    </w:p>
  </w:footnote>
  <w:footnote w:id="489">
    <w:p w:rsidR="00B31118" w:rsidRPr="00563AE6" w:rsidRDefault="00B31118" w:rsidP="00B300C9">
      <w:pPr>
        <w:pStyle w:val="FootnoteText"/>
        <w:spacing w:line="228" w:lineRule="auto"/>
        <w:jc w:val="both"/>
        <w:rPr>
          <w:rFonts w:cs="mylotus" w:hint="cs"/>
          <w:sz w:val="23"/>
          <w:szCs w:val="23"/>
          <w:rtl/>
        </w:rPr>
      </w:pPr>
      <w:r w:rsidRPr="00563AE6">
        <w:rPr>
          <w:rStyle w:val="FootnoteReference"/>
          <w:rFonts w:cs="mylotus"/>
          <w:sz w:val="23"/>
          <w:szCs w:val="23"/>
          <w:vertAlign w:val="baseline"/>
        </w:rPr>
        <w:footnoteRef/>
      </w:r>
      <w:r w:rsidRPr="00563AE6">
        <w:rPr>
          <w:rFonts w:cs="mylotus" w:hint="cs"/>
          <w:sz w:val="23"/>
          <w:szCs w:val="23"/>
          <w:rtl/>
        </w:rPr>
        <w:t xml:space="preserve">. الكشي، </w:t>
      </w:r>
      <w:r w:rsidRPr="00563AE6">
        <w:rPr>
          <w:rFonts w:cs="mylotus" w:hint="cs"/>
          <w:b/>
          <w:bCs/>
          <w:sz w:val="23"/>
          <w:szCs w:val="23"/>
          <w:rtl/>
        </w:rPr>
        <w:t>اختيار معرفة الرجال أو رجال الكشي</w:t>
      </w:r>
      <w:r w:rsidRPr="00563AE6">
        <w:rPr>
          <w:rFonts w:cs="mylotus" w:hint="cs"/>
          <w:sz w:val="23"/>
          <w:szCs w:val="23"/>
          <w:rtl/>
        </w:rPr>
        <w:t>، ص 551.</w:t>
      </w:r>
    </w:p>
  </w:footnote>
  <w:footnote w:id="490">
    <w:p w:rsidR="00B31118" w:rsidRPr="00563AE6" w:rsidRDefault="00B31118" w:rsidP="00B300C9">
      <w:pPr>
        <w:pStyle w:val="FootnoteText"/>
        <w:spacing w:line="228" w:lineRule="auto"/>
        <w:jc w:val="both"/>
        <w:rPr>
          <w:rFonts w:cs="mylotus" w:hint="cs"/>
          <w:sz w:val="23"/>
          <w:szCs w:val="23"/>
          <w:rtl/>
          <w:lang w:bidi="ar-SY"/>
        </w:rPr>
      </w:pPr>
      <w:r w:rsidRPr="00563AE6">
        <w:rPr>
          <w:rStyle w:val="FootnoteReference"/>
          <w:rFonts w:cs="mylotus"/>
          <w:sz w:val="23"/>
          <w:szCs w:val="23"/>
          <w:vertAlign w:val="baseline"/>
        </w:rPr>
        <w:footnoteRef/>
      </w:r>
      <w:r w:rsidRPr="00563AE6">
        <w:rPr>
          <w:rFonts w:cs="mylotus" w:hint="cs"/>
          <w:sz w:val="23"/>
          <w:szCs w:val="23"/>
          <w:rtl/>
        </w:rPr>
        <w:t xml:space="preserve">- المقدس الأردبيلي، </w:t>
      </w:r>
      <w:r w:rsidRPr="00563AE6">
        <w:rPr>
          <w:rFonts w:cs="mylotus"/>
          <w:b/>
          <w:bCs/>
          <w:sz w:val="23"/>
          <w:szCs w:val="23"/>
          <w:rtl/>
        </w:rPr>
        <w:t>مجمع الفائدة والبرهان في شرح إرشاد الأذهان</w:t>
      </w:r>
      <w:r w:rsidRPr="00563AE6">
        <w:rPr>
          <w:rFonts w:cs="mylotus"/>
          <w:sz w:val="23"/>
          <w:szCs w:val="23"/>
          <w:rtl/>
        </w:rPr>
        <w:t>، ج</w:t>
      </w:r>
      <w:r w:rsidRPr="00563AE6">
        <w:rPr>
          <w:rFonts w:cs="mylotus" w:hint="cs"/>
          <w:sz w:val="23"/>
          <w:szCs w:val="23"/>
          <w:rtl/>
        </w:rPr>
        <w:t xml:space="preserve"> </w:t>
      </w:r>
      <w:r w:rsidRPr="00563AE6">
        <w:rPr>
          <w:rFonts w:cs="Times New Roman" w:hint="cs"/>
          <w:sz w:val="23"/>
          <w:szCs w:val="23"/>
          <w:rtl/>
        </w:rPr>
        <w:t>‌</w:t>
      </w:r>
      <w:r w:rsidRPr="00563AE6">
        <w:rPr>
          <w:rFonts w:cs="mylotus"/>
          <w:sz w:val="23"/>
          <w:szCs w:val="23"/>
          <w:rtl/>
        </w:rPr>
        <w:t>4</w:t>
      </w:r>
      <w:r w:rsidRPr="00563AE6">
        <w:rPr>
          <w:rFonts w:ascii="mylotus" w:hAnsi="mylotus" w:cs="mylotus" w:hint="cs"/>
          <w:sz w:val="23"/>
          <w:szCs w:val="23"/>
          <w:rtl/>
        </w:rPr>
        <w:t>،</w:t>
      </w:r>
      <w:r w:rsidRPr="00563AE6">
        <w:rPr>
          <w:rFonts w:cs="mylotus"/>
          <w:sz w:val="23"/>
          <w:szCs w:val="23"/>
          <w:rtl/>
        </w:rPr>
        <w:t xml:space="preserve"> </w:t>
      </w:r>
      <w:r w:rsidRPr="00563AE6">
        <w:rPr>
          <w:rFonts w:ascii="mylotus" w:hAnsi="mylotus" w:cs="mylotus" w:hint="cs"/>
          <w:sz w:val="23"/>
          <w:szCs w:val="23"/>
          <w:rtl/>
        </w:rPr>
        <w:t>ص</w:t>
      </w:r>
      <w:r w:rsidRPr="00563AE6">
        <w:rPr>
          <w:rFonts w:cs="mylotus"/>
          <w:sz w:val="23"/>
          <w:szCs w:val="23"/>
          <w:rtl/>
        </w:rPr>
        <w:t xml:space="preserve"> 315</w:t>
      </w:r>
      <w:r w:rsidRPr="00563AE6">
        <w:rPr>
          <w:rFonts w:cs="mylotus" w:hint="cs"/>
          <w:sz w:val="23"/>
          <w:szCs w:val="23"/>
          <w:rtl/>
        </w:rPr>
        <w:t>. (</w:t>
      </w:r>
      <w:r w:rsidRPr="00563AE6">
        <w:rPr>
          <w:rFonts w:cs="mylotus" w:hint="cs"/>
          <w:b/>
          <w:bCs/>
          <w:sz w:val="23"/>
          <w:szCs w:val="23"/>
          <w:rtl/>
        </w:rPr>
        <w:t>المُتَرْجِمُ</w:t>
      </w:r>
      <w:r w:rsidRPr="00563AE6">
        <w:rPr>
          <w:rFonts w:cs="mylotus" w:hint="cs"/>
          <w:sz w:val="23"/>
          <w:szCs w:val="23"/>
          <w:rtl/>
        </w:rPr>
        <w:t>)</w:t>
      </w:r>
    </w:p>
  </w:footnote>
  <w:footnote w:id="491">
    <w:p w:rsidR="00B31118" w:rsidRPr="00563AE6" w:rsidRDefault="00B31118" w:rsidP="00B300C9">
      <w:pPr>
        <w:pStyle w:val="FootnoteText"/>
        <w:spacing w:line="228" w:lineRule="auto"/>
        <w:jc w:val="both"/>
        <w:rPr>
          <w:rFonts w:cs="mylotus" w:hint="cs"/>
          <w:sz w:val="23"/>
          <w:szCs w:val="23"/>
          <w:lang w:bidi="ar-SY"/>
        </w:rPr>
      </w:pPr>
      <w:r w:rsidRPr="00563AE6">
        <w:rPr>
          <w:rStyle w:val="FootnoteReference"/>
          <w:rFonts w:cs="mylotus"/>
          <w:sz w:val="23"/>
          <w:szCs w:val="23"/>
          <w:vertAlign w:val="baseline"/>
        </w:rPr>
        <w:footnoteRef/>
      </w:r>
      <w:r w:rsidRPr="00563AE6">
        <w:rPr>
          <w:rFonts w:cs="mylotus" w:hint="cs"/>
          <w:sz w:val="23"/>
          <w:szCs w:val="23"/>
          <w:rtl/>
        </w:rPr>
        <w:t xml:space="preserve">- </w:t>
      </w:r>
      <w:r w:rsidRPr="00563AE6">
        <w:rPr>
          <w:rFonts w:cs="mylotus" w:hint="cs"/>
          <w:b/>
          <w:bCs/>
          <w:sz w:val="23"/>
          <w:szCs w:val="23"/>
          <w:rtl/>
        </w:rPr>
        <w:t>المصدر نفسه</w:t>
      </w:r>
      <w:r w:rsidRPr="00563AE6">
        <w:rPr>
          <w:rFonts w:cs="mylotus" w:hint="cs"/>
          <w:sz w:val="23"/>
          <w:szCs w:val="23"/>
          <w:rtl/>
        </w:rPr>
        <w:t>، ج 4، ص 316. (</w:t>
      </w:r>
      <w:r w:rsidRPr="00563AE6">
        <w:rPr>
          <w:rFonts w:cs="mylotus" w:hint="cs"/>
          <w:b/>
          <w:bCs/>
          <w:sz w:val="23"/>
          <w:szCs w:val="23"/>
          <w:rtl/>
        </w:rPr>
        <w:t>المُتَرْجِمُ</w:t>
      </w:r>
      <w:r w:rsidRPr="00563AE6">
        <w:rPr>
          <w:rFonts w:cs="mylotus" w:hint="cs"/>
          <w:sz w:val="23"/>
          <w:szCs w:val="23"/>
          <w:rtl/>
        </w:rPr>
        <w:t>)</w:t>
      </w:r>
    </w:p>
  </w:footnote>
  <w:footnote w:id="492">
    <w:p w:rsidR="00B31118" w:rsidRPr="00563AE6" w:rsidRDefault="00B31118" w:rsidP="00B300C9">
      <w:pPr>
        <w:pStyle w:val="FootnoteText"/>
        <w:spacing w:line="228" w:lineRule="auto"/>
        <w:jc w:val="both"/>
        <w:rPr>
          <w:rFonts w:cs="mylotus" w:hint="cs"/>
          <w:sz w:val="23"/>
          <w:szCs w:val="23"/>
          <w:rtl/>
        </w:rPr>
      </w:pPr>
      <w:r w:rsidRPr="00563AE6">
        <w:rPr>
          <w:rStyle w:val="FootnoteReference"/>
          <w:rFonts w:cs="mylotus"/>
          <w:sz w:val="23"/>
          <w:szCs w:val="23"/>
          <w:vertAlign w:val="baseline"/>
        </w:rPr>
        <w:footnoteRef/>
      </w:r>
      <w:r w:rsidRPr="00563AE6">
        <w:rPr>
          <w:rFonts w:cs="mylotus" w:hint="cs"/>
          <w:sz w:val="23"/>
          <w:szCs w:val="23"/>
          <w:rtl/>
        </w:rPr>
        <w:t xml:space="preserve">- المحقق السبزواري، </w:t>
      </w:r>
      <w:r w:rsidRPr="00563AE6">
        <w:rPr>
          <w:rFonts w:cs="mylotus"/>
          <w:b/>
          <w:bCs/>
          <w:sz w:val="23"/>
          <w:szCs w:val="23"/>
          <w:rtl/>
        </w:rPr>
        <w:t>ذخيرة المعاد في شرح الإرشاد</w:t>
      </w:r>
      <w:r w:rsidRPr="00563AE6">
        <w:rPr>
          <w:rFonts w:cs="mylotus"/>
          <w:sz w:val="23"/>
          <w:szCs w:val="23"/>
          <w:rtl/>
        </w:rPr>
        <w:t xml:space="preserve">، ج </w:t>
      </w:r>
      <w:r w:rsidRPr="00563AE6">
        <w:rPr>
          <w:rFonts w:cs="Times New Roman" w:hint="cs"/>
          <w:sz w:val="23"/>
          <w:szCs w:val="23"/>
          <w:rtl/>
        </w:rPr>
        <w:t>‌</w:t>
      </w:r>
      <w:r w:rsidRPr="00563AE6">
        <w:rPr>
          <w:rFonts w:cs="mylotus"/>
          <w:sz w:val="23"/>
          <w:szCs w:val="23"/>
          <w:rtl/>
        </w:rPr>
        <w:t>2</w:t>
      </w:r>
      <w:r w:rsidRPr="00563AE6">
        <w:rPr>
          <w:rFonts w:ascii="mylotus" w:hAnsi="mylotus" w:cs="mylotus" w:hint="cs"/>
          <w:sz w:val="23"/>
          <w:szCs w:val="23"/>
          <w:rtl/>
        </w:rPr>
        <w:t>،</w:t>
      </w:r>
      <w:r w:rsidRPr="00563AE6">
        <w:rPr>
          <w:rFonts w:cs="mylotus"/>
          <w:sz w:val="23"/>
          <w:szCs w:val="23"/>
          <w:rtl/>
        </w:rPr>
        <w:t xml:space="preserve"> </w:t>
      </w:r>
      <w:r w:rsidRPr="00563AE6">
        <w:rPr>
          <w:rFonts w:ascii="mylotus" w:hAnsi="mylotus" w:cs="mylotus" w:hint="cs"/>
          <w:sz w:val="23"/>
          <w:szCs w:val="23"/>
          <w:rtl/>
        </w:rPr>
        <w:t>ص</w:t>
      </w:r>
      <w:r w:rsidRPr="00563AE6">
        <w:rPr>
          <w:rFonts w:cs="mylotus"/>
          <w:sz w:val="23"/>
          <w:szCs w:val="23"/>
          <w:rtl/>
        </w:rPr>
        <w:t xml:space="preserve"> 480</w:t>
      </w:r>
      <w:r w:rsidRPr="00563AE6">
        <w:rPr>
          <w:rFonts w:cs="mylotus" w:hint="cs"/>
          <w:sz w:val="23"/>
          <w:szCs w:val="23"/>
          <w:rtl/>
        </w:rPr>
        <w:t>. (</w:t>
      </w:r>
      <w:r w:rsidRPr="00563AE6">
        <w:rPr>
          <w:rFonts w:cs="mylotus" w:hint="cs"/>
          <w:b/>
          <w:bCs/>
          <w:sz w:val="23"/>
          <w:szCs w:val="23"/>
          <w:rtl/>
        </w:rPr>
        <w:t>المُتَرْجِمُ</w:t>
      </w:r>
      <w:r w:rsidRPr="00563AE6">
        <w:rPr>
          <w:rFonts w:cs="mylotus" w:hint="cs"/>
          <w:sz w:val="23"/>
          <w:szCs w:val="23"/>
          <w:rtl/>
        </w:rPr>
        <w:t>)</w:t>
      </w:r>
    </w:p>
  </w:footnote>
  <w:footnote w:id="493">
    <w:p w:rsidR="00B31118" w:rsidRPr="00563AE6" w:rsidRDefault="00B31118" w:rsidP="00B300C9">
      <w:pPr>
        <w:pStyle w:val="FootnoteText"/>
        <w:spacing w:line="228" w:lineRule="auto"/>
        <w:jc w:val="both"/>
        <w:rPr>
          <w:rFonts w:cs="mylotus" w:hint="cs"/>
          <w:sz w:val="23"/>
          <w:szCs w:val="23"/>
          <w:rtl/>
          <w:lang w:bidi="ar-SY"/>
        </w:rPr>
      </w:pPr>
      <w:r w:rsidRPr="00563AE6">
        <w:rPr>
          <w:rStyle w:val="FootnoteReference"/>
          <w:rFonts w:cs="mylotus"/>
          <w:sz w:val="23"/>
          <w:szCs w:val="23"/>
          <w:vertAlign w:val="baseline"/>
        </w:rPr>
        <w:footnoteRef/>
      </w:r>
      <w:r w:rsidRPr="00563AE6">
        <w:rPr>
          <w:rFonts w:cs="mylotus" w:hint="cs"/>
          <w:sz w:val="23"/>
          <w:szCs w:val="23"/>
          <w:rtl/>
        </w:rPr>
        <w:t>- الموافق لـ 26، ربيع الثاني، 1398هـ. و 4، 4، 1978م. (</w:t>
      </w:r>
      <w:r w:rsidRPr="00563AE6">
        <w:rPr>
          <w:rFonts w:cs="mylotus" w:hint="cs"/>
          <w:b/>
          <w:bCs/>
          <w:sz w:val="23"/>
          <w:szCs w:val="23"/>
          <w:rtl/>
        </w:rPr>
        <w:t>المُتَرْجِمُ</w:t>
      </w:r>
      <w:r w:rsidRPr="00563AE6">
        <w:rPr>
          <w:rFonts w:cs="mylotus" w:hint="cs"/>
          <w:sz w:val="23"/>
          <w:szCs w:val="23"/>
          <w:rtl/>
        </w:rPr>
        <w:t>)</w:t>
      </w:r>
    </w:p>
  </w:footnote>
  <w:footnote w:id="494">
    <w:p w:rsidR="00B31118" w:rsidRPr="00563AE6" w:rsidRDefault="00B31118" w:rsidP="00B300C9">
      <w:pPr>
        <w:pStyle w:val="FootnoteText"/>
        <w:spacing w:line="228" w:lineRule="auto"/>
        <w:jc w:val="both"/>
        <w:rPr>
          <w:rFonts w:cs="mylotus" w:hint="cs"/>
          <w:sz w:val="23"/>
          <w:szCs w:val="23"/>
          <w:rtl/>
        </w:rPr>
      </w:pPr>
      <w:r w:rsidRPr="00563AE6">
        <w:rPr>
          <w:rStyle w:val="FootnoteReference"/>
          <w:rFonts w:cs="mylotus"/>
          <w:sz w:val="23"/>
          <w:szCs w:val="23"/>
          <w:vertAlign w:val="baseline"/>
        </w:rPr>
        <w:footnoteRef/>
      </w:r>
      <w:r w:rsidRPr="00563AE6">
        <w:rPr>
          <w:rFonts w:cs="mylotus" w:hint="cs"/>
          <w:sz w:val="23"/>
          <w:szCs w:val="23"/>
          <w:rtl/>
        </w:rPr>
        <w:t xml:space="preserve">- لقد رجعتُ إلى كتاب </w:t>
      </w:r>
      <w:r w:rsidRPr="00563AE6">
        <w:rPr>
          <w:rFonts w:cs="mylotus" w:hint="cs"/>
          <w:b/>
          <w:bCs/>
          <w:sz w:val="23"/>
          <w:szCs w:val="23"/>
          <w:rtl/>
        </w:rPr>
        <w:t>أحكام القرآن</w:t>
      </w:r>
      <w:r w:rsidRPr="00563AE6">
        <w:rPr>
          <w:rFonts w:cs="mylotus" w:hint="cs"/>
          <w:sz w:val="23"/>
          <w:szCs w:val="23"/>
          <w:rtl/>
        </w:rPr>
        <w:t xml:space="preserve">، </w:t>
      </w:r>
      <w:r w:rsidRPr="00563AE6">
        <w:rPr>
          <w:rFonts w:cs="mylotus"/>
          <w:sz w:val="23"/>
          <w:szCs w:val="23"/>
          <w:rtl/>
        </w:rPr>
        <w:t>للقاضي أبو بكر بن العربي (من  أئمة المالكية وتوفي سنة 543هـ)،</w:t>
      </w:r>
      <w:r w:rsidRPr="00563AE6">
        <w:rPr>
          <w:rFonts w:cs="mylotus" w:hint="cs"/>
          <w:sz w:val="23"/>
          <w:szCs w:val="23"/>
          <w:rtl/>
        </w:rPr>
        <w:t xml:space="preserve"> فوجدت فيه عين ما أورده مؤلف الردّ السيد حسن إمامي الأصفهاني بالضبط، فالخطأ الذي وقع فيه السيد الأصفهاني هو اسم المرجع الذي نقل منه أي بدلاً من أن يقول: أحكام القرآن لابن العربي المالكي، قال: أحكام القرآن للجصاص، وهذا من السهو الذي يمكن أن يقع فيه كل مؤلف. (المُتَرْجِمُ) </w:t>
      </w:r>
    </w:p>
  </w:footnote>
  <w:footnote w:id="495">
    <w:p w:rsidR="00B31118" w:rsidRPr="00563AE6" w:rsidRDefault="00B31118" w:rsidP="00B300C9">
      <w:pPr>
        <w:pStyle w:val="FootnoteText"/>
        <w:spacing w:line="228" w:lineRule="auto"/>
        <w:jc w:val="both"/>
        <w:rPr>
          <w:rFonts w:cs="mylotus" w:hint="cs"/>
          <w:sz w:val="23"/>
          <w:szCs w:val="23"/>
        </w:rPr>
      </w:pPr>
      <w:r w:rsidRPr="00563AE6">
        <w:rPr>
          <w:rStyle w:val="FootnoteReference"/>
          <w:rFonts w:cs="mylotus"/>
          <w:sz w:val="23"/>
          <w:szCs w:val="23"/>
          <w:vertAlign w:val="baseline"/>
        </w:rPr>
        <w:footnoteRef/>
      </w:r>
      <w:r w:rsidRPr="00563AE6">
        <w:rPr>
          <w:rFonts w:cs="mylotus" w:hint="cs"/>
          <w:sz w:val="23"/>
          <w:szCs w:val="23"/>
          <w:rtl/>
        </w:rPr>
        <w:t>- ال</w:t>
      </w:r>
      <w:r w:rsidRPr="00563AE6">
        <w:rPr>
          <w:rFonts w:cs="mylotus"/>
          <w:sz w:val="23"/>
          <w:szCs w:val="23"/>
          <w:rtl/>
        </w:rPr>
        <w:t xml:space="preserve">قاضي أبو بكر </w:t>
      </w:r>
      <w:r w:rsidRPr="00563AE6">
        <w:rPr>
          <w:rFonts w:cs="mylotus" w:hint="cs"/>
          <w:sz w:val="23"/>
          <w:szCs w:val="23"/>
          <w:rtl/>
        </w:rPr>
        <w:t>ا</w:t>
      </w:r>
      <w:r w:rsidRPr="00563AE6">
        <w:rPr>
          <w:rFonts w:cs="mylotus"/>
          <w:sz w:val="23"/>
          <w:szCs w:val="23"/>
          <w:rtl/>
        </w:rPr>
        <w:t>بن العربي</w:t>
      </w:r>
      <w:r w:rsidRPr="00563AE6">
        <w:rPr>
          <w:rFonts w:cs="mylotus" w:hint="cs"/>
          <w:b/>
          <w:bCs/>
          <w:sz w:val="23"/>
          <w:szCs w:val="23"/>
          <w:rtl/>
        </w:rPr>
        <w:t>، أحكام القرآن</w:t>
      </w:r>
      <w:r w:rsidRPr="00563AE6">
        <w:rPr>
          <w:rFonts w:cs="mylotus" w:hint="cs"/>
          <w:sz w:val="23"/>
          <w:szCs w:val="23"/>
          <w:rtl/>
        </w:rPr>
        <w:t>، تحقيق محمد عبد القادر عطا، بيروت، دار الكتب العلمية، الطبعة الثالثة، 1424هـ / 2002م، [ 4 أجزاء في مجلدين]، ج 2، ص 433. (المُتَرْجِمُ)</w:t>
      </w:r>
    </w:p>
  </w:footnote>
  <w:footnote w:id="496">
    <w:p w:rsidR="00B31118" w:rsidRPr="00563AE6" w:rsidRDefault="00B31118" w:rsidP="00B300C9">
      <w:pPr>
        <w:pStyle w:val="FootnoteText"/>
        <w:spacing w:line="228" w:lineRule="auto"/>
        <w:jc w:val="both"/>
        <w:rPr>
          <w:rFonts w:cs="mylotus" w:hint="cs"/>
          <w:sz w:val="23"/>
          <w:szCs w:val="23"/>
        </w:rPr>
      </w:pPr>
      <w:r w:rsidRPr="00563AE6">
        <w:rPr>
          <w:rStyle w:val="FootnoteReference"/>
          <w:rFonts w:cs="mylotus"/>
          <w:sz w:val="23"/>
          <w:szCs w:val="23"/>
          <w:vertAlign w:val="baseline"/>
        </w:rPr>
        <w:footnoteRef/>
      </w:r>
      <w:r w:rsidRPr="00563AE6">
        <w:rPr>
          <w:rFonts w:cs="mylotus" w:hint="cs"/>
          <w:sz w:val="23"/>
          <w:szCs w:val="23"/>
          <w:rtl/>
        </w:rPr>
        <w:t xml:space="preserve">- </w:t>
      </w:r>
      <w:r w:rsidRPr="00563AE6">
        <w:rPr>
          <w:rFonts w:cs="mylotus" w:hint="cs"/>
          <w:b/>
          <w:bCs/>
          <w:sz w:val="23"/>
          <w:szCs w:val="23"/>
          <w:rtl/>
        </w:rPr>
        <w:t>المصدر نفسه</w:t>
      </w:r>
      <w:r w:rsidRPr="00563AE6">
        <w:rPr>
          <w:rFonts w:cs="mylotus" w:hint="cs"/>
          <w:sz w:val="23"/>
          <w:szCs w:val="23"/>
          <w:rtl/>
        </w:rPr>
        <w:t>، ج 2، ص 434. (المُتَرْجِمُ)</w:t>
      </w:r>
    </w:p>
  </w:footnote>
  <w:footnote w:id="497">
    <w:p w:rsidR="00B31118" w:rsidRPr="00563AE6" w:rsidRDefault="00B31118" w:rsidP="00B300C9">
      <w:pPr>
        <w:pStyle w:val="FootnoteText"/>
        <w:spacing w:line="228" w:lineRule="auto"/>
        <w:jc w:val="both"/>
        <w:rPr>
          <w:rFonts w:cs="mylotus" w:hint="cs"/>
          <w:sz w:val="23"/>
          <w:szCs w:val="23"/>
        </w:rPr>
      </w:pPr>
      <w:r w:rsidRPr="00563AE6">
        <w:rPr>
          <w:rStyle w:val="FootnoteReference"/>
          <w:rFonts w:cs="mylotus"/>
          <w:sz w:val="23"/>
          <w:szCs w:val="23"/>
          <w:vertAlign w:val="baseline"/>
        </w:rPr>
        <w:footnoteRef/>
      </w:r>
      <w:r w:rsidRPr="00563AE6">
        <w:rPr>
          <w:rFonts w:cs="mylotus" w:hint="cs"/>
          <w:sz w:val="23"/>
          <w:szCs w:val="23"/>
          <w:rtl/>
        </w:rPr>
        <w:t xml:space="preserve">- </w:t>
      </w:r>
      <w:r w:rsidRPr="00563AE6">
        <w:rPr>
          <w:rFonts w:cs="mylotus"/>
          <w:sz w:val="23"/>
          <w:szCs w:val="23"/>
          <w:rtl/>
        </w:rPr>
        <w:t>الحديث المرفوع</w:t>
      </w:r>
      <w:r w:rsidRPr="00563AE6">
        <w:rPr>
          <w:rFonts w:cs="mylotus" w:hint="cs"/>
          <w:sz w:val="23"/>
          <w:szCs w:val="23"/>
          <w:rtl/>
        </w:rPr>
        <w:t xml:space="preserve"> في مصطلح علم الحديث عند الإمامية</w:t>
      </w:r>
      <w:r w:rsidRPr="00563AE6">
        <w:rPr>
          <w:rFonts w:cs="mylotus"/>
          <w:sz w:val="23"/>
          <w:szCs w:val="23"/>
          <w:rtl/>
        </w:rPr>
        <w:t>: هو الحديث الذي لم يكن راويه معاصراً للنبي أو الأئمة وَمِنْ ثَمَّ لم يكن في وسعه أن يروي مباشرة</w:t>
      </w:r>
      <w:r w:rsidRPr="00563AE6">
        <w:rPr>
          <w:rFonts w:cs="mylotus" w:hint="cs"/>
          <w:sz w:val="23"/>
          <w:szCs w:val="23"/>
          <w:rtl/>
        </w:rPr>
        <w:t>ً</w:t>
      </w:r>
      <w:r w:rsidRPr="00563AE6">
        <w:rPr>
          <w:rFonts w:cs="mylotus"/>
          <w:sz w:val="23"/>
          <w:szCs w:val="23"/>
          <w:rtl/>
        </w:rPr>
        <w:t xml:space="preserve"> عنهم، ومع ذلك روى عنهم ولم تُذكَر الواسطة بين هذا الراوي وبين من روى عنهم في سند الحديث.</w:t>
      </w:r>
      <w:r w:rsidRPr="00563AE6">
        <w:rPr>
          <w:rFonts w:cs="mylotus" w:hint="cs"/>
          <w:sz w:val="23"/>
          <w:szCs w:val="23"/>
          <w:rtl/>
        </w:rPr>
        <w:t xml:space="preserve"> فهو حديث ضعيف لوجود انقطاع أو إرسال في سنده. [أما في مصطلح الحديث لدى أهل السنة فالمرفوع </w:t>
      </w:r>
      <w:r w:rsidRPr="00563AE6">
        <w:rPr>
          <w:rFonts w:cs="mylotus"/>
          <w:sz w:val="23"/>
          <w:szCs w:val="23"/>
          <w:rtl/>
        </w:rPr>
        <w:t xml:space="preserve">هُوَ مَا أُضِيفَ إِلَى اَلنَّبِيِّ - </w:t>
      </w:r>
      <w:r w:rsidRPr="003C7AEB">
        <w:rPr>
          <w:rFonts w:cs="CTraditional Arabic"/>
          <w:sz w:val="23"/>
          <w:szCs w:val="23"/>
          <w:rtl/>
        </w:rPr>
        <w:t>ص</w:t>
      </w:r>
      <w:r w:rsidRPr="00563AE6">
        <w:rPr>
          <w:rFonts w:cs="mylotus"/>
          <w:sz w:val="23"/>
          <w:szCs w:val="23"/>
          <w:rtl/>
        </w:rPr>
        <w:t xml:space="preserve"> - قَوْلًا أَوْ فِعْلًا عَنْهُ, وَسَوَاءٌ كَانَ مُتَّصِلًا أَوْ مُنْقَطِعًا أَوْ مُرْسَلًا, وَنَفَى اَلْخَطِيبُ أَنْ يَكُونَ مُرْسَلًا فَقَالَ هُوَ مَا أَخْبَرَ فِيهِ اَلصَّحَابِيُّ عَنْ رَسُولِ </w:t>
      </w:r>
      <w:r w:rsidRPr="00563AE6">
        <w:rPr>
          <w:rFonts w:cs="mylotus" w:hint="cs"/>
          <w:sz w:val="23"/>
          <w:szCs w:val="23"/>
          <w:rtl/>
        </w:rPr>
        <w:t xml:space="preserve">اللهِ </w:t>
      </w:r>
      <w:r w:rsidRPr="00563AE6">
        <w:rPr>
          <w:rFonts w:ascii="Abo-thar" w:hAnsi="Abo-thar" w:cs="mylotus"/>
          <w:sz w:val="23"/>
          <w:szCs w:val="23"/>
          <w:lang w:bidi="fa-IR"/>
        </w:rPr>
        <w:t></w:t>
      </w:r>
      <w:r w:rsidRPr="00563AE6">
        <w:rPr>
          <w:rFonts w:cs="mylotus" w:hint="cs"/>
          <w:sz w:val="23"/>
          <w:szCs w:val="23"/>
          <w:rtl/>
        </w:rPr>
        <w:t xml:space="preserve">، وهو ما يُقابل </w:t>
      </w:r>
      <w:r w:rsidRPr="00563AE6">
        <w:rPr>
          <w:rFonts w:cs="mylotus"/>
          <w:sz w:val="23"/>
          <w:szCs w:val="23"/>
          <w:rtl/>
        </w:rPr>
        <w:t>اَلْمَوْقُوف</w:t>
      </w:r>
      <w:r w:rsidRPr="00563AE6">
        <w:rPr>
          <w:rFonts w:cs="mylotus" w:hint="cs"/>
          <w:sz w:val="23"/>
          <w:szCs w:val="23"/>
          <w:rtl/>
        </w:rPr>
        <w:t xml:space="preserve">َ الذي هو كلام </w:t>
      </w:r>
      <w:r w:rsidRPr="00563AE6">
        <w:rPr>
          <w:rFonts w:cs="mylotus"/>
          <w:sz w:val="23"/>
          <w:szCs w:val="23"/>
          <w:rtl/>
        </w:rPr>
        <w:t>الصَّحَابِيِّ</w:t>
      </w:r>
      <w:r w:rsidRPr="00563AE6">
        <w:rPr>
          <w:rFonts w:cs="mylotus" w:hint="cs"/>
          <w:sz w:val="23"/>
          <w:szCs w:val="23"/>
          <w:rtl/>
        </w:rPr>
        <w:t>. فالمرفوع قد يكون صحيحاً وقد يكون ضعيفاً حسب سنده]. (المُتَرْجِمُ)</w:t>
      </w:r>
    </w:p>
  </w:footnote>
  <w:footnote w:id="498">
    <w:p w:rsidR="00B31118" w:rsidRPr="00563AE6" w:rsidRDefault="00B31118" w:rsidP="00B300C9">
      <w:pPr>
        <w:pStyle w:val="FootnoteText"/>
        <w:spacing w:line="228" w:lineRule="auto"/>
        <w:jc w:val="both"/>
        <w:rPr>
          <w:rFonts w:cs="mylotus" w:hint="cs"/>
          <w:sz w:val="23"/>
          <w:szCs w:val="23"/>
          <w:rtl/>
          <w:lang w:bidi="ar-SY"/>
        </w:rPr>
      </w:pPr>
      <w:r w:rsidRPr="00563AE6">
        <w:rPr>
          <w:rStyle w:val="FootnoteReference"/>
          <w:rFonts w:cs="mylotus"/>
          <w:sz w:val="23"/>
          <w:szCs w:val="23"/>
          <w:vertAlign w:val="baseline"/>
        </w:rPr>
        <w:footnoteRef/>
      </w:r>
      <w:r w:rsidRPr="00563AE6">
        <w:rPr>
          <w:rFonts w:cs="mylotus" w:hint="cs"/>
          <w:sz w:val="23"/>
          <w:szCs w:val="23"/>
          <w:rtl/>
        </w:rPr>
        <w:t xml:space="preserve">- الشيخ الطوسي، </w:t>
      </w:r>
      <w:r w:rsidRPr="00563AE6">
        <w:rPr>
          <w:rFonts w:cs="mylotus" w:hint="cs"/>
          <w:b/>
          <w:bCs/>
          <w:sz w:val="23"/>
          <w:szCs w:val="23"/>
          <w:rtl/>
        </w:rPr>
        <w:t>تهذيب الأحكام</w:t>
      </w:r>
      <w:r w:rsidRPr="00563AE6">
        <w:rPr>
          <w:rFonts w:cs="mylotus" w:hint="cs"/>
          <w:sz w:val="23"/>
          <w:szCs w:val="23"/>
          <w:rtl/>
        </w:rPr>
        <w:t>، ج 9، ص 196. (المُتَرْجِمُ)</w:t>
      </w:r>
    </w:p>
  </w:footnote>
  <w:footnote w:id="499">
    <w:p w:rsidR="00B31118" w:rsidRPr="00563AE6" w:rsidRDefault="00B31118" w:rsidP="00B300C9">
      <w:pPr>
        <w:pStyle w:val="FootnoteText"/>
        <w:spacing w:line="228" w:lineRule="auto"/>
        <w:jc w:val="both"/>
        <w:rPr>
          <w:rFonts w:cs="mylotus" w:hint="cs"/>
          <w:sz w:val="23"/>
          <w:szCs w:val="23"/>
          <w:rtl/>
        </w:rPr>
      </w:pPr>
      <w:r w:rsidRPr="00563AE6">
        <w:rPr>
          <w:rStyle w:val="FootnoteReference"/>
          <w:rFonts w:cs="mylotus"/>
          <w:sz w:val="23"/>
          <w:szCs w:val="23"/>
          <w:vertAlign w:val="baseline"/>
        </w:rPr>
        <w:footnoteRef/>
      </w:r>
      <w:r w:rsidRPr="00563AE6">
        <w:rPr>
          <w:rFonts w:cs="mylotus" w:hint="cs"/>
          <w:sz w:val="23"/>
          <w:szCs w:val="23"/>
          <w:rtl/>
        </w:rPr>
        <w:t xml:space="preserve">- </w:t>
      </w:r>
      <w:r w:rsidRPr="00563AE6">
        <w:rPr>
          <w:rFonts w:cs="mylotus"/>
          <w:sz w:val="23"/>
          <w:szCs w:val="23"/>
          <w:rtl/>
        </w:rPr>
        <w:t xml:space="preserve">لا يخفى ما في كلام المؤلف قلمداران (رحمه الله) هنا من إشكال ونظر، إذ إن إيراد كاتب الرد على كتاب تحف العقول وأمثاله من الكتب الفاقدة للأسانيد في محله، أعني أن أي كتاب يفتقر للأسانيد الموصولة الصحيحة لا يمكن الاعتماد عليه ولا تقوم به حجةٌ لذاته. وقد أجمع علماء السلف على أن الإسناد من الدين، ولولا الإسناد لقال من شاء ما شاء، وأن الإسناد خصيصة من خصائص هذه الأمة، به يُعْرَف الصحيح من السقيم. أما الاستناد إلى تأييد عدد من العلماء لكتب الحديث الفاقدة للأسانيد فهذا ليس بحجة ولا يغني من الحق شيئًا. والواقع أن كلام المؤلف هنا لا ينسجم مع منهجه المعروف بطلب الأسانيد الصحيحة الموصولة </w:t>
      </w:r>
      <w:r w:rsidRPr="00563AE6">
        <w:rPr>
          <w:rFonts w:cs="mylotus" w:hint="cs"/>
          <w:sz w:val="23"/>
          <w:szCs w:val="23"/>
          <w:rtl/>
        </w:rPr>
        <w:t>ورد الأحاديث ال</w:t>
      </w:r>
      <w:r w:rsidRPr="00563AE6">
        <w:rPr>
          <w:rFonts w:cs="mylotus"/>
          <w:sz w:val="23"/>
          <w:szCs w:val="23"/>
          <w:rtl/>
        </w:rPr>
        <w:t>مرسل</w:t>
      </w:r>
      <w:r w:rsidRPr="00563AE6">
        <w:rPr>
          <w:rFonts w:cs="mylotus" w:hint="cs"/>
          <w:sz w:val="23"/>
          <w:szCs w:val="23"/>
          <w:rtl/>
        </w:rPr>
        <w:t>ة</w:t>
      </w:r>
      <w:r w:rsidRPr="00563AE6">
        <w:rPr>
          <w:rFonts w:cs="mylotus"/>
          <w:sz w:val="23"/>
          <w:szCs w:val="23"/>
          <w:rtl/>
        </w:rPr>
        <w:t xml:space="preserve"> أو </w:t>
      </w:r>
      <w:r w:rsidRPr="00563AE6">
        <w:rPr>
          <w:rFonts w:cs="mylotus" w:hint="cs"/>
          <w:sz w:val="23"/>
          <w:szCs w:val="23"/>
          <w:rtl/>
        </w:rPr>
        <w:t>ال</w:t>
      </w:r>
      <w:r w:rsidRPr="00563AE6">
        <w:rPr>
          <w:rFonts w:cs="mylotus"/>
          <w:sz w:val="23"/>
          <w:szCs w:val="23"/>
          <w:rtl/>
        </w:rPr>
        <w:t>مرفوع</w:t>
      </w:r>
      <w:r w:rsidRPr="00563AE6">
        <w:rPr>
          <w:rFonts w:cs="mylotus" w:hint="cs"/>
          <w:sz w:val="23"/>
          <w:szCs w:val="23"/>
          <w:rtl/>
        </w:rPr>
        <w:t>ة</w:t>
      </w:r>
      <w:r w:rsidRPr="00563AE6">
        <w:rPr>
          <w:rFonts w:cs="mylotus"/>
          <w:sz w:val="23"/>
          <w:szCs w:val="23"/>
          <w:rtl/>
        </w:rPr>
        <w:t xml:space="preserve">، وعدم الاعتداد </w:t>
      </w:r>
      <w:r w:rsidRPr="00563AE6">
        <w:rPr>
          <w:rFonts w:cs="mylotus" w:hint="cs"/>
          <w:sz w:val="23"/>
          <w:szCs w:val="23"/>
          <w:rtl/>
        </w:rPr>
        <w:t>ب</w:t>
      </w:r>
      <w:r w:rsidRPr="00563AE6">
        <w:rPr>
          <w:rFonts w:cs="mylotus"/>
          <w:sz w:val="23"/>
          <w:szCs w:val="23"/>
          <w:rtl/>
        </w:rPr>
        <w:t>أقوال العل</w:t>
      </w:r>
      <w:r w:rsidRPr="00563AE6">
        <w:rPr>
          <w:rFonts w:cs="mylotus" w:hint="cs"/>
          <w:sz w:val="23"/>
          <w:szCs w:val="23"/>
          <w:rtl/>
        </w:rPr>
        <w:t>م</w:t>
      </w:r>
      <w:r w:rsidRPr="00563AE6">
        <w:rPr>
          <w:rFonts w:cs="mylotus"/>
          <w:sz w:val="23"/>
          <w:szCs w:val="23"/>
          <w:rtl/>
        </w:rPr>
        <w:t>اء في</w:t>
      </w:r>
      <w:r w:rsidRPr="00563AE6">
        <w:rPr>
          <w:rFonts w:cs="mylotus" w:hint="cs"/>
          <w:sz w:val="23"/>
          <w:szCs w:val="23"/>
          <w:rtl/>
        </w:rPr>
        <w:t xml:space="preserve"> تصحيح</w:t>
      </w:r>
      <w:r w:rsidRPr="00563AE6">
        <w:rPr>
          <w:rFonts w:cs="mylotus"/>
          <w:sz w:val="23"/>
          <w:szCs w:val="23"/>
          <w:rtl/>
        </w:rPr>
        <w:t>ها مهما كانوا كبارًا وأجلاء</w:t>
      </w:r>
      <w:r w:rsidRPr="00563AE6">
        <w:rPr>
          <w:rFonts w:cs="mylotus" w:hint="cs"/>
          <w:sz w:val="23"/>
          <w:szCs w:val="23"/>
          <w:rtl/>
        </w:rPr>
        <w:t>، ومنع التقليد لهم في هذا المجال</w:t>
      </w:r>
      <w:r w:rsidRPr="00563AE6">
        <w:rPr>
          <w:rFonts w:cs="mylotus"/>
          <w:sz w:val="23"/>
          <w:szCs w:val="23"/>
          <w:rtl/>
        </w:rPr>
        <w:t>. وقد رد المؤلف قلمداران قبل عدة صفحات من الكتاب الحاضر عدداً من الأحاديث لكونها مرسلة،</w:t>
      </w:r>
      <w:r w:rsidRPr="00563AE6">
        <w:rPr>
          <w:rFonts w:cs="mylotus" w:hint="cs"/>
          <w:sz w:val="23"/>
          <w:szCs w:val="23"/>
          <w:rtl/>
        </w:rPr>
        <w:t xml:space="preserve"> ورد تفسير العياشي لأن أخباره مرسلة.</w:t>
      </w:r>
      <w:r w:rsidRPr="00563AE6">
        <w:rPr>
          <w:rFonts w:cs="mylotus"/>
          <w:sz w:val="23"/>
          <w:szCs w:val="23"/>
          <w:rtl/>
        </w:rPr>
        <w:t xml:space="preserve"> (المُتَرْجِمُ)</w:t>
      </w:r>
    </w:p>
  </w:footnote>
  <w:footnote w:id="500">
    <w:p w:rsidR="00B31118" w:rsidRPr="00563AE6" w:rsidRDefault="00B31118" w:rsidP="00B300C9">
      <w:pPr>
        <w:pStyle w:val="FootnoteText"/>
        <w:spacing w:line="228" w:lineRule="auto"/>
        <w:jc w:val="both"/>
        <w:rPr>
          <w:rFonts w:cs="mylotus" w:hint="cs"/>
          <w:sz w:val="23"/>
          <w:szCs w:val="23"/>
          <w:lang w:bidi="ar-SY"/>
        </w:rPr>
      </w:pPr>
      <w:r w:rsidRPr="00563AE6">
        <w:rPr>
          <w:rStyle w:val="FootnoteReference"/>
          <w:rFonts w:cs="mylotus"/>
          <w:sz w:val="23"/>
          <w:szCs w:val="23"/>
          <w:vertAlign w:val="baseline"/>
        </w:rPr>
        <w:footnoteRef/>
      </w:r>
      <w:r w:rsidRPr="00563AE6">
        <w:rPr>
          <w:rFonts w:cs="mylotus" w:hint="cs"/>
          <w:sz w:val="23"/>
          <w:szCs w:val="23"/>
          <w:rtl/>
        </w:rPr>
        <w:t xml:space="preserve">- هذه زلَّة أخرى للمؤلف رحمه الله، فالقرآن الكريم متواترٌ تواترًا عظيمًا لفظًا ومعنًى منذ نزوله وإلى اليوم جيلًا بعد جيل فهو في غنى عن ذكر أي سند له، فلا تُقاس عليه كتب الرواية التي أُلِّفت بعد وفاة النبي أو الأئمة بقرون ووصلت إلينا بطرق أحادية غير متواترة!! (المُتَرْجِمُ) </w:t>
      </w:r>
    </w:p>
  </w:footnote>
  <w:footnote w:id="501">
    <w:p w:rsidR="00B31118" w:rsidRPr="00563AE6" w:rsidRDefault="00B31118" w:rsidP="00B300C9">
      <w:pPr>
        <w:pStyle w:val="FootnoteText"/>
        <w:spacing w:line="228" w:lineRule="auto"/>
        <w:jc w:val="both"/>
        <w:rPr>
          <w:rFonts w:cs="mylotus" w:hint="cs"/>
          <w:sz w:val="23"/>
          <w:szCs w:val="23"/>
          <w:rtl/>
          <w:lang w:bidi="ar-SY"/>
        </w:rPr>
      </w:pPr>
      <w:r w:rsidRPr="00563AE6">
        <w:rPr>
          <w:rStyle w:val="FootnoteReference"/>
          <w:rFonts w:cs="mylotus"/>
          <w:sz w:val="23"/>
          <w:szCs w:val="23"/>
          <w:vertAlign w:val="baseline"/>
        </w:rPr>
        <w:footnoteRef/>
      </w:r>
      <w:r w:rsidRPr="00563AE6">
        <w:rPr>
          <w:rFonts w:cs="mylotus" w:hint="cs"/>
          <w:sz w:val="23"/>
          <w:szCs w:val="23"/>
          <w:rtl/>
        </w:rPr>
        <w:t xml:space="preserve">- محمد بن يعقوب الكليني، </w:t>
      </w:r>
      <w:r w:rsidRPr="00563AE6">
        <w:rPr>
          <w:rFonts w:cs="mylotus"/>
          <w:b/>
          <w:bCs/>
          <w:sz w:val="23"/>
          <w:szCs w:val="23"/>
          <w:rtl/>
        </w:rPr>
        <w:t>الروضة من الكافي</w:t>
      </w:r>
      <w:r w:rsidRPr="00563AE6">
        <w:rPr>
          <w:rFonts w:cs="mylotus"/>
          <w:sz w:val="23"/>
          <w:szCs w:val="23"/>
          <w:rtl/>
        </w:rPr>
        <w:t xml:space="preserve">، طبع طهران، </w:t>
      </w:r>
      <w:r w:rsidRPr="00563AE6">
        <w:rPr>
          <w:rFonts w:cs="mylotus" w:hint="cs"/>
          <w:sz w:val="23"/>
          <w:szCs w:val="23"/>
          <w:rtl/>
        </w:rPr>
        <w:t xml:space="preserve">دار الكتب </w:t>
      </w:r>
      <w:r w:rsidRPr="00563AE6">
        <w:rPr>
          <w:rFonts w:cs="mylotus"/>
          <w:sz w:val="23"/>
          <w:szCs w:val="23"/>
          <w:rtl/>
        </w:rPr>
        <w:t xml:space="preserve">الإسلامية، </w:t>
      </w:r>
      <w:r w:rsidRPr="00563AE6">
        <w:rPr>
          <w:rFonts w:cs="mylotus" w:hint="cs"/>
          <w:sz w:val="23"/>
          <w:szCs w:val="23"/>
          <w:rtl/>
        </w:rPr>
        <w:t xml:space="preserve">1407هـ.ق، </w:t>
      </w:r>
      <w:r w:rsidRPr="00563AE6">
        <w:rPr>
          <w:rFonts w:cs="mylotus"/>
          <w:sz w:val="23"/>
          <w:szCs w:val="23"/>
          <w:rtl/>
        </w:rPr>
        <w:t>ج</w:t>
      </w:r>
      <w:r w:rsidRPr="00563AE6">
        <w:rPr>
          <w:rFonts w:cs="mylotus" w:hint="cs"/>
          <w:sz w:val="23"/>
          <w:szCs w:val="23"/>
          <w:rtl/>
        </w:rPr>
        <w:t xml:space="preserve"> </w:t>
      </w:r>
      <w:r w:rsidRPr="00563AE6">
        <w:rPr>
          <w:rFonts w:cs="mylotus"/>
          <w:sz w:val="23"/>
          <w:szCs w:val="23"/>
          <w:rtl/>
        </w:rPr>
        <w:t>‏8، ص 285.</w:t>
      </w:r>
      <w:r w:rsidRPr="00563AE6">
        <w:rPr>
          <w:rFonts w:cs="mylotus" w:hint="cs"/>
          <w:sz w:val="23"/>
          <w:szCs w:val="23"/>
          <w:rtl/>
        </w:rPr>
        <w:t xml:space="preserve"> (المُتَرْجِمُ)</w:t>
      </w:r>
    </w:p>
  </w:footnote>
  <w:footnote w:id="502">
    <w:p w:rsidR="00B31118" w:rsidRPr="00563AE6" w:rsidRDefault="00B31118" w:rsidP="00B300C9">
      <w:pPr>
        <w:pStyle w:val="FootnoteText"/>
        <w:widowControl w:val="0"/>
        <w:spacing w:line="228" w:lineRule="auto"/>
        <w:jc w:val="both"/>
        <w:rPr>
          <w:rFonts w:cs="mylotus" w:hint="cs"/>
          <w:sz w:val="23"/>
          <w:szCs w:val="23"/>
        </w:rPr>
      </w:pPr>
      <w:r w:rsidRPr="00563AE6">
        <w:rPr>
          <w:rStyle w:val="FootnoteReference"/>
          <w:rFonts w:cs="mylotus"/>
          <w:sz w:val="23"/>
          <w:szCs w:val="23"/>
          <w:vertAlign w:val="baseline"/>
        </w:rPr>
        <w:footnoteRef/>
      </w:r>
      <w:r w:rsidRPr="00563AE6">
        <w:rPr>
          <w:rFonts w:cs="mylotus" w:hint="cs"/>
          <w:sz w:val="23"/>
          <w:szCs w:val="23"/>
          <w:rtl/>
        </w:rPr>
        <w:t xml:space="preserve">- انظر: محمد محسن بن شاه مرتضى الفيض الكاشاني، </w:t>
      </w:r>
      <w:r w:rsidRPr="00563AE6">
        <w:rPr>
          <w:rFonts w:cs="mylotus" w:hint="cs"/>
          <w:b/>
          <w:bCs/>
          <w:sz w:val="23"/>
          <w:szCs w:val="23"/>
          <w:rtl/>
        </w:rPr>
        <w:t>الوافي</w:t>
      </w:r>
      <w:r w:rsidRPr="00563AE6">
        <w:rPr>
          <w:rFonts w:cs="mylotus" w:hint="cs"/>
          <w:sz w:val="23"/>
          <w:szCs w:val="23"/>
          <w:rtl/>
        </w:rPr>
        <w:t xml:space="preserve">، تصحيح ضياء الدين الحسيني الأصفهاني، أصفهان، مكتبة أمير المؤمنين علي </w:t>
      </w:r>
      <w:r w:rsidRPr="003C7AEB">
        <w:rPr>
          <w:rFonts w:cs="CTraditional Arabic" w:hint="cs"/>
          <w:sz w:val="23"/>
          <w:szCs w:val="23"/>
          <w:rtl/>
        </w:rPr>
        <w:t>÷</w:t>
      </w:r>
      <w:r w:rsidRPr="00563AE6">
        <w:rPr>
          <w:rFonts w:cs="mylotus" w:hint="cs"/>
          <w:sz w:val="23"/>
          <w:szCs w:val="23"/>
          <w:rtl/>
        </w:rPr>
        <w:t>، الطبعة الأولى، 1406هـ.ق، [26 مجلدًا]، ج 10، ص 344. (المُتَرْجِمُ)</w:t>
      </w:r>
    </w:p>
  </w:footnote>
  <w:footnote w:id="503">
    <w:p w:rsidR="00B31118" w:rsidRPr="00563AE6" w:rsidRDefault="00B31118" w:rsidP="00B300C9">
      <w:pPr>
        <w:pStyle w:val="FootnoteText"/>
        <w:widowControl w:val="0"/>
        <w:spacing w:line="228" w:lineRule="auto"/>
        <w:jc w:val="both"/>
        <w:rPr>
          <w:rFonts w:cs="mylotus" w:hint="cs"/>
          <w:sz w:val="23"/>
          <w:szCs w:val="23"/>
          <w:rtl/>
        </w:rPr>
      </w:pPr>
      <w:r w:rsidRPr="00563AE6">
        <w:rPr>
          <w:rStyle w:val="FootnoteReference"/>
          <w:rFonts w:cs="mylotus"/>
          <w:sz w:val="23"/>
          <w:szCs w:val="23"/>
          <w:vertAlign w:val="baseline"/>
        </w:rPr>
        <w:footnoteRef/>
      </w:r>
      <w:r w:rsidRPr="00563AE6">
        <w:rPr>
          <w:rFonts w:cs="mylotus" w:hint="cs"/>
          <w:sz w:val="23"/>
          <w:szCs w:val="23"/>
          <w:rtl/>
        </w:rPr>
        <w:t xml:space="preserve">- انظر: يوسف بن أحمد البحراني، </w:t>
      </w:r>
      <w:r w:rsidRPr="00563AE6">
        <w:rPr>
          <w:rFonts w:cs="mylotus" w:hint="cs"/>
          <w:b/>
          <w:bCs/>
          <w:sz w:val="23"/>
          <w:szCs w:val="23"/>
          <w:rtl/>
        </w:rPr>
        <w:t>الحدائق الناضرة في أحكام العترة الطاهرة</w:t>
      </w:r>
      <w:r w:rsidRPr="00563AE6">
        <w:rPr>
          <w:rFonts w:cs="mylotus" w:hint="cs"/>
          <w:sz w:val="23"/>
          <w:szCs w:val="23"/>
          <w:rtl/>
        </w:rPr>
        <w:t>، تصحيح محمد تقي ايرواني والسيد عبد الرزاق مقرم</w:t>
      </w:r>
      <w:r w:rsidRPr="00563AE6">
        <w:rPr>
          <w:rFonts w:cs="Times New Roman" w:hint="cs"/>
          <w:sz w:val="23"/>
          <w:szCs w:val="23"/>
          <w:rtl/>
        </w:rPr>
        <w:t>‌</w:t>
      </w:r>
      <w:r w:rsidRPr="00563AE6">
        <w:rPr>
          <w:rFonts w:ascii="mylotus" w:hAnsi="mylotus" w:cs="mylotus" w:hint="cs"/>
          <w:sz w:val="23"/>
          <w:szCs w:val="23"/>
          <w:rtl/>
        </w:rPr>
        <w:t>،</w:t>
      </w:r>
      <w:r w:rsidRPr="00563AE6">
        <w:rPr>
          <w:rFonts w:cs="mylotus" w:hint="cs"/>
          <w:sz w:val="23"/>
          <w:szCs w:val="23"/>
          <w:rtl/>
        </w:rPr>
        <w:t xml:space="preserve"> </w:t>
      </w:r>
      <w:r w:rsidRPr="00563AE6">
        <w:rPr>
          <w:rFonts w:ascii="mylotus" w:hAnsi="mylotus" w:cs="mylotus" w:hint="cs"/>
          <w:sz w:val="23"/>
          <w:szCs w:val="23"/>
          <w:rtl/>
        </w:rPr>
        <w:t>قم،</w:t>
      </w:r>
      <w:r w:rsidRPr="00563AE6">
        <w:rPr>
          <w:rFonts w:cs="mylotus" w:hint="cs"/>
          <w:sz w:val="23"/>
          <w:szCs w:val="23"/>
          <w:rtl/>
        </w:rPr>
        <w:t xml:space="preserve"> مكتب النشر الإسلامي التابع لجماعة المدرسين في الحوزة العلمية بقم، الطبعة الأولى، 1405هـ. ق.، [25 مجلدًا]، ج 12، ص 462. (المُتَرْجِمُ)</w:t>
      </w:r>
    </w:p>
  </w:footnote>
  <w:footnote w:id="504">
    <w:p w:rsidR="00B31118" w:rsidRPr="00563AE6" w:rsidRDefault="00B31118" w:rsidP="00B300C9">
      <w:pPr>
        <w:pStyle w:val="FootnoteText"/>
        <w:widowControl w:val="0"/>
        <w:spacing w:line="228" w:lineRule="auto"/>
        <w:jc w:val="both"/>
        <w:rPr>
          <w:rFonts w:cs="mylotus" w:hint="cs"/>
          <w:sz w:val="23"/>
          <w:szCs w:val="23"/>
          <w:rtl/>
          <w:lang w:bidi="ar-SY"/>
        </w:rPr>
      </w:pPr>
      <w:r w:rsidRPr="00563AE6">
        <w:rPr>
          <w:rStyle w:val="FootnoteReference"/>
          <w:rFonts w:cs="mylotus"/>
          <w:sz w:val="23"/>
          <w:szCs w:val="23"/>
          <w:vertAlign w:val="baseline"/>
        </w:rPr>
        <w:footnoteRef/>
      </w:r>
      <w:r w:rsidRPr="00563AE6">
        <w:rPr>
          <w:rFonts w:cs="mylotus" w:hint="cs"/>
          <w:sz w:val="23"/>
          <w:szCs w:val="23"/>
          <w:rtl/>
        </w:rPr>
        <w:t xml:space="preserve">- محمد باقر المجلسي، </w:t>
      </w:r>
      <w:r w:rsidRPr="00563AE6">
        <w:rPr>
          <w:rFonts w:cs="mylotus" w:hint="cs"/>
          <w:b/>
          <w:bCs/>
          <w:sz w:val="23"/>
          <w:szCs w:val="23"/>
          <w:rtl/>
        </w:rPr>
        <w:t>بحار الأنوار</w:t>
      </w:r>
      <w:r w:rsidRPr="00563AE6">
        <w:rPr>
          <w:rFonts w:cs="mylotus" w:hint="cs"/>
          <w:sz w:val="23"/>
          <w:szCs w:val="23"/>
          <w:rtl/>
        </w:rPr>
        <w:t>، بيروت، دار إحياء التراث العربي، الطبعة الثانية، 1403هـ، ج 93، ص 102. (المُتَرْجِمُ)</w:t>
      </w:r>
    </w:p>
  </w:footnote>
  <w:footnote w:id="505">
    <w:p w:rsidR="00B31118" w:rsidRPr="00563AE6" w:rsidRDefault="00B31118" w:rsidP="00B300C9">
      <w:pPr>
        <w:pStyle w:val="FootnoteText"/>
        <w:widowControl w:val="0"/>
        <w:spacing w:line="228" w:lineRule="auto"/>
        <w:jc w:val="both"/>
        <w:rPr>
          <w:rFonts w:cs="mylotus" w:hint="cs"/>
          <w:sz w:val="23"/>
          <w:szCs w:val="23"/>
          <w:lang w:bidi="ar-SY"/>
        </w:rPr>
      </w:pPr>
      <w:r w:rsidRPr="00563AE6">
        <w:rPr>
          <w:rStyle w:val="FootnoteReference"/>
          <w:rFonts w:cs="mylotus"/>
          <w:sz w:val="23"/>
          <w:szCs w:val="23"/>
          <w:vertAlign w:val="baseline"/>
        </w:rPr>
        <w:footnoteRef/>
      </w:r>
      <w:r w:rsidRPr="00563AE6">
        <w:rPr>
          <w:rFonts w:cs="mylotus" w:hint="cs"/>
          <w:sz w:val="23"/>
          <w:szCs w:val="23"/>
          <w:rtl/>
        </w:rPr>
        <w:t xml:space="preserve">- الميرزا حسين النوري، </w:t>
      </w:r>
      <w:r w:rsidRPr="00563AE6">
        <w:rPr>
          <w:rFonts w:cs="mylotus" w:hint="cs"/>
          <w:b/>
          <w:bCs/>
          <w:sz w:val="23"/>
          <w:szCs w:val="23"/>
          <w:rtl/>
        </w:rPr>
        <w:t>مستدرك الوسائل</w:t>
      </w:r>
      <w:r w:rsidRPr="00563AE6">
        <w:rPr>
          <w:rFonts w:cs="mylotus" w:hint="cs"/>
          <w:sz w:val="23"/>
          <w:szCs w:val="23"/>
          <w:rtl/>
        </w:rPr>
        <w:t xml:space="preserve">، قم، مؤسسة آل البيت </w:t>
      </w:r>
      <w:r w:rsidRPr="00963EFD">
        <w:rPr>
          <w:rFonts w:cs="CTraditional Arabic" w:hint="cs"/>
          <w:sz w:val="23"/>
          <w:szCs w:val="23"/>
          <w:rtl/>
        </w:rPr>
        <w:t>‡</w:t>
      </w:r>
      <w:r w:rsidRPr="00563AE6">
        <w:rPr>
          <w:rFonts w:cs="mylotus" w:hint="cs"/>
          <w:sz w:val="23"/>
          <w:szCs w:val="23"/>
          <w:rtl/>
        </w:rPr>
        <w:t>، الطبعة الأولى، 1408هـ، ج</w:t>
      </w:r>
      <w:r w:rsidRPr="00563AE6">
        <w:rPr>
          <w:rFonts w:cs="Times New Roman" w:hint="cs"/>
          <w:sz w:val="23"/>
          <w:szCs w:val="23"/>
          <w:rtl/>
        </w:rPr>
        <w:t> </w:t>
      </w:r>
      <w:r w:rsidRPr="00563AE6">
        <w:rPr>
          <w:rFonts w:cs="mylotus" w:hint="cs"/>
          <w:sz w:val="23"/>
          <w:szCs w:val="23"/>
          <w:rtl/>
        </w:rPr>
        <w:t>7، صص 290 - 292. (المُتَرْجِمُ)</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31118" w:rsidRPr="004817E8" w:rsidRDefault="00261222" w:rsidP="004817E8">
    <w:pPr>
      <w:tabs>
        <w:tab w:val="center" w:pos="4153"/>
        <w:tab w:val="right" w:pos="8306"/>
      </w:tabs>
      <w:ind w:left="284" w:right="284"/>
      <w:rPr>
        <w:rFonts w:cs="B Zar"/>
        <w:sz w:val="28"/>
      </w:rPr>
    </w:pPr>
    <w:r>
      <w:rPr>
        <w:rFonts w:cs="B Titr" w:hint="cs"/>
        <w:noProof/>
        <w:sz w:val="28"/>
        <w:szCs w:val="24"/>
        <w:rtl/>
      </w:rPr>
      <w:drawing>
        <wp:anchor distT="0" distB="0" distL="114300" distR="114300" simplePos="0" relativeHeight="251641856" behindDoc="1" locked="0" layoutInCell="1" allowOverlap="1">
          <wp:simplePos x="0" y="0"/>
          <wp:positionH relativeFrom="column">
            <wp:posOffset>-900430</wp:posOffset>
          </wp:positionH>
          <wp:positionV relativeFrom="paragraph">
            <wp:posOffset>-104775</wp:posOffset>
          </wp:positionV>
          <wp:extent cx="6109335" cy="8801735"/>
          <wp:effectExtent l="0" t="0" r="5715" b="0"/>
          <wp:wrapNone/>
          <wp:docPr id="26" name="Picture 6" descr="Untitled-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 descr="Untitled-2"/>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09335" cy="880173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31118" w:rsidRPr="004817E8" w:rsidRDefault="00261222" w:rsidP="004817E8">
    <w:pPr>
      <w:tabs>
        <w:tab w:val="center" w:pos="4153"/>
        <w:tab w:val="right" w:pos="8306"/>
      </w:tabs>
      <w:rPr>
        <w:rFonts w:cs="B Zar" w:hint="cs"/>
        <w:sz w:val="28"/>
        <w:rtl/>
      </w:rPr>
    </w:pPr>
    <w:r>
      <w:rPr>
        <w:rFonts w:ascii="Times New Roman Bold" w:hAnsi="Times New Roman Bold" w:cs="B Zar" w:hint="cs"/>
        <w:noProof/>
        <w:sz w:val="28"/>
        <w:rtl/>
      </w:rPr>
      <mc:AlternateContent>
        <mc:Choice Requires="wps">
          <w:drawing>
            <wp:anchor distT="0" distB="0" distL="114300" distR="114300" simplePos="0" relativeHeight="251642880" behindDoc="0" locked="0" layoutInCell="1" allowOverlap="1">
              <wp:simplePos x="0" y="0"/>
              <wp:positionH relativeFrom="column">
                <wp:posOffset>1918335</wp:posOffset>
              </wp:positionH>
              <wp:positionV relativeFrom="paragraph">
                <wp:posOffset>8255</wp:posOffset>
              </wp:positionV>
              <wp:extent cx="2420620" cy="360680"/>
              <wp:effectExtent l="3810" t="0" r="4445" b="2540"/>
              <wp:wrapNone/>
              <wp:docPr id="2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20620" cy="3606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31118" w:rsidRDefault="00B31118" w:rsidP="001A5A8F">
                          <w:pPr>
                            <w:jc w:val="center"/>
                          </w:pPr>
                          <w:r w:rsidRPr="001A5A8F">
                            <w:rPr>
                              <w:rFonts w:cs="KFGQPC Uthman Taha Naskh" w:hint="cs"/>
                              <w:b/>
                              <w:bCs/>
                              <w:szCs w:val="24"/>
                              <w:rtl/>
                            </w:rPr>
                            <w:t>بحث</w:t>
                          </w:r>
                          <w:r w:rsidRPr="001A5A8F">
                            <w:rPr>
                              <w:rFonts w:cs="KFGQPC Uthman Taha Naskh"/>
                              <w:b/>
                              <w:bCs/>
                              <w:szCs w:val="24"/>
                              <w:rtl/>
                            </w:rPr>
                            <w:t xml:space="preserve"> </w:t>
                          </w:r>
                          <w:r w:rsidRPr="001A5A8F">
                            <w:rPr>
                              <w:rFonts w:cs="KFGQPC Uthman Taha Naskh" w:hint="cs"/>
                              <w:b/>
                              <w:bCs/>
                              <w:szCs w:val="24"/>
                              <w:rtl/>
                            </w:rPr>
                            <w:t>عميق</w:t>
                          </w:r>
                          <w:r w:rsidRPr="001A5A8F">
                            <w:rPr>
                              <w:rFonts w:cs="KFGQPC Uthman Taha Naskh"/>
                              <w:b/>
                              <w:bCs/>
                              <w:szCs w:val="24"/>
                              <w:rtl/>
                            </w:rPr>
                            <w:t xml:space="preserve"> </w:t>
                          </w:r>
                          <w:r w:rsidRPr="001A5A8F">
                            <w:rPr>
                              <w:rFonts w:cs="KFGQPC Uthman Taha Naskh" w:hint="cs"/>
                              <w:b/>
                              <w:bCs/>
                              <w:szCs w:val="24"/>
                              <w:rtl/>
                            </w:rPr>
                            <w:t>في</w:t>
                          </w:r>
                          <w:r w:rsidRPr="001A5A8F">
                            <w:rPr>
                              <w:rFonts w:cs="KFGQPC Uthman Taha Naskh"/>
                              <w:b/>
                              <w:bCs/>
                              <w:szCs w:val="24"/>
                              <w:rtl/>
                            </w:rPr>
                            <w:t xml:space="preserve"> </w:t>
                          </w:r>
                          <w:r>
                            <w:rPr>
                              <w:rFonts w:cs="KFGQPC Uthman Taha Naskh" w:hint="cs"/>
                              <w:b/>
                              <w:bCs/>
                              <w:szCs w:val="24"/>
                              <w:rtl/>
                            </w:rPr>
                            <w:t>مس</w:t>
                          </w:r>
                          <w:r w:rsidRPr="001A5A8F">
                            <w:rPr>
                              <w:rFonts w:cs="KFGQPC Uthman Taha Naskh" w:hint="cs"/>
                              <w:b/>
                              <w:bCs/>
                              <w:szCs w:val="24"/>
                              <w:rtl/>
                            </w:rPr>
                            <w:t>ألة</w:t>
                          </w:r>
                          <w:r w:rsidRPr="001A5A8F">
                            <w:rPr>
                              <w:rFonts w:cs="KFGQPC Uthman Taha Naskh"/>
                              <w:b/>
                              <w:bCs/>
                              <w:szCs w:val="24"/>
                              <w:rtl/>
                            </w:rPr>
                            <w:t xml:space="preserve"> </w:t>
                          </w:r>
                          <w:r>
                            <w:rPr>
                              <w:rFonts w:cs="KFGQPC Uthman Taha Naskh" w:hint="cs"/>
                              <w:b/>
                              <w:bCs/>
                              <w:szCs w:val="24"/>
                              <w:rtl/>
                            </w:rPr>
                            <w:t>الخُمْ</w:t>
                          </w:r>
                          <w:r w:rsidRPr="001A5A8F">
                            <w:rPr>
                              <w:rFonts w:cs="KFGQPC Uthman Taha Naskh" w:hint="cs"/>
                              <w:b/>
                              <w:bCs/>
                              <w:szCs w:val="24"/>
                              <w:rtl/>
                            </w:rPr>
                            <w:t>س</w:t>
                          </w:r>
                          <w:r>
                            <w:rPr>
                              <w:rFonts w:cs="KFGQPC Uthman Taha Naskh" w:hint="cs"/>
                              <w:b/>
                              <w:bCs/>
                              <w:szCs w:val="24"/>
                              <w:rtl/>
                            </w:rPr>
                            <w:t xml:space="preserve"> ف</w:t>
                          </w:r>
                          <w:r w:rsidRPr="001A5A8F">
                            <w:rPr>
                              <w:rFonts w:cs="KFGQPC Uthman Taha Naskh" w:hint="cs"/>
                              <w:b/>
                              <w:bCs/>
                              <w:szCs w:val="24"/>
                              <w:rtl/>
                            </w:rPr>
                            <w:t>ي</w:t>
                          </w:r>
                          <w:r w:rsidRPr="001A5A8F">
                            <w:rPr>
                              <w:rFonts w:cs="KFGQPC Uthman Taha Naskh"/>
                              <w:b/>
                              <w:bCs/>
                              <w:szCs w:val="24"/>
                              <w:rtl/>
                            </w:rPr>
                            <w:t xml:space="preserve"> </w:t>
                          </w:r>
                          <w:r>
                            <w:rPr>
                              <w:rFonts w:cs="KFGQPC Uthman Taha Naskh" w:hint="cs"/>
                              <w:b/>
                              <w:bCs/>
                              <w:szCs w:val="24"/>
                              <w:rtl/>
                            </w:rPr>
                            <w:t>الكت</w:t>
                          </w:r>
                          <w:r w:rsidRPr="001A5A8F">
                            <w:rPr>
                              <w:rFonts w:cs="KFGQPC Uthman Taha Naskh" w:hint="cs"/>
                              <w:b/>
                              <w:bCs/>
                              <w:szCs w:val="24"/>
                              <w:rtl/>
                            </w:rPr>
                            <w:t>اب</w:t>
                          </w:r>
                          <w:r w:rsidRPr="001A5A8F">
                            <w:rPr>
                              <w:rFonts w:cs="KFGQPC Uthman Taha Naskh"/>
                              <w:b/>
                              <w:bCs/>
                              <w:szCs w:val="24"/>
                              <w:rtl/>
                            </w:rPr>
                            <w:t xml:space="preserve"> </w:t>
                          </w:r>
                          <w:r>
                            <w:rPr>
                              <w:rFonts w:cs="KFGQPC Uthman Taha Naskh" w:hint="cs"/>
                              <w:b/>
                              <w:bCs/>
                              <w:szCs w:val="24"/>
                              <w:rtl/>
                            </w:rPr>
                            <w:t>والسن</w:t>
                          </w:r>
                          <w:r w:rsidRPr="001A5A8F">
                            <w:rPr>
                              <w:rFonts w:cs="KFGQPC Uthman Taha Naskh" w:hint="cs"/>
                              <w:b/>
                              <w:bCs/>
                              <w:szCs w:val="24"/>
                              <w:rtl/>
                            </w:rPr>
                            <w:t>ة</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6" type="#_x0000_t202" style="position:absolute;left:0;text-align:left;margin-left:151.05pt;margin-top:.65pt;width:190.6pt;height:28.4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" stroked="f">
              <v:textbox>
                <w:txbxContent>
                  <w:p w:rsidR="00B31118" w:rsidRDefault="00B31118" w:rsidP="001A5A8F">
                    <w:pPr>
                      <w:jc w:val="center"/>
                    </w:pPr>
                    <w:r w:rsidRPr="001A5A8F">
                      <w:rPr>
                        <w:rFonts w:cs="KFGQPC Uthman Taha Naskh" w:hint="cs"/>
                        <w:b/>
                        <w:bCs/>
                        <w:szCs w:val="24"/>
                        <w:rtl/>
                      </w:rPr>
                      <w:t>بحث</w:t>
                    </w:r>
                    <w:r w:rsidRPr="001A5A8F">
                      <w:rPr>
                        <w:rFonts w:cs="KFGQPC Uthman Taha Naskh"/>
                        <w:b/>
                        <w:bCs/>
                        <w:szCs w:val="24"/>
                        <w:rtl/>
                      </w:rPr>
                      <w:t xml:space="preserve"> </w:t>
                    </w:r>
                    <w:r w:rsidRPr="001A5A8F">
                      <w:rPr>
                        <w:rFonts w:cs="KFGQPC Uthman Taha Naskh" w:hint="cs"/>
                        <w:b/>
                        <w:bCs/>
                        <w:szCs w:val="24"/>
                        <w:rtl/>
                      </w:rPr>
                      <w:t>عميق</w:t>
                    </w:r>
                    <w:r w:rsidRPr="001A5A8F">
                      <w:rPr>
                        <w:rFonts w:cs="KFGQPC Uthman Taha Naskh"/>
                        <w:b/>
                        <w:bCs/>
                        <w:szCs w:val="24"/>
                        <w:rtl/>
                      </w:rPr>
                      <w:t xml:space="preserve"> </w:t>
                    </w:r>
                    <w:r w:rsidRPr="001A5A8F">
                      <w:rPr>
                        <w:rFonts w:cs="KFGQPC Uthman Taha Naskh" w:hint="cs"/>
                        <w:b/>
                        <w:bCs/>
                        <w:szCs w:val="24"/>
                        <w:rtl/>
                      </w:rPr>
                      <w:t>في</w:t>
                    </w:r>
                    <w:r w:rsidRPr="001A5A8F">
                      <w:rPr>
                        <w:rFonts w:cs="KFGQPC Uthman Taha Naskh"/>
                        <w:b/>
                        <w:bCs/>
                        <w:szCs w:val="24"/>
                        <w:rtl/>
                      </w:rPr>
                      <w:t xml:space="preserve"> </w:t>
                    </w:r>
                    <w:r>
                      <w:rPr>
                        <w:rFonts w:cs="KFGQPC Uthman Taha Naskh" w:hint="cs"/>
                        <w:b/>
                        <w:bCs/>
                        <w:szCs w:val="24"/>
                        <w:rtl/>
                      </w:rPr>
                      <w:t>مس</w:t>
                    </w:r>
                    <w:r w:rsidRPr="001A5A8F">
                      <w:rPr>
                        <w:rFonts w:cs="KFGQPC Uthman Taha Naskh" w:hint="cs"/>
                        <w:b/>
                        <w:bCs/>
                        <w:szCs w:val="24"/>
                        <w:rtl/>
                      </w:rPr>
                      <w:t>ألة</w:t>
                    </w:r>
                    <w:r w:rsidRPr="001A5A8F">
                      <w:rPr>
                        <w:rFonts w:cs="KFGQPC Uthman Taha Naskh"/>
                        <w:b/>
                        <w:bCs/>
                        <w:szCs w:val="24"/>
                        <w:rtl/>
                      </w:rPr>
                      <w:t xml:space="preserve"> </w:t>
                    </w:r>
                    <w:r>
                      <w:rPr>
                        <w:rFonts w:cs="KFGQPC Uthman Taha Naskh" w:hint="cs"/>
                        <w:b/>
                        <w:bCs/>
                        <w:szCs w:val="24"/>
                        <w:rtl/>
                      </w:rPr>
                      <w:t>الخُمْ</w:t>
                    </w:r>
                    <w:r w:rsidRPr="001A5A8F">
                      <w:rPr>
                        <w:rFonts w:cs="KFGQPC Uthman Taha Naskh" w:hint="cs"/>
                        <w:b/>
                        <w:bCs/>
                        <w:szCs w:val="24"/>
                        <w:rtl/>
                      </w:rPr>
                      <w:t>س</w:t>
                    </w:r>
                    <w:r>
                      <w:rPr>
                        <w:rFonts w:cs="KFGQPC Uthman Taha Naskh" w:hint="cs"/>
                        <w:b/>
                        <w:bCs/>
                        <w:szCs w:val="24"/>
                        <w:rtl/>
                      </w:rPr>
                      <w:t xml:space="preserve"> ف</w:t>
                    </w:r>
                    <w:r w:rsidRPr="001A5A8F">
                      <w:rPr>
                        <w:rFonts w:cs="KFGQPC Uthman Taha Naskh" w:hint="cs"/>
                        <w:b/>
                        <w:bCs/>
                        <w:szCs w:val="24"/>
                        <w:rtl/>
                      </w:rPr>
                      <w:t>ي</w:t>
                    </w:r>
                    <w:r w:rsidRPr="001A5A8F">
                      <w:rPr>
                        <w:rFonts w:cs="KFGQPC Uthman Taha Naskh"/>
                        <w:b/>
                        <w:bCs/>
                        <w:szCs w:val="24"/>
                        <w:rtl/>
                      </w:rPr>
                      <w:t xml:space="preserve"> </w:t>
                    </w:r>
                    <w:r>
                      <w:rPr>
                        <w:rFonts w:cs="KFGQPC Uthman Taha Naskh" w:hint="cs"/>
                        <w:b/>
                        <w:bCs/>
                        <w:szCs w:val="24"/>
                        <w:rtl/>
                      </w:rPr>
                      <w:t>الكت</w:t>
                    </w:r>
                    <w:r w:rsidRPr="001A5A8F">
                      <w:rPr>
                        <w:rFonts w:cs="KFGQPC Uthman Taha Naskh" w:hint="cs"/>
                        <w:b/>
                        <w:bCs/>
                        <w:szCs w:val="24"/>
                        <w:rtl/>
                      </w:rPr>
                      <w:t>اب</w:t>
                    </w:r>
                    <w:r w:rsidRPr="001A5A8F">
                      <w:rPr>
                        <w:rFonts w:cs="KFGQPC Uthman Taha Naskh"/>
                        <w:b/>
                        <w:bCs/>
                        <w:szCs w:val="24"/>
                        <w:rtl/>
                      </w:rPr>
                      <w:t xml:space="preserve"> </w:t>
                    </w:r>
                    <w:r>
                      <w:rPr>
                        <w:rFonts w:cs="KFGQPC Uthman Taha Naskh" w:hint="cs"/>
                        <w:b/>
                        <w:bCs/>
                        <w:szCs w:val="24"/>
                        <w:rtl/>
                      </w:rPr>
                      <w:t>والسن</w:t>
                    </w:r>
                    <w:r w:rsidRPr="001A5A8F">
                      <w:rPr>
                        <w:rFonts w:cs="KFGQPC Uthman Taha Naskh" w:hint="cs"/>
                        <w:b/>
                        <w:bCs/>
                        <w:szCs w:val="24"/>
                        <w:rtl/>
                      </w:rPr>
                      <w:t>ة</w:t>
                    </w:r>
                  </w:p>
                </w:txbxContent>
              </v:textbox>
            </v:shape>
          </w:pict>
        </mc:Fallback>
      </mc:AlternateContent>
    </w:r>
  </w:p>
  <w:p w:rsidR="00B31118" w:rsidRPr="004817E8" w:rsidRDefault="00B31118" w:rsidP="004817E8">
    <w:pPr>
      <w:tabs>
        <w:tab w:val="center" w:pos="4153"/>
        <w:tab w:val="right" w:pos="8306"/>
      </w:tabs>
      <w:rPr>
        <w:rFonts w:eastAsia="MS Mincho" w:cs="B Zar"/>
        <w:sz w:val="2"/>
        <w:szCs w:val="2"/>
      </w:rP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31118" w:rsidRPr="004817E8" w:rsidRDefault="00261222" w:rsidP="004817E8">
    <w:pPr>
      <w:tabs>
        <w:tab w:val="left" w:pos="2984"/>
      </w:tabs>
      <w:ind w:left="284" w:right="284"/>
      <w:rPr>
        <w:rFonts w:cs="B Zar" w:hint="cs"/>
        <w:sz w:val="28"/>
        <w:rtl/>
      </w:rPr>
    </w:pPr>
    <w:r>
      <w:rPr>
        <w:rFonts w:ascii="Times New Roman Bold" w:hAnsi="Times New Roman Bold" w:cs="B Zar" w:hint="cs"/>
        <w:noProof/>
        <w:sz w:val="28"/>
        <w:rtl/>
      </w:rPr>
      <mc:AlternateContent>
        <mc:Choice Requires="wps">
          <w:drawing>
            <wp:anchor distT="0" distB="0" distL="114300" distR="114300" simplePos="0" relativeHeight="251661312" behindDoc="0" locked="0" layoutInCell="1" allowOverlap="1">
              <wp:simplePos x="0" y="0"/>
              <wp:positionH relativeFrom="column">
                <wp:posOffset>127000</wp:posOffset>
              </wp:positionH>
              <wp:positionV relativeFrom="paragraph">
                <wp:posOffset>200660</wp:posOffset>
              </wp:positionV>
              <wp:extent cx="2813685" cy="360680"/>
              <wp:effectExtent l="3175" t="635" r="2540" b="635"/>
              <wp:wrapNone/>
              <wp:docPr id="8"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13685" cy="3606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31118" w:rsidRDefault="00B31118" w:rsidP="00F2006D">
                          <w:pPr>
                            <w:jc w:val="center"/>
                            <w:rPr>
                              <w:rFonts w:hint="cs"/>
                              <w:rtl/>
                            </w:rPr>
                          </w:pPr>
                          <w:r w:rsidRPr="00F2006D">
                            <w:rPr>
                              <w:rFonts w:cs="KFGQPC Uthman Taha Naskh" w:hint="cs"/>
                              <w:b/>
                              <w:bCs/>
                              <w:szCs w:val="24"/>
                              <w:rtl/>
                              <w:lang w:bidi="fa-IR"/>
                            </w:rPr>
                            <w:t>الفصل</w:t>
                          </w:r>
                          <w:r w:rsidRPr="00F2006D">
                            <w:rPr>
                              <w:rFonts w:cs="KFGQPC Uthman Taha Naskh"/>
                              <w:b/>
                              <w:bCs/>
                              <w:szCs w:val="24"/>
                              <w:rtl/>
                              <w:lang w:bidi="fa-IR"/>
                            </w:rPr>
                            <w:t xml:space="preserve"> </w:t>
                          </w:r>
                          <w:r w:rsidRPr="00F2006D">
                            <w:rPr>
                              <w:rFonts w:cs="KFGQPC Uthman Taha Naskh" w:hint="cs"/>
                              <w:b/>
                              <w:bCs/>
                              <w:szCs w:val="24"/>
                              <w:rtl/>
                              <w:lang w:bidi="fa-IR"/>
                            </w:rPr>
                            <w:t>الثاني</w:t>
                          </w:r>
                          <w:r>
                            <w:rPr>
                              <w:rFonts w:cs="KFGQPC Uthman Taha Naskh" w:hint="cs"/>
                              <w:b/>
                              <w:bCs/>
                              <w:szCs w:val="24"/>
                              <w:rtl/>
                            </w:rPr>
                            <w:t xml:space="preserve">: </w:t>
                          </w:r>
                          <w:r w:rsidRPr="00F2006D">
                            <w:rPr>
                              <w:rFonts w:cs="KFGQPC Uthman Taha Naskh" w:hint="cs"/>
                              <w:b/>
                              <w:bCs/>
                              <w:szCs w:val="24"/>
                              <w:rtl/>
                              <w:lang w:bidi="fa-IR"/>
                            </w:rPr>
                            <w:t>استفادة</w:t>
                          </w:r>
                          <w:r w:rsidRPr="00F2006D">
                            <w:rPr>
                              <w:rFonts w:cs="KFGQPC Uthman Taha Naskh"/>
                              <w:b/>
                              <w:bCs/>
                              <w:szCs w:val="24"/>
                              <w:rtl/>
                              <w:lang w:bidi="fa-IR"/>
                            </w:rPr>
                            <w:t xml:space="preserve"> </w:t>
                          </w:r>
                          <w:r w:rsidRPr="00F2006D">
                            <w:rPr>
                              <w:rFonts w:cs="KFGQPC Uthman Taha Naskh" w:hint="cs"/>
                              <w:b/>
                              <w:bCs/>
                              <w:szCs w:val="24"/>
                              <w:rtl/>
                              <w:lang w:bidi="fa-IR"/>
                            </w:rPr>
                            <w:t>النبي</w:t>
                          </w:r>
                          <w:r w:rsidRPr="00F2006D">
                            <w:rPr>
                              <w:rFonts w:cs="CTraditional Arabic" w:hint="cs"/>
                              <w:szCs w:val="24"/>
                              <w:rtl/>
                              <w:lang w:bidi="fa-IR"/>
                            </w:rPr>
                            <w:t>ص</w:t>
                          </w:r>
                          <w:r w:rsidRPr="00F2006D">
                            <w:rPr>
                              <w:rFonts w:cs="KFGQPC Uthman Taha Naskh"/>
                              <w:b/>
                              <w:bCs/>
                              <w:szCs w:val="24"/>
                              <w:rtl/>
                              <w:lang w:bidi="fa-IR"/>
                            </w:rPr>
                            <w:t xml:space="preserve"> </w:t>
                          </w:r>
                          <w:r w:rsidRPr="00F2006D">
                            <w:rPr>
                              <w:rFonts w:cs="KFGQPC Uthman Taha Naskh" w:hint="cs"/>
                              <w:b/>
                              <w:bCs/>
                              <w:szCs w:val="24"/>
                              <w:rtl/>
                              <w:lang w:bidi="fa-IR"/>
                            </w:rPr>
                            <w:t>وأهل</w:t>
                          </w:r>
                          <w:r w:rsidRPr="00F2006D">
                            <w:rPr>
                              <w:rFonts w:cs="KFGQPC Uthman Taha Naskh"/>
                              <w:b/>
                              <w:bCs/>
                              <w:szCs w:val="24"/>
                              <w:rtl/>
                              <w:lang w:bidi="fa-IR"/>
                            </w:rPr>
                            <w:t xml:space="preserve"> </w:t>
                          </w:r>
                          <w:r w:rsidRPr="00F2006D">
                            <w:rPr>
                              <w:rFonts w:cs="KFGQPC Uthman Taha Naskh" w:hint="cs"/>
                              <w:b/>
                              <w:bCs/>
                              <w:szCs w:val="24"/>
                              <w:rtl/>
                              <w:lang w:bidi="fa-IR"/>
                            </w:rPr>
                            <w:t>البيت</w:t>
                          </w:r>
                          <w:r w:rsidRPr="00F2006D">
                            <w:rPr>
                              <w:rFonts w:cs="KFGQPC Uthman Taha Naskh"/>
                              <w:b/>
                              <w:bCs/>
                              <w:szCs w:val="24"/>
                              <w:rtl/>
                              <w:lang w:bidi="fa-IR"/>
                            </w:rPr>
                            <w:t xml:space="preserve"> </w:t>
                          </w:r>
                          <w:r w:rsidRPr="00F2006D">
                            <w:rPr>
                              <w:rFonts w:cs="KFGQPC Uthman Taha Naskh" w:hint="cs"/>
                              <w:b/>
                              <w:bCs/>
                              <w:szCs w:val="24"/>
                              <w:rtl/>
                              <w:lang w:bidi="fa-IR"/>
                            </w:rPr>
                            <w:t>من</w:t>
                          </w:r>
                          <w:r w:rsidRPr="00F2006D">
                            <w:rPr>
                              <w:rFonts w:cs="KFGQPC Uthman Taha Naskh"/>
                              <w:b/>
                              <w:bCs/>
                              <w:szCs w:val="24"/>
                              <w:rtl/>
                              <w:lang w:bidi="fa-IR"/>
                            </w:rPr>
                            <w:t xml:space="preserve"> </w:t>
                          </w:r>
                          <w:r w:rsidRPr="00F2006D">
                            <w:rPr>
                              <w:rFonts w:cs="KFGQPC Uthman Taha Naskh" w:hint="cs"/>
                              <w:b/>
                              <w:bCs/>
                              <w:szCs w:val="24"/>
                              <w:rtl/>
                              <w:lang w:bidi="fa-IR"/>
                            </w:rPr>
                            <w:t>الخمس</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037" type="#_x0000_t202" style="position:absolute;left:0;text-align:left;margin-left:10pt;margin-top:15.8pt;width:221.55pt;height:28.4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" stroked="f">
              <v:textbox>
                <w:txbxContent>
                  <w:p w:rsidR="00B31118" w:rsidRDefault="00B31118" w:rsidP="00F2006D">
                    <w:pPr>
                      <w:jc w:val="center"/>
                      <w:rPr>
                        <w:rFonts w:hint="cs"/>
                        <w:rtl/>
                      </w:rPr>
                    </w:pPr>
                    <w:r w:rsidRPr="00F2006D">
                      <w:rPr>
                        <w:rFonts w:cs="KFGQPC Uthman Taha Naskh" w:hint="cs"/>
                        <w:b/>
                        <w:bCs/>
                        <w:szCs w:val="24"/>
                        <w:rtl/>
                        <w:lang w:bidi="fa-IR"/>
                      </w:rPr>
                      <w:t>الفصل</w:t>
                    </w:r>
                    <w:r w:rsidRPr="00F2006D">
                      <w:rPr>
                        <w:rFonts w:cs="KFGQPC Uthman Taha Naskh"/>
                        <w:b/>
                        <w:bCs/>
                        <w:szCs w:val="24"/>
                        <w:rtl/>
                        <w:lang w:bidi="fa-IR"/>
                      </w:rPr>
                      <w:t xml:space="preserve"> </w:t>
                    </w:r>
                    <w:r w:rsidRPr="00F2006D">
                      <w:rPr>
                        <w:rFonts w:cs="KFGQPC Uthman Taha Naskh" w:hint="cs"/>
                        <w:b/>
                        <w:bCs/>
                        <w:szCs w:val="24"/>
                        <w:rtl/>
                        <w:lang w:bidi="fa-IR"/>
                      </w:rPr>
                      <w:t>الثاني</w:t>
                    </w:r>
                    <w:r>
                      <w:rPr>
                        <w:rFonts w:cs="KFGQPC Uthman Taha Naskh" w:hint="cs"/>
                        <w:b/>
                        <w:bCs/>
                        <w:szCs w:val="24"/>
                        <w:rtl/>
                      </w:rPr>
                      <w:t xml:space="preserve">: </w:t>
                    </w:r>
                    <w:r w:rsidRPr="00F2006D">
                      <w:rPr>
                        <w:rFonts w:cs="KFGQPC Uthman Taha Naskh" w:hint="cs"/>
                        <w:b/>
                        <w:bCs/>
                        <w:szCs w:val="24"/>
                        <w:rtl/>
                        <w:lang w:bidi="fa-IR"/>
                      </w:rPr>
                      <w:t>استفادة</w:t>
                    </w:r>
                    <w:r w:rsidRPr="00F2006D">
                      <w:rPr>
                        <w:rFonts w:cs="KFGQPC Uthman Taha Naskh"/>
                        <w:b/>
                        <w:bCs/>
                        <w:szCs w:val="24"/>
                        <w:rtl/>
                        <w:lang w:bidi="fa-IR"/>
                      </w:rPr>
                      <w:t xml:space="preserve"> </w:t>
                    </w:r>
                    <w:r w:rsidRPr="00F2006D">
                      <w:rPr>
                        <w:rFonts w:cs="KFGQPC Uthman Taha Naskh" w:hint="cs"/>
                        <w:b/>
                        <w:bCs/>
                        <w:szCs w:val="24"/>
                        <w:rtl/>
                        <w:lang w:bidi="fa-IR"/>
                      </w:rPr>
                      <w:t>النبي</w:t>
                    </w:r>
                    <w:r w:rsidRPr="00F2006D">
                      <w:rPr>
                        <w:rFonts w:cs="CTraditional Arabic" w:hint="cs"/>
                        <w:szCs w:val="24"/>
                        <w:rtl/>
                        <w:lang w:bidi="fa-IR"/>
                      </w:rPr>
                      <w:t>ص</w:t>
                    </w:r>
                    <w:r w:rsidRPr="00F2006D">
                      <w:rPr>
                        <w:rFonts w:cs="KFGQPC Uthman Taha Naskh"/>
                        <w:b/>
                        <w:bCs/>
                        <w:szCs w:val="24"/>
                        <w:rtl/>
                        <w:lang w:bidi="fa-IR"/>
                      </w:rPr>
                      <w:t xml:space="preserve"> </w:t>
                    </w:r>
                    <w:r w:rsidRPr="00F2006D">
                      <w:rPr>
                        <w:rFonts w:cs="KFGQPC Uthman Taha Naskh" w:hint="cs"/>
                        <w:b/>
                        <w:bCs/>
                        <w:szCs w:val="24"/>
                        <w:rtl/>
                        <w:lang w:bidi="fa-IR"/>
                      </w:rPr>
                      <w:t>وأهل</w:t>
                    </w:r>
                    <w:r w:rsidRPr="00F2006D">
                      <w:rPr>
                        <w:rFonts w:cs="KFGQPC Uthman Taha Naskh"/>
                        <w:b/>
                        <w:bCs/>
                        <w:szCs w:val="24"/>
                        <w:rtl/>
                        <w:lang w:bidi="fa-IR"/>
                      </w:rPr>
                      <w:t xml:space="preserve"> </w:t>
                    </w:r>
                    <w:r w:rsidRPr="00F2006D">
                      <w:rPr>
                        <w:rFonts w:cs="KFGQPC Uthman Taha Naskh" w:hint="cs"/>
                        <w:b/>
                        <w:bCs/>
                        <w:szCs w:val="24"/>
                        <w:rtl/>
                        <w:lang w:bidi="fa-IR"/>
                      </w:rPr>
                      <w:t>البيت</w:t>
                    </w:r>
                    <w:r w:rsidRPr="00F2006D">
                      <w:rPr>
                        <w:rFonts w:cs="KFGQPC Uthman Taha Naskh"/>
                        <w:b/>
                        <w:bCs/>
                        <w:szCs w:val="24"/>
                        <w:rtl/>
                        <w:lang w:bidi="fa-IR"/>
                      </w:rPr>
                      <w:t xml:space="preserve"> </w:t>
                    </w:r>
                    <w:r w:rsidRPr="00F2006D">
                      <w:rPr>
                        <w:rFonts w:cs="KFGQPC Uthman Taha Naskh" w:hint="cs"/>
                        <w:b/>
                        <w:bCs/>
                        <w:szCs w:val="24"/>
                        <w:rtl/>
                        <w:lang w:bidi="fa-IR"/>
                      </w:rPr>
                      <w:t>من</w:t>
                    </w:r>
                    <w:r w:rsidRPr="00F2006D">
                      <w:rPr>
                        <w:rFonts w:cs="KFGQPC Uthman Taha Naskh"/>
                        <w:b/>
                        <w:bCs/>
                        <w:szCs w:val="24"/>
                        <w:rtl/>
                        <w:lang w:bidi="fa-IR"/>
                      </w:rPr>
                      <w:t xml:space="preserve"> </w:t>
                    </w:r>
                    <w:r w:rsidRPr="00F2006D">
                      <w:rPr>
                        <w:rFonts w:cs="KFGQPC Uthman Taha Naskh" w:hint="cs"/>
                        <w:b/>
                        <w:bCs/>
                        <w:szCs w:val="24"/>
                        <w:rtl/>
                        <w:lang w:bidi="fa-IR"/>
                      </w:rPr>
                      <w:t>الخمس</w:t>
                    </w:r>
                  </w:p>
                </w:txbxContent>
              </v:textbox>
            </v:shape>
          </w:pict>
        </mc:Fallback>
      </mc:AlternateContent>
    </w:r>
    <w:r>
      <w:rPr>
        <w:rFonts w:cs="B Titr" w:hint="cs"/>
        <w:noProof/>
        <w:sz w:val="28"/>
        <w:szCs w:val="24"/>
        <w:rtl/>
      </w:rPr>
      <w:drawing>
        <wp:anchor distT="0" distB="0" distL="114300" distR="114300" simplePos="0" relativeHeight="251660288" behindDoc="1" locked="0" layoutInCell="1" allowOverlap="1">
          <wp:simplePos x="0" y="0"/>
          <wp:positionH relativeFrom="column">
            <wp:posOffset>-606425</wp:posOffset>
          </wp:positionH>
          <wp:positionV relativeFrom="paragraph">
            <wp:posOffset>-104775</wp:posOffset>
          </wp:positionV>
          <wp:extent cx="6109335" cy="8801735"/>
          <wp:effectExtent l="0" t="0" r="5715" b="0"/>
          <wp:wrapNone/>
          <wp:docPr id="29" name="Picture 29" descr="Untitled-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9" descr="Untitled-2"/>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09335" cy="8801735"/>
                  </a:xfrm>
                  <a:prstGeom prst="rect">
                    <a:avLst/>
                  </a:prstGeom>
                  <a:noFill/>
                  <a:ln>
                    <a:noFill/>
                  </a:ln>
                </pic:spPr>
              </pic:pic>
            </a:graphicData>
          </a:graphic>
          <wp14:sizeRelH relativeFrom="page">
            <wp14:pctWidth>0</wp14:pctWidth>
          </wp14:sizeRelH>
          <wp14:sizeRelV relativeFrom="page">
            <wp14:pctHeight>0</wp14:pctHeight>
          </wp14:sizeRelV>
        </wp:anchor>
      </w:drawing>
    </w:r>
    <w:r w:rsidR="00B31118" w:rsidRPr="004817E8">
      <w:rPr>
        <w:rFonts w:cs="B Zar"/>
        <w:sz w:val="28"/>
        <w:rtl/>
      </w:rPr>
      <w:tab/>
    </w:r>
  </w:p>
  <w:p w:rsidR="00B31118" w:rsidRPr="004817E8" w:rsidRDefault="00B31118" w:rsidP="004817E8">
    <w:pPr>
      <w:pStyle w:val="Heade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31118" w:rsidRPr="004817E8" w:rsidRDefault="00261222" w:rsidP="004817E8">
    <w:pPr>
      <w:tabs>
        <w:tab w:val="left" w:pos="2984"/>
      </w:tabs>
      <w:ind w:left="284" w:right="284"/>
      <w:rPr>
        <w:rFonts w:cs="B Zar" w:hint="cs"/>
        <w:sz w:val="28"/>
        <w:rtl/>
      </w:rPr>
    </w:pPr>
    <w:r>
      <w:rPr>
        <w:rFonts w:ascii="Times New Roman Bold" w:hAnsi="Times New Roman Bold" w:cs="B Zar" w:hint="cs"/>
        <w:noProof/>
        <w:sz w:val="28"/>
        <w:rtl/>
      </w:rPr>
      <mc:AlternateContent>
        <mc:Choice Requires="wps">
          <w:drawing>
            <wp:anchor distT="0" distB="0" distL="114300" distR="114300" simplePos="0" relativeHeight="251663360" behindDoc="0" locked="0" layoutInCell="1" allowOverlap="1">
              <wp:simplePos x="0" y="0"/>
              <wp:positionH relativeFrom="column">
                <wp:posOffset>127000</wp:posOffset>
              </wp:positionH>
              <wp:positionV relativeFrom="paragraph">
                <wp:posOffset>200660</wp:posOffset>
              </wp:positionV>
              <wp:extent cx="2756535" cy="360680"/>
              <wp:effectExtent l="3175" t="635" r="2540" b="635"/>
              <wp:wrapNone/>
              <wp:docPr id="7"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56535" cy="3606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31118" w:rsidRDefault="00B31118" w:rsidP="00F2006D">
                          <w:pPr>
                            <w:jc w:val="center"/>
                            <w:rPr>
                              <w:rFonts w:hint="cs"/>
                              <w:rtl/>
                            </w:rPr>
                          </w:pPr>
                          <w:r w:rsidRPr="00F2006D">
                            <w:rPr>
                              <w:rFonts w:cs="KFGQPC Uthman Taha Naskh" w:hint="cs"/>
                              <w:b/>
                              <w:bCs/>
                              <w:szCs w:val="24"/>
                              <w:rtl/>
                              <w:lang w:bidi="fa-IR"/>
                            </w:rPr>
                            <w:t>الفصل</w:t>
                          </w:r>
                          <w:r w:rsidRPr="00F2006D">
                            <w:rPr>
                              <w:rFonts w:cs="KFGQPC Uthman Taha Naskh"/>
                              <w:b/>
                              <w:bCs/>
                              <w:szCs w:val="24"/>
                              <w:rtl/>
                              <w:lang w:bidi="fa-IR"/>
                            </w:rPr>
                            <w:t xml:space="preserve"> </w:t>
                          </w:r>
                          <w:r w:rsidRPr="00F2006D">
                            <w:rPr>
                              <w:rFonts w:cs="KFGQPC Uthman Taha Naskh" w:hint="cs"/>
                              <w:b/>
                              <w:bCs/>
                              <w:szCs w:val="24"/>
                              <w:rtl/>
                              <w:lang w:bidi="fa-IR"/>
                            </w:rPr>
                            <w:t>الثالث</w:t>
                          </w:r>
                          <w:r>
                            <w:rPr>
                              <w:rFonts w:cs="KFGQPC Uthman Taha Naskh" w:hint="cs"/>
                              <w:b/>
                              <w:bCs/>
                              <w:szCs w:val="24"/>
                              <w:rtl/>
                            </w:rPr>
                            <w:t xml:space="preserve">: </w:t>
                          </w:r>
                          <w:r w:rsidRPr="00F2006D">
                            <w:rPr>
                              <w:rFonts w:cs="KFGQPC Uthman Taha Naskh" w:hint="cs"/>
                              <w:b/>
                              <w:bCs/>
                              <w:szCs w:val="24"/>
                              <w:rtl/>
                              <w:lang w:bidi="fa-IR"/>
                            </w:rPr>
                            <w:t>استفادة</w:t>
                          </w:r>
                          <w:r w:rsidRPr="00F2006D">
                            <w:rPr>
                              <w:rFonts w:cs="KFGQPC Uthman Taha Naskh"/>
                              <w:b/>
                              <w:bCs/>
                              <w:szCs w:val="24"/>
                              <w:rtl/>
                              <w:lang w:bidi="fa-IR"/>
                            </w:rPr>
                            <w:t xml:space="preserve"> </w:t>
                          </w:r>
                          <w:r w:rsidRPr="00F2006D">
                            <w:rPr>
                              <w:rFonts w:cs="KFGQPC Uthman Taha Naskh" w:hint="cs"/>
                              <w:b/>
                              <w:bCs/>
                              <w:szCs w:val="24"/>
                              <w:rtl/>
                              <w:lang w:bidi="fa-IR"/>
                            </w:rPr>
                            <w:t>أهل</w:t>
                          </w:r>
                          <w:r w:rsidRPr="00F2006D">
                            <w:rPr>
                              <w:rFonts w:cs="KFGQPC Uthman Taha Naskh"/>
                              <w:b/>
                              <w:bCs/>
                              <w:szCs w:val="24"/>
                              <w:rtl/>
                              <w:lang w:bidi="fa-IR"/>
                            </w:rPr>
                            <w:t xml:space="preserve"> </w:t>
                          </w:r>
                          <w:r w:rsidRPr="00F2006D">
                            <w:rPr>
                              <w:rFonts w:cs="KFGQPC Uthman Taha Naskh" w:hint="cs"/>
                              <w:b/>
                              <w:bCs/>
                              <w:szCs w:val="24"/>
                              <w:rtl/>
                              <w:lang w:bidi="fa-IR"/>
                            </w:rPr>
                            <w:t>البيت</w:t>
                          </w:r>
                          <w:r w:rsidRPr="00F2006D">
                            <w:rPr>
                              <w:rFonts w:cs="KFGQPC Uthman Taha Naskh"/>
                              <w:b/>
                              <w:bCs/>
                              <w:szCs w:val="24"/>
                              <w:rtl/>
                              <w:lang w:bidi="fa-IR"/>
                            </w:rPr>
                            <w:t xml:space="preserve"> </w:t>
                          </w:r>
                          <w:r w:rsidRPr="00F2006D">
                            <w:rPr>
                              <w:rFonts w:cs="KFGQPC Uthman Taha Naskh" w:hint="cs"/>
                              <w:b/>
                              <w:bCs/>
                              <w:szCs w:val="24"/>
                              <w:rtl/>
                              <w:lang w:bidi="fa-IR"/>
                            </w:rPr>
                            <w:t>من</w:t>
                          </w:r>
                          <w:r w:rsidRPr="00F2006D">
                            <w:rPr>
                              <w:rFonts w:cs="KFGQPC Uthman Taha Naskh"/>
                              <w:b/>
                              <w:bCs/>
                              <w:szCs w:val="24"/>
                              <w:rtl/>
                              <w:lang w:bidi="fa-IR"/>
                            </w:rPr>
                            <w:t xml:space="preserve"> </w:t>
                          </w:r>
                          <w:r w:rsidRPr="00F2006D">
                            <w:rPr>
                              <w:rFonts w:cs="KFGQPC Uthman Taha Naskh" w:hint="cs"/>
                              <w:b/>
                              <w:bCs/>
                              <w:szCs w:val="24"/>
                              <w:rtl/>
                              <w:lang w:bidi="fa-IR"/>
                            </w:rPr>
                            <w:t>الزكاة</w:t>
                          </w:r>
                          <w:r w:rsidRPr="00F2006D">
                            <w:rPr>
                              <w:rFonts w:cs="KFGQPC Uthman Taha Naskh"/>
                              <w:b/>
                              <w:bCs/>
                              <w:szCs w:val="24"/>
                              <w:rtl/>
                              <w:lang w:bidi="fa-IR"/>
                            </w:rPr>
                            <w:t xml:space="preserve"> </w:t>
                          </w:r>
                          <w:r w:rsidRPr="00F2006D">
                            <w:rPr>
                              <w:rFonts w:cs="KFGQPC Uthman Taha Naskh" w:hint="cs"/>
                              <w:b/>
                              <w:bCs/>
                              <w:szCs w:val="24"/>
                              <w:rtl/>
                              <w:lang w:bidi="fa-IR"/>
                            </w:rPr>
                            <w:t>والصدقات</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2" o:spid="_x0000_s1038" type="#_x0000_t202" style="position:absolute;left:0;text-align:left;margin-left:10pt;margin-top:15.8pt;width:217.05pt;height:28.4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" stroked="f">
              <v:textbox>
                <w:txbxContent>
                  <w:p w:rsidR="00B31118" w:rsidRDefault="00B31118" w:rsidP="00F2006D">
                    <w:pPr>
                      <w:jc w:val="center"/>
                      <w:rPr>
                        <w:rFonts w:hint="cs"/>
                        <w:rtl/>
                      </w:rPr>
                    </w:pPr>
                    <w:r w:rsidRPr="00F2006D">
                      <w:rPr>
                        <w:rFonts w:cs="KFGQPC Uthman Taha Naskh" w:hint="cs"/>
                        <w:b/>
                        <w:bCs/>
                        <w:szCs w:val="24"/>
                        <w:rtl/>
                        <w:lang w:bidi="fa-IR"/>
                      </w:rPr>
                      <w:t>الفصل</w:t>
                    </w:r>
                    <w:r w:rsidRPr="00F2006D">
                      <w:rPr>
                        <w:rFonts w:cs="KFGQPC Uthman Taha Naskh"/>
                        <w:b/>
                        <w:bCs/>
                        <w:szCs w:val="24"/>
                        <w:rtl/>
                        <w:lang w:bidi="fa-IR"/>
                      </w:rPr>
                      <w:t xml:space="preserve"> </w:t>
                    </w:r>
                    <w:r w:rsidRPr="00F2006D">
                      <w:rPr>
                        <w:rFonts w:cs="KFGQPC Uthman Taha Naskh" w:hint="cs"/>
                        <w:b/>
                        <w:bCs/>
                        <w:szCs w:val="24"/>
                        <w:rtl/>
                        <w:lang w:bidi="fa-IR"/>
                      </w:rPr>
                      <w:t>الثالث</w:t>
                    </w:r>
                    <w:r>
                      <w:rPr>
                        <w:rFonts w:cs="KFGQPC Uthman Taha Naskh" w:hint="cs"/>
                        <w:b/>
                        <w:bCs/>
                        <w:szCs w:val="24"/>
                        <w:rtl/>
                      </w:rPr>
                      <w:t xml:space="preserve">: </w:t>
                    </w:r>
                    <w:r w:rsidRPr="00F2006D">
                      <w:rPr>
                        <w:rFonts w:cs="KFGQPC Uthman Taha Naskh" w:hint="cs"/>
                        <w:b/>
                        <w:bCs/>
                        <w:szCs w:val="24"/>
                        <w:rtl/>
                        <w:lang w:bidi="fa-IR"/>
                      </w:rPr>
                      <w:t>استفادة</w:t>
                    </w:r>
                    <w:r w:rsidRPr="00F2006D">
                      <w:rPr>
                        <w:rFonts w:cs="KFGQPC Uthman Taha Naskh"/>
                        <w:b/>
                        <w:bCs/>
                        <w:szCs w:val="24"/>
                        <w:rtl/>
                        <w:lang w:bidi="fa-IR"/>
                      </w:rPr>
                      <w:t xml:space="preserve"> </w:t>
                    </w:r>
                    <w:r w:rsidRPr="00F2006D">
                      <w:rPr>
                        <w:rFonts w:cs="KFGQPC Uthman Taha Naskh" w:hint="cs"/>
                        <w:b/>
                        <w:bCs/>
                        <w:szCs w:val="24"/>
                        <w:rtl/>
                        <w:lang w:bidi="fa-IR"/>
                      </w:rPr>
                      <w:t>أهل</w:t>
                    </w:r>
                    <w:r w:rsidRPr="00F2006D">
                      <w:rPr>
                        <w:rFonts w:cs="KFGQPC Uthman Taha Naskh"/>
                        <w:b/>
                        <w:bCs/>
                        <w:szCs w:val="24"/>
                        <w:rtl/>
                        <w:lang w:bidi="fa-IR"/>
                      </w:rPr>
                      <w:t xml:space="preserve"> </w:t>
                    </w:r>
                    <w:r w:rsidRPr="00F2006D">
                      <w:rPr>
                        <w:rFonts w:cs="KFGQPC Uthman Taha Naskh" w:hint="cs"/>
                        <w:b/>
                        <w:bCs/>
                        <w:szCs w:val="24"/>
                        <w:rtl/>
                        <w:lang w:bidi="fa-IR"/>
                      </w:rPr>
                      <w:t>البيت</w:t>
                    </w:r>
                    <w:r w:rsidRPr="00F2006D">
                      <w:rPr>
                        <w:rFonts w:cs="KFGQPC Uthman Taha Naskh"/>
                        <w:b/>
                        <w:bCs/>
                        <w:szCs w:val="24"/>
                        <w:rtl/>
                        <w:lang w:bidi="fa-IR"/>
                      </w:rPr>
                      <w:t xml:space="preserve"> </w:t>
                    </w:r>
                    <w:r w:rsidRPr="00F2006D">
                      <w:rPr>
                        <w:rFonts w:cs="KFGQPC Uthman Taha Naskh" w:hint="cs"/>
                        <w:b/>
                        <w:bCs/>
                        <w:szCs w:val="24"/>
                        <w:rtl/>
                        <w:lang w:bidi="fa-IR"/>
                      </w:rPr>
                      <w:t>من</w:t>
                    </w:r>
                    <w:r w:rsidRPr="00F2006D">
                      <w:rPr>
                        <w:rFonts w:cs="KFGQPC Uthman Taha Naskh"/>
                        <w:b/>
                        <w:bCs/>
                        <w:szCs w:val="24"/>
                        <w:rtl/>
                        <w:lang w:bidi="fa-IR"/>
                      </w:rPr>
                      <w:t xml:space="preserve"> </w:t>
                    </w:r>
                    <w:r w:rsidRPr="00F2006D">
                      <w:rPr>
                        <w:rFonts w:cs="KFGQPC Uthman Taha Naskh" w:hint="cs"/>
                        <w:b/>
                        <w:bCs/>
                        <w:szCs w:val="24"/>
                        <w:rtl/>
                        <w:lang w:bidi="fa-IR"/>
                      </w:rPr>
                      <w:t>الزكاة</w:t>
                    </w:r>
                    <w:r w:rsidRPr="00F2006D">
                      <w:rPr>
                        <w:rFonts w:cs="KFGQPC Uthman Taha Naskh"/>
                        <w:b/>
                        <w:bCs/>
                        <w:szCs w:val="24"/>
                        <w:rtl/>
                        <w:lang w:bidi="fa-IR"/>
                      </w:rPr>
                      <w:t xml:space="preserve"> </w:t>
                    </w:r>
                    <w:r w:rsidRPr="00F2006D">
                      <w:rPr>
                        <w:rFonts w:cs="KFGQPC Uthman Taha Naskh" w:hint="cs"/>
                        <w:b/>
                        <w:bCs/>
                        <w:szCs w:val="24"/>
                        <w:rtl/>
                        <w:lang w:bidi="fa-IR"/>
                      </w:rPr>
                      <w:t>والصدقات</w:t>
                    </w:r>
                  </w:p>
                </w:txbxContent>
              </v:textbox>
            </v:shape>
          </w:pict>
        </mc:Fallback>
      </mc:AlternateContent>
    </w:r>
    <w:r>
      <w:rPr>
        <w:rFonts w:cs="B Titr" w:hint="cs"/>
        <w:noProof/>
        <w:sz w:val="28"/>
        <w:szCs w:val="24"/>
        <w:rtl/>
      </w:rPr>
      <w:drawing>
        <wp:anchor distT="0" distB="0" distL="114300" distR="114300" simplePos="0" relativeHeight="251662336" behindDoc="1" locked="0" layoutInCell="1" allowOverlap="1">
          <wp:simplePos x="0" y="0"/>
          <wp:positionH relativeFrom="column">
            <wp:posOffset>-606425</wp:posOffset>
          </wp:positionH>
          <wp:positionV relativeFrom="paragraph">
            <wp:posOffset>-104775</wp:posOffset>
          </wp:positionV>
          <wp:extent cx="6109335" cy="8801735"/>
          <wp:effectExtent l="0" t="0" r="5715" b="0"/>
          <wp:wrapNone/>
          <wp:docPr id="31" name="Picture 31" descr="Untitled-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1" descr="Untitled-2"/>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09335" cy="8801735"/>
                  </a:xfrm>
                  <a:prstGeom prst="rect">
                    <a:avLst/>
                  </a:prstGeom>
                  <a:noFill/>
                  <a:ln>
                    <a:noFill/>
                  </a:ln>
                </pic:spPr>
              </pic:pic>
            </a:graphicData>
          </a:graphic>
          <wp14:sizeRelH relativeFrom="page">
            <wp14:pctWidth>0</wp14:pctWidth>
          </wp14:sizeRelH>
          <wp14:sizeRelV relativeFrom="page">
            <wp14:pctHeight>0</wp14:pctHeight>
          </wp14:sizeRelV>
        </wp:anchor>
      </w:drawing>
    </w:r>
    <w:r w:rsidR="00B31118" w:rsidRPr="004817E8">
      <w:rPr>
        <w:rFonts w:cs="B Zar"/>
        <w:sz w:val="28"/>
        <w:rtl/>
      </w:rPr>
      <w:tab/>
    </w:r>
  </w:p>
  <w:p w:rsidR="00B31118" w:rsidRPr="004817E8" w:rsidRDefault="00B31118" w:rsidP="004817E8">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31118" w:rsidRPr="004817E8" w:rsidRDefault="00261222" w:rsidP="004817E8">
    <w:pPr>
      <w:tabs>
        <w:tab w:val="left" w:pos="2984"/>
      </w:tabs>
      <w:ind w:left="284" w:right="284"/>
      <w:rPr>
        <w:rFonts w:cs="B Zar" w:hint="cs"/>
        <w:sz w:val="28"/>
        <w:rtl/>
      </w:rPr>
    </w:pPr>
    <w:r>
      <w:rPr>
        <w:rFonts w:ascii="Times New Roman Bold" w:hAnsi="Times New Roman Bold" w:cs="B Zar" w:hint="cs"/>
        <w:noProof/>
        <w:sz w:val="28"/>
        <w:rtl/>
      </w:rPr>
      <mc:AlternateContent>
        <mc:Choice Requires="wps">
          <w:drawing>
            <wp:anchor distT="0" distB="0" distL="114300" distR="114300" simplePos="0" relativeHeight="251665408" behindDoc="0" locked="0" layoutInCell="1" allowOverlap="1">
              <wp:simplePos x="0" y="0"/>
              <wp:positionH relativeFrom="column">
                <wp:posOffset>127000</wp:posOffset>
              </wp:positionH>
              <wp:positionV relativeFrom="paragraph">
                <wp:posOffset>200660</wp:posOffset>
              </wp:positionV>
              <wp:extent cx="2223135" cy="360680"/>
              <wp:effectExtent l="3175" t="635" r="2540" b="635"/>
              <wp:wrapNone/>
              <wp:docPr id="6"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3135" cy="3606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31118" w:rsidRDefault="00B31118" w:rsidP="00F2006D">
                          <w:pPr>
                            <w:jc w:val="center"/>
                            <w:rPr>
                              <w:rFonts w:hint="cs"/>
                              <w:rtl/>
                            </w:rPr>
                          </w:pPr>
                          <w:r w:rsidRPr="00F2006D">
                            <w:rPr>
                              <w:rFonts w:cs="KFGQPC Uthman Taha Naskh" w:hint="cs"/>
                              <w:b/>
                              <w:bCs/>
                              <w:szCs w:val="24"/>
                              <w:rtl/>
                              <w:lang w:bidi="fa-IR"/>
                            </w:rPr>
                            <w:t>الفصل</w:t>
                          </w:r>
                          <w:r w:rsidRPr="00F2006D">
                            <w:rPr>
                              <w:rFonts w:cs="KFGQPC Uthman Taha Naskh"/>
                              <w:b/>
                              <w:bCs/>
                              <w:szCs w:val="24"/>
                              <w:rtl/>
                              <w:lang w:bidi="fa-IR"/>
                            </w:rPr>
                            <w:t xml:space="preserve"> </w:t>
                          </w:r>
                          <w:r w:rsidRPr="00F2006D">
                            <w:rPr>
                              <w:rFonts w:cs="KFGQPC Uthman Taha Naskh" w:hint="cs"/>
                              <w:b/>
                              <w:bCs/>
                              <w:szCs w:val="24"/>
                              <w:rtl/>
                              <w:lang w:bidi="fa-IR"/>
                            </w:rPr>
                            <w:t>الرابع</w:t>
                          </w:r>
                          <w:r>
                            <w:rPr>
                              <w:rFonts w:cs="KFGQPC Uthman Taha Naskh" w:hint="cs"/>
                              <w:b/>
                              <w:bCs/>
                              <w:szCs w:val="24"/>
                              <w:rtl/>
                            </w:rPr>
                            <w:t xml:space="preserve">: </w:t>
                          </w:r>
                          <w:r w:rsidRPr="00F2006D">
                            <w:rPr>
                              <w:rFonts w:cs="KFGQPC Uthman Taha Naskh" w:hint="cs"/>
                              <w:b/>
                              <w:bCs/>
                              <w:szCs w:val="24"/>
                              <w:rtl/>
                              <w:lang w:bidi="fa-IR"/>
                            </w:rPr>
                            <w:t>رسالة</w:t>
                          </w:r>
                          <w:r w:rsidRPr="00F2006D">
                            <w:rPr>
                              <w:rFonts w:cs="KFGQPC Uthman Taha Naskh"/>
                              <w:b/>
                              <w:bCs/>
                              <w:szCs w:val="24"/>
                              <w:rtl/>
                              <w:lang w:bidi="fa-IR"/>
                            </w:rPr>
                            <w:t xml:space="preserve"> </w:t>
                          </w:r>
                          <w:r w:rsidRPr="00F2006D">
                            <w:rPr>
                              <w:rFonts w:cs="KFGQPC Uthman Taha Naskh" w:hint="cs"/>
                              <w:b/>
                              <w:bCs/>
                              <w:szCs w:val="24"/>
                              <w:rtl/>
                              <w:lang w:bidi="fa-IR"/>
                            </w:rPr>
                            <w:t>معنوية</w:t>
                          </w:r>
                          <w:r w:rsidRPr="00F2006D">
                            <w:rPr>
                              <w:rFonts w:cs="KFGQPC Uthman Taha Naskh"/>
                              <w:b/>
                              <w:bCs/>
                              <w:szCs w:val="24"/>
                              <w:rtl/>
                              <w:lang w:bidi="fa-IR"/>
                            </w:rPr>
                            <w:t xml:space="preserve"> </w:t>
                          </w:r>
                          <w:r w:rsidRPr="00F2006D">
                            <w:rPr>
                              <w:rFonts w:cs="KFGQPC Uthman Taha Naskh" w:hint="cs"/>
                              <w:b/>
                              <w:bCs/>
                              <w:szCs w:val="24"/>
                              <w:rtl/>
                              <w:lang w:bidi="fa-IR"/>
                            </w:rPr>
                            <w:t>أم</w:t>
                          </w:r>
                          <w:r w:rsidRPr="00F2006D">
                            <w:rPr>
                              <w:rFonts w:cs="KFGQPC Uthman Taha Naskh"/>
                              <w:b/>
                              <w:bCs/>
                              <w:szCs w:val="24"/>
                              <w:rtl/>
                              <w:lang w:bidi="fa-IR"/>
                            </w:rPr>
                            <w:t xml:space="preserve"> </w:t>
                          </w:r>
                          <w:r w:rsidRPr="00F2006D">
                            <w:rPr>
                              <w:rFonts w:cs="KFGQPC Uthman Taha Naskh" w:hint="cs"/>
                              <w:b/>
                              <w:bCs/>
                              <w:szCs w:val="24"/>
                              <w:rtl/>
                              <w:lang w:bidi="fa-IR"/>
                            </w:rPr>
                            <w:t>رعاية</w:t>
                          </w:r>
                          <w:r w:rsidRPr="00F2006D">
                            <w:rPr>
                              <w:rFonts w:cs="KFGQPC Uthman Taha Naskh"/>
                              <w:b/>
                              <w:bCs/>
                              <w:szCs w:val="24"/>
                              <w:rtl/>
                              <w:lang w:bidi="fa-IR"/>
                            </w:rPr>
                            <w:t xml:space="preserve"> </w:t>
                          </w:r>
                          <w:r w:rsidRPr="00F2006D">
                            <w:rPr>
                              <w:rFonts w:cs="KFGQPC Uthman Taha Naskh" w:hint="cs"/>
                              <w:b/>
                              <w:bCs/>
                              <w:szCs w:val="24"/>
                              <w:rtl/>
                              <w:lang w:bidi="fa-IR"/>
                            </w:rPr>
                            <w:t>مادية</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4" o:spid="_x0000_s1039" type="#_x0000_t202" style="position:absolute;left:0;text-align:left;margin-left:10pt;margin-top:15.8pt;width:175.05pt;height:28.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" stroked="f">
              <v:textbox>
                <w:txbxContent>
                  <w:p w:rsidR="00B31118" w:rsidRDefault="00B31118" w:rsidP="00F2006D">
                    <w:pPr>
                      <w:jc w:val="center"/>
                      <w:rPr>
                        <w:rFonts w:hint="cs"/>
                        <w:rtl/>
                      </w:rPr>
                    </w:pPr>
                    <w:r w:rsidRPr="00F2006D">
                      <w:rPr>
                        <w:rFonts w:cs="KFGQPC Uthman Taha Naskh" w:hint="cs"/>
                        <w:b/>
                        <w:bCs/>
                        <w:szCs w:val="24"/>
                        <w:rtl/>
                        <w:lang w:bidi="fa-IR"/>
                      </w:rPr>
                      <w:t>الفصل</w:t>
                    </w:r>
                    <w:r w:rsidRPr="00F2006D">
                      <w:rPr>
                        <w:rFonts w:cs="KFGQPC Uthman Taha Naskh"/>
                        <w:b/>
                        <w:bCs/>
                        <w:szCs w:val="24"/>
                        <w:rtl/>
                        <w:lang w:bidi="fa-IR"/>
                      </w:rPr>
                      <w:t xml:space="preserve"> </w:t>
                    </w:r>
                    <w:r w:rsidRPr="00F2006D">
                      <w:rPr>
                        <w:rFonts w:cs="KFGQPC Uthman Taha Naskh" w:hint="cs"/>
                        <w:b/>
                        <w:bCs/>
                        <w:szCs w:val="24"/>
                        <w:rtl/>
                        <w:lang w:bidi="fa-IR"/>
                      </w:rPr>
                      <w:t>الرابع</w:t>
                    </w:r>
                    <w:r>
                      <w:rPr>
                        <w:rFonts w:cs="KFGQPC Uthman Taha Naskh" w:hint="cs"/>
                        <w:b/>
                        <w:bCs/>
                        <w:szCs w:val="24"/>
                        <w:rtl/>
                      </w:rPr>
                      <w:t xml:space="preserve">: </w:t>
                    </w:r>
                    <w:r w:rsidRPr="00F2006D">
                      <w:rPr>
                        <w:rFonts w:cs="KFGQPC Uthman Taha Naskh" w:hint="cs"/>
                        <w:b/>
                        <w:bCs/>
                        <w:szCs w:val="24"/>
                        <w:rtl/>
                        <w:lang w:bidi="fa-IR"/>
                      </w:rPr>
                      <w:t>رسالة</w:t>
                    </w:r>
                    <w:r w:rsidRPr="00F2006D">
                      <w:rPr>
                        <w:rFonts w:cs="KFGQPC Uthman Taha Naskh"/>
                        <w:b/>
                        <w:bCs/>
                        <w:szCs w:val="24"/>
                        <w:rtl/>
                        <w:lang w:bidi="fa-IR"/>
                      </w:rPr>
                      <w:t xml:space="preserve"> </w:t>
                    </w:r>
                    <w:r w:rsidRPr="00F2006D">
                      <w:rPr>
                        <w:rFonts w:cs="KFGQPC Uthman Taha Naskh" w:hint="cs"/>
                        <w:b/>
                        <w:bCs/>
                        <w:szCs w:val="24"/>
                        <w:rtl/>
                        <w:lang w:bidi="fa-IR"/>
                      </w:rPr>
                      <w:t>معنوية</w:t>
                    </w:r>
                    <w:r w:rsidRPr="00F2006D">
                      <w:rPr>
                        <w:rFonts w:cs="KFGQPC Uthman Taha Naskh"/>
                        <w:b/>
                        <w:bCs/>
                        <w:szCs w:val="24"/>
                        <w:rtl/>
                        <w:lang w:bidi="fa-IR"/>
                      </w:rPr>
                      <w:t xml:space="preserve"> </w:t>
                    </w:r>
                    <w:r w:rsidRPr="00F2006D">
                      <w:rPr>
                        <w:rFonts w:cs="KFGQPC Uthman Taha Naskh" w:hint="cs"/>
                        <w:b/>
                        <w:bCs/>
                        <w:szCs w:val="24"/>
                        <w:rtl/>
                        <w:lang w:bidi="fa-IR"/>
                      </w:rPr>
                      <w:t>أم</w:t>
                    </w:r>
                    <w:r w:rsidRPr="00F2006D">
                      <w:rPr>
                        <w:rFonts w:cs="KFGQPC Uthman Taha Naskh"/>
                        <w:b/>
                        <w:bCs/>
                        <w:szCs w:val="24"/>
                        <w:rtl/>
                        <w:lang w:bidi="fa-IR"/>
                      </w:rPr>
                      <w:t xml:space="preserve"> </w:t>
                    </w:r>
                    <w:r w:rsidRPr="00F2006D">
                      <w:rPr>
                        <w:rFonts w:cs="KFGQPC Uthman Taha Naskh" w:hint="cs"/>
                        <w:b/>
                        <w:bCs/>
                        <w:szCs w:val="24"/>
                        <w:rtl/>
                        <w:lang w:bidi="fa-IR"/>
                      </w:rPr>
                      <w:t>رعاية</w:t>
                    </w:r>
                    <w:r w:rsidRPr="00F2006D">
                      <w:rPr>
                        <w:rFonts w:cs="KFGQPC Uthman Taha Naskh"/>
                        <w:b/>
                        <w:bCs/>
                        <w:szCs w:val="24"/>
                        <w:rtl/>
                        <w:lang w:bidi="fa-IR"/>
                      </w:rPr>
                      <w:t xml:space="preserve"> </w:t>
                    </w:r>
                    <w:r w:rsidRPr="00F2006D">
                      <w:rPr>
                        <w:rFonts w:cs="KFGQPC Uthman Taha Naskh" w:hint="cs"/>
                        <w:b/>
                        <w:bCs/>
                        <w:szCs w:val="24"/>
                        <w:rtl/>
                        <w:lang w:bidi="fa-IR"/>
                      </w:rPr>
                      <w:t>مادية</w:t>
                    </w:r>
                  </w:p>
                </w:txbxContent>
              </v:textbox>
            </v:shape>
          </w:pict>
        </mc:Fallback>
      </mc:AlternateContent>
    </w:r>
    <w:r>
      <w:rPr>
        <w:rFonts w:cs="B Titr" w:hint="cs"/>
        <w:noProof/>
        <w:sz w:val="28"/>
        <w:szCs w:val="24"/>
        <w:rtl/>
      </w:rPr>
      <w:drawing>
        <wp:anchor distT="0" distB="0" distL="114300" distR="114300" simplePos="0" relativeHeight="251664384" behindDoc="1" locked="0" layoutInCell="1" allowOverlap="1">
          <wp:simplePos x="0" y="0"/>
          <wp:positionH relativeFrom="column">
            <wp:posOffset>-606425</wp:posOffset>
          </wp:positionH>
          <wp:positionV relativeFrom="paragraph">
            <wp:posOffset>-104775</wp:posOffset>
          </wp:positionV>
          <wp:extent cx="6109335" cy="8801735"/>
          <wp:effectExtent l="0" t="0" r="5715" b="0"/>
          <wp:wrapNone/>
          <wp:docPr id="33" name="Picture 33" descr="Untitled-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3" descr="Untitled-2"/>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09335" cy="8801735"/>
                  </a:xfrm>
                  <a:prstGeom prst="rect">
                    <a:avLst/>
                  </a:prstGeom>
                  <a:noFill/>
                  <a:ln>
                    <a:noFill/>
                  </a:ln>
                </pic:spPr>
              </pic:pic>
            </a:graphicData>
          </a:graphic>
          <wp14:sizeRelH relativeFrom="page">
            <wp14:pctWidth>0</wp14:pctWidth>
          </wp14:sizeRelH>
          <wp14:sizeRelV relativeFrom="page">
            <wp14:pctHeight>0</wp14:pctHeight>
          </wp14:sizeRelV>
        </wp:anchor>
      </w:drawing>
    </w:r>
    <w:r w:rsidR="00B31118" w:rsidRPr="004817E8">
      <w:rPr>
        <w:rFonts w:cs="B Zar"/>
        <w:sz w:val="28"/>
        <w:rtl/>
      </w:rPr>
      <w:tab/>
    </w:r>
  </w:p>
  <w:p w:rsidR="00B31118" w:rsidRPr="004817E8" w:rsidRDefault="00B31118" w:rsidP="004817E8">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31118" w:rsidRPr="004817E8" w:rsidRDefault="00261222" w:rsidP="004817E8">
    <w:pPr>
      <w:tabs>
        <w:tab w:val="left" w:pos="2984"/>
      </w:tabs>
      <w:ind w:left="284" w:right="284"/>
      <w:rPr>
        <w:rFonts w:cs="B Zar" w:hint="cs"/>
        <w:sz w:val="28"/>
        <w:rtl/>
      </w:rPr>
    </w:pPr>
    <w:r>
      <w:rPr>
        <w:rFonts w:ascii="Times New Roman Bold" w:hAnsi="Times New Roman Bold" w:cs="B Zar" w:hint="cs"/>
        <w:noProof/>
        <w:sz w:val="28"/>
        <w:rtl/>
      </w:rPr>
      <mc:AlternateContent>
        <mc:Choice Requires="wps">
          <w:drawing>
            <wp:anchor distT="0" distB="0" distL="114300" distR="114300" simplePos="0" relativeHeight="251667456" behindDoc="0" locked="0" layoutInCell="1" allowOverlap="1">
              <wp:simplePos x="0" y="0"/>
              <wp:positionH relativeFrom="column">
                <wp:posOffset>127000</wp:posOffset>
              </wp:positionH>
              <wp:positionV relativeFrom="paragraph">
                <wp:posOffset>200660</wp:posOffset>
              </wp:positionV>
              <wp:extent cx="2442210" cy="360680"/>
              <wp:effectExtent l="3175" t="635" r="2540" b="635"/>
              <wp:wrapNone/>
              <wp:docPr id="5"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42210" cy="3606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31118" w:rsidRDefault="00B31118" w:rsidP="0090547B">
                          <w:pPr>
                            <w:jc w:val="center"/>
                            <w:rPr>
                              <w:rFonts w:hint="cs"/>
                              <w:rtl/>
                            </w:rPr>
                          </w:pPr>
                          <w:r w:rsidRPr="0090547B">
                            <w:rPr>
                              <w:rFonts w:cs="KFGQPC Uthman Taha Naskh"/>
                              <w:b/>
                              <w:bCs/>
                              <w:szCs w:val="24"/>
                              <w:rtl/>
                              <w:lang w:bidi="fa-IR"/>
                            </w:rPr>
                            <w:t>الفصل الخامس</w:t>
                          </w:r>
                          <w:r>
                            <w:rPr>
                              <w:rFonts w:cs="KFGQPC Uthman Taha Naskh" w:hint="cs"/>
                              <w:b/>
                              <w:bCs/>
                              <w:szCs w:val="24"/>
                              <w:rtl/>
                            </w:rPr>
                            <w:t xml:space="preserve">: </w:t>
                          </w:r>
                          <w:r w:rsidRPr="0090547B">
                            <w:rPr>
                              <w:rFonts w:cs="KFGQPC Uthman Taha Naskh"/>
                              <w:b/>
                              <w:bCs/>
                              <w:szCs w:val="24"/>
                              <w:rtl/>
                              <w:lang w:bidi="fa-IR"/>
                            </w:rPr>
                            <w:t>الخُمْس والأشياء التي يتعلق بها</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6" o:spid="_x0000_s1040" type="#_x0000_t202" style="position:absolute;left:0;text-align:left;margin-left:10pt;margin-top:15.8pt;width:192.3pt;height:28.4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" stroked="f">
              <v:textbox>
                <w:txbxContent>
                  <w:p w:rsidR="00B31118" w:rsidRDefault="00B31118" w:rsidP="0090547B">
                    <w:pPr>
                      <w:jc w:val="center"/>
                      <w:rPr>
                        <w:rFonts w:hint="cs"/>
                        <w:rtl/>
                      </w:rPr>
                    </w:pPr>
                    <w:r w:rsidRPr="0090547B">
                      <w:rPr>
                        <w:rFonts w:cs="KFGQPC Uthman Taha Naskh"/>
                        <w:b/>
                        <w:bCs/>
                        <w:szCs w:val="24"/>
                        <w:rtl/>
                        <w:lang w:bidi="fa-IR"/>
                      </w:rPr>
                      <w:t>الفصل الخامس</w:t>
                    </w:r>
                    <w:r>
                      <w:rPr>
                        <w:rFonts w:cs="KFGQPC Uthman Taha Naskh" w:hint="cs"/>
                        <w:b/>
                        <w:bCs/>
                        <w:szCs w:val="24"/>
                        <w:rtl/>
                      </w:rPr>
                      <w:t xml:space="preserve">: </w:t>
                    </w:r>
                    <w:r w:rsidRPr="0090547B">
                      <w:rPr>
                        <w:rFonts w:cs="KFGQPC Uthman Taha Naskh"/>
                        <w:b/>
                        <w:bCs/>
                        <w:szCs w:val="24"/>
                        <w:rtl/>
                        <w:lang w:bidi="fa-IR"/>
                      </w:rPr>
                      <w:t>الخُمْس والأشياء التي يتعلق بها</w:t>
                    </w:r>
                  </w:p>
                </w:txbxContent>
              </v:textbox>
            </v:shape>
          </w:pict>
        </mc:Fallback>
      </mc:AlternateContent>
    </w:r>
    <w:r>
      <w:rPr>
        <w:rFonts w:cs="B Titr" w:hint="cs"/>
        <w:noProof/>
        <w:sz w:val="28"/>
        <w:szCs w:val="24"/>
        <w:rtl/>
      </w:rPr>
      <w:drawing>
        <wp:anchor distT="0" distB="0" distL="114300" distR="114300" simplePos="0" relativeHeight="251666432" behindDoc="1" locked="0" layoutInCell="1" allowOverlap="1">
          <wp:simplePos x="0" y="0"/>
          <wp:positionH relativeFrom="column">
            <wp:posOffset>-606425</wp:posOffset>
          </wp:positionH>
          <wp:positionV relativeFrom="paragraph">
            <wp:posOffset>-104775</wp:posOffset>
          </wp:positionV>
          <wp:extent cx="6109335" cy="8801735"/>
          <wp:effectExtent l="0" t="0" r="5715" b="0"/>
          <wp:wrapNone/>
          <wp:docPr id="35" name="Picture 35" descr="Untitled-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5" descr="Untitled-2"/>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09335" cy="8801735"/>
                  </a:xfrm>
                  <a:prstGeom prst="rect">
                    <a:avLst/>
                  </a:prstGeom>
                  <a:noFill/>
                  <a:ln>
                    <a:noFill/>
                  </a:ln>
                </pic:spPr>
              </pic:pic>
            </a:graphicData>
          </a:graphic>
          <wp14:sizeRelH relativeFrom="page">
            <wp14:pctWidth>0</wp14:pctWidth>
          </wp14:sizeRelH>
          <wp14:sizeRelV relativeFrom="page">
            <wp14:pctHeight>0</wp14:pctHeight>
          </wp14:sizeRelV>
        </wp:anchor>
      </w:drawing>
    </w:r>
    <w:r w:rsidR="00B31118" w:rsidRPr="004817E8">
      <w:rPr>
        <w:rFonts w:cs="B Zar"/>
        <w:sz w:val="28"/>
        <w:rtl/>
      </w:rPr>
      <w:tab/>
    </w:r>
  </w:p>
  <w:p w:rsidR="00B31118" w:rsidRPr="004817E8" w:rsidRDefault="00B31118" w:rsidP="004817E8">
    <w:pPr>
      <w:pStyle w:val="Heade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31118" w:rsidRPr="004817E8" w:rsidRDefault="00261222" w:rsidP="004817E8">
    <w:pPr>
      <w:tabs>
        <w:tab w:val="left" w:pos="2984"/>
      </w:tabs>
      <w:ind w:left="284" w:right="284"/>
      <w:rPr>
        <w:rFonts w:cs="B Zar" w:hint="cs"/>
        <w:sz w:val="28"/>
        <w:rtl/>
      </w:rPr>
    </w:pPr>
    <w:r>
      <w:rPr>
        <w:rFonts w:ascii="Times New Roman Bold" w:hAnsi="Times New Roman Bold" w:cs="B Zar" w:hint="cs"/>
        <w:noProof/>
        <w:sz w:val="28"/>
        <w:rtl/>
      </w:rPr>
      <mc:AlternateContent>
        <mc:Choice Requires="wps">
          <w:drawing>
            <wp:anchor distT="0" distB="0" distL="114300" distR="114300" simplePos="0" relativeHeight="251669504" behindDoc="0" locked="0" layoutInCell="1" allowOverlap="1">
              <wp:simplePos x="0" y="0"/>
              <wp:positionH relativeFrom="column">
                <wp:posOffset>127000</wp:posOffset>
              </wp:positionH>
              <wp:positionV relativeFrom="paragraph">
                <wp:posOffset>200660</wp:posOffset>
              </wp:positionV>
              <wp:extent cx="2832735" cy="360680"/>
              <wp:effectExtent l="3175" t="635" r="2540" b="635"/>
              <wp:wrapNone/>
              <wp:docPr id="4"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32735" cy="3606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31118" w:rsidRDefault="00B31118" w:rsidP="0090547B">
                          <w:pPr>
                            <w:jc w:val="center"/>
                            <w:rPr>
                              <w:rFonts w:hint="cs"/>
                              <w:rtl/>
                            </w:rPr>
                          </w:pPr>
                          <w:r w:rsidRPr="0090547B">
                            <w:rPr>
                              <w:rFonts w:cs="KFGQPC Uthman Taha Naskh"/>
                              <w:b/>
                              <w:bCs/>
                              <w:szCs w:val="24"/>
                              <w:rtl/>
                              <w:lang w:bidi="fa-IR"/>
                            </w:rPr>
                            <w:t>الفصل السادس</w:t>
                          </w:r>
                          <w:r>
                            <w:rPr>
                              <w:rFonts w:cs="KFGQPC Uthman Taha Naskh" w:hint="cs"/>
                              <w:b/>
                              <w:bCs/>
                              <w:szCs w:val="24"/>
                              <w:rtl/>
                            </w:rPr>
                            <w:t xml:space="preserve">: </w:t>
                          </w:r>
                          <w:r w:rsidRPr="0090547B">
                            <w:rPr>
                              <w:rFonts w:cs="KFGQPC Uthman Taha Naskh"/>
                              <w:b/>
                              <w:bCs/>
                              <w:szCs w:val="24"/>
                              <w:rtl/>
                              <w:lang w:bidi="fa-IR"/>
                            </w:rPr>
                            <w:t>أحاديث إباحة الخمس وتحليله للشيعة</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8" o:spid="_x0000_s1041" type="#_x0000_t202" style="position:absolute;left:0;text-align:left;margin-left:10pt;margin-top:15.8pt;width:223.05pt;height:28.4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" stroked="f">
              <v:textbox>
                <w:txbxContent>
                  <w:p w:rsidR="00B31118" w:rsidRDefault="00B31118" w:rsidP="0090547B">
                    <w:pPr>
                      <w:jc w:val="center"/>
                      <w:rPr>
                        <w:rFonts w:hint="cs"/>
                        <w:rtl/>
                      </w:rPr>
                    </w:pPr>
                    <w:r w:rsidRPr="0090547B">
                      <w:rPr>
                        <w:rFonts w:cs="KFGQPC Uthman Taha Naskh"/>
                        <w:b/>
                        <w:bCs/>
                        <w:szCs w:val="24"/>
                        <w:rtl/>
                        <w:lang w:bidi="fa-IR"/>
                      </w:rPr>
                      <w:t>الفصل السادس</w:t>
                    </w:r>
                    <w:r>
                      <w:rPr>
                        <w:rFonts w:cs="KFGQPC Uthman Taha Naskh" w:hint="cs"/>
                        <w:b/>
                        <w:bCs/>
                        <w:szCs w:val="24"/>
                        <w:rtl/>
                      </w:rPr>
                      <w:t xml:space="preserve">: </w:t>
                    </w:r>
                    <w:r w:rsidRPr="0090547B">
                      <w:rPr>
                        <w:rFonts w:cs="KFGQPC Uthman Taha Naskh"/>
                        <w:b/>
                        <w:bCs/>
                        <w:szCs w:val="24"/>
                        <w:rtl/>
                        <w:lang w:bidi="fa-IR"/>
                      </w:rPr>
                      <w:t>أحاديث إباحة الخمس وتحليله للشيعة</w:t>
                    </w:r>
                  </w:p>
                </w:txbxContent>
              </v:textbox>
            </v:shape>
          </w:pict>
        </mc:Fallback>
      </mc:AlternateContent>
    </w:r>
    <w:r>
      <w:rPr>
        <w:rFonts w:cs="B Titr" w:hint="cs"/>
        <w:noProof/>
        <w:sz w:val="28"/>
        <w:szCs w:val="24"/>
        <w:rtl/>
      </w:rPr>
      <w:drawing>
        <wp:anchor distT="0" distB="0" distL="114300" distR="114300" simplePos="0" relativeHeight="251668480" behindDoc="1" locked="0" layoutInCell="1" allowOverlap="1">
          <wp:simplePos x="0" y="0"/>
          <wp:positionH relativeFrom="column">
            <wp:posOffset>-606425</wp:posOffset>
          </wp:positionH>
          <wp:positionV relativeFrom="paragraph">
            <wp:posOffset>-104775</wp:posOffset>
          </wp:positionV>
          <wp:extent cx="6109335" cy="8801735"/>
          <wp:effectExtent l="0" t="0" r="5715" b="0"/>
          <wp:wrapNone/>
          <wp:docPr id="37" name="Picture 37" descr="Untitled-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7" descr="Untitled-2"/>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09335" cy="8801735"/>
                  </a:xfrm>
                  <a:prstGeom prst="rect">
                    <a:avLst/>
                  </a:prstGeom>
                  <a:noFill/>
                  <a:ln>
                    <a:noFill/>
                  </a:ln>
                </pic:spPr>
              </pic:pic>
            </a:graphicData>
          </a:graphic>
          <wp14:sizeRelH relativeFrom="page">
            <wp14:pctWidth>0</wp14:pctWidth>
          </wp14:sizeRelH>
          <wp14:sizeRelV relativeFrom="page">
            <wp14:pctHeight>0</wp14:pctHeight>
          </wp14:sizeRelV>
        </wp:anchor>
      </w:drawing>
    </w:r>
    <w:r w:rsidR="00B31118" w:rsidRPr="004817E8">
      <w:rPr>
        <w:rFonts w:cs="B Zar"/>
        <w:sz w:val="28"/>
        <w:rtl/>
      </w:rPr>
      <w:tab/>
    </w:r>
  </w:p>
  <w:p w:rsidR="00B31118" w:rsidRPr="004817E8" w:rsidRDefault="00B31118" w:rsidP="004817E8">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31118" w:rsidRPr="004817E8" w:rsidRDefault="00261222" w:rsidP="004817E8">
    <w:pPr>
      <w:tabs>
        <w:tab w:val="left" w:pos="2984"/>
      </w:tabs>
      <w:ind w:left="284" w:right="284"/>
      <w:rPr>
        <w:rFonts w:cs="B Zar" w:hint="cs"/>
        <w:sz w:val="28"/>
        <w:rtl/>
      </w:rPr>
    </w:pPr>
    <w:r>
      <w:rPr>
        <w:rFonts w:ascii="Times New Roman Bold" w:hAnsi="Times New Roman Bold" w:cs="B Zar" w:hint="cs"/>
        <w:noProof/>
        <w:sz w:val="28"/>
        <w:rtl/>
      </w:rPr>
      <mc:AlternateContent>
        <mc:Choice Requires="wps">
          <w:drawing>
            <wp:anchor distT="0" distB="0" distL="114300" distR="114300" simplePos="0" relativeHeight="251671552" behindDoc="0" locked="0" layoutInCell="1" allowOverlap="1">
              <wp:simplePos x="0" y="0"/>
              <wp:positionH relativeFrom="column">
                <wp:posOffset>127000</wp:posOffset>
              </wp:positionH>
              <wp:positionV relativeFrom="paragraph">
                <wp:posOffset>200660</wp:posOffset>
              </wp:positionV>
              <wp:extent cx="3070860" cy="360680"/>
              <wp:effectExtent l="3175" t="635" r="2540" b="635"/>
              <wp:wrapNone/>
              <wp:docPr id="3" name="Text 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70860" cy="3606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31118" w:rsidRDefault="00B31118" w:rsidP="0090547B">
                          <w:pPr>
                            <w:jc w:val="center"/>
                            <w:rPr>
                              <w:rFonts w:hint="cs"/>
                              <w:rtl/>
                            </w:rPr>
                          </w:pPr>
                          <w:r w:rsidRPr="0090547B">
                            <w:rPr>
                              <w:rFonts w:cs="KFGQPC Uthman Taha Naskh"/>
                              <w:b/>
                              <w:bCs/>
                              <w:szCs w:val="24"/>
                              <w:rtl/>
                              <w:lang w:bidi="fa-IR"/>
                            </w:rPr>
                            <w:t>الفصل السابع</w:t>
                          </w:r>
                          <w:r>
                            <w:rPr>
                              <w:rFonts w:cs="KFGQPC Uthman Taha Naskh" w:hint="cs"/>
                              <w:b/>
                              <w:bCs/>
                              <w:szCs w:val="24"/>
                              <w:rtl/>
                            </w:rPr>
                            <w:t xml:space="preserve">: </w:t>
                          </w:r>
                          <w:r w:rsidRPr="0090547B">
                            <w:rPr>
                              <w:rFonts w:cs="KFGQPC Uthman Taha Naskh"/>
                              <w:b/>
                              <w:bCs/>
                              <w:szCs w:val="24"/>
                              <w:rtl/>
                              <w:lang w:bidi="fa-IR"/>
                            </w:rPr>
                            <w:t>فتاوى سقوط «الخُمْس» وإباحته في زمن الغيبة</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0" o:spid="_x0000_s1042" type="#_x0000_t202" style="position:absolute;left:0;text-align:left;margin-left:10pt;margin-top:15.8pt;width:241.8pt;height:28.4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" stroked="f">
              <v:textbox>
                <w:txbxContent>
                  <w:p w:rsidR="00B31118" w:rsidRDefault="00B31118" w:rsidP="0090547B">
                    <w:pPr>
                      <w:jc w:val="center"/>
                      <w:rPr>
                        <w:rFonts w:hint="cs"/>
                        <w:rtl/>
                      </w:rPr>
                    </w:pPr>
                    <w:r w:rsidRPr="0090547B">
                      <w:rPr>
                        <w:rFonts w:cs="KFGQPC Uthman Taha Naskh"/>
                        <w:b/>
                        <w:bCs/>
                        <w:szCs w:val="24"/>
                        <w:rtl/>
                        <w:lang w:bidi="fa-IR"/>
                      </w:rPr>
                      <w:t>الفصل السابع</w:t>
                    </w:r>
                    <w:r>
                      <w:rPr>
                        <w:rFonts w:cs="KFGQPC Uthman Taha Naskh" w:hint="cs"/>
                        <w:b/>
                        <w:bCs/>
                        <w:szCs w:val="24"/>
                        <w:rtl/>
                      </w:rPr>
                      <w:t xml:space="preserve">: </w:t>
                    </w:r>
                    <w:r w:rsidRPr="0090547B">
                      <w:rPr>
                        <w:rFonts w:cs="KFGQPC Uthman Taha Naskh"/>
                        <w:b/>
                        <w:bCs/>
                        <w:szCs w:val="24"/>
                        <w:rtl/>
                        <w:lang w:bidi="fa-IR"/>
                      </w:rPr>
                      <w:t>فتاوى سقوط «الخُمْس» وإباحته في زمن الغيبة</w:t>
                    </w:r>
                  </w:p>
                </w:txbxContent>
              </v:textbox>
            </v:shape>
          </w:pict>
        </mc:Fallback>
      </mc:AlternateContent>
    </w:r>
    <w:r>
      <w:rPr>
        <w:rFonts w:cs="B Titr" w:hint="cs"/>
        <w:noProof/>
        <w:sz w:val="28"/>
        <w:szCs w:val="24"/>
        <w:rtl/>
      </w:rPr>
      <w:drawing>
        <wp:anchor distT="0" distB="0" distL="114300" distR="114300" simplePos="0" relativeHeight="251670528" behindDoc="1" locked="0" layoutInCell="1" allowOverlap="1">
          <wp:simplePos x="0" y="0"/>
          <wp:positionH relativeFrom="column">
            <wp:posOffset>-606425</wp:posOffset>
          </wp:positionH>
          <wp:positionV relativeFrom="paragraph">
            <wp:posOffset>-104775</wp:posOffset>
          </wp:positionV>
          <wp:extent cx="6109335" cy="8801735"/>
          <wp:effectExtent l="0" t="0" r="5715" b="0"/>
          <wp:wrapNone/>
          <wp:docPr id="39" name="Picture 39" descr="Untitled-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9" descr="Untitled-2"/>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09335" cy="8801735"/>
                  </a:xfrm>
                  <a:prstGeom prst="rect">
                    <a:avLst/>
                  </a:prstGeom>
                  <a:noFill/>
                  <a:ln>
                    <a:noFill/>
                  </a:ln>
                </pic:spPr>
              </pic:pic>
            </a:graphicData>
          </a:graphic>
          <wp14:sizeRelH relativeFrom="page">
            <wp14:pctWidth>0</wp14:pctWidth>
          </wp14:sizeRelH>
          <wp14:sizeRelV relativeFrom="page">
            <wp14:pctHeight>0</wp14:pctHeight>
          </wp14:sizeRelV>
        </wp:anchor>
      </w:drawing>
    </w:r>
    <w:r w:rsidR="00B31118" w:rsidRPr="004817E8">
      <w:rPr>
        <w:rFonts w:cs="B Zar"/>
        <w:sz w:val="28"/>
        <w:rtl/>
      </w:rPr>
      <w:tab/>
    </w:r>
  </w:p>
  <w:p w:rsidR="00B31118" w:rsidRPr="004817E8" w:rsidRDefault="00B31118" w:rsidP="004817E8">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31118" w:rsidRPr="004817E8" w:rsidRDefault="00261222" w:rsidP="004817E8">
    <w:pPr>
      <w:tabs>
        <w:tab w:val="left" w:pos="2984"/>
      </w:tabs>
      <w:ind w:left="284" w:right="284"/>
      <w:rPr>
        <w:rFonts w:cs="B Zar" w:hint="cs"/>
        <w:sz w:val="28"/>
        <w:rtl/>
      </w:rPr>
    </w:pPr>
    <w:r>
      <w:rPr>
        <w:rFonts w:ascii="Times New Roman Bold" w:hAnsi="Times New Roman Bold" w:cs="B Zar" w:hint="cs"/>
        <w:noProof/>
        <w:sz w:val="28"/>
        <w:rtl/>
      </w:rPr>
      <mc:AlternateContent>
        <mc:Choice Requires="wps">
          <w:drawing>
            <wp:anchor distT="0" distB="0" distL="114300" distR="114300" simplePos="0" relativeHeight="251673600" behindDoc="0" locked="0" layoutInCell="1" allowOverlap="1">
              <wp:simplePos x="0" y="0"/>
              <wp:positionH relativeFrom="column">
                <wp:posOffset>127000</wp:posOffset>
              </wp:positionH>
              <wp:positionV relativeFrom="paragraph">
                <wp:posOffset>200660</wp:posOffset>
              </wp:positionV>
              <wp:extent cx="3070860" cy="360680"/>
              <wp:effectExtent l="3175" t="635" r="2540" b="635"/>
              <wp:wrapNone/>
              <wp:docPr id="2"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70860" cy="3606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31118" w:rsidRDefault="00B31118" w:rsidP="0090547B">
                          <w:pPr>
                            <w:jc w:val="center"/>
                            <w:rPr>
                              <w:rFonts w:hint="cs"/>
                              <w:rtl/>
                            </w:rPr>
                          </w:pPr>
                          <w:r w:rsidRPr="0090547B">
                            <w:rPr>
                              <w:rFonts w:cs="KFGQPC Uthman Taha Naskh"/>
                              <w:b/>
                              <w:bCs/>
                              <w:szCs w:val="24"/>
                              <w:rtl/>
                              <w:lang w:bidi="fa-IR"/>
                            </w:rPr>
                            <w:t>الفصل الثامن</w:t>
                          </w:r>
                          <w:r>
                            <w:rPr>
                              <w:rFonts w:cs="KFGQPC Uthman Taha Naskh" w:hint="cs"/>
                              <w:b/>
                              <w:bCs/>
                              <w:szCs w:val="24"/>
                              <w:rtl/>
                            </w:rPr>
                            <w:t xml:space="preserve">: </w:t>
                          </w:r>
                          <w:r w:rsidRPr="0090547B">
                            <w:rPr>
                              <w:rFonts w:cs="KFGQPC Uthman Taha Naskh"/>
                              <w:b/>
                              <w:bCs/>
                              <w:szCs w:val="24"/>
                              <w:rtl/>
                              <w:lang w:bidi="fa-IR"/>
                            </w:rPr>
                            <w:t>الجواب عن الردود التي كُتِبت على كتاب الخُمس</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2" o:spid="_x0000_s1043" type="#_x0000_t202" style="position:absolute;left:0;text-align:left;margin-left:10pt;margin-top:15.8pt;width:241.8pt;height:28.4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" stroked="f">
              <v:textbox>
                <w:txbxContent>
                  <w:p w:rsidR="00B31118" w:rsidRDefault="00B31118" w:rsidP="0090547B">
                    <w:pPr>
                      <w:jc w:val="center"/>
                      <w:rPr>
                        <w:rFonts w:hint="cs"/>
                        <w:rtl/>
                      </w:rPr>
                    </w:pPr>
                    <w:r w:rsidRPr="0090547B">
                      <w:rPr>
                        <w:rFonts w:cs="KFGQPC Uthman Taha Naskh"/>
                        <w:b/>
                        <w:bCs/>
                        <w:szCs w:val="24"/>
                        <w:rtl/>
                        <w:lang w:bidi="fa-IR"/>
                      </w:rPr>
                      <w:t>الفصل الثامن</w:t>
                    </w:r>
                    <w:r>
                      <w:rPr>
                        <w:rFonts w:cs="KFGQPC Uthman Taha Naskh" w:hint="cs"/>
                        <w:b/>
                        <w:bCs/>
                        <w:szCs w:val="24"/>
                        <w:rtl/>
                      </w:rPr>
                      <w:t xml:space="preserve">: </w:t>
                    </w:r>
                    <w:r w:rsidRPr="0090547B">
                      <w:rPr>
                        <w:rFonts w:cs="KFGQPC Uthman Taha Naskh"/>
                        <w:b/>
                        <w:bCs/>
                        <w:szCs w:val="24"/>
                        <w:rtl/>
                        <w:lang w:bidi="fa-IR"/>
                      </w:rPr>
                      <w:t>الجواب عن الردود التي كُتِبت على كتاب الخُمس</w:t>
                    </w:r>
                  </w:p>
                </w:txbxContent>
              </v:textbox>
            </v:shape>
          </w:pict>
        </mc:Fallback>
      </mc:AlternateContent>
    </w:r>
    <w:r>
      <w:rPr>
        <w:rFonts w:cs="B Titr" w:hint="cs"/>
        <w:noProof/>
        <w:sz w:val="28"/>
        <w:szCs w:val="24"/>
        <w:rtl/>
      </w:rPr>
      <w:drawing>
        <wp:anchor distT="0" distB="0" distL="114300" distR="114300" simplePos="0" relativeHeight="251672576" behindDoc="1" locked="0" layoutInCell="1" allowOverlap="1">
          <wp:simplePos x="0" y="0"/>
          <wp:positionH relativeFrom="column">
            <wp:posOffset>-606425</wp:posOffset>
          </wp:positionH>
          <wp:positionV relativeFrom="paragraph">
            <wp:posOffset>-104775</wp:posOffset>
          </wp:positionV>
          <wp:extent cx="6109335" cy="8801735"/>
          <wp:effectExtent l="0" t="0" r="5715" b="0"/>
          <wp:wrapNone/>
          <wp:docPr id="41" name="Picture 41" descr="Untitled-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1" descr="Untitled-2"/>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09335" cy="8801735"/>
                  </a:xfrm>
                  <a:prstGeom prst="rect">
                    <a:avLst/>
                  </a:prstGeom>
                  <a:noFill/>
                  <a:ln>
                    <a:noFill/>
                  </a:ln>
                </pic:spPr>
              </pic:pic>
            </a:graphicData>
          </a:graphic>
          <wp14:sizeRelH relativeFrom="page">
            <wp14:pctWidth>0</wp14:pctWidth>
          </wp14:sizeRelH>
          <wp14:sizeRelV relativeFrom="page">
            <wp14:pctHeight>0</wp14:pctHeight>
          </wp14:sizeRelV>
        </wp:anchor>
      </w:drawing>
    </w:r>
    <w:r w:rsidR="00B31118" w:rsidRPr="004817E8">
      <w:rPr>
        <w:rFonts w:cs="B Zar"/>
        <w:sz w:val="28"/>
        <w:rtl/>
      </w:rPr>
      <w:tab/>
    </w:r>
  </w:p>
  <w:p w:rsidR="00B31118" w:rsidRPr="004817E8" w:rsidRDefault="00B31118" w:rsidP="004817E8">
    <w:pPr>
      <w:pStyle w:val="Heade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31118" w:rsidRPr="004817E8" w:rsidRDefault="00261222" w:rsidP="004817E8">
    <w:pPr>
      <w:tabs>
        <w:tab w:val="left" w:pos="2984"/>
      </w:tabs>
      <w:ind w:left="284" w:right="284"/>
      <w:rPr>
        <w:rFonts w:cs="B Zar" w:hint="cs"/>
        <w:sz w:val="28"/>
        <w:rtl/>
      </w:rPr>
    </w:pPr>
    <w:r>
      <w:rPr>
        <w:rFonts w:ascii="Times New Roman Bold" w:hAnsi="Times New Roman Bold" w:cs="B Zar" w:hint="cs"/>
        <w:noProof/>
        <w:sz w:val="28"/>
        <w:rtl/>
      </w:rPr>
      <mc:AlternateContent>
        <mc:Choice Requires="wps">
          <w:drawing>
            <wp:anchor distT="0" distB="0" distL="114300" distR="114300" simplePos="0" relativeHeight="251675648" behindDoc="0" locked="0" layoutInCell="1" allowOverlap="1">
              <wp:simplePos x="0" y="0"/>
              <wp:positionH relativeFrom="column">
                <wp:posOffset>127000</wp:posOffset>
              </wp:positionH>
              <wp:positionV relativeFrom="paragraph">
                <wp:posOffset>200660</wp:posOffset>
              </wp:positionV>
              <wp:extent cx="1270635" cy="360680"/>
              <wp:effectExtent l="3175" t="635" r="2540" b="635"/>
              <wp:wrapNone/>
              <wp:docPr id="1" name="Text Box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0635" cy="3606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31118" w:rsidRDefault="00B31118" w:rsidP="0090547B">
                          <w:pPr>
                            <w:jc w:val="center"/>
                            <w:rPr>
                              <w:rFonts w:hint="cs"/>
                              <w:rtl/>
                            </w:rPr>
                          </w:pPr>
                          <w:r w:rsidRPr="0090547B">
                            <w:rPr>
                              <w:rFonts w:cs="KFGQPC Uthman Taha Naskh"/>
                              <w:b/>
                              <w:bCs/>
                              <w:szCs w:val="24"/>
                              <w:rtl/>
                              <w:lang w:bidi="fa-IR"/>
                            </w:rPr>
                            <w:t>قائمة المصادر والمراجع</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4" o:spid="_x0000_s1044" type="#_x0000_t202" style="position:absolute;left:0;text-align:left;margin-left:10pt;margin-top:15.8pt;width:100.05pt;height:28.4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" stroked="f">
              <v:textbox>
                <w:txbxContent>
                  <w:p w:rsidR="00B31118" w:rsidRDefault="00B31118" w:rsidP="0090547B">
                    <w:pPr>
                      <w:jc w:val="center"/>
                      <w:rPr>
                        <w:rFonts w:hint="cs"/>
                        <w:rtl/>
                      </w:rPr>
                    </w:pPr>
                    <w:r w:rsidRPr="0090547B">
                      <w:rPr>
                        <w:rFonts w:cs="KFGQPC Uthman Taha Naskh"/>
                        <w:b/>
                        <w:bCs/>
                        <w:szCs w:val="24"/>
                        <w:rtl/>
                        <w:lang w:bidi="fa-IR"/>
                      </w:rPr>
                      <w:t>قائمة المصادر والمراجع</w:t>
                    </w:r>
                  </w:p>
                </w:txbxContent>
              </v:textbox>
            </v:shape>
          </w:pict>
        </mc:Fallback>
      </mc:AlternateContent>
    </w:r>
    <w:r>
      <w:rPr>
        <w:rFonts w:cs="B Titr" w:hint="cs"/>
        <w:noProof/>
        <w:sz w:val="28"/>
        <w:szCs w:val="24"/>
        <w:rtl/>
      </w:rPr>
      <w:drawing>
        <wp:anchor distT="0" distB="0" distL="114300" distR="114300" simplePos="0" relativeHeight="251674624" behindDoc="1" locked="0" layoutInCell="1" allowOverlap="1">
          <wp:simplePos x="0" y="0"/>
          <wp:positionH relativeFrom="column">
            <wp:posOffset>-606425</wp:posOffset>
          </wp:positionH>
          <wp:positionV relativeFrom="paragraph">
            <wp:posOffset>-104775</wp:posOffset>
          </wp:positionV>
          <wp:extent cx="6109335" cy="8801735"/>
          <wp:effectExtent l="0" t="0" r="5715" b="0"/>
          <wp:wrapNone/>
          <wp:docPr id="43" name="Picture 43" descr="Untitled-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3" descr="Untitled-2"/>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09335" cy="8801735"/>
                  </a:xfrm>
                  <a:prstGeom prst="rect">
                    <a:avLst/>
                  </a:prstGeom>
                  <a:noFill/>
                  <a:ln>
                    <a:noFill/>
                  </a:ln>
                </pic:spPr>
              </pic:pic>
            </a:graphicData>
          </a:graphic>
          <wp14:sizeRelH relativeFrom="page">
            <wp14:pctWidth>0</wp14:pctWidth>
          </wp14:sizeRelH>
          <wp14:sizeRelV relativeFrom="page">
            <wp14:pctHeight>0</wp14:pctHeight>
          </wp14:sizeRelV>
        </wp:anchor>
      </w:drawing>
    </w:r>
    <w:r w:rsidR="00B31118" w:rsidRPr="004817E8">
      <w:rPr>
        <w:rFonts w:cs="B Zar"/>
        <w:sz w:val="28"/>
        <w:rtl/>
      </w:rPr>
      <w:tab/>
    </w:r>
  </w:p>
  <w:p w:rsidR="00B31118" w:rsidRPr="004817E8" w:rsidRDefault="00B31118" w:rsidP="004817E8">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31118" w:rsidRPr="004817E8" w:rsidRDefault="00261222" w:rsidP="004817E8">
    <w:pPr>
      <w:tabs>
        <w:tab w:val="left" w:pos="2984"/>
      </w:tabs>
      <w:ind w:left="284" w:right="284"/>
      <w:rPr>
        <w:rFonts w:cs="B Zar" w:hint="cs"/>
        <w:sz w:val="28"/>
        <w:rtl/>
      </w:rPr>
    </w:pPr>
    <w:r>
      <w:rPr>
        <w:rFonts w:ascii="Times New Roman Bold" w:hAnsi="Times New Roman Bold" w:cs="B Zar" w:hint="cs"/>
        <w:noProof/>
        <w:sz w:val="28"/>
        <w:rtl/>
      </w:rPr>
      <mc:AlternateContent>
        <mc:Choice Requires="wps">
          <w:drawing>
            <wp:anchor distT="0" distB="0" distL="114300" distR="114300" simplePos="0" relativeHeight="251645952" behindDoc="0" locked="0" layoutInCell="1" allowOverlap="1">
              <wp:simplePos x="0" y="0"/>
              <wp:positionH relativeFrom="column">
                <wp:posOffset>127000</wp:posOffset>
              </wp:positionH>
              <wp:positionV relativeFrom="paragraph">
                <wp:posOffset>200660</wp:posOffset>
              </wp:positionV>
              <wp:extent cx="1099185" cy="360680"/>
              <wp:effectExtent l="3175" t="635" r="2540" b="635"/>
              <wp:wrapNone/>
              <wp:docPr id="22"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99185" cy="3606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31118" w:rsidRDefault="00B31118" w:rsidP="001A5A8F">
                          <w:pPr>
                            <w:jc w:val="center"/>
                            <w:rPr>
                              <w:lang w:bidi="fa-IR"/>
                            </w:rPr>
                          </w:pPr>
                          <w:r>
                            <w:rPr>
                              <w:rFonts w:cs="KFGQPC Uthman Taha Naskh" w:hint="cs"/>
                              <w:b/>
                              <w:bCs/>
                              <w:szCs w:val="24"/>
                              <w:rtl/>
                              <w:lang w:bidi="fa-IR"/>
                            </w:rPr>
                            <w:t>فهرس</w:t>
                          </w:r>
                          <w:r>
                            <w:rPr>
                              <w:rFonts w:cs="KFGQPC Uthman Taha Naskh" w:hint="cs"/>
                              <w:b/>
                              <w:bCs/>
                              <w:szCs w:val="24"/>
                              <w:rtl/>
                            </w:rPr>
                            <w:t xml:space="preserve"> المحتويات</w:t>
                          </w:r>
                          <w:r>
                            <w:rPr>
                              <w:rFonts w:cs="KFGQPC Uthman Taha Naskh" w:hint="cs"/>
                              <w:b/>
                              <w:bCs/>
                              <w:szCs w:val="24"/>
                              <w:rtl/>
                              <w:lang w:bidi="fa-IR"/>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7" type="#_x0000_t202" style="position:absolute;left:0;text-align:left;margin-left:10pt;margin-top:15.8pt;width:86.55pt;height:28.4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" stroked="f">
              <v:textbox>
                <w:txbxContent>
                  <w:p w:rsidR="00B31118" w:rsidRDefault="00B31118" w:rsidP="001A5A8F">
                    <w:pPr>
                      <w:jc w:val="center"/>
                      <w:rPr>
                        <w:lang w:bidi="fa-IR"/>
                      </w:rPr>
                    </w:pPr>
                    <w:r>
                      <w:rPr>
                        <w:rFonts w:cs="KFGQPC Uthman Taha Naskh" w:hint="cs"/>
                        <w:b/>
                        <w:bCs/>
                        <w:szCs w:val="24"/>
                        <w:rtl/>
                        <w:lang w:bidi="fa-IR"/>
                      </w:rPr>
                      <w:t>فهرس</w:t>
                    </w:r>
                    <w:r>
                      <w:rPr>
                        <w:rFonts w:cs="KFGQPC Uthman Taha Naskh" w:hint="cs"/>
                        <w:b/>
                        <w:bCs/>
                        <w:szCs w:val="24"/>
                        <w:rtl/>
                      </w:rPr>
                      <w:t xml:space="preserve"> المحتويات</w:t>
                    </w:r>
                    <w:r>
                      <w:rPr>
                        <w:rFonts w:cs="KFGQPC Uthman Taha Naskh" w:hint="cs"/>
                        <w:b/>
                        <w:bCs/>
                        <w:szCs w:val="24"/>
                        <w:rtl/>
                        <w:lang w:bidi="fa-IR"/>
                      </w:rPr>
                      <w:t xml:space="preserve"> </w:t>
                    </w:r>
                  </w:p>
                </w:txbxContent>
              </v:textbox>
            </v:shape>
          </w:pict>
        </mc:Fallback>
      </mc:AlternateContent>
    </w:r>
    <w:r>
      <w:rPr>
        <w:rFonts w:cs="B Titr" w:hint="cs"/>
        <w:noProof/>
        <w:sz w:val="28"/>
        <w:szCs w:val="24"/>
        <w:rtl/>
      </w:rPr>
      <w:drawing>
        <wp:anchor distT="0" distB="0" distL="114300" distR="114300" simplePos="0" relativeHeight="251644928" behindDoc="1" locked="0" layoutInCell="1" allowOverlap="1">
          <wp:simplePos x="0" y="0"/>
          <wp:positionH relativeFrom="column">
            <wp:posOffset>-606425</wp:posOffset>
          </wp:positionH>
          <wp:positionV relativeFrom="paragraph">
            <wp:posOffset>-104775</wp:posOffset>
          </wp:positionV>
          <wp:extent cx="6109335" cy="8801735"/>
          <wp:effectExtent l="0" t="0" r="5715" b="0"/>
          <wp:wrapNone/>
          <wp:docPr id="20" name="Picture 9" descr="Untitled-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9" descr="Untitled-2"/>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09335" cy="8801735"/>
                  </a:xfrm>
                  <a:prstGeom prst="rect">
                    <a:avLst/>
                  </a:prstGeom>
                  <a:noFill/>
                  <a:ln>
                    <a:noFill/>
                  </a:ln>
                </pic:spPr>
              </pic:pic>
            </a:graphicData>
          </a:graphic>
          <wp14:sizeRelH relativeFrom="page">
            <wp14:pctWidth>0</wp14:pctWidth>
          </wp14:sizeRelH>
          <wp14:sizeRelV relativeFrom="page">
            <wp14:pctHeight>0</wp14:pctHeight>
          </wp14:sizeRelV>
        </wp:anchor>
      </w:drawing>
    </w:r>
    <w:r w:rsidR="00B31118" w:rsidRPr="004817E8">
      <w:rPr>
        <w:rFonts w:cs="B Zar"/>
        <w:sz w:val="28"/>
        <w:rtl/>
      </w:rPr>
      <w:tab/>
    </w:r>
  </w:p>
  <w:p w:rsidR="00B31118" w:rsidRPr="004817E8" w:rsidRDefault="00B31118" w:rsidP="004817E8">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31118" w:rsidRPr="001E75D6" w:rsidRDefault="00261222" w:rsidP="004817E8">
    <w:pPr>
      <w:tabs>
        <w:tab w:val="center" w:pos="4153"/>
        <w:tab w:val="right" w:pos="8306"/>
      </w:tabs>
      <w:ind w:left="284" w:right="284"/>
    </w:pPr>
    <w:r>
      <w:rPr>
        <w:rFonts w:cs="B Titr" w:hint="cs"/>
        <w:noProof/>
        <w:sz w:val="28"/>
        <w:szCs w:val="24"/>
        <w:rtl/>
      </w:rPr>
      <w:drawing>
        <wp:anchor distT="0" distB="0" distL="114300" distR="114300" simplePos="0" relativeHeight="251639808" behindDoc="1" locked="0" layoutInCell="1" allowOverlap="1">
          <wp:simplePos x="0" y="0"/>
          <wp:positionH relativeFrom="column">
            <wp:posOffset>-602615</wp:posOffset>
          </wp:positionH>
          <wp:positionV relativeFrom="paragraph">
            <wp:posOffset>-104775</wp:posOffset>
          </wp:positionV>
          <wp:extent cx="6109335" cy="8801735"/>
          <wp:effectExtent l="0" t="0" r="5715" b="0"/>
          <wp:wrapNone/>
          <wp:docPr id="16" name="Picture 3" descr="Untitled-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descr="Untitled-2"/>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09335" cy="880173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31118" w:rsidRPr="004817E8" w:rsidRDefault="00261222" w:rsidP="004817E8">
    <w:pPr>
      <w:tabs>
        <w:tab w:val="left" w:pos="2984"/>
      </w:tabs>
      <w:ind w:left="284" w:right="284"/>
      <w:rPr>
        <w:rFonts w:cs="B Zar" w:hint="cs"/>
        <w:sz w:val="28"/>
        <w:rtl/>
      </w:rPr>
    </w:pPr>
    <w:r>
      <w:rPr>
        <w:rFonts w:ascii="Times New Roman Bold" w:hAnsi="Times New Roman Bold" w:cs="B Zar" w:hint="cs"/>
        <w:noProof/>
        <w:sz w:val="28"/>
        <w:rtl/>
      </w:rPr>
      <mc:AlternateContent>
        <mc:Choice Requires="wps">
          <w:drawing>
            <wp:anchor distT="0" distB="0" distL="114300" distR="114300" simplePos="0" relativeHeight="251649024" behindDoc="0" locked="0" layoutInCell="1" allowOverlap="1">
              <wp:simplePos x="0" y="0"/>
              <wp:positionH relativeFrom="column">
                <wp:posOffset>127000</wp:posOffset>
              </wp:positionH>
              <wp:positionV relativeFrom="paragraph">
                <wp:posOffset>200660</wp:posOffset>
              </wp:positionV>
              <wp:extent cx="1375410" cy="360680"/>
              <wp:effectExtent l="3175" t="635" r="2540" b="635"/>
              <wp:wrapNone/>
              <wp:docPr id="14"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5410" cy="3606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31118" w:rsidRDefault="00B31118" w:rsidP="00F353FF">
                          <w:pPr>
                            <w:jc w:val="center"/>
                            <w:rPr>
                              <w:rFonts w:hint="cs"/>
                              <w:rtl/>
                            </w:rPr>
                          </w:pPr>
                          <w:r w:rsidRPr="00F353FF">
                            <w:rPr>
                              <w:rFonts w:cs="KFGQPC Uthman Taha Naskh" w:hint="cs"/>
                              <w:b/>
                              <w:bCs/>
                              <w:szCs w:val="24"/>
                              <w:rtl/>
                              <w:lang w:bidi="fa-IR"/>
                            </w:rPr>
                            <w:t>مقدمة</w:t>
                          </w:r>
                          <w:r w:rsidRPr="00F353FF">
                            <w:rPr>
                              <w:rFonts w:cs="KFGQPC Uthman Taha Naskh"/>
                              <w:b/>
                              <w:bCs/>
                              <w:szCs w:val="24"/>
                              <w:rtl/>
                              <w:lang w:bidi="fa-IR"/>
                            </w:rPr>
                            <w:t xml:space="preserve"> </w:t>
                          </w:r>
                          <w:r w:rsidRPr="00F353FF">
                            <w:rPr>
                              <w:rFonts w:cs="KFGQPC Uthman Taha Naskh" w:hint="cs"/>
                              <w:b/>
                              <w:bCs/>
                              <w:szCs w:val="24"/>
                              <w:rtl/>
                              <w:lang w:bidi="fa-IR"/>
                            </w:rPr>
                            <w:t>المشروع</w:t>
                          </w:r>
                          <w:r>
                            <w:rPr>
                              <w:rFonts w:cs="KFGQPC Uthman Taha Naskh" w:hint="cs"/>
                              <w:b/>
                              <w:bCs/>
                              <w:szCs w:val="24"/>
                              <w:rtl/>
                              <w:lang w:bidi="fa-IR"/>
                            </w:rPr>
                            <w:t xml:space="preserve"> والناشر</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8" o:spid="_x0000_s1031" type="#_x0000_t202" style="position:absolute;left:0;text-align:left;margin-left:10pt;margin-top:15.8pt;width:108.3pt;height:28.4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" stroked="f">
              <v:textbox>
                <w:txbxContent>
                  <w:p w:rsidR="00B31118" w:rsidRDefault="00B31118" w:rsidP="00F353FF">
                    <w:pPr>
                      <w:jc w:val="center"/>
                      <w:rPr>
                        <w:rFonts w:hint="cs"/>
                        <w:rtl/>
                      </w:rPr>
                    </w:pPr>
                    <w:r w:rsidRPr="00F353FF">
                      <w:rPr>
                        <w:rFonts w:cs="KFGQPC Uthman Taha Naskh" w:hint="cs"/>
                        <w:b/>
                        <w:bCs/>
                        <w:szCs w:val="24"/>
                        <w:rtl/>
                        <w:lang w:bidi="fa-IR"/>
                      </w:rPr>
                      <w:t>مقدمة</w:t>
                    </w:r>
                    <w:r w:rsidRPr="00F353FF">
                      <w:rPr>
                        <w:rFonts w:cs="KFGQPC Uthman Taha Naskh"/>
                        <w:b/>
                        <w:bCs/>
                        <w:szCs w:val="24"/>
                        <w:rtl/>
                        <w:lang w:bidi="fa-IR"/>
                      </w:rPr>
                      <w:t xml:space="preserve"> </w:t>
                    </w:r>
                    <w:r w:rsidRPr="00F353FF">
                      <w:rPr>
                        <w:rFonts w:cs="KFGQPC Uthman Taha Naskh" w:hint="cs"/>
                        <w:b/>
                        <w:bCs/>
                        <w:szCs w:val="24"/>
                        <w:rtl/>
                        <w:lang w:bidi="fa-IR"/>
                      </w:rPr>
                      <w:t>المشروع</w:t>
                    </w:r>
                    <w:r>
                      <w:rPr>
                        <w:rFonts w:cs="KFGQPC Uthman Taha Naskh" w:hint="cs"/>
                        <w:b/>
                        <w:bCs/>
                        <w:szCs w:val="24"/>
                        <w:rtl/>
                        <w:lang w:bidi="fa-IR"/>
                      </w:rPr>
                      <w:t xml:space="preserve"> والناشر</w:t>
                    </w:r>
                  </w:p>
                </w:txbxContent>
              </v:textbox>
            </v:shape>
          </w:pict>
        </mc:Fallback>
      </mc:AlternateContent>
    </w:r>
    <w:r>
      <w:rPr>
        <w:rFonts w:cs="B Titr" w:hint="cs"/>
        <w:noProof/>
        <w:sz w:val="28"/>
        <w:szCs w:val="24"/>
        <w:rtl/>
      </w:rPr>
      <w:drawing>
        <wp:anchor distT="0" distB="0" distL="114300" distR="114300" simplePos="0" relativeHeight="251648000" behindDoc="1" locked="0" layoutInCell="1" allowOverlap="1">
          <wp:simplePos x="0" y="0"/>
          <wp:positionH relativeFrom="column">
            <wp:posOffset>-606425</wp:posOffset>
          </wp:positionH>
          <wp:positionV relativeFrom="paragraph">
            <wp:posOffset>-104775</wp:posOffset>
          </wp:positionV>
          <wp:extent cx="6109335" cy="8801735"/>
          <wp:effectExtent l="0" t="0" r="5715" b="0"/>
          <wp:wrapNone/>
          <wp:docPr id="17" name="Picture 17" descr="Untitled-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7" descr="Untitled-2"/>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09335" cy="8801735"/>
                  </a:xfrm>
                  <a:prstGeom prst="rect">
                    <a:avLst/>
                  </a:prstGeom>
                  <a:noFill/>
                  <a:ln>
                    <a:noFill/>
                  </a:ln>
                </pic:spPr>
              </pic:pic>
            </a:graphicData>
          </a:graphic>
          <wp14:sizeRelH relativeFrom="page">
            <wp14:pctWidth>0</wp14:pctWidth>
          </wp14:sizeRelH>
          <wp14:sizeRelV relativeFrom="page">
            <wp14:pctHeight>0</wp14:pctHeight>
          </wp14:sizeRelV>
        </wp:anchor>
      </w:drawing>
    </w:r>
    <w:r w:rsidR="00B31118" w:rsidRPr="004817E8">
      <w:rPr>
        <w:rFonts w:cs="B Zar"/>
        <w:sz w:val="28"/>
        <w:rtl/>
      </w:rPr>
      <w:tab/>
    </w:r>
  </w:p>
  <w:p w:rsidR="00B31118" w:rsidRPr="004817E8" w:rsidRDefault="00B31118" w:rsidP="004817E8">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31118" w:rsidRPr="004817E8" w:rsidRDefault="00261222" w:rsidP="004817E8">
    <w:pPr>
      <w:tabs>
        <w:tab w:val="left" w:pos="2984"/>
      </w:tabs>
      <w:ind w:left="284" w:right="284"/>
      <w:rPr>
        <w:rFonts w:cs="B Zar" w:hint="cs"/>
        <w:sz w:val="28"/>
        <w:rtl/>
      </w:rPr>
    </w:pPr>
    <w:r>
      <w:rPr>
        <w:rFonts w:ascii="Times New Roman Bold" w:hAnsi="Times New Roman Bold" w:cs="B Zar" w:hint="cs"/>
        <w:noProof/>
        <w:sz w:val="28"/>
        <w:rtl/>
      </w:rPr>
      <mc:AlternateContent>
        <mc:Choice Requires="wps">
          <w:drawing>
            <wp:anchor distT="0" distB="0" distL="114300" distR="114300" simplePos="0" relativeHeight="251651072" behindDoc="0" locked="0" layoutInCell="1" allowOverlap="1">
              <wp:simplePos x="0" y="0"/>
              <wp:positionH relativeFrom="column">
                <wp:posOffset>127000</wp:posOffset>
              </wp:positionH>
              <wp:positionV relativeFrom="paragraph">
                <wp:posOffset>200660</wp:posOffset>
              </wp:positionV>
              <wp:extent cx="2604135" cy="360680"/>
              <wp:effectExtent l="3175" t="635" r="2540" b="635"/>
              <wp:wrapNone/>
              <wp:docPr id="13"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04135" cy="3606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31118" w:rsidRDefault="00B31118" w:rsidP="00F353FF">
                          <w:pPr>
                            <w:jc w:val="center"/>
                            <w:rPr>
                              <w:rFonts w:hint="cs"/>
                              <w:rtl/>
                            </w:rPr>
                          </w:pPr>
                          <w:r w:rsidRPr="00F2006D">
                            <w:rPr>
                              <w:rFonts w:cs="KFGQPC Uthman Taha Naskh" w:hint="cs"/>
                              <w:b/>
                              <w:bCs/>
                              <w:szCs w:val="24"/>
                              <w:rtl/>
                              <w:lang w:bidi="fa-IR"/>
                            </w:rPr>
                            <w:t>ترجمة</w:t>
                          </w:r>
                          <w:r w:rsidRPr="00F2006D">
                            <w:rPr>
                              <w:rFonts w:cs="KFGQPC Uthman Taha Naskh"/>
                              <w:b/>
                              <w:bCs/>
                              <w:szCs w:val="24"/>
                              <w:rtl/>
                              <w:lang w:bidi="fa-IR"/>
                            </w:rPr>
                            <w:t xml:space="preserve"> </w:t>
                          </w:r>
                          <w:r w:rsidRPr="00F2006D">
                            <w:rPr>
                              <w:rFonts w:cs="KFGQPC Uthman Taha Naskh" w:hint="cs"/>
                              <w:b/>
                              <w:bCs/>
                              <w:szCs w:val="24"/>
                              <w:rtl/>
                              <w:lang w:bidi="fa-IR"/>
                            </w:rPr>
                            <w:t>مختصرة</w:t>
                          </w:r>
                          <w:r w:rsidRPr="00F2006D">
                            <w:rPr>
                              <w:rFonts w:cs="KFGQPC Uthman Taha Naskh"/>
                              <w:b/>
                              <w:bCs/>
                              <w:szCs w:val="24"/>
                              <w:rtl/>
                              <w:lang w:bidi="fa-IR"/>
                            </w:rPr>
                            <w:t xml:space="preserve"> </w:t>
                          </w:r>
                          <w:r w:rsidRPr="00F2006D">
                            <w:rPr>
                              <w:rFonts w:cs="KFGQPC Uthman Taha Naskh" w:hint="cs"/>
                              <w:b/>
                              <w:bCs/>
                              <w:szCs w:val="24"/>
                              <w:rtl/>
                              <w:lang w:bidi="fa-IR"/>
                            </w:rPr>
                            <w:t>للأستاذ</w:t>
                          </w:r>
                          <w:r w:rsidRPr="00F2006D">
                            <w:rPr>
                              <w:rFonts w:cs="KFGQPC Uthman Taha Naskh"/>
                              <w:b/>
                              <w:bCs/>
                              <w:szCs w:val="24"/>
                              <w:rtl/>
                              <w:lang w:bidi="fa-IR"/>
                            </w:rPr>
                            <w:t xml:space="preserve"> </w:t>
                          </w:r>
                          <w:r w:rsidRPr="00F2006D">
                            <w:rPr>
                              <w:rFonts w:cs="KFGQPC Uthman Taha Naskh" w:hint="cs"/>
                              <w:b/>
                              <w:bCs/>
                              <w:szCs w:val="24"/>
                              <w:rtl/>
                              <w:lang w:bidi="fa-IR"/>
                            </w:rPr>
                            <w:t>حيدر</w:t>
                          </w:r>
                          <w:r w:rsidRPr="00F2006D">
                            <w:rPr>
                              <w:rFonts w:cs="KFGQPC Uthman Taha Naskh"/>
                              <w:b/>
                              <w:bCs/>
                              <w:szCs w:val="24"/>
                              <w:rtl/>
                              <w:lang w:bidi="fa-IR"/>
                            </w:rPr>
                            <w:t xml:space="preserve"> </w:t>
                          </w:r>
                          <w:r w:rsidRPr="00F2006D">
                            <w:rPr>
                              <w:rFonts w:cs="KFGQPC Uthman Taha Naskh" w:hint="cs"/>
                              <w:b/>
                              <w:bCs/>
                              <w:szCs w:val="24"/>
                              <w:rtl/>
                              <w:lang w:bidi="fa-IR"/>
                            </w:rPr>
                            <w:t>علي</w:t>
                          </w:r>
                          <w:r w:rsidRPr="00F2006D">
                            <w:rPr>
                              <w:rFonts w:cs="KFGQPC Uthman Taha Naskh"/>
                              <w:b/>
                              <w:bCs/>
                              <w:szCs w:val="24"/>
                              <w:rtl/>
                              <w:lang w:bidi="fa-IR"/>
                            </w:rPr>
                            <w:t xml:space="preserve"> </w:t>
                          </w:r>
                          <w:r w:rsidRPr="00F2006D">
                            <w:rPr>
                              <w:rFonts w:cs="KFGQPC Uthman Taha Naskh" w:hint="cs"/>
                              <w:b/>
                              <w:bCs/>
                              <w:szCs w:val="24"/>
                              <w:rtl/>
                              <w:lang w:bidi="fa-IR"/>
                            </w:rPr>
                            <w:t>قلمداران</w:t>
                          </w:r>
                          <w:r w:rsidRPr="00F2006D">
                            <w:rPr>
                              <w:rFonts w:cs="KFGQPC Uthman Taha Naskh"/>
                              <w:b/>
                              <w:bCs/>
                              <w:szCs w:val="24"/>
                              <w:rtl/>
                              <w:lang w:bidi="fa-IR"/>
                            </w:rPr>
                            <w:t xml:space="preserve"> </w:t>
                          </w:r>
                          <w:r w:rsidRPr="00F2006D">
                            <w:rPr>
                              <w:rFonts w:cs="KFGQPC Uthman Taha Naskh" w:hint="cs"/>
                              <w:b/>
                              <w:bCs/>
                              <w:szCs w:val="24"/>
                              <w:rtl/>
                              <w:lang w:bidi="fa-IR"/>
                            </w:rPr>
                            <w:t>رحمه</w:t>
                          </w:r>
                          <w:r w:rsidRPr="00F2006D">
                            <w:rPr>
                              <w:rFonts w:cs="KFGQPC Uthman Taha Naskh"/>
                              <w:b/>
                              <w:bCs/>
                              <w:szCs w:val="24"/>
                              <w:rtl/>
                              <w:lang w:bidi="fa-IR"/>
                            </w:rPr>
                            <w:t xml:space="preserve"> </w:t>
                          </w:r>
                          <w:r w:rsidRPr="00F2006D">
                            <w:rPr>
                              <w:rFonts w:cs="KFGQPC Uthman Taha Naskh" w:hint="cs"/>
                              <w:b/>
                              <w:bCs/>
                              <w:szCs w:val="24"/>
                              <w:rtl/>
                              <w:lang w:bidi="fa-IR"/>
                            </w:rPr>
                            <w:t>الله</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0" o:spid="_x0000_s1032" type="#_x0000_t202" style="position:absolute;left:0;text-align:left;margin-left:10pt;margin-top:15.8pt;width:205.05pt;height:28.4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" stroked="f">
              <v:textbox>
                <w:txbxContent>
                  <w:p w:rsidR="00B31118" w:rsidRDefault="00B31118" w:rsidP="00F353FF">
                    <w:pPr>
                      <w:jc w:val="center"/>
                      <w:rPr>
                        <w:rFonts w:hint="cs"/>
                        <w:rtl/>
                      </w:rPr>
                    </w:pPr>
                    <w:r w:rsidRPr="00F2006D">
                      <w:rPr>
                        <w:rFonts w:cs="KFGQPC Uthman Taha Naskh" w:hint="cs"/>
                        <w:b/>
                        <w:bCs/>
                        <w:szCs w:val="24"/>
                        <w:rtl/>
                        <w:lang w:bidi="fa-IR"/>
                      </w:rPr>
                      <w:t>ترجمة</w:t>
                    </w:r>
                    <w:r w:rsidRPr="00F2006D">
                      <w:rPr>
                        <w:rFonts w:cs="KFGQPC Uthman Taha Naskh"/>
                        <w:b/>
                        <w:bCs/>
                        <w:szCs w:val="24"/>
                        <w:rtl/>
                        <w:lang w:bidi="fa-IR"/>
                      </w:rPr>
                      <w:t xml:space="preserve"> </w:t>
                    </w:r>
                    <w:r w:rsidRPr="00F2006D">
                      <w:rPr>
                        <w:rFonts w:cs="KFGQPC Uthman Taha Naskh" w:hint="cs"/>
                        <w:b/>
                        <w:bCs/>
                        <w:szCs w:val="24"/>
                        <w:rtl/>
                        <w:lang w:bidi="fa-IR"/>
                      </w:rPr>
                      <w:t>مختصرة</w:t>
                    </w:r>
                    <w:r w:rsidRPr="00F2006D">
                      <w:rPr>
                        <w:rFonts w:cs="KFGQPC Uthman Taha Naskh"/>
                        <w:b/>
                        <w:bCs/>
                        <w:szCs w:val="24"/>
                        <w:rtl/>
                        <w:lang w:bidi="fa-IR"/>
                      </w:rPr>
                      <w:t xml:space="preserve"> </w:t>
                    </w:r>
                    <w:r w:rsidRPr="00F2006D">
                      <w:rPr>
                        <w:rFonts w:cs="KFGQPC Uthman Taha Naskh" w:hint="cs"/>
                        <w:b/>
                        <w:bCs/>
                        <w:szCs w:val="24"/>
                        <w:rtl/>
                        <w:lang w:bidi="fa-IR"/>
                      </w:rPr>
                      <w:t>للأستاذ</w:t>
                    </w:r>
                    <w:r w:rsidRPr="00F2006D">
                      <w:rPr>
                        <w:rFonts w:cs="KFGQPC Uthman Taha Naskh"/>
                        <w:b/>
                        <w:bCs/>
                        <w:szCs w:val="24"/>
                        <w:rtl/>
                        <w:lang w:bidi="fa-IR"/>
                      </w:rPr>
                      <w:t xml:space="preserve"> </w:t>
                    </w:r>
                    <w:r w:rsidRPr="00F2006D">
                      <w:rPr>
                        <w:rFonts w:cs="KFGQPC Uthman Taha Naskh" w:hint="cs"/>
                        <w:b/>
                        <w:bCs/>
                        <w:szCs w:val="24"/>
                        <w:rtl/>
                        <w:lang w:bidi="fa-IR"/>
                      </w:rPr>
                      <w:t>حيدر</w:t>
                    </w:r>
                    <w:r w:rsidRPr="00F2006D">
                      <w:rPr>
                        <w:rFonts w:cs="KFGQPC Uthman Taha Naskh"/>
                        <w:b/>
                        <w:bCs/>
                        <w:szCs w:val="24"/>
                        <w:rtl/>
                        <w:lang w:bidi="fa-IR"/>
                      </w:rPr>
                      <w:t xml:space="preserve"> </w:t>
                    </w:r>
                    <w:r w:rsidRPr="00F2006D">
                      <w:rPr>
                        <w:rFonts w:cs="KFGQPC Uthman Taha Naskh" w:hint="cs"/>
                        <w:b/>
                        <w:bCs/>
                        <w:szCs w:val="24"/>
                        <w:rtl/>
                        <w:lang w:bidi="fa-IR"/>
                      </w:rPr>
                      <w:t>علي</w:t>
                    </w:r>
                    <w:r w:rsidRPr="00F2006D">
                      <w:rPr>
                        <w:rFonts w:cs="KFGQPC Uthman Taha Naskh"/>
                        <w:b/>
                        <w:bCs/>
                        <w:szCs w:val="24"/>
                        <w:rtl/>
                        <w:lang w:bidi="fa-IR"/>
                      </w:rPr>
                      <w:t xml:space="preserve"> </w:t>
                    </w:r>
                    <w:r w:rsidRPr="00F2006D">
                      <w:rPr>
                        <w:rFonts w:cs="KFGQPC Uthman Taha Naskh" w:hint="cs"/>
                        <w:b/>
                        <w:bCs/>
                        <w:szCs w:val="24"/>
                        <w:rtl/>
                        <w:lang w:bidi="fa-IR"/>
                      </w:rPr>
                      <w:t>قلمداران</w:t>
                    </w:r>
                    <w:r w:rsidRPr="00F2006D">
                      <w:rPr>
                        <w:rFonts w:cs="KFGQPC Uthman Taha Naskh"/>
                        <w:b/>
                        <w:bCs/>
                        <w:szCs w:val="24"/>
                        <w:rtl/>
                        <w:lang w:bidi="fa-IR"/>
                      </w:rPr>
                      <w:t xml:space="preserve"> </w:t>
                    </w:r>
                    <w:r w:rsidRPr="00F2006D">
                      <w:rPr>
                        <w:rFonts w:cs="KFGQPC Uthman Taha Naskh" w:hint="cs"/>
                        <w:b/>
                        <w:bCs/>
                        <w:szCs w:val="24"/>
                        <w:rtl/>
                        <w:lang w:bidi="fa-IR"/>
                      </w:rPr>
                      <w:t>رحمه</w:t>
                    </w:r>
                    <w:r w:rsidRPr="00F2006D">
                      <w:rPr>
                        <w:rFonts w:cs="KFGQPC Uthman Taha Naskh"/>
                        <w:b/>
                        <w:bCs/>
                        <w:szCs w:val="24"/>
                        <w:rtl/>
                        <w:lang w:bidi="fa-IR"/>
                      </w:rPr>
                      <w:t xml:space="preserve"> </w:t>
                    </w:r>
                    <w:r w:rsidRPr="00F2006D">
                      <w:rPr>
                        <w:rFonts w:cs="KFGQPC Uthman Taha Naskh" w:hint="cs"/>
                        <w:b/>
                        <w:bCs/>
                        <w:szCs w:val="24"/>
                        <w:rtl/>
                        <w:lang w:bidi="fa-IR"/>
                      </w:rPr>
                      <w:t>الله</w:t>
                    </w:r>
                  </w:p>
                </w:txbxContent>
              </v:textbox>
            </v:shape>
          </w:pict>
        </mc:Fallback>
      </mc:AlternateContent>
    </w:r>
    <w:r>
      <w:rPr>
        <w:rFonts w:cs="B Titr" w:hint="cs"/>
        <w:noProof/>
        <w:sz w:val="28"/>
        <w:szCs w:val="24"/>
        <w:rtl/>
      </w:rPr>
      <w:drawing>
        <wp:anchor distT="0" distB="0" distL="114300" distR="114300" simplePos="0" relativeHeight="251650048" behindDoc="1" locked="0" layoutInCell="1" allowOverlap="1">
          <wp:simplePos x="0" y="0"/>
          <wp:positionH relativeFrom="column">
            <wp:posOffset>-606425</wp:posOffset>
          </wp:positionH>
          <wp:positionV relativeFrom="paragraph">
            <wp:posOffset>-104775</wp:posOffset>
          </wp:positionV>
          <wp:extent cx="6109335" cy="8801735"/>
          <wp:effectExtent l="0" t="0" r="5715" b="0"/>
          <wp:wrapNone/>
          <wp:docPr id="19" name="Picture 19" descr="Untitled-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9" descr="Untitled-2"/>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09335" cy="8801735"/>
                  </a:xfrm>
                  <a:prstGeom prst="rect">
                    <a:avLst/>
                  </a:prstGeom>
                  <a:noFill/>
                  <a:ln>
                    <a:noFill/>
                  </a:ln>
                </pic:spPr>
              </pic:pic>
            </a:graphicData>
          </a:graphic>
          <wp14:sizeRelH relativeFrom="page">
            <wp14:pctWidth>0</wp14:pctWidth>
          </wp14:sizeRelH>
          <wp14:sizeRelV relativeFrom="page">
            <wp14:pctHeight>0</wp14:pctHeight>
          </wp14:sizeRelV>
        </wp:anchor>
      </w:drawing>
    </w:r>
    <w:r w:rsidR="00B31118" w:rsidRPr="004817E8">
      <w:rPr>
        <w:rFonts w:cs="B Zar"/>
        <w:sz w:val="28"/>
        <w:rtl/>
      </w:rPr>
      <w:tab/>
    </w:r>
  </w:p>
  <w:p w:rsidR="00B31118" w:rsidRPr="004817E8" w:rsidRDefault="00B31118" w:rsidP="004817E8">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31118" w:rsidRPr="004817E8" w:rsidRDefault="00261222" w:rsidP="004817E8">
    <w:pPr>
      <w:tabs>
        <w:tab w:val="left" w:pos="2984"/>
      </w:tabs>
      <w:ind w:left="284" w:right="284"/>
      <w:rPr>
        <w:rFonts w:cs="B Zar" w:hint="cs"/>
        <w:sz w:val="28"/>
        <w:rtl/>
      </w:rPr>
    </w:pPr>
    <w:r>
      <w:rPr>
        <w:rFonts w:ascii="Times New Roman Bold" w:hAnsi="Times New Roman Bold" w:cs="B Zar" w:hint="cs"/>
        <w:noProof/>
        <w:sz w:val="28"/>
        <w:rtl/>
      </w:rPr>
      <mc:AlternateContent>
        <mc:Choice Requires="wps">
          <w:drawing>
            <wp:anchor distT="0" distB="0" distL="114300" distR="114300" simplePos="0" relativeHeight="251653120" behindDoc="0" locked="0" layoutInCell="1" allowOverlap="1">
              <wp:simplePos x="0" y="0"/>
              <wp:positionH relativeFrom="column">
                <wp:posOffset>127000</wp:posOffset>
              </wp:positionH>
              <wp:positionV relativeFrom="paragraph">
                <wp:posOffset>200660</wp:posOffset>
              </wp:positionV>
              <wp:extent cx="1394460" cy="360680"/>
              <wp:effectExtent l="3175" t="635" r="2540" b="635"/>
              <wp:wrapNone/>
              <wp:docPr id="12"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4460" cy="3606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31118" w:rsidRDefault="00B31118" w:rsidP="00F353FF">
                          <w:pPr>
                            <w:jc w:val="center"/>
                            <w:rPr>
                              <w:rFonts w:hint="cs"/>
                              <w:rtl/>
                            </w:rPr>
                          </w:pPr>
                          <w:r w:rsidRPr="00F2006D">
                            <w:rPr>
                              <w:rFonts w:cs="KFGQPC Uthman Taha Naskh" w:hint="cs"/>
                              <w:b/>
                              <w:bCs/>
                              <w:szCs w:val="24"/>
                              <w:rtl/>
                              <w:lang w:bidi="fa-IR"/>
                            </w:rPr>
                            <w:t>مصطلحات</w:t>
                          </w:r>
                          <w:r w:rsidRPr="00F2006D">
                            <w:rPr>
                              <w:rFonts w:cs="KFGQPC Uthman Taha Naskh"/>
                              <w:b/>
                              <w:bCs/>
                              <w:szCs w:val="24"/>
                              <w:rtl/>
                              <w:lang w:bidi="fa-IR"/>
                            </w:rPr>
                            <w:t xml:space="preserve"> </w:t>
                          </w:r>
                          <w:r w:rsidRPr="00F2006D">
                            <w:rPr>
                              <w:rFonts w:cs="KFGQPC Uthman Taha Naskh" w:hint="cs"/>
                              <w:b/>
                              <w:bCs/>
                              <w:szCs w:val="24"/>
                              <w:rtl/>
                              <w:lang w:bidi="fa-IR"/>
                            </w:rPr>
                            <w:t>علم</w:t>
                          </w:r>
                          <w:r w:rsidRPr="00F2006D">
                            <w:rPr>
                              <w:rFonts w:cs="KFGQPC Uthman Taha Naskh"/>
                              <w:b/>
                              <w:bCs/>
                              <w:szCs w:val="24"/>
                              <w:rtl/>
                              <w:lang w:bidi="fa-IR"/>
                            </w:rPr>
                            <w:t xml:space="preserve"> </w:t>
                          </w:r>
                          <w:r w:rsidRPr="00F2006D">
                            <w:rPr>
                              <w:rFonts w:cs="KFGQPC Uthman Taha Naskh" w:hint="cs"/>
                              <w:b/>
                              <w:bCs/>
                              <w:szCs w:val="24"/>
                              <w:rtl/>
                              <w:lang w:bidi="fa-IR"/>
                            </w:rPr>
                            <w:t>الحديث</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2" o:spid="_x0000_s1033" type="#_x0000_t202" style="position:absolute;left:0;text-align:left;margin-left:10pt;margin-top:15.8pt;width:109.8pt;height:28.4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" stroked="f">
              <v:textbox>
                <w:txbxContent>
                  <w:p w:rsidR="00B31118" w:rsidRDefault="00B31118" w:rsidP="00F353FF">
                    <w:pPr>
                      <w:jc w:val="center"/>
                      <w:rPr>
                        <w:rFonts w:hint="cs"/>
                        <w:rtl/>
                      </w:rPr>
                    </w:pPr>
                    <w:r w:rsidRPr="00F2006D">
                      <w:rPr>
                        <w:rFonts w:cs="KFGQPC Uthman Taha Naskh" w:hint="cs"/>
                        <w:b/>
                        <w:bCs/>
                        <w:szCs w:val="24"/>
                        <w:rtl/>
                        <w:lang w:bidi="fa-IR"/>
                      </w:rPr>
                      <w:t>مصطلحات</w:t>
                    </w:r>
                    <w:r w:rsidRPr="00F2006D">
                      <w:rPr>
                        <w:rFonts w:cs="KFGQPC Uthman Taha Naskh"/>
                        <w:b/>
                        <w:bCs/>
                        <w:szCs w:val="24"/>
                        <w:rtl/>
                        <w:lang w:bidi="fa-IR"/>
                      </w:rPr>
                      <w:t xml:space="preserve"> </w:t>
                    </w:r>
                    <w:r w:rsidRPr="00F2006D">
                      <w:rPr>
                        <w:rFonts w:cs="KFGQPC Uthman Taha Naskh" w:hint="cs"/>
                        <w:b/>
                        <w:bCs/>
                        <w:szCs w:val="24"/>
                        <w:rtl/>
                        <w:lang w:bidi="fa-IR"/>
                      </w:rPr>
                      <w:t>علم</w:t>
                    </w:r>
                    <w:r w:rsidRPr="00F2006D">
                      <w:rPr>
                        <w:rFonts w:cs="KFGQPC Uthman Taha Naskh"/>
                        <w:b/>
                        <w:bCs/>
                        <w:szCs w:val="24"/>
                        <w:rtl/>
                        <w:lang w:bidi="fa-IR"/>
                      </w:rPr>
                      <w:t xml:space="preserve"> </w:t>
                    </w:r>
                    <w:r w:rsidRPr="00F2006D">
                      <w:rPr>
                        <w:rFonts w:cs="KFGQPC Uthman Taha Naskh" w:hint="cs"/>
                        <w:b/>
                        <w:bCs/>
                        <w:szCs w:val="24"/>
                        <w:rtl/>
                        <w:lang w:bidi="fa-IR"/>
                      </w:rPr>
                      <w:t>الحديث</w:t>
                    </w:r>
                  </w:p>
                </w:txbxContent>
              </v:textbox>
            </v:shape>
          </w:pict>
        </mc:Fallback>
      </mc:AlternateContent>
    </w:r>
    <w:r>
      <w:rPr>
        <w:rFonts w:cs="B Titr" w:hint="cs"/>
        <w:noProof/>
        <w:sz w:val="28"/>
        <w:szCs w:val="24"/>
        <w:rtl/>
      </w:rPr>
      <w:drawing>
        <wp:anchor distT="0" distB="0" distL="114300" distR="114300" simplePos="0" relativeHeight="251652096" behindDoc="1" locked="0" layoutInCell="1" allowOverlap="1">
          <wp:simplePos x="0" y="0"/>
          <wp:positionH relativeFrom="column">
            <wp:posOffset>-606425</wp:posOffset>
          </wp:positionH>
          <wp:positionV relativeFrom="paragraph">
            <wp:posOffset>-104775</wp:posOffset>
          </wp:positionV>
          <wp:extent cx="6109335" cy="8801735"/>
          <wp:effectExtent l="0" t="0" r="5715" b="0"/>
          <wp:wrapNone/>
          <wp:docPr id="21" name="Picture 21" descr="Untitled-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1" descr="Untitled-2"/>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09335" cy="8801735"/>
                  </a:xfrm>
                  <a:prstGeom prst="rect">
                    <a:avLst/>
                  </a:prstGeom>
                  <a:noFill/>
                  <a:ln>
                    <a:noFill/>
                  </a:ln>
                </pic:spPr>
              </pic:pic>
            </a:graphicData>
          </a:graphic>
          <wp14:sizeRelH relativeFrom="page">
            <wp14:pctWidth>0</wp14:pctWidth>
          </wp14:sizeRelH>
          <wp14:sizeRelV relativeFrom="page">
            <wp14:pctHeight>0</wp14:pctHeight>
          </wp14:sizeRelV>
        </wp:anchor>
      </w:drawing>
    </w:r>
    <w:r w:rsidR="00B31118" w:rsidRPr="004817E8">
      <w:rPr>
        <w:rFonts w:cs="B Zar"/>
        <w:sz w:val="28"/>
        <w:rtl/>
      </w:rPr>
      <w:tab/>
    </w:r>
  </w:p>
  <w:p w:rsidR="00B31118" w:rsidRPr="004817E8" w:rsidRDefault="00B31118" w:rsidP="004817E8">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31118" w:rsidRPr="004817E8" w:rsidRDefault="00261222" w:rsidP="004817E8">
    <w:pPr>
      <w:tabs>
        <w:tab w:val="left" w:pos="2984"/>
      </w:tabs>
      <w:ind w:left="284" w:right="284"/>
      <w:rPr>
        <w:rFonts w:cs="B Zar" w:hint="cs"/>
        <w:sz w:val="28"/>
        <w:rtl/>
      </w:rPr>
    </w:pPr>
    <w:r>
      <w:rPr>
        <w:rFonts w:ascii="Times New Roman Bold" w:hAnsi="Times New Roman Bold" w:cs="B Zar" w:hint="cs"/>
        <w:noProof/>
        <w:sz w:val="28"/>
        <w:rtl/>
      </w:rPr>
      <mc:AlternateContent>
        <mc:Choice Requires="wps">
          <w:drawing>
            <wp:anchor distT="0" distB="0" distL="114300" distR="114300" simplePos="0" relativeHeight="251655168" behindDoc="0" locked="0" layoutInCell="1" allowOverlap="1">
              <wp:simplePos x="0" y="0"/>
              <wp:positionH relativeFrom="column">
                <wp:posOffset>127000</wp:posOffset>
              </wp:positionH>
              <wp:positionV relativeFrom="paragraph">
                <wp:posOffset>200660</wp:posOffset>
              </wp:positionV>
              <wp:extent cx="918210" cy="360680"/>
              <wp:effectExtent l="3175" t="635" r="2540" b="635"/>
              <wp:wrapNone/>
              <wp:docPr id="11"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8210" cy="3606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31118" w:rsidRDefault="00B31118" w:rsidP="00F353FF">
                          <w:pPr>
                            <w:jc w:val="center"/>
                            <w:rPr>
                              <w:rFonts w:hint="cs"/>
                              <w:rtl/>
                            </w:rPr>
                          </w:pPr>
                          <w:r w:rsidRPr="00F2006D">
                            <w:rPr>
                              <w:rFonts w:cs="KFGQPC Uthman Taha Naskh" w:hint="cs"/>
                              <w:b/>
                              <w:bCs/>
                              <w:szCs w:val="24"/>
                              <w:rtl/>
                              <w:lang w:bidi="fa-IR"/>
                            </w:rPr>
                            <w:t>مقدِّمة</w:t>
                          </w:r>
                          <w:r w:rsidRPr="00F2006D">
                            <w:rPr>
                              <w:rFonts w:cs="KFGQPC Uthman Taha Naskh"/>
                              <w:b/>
                              <w:bCs/>
                              <w:szCs w:val="24"/>
                              <w:rtl/>
                              <w:lang w:bidi="fa-IR"/>
                            </w:rPr>
                            <w:t xml:space="preserve"> </w:t>
                          </w:r>
                          <w:r w:rsidRPr="00F2006D">
                            <w:rPr>
                              <w:rFonts w:cs="KFGQPC Uthman Taha Naskh" w:hint="cs"/>
                              <w:b/>
                              <w:bCs/>
                              <w:szCs w:val="24"/>
                              <w:rtl/>
                              <w:lang w:bidi="fa-IR"/>
                            </w:rPr>
                            <w:t>المترجِم</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4" o:spid="_x0000_s1034" type="#_x0000_t202" style="position:absolute;left:0;text-align:left;margin-left:10pt;margin-top:15.8pt;width:72.3pt;height:28.4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" stroked="f">
              <v:textbox>
                <w:txbxContent>
                  <w:p w:rsidR="00B31118" w:rsidRDefault="00B31118" w:rsidP="00F353FF">
                    <w:pPr>
                      <w:jc w:val="center"/>
                      <w:rPr>
                        <w:rFonts w:hint="cs"/>
                        <w:rtl/>
                      </w:rPr>
                    </w:pPr>
                    <w:r w:rsidRPr="00F2006D">
                      <w:rPr>
                        <w:rFonts w:cs="KFGQPC Uthman Taha Naskh" w:hint="cs"/>
                        <w:b/>
                        <w:bCs/>
                        <w:szCs w:val="24"/>
                        <w:rtl/>
                        <w:lang w:bidi="fa-IR"/>
                      </w:rPr>
                      <w:t>مقدِّمة</w:t>
                    </w:r>
                    <w:r w:rsidRPr="00F2006D">
                      <w:rPr>
                        <w:rFonts w:cs="KFGQPC Uthman Taha Naskh"/>
                        <w:b/>
                        <w:bCs/>
                        <w:szCs w:val="24"/>
                        <w:rtl/>
                        <w:lang w:bidi="fa-IR"/>
                      </w:rPr>
                      <w:t xml:space="preserve"> </w:t>
                    </w:r>
                    <w:r w:rsidRPr="00F2006D">
                      <w:rPr>
                        <w:rFonts w:cs="KFGQPC Uthman Taha Naskh" w:hint="cs"/>
                        <w:b/>
                        <w:bCs/>
                        <w:szCs w:val="24"/>
                        <w:rtl/>
                        <w:lang w:bidi="fa-IR"/>
                      </w:rPr>
                      <w:t>المترجِم</w:t>
                    </w:r>
                  </w:p>
                </w:txbxContent>
              </v:textbox>
            </v:shape>
          </w:pict>
        </mc:Fallback>
      </mc:AlternateContent>
    </w:r>
    <w:r>
      <w:rPr>
        <w:rFonts w:cs="B Titr" w:hint="cs"/>
        <w:noProof/>
        <w:sz w:val="28"/>
        <w:szCs w:val="24"/>
        <w:rtl/>
      </w:rPr>
      <w:drawing>
        <wp:anchor distT="0" distB="0" distL="114300" distR="114300" simplePos="0" relativeHeight="251654144" behindDoc="1" locked="0" layoutInCell="1" allowOverlap="1">
          <wp:simplePos x="0" y="0"/>
          <wp:positionH relativeFrom="column">
            <wp:posOffset>-606425</wp:posOffset>
          </wp:positionH>
          <wp:positionV relativeFrom="paragraph">
            <wp:posOffset>-104775</wp:posOffset>
          </wp:positionV>
          <wp:extent cx="6109335" cy="8801735"/>
          <wp:effectExtent l="0" t="0" r="5715" b="0"/>
          <wp:wrapNone/>
          <wp:docPr id="23" name="Picture 23" descr="Untitled-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3" descr="Untitled-2"/>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09335" cy="8801735"/>
                  </a:xfrm>
                  <a:prstGeom prst="rect">
                    <a:avLst/>
                  </a:prstGeom>
                  <a:noFill/>
                  <a:ln>
                    <a:noFill/>
                  </a:ln>
                </pic:spPr>
              </pic:pic>
            </a:graphicData>
          </a:graphic>
          <wp14:sizeRelH relativeFrom="page">
            <wp14:pctWidth>0</wp14:pctWidth>
          </wp14:sizeRelH>
          <wp14:sizeRelV relativeFrom="page">
            <wp14:pctHeight>0</wp14:pctHeight>
          </wp14:sizeRelV>
        </wp:anchor>
      </w:drawing>
    </w:r>
    <w:r w:rsidR="00B31118" w:rsidRPr="004817E8">
      <w:rPr>
        <w:rFonts w:cs="B Zar"/>
        <w:sz w:val="28"/>
        <w:rtl/>
      </w:rPr>
      <w:tab/>
    </w:r>
  </w:p>
  <w:p w:rsidR="00B31118" w:rsidRPr="004817E8" w:rsidRDefault="00B31118" w:rsidP="004817E8">
    <w:pPr>
      <w:pStyle w:val="Heade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31118" w:rsidRPr="004817E8" w:rsidRDefault="00261222" w:rsidP="004817E8">
    <w:pPr>
      <w:tabs>
        <w:tab w:val="left" w:pos="2984"/>
      </w:tabs>
      <w:ind w:left="284" w:right="284"/>
      <w:rPr>
        <w:rFonts w:cs="B Zar" w:hint="cs"/>
        <w:sz w:val="28"/>
        <w:rtl/>
      </w:rPr>
    </w:pPr>
    <w:r>
      <w:rPr>
        <w:rFonts w:ascii="Times New Roman Bold" w:hAnsi="Times New Roman Bold" w:cs="B Zar" w:hint="cs"/>
        <w:noProof/>
        <w:sz w:val="28"/>
        <w:rtl/>
      </w:rPr>
      <mc:AlternateContent>
        <mc:Choice Requires="wps">
          <w:drawing>
            <wp:anchor distT="0" distB="0" distL="114300" distR="114300" simplePos="0" relativeHeight="251657216" behindDoc="0" locked="0" layoutInCell="1" allowOverlap="1">
              <wp:simplePos x="0" y="0"/>
              <wp:positionH relativeFrom="column">
                <wp:posOffset>127000</wp:posOffset>
              </wp:positionH>
              <wp:positionV relativeFrom="paragraph">
                <wp:posOffset>200660</wp:posOffset>
              </wp:positionV>
              <wp:extent cx="918210" cy="360680"/>
              <wp:effectExtent l="3175" t="635" r="2540" b="635"/>
              <wp:wrapNone/>
              <wp:docPr id="10"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8210" cy="3606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31118" w:rsidRDefault="00B31118" w:rsidP="00F353FF">
                          <w:pPr>
                            <w:jc w:val="center"/>
                            <w:rPr>
                              <w:rFonts w:hint="cs"/>
                              <w:rtl/>
                            </w:rPr>
                          </w:pPr>
                          <w:r w:rsidRPr="00F2006D">
                            <w:rPr>
                              <w:rFonts w:cs="KFGQPC Uthman Taha Naskh" w:hint="cs"/>
                              <w:b/>
                              <w:bCs/>
                              <w:szCs w:val="24"/>
                              <w:rtl/>
                              <w:lang w:bidi="fa-IR"/>
                            </w:rPr>
                            <w:t>مقدِّمة</w:t>
                          </w:r>
                          <w:r w:rsidRPr="00F2006D">
                            <w:rPr>
                              <w:rFonts w:cs="KFGQPC Uthman Taha Naskh"/>
                              <w:b/>
                              <w:bCs/>
                              <w:szCs w:val="24"/>
                              <w:rtl/>
                              <w:lang w:bidi="fa-IR"/>
                            </w:rPr>
                            <w:t xml:space="preserve"> </w:t>
                          </w:r>
                          <w:r w:rsidRPr="00F2006D">
                            <w:rPr>
                              <w:rFonts w:cs="KFGQPC Uthman Taha Naskh" w:hint="cs"/>
                              <w:b/>
                              <w:bCs/>
                              <w:szCs w:val="24"/>
                              <w:rtl/>
                              <w:lang w:bidi="fa-IR"/>
                            </w:rPr>
                            <w:t>المؤلف</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6" o:spid="_x0000_s1035" type="#_x0000_t202" style="position:absolute;left:0;text-align:left;margin-left:10pt;margin-top:15.8pt;width:72.3pt;height:28.4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" stroked="f">
              <v:textbox>
                <w:txbxContent>
                  <w:p w:rsidR="00B31118" w:rsidRDefault="00B31118" w:rsidP="00F353FF">
                    <w:pPr>
                      <w:jc w:val="center"/>
                      <w:rPr>
                        <w:rFonts w:hint="cs"/>
                        <w:rtl/>
                      </w:rPr>
                    </w:pPr>
                    <w:r w:rsidRPr="00F2006D">
                      <w:rPr>
                        <w:rFonts w:cs="KFGQPC Uthman Taha Naskh" w:hint="cs"/>
                        <w:b/>
                        <w:bCs/>
                        <w:szCs w:val="24"/>
                        <w:rtl/>
                        <w:lang w:bidi="fa-IR"/>
                      </w:rPr>
                      <w:t>مقدِّمة</w:t>
                    </w:r>
                    <w:r w:rsidRPr="00F2006D">
                      <w:rPr>
                        <w:rFonts w:cs="KFGQPC Uthman Taha Naskh"/>
                        <w:b/>
                        <w:bCs/>
                        <w:szCs w:val="24"/>
                        <w:rtl/>
                        <w:lang w:bidi="fa-IR"/>
                      </w:rPr>
                      <w:t xml:space="preserve"> </w:t>
                    </w:r>
                    <w:r w:rsidRPr="00F2006D">
                      <w:rPr>
                        <w:rFonts w:cs="KFGQPC Uthman Taha Naskh" w:hint="cs"/>
                        <w:b/>
                        <w:bCs/>
                        <w:szCs w:val="24"/>
                        <w:rtl/>
                        <w:lang w:bidi="fa-IR"/>
                      </w:rPr>
                      <w:t>المؤلف</w:t>
                    </w:r>
                  </w:p>
                </w:txbxContent>
              </v:textbox>
            </v:shape>
          </w:pict>
        </mc:Fallback>
      </mc:AlternateContent>
    </w:r>
    <w:r>
      <w:rPr>
        <w:rFonts w:cs="B Titr" w:hint="cs"/>
        <w:noProof/>
        <w:sz w:val="28"/>
        <w:szCs w:val="24"/>
        <w:rtl/>
      </w:rPr>
      <w:drawing>
        <wp:anchor distT="0" distB="0" distL="114300" distR="114300" simplePos="0" relativeHeight="251656192" behindDoc="1" locked="0" layoutInCell="1" allowOverlap="1">
          <wp:simplePos x="0" y="0"/>
          <wp:positionH relativeFrom="column">
            <wp:posOffset>-606425</wp:posOffset>
          </wp:positionH>
          <wp:positionV relativeFrom="paragraph">
            <wp:posOffset>-104775</wp:posOffset>
          </wp:positionV>
          <wp:extent cx="6109335" cy="8801735"/>
          <wp:effectExtent l="0" t="0" r="5715" b="0"/>
          <wp:wrapNone/>
          <wp:docPr id="25" name="Picture 25" descr="Untitled-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Untitled-2"/>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09335" cy="8801735"/>
                  </a:xfrm>
                  <a:prstGeom prst="rect">
                    <a:avLst/>
                  </a:prstGeom>
                  <a:noFill/>
                  <a:ln>
                    <a:noFill/>
                  </a:ln>
                </pic:spPr>
              </pic:pic>
            </a:graphicData>
          </a:graphic>
          <wp14:sizeRelH relativeFrom="page">
            <wp14:pctWidth>0</wp14:pctWidth>
          </wp14:sizeRelH>
          <wp14:sizeRelV relativeFrom="page">
            <wp14:pctHeight>0</wp14:pctHeight>
          </wp14:sizeRelV>
        </wp:anchor>
      </w:drawing>
    </w:r>
    <w:r w:rsidR="00B31118" w:rsidRPr="004817E8">
      <w:rPr>
        <w:rFonts w:cs="B Zar"/>
        <w:sz w:val="28"/>
        <w:rtl/>
      </w:rPr>
      <w:tab/>
    </w:r>
  </w:p>
  <w:p w:rsidR="00B31118" w:rsidRPr="004817E8" w:rsidRDefault="00B31118" w:rsidP="004817E8">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31118" w:rsidRPr="004817E8" w:rsidRDefault="00261222" w:rsidP="004817E8">
    <w:pPr>
      <w:tabs>
        <w:tab w:val="left" w:pos="2984"/>
      </w:tabs>
      <w:ind w:left="284" w:right="284"/>
      <w:rPr>
        <w:rFonts w:cs="B Zar" w:hint="cs"/>
        <w:sz w:val="28"/>
        <w:rtl/>
      </w:rPr>
    </w:pPr>
    <w:r>
      <w:rPr>
        <w:rFonts w:ascii="Times New Roman Bold" w:hAnsi="Times New Roman Bold" w:cs="B Zar" w:hint="cs"/>
        <w:noProof/>
        <w:sz w:val="28"/>
        <w:rtl/>
      </w:rPr>
      <mc:AlternateContent>
        <mc:Choice Requires="wps">
          <w:drawing>
            <wp:anchor distT="0" distB="0" distL="114300" distR="114300" simplePos="0" relativeHeight="251659264" behindDoc="0" locked="0" layoutInCell="1" allowOverlap="1">
              <wp:simplePos x="0" y="0"/>
              <wp:positionH relativeFrom="column">
                <wp:posOffset>127000</wp:posOffset>
              </wp:positionH>
              <wp:positionV relativeFrom="paragraph">
                <wp:posOffset>200660</wp:posOffset>
              </wp:positionV>
              <wp:extent cx="2099310" cy="360680"/>
              <wp:effectExtent l="3175" t="635" r="2540" b="635"/>
              <wp:wrapNone/>
              <wp:docPr id="9"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99310" cy="3606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31118" w:rsidRDefault="00B31118" w:rsidP="00F2006D">
                          <w:pPr>
                            <w:jc w:val="center"/>
                            <w:rPr>
                              <w:rFonts w:hint="cs"/>
                              <w:rtl/>
                            </w:rPr>
                          </w:pPr>
                          <w:r w:rsidRPr="00F2006D">
                            <w:rPr>
                              <w:rFonts w:cs="KFGQPC Uthman Taha Naskh" w:hint="cs"/>
                              <w:b/>
                              <w:bCs/>
                              <w:szCs w:val="24"/>
                              <w:rtl/>
                              <w:lang w:bidi="fa-IR"/>
                            </w:rPr>
                            <w:t>الفصل</w:t>
                          </w:r>
                          <w:r w:rsidRPr="00F2006D">
                            <w:rPr>
                              <w:rFonts w:cs="KFGQPC Uthman Taha Naskh"/>
                              <w:b/>
                              <w:bCs/>
                              <w:szCs w:val="24"/>
                              <w:rtl/>
                              <w:lang w:bidi="fa-IR"/>
                            </w:rPr>
                            <w:t xml:space="preserve"> </w:t>
                          </w:r>
                          <w:r w:rsidRPr="00F2006D">
                            <w:rPr>
                              <w:rFonts w:cs="KFGQPC Uthman Taha Naskh" w:hint="cs"/>
                              <w:b/>
                              <w:bCs/>
                              <w:szCs w:val="24"/>
                              <w:rtl/>
                              <w:lang w:bidi="fa-IR"/>
                            </w:rPr>
                            <w:t>الأول</w:t>
                          </w:r>
                          <w:r>
                            <w:rPr>
                              <w:rFonts w:cs="KFGQPC Uthman Taha Naskh" w:hint="cs"/>
                              <w:b/>
                              <w:bCs/>
                              <w:szCs w:val="24"/>
                              <w:rtl/>
                            </w:rPr>
                            <w:t>:</w:t>
                          </w:r>
                          <w:r>
                            <w:rPr>
                              <w:rFonts w:cs="KFGQPC Uthman Taha Naskh" w:hint="cs"/>
                              <w:b/>
                              <w:bCs/>
                              <w:szCs w:val="24"/>
                              <w:rtl/>
                              <w:lang w:bidi="fa-IR"/>
                            </w:rPr>
                            <w:t xml:space="preserve"> </w:t>
                          </w:r>
                          <w:r w:rsidRPr="00F2006D">
                            <w:rPr>
                              <w:rFonts w:cs="KFGQPC Uthman Taha Naskh" w:hint="cs"/>
                              <w:b/>
                              <w:bCs/>
                              <w:szCs w:val="24"/>
                              <w:rtl/>
                              <w:lang w:bidi="fa-IR"/>
                            </w:rPr>
                            <w:t>حقيقة</w:t>
                          </w:r>
                          <w:r w:rsidRPr="00F2006D">
                            <w:rPr>
                              <w:rFonts w:cs="KFGQPC Uthman Taha Naskh"/>
                              <w:b/>
                              <w:bCs/>
                              <w:szCs w:val="24"/>
                              <w:rtl/>
                              <w:lang w:bidi="fa-IR"/>
                            </w:rPr>
                            <w:t xml:space="preserve"> </w:t>
                          </w:r>
                          <w:r w:rsidRPr="00F2006D">
                            <w:rPr>
                              <w:rFonts w:cs="KFGQPC Uthman Taha Naskh" w:hint="cs"/>
                              <w:b/>
                              <w:bCs/>
                              <w:szCs w:val="24"/>
                              <w:rtl/>
                              <w:lang w:bidi="fa-IR"/>
                            </w:rPr>
                            <w:t>الخمس</w:t>
                          </w:r>
                          <w:r w:rsidRPr="00F2006D">
                            <w:rPr>
                              <w:rFonts w:cs="KFGQPC Uthman Taha Naskh"/>
                              <w:b/>
                              <w:bCs/>
                              <w:szCs w:val="24"/>
                              <w:rtl/>
                              <w:lang w:bidi="fa-IR"/>
                            </w:rPr>
                            <w:t xml:space="preserve"> </w:t>
                          </w:r>
                          <w:r w:rsidRPr="00F2006D">
                            <w:rPr>
                              <w:rFonts w:cs="KFGQPC Uthman Taha Naskh" w:hint="cs"/>
                              <w:b/>
                              <w:bCs/>
                              <w:szCs w:val="24"/>
                              <w:rtl/>
                              <w:lang w:bidi="fa-IR"/>
                            </w:rPr>
                            <w:t>في</w:t>
                          </w:r>
                          <w:r w:rsidRPr="00F2006D">
                            <w:rPr>
                              <w:rFonts w:cs="KFGQPC Uthman Taha Naskh"/>
                              <w:b/>
                              <w:bCs/>
                              <w:szCs w:val="24"/>
                              <w:rtl/>
                              <w:lang w:bidi="fa-IR"/>
                            </w:rPr>
                            <w:t xml:space="preserve"> </w:t>
                          </w:r>
                          <w:r w:rsidRPr="00F2006D">
                            <w:rPr>
                              <w:rFonts w:cs="KFGQPC Uthman Taha Naskh" w:hint="cs"/>
                              <w:b/>
                              <w:bCs/>
                              <w:szCs w:val="24"/>
                              <w:rtl/>
                              <w:lang w:bidi="fa-IR"/>
                            </w:rPr>
                            <w:t>الإسلام</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8" o:spid="_x0000_s1036" type="#_x0000_t202" style="position:absolute;left:0;text-align:left;margin-left:10pt;margin-top:15.8pt;width:165.3pt;height:28.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" stroked="f">
              <v:textbox>
                <w:txbxContent>
                  <w:p w:rsidR="00B31118" w:rsidRDefault="00B31118" w:rsidP="00F2006D">
                    <w:pPr>
                      <w:jc w:val="center"/>
                      <w:rPr>
                        <w:rFonts w:hint="cs"/>
                        <w:rtl/>
                      </w:rPr>
                    </w:pPr>
                    <w:r w:rsidRPr="00F2006D">
                      <w:rPr>
                        <w:rFonts w:cs="KFGQPC Uthman Taha Naskh" w:hint="cs"/>
                        <w:b/>
                        <w:bCs/>
                        <w:szCs w:val="24"/>
                        <w:rtl/>
                        <w:lang w:bidi="fa-IR"/>
                      </w:rPr>
                      <w:t>الفصل</w:t>
                    </w:r>
                    <w:r w:rsidRPr="00F2006D">
                      <w:rPr>
                        <w:rFonts w:cs="KFGQPC Uthman Taha Naskh"/>
                        <w:b/>
                        <w:bCs/>
                        <w:szCs w:val="24"/>
                        <w:rtl/>
                        <w:lang w:bidi="fa-IR"/>
                      </w:rPr>
                      <w:t xml:space="preserve"> </w:t>
                    </w:r>
                    <w:r w:rsidRPr="00F2006D">
                      <w:rPr>
                        <w:rFonts w:cs="KFGQPC Uthman Taha Naskh" w:hint="cs"/>
                        <w:b/>
                        <w:bCs/>
                        <w:szCs w:val="24"/>
                        <w:rtl/>
                        <w:lang w:bidi="fa-IR"/>
                      </w:rPr>
                      <w:t>الأول</w:t>
                    </w:r>
                    <w:r>
                      <w:rPr>
                        <w:rFonts w:cs="KFGQPC Uthman Taha Naskh" w:hint="cs"/>
                        <w:b/>
                        <w:bCs/>
                        <w:szCs w:val="24"/>
                        <w:rtl/>
                      </w:rPr>
                      <w:t>:</w:t>
                    </w:r>
                    <w:r>
                      <w:rPr>
                        <w:rFonts w:cs="KFGQPC Uthman Taha Naskh" w:hint="cs"/>
                        <w:b/>
                        <w:bCs/>
                        <w:szCs w:val="24"/>
                        <w:rtl/>
                        <w:lang w:bidi="fa-IR"/>
                      </w:rPr>
                      <w:t xml:space="preserve"> </w:t>
                    </w:r>
                    <w:r w:rsidRPr="00F2006D">
                      <w:rPr>
                        <w:rFonts w:cs="KFGQPC Uthman Taha Naskh" w:hint="cs"/>
                        <w:b/>
                        <w:bCs/>
                        <w:szCs w:val="24"/>
                        <w:rtl/>
                        <w:lang w:bidi="fa-IR"/>
                      </w:rPr>
                      <w:t>حقيقة</w:t>
                    </w:r>
                    <w:r w:rsidRPr="00F2006D">
                      <w:rPr>
                        <w:rFonts w:cs="KFGQPC Uthman Taha Naskh"/>
                        <w:b/>
                        <w:bCs/>
                        <w:szCs w:val="24"/>
                        <w:rtl/>
                        <w:lang w:bidi="fa-IR"/>
                      </w:rPr>
                      <w:t xml:space="preserve"> </w:t>
                    </w:r>
                    <w:r w:rsidRPr="00F2006D">
                      <w:rPr>
                        <w:rFonts w:cs="KFGQPC Uthman Taha Naskh" w:hint="cs"/>
                        <w:b/>
                        <w:bCs/>
                        <w:szCs w:val="24"/>
                        <w:rtl/>
                        <w:lang w:bidi="fa-IR"/>
                      </w:rPr>
                      <w:t>الخمس</w:t>
                    </w:r>
                    <w:r w:rsidRPr="00F2006D">
                      <w:rPr>
                        <w:rFonts w:cs="KFGQPC Uthman Taha Naskh"/>
                        <w:b/>
                        <w:bCs/>
                        <w:szCs w:val="24"/>
                        <w:rtl/>
                        <w:lang w:bidi="fa-IR"/>
                      </w:rPr>
                      <w:t xml:space="preserve"> </w:t>
                    </w:r>
                    <w:r w:rsidRPr="00F2006D">
                      <w:rPr>
                        <w:rFonts w:cs="KFGQPC Uthman Taha Naskh" w:hint="cs"/>
                        <w:b/>
                        <w:bCs/>
                        <w:szCs w:val="24"/>
                        <w:rtl/>
                        <w:lang w:bidi="fa-IR"/>
                      </w:rPr>
                      <w:t>في</w:t>
                    </w:r>
                    <w:r w:rsidRPr="00F2006D">
                      <w:rPr>
                        <w:rFonts w:cs="KFGQPC Uthman Taha Naskh"/>
                        <w:b/>
                        <w:bCs/>
                        <w:szCs w:val="24"/>
                        <w:rtl/>
                        <w:lang w:bidi="fa-IR"/>
                      </w:rPr>
                      <w:t xml:space="preserve"> </w:t>
                    </w:r>
                    <w:r w:rsidRPr="00F2006D">
                      <w:rPr>
                        <w:rFonts w:cs="KFGQPC Uthman Taha Naskh" w:hint="cs"/>
                        <w:b/>
                        <w:bCs/>
                        <w:szCs w:val="24"/>
                        <w:rtl/>
                        <w:lang w:bidi="fa-IR"/>
                      </w:rPr>
                      <w:t>الإسلام</w:t>
                    </w:r>
                  </w:p>
                </w:txbxContent>
              </v:textbox>
            </v:shape>
          </w:pict>
        </mc:Fallback>
      </mc:AlternateContent>
    </w:r>
    <w:r>
      <w:rPr>
        <w:rFonts w:cs="B Titr" w:hint="cs"/>
        <w:noProof/>
        <w:sz w:val="28"/>
        <w:szCs w:val="24"/>
        <w:rtl/>
      </w:rPr>
      <w:drawing>
        <wp:anchor distT="0" distB="0" distL="114300" distR="114300" simplePos="0" relativeHeight="251658240" behindDoc="1" locked="0" layoutInCell="1" allowOverlap="1">
          <wp:simplePos x="0" y="0"/>
          <wp:positionH relativeFrom="column">
            <wp:posOffset>-606425</wp:posOffset>
          </wp:positionH>
          <wp:positionV relativeFrom="paragraph">
            <wp:posOffset>-104775</wp:posOffset>
          </wp:positionV>
          <wp:extent cx="6109335" cy="8801735"/>
          <wp:effectExtent l="0" t="0" r="5715" b="0"/>
          <wp:wrapNone/>
          <wp:docPr id="27" name="Picture 27" descr="Untitled-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7" descr="Untitled-2"/>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09335" cy="8801735"/>
                  </a:xfrm>
                  <a:prstGeom prst="rect">
                    <a:avLst/>
                  </a:prstGeom>
                  <a:noFill/>
                  <a:ln>
                    <a:noFill/>
                  </a:ln>
                </pic:spPr>
              </pic:pic>
            </a:graphicData>
          </a:graphic>
          <wp14:sizeRelH relativeFrom="page">
            <wp14:pctWidth>0</wp14:pctWidth>
          </wp14:sizeRelH>
          <wp14:sizeRelV relativeFrom="page">
            <wp14:pctHeight>0</wp14:pctHeight>
          </wp14:sizeRelV>
        </wp:anchor>
      </w:drawing>
    </w:r>
    <w:r w:rsidR="00B31118" w:rsidRPr="004817E8">
      <w:rPr>
        <w:rFonts w:cs="B Zar"/>
        <w:sz w:val="28"/>
        <w:rtl/>
      </w:rPr>
      <w:tab/>
    </w:r>
  </w:p>
  <w:p w:rsidR="00B31118" w:rsidRPr="004817E8" w:rsidRDefault="00B31118" w:rsidP="004817E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BD72697E"/>
    <w:lvl w:ilvl="0">
      <w:start w:val="1"/>
      <w:numFmt w:val="decimal"/>
      <w:lvlText w:val="%1."/>
      <w:lvlJc w:val="left"/>
      <w:pPr>
        <w:tabs>
          <w:tab w:val="num" w:pos="1492"/>
        </w:tabs>
        <w:ind w:left="1492" w:hanging="360"/>
      </w:pPr>
    </w:lvl>
  </w:abstractNum>
  <w:abstractNum w:abstractNumId="1">
    <w:nsid w:val="FFFFFF7D"/>
    <w:multiLevelType w:val="singleLevel"/>
    <w:tmpl w:val="94AE4CDA"/>
    <w:lvl w:ilvl="0">
      <w:start w:val="1"/>
      <w:numFmt w:val="decimal"/>
      <w:lvlText w:val="%1."/>
      <w:lvlJc w:val="left"/>
      <w:pPr>
        <w:tabs>
          <w:tab w:val="num" w:pos="1209"/>
        </w:tabs>
        <w:ind w:left="1209" w:hanging="360"/>
      </w:pPr>
    </w:lvl>
  </w:abstractNum>
  <w:abstractNum w:abstractNumId="2">
    <w:nsid w:val="FFFFFF7E"/>
    <w:multiLevelType w:val="singleLevel"/>
    <w:tmpl w:val="E4A660C4"/>
    <w:lvl w:ilvl="0">
      <w:start w:val="1"/>
      <w:numFmt w:val="decimal"/>
      <w:lvlText w:val="%1."/>
      <w:lvlJc w:val="left"/>
      <w:pPr>
        <w:tabs>
          <w:tab w:val="num" w:pos="926"/>
        </w:tabs>
        <w:ind w:left="926" w:hanging="360"/>
      </w:pPr>
    </w:lvl>
  </w:abstractNum>
  <w:abstractNum w:abstractNumId="3">
    <w:nsid w:val="FFFFFF7F"/>
    <w:multiLevelType w:val="singleLevel"/>
    <w:tmpl w:val="357C2BC8"/>
    <w:lvl w:ilvl="0">
      <w:start w:val="1"/>
      <w:numFmt w:val="decimal"/>
      <w:lvlText w:val="%1."/>
      <w:lvlJc w:val="left"/>
      <w:pPr>
        <w:tabs>
          <w:tab w:val="num" w:pos="643"/>
        </w:tabs>
        <w:ind w:left="643" w:hanging="360"/>
      </w:pPr>
    </w:lvl>
  </w:abstractNum>
  <w:abstractNum w:abstractNumId="4">
    <w:nsid w:val="FFFFFF80"/>
    <w:multiLevelType w:val="singleLevel"/>
    <w:tmpl w:val="1966E246"/>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D9F65C0E"/>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B35ECD4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B3099E0"/>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4148EB44"/>
    <w:lvl w:ilvl="0">
      <w:start w:val="1"/>
      <w:numFmt w:val="decimal"/>
      <w:lvlText w:val="%1."/>
      <w:lvlJc w:val="left"/>
      <w:pPr>
        <w:tabs>
          <w:tab w:val="num" w:pos="360"/>
        </w:tabs>
        <w:ind w:left="360" w:hanging="360"/>
      </w:pPr>
    </w:lvl>
  </w:abstractNum>
  <w:abstractNum w:abstractNumId="9">
    <w:nsid w:val="FFFFFF89"/>
    <w:multiLevelType w:val="singleLevel"/>
    <w:tmpl w:val="7CD6C4B2"/>
    <w:lvl w:ilvl="0">
      <w:start w:val="1"/>
      <w:numFmt w:val="bullet"/>
      <w:lvlText w:val=""/>
      <w:lvlJc w:val="left"/>
      <w:pPr>
        <w:tabs>
          <w:tab w:val="num" w:pos="360"/>
        </w:tabs>
        <w:ind w:left="360" w:hanging="360"/>
      </w:pPr>
      <w:rPr>
        <w:rFonts w:ascii="Symbol" w:hAnsi="Symbol" w:hint="default"/>
      </w:rPr>
    </w:lvl>
  </w:abstractNum>
  <w:abstractNum w:abstractNumId="10">
    <w:nsid w:val="00DF1A24"/>
    <w:multiLevelType w:val="multilevel"/>
    <w:tmpl w:val="A1A25A32"/>
    <w:lvl w:ilvl="0">
      <w:start w:val="1"/>
      <w:numFmt w:val="decimal"/>
      <w:lvlText w:val="%1."/>
      <w:lvlJc w:val="left"/>
      <w:pPr>
        <w:tabs>
          <w:tab w:val="num" w:pos="360"/>
        </w:tabs>
        <w:ind w:left="360" w:hanging="360"/>
      </w:pPr>
      <w:rPr>
        <w:rFonts w:hint="default"/>
        <w:vertAlign w:val="baseline"/>
      </w:rPr>
    </w:lvl>
    <w:lvl w:ilvl="1">
      <w:start w:val="1"/>
      <w:numFmt w:val="lowerRoman"/>
      <w:lvlText w:val="%2."/>
      <w:lvlJc w:val="right"/>
      <w:pPr>
        <w:tabs>
          <w:tab w:val="num" w:pos="1080"/>
        </w:tabs>
        <w:ind w:right="1080" w:hanging="360"/>
      </w:pPr>
      <w:rPr>
        <w:rFonts w:cs="Times New Roman"/>
      </w:rPr>
    </w:lvl>
    <w:lvl w:ilvl="2">
      <w:start w:val="1"/>
      <w:numFmt w:val="arabicAbjad"/>
      <w:lvlText w:val="%3."/>
      <w:lvlJc w:val="left"/>
      <w:pPr>
        <w:tabs>
          <w:tab w:val="num" w:pos="1800"/>
        </w:tabs>
        <w:ind w:right="1800" w:hanging="180"/>
      </w:pPr>
      <w:rPr>
        <w:rFonts w:cs="Times New Roman"/>
      </w:rPr>
    </w:lvl>
    <w:lvl w:ilvl="3">
      <w:start w:val="1"/>
      <w:numFmt w:val="decimal"/>
      <w:lvlText w:val="%4."/>
      <w:lvlJc w:val="right"/>
      <w:pPr>
        <w:tabs>
          <w:tab w:val="num" w:pos="2520"/>
        </w:tabs>
        <w:ind w:right="2520" w:hanging="360"/>
      </w:pPr>
      <w:rPr>
        <w:rFonts w:cs="Times New Roman"/>
      </w:rPr>
    </w:lvl>
    <w:lvl w:ilvl="4">
      <w:start w:val="1"/>
      <w:numFmt w:val="lowerRoman"/>
      <w:lvlText w:val="%5."/>
      <w:lvlJc w:val="right"/>
      <w:pPr>
        <w:tabs>
          <w:tab w:val="num" w:pos="3240"/>
        </w:tabs>
        <w:ind w:right="3240" w:hanging="360"/>
      </w:pPr>
      <w:rPr>
        <w:rFonts w:cs="Times New Roman"/>
      </w:rPr>
    </w:lvl>
    <w:lvl w:ilvl="5">
      <w:start w:val="1"/>
      <w:numFmt w:val="arabicAbjad"/>
      <w:lvlText w:val="%6."/>
      <w:lvlJc w:val="left"/>
      <w:pPr>
        <w:tabs>
          <w:tab w:val="num" w:pos="3960"/>
        </w:tabs>
        <w:ind w:right="3960" w:hanging="180"/>
      </w:pPr>
      <w:rPr>
        <w:rFonts w:cs="Times New Roman"/>
      </w:rPr>
    </w:lvl>
    <w:lvl w:ilvl="6">
      <w:start w:val="1"/>
      <w:numFmt w:val="decimal"/>
      <w:lvlText w:val="%7."/>
      <w:lvlJc w:val="right"/>
      <w:pPr>
        <w:tabs>
          <w:tab w:val="num" w:pos="4680"/>
        </w:tabs>
        <w:ind w:right="4680" w:hanging="360"/>
      </w:pPr>
      <w:rPr>
        <w:rFonts w:cs="Times New Roman"/>
      </w:rPr>
    </w:lvl>
    <w:lvl w:ilvl="7">
      <w:start w:val="1"/>
      <w:numFmt w:val="lowerRoman"/>
      <w:lvlText w:val="%8."/>
      <w:lvlJc w:val="right"/>
      <w:pPr>
        <w:tabs>
          <w:tab w:val="num" w:pos="5400"/>
        </w:tabs>
        <w:ind w:right="5400" w:hanging="360"/>
      </w:pPr>
      <w:rPr>
        <w:rFonts w:cs="Times New Roman"/>
      </w:rPr>
    </w:lvl>
    <w:lvl w:ilvl="8">
      <w:start w:val="1"/>
      <w:numFmt w:val="arabicAbjad"/>
      <w:lvlText w:val="%9."/>
      <w:lvlJc w:val="left"/>
      <w:pPr>
        <w:tabs>
          <w:tab w:val="num" w:pos="6120"/>
        </w:tabs>
        <w:ind w:right="6120" w:hanging="180"/>
      </w:pPr>
      <w:rPr>
        <w:rFonts w:cs="Times New Roman"/>
      </w:rPr>
    </w:lvl>
  </w:abstractNum>
  <w:abstractNum w:abstractNumId="11">
    <w:nsid w:val="0C362262"/>
    <w:multiLevelType w:val="multilevel"/>
    <w:tmpl w:val="A1A25A32"/>
    <w:lvl w:ilvl="0">
      <w:start w:val="1"/>
      <w:numFmt w:val="decimal"/>
      <w:lvlText w:val="%1."/>
      <w:lvlJc w:val="left"/>
      <w:pPr>
        <w:tabs>
          <w:tab w:val="num" w:pos="360"/>
        </w:tabs>
        <w:ind w:left="360" w:hanging="360"/>
      </w:pPr>
      <w:rPr>
        <w:rFonts w:hint="default"/>
        <w:vertAlign w:val="baseline"/>
      </w:rPr>
    </w:lvl>
    <w:lvl w:ilvl="1">
      <w:start w:val="1"/>
      <w:numFmt w:val="lowerRoman"/>
      <w:lvlText w:val="%2."/>
      <w:lvlJc w:val="right"/>
      <w:pPr>
        <w:tabs>
          <w:tab w:val="num" w:pos="1080"/>
        </w:tabs>
        <w:ind w:right="1080" w:hanging="360"/>
      </w:pPr>
      <w:rPr>
        <w:rFonts w:cs="Times New Roman"/>
      </w:rPr>
    </w:lvl>
    <w:lvl w:ilvl="2">
      <w:start w:val="1"/>
      <w:numFmt w:val="arabicAbjad"/>
      <w:lvlText w:val="%3."/>
      <w:lvlJc w:val="left"/>
      <w:pPr>
        <w:tabs>
          <w:tab w:val="num" w:pos="1800"/>
        </w:tabs>
        <w:ind w:right="1800" w:hanging="180"/>
      </w:pPr>
      <w:rPr>
        <w:rFonts w:cs="Times New Roman"/>
      </w:rPr>
    </w:lvl>
    <w:lvl w:ilvl="3">
      <w:start w:val="1"/>
      <w:numFmt w:val="decimal"/>
      <w:lvlText w:val="%4."/>
      <w:lvlJc w:val="right"/>
      <w:pPr>
        <w:tabs>
          <w:tab w:val="num" w:pos="2520"/>
        </w:tabs>
        <w:ind w:right="2520" w:hanging="360"/>
      </w:pPr>
      <w:rPr>
        <w:rFonts w:cs="Times New Roman"/>
      </w:rPr>
    </w:lvl>
    <w:lvl w:ilvl="4">
      <w:start w:val="1"/>
      <w:numFmt w:val="lowerRoman"/>
      <w:lvlText w:val="%5."/>
      <w:lvlJc w:val="right"/>
      <w:pPr>
        <w:tabs>
          <w:tab w:val="num" w:pos="3240"/>
        </w:tabs>
        <w:ind w:right="3240" w:hanging="360"/>
      </w:pPr>
      <w:rPr>
        <w:rFonts w:cs="Times New Roman"/>
      </w:rPr>
    </w:lvl>
    <w:lvl w:ilvl="5">
      <w:start w:val="1"/>
      <w:numFmt w:val="arabicAbjad"/>
      <w:lvlText w:val="%6."/>
      <w:lvlJc w:val="left"/>
      <w:pPr>
        <w:tabs>
          <w:tab w:val="num" w:pos="3960"/>
        </w:tabs>
        <w:ind w:right="3960" w:hanging="180"/>
      </w:pPr>
      <w:rPr>
        <w:rFonts w:cs="Times New Roman"/>
      </w:rPr>
    </w:lvl>
    <w:lvl w:ilvl="6">
      <w:start w:val="1"/>
      <w:numFmt w:val="decimal"/>
      <w:lvlText w:val="%7."/>
      <w:lvlJc w:val="right"/>
      <w:pPr>
        <w:tabs>
          <w:tab w:val="num" w:pos="4680"/>
        </w:tabs>
        <w:ind w:right="4680" w:hanging="360"/>
      </w:pPr>
      <w:rPr>
        <w:rFonts w:cs="Times New Roman"/>
      </w:rPr>
    </w:lvl>
    <w:lvl w:ilvl="7">
      <w:start w:val="1"/>
      <w:numFmt w:val="lowerRoman"/>
      <w:lvlText w:val="%8."/>
      <w:lvlJc w:val="right"/>
      <w:pPr>
        <w:tabs>
          <w:tab w:val="num" w:pos="5400"/>
        </w:tabs>
        <w:ind w:right="5400" w:hanging="360"/>
      </w:pPr>
      <w:rPr>
        <w:rFonts w:cs="Times New Roman"/>
      </w:rPr>
    </w:lvl>
    <w:lvl w:ilvl="8">
      <w:start w:val="1"/>
      <w:numFmt w:val="arabicAbjad"/>
      <w:lvlText w:val="%9."/>
      <w:lvlJc w:val="left"/>
      <w:pPr>
        <w:tabs>
          <w:tab w:val="num" w:pos="6120"/>
        </w:tabs>
        <w:ind w:right="6120" w:hanging="180"/>
      </w:pPr>
      <w:rPr>
        <w:rFonts w:cs="Times New Roman"/>
      </w:rPr>
    </w:lvl>
  </w:abstractNum>
  <w:abstractNum w:abstractNumId="12">
    <w:nsid w:val="0D3603EA"/>
    <w:multiLevelType w:val="hybridMultilevel"/>
    <w:tmpl w:val="9CA4C0B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10843DC2"/>
    <w:multiLevelType w:val="hybridMultilevel"/>
    <w:tmpl w:val="982670D0"/>
    <w:lvl w:ilvl="0" w:tplc="677445D6">
      <w:start w:val="1"/>
      <w:numFmt w:val="decimal"/>
      <w:lvlText w:val="%1-"/>
      <w:lvlJc w:val="left"/>
      <w:pPr>
        <w:tabs>
          <w:tab w:val="num" w:pos="899"/>
        </w:tabs>
        <w:ind w:left="899" w:hanging="615"/>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14">
    <w:nsid w:val="1F6106ED"/>
    <w:multiLevelType w:val="hybridMultilevel"/>
    <w:tmpl w:val="D39C89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1F6A60C8"/>
    <w:multiLevelType w:val="hybridMultilevel"/>
    <w:tmpl w:val="6B82D5D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29E60583"/>
    <w:multiLevelType w:val="hybridMultilevel"/>
    <w:tmpl w:val="3402B48E"/>
    <w:lvl w:ilvl="0" w:tplc="0409000F">
      <w:start w:val="1"/>
      <w:numFmt w:val="decimal"/>
      <w:lvlText w:val="%1."/>
      <w:lvlJc w:val="left"/>
      <w:pPr>
        <w:tabs>
          <w:tab w:val="num" w:pos="720"/>
        </w:tabs>
        <w:ind w:left="720"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nsid w:val="2BAA40EB"/>
    <w:multiLevelType w:val="multilevel"/>
    <w:tmpl w:val="A1A25A32"/>
    <w:lvl w:ilvl="0">
      <w:start w:val="1"/>
      <w:numFmt w:val="decimal"/>
      <w:lvlText w:val="%1."/>
      <w:lvlJc w:val="left"/>
      <w:pPr>
        <w:tabs>
          <w:tab w:val="num" w:pos="360"/>
        </w:tabs>
        <w:ind w:left="360" w:hanging="360"/>
      </w:pPr>
      <w:rPr>
        <w:rFonts w:hint="default"/>
        <w:vertAlign w:val="baseline"/>
      </w:rPr>
    </w:lvl>
    <w:lvl w:ilvl="1">
      <w:start w:val="1"/>
      <w:numFmt w:val="lowerRoman"/>
      <w:lvlText w:val="%2."/>
      <w:lvlJc w:val="right"/>
      <w:pPr>
        <w:tabs>
          <w:tab w:val="num" w:pos="1080"/>
        </w:tabs>
        <w:ind w:right="1080" w:hanging="360"/>
      </w:pPr>
      <w:rPr>
        <w:rFonts w:cs="Times New Roman"/>
      </w:rPr>
    </w:lvl>
    <w:lvl w:ilvl="2">
      <w:start w:val="1"/>
      <w:numFmt w:val="arabicAbjad"/>
      <w:lvlText w:val="%3."/>
      <w:lvlJc w:val="left"/>
      <w:pPr>
        <w:tabs>
          <w:tab w:val="num" w:pos="1800"/>
        </w:tabs>
        <w:ind w:right="1800" w:hanging="180"/>
      </w:pPr>
      <w:rPr>
        <w:rFonts w:cs="Times New Roman"/>
      </w:rPr>
    </w:lvl>
    <w:lvl w:ilvl="3">
      <w:start w:val="1"/>
      <w:numFmt w:val="decimal"/>
      <w:lvlText w:val="%4."/>
      <w:lvlJc w:val="right"/>
      <w:pPr>
        <w:tabs>
          <w:tab w:val="num" w:pos="2520"/>
        </w:tabs>
        <w:ind w:right="2520" w:hanging="360"/>
      </w:pPr>
      <w:rPr>
        <w:rFonts w:cs="Times New Roman"/>
      </w:rPr>
    </w:lvl>
    <w:lvl w:ilvl="4">
      <w:start w:val="1"/>
      <w:numFmt w:val="lowerRoman"/>
      <w:lvlText w:val="%5."/>
      <w:lvlJc w:val="right"/>
      <w:pPr>
        <w:tabs>
          <w:tab w:val="num" w:pos="3240"/>
        </w:tabs>
        <w:ind w:right="3240" w:hanging="360"/>
      </w:pPr>
      <w:rPr>
        <w:rFonts w:cs="Times New Roman"/>
      </w:rPr>
    </w:lvl>
    <w:lvl w:ilvl="5">
      <w:start w:val="1"/>
      <w:numFmt w:val="arabicAbjad"/>
      <w:lvlText w:val="%6."/>
      <w:lvlJc w:val="left"/>
      <w:pPr>
        <w:tabs>
          <w:tab w:val="num" w:pos="3960"/>
        </w:tabs>
        <w:ind w:right="3960" w:hanging="180"/>
      </w:pPr>
      <w:rPr>
        <w:rFonts w:cs="Times New Roman"/>
      </w:rPr>
    </w:lvl>
    <w:lvl w:ilvl="6">
      <w:start w:val="1"/>
      <w:numFmt w:val="decimal"/>
      <w:lvlText w:val="%7."/>
      <w:lvlJc w:val="right"/>
      <w:pPr>
        <w:tabs>
          <w:tab w:val="num" w:pos="4680"/>
        </w:tabs>
        <w:ind w:right="4680" w:hanging="360"/>
      </w:pPr>
      <w:rPr>
        <w:rFonts w:cs="Times New Roman"/>
      </w:rPr>
    </w:lvl>
    <w:lvl w:ilvl="7">
      <w:start w:val="1"/>
      <w:numFmt w:val="lowerRoman"/>
      <w:lvlText w:val="%8."/>
      <w:lvlJc w:val="right"/>
      <w:pPr>
        <w:tabs>
          <w:tab w:val="num" w:pos="5400"/>
        </w:tabs>
        <w:ind w:right="5400" w:hanging="360"/>
      </w:pPr>
      <w:rPr>
        <w:rFonts w:cs="Times New Roman"/>
      </w:rPr>
    </w:lvl>
    <w:lvl w:ilvl="8">
      <w:start w:val="1"/>
      <w:numFmt w:val="arabicAbjad"/>
      <w:lvlText w:val="%9."/>
      <w:lvlJc w:val="left"/>
      <w:pPr>
        <w:tabs>
          <w:tab w:val="num" w:pos="6120"/>
        </w:tabs>
        <w:ind w:right="6120" w:hanging="180"/>
      </w:pPr>
      <w:rPr>
        <w:rFonts w:cs="Times New Roman"/>
      </w:rPr>
    </w:lvl>
  </w:abstractNum>
  <w:abstractNum w:abstractNumId="18">
    <w:nsid w:val="35897C43"/>
    <w:multiLevelType w:val="hybridMultilevel"/>
    <w:tmpl w:val="D6CAA8C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nsid w:val="380256CF"/>
    <w:multiLevelType w:val="multilevel"/>
    <w:tmpl w:val="A1A25A32"/>
    <w:lvl w:ilvl="0">
      <w:start w:val="1"/>
      <w:numFmt w:val="decimal"/>
      <w:lvlText w:val="%1."/>
      <w:lvlJc w:val="left"/>
      <w:pPr>
        <w:tabs>
          <w:tab w:val="num" w:pos="360"/>
        </w:tabs>
        <w:ind w:left="360" w:hanging="360"/>
      </w:pPr>
      <w:rPr>
        <w:rFonts w:hint="default"/>
        <w:vertAlign w:val="baseline"/>
      </w:rPr>
    </w:lvl>
    <w:lvl w:ilvl="1">
      <w:start w:val="1"/>
      <w:numFmt w:val="lowerRoman"/>
      <w:lvlText w:val="%2."/>
      <w:lvlJc w:val="right"/>
      <w:pPr>
        <w:tabs>
          <w:tab w:val="num" w:pos="1080"/>
        </w:tabs>
        <w:ind w:right="1080" w:hanging="360"/>
      </w:pPr>
      <w:rPr>
        <w:rFonts w:cs="Times New Roman"/>
      </w:rPr>
    </w:lvl>
    <w:lvl w:ilvl="2">
      <w:start w:val="1"/>
      <w:numFmt w:val="arabicAbjad"/>
      <w:lvlText w:val="%3."/>
      <w:lvlJc w:val="left"/>
      <w:pPr>
        <w:tabs>
          <w:tab w:val="num" w:pos="1800"/>
        </w:tabs>
        <w:ind w:right="1800" w:hanging="180"/>
      </w:pPr>
      <w:rPr>
        <w:rFonts w:cs="Times New Roman"/>
      </w:rPr>
    </w:lvl>
    <w:lvl w:ilvl="3">
      <w:start w:val="1"/>
      <w:numFmt w:val="decimal"/>
      <w:lvlText w:val="%4."/>
      <w:lvlJc w:val="right"/>
      <w:pPr>
        <w:tabs>
          <w:tab w:val="num" w:pos="2520"/>
        </w:tabs>
        <w:ind w:right="2520" w:hanging="360"/>
      </w:pPr>
      <w:rPr>
        <w:rFonts w:cs="Times New Roman"/>
      </w:rPr>
    </w:lvl>
    <w:lvl w:ilvl="4">
      <w:start w:val="1"/>
      <w:numFmt w:val="lowerRoman"/>
      <w:lvlText w:val="%5."/>
      <w:lvlJc w:val="right"/>
      <w:pPr>
        <w:tabs>
          <w:tab w:val="num" w:pos="3240"/>
        </w:tabs>
        <w:ind w:right="3240" w:hanging="360"/>
      </w:pPr>
      <w:rPr>
        <w:rFonts w:cs="Times New Roman"/>
      </w:rPr>
    </w:lvl>
    <w:lvl w:ilvl="5">
      <w:start w:val="1"/>
      <w:numFmt w:val="arabicAbjad"/>
      <w:lvlText w:val="%6."/>
      <w:lvlJc w:val="left"/>
      <w:pPr>
        <w:tabs>
          <w:tab w:val="num" w:pos="3960"/>
        </w:tabs>
        <w:ind w:right="3960" w:hanging="180"/>
      </w:pPr>
      <w:rPr>
        <w:rFonts w:cs="Times New Roman"/>
      </w:rPr>
    </w:lvl>
    <w:lvl w:ilvl="6">
      <w:start w:val="1"/>
      <w:numFmt w:val="decimal"/>
      <w:lvlText w:val="%7."/>
      <w:lvlJc w:val="right"/>
      <w:pPr>
        <w:tabs>
          <w:tab w:val="num" w:pos="4680"/>
        </w:tabs>
        <w:ind w:right="4680" w:hanging="360"/>
      </w:pPr>
      <w:rPr>
        <w:rFonts w:cs="Times New Roman"/>
      </w:rPr>
    </w:lvl>
    <w:lvl w:ilvl="7">
      <w:start w:val="1"/>
      <w:numFmt w:val="lowerRoman"/>
      <w:lvlText w:val="%8."/>
      <w:lvlJc w:val="right"/>
      <w:pPr>
        <w:tabs>
          <w:tab w:val="num" w:pos="5400"/>
        </w:tabs>
        <w:ind w:right="5400" w:hanging="360"/>
      </w:pPr>
      <w:rPr>
        <w:rFonts w:cs="Times New Roman"/>
      </w:rPr>
    </w:lvl>
    <w:lvl w:ilvl="8">
      <w:start w:val="1"/>
      <w:numFmt w:val="arabicAbjad"/>
      <w:lvlText w:val="%9."/>
      <w:lvlJc w:val="left"/>
      <w:pPr>
        <w:tabs>
          <w:tab w:val="num" w:pos="6120"/>
        </w:tabs>
        <w:ind w:right="6120" w:hanging="180"/>
      </w:pPr>
      <w:rPr>
        <w:rFonts w:cs="Times New Roman"/>
      </w:rPr>
    </w:lvl>
  </w:abstractNum>
  <w:abstractNum w:abstractNumId="20">
    <w:nsid w:val="43CE7329"/>
    <w:multiLevelType w:val="hybridMultilevel"/>
    <w:tmpl w:val="5388DE3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nsid w:val="4BBA7530"/>
    <w:multiLevelType w:val="multilevel"/>
    <w:tmpl w:val="A1A25A32"/>
    <w:lvl w:ilvl="0">
      <w:start w:val="1"/>
      <w:numFmt w:val="decimal"/>
      <w:lvlText w:val="%1."/>
      <w:lvlJc w:val="left"/>
      <w:pPr>
        <w:tabs>
          <w:tab w:val="num" w:pos="360"/>
        </w:tabs>
        <w:ind w:left="360" w:hanging="360"/>
      </w:pPr>
      <w:rPr>
        <w:rFonts w:hint="default"/>
        <w:vertAlign w:val="baseline"/>
      </w:rPr>
    </w:lvl>
    <w:lvl w:ilvl="1">
      <w:start w:val="1"/>
      <w:numFmt w:val="lowerRoman"/>
      <w:lvlText w:val="%2."/>
      <w:lvlJc w:val="right"/>
      <w:pPr>
        <w:tabs>
          <w:tab w:val="num" w:pos="1080"/>
        </w:tabs>
        <w:ind w:right="1080" w:hanging="360"/>
      </w:pPr>
      <w:rPr>
        <w:rFonts w:cs="Times New Roman"/>
      </w:rPr>
    </w:lvl>
    <w:lvl w:ilvl="2">
      <w:start w:val="1"/>
      <w:numFmt w:val="arabicAbjad"/>
      <w:lvlText w:val="%3."/>
      <w:lvlJc w:val="left"/>
      <w:pPr>
        <w:tabs>
          <w:tab w:val="num" w:pos="1800"/>
        </w:tabs>
        <w:ind w:right="1800" w:hanging="180"/>
      </w:pPr>
      <w:rPr>
        <w:rFonts w:cs="Times New Roman"/>
      </w:rPr>
    </w:lvl>
    <w:lvl w:ilvl="3">
      <w:start w:val="1"/>
      <w:numFmt w:val="decimal"/>
      <w:lvlText w:val="%4."/>
      <w:lvlJc w:val="right"/>
      <w:pPr>
        <w:tabs>
          <w:tab w:val="num" w:pos="2520"/>
        </w:tabs>
        <w:ind w:right="2520" w:hanging="360"/>
      </w:pPr>
      <w:rPr>
        <w:rFonts w:cs="Times New Roman"/>
      </w:rPr>
    </w:lvl>
    <w:lvl w:ilvl="4">
      <w:start w:val="1"/>
      <w:numFmt w:val="lowerRoman"/>
      <w:lvlText w:val="%5."/>
      <w:lvlJc w:val="right"/>
      <w:pPr>
        <w:tabs>
          <w:tab w:val="num" w:pos="3240"/>
        </w:tabs>
        <w:ind w:right="3240" w:hanging="360"/>
      </w:pPr>
      <w:rPr>
        <w:rFonts w:cs="Times New Roman"/>
      </w:rPr>
    </w:lvl>
    <w:lvl w:ilvl="5">
      <w:start w:val="1"/>
      <w:numFmt w:val="arabicAbjad"/>
      <w:lvlText w:val="%6."/>
      <w:lvlJc w:val="left"/>
      <w:pPr>
        <w:tabs>
          <w:tab w:val="num" w:pos="3960"/>
        </w:tabs>
        <w:ind w:right="3960" w:hanging="180"/>
      </w:pPr>
      <w:rPr>
        <w:rFonts w:cs="Times New Roman"/>
      </w:rPr>
    </w:lvl>
    <w:lvl w:ilvl="6">
      <w:start w:val="1"/>
      <w:numFmt w:val="decimal"/>
      <w:lvlText w:val="%7."/>
      <w:lvlJc w:val="right"/>
      <w:pPr>
        <w:tabs>
          <w:tab w:val="num" w:pos="4680"/>
        </w:tabs>
        <w:ind w:right="4680" w:hanging="360"/>
      </w:pPr>
      <w:rPr>
        <w:rFonts w:cs="Times New Roman"/>
      </w:rPr>
    </w:lvl>
    <w:lvl w:ilvl="7">
      <w:start w:val="1"/>
      <w:numFmt w:val="lowerRoman"/>
      <w:lvlText w:val="%8."/>
      <w:lvlJc w:val="right"/>
      <w:pPr>
        <w:tabs>
          <w:tab w:val="num" w:pos="5400"/>
        </w:tabs>
        <w:ind w:right="5400" w:hanging="360"/>
      </w:pPr>
      <w:rPr>
        <w:rFonts w:cs="Times New Roman"/>
      </w:rPr>
    </w:lvl>
    <w:lvl w:ilvl="8">
      <w:start w:val="1"/>
      <w:numFmt w:val="arabicAbjad"/>
      <w:lvlText w:val="%9."/>
      <w:lvlJc w:val="left"/>
      <w:pPr>
        <w:tabs>
          <w:tab w:val="num" w:pos="6120"/>
        </w:tabs>
        <w:ind w:right="6120" w:hanging="180"/>
      </w:pPr>
      <w:rPr>
        <w:rFonts w:cs="Times New Roman"/>
      </w:rPr>
    </w:lvl>
  </w:abstractNum>
  <w:abstractNum w:abstractNumId="22">
    <w:nsid w:val="528C7D1D"/>
    <w:multiLevelType w:val="hybridMultilevel"/>
    <w:tmpl w:val="19ECDA58"/>
    <w:lvl w:ilvl="0" w:tplc="17405198">
      <w:start w:val="1"/>
      <w:numFmt w:val="decimal"/>
      <w:lvlText w:val="%1."/>
      <w:lvlJc w:val="left"/>
      <w:pPr>
        <w:tabs>
          <w:tab w:val="num" w:pos="397"/>
        </w:tabs>
        <w:ind w:left="397" w:hanging="397"/>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3">
    <w:nsid w:val="553E62F3"/>
    <w:multiLevelType w:val="hybridMultilevel"/>
    <w:tmpl w:val="BED81ED8"/>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585A496D"/>
    <w:multiLevelType w:val="multilevel"/>
    <w:tmpl w:val="A1A25A32"/>
    <w:lvl w:ilvl="0">
      <w:start w:val="1"/>
      <w:numFmt w:val="decimal"/>
      <w:lvlText w:val="%1."/>
      <w:lvlJc w:val="left"/>
      <w:pPr>
        <w:tabs>
          <w:tab w:val="num" w:pos="360"/>
        </w:tabs>
        <w:ind w:left="360" w:hanging="360"/>
      </w:pPr>
      <w:rPr>
        <w:rFonts w:hint="default"/>
        <w:vertAlign w:val="baseline"/>
      </w:rPr>
    </w:lvl>
    <w:lvl w:ilvl="1">
      <w:start w:val="1"/>
      <w:numFmt w:val="lowerRoman"/>
      <w:lvlText w:val="%2."/>
      <w:lvlJc w:val="right"/>
      <w:pPr>
        <w:tabs>
          <w:tab w:val="num" w:pos="1080"/>
        </w:tabs>
        <w:ind w:right="1080" w:hanging="360"/>
      </w:pPr>
      <w:rPr>
        <w:rFonts w:cs="Times New Roman"/>
      </w:rPr>
    </w:lvl>
    <w:lvl w:ilvl="2">
      <w:start w:val="1"/>
      <w:numFmt w:val="arabicAbjad"/>
      <w:lvlText w:val="%3."/>
      <w:lvlJc w:val="left"/>
      <w:pPr>
        <w:tabs>
          <w:tab w:val="num" w:pos="1800"/>
        </w:tabs>
        <w:ind w:right="1800" w:hanging="180"/>
      </w:pPr>
      <w:rPr>
        <w:rFonts w:cs="Times New Roman"/>
      </w:rPr>
    </w:lvl>
    <w:lvl w:ilvl="3">
      <w:start w:val="1"/>
      <w:numFmt w:val="decimal"/>
      <w:lvlText w:val="%4."/>
      <w:lvlJc w:val="right"/>
      <w:pPr>
        <w:tabs>
          <w:tab w:val="num" w:pos="2520"/>
        </w:tabs>
        <w:ind w:right="2520" w:hanging="360"/>
      </w:pPr>
      <w:rPr>
        <w:rFonts w:cs="Times New Roman"/>
      </w:rPr>
    </w:lvl>
    <w:lvl w:ilvl="4">
      <w:start w:val="1"/>
      <w:numFmt w:val="lowerRoman"/>
      <w:lvlText w:val="%5."/>
      <w:lvlJc w:val="right"/>
      <w:pPr>
        <w:tabs>
          <w:tab w:val="num" w:pos="3240"/>
        </w:tabs>
        <w:ind w:right="3240" w:hanging="360"/>
      </w:pPr>
      <w:rPr>
        <w:rFonts w:cs="Times New Roman"/>
      </w:rPr>
    </w:lvl>
    <w:lvl w:ilvl="5">
      <w:start w:val="1"/>
      <w:numFmt w:val="arabicAbjad"/>
      <w:lvlText w:val="%6."/>
      <w:lvlJc w:val="left"/>
      <w:pPr>
        <w:tabs>
          <w:tab w:val="num" w:pos="3960"/>
        </w:tabs>
        <w:ind w:right="3960" w:hanging="180"/>
      </w:pPr>
      <w:rPr>
        <w:rFonts w:cs="Times New Roman"/>
      </w:rPr>
    </w:lvl>
    <w:lvl w:ilvl="6">
      <w:start w:val="1"/>
      <w:numFmt w:val="decimal"/>
      <w:lvlText w:val="%7."/>
      <w:lvlJc w:val="right"/>
      <w:pPr>
        <w:tabs>
          <w:tab w:val="num" w:pos="4680"/>
        </w:tabs>
        <w:ind w:right="4680" w:hanging="360"/>
      </w:pPr>
      <w:rPr>
        <w:rFonts w:cs="Times New Roman"/>
      </w:rPr>
    </w:lvl>
    <w:lvl w:ilvl="7">
      <w:start w:val="1"/>
      <w:numFmt w:val="lowerRoman"/>
      <w:lvlText w:val="%8."/>
      <w:lvlJc w:val="right"/>
      <w:pPr>
        <w:tabs>
          <w:tab w:val="num" w:pos="5400"/>
        </w:tabs>
        <w:ind w:right="5400" w:hanging="360"/>
      </w:pPr>
      <w:rPr>
        <w:rFonts w:cs="Times New Roman"/>
      </w:rPr>
    </w:lvl>
    <w:lvl w:ilvl="8">
      <w:start w:val="1"/>
      <w:numFmt w:val="arabicAbjad"/>
      <w:lvlText w:val="%9."/>
      <w:lvlJc w:val="left"/>
      <w:pPr>
        <w:tabs>
          <w:tab w:val="num" w:pos="6120"/>
        </w:tabs>
        <w:ind w:right="6120" w:hanging="180"/>
      </w:pPr>
      <w:rPr>
        <w:rFonts w:cs="Times New Roman"/>
      </w:rPr>
    </w:lvl>
  </w:abstractNum>
  <w:abstractNum w:abstractNumId="25">
    <w:nsid w:val="60380E96"/>
    <w:multiLevelType w:val="hybridMultilevel"/>
    <w:tmpl w:val="7B18BB60"/>
    <w:lvl w:ilvl="0" w:tplc="D014083E">
      <w:numFmt w:val="bullet"/>
      <w:lvlText w:val=""/>
      <w:lvlJc w:val="left"/>
      <w:pPr>
        <w:ind w:left="644" w:hanging="360"/>
      </w:pPr>
      <w:rPr>
        <w:rFonts w:ascii="AGA Arabesque" w:eastAsia="Times New Roman" w:hAnsi="AGA Arabesque" w:cs="mylotus" w:hint="default"/>
        <w:sz w:val="30"/>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26">
    <w:nsid w:val="61C46C59"/>
    <w:multiLevelType w:val="multilevel"/>
    <w:tmpl w:val="A1A25A32"/>
    <w:lvl w:ilvl="0">
      <w:start w:val="1"/>
      <w:numFmt w:val="decimal"/>
      <w:lvlText w:val="%1."/>
      <w:lvlJc w:val="left"/>
      <w:pPr>
        <w:tabs>
          <w:tab w:val="num" w:pos="360"/>
        </w:tabs>
        <w:ind w:left="360" w:hanging="360"/>
      </w:pPr>
      <w:rPr>
        <w:rFonts w:hint="default"/>
        <w:vertAlign w:val="baseline"/>
      </w:rPr>
    </w:lvl>
    <w:lvl w:ilvl="1">
      <w:start w:val="1"/>
      <w:numFmt w:val="lowerRoman"/>
      <w:lvlText w:val="%2."/>
      <w:lvlJc w:val="right"/>
      <w:pPr>
        <w:tabs>
          <w:tab w:val="num" w:pos="1080"/>
        </w:tabs>
        <w:ind w:right="1080" w:hanging="360"/>
      </w:pPr>
      <w:rPr>
        <w:rFonts w:cs="Times New Roman"/>
      </w:rPr>
    </w:lvl>
    <w:lvl w:ilvl="2">
      <w:start w:val="1"/>
      <w:numFmt w:val="arabicAbjad"/>
      <w:lvlText w:val="%3."/>
      <w:lvlJc w:val="left"/>
      <w:pPr>
        <w:tabs>
          <w:tab w:val="num" w:pos="1800"/>
        </w:tabs>
        <w:ind w:right="1800" w:hanging="180"/>
      </w:pPr>
      <w:rPr>
        <w:rFonts w:cs="Times New Roman"/>
      </w:rPr>
    </w:lvl>
    <w:lvl w:ilvl="3">
      <w:start w:val="1"/>
      <w:numFmt w:val="decimal"/>
      <w:lvlText w:val="%4."/>
      <w:lvlJc w:val="right"/>
      <w:pPr>
        <w:tabs>
          <w:tab w:val="num" w:pos="2520"/>
        </w:tabs>
        <w:ind w:right="2520" w:hanging="360"/>
      </w:pPr>
      <w:rPr>
        <w:rFonts w:cs="Times New Roman"/>
      </w:rPr>
    </w:lvl>
    <w:lvl w:ilvl="4">
      <w:start w:val="1"/>
      <w:numFmt w:val="lowerRoman"/>
      <w:lvlText w:val="%5."/>
      <w:lvlJc w:val="right"/>
      <w:pPr>
        <w:tabs>
          <w:tab w:val="num" w:pos="3240"/>
        </w:tabs>
        <w:ind w:right="3240" w:hanging="360"/>
      </w:pPr>
      <w:rPr>
        <w:rFonts w:cs="Times New Roman"/>
      </w:rPr>
    </w:lvl>
    <w:lvl w:ilvl="5">
      <w:start w:val="1"/>
      <w:numFmt w:val="arabicAbjad"/>
      <w:lvlText w:val="%6."/>
      <w:lvlJc w:val="left"/>
      <w:pPr>
        <w:tabs>
          <w:tab w:val="num" w:pos="3960"/>
        </w:tabs>
        <w:ind w:right="3960" w:hanging="180"/>
      </w:pPr>
      <w:rPr>
        <w:rFonts w:cs="Times New Roman"/>
      </w:rPr>
    </w:lvl>
    <w:lvl w:ilvl="6">
      <w:start w:val="1"/>
      <w:numFmt w:val="decimal"/>
      <w:lvlText w:val="%7."/>
      <w:lvlJc w:val="right"/>
      <w:pPr>
        <w:tabs>
          <w:tab w:val="num" w:pos="4680"/>
        </w:tabs>
        <w:ind w:right="4680" w:hanging="360"/>
      </w:pPr>
      <w:rPr>
        <w:rFonts w:cs="Times New Roman"/>
      </w:rPr>
    </w:lvl>
    <w:lvl w:ilvl="7">
      <w:start w:val="1"/>
      <w:numFmt w:val="lowerRoman"/>
      <w:lvlText w:val="%8."/>
      <w:lvlJc w:val="right"/>
      <w:pPr>
        <w:tabs>
          <w:tab w:val="num" w:pos="5400"/>
        </w:tabs>
        <w:ind w:right="5400" w:hanging="360"/>
      </w:pPr>
      <w:rPr>
        <w:rFonts w:cs="Times New Roman"/>
      </w:rPr>
    </w:lvl>
    <w:lvl w:ilvl="8">
      <w:start w:val="1"/>
      <w:numFmt w:val="arabicAbjad"/>
      <w:lvlText w:val="%9."/>
      <w:lvlJc w:val="left"/>
      <w:pPr>
        <w:tabs>
          <w:tab w:val="num" w:pos="6120"/>
        </w:tabs>
        <w:ind w:right="6120" w:hanging="180"/>
      </w:pPr>
      <w:rPr>
        <w:rFonts w:cs="Times New Roman"/>
      </w:rPr>
    </w:lvl>
  </w:abstractNum>
  <w:abstractNum w:abstractNumId="27">
    <w:nsid w:val="6BA26152"/>
    <w:multiLevelType w:val="hybridMultilevel"/>
    <w:tmpl w:val="CD70F32A"/>
    <w:lvl w:ilvl="0" w:tplc="581A6C50">
      <w:numFmt w:val="bullet"/>
      <w:lvlText w:val=""/>
      <w:lvlJc w:val="left"/>
      <w:pPr>
        <w:ind w:left="644" w:hanging="360"/>
      </w:pPr>
      <w:rPr>
        <w:rFonts w:ascii="AGA Arabesque" w:eastAsia="Times New Roman" w:hAnsi="AGA Arabesque" w:cs="mylotus"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28">
    <w:nsid w:val="770002C3"/>
    <w:multiLevelType w:val="hybridMultilevel"/>
    <w:tmpl w:val="367A6AAE"/>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29">
    <w:nsid w:val="772520B6"/>
    <w:multiLevelType w:val="hybridMultilevel"/>
    <w:tmpl w:val="3CA4E5B6"/>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30">
    <w:nsid w:val="78121F19"/>
    <w:multiLevelType w:val="hybridMultilevel"/>
    <w:tmpl w:val="876EF874"/>
    <w:lvl w:ilvl="0" w:tplc="17405198">
      <w:start w:val="1"/>
      <w:numFmt w:val="decimal"/>
      <w:lvlText w:val="%1."/>
      <w:lvlJc w:val="left"/>
      <w:pPr>
        <w:tabs>
          <w:tab w:val="num" w:pos="397"/>
        </w:tabs>
        <w:ind w:left="397" w:hanging="397"/>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1">
    <w:nsid w:val="7C477D55"/>
    <w:multiLevelType w:val="hybridMultilevel"/>
    <w:tmpl w:val="18E8CD50"/>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nsid w:val="7D6566A5"/>
    <w:multiLevelType w:val="multilevel"/>
    <w:tmpl w:val="A1A25A32"/>
    <w:lvl w:ilvl="0">
      <w:start w:val="1"/>
      <w:numFmt w:val="decimal"/>
      <w:lvlText w:val="%1."/>
      <w:lvlJc w:val="left"/>
      <w:pPr>
        <w:tabs>
          <w:tab w:val="num" w:pos="360"/>
        </w:tabs>
        <w:ind w:left="360" w:hanging="360"/>
      </w:pPr>
      <w:rPr>
        <w:rFonts w:hint="default"/>
        <w:vertAlign w:val="baseline"/>
      </w:rPr>
    </w:lvl>
    <w:lvl w:ilvl="1">
      <w:start w:val="1"/>
      <w:numFmt w:val="lowerRoman"/>
      <w:lvlText w:val="%2."/>
      <w:lvlJc w:val="right"/>
      <w:pPr>
        <w:tabs>
          <w:tab w:val="num" w:pos="1080"/>
        </w:tabs>
        <w:ind w:right="1080" w:hanging="360"/>
      </w:pPr>
      <w:rPr>
        <w:rFonts w:cs="Times New Roman"/>
      </w:rPr>
    </w:lvl>
    <w:lvl w:ilvl="2">
      <w:start w:val="1"/>
      <w:numFmt w:val="arabicAbjad"/>
      <w:lvlText w:val="%3."/>
      <w:lvlJc w:val="left"/>
      <w:pPr>
        <w:tabs>
          <w:tab w:val="num" w:pos="1800"/>
        </w:tabs>
        <w:ind w:right="1800" w:hanging="180"/>
      </w:pPr>
      <w:rPr>
        <w:rFonts w:cs="Times New Roman"/>
      </w:rPr>
    </w:lvl>
    <w:lvl w:ilvl="3">
      <w:start w:val="1"/>
      <w:numFmt w:val="decimal"/>
      <w:lvlText w:val="%4."/>
      <w:lvlJc w:val="right"/>
      <w:pPr>
        <w:tabs>
          <w:tab w:val="num" w:pos="2520"/>
        </w:tabs>
        <w:ind w:right="2520" w:hanging="360"/>
      </w:pPr>
      <w:rPr>
        <w:rFonts w:cs="Times New Roman"/>
      </w:rPr>
    </w:lvl>
    <w:lvl w:ilvl="4">
      <w:start w:val="1"/>
      <w:numFmt w:val="lowerRoman"/>
      <w:lvlText w:val="%5."/>
      <w:lvlJc w:val="right"/>
      <w:pPr>
        <w:tabs>
          <w:tab w:val="num" w:pos="3240"/>
        </w:tabs>
        <w:ind w:right="3240" w:hanging="360"/>
      </w:pPr>
      <w:rPr>
        <w:rFonts w:cs="Times New Roman"/>
      </w:rPr>
    </w:lvl>
    <w:lvl w:ilvl="5">
      <w:start w:val="1"/>
      <w:numFmt w:val="arabicAbjad"/>
      <w:lvlText w:val="%6."/>
      <w:lvlJc w:val="left"/>
      <w:pPr>
        <w:tabs>
          <w:tab w:val="num" w:pos="3960"/>
        </w:tabs>
        <w:ind w:right="3960" w:hanging="180"/>
      </w:pPr>
      <w:rPr>
        <w:rFonts w:cs="Times New Roman"/>
      </w:rPr>
    </w:lvl>
    <w:lvl w:ilvl="6">
      <w:start w:val="1"/>
      <w:numFmt w:val="decimal"/>
      <w:lvlText w:val="%7."/>
      <w:lvlJc w:val="right"/>
      <w:pPr>
        <w:tabs>
          <w:tab w:val="num" w:pos="4680"/>
        </w:tabs>
        <w:ind w:right="4680" w:hanging="360"/>
      </w:pPr>
      <w:rPr>
        <w:rFonts w:cs="Times New Roman"/>
      </w:rPr>
    </w:lvl>
    <w:lvl w:ilvl="7">
      <w:start w:val="1"/>
      <w:numFmt w:val="lowerRoman"/>
      <w:lvlText w:val="%8."/>
      <w:lvlJc w:val="right"/>
      <w:pPr>
        <w:tabs>
          <w:tab w:val="num" w:pos="5400"/>
        </w:tabs>
        <w:ind w:right="5400" w:hanging="360"/>
      </w:pPr>
      <w:rPr>
        <w:rFonts w:cs="Times New Roman"/>
      </w:rPr>
    </w:lvl>
    <w:lvl w:ilvl="8">
      <w:start w:val="1"/>
      <w:numFmt w:val="arabicAbjad"/>
      <w:lvlText w:val="%9."/>
      <w:lvlJc w:val="left"/>
      <w:pPr>
        <w:tabs>
          <w:tab w:val="num" w:pos="6120"/>
        </w:tabs>
        <w:ind w:right="6120" w:hanging="180"/>
      </w:pPr>
      <w:rPr>
        <w:rFonts w:cs="Times New Roman"/>
      </w:rPr>
    </w:lvl>
  </w:abstractNum>
  <w:abstractNum w:abstractNumId="33">
    <w:nsid w:val="7D9E7503"/>
    <w:multiLevelType w:val="multilevel"/>
    <w:tmpl w:val="A1A25A32"/>
    <w:lvl w:ilvl="0">
      <w:start w:val="1"/>
      <w:numFmt w:val="decimal"/>
      <w:lvlText w:val="%1."/>
      <w:lvlJc w:val="left"/>
      <w:pPr>
        <w:tabs>
          <w:tab w:val="num" w:pos="360"/>
        </w:tabs>
        <w:ind w:left="360" w:hanging="360"/>
      </w:pPr>
      <w:rPr>
        <w:rFonts w:hint="default"/>
        <w:vertAlign w:val="baseline"/>
      </w:rPr>
    </w:lvl>
    <w:lvl w:ilvl="1">
      <w:start w:val="1"/>
      <w:numFmt w:val="lowerRoman"/>
      <w:lvlText w:val="%2."/>
      <w:lvlJc w:val="right"/>
      <w:pPr>
        <w:tabs>
          <w:tab w:val="num" w:pos="1080"/>
        </w:tabs>
        <w:ind w:right="1080" w:hanging="360"/>
      </w:pPr>
      <w:rPr>
        <w:rFonts w:cs="Times New Roman"/>
      </w:rPr>
    </w:lvl>
    <w:lvl w:ilvl="2">
      <w:start w:val="1"/>
      <w:numFmt w:val="arabicAbjad"/>
      <w:lvlText w:val="%3."/>
      <w:lvlJc w:val="left"/>
      <w:pPr>
        <w:tabs>
          <w:tab w:val="num" w:pos="1800"/>
        </w:tabs>
        <w:ind w:right="1800" w:hanging="180"/>
      </w:pPr>
      <w:rPr>
        <w:rFonts w:cs="Times New Roman"/>
      </w:rPr>
    </w:lvl>
    <w:lvl w:ilvl="3">
      <w:start w:val="1"/>
      <w:numFmt w:val="decimal"/>
      <w:lvlText w:val="%4."/>
      <w:lvlJc w:val="right"/>
      <w:pPr>
        <w:tabs>
          <w:tab w:val="num" w:pos="2520"/>
        </w:tabs>
        <w:ind w:right="2520" w:hanging="360"/>
      </w:pPr>
      <w:rPr>
        <w:rFonts w:cs="Times New Roman"/>
      </w:rPr>
    </w:lvl>
    <w:lvl w:ilvl="4">
      <w:start w:val="1"/>
      <w:numFmt w:val="lowerRoman"/>
      <w:lvlText w:val="%5."/>
      <w:lvlJc w:val="right"/>
      <w:pPr>
        <w:tabs>
          <w:tab w:val="num" w:pos="3240"/>
        </w:tabs>
        <w:ind w:right="3240" w:hanging="360"/>
      </w:pPr>
      <w:rPr>
        <w:rFonts w:cs="Times New Roman"/>
      </w:rPr>
    </w:lvl>
    <w:lvl w:ilvl="5">
      <w:start w:val="1"/>
      <w:numFmt w:val="arabicAbjad"/>
      <w:lvlText w:val="%6."/>
      <w:lvlJc w:val="left"/>
      <w:pPr>
        <w:tabs>
          <w:tab w:val="num" w:pos="3960"/>
        </w:tabs>
        <w:ind w:right="3960" w:hanging="180"/>
      </w:pPr>
      <w:rPr>
        <w:rFonts w:cs="Times New Roman"/>
      </w:rPr>
    </w:lvl>
    <w:lvl w:ilvl="6">
      <w:start w:val="1"/>
      <w:numFmt w:val="decimal"/>
      <w:lvlText w:val="%7."/>
      <w:lvlJc w:val="right"/>
      <w:pPr>
        <w:tabs>
          <w:tab w:val="num" w:pos="4680"/>
        </w:tabs>
        <w:ind w:right="4680" w:hanging="360"/>
      </w:pPr>
      <w:rPr>
        <w:rFonts w:cs="Times New Roman"/>
      </w:rPr>
    </w:lvl>
    <w:lvl w:ilvl="7">
      <w:start w:val="1"/>
      <w:numFmt w:val="lowerRoman"/>
      <w:lvlText w:val="%8."/>
      <w:lvlJc w:val="right"/>
      <w:pPr>
        <w:tabs>
          <w:tab w:val="num" w:pos="5400"/>
        </w:tabs>
        <w:ind w:right="5400" w:hanging="360"/>
      </w:pPr>
      <w:rPr>
        <w:rFonts w:cs="Times New Roman"/>
      </w:rPr>
    </w:lvl>
    <w:lvl w:ilvl="8">
      <w:start w:val="1"/>
      <w:numFmt w:val="arabicAbjad"/>
      <w:lvlText w:val="%9."/>
      <w:lvlJc w:val="left"/>
      <w:pPr>
        <w:tabs>
          <w:tab w:val="num" w:pos="6120"/>
        </w:tabs>
        <w:ind w:right="6120" w:hanging="180"/>
      </w:pPr>
      <w:rPr>
        <w:rFonts w:cs="Times New Roman"/>
      </w:rPr>
    </w:lvl>
  </w:abstractNum>
  <w:num w:numId="1">
    <w:abstractNumId w:val="13"/>
  </w:num>
  <w:num w:numId="2">
    <w:abstractNumId w:val="10"/>
  </w:num>
  <w:num w:numId="3">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9"/>
  </w:num>
  <w:num w:numId="6">
    <w:abstractNumId w:val="22"/>
  </w:num>
  <w:num w:numId="7">
    <w:abstractNumId w:val="21"/>
  </w:num>
  <w:num w:numId="8">
    <w:abstractNumId w:val="26"/>
  </w:num>
  <w:num w:numId="9">
    <w:abstractNumId w:val="24"/>
  </w:num>
  <w:num w:numId="10">
    <w:abstractNumId w:val="32"/>
  </w:num>
  <w:num w:numId="11">
    <w:abstractNumId w:val="33"/>
  </w:num>
  <w:num w:numId="12">
    <w:abstractNumId w:val="11"/>
  </w:num>
  <w:num w:numId="13">
    <w:abstractNumId w:val="17"/>
  </w:num>
  <w:num w:numId="14">
    <w:abstractNumId w:val="18"/>
  </w:num>
  <w:num w:numId="15">
    <w:abstractNumId w:val="20"/>
  </w:num>
  <w:num w:numId="16">
    <w:abstractNumId w:val="16"/>
  </w:num>
  <w:num w:numId="17">
    <w:abstractNumId w:val="15"/>
  </w:num>
  <w:num w:numId="18">
    <w:abstractNumId w:val="8"/>
  </w:num>
  <w:num w:numId="19">
    <w:abstractNumId w:val="3"/>
  </w:num>
  <w:num w:numId="20">
    <w:abstractNumId w:val="2"/>
  </w:num>
  <w:num w:numId="21">
    <w:abstractNumId w:val="1"/>
  </w:num>
  <w:num w:numId="22">
    <w:abstractNumId w:val="0"/>
  </w:num>
  <w:num w:numId="23">
    <w:abstractNumId w:val="9"/>
  </w:num>
  <w:num w:numId="24">
    <w:abstractNumId w:val="7"/>
  </w:num>
  <w:num w:numId="25">
    <w:abstractNumId w:val="6"/>
  </w:num>
  <w:num w:numId="26">
    <w:abstractNumId w:val="5"/>
  </w:num>
  <w:num w:numId="27">
    <w:abstractNumId w:val="4"/>
  </w:num>
  <w:num w:numId="28">
    <w:abstractNumId w:val="14"/>
  </w:num>
  <w:num w:numId="29">
    <w:abstractNumId w:val="23"/>
  </w:num>
  <w:num w:numId="30">
    <w:abstractNumId w:val="12"/>
  </w:num>
  <w:num w:numId="31">
    <w:abstractNumId w:val="31"/>
  </w:num>
  <w:num w:numId="32">
    <w:abstractNumId w:val="29"/>
  </w:num>
  <w:num w:numId="33">
    <w:abstractNumId w:val="25"/>
  </w:num>
  <w:num w:numId="34">
    <w:abstractNumId w:val="28"/>
  </w:num>
  <w:num w:numId="35">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30"/>
  <w:displayBackgroundShape/>
  <w:mirrorMargins/>
  <w:bordersDoNotSurroundHeader/>
  <w:bordersDoNotSurroundFooter/>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characterSpacingControl w:val="doNotCompress"/>
  <w:hdrShapeDefaults>
    <o:shapedefaults v:ext="edit" spidmax="2049">
      <o:colormru v:ext="edit" colors="black,#ffc"/>
    </o:shapedefaults>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E0640"/>
    <w:rsid w:val="000011BC"/>
    <w:rsid w:val="000027BF"/>
    <w:rsid w:val="00002911"/>
    <w:rsid w:val="00002FB8"/>
    <w:rsid w:val="000064AE"/>
    <w:rsid w:val="00006ED3"/>
    <w:rsid w:val="00010AE3"/>
    <w:rsid w:val="00015718"/>
    <w:rsid w:val="00016677"/>
    <w:rsid w:val="000175A0"/>
    <w:rsid w:val="00021AAB"/>
    <w:rsid w:val="00021D7E"/>
    <w:rsid w:val="000238DE"/>
    <w:rsid w:val="00024C65"/>
    <w:rsid w:val="000262E0"/>
    <w:rsid w:val="00027EEC"/>
    <w:rsid w:val="00030CFE"/>
    <w:rsid w:val="00032375"/>
    <w:rsid w:val="00032D33"/>
    <w:rsid w:val="00036042"/>
    <w:rsid w:val="0003618D"/>
    <w:rsid w:val="00036B40"/>
    <w:rsid w:val="00037438"/>
    <w:rsid w:val="0004099E"/>
    <w:rsid w:val="00041696"/>
    <w:rsid w:val="000534B5"/>
    <w:rsid w:val="00061EB9"/>
    <w:rsid w:val="00064BA8"/>
    <w:rsid w:val="0006733A"/>
    <w:rsid w:val="0006785B"/>
    <w:rsid w:val="000704D5"/>
    <w:rsid w:val="00071132"/>
    <w:rsid w:val="00072A71"/>
    <w:rsid w:val="0007594A"/>
    <w:rsid w:val="000775C2"/>
    <w:rsid w:val="000776B0"/>
    <w:rsid w:val="00077FCD"/>
    <w:rsid w:val="00081DB4"/>
    <w:rsid w:val="00084252"/>
    <w:rsid w:val="00085EBE"/>
    <w:rsid w:val="000868AA"/>
    <w:rsid w:val="0008703E"/>
    <w:rsid w:val="00087AF8"/>
    <w:rsid w:val="00090A0C"/>
    <w:rsid w:val="000913E5"/>
    <w:rsid w:val="0009180A"/>
    <w:rsid w:val="000928C7"/>
    <w:rsid w:val="00093190"/>
    <w:rsid w:val="000A166F"/>
    <w:rsid w:val="000A294E"/>
    <w:rsid w:val="000A3C5E"/>
    <w:rsid w:val="000A565B"/>
    <w:rsid w:val="000A5DB8"/>
    <w:rsid w:val="000A7447"/>
    <w:rsid w:val="000B042E"/>
    <w:rsid w:val="000B0A0C"/>
    <w:rsid w:val="000B3628"/>
    <w:rsid w:val="000B3D87"/>
    <w:rsid w:val="000B40B1"/>
    <w:rsid w:val="000B468F"/>
    <w:rsid w:val="000B4807"/>
    <w:rsid w:val="000B615A"/>
    <w:rsid w:val="000B6527"/>
    <w:rsid w:val="000B6AC4"/>
    <w:rsid w:val="000C2180"/>
    <w:rsid w:val="000C354E"/>
    <w:rsid w:val="000C68EA"/>
    <w:rsid w:val="000D07B5"/>
    <w:rsid w:val="000D40CA"/>
    <w:rsid w:val="000D7AB3"/>
    <w:rsid w:val="000E2C23"/>
    <w:rsid w:val="000E4434"/>
    <w:rsid w:val="000E7B16"/>
    <w:rsid w:val="000F52B6"/>
    <w:rsid w:val="000F7DEF"/>
    <w:rsid w:val="00101295"/>
    <w:rsid w:val="00102284"/>
    <w:rsid w:val="001035F4"/>
    <w:rsid w:val="00104536"/>
    <w:rsid w:val="001054A2"/>
    <w:rsid w:val="0010643B"/>
    <w:rsid w:val="00106D5F"/>
    <w:rsid w:val="00107A17"/>
    <w:rsid w:val="0011037A"/>
    <w:rsid w:val="00113DEB"/>
    <w:rsid w:val="00114667"/>
    <w:rsid w:val="00114A99"/>
    <w:rsid w:val="00121CF2"/>
    <w:rsid w:val="00122AA5"/>
    <w:rsid w:val="0012304A"/>
    <w:rsid w:val="00123857"/>
    <w:rsid w:val="001253D2"/>
    <w:rsid w:val="00125ACF"/>
    <w:rsid w:val="00127049"/>
    <w:rsid w:val="001357A3"/>
    <w:rsid w:val="001358B7"/>
    <w:rsid w:val="00136F56"/>
    <w:rsid w:val="00141C74"/>
    <w:rsid w:val="00146AB8"/>
    <w:rsid w:val="00147857"/>
    <w:rsid w:val="00147952"/>
    <w:rsid w:val="00150B71"/>
    <w:rsid w:val="001553C4"/>
    <w:rsid w:val="00156D34"/>
    <w:rsid w:val="001616C7"/>
    <w:rsid w:val="00163510"/>
    <w:rsid w:val="00165247"/>
    <w:rsid w:val="00167692"/>
    <w:rsid w:val="00170FCB"/>
    <w:rsid w:val="00173C4C"/>
    <w:rsid w:val="00175349"/>
    <w:rsid w:val="00175D32"/>
    <w:rsid w:val="00185470"/>
    <w:rsid w:val="00190161"/>
    <w:rsid w:val="00190541"/>
    <w:rsid w:val="00191B46"/>
    <w:rsid w:val="00193455"/>
    <w:rsid w:val="00194244"/>
    <w:rsid w:val="00194F02"/>
    <w:rsid w:val="0019514D"/>
    <w:rsid w:val="00195739"/>
    <w:rsid w:val="00196328"/>
    <w:rsid w:val="0019759F"/>
    <w:rsid w:val="00197C2A"/>
    <w:rsid w:val="001A289D"/>
    <w:rsid w:val="001A46DC"/>
    <w:rsid w:val="001A4D53"/>
    <w:rsid w:val="001A5A8F"/>
    <w:rsid w:val="001A5AE4"/>
    <w:rsid w:val="001A5B6D"/>
    <w:rsid w:val="001A6559"/>
    <w:rsid w:val="001B0877"/>
    <w:rsid w:val="001B11E7"/>
    <w:rsid w:val="001B332B"/>
    <w:rsid w:val="001B581F"/>
    <w:rsid w:val="001B5984"/>
    <w:rsid w:val="001B6C0E"/>
    <w:rsid w:val="001C03CC"/>
    <w:rsid w:val="001C0DD8"/>
    <w:rsid w:val="001C24F4"/>
    <w:rsid w:val="001C4E2E"/>
    <w:rsid w:val="001C4E46"/>
    <w:rsid w:val="001D068B"/>
    <w:rsid w:val="001D06EE"/>
    <w:rsid w:val="001D15C4"/>
    <w:rsid w:val="001D43FE"/>
    <w:rsid w:val="001D4A35"/>
    <w:rsid w:val="001D56EF"/>
    <w:rsid w:val="001D6FA5"/>
    <w:rsid w:val="001D7DEC"/>
    <w:rsid w:val="001D7F30"/>
    <w:rsid w:val="001E0DB7"/>
    <w:rsid w:val="001E21CD"/>
    <w:rsid w:val="001E2211"/>
    <w:rsid w:val="001E42EB"/>
    <w:rsid w:val="001E728D"/>
    <w:rsid w:val="001E758D"/>
    <w:rsid w:val="001E75D6"/>
    <w:rsid w:val="001E7C38"/>
    <w:rsid w:val="001E7D9F"/>
    <w:rsid w:val="001F1C04"/>
    <w:rsid w:val="001F25C7"/>
    <w:rsid w:val="001F4830"/>
    <w:rsid w:val="001F4E0B"/>
    <w:rsid w:val="002060CA"/>
    <w:rsid w:val="00211524"/>
    <w:rsid w:val="00211A08"/>
    <w:rsid w:val="00212211"/>
    <w:rsid w:val="0021343A"/>
    <w:rsid w:val="0021507A"/>
    <w:rsid w:val="00217AB4"/>
    <w:rsid w:val="00223A8D"/>
    <w:rsid w:val="00224B4A"/>
    <w:rsid w:val="00224E6F"/>
    <w:rsid w:val="00231396"/>
    <w:rsid w:val="00232C4D"/>
    <w:rsid w:val="002334B4"/>
    <w:rsid w:val="002341CA"/>
    <w:rsid w:val="00234313"/>
    <w:rsid w:val="00235327"/>
    <w:rsid w:val="0023776B"/>
    <w:rsid w:val="00241732"/>
    <w:rsid w:val="00241E28"/>
    <w:rsid w:val="00245071"/>
    <w:rsid w:val="00245C88"/>
    <w:rsid w:val="00247F51"/>
    <w:rsid w:val="00250CE5"/>
    <w:rsid w:val="00252DED"/>
    <w:rsid w:val="00254453"/>
    <w:rsid w:val="00254729"/>
    <w:rsid w:val="00254E27"/>
    <w:rsid w:val="00255711"/>
    <w:rsid w:val="00255A16"/>
    <w:rsid w:val="0025707D"/>
    <w:rsid w:val="00257C2A"/>
    <w:rsid w:val="00260DE3"/>
    <w:rsid w:val="00261222"/>
    <w:rsid w:val="00261E27"/>
    <w:rsid w:val="00263772"/>
    <w:rsid w:val="002647CB"/>
    <w:rsid w:val="0026666D"/>
    <w:rsid w:val="00270455"/>
    <w:rsid w:val="002753F7"/>
    <w:rsid w:val="00275B71"/>
    <w:rsid w:val="002774A6"/>
    <w:rsid w:val="002834A4"/>
    <w:rsid w:val="00286F09"/>
    <w:rsid w:val="002911BC"/>
    <w:rsid w:val="0029451B"/>
    <w:rsid w:val="002948EC"/>
    <w:rsid w:val="0029655B"/>
    <w:rsid w:val="002A1B23"/>
    <w:rsid w:val="002A20B2"/>
    <w:rsid w:val="002A4AE8"/>
    <w:rsid w:val="002B26B5"/>
    <w:rsid w:val="002B3548"/>
    <w:rsid w:val="002B5DC8"/>
    <w:rsid w:val="002B7EA7"/>
    <w:rsid w:val="002C20DB"/>
    <w:rsid w:val="002C27DB"/>
    <w:rsid w:val="002C3BB4"/>
    <w:rsid w:val="002C4742"/>
    <w:rsid w:val="002C7C1B"/>
    <w:rsid w:val="002D2B10"/>
    <w:rsid w:val="002D42B9"/>
    <w:rsid w:val="002D4AE6"/>
    <w:rsid w:val="002D4CEC"/>
    <w:rsid w:val="002D53FC"/>
    <w:rsid w:val="002D58D4"/>
    <w:rsid w:val="002E169E"/>
    <w:rsid w:val="002E2814"/>
    <w:rsid w:val="002E4893"/>
    <w:rsid w:val="002F3502"/>
    <w:rsid w:val="002F3548"/>
    <w:rsid w:val="002F5FDB"/>
    <w:rsid w:val="00306973"/>
    <w:rsid w:val="00307174"/>
    <w:rsid w:val="0030774E"/>
    <w:rsid w:val="00307780"/>
    <w:rsid w:val="003108CB"/>
    <w:rsid w:val="003120F3"/>
    <w:rsid w:val="003129D6"/>
    <w:rsid w:val="00315785"/>
    <w:rsid w:val="00316335"/>
    <w:rsid w:val="003168C3"/>
    <w:rsid w:val="0031714A"/>
    <w:rsid w:val="00321930"/>
    <w:rsid w:val="00323C09"/>
    <w:rsid w:val="003307C8"/>
    <w:rsid w:val="00334071"/>
    <w:rsid w:val="00335580"/>
    <w:rsid w:val="00336E13"/>
    <w:rsid w:val="00340070"/>
    <w:rsid w:val="00341E98"/>
    <w:rsid w:val="003432D0"/>
    <w:rsid w:val="003434C7"/>
    <w:rsid w:val="00344B3E"/>
    <w:rsid w:val="003456DB"/>
    <w:rsid w:val="00346CE3"/>
    <w:rsid w:val="00347964"/>
    <w:rsid w:val="0035632F"/>
    <w:rsid w:val="0035645B"/>
    <w:rsid w:val="00360F63"/>
    <w:rsid w:val="003630D5"/>
    <w:rsid w:val="00363433"/>
    <w:rsid w:val="00363E42"/>
    <w:rsid w:val="00366B19"/>
    <w:rsid w:val="00367019"/>
    <w:rsid w:val="00370015"/>
    <w:rsid w:val="00374CAD"/>
    <w:rsid w:val="00374D1F"/>
    <w:rsid w:val="00375A76"/>
    <w:rsid w:val="003762F6"/>
    <w:rsid w:val="003763AD"/>
    <w:rsid w:val="00384080"/>
    <w:rsid w:val="0038508C"/>
    <w:rsid w:val="0038630B"/>
    <w:rsid w:val="0039179C"/>
    <w:rsid w:val="00392AF7"/>
    <w:rsid w:val="0039368A"/>
    <w:rsid w:val="00394101"/>
    <w:rsid w:val="00394385"/>
    <w:rsid w:val="003A1939"/>
    <w:rsid w:val="003A4502"/>
    <w:rsid w:val="003A46B4"/>
    <w:rsid w:val="003A7F86"/>
    <w:rsid w:val="003B3DA1"/>
    <w:rsid w:val="003B5309"/>
    <w:rsid w:val="003B5F28"/>
    <w:rsid w:val="003C3BA9"/>
    <w:rsid w:val="003C4B41"/>
    <w:rsid w:val="003C671C"/>
    <w:rsid w:val="003C7AEB"/>
    <w:rsid w:val="003D0290"/>
    <w:rsid w:val="003D1558"/>
    <w:rsid w:val="003D1E1E"/>
    <w:rsid w:val="003D5973"/>
    <w:rsid w:val="003D6690"/>
    <w:rsid w:val="003E0640"/>
    <w:rsid w:val="003E25A4"/>
    <w:rsid w:val="003E3D26"/>
    <w:rsid w:val="003F3B94"/>
    <w:rsid w:val="003F484E"/>
    <w:rsid w:val="003F53E8"/>
    <w:rsid w:val="003F611B"/>
    <w:rsid w:val="003F65EB"/>
    <w:rsid w:val="00401DB4"/>
    <w:rsid w:val="004028D8"/>
    <w:rsid w:val="0040630F"/>
    <w:rsid w:val="00406838"/>
    <w:rsid w:val="0040796D"/>
    <w:rsid w:val="004117D8"/>
    <w:rsid w:val="0041266B"/>
    <w:rsid w:val="00415016"/>
    <w:rsid w:val="00416960"/>
    <w:rsid w:val="004207F7"/>
    <w:rsid w:val="00420C08"/>
    <w:rsid w:val="00421355"/>
    <w:rsid w:val="00421B82"/>
    <w:rsid w:val="00421FDD"/>
    <w:rsid w:val="004238AA"/>
    <w:rsid w:val="0042491C"/>
    <w:rsid w:val="0042548A"/>
    <w:rsid w:val="0042709A"/>
    <w:rsid w:val="00430501"/>
    <w:rsid w:val="004334BB"/>
    <w:rsid w:val="004408B9"/>
    <w:rsid w:val="00442909"/>
    <w:rsid w:val="0044375D"/>
    <w:rsid w:val="00443E04"/>
    <w:rsid w:val="00445175"/>
    <w:rsid w:val="004451B0"/>
    <w:rsid w:val="004474F1"/>
    <w:rsid w:val="004475C9"/>
    <w:rsid w:val="0045003B"/>
    <w:rsid w:val="004519E8"/>
    <w:rsid w:val="00451BBE"/>
    <w:rsid w:val="00451BFE"/>
    <w:rsid w:val="00451CED"/>
    <w:rsid w:val="00454A83"/>
    <w:rsid w:val="00461CD3"/>
    <w:rsid w:val="00464EA3"/>
    <w:rsid w:val="00466025"/>
    <w:rsid w:val="00466FD3"/>
    <w:rsid w:val="00467518"/>
    <w:rsid w:val="00470D81"/>
    <w:rsid w:val="00473885"/>
    <w:rsid w:val="0047675C"/>
    <w:rsid w:val="00476DC8"/>
    <w:rsid w:val="004817E8"/>
    <w:rsid w:val="00483B78"/>
    <w:rsid w:val="00490133"/>
    <w:rsid w:val="00495BAB"/>
    <w:rsid w:val="00495F41"/>
    <w:rsid w:val="0049619F"/>
    <w:rsid w:val="004A0FFD"/>
    <w:rsid w:val="004A247C"/>
    <w:rsid w:val="004A2B58"/>
    <w:rsid w:val="004A32F0"/>
    <w:rsid w:val="004A3642"/>
    <w:rsid w:val="004A4B25"/>
    <w:rsid w:val="004A5382"/>
    <w:rsid w:val="004A5E36"/>
    <w:rsid w:val="004A6635"/>
    <w:rsid w:val="004A66E6"/>
    <w:rsid w:val="004B06DF"/>
    <w:rsid w:val="004B0CC2"/>
    <w:rsid w:val="004B414A"/>
    <w:rsid w:val="004B55AF"/>
    <w:rsid w:val="004B56E0"/>
    <w:rsid w:val="004B5C73"/>
    <w:rsid w:val="004B6262"/>
    <w:rsid w:val="004B6C4C"/>
    <w:rsid w:val="004B76C7"/>
    <w:rsid w:val="004B79BE"/>
    <w:rsid w:val="004C390B"/>
    <w:rsid w:val="004C4127"/>
    <w:rsid w:val="004C50F2"/>
    <w:rsid w:val="004C6EA4"/>
    <w:rsid w:val="004D3535"/>
    <w:rsid w:val="004D71C2"/>
    <w:rsid w:val="004E2268"/>
    <w:rsid w:val="004E3323"/>
    <w:rsid w:val="004E4268"/>
    <w:rsid w:val="004E60AB"/>
    <w:rsid w:val="004F1998"/>
    <w:rsid w:val="004F1E04"/>
    <w:rsid w:val="004F2910"/>
    <w:rsid w:val="004F52C0"/>
    <w:rsid w:val="005007B2"/>
    <w:rsid w:val="00502770"/>
    <w:rsid w:val="005027A2"/>
    <w:rsid w:val="005027FA"/>
    <w:rsid w:val="005100B6"/>
    <w:rsid w:val="00511BEF"/>
    <w:rsid w:val="00520EA4"/>
    <w:rsid w:val="005215E2"/>
    <w:rsid w:val="005227CB"/>
    <w:rsid w:val="005267C8"/>
    <w:rsid w:val="00532720"/>
    <w:rsid w:val="0053369D"/>
    <w:rsid w:val="005354AD"/>
    <w:rsid w:val="005411EC"/>
    <w:rsid w:val="00541A6D"/>
    <w:rsid w:val="005423C1"/>
    <w:rsid w:val="00542B63"/>
    <w:rsid w:val="00542D29"/>
    <w:rsid w:val="00546906"/>
    <w:rsid w:val="00546908"/>
    <w:rsid w:val="00551460"/>
    <w:rsid w:val="005567B1"/>
    <w:rsid w:val="00557178"/>
    <w:rsid w:val="00563AE6"/>
    <w:rsid w:val="00567F50"/>
    <w:rsid w:val="00570286"/>
    <w:rsid w:val="005736CE"/>
    <w:rsid w:val="005741A2"/>
    <w:rsid w:val="00582C1C"/>
    <w:rsid w:val="00585E78"/>
    <w:rsid w:val="00587F44"/>
    <w:rsid w:val="00590B1B"/>
    <w:rsid w:val="00592B63"/>
    <w:rsid w:val="00593FE7"/>
    <w:rsid w:val="00594ADC"/>
    <w:rsid w:val="005A0273"/>
    <w:rsid w:val="005A0D8C"/>
    <w:rsid w:val="005A3E50"/>
    <w:rsid w:val="005A4321"/>
    <w:rsid w:val="005A5257"/>
    <w:rsid w:val="005A568E"/>
    <w:rsid w:val="005A6AFC"/>
    <w:rsid w:val="005B1AFF"/>
    <w:rsid w:val="005B1B5C"/>
    <w:rsid w:val="005B20E7"/>
    <w:rsid w:val="005B4478"/>
    <w:rsid w:val="005B4BE3"/>
    <w:rsid w:val="005B6658"/>
    <w:rsid w:val="005B684B"/>
    <w:rsid w:val="005C5246"/>
    <w:rsid w:val="005C53D5"/>
    <w:rsid w:val="005C664D"/>
    <w:rsid w:val="005D01E8"/>
    <w:rsid w:val="005D1349"/>
    <w:rsid w:val="005D19EF"/>
    <w:rsid w:val="005D204A"/>
    <w:rsid w:val="005D22F6"/>
    <w:rsid w:val="005E1F9B"/>
    <w:rsid w:val="005E29C9"/>
    <w:rsid w:val="005E574B"/>
    <w:rsid w:val="005F439E"/>
    <w:rsid w:val="00600151"/>
    <w:rsid w:val="006021EC"/>
    <w:rsid w:val="0060464C"/>
    <w:rsid w:val="00605785"/>
    <w:rsid w:val="006069C4"/>
    <w:rsid w:val="00606CB9"/>
    <w:rsid w:val="00610424"/>
    <w:rsid w:val="006114D5"/>
    <w:rsid w:val="00612190"/>
    <w:rsid w:val="006126D1"/>
    <w:rsid w:val="006133F3"/>
    <w:rsid w:val="00620991"/>
    <w:rsid w:val="00620ADE"/>
    <w:rsid w:val="0062303C"/>
    <w:rsid w:val="0062427E"/>
    <w:rsid w:val="00625937"/>
    <w:rsid w:val="00626FAF"/>
    <w:rsid w:val="0063184B"/>
    <w:rsid w:val="00631B4C"/>
    <w:rsid w:val="00635F07"/>
    <w:rsid w:val="0063707B"/>
    <w:rsid w:val="00645136"/>
    <w:rsid w:val="0065048A"/>
    <w:rsid w:val="00652783"/>
    <w:rsid w:val="006527C0"/>
    <w:rsid w:val="00652969"/>
    <w:rsid w:val="0065347C"/>
    <w:rsid w:val="00654478"/>
    <w:rsid w:val="006544D3"/>
    <w:rsid w:val="00661684"/>
    <w:rsid w:val="00662386"/>
    <w:rsid w:val="006633B5"/>
    <w:rsid w:val="00663E9A"/>
    <w:rsid w:val="006641F3"/>
    <w:rsid w:val="00664323"/>
    <w:rsid w:val="006650FB"/>
    <w:rsid w:val="006654D0"/>
    <w:rsid w:val="00665F8E"/>
    <w:rsid w:val="0067048A"/>
    <w:rsid w:val="00675A30"/>
    <w:rsid w:val="00676A3A"/>
    <w:rsid w:val="00681D13"/>
    <w:rsid w:val="00684400"/>
    <w:rsid w:val="00685363"/>
    <w:rsid w:val="006870EC"/>
    <w:rsid w:val="006947A3"/>
    <w:rsid w:val="00697039"/>
    <w:rsid w:val="006979A7"/>
    <w:rsid w:val="006A114F"/>
    <w:rsid w:val="006A1A1F"/>
    <w:rsid w:val="006A4B08"/>
    <w:rsid w:val="006A62BC"/>
    <w:rsid w:val="006A70A1"/>
    <w:rsid w:val="006A7BC0"/>
    <w:rsid w:val="006B03EB"/>
    <w:rsid w:val="006B41F4"/>
    <w:rsid w:val="006B5685"/>
    <w:rsid w:val="006B6531"/>
    <w:rsid w:val="006C10DC"/>
    <w:rsid w:val="006C12F7"/>
    <w:rsid w:val="006C1E7A"/>
    <w:rsid w:val="006C4991"/>
    <w:rsid w:val="006C67E1"/>
    <w:rsid w:val="006C7313"/>
    <w:rsid w:val="006C7536"/>
    <w:rsid w:val="006C78B4"/>
    <w:rsid w:val="006D339B"/>
    <w:rsid w:val="006D3FB8"/>
    <w:rsid w:val="006D4328"/>
    <w:rsid w:val="006D7928"/>
    <w:rsid w:val="006E0D7D"/>
    <w:rsid w:val="006E6864"/>
    <w:rsid w:val="006E7B3A"/>
    <w:rsid w:val="006F4DD6"/>
    <w:rsid w:val="006F69BC"/>
    <w:rsid w:val="00700BAA"/>
    <w:rsid w:val="00700E2A"/>
    <w:rsid w:val="0070583C"/>
    <w:rsid w:val="00705B19"/>
    <w:rsid w:val="0070734B"/>
    <w:rsid w:val="00707ED6"/>
    <w:rsid w:val="0071020C"/>
    <w:rsid w:val="00710C2B"/>
    <w:rsid w:val="00711FB2"/>
    <w:rsid w:val="00713EB9"/>
    <w:rsid w:val="007222F0"/>
    <w:rsid w:val="007239C2"/>
    <w:rsid w:val="00724E95"/>
    <w:rsid w:val="0072658E"/>
    <w:rsid w:val="007341C4"/>
    <w:rsid w:val="007449E0"/>
    <w:rsid w:val="00744B14"/>
    <w:rsid w:val="00747993"/>
    <w:rsid w:val="00751CA3"/>
    <w:rsid w:val="00755AAC"/>
    <w:rsid w:val="0075797A"/>
    <w:rsid w:val="007632EA"/>
    <w:rsid w:val="007638F8"/>
    <w:rsid w:val="00763E89"/>
    <w:rsid w:val="00765C45"/>
    <w:rsid w:val="00771452"/>
    <w:rsid w:val="00775066"/>
    <w:rsid w:val="00776008"/>
    <w:rsid w:val="00776BF9"/>
    <w:rsid w:val="00776F29"/>
    <w:rsid w:val="007806BB"/>
    <w:rsid w:val="007826C4"/>
    <w:rsid w:val="0078399C"/>
    <w:rsid w:val="00783BD9"/>
    <w:rsid w:val="00783FBC"/>
    <w:rsid w:val="00784268"/>
    <w:rsid w:val="00785C24"/>
    <w:rsid w:val="00785F9D"/>
    <w:rsid w:val="00791AC0"/>
    <w:rsid w:val="00792928"/>
    <w:rsid w:val="007932E6"/>
    <w:rsid w:val="00795504"/>
    <w:rsid w:val="007978B7"/>
    <w:rsid w:val="007A05D7"/>
    <w:rsid w:val="007A451D"/>
    <w:rsid w:val="007B2958"/>
    <w:rsid w:val="007B3BB7"/>
    <w:rsid w:val="007B4B60"/>
    <w:rsid w:val="007B55FB"/>
    <w:rsid w:val="007B5F29"/>
    <w:rsid w:val="007B6963"/>
    <w:rsid w:val="007C3FB3"/>
    <w:rsid w:val="007C4566"/>
    <w:rsid w:val="007C50C5"/>
    <w:rsid w:val="007C553D"/>
    <w:rsid w:val="007C614E"/>
    <w:rsid w:val="007C6940"/>
    <w:rsid w:val="007D07D3"/>
    <w:rsid w:val="007D1547"/>
    <w:rsid w:val="007D26EB"/>
    <w:rsid w:val="007D2B8A"/>
    <w:rsid w:val="007D4D3A"/>
    <w:rsid w:val="007D721D"/>
    <w:rsid w:val="007E1026"/>
    <w:rsid w:val="007F0D8D"/>
    <w:rsid w:val="007F2364"/>
    <w:rsid w:val="007F7BD2"/>
    <w:rsid w:val="008006CB"/>
    <w:rsid w:val="00805824"/>
    <w:rsid w:val="008059E3"/>
    <w:rsid w:val="008078DD"/>
    <w:rsid w:val="0081174E"/>
    <w:rsid w:val="008139A9"/>
    <w:rsid w:val="0081582B"/>
    <w:rsid w:val="00822DEC"/>
    <w:rsid w:val="008237D5"/>
    <w:rsid w:val="008259FB"/>
    <w:rsid w:val="00832FB2"/>
    <w:rsid w:val="00833C06"/>
    <w:rsid w:val="00834530"/>
    <w:rsid w:val="0083776F"/>
    <w:rsid w:val="0084103B"/>
    <w:rsid w:val="00850FE5"/>
    <w:rsid w:val="0085334F"/>
    <w:rsid w:val="008538AA"/>
    <w:rsid w:val="00856AC0"/>
    <w:rsid w:val="008607E3"/>
    <w:rsid w:val="00860926"/>
    <w:rsid w:val="0086128B"/>
    <w:rsid w:val="0087305F"/>
    <w:rsid w:val="00873C4C"/>
    <w:rsid w:val="00875038"/>
    <w:rsid w:val="00881F70"/>
    <w:rsid w:val="0088360D"/>
    <w:rsid w:val="008838C3"/>
    <w:rsid w:val="00883F8A"/>
    <w:rsid w:val="008862B3"/>
    <w:rsid w:val="0089070F"/>
    <w:rsid w:val="00891045"/>
    <w:rsid w:val="00891167"/>
    <w:rsid w:val="0089346B"/>
    <w:rsid w:val="008979F1"/>
    <w:rsid w:val="00897B1B"/>
    <w:rsid w:val="008A2A49"/>
    <w:rsid w:val="008A45E3"/>
    <w:rsid w:val="008A48FF"/>
    <w:rsid w:val="008A4E41"/>
    <w:rsid w:val="008A61E1"/>
    <w:rsid w:val="008A6905"/>
    <w:rsid w:val="008B3243"/>
    <w:rsid w:val="008B4D84"/>
    <w:rsid w:val="008B7DC0"/>
    <w:rsid w:val="008C12F4"/>
    <w:rsid w:val="008C41C5"/>
    <w:rsid w:val="008D7F05"/>
    <w:rsid w:val="008E010C"/>
    <w:rsid w:val="008E3CFF"/>
    <w:rsid w:val="008E5427"/>
    <w:rsid w:val="008E6B97"/>
    <w:rsid w:val="008F06B6"/>
    <w:rsid w:val="008F0AB4"/>
    <w:rsid w:val="008F74A3"/>
    <w:rsid w:val="00900F79"/>
    <w:rsid w:val="00901007"/>
    <w:rsid w:val="00901816"/>
    <w:rsid w:val="0090547B"/>
    <w:rsid w:val="0090590B"/>
    <w:rsid w:val="0090595F"/>
    <w:rsid w:val="0090607B"/>
    <w:rsid w:val="009069DD"/>
    <w:rsid w:val="00906E95"/>
    <w:rsid w:val="00907755"/>
    <w:rsid w:val="00907C39"/>
    <w:rsid w:val="009127B5"/>
    <w:rsid w:val="00915FA9"/>
    <w:rsid w:val="00920257"/>
    <w:rsid w:val="00921C77"/>
    <w:rsid w:val="00922817"/>
    <w:rsid w:val="009234DE"/>
    <w:rsid w:val="00924698"/>
    <w:rsid w:val="0093535C"/>
    <w:rsid w:val="009353BE"/>
    <w:rsid w:val="00936DBE"/>
    <w:rsid w:val="0094455B"/>
    <w:rsid w:val="0094685A"/>
    <w:rsid w:val="00950359"/>
    <w:rsid w:val="009515DB"/>
    <w:rsid w:val="00953581"/>
    <w:rsid w:val="0095408D"/>
    <w:rsid w:val="00954D70"/>
    <w:rsid w:val="00962702"/>
    <w:rsid w:val="0096298C"/>
    <w:rsid w:val="00963823"/>
    <w:rsid w:val="00963EFD"/>
    <w:rsid w:val="00965192"/>
    <w:rsid w:val="00967025"/>
    <w:rsid w:val="009712D9"/>
    <w:rsid w:val="00973E5A"/>
    <w:rsid w:val="00975947"/>
    <w:rsid w:val="00977254"/>
    <w:rsid w:val="00983912"/>
    <w:rsid w:val="009858B2"/>
    <w:rsid w:val="0098684B"/>
    <w:rsid w:val="00990D76"/>
    <w:rsid w:val="00995088"/>
    <w:rsid w:val="0099562C"/>
    <w:rsid w:val="00995672"/>
    <w:rsid w:val="00995B26"/>
    <w:rsid w:val="009961F6"/>
    <w:rsid w:val="0099768C"/>
    <w:rsid w:val="0099782D"/>
    <w:rsid w:val="009A39D6"/>
    <w:rsid w:val="009A438E"/>
    <w:rsid w:val="009A60E5"/>
    <w:rsid w:val="009B136C"/>
    <w:rsid w:val="009C22A2"/>
    <w:rsid w:val="009C2F2F"/>
    <w:rsid w:val="009C37E9"/>
    <w:rsid w:val="009C7A6B"/>
    <w:rsid w:val="009D0C09"/>
    <w:rsid w:val="009D15B8"/>
    <w:rsid w:val="009D1EA5"/>
    <w:rsid w:val="009D225B"/>
    <w:rsid w:val="009D3797"/>
    <w:rsid w:val="009D74CD"/>
    <w:rsid w:val="009D7502"/>
    <w:rsid w:val="009D787A"/>
    <w:rsid w:val="009E1401"/>
    <w:rsid w:val="009E3C80"/>
    <w:rsid w:val="009E3F5C"/>
    <w:rsid w:val="009E477D"/>
    <w:rsid w:val="009E5DD3"/>
    <w:rsid w:val="009E6EDE"/>
    <w:rsid w:val="009E7A95"/>
    <w:rsid w:val="009F09EC"/>
    <w:rsid w:val="009F52C8"/>
    <w:rsid w:val="009F6275"/>
    <w:rsid w:val="009F6CBD"/>
    <w:rsid w:val="009F70A4"/>
    <w:rsid w:val="00A0058D"/>
    <w:rsid w:val="00A0163F"/>
    <w:rsid w:val="00A026AE"/>
    <w:rsid w:val="00A02E21"/>
    <w:rsid w:val="00A056DD"/>
    <w:rsid w:val="00A079E6"/>
    <w:rsid w:val="00A117F0"/>
    <w:rsid w:val="00A1493A"/>
    <w:rsid w:val="00A14B3F"/>
    <w:rsid w:val="00A14DC9"/>
    <w:rsid w:val="00A17A24"/>
    <w:rsid w:val="00A224E7"/>
    <w:rsid w:val="00A226B2"/>
    <w:rsid w:val="00A22A2F"/>
    <w:rsid w:val="00A2448A"/>
    <w:rsid w:val="00A244E0"/>
    <w:rsid w:val="00A31F6A"/>
    <w:rsid w:val="00A31F6D"/>
    <w:rsid w:val="00A31FE9"/>
    <w:rsid w:val="00A32844"/>
    <w:rsid w:val="00A33608"/>
    <w:rsid w:val="00A33EB8"/>
    <w:rsid w:val="00A35AF5"/>
    <w:rsid w:val="00A35F50"/>
    <w:rsid w:val="00A42568"/>
    <w:rsid w:val="00A42653"/>
    <w:rsid w:val="00A4545C"/>
    <w:rsid w:val="00A45CF9"/>
    <w:rsid w:val="00A46D86"/>
    <w:rsid w:val="00A502C1"/>
    <w:rsid w:val="00A50567"/>
    <w:rsid w:val="00A53D16"/>
    <w:rsid w:val="00A6601F"/>
    <w:rsid w:val="00A70E02"/>
    <w:rsid w:val="00A70F6D"/>
    <w:rsid w:val="00A76EDD"/>
    <w:rsid w:val="00A8039F"/>
    <w:rsid w:val="00A81A0D"/>
    <w:rsid w:val="00A81DA5"/>
    <w:rsid w:val="00A81F54"/>
    <w:rsid w:val="00A8339E"/>
    <w:rsid w:val="00A8355E"/>
    <w:rsid w:val="00A84CD7"/>
    <w:rsid w:val="00A90159"/>
    <w:rsid w:val="00AA403C"/>
    <w:rsid w:val="00AA4A18"/>
    <w:rsid w:val="00AA4CAB"/>
    <w:rsid w:val="00AA5B32"/>
    <w:rsid w:val="00AA682C"/>
    <w:rsid w:val="00AA6C96"/>
    <w:rsid w:val="00AB0818"/>
    <w:rsid w:val="00AB226B"/>
    <w:rsid w:val="00AB263F"/>
    <w:rsid w:val="00AB28A0"/>
    <w:rsid w:val="00AB3504"/>
    <w:rsid w:val="00AB43F9"/>
    <w:rsid w:val="00AB5161"/>
    <w:rsid w:val="00AC2426"/>
    <w:rsid w:val="00AC26BE"/>
    <w:rsid w:val="00AC504C"/>
    <w:rsid w:val="00AD2E72"/>
    <w:rsid w:val="00AD411D"/>
    <w:rsid w:val="00AE0036"/>
    <w:rsid w:val="00AE4379"/>
    <w:rsid w:val="00AF1B2B"/>
    <w:rsid w:val="00AF3E31"/>
    <w:rsid w:val="00AF6A36"/>
    <w:rsid w:val="00AF7BC3"/>
    <w:rsid w:val="00B00BD5"/>
    <w:rsid w:val="00B01333"/>
    <w:rsid w:val="00B028A1"/>
    <w:rsid w:val="00B055F1"/>
    <w:rsid w:val="00B06788"/>
    <w:rsid w:val="00B06B9B"/>
    <w:rsid w:val="00B07058"/>
    <w:rsid w:val="00B1195F"/>
    <w:rsid w:val="00B11D29"/>
    <w:rsid w:val="00B15FDF"/>
    <w:rsid w:val="00B20083"/>
    <w:rsid w:val="00B22F2C"/>
    <w:rsid w:val="00B2685B"/>
    <w:rsid w:val="00B300C9"/>
    <w:rsid w:val="00B31118"/>
    <w:rsid w:val="00B34D7B"/>
    <w:rsid w:val="00B43B39"/>
    <w:rsid w:val="00B45353"/>
    <w:rsid w:val="00B45B50"/>
    <w:rsid w:val="00B47485"/>
    <w:rsid w:val="00B53068"/>
    <w:rsid w:val="00B551F7"/>
    <w:rsid w:val="00B56BC3"/>
    <w:rsid w:val="00B56ED5"/>
    <w:rsid w:val="00B60EAA"/>
    <w:rsid w:val="00B67B5B"/>
    <w:rsid w:val="00B70CCB"/>
    <w:rsid w:val="00B7173B"/>
    <w:rsid w:val="00B71D19"/>
    <w:rsid w:val="00B733DF"/>
    <w:rsid w:val="00B74155"/>
    <w:rsid w:val="00B756A5"/>
    <w:rsid w:val="00B760A4"/>
    <w:rsid w:val="00B8219F"/>
    <w:rsid w:val="00B82478"/>
    <w:rsid w:val="00B83ED2"/>
    <w:rsid w:val="00B90854"/>
    <w:rsid w:val="00B925FA"/>
    <w:rsid w:val="00B92B59"/>
    <w:rsid w:val="00B93205"/>
    <w:rsid w:val="00B93A4E"/>
    <w:rsid w:val="00B94DF8"/>
    <w:rsid w:val="00B969BC"/>
    <w:rsid w:val="00BA14E2"/>
    <w:rsid w:val="00BA4396"/>
    <w:rsid w:val="00BA5CD4"/>
    <w:rsid w:val="00BA7F62"/>
    <w:rsid w:val="00BB0549"/>
    <w:rsid w:val="00BB408F"/>
    <w:rsid w:val="00BB7301"/>
    <w:rsid w:val="00BB7C63"/>
    <w:rsid w:val="00BC0C5F"/>
    <w:rsid w:val="00BC150F"/>
    <w:rsid w:val="00BC4BA9"/>
    <w:rsid w:val="00BD0387"/>
    <w:rsid w:val="00BD2796"/>
    <w:rsid w:val="00BD442B"/>
    <w:rsid w:val="00BD5322"/>
    <w:rsid w:val="00BD6DDB"/>
    <w:rsid w:val="00BD7953"/>
    <w:rsid w:val="00BE3F4D"/>
    <w:rsid w:val="00BE6781"/>
    <w:rsid w:val="00BF47B9"/>
    <w:rsid w:val="00C049F3"/>
    <w:rsid w:val="00C0564E"/>
    <w:rsid w:val="00C07BD8"/>
    <w:rsid w:val="00C112EC"/>
    <w:rsid w:val="00C13A30"/>
    <w:rsid w:val="00C140CF"/>
    <w:rsid w:val="00C169EF"/>
    <w:rsid w:val="00C17696"/>
    <w:rsid w:val="00C202A7"/>
    <w:rsid w:val="00C2269B"/>
    <w:rsid w:val="00C262D6"/>
    <w:rsid w:val="00C26A0E"/>
    <w:rsid w:val="00C30251"/>
    <w:rsid w:val="00C30997"/>
    <w:rsid w:val="00C3556F"/>
    <w:rsid w:val="00C37860"/>
    <w:rsid w:val="00C4020D"/>
    <w:rsid w:val="00C42213"/>
    <w:rsid w:val="00C5037C"/>
    <w:rsid w:val="00C53756"/>
    <w:rsid w:val="00C539F0"/>
    <w:rsid w:val="00C5515A"/>
    <w:rsid w:val="00C62394"/>
    <w:rsid w:val="00C631AE"/>
    <w:rsid w:val="00C63984"/>
    <w:rsid w:val="00C63EEE"/>
    <w:rsid w:val="00C71B62"/>
    <w:rsid w:val="00C742F1"/>
    <w:rsid w:val="00C754A1"/>
    <w:rsid w:val="00C75600"/>
    <w:rsid w:val="00C76007"/>
    <w:rsid w:val="00C761A3"/>
    <w:rsid w:val="00C77534"/>
    <w:rsid w:val="00C8294E"/>
    <w:rsid w:val="00C82E44"/>
    <w:rsid w:val="00C833FB"/>
    <w:rsid w:val="00C9054F"/>
    <w:rsid w:val="00C930C9"/>
    <w:rsid w:val="00C940D0"/>
    <w:rsid w:val="00C941DD"/>
    <w:rsid w:val="00CA287B"/>
    <w:rsid w:val="00CA38BD"/>
    <w:rsid w:val="00CA416C"/>
    <w:rsid w:val="00CA668B"/>
    <w:rsid w:val="00CA6C65"/>
    <w:rsid w:val="00CA70A5"/>
    <w:rsid w:val="00CA7DD9"/>
    <w:rsid w:val="00CB112F"/>
    <w:rsid w:val="00CB26B8"/>
    <w:rsid w:val="00CB4908"/>
    <w:rsid w:val="00CB514D"/>
    <w:rsid w:val="00CB747D"/>
    <w:rsid w:val="00CC0914"/>
    <w:rsid w:val="00CC0A72"/>
    <w:rsid w:val="00CC3988"/>
    <w:rsid w:val="00CC4D80"/>
    <w:rsid w:val="00CD052F"/>
    <w:rsid w:val="00CD154B"/>
    <w:rsid w:val="00CD18FE"/>
    <w:rsid w:val="00CD2144"/>
    <w:rsid w:val="00CD31AA"/>
    <w:rsid w:val="00CD37BC"/>
    <w:rsid w:val="00CD6CA1"/>
    <w:rsid w:val="00CE0594"/>
    <w:rsid w:val="00CE5D66"/>
    <w:rsid w:val="00CE7623"/>
    <w:rsid w:val="00CF3E33"/>
    <w:rsid w:val="00CF4060"/>
    <w:rsid w:val="00CF46B9"/>
    <w:rsid w:val="00CF5913"/>
    <w:rsid w:val="00CF773A"/>
    <w:rsid w:val="00D05FF1"/>
    <w:rsid w:val="00D06D07"/>
    <w:rsid w:val="00D07C24"/>
    <w:rsid w:val="00D13412"/>
    <w:rsid w:val="00D16385"/>
    <w:rsid w:val="00D1685C"/>
    <w:rsid w:val="00D2093A"/>
    <w:rsid w:val="00D20C65"/>
    <w:rsid w:val="00D25EA3"/>
    <w:rsid w:val="00D26D5F"/>
    <w:rsid w:val="00D2784A"/>
    <w:rsid w:val="00D3056B"/>
    <w:rsid w:val="00D326AD"/>
    <w:rsid w:val="00D35474"/>
    <w:rsid w:val="00D3598E"/>
    <w:rsid w:val="00D36122"/>
    <w:rsid w:val="00D45865"/>
    <w:rsid w:val="00D52B3E"/>
    <w:rsid w:val="00D52D90"/>
    <w:rsid w:val="00D5616A"/>
    <w:rsid w:val="00D57018"/>
    <w:rsid w:val="00D6221C"/>
    <w:rsid w:val="00D62E26"/>
    <w:rsid w:val="00D739EA"/>
    <w:rsid w:val="00D740C0"/>
    <w:rsid w:val="00D81A72"/>
    <w:rsid w:val="00D81E23"/>
    <w:rsid w:val="00D81ECD"/>
    <w:rsid w:val="00D835C2"/>
    <w:rsid w:val="00D840E4"/>
    <w:rsid w:val="00D8448F"/>
    <w:rsid w:val="00D86505"/>
    <w:rsid w:val="00D945AA"/>
    <w:rsid w:val="00D94B54"/>
    <w:rsid w:val="00D96B29"/>
    <w:rsid w:val="00D96D09"/>
    <w:rsid w:val="00DA1595"/>
    <w:rsid w:val="00DA1FC2"/>
    <w:rsid w:val="00DA2B00"/>
    <w:rsid w:val="00DA7775"/>
    <w:rsid w:val="00DB22C3"/>
    <w:rsid w:val="00DB44AB"/>
    <w:rsid w:val="00DB492D"/>
    <w:rsid w:val="00DB4941"/>
    <w:rsid w:val="00DC30E5"/>
    <w:rsid w:val="00DC34EA"/>
    <w:rsid w:val="00DC4865"/>
    <w:rsid w:val="00DC4928"/>
    <w:rsid w:val="00DC5F75"/>
    <w:rsid w:val="00DD5251"/>
    <w:rsid w:val="00DD75E8"/>
    <w:rsid w:val="00DD7D67"/>
    <w:rsid w:val="00DE12B0"/>
    <w:rsid w:val="00DE3351"/>
    <w:rsid w:val="00DE3AF1"/>
    <w:rsid w:val="00DE46BA"/>
    <w:rsid w:val="00DE695A"/>
    <w:rsid w:val="00DF3AB8"/>
    <w:rsid w:val="00DF60B6"/>
    <w:rsid w:val="00DF79BC"/>
    <w:rsid w:val="00DF7B0D"/>
    <w:rsid w:val="00DF7CAE"/>
    <w:rsid w:val="00DF7F3A"/>
    <w:rsid w:val="00E00122"/>
    <w:rsid w:val="00E015C1"/>
    <w:rsid w:val="00E030F6"/>
    <w:rsid w:val="00E03DF1"/>
    <w:rsid w:val="00E06DD3"/>
    <w:rsid w:val="00E1500C"/>
    <w:rsid w:val="00E16827"/>
    <w:rsid w:val="00E20925"/>
    <w:rsid w:val="00E214E9"/>
    <w:rsid w:val="00E23633"/>
    <w:rsid w:val="00E24AEB"/>
    <w:rsid w:val="00E24E61"/>
    <w:rsid w:val="00E337B4"/>
    <w:rsid w:val="00E3535E"/>
    <w:rsid w:val="00E37E8D"/>
    <w:rsid w:val="00E41494"/>
    <w:rsid w:val="00E42AEA"/>
    <w:rsid w:val="00E4481D"/>
    <w:rsid w:val="00E4629A"/>
    <w:rsid w:val="00E46864"/>
    <w:rsid w:val="00E51696"/>
    <w:rsid w:val="00E53436"/>
    <w:rsid w:val="00E557B9"/>
    <w:rsid w:val="00E61D70"/>
    <w:rsid w:val="00E640F6"/>
    <w:rsid w:val="00E6421B"/>
    <w:rsid w:val="00E65FCC"/>
    <w:rsid w:val="00E72716"/>
    <w:rsid w:val="00E72D22"/>
    <w:rsid w:val="00E748E0"/>
    <w:rsid w:val="00E77490"/>
    <w:rsid w:val="00E77B3F"/>
    <w:rsid w:val="00E815D0"/>
    <w:rsid w:val="00E86400"/>
    <w:rsid w:val="00E86970"/>
    <w:rsid w:val="00E87818"/>
    <w:rsid w:val="00E9035C"/>
    <w:rsid w:val="00E921E3"/>
    <w:rsid w:val="00E93515"/>
    <w:rsid w:val="00EA0122"/>
    <w:rsid w:val="00EA1B67"/>
    <w:rsid w:val="00EA29E0"/>
    <w:rsid w:val="00EA352F"/>
    <w:rsid w:val="00EB1798"/>
    <w:rsid w:val="00EB4B38"/>
    <w:rsid w:val="00EB6195"/>
    <w:rsid w:val="00EB71CE"/>
    <w:rsid w:val="00EC390D"/>
    <w:rsid w:val="00EC5E12"/>
    <w:rsid w:val="00EC738B"/>
    <w:rsid w:val="00EC7905"/>
    <w:rsid w:val="00ED072E"/>
    <w:rsid w:val="00ED2605"/>
    <w:rsid w:val="00ED306D"/>
    <w:rsid w:val="00ED48A6"/>
    <w:rsid w:val="00ED56A5"/>
    <w:rsid w:val="00EE14ED"/>
    <w:rsid w:val="00EE3FD7"/>
    <w:rsid w:val="00EE4BED"/>
    <w:rsid w:val="00EE7F5E"/>
    <w:rsid w:val="00EF2588"/>
    <w:rsid w:val="00EF45F7"/>
    <w:rsid w:val="00EF6565"/>
    <w:rsid w:val="00EF714D"/>
    <w:rsid w:val="00EF76CB"/>
    <w:rsid w:val="00F01069"/>
    <w:rsid w:val="00F01908"/>
    <w:rsid w:val="00F01DAA"/>
    <w:rsid w:val="00F0518B"/>
    <w:rsid w:val="00F055AF"/>
    <w:rsid w:val="00F11A13"/>
    <w:rsid w:val="00F12888"/>
    <w:rsid w:val="00F12BD4"/>
    <w:rsid w:val="00F13110"/>
    <w:rsid w:val="00F15992"/>
    <w:rsid w:val="00F2006D"/>
    <w:rsid w:val="00F20AB6"/>
    <w:rsid w:val="00F21913"/>
    <w:rsid w:val="00F22AD7"/>
    <w:rsid w:val="00F261D4"/>
    <w:rsid w:val="00F26715"/>
    <w:rsid w:val="00F275B8"/>
    <w:rsid w:val="00F31172"/>
    <w:rsid w:val="00F31DDE"/>
    <w:rsid w:val="00F33E91"/>
    <w:rsid w:val="00F353FF"/>
    <w:rsid w:val="00F4443F"/>
    <w:rsid w:val="00F456DF"/>
    <w:rsid w:val="00F46319"/>
    <w:rsid w:val="00F51ADA"/>
    <w:rsid w:val="00F51D5E"/>
    <w:rsid w:val="00F529BC"/>
    <w:rsid w:val="00F537D0"/>
    <w:rsid w:val="00F538E6"/>
    <w:rsid w:val="00F53AC6"/>
    <w:rsid w:val="00F57F65"/>
    <w:rsid w:val="00F6008E"/>
    <w:rsid w:val="00F60480"/>
    <w:rsid w:val="00F6136C"/>
    <w:rsid w:val="00F61C14"/>
    <w:rsid w:val="00F630ED"/>
    <w:rsid w:val="00F637A6"/>
    <w:rsid w:val="00F63DC3"/>
    <w:rsid w:val="00F64305"/>
    <w:rsid w:val="00F664A6"/>
    <w:rsid w:val="00F66E61"/>
    <w:rsid w:val="00F7364E"/>
    <w:rsid w:val="00F74433"/>
    <w:rsid w:val="00F76B95"/>
    <w:rsid w:val="00F82D5E"/>
    <w:rsid w:val="00F82DC8"/>
    <w:rsid w:val="00F84FF5"/>
    <w:rsid w:val="00F854FB"/>
    <w:rsid w:val="00F863A8"/>
    <w:rsid w:val="00F90342"/>
    <w:rsid w:val="00F90700"/>
    <w:rsid w:val="00F9127E"/>
    <w:rsid w:val="00F91B5E"/>
    <w:rsid w:val="00F92592"/>
    <w:rsid w:val="00F92D46"/>
    <w:rsid w:val="00F93E66"/>
    <w:rsid w:val="00FA103E"/>
    <w:rsid w:val="00FA3662"/>
    <w:rsid w:val="00FA394B"/>
    <w:rsid w:val="00FA3A7D"/>
    <w:rsid w:val="00FA4691"/>
    <w:rsid w:val="00FA54B5"/>
    <w:rsid w:val="00FB08F1"/>
    <w:rsid w:val="00FB10FE"/>
    <w:rsid w:val="00FB3B0D"/>
    <w:rsid w:val="00FB52E0"/>
    <w:rsid w:val="00FB5A34"/>
    <w:rsid w:val="00FB6445"/>
    <w:rsid w:val="00FB6BDC"/>
    <w:rsid w:val="00FB7D58"/>
    <w:rsid w:val="00FC0A88"/>
    <w:rsid w:val="00FC12FD"/>
    <w:rsid w:val="00FC3403"/>
    <w:rsid w:val="00FC689A"/>
    <w:rsid w:val="00FD03B0"/>
    <w:rsid w:val="00FD3725"/>
    <w:rsid w:val="00FE0B7B"/>
    <w:rsid w:val="00FE2278"/>
    <w:rsid w:val="00FE6D84"/>
    <w:rsid w:val="00FE71E7"/>
    <w:rsid w:val="00FF1CAF"/>
    <w:rsid w:val="00FF55D6"/>
    <w:rsid w:val="00FF6B1A"/>
    <w:rsid w:val="00FF6D00"/>
    <w:rsid w:val="00FF721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colormru v:ext="edit" colors="black,#ffc"/>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uiPriority="9" w:qFormat="1"/>
    <w:lsdException w:name="heading 3" w:uiPriority="9"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annotation text" w:uiPriority="99"/>
    <w:lsdException w:name="footer" w:uiPriority="99"/>
    <w:lsdException w:name="caption" w:semiHidden="1" w:unhideWhenUsed="1" w:qFormat="1"/>
    <w:lsdException w:name="annotation reference" w:uiPriority="99"/>
    <w:lsdException w:name="Title" w:qFormat="1"/>
    <w:lsdException w:name="Subtitle" w:qFormat="1"/>
    <w:lsdException w:name="Hyperlink" w:uiPriority="99"/>
    <w:lsdException w:name="FollowedHyperlink" w:uiPriority="99"/>
    <w:lsdException w:name="Strong" w:qFormat="1"/>
    <w:lsdException w:name="Emphasis" w:qFormat="1"/>
    <w:lsdException w:name="Document Map" w:uiPriority="99"/>
    <w:lsdException w:name="annotation subject" w:uiPriority="99"/>
    <w:lsdException w:name="No List" w:uiPriority="99"/>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4A2B58"/>
    <w:pPr>
      <w:bidi/>
    </w:pPr>
    <w:rPr>
      <w:rFonts w:cs="Simplified Arabic"/>
      <w:sz w:val="24"/>
      <w:szCs w:val="28"/>
    </w:rPr>
  </w:style>
  <w:style w:type="paragraph" w:styleId="Heading1">
    <w:name w:val="heading 1"/>
    <w:aliases w:val="تیتر اول"/>
    <w:basedOn w:val="Normal"/>
    <w:next w:val="Normal"/>
    <w:link w:val="Heading1Char"/>
    <w:unhideWhenUsed/>
    <w:qFormat/>
    <w:rsid w:val="00071132"/>
    <w:pPr>
      <w:keepNext/>
      <w:spacing w:before="960" w:after="360"/>
      <w:jc w:val="center"/>
      <w:outlineLvl w:val="0"/>
    </w:pPr>
    <w:rPr>
      <w:rFonts w:cs="SKR HEAD1"/>
      <w:b/>
      <w:kern w:val="32"/>
      <w:szCs w:val="36"/>
    </w:rPr>
  </w:style>
  <w:style w:type="paragraph" w:styleId="Heading2">
    <w:name w:val="heading 2"/>
    <w:basedOn w:val="Normal"/>
    <w:next w:val="Normal"/>
    <w:link w:val="Heading2Char"/>
    <w:uiPriority w:val="9"/>
    <w:qFormat/>
    <w:rsid w:val="00DA1FC2"/>
    <w:pPr>
      <w:keepNext/>
      <w:spacing w:before="240" w:after="60"/>
      <w:outlineLvl w:val="1"/>
    </w:pPr>
    <w:rPr>
      <w:rFonts w:ascii="Arial" w:hAnsi="Arial" w:cs="KFGQPC Uthman Taha Naskh"/>
      <w:b/>
      <w:bCs/>
      <w:sz w:val="28"/>
      <w:szCs w:val="32"/>
    </w:rPr>
  </w:style>
  <w:style w:type="paragraph" w:styleId="Heading3">
    <w:name w:val="heading 3"/>
    <w:basedOn w:val="Normal"/>
    <w:next w:val="Normal"/>
    <w:link w:val="Heading3Char"/>
    <w:uiPriority w:val="9"/>
    <w:qFormat/>
    <w:rsid w:val="000D40CA"/>
    <w:pPr>
      <w:keepNext/>
      <w:spacing w:before="240" w:after="60"/>
      <w:outlineLvl w:val="2"/>
    </w:pPr>
    <w:rPr>
      <w:b/>
      <w:bCs/>
      <w:sz w:val="28"/>
      <w:lang w:bidi="ar-SY"/>
    </w:rPr>
  </w:style>
  <w:style w:type="paragraph" w:styleId="Heading4">
    <w:name w:val="heading 4"/>
    <w:basedOn w:val="Normal"/>
    <w:next w:val="Normal"/>
    <w:link w:val="Heading4Char"/>
    <w:qFormat/>
    <w:rsid w:val="005C664D"/>
    <w:pPr>
      <w:keepNext/>
      <w:spacing w:before="240" w:after="60"/>
      <w:outlineLvl w:val="3"/>
    </w:pPr>
    <w:rPr>
      <w:rFonts w:ascii="Calibri" w:hAnsi="Calibri" w:cs="Arial"/>
      <w:b/>
      <w:bCs/>
      <w:sz w:val="28"/>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uiPriority w:val="99"/>
    <w:semiHidden/>
  </w:style>
  <w:style w:type="character" w:customStyle="1" w:styleId="Heading1Char">
    <w:name w:val="Heading 1 Char"/>
    <w:aliases w:val="تیتر اول Char"/>
    <w:link w:val="Heading1"/>
    <w:rsid w:val="00071132"/>
    <w:rPr>
      <w:rFonts w:cs="SKR HEAD1"/>
      <w:b/>
      <w:kern w:val="32"/>
      <w:sz w:val="24"/>
      <w:szCs w:val="36"/>
      <w:lang w:bidi="ar-SA"/>
    </w:rPr>
  </w:style>
  <w:style w:type="character" w:customStyle="1" w:styleId="Heading2Char">
    <w:name w:val="Heading 2 Char"/>
    <w:link w:val="Heading2"/>
    <w:uiPriority w:val="9"/>
    <w:rsid w:val="00DA1FC2"/>
    <w:rPr>
      <w:rFonts w:ascii="Arial" w:hAnsi="Arial" w:cs="KFGQPC Uthman Taha Naskh"/>
      <w:b/>
      <w:bCs/>
      <w:sz w:val="28"/>
      <w:szCs w:val="32"/>
    </w:rPr>
  </w:style>
  <w:style w:type="character" w:customStyle="1" w:styleId="Heading3Char">
    <w:name w:val="Heading 3 Char"/>
    <w:link w:val="Heading3"/>
    <w:uiPriority w:val="9"/>
    <w:rsid w:val="005C664D"/>
    <w:rPr>
      <w:rFonts w:cs="Simplified Arabic"/>
      <w:b/>
      <w:bCs/>
      <w:sz w:val="28"/>
      <w:szCs w:val="28"/>
      <w:lang w:val="en-US" w:eastAsia="en-US" w:bidi="ar-SY"/>
    </w:rPr>
  </w:style>
  <w:style w:type="character" w:customStyle="1" w:styleId="Heading4Char">
    <w:name w:val="Heading 4 Char"/>
    <w:link w:val="Heading4"/>
    <w:rsid w:val="005C664D"/>
    <w:rPr>
      <w:rFonts w:ascii="Calibri" w:hAnsi="Calibri" w:cs="Arial"/>
      <w:b/>
      <w:bCs/>
      <w:sz w:val="28"/>
      <w:szCs w:val="28"/>
      <w:lang w:val="en-US" w:eastAsia="en-US" w:bidi="ar-SA"/>
    </w:rPr>
  </w:style>
  <w:style w:type="paragraph" w:styleId="FootnoteText">
    <w:name w:val="footnote text"/>
    <w:basedOn w:val="Normal"/>
    <w:link w:val="FootnoteTextChar"/>
    <w:uiPriority w:val="99"/>
    <w:rsid w:val="00F854FB"/>
    <w:rPr>
      <w:sz w:val="20"/>
      <w:szCs w:val="20"/>
    </w:rPr>
  </w:style>
  <w:style w:type="character" w:customStyle="1" w:styleId="FootnoteTextChar">
    <w:name w:val="Footnote Text Char"/>
    <w:link w:val="FootnoteText"/>
    <w:uiPriority w:val="99"/>
    <w:rsid w:val="005C664D"/>
    <w:rPr>
      <w:rFonts w:cs="Simplified Arabic"/>
      <w:lang w:val="en-US" w:eastAsia="en-US" w:bidi="ar-SA"/>
    </w:rPr>
  </w:style>
  <w:style w:type="character" w:styleId="FootnoteReference">
    <w:name w:val="footnote reference"/>
    <w:rsid w:val="00F854FB"/>
    <w:rPr>
      <w:vertAlign w:val="superscript"/>
    </w:rPr>
  </w:style>
  <w:style w:type="character" w:styleId="CommentReference">
    <w:name w:val="annotation reference"/>
    <w:uiPriority w:val="99"/>
    <w:rsid w:val="003120F3"/>
    <w:rPr>
      <w:sz w:val="16"/>
      <w:szCs w:val="16"/>
    </w:rPr>
  </w:style>
  <w:style w:type="paragraph" w:styleId="TOC1">
    <w:name w:val="toc 1"/>
    <w:basedOn w:val="Normal"/>
    <w:next w:val="Normal"/>
    <w:uiPriority w:val="39"/>
    <w:qFormat/>
    <w:rsid w:val="0096298C"/>
    <w:pPr>
      <w:spacing w:before="120" w:line="228" w:lineRule="auto"/>
    </w:pPr>
    <w:rPr>
      <w:rFonts w:cs="mylotus"/>
      <w:bCs/>
      <w:sz w:val="32"/>
      <w:szCs w:val="27"/>
      <w:lang w:eastAsia="ar-SA"/>
    </w:rPr>
  </w:style>
  <w:style w:type="character" w:styleId="Hyperlink">
    <w:name w:val="Hyperlink"/>
    <w:uiPriority w:val="99"/>
    <w:rsid w:val="003307C8"/>
    <w:rPr>
      <w:color w:val="0000FF"/>
      <w:u w:val="single"/>
    </w:rPr>
  </w:style>
  <w:style w:type="paragraph" w:customStyle="1" w:styleId="1">
    <w:name w:val="المراجعة1"/>
    <w:hidden/>
    <w:uiPriority w:val="99"/>
    <w:semiHidden/>
    <w:rsid w:val="00286F09"/>
    <w:rPr>
      <w:rFonts w:cs="Simplified Arabic"/>
      <w:sz w:val="24"/>
      <w:szCs w:val="28"/>
    </w:rPr>
  </w:style>
  <w:style w:type="character" w:styleId="PageNumber">
    <w:name w:val="page number"/>
    <w:basedOn w:val="DefaultParagraphFont"/>
    <w:rsid w:val="00401DB4"/>
  </w:style>
  <w:style w:type="table" w:styleId="TableGrid">
    <w:name w:val="Table Grid"/>
    <w:basedOn w:val="TableNormal"/>
    <w:uiPriority w:val="59"/>
    <w:rsid w:val="005D01E8"/>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3">
    <w:name w:val="toc 3"/>
    <w:basedOn w:val="Normal"/>
    <w:next w:val="Normal"/>
    <w:uiPriority w:val="39"/>
    <w:unhideWhenUsed/>
    <w:qFormat/>
    <w:rsid w:val="0096298C"/>
    <w:pPr>
      <w:bidi w:val="0"/>
      <w:spacing w:line="228" w:lineRule="auto"/>
      <w:ind w:left="567"/>
    </w:pPr>
    <w:rPr>
      <w:rFonts w:ascii="Calibri" w:hAnsi="Calibri" w:cs="mylotus"/>
      <w:sz w:val="22"/>
      <w:szCs w:val="27"/>
    </w:rPr>
  </w:style>
  <w:style w:type="paragraph" w:styleId="Footer">
    <w:name w:val="footer"/>
    <w:basedOn w:val="Normal"/>
    <w:link w:val="FooterChar"/>
    <w:uiPriority w:val="99"/>
    <w:rsid w:val="005C664D"/>
    <w:pPr>
      <w:tabs>
        <w:tab w:val="center" w:pos="4153"/>
        <w:tab w:val="right" w:pos="8306"/>
      </w:tabs>
    </w:pPr>
  </w:style>
  <w:style w:type="character" w:customStyle="1" w:styleId="FooterChar">
    <w:name w:val="Footer Char"/>
    <w:link w:val="Footer"/>
    <w:uiPriority w:val="99"/>
    <w:rsid w:val="005C664D"/>
    <w:rPr>
      <w:rFonts w:cs="Simplified Arabic"/>
      <w:sz w:val="24"/>
      <w:szCs w:val="28"/>
      <w:lang w:val="en-US" w:eastAsia="en-US" w:bidi="ar-SA"/>
    </w:rPr>
  </w:style>
  <w:style w:type="paragraph" w:styleId="Header">
    <w:name w:val="header"/>
    <w:basedOn w:val="Normal"/>
    <w:link w:val="HeaderChar"/>
    <w:rsid w:val="005C664D"/>
    <w:pPr>
      <w:tabs>
        <w:tab w:val="center" w:pos="4153"/>
        <w:tab w:val="right" w:pos="8306"/>
      </w:tabs>
    </w:pPr>
    <w:rPr>
      <w:rFonts w:cs="Times New Roman"/>
      <w:lang w:val="x-none" w:eastAsia="x-none" w:bidi="fa-IR"/>
    </w:rPr>
  </w:style>
  <w:style w:type="paragraph" w:styleId="TOC2">
    <w:name w:val="toc 2"/>
    <w:basedOn w:val="Normal"/>
    <w:next w:val="Normal"/>
    <w:uiPriority w:val="39"/>
    <w:qFormat/>
    <w:rsid w:val="0096298C"/>
    <w:pPr>
      <w:tabs>
        <w:tab w:val="right" w:leader="dot" w:pos="7248"/>
      </w:tabs>
      <w:spacing w:line="228" w:lineRule="auto"/>
      <w:ind w:left="340"/>
    </w:pPr>
    <w:rPr>
      <w:rFonts w:cs="mylotus"/>
      <w:sz w:val="32"/>
      <w:szCs w:val="27"/>
      <w:lang w:eastAsia="ar-SA"/>
    </w:rPr>
  </w:style>
  <w:style w:type="paragraph" w:styleId="DocumentMap">
    <w:name w:val="Document Map"/>
    <w:basedOn w:val="Normal"/>
    <w:link w:val="DocumentMapChar"/>
    <w:uiPriority w:val="99"/>
    <w:rsid w:val="005C664D"/>
    <w:rPr>
      <w:rFonts w:ascii="Tahoma" w:hAnsi="Tahoma" w:cs="Tahoma"/>
      <w:sz w:val="16"/>
      <w:szCs w:val="16"/>
    </w:rPr>
  </w:style>
  <w:style w:type="character" w:customStyle="1" w:styleId="DocumentMapChar">
    <w:name w:val="Document Map Char"/>
    <w:link w:val="DocumentMap"/>
    <w:uiPriority w:val="99"/>
    <w:rsid w:val="005C664D"/>
    <w:rPr>
      <w:rFonts w:ascii="Tahoma" w:hAnsi="Tahoma" w:cs="Tahoma"/>
      <w:sz w:val="16"/>
      <w:szCs w:val="16"/>
      <w:lang w:val="en-US" w:eastAsia="en-US" w:bidi="ar-SA"/>
    </w:rPr>
  </w:style>
  <w:style w:type="character" w:customStyle="1" w:styleId="CharChar9">
    <w:name w:val=" Char Char9"/>
    <w:rsid w:val="005C664D"/>
    <w:rPr>
      <w:rFonts w:ascii="Cambria" w:hAnsi="Cambria" w:cs="Simplified Arabic"/>
      <w:b/>
      <w:bCs/>
      <w:sz w:val="36"/>
      <w:szCs w:val="36"/>
      <w:lang w:val="en-US" w:eastAsia="en-US" w:bidi="ar-SY"/>
    </w:rPr>
  </w:style>
  <w:style w:type="character" w:customStyle="1" w:styleId="CharChar8">
    <w:name w:val=" Char Char8"/>
    <w:rsid w:val="005C664D"/>
    <w:rPr>
      <w:rFonts w:cs="Simplified Arabic"/>
      <w:b/>
      <w:bCs/>
      <w:sz w:val="28"/>
      <w:szCs w:val="28"/>
      <w:lang w:val="en-US" w:eastAsia="en-US" w:bidi="ar-SY"/>
    </w:rPr>
  </w:style>
  <w:style w:type="character" w:customStyle="1" w:styleId="CharChar10">
    <w:name w:val=" Char Char10"/>
    <w:rsid w:val="005C664D"/>
    <w:rPr>
      <w:rFonts w:ascii="Cambria" w:hAnsi="Cambria"/>
      <w:b/>
      <w:bCs/>
      <w:kern w:val="32"/>
      <w:sz w:val="32"/>
      <w:szCs w:val="32"/>
      <w:lang w:val="en-US" w:eastAsia="en-US" w:bidi="ar-SA"/>
    </w:rPr>
  </w:style>
  <w:style w:type="character" w:customStyle="1" w:styleId="CharChar6">
    <w:name w:val=" Char Char6"/>
    <w:rsid w:val="005C664D"/>
    <w:rPr>
      <w:rFonts w:cs="Simplified Arabic"/>
      <w:lang w:val="en-US" w:eastAsia="en-US" w:bidi="ar-SA"/>
    </w:rPr>
  </w:style>
  <w:style w:type="paragraph" w:customStyle="1" w:styleId="10">
    <w:name w:val="نمط1"/>
    <w:basedOn w:val="Normal"/>
    <w:link w:val="1Char"/>
    <w:rsid w:val="00822DEC"/>
    <w:pPr>
      <w:widowControl w:val="0"/>
      <w:spacing w:before="120"/>
      <w:jc w:val="center"/>
    </w:pPr>
    <w:rPr>
      <w:rFonts w:eastAsia="Calibri"/>
      <w:b/>
      <w:bCs/>
      <w:color w:val="008000"/>
      <w:sz w:val="44"/>
      <w:szCs w:val="44"/>
    </w:rPr>
  </w:style>
  <w:style w:type="paragraph" w:customStyle="1" w:styleId="2">
    <w:name w:val="نمط2"/>
    <w:basedOn w:val="Heading1"/>
    <w:rsid w:val="00822DEC"/>
    <w:pPr>
      <w:keepNext w:val="0"/>
      <w:widowControl w:val="0"/>
      <w:spacing w:before="120" w:after="0"/>
      <w:ind w:firstLine="567"/>
      <w:jc w:val="lowKashida"/>
    </w:pPr>
    <w:rPr>
      <w:rFonts w:eastAsia="Calibri"/>
      <w:b w:val="0"/>
      <w:color w:val="800000"/>
      <w:sz w:val="34"/>
      <w:szCs w:val="34"/>
    </w:rPr>
  </w:style>
  <w:style w:type="paragraph" w:customStyle="1" w:styleId="a">
    <w:name w:val="نص أقوال عربی"/>
    <w:basedOn w:val="Normal"/>
    <w:link w:val="Char"/>
    <w:qFormat/>
    <w:rsid w:val="005B4BE3"/>
    <w:pPr>
      <w:ind w:firstLine="284"/>
      <w:jc w:val="both"/>
    </w:pPr>
    <w:rPr>
      <w:rFonts w:ascii="KFGQPC Uthman Taha Naskh" w:hAnsi="KFGQPC Uthman Taha Naskh" w:cs="Times New Roman"/>
      <w:sz w:val="28"/>
      <w:lang w:val="x-none" w:eastAsia="x-none" w:bidi="fa-IR"/>
    </w:rPr>
  </w:style>
  <w:style w:type="character" w:customStyle="1" w:styleId="Char">
    <w:name w:val="نص أقوال عربی Char"/>
    <w:link w:val="a"/>
    <w:rsid w:val="005B4BE3"/>
    <w:rPr>
      <w:rFonts w:ascii="KFGQPC Uthman Taha Naskh" w:hAnsi="KFGQPC Uthman Taha Naskh" w:cs="KFGQPC Uthman Taha Naskh"/>
      <w:sz w:val="28"/>
      <w:szCs w:val="28"/>
    </w:rPr>
  </w:style>
  <w:style w:type="character" w:customStyle="1" w:styleId="HeaderChar">
    <w:name w:val="Header Char"/>
    <w:link w:val="Header"/>
    <w:rsid w:val="00BB0549"/>
    <w:rPr>
      <w:rFonts w:cs="Simplified Arabic"/>
      <w:sz w:val="24"/>
      <w:szCs w:val="28"/>
    </w:rPr>
  </w:style>
  <w:style w:type="paragraph" w:styleId="CommentText">
    <w:name w:val="annotation text"/>
    <w:basedOn w:val="Normal"/>
    <w:link w:val="CommentTextChar"/>
    <w:uiPriority w:val="99"/>
    <w:unhideWhenUsed/>
    <w:rsid w:val="00BB0549"/>
    <w:pPr>
      <w:spacing w:after="200" w:line="276" w:lineRule="auto"/>
    </w:pPr>
    <w:rPr>
      <w:rFonts w:eastAsia="Calibri" w:cs="Times New Roman"/>
      <w:sz w:val="20"/>
      <w:szCs w:val="20"/>
      <w:lang w:val="x-none" w:eastAsia="x-none" w:bidi="fa-IR"/>
    </w:rPr>
  </w:style>
  <w:style w:type="character" w:customStyle="1" w:styleId="CommentTextChar">
    <w:name w:val="Comment Text Char"/>
    <w:link w:val="CommentText"/>
    <w:uiPriority w:val="99"/>
    <w:rsid w:val="00BB0549"/>
    <w:rPr>
      <w:rFonts w:eastAsia="Calibri" w:cs="Simplified Arabic"/>
    </w:rPr>
  </w:style>
  <w:style w:type="paragraph" w:styleId="CommentSubject">
    <w:name w:val="annotation subject"/>
    <w:basedOn w:val="CommentText"/>
    <w:next w:val="CommentText"/>
    <w:link w:val="CommentSubjectChar"/>
    <w:uiPriority w:val="99"/>
    <w:unhideWhenUsed/>
    <w:rsid w:val="00BB0549"/>
    <w:rPr>
      <w:b/>
      <w:bCs/>
    </w:rPr>
  </w:style>
  <w:style w:type="character" w:customStyle="1" w:styleId="CommentSubjectChar">
    <w:name w:val="Comment Subject Char"/>
    <w:link w:val="CommentSubject"/>
    <w:uiPriority w:val="99"/>
    <w:rsid w:val="00BB0549"/>
    <w:rPr>
      <w:rFonts w:eastAsia="Calibri" w:cs="Simplified Arabic"/>
      <w:b/>
      <w:bCs/>
      <w:lang w:val="x-none" w:eastAsia="x-none"/>
    </w:rPr>
  </w:style>
  <w:style w:type="paragraph" w:styleId="BalloonText">
    <w:name w:val="Balloon Text"/>
    <w:basedOn w:val="Normal"/>
    <w:link w:val="BalloonTextChar"/>
    <w:uiPriority w:val="99"/>
    <w:unhideWhenUsed/>
    <w:rsid w:val="00BB0549"/>
    <w:rPr>
      <w:rFonts w:ascii="Tahoma" w:eastAsia="Calibri" w:hAnsi="Tahoma" w:cs="Times New Roman"/>
      <w:sz w:val="16"/>
      <w:szCs w:val="16"/>
      <w:lang w:val="x-none" w:eastAsia="x-none" w:bidi="fa-IR"/>
    </w:rPr>
  </w:style>
  <w:style w:type="character" w:customStyle="1" w:styleId="BalloonTextChar">
    <w:name w:val="Balloon Text Char"/>
    <w:link w:val="BalloonText"/>
    <w:uiPriority w:val="99"/>
    <w:rsid w:val="00BB0549"/>
    <w:rPr>
      <w:rFonts w:ascii="Tahoma" w:eastAsia="Calibri" w:hAnsi="Tahoma"/>
      <w:sz w:val="16"/>
      <w:szCs w:val="16"/>
      <w:lang w:val="x-none" w:eastAsia="x-none"/>
    </w:rPr>
  </w:style>
  <w:style w:type="paragraph" w:styleId="Revision">
    <w:name w:val="Revision"/>
    <w:hidden/>
    <w:uiPriority w:val="99"/>
    <w:semiHidden/>
    <w:rsid w:val="00BB0549"/>
    <w:rPr>
      <w:rFonts w:eastAsia="Calibri" w:cs="Simplified Arabic"/>
      <w:sz w:val="24"/>
      <w:szCs w:val="28"/>
    </w:rPr>
  </w:style>
  <w:style w:type="character" w:styleId="Emphasis">
    <w:name w:val="Emphasis"/>
    <w:qFormat/>
    <w:rsid w:val="00DD7D67"/>
    <w:rPr>
      <w:i/>
      <w:iCs/>
    </w:rPr>
  </w:style>
  <w:style w:type="paragraph" w:styleId="TOC4">
    <w:name w:val="toc 4"/>
    <w:basedOn w:val="Normal"/>
    <w:next w:val="Normal"/>
    <w:autoRedefine/>
    <w:uiPriority w:val="39"/>
    <w:unhideWhenUsed/>
    <w:rsid w:val="0096298C"/>
    <w:pPr>
      <w:bidi w:val="0"/>
      <w:spacing w:after="100" w:line="276" w:lineRule="auto"/>
      <w:ind w:left="660"/>
    </w:pPr>
    <w:rPr>
      <w:rFonts w:ascii="Calibri" w:hAnsi="Calibri" w:cs="Arial"/>
      <w:sz w:val="22"/>
      <w:szCs w:val="22"/>
    </w:rPr>
  </w:style>
  <w:style w:type="paragraph" w:styleId="TOC5">
    <w:name w:val="toc 5"/>
    <w:basedOn w:val="Normal"/>
    <w:next w:val="Normal"/>
    <w:autoRedefine/>
    <w:uiPriority w:val="39"/>
    <w:unhideWhenUsed/>
    <w:rsid w:val="000C354E"/>
    <w:pPr>
      <w:spacing w:after="100" w:line="276" w:lineRule="auto"/>
      <w:ind w:left="880"/>
    </w:pPr>
    <w:rPr>
      <w:rFonts w:ascii="Calibri" w:hAnsi="Calibri" w:cs="Arial"/>
      <w:sz w:val="22"/>
      <w:szCs w:val="22"/>
    </w:rPr>
  </w:style>
  <w:style w:type="paragraph" w:styleId="TOC6">
    <w:name w:val="toc 6"/>
    <w:basedOn w:val="Normal"/>
    <w:next w:val="Normal"/>
    <w:autoRedefine/>
    <w:uiPriority w:val="39"/>
    <w:unhideWhenUsed/>
    <w:rsid w:val="000C354E"/>
    <w:pPr>
      <w:spacing w:after="100" w:line="276" w:lineRule="auto"/>
      <w:ind w:left="1100"/>
    </w:pPr>
    <w:rPr>
      <w:rFonts w:ascii="Calibri" w:hAnsi="Calibri" w:cs="Arial"/>
      <w:sz w:val="22"/>
      <w:szCs w:val="22"/>
    </w:rPr>
  </w:style>
  <w:style w:type="paragraph" w:styleId="TOC7">
    <w:name w:val="toc 7"/>
    <w:basedOn w:val="Normal"/>
    <w:next w:val="Normal"/>
    <w:autoRedefine/>
    <w:uiPriority w:val="39"/>
    <w:unhideWhenUsed/>
    <w:rsid w:val="000C354E"/>
    <w:pPr>
      <w:spacing w:after="100" w:line="276" w:lineRule="auto"/>
      <w:ind w:left="1320"/>
    </w:pPr>
    <w:rPr>
      <w:rFonts w:ascii="Calibri" w:hAnsi="Calibri" w:cs="Arial"/>
      <w:sz w:val="22"/>
      <w:szCs w:val="22"/>
    </w:rPr>
  </w:style>
  <w:style w:type="paragraph" w:styleId="TOC8">
    <w:name w:val="toc 8"/>
    <w:basedOn w:val="Normal"/>
    <w:next w:val="Normal"/>
    <w:autoRedefine/>
    <w:uiPriority w:val="39"/>
    <w:unhideWhenUsed/>
    <w:rsid w:val="000C354E"/>
    <w:pPr>
      <w:spacing w:after="100" w:line="276" w:lineRule="auto"/>
      <w:ind w:left="1540"/>
    </w:pPr>
    <w:rPr>
      <w:rFonts w:ascii="Calibri" w:hAnsi="Calibri" w:cs="Arial"/>
      <w:sz w:val="22"/>
      <w:szCs w:val="22"/>
    </w:rPr>
  </w:style>
  <w:style w:type="paragraph" w:styleId="TOC9">
    <w:name w:val="toc 9"/>
    <w:basedOn w:val="Normal"/>
    <w:next w:val="Normal"/>
    <w:autoRedefine/>
    <w:uiPriority w:val="39"/>
    <w:unhideWhenUsed/>
    <w:rsid w:val="000C354E"/>
    <w:pPr>
      <w:spacing w:after="100" w:line="276" w:lineRule="auto"/>
      <w:ind w:left="1760"/>
    </w:pPr>
    <w:rPr>
      <w:rFonts w:ascii="Calibri" w:hAnsi="Calibri" w:cs="Arial"/>
      <w:sz w:val="22"/>
      <w:szCs w:val="22"/>
    </w:rPr>
  </w:style>
  <w:style w:type="character" w:styleId="FollowedHyperlink">
    <w:name w:val="FollowedHyperlink"/>
    <w:uiPriority w:val="99"/>
    <w:unhideWhenUsed/>
    <w:rsid w:val="00EC7905"/>
    <w:rPr>
      <w:color w:val="800080"/>
      <w:u w:val="single"/>
    </w:rPr>
  </w:style>
  <w:style w:type="paragraph" w:customStyle="1" w:styleId="a0">
    <w:name w:val="المتن"/>
    <w:basedOn w:val="Normal"/>
    <w:link w:val="Char0"/>
    <w:unhideWhenUsed/>
    <w:qFormat/>
    <w:rsid w:val="0096298C"/>
    <w:pPr>
      <w:widowControl w:val="0"/>
      <w:spacing w:after="60" w:line="228" w:lineRule="auto"/>
      <w:ind w:firstLine="284"/>
      <w:jc w:val="both"/>
    </w:pPr>
    <w:rPr>
      <w:rFonts w:cs="mylotus"/>
      <w:szCs w:val="27"/>
    </w:rPr>
  </w:style>
  <w:style w:type="character" w:customStyle="1" w:styleId="Char0">
    <w:name w:val="المتن Char"/>
    <w:link w:val="a0"/>
    <w:rsid w:val="0096298C"/>
    <w:rPr>
      <w:rFonts w:cs="mylotus"/>
      <w:sz w:val="24"/>
      <w:szCs w:val="27"/>
      <w:lang w:bidi="ar-SA"/>
    </w:rPr>
  </w:style>
  <w:style w:type="paragraph" w:customStyle="1" w:styleId="a1">
    <w:name w:val="احاديث"/>
    <w:basedOn w:val="a0"/>
    <w:link w:val="Char1"/>
    <w:unhideWhenUsed/>
    <w:qFormat/>
    <w:rsid w:val="0096298C"/>
    <w:rPr>
      <w:rFonts w:cs="KFGQPC Uthman Taha Naskh"/>
      <w:sz w:val="28"/>
      <w:szCs w:val="28"/>
      <w:lang w:bidi="ar-SY"/>
    </w:rPr>
  </w:style>
  <w:style w:type="character" w:customStyle="1" w:styleId="Char1">
    <w:name w:val="احاديث Char"/>
    <w:link w:val="a1"/>
    <w:rsid w:val="0096298C"/>
    <w:rPr>
      <w:rFonts w:cs="KFGQPC Uthman Taha Naskh"/>
      <w:sz w:val="28"/>
      <w:szCs w:val="28"/>
      <w:lang w:bidi="ar-SY"/>
    </w:rPr>
  </w:style>
  <w:style w:type="paragraph" w:customStyle="1" w:styleId="a2">
    <w:name w:val="آدرس ایه"/>
    <w:basedOn w:val="a0"/>
    <w:link w:val="Char2"/>
    <w:uiPriority w:val="2"/>
    <w:unhideWhenUsed/>
    <w:qFormat/>
    <w:rsid w:val="0096298C"/>
    <w:rPr>
      <w:rFonts w:ascii="mylotus" w:hAnsi="mylotus"/>
      <w:szCs w:val="24"/>
    </w:rPr>
  </w:style>
  <w:style w:type="character" w:customStyle="1" w:styleId="Char2">
    <w:name w:val="آدرس ایه Char"/>
    <w:link w:val="a2"/>
    <w:uiPriority w:val="2"/>
    <w:rsid w:val="0096298C"/>
    <w:rPr>
      <w:rFonts w:ascii="mylotus" w:hAnsi="mylotus" w:cs="mylotus"/>
      <w:sz w:val="24"/>
      <w:szCs w:val="24"/>
      <w:lang w:bidi="ar-SA"/>
    </w:rPr>
  </w:style>
  <w:style w:type="paragraph" w:customStyle="1" w:styleId="a3">
    <w:name w:val="آيات"/>
    <w:basedOn w:val="a0"/>
    <w:link w:val="Char3"/>
    <w:uiPriority w:val="2"/>
    <w:unhideWhenUsed/>
    <w:qFormat/>
    <w:rsid w:val="00DF7CAE"/>
    <w:pPr>
      <w:ind w:left="284" w:firstLine="0"/>
    </w:pPr>
    <w:rPr>
      <w:rFonts w:ascii="KFGQPC Uthmanic Script HAFS" w:cs="KFGQPC Uthmanic Script HAFS"/>
      <w:sz w:val="32"/>
      <w:szCs w:val="28"/>
    </w:rPr>
  </w:style>
  <w:style w:type="character" w:customStyle="1" w:styleId="Char3">
    <w:name w:val="آيات Char"/>
    <w:link w:val="a3"/>
    <w:uiPriority w:val="2"/>
    <w:rsid w:val="00DF7CAE"/>
    <w:rPr>
      <w:rFonts w:ascii="KFGQPC Uthmanic Script HAFS" w:cs="KFGQPC Uthmanic Script HAFS"/>
      <w:sz w:val="32"/>
      <w:szCs w:val="28"/>
      <w:lang w:bidi="ar-SA"/>
    </w:rPr>
  </w:style>
  <w:style w:type="paragraph" w:customStyle="1" w:styleId="a4">
    <w:name w:val="آیات بولد"/>
    <w:basedOn w:val="a0"/>
    <w:link w:val="Char4"/>
    <w:uiPriority w:val="2"/>
    <w:unhideWhenUsed/>
    <w:qFormat/>
    <w:rsid w:val="0096298C"/>
    <w:rPr>
      <w:rFonts w:ascii="KFGQPC Uthmanic Script HAFS" w:cs="KFGQPC Uthmanic Script HAFS"/>
      <w:b/>
      <w:bCs/>
      <w:sz w:val="28"/>
    </w:rPr>
  </w:style>
  <w:style w:type="character" w:customStyle="1" w:styleId="Char4">
    <w:name w:val="آیات بولد Char"/>
    <w:link w:val="a4"/>
    <w:uiPriority w:val="2"/>
    <w:rsid w:val="0096298C"/>
    <w:rPr>
      <w:rFonts w:ascii="KFGQPC Uthmanic Script HAFS" w:cs="KFGQPC Uthmanic Script HAFS"/>
      <w:b/>
      <w:bCs/>
      <w:sz w:val="28"/>
      <w:szCs w:val="27"/>
      <w:lang w:bidi="ar-SA"/>
    </w:rPr>
  </w:style>
  <w:style w:type="paragraph" w:customStyle="1" w:styleId="a5">
    <w:name w:val="تیتر دوم"/>
    <w:basedOn w:val="Heading2"/>
    <w:link w:val="Char5"/>
    <w:unhideWhenUsed/>
    <w:qFormat/>
    <w:rsid w:val="0096298C"/>
    <w:pPr>
      <w:ind w:firstLine="284"/>
      <w:jc w:val="both"/>
    </w:pPr>
    <w:rPr>
      <w:rFonts w:ascii="Times New Roman" w:hAnsi="Times New Roman" w:cs="mohammad bold art 1"/>
      <w:b w:val="0"/>
      <w:bCs w:val="0"/>
      <w:sz w:val="24"/>
      <w:szCs w:val="24"/>
    </w:rPr>
  </w:style>
  <w:style w:type="character" w:customStyle="1" w:styleId="Char5">
    <w:name w:val="تیتر دوم Char"/>
    <w:link w:val="a5"/>
    <w:rsid w:val="0096298C"/>
    <w:rPr>
      <w:rFonts w:cs="mohammad bold art 1"/>
      <w:sz w:val="24"/>
      <w:szCs w:val="24"/>
      <w:lang w:bidi="ar-SA"/>
    </w:rPr>
  </w:style>
  <w:style w:type="paragraph" w:customStyle="1" w:styleId="a6">
    <w:name w:val="تيتر سوم"/>
    <w:basedOn w:val="2"/>
    <w:link w:val="Char6"/>
    <w:qFormat/>
    <w:rsid w:val="0096298C"/>
    <w:pPr>
      <w:spacing w:before="240" w:line="228" w:lineRule="auto"/>
      <w:ind w:firstLine="284"/>
      <w:jc w:val="both"/>
      <w:outlineLvl w:val="2"/>
    </w:pPr>
    <w:rPr>
      <w:rFonts w:ascii="Times New Roman Bold" w:eastAsia="Times New Roman" w:hAnsi="Times New Roman Bold" w:cs="mylotus"/>
      <w:b/>
      <w:bCs/>
      <w:color w:val="auto"/>
      <w:kern w:val="0"/>
      <w:sz w:val="36"/>
      <w:szCs w:val="28"/>
      <w:lang w:eastAsia="ar-SA"/>
    </w:rPr>
  </w:style>
  <w:style w:type="character" w:customStyle="1" w:styleId="Char6">
    <w:name w:val="تيتر سوم Char"/>
    <w:link w:val="a6"/>
    <w:rsid w:val="0096298C"/>
    <w:rPr>
      <w:rFonts w:ascii="Times New Roman Bold" w:hAnsi="Times New Roman Bold" w:cs="mylotus"/>
      <w:b/>
      <w:bCs/>
      <w:sz w:val="36"/>
      <w:szCs w:val="28"/>
      <w:lang w:eastAsia="ar-SA" w:bidi="ar-SA"/>
    </w:rPr>
  </w:style>
  <w:style w:type="paragraph" w:customStyle="1" w:styleId="a7">
    <w:name w:val="تیر اول"/>
    <w:basedOn w:val="Normal"/>
    <w:link w:val="Char7"/>
    <w:qFormat/>
    <w:rsid w:val="0096298C"/>
    <w:pPr>
      <w:spacing w:before="600" w:after="480"/>
      <w:jc w:val="center"/>
      <w:outlineLvl w:val="0"/>
    </w:pPr>
    <w:rPr>
      <w:rFonts w:ascii="Times New Roman Bold" w:eastAsia="MS Mincho" w:hAnsi="Times New Roman Bold" w:cs="B Yagut"/>
      <w:b/>
      <w:bCs/>
      <w:sz w:val="32"/>
      <w:szCs w:val="32"/>
      <w:lang w:bidi="fa-IR"/>
    </w:rPr>
  </w:style>
  <w:style w:type="character" w:customStyle="1" w:styleId="Char7">
    <w:name w:val="تیر اول Char"/>
    <w:link w:val="a7"/>
    <w:rsid w:val="0096298C"/>
    <w:rPr>
      <w:rFonts w:ascii="Times New Roman Bold" w:eastAsia="MS Mincho" w:hAnsi="Times New Roman Bold" w:cs="B Yagut"/>
      <w:b/>
      <w:bCs/>
      <w:sz w:val="32"/>
      <w:szCs w:val="32"/>
    </w:rPr>
  </w:style>
  <w:style w:type="character" w:customStyle="1" w:styleId="1Char">
    <w:name w:val="نمط1 Char"/>
    <w:link w:val="10"/>
    <w:rsid w:val="0038508C"/>
    <w:rPr>
      <w:rFonts w:eastAsia="Calibri" w:cs="Simplified Arabic"/>
      <w:b/>
      <w:bCs/>
      <w:color w:val="008000"/>
      <w:sz w:val="44"/>
      <w:szCs w:val="44"/>
      <w:lang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uiPriority="9" w:qFormat="1"/>
    <w:lsdException w:name="heading 3" w:uiPriority="9"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annotation text" w:uiPriority="99"/>
    <w:lsdException w:name="footer" w:uiPriority="99"/>
    <w:lsdException w:name="caption" w:semiHidden="1" w:unhideWhenUsed="1" w:qFormat="1"/>
    <w:lsdException w:name="annotation reference" w:uiPriority="99"/>
    <w:lsdException w:name="Title" w:qFormat="1"/>
    <w:lsdException w:name="Subtitle" w:qFormat="1"/>
    <w:lsdException w:name="Hyperlink" w:uiPriority="99"/>
    <w:lsdException w:name="FollowedHyperlink" w:uiPriority="99"/>
    <w:lsdException w:name="Strong" w:qFormat="1"/>
    <w:lsdException w:name="Emphasis" w:qFormat="1"/>
    <w:lsdException w:name="Document Map" w:uiPriority="99"/>
    <w:lsdException w:name="annotation subject" w:uiPriority="99"/>
    <w:lsdException w:name="No List" w:uiPriority="99"/>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4A2B58"/>
    <w:pPr>
      <w:bidi/>
    </w:pPr>
    <w:rPr>
      <w:rFonts w:cs="Simplified Arabic"/>
      <w:sz w:val="24"/>
      <w:szCs w:val="28"/>
    </w:rPr>
  </w:style>
  <w:style w:type="paragraph" w:styleId="Heading1">
    <w:name w:val="heading 1"/>
    <w:aliases w:val="تیتر اول"/>
    <w:basedOn w:val="Normal"/>
    <w:next w:val="Normal"/>
    <w:link w:val="Heading1Char"/>
    <w:unhideWhenUsed/>
    <w:qFormat/>
    <w:rsid w:val="00071132"/>
    <w:pPr>
      <w:keepNext/>
      <w:spacing w:before="960" w:after="360"/>
      <w:jc w:val="center"/>
      <w:outlineLvl w:val="0"/>
    </w:pPr>
    <w:rPr>
      <w:rFonts w:cs="SKR HEAD1"/>
      <w:b/>
      <w:kern w:val="32"/>
      <w:szCs w:val="36"/>
    </w:rPr>
  </w:style>
  <w:style w:type="paragraph" w:styleId="Heading2">
    <w:name w:val="heading 2"/>
    <w:basedOn w:val="Normal"/>
    <w:next w:val="Normal"/>
    <w:link w:val="Heading2Char"/>
    <w:uiPriority w:val="9"/>
    <w:qFormat/>
    <w:rsid w:val="00DA1FC2"/>
    <w:pPr>
      <w:keepNext/>
      <w:spacing w:before="240" w:after="60"/>
      <w:outlineLvl w:val="1"/>
    </w:pPr>
    <w:rPr>
      <w:rFonts w:ascii="Arial" w:hAnsi="Arial" w:cs="KFGQPC Uthman Taha Naskh"/>
      <w:b/>
      <w:bCs/>
      <w:sz w:val="28"/>
      <w:szCs w:val="32"/>
    </w:rPr>
  </w:style>
  <w:style w:type="paragraph" w:styleId="Heading3">
    <w:name w:val="heading 3"/>
    <w:basedOn w:val="Normal"/>
    <w:next w:val="Normal"/>
    <w:link w:val="Heading3Char"/>
    <w:uiPriority w:val="9"/>
    <w:qFormat/>
    <w:rsid w:val="000D40CA"/>
    <w:pPr>
      <w:keepNext/>
      <w:spacing w:before="240" w:after="60"/>
      <w:outlineLvl w:val="2"/>
    </w:pPr>
    <w:rPr>
      <w:b/>
      <w:bCs/>
      <w:sz w:val="28"/>
      <w:lang w:bidi="ar-SY"/>
    </w:rPr>
  </w:style>
  <w:style w:type="paragraph" w:styleId="Heading4">
    <w:name w:val="heading 4"/>
    <w:basedOn w:val="Normal"/>
    <w:next w:val="Normal"/>
    <w:link w:val="Heading4Char"/>
    <w:qFormat/>
    <w:rsid w:val="005C664D"/>
    <w:pPr>
      <w:keepNext/>
      <w:spacing w:before="240" w:after="60"/>
      <w:outlineLvl w:val="3"/>
    </w:pPr>
    <w:rPr>
      <w:rFonts w:ascii="Calibri" w:hAnsi="Calibri" w:cs="Arial"/>
      <w:b/>
      <w:bCs/>
      <w:sz w:val="28"/>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uiPriority w:val="99"/>
    <w:semiHidden/>
  </w:style>
  <w:style w:type="character" w:customStyle="1" w:styleId="Heading1Char">
    <w:name w:val="Heading 1 Char"/>
    <w:aliases w:val="تیتر اول Char"/>
    <w:link w:val="Heading1"/>
    <w:rsid w:val="00071132"/>
    <w:rPr>
      <w:rFonts w:cs="SKR HEAD1"/>
      <w:b/>
      <w:kern w:val="32"/>
      <w:sz w:val="24"/>
      <w:szCs w:val="36"/>
      <w:lang w:bidi="ar-SA"/>
    </w:rPr>
  </w:style>
  <w:style w:type="character" w:customStyle="1" w:styleId="Heading2Char">
    <w:name w:val="Heading 2 Char"/>
    <w:link w:val="Heading2"/>
    <w:uiPriority w:val="9"/>
    <w:rsid w:val="00DA1FC2"/>
    <w:rPr>
      <w:rFonts w:ascii="Arial" w:hAnsi="Arial" w:cs="KFGQPC Uthman Taha Naskh"/>
      <w:b/>
      <w:bCs/>
      <w:sz w:val="28"/>
      <w:szCs w:val="32"/>
    </w:rPr>
  </w:style>
  <w:style w:type="character" w:customStyle="1" w:styleId="Heading3Char">
    <w:name w:val="Heading 3 Char"/>
    <w:link w:val="Heading3"/>
    <w:uiPriority w:val="9"/>
    <w:rsid w:val="005C664D"/>
    <w:rPr>
      <w:rFonts w:cs="Simplified Arabic"/>
      <w:b/>
      <w:bCs/>
      <w:sz w:val="28"/>
      <w:szCs w:val="28"/>
      <w:lang w:val="en-US" w:eastAsia="en-US" w:bidi="ar-SY"/>
    </w:rPr>
  </w:style>
  <w:style w:type="character" w:customStyle="1" w:styleId="Heading4Char">
    <w:name w:val="Heading 4 Char"/>
    <w:link w:val="Heading4"/>
    <w:rsid w:val="005C664D"/>
    <w:rPr>
      <w:rFonts w:ascii="Calibri" w:hAnsi="Calibri" w:cs="Arial"/>
      <w:b/>
      <w:bCs/>
      <w:sz w:val="28"/>
      <w:szCs w:val="28"/>
      <w:lang w:val="en-US" w:eastAsia="en-US" w:bidi="ar-SA"/>
    </w:rPr>
  </w:style>
  <w:style w:type="paragraph" w:styleId="FootnoteText">
    <w:name w:val="footnote text"/>
    <w:basedOn w:val="Normal"/>
    <w:link w:val="FootnoteTextChar"/>
    <w:uiPriority w:val="99"/>
    <w:rsid w:val="00F854FB"/>
    <w:rPr>
      <w:sz w:val="20"/>
      <w:szCs w:val="20"/>
    </w:rPr>
  </w:style>
  <w:style w:type="character" w:customStyle="1" w:styleId="FootnoteTextChar">
    <w:name w:val="Footnote Text Char"/>
    <w:link w:val="FootnoteText"/>
    <w:uiPriority w:val="99"/>
    <w:rsid w:val="005C664D"/>
    <w:rPr>
      <w:rFonts w:cs="Simplified Arabic"/>
      <w:lang w:val="en-US" w:eastAsia="en-US" w:bidi="ar-SA"/>
    </w:rPr>
  </w:style>
  <w:style w:type="character" w:styleId="FootnoteReference">
    <w:name w:val="footnote reference"/>
    <w:rsid w:val="00F854FB"/>
    <w:rPr>
      <w:vertAlign w:val="superscript"/>
    </w:rPr>
  </w:style>
  <w:style w:type="character" w:styleId="CommentReference">
    <w:name w:val="annotation reference"/>
    <w:uiPriority w:val="99"/>
    <w:rsid w:val="003120F3"/>
    <w:rPr>
      <w:sz w:val="16"/>
      <w:szCs w:val="16"/>
    </w:rPr>
  </w:style>
  <w:style w:type="paragraph" w:styleId="TOC1">
    <w:name w:val="toc 1"/>
    <w:basedOn w:val="Normal"/>
    <w:next w:val="Normal"/>
    <w:uiPriority w:val="39"/>
    <w:qFormat/>
    <w:rsid w:val="0096298C"/>
    <w:pPr>
      <w:spacing w:before="120" w:line="228" w:lineRule="auto"/>
    </w:pPr>
    <w:rPr>
      <w:rFonts w:cs="mylotus"/>
      <w:bCs/>
      <w:sz w:val="32"/>
      <w:szCs w:val="27"/>
      <w:lang w:eastAsia="ar-SA"/>
    </w:rPr>
  </w:style>
  <w:style w:type="character" w:styleId="Hyperlink">
    <w:name w:val="Hyperlink"/>
    <w:uiPriority w:val="99"/>
    <w:rsid w:val="003307C8"/>
    <w:rPr>
      <w:color w:val="0000FF"/>
      <w:u w:val="single"/>
    </w:rPr>
  </w:style>
  <w:style w:type="paragraph" w:customStyle="1" w:styleId="1">
    <w:name w:val="المراجعة1"/>
    <w:hidden/>
    <w:uiPriority w:val="99"/>
    <w:semiHidden/>
    <w:rsid w:val="00286F09"/>
    <w:rPr>
      <w:rFonts w:cs="Simplified Arabic"/>
      <w:sz w:val="24"/>
      <w:szCs w:val="28"/>
    </w:rPr>
  </w:style>
  <w:style w:type="character" w:styleId="PageNumber">
    <w:name w:val="page number"/>
    <w:basedOn w:val="DefaultParagraphFont"/>
    <w:rsid w:val="00401DB4"/>
  </w:style>
  <w:style w:type="table" w:styleId="TableGrid">
    <w:name w:val="Table Grid"/>
    <w:basedOn w:val="TableNormal"/>
    <w:uiPriority w:val="59"/>
    <w:rsid w:val="005D01E8"/>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3">
    <w:name w:val="toc 3"/>
    <w:basedOn w:val="Normal"/>
    <w:next w:val="Normal"/>
    <w:uiPriority w:val="39"/>
    <w:unhideWhenUsed/>
    <w:qFormat/>
    <w:rsid w:val="0096298C"/>
    <w:pPr>
      <w:bidi w:val="0"/>
      <w:spacing w:line="228" w:lineRule="auto"/>
      <w:ind w:left="567"/>
    </w:pPr>
    <w:rPr>
      <w:rFonts w:ascii="Calibri" w:hAnsi="Calibri" w:cs="mylotus"/>
      <w:sz w:val="22"/>
      <w:szCs w:val="27"/>
    </w:rPr>
  </w:style>
  <w:style w:type="paragraph" w:styleId="Footer">
    <w:name w:val="footer"/>
    <w:basedOn w:val="Normal"/>
    <w:link w:val="FooterChar"/>
    <w:uiPriority w:val="99"/>
    <w:rsid w:val="005C664D"/>
    <w:pPr>
      <w:tabs>
        <w:tab w:val="center" w:pos="4153"/>
        <w:tab w:val="right" w:pos="8306"/>
      </w:tabs>
    </w:pPr>
  </w:style>
  <w:style w:type="character" w:customStyle="1" w:styleId="FooterChar">
    <w:name w:val="Footer Char"/>
    <w:link w:val="Footer"/>
    <w:uiPriority w:val="99"/>
    <w:rsid w:val="005C664D"/>
    <w:rPr>
      <w:rFonts w:cs="Simplified Arabic"/>
      <w:sz w:val="24"/>
      <w:szCs w:val="28"/>
      <w:lang w:val="en-US" w:eastAsia="en-US" w:bidi="ar-SA"/>
    </w:rPr>
  </w:style>
  <w:style w:type="paragraph" w:styleId="Header">
    <w:name w:val="header"/>
    <w:basedOn w:val="Normal"/>
    <w:link w:val="HeaderChar"/>
    <w:rsid w:val="005C664D"/>
    <w:pPr>
      <w:tabs>
        <w:tab w:val="center" w:pos="4153"/>
        <w:tab w:val="right" w:pos="8306"/>
      </w:tabs>
    </w:pPr>
    <w:rPr>
      <w:rFonts w:cs="Times New Roman"/>
      <w:lang w:val="x-none" w:eastAsia="x-none" w:bidi="fa-IR"/>
    </w:rPr>
  </w:style>
  <w:style w:type="paragraph" w:styleId="TOC2">
    <w:name w:val="toc 2"/>
    <w:basedOn w:val="Normal"/>
    <w:next w:val="Normal"/>
    <w:uiPriority w:val="39"/>
    <w:qFormat/>
    <w:rsid w:val="0096298C"/>
    <w:pPr>
      <w:tabs>
        <w:tab w:val="right" w:leader="dot" w:pos="7248"/>
      </w:tabs>
      <w:spacing w:line="228" w:lineRule="auto"/>
      <w:ind w:left="340"/>
    </w:pPr>
    <w:rPr>
      <w:rFonts w:cs="mylotus"/>
      <w:sz w:val="32"/>
      <w:szCs w:val="27"/>
      <w:lang w:eastAsia="ar-SA"/>
    </w:rPr>
  </w:style>
  <w:style w:type="paragraph" w:styleId="DocumentMap">
    <w:name w:val="Document Map"/>
    <w:basedOn w:val="Normal"/>
    <w:link w:val="DocumentMapChar"/>
    <w:uiPriority w:val="99"/>
    <w:rsid w:val="005C664D"/>
    <w:rPr>
      <w:rFonts w:ascii="Tahoma" w:hAnsi="Tahoma" w:cs="Tahoma"/>
      <w:sz w:val="16"/>
      <w:szCs w:val="16"/>
    </w:rPr>
  </w:style>
  <w:style w:type="character" w:customStyle="1" w:styleId="DocumentMapChar">
    <w:name w:val="Document Map Char"/>
    <w:link w:val="DocumentMap"/>
    <w:uiPriority w:val="99"/>
    <w:rsid w:val="005C664D"/>
    <w:rPr>
      <w:rFonts w:ascii="Tahoma" w:hAnsi="Tahoma" w:cs="Tahoma"/>
      <w:sz w:val="16"/>
      <w:szCs w:val="16"/>
      <w:lang w:val="en-US" w:eastAsia="en-US" w:bidi="ar-SA"/>
    </w:rPr>
  </w:style>
  <w:style w:type="character" w:customStyle="1" w:styleId="CharChar9">
    <w:name w:val=" Char Char9"/>
    <w:rsid w:val="005C664D"/>
    <w:rPr>
      <w:rFonts w:ascii="Cambria" w:hAnsi="Cambria" w:cs="Simplified Arabic"/>
      <w:b/>
      <w:bCs/>
      <w:sz w:val="36"/>
      <w:szCs w:val="36"/>
      <w:lang w:val="en-US" w:eastAsia="en-US" w:bidi="ar-SY"/>
    </w:rPr>
  </w:style>
  <w:style w:type="character" w:customStyle="1" w:styleId="CharChar8">
    <w:name w:val=" Char Char8"/>
    <w:rsid w:val="005C664D"/>
    <w:rPr>
      <w:rFonts w:cs="Simplified Arabic"/>
      <w:b/>
      <w:bCs/>
      <w:sz w:val="28"/>
      <w:szCs w:val="28"/>
      <w:lang w:val="en-US" w:eastAsia="en-US" w:bidi="ar-SY"/>
    </w:rPr>
  </w:style>
  <w:style w:type="character" w:customStyle="1" w:styleId="CharChar10">
    <w:name w:val=" Char Char10"/>
    <w:rsid w:val="005C664D"/>
    <w:rPr>
      <w:rFonts w:ascii="Cambria" w:hAnsi="Cambria"/>
      <w:b/>
      <w:bCs/>
      <w:kern w:val="32"/>
      <w:sz w:val="32"/>
      <w:szCs w:val="32"/>
      <w:lang w:val="en-US" w:eastAsia="en-US" w:bidi="ar-SA"/>
    </w:rPr>
  </w:style>
  <w:style w:type="character" w:customStyle="1" w:styleId="CharChar6">
    <w:name w:val=" Char Char6"/>
    <w:rsid w:val="005C664D"/>
    <w:rPr>
      <w:rFonts w:cs="Simplified Arabic"/>
      <w:lang w:val="en-US" w:eastAsia="en-US" w:bidi="ar-SA"/>
    </w:rPr>
  </w:style>
  <w:style w:type="paragraph" w:customStyle="1" w:styleId="10">
    <w:name w:val="نمط1"/>
    <w:basedOn w:val="Normal"/>
    <w:link w:val="1Char"/>
    <w:rsid w:val="00822DEC"/>
    <w:pPr>
      <w:widowControl w:val="0"/>
      <w:spacing w:before="120"/>
      <w:jc w:val="center"/>
    </w:pPr>
    <w:rPr>
      <w:rFonts w:eastAsia="Calibri"/>
      <w:b/>
      <w:bCs/>
      <w:color w:val="008000"/>
      <w:sz w:val="44"/>
      <w:szCs w:val="44"/>
    </w:rPr>
  </w:style>
  <w:style w:type="paragraph" w:customStyle="1" w:styleId="2">
    <w:name w:val="نمط2"/>
    <w:basedOn w:val="Heading1"/>
    <w:rsid w:val="00822DEC"/>
    <w:pPr>
      <w:keepNext w:val="0"/>
      <w:widowControl w:val="0"/>
      <w:spacing w:before="120" w:after="0"/>
      <w:ind w:firstLine="567"/>
      <w:jc w:val="lowKashida"/>
    </w:pPr>
    <w:rPr>
      <w:rFonts w:eastAsia="Calibri"/>
      <w:b w:val="0"/>
      <w:color w:val="800000"/>
      <w:sz w:val="34"/>
      <w:szCs w:val="34"/>
    </w:rPr>
  </w:style>
  <w:style w:type="paragraph" w:customStyle="1" w:styleId="a">
    <w:name w:val="نص أقوال عربی"/>
    <w:basedOn w:val="Normal"/>
    <w:link w:val="Char"/>
    <w:qFormat/>
    <w:rsid w:val="005B4BE3"/>
    <w:pPr>
      <w:ind w:firstLine="284"/>
      <w:jc w:val="both"/>
    </w:pPr>
    <w:rPr>
      <w:rFonts w:ascii="KFGQPC Uthman Taha Naskh" w:hAnsi="KFGQPC Uthman Taha Naskh" w:cs="Times New Roman"/>
      <w:sz w:val="28"/>
      <w:lang w:val="x-none" w:eastAsia="x-none" w:bidi="fa-IR"/>
    </w:rPr>
  </w:style>
  <w:style w:type="character" w:customStyle="1" w:styleId="Char">
    <w:name w:val="نص أقوال عربی Char"/>
    <w:link w:val="a"/>
    <w:rsid w:val="005B4BE3"/>
    <w:rPr>
      <w:rFonts w:ascii="KFGQPC Uthman Taha Naskh" w:hAnsi="KFGQPC Uthman Taha Naskh" w:cs="KFGQPC Uthman Taha Naskh"/>
      <w:sz w:val="28"/>
      <w:szCs w:val="28"/>
    </w:rPr>
  </w:style>
  <w:style w:type="character" w:customStyle="1" w:styleId="HeaderChar">
    <w:name w:val="Header Char"/>
    <w:link w:val="Header"/>
    <w:rsid w:val="00BB0549"/>
    <w:rPr>
      <w:rFonts w:cs="Simplified Arabic"/>
      <w:sz w:val="24"/>
      <w:szCs w:val="28"/>
    </w:rPr>
  </w:style>
  <w:style w:type="paragraph" w:styleId="CommentText">
    <w:name w:val="annotation text"/>
    <w:basedOn w:val="Normal"/>
    <w:link w:val="CommentTextChar"/>
    <w:uiPriority w:val="99"/>
    <w:unhideWhenUsed/>
    <w:rsid w:val="00BB0549"/>
    <w:pPr>
      <w:spacing w:after="200" w:line="276" w:lineRule="auto"/>
    </w:pPr>
    <w:rPr>
      <w:rFonts w:eastAsia="Calibri" w:cs="Times New Roman"/>
      <w:sz w:val="20"/>
      <w:szCs w:val="20"/>
      <w:lang w:val="x-none" w:eastAsia="x-none" w:bidi="fa-IR"/>
    </w:rPr>
  </w:style>
  <w:style w:type="character" w:customStyle="1" w:styleId="CommentTextChar">
    <w:name w:val="Comment Text Char"/>
    <w:link w:val="CommentText"/>
    <w:uiPriority w:val="99"/>
    <w:rsid w:val="00BB0549"/>
    <w:rPr>
      <w:rFonts w:eastAsia="Calibri" w:cs="Simplified Arabic"/>
    </w:rPr>
  </w:style>
  <w:style w:type="paragraph" w:styleId="CommentSubject">
    <w:name w:val="annotation subject"/>
    <w:basedOn w:val="CommentText"/>
    <w:next w:val="CommentText"/>
    <w:link w:val="CommentSubjectChar"/>
    <w:uiPriority w:val="99"/>
    <w:unhideWhenUsed/>
    <w:rsid w:val="00BB0549"/>
    <w:rPr>
      <w:b/>
      <w:bCs/>
    </w:rPr>
  </w:style>
  <w:style w:type="character" w:customStyle="1" w:styleId="CommentSubjectChar">
    <w:name w:val="Comment Subject Char"/>
    <w:link w:val="CommentSubject"/>
    <w:uiPriority w:val="99"/>
    <w:rsid w:val="00BB0549"/>
    <w:rPr>
      <w:rFonts w:eastAsia="Calibri" w:cs="Simplified Arabic"/>
      <w:b/>
      <w:bCs/>
      <w:lang w:val="x-none" w:eastAsia="x-none"/>
    </w:rPr>
  </w:style>
  <w:style w:type="paragraph" w:styleId="BalloonText">
    <w:name w:val="Balloon Text"/>
    <w:basedOn w:val="Normal"/>
    <w:link w:val="BalloonTextChar"/>
    <w:uiPriority w:val="99"/>
    <w:unhideWhenUsed/>
    <w:rsid w:val="00BB0549"/>
    <w:rPr>
      <w:rFonts w:ascii="Tahoma" w:eastAsia="Calibri" w:hAnsi="Tahoma" w:cs="Times New Roman"/>
      <w:sz w:val="16"/>
      <w:szCs w:val="16"/>
      <w:lang w:val="x-none" w:eastAsia="x-none" w:bidi="fa-IR"/>
    </w:rPr>
  </w:style>
  <w:style w:type="character" w:customStyle="1" w:styleId="BalloonTextChar">
    <w:name w:val="Balloon Text Char"/>
    <w:link w:val="BalloonText"/>
    <w:uiPriority w:val="99"/>
    <w:rsid w:val="00BB0549"/>
    <w:rPr>
      <w:rFonts w:ascii="Tahoma" w:eastAsia="Calibri" w:hAnsi="Tahoma"/>
      <w:sz w:val="16"/>
      <w:szCs w:val="16"/>
      <w:lang w:val="x-none" w:eastAsia="x-none"/>
    </w:rPr>
  </w:style>
  <w:style w:type="paragraph" w:styleId="Revision">
    <w:name w:val="Revision"/>
    <w:hidden/>
    <w:uiPriority w:val="99"/>
    <w:semiHidden/>
    <w:rsid w:val="00BB0549"/>
    <w:rPr>
      <w:rFonts w:eastAsia="Calibri" w:cs="Simplified Arabic"/>
      <w:sz w:val="24"/>
      <w:szCs w:val="28"/>
    </w:rPr>
  </w:style>
  <w:style w:type="character" w:styleId="Emphasis">
    <w:name w:val="Emphasis"/>
    <w:qFormat/>
    <w:rsid w:val="00DD7D67"/>
    <w:rPr>
      <w:i/>
      <w:iCs/>
    </w:rPr>
  </w:style>
  <w:style w:type="paragraph" w:styleId="TOC4">
    <w:name w:val="toc 4"/>
    <w:basedOn w:val="Normal"/>
    <w:next w:val="Normal"/>
    <w:autoRedefine/>
    <w:uiPriority w:val="39"/>
    <w:unhideWhenUsed/>
    <w:rsid w:val="0096298C"/>
    <w:pPr>
      <w:bidi w:val="0"/>
      <w:spacing w:after="100" w:line="276" w:lineRule="auto"/>
      <w:ind w:left="660"/>
    </w:pPr>
    <w:rPr>
      <w:rFonts w:ascii="Calibri" w:hAnsi="Calibri" w:cs="Arial"/>
      <w:sz w:val="22"/>
      <w:szCs w:val="22"/>
    </w:rPr>
  </w:style>
  <w:style w:type="paragraph" w:styleId="TOC5">
    <w:name w:val="toc 5"/>
    <w:basedOn w:val="Normal"/>
    <w:next w:val="Normal"/>
    <w:autoRedefine/>
    <w:uiPriority w:val="39"/>
    <w:unhideWhenUsed/>
    <w:rsid w:val="000C354E"/>
    <w:pPr>
      <w:spacing w:after="100" w:line="276" w:lineRule="auto"/>
      <w:ind w:left="880"/>
    </w:pPr>
    <w:rPr>
      <w:rFonts w:ascii="Calibri" w:hAnsi="Calibri" w:cs="Arial"/>
      <w:sz w:val="22"/>
      <w:szCs w:val="22"/>
    </w:rPr>
  </w:style>
  <w:style w:type="paragraph" w:styleId="TOC6">
    <w:name w:val="toc 6"/>
    <w:basedOn w:val="Normal"/>
    <w:next w:val="Normal"/>
    <w:autoRedefine/>
    <w:uiPriority w:val="39"/>
    <w:unhideWhenUsed/>
    <w:rsid w:val="000C354E"/>
    <w:pPr>
      <w:spacing w:after="100" w:line="276" w:lineRule="auto"/>
      <w:ind w:left="1100"/>
    </w:pPr>
    <w:rPr>
      <w:rFonts w:ascii="Calibri" w:hAnsi="Calibri" w:cs="Arial"/>
      <w:sz w:val="22"/>
      <w:szCs w:val="22"/>
    </w:rPr>
  </w:style>
  <w:style w:type="paragraph" w:styleId="TOC7">
    <w:name w:val="toc 7"/>
    <w:basedOn w:val="Normal"/>
    <w:next w:val="Normal"/>
    <w:autoRedefine/>
    <w:uiPriority w:val="39"/>
    <w:unhideWhenUsed/>
    <w:rsid w:val="000C354E"/>
    <w:pPr>
      <w:spacing w:after="100" w:line="276" w:lineRule="auto"/>
      <w:ind w:left="1320"/>
    </w:pPr>
    <w:rPr>
      <w:rFonts w:ascii="Calibri" w:hAnsi="Calibri" w:cs="Arial"/>
      <w:sz w:val="22"/>
      <w:szCs w:val="22"/>
    </w:rPr>
  </w:style>
  <w:style w:type="paragraph" w:styleId="TOC8">
    <w:name w:val="toc 8"/>
    <w:basedOn w:val="Normal"/>
    <w:next w:val="Normal"/>
    <w:autoRedefine/>
    <w:uiPriority w:val="39"/>
    <w:unhideWhenUsed/>
    <w:rsid w:val="000C354E"/>
    <w:pPr>
      <w:spacing w:after="100" w:line="276" w:lineRule="auto"/>
      <w:ind w:left="1540"/>
    </w:pPr>
    <w:rPr>
      <w:rFonts w:ascii="Calibri" w:hAnsi="Calibri" w:cs="Arial"/>
      <w:sz w:val="22"/>
      <w:szCs w:val="22"/>
    </w:rPr>
  </w:style>
  <w:style w:type="paragraph" w:styleId="TOC9">
    <w:name w:val="toc 9"/>
    <w:basedOn w:val="Normal"/>
    <w:next w:val="Normal"/>
    <w:autoRedefine/>
    <w:uiPriority w:val="39"/>
    <w:unhideWhenUsed/>
    <w:rsid w:val="000C354E"/>
    <w:pPr>
      <w:spacing w:after="100" w:line="276" w:lineRule="auto"/>
      <w:ind w:left="1760"/>
    </w:pPr>
    <w:rPr>
      <w:rFonts w:ascii="Calibri" w:hAnsi="Calibri" w:cs="Arial"/>
      <w:sz w:val="22"/>
      <w:szCs w:val="22"/>
    </w:rPr>
  </w:style>
  <w:style w:type="character" w:styleId="FollowedHyperlink">
    <w:name w:val="FollowedHyperlink"/>
    <w:uiPriority w:val="99"/>
    <w:unhideWhenUsed/>
    <w:rsid w:val="00EC7905"/>
    <w:rPr>
      <w:color w:val="800080"/>
      <w:u w:val="single"/>
    </w:rPr>
  </w:style>
  <w:style w:type="paragraph" w:customStyle="1" w:styleId="a0">
    <w:name w:val="المتن"/>
    <w:basedOn w:val="Normal"/>
    <w:link w:val="Char0"/>
    <w:unhideWhenUsed/>
    <w:qFormat/>
    <w:rsid w:val="0096298C"/>
    <w:pPr>
      <w:widowControl w:val="0"/>
      <w:spacing w:after="60" w:line="228" w:lineRule="auto"/>
      <w:ind w:firstLine="284"/>
      <w:jc w:val="both"/>
    </w:pPr>
    <w:rPr>
      <w:rFonts w:cs="mylotus"/>
      <w:szCs w:val="27"/>
    </w:rPr>
  </w:style>
  <w:style w:type="character" w:customStyle="1" w:styleId="Char0">
    <w:name w:val="المتن Char"/>
    <w:link w:val="a0"/>
    <w:rsid w:val="0096298C"/>
    <w:rPr>
      <w:rFonts w:cs="mylotus"/>
      <w:sz w:val="24"/>
      <w:szCs w:val="27"/>
      <w:lang w:bidi="ar-SA"/>
    </w:rPr>
  </w:style>
  <w:style w:type="paragraph" w:customStyle="1" w:styleId="a1">
    <w:name w:val="احاديث"/>
    <w:basedOn w:val="a0"/>
    <w:link w:val="Char1"/>
    <w:unhideWhenUsed/>
    <w:qFormat/>
    <w:rsid w:val="0096298C"/>
    <w:rPr>
      <w:rFonts w:cs="KFGQPC Uthman Taha Naskh"/>
      <w:sz w:val="28"/>
      <w:szCs w:val="28"/>
      <w:lang w:bidi="ar-SY"/>
    </w:rPr>
  </w:style>
  <w:style w:type="character" w:customStyle="1" w:styleId="Char1">
    <w:name w:val="احاديث Char"/>
    <w:link w:val="a1"/>
    <w:rsid w:val="0096298C"/>
    <w:rPr>
      <w:rFonts w:cs="KFGQPC Uthman Taha Naskh"/>
      <w:sz w:val="28"/>
      <w:szCs w:val="28"/>
      <w:lang w:bidi="ar-SY"/>
    </w:rPr>
  </w:style>
  <w:style w:type="paragraph" w:customStyle="1" w:styleId="a2">
    <w:name w:val="آدرس ایه"/>
    <w:basedOn w:val="a0"/>
    <w:link w:val="Char2"/>
    <w:uiPriority w:val="2"/>
    <w:unhideWhenUsed/>
    <w:qFormat/>
    <w:rsid w:val="0096298C"/>
    <w:rPr>
      <w:rFonts w:ascii="mylotus" w:hAnsi="mylotus"/>
      <w:szCs w:val="24"/>
    </w:rPr>
  </w:style>
  <w:style w:type="character" w:customStyle="1" w:styleId="Char2">
    <w:name w:val="آدرس ایه Char"/>
    <w:link w:val="a2"/>
    <w:uiPriority w:val="2"/>
    <w:rsid w:val="0096298C"/>
    <w:rPr>
      <w:rFonts w:ascii="mylotus" w:hAnsi="mylotus" w:cs="mylotus"/>
      <w:sz w:val="24"/>
      <w:szCs w:val="24"/>
      <w:lang w:bidi="ar-SA"/>
    </w:rPr>
  </w:style>
  <w:style w:type="paragraph" w:customStyle="1" w:styleId="a3">
    <w:name w:val="آيات"/>
    <w:basedOn w:val="a0"/>
    <w:link w:val="Char3"/>
    <w:uiPriority w:val="2"/>
    <w:unhideWhenUsed/>
    <w:qFormat/>
    <w:rsid w:val="00DF7CAE"/>
    <w:pPr>
      <w:ind w:left="284" w:firstLine="0"/>
    </w:pPr>
    <w:rPr>
      <w:rFonts w:ascii="KFGQPC Uthmanic Script HAFS" w:cs="KFGQPC Uthmanic Script HAFS"/>
      <w:sz w:val="32"/>
      <w:szCs w:val="28"/>
    </w:rPr>
  </w:style>
  <w:style w:type="character" w:customStyle="1" w:styleId="Char3">
    <w:name w:val="آيات Char"/>
    <w:link w:val="a3"/>
    <w:uiPriority w:val="2"/>
    <w:rsid w:val="00DF7CAE"/>
    <w:rPr>
      <w:rFonts w:ascii="KFGQPC Uthmanic Script HAFS" w:cs="KFGQPC Uthmanic Script HAFS"/>
      <w:sz w:val="32"/>
      <w:szCs w:val="28"/>
      <w:lang w:bidi="ar-SA"/>
    </w:rPr>
  </w:style>
  <w:style w:type="paragraph" w:customStyle="1" w:styleId="a4">
    <w:name w:val="آیات بولد"/>
    <w:basedOn w:val="a0"/>
    <w:link w:val="Char4"/>
    <w:uiPriority w:val="2"/>
    <w:unhideWhenUsed/>
    <w:qFormat/>
    <w:rsid w:val="0096298C"/>
    <w:rPr>
      <w:rFonts w:ascii="KFGQPC Uthmanic Script HAFS" w:cs="KFGQPC Uthmanic Script HAFS"/>
      <w:b/>
      <w:bCs/>
      <w:sz w:val="28"/>
    </w:rPr>
  </w:style>
  <w:style w:type="character" w:customStyle="1" w:styleId="Char4">
    <w:name w:val="آیات بولد Char"/>
    <w:link w:val="a4"/>
    <w:uiPriority w:val="2"/>
    <w:rsid w:val="0096298C"/>
    <w:rPr>
      <w:rFonts w:ascii="KFGQPC Uthmanic Script HAFS" w:cs="KFGQPC Uthmanic Script HAFS"/>
      <w:b/>
      <w:bCs/>
      <w:sz w:val="28"/>
      <w:szCs w:val="27"/>
      <w:lang w:bidi="ar-SA"/>
    </w:rPr>
  </w:style>
  <w:style w:type="paragraph" w:customStyle="1" w:styleId="a5">
    <w:name w:val="تیتر دوم"/>
    <w:basedOn w:val="Heading2"/>
    <w:link w:val="Char5"/>
    <w:unhideWhenUsed/>
    <w:qFormat/>
    <w:rsid w:val="0096298C"/>
    <w:pPr>
      <w:ind w:firstLine="284"/>
      <w:jc w:val="both"/>
    </w:pPr>
    <w:rPr>
      <w:rFonts w:ascii="Times New Roman" w:hAnsi="Times New Roman" w:cs="mohammad bold art 1"/>
      <w:b w:val="0"/>
      <w:bCs w:val="0"/>
      <w:sz w:val="24"/>
      <w:szCs w:val="24"/>
    </w:rPr>
  </w:style>
  <w:style w:type="character" w:customStyle="1" w:styleId="Char5">
    <w:name w:val="تیتر دوم Char"/>
    <w:link w:val="a5"/>
    <w:rsid w:val="0096298C"/>
    <w:rPr>
      <w:rFonts w:cs="mohammad bold art 1"/>
      <w:sz w:val="24"/>
      <w:szCs w:val="24"/>
      <w:lang w:bidi="ar-SA"/>
    </w:rPr>
  </w:style>
  <w:style w:type="paragraph" w:customStyle="1" w:styleId="a6">
    <w:name w:val="تيتر سوم"/>
    <w:basedOn w:val="2"/>
    <w:link w:val="Char6"/>
    <w:qFormat/>
    <w:rsid w:val="0096298C"/>
    <w:pPr>
      <w:spacing w:before="240" w:line="228" w:lineRule="auto"/>
      <w:ind w:firstLine="284"/>
      <w:jc w:val="both"/>
      <w:outlineLvl w:val="2"/>
    </w:pPr>
    <w:rPr>
      <w:rFonts w:ascii="Times New Roman Bold" w:eastAsia="Times New Roman" w:hAnsi="Times New Roman Bold" w:cs="mylotus"/>
      <w:b/>
      <w:bCs/>
      <w:color w:val="auto"/>
      <w:kern w:val="0"/>
      <w:sz w:val="36"/>
      <w:szCs w:val="28"/>
      <w:lang w:eastAsia="ar-SA"/>
    </w:rPr>
  </w:style>
  <w:style w:type="character" w:customStyle="1" w:styleId="Char6">
    <w:name w:val="تيتر سوم Char"/>
    <w:link w:val="a6"/>
    <w:rsid w:val="0096298C"/>
    <w:rPr>
      <w:rFonts w:ascii="Times New Roman Bold" w:hAnsi="Times New Roman Bold" w:cs="mylotus"/>
      <w:b/>
      <w:bCs/>
      <w:sz w:val="36"/>
      <w:szCs w:val="28"/>
      <w:lang w:eastAsia="ar-SA" w:bidi="ar-SA"/>
    </w:rPr>
  </w:style>
  <w:style w:type="paragraph" w:customStyle="1" w:styleId="a7">
    <w:name w:val="تیر اول"/>
    <w:basedOn w:val="Normal"/>
    <w:link w:val="Char7"/>
    <w:qFormat/>
    <w:rsid w:val="0096298C"/>
    <w:pPr>
      <w:spacing w:before="600" w:after="480"/>
      <w:jc w:val="center"/>
      <w:outlineLvl w:val="0"/>
    </w:pPr>
    <w:rPr>
      <w:rFonts w:ascii="Times New Roman Bold" w:eastAsia="MS Mincho" w:hAnsi="Times New Roman Bold" w:cs="B Yagut"/>
      <w:b/>
      <w:bCs/>
      <w:sz w:val="32"/>
      <w:szCs w:val="32"/>
      <w:lang w:bidi="fa-IR"/>
    </w:rPr>
  </w:style>
  <w:style w:type="character" w:customStyle="1" w:styleId="Char7">
    <w:name w:val="تیر اول Char"/>
    <w:link w:val="a7"/>
    <w:rsid w:val="0096298C"/>
    <w:rPr>
      <w:rFonts w:ascii="Times New Roman Bold" w:eastAsia="MS Mincho" w:hAnsi="Times New Roman Bold" w:cs="B Yagut"/>
      <w:b/>
      <w:bCs/>
      <w:sz w:val="32"/>
      <w:szCs w:val="32"/>
    </w:rPr>
  </w:style>
  <w:style w:type="character" w:customStyle="1" w:styleId="1Char">
    <w:name w:val="نمط1 Char"/>
    <w:link w:val="10"/>
    <w:rsid w:val="0038508C"/>
    <w:rPr>
      <w:rFonts w:eastAsia="Calibri" w:cs="Simplified Arabic"/>
      <w:b/>
      <w:bCs/>
      <w:color w:val="008000"/>
      <w:sz w:val="44"/>
      <w:szCs w:val="44"/>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4893764">
      <w:bodyDiv w:val="1"/>
      <w:marLeft w:val="0"/>
      <w:marRight w:val="0"/>
      <w:marTop w:val="0"/>
      <w:marBottom w:val="0"/>
      <w:divBdr>
        <w:top w:val="none" w:sz="0" w:space="0" w:color="auto"/>
        <w:left w:val="none" w:sz="0" w:space="0" w:color="auto"/>
        <w:bottom w:val="none" w:sz="0" w:space="0" w:color="auto"/>
        <w:right w:val="none" w:sz="0" w:space="0" w:color="auto"/>
      </w:divBdr>
    </w:div>
    <w:div w:id="614599552">
      <w:bodyDiv w:val="1"/>
      <w:marLeft w:val="0"/>
      <w:marRight w:val="0"/>
      <w:marTop w:val="0"/>
      <w:marBottom w:val="0"/>
      <w:divBdr>
        <w:top w:val="none" w:sz="0" w:space="0" w:color="auto"/>
        <w:left w:val="none" w:sz="0" w:space="0" w:color="auto"/>
        <w:bottom w:val="none" w:sz="0" w:space="0" w:color="auto"/>
        <w:right w:val="none" w:sz="0" w:space="0" w:color="auto"/>
      </w:divBdr>
    </w:div>
    <w:div w:id="903953553">
      <w:bodyDiv w:val="1"/>
      <w:marLeft w:val="0"/>
      <w:marRight w:val="0"/>
      <w:marTop w:val="0"/>
      <w:marBottom w:val="0"/>
      <w:divBdr>
        <w:top w:val="none" w:sz="0" w:space="0" w:color="auto"/>
        <w:left w:val="none" w:sz="0" w:space="0" w:color="auto"/>
        <w:bottom w:val="none" w:sz="0" w:space="0" w:color="auto"/>
        <w:right w:val="none" w:sz="0" w:space="0" w:color="auto"/>
      </w:divBdr>
    </w:div>
    <w:div w:id="1423988701">
      <w:bodyDiv w:val="1"/>
      <w:marLeft w:val="0"/>
      <w:marRight w:val="0"/>
      <w:marTop w:val="0"/>
      <w:marBottom w:val="0"/>
      <w:divBdr>
        <w:top w:val="none" w:sz="0" w:space="0" w:color="auto"/>
        <w:left w:val="none" w:sz="0" w:space="0" w:color="auto"/>
        <w:bottom w:val="none" w:sz="0" w:space="0" w:color="auto"/>
        <w:right w:val="none" w:sz="0" w:space="0" w:color="auto"/>
      </w:divBdr>
    </w:div>
    <w:div w:id="1858809582">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6"/>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header" Target="header5.xml"/><Relationship Id="rId26" Type="http://schemas.openxmlformats.org/officeDocument/2006/relationships/header" Target="header9.xml"/><Relationship Id="rId3" Type="http://schemas.openxmlformats.org/officeDocument/2006/relationships/styles" Target="styles.xml"/><Relationship Id="rId21" Type="http://schemas.openxmlformats.org/officeDocument/2006/relationships/image" Target="media/image4.jpeg"/><Relationship Id="rId34" Type="http://schemas.openxmlformats.org/officeDocument/2006/relationships/header" Target="header17.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yperlink" Target="http://ar.wikipedia.org/wiki/%D8%A7%D9%84%D9%83%D8%A7%D8%B8%D9%85%D9%8A%D8%A9" TargetMode="External"/><Relationship Id="rId25" Type="http://schemas.openxmlformats.org/officeDocument/2006/relationships/header" Target="header8.xml"/><Relationship Id="rId33" Type="http://schemas.openxmlformats.org/officeDocument/2006/relationships/header" Target="header16.xml"/><Relationship Id="rId2" Type="http://schemas.openxmlformats.org/officeDocument/2006/relationships/numbering" Target="numbering.xml"/><Relationship Id="rId16" Type="http://schemas.openxmlformats.org/officeDocument/2006/relationships/hyperlink" Target="http://ar.wikipedia.org/wiki/1888" TargetMode="External"/><Relationship Id="rId20" Type="http://schemas.openxmlformats.org/officeDocument/2006/relationships/image" Target="media/image3.jpeg"/><Relationship Id="rId29" Type="http://schemas.openxmlformats.org/officeDocument/2006/relationships/header" Target="header1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header" Target="header7.xml"/><Relationship Id="rId32" Type="http://schemas.openxmlformats.org/officeDocument/2006/relationships/header" Target="header15.xml"/><Relationship Id="rId5" Type="http://schemas.openxmlformats.org/officeDocument/2006/relationships/settings" Target="settings.xml"/><Relationship Id="rId15" Type="http://schemas.openxmlformats.org/officeDocument/2006/relationships/header" Target="header4.xml"/><Relationship Id="rId23" Type="http://schemas.openxmlformats.org/officeDocument/2006/relationships/image" Target="media/image6.jpeg"/><Relationship Id="rId28" Type="http://schemas.openxmlformats.org/officeDocument/2006/relationships/header" Target="header11.xml"/><Relationship Id="rId36"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4.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image" Target="media/image5.jpeg"/><Relationship Id="rId27" Type="http://schemas.openxmlformats.org/officeDocument/2006/relationships/header" Target="header10.xml"/><Relationship Id="rId30" Type="http://schemas.openxmlformats.org/officeDocument/2006/relationships/header" Target="header13.xml"/><Relationship Id="rId35"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10.xml.rels><?xml version="1.0" encoding="UTF-8" standalone="yes"?>
<Relationships xmlns="http://schemas.openxmlformats.org/package/2006/relationships"><Relationship Id="rId1" Type="http://schemas.openxmlformats.org/officeDocument/2006/relationships/image" Target="media/image2.jpeg"/></Relationships>
</file>

<file path=word/_rels/header11.xml.rels><?xml version="1.0" encoding="UTF-8" standalone="yes"?>
<Relationships xmlns="http://schemas.openxmlformats.org/package/2006/relationships"><Relationship Id="rId1" Type="http://schemas.openxmlformats.org/officeDocument/2006/relationships/image" Target="media/image2.jpeg"/></Relationships>
</file>

<file path=word/_rels/header12.xml.rels><?xml version="1.0" encoding="UTF-8" standalone="yes"?>
<Relationships xmlns="http://schemas.openxmlformats.org/package/2006/relationships"><Relationship Id="rId1" Type="http://schemas.openxmlformats.org/officeDocument/2006/relationships/image" Target="media/image2.jpeg"/></Relationships>
</file>

<file path=word/_rels/header13.xml.rels><?xml version="1.0" encoding="UTF-8" standalone="yes"?>
<Relationships xmlns="http://schemas.openxmlformats.org/package/2006/relationships"><Relationship Id="rId1" Type="http://schemas.openxmlformats.org/officeDocument/2006/relationships/image" Target="media/image2.jpeg"/></Relationships>
</file>

<file path=word/_rels/header14.xml.rels><?xml version="1.0" encoding="UTF-8" standalone="yes"?>
<Relationships xmlns="http://schemas.openxmlformats.org/package/2006/relationships"><Relationship Id="rId1" Type="http://schemas.openxmlformats.org/officeDocument/2006/relationships/image" Target="media/image2.jpeg"/></Relationships>
</file>

<file path=word/_rels/header15.xml.rels><?xml version="1.0" encoding="UTF-8" standalone="yes"?>
<Relationships xmlns="http://schemas.openxmlformats.org/package/2006/relationships"><Relationship Id="rId1" Type="http://schemas.openxmlformats.org/officeDocument/2006/relationships/image" Target="media/image2.jpeg"/></Relationships>
</file>

<file path=word/_rels/header16.xml.rels><?xml version="1.0" encoding="UTF-8" standalone="yes"?>
<Relationships xmlns="http://schemas.openxmlformats.org/package/2006/relationships"><Relationship Id="rId1" Type="http://schemas.openxmlformats.org/officeDocument/2006/relationships/image" Target="media/image2.jpeg"/></Relationships>
</file>

<file path=word/_rels/header17.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_rels/header4.xml.rels><?xml version="1.0" encoding="UTF-8" standalone="yes"?>
<Relationships xmlns="http://schemas.openxmlformats.org/package/2006/relationships"><Relationship Id="rId1" Type="http://schemas.openxmlformats.org/officeDocument/2006/relationships/image" Target="media/image2.jpeg"/></Relationships>
</file>

<file path=word/_rels/header5.xml.rels><?xml version="1.0" encoding="UTF-8" standalone="yes"?>
<Relationships xmlns="http://schemas.openxmlformats.org/package/2006/relationships"><Relationship Id="rId1" Type="http://schemas.openxmlformats.org/officeDocument/2006/relationships/image" Target="media/image2.jpeg"/></Relationships>
</file>

<file path=word/_rels/header6.xml.rels><?xml version="1.0" encoding="UTF-8" standalone="yes"?>
<Relationships xmlns="http://schemas.openxmlformats.org/package/2006/relationships"><Relationship Id="rId1" Type="http://schemas.openxmlformats.org/officeDocument/2006/relationships/image" Target="media/image2.jpeg"/></Relationships>
</file>

<file path=word/_rels/header7.xml.rels><?xml version="1.0" encoding="UTF-8" standalone="yes"?>
<Relationships xmlns="http://schemas.openxmlformats.org/package/2006/relationships"><Relationship Id="rId1" Type="http://schemas.openxmlformats.org/officeDocument/2006/relationships/image" Target="media/image2.jpeg"/></Relationships>
</file>

<file path=word/_rels/header8.xml.rels><?xml version="1.0" encoding="UTF-8" standalone="yes"?>
<Relationships xmlns="http://schemas.openxmlformats.org/package/2006/relationships"><Relationship Id="rId1" Type="http://schemas.openxmlformats.org/officeDocument/2006/relationships/image" Target="media/image2.jpeg"/></Relationships>
</file>

<file path=word/_rels/header9.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FE0BA9F-4692-44CB-B20D-B4FAFC3B10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43</Pages>
  <Words>109404</Words>
  <Characters>623607</Characters>
  <Application>Microsoft Office Word</Application>
  <DocSecurity>0</DocSecurity>
  <Lines>5196</Lines>
  <Paragraphs>1463</Paragraphs>
  <ScaleCrop>false</ScaleCrop>
  <HeadingPairs>
    <vt:vector size="2" baseType="variant">
      <vt:variant>
        <vt:lpstr>Title</vt:lpstr>
      </vt:variant>
      <vt:variant>
        <vt:i4>1</vt:i4>
      </vt:variant>
    </vt:vector>
  </HeadingPairs>
  <TitlesOfParts>
    <vt:vector size="1" baseType="lpstr">
      <vt:lpstr>مسألة الخمس</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731548</CharactersWithSpaces>
  <SharedDoc>false</SharedDoc>
  <HLinks>
    <vt:vector size="594" baseType="variant">
      <vt:variant>
        <vt:i4>1572930</vt:i4>
      </vt:variant>
      <vt:variant>
        <vt:i4>588</vt:i4>
      </vt:variant>
      <vt:variant>
        <vt:i4>0</vt:i4>
      </vt:variant>
      <vt:variant>
        <vt:i4>5</vt:i4>
      </vt:variant>
      <vt:variant>
        <vt:lpwstr>http://ar.wikipedia.org/wiki/%D8%A7%D9%84%D9%83%D8%A7%D8%B8%D9%85%D9%8A%D8%A9</vt:lpwstr>
      </vt:variant>
      <vt:variant>
        <vt:lpwstr/>
      </vt:variant>
      <vt:variant>
        <vt:i4>1179665</vt:i4>
      </vt:variant>
      <vt:variant>
        <vt:i4>585</vt:i4>
      </vt:variant>
      <vt:variant>
        <vt:i4>0</vt:i4>
      </vt:variant>
      <vt:variant>
        <vt:i4>5</vt:i4>
      </vt:variant>
      <vt:variant>
        <vt:lpwstr>http://ar.wikipedia.org/wiki/1888</vt:lpwstr>
      </vt:variant>
      <vt:variant>
        <vt:lpwstr/>
      </vt:variant>
      <vt:variant>
        <vt:i4>1441841</vt:i4>
      </vt:variant>
      <vt:variant>
        <vt:i4>578</vt:i4>
      </vt:variant>
      <vt:variant>
        <vt:i4>0</vt:i4>
      </vt:variant>
      <vt:variant>
        <vt:i4>5</vt:i4>
      </vt:variant>
      <vt:variant>
        <vt:lpwstr/>
      </vt:variant>
      <vt:variant>
        <vt:lpwstr>_Toc387843128</vt:lpwstr>
      </vt:variant>
      <vt:variant>
        <vt:i4>1441841</vt:i4>
      </vt:variant>
      <vt:variant>
        <vt:i4>572</vt:i4>
      </vt:variant>
      <vt:variant>
        <vt:i4>0</vt:i4>
      </vt:variant>
      <vt:variant>
        <vt:i4>5</vt:i4>
      </vt:variant>
      <vt:variant>
        <vt:lpwstr/>
      </vt:variant>
      <vt:variant>
        <vt:lpwstr>_Toc387843127</vt:lpwstr>
      </vt:variant>
      <vt:variant>
        <vt:i4>1441841</vt:i4>
      </vt:variant>
      <vt:variant>
        <vt:i4>566</vt:i4>
      </vt:variant>
      <vt:variant>
        <vt:i4>0</vt:i4>
      </vt:variant>
      <vt:variant>
        <vt:i4>5</vt:i4>
      </vt:variant>
      <vt:variant>
        <vt:lpwstr/>
      </vt:variant>
      <vt:variant>
        <vt:lpwstr>_Toc387843126</vt:lpwstr>
      </vt:variant>
      <vt:variant>
        <vt:i4>1441841</vt:i4>
      </vt:variant>
      <vt:variant>
        <vt:i4>560</vt:i4>
      </vt:variant>
      <vt:variant>
        <vt:i4>0</vt:i4>
      </vt:variant>
      <vt:variant>
        <vt:i4>5</vt:i4>
      </vt:variant>
      <vt:variant>
        <vt:lpwstr/>
      </vt:variant>
      <vt:variant>
        <vt:lpwstr>_Toc387843125</vt:lpwstr>
      </vt:variant>
      <vt:variant>
        <vt:i4>1441841</vt:i4>
      </vt:variant>
      <vt:variant>
        <vt:i4>554</vt:i4>
      </vt:variant>
      <vt:variant>
        <vt:i4>0</vt:i4>
      </vt:variant>
      <vt:variant>
        <vt:i4>5</vt:i4>
      </vt:variant>
      <vt:variant>
        <vt:lpwstr/>
      </vt:variant>
      <vt:variant>
        <vt:lpwstr>_Toc387843124</vt:lpwstr>
      </vt:variant>
      <vt:variant>
        <vt:i4>1441841</vt:i4>
      </vt:variant>
      <vt:variant>
        <vt:i4>548</vt:i4>
      </vt:variant>
      <vt:variant>
        <vt:i4>0</vt:i4>
      </vt:variant>
      <vt:variant>
        <vt:i4>5</vt:i4>
      </vt:variant>
      <vt:variant>
        <vt:lpwstr/>
      </vt:variant>
      <vt:variant>
        <vt:lpwstr>_Toc387843123</vt:lpwstr>
      </vt:variant>
      <vt:variant>
        <vt:i4>1441841</vt:i4>
      </vt:variant>
      <vt:variant>
        <vt:i4>542</vt:i4>
      </vt:variant>
      <vt:variant>
        <vt:i4>0</vt:i4>
      </vt:variant>
      <vt:variant>
        <vt:i4>5</vt:i4>
      </vt:variant>
      <vt:variant>
        <vt:lpwstr/>
      </vt:variant>
      <vt:variant>
        <vt:lpwstr>_Toc387843122</vt:lpwstr>
      </vt:variant>
      <vt:variant>
        <vt:i4>1441841</vt:i4>
      </vt:variant>
      <vt:variant>
        <vt:i4>536</vt:i4>
      </vt:variant>
      <vt:variant>
        <vt:i4>0</vt:i4>
      </vt:variant>
      <vt:variant>
        <vt:i4>5</vt:i4>
      </vt:variant>
      <vt:variant>
        <vt:lpwstr/>
      </vt:variant>
      <vt:variant>
        <vt:lpwstr>_Toc387843121</vt:lpwstr>
      </vt:variant>
      <vt:variant>
        <vt:i4>1441841</vt:i4>
      </vt:variant>
      <vt:variant>
        <vt:i4>530</vt:i4>
      </vt:variant>
      <vt:variant>
        <vt:i4>0</vt:i4>
      </vt:variant>
      <vt:variant>
        <vt:i4>5</vt:i4>
      </vt:variant>
      <vt:variant>
        <vt:lpwstr/>
      </vt:variant>
      <vt:variant>
        <vt:lpwstr>_Toc387843120</vt:lpwstr>
      </vt:variant>
      <vt:variant>
        <vt:i4>1376305</vt:i4>
      </vt:variant>
      <vt:variant>
        <vt:i4>524</vt:i4>
      </vt:variant>
      <vt:variant>
        <vt:i4>0</vt:i4>
      </vt:variant>
      <vt:variant>
        <vt:i4>5</vt:i4>
      </vt:variant>
      <vt:variant>
        <vt:lpwstr/>
      </vt:variant>
      <vt:variant>
        <vt:lpwstr>_Toc387843119</vt:lpwstr>
      </vt:variant>
      <vt:variant>
        <vt:i4>1376305</vt:i4>
      </vt:variant>
      <vt:variant>
        <vt:i4>518</vt:i4>
      </vt:variant>
      <vt:variant>
        <vt:i4>0</vt:i4>
      </vt:variant>
      <vt:variant>
        <vt:i4>5</vt:i4>
      </vt:variant>
      <vt:variant>
        <vt:lpwstr/>
      </vt:variant>
      <vt:variant>
        <vt:lpwstr>_Toc387843118</vt:lpwstr>
      </vt:variant>
      <vt:variant>
        <vt:i4>1376305</vt:i4>
      </vt:variant>
      <vt:variant>
        <vt:i4>512</vt:i4>
      </vt:variant>
      <vt:variant>
        <vt:i4>0</vt:i4>
      </vt:variant>
      <vt:variant>
        <vt:i4>5</vt:i4>
      </vt:variant>
      <vt:variant>
        <vt:lpwstr/>
      </vt:variant>
      <vt:variant>
        <vt:lpwstr>_Toc387843117</vt:lpwstr>
      </vt:variant>
      <vt:variant>
        <vt:i4>1376305</vt:i4>
      </vt:variant>
      <vt:variant>
        <vt:i4>506</vt:i4>
      </vt:variant>
      <vt:variant>
        <vt:i4>0</vt:i4>
      </vt:variant>
      <vt:variant>
        <vt:i4>5</vt:i4>
      </vt:variant>
      <vt:variant>
        <vt:lpwstr/>
      </vt:variant>
      <vt:variant>
        <vt:lpwstr>_Toc387843116</vt:lpwstr>
      </vt:variant>
      <vt:variant>
        <vt:i4>1376305</vt:i4>
      </vt:variant>
      <vt:variant>
        <vt:i4>500</vt:i4>
      </vt:variant>
      <vt:variant>
        <vt:i4>0</vt:i4>
      </vt:variant>
      <vt:variant>
        <vt:i4>5</vt:i4>
      </vt:variant>
      <vt:variant>
        <vt:lpwstr/>
      </vt:variant>
      <vt:variant>
        <vt:lpwstr>_Toc387843115</vt:lpwstr>
      </vt:variant>
      <vt:variant>
        <vt:i4>1376305</vt:i4>
      </vt:variant>
      <vt:variant>
        <vt:i4>494</vt:i4>
      </vt:variant>
      <vt:variant>
        <vt:i4>0</vt:i4>
      </vt:variant>
      <vt:variant>
        <vt:i4>5</vt:i4>
      </vt:variant>
      <vt:variant>
        <vt:lpwstr/>
      </vt:variant>
      <vt:variant>
        <vt:lpwstr>_Toc387843114</vt:lpwstr>
      </vt:variant>
      <vt:variant>
        <vt:i4>1376305</vt:i4>
      </vt:variant>
      <vt:variant>
        <vt:i4>488</vt:i4>
      </vt:variant>
      <vt:variant>
        <vt:i4>0</vt:i4>
      </vt:variant>
      <vt:variant>
        <vt:i4>5</vt:i4>
      </vt:variant>
      <vt:variant>
        <vt:lpwstr/>
      </vt:variant>
      <vt:variant>
        <vt:lpwstr>_Toc387843113</vt:lpwstr>
      </vt:variant>
      <vt:variant>
        <vt:i4>1376305</vt:i4>
      </vt:variant>
      <vt:variant>
        <vt:i4>482</vt:i4>
      </vt:variant>
      <vt:variant>
        <vt:i4>0</vt:i4>
      </vt:variant>
      <vt:variant>
        <vt:i4>5</vt:i4>
      </vt:variant>
      <vt:variant>
        <vt:lpwstr/>
      </vt:variant>
      <vt:variant>
        <vt:lpwstr>_Toc387843112</vt:lpwstr>
      </vt:variant>
      <vt:variant>
        <vt:i4>1376305</vt:i4>
      </vt:variant>
      <vt:variant>
        <vt:i4>476</vt:i4>
      </vt:variant>
      <vt:variant>
        <vt:i4>0</vt:i4>
      </vt:variant>
      <vt:variant>
        <vt:i4>5</vt:i4>
      </vt:variant>
      <vt:variant>
        <vt:lpwstr/>
      </vt:variant>
      <vt:variant>
        <vt:lpwstr>_Toc387843111</vt:lpwstr>
      </vt:variant>
      <vt:variant>
        <vt:i4>1376305</vt:i4>
      </vt:variant>
      <vt:variant>
        <vt:i4>470</vt:i4>
      </vt:variant>
      <vt:variant>
        <vt:i4>0</vt:i4>
      </vt:variant>
      <vt:variant>
        <vt:i4>5</vt:i4>
      </vt:variant>
      <vt:variant>
        <vt:lpwstr/>
      </vt:variant>
      <vt:variant>
        <vt:lpwstr>_Toc387843110</vt:lpwstr>
      </vt:variant>
      <vt:variant>
        <vt:i4>1310769</vt:i4>
      </vt:variant>
      <vt:variant>
        <vt:i4>464</vt:i4>
      </vt:variant>
      <vt:variant>
        <vt:i4>0</vt:i4>
      </vt:variant>
      <vt:variant>
        <vt:i4>5</vt:i4>
      </vt:variant>
      <vt:variant>
        <vt:lpwstr/>
      </vt:variant>
      <vt:variant>
        <vt:lpwstr>_Toc387843109</vt:lpwstr>
      </vt:variant>
      <vt:variant>
        <vt:i4>1310769</vt:i4>
      </vt:variant>
      <vt:variant>
        <vt:i4>458</vt:i4>
      </vt:variant>
      <vt:variant>
        <vt:i4>0</vt:i4>
      </vt:variant>
      <vt:variant>
        <vt:i4>5</vt:i4>
      </vt:variant>
      <vt:variant>
        <vt:lpwstr/>
      </vt:variant>
      <vt:variant>
        <vt:lpwstr>_Toc387843108</vt:lpwstr>
      </vt:variant>
      <vt:variant>
        <vt:i4>1310769</vt:i4>
      </vt:variant>
      <vt:variant>
        <vt:i4>452</vt:i4>
      </vt:variant>
      <vt:variant>
        <vt:i4>0</vt:i4>
      </vt:variant>
      <vt:variant>
        <vt:i4>5</vt:i4>
      </vt:variant>
      <vt:variant>
        <vt:lpwstr/>
      </vt:variant>
      <vt:variant>
        <vt:lpwstr>_Toc387843107</vt:lpwstr>
      </vt:variant>
      <vt:variant>
        <vt:i4>1310769</vt:i4>
      </vt:variant>
      <vt:variant>
        <vt:i4>446</vt:i4>
      </vt:variant>
      <vt:variant>
        <vt:i4>0</vt:i4>
      </vt:variant>
      <vt:variant>
        <vt:i4>5</vt:i4>
      </vt:variant>
      <vt:variant>
        <vt:lpwstr/>
      </vt:variant>
      <vt:variant>
        <vt:lpwstr>_Toc387843106</vt:lpwstr>
      </vt:variant>
      <vt:variant>
        <vt:i4>1310769</vt:i4>
      </vt:variant>
      <vt:variant>
        <vt:i4>440</vt:i4>
      </vt:variant>
      <vt:variant>
        <vt:i4>0</vt:i4>
      </vt:variant>
      <vt:variant>
        <vt:i4>5</vt:i4>
      </vt:variant>
      <vt:variant>
        <vt:lpwstr/>
      </vt:variant>
      <vt:variant>
        <vt:lpwstr>_Toc387843105</vt:lpwstr>
      </vt:variant>
      <vt:variant>
        <vt:i4>1310769</vt:i4>
      </vt:variant>
      <vt:variant>
        <vt:i4>434</vt:i4>
      </vt:variant>
      <vt:variant>
        <vt:i4>0</vt:i4>
      </vt:variant>
      <vt:variant>
        <vt:i4>5</vt:i4>
      </vt:variant>
      <vt:variant>
        <vt:lpwstr/>
      </vt:variant>
      <vt:variant>
        <vt:lpwstr>_Toc387843104</vt:lpwstr>
      </vt:variant>
      <vt:variant>
        <vt:i4>1310769</vt:i4>
      </vt:variant>
      <vt:variant>
        <vt:i4>428</vt:i4>
      </vt:variant>
      <vt:variant>
        <vt:i4>0</vt:i4>
      </vt:variant>
      <vt:variant>
        <vt:i4>5</vt:i4>
      </vt:variant>
      <vt:variant>
        <vt:lpwstr/>
      </vt:variant>
      <vt:variant>
        <vt:lpwstr>_Toc387843103</vt:lpwstr>
      </vt:variant>
      <vt:variant>
        <vt:i4>1310769</vt:i4>
      </vt:variant>
      <vt:variant>
        <vt:i4>422</vt:i4>
      </vt:variant>
      <vt:variant>
        <vt:i4>0</vt:i4>
      </vt:variant>
      <vt:variant>
        <vt:i4>5</vt:i4>
      </vt:variant>
      <vt:variant>
        <vt:lpwstr/>
      </vt:variant>
      <vt:variant>
        <vt:lpwstr>_Toc387843102</vt:lpwstr>
      </vt:variant>
      <vt:variant>
        <vt:i4>1310769</vt:i4>
      </vt:variant>
      <vt:variant>
        <vt:i4>416</vt:i4>
      </vt:variant>
      <vt:variant>
        <vt:i4>0</vt:i4>
      </vt:variant>
      <vt:variant>
        <vt:i4>5</vt:i4>
      </vt:variant>
      <vt:variant>
        <vt:lpwstr/>
      </vt:variant>
      <vt:variant>
        <vt:lpwstr>_Toc387843101</vt:lpwstr>
      </vt:variant>
      <vt:variant>
        <vt:i4>1310769</vt:i4>
      </vt:variant>
      <vt:variant>
        <vt:i4>410</vt:i4>
      </vt:variant>
      <vt:variant>
        <vt:i4>0</vt:i4>
      </vt:variant>
      <vt:variant>
        <vt:i4>5</vt:i4>
      </vt:variant>
      <vt:variant>
        <vt:lpwstr/>
      </vt:variant>
      <vt:variant>
        <vt:lpwstr>_Toc387843100</vt:lpwstr>
      </vt:variant>
      <vt:variant>
        <vt:i4>1900592</vt:i4>
      </vt:variant>
      <vt:variant>
        <vt:i4>404</vt:i4>
      </vt:variant>
      <vt:variant>
        <vt:i4>0</vt:i4>
      </vt:variant>
      <vt:variant>
        <vt:i4>5</vt:i4>
      </vt:variant>
      <vt:variant>
        <vt:lpwstr/>
      </vt:variant>
      <vt:variant>
        <vt:lpwstr>_Toc387843099</vt:lpwstr>
      </vt:variant>
      <vt:variant>
        <vt:i4>1900592</vt:i4>
      </vt:variant>
      <vt:variant>
        <vt:i4>398</vt:i4>
      </vt:variant>
      <vt:variant>
        <vt:i4>0</vt:i4>
      </vt:variant>
      <vt:variant>
        <vt:i4>5</vt:i4>
      </vt:variant>
      <vt:variant>
        <vt:lpwstr/>
      </vt:variant>
      <vt:variant>
        <vt:lpwstr>_Toc387843098</vt:lpwstr>
      </vt:variant>
      <vt:variant>
        <vt:i4>1900592</vt:i4>
      </vt:variant>
      <vt:variant>
        <vt:i4>392</vt:i4>
      </vt:variant>
      <vt:variant>
        <vt:i4>0</vt:i4>
      </vt:variant>
      <vt:variant>
        <vt:i4>5</vt:i4>
      </vt:variant>
      <vt:variant>
        <vt:lpwstr/>
      </vt:variant>
      <vt:variant>
        <vt:lpwstr>_Toc387843097</vt:lpwstr>
      </vt:variant>
      <vt:variant>
        <vt:i4>1900592</vt:i4>
      </vt:variant>
      <vt:variant>
        <vt:i4>386</vt:i4>
      </vt:variant>
      <vt:variant>
        <vt:i4>0</vt:i4>
      </vt:variant>
      <vt:variant>
        <vt:i4>5</vt:i4>
      </vt:variant>
      <vt:variant>
        <vt:lpwstr/>
      </vt:variant>
      <vt:variant>
        <vt:lpwstr>_Toc387843096</vt:lpwstr>
      </vt:variant>
      <vt:variant>
        <vt:i4>1900592</vt:i4>
      </vt:variant>
      <vt:variant>
        <vt:i4>380</vt:i4>
      </vt:variant>
      <vt:variant>
        <vt:i4>0</vt:i4>
      </vt:variant>
      <vt:variant>
        <vt:i4>5</vt:i4>
      </vt:variant>
      <vt:variant>
        <vt:lpwstr/>
      </vt:variant>
      <vt:variant>
        <vt:lpwstr>_Toc387843095</vt:lpwstr>
      </vt:variant>
      <vt:variant>
        <vt:i4>1900592</vt:i4>
      </vt:variant>
      <vt:variant>
        <vt:i4>374</vt:i4>
      </vt:variant>
      <vt:variant>
        <vt:i4>0</vt:i4>
      </vt:variant>
      <vt:variant>
        <vt:i4>5</vt:i4>
      </vt:variant>
      <vt:variant>
        <vt:lpwstr/>
      </vt:variant>
      <vt:variant>
        <vt:lpwstr>_Toc387843094</vt:lpwstr>
      </vt:variant>
      <vt:variant>
        <vt:i4>1900592</vt:i4>
      </vt:variant>
      <vt:variant>
        <vt:i4>368</vt:i4>
      </vt:variant>
      <vt:variant>
        <vt:i4>0</vt:i4>
      </vt:variant>
      <vt:variant>
        <vt:i4>5</vt:i4>
      </vt:variant>
      <vt:variant>
        <vt:lpwstr/>
      </vt:variant>
      <vt:variant>
        <vt:lpwstr>_Toc387843093</vt:lpwstr>
      </vt:variant>
      <vt:variant>
        <vt:i4>1900592</vt:i4>
      </vt:variant>
      <vt:variant>
        <vt:i4>362</vt:i4>
      </vt:variant>
      <vt:variant>
        <vt:i4>0</vt:i4>
      </vt:variant>
      <vt:variant>
        <vt:i4>5</vt:i4>
      </vt:variant>
      <vt:variant>
        <vt:lpwstr/>
      </vt:variant>
      <vt:variant>
        <vt:lpwstr>_Toc387843092</vt:lpwstr>
      </vt:variant>
      <vt:variant>
        <vt:i4>1900592</vt:i4>
      </vt:variant>
      <vt:variant>
        <vt:i4>356</vt:i4>
      </vt:variant>
      <vt:variant>
        <vt:i4>0</vt:i4>
      </vt:variant>
      <vt:variant>
        <vt:i4>5</vt:i4>
      </vt:variant>
      <vt:variant>
        <vt:lpwstr/>
      </vt:variant>
      <vt:variant>
        <vt:lpwstr>_Toc387843091</vt:lpwstr>
      </vt:variant>
      <vt:variant>
        <vt:i4>1900592</vt:i4>
      </vt:variant>
      <vt:variant>
        <vt:i4>350</vt:i4>
      </vt:variant>
      <vt:variant>
        <vt:i4>0</vt:i4>
      </vt:variant>
      <vt:variant>
        <vt:i4>5</vt:i4>
      </vt:variant>
      <vt:variant>
        <vt:lpwstr/>
      </vt:variant>
      <vt:variant>
        <vt:lpwstr>_Toc387843090</vt:lpwstr>
      </vt:variant>
      <vt:variant>
        <vt:i4>1835056</vt:i4>
      </vt:variant>
      <vt:variant>
        <vt:i4>344</vt:i4>
      </vt:variant>
      <vt:variant>
        <vt:i4>0</vt:i4>
      </vt:variant>
      <vt:variant>
        <vt:i4>5</vt:i4>
      </vt:variant>
      <vt:variant>
        <vt:lpwstr/>
      </vt:variant>
      <vt:variant>
        <vt:lpwstr>_Toc387843089</vt:lpwstr>
      </vt:variant>
      <vt:variant>
        <vt:i4>1835056</vt:i4>
      </vt:variant>
      <vt:variant>
        <vt:i4>338</vt:i4>
      </vt:variant>
      <vt:variant>
        <vt:i4>0</vt:i4>
      </vt:variant>
      <vt:variant>
        <vt:i4>5</vt:i4>
      </vt:variant>
      <vt:variant>
        <vt:lpwstr/>
      </vt:variant>
      <vt:variant>
        <vt:lpwstr>_Toc387843088</vt:lpwstr>
      </vt:variant>
      <vt:variant>
        <vt:i4>1835056</vt:i4>
      </vt:variant>
      <vt:variant>
        <vt:i4>332</vt:i4>
      </vt:variant>
      <vt:variant>
        <vt:i4>0</vt:i4>
      </vt:variant>
      <vt:variant>
        <vt:i4>5</vt:i4>
      </vt:variant>
      <vt:variant>
        <vt:lpwstr/>
      </vt:variant>
      <vt:variant>
        <vt:lpwstr>_Toc387843087</vt:lpwstr>
      </vt:variant>
      <vt:variant>
        <vt:i4>1835056</vt:i4>
      </vt:variant>
      <vt:variant>
        <vt:i4>326</vt:i4>
      </vt:variant>
      <vt:variant>
        <vt:i4>0</vt:i4>
      </vt:variant>
      <vt:variant>
        <vt:i4>5</vt:i4>
      </vt:variant>
      <vt:variant>
        <vt:lpwstr/>
      </vt:variant>
      <vt:variant>
        <vt:lpwstr>_Toc387843086</vt:lpwstr>
      </vt:variant>
      <vt:variant>
        <vt:i4>1835056</vt:i4>
      </vt:variant>
      <vt:variant>
        <vt:i4>320</vt:i4>
      </vt:variant>
      <vt:variant>
        <vt:i4>0</vt:i4>
      </vt:variant>
      <vt:variant>
        <vt:i4>5</vt:i4>
      </vt:variant>
      <vt:variant>
        <vt:lpwstr/>
      </vt:variant>
      <vt:variant>
        <vt:lpwstr>_Toc387843085</vt:lpwstr>
      </vt:variant>
      <vt:variant>
        <vt:i4>1835056</vt:i4>
      </vt:variant>
      <vt:variant>
        <vt:i4>314</vt:i4>
      </vt:variant>
      <vt:variant>
        <vt:i4>0</vt:i4>
      </vt:variant>
      <vt:variant>
        <vt:i4>5</vt:i4>
      </vt:variant>
      <vt:variant>
        <vt:lpwstr/>
      </vt:variant>
      <vt:variant>
        <vt:lpwstr>_Toc387843084</vt:lpwstr>
      </vt:variant>
      <vt:variant>
        <vt:i4>1835056</vt:i4>
      </vt:variant>
      <vt:variant>
        <vt:i4>308</vt:i4>
      </vt:variant>
      <vt:variant>
        <vt:i4>0</vt:i4>
      </vt:variant>
      <vt:variant>
        <vt:i4>5</vt:i4>
      </vt:variant>
      <vt:variant>
        <vt:lpwstr/>
      </vt:variant>
      <vt:variant>
        <vt:lpwstr>_Toc387843083</vt:lpwstr>
      </vt:variant>
      <vt:variant>
        <vt:i4>1835056</vt:i4>
      </vt:variant>
      <vt:variant>
        <vt:i4>302</vt:i4>
      </vt:variant>
      <vt:variant>
        <vt:i4>0</vt:i4>
      </vt:variant>
      <vt:variant>
        <vt:i4>5</vt:i4>
      </vt:variant>
      <vt:variant>
        <vt:lpwstr/>
      </vt:variant>
      <vt:variant>
        <vt:lpwstr>_Toc387843082</vt:lpwstr>
      </vt:variant>
      <vt:variant>
        <vt:i4>1835056</vt:i4>
      </vt:variant>
      <vt:variant>
        <vt:i4>296</vt:i4>
      </vt:variant>
      <vt:variant>
        <vt:i4>0</vt:i4>
      </vt:variant>
      <vt:variant>
        <vt:i4>5</vt:i4>
      </vt:variant>
      <vt:variant>
        <vt:lpwstr/>
      </vt:variant>
      <vt:variant>
        <vt:lpwstr>_Toc387843081</vt:lpwstr>
      </vt:variant>
      <vt:variant>
        <vt:i4>1835056</vt:i4>
      </vt:variant>
      <vt:variant>
        <vt:i4>290</vt:i4>
      </vt:variant>
      <vt:variant>
        <vt:i4>0</vt:i4>
      </vt:variant>
      <vt:variant>
        <vt:i4>5</vt:i4>
      </vt:variant>
      <vt:variant>
        <vt:lpwstr/>
      </vt:variant>
      <vt:variant>
        <vt:lpwstr>_Toc387843080</vt:lpwstr>
      </vt:variant>
      <vt:variant>
        <vt:i4>1245232</vt:i4>
      </vt:variant>
      <vt:variant>
        <vt:i4>284</vt:i4>
      </vt:variant>
      <vt:variant>
        <vt:i4>0</vt:i4>
      </vt:variant>
      <vt:variant>
        <vt:i4>5</vt:i4>
      </vt:variant>
      <vt:variant>
        <vt:lpwstr/>
      </vt:variant>
      <vt:variant>
        <vt:lpwstr>_Toc387843079</vt:lpwstr>
      </vt:variant>
      <vt:variant>
        <vt:i4>1245232</vt:i4>
      </vt:variant>
      <vt:variant>
        <vt:i4>278</vt:i4>
      </vt:variant>
      <vt:variant>
        <vt:i4>0</vt:i4>
      </vt:variant>
      <vt:variant>
        <vt:i4>5</vt:i4>
      </vt:variant>
      <vt:variant>
        <vt:lpwstr/>
      </vt:variant>
      <vt:variant>
        <vt:lpwstr>_Toc387843078</vt:lpwstr>
      </vt:variant>
      <vt:variant>
        <vt:i4>1245232</vt:i4>
      </vt:variant>
      <vt:variant>
        <vt:i4>272</vt:i4>
      </vt:variant>
      <vt:variant>
        <vt:i4>0</vt:i4>
      </vt:variant>
      <vt:variant>
        <vt:i4>5</vt:i4>
      </vt:variant>
      <vt:variant>
        <vt:lpwstr/>
      </vt:variant>
      <vt:variant>
        <vt:lpwstr>_Toc387843077</vt:lpwstr>
      </vt:variant>
      <vt:variant>
        <vt:i4>1245232</vt:i4>
      </vt:variant>
      <vt:variant>
        <vt:i4>266</vt:i4>
      </vt:variant>
      <vt:variant>
        <vt:i4>0</vt:i4>
      </vt:variant>
      <vt:variant>
        <vt:i4>5</vt:i4>
      </vt:variant>
      <vt:variant>
        <vt:lpwstr/>
      </vt:variant>
      <vt:variant>
        <vt:lpwstr>_Toc387843076</vt:lpwstr>
      </vt:variant>
      <vt:variant>
        <vt:i4>1245232</vt:i4>
      </vt:variant>
      <vt:variant>
        <vt:i4>260</vt:i4>
      </vt:variant>
      <vt:variant>
        <vt:i4>0</vt:i4>
      </vt:variant>
      <vt:variant>
        <vt:i4>5</vt:i4>
      </vt:variant>
      <vt:variant>
        <vt:lpwstr/>
      </vt:variant>
      <vt:variant>
        <vt:lpwstr>_Toc387843075</vt:lpwstr>
      </vt:variant>
      <vt:variant>
        <vt:i4>1245232</vt:i4>
      </vt:variant>
      <vt:variant>
        <vt:i4>254</vt:i4>
      </vt:variant>
      <vt:variant>
        <vt:i4>0</vt:i4>
      </vt:variant>
      <vt:variant>
        <vt:i4>5</vt:i4>
      </vt:variant>
      <vt:variant>
        <vt:lpwstr/>
      </vt:variant>
      <vt:variant>
        <vt:lpwstr>_Toc387843074</vt:lpwstr>
      </vt:variant>
      <vt:variant>
        <vt:i4>1245232</vt:i4>
      </vt:variant>
      <vt:variant>
        <vt:i4>248</vt:i4>
      </vt:variant>
      <vt:variant>
        <vt:i4>0</vt:i4>
      </vt:variant>
      <vt:variant>
        <vt:i4>5</vt:i4>
      </vt:variant>
      <vt:variant>
        <vt:lpwstr/>
      </vt:variant>
      <vt:variant>
        <vt:lpwstr>_Toc387843073</vt:lpwstr>
      </vt:variant>
      <vt:variant>
        <vt:i4>1245232</vt:i4>
      </vt:variant>
      <vt:variant>
        <vt:i4>242</vt:i4>
      </vt:variant>
      <vt:variant>
        <vt:i4>0</vt:i4>
      </vt:variant>
      <vt:variant>
        <vt:i4>5</vt:i4>
      </vt:variant>
      <vt:variant>
        <vt:lpwstr/>
      </vt:variant>
      <vt:variant>
        <vt:lpwstr>_Toc387843072</vt:lpwstr>
      </vt:variant>
      <vt:variant>
        <vt:i4>1245232</vt:i4>
      </vt:variant>
      <vt:variant>
        <vt:i4>236</vt:i4>
      </vt:variant>
      <vt:variant>
        <vt:i4>0</vt:i4>
      </vt:variant>
      <vt:variant>
        <vt:i4>5</vt:i4>
      </vt:variant>
      <vt:variant>
        <vt:lpwstr/>
      </vt:variant>
      <vt:variant>
        <vt:lpwstr>_Toc387843071</vt:lpwstr>
      </vt:variant>
      <vt:variant>
        <vt:i4>1245232</vt:i4>
      </vt:variant>
      <vt:variant>
        <vt:i4>230</vt:i4>
      </vt:variant>
      <vt:variant>
        <vt:i4>0</vt:i4>
      </vt:variant>
      <vt:variant>
        <vt:i4>5</vt:i4>
      </vt:variant>
      <vt:variant>
        <vt:lpwstr/>
      </vt:variant>
      <vt:variant>
        <vt:lpwstr>_Toc387843070</vt:lpwstr>
      </vt:variant>
      <vt:variant>
        <vt:i4>1179696</vt:i4>
      </vt:variant>
      <vt:variant>
        <vt:i4>224</vt:i4>
      </vt:variant>
      <vt:variant>
        <vt:i4>0</vt:i4>
      </vt:variant>
      <vt:variant>
        <vt:i4>5</vt:i4>
      </vt:variant>
      <vt:variant>
        <vt:lpwstr/>
      </vt:variant>
      <vt:variant>
        <vt:lpwstr>_Toc387843069</vt:lpwstr>
      </vt:variant>
      <vt:variant>
        <vt:i4>1179696</vt:i4>
      </vt:variant>
      <vt:variant>
        <vt:i4>218</vt:i4>
      </vt:variant>
      <vt:variant>
        <vt:i4>0</vt:i4>
      </vt:variant>
      <vt:variant>
        <vt:i4>5</vt:i4>
      </vt:variant>
      <vt:variant>
        <vt:lpwstr/>
      </vt:variant>
      <vt:variant>
        <vt:lpwstr>_Toc387843068</vt:lpwstr>
      </vt:variant>
      <vt:variant>
        <vt:i4>1179696</vt:i4>
      </vt:variant>
      <vt:variant>
        <vt:i4>212</vt:i4>
      </vt:variant>
      <vt:variant>
        <vt:i4>0</vt:i4>
      </vt:variant>
      <vt:variant>
        <vt:i4>5</vt:i4>
      </vt:variant>
      <vt:variant>
        <vt:lpwstr/>
      </vt:variant>
      <vt:variant>
        <vt:lpwstr>_Toc387843067</vt:lpwstr>
      </vt:variant>
      <vt:variant>
        <vt:i4>1179696</vt:i4>
      </vt:variant>
      <vt:variant>
        <vt:i4>206</vt:i4>
      </vt:variant>
      <vt:variant>
        <vt:i4>0</vt:i4>
      </vt:variant>
      <vt:variant>
        <vt:i4>5</vt:i4>
      </vt:variant>
      <vt:variant>
        <vt:lpwstr/>
      </vt:variant>
      <vt:variant>
        <vt:lpwstr>_Toc387843065</vt:lpwstr>
      </vt:variant>
      <vt:variant>
        <vt:i4>1179696</vt:i4>
      </vt:variant>
      <vt:variant>
        <vt:i4>200</vt:i4>
      </vt:variant>
      <vt:variant>
        <vt:i4>0</vt:i4>
      </vt:variant>
      <vt:variant>
        <vt:i4>5</vt:i4>
      </vt:variant>
      <vt:variant>
        <vt:lpwstr/>
      </vt:variant>
      <vt:variant>
        <vt:lpwstr>_Toc387843064</vt:lpwstr>
      </vt:variant>
      <vt:variant>
        <vt:i4>1179696</vt:i4>
      </vt:variant>
      <vt:variant>
        <vt:i4>194</vt:i4>
      </vt:variant>
      <vt:variant>
        <vt:i4>0</vt:i4>
      </vt:variant>
      <vt:variant>
        <vt:i4>5</vt:i4>
      </vt:variant>
      <vt:variant>
        <vt:lpwstr/>
      </vt:variant>
      <vt:variant>
        <vt:lpwstr>_Toc387843063</vt:lpwstr>
      </vt:variant>
      <vt:variant>
        <vt:i4>1179696</vt:i4>
      </vt:variant>
      <vt:variant>
        <vt:i4>188</vt:i4>
      </vt:variant>
      <vt:variant>
        <vt:i4>0</vt:i4>
      </vt:variant>
      <vt:variant>
        <vt:i4>5</vt:i4>
      </vt:variant>
      <vt:variant>
        <vt:lpwstr/>
      </vt:variant>
      <vt:variant>
        <vt:lpwstr>_Toc387843062</vt:lpwstr>
      </vt:variant>
      <vt:variant>
        <vt:i4>1179696</vt:i4>
      </vt:variant>
      <vt:variant>
        <vt:i4>182</vt:i4>
      </vt:variant>
      <vt:variant>
        <vt:i4>0</vt:i4>
      </vt:variant>
      <vt:variant>
        <vt:i4>5</vt:i4>
      </vt:variant>
      <vt:variant>
        <vt:lpwstr/>
      </vt:variant>
      <vt:variant>
        <vt:lpwstr>_Toc387843061</vt:lpwstr>
      </vt:variant>
      <vt:variant>
        <vt:i4>1179696</vt:i4>
      </vt:variant>
      <vt:variant>
        <vt:i4>176</vt:i4>
      </vt:variant>
      <vt:variant>
        <vt:i4>0</vt:i4>
      </vt:variant>
      <vt:variant>
        <vt:i4>5</vt:i4>
      </vt:variant>
      <vt:variant>
        <vt:lpwstr/>
      </vt:variant>
      <vt:variant>
        <vt:lpwstr>_Toc387843060</vt:lpwstr>
      </vt:variant>
      <vt:variant>
        <vt:i4>1114160</vt:i4>
      </vt:variant>
      <vt:variant>
        <vt:i4>170</vt:i4>
      </vt:variant>
      <vt:variant>
        <vt:i4>0</vt:i4>
      </vt:variant>
      <vt:variant>
        <vt:i4>5</vt:i4>
      </vt:variant>
      <vt:variant>
        <vt:lpwstr/>
      </vt:variant>
      <vt:variant>
        <vt:lpwstr>_Toc387843059</vt:lpwstr>
      </vt:variant>
      <vt:variant>
        <vt:i4>1114160</vt:i4>
      </vt:variant>
      <vt:variant>
        <vt:i4>164</vt:i4>
      </vt:variant>
      <vt:variant>
        <vt:i4>0</vt:i4>
      </vt:variant>
      <vt:variant>
        <vt:i4>5</vt:i4>
      </vt:variant>
      <vt:variant>
        <vt:lpwstr/>
      </vt:variant>
      <vt:variant>
        <vt:lpwstr>_Toc387843058</vt:lpwstr>
      </vt:variant>
      <vt:variant>
        <vt:i4>1114160</vt:i4>
      </vt:variant>
      <vt:variant>
        <vt:i4>158</vt:i4>
      </vt:variant>
      <vt:variant>
        <vt:i4>0</vt:i4>
      </vt:variant>
      <vt:variant>
        <vt:i4>5</vt:i4>
      </vt:variant>
      <vt:variant>
        <vt:lpwstr/>
      </vt:variant>
      <vt:variant>
        <vt:lpwstr>_Toc387843057</vt:lpwstr>
      </vt:variant>
      <vt:variant>
        <vt:i4>1114160</vt:i4>
      </vt:variant>
      <vt:variant>
        <vt:i4>152</vt:i4>
      </vt:variant>
      <vt:variant>
        <vt:i4>0</vt:i4>
      </vt:variant>
      <vt:variant>
        <vt:i4>5</vt:i4>
      </vt:variant>
      <vt:variant>
        <vt:lpwstr/>
      </vt:variant>
      <vt:variant>
        <vt:lpwstr>_Toc387843056</vt:lpwstr>
      </vt:variant>
      <vt:variant>
        <vt:i4>1114160</vt:i4>
      </vt:variant>
      <vt:variant>
        <vt:i4>146</vt:i4>
      </vt:variant>
      <vt:variant>
        <vt:i4>0</vt:i4>
      </vt:variant>
      <vt:variant>
        <vt:i4>5</vt:i4>
      </vt:variant>
      <vt:variant>
        <vt:lpwstr/>
      </vt:variant>
      <vt:variant>
        <vt:lpwstr>_Toc387843055</vt:lpwstr>
      </vt:variant>
      <vt:variant>
        <vt:i4>1114160</vt:i4>
      </vt:variant>
      <vt:variant>
        <vt:i4>140</vt:i4>
      </vt:variant>
      <vt:variant>
        <vt:i4>0</vt:i4>
      </vt:variant>
      <vt:variant>
        <vt:i4>5</vt:i4>
      </vt:variant>
      <vt:variant>
        <vt:lpwstr/>
      </vt:variant>
      <vt:variant>
        <vt:lpwstr>_Toc387843054</vt:lpwstr>
      </vt:variant>
      <vt:variant>
        <vt:i4>1114160</vt:i4>
      </vt:variant>
      <vt:variant>
        <vt:i4>134</vt:i4>
      </vt:variant>
      <vt:variant>
        <vt:i4>0</vt:i4>
      </vt:variant>
      <vt:variant>
        <vt:i4>5</vt:i4>
      </vt:variant>
      <vt:variant>
        <vt:lpwstr/>
      </vt:variant>
      <vt:variant>
        <vt:lpwstr>_Toc387843053</vt:lpwstr>
      </vt:variant>
      <vt:variant>
        <vt:i4>1114160</vt:i4>
      </vt:variant>
      <vt:variant>
        <vt:i4>128</vt:i4>
      </vt:variant>
      <vt:variant>
        <vt:i4>0</vt:i4>
      </vt:variant>
      <vt:variant>
        <vt:i4>5</vt:i4>
      </vt:variant>
      <vt:variant>
        <vt:lpwstr/>
      </vt:variant>
      <vt:variant>
        <vt:lpwstr>_Toc387843052</vt:lpwstr>
      </vt:variant>
      <vt:variant>
        <vt:i4>1114160</vt:i4>
      </vt:variant>
      <vt:variant>
        <vt:i4>122</vt:i4>
      </vt:variant>
      <vt:variant>
        <vt:i4>0</vt:i4>
      </vt:variant>
      <vt:variant>
        <vt:i4>5</vt:i4>
      </vt:variant>
      <vt:variant>
        <vt:lpwstr/>
      </vt:variant>
      <vt:variant>
        <vt:lpwstr>_Toc387843051</vt:lpwstr>
      </vt:variant>
      <vt:variant>
        <vt:i4>1114160</vt:i4>
      </vt:variant>
      <vt:variant>
        <vt:i4>116</vt:i4>
      </vt:variant>
      <vt:variant>
        <vt:i4>0</vt:i4>
      </vt:variant>
      <vt:variant>
        <vt:i4>5</vt:i4>
      </vt:variant>
      <vt:variant>
        <vt:lpwstr/>
      </vt:variant>
      <vt:variant>
        <vt:lpwstr>_Toc387843050</vt:lpwstr>
      </vt:variant>
      <vt:variant>
        <vt:i4>1048624</vt:i4>
      </vt:variant>
      <vt:variant>
        <vt:i4>110</vt:i4>
      </vt:variant>
      <vt:variant>
        <vt:i4>0</vt:i4>
      </vt:variant>
      <vt:variant>
        <vt:i4>5</vt:i4>
      </vt:variant>
      <vt:variant>
        <vt:lpwstr/>
      </vt:variant>
      <vt:variant>
        <vt:lpwstr>_Toc387843049</vt:lpwstr>
      </vt:variant>
      <vt:variant>
        <vt:i4>1048624</vt:i4>
      </vt:variant>
      <vt:variant>
        <vt:i4>104</vt:i4>
      </vt:variant>
      <vt:variant>
        <vt:i4>0</vt:i4>
      </vt:variant>
      <vt:variant>
        <vt:i4>5</vt:i4>
      </vt:variant>
      <vt:variant>
        <vt:lpwstr/>
      </vt:variant>
      <vt:variant>
        <vt:lpwstr>_Toc387843048</vt:lpwstr>
      </vt:variant>
      <vt:variant>
        <vt:i4>1048624</vt:i4>
      </vt:variant>
      <vt:variant>
        <vt:i4>98</vt:i4>
      </vt:variant>
      <vt:variant>
        <vt:i4>0</vt:i4>
      </vt:variant>
      <vt:variant>
        <vt:i4>5</vt:i4>
      </vt:variant>
      <vt:variant>
        <vt:lpwstr/>
      </vt:variant>
      <vt:variant>
        <vt:lpwstr>_Toc387843047</vt:lpwstr>
      </vt:variant>
      <vt:variant>
        <vt:i4>1048624</vt:i4>
      </vt:variant>
      <vt:variant>
        <vt:i4>92</vt:i4>
      </vt:variant>
      <vt:variant>
        <vt:i4>0</vt:i4>
      </vt:variant>
      <vt:variant>
        <vt:i4>5</vt:i4>
      </vt:variant>
      <vt:variant>
        <vt:lpwstr/>
      </vt:variant>
      <vt:variant>
        <vt:lpwstr>_Toc387843046</vt:lpwstr>
      </vt:variant>
      <vt:variant>
        <vt:i4>1048624</vt:i4>
      </vt:variant>
      <vt:variant>
        <vt:i4>86</vt:i4>
      </vt:variant>
      <vt:variant>
        <vt:i4>0</vt:i4>
      </vt:variant>
      <vt:variant>
        <vt:i4>5</vt:i4>
      </vt:variant>
      <vt:variant>
        <vt:lpwstr/>
      </vt:variant>
      <vt:variant>
        <vt:lpwstr>_Toc387843045</vt:lpwstr>
      </vt:variant>
      <vt:variant>
        <vt:i4>1048624</vt:i4>
      </vt:variant>
      <vt:variant>
        <vt:i4>80</vt:i4>
      </vt:variant>
      <vt:variant>
        <vt:i4>0</vt:i4>
      </vt:variant>
      <vt:variant>
        <vt:i4>5</vt:i4>
      </vt:variant>
      <vt:variant>
        <vt:lpwstr/>
      </vt:variant>
      <vt:variant>
        <vt:lpwstr>_Toc387843044</vt:lpwstr>
      </vt:variant>
      <vt:variant>
        <vt:i4>1048624</vt:i4>
      </vt:variant>
      <vt:variant>
        <vt:i4>74</vt:i4>
      </vt:variant>
      <vt:variant>
        <vt:i4>0</vt:i4>
      </vt:variant>
      <vt:variant>
        <vt:i4>5</vt:i4>
      </vt:variant>
      <vt:variant>
        <vt:lpwstr/>
      </vt:variant>
      <vt:variant>
        <vt:lpwstr>_Toc387843043</vt:lpwstr>
      </vt:variant>
      <vt:variant>
        <vt:i4>1048624</vt:i4>
      </vt:variant>
      <vt:variant>
        <vt:i4>68</vt:i4>
      </vt:variant>
      <vt:variant>
        <vt:i4>0</vt:i4>
      </vt:variant>
      <vt:variant>
        <vt:i4>5</vt:i4>
      </vt:variant>
      <vt:variant>
        <vt:lpwstr/>
      </vt:variant>
      <vt:variant>
        <vt:lpwstr>_Toc387843042</vt:lpwstr>
      </vt:variant>
      <vt:variant>
        <vt:i4>1048624</vt:i4>
      </vt:variant>
      <vt:variant>
        <vt:i4>62</vt:i4>
      </vt:variant>
      <vt:variant>
        <vt:i4>0</vt:i4>
      </vt:variant>
      <vt:variant>
        <vt:i4>5</vt:i4>
      </vt:variant>
      <vt:variant>
        <vt:lpwstr/>
      </vt:variant>
      <vt:variant>
        <vt:lpwstr>_Toc387843041</vt:lpwstr>
      </vt:variant>
      <vt:variant>
        <vt:i4>1048624</vt:i4>
      </vt:variant>
      <vt:variant>
        <vt:i4>56</vt:i4>
      </vt:variant>
      <vt:variant>
        <vt:i4>0</vt:i4>
      </vt:variant>
      <vt:variant>
        <vt:i4>5</vt:i4>
      </vt:variant>
      <vt:variant>
        <vt:lpwstr/>
      </vt:variant>
      <vt:variant>
        <vt:lpwstr>_Toc387843040</vt:lpwstr>
      </vt:variant>
      <vt:variant>
        <vt:i4>1507376</vt:i4>
      </vt:variant>
      <vt:variant>
        <vt:i4>50</vt:i4>
      </vt:variant>
      <vt:variant>
        <vt:i4>0</vt:i4>
      </vt:variant>
      <vt:variant>
        <vt:i4>5</vt:i4>
      </vt:variant>
      <vt:variant>
        <vt:lpwstr/>
      </vt:variant>
      <vt:variant>
        <vt:lpwstr>_Toc387843039</vt:lpwstr>
      </vt:variant>
      <vt:variant>
        <vt:i4>1507376</vt:i4>
      </vt:variant>
      <vt:variant>
        <vt:i4>44</vt:i4>
      </vt:variant>
      <vt:variant>
        <vt:i4>0</vt:i4>
      </vt:variant>
      <vt:variant>
        <vt:i4>5</vt:i4>
      </vt:variant>
      <vt:variant>
        <vt:lpwstr/>
      </vt:variant>
      <vt:variant>
        <vt:lpwstr>_Toc387843038</vt:lpwstr>
      </vt:variant>
      <vt:variant>
        <vt:i4>1507376</vt:i4>
      </vt:variant>
      <vt:variant>
        <vt:i4>38</vt:i4>
      </vt:variant>
      <vt:variant>
        <vt:i4>0</vt:i4>
      </vt:variant>
      <vt:variant>
        <vt:i4>5</vt:i4>
      </vt:variant>
      <vt:variant>
        <vt:lpwstr/>
      </vt:variant>
      <vt:variant>
        <vt:lpwstr>_Toc387843037</vt:lpwstr>
      </vt:variant>
      <vt:variant>
        <vt:i4>1507376</vt:i4>
      </vt:variant>
      <vt:variant>
        <vt:i4>32</vt:i4>
      </vt:variant>
      <vt:variant>
        <vt:i4>0</vt:i4>
      </vt:variant>
      <vt:variant>
        <vt:i4>5</vt:i4>
      </vt:variant>
      <vt:variant>
        <vt:lpwstr/>
      </vt:variant>
      <vt:variant>
        <vt:lpwstr>_Toc387843036</vt:lpwstr>
      </vt:variant>
      <vt:variant>
        <vt:i4>1507376</vt:i4>
      </vt:variant>
      <vt:variant>
        <vt:i4>26</vt:i4>
      </vt:variant>
      <vt:variant>
        <vt:i4>0</vt:i4>
      </vt:variant>
      <vt:variant>
        <vt:i4>5</vt:i4>
      </vt:variant>
      <vt:variant>
        <vt:lpwstr/>
      </vt:variant>
      <vt:variant>
        <vt:lpwstr>_Toc387843035</vt:lpwstr>
      </vt:variant>
      <vt:variant>
        <vt:i4>1507376</vt:i4>
      </vt:variant>
      <vt:variant>
        <vt:i4>20</vt:i4>
      </vt:variant>
      <vt:variant>
        <vt:i4>0</vt:i4>
      </vt:variant>
      <vt:variant>
        <vt:i4>5</vt:i4>
      </vt:variant>
      <vt:variant>
        <vt:lpwstr/>
      </vt:variant>
      <vt:variant>
        <vt:lpwstr>_Toc387843034</vt:lpwstr>
      </vt:variant>
      <vt:variant>
        <vt:i4>1507376</vt:i4>
      </vt:variant>
      <vt:variant>
        <vt:i4>14</vt:i4>
      </vt:variant>
      <vt:variant>
        <vt:i4>0</vt:i4>
      </vt:variant>
      <vt:variant>
        <vt:i4>5</vt:i4>
      </vt:variant>
      <vt:variant>
        <vt:lpwstr/>
      </vt:variant>
      <vt:variant>
        <vt:lpwstr>_Toc387843033</vt:lpwstr>
      </vt:variant>
      <vt:variant>
        <vt:i4>1507376</vt:i4>
      </vt:variant>
      <vt:variant>
        <vt:i4>8</vt:i4>
      </vt:variant>
      <vt:variant>
        <vt:i4>0</vt:i4>
      </vt:variant>
      <vt:variant>
        <vt:i4>5</vt:i4>
      </vt:variant>
      <vt:variant>
        <vt:lpwstr/>
      </vt:variant>
      <vt:variant>
        <vt:lpwstr>_Toc387843032</vt:lpwstr>
      </vt:variant>
      <vt:variant>
        <vt:i4>1441840</vt:i4>
      </vt:variant>
      <vt:variant>
        <vt:i4>2</vt:i4>
      </vt:variant>
      <vt:variant>
        <vt:i4>0</vt:i4>
      </vt:variant>
      <vt:variant>
        <vt:i4>5</vt:i4>
      </vt:variant>
      <vt:variant>
        <vt:lpwstr/>
      </vt:variant>
      <vt:variant>
        <vt:lpwstr>_Toc387843029</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بحث عميق في مسـألة الخُمْـس في الكتاب والسنة</dc:title>
  <dc:subject>دراسة فقه الشيعة;</dc:subject>
  <dc:creator>حيدر ﻋﻠﻲ قلمداران القُمي</dc:creator>
  <cp:keywords>کتابخانه; قلم; عقیده; موحدين; موحدین; کتاب; مكتبة; القلم; العقيدة; qalam; library; http:/qalamlib.com; http:/qalamlibrary.com; http:/mowahedin.com; http:/aqeedeh.com</cp:keywords>
  <dc:description>بحثٌ جامع ومبسوط حللَّ فيه المؤلف الأسس الشرعية والمنطقية للخُمْس في الفكر الاقتصادي للإسلام ومحَّص هذه الأسس وفحص صحتها وبيَّن الحُكم الصحيح بشأنها.  يُعَدُّ هذا الكتاب أشمل تأليف مستقل كُتِبَ في عالم الإسلام حتى اليوم في نقد موضوع الخُمس بالمفهوم الشيعي، وقد أُلِّفَ بهدف دراسة أهم أحاديث الشيعة ومستنداتهم حول إيجاب أداء الخُمس وتمحيصها ونقدها.  يهدف المؤلف في كتابه إلى تنقية الخمس من الزوائد والإضافات التي أضافها بعض علماء الشيعة إليه، وعلى حد قوله: (جعلوا الخمس وسيلة مطمئنة للاسترزاق وملء جيوبهم). بعد تحليله العميق والدقيق للآية 41 من سورة الأنفال التي نزلت بشأن غنائم الحرب، يشرح المؤلف موقف سنَّة نبي الإسلام الكريم صلى الله عليه وسلم والأئمة من هذا الموضوع بشكل مفصَّل. بدأ المؤلِّف كتابه بدراسة مستند الخُمس في القرآن الكريم، وبعد أن أوضح استخدامات الخُمس وموارده في المجتمع الإسلامي، قام بدراسة أحاديث الخُمس التي حصرتْه برسول الله صلى الله عليه وسلم وأهل بيته الكرام فقط. ثم واصل المؤلف بحثه ببيان الأمور التي يشملها الخُمس وقام بدراسة منطقية وعقلية للأحاديث التي نصت على وجوب الخمس، وبعد أن قارن تلك الأحاديث بالقرآن الكريم وسنة الرسول الأكرم صلى الله عليه وسلم، قام بدراسة دقيقة لرواة أسانيد تلك الأحاديث واحداً واحداً. بعد ذلك أورد المؤلف الأخبار التي تبين أن الأئمة وهبوا الخُمس لشيعتهم، وقام بتحليل هذه الروايات، وفي الختام فحص المؤلف مصارف الخمس وسهم الإمام في زمن الغيبة. ثم نقل المؤلف فتاوى علماء الشيعة الكبار في موضوع دفع الخمس أمثال الشيخ الإسكافي، وابن الجُنَيد، والشهيد الثاني، والمحقق السبزواري، وابن عقيل، والشيخ الصدوق، والشيخ الطوسي، والمقدس الأردبيلي، والمحقق الثاني، والقطيفي، والملا محسن فيض الكاشاني، والشيخ الحر العاملي، والشيخ يوسف البحراني، وشمس الدين العاملي، والشيخ باقر النجفي (صاحب الجواهر)، وآخرين أجمعوا كلهم على إسقاط خمس أرباح المكاسب عن الشيعة في زمن الغيبة، ولأجل هذا الغرض استعرض المؤلف أقوال أولئك العلماء وفتاواهم واحداً واحداً. ويتضمن الجزء الأخير من الكتاب مجموع إجابات المؤلف على الردود التي ألفها كل من ناصر مكارم الشيرازي، ورضا استادي أصفهاني، وسيد حسن إمامي أصفهاني على كتابه الخمس، وقد أضيفت هذه الإجابات إلى النسخة الجديدة المنقَّحة لكتاب الخمس.</dc:description>
  <cp:lastModifiedBy>Asus-PC</cp:lastModifiedBy>
  <cp:revision>0</cp:revision>
  <cp:lastPrinted>2009-06-07T14:42:00Z</cp:lastPrinted>
  <dcterms:created xsi:type="dcterms:W3CDTF">2015-05-03T05:04:00Z</dcterms:created>
  <dcterms:modified xsi:type="dcterms:W3CDTF">2015-05-03T05:04:00Z</dcterms:modified>
  <cp:version>1.0 May 2015</cp:version>
</cp:coreProperties>
</file>